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9.xml" ContentType="application/vnd.openxmlformats-officedocument.wordprocessingml.footer+xml"/>
  <Override PartName="/word/header27.xml" ContentType="application/vnd.openxmlformats-officedocument.wordprocessingml.header+xml"/>
  <Override PartName="/word/footer2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30.xml" ContentType="application/vnd.openxmlformats-officedocument.wordprocessingml.header+xml"/>
  <Override PartName="/word/footer2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2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6.xml" ContentType="application/vnd.openxmlformats-officedocument.wordprocessingml.foot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6DCBD" w14:textId="6133E97B" w:rsidR="003B37A4" w:rsidRDefault="005B5DB1" w:rsidP="005B5DB1">
      <w:pPr>
        <w:pStyle w:val="Pagedecouverture"/>
        <w:rPr>
          <w:noProof/>
        </w:rPr>
      </w:pPr>
      <w:bookmarkStart w:id="0" w:name="_Toc195528720"/>
      <w:bookmarkStart w:id="1" w:name="_Toc207192533"/>
      <w:bookmarkStart w:id="2" w:name="_Toc75962251"/>
      <w:bookmarkStart w:id="3" w:name="LW_BM_COVERPAGE"/>
      <w:r>
        <w:rPr>
          <w:noProof/>
        </w:rPr>
        <w:pict w14:anchorId="4B647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76BDBD1-1DA7-48D3-A2C8-C7483722E0F5" style="width:455.15pt;height:416.65pt">
            <v:imagedata r:id="rId11" o:title=""/>
          </v:shape>
        </w:pict>
      </w:r>
    </w:p>
    <w:bookmarkEnd w:id="3"/>
    <w:p w14:paraId="33993ECB" w14:textId="77777777" w:rsidR="002E6B16" w:rsidRDefault="002E6B16" w:rsidP="002E6B16">
      <w:pPr>
        <w:rPr>
          <w:noProof/>
        </w:rPr>
        <w:sectPr w:rsidR="002E6B16" w:rsidSect="005B5DB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282E00B6" w14:textId="77777777" w:rsidR="00285741" w:rsidRPr="000272AD" w:rsidRDefault="00285741">
      <w:pPr>
        <w:pStyle w:val="TOCHeading"/>
        <w:spacing w:before="0" w:after="120"/>
        <w:rPr>
          <w:rFonts w:ascii="Times" w:hAnsi="Times" w:cs="Times"/>
          <w:b/>
          <w:noProof/>
          <w:color w:val="auto"/>
          <w:lang w:val="en-GB"/>
        </w:rPr>
      </w:pPr>
      <w:r w:rsidRPr="000272AD">
        <w:rPr>
          <w:rFonts w:ascii="Times" w:hAnsi="Times" w:cs="Times"/>
          <w:b/>
          <w:noProof/>
          <w:color w:val="auto"/>
          <w:lang w:val="en-GB"/>
        </w:rPr>
        <w:lastRenderedPageBreak/>
        <w:t>Table of contents</w:t>
      </w:r>
    </w:p>
    <w:p w14:paraId="37FC4EC8" w14:textId="6BCDB170"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r>
        <w:rPr>
          <w:noProof/>
        </w:rPr>
        <w:fldChar w:fldCharType="begin"/>
      </w:r>
      <w:r>
        <w:rPr>
          <w:noProof/>
        </w:rPr>
        <w:instrText xml:space="preserve"> TOC \o "1-2" \h \z \u </w:instrText>
      </w:r>
      <w:r>
        <w:rPr>
          <w:noProof/>
        </w:rPr>
        <w:fldChar w:fldCharType="separate"/>
      </w:r>
      <w:hyperlink w:anchor="_Toc222489968" w:history="1">
        <w:r w:rsidRPr="007E5BE2">
          <w:rPr>
            <w:rStyle w:val="Hyperlink"/>
            <w:rFonts w:cs="Times New Roman"/>
            <w:b/>
            <w:bCs/>
            <w:noProof/>
          </w:rPr>
          <w:t>1</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bCs/>
            <w:noProof/>
          </w:rPr>
          <w:t>Introduction: Political and legal context</w:t>
        </w:r>
        <w:r>
          <w:rPr>
            <w:noProof/>
            <w:webHidden/>
          </w:rPr>
          <w:tab/>
        </w:r>
        <w:r>
          <w:rPr>
            <w:noProof/>
            <w:webHidden/>
          </w:rPr>
          <w:fldChar w:fldCharType="begin"/>
        </w:r>
        <w:r>
          <w:rPr>
            <w:noProof/>
            <w:webHidden/>
          </w:rPr>
          <w:instrText xml:space="preserve"> PAGEREF _Toc222489968 \h </w:instrText>
        </w:r>
        <w:r>
          <w:rPr>
            <w:noProof/>
            <w:webHidden/>
          </w:rPr>
        </w:r>
        <w:r>
          <w:rPr>
            <w:noProof/>
            <w:webHidden/>
          </w:rPr>
          <w:fldChar w:fldCharType="separate"/>
        </w:r>
        <w:r w:rsidR="002E6B16">
          <w:rPr>
            <w:noProof/>
            <w:webHidden/>
          </w:rPr>
          <w:t>4</w:t>
        </w:r>
        <w:r>
          <w:rPr>
            <w:noProof/>
            <w:webHidden/>
          </w:rPr>
          <w:fldChar w:fldCharType="end"/>
        </w:r>
      </w:hyperlink>
    </w:p>
    <w:p w14:paraId="65672067" w14:textId="7C57E879"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69" w:history="1">
        <w:r w:rsidRPr="007E5BE2">
          <w:rPr>
            <w:rStyle w:val="Hyperlink"/>
            <w:noProof/>
          </w:rPr>
          <w:t>1.1</w:t>
        </w:r>
        <w:r>
          <w:rPr>
            <w:rFonts w:asciiTheme="minorHAnsi" w:eastAsiaTheme="minorEastAsia" w:hAnsiTheme="minorHAnsi"/>
            <w:noProof/>
            <w:kern w:val="2"/>
            <w:szCs w:val="24"/>
            <w:lang w:val="en-IE" w:eastAsia="en-IE"/>
            <w14:ligatures w14:val="standardContextual"/>
          </w:rPr>
          <w:tab/>
        </w:r>
        <w:r w:rsidRPr="007E5BE2">
          <w:rPr>
            <w:rStyle w:val="Hyperlink"/>
            <w:noProof/>
          </w:rPr>
          <w:t>Political context</w:t>
        </w:r>
        <w:r>
          <w:rPr>
            <w:noProof/>
            <w:webHidden/>
          </w:rPr>
          <w:tab/>
        </w:r>
        <w:r>
          <w:rPr>
            <w:noProof/>
            <w:webHidden/>
          </w:rPr>
          <w:fldChar w:fldCharType="begin"/>
        </w:r>
        <w:r>
          <w:rPr>
            <w:noProof/>
            <w:webHidden/>
          </w:rPr>
          <w:instrText xml:space="preserve"> PAGEREF _Toc222489969 \h </w:instrText>
        </w:r>
        <w:r>
          <w:rPr>
            <w:noProof/>
            <w:webHidden/>
          </w:rPr>
        </w:r>
        <w:r>
          <w:rPr>
            <w:noProof/>
            <w:webHidden/>
          </w:rPr>
          <w:fldChar w:fldCharType="separate"/>
        </w:r>
        <w:r w:rsidR="002E6B16">
          <w:rPr>
            <w:noProof/>
            <w:webHidden/>
          </w:rPr>
          <w:t>4</w:t>
        </w:r>
        <w:r>
          <w:rPr>
            <w:noProof/>
            <w:webHidden/>
          </w:rPr>
          <w:fldChar w:fldCharType="end"/>
        </w:r>
      </w:hyperlink>
    </w:p>
    <w:p w14:paraId="4052EFC7" w14:textId="1B6F0415"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70" w:history="1">
        <w:r w:rsidRPr="007E5BE2">
          <w:rPr>
            <w:rStyle w:val="Hyperlink"/>
            <w:noProof/>
          </w:rPr>
          <w:t>1.2</w:t>
        </w:r>
        <w:r>
          <w:rPr>
            <w:rFonts w:asciiTheme="minorHAnsi" w:eastAsiaTheme="minorEastAsia" w:hAnsiTheme="minorHAnsi"/>
            <w:noProof/>
            <w:kern w:val="2"/>
            <w:szCs w:val="24"/>
            <w:lang w:val="en-IE" w:eastAsia="en-IE"/>
            <w14:ligatures w14:val="standardContextual"/>
          </w:rPr>
          <w:tab/>
        </w:r>
        <w:r w:rsidRPr="007E5BE2">
          <w:rPr>
            <w:rStyle w:val="Hyperlink"/>
            <w:noProof/>
          </w:rPr>
          <w:t>Legal and policy context</w:t>
        </w:r>
        <w:r>
          <w:rPr>
            <w:noProof/>
            <w:webHidden/>
          </w:rPr>
          <w:tab/>
        </w:r>
        <w:r>
          <w:rPr>
            <w:noProof/>
            <w:webHidden/>
          </w:rPr>
          <w:fldChar w:fldCharType="begin"/>
        </w:r>
        <w:r>
          <w:rPr>
            <w:noProof/>
            <w:webHidden/>
          </w:rPr>
          <w:instrText xml:space="preserve"> PAGEREF _Toc222489970 \h </w:instrText>
        </w:r>
        <w:r>
          <w:rPr>
            <w:noProof/>
            <w:webHidden/>
          </w:rPr>
        </w:r>
        <w:r>
          <w:rPr>
            <w:noProof/>
            <w:webHidden/>
          </w:rPr>
          <w:fldChar w:fldCharType="separate"/>
        </w:r>
        <w:r w:rsidR="002E6B16">
          <w:rPr>
            <w:noProof/>
            <w:webHidden/>
          </w:rPr>
          <w:t>5</w:t>
        </w:r>
        <w:r>
          <w:rPr>
            <w:noProof/>
            <w:webHidden/>
          </w:rPr>
          <w:fldChar w:fldCharType="end"/>
        </w:r>
      </w:hyperlink>
    </w:p>
    <w:p w14:paraId="48C56F66" w14:textId="5C0E6975"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71" w:history="1">
        <w:r w:rsidRPr="007E5BE2">
          <w:rPr>
            <w:rStyle w:val="Hyperlink"/>
            <w:rFonts w:cs="Times New Roman"/>
            <w:b/>
            <w:bCs/>
            <w:noProof/>
          </w:rPr>
          <w:t>2</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bCs/>
            <w:noProof/>
          </w:rPr>
          <w:t>Problem definition</w:t>
        </w:r>
        <w:r>
          <w:rPr>
            <w:noProof/>
            <w:webHidden/>
          </w:rPr>
          <w:tab/>
        </w:r>
        <w:r>
          <w:rPr>
            <w:noProof/>
            <w:webHidden/>
          </w:rPr>
          <w:fldChar w:fldCharType="begin"/>
        </w:r>
        <w:r>
          <w:rPr>
            <w:noProof/>
            <w:webHidden/>
          </w:rPr>
          <w:instrText xml:space="preserve"> PAGEREF _Toc222489971 \h </w:instrText>
        </w:r>
        <w:r>
          <w:rPr>
            <w:noProof/>
            <w:webHidden/>
          </w:rPr>
        </w:r>
        <w:r>
          <w:rPr>
            <w:noProof/>
            <w:webHidden/>
          </w:rPr>
          <w:fldChar w:fldCharType="separate"/>
        </w:r>
        <w:r w:rsidR="002E6B16">
          <w:rPr>
            <w:noProof/>
            <w:webHidden/>
          </w:rPr>
          <w:t>6</w:t>
        </w:r>
        <w:r>
          <w:rPr>
            <w:noProof/>
            <w:webHidden/>
          </w:rPr>
          <w:fldChar w:fldCharType="end"/>
        </w:r>
      </w:hyperlink>
    </w:p>
    <w:p w14:paraId="594F682E" w14:textId="769078B4"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72" w:history="1">
        <w:r w:rsidRPr="007E5BE2">
          <w:rPr>
            <w:rStyle w:val="Hyperlink"/>
            <w:noProof/>
          </w:rPr>
          <w:t>2.1</w:t>
        </w:r>
        <w:r>
          <w:rPr>
            <w:rFonts w:asciiTheme="minorHAnsi" w:eastAsiaTheme="minorEastAsia" w:hAnsiTheme="minorHAnsi"/>
            <w:noProof/>
            <w:kern w:val="2"/>
            <w:szCs w:val="24"/>
            <w:lang w:val="en-IE" w:eastAsia="en-IE"/>
            <w14:ligatures w14:val="standardContextual"/>
          </w:rPr>
          <w:tab/>
        </w:r>
        <w:r w:rsidRPr="007E5BE2">
          <w:rPr>
            <w:rStyle w:val="Hyperlink"/>
            <w:noProof/>
          </w:rPr>
          <w:t>What is the problem?</w:t>
        </w:r>
        <w:r>
          <w:rPr>
            <w:noProof/>
            <w:webHidden/>
          </w:rPr>
          <w:tab/>
        </w:r>
        <w:r>
          <w:rPr>
            <w:noProof/>
            <w:webHidden/>
          </w:rPr>
          <w:fldChar w:fldCharType="begin"/>
        </w:r>
        <w:r>
          <w:rPr>
            <w:noProof/>
            <w:webHidden/>
          </w:rPr>
          <w:instrText xml:space="preserve"> PAGEREF _Toc222489972 \h </w:instrText>
        </w:r>
        <w:r>
          <w:rPr>
            <w:noProof/>
            <w:webHidden/>
          </w:rPr>
        </w:r>
        <w:r>
          <w:rPr>
            <w:noProof/>
            <w:webHidden/>
          </w:rPr>
          <w:fldChar w:fldCharType="separate"/>
        </w:r>
        <w:r w:rsidR="002E6B16">
          <w:rPr>
            <w:noProof/>
            <w:webHidden/>
          </w:rPr>
          <w:t>6</w:t>
        </w:r>
        <w:r>
          <w:rPr>
            <w:noProof/>
            <w:webHidden/>
          </w:rPr>
          <w:fldChar w:fldCharType="end"/>
        </w:r>
      </w:hyperlink>
    </w:p>
    <w:p w14:paraId="565C9B87" w14:textId="734B952B"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73" w:history="1">
        <w:r w:rsidRPr="007E5BE2">
          <w:rPr>
            <w:rStyle w:val="Hyperlink"/>
            <w:noProof/>
          </w:rPr>
          <w:t>2.2</w:t>
        </w:r>
        <w:r>
          <w:rPr>
            <w:rFonts w:asciiTheme="minorHAnsi" w:eastAsiaTheme="minorEastAsia" w:hAnsiTheme="minorHAnsi"/>
            <w:noProof/>
            <w:kern w:val="2"/>
            <w:szCs w:val="24"/>
            <w:lang w:val="en-IE" w:eastAsia="en-IE"/>
            <w14:ligatures w14:val="standardContextual"/>
          </w:rPr>
          <w:tab/>
        </w:r>
        <w:r w:rsidRPr="007E5BE2">
          <w:rPr>
            <w:rStyle w:val="Hyperlink"/>
            <w:noProof/>
          </w:rPr>
          <w:t>What are the sub-problems and their drivers?</w:t>
        </w:r>
        <w:r>
          <w:rPr>
            <w:noProof/>
            <w:webHidden/>
          </w:rPr>
          <w:tab/>
        </w:r>
        <w:r>
          <w:rPr>
            <w:noProof/>
            <w:webHidden/>
          </w:rPr>
          <w:fldChar w:fldCharType="begin"/>
        </w:r>
        <w:r>
          <w:rPr>
            <w:noProof/>
            <w:webHidden/>
          </w:rPr>
          <w:instrText xml:space="preserve"> PAGEREF _Toc222489973 \h </w:instrText>
        </w:r>
        <w:r>
          <w:rPr>
            <w:noProof/>
            <w:webHidden/>
          </w:rPr>
        </w:r>
        <w:r>
          <w:rPr>
            <w:noProof/>
            <w:webHidden/>
          </w:rPr>
          <w:fldChar w:fldCharType="separate"/>
        </w:r>
        <w:r w:rsidR="002E6B16">
          <w:rPr>
            <w:noProof/>
            <w:webHidden/>
          </w:rPr>
          <w:t>8</w:t>
        </w:r>
        <w:r>
          <w:rPr>
            <w:noProof/>
            <w:webHidden/>
          </w:rPr>
          <w:fldChar w:fldCharType="end"/>
        </w:r>
      </w:hyperlink>
    </w:p>
    <w:p w14:paraId="39C77CAF" w14:textId="6B001155"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74" w:history="1">
        <w:r w:rsidRPr="007E5BE2">
          <w:rPr>
            <w:rStyle w:val="Hyperlink"/>
            <w:noProof/>
          </w:rPr>
          <w:t>2.3</w:t>
        </w:r>
        <w:r>
          <w:rPr>
            <w:rFonts w:asciiTheme="minorHAnsi" w:eastAsiaTheme="minorEastAsia" w:hAnsiTheme="minorHAnsi"/>
            <w:noProof/>
            <w:kern w:val="2"/>
            <w:szCs w:val="24"/>
            <w:lang w:val="en-IE" w:eastAsia="en-IE"/>
            <w14:ligatures w14:val="standardContextual"/>
          </w:rPr>
          <w:tab/>
        </w:r>
        <w:r w:rsidRPr="007E5BE2">
          <w:rPr>
            <w:rStyle w:val="Hyperlink"/>
            <w:noProof/>
          </w:rPr>
          <w:t>How likely is the problem to persist?</w:t>
        </w:r>
        <w:r>
          <w:rPr>
            <w:noProof/>
            <w:webHidden/>
          </w:rPr>
          <w:tab/>
        </w:r>
        <w:r>
          <w:rPr>
            <w:noProof/>
            <w:webHidden/>
          </w:rPr>
          <w:fldChar w:fldCharType="begin"/>
        </w:r>
        <w:r>
          <w:rPr>
            <w:noProof/>
            <w:webHidden/>
          </w:rPr>
          <w:instrText xml:space="preserve"> PAGEREF _Toc222489974 \h </w:instrText>
        </w:r>
        <w:r>
          <w:rPr>
            <w:noProof/>
            <w:webHidden/>
          </w:rPr>
        </w:r>
        <w:r>
          <w:rPr>
            <w:noProof/>
            <w:webHidden/>
          </w:rPr>
          <w:fldChar w:fldCharType="separate"/>
        </w:r>
        <w:r w:rsidR="002E6B16">
          <w:rPr>
            <w:noProof/>
            <w:webHidden/>
          </w:rPr>
          <w:t>19</w:t>
        </w:r>
        <w:r>
          <w:rPr>
            <w:noProof/>
            <w:webHidden/>
          </w:rPr>
          <w:fldChar w:fldCharType="end"/>
        </w:r>
      </w:hyperlink>
    </w:p>
    <w:p w14:paraId="35071BF8" w14:textId="702338AA"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75" w:history="1">
        <w:r w:rsidRPr="007E5BE2">
          <w:rPr>
            <w:rStyle w:val="Hyperlink"/>
            <w:rFonts w:cs="Times New Roman"/>
            <w:b/>
            <w:bCs/>
            <w:noProof/>
          </w:rPr>
          <w:t>3</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bCs/>
            <w:noProof/>
          </w:rPr>
          <w:t>Why should the EU act?</w:t>
        </w:r>
        <w:r>
          <w:rPr>
            <w:noProof/>
            <w:webHidden/>
          </w:rPr>
          <w:tab/>
        </w:r>
        <w:r>
          <w:rPr>
            <w:noProof/>
            <w:webHidden/>
          </w:rPr>
          <w:fldChar w:fldCharType="begin"/>
        </w:r>
        <w:r>
          <w:rPr>
            <w:noProof/>
            <w:webHidden/>
          </w:rPr>
          <w:instrText xml:space="preserve"> PAGEREF _Toc222489975 \h </w:instrText>
        </w:r>
        <w:r>
          <w:rPr>
            <w:noProof/>
            <w:webHidden/>
          </w:rPr>
        </w:r>
        <w:r>
          <w:rPr>
            <w:noProof/>
            <w:webHidden/>
          </w:rPr>
          <w:fldChar w:fldCharType="separate"/>
        </w:r>
        <w:r w:rsidR="002E6B16">
          <w:rPr>
            <w:noProof/>
            <w:webHidden/>
          </w:rPr>
          <w:t>22</w:t>
        </w:r>
        <w:r>
          <w:rPr>
            <w:noProof/>
            <w:webHidden/>
          </w:rPr>
          <w:fldChar w:fldCharType="end"/>
        </w:r>
      </w:hyperlink>
    </w:p>
    <w:p w14:paraId="6CC8BD20" w14:textId="73B33324"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76" w:history="1">
        <w:r w:rsidRPr="007E5BE2">
          <w:rPr>
            <w:rStyle w:val="Hyperlink"/>
            <w:noProof/>
          </w:rPr>
          <w:t>3.1</w:t>
        </w:r>
        <w:r>
          <w:rPr>
            <w:rFonts w:asciiTheme="minorHAnsi" w:eastAsiaTheme="minorEastAsia" w:hAnsiTheme="minorHAnsi"/>
            <w:noProof/>
            <w:kern w:val="2"/>
            <w:szCs w:val="24"/>
            <w:lang w:val="en-IE" w:eastAsia="en-IE"/>
            <w14:ligatures w14:val="standardContextual"/>
          </w:rPr>
          <w:tab/>
        </w:r>
        <w:r w:rsidRPr="007E5BE2">
          <w:rPr>
            <w:rStyle w:val="Hyperlink"/>
            <w:noProof/>
          </w:rPr>
          <w:t>Legal basis</w:t>
        </w:r>
        <w:r>
          <w:rPr>
            <w:noProof/>
            <w:webHidden/>
          </w:rPr>
          <w:tab/>
        </w:r>
        <w:r>
          <w:rPr>
            <w:noProof/>
            <w:webHidden/>
          </w:rPr>
          <w:fldChar w:fldCharType="begin"/>
        </w:r>
        <w:r>
          <w:rPr>
            <w:noProof/>
            <w:webHidden/>
          </w:rPr>
          <w:instrText xml:space="preserve"> PAGEREF _Toc222489976 \h </w:instrText>
        </w:r>
        <w:r>
          <w:rPr>
            <w:noProof/>
            <w:webHidden/>
          </w:rPr>
        </w:r>
        <w:r>
          <w:rPr>
            <w:noProof/>
            <w:webHidden/>
          </w:rPr>
          <w:fldChar w:fldCharType="separate"/>
        </w:r>
        <w:r w:rsidR="002E6B16">
          <w:rPr>
            <w:noProof/>
            <w:webHidden/>
          </w:rPr>
          <w:t>22</w:t>
        </w:r>
        <w:r>
          <w:rPr>
            <w:noProof/>
            <w:webHidden/>
          </w:rPr>
          <w:fldChar w:fldCharType="end"/>
        </w:r>
      </w:hyperlink>
    </w:p>
    <w:p w14:paraId="6C0C7221" w14:textId="40C02822"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77" w:history="1">
        <w:r w:rsidRPr="007E5BE2">
          <w:rPr>
            <w:rStyle w:val="Hyperlink"/>
            <w:noProof/>
          </w:rPr>
          <w:t>3.2</w:t>
        </w:r>
        <w:r>
          <w:rPr>
            <w:rFonts w:asciiTheme="minorHAnsi" w:eastAsiaTheme="minorEastAsia" w:hAnsiTheme="minorHAnsi"/>
            <w:noProof/>
            <w:kern w:val="2"/>
            <w:szCs w:val="24"/>
            <w:lang w:val="en-IE" w:eastAsia="en-IE"/>
            <w14:ligatures w14:val="standardContextual"/>
          </w:rPr>
          <w:tab/>
        </w:r>
        <w:r w:rsidRPr="007E5BE2">
          <w:rPr>
            <w:rStyle w:val="Hyperlink"/>
            <w:noProof/>
          </w:rPr>
          <w:t>Subsidiarity: Necessity of EU action</w:t>
        </w:r>
        <w:r>
          <w:rPr>
            <w:noProof/>
            <w:webHidden/>
          </w:rPr>
          <w:tab/>
        </w:r>
        <w:r>
          <w:rPr>
            <w:noProof/>
            <w:webHidden/>
          </w:rPr>
          <w:fldChar w:fldCharType="begin"/>
        </w:r>
        <w:r>
          <w:rPr>
            <w:noProof/>
            <w:webHidden/>
          </w:rPr>
          <w:instrText xml:space="preserve"> PAGEREF _Toc222489977 \h </w:instrText>
        </w:r>
        <w:r>
          <w:rPr>
            <w:noProof/>
            <w:webHidden/>
          </w:rPr>
        </w:r>
        <w:r>
          <w:rPr>
            <w:noProof/>
            <w:webHidden/>
          </w:rPr>
          <w:fldChar w:fldCharType="separate"/>
        </w:r>
        <w:r w:rsidR="002E6B16">
          <w:rPr>
            <w:noProof/>
            <w:webHidden/>
          </w:rPr>
          <w:t>22</w:t>
        </w:r>
        <w:r>
          <w:rPr>
            <w:noProof/>
            <w:webHidden/>
          </w:rPr>
          <w:fldChar w:fldCharType="end"/>
        </w:r>
      </w:hyperlink>
    </w:p>
    <w:p w14:paraId="34833F6B" w14:textId="646E5D9D"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78" w:history="1">
        <w:r w:rsidRPr="007E5BE2">
          <w:rPr>
            <w:rStyle w:val="Hyperlink"/>
            <w:noProof/>
          </w:rPr>
          <w:t>3.3</w:t>
        </w:r>
        <w:r>
          <w:rPr>
            <w:rFonts w:asciiTheme="minorHAnsi" w:eastAsiaTheme="minorEastAsia" w:hAnsiTheme="minorHAnsi"/>
            <w:noProof/>
            <w:kern w:val="2"/>
            <w:szCs w:val="24"/>
            <w:lang w:val="en-IE" w:eastAsia="en-IE"/>
            <w14:ligatures w14:val="standardContextual"/>
          </w:rPr>
          <w:tab/>
        </w:r>
        <w:r w:rsidRPr="007E5BE2">
          <w:rPr>
            <w:rStyle w:val="Hyperlink"/>
            <w:noProof/>
          </w:rPr>
          <w:t>Subsidiarity: Added value of EU action</w:t>
        </w:r>
        <w:r>
          <w:rPr>
            <w:noProof/>
            <w:webHidden/>
          </w:rPr>
          <w:tab/>
        </w:r>
        <w:r>
          <w:rPr>
            <w:noProof/>
            <w:webHidden/>
          </w:rPr>
          <w:fldChar w:fldCharType="begin"/>
        </w:r>
        <w:r>
          <w:rPr>
            <w:noProof/>
            <w:webHidden/>
          </w:rPr>
          <w:instrText xml:space="preserve"> PAGEREF _Toc222489978 \h </w:instrText>
        </w:r>
        <w:r>
          <w:rPr>
            <w:noProof/>
            <w:webHidden/>
          </w:rPr>
        </w:r>
        <w:r>
          <w:rPr>
            <w:noProof/>
            <w:webHidden/>
          </w:rPr>
          <w:fldChar w:fldCharType="separate"/>
        </w:r>
        <w:r w:rsidR="002E6B16">
          <w:rPr>
            <w:noProof/>
            <w:webHidden/>
          </w:rPr>
          <w:t>23</w:t>
        </w:r>
        <w:r>
          <w:rPr>
            <w:noProof/>
            <w:webHidden/>
          </w:rPr>
          <w:fldChar w:fldCharType="end"/>
        </w:r>
      </w:hyperlink>
    </w:p>
    <w:p w14:paraId="2A24C736" w14:textId="3FBA1CC1"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79" w:history="1">
        <w:r w:rsidRPr="007E5BE2">
          <w:rPr>
            <w:rStyle w:val="Hyperlink"/>
            <w:rFonts w:cs="Times New Roman"/>
            <w:b/>
            <w:bCs/>
            <w:noProof/>
          </w:rPr>
          <w:t>4</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bCs/>
            <w:noProof/>
          </w:rPr>
          <w:t>Objectives: What is to be achieved?</w:t>
        </w:r>
        <w:r>
          <w:rPr>
            <w:noProof/>
            <w:webHidden/>
          </w:rPr>
          <w:tab/>
        </w:r>
        <w:r>
          <w:rPr>
            <w:noProof/>
            <w:webHidden/>
          </w:rPr>
          <w:fldChar w:fldCharType="begin"/>
        </w:r>
        <w:r>
          <w:rPr>
            <w:noProof/>
            <w:webHidden/>
          </w:rPr>
          <w:instrText xml:space="preserve"> PAGEREF _Toc222489979 \h </w:instrText>
        </w:r>
        <w:r>
          <w:rPr>
            <w:noProof/>
            <w:webHidden/>
          </w:rPr>
        </w:r>
        <w:r>
          <w:rPr>
            <w:noProof/>
            <w:webHidden/>
          </w:rPr>
          <w:fldChar w:fldCharType="separate"/>
        </w:r>
        <w:r w:rsidR="002E6B16">
          <w:rPr>
            <w:noProof/>
            <w:webHidden/>
          </w:rPr>
          <w:t>23</w:t>
        </w:r>
        <w:r>
          <w:rPr>
            <w:noProof/>
            <w:webHidden/>
          </w:rPr>
          <w:fldChar w:fldCharType="end"/>
        </w:r>
      </w:hyperlink>
    </w:p>
    <w:p w14:paraId="5FFB2633" w14:textId="330E8051"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0" w:history="1">
        <w:r w:rsidRPr="007E5BE2">
          <w:rPr>
            <w:rStyle w:val="Hyperlink"/>
            <w:noProof/>
          </w:rPr>
          <w:t>4.1</w:t>
        </w:r>
        <w:r>
          <w:rPr>
            <w:rFonts w:asciiTheme="minorHAnsi" w:eastAsiaTheme="minorEastAsia" w:hAnsiTheme="minorHAnsi"/>
            <w:noProof/>
            <w:kern w:val="2"/>
            <w:szCs w:val="24"/>
            <w:lang w:val="en-IE" w:eastAsia="en-IE"/>
            <w14:ligatures w14:val="standardContextual"/>
          </w:rPr>
          <w:tab/>
        </w:r>
        <w:r w:rsidRPr="007E5BE2">
          <w:rPr>
            <w:rStyle w:val="Hyperlink"/>
            <w:noProof/>
          </w:rPr>
          <w:t>General objective</w:t>
        </w:r>
        <w:r>
          <w:rPr>
            <w:noProof/>
            <w:webHidden/>
          </w:rPr>
          <w:tab/>
        </w:r>
        <w:r>
          <w:rPr>
            <w:noProof/>
            <w:webHidden/>
          </w:rPr>
          <w:fldChar w:fldCharType="begin"/>
        </w:r>
        <w:r>
          <w:rPr>
            <w:noProof/>
            <w:webHidden/>
          </w:rPr>
          <w:instrText xml:space="preserve"> PAGEREF _Toc222489980 \h </w:instrText>
        </w:r>
        <w:r>
          <w:rPr>
            <w:noProof/>
            <w:webHidden/>
          </w:rPr>
        </w:r>
        <w:r>
          <w:rPr>
            <w:noProof/>
            <w:webHidden/>
          </w:rPr>
          <w:fldChar w:fldCharType="separate"/>
        </w:r>
        <w:r w:rsidR="002E6B16">
          <w:rPr>
            <w:noProof/>
            <w:webHidden/>
          </w:rPr>
          <w:t>23</w:t>
        </w:r>
        <w:r>
          <w:rPr>
            <w:noProof/>
            <w:webHidden/>
          </w:rPr>
          <w:fldChar w:fldCharType="end"/>
        </w:r>
      </w:hyperlink>
    </w:p>
    <w:p w14:paraId="40F56C96" w14:textId="2F560B92"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1" w:history="1">
        <w:r w:rsidRPr="007E5BE2">
          <w:rPr>
            <w:rStyle w:val="Hyperlink"/>
            <w:noProof/>
          </w:rPr>
          <w:t>4.2</w:t>
        </w:r>
        <w:r>
          <w:rPr>
            <w:rFonts w:asciiTheme="minorHAnsi" w:eastAsiaTheme="minorEastAsia" w:hAnsiTheme="minorHAnsi"/>
            <w:noProof/>
            <w:kern w:val="2"/>
            <w:szCs w:val="24"/>
            <w:lang w:val="en-IE" w:eastAsia="en-IE"/>
            <w14:ligatures w14:val="standardContextual"/>
          </w:rPr>
          <w:tab/>
        </w:r>
        <w:r w:rsidRPr="007E5BE2">
          <w:rPr>
            <w:rStyle w:val="Hyperlink"/>
            <w:noProof/>
          </w:rPr>
          <w:t>Specific objectives</w:t>
        </w:r>
        <w:r>
          <w:rPr>
            <w:noProof/>
            <w:webHidden/>
          </w:rPr>
          <w:tab/>
        </w:r>
        <w:r>
          <w:rPr>
            <w:noProof/>
            <w:webHidden/>
          </w:rPr>
          <w:fldChar w:fldCharType="begin"/>
        </w:r>
        <w:r>
          <w:rPr>
            <w:noProof/>
            <w:webHidden/>
          </w:rPr>
          <w:instrText xml:space="preserve"> PAGEREF _Toc222489981 \h </w:instrText>
        </w:r>
        <w:r>
          <w:rPr>
            <w:noProof/>
            <w:webHidden/>
          </w:rPr>
        </w:r>
        <w:r>
          <w:rPr>
            <w:noProof/>
            <w:webHidden/>
          </w:rPr>
          <w:fldChar w:fldCharType="separate"/>
        </w:r>
        <w:r w:rsidR="002E6B16">
          <w:rPr>
            <w:noProof/>
            <w:webHidden/>
          </w:rPr>
          <w:t>23</w:t>
        </w:r>
        <w:r>
          <w:rPr>
            <w:noProof/>
            <w:webHidden/>
          </w:rPr>
          <w:fldChar w:fldCharType="end"/>
        </w:r>
      </w:hyperlink>
    </w:p>
    <w:p w14:paraId="22538C36" w14:textId="4860AA7E"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82" w:history="1">
        <w:r w:rsidRPr="007E5BE2">
          <w:rPr>
            <w:rStyle w:val="Hyperlink"/>
            <w:rFonts w:cs="Times New Roman"/>
            <w:b/>
            <w:bCs/>
            <w:noProof/>
          </w:rPr>
          <w:t>5</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bCs/>
            <w:noProof/>
          </w:rPr>
          <w:t>What are the available policy options?</w:t>
        </w:r>
        <w:r>
          <w:rPr>
            <w:noProof/>
            <w:webHidden/>
          </w:rPr>
          <w:tab/>
        </w:r>
        <w:r>
          <w:rPr>
            <w:noProof/>
            <w:webHidden/>
          </w:rPr>
          <w:fldChar w:fldCharType="begin"/>
        </w:r>
        <w:r>
          <w:rPr>
            <w:noProof/>
            <w:webHidden/>
          </w:rPr>
          <w:instrText xml:space="preserve"> PAGEREF _Toc222489982 \h </w:instrText>
        </w:r>
        <w:r>
          <w:rPr>
            <w:noProof/>
            <w:webHidden/>
          </w:rPr>
        </w:r>
        <w:r>
          <w:rPr>
            <w:noProof/>
            <w:webHidden/>
          </w:rPr>
          <w:fldChar w:fldCharType="separate"/>
        </w:r>
        <w:r w:rsidR="002E6B16">
          <w:rPr>
            <w:noProof/>
            <w:webHidden/>
          </w:rPr>
          <w:t>24</w:t>
        </w:r>
        <w:r>
          <w:rPr>
            <w:noProof/>
            <w:webHidden/>
          </w:rPr>
          <w:fldChar w:fldCharType="end"/>
        </w:r>
      </w:hyperlink>
    </w:p>
    <w:p w14:paraId="7A36C5A9" w14:textId="694F2FFA"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3" w:history="1">
        <w:r w:rsidRPr="007E5BE2">
          <w:rPr>
            <w:rStyle w:val="Hyperlink"/>
            <w:noProof/>
          </w:rPr>
          <w:t>5.1</w:t>
        </w:r>
        <w:r>
          <w:rPr>
            <w:rFonts w:asciiTheme="minorHAnsi" w:eastAsiaTheme="minorEastAsia" w:hAnsiTheme="minorHAnsi"/>
            <w:noProof/>
            <w:kern w:val="2"/>
            <w:szCs w:val="24"/>
            <w:lang w:val="en-IE" w:eastAsia="en-IE"/>
            <w14:ligatures w14:val="standardContextual"/>
          </w:rPr>
          <w:tab/>
        </w:r>
        <w:r w:rsidRPr="007E5BE2">
          <w:rPr>
            <w:rStyle w:val="Hyperlink"/>
            <w:noProof/>
          </w:rPr>
          <w:t>What is the baseline from which options are assessed?</w:t>
        </w:r>
        <w:r>
          <w:rPr>
            <w:noProof/>
            <w:webHidden/>
          </w:rPr>
          <w:tab/>
        </w:r>
        <w:r>
          <w:rPr>
            <w:noProof/>
            <w:webHidden/>
          </w:rPr>
          <w:fldChar w:fldCharType="begin"/>
        </w:r>
        <w:r>
          <w:rPr>
            <w:noProof/>
            <w:webHidden/>
          </w:rPr>
          <w:instrText xml:space="preserve"> PAGEREF _Toc222489983 \h </w:instrText>
        </w:r>
        <w:r>
          <w:rPr>
            <w:noProof/>
            <w:webHidden/>
          </w:rPr>
        </w:r>
        <w:r>
          <w:rPr>
            <w:noProof/>
            <w:webHidden/>
          </w:rPr>
          <w:fldChar w:fldCharType="separate"/>
        </w:r>
        <w:r w:rsidR="002E6B16">
          <w:rPr>
            <w:noProof/>
            <w:webHidden/>
          </w:rPr>
          <w:t>24</w:t>
        </w:r>
        <w:r>
          <w:rPr>
            <w:noProof/>
            <w:webHidden/>
          </w:rPr>
          <w:fldChar w:fldCharType="end"/>
        </w:r>
      </w:hyperlink>
    </w:p>
    <w:p w14:paraId="2249E0A1" w14:textId="05ADA023"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4" w:history="1">
        <w:r w:rsidRPr="007E5BE2">
          <w:rPr>
            <w:rStyle w:val="Hyperlink"/>
            <w:noProof/>
          </w:rPr>
          <w:t>5.2</w:t>
        </w:r>
        <w:r>
          <w:rPr>
            <w:rFonts w:asciiTheme="minorHAnsi" w:eastAsiaTheme="minorEastAsia" w:hAnsiTheme="minorHAnsi"/>
            <w:noProof/>
            <w:kern w:val="2"/>
            <w:szCs w:val="24"/>
            <w:lang w:val="en-IE" w:eastAsia="en-IE"/>
            <w14:ligatures w14:val="standardContextual"/>
          </w:rPr>
          <w:tab/>
        </w:r>
        <w:r w:rsidRPr="007E5BE2">
          <w:rPr>
            <w:rStyle w:val="Hyperlink"/>
            <w:noProof/>
          </w:rPr>
          <w:t>Description of the policy measures</w:t>
        </w:r>
        <w:r>
          <w:rPr>
            <w:noProof/>
            <w:webHidden/>
          </w:rPr>
          <w:tab/>
        </w:r>
        <w:r>
          <w:rPr>
            <w:noProof/>
            <w:webHidden/>
          </w:rPr>
          <w:fldChar w:fldCharType="begin"/>
        </w:r>
        <w:r>
          <w:rPr>
            <w:noProof/>
            <w:webHidden/>
          </w:rPr>
          <w:instrText xml:space="preserve"> PAGEREF _Toc222489984 \h </w:instrText>
        </w:r>
        <w:r>
          <w:rPr>
            <w:noProof/>
            <w:webHidden/>
          </w:rPr>
        </w:r>
        <w:r>
          <w:rPr>
            <w:noProof/>
            <w:webHidden/>
          </w:rPr>
          <w:fldChar w:fldCharType="separate"/>
        </w:r>
        <w:r w:rsidR="002E6B16">
          <w:rPr>
            <w:noProof/>
            <w:webHidden/>
          </w:rPr>
          <w:t>26</w:t>
        </w:r>
        <w:r>
          <w:rPr>
            <w:noProof/>
            <w:webHidden/>
          </w:rPr>
          <w:fldChar w:fldCharType="end"/>
        </w:r>
      </w:hyperlink>
    </w:p>
    <w:p w14:paraId="073B3A43" w14:textId="5D2BF7EB"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5" w:history="1">
        <w:r w:rsidRPr="007E5BE2">
          <w:rPr>
            <w:rStyle w:val="Hyperlink"/>
            <w:noProof/>
          </w:rPr>
          <w:t>5.3</w:t>
        </w:r>
        <w:r>
          <w:rPr>
            <w:rFonts w:asciiTheme="minorHAnsi" w:eastAsiaTheme="minorEastAsia" w:hAnsiTheme="minorHAnsi"/>
            <w:noProof/>
            <w:kern w:val="2"/>
            <w:szCs w:val="24"/>
            <w:lang w:val="en-IE" w:eastAsia="en-IE"/>
            <w14:ligatures w14:val="standardContextual"/>
          </w:rPr>
          <w:tab/>
        </w:r>
        <w:r w:rsidRPr="007E5BE2">
          <w:rPr>
            <w:rStyle w:val="Hyperlink"/>
            <w:noProof/>
          </w:rPr>
          <w:t>Options discarded at an early stage</w:t>
        </w:r>
        <w:r>
          <w:rPr>
            <w:noProof/>
            <w:webHidden/>
          </w:rPr>
          <w:tab/>
        </w:r>
        <w:r>
          <w:rPr>
            <w:noProof/>
            <w:webHidden/>
          </w:rPr>
          <w:fldChar w:fldCharType="begin"/>
        </w:r>
        <w:r>
          <w:rPr>
            <w:noProof/>
            <w:webHidden/>
          </w:rPr>
          <w:instrText xml:space="preserve"> PAGEREF _Toc222489985 \h </w:instrText>
        </w:r>
        <w:r>
          <w:rPr>
            <w:noProof/>
            <w:webHidden/>
          </w:rPr>
        </w:r>
        <w:r>
          <w:rPr>
            <w:noProof/>
            <w:webHidden/>
          </w:rPr>
          <w:fldChar w:fldCharType="separate"/>
        </w:r>
        <w:r w:rsidR="002E6B16">
          <w:rPr>
            <w:noProof/>
            <w:webHidden/>
          </w:rPr>
          <w:t>28</w:t>
        </w:r>
        <w:r>
          <w:rPr>
            <w:noProof/>
            <w:webHidden/>
          </w:rPr>
          <w:fldChar w:fldCharType="end"/>
        </w:r>
      </w:hyperlink>
    </w:p>
    <w:p w14:paraId="0636D18B" w14:textId="7B7212DD"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86" w:history="1">
        <w:r w:rsidRPr="007E5BE2">
          <w:rPr>
            <w:rStyle w:val="Hyperlink"/>
            <w:rFonts w:cs="Times New Roman"/>
            <w:b/>
            <w:bCs/>
            <w:noProof/>
          </w:rPr>
          <w:t>6</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bCs/>
            <w:noProof/>
          </w:rPr>
          <w:t>What are the impacts of the policy options?</w:t>
        </w:r>
        <w:r>
          <w:rPr>
            <w:noProof/>
            <w:webHidden/>
          </w:rPr>
          <w:tab/>
        </w:r>
        <w:r>
          <w:rPr>
            <w:noProof/>
            <w:webHidden/>
          </w:rPr>
          <w:fldChar w:fldCharType="begin"/>
        </w:r>
        <w:r>
          <w:rPr>
            <w:noProof/>
            <w:webHidden/>
          </w:rPr>
          <w:instrText xml:space="preserve"> PAGEREF _Toc222489986 \h </w:instrText>
        </w:r>
        <w:r>
          <w:rPr>
            <w:noProof/>
            <w:webHidden/>
          </w:rPr>
        </w:r>
        <w:r>
          <w:rPr>
            <w:noProof/>
            <w:webHidden/>
          </w:rPr>
          <w:fldChar w:fldCharType="separate"/>
        </w:r>
        <w:r w:rsidR="002E6B16">
          <w:rPr>
            <w:noProof/>
            <w:webHidden/>
          </w:rPr>
          <w:t>31</w:t>
        </w:r>
        <w:r>
          <w:rPr>
            <w:noProof/>
            <w:webHidden/>
          </w:rPr>
          <w:fldChar w:fldCharType="end"/>
        </w:r>
      </w:hyperlink>
    </w:p>
    <w:p w14:paraId="001173A1" w14:textId="0087DBFE"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7" w:history="1">
        <w:r w:rsidRPr="007E5BE2">
          <w:rPr>
            <w:rStyle w:val="Hyperlink"/>
            <w:noProof/>
          </w:rPr>
          <w:t>6.1</w:t>
        </w:r>
        <w:r>
          <w:rPr>
            <w:rFonts w:asciiTheme="minorHAnsi" w:eastAsiaTheme="minorEastAsia" w:hAnsiTheme="minorHAnsi"/>
            <w:noProof/>
            <w:kern w:val="2"/>
            <w:szCs w:val="24"/>
            <w:lang w:val="en-IE" w:eastAsia="en-IE"/>
            <w14:ligatures w14:val="standardContextual"/>
          </w:rPr>
          <w:tab/>
        </w:r>
        <w:r w:rsidRPr="007E5BE2">
          <w:rPr>
            <w:rStyle w:val="Hyperlink"/>
            <w:noProof/>
          </w:rPr>
          <w:t>POLICY OPTION 1</w:t>
        </w:r>
        <w:r>
          <w:rPr>
            <w:noProof/>
            <w:webHidden/>
          </w:rPr>
          <w:tab/>
        </w:r>
        <w:r>
          <w:rPr>
            <w:noProof/>
            <w:webHidden/>
          </w:rPr>
          <w:fldChar w:fldCharType="begin"/>
        </w:r>
        <w:r>
          <w:rPr>
            <w:noProof/>
            <w:webHidden/>
          </w:rPr>
          <w:instrText xml:space="preserve"> PAGEREF _Toc222489987 \h </w:instrText>
        </w:r>
        <w:r>
          <w:rPr>
            <w:noProof/>
            <w:webHidden/>
          </w:rPr>
        </w:r>
        <w:r>
          <w:rPr>
            <w:noProof/>
            <w:webHidden/>
          </w:rPr>
          <w:fldChar w:fldCharType="separate"/>
        </w:r>
        <w:r w:rsidR="002E6B16">
          <w:rPr>
            <w:noProof/>
            <w:webHidden/>
          </w:rPr>
          <w:t>31</w:t>
        </w:r>
        <w:r>
          <w:rPr>
            <w:noProof/>
            <w:webHidden/>
          </w:rPr>
          <w:fldChar w:fldCharType="end"/>
        </w:r>
      </w:hyperlink>
    </w:p>
    <w:p w14:paraId="388D8875" w14:textId="119A613C"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8" w:history="1">
        <w:r w:rsidRPr="007E5BE2">
          <w:rPr>
            <w:rStyle w:val="Hyperlink"/>
            <w:noProof/>
          </w:rPr>
          <w:t>6.2</w:t>
        </w:r>
        <w:r>
          <w:rPr>
            <w:rFonts w:asciiTheme="minorHAnsi" w:eastAsiaTheme="minorEastAsia" w:hAnsiTheme="minorHAnsi"/>
            <w:noProof/>
            <w:kern w:val="2"/>
            <w:szCs w:val="24"/>
            <w:lang w:val="en-IE" w:eastAsia="en-IE"/>
            <w14:ligatures w14:val="standardContextual"/>
          </w:rPr>
          <w:tab/>
        </w:r>
        <w:r w:rsidRPr="007E5BE2">
          <w:rPr>
            <w:rStyle w:val="Hyperlink"/>
            <w:noProof/>
          </w:rPr>
          <w:t>POLICY OPTION 2</w:t>
        </w:r>
        <w:r>
          <w:rPr>
            <w:noProof/>
            <w:webHidden/>
          </w:rPr>
          <w:tab/>
        </w:r>
        <w:r>
          <w:rPr>
            <w:noProof/>
            <w:webHidden/>
          </w:rPr>
          <w:fldChar w:fldCharType="begin"/>
        </w:r>
        <w:r>
          <w:rPr>
            <w:noProof/>
            <w:webHidden/>
          </w:rPr>
          <w:instrText xml:space="preserve"> PAGEREF _Toc222489988 \h </w:instrText>
        </w:r>
        <w:r>
          <w:rPr>
            <w:noProof/>
            <w:webHidden/>
          </w:rPr>
        </w:r>
        <w:r>
          <w:rPr>
            <w:noProof/>
            <w:webHidden/>
          </w:rPr>
          <w:fldChar w:fldCharType="separate"/>
        </w:r>
        <w:r w:rsidR="002E6B16">
          <w:rPr>
            <w:noProof/>
            <w:webHidden/>
          </w:rPr>
          <w:t>53</w:t>
        </w:r>
        <w:r>
          <w:rPr>
            <w:noProof/>
            <w:webHidden/>
          </w:rPr>
          <w:fldChar w:fldCharType="end"/>
        </w:r>
      </w:hyperlink>
    </w:p>
    <w:p w14:paraId="28B8C759" w14:textId="4795DA44"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89" w:history="1">
        <w:r w:rsidRPr="007E5BE2">
          <w:rPr>
            <w:rStyle w:val="Hyperlink"/>
            <w:noProof/>
          </w:rPr>
          <w:t>6.3</w:t>
        </w:r>
        <w:r>
          <w:rPr>
            <w:rFonts w:asciiTheme="minorHAnsi" w:eastAsiaTheme="minorEastAsia" w:hAnsiTheme="minorHAnsi"/>
            <w:noProof/>
            <w:kern w:val="2"/>
            <w:szCs w:val="24"/>
            <w:lang w:val="en-IE" w:eastAsia="en-IE"/>
            <w14:ligatures w14:val="standardContextual"/>
          </w:rPr>
          <w:tab/>
        </w:r>
        <w:r w:rsidRPr="007E5BE2">
          <w:rPr>
            <w:rStyle w:val="Hyperlink"/>
            <w:noProof/>
          </w:rPr>
          <w:t>POLICY OPTION 3</w:t>
        </w:r>
        <w:r>
          <w:rPr>
            <w:noProof/>
            <w:webHidden/>
          </w:rPr>
          <w:tab/>
        </w:r>
        <w:r>
          <w:rPr>
            <w:noProof/>
            <w:webHidden/>
          </w:rPr>
          <w:fldChar w:fldCharType="begin"/>
        </w:r>
        <w:r>
          <w:rPr>
            <w:noProof/>
            <w:webHidden/>
          </w:rPr>
          <w:instrText xml:space="preserve"> PAGEREF _Toc222489989 \h </w:instrText>
        </w:r>
        <w:r>
          <w:rPr>
            <w:noProof/>
            <w:webHidden/>
          </w:rPr>
        </w:r>
        <w:r>
          <w:rPr>
            <w:noProof/>
            <w:webHidden/>
          </w:rPr>
          <w:fldChar w:fldCharType="separate"/>
        </w:r>
        <w:r w:rsidR="002E6B16">
          <w:rPr>
            <w:noProof/>
            <w:webHidden/>
          </w:rPr>
          <w:t>62</w:t>
        </w:r>
        <w:r>
          <w:rPr>
            <w:noProof/>
            <w:webHidden/>
          </w:rPr>
          <w:fldChar w:fldCharType="end"/>
        </w:r>
      </w:hyperlink>
    </w:p>
    <w:p w14:paraId="53C47673" w14:textId="388FA461"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90" w:history="1">
        <w:r w:rsidRPr="007E5BE2">
          <w:rPr>
            <w:rStyle w:val="Hyperlink"/>
            <w:rFonts w:cs="Times New Roman"/>
            <w:b/>
            <w:bCs/>
            <w:noProof/>
          </w:rPr>
          <w:t>7</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bCs/>
            <w:noProof/>
          </w:rPr>
          <w:t>How do the options compare?</w:t>
        </w:r>
        <w:r>
          <w:rPr>
            <w:noProof/>
            <w:webHidden/>
          </w:rPr>
          <w:tab/>
        </w:r>
        <w:r>
          <w:rPr>
            <w:noProof/>
            <w:webHidden/>
          </w:rPr>
          <w:fldChar w:fldCharType="begin"/>
        </w:r>
        <w:r>
          <w:rPr>
            <w:noProof/>
            <w:webHidden/>
          </w:rPr>
          <w:instrText xml:space="preserve"> PAGEREF _Toc222489990 \h </w:instrText>
        </w:r>
        <w:r>
          <w:rPr>
            <w:noProof/>
            <w:webHidden/>
          </w:rPr>
        </w:r>
        <w:r>
          <w:rPr>
            <w:noProof/>
            <w:webHidden/>
          </w:rPr>
          <w:fldChar w:fldCharType="separate"/>
        </w:r>
        <w:r w:rsidR="002E6B16">
          <w:rPr>
            <w:noProof/>
            <w:webHidden/>
          </w:rPr>
          <w:t>71</w:t>
        </w:r>
        <w:r>
          <w:rPr>
            <w:noProof/>
            <w:webHidden/>
          </w:rPr>
          <w:fldChar w:fldCharType="end"/>
        </w:r>
      </w:hyperlink>
    </w:p>
    <w:p w14:paraId="330100CE" w14:textId="391244A2"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91" w:history="1">
        <w:r w:rsidRPr="007E5BE2">
          <w:rPr>
            <w:rStyle w:val="Hyperlink"/>
            <w:noProof/>
          </w:rPr>
          <w:t>7.1</w:t>
        </w:r>
        <w:r>
          <w:rPr>
            <w:rFonts w:asciiTheme="minorHAnsi" w:eastAsiaTheme="minorEastAsia" w:hAnsiTheme="minorHAnsi"/>
            <w:noProof/>
            <w:kern w:val="2"/>
            <w:szCs w:val="24"/>
            <w:lang w:val="en-IE" w:eastAsia="en-IE"/>
            <w14:ligatures w14:val="standardContextual"/>
          </w:rPr>
          <w:tab/>
        </w:r>
        <w:r w:rsidRPr="007E5BE2">
          <w:rPr>
            <w:rStyle w:val="Hyperlink"/>
            <w:noProof/>
          </w:rPr>
          <w:t>Effectiveness</w:t>
        </w:r>
        <w:r>
          <w:rPr>
            <w:noProof/>
            <w:webHidden/>
          </w:rPr>
          <w:tab/>
        </w:r>
        <w:r>
          <w:rPr>
            <w:noProof/>
            <w:webHidden/>
          </w:rPr>
          <w:fldChar w:fldCharType="begin"/>
        </w:r>
        <w:r>
          <w:rPr>
            <w:noProof/>
            <w:webHidden/>
          </w:rPr>
          <w:instrText xml:space="preserve"> PAGEREF _Toc222489991 \h </w:instrText>
        </w:r>
        <w:r>
          <w:rPr>
            <w:noProof/>
            <w:webHidden/>
          </w:rPr>
        </w:r>
        <w:r>
          <w:rPr>
            <w:noProof/>
            <w:webHidden/>
          </w:rPr>
          <w:fldChar w:fldCharType="separate"/>
        </w:r>
        <w:r w:rsidR="002E6B16">
          <w:rPr>
            <w:noProof/>
            <w:webHidden/>
          </w:rPr>
          <w:t>71</w:t>
        </w:r>
        <w:r>
          <w:rPr>
            <w:noProof/>
            <w:webHidden/>
          </w:rPr>
          <w:fldChar w:fldCharType="end"/>
        </w:r>
      </w:hyperlink>
    </w:p>
    <w:p w14:paraId="4888AF4F" w14:textId="48E217A1"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92" w:history="1">
        <w:r w:rsidRPr="007E5BE2">
          <w:rPr>
            <w:rStyle w:val="Hyperlink"/>
            <w:noProof/>
          </w:rPr>
          <w:t>7.2</w:t>
        </w:r>
        <w:r>
          <w:rPr>
            <w:rFonts w:asciiTheme="minorHAnsi" w:eastAsiaTheme="minorEastAsia" w:hAnsiTheme="minorHAnsi"/>
            <w:noProof/>
            <w:kern w:val="2"/>
            <w:szCs w:val="24"/>
            <w:lang w:val="en-IE" w:eastAsia="en-IE"/>
            <w14:ligatures w14:val="standardContextual"/>
          </w:rPr>
          <w:tab/>
        </w:r>
        <w:r w:rsidRPr="007E5BE2">
          <w:rPr>
            <w:rStyle w:val="Hyperlink"/>
            <w:noProof/>
          </w:rPr>
          <w:t>Efficiency</w:t>
        </w:r>
        <w:r>
          <w:rPr>
            <w:noProof/>
            <w:webHidden/>
          </w:rPr>
          <w:tab/>
        </w:r>
        <w:r>
          <w:rPr>
            <w:noProof/>
            <w:webHidden/>
          </w:rPr>
          <w:fldChar w:fldCharType="begin"/>
        </w:r>
        <w:r>
          <w:rPr>
            <w:noProof/>
            <w:webHidden/>
          </w:rPr>
          <w:instrText xml:space="preserve"> PAGEREF _Toc222489992 \h </w:instrText>
        </w:r>
        <w:r>
          <w:rPr>
            <w:noProof/>
            <w:webHidden/>
          </w:rPr>
        </w:r>
        <w:r>
          <w:rPr>
            <w:noProof/>
            <w:webHidden/>
          </w:rPr>
          <w:fldChar w:fldCharType="separate"/>
        </w:r>
        <w:r w:rsidR="002E6B16">
          <w:rPr>
            <w:noProof/>
            <w:webHidden/>
          </w:rPr>
          <w:t>72</w:t>
        </w:r>
        <w:r>
          <w:rPr>
            <w:noProof/>
            <w:webHidden/>
          </w:rPr>
          <w:fldChar w:fldCharType="end"/>
        </w:r>
      </w:hyperlink>
    </w:p>
    <w:p w14:paraId="3EBA46B0" w14:textId="3CCED408"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93" w:history="1">
        <w:r w:rsidRPr="007E5BE2">
          <w:rPr>
            <w:rStyle w:val="Hyperlink"/>
            <w:noProof/>
          </w:rPr>
          <w:t>7.3</w:t>
        </w:r>
        <w:r>
          <w:rPr>
            <w:rFonts w:asciiTheme="minorHAnsi" w:eastAsiaTheme="minorEastAsia" w:hAnsiTheme="minorHAnsi"/>
            <w:noProof/>
            <w:kern w:val="2"/>
            <w:szCs w:val="24"/>
            <w:lang w:val="en-IE" w:eastAsia="en-IE"/>
            <w14:ligatures w14:val="standardContextual"/>
          </w:rPr>
          <w:tab/>
        </w:r>
        <w:r w:rsidRPr="007E5BE2">
          <w:rPr>
            <w:rStyle w:val="Hyperlink"/>
            <w:noProof/>
          </w:rPr>
          <w:t>Coherence</w:t>
        </w:r>
        <w:r>
          <w:rPr>
            <w:noProof/>
            <w:webHidden/>
          </w:rPr>
          <w:tab/>
        </w:r>
        <w:r>
          <w:rPr>
            <w:noProof/>
            <w:webHidden/>
          </w:rPr>
          <w:fldChar w:fldCharType="begin"/>
        </w:r>
        <w:r>
          <w:rPr>
            <w:noProof/>
            <w:webHidden/>
          </w:rPr>
          <w:instrText xml:space="preserve"> PAGEREF _Toc222489993 \h </w:instrText>
        </w:r>
        <w:r>
          <w:rPr>
            <w:noProof/>
            <w:webHidden/>
          </w:rPr>
        </w:r>
        <w:r>
          <w:rPr>
            <w:noProof/>
            <w:webHidden/>
          </w:rPr>
          <w:fldChar w:fldCharType="separate"/>
        </w:r>
        <w:r w:rsidR="002E6B16">
          <w:rPr>
            <w:noProof/>
            <w:webHidden/>
          </w:rPr>
          <w:t>76</w:t>
        </w:r>
        <w:r>
          <w:rPr>
            <w:noProof/>
            <w:webHidden/>
          </w:rPr>
          <w:fldChar w:fldCharType="end"/>
        </w:r>
      </w:hyperlink>
    </w:p>
    <w:p w14:paraId="0B369160" w14:textId="23FB0812"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94" w:history="1">
        <w:r w:rsidRPr="007E5BE2">
          <w:rPr>
            <w:rStyle w:val="Hyperlink"/>
            <w:noProof/>
          </w:rPr>
          <w:t>7.4</w:t>
        </w:r>
        <w:r>
          <w:rPr>
            <w:rFonts w:asciiTheme="minorHAnsi" w:eastAsiaTheme="minorEastAsia" w:hAnsiTheme="minorHAnsi"/>
            <w:noProof/>
            <w:kern w:val="2"/>
            <w:szCs w:val="24"/>
            <w:lang w:val="en-IE" w:eastAsia="en-IE"/>
            <w14:ligatures w14:val="standardContextual"/>
          </w:rPr>
          <w:tab/>
        </w:r>
        <w:r w:rsidRPr="007E5BE2">
          <w:rPr>
            <w:rStyle w:val="Hyperlink"/>
            <w:noProof/>
          </w:rPr>
          <w:t>Proportionality/Subsidiarity</w:t>
        </w:r>
        <w:r>
          <w:rPr>
            <w:noProof/>
            <w:webHidden/>
          </w:rPr>
          <w:tab/>
        </w:r>
        <w:r>
          <w:rPr>
            <w:noProof/>
            <w:webHidden/>
          </w:rPr>
          <w:fldChar w:fldCharType="begin"/>
        </w:r>
        <w:r>
          <w:rPr>
            <w:noProof/>
            <w:webHidden/>
          </w:rPr>
          <w:instrText xml:space="preserve"> PAGEREF _Toc222489994 \h </w:instrText>
        </w:r>
        <w:r>
          <w:rPr>
            <w:noProof/>
            <w:webHidden/>
          </w:rPr>
        </w:r>
        <w:r>
          <w:rPr>
            <w:noProof/>
            <w:webHidden/>
          </w:rPr>
          <w:fldChar w:fldCharType="separate"/>
        </w:r>
        <w:r w:rsidR="002E6B16">
          <w:rPr>
            <w:noProof/>
            <w:webHidden/>
          </w:rPr>
          <w:t>77</w:t>
        </w:r>
        <w:r>
          <w:rPr>
            <w:noProof/>
            <w:webHidden/>
          </w:rPr>
          <w:fldChar w:fldCharType="end"/>
        </w:r>
      </w:hyperlink>
    </w:p>
    <w:p w14:paraId="4773D5A2" w14:textId="58647DCE"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95" w:history="1">
        <w:r w:rsidRPr="007E5BE2">
          <w:rPr>
            <w:rStyle w:val="Hyperlink"/>
            <w:rFonts w:cs="Times New Roman"/>
            <w:b/>
            <w:bCs/>
            <w:noProof/>
          </w:rPr>
          <w:t>8</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noProof/>
          </w:rPr>
          <w:t>Preferred option</w:t>
        </w:r>
        <w:r>
          <w:rPr>
            <w:noProof/>
            <w:webHidden/>
          </w:rPr>
          <w:tab/>
        </w:r>
        <w:r>
          <w:rPr>
            <w:noProof/>
            <w:webHidden/>
          </w:rPr>
          <w:fldChar w:fldCharType="begin"/>
        </w:r>
        <w:r>
          <w:rPr>
            <w:noProof/>
            <w:webHidden/>
          </w:rPr>
          <w:instrText xml:space="preserve"> PAGEREF _Toc222489995 \h </w:instrText>
        </w:r>
        <w:r>
          <w:rPr>
            <w:noProof/>
            <w:webHidden/>
          </w:rPr>
        </w:r>
        <w:r>
          <w:rPr>
            <w:noProof/>
            <w:webHidden/>
          </w:rPr>
          <w:fldChar w:fldCharType="separate"/>
        </w:r>
        <w:r w:rsidR="002E6B16">
          <w:rPr>
            <w:noProof/>
            <w:webHidden/>
          </w:rPr>
          <w:t>79</w:t>
        </w:r>
        <w:r>
          <w:rPr>
            <w:noProof/>
            <w:webHidden/>
          </w:rPr>
          <w:fldChar w:fldCharType="end"/>
        </w:r>
      </w:hyperlink>
    </w:p>
    <w:p w14:paraId="41D785D0" w14:textId="4DADE6C8"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96" w:history="1">
        <w:r w:rsidRPr="007E5BE2">
          <w:rPr>
            <w:rStyle w:val="Hyperlink"/>
            <w:noProof/>
          </w:rPr>
          <w:t>8.1</w:t>
        </w:r>
        <w:r>
          <w:rPr>
            <w:rFonts w:asciiTheme="minorHAnsi" w:eastAsiaTheme="minorEastAsia" w:hAnsiTheme="minorHAnsi"/>
            <w:noProof/>
            <w:kern w:val="2"/>
            <w:szCs w:val="24"/>
            <w:lang w:val="en-IE" w:eastAsia="en-IE"/>
            <w14:ligatures w14:val="standardContextual"/>
          </w:rPr>
          <w:tab/>
        </w:r>
        <w:r w:rsidRPr="007E5BE2">
          <w:rPr>
            <w:rStyle w:val="Hyperlink"/>
            <w:noProof/>
          </w:rPr>
          <w:t>REFIT (simplification and improved efficiency)</w:t>
        </w:r>
        <w:r>
          <w:rPr>
            <w:noProof/>
            <w:webHidden/>
          </w:rPr>
          <w:tab/>
        </w:r>
        <w:r>
          <w:rPr>
            <w:noProof/>
            <w:webHidden/>
          </w:rPr>
          <w:fldChar w:fldCharType="begin"/>
        </w:r>
        <w:r>
          <w:rPr>
            <w:noProof/>
            <w:webHidden/>
          </w:rPr>
          <w:instrText xml:space="preserve"> PAGEREF _Toc222489996 \h </w:instrText>
        </w:r>
        <w:r>
          <w:rPr>
            <w:noProof/>
            <w:webHidden/>
          </w:rPr>
        </w:r>
        <w:r>
          <w:rPr>
            <w:noProof/>
            <w:webHidden/>
          </w:rPr>
          <w:fldChar w:fldCharType="separate"/>
        </w:r>
        <w:r w:rsidR="002E6B16">
          <w:rPr>
            <w:noProof/>
            <w:webHidden/>
          </w:rPr>
          <w:t>79</w:t>
        </w:r>
        <w:r>
          <w:rPr>
            <w:noProof/>
            <w:webHidden/>
          </w:rPr>
          <w:fldChar w:fldCharType="end"/>
        </w:r>
      </w:hyperlink>
    </w:p>
    <w:p w14:paraId="04354DDD" w14:textId="7B70374B" w:rsidR="00F44E1D" w:rsidRDefault="00F44E1D">
      <w:pPr>
        <w:pStyle w:val="TOC2"/>
        <w:tabs>
          <w:tab w:val="left" w:pos="960"/>
          <w:tab w:val="right" w:leader="dot" w:pos="9062"/>
        </w:tabs>
        <w:rPr>
          <w:rFonts w:asciiTheme="minorHAnsi" w:eastAsiaTheme="minorEastAsia" w:hAnsiTheme="minorHAnsi"/>
          <w:noProof/>
          <w:kern w:val="2"/>
          <w:szCs w:val="24"/>
          <w:lang w:val="en-IE" w:eastAsia="en-IE"/>
          <w14:ligatures w14:val="standardContextual"/>
        </w:rPr>
      </w:pPr>
      <w:hyperlink w:anchor="_Toc222489997" w:history="1">
        <w:r w:rsidRPr="007E5BE2">
          <w:rPr>
            <w:rStyle w:val="Hyperlink"/>
            <w:noProof/>
          </w:rPr>
          <w:t>8.2</w:t>
        </w:r>
        <w:r>
          <w:rPr>
            <w:rFonts w:asciiTheme="minorHAnsi" w:eastAsiaTheme="minorEastAsia" w:hAnsiTheme="minorHAnsi"/>
            <w:noProof/>
            <w:kern w:val="2"/>
            <w:szCs w:val="24"/>
            <w:lang w:val="en-IE" w:eastAsia="en-IE"/>
            <w14:ligatures w14:val="standardContextual"/>
          </w:rPr>
          <w:tab/>
        </w:r>
        <w:r w:rsidRPr="007E5BE2">
          <w:rPr>
            <w:rStyle w:val="Hyperlink"/>
            <w:noProof/>
          </w:rPr>
          <w:t>Application of the ‘one in, one out’ approach</w:t>
        </w:r>
        <w:r>
          <w:rPr>
            <w:noProof/>
            <w:webHidden/>
          </w:rPr>
          <w:tab/>
        </w:r>
        <w:r>
          <w:rPr>
            <w:noProof/>
            <w:webHidden/>
          </w:rPr>
          <w:fldChar w:fldCharType="begin"/>
        </w:r>
        <w:r>
          <w:rPr>
            <w:noProof/>
            <w:webHidden/>
          </w:rPr>
          <w:instrText xml:space="preserve"> PAGEREF _Toc222489997 \h </w:instrText>
        </w:r>
        <w:r>
          <w:rPr>
            <w:noProof/>
            <w:webHidden/>
          </w:rPr>
        </w:r>
        <w:r>
          <w:rPr>
            <w:noProof/>
            <w:webHidden/>
          </w:rPr>
          <w:fldChar w:fldCharType="separate"/>
        </w:r>
        <w:r w:rsidR="002E6B16">
          <w:rPr>
            <w:noProof/>
            <w:webHidden/>
          </w:rPr>
          <w:t>80</w:t>
        </w:r>
        <w:r>
          <w:rPr>
            <w:noProof/>
            <w:webHidden/>
          </w:rPr>
          <w:fldChar w:fldCharType="end"/>
        </w:r>
      </w:hyperlink>
    </w:p>
    <w:p w14:paraId="0BF8CDD6" w14:textId="1CFAC041" w:rsidR="00F44E1D" w:rsidRDefault="00F44E1D">
      <w:pPr>
        <w:pStyle w:val="TOC1"/>
        <w:tabs>
          <w:tab w:val="left" w:pos="480"/>
          <w:tab w:val="right" w:leader="dot" w:pos="9062"/>
        </w:tabs>
        <w:rPr>
          <w:rFonts w:asciiTheme="minorHAnsi" w:eastAsiaTheme="minorEastAsia" w:hAnsiTheme="minorHAnsi"/>
          <w:noProof/>
          <w:kern w:val="2"/>
          <w:szCs w:val="24"/>
          <w:lang w:val="en-IE" w:eastAsia="en-IE"/>
          <w14:ligatures w14:val="standardContextual"/>
        </w:rPr>
      </w:pPr>
      <w:hyperlink w:anchor="_Toc222489998" w:history="1">
        <w:r w:rsidRPr="007E5BE2">
          <w:rPr>
            <w:rStyle w:val="Hyperlink"/>
            <w:rFonts w:cs="Times New Roman"/>
            <w:b/>
            <w:bCs/>
            <w:noProof/>
          </w:rPr>
          <w:t>9</w:t>
        </w:r>
        <w:r>
          <w:rPr>
            <w:rFonts w:asciiTheme="minorHAnsi" w:eastAsiaTheme="minorEastAsia" w:hAnsiTheme="minorHAnsi"/>
            <w:noProof/>
            <w:kern w:val="2"/>
            <w:szCs w:val="24"/>
            <w:lang w:val="en-IE" w:eastAsia="en-IE"/>
            <w14:ligatures w14:val="standardContextual"/>
          </w:rPr>
          <w:tab/>
        </w:r>
        <w:r w:rsidRPr="007E5BE2">
          <w:rPr>
            <w:rStyle w:val="Hyperlink"/>
            <w:rFonts w:ascii="Times" w:hAnsi="Times" w:cs="Times"/>
            <w:b/>
            <w:noProof/>
          </w:rPr>
          <w:t>How will actual impacts be monitored and evaluated?</w:t>
        </w:r>
        <w:r>
          <w:rPr>
            <w:noProof/>
            <w:webHidden/>
          </w:rPr>
          <w:tab/>
        </w:r>
        <w:r>
          <w:rPr>
            <w:noProof/>
            <w:webHidden/>
          </w:rPr>
          <w:fldChar w:fldCharType="begin"/>
        </w:r>
        <w:r>
          <w:rPr>
            <w:noProof/>
            <w:webHidden/>
          </w:rPr>
          <w:instrText xml:space="preserve"> PAGEREF _Toc222489998 \h </w:instrText>
        </w:r>
        <w:r>
          <w:rPr>
            <w:noProof/>
            <w:webHidden/>
          </w:rPr>
        </w:r>
        <w:r>
          <w:rPr>
            <w:noProof/>
            <w:webHidden/>
          </w:rPr>
          <w:fldChar w:fldCharType="separate"/>
        </w:r>
        <w:r w:rsidR="002E6B16">
          <w:rPr>
            <w:noProof/>
            <w:webHidden/>
          </w:rPr>
          <w:t>80</w:t>
        </w:r>
        <w:r>
          <w:rPr>
            <w:noProof/>
            <w:webHidden/>
          </w:rPr>
          <w:fldChar w:fldCharType="end"/>
        </w:r>
      </w:hyperlink>
    </w:p>
    <w:p w14:paraId="62FD4735" w14:textId="6D056AC3"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89999" w:history="1">
        <w:r w:rsidRPr="007E5BE2">
          <w:rPr>
            <w:rStyle w:val="Hyperlink"/>
            <w:rFonts w:ascii="Times" w:hAnsi="Times" w:cs="Times"/>
            <w:b/>
            <w:noProof/>
          </w:rPr>
          <w:t>Annex 1: Procedural information</w:t>
        </w:r>
        <w:r>
          <w:rPr>
            <w:noProof/>
            <w:webHidden/>
          </w:rPr>
          <w:tab/>
        </w:r>
        <w:r>
          <w:rPr>
            <w:noProof/>
            <w:webHidden/>
          </w:rPr>
          <w:fldChar w:fldCharType="begin"/>
        </w:r>
        <w:r>
          <w:rPr>
            <w:noProof/>
            <w:webHidden/>
          </w:rPr>
          <w:instrText xml:space="preserve"> PAGEREF _Toc222489999 \h </w:instrText>
        </w:r>
        <w:r>
          <w:rPr>
            <w:noProof/>
            <w:webHidden/>
          </w:rPr>
        </w:r>
        <w:r>
          <w:rPr>
            <w:noProof/>
            <w:webHidden/>
          </w:rPr>
          <w:fldChar w:fldCharType="separate"/>
        </w:r>
        <w:r w:rsidR="002E6B16">
          <w:rPr>
            <w:noProof/>
            <w:webHidden/>
          </w:rPr>
          <w:t>83</w:t>
        </w:r>
        <w:r>
          <w:rPr>
            <w:noProof/>
            <w:webHidden/>
          </w:rPr>
          <w:fldChar w:fldCharType="end"/>
        </w:r>
      </w:hyperlink>
    </w:p>
    <w:p w14:paraId="6D7F0B9E" w14:textId="4C1A5916"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04" w:history="1">
        <w:r w:rsidRPr="007E5BE2">
          <w:rPr>
            <w:rStyle w:val="Hyperlink"/>
            <w:rFonts w:ascii="Times" w:hAnsi="Times" w:cs="Times"/>
            <w:b/>
            <w:noProof/>
          </w:rPr>
          <w:t>Annex 2: Stakeholder consultation (Synopsis report)</w:t>
        </w:r>
        <w:r>
          <w:rPr>
            <w:noProof/>
            <w:webHidden/>
          </w:rPr>
          <w:tab/>
        </w:r>
        <w:r>
          <w:rPr>
            <w:noProof/>
            <w:webHidden/>
          </w:rPr>
          <w:fldChar w:fldCharType="begin"/>
        </w:r>
        <w:r>
          <w:rPr>
            <w:noProof/>
            <w:webHidden/>
          </w:rPr>
          <w:instrText xml:space="preserve"> PAGEREF _Toc222490004 \h </w:instrText>
        </w:r>
        <w:r>
          <w:rPr>
            <w:noProof/>
            <w:webHidden/>
          </w:rPr>
        </w:r>
        <w:r>
          <w:rPr>
            <w:noProof/>
            <w:webHidden/>
          </w:rPr>
          <w:fldChar w:fldCharType="separate"/>
        </w:r>
        <w:r w:rsidR="002E6B16">
          <w:rPr>
            <w:noProof/>
            <w:webHidden/>
          </w:rPr>
          <w:t>94</w:t>
        </w:r>
        <w:r>
          <w:rPr>
            <w:noProof/>
            <w:webHidden/>
          </w:rPr>
          <w:fldChar w:fldCharType="end"/>
        </w:r>
      </w:hyperlink>
    </w:p>
    <w:p w14:paraId="352F00BF" w14:textId="182E73FF"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09" w:history="1">
        <w:r w:rsidRPr="007E5BE2">
          <w:rPr>
            <w:rStyle w:val="Hyperlink"/>
            <w:rFonts w:ascii="Times" w:hAnsi="Times" w:cs="Times"/>
            <w:b/>
            <w:noProof/>
          </w:rPr>
          <w:t>Annex 3: Who is affected and how?</w:t>
        </w:r>
        <w:r>
          <w:rPr>
            <w:noProof/>
            <w:webHidden/>
          </w:rPr>
          <w:tab/>
        </w:r>
        <w:r>
          <w:rPr>
            <w:noProof/>
            <w:webHidden/>
          </w:rPr>
          <w:fldChar w:fldCharType="begin"/>
        </w:r>
        <w:r>
          <w:rPr>
            <w:noProof/>
            <w:webHidden/>
          </w:rPr>
          <w:instrText xml:space="preserve"> PAGEREF _Toc222490009 \h </w:instrText>
        </w:r>
        <w:r>
          <w:rPr>
            <w:noProof/>
            <w:webHidden/>
          </w:rPr>
        </w:r>
        <w:r>
          <w:rPr>
            <w:noProof/>
            <w:webHidden/>
          </w:rPr>
          <w:fldChar w:fldCharType="separate"/>
        </w:r>
        <w:r w:rsidR="002E6B16">
          <w:rPr>
            <w:noProof/>
            <w:webHidden/>
          </w:rPr>
          <w:t>107</w:t>
        </w:r>
        <w:r>
          <w:rPr>
            <w:noProof/>
            <w:webHidden/>
          </w:rPr>
          <w:fldChar w:fldCharType="end"/>
        </w:r>
      </w:hyperlink>
    </w:p>
    <w:p w14:paraId="7B544E27" w14:textId="56E859FF"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13" w:history="1">
        <w:r w:rsidRPr="007E5BE2">
          <w:rPr>
            <w:rStyle w:val="Hyperlink"/>
            <w:rFonts w:ascii="Times" w:hAnsi="Times" w:cs="Times"/>
            <w:b/>
            <w:noProof/>
          </w:rPr>
          <w:t>Annex 4: Analytical method</w:t>
        </w:r>
        <w:r>
          <w:rPr>
            <w:noProof/>
            <w:webHidden/>
          </w:rPr>
          <w:tab/>
        </w:r>
        <w:r>
          <w:rPr>
            <w:noProof/>
            <w:webHidden/>
          </w:rPr>
          <w:fldChar w:fldCharType="begin"/>
        </w:r>
        <w:r>
          <w:rPr>
            <w:noProof/>
            <w:webHidden/>
          </w:rPr>
          <w:instrText xml:space="preserve"> PAGEREF _Toc222490013 \h </w:instrText>
        </w:r>
        <w:r>
          <w:rPr>
            <w:noProof/>
            <w:webHidden/>
          </w:rPr>
        </w:r>
        <w:r>
          <w:rPr>
            <w:noProof/>
            <w:webHidden/>
          </w:rPr>
          <w:fldChar w:fldCharType="separate"/>
        </w:r>
        <w:r w:rsidR="002E6B16">
          <w:rPr>
            <w:noProof/>
            <w:webHidden/>
          </w:rPr>
          <w:t>121</w:t>
        </w:r>
        <w:r>
          <w:rPr>
            <w:noProof/>
            <w:webHidden/>
          </w:rPr>
          <w:fldChar w:fldCharType="end"/>
        </w:r>
      </w:hyperlink>
    </w:p>
    <w:p w14:paraId="499BDE98" w14:textId="362FB867"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26" w:history="1">
        <w:r w:rsidRPr="007E5BE2">
          <w:rPr>
            <w:rStyle w:val="Hyperlink"/>
            <w:rFonts w:ascii="Times" w:hAnsi="Times" w:cs="Times"/>
            <w:b/>
            <w:noProof/>
          </w:rPr>
          <w:t>Annex 5: Competitiveness check</w:t>
        </w:r>
        <w:r>
          <w:rPr>
            <w:noProof/>
            <w:webHidden/>
          </w:rPr>
          <w:tab/>
        </w:r>
        <w:r>
          <w:rPr>
            <w:noProof/>
            <w:webHidden/>
          </w:rPr>
          <w:fldChar w:fldCharType="begin"/>
        </w:r>
        <w:r>
          <w:rPr>
            <w:noProof/>
            <w:webHidden/>
          </w:rPr>
          <w:instrText xml:space="preserve"> PAGEREF _Toc222490026 \h </w:instrText>
        </w:r>
        <w:r>
          <w:rPr>
            <w:noProof/>
            <w:webHidden/>
          </w:rPr>
        </w:r>
        <w:r>
          <w:rPr>
            <w:noProof/>
            <w:webHidden/>
          </w:rPr>
          <w:fldChar w:fldCharType="separate"/>
        </w:r>
        <w:r w:rsidR="002E6B16">
          <w:rPr>
            <w:noProof/>
            <w:webHidden/>
          </w:rPr>
          <w:t>150</w:t>
        </w:r>
        <w:r>
          <w:rPr>
            <w:noProof/>
            <w:webHidden/>
          </w:rPr>
          <w:fldChar w:fldCharType="end"/>
        </w:r>
      </w:hyperlink>
    </w:p>
    <w:p w14:paraId="252F1BAD" w14:textId="4FDBE0E0"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29" w:history="1">
        <w:r w:rsidRPr="007E5BE2">
          <w:rPr>
            <w:rStyle w:val="Hyperlink"/>
            <w:rFonts w:ascii="Times" w:hAnsi="Times" w:cs="Times"/>
            <w:b/>
            <w:noProof/>
          </w:rPr>
          <w:t>Annex 6: SME Check</w:t>
        </w:r>
        <w:r>
          <w:rPr>
            <w:noProof/>
            <w:webHidden/>
          </w:rPr>
          <w:tab/>
        </w:r>
        <w:r>
          <w:rPr>
            <w:noProof/>
            <w:webHidden/>
          </w:rPr>
          <w:fldChar w:fldCharType="begin"/>
        </w:r>
        <w:r>
          <w:rPr>
            <w:noProof/>
            <w:webHidden/>
          </w:rPr>
          <w:instrText xml:space="preserve"> PAGEREF _Toc222490029 \h </w:instrText>
        </w:r>
        <w:r>
          <w:rPr>
            <w:noProof/>
            <w:webHidden/>
          </w:rPr>
        </w:r>
        <w:r>
          <w:rPr>
            <w:noProof/>
            <w:webHidden/>
          </w:rPr>
          <w:fldChar w:fldCharType="separate"/>
        </w:r>
        <w:r w:rsidR="002E6B16">
          <w:rPr>
            <w:noProof/>
            <w:webHidden/>
          </w:rPr>
          <w:t>154</w:t>
        </w:r>
        <w:r>
          <w:rPr>
            <w:noProof/>
            <w:webHidden/>
          </w:rPr>
          <w:fldChar w:fldCharType="end"/>
        </w:r>
      </w:hyperlink>
    </w:p>
    <w:p w14:paraId="1B459504" w14:textId="58D1E534"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30" w:history="1">
        <w:r w:rsidRPr="007E5BE2">
          <w:rPr>
            <w:rStyle w:val="Hyperlink"/>
            <w:rFonts w:ascii="Times" w:hAnsi="Times" w:cs="Times"/>
            <w:b/>
            <w:noProof/>
          </w:rPr>
          <w:t>Annex 7: Sectoral analyses</w:t>
        </w:r>
        <w:r>
          <w:rPr>
            <w:noProof/>
            <w:webHidden/>
          </w:rPr>
          <w:tab/>
        </w:r>
        <w:r>
          <w:rPr>
            <w:noProof/>
            <w:webHidden/>
          </w:rPr>
          <w:fldChar w:fldCharType="begin"/>
        </w:r>
        <w:r>
          <w:rPr>
            <w:noProof/>
            <w:webHidden/>
          </w:rPr>
          <w:instrText xml:space="preserve"> PAGEREF _Toc222490030 \h </w:instrText>
        </w:r>
        <w:r>
          <w:rPr>
            <w:noProof/>
            <w:webHidden/>
          </w:rPr>
        </w:r>
        <w:r>
          <w:rPr>
            <w:noProof/>
            <w:webHidden/>
          </w:rPr>
          <w:fldChar w:fldCharType="separate"/>
        </w:r>
        <w:r w:rsidR="002E6B16">
          <w:rPr>
            <w:noProof/>
            <w:webHidden/>
          </w:rPr>
          <w:t>158</w:t>
        </w:r>
        <w:r>
          <w:rPr>
            <w:noProof/>
            <w:webHidden/>
          </w:rPr>
          <w:fldChar w:fldCharType="end"/>
        </w:r>
      </w:hyperlink>
    </w:p>
    <w:p w14:paraId="3DB42B7D" w14:textId="387D914E"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44" w:history="1">
        <w:r w:rsidRPr="007E5BE2">
          <w:rPr>
            <w:rStyle w:val="Hyperlink"/>
            <w:rFonts w:ascii="Times" w:hAnsi="Times" w:cs="Times"/>
            <w:b/>
            <w:noProof/>
          </w:rPr>
          <w:t>Annex 8: Interplay with other legislation and policies and baseline scenario</w:t>
        </w:r>
        <w:r>
          <w:rPr>
            <w:noProof/>
            <w:webHidden/>
          </w:rPr>
          <w:tab/>
        </w:r>
        <w:r>
          <w:rPr>
            <w:noProof/>
            <w:webHidden/>
          </w:rPr>
          <w:fldChar w:fldCharType="begin"/>
        </w:r>
        <w:r>
          <w:rPr>
            <w:noProof/>
            <w:webHidden/>
          </w:rPr>
          <w:instrText xml:space="preserve"> PAGEREF _Toc222490044 \h </w:instrText>
        </w:r>
        <w:r>
          <w:rPr>
            <w:noProof/>
            <w:webHidden/>
          </w:rPr>
        </w:r>
        <w:r>
          <w:rPr>
            <w:noProof/>
            <w:webHidden/>
          </w:rPr>
          <w:fldChar w:fldCharType="separate"/>
        </w:r>
        <w:r w:rsidR="002E6B16">
          <w:rPr>
            <w:noProof/>
            <w:webHidden/>
          </w:rPr>
          <w:t>184</w:t>
        </w:r>
        <w:r>
          <w:rPr>
            <w:noProof/>
            <w:webHidden/>
          </w:rPr>
          <w:fldChar w:fldCharType="end"/>
        </w:r>
      </w:hyperlink>
    </w:p>
    <w:p w14:paraId="04DDDC7E" w14:textId="1F2B8537"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47" w:history="1">
        <w:r w:rsidRPr="007E5BE2">
          <w:rPr>
            <w:rStyle w:val="Hyperlink"/>
            <w:rFonts w:ascii="Times" w:hAnsi="Times" w:cs="Times"/>
            <w:b/>
            <w:noProof/>
          </w:rPr>
          <w:t>Annex 9: Overview of policy measures</w:t>
        </w:r>
        <w:r>
          <w:rPr>
            <w:noProof/>
            <w:webHidden/>
          </w:rPr>
          <w:tab/>
        </w:r>
        <w:r>
          <w:rPr>
            <w:noProof/>
            <w:webHidden/>
          </w:rPr>
          <w:fldChar w:fldCharType="begin"/>
        </w:r>
        <w:r>
          <w:rPr>
            <w:noProof/>
            <w:webHidden/>
          </w:rPr>
          <w:instrText xml:space="preserve"> PAGEREF _Toc222490047 \h </w:instrText>
        </w:r>
        <w:r>
          <w:rPr>
            <w:noProof/>
            <w:webHidden/>
          </w:rPr>
        </w:r>
        <w:r>
          <w:rPr>
            <w:noProof/>
            <w:webHidden/>
          </w:rPr>
          <w:fldChar w:fldCharType="separate"/>
        </w:r>
        <w:r w:rsidR="002E6B16">
          <w:rPr>
            <w:noProof/>
            <w:webHidden/>
          </w:rPr>
          <w:t>204</w:t>
        </w:r>
        <w:r>
          <w:rPr>
            <w:noProof/>
            <w:webHidden/>
          </w:rPr>
          <w:fldChar w:fldCharType="end"/>
        </w:r>
      </w:hyperlink>
    </w:p>
    <w:p w14:paraId="4E6091CF" w14:textId="460E6F18"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48" w:history="1">
        <w:r w:rsidRPr="007E5BE2">
          <w:rPr>
            <w:rStyle w:val="Hyperlink"/>
            <w:rFonts w:ascii="Times" w:hAnsi="Times" w:cs="Times"/>
            <w:b/>
            <w:noProof/>
          </w:rPr>
          <w:t>Annex 10: Extended information on the problem section</w:t>
        </w:r>
        <w:r>
          <w:rPr>
            <w:noProof/>
            <w:webHidden/>
          </w:rPr>
          <w:tab/>
        </w:r>
        <w:r>
          <w:rPr>
            <w:noProof/>
            <w:webHidden/>
          </w:rPr>
          <w:fldChar w:fldCharType="begin"/>
        </w:r>
        <w:r>
          <w:rPr>
            <w:noProof/>
            <w:webHidden/>
          </w:rPr>
          <w:instrText xml:space="preserve"> PAGEREF _Toc222490048 \h </w:instrText>
        </w:r>
        <w:r>
          <w:rPr>
            <w:noProof/>
            <w:webHidden/>
          </w:rPr>
        </w:r>
        <w:r>
          <w:rPr>
            <w:noProof/>
            <w:webHidden/>
          </w:rPr>
          <w:fldChar w:fldCharType="separate"/>
        </w:r>
        <w:r w:rsidR="002E6B16">
          <w:rPr>
            <w:noProof/>
            <w:webHidden/>
          </w:rPr>
          <w:t>226</w:t>
        </w:r>
        <w:r>
          <w:rPr>
            <w:noProof/>
            <w:webHidden/>
          </w:rPr>
          <w:fldChar w:fldCharType="end"/>
        </w:r>
      </w:hyperlink>
    </w:p>
    <w:p w14:paraId="23AAFEAA" w14:textId="0DD9653D"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51" w:history="1">
        <w:r w:rsidRPr="007E5BE2">
          <w:rPr>
            <w:rStyle w:val="Hyperlink"/>
            <w:rFonts w:ascii="Times" w:hAnsi="Times" w:cs="Times"/>
            <w:b/>
            <w:noProof/>
          </w:rPr>
          <w:t>Annex 11: Extended information on the impacts (Section 6)</w:t>
        </w:r>
        <w:r>
          <w:rPr>
            <w:noProof/>
            <w:webHidden/>
          </w:rPr>
          <w:tab/>
        </w:r>
        <w:r>
          <w:rPr>
            <w:noProof/>
            <w:webHidden/>
          </w:rPr>
          <w:fldChar w:fldCharType="begin"/>
        </w:r>
        <w:r>
          <w:rPr>
            <w:noProof/>
            <w:webHidden/>
          </w:rPr>
          <w:instrText xml:space="preserve"> PAGEREF _Toc222490051 \h </w:instrText>
        </w:r>
        <w:r>
          <w:rPr>
            <w:noProof/>
            <w:webHidden/>
          </w:rPr>
        </w:r>
        <w:r>
          <w:rPr>
            <w:noProof/>
            <w:webHidden/>
          </w:rPr>
          <w:fldChar w:fldCharType="separate"/>
        </w:r>
        <w:r w:rsidR="002E6B16">
          <w:rPr>
            <w:noProof/>
            <w:webHidden/>
          </w:rPr>
          <w:t>240</w:t>
        </w:r>
        <w:r>
          <w:rPr>
            <w:noProof/>
            <w:webHidden/>
          </w:rPr>
          <w:fldChar w:fldCharType="end"/>
        </w:r>
      </w:hyperlink>
    </w:p>
    <w:p w14:paraId="5B829DAF" w14:textId="54F9600E"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55" w:history="1">
        <w:r w:rsidRPr="007E5BE2">
          <w:rPr>
            <w:rStyle w:val="Hyperlink"/>
            <w:rFonts w:ascii="Times" w:hAnsi="Times" w:cs="Times"/>
            <w:b/>
            <w:noProof/>
          </w:rPr>
          <w:t>Annex 12: Development of a low-carbon product label for steel</w:t>
        </w:r>
        <w:r>
          <w:rPr>
            <w:noProof/>
            <w:webHidden/>
          </w:rPr>
          <w:tab/>
        </w:r>
        <w:r>
          <w:rPr>
            <w:noProof/>
            <w:webHidden/>
          </w:rPr>
          <w:fldChar w:fldCharType="begin"/>
        </w:r>
        <w:r>
          <w:rPr>
            <w:noProof/>
            <w:webHidden/>
          </w:rPr>
          <w:instrText xml:space="preserve"> PAGEREF _Toc222490055 \h </w:instrText>
        </w:r>
        <w:r>
          <w:rPr>
            <w:noProof/>
            <w:webHidden/>
          </w:rPr>
        </w:r>
        <w:r>
          <w:rPr>
            <w:noProof/>
            <w:webHidden/>
          </w:rPr>
          <w:fldChar w:fldCharType="separate"/>
        </w:r>
        <w:r w:rsidR="002E6B16">
          <w:rPr>
            <w:noProof/>
            <w:webHidden/>
          </w:rPr>
          <w:t>254</w:t>
        </w:r>
        <w:r>
          <w:rPr>
            <w:noProof/>
            <w:webHidden/>
          </w:rPr>
          <w:fldChar w:fldCharType="end"/>
        </w:r>
      </w:hyperlink>
    </w:p>
    <w:p w14:paraId="449D3303" w14:textId="3C9AB3F6"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66" w:history="1">
        <w:r w:rsidRPr="007E5BE2">
          <w:rPr>
            <w:rStyle w:val="Hyperlink"/>
            <w:rFonts w:ascii="Times" w:hAnsi="Times" w:cs="Times"/>
            <w:b/>
            <w:noProof/>
          </w:rPr>
          <w:t>Annex 13: Overview of third countries conditionalities for FDI</w:t>
        </w:r>
        <w:r>
          <w:rPr>
            <w:noProof/>
            <w:webHidden/>
          </w:rPr>
          <w:tab/>
        </w:r>
        <w:r>
          <w:rPr>
            <w:noProof/>
            <w:webHidden/>
          </w:rPr>
          <w:fldChar w:fldCharType="begin"/>
        </w:r>
        <w:r>
          <w:rPr>
            <w:noProof/>
            <w:webHidden/>
          </w:rPr>
          <w:instrText xml:space="preserve"> PAGEREF _Toc222490066 \h </w:instrText>
        </w:r>
        <w:r>
          <w:rPr>
            <w:noProof/>
            <w:webHidden/>
          </w:rPr>
        </w:r>
        <w:r>
          <w:rPr>
            <w:noProof/>
            <w:webHidden/>
          </w:rPr>
          <w:fldChar w:fldCharType="separate"/>
        </w:r>
        <w:r w:rsidR="002E6B16">
          <w:rPr>
            <w:noProof/>
            <w:webHidden/>
          </w:rPr>
          <w:t>274</w:t>
        </w:r>
        <w:r>
          <w:rPr>
            <w:noProof/>
            <w:webHidden/>
          </w:rPr>
          <w:fldChar w:fldCharType="end"/>
        </w:r>
      </w:hyperlink>
    </w:p>
    <w:p w14:paraId="5DBAE2D7" w14:textId="1416AEEA"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67" w:history="1">
        <w:r w:rsidRPr="007E5BE2">
          <w:rPr>
            <w:rStyle w:val="Hyperlink"/>
            <w:rFonts w:ascii="Times" w:hAnsi="Times" w:cs="Times"/>
            <w:b/>
            <w:noProof/>
          </w:rPr>
          <w:t>Annex 14: Extended information on the scenarios in the LEAD_VC cost absorption</w:t>
        </w:r>
        <w:r>
          <w:rPr>
            <w:noProof/>
            <w:webHidden/>
          </w:rPr>
          <w:tab/>
        </w:r>
        <w:r>
          <w:rPr>
            <w:noProof/>
            <w:webHidden/>
          </w:rPr>
          <w:fldChar w:fldCharType="begin"/>
        </w:r>
        <w:r>
          <w:rPr>
            <w:noProof/>
            <w:webHidden/>
          </w:rPr>
          <w:instrText xml:space="preserve"> PAGEREF _Toc222490067 \h </w:instrText>
        </w:r>
        <w:r>
          <w:rPr>
            <w:noProof/>
            <w:webHidden/>
          </w:rPr>
        </w:r>
        <w:r>
          <w:rPr>
            <w:noProof/>
            <w:webHidden/>
          </w:rPr>
          <w:fldChar w:fldCharType="separate"/>
        </w:r>
        <w:r w:rsidR="002E6B16">
          <w:rPr>
            <w:noProof/>
            <w:webHidden/>
          </w:rPr>
          <w:t>276</w:t>
        </w:r>
        <w:r>
          <w:rPr>
            <w:noProof/>
            <w:webHidden/>
          </w:rPr>
          <w:fldChar w:fldCharType="end"/>
        </w:r>
      </w:hyperlink>
    </w:p>
    <w:p w14:paraId="659D2965" w14:textId="357FAF24"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68" w:history="1">
        <w:r w:rsidRPr="007E5BE2">
          <w:rPr>
            <w:rStyle w:val="Hyperlink"/>
            <w:rFonts w:ascii="Times" w:hAnsi="Times" w:cs="Times"/>
            <w:b/>
            <w:noProof/>
          </w:rPr>
          <w:t>Annex 15: Sensitivity analysis: costs and benefits</w:t>
        </w:r>
        <w:r>
          <w:rPr>
            <w:noProof/>
            <w:webHidden/>
          </w:rPr>
          <w:tab/>
        </w:r>
        <w:r>
          <w:rPr>
            <w:noProof/>
            <w:webHidden/>
          </w:rPr>
          <w:fldChar w:fldCharType="begin"/>
        </w:r>
        <w:r>
          <w:rPr>
            <w:noProof/>
            <w:webHidden/>
          </w:rPr>
          <w:instrText xml:space="preserve"> PAGEREF _Toc222490068 \h </w:instrText>
        </w:r>
        <w:r>
          <w:rPr>
            <w:noProof/>
            <w:webHidden/>
          </w:rPr>
        </w:r>
        <w:r>
          <w:rPr>
            <w:noProof/>
            <w:webHidden/>
          </w:rPr>
          <w:fldChar w:fldCharType="separate"/>
        </w:r>
        <w:r w:rsidR="002E6B16">
          <w:rPr>
            <w:noProof/>
            <w:webHidden/>
          </w:rPr>
          <w:t>282</w:t>
        </w:r>
        <w:r>
          <w:rPr>
            <w:noProof/>
            <w:webHidden/>
          </w:rPr>
          <w:fldChar w:fldCharType="end"/>
        </w:r>
      </w:hyperlink>
    </w:p>
    <w:p w14:paraId="1836F2BA" w14:textId="3FB2DB62" w:rsidR="00F44E1D" w:rsidRDefault="00F44E1D">
      <w:pPr>
        <w:pStyle w:val="TOC1"/>
        <w:tabs>
          <w:tab w:val="right" w:leader="dot" w:pos="9062"/>
        </w:tabs>
        <w:rPr>
          <w:rFonts w:asciiTheme="minorHAnsi" w:eastAsiaTheme="minorEastAsia" w:hAnsiTheme="minorHAnsi"/>
          <w:noProof/>
          <w:kern w:val="2"/>
          <w:szCs w:val="24"/>
          <w:lang w:val="en-IE" w:eastAsia="en-IE"/>
          <w14:ligatures w14:val="standardContextual"/>
        </w:rPr>
      </w:pPr>
      <w:hyperlink w:anchor="_Toc222490072" w:history="1">
        <w:r w:rsidRPr="007E5BE2">
          <w:rPr>
            <w:rStyle w:val="Hyperlink"/>
            <w:rFonts w:cs="Times New Roman"/>
            <w:b/>
            <w:bCs/>
            <w:noProof/>
          </w:rPr>
          <w:t>Annex 16: Net-Zero Technologies</w:t>
        </w:r>
        <w:r>
          <w:rPr>
            <w:noProof/>
            <w:webHidden/>
          </w:rPr>
          <w:tab/>
        </w:r>
        <w:r>
          <w:rPr>
            <w:noProof/>
            <w:webHidden/>
          </w:rPr>
          <w:fldChar w:fldCharType="begin"/>
        </w:r>
        <w:r>
          <w:rPr>
            <w:noProof/>
            <w:webHidden/>
          </w:rPr>
          <w:instrText xml:space="preserve"> PAGEREF _Toc222490072 \h </w:instrText>
        </w:r>
        <w:r>
          <w:rPr>
            <w:noProof/>
            <w:webHidden/>
          </w:rPr>
        </w:r>
        <w:r>
          <w:rPr>
            <w:noProof/>
            <w:webHidden/>
          </w:rPr>
          <w:fldChar w:fldCharType="separate"/>
        </w:r>
        <w:r w:rsidR="002E6B16">
          <w:rPr>
            <w:noProof/>
            <w:webHidden/>
          </w:rPr>
          <w:t>290</w:t>
        </w:r>
        <w:r>
          <w:rPr>
            <w:noProof/>
            <w:webHidden/>
          </w:rPr>
          <w:fldChar w:fldCharType="end"/>
        </w:r>
      </w:hyperlink>
    </w:p>
    <w:p w14:paraId="407294A8" w14:textId="19D3206F" w:rsidR="00285741" w:rsidRDefault="00F44E1D">
      <w:pPr>
        <w:spacing w:after="120"/>
        <w:rPr>
          <w:rFonts w:eastAsia="Times New Roman"/>
          <w:b/>
          <w:noProof/>
          <w:color w:val="000000" w:themeColor="text1"/>
        </w:rPr>
      </w:pPr>
      <w:r>
        <w:rPr>
          <w:noProof/>
        </w:rPr>
        <w:fldChar w:fldCharType="end"/>
      </w:r>
      <w:r w:rsidR="00285741" w:rsidRPr="00F92EAE">
        <w:rPr>
          <w:noProof/>
        </w:rPr>
        <w:br w:type="page"/>
      </w:r>
      <w:r w:rsidR="00285741" w:rsidRPr="00415F90">
        <w:rPr>
          <w:rFonts w:eastAsia="Times New Roman"/>
          <w:b/>
          <w:noProof/>
          <w:color w:val="000000" w:themeColor="text1"/>
        </w:rPr>
        <w:lastRenderedPageBreak/>
        <w:t>Glossary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5"/>
        <w:gridCol w:w="6697"/>
      </w:tblGrid>
      <w:tr w:rsidR="00147EF7" w:rsidRPr="00AE031C" w14:paraId="1B8947C7" w14:textId="77777777">
        <w:trPr>
          <w:trHeight w:val="20"/>
        </w:trPr>
        <w:tc>
          <w:tcPr>
            <w:tcW w:w="1305" w:type="pct"/>
            <w:shd w:val="clear" w:color="auto" w:fill="F2F2F2" w:themeFill="background1" w:themeFillShade="F2"/>
            <w:vAlign w:val="center"/>
            <w:hideMark/>
          </w:tcPr>
          <w:p w14:paraId="19057019" w14:textId="77777777" w:rsidR="00147EF7" w:rsidRPr="000272AD" w:rsidRDefault="00147EF7">
            <w:pPr>
              <w:jc w:val="left"/>
              <w:rPr>
                <w:rFonts w:eastAsia="Times New Roman"/>
                <w:noProof/>
                <w:color w:val="000000"/>
                <w:lang w:eastAsia="en-IE"/>
              </w:rPr>
            </w:pPr>
            <w:r w:rsidRPr="00AE031C">
              <w:rPr>
                <w:rFonts w:eastAsia="Times New Roman"/>
                <w:noProof/>
                <w:color w:val="000000"/>
                <w:lang w:eastAsia="en-IE"/>
              </w:rPr>
              <w:t>Term or acronym</w:t>
            </w:r>
          </w:p>
        </w:tc>
        <w:tc>
          <w:tcPr>
            <w:tcW w:w="3695" w:type="pct"/>
            <w:shd w:val="clear" w:color="auto" w:fill="F2F2F2" w:themeFill="background1" w:themeFillShade="F2"/>
            <w:vAlign w:val="center"/>
            <w:hideMark/>
          </w:tcPr>
          <w:p w14:paraId="00AA2CE7" w14:textId="77777777" w:rsidR="00147EF7" w:rsidRPr="000272AD" w:rsidRDefault="00147EF7">
            <w:pPr>
              <w:jc w:val="left"/>
              <w:rPr>
                <w:rFonts w:eastAsia="Times New Roman"/>
                <w:noProof/>
                <w:color w:val="000000"/>
                <w:lang w:eastAsia="en-IE"/>
              </w:rPr>
            </w:pPr>
            <w:r w:rsidRPr="00275C97">
              <w:rPr>
                <w:noProof/>
                <w:color w:val="000000"/>
              </w:rPr>
              <w:t>Meaning</w:t>
            </w:r>
            <w:r w:rsidRPr="00D840D5">
              <w:rPr>
                <w:noProof/>
                <w:color w:val="000000"/>
              </w:rPr>
              <w:t xml:space="preserve"> or definition</w:t>
            </w:r>
          </w:p>
        </w:tc>
      </w:tr>
      <w:tr w:rsidR="00147EF7" w:rsidRPr="00AE031C" w14:paraId="34EF638D" w14:textId="77777777">
        <w:trPr>
          <w:trHeight w:val="20"/>
        </w:trPr>
        <w:tc>
          <w:tcPr>
            <w:tcW w:w="1305" w:type="pct"/>
            <w:vAlign w:val="center"/>
            <w:hideMark/>
          </w:tcPr>
          <w:p w14:paraId="7C93570F"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B2B</w:t>
            </w:r>
          </w:p>
        </w:tc>
        <w:tc>
          <w:tcPr>
            <w:tcW w:w="3695" w:type="pct"/>
            <w:vAlign w:val="center"/>
            <w:hideMark/>
          </w:tcPr>
          <w:p w14:paraId="3B7FE7E1"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Business to business</w:t>
            </w:r>
          </w:p>
        </w:tc>
      </w:tr>
      <w:tr w:rsidR="00147EF7" w:rsidRPr="00AE031C" w14:paraId="4899A6C4" w14:textId="77777777">
        <w:trPr>
          <w:trHeight w:val="20"/>
        </w:trPr>
        <w:tc>
          <w:tcPr>
            <w:tcW w:w="1305" w:type="pct"/>
            <w:vAlign w:val="center"/>
            <w:hideMark/>
          </w:tcPr>
          <w:p w14:paraId="5ECAF6A1"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BESS</w:t>
            </w:r>
          </w:p>
        </w:tc>
        <w:tc>
          <w:tcPr>
            <w:tcW w:w="3695" w:type="pct"/>
            <w:vAlign w:val="center"/>
            <w:hideMark/>
          </w:tcPr>
          <w:p w14:paraId="2B647999"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Battery Energy Storage System</w:t>
            </w:r>
          </w:p>
        </w:tc>
      </w:tr>
      <w:tr w:rsidR="00147EF7" w:rsidRPr="00AE031C" w14:paraId="003FBF1D" w14:textId="77777777">
        <w:trPr>
          <w:trHeight w:val="20"/>
        </w:trPr>
        <w:tc>
          <w:tcPr>
            <w:tcW w:w="1305" w:type="pct"/>
            <w:vAlign w:val="center"/>
          </w:tcPr>
          <w:p w14:paraId="499F9248" w14:textId="77777777" w:rsidR="00147EF7" w:rsidRPr="00AE031C" w:rsidRDefault="00147EF7">
            <w:pPr>
              <w:rPr>
                <w:rFonts w:eastAsia="Times New Roman"/>
                <w:noProof/>
                <w:color w:val="000000"/>
                <w:lang w:eastAsia="en-GB"/>
              </w:rPr>
            </w:pPr>
            <w:r>
              <w:rPr>
                <w:rFonts w:eastAsia="Times New Roman"/>
                <w:noProof/>
                <w:color w:val="000000"/>
                <w:lang w:eastAsia="en-GB"/>
              </w:rPr>
              <w:t>BF-BOF</w:t>
            </w:r>
          </w:p>
        </w:tc>
        <w:tc>
          <w:tcPr>
            <w:tcW w:w="3695" w:type="pct"/>
            <w:vAlign w:val="center"/>
          </w:tcPr>
          <w:p w14:paraId="09BBAF46" w14:textId="77777777" w:rsidR="00147EF7" w:rsidRPr="00AE031C" w:rsidRDefault="00147EF7">
            <w:pPr>
              <w:rPr>
                <w:rFonts w:eastAsia="Times New Roman"/>
                <w:noProof/>
                <w:color w:val="000000"/>
                <w:lang w:eastAsia="en-GB"/>
              </w:rPr>
            </w:pPr>
            <w:r>
              <w:rPr>
                <w:rFonts w:eastAsia="Times New Roman"/>
                <w:noProof/>
                <w:color w:val="000000"/>
                <w:lang w:eastAsia="en-GB"/>
              </w:rPr>
              <w:t>Blast Furnace – Basic Oxygen Furnace</w:t>
            </w:r>
          </w:p>
        </w:tc>
      </w:tr>
      <w:tr w:rsidR="00147EF7" w:rsidRPr="00AE031C" w14:paraId="2D9D508B" w14:textId="77777777">
        <w:trPr>
          <w:trHeight w:val="20"/>
        </w:trPr>
        <w:tc>
          <w:tcPr>
            <w:tcW w:w="1305" w:type="pct"/>
            <w:vAlign w:val="center"/>
            <w:hideMark/>
          </w:tcPr>
          <w:p w14:paraId="2893753B"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CBAM</w:t>
            </w:r>
          </w:p>
        </w:tc>
        <w:tc>
          <w:tcPr>
            <w:tcW w:w="3695" w:type="pct"/>
            <w:vAlign w:val="center"/>
            <w:hideMark/>
          </w:tcPr>
          <w:p w14:paraId="3C052D08"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Carbon Border Adjustment Mechanism</w:t>
            </w:r>
          </w:p>
        </w:tc>
      </w:tr>
      <w:tr w:rsidR="00147EF7" w:rsidRPr="00AE031C" w14:paraId="5CCDC6F2" w14:textId="77777777">
        <w:trPr>
          <w:trHeight w:val="20"/>
        </w:trPr>
        <w:tc>
          <w:tcPr>
            <w:tcW w:w="1305" w:type="pct"/>
            <w:vAlign w:val="center"/>
            <w:hideMark/>
          </w:tcPr>
          <w:p w14:paraId="0727A6A9"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CCS</w:t>
            </w:r>
          </w:p>
        </w:tc>
        <w:tc>
          <w:tcPr>
            <w:tcW w:w="3695" w:type="pct"/>
            <w:vAlign w:val="center"/>
            <w:hideMark/>
          </w:tcPr>
          <w:p w14:paraId="173163C9"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Carbon Capture and Storage</w:t>
            </w:r>
          </w:p>
        </w:tc>
      </w:tr>
      <w:tr w:rsidR="00147EF7" w:rsidRPr="00AE031C" w14:paraId="0327BC31" w14:textId="77777777">
        <w:trPr>
          <w:trHeight w:val="20"/>
        </w:trPr>
        <w:tc>
          <w:tcPr>
            <w:tcW w:w="1305" w:type="pct"/>
            <w:vAlign w:val="center"/>
            <w:hideMark/>
          </w:tcPr>
          <w:p w14:paraId="5D562334"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CPR</w:t>
            </w:r>
          </w:p>
        </w:tc>
        <w:tc>
          <w:tcPr>
            <w:tcW w:w="3695" w:type="pct"/>
            <w:vAlign w:val="center"/>
            <w:hideMark/>
          </w:tcPr>
          <w:p w14:paraId="4C91744E"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Construction Products Regulation</w:t>
            </w:r>
          </w:p>
        </w:tc>
      </w:tr>
      <w:tr w:rsidR="00147EF7" w:rsidRPr="00AE031C" w14:paraId="79DC7765" w14:textId="77777777">
        <w:trPr>
          <w:trHeight w:val="20"/>
        </w:trPr>
        <w:tc>
          <w:tcPr>
            <w:tcW w:w="1305" w:type="pct"/>
            <w:vAlign w:val="center"/>
            <w:hideMark/>
          </w:tcPr>
          <w:p w14:paraId="266B4DD6"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CRMA</w:t>
            </w:r>
          </w:p>
        </w:tc>
        <w:tc>
          <w:tcPr>
            <w:tcW w:w="3695" w:type="pct"/>
            <w:vAlign w:val="center"/>
            <w:hideMark/>
          </w:tcPr>
          <w:p w14:paraId="7D95E0C2"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Critical Raw Materials Act</w:t>
            </w:r>
          </w:p>
        </w:tc>
      </w:tr>
      <w:tr w:rsidR="00147EF7" w:rsidRPr="00AE031C" w14:paraId="4AD4D96D" w14:textId="77777777">
        <w:trPr>
          <w:trHeight w:val="20"/>
        </w:trPr>
        <w:tc>
          <w:tcPr>
            <w:tcW w:w="1305" w:type="pct"/>
            <w:vAlign w:val="center"/>
            <w:hideMark/>
          </w:tcPr>
          <w:p w14:paraId="19DD66E3"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DSO</w:t>
            </w:r>
          </w:p>
        </w:tc>
        <w:tc>
          <w:tcPr>
            <w:tcW w:w="3695" w:type="pct"/>
            <w:vAlign w:val="center"/>
            <w:hideMark/>
          </w:tcPr>
          <w:p w14:paraId="5DC0DC6B"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Distribution System Operator</w:t>
            </w:r>
          </w:p>
        </w:tc>
      </w:tr>
      <w:tr w:rsidR="00147EF7" w:rsidRPr="00AE031C" w14:paraId="4D764226" w14:textId="77777777">
        <w:trPr>
          <w:trHeight w:val="20"/>
        </w:trPr>
        <w:tc>
          <w:tcPr>
            <w:tcW w:w="1305" w:type="pct"/>
            <w:vAlign w:val="center"/>
            <w:hideMark/>
          </w:tcPr>
          <w:p w14:paraId="62A5FB4B"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EIA</w:t>
            </w:r>
          </w:p>
        </w:tc>
        <w:tc>
          <w:tcPr>
            <w:tcW w:w="3695" w:type="pct"/>
            <w:vAlign w:val="center"/>
            <w:hideMark/>
          </w:tcPr>
          <w:p w14:paraId="14A65E24"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 xml:space="preserve">Environmental Impact Assessment </w:t>
            </w:r>
          </w:p>
        </w:tc>
      </w:tr>
      <w:tr w:rsidR="00147EF7" w:rsidRPr="00AE031C" w14:paraId="0FB46E1C" w14:textId="77777777">
        <w:trPr>
          <w:trHeight w:val="20"/>
        </w:trPr>
        <w:tc>
          <w:tcPr>
            <w:tcW w:w="1305" w:type="pct"/>
            <w:vAlign w:val="center"/>
            <w:hideMark/>
          </w:tcPr>
          <w:p w14:paraId="4CD4990D"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EIIs</w:t>
            </w:r>
          </w:p>
        </w:tc>
        <w:tc>
          <w:tcPr>
            <w:tcW w:w="3695" w:type="pct"/>
            <w:vAlign w:val="center"/>
            <w:hideMark/>
          </w:tcPr>
          <w:p w14:paraId="13005B1F"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 xml:space="preserve">Energy Intensive Industries </w:t>
            </w:r>
          </w:p>
        </w:tc>
      </w:tr>
      <w:tr w:rsidR="00147EF7" w:rsidRPr="00AE031C" w14:paraId="0ADC8B88" w14:textId="77777777">
        <w:trPr>
          <w:trHeight w:val="20"/>
        </w:trPr>
        <w:tc>
          <w:tcPr>
            <w:tcW w:w="1305" w:type="pct"/>
            <w:vAlign w:val="center"/>
            <w:hideMark/>
          </w:tcPr>
          <w:p w14:paraId="17F0E458"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EPBD</w:t>
            </w:r>
          </w:p>
        </w:tc>
        <w:tc>
          <w:tcPr>
            <w:tcW w:w="3695" w:type="pct"/>
            <w:vAlign w:val="center"/>
            <w:hideMark/>
          </w:tcPr>
          <w:p w14:paraId="0F74B1FA"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Energy Performance of Buildings Directive</w:t>
            </w:r>
          </w:p>
        </w:tc>
      </w:tr>
      <w:tr w:rsidR="00147EF7" w:rsidRPr="00AE031C" w14:paraId="27CF86D5" w14:textId="77777777">
        <w:trPr>
          <w:trHeight w:val="20"/>
        </w:trPr>
        <w:tc>
          <w:tcPr>
            <w:tcW w:w="1305" w:type="pct"/>
            <w:vAlign w:val="center"/>
            <w:hideMark/>
          </w:tcPr>
          <w:p w14:paraId="49E18D5D"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ESPR</w:t>
            </w:r>
          </w:p>
        </w:tc>
        <w:tc>
          <w:tcPr>
            <w:tcW w:w="3695" w:type="pct"/>
            <w:vAlign w:val="center"/>
            <w:hideMark/>
          </w:tcPr>
          <w:p w14:paraId="6CF90206"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Ecodesign for Sustainable Products Regulation</w:t>
            </w:r>
          </w:p>
        </w:tc>
      </w:tr>
      <w:tr w:rsidR="00147EF7" w:rsidRPr="00AE031C" w14:paraId="1333EC28" w14:textId="77777777">
        <w:trPr>
          <w:trHeight w:val="20"/>
        </w:trPr>
        <w:tc>
          <w:tcPr>
            <w:tcW w:w="1305" w:type="pct"/>
            <w:vAlign w:val="center"/>
            <w:hideMark/>
          </w:tcPr>
          <w:p w14:paraId="5F746D86"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ETS</w:t>
            </w:r>
          </w:p>
        </w:tc>
        <w:tc>
          <w:tcPr>
            <w:tcW w:w="3695" w:type="pct"/>
            <w:vAlign w:val="center"/>
            <w:hideMark/>
          </w:tcPr>
          <w:p w14:paraId="109A86D9"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Emission Trading System</w:t>
            </w:r>
          </w:p>
        </w:tc>
      </w:tr>
      <w:tr w:rsidR="00147EF7" w:rsidRPr="00AE031C" w14:paraId="4A7BE2F5" w14:textId="77777777">
        <w:trPr>
          <w:trHeight w:val="20"/>
        </w:trPr>
        <w:tc>
          <w:tcPr>
            <w:tcW w:w="1305" w:type="pct"/>
            <w:vAlign w:val="center"/>
            <w:hideMark/>
          </w:tcPr>
          <w:p w14:paraId="49F76C49"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EU</w:t>
            </w:r>
          </w:p>
        </w:tc>
        <w:tc>
          <w:tcPr>
            <w:tcW w:w="3695" w:type="pct"/>
            <w:vAlign w:val="center"/>
            <w:hideMark/>
          </w:tcPr>
          <w:p w14:paraId="3401F760"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European Union</w:t>
            </w:r>
          </w:p>
        </w:tc>
      </w:tr>
      <w:tr w:rsidR="00147EF7" w:rsidRPr="00AE031C" w14:paraId="52624202" w14:textId="77777777">
        <w:trPr>
          <w:trHeight w:val="20"/>
        </w:trPr>
        <w:tc>
          <w:tcPr>
            <w:tcW w:w="1305" w:type="pct"/>
            <w:vAlign w:val="center"/>
            <w:hideMark/>
          </w:tcPr>
          <w:p w14:paraId="0DBEBCFB" w14:textId="77777777" w:rsidR="00147EF7" w:rsidRPr="000272AD" w:rsidRDefault="00147EF7">
            <w:pPr>
              <w:rPr>
                <w:rFonts w:eastAsia="Times New Roman"/>
                <w:noProof/>
                <w:color w:val="000000"/>
                <w:lang w:eastAsia="en-IE"/>
              </w:rPr>
            </w:pPr>
            <w:r w:rsidRPr="772D45AF">
              <w:rPr>
                <w:rFonts w:eastAsia="Times New Roman"/>
                <w:noProof/>
                <w:color w:val="000000" w:themeColor="text1"/>
                <w:lang w:eastAsia="en-GB"/>
              </w:rPr>
              <w:t>EVs</w:t>
            </w:r>
          </w:p>
        </w:tc>
        <w:tc>
          <w:tcPr>
            <w:tcW w:w="3695" w:type="pct"/>
            <w:vAlign w:val="center"/>
            <w:hideMark/>
          </w:tcPr>
          <w:p w14:paraId="696492D7"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Electric Vehicle</w:t>
            </w:r>
            <w:r>
              <w:rPr>
                <w:rFonts w:eastAsia="Times New Roman"/>
                <w:noProof/>
                <w:color w:val="000000"/>
                <w:lang w:eastAsia="en-GB"/>
              </w:rPr>
              <w:t>s</w:t>
            </w:r>
          </w:p>
        </w:tc>
      </w:tr>
      <w:tr w:rsidR="00147EF7" w:rsidRPr="00AE031C" w14:paraId="03D1FE56" w14:textId="77777777">
        <w:trPr>
          <w:trHeight w:val="20"/>
        </w:trPr>
        <w:tc>
          <w:tcPr>
            <w:tcW w:w="1305" w:type="pct"/>
            <w:vAlign w:val="center"/>
            <w:hideMark/>
          </w:tcPr>
          <w:p w14:paraId="1E8B22E4"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FDI</w:t>
            </w:r>
          </w:p>
        </w:tc>
        <w:tc>
          <w:tcPr>
            <w:tcW w:w="3695" w:type="pct"/>
            <w:vAlign w:val="center"/>
            <w:hideMark/>
          </w:tcPr>
          <w:p w14:paraId="5AC64856"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Foreign Direct Investment</w:t>
            </w:r>
          </w:p>
        </w:tc>
      </w:tr>
      <w:tr w:rsidR="00147EF7" w:rsidRPr="00AE031C" w14:paraId="0803B159" w14:textId="77777777">
        <w:trPr>
          <w:trHeight w:val="20"/>
        </w:trPr>
        <w:tc>
          <w:tcPr>
            <w:tcW w:w="1305" w:type="pct"/>
            <w:vAlign w:val="center"/>
          </w:tcPr>
          <w:p w14:paraId="2A16DCB8" w14:textId="77777777" w:rsidR="00147EF7" w:rsidRPr="00AE031C" w:rsidRDefault="00147EF7">
            <w:pPr>
              <w:rPr>
                <w:rFonts w:eastAsia="Times New Roman"/>
                <w:noProof/>
                <w:color w:val="000000"/>
                <w:lang w:eastAsia="en-GB"/>
              </w:rPr>
            </w:pPr>
            <w:r w:rsidRPr="0C7680F6">
              <w:rPr>
                <w:rFonts w:eastAsia="Times New Roman"/>
                <w:noProof/>
                <w:color w:val="000000" w:themeColor="text1"/>
                <w:lang w:eastAsia="en-GB"/>
              </w:rPr>
              <w:t>FID</w:t>
            </w:r>
          </w:p>
        </w:tc>
        <w:tc>
          <w:tcPr>
            <w:tcW w:w="3695" w:type="pct"/>
            <w:vAlign w:val="center"/>
          </w:tcPr>
          <w:p w14:paraId="4A1E5084" w14:textId="77777777" w:rsidR="00147EF7" w:rsidRPr="00AE031C" w:rsidRDefault="00147EF7">
            <w:pPr>
              <w:rPr>
                <w:rFonts w:eastAsia="Times New Roman"/>
                <w:noProof/>
                <w:color w:val="000000"/>
                <w:lang w:eastAsia="en-GB"/>
              </w:rPr>
            </w:pPr>
            <w:r w:rsidRPr="0C7680F6">
              <w:rPr>
                <w:rFonts w:eastAsia="Times New Roman"/>
                <w:noProof/>
                <w:color w:val="000000" w:themeColor="text1"/>
                <w:lang w:eastAsia="en-GB"/>
              </w:rPr>
              <w:t>Final Investment Decision</w:t>
            </w:r>
          </w:p>
        </w:tc>
      </w:tr>
      <w:tr w:rsidR="00147EF7" w:rsidRPr="00AE031C" w14:paraId="5BAD6B59" w14:textId="77777777">
        <w:trPr>
          <w:trHeight w:val="20"/>
        </w:trPr>
        <w:tc>
          <w:tcPr>
            <w:tcW w:w="1305" w:type="pct"/>
            <w:vAlign w:val="center"/>
            <w:hideMark/>
          </w:tcPr>
          <w:p w14:paraId="10B74B32"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FTA</w:t>
            </w:r>
          </w:p>
        </w:tc>
        <w:tc>
          <w:tcPr>
            <w:tcW w:w="3695" w:type="pct"/>
            <w:vAlign w:val="center"/>
            <w:hideMark/>
          </w:tcPr>
          <w:p w14:paraId="62CC88EA"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Free Trade Agreement</w:t>
            </w:r>
          </w:p>
        </w:tc>
      </w:tr>
      <w:tr w:rsidR="00147EF7" w:rsidRPr="00AE031C" w14:paraId="349ED425" w14:textId="77777777">
        <w:trPr>
          <w:trHeight w:val="20"/>
        </w:trPr>
        <w:tc>
          <w:tcPr>
            <w:tcW w:w="1305" w:type="pct"/>
            <w:vAlign w:val="center"/>
            <w:hideMark/>
          </w:tcPr>
          <w:p w14:paraId="26FC1637"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GHG</w:t>
            </w:r>
          </w:p>
        </w:tc>
        <w:tc>
          <w:tcPr>
            <w:tcW w:w="3695" w:type="pct"/>
            <w:vAlign w:val="center"/>
            <w:hideMark/>
          </w:tcPr>
          <w:p w14:paraId="2FED1080"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Greenhouse Gases</w:t>
            </w:r>
          </w:p>
        </w:tc>
      </w:tr>
      <w:tr w:rsidR="00147EF7" w:rsidRPr="00AE031C" w14:paraId="214EE1F2" w14:textId="77777777">
        <w:trPr>
          <w:trHeight w:val="20"/>
        </w:trPr>
        <w:tc>
          <w:tcPr>
            <w:tcW w:w="1305" w:type="pct"/>
            <w:vAlign w:val="center"/>
            <w:hideMark/>
          </w:tcPr>
          <w:p w14:paraId="4C3D5A85"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GPA</w:t>
            </w:r>
          </w:p>
        </w:tc>
        <w:tc>
          <w:tcPr>
            <w:tcW w:w="3695" w:type="pct"/>
            <w:vAlign w:val="center"/>
            <w:hideMark/>
          </w:tcPr>
          <w:p w14:paraId="68C67A4E" w14:textId="77777777" w:rsidR="00147EF7" w:rsidRPr="000272AD" w:rsidRDefault="00147EF7">
            <w:pPr>
              <w:rPr>
                <w:rFonts w:eastAsia="Times New Roman"/>
                <w:noProof/>
                <w:color w:val="000000"/>
                <w:lang w:eastAsia="en-IE"/>
              </w:rPr>
            </w:pPr>
            <w:r w:rsidRPr="7E6EBA6F">
              <w:rPr>
                <w:rFonts w:eastAsia="Times New Roman"/>
                <w:noProof/>
                <w:color w:val="000000" w:themeColor="text1"/>
                <w:lang w:eastAsia="en-GB"/>
              </w:rPr>
              <w:t>WTO Government Procurement Agreement</w:t>
            </w:r>
          </w:p>
        </w:tc>
      </w:tr>
      <w:tr w:rsidR="00147EF7" w:rsidRPr="00AE031C" w14:paraId="2BC5D018" w14:textId="77777777">
        <w:trPr>
          <w:trHeight w:val="20"/>
        </w:trPr>
        <w:tc>
          <w:tcPr>
            <w:tcW w:w="1305" w:type="pct"/>
            <w:vAlign w:val="center"/>
            <w:hideMark/>
          </w:tcPr>
          <w:p w14:paraId="6A3ED20F"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GWP</w:t>
            </w:r>
          </w:p>
        </w:tc>
        <w:tc>
          <w:tcPr>
            <w:tcW w:w="3695" w:type="pct"/>
            <w:vAlign w:val="center"/>
            <w:hideMark/>
          </w:tcPr>
          <w:p w14:paraId="070D7ECA"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Global Warming Potential</w:t>
            </w:r>
          </w:p>
        </w:tc>
      </w:tr>
      <w:tr w:rsidR="00147EF7" w:rsidRPr="00AE031C" w14:paraId="4409E489" w14:textId="77777777">
        <w:trPr>
          <w:trHeight w:val="20"/>
        </w:trPr>
        <w:tc>
          <w:tcPr>
            <w:tcW w:w="1305" w:type="pct"/>
            <w:vAlign w:val="center"/>
            <w:hideMark/>
          </w:tcPr>
          <w:p w14:paraId="5ECCF1D9"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IAA</w:t>
            </w:r>
          </w:p>
        </w:tc>
        <w:tc>
          <w:tcPr>
            <w:tcW w:w="3695" w:type="pct"/>
            <w:vAlign w:val="center"/>
            <w:hideMark/>
          </w:tcPr>
          <w:p w14:paraId="7766F675"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Industrial Accelerator Act</w:t>
            </w:r>
          </w:p>
        </w:tc>
      </w:tr>
      <w:tr w:rsidR="00147EF7" w:rsidRPr="00AE031C" w14:paraId="06B2E30A" w14:textId="77777777">
        <w:trPr>
          <w:trHeight w:val="20"/>
        </w:trPr>
        <w:tc>
          <w:tcPr>
            <w:tcW w:w="1305" w:type="pct"/>
            <w:vAlign w:val="center"/>
            <w:hideMark/>
          </w:tcPr>
          <w:p w14:paraId="4A912353"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IEA</w:t>
            </w:r>
          </w:p>
        </w:tc>
        <w:tc>
          <w:tcPr>
            <w:tcW w:w="3695" w:type="pct"/>
            <w:vAlign w:val="center"/>
            <w:hideMark/>
          </w:tcPr>
          <w:p w14:paraId="3D0512E6"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International Energy Agency</w:t>
            </w:r>
          </w:p>
        </w:tc>
      </w:tr>
      <w:tr w:rsidR="00147EF7" w:rsidRPr="00AE031C" w14:paraId="13B96142" w14:textId="77777777">
        <w:trPr>
          <w:trHeight w:val="20"/>
        </w:trPr>
        <w:tc>
          <w:tcPr>
            <w:tcW w:w="1305" w:type="pct"/>
            <w:vAlign w:val="center"/>
            <w:hideMark/>
          </w:tcPr>
          <w:p w14:paraId="17BCB62D"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IED</w:t>
            </w:r>
          </w:p>
        </w:tc>
        <w:tc>
          <w:tcPr>
            <w:tcW w:w="3695" w:type="pct"/>
            <w:vAlign w:val="center"/>
            <w:hideMark/>
          </w:tcPr>
          <w:p w14:paraId="3DA59106" w14:textId="77777777" w:rsidR="00147EF7" w:rsidRPr="00586544" w:rsidRDefault="00147EF7">
            <w:pPr>
              <w:rPr>
                <w:rFonts w:eastAsia="Times New Roman"/>
                <w:noProof/>
                <w:color w:val="000000"/>
                <w:lang w:val="en-IE" w:eastAsia="en-IE"/>
              </w:rPr>
            </w:pPr>
            <w:r w:rsidRPr="00586544">
              <w:rPr>
                <w:rFonts w:eastAsia="Times New Roman"/>
                <w:noProof/>
                <w:color w:val="000000"/>
                <w:lang w:val="en-IE" w:eastAsia="en-GB"/>
              </w:rPr>
              <w:t>Industrial and Livestock Rearing Emissions Directive</w:t>
            </w:r>
          </w:p>
        </w:tc>
      </w:tr>
      <w:tr w:rsidR="00147EF7" w:rsidRPr="00AE031C" w14:paraId="274A14DE" w14:textId="77777777">
        <w:trPr>
          <w:trHeight w:val="20"/>
        </w:trPr>
        <w:tc>
          <w:tcPr>
            <w:tcW w:w="1305" w:type="pct"/>
            <w:vAlign w:val="center"/>
            <w:hideMark/>
          </w:tcPr>
          <w:p w14:paraId="49D4DECB"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LCA</w:t>
            </w:r>
          </w:p>
        </w:tc>
        <w:tc>
          <w:tcPr>
            <w:tcW w:w="3695" w:type="pct"/>
            <w:vAlign w:val="center"/>
            <w:hideMark/>
          </w:tcPr>
          <w:p w14:paraId="0673E5F8" w14:textId="77777777" w:rsidR="00147EF7" w:rsidRPr="00586544" w:rsidRDefault="00147EF7">
            <w:pPr>
              <w:rPr>
                <w:rFonts w:eastAsia="Times New Roman"/>
                <w:noProof/>
                <w:color w:val="000000"/>
                <w:lang w:val="en-IE" w:eastAsia="en-IE"/>
              </w:rPr>
            </w:pPr>
            <w:r w:rsidRPr="00586544">
              <w:rPr>
                <w:rFonts w:eastAsia="Times New Roman"/>
                <w:noProof/>
                <w:color w:val="000000"/>
                <w:lang w:val="en-IE" w:eastAsia="en-GB"/>
              </w:rPr>
              <w:t>Life-cycle assessment</w:t>
            </w:r>
          </w:p>
        </w:tc>
      </w:tr>
      <w:tr w:rsidR="00147EF7" w:rsidRPr="00AE031C" w14:paraId="6561E57B" w14:textId="77777777">
        <w:trPr>
          <w:trHeight w:val="20"/>
        </w:trPr>
        <w:tc>
          <w:tcPr>
            <w:tcW w:w="1305" w:type="pct"/>
            <w:vAlign w:val="center"/>
          </w:tcPr>
          <w:p w14:paraId="600F3DD9" w14:textId="77777777" w:rsidR="00147EF7" w:rsidRPr="00AE031C" w:rsidRDefault="00147EF7">
            <w:pPr>
              <w:rPr>
                <w:rFonts w:eastAsia="Times New Roman"/>
                <w:noProof/>
                <w:color w:val="000000"/>
                <w:lang w:eastAsia="en-GB"/>
              </w:rPr>
            </w:pPr>
            <w:r>
              <w:rPr>
                <w:rFonts w:eastAsia="Times New Roman"/>
                <w:noProof/>
                <w:color w:val="000000"/>
                <w:lang w:eastAsia="en-GB"/>
              </w:rPr>
              <w:t>LCOP</w:t>
            </w:r>
          </w:p>
        </w:tc>
        <w:tc>
          <w:tcPr>
            <w:tcW w:w="3695" w:type="pct"/>
            <w:vAlign w:val="center"/>
          </w:tcPr>
          <w:p w14:paraId="43C48653" w14:textId="3E1EB071" w:rsidR="00147EF7" w:rsidRPr="00586544" w:rsidRDefault="00147EF7">
            <w:pPr>
              <w:rPr>
                <w:rFonts w:eastAsia="Times New Roman"/>
                <w:noProof/>
                <w:color w:val="000000"/>
                <w:lang w:eastAsia="en-GB"/>
              </w:rPr>
            </w:pPr>
            <w:r w:rsidRPr="6E695CEC">
              <w:rPr>
                <w:rFonts w:eastAsia="Times New Roman"/>
                <w:noProof/>
                <w:color w:val="000000" w:themeColor="text1"/>
                <w:lang w:eastAsia="en-GB"/>
              </w:rPr>
              <w:t xml:space="preserve">Levelised Cost </w:t>
            </w:r>
            <w:r w:rsidR="0018635D" w:rsidRPr="6E695CEC">
              <w:rPr>
                <w:rFonts w:eastAsia="Times New Roman"/>
                <w:noProof/>
                <w:color w:val="000000" w:themeColor="text1"/>
                <w:lang w:eastAsia="en-GB"/>
              </w:rPr>
              <w:t>o</w:t>
            </w:r>
            <w:r w:rsidRPr="6E695CEC">
              <w:rPr>
                <w:rFonts w:eastAsia="Times New Roman"/>
                <w:noProof/>
                <w:color w:val="000000" w:themeColor="text1"/>
                <w:lang w:eastAsia="en-GB"/>
              </w:rPr>
              <w:t>f Production</w:t>
            </w:r>
          </w:p>
        </w:tc>
      </w:tr>
      <w:tr w:rsidR="00147EF7" w:rsidRPr="00AE031C" w14:paraId="7A8E21A0" w14:textId="77777777">
        <w:trPr>
          <w:trHeight w:val="20"/>
        </w:trPr>
        <w:tc>
          <w:tcPr>
            <w:tcW w:w="1305" w:type="pct"/>
            <w:vAlign w:val="center"/>
            <w:hideMark/>
          </w:tcPr>
          <w:p w14:paraId="77AD9CE3"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MFF</w:t>
            </w:r>
          </w:p>
        </w:tc>
        <w:tc>
          <w:tcPr>
            <w:tcW w:w="3695" w:type="pct"/>
            <w:vAlign w:val="center"/>
            <w:hideMark/>
          </w:tcPr>
          <w:p w14:paraId="5A689E4F" w14:textId="77777777" w:rsidR="00147EF7" w:rsidRPr="00586544" w:rsidRDefault="00147EF7">
            <w:pPr>
              <w:rPr>
                <w:rFonts w:eastAsia="Times New Roman"/>
                <w:noProof/>
                <w:color w:val="000000"/>
                <w:lang w:val="en-IE" w:eastAsia="en-IE"/>
              </w:rPr>
            </w:pPr>
            <w:r w:rsidRPr="00586544">
              <w:rPr>
                <w:rFonts w:eastAsia="Times New Roman"/>
                <w:noProof/>
                <w:color w:val="000000"/>
                <w:lang w:val="en-IE" w:eastAsia="en-GB"/>
              </w:rPr>
              <w:t>Multiannual Financial Framework</w:t>
            </w:r>
          </w:p>
        </w:tc>
      </w:tr>
      <w:tr w:rsidR="00147EF7" w:rsidRPr="00AE031C" w14:paraId="30719A0C" w14:textId="77777777">
        <w:trPr>
          <w:trHeight w:val="20"/>
        </w:trPr>
        <w:tc>
          <w:tcPr>
            <w:tcW w:w="1305" w:type="pct"/>
            <w:vAlign w:val="center"/>
            <w:hideMark/>
          </w:tcPr>
          <w:p w14:paraId="39ACEAAA"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NZIA</w:t>
            </w:r>
          </w:p>
        </w:tc>
        <w:tc>
          <w:tcPr>
            <w:tcW w:w="3695" w:type="pct"/>
            <w:vAlign w:val="center"/>
            <w:hideMark/>
          </w:tcPr>
          <w:p w14:paraId="39B35932" w14:textId="77777777" w:rsidR="00147EF7" w:rsidRPr="00586544" w:rsidRDefault="00147EF7">
            <w:pPr>
              <w:rPr>
                <w:rFonts w:eastAsia="Times New Roman"/>
                <w:noProof/>
                <w:color w:val="000000"/>
                <w:lang w:val="en-IE" w:eastAsia="en-IE"/>
              </w:rPr>
            </w:pPr>
            <w:r w:rsidRPr="00586544">
              <w:rPr>
                <w:rFonts w:eastAsia="Times New Roman"/>
                <w:noProof/>
                <w:color w:val="000000"/>
                <w:lang w:val="en-IE" w:eastAsia="en-GB"/>
              </w:rPr>
              <w:t>Net Zero Industry Act</w:t>
            </w:r>
          </w:p>
        </w:tc>
      </w:tr>
      <w:tr w:rsidR="00147EF7" w:rsidRPr="00AE031C" w14:paraId="78F62151" w14:textId="77777777">
        <w:trPr>
          <w:trHeight w:val="20"/>
        </w:trPr>
        <w:tc>
          <w:tcPr>
            <w:tcW w:w="1305" w:type="pct"/>
            <w:vAlign w:val="center"/>
            <w:hideMark/>
          </w:tcPr>
          <w:p w14:paraId="112F91C2"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OEM</w:t>
            </w:r>
          </w:p>
        </w:tc>
        <w:tc>
          <w:tcPr>
            <w:tcW w:w="3695" w:type="pct"/>
            <w:vAlign w:val="center"/>
            <w:hideMark/>
          </w:tcPr>
          <w:p w14:paraId="68F77952"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Original Equipment Manufacturer</w:t>
            </w:r>
          </w:p>
        </w:tc>
      </w:tr>
      <w:tr w:rsidR="00147EF7" w:rsidRPr="00AE031C" w14:paraId="4D869602" w14:textId="77777777">
        <w:trPr>
          <w:trHeight w:val="20"/>
        </w:trPr>
        <w:tc>
          <w:tcPr>
            <w:tcW w:w="1305" w:type="pct"/>
            <w:vAlign w:val="center"/>
            <w:hideMark/>
          </w:tcPr>
          <w:p w14:paraId="15691B29"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PO</w:t>
            </w:r>
          </w:p>
        </w:tc>
        <w:tc>
          <w:tcPr>
            <w:tcW w:w="3695" w:type="pct"/>
            <w:vAlign w:val="center"/>
            <w:hideMark/>
          </w:tcPr>
          <w:p w14:paraId="7C43BBBF" w14:textId="77777777" w:rsidR="00147EF7" w:rsidRPr="000272AD" w:rsidRDefault="00147EF7">
            <w:pPr>
              <w:rPr>
                <w:rFonts w:eastAsia="Times New Roman"/>
                <w:noProof/>
                <w:color w:val="000000"/>
                <w:lang w:eastAsia="en-IE"/>
              </w:rPr>
            </w:pPr>
            <w:r w:rsidRPr="09CA0190">
              <w:rPr>
                <w:rFonts w:eastAsia="Times New Roman"/>
                <w:noProof/>
                <w:color w:val="000000" w:themeColor="text1"/>
                <w:lang w:eastAsia="en-GB"/>
              </w:rPr>
              <w:t>Policy option</w:t>
            </w:r>
          </w:p>
        </w:tc>
      </w:tr>
      <w:tr w:rsidR="00147EF7" w:rsidRPr="00AE031C" w14:paraId="36B8D468" w14:textId="77777777">
        <w:trPr>
          <w:trHeight w:val="20"/>
        </w:trPr>
        <w:tc>
          <w:tcPr>
            <w:tcW w:w="1305" w:type="pct"/>
            <w:vAlign w:val="center"/>
            <w:hideMark/>
          </w:tcPr>
          <w:p w14:paraId="3F359BE0"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PPA</w:t>
            </w:r>
          </w:p>
        </w:tc>
        <w:tc>
          <w:tcPr>
            <w:tcW w:w="3695" w:type="pct"/>
            <w:vAlign w:val="center"/>
            <w:hideMark/>
          </w:tcPr>
          <w:p w14:paraId="06A9AF5A"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Power Purchase Agreement</w:t>
            </w:r>
          </w:p>
        </w:tc>
      </w:tr>
      <w:tr w:rsidR="00147EF7" w:rsidRPr="00AE031C" w14:paraId="24177A2C" w14:textId="77777777">
        <w:trPr>
          <w:trHeight w:val="20"/>
        </w:trPr>
        <w:tc>
          <w:tcPr>
            <w:tcW w:w="1305" w:type="pct"/>
            <w:vAlign w:val="center"/>
            <w:hideMark/>
          </w:tcPr>
          <w:p w14:paraId="6BB962E9"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PV</w:t>
            </w:r>
          </w:p>
        </w:tc>
        <w:tc>
          <w:tcPr>
            <w:tcW w:w="3695" w:type="pct"/>
            <w:vAlign w:val="center"/>
            <w:hideMark/>
          </w:tcPr>
          <w:p w14:paraId="42146946"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Photovoltaic</w:t>
            </w:r>
          </w:p>
        </w:tc>
      </w:tr>
      <w:tr w:rsidR="00147EF7" w:rsidRPr="00AE031C" w14:paraId="303ECB46" w14:textId="77777777">
        <w:trPr>
          <w:trHeight w:val="20"/>
        </w:trPr>
        <w:tc>
          <w:tcPr>
            <w:tcW w:w="1305" w:type="pct"/>
            <w:vAlign w:val="center"/>
            <w:hideMark/>
          </w:tcPr>
          <w:p w14:paraId="33B6B85C"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RRF</w:t>
            </w:r>
          </w:p>
        </w:tc>
        <w:tc>
          <w:tcPr>
            <w:tcW w:w="3695" w:type="pct"/>
            <w:vAlign w:val="center"/>
            <w:hideMark/>
          </w:tcPr>
          <w:p w14:paraId="03CB7B1D"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Recovery and Resilience Facility</w:t>
            </w:r>
          </w:p>
        </w:tc>
      </w:tr>
      <w:tr w:rsidR="00147EF7" w:rsidRPr="00AE031C" w14:paraId="5CAA36CF" w14:textId="77777777">
        <w:trPr>
          <w:trHeight w:val="20"/>
        </w:trPr>
        <w:tc>
          <w:tcPr>
            <w:tcW w:w="1305" w:type="pct"/>
            <w:vAlign w:val="center"/>
            <w:hideMark/>
          </w:tcPr>
          <w:p w14:paraId="7408F7B2"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SEA</w:t>
            </w:r>
          </w:p>
        </w:tc>
        <w:tc>
          <w:tcPr>
            <w:tcW w:w="3695" w:type="pct"/>
            <w:vAlign w:val="center"/>
            <w:hideMark/>
          </w:tcPr>
          <w:p w14:paraId="17135B82"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 xml:space="preserve">Strategic Environmental Assessment </w:t>
            </w:r>
          </w:p>
        </w:tc>
      </w:tr>
      <w:tr w:rsidR="00147EF7" w:rsidRPr="00AE031C" w14:paraId="41A43D76" w14:textId="77777777">
        <w:trPr>
          <w:trHeight w:val="20"/>
        </w:trPr>
        <w:tc>
          <w:tcPr>
            <w:tcW w:w="1305" w:type="pct"/>
            <w:vAlign w:val="center"/>
            <w:hideMark/>
          </w:tcPr>
          <w:p w14:paraId="09057FF7"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SME</w:t>
            </w:r>
          </w:p>
        </w:tc>
        <w:tc>
          <w:tcPr>
            <w:tcW w:w="3695" w:type="pct"/>
            <w:vAlign w:val="center"/>
            <w:hideMark/>
          </w:tcPr>
          <w:p w14:paraId="330AD543"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Small and Medium-sized Enterprises</w:t>
            </w:r>
          </w:p>
        </w:tc>
      </w:tr>
      <w:tr w:rsidR="00147EF7" w:rsidRPr="00AE031C" w14:paraId="4DA4409D" w14:textId="77777777">
        <w:trPr>
          <w:trHeight w:val="20"/>
        </w:trPr>
        <w:tc>
          <w:tcPr>
            <w:tcW w:w="1305" w:type="pct"/>
            <w:vAlign w:val="center"/>
            <w:hideMark/>
          </w:tcPr>
          <w:p w14:paraId="54D6B4B4" w14:textId="77777777" w:rsidR="00147EF7" w:rsidRPr="000272AD" w:rsidRDefault="00147EF7">
            <w:pPr>
              <w:rPr>
                <w:rFonts w:eastAsia="Times New Roman"/>
                <w:noProof/>
                <w:color w:val="000000"/>
                <w:lang w:eastAsia="en-IE"/>
              </w:rPr>
            </w:pPr>
            <w:r w:rsidRPr="00AE031C">
              <w:rPr>
                <w:rFonts w:eastAsia="Times New Roman"/>
                <w:noProof/>
                <w:color w:val="000000"/>
                <w:lang w:eastAsia="en-GB"/>
              </w:rPr>
              <w:t>SO</w:t>
            </w:r>
          </w:p>
        </w:tc>
        <w:tc>
          <w:tcPr>
            <w:tcW w:w="3695" w:type="pct"/>
            <w:vAlign w:val="center"/>
            <w:hideMark/>
          </w:tcPr>
          <w:p w14:paraId="4BDF3941" w14:textId="77777777" w:rsidR="00147EF7" w:rsidRPr="000272AD" w:rsidRDefault="00147EF7">
            <w:pPr>
              <w:rPr>
                <w:rFonts w:eastAsia="Times New Roman"/>
                <w:noProof/>
                <w:color w:val="000000"/>
                <w:lang w:eastAsia="en-GB"/>
              </w:rPr>
            </w:pPr>
            <w:r w:rsidRPr="00AE031C">
              <w:rPr>
                <w:rFonts w:eastAsia="Times New Roman"/>
                <w:noProof/>
                <w:color w:val="000000"/>
                <w:lang w:eastAsia="en-GB"/>
              </w:rPr>
              <w:t xml:space="preserve">Specific </w:t>
            </w:r>
            <w:r>
              <w:rPr>
                <w:rFonts w:eastAsia="Times New Roman"/>
                <w:noProof/>
                <w:color w:val="000000"/>
                <w:lang w:eastAsia="en-GB"/>
              </w:rPr>
              <w:t>O</w:t>
            </w:r>
            <w:r w:rsidRPr="00AE031C">
              <w:rPr>
                <w:rFonts w:eastAsia="Times New Roman"/>
                <w:noProof/>
                <w:color w:val="000000"/>
                <w:lang w:eastAsia="en-GB"/>
              </w:rPr>
              <w:t>bjective</w:t>
            </w:r>
          </w:p>
        </w:tc>
      </w:tr>
      <w:tr w:rsidR="00147EF7" w:rsidRPr="00AE031C" w14:paraId="209FD9D5" w14:textId="77777777">
        <w:trPr>
          <w:trHeight w:val="20"/>
        </w:trPr>
        <w:tc>
          <w:tcPr>
            <w:tcW w:w="1305" w:type="pct"/>
            <w:vAlign w:val="center"/>
          </w:tcPr>
          <w:p w14:paraId="314FA43F" w14:textId="77777777" w:rsidR="00147EF7" w:rsidRPr="00AE031C" w:rsidRDefault="00147EF7">
            <w:pPr>
              <w:rPr>
                <w:rFonts w:eastAsia="Times New Roman"/>
                <w:noProof/>
                <w:color w:val="000000"/>
                <w:lang w:eastAsia="en-GB"/>
              </w:rPr>
            </w:pPr>
            <w:r>
              <w:rPr>
                <w:rFonts w:eastAsia="Times New Roman"/>
                <w:noProof/>
                <w:color w:val="000000"/>
                <w:lang w:eastAsia="en-GB"/>
              </w:rPr>
              <w:t>WTO</w:t>
            </w:r>
          </w:p>
        </w:tc>
        <w:tc>
          <w:tcPr>
            <w:tcW w:w="3695" w:type="pct"/>
            <w:vAlign w:val="center"/>
          </w:tcPr>
          <w:p w14:paraId="575CDD3A" w14:textId="77777777" w:rsidR="00147EF7" w:rsidRPr="00AE031C" w:rsidRDefault="00147EF7">
            <w:pPr>
              <w:rPr>
                <w:rFonts w:eastAsia="Times New Roman"/>
                <w:noProof/>
                <w:color w:val="000000"/>
                <w:lang w:eastAsia="en-GB"/>
              </w:rPr>
            </w:pPr>
            <w:r>
              <w:rPr>
                <w:rFonts w:eastAsia="Times New Roman"/>
                <w:noProof/>
                <w:color w:val="000000"/>
                <w:lang w:eastAsia="en-GB"/>
              </w:rPr>
              <w:t>World Trade Organisation</w:t>
            </w:r>
          </w:p>
        </w:tc>
      </w:tr>
    </w:tbl>
    <w:p w14:paraId="50F18214" w14:textId="77777777" w:rsidR="00285741" w:rsidRDefault="00285741">
      <w:pPr>
        <w:spacing w:after="120"/>
        <w:jc w:val="left"/>
        <w:rPr>
          <w:noProof/>
        </w:rPr>
      </w:pPr>
    </w:p>
    <w:p w14:paraId="5C1829CE" w14:textId="77777777" w:rsidR="00285741" w:rsidRDefault="00285741">
      <w:pPr>
        <w:rPr>
          <w:noProof/>
        </w:rPr>
      </w:pPr>
      <w:r>
        <w:rPr>
          <w:noProof/>
        </w:rPr>
        <w:br w:type="page"/>
      </w:r>
    </w:p>
    <w:p w14:paraId="2608BD4C" w14:textId="77777777" w:rsidR="00285741" w:rsidRPr="007C3C61" w:rsidRDefault="00285741" w:rsidP="00285741">
      <w:pPr>
        <w:pStyle w:val="Heading1"/>
        <w:keepLines w:val="0"/>
        <w:numPr>
          <w:ilvl w:val="0"/>
          <w:numId w:val="64"/>
        </w:numPr>
        <w:tabs>
          <w:tab w:val="num" w:pos="480"/>
        </w:tabs>
        <w:spacing w:before="0" w:after="120"/>
        <w:ind w:left="480" w:hanging="480"/>
        <w:rPr>
          <w:rFonts w:ascii="Times" w:hAnsi="Times" w:cs="Times"/>
          <w:b/>
          <w:bCs/>
          <w:noProof/>
          <w:color w:val="auto"/>
          <w:sz w:val="28"/>
          <w:szCs w:val="28"/>
        </w:rPr>
      </w:pPr>
      <w:bookmarkStart w:id="4" w:name="_Toc205923043"/>
      <w:bookmarkStart w:id="5" w:name="_Toc211984383"/>
      <w:bookmarkStart w:id="6" w:name="_Toc222159297"/>
      <w:bookmarkStart w:id="7" w:name="_Toc222489968"/>
      <w:r w:rsidRPr="007C3C61">
        <w:rPr>
          <w:rFonts w:ascii="Times" w:hAnsi="Times" w:cs="Times"/>
          <w:b/>
          <w:bCs/>
          <w:noProof/>
          <w:color w:val="auto"/>
          <w:sz w:val="28"/>
          <w:szCs w:val="28"/>
        </w:rPr>
        <w:lastRenderedPageBreak/>
        <w:t>Introduction: Political and legal context</w:t>
      </w:r>
      <w:bookmarkEnd w:id="4"/>
      <w:bookmarkEnd w:id="5"/>
      <w:bookmarkEnd w:id="6"/>
      <w:bookmarkEnd w:id="7"/>
    </w:p>
    <w:p w14:paraId="3852D0F2" w14:textId="77777777" w:rsidR="00285741" w:rsidRPr="00310056" w:rsidRDefault="00285741" w:rsidP="00285741">
      <w:pPr>
        <w:pStyle w:val="Heading2"/>
        <w:keepLines w:val="0"/>
        <w:numPr>
          <w:ilvl w:val="1"/>
          <w:numId w:val="64"/>
        </w:numPr>
        <w:tabs>
          <w:tab w:val="num" w:pos="1855"/>
        </w:tabs>
        <w:spacing w:before="0" w:after="120"/>
        <w:ind w:left="1855" w:hanging="720"/>
      </w:pPr>
      <w:bookmarkStart w:id="8" w:name="_Toc211984384"/>
      <w:bookmarkStart w:id="9" w:name="_Toc222489969"/>
      <w:r w:rsidRPr="00310056">
        <w:t>Political context</w:t>
      </w:r>
      <w:bookmarkEnd w:id="8"/>
      <w:bookmarkEnd w:id="9"/>
      <w:r w:rsidRPr="00310056">
        <w:t xml:space="preserve"> </w:t>
      </w:r>
    </w:p>
    <w:p w14:paraId="5C26A090" w14:textId="610EEFDE" w:rsidR="00285741" w:rsidRDefault="00285741" w:rsidP="008C7A7F">
      <w:pPr>
        <w:spacing w:after="120"/>
        <w:rPr>
          <w:noProof/>
        </w:rPr>
      </w:pPr>
      <w:r w:rsidRPr="00E008EE">
        <w:rPr>
          <w:noProof/>
        </w:rPr>
        <w:t xml:space="preserve">The </w:t>
      </w:r>
      <w:r>
        <w:rPr>
          <w:noProof/>
        </w:rPr>
        <w:t xml:space="preserve">European Union (EU) </w:t>
      </w:r>
      <w:r w:rsidRPr="00E008EE">
        <w:rPr>
          <w:noProof/>
        </w:rPr>
        <w:t>manufacturing sector</w:t>
      </w:r>
      <w:r>
        <w:rPr>
          <w:noProof/>
        </w:rPr>
        <w:t xml:space="preserve"> </w:t>
      </w:r>
      <w:r w:rsidRPr="009966CE">
        <w:rPr>
          <w:noProof/>
        </w:rPr>
        <w:t>employ</w:t>
      </w:r>
      <w:r w:rsidR="007B3E92">
        <w:rPr>
          <w:noProof/>
        </w:rPr>
        <w:t>ed</w:t>
      </w:r>
      <w:r>
        <w:rPr>
          <w:noProof/>
        </w:rPr>
        <w:t xml:space="preserve"> </w:t>
      </w:r>
      <w:r w:rsidRPr="00E008EE">
        <w:rPr>
          <w:noProof/>
        </w:rPr>
        <w:t>around 30</w:t>
      </w:r>
      <w:r>
        <w:rPr>
          <w:noProof/>
        </w:rPr>
        <w:t xml:space="preserve"> </w:t>
      </w:r>
      <w:r w:rsidRPr="00E008EE">
        <w:rPr>
          <w:noProof/>
        </w:rPr>
        <w:t xml:space="preserve">million persons and generated </w:t>
      </w:r>
      <w:r>
        <w:rPr>
          <w:noProof/>
        </w:rPr>
        <w:t xml:space="preserve">EUR </w:t>
      </w:r>
      <w:r w:rsidRPr="00E008EE">
        <w:rPr>
          <w:noProof/>
        </w:rPr>
        <w:t>2.</w:t>
      </w:r>
      <w:r w:rsidR="00FD2C21">
        <w:rPr>
          <w:noProof/>
        </w:rPr>
        <w:t>5</w:t>
      </w:r>
      <w:r w:rsidR="006C4B38">
        <w:rPr>
          <w:noProof/>
        </w:rPr>
        <w:t xml:space="preserve"> </w:t>
      </w:r>
      <w:r w:rsidRPr="00E008EE">
        <w:rPr>
          <w:noProof/>
        </w:rPr>
        <w:t>trillion of</w:t>
      </w:r>
      <w:r>
        <w:rPr>
          <w:noProof/>
        </w:rPr>
        <w:t xml:space="preserve"> </w:t>
      </w:r>
      <w:r w:rsidRPr="00BC4C66">
        <w:rPr>
          <w:noProof/>
        </w:rPr>
        <w:t>value added</w:t>
      </w:r>
      <w:r>
        <w:rPr>
          <w:noProof/>
        </w:rPr>
        <w:t xml:space="preserve"> in 202</w:t>
      </w:r>
      <w:r w:rsidR="00FD2C21">
        <w:rPr>
          <w:noProof/>
        </w:rPr>
        <w:t>3,</w:t>
      </w:r>
      <w:r w:rsidRPr="00E008EE">
        <w:rPr>
          <w:noProof/>
        </w:rPr>
        <w:t xml:space="preserve"> </w:t>
      </w:r>
      <w:r w:rsidR="00FD2C21">
        <w:rPr>
          <w:noProof/>
        </w:rPr>
        <w:t>making it the</w:t>
      </w:r>
      <w:r w:rsidRPr="00675762">
        <w:rPr>
          <w:noProof/>
        </w:rPr>
        <w:t xml:space="preserve"> largest</w:t>
      </w:r>
      <w:r w:rsidRPr="00675762" w:rsidDel="00320FF0">
        <w:rPr>
          <w:noProof/>
        </w:rPr>
        <w:t xml:space="preserve"> </w:t>
      </w:r>
      <w:r w:rsidRPr="00675762">
        <w:rPr>
          <w:noProof/>
        </w:rPr>
        <w:t>sector of the EU’s business economy for its contribution to employment (18.7%)</w:t>
      </w:r>
      <w:r w:rsidR="00410D1F">
        <w:rPr>
          <w:noProof/>
        </w:rPr>
        <w:t xml:space="preserve"> and </w:t>
      </w:r>
      <w:r w:rsidRPr="00675762">
        <w:rPr>
          <w:noProof/>
        </w:rPr>
        <w:t>value added (</w:t>
      </w:r>
      <w:r w:rsidR="00844E68">
        <w:rPr>
          <w:noProof/>
        </w:rPr>
        <w:t>23.6</w:t>
      </w:r>
      <w:r w:rsidRPr="00675762">
        <w:rPr>
          <w:noProof/>
        </w:rPr>
        <w:t>%).</w:t>
      </w:r>
      <w:r w:rsidRPr="00675762">
        <w:rPr>
          <w:rStyle w:val="FootnoteReference"/>
          <w:noProof/>
        </w:rPr>
        <w:footnoteReference w:id="2"/>
      </w:r>
      <w:r w:rsidRPr="00675762">
        <w:rPr>
          <w:noProof/>
        </w:rPr>
        <w:t xml:space="preserve"> However, the EU’s share of global industry gross value added declined from 20.8% in 2000 to 14.3% in 202</w:t>
      </w:r>
      <w:r w:rsidR="00844E68">
        <w:rPr>
          <w:noProof/>
        </w:rPr>
        <w:t>4</w:t>
      </w:r>
      <w:r w:rsidRPr="00675762">
        <w:rPr>
          <w:noProof/>
        </w:rPr>
        <w:t>.</w:t>
      </w:r>
      <w:r w:rsidR="00705B3C">
        <w:rPr>
          <w:rStyle w:val="FootnoteReference"/>
          <w:noProof/>
        </w:rPr>
        <w:footnoteReference w:id="3"/>
      </w:r>
      <w:r w:rsidRPr="00675762">
        <w:rPr>
          <w:noProof/>
        </w:rPr>
        <w:t xml:space="preserve"> Industrial investment in the EU is</w:t>
      </w:r>
      <w:r>
        <w:rPr>
          <w:noProof/>
        </w:rPr>
        <w:t xml:space="preserve"> lower than in other regions.</w:t>
      </w:r>
      <w:r>
        <w:rPr>
          <w:rStyle w:val="FootnoteReference"/>
          <w:noProof/>
        </w:rPr>
        <w:footnoteReference w:id="4"/>
      </w:r>
      <w:r>
        <w:rPr>
          <w:noProof/>
        </w:rPr>
        <w:t xml:space="preserve"> </w:t>
      </w:r>
      <w:r w:rsidDel="008B0701">
        <w:rPr>
          <w:noProof/>
        </w:rPr>
        <w:t xml:space="preserve">EU energy prices continue to be higher than our trade partners’ and are forecasted to remain so in coming years. </w:t>
      </w:r>
      <w:r>
        <w:rPr>
          <w:noProof/>
        </w:rPr>
        <w:t>Europe still faces commercialisation obstacles and regulatory hurdles.</w:t>
      </w:r>
      <w:r>
        <w:rPr>
          <w:rStyle w:val="FootnoteReference"/>
          <w:noProof/>
        </w:rPr>
        <w:footnoteReference w:id="5"/>
      </w:r>
      <w:r>
        <w:rPr>
          <w:noProof/>
        </w:rPr>
        <w:t xml:space="preserve"> Furthermore, a major structural challenge for some EU industries</w:t>
      </w:r>
      <w:r>
        <w:rPr>
          <w:rStyle w:val="FootnoteReference"/>
          <w:noProof/>
        </w:rPr>
        <w:footnoteReference w:id="6"/>
      </w:r>
      <w:r>
        <w:rPr>
          <w:noProof/>
        </w:rPr>
        <w:t xml:space="preserve"> is state-subsidised overcapacity at global level, which distorts global prices and international markets. </w:t>
      </w:r>
    </w:p>
    <w:p w14:paraId="50EAAD8C" w14:textId="19B1DFAE" w:rsidR="00285741" w:rsidRDefault="00285741" w:rsidP="003E78F8">
      <w:pPr>
        <w:spacing w:after="120"/>
        <w:rPr>
          <w:noProof/>
        </w:rPr>
      </w:pPr>
      <w:r w:rsidRPr="00DD2BAA">
        <w:rPr>
          <w:noProof/>
        </w:rPr>
        <w:t xml:space="preserve">Manufacturing industries </w:t>
      </w:r>
      <w:r w:rsidR="00E65C31" w:rsidRPr="00DD2BAA">
        <w:rPr>
          <w:noProof/>
        </w:rPr>
        <w:t>account for</w:t>
      </w:r>
      <w:r w:rsidRPr="00DD2BAA">
        <w:rPr>
          <w:noProof/>
        </w:rPr>
        <w:t xml:space="preserve"> a</w:t>
      </w:r>
      <w:r>
        <w:rPr>
          <w:noProof/>
        </w:rPr>
        <w:t xml:space="preserve">bout </w:t>
      </w:r>
      <w:r w:rsidR="5592B16B">
        <w:rPr>
          <w:noProof/>
        </w:rPr>
        <w:t>26</w:t>
      </w:r>
      <w:r w:rsidRPr="008632B5">
        <w:rPr>
          <w:noProof/>
        </w:rPr>
        <w:t>% of the EU’s total greenhouse gas (GHG) emissions. E</w:t>
      </w:r>
      <w:r>
        <w:rPr>
          <w:noProof/>
        </w:rPr>
        <w:t>nergy intensive industries (</w:t>
      </w:r>
      <w:r w:rsidRPr="008632B5">
        <w:rPr>
          <w:noProof/>
        </w:rPr>
        <w:t>EIIs</w:t>
      </w:r>
      <w:r>
        <w:rPr>
          <w:noProof/>
        </w:rPr>
        <w:t>)</w:t>
      </w:r>
      <w:r w:rsidRPr="008632B5">
        <w:rPr>
          <w:noProof/>
        </w:rPr>
        <w:t xml:space="preserve">, on their own, represent </w:t>
      </w:r>
      <w:r w:rsidR="00E65C31">
        <w:rPr>
          <w:noProof/>
        </w:rPr>
        <w:t>22</w:t>
      </w:r>
      <w:r>
        <w:rPr>
          <w:noProof/>
        </w:rPr>
        <w:t xml:space="preserve">% of </w:t>
      </w:r>
      <w:r w:rsidR="000D150D">
        <w:rPr>
          <w:noProof/>
        </w:rPr>
        <w:t xml:space="preserve">the EU’s </w:t>
      </w:r>
      <w:r>
        <w:rPr>
          <w:noProof/>
        </w:rPr>
        <w:t>total GHG emissions</w:t>
      </w:r>
      <w:r w:rsidR="00E65C31">
        <w:rPr>
          <w:noProof/>
        </w:rPr>
        <w:t xml:space="preserve"> or more</w:t>
      </w:r>
      <w:r>
        <w:rPr>
          <w:noProof/>
        </w:rPr>
        <w:t xml:space="preserve"> </w:t>
      </w:r>
      <w:r w:rsidR="00790464">
        <w:rPr>
          <w:noProof/>
        </w:rPr>
        <w:t xml:space="preserve">than </w:t>
      </w:r>
      <w:r>
        <w:rPr>
          <w:noProof/>
        </w:rPr>
        <w:t xml:space="preserve">three quarters of </w:t>
      </w:r>
      <w:r w:rsidR="00E65C31">
        <w:rPr>
          <w:noProof/>
        </w:rPr>
        <w:t xml:space="preserve">all </w:t>
      </w:r>
      <w:r>
        <w:rPr>
          <w:noProof/>
        </w:rPr>
        <w:t>industrial emissions.</w:t>
      </w:r>
      <w:r w:rsidRPr="3CC231DD">
        <w:rPr>
          <w:rStyle w:val="FootnoteReference"/>
          <w:noProof/>
        </w:rPr>
        <w:footnoteReference w:id="7"/>
      </w:r>
      <w:r>
        <w:rPr>
          <w:noProof/>
        </w:rPr>
        <w:t xml:space="preserve"> </w:t>
      </w:r>
      <w:r w:rsidRPr="00A67A9F">
        <w:rPr>
          <w:noProof/>
        </w:rPr>
        <w:t xml:space="preserve">For the purpose of this impact assessment, EIIs </w:t>
      </w:r>
      <w:r w:rsidR="00B360ED" w:rsidRPr="00A67A9F">
        <w:rPr>
          <w:noProof/>
        </w:rPr>
        <w:t xml:space="preserve">include </w:t>
      </w:r>
      <w:r w:rsidRPr="00A67A9F">
        <w:rPr>
          <w:noProof/>
        </w:rPr>
        <w:t>the following industrial sectors: chemicals, steel, pulp and paper,</w:t>
      </w:r>
      <w:r w:rsidR="006E3653">
        <w:rPr>
          <w:noProof/>
        </w:rPr>
        <w:t xml:space="preserve"> plastics,</w:t>
      </w:r>
      <w:r w:rsidR="00CA042F">
        <w:rPr>
          <w:noProof/>
        </w:rPr>
        <w:t xml:space="preserve"> </w:t>
      </w:r>
      <w:r w:rsidR="00CF3C57">
        <w:rPr>
          <w:noProof/>
        </w:rPr>
        <w:t>refin</w:t>
      </w:r>
      <w:r w:rsidR="0008655A">
        <w:rPr>
          <w:noProof/>
        </w:rPr>
        <w:t>eries</w:t>
      </w:r>
      <w:r w:rsidRPr="00A67A9F">
        <w:rPr>
          <w:noProof/>
        </w:rPr>
        <w:t xml:space="preserve">, cement, non-ferrous metals, glass and ceramics, as </w:t>
      </w:r>
      <w:r>
        <w:rPr>
          <w:noProof/>
        </w:rPr>
        <w:t xml:space="preserve">first </w:t>
      </w:r>
      <w:r w:rsidRPr="00A67A9F">
        <w:rPr>
          <w:noProof/>
        </w:rPr>
        <w:t>identified in the European Commission’s Annual Single Market Report 2021</w:t>
      </w:r>
      <w:r>
        <w:rPr>
          <w:noProof/>
        </w:rPr>
        <w:t xml:space="preserve"> and consistently used in subsequent policy frameworks.</w:t>
      </w:r>
      <w:r>
        <w:rPr>
          <w:rStyle w:val="FootnoteReference"/>
          <w:noProof/>
        </w:rPr>
        <w:footnoteReference w:id="8"/>
      </w:r>
      <w:r>
        <w:rPr>
          <w:noProof/>
        </w:rPr>
        <w:t xml:space="preserve"> </w:t>
      </w:r>
    </w:p>
    <w:p w14:paraId="5610A9A7" w14:textId="77777777" w:rsidR="00285741" w:rsidRDefault="00285741" w:rsidP="003E78F8">
      <w:pPr>
        <w:spacing w:after="120"/>
        <w:rPr>
          <w:noProof/>
        </w:rPr>
      </w:pPr>
      <w:r w:rsidRPr="5B2E83C7">
        <w:rPr>
          <w:rFonts w:eastAsia="Calibri"/>
          <w:noProof/>
        </w:rPr>
        <w:t>Decarbonisation</w:t>
      </w:r>
      <w:r w:rsidRPr="00E613E0">
        <w:rPr>
          <w:rFonts w:eastAsia="Calibri"/>
          <w:noProof/>
        </w:rPr>
        <w:t xml:space="preserve"> and industrialisation are two sides of the same coin</w:t>
      </w:r>
      <w:r>
        <w:rPr>
          <w:rFonts w:eastAsia="Calibri"/>
          <w:noProof/>
        </w:rPr>
        <w:t>,</w:t>
      </w:r>
      <w:r w:rsidRPr="00E613E0">
        <w:rPr>
          <w:rFonts w:eastAsia="Calibri"/>
          <w:noProof/>
        </w:rPr>
        <w:t xml:space="preserve"> as decarbonisation </w:t>
      </w:r>
      <w:r w:rsidRPr="2DDD01F8">
        <w:rPr>
          <w:rFonts w:eastAsia="Calibri"/>
          <w:noProof/>
        </w:rPr>
        <w:t>should</w:t>
      </w:r>
      <w:r>
        <w:rPr>
          <w:rFonts w:eastAsia="Calibri"/>
          <w:noProof/>
        </w:rPr>
        <w:t xml:space="preserve"> be delivered with</w:t>
      </w:r>
      <w:r w:rsidRPr="00E613E0">
        <w:rPr>
          <w:rFonts w:eastAsia="Calibri"/>
          <w:noProof/>
        </w:rPr>
        <w:t xml:space="preserve"> a strong and resilient European industrial base.</w:t>
      </w:r>
      <w:r>
        <w:rPr>
          <w:rFonts w:eastAsia="Calibri"/>
          <w:noProof/>
        </w:rPr>
        <w:t xml:space="preserve"> </w:t>
      </w:r>
      <w:r>
        <w:rPr>
          <w:noProof/>
        </w:rPr>
        <w:t>Achieving the EU's climate neutrality goal without negatively affecting industry’s performance depends on a strong business case for decarbonisation. Without a healthy decarbonised industrial base, the EU will not achieve its objectives of economic security, competitiveness and decarbonisation as outlined in the Competitiveness Compass.</w:t>
      </w:r>
      <w:r w:rsidRPr="65757867">
        <w:rPr>
          <w:rStyle w:val="FootnoteReference"/>
          <w:noProof/>
        </w:rPr>
        <w:footnoteReference w:id="9"/>
      </w:r>
      <w:r>
        <w:rPr>
          <w:noProof/>
        </w:rPr>
        <w:t xml:space="preserve"> </w:t>
      </w:r>
    </w:p>
    <w:p w14:paraId="584944AE" w14:textId="77777777" w:rsidR="00285741" w:rsidRPr="00F265D2" w:rsidRDefault="00285741" w:rsidP="00235FF3">
      <w:pPr>
        <w:spacing w:after="120"/>
        <w:rPr>
          <w:rFonts w:eastAsia="Times New Roman"/>
          <w:noProof/>
          <w:u w:val="single"/>
        </w:rPr>
      </w:pPr>
      <w:r>
        <w:rPr>
          <w:noProof/>
        </w:rPr>
        <w:t>The global market for net-zero industry technologies</w:t>
      </w:r>
      <w:r>
        <w:rPr>
          <w:rStyle w:val="FootnoteReference"/>
          <w:noProof/>
        </w:rPr>
        <w:footnoteReference w:id="10"/>
      </w:r>
      <w:r>
        <w:rPr>
          <w:noProof/>
        </w:rPr>
        <w:t xml:space="preserve"> is projected to nearly triple by 2035.</w:t>
      </w:r>
      <w:r w:rsidRPr="00392AA2">
        <w:rPr>
          <w:noProof/>
          <w:vertAlign w:val="superscript"/>
        </w:rPr>
        <w:footnoteReference w:id="11"/>
      </w:r>
      <w:r>
        <w:rPr>
          <w:noProof/>
        </w:rPr>
        <w:t xml:space="preserve"> While deployment in the EU is progressing, the Union’s global market share is declining, and domestic manufacturing capacity remains limited. Production is highly concentrated, with mainland China controlling over 90% of solar photovoltaic (PV) and battery manufacturing capacity, and more than 90% for battery anodes and solar wafers.</w:t>
      </w:r>
      <w:r>
        <w:rPr>
          <w:rStyle w:val="FootnoteReference"/>
          <w:noProof/>
        </w:rPr>
        <w:footnoteReference w:id="12"/>
      </w:r>
      <w:r>
        <w:rPr>
          <w:noProof/>
        </w:rPr>
        <w:t xml:space="preserve"> Strengthening EU clean tech manufacturing is therefore essential.</w:t>
      </w:r>
      <w:r w:rsidRPr="00A641B8">
        <w:rPr>
          <w:noProof/>
          <w:vertAlign w:val="superscript"/>
        </w:rPr>
        <w:footnoteReference w:id="13"/>
      </w:r>
      <w:r>
        <w:rPr>
          <w:noProof/>
        </w:rPr>
        <w:t xml:space="preserve"> </w:t>
      </w:r>
    </w:p>
    <w:p w14:paraId="0DDCBF53" w14:textId="77777777" w:rsidR="00285741" w:rsidRDefault="00285741" w:rsidP="00235FF3">
      <w:pPr>
        <w:spacing w:after="120"/>
        <w:rPr>
          <w:noProof/>
        </w:rPr>
      </w:pPr>
      <w:r>
        <w:rPr>
          <w:noProof/>
        </w:rPr>
        <w:t>The Antwerp Declaration</w:t>
      </w:r>
      <w:r w:rsidRPr="084397A7">
        <w:rPr>
          <w:rStyle w:val="FootnoteReference"/>
          <w:noProof/>
        </w:rPr>
        <w:footnoteReference w:id="14"/>
      </w:r>
      <w:r>
        <w:rPr>
          <w:noProof/>
        </w:rPr>
        <w:t xml:space="preserve"> calls for a European Industrial Deal to complement the EU Green Deal and safeguard quality jobs in Europe. The Declaration calls for urgent action to restore the business case for investments in Europe. </w:t>
      </w:r>
    </w:p>
    <w:p w14:paraId="68A48D25" w14:textId="77777777" w:rsidR="00285741" w:rsidRDefault="00285741">
      <w:pPr>
        <w:spacing w:after="120"/>
        <w:rPr>
          <w:noProof/>
        </w:rPr>
      </w:pPr>
      <w:r>
        <w:rPr>
          <w:noProof/>
        </w:rPr>
        <w:lastRenderedPageBreak/>
        <w:t>Economic security has become a central pillar of the EU’s industrial policy since the adoption of a European Economic Security Strategy.</w:t>
      </w:r>
      <w:r>
        <w:rPr>
          <w:rStyle w:val="FootnoteReference"/>
          <w:noProof/>
        </w:rPr>
        <w:footnoteReference w:id="15"/>
      </w:r>
      <w:r>
        <w:rPr>
          <w:noProof/>
        </w:rPr>
        <w:t xml:space="preserve"> In October 2023, the Commission adopted a</w:t>
      </w:r>
      <w:r w:rsidRPr="00A11DF2">
        <w:rPr>
          <w:noProof/>
        </w:rPr>
        <w:t xml:space="preserve"> </w:t>
      </w:r>
      <w:r>
        <w:rPr>
          <w:noProof/>
        </w:rPr>
        <w:t>Recommendation</w:t>
      </w:r>
      <w:r w:rsidRPr="00F6236F">
        <w:rPr>
          <w:noProof/>
          <w:vertAlign w:val="superscript"/>
        </w:rPr>
        <w:footnoteReference w:id="16"/>
      </w:r>
      <w:r>
        <w:rPr>
          <w:noProof/>
        </w:rPr>
        <w:t xml:space="preserve"> identifying ten critical technology areas that are essential for Europe’s security and competitiveness. These technologies underpin the green and digital transitions but also expose the Union to strategic dependencies and supply chain risks. </w:t>
      </w:r>
    </w:p>
    <w:p w14:paraId="0BC7B4EA" w14:textId="2583ED40" w:rsidR="00285741" w:rsidRDefault="00285741" w:rsidP="00235FF3">
      <w:pPr>
        <w:spacing w:after="120"/>
        <w:rPr>
          <w:noProof/>
        </w:rPr>
      </w:pPr>
      <w:r>
        <w:rPr>
          <w:noProof/>
        </w:rPr>
        <w:t>The European Commission presented in February 2025 the Clean Industrial Deal</w:t>
      </w:r>
      <w:r w:rsidRPr="057F1052">
        <w:rPr>
          <w:noProof/>
          <w:vertAlign w:val="superscript"/>
        </w:rPr>
        <w:footnoteReference w:id="17"/>
      </w:r>
      <w:r w:rsidRPr="6A3BB50C">
        <w:rPr>
          <w:noProof/>
          <w:vertAlign w:val="superscript"/>
        </w:rPr>
        <w:t xml:space="preserve"> </w:t>
      </w:r>
      <w:r>
        <w:rPr>
          <w:noProof/>
        </w:rPr>
        <w:t>as Europe’s</w:t>
      </w:r>
      <w:r w:rsidRPr="000272AD">
        <w:rPr>
          <w:noProof/>
        </w:rPr>
        <w:t xml:space="preserve"> new growth strategy to accelerate decarbonisation, increase competitiveness and ensure productivity growth for European industry.</w:t>
      </w:r>
      <w:r w:rsidR="00A5419A">
        <w:rPr>
          <w:noProof/>
        </w:rPr>
        <w:t xml:space="preserve"> On the financing side, this included the Clean Industrial Deal State aid framework adopted in June 2025, an Industrial Decarbonisation Bank planned for 2026 and the European Competitiveness Fund.</w:t>
      </w:r>
      <w:r w:rsidRPr="000272AD">
        <w:rPr>
          <w:noProof/>
        </w:rPr>
        <w:t xml:space="preserve"> The Commission also presented an Action Plan for Affordable Energy to decrease energy costs across the EU. </w:t>
      </w:r>
    </w:p>
    <w:p w14:paraId="07741AC7" w14:textId="77777777" w:rsidR="00285741" w:rsidRPr="000272AD" w:rsidRDefault="00285741" w:rsidP="00235FF3">
      <w:pPr>
        <w:spacing w:after="120"/>
        <w:rPr>
          <w:noProof/>
        </w:rPr>
      </w:pPr>
      <w:r w:rsidRPr="00FF3F54">
        <w:rPr>
          <w:noProof/>
        </w:rPr>
        <w:t>EU leaders adopted the</w:t>
      </w:r>
      <w:r>
        <w:rPr>
          <w:noProof/>
        </w:rPr>
        <w:t xml:space="preserve"> </w:t>
      </w:r>
      <w:r w:rsidRPr="00FF3F54">
        <w:rPr>
          <w:noProof/>
        </w:rPr>
        <w:t>Budapest declaration</w:t>
      </w:r>
      <w:r>
        <w:rPr>
          <w:rStyle w:val="FootnoteReference"/>
          <w:noProof/>
        </w:rPr>
        <w:footnoteReference w:id="18"/>
      </w:r>
      <w:r>
        <w:rPr>
          <w:noProof/>
        </w:rPr>
        <w:t xml:space="preserve"> </w:t>
      </w:r>
      <w:r w:rsidRPr="00FF3F54">
        <w:rPr>
          <w:noProof/>
        </w:rPr>
        <w:t>highlight</w:t>
      </w:r>
      <w:r>
        <w:rPr>
          <w:noProof/>
        </w:rPr>
        <w:t>ing</w:t>
      </w:r>
      <w:r w:rsidRPr="00FF3F54">
        <w:rPr>
          <w:noProof/>
        </w:rPr>
        <w:t xml:space="preserve"> the urgent need and determination to make the EU more competitive through a new European competitiveness deal</w:t>
      </w:r>
      <w:r>
        <w:rPr>
          <w:noProof/>
        </w:rPr>
        <w:t xml:space="preserve">. In March 2025, the European Council reaffirmed its commitment to strengthening </w:t>
      </w:r>
      <w:r w:rsidRPr="0C510684">
        <w:rPr>
          <w:rFonts w:eastAsia="Times New Roman"/>
          <w:noProof/>
        </w:rPr>
        <w:t>Europe’s competitiveness</w:t>
      </w:r>
      <w:r>
        <w:rPr>
          <w:rFonts w:eastAsia="Times New Roman"/>
          <w:noProof/>
        </w:rPr>
        <w:t>.</w:t>
      </w:r>
      <w:r>
        <w:rPr>
          <w:rStyle w:val="FootnoteReference"/>
          <w:rFonts w:eastAsia="Times New Roman"/>
          <w:noProof/>
        </w:rPr>
        <w:footnoteReference w:id="19"/>
      </w:r>
      <w:r>
        <w:rPr>
          <w:rFonts w:eastAsia="Times New Roman"/>
          <w:noProof/>
        </w:rPr>
        <w:t xml:space="preserve"> </w:t>
      </w:r>
      <w:r>
        <w:rPr>
          <w:noProof/>
        </w:rPr>
        <w:t>The European Parliament Resolution on Energy Intensive Industries</w:t>
      </w:r>
      <w:r>
        <w:rPr>
          <w:rStyle w:val="FootnoteReference"/>
          <w:noProof/>
        </w:rPr>
        <w:footnoteReference w:id="20"/>
      </w:r>
      <w:r>
        <w:rPr>
          <w:noProof/>
        </w:rPr>
        <w:t xml:space="preserve"> </w:t>
      </w:r>
      <w:r w:rsidRPr="000272AD">
        <w:rPr>
          <w:noProof/>
        </w:rPr>
        <w:t>calls on the Commission to develop solutions for speeding up decarbonisation projects and for the creation of lead markets for clean and circular European products, via non-price criteria in EU public procurement in line with the EU’s international commitments.</w:t>
      </w:r>
    </w:p>
    <w:p w14:paraId="0C33E664" w14:textId="7EDE5FCF" w:rsidR="00285741" w:rsidRDefault="00285741">
      <w:pPr>
        <w:spacing w:after="120"/>
        <w:rPr>
          <w:noProof/>
          <w:u w:val="single"/>
        </w:rPr>
      </w:pPr>
      <w:r>
        <w:rPr>
          <w:noProof/>
        </w:rPr>
        <w:t>It is in that context that the</w:t>
      </w:r>
      <w:r w:rsidRPr="001E1DA9">
        <w:rPr>
          <w:noProof/>
        </w:rPr>
        <w:t xml:space="preserve"> Clean Industrial Deal </w:t>
      </w:r>
      <w:r>
        <w:rPr>
          <w:noProof/>
        </w:rPr>
        <w:t>announced</w:t>
      </w:r>
      <w:r w:rsidRPr="001E1DA9">
        <w:rPr>
          <w:noProof/>
        </w:rPr>
        <w:t xml:space="preserve"> a new regulatory</w:t>
      </w:r>
      <w:r>
        <w:rPr>
          <w:noProof/>
        </w:rPr>
        <w:t xml:space="preserve"> initiative to address permitting bottlenecks, introduce resilience and sustainability criteria to create lead markets for the development of European clean and resilient industrial technologies and products and develop a label on the carbon intensity of industrial products, starting with steel</w:t>
      </w:r>
      <w:r w:rsidRPr="00266B49">
        <w:rPr>
          <w:rFonts w:eastAsia="Times New Roman"/>
          <w:noProof/>
          <w:color w:val="0078D4"/>
        </w:rPr>
        <w:t xml:space="preserve">. </w:t>
      </w:r>
      <w:r w:rsidRPr="009868A4">
        <w:rPr>
          <w:noProof/>
        </w:rPr>
        <w:t>Th</w:t>
      </w:r>
      <w:r>
        <w:rPr>
          <w:noProof/>
        </w:rPr>
        <w:t>e European Steel and Metals Action Plan</w:t>
      </w:r>
      <w:r w:rsidRPr="6E75FC63">
        <w:rPr>
          <w:rStyle w:val="FootnoteReference"/>
          <w:noProof/>
        </w:rPr>
        <w:footnoteReference w:id="21"/>
      </w:r>
      <w:r>
        <w:rPr>
          <w:noProof/>
        </w:rPr>
        <w:t xml:space="preserve"> and the European Chemicals Industry Action Plan</w:t>
      </w:r>
      <w:r>
        <w:rPr>
          <w:rStyle w:val="FootnoteReference"/>
          <w:noProof/>
        </w:rPr>
        <w:footnoteReference w:id="22"/>
      </w:r>
      <w:r>
        <w:rPr>
          <w:noProof/>
        </w:rPr>
        <w:t xml:space="preserve"> reiterate the commitment to include resilience and sustainability criteria to support the demand for </w:t>
      </w:r>
      <w:r w:rsidDel="00C40067">
        <w:rPr>
          <w:noProof/>
        </w:rPr>
        <w:t xml:space="preserve">EU-made </w:t>
      </w:r>
      <w:r>
        <w:rPr>
          <w:noProof/>
        </w:rPr>
        <w:t>clean products. The Automotive Action Plan</w:t>
      </w:r>
      <w:r>
        <w:rPr>
          <w:rStyle w:val="FootnoteReference"/>
          <w:noProof/>
        </w:rPr>
        <w:footnoteReference w:id="23"/>
      </w:r>
      <w:r>
        <w:rPr>
          <w:noProof/>
        </w:rPr>
        <w:t xml:space="preserve"> states </w:t>
      </w:r>
      <w:r w:rsidRPr="006A53FF">
        <w:rPr>
          <w:noProof/>
        </w:rPr>
        <w:t xml:space="preserve">that </w:t>
      </w:r>
      <w:r>
        <w:rPr>
          <w:noProof/>
        </w:rPr>
        <w:t xml:space="preserve">to </w:t>
      </w:r>
      <w:r w:rsidRPr="00DD320F">
        <w:rPr>
          <w:noProof/>
        </w:rPr>
        <w:t xml:space="preserve">boost the European production of key vehicle components, any public support </w:t>
      </w:r>
      <w:r>
        <w:rPr>
          <w:noProof/>
        </w:rPr>
        <w:t>benefitting</w:t>
      </w:r>
      <w:r w:rsidRPr="006A53FF">
        <w:rPr>
          <w:noProof/>
        </w:rPr>
        <w:t xml:space="preserve"> the automotive industry will be made conditional on resilience and sustainability criteria to be proposed unde</w:t>
      </w:r>
      <w:r>
        <w:rPr>
          <w:noProof/>
        </w:rPr>
        <w:t>r t</w:t>
      </w:r>
      <w:r w:rsidRPr="007C2FC0">
        <w:rPr>
          <w:noProof/>
        </w:rPr>
        <w:t>h</w:t>
      </w:r>
      <w:r>
        <w:rPr>
          <w:noProof/>
        </w:rPr>
        <w:t>is initiative.</w:t>
      </w:r>
      <w:r w:rsidRPr="006A53FF">
        <w:rPr>
          <w:noProof/>
        </w:rPr>
        <w:t xml:space="preserve"> </w:t>
      </w:r>
      <w:r>
        <w:rPr>
          <w:noProof/>
        </w:rPr>
        <w:t>It also calls on</w:t>
      </w:r>
      <w:r w:rsidRPr="007C2FC0">
        <w:rPr>
          <w:noProof/>
        </w:rPr>
        <w:t xml:space="preserve"> </w:t>
      </w:r>
      <w:r>
        <w:rPr>
          <w:noProof/>
        </w:rPr>
        <w:t xml:space="preserve">it </w:t>
      </w:r>
      <w:r w:rsidRPr="007C2FC0">
        <w:rPr>
          <w:noProof/>
        </w:rPr>
        <w:t>to address European content requirements on battery cells and components in EVs sold in the EU, in line with the Union’s international legal commitments</w:t>
      </w:r>
      <w:r>
        <w:rPr>
          <w:noProof/>
        </w:rPr>
        <w:t xml:space="preserve">. Based on these previous commitments, the </w:t>
      </w:r>
      <w:r w:rsidRPr="00446A80">
        <w:rPr>
          <w:noProof/>
        </w:rPr>
        <w:t xml:space="preserve">2025 State of the Union Address </w:t>
      </w:r>
      <w:r>
        <w:rPr>
          <w:noProof/>
        </w:rPr>
        <w:t>announced a proposal of</w:t>
      </w:r>
      <w:r w:rsidRPr="0033132B">
        <w:rPr>
          <w:noProof/>
        </w:rPr>
        <w:t xml:space="preserve"> an Industrial Accelerator Act </w:t>
      </w:r>
      <w:r>
        <w:rPr>
          <w:noProof/>
        </w:rPr>
        <w:t xml:space="preserve">(IAA) to </w:t>
      </w:r>
      <w:r w:rsidRPr="00E257EE">
        <w:rPr>
          <w:noProof/>
        </w:rPr>
        <w:t xml:space="preserve">boost demand for clean and </w:t>
      </w:r>
      <w:r w:rsidR="0081660B">
        <w:rPr>
          <w:noProof/>
        </w:rPr>
        <w:t>M</w:t>
      </w:r>
      <w:r w:rsidRPr="00E257EE">
        <w:rPr>
          <w:noProof/>
        </w:rPr>
        <w:t>ade in E</w:t>
      </w:r>
      <w:r w:rsidR="0081660B">
        <w:rPr>
          <w:noProof/>
        </w:rPr>
        <w:t>U</w:t>
      </w:r>
      <w:r w:rsidRPr="00E257EE">
        <w:rPr>
          <w:noProof/>
        </w:rPr>
        <w:t xml:space="preserve"> products in key strategic sectors and technologies.</w:t>
      </w:r>
    </w:p>
    <w:p w14:paraId="3E1A303E" w14:textId="77777777" w:rsidR="00285741" w:rsidRPr="00310056" w:rsidRDefault="00285741" w:rsidP="00285741">
      <w:pPr>
        <w:pStyle w:val="Heading2"/>
        <w:keepLines w:val="0"/>
        <w:numPr>
          <w:ilvl w:val="1"/>
          <w:numId w:val="64"/>
        </w:numPr>
        <w:tabs>
          <w:tab w:val="num" w:pos="1855"/>
        </w:tabs>
        <w:spacing w:before="0" w:after="120"/>
        <w:ind w:left="1855" w:hanging="720"/>
      </w:pPr>
      <w:bookmarkStart w:id="12" w:name="_Toc211984385"/>
      <w:bookmarkStart w:id="13" w:name="_Toc222489970"/>
      <w:r w:rsidRPr="00310056">
        <w:t xml:space="preserve">Legal and policy </w:t>
      </w:r>
      <w:bookmarkEnd w:id="12"/>
      <w:r w:rsidRPr="00310056">
        <w:t>context</w:t>
      </w:r>
      <w:bookmarkEnd w:id="13"/>
      <w:r w:rsidRPr="00310056">
        <w:t xml:space="preserve"> </w:t>
      </w:r>
    </w:p>
    <w:p w14:paraId="0DB990EB" w14:textId="49200676" w:rsidR="00285741" w:rsidRPr="000272AD" w:rsidRDefault="00285741">
      <w:pPr>
        <w:spacing w:after="120"/>
        <w:rPr>
          <w:noProof/>
        </w:rPr>
      </w:pPr>
      <w:r w:rsidRPr="161FA248">
        <w:rPr>
          <w:noProof/>
        </w:rPr>
        <w:t xml:space="preserve">A range of EU policy and legal instruments govern how </w:t>
      </w:r>
      <w:r>
        <w:rPr>
          <w:noProof/>
        </w:rPr>
        <w:t xml:space="preserve">the manufacturing industry </w:t>
      </w:r>
      <w:r w:rsidRPr="161FA248">
        <w:rPr>
          <w:noProof/>
        </w:rPr>
        <w:t>operate</w:t>
      </w:r>
      <w:r>
        <w:rPr>
          <w:noProof/>
        </w:rPr>
        <w:t>s</w:t>
      </w:r>
      <w:r w:rsidRPr="161FA248">
        <w:rPr>
          <w:noProof/>
        </w:rPr>
        <w:t xml:space="preserve"> in the EU, cover</w:t>
      </w:r>
      <w:r>
        <w:rPr>
          <w:noProof/>
        </w:rPr>
        <w:t>ing</w:t>
      </w:r>
      <w:r w:rsidRPr="161FA248">
        <w:rPr>
          <w:noProof/>
        </w:rPr>
        <w:t xml:space="preserve"> areas such as GHG emission reductions</w:t>
      </w:r>
      <w:r>
        <w:rPr>
          <w:noProof/>
        </w:rPr>
        <w:t xml:space="preserve"> for manufacturing sites in the EU</w:t>
      </w:r>
      <w:r w:rsidRPr="161FA248">
        <w:rPr>
          <w:noProof/>
        </w:rPr>
        <w:t xml:space="preserve">, energy markets, </w:t>
      </w:r>
      <w:r>
        <w:rPr>
          <w:noProof/>
        </w:rPr>
        <w:t xml:space="preserve">energy efficiency, </w:t>
      </w:r>
      <w:r w:rsidRPr="161FA248">
        <w:rPr>
          <w:noProof/>
        </w:rPr>
        <w:t xml:space="preserve">conditions to operate in the </w:t>
      </w:r>
      <w:r>
        <w:rPr>
          <w:noProof/>
        </w:rPr>
        <w:t>Single</w:t>
      </w:r>
      <w:r w:rsidRPr="161FA248">
        <w:rPr>
          <w:noProof/>
        </w:rPr>
        <w:t xml:space="preserve"> </w:t>
      </w:r>
      <w:r>
        <w:rPr>
          <w:noProof/>
        </w:rPr>
        <w:t>M</w:t>
      </w:r>
      <w:r w:rsidRPr="161FA248">
        <w:rPr>
          <w:noProof/>
        </w:rPr>
        <w:t xml:space="preserve">arket and compliance with environmental and climate </w:t>
      </w:r>
      <w:r w:rsidRPr="00DE606E">
        <w:rPr>
          <w:noProof/>
        </w:rPr>
        <w:t xml:space="preserve">legislation. </w:t>
      </w:r>
      <w:r w:rsidRPr="000272AD">
        <w:rPr>
          <w:noProof/>
        </w:rPr>
        <w:t>In particular, t</w:t>
      </w:r>
      <w:r w:rsidRPr="00DE606E">
        <w:rPr>
          <w:noProof/>
        </w:rPr>
        <w:t xml:space="preserve">he EU Emissions Trading System </w:t>
      </w:r>
      <w:r w:rsidRPr="00DE606E">
        <w:rPr>
          <w:noProof/>
        </w:rPr>
        <w:lastRenderedPageBreak/>
        <w:t>(ETS) Directive</w:t>
      </w:r>
      <w:r w:rsidRPr="00DE606E">
        <w:rPr>
          <w:rStyle w:val="FootnoteReference"/>
          <w:noProof/>
        </w:rPr>
        <w:footnoteReference w:id="24"/>
      </w:r>
      <w:r w:rsidRPr="00DE606E">
        <w:rPr>
          <w:noProof/>
        </w:rPr>
        <w:t xml:space="preserve"> is the main climate policy instrument to incentivise GHG emissions reduction. It provides the main price signal for industries to invest in decarbonisation, </w:t>
      </w:r>
      <w:r>
        <w:rPr>
          <w:noProof/>
        </w:rPr>
        <w:t xml:space="preserve">and the Commission is preparing its proposal for a review to ensure the instrument is </w:t>
      </w:r>
      <w:r w:rsidRPr="00A0491C">
        <w:rPr>
          <w:noProof/>
        </w:rPr>
        <w:t xml:space="preserve">adjusted </w:t>
      </w:r>
      <w:r>
        <w:rPr>
          <w:noProof/>
        </w:rPr>
        <w:t xml:space="preserve">to </w:t>
      </w:r>
      <w:r w:rsidRPr="00A0491C">
        <w:rPr>
          <w:noProof/>
        </w:rPr>
        <w:t xml:space="preserve">promote cost-effective emissions reductions </w:t>
      </w:r>
      <w:r>
        <w:rPr>
          <w:noProof/>
        </w:rPr>
        <w:t>in line with the</w:t>
      </w:r>
      <w:r w:rsidRPr="00A0491C">
        <w:rPr>
          <w:noProof/>
        </w:rPr>
        <w:t xml:space="preserve"> climate neutrality </w:t>
      </w:r>
      <w:r>
        <w:rPr>
          <w:noProof/>
        </w:rPr>
        <w:t>target. The Carbon Border Adjustment Mechanism (CBAM) is the instrument protecting some ETS sectors from the risk of carbon leakage, while ensuring that domestically produced and imported goods face the same carbon costs in the internal market. A</w:t>
      </w:r>
      <w:r w:rsidRPr="00B24B02">
        <w:rPr>
          <w:noProof/>
        </w:rPr>
        <w:t xml:space="preserve"> comprehensive review of CBAM</w:t>
      </w:r>
      <w:r>
        <w:rPr>
          <w:noProof/>
        </w:rPr>
        <w:t>,</w:t>
      </w:r>
      <w:r w:rsidRPr="00B24B02">
        <w:rPr>
          <w:noProof/>
        </w:rPr>
        <w:t xml:space="preserve"> accompanied by an anti-circumvention strategy</w:t>
      </w:r>
      <w:r>
        <w:rPr>
          <w:noProof/>
        </w:rPr>
        <w:t xml:space="preserve">, </w:t>
      </w:r>
      <w:r w:rsidR="00372C88">
        <w:rPr>
          <w:noProof/>
        </w:rPr>
        <w:t xml:space="preserve">has been </w:t>
      </w:r>
      <w:r w:rsidR="00675CDD">
        <w:rPr>
          <w:noProof/>
        </w:rPr>
        <w:t xml:space="preserve">adopted at </w:t>
      </w:r>
      <w:r>
        <w:rPr>
          <w:noProof/>
        </w:rPr>
        <w:t>the end of 2025. The Net Zero Industry Act (NZIA)</w:t>
      </w:r>
      <w:r>
        <w:rPr>
          <w:rStyle w:val="FootnoteReference"/>
          <w:noProof/>
        </w:rPr>
        <w:footnoteReference w:id="25"/>
      </w:r>
      <w:r>
        <w:rPr>
          <w:noProof/>
        </w:rPr>
        <w:t>, as well as the Batteries Regulation</w:t>
      </w:r>
      <w:r>
        <w:rPr>
          <w:rStyle w:val="FootnoteReference"/>
          <w:noProof/>
        </w:rPr>
        <w:footnoteReference w:id="26"/>
      </w:r>
      <w:r>
        <w:rPr>
          <w:noProof/>
        </w:rPr>
        <w:t xml:space="preserve">, also provide incentives for clean tech and resilient industrial manufacturing in the EU. </w:t>
      </w:r>
      <w:r w:rsidRPr="000272AD">
        <w:rPr>
          <w:noProof/>
        </w:rPr>
        <w:t>Industrial decarbonisation is also supported by policies and legislation on the demand side, aiming at decarbonising downstream end-use sectors. This includes for instance recent legislation on the building and construction sectors,</w:t>
      </w:r>
      <w:r w:rsidRPr="000272AD" w:rsidDel="00837FB8">
        <w:rPr>
          <w:noProof/>
        </w:rPr>
        <w:t xml:space="preserve"> </w:t>
      </w:r>
      <w:r w:rsidRPr="000272AD">
        <w:rPr>
          <w:noProof/>
        </w:rPr>
        <w:t xml:space="preserve">and </w:t>
      </w:r>
      <w:r>
        <w:rPr>
          <w:noProof/>
        </w:rPr>
        <w:t>aviation and waterborne transport</w:t>
      </w:r>
      <w:r w:rsidR="008B6BEB">
        <w:rPr>
          <w:noProof/>
        </w:rPr>
        <w:t xml:space="preserve"> or </w:t>
      </w:r>
      <w:r w:rsidR="00264A20">
        <w:rPr>
          <w:noProof/>
        </w:rPr>
        <w:t xml:space="preserve">most notably the </w:t>
      </w:r>
      <w:r w:rsidR="00264A20" w:rsidRPr="000272AD">
        <w:rPr>
          <w:noProof/>
        </w:rPr>
        <w:t>automotive</w:t>
      </w:r>
      <w:r w:rsidR="00264A20">
        <w:rPr>
          <w:noProof/>
        </w:rPr>
        <w:t xml:space="preserve"> </w:t>
      </w:r>
      <w:r w:rsidR="00717B36">
        <w:rPr>
          <w:noProof/>
        </w:rPr>
        <w:t>package</w:t>
      </w:r>
      <w:r w:rsidR="00264A20">
        <w:rPr>
          <w:noProof/>
        </w:rPr>
        <w:t>,</w:t>
      </w:r>
      <w:r w:rsidR="00563877">
        <w:rPr>
          <w:noProof/>
        </w:rPr>
        <w:t xml:space="preserve"> with the revision of CO</w:t>
      </w:r>
      <w:r w:rsidR="00563877" w:rsidRPr="00717B36">
        <w:rPr>
          <w:noProof/>
          <w:vertAlign w:val="subscript"/>
        </w:rPr>
        <w:t>2</w:t>
      </w:r>
      <w:r w:rsidR="00563877">
        <w:rPr>
          <w:noProof/>
        </w:rPr>
        <w:t xml:space="preserve"> standards and the introduction of </w:t>
      </w:r>
      <w:r w:rsidR="00B148F8">
        <w:rPr>
          <w:noProof/>
        </w:rPr>
        <w:t>low-carbon steel credits</w:t>
      </w:r>
      <w:r>
        <w:rPr>
          <w:noProof/>
        </w:rPr>
        <w:t xml:space="preserve">. It also includes products legislation, such as the Ecodesign for Sustainable Products (ESPR), which aims at improving </w:t>
      </w:r>
      <w:r w:rsidRPr="000272AD">
        <w:rPr>
          <w:noProof/>
        </w:rPr>
        <w:t xml:space="preserve">the environmental sustainability and circularity of products placed on the EU market. Permitting </w:t>
      </w:r>
      <w:r>
        <w:rPr>
          <w:noProof/>
        </w:rPr>
        <w:t>and access to energy infrastructure</w:t>
      </w:r>
      <w:r w:rsidRPr="000272AD">
        <w:rPr>
          <w:noProof/>
        </w:rPr>
        <w:t xml:space="preserve"> is also</w:t>
      </w:r>
      <w:r>
        <w:rPr>
          <w:noProof/>
        </w:rPr>
        <w:t xml:space="preserve"> covered by other </w:t>
      </w:r>
      <w:r w:rsidR="00717B36">
        <w:rPr>
          <w:noProof/>
        </w:rPr>
        <w:t xml:space="preserve">recently </w:t>
      </w:r>
      <w:r w:rsidR="00B148F8">
        <w:rPr>
          <w:noProof/>
        </w:rPr>
        <w:t xml:space="preserve">adopted </w:t>
      </w:r>
      <w:r w:rsidR="00717B36">
        <w:rPr>
          <w:noProof/>
        </w:rPr>
        <w:t>Commission’s</w:t>
      </w:r>
      <w:r w:rsidR="00B148F8">
        <w:rPr>
          <w:noProof/>
        </w:rPr>
        <w:t xml:space="preserve"> </w:t>
      </w:r>
      <w:r>
        <w:rPr>
          <w:noProof/>
        </w:rPr>
        <w:t xml:space="preserve">initiatives, namely the grids action plan, the electricity market design, the grid tariff and grid anticipatory investment guidance implementation, the Grids package on infrastructure planning and permitting and the </w:t>
      </w:r>
      <w:bookmarkStart w:id="14" w:name="_Hlk201224966"/>
      <w:r>
        <w:rPr>
          <w:noProof/>
        </w:rPr>
        <w:t xml:space="preserve">Environmental Omnibus, to simplify administrative burden in </w:t>
      </w:r>
      <w:r w:rsidRPr="000272AD">
        <w:rPr>
          <w:noProof/>
        </w:rPr>
        <w:t xml:space="preserve">environmental legislation. Annex 8 presents the list of relevant initiatives and a detailed explanation of how they relate to IAA. </w:t>
      </w:r>
      <w:bookmarkEnd w:id="14"/>
    </w:p>
    <w:p w14:paraId="22F94B68" w14:textId="77777777" w:rsidR="00285741" w:rsidRPr="007C3C61" w:rsidRDefault="00285741" w:rsidP="00285741">
      <w:pPr>
        <w:pStyle w:val="Heading1"/>
        <w:keepLines w:val="0"/>
        <w:numPr>
          <w:ilvl w:val="0"/>
          <w:numId w:val="64"/>
        </w:numPr>
        <w:tabs>
          <w:tab w:val="num" w:pos="480"/>
        </w:tabs>
        <w:spacing w:after="120"/>
        <w:ind w:left="480" w:hanging="480"/>
        <w:rPr>
          <w:rFonts w:ascii="Times" w:hAnsi="Times" w:cs="Times"/>
          <w:b/>
          <w:bCs/>
          <w:noProof/>
          <w:color w:val="auto"/>
          <w:sz w:val="28"/>
          <w:szCs w:val="28"/>
        </w:rPr>
      </w:pPr>
      <w:bookmarkStart w:id="15" w:name="_Toc205923044"/>
      <w:bookmarkStart w:id="16" w:name="_Toc211984386"/>
      <w:bookmarkStart w:id="17" w:name="_Toc222159298"/>
      <w:bookmarkStart w:id="18" w:name="_Toc222489971"/>
      <w:r w:rsidRPr="007C3C61">
        <w:rPr>
          <w:rFonts w:ascii="Times" w:hAnsi="Times" w:cs="Times"/>
          <w:b/>
          <w:bCs/>
          <w:noProof/>
          <w:color w:val="auto"/>
          <w:sz w:val="28"/>
          <w:szCs w:val="28"/>
        </w:rPr>
        <w:t>Problem definition</w:t>
      </w:r>
      <w:bookmarkEnd w:id="15"/>
      <w:bookmarkEnd w:id="16"/>
      <w:bookmarkEnd w:id="17"/>
      <w:bookmarkEnd w:id="18"/>
    </w:p>
    <w:p w14:paraId="50CEABEC" w14:textId="28A4CF8A" w:rsidR="00285741" w:rsidRPr="00310056" w:rsidRDefault="00285741" w:rsidP="00285741">
      <w:pPr>
        <w:pStyle w:val="Heading2"/>
        <w:keepLines w:val="0"/>
        <w:numPr>
          <w:ilvl w:val="1"/>
          <w:numId w:val="64"/>
        </w:numPr>
        <w:spacing w:before="0" w:after="120"/>
        <w:ind w:left="1276" w:hanging="709"/>
      </w:pPr>
      <w:bookmarkStart w:id="19" w:name="_Toc211984387"/>
      <w:bookmarkStart w:id="20" w:name="_Toc222489972"/>
      <w:r w:rsidRPr="00310056">
        <w:t>What is the problem?</w:t>
      </w:r>
      <w:bookmarkEnd w:id="19"/>
      <w:bookmarkEnd w:id="20"/>
    </w:p>
    <w:p w14:paraId="23A66017" w14:textId="77777777" w:rsidR="00285741" w:rsidRDefault="00285741" w:rsidP="009949BD">
      <w:pPr>
        <w:spacing w:after="120"/>
        <w:rPr>
          <w:noProof/>
        </w:rPr>
      </w:pPr>
      <w:r>
        <w:rPr>
          <w:noProof/>
        </w:rPr>
        <w:t xml:space="preserve">The overarching problem this initiative aims to address is to support the </w:t>
      </w:r>
      <w:r w:rsidRPr="009949BD">
        <w:rPr>
          <w:noProof/>
        </w:rPr>
        <w:t xml:space="preserve">EU </w:t>
      </w:r>
      <w:r>
        <w:rPr>
          <w:noProof/>
        </w:rPr>
        <w:t>industry’s</w:t>
      </w:r>
      <w:r w:rsidDel="00C11E27">
        <w:rPr>
          <w:noProof/>
        </w:rPr>
        <w:t xml:space="preserve"> </w:t>
      </w:r>
      <w:r>
        <w:rPr>
          <w:noProof/>
        </w:rPr>
        <w:t xml:space="preserve">competitiveness and resilience in a context of increased global pressure, while </w:t>
      </w:r>
      <w:r w:rsidRPr="009949BD">
        <w:rPr>
          <w:noProof/>
        </w:rPr>
        <w:t>accelerat</w:t>
      </w:r>
      <w:r>
        <w:rPr>
          <w:noProof/>
        </w:rPr>
        <w:t xml:space="preserve">ing </w:t>
      </w:r>
      <w:r w:rsidRPr="009949BD">
        <w:rPr>
          <w:noProof/>
        </w:rPr>
        <w:t xml:space="preserve">the decarbonisation of </w:t>
      </w:r>
      <w:r>
        <w:rPr>
          <w:noProof/>
        </w:rPr>
        <w:t xml:space="preserve">its </w:t>
      </w:r>
      <w:r w:rsidRPr="009949BD">
        <w:rPr>
          <w:noProof/>
        </w:rPr>
        <w:t>processes and products</w:t>
      </w:r>
      <w:r w:rsidRPr="00FB44BD">
        <w:rPr>
          <w:noProof/>
        </w:rPr>
        <w:t xml:space="preserve">. </w:t>
      </w:r>
      <w:r>
        <w:rPr>
          <w:noProof/>
        </w:rPr>
        <w:t xml:space="preserve">The business case to invest in innovation and industrial decarbonisation in the EU needs to be improved, with particular focus on EIIs and clean tech manufacturing. </w:t>
      </w:r>
    </w:p>
    <w:p w14:paraId="40C126A6" w14:textId="77777777" w:rsidR="00285741" w:rsidRPr="00FB44BD" w:rsidRDefault="00285741" w:rsidP="009949BD">
      <w:pPr>
        <w:spacing w:after="120"/>
        <w:rPr>
          <w:noProof/>
        </w:rPr>
      </w:pPr>
      <w:r w:rsidRPr="007538F3">
        <w:rPr>
          <w:noProof/>
        </w:rPr>
        <w:t>Lengthy and complex permitting procedures slow down projects, while limited access to affordable energy, infrastructure and key materials further constrains investment. These bottlenecks undermine industrial competitiveness and delay the clean transition</w:t>
      </w:r>
      <w:r>
        <w:rPr>
          <w:noProof/>
        </w:rPr>
        <w:t>.</w:t>
      </w:r>
    </w:p>
    <w:p w14:paraId="4CF49568" w14:textId="77777777" w:rsidR="00285741" w:rsidRPr="00E447EE" w:rsidRDefault="00285741" w:rsidP="009949BD">
      <w:pPr>
        <w:spacing w:after="120"/>
        <w:rPr>
          <w:rStyle w:val="normaltextrun"/>
          <w:b/>
          <w:i/>
          <w:noProof/>
        </w:rPr>
      </w:pPr>
      <w:r w:rsidRPr="00E447EE">
        <w:rPr>
          <w:rStyle w:val="normaltextrun"/>
          <w:b/>
          <w:i/>
          <w:noProof/>
        </w:rPr>
        <w:t>Global pressures</w:t>
      </w:r>
    </w:p>
    <w:p w14:paraId="5E148E39" w14:textId="2927007C" w:rsidR="00285741" w:rsidRDefault="00285741" w:rsidP="009949BD">
      <w:pPr>
        <w:spacing w:after="120"/>
        <w:rPr>
          <w:noProof/>
        </w:rPr>
      </w:pPr>
      <w:r w:rsidRPr="75D474D5" w:rsidDel="00A1014F">
        <w:rPr>
          <w:rStyle w:val="normaltextrun"/>
          <w:noProof/>
        </w:rPr>
        <w:t xml:space="preserve">The causes for </w:t>
      </w:r>
      <w:r>
        <w:rPr>
          <w:rStyle w:val="normaltextrun"/>
          <w:noProof/>
        </w:rPr>
        <w:t>the industry’s</w:t>
      </w:r>
      <w:r w:rsidRPr="799B9C62" w:rsidDel="00A1014F">
        <w:rPr>
          <w:rStyle w:val="normaltextrun"/>
          <w:noProof/>
        </w:rPr>
        <w:t xml:space="preserve"> reduced competitiveness</w:t>
      </w:r>
      <w:r w:rsidRPr="75D474D5" w:rsidDel="00A1014F">
        <w:rPr>
          <w:rStyle w:val="normaltextrun"/>
          <w:noProof/>
        </w:rPr>
        <w:t xml:space="preserve"> are multiple, and many depend on external macroeconomic factors </w:t>
      </w:r>
      <w:r w:rsidDel="00A1014F">
        <w:rPr>
          <w:rStyle w:val="normaltextrun"/>
          <w:noProof/>
        </w:rPr>
        <w:t>beyond the scope of this initiative</w:t>
      </w:r>
      <w:r w:rsidDel="00A1014F">
        <w:rPr>
          <w:noProof/>
        </w:rPr>
        <w:t>.</w:t>
      </w:r>
      <w:r>
        <w:rPr>
          <w:rStyle w:val="FootnoteReference"/>
          <w:noProof/>
        </w:rPr>
        <w:footnoteReference w:id="27"/>
      </w:r>
      <w:r>
        <w:rPr>
          <w:noProof/>
        </w:rPr>
        <w:t xml:space="preserve"> </w:t>
      </w:r>
      <w:r w:rsidRPr="00DE4C45">
        <w:rPr>
          <w:noProof/>
        </w:rPr>
        <w:t>Energy inputs account for 7% to 9% of the production value in EU EIIs</w:t>
      </w:r>
      <w:r>
        <w:rPr>
          <w:noProof/>
        </w:rPr>
        <w:t>, and a</w:t>
      </w:r>
      <w:r w:rsidRPr="00B92545">
        <w:rPr>
          <w:noProof/>
        </w:rPr>
        <w:t xml:space="preserve">lthough gas and electricity prices in the EU </w:t>
      </w:r>
      <w:r w:rsidRPr="00B92545">
        <w:rPr>
          <w:noProof/>
        </w:rPr>
        <w:lastRenderedPageBreak/>
        <w:t xml:space="preserve">have dropped from their 2022 peaks, gas prices are still about five times higher than </w:t>
      </w:r>
      <w:r>
        <w:rPr>
          <w:noProof/>
        </w:rPr>
        <w:t>on other global markets and</w:t>
      </w:r>
      <w:r w:rsidRPr="00B92545">
        <w:rPr>
          <w:noProof/>
        </w:rPr>
        <w:t xml:space="preserve"> electricity prices are approximately twice as high. </w:t>
      </w:r>
      <w:r w:rsidRPr="000615FB">
        <w:rPr>
          <w:noProof/>
        </w:rPr>
        <w:t>The forecasts for 2030 indicate a continuation of Europe’s energy cost disadvantage.</w:t>
      </w:r>
      <w:r>
        <w:rPr>
          <w:rStyle w:val="FootnoteReference"/>
          <w:noProof/>
        </w:rPr>
        <w:footnoteReference w:id="28"/>
      </w:r>
      <w:r w:rsidRPr="000615FB">
        <w:rPr>
          <w:noProof/>
        </w:rPr>
        <w:t xml:space="preserve"> </w:t>
      </w:r>
    </w:p>
    <w:p w14:paraId="3716507C" w14:textId="77777777" w:rsidR="00285741" w:rsidRDefault="00285741" w:rsidP="009949BD">
      <w:pPr>
        <w:spacing w:after="120"/>
        <w:rPr>
          <w:noProof/>
        </w:rPr>
      </w:pPr>
      <w:r w:rsidRPr="009671FB">
        <w:rPr>
          <w:noProof/>
        </w:rPr>
        <w:t xml:space="preserve">Most manufacturing industries operate in a global market shaped by increasingly distorted competition. These distortions are the result of a combination of state subsidies, global industrial overcapacity, tariff asymmetries, and the strategic deployment of foreign industrial policies that challenge Europe’s ability to </w:t>
      </w:r>
      <w:r>
        <w:rPr>
          <w:noProof/>
        </w:rPr>
        <w:t xml:space="preserve">remain competitive, while </w:t>
      </w:r>
      <w:r w:rsidRPr="009671FB">
        <w:rPr>
          <w:noProof/>
        </w:rPr>
        <w:t>decarbonis</w:t>
      </w:r>
      <w:r>
        <w:rPr>
          <w:noProof/>
        </w:rPr>
        <w:t>ing</w:t>
      </w:r>
      <w:r w:rsidRPr="009671FB">
        <w:rPr>
          <w:noProof/>
        </w:rPr>
        <w:t>.</w:t>
      </w:r>
      <w:r>
        <w:rPr>
          <w:noProof/>
        </w:rPr>
        <w:t xml:space="preserve"> In the new world order, </w:t>
      </w:r>
      <w:r w:rsidRPr="00FB7D05">
        <w:rPr>
          <w:noProof/>
        </w:rPr>
        <w:t>competitors like China are moving faster</w:t>
      </w:r>
      <w:r>
        <w:rPr>
          <w:noProof/>
        </w:rPr>
        <w:t xml:space="preserve"> in developing their clean technology industries and supporting their competitiveness</w:t>
      </w:r>
      <w:r w:rsidRPr="00FB7D05">
        <w:rPr>
          <w:noProof/>
        </w:rPr>
        <w:t>.</w:t>
      </w:r>
      <w:r>
        <w:rPr>
          <w:noProof/>
        </w:rPr>
        <w:t xml:space="preserve"> In</w:t>
      </w:r>
      <w:r w:rsidRPr="009D0DF1">
        <w:rPr>
          <w:noProof/>
        </w:rPr>
        <w:t xml:space="preserve"> 2023, China accounted for </w:t>
      </w:r>
      <w:r>
        <w:rPr>
          <w:noProof/>
        </w:rPr>
        <w:t>55%</w:t>
      </w:r>
      <w:r w:rsidRPr="009D0DF1">
        <w:rPr>
          <w:noProof/>
        </w:rPr>
        <w:t xml:space="preserve"> global steel production</w:t>
      </w:r>
      <w:r>
        <w:rPr>
          <w:rStyle w:val="FootnoteReference"/>
          <w:noProof/>
        </w:rPr>
        <w:footnoteReference w:id="29"/>
      </w:r>
      <w:r w:rsidRPr="009D0DF1">
        <w:rPr>
          <w:noProof/>
        </w:rPr>
        <w:t xml:space="preserve">, </w:t>
      </w:r>
      <w:r>
        <w:rPr>
          <w:noProof/>
        </w:rPr>
        <w:t>and above 60%</w:t>
      </w:r>
      <w:r w:rsidRPr="009D0DF1">
        <w:rPr>
          <w:noProof/>
        </w:rPr>
        <w:t xml:space="preserve"> </w:t>
      </w:r>
      <w:r>
        <w:rPr>
          <w:noProof/>
        </w:rPr>
        <w:t>for</w:t>
      </w:r>
      <w:r w:rsidRPr="009D0DF1">
        <w:rPr>
          <w:noProof/>
        </w:rPr>
        <w:t xml:space="preserve"> aluminium, solar PV, batteries, and electric vehicles (EVs)</w:t>
      </w:r>
      <w:r>
        <w:rPr>
          <w:noProof/>
        </w:rPr>
        <w:t>.</w:t>
      </w:r>
      <w:r>
        <w:rPr>
          <w:rStyle w:val="FootnoteReference"/>
          <w:noProof/>
        </w:rPr>
        <w:footnoteReference w:id="30"/>
      </w:r>
      <w:r>
        <w:rPr>
          <w:noProof/>
        </w:rPr>
        <w:t xml:space="preserve"> </w:t>
      </w:r>
    </w:p>
    <w:p w14:paraId="6233DA04" w14:textId="0425BAE4" w:rsidR="0077723B" w:rsidRDefault="0077723B" w:rsidP="009949BD">
      <w:pPr>
        <w:spacing w:after="120"/>
        <w:rPr>
          <w:noProof/>
        </w:rPr>
      </w:pPr>
      <w:r w:rsidRPr="2B1E53FB">
        <w:rPr>
          <w:noProof/>
        </w:rPr>
        <w:t>Beyond competitiveness pressures, the erosion of EU industrial capacity also creates growing economic security vulnerabilities. Several industrial value chains meet the criteria of high-risk dependencies, including heavy reliance on a single dominant supplier, exposure to non-market overcapacity</w:t>
      </w:r>
      <w:r w:rsidR="0081173C" w:rsidRPr="2B1E53FB">
        <w:rPr>
          <w:rStyle w:val="FootnoteReference"/>
          <w:noProof/>
        </w:rPr>
        <w:footnoteReference w:id="31"/>
      </w:r>
      <w:r w:rsidRPr="2B1E53FB">
        <w:rPr>
          <w:noProof/>
        </w:rPr>
        <w:t>, and the increasing use of export restrictions or coercive economic practices. Such dependencies can be weaponised, creating systemic risks for the Single Market and undermining the Union’s ability to secure the inputs needed for clean technologies, critical infrastructure, and defence-related manufacturing. As EU production shrinks and import reliance grows, the likelihood and impact of supply disruptions, price manipulation or arbitrary restrictions increase accordingly.</w:t>
      </w:r>
    </w:p>
    <w:p w14:paraId="1B934037" w14:textId="77777777" w:rsidR="00285741" w:rsidRDefault="00285741" w:rsidP="009949BD">
      <w:pPr>
        <w:spacing w:after="120"/>
        <w:rPr>
          <w:b/>
          <w:i/>
          <w:noProof/>
        </w:rPr>
      </w:pPr>
      <w:r w:rsidRPr="00E447EE">
        <w:rPr>
          <w:b/>
          <w:i/>
          <w:noProof/>
        </w:rPr>
        <w:t xml:space="preserve">Energy Intensive Industries in Europe: </w:t>
      </w:r>
      <w:r>
        <w:rPr>
          <w:b/>
          <w:bCs/>
          <w:i/>
          <w:iCs/>
          <w:noProof/>
        </w:rPr>
        <w:t>an industrial fabric at risk</w:t>
      </w:r>
      <w:r w:rsidRPr="00E447EE">
        <w:rPr>
          <w:b/>
          <w:i/>
          <w:noProof/>
        </w:rPr>
        <w:t xml:space="preserve"> </w:t>
      </w:r>
    </w:p>
    <w:p w14:paraId="7B134037" w14:textId="5716F60D" w:rsidR="00285741" w:rsidRDefault="00285741" w:rsidP="009949BD">
      <w:pPr>
        <w:spacing w:after="120"/>
        <w:rPr>
          <w:noProof/>
        </w:rPr>
      </w:pPr>
      <w:r>
        <w:rPr>
          <w:noProof/>
        </w:rPr>
        <w:t>Over the past decade, t</w:t>
      </w:r>
      <w:r w:rsidRPr="00511741">
        <w:rPr>
          <w:noProof/>
        </w:rPr>
        <w:t xml:space="preserve">he EU EIIs </w:t>
      </w:r>
      <w:r>
        <w:rPr>
          <w:noProof/>
        </w:rPr>
        <w:t>have</w:t>
      </w:r>
      <w:r w:rsidRPr="00511741">
        <w:rPr>
          <w:noProof/>
        </w:rPr>
        <w:t xml:space="preserve"> reduced</w:t>
      </w:r>
      <w:r>
        <w:rPr>
          <w:noProof/>
        </w:rPr>
        <w:t xml:space="preserve"> their GHG emissions by</w:t>
      </w:r>
      <w:r w:rsidRPr="00511741">
        <w:rPr>
          <w:noProof/>
        </w:rPr>
        <w:t xml:space="preserve"> </w:t>
      </w:r>
      <w:r w:rsidRPr="003050EA">
        <w:rPr>
          <w:noProof/>
        </w:rPr>
        <w:t>3</w:t>
      </w:r>
      <w:r w:rsidRPr="00E447EE">
        <w:rPr>
          <w:noProof/>
        </w:rPr>
        <w:t>5</w:t>
      </w:r>
      <w:r w:rsidR="0221F263" w:rsidRPr="003050EA">
        <w:rPr>
          <w:noProof/>
        </w:rPr>
        <w:t>%</w:t>
      </w:r>
      <w:r w:rsidRPr="00E447EE">
        <w:rPr>
          <w:rStyle w:val="FootnoteReference"/>
          <w:noProof/>
        </w:rPr>
        <w:footnoteReference w:id="32"/>
      </w:r>
      <w:r w:rsidR="008C356C">
        <w:rPr>
          <w:noProof/>
        </w:rPr>
        <w:t>, while their</w:t>
      </w:r>
      <w:r w:rsidRPr="00E447EE">
        <w:rPr>
          <w:noProof/>
        </w:rPr>
        <w:t xml:space="preserve"> emissions intensity</w:t>
      </w:r>
      <w:r w:rsidRPr="001B538A">
        <w:rPr>
          <w:noProof/>
        </w:rPr>
        <w:t xml:space="preserve"> </w:t>
      </w:r>
      <w:r w:rsidRPr="003050EA">
        <w:rPr>
          <w:noProof/>
        </w:rPr>
        <w:t>decreased by 25%</w:t>
      </w:r>
      <w:r w:rsidRPr="00E447EE">
        <w:rPr>
          <w:noProof/>
        </w:rPr>
        <w:t xml:space="preserve"> since 2000.</w:t>
      </w:r>
      <w:r w:rsidRPr="00E447EE" w:rsidDel="00FE730D">
        <w:rPr>
          <w:rStyle w:val="FootnoteReference"/>
          <w:noProof/>
        </w:rPr>
        <w:footnoteReference w:id="33"/>
      </w:r>
      <w:r w:rsidRPr="00E447EE">
        <w:rPr>
          <w:noProof/>
        </w:rPr>
        <w:t xml:space="preserve"> </w:t>
      </w:r>
      <w:r>
        <w:rPr>
          <w:noProof/>
        </w:rPr>
        <w:t xml:space="preserve">In parallel, their competitiveness has been declining, </w:t>
      </w:r>
      <w:r w:rsidR="00883A25">
        <w:rPr>
          <w:noProof/>
        </w:rPr>
        <w:t>more starkly</w:t>
      </w:r>
      <w:r>
        <w:rPr>
          <w:noProof/>
        </w:rPr>
        <w:t xml:space="preserve"> since the energy crisis in 2021</w:t>
      </w:r>
      <w:r w:rsidR="006729CD">
        <w:rPr>
          <w:noProof/>
        </w:rPr>
        <w:t>,</w:t>
      </w:r>
      <w:r>
        <w:rPr>
          <w:noProof/>
        </w:rPr>
        <w:t xml:space="preserve"> as energy costs in the EU remain above those of many international competitors. </w:t>
      </w:r>
      <w:r w:rsidRPr="00383F05">
        <w:rPr>
          <w:noProof/>
        </w:rPr>
        <w:t>Cost gaps with other world regions have widened</w:t>
      </w:r>
      <w:r>
        <w:rPr>
          <w:noProof/>
        </w:rPr>
        <w:t xml:space="preserve"> and imports shares</w:t>
      </w:r>
      <w:r w:rsidRPr="00772A77">
        <w:rPr>
          <w:noProof/>
        </w:rPr>
        <w:t xml:space="preserve"> (in particular, for chemicals and metals) </w:t>
      </w:r>
      <w:r>
        <w:rPr>
          <w:noProof/>
        </w:rPr>
        <w:t>have increased.</w:t>
      </w:r>
      <w:r>
        <w:rPr>
          <w:rStyle w:val="FootnoteReference"/>
          <w:noProof/>
        </w:rPr>
        <w:footnoteReference w:id="34"/>
      </w:r>
      <w:r>
        <w:rPr>
          <w:noProof/>
        </w:rPr>
        <w:t xml:space="preserve"> </w:t>
      </w:r>
    </w:p>
    <w:p w14:paraId="2C936DB3" w14:textId="78B88287" w:rsidR="00285741" w:rsidRDefault="00285741" w:rsidP="009949BD">
      <w:pPr>
        <w:spacing w:after="120"/>
        <w:rPr>
          <w:noProof/>
        </w:rPr>
      </w:pPr>
      <w:r>
        <w:rPr>
          <w:noProof/>
        </w:rPr>
        <w:fldChar w:fldCharType="begin"/>
      </w:r>
      <w:r>
        <w:rPr>
          <w:noProof/>
        </w:rPr>
        <w:instrText xml:space="preserve"> REF _Ref206926044 \h  \* MERGEFORMAT </w:instrText>
      </w:r>
      <w:r>
        <w:rPr>
          <w:noProof/>
        </w:rPr>
      </w:r>
      <w:r>
        <w:rPr>
          <w:noProof/>
        </w:rPr>
        <w:fldChar w:fldCharType="separate"/>
      </w:r>
      <w:r w:rsidR="00E16D65" w:rsidRPr="006E0101">
        <w:rPr>
          <w:noProof/>
        </w:rPr>
        <w:t>Figure 1</w:t>
      </w:r>
      <w:r>
        <w:rPr>
          <w:noProof/>
        </w:rPr>
        <w:fldChar w:fldCharType="end"/>
      </w:r>
      <w:r>
        <w:rPr>
          <w:noProof/>
        </w:rPr>
        <w:t xml:space="preserve"> below illustrates how production volumes in EIIs have substantially declined, compared to production volumes in other manufacturing sectors. The current </w:t>
      </w:r>
      <w:r w:rsidRPr="002754DB">
        <w:rPr>
          <w:noProof/>
        </w:rPr>
        <w:t xml:space="preserve">steel capacity utilisation rate is of </w:t>
      </w:r>
      <w:r w:rsidR="00B36FCE">
        <w:rPr>
          <w:noProof/>
        </w:rPr>
        <w:t xml:space="preserve">approximately </w:t>
      </w:r>
      <w:r w:rsidR="00B07B70">
        <w:rPr>
          <w:noProof/>
        </w:rPr>
        <w:t>65</w:t>
      </w:r>
      <w:r w:rsidR="00B36FCE">
        <w:rPr>
          <w:noProof/>
        </w:rPr>
        <w:t xml:space="preserve">%, </w:t>
      </w:r>
      <w:r w:rsidRPr="002754DB">
        <w:rPr>
          <w:noProof/>
        </w:rPr>
        <w:t>while to be market competitive the sector would need to run at above 8</w:t>
      </w:r>
      <w:r>
        <w:rPr>
          <w:noProof/>
        </w:rPr>
        <w:t>5</w:t>
      </w:r>
      <w:r w:rsidRPr="002754DB">
        <w:rPr>
          <w:noProof/>
        </w:rPr>
        <w:t>% capacity.</w:t>
      </w:r>
      <w:r>
        <w:rPr>
          <w:rStyle w:val="FootnoteReference"/>
          <w:noProof/>
        </w:rPr>
        <w:footnoteReference w:id="35"/>
      </w:r>
      <w:r>
        <w:rPr>
          <w:noProof/>
        </w:rPr>
        <w:t xml:space="preserve"> For the chemicals industry</w:t>
      </w:r>
      <w:r w:rsidRPr="0061589B">
        <w:rPr>
          <w:noProof/>
        </w:rPr>
        <w:t>, production utilisation rates have stagnated at 74-75% range, significantly below the historical averages of 81.5%</w:t>
      </w:r>
      <w:r>
        <w:rPr>
          <w:noProof/>
        </w:rPr>
        <w:t>.</w:t>
      </w:r>
      <w:r>
        <w:rPr>
          <w:rStyle w:val="FootnoteReference"/>
          <w:noProof/>
        </w:rPr>
        <w:footnoteReference w:id="36"/>
      </w:r>
      <w:r>
        <w:rPr>
          <w:noProof/>
        </w:rPr>
        <w:t xml:space="preserve"> </w:t>
      </w:r>
    </w:p>
    <w:p w14:paraId="2EE43F46" w14:textId="4515241B" w:rsidR="00285741" w:rsidRDefault="00285741" w:rsidP="009949BD">
      <w:pPr>
        <w:spacing w:after="120"/>
        <w:rPr>
          <w:noProof/>
        </w:rPr>
      </w:pPr>
      <w:r>
        <w:rPr>
          <w:noProof/>
        </w:rPr>
        <w:t>In a decade</w:t>
      </w:r>
      <w:r w:rsidRPr="001F097E">
        <w:rPr>
          <w:noProof/>
        </w:rPr>
        <w:t xml:space="preserve">, the </w:t>
      </w:r>
      <w:r>
        <w:rPr>
          <w:noProof/>
        </w:rPr>
        <w:t xml:space="preserve">EU </w:t>
      </w:r>
      <w:r w:rsidRPr="001F097E">
        <w:rPr>
          <w:noProof/>
        </w:rPr>
        <w:t xml:space="preserve">trade balance </w:t>
      </w:r>
      <w:r>
        <w:rPr>
          <w:noProof/>
        </w:rPr>
        <w:t>for</w:t>
      </w:r>
      <w:r w:rsidRPr="001F097E">
        <w:rPr>
          <w:noProof/>
        </w:rPr>
        <w:t xml:space="preserve"> </w:t>
      </w:r>
      <w:r>
        <w:rPr>
          <w:noProof/>
        </w:rPr>
        <w:t>EIIs</w:t>
      </w:r>
      <w:r w:rsidRPr="001F097E">
        <w:rPr>
          <w:noProof/>
        </w:rPr>
        <w:t xml:space="preserve"> has steadily declined, </w:t>
      </w:r>
      <w:r>
        <w:rPr>
          <w:noProof/>
        </w:rPr>
        <w:t>getting close to</w:t>
      </w:r>
      <w:r w:rsidRPr="001F097E">
        <w:rPr>
          <w:noProof/>
        </w:rPr>
        <w:t xml:space="preserve"> deficit in 2022</w:t>
      </w:r>
      <w:r w:rsidR="006F074E">
        <w:rPr>
          <w:noProof/>
        </w:rPr>
        <w:t>.</w:t>
      </w:r>
      <w:r>
        <w:rPr>
          <w:rStyle w:val="FootnoteReference"/>
          <w:noProof/>
        </w:rPr>
        <w:footnoteReference w:id="37"/>
      </w:r>
      <w:r>
        <w:rPr>
          <w:noProof/>
        </w:rPr>
        <w:t xml:space="preserve"> While this is the case for most energy-intensive sectors, the trend was largely driven by basic metals with a 36% drop, and chemicals </w:t>
      </w:r>
      <w:r w:rsidRPr="00B01B3B">
        <w:rPr>
          <w:noProof/>
        </w:rPr>
        <w:t xml:space="preserve">with </w:t>
      </w:r>
      <w:r>
        <w:rPr>
          <w:noProof/>
        </w:rPr>
        <w:t xml:space="preserve">an 8.1% drop in </w:t>
      </w:r>
      <w:r w:rsidRPr="00B01B3B">
        <w:rPr>
          <w:noProof/>
        </w:rPr>
        <w:t xml:space="preserve">exports and </w:t>
      </w:r>
      <w:r>
        <w:rPr>
          <w:noProof/>
        </w:rPr>
        <w:t xml:space="preserve">15% increase in </w:t>
      </w:r>
      <w:r w:rsidRPr="00B01B3B">
        <w:rPr>
          <w:noProof/>
        </w:rPr>
        <w:t>imports</w:t>
      </w:r>
      <w:r>
        <w:rPr>
          <w:noProof/>
        </w:rPr>
        <w:t>, amongst others</w:t>
      </w:r>
      <w:r w:rsidRPr="003B71DB">
        <w:rPr>
          <w:noProof/>
        </w:rPr>
        <w:t>.</w:t>
      </w:r>
      <w:r>
        <w:rPr>
          <w:rStyle w:val="FootnoteReference"/>
          <w:noProof/>
        </w:rPr>
        <w:footnoteReference w:id="38"/>
      </w:r>
      <w:r>
        <w:rPr>
          <w:noProof/>
        </w:rPr>
        <w:t xml:space="preserve"> </w:t>
      </w:r>
    </w:p>
    <w:p w14:paraId="055C32B4" w14:textId="77777777" w:rsidR="00285741" w:rsidRDefault="00285741">
      <w:pPr>
        <w:keepNext/>
        <w:jc w:val="center"/>
        <w:rPr>
          <w:noProof/>
        </w:rPr>
      </w:pPr>
      <w:r>
        <w:rPr>
          <w:noProof/>
          <w:lang w:eastAsia="en-GB"/>
        </w:rPr>
        <w:lastRenderedPageBreak/>
        <w:drawing>
          <wp:inline distT="0" distB="0" distL="0" distR="0" wp14:anchorId="352F974A" wp14:editId="7DCBCB58">
            <wp:extent cx="5624423" cy="1569720"/>
            <wp:effectExtent l="0" t="0" r="0" b="0"/>
            <wp:docPr id="19718451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14052" b="16103"/>
                    <a:stretch/>
                  </pic:blipFill>
                  <pic:spPr bwMode="auto">
                    <a:xfrm>
                      <a:off x="0" y="0"/>
                      <a:ext cx="5647176" cy="1576070"/>
                    </a:xfrm>
                    <a:prstGeom prst="rect">
                      <a:avLst/>
                    </a:prstGeom>
                    <a:noFill/>
                    <a:ln>
                      <a:noFill/>
                    </a:ln>
                    <a:extLst>
                      <a:ext uri="{53640926-AAD7-44D8-BBD7-CCE9431645EC}">
                        <a14:shadowObscured xmlns:a14="http://schemas.microsoft.com/office/drawing/2010/main"/>
                      </a:ext>
                    </a:extLst>
                  </pic:spPr>
                </pic:pic>
              </a:graphicData>
            </a:graphic>
          </wp:inline>
        </w:drawing>
      </w:r>
    </w:p>
    <w:p w14:paraId="3D11E7CD" w14:textId="444D298E" w:rsidR="00285741" w:rsidRPr="00EB6B04" w:rsidRDefault="00285741" w:rsidP="00414C74">
      <w:pPr>
        <w:pStyle w:val="Caption"/>
        <w:spacing w:after="120"/>
        <w:jc w:val="center"/>
        <w:rPr>
          <w:noProof/>
          <w:sz w:val="20"/>
          <w:szCs w:val="14"/>
        </w:rPr>
      </w:pPr>
      <w:bookmarkStart w:id="21" w:name="_Ref206926044"/>
      <w:r w:rsidRPr="00EB6B04">
        <w:rPr>
          <w:noProof/>
          <w:sz w:val="20"/>
          <w:szCs w:val="14"/>
        </w:rPr>
        <w:t xml:space="preserve">Figure </w:t>
      </w:r>
      <w:r w:rsidRPr="00EB6B04">
        <w:rPr>
          <w:noProof/>
          <w:sz w:val="20"/>
          <w:szCs w:val="14"/>
        </w:rPr>
        <w:fldChar w:fldCharType="begin"/>
      </w:r>
      <w:r w:rsidRPr="00D840D5">
        <w:rPr>
          <w:noProof/>
          <w:sz w:val="20"/>
          <w:szCs w:val="20"/>
        </w:rPr>
        <w:instrText xml:space="preserve"> SEQ Figure \* ARABIC </w:instrText>
      </w:r>
      <w:r w:rsidRPr="00EB6B04">
        <w:rPr>
          <w:noProof/>
          <w:sz w:val="20"/>
          <w:szCs w:val="14"/>
        </w:rPr>
        <w:fldChar w:fldCharType="separate"/>
      </w:r>
      <w:r w:rsidR="00E16D65">
        <w:rPr>
          <w:noProof/>
          <w:sz w:val="20"/>
          <w:szCs w:val="20"/>
        </w:rPr>
        <w:t>1</w:t>
      </w:r>
      <w:r w:rsidRPr="00EB6B04">
        <w:rPr>
          <w:noProof/>
          <w:sz w:val="20"/>
          <w:szCs w:val="14"/>
        </w:rPr>
        <w:fldChar w:fldCharType="end"/>
      </w:r>
      <w:bookmarkEnd w:id="21"/>
      <w:r w:rsidRPr="00EB6B04">
        <w:rPr>
          <w:noProof/>
          <w:sz w:val="20"/>
          <w:szCs w:val="14"/>
        </w:rPr>
        <w:t>: production volume and confidence indicators for EIIs, internal European Commission analysis</w:t>
      </w:r>
    </w:p>
    <w:p w14:paraId="72F67717" w14:textId="0645EDEC" w:rsidR="00285741" w:rsidRPr="001D6CA5" w:rsidRDefault="00285741">
      <w:pPr>
        <w:spacing w:after="120"/>
        <w:rPr>
          <w:noProof/>
          <w:vertAlign w:val="superscript"/>
        </w:rPr>
      </w:pPr>
      <w:r>
        <w:rPr>
          <w:noProof/>
        </w:rPr>
        <w:t>T</w:t>
      </w:r>
      <w:r w:rsidRPr="006D76C4">
        <w:rPr>
          <w:noProof/>
        </w:rPr>
        <w:t xml:space="preserve">he Draghi report highlights that decarbonising </w:t>
      </w:r>
      <w:r>
        <w:rPr>
          <w:noProof/>
        </w:rPr>
        <w:t xml:space="preserve">industry </w:t>
      </w:r>
      <w:r w:rsidRPr="006D76C4">
        <w:rPr>
          <w:noProof/>
        </w:rPr>
        <w:t>requires a far-reaching transformation of assets and processes, which calls for substantial investment.</w:t>
      </w:r>
      <w:r w:rsidR="0031441B">
        <w:rPr>
          <w:noProof/>
        </w:rPr>
        <w:t xml:space="preserve"> </w:t>
      </w:r>
      <w:r w:rsidR="001D6CA5">
        <w:rPr>
          <w:noProof/>
        </w:rPr>
        <w:t>T</w:t>
      </w:r>
      <w:r w:rsidR="00B630CF">
        <w:rPr>
          <w:noProof/>
        </w:rPr>
        <w:t>he impact assessment</w:t>
      </w:r>
      <w:r w:rsidRPr="006D76C4">
        <w:rPr>
          <w:noProof/>
        </w:rPr>
        <w:t xml:space="preserve"> </w:t>
      </w:r>
      <w:r w:rsidR="00A121CC">
        <w:rPr>
          <w:noProof/>
        </w:rPr>
        <w:t>for</w:t>
      </w:r>
      <w:r w:rsidR="002B7FAF">
        <w:rPr>
          <w:noProof/>
        </w:rPr>
        <w:t xml:space="preserve"> the </w:t>
      </w:r>
      <w:r w:rsidR="00440290">
        <w:rPr>
          <w:noProof/>
        </w:rPr>
        <w:t xml:space="preserve">2040 </w:t>
      </w:r>
      <w:r w:rsidR="001D6CA5">
        <w:rPr>
          <w:noProof/>
        </w:rPr>
        <w:t>C</w:t>
      </w:r>
      <w:r w:rsidR="00440290">
        <w:rPr>
          <w:noProof/>
        </w:rPr>
        <w:t xml:space="preserve">limate </w:t>
      </w:r>
      <w:r w:rsidR="001D6CA5">
        <w:rPr>
          <w:noProof/>
        </w:rPr>
        <w:t>T</w:t>
      </w:r>
      <w:r w:rsidR="005A2B79">
        <w:rPr>
          <w:noProof/>
        </w:rPr>
        <w:t>arget</w:t>
      </w:r>
      <w:r w:rsidR="00A5069E">
        <w:rPr>
          <w:noProof/>
        </w:rPr>
        <w:t xml:space="preserve"> </w:t>
      </w:r>
      <w:r w:rsidR="001D6CA5">
        <w:rPr>
          <w:noProof/>
        </w:rPr>
        <w:t xml:space="preserve">Plan </w:t>
      </w:r>
      <w:r w:rsidR="00A5069E">
        <w:rPr>
          <w:noProof/>
        </w:rPr>
        <w:t>estimates the</w:t>
      </w:r>
      <w:r w:rsidRPr="006D76C4">
        <w:rPr>
          <w:noProof/>
        </w:rPr>
        <w:t xml:space="preserve"> investment need</w:t>
      </w:r>
      <w:r w:rsidR="0049657A">
        <w:rPr>
          <w:noProof/>
        </w:rPr>
        <w:t>s</w:t>
      </w:r>
      <w:r w:rsidRPr="006D76C4">
        <w:rPr>
          <w:noProof/>
        </w:rPr>
        <w:t xml:space="preserve"> to transform the </w:t>
      </w:r>
      <w:r w:rsidR="008B7A94">
        <w:rPr>
          <w:noProof/>
        </w:rPr>
        <w:t xml:space="preserve">iron and </w:t>
      </w:r>
      <w:r w:rsidRPr="006D76C4">
        <w:rPr>
          <w:noProof/>
        </w:rPr>
        <w:t xml:space="preserve">steel sector at around </w:t>
      </w:r>
      <w:r w:rsidRPr="00DD1BF1">
        <w:rPr>
          <w:bCs/>
          <w:noProof/>
        </w:rPr>
        <w:t xml:space="preserve">EUR </w:t>
      </w:r>
      <w:r w:rsidR="0020274F">
        <w:rPr>
          <w:bCs/>
          <w:noProof/>
        </w:rPr>
        <w:t>80</w:t>
      </w:r>
      <w:r w:rsidRPr="00DD1BF1">
        <w:rPr>
          <w:bCs/>
          <w:noProof/>
        </w:rPr>
        <w:t xml:space="preserve"> billion between 2031 and 2040</w:t>
      </w:r>
      <w:r w:rsidR="003D5260">
        <w:rPr>
          <w:bCs/>
          <w:noProof/>
        </w:rPr>
        <w:t xml:space="preserve"> and EUR 100 billion between 2031 and 2050</w:t>
      </w:r>
      <w:r w:rsidRPr="003A6409">
        <w:rPr>
          <w:bCs/>
          <w:noProof/>
        </w:rPr>
        <w:t xml:space="preserve">, </w:t>
      </w:r>
      <w:r w:rsidR="00AA2AF0">
        <w:rPr>
          <w:bCs/>
          <w:noProof/>
        </w:rPr>
        <w:t xml:space="preserve">while </w:t>
      </w:r>
      <w:r w:rsidR="00AA2AF0" w:rsidRPr="003A6409">
        <w:rPr>
          <w:bCs/>
          <w:noProof/>
        </w:rPr>
        <w:t>for the four largest EIIs together (chemicals, basic metals, non-metallic minerals, and pulp and paper industry)</w:t>
      </w:r>
      <w:r w:rsidR="00AA2AF0">
        <w:rPr>
          <w:bCs/>
          <w:noProof/>
        </w:rPr>
        <w:t xml:space="preserve"> the investment needs are estimated </w:t>
      </w:r>
      <w:r w:rsidRPr="003A6409">
        <w:rPr>
          <w:bCs/>
          <w:noProof/>
        </w:rPr>
        <w:t xml:space="preserve">at around EUR </w:t>
      </w:r>
      <w:r w:rsidR="00401724">
        <w:rPr>
          <w:bCs/>
          <w:noProof/>
        </w:rPr>
        <w:t>287</w:t>
      </w:r>
      <w:r w:rsidR="000D30E4" w:rsidRPr="003A6409">
        <w:rPr>
          <w:bCs/>
          <w:noProof/>
        </w:rPr>
        <w:t xml:space="preserve"> </w:t>
      </w:r>
      <w:r w:rsidRPr="003A6409">
        <w:rPr>
          <w:bCs/>
          <w:noProof/>
        </w:rPr>
        <w:t xml:space="preserve">billion </w:t>
      </w:r>
      <w:r w:rsidR="003D5260">
        <w:rPr>
          <w:bCs/>
          <w:noProof/>
        </w:rPr>
        <w:t xml:space="preserve"> over 2031-2040</w:t>
      </w:r>
      <w:r w:rsidRPr="003A6409">
        <w:rPr>
          <w:bCs/>
          <w:noProof/>
        </w:rPr>
        <w:t xml:space="preserve"> and </w:t>
      </w:r>
      <w:r w:rsidRPr="00DD1BF1">
        <w:rPr>
          <w:bCs/>
          <w:noProof/>
        </w:rPr>
        <w:t xml:space="preserve">EUR 500 billion </w:t>
      </w:r>
      <w:r w:rsidR="003D5260">
        <w:rPr>
          <w:bCs/>
          <w:noProof/>
        </w:rPr>
        <w:t xml:space="preserve">over </w:t>
      </w:r>
      <w:r w:rsidRPr="00DD1BF1">
        <w:rPr>
          <w:bCs/>
          <w:noProof/>
        </w:rPr>
        <w:t>20</w:t>
      </w:r>
      <w:r w:rsidR="006F64BA">
        <w:rPr>
          <w:bCs/>
          <w:noProof/>
        </w:rPr>
        <w:t>31</w:t>
      </w:r>
      <w:r w:rsidRPr="00DD1BF1">
        <w:rPr>
          <w:bCs/>
          <w:noProof/>
        </w:rPr>
        <w:t>-20</w:t>
      </w:r>
      <w:r w:rsidR="006F64BA">
        <w:rPr>
          <w:bCs/>
          <w:noProof/>
        </w:rPr>
        <w:t>50</w:t>
      </w:r>
      <w:r w:rsidRPr="003A6409">
        <w:rPr>
          <w:bCs/>
          <w:noProof/>
        </w:rPr>
        <w:t>.</w:t>
      </w:r>
      <w:r w:rsidR="0055471E">
        <w:rPr>
          <w:rStyle w:val="FootnoteReference"/>
          <w:bCs/>
          <w:noProof/>
        </w:rPr>
        <w:footnoteReference w:id="39"/>
      </w:r>
      <w:r w:rsidR="007173D9">
        <w:rPr>
          <w:bCs/>
          <w:noProof/>
          <w:vertAlign w:val="superscript"/>
        </w:rPr>
        <w:t>,</w:t>
      </w:r>
      <w:r w:rsidR="007173D9" w:rsidRPr="003A6409">
        <w:rPr>
          <w:rStyle w:val="FootnoteReference"/>
          <w:bCs/>
          <w:noProof/>
        </w:rPr>
        <w:footnoteReference w:id="40"/>
      </w:r>
      <w:r w:rsidR="007173D9">
        <w:rPr>
          <w:bCs/>
          <w:noProof/>
        </w:rPr>
        <w:t xml:space="preserve"> </w:t>
      </w:r>
      <w:r w:rsidRPr="003A6409">
        <w:rPr>
          <w:bCs/>
          <w:noProof/>
        </w:rPr>
        <w:t xml:space="preserve">  While decarbonisation</w:t>
      </w:r>
      <w:r w:rsidRPr="2992D57F">
        <w:rPr>
          <w:noProof/>
        </w:rPr>
        <w:t xml:space="preserve"> technologies are often more mature and more cost competitive for non EII sectors, manufacturing companies still face significant costs alongside administrative hurdles, regulatory challenges and skills shortages for companies.</w:t>
      </w:r>
      <w:r>
        <w:rPr>
          <w:noProof/>
        </w:rPr>
        <w:t xml:space="preserve"> Today, the cost difference between high carbon and low-carbon technologies remain high, as it is explained under Sub-problem 1 and 3 and in more detail in Annex 7.</w:t>
      </w:r>
    </w:p>
    <w:p w14:paraId="7443A277" w14:textId="26EA2D30" w:rsidR="00285741" w:rsidRPr="00D840D5" w:rsidRDefault="00285741">
      <w:pPr>
        <w:spacing w:after="120"/>
        <w:rPr>
          <w:noProof/>
          <w:highlight w:val="yellow"/>
        </w:rPr>
      </w:pPr>
      <w:r w:rsidRPr="00D1637B">
        <w:rPr>
          <w:noProof/>
        </w:rPr>
        <w:t>Clean technologies also face competitiveness challenges and supply chain vulnerabilities</w:t>
      </w:r>
      <w:r w:rsidR="006F074E">
        <w:rPr>
          <w:noProof/>
        </w:rPr>
        <w:t>.</w:t>
      </w:r>
      <w:r w:rsidRPr="007534B8">
        <w:rPr>
          <w:noProof/>
          <w:vertAlign w:val="superscript"/>
        </w:rPr>
        <w:footnoteReference w:id="41"/>
      </w:r>
      <w:r w:rsidRPr="00D1637B">
        <w:rPr>
          <w:noProof/>
        </w:rPr>
        <w:t xml:space="preserve"> </w:t>
      </w:r>
      <w:r>
        <w:rPr>
          <w:noProof/>
        </w:rPr>
        <w:t xml:space="preserve">For instance, </w:t>
      </w:r>
      <w:r w:rsidRPr="00D1637B">
        <w:rPr>
          <w:noProof/>
        </w:rPr>
        <w:t xml:space="preserve">for </w:t>
      </w:r>
      <w:r>
        <w:rPr>
          <w:noProof/>
        </w:rPr>
        <w:t>s</w:t>
      </w:r>
      <w:r w:rsidRPr="00D1637B">
        <w:rPr>
          <w:noProof/>
        </w:rPr>
        <w:t>olar PV modules, the EU relies almost entirely on imports from China.</w:t>
      </w:r>
      <w:r>
        <w:rPr>
          <w:noProof/>
        </w:rPr>
        <w:t xml:space="preserve"> </w:t>
      </w:r>
      <w:r w:rsidRPr="00D1637B">
        <w:rPr>
          <w:noProof/>
        </w:rPr>
        <w:t xml:space="preserve">Lack of competitiveness </w:t>
      </w:r>
      <w:r w:rsidRPr="00D1637B" w:rsidDel="008F4D93">
        <w:rPr>
          <w:noProof/>
        </w:rPr>
        <w:t xml:space="preserve">is </w:t>
      </w:r>
      <w:r w:rsidRPr="00D1637B">
        <w:rPr>
          <w:noProof/>
        </w:rPr>
        <w:t xml:space="preserve">also visible in more downstream </w:t>
      </w:r>
      <w:r w:rsidR="008F4D93">
        <w:rPr>
          <w:noProof/>
        </w:rPr>
        <w:t>value</w:t>
      </w:r>
      <w:r w:rsidR="008F4D93" w:rsidRPr="00D1637B">
        <w:rPr>
          <w:noProof/>
        </w:rPr>
        <w:t xml:space="preserve"> </w:t>
      </w:r>
      <w:r w:rsidRPr="00D1637B">
        <w:rPr>
          <w:noProof/>
        </w:rPr>
        <w:t>chains</w:t>
      </w:r>
      <w:r w:rsidRPr="00D1637B" w:rsidDel="00AD6B89">
        <w:rPr>
          <w:noProof/>
        </w:rPr>
        <w:t xml:space="preserve">. </w:t>
      </w:r>
      <w:r w:rsidR="00AD6B89" w:rsidRPr="00D1637B">
        <w:rPr>
          <w:noProof/>
        </w:rPr>
        <w:t xml:space="preserve">For instance, the European automotive industry has </w:t>
      </w:r>
      <w:r w:rsidR="00AD6B89">
        <w:rPr>
          <w:noProof/>
        </w:rPr>
        <w:t xml:space="preserve">witnessed a </w:t>
      </w:r>
      <w:r w:rsidR="00AD6B89" w:rsidRPr="00D1637B">
        <w:rPr>
          <w:noProof/>
        </w:rPr>
        <w:t>significant</w:t>
      </w:r>
      <w:r w:rsidR="00AD6B89">
        <w:rPr>
          <w:noProof/>
        </w:rPr>
        <w:t xml:space="preserve"> reduction in profitability</w:t>
      </w:r>
      <w:r w:rsidR="00AD6B89" w:rsidRPr="00D1637B">
        <w:rPr>
          <w:noProof/>
        </w:rPr>
        <w:t>, with the average profitability of European automotive suppliers dropp</w:t>
      </w:r>
      <w:r w:rsidR="00AD6B89">
        <w:rPr>
          <w:noProof/>
        </w:rPr>
        <w:t>ing</w:t>
      </w:r>
      <w:r w:rsidR="00AD6B89" w:rsidRPr="00D1637B">
        <w:rPr>
          <w:noProof/>
        </w:rPr>
        <w:t xml:space="preserve"> </w:t>
      </w:r>
      <w:r w:rsidRPr="00D1637B" w:rsidDel="00AD6B89">
        <w:rPr>
          <w:noProof/>
        </w:rPr>
        <w:t>from</w:t>
      </w:r>
      <w:r w:rsidRPr="00D1637B">
        <w:rPr>
          <w:noProof/>
        </w:rPr>
        <w:t xml:space="preserve"> 7.4% in 2017 to 5.1% in 2023.</w:t>
      </w:r>
      <w:r w:rsidRPr="00D1637B">
        <w:rPr>
          <w:noProof/>
          <w:vertAlign w:val="superscript"/>
        </w:rPr>
        <w:footnoteReference w:id="42"/>
      </w:r>
      <w:r w:rsidRPr="00D1637B">
        <w:rPr>
          <w:noProof/>
        </w:rPr>
        <w:t xml:space="preserve"> </w:t>
      </w:r>
      <w:r>
        <w:rPr>
          <w:noProof/>
        </w:rPr>
        <w:t>See Annex 7 for further analysis of all relevant sectors.</w:t>
      </w:r>
    </w:p>
    <w:p w14:paraId="61BCABD6" w14:textId="77777777" w:rsidR="00285741" w:rsidRDefault="00285741" w:rsidP="00285741">
      <w:pPr>
        <w:pStyle w:val="Heading2"/>
        <w:keepLines w:val="0"/>
        <w:numPr>
          <w:ilvl w:val="1"/>
          <w:numId w:val="64"/>
        </w:numPr>
        <w:tabs>
          <w:tab w:val="num" w:pos="1855"/>
        </w:tabs>
        <w:spacing w:before="0" w:after="0"/>
        <w:ind w:left="1287" w:hanging="720"/>
        <w:rPr>
          <w:rFonts w:eastAsiaTheme="minorEastAsia"/>
        </w:rPr>
      </w:pPr>
      <w:bookmarkStart w:id="22" w:name="_Ref212648737"/>
      <w:bookmarkStart w:id="23" w:name="_Toc222489973"/>
      <w:r w:rsidRPr="00310056">
        <w:t>What are the sub-problems and their drivers?</w:t>
      </w:r>
      <w:bookmarkEnd w:id="22"/>
      <w:bookmarkEnd w:id="23"/>
    </w:p>
    <w:p w14:paraId="1E190D48" w14:textId="77777777" w:rsidR="00285741" w:rsidRPr="00D87A1D" w:rsidRDefault="00285741">
      <w:pPr>
        <w:spacing w:before="240" w:after="240"/>
        <w:rPr>
          <w:noProof/>
        </w:rPr>
      </w:pPr>
      <w:r w:rsidRPr="750EB9C0">
        <w:rPr>
          <w:rFonts w:eastAsiaTheme="minorEastAsia"/>
          <w:noProof/>
        </w:rPr>
        <w:t>The</w:t>
      </w:r>
      <w:r w:rsidRPr="00D87A1D">
        <w:rPr>
          <w:rFonts w:eastAsiaTheme="minorEastAsia"/>
          <w:noProof/>
        </w:rPr>
        <w:t xml:space="preserve"> main problem </w:t>
      </w:r>
      <w:r>
        <w:rPr>
          <w:rFonts w:eastAsiaTheme="minorEastAsia"/>
          <w:noProof/>
        </w:rPr>
        <w:t>is</w:t>
      </w:r>
      <w:r w:rsidRPr="00D87A1D">
        <w:rPr>
          <w:rFonts w:eastAsiaTheme="minorEastAsia"/>
          <w:noProof/>
        </w:rPr>
        <w:t xml:space="preserve"> </w:t>
      </w:r>
      <w:r w:rsidRPr="00221056">
        <w:rPr>
          <w:rFonts w:eastAsiaTheme="minorEastAsia"/>
          <w:noProof/>
        </w:rPr>
        <w:t xml:space="preserve">the </w:t>
      </w:r>
      <w:r w:rsidRPr="00F35D03">
        <w:rPr>
          <w:noProof/>
        </w:rPr>
        <w:t xml:space="preserve">limited business case for EU industry, and EIIs in particular, to invest in decarbonisation in time to reach the EU’s climate targets while </w:t>
      </w:r>
      <w:r>
        <w:rPr>
          <w:noProof/>
        </w:rPr>
        <w:t>ensuring the</w:t>
      </w:r>
      <w:r w:rsidRPr="00F35D03">
        <w:rPr>
          <w:noProof/>
        </w:rPr>
        <w:t xml:space="preserve"> competitive</w:t>
      </w:r>
      <w:r>
        <w:rPr>
          <w:noProof/>
        </w:rPr>
        <w:t>ness of EU energy intensive and clean tech industries</w:t>
      </w:r>
      <w:r w:rsidRPr="00F35D03">
        <w:rPr>
          <w:noProof/>
        </w:rPr>
        <w:t xml:space="preserve"> in the process</w:t>
      </w:r>
      <w:r w:rsidRPr="00221056">
        <w:rPr>
          <w:noProof/>
        </w:rPr>
        <w:t>.</w:t>
      </w:r>
      <w:r w:rsidRPr="00D87A1D">
        <w:rPr>
          <w:noProof/>
        </w:rPr>
        <w:t xml:space="preserve"> </w:t>
      </w:r>
    </w:p>
    <w:p w14:paraId="421F4325" w14:textId="77777777" w:rsidR="00285741" w:rsidRDefault="00285741" w:rsidP="00285741">
      <w:pPr>
        <w:pStyle w:val="Heading3"/>
        <w:numPr>
          <w:ilvl w:val="2"/>
          <w:numId w:val="64"/>
        </w:numPr>
        <w:spacing w:before="0" w:after="0"/>
        <w:rPr>
          <w:rStyle w:val="normaltextrun"/>
          <w:b/>
          <w:bCs/>
        </w:rPr>
      </w:pPr>
      <w:r w:rsidRPr="00310056">
        <w:rPr>
          <w:rFonts w:eastAsiaTheme="minorEastAsia"/>
          <w:b/>
          <w:i w:val="0"/>
        </w:rPr>
        <w:t xml:space="preserve">Sub-problem 1: Limited demand for </w:t>
      </w:r>
      <w:r w:rsidRPr="00310056" w:rsidDel="009E582A">
        <w:rPr>
          <w:rFonts w:eastAsiaTheme="minorEastAsia"/>
          <w:b/>
          <w:i w:val="0"/>
        </w:rPr>
        <w:t xml:space="preserve">European </w:t>
      </w:r>
      <w:r w:rsidRPr="00310056">
        <w:rPr>
          <w:rFonts w:eastAsiaTheme="minorEastAsia"/>
          <w:b/>
          <w:i w:val="0"/>
        </w:rPr>
        <w:t>low-carbon industrial products at current prices</w:t>
      </w:r>
    </w:p>
    <w:p w14:paraId="445FC0ED" w14:textId="77777777" w:rsidR="00285741" w:rsidRDefault="00285741">
      <w:pPr>
        <w:spacing w:before="240" w:after="240"/>
        <w:rPr>
          <w:rStyle w:val="normaltextrun"/>
          <w:rFonts w:cstheme="majorBidi"/>
          <w:i/>
          <w:noProof/>
          <w:szCs w:val="20"/>
        </w:rPr>
      </w:pPr>
      <w:r w:rsidRPr="42C97633">
        <w:rPr>
          <w:rStyle w:val="normaltextrun"/>
          <w:b/>
          <w:bCs/>
          <w:noProof/>
        </w:rPr>
        <w:t>Limited demand for low-carbon industrial products</w:t>
      </w:r>
      <w:r w:rsidRPr="42C97633">
        <w:rPr>
          <w:rStyle w:val="normaltextrun"/>
          <w:noProof/>
        </w:rPr>
        <w:t xml:space="preserve"> is mainly due to the </w:t>
      </w:r>
      <w:r>
        <w:rPr>
          <w:rStyle w:val="normaltextrun"/>
          <w:noProof/>
        </w:rPr>
        <w:t xml:space="preserve">currently </w:t>
      </w:r>
      <w:r w:rsidRPr="42C97633">
        <w:rPr>
          <w:rStyle w:val="normaltextrun"/>
          <w:noProof/>
        </w:rPr>
        <w:t xml:space="preserve">higher costs of these products against more </w:t>
      </w:r>
      <w:r>
        <w:rPr>
          <w:rStyle w:val="normaltextrun"/>
          <w:noProof/>
        </w:rPr>
        <w:t xml:space="preserve">carbon </w:t>
      </w:r>
      <w:r w:rsidRPr="42C97633">
        <w:rPr>
          <w:rStyle w:val="normaltextrun"/>
          <w:noProof/>
        </w:rPr>
        <w:t>intensive alternatives.</w:t>
      </w:r>
      <w:r>
        <w:rPr>
          <w:rStyle w:val="normaltextrun"/>
          <w:noProof/>
        </w:rPr>
        <w:t xml:space="preserve"> </w:t>
      </w:r>
      <w:r w:rsidRPr="42C97633">
        <w:rPr>
          <w:rStyle w:val="normaltextrun"/>
          <w:noProof/>
        </w:rPr>
        <w:t xml:space="preserve">Additionally, </w:t>
      </w:r>
      <w:r w:rsidRPr="42C97633" w:rsidDel="3C7C16BD">
        <w:rPr>
          <w:rStyle w:val="normaltextrun"/>
          <w:noProof/>
        </w:rPr>
        <w:t>business</w:t>
      </w:r>
      <w:r w:rsidRPr="42C97633" w:rsidDel="2816F3F9">
        <w:rPr>
          <w:rStyle w:val="normaltextrun"/>
          <w:noProof/>
        </w:rPr>
        <w:t xml:space="preserve"> </w:t>
      </w:r>
      <w:r w:rsidRPr="42C97633">
        <w:rPr>
          <w:rStyle w:val="normaltextrun"/>
          <w:noProof/>
        </w:rPr>
        <w:t xml:space="preserve">customers often </w:t>
      </w:r>
      <w:r>
        <w:rPr>
          <w:rStyle w:val="normaltextrun"/>
          <w:noProof/>
        </w:rPr>
        <w:t xml:space="preserve">lack sufficient incentives and </w:t>
      </w:r>
      <w:r w:rsidRPr="42C97633">
        <w:rPr>
          <w:rStyle w:val="normaltextrun"/>
          <w:noProof/>
        </w:rPr>
        <w:t>face difficulties distinguishing between low-emission and carbon intensive industrial products, due to the absence of commonly agreed, transparent and harmonised standards, labelling and definitions. Th</w:t>
      </w:r>
      <w:r>
        <w:rPr>
          <w:rStyle w:val="normaltextrun"/>
          <w:noProof/>
        </w:rPr>
        <w:t>ese factors</w:t>
      </w:r>
      <w:r w:rsidRPr="42C97633">
        <w:rPr>
          <w:rStyle w:val="normaltextrun"/>
          <w:noProof/>
        </w:rPr>
        <w:t xml:space="preserve"> restrict market </w:t>
      </w:r>
      <w:r w:rsidRPr="42C97633">
        <w:rPr>
          <w:rStyle w:val="normaltextrun"/>
          <w:noProof/>
        </w:rPr>
        <w:lastRenderedPageBreak/>
        <w:t>entry and identification of low-carbon industrial products and hamper business to business (B2B) transactions from complying with high climate mitigation ambition.</w:t>
      </w:r>
    </w:p>
    <w:p w14:paraId="28791FD0" w14:textId="77777777" w:rsidR="00285741" w:rsidRDefault="00285741" w:rsidP="00285741">
      <w:pPr>
        <w:pStyle w:val="Heading4"/>
        <w:numPr>
          <w:ilvl w:val="3"/>
          <w:numId w:val="64"/>
        </w:numPr>
        <w:spacing w:before="0" w:after="0"/>
        <w:ind w:left="1715"/>
        <w:rPr>
          <w:noProof/>
        </w:rPr>
      </w:pPr>
      <w:r w:rsidRPr="008605AD">
        <w:rPr>
          <w:rFonts w:eastAsiaTheme="minorEastAsia"/>
          <w:b/>
          <w:noProof/>
          <w:color w:val="auto"/>
        </w:rPr>
        <w:t>Driver 1 (market failure): Challenges in distinguishing low-carbon industrial products from high-carbon alternatives</w:t>
      </w:r>
    </w:p>
    <w:p w14:paraId="49C62EA0" w14:textId="3EE6F270" w:rsidR="00285741" w:rsidRDefault="00285741">
      <w:pPr>
        <w:spacing w:before="240" w:after="120"/>
        <w:rPr>
          <w:noProof/>
        </w:rPr>
      </w:pPr>
      <w:r>
        <w:rPr>
          <w:noProof/>
        </w:rPr>
        <w:t>Although many industrial production facilities closely monitor their emissions, there is currently no harmonised carbon accounting methodology systematically applied for industrial products</w:t>
      </w:r>
      <w:r w:rsidR="006F074E">
        <w:rPr>
          <w:noProof/>
        </w:rPr>
        <w:t>.</w:t>
      </w:r>
      <w:r>
        <w:rPr>
          <w:rStyle w:val="FootnoteReference"/>
          <w:noProof/>
        </w:rPr>
        <w:footnoteReference w:id="43"/>
      </w:r>
      <w:r>
        <w:rPr>
          <w:noProof/>
        </w:rPr>
        <w:t xml:space="preserve"> This is due to several reasons.</w:t>
      </w:r>
      <w:r w:rsidDel="006C219F">
        <w:rPr>
          <w:noProof/>
        </w:rPr>
        <w:t xml:space="preserve"> </w:t>
      </w:r>
      <w:r>
        <w:rPr>
          <w:noProof/>
        </w:rPr>
        <w:t>First,</w:t>
      </w:r>
      <w:r w:rsidRPr="009D6E5A" w:rsidDel="00863044">
        <w:rPr>
          <w:noProof/>
        </w:rPr>
        <w:t xml:space="preserve"> current environmental and </w:t>
      </w:r>
      <w:r w:rsidDel="00863044">
        <w:rPr>
          <w:noProof/>
        </w:rPr>
        <w:t>GHG</w:t>
      </w:r>
      <w:r w:rsidRPr="009D6E5A" w:rsidDel="00863044">
        <w:rPr>
          <w:noProof/>
        </w:rPr>
        <w:t xml:space="preserve"> reporting requirements are typically </w:t>
      </w:r>
      <w:r w:rsidDel="00863044">
        <w:rPr>
          <w:noProof/>
        </w:rPr>
        <w:t>registered at installation level</w:t>
      </w:r>
      <w:r>
        <w:rPr>
          <w:noProof/>
        </w:rPr>
        <w:t>, as in the context of</w:t>
      </w:r>
      <w:r w:rsidDel="00863044">
        <w:rPr>
          <w:noProof/>
        </w:rPr>
        <w:t xml:space="preserve"> the EU ETS. </w:t>
      </w:r>
      <w:r>
        <w:rPr>
          <w:noProof/>
        </w:rPr>
        <w:t xml:space="preserve">Translating these installation-level emissions into emissions per product requires attributing the emissions from various production stages </w:t>
      </w:r>
      <w:r w:rsidRPr="007E660F">
        <w:rPr>
          <w:noProof/>
        </w:rPr>
        <w:t xml:space="preserve">and possibly various installations (in or outside the EU) </w:t>
      </w:r>
      <w:r>
        <w:rPr>
          <w:noProof/>
        </w:rPr>
        <w:t>to a specific industrial product.</w:t>
      </w:r>
      <w:r>
        <w:rPr>
          <w:rStyle w:val="FootnoteReference"/>
          <w:noProof/>
        </w:rPr>
        <w:footnoteReference w:id="44"/>
      </w:r>
      <w:r>
        <w:rPr>
          <w:noProof/>
        </w:rPr>
        <w:t xml:space="preserve"> Second, </w:t>
      </w:r>
      <w:r w:rsidRPr="00100DF4" w:rsidDel="00863044">
        <w:rPr>
          <w:noProof/>
        </w:rPr>
        <w:t>t</w:t>
      </w:r>
      <w:r w:rsidRPr="00100DF4">
        <w:rPr>
          <w:noProof/>
        </w:rPr>
        <w:t xml:space="preserve">he complexity is further increased by factors such as the diversity of production technologies, the outsourcing of certain production steps, </w:t>
      </w:r>
      <w:r w:rsidRPr="0089169A">
        <w:rPr>
          <w:noProof/>
        </w:rPr>
        <w:t>long and complex supply chains</w:t>
      </w:r>
      <w:r w:rsidRPr="00100DF4">
        <w:rPr>
          <w:noProof/>
        </w:rPr>
        <w:t xml:space="preserve"> and the varying use of imported heat and electricity in production processes. </w:t>
      </w:r>
      <w:r>
        <w:rPr>
          <w:noProof/>
        </w:rPr>
        <w:t>Finally,</w:t>
      </w:r>
      <w:r w:rsidRPr="00100DF4">
        <w:rPr>
          <w:noProof/>
        </w:rPr>
        <w:t xml:space="preserve"> different methodological approaches</w:t>
      </w:r>
      <w:r>
        <w:rPr>
          <w:noProof/>
        </w:rPr>
        <w:t xml:space="preserve"> are used </w:t>
      </w:r>
      <w:r w:rsidRPr="00100DF4">
        <w:rPr>
          <w:noProof/>
        </w:rPr>
        <w:t>on the scope of emissions to be considered</w:t>
      </w:r>
      <w:r>
        <w:rPr>
          <w:noProof/>
        </w:rPr>
        <w:t>.</w:t>
      </w:r>
      <w:r w:rsidRPr="00416276">
        <w:rPr>
          <w:noProof/>
        </w:rPr>
        <w:t xml:space="preserve"> </w:t>
      </w:r>
      <w:r>
        <w:rPr>
          <w:noProof/>
        </w:rPr>
        <w:t>W</w:t>
      </w:r>
      <w:r w:rsidRPr="002F3D1F">
        <w:rPr>
          <w:noProof/>
        </w:rPr>
        <w:t>ithout sound verification mechanism in place, the level playing field among businesses cannot be guaranteed, greenwashing can proliferate, and the exercise may become an administrative burden</w:t>
      </w:r>
      <w:r>
        <w:rPr>
          <w:noProof/>
        </w:rPr>
        <w:t xml:space="preserve">, including for public authorities when dealing with green public procurement procedures. </w:t>
      </w:r>
    </w:p>
    <w:p w14:paraId="52F79594" w14:textId="77777777" w:rsidR="00285741" w:rsidRPr="00F94819" w:rsidRDefault="00285741">
      <w:pPr>
        <w:spacing w:after="240"/>
        <w:rPr>
          <w:noProof/>
        </w:rPr>
      </w:pPr>
      <w:r w:rsidRPr="00597BA1">
        <w:rPr>
          <w:noProof/>
        </w:rPr>
        <w:t xml:space="preserve">As a result, several initiatives have emerged to define what constitutes a </w:t>
      </w:r>
      <w:r>
        <w:rPr>
          <w:noProof/>
        </w:rPr>
        <w:t>“low-carbon”</w:t>
      </w:r>
      <w:r w:rsidRPr="00597BA1">
        <w:rPr>
          <w:noProof/>
        </w:rPr>
        <w:t xml:space="preserve"> industrial product. </w:t>
      </w:r>
      <w:r>
        <w:rPr>
          <w:noProof/>
        </w:rPr>
        <w:t>For instance,</w:t>
      </w:r>
      <w:r w:rsidRPr="006005EA">
        <w:rPr>
          <w:noProof/>
        </w:rPr>
        <w:t xml:space="preserve"> over 150 sustainability standards and initiatives</w:t>
      </w:r>
      <w:r w:rsidRPr="00E416E9">
        <w:rPr>
          <w:noProof/>
          <w:vertAlign w:val="superscript"/>
        </w:rPr>
        <w:footnoteReference w:id="45"/>
      </w:r>
      <w:r w:rsidRPr="006005EA">
        <w:rPr>
          <w:noProof/>
        </w:rPr>
        <w:t xml:space="preserve"> spanning the entire steel value chain</w:t>
      </w:r>
      <w:r>
        <w:rPr>
          <w:noProof/>
        </w:rPr>
        <w:t xml:space="preserve"> aim</w:t>
      </w:r>
      <w:r w:rsidRPr="006005EA">
        <w:rPr>
          <w:noProof/>
        </w:rPr>
        <w:t xml:space="preserve"> to determine what constitutes </w:t>
      </w:r>
      <w:r>
        <w:rPr>
          <w:noProof/>
        </w:rPr>
        <w:t xml:space="preserve">iron and </w:t>
      </w:r>
      <w:r w:rsidRPr="006005EA">
        <w:rPr>
          <w:noProof/>
        </w:rPr>
        <w:t xml:space="preserve">steel with lower environmental impacts. </w:t>
      </w:r>
      <w:r>
        <w:rPr>
          <w:noProof/>
        </w:rPr>
        <w:t xml:space="preserve">As explained in the baseline (Section 5.1 and Annex 8), the ESPR and the CPR (Construction Product Regulation) provide a regulatory framework to introduce information and/or performance requirements </w:t>
      </w:r>
      <w:r w:rsidRPr="00761321">
        <w:rPr>
          <w:noProof/>
        </w:rPr>
        <w:t xml:space="preserve">on the environmental </w:t>
      </w:r>
      <w:r>
        <w:rPr>
          <w:noProof/>
        </w:rPr>
        <w:t>or carbon</w:t>
      </w:r>
      <w:r w:rsidRPr="00761321">
        <w:rPr>
          <w:noProof/>
        </w:rPr>
        <w:t xml:space="preserve"> footprint of product</w:t>
      </w:r>
      <w:r>
        <w:rPr>
          <w:noProof/>
        </w:rPr>
        <w:t>s</w:t>
      </w:r>
      <w:r w:rsidRPr="00761321">
        <w:rPr>
          <w:noProof/>
        </w:rPr>
        <w:t xml:space="preserve"> </w:t>
      </w:r>
      <w:r>
        <w:rPr>
          <w:noProof/>
        </w:rPr>
        <w:t>from</w:t>
      </w:r>
      <w:r w:rsidRPr="00761321">
        <w:rPr>
          <w:noProof/>
        </w:rPr>
        <w:t xml:space="preserve"> a life-cycle perspective</w:t>
      </w:r>
      <w:r>
        <w:rPr>
          <w:noProof/>
        </w:rPr>
        <w:t xml:space="preserve">. </w:t>
      </w:r>
      <w:r w:rsidRPr="00035268">
        <w:rPr>
          <w:noProof/>
        </w:rPr>
        <w:t>This initiative will complement and ensure coherence with these frameworks</w:t>
      </w:r>
      <w:r>
        <w:rPr>
          <w:rStyle w:val="FootnoteReference"/>
          <w:noProof/>
        </w:rPr>
        <w:footnoteReference w:id="46"/>
      </w:r>
      <w:r w:rsidRPr="00035268">
        <w:rPr>
          <w:noProof/>
        </w:rPr>
        <w:t xml:space="preserve"> while enabling more targeted deployment of carbon-intensity information for selected industrial products.</w:t>
      </w:r>
    </w:p>
    <w:p w14:paraId="7F32265A" w14:textId="77777777" w:rsidR="00285741" w:rsidRPr="008605AD" w:rsidRDefault="00285741" w:rsidP="00285741">
      <w:pPr>
        <w:pStyle w:val="Heading4"/>
        <w:numPr>
          <w:ilvl w:val="3"/>
          <w:numId w:val="64"/>
        </w:numPr>
        <w:spacing w:after="120"/>
        <w:ind w:left="1715"/>
        <w:rPr>
          <w:rFonts w:eastAsiaTheme="minorEastAsia"/>
          <w:b/>
          <w:noProof/>
          <w:color w:val="auto"/>
        </w:rPr>
      </w:pPr>
      <w:r w:rsidRPr="008605AD">
        <w:rPr>
          <w:rFonts w:eastAsiaTheme="minorEastAsia"/>
          <w:b/>
          <w:noProof/>
          <w:color w:val="auto"/>
        </w:rPr>
        <w:t>Driver 2: Limited willingness to pay a premium for low-carbon industrial products</w:t>
      </w:r>
    </w:p>
    <w:p w14:paraId="41F657DC" w14:textId="6A44CF82" w:rsidR="00285741" w:rsidRDefault="00285741" w:rsidP="00135A57">
      <w:pPr>
        <w:spacing w:after="120"/>
        <w:rPr>
          <w:rStyle w:val="FootnoteReference"/>
          <w:rFonts w:eastAsiaTheme="majorEastAsia" w:cstheme="majorBidi"/>
          <w:i/>
          <w:noProof/>
          <w:color w:val="0F4761" w:themeColor="accent1" w:themeShade="BF"/>
        </w:rPr>
      </w:pPr>
      <w:r w:rsidRPr="0058012D">
        <w:rPr>
          <w:noProof/>
        </w:rPr>
        <w:t xml:space="preserve">While in some sectors, such as electricity production, the cost of low-carbon technologies is already lower than that of conventional fossil fuel-based alternatives, industrial sectors often </w:t>
      </w:r>
      <w:r w:rsidRPr="006909FD">
        <w:rPr>
          <w:noProof/>
        </w:rPr>
        <w:t>continue to face significantly higher costs for producing low-carbon products, often due to lack of economies of scale</w:t>
      </w:r>
      <w:r w:rsidR="007F3E2C">
        <w:rPr>
          <w:noProof/>
        </w:rPr>
        <w:t>.</w:t>
      </w:r>
      <w:r w:rsidRPr="008D1CA1">
        <w:rPr>
          <w:rStyle w:val="FootnoteReference"/>
          <w:noProof/>
        </w:rPr>
        <w:footnoteReference w:id="47"/>
      </w:r>
      <w:r w:rsidRPr="008D1CA1">
        <w:rPr>
          <w:noProof/>
        </w:rPr>
        <w:t xml:space="preserve"> In the steel and cement sectors, estimates suggest that </w:t>
      </w:r>
      <w:r w:rsidR="00FD2044" w:rsidRPr="004A2976">
        <w:rPr>
          <w:noProof/>
        </w:rPr>
        <w:t>procurement cost</w:t>
      </w:r>
      <w:r w:rsidR="0082361C" w:rsidRPr="004A2976">
        <w:rPr>
          <w:noProof/>
        </w:rPr>
        <w:t xml:space="preserve"> for low-carbon steel</w:t>
      </w:r>
      <w:r w:rsidR="00FD2044" w:rsidRPr="004A2976">
        <w:rPr>
          <w:noProof/>
        </w:rPr>
        <w:t xml:space="preserve"> </w:t>
      </w:r>
      <w:r w:rsidR="0091281D" w:rsidRPr="004A2976">
        <w:rPr>
          <w:noProof/>
        </w:rPr>
        <w:t xml:space="preserve">could </w:t>
      </w:r>
      <w:r w:rsidR="0082361C" w:rsidRPr="004A2976">
        <w:rPr>
          <w:noProof/>
        </w:rPr>
        <w:t xml:space="preserve">range </w:t>
      </w:r>
      <w:r w:rsidRPr="008D1CA1">
        <w:rPr>
          <w:noProof/>
        </w:rPr>
        <w:t xml:space="preserve">from around </w:t>
      </w:r>
      <w:r w:rsidR="00135A57" w:rsidRPr="004A2976">
        <w:rPr>
          <w:noProof/>
        </w:rPr>
        <w:t>33%</w:t>
      </w:r>
      <w:r w:rsidRPr="008D1CA1">
        <w:rPr>
          <w:noProof/>
        </w:rPr>
        <w:t xml:space="preserve">% in a low-cost scenario to as much as </w:t>
      </w:r>
      <w:r w:rsidR="009412E3" w:rsidRPr="004A2976">
        <w:rPr>
          <w:noProof/>
        </w:rPr>
        <w:t>70</w:t>
      </w:r>
      <w:r w:rsidRPr="008D1CA1">
        <w:rPr>
          <w:noProof/>
        </w:rPr>
        <w:t>% in a high-cost scenario, compared to</w:t>
      </w:r>
      <w:r w:rsidR="00E311CE" w:rsidRPr="004A2976">
        <w:rPr>
          <w:noProof/>
        </w:rPr>
        <w:t xml:space="preserve"> </w:t>
      </w:r>
      <w:r w:rsidRPr="008D1CA1">
        <w:rPr>
          <w:noProof/>
        </w:rPr>
        <w:t>conventional</w:t>
      </w:r>
      <w:r w:rsidR="00E311CE" w:rsidRPr="004A2976">
        <w:rPr>
          <w:noProof/>
        </w:rPr>
        <w:t xml:space="preserve"> technologies</w:t>
      </w:r>
      <w:r w:rsidR="000A5898" w:rsidRPr="004A2976">
        <w:rPr>
          <w:noProof/>
        </w:rPr>
        <w:t xml:space="preserve"> and considering current CO2 costs</w:t>
      </w:r>
      <w:r w:rsidRPr="008D1CA1">
        <w:rPr>
          <w:noProof/>
        </w:rPr>
        <w:t>.</w:t>
      </w:r>
      <w:r w:rsidRPr="008D1CA1">
        <w:rPr>
          <w:rStyle w:val="FootnoteReference"/>
          <w:noProof/>
        </w:rPr>
        <w:footnoteReference w:id="48"/>
      </w:r>
    </w:p>
    <w:p w14:paraId="229574DB" w14:textId="77777777" w:rsidR="00285741" w:rsidRDefault="00285741" w:rsidP="006D76C4">
      <w:pPr>
        <w:spacing w:after="120"/>
        <w:rPr>
          <w:noProof/>
        </w:rPr>
      </w:pPr>
      <w:r w:rsidRPr="0077520E">
        <w:rPr>
          <w:noProof/>
        </w:rPr>
        <w:lastRenderedPageBreak/>
        <w:t>To</w:t>
      </w:r>
      <w:r>
        <w:rPr>
          <w:noProof/>
        </w:rPr>
        <w:t xml:space="preserve"> create a sound business case, when </w:t>
      </w:r>
      <w:r w:rsidRPr="0077520E">
        <w:rPr>
          <w:noProof/>
        </w:rPr>
        <w:t>commercial</w:t>
      </w:r>
      <w:r>
        <w:rPr>
          <w:noProof/>
        </w:rPr>
        <w:t>ly</w:t>
      </w:r>
      <w:r w:rsidRPr="0077520E">
        <w:rPr>
          <w:noProof/>
        </w:rPr>
        <w:t xml:space="preserve"> market</w:t>
      </w:r>
      <w:r>
        <w:rPr>
          <w:noProof/>
        </w:rPr>
        <w:t>ing</w:t>
      </w:r>
      <w:r w:rsidRPr="0077520E">
        <w:rPr>
          <w:noProof/>
        </w:rPr>
        <w:t xml:space="preserve"> low-carbon products</w:t>
      </w:r>
      <w:r>
        <w:rPr>
          <w:noProof/>
        </w:rPr>
        <w:t>,</w:t>
      </w:r>
      <w:r w:rsidRPr="0077520E">
        <w:rPr>
          <w:noProof/>
        </w:rPr>
        <w:t xml:space="preserve"> manufacturers will likely need to pass on these additional costs in the short to medium term through a "green premium" to potential buyers</w:t>
      </w:r>
      <w:r>
        <w:rPr>
          <w:noProof/>
        </w:rPr>
        <w:t>.</w:t>
      </w:r>
      <w:r>
        <w:rPr>
          <w:rStyle w:val="FootnoteReference"/>
          <w:noProof/>
        </w:rPr>
        <w:footnoteReference w:id="49"/>
      </w:r>
      <w:r w:rsidRPr="0077520E">
        <w:rPr>
          <w:noProof/>
        </w:rPr>
        <w:t xml:space="preserve"> However, </w:t>
      </w:r>
      <w:r>
        <w:rPr>
          <w:noProof/>
        </w:rPr>
        <w:t xml:space="preserve">the </w:t>
      </w:r>
      <w:r w:rsidRPr="00F967DF">
        <w:rPr>
          <w:noProof/>
        </w:rPr>
        <w:t>percentage of buyers willing to pay a premium for low-carbon products is estimated to range from 14% in the aluminium market to 16% in steel.</w:t>
      </w:r>
      <w:r w:rsidRPr="00F967DF">
        <w:rPr>
          <w:rStyle w:val="FootnoteReference"/>
          <w:noProof/>
        </w:rPr>
        <w:footnoteReference w:id="50"/>
      </w:r>
    </w:p>
    <w:p w14:paraId="5AB0B88B" w14:textId="77777777" w:rsidR="00285741" w:rsidRPr="00E75E72" w:rsidRDefault="00285741" w:rsidP="006D76C4">
      <w:pPr>
        <w:spacing w:after="120"/>
        <w:rPr>
          <w:noProof/>
        </w:rPr>
      </w:pPr>
      <w:r w:rsidRPr="00D81954">
        <w:rPr>
          <w:noProof/>
        </w:rPr>
        <w:t xml:space="preserve">In certain segments, the uptake of </w:t>
      </w:r>
      <w:r>
        <w:rPr>
          <w:noProof/>
        </w:rPr>
        <w:t>low-carbon</w:t>
      </w:r>
      <w:r w:rsidRPr="00D81954">
        <w:rPr>
          <w:noProof/>
        </w:rPr>
        <w:t xml:space="preserve"> products </w:t>
      </w:r>
      <w:r>
        <w:rPr>
          <w:noProof/>
        </w:rPr>
        <w:t>will likely develop</w:t>
      </w:r>
      <w:r w:rsidRPr="00D81954">
        <w:rPr>
          <w:noProof/>
        </w:rPr>
        <w:t xml:space="preserve"> at a faster pace</w:t>
      </w:r>
      <w:r>
        <w:rPr>
          <w:noProof/>
        </w:rPr>
        <w:t>, due to EU requirements. For instance, the revised E</w:t>
      </w:r>
      <w:r w:rsidRPr="00A11DF2">
        <w:rPr>
          <w:noProof/>
        </w:rPr>
        <w:t xml:space="preserve">nergy </w:t>
      </w:r>
      <w:r>
        <w:rPr>
          <w:noProof/>
        </w:rPr>
        <w:t>Performance of B</w:t>
      </w:r>
      <w:r w:rsidRPr="00A11DF2">
        <w:rPr>
          <w:noProof/>
        </w:rPr>
        <w:t>uildings</w:t>
      </w:r>
      <w:r w:rsidRPr="00816E80">
        <w:rPr>
          <w:noProof/>
        </w:rPr>
        <w:t xml:space="preserve"> </w:t>
      </w:r>
      <w:r w:rsidRPr="00A11DF2">
        <w:rPr>
          <w:noProof/>
        </w:rPr>
        <w:t>Directive</w:t>
      </w:r>
      <w:r w:rsidRPr="00CE064A">
        <w:rPr>
          <w:noProof/>
          <w:vertAlign w:val="superscript"/>
        </w:rPr>
        <w:footnoteReference w:id="51"/>
      </w:r>
      <w:r>
        <w:rPr>
          <w:noProof/>
        </w:rPr>
        <w:t xml:space="preserve"> (EPBD) </w:t>
      </w:r>
      <w:r w:rsidRPr="00725E81">
        <w:rPr>
          <w:noProof/>
        </w:rPr>
        <w:t xml:space="preserve">requires Member States to draw up national roadmaps on the introduction of limit values on the life-cycle </w:t>
      </w:r>
      <w:r>
        <w:rPr>
          <w:noProof/>
        </w:rPr>
        <w:t>Global Warming Potential (</w:t>
      </w:r>
      <w:r w:rsidRPr="00725E81">
        <w:rPr>
          <w:noProof/>
        </w:rPr>
        <w:t>GWP</w:t>
      </w:r>
      <w:r>
        <w:rPr>
          <w:noProof/>
        </w:rPr>
        <w:t>)</w:t>
      </w:r>
      <w:r w:rsidRPr="00725E81">
        <w:rPr>
          <w:noProof/>
        </w:rPr>
        <w:t xml:space="preserve"> </w:t>
      </w:r>
      <w:r>
        <w:rPr>
          <w:noProof/>
        </w:rPr>
        <w:t>of buildings. In addition, the</w:t>
      </w:r>
      <w:r w:rsidRPr="00E75E72">
        <w:rPr>
          <w:noProof/>
        </w:rPr>
        <w:t xml:space="preserve"> automotive sector appears more willing to accept higher premiums for low-carbon metals, as </w:t>
      </w:r>
      <w:r>
        <w:rPr>
          <w:noProof/>
        </w:rPr>
        <w:t>shown</w:t>
      </w:r>
      <w:r w:rsidRPr="00E75E72">
        <w:rPr>
          <w:noProof/>
        </w:rPr>
        <w:t xml:space="preserve"> by </w:t>
      </w:r>
      <w:r>
        <w:rPr>
          <w:noProof/>
        </w:rPr>
        <w:t>a</w:t>
      </w:r>
      <w:r w:rsidRPr="00E75E72">
        <w:rPr>
          <w:noProof/>
        </w:rPr>
        <w:t xml:space="preserve"> growing number of low-carbon steel supply agreements.</w:t>
      </w:r>
      <w:r w:rsidRPr="00E75E72">
        <w:rPr>
          <w:rStyle w:val="FootnoteReference"/>
          <w:noProof/>
        </w:rPr>
        <w:footnoteReference w:id="52"/>
      </w:r>
      <w:r w:rsidRPr="00E75E72">
        <w:rPr>
          <w:noProof/>
        </w:rPr>
        <w:t xml:space="preserve"> One key driver is that automakers are subject to life-cycle </w:t>
      </w:r>
      <w:r>
        <w:rPr>
          <w:noProof/>
        </w:rPr>
        <w:t>CO</w:t>
      </w:r>
      <w:r w:rsidRPr="00F35D03">
        <w:rPr>
          <w:noProof/>
          <w:vertAlign w:val="subscript"/>
        </w:rPr>
        <w:t>2</w:t>
      </w:r>
      <w:r>
        <w:rPr>
          <w:noProof/>
        </w:rPr>
        <w:t xml:space="preserve"> </w:t>
      </w:r>
      <w:r w:rsidRPr="00E75E72">
        <w:rPr>
          <w:noProof/>
        </w:rPr>
        <w:t xml:space="preserve">emissions reporting obligations, </w:t>
      </w:r>
      <w:r>
        <w:rPr>
          <w:noProof/>
        </w:rPr>
        <w:t>increasing</w:t>
      </w:r>
      <w:r w:rsidRPr="00E75E72">
        <w:rPr>
          <w:noProof/>
        </w:rPr>
        <w:t xml:space="preserve"> attention </w:t>
      </w:r>
      <w:r>
        <w:rPr>
          <w:noProof/>
        </w:rPr>
        <w:t>on</w:t>
      </w:r>
      <w:r w:rsidRPr="00E75E72">
        <w:rPr>
          <w:noProof/>
        </w:rPr>
        <w:t xml:space="preserve"> </w:t>
      </w:r>
      <w:r>
        <w:rPr>
          <w:noProof/>
        </w:rPr>
        <w:t xml:space="preserve">the overall carbon footprint of a vehicle, including </w:t>
      </w:r>
      <w:r w:rsidRPr="00E75E72">
        <w:rPr>
          <w:noProof/>
        </w:rPr>
        <w:t>emissions from manufacturing.</w:t>
      </w:r>
      <w:r>
        <w:rPr>
          <w:noProof/>
        </w:rPr>
        <w:t xml:space="preserve"> </w:t>
      </w:r>
      <w:r w:rsidRPr="00117992">
        <w:rPr>
          <w:noProof/>
        </w:rPr>
        <w:t>However, the extent to which these commitments will translate into actual demand remains uncertain.</w:t>
      </w:r>
      <w:r w:rsidRPr="750EB9C0">
        <w:rPr>
          <w:rStyle w:val="FootnoteReference"/>
          <w:noProof/>
        </w:rPr>
        <w:footnoteReference w:id="53"/>
      </w:r>
    </w:p>
    <w:tbl>
      <w:tblPr>
        <w:tblStyle w:val="TableGrid"/>
        <w:tblW w:w="9014" w:type="dxa"/>
        <w:tblInd w:w="-34" w:type="dxa"/>
        <w:tblBorders>
          <w:top w:val="single" w:sz="4" w:space="0" w:color="auto"/>
          <w:left w:val="single" w:sz="4" w:space="0" w:color="auto"/>
          <w:bottom w:val="single" w:sz="4" w:space="0" w:color="auto"/>
          <w:right w:val="single" w:sz="4" w:space="0" w:color="auto"/>
        </w:tblBorders>
        <w:tblLayout w:type="fixed"/>
        <w:tblLook w:val="06A0" w:firstRow="1" w:lastRow="0" w:firstColumn="1" w:lastColumn="0" w:noHBand="1" w:noVBand="1"/>
      </w:tblPr>
      <w:tblGrid>
        <w:gridCol w:w="9014"/>
      </w:tblGrid>
      <w:tr w:rsidR="00285741" w:rsidRPr="00BE7E13" w14:paraId="6CFB894E" w14:textId="77777777">
        <w:trPr>
          <w:trHeight w:val="300"/>
        </w:trPr>
        <w:tc>
          <w:tcPr>
            <w:tcW w:w="9014" w:type="dxa"/>
          </w:tcPr>
          <w:p w14:paraId="48A4952C" w14:textId="77777777" w:rsidR="00285741" w:rsidRPr="00BE7E13" w:rsidRDefault="00285741" w:rsidP="006D76C4">
            <w:pPr>
              <w:spacing w:after="120"/>
              <w:rPr>
                <w:noProof/>
              </w:rPr>
            </w:pPr>
            <w:r>
              <w:rPr>
                <w:noProof/>
              </w:rPr>
              <w:t>According to the</w:t>
            </w:r>
            <w:r w:rsidDel="00AF6637">
              <w:rPr>
                <w:noProof/>
              </w:rPr>
              <w:t xml:space="preserve"> </w:t>
            </w:r>
            <w:r w:rsidRPr="39453FEC">
              <w:rPr>
                <w:b/>
                <w:noProof/>
              </w:rPr>
              <w:t>Public Consultation</w:t>
            </w:r>
            <w:r>
              <w:rPr>
                <w:noProof/>
              </w:rPr>
              <w:t xml:space="preserve">, 81% (253 out of 314) of respondents agree that downstream sectors and consumers lack the willingness to pay a premium for clean industrial products. This is backed by all participating EIIs, including steel (95%), aluminium (80%), cement (77%), ceramics (100%), chemicals (96%), glass (66%), fertilisers (87%), pulp &amp; paper (100%) and metals &amp; mining (100%), as well as by downstream sectors such as automotive (80%), batteries (75%) and construction (75%). </w:t>
            </w:r>
          </w:p>
        </w:tc>
      </w:tr>
    </w:tbl>
    <w:p w14:paraId="08CF6AC1" w14:textId="24EA9C2E" w:rsidR="00285741" w:rsidRPr="00A17B45" w:rsidRDefault="00285741">
      <w:pPr>
        <w:spacing w:before="240" w:after="120"/>
        <w:rPr>
          <w:noProof/>
        </w:rPr>
      </w:pPr>
      <w:r>
        <w:rPr>
          <w:noProof/>
        </w:rPr>
        <w:t>Public procurement is a key driver for low-carbon demand for industrial materials and products. T</w:t>
      </w:r>
      <w:r w:rsidRPr="000755F6">
        <w:rPr>
          <w:noProof/>
        </w:rPr>
        <w:t>he construction sector dominates EU public procurement involving energy-intensive materials</w:t>
      </w:r>
      <w:r>
        <w:rPr>
          <w:rStyle w:val="FootnoteReference"/>
          <w:noProof/>
        </w:rPr>
        <w:footnoteReference w:id="54"/>
      </w:r>
      <w:r w:rsidRPr="000755F6">
        <w:rPr>
          <w:noProof/>
        </w:rPr>
        <w:t>, making it a critical lever for stimulating demand for low-carbon industrial products.</w:t>
      </w:r>
      <w:r>
        <w:rPr>
          <w:noProof/>
        </w:rPr>
        <w:t xml:space="preserve"> </w:t>
      </w:r>
      <w:r w:rsidR="009E239C">
        <w:rPr>
          <w:noProof/>
        </w:rPr>
        <w:t>However, despite</w:t>
      </w:r>
      <w:r w:rsidRPr="000755F6">
        <w:rPr>
          <w:noProof/>
        </w:rPr>
        <w:t xml:space="preserve"> this potential, market demand </w:t>
      </w:r>
      <w:r w:rsidR="009D22F7">
        <w:rPr>
          <w:noProof/>
        </w:rPr>
        <w:t xml:space="preserve">alone is often </w:t>
      </w:r>
      <w:r w:rsidRPr="000755F6">
        <w:rPr>
          <w:noProof/>
        </w:rPr>
        <w:t xml:space="preserve">insufficient to </w:t>
      </w:r>
      <w:r w:rsidR="00165CE3">
        <w:rPr>
          <w:noProof/>
        </w:rPr>
        <w:t>support</w:t>
      </w:r>
      <w:r w:rsidR="00E33AD0">
        <w:rPr>
          <w:noProof/>
        </w:rPr>
        <w:t xml:space="preserve"> the scal</w:t>
      </w:r>
      <w:r w:rsidR="00165CE3">
        <w:rPr>
          <w:noProof/>
        </w:rPr>
        <w:t>e-</w:t>
      </w:r>
      <w:r w:rsidR="00E33AD0">
        <w:rPr>
          <w:noProof/>
        </w:rPr>
        <w:t xml:space="preserve">up </w:t>
      </w:r>
      <w:r w:rsidR="00B436F6">
        <w:rPr>
          <w:noProof/>
        </w:rPr>
        <w:t>of low</w:t>
      </w:r>
      <w:r w:rsidR="0038733B">
        <w:rPr>
          <w:noProof/>
        </w:rPr>
        <w:t>-</w:t>
      </w:r>
      <w:r w:rsidR="00B436F6">
        <w:rPr>
          <w:noProof/>
        </w:rPr>
        <w:t xml:space="preserve">carbon </w:t>
      </w:r>
      <w:r w:rsidR="00220324">
        <w:rPr>
          <w:noProof/>
        </w:rPr>
        <w:t>production</w:t>
      </w:r>
      <w:r w:rsidR="0038733B">
        <w:rPr>
          <w:noProof/>
        </w:rPr>
        <w:t xml:space="preserve"> </w:t>
      </w:r>
      <w:r w:rsidR="00165CE3">
        <w:rPr>
          <w:noProof/>
        </w:rPr>
        <w:t>required</w:t>
      </w:r>
      <w:r w:rsidR="000547A1">
        <w:rPr>
          <w:noProof/>
        </w:rPr>
        <w:t xml:space="preserve"> to</w:t>
      </w:r>
      <w:r w:rsidR="00220324">
        <w:rPr>
          <w:noProof/>
        </w:rPr>
        <w:t xml:space="preserve"> </w:t>
      </w:r>
      <w:r w:rsidR="00165CE3">
        <w:rPr>
          <w:noProof/>
        </w:rPr>
        <w:t>offset</w:t>
      </w:r>
      <w:r w:rsidR="00165CE3" w:rsidRPr="000755F6">
        <w:rPr>
          <w:noProof/>
        </w:rPr>
        <w:t xml:space="preserve"> </w:t>
      </w:r>
      <w:r w:rsidRPr="000755F6">
        <w:rPr>
          <w:noProof/>
        </w:rPr>
        <w:t>higher production costs.</w:t>
      </w:r>
      <w:r>
        <w:rPr>
          <w:noProof/>
        </w:rPr>
        <w:t xml:space="preserve"> Furthermore, public procurement practices aimed</w:t>
      </w:r>
      <w:r w:rsidRPr="00064F58">
        <w:rPr>
          <w:noProof/>
        </w:rPr>
        <w:t xml:space="preserve"> to support the uptake of low-carbon materials remain limited at both </w:t>
      </w:r>
      <w:r>
        <w:rPr>
          <w:noProof/>
        </w:rPr>
        <w:t xml:space="preserve">EU </w:t>
      </w:r>
      <w:r w:rsidRPr="00064F58">
        <w:rPr>
          <w:noProof/>
        </w:rPr>
        <w:t xml:space="preserve">and national levels. </w:t>
      </w:r>
      <w:r>
        <w:rPr>
          <w:noProof/>
        </w:rPr>
        <w:t>Key barriers include a lack of training and capacity, insufficient data availability, fear of litigation and legal complexities.</w:t>
      </w:r>
      <w:r>
        <w:rPr>
          <w:rStyle w:val="FootnoteReference"/>
          <w:noProof/>
        </w:rPr>
        <w:footnoteReference w:id="55"/>
      </w:r>
      <w:r>
        <w:rPr>
          <w:noProof/>
        </w:rPr>
        <w:t xml:space="preserve"> Financial constraints may also be a barrier to support the higher initial costs often associated with low-carbon products. For instance, d</w:t>
      </w:r>
      <w:r w:rsidRPr="00A44910">
        <w:rPr>
          <w:rFonts w:eastAsia="Times New Roman"/>
          <w:noProof/>
        </w:rPr>
        <w:t xml:space="preserve">emand for low-carbon steel </w:t>
      </w:r>
      <w:r>
        <w:rPr>
          <w:noProof/>
        </w:rPr>
        <w:t>u</w:t>
      </w:r>
      <w:r w:rsidRPr="00A44910">
        <w:rPr>
          <w:rFonts w:eastAsia="Times New Roman"/>
          <w:noProof/>
        </w:rPr>
        <w:t xml:space="preserve">nder green public procurement </w:t>
      </w:r>
      <w:r>
        <w:rPr>
          <w:rFonts w:eastAsia="Times New Roman"/>
          <w:noProof/>
        </w:rPr>
        <w:t xml:space="preserve">accounts for </w:t>
      </w:r>
      <w:r w:rsidRPr="00A44910">
        <w:rPr>
          <w:rFonts w:eastAsia="Times New Roman"/>
          <w:noProof/>
        </w:rPr>
        <w:t>2.1% of total steel demand.</w:t>
      </w:r>
      <w:r>
        <w:rPr>
          <w:rStyle w:val="FootnoteReference"/>
          <w:rFonts w:eastAsia="Times New Roman"/>
          <w:noProof/>
        </w:rPr>
        <w:footnoteReference w:id="56"/>
      </w:r>
    </w:p>
    <w:p w14:paraId="4A8095B2" w14:textId="70C59240" w:rsidR="0046010A" w:rsidRDefault="0046010A">
      <w:pPr>
        <w:spacing w:before="240" w:after="120"/>
        <w:rPr>
          <w:rFonts w:eastAsia="Times New Roman"/>
          <w:noProof/>
        </w:rPr>
      </w:pPr>
      <w:r>
        <w:rPr>
          <w:rFonts w:eastAsia="Times New Roman"/>
          <w:noProof/>
        </w:rPr>
        <w:t>F</w:t>
      </w:r>
      <w:r w:rsidR="005B1E28">
        <w:rPr>
          <w:rFonts w:eastAsia="Times New Roman"/>
          <w:noProof/>
        </w:rPr>
        <w:t xml:space="preserve">inally, </w:t>
      </w:r>
      <w:r w:rsidR="00AE2677">
        <w:rPr>
          <w:rFonts w:eastAsia="Times New Roman"/>
          <w:noProof/>
        </w:rPr>
        <w:t xml:space="preserve">the limited willingness to pay for the green premium </w:t>
      </w:r>
      <w:r w:rsidR="005442D5">
        <w:rPr>
          <w:rFonts w:eastAsia="Times New Roman"/>
          <w:noProof/>
        </w:rPr>
        <w:t xml:space="preserve">depends on a </w:t>
      </w:r>
      <w:r w:rsidR="00D85DE4">
        <w:rPr>
          <w:rFonts w:eastAsia="Times New Roman"/>
          <w:noProof/>
        </w:rPr>
        <w:t xml:space="preserve">range of </w:t>
      </w:r>
      <w:r w:rsidR="005442D5">
        <w:rPr>
          <w:rFonts w:eastAsia="Times New Roman"/>
          <w:noProof/>
        </w:rPr>
        <w:t xml:space="preserve">policy </w:t>
      </w:r>
      <w:r w:rsidR="00D85DE4">
        <w:rPr>
          <w:rFonts w:eastAsia="Times New Roman"/>
          <w:noProof/>
        </w:rPr>
        <w:t>measures to</w:t>
      </w:r>
      <w:r>
        <w:rPr>
          <w:rFonts w:eastAsia="Times New Roman"/>
          <w:noProof/>
        </w:rPr>
        <w:t xml:space="preserve"> bolster</w:t>
      </w:r>
      <w:r w:rsidRPr="0046010A">
        <w:rPr>
          <w:rFonts w:eastAsia="Times New Roman"/>
          <w:noProof/>
          <w:lang w:val="en-IE"/>
        </w:rPr>
        <w:t xml:space="preserve"> the business case for decarbonisation investments, optimizing net benefits. Importantly, the lion</w:t>
      </w:r>
      <w:r w:rsidR="00D85DE4">
        <w:rPr>
          <w:rFonts w:eastAsia="Times New Roman"/>
          <w:noProof/>
          <w:lang w:val="en-IE"/>
        </w:rPr>
        <w:t>’</w:t>
      </w:r>
      <w:r w:rsidRPr="0046010A">
        <w:rPr>
          <w:rFonts w:eastAsia="Times New Roman"/>
          <w:noProof/>
          <w:lang w:val="en-IE"/>
        </w:rPr>
        <w:t>s share of demand generated by lead market</w:t>
      </w:r>
      <w:r w:rsidR="00D85DE4">
        <w:rPr>
          <w:rFonts w:eastAsia="Times New Roman"/>
          <w:noProof/>
          <w:lang w:val="en-IE"/>
        </w:rPr>
        <w:t xml:space="preserve">s measures </w:t>
      </w:r>
      <w:r w:rsidRPr="0046010A">
        <w:rPr>
          <w:rFonts w:eastAsia="Times New Roman"/>
          <w:noProof/>
          <w:lang w:val="en-IE"/>
        </w:rPr>
        <w:t xml:space="preserve">will </w:t>
      </w:r>
      <w:r w:rsidR="00D85DE4">
        <w:rPr>
          <w:rFonts w:eastAsia="Times New Roman"/>
          <w:noProof/>
          <w:lang w:val="en-IE"/>
        </w:rPr>
        <w:t>continue to</w:t>
      </w:r>
      <w:r w:rsidRPr="0046010A">
        <w:rPr>
          <w:rFonts w:eastAsia="Times New Roman"/>
          <w:noProof/>
          <w:lang w:val="en-IE"/>
        </w:rPr>
        <w:t xml:space="preserve"> originate from private sector uptake and procurement.</w:t>
      </w:r>
    </w:p>
    <w:p w14:paraId="183F1381" w14:textId="77777777" w:rsidR="00285741" w:rsidRDefault="00285741" w:rsidP="00285741">
      <w:pPr>
        <w:pStyle w:val="Heading3"/>
        <w:numPr>
          <w:ilvl w:val="2"/>
          <w:numId w:val="64"/>
        </w:numPr>
      </w:pPr>
      <w:r w:rsidRPr="00310056">
        <w:rPr>
          <w:b/>
        </w:rPr>
        <w:t xml:space="preserve">Sub-problem </w:t>
      </w:r>
      <w:r w:rsidRPr="00310056">
        <w:rPr>
          <w:b/>
          <w:i w:val="0"/>
        </w:rPr>
        <w:t>2: Supply chain vulnerabilities in strategic sectors</w:t>
      </w:r>
    </w:p>
    <w:p w14:paraId="46DC07D7" w14:textId="66888414" w:rsidR="00285741" w:rsidRDefault="00061C6C">
      <w:pPr>
        <w:spacing w:before="240" w:after="240"/>
        <w:rPr>
          <w:rFonts w:eastAsia="Times New Roman"/>
          <w:noProof/>
        </w:rPr>
      </w:pPr>
      <w:r>
        <w:rPr>
          <w:rFonts w:eastAsia="Times New Roman"/>
          <w:noProof/>
        </w:rPr>
        <w:t xml:space="preserve">Security of supply is a precondition for sustainable industrial growth. EU manufacturing is exposed to a risk of dependency for its most strategic industries. </w:t>
      </w:r>
      <w:r w:rsidRPr="00A7086A">
        <w:rPr>
          <w:rFonts w:eastAsia="Times New Roman"/>
          <w:noProof/>
        </w:rPr>
        <w:t xml:space="preserve">The </w:t>
      </w:r>
      <w:r>
        <w:rPr>
          <w:rFonts w:eastAsia="Times New Roman"/>
          <w:noProof/>
        </w:rPr>
        <w:t>production processes</w:t>
      </w:r>
      <w:r w:rsidRPr="00A7086A">
        <w:rPr>
          <w:rFonts w:eastAsia="Times New Roman"/>
          <w:noProof/>
        </w:rPr>
        <w:t xml:space="preserve"> for </w:t>
      </w:r>
      <w:r w:rsidRPr="00A7086A">
        <w:rPr>
          <w:rFonts w:eastAsia="Times New Roman"/>
          <w:noProof/>
        </w:rPr>
        <w:lastRenderedPageBreak/>
        <w:t xml:space="preserve">certain </w:t>
      </w:r>
      <w:r>
        <w:rPr>
          <w:rFonts w:eastAsia="Times New Roman"/>
          <w:noProof/>
        </w:rPr>
        <w:t xml:space="preserve">industrial sectors </w:t>
      </w:r>
      <w:r w:rsidRPr="00A7086A">
        <w:rPr>
          <w:rFonts w:eastAsia="Times New Roman"/>
          <w:noProof/>
        </w:rPr>
        <w:t>(mainly clean tech</w:t>
      </w:r>
      <w:r>
        <w:rPr>
          <w:rFonts w:eastAsia="Times New Roman"/>
          <w:noProof/>
        </w:rPr>
        <w:t xml:space="preserve"> and, increasingly, EIIs</w:t>
      </w:r>
      <w:r w:rsidRPr="00A7086A">
        <w:rPr>
          <w:rFonts w:eastAsia="Times New Roman"/>
          <w:noProof/>
        </w:rPr>
        <w:t>) rel</w:t>
      </w:r>
      <w:r>
        <w:rPr>
          <w:rFonts w:eastAsia="Times New Roman"/>
          <w:noProof/>
        </w:rPr>
        <w:t>y</w:t>
      </w:r>
      <w:r w:rsidRPr="00A7086A">
        <w:rPr>
          <w:rFonts w:eastAsia="Times New Roman"/>
          <w:noProof/>
        </w:rPr>
        <w:t xml:space="preserve"> heavily on third countries </w:t>
      </w:r>
      <w:r>
        <w:rPr>
          <w:rFonts w:eastAsia="Times New Roman"/>
          <w:noProof/>
        </w:rPr>
        <w:t xml:space="preserve">for their input materials and/or components, </w:t>
      </w:r>
      <w:r w:rsidRPr="00A7086A">
        <w:rPr>
          <w:rFonts w:eastAsia="Times New Roman"/>
          <w:noProof/>
        </w:rPr>
        <w:t xml:space="preserve">which puts </w:t>
      </w:r>
      <w:r>
        <w:rPr>
          <w:rFonts w:eastAsia="Times New Roman"/>
          <w:noProof/>
        </w:rPr>
        <w:t xml:space="preserve">these </w:t>
      </w:r>
      <w:r w:rsidRPr="00A7086A">
        <w:rPr>
          <w:rFonts w:eastAsia="Times New Roman"/>
          <w:noProof/>
        </w:rPr>
        <w:t>sectors at risk</w:t>
      </w:r>
      <w:r>
        <w:rPr>
          <w:rFonts w:eastAsia="Times New Roman"/>
          <w:noProof/>
        </w:rPr>
        <w:t xml:space="preserve"> of supply chain disruptions</w:t>
      </w:r>
      <w:r w:rsidRPr="00A7086A">
        <w:rPr>
          <w:rFonts w:eastAsia="Times New Roman"/>
          <w:noProof/>
        </w:rPr>
        <w:t>, limiting Europe</w:t>
      </w:r>
      <w:r>
        <w:rPr>
          <w:rFonts w:eastAsia="Times New Roman"/>
          <w:noProof/>
        </w:rPr>
        <w:t>’</w:t>
      </w:r>
      <w:r w:rsidRPr="00A7086A">
        <w:rPr>
          <w:rFonts w:eastAsia="Times New Roman"/>
          <w:noProof/>
        </w:rPr>
        <w:t xml:space="preserve">s </w:t>
      </w:r>
      <w:r>
        <w:rPr>
          <w:rFonts w:eastAsia="Times New Roman"/>
          <w:noProof/>
        </w:rPr>
        <w:t>potential</w:t>
      </w:r>
      <w:r w:rsidRPr="00A7086A">
        <w:rPr>
          <w:rFonts w:eastAsia="Times New Roman"/>
          <w:noProof/>
        </w:rPr>
        <w:t xml:space="preserve"> to decarbonise.</w:t>
      </w:r>
      <w:r>
        <w:rPr>
          <w:rFonts w:eastAsia="Times New Roman"/>
          <w:noProof/>
        </w:rPr>
        <w:t xml:space="preserve"> Industrial decarbonisation will also depend on access to energy and raw materials, therefore the risk of disruption in these value chains pose a </w:t>
      </w:r>
      <w:r w:rsidRPr="000272AD">
        <w:rPr>
          <w:rFonts w:eastAsia="Times New Roman"/>
          <w:noProof/>
        </w:rPr>
        <w:t>serious challenge to the EU’s strategic autonomy and clean energy transition</w:t>
      </w:r>
      <w:r>
        <w:rPr>
          <w:rFonts w:eastAsia="Times New Roman"/>
          <w:noProof/>
        </w:rPr>
        <w:t xml:space="preserve">. Looking ahead, </w:t>
      </w:r>
      <w:r w:rsidRPr="000272AD">
        <w:rPr>
          <w:rFonts w:eastAsia="Times New Roman"/>
          <w:noProof/>
        </w:rPr>
        <w:t xml:space="preserve">Europe’s security and open strategic autonomy will depend </w:t>
      </w:r>
      <w:r>
        <w:rPr>
          <w:rFonts w:eastAsia="Times New Roman"/>
          <w:noProof/>
        </w:rPr>
        <w:t>increasingly</w:t>
      </w:r>
      <w:r w:rsidRPr="000272AD">
        <w:rPr>
          <w:rFonts w:eastAsia="Times New Roman"/>
          <w:noProof/>
        </w:rPr>
        <w:t xml:space="preserve"> on the ability to </w:t>
      </w:r>
      <w:r>
        <w:rPr>
          <w:rFonts w:eastAsia="Times New Roman"/>
          <w:noProof/>
        </w:rPr>
        <w:t>increase</w:t>
      </w:r>
      <w:r w:rsidRPr="000272AD">
        <w:rPr>
          <w:rFonts w:eastAsia="Times New Roman"/>
          <w:noProof/>
        </w:rPr>
        <w:t xml:space="preserve"> </w:t>
      </w:r>
      <w:r>
        <w:rPr>
          <w:rFonts w:eastAsia="Times New Roman"/>
          <w:noProof/>
        </w:rPr>
        <w:t>supply chain</w:t>
      </w:r>
      <w:r w:rsidRPr="000272AD">
        <w:rPr>
          <w:rFonts w:eastAsia="Times New Roman"/>
          <w:noProof/>
        </w:rPr>
        <w:t xml:space="preserve"> resilience, particularly in net-zero and digital technologies</w:t>
      </w:r>
      <w:r w:rsidR="00285741" w:rsidRPr="000272AD">
        <w:rPr>
          <w:rFonts w:eastAsia="Times New Roman"/>
          <w:noProof/>
        </w:rPr>
        <w:t>.</w:t>
      </w:r>
      <w:r w:rsidR="00285741" w:rsidRPr="000272AD">
        <w:rPr>
          <w:rStyle w:val="FootnoteReference"/>
          <w:rFonts w:eastAsia="Times New Roman"/>
          <w:noProof/>
        </w:rPr>
        <w:footnoteReference w:id="57"/>
      </w:r>
      <w:r w:rsidR="00285741">
        <w:rPr>
          <w:rFonts w:eastAsia="Times New Roman"/>
          <w:noProof/>
        </w:rPr>
        <w:t xml:space="preserve"> </w:t>
      </w:r>
    </w:p>
    <w:p w14:paraId="0225A3FE" w14:textId="77777777" w:rsidR="00285741" w:rsidRDefault="00285741" w:rsidP="00285741">
      <w:pPr>
        <w:pStyle w:val="Heading4"/>
        <w:numPr>
          <w:ilvl w:val="3"/>
          <w:numId w:val="64"/>
        </w:numPr>
        <w:ind w:left="1715"/>
        <w:rPr>
          <w:b/>
          <w:noProof/>
          <w:color w:val="auto"/>
        </w:rPr>
      </w:pPr>
      <w:r w:rsidRPr="00E447EE">
        <w:rPr>
          <w:b/>
          <w:noProof/>
          <w:color w:val="auto"/>
        </w:rPr>
        <w:t>Driver 3: European industry loss of competitiveness due to fierce global competition and value chain dependencies</w:t>
      </w:r>
    </w:p>
    <w:p w14:paraId="7910F56D" w14:textId="77777777" w:rsidR="00285741" w:rsidRPr="009D16F1" w:rsidRDefault="00285741">
      <w:pPr>
        <w:spacing w:before="240" w:after="120"/>
        <w:rPr>
          <w:b/>
          <w:i/>
          <w:noProof/>
        </w:rPr>
      </w:pPr>
      <w:r w:rsidRPr="009D16F1">
        <w:rPr>
          <w:b/>
          <w:i/>
          <w:noProof/>
        </w:rPr>
        <w:t xml:space="preserve">Energy-intensive industries </w:t>
      </w:r>
    </w:p>
    <w:p w14:paraId="1AA4529C" w14:textId="1E3FE396" w:rsidR="00285741" w:rsidRPr="009834E3" w:rsidRDefault="00285741" w:rsidP="005D763E">
      <w:pPr>
        <w:spacing w:after="120"/>
        <w:rPr>
          <w:noProof/>
        </w:rPr>
      </w:pPr>
      <w:r>
        <w:rPr>
          <w:noProof/>
        </w:rPr>
        <w:t xml:space="preserve">A strong industrial base is essential for Europe’s economic resilience. However, sectors like steel, chemicals, aluminium, have been losing market shares in Europe due to </w:t>
      </w:r>
      <w:r w:rsidRPr="00A11DF2">
        <w:rPr>
          <w:noProof/>
        </w:rPr>
        <w:t>several</w:t>
      </w:r>
      <w:r>
        <w:rPr>
          <w:noProof/>
        </w:rPr>
        <w:t xml:space="preserve"> factors, including higher operating costs compared to foreign competitors, rising imports because of persistent global overcapacities.</w:t>
      </w:r>
      <w:r>
        <w:rPr>
          <w:rStyle w:val="FootnoteReference"/>
          <w:noProof/>
        </w:rPr>
        <w:footnoteReference w:id="58"/>
      </w:r>
      <w:r>
        <w:rPr>
          <w:noProof/>
        </w:rPr>
        <w:t xml:space="preserve"> While both exports and imports for EIIs have increas</w:t>
      </w:r>
      <w:r w:rsidR="00304D8B">
        <w:rPr>
          <w:noProof/>
        </w:rPr>
        <w:t>ed</w:t>
      </w:r>
      <w:r>
        <w:rPr>
          <w:noProof/>
        </w:rPr>
        <w:t xml:space="preserve"> by more than 25%</w:t>
      </w:r>
      <w:r w:rsidR="00D44CFC">
        <w:rPr>
          <w:noProof/>
        </w:rPr>
        <w:t xml:space="preserve"> compared to 2007</w:t>
      </w:r>
      <w:r w:rsidDel="00D44CFC">
        <w:rPr>
          <w:noProof/>
        </w:rPr>
        <w:t xml:space="preserve">, </w:t>
      </w:r>
      <w:r w:rsidR="00D44CFC">
        <w:rPr>
          <w:noProof/>
        </w:rPr>
        <w:t xml:space="preserve">a </w:t>
      </w:r>
      <w:r w:rsidR="003F4DFF">
        <w:rPr>
          <w:noProof/>
        </w:rPr>
        <w:t>striking</w:t>
      </w:r>
      <w:r w:rsidR="00D44CFC">
        <w:rPr>
          <w:noProof/>
        </w:rPr>
        <w:t xml:space="preserve"> difference </w:t>
      </w:r>
      <w:r w:rsidR="005D763E">
        <w:rPr>
          <w:noProof/>
        </w:rPr>
        <w:t xml:space="preserve">appears when compared to 2015, where </w:t>
      </w:r>
      <w:r>
        <w:rPr>
          <w:noProof/>
        </w:rPr>
        <w:t xml:space="preserve">imports </w:t>
      </w:r>
      <w:r w:rsidR="0038492E">
        <w:rPr>
          <w:noProof/>
        </w:rPr>
        <w:t xml:space="preserve">rose </w:t>
      </w:r>
      <w:r>
        <w:rPr>
          <w:noProof/>
        </w:rPr>
        <w:t>by 16.9%</w:t>
      </w:r>
      <w:r w:rsidR="0038492E">
        <w:rPr>
          <w:noProof/>
        </w:rPr>
        <w:t>, while exports</w:t>
      </w:r>
      <w:r w:rsidDel="0038492E">
        <w:rPr>
          <w:noProof/>
        </w:rPr>
        <w:t xml:space="preserve"> </w:t>
      </w:r>
      <w:r w:rsidR="0038492E">
        <w:rPr>
          <w:noProof/>
        </w:rPr>
        <w:t xml:space="preserve">increased by only </w:t>
      </w:r>
      <w:r>
        <w:rPr>
          <w:noProof/>
        </w:rPr>
        <w:t>1.4%.</w:t>
      </w:r>
      <w:r>
        <w:rPr>
          <w:rStyle w:val="FootnoteReference"/>
          <w:noProof/>
        </w:rPr>
        <w:footnoteReference w:id="59"/>
      </w:r>
      <w:r>
        <w:rPr>
          <w:noProof/>
        </w:rPr>
        <w:t xml:space="preserve"> For instance, the EU dependency on aluminium imports has reached more than 50% of domestic demand in 2023.</w:t>
      </w:r>
      <w:r>
        <w:rPr>
          <w:rStyle w:val="FootnoteReference"/>
          <w:noProof/>
        </w:rPr>
        <w:footnoteReference w:id="60"/>
      </w:r>
      <w:r>
        <w:rPr>
          <w:noProof/>
        </w:rPr>
        <w:t xml:space="preserve"> Furthermore, for chemicals and plastics, the Commission’s SCAN monitoring system</w:t>
      </w:r>
      <w:r>
        <w:rPr>
          <w:rStyle w:val="FootnoteReference"/>
          <w:noProof/>
        </w:rPr>
        <w:footnoteReference w:id="61"/>
      </w:r>
      <w:r>
        <w:rPr>
          <w:noProof/>
        </w:rPr>
        <w:t xml:space="preserve"> confirms a clear pattern of loss of competitiveness due to fierce global competition and deepening value-chain dependencies. Out of roughly 780 products analysed, about one-third were identified as distressed, showing a price increase combined with a higher reliance on fewer suppliers between January–September 2025 and the 2022–2024 average</w:t>
      </w:r>
      <w:r w:rsidR="0090126D">
        <w:rPr>
          <w:noProof/>
        </w:rPr>
        <w:t>.</w:t>
      </w:r>
      <w:r w:rsidRPr="009D16F1">
        <w:rPr>
          <w:noProof/>
          <w:vertAlign w:val="superscript"/>
        </w:rPr>
        <w:footnoteReference w:id="62"/>
      </w:r>
    </w:p>
    <w:p w14:paraId="2D01E664" w14:textId="3882659B" w:rsidR="00285741" w:rsidRDefault="00285741">
      <w:pPr>
        <w:spacing w:after="120"/>
        <w:rPr>
          <w:noProof/>
        </w:rPr>
      </w:pPr>
      <w:r>
        <w:rPr>
          <w:noProof/>
        </w:rPr>
        <w:t>T</w:t>
      </w:r>
      <w:r w:rsidRPr="009834E3">
        <w:rPr>
          <w:noProof/>
        </w:rPr>
        <w:t xml:space="preserve">he weakening of Europe’s industrial position is also visible in the investment pipeline, where many announced </w:t>
      </w:r>
      <w:r>
        <w:rPr>
          <w:noProof/>
        </w:rPr>
        <w:t xml:space="preserve">industrial </w:t>
      </w:r>
      <w:r w:rsidRPr="009834E3">
        <w:rPr>
          <w:noProof/>
        </w:rPr>
        <w:t>decarbonisation projects remain stalled before final investment decision.</w:t>
      </w:r>
      <w:r>
        <w:rPr>
          <w:noProof/>
        </w:rPr>
        <w:t xml:space="preserve"> D</w:t>
      </w:r>
      <w:r w:rsidRPr="00842E74">
        <w:rPr>
          <w:noProof/>
        </w:rPr>
        <w:t xml:space="preserve">espite an unprecedented wave of </w:t>
      </w:r>
      <w:r>
        <w:rPr>
          <w:noProof/>
        </w:rPr>
        <w:t xml:space="preserve">projects </w:t>
      </w:r>
      <w:r w:rsidRPr="00842E74">
        <w:rPr>
          <w:noProof/>
        </w:rPr>
        <w:t>announcements</w:t>
      </w:r>
      <w:r>
        <w:rPr>
          <w:noProof/>
        </w:rPr>
        <w:t xml:space="preserve"> in the past five years</w:t>
      </w:r>
      <w:r w:rsidRPr="00842E74">
        <w:rPr>
          <w:noProof/>
        </w:rPr>
        <w:t>, the real pace of decarbonisation</w:t>
      </w:r>
      <w:r>
        <w:rPr>
          <w:noProof/>
        </w:rPr>
        <w:t xml:space="preserve"> </w:t>
      </w:r>
      <w:r w:rsidRPr="00842E74">
        <w:rPr>
          <w:noProof/>
        </w:rPr>
        <w:t xml:space="preserve">has slowed sharply since 2023. </w:t>
      </w:r>
      <w:r>
        <w:rPr>
          <w:noProof/>
        </w:rPr>
        <w:t>Analysis from</w:t>
      </w:r>
      <w:r w:rsidRPr="00842E74">
        <w:rPr>
          <w:noProof/>
        </w:rPr>
        <w:t xml:space="preserve"> </w:t>
      </w:r>
      <w:r>
        <w:rPr>
          <w:noProof/>
        </w:rPr>
        <w:t xml:space="preserve">the Commission’s </w:t>
      </w:r>
      <w:r w:rsidR="00AB08CD">
        <w:rPr>
          <w:noProof/>
        </w:rPr>
        <w:t>Joint Research Centre (</w:t>
      </w:r>
      <w:r w:rsidRPr="00842E74">
        <w:rPr>
          <w:noProof/>
        </w:rPr>
        <w:t>JRC</w:t>
      </w:r>
      <w:r w:rsidR="00AB08CD">
        <w:rPr>
          <w:noProof/>
        </w:rPr>
        <w:t>)</w:t>
      </w:r>
      <w:r w:rsidRPr="00842E74">
        <w:rPr>
          <w:noProof/>
        </w:rPr>
        <w:t xml:space="preserve"> </w:t>
      </w:r>
      <w:r w:rsidRPr="00A11DF2">
        <w:rPr>
          <w:noProof/>
        </w:rPr>
        <w:t>show</w:t>
      </w:r>
      <w:r>
        <w:rPr>
          <w:noProof/>
        </w:rPr>
        <w:t>s</w:t>
      </w:r>
      <w:r w:rsidRPr="00842E74">
        <w:rPr>
          <w:noProof/>
        </w:rPr>
        <w:t xml:space="preserve"> that almost half of all announced industrial projects remain unimplemented, and fewer than one in three has entered construction or operation.</w:t>
      </w:r>
      <w:r>
        <w:rPr>
          <w:rStyle w:val="FootnoteReference"/>
          <w:noProof/>
        </w:rPr>
        <w:footnoteReference w:id="63"/>
      </w:r>
      <w:r>
        <w:rPr>
          <w:noProof/>
        </w:rPr>
        <w:t xml:space="preserve"> </w:t>
      </w:r>
    </w:p>
    <w:p w14:paraId="3CF05B40" w14:textId="77777777" w:rsidR="00285741" w:rsidRDefault="00285741">
      <w:pPr>
        <w:keepNext/>
        <w:spacing w:after="240"/>
        <w:jc w:val="center"/>
        <w:rPr>
          <w:noProof/>
        </w:rPr>
      </w:pPr>
      <w:r>
        <w:rPr>
          <w:noProof/>
          <w:lang w:eastAsia="en-GB"/>
        </w:rPr>
        <w:lastRenderedPageBreak/>
        <w:drawing>
          <wp:inline distT="0" distB="0" distL="0" distR="0" wp14:anchorId="0E44EA87" wp14:editId="04E604C1">
            <wp:extent cx="4240714" cy="2165231"/>
            <wp:effectExtent l="0" t="0" r="7620" b="6985"/>
            <wp:docPr id="906789220" name="Picture 1" descr="A graph of progress with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89220" name="Picture 1" descr="A graph of progress with blue and orange bar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51410" cy="2170692"/>
                    </a:xfrm>
                    <a:prstGeom prst="rect">
                      <a:avLst/>
                    </a:prstGeom>
                    <a:noFill/>
                  </pic:spPr>
                </pic:pic>
              </a:graphicData>
            </a:graphic>
          </wp:inline>
        </w:drawing>
      </w:r>
    </w:p>
    <w:p w14:paraId="66A1D730" w14:textId="78DA1860" w:rsidR="007214BE" w:rsidRDefault="00285741" w:rsidP="001002D0">
      <w:pPr>
        <w:jc w:val="center"/>
        <w:rPr>
          <w:noProof/>
          <w:szCs w:val="24"/>
        </w:rPr>
      </w:pPr>
      <w:bookmarkStart w:id="24" w:name="_Ref211936747"/>
      <w:r w:rsidRPr="007F7B8F">
        <w:rPr>
          <w:i/>
          <w:noProof/>
          <w:sz w:val="20"/>
          <w:szCs w:val="14"/>
        </w:rPr>
        <w:t xml:space="preserve">Figure </w:t>
      </w:r>
      <w:r w:rsidRPr="007F7B8F">
        <w:rPr>
          <w:i/>
          <w:noProof/>
          <w:sz w:val="20"/>
          <w:szCs w:val="14"/>
        </w:rPr>
        <w:fldChar w:fldCharType="begin"/>
      </w:r>
      <w:r w:rsidRPr="007F7B8F">
        <w:rPr>
          <w:i/>
          <w:noProof/>
          <w:sz w:val="20"/>
          <w:szCs w:val="14"/>
        </w:rPr>
        <w:instrText xml:space="preserve"> SEQ Figure \* ARABIC </w:instrText>
      </w:r>
      <w:r w:rsidRPr="007F7B8F">
        <w:rPr>
          <w:i/>
          <w:noProof/>
          <w:sz w:val="20"/>
          <w:szCs w:val="14"/>
        </w:rPr>
        <w:fldChar w:fldCharType="separate"/>
      </w:r>
      <w:r w:rsidR="00E16D65" w:rsidRPr="007F7B8F">
        <w:rPr>
          <w:i/>
          <w:noProof/>
          <w:sz w:val="20"/>
          <w:szCs w:val="14"/>
        </w:rPr>
        <w:t>2</w:t>
      </w:r>
      <w:r w:rsidRPr="007F7B8F">
        <w:rPr>
          <w:i/>
          <w:noProof/>
          <w:sz w:val="20"/>
          <w:szCs w:val="14"/>
        </w:rPr>
        <w:fldChar w:fldCharType="end"/>
      </w:r>
      <w:bookmarkEnd w:id="24"/>
      <w:r w:rsidRPr="007F7B8F">
        <w:rPr>
          <w:i/>
          <w:noProof/>
          <w:sz w:val="20"/>
          <w:szCs w:val="14"/>
        </w:rPr>
        <w:t>: Announcements of decarbonised projects in the EII by start date, Commission analysis</w:t>
      </w:r>
      <w:r w:rsidR="00610B8C" w:rsidRPr="007F7B8F">
        <w:rPr>
          <w:i/>
          <w:noProof/>
          <w:sz w:val="20"/>
          <w:szCs w:val="14"/>
        </w:rPr>
        <w:t xml:space="preserve"> based </w:t>
      </w:r>
      <w:r w:rsidR="00947076" w:rsidRPr="007F7B8F">
        <w:rPr>
          <w:i/>
          <w:noProof/>
          <w:sz w:val="20"/>
          <w:szCs w:val="14"/>
        </w:rPr>
        <w:t xml:space="preserve">on </w:t>
      </w:r>
      <w:r w:rsidR="00947076" w:rsidRPr="00A5589B">
        <w:rPr>
          <w:i/>
          <w:noProof/>
          <w:sz w:val="20"/>
          <w:szCs w:val="14"/>
        </w:rPr>
        <w:t>BloombergNEF, Decarbonizing Steel Project Database (1.0.5)</w:t>
      </w:r>
    </w:p>
    <w:p w14:paraId="60188076" w14:textId="33026526" w:rsidR="00285741" w:rsidRDefault="00285741" w:rsidP="001002D0">
      <w:pPr>
        <w:spacing w:before="240" w:after="120"/>
        <w:rPr>
          <w:noProof/>
        </w:rPr>
      </w:pPr>
      <w:r w:rsidRPr="00F877FC">
        <w:rPr>
          <w:noProof/>
          <w:szCs w:val="24"/>
        </w:rPr>
        <w:fldChar w:fldCharType="begin"/>
      </w:r>
      <w:r w:rsidRPr="00F877FC">
        <w:rPr>
          <w:noProof/>
          <w:szCs w:val="24"/>
        </w:rPr>
        <w:instrText xml:space="preserve"> REF _Ref211936747 \h </w:instrText>
      </w:r>
      <w:r>
        <w:rPr>
          <w:noProof/>
          <w:szCs w:val="24"/>
        </w:rPr>
        <w:instrText xml:space="preserve"> \* MERGEFORMAT </w:instrText>
      </w:r>
      <w:r w:rsidRPr="00F877FC">
        <w:rPr>
          <w:noProof/>
          <w:szCs w:val="24"/>
        </w:rPr>
      </w:r>
      <w:r w:rsidRPr="00F877FC">
        <w:rPr>
          <w:noProof/>
          <w:szCs w:val="24"/>
        </w:rPr>
        <w:fldChar w:fldCharType="separate"/>
      </w:r>
      <w:r w:rsidR="00E16D65" w:rsidRPr="00E16D65">
        <w:rPr>
          <w:noProof/>
          <w:szCs w:val="24"/>
        </w:rPr>
        <w:t>Figure 2</w:t>
      </w:r>
      <w:r w:rsidRPr="00F877FC">
        <w:rPr>
          <w:noProof/>
          <w:szCs w:val="24"/>
        </w:rPr>
        <w:fldChar w:fldCharType="end"/>
      </w:r>
      <w:r>
        <w:rPr>
          <w:noProof/>
        </w:rPr>
        <w:t xml:space="preserve"> </w:t>
      </w:r>
      <w:r w:rsidRPr="00B5149B">
        <w:rPr>
          <w:noProof/>
        </w:rPr>
        <w:t>confirm</w:t>
      </w:r>
      <w:r>
        <w:rPr>
          <w:noProof/>
        </w:rPr>
        <w:t>s</w:t>
      </w:r>
      <w:r w:rsidRPr="00B5149B">
        <w:rPr>
          <w:noProof/>
        </w:rPr>
        <w:t xml:space="preserve"> that</w:t>
      </w:r>
      <w:r w:rsidR="00BB463E">
        <w:rPr>
          <w:noProof/>
        </w:rPr>
        <w:t>, in the case of steel,</w:t>
      </w:r>
      <w:r w:rsidRPr="00B5149B">
        <w:rPr>
          <w:noProof/>
        </w:rPr>
        <w:t xml:space="preserve"> most </w:t>
      </w:r>
      <w:r w:rsidRPr="00726883">
        <w:rPr>
          <w:noProof/>
        </w:rPr>
        <w:t>of the projects announced in 2023-2025, are still in the announced stage</w:t>
      </w:r>
      <w:r>
        <w:rPr>
          <w:noProof/>
        </w:rPr>
        <w:t xml:space="preserve">. </w:t>
      </w:r>
      <w:r w:rsidRPr="00726883">
        <w:rPr>
          <w:noProof/>
        </w:rPr>
        <w:t>Most concerning is the cancellation of projects announced during the study period (2023-2025),</w:t>
      </w:r>
      <w:r>
        <w:rPr>
          <w:noProof/>
        </w:rPr>
        <w:t xml:space="preserve"> and which were supposed to start between </w:t>
      </w:r>
      <w:r w:rsidRPr="00726883">
        <w:rPr>
          <w:noProof/>
        </w:rPr>
        <w:t>2024 and 2027</w:t>
      </w:r>
      <w:r w:rsidRPr="00726883" w:rsidDel="00A051AB">
        <w:rPr>
          <w:noProof/>
        </w:rPr>
        <w:t xml:space="preserve"> </w:t>
      </w:r>
      <w:r w:rsidRPr="00726883">
        <w:rPr>
          <w:noProof/>
        </w:rPr>
        <w:t>(~10%</w:t>
      </w:r>
      <w:r>
        <w:rPr>
          <w:noProof/>
        </w:rPr>
        <w:t>)</w:t>
      </w:r>
      <w:r w:rsidRPr="00B5149B">
        <w:rPr>
          <w:noProof/>
        </w:rPr>
        <w:t xml:space="preserve">. </w:t>
      </w:r>
    </w:p>
    <w:p w14:paraId="270505B6" w14:textId="77777777" w:rsidR="00285741" w:rsidRDefault="00285741">
      <w:pPr>
        <w:spacing w:after="120"/>
        <w:rPr>
          <w:noProof/>
        </w:rPr>
      </w:pPr>
      <w:r>
        <w:rPr>
          <w:b/>
          <w:noProof/>
        </w:rPr>
        <w:t>C</w:t>
      </w:r>
      <w:r w:rsidRPr="00E447EE">
        <w:rPr>
          <w:b/>
          <w:noProof/>
        </w:rPr>
        <w:t>ement</w:t>
      </w:r>
      <w:r w:rsidRPr="00B5149B">
        <w:rPr>
          <w:noProof/>
        </w:rPr>
        <w:t xml:space="preserve">, </w:t>
      </w:r>
      <w:r w:rsidRPr="00E447EE">
        <w:rPr>
          <w:b/>
          <w:noProof/>
        </w:rPr>
        <w:t>chemicals</w:t>
      </w:r>
      <w:r w:rsidRPr="00B5149B">
        <w:rPr>
          <w:noProof/>
        </w:rPr>
        <w:t xml:space="preserve">, </w:t>
      </w:r>
      <w:r>
        <w:rPr>
          <w:noProof/>
        </w:rPr>
        <w:t xml:space="preserve">and </w:t>
      </w:r>
      <w:r w:rsidRPr="00E447EE">
        <w:rPr>
          <w:b/>
          <w:noProof/>
        </w:rPr>
        <w:t>refining</w:t>
      </w:r>
      <w:r w:rsidRPr="00B5149B">
        <w:rPr>
          <w:noProof/>
        </w:rPr>
        <w:t xml:space="preserve"> account for most </w:t>
      </w:r>
      <w:r>
        <w:rPr>
          <w:noProof/>
        </w:rPr>
        <w:t>projects</w:t>
      </w:r>
      <w:r w:rsidRPr="00B5149B">
        <w:rPr>
          <w:noProof/>
        </w:rPr>
        <w:t xml:space="preserve">, but implementation lags. </w:t>
      </w:r>
      <w:r>
        <w:rPr>
          <w:noProof/>
        </w:rPr>
        <w:t>Collectively, these projects represent over EUR 1.5 billion of announced investment. A</w:t>
      </w:r>
      <w:r w:rsidRPr="00490E71">
        <w:rPr>
          <w:noProof/>
        </w:rPr>
        <w:t xml:space="preserve">chieving the Union’s climate and industrial objectives will require an additional </w:t>
      </w:r>
      <w:r>
        <w:rPr>
          <w:noProof/>
        </w:rPr>
        <w:t xml:space="preserve">EUR </w:t>
      </w:r>
      <w:r w:rsidRPr="00490E71">
        <w:rPr>
          <w:noProof/>
        </w:rPr>
        <w:t>480 billion in annual investment</w:t>
      </w:r>
      <w:r>
        <w:rPr>
          <w:rStyle w:val="FootnoteReference"/>
          <w:noProof/>
        </w:rPr>
        <w:footnoteReference w:id="64"/>
      </w:r>
      <w:r w:rsidRPr="00490E71">
        <w:rPr>
          <w:noProof/>
        </w:rPr>
        <w:t xml:space="preserve"> in energy systems, industrial innovation, scale-up and transport compared to the previous decade. While the EU has mobilised significant resources through instruments such as the Innovation Fund and InvestEU, private investment remains below the level required to meet the 2030 and 2040 climate targets.</w:t>
      </w:r>
    </w:p>
    <w:p w14:paraId="06B8DE9A" w14:textId="77777777" w:rsidR="00285741" w:rsidRDefault="00285741">
      <w:pPr>
        <w:spacing w:after="120"/>
        <w:rPr>
          <w:noProof/>
        </w:rPr>
      </w:pPr>
      <w:r>
        <w:rPr>
          <w:noProof/>
        </w:rPr>
        <w:t xml:space="preserve">When turning to </w:t>
      </w:r>
      <w:r w:rsidRPr="00E447EE">
        <w:rPr>
          <w:b/>
          <w:noProof/>
        </w:rPr>
        <w:t>steel</w:t>
      </w:r>
      <w:r>
        <w:rPr>
          <w:rStyle w:val="FootnoteReference"/>
          <w:noProof/>
        </w:rPr>
        <w:footnoteReference w:id="65"/>
      </w:r>
      <w:r w:rsidRPr="00A474B0" w:rsidDel="00490FE8">
        <w:rPr>
          <w:noProof/>
        </w:rPr>
        <w:t xml:space="preserve">, </w:t>
      </w:r>
      <w:r w:rsidRPr="00A474B0">
        <w:rPr>
          <w:noProof/>
        </w:rPr>
        <w:t>Europe’s clean-steel transformation remains largely on paper. Out of roughly 250 European decarbonisation projects</w:t>
      </w:r>
      <w:r>
        <w:rPr>
          <w:noProof/>
        </w:rPr>
        <w:t xml:space="preserve"> since 2018</w:t>
      </w:r>
      <w:r w:rsidRPr="00A474B0">
        <w:rPr>
          <w:noProof/>
        </w:rPr>
        <w:t>, about 68% are still at the announcement or concept stage, with no final investment decision yet taken.</w:t>
      </w:r>
    </w:p>
    <w:p w14:paraId="7D40785B" w14:textId="77777777" w:rsidR="00285741" w:rsidRPr="00A96AE3" w:rsidRDefault="00285741">
      <w:pPr>
        <w:spacing w:after="120"/>
        <w:rPr>
          <w:b/>
          <w:noProof/>
        </w:rPr>
      </w:pPr>
      <w:r w:rsidRPr="00A96AE3">
        <w:rPr>
          <w:b/>
          <w:i/>
          <w:noProof/>
        </w:rPr>
        <w:t>Batteries manufacturing</w:t>
      </w:r>
    </w:p>
    <w:p w14:paraId="2D564707" w14:textId="3040721C" w:rsidR="00285741" w:rsidRDefault="00285741">
      <w:pPr>
        <w:spacing w:after="120"/>
        <w:rPr>
          <w:noProof/>
        </w:rPr>
      </w:pPr>
      <w:r>
        <w:rPr>
          <w:noProof/>
        </w:rPr>
        <w:t xml:space="preserve">A similar situation is visible in the </w:t>
      </w:r>
      <w:r w:rsidRPr="00E447EE">
        <w:rPr>
          <w:b/>
          <w:noProof/>
        </w:rPr>
        <w:t>batteries</w:t>
      </w:r>
      <w:r>
        <w:rPr>
          <w:noProof/>
        </w:rPr>
        <w:t xml:space="preserve"> industry. </w:t>
      </w:r>
      <w:r w:rsidRPr="005B277F">
        <w:rPr>
          <w:noProof/>
        </w:rPr>
        <w:t>In 202</w:t>
      </w:r>
      <w:r>
        <w:rPr>
          <w:noProof/>
        </w:rPr>
        <w:t>4</w:t>
      </w:r>
      <w:r w:rsidRPr="005B277F">
        <w:rPr>
          <w:noProof/>
        </w:rPr>
        <w:t>, the EU imported around EUR 2</w:t>
      </w:r>
      <w:r>
        <w:rPr>
          <w:noProof/>
        </w:rPr>
        <w:t>8</w:t>
      </w:r>
      <w:r w:rsidRPr="005B277F">
        <w:rPr>
          <w:noProof/>
        </w:rPr>
        <w:t xml:space="preserve"> billion worth of batteries, with </w:t>
      </w:r>
      <w:r>
        <w:rPr>
          <w:noProof/>
        </w:rPr>
        <w:t>EUR 22 billion</w:t>
      </w:r>
      <w:r w:rsidRPr="005B277F">
        <w:rPr>
          <w:noProof/>
        </w:rPr>
        <w:t xml:space="preserve"> coming from </w:t>
      </w:r>
      <w:r>
        <w:rPr>
          <w:noProof/>
        </w:rPr>
        <w:t>China alone</w:t>
      </w:r>
      <w:r>
        <w:rPr>
          <w:rStyle w:val="FootnoteReference"/>
          <w:noProof/>
        </w:rPr>
        <w:footnoteReference w:id="66"/>
      </w:r>
      <w:r>
        <w:rPr>
          <w:noProof/>
        </w:rPr>
        <w:t>, while EU exports stood below EUR 11 billion.</w:t>
      </w:r>
      <w:r>
        <w:rPr>
          <w:rStyle w:val="FootnoteReference"/>
          <w:noProof/>
        </w:rPr>
        <w:footnoteReference w:id="67"/>
      </w:r>
      <w:r>
        <w:rPr>
          <w:noProof/>
        </w:rPr>
        <w:t xml:space="preserve"> In 2024, </w:t>
      </w:r>
      <w:r w:rsidRPr="00350450">
        <w:rPr>
          <w:noProof/>
        </w:rPr>
        <w:t>China dominate</w:t>
      </w:r>
      <w:r>
        <w:rPr>
          <w:noProof/>
        </w:rPr>
        <w:t>d</w:t>
      </w:r>
      <w:r w:rsidRPr="00350450">
        <w:rPr>
          <w:noProof/>
        </w:rPr>
        <w:t xml:space="preserve"> global battery production, holding </w:t>
      </w:r>
      <w:r>
        <w:rPr>
          <w:noProof/>
        </w:rPr>
        <w:t>around</w:t>
      </w:r>
      <w:r w:rsidRPr="00350450">
        <w:rPr>
          <w:noProof/>
        </w:rPr>
        <w:t xml:space="preserve"> 8</w:t>
      </w:r>
      <w:r>
        <w:rPr>
          <w:noProof/>
        </w:rPr>
        <w:t>3</w:t>
      </w:r>
      <w:r w:rsidRPr="00350450">
        <w:rPr>
          <w:noProof/>
        </w:rPr>
        <w:t>% of the world</w:t>
      </w:r>
      <w:r>
        <w:rPr>
          <w:noProof/>
        </w:rPr>
        <w:t>’</w:t>
      </w:r>
      <w:r w:rsidRPr="00350450">
        <w:rPr>
          <w:noProof/>
        </w:rPr>
        <w:t>s capacity</w:t>
      </w:r>
      <w:r>
        <w:rPr>
          <w:noProof/>
        </w:rPr>
        <w:t xml:space="preserve">, well above their </w:t>
      </w:r>
      <w:r w:rsidRPr="00350450">
        <w:rPr>
          <w:noProof/>
        </w:rPr>
        <w:t>end-use demand</w:t>
      </w:r>
      <w:r>
        <w:rPr>
          <w:noProof/>
        </w:rPr>
        <w:t>.</w:t>
      </w:r>
      <w:r>
        <w:rPr>
          <w:rStyle w:val="FootnoteReference"/>
          <w:noProof/>
        </w:rPr>
        <w:footnoteReference w:id="68"/>
      </w:r>
      <w:r>
        <w:rPr>
          <w:noProof/>
        </w:rPr>
        <w:t xml:space="preserve"> </w:t>
      </w:r>
      <w:r w:rsidRPr="0058596B">
        <w:rPr>
          <w:noProof/>
        </w:rPr>
        <w:t xml:space="preserve">China’s </w:t>
      </w:r>
      <w:r w:rsidR="00C75DD7">
        <w:rPr>
          <w:noProof/>
        </w:rPr>
        <w:t>market share</w:t>
      </w:r>
      <w:r w:rsidR="00C75DD7" w:rsidRPr="0058596B">
        <w:rPr>
          <w:noProof/>
        </w:rPr>
        <w:t xml:space="preserve"> </w:t>
      </w:r>
      <w:r w:rsidRPr="0058596B">
        <w:rPr>
          <w:noProof/>
        </w:rPr>
        <w:t>on the</w:t>
      </w:r>
      <w:r>
        <w:rPr>
          <w:noProof/>
        </w:rPr>
        <w:t xml:space="preserve"> </w:t>
      </w:r>
      <w:r w:rsidRPr="0058596B">
        <w:rPr>
          <w:noProof/>
        </w:rPr>
        <w:t>upstream battery supply chain</w:t>
      </w:r>
      <w:r w:rsidRPr="00D65EE8">
        <w:rPr>
          <w:noProof/>
        </w:rPr>
        <w:t xml:space="preserve"> is </w:t>
      </w:r>
      <w:r>
        <w:rPr>
          <w:noProof/>
        </w:rPr>
        <w:t>even more significant</w:t>
      </w:r>
      <w:r w:rsidRPr="00D65EE8">
        <w:rPr>
          <w:noProof/>
        </w:rPr>
        <w:t>.</w:t>
      </w:r>
      <w:r>
        <w:rPr>
          <w:rStyle w:val="FootnoteReference"/>
          <w:rFonts w:eastAsia="Times New Roman"/>
          <w:noProof/>
        </w:rPr>
        <w:footnoteReference w:id="69"/>
      </w:r>
      <w:r>
        <w:rPr>
          <w:noProof/>
        </w:rPr>
        <w:t xml:space="preserve"> </w:t>
      </w:r>
    </w:p>
    <w:p w14:paraId="0CED390C" w14:textId="5AB156FF" w:rsidR="006D67E3" w:rsidRDefault="00285741" w:rsidP="006D67E3">
      <w:pPr>
        <w:spacing w:after="120"/>
        <w:rPr>
          <w:noProof/>
        </w:rPr>
      </w:pPr>
      <w:r w:rsidRPr="003876EE">
        <w:rPr>
          <w:noProof/>
        </w:rPr>
        <w:t xml:space="preserve">While </w:t>
      </w:r>
      <w:r w:rsidR="00112F3A" w:rsidRPr="003876EE">
        <w:rPr>
          <w:noProof/>
        </w:rPr>
        <w:t>European battery manufacturers</w:t>
      </w:r>
      <w:r w:rsidRPr="003876EE" w:rsidDel="00112F3A">
        <w:rPr>
          <w:noProof/>
        </w:rPr>
        <w:t xml:space="preserve"> </w:t>
      </w:r>
      <w:r w:rsidRPr="003876EE">
        <w:rPr>
          <w:noProof/>
        </w:rPr>
        <w:t>continue to scale up and optimi</w:t>
      </w:r>
      <w:r>
        <w:rPr>
          <w:noProof/>
        </w:rPr>
        <w:t>s</w:t>
      </w:r>
      <w:r w:rsidRPr="003876EE">
        <w:rPr>
          <w:noProof/>
        </w:rPr>
        <w:t>e their production processes, they face intense price competition from third-country producers, particularly China. The EU battery ecosystem remains heavily reliant on critical components and technological know-how sourced from these</w:t>
      </w:r>
      <w:r>
        <w:rPr>
          <w:noProof/>
        </w:rPr>
        <w:t xml:space="preserve"> third</w:t>
      </w:r>
      <w:r w:rsidRPr="003876EE">
        <w:rPr>
          <w:noProof/>
        </w:rPr>
        <w:t xml:space="preserve"> countries</w:t>
      </w:r>
      <w:r>
        <w:rPr>
          <w:noProof/>
        </w:rPr>
        <w:t xml:space="preserve">. </w:t>
      </w:r>
      <w:r w:rsidR="00DC3BE2">
        <w:rPr>
          <w:noProof/>
        </w:rPr>
        <w:t>These factors</w:t>
      </w:r>
      <w:r w:rsidDel="00DC3BE2">
        <w:rPr>
          <w:noProof/>
        </w:rPr>
        <w:t xml:space="preserve"> </w:t>
      </w:r>
      <w:r w:rsidR="00DC3BE2">
        <w:rPr>
          <w:noProof/>
        </w:rPr>
        <w:t xml:space="preserve">have </w:t>
      </w:r>
      <w:r>
        <w:rPr>
          <w:noProof/>
        </w:rPr>
        <w:t xml:space="preserve">led to the cancellation or delay in the EU of </w:t>
      </w:r>
      <w:r w:rsidRPr="006C4320">
        <w:rPr>
          <w:noProof/>
        </w:rPr>
        <w:t>several</w:t>
      </w:r>
      <w:r>
        <w:rPr>
          <w:noProof/>
        </w:rPr>
        <w:t xml:space="preserve"> battery projects, including</w:t>
      </w:r>
      <w:r w:rsidRPr="006C4320">
        <w:rPr>
          <w:noProof/>
        </w:rPr>
        <w:t xml:space="preserve"> 23</w:t>
      </w:r>
      <w:r>
        <w:rPr>
          <w:noProof/>
        </w:rPr>
        <w:t>3</w:t>
      </w:r>
      <w:r w:rsidRPr="006C4320">
        <w:rPr>
          <w:noProof/>
        </w:rPr>
        <w:t xml:space="preserve"> GWh</w:t>
      </w:r>
      <w:r>
        <w:rPr>
          <w:noProof/>
        </w:rPr>
        <w:t xml:space="preserve"> of battery cells, 100 GWh of anode active materials, 513 GWh cathode active material, and 115 GWh of precursor active </w:t>
      </w:r>
      <w:r>
        <w:rPr>
          <w:noProof/>
        </w:rPr>
        <w:lastRenderedPageBreak/>
        <w:t>materials as considered no longer competitive.</w:t>
      </w:r>
      <w:r w:rsidR="006D67E3">
        <w:rPr>
          <w:noProof/>
        </w:rPr>
        <w:t xml:space="preserve"> </w:t>
      </w:r>
      <w:r w:rsidR="006D67E3" w:rsidRPr="000D00C6">
        <w:rPr>
          <w:noProof/>
        </w:rPr>
        <w:t xml:space="preserve">Although the EU </w:t>
      </w:r>
      <w:r w:rsidR="00E662B2">
        <w:rPr>
          <w:noProof/>
        </w:rPr>
        <w:t>reached</w:t>
      </w:r>
      <w:r w:rsidR="006D67E3" w:rsidRPr="000D00C6">
        <w:rPr>
          <w:noProof/>
        </w:rPr>
        <w:t xml:space="preserve"> a battery cell installed capacity of around </w:t>
      </w:r>
      <w:r w:rsidR="006D67E3">
        <w:rPr>
          <w:noProof/>
        </w:rPr>
        <w:t>20</w:t>
      </w:r>
      <w:r w:rsidR="00F84AFE">
        <w:rPr>
          <w:noProof/>
        </w:rPr>
        <w:t>5</w:t>
      </w:r>
      <w:r w:rsidR="006D67E3" w:rsidRPr="000D00C6">
        <w:rPr>
          <w:noProof/>
        </w:rPr>
        <w:t xml:space="preserve"> GWh by the end of 2025 and</w:t>
      </w:r>
      <w:r w:rsidR="006D67E3">
        <w:rPr>
          <w:noProof/>
        </w:rPr>
        <w:t xml:space="preserve"> has over 750 GWh in the pipeline</w:t>
      </w:r>
      <w:r w:rsidR="006D67E3">
        <w:rPr>
          <w:rStyle w:val="FootnoteReference"/>
          <w:noProof/>
        </w:rPr>
        <w:footnoteReference w:id="70"/>
      </w:r>
      <w:r w:rsidR="006D67E3">
        <w:rPr>
          <w:noProof/>
        </w:rPr>
        <w:t>,</w:t>
      </w:r>
      <w:r w:rsidR="006D67E3" w:rsidRPr="003A03A7">
        <w:rPr>
          <w:noProof/>
        </w:rPr>
        <w:t xml:space="preserve"> </w:t>
      </w:r>
      <w:r w:rsidR="006D67E3">
        <w:rPr>
          <w:noProof/>
        </w:rPr>
        <w:t xml:space="preserve">these cancelations and delays show the competitiveness gap </w:t>
      </w:r>
      <w:r w:rsidR="008E4ADB">
        <w:rPr>
          <w:noProof/>
        </w:rPr>
        <w:t>of the European industry</w:t>
      </w:r>
      <w:r w:rsidR="005D156B">
        <w:rPr>
          <w:noProof/>
        </w:rPr>
        <w:t xml:space="preserve">. </w:t>
      </w:r>
      <w:r w:rsidR="005D156B" w:rsidRPr="00A07AE4">
        <w:rPr>
          <w:noProof/>
        </w:rPr>
        <w:t>This gap</w:t>
      </w:r>
      <w:r w:rsidR="008E4ADB" w:rsidRPr="007E3C57">
        <w:rPr>
          <w:noProof/>
        </w:rPr>
        <w:t xml:space="preserve"> is </w:t>
      </w:r>
      <w:r w:rsidR="005D156B" w:rsidRPr="00A07AE4">
        <w:rPr>
          <w:noProof/>
        </w:rPr>
        <w:t xml:space="preserve">further </w:t>
      </w:r>
      <w:r w:rsidR="008E4ADB" w:rsidRPr="007E3C57">
        <w:rPr>
          <w:noProof/>
        </w:rPr>
        <w:t xml:space="preserve">exacerbated </w:t>
      </w:r>
      <w:r w:rsidR="005D156B" w:rsidRPr="00A07AE4">
        <w:rPr>
          <w:noProof/>
        </w:rPr>
        <w:t>by</w:t>
      </w:r>
      <w:r w:rsidR="006D67E3" w:rsidRPr="007E3C57">
        <w:rPr>
          <w:noProof/>
        </w:rPr>
        <w:t xml:space="preserve"> the vulnerability</w:t>
      </w:r>
      <w:r w:rsidR="006D67E3" w:rsidRPr="00061A14">
        <w:rPr>
          <w:noProof/>
        </w:rPr>
        <w:t xml:space="preserve"> of the </w:t>
      </w:r>
      <w:r w:rsidR="00702C43">
        <w:rPr>
          <w:noProof/>
        </w:rPr>
        <w:t xml:space="preserve">existing </w:t>
      </w:r>
      <w:r w:rsidR="006D67E3" w:rsidRPr="00061A14">
        <w:rPr>
          <w:noProof/>
        </w:rPr>
        <w:t>EU battery industry to supply chain disruptions</w:t>
      </w:r>
      <w:r w:rsidR="005C1B14" w:rsidRPr="00061A14">
        <w:rPr>
          <w:noProof/>
        </w:rPr>
        <w:t xml:space="preserve"> </w:t>
      </w:r>
      <w:r w:rsidR="005D156B" w:rsidRPr="00A07AE4">
        <w:rPr>
          <w:noProof/>
        </w:rPr>
        <w:t>due to</w:t>
      </w:r>
      <w:r w:rsidR="005C1B14" w:rsidRPr="007E3C57">
        <w:rPr>
          <w:noProof/>
        </w:rPr>
        <w:t xml:space="preserve"> </w:t>
      </w:r>
      <w:r w:rsidR="00D247CE" w:rsidRPr="00061A14">
        <w:rPr>
          <w:noProof/>
        </w:rPr>
        <w:t xml:space="preserve">export restrictions </w:t>
      </w:r>
      <w:r w:rsidR="005D156B" w:rsidRPr="00A07AE4">
        <w:rPr>
          <w:noProof/>
        </w:rPr>
        <w:t>on</w:t>
      </w:r>
      <w:r w:rsidR="00D247CE" w:rsidRPr="007E3C57">
        <w:rPr>
          <w:noProof/>
        </w:rPr>
        <w:t xml:space="preserve"> key components and technologies</w:t>
      </w:r>
      <w:r w:rsidR="006D67E3" w:rsidRPr="00061A14">
        <w:rPr>
          <w:noProof/>
        </w:rPr>
        <w:t xml:space="preserve">. </w:t>
      </w:r>
      <w:r w:rsidR="00310D5D">
        <w:rPr>
          <w:noProof/>
        </w:rPr>
        <w:t>Additionally, t</w:t>
      </w:r>
      <w:r w:rsidR="005D156B" w:rsidRPr="00A07AE4">
        <w:rPr>
          <w:noProof/>
        </w:rPr>
        <w:t xml:space="preserve">he absence of a robust domestic value chain means EU </w:t>
      </w:r>
      <w:r w:rsidR="003E72E9">
        <w:rPr>
          <w:noProof/>
        </w:rPr>
        <w:t>manufacturers</w:t>
      </w:r>
      <w:r w:rsidR="005D156B">
        <w:rPr>
          <w:noProof/>
        </w:rPr>
        <w:t xml:space="preserve"> </w:t>
      </w:r>
      <w:r w:rsidR="005D156B" w:rsidRPr="00A07AE4">
        <w:rPr>
          <w:noProof/>
        </w:rPr>
        <w:t>may face a premium for depending on imports to sustain its battery sector, impacting both cost and reliability.</w:t>
      </w:r>
      <w:r w:rsidR="006D67E3">
        <w:rPr>
          <w:noProof/>
        </w:rPr>
        <w:t xml:space="preserve"> </w:t>
      </w:r>
    </w:p>
    <w:p w14:paraId="3F757C50" w14:textId="77777777" w:rsidR="00285741" w:rsidRPr="00E57D94" w:rsidRDefault="00285741" w:rsidP="006D76C4">
      <w:pPr>
        <w:spacing w:after="120"/>
        <w:rPr>
          <w:b/>
          <w:i/>
          <w:noProof/>
        </w:rPr>
      </w:pPr>
      <w:r w:rsidRPr="00E57D94">
        <w:rPr>
          <w:b/>
          <w:i/>
          <w:noProof/>
        </w:rPr>
        <w:t>PV manufacturing</w:t>
      </w:r>
    </w:p>
    <w:p w14:paraId="192EEBBF" w14:textId="77777777" w:rsidR="00285741" w:rsidRPr="000272AD" w:rsidRDefault="00285741">
      <w:pPr>
        <w:spacing w:after="120"/>
        <w:rPr>
          <w:noProof/>
        </w:rPr>
      </w:pPr>
      <w:r>
        <w:rPr>
          <w:bCs/>
          <w:noProof/>
        </w:rPr>
        <w:t xml:space="preserve">The </w:t>
      </w:r>
      <w:r w:rsidRPr="005003B1">
        <w:rPr>
          <w:bCs/>
          <w:noProof/>
        </w:rPr>
        <w:t xml:space="preserve">European </w:t>
      </w:r>
      <w:r w:rsidRPr="00E447EE">
        <w:rPr>
          <w:b/>
          <w:noProof/>
        </w:rPr>
        <w:t xml:space="preserve">solar PV </w:t>
      </w:r>
      <w:r w:rsidRPr="005003B1">
        <w:rPr>
          <w:bCs/>
          <w:noProof/>
        </w:rPr>
        <w:t>industry</w:t>
      </w:r>
      <w:r w:rsidRPr="00E91943">
        <w:rPr>
          <w:noProof/>
        </w:rPr>
        <w:t xml:space="preserve"> has been losing competitiveness due to several factors, mainly Chinese overcapacity and lower manufacturing costs and prices. </w:t>
      </w:r>
      <w:r w:rsidRPr="000272AD">
        <w:rPr>
          <w:noProof/>
        </w:rPr>
        <w:t>Regarding overcapacity</w:t>
      </w:r>
      <w:r w:rsidRPr="000272AD">
        <w:rPr>
          <w:rStyle w:val="FootnoteReference"/>
          <w:noProof/>
        </w:rPr>
        <w:footnoteReference w:id="71"/>
      </w:r>
      <w:r w:rsidRPr="000272AD">
        <w:rPr>
          <w:noProof/>
        </w:rPr>
        <w:t xml:space="preserve">, </w:t>
      </w:r>
      <w:r>
        <w:rPr>
          <w:noProof/>
        </w:rPr>
        <w:t>at least</w:t>
      </w:r>
      <w:r w:rsidRPr="00B14369">
        <w:rPr>
          <w:noProof/>
        </w:rPr>
        <w:t xml:space="preserve"> 80% of global manufacturing </w:t>
      </w:r>
      <w:r>
        <w:rPr>
          <w:noProof/>
        </w:rPr>
        <w:t>across the supply chain components</w:t>
      </w:r>
      <w:r w:rsidRPr="00B14369">
        <w:rPr>
          <w:noProof/>
        </w:rPr>
        <w:t xml:space="preserve"> is concentrated in </w:t>
      </w:r>
      <w:r>
        <w:rPr>
          <w:noProof/>
        </w:rPr>
        <w:t xml:space="preserve">China, </w:t>
      </w:r>
      <w:r w:rsidRPr="00A071D9">
        <w:rPr>
          <w:noProof/>
        </w:rPr>
        <w:t xml:space="preserve">which makes </w:t>
      </w:r>
      <w:r>
        <w:rPr>
          <w:noProof/>
        </w:rPr>
        <w:t>them</w:t>
      </w:r>
      <w:r w:rsidRPr="00A071D9">
        <w:rPr>
          <w:noProof/>
        </w:rPr>
        <w:t xml:space="preserve"> the dominant country in the global PV manufacturing market</w:t>
      </w:r>
      <w:r>
        <w:rPr>
          <w:noProof/>
        </w:rPr>
        <w:t>.</w:t>
      </w:r>
      <w:r>
        <w:rPr>
          <w:rStyle w:val="FootnoteReference"/>
          <w:noProof/>
        </w:rPr>
        <w:footnoteReference w:id="72"/>
      </w:r>
      <w:r w:rsidRPr="00056D36">
        <w:rPr>
          <w:rStyle w:val="FootnoteReference"/>
          <w:noProof/>
        </w:rPr>
        <w:t xml:space="preserve"> </w:t>
      </w:r>
      <w:r>
        <w:rPr>
          <w:rStyle w:val="FootnoteReference"/>
          <w:noProof/>
        </w:rPr>
        <w:footnoteReference w:id="73"/>
      </w:r>
      <w:r>
        <w:rPr>
          <w:noProof/>
        </w:rPr>
        <w:t xml:space="preserve"> This level of concentration creates structural risks for the EU’s security of supply of PV systems: overcapacity in China drives prices down globally and exports are redirected to the EU following US import restrictions, discouraging investment in alternative production outside China, and reinforcing dependency on a single source. This dependence heightens exposure to potential supply disruptions, trade tensions or geopolitical shocks, and raises cybersecurity concerns risks in related to system equipment such as inverters. </w:t>
      </w:r>
    </w:p>
    <w:p w14:paraId="3816BA55" w14:textId="46DEA288" w:rsidR="00285741" w:rsidRPr="000272AD" w:rsidRDefault="00285741">
      <w:pPr>
        <w:spacing w:after="120"/>
        <w:rPr>
          <w:noProof/>
        </w:rPr>
      </w:pPr>
      <w:r w:rsidRPr="000272AD">
        <w:rPr>
          <w:noProof/>
        </w:rPr>
        <w:t xml:space="preserve">At present, the EU </w:t>
      </w:r>
      <w:r>
        <w:rPr>
          <w:noProof/>
        </w:rPr>
        <w:t xml:space="preserve">manufacturing capacity in the solar PV value chain </w:t>
      </w:r>
      <w:r w:rsidRPr="000272AD">
        <w:rPr>
          <w:noProof/>
        </w:rPr>
        <w:t xml:space="preserve">amounts to </w:t>
      </w:r>
      <w:r>
        <w:rPr>
          <w:noProof/>
        </w:rPr>
        <w:t xml:space="preserve">approximately 12 GW of PV modules, around 2 GW of PV cells, </w:t>
      </w:r>
      <w:r w:rsidR="00FF4A89">
        <w:rPr>
          <w:noProof/>
        </w:rPr>
        <w:t xml:space="preserve">and </w:t>
      </w:r>
      <w:r w:rsidRPr="000272AD">
        <w:rPr>
          <w:noProof/>
        </w:rPr>
        <w:t xml:space="preserve">less than 1 GW of </w:t>
      </w:r>
      <w:r>
        <w:rPr>
          <w:noProof/>
        </w:rPr>
        <w:t xml:space="preserve">PV </w:t>
      </w:r>
      <w:r w:rsidRPr="000272AD">
        <w:rPr>
          <w:noProof/>
        </w:rPr>
        <w:t>ingots and wafers</w:t>
      </w:r>
      <w:r>
        <w:rPr>
          <w:noProof/>
        </w:rPr>
        <w:t>.</w:t>
      </w:r>
      <w:r w:rsidRPr="000272AD">
        <w:rPr>
          <w:rStyle w:val="FootnoteReference"/>
          <w:noProof/>
        </w:rPr>
        <w:footnoteReference w:id="74"/>
      </w:r>
      <w:r>
        <w:rPr>
          <w:noProof/>
        </w:rPr>
        <w:t xml:space="preserve"> Inverter manufacturing is still quite strong in the EU (over 82GW</w:t>
      </w:r>
      <w:r>
        <w:rPr>
          <w:noProof/>
          <w:vertAlign w:val="subscript"/>
        </w:rPr>
        <w:t>A</w:t>
      </w:r>
      <w:r w:rsidRPr="7BB1DB56">
        <w:rPr>
          <w:noProof/>
          <w:vertAlign w:val="subscript"/>
        </w:rPr>
        <w:t>C</w:t>
      </w:r>
      <w:r>
        <w:rPr>
          <w:rStyle w:val="FootnoteReference"/>
          <w:noProof/>
        </w:rPr>
        <w:footnoteReference w:id="75"/>
      </w:r>
      <w:r>
        <w:rPr>
          <w:noProof/>
        </w:rPr>
        <w:t xml:space="preserve">) but there is similar worrying pressure and trend as for the rest of the supply </w:t>
      </w:r>
      <w:r w:rsidRPr="5FD0D0B9">
        <w:rPr>
          <w:noProof/>
        </w:rPr>
        <w:t>chain.</w:t>
      </w:r>
    </w:p>
    <w:p w14:paraId="5AF70E58" w14:textId="1CD29BD3" w:rsidR="00285741" w:rsidRPr="00D24389" w:rsidRDefault="00285741" w:rsidP="006D76C4">
      <w:pPr>
        <w:spacing w:after="120"/>
        <w:rPr>
          <w:noProof/>
        </w:rPr>
      </w:pPr>
      <w:r>
        <w:rPr>
          <w:noProof/>
        </w:rPr>
        <w:t>Other</w:t>
      </w:r>
      <w:r w:rsidRPr="0030157B">
        <w:rPr>
          <w:noProof/>
        </w:rPr>
        <w:t xml:space="preserve"> c</w:t>
      </w:r>
      <w:r w:rsidRPr="0030157B" w:rsidDel="008E60BF">
        <w:rPr>
          <w:noProof/>
        </w:rPr>
        <w:t>lean</w:t>
      </w:r>
      <w:r w:rsidRPr="0030157B">
        <w:rPr>
          <w:noProof/>
        </w:rPr>
        <w:t xml:space="preserve"> technologies</w:t>
      </w:r>
      <w:r w:rsidR="00DA1380">
        <w:rPr>
          <w:noProof/>
        </w:rPr>
        <w:t>, or ‘net-zero technologies’</w:t>
      </w:r>
      <w:r>
        <w:rPr>
          <w:noProof/>
        </w:rPr>
        <w:t xml:space="preserve"> (e.g. wind, electrolysers)</w:t>
      </w:r>
      <w:r w:rsidR="00654598">
        <w:rPr>
          <w:noProof/>
        </w:rPr>
        <w:t>,</w:t>
      </w:r>
      <w:r>
        <w:rPr>
          <w:noProof/>
        </w:rPr>
        <w:t xml:space="preserve"> face </w:t>
      </w:r>
      <w:r w:rsidR="4409C39C">
        <w:rPr>
          <w:noProof/>
        </w:rPr>
        <w:t xml:space="preserve">similar </w:t>
      </w:r>
      <w:r>
        <w:rPr>
          <w:noProof/>
        </w:rPr>
        <w:t>challenges</w:t>
      </w:r>
      <w:r w:rsidRPr="00B706E5">
        <w:rPr>
          <w:noProof/>
        </w:rPr>
        <w:t>,</w:t>
      </w:r>
      <w:r w:rsidRPr="0030157B">
        <w:rPr>
          <w:b/>
          <w:noProof/>
        </w:rPr>
        <w:t xml:space="preserve"> </w:t>
      </w:r>
      <w:r w:rsidRPr="00FA740A">
        <w:rPr>
          <w:bCs/>
          <w:noProof/>
        </w:rPr>
        <w:t xml:space="preserve">however </w:t>
      </w:r>
      <w:r w:rsidRPr="00B706E5">
        <w:rPr>
          <w:noProof/>
        </w:rPr>
        <w:t>the combination of high global overcapacities</w:t>
      </w:r>
      <w:r>
        <w:rPr>
          <w:noProof/>
        </w:rPr>
        <w:t xml:space="preserve"> </w:t>
      </w:r>
      <w:r w:rsidRPr="00B706E5">
        <w:rPr>
          <w:noProof/>
        </w:rPr>
        <w:t xml:space="preserve">and high dependencies of the EU’s consumption on </w:t>
      </w:r>
      <w:r w:rsidR="68B4EC57" w:rsidRPr="00B706E5">
        <w:rPr>
          <w:noProof/>
        </w:rPr>
        <w:t xml:space="preserve">one </w:t>
      </w:r>
      <w:r w:rsidRPr="00B706E5">
        <w:rPr>
          <w:noProof/>
        </w:rPr>
        <w:t xml:space="preserve">single source of supply is </w:t>
      </w:r>
      <w:r w:rsidR="3723B6D8" w:rsidRPr="00FA740A">
        <w:rPr>
          <w:noProof/>
        </w:rPr>
        <w:t xml:space="preserve">particularly acute for </w:t>
      </w:r>
      <w:r w:rsidRPr="00FA740A">
        <w:rPr>
          <w:noProof/>
        </w:rPr>
        <w:t>solar PV and batteries</w:t>
      </w:r>
      <w:r>
        <w:rPr>
          <w:noProof/>
        </w:rPr>
        <w:t>.</w:t>
      </w:r>
      <w:r>
        <w:rPr>
          <w:rStyle w:val="FootnoteReference"/>
          <w:noProof/>
        </w:rPr>
        <w:footnoteReference w:id="76"/>
      </w:r>
      <w:r w:rsidRPr="000B11CF">
        <w:rPr>
          <w:noProof/>
        </w:rPr>
        <w:t xml:space="preserve"> </w:t>
      </w:r>
      <w:r>
        <w:rPr>
          <w:noProof/>
        </w:rPr>
        <w:t xml:space="preserve">Therefore, the assessment </w:t>
      </w:r>
      <w:r w:rsidR="00395392">
        <w:rPr>
          <w:noProof/>
        </w:rPr>
        <w:t xml:space="preserve">report </w:t>
      </w:r>
      <w:r>
        <w:rPr>
          <w:noProof/>
        </w:rPr>
        <w:t xml:space="preserve">focuses </w:t>
      </w:r>
      <w:r w:rsidR="00F84D4A">
        <w:rPr>
          <w:noProof/>
        </w:rPr>
        <w:t xml:space="preserve">primarily </w:t>
      </w:r>
      <w:r>
        <w:rPr>
          <w:noProof/>
        </w:rPr>
        <w:t xml:space="preserve">on these two </w:t>
      </w:r>
      <w:r w:rsidRPr="00D24389">
        <w:rPr>
          <w:noProof/>
        </w:rPr>
        <w:t>technologies</w:t>
      </w:r>
      <w:r w:rsidR="0067072F">
        <w:rPr>
          <w:noProof/>
        </w:rPr>
        <w:t xml:space="preserve">, while </w:t>
      </w:r>
      <w:r w:rsidR="009D412D">
        <w:rPr>
          <w:noProof/>
        </w:rPr>
        <w:t>Annex 16</w:t>
      </w:r>
      <w:r w:rsidR="00395392">
        <w:rPr>
          <w:noProof/>
        </w:rPr>
        <w:t xml:space="preserve"> provides an </w:t>
      </w:r>
      <w:r w:rsidR="00F84D4A">
        <w:rPr>
          <w:noProof/>
        </w:rPr>
        <w:t>in-depth</w:t>
      </w:r>
      <w:r w:rsidR="00395392">
        <w:rPr>
          <w:noProof/>
        </w:rPr>
        <w:t xml:space="preserve"> analysis on </w:t>
      </w:r>
      <w:r w:rsidR="00395392" w:rsidRPr="00F915A0">
        <w:rPr>
          <w:noProof/>
        </w:rPr>
        <w:t>additional net-zero technologies</w:t>
      </w:r>
      <w:r w:rsidR="00395392">
        <w:rPr>
          <w:noProof/>
        </w:rPr>
        <w:t>.</w:t>
      </w:r>
    </w:p>
    <w:p w14:paraId="52EE1A0A" w14:textId="77777777" w:rsidR="00285741" w:rsidRPr="00E57D94" w:rsidRDefault="00285741" w:rsidP="006D76C4">
      <w:pPr>
        <w:spacing w:after="120"/>
        <w:rPr>
          <w:b/>
          <w:i/>
          <w:noProof/>
        </w:rPr>
      </w:pPr>
      <w:bookmarkStart w:id="25" w:name="_Hlk206078835"/>
      <w:r w:rsidRPr="00E57D94">
        <w:rPr>
          <w:b/>
          <w:i/>
          <w:noProof/>
        </w:rPr>
        <w:t>Vehicle components</w:t>
      </w:r>
    </w:p>
    <w:p w14:paraId="1369C3D5" w14:textId="77777777" w:rsidR="00285741" w:rsidRDefault="00285741">
      <w:pPr>
        <w:spacing w:after="120"/>
        <w:rPr>
          <w:noProof/>
        </w:rPr>
      </w:pPr>
      <w:r w:rsidRPr="00A11DF2">
        <w:rPr>
          <w:noProof/>
        </w:rPr>
        <w:t>Over the past years, the European automotive industry has been investing heavily</w:t>
      </w:r>
      <w:r w:rsidRPr="00A11DF2">
        <w:rPr>
          <w:noProof/>
          <w:vertAlign w:val="superscript"/>
        </w:rPr>
        <w:footnoteReference w:id="77"/>
      </w:r>
      <w:r w:rsidRPr="00A11DF2">
        <w:rPr>
          <w:noProof/>
        </w:rPr>
        <w:t xml:space="preserve"> in the development of cleaner vehicles and innovative components. </w:t>
      </w:r>
      <w:r>
        <w:rPr>
          <w:noProof/>
        </w:rPr>
        <w:t>However, b</w:t>
      </w:r>
      <w:r w:rsidRPr="00A11DF2">
        <w:rPr>
          <w:noProof/>
        </w:rPr>
        <w:t xml:space="preserve">ased on JRC estimates, the EU content of cars produced in Europe has been slightly decreasing over time. </w:t>
      </w:r>
    </w:p>
    <w:p w14:paraId="5B8A7FD2" w14:textId="13941F07" w:rsidR="00285741" w:rsidRDefault="00285741">
      <w:pPr>
        <w:spacing w:after="160"/>
        <w:rPr>
          <w:noProof/>
        </w:rPr>
      </w:pPr>
      <w:r w:rsidRPr="09CA0190">
        <w:rPr>
          <w:rFonts w:eastAsia="Times New Roman" w:cs="Times New Roman"/>
          <w:noProof/>
        </w:rPr>
        <w:t xml:space="preserve">At </w:t>
      </w:r>
      <w:r>
        <w:rPr>
          <w:noProof/>
        </w:rPr>
        <w:t xml:space="preserve">the European </w:t>
      </w:r>
      <w:r w:rsidRPr="09CA0190">
        <w:rPr>
          <w:rFonts w:eastAsia="Times New Roman" w:cs="Times New Roman"/>
          <w:noProof/>
        </w:rPr>
        <w:t>level, the</w:t>
      </w:r>
      <w:r w:rsidRPr="464EDA91">
        <w:rPr>
          <w:rFonts w:eastAsia="Times New Roman" w:cs="Times New Roman"/>
          <w:noProof/>
        </w:rPr>
        <w:t xml:space="preserve"> production index for the European </w:t>
      </w:r>
      <w:r w:rsidRPr="00255327">
        <w:rPr>
          <w:rFonts w:eastAsia="Times New Roman" w:cs="Times New Roman"/>
          <w:noProof/>
        </w:rPr>
        <w:t>automotive component industry</w:t>
      </w:r>
      <w:r w:rsidRPr="464EDA91">
        <w:rPr>
          <w:rFonts w:eastAsia="Times New Roman" w:cs="Times New Roman"/>
          <w:noProof/>
        </w:rPr>
        <w:t xml:space="preserve"> continues to fall at a steady pace (by an average of 11% in 2025 compared to 2021 production volumes), as does vehicle production (compared to 2023)</w:t>
      </w:r>
      <w:r>
        <w:rPr>
          <w:rFonts w:eastAsia="Times New Roman" w:cs="Times New Roman"/>
          <w:noProof/>
        </w:rPr>
        <w:t>.</w:t>
      </w:r>
      <w:r w:rsidRPr="464EDA91">
        <w:rPr>
          <w:rFonts w:eastAsia="Times New Roman" w:cs="Times New Roman"/>
          <w:noProof/>
        </w:rPr>
        <w:t xml:space="preserve"> </w:t>
      </w:r>
      <w:r w:rsidRPr="09CA0190">
        <w:rPr>
          <w:rFonts w:eastAsia="Times New Roman" w:cs="Times New Roman"/>
          <w:noProof/>
        </w:rPr>
        <w:t xml:space="preserve">Despite the exceptional customs tariffs introduced in 2024 on Chinese EVs, imports of Chinese vehicles continue to grow (+35% in volume in the first half of 2025 (+380% compared to 2021), compared to a 50% drop in EU exports to China), and they have reached a market share of 9.9% in July 2025 despite efforts to restore level playing field and to safeguard the European automotive industry against unfair competition. This phenomenon has been squeezing the volumes and margins of European </w:t>
      </w:r>
      <w:r w:rsidRPr="09CA0190">
        <w:rPr>
          <w:rFonts w:eastAsia="Times New Roman" w:cs="Times New Roman"/>
          <w:noProof/>
        </w:rPr>
        <w:lastRenderedPageBreak/>
        <w:t>manufacturers and representing huge competition for local manufacturers.</w:t>
      </w:r>
      <w:r>
        <w:rPr>
          <w:rStyle w:val="FootnoteReference"/>
          <w:rFonts w:eastAsia="Times New Roman"/>
          <w:noProof/>
        </w:rPr>
        <w:footnoteReference w:id="78"/>
      </w:r>
      <w:r w:rsidRPr="09CA0190">
        <w:rPr>
          <w:rFonts w:eastAsia="Times New Roman" w:cs="Times New Roman"/>
          <w:noProof/>
        </w:rPr>
        <w:t xml:space="preserve"> Furthermore, </w:t>
      </w:r>
      <w:r>
        <w:rPr>
          <w:noProof/>
        </w:rPr>
        <w:t>as</w:t>
      </w:r>
      <w:r w:rsidRPr="00A11DF2">
        <w:rPr>
          <w:noProof/>
        </w:rPr>
        <w:t xml:space="preserve"> described in the Draghi report, even </w:t>
      </w:r>
      <w:r w:rsidR="00E44F28" w:rsidRPr="00A11DF2">
        <w:rPr>
          <w:noProof/>
        </w:rPr>
        <w:t>more than 10% of local EU production may be displaced in</w:t>
      </w:r>
      <w:r w:rsidR="003A2691" w:rsidRPr="004D2434">
        <w:rPr>
          <w:noProof/>
        </w:rPr>
        <w:t xml:space="preserve"> the </w:t>
      </w:r>
      <w:r w:rsidR="00E44F28" w:rsidRPr="00A11DF2">
        <w:rPr>
          <w:noProof/>
        </w:rPr>
        <w:t>following five years</w:t>
      </w:r>
      <w:r w:rsidRPr="00A11DF2">
        <w:rPr>
          <w:noProof/>
        </w:rPr>
        <w:t>.</w:t>
      </w:r>
      <w:r w:rsidRPr="00A11DF2">
        <w:rPr>
          <w:rStyle w:val="FootnoteReference"/>
          <w:noProof/>
        </w:rPr>
        <w:footnoteReference w:id="79"/>
      </w:r>
    </w:p>
    <w:p w14:paraId="6B567307" w14:textId="492C45AC" w:rsidR="00285741" w:rsidRDefault="00285741">
      <w:pPr>
        <w:spacing w:after="240"/>
        <w:rPr>
          <w:noProof/>
        </w:rPr>
      </w:pPr>
      <w:r>
        <w:rPr>
          <w:noProof/>
        </w:rPr>
        <w:t>Lastly, the</w:t>
      </w:r>
      <w:r w:rsidRPr="004D2434">
        <w:rPr>
          <w:noProof/>
        </w:rPr>
        <w:t xml:space="preserve"> automotive industry’s vulnerability to external </w:t>
      </w:r>
      <w:r w:rsidR="00B459B0">
        <w:rPr>
          <w:noProof/>
        </w:rPr>
        <w:t xml:space="preserve">supply chain </w:t>
      </w:r>
      <w:r w:rsidR="006F3D0F">
        <w:rPr>
          <w:noProof/>
        </w:rPr>
        <w:t>disruptions</w:t>
      </w:r>
      <w:r w:rsidRPr="004D2434">
        <w:rPr>
          <w:noProof/>
        </w:rPr>
        <w:t xml:space="preserve"> was displayed </w:t>
      </w:r>
      <w:r w:rsidR="00446572" w:rsidRPr="004D2434">
        <w:rPr>
          <w:noProof/>
        </w:rPr>
        <w:t xml:space="preserve">by recent announcements by the largest European automobile manufacturers trade association </w:t>
      </w:r>
      <w:r w:rsidRPr="004D2434">
        <w:rPr>
          <w:noProof/>
        </w:rPr>
        <w:t>about the difficulty to secure chips for the automotive supply chain.</w:t>
      </w:r>
      <w:r>
        <w:rPr>
          <w:noProof/>
        </w:rPr>
        <w:t xml:space="preserve"> </w:t>
      </w:r>
      <w:r w:rsidRPr="004D2434">
        <w:rPr>
          <w:noProof/>
        </w:rPr>
        <w:t xml:space="preserve">Despite efforts to diversify supply chains following the semiconductor shortage </w:t>
      </w:r>
      <w:r w:rsidR="00792B35" w:rsidRPr="004D2434">
        <w:rPr>
          <w:noProof/>
        </w:rPr>
        <w:t>in the past</w:t>
      </w:r>
      <w:r w:rsidRPr="004D2434">
        <w:rPr>
          <w:noProof/>
        </w:rPr>
        <w:t>, automotive companies are still facing vulnerabilities to external shocks when it comes to the supply of essential parts for their vehicles</w:t>
      </w:r>
      <w:r>
        <w:rPr>
          <w:noProof/>
        </w:rPr>
        <w:t xml:space="preserve">, which </w:t>
      </w:r>
      <w:r w:rsidRPr="004D2434">
        <w:rPr>
          <w:noProof/>
        </w:rPr>
        <w:t xml:space="preserve">decreases the resilience of supply chains. </w:t>
      </w:r>
    </w:p>
    <w:bookmarkEnd w:id="25"/>
    <w:p w14:paraId="6E87C847" w14:textId="77777777" w:rsidR="00285741" w:rsidRPr="002F5AFD" w:rsidRDefault="00285741" w:rsidP="00285741">
      <w:pPr>
        <w:pStyle w:val="Heading4"/>
        <w:numPr>
          <w:ilvl w:val="3"/>
          <w:numId w:val="64"/>
        </w:numPr>
        <w:ind w:left="1715"/>
        <w:rPr>
          <w:b/>
          <w:noProof/>
          <w:color w:val="auto"/>
        </w:rPr>
      </w:pPr>
      <w:r w:rsidRPr="00E447EE">
        <w:rPr>
          <w:b/>
          <w:noProof/>
          <w:color w:val="auto"/>
        </w:rPr>
        <w:t xml:space="preserve">Driver 4: </w:t>
      </w:r>
      <w:r w:rsidRPr="004A41A0">
        <w:rPr>
          <w:b/>
          <w:noProof/>
          <w:color w:val="auto"/>
        </w:rPr>
        <w:t xml:space="preserve">A fragmented EU approach towards foreign </w:t>
      </w:r>
      <w:r w:rsidRPr="00E447EE">
        <w:rPr>
          <w:b/>
          <w:noProof/>
          <w:color w:val="auto"/>
        </w:rPr>
        <w:t>investments</w:t>
      </w:r>
    </w:p>
    <w:p w14:paraId="6A1B4BFE" w14:textId="0D90D149" w:rsidR="00285741" w:rsidRDefault="00285741">
      <w:pPr>
        <w:spacing w:before="240" w:after="120"/>
        <w:rPr>
          <w:noProof/>
        </w:rPr>
      </w:pPr>
      <w:r w:rsidRPr="000272AD">
        <w:rPr>
          <w:rFonts w:eastAsia="Times New Roman"/>
          <w:noProof/>
          <w:color w:val="000000" w:themeColor="text1"/>
        </w:rPr>
        <w:t xml:space="preserve">The EU’s openness to foreign direct investment (FDI) is enshrined in the Treaty on the Functioning of the EU and is essential to ensure the Union’s competitiveness and progress towards decarbonisation. </w:t>
      </w:r>
      <w:r w:rsidRPr="000272AD">
        <w:rPr>
          <w:noProof/>
        </w:rPr>
        <w:t>F</w:t>
      </w:r>
      <w:r>
        <w:rPr>
          <w:noProof/>
        </w:rPr>
        <w:t xml:space="preserve">oreign investors can play a significant role in areas where Europe lags on innovative technologies and processes. </w:t>
      </w:r>
      <w:r w:rsidRPr="000272AD">
        <w:rPr>
          <w:rFonts w:eastAsia="Times New Roman"/>
          <w:noProof/>
          <w:color w:val="000000" w:themeColor="text1"/>
        </w:rPr>
        <w:t xml:space="preserve">However, </w:t>
      </w:r>
      <w:r>
        <w:rPr>
          <w:rFonts w:eastAsia="Times New Roman"/>
          <w:noProof/>
          <w:color w:val="000000" w:themeColor="text1"/>
        </w:rPr>
        <w:t>FDIs</w:t>
      </w:r>
      <w:r w:rsidRPr="000272AD">
        <w:rPr>
          <w:rFonts w:eastAsia="Times New Roman"/>
          <w:noProof/>
          <w:color w:val="000000" w:themeColor="text1"/>
        </w:rPr>
        <w:t xml:space="preserve"> do not necessarily imply that</w:t>
      </w:r>
      <w:r>
        <w:rPr>
          <w:rFonts w:eastAsia="Times New Roman"/>
          <w:noProof/>
          <w:color w:val="000000" w:themeColor="text1"/>
        </w:rPr>
        <w:t xml:space="preserve"> </w:t>
      </w:r>
      <w:r w:rsidRPr="000272AD">
        <w:rPr>
          <w:rFonts w:eastAsia="Times New Roman"/>
          <w:noProof/>
          <w:color w:val="000000" w:themeColor="text1"/>
        </w:rPr>
        <w:t xml:space="preserve">technology transfer, know-how development, job creation/retention and value chain integration, are realised in Europe or by European companies. </w:t>
      </w:r>
      <w:r w:rsidRPr="00893E3C">
        <w:rPr>
          <w:rFonts w:eastAsia="Times New Roman"/>
          <w:noProof/>
          <w:color w:val="000000" w:themeColor="text1"/>
        </w:rPr>
        <w:t>Europe’s heavy industry is dependent on imported technologies and equipment in emerging low-carbon value chains such as hydrogen electrolysers, batteries, and solar PV</w:t>
      </w:r>
      <w:r>
        <w:rPr>
          <w:rFonts w:eastAsia="Times New Roman"/>
          <w:noProof/>
          <w:color w:val="000000" w:themeColor="text1"/>
        </w:rPr>
        <w:t>.</w:t>
      </w:r>
      <w:r>
        <w:rPr>
          <w:rStyle w:val="FootnoteReference"/>
          <w:rFonts w:eastAsia="Times New Roman"/>
          <w:noProof/>
          <w:color w:val="000000" w:themeColor="text1"/>
        </w:rPr>
        <w:footnoteReference w:id="80"/>
      </w:r>
      <w:r>
        <w:rPr>
          <w:rFonts w:eastAsia="Times New Roman"/>
          <w:noProof/>
          <w:color w:val="000000" w:themeColor="text1"/>
        </w:rPr>
        <w:t xml:space="preserve"> </w:t>
      </w:r>
      <w:r w:rsidRPr="0035748C" w:rsidDel="00F32367">
        <w:rPr>
          <w:noProof/>
        </w:rPr>
        <w:t>In many cases,</w:t>
      </w:r>
      <w:r w:rsidRPr="0035748C">
        <w:rPr>
          <w:noProof/>
        </w:rPr>
        <w:t xml:space="preserve"> investors</w:t>
      </w:r>
      <w:r w:rsidR="00F32367">
        <w:rPr>
          <w:noProof/>
        </w:rPr>
        <w:t xml:space="preserve"> choose to</w:t>
      </w:r>
      <w:r w:rsidRPr="0035748C">
        <w:rPr>
          <w:noProof/>
        </w:rPr>
        <w:t xml:space="preserve"> limit their European footprint to assembly or non-core operations, preserving strategic technologies and innovation activities abroad</w:t>
      </w:r>
      <w:r>
        <w:rPr>
          <w:noProof/>
        </w:rPr>
        <w:t>.</w:t>
      </w:r>
      <w:r>
        <w:rPr>
          <w:rStyle w:val="FootnoteReference"/>
          <w:noProof/>
        </w:rPr>
        <w:footnoteReference w:id="81"/>
      </w:r>
      <w:r w:rsidR="00911575" w:rsidRPr="00911575">
        <w:rPr>
          <w:noProof/>
        </w:rPr>
        <w:t xml:space="preserve"> </w:t>
      </w:r>
      <w:r w:rsidR="00911575">
        <w:rPr>
          <w:noProof/>
        </w:rPr>
        <w:t>while other investors choose to position high value added segments of the production chain, such as R&amp;D, in the EU.</w:t>
      </w:r>
      <w:r w:rsidR="00911575">
        <w:rPr>
          <w:rStyle w:val="FootnoteReference"/>
          <w:noProof/>
        </w:rPr>
        <w:footnoteReference w:id="82"/>
      </w:r>
      <w:r w:rsidR="00911575">
        <w:rPr>
          <w:noProof/>
        </w:rPr>
        <w:t xml:space="preserve"> </w:t>
      </w:r>
    </w:p>
    <w:p w14:paraId="0CE4A17D" w14:textId="77777777" w:rsidR="002E3592" w:rsidRDefault="00285741" w:rsidP="006D76C4">
      <w:pPr>
        <w:spacing w:after="120"/>
        <w:rPr>
          <w:rFonts w:eastAsia="Times New Roman"/>
          <w:noProof/>
          <w:color w:val="000000" w:themeColor="text1"/>
        </w:rPr>
      </w:pPr>
      <w:r w:rsidRPr="000272AD">
        <w:rPr>
          <w:rFonts w:eastAsia="Times New Roman"/>
          <w:noProof/>
          <w:color w:val="000000" w:themeColor="text1"/>
        </w:rPr>
        <w:t>Unlike other countries such as the United States, Korea or Japan</w:t>
      </w:r>
      <w:r w:rsidRPr="000272AD">
        <w:rPr>
          <w:rStyle w:val="FootnoteReference"/>
          <w:rFonts w:eastAsia="Times New Roman"/>
          <w:noProof/>
          <w:color w:val="000000" w:themeColor="text1"/>
        </w:rPr>
        <w:footnoteReference w:id="83"/>
      </w:r>
      <w:r w:rsidRPr="000272AD">
        <w:rPr>
          <w:rFonts w:eastAsia="Times New Roman"/>
          <w:noProof/>
          <w:color w:val="000000" w:themeColor="text1"/>
        </w:rPr>
        <w:t>, the EU does not consistently attach requirements on R&amp;</w:t>
      </w:r>
      <w:r>
        <w:rPr>
          <w:rFonts w:eastAsia="Times New Roman"/>
          <w:noProof/>
          <w:color w:val="000000" w:themeColor="text1"/>
        </w:rPr>
        <w:t>I</w:t>
      </w:r>
      <w:r w:rsidRPr="000272AD">
        <w:rPr>
          <w:rFonts w:eastAsia="Times New Roman"/>
          <w:noProof/>
          <w:color w:val="000000" w:themeColor="text1"/>
        </w:rPr>
        <w:t xml:space="preserve"> or skills development. </w:t>
      </w:r>
      <w:r>
        <w:rPr>
          <w:rFonts w:eastAsia="Times New Roman"/>
          <w:noProof/>
          <w:color w:val="000000" w:themeColor="text1"/>
        </w:rPr>
        <w:t>Most importantly, o</w:t>
      </w:r>
      <w:r w:rsidRPr="000272AD">
        <w:rPr>
          <w:rFonts w:eastAsia="Times New Roman"/>
          <w:noProof/>
          <w:color w:val="000000" w:themeColor="text1"/>
        </w:rPr>
        <w:t xml:space="preserve">ver the past decades, China has applied FDI conditionality by restricting market access in sectors such as automotive, solar, </w:t>
      </w:r>
      <w:r>
        <w:rPr>
          <w:rFonts w:eastAsia="Times New Roman"/>
          <w:noProof/>
          <w:color w:val="000000" w:themeColor="text1"/>
        </w:rPr>
        <w:t xml:space="preserve">and </w:t>
      </w:r>
      <w:r w:rsidRPr="000272AD">
        <w:rPr>
          <w:rFonts w:eastAsia="Times New Roman"/>
          <w:noProof/>
          <w:color w:val="000000" w:themeColor="text1"/>
        </w:rPr>
        <w:t>wind,</w:t>
      </w:r>
      <w:r>
        <w:rPr>
          <w:rFonts w:eastAsia="Times New Roman"/>
          <w:noProof/>
          <w:color w:val="000000" w:themeColor="text1"/>
        </w:rPr>
        <w:t xml:space="preserve"> </w:t>
      </w:r>
      <w:r w:rsidRPr="000272AD">
        <w:rPr>
          <w:rFonts w:eastAsia="Times New Roman"/>
          <w:noProof/>
          <w:color w:val="000000" w:themeColor="text1"/>
        </w:rPr>
        <w:t>to joint ventures with Chinese partners, often under majority control by the Chinese partner, while requiring foreign companies to transfer technology, establish local R&amp;</w:t>
      </w:r>
      <w:r>
        <w:rPr>
          <w:rFonts w:eastAsia="Times New Roman"/>
          <w:noProof/>
          <w:color w:val="000000" w:themeColor="text1"/>
        </w:rPr>
        <w:t>I</w:t>
      </w:r>
      <w:r w:rsidRPr="000272AD">
        <w:rPr>
          <w:rFonts w:eastAsia="Times New Roman"/>
          <w:noProof/>
          <w:color w:val="000000" w:themeColor="text1"/>
        </w:rPr>
        <w:t>, source components locally and comply with data-localisation and security reviews; these conditions enabled Chinese firms to absorb foreign know-how, scale up domestic capabilities</w:t>
      </w:r>
      <w:r>
        <w:rPr>
          <w:rFonts w:eastAsia="Times New Roman"/>
          <w:noProof/>
          <w:color w:val="000000" w:themeColor="text1"/>
        </w:rPr>
        <w:t>.</w:t>
      </w:r>
      <w:r w:rsidRPr="000272AD">
        <w:rPr>
          <w:rStyle w:val="FootnoteReference"/>
          <w:rFonts w:eastAsia="Times New Roman"/>
          <w:noProof/>
          <w:color w:val="000000" w:themeColor="text1"/>
        </w:rPr>
        <w:footnoteReference w:id="84"/>
      </w:r>
      <w:r w:rsidRPr="32D7A74F">
        <w:rPr>
          <w:rFonts w:eastAsia="Times New Roman"/>
          <w:noProof/>
          <w:color w:val="000000" w:themeColor="text1"/>
        </w:rPr>
        <w:t xml:space="preserve"> </w:t>
      </w:r>
      <w:r w:rsidRPr="000272AD">
        <w:rPr>
          <w:rFonts w:eastAsia="Times New Roman"/>
          <w:noProof/>
          <w:color w:val="000000" w:themeColor="text1"/>
        </w:rPr>
        <w:t xml:space="preserve">Foreign companies </w:t>
      </w:r>
      <w:r>
        <w:rPr>
          <w:rFonts w:eastAsia="Times New Roman"/>
          <w:noProof/>
          <w:color w:val="000000" w:themeColor="text1"/>
        </w:rPr>
        <w:t>seemed to have been</w:t>
      </w:r>
      <w:r w:rsidRPr="000272AD">
        <w:rPr>
          <w:rFonts w:eastAsia="Times New Roman"/>
          <w:noProof/>
          <w:color w:val="000000" w:themeColor="text1"/>
        </w:rPr>
        <w:t xml:space="preserve"> willing to accept China’s demanding FDI conditions because the market itself was too large and too strategic to ignore. In addition, many firms feared that if they stayed out, rivals would step in and gain an advantage, so </w:t>
      </w:r>
      <w:r w:rsidRPr="006D3CBA">
        <w:rPr>
          <w:rFonts w:eastAsia="Times New Roman"/>
          <w:noProof/>
          <w:color w:val="000000" w:themeColor="text1"/>
        </w:rPr>
        <w:t xml:space="preserve">they chose to comply with technology transfer, joint venture, and localisation requirements. </w:t>
      </w:r>
      <w:r w:rsidR="002E3592" w:rsidRPr="006D3CBA">
        <w:rPr>
          <w:rFonts w:eastAsia="Times New Roman"/>
          <w:noProof/>
          <w:color w:val="000000" w:themeColor="text1"/>
        </w:rPr>
        <w:t>These factors meant that, even though foreign companies may have been at higher risk of intellectual property loss, stringent FDI conditions were tolerated in the context of increasing global integration of production chains, and with China having a strong comparative advantage in the cost of labour.</w:t>
      </w:r>
    </w:p>
    <w:p w14:paraId="7AA25AF5" w14:textId="53BB877F" w:rsidR="00285741" w:rsidRPr="000272AD" w:rsidRDefault="00285741" w:rsidP="006D76C4">
      <w:pPr>
        <w:spacing w:after="120"/>
        <w:rPr>
          <w:rFonts w:eastAsia="Times New Roman"/>
          <w:noProof/>
          <w:color w:val="000000" w:themeColor="text1"/>
        </w:rPr>
      </w:pPr>
      <w:r w:rsidRPr="000272AD">
        <w:rPr>
          <w:rFonts w:eastAsia="Times New Roman"/>
          <w:noProof/>
          <w:color w:val="000000" w:themeColor="text1"/>
        </w:rPr>
        <w:lastRenderedPageBreak/>
        <w:t xml:space="preserve">By contrast, the EU approach remains largely project-by-project, </w:t>
      </w:r>
      <w:r>
        <w:rPr>
          <w:rFonts w:eastAsia="Times New Roman"/>
          <w:noProof/>
          <w:color w:val="000000" w:themeColor="text1"/>
        </w:rPr>
        <w:t>sometimes</w:t>
      </w:r>
      <w:r w:rsidRPr="000272AD">
        <w:rPr>
          <w:rFonts w:eastAsia="Times New Roman"/>
          <w:noProof/>
          <w:color w:val="000000" w:themeColor="text1"/>
        </w:rPr>
        <w:t xml:space="preserve"> dependent on </w:t>
      </w:r>
      <w:r>
        <w:rPr>
          <w:rFonts w:eastAsia="Times New Roman"/>
          <w:noProof/>
          <w:color w:val="000000" w:themeColor="text1"/>
        </w:rPr>
        <w:t>EU and national</w:t>
      </w:r>
      <w:r w:rsidRPr="000272AD">
        <w:rPr>
          <w:rFonts w:eastAsia="Times New Roman"/>
          <w:noProof/>
          <w:color w:val="000000" w:themeColor="text1"/>
        </w:rPr>
        <w:t xml:space="preserve"> funding programmes</w:t>
      </w:r>
      <w:r>
        <w:rPr>
          <w:rFonts w:eastAsia="Times New Roman"/>
          <w:noProof/>
          <w:color w:val="000000" w:themeColor="text1"/>
        </w:rPr>
        <w:t>.</w:t>
      </w:r>
      <w:r w:rsidRPr="000272AD">
        <w:rPr>
          <w:rStyle w:val="FootnoteReference"/>
          <w:rFonts w:eastAsia="Times New Roman"/>
          <w:noProof/>
          <w:color w:val="000000" w:themeColor="text1"/>
        </w:rPr>
        <w:footnoteReference w:id="85"/>
      </w:r>
      <w:r w:rsidRPr="000272AD">
        <w:rPr>
          <w:rFonts w:eastAsia="Times New Roman"/>
          <w:noProof/>
          <w:color w:val="000000" w:themeColor="text1"/>
        </w:rPr>
        <w:t xml:space="preserve"> </w:t>
      </w:r>
      <w:r w:rsidR="000C397C" w:rsidRPr="006D3CBA">
        <w:rPr>
          <w:rFonts w:eastAsia="Times New Roman"/>
          <w:noProof/>
          <w:color w:val="000000" w:themeColor="text1"/>
        </w:rPr>
        <w:t xml:space="preserve">Member States currently compete to attract investors, leading to uncoordinated and uneven requirements. </w:t>
      </w:r>
      <w:r w:rsidR="0038014A" w:rsidRPr="00155132">
        <w:rPr>
          <w:rFonts w:eastAsia="Times New Roman"/>
          <w:noProof/>
          <w:color w:val="000000" w:themeColor="text1"/>
        </w:rPr>
        <w:t>C</w:t>
      </w:r>
      <w:r w:rsidR="000C397C" w:rsidRPr="00155132">
        <w:rPr>
          <w:rFonts w:eastAsia="Times New Roman"/>
          <w:noProof/>
          <w:color w:val="000000" w:themeColor="text1"/>
        </w:rPr>
        <w:t>ompetition between EU countries for attracting new assembly and material production investments is likely to intensify</w:t>
      </w:r>
      <w:r w:rsidR="0038014A" w:rsidRPr="00155132">
        <w:rPr>
          <w:rFonts w:eastAsia="Times New Roman"/>
          <w:noProof/>
          <w:color w:val="000000" w:themeColor="text1"/>
        </w:rPr>
        <w:t>,</w:t>
      </w:r>
      <w:r w:rsidR="000C397C" w:rsidRPr="00155132">
        <w:rPr>
          <w:rFonts w:eastAsia="Times New Roman"/>
          <w:noProof/>
          <w:color w:val="000000" w:themeColor="text1"/>
        </w:rPr>
        <w:t xml:space="preserve"> as new EV entrants expand into Europe.</w:t>
      </w:r>
      <w:r w:rsidR="00FA17D7" w:rsidRPr="00155132">
        <w:rPr>
          <w:rStyle w:val="FootnoteReference"/>
          <w:rFonts w:eastAsia="Times New Roman"/>
          <w:noProof/>
          <w:color w:val="000000" w:themeColor="text1"/>
        </w:rPr>
        <w:footnoteReference w:id="86"/>
      </w:r>
      <w:r w:rsidR="000C397C" w:rsidRPr="00155132">
        <w:rPr>
          <w:rFonts w:eastAsia="Times New Roman"/>
          <w:noProof/>
          <w:color w:val="000000" w:themeColor="text1"/>
        </w:rPr>
        <w:t xml:space="preserve"> </w:t>
      </w:r>
      <w:r w:rsidRPr="00155132">
        <w:rPr>
          <w:rFonts w:eastAsia="Times New Roman"/>
          <w:noProof/>
          <w:color w:val="000000" w:themeColor="text1"/>
        </w:rPr>
        <w:t>This fragmented approach does not maximise benefits of foreign investment in the EU, as Member States compete individually to attract foreign investors with varying conditions and incentives, leading to uneven requir</w:t>
      </w:r>
      <w:r w:rsidRPr="000272AD">
        <w:rPr>
          <w:rFonts w:eastAsia="Times New Roman"/>
          <w:noProof/>
          <w:color w:val="000000" w:themeColor="text1"/>
        </w:rPr>
        <w:t>ements on technology transfer, skills, and R&amp;</w:t>
      </w:r>
      <w:r>
        <w:rPr>
          <w:rFonts w:eastAsia="Times New Roman"/>
          <w:noProof/>
          <w:color w:val="000000" w:themeColor="text1"/>
        </w:rPr>
        <w:t>I</w:t>
      </w:r>
      <w:r w:rsidRPr="000272AD">
        <w:rPr>
          <w:rFonts w:eastAsia="Times New Roman"/>
          <w:noProof/>
          <w:color w:val="000000" w:themeColor="text1"/>
        </w:rPr>
        <w:t xml:space="preserve"> commitments. As a result, the Union’s overall ability to leverage foreign investment strategically</w:t>
      </w:r>
      <w:r>
        <w:rPr>
          <w:rFonts w:eastAsia="Times New Roman"/>
          <w:noProof/>
          <w:color w:val="000000" w:themeColor="text1"/>
        </w:rPr>
        <w:t xml:space="preserve"> is weakened</w:t>
      </w:r>
      <w:r w:rsidRPr="000272AD">
        <w:rPr>
          <w:rFonts w:eastAsia="Times New Roman"/>
          <w:noProof/>
          <w:color w:val="000000" w:themeColor="text1"/>
        </w:rPr>
        <w:t>.</w:t>
      </w:r>
    </w:p>
    <w:p w14:paraId="41885979" w14:textId="7583AEFC" w:rsidR="00285741" w:rsidRDefault="006D3CBA" w:rsidP="006D76C4">
      <w:pPr>
        <w:spacing w:after="120"/>
        <w:rPr>
          <w:noProof/>
        </w:rPr>
      </w:pPr>
      <w:r w:rsidRPr="006D3CBA">
        <w:rPr>
          <w:noProof/>
        </w:rPr>
        <w:t xml:space="preserve">This lack of </w:t>
      </w:r>
      <w:r w:rsidRPr="00155132">
        <w:rPr>
          <w:noProof/>
        </w:rPr>
        <w:t>expertise leads to a strong dependency on imports of such batteries from a dominant foreign supplier, with this supplier (China) having a track-record of weaponizing dependencies. It is important to reduce internal market risks associated to this dependency, ensuring that</w:t>
      </w:r>
      <w:r w:rsidR="00285741" w:rsidRPr="00155132">
        <w:rPr>
          <w:noProof/>
        </w:rPr>
        <w:t xml:space="preserve"> assembly </w:t>
      </w:r>
      <w:r w:rsidRPr="00155132">
        <w:rPr>
          <w:noProof/>
        </w:rPr>
        <w:t>activities of foreign investors in battery production in the EU lead to knowledge spillovers and gradually reduce the EU</w:t>
      </w:r>
      <w:r w:rsidR="00285741" w:rsidRPr="00155132">
        <w:rPr>
          <w:noProof/>
        </w:rPr>
        <w:t xml:space="preserve"> dependency on foreign </w:t>
      </w:r>
      <w:r w:rsidRPr="00155132">
        <w:rPr>
          <w:noProof/>
        </w:rPr>
        <w:t>know-how, creating the conditions for maintaining and reinforcing EU capabilities in locating the strategic parts of the battery</w:t>
      </w:r>
      <w:r w:rsidR="00285741" w:rsidRPr="00155132">
        <w:rPr>
          <w:noProof/>
        </w:rPr>
        <w:t xml:space="preserve"> value chain in Europe</w:t>
      </w:r>
      <w:r w:rsidRPr="00155132">
        <w:rPr>
          <w:noProof/>
        </w:rPr>
        <w:t>,</w:t>
      </w:r>
      <w:r w:rsidR="00285741" w:rsidRPr="00155132">
        <w:rPr>
          <w:noProof/>
        </w:rPr>
        <w:t xml:space="preserve"> with the economic benefits it brings. </w:t>
      </w:r>
      <w:r w:rsidR="00FD1E59" w:rsidRPr="00155132">
        <w:rPr>
          <w:noProof/>
        </w:rPr>
        <w:t>In addition, multi-stage production is highly sensitive to fixed-cost thresholds and policy-driven cost differentials, meaning that without coordinated EU-level conditions, firms have strong incentives to keep the high-value stages abroad.</w:t>
      </w:r>
      <w:r w:rsidR="006F19A6" w:rsidRPr="00155132">
        <w:rPr>
          <w:rStyle w:val="FootnoteReference"/>
          <w:noProof/>
        </w:rPr>
        <w:footnoteReference w:id="87"/>
      </w:r>
      <w:r w:rsidR="00FD1E59" w:rsidRPr="00155132">
        <w:rPr>
          <w:noProof/>
        </w:rPr>
        <w:t xml:space="preserve"> </w:t>
      </w:r>
      <w:r w:rsidR="002D5402" w:rsidRPr="00155132">
        <w:rPr>
          <w:noProof/>
        </w:rPr>
        <w:t>Recent evidence confirms that upstream stages do not automatically localise: China retains a strong comparative advantage specifically in cells and modules, while European production remains competitive only in downstream assembly</w:t>
      </w:r>
      <w:r w:rsidR="001C3CD5" w:rsidRPr="00155132">
        <w:rPr>
          <w:noProof/>
        </w:rPr>
        <w:t>, the part creating least added value</w:t>
      </w:r>
      <w:r w:rsidR="002D5402" w:rsidRPr="00155132">
        <w:rPr>
          <w:noProof/>
        </w:rPr>
        <w:t>.</w:t>
      </w:r>
      <w:r w:rsidR="003A44D6" w:rsidRPr="00155132">
        <w:rPr>
          <w:rStyle w:val="FootnoteReference"/>
          <w:noProof/>
        </w:rPr>
        <w:footnoteReference w:id="88"/>
      </w:r>
      <w:r w:rsidR="002D5402" w:rsidRPr="00155132">
        <w:rPr>
          <w:noProof/>
        </w:rPr>
        <w:t xml:space="preserve"> </w:t>
      </w:r>
      <w:r w:rsidR="00285741" w:rsidRPr="00155132">
        <w:rPr>
          <w:noProof/>
        </w:rPr>
        <w:t>This pattern is not limited to batteries but applies</w:t>
      </w:r>
      <w:r w:rsidR="00285741" w:rsidRPr="006967D2">
        <w:rPr>
          <w:noProof/>
        </w:rPr>
        <w:t xml:space="preserve"> </w:t>
      </w:r>
      <w:r w:rsidR="00285741" w:rsidRPr="00D32891">
        <w:rPr>
          <w:noProof/>
        </w:rPr>
        <w:t>to other industries</w:t>
      </w:r>
      <w:r w:rsidR="00285741">
        <w:rPr>
          <w:noProof/>
        </w:rPr>
        <w:t xml:space="preserve"> </w:t>
      </w:r>
      <w:r w:rsidR="00285741" w:rsidRPr="00D32891">
        <w:rPr>
          <w:noProof/>
        </w:rPr>
        <w:t>where China’s dominant market position similarly heightens Europe’s strategic dependencies.</w:t>
      </w:r>
    </w:p>
    <w:tbl>
      <w:tblPr>
        <w:tblStyle w:val="TableGrid"/>
        <w:tblW w:w="9014" w:type="dxa"/>
        <w:tblInd w:w="0" w:type="dxa"/>
        <w:tblLayout w:type="fixed"/>
        <w:tblLook w:val="06A0" w:firstRow="1" w:lastRow="0" w:firstColumn="1" w:lastColumn="0" w:noHBand="1" w:noVBand="1"/>
      </w:tblPr>
      <w:tblGrid>
        <w:gridCol w:w="9014"/>
      </w:tblGrid>
      <w:tr w:rsidR="00285741" w:rsidRPr="00BE7E13" w14:paraId="11664B52" w14:textId="77777777">
        <w:trPr>
          <w:trHeight w:val="300"/>
        </w:trPr>
        <w:tc>
          <w:tcPr>
            <w:tcW w:w="9014" w:type="dxa"/>
            <w:tcBorders>
              <w:top w:val="single" w:sz="4" w:space="0" w:color="auto"/>
              <w:left w:val="single" w:sz="4" w:space="0" w:color="auto"/>
              <w:bottom w:val="single" w:sz="4" w:space="0" w:color="auto"/>
              <w:right w:val="single" w:sz="4" w:space="0" w:color="auto"/>
            </w:tcBorders>
          </w:tcPr>
          <w:p w14:paraId="26DD4329" w14:textId="77777777" w:rsidR="00285741" w:rsidRPr="000272AD" w:rsidRDefault="00285741">
            <w:pPr>
              <w:spacing w:after="120"/>
              <w:rPr>
                <w:noProof/>
              </w:rPr>
            </w:pPr>
            <w:r>
              <w:rPr>
                <w:noProof/>
              </w:rPr>
              <w:t xml:space="preserve">In the </w:t>
            </w:r>
            <w:r w:rsidRPr="40681235">
              <w:rPr>
                <w:b/>
                <w:noProof/>
              </w:rPr>
              <w:t>Public Consultation</w:t>
            </w:r>
            <w:r>
              <w:rPr>
                <w:noProof/>
              </w:rPr>
              <w:t>, 53% (166 out of 314 respondents) view foreign direct investments as useful to bring in needed capital; 55% (172 out of 314) support applying conditions to align such investments with EU industrial &amp; strategic interests.</w:t>
            </w:r>
          </w:p>
        </w:tc>
      </w:tr>
    </w:tbl>
    <w:p w14:paraId="1C6450F3" w14:textId="77777777" w:rsidR="00285741" w:rsidRDefault="00285741" w:rsidP="00285741">
      <w:pPr>
        <w:pStyle w:val="Heading3"/>
        <w:numPr>
          <w:ilvl w:val="2"/>
          <w:numId w:val="64"/>
        </w:numPr>
        <w:rPr>
          <w:rFonts w:eastAsiaTheme="minorEastAsia"/>
        </w:rPr>
      </w:pPr>
      <w:r w:rsidRPr="00310056">
        <w:rPr>
          <w:b/>
          <w:i w:val="0"/>
        </w:rPr>
        <w:t>Sub-problem 3: Industrial decarbonisation technologies are not deployed at scale</w:t>
      </w:r>
    </w:p>
    <w:p w14:paraId="4F822AAE" w14:textId="77777777" w:rsidR="00285741" w:rsidRPr="00E447EE" w:rsidRDefault="00285741">
      <w:pPr>
        <w:spacing w:before="240" w:after="120"/>
        <w:rPr>
          <w:rFonts w:eastAsiaTheme="minorEastAsia"/>
          <w:noProof/>
        </w:rPr>
      </w:pPr>
      <w:r w:rsidRPr="42C97633">
        <w:rPr>
          <w:rFonts w:eastAsiaTheme="minorEastAsia"/>
          <w:noProof/>
        </w:rPr>
        <w:t xml:space="preserve">Many </w:t>
      </w:r>
      <w:r>
        <w:rPr>
          <w:rFonts w:eastAsiaTheme="minorEastAsia"/>
          <w:noProof/>
        </w:rPr>
        <w:t>projects</w:t>
      </w:r>
      <w:r w:rsidRPr="42C97633">
        <w:rPr>
          <w:rFonts w:eastAsiaTheme="minorEastAsia"/>
          <w:noProof/>
        </w:rPr>
        <w:t xml:space="preserve"> of the most promising technologies for decarbonising EIIs are not </w:t>
      </w:r>
      <w:r w:rsidRPr="33D69C5B">
        <w:rPr>
          <w:rFonts w:eastAsiaTheme="minorEastAsia"/>
          <w:noProof/>
        </w:rPr>
        <w:t xml:space="preserve">commercially </w:t>
      </w:r>
      <w:r w:rsidRPr="42C97633">
        <w:rPr>
          <w:rFonts w:eastAsiaTheme="minorEastAsia"/>
          <w:noProof/>
        </w:rPr>
        <w:t>de</w:t>
      </w:r>
      <w:r>
        <w:rPr>
          <w:rFonts w:eastAsiaTheme="minorEastAsia"/>
          <w:noProof/>
        </w:rPr>
        <w:t>p</w:t>
      </w:r>
      <w:r w:rsidRPr="42C97633">
        <w:rPr>
          <w:rFonts w:eastAsiaTheme="minorEastAsia"/>
          <w:noProof/>
        </w:rPr>
        <w:t xml:space="preserve">loyed at </w:t>
      </w:r>
      <w:r w:rsidRPr="33D69C5B">
        <w:rPr>
          <w:rFonts w:eastAsiaTheme="minorEastAsia"/>
          <w:noProof/>
        </w:rPr>
        <w:t>the necessary</w:t>
      </w:r>
      <w:r w:rsidRPr="42C97633">
        <w:rPr>
          <w:rFonts w:eastAsiaTheme="minorEastAsia"/>
          <w:noProof/>
        </w:rPr>
        <w:t xml:space="preserve"> scale</w:t>
      </w:r>
      <w:r>
        <w:rPr>
          <w:rFonts w:eastAsiaTheme="minorEastAsia"/>
          <w:noProof/>
        </w:rPr>
        <w:t>, nor at the pace needed to meet the climate neutrality target</w:t>
      </w:r>
      <w:r w:rsidRPr="0184629F">
        <w:rPr>
          <w:rFonts w:eastAsiaTheme="minorEastAsia"/>
          <w:noProof/>
        </w:rPr>
        <w:t xml:space="preserve">. </w:t>
      </w:r>
      <w:r w:rsidRPr="00651799">
        <w:rPr>
          <w:rFonts w:eastAsiaTheme="minorEastAsia"/>
          <w:noProof/>
        </w:rPr>
        <w:t>The long investment cycle</w:t>
      </w:r>
      <w:r>
        <w:rPr>
          <w:rFonts w:eastAsiaTheme="minorEastAsia"/>
          <w:noProof/>
        </w:rPr>
        <w:t>s for industry</w:t>
      </w:r>
      <w:r w:rsidRPr="00651799">
        <w:rPr>
          <w:rFonts w:eastAsiaTheme="minorEastAsia"/>
          <w:noProof/>
        </w:rPr>
        <w:t xml:space="preserve"> </w:t>
      </w:r>
      <w:r>
        <w:rPr>
          <w:rFonts w:eastAsiaTheme="minorEastAsia"/>
          <w:noProof/>
        </w:rPr>
        <w:t>from R&amp;I to deployment highlight</w:t>
      </w:r>
      <w:r w:rsidRPr="00651799">
        <w:rPr>
          <w:rFonts w:eastAsiaTheme="minorEastAsia"/>
          <w:noProof/>
        </w:rPr>
        <w:t xml:space="preserve"> the importance of policy predictability to</w:t>
      </w:r>
      <w:r>
        <w:rPr>
          <w:rFonts w:eastAsiaTheme="minorEastAsia"/>
          <w:noProof/>
        </w:rPr>
        <w:t xml:space="preserve"> </w:t>
      </w:r>
      <w:r w:rsidRPr="00651799">
        <w:rPr>
          <w:rFonts w:eastAsiaTheme="minorEastAsia"/>
          <w:noProof/>
        </w:rPr>
        <w:t>reduce regulatory and financing risks</w:t>
      </w:r>
      <w:r>
        <w:rPr>
          <w:rFonts w:eastAsiaTheme="minorEastAsia"/>
          <w:noProof/>
        </w:rPr>
        <w:t>.</w:t>
      </w:r>
      <w:r>
        <w:rPr>
          <w:rStyle w:val="FootnoteReference"/>
          <w:rFonts w:eastAsiaTheme="minorEastAsia"/>
          <w:noProof/>
        </w:rPr>
        <w:footnoteReference w:id="89"/>
      </w:r>
      <w:r>
        <w:rPr>
          <w:rFonts w:eastAsiaTheme="minorEastAsia"/>
          <w:noProof/>
        </w:rPr>
        <w:t xml:space="preserve"> </w:t>
      </w:r>
      <w:r w:rsidRPr="2E0F0E5E">
        <w:rPr>
          <w:rFonts w:eastAsiaTheme="minorEastAsia"/>
          <w:noProof/>
        </w:rPr>
        <w:t xml:space="preserve">Furthermore, </w:t>
      </w:r>
      <w:r>
        <w:rPr>
          <w:rFonts w:eastAsiaTheme="minorEastAsia"/>
          <w:noProof/>
        </w:rPr>
        <w:t>the availability and economic viability of these</w:t>
      </w:r>
      <w:r w:rsidRPr="2A76013A">
        <w:rPr>
          <w:rFonts w:eastAsiaTheme="minorEastAsia"/>
          <w:noProof/>
        </w:rPr>
        <w:t xml:space="preserve"> technologies</w:t>
      </w:r>
      <w:r>
        <w:rPr>
          <w:rFonts w:eastAsiaTheme="minorEastAsia"/>
          <w:noProof/>
        </w:rPr>
        <w:t xml:space="preserve"> vary depending on the specific sector and parameters such as the technology readiness level, the energy and raw materials needs, the CO</w:t>
      </w:r>
      <w:r w:rsidRPr="00524CC9">
        <w:rPr>
          <w:rFonts w:eastAsiaTheme="minorEastAsia"/>
          <w:noProof/>
          <w:vertAlign w:val="subscript"/>
        </w:rPr>
        <w:t>2</w:t>
      </w:r>
      <w:r>
        <w:rPr>
          <w:rFonts w:eastAsiaTheme="minorEastAsia"/>
          <w:noProof/>
        </w:rPr>
        <w:t xml:space="preserve"> abatement potential and CO</w:t>
      </w:r>
      <w:r w:rsidRPr="002106E6">
        <w:rPr>
          <w:rFonts w:eastAsiaTheme="minorEastAsia"/>
          <w:noProof/>
          <w:vertAlign w:val="subscript"/>
        </w:rPr>
        <w:t>2</w:t>
      </w:r>
      <w:r>
        <w:rPr>
          <w:rFonts w:eastAsiaTheme="minorEastAsia"/>
          <w:noProof/>
        </w:rPr>
        <w:t xml:space="preserve"> abatement costs. Many technologies, such as heat pumps or energy efficiency solutions, are already mature and able to help reducing costs, while improving performance. At the same time, they are </w:t>
      </w:r>
      <w:r w:rsidRPr="00E447EE">
        <w:rPr>
          <w:rFonts w:eastAsiaTheme="minorEastAsia"/>
          <w:noProof/>
        </w:rPr>
        <w:t xml:space="preserve">not </w:t>
      </w:r>
      <w:r w:rsidRPr="09CA0190">
        <w:rPr>
          <w:rFonts w:eastAsia="Times New Roman" w:cs="Times New Roman"/>
          <w:noProof/>
        </w:rPr>
        <w:t>always</w:t>
      </w:r>
      <w:r w:rsidRPr="00E447EE">
        <w:rPr>
          <w:rFonts w:eastAsiaTheme="minorEastAsia"/>
          <w:noProof/>
        </w:rPr>
        <w:t xml:space="preserve"> available at scale</w:t>
      </w:r>
      <w:r>
        <w:rPr>
          <w:rFonts w:eastAsiaTheme="minorEastAsia"/>
          <w:noProof/>
        </w:rPr>
        <w:t>.</w:t>
      </w:r>
      <w:r w:rsidRPr="00E447EE">
        <w:rPr>
          <w:rFonts w:eastAsiaTheme="minorEastAsia"/>
          <w:noProof/>
        </w:rPr>
        <w:t xml:space="preserve"> Electrifying industrial production is a viable solution due to the rapid renewable energy deployment but </w:t>
      </w:r>
      <w:r>
        <w:rPr>
          <w:rFonts w:eastAsiaTheme="minorEastAsia"/>
          <w:noProof/>
        </w:rPr>
        <w:t>requires process transformation and it</w:t>
      </w:r>
      <w:r w:rsidRPr="00E447EE">
        <w:rPr>
          <w:rFonts w:eastAsiaTheme="minorEastAsia"/>
          <w:noProof/>
        </w:rPr>
        <w:t xml:space="preserve"> is not always affordable nor </w:t>
      </w:r>
      <w:r>
        <w:rPr>
          <w:rFonts w:eastAsiaTheme="minorEastAsia"/>
          <w:noProof/>
        </w:rPr>
        <w:t xml:space="preserve">fully </w:t>
      </w:r>
      <w:r w:rsidRPr="00E447EE">
        <w:rPr>
          <w:rFonts w:eastAsiaTheme="minorEastAsia"/>
          <w:noProof/>
        </w:rPr>
        <w:t xml:space="preserve">available, because of the need to improve connections and increase grid capacity, or </w:t>
      </w:r>
      <w:r>
        <w:rPr>
          <w:rFonts w:eastAsiaTheme="minorEastAsia"/>
          <w:noProof/>
        </w:rPr>
        <w:t xml:space="preserve">to meet the specific EIIs’ needs to consume </w:t>
      </w:r>
      <w:r w:rsidRPr="009E155C">
        <w:rPr>
          <w:rFonts w:eastAsiaTheme="minorEastAsia"/>
          <w:noProof/>
        </w:rPr>
        <w:t>baseload power</w:t>
      </w:r>
      <w:r>
        <w:rPr>
          <w:rFonts w:eastAsiaTheme="minorEastAsia"/>
          <w:noProof/>
        </w:rPr>
        <w:t>.</w:t>
      </w:r>
      <w:r w:rsidRPr="00E447EE">
        <w:rPr>
          <w:rFonts w:eastAsiaTheme="minorEastAsia"/>
          <w:noProof/>
        </w:rPr>
        <w:t xml:space="preserve"> </w:t>
      </w:r>
    </w:p>
    <w:p w14:paraId="4FAC3C16" w14:textId="5A3AB152" w:rsidR="00285741" w:rsidRDefault="00285741">
      <w:pPr>
        <w:rPr>
          <w:rFonts w:eastAsiaTheme="minorEastAsia"/>
          <w:noProof/>
        </w:rPr>
      </w:pPr>
      <w:r>
        <w:rPr>
          <w:rFonts w:eastAsiaTheme="minorEastAsia"/>
          <w:noProof/>
        </w:rPr>
        <w:lastRenderedPageBreak/>
        <w:t>In addition</w:t>
      </w:r>
      <w:r w:rsidRPr="00E447EE">
        <w:rPr>
          <w:rFonts w:eastAsiaTheme="minorEastAsia"/>
          <w:noProof/>
        </w:rPr>
        <w:t>, decarboni</w:t>
      </w:r>
      <w:r>
        <w:rPr>
          <w:rFonts w:eastAsiaTheme="minorEastAsia"/>
          <w:noProof/>
        </w:rPr>
        <w:t>s</w:t>
      </w:r>
      <w:r w:rsidRPr="00E447EE">
        <w:rPr>
          <w:rFonts w:eastAsiaTheme="minorEastAsia"/>
          <w:noProof/>
        </w:rPr>
        <w:t xml:space="preserve">ing the </w:t>
      </w:r>
      <w:r w:rsidR="00F26A23">
        <w:rPr>
          <w:rFonts w:eastAsiaTheme="minorEastAsia"/>
          <w:noProof/>
        </w:rPr>
        <w:t xml:space="preserve">sectors with </w:t>
      </w:r>
      <w:r w:rsidRPr="00E447EE">
        <w:rPr>
          <w:rFonts w:eastAsiaTheme="minorEastAsia"/>
          <w:noProof/>
        </w:rPr>
        <w:t xml:space="preserve">so-called ‘hard-to-abate </w:t>
      </w:r>
      <w:r w:rsidR="00441957">
        <w:rPr>
          <w:rFonts w:eastAsiaTheme="minorEastAsia"/>
          <w:noProof/>
        </w:rPr>
        <w:t>emissions</w:t>
      </w:r>
      <w:r w:rsidR="00441957" w:rsidRPr="00E447EE">
        <w:rPr>
          <w:rFonts w:eastAsiaTheme="minorEastAsia"/>
          <w:noProof/>
        </w:rPr>
        <w:t>’</w:t>
      </w:r>
      <w:r w:rsidRPr="00E447EE">
        <w:rPr>
          <w:rFonts w:eastAsiaTheme="minorEastAsia"/>
          <w:noProof/>
        </w:rPr>
        <w:t xml:space="preserve"> (i.e. chemicals, basic metals, cement, and pulp and paper) requires significant investments. Emission-abatement technologies, including </w:t>
      </w:r>
      <w:r>
        <w:rPr>
          <w:rFonts w:eastAsiaTheme="minorEastAsia"/>
          <w:noProof/>
        </w:rPr>
        <w:t xml:space="preserve">electrification, </w:t>
      </w:r>
      <w:r w:rsidRPr="00E447EE">
        <w:rPr>
          <w:rFonts w:eastAsiaTheme="minorEastAsia"/>
          <w:noProof/>
        </w:rPr>
        <w:t>EAF, clean hydrogen, carbon capture and storage (CCS), carbon capture and use (CCU), and raw material recycling require large capital costs (CAPEX)</w:t>
      </w:r>
      <w:r>
        <w:rPr>
          <w:rFonts w:eastAsiaTheme="minorEastAsia"/>
          <w:noProof/>
        </w:rPr>
        <w:t xml:space="preserve">. In addition, </w:t>
      </w:r>
      <w:r w:rsidRPr="00E447EE">
        <w:rPr>
          <w:rFonts w:eastAsiaTheme="minorEastAsia"/>
          <w:noProof/>
        </w:rPr>
        <w:t>the operational costs (OPEX) are uncertain when technologies are not mature and often higher than those of traditional technologies</w:t>
      </w:r>
      <w:r>
        <w:rPr>
          <w:rFonts w:eastAsiaTheme="minorEastAsia"/>
          <w:noProof/>
        </w:rPr>
        <w:t>,</w:t>
      </w:r>
      <w:r w:rsidRPr="00E447EE">
        <w:rPr>
          <w:rFonts w:eastAsiaTheme="minorEastAsia"/>
          <w:noProof/>
        </w:rPr>
        <w:t xml:space="preserve"> as long as electricity and low-carbon fuel (e.g. clean hydrogen) prices remain high in Europe. </w:t>
      </w:r>
      <w:r>
        <w:rPr>
          <w:rFonts w:eastAsiaTheme="minorEastAsia"/>
          <w:noProof/>
        </w:rPr>
        <w:t xml:space="preserve">These elements are an important factor determining the slow decarbonisation pace. </w:t>
      </w:r>
      <w:r w:rsidRPr="00E447EE">
        <w:rPr>
          <w:rFonts w:eastAsiaTheme="minorEastAsia"/>
          <w:noProof/>
        </w:rPr>
        <w:t xml:space="preserve">Estimates suggest that </w:t>
      </w:r>
      <w:r>
        <w:rPr>
          <w:rFonts w:eastAsiaTheme="minorEastAsia"/>
          <w:noProof/>
        </w:rPr>
        <w:t>by 2030, producing</w:t>
      </w:r>
      <w:r w:rsidRPr="00E447EE">
        <w:rPr>
          <w:rFonts w:eastAsiaTheme="minorEastAsia"/>
          <w:noProof/>
        </w:rPr>
        <w:t xml:space="preserve"> green steel (H2-DRI-EAF </w:t>
      </w:r>
      <w:r>
        <w:rPr>
          <w:rFonts w:eastAsiaTheme="minorEastAsia"/>
          <w:noProof/>
        </w:rPr>
        <w:t>route</w:t>
      </w:r>
      <w:r w:rsidRPr="00E447EE">
        <w:rPr>
          <w:rFonts w:eastAsiaTheme="minorEastAsia"/>
          <w:noProof/>
        </w:rPr>
        <w:t xml:space="preserve">) </w:t>
      </w:r>
      <w:r>
        <w:rPr>
          <w:rFonts w:eastAsiaTheme="minorEastAsia"/>
          <w:noProof/>
        </w:rPr>
        <w:t>in Europe c</w:t>
      </w:r>
      <w:r w:rsidRPr="00E447EE">
        <w:rPr>
          <w:rFonts w:eastAsiaTheme="minorEastAsia"/>
          <w:noProof/>
        </w:rPr>
        <w:t xml:space="preserve">ould </w:t>
      </w:r>
      <w:r>
        <w:rPr>
          <w:rFonts w:eastAsiaTheme="minorEastAsia"/>
          <w:noProof/>
        </w:rPr>
        <w:t>cost around</w:t>
      </w:r>
      <w:r w:rsidRPr="00E447EE">
        <w:rPr>
          <w:rFonts w:eastAsiaTheme="minorEastAsia"/>
          <w:noProof/>
        </w:rPr>
        <w:t xml:space="preserve"> EUR 100/tonne </w:t>
      </w:r>
      <w:r>
        <w:rPr>
          <w:rFonts w:eastAsiaTheme="minorEastAsia"/>
          <w:noProof/>
        </w:rPr>
        <w:t xml:space="preserve">of steel </w:t>
      </w:r>
      <w:r w:rsidRPr="00E447EE">
        <w:rPr>
          <w:rFonts w:eastAsiaTheme="minorEastAsia"/>
          <w:noProof/>
        </w:rPr>
        <w:t xml:space="preserve">(17%) more </w:t>
      </w:r>
      <w:r>
        <w:rPr>
          <w:rFonts w:eastAsiaTheme="minorEastAsia"/>
          <w:noProof/>
        </w:rPr>
        <w:t xml:space="preserve">than in </w:t>
      </w:r>
      <w:r w:rsidRPr="00E447EE">
        <w:rPr>
          <w:rFonts w:eastAsiaTheme="minorEastAsia"/>
          <w:noProof/>
        </w:rPr>
        <w:t>the US or Saudi Arabia</w:t>
      </w:r>
      <w:r>
        <w:rPr>
          <w:rFonts w:eastAsiaTheme="minorEastAsia"/>
          <w:noProof/>
        </w:rPr>
        <w:t>.</w:t>
      </w:r>
      <w:r w:rsidRPr="00E447EE">
        <w:rPr>
          <w:rFonts w:eastAsiaTheme="minorEastAsia"/>
          <w:noProof/>
        </w:rPr>
        <w:t xml:space="preserve"> </w:t>
      </w:r>
      <w:r>
        <w:rPr>
          <w:rFonts w:eastAsiaTheme="minorEastAsia"/>
          <w:noProof/>
        </w:rPr>
        <w:t xml:space="preserve">This cost </w:t>
      </w:r>
      <w:r w:rsidRPr="002C09AF">
        <w:rPr>
          <w:rFonts w:eastAsiaTheme="minorEastAsia"/>
          <w:noProof/>
        </w:rPr>
        <w:t xml:space="preserve">gap </w:t>
      </w:r>
      <w:r>
        <w:rPr>
          <w:rFonts w:eastAsiaTheme="minorEastAsia"/>
          <w:noProof/>
        </w:rPr>
        <w:t>exceeds that observed</w:t>
      </w:r>
      <w:r w:rsidRPr="002C09AF">
        <w:rPr>
          <w:rFonts w:eastAsiaTheme="minorEastAsia"/>
          <w:noProof/>
        </w:rPr>
        <w:t xml:space="preserve"> today for </w:t>
      </w:r>
      <w:r>
        <w:rPr>
          <w:rFonts w:eastAsiaTheme="minorEastAsia"/>
          <w:noProof/>
        </w:rPr>
        <w:t>conventional</w:t>
      </w:r>
      <w:r w:rsidRPr="002C09AF">
        <w:rPr>
          <w:rFonts w:eastAsiaTheme="minorEastAsia"/>
          <w:noProof/>
        </w:rPr>
        <w:t xml:space="preserve"> BF-BOF stee</w:t>
      </w:r>
      <w:r>
        <w:rPr>
          <w:rFonts w:eastAsiaTheme="minorEastAsia"/>
          <w:noProof/>
        </w:rPr>
        <w:t>l, reflecting Europe’s higher (clean) energy and hydrogen prices</w:t>
      </w:r>
      <w:r w:rsidRPr="00E447EE">
        <w:rPr>
          <w:rFonts w:eastAsiaTheme="minorEastAsia"/>
          <w:noProof/>
        </w:rPr>
        <w:t>.</w:t>
      </w:r>
      <w:r>
        <w:rPr>
          <w:rStyle w:val="FootnoteReference"/>
          <w:rFonts w:eastAsiaTheme="minorEastAsia"/>
          <w:noProof/>
        </w:rPr>
        <w:footnoteReference w:id="90"/>
      </w:r>
      <w:r>
        <w:rPr>
          <w:rFonts w:eastAsiaTheme="minorEastAsia"/>
          <w:noProof/>
        </w:rPr>
        <w:t xml:space="preserve"> Comparing all iron and steel technology pathways, </w:t>
      </w:r>
      <w:r w:rsidRPr="00E450A0">
        <w:rPr>
          <w:rFonts w:eastAsiaTheme="minorEastAsia"/>
          <w:noProof/>
        </w:rPr>
        <w:t>estimates suggest</w:t>
      </w:r>
      <w:r w:rsidRPr="00E447EE">
        <w:rPr>
          <w:rFonts w:eastAsiaTheme="minorEastAsia"/>
          <w:noProof/>
        </w:rPr>
        <w:t xml:space="preserve"> that in 2024 </w:t>
      </w:r>
      <w:r w:rsidR="004D0EF1">
        <w:rPr>
          <w:rFonts w:eastAsiaTheme="minorEastAsia"/>
          <w:noProof/>
        </w:rPr>
        <w:t>the</w:t>
      </w:r>
      <w:r w:rsidRPr="00E447EE">
        <w:rPr>
          <w:rFonts w:eastAsiaTheme="minorEastAsia"/>
          <w:noProof/>
        </w:rPr>
        <w:t xml:space="preserve"> low-emission solution </w:t>
      </w:r>
      <w:r w:rsidR="007A174B">
        <w:rPr>
          <w:rFonts w:eastAsiaTheme="minorEastAsia"/>
          <w:noProof/>
        </w:rPr>
        <w:t>was</w:t>
      </w:r>
      <w:r w:rsidRPr="00E447EE">
        <w:rPr>
          <w:rFonts w:eastAsiaTheme="minorEastAsia"/>
          <w:noProof/>
        </w:rPr>
        <w:t xml:space="preserve"> </w:t>
      </w:r>
      <w:r w:rsidR="004D0EF1" w:rsidRPr="00E447EE">
        <w:rPr>
          <w:rFonts w:eastAsiaTheme="minorEastAsia"/>
          <w:noProof/>
        </w:rPr>
        <w:t>74% more cost</w:t>
      </w:r>
      <w:r w:rsidR="004D0EF1">
        <w:rPr>
          <w:rFonts w:eastAsiaTheme="minorEastAsia"/>
          <w:noProof/>
        </w:rPr>
        <w:t>ly</w:t>
      </w:r>
      <w:r w:rsidR="004D0EF1" w:rsidRPr="00E447EE">
        <w:rPr>
          <w:rFonts w:eastAsiaTheme="minorEastAsia"/>
          <w:noProof/>
        </w:rPr>
        <w:t xml:space="preserve"> </w:t>
      </w:r>
      <w:r w:rsidRPr="00E447EE">
        <w:rPr>
          <w:rFonts w:eastAsiaTheme="minorEastAsia"/>
          <w:noProof/>
        </w:rPr>
        <w:t xml:space="preserve"> than the conventional route</w:t>
      </w:r>
      <w:r w:rsidR="004D0EF1">
        <w:rPr>
          <w:rFonts w:eastAsiaTheme="minorEastAsia"/>
          <w:noProof/>
        </w:rPr>
        <w:t>s,</w:t>
      </w:r>
      <w:r w:rsidRPr="00E447EE">
        <w:rPr>
          <w:rFonts w:eastAsiaTheme="minorEastAsia"/>
          <w:noProof/>
        </w:rPr>
        <w:t xml:space="preserve"> and 48%</w:t>
      </w:r>
      <w:r w:rsidR="004D0EF1">
        <w:rPr>
          <w:rFonts w:eastAsiaTheme="minorEastAsia"/>
          <w:noProof/>
        </w:rPr>
        <w:t xml:space="preserve"> more costly</w:t>
      </w:r>
      <w:r w:rsidRPr="00E447EE">
        <w:rPr>
          <w:rFonts w:eastAsiaTheme="minorEastAsia"/>
          <w:noProof/>
        </w:rPr>
        <w:t xml:space="preserve"> than a new build </w:t>
      </w:r>
      <w:r>
        <w:rPr>
          <w:rFonts w:eastAsiaTheme="minorEastAsia"/>
          <w:noProof/>
        </w:rPr>
        <w:t>basic oxygen furnaces (</w:t>
      </w:r>
      <w:r w:rsidRPr="00E447EE">
        <w:rPr>
          <w:rFonts w:eastAsiaTheme="minorEastAsia"/>
          <w:noProof/>
        </w:rPr>
        <w:t>BOF</w:t>
      </w:r>
      <w:r>
        <w:rPr>
          <w:rFonts w:eastAsiaTheme="minorEastAsia"/>
          <w:noProof/>
        </w:rPr>
        <w:t>)</w:t>
      </w:r>
      <w:r w:rsidRPr="00E447EE">
        <w:rPr>
          <w:rFonts w:eastAsiaTheme="minorEastAsia"/>
          <w:noProof/>
        </w:rPr>
        <w:t xml:space="preserve"> plant</w:t>
      </w:r>
      <w:r>
        <w:rPr>
          <w:rFonts w:eastAsiaTheme="minorEastAsia"/>
          <w:noProof/>
        </w:rPr>
        <w:t>. D</w:t>
      </w:r>
      <w:r w:rsidRPr="00E447EE">
        <w:rPr>
          <w:rFonts w:eastAsiaTheme="minorEastAsia"/>
          <w:noProof/>
        </w:rPr>
        <w:t xml:space="preserve">ata suggest that </w:t>
      </w:r>
      <w:r>
        <w:rPr>
          <w:rFonts w:eastAsiaTheme="minorEastAsia"/>
          <w:noProof/>
        </w:rPr>
        <w:t>by 2030</w:t>
      </w:r>
      <w:r w:rsidRPr="00E447EE">
        <w:rPr>
          <w:rFonts w:eastAsiaTheme="minorEastAsia"/>
          <w:noProof/>
        </w:rPr>
        <w:t xml:space="preserve"> the cost</w:t>
      </w:r>
      <w:r>
        <w:rPr>
          <w:rFonts w:eastAsiaTheme="minorEastAsia"/>
          <w:noProof/>
        </w:rPr>
        <w:t>s</w:t>
      </w:r>
      <w:r w:rsidRPr="00E447EE">
        <w:rPr>
          <w:rFonts w:eastAsiaTheme="minorEastAsia"/>
          <w:noProof/>
        </w:rPr>
        <w:t xml:space="preserve"> will have </w:t>
      </w:r>
      <w:r w:rsidRPr="00221D8E">
        <w:rPr>
          <w:rFonts w:eastAsiaTheme="minorEastAsia"/>
          <w:noProof/>
        </w:rPr>
        <w:t>fallen</w:t>
      </w:r>
      <w:r>
        <w:rPr>
          <w:rFonts w:eastAsiaTheme="minorEastAsia"/>
          <w:noProof/>
        </w:rPr>
        <w:t xml:space="preserve"> but</w:t>
      </w:r>
      <w:r w:rsidRPr="00E447EE">
        <w:rPr>
          <w:rFonts w:eastAsiaTheme="minorEastAsia"/>
          <w:noProof/>
        </w:rPr>
        <w:t xml:space="preserve"> will on average </w:t>
      </w:r>
      <w:r w:rsidRPr="0025245A">
        <w:rPr>
          <w:rFonts w:eastAsiaTheme="minorEastAsia"/>
          <w:noProof/>
        </w:rPr>
        <w:t>remain</w:t>
      </w:r>
      <w:r w:rsidRPr="001361FE">
        <w:rPr>
          <w:rFonts w:eastAsiaTheme="minorEastAsia"/>
          <w:noProof/>
        </w:rPr>
        <w:t xml:space="preserve"> </w:t>
      </w:r>
      <w:r w:rsidRPr="00E447EE">
        <w:rPr>
          <w:rFonts w:eastAsiaTheme="minorEastAsia"/>
          <w:noProof/>
        </w:rPr>
        <w:t xml:space="preserve">higher </w:t>
      </w:r>
      <w:r w:rsidR="007974A7" w:rsidRPr="00E447EE">
        <w:rPr>
          <w:rFonts w:eastAsiaTheme="minorEastAsia"/>
          <w:noProof/>
        </w:rPr>
        <w:t xml:space="preserve">(66%) </w:t>
      </w:r>
      <w:r>
        <w:rPr>
          <w:rFonts w:eastAsiaTheme="minorEastAsia"/>
          <w:noProof/>
        </w:rPr>
        <w:t xml:space="preserve">than </w:t>
      </w:r>
      <w:r w:rsidRPr="00E447EE">
        <w:rPr>
          <w:rFonts w:eastAsiaTheme="minorEastAsia"/>
          <w:noProof/>
        </w:rPr>
        <w:t>for an existing BOF plant</w:t>
      </w:r>
      <w:r w:rsidR="007974A7">
        <w:rPr>
          <w:rFonts w:eastAsiaTheme="minorEastAsia"/>
          <w:noProof/>
        </w:rPr>
        <w:t>,</w:t>
      </w:r>
      <w:r w:rsidRPr="00E447EE">
        <w:rPr>
          <w:rFonts w:eastAsiaTheme="minorEastAsia"/>
          <w:noProof/>
        </w:rPr>
        <w:t xml:space="preserve"> and 42% to a newly buil</w:t>
      </w:r>
      <w:r>
        <w:rPr>
          <w:rFonts w:eastAsiaTheme="minorEastAsia"/>
          <w:noProof/>
        </w:rPr>
        <w:t>t</w:t>
      </w:r>
      <w:r w:rsidRPr="00E447EE">
        <w:rPr>
          <w:rFonts w:eastAsiaTheme="minorEastAsia"/>
          <w:noProof/>
        </w:rPr>
        <w:t xml:space="preserve"> BOF plant.</w:t>
      </w:r>
      <w:r>
        <w:rPr>
          <w:rStyle w:val="FootnoteReference"/>
          <w:rFonts w:eastAsiaTheme="minorEastAsia"/>
          <w:noProof/>
        </w:rPr>
        <w:footnoteReference w:id="91"/>
      </w:r>
      <w:r>
        <w:rPr>
          <w:rFonts w:eastAsiaTheme="minorEastAsia"/>
          <w:noProof/>
        </w:rPr>
        <w:t xml:space="preserve"> </w:t>
      </w:r>
      <w:r w:rsidRPr="00E447EE">
        <w:rPr>
          <w:rFonts w:eastAsiaTheme="minorEastAsia"/>
          <w:noProof/>
        </w:rPr>
        <w:t xml:space="preserve">In the case of cement, </w:t>
      </w:r>
      <w:r>
        <w:rPr>
          <w:rFonts w:eastAsiaTheme="minorEastAsia"/>
          <w:noProof/>
        </w:rPr>
        <w:t>t</w:t>
      </w:r>
      <w:r w:rsidRPr="00E447EE">
        <w:rPr>
          <w:rFonts w:eastAsiaTheme="minorEastAsia"/>
          <w:noProof/>
        </w:rPr>
        <w:t xml:space="preserve">echno-economic studies for theoretical cement plants estimate CO₂ abatement costs at approximately </w:t>
      </w:r>
      <w:r w:rsidRPr="09CA0190">
        <w:rPr>
          <w:rFonts w:eastAsiaTheme="minorEastAsia"/>
          <w:noProof/>
        </w:rPr>
        <w:t xml:space="preserve">EUR </w:t>
      </w:r>
      <w:r>
        <w:rPr>
          <w:rFonts w:eastAsiaTheme="minorEastAsia"/>
          <w:noProof/>
        </w:rPr>
        <w:t>47.3</w:t>
      </w:r>
      <w:r w:rsidRPr="00E447EE">
        <w:rPr>
          <w:rFonts w:eastAsiaTheme="minorEastAsia"/>
          <w:noProof/>
        </w:rPr>
        <w:t>–</w:t>
      </w:r>
      <w:r>
        <w:rPr>
          <w:rFonts w:eastAsiaTheme="minorEastAsia"/>
          <w:noProof/>
        </w:rPr>
        <w:t>60.2</w:t>
      </w:r>
      <w:r w:rsidRPr="00E447EE">
        <w:rPr>
          <w:rFonts w:eastAsiaTheme="minorEastAsia"/>
          <w:noProof/>
        </w:rPr>
        <w:t xml:space="preserve">/tCO₂ for oxy-fuel technologies and </w:t>
      </w:r>
      <w:r>
        <w:rPr>
          <w:rFonts w:eastAsiaTheme="minorEastAsia"/>
          <w:noProof/>
        </w:rPr>
        <w:t>EUR 77.4</w:t>
      </w:r>
      <w:r w:rsidRPr="00E447EE">
        <w:rPr>
          <w:rFonts w:eastAsiaTheme="minorEastAsia"/>
          <w:noProof/>
        </w:rPr>
        <w:t>–</w:t>
      </w:r>
      <w:r>
        <w:rPr>
          <w:rFonts w:eastAsiaTheme="minorEastAsia"/>
          <w:noProof/>
        </w:rPr>
        <w:t>129</w:t>
      </w:r>
      <w:r w:rsidRPr="00E447EE">
        <w:rPr>
          <w:rFonts w:eastAsiaTheme="minorEastAsia"/>
          <w:noProof/>
        </w:rPr>
        <w:t>/tCO₂ for post-combustion capture.</w:t>
      </w:r>
      <w:r>
        <w:rPr>
          <w:rStyle w:val="FootnoteReference"/>
          <w:rFonts w:eastAsiaTheme="minorEastAsia"/>
          <w:noProof/>
        </w:rPr>
        <w:footnoteReference w:id="92"/>
      </w:r>
      <w:r w:rsidRPr="00292D40">
        <w:rPr>
          <w:rFonts w:eastAsiaTheme="minorEastAsia"/>
          <w:noProof/>
        </w:rPr>
        <w:t xml:space="preserve"> </w:t>
      </w:r>
      <w:r>
        <w:rPr>
          <w:rFonts w:eastAsiaTheme="minorEastAsia"/>
          <w:noProof/>
        </w:rPr>
        <w:t xml:space="preserve">A detailed analysis of the availability and </w:t>
      </w:r>
      <w:r w:rsidRPr="00E447EE">
        <w:rPr>
          <w:rFonts w:eastAsiaTheme="minorEastAsia"/>
          <w:noProof/>
        </w:rPr>
        <w:t xml:space="preserve">economic viability of industrial decarbonisation technologies and their cost evolution is presented in </w:t>
      </w:r>
      <w:r w:rsidRPr="00EB6B04">
        <w:rPr>
          <w:rFonts w:eastAsiaTheme="minorEastAsia"/>
          <w:noProof/>
        </w:rPr>
        <w:t xml:space="preserve">Annex </w:t>
      </w:r>
      <w:r>
        <w:rPr>
          <w:rFonts w:eastAsiaTheme="minorEastAsia"/>
          <w:noProof/>
        </w:rPr>
        <w:t>7.</w:t>
      </w:r>
    </w:p>
    <w:p w14:paraId="1D8A00E5" w14:textId="77777777" w:rsidR="00285741" w:rsidRDefault="00285741">
      <w:pPr>
        <w:rPr>
          <w:rFonts w:eastAsiaTheme="minorEastAsia"/>
          <w:noProof/>
        </w:rPr>
      </w:pPr>
    </w:p>
    <w:tbl>
      <w:tblPr>
        <w:tblStyle w:val="TableGrid"/>
        <w:tblW w:w="9014" w:type="dxa"/>
        <w:tblInd w:w="-34" w:type="dxa"/>
        <w:tblBorders>
          <w:top w:val="single" w:sz="4" w:space="0" w:color="auto"/>
          <w:left w:val="single" w:sz="4" w:space="0" w:color="auto"/>
          <w:bottom w:val="single" w:sz="4" w:space="0" w:color="auto"/>
          <w:right w:val="single" w:sz="4" w:space="0" w:color="auto"/>
        </w:tblBorders>
        <w:tblLayout w:type="fixed"/>
        <w:tblLook w:val="06A0" w:firstRow="1" w:lastRow="0" w:firstColumn="1" w:lastColumn="0" w:noHBand="1" w:noVBand="1"/>
      </w:tblPr>
      <w:tblGrid>
        <w:gridCol w:w="9014"/>
      </w:tblGrid>
      <w:tr w:rsidR="00285741" w:rsidRPr="00BE7E13" w14:paraId="0AE1D224" w14:textId="77777777">
        <w:trPr>
          <w:trHeight w:val="638"/>
        </w:trPr>
        <w:tc>
          <w:tcPr>
            <w:tcW w:w="9014" w:type="dxa"/>
          </w:tcPr>
          <w:p w14:paraId="5251100E" w14:textId="77777777" w:rsidR="00285741" w:rsidRPr="00BE7E13" w:rsidRDefault="00285741" w:rsidP="006D76C4">
            <w:pPr>
              <w:spacing w:after="120"/>
              <w:rPr>
                <w:noProof/>
              </w:rPr>
            </w:pPr>
            <w:r>
              <w:rPr>
                <w:noProof/>
              </w:rPr>
              <w:t xml:space="preserve">A large majority of respondents (85% - 266 out of 314) to the </w:t>
            </w:r>
            <w:r w:rsidRPr="40681235">
              <w:rPr>
                <w:b/>
                <w:noProof/>
              </w:rPr>
              <w:t>Public Consultation</w:t>
            </w:r>
            <w:r>
              <w:rPr>
                <w:noProof/>
              </w:rPr>
              <w:t xml:space="preserve"> point to limited access to affordable decarbonised energy and high operational and capital costs (n=260, 83% and n=251, 80%, respectively) as critical barriers.</w:t>
            </w:r>
          </w:p>
        </w:tc>
      </w:tr>
    </w:tbl>
    <w:p w14:paraId="14475585" w14:textId="77777777" w:rsidR="00285741" w:rsidRPr="00C64FD5" w:rsidRDefault="00285741" w:rsidP="006D76C4">
      <w:pPr>
        <w:rPr>
          <w:noProof/>
        </w:rPr>
      </w:pPr>
    </w:p>
    <w:p w14:paraId="0FA889C4" w14:textId="77777777" w:rsidR="00285741" w:rsidRDefault="00285741" w:rsidP="00285741">
      <w:pPr>
        <w:pStyle w:val="Heading4"/>
        <w:numPr>
          <w:ilvl w:val="3"/>
          <w:numId w:val="64"/>
        </w:numPr>
        <w:spacing w:after="0"/>
        <w:ind w:left="1715"/>
        <w:rPr>
          <w:rFonts w:eastAsia="Times New Roman"/>
          <w:noProof/>
        </w:rPr>
      </w:pPr>
      <w:r w:rsidRPr="00A44BED">
        <w:rPr>
          <w:rFonts w:eastAsiaTheme="minorEastAsia"/>
          <w:b/>
          <w:noProof/>
          <w:color w:val="auto"/>
        </w:rPr>
        <w:t xml:space="preserve">Driver </w:t>
      </w:r>
      <w:r>
        <w:rPr>
          <w:rFonts w:eastAsiaTheme="minorEastAsia"/>
          <w:b/>
          <w:noProof/>
          <w:color w:val="auto"/>
        </w:rPr>
        <w:t>5</w:t>
      </w:r>
      <w:r w:rsidRPr="00A44BED">
        <w:rPr>
          <w:rFonts w:eastAsiaTheme="minorEastAsia"/>
          <w:b/>
          <w:noProof/>
          <w:color w:val="auto"/>
        </w:rPr>
        <w:t>: Lengthy, fragmented and uncertain permitting procedures for decarbonisation projects</w:t>
      </w:r>
    </w:p>
    <w:p w14:paraId="4FB9CB64" w14:textId="77777777" w:rsidR="00285741" w:rsidRPr="002C6633" w:rsidRDefault="00285741">
      <w:pPr>
        <w:spacing w:before="240" w:after="120"/>
        <w:rPr>
          <w:rFonts w:eastAsia="Times New Roman" w:cs="Times New Roman"/>
          <w:noProof/>
        </w:rPr>
      </w:pPr>
      <w:r w:rsidRPr="14FF5077">
        <w:rPr>
          <w:rFonts w:eastAsia="Times New Roman"/>
          <w:noProof/>
        </w:rPr>
        <w:t>Industrial manufacturing activities can have significant impacts on the environment beyond CO</w:t>
      </w:r>
      <w:r w:rsidRPr="14FF5077">
        <w:rPr>
          <w:rFonts w:eastAsia="Times New Roman"/>
          <w:noProof/>
          <w:vertAlign w:val="subscript"/>
        </w:rPr>
        <w:t>2</w:t>
      </w:r>
      <w:r w:rsidRPr="14FF5077">
        <w:rPr>
          <w:rFonts w:eastAsia="Times New Roman"/>
          <w:noProof/>
        </w:rPr>
        <w:t xml:space="preserve"> emissions (e.g., SOx, NOx, dust, dioxins, waste generation, water, resource consumption). EU and national legislation have regulatory frameworks to address these impacts. Industrial plants show compliance with the legislation via permits, processed and granted by national, regional or local authorities. </w:t>
      </w:r>
      <w:r w:rsidRPr="09CA0190">
        <w:rPr>
          <w:rFonts w:eastAsia="Times New Roman" w:cs="Times New Roman"/>
          <w:noProof/>
        </w:rPr>
        <w:t>While permitting is not an exclusive trait of industries (including EIIs), industrial activities are a considerable source of pressure on the environment. As such, as mentioned below, the permit-granting process can be particularly cumbersome for them - the higher the environmental hazard, the more complex permitting can become. In the context of Europe’s decarbonisation transition, where the investments needed are extremely large, the complexity and duration of permitting processes can be an obstacle to investing in Europe and therefore impact its ability to decarbonise. Permitting process has been recognised as a major challenge for project development.</w:t>
      </w:r>
      <w:r w:rsidRPr="09CA0190">
        <w:rPr>
          <w:rStyle w:val="FootnoteReference"/>
          <w:rFonts w:eastAsia="Times New Roman" w:cs="Times New Roman"/>
          <w:noProof/>
        </w:rPr>
        <w:footnoteReference w:id="93"/>
      </w:r>
    </w:p>
    <w:p w14:paraId="25BC9518" w14:textId="77777777" w:rsidR="00285741" w:rsidRPr="00C64FD5" w:rsidRDefault="00285741">
      <w:pPr>
        <w:spacing w:after="120"/>
        <w:rPr>
          <w:noProof/>
        </w:rPr>
      </w:pPr>
      <w:r w:rsidRPr="00B84834">
        <w:rPr>
          <w:rFonts w:eastAsia="Times New Roman"/>
          <w:noProof/>
        </w:rPr>
        <w:t xml:space="preserve">The evidence gathered via stakeholder consultations, as well as internal Commission analysis through the implementation of Union funding for industry showed unnecessarily lengthy and complex industrial permitting. </w:t>
      </w:r>
      <w:r>
        <w:rPr>
          <w:rFonts w:eastAsia="Times New Roman"/>
          <w:noProof/>
        </w:rPr>
        <w:t>S</w:t>
      </w:r>
      <w:r w:rsidRPr="00B84834">
        <w:rPr>
          <w:rFonts w:eastAsia="Times New Roman"/>
          <w:noProof/>
        </w:rPr>
        <w:t>ee Annex 2 for more detail.</w:t>
      </w:r>
      <w:r>
        <w:rPr>
          <w:rFonts w:eastAsia="Times New Roman"/>
          <w:noProof/>
        </w:rPr>
        <w:t xml:space="preserve"> </w:t>
      </w:r>
      <w:r w:rsidRPr="00EB6B04">
        <w:rPr>
          <w:rFonts w:eastAsia="Times New Roman"/>
          <w:noProof/>
        </w:rPr>
        <w:t>The issues identified are common to the different manufacturing sectors, however industrial projects</w:t>
      </w:r>
      <w:r>
        <w:rPr>
          <w:noProof/>
        </w:rPr>
        <w:t xml:space="preserve"> that need to drastically change their processes in EIIs sectors face an extra layer of difficulty due to the innovative and </w:t>
      </w:r>
      <w:r>
        <w:rPr>
          <w:noProof/>
        </w:rPr>
        <w:lastRenderedPageBreak/>
        <w:t>impactful nature of their projects. Almost half of the respondents to the Innovation Fund Sharing Report note that the novel nature of their operation does not fit well in the existing permitting procedures.</w:t>
      </w:r>
      <w:r w:rsidRPr="14FF5077" w:rsidDel="009429A2">
        <w:rPr>
          <w:noProof/>
          <w:vertAlign w:val="superscript"/>
        </w:rPr>
        <w:footnoteReference w:id="94"/>
      </w:r>
      <w:r w:rsidRPr="14FF5077">
        <w:rPr>
          <w:noProof/>
          <w:vertAlign w:val="superscript"/>
        </w:rPr>
        <w:t xml:space="preserve"> </w:t>
      </w:r>
      <w:r>
        <w:rPr>
          <w:noProof/>
        </w:rPr>
        <w:t>For Innovation Fund projects, the time required for granting the permits after the applications were filed was on average 16.4 months. Almost 45% of projects estimated that their permit-granting processes would require from 12 to 48 months.</w:t>
      </w:r>
      <w:r w:rsidRPr="14FF5077">
        <w:rPr>
          <w:rStyle w:val="FootnoteReference"/>
          <w:noProof/>
        </w:rPr>
        <w:footnoteReference w:id="95"/>
      </w:r>
      <w:r>
        <w:rPr>
          <w:noProof/>
        </w:rPr>
        <w:t xml:space="preserve"> More than half of the projects indicated that in the end they required more time than originally foreseen.</w:t>
      </w:r>
      <w:r w:rsidRPr="14FF5077">
        <w:rPr>
          <w:rStyle w:val="FootnoteReference"/>
          <w:noProof/>
        </w:rPr>
        <w:footnoteReference w:id="96"/>
      </w:r>
    </w:p>
    <w:p w14:paraId="4EB0846C" w14:textId="77777777" w:rsidR="00285741" w:rsidRDefault="00285741" w:rsidP="006D76C4">
      <w:pPr>
        <w:rPr>
          <w:noProof/>
        </w:rPr>
      </w:pPr>
      <w:r>
        <w:rPr>
          <w:noProof/>
        </w:rPr>
        <w:t>The complexities and delays stem from several factors, which are closely related to the administrative setting of each Member State. The most important factors include the numerous authorities involved in the permit-granting process (5 to 10 different authorities can be involved for a single project)</w:t>
      </w:r>
      <w:r>
        <w:rPr>
          <w:rStyle w:val="FootnoteReference"/>
          <w:noProof/>
        </w:rPr>
        <w:footnoteReference w:id="97"/>
      </w:r>
      <w:r>
        <w:rPr>
          <w:noProof/>
        </w:rPr>
        <w:t xml:space="preserve">, unclear or insufficient details on the necessary information to be submitted, lack of administrative capacities in Member States, potential inconsistencies between EU and national regulatory framework implementation, or low levels of investments by Member States in digitising permitting systems. </w:t>
      </w:r>
    </w:p>
    <w:p w14:paraId="64D500BE" w14:textId="77777777" w:rsidR="00285741" w:rsidRDefault="00285741" w:rsidP="006D76C4">
      <w:pPr>
        <w:rPr>
          <w:noProof/>
        </w:rPr>
      </w:pPr>
    </w:p>
    <w:tbl>
      <w:tblPr>
        <w:tblStyle w:val="TableGrid"/>
        <w:tblW w:w="0" w:type="auto"/>
        <w:jc w:val="center"/>
        <w:tblInd w:w="0" w:type="dxa"/>
        <w:tblLayout w:type="fixed"/>
        <w:tblLook w:val="06A0" w:firstRow="1" w:lastRow="0" w:firstColumn="1" w:lastColumn="0" w:noHBand="1" w:noVBand="1"/>
      </w:tblPr>
      <w:tblGrid>
        <w:gridCol w:w="9014"/>
      </w:tblGrid>
      <w:tr w:rsidR="00285741" w:rsidRPr="00BE7E13" w14:paraId="0B8D8C70" w14:textId="77777777" w:rsidTr="008F7FB8">
        <w:trPr>
          <w:trHeight w:val="416"/>
          <w:jc w:val="center"/>
        </w:trPr>
        <w:tc>
          <w:tcPr>
            <w:tcW w:w="9014" w:type="dxa"/>
            <w:tcBorders>
              <w:top w:val="single" w:sz="4" w:space="0" w:color="auto"/>
              <w:left w:val="single" w:sz="4" w:space="0" w:color="auto"/>
              <w:bottom w:val="single" w:sz="4" w:space="0" w:color="auto"/>
              <w:right w:val="single" w:sz="4" w:space="0" w:color="auto"/>
            </w:tcBorders>
          </w:tcPr>
          <w:p w14:paraId="5A8A6D3C" w14:textId="77777777" w:rsidR="00285741" w:rsidRPr="00BE7E13" w:rsidRDefault="00285741" w:rsidP="006D76C4">
            <w:pPr>
              <w:spacing w:after="120"/>
              <w:rPr>
                <w:noProof/>
              </w:rPr>
            </w:pPr>
            <w:r w:rsidRPr="1E66C0B3">
              <w:rPr>
                <w:noProof/>
              </w:rPr>
              <w:t>Results from the</w:t>
            </w:r>
            <w:r w:rsidRPr="1E66C0B3" w:rsidDel="001A0D2D">
              <w:rPr>
                <w:noProof/>
              </w:rPr>
              <w:t xml:space="preserve"> </w:t>
            </w:r>
            <w:r w:rsidRPr="1E66C0B3">
              <w:rPr>
                <w:b/>
                <w:noProof/>
              </w:rPr>
              <w:t>Public Consultation</w:t>
            </w:r>
            <w:r w:rsidRPr="1E66C0B3">
              <w:rPr>
                <w:noProof/>
              </w:rPr>
              <w:t xml:space="preserve"> show that permitting is seen as a major bottleneck (82% - 256 out of 314), with 69% (218 respondents) agreeing that challenges related to permitting are widespread and different (</w:t>
            </w:r>
            <w:r>
              <w:rPr>
                <w:noProof/>
              </w:rPr>
              <w:t>n=</w:t>
            </w:r>
            <w:r w:rsidRPr="1E66C0B3">
              <w:rPr>
                <w:noProof/>
              </w:rPr>
              <w:t>222, 71%) across Member States. A fragmented regulatory landscape and complexity of the process (</w:t>
            </w:r>
            <w:r>
              <w:rPr>
                <w:noProof/>
              </w:rPr>
              <w:t>n=</w:t>
            </w:r>
            <w:r w:rsidRPr="1E66C0B3">
              <w:rPr>
                <w:noProof/>
              </w:rPr>
              <w:t>187, 60%) and multiple authorities involved in the permitting process (53%, of businesses and business associations) are flagged as main challenges. SMEs in particular (59% - 40 out of 68) point to a lack of administrative capacity.</w:t>
            </w:r>
            <w:r w:rsidRPr="09CA0190">
              <w:rPr>
                <w:noProof/>
              </w:rPr>
              <w:t xml:space="preserve"> </w:t>
            </w:r>
            <w:r w:rsidRPr="1E66C0B3">
              <w:rPr>
                <w:noProof/>
              </w:rPr>
              <w:t>65% of respondents to the Innovation Fund survey on permitting, ranked the permit-granting process among their top challenges.</w:t>
            </w:r>
            <w:r w:rsidRPr="1E66C0B3">
              <w:rPr>
                <w:noProof/>
                <w:vertAlign w:val="superscript"/>
              </w:rPr>
              <w:footnoteReference w:id="98"/>
            </w:r>
          </w:p>
        </w:tc>
      </w:tr>
    </w:tbl>
    <w:p w14:paraId="50515EE8" w14:textId="77777777" w:rsidR="00285741" w:rsidRDefault="00285741" w:rsidP="00C326B4">
      <w:pPr>
        <w:rPr>
          <w:noProof/>
        </w:rPr>
      </w:pPr>
    </w:p>
    <w:p w14:paraId="5CB2C94A" w14:textId="77777777" w:rsidR="00285741" w:rsidRDefault="00285741" w:rsidP="00285741">
      <w:pPr>
        <w:pStyle w:val="Heading4"/>
        <w:numPr>
          <w:ilvl w:val="3"/>
          <w:numId w:val="64"/>
        </w:numPr>
        <w:ind w:left="1715"/>
        <w:rPr>
          <w:noProof/>
        </w:rPr>
      </w:pPr>
      <w:r w:rsidRPr="000272AD">
        <w:rPr>
          <w:rFonts w:eastAsiaTheme="minorEastAsia"/>
          <w:b/>
          <w:noProof/>
          <w:color w:val="auto"/>
        </w:rPr>
        <w:t>Driver 6: Difficulty to</w:t>
      </w:r>
      <w:r>
        <w:rPr>
          <w:rFonts w:eastAsiaTheme="minorEastAsia"/>
          <w:b/>
          <w:noProof/>
          <w:color w:val="auto"/>
        </w:rPr>
        <w:t xml:space="preserve"> access resources (e.g. inputs and funding)</w:t>
      </w:r>
    </w:p>
    <w:p w14:paraId="51E10202" w14:textId="77777777" w:rsidR="00285741" w:rsidRDefault="00285741">
      <w:pPr>
        <w:spacing w:before="240" w:after="120"/>
        <w:rPr>
          <w:noProof/>
        </w:rPr>
      </w:pPr>
      <w:r>
        <w:rPr>
          <w:noProof/>
        </w:rPr>
        <w:t xml:space="preserve">For a project developer to proceed with a specific investment project, several elements are needed to make that commitment such as financing, and access to the energy grid. </w:t>
      </w:r>
    </w:p>
    <w:p w14:paraId="4016F6AB" w14:textId="77777777" w:rsidR="00285741" w:rsidRPr="00E447EE" w:rsidRDefault="00285741">
      <w:pPr>
        <w:spacing w:before="240" w:after="120"/>
        <w:rPr>
          <w:noProof/>
          <w:highlight w:val="yellow"/>
        </w:rPr>
      </w:pPr>
      <w:r>
        <w:rPr>
          <w:noProof/>
        </w:rPr>
        <w:t>Industrial decarbonisation requires substantial investments and needs to attract private investors</w:t>
      </w:r>
      <w:r w:rsidRPr="002334C4">
        <w:rPr>
          <w:noProof/>
        </w:rPr>
        <w:t xml:space="preserve">. </w:t>
      </w:r>
      <w:r w:rsidRPr="000272AD">
        <w:rPr>
          <w:noProof/>
        </w:rPr>
        <w:t xml:space="preserve">In the past six years, despite many announcements, </w:t>
      </w:r>
      <w:r w:rsidRPr="00973DB3">
        <w:rPr>
          <w:noProof/>
        </w:rPr>
        <w:t>less than one-third of industrial decarbonisation projects in large energy-intensive sectors have</w:t>
      </w:r>
      <w:r w:rsidRPr="000272AD">
        <w:rPr>
          <w:noProof/>
        </w:rPr>
        <w:t xml:space="preserve"> reached final investment decisions</w:t>
      </w:r>
      <w:r>
        <w:rPr>
          <w:noProof/>
        </w:rPr>
        <w:t xml:space="preserve">, </w:t>
      </w:r>
      <w:r w:rsidRPr="00844D06">
        <w:rPr>
          <w:noProof/>
        </w:rPr>
        <w:t>and almost half remain unimplemented</w:t>
      </w:r>
      <w:r>
        <w:rPr>
          <w:noProof/>
        </w:rPr>
        <w:t xml:space="preserve"> (see Driver 3).</w:t>
      </w:r>
    </w:p>
    <w:p w14:paraId="4C01E632" w14:textId="745851F4" w:rsidR="00285741" w:rsidRDefault="00285741">
      <w:pPr>
        <w:spacing w:after="120"/>
        <w:rPr>
          <w:rFonts w:eastAsia="Times New Roman"/>
          <w:noProof/>
        </w:rPr>
      </w:pPr>
      <w:r>
        <w:rPr>
          <w:noProof/>
        </w:rPr>
        <w:t xml:space="preserve">A recurrent issue for decarbonising industrial facilities is </w:t>
      </w:r>
      <w:r w:rsidRPr="27D9526D">
        <w:rPr>
          <w:b/>
          <w:bCs/>
          <w:noProof/>
        </w:rPr>
        <w:t xml:space="preserve">securing </w:t>
      </w:r>
      <w:r>
        <w:rPr>
          <w:b/>
          <w:bCs/>
          <w:noProof/>
        </w:rPr>
        <w:t>a timely</w:t>
      </w:r>
      <w:r w:rsidRPr="27D9526D">
        <w:rPr>
          <w:b/>
          <w:bCs/>
          <w:noProof/>
        </w:rPr>
        <w:t xml:space="preserve"> connection to the energy grid</w:t>
      </w:r>
      <w:r w:rsidR="007252DC" w:rsidRPr="00E17071">
        <w:rPr>
          <w:noProof/>
        </w:rPr>
        <w:t>.</w:t>
      </w:r>
      <w:r>
        <w:rPr>
          <w:rStyle w:val="FootnoteReference"/>
          <w:noProof/>
        </w:rPr>
        <w:footnoteReference w:id="99"/>
      </w:r>
      <w:r>
        <w:rPr>
          <w:noProof/>
        </w:rPr>
        <w:t xml:space="preserve"> </w:t>
      </w:r>
      <w:r>
        <w:rPr>
          <w:rFonts w:cs="Times New Roman"/>
          <w:noProof/>
        </w:rPr>
        <w:t>Timely feedback is crucial from a business planning perspective, affecting the business case of each application and hence overall competitiveness.</w:t>
      </w:r>
      <w:r>
        <w:rPr>
          <w:noProof/>
        </w:rPr>
        <w:t xml:space="preserve"> </w:t>
      </w:r>
      <w:r w:rsidRPr="078050C3">
        <w:rPr>
          <w:rFonts w:eastAsia="Times New Roman"/>
          <w:noProof/>
        </w:rPr>
        <w:t xml:space="preserve">However, at least 15 </w:t>
      </w:r>
      <w:r w:rsidRPr="42C97633">
        <w:rPr>
          <w:rFonts w:eastAsia="Times New Roman"/>
          <w:noProof/>
        </w:rPr>
        <w:t xml:space="preserve">Member States </w:t>
      </w:r>
      <w:r w:rsidRPr="078050C3">
        <w:rPr>
          <w:rFonts w:eastAsia="Times New Roman"/>
          <w:noProof/>
        </w:rPr>
        <w:t xml:space="preserve">have experienced queuing problems, </w:t>
      </w:r>
      <w:r>
        <w:rPr>
          <w:rFonts w:cs="Times New Roman"/>
          <w:noProof/>
        </w:rPr>
        <w:t>which</w:t>
      </w:r>
      <w:r w:rsidRPr="000E099A">
        <w:rPr>
          <w:rFonts w:cs="Times New Roman"/>
          <w:noProof/>
        </w:rPr>
        <w:t xml:space="preserve"> slows down the clean transition and European economic growth.</w:t>
      </w:r>
      <w:r w:rsidRPr="00B71159">
        <w:rPr>
          <w:rFonts w:eastAsia="Times New Roman"/>
          <w:noProof/>
          <w:vertAlign w:val="superscript"/>
        </w:rPr>
        <w:footnoteReference w:id="100"/>
      </w:r>
      <w:r>
        <w:rPr>
          <w:rFonts w:eastAsia="Times New Roman"/>
          <w:noProof/>
        </w:rPr>
        <w:t xml:space="preserve"> T</w:t>
      </w:r>
      <w:r w:rsidRPr="62CE0A99">
        <w:rPr>
          <w:rFonts w:eastAsia="Times New Roman"/>
          <w:noProof/>
        </w:rPr>
        <w:t>h</w:t>
      </w:r>
      <w:r>
        <w:rPr>
          <w:rFonts w:eastAsia="Times New Roman"/>
          <w:noProof/>
        </w:rPr>
        <w:t>is</w:t>
      </w:r>
      <w:r w:rsidRPr="62CE0A99">
        <w:rPr>
          <w:rFonts w:eastAsia="Times New Roman"/>
          <w:noProof/>
        </w:rPr>
        <w:t xml:space="preserve"> challenge </w:t>
      </w:r>
      <w:r>
        <w:rPr>
          <w:rFonts w:eastAsia="Times New Roman"/>
          <w:noProof/>
        </w:rPr>
        <w:t>differs between</w:t>
      </w:r>
      <w:r w:rsidRPr="62CE0A99">
        <w:rPr>
          <w:rFonts w:eastAsia="Times New Roman"/>
          <w:noProof/>
        </w:rPr>
        <w:t xml:space="preserve"> Member States</w:t>
      </w:r>
      <w:r>
        <w:rPr>
          <w:rFonts w:eastAsia="Times New Roman"/>
          <w:noProof/>
        </w:rPr>
        <w:t>, connection levels, generation and demand side</w:t>
      </w:r>
      <w:r w:rsidRPr="62CE0A99">
        <w:rPr>
          <w:rFonts w:eastAsia="Times New Roman"/>
          <w:noProof/>
        </w:rPr>
        <w:t>.</w:t>
      </w:r>
      <w:r w:rsidRPr="00C853D2">
        <w:rPr>
          <w:noProof/>
        </w:rPr>
        <w:t xml:space="preserve"> </w:t>
      </w:r>
      <w:r w:rsidRPr="4182FB97">
        <w:rPr>
          <w:rFonts w:eastAsia="Times New Roman"/>
          <w:noProof/>
        </w:rPr>
        <w:t xml:space="preserve">In case of not meeting technical requirements or potential impacts on the security of the electricity grid due to insufficient capacity, grid connection may </w:t>
      </w:r>
      <w:r w:rsidRPr="4182FB97">
        <w:rPr>
          <w:rFonts w:eastAsia="Times New Roman"/>
          <w:noProof/>
        </w:rPr>
        <w:lastRenderedPageBreak/>
        <w:t>be refused.</w:t>
      </w:r>
      <w:r>
        <w:rPr>
          <w:rFonts w:eastAsia="Times New Roman"/>
          <w:noProof/>
        </w:rPr>
        <w:t xml:space="preserve"> </w:t>
      </w:r>
      <w:r w:rsidRPr="4182FB97">
        <w:rPr>
          <w:rFonts w:eastAsia="Times New Roman"/>
          <w:noProof/>
        </w:rPr>
        <w:t>For example, in 2024 in Spain</w:t>
      </w:r>
      <w:r>
        <w:rPr>
          <w:rFonts w:eastAsia="Times New Roman"/>
          <w:noProof/>
        </w:rPr>
        <w:t>,</w:t>
      </w:r>
      <w:r w:rsidRPr="4182FB97">
        <w:rPr>
          <w:rFonts w:eastAsia="Times New Roman"/>
          <w:noProof/>
        </w:rPr>
        <w:t xml:space="preserve"> 11 GW of connection requests coming from industry </w:t>
      </w:r>
      <w:r w:rsidRPr="42C97633">
        <w:rPr>
          <w:rFonts w:eastAsia="Times New Roman"/>
          <w:noProof/>
        </w:rPr>
        <w:t xml:space="preserve">were </w:t>
      </w:r>
      <w:r>
        <w:rPr>
          <w:rFonts w:eastAsia="Times New Roman"/>
          <w:noProof/>
        </w:rPr>
        <w:t>rejected</w:t>
      </w:r>
      <w:r w:rsidRPr="4182FB97">
        <w:rPr>
          <w:rFonts w:eastAsia="Times New Roman"/>
          <w:noProof/>
        </w:rPr>
        <w:t>.</w:t>
      </w:r>
      <w:r>
        <w:rPr>
          <w:rFonts w:eastAsia="Times New Roman"/>
          <w:noProof/>
        </w:rPr>
        <w:t xml:space="preserve"> </w:t>
      </w:r>
    </w:p>
    <w:p w14:paraId="7FE8F177" w14:textId="77777777" w:rsidR="00285741" w:rsidRDefault="00285741">
      <w:pPr>
        <w:spacing w:after="120"/>
        <w:rPr>
          <w:noProof/>
        </w:rPr>
      </w:pPr>
      <w:r w:rsidRPr="36F3E2E5">
        <w:rPr>
          <w:rFonts w:eastAsia="Times New Roman" w:cs="Times New Roman"/>
          <w:b/>
          <w:noProof/>
        </w:rPr>
        <w:t>Barriers to finance</w:t>
      </w:r>
      <w:r w:rsidRPr="36F3E2E5">
        <w:rPr>
          <w:rFonts w:eastAsia="Times New Roman" w:cs="Times New Roman"/>
          <w:noProof/>
        </w:rPr>
        <w:t>.</w:t>
      </w:r>
      <w:r>
        <w:rPr>
          <w:rFonts w:eastAsia="Times New Roman"/>
          <w:noProof/>
        </w:rPr>
        <w:t xml:space="preserve"> Multiple funds are available at the EU level (</w:t>
      </w:r>
      <w:r w:rsidRPr="0001374D">
        <w:rPr>
          <w:rFonts w:eastAsia="Times New Roman"/>
          <w:noProof/>
        </w:rPr>
        <w:t xml:space="preserve">e.g. the </w:t>
      </w:r>
      <w:r w:rsidRPr="00B867C9">
        <w:rPr>
          <w:rFonts w:eastAsia="Times New Roman"/>
          <w:noProof/>
        </w:rPr>
        <w:t xml:space="preserve">Recovery and Resilience Facility </w:t>
      </w:r>
      <w:r>
        <w:rPr>
          <w:rFonts w:eastAsia="Times New Roman"/>
          <w:noProof/>
        </w:rPr>
        <w:t>(</w:t>
      </w:r>
      <w:r w:rsidRPr="0001374D">
        <w:rPr>
          <w:rFonts w:eastAsia="Times New Roman"/>
          <w:noProof/>
        </w:rPr>
        <w:t>RRF</w:t>
      </w:r>
      <w:r>
        <w:rPr>
          <w:rFonts w:eastAsia="Times New Roman"/>
          <w:noProof/>
        </w:rPr>
        <w:t>)</w:t>
      </w:r>
      <w:r w:rsidRPr="0001374D">
        <w:rPr>
          <w:rFonts w:eastAsia="Times New Roman"/>
          <w:noProof/>
        </w:rPr>
        <w:t>, InvestEU, the Innovation Fund, Horizon Europe</w:t>
      </w:r>
      <w:r>
        <w:rPr>
          <w:rFonts w:eastAsia="Times New Roman"/>
          <w:noProof/>
        </w:rPr>
        <w:t xml:space="preserve">, </w:t>
      </w:r>
      <w:r w:rsidRPr="0001374D">
        <w:rPr>
          <w:rFonts w:eastAsia="Times New Roman"/>
          <w:noProof/>
        </w:rPr>
        <w:t xml:space="preserve">the </w:t>
      </w:r>
      <w:r>
        <w:rPr>
          <w:rFonts w:eastAsia="Times New Roman"/>
          <w:noProof/>
        </w:rPr>
        <w:t xml:space="preserve">Research Fund for Coal and Steel, </w:t>
      </w:r>
      <w:r w:rsidRPr="0001374D">
        <w:rPr>
          <w:rFonts w:eastAsia="Times New Roman"/>
          <w:noProof/>
        </w:rPr>
        <w:t>the Modernisation Fund, the LIFE programme, and the Social Climate Fund)</w:t>
      </w:r>
      <w:r>
        <w:rPr>
          <w:rFonts w:eastAsia="Times New Roman"/>
          <w:noProof/>
        </w:rPr>
        <w:t>.</w:t>
      </w:r>
      <w:r w:rsidRPr="05B3AE10" w:rsidDel="006A5CC7">
        <w:rPr>
          <w:rFonts w:eastAsia="Times New Roman"/>
          <w:noProof/>
        </w:rPr>
        <w:t xml:space="preserve"> </w:t>
      </w:r>
      <w:r>
        <w:rPr>
          <w:rFonts w:eastAsia="Times New Roman"/>
          <w:noProof/>
        </w:rPr>
        <w:t>P</w:t>
      </w:r>
      <w:r w:rsidRPr="05B3AE10">
        <w:rPr>
          <w:rFonts w:eastAsia="Times New Roman"/>
          <w:noProof/>
        </w:rPr>
        <w:t>rogrammes like InvestEU have played an important role in mobilising private capital and de-risking investments in decarbonisation projects</w:t>
      </w:r>
      <w:r>
        <w:rPr>
          <w:rFonts w:eastAsia="Times New Roman"/>
          <w:noProof/>
        </w:rPr>
        <w:t>.</w:t>
      </w:r>
      <w:r w:rsidRPr="05B3AE10">
        <w:rPr>
          <w:rFonts w:eastAsia="Times New Roman"/>
          <w:noProof/>
        </w:rPr>
        <w:t xml:space="preserve"> </w:t>
      </w:r>
      <w:r>
        <w:rPr>
          <w:rFonts w:eastAsia="Times New Roman"/>
          <w:noProof/>
        </w:rPr>
        <w:t xml:space="preserve">However, </w:t>
      </w:r>
      <w:r w:rsidRPr="00086F60">
        <w:rPr>
          <w:rFonts w:eastAsia="Times New Roman"/>
          <w:noProof/>
        </w:rPr>
        <w:t>the broader EU funding landscape remains complex</w:t>
      </w:r>
      <w:r w:rsidRPr="00086F60">
        <w:rPr>
          <w:noProof/>
        </w:rPr>
        <w:t xml:space="preserve"> to access</w:t>
      </w:r>
      <w:r>
        <w:rPr>
          <w:rFonts w:eastAsia="Times New Roman"/>
          <w:noProof/>
        </w:rPr>
        <w:t xml:space="preserve"> and </w:t>
      </w:r>
      <w:r w:rsidRPr="00086F60">
        <w:rPr>
          <w:rFonts w:eastAsia="Times New Roman"/>
          <w:noProof/>
        </w:rPr>
        <w:t>fragmented</w:t>
      </w:r>
      <w:r w:rsidRPr="00086F60">
        <w:rPr>
          <w:noProof/>
        </w:rPr>
        <w:t>.</w:t>
      </w:r>
      <w:r>
        <w:rPr>
          <w:noProof/>
        </w:rPr>
        <w:t xml:space="preserve"> Under directly EU managed funds, the Innovation Fund reinvests a portion of EU ETS revenues to support the decarbonisation efforts of the EIIs. However, applications meeting the funding criteria tend to exceed the number of projects funded by a considerable margin. At Member State level, only a limited amount of</w:t>
      </w:r>
      <w:r w:rsidRPr="00467004">
        <w:rPr>
          <w:noProof/>
        </w:rPr>
        <w:t xml:space="preserve"> ETS revenues </w:t>
      </w:r>
      <w:r>
        <w:rPr>
          <w:noProof/>
        </w:rPr>
        <w:t>is dedicated to investment in decarbonisation.</w:t>
      </w:r>
      <w:r>
        <w:rPr>
          <w:rStyle w:val="FootnoteReference"/>
          <w:noProof/>
        </w:rPr>
        <w:footnoteReference w:id="101"/>
      </w:r>
    </w:p>
    <w:p w14:paraId="26845240" w14:textId="7B4D0170" w:rsidR="00285741" w:rsidRPr="00E447EE" w:rsidRDefault="00285741">
      <w:pPr>
        <w:spacing w:after="120"/>
        <w:rPr>
          <w:noProof/>
        </w:rPr>
      </w:pPr>
      <w:r>
        <w:rPr>
          <w:rFonts w:eastAsia="Times New Roman"/>
          <w:noProof/>
        </w:rPr>
        <w:t xml:space="preserve">Beyond grid access and access to finance, industries </w:t>
      </w:r>
      <w:r w:rsidRPr="003936CD">
        <w:rPr>
          <w:rFonts w:eastAsia="Times New Roman"/>
          <w:noProof/>
        </w:rPr>
        <w:t xml:space="preserve">also face increasing difficulty in </w:t>
      </w:r>
      <w:r w:rsidRPr="00EB6B04">
        <w:rPr>
          <w:rFonts w:eastAsia="Times New Roman"/>
          <w:b/>
          <w:noProof/>
        </w:rPr>
        <w:t xml:space="preserve">accessing critical and other raw materials </w:t>
      </w:r>
      <w:r w:rsidRPr="003936CD">
        <w:rPr>
          <w:rFonts w:eastAsia="Times New Roman"/>
          <w:noProof/>
        </w:rPr>
        <w:t>at competitive prices</w:t>
      </w:r>
      <w:r>
        <w:rPr>
          <w:rFonts w:eastAsia="Times New Roman"/>
          <w:noProof/>
        </w:rPr>
        <w:t xml:space="preserve"> and/or quantities</w:t>
      </w:r>
      <w:r w:rsidRPr="003936CD">
        <w:rPr>
          <w:rFonts w:eastAsia="Times New Roman"/>
          <w:noProof/>
        </w:rPr>
        <w:t xml:space="preserve">. The rapid global race for clean-tech manufacturing has intensified demand for both primary and secondary raw materials, many of which are diverted to third countries offering higher prices or fewer export restrictions. This challenge is compounded by third countries increasingly using export controls to secure domestic supply most notably </w:t>
      </w:r>
      <w:r>
        <w:rPr>
          <w:rFonts w:eastAsia="Times New Roman"/>
          <w:noProof/>
        </w:rPr>
        <w:t xml:space="preserve">and recently </w:t>
      </w:r>
      <w:r w:rsidRPr="003936CD">
        <w:rPr>
          <w:rFonts w:eastAsia="Times New Roman"/>
          <w:noProof/>
        </w:rPr>
        <w:t>China</w:t>
      </w:r>
      <w:r>
        <w:rPr>
          <w:rStyle w:val="FootnoteReference"/>
          <w:rFonts w:eastAsia="Times New Roman"/>
          <w:noProof/>
        </w:rPr>
        <w:footnoteReference w:id="102"/>
      </w:r>
      <w:r w:rsidRPr="003936CD">
        <w:rPr>
          <w:rFonts w:eastAsia="Times New Roman"/>
          <w:noProof/>
        </w:rPr>
        <w:t xml:space="preserve">, which has recently </w:t>
      </w:r>
      <w:r>
        <w:rPr>
          <w:rFonts w:eastAsia="Times New Roman"/>
          <w:noProof/>
        </w:rPr>
        <w:t xml:space="preserve">added </w:t>
      </w:r>
      <w:r w:rsidRPr="003936CD">
        <w:rPr>
          <w:rFonts w:eastAsia="Times New Roman"/>
          <w:noProof/>
        </w:rPr>
        <w:t>restrict</w:t>
      </w:r>
      <w:r>
        <w:rPr>
          <w:rFonts w:eastAsia="Times New Roman"/>
          <w:noProof/>
        </w:rPr>
        <w:t>ions to</w:t>
      </w:r>
      <w:r w:rsidRPr="003936CD">
        <w:rPr>
          <w:rFonts w:eastAsia="Times New Roman"/>
          <w:noProof/>
        </w:rPr>
        <w:t xml:space="preserve"> exports </w:t>
      </w:r>
      <w:r>
        <w:rPr>
          <w:rFonts w:eastAsia="Times New Roman"/>
          <w:noProof/>
        </w:rPr>
        <w:t>which now also include</w:t>
      </w:r>
      <w:r w:rsidRPr="003936CD">
        <w:rPr>
          <w:rFonts w:eastAsia="Times New Roman"/>
          <w:noProof/>
        </w:rPr>
        <w:t xml:space="preserve"> rare earth elements and other inputs critical for magnet and clean-tech production. </w:t>
      </w:r>
      <w:r w:rsidRPr="00905F94">
        <w:rPr>
          <w:rFonts w:eastAsia="Times New Roman"/>
          <w:noProof/>
        </w:rPr>
        <w:t>At the same time, Europe faces the paradox of valuable secondary raw materials such as metal scrap being exported to third countries rather than reprocessed domestically, reducing availability for EU clean-tech and industrial producers</w:t>
      </w:r>
      <w:r w:rsidR="007252DC">
        <w:rPr>
          <w:rFonts w:eastAsia="Times New Roman"/>
          <w:noProof/>
        </w:rPr>
        <w:t>.</w:t>
      </w:r>
      <w:r>
        <w:rPr>
          <w:rStyle w:val="FootnoteReference"/>
          <w:rFonts w:eastAsia="Times New Roman"/>
          <w:noProof/>
        </w:rPr>
        <w:footnoteReference w:id="103"/>
      </w:r>
      <w:r>
        <w:rPr>
          <w:rFonts w:eastAsia="Times New Roman"/>
          <w:noProof/>
        </w:rPr>
        <w:t xml:space="preserve"> </w:t>
      </w:r>
      <w:r w:rsidRPr="003936CD">
        <w:rPr>
          <w:rFonts w:eastAsia="Times New Roman"/>
          <w:noProof/>
        </w:rPr>
        <w:t>These developments heighten input cost volatility and strategic uncertainty for EU industries.</w:t>
      </w:r>
    </w:p>
    <w:tbl>
      <w:tblPr>
        <w:tblStyle w:val="TableGrid"/>
        <w:tblW w:w="0" w:type="auto"/>
        <w:jc w:val="center"/>
        <w:tblInd w:w="0" w:type="dxa"/>
        <w:tblLayout w:type="fixed"/>
        <w:tblLook w:val="06A0" w:firstRow="1" w:lastRow="0" w:firstColumn="1" w:lastColumn="0" w:noHBand="1" w:noVBand="1"/>
      </w:tblPr>
      <w:tblGrid>
        <w:gridCol w:w="9014"/>
      </w:tblGrid>
      <w:tr w:rsidR="00285741" w:rsidRPr="00BE7E13" w14:paraId="60DC5083" w14:textId="77777777">
        <w:trPr>
          <w:trHeight w:val="300"/>
          <w:jc w:val="center"/>
        </w:trPr>
        <w:tc>
          <w:tcPr>
            <w:tcW w:w="9014" w:type="dxa"/>
            <w:tcBorders>
              <w:top w:val="single" w:sz="4" w:space="0" w:color="auto"/>
              <w:left w:val="single" w:sz="4" w:space="0" w:color="auto"/>
              <w:bottom w:val="single" w:sz="4" w:space="0" w:color="auto"/>
              <w:right w:val="single" w:sz="4" w:space="0" w:color="auto"/>
            </w:tcBorders>
          </w:tcPr>
          <w:p w14:paraId="3D542A02" w14:textId="77777777" w:rsidR="00285741" w:rsidRPr="00BE7E13" w:rsidRDefault="00285741">
            <w:pPr>
              <w:spacing w:after="120"/>
              <w:rPr>
                <w:b/>
                <w:noProof/>
              </w:rPr>
            </w:pPr>
            <w:r>
              <w:rPr>
                <w:noProof/>
              </w:rPr>
              <w:t xml:space="preserve">Respondents from the </w:t>
            </w:r>
            <w:r w:rsidRPr="6F6D9305">
              <w:rPr>
                <w:b/>
                <w:noProof/>
              </w:rPr>
              <w:t>Public Consultation</w:t>
            </w:r>
            <w:r>
              <w:rPr>
                <w:noProof/>
              </w:rPr>
              <w:t xml:space="preserve"> also identified permitting times for grid access as around 24 – 120 months, with the process sometimes taking much longer. Timeframes differ however by country and regions. Main issues identified, aside from lengthy timelines, were limited grid capacity, and legal timelines not being enforced or misaligned with reality on the ground.</w:t>
            </w:r>
          </w:p>
        </w:tc>
      </w:tr>
    </w:tbl>
    <w:p w14:paraId="7F099DDC" w14:textId="77777777" w:rsidR="00285741" w:rsidRDefault="00285741">
      <w:pPr>
        <w:rPr>
          <w:noProof/>
        </w:rPr>
      </w:pPr>
    </w:p>
    <w:p w14:paraId="2EF9ECD2" w14:textId="77777777" w:rsidR="00285741" w:rsidRDefault="00285741">
      <w:pPr>
        <w:keepNext/>
        <w:spacing w:after="120"/>
        <w:jc w:val="center"/>
        <w:rPr>
          <w:noProof/>
        </w:rPr>
      </w:pPr>
      <w:r>
        <w:rPr>
          <w:noProof/>
          <w:lang w:eastAsia="en-GB"/>
        </w:rPr>
        <w:lastRenderedPageBreak/>
        <w:drawing>
          <wp:inline distT="0" distB="0" distL="0" distR="0" wp14:anchorId="07510D13" wp14:editId="4B6F44C7">
            <wp:extent cx="5030275" cy="2598900"/>
            <wp:effectExtent l="0" t="0" r="0" b="0"/>
            <wp:docPr id="12697495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49590" name="drawing"/>
                    <pic:cNvPicPr/>
                  </pic:nvPicPr>
                  <pic:blipFill>
                    <a:blip r:embed="rId20">
                      <a:extLst>
                        <a:ext uri="{28A0092B-C50C-407E-A947-70E740481C1C}">
                          <a14:useLocalDpi xmlns:a14="http://schemas.microsoft.com/office/drawing/2010/main" val="0"/>
                        </a:ext>
                      </a:extLst>
                    </a:blip>
                    <a:srcRect l="90" r="90"/>
                    <a:stretch>
                      <a:fillRect/>
                    </a:stretch>
                  </pic:blipFill>
                  <pic:spPr bwMode="auto">
                    <a:xfrm>
                      <a:off x="0" y="0"/>
                      <a:ext cx="5030275" cy="2598900"/>
                    </a:xfrm>
                    <a:prstGeom prst="rect">
                      <a:avLst/>
                    </a:prstGeom>
                    <a:ln>
                      <a:noFill/>
                    </a:ln>
                    <a:extLst>
                      <a:ext uri="{53640926-AAD7-44D8-BBD7-CCE9431645EC}">
                        <a14:shadowObscured xmlns:a14="http://schemas.microsoft.com/office/drawing/2010/main"/>
                      </a:ext>
                    </a:extLst>
                  </pic:spPr>
                </pic:pic>
              </a:graphicData>
            </a:graphic>
          </wp:inline>
        </w:drawing>
      </w:r>
    </w:p>
    <w:p w14:paraId="44FEFD58" w14:textId="22144691" w:rsidR="00285741" w:rsidRPr="00723D7F" w:rsidRDefault="00285741">
      <w:pPr>
        <w:keepNext/>
        <w:spacing w:after="120"/>
        <w:jc w:val="center"/>
        <w:rPr>
          <w:noProof/>
        </w:rPr>
      </w:pPr>
      <w:r w:rsidRPr="00B42F7A">
        <w:rPr>
          <w:i/>
          <w:noProof/>
          <w:sz w:val="20"/>
          <w:szCs w:val="20"/>
        </w:rPr>
        <w:t xml:space="preserve">Figure </w:t>
      </w:r>
      <w:r w:rsidRPr="00B42F7A">
        <w:rPr>
          <w:i/>
          <w:noProof/>
          <w:sz w:val="20"/>
          <w:szCs w:val="20"/>
        </w:rPr>
        <w:fldChar w:fldCharType="begin"/>
      </w:r>
      <w:r w:rsidRPr="007A4635">
        <w:rPr>
          <w:noProof/>
        </w:rPr>
        <w:instrText xml:space="preserve"> SEQ Figure \* ARABIC </w:instrText>
      </w:r>
      <w:r w:rsidRPr="00B42F7A">
        <w:rPr>
          <w:i/>
          <w:noProof/>
          <w:sz w:val="20"/>
          <w:szCs w:val="20"/>
        </w:rPr>
        <w:fldChar w:fldCharType="separate"/>
      </w:r>
      <w:r w:rsidR="00E16D65">
        <w:rPr>
          <w:noProof/>
        </w:rPr>
        <w:t>3</w:t>
      </w:r>
      <w:r w:rsidRPr="00B42F7A">
        <w:rPr>
          <w:i/>
          <w:noProof/>
          <w:sz w:val="20"/>
          <w:szCs w:val="20"/>
        </w:rPr>
        <w:fldChar w:fldCharType="end"/>
      </w:r>
      <w:r w:rsidRPr="00B42F7A">
        <w:rPr>
          <w:i/>
          <w:noProof/>
          <w:sz w:val="20"/>
          <w:szCs w:val="20"/>
        </w:rPr>
        <w:t>: Problem tree</w:t>
      </w:r>
    </w:p>
    <w:p w14:paraId="0549F6A2" w14:textId="77777777" w:rsidR="00285741" w:rsidRPr="00310056" w:rsidRDefault="00285741" w:rsidP="00285741">
      <w:pPr>
        <w:pStyle w:val="Heading2"/>
        <w:keepLines w:val="0"/>
        <w:numPr>
          <w:ilvl w:val="1"/>
          <w:numId w:val="64"/>
        </w:numPr>
        <w:tabs>
          <w:tab w:val="num" w:pos="1855"/>
        </w:tabs>
        <w:spacing w:after="120"/>
        <w:ind w:left="1287" w:hanging="720"/>
      </w:pPr>
      <w:bookmarkStart w:id="26" w:name="_Toc211984389"/>
      <w:bookmarkStart w:id="27" w:name="_Toc222489974"/>
      <w:r w:rsidRPr="00310056">
        <w:t>How likely is the problem to persist?</w:t>
      </w:r>
      <w:bookmarkEnd w:id="26"/>
      <w:bookmarkEnd w:id="27"/>
    </w:p>
    <w:p w14:paraId="01875A48" w14:textId="77777777" w:rsidR="00285741" w:rsidRDefault="00285741">
      <w:pPr>
        <w:spacing w:after="120"/>
        <w:rPr>
          <w:noProof/>
        </w:rPr>
      </w:pPr>
      <w:r>
        <w:rPr>
          <w:noProof/>
        </w:rPr>
        <w:t>The need to decarbonise industrial manufacturing and to improve</w:t>
      </w:r>
      <w:r w:rsidDel="008B0DB2">
        <w:rPr>
          <w:noProof/>
        </w:rPr>
        <w:t xml:space="preserve"> </w:t>
      </w:r>
      <w:r>
        <w:rPr>
          <w:noProof/>
        </w:rPr>
        <w:t>its competitiveness will remain a high priority for the EU and</w:t>
      </w:r>
      <w:r w:rsidRPr="00A11DF2">
        <w:rPr>
          <w:noProof/>
        </w:rPr>
        <w:t xml:space="preserve"> is also highlighted in the 2025 Strategic Foresight Report</w:t>
      </w:r>
      <w:r w:rsidRPr="00A11DF2">
        <w:rPr>
          <w:rStyle w:val="FootnoteReference"/>
          <w:noProof/>
        </w:rPr>
        <w:footnoteReference w:id="104"/>
      </w:r>
      <w:r w:rsidRPr="00A11DF2">
        <w:rPr>
          <w:noProof/>
        </w:rPr>
        <w:t xml:space="preserve">, which stresses that Europe’s resilience and prosperity depend on accelerating industrial transformation while safeguarding competitiveness and strategic autonomy. </w:t>
      </w:r>
    </w:p>
    <w:p w14:paraId="409F1CD3" w14:textId="77777777" w:rsidR="00285741" w:rsidRDefault="00285741">
      <w:pPr>
        <w:spacing w:after="120"/>
        <w:rPr>
          <w:noProof/>
        </w:rPr>
      </w:pPr>
      <w:r w:rsidRPr="00E92954">
        <w:rPr>
          <w:noProof/>
        </w:rPr>
        <w:t>The EU ETS</w:t>
      </w:r>
      <w:r>
        <w:rPr>
          <w:noProof/>
        </w:rPr>
        <w:t>, including its planned review in 2026,</w:t>
      </w:r>
      <w:r w:rsidRPr="00E92954">
        <w:rPr>
          <w:noProof/>
        </w:rPr>
        <w:t xml:space="preserve"> provide</w:t>
      </w:r>
      <w:r>
        <w:rPr>
          <w:noProof/>
        </w:rPr>
        <w:t>s</w:t>
      </w:r>
      <w:r w:rsidRPr="00E92954">
        <w:rPr>
          <w:noProof/>
        </w:rPr>
        <w:t xml:space="preserve"> incentives to decarbonise, but it will not be sufficient on its own to fully unlock the investments in low-carbon technologies</w:t>
      </w:r>
      <w:r>
        <w:rPr>
          <w:noProof/>
        </w:rPr>
        <w:t>. Investments are slowed down due to an</w:t>
      </w:r>
      <w:r w:rsidRPr="00E92954">
        <w:rPr>
          <w:noProof/>
        </w:rPr>
        <w:t xml:space="preserve"> ETS price not </w:t>
      </w:r>
      <w:r>
        <w:rPr>
          <w:noProof/>
        </w:rPr>
        <w:t xml:space="preserve">sufficiently </w:t>
      </w:r>
      <w:r w:rsidRPr="00E92954">
        <w:rPr>
          <w:noProof/>
        </w:rPr>
        <w:t>high</w:t>
      </w:r>
      <w:r>
        <w:rPr>
          <w:noProof/>
        </w:rPr>
        <w:t>, and</w:t>
      </w:r>
      <w:r w:rsidRPr="00E92954">
        <w:rPr>
          <w:noProof/>
        </w:rPr>
        <w:t xml:space="preserve"> key barriers such as permitting bottlenecks</w:t>
      </w:r>
      <w:r>
        <w:rPr>
          <w:noProof/>
        </w:rPr>
        <w:t xml:space="preserve"> and too high capital and operational costs.</w:t>
      </w:r>
      <w:r w:rsidRPr="00E92954">
        <w:rPr>
          <w:noProof/>
        </w:rPr>
        <w:t xml:space="preserve"> Today, the carbon price </w:t>
      </w:r>
      <w:r>
        <w:rPr>
          <w:noProof/>
        </w:rPr>
        <w:t>ranges between 70-</w:t>
      </w:r>
      <w:r w:rsidRPr="00E92954">
        <w:rPr>
          <w:noProof/>
        </w:rPr>
        <w:t>80 EUR/ton</w:t>
      </w:r>
      <w:r>
        <w:rPr>
          <w:noProof/>
        </w:rPr>
        <w:t>ne</w:t>
      </w:r>
      <w:r w:rsidRPr="00E92954">
        <w:rPr>
          <w:noProof/>
        </w:rPr>
        <w:t xml:space="preserve">, while </w:t>
      </w:r>
      <w:r>
        <w:rPr>
          <w:noProof/>
        </w:rPr>
        <w:t>studies point</w:t>
      </w:r>
      <w:r w:rsidRPr="00E92954">
        <w:rPr>
          <w:noProof/>
        </w:rPr>
        <w:t xml:space="preserve"> </w:t>
      </w:r>
      <w:r>
        <w:rPr>
          <w:noProof/>
        </w:rPr>
        <w:t xml:space="preserve">at </w:t>
      </w:r>
      <w:r w:rsidRPr="00E92954">
        <w:rPr>
          <w:noProof/>
        </w:rPr>
        <w:t>a</w:t>
      </w:r>
      <w:r>
        <w:rPr>
          <w:noProof/>
        </w:rPr>
        <w:t xml:space="preserve"> much higher </w:t>
      </w:r>
      <w:r w:rsidRPr="00E92954">
        <w:rPr>
          <w:noProof/>
        </w:rPr>
        <w:t>price</w:t>
      </w:r>
      <w:r>
        <w:rPr>
          <w:noProof/>
        </w:rPr>
        <w:t xml:space="preserve"> </w:t>
      </w:r>
      <w:r w:rsidRPr="00E92954">
        <w:rPr>
          <w:noProof/>
        </w:rPr>
        <w:t xml:space="preserve">to make investments </w:t>
      </w:r>
      <w:r>
        <w:rPr>
          <w:noProof/>
        </w:rPr>
        <w:t xml:space="preserve">in low-carbon technologies </w:t>
      </w:r>
      <w:r w:rsidRPr="00E92954">
        <w:rPr>
          <w:noProof/>
        </w:rPr>
        <w:t>commercially viable.</w:t>
      </w:r>
      <w:r>
        <w:rPr>
          <w:rStyle w:val="FootnoteReference"/>
          <w:noProof/>
        </w:rPr>
        <w:footnoteReference w:id="105"/>
      </w:r>
      <w:r>
        <w:rPr>
          <w:noProof/>
        </w:rPr>
        <w:t xml:space="preserve"> </w:t>
      </w:r>
    </w:p>
    <w:p w14:paraId="3321ABFD" w14:textId="77777777" w:rsidR="00285741" w:rsidRDefault="00285741">
      <w:pPr>
        <w:spacing w:after="120"/>
        <w:rPr>
          <w:noProof/>
        </w:rPr>
      </w:pPr>
      <w:r>
        <w:rPr>
          <w:noProof/>
        </w:rPr>
        <w:t>Over time, decarbonisation technologies like clean hydrogen,</w:t>
      </w:r>
      <w:r w:rsidRPr="00CF1E18">
        <w:rPr>
          <w:noProof/>
        </w:rPr>
        <w:t xml:space="preserve"> electrification of high-temperature processes</w:t>
      </w:r>
      <w:r>
        <w:rPr>
          <w:noProof/>
        </w:rPr>
        <w:t xml:space="preserve"> or CC(U)S are expected to become more cost-effective</w:t>
      </w:r>
      <w:r>
        <w:rPr>
          <w:rStyle w:val="FootnoteReference"/>
          <w:noProof/>
        </w:rPr>
        <w:footnoteReference w:id="106"/>
      </w:r>
      <w:r>
        <w:rPr>
          <w:noProof/>
        </w:rPr>
        <w:t>, especially as the EU ETS tightens, strengthening the incentive to decarbonise. However, in the short-to-medium term, the pace of decarbonisation remains too slow, driven by factors such as financing gaps, lack of incentives, permitting delays, infrastructure deficits, slow technology adoption, and a shortage of skilled workers. The price signal alone will not be sufficient to address on its own all the above drivers. At the international level,</w:t>
      </w:r>
      <w:r w:rsidRPr="09CA0190">
        <w:rPr>
          <w:rFonts w:eastAsia="Times New Roman" w:cs="Times New Roman"/>
          <w:noProof/>
        </w:rPr>
        <w:t xml:space="preserve"> competitors to EU EIIs are not subject to equivalent carbon pricing measures, making the risk of carbon and investment leakage likelier to materialise. </w:t>
      </w:r>
      <w:r>
        <w:rPr>
          <w:rFonts w:eastAsia="Times New Roman" w:cs="Times New Roman"/>
          <w:noProof/>
        </w:rPr>
        <w:t>The CBAM and its review should help alleviate some of these impacts, notably by addressing the risk of circumvention. However, u</w:t>
      </w:r>
      <w:r>
        <w:rPr>
          <w:noProof/>
        </w:rPr>
        <w:t xml:space="preserve">ntil low-carbon technologies and products reach cost parity with conventional alternatives, the problem is likely to remain. </w:t>
      </w:r>
    </w:p>
    <w:p w14:paraId="2DCFC5FA" w14:textId="6072DA93" w:rsidR="00285741" w:rsidRPr="00EB6B04" w:rsidRDefault="00285741">
      <w:pPr>
        <w:spacing w:after="120"/>
        <w:rPr>
          <w:noProof/>
        </w:rPr>
      </w:pPr>
      <w:r w:rsidRPr="00E92954">
        <w:rPr>
          <w:noProof/>
        </w:rPr>
        <w:t>Without additional policy measures to foster a competitive market for decarbonis</w:t>
      </w:r>
      <w:r>
        <w:rPr>
          <w:noProof/>
        </w:rPr>
        <w:t>ed industrial products</w:t>
      </w:r>
      <w:r w:rsidRPr="00E92954">
        <w:rPr>
          <w:noProof/>
        </w:rPr>
        <w:t xml:space="preserve"> now, the EU risks losing strategic manufacturing sectors that are critical for its resilience and economic security</w:t>
      </w:r>
      <w:r>
        <w:rPr>
          <w:noProof/>
        </w:rPr>
        <w:t xml:space="preserve">. </w:t>
      </w:r>
      <w:r w:rsidRPr="00E92954">
        <w:rPr>
          <w:noProof/>
        </w:rPr>
        <w:t xml:space="preserve">In other words, while emissions abatement might be achieved and climate targets met, these may result from reduced industrial output, rather than more </w:t>
      </w:r>
      <w:r w:rsidRPr="00E92954">
        <w:rPr>
          <w:noProof/>
        </w:rPr>
        <w:lastRenderedPageBreak/>
        <w:t>efficient technologies</w:t>
      </w:r>
      <w:r>
        <w:rPr>
          <w:noProof/>
        </w:rPr>
        <w:t xml:space="preserve">. This gap can be quantified by looking at the drivers of recent emissions trends. According to the </w:t>
      </w:r>
      <w:r w:rsidRPr="00226EE2">
        <w:rPr>
          <w:noProof/>
        </w:rPr>
        <w:t>C</w:t>
      </w:r>
      <w:r w:rsidRPr="00E447EE">
        <w:rPr>
          <w:noProof/>
        </w:rPr>
        <w:t>limate Action Progress Report 202</w:t>
      </w:r>
      <w:r w:rsidR="00537BD6">
        <w:rPr>
          <w:noProof/>
        </w:rPr>
        <w:t>5</w:t>
      </w:r>
      <w:r w:rsidRPr="00E447EE">
        <w:rPr>
          <w:noProof/>
        </w:rPr>
        <w:t>, the</w:t>
      </w:r>
      <w:r>
        <w:rPr>
          <w:noProof/>
        </w:rPr>
        <w:t xml:space="preserve"> </w:t>
      </w:r>
      <w:r w:rsidDel="0031252B">
        <w:rPr>
          <w:noProof/>
        </w:rPr>
        <w:t xml:space="preserve">EIIs </w:t>
      </w:r>
      <w:r w:rsidR="0031252B">
        <w:rPr>
          <w:noProof/>
        </w:rPr>
        <w:t xml:space="preserve">industrial production installations </w:t>
      </w:r>
      <w:r w:rsidR="00F671A5">
        <w:rPr>
          <w:noProof/>
        </w:rPr>
        <w:t>covered by the ETS</w:t>
      </w:r>
      <w:r w:rsidR="0031252B">
        <w:rPr>
          <w:noProof/>
        </w:rPr>
        <w:t xml:space="preserve"> </w:t>
      </w:r>
      <w:r>
        <w:rPr>
          <w:noProof/>
        </w:rPr>
        <w:t>reduced their GHG emissions</w:t>
      </w:r>
      <w:r w:rsidR="00DD0CA9">
        <w:rPr>
          <w:noProof/>
        </w:rPr>
        <w:t xml:space="preserve"> year on year</w:t>
      </w:r>
      <w:r>
        <w:rPr>
          <w:noProof/>
        </w:rPr>
        <w:t xml:space="preserve"> by</w:t>
      </w:r>
      <w:r w:rsidR="00805B53">
        <w:rPr>
          <w:noProof/>
        </w:rPr>
        <w:t xml:space="preserve"> 6.4% in 2022,</w:t>
      </w:r>
      <w:r>
        <w:rPr>
          <w:noProof/>
        </w:rPr>
        <w:t xml:space="preserve"> </w:t>
      </w:r>
      <w:r w:rsidRPr="003D756B">
        <w:rPr>
          <w:noProof/>
        </w:rPr>
        <w:t>7.5%</w:t>
      </w:r>
      <w:r w:rsidR="00805B53">
        <w:rPr>
          <w:noProof/>
        </w:rPr>
        <w:t xml:space="preserve"> </w:t>
      </w:r>
      <w:r>
        <w:rPr>
          <w:noProof/>
        </w:rPr>
        <w:t xml:space="preserve">in 2023 </w:t>
      </w:r>
      <w:r w:rsidR="004E4DF8">
        <w:rPr>
          <w:noProof/>
        </w:rPr>
        <w:t>and 0.8% in 2024</w:t>
      </w:r>
      <w:r>
        <w:rPr>
          <w:noProof/>
        </w:rPr>
        <w:t xml:space="preserve">, </w:t>
      </w:r>
      <w:r w:rsidRPr="003D756B">
        <w:rPr>
          <w:noProof/>
        </w:rPr>
        <w:t>due to a combination of a reduced output and efficiency gains</w:t>
      </w:r>
      <w:r>
        <w:rPr>
          <w:noProof/>
        </w:rPr>
        <w:t>.</w:t>
      </w:r>
      <w:r>
        <w:rPr>
          <w:rStyle w:val="FootnoteReference"/>
          <w:noProof/>
        </w:rPr>
        <w:footnoteReference w:id="107"/>
      </w:r>
      <w:r w:rsidRPr="00E447EE">
        <w:rPr>
          <w:noProof/>
        </w:rPr>
        <w:t xml:space="preserve"> Zooming </w:t>
      </w:r>
      <w:r>
        <w:rPr>
          <w:noProof/>
        </w:rPr>
        <w:t>in</w:t>
      </w:r>
      <w:r w:rsidRPr="00E447EE">
        <w:rPr>
          <w:noProof/>
        </w:rPr>
        <w:t xml:space="preserve"> on the specific iron and steel case, </w:t>
      </w:r>
      <w:r w:rsidRPr="00A46127">
        <w:rPr>
          <w:noProof/>
          <w:szCs w:val="24"/>
        </w:rPr>
        <w:fldChar w:fldCharType="begin"/>
      </w:r>
      <w:r w:rsidRPr="00A46127">
        <w:rPr>
          <w:noProof/>
          <w:szCs w:val="24"/>
        </w:rPr>
        <w:instrText xml:space="preserve"> REF _Ref212376359 \h </w:instrText>
      </w:r>
      <w:r>
        <w:rPr>
          <w:noProof/>
          <w:szCs w:val="24"/>
        </w:rPr>
        <w:instrText xml:space="preserve"> \* MERGEFORMAT </w:instrText>
      </w:r>
      <w:r w:rsidRPr="00A46127">
        <w:rPr>
          <w:noProof/>
          <w:szCs w:val="24"/>
        </w:rPr>
      </w:r>
      <w:r w:rsidRPr="00A46127">
        <w:rPr>
          <w:noProof/>
          <w:szCs w:val="24"/>
        </w:rPr>
        <w:fldChar w:fldCharType="separate"/>
      </w:r>
      <w:r w:rsidR="00E16D65" w:rsidRPr="00E16D65">
        <w:rPr>
          <w:noProof/>
        </w:rPr>
        <w:t>Figure 4</w:t>
      </w:r>
      <w:r w:rsidRPr="00A46127">
        <w:rPr>
          <w:noProof/>
          <w:szCs w:val="24"/>
        </w:rPr>
        <w:fldChar w:fldCharType="end"/>
      </w:r>
      <w:r w:rsidRPr="00E447EE">
        <w:rPr>
          <w:noProof/>
        </w:rPr>
        <w:t xml:space="preserve"> shows that over the past six years the emissions reduction was mainly driven by changes in the production activity level, rather than </w:t>
      </w:r>
      <w:r w:rsidRPr="000272AD">
        <w:rPr>
          <w:noProof/>
        </w:rPr>
        <w:t>in emission intensity.</w:t>
      </w:r>
      <w:r w:rsidRPr="000272AD">
        <w:rPr>
          <w:rStyle w:val="FootnoteReference"/>
          <w:noProof/>
        </w:rPr>
        <w:footnoteReference w:id="108"/>
      </w:r>
      <w:r w:rsidR="00F95E65">
        <w:rPr>
          <w:noProof/>
        </w:rPr>
        <w:t xml:space="preserve"> </w:t>
      </w:r>
    </w:p>
    <w:p w14:paraId="16EAE316" w14:textId="77777777" w:rsidR="00285741" w:rsidRDefault="00285741">
      <w:pPr>
        <w:keepNext/>
        <w:jc w:val="center"/>
        <w:rPr>
          <w:noProof/>
        </w:rPr>
      </w:pPr>
      <w:r w:rsidRPr="000272AD">
        <w:rPr>
          <w:noProof/>
          <w:u w:val="single"/>
          <w:lang w:eastAsia="en-GB"/>
        </w:rPr>
        <w:drawing>
          <wp:inline distT="0" distB="0" distL="0" distR="0" wp14:anchorId="06AE6CF3" wp14:editId="6C9653E8">
            <wp:extent cx="5724000" cy="2546858"/>
            <wp:effectExtent l="0" t="0" r="0" b="6350"/>
            <wp:docPr id="20017327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32771" name="Picture 2"/>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724000" cy="2546858"/>
                    </a:xfrm>
                    <a:prstGeom prst="rect">
                      <a:avLst/>
                    </a:prstGeom>
                    <a:noFill/>
                  </pic:spPr>
                </pic:pic>
              </a:graphicData>
            </a:graphic>
          </wp:inline>
        </w:drawing>
      </w:r>
    </w:p>
    <w:p w14:paraId="4C167F9C" w14:textId="652D6BE6" w:rsidR="00285741" w:rsidRPr="009946AD" w:rsidRDefault="00285741">
      <w:pPr>
        <w:pStyle w:val="Caption"/>
        <w:jc w:val="center"/>
        <w:rPr>
          <w:noProof/>
          <w:sz w:val="20"/>
          <w:szCs w:val="20"/>
          <w:u w:val="single"/>
        </w:rPr>
      </w:pPr>
      <w:bookmarkStart w:id="28" w:name="_Ref212376359"/>
      <w:bookmarkStart w:id="29" w:name="_Ref212376350"/>
      <w:r w:rsidRPr="00B42F7A">
        <w:rPr>
          <w:noProof/>
          <w:sz w:val="20"/>
          <w:szCs w:val="20"/>
        </w:rPr>
        <w:t xml:space="preserve">Figure </w:t>
      </w:r>
      <w:r w:rsidRPr="00B42F7A">
        <w:rPr>
          <w:noProof/>
          <w:sz w:val="20"/>
          <w:szCs w:val="20"/>
        </w:rPr>
        <w:fldChar w:fldCharType="begin"/>
      </w:r>
      <w:r w:rsidRPr="007A4635">
        <w:rPr>
          <w:noProof/>
          <w:sz w:val="20"/>
          <w:szCs w:val="20"/>
        </w:rPr>
        <w:instrText xml:space="preserve"> SEQ Figure \* ARABIC </w:instrText>
      </w:r>
      <w:r w:rsidRPr="00B42F7A">
        <w:rPr>
          <w:noProof/>
          <w:sz w:val="20"/>
          <w:szCs w:val="20"/>
        </w:rPr>
        <w:fldChar w:fldCharType="separate"/>
      </w:r>
      <w:r w:rsidR="00E16D65">
        <w:rPr>
          <w:noProof/>
          <w:sz w:val="20"/>
          <w:szCs w:val="20"/>
        </w:rPr>
        <w:t>4</w:t>
      </w:r>
      <w:r w:rsidRPr="00B42F7A">
        <w:rPr>
          <w:noProof/>
          <w:sz w:val="20"/>
          <w:szCs w:val="20"/>
        </w:rPr>
        <w:fldChar w:fldCharType="end"/>
      </w:r>
      <w:bookmarkEnd w:id="28"/>
      <w:r w:rsidRPr="00B42F7A">
        <w:rPr>
          <w:noProof/>
          <w:sz w:val="20"/>
          <w:szCs w:val="20"/>
        </w:rPr>
        <w:t xml:space="preserve">: Iron and Steel: EU GHG Emissions </w:t>
      </w:r>
      <w:r w:rsidRPr="009946AD">
        <w:rPr>
          <w:noProof/>
          <w:sz w:val="20"/>
          <w:szCs w:val="20"/>
        </w:rPr>
        <w:t>drivers 20</w:t>
      </w:r>
      <w:r>
        <w:rPr>
          <w:noProof/>
          <w:sz w:val="20"/>
          <w:szCs w:val="20"/>
        </w:rPr>
        <w:t>1</w:t>
      </w:r>
      <w:r w:rsidRPr="009946AD">
        <w:rPr>
          <w:noProof/>
          <w:sz w:val="20"/>
          <w:szCs w:val="20"/>
        </w:rPr>
        <w:t>8-2024 (ktCO</w:t>
      </w:r>
      <w:r w:rsidRPr="009946AD">
        <w:rPr>
          <w:noProof/>
          <w:sz w:val="20"/>
          <w:szCs w:val="20"/>
          <w:vertAlign w:val="subscript"/>
        </w:rPr>
        <w:t>2</w:t>
      </w:r>
      <w:r w:rsidRPr="009946AD">
        <w:rPr>
          <w:noProof/>
          <w:sz w:val="20"/>
          <w:szCs w:val="20"/>
        </w:rPr>
        <w:t>), European Commission JRC analysis</w:t>
      </w:r>
      <w:bookmarkEnd w:id="29"/>
    </w:p>
    <w:p w14:paraId="162A5B7E" w14:textId="77777777" w:rsidR="00285741" w:rsidRPr="00D10CD5" w:rsidRDefault="00285741">
      <w:pPr>
        <w:spacing w:before="240" w:after="120"/>
        <w:rPr>
          <w:noProof/>
        </w:rPr>
      </w:pPr>
      <w:r>
        <w:rPr>
          <w:noProof/>
        </w:rPr>
        <w:t xml:space="preserve">Past trends combined with recent announcement of projects being stopped, indicate that </w:t>
      </w:r>
      <w:r w:rsidRPr="00940019">
        <w:rPr>
          <w:noProof/>
        </w:rPr>
        <w:t>strategic sectors could face further decline, ultimately undermining the EU’s long-term economic growth, technological innovation, and resilience. I</w:t>
      </w:r>
      <w:r>
        <w:rPr>
          <w:noProof/>
        </w:rPr>
        <w:t xml:space="preserve">n </w:t>
      </w:r>
      <w:r w:rsidRPr="00940019">
        <w:rPr>
          <w:noProof/>
        </w:rPr>
        <w:t>strategic sectors</w:t>
      </w:r>
      <w:r>
        <w:rPr>
          <w:noProof/>
        </w:rPr>
        <w:t xml:space="preserve">, </w:t>
      </w:r>
      <w:r w:rsidRPr="00940019">
        <w:rPr>
          <w:noProof/>
        </w:rPr>
        <w:t>this could also lead to greater dependencies. </w:t>
      </w:r>
    </w:p>
    <w:p w14:paraId="72049FC0" w14:textId="77777777" w:rsidR="00285741" w:rsidRDefault="00285741" w:rsidP="0070289B">
      <w:pPr>
        <w:spacing w:after="120"/>
        <w:rPr>
          <w:noProof/>
        </w:rPr>
      </w:pPr>
      <w:r>
        <w:rPr>
          <w:noProof/>
        </w:rPr>
        <w:t xml:space="preserve">On the demand side, </w:t>
      </w:r>
      <w:r w:rsidRPr="005608B1">
        <w:rPr>
          <w:noProof/>
        </w:rPr>
        <w:t xml:space="preserve">only a limited </w:t>
      </w:r>
      <w:r>
        <w:rPr>
          <w:noProof/>
        </w:rPr>
        <w:t>share</w:t>
      </w:r>
      <w:r w:rsidRPr="005608B1">
        <w:rPr>
          <w:noProof/>
        </w:rPr>
        <w:t xml:space="preserve"> of industrial buyers </w:t>
      </w:r>
      <w:r>
        <w:rPr>
          <w:noProof/>
        </w:rPr>
        <w:t>is</w:t>
      </w:r>
      <w:r w:rsidRPr="005608B1">
        <w:rPr>
          <w:noProof/>
        </w:rPr>
        <w:t xml:space="preserve"> </w:t>
      </w:r>
      <w:r>
        <w:rPr>
          <w:noProof/>
        </w:rPr>
        <w:t xml:space="preserve">currently </w:t>
      </w:r>
      <w:r w:rsidRPr="005608B1">
        <w:rPr>
          <w:noProof/>
        </w:rPr>
        <w:t xml:space="preserve">willing to pay </w:t>
      </w:r>
      <w:r>
        <w:rPr>
          <w:noProof/>
        </w:rPr>
        <w:t>a ‘green premium’ for energy-intensive materials. While some recent EU (product) policies address the environmental or energy performance of the product or building in scope, they do not systematically look into the value chain, nor go as far as setting minimum requirements for the use of low-carbon materials in such products/ buildings.</w:t>
      </w:r>
      <w:r>
        <w:rPr>
          <w:rStyle w:val="FootnoteReference"/>
          <w:noProof/>
        </w:rPr>
        <w:footnoteReference w:id="109"/>
      </w:r>
      <w:r>
        <w:rPr>
          <w:noProof/>
        </w:rPr>
        <w:t xml:space="preserve"> The structural disadvantages companies face in Europe (e.g. higher energy prices or reliance of certain raw materials), combined with unfair global practices, will continue to put Europe at a systematic risk of overdependencies. </w:t>
      </w:r>
    </w:p>
    <w:p w14:paraId="367184AF" w14:textId="543D1302" w:rsidR="00285741" w:rsidRDefault="00285741">
      <w:pPr>
        <w:spacing w:after="120" w:line="259" w:lineRule="auto"/>
        <w:rPr>
          <w:noProof/>
        </w:rPr>
      </w:pPr>
      <w:r>
        <w:rPr>
          <w:noProof/>
        </w:rPr>
        <w:t>On public procurement, auctions and public support schemes, the NZIA has recently introduced resilience requirements for a range of clean-tech products. While this will decrease the dependencies from a single third country of supply, it will not be sufficient for these industries</w:t>
      </w:r>
      <w:r w:rsidRPr="00F43DAD">
        <w:rPr>
          <w:noProof/>
        </w:rPr>
        <w:t xml:space="preserve"> to </w:t>
      </w:r>
      <w:r>
        <w:rPr>
          <w:noProof/>
        </w:rPr>
        <w:t xml:space="preserve">ramp up at sufficient scale </w:t>
      </w:r>
      <w:r w:rsidRPr="00F43DAD">
        <w:rPr>
          <w:noProof/>
        </w:rPr>
        <w:t>to compete with already established foreign markets</w:t>
      </w:r>
      <w:r>
        <w:rPr>
          <w:noProof/>
        </w:rPr>
        <w:t xml:space="preserve"> and global overcapacities</w:t>
      </w:r>
      <w:r w:rsidRPr="00F43DAD">
        <w:rPr>
          <w:noProof/>
        </w:rPr>
        <w:t xml:space="preserve">. </w:t>
      </w:r>
      <w:r>
        <w:rPr>
          <w:noProof/>
        </w:rPr>
        <w:t xml:space="preserve">In fact, as regards solar PV systems and batteries, the risk exists that Chinese companies would be able to supply the European market through factories built outside of China, in other Southeast Asian markets, and thereby circumventing the rules put in place by NZIA. According to BloombergNEF, investments in solar PV already appear to be shifting </w:t>
      </w:r>
      <w:r>
        <w:rPr>
          <w:noProof/>
        </w:rPr>
        <w:lastRenderedPageBreak/>
        <w:t>away from China as domestic manufacturers are investing in factories abroad, also in response to the US tariffs and imports restrictions on China</w:t>
      </w:r>
      <w:r w:rsidR="00454322">
        <w:rPr>
          <w:noProof/>
        </w:rPr>
        <w:t>.</w:t>
      </w:r>
      <w:r>
        <w:rPr>
          <w:rStyle w:val="FootnoteReference"/>
          <w:noProof/>
        </w:rPr>
        <w:footnoteReference w:id="110"/>
      </w:r>
      <w:r>
        <w:rPr>
          <w:noProof/>
        </w:rPr>
        <w:t xml:space="preserve"> When it comes to batteries, Chinese companies have heavily invested in Indonesia and Morocco</w:t>
      </w:r>
      <w:r>
        <w:rPr>
          <w:rStyle w:val="FootnoteReference"/>
          <w:noProof/>
        </w:rPr>
        <w:footnoteReference w:id="111"/>
      </w:r>
      <w:r>
        <w:rPr>
          <w:noProof/>
        </w:rPr>
        <w:t xml:space="preserve">, while markets such as India, </w:t>
      </w:r>
      <w:r w:rsidRPr="008E65CB">
        <w:rPr>
          <w:noProof/>
        </w:rPr>
        <w:t xml:space="preserve">Türkiye </w:t>
      </w:r>
      <w:r>
        <w:rPr>
          <w:noProof/>
        </w:rPr>
        <w:t>and Brazil are leveraging tariffs to attract Chinese investment.</w:t>
      </w:r>
      <w:r>
        <w:rPr>
          <w:rStyle w:val="FootnoteReference"/>
          <w:noProof/>
        </w:rPr>
        <w:footnoteReference w:id="112"/>
      </w:r>
      <w:r w:rsidR="005B1E16">
        <w:rPr>
          <w:noProof/>
        </w:rPr>
        <w:t xml:space="preserve"> </w:t>
      </w:r>
    </w:p>
    <w:p w14:paraId="3BFBF1D6" w14:textId="77777777" w:rsidR="00285741" w:rsidRDefault="00285741" w:rsidP="0070289B">
      <w:pPr>
        <w:spacing w:after="120"/>
        <w:rPr>
          <w:noProof/>
        </w:rPr>
      </w:pPr>
      <w:r w:rsidRPr="000A1C27">
        <w:rPr>
          <w:noProof/>
        </w:rPr>
        <w:t xml:space="preserve">The challenges facing the EU’s clean tech sectors are structurally embedded and unlikely to resolve without </w:t>
      </w:r>
      <w:r>
        <w:rPr>
          <w:noProof/>
        </w:rPr>
        <w:t>targeted</w:t>
      </w:r>
      <w:r w:rsidRPr="000A1C27">
        <w:rPr>
          <w:noProof/>
        </w:rPr>
        <w:t xml:space="preserve"> intervention. Battery </w:t>
      </w:r>
      <w:r w:rsidRPr="00E447EE">
        <w:rPr>
          <w:noProof/>
        </w:rPr>
        <w:t>and PV</w:t>
      </w:r>
      <w:r>
        <w:rPr>
          <w:noProof/>
        </w:rPr>
        <w:t xml:space="preserve"> </w:t>
      </w:r>
      <w:r w:rsidRPr="000A1C27">
        <w:rPr>
          <w:noProof/>
        </w:rPr>
        <w:t>manufacturers located in the EU are caught in a strategic squeeze: on one side, they face fierce price competition from third-country producers</w:t>
      </w:r>
      <w:r w:rsidRPr="00842132">
        <w:rPr>
          <w:noProof/>
        </w:rPr>
        <w:t xml:space="preserve">. On the other side, these same countries control access to critical upstream components and </w:t>
      </w:r>
      <w:r w:rsidRPr="00C96604">
        <w:rPr>
          <w:noProof/>
        </w:rPr>
        <w:t>technologies</w:t>
      </w:r>
      <w:r>
        <w:rPr>
          <w:noProof/>
        </w:rPr>
        <w:t xml:space="preserve">, </w:t>
      </w:r>
      <w:r w:rsidRPr="00E0470A">
        <w:rPr>
          <w:noProof/>
        </w:rPr>
        <w:t>enabling them to restrict exports or inflate supply costs, further</w:t>
      </w:r>
      <w:r w:rsidRPr="00FF0E1D">
        <w:rPr>
          <w:noProof/>
        </w:rPr>
        <w:t xml:space="preserve"> undermining the competitiveness of EU manufacturers</w:t>
      </w:r>
      <w:r w:rsidRPr="00842132">
        <w:rPr>
          <w:noProof/>
        </w:rPr>
        <w:t xml:space="preserve">. </w:t>
      </w:r>
    </w:p>
    <w:p w14:paraId="4B79646D" w14:textId="77777777" w:rsidR="00285741" w:rsidRDefault="00285741">
      <w:pPr>
        <w:spacing w:after="120"/>
        <w:rPr>
          <w:noProof/>
        </w:rPr>
      </w:pPr>
      <w:r>
        <w:rPr>
          <w:noProof/>
        </w:rPr>
        <w:t xml:space="preserve">On vehicle components, data (as described in </w:t>
      </w:r>
      <w:r w:rsidRPr="00081915">
        <w:rPr>
          <w:noProof/>
        </w:rPr>
        <w:t>Annex 7 on sectoral analysis),</w:t>
      </w:r>
      <w:r>
        <w:rPr>
          <w:noProof/>
        </w:rPr>
        <w:t xml:space="preserve"> show an increase of delocalisation of production in the past few years, which is likely to persist over time unless mitigated by policy measures, as EU suppliers continue to</w:t>
      </w:r>
      <w:r w:rsidRPr="00A11DF2">
        <w:rPr>
          <w:noProof/>
        </w:rPr>
        <w:t xml:space="preserve"> fac</w:t>
      </w:r>
      <w:r>
        <w:rPr>
          <w:noProof/>
        </w:rPr>
        <w:t>e</w:t>
      </w:r>
      <w:r w:rsidRPr="00A11DF2">
        <w:rPr>
          <w:noProof/>
        </w:rPr>
        <w:t xml:space="preserve"> </w:t>
      </w:r>
      <w:r>
        <w:rPr>
          <w:noProof/>
        </w:rPr>
        <w:t xml:space="preserve">unfair competition. </w:t>
      </w:r>
    </w:p>
    <w:p w14:paraId="0B0E8098" w14:textId="62CB9DCE" w:rsidR="00285741" w:rsidRDefault="009626AB" w:rsidP="0070289B">
      <w:pPr>
        <w:spacing w:after="120"/>
        <w:rPr>
          <w:noProof/>
        </w:rPr>
      </w:pPr>
      <w:r w:rsidRPr="00E17071">
        <w:rPr>
          <w:noProof/>
        </w:rPr>
        <w:t>The expected</w:t>
      </w:r>
      <w:r w:rsidR="00285741">
        <w:rPr>
          <w:noProof/>
        </w:rPr>
        <w:t xml:space="preserve"> benefits of foreign investments </w:t>
      </w:r>
      <w:r w:rsidRPr="00E17071">
        <w:rPr>
          <w:noProof/>
        </w:rPr>
        <w:t>depend</w:t>
      </w:r>
      <w:r w:rsidR="00285741">
        <w:rPr>
          <w:noProof/>
        </w:rPr>
        <w:t xml:space="preserve"> on the business model and governance pursued by the investor for its European</w:t>
      </w:r>
      <w:r w:rsidRPr="00E17071">
        <w:rPr>
          <w:noProof/>
        </w:rPr>
        <w:t xml:space="preserve"> affiliates.</w:t>
      </w:r>
      <w:r w:rsidR="00285741">
        <w:rPr>
          <w:noProof/>
        </w:rPr>
        <w:t xml:space="preserve"> </w:t>
      </w:r>
      <w:r w:rsidR="00285741" w:rsidRPr="001A07CF">
        <w:rPr>
          <w:noProof/>
        </w:rPr>
        <w:t>Without</w:t>
      </w:r>
      <w:r w:rsidR="00285741">
        <w:rPr>
          <w:noProof/>
        </w:rPr>
        <w:t xml:space="preserve"> conditions</w:t>
      </w:r>
      <w:r w:rsidR="00285741" w:rsidRPr="001A07CF">
        <w:rPr>
          <w:noProof/>
        </w:rPr>
        <w:t>, EU firms may remain locked into high-cost abatement pathways</w:t>
      </w:r>
      <w:r w:rsidR="00285741">
        <w:rPr>
          <w:noProof/>
        </w:rPr>
        <w:t xml:space="preserve"> since foreign investors face little obligation or commercial incentive to locate their R&amp;I, engineering, or advanced processes within the EU</w:t>
      </w:r>
      <w:r w:rsidR="00285741" w:rsidRPr="001A07CF">
        <w:rPr>
          <w:noProof/>
        </w:rPr>
        <w:t>.</w:t>
      </w:r>
      <w:r w:rsidR="00285741">
        <w:rPr>
          <w:noProof/>
        </w:rPr>
        <w:t xml:space="preserve"> </w:t>
      </w:r>
      <w:r w:rsidR="00285741" w:rsidRPr="001C623C">
        <w:rPr>
          <w:noProof/>
        </w:rPr>
        <w:t>A clear illustration is the Tesla–CATL partnership in the United States, where investment incentives were tied to local content, technology transfer and domestic battery supply chains. This has led to the localisation of advanced cell manufacturing and R&amp;</w:t>
      </w:r>
      <w:r w:rsidR="00285741">
        <w:rPr>
          <w:noProof/>
        </w:rPr>
        <w:t>I</w:t>
      </w:r>
      <w:r w:rsidR="00285741" w:rsidRPr="001C623C">
        <w:rPr>
          <w:noProof/>
        </w:rPr>
        <w:t xml:space="preserve"> activities in the U.S. In contrast, similar investments in Europe by the same actors have largely focused on assembly and final integration, with limited technology transfer or anchoring of critical value chain segments.</w:t>
      </w:r>
      <w:r w:rsidR="00285741">
        <w:rPr>
          <w:noProof/>
        </w:rPr>
        <w:t xml:space="preserve"> </w:t>
      </w:r>
    </w:p>
    <w:p w14:paraId="4667F646" w14:textId="77777777" w:rsidR="00285741" w:rsidRPr="000E099A" w:rsidRDefault="00285741">
      <w:pPr>
        <w:spacing w:after="120"/>
        <w:rPr>
          <w:rFonts w:cs="Times New Roman"/>
          <w:noProof/>
        </w:rPr>
      </w:pPr>
      <w:r>
        <w:rPr>
          <w:noProof/>
        </w:rPr>
        <w:t xml:space="preserve">Targeted improvements aimed at streamlining permitting procedures have been implemented for the deployment of specific sectors like energy infrastructure, renewable capacities, critical raw materials projects or net-zero technology manufacturing projects. In addition, the Industrial Emissions Directive (IED) was recently amended to facilitate environmental permitting of industrial installations. However, no current initiative addresses the entire industrial </w:t>
      </w:r>
      <w:r w:rsidRPr="43AA880E">
        <w:rPr>
          <w:rFonts w:eastAsia="Times New Roman"/>
          <w:noProof/>
          <w:color w:val="000000" w:themeColor="text1"/>
        </w:rPr>
        <w:t>manufacturing</w:t>
      </w:r>
      <w:r>
        <w:rPr>
          <w:noProof/>
        </w:rPr>
        <w:t xml:space="preserve"> sector, nor the entire permit-granting process from start to finish.</w:t>
      </w:r>
    </w:p>
    <w:p w14:paraId="1D5FB7F8" w14:textId="77777777" w:rsidR="00285741" w:rsidRDefault="00285741" w:rsidP="0070289B">
      <w:pPr>
        <w:spacing w:after="120"/>
        <w:rPr>
          <w:i/>
          <w:iCs/>
          <w:noProof/>
        </w:rPr>
      </w:pPr>
      <w:r w:rsidRPr="00EB6B04">
        <w:rPr>
          <w:i/>
          <w:noProof/>
        </w:rPr>
        <w:t>Consequences of the problems</w:t>
      </w:r>
    </w:p>
    <w:p w14:paraId="7C216514" w14:textId="77777777" w:rsidR="00285741" w:rsidRDefault="00285741" w:rsidP="0070289B">
      <w:pPr>
        <w:spacing w:after="120"/>
        <w:rPr>
          <w:noProof/>
        </w:rPr>
      </w:pPr>
      <w:r>
        <w:rPr>
          <w:noProof/>
        </w:rPr>
        <w:t>Regions</w:t>
      </w:r>
      <w:r w:rsidRPr="009279B7">
        <w:rPr>
          <w:noProof/>
        </w:rPr>
        <w:t xml:space="preserve"> that are </w:t>
      </w:r>
      <w:r>
        <w:rPr>
          <w:noProof/>
        </w:rPr>
        <w:t>currently</w:t>
      </w:r>
      <w:r w:rsidRPr="009279B7">
        <w:rPr>
          <w:noProof/>
        </w:rPr>
        <w:t xml:space="preserve"> home to </w:t>
      </w:r>
      <w:r w:rsidRPr="005970BD">
        <w:rPr>
          <w:noProof/>
        </w:rPr>
        <w:t>EIIs</w:t>
      </w:r>
      <w:r>
        <w:rPr>
          <w:noProof/>
        </w:rPr>
        <w:t xml:space="preserve"> face risks of further</w:t>
      </w:r>
      <w:r w:rsidRPr="009279B7">
        <w:rPr>
          <w:noProof/>
        </w:rPr>
        <w:t xml:space="preserve"> economic and social decline</w:t>
      </w:r>
      <w:r>
        <w:rPr>
          <w:noProof/>
        </w:rPr>
        <w:t xml:space="preserve">, with significant regional disparities in employment and prosperity in the Single Market. </w:t>
      </w:r>
      <w:r w:rsidRPr="00A11DF2">
        <w:rPr>
          <w:noProof/>
        </w:rPr>
        <w:t>This vulnerability echoes the broader megatrends identified in the 2025 Strategic Foresight Report</w:t>
      </w:r>
      <w:r w:rsidRPr="00A11DF2">
        <w:rPr>
          <w:rStyle w:val="FootnoteReference"/>
          <w:noProof/>
        </w:rPr>
        <w:footnoteReference w:id="113"/>
      </w:r>
      <w:r w:rsidRPr="00A11DF2">
        <w:rPr>
          <w:noProof/>
        </w:rPr>
        <w:t>, which emphasises the growing regional and social disparities as a key test for Europe’s resilience by 2040.</w:t>
      </w:r>
    </w:p>
    <w:p w14:paraId="282FB51E" w14:textId="77777777" w:rsidR="00285741" w:rsidRPr="000272AD" w:rsidRDefault="00285741" w:rsidP="0070289B">
      <w:pPr>
        <w:spacing w:after="120"/>
        <w:rPr>
          <w:rFonts w:eastAsia="Times New Roman" w:cs="Times New Roman"/>
          <w:noProof/>
        </w:rPr>
      </w:pPr>
      <w:r>
        <w:rPr>
          <w:noProof/>
        </w:rPr>
        <w:t xml:space="preserve">EIIs, batteries, automotive and PV industries </w:t>
      </w:r>
      <w:r w:rsidRPr="002F1309">
        <w:rPr>
          <w:noProof/>
        </w:rPr>
        <w:t>risk losing further market share, technological leadership, and becoming locked into deeper strategic dependencies. This would directly undermine the EU’s ability to deliver on the “promote” pillar of the European Economic Security Strategy</w:t>
      </w:r>
      <w:r>
        <w:rPr>
          <w:noProof/>
        </w:rPr>
        <w:t>.</w:t>
      </w:r>
      <w:r>
        <w:rPr>
          <w:rStyle w:val="FootnoteReference"/>
          <w:noProof/>
        </w:rPr>
        <w:footnoteReference w:id="114"/>
      </w:r>
      <w:r>
        <w:rPr>
          <w:noProof/>
        </w:rPr>
        <w:t xml:space="preserve"> </w:t>
      </w:r>
      <w:r w:rsidRPr="09CA0190">
        <w:rPr>
          <w:rStyle w:val="normaltextrun"/>
          <w:rFonts w:eastAsia="Times New Roman" w:cs="Times New Roman"/>
          <w:noProof/>
        </w:rPr>
        <w:t>A</w:t>
      </w:r>
      <w:r w:rsidRPr="09CA0190">
        <w:rPr>
          <w:rFonts w:eastAsia="Times New Roman" w:cs="Times New Roman"/>
          <w:noProof/>
        </w:rPr>
        <w:t xml:space="preserve">symmetries in global investment conditions place EU industry at a </w:t>
      </w:r>
      <w:r w:rsidRPr="09CA0190">
        <w:rPr>
          <w:rFonts w:eastAsia="Times New Roman" w:cs="Times New Roman"/>
          <w:noProof/>
        </w:rPr>
        <w:lastRenderedPageBreak/>
        <w:t>structural disadvantage compared to global competitors who benefit from strong conditionalities and incentive frameworks that maximise spillovers.</w:t>
      </w:r>
      <w:r w:rsidRPr="09CA0190">
        <w:rPr>
          <w:rStyle w:val="FootnoteReference"/>
          <w:rFonts w:eastAsia="Times New Roman" w:cs="Times New Roman"/>
          <w:noProof/>
        </w:rPr>
        <w:footnoteReference w:id="115"/>
      </w:r>
      <w:r w:rsidRPr="09CA0190">
        <w:rPr>
          <w:rFonts w:eastAsia="Times New Roman" w:cs="Times New Roman"/>
          <w:noProof/>
        </w:rPr>
        <w:t xml:space="preserve"> </w:t>
      </w:r>
    </w:p>
    <w:p w14:paraId="4943F552" w14:textId="460F0E2A" w:rsidR="00285741" w:rsidRDefault="00285741">
      <w:pPr>
        <w:spacing w:after="120"/>
        <w:rPr>
          <w:noProof/>
        </w:rPr>
      </w:pPr>
      <w:r>
        <w:rPr>
          <w:noProof/>
        </w:rPr>
        <w:t xml:space="preserve">For the EU, continued clean technologies dependency means that the domestic battery </w:t>
      </w:r>
      <w:r w:rsidRPr="00E447EE">
        <w:rPr>
          <w:noProof/>
        </w:rPr>
        <w:t>and PV</w:t>
      </w:r>
      <w:r>
        <w:rPr>
          <w:noProof/>
        </w:rPr>
        <w:t xml:space="preserve"> production will remain vulnerable to external shocks, price manipulation, and supply disruptions. China’s recent export restrictions on key battery technologies, including lithium-ion battery cells and packs, key production equipment and technologies linked to high-end batteries and graphite anodes, cathode material processes and lithium refining, signal a strategic shift toward consolidating its dominance and limiting foreign access to critical capabilities</w:t>
      </w:r>
      <w:r w:rsidR="00454322">
        <w:rPr>
          <w:noProof/>
        </w:rPr>
        <w:t>.</w:t>
      </w:r>
      <w:r>
        <w:rPr>
          <w:rStyle w:val="FootnoteReference"/>
          <w:noProof/>
        </w:rPr>
        <w:footnoteReference w:id="116"/>
      </w:r>
      <w:r>
        <w:rPr>
          <w:noProof/>
        </w:rPr>
        <w:t xml:space="preserve"> </w:t>
      </w:r>
    </w:p>
    <w:p w14:paraId="4F27382F" w14:textId="4A9F4450" w:rsidR="00285741" w:rsidRPr="000272AD" w:rsidRDefault="00285741">
      <w:pPr>
        <w:spacing w:after="120"/>
        <w:rPr>
          <w:noProof/>
        </w:rPr>
      </w:pPr>
      <w:r w:rsidRPr="000272AD">
        <w:rPr>
          <w:noProof/>
        </w:rPr>
        <w:t>Without additional policy measures, EU PV modules dependency on China could rise to 98% of the value chain</w:t>
      </w:r>
      <w:r>
        <w:rPr>
          <w:noProof/>
        </w:rPr>
        <w:t>.</w:t>
      </w:r>
      <w:r w:rsidRPr="000272AD">
        <w:rPr>
          <w:noProof/>
        </w:rPr>
        <w:t xml:space="preserve"> </w:t>
      </w:r>
      <w:r>
        <w:rPr>
          <w:noProof/>
        </w:rPr>
        <w:t>A</w:t>
      </w:r>
      <w:r w:rsidRPr="000272AD">
        <w:rPr>
          <w:noProof/>
        </w:rPr>
        <w:t xml:space="preserve">ccording to the Solar Alliance, </w:t>
      </w:r>
      <w:r>
        <w:rPr>
          <w:noProof/>
        </w:rPr>
        <w:t>which has set the target of achieving 30 GW manufacturing capacity along the value chain, if this goal is not met,</w:t>
      </w:r>
      <w:r w:rsidRPr="000272AD">
        <w:rPr>
          <w:noProof/>
        </w:rPr>
        <w:t xml:space="preserve"> Europe would miss out on creating more than 40</w:t>
      </w:r>
      <w:r w:rsidR="00B8591D">
        <w:rPr>
          <w:noProof/>
        </w:rPr>
        <w:t xml:space="preserve"> </w:t>
      </w:r>
      <w:r w:rsidRPr="000272AD">
        <w:rPr>
          <w:noProof/>
        </w:rPr>
        <w:t>000 highly skilled jobs</w:t>
      </w:r>
      <w:r w:rsidR="00454322">
        <w:rPr>
          <w:noProof/>
        </w:rPr>
        <w:t>.</w:t>
      </w:r>
      <w:r w:rsidRPr="000272AD">
        <w:rPr>
          <w:rStyle w:val="FootnoteReference"/>
          <w:noProof/>
        </w:rPr>
        <w:footnoteReference w:id="117"/>
      </w:r>
      <w:r w:rsidRPr="000272AD">
        <w:rPr>
          <w:noProof/>
        </w:rPr>
        <w:t xml:space="preserve"> </w:t>
      </w:r>
    </w:p>
    <w:p w14:paraId="2EA34468" w14:textId="5B0C8FD8" w:rsidR="00285741" w:rsidRPr="000272AD" w:rsidRDefault="00285741">
      <w:pPr>
        <w:spacing w:after="120"/>
        <w:rPr>
          <w:noProof/>
        </w:rPr>
      </w:pPr>
      <w:r w:rsidRPr="0D04CA74">
        <w:rPr>
          <w:rFonts w:eastAsia="Times New Roman" w:cs="Times New Roman"/>
          <w:noProof/>
        </w:rPr>
        <w:t>When it comes to the automotive industry, the cost disadvantage of manufacturing key automotive components in the EU</w:t>
      </w:r>
      <w:r>
        <w:rPr>
          <w:rFonts w:eastAsia="Times New Roman" w:cs="Times New Roman"/>
          <w:noProof/>
        </w:rPr>
        <w:t xml:space="preserve"> is </w:t>
      </w:r>
      <w:r w:rsidRPr="0D04CA74">
        <w:rPr>
          <w:rFonts w:eastAsia="Times New Roman" w:cs="Times New Roman"/>
          <w:noProof/>
        </w:rPr>
        <w:t>combined with increasing pressure from Chinese imports, the impact of tariffs on the US market and increasing tendencies for local content requirements</w:t>
      </w:r>
      <w:r w:rsidRPr="00A11DF2">
        <w:rPr>
          <w:noProof/>
        </w:rPr>
        <w:t xml:space="preserve"> in other jurisdictions</w:t>
      </w:r>
      <w:r w:rsidRPr="00A11DF2">
        <w:rPr>
          <w:rStyle w:val="FootnoteReference"/>
          <w:rFonts w:eastAsia="Calibri"/>
          <w:noProof/>
        </w:rPr>
        <w:footnoteReference w:id="118"/>
      </w:r>
      <w:r>
        <w:rPr>
          <w:noProof/>
        </w:rPr>
        <w:t>,</w:t>
      </w:r>
      <w:r w:rsidRPr="00A11DF2">
        <w:rPr>
          <w:noProof/>
        </w:rPr>
        <w:t xml:space="preserve"> </w:t>
      </w:r>
      <w:r w:rsidRPr="0D04CA74">
        <w:rPr>
          <w:rFonts w:eastAsia="Times New Roman" w:cs="Times New Roman"/>
          <w:noProof/>
        </w:rPr>
        <w:t>and in some cases the technological gap vis-à-vis non-EU manufacturers</w:t>
      </w:r>
      <w:r>
        <w:rPr>
          <w:rFonts w:eastAsia="Times New Roman" w:cs="Times New Roman"/>
          <w:noProof/>
        </w:rPr>
        <w:t xml:space="preserve">. </w:t>
      </w:r>
      <w:r w:rsidR="00BE2555" w:rsidRPr="00E17071">
        <w:rPr>
          <w:rFonts w:eastAsia="Times New Roman" w:cs="Times New Roman"/>
          <w:noProof/>
        </w:rPr>
        <w:t>Further competitiveness losses in the EU automotive industry may</w:t>
      </w:r>
      <w:r w:rsidRPr="0D04CA74">
        <w:rPr>
          <w:rFonts w:eastAsia="Times New Roman" w:cs="Times New Roman"/>
          <w:noProof/>
        </w:rPr>
        <w:t xml:space="preserve"> </w:t>
      </w:r>
      <w:r>
        <w:rPr>
          <w:rFonts w:eastAsia="Times New Roman" w:cs="Times New Roman"/>
          <w:noProof/>
        </w:rPr>
        <w:t>increase</w:t>
      </w:r>
      <w:r w:rsidRPr="0D04CA74">
        <w:rPr>
          <w:rFonts w:eastAsia="Times New Roman" w:cs="Times New Roman"/>
          <w:noProof/>
        </w:rPr>
        <w:t xml:space="preserve"> the risk of delocalisation of component manufacturing outside the EU</w:t>
      </w:r>
      <w:r w:rsidR="00BE2555" w:rsidRPr="00E17071">
        <w:rPr>
          <w:rFonts w:eastAsia="Times New Roman" w:cs="Times New Roman"/>
          <w:noProof/>
        </w:rPr>
        <w:t>, possibly contributing to economic security risks. It is therefore critical to pursue the active reinforcement of cooperation with other countries to strengthen the resilience of EU supply chains.</w:t>
      </w:r>
      <w:r>
        <w:rPr>
          <w:rFonts w:eastAsia="Times New Roman" w:cs="Times New Roman"/>
          <w:noProof/>
        </w:rPr>
        <w:t xml:space="preserve"> </w:t>
      </w:r>
      <w:r w:rsidR="00D000F6" w:rsidRPr="00E17071">
        <w:rPr>
          <w:rFonts w:eastAsia="Times New Roman" w:cs="Times New Roman"/>
          <w:noProof/>
        </w:rPr>
        <w:t xml:space="preserve">In addition, declining domestic manufacturing capacity increases the risk of “cumulative vulnerability” across interconnected value chains, where disruptions in one critical input can cascade rapidly </w:t>
      </w:r>
      <w:r w:rsidR="006B1D30" w:rsidRPr="00E17071">
        <w:rPr>
          <w:rFonts w:eastAsia="Times New Roman" w:cs="Times New Roman"/>
          <w:noProof/>
        </w:rPr>
        <w:t xml:space="preserve">- from the component to the raw material - </w:t>
      </w:r>
      <w:r w:rsidR="00D000F6" w:rsidRPr="00E17071">
        <w:rPr>
          <w:rFonts w:eastAsia="Times New Roman" w:cs="Times New Roman"/>
          <w:noProof/>
        </w:rPr>
        <w:t>and impede the Union’s ability to maintain continuity of supply, manage emergencies and safeguard public order.</w:t>
      </w:r>
      <w:r w:rsidR="00D000F6">
        <w:rPr>
          <w:rFonts w:eastAsia="Times New Roman" w:cs="Times New Roman"/>
          <w:noProof/>
        </w:rPr>
        <w:t xml:space="preserve"> </w:t>
      </w:r>
      <w:r>
        <w:rPr>
          <w:rFonts w:eastAsia="Times New Roman" w:cs="Times New Roman"/>
          <w:noProof/>
        </w:rPr>
        <w:t>This trend seems to be accelerating, and as a short-term impact 76</w:t>
      </w:r>
      <w:r w:rsidR="00B8591D">
        <w:rPr>
          <w:rFonts w:eastAsia="Times New Roman" w:cs="Times New Roman"/>
          <w:noProof/>
        </w:rPr>
        <w:t xml:space="preserve"> </w:t>
      </w:r>
      <w:r>
        <w:rPr>
          <w:rFonts w:eastAsia="Times New Roman" w:cs="Times New Roman"/>
          <w:noProof/>
        </w:rPr>
        <w:t>000 job losses have already been announced among the automotive suppliers, and up to 50% of the production is at risk in the next five years.</w:t>
      </w:r>
      <w:r>
        <w:rPr>
          <w:rStyle w:val="FootnoteReference"/>
          <w:rFonts w:eastAsia="Times New Roman"/>
          <w:noProof/>
        </w:rPr>
        <w:footnoteReference w:id="119"/>
      </w:r>
      <w:r>
        <w:rPr>
          <w:rFonts w:eastAsia="Times New Roman" w:cs="Times New Roman"/>
          <w:noProof/>
        </w:rPr>
        <w:t xml:space="preserve"> </w:t>
      </w:r>
    </w:p>
    <w:p w14:paraId="488421BF" w14:textId="77777777" w:rsidR="00285741" w:rsidRPr="007C3C61" w:rsidRDefault="00285741" w:rsidP="00285741">
      <w:pPr>
        <w:pStyle w:val="Heading1"/>
        <w:keepLines w:val="0"/>
        <w:numPr>
          <w:ilvl w:val="0"/>
          <w:numId w:val="64"/>
        </w:numPr>
        <w:tabs>
          <w:tab w:val="num" w:pos="480"/>
        </w:tabs>
        <w:spacing w:before="240" w:after="120"/>
        <w:ind w:left="480" w:hanging="480"/>
        <w:rPr>
          <w:rFonts w:ascii="Times" w:hAnsi="Times" w:cs="Times"/>
          <w:b/>
          <w:bCs/>
          <w:noProof/>
          <w:color w:val="auto"/>
          <w:sz w:val="28"/>
          <w:szCs w:val="28"/>
        </w:rPr>
      </w:pPr>
      <w:bookmarkStart w:id="30" w:name="_Toc207146100"/>
      <w:bookmarkStart w:id="31" w:name="_Toc207146173"/>
      <w:bookmarkStart w:id="32" w:name="_Toc205923045"/>
      <w:bookmarkStart w:id="33" w:name="_Toc211984390"/>
      <w:bookmarkStart w:id="34" w:name="_Toc222159299"/>
      <w:bookmarkStart w:id="35" w:name="_Toc222489975"/>
      <w:bookmarkEnd w:id="30"/>
      <w:bookmarkEnd w:id="31"/>
      <w:r w:rsidRPr="007C3C61">
        <w:rPr>
          <w:rFonts w:ascii="Times" w:hAnsi="Times" w:cs="Times"/>
          <w:b/>
          <w:bCs/>
          <w:noProof/>
          <w:color w:val="auto"/>
          <w:sz w:val="28"/>
          <w:szCs w:val="28"/>
        </w:rPr>
        <w:t>Why should the EU act?</w:t>
      </w:r>
      <w:bookmarkEnd w:id="32"/>
      <w:bookmarkEnd w:id="33"/>
      <w:bookmarkEnd w:id="34"/>
      <w:bookmarkEnd w:id="35"/>
    </w:p>
    <w:p w14:paraId="100F7FAC" w14:textId="77777777" w:rsidR="00285741" w:rsidRPr="00310056" w:rsidRDefault="00285741" w:rsidP="00285741">
      <w:pPr>
        <w:pStyle w:val="Heading2"/>
        <w:numPr>
          <w:ilvl w:val="1"/>
          <w:numId w:val="64"/>
        </w:numPr>
        <w:ind w:hanging="9"/>
      </w:pPr>
      <w:bookmarkStart w:id="36" w:name="_Toc211984391"/>
      <w:bookmarkStart w:id="37" w:name="_Toc222489976"/>
      <w:r w:rsidRPr="00310056">
        <w:t>Legal basis</w:t>
      </w:r>
      <w:bookmarkEnd w:id="36"/>
      <w:bookmarkEnd w:id="37"/>
    </w:p>
    <w:p w14:paraId="3DA19073" w14:textId="77777777" w:rsidR="00285741" w:rsidRPr="00E447EE" w:rsidRDefault="00285741" w:rsidP="0070289B">
      <w:pPr>
        <w:spacing w:after="120"/>
        <w:rPr>
          <w:noProof/>
        </w:rPr>
      </w:pPr>
      <w:r w:rsidRPr="000272AD">
        <w:rPr>
          <w:noProof/>
        </w:rPr>
        <w:t xml:space="preserve">The initiative intends to </w:t>
      </w:r>
      <w:r>
        <w:rPr>
          <w:noProof/>
        </w:rPr>
        <w:t xml:space="preserve">increase decarbonised and resilient industrial production in the manufacturing industry, with a focus on energy-intensive industrial sectors and clean technologies. It intends to facilitate the harmonisation of the definitions of low-carbon industrial products, support European lead markets for the development, production and diffusion of clean tech in industry, streamline across EU Member States related planning, tendering and permitting processes, as well as address the fragmented approach of EU Member States towards foreign investments. </w:t>
      </w:r>
      <w:r w:rsidRPr="000272AD">
        <w:rPr>
          <w:noProof/>
        </w:rPr>
        <w:t xml:space="preserve">Article 114 (Single Market) of the Treaty of the Functioning of the European Union (TFEU) is the appropriate legal basis. </w:t>
      </w:r>
      <w:r w:rsidRPr="00E447EE">
        <w:rPr>
          <w:noProof/>
        </w:rPr>
        <w:t>Article 173</w:t>
      </w:r>
      <w:r>
        <w:rPr>
          <w:noProof/>
        </w:rPr>
        <w:t>, on the other hand, is not considered an appropriate l</w:t>
      </w:r>
      <w:r w:rsidRPr="00E447EE">
        <w:rPr>
          <w:noProof/>
        </w:rPr>
        <w:t xml:space="preserve">egal basis </w:t>
      </w:r>
      <w:r>
        <w:rPr>
          <w:noProof/>
        </w:rPr>
        <w:t xml:space="preserve">as it </w:t>
      </w:r>
      <w:r w:rsidRPr="00E447EE">
        <w:rPr>
          <w:noProof/>
        </w:rPr>
        <w:t xml:space="preserve">does not allow for harmonisation measures on the internal market, which remains the aim of measures included in IAA. </w:t>
      </w:r>
      <w:r>
        <w:rPr>
          <w:noProof/>
        </w:rPr>
        <w:t>Article 207 of the TFEU may be required depending on the specific measures proposed to address the fragmentation of foreign investments in EU Member States.</w:t>
      </w:r>
    </w:p>
    <w:p w14:paraId="7A2F50A2" w14:textId="77777777" w:rsidR="00285741" w:rsidRPr="00310056" w:rsidRDefault="00285741" w:rsidP="00285741">
      <w:pPr>
        <w:pStyle w:val="Heading2"/>
        <w:numPr>
          <w:ilvl w:val="1"/>
          <w:numId w:val="64"/>
        </w:numPr>
        <w:ind w:hanging="9"/>
      </w:pPr>
      <w:bookmarkStart w:id="38" w:name="_Toc211984392"/>
      <w:bookmarkStart w:id="39" w:name="_Toc222489977"/>
      <w:r w:rsidRPr="00310056">
        <w:lastRenderedPageBreak/>
        <w:t>Subsidiarity: Necessity of EU action</w:t>
      </w:r>
      <w:bookmarkEnd w:id="38"/>
      <w:bookmarkEnd w:id="39"/>
    </w:p>
    <w:p w14:paraId="04355449" w14:textId="77777777" w:rsidR="00285741" w:rsidRDefault="00285741" w:rsidP="0070289B">
      <w:pPr>
        <w:spacing w:after="120"/>
        <w:rPr>
          <w:noProof/>
        </w:rPr>
      </w:pPr>
      <w:r>
        <w:rPr>
          <w:rStyle w:val="normaltextrun"/>
          <w:noProof/>
        </w:rPr>
        <w:t>Industrial decarbonisation, as well as c</w:t>
      </w:r>
      <w:r w:rsidRPr="00C43020">
        <w:rPr>
          <w:rStyle w:val="normaltextrun"/>
          <w:noProof/>
        </w:rPr>
        <w:t xml:space="preserve">ompetitiveness, sustainable prosperity, industrial security and </w:t>
      </w:r>
      <w:r>
        <w:rPr>
          <w:rStyle w:val="normaltextrun"/>
          <w:noProof/>
        </w:rPr>
        <w:t xml:space="preserve">resilience </w:t>
      </w:r>
      <w:r w:rsidRPr="00C43020">
        <w:rPr>
          <w:rStyle w:val="normaltextrun"/>
          <w:noProof/>
        </w:rPr>
        <w:t>are matters where EU action is needed</w:t>
      </w:r>
      <w:r>
        <w:rPr>
          <w:rStyle w:val="normaltextrun"/>
          <w:noProof/>
        </w:rPr>
        <w:t xml:space="preserve">. No single Member State alone is capable of effectively addressing industrial decarbonisation </w:t>
      </w:r>
      <w:r w:rsidRPr="270B9A3F">
        <w:rPr>
          <w:rStyle w:val="normaltextrun"/>
          <w:noProof/>
        </w:rPr>
        <w:t xml:space="preserve">due to the integrated </w:t>
      </w:r>
      <w:r>
        <w:rPr>
          <w:rStyle w:val="normaltextrun"/>
          <w:noProof/>
        </w:rPr>
        <w:t>nature of the challenge</w:t>
      </w:r>
      <w:r w:rsidRPr="4ED34951">
        <w:rPr>
          <w:rStyle w:val="normaltextrun"/>
          <w:noProof/>
        </w:rPr>
        <w:t>.</w:t>
      </w:r>
      <w:r w:rsidRPr="270B9A3F">
        <w:rPr>
          <w:rStyle w:val="normaltextrun"/>
          <w:noProof/>
        </w:rPr>
        <w:t xml:space="preserve"> </w:t>
      </w:r>
      <w:r>
        <w:rPr>
          <w:noProof/>
        </w:rPr>
        <w:t xml:space="preserve">A harmonised EU-level approach is therefore necessary to avoid Single Market fragmentation and adequately address </w:t>
      </w:r>
      <w:r w:rsidRPr="00BE0561">
        <w:rPr>
          <w:noProof/>
        </w:rPr>
        <w:t xml:space="preserve">the urgency of the problems </w:t>
      </w:r>
      <w:r>
        <w:rPr>
          <w:noProof/>
        </w:rPr>
        <w:t xml:space="preserve">while </w:t>
      </w:r>
      <w:r w:rsidRPr="6C25336F">
        <w:rPr>
          <w:rFonts w:eastAsia="Times New Roman"/>
          <w:noProof/>
        </w:rPr>
        <w:t xml:space="preserve">protecting the level playing field as well as </w:t>
      </w:r>
      <w:r>
        <w:rPr>
          <w:rFonts w:eastAsia="Times New Roman"/>
          <w:noProof/>
        </w:rPr>
        <w:t>addressing administrative bottlenecks like permitting</w:t>
      </w:r>
      <w:r w:rsidRPr="00BE0561">
        <w:rPr>
          <w:noProof/>
        </w:rPr>
        <w:t>.</w:t>
      </w:r>
      <w:r w:rsidRPr="000272AD">
        <w:rPr>
          <w:rStyle w:val="normaltextrun"/>
          <w:noProof/>
        </w:rPr>
        <w:t xml:space="preserve"> Furthermore, c</w:t>
      </w:r>
      <w:r>
        <w:rPr>
          <w:noProof/>
        </w:rPr>
        <w:t xml:space="preserve">limate change is a trans-boundary issue </w:t>
      </w:r>
      <w:r w:rsidRPr="000272AD">
        <w:rPr>
          <w:noProof/>
        </w:rPr>
        <w:t xml:space="preserve">requiring </w:t>
      </w:r>
      <w:r w:rsidRPr="004D792E">
        <w:rPr>
          <w:noProof/>
        </w:rPr>
        <w:t>international and EU action to effectively complement and reinforce regional, national and local action</w:t>
      </w:r>
      <w:r w:rsidRPr="000272AD">
        <w:rPr>
          <w:noProof/>
        </w:rPr>
        <w:t xml:space="preserve">. </w:t>
      </w:r>
    </w:p>
    <w:p w14:paraId="0CEF2AB2" w14:textId="77777777" w:rsidR="00285741" w:rsidRPr="00310056" w:rsidRDefault="00285741" w:rsidP="00285741">
      <w:pPr>
        <w:pStyle w:val="Heading2"/>
        <w:keepLines w:val="0"/>
        <w:numPr>
          <w:ilvl w:val="1"/>
          <w:numId w:val="64"/>
        </w:numPr>
        <w:tabs>
          <w:tab w:val="num" w:pos="1855"/>
        </w:tabs>
        <w:spacing w:before="0" w:after="120"/>
        <w:ind w:left="1287" w:hanging="720"/>
      </w:pPr>
      <w:bookmarkStart w:id="40" w:name="_Toc211984393"/>
      <w:bookmarkStart w:id="41" w:name="_Toc222489978"/>
      <w:r w:rsidRPr="00310056">
        <w:t>Subsidiarity: Added value of EU action</w:t>
      </w:r>
      <w:bookmarkEnd w:id="40"/>
      <w:bookmarkEnd w:id="41"/>
    </w:p>
    <w:p w14:paraId="4E45AEA7" w14:textId="77777777" w:rsidR="00285741" w:rsidRPr="000272AD" w:rsidRDefault="00285741" w:rsidP="0070289B">
      <w:pPr>
        <w:spacing w:after="120"/>
        <w:rPr>
          <w:noProof/>
        </w:rPr>
      </w:pPr>
      <w:r w:rsidRPr="003B2B89">
        <w:rPr>
          <w:noProof/>
        </w:rPr>
        <w:t>While national measures may address parts of</w:t>
      </w:r>
      <w:r>
        <w:rPr>
          <w:noProof/>
        </w:rPr>
        <w:t xml:space="preserve"> the challenge</w:t>
      </w:r>
      <w:r w:rsidRPr="003B2B89">
        <w:rPr>
          <w:noProof/>
        </w:rPr>
        <w:t>, they risk fragmenting the Single Market and undermining collective effectiveness.</w:t>
      </w:r>
      <w:r w:rsidRPr="000272AD">
        <w:rPr>
          <w:noProof/>
        </w:rPr>
        <w:t xml:space="preserve"> Given that supply chains are deeply integrated across Member States, a coordinated EU-level approach is essential. It enables economies of scale</w:t>
      </w:r>
      <w:r>
        <w:rPr>
          <w:noProof/>
        </w:rPr>
        <w:t xml:space="preserve"> and</w:t>
      </w:r>
      <w:r w:rsidRPr="000272AD">
        <w:rPr>
          <w:noProof/>
        </w:rPr>
        <w:t xml:space="preserve"> </w:t>
      </w:r>
      <w:r w:rsidRPr="00CA2CE6">
        <w:rPr>
          <w:noProof/>
        </w:rPr>
        <w:t>solutions that fit the scope of the problem</w:t>
      </w:r>
      <w:r>
        <w:rPr>
          <w:noProof/>
        </w:rPr>
        <w:t xml:space="preserve"> and</w:t>
      </w:r>
      <w:r w:rsidRPr="00CA2CE6">
        <w:rPr>
          <w:noProof/>
        </w:rPr>
        <w:t xml:space="preserve"> </w:t>
      </w:r>
      <w:r w:rsidRPr="000272AD">
        <w:rPr>
          <w:noProof/>
        </w:rPr>
        <w:t xml:space="preserve">helps prevent inefficiencies and duplication. </w:t>
      </w:r>
      <w:r w:rsidRPr="003042BD">
        <w:rPr>
          <w:noProof/>
        </w:rPr>
        <w:t>In line with this logic,</w:t>
      </w:r>
      <w:r w:rsidRPr="003042BD" w:rsidDel="00416D3C">
        <w:rPr>
          <w:noProof/>
        </w:rPr>
        <w:t xml:space="preserve"> </w:t>
      </w:r>
      <w:r>
        <w:rPr>
          <w:noProof/>
        </w:rPr>
        <w:t>each</w:t>
      </w:r>
      <w:r w:rsidRPr="003042BD">
        <w:rPr>
          <w:noProof/>
        </w:rPr>
        <w:t xml:space="preserve"> </w:t>
      </w:r>
      <w:r>
        <w:rPr>
          <w:noProof/>
        </w:rPr>
        <w:t>policy option</w:t>
      </w:r>
      <w:r w:rsidRPr="003042BD">
        <w:rPr>
          <w:noProof/>
        </w:rPr>
        <w:t xml:space="preserve"> </w:t>
      </w:r>
      <w:r>
        <w:rPr>
          <w:noProof/>
        </w:rPr>
        <w:t xml:space="preserve">(PO) </w:t>
      </w:r>
      <w:r w:rsidRPr="003042BD">
        <w:rPr>
          <w:noProof/>
        </w:rPr>
        <w:t>focus</w:t>
      </w:r>
      <w:r>
        <w:rPr>
          <w:noProof/>
        </w:rPr>
        <w:t>es</w:t>
      </w:r>
      <w:r w:rsidRPr="003042BD">
        <w:rPr>
          <w:noProof/>
        </w:rPr>
        <w:t xml:space="preserve"> on areas where there is a demonstrable value added in acting at Union level due to the scale, speed and scope of the efforts needed</w:t>
      </w:r>
      <w:r>
        <w:rPr>
          <w:noProof/>
        </w:rPr>
        <w:t xml:space="preserve">. </w:t>
      </w:r>
    </w:p>
    <w:p w14:paraId="624A1B27" w14:textId="77777777" w:rsidR="00285741" w:rsidRPr="007C3C61" w:rsidRDefault="00285741" w:rsidP="00285741">
      <w:pPr>
        <w:pStyle w:val="Heading1"/>
        <w:keepLines w:val="0"/>
        <w:numPr>
          <w:ilvl w:val="0"/>
          <w:numId w:val="64"/>
        </w:numPr>
        <w:tabs>
          <w:tab w:val="num" w:pos="480"/>
        </w:tabs>
        <w:spacing w:after="120"/>
        <w:ind w:left="480" w:hanging="480"/>
        <w:rPr>
          <w:rFonts w:ascii="Times" w:hAnsi="Times" w:cs="Times"/>
          <w:b/>
          <w:bCs/>
          <w:noProof/>
          <w:color w:val="auto"/>
          <w:sz w:val="28"/>
          <w:szCs w:val="28"/>
        </w:rPr>
      </w:pPr>
      <w:bookmarkStart w:id="42" w:name="_Toc205923046"/>
      <w:bookmarkStart w:id="43" w:name="_Toc211984394"/>
      <w:bookmarkStart w:id="44" w:name="_Toc222159300"/>
      <w:bookmarkStart w:id="45" w:name="_Toc222489979"/>
      <w:r w:rsidRPr="007C3C61">
        <w:rPr>
          <w:rFonts w:ascii="Times" w:hAnsi="Times" w:cs="Times"/>
          <w:b/>
          <w:bCs/>
          <w:noProof/>
          <w:color w:val="auto"/>
          <w:sz w:val="28"/>
          <w:szCs w:val="28"/>
        </w:rPr>
        <w:t>Objectives: What is to be achieved?</w:t>
      </w:r>
      <w:bookmarkEnd w:id="42"/>
      <w:bookmarkEnd w:id="43"/>
      <w:bookmarkEnd w:id="44"/>
      <w:bookmarkEnd w:id="45"/>
    </w:p>
    <w:p w14:paraId="500082E1" w14:textId="77777777" w:rsidR="00285741" w:rsidRPr="00310056" w:rsidRDefault="00285741" w:rsidP="00285741">
      <w:pPr>
        <w:pStyle w:val="Heading2"/>
        <w:keepLines w:val="0"/>
        <w:numPr>
          <w:ilvl w:val="1"/>
          <w:numId w:val="64"/>
        </w:numPr>
        <w:tabs>
          <w:tab w:val="num" w:pos="1855"/>
        </w:tabs>
        <w:spacing w:before="0" w:after="120"/>
        <w:ind w:left="1287" w:hanging="720"/>
      </w:pPr>
      <w:bookmarkStart w:id="46" w:name="_Toc211984395"/>
      <w:bookmarkStart w:id="47" w:name="_Toc222489980"/>
      <w:r w:rsidRPr="00310056">
        <w:t>General objective</w:t>
      </w:r>
      <w:bookmarkEnd w:id="46"/>
      <w:bookmarkEnd w:id="47"/>
    </w:p>
    <w:p w14:paraId="3EA9D82A" w14:textId="77777777" w:rsidR="00285741" w:rsidRDefault="00285741">
      <w:pPr>
        <w:pStyle w:val="ListParagraph"/>
        <w:spacing w:after="120"/>
        <w:ind w:left="0"/>
        <w:rPr>
          <w:rStyle w:val="normaltextrun"/>
          <w:noProof/>
        </w:rPr>
      </w:pPr>
      <w:r w:rsidRPr="14FF5077">
        <w:rPr>
          <w:rStyle w:val="normaltextrun"/>
          <w:noProof/>
        </w:rPr>
        <w:t xml:space="preserve">The general objective is to </w:t>
      </w:r>
      <w:r w:rsidRPr="00EB6B04">
        <w:rPr>
          <w:rStyle w:val="normaltextrun"/>
          <w:b/>
          <w:noProof/>
        </w:rPr>
        <w:t>increase decarbonised and resilient industrial production in the EU manufacturing industry, with a special attention on EIIs and clean technologies</w:t>
      </w:r>
      <w:r>
        <w:rPr>
          <w:rStyle w:val="normaltextrun"/>
          <w:noProof/>
        </w:rPr>
        <w:t xml:space="preserve">, considering their </w:t>
      </w:r>
      <w:r w:rsidRPr="14FF5077">
        <w:rPr>
          <w:rStyle w:val="normaltextrun"/>
          <w:noProof/>
        </w:rPr>
        <w:t>contribut</w:t>
      </w:r>
      <w:r>
        <w:rPr>
          <w:rStyle w:val="normaltextrun"/>
          <w:noProof/>
        </w:rPr>
        <w:t>ion</w:t>
      </w:r>
      <w:r w:rsidRPr="14FF5077">
        <w:rPr>
          <w:rStyle w:val="normaltextrun"/>
          <w:noProof/>
        </w:rPr>
        <w:t xml:space="preserve"> to Europe’s competitiveness</w:t>
      </w:r>
      <w:r>
        <w:rPr>
          <w:rStyle w:val="normaltextrun"/>
          <w:noProof/>
        </w:rPr>
        <w:t>, economic security,</w:t>
      </w:r>
      <w:r w:rsidRPr="14FF5077">
        <w:rPr>
          <w:rStyle w:val="normaltextrun"/>
          <w:noProof/>
        </w:rPr>
        <w:t xml:space="preserve"> and sustainable economic growth, in line with the Clean Industrial Deal’s objectives. </w:t>
      </w:r>
      <w:r>
        <w:rPr>
          <w:rStyle w:val="normaltextrun"/>
          <w:noProof/>
        </w:rPr>
        <w:t>Progress regarding the general objective will be measured by monitoring the carbon intensity of EII production, as well as production capacities and output for the EU in EIIs, certain clean tech and vehicle components.</w:t>
      </w:r>
    </w:p>
    <w:p w14:paraId="14D6A8B7" w14:textId="77777777" w:rsidR="00285741" w:rsidRPr="00310056" w:rsidRDefault="00285741" w:rsidP="00285741">
      <w:pPr>
        <w:pStyle w:val="Heading2"/>
        <w:keepLines w:val="0"/>
        <w:numPr>
          <w:ilvl w:val="1"/>
          <w:numId w:val="64"/>
        </w:numPr>
        <w:tabs>
          <w:tab w:val="num" w:pos="1855"/>
        </w:tabs>
        <w:spacing w:before="0" w:after="120"/>
        <w:ind w:left="1287" w:hanging="720"/>
      </w:pPr>
      <w:bookmarkStart w:id="48" w:name="_Toc207146180"/>
      <w:bookmarkStart w:id="49" w:name="_Toc211984396"/>
      <w:bookmarkStart w:id="50" w:name="_Toc222489981"/>
      <w:bookmarkEnd w:id="48"/>
      <w:r w:rsidRPr="00310056">
        <w:t>Specific objectives</w:t>
      </w:r>
      <w:bookmarkEnd w:id="49"/>
      <w:bookmarkEnd w:id="50"/>
    </w:p>
    <w:p w14:paraId="0A1325B6" w14:textId="77777777" w:rsidR="00285741" w:rsidRDefault="00285741" w:rsidP="0070289B">
      <w:pPr>
        <w:spacing w:after="120"/>
        <w:rPr>
          <w:rFonts w:eastAsia="Times New Roman"/>
          <w:noProof/>
        </w:rPr>
      </w:pPr>
      <w:r w:rsidRPr="4B08DB1C">
        <w:rPr>
          <w:rFonts w:eastAsia="Times New Roman"/>
          <w:noProof/>
        </w:rPr>
        <w:t xml:space="preserve">This </w:t>
      </w:r>
      <w:r w:rsidRPr="00CE0B3E">
        <w:rPr>
          <w:rFonts w:eastAsia="Times New Roman"/>
          <w:noProof/>
        </w:rPr>
        <w:t>overall objective</w:t>
      </w:r>
      <w:r w:rsidRPr="4B08DB1C">
        <w:rPr>
          <w:rFonts w:eastAsia="Times New Roman"/>
          <w:noProof/>
        </w:rPr>
        <w:t xml:space="preserve"> is broken down into </w:t>
      </w:r>
      <w:r>
        <w:rPr>
          <w:rFonts w:eastAsia="Times New Roman"/>
          <w:noProof/>
        </w:rPr>
        <w:t xml:space="preserve">five </w:t>
      </w:r>
      <w:r w:rsidRPr="4B08DB1C">
        <w:rPr>
          <w:rFonts w:eastAsia="Times New Roman"/>
          <w:noProof/>
        </w:rPr>
        <w:t>specific objectives (SOs),</w:t>
      </w:r>
      <w:r>
        <w:rPr>
          <w:rFonts w:eastAsia="Times New Roman"/>
          <w:noProof/>
        </w:rPr>
        <w:t xml:space="preserve"> related to the problems and drivers</w:t>
      </w:r>
      <w:r w:rsidRPr="4B08DB1C">
        <w:rPr>
          <w:rFonts w:eastAsia="Times New Roman"/>
          <w:noProof/>
        </w:rPr>
        <w:t xml:space="preserve">: </w:t>
      </w:r>
    </w:p>
    <w:p w14:paraId="1B9A778F" w14:textId="289EC838" w:rsidR="00285741" w:rsidRDefault="00285741" w:rsidP="00285741">
      <w:pPr>
        <w:pStyle w:val="ListParagraph"/>
        <w:numPr>
          <w:ilvl w:val="0"/>
          <w:numId w:val="58"/>
        </w:numPr>
        <w:spacing w:after="120"/>
        <w:rPr>
          <w:rFonts w:eastAsia="Times New Roman"/>
          <w:noProof/>
        </w:rPr>
      </w:pPr>
      <w:r w:rsidRPr="0AF02254">
        <w:rPr>
          <w:rFonts w:eastAsia="Times New Roman"/>
          <w:noProof/>
        </w:rPr>
        <w:t>Facilitate differentiation for low-carbon industrial products to increase their value and marketability (SO1 addressing problem driver 1); this will be measured by an indicator on the availability of a low</w:t>
      </w:r>
      <w:r w:rsidR="00832DDB" w:rsidRPr="0AF02254">
        <w:rPr>
          <w:rFonts w:eastAsia="Times New Roman"/>
          <w:noProof/>
        </w:rPr>
        <w:t>-</w:t>
      </w:r>
      <w:r w:rsidRPr="0AF02254">
        <w:rPr>
          <w:rFonts w:eastAsia="Times New Roman"/>
          <w:noProof/>
        </w:rPr>
        <w:t xml:space="preserve">carbon label for relevant industrial products, supported by a robust verification mechanism. </w:t>
      </w:r>
    </w:p>
    <w:p w14:paraId="0FE96485" w14:textId="1AB30AB9" w:rsidR="00285741" w:rsidRDefault="00285741" w:rsidP="00285741">
      <w:pPr>
        <w:pStyle w:val="ListParagraph"/>
        <w:numPr>
          <w:ilvl w:val="0"/>
          <w:numId w:val="58"/>
        </w:numPr>
        <w:spacing w:after="120"/>
        <w:rPr>
          <w:rFonts w:eastAsia="Times New Roman"/>
          <w:noProof/>
        </w:rPr>
      </w:pPr>
      <w:r w:rsidRPr="0AF02254">
        <w:rPr>
          <w:rFonts w:eastAsia="Times New Roman"/>
          <w:noProof/>
        </w:rPr>
        <w:t xml:space="preserve">Boost demand for European low-carbon products and clean tech, (SO2 linked to problem drivers 2 and 3); </w:t>
      </w:r>
      <w:r>
        <w:rPr>
          <w:noProof/>
        </w:rPr>
        <w:t>measured by the share of EU and low</w:t>
      </w:r>
      <w:r w:rsidR="00832DDB">
        <w:rPr>
          <w:noProof/>
        </w:rPr>
        <w:t>-</w:t>
      </w:r>
      <w:r>
        <w:rPr>
          <w:noProof/>
        </w:rPr>
        <w:t xml:space="preserve">carbon production in EU consumption for relevant products, </w:t>
      </w:r>
    </w:p>
    <w:p w14:paraId="07C2054E" w14:textId="77777777" w:rsidR="00285741" w:rsidRDefault="00285741" w:rsidP="00285741">
      <w:pPr>
        <w:pStyle w:val="ListParagraph"/>
        <w:numPr>
          <w:ilvl w:val="0"/>
          <w:numId w:val="58"/>
        </w:numPr>
        <w:spacing w:after="120"/>
        <w:rPr>
          <w:rFonts w:eastAsia="Times New Roman"/>
          <w:noProof/>
        </w:rPr>
      </w:pPr>
      <w:r w:rsidRPr="0AF02254">
        <w:rPr>
          <w:rFonts w:eastAsia="Times New Roman"/>
          <w:noProof/>
        </w:rPr>
        <w:t xml:space="preserve">Maximise the quality and benefits of </w:t>
      </w:r>
      <w:r w:rsidRPr="0AF02254">
        <w:rPr>
          <w:rFonts w:eastAsia="Times New Roman"/>
          <w:i/>
          <w:iCs/>
          <w:noProof/>
        </w:rPr>
        <w:t>foreign investment in the EU</w:t>
      </w:r>
      <w:r w:rsidRPr="0AF02254">
        <w:rPr>
          <w:rFonts w:eastAsia="Times New Roman"/>
          <w:noProof/>
        </w:rPr>
        <w:t xml:space="preserve"> (SO3 linked to problem driver 4); measured by number of </w:t>
      </w:r>
      <w:r>
        <w:rPr>
          <w:noProof/>
        </w:rPr>
        <w:t>joint ventures for relevant sectors that create European added value, innovation and industrial resilience.</w:t>
      </w:r>
    </w:p>
    <w:p w14:paraId="395243A6" w14:textId="77777777" w:rsidR="00285741" w:rsidRDefault="00285741" w:rsidP="00285741">
      <w:pPr>
        <w:pStyle w:val="ListParagraph"/>
        <w:numPr>
          <w:ilvl w:val="0"/>
          <w:numId w:val="58"/>
        </w:numPr>
        <w:spacing w:after="120"/>
        <w:rPr>
          <w:rFonts w:eastAsia="Times New Roman"/>
          <w:noProof/>
        </w:rPr>
      </w:pPr>
      <w:r w:rsidRPr="2992D57F">
        <w:rPr>
          <w:rFonts w:eastAsia="Times New Roman"/>
          <w:noProof/>
        </w:rPr>
        <w:t>Speed-up and simplify permits for industrial decarbonisation (SO4</w:t>
      </w:r>
      <w:r>
        <w:rPr>
          <w:rFonts w:eastAsia="Times New Roman"/>
          <w:noProof/>
        </w:rPr>
        <w:t xml:space="preserve"> linked to problem driver 5</w:t>
      </w:r>
      <w:r w:rsidRPr="2992D57F">
        <w:rPr>
          <w:rFonts w:eastAsia="Times New Roman"/>
          <w:noProof/>
        </w:rPr>
        <w:t xml:space="preserve">); </w:t>
      </w:r>
      <w:r>
        <w:rPr>
          <w:rFonts w:eastAsia="Times New Roman"/>
          <w:noProof/>
        </w:rPr>
        <w:t xml:space="preserve">measured by the average permitting times </w:t>
      </w:r>
    </w:p>
    <w:p w14:paraId="23FA07A1" w14:textId="06DEFE77" w:rsidR="00285741" w:rsidRDefault="00285741" w:rsidP="00285741">
      <w:pPr>
        <w:pStyle w:val="ListParagraph"/>
        <w:numPr>
          <w:ilvl w:val="0"/>
          <w:numId w:val="58"/>
        </w:numPr>
        <w:spacing w:after="120"/>
        <w:jc w:val="left"/>
        <w:rPr>
          <w:noProof/>
        </w:rPr>
      </w:pPr>
      <w:r>
        <w:rPr>
          <w:rFonts w:eastAsia="Times New Roman"/>
          <w:noProof/>
        </w:rPr>
        <w:t xml:space="preserve">Increase investment projects in industrial areas </w:t>
      </w:r>
      <w:r w:rsidRPr="2992D57F">
        <w:rPr>
          <w:rFonts w:eastAsia="Times New Roman"/>
          <w:noProof/>
        </w:rPr>
        <w:t>(SO5)</w:t>
      </w:r>
      <w:r>
        <w:rPr>
          <w:rFonts w:eastAsia="Times New Roman"/>
          <w:noProof/>
        </w:rPr>
        <w:t xml:space="preserve"> measured by the number of industrial F</w:t>
      </w:r>
      <w:r w:rsidR="00262375">
        <w:rPr>
          <w:rFonts w:eastAsia="Times New Roman"/>
          <w:noProof/>
        </w:rPr>
        <w:t xml:space="preserve">inal </w:t>
      </w:r>
      <w:r>
        <w:rPr>
          <w:rFonts w:eastAsia="Times New Roman"/>
          <w:noProof/>
        </w:rPr>
        <w:t>I</w:t>
      </w:r>
      <w:r w:rsidR="00262375">
        <w:rPr>
          <w:rFonts w:eastAsia="Times New Roman"/>
          <w:noProof/>
        </w:rPr>
        <w:t xml:space="preserve">nvestment </w:t>
      </w:r>
      <w:r w:rsidR="000A6C1A">
        <w:rPr>
          <w:rFonts w:eastAsia="Times New Roman"/>
          <w:noProof/>
        </w:rPr>
        <w:t>Decisions (FID)</w:t>
      </w:r>
      <w:r>
        <w:rPr>
          <w:rFonts w:eastAsia="Times New Roman"/>
          <w:noProof/>
        </w:rPr>
        <w:t xml:space="preserve"> realised in relevant areas </w:t>
      </w:r>
    </w:p>
    <w:p w14:paraId="4A037A8A" w14:textId="77777777" w:rsidR="00285741" w:rsidRDefault="00285741">
      <w:pPr>
        <w:keepNext/>
        <w:spacing w:after="120"/>
        <w:jc w:val="center"/>
        <w:rPr>
          <w:noProof/>
        </w:rPr>
      </w:pPr>
      <w:r>
        <w:rPr>
          <w:noProof/>
          <w:lang w:eastAsia="en-GB"/>
        </w:rPr>
        <w:lastRenderedPageBreak/>
        <w:drawing>
          <wp:inline distT="0" distB="0" distL="0" distR="0" wp14:anchorId="5E1DDCDF" wp14:editId="3AAF3EF0">
            <wp:extent cx="5059311" cy="2540002"/>
            <wp:effectExtent l="0" t="0" r="8255" b="0"/>
            <wp:docPr id="469840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40079" name="drawing"/>
                    <pic:cNvPicPr/>
                  </pic:nvPicPr>
                  <pic:blipFill>
                    <a:blip r:embed="rId22">
                      <a:extLst>
                        <a:ext uri="{28A0092B-C50C-407E-A947-70E740481C1C}">
                          <a14:useLocalDpi xmlns:a14="http://schemas.microsoft.com/office/drawing/2010/main" val="0"/>
                        </a:ext>
                      </a:extLst>
                    </a:blip>
                    <a:stretch>
                      <a:fillRect/>
                    </a:stretch>
                  </pic:blipFill>
                  <pic:spPr>
                    <a:xfrm>
                      <a:off x="0" y="0"/>
                      <a:ext cx="5059311" cy="2540002"/>
                    </a:xfrm>
                    <a:prstGeom prst="rect">
                      <a:avLst/>
                    </a:prstGeom>
                  </pic:spPr>
                </pic:pic>
              </a:graphicData>
            </a:graphic>
          </wp:inline>
        </w:drawing>
      </w:r>
    </w:p>
    <w:p w14:paraId="0280CBD1" w14:textId="0198235F" w:rsidR="00285741" w:rsidRPr="005F22A4" w:rsidRDefault="00285741">
      <w:pPr>
        <w:pStyle w:val="Caption"/>
        <w:jc w:val="center"/>
        <w:rPr>
          <w:noProof/>
        </w:rPr>
      </w:pPr>
      <w:r w:rsidRPr="00E159FC">
        <w:rPr>
          <w:noProof/>
          <w:sz w:val="20"/>
          <w:szCs w:val="20"/>
        </w:rPr>
        <w:t xml:space="preserve">Figure </w:t>
      </w:r>
      <w:r w:rsidRPr="00E159FC">
        <w:rPr>
          <w:i w:val="0"/>
          <w:noProof/>
          <w:sz w:val="20"/>
          <w:szCs w:val="20"/>
        </w:rPr>
        <w:fldChar w:fldCharType="begin"/>
      </w:r>
      <w:r w:rsidRPr="00E71388">
        <w:rPr>
          <w:noProof/>
          <w:sz w:val="20"/>
          <w:szCs w:val="20"/>
        </w:rPr>
        <w:instrText xml:space="preserve"> SEQ Figure \* ARABIC </w:instrText>
      </w:r>
      <w:r w:rsidRPr="00E159FC">
        <w:rPr>
          <w:i w:val="0"/>
          <w:noProof/>
          <w:sz w:val="20"/>
          <w:szCs w:val="20"/>
        </w:rPr>
        <w:fldChar w:fldCharType="separate"/>
      </w:r>
      <w:r w:rsidR="00E16D65">
        <w:rPr>
          <w:noProof/>
          <w:sz w:val="20"/>
          <w:szCs w:val="20"/>
        </w:rPr>
        <w:t>5</w:t>
      </w:r>
      <w:r w:rsidRPr="00E159FC">
        <w:rPr>
          <w:i w:val="0"/>
          <w:noProof/>
          <w:sz w:val="20"/>
          <w:szCs w:val="20"/>
        </w:rPr>
        <w:fldChar w:fldCharType="end"/>
      </w:r>
      <w:r w:rsidRPr="00E159FC">
        <w:rPr>
          <w:noProof/>
          <w:sz w:val="20"/>
          <w:szCs w:val="20"/>
        </w:rPr>
        <w:t>: Problem drivers and specific objectives</w:t>
      </w:r>
    </w:p>
    <w:p w14:paraId="2217AF93" w14:textId="77777777" w:rsidR="00285741" w:rsidRPr="004D1231" w:rsidRDefault="00285741" w:rsidP="00285741">
      <w:pPr>
        <w:pStyle w:val="Heading1"/>
        <w:keepLines w:val="0"/>
        <w:numPr>
          <w:ilvl w:val="0"/>
          <w:numId w:val="64"/>
        </w:numPr>
        <w:tabs>
          <w:tab w:val="num" w:pos="480"/>
        </w:tabs>
        <w:spacing w:after="0"/>
        <w:ind w:left="480" w:hanging="480"/>
        <w:rPr>
          <w:noProof/>
        </w:rPr>
      </w:pPr>
      <w:bookmarkStart w:id="51" w:name="_Toc222159301"/>
      <w:bookmarkStart w:id="52" w:name="_Toc222489982"/>
      <w:r w:rsidRPr="007C3C61">
        <w:rPr>
          <w:rFonts w:ascii="Times" w:hAnsi="Times" w:cs="Times"/>
          <w:b/>
          <w:bCs/>
          <w:noProof/>
          <w:color w:val="auto"/>
          <w:sz w:val="28"/>
          <w:szCs w:val="28"/>
        </w:rPr>
        <w:t>What are the available policy options?</w:t>
      </w:r>
      <w:bookmarkEnd w:id="51"/>
      <w:bookmarkEnd w:id="52"/>
    </w:p>
    <w:p w14:paraId="01B7590D" w14:textId="77777777" w:rsidR="00285741" w:rsidRDefault="00285741" w:rsidP="00285741">
      <w:pPr>
        <w:pStyle w:val="Heading2"/>
        <w:numPr>
          <w:ilvl w:val="1"/>
          <w:numId w:val="64"/>
        </w:numPr>
        <w:tabs>
          <w:tab w:val="left" w:pos="1276"/>
        </w:tabs>
        <w:spacing w:before="240" w:after="0"/>
        <w:ind w:hanging="9"/>
      </w:pPr>
      <w:bookmarkStart w:id="53" w:name="_Toc222489983"/>
      <w:bookmarkStart w:id="54" w:name="_Hlk212018862"/>
      <w:r w:rsidRPr="00310056">
        <w:t>What is the baseline from which options are assessed?</w:t>
      </w:r>
      <w:bookmarkStart w:id="55" w:name="_Hlk201744951"/>
      <w:bookmarkEnd w:id="53"/>
    </w:p>
    <w:p w14:paraId="71DFE624" w14:textId="61BDC7E8" w:rsidR="00285741" w:rsidRDefault="00285741">
      <w:pPr>
        <w:spacing w:before="240" w:after="120"/>
        <w:rPr>
          <w:noProof/>
        </w:rPr>
      </w:pPr>
      <w:r w:rsidRPr="003F20E2">
        <w:rPr>
          <w:noProof/>
        </w:rPr>
        <w:t xml:space="preserve">The </w:t>
      </w:r>
      <w:r>
        <w:rPr>
          <w:noProof/>
        </w:rPr>
        <w:t>current baseline presents a</w:t>
      </w:r>
      <w:r w:rsidRPr="003F20E2">
        <w:rPr>
          <w:noProof/>
        </w:rPr>
        <w:t xml:space="preserve"> structural imbalance in Europe’s industrial transition: emissions are decreasing, but </w:t>
      </w:r>
      <w:r>
        <w:rPr>
          <w:noProof/>
        </w:rPr>
        <w:t xml:space="preserve">they are </w:t>
      </w:r>
      <w:r w:rsidRPr="003F20E2">
        <w:rPr>
          <w:noProof/>
        </w:rPr>
        <w:t xml:space="preserve">largely </w:t>
      </w:r>
      <w:r>
        <w:rPr>
          <w:noProof/>
        </w:rPr>
        <w:t xml:space="preserve">driven by </w:t>
      </w:r>
      <w:r w:rsidRPr="003F20E2">
        <w:rPr>
          <w:noProof/>
        </w:rPr>
        <w:t xml:space="preserve">shrinking </w:t>
      </w:r>
      <w:r>
        <w:rPr>
          <w:noProof/>
        </w:rPr>
        <w:t xml:space="preserve">production </w:t>
      </w:r>
      <w:r w:rsidRPr="003F20E2">
        <w:rPr>
          <w:noProof/>
        </w:rPr>
        <w:t>rather than cleaner production methods taking hold.</w:t>
      </w:r>
      <w:r w:rsidRPr="00BA3CBB">
        <w:rPr>
          <w:noProof/>
        </w:rPr>
        <w:t xml:space="preserve"> </w:t>
      </w:r>
      <w:r w:rsidRPr="00A407C0">
        <w:rPr>
          <w:noProof/>
          <w:szCs w:val="24"/>
        </w:rPr>
        <w:fldChar w:fldCharType="begin"/>
      </w:r>
      <w:r w:rsidRPr="00BA3CBB">
        <w:rPr>
          <w:noProof/>
        </w:rPr>
        <w:instrText xml:space="preserve"> REF _Ref211946864 \h </w:instrText>
      </w:r>
      <w:r w:rsidRPr="00D71377">
        <w:rPr>
          <w:noProof/>
        </w:rPr>
        <w:instrText xml:space="preserve"> </w:instrText>
      </w:r>
      <w:r w:rsidRPr="00EB6B04">
        <w:rPr>
          <w:noProof/>
        </w:rPr>
        <w:instrText>\* MERGEFORMAT</w:instrText>
      </w:r>
      <w:r w:rsidRPr="00AC2F24">
        <w:rPr>
          <w:noProof/>
        </w:rPr>
        <w:instrText xml:space="preserve"> </w:instrText>
      </w:r>
      <w:r w:rsidRPr="00A407C0">
        <w:rPr>
          <w:noProof/>
          <w:szCs w:val="24"/>
        </w:rPr>
      </w:r>
      <w:r w:rsidRPr="00A407C0">
        <w:rPr>
          <w:noProof/>
          <w:szCs w:val="24"/>
        </w:rPr>
        <w:fldChar w:fldCharType="separate"/>
      </w:r>
      <w:r w:rsidR="00E16D65" w:rsidRPr="00E16D65">
        <w:rPr>
          <w:noProof/>
          <w:szCs w:val="24"/>
        </w:rPr>
        <w:t>Figure 6</w:t>
      </w:r>
      <w:r w:rsidRPr="00A407C0">
        <w:rPr>
          <w:noProof/>
          <w:szCs w:val="24"/>
        </w:rPr>
        <w:fldChar w:fldCharType="end"/>
      </w:r>
      <w:r w:rsidRPr="00A407C0">
        <w:rPr>
          <w:noProof/>
          <w:szCs w:val="24"/>
        </w:rPr>
        <w:t xml:space="preserve"> below</w:t>
      </w:r>
      <w:r w:rsidRPr="09CA0190">
        <w:rPr>
          <w:noProof/>
          <w:sz w:val="28"/>
          <w:szCs w:val="28"/>
        </w:rPr>
        <w:t xml:space="preserve"> </w:t>
      </w:r>
      <w:r w:rsidRPr="00BA3CBB">
        <w:rPr>
          <w:noProof/>
        </w:rPr>
        <w:t xml:space="preserve">illustrates </w:t>
      </w:r>
      <w:r>
        <w:rPr>
          <w:noProof/>
        </w:rPr>
        <w:t xml:space="preserve">past and </w:t>
      </w:r>
      <w:r w:rsidR="00B17A5C">
        <w:rPr>
          <w:noProof/>
        </w:rPr>
        <w:t>potential</w:t>
      </w:r>
      <w:r w:rsidR="00A6441E">
        <w:rPr>
          <w:noProof/>
        </w:rPr>
        <w:t xml:space="preserve"> </w:t>
      </w:r>
      <w:r>
        <w:rPr>
          <w:noProof/>
        </w:rPr>
        <w:t xml:space="preserve">future trends </w:t>
      </w:r>
      <w:r w:rsidRPr="00BA3CBB">
        <w:rPr>
          <w:noProof/>
        </w:rPr>
        <w:t xml:space="preserve">for the </w:t>
      </w:r>
      <w:r>
        <w:rPr>
          <w:noProof/>
        </w:rPr>
        <w:t xml:space="preserve">EU </w:t>
      </w:r>
      <w:r w:rsidRPr="00BA3CBB">
        <w:rPr>
          <w:noProof/>
        </w:rPr>
        <w:t xml:space="preserve">iron and steel sector, </w:t>
      </w:r>
      <w:r w:rsidR="00B01C34">
        <w:rPr>
          <w:noProof/>
        </w:rPr>
        <w:t>as an example</w:t>
      </w:r>
      <w:r w:rsidRPr="00BA3CBB">
        <w:rPr>
          <w:noProof/>
        </w:rPr>
        <w:t>. Between 2005 and 2023, CO₂ emissions and production volumes have moved almost in parallel</w:t>
      </w:r>
      <w:r>
        <w:rPr>
          <w:noProof/>
        </w:rPr>
        <w:t>.</w:t>
      </w:r>
      <w:r w:rsidRPr="00A11DF2">
        <w:rPr>
          <w:rStyle w:val="FootnoteReference"/>
          <w:noProof/>
        </w:rPr>
        <w:footnoteReference w:id="120"/>
      </w:r>
      <w:r>
        <w:rPr>
          <w:noProof/>
        </w:rPr>
        <w:t xml:space="preserve"> </w:t>
      </w:r>
    </w:p>
    <w:p w14:paraId="358CE98B" w14:textId="77777777" w:rsidR="00285741" w:rsidRDefault="00285741">
      <w:pPr>
        <w:jc w:val="center"/>
        <w:rPr>
          <w:noProof/>
        </w:rPr>
      </w:pPr>
      <w:r>
        <w:rPr>
          <w:noProof/>
          <w:lang w:eastAsia="en-GB"/>
        </w:rPr>
        <w:drawing>
          <wp:inline distT="0" distB="0" distL="0" distR="0" wp14:anchorId="700E548D" wp14:editId="2449D64F">
            <wp:extent cx="4685784" cy="2190786"/>
            <wp:effectExtent l="0" t="0" r="635" b="0"/>
            <wp:docPr id="1708892334"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92334" name="Picture 1" descr="A graph of a number of people&#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6274"/>
                    <a:stretch/>
                  </pic:blipFill>
                  <pic:spPr bwMode="auto">
                    <a:xfrm>
                      <a:off x="0" y="0"/>
                      <a:ext cx="4685784" cy="2190786"/>
                    </a:xfrm>
                    <a:prstGeom prst="rect">
                      <a:avLst/>
                    </a:prstGeom>
                    <a:noFill/>
                    <a:ln>
                      <a:noFill/>
                    </a:ln>
                    <a:extLst>
                      <a:ext uri="{53640926-AAD7-44D8-BBD7-CCE9431645EC}">
                        <a14:shadowObscured xmlns:a14="http://schemas.microsoft.com/office/drawing/2010/main"/>
                      </a:ext>
                    </a:extLst>
                  </pic:spPr>
                </pic:pic>
              </a:graphicData>
            </a:graphic>
          </wp:inline>
        </w:drawing>
      </w:r>
    </w:p>
    <w:p w14:paraId="79E84AA4" w14:textId="5733CFF8" w:rsidR="00285741" w:rsidRPr="00EB6B04" w:rsidRDefault="00285741">
      <w:pPr>
        <w:pStyle w:val="Caption"/>
        <w:spacing w:after="240"/>
        <w:jc w:val="center"/>
        <w:rPr>
          <w:noProof/>
        </w:rPr>
      </w:pPr>
      <w:bookmarkStart w:id="56" w:name="_Ref211946864"/>
      <w:r w:rsidRPr="00950F53">
        <w:rPr>
          <w:noProof/>
          <w:sz w:val="20"/>
          <w:szCs w:val="20"/>
        </w:rPr>
        <w:t xml:space="preserve">Figure </w:t>
      </w:r>
      <w:r w:rsidRPr="00950F53">
        <w:rPr>
          <w:i w:val="0"/>
          <w:noProof/>
          <w:sz w:val="20"/>
          <w:szCs w:val="20"/>
        </w:rPr>
        <w:fldChar w:fldCharType="begin"/>
      </w:r>
      <w:r w:rsidRPr="00E71388">
        <w:rPr>
          <w:noProof/>
          <w:sz w:val="20"/>
          <w:szCs w:val="20"/>
        </w:rPr>
        <w:instrText xml:space="preserve"> SEQ Figure \* ARABIC </w:instrText>
      </w:r>
      <w:r w:rsidRPr="00950F53">
        <w:rPr>
          <w:i w:val="0"/>
          <w:noProof/>
          <w:sz w:val="20"/>
          <w:szCs w:val="20"/>
        </w:rPr>
        <w:fldChar w:fldCharType="separate"/>
      </w:r>
      <w:r w:rsidR="00E16D65">
        <w:rPr>
          <w:noProof/>
          <w:sz w:val="20"/>
          <w:szCs w:val="20"/>
        </w:rPr>
        <w:t>6</w:t>
      </w:r>
      <w:r w:rsidRPr="00950F53">
        <w:rPr>
          <w:i w:val="0"/>
          <w:noProof/>
          <w:sz w:val="20"/>
          <w:szCs w:val="20"/>
        </w:rPr>
        <w:fldChar w:fldCharType="end"/>
      </w:r>
      <w:bookmarkEnd w:id="56"/>
      <w:r w:rsidRPr="00950F53">
        <w:rPr>
          <w:noProof/>
          <w:sz w:val="20"/>
          <w:szCs w:val="20"/>
        </w:rPr>
        <w:t xml:space="preserve">: </w:t>
      </w:r>
      <w:r>
        <w:rPr>
          <w:noProof/>
          <w:sz w:val="20"/>
          <w:szCs w:val="20"/>
        </w:rPr>
        <w:t xml:space="preserve">EU </w:t>
      </w:r>
      <w:r w:rsidRPr="00950F53">
        <w:rPr>
          <w:noProof/>
          <w:sz w:val="20"/>
          <w:szCs w:val="20"/>
        </w:rPr>
        <w:t>Iron and steel: production level and CO</w:t>
      </w:r>
      <w:r w:rsidRPr="00950F53">
        <w:rPr>
          <w:noProof/>
          <w:sz w:val="20"/>
          <w:szCs w:val="20"/>
          <w:vertAlign w:val="subscript"/>
        </w:rPr>
        <w:t xml:space="preserve">2 </w:t>
      </w:r>
      <w:r w:rsidRPr="00950F53">
        <w:rPr>
          <w:noProof/>
          <w:sz w:val="20"/>
          <w:szCs w:val="20"/>
        </w:rPr>
        <w:t>emissions</w:t>
      </w:r>
      <w:r w:rsidRPr="09CA0190">
        <w:rPr>
          <w:noProof/>
          <w:sz w:val="20"/>
          <w:szCs w:val="20"/>
        </w:rPr>
        <w:t xml:space="preserve"> (2023-2050)</w:t>
      </w:r>
    </w:p>
    <w:p w14:paraId="5F846AEA" w14:textId="787CA268" w:rsidR="00285741" w:rsidRDefault="6A17517F" w:rsidP="67CF85BB">
      <w:pPr>
        <w:spacing w:after="120" w:line="259" w:lineRule="auto"/>
        <w:rPr>
          <w:noProof/>
        </w:rPr>
      </w:pPr>
      <w:r w:rsidRPr="00A11DF2">
        <w:rPr>
          <w:noProof/>
        </w:rPr>
        <w:t>Looking at the emissions projections</w:t>
      </w:r>
      <w:r w:rsidR="1661933F">
        <w:rPr>
          <w:noProof/>
        </w:rPr>
        <w:t xml:space="preserve"> </w:t>
      </w:r>
      <w:r w:rsidR="5152C906">
        <w:rPr>
          <w:noProof/>
        </w:rPr>
        <w:t>extrapolated</w:t>
      </w:r>
      <w:r w:rsidR="168210F3">
        <w:rPr>
          <w:noProof/>
        </w:rPr>
        <w:t xml:space="preserve"> on the historical</w:t>
      </w:r>
      <w:r w:rsidR="12F49F19">
        <w:rPr>
          <w:noProof/>
        </w:rPr>
        <w:t xml:space="preserve"> trends</w:t>
      </w:r>
      <w:r w:rsidR="2F53B389">
        <w:rPr>
          <w:noProof/>
        </w:rPr>
        <w:t xml:space="preserve"> of production and emissions</w:t>
      </w:r>
      <w:r w:rsidRPr="00A11DF2">
        <w:rPr>
          <w:noProof/>
        </w:rPr>
        <w:t xml:space="preserve">, </w:t>
      </w:r>
      <w:r>
        <w:rPr>
          <w:noProof/>
        </w:rPr>
        <w:t xml:space="preserve">although in reach, they will </w:t>
      </w:r>
      <w:r w:rsidRPr="00A11DF2">
        <w:rPr>
          <w:noProof/>
        </w:rPr>
        <w:t>need to decline much faster to meet the EU 2030, 2040 and 2050 climate targets. While CO</w:t>
      </w:r>
      <w:r w:rsidRPr="00A11DF2">
        <w:rPr>
          <w:noProof/>
          <w:vertAlign w:val="subscript"/>
        </w:rPr>
        <w:t>2</w:t>
      </w:r>
      <w:r w:rsidRPr="00A11DF2">
        <w:rPr>
          <w:noProof/>
        </w:rPr>
        <w:t xml:space="preserve"> emissions reductions and production levels remained relatively correlated so far, emissions will have to be reduced much faster in the next decade. </w:t>
      </w:r>
      <w:r w:rsidRPr="006968FC">
        <w:rPr>
          <w:noProof/>
        </w:rPr>
        <w:t xml:space="preserve">The EU remains firmly committed to achieving climate neutrality by 2050, including the </w:t>
      </w:r>
      <w:r w:rsidRPr="006968FC">
        <w:rPr>
          <w:noProof/>
        </w:rPr>
        <w:lastRenderedPageBreak/>
        <w:t>intermediate target of a 90% reduction in net greenhouse gas emissions by 2040</w:t>
      </w:r>
      <w:r>
        <w:rPr>
          <w:noProof/>
        </w:rPr>
        <w:t>.</w:t>
      </w:r>
      <w:r w:rsidR="00285741">
        <w:rPr>
          <w:rStyle w:val="FootnoteReference"/>
          <w:noProof/>
        </w:rPr>
        <w:footnoteReference w:id="121"/>
      </w:r>
      <w:r>
        <w:rPr>
          <w:noProof/>
        </w:rPr>
        <w:t xml:space="preserve"> But i</w:t>
      </w:r>
      <w:r w:rsidRPr="00A11DF2">
        <w:rPr>
          <w:noProof/>
        </w:rPr>
        <w:t xml:space="preserve">f decarbonisation remains at today’s pace and is not accelerated, the EU will </w:t>
      </w:r>
      <w:r>
        <w:rPr>
          <w:noProof/>
        </w:rPr>
        <w:t xml:space="preserve">still </w:t>
      </w:r>
      <w:r w:rsidRPr="00A11DF2">
        <w:rPr>
          <w:noProof/>
        </w:rPr>
        <w:t xml:space="preserve">be able to achieve its emissions reduction targets, thanks to the EU ETS, but such targets will be met by reducing </w:t>
      </w:r>
      <w:r w:rsidRPr="0014623C">
        <w:rPr>
          <w:noProof/>
        </w:rPr>
        <w:t xml:space="preserve">industrial production, as recent trends have shown. Looking at the iron and steel example, if </w:t>
      </w:r>
      <w:r w:rsidR="65084EC9" w:rsidRPr="0014623C">
        <w:rPr>
          <w:noProof/>
        </w:rPr>
        <w:t xml:space="preserve">the </w:t>
      </w:r>
      <w:r w:rsidRPr="0014623C">
        <w:rPr>
          <w:noProof/>
        </w:rPr>
        <w:t>trend</w:t>
      </w:r>
      <w:r w:rsidR="00C073B0" w:rsidRPr="0014623C">
        <w:rPr>
          <w:noProof/>
        </w:rPr>
        <w:t xml:space="preserve"> </w:t>
      </w:r>
      <w:r w:rsidR="339BD0CB" w:rsidRPr="0014623C">
        <w:rPr>
          <w:noProof/>
        </w:rPr>
        <w:t xml:space="preserve">of industrial production between 2005 and 2023 </w:t>
      </w:r>
      <w:r w:rsidR="6D5CCCC8" w:rsidRPr="0014623C">
        <w:rPr>
          <w:noProof/>
        </w:rPr>
        <w:t>persist</w:t>
      </w:r>
      <w:r w:rsidRPr="0014623C">
        <w:rPr>
          <w:noProof/>
        </w:rPr>
        <w:t>, the production projection shows that the sector is expected to shrink by almost 60% by 2050 compared to the 2023 baseline.</w:t>
      </w:r>
      <w:r w:rsidR="617B88FC">
        <w:rPr>
          <w:noProof/>
        </w:rPr>
        <w:t xml:space="preserve"> </w:t>
      </w:r>
    </w:p>
    <w:p w14:paraId="76067E3A" w14:textId="77777777" w:rsidR="00285741" w:rsidRDefault="00285741">
      <w:pPr>
        <w:spacing w:after="120"/>
        <w:rPr>
          <w:noProof/>
        </w:rPr>
      </w:pPr>
      <w:r w:rsidRPr="009F7997">
        <w:rPr>
          <w:noProof/>
        </w:rPr>
        <w:t>In parallel</w:t>
      </w:r>
      <w:r>
        <w:rPr>
          <w:noProof/>
        </w:rPr>
        <w:t xml:space="preserve"> to the EU ETS</w:t>
      </w:r>
      <w:r w:rsidRPr="009F7997">
        <w:rPr>
          <w:noProof/>
        </w:rPr>
        <w:t xml:space="preserve">, the CBAM will gradually replace free allowances to prevent carbon leakage and ensure that imports reflect an equivalent carbon cost. Its implementation from 2026 is expected to support the competitiveness of EU producers that invest in cleaner technologies. </w:t>
      </w:r>
      <w:r>
        <w:rPr>
          <w:noProof/>
        </w:rPr>
        <w:t>The</w:t>
      </w:r>
      <w:r w:rsidRPr="009F7997">
        <w:rPr>
          <w:noProof/>
        </w:rPr>
        <w:t xml:space="preserve"> 2025 CBAM review </w:t>
      </w:r>
      <w:r>
        <w:rPr>
          <w:noProof/>
        </w:rPr>
        <w:t>is also expected to tighten</w:t>
      </w:r>
      <w:r w:rsidRPr="009F7997">
        <w:rPr>
          <w:noProof/>
        </w:rPr>
        <w:t xml:space="preserve"> the </w:t>
      </w:r>
      <w:r>
        <w:rPr>
          <w:noProof/>
        </w:rPr>
        <w:t xml:space="preserve">system, but its impact cannot be quantified at this stage. </w:t>
      </w:r>
      <w:r w:rsidRPr="009F7997">
        <w:rPr>
          <w:noProof/>
        </w:rPr>
        <w:t>The baseline therefore assumes continued ETS-driven decarbonisation reinforced by a progressively more stringent CBAM regime, though with residual uncertainty regarding its effectiveness.</w:t>
      </w:r>
      <w:r>
        <w:rPr>
          <w:noProof/>
        </w:rPr>
        <w:t xml:space="preserve"> </w:t>
      </w:r>
      <w:r w:rsidRPr="00A11DF2">
        <w:rPr>
          <w:noProof/>
        </w:rPr>
        <w:t>Annex 8 presents the details of the baseline scenario</w:t>
      </w:r>
      <w:r>
        <w:rPr>
          <w:noProof/>
        </w:rPr>
        <w:t>, and includes the analysis like the above for aluminium, cement, and chemicals</w:t>
      </w:r>
      <w:r w:rsidRPr="00A11DF2">
        <w:rPr>
          <w:noProof/>
        </w:rPr>
        <w:t>.</w:t>
      </w:r>
    </w:p>
    <w:p w14:paraId="7225747F" w14:textId="77777777" w:rsidR="00285741" w:rsidRDefault="00285741">
      <w:pPr>
        <w:spacing w:after="120"/>
        <w:rPr>
          <w:noProof/>
        </w:rPr>
      </w:pPr>
      <w:r>
        <w:rPr>
          <w:noProof/>
        </w:rPr>
        <w:t>W</w:t>
      </w:r>
      <w:r w:rsidRPr="00A11DF2">
        <w:rPr>
          <w:noProof/>
        </w:rPr>
        <w:t>hile industry is willing to invest in decarbonisation, and has taken important initial steps, concrete decisions risk not materialising fast enough to reduce emissions at the pace required to be on track to meet the EU climate targets. This is substantiated by clean projects announcements</w:t>
      </w:r>
      <w:r>
        <w:rPr>
          <w:noProof/>
        </w:rPr>
        <w:t xml:space="preserve"> as reviewed in Driver 3. </w:t>
      </w:r>
    </w:p>
    <w:p w14:paraId="21F32F0A" w14:textId="77777777" w:rsidR="00285741" w:rsidRDefault="00285741">
      <w:pPr>
        <w:spacing w:after="120"/>
        <w:rPr>
          <w:noProof/>
        </w:rPr>
      </w:pPr>
      <w:r>
        <w:rPr>
          <w:noProof/>
        </w:rPr>
        <w:t xml:space="preserve">Looking at each specific objective, the baseline scenario would result in no common definition, methodologies or minimum threshold for low-carbon industrial products. </w:t>
      </w:r>
      <w:r w:rsidRPr="00A11DF2">
        <w:rPr>
          <w:noProof/>
        </w:rPr>
        <w:t>Furthermore,</w:t>
      </w:r>
      <w:r w:rsidRPr="00A11DF2">
        <w:rPr>
          <w:b/>
          <w:bCs/>
          <w:noProof/>
        </w:rPr>
        <w:t xml:space="preserve"> </w:t>
      </w:r>
      <w:r w:rsidRPr="00A11DF2">
        <w:rPr>
          <w:noProof/>
        </w:rPr>
        <w:t xml:space="preserve">while existing public procurement rules establish </w:t>
      </w:r>
      <w:r w:rsidRPr="00A11DF2">
        <w:rPr>
          <w:i/>
          <w:iCs/>
          <w:noProof/>
        </w:rPr>
        <w:t>how</w:t>
      </w:r>
      <w:r w:rsidRPr="00A11DF2">
        <w:rPr>
          <w:noProof/>
        </w:rPr>
        <w:t xml:space="preserve"> to buy, they fall short of addressing </w:t>
      </w:r>
      <w:r w:rsidRPr="00A11DF2">
        <w:rPr>
          <w:i/>
          <w:iCs/>
          <w:noProof/>
        </w:rPr>
        <w:t>what</w:t>
      </w:r>
      <w:r w:rsidRPr="00A11DF2">
        <w:rPr>
          <w:noProof/>
        </w:rPr>
        <w:t xml:space="preserve"> to buy in terms of low-carbon criteria. Current green public procurement practices remain largely voluntary, sectoral, fragmented, and inconsistently applied across Member States. </w:t>
      </w:r>
      <w:r>
        <w:rPr>
          <w:noProof/>
        </w:rPr>
        <w:t>Voluntary resilience</w:t>
      </w:r>
      <w:r w:rsidRPr="00A11DF2">
        <w:rPr>
          <w:noProof/>
        </w:rPr>
        <w:t xml:space="preserve"> criteria are even less considered in the current procurement procedures, as they are </w:t>
      </w:r>
      <w:r w:rsidRPr="00503E54">
        <w:rPr>
          <w:noProof/>
        </w:rPr>
        <w:t xml:space="preserve">a recent concept that will only become mandatory </w:t>
      </w:r>
      <w:r>
        <w:rPr>
          <w:noProof/>
        </w:rPr>
        <w:t xml:space="preserve">for some products </w:t>
      </w:r>
      <w:r w:rsidRPr="00503E54">
        <w:rPr>
          <w:noProof/>
        </w:rPr>
        <w:t xml:space="preserve">from 30 December 2025 under the </w:t>
      </w:r>
      <w:r>
        <w:rPr>
          <w:noProof/>
        </w:rPr>
        <w:t>NZIA</w:t>
      </w:r>
      <w:r w:rsidRPr="00503E54">
        <w:rPr>
          <w:noProof/>
        </w:rPr>
        <w:t>.</w:t>
      </w:r>
      <w:r w:rsidRPr="00A11DF2">
        <w:rPr>
          <w:noProof/>
        </w:rPr>
        <w:t xml:space="preserve"> Additionally, in the NZIA, resilience criteria refer to components, not specifically to the energy-intensive materials used. As such, the viability and competitiveness of European projects across the entire upstream value chain will continue to be undermined by the economic pressures outlined above</w:t>
      </w:r>
      <w:r>
        <w:rPr>
          <w:noProof/>
        </w:rPr>
        <w:t xml:space="preserve"> and the lack of investments in innovation</w:t>
      </w:r>
      <w:r w:rsidRPr="00A11DF2">
        <w:rPr>
          <w:noProof/>
        </w:rPr>
        <w:t xml:space="preserve">, resulting in a widened technological gap vis-à-vis </w:t>
      </w:r>
      <w:r>
        <w:rPr>
          <w:noProof/>
        </w:rPr>
        <w:t xml:space="preserve">a </w:t>
      </w:r>
      <w:r w:rsidRPr="00A11DF2">
        <w:rPr>
          <w:noProof/>
        </w:rPr>
        <w:t xml:space="preserve">non-EU manufacturer. </w:t>
      </w:r>
    </w:p>
    <w:bookmarkEnd w:id="54"/>
    <w:p w14:paraId="096052B3" w14:textId="792FF54A" w:rsidR="00285741" w:rsidRDefault="00285741">
      <w:pPr>
        <w:spacing w:after="120"/>
        <w:rPr>
          <w:noProof/>
        </w:rPr>
      </w:pPr>
      <w:r>
        <w:rPr>
          <w:noProof/>
        </w:rPr>
        <w:t>The International Energy Agency (IEA) indicates that China’s predominant role in global solar PV production will remain largely unchanged until 2035, with only a slight decrease as PV manufacturing facilities in other regions begin to materialize</w:t>
      </w:r>
      <w:r w:rsidR="008B1E1A">
        <w:rPr>
          <w:noProof/>
        </w:rPr>
        <w:t>.</w:t>
      </w:r>
      <w:r w:rsidR="00454322">
        <w:rPr>
          <w:rStyle w:val="FootnoteReference"/>
          <w:noProof/>
        </w:rPr>
        <w:footnoteReference w:id="122"/>
      </w:r>
      <w:r>
        <w:rPr>
          <w:noProof/>
        </w:rPr>
        <w:t xml:space="preserve"> While promoting resilience and diversification, t</w:t>
      </w:r>
      <w:r w:rsidRPr="000272AD">
        <w:rPr>
          <w:noProof/>
        </w:rPr>
        <w:t xml:space="preserve">he NZIA does not ensure </w:t>
      </w:r>
      <w:r>
        <w:rPr>
          <w:noProof/>
        </w:rPr>
        <w:t xml:space="preserve">sufficient </w:t>
      </w:r>
      <w:r w:rsidRPr="000272AD">
        <w:rPr>
          <w:noProof/>
        </w:rPr>
        <w:t xml:space="preserve">support for </w:t>
      </w:r>
      <w:r>
        <w:rPr>
          <w:noProof/>
        </w:rPr>
        <w:t>scaling up</w:t>
      </w:r>
      <w:r w:rsidRPr="000272AD">
        <w:rPr>
          <w:noProof/>
        </w:rPr>
        <w:t xml:space="preserve"> EU-based solar manufacturing. Its rules allow </w:t>
      </w:r>
      <w:r>
        <w:rPr>
          <w:noProof/>
        </w:rPr>
        <w:t xml:space="preserve">PV </w:t>
      </w:r>
      <w:r w:rsidRPr="000272AD">
        <w:rPr>
          <w:noProof/>
        </w:rPr>
        <w:t xml:space="preserve">modules to qualify as “compliant” even if all components are sourced from Southeast Asia, where Chinese Tier 1 firms already operate large hubs. As a result, a product with no European-made content can still meet </w:t>
      </w:r>
      <w:r>
        <w:rPr>
          <w:noProof/>
        </w:rPr>
        <w:t xml:space="preserve">the </w:t>
      </w:r>
      <w:r w:rsidRPr="000272AD">
        <w:rPr>
          <w:noProof/>
        </w:rPr>
        <w:t xml:space="preserve">NZIA criteria and undercut EU producers in price-sensitive auctions. </w:t>
      </w:r>
    </w:p>
    <w:p w14:paraId="4F515C1E" w14:textId="77777777" w:rsidR="00285741" w:rsidRPr="007F5C71" w:rsidRDefault="00285741">
      <w:pPr>
        <w:spacing w:after="120"/>
        <w:rPr>
          <w:rFonts w:cs="Times New Roman"/>
          <w:noProof/>
        </w:rPr>
      </w:pPr>
      <w:r>
        <w:rPr>
          <w:noProof/>
        </w:rPr>
        <w:t xml:space="preserve">In the EU battery ecosystem, manufacturing capacities for battery cells and other key components remain largely dominated by foreign companies. Currently, South Korean firms account for 82% of the installed battery cell production capacity, while European companies represent only around 8%. However, ongoing investments are set to significantly boost European production by 2030, with their share expected to rise to approximately 25% based on </w:t>
      </w:r>
      <w:r>
        <w:rPr>
          <w:noProof/>
        </w:rPr>
        <w:lastRenderedPageBreak/>
        <w:t xml:space="preserve">industry announcements. Despite this growth, Asian players, pushed by Chinese investments in the sector, will continue to lead, holding a combined 54% share of installed capacity. Notably, Chinese companies are projected to become the most dominant, with a 34% share, while joint ventures between European and Chinese firms are expected to contribute a further 7% to the total installed capacity. </w:t>
      </w:r>
      <w:r w:rsidRPr="2A84DF6C">
        <w:rPr>
          <w:rFonts w:cs="Times New Roman"/>
          <w:noProof/>
        </w:rPr>
        <w:t xml:space="preserve">When it comes to key battery components, Chinese firms are expected to lead </w:t>
      </w:r>
      <w:r>
        <w:rPr>
          <w:rFonts w:cs="Times New Roman"/>
          <w:noProof/>
        </w:rPr>
        <w:t xml:space="preserve">cathode active material production by 2030 </w:t>
      </w:r>
      <w:r w:rsidRPr="2A84DF6C">
        <w:rPr>
          <w:rFonts w:cs="Times New Roman"/>
          <w:noProof/>
        </w:rPr>
        <w:t xml:space="preserve">with 44% of installed capacity, followed by the EU with 32% and South Korea with 19%. </w:t>
      </w:r>
      <w:r>
        <w:rPr>
          <w:rFonts w:cs="Times New Roman"/>
          <w:noProof/>
        </w:rPr>
        <w:t>For a</w:t>
      </w:r>
      <w:r w:rsidRPr="2A84DF6C">
        <w:rPr>
          <w:rFonts w:cs="Times New Roman"/>
          <w:noProof/>
        </w:rPr>
        <w:t>node active material</w:t>
      </w:r>
      <w:r>
        <w:rPr>
          <w:rFonts w:cs="Times New Roman"/>
          <w:noProof/>
        </w:rPr>
        <w:t>s the projections are more diversified in terms of ownership with the installed capacity coming</w:t>
      </w:r>
      <w:r w:rsidRPr="2A84DF6C">
        <w:rPr>
          <w:rFonts w:cs="Times New Roman"/>
          <w:noProof/>
        </w:rPr>
        <w:t xml:space="preserve"> from </w:t>
      </w:r>
      <w:r>
        <w:rPr>
          <w:rFonts w:cs="Times New Roman"/>
          <w:noProof/>
        </w:rPr>
        <w:t>companies from</w:t>
      </w:r>
      <w:r w:rsidRPr="2A84DF6C">
        <w:rPr>
          <w:rFonts w:cs="Times New Roman"/>
          <w:noProof/>
        </w:rPr>
        <w:t xml:space="preserve"> Australia and New Zealand (28%), followed by Europe (23%)</w:t>
      </w:r>
      <w:r>
        <w:rPr>
          <w:rFonts w:cs="Times New Roman"/>
          <w:noProof/>
        </w:rPr>
        <w:t xml:space="preserve"> and</w:t>
      </w:r>
      <w:r w:rsidRPr="2A84DF6C">
        <w:rPr>
          <w:rFonts w:cs="Times New Roman"/>
          <w:noProof/>
        </w:rPr>
        <w:t xml:space="preserve"> Chin</w:t>
      </w:r>
      <w:r>
        <w:rPr>
          <w:rFonts w:cs="Times New Roman"/>
          <w:noProof/>
        </w:rPr>
        <w:t>a</w:t>
      </w:r>
      <w:r w:rsidRPr="2A84DF6C">
        <w:rPr>
          <w:rFonts w:cs="Times New Roman"/>
          <w:noProof/>
        </w:rPr>
        <w:t xml:space="preserve"> (20%).</w:t>
      </w:r>
      <w:r>
        <w:rPr>
          <w:rStyle w:val="FootnoteReference"/>
          <w:noProof/>
        </w:rPr>
        <w:footnoteReference w:id="123"/>
      </w:r>
    </w:p>
    <w:p w14:paraId="7F47C27C" w14:textId="578B3B61" w:rsidR="00285741" w:rsidRPr="001669DB" w:rsidRDefault="00285741">
      <w:pPr>
        <w:spacing w:after="120"/>
        <w:rPr>
          <w:noProof/>
        </w:rPr>
      </w:pPr>
      <w:r w:rsidRPr="2FF445DB">
        <w:rPr>
          <w:rFonts w:eastAsiaTheme="minorEastAsia"/>
          <w:noProof/>
        </w:rPr>
        <w:t>While th</w:t>
      </w:r>
      <w:r>
        <w:rPr>
          <w:noProof/>
        </w:rPr>
        <w:t>e efficiency of the permit granting procedures for some decarbonisation projects</w:t>
      </w:r>
      <w:r w:rsidRPr="2FF445DB">
        <w:rPr>
          <w:b/>
          <w:bCs/>
          <w:noProof/>
        </w:rPr>
        <w:t xml:space="preserve"> </w:t>
      </w:r>
      <w:r>
        <w:rPr>
          <w:noProof/>
        </w:rPr>
        <w:t>is expected to improve, most manufacturing industries are not covered under existing frameworks and can continue to face complex and lengthy permitting procedures.</w:t>
      </w:r>
      <w:r w:rsidR="40F10498">
        <w:rPr>
          <w:noProof/>
        </w:rPr>
        <w:t xml:space="preserve"> </w:t>
      </w:r>
      <w:r w:rsidR="40F10498" w:rsidRPr="006230FA">
        <w:rPr>
          <w:noProof/>
        </w:rPr>
        <w:t xml:space="preserve">The </w:t>
      </w:r>
      <w:r w:rsidR="00DA0CB6" w:rsidRPr="006230FA">
        <w:rPr>
          <w:noProof/>
        </w:rPr>
        <w:t xml:space="preserve">proposal </w:t>
      </w:r>
      <w:r w:rsidR="00ED1815" w:rsidRPr="006230FA">
        <w:rPr>
          <w:noProof/>
        </w:rPr>
        <w:t>for Simplification of administrative burdens in environmental legislation</w:t>
      </w:r>
      <w:r w:rsidR="00ED1815" w:rsidRPr="006230FA">
        <w:rPr>
          <w:rStyle w:val="FootnoteReference"/>
          <w:noProof/>
        </w:rPr>
        <w:footnoteReference w:id="124"/>
      </w:r>
      <w:r w:rsidR="00DA0CB6" w:rsidRPr="006230FA">
        <w:rPr>
          <w:noProof/>
        </w:rPr>
        <w:t xml:space="preserve"> </w:t>
      </w:r>
      <w:r w:rsidR="007E696C" w:rsidRPr="006230FA">
        <w:rPr>
          <w:noProof/>
        </w:rPr>
        <w:t xml:space="preserve">is expected to </w:t>
      </w:r>
      <w:r w:rsidR="40F10498" w:rsidRPr="006230FA">
        <w:rPr>
          <w:noProof/>
        </w:rPr>
        <w:t>streamline environmental assessments</w:t>
      </w:r>
      <w:r w:rsidR="46C7E668" w:rsidRPr="006230FA">
        <w:rPr>
          <w:noProof/>
        </w:rPr>
        <w:t xml:space="preserve">, but the overall permitting process from start to finish, </w:t>
      </w:r>
      <w:r w:rsidR="00941D0D" w:rsidRPr="006230FA">
        <w:rPr>
          <w:noProof/>
        </w:rPr>
        <w:t>beyond</w:t>
      </w:r>
      <w:r w:rsidR="22DC757B" w:rsidRPr="006230FA">
        <w:rPr>
          <w:noProof/>
        </w:rPr>
        <w:t xml:space="preserve"> environmental permits (such as </w:t>
      </w:r>
      <w:r w:rsidR="0050348B" w:rsidRPr="006230FA">
        <w:rPr>
          <w:noProof/>
        </w:rPr>
        <w:t>construction,</w:t>
      </w:r>
      <w:r w:rsidR="22DC757B" w:rsidRPr="006230FA">
        <w:rPr>
          <w:noProof/>
        </w:rPr>
        <w:t xml:space="preserve"> operational </w:t>
      </w:r>
      <w:r w:rsidR="0050348B" w:rsidRPr="006230FA">
        <w:rPr>
          <w:noProof/>
        </w:rPr>
        <w:t xml:space="preserve">and safety, </w:t>
      </w:r>
      <w:r w:rsidR="000A2A1E" w:rsidRPr="006230FA">
        <w:rPr>
          <w:noProof/>
        </w:rPr>
        <w:t>land use</w:t>
      </w:r>
      <w:r w:rsidR="00BD063C" w:rsidRPr="006230FA">
        <w:rPr>
          <w:noProof/>
        </w:rPr>
        <w:t xml:space="preserve"> or</w:t>
      </w:r>
      <w:r w:rsidR="000A2A1E" w:rsidRPr="006230FA">
        <w:rPr>
          <w:noProof/>
        </w:rPr>
        <w:t xml:space="preserve"> zoning</w:t>
      </w:r>
      <w:r w:rsidR="22DC757B" w:rsidRPr="006230FA">
        <w:rPr>
          <w:noProof/>
        </w:rPr>
        <w:t xml:space="preserve"> permits)</w:t>
      </w:r>
      <w:r w:rsidR="46C7E668" w:rsidRPr="006230FA">
        <w:rPr>
          <w:noProof/>
        </w:rPr>
        <w:t xml:space="preserve"> remains an untargeted field for </w:t>
      </w:r>
      <w:r w:rsidR="005540EF" w:rsidRPr="006230FA">
        <w:rPr>
          <w:noProof/>
        </w:rPr>
        <w:t xml:space="preserve">simplification for the </w:t>
      </w:r>
      <w:r w:rsidR="46C7E668" w:rsidRPr="006230FA">
        <w:rPr>
          <w:noProof/>
        </w:rPr>
        <w:t>industrial manufacturing.</w:t>
      </w:r>
      <w:r w:rsidDel="00285741">
        <w:rPr>
          <w:noProof/>
        </w:rPr>
        <w:t xml:space="preserve"> </w:t>
      </w:r>
      <w:r>
        <w:rPr>
          <w:noProof/>
        </w:rPr>
        <w:t xml:space="preserve">While the grids package will tackle grid planning to remove bottlenecks, the difficulty to de-risk investments and access funding would remain, with Member States struggling to identify relevant projects to focus their efforts on better framework conditions. </w:t>
      </w:r>
    </w:p>
    <w:p w14:paraId="7EFD1C35" w14:textId="312D729B" w:rsidR="00285741" w:rsidRDefault="00285741" w:rsidP="0070289B">
      <w:pPr>
        <w:spacing w:after="120"/>
        <w:rPr>
          <w:noProof/>
        </w:rPr>
      </w:pPr>
      <w:r>
        <w:rPr>
          <w:noProof/>
        </w:rPr>
        <w:t xml:space="preserve">Against this baseline, the competitiveness and decarbonisation of Europe’s manufacturing industries, notably </w:t>
      </w:r>
      <w:r w:rsidRPr="005970BD">
        <w:rPr>
          <w:noProof/>
        </w:rPr>
        <w:t>EIIs</w:t>
      </w:r>
      <w:r>
        <w:rPr>
          <w:noProof/>
        </w:rPr>
        <w:t xml:space="preserve"> and some clean energy technologies, is unlikely to improve in the coming years without further action. The Commission’s JRC has estimated that for each </w:t>
      </w:r>
      <w:r w:rsidRPr="00B5044D">
        <w:rPr>
          <w:noProof/>
        </w:rPr>
        <w:t xml:space="preserve">1% loss of final demand in </w:t>
      </w:r>
      <w:r>
        <w:rPr>
          <w:noProof/>
        </w:rPr>
        <w:t xml:space="preserve">EIIs in the EU, the potential impacts would be the </w:t>
      </w:r>
      <w:r w:rsidRPr="00C7097D">
        <w:rPr>
          <w:noProof/>
        </w:rPr>
        <w:t>los</w:t>
      </w:r>
      <w:r>
        <w:rPr>
          <w:noProof/>
        </w:rPr>
        <w:t xml:space="preserve">s of </w:t>
      </w:r>
      <w:r w:rsidRPr="00C7097D">
        <w:rPr>
          <w:noProof/>
        </w:rPr>
        <w:t>28</w:t>
      </w:r>
      <w:r w:rsidR="00B8591D">
        <w:rPr>
          <w:noProof/>
        </w:rPr>
        <w:t xml:space="preserve"> </w:t>
      </w:r>
      <w:r w:rsidRPr="00C7097D">
        <w:rPr>
          <w:noProof/>
        </w:rPr>
        <w:t xml:space="preserve">000 jobs, </w:t>
      </w:r>
      <w:r>
        <w:rPr>
          <w:noProof/>
        </w:rPr>
        <w:t xml:space="preserve">EUR 2 </w:t>
      </w:r>
      <w:r w:rsidRPr="00C7097D">
        <w:rPr>
          <w:noProof/>
        </w:rPr>
        <w:t xml:space="preserve">billion in value added and </w:t>
      </w:r>
      <w:r>
        <w:rPr>
          <w:noProof/>
        </w:rPr>
        <w:t xml:space="preserve">EUR </w:t>
      </w:r>
      <w:r w:rsidRPr="00C7097D">
        <w:rPr>
          <w:noProof/>
        </w:rPr>
        <w:t>6</w:t>
      </w:r>
      <w:r>
        <w:rPr>
          <w:noProof/>
        </w:rPr>
        <w:t>.</w:t>
      </w:r>
      <w:r w:rsidRPr="00C7097D">
        <w:rPr>
          <w:noProof/>
        </w:rPr>
        <w:t>4 billion in turnover</w:t>
      </w:r>
      <w:r>
        <w:rPr>
          <w:noProof/>
        </w:rPr>
        <w:t>.</w:t>
      </w:r>
      <w:r w:rsidRPr="00C7097D">
        <w:rPr>
          <w:rStyle w:val="FootnoteReference"/>
          <w:rFonts w:eastAsia="Calibri"/>
          <w:noProof/>
        </w:rPr>
        <w:footnoteReference w:id="125"/>
      </w:r>
      <w:r>
        <w:rPr>
          <w:noProof/>
        </w:rPr>
        <w:t xml:space="preserve"> </w:t>
      </w:r>
      <w:r w:rsidRPr="00977D4E">
        <w:rPr>
          <w:noProof/>
        </w:rPr>
        <w:t>The EU’s share in global manufacturing value added has already declined steadily over the past decade, while new investments increasingly flow to regions offering lower energy prices, faster permitting, and stronger industrial incentives. This erosion of industrial capacity risks turning Europe into a net importer of both clean and conventional industrial products, with strategic implications for economic security and the resilience of its value chains.</w:t>
      </w:r>
    </w:p>
    <w:p w14:paraId="4F30258C" w14:textId="77777777" w:rsidR="00285741" w:rsidRPr="00310056" w:rsidRDefault="00285741" w:rsidP="00285741">
      <w:pPr>
        <w:pStyle w:val="Heading2"/>
        <w:keepLines w:val="0"/>
        <w:numPr>
          <w:ilvl w:val="1"/>
          <w:numId w:val="64"/>
        </w:numPr>
        <w:spacing w:before="0" w:after="120"/>
        <w:ind w:left="1276" w:hanging="709"/>
      </w:pPr>
      <w:bookmarkStart w:id="57" w:name="_Toc211946734"/>
      <w:bookmarkStart w:id="58" w:name="_Toc211946735"/>
      <w:bookmarkStart w:id="59" w:name="_Toc211984399"/>
      <w:bookmarkStart w:id="60" w:name="_Toc222489984"/>
      <w:bookmarkEnd w:id="55"/>
      <w:bookmarkEnd w:id="57"/>
      <w:bookmarkEnd w:id="58"/>
      <w:r w:rsidRPr="00310056">
        <w:t>Description of the policy measures</w:t>
      </w:r>
      <w:bookmarkEnd w:id="59"/>
      <w:bookmarkEnd w:id="60"/>
      <w:r w:rsidRPr="00310056">
        <w:t xml:space="preserve"> </w:t>
      </w:r>
    </w:p>
    <w:p w14:paraId="051D554A" w14:textId="304328D6" w:rsidR="00285741" w:rsidRPr="00FC2D5F" w:rsidRDefault="00285741" w:rsidP="0070289B">
      <w:pPr>
        <w:spacing w:after="120"/>
        <w:rPr>
          <w:i/>
          <w:noProof/>
        </w:rPr>
      </w:pPr>
      <w:r>
        <w:rPr>
          <w:noProof/>
        </w:rPr>
        <w:fldChar w:fldCharType="begin"/>
      </w:r>
      <w:r>
        <w:rPr>
          <w:noProof/>
        </w:rPr>
        <w:instrText xml:space="preserve"> REF _Ref206931205 \h  \* MERGEFORMAT </w:instrText>
      </w:r>
      <w:r>
        <w:rPr>
          <w:noProof/>
        </w:rPr>
      </w:r>
      <w:r>
        <w:rPr>
          <w:noProof/>
        </w:rPr>
        <w:fldChar w:fldCharType="separate"/>
      </w:r>
      <w:r w:rsidR="00E16D65" w:rsidRPr="00E16D65">
        <w:rPr>
          <w:noProof/>
        </w:rPr>
        <w:t>Table 1</w:t>
      </w:r>
      <w:r>
        <w:rPr>
          <w:noProof/>
        </w:rPr>
        <w:fldChar w:fldCharType="end"/>
      </w:r>
      <w:r>
        <w:rPr>
          <w:noProof/>
        </w:rPr>
        <w:t xml:space="preserve"> summarises the main policy measures, which </w:t>
      </w:r>
      <w:r w:rsidRPr="00AA00FE">
        <w:rPr>
          <w:noProof/>
        </w:rPr>
        <w:t>are further explained in Annex 9.</w:t>
      </w:r>
      <w:r w:rsidRPr="1A232AA2">
        <w:rPr>
          <w:i/>
          <w:iCs/>
          <w:noProof/>
        </w:rPr>
        <w:t xml:space="preserve"> </w:t>
      </w:r>
    </w:p>
    <w:p w14:paraId="515D9ACC" w14:textId="2E587912" w:rsidR="00285741" w:rsidRPr="007A69B6" w:rsidRDefault="00285741">
      <w:pPr>
        <w:pStyle w:val="Caption"/>
        <w:keepNext/>
        <w:rPr>
          <w:noProof/>
          <w:sz w:val="20"/>
          <w:szCs w:val="20"/>
        </w:rPr>
      </w:pPr>
      <w:bookmarkStart w:id="61" w:name="_Ref206931205"/>
      <w:r w:rsidRPr="007A69B6">
        <w:rPr>
          <w:noProof/>
          <w:sz w:val="20"/>
          <w:szCs w:val="20"/>
        </w:rPr>
        <w:t xml:space="preserve">Table </w:t>
      </w:r>
      <w:r w:rsidRPr="007A69B6">
        <w:rPr>
          <w:noProof/>
          <w:sz w:val="20"/>
          <w:szCs w:val="20"/>
        </w:rPr>
        <w:fldChar w:fldCharType="begin"/>
      </w:r>
      <w:r w:rsidRPr="007A69B6">
        <w:rPr>
          <w:noProof/>
          <w:sz w:val="20"/>
          <w:szCs w:val="20"/>
        </w:rPr>
        <w:instrText xml:space="preserve"> SEQ Table \* ARABIC </w:instrText>
      </w:r>
      <w:r w:rsidRPr="007A69B6">
        <w:rPr>
          <w:noProof/>
          <w:sz w:val="20"/>
          <w:szCs w:val="20"/>
        </w:rPr>
        <w:fldChar w:fldCharType="separate"/>
      </w:r>
      <w:r w:rsidR="00E16D65">
        <w:rPr>
          <w:noProof/>
          <w:sz w:val="20"/>
          <w:szCs w:val="20"/>
        </w:rPr>
        <w:t>1</w:t>
      </w:r>
      <w:r w:rsidRPr="007A69B6">
        <w:rPr>
          <w:noProof/>
          <w:sz w:val="20"/>
          <w:szCs w:val="20"/>
        </w:rPr>
        <w:fldChar w:fldCharType="end"/>
      </w:r>
      <w:bookmarkEnd w:id="61"/>
      <w:r w:rsidRPr="007A69B6">
        <w:rPr>
          <w:noProof/>
          <w:sz w:val="20"/>
          <w:szCs w:val="20"/>
        </w:rPr>
        <w:t>: Main policy measures</w:t>
      </w:r>
    </w:p>
    <w:tbl>
      <w:tblPr>
        <w:tblStyle w:val="TableGrid"/>
        <w:tblW w:w="90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3612"/>
        <w:gridCol w:w="4347"/>
      </w:tblGrid>
      <w:tr w:rsidR="00285741" w:rsidRPr="001A153A" w14:paraId="3E654C42" w14:textId="77777777" w:rsidTr="0AF02254">
        <w:trPr>
          <w:trHeight w:val="300"/>
        </w:trPr>
        <w:tc>
          <w:tcPr>
            <w:tcW w:w="1061" w:type="dxa"/>
          </w:tcPr>
          <w:p w14:paraId="0F0876AE" w14:textId="77777777" w:rsidR="00285741" w:rsidRPr="000272AD" w:rsidRDefault="00285741">
            <w:pPr>
              <w:rPr>
                <w:b/>
                <w:noProof/>
                <w:szCs w:val="20"/>
              </w:rPr>
            </w:pPr>
            <w:r w:rsidRPr="000272AD">
              <w:rPr>
                <w:b/>
                <w:noProof/>
                <w:szCs w:val="20"/>
              </w:rPr>
              <w:t>Specific objectives</w:t>
            </w:r>
          </w:p>
        </w:tc>
        <w:tc>
          <w:tcPr>
            <w:tcW w:w="3612" w:type="dxa"/>
          </w:tcPr>
          <w:p w14:paraId="52BD9A45" w14:textId="77777777" w:rsidR="00285741" w:rsidRPr="006A2123" w:rsidRDefault="00285741">
            <w:pPr>
              <w:rPr>
                <w:b/>
                <w:bCs/>
                <w:noProof/>
                <w:szCs w:val="20"/>
              </w:rPr>
            </w:pPr>
            <w:r w:rsidRPr="006A2123">
              <w:rPr>
                <w:b/>
                <w:bCs/>
                <w:noProof/>
                <w:szCs w:val="20"/>
              </w:rPr>
              <w:t xml:space="preserve">Measures considered </w:t>
            </w:r>
          </w:p>
        </w:tc>
        <w:tc>
          <w:tcPr>
            <w:tcW w:w="4347" w:type="dxa"/>
          </w:tcPr>
          <w:p w14:paraId="4ED43796" w14:textId="77777777" w:rsidR="00285741" w:rsidRPr="006A2123" w:rsidRDefault="00285741">
            <w:pPr>
              <w:rPr>
                <w:b/>
                <w:bCs/>
                <w:noProof/>
                <w:szCs w:val="20"/>
              </w:rPr>
            </w:pPr>
            <w:r w:rsidRPr="006A2123">
              <w:rPr>
                <w:b/>
                <w:bCs/>
                <w:noProof/>
                <w:szCs w:val="20"/>
              </w:rPr>
              <w:t>Policy design elements</w:t>
            </w:r>
          </w:p>
        </w:tc>
      </w:tr>
      <w:tr w:rsidR="00285741" w:rsidRPr="001A153A" w14:paraId="5152C7F6" w14:textId="77777777" w:rsidTr="0AF02254">
        <w:trPr>
          <w:trHeight w:val="402"/>
        </w:trPr>
        <w:tc>
          <w:tcPr>
            <w:tcW w:w="1061" w:type="dxa"/>
            <w:vMerge w:val="restart"/>
          </w:tcPr>
          <w:p w14:paraId="4F2B66DA" w14:textId="77777777" w:rsidR="00285741" w:rsidRPr="000272AD" w:rsidRDefault="00285741">
            <w:pPr>
              <w:rPr>
                <w:b/>
                <w:noProof/>
                <w:szCs w:val="20"/>
              </w:rPr>
            </w:pPr>
            <w:r w:rsidRPr="000272AD">
              <w:rPr>
                <w:b/>
                <w:noProof/>
                <w:szCs w:val="20"/>
              </w:rPr>
              <w:t xml:space="preserve">(SO1) </w:t>
            </w:r>
          </w:p>
        </w:tc>
        <w:tc>
          <w:tcPr>
            <w:tcW w:w="3612" w:type="dxa"/>
          </w:tcPr>
          <w:p w14:paraId="4F15A218" w14:textId="77777777" w:rsidR="00285741" w:rsidRPr="006A2123" w:rsidRDefault="00285741">
            <w:pPr>
              <w:rPr>
                <w:noProof/>
                <w:szCs w:val="20"/>
              </w:rPr>
            </w:pPr>
            <w:r w:rsidRPr="006A2123">
              <w:rPr>
                <w:noProof/>
                <w:szCs w:val="20"/>
              </w:rPr>
              <w:t xml:space="preserve">LAB 1 - Development of a low-carbon product label for </w:t>
            </w:r>
            <w:r w:rsidRPr="006A2123">
              <w:rPr>
                <w:b/>
                <w:bCs/>
                <w:noProof/>
                <w:szCs w:val="20"/>
              </w:rPr>
              <w:t xml:space="preserve">all EIIs </w:t>
            </w:r>
          </w:p>
        </w:tc>
        <w:tc>
          <w:tcPr>
            <w:tcW w:w="4347" w:type="dxa"/>
          </w:tcPr>
          <w:p w14:paraId="0BF857F3" w14:textId="77777777" w:rsidR="00285741" w:rsidRPr="006A2123" w:rsidRDefault="00285741">
            <w:pPr>
              <w:rPr>
                <w:noProof/>
                <w:szCs w:val="20"/>
              </w:rPr>
            </w:pPr>
            <w:r>
              <w:rPr>
                <w:noProof/>
                <w:szCs w:val="20"/>
              </w:rPr>
              <w:t>Focussed on</w:t>
            </w:r>
            <w:r w:rsidRPr="006A2123">
              <w:rPr>
                <w:noProof/>
                <w:szCs w:val="20"/>
              </w:rPr>
              <w:t xml:space="preserve"> principles</w:t>
            </w:r>
          </w:p>
        </w:tc>
      </w:tr>
      <w:tr w:rsidR="00285741" w:rsidRPr="001A153A" w14:paraId="34C30231" w14:textId="77777777" w:rsidTr="0AF02254">
        <w:trPr>
          <w:trHeight w:val="465"/>
        </w:trPr>
        <w:tc>
          <w:tcPr>
            <w:tcW w:w="1061" w:type="dxa"/>
            <w:vMerge/>
          </w:tcPr>
          <w:p w14:paraId="6FCE1B88" w14:textId="77777777" w:rsidR="00285741" w:rsidRPr="000272AD" w:rsidRDefault="00285741">
            <w:pPr>
              <w:rPr>
                <w:b/>
                <w:noProof/>
                <w:szCs w:val="20"/>
              </w:rPr>
            </w:pPr>
          </w:p>
        </w:tc>
        <w:tc>
          <w:tcPr>
            <w:tcW w:w="3612" w:type="dxa"/>
          </w:tcPr>
          <w:p w14:paraId="51031136" w14:textId="77777777" w:rsidR="00285741" w:rsidRPr="006A2123" w:rsidRDefault="00285741">
            <w:pPr>
              <w:rPr>
                <w:noProof/>
                <w:szCs w:val="20"/>
              </w:rPr>
            </w:pPr>
            <w:r w:rsidRPr="006A2123">
              <w:rPr>
                <w:noProof/>
                <w:szCs w:val="20"/>
              </w:rPr>
              <w:t xml:space="preserve">LAB 2 - Development of a low-carbon product label </w:t>
            </w:r>
            <w:r w:rsidRPr="006A2123">
              <w:rPr>
                <w:b/>
                <w:bCs/>
                <w:noProof/>
                <w:szCs w:val="20"/>
              </w:rPr>
              <w:t>for steel</w:t>
            </w:r>
            <w:r w:rsidRPr="006A2123">
              <w:rPr>
                <w:noProof/>
                <w:szCs w:val="20"/>
              </w:rPr>
              <w:t xml:space="preserve"> </w:t>
            </w:r>
          </w:p>
        </w:tc>
        <w:tc>
          <w:tcPr>
            <w:tcW w:w="4347" w:type="dxa"/>
          </w:tcPr>
          <w:p w14:paraId="7DB83887" w14:textId="77777777" w:rsidR="00285741" w:rsidRPr="006A2123" w:rsidRDefault="00285741">
            <w:pPr>
              <w:rPr>
                <w:noProof/>
                <w:szCs w:val="20"/>
              </w:rPr>
            </w:pPr>
            <w:r w:rsidRPr="006A2123">
              <w:rPr>
                <w:noProof/>
                <w:szCs w:val="20"/>
              </w:rPr>
              <w:t xml:space="preserve">LAB 2.1 - Determination GHG-intensity and system boundaries </w:t>
            </w:r>
          </w:p>
          <w:p w14:paraId="1F5D932C" w14:textId="77777777" w:rsidR="00285741" w:rsidRPr="006A2123" w:rsidRDefault="00285741">
            <w:pPr>
              <w:rPr>
                <w:noProof/>
                <w:szCs w:val="20"/>
              </w:rPr>
            </w:pPr>
            <w:r w:rsidRPr="006A2123">
              <w:rPr>
                <w:noProof/>
                <w:szCs w:val="20"/>
              </w:rPr>
              <w:t xml:space="preserve">LAB 2.2 - Classification </w:t>
            </w:r>
          </w:p>
          <w:p w14:paraId="63E3C9D6" w14:textId="77777777" w:rsidR="00285741" w:rsidRPr="006A2123" w:rsidRDefault="00285741">
            <w:pPr>
              <w:rPr>
                <w:noProof/>
                <w:szCs w:val="20"/>
              </w:rPr>
            </w:pPr>
            <w:r w:rsidRPr="006A2123">
              <w:rPr>
                <w:noProof/>
                <w:szCs w:val="20"/>
              </w:rPr>
              <w:t xml:space="preserve">LAB 2.3 - Ensuring data quality </w:t>
            </w:r>
          </w:p>
        </w:tc>
      </w:tr>
      <w:tr w:rsidR="00285741" w:rsidRPr="001A153A" w14:paraId="2A4E5D1A" w14:textId="77777777" w:rsidTr="0AF02254">
        <w:trPr>
          <w:trHeight w:val="245"/>
        </w:trPr>
        <w:tc>
          <w:tcPr>
            <w:tcW w:w="1061" w:type="dxa"/>
            <w:vMerge w:val="restart"/>
          </w:tcPr>
          <w:p w14:paraId="3837D769" w14:textId="77777777" w:rsidR="00285741" w:rsidRPr="00D66EFC" w:rsidRDefault="00285741" w:rsidP="38BBBED6">
            <w:pPr>
              <w:rPr>
                <w:b/>
                <w:bCs/>
                <w:noProof/>
              </w:rPr>
            </w:pPr>
            <w:r w:rsidRPr="38BBBED6">
              <w:rPr>
                <w:b/>
                <w:bCs/>
                <w:noProof/>
              </w:rPr>
              <w:t>(SO2)</w:t>
            </w:r>
            <w:r w:rsidRPr="38BBBED6">
              <w:rPr>
                <w:rStyle w:val="FootnoteReference"/>
                <w:b/>
                <w:bCs/>
                <w:noProof/>
              </w:rPr>
              <w:footnoteReference w:id="126"/>
            </w:r>
          </w:p>
        </w:tc>
        <w:tc>
          <w:tcPr>
            <w:tcW w:w="3612" w:type="dxa"/>
          </w:tcPr>
          <w:p w14:paraId="514FA72B" w14:textId="77777777" w:rsidR="00285741" w:rsidRPr="00D66EFC" w:rsidRDefault="00285741" w:rsidP="38BBBED6">
            <w:pPr>
              <w:rPr>
                <w:noProof/>
              </w:rPr>
            </w:pPr>
            <w:r>
              <w:rPr>
                <w:noProof/>
              </w:rPr>
              <w:t xml:space="preserve">LEAD_EII 1 - Low-carbon requirements on EIIs products used in public procurement and support schemes in selected downstream sectors </w:t>
            </w:r>
          </w:p>
        </w:tc>
        <w:tc>
          <w:tcPr>
            <w:tcW w:w="4347" w:type="dxa"/>
            <w:vMerge w:val="restart"/>
          </w:tcPr>
          <w:p w14:paraId="77CCF628" w14:textId="77777777" w:rsidR="00285741" w:rsidRPr="006A2123" w:rsidRDefault="00285741">
            <w:pPr>
              <w:rPr>
                <w:noProof/>
              </w:rPr>
            </w:pPr>
            <w:r w:rsidRPr="14FF5077">
              <w:rPr>
                <w:b/>
                <w:bCs/>
                <w:noProof/>
              </w:rPr>
              <w:t>Scope</w:t>
            </w:r>
            <w:r>
              <w:rPr>
                <w:noProof/>
              </w:rPr>
              <w:t xml:space="preserve">: EIIs (i.e. steel, cement and aluminium) outputs used in automotive and construction sectors </w:t>
            </w:r>
          </w:p>
          <w:p w14:paraId="0D0C5F0F" w14:textId="3ED4E968" w:rsidR="00285741" w:rsidRPr="00317E4A" w:rsidRDefault="00285741">
            <w:pPr>
              <w:rPr>
                <w:noProof/>
              </w:rPr>
            </w:pPr>
            <w:r w:rsidRPr="0AF02254">
              <w:rPr>
                <w:b/>
                <w:bCs/>
                <w:noProof/>
              </w:rPr>
              <w:t>Low</w:t>
            </w:r>
            <w:r w:rsidR="00832DDB" w:rsidRPr="0AF02254">
              <w:rPr>
                <w:b/>
                <w:bCs/>
                <w:noProof/>
              </w:rPr>
              <w:t>-</w:t>
            </w:r>
            <w:r w:rsidRPr="0AF02254">
              <w:rPr>
                <w:b/>
                <w:bCs/>
                <w:noProof/>
              </w:rPr>
              <w:t>carbon</w:t>
            </w:r>
            <w:r>
              <w:rPr>
                <w:noProof/>
              </w:rPr>
              <w:t xml:space="preserve">: minimum percentage (%) of low-carbon steel in automotive and construction </w:t>
            </w:r>
          </w:p>
          <w:p w14:paraId="2EA7861C" w14:textId="77777777" w:rsidR="00285741" w:rsidRPr="00317E4A" w:rsidRDefault="00285741">
            <w:pPr>
              <w:rPr>
                <w:noProof/>
                <w:szCs w:val="20"/>
              </w:rPr>
            </w:pPr>
            <w:r w:rsidRPr="00317E4A">
              <w:rPr>
                <w:noProof/>
                <w:szCs w:val="20"/>
              </w:rPr>
              <w:lastRenderedPageBreak/>
              <w:t xml:space="preserve">% of low-carbon </w:t>
            </w:r>
            <w:r w:rsidRPr="00317E4A" w:rsidDel="007F1277">
              <w:rPr>
                <w:noProof/>
                <w:szCs w:val="20"/>
              </w:rPr>
              <w:t xml:space="preserve">cement </w:t>
            </w:r>
            <w:r w:rsidRPr="00317E4A">
              <w:rPr>
                <w:noProof/>
                <w:szCs w:val="20"/>
              </w:rPr>
              <w:t xml:space="preserve">used in vehicles and construction projects </w:t>
            </w:r>
          </w:p>
          <w:p w14:paraId="6BD0BAD5" w14:textId="69B86D12" w:rsidR="00285741" w:rsidRPr="00317E4A" w:rsidRDefault="00E83DDC">
            <w:pPr>
              <w:rPr>
                <w:noProof/>
                <w:szCs w:val="20"/>
              </w:rPr>
            </w:pPr>
            <w:r>
              <w:rPr>
                <w:b/>
                <w:noProof/>
                <w:szCs w:val="20"/>
              </w:rPr>
              <w:t>Made in EU</w:t>
            </w:r>
            <w:r w:rsidR="00285741" w:rsidRPr="00317E4A">
              <w:rPr>
                <w:noProof/>
                <w:szCs w:val="20"/>
              </w:rPr>
              <w:t xml:space="preserve">: minimum percentage (%) of materials produced in the EU in </w:t>
            </w:r>
            <w:r w:rsidR="00285741">
              <w:rPr>
                <w:noProof/>
                <w:szCs w:val="20"/>
              </w:rPr>
              <w:t>vehicles and construction projects</w:t>
            </w:r>
            <w:r w:rsidR="00285741" w:rsidRPr="00317E4A">
              <w:rPr>
                <w:noProof/>
                <w:szCs w:val="20"/>
              </w:rPr>
              <w:t xml:space="preserve"> should be made in EU </w:t>
            </w:r>
          </w:p>
          <w:p w14:paraId="419C7557" w14:textId="57CF5A44" w:rsidR="00285741" w:rsidRPr="006A2123" w:rsidRDefault="00285741">
            <w:pPr>
              <w:rPr>
                <w:noProof/>
                <w:szCs w:val="20"/>
              </w:rPr>
            </w:pPr>
            <w:r w:rsidRPr="006A2123">
              <w:rPr>
                <w:b/>
                <w:bCs/>
                <w:noProof/>
                <w:szCs w:val="20"/>
              </w:rPr>
              <w:t>Target</w:t>
            </w:r>
            <w:r w:rsidRPr="006A2123">
              <w:rPr>
                <w:noProof/>
                <w:szCs w:val="20"/>
              </w:rPr>
              <w:t xml:space="preserve">: see </w:t>
            </w:r>
            <w:r w:rsidR="009849C1">
              <w:rPr>
                <w:noProof/>
                <w:szCs w:val="20"/>
              </w:rPr>
              <w:t>table 3 below</w:t>
            </w:r>
          </w:p>
        </w:tc>
      </w:tr>
      <w:tr w:rsidR="00285741" w:rsidRPr="001A153A" w14:paraId="226BBB9C" w14:textId="77777777" w:rsidTr="0AF02254">
        <w:trPr>
          <w:trHeight w:val="592"/>
        </w:trPr>
        <w:tc>
          <w:tcPr>
            <w:tcW w:w="1061" w:type="dxa"/>
            <w:vMerge/>
          </w:tcPr>
          <w:p w14:paraId="1B5687C3" w14:textId="77777777" w:rsidR="00285741" w:rsidRPr="00D66EFC" w:rsidRDefault="00285741">
            <w:pPr>
              <w:rPr>
                <w:b/>
                <w:bCs/>
                <w:noProof/>
                <w:szCs w:val="20"/>
              </w:rPr>
            </w:pPr>
          </w:p>
        </w:tc>
        <w:tc>
          <w:tcPr>
            <w:tcW w:w="3612" w:type="dxa"/>
          </w:tcPr>
          <w:p w14:paraId="61A30B18" w14:textId="23B03C03" w:rsidR="00285741" w:rsidRPr="00317E4A" w:rsidRDefault="00285741" w:rsidP="38BBBED6">
            <w:pPr>
              <w:rPr>
                <w:rFonts w:eastAsia="Aptos"/>
                <w:noProof/>
              </w:rPr>
            </w:pPr>
            <w:r>
              <w:rPr>
                <w:noProof/>
              </w:rPr>
              <w:t xml:space="preserve">LEAD_EII 2 – </w:t>
            </w:r>
            <w:r w:rsidRPr="0AF02254">
              <w:rPr>
                <w:rFonts w:eastAsia="Aptos"/>
                <w:noProof/>
              </w:rPr>
              <w:t>Low</w:t>
            </w:r>
            <w:r w:rsidR="00832DDB" w:rsidRPr="0AF02254">
              <w:rPr>
                <w:rFonts w:eastAsia="Aptos"/>
                <w:noProof/>
              </w:rPr>
              <w:t>-</w:t>
            </w:r>
            <w:r w:rsidRPr="0AF02254">
              <w:rPr>
                <w:rFonts w:eastAsia="Aptos"/>
                <w:noProof/>
              </w:rPr>
              <w:t xml:space="preserve">carbon </w:t>
            </w:r>
            <w:r w:rsidR="12CE5AC7" w:rsidRPr="0AF02254">
              <w:rPr>
                <w:rFonts w:eastAsia="Aptos"/>
                <w:noProof/>
              </w:rPr>
              <w:t xml:space="preserve">and Made in EU </w:t>
            </w:r>
            <w:r w:rsidRPr="0AF02254">
              <w:rPr>
                <w:rFonts w:eastAsia="Aptos"/>
                <w:noProof/>
              </w:rPr>
              <w:t xml:space="preserve">requirements on EII products </w:t>
            </w:r>
            <w:r w:rsidR="58AD4CBF">
              <w:rPr>
                <w:noProof/>
              </w:rPr>
              <w:t xml:space="preserve">used </w:t>
            </w:r>
            <w:r w:rsidRPr="0AF02254">
              <w:rPr>
                <w:rFonts w:eastAsia="Aptos"/>
                <w:noProof/>
              </w:rPr>
              <w:t>in public procurement and support schemes in selected downstream sectors</w:t>
            </w:r>
          </w:p>
        </w:tc>
        <w:tc>
          <w:tcPr>
            <w:tcW w:w="4347" w:type="dxa"/>
            <w:vMerge/>
          </w:tcPr>
          <w:p w14:paraId="46ED8DF5" w14:textId="77777777" w:rsidR="00285741" w:rsidRPr="000272AD" w:rsidRDefault="00285741">
            <w:pPr>
              <w:rPr>
                <w:noProof/>
                <w:szCs w:val="20"/>
              </w:rPr>
            </w:pPr>
          </w:p>
        </w:tc>
      </w:tr>
      <w:tr w:rsidR="00285741" w:rsidRPr="001A153A" w14:paraId="142A27EF" w14:textId="77777777" w:rsidTr="0AF02254">
        <w:trPr>
          <w:trHeight w:val="689"/>
        </w:trPr>
        <w:tc>
          <w:tcPr>
            <w:tcW w:w="1061" w:type="dxa"/>
            <w:vMerge/>
          </w:tcPr>
          <w:p w14:paraId="1A090DB7" w14:textId="77777777" w:rsidR="00285741" w:rsidRPr="00D66EFC" w:rsidRDefault="00285741">
            <w:pPr>
              <w:rPr>
                <w:b/>
                <w:bCs/>
                <w:noProof/>
                <w:szCs w:val="20"/>
              </w:rPr>
            </w:pPr>
          </w:p>
        </w:tc>
        <w:tc>
          <w:tcPr>
            <w:tcW w:w="3612" w:type="dxa"/>
          </w:tcPr>
          <w:p w14:paraId="685FE83D" w14:textId="2A003DE8" w:rsidR="00285741" w:rsidRPr="00D66EFC" w:rsidRDefault="00285741" w:rsidP="38BBBED6">
            <w:pPr>
              <w:rPr>
                <w:rFonts w:eastAsia="Aptos"/>
                <w:noProof/>
              </w:rPr>
            </w:pPr>
            <w:r>
              <w:rPr>
                <w:noProof/>
              </w:rPr>
              <w:t xml:space="preserve">LEAD_EII 3 </w:t>
            </w:r>
            <w:r w:rsidR="00832DDB">
              <w:rPr>
                <w:noProof/>
              </w:rPr>
              <w:t>–</w:t>
            </w:r>
            <w:r>
              <w:rPr>
                <w:noProof/>
              </w:rPr>
              <w:t xml:space="preserve"> </w:t>
            </w:r>
            <w:r w:rsidRPr="0AF02254">
              <w:rPr>
                <w:rFonts w:eastAsia="Aptos"/>
                <w:noProof/>
              </w:rPr>
              <w:t>Low</w:t>
            </w:r>
            <w:r w:rsidR="00832DDB" w:rsidRPr="0AF02254">
              <w:rPr>
                <w:rFonts w:eastAsia="Aptos"/>
                <w:noProof/>
              </w:rPr>
              <w:t>-</w:t>
            </w:r>
            <w:r w:rsidRPr="0AF02254">
              <w:rPr>
                <w:rFonts w:eastAsia="Aptos"/>
                <w:noProof/>
              </w:rPr>
              <w:t xml:space="preserve">carbon and made in EU </w:t>
            </w:r>
            <w:r>
              <w:rPr>
                <w:noProof/>
              </w:rPr>
              <w:t xml:space="preserve">requirements </w:t>
            </w:r>
            <w:r w:rsidRPr="0AF02254">
              <w:rPr>
                <w:rFonts w:eastAsia="Aptos"/>
                <w:noProof/>
              </w:rPr>
              <w:t>for EII products placed on the market in selected downstream sectors</w:t>
            </w:r>
          </w:p>
        </w:tc>
        <w:tc>
          <w:tcPr>
            <w:tcW w:w="4347" w:type="dxa"/>
            <w:vMerge/>
          </w:tcPr>
          <w:p w14:paraId="425D664B" w14:textId="77777777" w:rsidR="00285741" w:rsidRPr="000272AD" w:rsidRDefault="00285741">
            <w:pPr>
              <w:rPr>
                <w:noProof/>
                <w:szCs w:val="20"/>
              </w:rPr>
            </w:pPr>
          </w:p>
        </w:tc>
      </w:tr>
      <w:tr w:rsidR="00285741" w:rsidRPr="001A153A" w14:paraId="73950D43" w14:textId="77777777" w:rsidTr="0AF02254">
        <w:trPr>
          <w:trHeight w:val="642"/>
        </w:trPr>
        <w:tc>
          <w:tcPr>
            <w:tcW w:w="1061" w:type="dxa"/>
            <w:vMerge/>
          </w:tcPr>
          <w:p w14:paraId="304AC9C0" w14:textId="77777777" w:rsidR="00285741" w:rsidRPr="00D66EFC" w:rsidRDefault="00285741">
            <w:pPr>
              <w:rPr>
                <w:b/>
                <w:bCs/>
                <w:noProof/>
                <w:szCs w:val="20"/>
              </w:rPr>
            </w:pPr>
          </w:p>
        </w:tc>
        <w:tc>
          <w:tcPr>
            <w:tcW w:w="3612" w:type="dxa"/>
          </w:tcPr>
          <w:p w14:paraId="402AA0FE" w14:textId="77777777" w:rsidR="00285741" w:rsidRPr="000272AD" w:rsidRDefault="00285741" w:rsidP="38BBBED6">
            <w:pPr>
              <w:rPr>
                <w:rFonts w:eastAsia="Aptos"/>
                <w:noProof/>
              </w:rPr>
            </w:pPr>
            <w:r>
              <w:rPr>
                <w:noProof/>
              </w:rPr>
              <w:t>LEAD_BAT 1 – Made in EU requirements in batteries</w:t>
            </w:r>
            <w:r w:rsidRPr="0AF02254">
              <w:rPr>
                <w:rFonts w:eastAsia="Aptos"/>
                <w:noProof/>
              </w:rPr>
              <w:t xml:space="preserve"> for public procurement, auctions, and public support schemes</w:t>
            </w:r>
          </w:p>
        </w:tc>
        <w:tc>
          <w:tcPr>
            <w:tcW w:w="4347" w:type="dxa"/>
            <w:vMerge w:val="restart"/>
          </w:tcPr>
          <w:p w14:paraId="3E6F0CBC" w14:textId="77777777" w:rsidR="00285741" w:rsidRPr="00D5587C" w:rsidRDefault="00285741">
            <w:pPr>
              <w:rPr>
                <w:noProof/>
                <w:szCs w:val="20"/>
              </w:rPr>
            </w:pPr>
            <w:r w:rsidRPr="006A2123">
              <w:rPr>
                <w:b/>
                <w:bCs/>
                <w:noProof/>
                <w:szCs w:val="20"/>
              </w:rPr>
              <w:t>Scope</w:t>
            </w:r>
            <w:r w:rsidRPr="00D5587C">
              <w:rPr>
                <w:noProof/>
                <w:szCs w:val="20"/>
              </w:rPr>
              <w:t xml:space="preserve">: Batteries </w:t>
            </w:r>
          </w:p>
          <w:p w14:paraId="454867AE" w14:textId="633D3629" w:rsidR="00285741" w:rsidRDefault="00E83DDC">
            <w:pPr>
              <w:rPr>
                <w:b/>
                <w:bCs/>
                <w:noProof/>
                <w:szCs w:val="20"/>
              </w:rPr>
            </w:pPr>
            <w:r>
              <w:rPr>
                <w:b/>
                <w:bCs/>
                <w:noProof/>
                <w:szCs w:val="20"/>
              </w:rPr>
              <w:t>Made in EU</w:t>
            </w:r>
            <w:r w:rsidR="00285741" w:rsidRPr="00D5587C">
              <w:rPr>
                <w:noProof/>
                <w:szCs w:val="20"/>
              </w:rPr>
              <w:t xml:space="preserve">: minimum </w:t>
            </w:r>
            <w:r w:rsidR="00285741">
              <w:rPr>
                <w:noProof/>
                <w:szCs w:val="20"/>
              </w:rPr>
              <w:t>number</w:t>
            </w:r>
            <w:r w:rsidR="00285741" w:rsidRPr="00D5587C">
              <w:rPr>
                <w:noProof/>
                <w:szCs w:val="20"/>
              </w:rPr>
              <w:t xml:space="preserve"> of the </w:t>
            </w:r>
            <w:r w:rsidR="00285741">
              <w:rPr>
                <w:noProof/>
                <w:szCs w:val="20"/>
              </w:rPr>
              <w:t xml:space="preserve">main components </w:t>
            </w:r>
            <w:r w:rsidR="00285741" w:rsidRPr="00D5587C">
              <w:rPr>
                <w:noProof/>
                <w:szCs w:val="20"/>
              </w:rPr>
              <w:t>of the battery end-product manufactured in the EU</w:t>
            </w:r>
          </w:p>
          <w:p w14:paraId="05BE60D2" w14:textId="74EE4193" w:rsidR="00285741" w:rsidRPr="00D5587C" w:rsidRDefault="00285741">
            <w:pPr>
              <w:rPr>
                <w:noProof/>
                <w:szCs w:val="20"/>
              </w:rPr>
            </w:pPr>
            <w:r w:rsidRPr="00D5587C">
              <w:rPr>
                <w:b/>
                <w:bCs/>
                <w:noProof/>
                <w:szCs w:val="20"/>
              </w:rPr>
              <w:t>Target</w:t>
            </w:r>
            <w:r w:rsidRPr="00D5587C">
              <w:rPr>
                <w:noProof/>
                <w:szCs w:val="20"/>
              </w:rPr>
              <w:t xml:space="preserve">: see </w:t>
            </w:r>
            <w:r w:rsidR="009849C1">
              <w:rPr>
                <w:noProof/>
                <w:szCs w:val="20"/>
              </w:rPr>
              <w:t>table 3 below</w:t>
            </w:r>
          </w:p>
        </w:tc>
      </w:tr>
      <w:tr w:rsidR="00285741" w:rsidRPr="001A153A" w14:paraId="105C6CE1" w14:textId="77777777" w:rsidTr="0AF02254">
        <w:trPr>
          <w:trHeight w:val="435"/>
        </w:trPr>
        <w:tc>
          <w:tcPr>
            <w:tcW w:w="1061" w:type="dxa"/>
            <w:vMerge/>
          </w:tcPr>
          <w:p w14:paraId="382AAD4A" w14:textId="77777777" w:rsidR="00285741" w:rsidRPr="00D66EFC" w:rsidRDefault="00285741">
            <w:pPr>
              <w:rPr>
                <w:b/>
                <w:bCs/>
                <w:noProof/>
                <w:szCs w:val="20"/>
              </w:rPr>
            </w:pPr>
          </w:p>
        </w:tc>
        <w:tc>
          <w:tcPr>
            <w:tcW w:w="3612" w:type="dxa"/>
          </w:tcPr>
          <w:p w14:paraId="5846C3BA" w14:textId="77777777" w:rsidR="00285741" w:rsidRPr="00D66EFC" w:rsidRDefault="00285741" w:rsidP="38BBBED6">
            <w:pPr>
              <w:rPr>
                <w:rFonts w:eastAsia="Aptos"/>
                <w:noProof/>
              </w:rPr>
            </w:pPr>
            <w:r>
              <w:rPr>
                <w:noProof/>
              </w:rPr>
              <w:t xml:space="preserve">LEAD_BAT 2 – Made in </w:t>
            </w:r>
            <w:r w:rsidRPr="0AF02254">
              <w:rPr>
                <w:rFonts w:eastAsia="Aptos"/>
                <w:noProof/>
              </w:rPr>
              <w:t>EU requirements in batteries placed on the market</w:t>
            </w:r>
          </w:p>
        </w:tc>
        <w:tc>
          <w:tcPr>
            <w:tcW w:w="4347" w:type="dxa"/>
            <w:vMerge/>
          </w:tcPr>
          <w:p w14:paraId="2DCF9A3A" w14:textId="77777777" w:rsidR="00285741" w:rsidRPr="00D5587C" w:rsidRDefault="00285741">
            <w:pPr>
              <w:rPr>
                <w:noProof/>
                <w:szCs w:val="20"/>
              </w:rPr>
            </w:pPr>
          </w:p>
        </w:tc>
      </w:tr>
      <w:tr w:rsidR="00285741" w:rsidRPr="001A153A" w14:paraId="180CE9F3" w14:textId="77777777" w:rsidTr="0AF02254">
        <w:trPr>
          <w:trHeight w:val="644"/>
        </w:trPr>
        <w:tc>
          <w:tcPr>
            <w:tcW w:w="1061" w:type="dxa"/>
            <w:vMerge/>
          </w:tcPr>
          <w:p w14:paraId="44C9A3FE" w14:textId="77777777" w:rsidR="00285741" w:rsidRPr="00D66EFC" w:rsidRDefault="00285741">
            <w:pPr>
              <w:rPr>
                <w:b/>
                <w:bCs/>
                <w:noProof/>
                <w:szCs w:val="20"/>
              </w:rPr>
            </w:pPr>
          </w:p>
        </w:tc>
        <w:tc>
          <w:tcPr>
            <w:tcW w:w="3612" w:type="dxa"/>
          </w:tcPr>
          <w:p w14:paraId="06A52038" w14:textId="5D125B53" w:rsidR="00285741" w:rsidRPr="00D66EFC" w:rsidRDefault="00285741" w:rsidP="38BBBED6">
            <w:pPr>
              <w:rPr>
                <w:rFonts w:eastAsia="Aptos"/>
                <w:noProof/>
              </w:rPr>
            </w:pPr>
            <w:r>
              <w:rPr>
                <w:noProof/>
              </w:rPr>
              <w:t xml:space="preserve">LEAD_SOL 1 – Made in </w:t>
            </w:r>
            <w:r w:rsidRPr="0AF02254">
              <w:rPr>
                <w:rFonts w:eastAsia="Aptos"/>
                <w:noProof/>
              </w:rPr>
              <w:t xml:space="preserve">EU requirements in solar </w:t>
            </w:r>
            <w:r w:rsidR="03EF96E3" w:rsidRPr="0AF02254">
              <w:rPr>
                <w:rFonts w:eastAsia="Aptos"/>
                <w:noProof/>
              </w:rPr>
              <w:t xml:space="preserve">PV </w:t>
            </w:r>
            <w:r w:rsidR="03EF96E3">
              <w:rPr>
                <w:noProof/>
              </w:rPr>
              <w:t>systems</w:t>
            </w:r>
            <w:r w:rsidR="03EF96E3" w:rsidRPr="0AF02254">
              <w:rPr>
                <w:rFonts w:eastAsia="Aptos"/>
                <w:noProof/>
              </w:rPr>
              <w:t xml:space="preserve"> </w:t>
            </w:r>
            <w:r w:rsidRPr="0AF02254">
              <w:rPr>
                <w:rFonts w:eastAsia="Aptos"/>
                <w:noProof/>
              </w:rPr>
              <w:t>for public procurement, auctions, and public support schemes</w:t>
            </w:r>
          </w:p>
        </w:tc>
        <w:tc>
          <w:tcPr>
            <w:tcW w:w="4347" w:type="dxa"/>
            <w:vMerge w:val="restart"/>
          </w:tcPr>
          <w:p w14:paraId="07D1A8C3" w14:textId="77777777" w:rsidR="00285741" w:rsidRPr="00D5587C" w:rsidRDefault="00285741">
            <w:pPr>
              <w:rPr>
                <w:noProof/>
                <w:szCs w:val="20"/>
              </w:rPr>
            </w:pPr>
            <w:r w:rsidRPr="00D5587C">
              <w:rPr>
                <w:b/>
                <w:bCs/>
                <w:noProof/>
                <w:szCs w:val="20"/>
              </w:rPr>
              <w:t>Scope</w:t>
            </w:r>
            <w:r w:rsidRPr="00D5587C">
              <w:rPr>
                <w:noProof/>
                <w:szCs w:val="20"/>
              </w:rPr>
              <w:t xml:space="preserve">: solar </w:t>
            </w:r>
            <w:r w:rsidRPr="00317E4A">
              <w:rPr>
                <w:noProof/>
                <w:szCs w:val="20"/>
              </w:rPr>
              <w:t>PV systems</w:t>
            </w:r>
          </w:p>
          <w:p w14:paraId="1143FEF5" w14:textId="3E53AEF1" w:rsidR="00285741" w:rsidRPr="00D5587C" w:rsidRDefault="00E83DDC">
            <w:pPr>
              <w:rPr>
                <w:noProof/>
                <w:szCs w:val="20"/>
              </w:rPr>
            </w:pPr>
            <w:r>
              <w:rPr>
                <w:b/>
                <w:noProof/>
                <w:szCs w:val="20"/>
              </w:rPr>
              <w:t>Made in EU</w:t>
            </w:r>
            <w:r w:rsidR="00285741" w:rsidRPr="00317E4A">
              <w:rPr>
                <w:b/>
                <w:noProof/>
                <w:szCs w:val="20"/>
              </w:rPr>
              <w:t xml:space="preserve">: </w:t>
            </w:r>
            <w:r w:rsidR="00285741" w:rsidRPr="00317E4A">
              <w:rPr>
                <w:noProof/>
                <w:szCs w:val="20"/>
              </w:rPr>
              <w:t>minimum number of main specific components of the PV end-product manufactured in the EU</w:t>
            </w:r>
          </w:p>
          <w:p w14:paraId="7898C6BB" w14:textId="5583475D" w:rsidR="00285741" w:rsidRPr="00D5587C" w:rsidRDefault="00285741">
            <w:pPr>
              <w:rPr>
                <w:noProof/>
                <w:szCs w:val="20"/>
              </w:rPr>
            </w:pPr>
            <w:r w:rsidRPr="00D5587C">
              <w:rPr>
                <w:b/>
                <w:bCs/>
                <w:noProof/>
                <w:szCs w:val="20"/>
              </w:rPr>
              <w:t>Target</w:t>
            </w:r>
            <w:r w:rsidRPr="00D5587C">
              <w:rPr>
                <w:noProof/>
                <w:szCs w:val="20"/>
              </w:rPr>
              <w:t xml:space="preserve">: see </w:t>
            </w:r>
            <w:r w:rsidR="009849C1">
              <w:rPr>
                <w:noProof/>
                <w:szCs w:val="20"/>
              </w:rPr>
              <w:t>table 3 below</w:t>
            </w:r>
          </w:p>
        </w:tc>
      </w:tr>
      <w:tr w:rsidR="00285741" w:rsidRPr="001A153A" w14:paraId="54DB9A4A" w14:textId="77777777" w:rsidTr="0AF02254">
        <w:trPr>
          <w:trHeight w:val="111"/>
        </w:trPr>
        <w:tc>
          <w:tcPr>
            <w:tcW w:w="1061" w:type="dxa"/>
            <w:vMerge/>
          </w:tcPr>
          <w:p w14:paraId="4277C60D" w14:textId="77777777" w:rsidR="00285741" w:rsidRPr="00D66EFC" w:rsidRDefault="00285741">
            <w:pPr>
              <w:rPr>
                <w:b/>
                <w:bCs/>
                <w:noProof/>
                <w:szCs w:val="20"/>
              </w:rPr>
            </w:pPr>
          </w:p>
        </w:tc>
        <w:tc>
          <w:tcPr>
            <w:tcW w:w="3612" w:type="dxa"/>
          </w:tcPr>
          <w:p w14:paraId="07F5B219" w14:textId="77777777" w:rsidR="00285741" w:rsidRPr="00D66EFC" w:rsidRDefault="00285741" w:rsidP="38BBBED6">
            <w:pPr>
              <w:rPr>
                <w:rFonts w:eastAsia="Aptos"/>
                <w:noProof/>
              </w:rPr>
            </w:pPr>
            <w:r>
              <w:rPr>
                <w:noProof/>
              </w:rPr>
              <w:t xml:space="preserve">LEAD_SOL 2 – Made in </w:t>
            </w:r>
            <w:r w:rsidRPr="0AF02254">
              <w:rPr>
                <w:rFonts w:eastAsia="Aptos"/>
                <w:noProof/>
              </w:rPr>
              <w:t xml:space="preserve">EU requirements in solar PV </w:t>
            </w:r>
            <w:r>
              <w:rPr>
                <w:noProof/>
              </w:rPr>
              <w:t>systems</w:t>
            </w:r>
            <w:r w:rsidRPr="0AF02254">
              <w:rPr>
                <w:rFonts w:eastAsia="Aptos"/>
                <w:noProof/>
              </w:rPr>
              <w:t xml:space="preserve"> placed on the market</w:t>
            </w:r>
          </w:p>
        </w:tc>
        <w:tc>
          <w:tcPr>
            <w:tcW w:w="4347" w:type="dxa"/>
            <w:vMerge/>
          </w:tcPr>
          <w:p w14:paraId="77BE2698" w14:textId="77777777" w:rsidR="00285741" w:rsidRPr="00D5587C" w:rsidRDefault="00285741">
            <w:pPr>
              <w:rPr>
                <w:noProof/>
                <w:szCs w:val="20"/>
              </w:rPr>
            </w:pPr>
          </w:p>
        </w:tc>
      </w:tr>
      <w:tr w:rsidR="00285741" w:rsidRPr="001A153A" w14:paraId="500D29E8" w14:textId="77777777" w:rsidTr="0AF02254">
        <w:trPr>
          <w:trHeight w:val="644"/>
        </w:trPr>
        <w:tc>
          <w:tcPr>
            <w:tcW w:w="1061" w:type="dxa"/>
            <w:vMerge/>
          </w:tcPr>
          <w:p w14:paraId="07BAF981" w14:textId="77777777" w:rsidR="00285741" w:rsidRPr="00D66EFC" w:rsidRDefault="00285741">
            <w:pPr>
              <w:rPr>
                <w:b/>
                <w:noProof/>
                <w:szCs w:val="20"/>
              </w:rPr>
            </w:pPr>
          </w:p>
        </w:tc>
        <w:tc>
          <w:tcPr>
            <w:tcW w:w="3612" w:type="dxa"/>
          </w:tcPr>
          <w:p w14:paraId="2B027D91" w14:textId="77777777" w:rsidR="00285741" w:rsidRPr="00D66EFC" w:rsidRDefault="00285741" w:rsidP="38BBBED6">
            <w:pPr>
              <w:rPr>
                <w:noProof/>
              </w:rPr>
            </w:pPr>
            <w:r w:rsidRPr="38BBBED6">
              <w:rPr>
                <w:noProof/>
              </w:rPr>
              <w:t>LEAD_VC 1 – Made in EU requirements for vehicle components for public procurements</w:t>
            </w:r>
            <w:r w:rsidRPr="38BBBED6">
              <w:rPr>
                <w:rStyle w:val="FootnoteReference"/>
                <w:noProof/>
              </w:rPr>
              <w:footnoteReference w:id="127"/>
            </w:r>
            <w:r w:rsidRPr="38BBBED6">
              <w:rPr>
                <w:noProof/>
              </w:rPr>
              <w:t xml:space="preserve"> and support schemes</w:t>
            </w:r>
          </w:p>
        </w:tc>
        <w:tc>
          <w:tcPr>
            <w:tcW w:w="4347" w:type="dxa"/>
            <w:vMerge w:val="restart"/>
          </w:tcPr>
          <w:p w14:paraId="1997E3E4" w14:textId="77777777" w:rsidR="00285741" w:rsidRPr="000272AD" w:rsidRDefault="00285741">
            <w:pPr>
              <w:rPr>
                <w:noProof/>
                <w:szCs w:val="20"/>
              </w:rPr>
            </w:pPr>
            <w:r w:rsidRPr="000272AD">
              <w:rPr>
                <w:b/>
                <w:noProof/>
                <w:szCs w:val="20"/>
              </w:rPr>
              <w:t>Scope</w:t>
            </w:r>
            <w:r w:rsidRPr="000272AD">
              <w:rPr>
                <w:noProof/>
                <w:szCs w:val="20"/>
              </w:rPr>
              <w:t xml:space="preserve">: </w:t>
            </w:r>
            <w:r w:rsidRPr="00317E4A">
              <w:rPr>
                <w:noProof/>
                <w:szCs w:val="20"/>
              </w:rPr>
              <w:t xml:space="preserve">Electric </w:t>
            </w:r>
            <w:r w:rsidRPr="000272AD">
              <w:rPr>
                <w:noProof/>
                <w:szCs w:val="20"/>
              </w:rPr>
              <w:t>vehicle</w:t>
            </w:r>
            <w:r w:rsidRPr="00317E4A">
              <w:rPr>
                <w:rStyle w:val="FootnoteReference"/>
                <w:noProof/>
                <w:szCs w:val="20"/>
              </w:rPr>
              <w:footnoteReference w:id="128"/>
            </w:r>
            <w:r w:rsidRPr="000272AD">
              <w:rPr>
                <w:noProof/>
                <w:szCs w:val="20"/>
              </w:rPr>
              <w:t xml:space="preserve"> components</w:t>
            </w:r>
            <w:r>
              <w:rPr>
                <w:noProof/>
                <w:szCs w:val="20"/>
              </w:rPr>
              <w:t xml:space="preserve"> (excluding batteries)</w:t>
            </w:r>
          </w:p>
          <w:p w14:paraId="730E6EDA" w14:textId="494BEBEA" w:rsidR="00285741" w:rsidRPr="00D66EFC" w:rsidRDefault="00E83DDC">
            <w:pPr>
              <w:rPr>
                <w:noProof/>
              </w:rPr>
            </w:pPr>
            <w:r>
              <w:rPr>
                <w:b/>
                <w:noProof/>
              </w:rPr>
              <w:t>Made in EU</w:t>
            </w:r>
            <w:r w:rsidR="00285741" w:rsidRPr="09CA0190">
              <w:rPr>
                <w:noProof/>
              </w:rPr>
              <w:t>:</w:t>
            </w:r>
            <w:r w:rsidR="00285741" w:rsidRPr="2728886E">
              <w:rPr>
                <w:i/>
                <w:noProof/>
              </w:rPr>
              <w:t xml:space="preserve"> </w:t>
            </w:r>
            <w:r w:rsidR="00285741" w:rsidRPr="00596E98">
              <w:rPr>
                <w:noProof/>
                <w:szCs w:val="20"/>
              </w:rPr>
              <w:t>minimum share (%) of EU-made components over total components, in value, excluding batteries.</w:t>
            </w:r>
            <w:r w:rsidR="00285741" w:rsidRPr="09CA0190">
              <w:rPr>
                <w:rStyle w:val="FootnoteReference"/>
                <w:noProof/>
              </w:rPr>
              <w:footnoteReference w:id="129"/>
            </w:r>
          </w:p>
          <w:p w14:paraId="0BBF96E9" w14:textId="79136EB0" w:rsidR="00285741" w:rsidRPr="000272AD" w:rsidRDefault="00285741">
            <w:pPr>
              <w:rPr>
                <w:noProof/>
                <w:szCs w:val="20"/>
              </w:rPr>
            </w:pPr>
            <w:r w:rsidRPr="00D66EFC">
              <w:rPr>
                <w:b/>
                <w:bCs/>
                <w:noProof/>
                <w:szCs w:val="20"/>
              </w:rPr>
              <w:t>Target</w:t>
            </w:r>
            <w:r w:rsidRPr="00D66EFC">
              <w:rPr>
                <w:noProof/>
                <w:szCs w:val="20"/>
              </w:rPr>
              <w:t xml:space="preserve">: see </w:t>
            </w:r>
            <w:r w:rsidR="009849C1">
              <w:rPr>
                <w:noProof/>
                <w:szCs w:val="20"/>
              </w:rPr>
              <w:t>table 3 below</w:t>
            </w:r>
          </w:p>
        </w:tc>
      </w:tr>
      <w:tr w:rsidR="00285741" w:rsidRPr="001A153A" w14:paraId="005388E8" w14:textId="77777777" w:rsidTr="0AF02254">
        <w:trPr>
          <w:trHeight w:val="355"/>
        </w:trPr>
        <w:tc>
          <w:tcPr>
            <w:tcW w:w="1061" w:type="dxa"/>
            <w:vMerge/>
          </w:tcPr>
          <w:p w14:paraId="240D8B24" w14:textId="77777777" w:rsidR="00285741" w:rsidRPr="00D66EFC" w:rsidRDefault="00285741">
            <w:pPr>
              <w:rPr>
                <w:b/>
                <w:bCs/>
                <w:noProof/>
                <w:szCs w:val="20"/>
              </w:rPr>
            </w:pPr>
          </w:p>
        </w:tc>
        <w:tc>
          <w:tcPr>
            <w:tcW w:w="3612" w:type="dxa"/>
          </w:tcPr>
          <w:p w14:paraId="369FA019" w14:textId="77777777" w:rsidR="00285741" w:rsidRPr="000272AD" w:rsidRDefault="00285741" w:rsidP="38BBBED6">
            <w:pPr>
              <w:rPr>
                <w:rFonts w:eastAsia="Aptos"/>
                <w:noProof/>
              </w:rPr>
            </w:pPr>
            <w:r>
              <w:rPr>
                <w:noProof/>
              </w:rPr>
              <w:t xml:space="preserve">LEAD_VC 2 – Made in </w:t>
            </w:r>
            <w:r w:rsidRPr="0AF02254">
              <w:rPr>
                <w:rFonts w:eastAsia="Aptos"/>
                <w:noProof/>
              </w:rPr>
              <w:t>EU requirements for vehicle components placed on the market</w:t>
            </w:r>
          </w:p>
        </w:tc>
        <w:tc>
          <w:tcPr>
            <w:tcW w:w="4347" w:type="dxa"/>
            <w:vMerge/>
          </w:tcPr>
          <w:p w14:paraId="24CDA584" w14:textId="77777777" w:rsidR="00285741" w:rsidRPr="000272AD" w:rsidRDefault="00285741">
            <w:pPr>
              <w:rPr>
                <w:noProof/>
                <w:szCs w:val="20"/>
                <w:highlight w:val="cyan"/>
              </w:rPr>
            </w:pPr>
          </w:p>
        </w:tc>
      </w:tr>
      <w:tr w:rsidR="00285741" w:rsidRPr="001A153A" w14:paraId="04205F06" w14:textId="77777777" w:rsidTr="0AF02254">
        <w:trPr>
          <w:trHeight w:val="699"/>
        </w:trPr>
        <w:tc>
          <w:tcPr>
            <w:tcW w:w="1061" w:type="dxa"/>
            <w:vMerge w:val="restart"/>
          </w:tcPr>
          <w:p w14:paraId="1FB7D87E" w14:textId="77777777" w:rsidR="00285741" w:rsidRPr="00D5587C" w:rsidRDefault="00285741">
            <w:pPr>
              <w:rPr>
                <w:b/>
                <w:bCs/>
                <w:noProof/>
                <w:szCs w:val="20"/>
              </w:rPr>
            </w:pPr>
            <w:r w:rsidRPr="00D5587C">
              <w:rPr>
                <w:b/>
                <w:bCs/>
                <w:noProof/>
                <w:szCs w:val="20"/>
              </w:rPr>
              <w:t>(SO3)</w:t>
            </w:r>
          </w:p>
        </w:tc>
        <w:tc>
          <w:tcPr>
            <w:tcW w:w="3612" w:type="dxa"/>
          </w:tcPr>
          <w:p w14:paraId="6AF913B1" w14:textId="77777777" w:rsidR="00285741" w:rsidRPr="00317E4A" w:rsidRDefault="00285741">
            <w:pPr>
              <w:rPr>
                <w:noProof/>
                <w:szCs w:val="20"/>
                <w:highlight w:val="cyan"/>
              </w:rPr>
            </w:pPr>
            <w:r w:rsidRPr="00317E4A">
              <w:rPr>
                <w:noProof/>
                <w:szCs w:val="20"/>
              </w:rPr>
              <w:t>INV 1 – Guidance on voluntary FDIs conditionalities</w:t>
            </w:r>
          </w:p>
        </w:tc>
        <w:tc>
          <w:tcPr>
            <w:tcW w:w="4347" w:type="dxa"/>
            <w:vMerge w:val="restart"/>
          </w:tcPr>
          <w:p w14:paraId="7075652F" w14:textId="623D3B23" w:rsidR="00285741" w:rsidRPr="000272AD" w:rsidRDefault="00285741">
            <w:pPr>
              <w:rPr>
                <w:noProof/>
                <w:szCs w:val="20"/>
              </w:rPr>
            </w:pPr>
            <w:r w:rsidRPr="000272AD">
              <w:rPr>
                <w:b/>
                <w:noProof/>
                <w:szCs w:val="20"/>
              </w:rPr>
              <w:t>Scope</w:t>
            </w:r>
            <w:r w:rsidRPr="000272AD">
              <w:rPr>
                <w:noProof/>
                <w:szCs w:val="20"/>
              </w:rPr>
              <w:t>: Battery supply chain</w:t>
            </w:r>
            <w:r w:rsidR="00C44031">
              <w:rPr>
                <w:noProof/>
                <w:szCs w:val="20"/>
              </w:rPr>
              <w:t xml:space="preserve"> and other critical </w:t>
            </w:r>
            <w:r w:rsidR="00E81020">
              <w:rPr>
                <w:noProof/>
                <w:szCs w:val="20"/>
              </w:rPr>
              <w:t>supply chains</w:t>
            </w:r>
            <w:r w:rsidRPr="000272AD">
              <w:rPr>
                <w:noProof/>
                <w:szCs w:val="20"/>
              </w:rPr>
              <w:t xml:space="preserve">. </w:t>
            </w:r>
          </w:p>
          <w:p w14:paraId="62B7ADE3" w14:textId="77777777" w:rsidR="00285741" w:rsidRPr="000272AD" w:rsidRDefault="00285741">
            <w:pPr>
              <w:rPr>
                <w:rFonts w:eastAsia="Calibri"/>
                <w:noProof/>
                <w:szCs w:val="20"/>
              </w:rPr>
            </w:pPr>
            <w:r w:rsidRPr="000272AD">
              <w:rPr>
                <w:b/>
                <w:noProof/>
                <w:szCs w:val="20"/>
              </w:rPr>
              <w:t>Conditionalities</w:t>
            </w:r>
            <w:r>
              <w:rPr>
                <w:rStyle w:val="FootnoteReference"/>
                <w:b/>
                <w:noProof/>
                <w:szCs w:val="20"/>
              </w:rPr>
              <w:footnoteReference w:id="130"/>
            </w:r>
            <w:r w:rsidRPr="000272AD">
              <w:rPr>
                <w:noProof/>
                <w:szCs w:val="20"/>
              </w:rPr>
              <w:t>:</w:t>
            </w:r>
          </w:p>
          <w:p w14:paraId="3B96DA5F" w14:textId="77777777" w:rsidR="00285741" w:rsidRPr="000272AD" w:rsidRDefault="00285741">
            <w:pPr>
              <w:rPr>
                <w:rFonts w:eastAsia="Calibri"/>
                <w:noProof/>
                <w:szCs w:val="20"/>
              </w:rPr>
            </w:pPr>
            <w:r w:rsidRPr="000272AD">
              <w:rPr>
                <w:noProof/>
                <w:szCs w:val="20"/>
              </w:rPr>
              <w:t xml:space="preserve">a. </w:t>
            </w:r>
            <w:r w:rsidRPr="000272AD">
              <w:rPr>
                <w:rFonts w:eastAsia="Calibri"/>
                <w:noProof/>
                <w:color w:val="000000" w:themeColor="text1"/>
                <w:szCs w:val="20"/>
              </w:rPr>
              <w:t>Ownership and structural requirements AND/OR</w:t>
            </w:r>
          </w:p>
          <w:p w14:paraId="2544407C" w14:textId="77777777" w:rsidR="00285741" w:rsidRPr="00D5587C" w:rsidRDefault="00285741">
            <w:pPr>
              <w:rPr>
                <w:noProof/>
                <w:szCs w:val="20"/>
              </w:rPr>
            </w:pPr>
            <w:r>
              <w:rPr>
                <w:noProof/>
                <w:szCs w:val="20"/>
              </w:rPr>
              <w:t xml:space="preserve">b. </w:t>
            </w:r>
            <w:r w:rsidRPr="00D5587C">
              <w:rPr>
                <w:noProof/>
                <w:szCs w:val="20"/>
              </w:rPr>
              <w:t xml:space="preserve">Value added production </w:t>
            </w:r>
            <w:r w:rsidRPr="40C8ACB4">
              <w:rPr>
                <w:noProof/>
                <w:szCs w:val="20"/>
              </w:rPr>
              <w:t xml:space="preserve">(EU sourced inputs, EU-based staff recruitment) </w:t>
            </w:r>
            <w:r w:rsidRPr="00D5587C">
              <w:rPr>
                <w:noProof/>
                <w:szCs w:val="20"/>
              </w:rPr>
              <w:t>AND/OR</w:t>
            </w:r>
          </w:p>
          <w:p w14:paraId="466AA3F2" w14:textId="6CF95CD7" w:rsidR="00285741" w:rsidRPr="00317E4A" w:rsidRDefault="00285741">
            <w:pPr>
              <w:rPr>
                <w:rFonts w:eastAsia="Calibri"/>
                <w:noProof/>
                <w:szCs w:val="20"/>
              </w:rPr>
            </w:pPr>
            <w:r w:rsidRPr="000272AD">
              <w:rPr>
                <w:rFonts w:eastAsia="Calibri"/>
                <w:noProof/>
                <w:color w:val="000000" w:themeColor="text1"/>
                <w:szCs w:val="20"/>
              </w:rPr>
              <w:t>c. Technological advancements (e.g. equipment ownership, intellectual property)</w:t>
            </w:r>
          </w:p>
        </w:tc>
      </w:tr>
      <w:tr w:rsidR="00285741" w:rsidRPr="001A153A" w14:paraId="1D8668E5" w14:textId="77777777" w:rsidTr="0AF02254">
        <w:trPr>
          <w:trHeight w:val="958"/>
        </w:trPr>
        <w:tc>
          <w:tcPr>
            <w:tcW w:w="1061" w:type="dxa"/>
            <w:vMerge/>
          </w:tcPr>
          <w:p w14:paraId="68EA1011" w14:textId="77777777" w:rsidR="00285741" w:rsidRPr="00D5587C" w:rsidRDefault="00285741">
            <w:pPr>
              <w:rPr>
                <w:b/>
                <w:bCs/>
                <w:noProof/>
                <w:szCs w:val="20"/>
              </w:rPr>
            </w:pPr>
          </w:p>
        </w:tc>
        <w:tc>
          <w:tcPr>
            <w:tcW w:w="3612" w:type="dxa"/>
          </w:tcPr>
          <w:p w14:paraId="7677406D" w14:textId="77777777" w:rsidR="00285741" w:rsidRPr="00317E4A" w:rsidRDefault="00285741">
            <w:pPr>
              <w:rPr>
                <w:noProof/>
                <w:szCs w:val="20"/>
              </w:rPr>
            </w:pPr>
            <w:r w:rsidRPr="00317E4A">
              <w:rPr>
                <w:noProof/>
                <w:szCs w:val="20"/>
              </w:rPr>
              <w:t>INV 2 – Mandatory FDI conditionalities EU-wide</w:t>
            </w:r>
          </w:p>
        </w:tc>
        <w:tc>
          <w:tcPr>
            <w:tcW w:w="4347" w:type="dxa"/>
            <w:vMerge/>
          </w:tcPr>
          <w:p w14:paraId="57EF9726" w14:textId="77777777" w:rsidR="00285741" w:rsidRPr="00D5587C" w:rsidRDefault="00285741">
            <w:pPr>
              <w:rPr>
                <w:noProof/>
                <w:szCs w:val="20"/>
              </w:rPr>
            </w:pPr>
          </w:p>
        </w:tc>
      </w:tr>
      <w:tr w:rsidR="00285741" w:rsidRPr="001A153A" w14:paraId="78AE26DD" w14:textId="77777777" w:rsidTr="0AF02254">
        <w:trPr>
          <w:trHeight w:val="416"/>
        </w:trPr>
        <w:tc>
          <w:tcPr>
            <w:tcW w:w="1061" w:type="dxa"/>
            <w:vMerge w:val="restart"/>
          </w:tcPr>
          <w:p w14:paraId="4872D5BC" w14:textId="77777777" w:rsidR="00285741" w:rsidRPr="00D5587C" w:rsidRDefault="00285741">
            <w:pPr>
              <w:rPr>
                <w:b/>
                <w:bCs/>
                <w:noProof/>
                <w:szCs w:val="20"/>
              </w:rPr>
            </w:pPr>
            <w:r w:rsidRPr="00D5587C">
              <w:rPr>
                <w:b/>
                <w:bCs/>
                <w:noProof/>
                <w:szCs w:val="20"/>
              </w:rPr>
              <w:t>(SO4)</w:t>
            </w:r>
          </w:p>
        </w:tc>
        <w:tc>
          <w:tcPr>
            <w:tcW w:w="3612" w:type="dxa"/>
          </w:tcPr>
          <w:p w14:paraId="787E5E24" w14:textId="77777777" w:rsidR="00285741" w:rsidRPr="00D5587C" w:rsidRDefault="00285741">
            <w:pPr>
              <w:rPr>
                <w:noProof/>
                <w:szCs w:val="20"/>
              </w:rPr>
            </w:pPr>
            <w:r w:rsidRPr="000272AD">
              <w:rPr>
                <w:noProof/>
                <w:color w:val="000000" w:themeColor="text1"/>
                <w:szCs w:val="20"/>
              </w:rPr>
              <w:t xml:space="preserve">PERM 1 – One project-one digital procedure </w:t>
            </w:r>
          </w:p>
        </w:tc>
        <w:tc>
          <w:tcPr>
            <w:tcW w:w="4347" w:type="dxa"/>
          </w:tcPr>
          <w:p w14:paraId="22EE8AE8" w14:textId="77777777" w:rsidR="00285741" w:rsidRPr="00317E4A" w:rsidRDefault="00285741">
            <w:pPr>
              <w:rPr>
                <w:noProof/>
                <w:szCs w:val="20"/>
              </w:rPr>
            </w:pPr>
            <w:r w:rsidRPr="00317E4A">
              <w:rPr>
                <w:b/>
                <w:noProof/>
                <w:szCs w:val="20"/>
              </w:rPr>
              <w:t>Scope</w:t>
            </w:r>
            <w:r w:rsidRPr="00317E4A">
              <w:rPr>
                <w:noProof/>
                <w:szCs w:val="20"/>
              </w:rPr>
              <w:t>: all industrial manufacturing sector</w:t>
            </w:r>
            <w:r>
              <w:rPr>
                <w:noProof/>
                <w:szCs w:val="20"/>
              </w:rPr>
              <w:t>s</w:t>
            </w:r>
            <w:r w:rsidRPr="00317E4A">
              <w:rPr>
                <w:noProof/>
                <w:szCs w:val="20"/>
              </w:rPr>
              <w:t xml:space="preserve"> (NACE code C)</w:t>
            </w:r>
          </w:p>
          <w:p w14:paraId="3453BBA0" w14:textId="77777777" w:rsidR="00285741" w:rsidRPr="00D5587C" w:rsidRDefault="00285741" w:rsidP="00285741">
            <w:pPr>
              <w:pStyle w:val="ListParagraph"/>
              <w:numPr>
                <w:ilvl w:val="0"/>
                <w:numId w:val="21"/>
              </w:numPr>
              <w:ind w:left="458"/>
              <w:contextualSpacing w:val="0"/>
              <w:rPr>
                <w:noProof/>
                <w:szCs w:val="20"/>
              </w:rPr>
            </w:pPr>
            <w:r w:rsidRPr="00D5587C">
              <w:rPr>
                <w:noProof/>
                <w:szCs w:val="20"/>
              </w:rPr>
              <w:t xml:space="preserve">One project-one digital procedure for all permits, including relevant </w:t>
            </w:r>
            <w:r>
              <w:rPr>
                <w:noProof/>
                <w:szCs w:val="20"/>
              </w:rPr>
              <w:t>environmental</w:t>
            </w:r>
            <w:r w:rsidRPr="182208EF">
              <w:rPr>
                <w:noProof/>
                <w:szCs w:val="20"/>
              </w:rPr>
              <w:t xml:space="preserve"> assessments</w:t>
            </w:r>
            <w:r w:rsidRPr="00D5587C">
              <w:rPr>
                <w:noProof/>
                <w:szCs w:val="20"/>
              </w:rPr>
              <w:t xml:space="preserve"> </w:t>
            </w:r>
          </w:p>
          <w:p w14:paraId="0B51BEB2" w14:textId="77777777" w:rsidR="00285741" w:rsidRPr="000272AD" w:rsidRDefault="00285741" w:rsidP="00285741">
            <w:pPr>
              <w:pStyle w:val="ListParagraph"/>
              <w:numPr>
                <w:ilvl w:val="0"/>
                <w:numId w:val="21"/>
              </w:numPr>
              <w:ind w:left="458"/>
              <w:rPr>
                <w:noProof/>
                <w:szCs w:val="20"/>
              </w:rPr>
            </w:pPr>
            <w:r w:rsidRPr="000272AD">
              <w:rPr>
                <w:noProof/>
                <w:szCs w:val="20"/>
              </w:rPr>
              <w:t>Fully digitalised process</w:t>
            </w:r>
          </w:p>
          <w:p w14:paraId="5A0D76C6" w14:textId="77777777" w:rsidR="00285741" w:rsidRPr="000272AD" w:rsidRDefault="00285741" w:rsidP="00285741">
            <w:pPr>
              <w:pStyle w:val="ListParagraph"/>
              <w:numPr>
                <w:ilvl w:val="0"/>
                <w:numId w:val="21"/>
              </w:numPr>
              <w:ind w:left="458"/>
              <w:rPr>
                <w:noProof/>
                <w:szCs w:val="20"/>
              </w:rPr>
            </w:pPr>
            <w:r w:rsidRPr="00317E4A">
              <w:rPr>
                <w:noProof/>
                <w:szCs w:val="20"/>
              </w:rPr>
              <w:t>Standardised data sets</w:t>
            </w:r>
            <w:r w:rsidRPr="00317E4A">
              <w:rPr>
                <w:rStyle w:val="FootnoteReference"/>
                <w:noProof/>
                <w:szCs w:val="20"/>
              </w:rPr>
              <w:footnoteReference w:id="131"/>
            </w:r>
          </w:p>
          <w:p w14:paraId="5192680A" w14:textId="77777777" w:rsidR="00285741" w:rsidRPr="00317E4A" w:rsidRDefault="00285741" w:rsidP="00285741">
            <w:pPr>
              <w:pStyle w:val="ListParagraph"/>
              <w:numPr>
                <w:ilvl w:val="0"/>
                <w:numId w:val="21"/>
              </w:numPr>
              <w:ind w:left="458"/>
              <w:rPr>
                <w:noProof/>
              </w:rPr>
            </w:pPr>
            <w:r w:rsidRPr="09CA0190">
              <w:rPr>
                <w:noProof/>
              </w:rPr>
              <w:t>Technical assistance</w:t>
            </w:r>
          </w:p>
        </w:tc>
      </w:tr>
      <w:tr w:rsidR="00285741" w:rsidRPr="001A153A" w14:paraId="3C2175E8" w14:textId="77777777" w:rsidTr="0AF02254">
        <w:trPr>
          <w:trHeight w:val="204"/>
        </w:trPr>
        <w:tc>
          <w:tcPr>
            <w:tcW w:w="1061" w:type="dxa"/>
            <w:vMerge/>
          </w:tcPr>
          <w:p w14:paraId="4C15E751" w14:textId="77777777" w:rsidR="00285741" w:rsidRPr="00D5587C" w:rsidRDefault="00285741">
            <w:pPr>
              <w:rPr>
                <w:b/>
                <w:bCs/>
                <w:noProof/>
                <w:szCs w:val="20"/>
              </w:rPr>
            </w:pPr>
          </w:p>
        </w:tc>
        <w:tc>
          <w:tcPr>
            <w:tcW w:w="3612" w:type="dxa"/>
          </w:tcPr>
          <w:p w14:paraId="7F57F227" w14:textId="77777777" w:rsidR="00285741" w:rsidRPr="00317E4A" w:rsidRDefault="00285741">
            <w:pPr>
              <w:rPr>
                <w:noProof/>
                <w:szCs w:val="20"/>
              </w:rPr>
            </w:pPr>
            <w:r w:rsidRPr="000272AD">
              <w:rPr>
                <w:noProof/>
                <w:color w:val="000000" w:themeColor="text1"/>
                <w:szCs w:val="20"/>
              </w:rPr>
              <w:t>PERM 2 – One project –one digital procedure, and special focus on EIIs</w:t>
            </w:r>
          </w:p>
        </w:tc>
        <w:tc>
          <w:tcPr>
            <w:tcW w:w="4347" w:type="dxa"/>
          </w:tcPr>
          <w:p w14:paraId="6BF1B94D" w14:textId="77777777" w:rsidR="00285741" w:rsidRPr="00D5587C" w:rsidRDefault="00285741">
            <w:pPr>
              <w:rPr>
                <w:noProof/>
                <w:szCs w:val="20"/>
              </w:rPr>
            </w:pPr>
            <w:r w:rsidRPr="6042B76F">
              <w:rPr>
                <w:b/>
                <w:noProof/>
                <w:szCs w:val="20"/>
              </w:rPr>
              <w:t>Scope</w:t>
            </w:r>
            <w:r>
              <w:rPr>
                <w:noProof/>
                <w:szCs w:val="20"/>
              </w:rPr>
              <w:t xml:space="preserve">: </w:t>
            </w:r>
            <w:r w:rsidRPr="6042B76F">
              <w:rPr>
                <w:noProof/>
                <w:szCs w:val="20"/>
              </w:rPr>
              <w:t>PERM 1 and</w:t>
            </w:r>
            <w:r>
              <w:rPr>
                <w:noProof/>
                <w:szCs w:val="20"/>
              </w:rPr>
              <w:t>, for EIIs,</w:t>
            </w:r>
          </w:p>
          <w:p w14:paraId="335EB7FC" w14:textId="77777777" w:rsidR="00285741" w:rsidRPr="00317E4A" w:rsidRDefault="00285741" w:rsidP="00285741">
            <w:pPr>
              <w:pStyle w:val="ListParagraph"/>
              <w:numPr>
                <w:ilvl w:val="0"/>
                <w:numId w:val="21"/>
              </w:numPr>
              <w:ind w:left="458"/>
              <w:rPr>
                <w:noProof/>
              </w:rPr>
            </w:pPr>
            <w:r w:rsidRPr="09CA0190">
              <w:rPr>
                <w:noProof/>
              </w:rPr>
              <w:t>Mirroring basic NZIA permitting provisions for all (Single point of contact, time limits)</w:t>
            </w:r>
            <w:r>
              <w:rPr>
                <w:noProof/>
              </w:rPr>
              <w:t xml:space="preserve"> </w:t>
            </w:r>
          </w:p>
          <w:p w14:paraId="62946A9E" w14:textId="19C386B4" w:rsidR="000F3564" w:rsidRDefault="00285741" w:rsidP="00285741">
            <w:pPr>
              <w:pStyle w:val="ListParagraph"/>
              <w:numPr>
                <w:ilvl w:val="0"/>
                <w:numId w:val="21"/>
              </w:numPr>
              <w:ind w:left="458"/>
              <w:rPr>
                <w:noProof/>
              </w:rPr>
            </w:pPr>
            <w:r>
              <w:rPr>
                <w:noProof/>
              </w:rPr>
              <w:t xml:space="preserve">“Overriding Public Interest” </w:t>
            </w:r>
            <w:r w:rsidR="000F3564">
              <w:rPr>
                <w:noProof/>
              </w:rPr>
              <w:t>presumption</w:t>
            </w:r>
          </w:p>
          <w:p w14:paraId="53C4FF82" w14:textId="59DBB99C" w:rsidR="00285741" w:rsidRPr="00317E4A" w:rsidRDefault="00285741" w:rsidP="00285741">
            <w:pPr>
              <w:pStyle w:val="ListParagraph"/>
              <w:numPr>
                <w:ilvl w:val="0"/>
                <w:numId w:val="21"/>
              </w:numPr>
              <w:ind w:left="458"/>
              <w:rPr>
                <w:noProof/>
              </w:rPr>
            </w:pPr>
            <w:r>
              <w:rPr>
                <w:noProof/>
              </w:rPr>
              <w:t>Regulatory sandboxes for Renewable fuels of non-biological origin (RFNBO)</w:t>
            </w:r>
          </w:p>
          <w:p w14:paraId="478B0A93" w14:textId="77777777" w:rsidR="00285741" w:rsidRPr="00D5587C" w:rsidRDefault="00285741" w:rsidP="00285741">
            <w:pPr>
              <w:pStyle w:val="ListParagraph"/>
              <w:numPr>
                <w:ilvl w:val="0"/>
                <w:numId w:val="21"/>
              </w:numPr>
              <w:ind w:left="458"/>
              <w:rPr>
                <w:noProof/>
                <w:szCs w:val="20"/>
              </w:rPr>
            </w:pPr>
            <w:r w:rsidRPr="6042B76F">
              <w:rPr>
                <w:noProof/>
                <w:szCs w:val="20"/>
              </w:rPr>
              <w:t>Tacit approval at intermediate stage</w:t>
            </w:r>
            <w:r w:rsidRPr="00317E4A">
              <w:rPr>
                <w:noProof/>
                <w:szCs w:val="20"/>
              </w:rPr>
              <w:t xml:space="preserve"> </w:t>
            </w:r>
          </w:p>
        </w:tc>
      </w:tr>
      <w:tr w:rsidR="00285741" w:rsidRPr="001A153A" w14:paraId="29639080" w14:textId="77777777" w:rsidTr="0AF02254">
        <w:trPr>
          <w:trHeight w:val="204"/>
        </w:trPr>
        <w:tc>
          <w:tcPr>
            <w:tcW w:w="1061" w:type="dxa"/>
            <w:vMerge/>
          </w:tcPr>
          <w:p w14:paraId="6AB50A37" w14:textId="77777777" w:rsidR="00285741" w:rsidRPr="00D5587C" w:rsidRDefault="00285741">
            <w:pPr>
              <w:rPr>
                <w:b/>
                <w:bCs/>
                <w:noProof/>
                <w:szCs w:val="20"/>
              </w:rPr>
            </w:pPr>
          </w:p>
        </w:tc>
        <w:tc>
          <w:tcPr>
            <w:tcW w:w="3612" w:type="dxa"/>
          </w:tcPr>
          <w:p w14:paraId="3E55BE04" w14:textId="77777777" w:rsidR="00285741" w:rsidRPr="00317E4A" w:rsidRDefault="00285741">
            <w:pPr>
              <w:rPr>
                <w:noProof/>
                <w:szCs w:val="20"/>
              </w:rPr>
            </w:pPr>
            <w:r w:rsidRPr="000272AD">
              <w:rPr>
                <w:noProof/>
                <w:color w:val="000000" w:themeColor="text1"/>
                <w:szCs w:val="20"/>
              </w:rPr>
              <w:t xml:space="preserve">PERM 3 – Dedicated measures for industrial </w:t>
            </w:r>
            <w:r>
              <w:rPr>
                <w:noProof/>
                <w:color w:val="000000" w:themeColor="text1"/>
                <w:szCs w:val="20"/>
              </w:rPr>
              <w:t>manufacturing</w:t>
            </w:r>
            <w:r w:rsidRPr="000272AD">
              <w:rPr>
                <w:noProof/>
                <w:color w:val="000000" w:themeColor="text1"/>
                <w:szCs w:val="20"/>
              </w:rPr>
              <w:t xml:space="preserve"> clusters</w:t>
            </w:r>
          </w:p>
        </w:tc>
        <w:tc>
          <w:tcPr>
            <w:tcW w:w="4347" w:type="dxa"/>
          </w:tcPr>
          <w:p w14:paraId="7A6777B7" w14:textId="069117B2" w:rsidR="00285741" w:rsidRPr="00D5587C" w:rsidRDefault="00285741">
            <w:pPr>
              <w:rPr>
                <w:noProof/>
                <w:szCs w:val="20"/>
              </w:rPr>
            </w:pPr>
            <w:r w:rsidRPr="00BC5AA7">
              <w:rPr>
                <w:b/>
                <w:bCs/>
                <w:noProof/>
                <w:szCs w:val="20"/>
              </w:rPr>
              <w:t>Scope:</w:t>
            </w:r>
            <w:r>
              <w:rPr>
                <w:noProof/>
                <w:szCs w:val="20"/>
              </w:rPr>
              <w:t xml:space="preserve"> </w:t>
            </w:r>
            <w:r w:rsidRPr="00BC5AA7">
              <w:rPr>
                <w:noProof/>
                <w:szCs w:val="20"/>
              </w:rPr>
              <w:t>PERM 2</w:t>
            </w:r>
            <w:r w:rsidRPr="6042B76F">
              <w:rPr>
                <w:noProof/>
                <w:szCs w:val="20"/>
              </w:rPr>
              <w:t xml:space="preserve"> </w:t>
            </w:r>
            <w:r>
              <w:rPr>
                <w:noProof/>
                <w:szCs w:val="20"/>
              </w:rPr>
              <w:t>and</w:t>
            </w:r>
            <w:r w:rsidR="00AF6AC5">
              <w:rPr>
                <w:noProof/>
                <w:szCs w:val="20"/>
              </w:rPr>
              <w:t xml:space="preserve"> in addition</w:t>
            </w:r>
            <w:r>
              <w:rPr>
                <w:noProof/>
                <w:szCs w:val="20"/>
              </w:rPr>
              <w:t>, for industrial areas</w:t>
            </w:r>
            <w:r w:rsidR="00801DED">
              <w:rPr>
                <w:noProof/>
                <w:szCs w:val="20"/>
              </w:rPr>
              <w:t>:</w:t>
            </w:r>
          </w:p>
          <w:p w14:paraId="6E68A6A2" w14:textId="0D5CF2D3" w:rsidR="00285741" w:rsidRPr="00D5587C" w:rsidRDefault="00285741" w:rsidP="00285741">
            <w:pPr>
              <w:pStyle w:val="ListParagraph"/>
              <w:numPr>
                <w:ilvl w:val="0"/>
                <w:numId w:val="21"/>
              </w:numPr>
              <w:ind w:left="458"/>
              <w:rPr>
                <w:noProof/>
                <w:szCs w:val="20"/>
              </w:rPr>
            </w:pPr>
            <w:r w:rsidRPr="00D5587C">
              <w:rPr>
                <w:noProof/>
                <w:szCs w:val="20"/>
              </w:rPr>
              <w:t xml:space="preserve">Tacit approval </w:t>
            </w:r>
            <w:r>
              <w:rPr>
                <w:noProof/>
                <w:szCs w:val="20"/>
              </w:rPr>
              <w:t xml:space="preserve">for all manufacturing </w:t>
            </w:r>
            <w:r w:rsidRPr="6E582BD1">
              <w:rPr>
                <w:noProof/>
                <w:szCs w:val="20"/>
              </w:rPr>
              <w:t xml:space="preserve">industries </w:t>
            </w:r>
            <w:r>
              <w:rPr>
                <w:noProof/>
                <w:szCs w:val="20"/>
              </w:rPr>
              <w:t>in areas</w:t>
            </w:r>
          </w:p>
          <w:p w14:paraId="3FCD7822" w14:textId="77777777" w:rsidR="00285741" w:rsidRPr="00D5587C" w:rsidRDefault="00285741" w:rsidP="00285741">
            <w:pPr>
              <w:pStyle w:val="ListParagraph"/>
              <w:numPr>
                <w:ilvl w:val="0"/>
                <w:numId w:val="21"/>
              </w:numPr>
              <w:ind w:left="458"/>
              <w:rPr>
                <w:noProof/>
                <w:szCs w:val="20"/>
              </w:rPr>
            </w:pPr>
            <w:r w:rsidRPr="00D5587C">
              <w:rPr>
                <w:noProof/>
                <w:szCs w:val="20"/>
              </w:rPr>
              <w:lastRenderedPageBreak/>
              <w:t xml:space="preserve">Priority </w:t>
            </w:r>
            <w:r>
              <w:rPr>
                <w:noProof/>
                <w:szCs w:val="20"/>
              </w:rPr>
              <w:t>assessment by Distribution System Operators of</w:t>
            </w:r>
            <w:r w:rsidRPr="00D5587C">
              <w:rPr>
                <w:noProof/>
                <w:szCs w:val="20"/>
              </w:rPr>
              <w:t xml:space="preserve"> </w:t>
            </w:r>
            <w:r>
              <w:rPr>
                <w:noProof/>
                <w:szCs w:val="20"/>
              </w:rPr>
              <w:t xml:space="preserve">connection requests to </w:t>
            </w:r>
            <w:r w:rsidRPr="00D5587C">
              <w:rPr>
                <w:noProof/>
                <w:szCs w:val="20"/>
              </w:rPr>
              <w:t>energy infrastructure in acceleration areas</w:t>
            </w:r>
          </w:p>
          <w:p w14:paraId="48867DC1" w14:textId="77777777" w:rsidR="00285741" w:rsidRDefault="00285741" w:rsidP="00285741">
            <w:pPr>
              <w:pStyle w:val="ListParagraph"/>
              <w:numPr>
                <w:ilvl w:val="0"/>
                <w:numId w:val="21"/>
              </w:numPr>
              <w:ind w:left="458"/>
              <w:rPr>
                <w:noProof/>
                <w:szCs w:val="20"/>
              </w:rPr>
            </w:pPr>
            <w:r w:rsidRPr="00D5587C">
              <w:rPr>
                <w:noProof/>
                <w:szCs w:val="20"/>
              </w:rPr>
              <w:t>E</w:t>
            </w:r>
            <w:r>
              <w:rPr>
                <w:noProof/>
                <w:szCs w:val="20"/>
              </w:rPr>
              <w:t xml:space="preserve">nvironmental </w:t>
            </w:r>
            <w:r w:rsidRPr="00D5587C">
              <w:rPr>
                <w:noProof/>
                <w:szCs w:val="20"/>
              </w:rPr>
              <w:t>I</w:t>
            </w:r>
            <w:r>
              <w:rPr>
                <w:noProof/>
                <w:szCs w:val="20"/>
              </w:rPr>
              <w:t xml:space="preserve">mpact </w:t>
            </w:r>
            <w:r w:rsidRPr="00D5587C">
              <w:rPr>
                <w:noProof/>
                <w:szCs w:val="20"/>
              </w:rPr>
              <w:t>A</w:t>
            </w:r>
            <w:r>
              <w:rPr>
                <w:noProof/>
                <w:szCs w:val="20"/>
              </w:rPr>
              <w:t>ssessment</w:t>
            </w:r>
            <w:r w:rsidRPr="00D5587C">
              <w:rPr>
                <w:noProof/>
                <w:szCs w:val="20"/>
              </w:rPr>
              <w:t xml:space="preserve"> derogation </w:t>
            </w:r>
          </w:p>
          <w:p w14:paraId="6A9320F0" w14:textId="77777777" w:rsidR="00285741" w:rsidRPr="00D5587C" w:rsidRDefault="00285741" w:rsidP="00285741">
            <w:pPr>
              <w:pStyle w:val="ListParagraph"/>
              <w:numPr>
                <w:ilvl w:val="0"/>
                <w:numId w:val="21"/>
              </w:numPr>
              <w:ind w:left="458"/>
              <w:rPr>
                <w:noProof/>
                <w:szCs w:val="20"/>
              </w:rPr>
            </w:pPr>
            <w:r w:rsidRPr="00D5587C">
              <w:rPr>
                <w:noProof/>
                <w:szCs w:val="20"/>
              </w:rPr>
              <w:t>Emission exemptions for construction phase</w:t>
            </w:r>
            <w:r>
              <w:rPr>
                <w:noProof/>
                <w:szCs w:val="20"/>
              </w:rPr>
              <w:t xml:space="preserve"> for CCS related projects</w:t>
            </w:r>
          </w:p>
        </w:tc>
      </w:tr>
      <w:tr w:rsidR="00285741" w:rsidRPr="001A153A" w14:paraId="3DD2270E" w14:textId="77777777" w:rsidTr="0AF02254">
        <w:trPr>
          <w:trHeight w:val="568"/>
        </w:trPr>
        <w:tc>
          <w:tcPr>
            <w:tcW w:w="1061" w:type="dxa"/>
            <w:vMerge w:val="restart"/>
          </w:tcPr>
          <w:p w14:paraId="6BAB34E5" w14:textId="77777777" w:rsidR="00285741" w:rsidRPr="00D5587C" w:rsidRDefault="00285741">
            <w:pPr>
              <w:rPr>
                <w:b/>
                <w:bCs/>
                <w:noProof/>
                <w:szCs w:val="20"/>
              </w:rPr>
            </w:pPr>
            <w:r w:rsidRPr="00D5587C">
              <w:rPr>
                <w:b/>
                <w:bCs/>
                <w:noProof/>
                <w:szCs w:val="20"/>
              </w:rPr>
              <w:lastRenderedPageBreak/>
              <w:t>(SO5)</w:t>
            </w:r>
          </w:p>
        </w:tc>
        <w:tc>
          <w:tcPr>
            <w:tcW w:w="3612" w:type="dxa"/>
          </w:tcPr>
          <w:p w14:paraId="22193073" w14:textId="77777777" w:rsidR="00285741" w:rsidRPr="00317E4A" w:rsidRDefault="00285741">
            <w:pPr>
              <w:rPr>
                <w:noProof/>
                <w:color w:val="000000" w:themeColor="text1"/>
              </w:rPr>
            </w:pPr>
            <w:r w:rsidRPr="09CA0190">
              <w:rPr>
                <w:noProof/>
              </w:rPr>
              <w:t xml:space="preserve">AREA 1 - </w:t>
            </w:r>
            <w:r w:rsidRPr="09CA0190">
              <w:rPr>
                <w:rFonts w:eastAsia="Aptos"/>
                <w:noProof/>
              </w:rPr>
              <w:t xml:space="preserve">Recommend Member States </w:t>
            </w:r>
            <w:r w:rsidRPr="09CA0190">
              <w:rPr>
                <w:rFonts w:eastAsia="Aptos"/>
                <w:noProof/>
                <w:color w:val="000000" w:themeColor="text1"/>
              </w:rPr>
              <w:t xml:space="preserve">to </w:t>
            </w:r>
            <w:r w:rsidRPr="09CA0190">
              <w:rPr>
                <w:noProof/>
                <w:color w:val="000000" w:themeColor="text1"/>
              </w:rPr>
              <w:t xml:space="preserve">facilitate public funding for projects in industrial areas </w:t>
            </w:r>
          </w:p>
        </w:tc>
        <w:tc>
          <w:tcPr>
            <w:tcW w:w="4347" w:type="dxa"/>
            <w:vMerge w:val="restart"/>
          </w:tcPr>
          <w:p w14:paraId="3B647DF9" w14:textId="77777777" w:rsidR="00285741" w:rsidRPr="00D5587C" w:rsidRDefault="00285741">
            <w:pPr>
              <w:rPr>
                <w:noProof/>
                <w:szCs w:val="20"/>
              </w:rPr>
            </w:pPr>
            <w:r w:rsidRPr="00D5587C">
              <w:rPr>
                <w:noProof/>
                <w:szCs w:val="20"/>
              </w:rPr>
              <w:t xml:space="preserve">Criteria definition based on: </w:t>
            </w:r>
          </w:p>
          <w:p w14:paraId="19419D44" w14:textId="77777777" w:rsidR="00285741" w:rsidRPr="00D5587C" w:rsidRDefault="00285741" w:rsidP="00285741">
            <w:pPr>
              <w:pStyle w:val="ListParagraph"/>
              <w:numPr>
                <w:ilvl w:val="0"/>
                <w:numId w:val="21"/>
              </w:numPr>
              <w:ind w:left="458"/>
              <w:contextualSpacing w:val="0"/>
              <w:rPr>
                <w:noProof/>
                <w:szCs w:val="20"/>
              </w:rPr>
            </w:pPr>
            <w:r w:rsidRPr="00D5587C">
              <w:rPr>
                <w:noProof/>
                <w:szCs w:val="20"/>
              </w:rPr>
              <w:t>Economic security potential</w:t>
            </w:r>
          </w:p>
          <w:p w14:paraId="053AEB16" w14:textId="77777777" w:rsidR="00285741" w:rsidRPr="00D5587C" w:rsidRDefault="00285741" w:rsidP="00285741">
            <w:pPr>
              <w:pStyle w:val="ListParagraph"/>
              <w:numPr>
                <w:ilvl w:val="0"/>
                <w:numId w:val="21"/>
              </w:numPr>
              <w:ind w:left="458"/>
              <w:rPr>
                <w:noProof/>
                <w:szCs w:val="20"/>
              </w:rPr>
            </w:pPr>
            <w:r w:rsidRPr="00D5587C">
              <w:rPr>
                <w:noProof/>
                <w:szCs w:val="20"/>
              </w:rPr>
              <w:t>Decarbonisation potential</w:t>
            </w:r>
            <w:r>
              <w:rPr>
                <w:noProof/>
                <w:szCs w:val="20"/>
              </w:rPr>
              <w:t>, including links with steel label</w:t>
            </w:r>
          </w:p>
          <w:p w14:paraId="40595301" w14:textId="77777777" w:rsidR="00285741" w:rsidRPr="00D5587C" w:rsidRDefault="00285741" w:rsidP="00285741">
            <w:pPr>
              <w:pStyle w:val="ListParagraph"/>
              <w:numPr>
                <w:ilvl w:val="0"/>
                <w:numId w:val="21"/>
              </w:numPr>
              <w:ind w:left="458"/>
              <w:rPr>
                <w:noProof/>
                <w:szCs w:val="20"/>
              </w:rPr>
            </w:pPr>
            <w:r w:rsidRPr="00D5587C">
              <w:rPr>
                <w:noProof/>
                <w:szCs w:val="20"/>
              </w:rPr>
              <w:t>Deployment potential</w:t>
            </w:r>
            <w:r>
              <w:rPr>
                <w:noProof/>
                <w:szCs w:val="20"/>
              </w:rPr>
              <w:t xml:space="preserve">, including employment and skills considerations </w:t>
            </w:r>
          </w:p>
        </w:tc>
      </w:tr>
      <w:tr w:rsidR="00285741" w:rsidRPr="001A153A" w14:paraId="79EA8D8F" w14:textId="77777777" w:rsidTr="0AF02254">
        <w:trPr>
          <w:trHeight w:val="523"/>
        </w:trPr>
        <w:tc>
          <w:tcPr>
            <w:tcW w:w="1061" w:type="dxa"/>
            <w:vMerge/>
          </w:tcPr>
          <w:p w14:paraId="423107D2" w14:textId="77777777" w:rsidR="00285741" w:rsidRPr="00D5587C" w:rsidRDefault="00285741">
            <w:pPr>
              <w:rPr>
                <w:b/>
                <w:bCs/>
                <w:noProof/>
                <w:szCs w:val="20"/>
              </w:rPr>
            </w:pPr>
          </w:p>
        </w:tc>
        <w:tc>
          <w:tcPr>
            <w:tcW w:w="3612" w:type="dxa"/>
          </w:tcPr>
          <w:p w14:paraId="6E05E4EB" w14:textId="77777777" w:rsidR="00285741" w:rsidRPr="00033E0D" w:rsidRDefault="00285741">
            <w:pPr>
              <w:rPr>
                <w:noProof/>
              </w:rPr>
            </w:pPr>
            <w:r>
              <w:rPr>
                <w:noProof/>
              </w:rPr>
              <w:t xml:space="preserve">AREA 2 - </w:t>
            </w:r>
            <w:r w:rsidRPr="5FD0D0B9">
              <w:rPr>
                <w:noProof/>
                <w:color w:val="000000" w:themeColor="text1"/>
              </w:rPr>
              <w:t xml:space="preserve">Member States to designate industrial areas and facilitate access to public funding </w:t>
            </w:r>
          </w:p>
        </w:tc>
        <w:tc>
          <w:tcPr>
            <w:tcW w:w="4347" w:type="dxa"/>
            <w:vMerge/>
          </w:tcPr>
          <w:p w14:paraId="732BFF35" w14:textId="77777777" w:rsidR="00285741" w:rsidRPr="00D5587C" w:rsidRDefault="00285741" w:rsidP="00D25A1A">
            <w:pPr>
              <w:spacing w:after="120"/>
              <w:rPr>
                <w:noProof/>
                <w:szCs w:val="20"/>
              </w:rPr>
            </w:pPr>
          </w:p>
        </w:tc>
      </w:tr>
      <w:tr w:rsidR="00285741" w:rsidRPr="001A153A" w14:paraId="5B77E95D" w14:textId="77777777" w:rsidTr="0AF02254">
        <w:trPr>
          <w:trHeight w:val="570"/>
        </w:trPr>
        <w:tc>
          <w:tcPr>
            <w:tcW w:w="1061" w:type="dxa"/>
            <w:vMerge/>
          </w:tcPr>
          <w:p w14:paraId="3645AA26" w14:textId="77777777" w:rsidR="00285741" w:rsidRPr="00D5587C" w:rsidRDefault="00285741">
            <w:pPr>
              <w:rPr>
                <w:b/>
                <w:bCs/>
                <w:noProof/>
                <w:szCs w:val="20"/>
              </w:rPr>
            </w:pPr>
          </w:p>
        </w:tc>
        <w:tc>
          <w:tcPr>
            <w:tcW w:w="3612" w:type="dxa"/>
          </w:tcPr>
          <w:p w14:paraId="299D4FBE" w14:textId="77777777" w:rsidR="00285741" w:rsidRPr="00317E4A" w:rsidRDefault="00285741">
            <w:pPr>
              <w:rPr>
                <w:noProof/>
                <w:color w:val="000000" w:themeColor="text1"/>
              </w:rPr>
            </w:pPr>
            <w:r w:rsidRPr="09CA0190">
              <w:rPr>
                <w:noProof/>
              </w:rPr>
              <w:t xml:space="preserve">AREA 3 - </w:t>
            </w:r>
            <w:r w:rsidRPr="09CA0190">
              <w:rPr>
                <w:rFonts w:eastAsia="Aptos"/>
                <w:noProof/>
              </w:rPr>
              <w:t>Commission to designate industrial areas according to the selection criteria and giving the projects priority access to funds</w:t>
            </w:r>
          </w:p>
        </w:tc>
        <w:tc>
          <w:tcPr>
            <w:tcW w:w="4347" w:type="dxa"/>
            <w:vMerge/>
          </w:tcPr>
          <w:p w14:paraId="130900FF" w14:textId="77777777" w:rsidR="00285741" w:rsidRPr="00D5587C" w:rsidRDefault="00285741" w:rsidP="00D25A1A">
            <w:pPr>
              <w:spacing w:after="120"/>
              <w:rPr>
                <w:noProof/>
                <w:szCs w:val="20"/>
              </w:rPr>
            </w:pPr>
          </w:p>
        </w:tc>
      </w:tr>
    </w:tbl>
    <w:p w14:paraId="22406D81" w14:textId="77777777" w:rsidR="00285741" w:rsidRDefault="00285741">
      <w:pPr>
        <w:rPr>
          <w:noProof/>
        </w:rPr>
      </w:pPr>
    </w:p>
    <w:p w14:paraId="1CB5A3BD" w14:textId="77777777" w:rsidR="00285741" w:rsidRPr="00596E98" w:rsidRDefault="00285741">
      <w:pPr>
        <w:spacing w:after="120"/>
        <w:rPr>
          <w:rFonts w:eastAsia="Times New Roman" w:cs="Times New Roman"/>
          <w:b/>
          <w:i/>
          <w:noProof/>
        </w:rPr>
      </w:pPr>
      <w:r w:rsidRPr="00596E98">
        <w:rPr>
          <w:b/>
          <w:i/>
          <w:noProof/>
        </w:rPr>
        <w:t>Structure</w:t>
      </w:r>
      <w:r w:rsidRPr="00596E98">
        <w:rPr>
          <w:rFonts w:eastAsia="Times New Roman" w:cs="Times New Roman"/>
          <w:b/>
          <w:i/>
          <w:noProof/>
        </w:rPr>
        <w:t xml:space="preserve"> of the policy options </w:t>
      </w:r>
    </w:p>
    <w:p w14:paraId="7F575423" w14:textId="77777777" w:rsidR="00285741" w:rsidRDefault="00285741">
      <w:pPr>
        <w:keepNext/>
        <w:spacing w:after="120"/>
        <w:rPr>
          <w:rFonts w:eastAsia="Times New Roman" w:cs="Times New Roman"/>
          <w:noProof/>
        </w:rPr>
      </w:pPr>
      <w:r w:rsidRPr="73A02EA7">
        <w:rPr>
          <w:rFonts w:eastAsia="Times New Roman" w:cs="Times New Roman"/>
          <w:noProof/>
        </w:rPr>
        <w:t xml:space="preserve">The </w:t>
      </w:r>
      <w:r>
        <w:rPr>
          <w:rFonts w:eastAsia="Times New Roman" w:cs="Times New Roman"/>
          <w:noProof/>
        </w:rPr>
        <w:t>POs are</w:t>
      </w:r>
      <w:r w:rsidRPr="73A02EA7">
        <w:rPr>
          <w:rFonts w:eastAsia="Times New Roman" w:cs="Times New Roman"/>
          <w:noProof/>
        </w:rPr>
        <w:t xml:space="preserve"> structured from a low degree of intervention (PO1) to a high degree of intervention on the measures proposed (PO3). </w:t>
      </w:r>
      <w:r>
        <w:rPr>
          <w:rFonts w:eastAsia="Times New Roman" w:cs="Times New Roman"/>
          <w:noProof/>
        </w:rPr>
        <w:t>I</w:t>
      </w:r>
      <w:r w:rsidRPr="73A02EA7">
        <w:rPr>
          <w:rFonts w:eastAsia="Times New Roman" w:cs="Times New Roman"/>
          <w:noProof/>
        </w:rPr>
        <w:t xml:space="preserve">ntervention </w:t>
      </w:r>
      <w:r>
        <w:rPr>
          <w:rFonts w:eastAsia="Times New Roman" w:cs="Times New Roman"/>
          <w:noProof/>
        </w:rPr>
        <w:t>should</w:t>
      </w:r>
      <w:r w:rsidRPr="73A02EA7">
        <w:rPr>
          <w:rFonts w:eastAsia="Times New Roman" w:cs="Times New Roman"/>
          <w:noProof/>
        </w:rPr>
        <w:t xml:space="preserve"> be understood in the context of each specific objective, </w:t>
      </w:r>
      <w:r w:rsidRPr="00A11DF2">
        <w:rPr>
          <w:rFonts w:eastAsia="Times New Roman" w:cs="Times New Roman"/>
          <w:noProof/>
        </w:rPr>
        <w:t>e.g.:</w:t>
      </w:r>
      <w:r w:rsidRPr="73A02EA7">
        <w:rPr>
          <w:rFonts w:eastAsia="Times New Roman" w:cs="Times New Roman"/>
          <w:noProof/>
        </w:rPr>
        <w:t xml:space="preserve"> for permitting or the low-carbon label, each PO becomes increasingly more prescriptive</w:t>
      </w:r>
      <w:r>
        <w:rPr>
          <w:rFonts w:eastAsia="Times New Roman" w:cs="Times New Roman"/>
          <w:noProof/>
        </w:rPr>
        <w:t xml:space="preserve"> in the requirements imposed on companies or Member States</w:t>
      </w:r>
      <w:r w:rsidRPr="73A02EA7">
        <w:rPr>
          <w:rFonts w:eastAsia="Times New Roman" w:cs="Times New Roman"/>
          <w:noProof/>
        </w:rPr>
        <w:t xml:space="preserve">. In the case of </w:t>
      </w:r>
      <w:r>
        <w:rPr>
          <w:rFonts w:eastAsia="Times New Roman" w:cs="Times New Roman"/>
          <w:noProof/>
        </w:rPr>
        <w:t>FDI</w:t>
      </w:r>
      <w:r w:rsidRPr="73A02EA7">
        <w:rPr>
          <w:rFonts w:eastAsia="Times New Roman" w:cs="Times New Roman"/>
          <w:noProof/>
        </w:rPr>
        <w:t>, the measures become more stringent</w:t>
      </w:r>
      <w:r>
        <w:rPr>
          <w:rFonts w:eastAsia="Times New Roman" w:cs="Times New Roman"/>
          <w:noProof/>
        </w:rPr>
        <w:t xml:space="preserve"> due to their </w:t>
      </w:r>
      <w:r w:rsidRPr="4F187866">
        <w:rPr>
          <w:rFonts w:eastAsia="Times New Roman" w:cs="Times New Roman"/>
          <w:noProof/>
        </w:rPr>
        <w:t xml:space="preserve">being </w:t>
      </w:r>
      <w:r>
        <w:rPr>
          <w:rFonts w:eastAsia="Times New Roman" w:cs="Times New Roman"/>
          <w:noProof/>
        </w:rPr>
        <w:t>binding</w:t>
      </w:r>
      <w:r w:rsidRPr="73A02EA7">
        <w:rPr>
          <w:rFonts w:eastAsia="Times New Roman" w:cs="Times New Roman"/>
          <w:noProof/>
        </w:rPr>
        <w:t>, and for lead markets</w:t>
      </w:r>
      <w:r>
        <w:rPr>
          <w:rFonts w:eastAsia="Times New Roman" w:cs="Times New Roman"/>
          <w:noProof/>
        </w:rPr>
        <w:t>, the measures increasingly cover more and more market segments (from public procurement only to all products put on the market) either for low-carbon or for made in EU requirements.</w:t>
      </w:r>
    </w:p>
    <w:p w14:paraId="5443B1AF" w14:textId="64F88B72" w:rsidR="00285741" w:rsidRPr="00596E98" w:rsidRDefault="00285741">
      <w:pPr>
        <w:pStyle w:val="Caption"/>
        <w:keepNext/>
        <w:rPr>
          <w:rFonts w:eastAsia="Times New Roman"/>
          <w:noProof/>
          <w:sz w:val="20"/>
          <w:szCs w:val="14"/>
        </w:rPr>
      </w:pPr>
      <w:r w:rsidRPr="00596E98">
        <w:rPr>
          <w:noProof/>
          <w:sz w:val="20"/>
          <w:szCs w:val="14"/>
        </w:rPr>
        <w:t xml:space="preserve">Table </w:t>
      </w:r>
      <w:r w:rsidRPr="00596E98">
        <w:rPr>
          <w:noProof/>
          <w:sz w:val="20"/>
          <w:szCs w:val="14"/>
        </w:rPr>
        <w:fldChar w:fldCharType="begin"/>
      </w:r>
      <w:r w:rsidRPr="00596E98">
        <w:rPr>
          <w:noProof/>
          <w:sz w:val="20"/>
          <w:szCs w:val="14"/>
        </w:rPr>
        <w:instrText xml:space="preserve"> SEQ Table \* ARABIC </w:instrText>
      </w:r>
      <w:r w:rsidRPr="00596E98">
        <w:rPr>
          <w:noProof/>
          <w:sz w:val="20"/>
          <w:szCs w:val="14"/>
        </w:rPr>
        <w:fldChar w:fldCharType="separate"/>
      </w:r>
      <w:r w:rsidR="00E16D65">
        <w:rPr>
          <w:noProof/>
          <w:sz w:val="20"/>
          <w:szCs w:val="14"/>
        </w:rPr>
        <w:t>2</w:t>
      </w:r>
      <w:r w:rsidRPr="00596E98">
        <w:rPr>
          <w:noProof/>
          <w:sz w:val="20"/>
          <w:szCs w:val="14"/>
        </w:rPr>
        <w:fldChar w:fldCharType="end"/>
      </w:r>
      <w:r w:rsidRPr="00596E98">
        <w:rPr>
          <w:noProof/>
          <w:sz w:val="20"/>
          <w:szCs w:val="14"/>
        </w:rPr>
        <w:t>: Policy options to be assessed</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4"/>
        <w:gridCol w:w="1140"/>
        <w:gridCol w:w="1283"/>
        <w:gridCol w:w="1515"/>
      </w:tblGrid>
      <w:tr w:rsidR="00285741" w:rsidRPr="00306A1C" w14:paraId="44B99752" w14:textId="77777777">
        <w:trPr>
          <w:trHeight w:val="300"/>
        </w:trPr>
        <w:tc>
          <w:tcPr>
            <w:tcW w:w="2827" w:type="pct"/>
            <w:vAlign w:val="center"/>
          </w:tcPr>
          <w:p w14:paraId="440460DD" w14:textId="77777777" w:rsidR="00285741" w:rsidRPr="00306A1C" w:rsidRDefault="00285741">
            <w:pPr>
              <w:jc w:val="left"/>
              <w:rPr>
                <w:rFonts w:eastAsia="Aptos"/>
                <w:noProof/>
                <w:szCs w:val="20"/>
              </w:rPr>
            </w:pPr>
            <w:r w:rsidRPr="1A232AA2">
              <w:rPr>
                <w:rFonts w:eastAsia="Aptos"/>
                <w:noProof/>
                <w:szCs w:val="20"/>
              </w:rPr>
              <w:t>Specific objectives</w:t>
            </w:r>
          </w:p>
        </w:tc>
        <w:tc>
          <w:tcPr>
            <w:tcW w:w="629" w:type="pct"/>
            <w:vAlign w:val="center"/>
          </w:tcPr>
          <w:p w14:paraId="7704D367" w14:textId="77777777" w:rsidR="00285741" w:rsidRPr="00306A1C" w:rsidRDefault="00285741">
            <w:pPr>
              <w:jc w:val="center"/>
              <w:rPr>
                <w:rFonts w:eastAsia="Aptos"/>
                <w:b/>
                <w:bCs/>
                <w:noProof/>
                <w:szCs w:val="20"/>
              </w:rPr>
            </w:pPr>
            <w:r w:rsidRPr="1A232AA2">
              <w:rPr>
                <w:rFonts w:eastAsia="Aptos"/>
                <w:b/>
                <w:bCs/>
                <w:noProof/>
                <w:szCs w:val="20"/>
              </w:rPr>
              <w:t>PO1</w:t>
            </w:r>
          </w:p>
        </w:tc>
        <w:tc>
          <w:tcPr>
            <w:tcW w:w="708" w:type="pct"/>
            <w:vAlign w:val="center"/>
          </w:tcPr>
          <w:p w14:paraId="0F2EFD73" w14:textId="77777777" w:rsidR="00285741" w:rsidRPr="00306A1C" w:rsidRDefault="00285741">
            <w:pPr>
              <w:jc w:val="center"/>
              <w:rPr>
                <w:rFonts w:eastAsia="Aptos"/>
                <w:b/>
                <w:bCs/>
                <w:noProof/>
                <w:szCs w:val="20"/>
              </w:rPr>
            </w:pPr>
            <w:r w:rsidRPr="1A232AA2">
              <w:rPr>
                <w:rFonts w:eastAsia="Aptos"/>
                <w:b/>
                <w:bCs/>
                <w:noProof/>
                <w:szCs w:val="20"/>
              </w:rPr>
              <w:t>PO2</w:t>
            </w:r>
          </w:p>
        </w:tc>
        <w:tc>
          <w:tcPr>
            <w:tcW w:w="836" w:type="pct"/>
            <w:vAlign w:val="center"/>
          </w:tcPr>
          <w:p w14:paraId="18BDCEF7" w14:textId="77777777" w:rsidR="00285741" w:rsidRPr="00306A1C" w:rsidRDefault="00285741">
            <w:pPr>
              <w:jc w:val="center"/>
              <w:rPr>
                <w:rFonts w:eastAsia="Aptos"/>
                <w:b/>
                <w:bCs/>
                <w:noProof/>
                <w:szCs w:val="20"/>
              </w:rPr>
            </w:pPr>
            <w:r w:rsidRPr="1A232AA2">
              <w:rPr>
                <w:rFonts w:eastAsia="Aptos"/>
                <w:b/>
                <w:bCs/>
                <w:noProof/>
                <w:szCs w:val="20"/>
              </w:rPr>
              <w:t>PO3</w:t>
            </w:r>
          </w:p>
        </w:tc>
      </w:tr>
      <w:tr w:rsidR="00285741" w:rsidRPr="00306A1C" w14:paraId="1B927CC9" w14:textId="77777777">
        <w:trPr>
          <w:trHeight w:val="300"/>
        </w:trPr>
        <w:tc>
          <w:tcPr>
            <w:tcW w:w="2827" w:type="pct"/>
            <w:vAlign w:val="center"/>
          </w:tcPr>
          <w:p w14:paraId="1EEF0A78" w14:textId="77777777" w:rsidR="00285741" w:rsidRPr="00306A1C" w:rsidRDefault="00285741">
            <w:pPr>
              <w:jc w:val="left"/>
              <w:rPr>
                <w:rFonts w:eastAsia="Aptos"/>
                <w:noProof/>
                <w:szCs w:val="20"/>
              </w:rPr>
            </w:pPr>
            <w:r w:rsidRPr="1A232AA2">
              <w:rPr>
                <w:rFonts w:eastAsia="Aptos"/>
                <w:noProof/>
                <w:szCs w:val="20"/>
              </w:rPr>
              <w:t xml:space="preserve">SO1- </w:t>
            </w:r>
            <w:r w:rsidRPr="135A102E">
              <w:rPr>
                <w:rFonts w:eastAsia="Aptos"/>
                <w:i/>
                <w:iCs/>
                <w:noProof/>
                <w:szCs w:val="20"/>
              </w:rPr>
              <w:t>Low</w:t>
            </w:r>
            <w:r w:rsidRPr="1A232AA2">
              <w:rPr>
                <w:rFonts w:eastAsia="Aptos"/>
                <w:i/>
                <w:iCs/>
                <w:noProof/>
                <w:szCs w:val="20"/>
              </w:rPr>
              <w:t>-carbon label</w:t>
            </w:r>
          </w:p>
        </w:tc>
        <w:tc>
          <w:tcPr>
            <w:tcW w:w="629" w:type="pct"/>
            <w:vAlign w:val="center"/>
          </w:tcPr>
          <w:p w14:paraId="537163BA" w14:textId="77777777" w:rsidR="00285741" w:rsidRPr="00306A1C" w:rsidRDefault="00285741">
            <w:pPr>
              <w:jc w:val="center"/>
              <w:rPr>
                <w:rFonts w:eastAsia="Aptos"/>
                <w:noProof/>
                <w:szCs w:val="20"/>
              </w:rPr>
            </w:pPr>
            <w:r w:rsidRPr="1A232AA2">
              <w:rPr>
                <w:rFonts w:eastAsia="Aptos"/>
                <w:noProof/>
                <w:szCs w:val="20"/>
              </w:rPr>
              <w:t>LAB 1</w:t>
            </w:r>
          </w:p>
        </w:tc>
        <w:tc>
          <w:tcPr>
            <w:tcW w:w="1544" w:type="pct"/>
            <w:gridSpan w:val="2"/>
            <w:vAlign w:val="center"/>
          </w:tcPr>
          <w:p w14:paraId="400BB102" w14:textId="77777777" w:rsidR="00285741" w:rsidRPr="00306A1C" w:rsidRDefault="00285741">
            <w:pPr>
              <w:jc w:val="center"/>
              <w:rPr>
                <w:rFonts w:eastAsia="Aptos"/>
                <w:noProof/>
                <w:szCs w:val="20"/>
              </w:rPr>
            </w:pPr>
            <w:r w:rsidRPr="1A232AA2">
              <w:rPr>
                <w:rFonts w:eastAsia="Aptos"/>
                <w:noProof/>
                <w:szCs w:val="20"/>
              </w:rPr>
              <w:t>LAB 2</w:t>
            </w:r>
          </w:p>
        </w:tc>
      </w:tr>
      <w:tr w:rsidR="00285741" w:rsidRPr="00306A1C" w14:paraId="177F93E3" w14:textId="77777777">
        <w:trPr>
          <w:trHeight w:val="300"/>
        </w:trPr>
        <w:tc>
          <w:tcPr>
            <w:tcW w:w="2827" w:type="pct"/>
            <w:tcBorders>
              <w:top w:val="single" w:sz="4" w:space="0" w:color="auto"/>
              <w:left w:val="single" w:sz="4" w:space="0" w:color="auto"/>
              <w:bottom w:val="single" w:sz="4" w:space="0" w:color="auto"/>
              <w:right w:val="single" w:sz="4" w:space="0" w:color="auto"/>
            </w:tcBorders>
            <w:vAlign w:val="center"/>
          </w:tcPr>
          <w:p w14:paraId="5DC9E370" w14:textId="77777777" w:rsidR="00285741" w:rsidRPr="00306A1C" w:rsidRDefault="00285741">
            <w:pPr>
              <w:jc w:val="left"/>
              <w:rPr>
                <w:rFonts w:eastAsia="Aptos"/>
                <w:noProof/>
                <w:szCs w:val="20"/>
              </w:rPr>
            </w:pPr>
            <w:r w:rsidRPr="1A232AA2">
              <w:rPr>
                <w:rFonts w:eastAsia="Aptos"/>
                <w:noProof/>
                <w:szCs w:val="20"/>
              </w:rPr>
              <w:t xml:space="preserve">SO2 – </w:t>
            </w:r>
            <w:r w:rsidRPr="1A232AA2">
              <w:rPr>
                <w:rFonts w:eastAsia="Aptos"/>
                <w:i/>
                <w:iCs/>
                <w:noProof/>
                <w:szCs w:val="20"/>
              </w:rPr>
              <w:t>Lead markets</w:t>
            </w:r>
          </w:p>
        </w:tc>
        <w:tc>
          <w:tcPr>
            <w:tcW w:w="629" w:type="pct"/>
            <w:vMerge w:val="restart"/>
            <w:tcBorders>
              <w:top w:val="single" w:sz="4" w:space="0" w:color="auto"/>
              <w:left w:val="single" w:sz="4" w:space="0" w:color="auto"/>
              <w:bottom w:val="single" w:sz="4" w:space="0" w:color="auto"/>
              <w:right w:val="single" w:sz="4" w:space="0" w:color="auto"/>
            </w:tcBorders>
            <w:vAlign w:val="center"/>
          </w:tcPr>
          <w:p w14:paraId="25273746" w14:textId="77777777" w:rsidR="00285741" w:rsidRPr="00306A1C" w:rsidRDefault="00285741">
            <w:pPr>
              <w:jc w:val="center"/>
              <w:rPr>
                <w:rFonts w:eastAsia="Aptos"/>
                <w:noProof/>
                <w:szCs w:val="20"/>
              </w:rPr>
            </w:pPr>
            <w:r w:rsidRPr="000272AD">
              <w:rPr>
                <w:rFonts w:eastAsia="Aptos"/>
                <w:noProof/>
                <w:szCs w:val="20"/>
              </w:rPr>
              <w:t>LEAD_EII 1</w:t>
            </w:r>
          </w:p>
        </w:tc>
        <w:tc>
          <w:tcPr>
            <w:tcW w:w="708" w:type="pct"/>
            <w:vMerge w:val="restart"/>
            <w:tcBorders>
              <w:top w:val="single" w:sz="4" w:space="0" w:color="auto"/>
              <w:left w:val="single" w:sz="4" w:space="0" w:color="auto"/>
              <w:bottom w:val="single" w:sz="4" w:space="0" w:color="auto"/>
              <w:right w:val="single" w:sz="4" w:space="0" w:color="auto"/>
            </w:tcBorders>
            <w:vAlign w:val="center"/>
          </w:tcPr>
          <w:p w14:paraId="6C804E5F" w14:textId="77777777" w:rsidR="00285741" w:rsidRPr="00306A1C" w:rsidRDefault="00285741">
            <w:pPr>
              <w:jc w:val="center"/>
              <w:rPr>
                <w:rFonts w:eastAsia="Aptos"/>
                <w:noProof/>
                <w:szCs w:val="20"/>
              </w:rPr>
            </w:pPr>
            <w:r w:rsidRPr="1A232AA2">
              <w:rPr>
                <w:rFonts w:eastAsia="Aptos"/>
                <w:noProof/>
                <w:szCs w:val="20"/>
              </w:rPr>
              <w:t>LEAD_EII 2</w:t>
            </w:r>
          </w:p>
        </w:tc>
        <w:tc>
          <w:tcPr>
            <w:tcW w:w="836" w:type="pct"/>
            <w:vMerge w:val="restart"/>
            <w:tcBorders>
              <w:top w:val="single" w:sz="4" w:space="0" w:color="auto"/>
              <w:left w:val="single" w:sz="4" w:space="0" w:color="auto"/>
              <w:bottom w:val="single" w:sz="4" w:space="0" w:color="auto"/>
              <w:right w:val="single" w:sz="4" w:space="0" w:color="auto"/>
            </w:tcBorders>
            <w:vAlign w:val="center"/>
          </w:tcPr>
          <w:p w14:paraId="114B7977" w14:textId="77777777" w:rsidR="00285741" w:rsidRPr="00306A1C" w:rsidRDefault="00285741">
            <w:pPr>
              <w:jc w:val="center"/>
              <w:rPr>
                <w:rFonts w:eastAsia="Aptos"/>
                <w:noProof/>
                <w:szCs w:val="20"/>
              </w:rPr>
            </w:pPr>
            <w:r w:rsidRPr="1A232AA2">
              <w:rPr>
                <w:rFonts w:eastAsia="Aptos"/>
                <w:noProof/>
                <w:szCs w:val="20"/>
              </w:rPr>
              <w:t>LEAD_EII 3</w:t>
            </w:r>
          </w:p>
        </w:tc>
      </w:tr>
      <w:tr w:rsidR="00285741" w:rsidRPr="00306A1C" w14:paraId="5AF79DE0" w14:textId="77777777">
        <w:trPr>
          <w:trHeight w:val="300"/>
        </w:trPr>
        <w:tc>
          <w:tcPr>
            <w:tcW w:w="2827" w:type="pct"/>
            <w:tcBorders>
              <w:top w:val="single" w:sz="4" w:space="0" w:color="auto"/>
              <w:left w:val="single" w:sz="4" w:space="0" w:color="auto"/>
              <w:bottom w:val="single" w:sz="4" w:space="0" w:color="auto"/>
              <w:right w:val="single" w:sz="4" w:space="0" w:color="auto"/>
            </w:tcBorders>
            <w:vAlign w:val="center"/>
          </w:tcPr>
          <w:p w14:paraId="14593426" w14:textId="77777777" w:rsidR="00285741" w:rsidRPr="00306A1C" w:rsidRDefault="00285741">
            <w:pPr>
              <w:jc w:val="left"/>
              <w:rPr>
                <w:rFonts w:eastAsia="Aptos"/>
                <w:noProof/>
                <w:szCs w:val="20"/>
              </w:rPr>
            </w:pPr>
            <w:r>
              <w:rPr>
                <w:rFonts w:eastAsia="Aptos"/>
                <w:noProof/>
                <w:szCs w:val="20"/>
              </w:rPr>
              <w:t xml:space="preserve">     </w:t>
            </w:r>
            <w:r w:rsidRPr="1A232AA2">
              <w:rPr>
                <w:rFonts w:eastAsia="Aptos"/>
                <w:noProof/>
                <w:szCs w:val="20"/>
              </w:rPr>
              <w:t>EIIs</w:t>
            </w:r>
          </w:p>
        </w:tc>
        <w:tc>
          <w:tcPr>
            <w:tcW w:w="629" w:type="pct"/>
            <w:vMerge/>
            <w:vAlign w:val="center"/>
          </w:tcPr>
          <w:p w14:paraId="3D3250A0" w14:textId="77777777" w:rsidR="00285741" w:rsidRPr="00306A1C" w:rsidRDefault="00285741">
            <w:pPr>
              <w:jc w:val="center"/>
              <w:rPr>
                <w:rFonts w:eastAsia="Aptos"/>
                <w:noProof/>
                <w:szCs w:val="20"/>
              </w:rPr>
            </w:pPr>
          </w:p>
        </w:tc>
        <w:tc>
          <w:tcPr>
            <w:tcW w:w="708" w:type="pct"/>
            <w:vMerge/>
            <w:vAlign w:val="center"/>
          </w:tcPr>
          <w:p w14:paraId="4E4BD427" w14:textId="77777777" w:rsidR="00285741" w:rsidRPr="00306A1C" w:rsidRDefault="00285741">
            <w:pPr>
              <w:jc w:val="center"/>
              <w:rPr>
                <w:rFonts w:eastAsia="Aptos"/>
                <w:noProof/>
                <w:szCs w:val="20"/>
              </w:rPr>
            </w:pPr>
          </w:p>
        </w:tc>
        <w:tc>
          <w:tcPr>
            <w:tcW w:w="836" w:type="pct"/>
            <w:vMerge/>
            <w:vAlign w:val="center"/>
          </w:tcPr>
          <w:p w14:paraId="4E16C7B1" w14:textId="77777777" w:rsidR="00285741" w:rsidRPr="00306A1C" w:rsidRDefault="00285741">
            <w:pPr>
              <w:jc w:val="center"/>
              <w:rPr>
                <w:rFonts w:eastAsia="Aptos"/>
                <w:noProof/>
                <w:szCs w:val="20"/>
              </w:rPr>
            </w:pPr>
          </w:p>
        </w:tc>
      </w:tr>
      <w:tr w:rsidR="00285741" w:rsidRPr="00306A1C" w14:paraId="4BAD9AC7" w14:textId="77777777">
        <w:trPr>
          <w:trHeight w:val="300"/>
        </w:trPr>
        <w:tc>
          <w:tcPr>
            <w:tcW w:w="2827" w:type="pct"/>
            <w:vAlign w:val="center"/>
          </w:tcPr>
          <w:p w14:paraId="68708CA3" w14:textId="77777777" w:rsidR="00285741" w:rsidRPr="00306A1C" w:rsidRDefault="00285741">
            <w:pPr>
              <w:jc w:val="left"/>
              <w:rPr>
                <w:rFonts w:eastAsia="Aptos"/>
                <w:noProof/>
                <w:szCs w:val="20"/>
              </w:rPr>
            </w:pPr>
            <w:r>
              <w:rPr>
                <w:rFonts w:eastAsia="Aptos"/>
                <w:noProof/>
                <w:szCs w:val="20"/>
              </w:rPr>
              <w:t xml:space="preserve">     </w:t>
            </w:r>
            <w:r w:rsidRPr="1A232AA2">
              <w:rPr>
                <w:rFonts w:eastAsia="Aptos"/>
                <w:noProof/>
                <w:szCs w:val="20"/>
              </w:rPr>
              <w:t>Batteries</w:t>
            </w:r>
          </w:p>
        </w:tc>
        <w:tc>
          <w:tcPr>
            <w:tcW w:w="1337" w:type="pct"/>
            <w:gridSpan w:val="2"/>
            <w:vAlign w:val="center"/>
          </w:tcPr>
          <w:p w14:paraId="40D0497E" w14:textId="77777777" w:rsidR="00285741" w:rsidRPr="00306A1C" w:rsidRDefault="00285741">
            <w:pPr>
              <w:jc w:val="center"/>
              <w:rPr>
                <w:noProof/>
                <w:szCs w:val="20"/>
              </w:rPr>
            </w:pPr>
            <w:r w:rsidRPr="1A232AA2">
              <w:rPr>
                <w:noProof/>
                <w:szCs w:val="20"/>
              </w:rPr>
              <w:t>LEAD_BAT 1</w:t>
            </w:r>
          </w:p>
        </w:tc>
        <w:tc>
          <w:tcPr>
            <w:tcW w:w="836" w:type="pct"/>
            <w:vAlign w:val="center"/>
          </w:tcPr>
          <w:p w14:paraId="11A03F6B" w14:textId="77777777" w:rsidR="00285741" w:rsidRPr="00306A1C" w:rsidRDefault="00285741">
            <w:pPr>
              <w:jc w:val="center"/>
              <w:rPr>
                <w:rFonts w:eastAsia="Aptos"/>
                <w:noProof/>
                <w:szCs w:val="20"/>
              </w:rPr>
            </w:pPr>
            <w:r w:rsidRPr="1A232AA2">
              <w:rPr>
                <w:rFonts w:eastAsia="Aptos"/>
                <w:noProof/>
                <w:szCs w:val="20"/>
              </w:rPr>
              <w:t>LEAD_BAT 2</w:t>
            </w:r>
          </w:p>
        </w:tc>
      </w:tr>
      <w:tr w:rsidR="00285741" w:rsidRPr="00306A1C" w14:paraId="1F7CE3DA" w14:textId="77777777">
        <w:trPr>
          <w:trHeight w:val="300"/>
        </w:trPr>
        <w:tc>
          <w:tcPr>
            <w:tcW w:w="2827" w:type="pct"/>
            <w:vAlign w:val="center"/>
          </w:tcPr>
          <w:p w14:paraId="5E1792E4" w14:textId="77777777" w:rsidR="00285741" w:rsidRPr="00306A1C" w:rsidRDefault="00285741">
            <w:pPr>
              <w:jc w:val="left"/>
              <w:rPr>
                <w:rFonts w:eastAsia="Aptos"/>
                <w:noProof/>
              </w:rPr>
            </w:pPr>
            <w:r w:rsidRPr="43AA880E">
              <w:rPr>
                <w:rFonts w:eastAsia="Aptos"/>
                <w:noProof/>
              </w:rPr>
              <w:t xml:space="preserve">     Solar PV</w:t>
            </w:r>
          </w:p>
        </w:tc>
        <w:tc>
          <w:tcPr>
            <w:tcW w:w="1337" w:type="pct"/>
            <w:gridSpan w:val="2"/>
            <w:vAlign w:val="center"/>
          </w:tcPr>
          <w:p w14:paraId="496B236C" w14:textId="596C91A3" w:rsidR="00285741" w:rsidRPr="00306A1C" w:rsidRDefault="00285741">
            <w:pPr>
              <w:jc w:val="center"/>
              <w:rPr>
                <w:noProof/>
                <w:szCs w:val="20"/>
              </w:rPr>
            </w:pPr>
            <w:r w:rsidRPr="1A232AA2">
              <w:rPr>
                <w:noProof/>
                <w:szCs w:val="20"/>
              </w:rPr>
              <w:t>LEAD_SOL</w:t>
            </w:r>
            <w:r w:rsidR="0009104E">
              <w:rPr>
                <w:noProof/>
                <w:szCs w:val="20"/>
              </w:rPr>
              <w:t xml:space="preserve"> </w:t>
            </w:r>
            <w:r w:rsidRPr="1A232AA2">
              <w:rPr>
                <w:noProof/>
                <w:szCs w:val="20"/>
              </w:rPr>
              <w:t>1</w:t>
            </w:r>
          </w:p>
        </w:tc>
        <w:tc>
          <w:tcPr>
            <w:tcW w:w="836" w:type="pct"/>
            <w:vAlign w:val="center"/>
          </w:tcPr>
          <w:p w14:paraId="2E3AC3F9" w14:textId="620973A1" w:rsidR="00285741" w:rsidRPr="00306A1C" w:rsidRDefault="00285741">
            <w:pPr>
              <w:jc w:val="center"/>
              <w:rPr>
                <w:rFonts w:eastAsia="Aptos"/>
                <w:noProof/>
                <w:szCs w:val="20"/>
              </w:rPr>
            </w:pPr>
            <w:r w:rsidRPr="1A232AA2">
              <w:rPr>
                <w:rFonts w:eastAsia="Aptos"/>
                <w:noProof/>
                <w:szCs w:val="20"/>
              </w:rPr>
              <w:t>LEAD_SOL</w:t>
            </w:r>
            <w:r w:rsidR="0009104E">
              <w:rPr>
                <w:rFonts w:eastAsia="Aptos"/>
                <w:noProof/>
                <w:szCs w:val="20"/>
              </w:rPr>
              <w:t xml:space="preserve"> </w:t>
            </w:r>
            <w:r w:rsidRPr="1A232AA2">
              <w:rPr>
                <w:rFonts w:eastAsia="Aptos"/>
                <w:noProof/>
                <w:szCs w:val="20"/>
              </w:rPr>
              <w:t>2</w:t>
            </w:r>
          </w:p>
        </w:tc>
      </w:tr>
      <w:tr w:rsidR="00285741" w:rsidRPr="00306A1C" w14:paraId="637D51BB" w14:textId="77777777">
        <w:trPr>
          <w:trHeight w:val="300"/>
        </w:trPr>
        <w:tc>
          <w:tcPr>
            <w:tcW w:w="2827" w:type="pct"/>
            <w:vAlign w:val="center"/>
          </w:tcPr>
          <w:p w14:paraId="153DE51C" w14:textId="77777777" w:rsidR="00285741" w:rsidRPr="00306A1C" w:rsidRDefault="00285741">
            <w:pPr>
              <w:jc w:val="left"/>
              <w:rPr>
                <w:rFonts w:eastAsia="Aptos"/>
                <w:noProof/>
                <w:szCs w:val="20"/>
              </w:rPr>
            </w:pPr>
            <w:r>
              <w:rPr>
                <w:rFonts w:eastAsia="Aptos"/>
                <w:noProof/>
                <w:szCs w:val="20"/>
              </w:rPr>
              <w:t xml:space="preserve">     </w:t>
            </w:r>
            <w:r w:rsidRPr="1A232AA2">
              <w:rPr>
                <w:rFonts w:eastAsia="Aptos"/>
                <w:noProof/>
                <w:szCs w:val="20"/>
              </w:rPr>
              <w:t>Vehicle Components</w:t>
            </w:r>
          </w:p>
        </w:tc>
        <w:tc>
          <w:tcPr>
            <w:tcW w:w="1337" w:type="pct"/>
            <w:gridSpan w:val="2"/>
            <w:vAlign w:val="center"/>
          </w:tcPr>
          <w:p w14:paraId="028B1E85" w14:textId="076611BA" w:rsidR="00285741" w:rsidRPr="00306A1C" w:rsidRDefault="00285741">
            <w:pPr>
              <w:jc w:val="center"/>
              <w:rPr>
                <w:noProof/>
                <w:szCs w:val="20"/>
              </w:rPr>
            </w:pPr>
            <w:r w:rsidRPr="1A232AA2">
              <w:rPr>
                <w:noProof/>
                <w:szCs w:val="20"/>
              </w:rPr>
              <w:t>LEAD_VC</w:t>
            </w:r>
            <w:r w:rsidR="0009104E">
              <w:rPr>
                <w:noProof/>
                <w:szCs w:val="20"/>
              </w:rPr>
              <w:t xml:space="preserve"> </w:t>
            </w:r>
            <w:r w:rsidRPr="1A232AA2">
              <w:rPr>
                <w:noProof/>
                <w:szCs w:val="20"/>
              </w:rPr>
              <w:t>1</w:t>
            </w:r>
          </w:p>
        </w:tc>
        <w:tc>
          <w:tcPr>
            <w:tcW w:w="836" w:type="pct"/>
            <w:vAlign w:val="center"/>
          </w:tcPr>
          <w:p w14:paraId="2E1E8266" w14:textId="3E70995E" w:rsidR="00285741" w:rsidRPr="00306A1C" w:rsidRDefault="00285741">
            <w:pPr>
              <w:jc w:val="center"/>
              <w:rPr>
                <w:rFonts w:eastAsia="Aptos"/>
                <w:noProof/>
                <w:szCs w:val="20"/>
              </w:rPr>
            </w:pPr>
            <w:r w:rsidRPr="1A232AA2">
              <w:rPr>
                <w:rFonts w:eastAsia="Aptos"/>
                <w:noProof/>
                <w:szCs w:val="20"/>
              </w:rPr>
              <w:t>LEAD_VC</w:t>
            </w:r>
            <w:r w:rsidR="0009104E">
              <w:rPr>
                <w:rFonts w:eastAsia="Aptos"/>
                <w:noProof/>
                <w:szCs w:val="20"/>
              </w:rPr>
              <w:t xml:space="preserve"> </w:t>
            </w:r>
            <w:r w:rsidRPr="1A232AA2">
              <w:rPr>
                <w:rFonts w:eastAsia="Aptos"/>
                <w:noProof/>
                <w:szCs w:val="20"/>
              </w:rPr>
              <w:t>2</w:t>
            </w:r>
          </w:p>
        </w:tc>
      </w:tr>
      <w:tr w:rsidR="00285741" w:rsidRPr="00306A1C" w14:paraId="6A141CEC" w14:textId="77777777">
        <w:trPr>
          <w:trHeight w:val="300"/>
        </w:trPr>
        <w:tc>
          <w:tcPr>
            <w:tcW w:w="2827" w:type="pct"/>
            <w:vAlign w:val="center"/>
          </w:tcPr>
          <w:p w14:paraId="59B55922" w14:textId="77777777" w:rsidR="00285741" w:rsidRPr="00306A1C" w:rsidRDefault="00285741">
            <w:pPr>
              <w:jc w:val="left"/>
              <w:rPr>
                <w:rFonts w:eastAsia="Aptos"/>
                <w:noProof/>
                <w:szCs w:val="20"/>
              </w:rPr>
            </w:pPr>
            <w:r w:rsidRPr="1A232AA2">
              <w:rPr>
                <w:rFonts w:eastAsia="Aptos"/>
                <w:noProof/>
                <w:szCs w:val="20"/>
              </w:rPr>
              <w:t xml:space="preserve">SO3 – </w:t>
            </w:r>
            <w:r w:rsidRPr="1A232AA2">
              <w:rPr>
                <w:rFonts w:eastAsia="Aptos"/>
                <w:i/>
                <w:iCs/>
                <w:noProof/>
                <w:szCs w:val="20"/>
              </w:rPr>
              <w:t>Foreign Direct Investment conditionalities</w:t>
            </w:r>
          </w:p>
        </w:tc>
        <w:tc>
          <w:tcPr>
            <w:tcW w:w="629" w:type="pct"/>
            <w:vAlign w:val="center"/>
          </w:tcPr>
          <w:p w14:paraId="1D296444" w14:textId="77777777" w:rsidR="00285741" w:rsidRPr="00306A1C" w:rsidRDefault="00285741">
            <w:pPr>
              <w:jc w:val="center"/>
              <w:rPr>
                <w:rFonts w:eastAsia="Aptos"/>
                <w:noProof/>
                <w:szCs w:val="20"/>
              </w:rPr>
            </w:pPr>
            <w:r w:rsidRPr="1A232AA2">
              <w:rPr>
                <w:rFonts w:eastAsia="Aptos"/>
                <w:noProof/>
                <w:szCs w:val="20"/>
              </w:rPr>
              <w:t>INV 1</w:t>
            </w:r>
          </w:p>
        </w:tc>
        <w:tc>
          <w:tcPr>
            <w:tcW w:w="1544" w:type="pct"/>
            <w:gridSpan w:val="2"/>
            <w:vAlign w:val="center"/>
          </w:tcPr>
          <w:p w14:paraId="57F8424B" w14:textId="77777777" w:rsidR="00285741" w:rsidRPr="00306A1C" w:rsidRDefault="00285741">
            <w:pPr>
              <w:jc w:val="center"/>
              <w:rPr>
                <w:rFonts w:eastAsia="Aptos"/>
                <w:noProof/>
                <w:szCs w:val="20"/>
              </w:rPr>
            </w:pPr>
            <w:r w:rsidRPr="1A232AA2">
              <w:rPr>
                <w:rFonts w:eastAsia="Aptos"/>
                <w:noProof/>
                <w:szCs w:val="20"/>
              </w:rPr>
              <w:t>INV 2</w:t>
            </w:r>
          </w:p>
        </w:tc>
      </w:tr>
      <w:tr w:rsidR="00285741" w:rsidRPr="00306A1C" w14:paraId="308D3997" w14:textId="77777777">
        <w:trPr>
          <w:trHeight w:val="300"/>
        </w:trPr>
        <w:tc>
          <w:tcPr>
            <w:tcW w:w="2827" w:type="pct"/>
            <w:vAlign w:val="center"/>
          </w:tcPr>
          <w:p w14:paraId="20A6763C" w14:textId="77777777" w:rsidR="00285741" w:rsidRPr="00306A1C" w:rsidRDefault="00285741">
            <w:pPr>
              <w:jc w:val="left"/>
              <w:rPr>
                <w:rFonts w:eastAsia="Aptos"/>
                <w:noProof/>
                <w:szCs w:val="20"/>
              </w:rPr>
            </w:pPr>
            <w:r w:rsidRPr="1A232AA2">
              <w:rPr>
                <w:rFonts w:eastAsia="Aptos"/>
                <w:noProof/>
                <w:szCs w:val="20"/>
              </w:rPr>
              <w:t xml:space="preserve">SO4 </w:t>
            </w:r>
            <w:r w:rsidRPr="1A232AA2">
              <w:rPr>
                <w:rFonts w:eastAsia="Aptos"/>
                <w:i/>
                <w:iCs/>
                <w:noProof/>
                <w:szCs w:val="20"/>
              </w:rPr>
              <w:t>- Speed-up and simplify permit-granting procedures</w:t>
            </w:r>
            <w:r w:rsidRPr="555D691B">
              <w:rPr>
                <w:rFonts w:eastAsia="Aptos"/>
                <w:i/>
                <w:iCs/>
                <w:noProof/>
                <w:szCs w:val="20"/>
              </w:rPr>
              <w:t xml:space="preserve"> </w:t>
            </w:r>
          </w:p>
        </w:tc>
        <w:tc>
          <w:tcPr>
            <w:tcW w:w="629" w:type="pct"/>
            <w:vAlign w:val="center"/>
          </w:tcPr>
          <w:p w14:paraId="2D128FE0" w14:textId="77777777" w:rsidR="00285741" w:rsidRPr="00306A1C" w:rsidRDefault="00285741">
            <w:pPr>
              <w:jc w:val="center"/>
              <w:rPr>
                <w:rFonts w:eastAsia="Aptos"/>
                <w:noProof/>
                <w:szCs w:val="20"/>
              </w:rPr>
            </w:pPr>
            <w:r w:rsidRPr="1A232AA2">
              <w:rPr>
                <w:rFonts w:eastAsia="Aptos"/>
                <w:noProof/>
                <w:szCs w:val="20"/>
              </w:rPr>
              <w:t>PERM 1</w:t>
            </w:r>
          </w:p>
        </w:tc>
        <w:tc>
          <w:tcPr>
            <w:tcW w:w="708" w:type="pct"/>
            <w:vAlign w:val="center"/>
          </w:tcPr>
          <w:p w14:paraId="3C264111" w14:textId="77777777" w:rsidR="00285741" w:rsidRPr="00306A1C" w:rsidRDefault="00285741">
            <w:pPr>
              <w:jc w:val="center"/>
              <w:rPr>
                <w:rFonts w:eastAsia="Aptos"/>
                <w:noProof/>
                <w:szCs w:val="20"/>
              </w:rPr>
            </w:pPr>
            <w:r w:rsidRPr="1A232AA2">
              <w:rPr>
                <w:rFonts w:eastAsia="Aptos"/>
                <w:noProof/>
                <w:szCs w:val="20"/>
              </w:rPr>
              <w:t>PERM 2</w:t>
            </w:r>
          </w:p>
        </w:tc>
        <w:tc>
          <w:tcPr>
            <w:tcW w:w="836" w:type="pct"/>
            <w:vAlign w:val="center"/>
          </w:tcPr>
          <w:p w14:paraId="229B07F6" w14:textId="77777777" w:rsidR="00285741" w:rsidRPr="00306A1C" w:rsidRDefault="00285741">
            <w:pPr>
              <w:jc w:val="center"/>
              <w:rPr>
                <w:rFonts w:eastAsia="Aptos"/>
                <w:noProof/>
                <w:szCs w:val="20"/>
              </w:rPr>
            </w:pPr>
            <w:r w:rsidRPr="1A232AA2">
              <w:rPr>
                <w:rFonts w:eastAsia="Aptos"/>
                <w:noProof/>
                <w:szCs w:val="20"/>
              </w:rPr>
              <w:t>PERM 3</w:t>
            </w:r>
          </w:p>
        </w:tc>
      </w:tr>
      <w:tr w:rsidR="00285741" w:rsidRPr="00306A1C" w14:paraId="7829EF88" w14:textId="77777777">
        <w:trPr>
          <w:trHeight w:val="300"/>
        </w:trPr>
        <w:tc>
          <w:tcPr>
            <w:tcW w:w="2827" w:type="pct"/>
            <w:vAlign w:val="center"/>
          </w:tcPr>
          <w:p w14:paraId="34E72BCD" w14:textId="77777777" w:rsidR="00285741" w:rsidRPr="00E447EE" w:rsidRDefault="00285741">
            <w:pPr>
              <w:jc w:val="left"/>
              <w:rPr>
                <w:rFonts w:eastAsia="Aptos"/>
                <w:noProof/>
              </w:rPr>
            </w:pPr>
            <w:r w:rsidRPr="43AA880E">
              <w:rPr>
                <w:rFonts w:eastAsia="Aptos"/>
                <w:noProof/>
              </w:rPr>
              <w:t xml:space="preserve">SO5- </w:t>
            </w:r>
            <w:r w:rsidRPr="43AA880E">
              <w:rPr>
                <w:i/>
                <w:noProof/>
              </w:rPr>
              <w:t>Facilitate investment decisions in decarbonisation projects</w:t>
            </w:r>
            <w:r>
              <w:rPr>
                <w:noProof/>
              </w:rPr>
              <w:t xml:space="preserve"> </w:t>
            </w:r>
          </w:p>
        </w:tc>
        <w:tc>
          <w:tcPr>
            <w:tcW w:w="629" w:type="pct"/>
            <w:vAlign w:val="center"/>
          </w:tcPr>
          <w:p w14:paraId="23881810" w14:textId="77777777" w:rsidR="00285741" w:rsidRPr="00306A1C" w:rsidRDefault="00285741">
            <w:pPr>
              <w:jc w:val="center"/>
              <w:rPr>
                <w:rFonts w:eastAsia="Aptos"/>
                <w:noProof/>
                <w:szCs w:val="20"/>
              </w:rPr>
            </w:pPr>
            <w:r>
              <w:rPr>
                <w:rFonts w:eastAsia="Aptos"/>
                <w:noProof/>
                <w:szCs w:val="20"/>
              </w:rPr>
              <w:t>AREA</w:t>
            </w:r>
            <w:r w:rsidRPr="1A232AA2">
              <w:rPr>
                <w:rFonts w:eastAsia="Aptos"/>
                <w:noProof/>
                <w:szCs w:val="20"/>
              </w:rPr>
              <w:t xml:space="preserve"> 1</w:t>
            </w:r>
          </w:p>
        </w:tc>
        <w:tc>
          <w:tcPr>
            <w:tcW w:w="1544" w:type="pct"/>
            <w:gridSpan w:val="2"/>
            <w:vAlign w:val="center"/>
          </w:tcPr>
          <w:p w14:paraId="370FE751" w14:textId="77777777" w:rsidR="00285741" w:rsidRPr="00306A1C" w:rsidRDefault="00285741">
            <w:pPr>
              <w:jc w:val="center"/>
              <w:rPr>
                <w:rFonts w:eastAsia="Aptos"/>
                <w:noProof/>
                <w:szCs w:val="20"/>
              </w:rPr>
            </w:pPr>
            <w:r>
              <w:rPr>
                <w:rFonts w:eastAsia="Aptos"/>
                <w:noProof/>
                <w:szCs w:val="20"/>
              </w:rPr>
              <w:t>AREA</w:t>
            </w:r>
            <w:r w:rsidRPr="1A232AA2">
              <w:rPr>
                <w:rFonts w:eastAsia="Aptos"/>
                <w:noProof/>
                <w:szCs w:val="20"/>
              </w:rPr>
              <w:t xml:space="preserve"> 2</w:t>
            </w:r>
          </w:p>
        </w:tc>
      </w:tr>
    </w:tbl>
    <w:p w14:paraId="7BD71DD4" w14:textId="77777777" w:rsidR="00285741" w:rsidRDefault="00285741">
      <w:pPr>
        <w:rPr>
          <w:rFonts w:eastAsia="Times New Roman"/>
          <w:i/>
          <w:noProof/>
          <w:sz w:val="20"/>
          <w:szCs w:val="20"/>
        </w:rPr>
      </w:pPr>
    </w:p>
    <w:p w14:paraId="06A03DBD" w14:textId="77777777" w:rsidR="00285741" w:rsidRDefault="00285741">
      <w:pPr>
        <w:rPr>
          <w:rFonts w:eastAsia="Times New Roman"/>
          <w:i/>
          <w:noProof/>
          <w:sz w:val="20"/>
          <w:szCs w:val="20"/>
        </w:rPr>
      </w:pPr>
    </w:p>
    <w:p w14:paraId="4C6D288B" w14:textId="77777777" w:rsidR="00285741" w:rsidRPr="00310056" w:rsidRDefault="00285741" w:rsidP="00285741">
      <w:pPr>
        <w:pStyle w:val="Heading2"/>
        <w:keepLines w:val="0"/>
        <w:numPr>
          <w:ilvl w:val="1"/>
          <w:numId w:val="64"/>
        </w:numPr>
        <w:tabs>
          <w:tab w:val="num" w:pos="1855"/>
        </w:tabs>
        <w:spacing w:before="0" w:after="120"/>
        <w:ind w:left="1276" w:hanging="709"/>
      </w:pPr>
      <w:bookmarkStart w:id="62" w:name="_Toc222489985"/>
      <w:r w:rsidRPr="00310056">
        <w:t>Options discarded at an early stage</w:t>
      </w:r>
      <w:bookmarkEnd w:id="62"/>
    </w:p>
    <w:p w14:paraId="6543FFF9" w14:textId="27D1C210" w:rsidR="00285741" w:rsidRPr="004A4589" w:rsidRDefault="00285741" w:rsidP="004A4589">
      <w:pPr>
        <w:spacing w:after="120"/>
        <w:rPr>
          <w:noProof/>
        </w:rPr>
        <w:sectPr w:rsidR="00285741" w:rsidRPr="004A4589" w:rsidSect="004F2FDB">
          <w:headerReference w:type="even" r:id="rId24"/>
          <w:headerReference w:type="default" r:id="rId25"/>
          <w:footerReference w:type="even" r:id="rId26"/>
          <w:footerReference w:type="default" r:id="rId27"/>
          <w:headerReference w:type="first" r:id="rId28"/>
          <w:footerReference w:type="first" r:id="rId29"/>
          <w:pgSz w:w="11906" w:h="16838"/>
          <w:pgMar w:top="1134" w:right="1417" w:bottom="1134" w:left="1417" w:header="709" w:footer="709" w:gutter="0"/>
          <w:pgNumType w:start="1"/>
          <w:cols w:space="720"/>
          <w:docGrid w:linePitch="360"/>
        </w:sectPr>
      </w:pPr>
      <w:r w:rsidRPr="00BA2A9D">
        <w:rPr>
          <w:b/>
          <w:noProof/>
        </w:rPr>
        <w:t>AREA 3</w:t>
      </w:r>
      <w:r>
        <w:rPr>
          <w:noProof/>
        </w:rPr>
        <w:t xml:space="preserve"> </w:t>
      </w:r>
      <w:r w:rsidRPr="00662C30">
        <w:rPr>
          <w:noProof/>
        </w:rPr>
        <w:t>(</w:t>
      </w:r>
      <w:r w:rsidRPr="00BA2A9D">
        <w:rPr>
          <w:noProof/>
        </w:rPr>
        <w:t>SO5</w:t>
      </w:r>
      <w:r w:rsidRPr="00662C30">
        <w:rPr>
          <w:noProof/>
        </w:rPr>
        <w:t>)</w:t>
      </w:r>
      <w:r>
        <w:rPr>
          <w:noProof/>
        </w:rPr>
        <w:t xml:space="preserve"> would mandate the Commission to define industrial areas using the selection criteria and providing projects in these areas with preferential access to funding. This measure is discarded at an early stage as this would require amending other pieces of legislation, most notable the ETS Directive for the Innovation Fund, where a revision is already foreseen for 2026. IAA is not the right vehicle to conduct such amendments. </w:t>
      </w:r>
    </w:p>
    <w:p w14:paraId="3875BECD" w14:textId="777F7CDB" w:rsidR="004A4589" w:rsidRDefault="004A4589" w:rsidP="004A4589">
      <w:pPr>
        <w:pStyle w:val="Caption"/>
        <w:keepNext/>
        <w:rPr>
          <w:noProof/>
        </w:rPr>
      </w:pPr>
      <w:r>
        <w:rPr>
          <w:noProof/>
        </w:rPr>
        <w:lastRenderedPageBreak/>
        <w:t xml:space="preserve">Table </w:t>
      </w:r>
      <w:r>
        <w:rPr>
          <w:noProof/>
        </w:rPr>
        <w:fldChar w:fldCharType="begin"/>
      </w:r>
      <w:r>
        <w:rPr>
          <w:noProof/>
        </w:rPr>
        <w:instrText xml:space="preserve"> SEQ Table \* ARABIC </w:instrText>
      </w:r>
      <w:r>
        <w:rPr>
          <w:noProof/>
        </w:rPr>
        <w:fldChar w:fldCharType="separate"/>
      </w:r>
      <w:r w:rsidR="00E16D65">
        <w:rPr>
          <w:noProof/>
        </w:rPr>
        <w:t>3</w:t>
      </w:r>
      <w:r>
        <w:rPr>
          <w:noProof/>
        </w:rPr>
        <w:fldChar w:fldCharType="end"/>
      </w:r>
      <w:r>
        <w:rPr>
          <w:noProof/>
        </w:rPr>
        <w:t>: Overview of LEAD measures under SO2</w:t>
      </w:r>
    </w:p>
    <w:tbl>
      <w:tblPr>
        <w:tblStyle w:val="TableGrid"/>
        <w:tblW w:w="14029" w:type="dxa"/>
        <w:tblInd w:w="0" w:type="dxa"/>
        <w:tblBorders>
          <w:insideH w:val="single" w:sz="4" w:space="0" w:color="auto"/>
          <w:insideV w:val="single" w:sz="4" w:space="0" w:color="auto"/>
        </w:tblBorders>
        <w:tblLook w:val="04A0" w:firstRow="1" w:lastRow="0" w:firstColumn="1" w:lastColumn="0" w:noHBand="0" w:noVBand="1"/>
      </w:tblPr>
      <w:tblGrid>
        <w:gridCol w:w="1177"/>
        <w:gridCol w:w="3077"/>
        <w:gridCol w:w="2948"/>
        <w:gridCol w:w="6827"/>
      </w:tblGrid>
      <w:tr w:rsidR="00285741" w:rsidRPr="0096343E" w14:paraId="407D94A5" w14:textId="77777777" w:rsidTr="0AF02254">
        <w:trPr>
          <w:trHeight w:val="300"/>
        </w:trPr>
        <w:tc>
          <w:tcPr>
            <w:tcW w:w="1177" w:type="dxa"/>
            <w:shd w:val="clear" w:color="auto" w:fill="70A9E0"/>
          </w:tcPr>
          <w:p w14:paraId="7A1F72FF" w14:textId="77777777" w:rsidR="00285741" w:rsidRPr="0096343E" w:rsidRDefault="00285741">
            <w:pPr>
              <w:rPr>
                <w:rFonts w:eastAsiaTheme="minorHAnsi" w:cstheme="minorBidi"/>
                <w:b/>
                <w:bCs/>
                <w:noProof/>
                <w:sz w:val="18"/>
                <w:szCs w:val="18"/>
                <w:lang w:eastAsia="en-US"/>
              </w:rPr>
            </w:pPr>
            <w:r w:rsidRPr="0096343E">
              <w:rPr>
                <w:rFonts w:eastAsiaTheme="minorHAnsi" w:cstheme="minorBidi"/>
                <w:b/>
                <w:bCs/>
                <w:noProof/>
                <w:sz w:val="18"/>
                <w:szCs w:val="18"/>
                <w:lang w:eastAsia="en-US"/>
              </w:rPr>
              <w:t xml:space="preserve">Measures </w:t>
            </w:r>
          </w:p>
        </w:tc>
        <w:tc>
          <w:tcPr>
            <w:tcW w:w="12852" w:type="dxa"/>
            <w:gridSpan w:val="3"/>
            <w:shd w:val="clear" w:color="auto" w:fill="70A9E0"/>
          </w:tcPr>
          <w:p w14:paraId="238BAD21" w14:textId="77777777" w:rsidR="00285741" w:rsidRPr="0096343E" w:rsidRDefault="00285741">
            <w:pPr>
              <w:rPr>
                <w:rFonts w:eastAsiaTheme="minorHAnsi" w:cstheme="minorBidi"/>
                <w:b/>
                <w:bCs/>
                <w:noProof/>
                <w:sz w:val="18"/>
                <w:szCs w:val="18"/>
                <w:lang w:eastAsia="en-US"/>
              </w:rPr>
            </w:pPr>
            <w:r w:rsidRPr="0096343E">
              <w:rPr>
                <w:rFonts w:eastAsiaTheme="minorHAnsi" w:cstheme="minorBidi"/>
                <w:b/>
                <w:bCs/>
                <w:noProof/>
                <w:sz w:val="18"/>
                <w:szCs w:val="18"/>
                <w:lang w:eastAsia="en-US"/>
              </w:rPr>
              <w:t>Design elements</w:t>
            </w:r>
            <w:r w:rsidRPr="0096343E">
              <w:rPr>
                <w:rFonts w:eastAsiaTheme="minorHAnsi" w:cstheme="minorBidi"/>
                <w:b/>
                <w:bCs/>
                <w:noProof/>
                <w:sz w:val="18"/>
                <w:szCs w:val="18"/>
                <w:vertAlign w:val="superscript"/>
                <w:lang w:eastAsia="en-US"/>
              </w:rPr>
              <w:footnoteReference w:id="132"/>
            </w:r>
          </w:p>
        </w:tc>
      </w:tr>
      <w:tr w:rsidR="00285741" w:rsidRPr="0096343E" w14:paraId="1C88C97B" w14:textId="77777777" w:rsidTr="0AF02254">
        <w:trPr>
          <w:trHeight w:val="219"/>
        </w:trPr>
        <w:tc>
          <w:tcPr>
            <w:tcW w:w="1177" w:type="dxa"/>
            <w:shd w:val="clear" w:color="auto" w:fill="FFFFFF" w:themeFill="background1"/>
          </w:tcPr>
          <w:p w14:paraId="2CBC46A0" w14:textId="77777777" w:rsidR="00285741" w:rsidRPr="0096343E" w:rsidRDefault="00285741">
            <w:pPr>
              <w:rPr>
                <w:rFonts w:eastAsiaTheme="minorHAnsi" w:cstheme="minorBidi"/>
                <w:b/>
                <w:noProof/>
                <w:sz w:val="18"/>
                <w:szCs w:val="18"/>
                <w:lang w:eastAsia="en-US"/>
              </w:rPr>
            </w:pPr>
          </w:p>
        </w:tc>
        <w:tc>
          <w:tcPr>
            <w:tcW w:w="3077" w:type="dxa"/>
          </w:tcPr>
          <w:p w14:paraId="4DEE22F1"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Requirement</w:t>
            </w:r>
          </w:p>
        </w:tc>
        <w:tc>
          <w:tcPr>
            <w:tcW w:w="2948" w:type="dxa"/>
          </w:tcPr>
          <w:p w14:paraId="43BF67F1"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Market segment</w:t>
            </w:r>
          </w:p>
        </w:tc>
        <w:tc>
          <w:tcPr>
            <w:tcW w:w="6827" w:type="dxa"/>
          </w:tcPr>
          <w:p w14:paraId="21037413"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Scope &amp; target</w:t>
            </w:r>
          </w:p>
        </w:tc>
      </w:tr>
      <w:tr w:rsidR="00285741" w:rsidRPr="0096343E" w14:paraId="1F50D151" w14:textId="77777777" w:rsidTr="0AF02254">
        <w:trPr>
          <w:trHeight w:val="598"/>
        </w:trPr>
        <w:tc>
          <w:tcPr>
            <w:tcW w:w="1177" w:type="dxa"/>
            <w:shd w:val="clear" w:color="auto" w:fill="B7D4EF"/>
          </w:tcPr>
          <w:p w14:paraId="46A63F96"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LEAD_EII 1</w:t>
            </w:r>
          </w:p>
        </w:tc>
        <w:tc>
          <w:tcPr>
            <w:tcW w:w="3077" w:type="dxa"/>
          </w:tcPr>
          <w:p w14:paraId="72E23767" w14:textId="7DC2E3D9"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Low</w:t>
            </w:r>
            <w:r w:rsidR="00832DDB">
              <w:rPr>
                <w:rFonts w:eastAsiaTheme="minorHAnsi" w:cstheme="minorBidi"/>
                <w:b/>
                <w:noProof/>
                <w:sz w:val="18"/>
                <w:szCs w:val="18"/>
                <w:lang w:eastAsia="en-US"/>
              </w:rPr>
              <w:t>-</w:t>
            </w:r>
            <w:r w:rsidRPr="0096343E">
              <w:rPr>
                <w:rFonts w:eastAsiaTheme="minorHAnsi" w:cstheme="minorBidi"/>
                <w:b/>
                <w:noProof/>
                <w:sz w:val="18"/>
                <w:szCs w:val="18"/>
                <w:lang w:eastAsia="en-US"/>
              </w:rPr>
              <w:t>carbon:</w:t>
            </w:r>
            <w:r w:rsidRPr="0096343E">
              <w:rPr>
                <w:rFonts w:eastAsiaTheme="minorHAnsi" w:cstheme="minorBidi"/>
                <w:noProof/>
                <w:sz w:val="18"/>
                <w:szCs w:val="18"/>
                <w:lang w:eastAsia="en-US"/>
              </w:rPr>
              <w:t xml:space="preserve"> minimum percentage (%) of low-carbon materials used in construction and automotive</w:t>
            </w:r>
          </w:p>
        </w:tc>
        <w:tc>
          <w:tcPr>
            <w:tcW w:w="2948" w:type="dxa"/>
          </w:tcPr>
          <w:p w14:paraId="6B74696B" w14:textId="77777777" w:rsidR="00285741" w:rsidRPr="00890901" w:rsidRDefault="00285741" w:rsidP="009A4F0B">
            <w:pPr>
              <w:numPr>
                <w:ilvl w:val="0"/>
                <w:numId w:val="29"/>
              </w:numPr>
              <w:ind w:left="455"/>
              <w:contextualSpacing/>
              <w:rPr>
                <w:rFonts w:eastAsiaTheme="minorHAnsi" w:cstheme="minorBidi"/>
                <w:bCs/>
                <w:noProof/>
                <w:sz w:val="18"/>
                <w:szCs w:val="18"/>
                <w:lang w:eastAsia="en-US"/>
              </w:rPr>
            </w:pPr>
            <w:r w:rsidRPr="00890901">
              <w:rPr>
                <w:rFonts w:eastAsiaTheme="minorHAnsi" w:cstheme="minorBidi"/>
                <w:bCs/>
                <w:noProof/>
                <w:sz w:val="18"/>
                <w:szCs w:val="18"/>
                <w:lang w:eastAsia="en-US"/>
              </w:rPr>
              <w:t>Public procurement</w:t>
            </w:r>
          </w:p>
          <w:p w14:paraId="6BFD2993" w14:textId="13EFC01F" w:rsidR="00285741" w:rsidRPr="00890901" w:rsidRDefault="00285741" w:rsidP="009A4F0B">
            <w:pPr>
              <w:numPr>
                <w:ilvl w:val="0"/>
                <w:numId w:val="29"/>
              </w:numPr>
              <w:ind w:left="455"/>
              <w:contextualSpacing/>
              <w:rPr>
                <w:rFonts w:eastAsiaTheme="minorHAnsi" w:cstheme="minorBidi"/>
                <w:noProof/>
                <w:sz w:val="18"/>
                <w:szCs w:val="18"/>
                <w:lang w:eastAsia="en-US"/>
              </w:rPr>
            </w:pPr>
            <w:r w:rsidRPr="00890901">
              <w:rPr>
                <w:rFonts w:eastAsiaTheme="minorHAnsi" w:cstheme="minorBidi"/>
                <w:noProof/>
                <w:sz w:val="18"/>
                <w:szCs w:val="18"/>
                <w:lang w:eastAsia="en-US"/>
              </w:rPr>
              <w:t>Public support schemes</w:t>
            </w:r>
          </w:p>
        </w:tc>
        <w:tc>
          <w:tcPr>
            <w:tcW w:w="6827" w:type="dxa"/>
          </w:tcPr>
          <w:p w14:paraId="6A30E868" w14:textId="69519B10" w:rsidR="00285741" w:rsidRPr="00890901" w:rsidRDefault="00285741" w:rsidP="00285741">
            <w:pPr>
              <w:numPr>
                <w:ilvl w:val="0"/>
                <w:numId w:val="29"/>
              </w:numPr>
              <w:ind w:left="455"/>
              <w:contextualSpacing/>
              <w:rPr>
                <w:rFonts w:eastAsiaTheme="minorHAnsi" w:cstheme="minorBidi"/>
                <w:noProof/>
                <w:sz w:val="18"/>
                <w:szCs w:val="18"/>
                <w:lang w:eastAsia="en-US"/>
              </w:rPr>
            </w:pPr>
            <w:r w:rsidRPr="00890901">
              <w:rPr>
                <w:rFonts w:eastAsiaTheme="minorHAnsi" w:cstheme="minorBidi"/>
                <w:noProof/>
                <w:sz w:val="18"/>
                <w:szCs w:val="18"/>
                <w:lang w:eastAsia="en-US"/>
              </w:rPr>
              <w:t>Steel</w:t>
            </w:r>
            <w:r w:rsidRPr="00890901">
              <w:rPr>
                <w:rFonts w:eastAsiaTheme="minorHAnsi" w:cstheme="minorBidi"/>
                <w:noProof/>
                <w:sz w:val="18"/>
                <w:szCs w:val="18"/>
                <w:lang w:val="nl-NL" w:eastAsia="en-US"/>
              </w:rPr>
              <w:t>: 25% in 2030</w:t>
            </w:r>
          </w:p>
          <w:p w14:paraId="7150CF4C" w14:textId="7AB6A667" w:rsidR="00285741" w:rsidRPr="00890901" w:rsidRDefault="00285741" w:rsidP="00285741">
            <w:pPr>
              <w:numPr>
                <w:ilvl w:val="0"/>
                <w:numId w:val="29"/>
              </w:numPr>
              <w:ind w:left="455"/>
              <w:contextualSpacing/>
              <w:rPr>
                <w:rFonts w:eastAsiaTheme="minorEastAsia" w:cstheme="minorBidi"/>
                <w:noProof/>
                <w:sz w:val="18"/>
                <w:szCs w:val="18"/>
                <w:lang w:eastAsia="en-US"/>
              </w:rPr>
            </w:pPr>
            <w:r w:rsidRPr="00890901">
              <w:rPr>
                <w:rFonts w:eastAsiaTheme="minorEastAsia" w:cstheme="minorBidi"/>
                <w:noProof/>
                <w:sz w:val="18"/>
                <w:szCs w:val="18"/>
                <w:lang w:eastAsia="en-US"/>
              </w:rPr>
              <w:t>Cement (concrete</w:t>
            </w:r>
            <w:r w:rsidRPr="00890901">
              <w:rPr>
                <w:rFonts w:eastAsiaTheme="minorEastAsia" w:cstheme="minorBidi"/>
                <w:noProof/>
                <w:sz w:val="18"/>
                <w:szCs w:val="18"/>
                <w:vertAlign w:val="superscript"/>
                <w:lang w:eastAsia="en-US"/>
              </w:rPr>
              <w:footnoteReference w:id="133"/>
            </w:r>
            <w:r w:rsidRPr="00890901">
              <w:rPr>
                <w:rFonts w:eastAsiaTheme="minorEastAsia" w:cstheme="minorBidi"/>
                <w:noProof/>
                <w:sz w:val="18"/>
                <w:szCs w:val="18"/>
                <w:lang w:eastAsia="en-US"/>
              </w:rPr>
              <w:t>): 5% in 2030</w:t>
            </w:r>
          </w:p>
          <w:p w14:paraId="678E06F5" w14:textId="1383272C" w:rsidR="00361C5F" w:rsidRPr="00576C98" w:rsidRDefault="00681FB2" w:rsidP="00285741">
            <w:pPr>
              <w:numPr>
                <w:ilvl w:val="0"/>
                <w:numId w:val="28"/>
              </w:numPr>
              <w:ind w:left="455"/>
              <w:contextualSpacing/>
              <w:rPr>
                <w:rFonts w:eastAsiaTheme="minorEastAsia" w:cstheme="minorBidi"/>
                <w:noProof/>
                <w:sz w:val="18"/>
                <w:szCs w:val="18"/>
                <w:lang w:eastAsia="en-US"/>
              </w:rPr>
            </w:pPr>
            <w:r w:rsidRPr="00576C98">
              <w:rPr>
                <w:rFonts w:eastAsiaTheme="minorHAnsi"/>
                <w:noProof/>
                <w:sz w:val="18"/>
                <w:szCs w:val="18"/>
              </w:rPr>
              <w:t>Aluminium: 25% in 2030</w:t>
            </w:r>
          </w:p>
          <w:p w14:paraId="442D7791" w14:textId="77777777" w:rsidR="00285741" w:rsidRPr="00890901" w:rsidRDefault="00285741" w:rsidP="00285741">
            <w:pPr>
              <w:numPr>
                <w:ilvl w:val="0"/>
                <w:numId w:val="28"/>
              </w:numPr>
              <w:ind w:left="455"/>
              <w:contextualSpacing/>
              <w:rPr>
                <w:rFonts w:eastAsiaTheme="minorHAnsi" w:cstheme="minorBidi"/>
                <w:noProof/>
                <w:sz w:val="18"/>
                <w:szCs w:val="18"/>
                <w:lang w:eastAsia="en-US"/>
              </w:rPr>
            </w:pPr>
            <w:r w:rsidRPr="00890901">
              <w:rPr>
                <w:rFonts w:eastAsiaTheme="minorHAnsi" w:cstheme="minorBidi"/>
                <w:noProof/>
                <w:sz w:val="18"/>
                <w:szCs w:val="18"/>
                <w:lang w:eastAsia="en-US"/>
              </w:rPr>
              <w:t>Other EIIs: to be determined at later stage</w:t>
            </w:r>
          </w:p>
        </w:tc>
      </w:tr>
      <w:tr w:rsidR="009757E7" w:rsidRPr="0096343E" w14:paraId="7B25B1DA" w14:textId="77777777" w:rsidTr="0AF02254">
        <w:trPr>
          <w:trHeight w:val="579"/>
        </w:trPr>
        <w:tc>
          <w:tcPr>
            <w:tcW w:w="1177" w:type="dxa"/>
            <w:vMerge w:val="restart"/>
            <w:shd w:val="clear" w:color="auto" w:fill="B7D4EF"/>
          </w:tcPr>
          <w:p w14:paraId="7A7AC985" w14:textId="77777777" w:rsidR="009757E7" w:rsidRPr="00CC5DD7" w:rsidRDefault="009757E7">
            <w:pPr>
              <w:rPr>
                <w:rFonts w:eastAsiaTheme="minorHAnsi" w:cstheme="minorBidi"/>
                <w:b/>
                <w:noProof/>
                <w:sz w:val="18"/>
                <w:szCs w:val="18"/>
                <w:lang w:eastAsia="en-US"/>
              </w:rPr>
            </w:pPr>
            <w:r w:rsidRPr="0096343E">
              <w:rPr>
                <w:rFonts w:eastAsiaTheme="minorHAnsi" w:cstheme="minorBidi"/>
                <w:b/>
                <w:noProof/>
                <w:sz w:val="18"/>
                <w:szCs w:val="18"/>
                <w:lang w:eastAsia="en-US"/>
              </w:rPr>
              <w:t xml:space="preserve">LEAD_EII 2 </w:t>
            </w:r>
          </w:p>
        </w:tc>
        <w:tc>
          <w:tcPr>
            <w:tcW w:w="3077" w:type="dxa"/>
          </w:tcPr>
          <w:p w14:paraId="5391DCE4" w14:textId="7D9EA7C2" w:rsidR="009757E7" w:rsidRPr="0096343E" w:rsidRDefault="002D3022">
            <w:pPr>
              <w:rPr>
                <w:rFonts w:eastAsiaTheme="minorHAnsi" w:cstheme="minorBidi"/>
                <w:b/>
                <w:bCs/>
                <w:noProof/>
                <w:sz w:val="18"/>
                <w:szCs w:val="18"/>
                <w:lang w:eastAsia="en-US"/>
              </w:rPr>
            </w:pPr>
            <w:r w:rsidRPr="0096343E">
              <w:rPr>
                <w:rFonts w:eastAsiaTheme="minorHAnsi" w:cstheme="minorBidi"/>
                <w:b/>
                <w:bCs/>
                <w:noProof/>
                <w:sz w:val="18"/>
                <w:szCs w:val="18"/>
                <w:lang w:eastAsia="en-US"/>
              </w:rPr>
              <w:t>Low</w:t>
            </w:r>
            <w:r w:rsidR="00832DDB">
              <w:rPr>
                <w:rFonts w:eastAsiaTheme="minorHAnsi" w:cstheme="minorBidi"/>
                <w:b/>
                <w:bCs/>
                <w:noProof/>
                <w:sz w:val="18"/>
                <w:szCs w:val="18"/>
                <w:lang w:eastAsia="en-US"/>
              </w:rPr>
              <w:t>-</w:t>
            </w:r>
            <w:r w:rsidRPr="0096343E">
              <w:rPr>
                <w:rFonts w:eastAsiaTheme="minorHAnsi" w:cstheme="minorBidi"/>
                <w:b/>
                <w:bCs/>
                <w:noProof/>
                <w:sz w:val="18"/>
                <w:szCs w:val="18"/>
                <w:lang w:eastAsia="en-US"/>
              </w:rPr>
              <w:t>carbon</w:t>
            </w:r>
            <w:r w:rsidRPr="002D3022">
              <w:rPr>
                <w:rFonts w:eastAsiaTheme="minorHAnsi" w:cstheme="minorBidi"/>
                <w:noProof/>
                <w:sz w:val="18"/>
                <w:szCs w:val="18"/>
                <w:lang w:eastAsia="en-US"/>
              </w:rPr>
              <w:t>: minimum percentage (%) of low-carbon materials used in construction and automotive</w:t>
            </w:r>
          </w:p>
        </w:tc>
        <w:tc>
          <w:tcPr>
            <w:tcW w:w="2948" w:type="dxa"/>
            <w:vMerge w:val="restart"/>
          </w:tcPr>
          <w:p w14:paraId="43B93001" w14:textId="49802AAA" w:rsidR="00343840" w:rsidRPr="00576C98" w:rsidRDefault="00343840" w:rsidP="38BBBED6">
            <w:pPr>
              <w:numPr>
                <w:ilvl w:val="0"/>
                <w:numId w:val="29"/>
              </w:numPr>
              <w:ind w:left="455"/>
              <w:contextualSpacing/>
              <w:rPr>
                <w:rFonts w:eastAsiaTheme="minorEastAsia" w:cstheme="minorBidi"/>
                <w:noProof/>
                <w:sz w:val="18"/>
                <w:szCs w:val="18"/>
                <w:lang w:eastAsia="en-US"/>
              </w:rPr>
            </w:pPr>
            <w:r w:rsidRPr="00576C98">
              <w:rPr>
                <w:rFonts w:eastAsiaTheme="minorEastAsia"/>
                <w:noProof/>
                <w:sz w:val="18"/>
                <w:szCs w:val="18"/>
              </w:rPr>
              <w:t>Pu</w:t>
            </w:r>
            <w:r w:rsidR="00BA6F04" w:rsidRPr="00576C98">
              <w:rPr>
                <w:rFonts w:eastAsiaTheme="minorEastAsia"/>
                <w:noProof/>
                <w:sz w:val="18"/>
                <w:szCs w:val="18"/>
              </w:rPr>
              <w:t>blic procurement</w:t>
            </w:r>
          </w:p>
          <w:p w14:paraId="0CAD8A0C" w14:textId="77777777" w:rsidR="002D3022" w:rsidRPr="00576C98" w:rsidDel="00197704" w:rsidRDefault="009757E7" w:rsidP="38BBBED6">
            <w:pPr>
              <w:numPr>
                <w:ilvl w:val="0"/>
                <w:numId w:val="29"/>
              </w:numPr>
              <w:ind w:left="455"/>
              <w:contextualSpacing/>
              <w:rPr>
                <w:rFonts w:eastAsiaTheme="minorEastAsia" w:cstheme="minorBidi"/>
                <w:noProof/>
                <w:sz w:val="18"/>
                <w:szCs w:val="18"/>
                <w:lang w:eastAsia="en-US"/>
              </w:rPr>
            </w:pPr>
            <w:r w:rsidRPr="00576C98">
              <w:rPr>
                <w:rFonts w:eastAsiaTheme="minorEastAsia"/>
                <w:noProof/>
                <w:sz w:val="18"/>
                <w:szCs w:val="18"/>
              </w:rPr>
              <w:t>Public support schemes</w:t>
            </w:r>
          </w:p>
          <w:p w14:paraId="1DD3EE1F" w14:textId="505D82C2" w:rsidR="009757E7" w:rsidRPr="00576C98" w:rsidDel="00197704" w:rsidRDefault="009757E7" w:rsidP="002D3022">
            <w:pPr>
              <w:contextualSpacing/>
              <w:rPr>
                <w:rFonts w:eastAsiaTheme="minorEastAsia" w:cstheme="minorBidi"/>
                <w:noProof/>
                <w:sz w:val="18"/>
                <w:szCs w:val="18"/>
                <w:lang w:eastAsia="en-US"/>
              </w:rPr>
            </w:pPr>
          </w:p>
        </w:tc>
        <w:tc>
          <w:tcPr>
            <w:tcW w:w="6827" w:type="dxa"/>
            <w:vMerge w:val="restart"/>
          </w:tcPr>
          <w:p w14:paraId="2B93DF25" w14:textId="4C1AA558" w:rsidR="009757E7" w:rsidRPr="00576C98" w:rsidRDefault="002D3022" w:rsidP="00651B9F">
            <w:pPr>
              <w:numPr>
                <w:ilvl w:val="0"/>
                <w:numId w:val="29"/>
              </w:numPr>
              <w:ind w:left="455" w:hanging="284"/>
              <w:contextualSpacing/>
              <w:rPr>
                <w:rFonts w:eastAsiaTheme="minorHAnsi" w:cstheme="minorBidi"/>
                <w:noProof/>
                <w:sz w:val="18"/>
                <w:szCs w:val="18"/>
                <w:lang w:eastAsia="en-US"/>
              </w:rPr>
            </w:pPr>
            <w:r w:rsidRPr="00576C98">
              <w:rPr>
                <w:rFonts w:eastAsiaTheme="minorHAnsi"/>
                <w:noProof/>
                <w:sz w:val="18"/>
                <w:szCs w:val="18"/>
              </w:rPr>
              <w:t>Low</w:t>
            </w:r>
            <w:r w:rsidR="009757E7" w:rsidRPr="00576C98">
              <w:rPr>
                <w:rFonts w:eastAsiaTheme="minorHAnsi"/>
                <w:noProof/>
                <w:sz w:val="18"/>
                <w:szCs w:val="18"/>
              </w:rPr>
              <w:t xml:space="preserve">-carbon </w:t>
            </w:r>
            <w:r w:rsidR="0040334A" w:rsidRPr="00576C98">
              <w:rPr>
                <w:rFonts w:eastAsiaTheme="minorHAnsi"/>
                <w:noProof/>
                <w:sz w:val="18"/>
                <w:szCs w:val="18"/>
              </w:rPr>
              <w:t xml:space="preserve">and </w:t>
            </w:r>
            <w:r w:rsidR="0040334A" w:rsidRPr="00576C98">
              <w:rPr>
                <w:rFonts w:eastAsiaTheme="minorEastAsia"/>
                <w:noProof/>
                <w:sz w:val="18"/>
                <w:szCs w:val="18"/>
              </w:rPr>
              <w:t>made</w:t>
            </w:r>
            <w:r w:rsidR="0040334A" w:rsidRPr="00576C98">
              <w:rPr>
                <w:rFonts w:eastAsiaTheme="minorHAnsi"/>
                <w:noProof/>
                <w:sz w:val="18"/>
                <w:szCs w:val="18"/>
              </w:rPr>
              <w:t xml:space="preserve"> in EU </w:t>
            </w:r>
            <w:r w:rsidR="009757E7" w:rsidRPr="00576C98">
              <w:rPr>
                <w:rFonts w:eastAsiaTheme="minorHAnsi"/>
                <w:noProof/>
                <w:sz w:val="18"/>
                <w:szCs w:val="18"/>
              </w:rPr>
              <w:t>Steel</w:t>
            </w:r>
            <w:r w:rsidR="009757E7" w:rsidRPr="00083377">
              <w:rPr>
                <w:rFonts w:eastAsiaTheme="minorHAnsi"/>
                <w:noProof/>
                <w:sz w:val="18"/>
                <w:szCs w:val="18"/>
                <w:lang w:val="en-IE"/>
              </w:rPr>
              <w:t>: 25% in 2030</w:t>
            </w:r>
          </w:p>
          <w:p w14:paraId="62E469ED" w14:textId="3545F869" w:rsidR="009757E7" w:rsidRPr="00576C98" w:rsidRDefault="009757E7" w:rsidP="0AF02254">
            <w:pPr>
              <w:numPr>
                <w:ilvl w:val="0"/>
                <w:numId w:val="29"/>
              </w:numPr>
              <w:ind w:left="455" w:hanging="284"/>
              <w:contextualSpacing/>
              <w:rPr>
                <w:rFonts w:eastAsiaTheme="minorEastAsia" w:cstheme="minorBidi"/>
                <w:noProof/>
                <w:sz w:val="18"/>
                <w:szCs w:val="18"/>
                <w:lang w:eastAsia="en-US"/>
              </w:rPr>
            </w:pPr>
            <w:r w:rsidRPr="00576C98">
              <w:rPr>
                <w:rFonts w:eastAsiaTheme="minorEastAsia"/>
                <w:noProof/>
                <w:sz w:val="18"/>
                <w:szCs w:val="18"/>
              </w:rPr>
              <w:t xml:space="preserve">Low-carbon </w:t>
            </w:r>
            <w:r w:rsidR="0040334A" w:rsidRPr="00576C98">
              <w:rPr>
                <w:rFonts w:eastAsiaTheme="minorEastAsia"/>
                <w:noProof/>
                <w:sz w:val="18"/>
                <w:szCs w:val="18"/>
              </w:rPr>
              <w:t xml:space="preserve">and made in EU </w:t>
            </w:r>
            <w:r w:rsidRPr="00576C98">
              <w:rPr>
                <w:rFonts w:eastAsiaTheme="minorEastAsia"/>
                <w:noProof/>
                <w:sz w:val="18"/>
                <w:szCs w:val="18"/>
              </w:rPr>
              <w:t>Cement (concrete</w:t>
            </w:r>
            <w:r w:rsidRPr="00576C98">
              <w:rPr>
                <w:rFonts w:eastAsiaTheme="minorEastAsia"/>
                <w:noProof/>
                <w:sz w:val="18"/>
                <w:szCs w:val="18"/>
                <w:vertAlign w:val="superscript"/>
              </w:rPr>
              <w:footnoteReference w:id="134"/>
            </w:r>
            <w:r w:rsidRPr="00576C98">
              <w:rPr>
                <w:rFonts w:eastAsiaTheme="minorEastAsia"/>
                <w:noProof/>
                <w:sz w:val="18"/>
                <w:szCs w:val="18"/>
              </w:rPr>
              <w:t>): 5% in 2030</w:t>
            </w:r>
          </w:p>
          <w:p w14:paraId="7B991F03" w14:textId="63598557" w:rsidR="00681FB2" w:rsidRPr="00576C98" w:rsidRDefault="0040334A" w:rsidP="0AF02254">
            <w:pPr>
              <w:numPr>
                <w:ilvl w:val="0"/>
                <w:numId w:val="29"/>
              </w:numPr>
              <w:ind w:left="455" w:hanging="284"/>
              <w:contextualSpacing/>
              <w:rPr>
                <w:rFonts w:eastAsiaTheme="minorEastAsia" w:cstheme="minorBidi"/>
                <w:noProof/>
                <w:sz w:val="18"/>
                <w:szCs w:val="18"/>
                <w:lang w:eastAsia="en-US"/>
              </w:rPr>
            </w:pPr>
            <w:r w:rsidRPr="00576C98">
              <w:rPr>
                <w:rFonts w:eastAsiaTheme="minorEastAsia"/>
                <w:noProof/>
                <w:sz w:val="18"/>
                <w:szCs w:val="18"/>
              </w:rPr>
              <w:t xml:space="preserve">Low-carbon and made in EU </w:t>
            </w:r>
            <w:r w:rsidR="00681FB2" w:rsidRPr="00576C98">
              <w:rPr>
                <w:rFonts w:eastAsiaTheme="minorEastAsia"/>
                <w:noProof/>
                <w:sz w:val="18"/>
                <w:szCs w:val="18"/>
              </w:rPr>
              <w:t>Aluminium: 25% in 2030</w:t>
            </w:r>
          </w:p>
          <w:p w14:paraId="6662E630" w14:textId="78CB251F" w:rsidR="009757E7" w:rsidRPr="00576C98" w:rsidDel="00197704" w:rsidRDefault="009757E7" w:rsidP="38BBBED6">
            <w:pPr>
              <w:numPr>
                <w:ilvl w:val="0"/>
                <w:numId w:val="29"/>
              </w:numPr>
              <w:ind w:left="455" w:hanging="284"/>
              <w:contextualSpacing/>
              <w:rPr>
                <w:rFonts w:eastAsiaTheme="minorEastAsia" w:cstheme="minorBidi"/>
                <w:noProof/>
                <w:sz w:val="18"/>
                <w:szCs w:val="18"/>
                <w:lang w:eastAsia="en-US"/>
              </w:rPr>
            </w:pPr>
            <w:r w:rsidRPr="00576C98">
              <w:rPr>
                <w:rFonts w:eastAsiaTheme="minorHAnsi"/>
                <w:noProof/>
                <w:sz w:val="18"/>
                <w:szCs w:val="18"/>
              </w:rPr>
              <w:t>Other EIIs: to be determined at later stage</w:t>
            </w:r>
            <w:r w:rsidR="007E696C" w:rsidRPr="00576C98">
              <w:rPr>
                <w:rFonts w:eastAsiaTheme="minorHAnsi"/>
                <w:noProof/>
                <w:sz w:val="18"/>
                <w:szCs w:val="18"/>
              </w:rPr>
              <w:t xml:space="preserve"> in delegated acts</w:t>
            </w:r>
          </w:p>
        </w:tc>
      </w:tr>
      <w:tr w:rsidR="009757E7" w:rsidRPr="0096343E" w14:paraId="11805144" w14:textId="77777777" w:rsidTr="0AF02254">
        <w:trPr>
          <w:trHeight w:val="557"/>
        </w:trPr>
        <w:tc>
          <w:tcPr>
            <w:tcW w:w="1177" w:type="dxa"/>
            <w:vMerge/>
          </w:tcPr>
          <w:p w14:paraId="7024E00B" w14:textId="77777777" w:rsidR="009757E7" w:rsidRPr="0096343E" w:rsidRDefault="009757E7">
            <w:pPr>
              <w:rPr>
                <w:rFonts w:eastAsiaTheme="minorHAnsi" w:cstheme="minorBidi"/>
                <w:b/>
                <w:noProof/>
                <w:sz w:val="18"/>
                <w:szCs w:val="18"/>
                <w:lang w:eastAsia="en-US"/>
              </w:rPr>
            </w:pPr>
          </w:p>
        </w:tc>
        <w:tc>
          <w:tcPr>
            <w:tcW w:w="3077" w:type="dxa"/>
          </w:tcPr>
          <w:p w14:paraId="51B3FCE8" w14:textId="4F8E6FC2" w:rsidR="009757E7" w:rsidRPr="0096343E" w:rsidRDefault="009757E7">
            <w:pPr>
              <w:rPr>
                <w:rFonts w:eastAsiaTheme="minorHAnsi" w:cstheme="minorBidi"/>
                <w:b/>
                <w:bCs/>
                <w:noProof/>
                <w:sz w:val="18"/>
                <w:szCs w:val="18"/>
                <w:lang w:eastAsia="en-US"/>
              </w:rPr>
            </w:pPr>
            <w:r>
              <w:rPr>
                <w:rFonts w:eastAsiaTheme="minorHAnsi" w:cstheme="minorBidi"/>
                <w:b/>
                <w:bCs/>
                <w:noProof/>
                <w:sz w:val="18"/>
                <w:szCs w:val="18"/>
                <w:lang w:eastAsia="en-US"/>
              </w:rPr>
              <w:t>Made in EU</w:t>
            </w:r>
            <w:r w:rsidRPr="0096343E">
              <w:rPr>
                <w:rFonts w:eastAsiaTheme="minorHAnsi" w:cstheme="minorBidi"/>
                <w:b/>
                <w:bCs/>
                <w:noProof/>
                <w:sz w:val="18"/>
                <w:szCs w:val="18"/>
                <w:lang w:eastAsia="en-US"/>
              </w:rPr>
              <w:t xml:space="preserve">: </w:t>
            </w:r>
            <w:r w:rsidRPr="0096343E">
              <w:rPr>
                <w:rFonts w:eastAsiaTheme="minorHAnsi" w:cstheme="minorBidi"/>
                <w:noProof/>
                <w:sz w:val="18"/>
                <w:szCs w:val="18"/>
                <w:lang w:eastAsia="en-US"/>
              </w:rPr>
              <w:t xml:space="preserve">a minimum percentage (%) of materials produced in the EU used in construction and automotive </w:t>
            </w:r>
          </w:p>
        </w:tc>
        <w:tc>
          <w:tcPr>
            <w:tcW w:w="2948" w:type="dxa"/>
            <w:vMerge/>
          </w:tcPr>
          <w:p w14:paraId="19B5A759" w14:textId="15941110" w:rsidR="009757E7" w:rsidRPr="00890901" w:rsidRDefault="009757E7" w:rsidP="009A4F0B">
            <w:pPr>
              <w:numPr>
                <w:ilvl w:val="0"/>
                <w:numId w:val="29"/>
              </w:numPr>
              <w:ind w:left="455"/>
              <w:contextualSpacing/>
              <w:rPr>
                <w:rFonts w:eastAsiaTheme="minorHAnsi" w:cstheme="minorBidi"/>
                <w:noProof/>
                <w:sz w:val="18"/>
                <w:szCs w:val="18"/>
                <w:lang w:eastAsia="en-US"/>
              </w:rPr>
            </w:pPr>
          </w:p>
        </w:tc>
        <w:tc>
          <w:tcPr>
            <w:tcW w:w="6827" w:type="dxa"/>
            <w:vMerge/>
          </w:tcPr>
          <w:p w14:paraId="560ED14D" w14:textId="5643652D" w:rsidR="009757E7" w:rsidRPr="00890901" w:rsidRDefault="009757E7" w:rsidP="38BBBED6">
            <w:pPr>
              <w:contextualSpacing/>
              <w:rPr>
                <w:rFonts w:eastAsiaTheme="minorEastAsia" w:cstheme="minorBidi"/>
                <w:noProof/>
                <w:sz w:val="18"/>
                <w:szCs w:val="18"/>
                <w:lang w:eastAsia="en-US"/>
              </w:rPr>
            </w:pPr>
          </w:p>
        </w:tc>
      </w:tr>
      <w:tr w:rsidR="00787AB4" w:rsidRPr="0096343E" w14:paraId="345F1BBA" w14:textId="77777777" w:rsidTr="0AF02254">
        <w:trPr>
          <w:trHeight w:val="684"/>
        </w:trPr>
        <w:tc>
          <w:tcPr>
            <w:tcW w:w="1177" w:type="dxa"/>
            <w:vMerge w:val="restart"/>
            <w:shd w:val="clear" w:color="auto" w:fill="B7D4EF"/>
          </w:tcPr>
          <w:p w14:paraId="02BA4C76" w14:textId="77777777" w:rsidR="004E1119" w:rsidRPr="0096343E" w:rsidRDefault="004E1119">
            <w:pPr>
              <w:rPr>
                <w:rFonts w:eastAsiaTheme="minorHAnsi" w:cstheme="minorBidi"/>
                <w:b/>
                <w:noProof/>
                <w:sz w:val="18"/>
                <w:szCs w:val="18"/>
                <w:lang w:eastAsia="en-US"/>
              </w:rPr>
            </w:pPr>
            <w:r w:rsidRPr="0096343E">
              <w:rPr>
                <w:rFonts w:eastAsiaTheme="minorHAnsi" w:cstheme="minorBidi"/>
                <w:b/>
                <w:noProof/>
                <w:sz w:val="18"/>
                <w:szCs w:val="18"/>
                <w:lang w:val="en-US" w:eastAsia="en-US"/>
              </w:rPr>
              <w:t xml:space="preserve">LEAD_EII 3 </w:t>
            </w:r>
          </w:p>
        </w:tc>
        <w:tc>
          <w:tcPr>
            <w:tcW w:w="3077" w:type="dxa"/>
          </w:tcPr>
          <w:p w14:paraId="40140B88" w14:textId="6617B172" w:rsidR="004E1119" w:rsidRPr="0096343E" w:rsidRDefault="00EF2BC3">
            <w:pPr>
              <w:rPr>
                <w:rFonts w:eastAsiaTheme="minorHAnsi" w:cstheme="minorBidi"/>
                <w:b/>
                <w:bCs/>
                <w:noProof/>
                <w:sz w:val="18"/>
                <w:szCs w:val="18"/>
                <w:lang w:eastAsia="en-US"/>
              </w:rPr>
            </w:pPr>
            <w:r w:rsidRPr="0096343E">
              <w:rPr>
                <w:rFonts w:eastAsiaTheme="minorHAnsi" w:cstheme="minorBidi"/>
                <w:b/>
                <w:bCs/>
                <w:noProof/>
                <w:sz w:val="18"/>
                <w:szCs w:val="18"/>
                <w:lang w:eastAsia="en-US"/>
              </w:rPr>
              <w:t>Low</w:t>
            </w:r>
            <w:r w:rsidR="00832DDB">
              <w:rPr>
                <w:rFonts w:eastAsiaTheme="minorHAnsi" w:cstheme="minorBidi"/>
                <w:b/>
                <w:bCs/>
                <w:noProof/>
                <w:sz w:val="18"/>
                <w:szCs w:val="18"/>
                <w:lang w:eastAsia="en-US"/>
              </w:rPr>
              <w:t>-</w:t>
            </w:r>
            <w:r w:rsidRPr="0096343E">
              <w:rPr>
                <w:rFonts w:eastAsiaTheme="minorHAnsi" w:cstheme="minorBidi"/>
                <w:b/>
                <w:bCs/>
                <w:noProof/>
                <w:sz w:val="18"/>
                <w:szCs w:val="18"/>
                <w:lang w:eastAsia="en-US"/>
              </w:rPr>
              <w:t>carbon</w:t>
            </w:r>
            <w:r w:rsidR="00ED5CB8">
              <w:rPr>
                <w:rFonts w:eastAsiaTheme="minorHAnsi" w:cstheme="minorBidi"/>
                <w:b/>
                <w:bCs/>
                <w:noProof/>
                <w:sz w:val="18"/>
                <w:szCs w:val="18"/>
                <w:lang w:eastAsia="en-US"/>
              </w:rPr>
              <w:t>:</w:t>
            </w:r>
            <w:r w:rsidR="00ED5CB8" w:rsidRPr="002D3022">
              <w:rPr>
                <w:rFonts w:eastAsiaTheme="minorHAnsi" w:cstheme="minorBidi"/>
                <w:noProof/>
                <w:sz w:val="18"/>
                <w:szCs w:val="18"/>
                <w:lang w:eastAsia="en-US"/>
              </w:rPr>
              <w:t xml:space="preserve"> minimum percentage (%) of low-carbon materials used in construction and automotive</w:t>
            </w:r>
          </w:p>
        </w:tc>
        <w:tc>
          <w:tcPr>
            <w:tcW w:w="2948" w:type="dxa"/>
            <w:vMerge w:val="restart"/>
          </w:tcPr>
          <w:p w14:paraId="7A70A5D1" w14:textId="77777777" w:rsidR="00EF2BC3" w:rsidRPr="00890901" w:rsidRDefault="00EF2BC3" w:rsidP="00EF2BC3">
            <w:pPr>
              <w:rPr>
                <w:rFonts w:eastAsiaTheme="minorEastAsia"/>
                <w:noProof/>
                <w:sz w:val="18"/>
                <w:szCs w:val="18"/>
              </w:rPr>
            </w:pPr>
          </w:p>
          <w:p w14:paraId="3BC3FEA8" w14:textId="77777777" w:rsidR="00EF2BC3" w:rsidRPr="00890901" w:rsidRDefault="00EF2BC3" w:rsidP="0AF02254">
            <w:pPr>
              <w:rPr>
                <w:rFonts w:eastAsiaTheme="minorEastAsia"/>
                <w:noProof/>
                <w:sz w:val="18"/>
                <w:szCs w:val="18"/>
              </w:rPr>
            </w:pPr>
          </w:p>
          <w:p w14:paraId="3E6ED901" w14:textId="4B78F58B" w:rsidR="00EF2BC3" w:rsidRPr="00576C98" w:rsidDel="00197704" w:rsidRDefault="004E1119">
            <w:pPr>
              <w:pStyle w:val="ListParagraph"/>
              <w:numPr>
                <w:ilvl w:val="0"/>
                <w:numId w:val="196"/>
              </w:numPr>
              <w:ind w:left="422" w:hanging="283"/>
              <w:rPr>
                <w:rFonts w:eastAsiaTheme="minorEastAsia"/>
                <w:noProof/>
                <w:sz w:val="18"/>
                <w:szCs w:val="18"/>
              </w:rPr>
            </w:pPr>
            <w:r w:rsidRPr="00576C98">
              <w:rPr>
                <w:rFonts w:eastAsiaTheme="minorEastAsia"/>
                <w:noProof/>
                <w:sz w:val="18"/>
                <w:szCs w:val="18"/>
              </w:rPr>
              <w:t xml:space="preserve">All products placed on the market in automotive and construction </w:t>
            </w:r>
          </w:p>
          <w:p w14:paraId="4A8772D2" w14:textId="0D097574" w:rsidR="004E1119" w:rsidRPr="00890901" w:rsidDel="00197704" w:rsidRDefault="004E1119" w:rsidP="0AF02254">
            <w:pPr>
              <w:contextualSpacing/>
              <w:rPr>
                <w:rFonts w:eastAsiaTheme="minorEastAsia"/>
                <w:noProof/>
                <w:sz w:val="18"/>
                <w:szCs w:val="18"/>
              </w:rPr>
            </w:pPr>
          </w:p>
        </w:tc>
        <w:tc>
          <w:tcPr>
            <w:tcW w:w="6827" w:type="dxa"/>
          </w:tcPr>
          <w:p w14:paraId="20F908AC" w14:textId="5857AD02" w:rsidR="00B41155" w:rsidRPr="00576C98" w:rsidRDefault="00D83498" w:rsidP="00B41155">
            <w:pPr>
              <w:numPr>
                <w:ilvl w:val="0"/>
                <w:numId w:val="29"/>
              </w:numPr>
              <w:ind w:left="455"/>
              <w:contextualSpacing/>
              <w:rPr>
                <w:rFonts w:eastAsiaTheme="minorHAnsi" w:cstheme="minorBidi"/>
                <w:noProof/>
                <w:sz w:val="18"/>
                <w:szCs w:val="18"/>
                <w:lang w:eastAsia="en-US"/>
              </w:rPr>
            </w:pPr>
            <w:r w:rsidRPr="00576C98">
              <w:rPr>
                <w:rFonts w:eastAsiaTheme="minorHAnsi"/>
                <w:noProof/>
                <w:sz w:val="18"/>
                <w:szCs w:val="18"/>
              </w:rPr>
              <w:t xml:space="preserve">Low-carbon </w:t>
            </w:r>
            <w:r w:rsidR="00B41155" w:rsidRPr="00576C98">
              <w:rPr>
                <w:rFonts w:eastAsiaTheme="minorHAnsi"/>
                <w:noProof/>
                <w:sz w:val="18"/>
                <w:szCs w:val="18"/>
              </w:rPr>
              <w:t>Steel</w:t>
            </w:r>
            <w:r w:rsidR="00B41155" w:rsidRPr="00576C98">
              <w:rPr>
                <w:rFonts w:eastAsiaTheme="minorHAnsi"/>
                <w:noProof/>
                <w:sz w:val="18"/>
                <w:szCs w:val="18"/>
                <w:lang w:val="nl-NL"/>
              </w:rPr>
              <w:t>: 25% in 2030</w:t>
            </w:r>
          </w:p>
          <w:p w14:paraId="0CCE81A9" w14:textId="36950FE7" w:rsidR="00B41155" w:rsidRPr="00576C98" w:rsidRDefault="00D83498" w:rsidP="00B41155">
            <w:pPr>
              <w:numPr>
                <w:ilvl w:val="0"/>
                <w:numId w:val="29"/>
              </w:numPr>
              <w:ind w:left="455"/>
              <w:contextualSpacing/>
              <w:rPr>
                <w:rFonts w:eastAsiaTheme="minorEastAsia" w:cstheme="minorBidi"/>
                <w:noProof/>
                <w:sz w:val="18"/>
                <w:szCs w:val="18"/>
                <w:lang w:eastAsia="en-US"/>
              </w:rPr>
            </w:pPr>
            <w:r w:rsidRPr="00576C98">
              <w:rPr>
                <w:rFonts w:eastAsiaTheme="minorEastAsia"/>
                <w:noProof/>
                <w:sz w:val="18"/>
                <w:szCs w:val="18"/>
              </w:rPr>
              <w:t xml:space="preserve">Low-carbon </w:t>
            </w:r>
            <w:r w:rsidR="00B41155" w:rsidRPr="00576C98">
              <w:rPr>
                <w:rFonts w:eastAsiaTheme="minorEastAsia"/>
                <w:noProof/>
                <w:sz w:val="18"/>
                <w:szCs w:val="18"/>
              </w:rPr>
              <w:t>Cement (concrete</w:t>
            </w:r>
            <w:r w:rsidR="00B41155" w:rsidRPr="00576C98">
              <w:rPr>
                <w:rFonts w:eastAsiaTheme="minorEastAsia"/>
                <w:noProof/>
                <w:sz w:val="18"/>
                <w:szCs w:val="18"/>
                <w:vertAlign w:val="superscript"/>
              </w:rPr>
              <w:footnoteReference w:id="135"/>
            </w:r>
            <w:r w:rsidR="00B41155" w:rsidRPr="00576C98">
              <w:rPr>
                <w:rFonts w:eastAsiaTheme="minorEastAsia"/>
                <w:noProof/>
                <w:sz w:val="18"/>
                <w:szCs w:val="18"/>
              </w:rPr>
              <w:t>): 5% in 2030</w:t>
            </w:r>
          </w:p>
          <w:p w14:paraId="5C0B30E1" w14:textId="2BE65FD7" w:rsidR="00B41155" w:rsidRPr="00576C98" w:rsidDel="00197704" w:rsidRDefault="00D83498" w:rsidP="004F714C">
            <w:pPr>
              <w:numPr>
                <w:ilvl w:val="0"/>
                <w:numId w:val="28"/>
              </w:numPr>
              <w:ind w:left="455"/>
              <w:contextualSpacing/>
              <w:rPr>
                <w:rFonts w:eastAsiaTheme="minorEastAsia" w:cstheme="minorBidi"/>
                <w:noProof/>
                <w:sz w:val="18"/>
                <w:szCs w:val="18"/>
                <w:lang w:eastAsia="en-US"/>
              </w:rPr>
            </w:pPr>
            <w:r w:rsidRPr="00576C98">
              <w:rPr>
                <w:rFonts w:eastAsiaTheme="minorHAnsi"/>
                <w:noProof/>
                <w:sz w:val="18"/>
                <w:szCs w:val="18"/>
              </w:rPr>
              <w:t xml:space="preserve">Low-carbon </w:t>
            </w:r>
            <w:r w:rsidR="00B41155" w:rsidRPr="00576C98">
              <w:rPr>
                <w:rFonts w:eastAsiaTheme="minorHAnsi"/>
                <w:noProof/>
                <w:sz w:val="18"/>
                <w:szCs w:val="18"/>
              </w:rPr>
              <w:t>Aluminium: 25% in 2030</w:t>
            </w:r>
          </w:p>
        </w:tc>
      </w:tr>
      <w:tr w:rsidR="00285741" w:rsidRPr="0096343E" w14:paraId="787A5F3A" w14:textId="77777777" w:rsidTr="0AF02254">
        <w:trPr>
          <w:trHeight w:val="407"/>
        </w:trPr>
        <w:tc>
          <w:tcPr>
            <w:tcW w:w="1177" w:type="dxa"/>
            <w:vMerge/>
          </w:tcPr>
          <w:p w14:paraId="3FB78F4E" w14:textId="77777777" w:rsidR="00285741" w:rsidRPr="0096343E" w:rsidRDefault="00285741">
            <w:pPr>
              <w:rPr>
                <w:rFonts w:eastAsiaTheme="minorHAnsi" w:cstheme="minorBidi"/>
                <w:b/>
                <w:noProof/>
                <w:sz w:val="18"/>
                <w:szCs w:val="18"/>
                <w:lang w:val="en-US" w:eastAsia="en-US"/>
              </w:rPr>
            </w:pPr>
          </w:p>
        </w:tc>
        <w:tc>
          <w:tcPr>
            <w:tcW w:w="3077" w:type="dxa"/>
          </w:tcPr>
          <w:p w14:paraId="000169EC" w14:textId="1A812EBE" w:rsidR="00285741" w:rsidRPr="0096343E" w:rsidRDefault="00EF2BC3">
            <w:pPr>
              <w:rPr>
                <w:rFonts w:eastAsiaTheme="minorHAnsi" w:cstheme="minorBidi"/>
                <w:b/>
                <w:bCs/>
                <w:noProof/>
                <w:sz w:val="18"/>
                <w:szCs w:val="18"/>
                <w:lang w:eastAsia="en-US"/>
              </w:rPr>
            </w:pPr>
            <w:r>
              <w:rPr>
                <w:rFonts w:eastAsiaTheme="minorHAnsi" w:cstheme="minorBidi"/>
                <w:b/>
                <w:bCs/>
                <w:noProof/>
                <w:sz w:val="18"/>
                <w:szCs w:val="18"/>
                <w:lang w:eastAsia="en-US"/>
              </w:rPr>
              <w:t>Made in EU</w:t>
            </w:r>
            <w:r w:rsidR="00ED5CB8">
              <w:rPr>
                <w:rFonts w:eastAsiaTheme="minorHAnsi" w:cstheme="minorBidi"/>
                <w:b/>
                <w:bCs/>
                <w:noProof/>
                <w:sz w:val="18"/>
                <w:szCs w:val="18"/>
                <w:lang w:eastAsia="en-US"/>
              </w:rPr>
              <w:t>:</w:t>
            </w:r>
            <w:r w:rsidR="00ED5CB8" w:rsidRPr="0096343E">
              <w:rPr>
                <w:rFonts w:eastAsiaTheme="minorHAnsi" w:cstheme="minorBidi"/>
                <w:noProof/>
                <w:sz w:val="18"/>
                <w:szCs w:val="18"/>
                <w:lang w:eastAsia="en-US"/>
              </w:rPr>
              <w:t xml:space="preserve"> a minimum percentage (%) of materials produced in the EU used in construction and automotive</w:t>
            </w:r>
          </w:p>
        </w:tc>
        <w:tc>
          <w:tcPr>
            <w:tcW w:w="2948" w:type="dxa"/>
            <w:vMerge/>
          </w:tcPr>
          <w:p w14:paraId="51493A41" w14:textId="02A74A2A" w:rsidR="00285741" w:rsidRPr="00890901" w:rsidRDefault="00285741" w:rsidP="009A4F0B">
            <w:pPr>
              <w:numPr>
                <w:ilvl w:val="0"/>
                <w:numId w:val="29"/>
              </w:numPr>
              <w:ind w:left="455"/>
              <w:contextualSpacing/>
              <w:rPr>
                <w:rFonts w:eastAsiaTheme="minorHAnsi" w:cstheme="minorBidi"/>
                <w:noProof/>
                <w:sz w:val="18"/>
                <w:szCs w:val="18"/>
                <w:lang w:eastAsia="en-US"/>
              </w:rPr>
            </w:pPr>
          </w:p>
        </w:tc>
        <w:tc>
          <w:tcPr>
            <w:tcW w:w="6827" w:type="dxa"/>
          </w:tcPr>
          <w:p w14:paraId="0557ED1A" w14:textId="284136F0" w:rsidR="00285741" w:rsidRPr="00576C98" w:rsidRDefault="00D83498" w:rsidP="008E0EFF">
            <w:pPr>
              <w:numPr>
                <w:ilvl w:val="0"/>
                <w:numId w:val="28"/>
              </w:numPr>
              <w:ind w:left="455"/>
              <w:contextualSpacing/>
              <w:rPr>
                <w:rFonts w:eastAsiaTheme="minorEastAsia" w:cstheme="minorBidi"/>
                <w:noProof/>
                <w:sz w:val="18"/>
                <w:szCs w:val="18"/>
                <w:lang w:eastAsia="en-US"/>
              </w:rPr>
            </w:pPr>
            <w:r w:rsidRPr="00576C98">
              <w:rPr>
                <w:rFonts w:eastAsiaTheme="minorEastAsia"/>
                <w:noProof/>
                <w:sz w:val="18"/>
                <w:szCs w:val="18"/>
              </w:rPr>
              <w:t xml:space="preserve">Made in EU </w:t>
            </w:r>
            <w:r w:rsidR="0027926A" w:rsidRPr="00576C98">
              <w:rPr>
                <w:rFonts w:eastAsiaTheme="minorEastAsia"/>
                <w:noProof/>
                <w:sz w:val="18"/>
                <w:szCs w:val="18"/>
              </w:rPr>
              <w:t>Steel: 85% from entry into force</w:t>
            </w:r>
          </w:p>
          <w:p w14:paraId="3C5F699E" w14:textId="0F8FD328" w:rsidR="00285741" w:rsidRPr="00576C98" w:rsidRDefault="00D83498" w:rsidP="008E0EFF">
            <w:pPr>
              <w:numPr>
                <w:ilvl w:val="0"/>
                <w:numId w:val="28"/>
              </w:numPr>
              <w:ind w:left="455"/>
              <w:contextualSpacing/>
              <w:rPr>
                <w:rFonts w:eastAsiaTheme="minorEastAsia" w:cstheme="minorBidi"/>
                <w:noProof/>
                <w:sz w:val="18"/>
                <w:szCs w:val="18"/>
                <w:lang w:eastAsia="en-US"/>
              </w:rPr>
            </w:pPr>
            <w:r w:rsidRPr="00576C98">
              <w:rPr>
                <w:rFonts w:eastAsiaTheme="minorEastAsia"/>
                <w:noProof/>
                <w:sz w:val="18"/>
                <w:szCs w:val="18"/>
              </w:rPr>
              <w:t xml:space="preserve">Made in EU </w:t>
            </w:r>
            <w:r w:rsidR="0027926A" w:rsidRPr="00576C98">
              <w:rPr>
                <w:rFonts w:eastAsiaTheme="minorEastAsia"/>
                <w:noProof/>
                <w:sz w:val="18"/>
                <w:szCs w:val="18"/>
              </w:rPr>
              <w:t>Aluminium: 70% from entry into force</w:t>
            </w:r>
          </w:p>
          <w:p w14:paraId="014CC050" w14:textId="55A5CC09" w:rsidR="00285741" w:rsidRPr="00576C98" w:rsidRDefault="00D83498" w:rsidP="008E0EFF">
            <w:pPr>
              <w:numPr>
                <w:ilvl w:val="0"/>
                <w:numId w:val="28"/>
              </w:numPr>
              <w:ind w:left="455"/>
              <w:contextualSpacing/>
              <w:rPr>
                <w:rFonts w:eastAsiaTheme="minorEastAsia" w:cstheme="minorBidi"/>
                <w:noProof/>
                <w:sz w:val="18"/>
                <w:szCs w:val="18"/>
                <w:lang w:eastAsia="en-US"/>
              </w:rPr>
            </w:pPr>
            <w:r w:rsidRPr="00576C98">
              <w:rPr>
                <w:rFonts w:eastAsiaTheme="minorEastAsia"/>
                <w:noProof/>
                <w:sz w:val="18"/>
                <w:szCs w:val="18"/>
              </w:rPr>
              <w:t xml:space="preserve">Made in EU </w:t>
            </w:r>
            <w:r w:rsidR="0027926A" w:rsidRPr="00576C98">
              <w:rPr>
                <w:rFonts w:eastAsiaTheme="minorEastAsia"/>
                <w:noProof/>
                <w:sz w:val="18"/>
                <w:szCs w:val="18"/>
              </w:rPr>
              <w:t>Cement: 95% from entry into force</w:t>
            </w:r>
          </w:p>
        </w:tc>
      </w:tr>
      <w:tr w:rsidR="00285741" w:rsidRPr="0096343E" w14:paraId="61B6F7DB" w14:textId="77777777" w:rsidTr="0AF02254">
        <w:trPr>
          <w:trHeight w:val="713"/>
        </w:trPr>
        <w:tc>
          <w:tcPr>
            <w:tcW w:w="1177" w:type="dxa"/>
            <w:shd w:val="clear" w:color="auto" w:fill="B7CFED"/>
          </w:tcPr>
          <w:p w14:paraId="09A42DAF" w14:textId="77777777" w:rsidR="00285741" w:rsidRPr="0096343E" w:rsidRDefault="00285741">
            <w:pPr>
              <w:rPr>
                <w:rFonts w:eastAsiaTheme="minorHAnsi" w:cstheme="minorBidi"/>
                <w:b/>
                <w:noProof/>
                <w:sz w:val="18"/>
                <w:szCs w:val="18"/>
                <w:lang w:val="en-US" w:eastAsia="en-US"/>
              </w:rPr>
            </w:pPr>
            <w:r w:rsidRPr="0096343E">
              <w:rPr>
                <w:rFonts w:eastAsiaTheme="minorHAnsi" w:cstheme="minorBidi"/>
                <w:b/>
                <w:noProof/>
                <w:sz w:val="18"/>
                <w:szCs w:val="18"/>
                <w:lang w:eastAsia="en-US"/>
              </w:rPr>
              <w:t>LEAD_BAT 1</w:t>
            </w:r>
          </w:p>
        </w:tc>
        <w:tc>
          <w:tcPr>
            <w:tcW w:w="3077" w:type="dxa"/>
            <w:vMerge w:val="restart"/>
          </w:tcPr>
          <w:p w14:paraId="7A794A18" w14:textId="5EFBC743" w:rsidR="00285741" w:rsidRPr="0096343E" w:rsidRDefault="00E83DDC">
            <w:pPr>
              <w:rPr>
                <w:rFonts w:eastAsiaTheme="minorHAnsi" w:cstheme="minorBidi"/>
                <w:noProof/>
                <w:sz w:val="18"/>
                <w:szCs w:val="18"/>
                <w:lang w:eastAsia="en-US"/>
              </w:rPr>
            </w:pPr>
            <w:r>
              <w:rPr>
                <w:rFonts w:eastAsiaTheme="minorHAnsi" w:cstheme="minorBidi"/>
                <w:b/>
                <w:bCs/>
                <w:noProof/>
                <w:sz w:val="18"/>
                <w:szCs w:val="18"/>
                <w:lang w:eastAsia="en-US"/>
              </w:rPr>
              <w:t>Made in EU</w:t>
            </w:r>
            <w:r w:rsidR="00285741" w:rsidRPr="0096343E">
              <w:rPr>
                <w:rFonts w:eastAsiaTheme="minorHAnsi" w:cstheme="minorBidi"/>
                <w:noProof/>
                <w:sz w:val="18"/>
                <w:szCs w:val="18"/>
                <w:lang w:eastAsia="en-US"/>
              </w:rPr>
              <w:t xml:space="preserve">: minimum four main components in EV batteries and three main components in </w:t>
            </w:r>
            <w:r w:rsidR="00F176DE">
              <w:rPr>
                <w:rFonts w:eastAsiaTheme="minorHAnsi" w:cstheme="minorBidi"/>
                <w:noProof/>
                <w:sz w:val="18"/>
                <w:szCs w:val="18"/>
                <w:lang w:eastAsia="en-US"/>
              </w:rPr>
              <w:t>b</w:t>
            </w:r>
            <w:r w:rsidR="00285741" w:rsidRPr="0096343E">
              <w:rPr>
                <w:rFonts w:eastAsiaTheme="minorHAnsi" w:cstheme="minorBidi"/>
                <w:noProof/>
                <w:sz w:val="18"/>
                <w:szCs w:val="18"/>
                <w:lang w:eastAsia="en-US"/>
              </w:rPr>
              <w:t xml:space="preserve">attery energy storage systems (BESS) </w:t>
            </w:r>
          </w:p>
        </w:tc>
        <w:tc>
          <w:tcPr>
            <w:tcW w:w="2948" w:type="dxa"/>
          </w:tcPr>
          <w:p w14:paraId="1A1C6B6A" w14:textId="77777777" w:rsidR="00285741" w:rsidRPr="0096343E" w:rsidRDefault="00285741" w:rsidP="009A4F0B">
            <w:pPr>
              <w:numPr>
                <w:ilvl w:val="0"/>
                <w:numId w:val="29"/>
              </w:numPr>
              <w:ind w:left="455"/>
              <w:contextualSpacing/>
              <w:rPr>
                <w:rFonts w:eastAsiaTheme="minorHAnsi" w:cstheme="minorBidi"/>
                <w:bCs/>
                <w:noProof/>
                <w:sz w:val="18"/>
                <w:szCs w:val="18"/>
                <w:lang w:eastAsia="en-US"/>
              </w:rPr>
            </w:pPr>
            <w:r w:rsidRPr="0096343E">
              <w:rPr>
                <w:rFonts w:eastAsiaTheme="minorHAnsi" w:cstheme="minorBidi"/>
                <w:bCs/>
                <w:noProof/>
                <w:sz w:val="18"/>
                <w:szCs w:val="18"/>
                <w:lang w:eastAsia="en-US"/>
              </w:rPr>
              <w:t>Public procurement</w:t>
            </w:r>
          </w:p>
          <w:p w14:paraId="4F517C2D"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Public support schemes</w:t>
            </w:r>
          </w:p>
          <w:p w14:paraId="0415ACCF"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Auctions</w:t>
            </w:r>
          </w:p>
        </w:tc>
        <w:tc>
          <w:tcPr>
            <w:tcW w:w="6827" w:type="dxa"/>
            <w:vMerge w:val="restart"/>
          </w:tcPr>
          <w:p w14:paraId="4E93283C" w14:textId="74EE1A1D"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 xml:space="preserve">EVs: Mandatory </w:t>
            </w:r>
            <w:r w:rsidR="00E83DDC">
              <w:rPr>
                <w:rFonts w:eastAsiaTheme="minorHAnsi" w:cstheme="minorBidi"/>
                <w:noProof/>
                <w:sz w:val="18"/>
                <w:szCs w:val="18"/>
                <w:lang w:eastAsia="en-US"/>
              </w:rPr>
              <w:t>Made in EU</w:t>
            </w:r>
            <w:r w:rsidRPr="0096343E">
              <w:rPr>
                <w:rFonts w:eastAsiaTheme="minorHAnsi" w:cstheme="minorBidi"/>
                <w:noProof/>
                <w:sz w:val="18"/>
                <w:szCs w:val="18"/>
                <w:lang w:eastAsia="en-US"/>
              </w:rPr>
              <w:t xml:space="preserve"> requirements of at least four components at one year after entry into force, including the battery cell, increasing to 6 components after three years of entry into force, including the BMS and the CAM.</w:t>
            </w:r>
          </w:p>
          <w:p w14:paraId="7E7B77FC" w14:textId="6D6CCFFB"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 xml:space="preserve">BESS: Mandatory </w:t>
            </w:r>
            <w:r w:rsidR="00E83DDC">
              <w:rPr>
                <w:rFonts w:eastAsiaTheme="minorHAnsi" w:cstheme="minorBidi"/>
                <w:noProof/>
                <w:sz w:val="18"/>
                <w:szCs w:val="18"/>
                <w:lang w:eastAsia="en-US"/>
              </w:rPr>
              <w:t>Made in EU</w:t>
            </w:r>
            <w:r w:rsidRPr="0096343E">
              <w:rPr>
                <w:rFonts w:eastAsiaTheme="minorHAnsi" w:cstheme="minorBidi"/>
                <w:noProof/>
                <w:sz w:val="18"/>
                <w:szCs w:val="18"/>
                <w:lang w:eastAsia="en-US"/>
              </w:rPr>
              <w:t xml:space="preserve"> requirements of at least three components at one year after entry into force, including the battery pack and the BMS; increasing to 6 components after three years of entry into force, including the battery cell and the CAM.</w:t>
            </w:r>
          </w:p>
        </w:tc>
      </w:tr>
      <w:tr w:rsidR="00285741" w:rsidRPr="0096343E" w14:paraId="1F3B98BC" w14:textId="77777777" w:rsidTr="0AF02254">
        <w:trPr>
          <w:trHeight w:val="447"/>
        </w:trPr>
        <w:tc>
          <w:tcPr>
            <w:tcW w:w="1177" w:type="dxa"/>
            <w:shd w:val="clear" w:color="auto" w:fill="B7CFED"/>
          </w:tcPr>
          <w:p w14:paraId="434F6965"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LEAD_BAT 2</w:t>
            </w:r>
          </w:p>
        </w:tc>
        <w:tc>
          <w:tcPr>
            <w:tcW w:w="3077" w:type="dxa"/>
            <w:vMerge/>
          </w:tcPr>
          <w:p w14:paraId="588B238D" w14:textId="77777777" w:rsidR="00285741" w:rsidRPr="0096343E" w:rsidRDefault="00285741">
            <w:pPr>
              <w:rPr>
                <w:rFonts w:eastAsiaTheme="minorHAnsi" w:cstheme="minorBidi"/>
                <w:b/>
                <w:bCs/>
                <w:noProof/>
                <w:sz w:val="18"/>
                <w:szCs w:val="18"/>
                <w:lang w:eastAsia="en-US"/>
              </w:rPr>
            </w:pPr>
          </w:p>
        </w:tc>
        <w:tc>
          <w:tcPr>
            <w:tcW w:w="2948" w:type="dxa"/>
          </w:tcPr>
          <w:p w14:paraId="6CDFCC95"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All batteries placed on the market</w:t>
            </w:r>
          </w:p>
        </w:tc>
        <w:tc>
          <w:tcPr>
            <w:tcW w:w="6827" w:type="dxa"/>
            <w:vMerge/>
          </w:tcPr>
          <w:p w14:paraId="60B873B4"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p>
        </w:tc>
      </w:tr>
      <w:tr w:rsidR="00285741" w:rsidRPr="0096343E" w14:paraId="01B286CA" w14:textId="77777777" w:rsidTr="0AF02254">
        <w:trPr>
          <w:trHeight w:val="416"/>
        </w:trPr>
        <w:tc>
          <w:tcPr>
            <w:tcW w:w="1177" w:type="dxa"/>
            <w:shd w:val="clear" w:color="auto" w:fill="B7CFED"/>
          </w:tcPr>
          <w:p w14:paraId="4C5F1DB1"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LEAD_SOL 1</w:t>
            </w:r>
          </w:p>
        </w:tc>
        <w:tc>
          <w:tcPr>
            <w:tcW w:w="3077" w:type="dxa"/>
            <w:vMerge w:val="restart"/>
          </w:tcPr>
          <w:p w14:paraId="7802EE62" w14:textId="0273BD5C" w:rsidR="00285741" w:rsidRPr="0096343E" w:rsidRDefault="00E83DDC">
            <w:pPr>
              <w:rPr>
                <w:rFonts w:eastAsiaTheme="minorHAnsi" w:cstheme="minorBidi"/>
                <w:b/>
                <w:noProof/>
                <w:sz w:val="18"/>
                <w:szCs w:val="18"/>
                <w:lang w:eastAsia="en-US"/>
              </w:rPr>
            </w:pPr>
            <w:r>
              <w:rPr>
                <w:rFonts w:eastAsiaTheme="minorHAnsi" w:cstheme="minorBidi"/>
                <w:b/>
                <w:noProof/>
                <w:sz w:val="18"/>
                <w:szCs w:val="18"/>
                <w:lang w:eastAsia="en-US"/>
              </w:rPr>
              <w:t>Made in EU</w:t>
            </w:r>
            <w:r w:rsidR="00285741" w:rsidRPr="0096343E">
              <w:rPr>
                <w:rFonts w:eastAsiaTheme="minorHAnsi" w:cstheme="minorBidi"/>
                <w:b/>
                <w:noProof/>
                <w:sz w:val="18"/>
                <w:szCs w:val="18"/>
                <w:lang w:eastAsia="en-US"/>
              </w:rPr>
              <w:t xml:space="preserve">: </w:t>
            </w:r>
            <w:r w:rsidR="00285741" w:rsidRPr="0096343E">
              <w:rPr>
                <w:rFonts w:eastAsiaTheme="minorHAnsi" w:cstheme="minorBidi"/>
                <w:noProof/>
                <w:sz w:val="18"/>
                <w:szCs w:val="18"/>
                <w:lang w:eastAsia="en-US"/>
              </w:rPr>
              <w:t>minimum number of main specific components in solar PV systems</w:t>
            </w:r>
          </w:p>
        </w:tc>
        <w:tc>
          <w:tcPr>
            <w:tcW w:w="2948" w:type="dxa"/>
          </w:tcPr>
          <w:p w14:paraId="238012B3" w14:textId="77777777" w:rsidR="00285741" w:rsidRPr="0096343E" w:rsidRDefault="00285741" w:rsidP="009A4F0B">
            <w:pPr>
              <w:numPr>
                <w:ilvl w:val="0"/>
                <w:numId w:val="29"/>
              </w:numPr>
              <w:ind w:left="455"/>
              <w:contextualSpacing/>
              <w:rPr>
                <w:rFonts w:eastAsiaTheme="minorHAnsi" w:cstheme="minorBidi"/>
                <w:bCs/>
                <w:noProof/>
                <w:sz w:val="18"/>
                <w:szCs w:val="18"/>
                <w:lang w:eastAsia="en-US"/>
              </w:rPr>
            </w:pPr>
            <w:r w:rsidRPr="0096343E">
              <w:rPr>
                <w:rFonts w:eastAsiaTheme="minorHAnsi" w:cstheme="minorBidi"/>
                <w:bCs/>
                <w:noProof/>
                <w:sz w:val="18"/>
                <w:szCs w:val="18"/>
                <w:lang w:eastAsia="en-US"/>
              </w:rPr>
              <w:t>Public procurement</w:t>
            </w:r>
          </w:p>
          <w:p w14:paraId="035A227D" w14:textId="77777777" w:rsidR="00285741" w:rsidRPr="009A4F0B"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Public support schemes</w:t>
            </w:r>
          </w:p>
          <w:p w14:paraId="33E9D77F" w14:textId="77777777" w:rsidR="00285741" w:rsidRPr="0096343E" w:rsidRDefault="00285741" w:rsidP="009A4F0B">
            <w:pPr>
              <w:numPr>
                <w:ilvl w:val="0"/>
                <w:numId w:val="29"/>
              </w:numPr>
              <w:ind w:left="455"/>
              <w:contextualSpacing/>
              <w:rPr>
                <w:rFonts w:eastAsiaTheme="minorHAnsi" w:cstheme="minorBidi"/>
                <w:bCs/>
                <w:noProof/>
                <w:sz w:val="18"/>
                <w:szCs w:val="18"/>
                <w:lang w:eastAsia="en-US"/>
              </w:rPr>
            </w:pPr>
            <w:r w:rsidRPr="0096343E">
              <w:rPr>
                <w:rFonts w:eastAsiaTheme="minorHAnsi" w:cstheme="minorBidi"/>
                <w:noProof/>
                <w:sz w:val="18"/>
                <w:szCs w:val="18"/>
                <w:lang w:eastAsia="en-US"/>
              </w:rPr>
              <w:t>Auctions</w:t>
            </w:r>
          </w:p>
        </w:tc>
        <w:tc>
          <w:tcPr>
            <w:tcW w:w="6827" w:type="dxa"/>
            <w:vMerge w:val="restart"/>
          </w:tcPr>
          <w:p w14:paraId="2CFD04EB" w14:textId="0B6A27EB" w:rsidR="00285741" w:rsidRPr="0096343E" w:rsidRDefault="005F03AC" w:rsidP="009A4F0B">
            <w:pPr>
              <w:numPr>
                <w:ilvl w:val="0"/>
                <w:numId w:val="29"/>
              </w:numPr>
              <w:ind w:left="455"/>
              <w:contextualSpacing/>
              <w:rPr>
                <w:rFonts w:eastAsiaTheme="minorHAnsi" w:cstheme="minorBidi"/>
                <w:noProof/>
                <w:sz w:val="18"/>
                <w:szCs w:val="18"/>
                <w:lang w:eastAsia="en-US"/>
              </w:rPr>
            </w:pPr>
            <w:r w:rsidRPr="005F03AC">
              <w:rPr>
                <w:rFonts w:eastAsiaTheme="minorHAnsi" w:cstheme="minorBidi"/>
                <w:noProof/>
                <w:sz w:val="18"/>
                <w:szCs w:val="18"/>
                <w:lang w:eastAsia="en-US"/>
              </w:rPr>
              <w:t>PV inverter and at least two additional main specific components</w:t>
            </w:r>
            <w:r w:rsidR="003A7AF7">
              <w:rPr>
                <w:rFonts w:eastAsiaTheme="minorHAnsi" w:cstheme="minorBidi"/>
                <w:noProof/>
                <w:sz w:val="18"/>
                <w:szCs w:val="18"/>
                <w:lang w:eastAsia="en-US"/>
              </w:rPr>
              <w:t xml:space="preserve"> </w:t>
            </w:r>
            <w:r w:rsidR="00285741" w:rsidRPr="0096343E">
              <w:rPr>
                <w:rFonts w:eastAsiaTheme="minorHAnsi" w:cstheme="minorBidi"/>
                <w:noProof/>
                <w:sz w:val="18"/>
                <w:szCs w:val="18"/>
                <w:lang w:eastAsia="en-US"/>
              </w:rPr>
              <w:t xml:space="preserve">one year after entry into force. </w:t>
            </w:r>
            <w:r w:rsidR="003A7AF7" w:rsidRPr="003A7AF7">
              <w:rPr>
                <w:rFonts w:eastAsiaTheme="minorHAnsi" w:cstheme="minorBidi"/>
                <w:noProof/>
                <w:sz w:val="18"/>
                <w:szCs w:val="18"/>
                <w:lang w:eastAsia="en-US"/>
              </w:rPr>
              <w:t>PV inverter and at least three additional main specific components</w:t>
            </w:r>
            <w:r w:rsidR="003A7AF7">
              <w:rPr>
                <w:rFonts w:eastAsiaTheme="minorHAnsi" w:cstheme="minorBidi"/>
                <w:noProof/>
                <w:sz w:val="18"/>
                <w:szCs w:val="18"/>
                <w:lang w:eastAsia="en-US"/>
              </w:rPr>
              <w:t xml:space="preserve"> </w:t>
            </w:r>
            <w:r w:rsidR="00285741" w:rsidRPr="0096343E">
              <w:rPr>
                <w:rFonts w:eastAsiaTheme="minorHAnsi" w:cstheme="minorBidi"/>
                <w:noProof/>
                <w:sz w:val="18"/>
                <w:szCs w:val="18"/>
                <w:lang w:eastAsia="en-US"/>
              </w:rPr>
              <w:t>three years after entry into force.</w:t>
            </w:r>
          </w:p>
        </w:tc>
      </w:tr>
      <w:tr w:rsidR="00285741" w:rsidRPr="0096343E" w14:paraId="78FD698A" w14:textId="77777777" w:rsidTr="0AF02254">
        <w:trPr>
          <w:trHeight w:val="64"/>
        </w:trPr>
        <w:tc>
          <w:tcPr>
            <w:tcW w:w="1177" w:type="dxa"/>
            <w:shd w:val="clear" w:color="auto" w:fill="B7CFED"/>
          </w:tcPr>
          <w:p w14:paraId="38E99793"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LEAD_SOL 2</w:t>
            </w:r>
          </w:p>
        </w:tc>
        <w:tc>
          <w:tcPr>
            <w:tcW w:w="3077" w:type="dxa"/>
            <w:vMerge/>
          </w:tcPr>
          <w:p w14:paraId="7468B1FA" w14:textId="77777777" w:rsidR="00285741" w:rsidRPr="0096343E" w:rsidRDefault="00285741">
            <w:pPr>
              <w:rPr>
                <w:rFonts w:eastAsiaTheme="minorHAnsi" w:cstheme="minorBidi"/>
                <w:b/>
                <w:bCs/>
                <w:noProof/>
                <w:sz w:val="18"/>
                <w:szCs w:val="18"/>
                <w:lang w:eastAsia="en-US"/>
              </w:rPr>
            </w:pPr>
          </w:p>
        </w:tc>
        <w:tc>
          <w:tcPr>
            <w:tcW w:w="2948" w:type="dxa"/>
          </w:tcPr>
          <w:p w14:paraId="6F80B0EA"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All solar PV systems placed on the market</w:t>
            </w:r>
          </w:p>
        </w:tc>
        <w:tc>
          <w:tcPr>
            <w:tcW w:w="6827" w:type="dxa"/>
            <w:vMerge/>
          </w:tcPr>
          <w:p w14:paraId="370FECD5" w14:textId="77777777" w:rsidR="00285741" w:rsidRPr="0096343E" w:rsidRDefault="00285741" w:rsidP="00285741">
            <w:pPr>
              <w:numPr>
                <w:ilvl w:val="0"/>
                <w:numId w:val="33"/>
              </w:numPr>
              <w:ind w:left="316"/>
              <w:rPr>
                <w:rFonts w:eastAsiaTheme="minorHAnsi" w:cstheme="minorBidi"/>
                <w:noProof/>
                <w:sz w:val="18"/>
                <w:szCs w:val="18"/>
                <w:lang w:eastAsia="en-US"/>
              </w:rPr>
            </w:pPr>
          </w:p>
        </w:tc>
      </w:tr>
      <w:tr w:rsidR="00285741" w:rsidRPr="0096343E" w14:paraId="574EA4A5" w14:textId="77777777" w:rsidTr="0AF02254">
        <w:trPr>
          <w:trHeight w:val="132"/>
        </w:trPr>
        <w:tc>
          <w:tcPr>
            <w:tcW w:w="1177" w:type="dxa"/>
            <w:shd w:val="clear" w:color="auto" w:fill="B7CFED"/>
          </w:tcPr>
          <w:p w14:paraId="2CC6BBE2" w14:textId="77777777" w:rsidR="00285741" w:rsidRPr="0096343E" w:rsidRDefault="00285741">
            <w:pPr>
              <w:rPr>
                <w:rFonts w:eastAsiaTheme="minorHAnsi" w:cstheme="minorBidi"/>
                <w:b/>
                <w:noProof/>
                <w:sz w:val="18"/>
                <w:szCs w:val="18"/>
                <w:lang w:eastAsia="en-US"/>
              </w:rPr>
            </w:pPr>
            <w:r w:rsidRPr="0096343E">
              <w:rPr>
                <w:rFonts w:eastAsiaTheme="minorHAnsi" w:cstheme="minorBidi"/>
                <w:b/>
                <w:noProof/>
                <w:sz w:val="18"/>
                <w:szCs w:val="18"/>
                <w:lang w:eastAsia="en-US"/>
              </w:rPr>
              <w:t>LEAD_VC 1</w:t>
            </w:r>
          </w:p>
        </w:tc>
        <w:tc>
          <w:tcPr>
            <w:tcW w:w="3077" w:type="dxa"/>
            <w:vMerge w:val="restart"/>
          </w:tcPr>
          <w:p w14:paraId="5F22A48B" w14:textId="429F1140" w:rsidR="00285741" w:rsidRPr="0096343E" w:rsidRDefault="00E83DDC">
            <w:pPr>
              <w:rPr>
                <w:rFonts w:eastAsiaTheme="minorHAnsi" w:cstheme="minorBidi"/>
                <w:b/>
                <w:bCs/>
                <w:noProof/>
                <w:sz w:val="18"/>
                <w:szCs w:val="18"/>
                <w:lang w:eastAsia="en-US"/>
              </w:rPr>
            </w:pPr>
            <w:r>
              <w:rPr>
                <w:rFonts w:eastAsiaTheme="minorHAnsi" w:cstheme="minorBidi"/>
                <w:b/>
                <w:bCs/>
                <w:noProof/>
                <w:sz w:val="18"/>
                <w:szCs w:val="18"/>
                <w:lang w:eastAsia="en-US"/>
              </w:rPr>
              <w:t>Made in EU</w:t>
            </w:r>
            <w:r w:rsidR="00285741" w:rsidRPr="0096343E">
              <w:rPr>
                <w:rFonts w:eastAsiaTheme="minorHAnsi" w:cstheme="minorBidi"/>
                <w:noProof/>
                <w:sz w:val="18"/>
                <w:szCs w:val="18"/>
                <w:lang w:eastAsia="en-US"/>
              </w:rPr>
              <w:t>:</w:t>
            </w:r>
            <w:r w:rsidR="00285741" w:rsidRPr="0096343E">
              <w:rPr>
                <w:rFonts w:eastAsiaTheme="minorHAnsi" w:cstheme="minorBidi"/>
                <w:i/>
                <w:noProof/>
                <w:sz w:val="18"/>
                <w:szCs w:val="18"/>
                <w:lang w:eastAsia="en-US"/>
              </w:rPr>
              <w:t xml:space="preserve"> </w:t>
            </w:r>
            <w:r w:rsidR="00285741" w:rsidRPr="0096343E">
              <w:rPr>
                <w:rFonts w:eastAsiaTheme="minorHAnsi" w:cstheme="minorBidi"/>
                <w:noProof/>
                <w:sz w:val="18"/>
                <w:szCs w:val="18"/>
                <w:lang w:eastAsia="en-US"/>
              </w:rPr>
              <w:t>minimum share in value (%) of EU-made components over total components, excluding batteries.</w:t>
            </w:r>
            <w:r w:rsidR="00285741" w:rsidRPr="0096343E">
              <w:rPr>
                <w:rFonts w:eastAsiaTheme="minorHAnsi" w:cstheme="minorBidi"/>
                <w:noProof/>
                <w:sz w:val="18"/>
                <w:szCs w:val="18"/>
                <w:vertAlign w:val="superscript"/>
                <w:lang w:eastAsia="en-US"/>
              </w:rPr>
              <w:footnoteReference w:id="136"/>
            </w:r>
          </w:p>
        </w:tc>
        <w:tc>
          <w:tcPr>
            <w:tcW w:w="2948" w:type="dxa"/>
          </w:tcPr>
          <w:p w14:paraId="4F0F415C"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t>Public procurement</w:t>
            </w:r>
            <w:r w:rsidRPr="0096343E">
              <w:rPr>
                <w:rFonts w:eastAsiaTheme="minorHAnsi" w:cstheme="minorBidi"/>
                <w:noProof/>
                <w:sz w:val="18"/>
                <w:szCs w:val="18"/>
                <w:vertAlign w:val="superscript"/>
                <w:lang w:eastAsia="en-US"/>
              </w:rPr>
              <w:footnoteReference w:id="137"/>
            </w:r>
          </w:p>
          <w:p w14:paraId="174B5099"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lastRenderedPageBreak/>
              <w:t>Public support schemes</w:t>
            </w:r>
          </w:p>
        </w:tc>
        <w:tc>
          <w:tcPr>
            <w:tcW w:w="6827" w:type="dxa"/>
            <w:vMerge w:val="restart"/>
          </w:tcPr>
          <w:p w14:paraId="3F5FBFD2" w14:textId="77777777" w:rsidR="00285741" w:rsidRPr="0096343E" w:rsidRDefault="00285741" w:rsidP="009A4F0B">
            <w:pPr>
              <w:numPr>
                <w:ilvl w:val="0"/>
                <w:numId w:val="29"/>
              </w:numPr>
              <w:ind w:left="455"/>
              <w:contextualSpacing/>
              <w:rPr>
                <w:rFonts w:eastAsiaTheme="minorHAnsi" w:cstheme="minorBidi"/>
                <w:noProof/>
                <w:sz w:val="18"/>
                <w:szCs w:val="18"/>
                <w:lang w:eastAsia="en-US"/>
              </w:rPr>
            </w:pPr>
            <w:r w:rsidRPr="0096343E">
              <w:rPr>
                <w:rFonts w:eastAsiaTheme="minorHAnsi" w:cstheme="minorBidi"/>
                <w:noProof/>
                <w:sz w:val="18"/>
                <w:szCs w:val="18"/>
                <w:lang w:eastAsia="en-US"/>
              </w:rPr>
              <w:lastRenderedPageBreak/>
              <w:t>EVs</w:t>
            </w:r>
            <w:r w:rsidRPr="0096343E">
              <w:rPr>
                <w:rFonts w:eastAsiaTheme="minorHAnsi" w:cstheme="minorBidi"/>
                <w:noProof/>
                <w:sz w:val="18"/>
                <w:szCs w:val="18"/>
                <w:vertAlign w:val="superscript"/>
                <w:lang w:eastAsia="en-US"/>
              </w:rPr>
              <w:footnoteReference w:id="138"/>
            </w:r>
            <w:r w:rsidRPr="0096343E">
              <w:rPr>
                <w:rFonts w:eastAsiaTheme="minorHAnsi" w:cstheme="minorBidi"/>
                <w:noProof/>
                <w:sz w:val="18"/>
                <w:szCs w:val="18"/>
                <w:lang w:eastAsia="en-US"/>
              </w:rPr>
              <w:t>: 70% at one year after entry into force (2027) and 75% by 2030</w:t>
            </w:r>
          </w:p>
        </w:tc>
      </w:tr>
      <w:tr w:rsidR="00285741" w:rsidRPr="0096343E" w14:paraId="3210E206" w14:textId="77777777" w:rsidTr="0AF02254">
        <w:trPr>
          <w:trHeight w:val="533"/>
        </w:trPr>
        <w:tc>
          <w:tcPr>
            <w:tcW w:w="1177" w:type="dxa"/>
            <w:shd w:val="clear" w:color="auto" w:fill="B7CFED"/>
          </w:tcPr>
          <w:p w14:paraId="7F0F211C" w14:textId="77777777" w:rsidR="00285741" w:rsidRPr="0096343E" w:rsidRDefault="00285741">
            <w:pPr>
              <w:rPr>
                <w:rFonts w:ascii="Times" w:eastAsiaTheme="minorHAnsi" w:hAnsi="Times" w:cs="Times"/>
                <w:b/>
                <w:noProof/>
                <w:sz w:val="18"/>
                <w:szCs w:val="18"/>
                <w:lang w:eastAsia="en-US"/>
              </w:rPr>
            </w:pPr>
            <w:r w:rsidRPr="0096343E">
              <w:rPr>
                <w:rFonts w:ascii="Times" w:eastAsiaTheme="minorHAnsi" w:hAnsi="Times" w:cs="Times"/>
                <w:b/>
                <w:noProof/>
                <w:sz w:val="18"/>
                <w:szCs w:val="18"/>
                <w:lang w:eastAsia="en-US"/>
              </w:rPr>
              <w:t>LEAD_VC 2</w:t>
            </w:r>
          </w:p>
        </w:tc>
        <w:tc>
          <w:tcPr>
            <w:tcW w:w="3077" w:type="dxa"/>
            <w:vMerge/>
          </w:tcPr>
          <w:p w14:paraId="027620D8" w14:textId="77777777" w:rsidR="00285741" w:rsidRPr="0096343E" w:rsidRDefault="00285741">
            <w:pPr>
              <w:rPr>
                <w:rFonts w:ascii="Times" w:eastAsiaTheme="minorHAnsi" w:hAnsi="Times" w:cs="Times"/>
                <w:noProof/>
                <w:sz w:val="18"/>
                <w:szCs w:val="18"/>
                <w:highlight w:val="cyan"/>
                <w:lang w:eastAsia="en-US"/>
              </w:rPr>
            </w:pPr>
          </w:p>
        </w:tc>
        <w:tc>
          <w:tcPr>
            <w:tcW w:w="2948" w:type="dxa"/>
          </w:tcPr>
          <w:p w14:paraId="08D6A0B7" w14:textId="77777777" w:rsidR="00285741" w:rsidRPr="0096343E" w:rsidRDefault="00285741" w:rsidP="009A4F0B">
            <w:pPr>
              <w:numPr>
                <w:ilvl w:val="0"/>
                <w:numId w:val="29"/>
              </w:numPr>
              <w:ind w:left="455"/>
              <w:contextualSpacing/>
              <w:rPr>
                <w:rFonts w:ascii="Times" w:eastAsiaTheme="minorHAnsi" w:hAnsi="Times" w:cs="Times"/>
                <w:noProof/>
                <w:sz w:val="18"/>
                <w:szCs w:val="18"/>
                <w:lang w:eastAsia="en-US"/>
              </w:rPr>
            </w:pPr>
            <w:r w:rsidRPr="0096343E">
              <w:rPr>
                <w:rFonts w:ascii="Times" w:eastAsiaTheme="minorHAnsi" w:hAnsi="Times" w:cs="Times"/>
                <w:noProof/>
                <w:sz w:val="18"/>
                <w:szCs w:val="18"/>
                <w:lang w:eastAsia="en-US"/>
              </w:rPr>
              <w:t xml:space="preserve">All vehicles </w:t>
            </w:r>
            <w:r w:rsidRPr="009A4F0B">
              <w:rPr>
                <w:rFonts w:eastAsiaTheme="minorHAnsi" w:cstheme="minorBidi"/>
                <w:noProof/>
                <w:sz w:val="18"/>
                <w:szCs w:val="18"/>
              </w:rPr>
              <w:t>placed</w:t>
            </w:r>
            <w:r w:rsidRPr="0096343E">
              <w:rPr>
                <w:rFonts w:ascii="Times" w:eastAsiaTheme="minorHAnsi" w:hAnsi="Times" w:cs="Times"/>
                <w:noProof/>
                <w:sz w:val="18"/>
                <w:szCs w:val="18"/>
                <w:lang w:eastAsia="en-US"/>
              </w:rPr>
              <w:t xml:space="preserve"> on the market</w:t>
            </w:r>
          </w:p>
        </w:tc>
        <w:tc>
          <w:tcPr>
            <w:tcW w:w="6827" w:type="dxa"/>
            <w:vMerge/>
          </w:tcPr>
          <w:p w14:paraId="2CE04056" w14:textId="77777777" w:rsidR="00285741" w:rsidRPr="0096343E" w:rsidRDefault="00285741">
            <w:pPr>
              <w:ind w:left="311"/>
              <w:contextualSpacing/>
              <w:rPr>
                <w:rFonts w:ascii="Times" w:eastAsiaTheme="minorHAnsi" w:hAnsi="Times" w:cs="Times"/>
                <w:noProof/>
                <w:sz w:val="18"/>
                <w:szCs w:val="18"/>
                <w:highlight w:val="cyan"/>
                <w:lang w:eastAsia="en-US"/>
              </w:rPr>
            </w:pPr>
          </w:p>
        </w:tc>
      </w:tr>
    </w:tbl>
    <w:p w14:paraId="4CBBD303" w14:textId="77777777" w:rsidR="00285741" w:rsidRDefault="00285741">
      <w:pPr>
        <w:pStyle w:val="Body"/>
        <w:rPr>
          <w:noProof/>
        </w:rPr>
        <w:sectPr w:rsidR="00285741" w:rsidSect="00285741">
          <w:headerReference w:type="even" r:id="rId30"/>
          <w:headerReference w:type="default" r:id="rId31"/>
          <w:footerReference w:type="even" r:id="rId32"/>
          <w:footerReference w:type="default" r:id="rId33"/>
          <w:headerReference w:type="first" r:id="rId34"/>
          <w:footerReference w:type="first" r:id="rId35"/>
          <w:pgSz w:w="16838" w:h="11906" w:orient="landscape"/>
          <w:pgMar w:top="1440" w:right="1440" w:bottom="1440" w:left="1440" w:header="708" w:footer="708" w:gutter="0"/>
          <w:cols w:space="708"/>
          <w:docGrid w:linePitch="360"/>
        </w:sectPr>
      </w:pPr>
    </w:p>
    <w:p w14:paraId="5C9AFF94" w14:textId="77777777" w:rsidR="00285741" w:rsidRPr="007C3C61" w:rsidRDefault="00285741" w:rsidP="00285741">
      <w:pPr>
        <w:pStyle w:val="Heading1"/>
        <w:keepLines w:val="0"/>
        <w:numPr>
          <w:ilvl w:val="0"/>
          <w:numId w:val="64"/>
        </w:numPr>
        <w:tabs>
          <w:tab w:val="num" w:pos="480"/>
        </w:tabs>
        <w:spacing w:after="120"/>
        <w:ind w:left="480" w:hanging="480"/>
        <w:rPr>
          <w:rFonts w:ascii="Times" w:hAnsi="Times" w:cs="Times"/>
          <w:b/>
          <w:bCs/>
          <w:noProof/>
          <w:color w:val="auto"/>
          <w:sz w:val="28"/>
          <w:szCs w:val="28"/>
        </w:rPr>
      </w:pPr>
      <w:bookmarkStart w:id="63" w:name="_Toc205923048"/>
      <w:bookmarkStart w:id="64" w:name="_Toc211984401"/>
      <w:bookmarkStart w:id="65" w:name="_Toc222159302"/>
      <w:bookmarkStart w:id="66" w:name="_Toc222489986"/>
      <w:r w:rsidRPr="007C3C61">
        <w:rPr>
          <w:rFonts w:ascii="Times" w:hAnsi="Times" w:cs="Times"/>
          <w:b/>
          <w:bCs/>
          <w:noProof/>
          <w:color w:val="auto"/>
          <w:sz w:val="28"/>
          <w:szCs w:val="28"/>
        </w:rPr>
        <w:lastRenderedPageBreak/>
        <w:t>What are the impacts of the policy options?</w:t>
      </w:r>
      <w:bookmarkEnd w:id="63"/>
      <w:bookmarkEnd w:id="64"/>
      <w:bookmarkEnd w:id="65"/>
      <w:bookmarkEnd w:id="66"/>
    </w:p>
    <w:p w14:paraId="414BBF0F" w14:textId="77777777" w:rsidR="00285741" w:rsidRPr="00A11DF2" w:rsidRDefault="00285741">
      <w:pPr>
        <w:pStyle w:val="Text1"/>
        <w:spacing w:after="120"/>
        <w:ind w:left="0"/>
        <w:rPr>
          <w:noProof/>
        </w:rPr>
      </w:pPr>
      <w:r>
        <w:rPr>
          <w:noProof/>
        </w:rPr>
        <w:t xml:space="preserve">The impacts of the different POs are assessed below </w:t>
      </w:r>
      <w:bookmarkStart w:id="67" w:name="_Int_25z9ovJR"/>
      <w:r>
        <w:rPr>
          <w:noProof/>
        </w:rPr>
        <w:t>taking into account</w:t>
      </w:r>
      <w:bookmarkEnd w:id="67"/>
      <w:r>
        <w:rPr>
          <w:noProof/>
        </w:rPr>
        <w:t xml:space="preserve"> the results of the public consultation and based on internal analysis and external studies. Overall, the initiative is not expected to have an impact on fundamental rights. All measures that include or imply information sharing or reporting should be implemented in line with the principle of digital by default.</w:t>
      </w:r>
    </w:p>
    <w:p w14:paraId="11ED8AAD" w14:textId="77777777" w:rsidR="00285741" w:rsidRPr="00310056" w:rsidRDefault="00285741" w:rsidP="00285741">
      <w:pPr>
        <w:pStyle w:val="Heading2"/>
        <w:numPr>
          <w:ilvl w:val="1"/>
          <w:numId w:val="64"/>
        </w:numPr>
        <w:tabs>
          <w:tab w:val="left" w:pos="1276"/>
        </w:tabs>
        <w:spacing w:after="0"/>
        <w:ind w:hanging="9"/>
      </w:pPr>
      <w:bookmarkStart w:id="68" w:name="_Toc211984402"/>
      <w:bookmarkStart w:id="69" w:name="_Toc222489987"/>
      <w:r w:rsidRPr="00310056">
        <w:t>POLICY OPTION 1</w:t>
      </w:r>
      <w:bookmarkEnd w:id="68"/>
      <w:bookmarkEnd w:id="69"/>
    </w:p>
    <w:p w14:paraId="60EDDBB9" w14:textId="2BC1A897" w:rsidR="00285741" w:rsidRPr="00310056" w:rsidRDefault="00285741" w:rsidP="00285741">
      <w:pPr>
        <w:pStyle w:val="Heading3"/>
        <w:numPr>
          <w:ilvl w:val="2"/>
          <w:numId w:val="64"/>
        </w:numPr>
        <w:spacing w:after="120"/>
        <w:ind w:hanging="11"/>
        <w:rPr>
          <w:b/>
          <w:i w:val="0"/>
        </w:rPr>
      </w:pPr>
      <w:r w:rsidRPr="00310056">
        <w:rPr>
          <w:b/>
          <w:i w:val="0"/>
        </w:rPr>
        <w:t xml:space="preserve">Economic </w:t>
      </w:r>
      <w:r w:rsidR="00D3482D">
        <w:rPr>
          <w:b/>
          <w:i w:val="0"/>
        </w:rPr>
        <w:t>i</w:t>
      </w:r>
      <w:r w:rsidRPr="00310056">
        <w:rPr>
          <w:b/>
          <w:i w:val="0"/>
        </w:rPr>
        <w:t>mpacts</w:t>
      </w:r>
    </w:p>
    <w:p w14:paraId="20132FFC" w14:textId="77777777" w:rsidR="00285741" w:rsidRDefault="00285741" w:rsidP="00285741">
      <w:pPr>
        <w:pStyle w:val="Heading4"/>
        <w:numPr>
          <w:ilvl w:val="3"/>
          <w:numId w:val="64"/>
        </w:numPr>
        <w:spacing w:before="0" w:after="0"/>
        <w:ind w:left="709" w:hanging="567"/>
        <w:rPr>
          <w:rFonts w:eastAsia="Times New Roman"/>
          <w:b/>
          <w:bCs/>
          <w:noProof/>
        </w:rPr>
      </w:pPr>
      <w:r w:rsidRPr="007C3C61">
        <w:rPr>
          <w:b/>
          <w:bCs/>
          <w:noProof/>
          <w:color w:val="auto"/>
        </w:rPr>
        <w:t>Impact on companies</w:t>
      </w:r>
    </w:p>
    <w:p w14:paraId="1B249FFB" w14:textId="77777777" w:rsidR="00285741" w:rsidRDefault="00285741">
      <w:pPr>
        <w:spacing w:before="240" w:after="120"/>
        <w:rPr>
          <w:rFonts w:eastAsia="Times New Roman"/>
          <w:noProof/>
        </w:rPr>
      </w:pPr>
      <w:r w:rsidRPr="00817E59">
        <w:rPr>
          <w:rFonts w:eastAsia="Times New Roman"/>
          <w:b/>
          <w:bCs/>
          <w:noProof/>
        </w:rPr>
        <w:t>LAB</w:t>
      </w:r>
      <w:r>
        <w:rPr>
          <w:rFonts w:eastAsia="Times New Roman"/>
          <w:b/>
          <w:bCs/>
          <w:noProof/>
        </w:rPr>
        <w:t xml:space="preserve"> </w:t>
      </w:r>
      <w:r w:rsidRPr="00817E59">
        <w:rPr>
          <w:rFonts w:eastAsia="Times New Roman"/>
          <w:b/>
          <w:bCs/>
          <w:noProof/>
        </w:rPr>
        <w:t>1</w:t>
      </w:r>
      <w:r>
        <w:rPr>
          <w:rFonts w:eastAsia="Times New Roman"/>
          <w:noProof/>
        </w:rPr>
        <w:t xml:space="preserve"> </w:t>
      </w:r>
      <w:r w:rsidRPr="00324DB0">
        <w:rPr>
          <w:rFonts w:eastAsia="Times New Roman"/>
          <w:b/>
          <w:noProof/>
        </w:rPr>
        <w:t xml:space="preserve">- </w:t>
      </w:r>
      <w:r w:rsidRPr="22F06CF7">
        <w:rPr>
          <w:rFonts w:eastAsia="Times New Roman"/>
          <w:noProof/>
        </w:rPr>
        <w:t xml:space="preserve">Regarding the </w:t>
      </w:r>
      <w:r w:rsidRPr="22F06CF7">
        <w:rPr>
          <w:rFonts w:eastAsia="Times New Roman"/>
          <w:b/>
          <w:bCs/>
          <w:noProof/>
        </w:rPr>
        <w:t>differentiation of low-carbon industrial products from conventional ones</w:t>
      </w:r>
      <w:r w:rsidRPr="00515163">
        <w:rPr>
          <w:rFonts w:eastAsia="Times New Roman"/>
          <w:noProof/>
        </w:rPr>
        <w:t>,</w:t>
      </w:r>
      <w:r w:rsidRPr="22F06CF7">
        <w:rPr>
          <w:rFonts w:eastAsia="Times New Roman"/>
          <w:noProof/>
        </w:rPr>
        <w:t xml:space="preserve"> </w:t>
      </w:r>
      <w:r>
        <w:rPr>
          <w:rFonts w:eastAsia="Times New Roman"/>
          <w:noProof/>
        </w:rPr>
        <w:t>PO1</w:t>
      </w:r>
      <w:r w:rsidRPr="22F06CF7">
        <w:rPr>
          <w:rFonts w:eastAsia="Times New Roman"/>
          <w:noProof/>
        </w:rPr>
        <w:t xml:space="preserve"> develops a label on the carbon intensity of all energy intensive industrial products. </w:t>
      </w:r>
      <w:r>
        <w:rPr>
          <w:rFonts w:eastAsia="Times New Roman"/>
          <w:noProof/>
        </w:rPr>
        <w:t>It</w:t>
      </w:r>
      <w:r w:rsidRPr="22F06CF7">
        <w:rPr>
          <w:rFonts w:eastAsia="Times New Roman"/>
          <w:noProof/>
        </w:rPr>
        <w:t xml:space="preserve"> would have a demand-pull effect, encouraging energy-intensive companies to invest in low-carbon production processes. </w:t>
      </w:r>
    </w:p>
    <w:p w14:paraId="671A13F5" w14:textId="6635ECA9" w:rsidR="00285741" w:rsidRDefault="00285741">
      <w:pPr>
        <w:spacing w:after="240"/>
        <w:rPr>
          <w:rFonts w:eastAsia="Times New Roman"/>
          <w:noProof/>
        </w:rPr>
      </w:pPr>
      <w:r w:rsidRPr="2F82F2A2">
        <w:rPr>
          <w:rFonts w:eastAsia="Times New Roman"/>
          <w:noProof/>
        </w:rPr>
        <w:t>The label allows companies to gain a competitive edge by accessing new markets which require the use of such label</w:t>
      </w:r>
      <w:r>
        <w:rPr>
          <w:rFonts w:eastAsia="Times New Roman"/>
          <w:noProof/>
        </w:rPr>
        <w:t xml:space="preserve">, specifically those to be created under SO2 – Lead markets. This means the label can be used </w:t>
      </w:r>
      <w:r w:rsidRPr="2F82F2A2">
        <w:rPr>
          <w:rFonts w:eastAsia="Times New Roman"/>
          <w:noProof/>
        </w:rPr>
        <w:t>as a compliance instrument to meet the environmental requirements foreseen by public procurement rules or public incentives schemes</w:t>
      </w:r>
      <w:r>
        <w:rPr>
          <w:rFonts w:eastAsia="Times New Roman"/>
          <w:noProof/>
        </w:rPr>
        <w:t>, as analysed under SO2, measures LEAD</w:t>
      </w:r>
      <w:r w:rsidR="00A07249">
        <w:rPr>
          <w:rFonts w:eastAsia="Times New Roman"/>
          <w:noProof/>
        </w:rPr>
        <w:t>_</w:t>
      </w:r>
      <w:r>
        <w:rPr>
          <w:rFonts w:eastAsia="Times New Roman"/>
          <w:noProof/>
        </w:rPr>
        <w:t>EII 1, 2 and 3.</w:t>
      </w:r>
      <w:r w:rsidRPr="2F82F2A2">
        <w:rPr>
          <w:rFonts w:eastAsia="Times New Roman"/>
          <w:noProof/>
        </w:rPr>
        <w:t xml:space="preserve"> An EU wide label would also mean easier access to green finance or </w:t>
      </w:r>
      <w:r>
        <w:rPr>
          <w:rFonts w:eastAsia="Times New Roman"/>
          <w:noProof/>
        </w:rPr>
        <w:t>Environmental, Social and Governance (</w:t>
      </w:r>
      <w:r w:rsidRPr="2F82F2A2">
        <w:rPr>
          <w:rFonts w:eastAsia="Times New Roman"/>
          <w:noProof/>
        </w:rPr>
        <w:t>ESG</w:t>
      </w:r>
      <w:r>
        <w:rPr>
          <w:rFonts w:eastAsia="Times New Roman"/>
          <w:noProof/>
        </w:rPr>
        <w:t>)</w:t>
      </w:r>
      <w:r w:rsidRPr="2F82F2A2">
        <w:rPr>
          <w:rFonts w:eastAsia="Times New Roman"/>
          <w:noProof/>
        </w:rPr>
        <w:t>-linked loans.</w:t>
      </w:r>
    </w:p>
    <w:tbl>
      <w:tblPr>
        <w:tblStyle w:val="TableGrid"/>
        <w:tblW w:w="0" w:type="auto"/>
        <w:jc w:val="center"/>
        <w:tblInd w:w="0" w:type="dxa"/>
        <w:tblLayout w:type="fixed"/>
        <w:tblLook w:val="06A0" w:firstRow="1" w:lastRow="0" w:firstColumn="1" w:lastColumn="0" w:noHBand="1" w:noVBand="1"/>
      </w:tblPr>
      <w:tblGrid>
        <w:gridCol w:w="9014"/>
      </w:tblGrid>
      <w:tr w:rsidR="00285741" w14:paraId="3B026921" w14:textId="77777777">
        <w:trPr>
          <w:trHeight w:val="300"/>
          <w:jc w:val="center"/>
        </w:trPr>
        <w:tc>
          <w:tcPr>
            <w:tcW w:w="9014" w:type="dxa"/>
            <w:tcBorders>
              <w:top w:val="single" w:sz="4" w:space="0" w:color="auto"/>
              <w:left w:val="single" w:sz="4" w:space="0" w:color="auto"/>
              <w:bottom w:val="single" w:sz="4" w:space="0" w:color="auto"/>
              <w:right w:val="single" w:sz="4" w:space="0" w:color="auto"/>
            </w:tcBorders>
          </w:tcPr>
          <w:p w14:paraId="6E7C8B8C" w14:textId="77777777" w:rsidR="00285741" w:rsidRPr="00BE7E13" w:rsidRDefault="00285741" w:rsidP="00A51F40">
            <w:pPr>
              <w:rPr>
                <w:noProof/>
              </w:rPr>
            </w:pPr>
            <w:r>
              <w:rPr>
                <w:noProof/>
              </w:rPr>
              <w:t xml:space="preserve">61% (191 out of 314 respondents) to the </w:t>
            </w:r>
            <w:r w:rsidRPr="18F51CAC">
              <w:rPr>
                <w:b/>
                <w:noProof/>
              </w:rPr>
              <w:t>Public Consultation</w:t>
            </w:r>
            <w:r>
              <w:rPr>
                <w:noProof/>
              </w:rPr>
              <w:t xml:space="preserve"> support the introduction of an EU voluntary carbon intensity label, especially for its potential to boost transparency (n=195, 62%), differentiation (n=187, 60%), and uptake of green products (n=160, 51%).</w:t>
            </w:r>
          </w:p>
        </w:tc>
      </w:tr>
    </w:tbl>
    <w:p w14:paraId="6687E6C9" w14:textId="77777777" w:rsidR="00285741" w:rsidRDefault="00285741">
      <w:pPr>
        <w:spacing w:before="240" w:after="120"/>
        <w:rPr>
          <w:rFonts w:eastAsia="Times New Roman"/>
          <w:noProof/>
        </w:rPr>
      </w:pPr>
      <w:r w:rsidRPr="1AD09EA3">
        <w:rPr>
          <w:rFonts w:eastAsia="Times New Roman"/>
          <w:noProof/>
        </w:rPr>
        <w:t xml:space="preserve">Companies that wish to certify their products would incur costs related to monitoring, reporting and verifying, and certifying carbon emissions. </w:t>
      </w:r>
      <w:r>
        <w:rPr>
          <w:rFonts w:eastAsia="Times New Roman"/>
          <w:noProof/>
        </w:rPr>
        <w:t>Therefore, complementary monitoring, reporting and verification is needed</w:t>
      </w:r>
      <w:r w:rsidRPr="3D6CC63C">
        <w:rPr>
          <w:rFonts w:eastAsia="Times New Roman"/>
          <w:noProof/>
        </w:rPr>
        <w:t>.</w:t>
      </w:r>
      <w:r>
        <w:rPr>
          <w:rFonts w:eastAsia="Times New Roman"/>
          <w:noProof/>
        </w:rPr>
        <w:t xml:space="preserve"> </w:t>
      </w:r>
      <w:r w:rsidRPr="24118B0C">
        <w:rPr>
          <w:rFonts w:eastAsia="Times New Roman"/>
          <w:noProof/>
        </w:rPr>
        <w:t xml:space="preserve">For products where process emissions </w:t>
      </w:r>
      <w:r w:rsidRPr="0180B2F4">
        <w:rPr>
          <w:rFonts w:eastAsia="Times New Roman"/>
          <w:noProof/>
        </w:rPr>
        <w:t>represent the majority of the carbon footprint</w:t>
      </w:r>
      <w:r w:rsidRPr="1AD09EA3">
        <w:rPr>
          <w:rFonts w:eastAsia="Times New Roman"/>
          <w:noProof/>
        </w:rPr>
        <w:t>, these should be limited as companies are already obliged to do so under the EU ETS.</w:t>
      </w:r>
      <w:r>
        <w:rPr>
          <w:rFonts w:eastAsia="Times New Roman"/>
          <w:noProof/>
        </w:rPr>
        <w:t xml:space="preserve"> Likewise, if the companies that wish to certify their products are importers, they would have to face similar costs as those faced under the CBAM monitoring, reporting and verification.</w:t>
      </w:r>
    </w:p>
    <w:p w14:paraId="06AD9805" w14:textId="77777777" w:rsidR="00285741" w:rsidRDefault="00285741" w:rsidP="00A51F40">
      <w:pPr>
        <w:spacing w:after="120"/>
        <w:rPr>
          <w:rFonts w:eastAsia="Times New Roman"/>
          <w:noProof/>
        </w:rPr>
      </w:pPr>
      <w:r w:rsidRPr="78117C66">
        <w:rPr>
          <w:rFonts w:eastAsia="Times New Roman"/>
          <w:noProof/>
        </w:rPr>
        <w:t xml:space="preserve">At the same time, the </w:t>
      </w:r>
      <w:r>
        <w:rPr>
          <w:rFonts w:eastAsia="Times New Roman"/>
          <w:noProof/>
        </w:rPr>
        <w:t>administrative</w:t>
      </w:r>
      <w:r w:rsidRPr="78117C66">
        <w:rPr>
          <w:rFonts w:eastAsia="Times New Roman"/>
          <w:noProof/>
        </w:rPr>
        <w:t xml:space="preserve"> costs of setting up specific product-labels covering all </w:t>
      </w:r>
      <w:r>
        <w:rPr>
          <w:rFonts w:eastAsia="Times New Roman"/>
          <w:noProof/>
        </w:rPr>
        <w:t>EIIs</w:t>
      </w:r>
      <w:r w:rsidRPr="78117C66">
        <w:rPr>
          <w:rFonts w:eastAsia="Times New Roman"/>
          <w:noProof/>
        </w:rPr>
        <w:t xml:space="preserve"> would be substantial and would increase significantly the complexity of implementation for regulators. Given the </w:t>
      </w:r>
      <w:r>
        <w:rPr>
          <w:rFonts w:eastAsia="Times New Roman"/>
          <w:noProof/>
        </w:rPr>
        <w:t>heterogeneity</w:t>
      </w:r>
      <w:r w:rsidRPr="78117C66">
        <w:rPr>
          <w:rFonts w:eastAsia="Times New Roman"/>
          <w:noProof/>
        </w:rPr>
        <w:t xml:space="preserve"> and complexity of </w:t>
      </w:r>
      <w:r>
        <w:rPr>
          <w:rFonts w:eastAsia="Times New Roman"/>
          <w:noProof/>
        </w:rPr>
        <w:t>EIIs</w:t>
      </w:r>
      <w:r w:rsidRPr="78117C66">
        <w:rPr>
          <w:rFonts w:eastAsia="Times New Roman"/>
          <w:noProof/>
        </w:rPr>
        <w:t xml:space="preserve"> and their value chains, a very wide range of product labels could be envisaged. For instance, today under the EU ETS there are 54 product benchmarks, used to determine how many emission allowances installations receive for free. At least as many product label</w:t>
      </w:r>
      <w:r>
        <w:rPr>
          <w:rFonts w:eastAsia="Times New Roman"/>
          <w:noProof/>
        </w:rPr>
        <w:t>s</w:t>
      </w:r>
      <w:r w:rsidRPr="78117C66">
        <w:rPr>
          <w:rFonts w:eastAsia="Times New Roman"/>
          <w:noProof/>
        </w:rPr>
        <w:t xml:space="preserve"> would </w:t>
      </w:r>
      <w:r>
        <w:rPr>
          <w:rFonts w:eastAsia="Times New Roman"/>
          <w:noProof/>
        </w:rPr>
        <w:t>need to</w:t>
      </w:r>
      <w:r w:rsidRPr="78117C66">
        <w:rPr>
          <w:rFonts w:eastAsia="Times New Roman"/>
          <w:noProof/>
        </w:rPr>
        <w:t xml:space="preserve"> be developed, creating important administrative burden. These costs relate, amongst others, to </w:t>
      </w:r>
      <w:r w:rsidRPr="18F51CAC">
        <w:rPr>
          <w:rFonts w:eastAsia="Times New Roman"/>
          <w:noProof/>
        </w:rPr>
        <w:t>producing</w:t>
      </w:r>
      <w:r w:rsidRPr="78117C66">
        <w:rPr>
          <w:rFonts w:eastAsia="Times New Roman"/>
          <w:noProof/>
        </w:rPr>
        <w:t xml:space="preserve"> and maintain</w:t>
      </w:r>
      <w:r>
        <w:rPr>
          <w:rFonts w:eastAsia="Times New Roman"/>
          <w:noProof/>
        </w:rPr>
        <w:t>ing</w:t>
      </w:r>
      <w:r w:rsidRPr="78117C66">
        <w:rPr>
          <w:rFonts w:eastAsia="Times New Roman"/>
          <w:noProof/>
        </w:rPr>
        <w:t xml:space="preserve"> </w:t>
      </w:r>
      <w:r>
        <w:rPr>
          <w:rFonts w:eastAsia="Times New Roman"/>
          <w:noProof/>
        </w:rPr>
        <w:t xml:space="preserve">a </w:t>
      </w:r>
      <w:r w:rsidRPr="78117C66">
        <w:rPr>
          <w:rFonts w:eastAsia="Times New Roman"/>
          <w:noProof/>
        </w:rPr>
        <w:t xml:space="preserve">third-party verified carbon footprint certification system. </w:t>
      </w:r>
    </w:p>
    <w:p w14:paraId="4CADB9FA" w14:textId="043BC3D8" w:rsidR="00285741" w:rsidRDefault="00285741" w:rsidP="00A51F40">
      <w:pPr>
        <w:spacing w:after="120"/>
        <w:rPr>
          <w:noProof/>
        </w:rPr>
      </w:pPr>
      <w:r w:rsidRPr="00ED66AD">
        <w:rPr>
          <w:b/>
          <w:bCs/>
          <w:noProof/>
        </w:rPr>
        <w:t>LEAD_EII 1</w:t>
      </w:r>
      <w:r>
        <w:rPr>
          <w:noProof/>
        </w:rPr>
        <w:t xml:space="preserve"> introduces </w:t>
      </w:r>
      <w:r w:rsidRPr="00B13F77">
        <w:rPr>
          <w:b/>
          <w:bCs/>
          <w:noProof/>
        </w:rPr>
        <w:t>l</w:t>
      </w:r>
      <w:r w:rsidRPr="00B13F77">
        <w:rPr>
          <w:rFonts w:eastAsia="Calibri"/>
          <w:b/>
          <w:bCs/>
          <w:noProof/>
          <w:color w:val="000000" w:themeColor="text1"/>
        </w:rPr>
        <w:t>ow</w:t>
      </w:r>
      <w:r w:rsidR="00516D01">
        <w:rPr>
          <w:rFonts w:eastAsia="Calibri"/>
          <w:b/>
          <w:bCs/>
          <w:noProof/>
          <w:color w:val="000000" w:themeColor="text1"/>
        </w:rPr>
        <w:t>-</w:t>
      </w:r>
      <w:r w:rsidRPr="00B13F77">
        <w:rPr>
          <w:rFonts w:eastAsia="Calibri"/>
          <w:b/>
          <w:bCs/>
          <w:noProof/>
          <w:color w:val="000000" w:themeColor="text1"/>
        </w:rPr>
        <w:t>carbon requirements for EIIs materials used in construction and automotive in public procurement and public support schemes</w:t>
      </w:r>
      <w:r w:rsidRPr="0F100CDB">
        <w:rPr>
          <w:rFonts w:eastAsia="Calibri"/>
          <w:noProof/>
          <w:color w:val="000000" w:themeColor="text1"/>
        </w:rPr>
        <w:t xml:space="preserve">. </w:t>
      </w:r>
      <w:r w:rsidRPr="2F82F2A2">
        <w:rPr>
          <w:rFonts w:eastAsia="Calibri"/>
          <w:noProof/>
          <w:color w:val="000000" w:themeColor="text1"/>
        </w:rPr>
        <w:t xml:space="preserve">This measure </w:t>
      </w:r>
      <w:r>
        <w:rPr>
          <w:noProof/>
        </w:rPr>
        <w:t>provides increased security for EIIs to commit decarbonisation investments. The potential of low-carbon demand creation depends on the downstream sectors where the requirements would apply, and the role public procurement</w:t>
      </w:r>
      <w:r w:rsidR="00D54626">
        <w:rPr>
          <w:noProof/>
        </w:rPr>
        <w:t xml:space="preserve"> and public support schemes</w:t>
      </w:r>
      <w:r>
        <w:rPr>
          <w:noProof/>
        </w:rPr>
        <w:t xml:space="preserve"> play in those markets. </w:t>
      </w:r>
    </w:p>
    <w:p w14:paraId="3FC49492" w14:textId="06CAB2AE" w:rsidR="00285741" w:rsidRDefault="00285741" w:rsidP="00A51F40">
      <w:pPr>
        <w:spacing w:after="120"/>
        <w:rPr>
          <w:rFonts w:eastAsia="Times New Roman"/>
          <w:noProof/>
        </w:rPr>
      </w:pPr>
      <w:r>
        <w:rPr>
          <w:noProof/>
        </w:rPr>
        <w:lastRenderedPageBreak/>
        <w:t xml:space="preserve">In the </w:t>
      </w:r>
      <w:r w:rsidRPr="22F06CF7">
        <w:rPr>
          <w:b/>
          <w:bCs/>
          <w:noProof/>
        </w:rPr>
        <w:t>cement</w:t>
      </w:r>
      <w:r>
        <w:rPr>
          <w:noProof/>
        </w:rPr>
        <w:t xml:space="preserve"> industry, public procurement represents approximately 31% of the overall European cement market.</w:t>
      </w:r>
      <w:r w:rsidR="004E1448" w:rsidRPr="1A2A8689">
        <w:rPr>
          <w:rStyle w:val="FootnoteReference"/>
          <w:rFonts w:cs="Times New Roman"/>
          <w:noProof/>
        </w:rPr>
        <w:footnoteReference w:id="139"/>
      </w:r>
      <w:r>
        <w:rPr>
          <w:noProof/>
        </w:rPr>
        <w:t xml:space="preserve"> This significant share underscores the public sector’s leverage in securing the offtake of low-carbon cement in construction and infrastructure, driving broader market transformation within the cement industry.</w:t>
      </w:r>
      <w:r>
        <w:rPr>
          <w:rFonts w:eastAsia="Times New Roman"/>
          <w:noProof/>
        </w:rPr>
        <w:t xml:space="preserve"> </w:t>
      </w:r>
      <w:r w:rsidR="00066459">
        <w:rPr>
          <w:rFonts w:eastAsia="Times New Roman"/>
          <w:noProof/>
        </w:rPr>
        <w:t xml:space="preserve">In the </w:t>
      </w:r>
      <w:r w:rsidR="00066459" w:rsidRPr="00781511">
        <w:rPr>
          <w:rFonts w:eastAsia="Times New Roman"/>
          <w:b/>
          <w:bCs/>
          <w:noProof/>
        </w:rPr>
        <w:t>steel</w:t>
      </w:r>
      <w:r w:rsidR="00066459">
        <w:rPr>
          <w:rFonts w:eastAsia="Times New Roman"/>
          <w:noProof/>
        </w:rPr>
        <w:t xml:space="preserve"> industry, however, public </w:t>
      </w:r>
      <w:r w:rsidR="00774029">
        <w:rPr>
          <w:rFonts w:eastAsia="Times New Roman"/>
          <w:noProof/>
        </w:rPr>
        <w:t>p</w:t>
      </w:r>
      <w:r w:rsidRPr="3148FAAF">
        <w:rPr>
          <w:rFonts w:eastAsia="Times New Roman"/>
          <w:noProof/>
        </w:rPr>
        <w:t>rocurement</w:t>
      </w:r>
      <w:r w:rsidR="00BC2FAC">
        <w:rPr>
          <w:rFonts w:eastAsia="Times New Roman"/>
          <w:noProof/>
        </w:rPr>
        <w:t>,</w:t>
      </w:r>
      <w:r w:rsidRPr="3148FAAF">
        <w:rPr>
          <w:rFonts w:eastAsia="Times New Roman"/>
          <w:noProof/>
        </w:rPr>
        <w:t xml:space="preserve"> </w:t>
      </w:r>
      <w:r w:rsidRPr="00890901">
        <w:rPr>
          <w:rFonts w:eastAsia="Times New Roman"/>
          <w:noProof/>
        </w:rPr>
        <w:t>represents a smaller portion of the</w:t>
      </w:r>
      <w:r w:rsidR="00066459" w:rsidRPr="00890901">
        <w:rPr>
          <w:rFonts w:eastAsia="Times New Roman"/>
          <w:noProof/>
        </w:rPr>
        <w:t xml:space="preserve"> overall European</w:t>
      </w:r>
      <w:r w:rsidRPr="00890901">
        <w:rPr>
          <w:rFonts w:eastAsia="Times New Roman"/>
          <w:noProof/>
        </w:rPr>
        <w:t xml:space="preserve"> steel market, accounting for around 11% of apparent steel consumption in the EU.</w:t>
      </w:r>
      <w:r w:rsidRPr="00890901">
        <w:rPr>
          <w:rStyle w:val="FootnoteReference"/>
          <w:rFonts w:eastAsia="Times New Roman"/>
          <w:noProof/>
        </w:rPr>
        <w:footnoteReference w:id="140"/>
      </w:r>
      <w:r w:rsidRPr="00890901">
        <w:rPr>
          <w:rFonts w:eastAsia="Times New Roman"/>
          <w:noProof/>
        </w:rPr>
        <w:t xml:space="preserve"> </w:t>
      </w:r>
      <w:r w:rsidR="004A03CD" w:rsidRPr="00890901">
        <w:rPr>
          <w:rFonts w:eastAsia="Times New Roman"/>
          <w:noProof/>
        </w:rPr>
        <w:t>Aluminium</w:t>
      </w:r>
      <w:r w:rsidR="007F5A71" w:rsidRPr="00890901">
        <w:rPr>
          <w:rFonts w:eastAsia="Times New Roman"/>
          <w:noProof/>
        </w:rPr>
        <w:t xml:space="preserve"> is also used in </w:t>
      </w:r>
      <w:r w:rsidR="00F05512" w:rsidRPr="00890901">
        <w:rPr>
          <w:rFonts w:eastAsia="Times New Roman"/>
          <w:noProof/>
        </w:rPr>
        <w:t xml:space="preserve">public procurement </w:t>
      </w:r>
      <w:r w:rsidR="007F5A71" w:rsidRPr="00890901">
        <w:rPr>
          <w:rFonts w:eastAsia="Times New Roman"/>
          <w:noProof/>
        </w:rPr>
        <w:t>and</w:t>
      </w:r>
      <w:r w:rsidR="00F8009F" w:rsidRPr="00890901">
        <w:rPr>
          <w:rFonts w:eastAsia="Times New Roman"/>
          <w:noProof/>
        </w:rPr>
        <w:t xml:space="preserve"> it is</w:t>
      </w:r>
      <w:r w:rsidR="004A03CD" w:rsidRPr="00890901">
        <w:rPr>
          <w:rFonts w:eastAsia="Times New Roman"/>
          <w:noProof/>
        </w:rPr>
        <w:t xml:space="preserve"> a light-weight material </w:t>
      </w:r>
      <w:r w:rsidR="004A7439" w:rsidRPr="00890901">
        <w:rPr>
          <w:rFonts w:eastAsia="Times New Roman"/>
          <w:noProof/>
        </w:rPr>
        <w:t>whose</w:t>
      </w:r>
      <w:r w:rsidR="00EB2E2C" w:rsidRPr="00890901">
        <w:rPr>
          <w:rFonts w:eastAsia="Times New Roman"/>
          <w:noProof/>
        </w:rPr>
        <w:t xml:space="preserve"> </w:t>
      </w:r>
      <w:r w:rsidR="004A7439" w:rsidRPr="00890901">
        <w:rPr>
          <w:rFonts w:eastAsia="Times New Roman"/>
          <w:noProof/>
        </w:rPr>
        <w:t xml:space="preserve">demand </w:t>
      </w:r>
      <w:r w:rsidR="005B23C4" w:rsidRPr="00890901">
        <w:rPr>
          <w:rFonts w:eastAsia="Times New Roman"/>
          <w:noProof/>
        </w:rPr>
        <w:t xml:space="preserve">is </w:t>
      </w:r>
      <w:r w:rsidR="00BE49AE" w:rsidRPr="00890901">
        <w:rPr>
          <w:rFonts w:eastAsia="Times New Roman"/>
          <w:noProof/>
        </w:rPr>
        <w:t xml:space="preserve">increasing, </w:t>
      </w:r>
      <w:r w:rsidR="005B23C4" w:rsidRPr="00890901">
        <w:rPr>
          <w:rFonts w:eastAsia="Times New Roman"/>
          <w:noProof/>
        </w:rPr>
        <w:t>primarily</w:t>
      </w:r>
      <w:r w:rsidR="004A7439" w:rsidRPr="00890901">
        <w:rPr>
          <w:rFonts w:eastAsia="Times New Roman"/>
          <w:noProof/>
        </w:rPr>
        <w:t xml:space="preserve"> driven by</w:t>
      </w:r>
      <w:r w:rsidR="004C2959" w:rsidRPr="00890901">
        <w:rPr>
          <w:rFonts w:eastAsia="Times New Roman"/>
          <w:noProof/>
        </w:rPr>
        <w:t xml:space="preserve"> </w:t>
      </w:r>
      <w:r w:rsidR="00EB2E2C" w:rsidRPr="00890901">
        <w:rPr>
          <w:rFonts w:eastAsia="Times New Roman"/>
          <w:noProof/>
        </w:rPr>
        <w:t>automotive, building and construction and packaging.</w:t>
      </w:r>
      <w:r w:rsidR="00BE49AE" w:rsidRPr="00890901">
        <w:rPr>
          <w:rFonts w:eastAsia="Times New Roman"/>
          <w:noProof/>
        </w:rPr>
        <w:t xml:space="preserve"> </w:t>
      </w:r>
      <w:r w:rsidR="001C3864" w:rsidRPr="00890901">
        <w:rPr>
          <w:rFonts w:eastAsia="Times New Roman"/>
          <w:noProof/>
        </w:rPr>
        <w:t>More concretely, c</w:t>
      </w:r>
      <w:r w:rsidR="006B08E4" w:rsidRPr="00890901">
        <w:rPr>
          <w:rFonts w:eastAsia="Times New Roman"/>
          <w:noProof/>
        </w:rPr>
        <w:t xml:space="preserve">onsidering the high shares of vehicles </w:t>
      </w:r>
      <w:r w:rsidR="004303B7" w:rsidRPr="00890901">
        <w:rPr>
          <w:rFonts w:eastAsia="Times New Roman"/>
          <w:noProof/>
        </w:rPr>
        <w:t>benefitting from public support schemes</w:t>
      </w:r>
      <w:r w:rsidR="001C3864" w:rsidRPr="00890901">
        <w:rPr>
          <w:rFonts w:eastAsia="Times New Roman"/>
          <w:noProof/>
        </w:rPr>
        <w:t xml:space="preserve"> in the EU market</w:t>
      </w:r>
      <w:r w:rsidR="00E03584" w:rsidRPr="00890901">
        <w:rPr>
          <w:rFonts w:eastAsia="Times New Roman"/>
          <w:noProof/>
        </w:rPr>
        <w:t>,</w:t>
      </w:r>
      <w:r w:rsidR="00632972" w:rsidRPr="00890901">
        <w:rPr>
          <w:rFonts w:eastAsia="Times New Roman"/>
          <w:noProof/>
        </w:rPr>
        <w:t xml:space="preserve"> and the expected increase in aluminium shares </w:t>
      </w:r>
      <w:r w:rsidR="009159B4" w:rsidRPr="00890901">
        <w:rPr>
          <w:rFonts w:eastAsia="Times New Roman"/>
          <w:noProof/>
        </w:rPr>
        <w:t>in the future</w:t>
      </w:r>
      <w:r w:rsidR="00472816" w:rsidRPr="00890901">
        <w:rPr>
          <w:rStyle w:val="FootnoteReference"/>
          <w:rFonts w:eastAsia="Times New Roman"/>
          <w:noProof/>
        </w:rPr>
        <w:footnoteReference w:id="141"/>
      </w:r>
      <w:r w:rsidR="009159B4" w:rsidRPr="00890901">
        <w:rPr>
          <w:rFonts w:eastAsia="Times New Roman"/>
          <w:noProof/>
        </w:rPr>
        <w:t xml:space="preserve">, </w:t>
      </w:r>
      <w:r w:rsidR="000A343B" w:rsidRPr="00890901">
        <w:rPr>
          <w:rFonts w:eastAsia="Times New Roman"/>
          <w:noProof/>
        </w:rPr>
        <w:t>measures targeting public support schemes would</w:t>
      </w:r>
      <w:r w:rsidR="0039200B" w:rsidRPr="00890901">
        <w:rPr>
          <w:rFonts w:eastAsia="Times New Roman"/>
          <w:noProof/>
        </w:rPr>
        <w:t xml:space="preserve"> </w:t>
      </w:r>
      <w:r w:rsidR="001B3CD1" w:rsidRPr="00890901">
        <w:rPr>
          <w:rFonts w:eastAsia="Times New Roman"/>
          <w:noProof/>
        </w:rPr>
        <w:t xml:space="preserve">be key to </w:t>
      </w:r>
      <w:r w:rsidR="005D5C8E" w:rsidRPr="00890901">
        <w:rPr>
          <w:rFonts w:eastAsia="Times New Roman"/>
          <w:noProof/>
        </w:rPr>
        <w:t xml:space="preserve">unlock </w:t>
      </w:r>
      <w:r w:rsidR="0039200B" w:rsidRPr="00890901">
        <w:rPr>
          <w:rFonts w:eastAsia="Times New Roman"/>
          <w:noProof/>
        </w:rPr>
        <w:t xml:space="preserve">low-carbon </w:t>
      </w:r>
      <w:r w:rsidR="001B3CD1" w:rsidRPr="00890901">
        <w:rPr>
          <w:rFonts w:eastAsia="Times New Roman"/>
          <w:noProof/>
        </w:rPr>
        <w:t xml:space="preserve">aluminium </w:t>
      </w:r>
      <w:r w:rsidR="0039200B" w:rsidRPr="00890901">
        <w:rPr>
          <w:rFonts w:eastAsia="Times New Roman"/>
          <w:noProof/>
        </w:rPr>
        <w:t>demand</w:t>
      </w:r>
      <w:r w:rsidR="00E201C0" w:rsidRPr="00890901">
        <w:rPr>
          <w:rFonts w:eastAsia="Times New Roman"/>
          <w:noProof/>
        </w:rPr>
        <w:t>.</w:t>
      </w:r>
      <w:r w:rsidR="00BE49AE" w:rsidRPr="00890901">
        <w:rPr>
          <w:rFonts w:eastAsia="Times New Roman"/>
          <w:noProof/>
        </w:rPr>
        <w:t xml:space="preserve"> </w:t>
      </w:r>
      <w:r w:rsidR="005B23C4" w:rsidRPr="00890901">
        <w:rPr>
          <w:rFonts w:eastAsia="Times New Roman"/>
          <w:noProof/>
        </w:rPr>
        <w:t>Lead markets</w:t>
      </w:r>
      <w:r w:rsidRPr="00890901">
        <w:rPr>
          <w:rFonts w:eastAsia="Times New Roman"/>
          <w:noProof/>
        </w:rPr>
        <w:t xml:space="preserve"> measure provides a clear and predictable demand signal for low-carbon materials used in publicly funded projects. </w:t>
      </w:r>
      <w:r w:rsidR="0073589B" w:rsidRPr="00890901">
        <w:rPr>
          <w:rFonts w:eastAsia="Times New Roman"/>
          <w:noProof/>
        </w:rPr>
        <w:t>Steel</w:t>
      </w:r>
      <w:r w:rsidRPr="00890901">
        <w:rPr>
          <w:rFonts w:eastAsia="Times New Roman"/>
          <w:noProof/>
        </w:rPr>
        <w:t xml:space="preserve"> producers would be able to deliver certified low-carbon</w:t>
      </w:r>
      <w:r w:rsidRPr="00C914D9">
        <w:rPr>
          <w:rFonts w:eastAsia="Times New Roman"/>
          <w:noProof/>
        </w:rPr>
        <w:t xml:space="preserve"> steel to </w:t>
      </w:r>
      <w:r>
        <w:rPr>
          <w:rFonts w:eastAsia="Times New Roman"/>
          <w:noProof/>
        </w:rPr>
        <w:t>industrial consumers that will</w:t>
      </w:r>
      <w:r w:rsidRPr="00C914D9">
        <w:rPr>
          <w:rFonts w:eastAsia="Times New Roman"/>
          <w:noProof/>
        </w:rPr>
        <w:t xml:space="preserve"> benefit from </w:t>
      </w:r>
      <w:r>
        <w:rPr>
          <w:rFonts w:eastAsia="Times New Roman"/>
          <w:noProof/>
        </w:rPr>
        <w:t>more advantageous conditions</w:t>
      </w:r>
      <w:r w:rsidRPr="00C914D9">
        <w:rPr>
          <w:rFonts w:eastAsia="Times New Roman"/>
          <w:noProof/>
        </w:rPr>
        <w:t xml:space="preserve"> to public tenders</w:t>
      </w:r>
      <w:r>
        <w:rPr>
          <w:rFonts w:eastAsia="Times New Roman"/>
          <w:noProof/>
        </w:rPr>
        <w:t>,</w:t>
      </w:r>
      <w:r w:rsidRPr="00C914D9">
        <w:rPr>
          <w:rFonts w:eastAsia="Times New Roman"/>
          <w:noProof/>
        </w:rPr>
        <w:t xml:space="preserve"> and </w:t>
      </w:r>
      <w:r>
        <w:rPr>
          <w:rFonts w:eastAsia="Times New Roman"/>
          <w:noProof/>
        </w:rPr>
        <w:t xml:space="preserve">therefore </w:t>
      </w:r>
      <w:r w:rsidRPr="00C914D9">
        <w:rPr>
          <w:rFonts w:eastAsia="Times New Roman"/>
          <w:noProof/>
        </w:rPr>
        <w:t>an early market advantage</w:t>
      </w:r>
      <w:r>
        <w:rPr>
          <w:rFonts w:eastAsia="Times New Roman"/>
          <w:noProof/>
        </w:rPr>
        <w:t xml:space="preserve"> during their decarbonisation</w:t>
      </w:r>
      <w:r w:rsidRPr="00C914D9">
        <w:rPr>
          <w:rFonts w:eastAsia="Times New Roman"/>
          <w:noProof/>
        </w:rPr>
        <w:t>.</w:t>
      </w:r>
    </w:p>
    <w:p w14:paraId="73847C54" w14:textId="6A0AB992" w:rsidR="00285741" w:rsidRDefault="00285741">
      <w:pPr>
        <w:spacing w:after="240"/>
        <w:rPr>
          <w:rFonts w:eastAsia="Times New Roman"/>
          <w:noProof/>
        </w:rPr>
      </w:pPr>
      <w:r w:rsidRPr="22F06CF7">
        <w:rPr>
          <w:rFonts w:eastAsia="Times New Roman"/>
          <w:noProof/>
        </w:rPr>
        <w:t xml:space="preserve">The </w:t>
      </w:r>
      <w:r w:rsidRPr="003C1366">
        <w:rPr>
          <w:rFonts w:eastAsia="Times New Roman"/>
          <w:b/>
          <w:noProof/>
        </w:rPr>
        <w:t>automotive</w:t>
      </w:r>
      <w:r w:rsidRPr="22F06CF7">
        <w:rPr>
          <w:rFonts w:eastAsia="Times New Roman"/>
          <w:noProof/>
        </w:rPr>
        <w:t xml:space="preserve"> sector is expected to play a </w:t>
      </w:r>
      <w:r>
        <w:rPr>
          <w:rFonts w:eastAsia="Times New Roman"/>
          <w:noProof/>
        </w:rPr>
        <w:t>significant</w:t>
      </w:r>
      <w:r w:rsidRPr="22F06CF7">
        <w:rPr>
          <w:rFonts w:eastAsia="Times New Roman"/>
          <w:noProof/>
        </w:rPr>
        <w:t xml:space="preserve"> role in driving demand for low-carbon steel</w:t>
      </w:r>
      <w:r w:rsidR="00BE49AE">
        <w:rPr>
          <w:rFonts w:eastAsia="Times New Roman"/>
          <w:noProof/>
        </w:rPr>
        <w:t xml:space="preserve"> and aluminium, particularly </w:t>
      </w:r>
      <w:r w:rsidR="00303002">
        <w:rPr>
          <w:rFonts w:eastAsia="Times New Roman"/>
          <w:noProof/>
        </w:rPr>
        <w:t xml:space="preserve">due to </w:t>
      </w:r>
      <w:r w:rsidR="00303002" w:rsidRPr="00BE49AE">
        <w:rPr>
          <w:rFonts w:eastAsia="Times New Roman"/>
          <w:noProof/>
        </w:rPr>
        <w:t xml:space="preserve">lightweighting needs </w:t>
      </w:r>
      <w:r w:rsidR="00303002">
        <w:rPr>
          <w:rFonts w:eastAsia="Times New Roman"/>
          <w:noProof/>
        </w:rPr>
        <w:t>for</w:t>
      </w:r>
      <w:r w:rsidR="00303002" w:rsidRPr="00BE49AE">
        <w:rPr>
          <w:rFonts w:eastAsia="Times New Roman"/>
          <w:noProof/>
        </w:rPr>
        <w:t xml:space="preserve"> electrification in vehicles</w:t>
      </w:r>
      <w:r w:rsidRPr="22F06CF7">
        <w:rPr>
          <w:rFonts w:eastAsia="Times New Roman"/>
          <w:noProof/>
        </w:rPr>
        <w:t>. However, public procurem</w:t>
      </w:r>
      <w:r w:rsidR="007175AB">
        <w:rPr>
          <w:rFonts w:eastAsia="Times New Roman"/>
          <w:noProof/>
        </w:rPr>
        <w:t>ent</w:t>
      </w:r>
      <w:r w:rsidR="00C34581">
        <w:rPr>
          <w:rFonts w:eastAsia="Times New Roman"/>
          <w:noProof/>
        </w:rPr>
        <w:t xml:space="preserve"> </w:t>
      </w:r>
      <w:r w:rsidRPr="22F06CF7">
        <w:rPr>
          <w:rFonts w:eastAsia="Times New Roman"/>
          <w:noProof/>
        </w:rPr>
        <w:t>is not a huge market for the automotive sector, compared to building</w:t>
      </w:r>
      <w:r>
        <w:rPr>
          <w:rFonts w:eastAsia="Times New Roman"/>
          <w:noProof/>
        </w:rPr>
        <w:t>s</w:t>
      </w:r>
      <w:r w:rsidRPr="22F06CF7">
        <w:rPr>
          <w:rFonts w:eastAsia="Times New Roman"/>
          <w:noProof/>
        </w:rPr>
        <w:t xml:space="preserve"> and infrastructure. </w:t>
      </w:r>
      <w:r>
        <w:rPr>
          <w:rFonts w:eastAsia="Times New Roman"/>
          <w:noProof/>
        </w:rPr>
        <w:t>O</w:t>
      </w:r>
      <w:r w:rsidRPr="2F82F2A2">
        <w:rPr>
          <w:rFonts w:eastAsia="Times New Roman"/>
          <w:noProof/>
        </w:rPr>
        <w:t>f the approximately 15</w:t>
      </w:r>
      <w:r>
        <w:rPr>
          <w:rFonts w:eastAsia="Times New Roman"/>
          <w:noProof/>
        </w:rPr>
        <w:t xml:space="preserve"> </w:t>
      </w:r>
      <w:r w:rsidRPr="2F82F2A2">
        <w:rPr>
          <w:rFonts w:eastAsia="Times New Roman"/>
          <w:noProof/>
        </w:rPr>
        <w:t>million passenger cars registered in the EU in 2018, only 0.5% to 3.5% were procured for public sector fleets.</w:t>
      </w:r>
      <w:r w:rsidR="00E82215">
        <w:rPr>
          <w:rStyle w:val="FootnoteReference"/>
          <w:rFonts w:eastAsia="Times New Roman"/>
          <w:noProof/>
        </w:rPr>
        <w:footnoteReference w:id="142"/>
      </w:r>
      <w:r w:rsidRPr="2F82F2A2">
        <w:rPr>
          <w:rStyle w:val="FootnoteReference"/>
          <w:rFonts w:eastAsia="Times New Roman"/>
          <w:noProof/>
        </w:rPr>
        <w:t xml:space="preserve"> </w:t>
      </w:r>
      <w:r w:rsidRPr="22F06CF7">
        <w:rPr>
          <w:rFonts w:eastAsia="Times New Roman"/>
          <w:noProof/>
        </w:rPr>
        <w:t xml:space="preserve">Therefore, measures </w:t>
      </w:r>
      <w:r>
        <w:rPr>
          <w:rFonts w:eastAsia="Times New Roman"/>
          <w:noProof/>
        </w:rPr>
        <w:t xml:space="preserve">targeting the </w:t>
      </w:r>
      <w:r w:rsidRPr="22F06CF7">
        <w:rPr>
          <w:rFonts w:eastAsia="Times New Roman"/>
          <w:noProof/>
        </w:rPr>
        <w:t xml:space="preserve">public </w:t>
      </w:r>
      <w:r>
        <w:rPr>
          <w:rFonts w:eastAsia="Times New Roman"/>
          <w:noProof/>
        </w:rPr>
        <w:t>sector</w:t>
      </w:r>
      <w:r w:rsidRPr="22F06CF7">
        <w:rPr>
          <w:rFonts w:eastAsia="Times New Roman"/>
          <w:noProof/>
        </w:rPr>
        <w:t xml:space="preserve"> alone are likely to have </w:t>
      </w:r>
      <w:r w:rsidR="00D446AF">
        <w:rPr>
          <w:rFonts w:eastAsia="Times New Roman"/>
          <w:noProof/>
        </w:rPr>
        <w:t xml:space="preserve">a </w:t>
      </w:r>
      <w:r w:rsidRPr="22F06CF7">
        <w:rPr>
          <w:rFonts w:eastAsia="Times New Roman"/>
          <w:noProof/>
        </w:rPr>
        <w:t>limited impact on driving low-carbon demand for steel</w:t>
      </w:r>
      <w:r w:rsidR="00303002">
        <w:rPr>
          <w:rFonts w:eastAsia="Times New Roman"/>
          <w:noProof/>
        </w:rPr>
        <w:t xml:space="preserve"> and aluminium</w:t>
      </w:r>
      <w:r w:rsidRPr="2F82F2A2">
        <w:rPr>
          <w:rFonts w:eastAsia="Times New Roman"/>
          <w:noProof/>
        </w:rPr>
        <w:t xml:space="preserve">. </w:t>
      </w:r>
      <w:r>
        <w:rPr>
          <w:rFonts w:eastAsia="Times New Roman"/>
          <w:noProof/>
        </w:rPr>
        <w:t>T</w:t>
      </w:r>
      <w:r w:rsidRPr="2F82F2A2">
        <w:rPr>
          <w:rFonts w:eastAsia="Times New Roman"/>
          <w:noProof/>
        </w:rPr>
        <w:t>he situation is different regarding public incentives and support schemes in the Member States</w:t>
      </w:r>
      <w:r>
        <w:rPr>
          <w:rFonts w:eastAsia="Times New Roman"/>
          <w:noProof/>
        </w:rPr>
        <w:t xml:space="preserve">, where according to internal Commission analysis </w:t>
      </w:r>
      <w:r w:rsidRPr="00AA0A98">
        <w:rPr>
          <w:rFonts w:eastAsia="Times New Roman"/>
          <w:noProof/>
        </w:rPr>
        <w:t xml:space="preserve">70% </w:t>
      </w:r>
      <w:r>
        <w:rPr>
          <w:rFonts w:eastAsia="Times New Roman"/>
          <w:noProof/>
        </w:rPr>
        <w:t xml:space="preserve">of the automotive market benefits of some sort of </w:t>
      </w:r>
      <w:r w:rsidRPr="00AA0A98">
        <w:rPr>
          <w:rFonts w:eastAsia="Times New Roman"/>
          <w:noProof/>
        </w:rPr>
        <w:t>support schemes</w:t>
      </w:r>
      <w:r w:rsidR="00781511">
        <w:rPr>
          <w:rFonts w:eastAsia="Times New Roman"/>
          <w:noProof/>
        </w:rPr>
        <w:t xml:space="preserve"> across the EU</w:t>
      </w:r>
      <w:r w:rsidRPr="2F82F2A2" w:rsidDel="00041B2A">
        <w:rPr>
          <w:rFonts w:eastAsia="Times New Roman"/>
          <w:noProof/>
        </w:rPr>
        <w:t xml:space="preserve">. </w:t>
      </w:r>
      <w:r>
        <w:rPr>
          <w:rFonts w:eastAsia="Times New Roman"/>
          <w:noProof/>
        </w:rPr>
        <w:t>Only corporate vehicles registrations make up around 60% of car registrations in the EU</w:t>
      </w:r>
      <w:r w:rsidR="00570DE0">
        <w:rPr>
          <w:rFonts w:eastAsia="Times New Roman"/>
          <w:noProof/>
        </w:rPr>
        <w:t>.</w:t>
      </w:r>
      <w:r w:rsidR="00570DE0">
        <w:rPr>
          <w:rStyle w:val="FootnoteReference"/>
          <w:rFonts w:eastAsia="Times New Roman"/>
          <w:noProof/>
        </w:rPr>
        <w:footnoteReference w:id="143"/>
      </w:r>
    </w:p>
    <w:p w14:paraId="3711E628" w14:textId="2682E653" w:rsidR="00C47957" w:rsidRPr="00890901" w:rsidRDefault="0077714B" w:rsidP="00C649CD">
      <w:pPr>
        <w:spacing w:after="120"/>
        <w:rPr>
          <w:rFonts w:eastAsia="Times New Roman"/>
          <w:noProof/>
        </w:rPr>
      </w:pPr>
      <w:r w:rsidRPr="00890901">
        <w:rPr>
          <w:rFonts w:eastAsia="Times New Roman"/>
          <w:noProof/>
        </w:rPr>
        <w:t>I</w:t>
      </w:r>
      <w:r w:rsidR="00781511" w:rsidRPr="00890901">
        <w:rPr>
          <w:rFonts w:eastAsia="Times New Roman"/>
          <w:noProof/>
        </w:rPr>
        <w:t xml:space="preserve">ntroducing targets for the use of </w:t>
      </w:r>
      <w:r w:rsidR="00C649CD" w:rsidRPr="00890901">
        <w:rPr>
          <w:rFonts w:eastAsia="Times New Roman"/>
          <w:noProof/>
        </w:rPr>
        <w:t xml:space="preserve">low-carbon </w:t>
      </w:r>
      <w:r w:rsidR="00781511" w:rsidRPr="00890901">
        <w:rPr>
          <w:rFonts w:eastAsia="Times New Roman"/>
          <w:noProof/>
        </w:rPr>
        <w:t>materials</w:t>
      </w:r>
      <w:r w:rsidR="00C649CD" w:rsidRPr="00890901">
        <w:rPr>
          <w:rFonts w:eastAsia="Times New Roman"/>
          <w:noProof/>
        </w:rPr>
        <w:t xml:space="preserve"> in the construction and automotive sector</w:t>
      </w:r>
      <w:r w:rsidR="003420C5" w:rsidRPr="00890901">
        <w:rPr>
          <w:rFonts w:eastAsia="Times New Roman"/>
          <w:noProof/>
        </w:rPr>
        <w:t xml:space="preserve"> would allow </w:t>
      </w:r>
      <w:r w:rsidR="00E45496" w:rsidRPr="00890901">
        <w:rPr>
          <w:rFonts w:eastAsia="Times New Roman"/>
          <w:noProof/>
        </w:rPr>
        <w:t xml:space="preserve">the steel and aluminium sectors </w:t>
      </w:r>
      <w:r w:rsidR="002C4563" w:rsidRPr="00890901">
        <w:rPr>
          <w:rFonts w:eastAsia="Times New Roman"/>
          <w:noProof/>
        </w:rPr>
        <w:t xml:space="preserve">to gain a green premium, </w:t>
      </w:r>
      <w:r w:rsidR="007113F4" w:rsidRPr="00890901">
        <w:rPr>
          <w:rFonts w:eastAsia="Times New Roman"/>
          <w:noProof/>
        </w:rPr>
        <w:t xml:space="preserve">which will partially be passed </w:t>
      </w:r>
      <w:r w:rsidR="00AC7DE2" w:rsidRPr="00890901">
        <w:rPr>
          <w:rFonts w:eastAsia="Times New Roman"/>
          <w:noProof/>
        </w:rPr>
        <w:t xml:space="preserve">on into </w:t>
      </w:r>
      <w:r w:rsidR="00AA4837" w:rsidRPr="00890901">
        <w:rPr>
          <w:rFonts w:eastAsia="Times New Roman"/>
          <w:noProof/>
        </w:rPr>
        <w:t>the price of</w:t>
      </w:r>
      <w:r w:rsidR="00C649CD" w:rsidRPr="00890901">
        <w:rPr>
          <w:rFonts w:eastAsia="Times New Roman"/>
          <w:noProof/>
        </w:rPr>
        <w:t xml:space="preserve"> final products</w:t>
      </w:r>
      <w:r w:rsidR="00A4620E" w:rsidRPr="00890901">
        <w:rPr>
          <w:rFonts w:eastAsia="Times New Roman"/>
          <w:noProof/>
        </w:rPr>
        <w:t xml:space="preserve"> </w:t>
      </w:r>
      <w:r w:rsidR="00C649CD" w:rsidRPr="00890901">
        <w:rPr>
          <w:rFonts w:eastAsia="Times New Roman"/>
          <w:noProof/>
        </w:rPr>
        <w:t>(see Section 6.1.1.2)</w:t>
      </w:r>
      <w:r w:rsidR="00AC7DE2" w:rsidRPr="00890901">
        <w:rPr>
          <w:rFonts w:eastAsia="Times New Roman"/>
          <w:noProof/>
        </w:rPr>
        <w:t>. As a result,</w:t>
      </w:r>
      <w:r w:rsidR="00C649CD" w:rsidRPr="00890901">
        <w:rPr>
          <w:rFonts w:eastAsia="Times New Roman"/>
          <w:noProof/>
        </w:rPr>
        <w:t xml:space="preserve"> the steel and aluminium sectors could see an improvement of their sector’s value added. The benefits could reach </w:t>
      </w:r>
      <w:r w:rsidR="00C649CD" w:rsidRPr="00890901">
        <w:rPr>
          <w:rFonts w:eastAsia="Times New Roman"/>
          <w:b/>
          <w:noProof/>
        </w:rPr>
        <w:t>EUR 686 million for the three EIIs</w:t>
      </w:r>
      <w:r w:rsidR="00C649CD" w:rsidRPr="00890901">
        <w:rPr>
          <w:rFonts w:eastAsia="Times New Roman"/>
          <w:noProof/>
        </w:rPr>
        <w:t xml:space="preserve"> (steel and aluminium EUR 241 million – 0.35%, cement EUR 445 million or 0.65%) combined throughout the EU, in 2030 compared to the baseline year</w:t>
      </w:r>
      <w:r w:rsidR="00E868AD" w:rsidRPr="00890901">
        <w:rPr>
          <w:rFonts w:eastAsia="Times New Roman"/>
          <w:noProof/>
        </w:rPr>
        <w:t>.</w:t>
      </w:r>
      <w:r w:rsidR="00C649CD" w:rsidRPr="00890901">
        <w:rPr>
          <w:rStyle w:val="FootnoteReference"/>
          <w:rFonts w:eastAsia="Times New Roman"/>
          <w:noProof/>
        </w:rPr>
        <w:footnoteReference w:id="144"/>
      </w:r>
      <w:r w:rsidR="00C649CD" w:rsidRPr="00890901">
        <w:rPr>
          <w:rFonts w:eastAsia="Times New Roman"/>
          <w:noProof/>
        </w:rPr>
        <w:t xml:space="preserve"> </w:t>
      </w:r>
    </w:p>
    <w:p w14:paraId="7498EA1D" w14:textId="0390E0C8" w:rsidR="00C649CD" w:rsidRPr="00890901" w:rsidRDefault="00C47957" w:rsidP="001F0ACF">
      <w:pPr>
        <w:spacing w:after="120"/>
        <w:rPr>
          <w:rFonts w:eastAsia="Times New Roman"/>
          <w:noProof/>
        </w:rPr>
      </w:pPr>
      <w:r w:rsidRPr="00890901">
        <w:rPr>
          <w:rFonts w:eastAsia="Times New Roman"/>
          <w:noProof/>
        </w:rPr>
        <w:t xml:space="preserve">This predictability of future demand for low-carbon </w:t>
      </w:r>
      <w:r w:rsidR="00AA4837" w:rsidRPr="00890901">
        <w:rPr>
          <w:rFonts w:eastAsia="Times New Roman"/>
          <w:noProof/>
        </w:rPr>
        <w:t xml:space="preserve">materials </w:t>
      </w:r>
      <w:r w:rsidRPr="00890901">
        <w:rPr>
          <w:rFonts w:eastAsia="Times New Roman"/>
          <w:noProof/>
        </w:rPr>
        <w:t xml:space="preserve">can help absorb part of the investment’s costs from the low-carbon technologies and has a high potential to further push investment decisions towards decarbonisation. As a matter of example, in the EU steel sector, there are currently at least 29 announced steel decarbonisation projects, with a combined potential capacity of additional 41 Mtonnes of low-carbon steel per year by 2030, that have not yet reached the final investment stage. To that end, the proposed lead market measures, based </w:t>
      </w:r>
      <w:r w:rsidRPr="00890901">
        <w:rPr>
          <w:rFonts w:eastAsia="Times New Roman"/>
          <w:noProof/>
        </w:rPr>
        <w:lastRenderedPageBreak/>
        <w:t>on the current project pipeline, could unlock up to EUR 15.5 billion in investments</w:t>
      </w:r>
      <w:r w:rsidRPr="00890901">
        <w:rPr>
          <w:rStyle w:val="FootnoteReference"/>
          <w:rFonts w:eastAsia="Times New Roman"/>
          <w:noProof/>
        </w:rPr>
        <w:footnoteReference w:id="145"/>
      </w:r>
      <w:r w:rsidRPr="00890901">
        <w:rPr>
          <w:rFonts w:eastAsia="Times New Roman"/>
          <w:noProof/>
        </w:rPr>
        <w:t xml:space="preserve"> covering approximately 15% of the sector’s EUR 100 billion total investment need by 20</w:t>
      </w:r>
      <w:r w:rsidR="00A34B34">
        <w:rPr>
          <w:rFonts w:eastAsia="Times New Roman"/>
          <w:noProof/>
        </w:rPr>
        <w:t>50</w:t>
      </w:r>
      <w:r w:rsidRPr="00890901">
        <w:rPr>
          <w:rFonts w:eastAsia="Times New Roman"/>
          <w:noProof/>
        </w:rPr>
        <w:t xml:space="preserve">, as estimated </w:t>
      </w:r>
      <w:r w:rsidR="009C72D8">
        <w:rPr>
          <w:rFonts w:eastAsia="Times New Roman"/>
          <w:noProof/>
        </w:rPr>
        <w:t>in the impact assessment</w:t>
      </w:r>
      <w:r w:rsidR="00A121CC">
        <w:rPr>
          <w:rFonts w:eastAsia="Times New Roman"/>
          <w:noProof/>
        </w:rPr>
        <w:t xml:space="preserve"> </w:t>
      </w:r>
      <w:r w:rsidR="009C72D8">
        <w:rPr>
          <w:rFonts w:eastAsia="Times New Roman"/>
          <w:noProof/>
        </w:rPr>
        <w:t xml:space="preserve">forthe 2040 </w:t>
      </w:r>
      <w:r w:rsidR="00FB349B">
        <w:rPr>
          <w:rFonts w:eastAsia="Times New Roman"/>
          <w:noProof/>
        </w:rPr>
        <w:t>C</w:t>
      </w:r>
      <w:r w:rsidR="009C72D8">
        <w:rPr>
          <w:rFonts w:eastAsia="Times New Roman"/>
          <w:noProof/>
        </w:rPr>
        <w:t xml:space="preserve">limate </w:t>
      </w:r>
      <w:r w:rsidR="00FB349B">
        <w:rPr>
          <w:rFonts w:eastAsia="Times New Roman"/>
          <w:noProof/>
        </w:rPr>
        <w:t>T</w:t>
      </w:r>
      <w:r w:rsidR="009C72D8">
        <w:rPr>
          <w:rFonts w:eastAsia="Times New Roman"/>
          <w:noProof/>
        </w:rPr>
        <w:t>arget</w:t>
      </w:r>
      <w:r w:rsidR="00FB349B">
        <w:rPr>
          <w:rFonts w:eastAsia="Times New Roman"/>
          <w:noProof/>
        </w:rPr>
        <w:t xml:space="preserve"> Impact Assessment</w:t>
      </w:r>
      <w:r w:rsidR="009C72D8">
        <w:rPr>
          <w:rFonts w:eastAsia="Times New Roman"/>
          <w:noProof/>
        </w:rPr>
        <w:t>.</w:t>
      </w:r>
      <w:r w:rsidR="00345341" w:rsidRPr="00345341">
        <w:rPr>
          <w:rStyle w:val="FootnoteReference"/>
          <w:bCs/>
          <w:noProof/>
        </w:rPr>
        <w:t xml:space="preserve"> </w:t>
      </w:r>
      <w:r w:rsidR="007173D9">
        <w:rPr>
          <w:rStyle w:val="FootnoteReference"/>
          <w:bCs/>
          <w:noProof/>
        </w:rPr>
        <w:footnoteReference w:id="146"/>
      </w:r>
      <w:r w:rsidR="007173D9">
        <w:rPr>
          <w:bCs/>
          <w:noProof/>
          <w:vertAlign w:val="superscript"/>
        </w:rPr>
        <w:t>,</w:t>
      </w:r>
      <w:r w:rsidR="00345341">
        <w:rPr>
          <w:noProof/>
          <w:vertAlign w:val="superscript"/>
        </w:rPr>
        <w:t xml:space="preserve"> </w:t>
      </w:r>
      <w:r w:rsidR="00345341" w:rsidRPr="003A6409">
        <w:rPr>
          <w:rStyle w:val="FootnoteReference"/>
          <w:bCs/>
          <w:noProof/>
        </w:rPr>
        <w:footnoteReference w:id="147"/>
      </w:r>
    </w:p>
    <w:p w14:paraId="3CA293CF" w14:textId="77777777" w:rsidR="00285741" w:rsidRPr="00BE7E13" w:rsidRDefault="00285741">
      <w:pPr>
        <w:pBdr>
          <w:top w:val="single" w:sz="4" w:space="1" w:color="000000"/>
          <w:left w:val="single" w:sz="4" w:space="1" w:color="000000"/>
          <w:bottom w:val="single" w:sz="4" w:space="1" w:color="000000"/>
          <w:right w:val="single" w:sz="4" w:space="4" w:color="000000"/>
        </w:pBdr>
        <w:spacing w:after="120"/>
        <w:rPr>
          <w:rFonts w:eastAsia="Times New Roman"/>
          <w:noProof/>
          <w:sz w:val="20"/>
          <w:szCs w:val="20"/>
        </w:rPr>
      </w:pPr>
      <w:r w:rsidRPr="00890901">
        <w:rPr>
          <w:rFonts w:eastAsia="Times New Roman"/>
          <w:noProof/>
          <w:sz w:val="20"/>
          <w:szCs w:val="20"/>
        </w:rPr>
        <w:t xml:space="preserve">Results from the </w:t>
      </w:r>
      <w:r w:rsidRPr="00890901">
        <w:rPr>
          <w:rFonts w:eastAsia="Times New Roman"/>
          <w:b/>
          <w:bCs/>
          <w:noProof/>
          <w:sz w:val="20"/>
          <w:szCs w:val="20"/>
        </w:rPr>
        <w:t>Public Consultation</w:t>
      </w:r>
      <w:r w:rsidRPr="00890901">
        <w:rPr>
          <w:rFonts w:eastAsia="Times New Roman"/>
          <w:noProof/>
          <w:sz w:val="20"/>
          <w:szCs w:val="20"/>
        </w:rPr>
        <w:t xml:space="preserve"> show that here is</w:t>
      </w:r>
      <w:r w:rsidRPr="00BE7E13">
        <w:rPr>
          <w:rFonts w:eastAsia="Times New Roman"/>
          <w:noProof/>
          <w:sz w:val="20"/>
          <w:szCs w:val="20"/>
        </w:rPr>
        <w:t xml:space="preserve"> widespread support (</w:t>
      </w:r>
      <w:r>
        <w:rPr>
          <w:rFonts w:eastAsia="Times New Roman"/>
          <w:noProof/>
          <w:sz w:val="20"/>
          <w:szCs w:val="20"/>
        </w:rPr>
        <w:t>n=</w:t>
      </w:r>
      <w:r w:rsidRPr="00BE7E13">
        <w:rPr>
          <w:rFonts w:eastAsia="Times New Roman"/>
          <w:noProof/>
          <w:sz w:val="20"/>
          <w:szCs w:val="20"/>
        </w:rPr>
        <w:t>280, 89%) for stimulating demand for clean industrial products, including through public procurement (</w:t>
      </w:r>
      <w:r>
        <w:rPr>
          <w:rFonts w:eastAsia="Times New Roman"/>
          <w:noProof/>
          <w:sz w:val="20"/>
          <w:szCs w:val="20"/>
        </w:rPr>
        <w:t>n=</w:t>
      </w:r>
      <w:r w:rsidRPr="00BE7E13">
        <w:rPr>
          <w:rFonts w:eastAsia="Times New Roman"/>
          <w:noProof/>
          <w:sz w:val="20"/>
          <w:szCs w:val="20"/>
        </w:rPr>
        <w:t>259, 82%) and voluntary EU labelling (</w:t>
      </w:r>
      <w:r>
        <w:rPr>
          <w:rFonts w:eastAsia="Times New Roman"/>
          <w:noProof/>
          <w:sz w:val="20"/>
          <w:szCs w:val="20"/>
        </w:rPr>
        <w:t>n=</w:t>
      </w:r>
      <w:r w:rsidRPr="00BE7E13">
        <w:rPr>
          <w:rFonts w:eastAsia="Times New Roman"/>
          <w:noProof/>
          <w:sz w:val="20"/>
          <w:szCs w:val="20"/>
        </w:rPr>
        <w:t xml:space="preserve">191, 61%). </w:t>
      </w:r>
    </w:p>
    <w:p w14:paraId="440D3840" w14:textId="77777777" w:rsidR="00285741" w:rsidRPr="000272AD" w:rsidRDefault="00285741">
      <w:pPr>
        <w:pBdr>
          <w:top w:val="single" w:sz="4" w:space="1" w:color="000000"/>
          <w:left w:val="single" w:sz="4" w:space="1" w:color="000000"/>
          <w:bottom w:val="single" w:sz="4" w:space="1" w:color="000000"/>
          <w:right w:val="single" w:sz="4" w:space="4" w:color="000000"/>
        </w:pBdr>
        <w:spacing w:after="120"/>
        <w:rPr>
          <w:rFonts w:eastAsia="Times New Roman"/>
          <w:noProof/>
          <w:sz w:val="20"/>
          <w:szCs w:val="20"/>
        </w:rPr>
      </w:pPr>
      <w:r w:rsidRPr="00BE7E13">
        <w:rPr>
          <w:rFonts w:eastAsia="Times New Roman"/>
          <w:noProof/>
          <w:sz w:val="20"/>
          <w:szCs w:val="20"/>
        </w:rPr>
        <w:t xml:space="preserve">As part of the </w:t>
      </w:r>
      <w:r w:rsidRPr="00BE7E13">
        <w:rPr>
          <w:rFonts w:eastAsia="Times New Roman"/>
          <w:b/>
          <w:bCs/>
          <w:noProof/>
          <w:sz w:val="20"/>
          <w:szCs w:val="20"/>
        </w:rPr>
        <w:t>targeted stakeholder consultation (EIIs)</w:t>
      </w:r>
      <w:r w:rsidRPr="00BE7E13">
        <w:rPr>
          <w:rFonts w:eastAsia="Times New Roman"/>
          <w:noProof/>
          <w:sz w:val="20"/>
          <w:szCs w:val="20"/>
        </w:rPr>
        <w:t xml:space="preserve">, out of the 62 total replies, 90% agreed that measures to stimulate demand for low-carbon industrial products are essential to drive decarbonisation. </w:t>
      </w:r>
      <w:r w:rsidRPr="000272AD">
        <w:rPr>
          <w:rFonts w:eastAsia="Times New Roman"/>
          <w:noProof/>
          <w:sz w:val="20"/>
          <w:szCs w:val="20"/>
        </w:rPr>
        <w:t>Only 4 respondents (6%) disagreed</w:t>
      </w:r>
      <w:r>
        <w:rPr>
          <w:rFonts w:eastAsia="Times New Roman"/>
          <w:noProof/>
          <w:sz w:val="20"/>
          <w:szCs w:val="20"/>
        </w:rPr>
        <w:t>.</w:t>
      </w:r>
      <w:r w:rsidRPr="000272AD">
        <w:rPr>
          <w:rStyle w:val="FootnoteReference"/>
          <w:rFonts w:eastAsia="Times New Roman"/>
          <w:noProof/>
          <w:sz w:val="20"/>
          <w:szCs w:val="20"/>
        </w:rPr>
        <w:footnoteReference w:id="148"/>
      </w:r>
    </w:p>
    <w:p w14:paraId="4A33D71A" w14:textId="77777777" w:rsidR="00285741" w:rsidRPr="009E3193" w:rsidRDefault="00285741">
      <w:pPr>
        <w:pBdr>
          <w:top w:val="single" w:sz="4" w:space="1" w:color="000000"/>
          <w:left w:val="single" w:sz="4" w:space="1" w:color="000000"/>
          <w:bottom w:val="single" w:sz="4" w:space="1" w:color="000000"/>
          <w:right w:val="single" w:sz="4" w:space="4" w:color="000000"/>
        </w:pBdr>
        <w:spacing w:after="120"/>
        <w:rPr>
          <w:rFonts w:eastAsia="Times New Roman"/>
          <w:noProof/>
          <w:sz w:val="16"/>
          <w:szCs w:val="16"/>
        </w:rPr>
      </w:pPr>
      <w:r w:rsidRPr="00BE7E13">
        <w:rPr>
          <w:rFonts w:eastAsia="Times New Roman"/>
          <w:noProof/>
          <w:sz w:val="20"/>
          <w:szCs w:val="20"/>
        </w:rPr>
        <w:t xml:space="preserve">In the </w:t>
      </w:r>
      <w:r w:rsidRPr="00BE7E13">
        <w:rPr>
          <w:rFonts w:eastAsia="Times New Roman"/>
          <w:b/>
          <w:bCs/>
          <w:noProof/>
          <w:sz w:val="20"/>
          <w:szCs w:val="20"/>
        </w:rPr>
        <w:t>non-ferrous metals</w:t>
      </w:r>
      <w:r w:rsidRPr="00BE7E13">
        <w:rPr>
          <w:rFonts w:eastAsia="Times New Roman"/>
          <w:noProof/>
          <w:sz w:val="20"/>
          <w:szCs w:val="20"/>
        </w:rPr>
        <w:t xml:space="preserve"> sector, all 5 respondents raised serious concerns about substitution risks. In price-sensitive markets (automotive, packaging, construction), there is potential for users to switch from low-carbon aluminium or copper to cheaper, higher-emission alternatives like steel or plastic. </w:t>
      </w:r>
      <w:r w:rsidRPr="00BE7E13">
        <w:rPr>
          <w:rFonts w:eastAsia="Times New Roman"/>
          <w:b/>
          <w:bCs/>
          <w:noProof/>
          <w:sz w:val="20"/>
          <w:szCs w:val="20"/>
        </w:rPr>
        <w:t>Steel stakeholders</w:t>
      </w:r>
      <w:r w:rsidRPr="00BE7E13">
        <w:rPr>
          <w:rFonts w:eastAsia="Times New Roman"/>
          <w:noProof/>
          <w:sz w:val="20"/>
          <w:szCs w:val="20"/>
        </w:rPr>
        <w:t xml:space="preserve"> acknowledged conditional substitution risks. Of 18 responses, 4 state risks are low due to functional superiority of materials in many applications.</w:t>
      </w:r>
    </w:p>
    <w:p w14:paraId="41CFD0D8" w14:textId="3E196103" w:rsidR="00285741" w:rsidRDefault="00285741">
      <w:pPr>
        <w:spacing w:before="240" w:after="120"/>
        <w:rPr>
          <w:noProof/>
        </w:rPr>
      </w:pPr>
      <w:r w:rsidRPr="27D9526D">
        <w:rPr>
          <w:b/>
          <w:bCs/>
          <w:noProof/>
        </w:rPr>
        <w:t xml:space="preserve">LEAD_BAT 1 </w:t>
      </w:r>
      <w:r>
        <w:rPr>
          <w:noProof/>
        </w:rPr>
        <w:t>introduces</w:t>
      </w:r>
      <w:r w:rsidRPr="6F6D9305">
        <w:rPr>
          <w:b/>
          <w:noProof/>
        </w:rPr>
        <w:t xml:space="preserve"> </w:t>
      </w:r>
      <w:r>
        <w:rPr>
          <w:b/>
          <w:bCs/>
          <w:noProof/>
        </w:rPr>
        <w:t>made in EU</w:t>
      </w:r>
      <w:r w:rsidRPr="00253E0D">
        <w:rPr>
          <w:b/>
          <w:bCs/>
          <w:noProof/>
        </w:rPr>
        <w:t xml:space="preserve"> requirements for four main components in EV batteries and three main components in Battery energy storage systems (BESS) for public procurement, auctions, and public support schemes</w:t>
      </w:r>
      <w:r>
        <w:rPr>
          <w:noProof/>
        </w:rPr>
        <w:t xml:space="preserve"> starting one year after the entry into force of the legislation. These requirements would increase after three years into entry into force. These targets are not limited in time but remain, like all other requirements, subject to a review clause, and will promote the use of EU machinery and equipment when possible. </w:t>
      </w:r>
    </w:p>
    <w:p w14:paraId="5C8BC47C" w14:textId="35D33A1E" w:rsidR="00285741" w:rsidRDefault="00E83DDC" w:rsidP="00BF4D8C">
      <w:pPr>
        <w:spacing w:after="120"/>
        <w:rPr>
          <w:noProof/>
        </w:rPr>
      </w:pPr>
      <w:r>
        <w:rPr>
          <w:noProof/>
        </w:rPr>
        <w:t>Made in EU</w:t>
      </w:r>
      <w:r w:rsidR="00285741" w:rsidRPr="00D8085A">
        <w:rPr>
          <w:noProof/>
        </w:rPr>
        <w:t xml:space="preserve"> requirements will help ensure that existing manufacturing capacities for key battery components are fully utilized, while supporting the successful implementation of </w:t>
      </w:r>
      <w:r w:rsidR="00285741" w:rsidRPr="00890901">
        <w:rPr>
          <w:noProof/>
        </w:rPr>
        <w:t>projects under construction and those that have been announced or put on hold.</w:t>
      </w:r>
      <w:r w:rsidR="00B657DF" w:rsidRPr="00890901">
        <w:rPr>
          <w:noProof/>
        </w:rPr>
        <w:t xml:space="preserve"> The EU battery ecosystem currently has a project pipeline, including expansions, projects under construction, and announced projects, totalling 775 GWh of battery cells, 874 GWh of CAM, 478 GWh of anode active materials (AAM), 663 GWh of separators, and 205 GWh of electrolytes. These figures exclude projects currently on hold. For battery cells, approximately 134 GWh of announced capacity is on hold, with an additional 100 GWh having been fully cancelled. In the case of CAM, cancellations total 513 GWh, while for AAM, around 100 GWh of capacity has either been paused or cancelled.</w:t>
      </w:r>
      <w:r w:rsidR="00285741" w:rsidRPr="00890901">
        <w:rPr>
          <w:rStyle w:val="FootnoteReference"/>
          <w:noProof/>
        </w:rPr>
        <w:footnoteReference w:id="149"/>
      </w:r>
      <w:r w:rsidR="00285741" w:rsidRPr="004464A2">
        <w:rPr>
          <w:noProof/>
        </w:rPr>
        <w:t xml:space="preserve"> </w:t>
      </w:r>
    </w:p>
    <w:p w14:paraId="78FDB6F7" w14:textId="13BA2016" w:rsidR="00285741" w:rsidRDefault="00285741" w:rsidP="00BF4D8C">
      <w:pPr>
        <w:spacing w:after="120"/>
        <w:rPr>
          <w:noProof/>
        </w:rPr>
      </w:pPr>
      <w:r w:rsidRPr="00EE4D1B">
        <w:rPr>
          <w:noProof/>
        </w:rPr>
        <w:t xml:space="preserve">By leveraging the size of the European market alongside </w:t>
      </w:r>
      <w:r>
        <w:rPr>
          <w:noProof/>
        </w:rPr>
        <w:t>support</w:t>
      </w:r>
      <w:r w:rsidRPr="00EE4D1B">
        <w:rPr>
          <w:noProof/>
        </w:rPr>
        <w:t xml:space="preserve"> schemes</w:t>
      </w:r>
      <w:r>
        <w:rPr>
          <w:noProof/>
        </w:rPr>
        <w:t xml:space="preserve">, </w:t>
      </w:r>
      <w:r w:rsidRPr="00EE4D1B">
        <w:rPr>
          <w:noProof/>
        </w:rPr>
        <w:t xml:space="preserve">with </w:t>
      </w:r>
      <w:r>
        <w:rPr>
          <w:noProof/>
        </w:rPr>
        <w:t xml:space="preserve">European </w:t>
      </w:r>
      <w:r w:rsidRPr="00EE4D1B">
        <w:rPr>
          <w:noProof/>
        </w:rPr>
        <w:t xml:space="preserve">EV purchase subsidies totalling between </w:t>
      </w:r>
      <w:r w:rsidRPr="00360154">
        <w:rPr>
          <w:noProof/>
        </w:rPr>
        <w:t>EUR 1</w:t>
      </w:r>
      <w:r w:rsidR="007A12B6">
        <w:rPr>
          <w:noProof/>
        </w:rPr>
        <w:t>4</w:t>
      </w:r>
      <w:r w:rsidRPr="00360154">
        <w:rPr>
          <w:noProof/>
        </w:rPr>
        <w:t xml:space="preserve"> </w:t>
      </w:r>
      <w:r w:rsidR="007A4916" w:rsidRPr="00360154">
        <w:rPr>
          <w:noProof/>
        </w:rPr>
        <w:t xml:space="preserve">billion </w:t>
      </w:r>
      <w:r w:rsidRPr="00360154">
        <w:rPr>
          <w:noProof/>
        </w:rPr>
        <w:t xml:space="preserve">and </w:t>
      </w:r>
      <w:r w:rsidR="007A4916" w:rsidRPr="00360154">
        <w:rPr>
          <w:noProof/>
        </w:rPr>
        <w:t>EUR</w:t>
      </w:r>
      <w:r w:rsidRPr="00360154">
        <w:rPr>
          <w:noProof/>
        </w:rPr>
        <w:t xml:space="preserve"> 17 billion annually from 2021 to 2024</w:t>
      </w:r>
      <w:r w:rsidRPr="00360154">
        <w:rPr>
          <w:rStyle w:val="FootnoteReference"/>
          <w:noProof/>
        </w:rPr>
        <w:footnoteReference w:id="150"/>
      </w:r>
      <w:r w:rsidRPr="00360154">
        <w:rPr>
          <w:noProof/>
        </w:rPr>
        <w:t>,</w:t>
      </w:r>
      <w:r>
        <w:rPr>
          <w:noProof/>
        </w:rPr>
        <w:t xml:space="preserve"> </w:t>
      </w:r>
      <w:r w:rsidR="00E83DDC">
        <w:rPr>
          <w:noProof/>
        </w:rPr>
        <w:t>Made in EU</w:t>
      </w:r>
      <w:r w:rsidRPr="00EE4D1B">
        <w:rPr>
          <w:noProof/>
        </w:rPr>
        <w:t xml:space="preserve"> requirements will help </w:t>
      </w:r>
      <w:r w:rsidRPr="00C9062A">
        <w:rPr>
          <w:noProof/>
        </w:rPr>
        <w:t xml:space="preserve">strengthen </w:t>
      </w:r>
      <w:r>
        <w:rPr>
          <w:noProof/>
        </w:rPr>
        <w:t>the EU battery</w:t>
      </w:r>
      <w:r w:rsidRPr="00C9062A">
        <w:rPr>
          <w:noProof/>
        </w:rPr>
        <w:t xml:space="preserve"> industry by ensuring that value </w:t>
      </w:r>
      <w:r>
        <w:rPr>
          <w:noProof/>
        </w:rPr>
        <w:t xml:space="preserve">creation </w:t>
      </w:r>
      <w:r w:rsidRPr="00C9062A">
        <w:rPr>
          <w:noProof/>
        </w:rPr>
        <w:t xml:space="preserve">takes place within the EU </w:t>
      </w:r>
      <w:r>
        <w:rPr>
          <w:noProof/>
        </w:rPr>
        <w:t xml:space="preserve">and </w:t>
      </w:r>
      <w:r w:rsidRPr="00A230D0">
        <w:rPr>
          <w:noProof/>
        </w:rPr>
        <w:t xml:space="preserve">by reducing strategic </w:t>
      </w:r>
      <w:r>
        <w:rPr>
          <w:noProof/>
        </w:rPr>
        <w:t xml:space="preserve">dependencies </w:t>
      </w:r>
      <w:r w:rsidRPr="00A230D0">
        <w:rPr>
          <w:noProof/>
        </w:rPr>
        <w:t>across the supply chain.</w:t>
      </w:r>
      <w:r>
        <w:rPr>
          <w:noProof/>
        </w:rPr>
        <w:t xml:space="preserve"> This will </w:t>
      </w:r>
      <w:r w:rsidRPr="00EE4D1B">
        <w:rPr>
          <w:noProof/>
        </w:rPr>
        <w:t>level the playing field against heavily subsidi</w:t>
      </w:r>
      <w:r w:rsidR="00BA637D">
        <w:rPr>
          <w:noProof/>
        </w:rPr>
        <w:t>s</w:t>
      </w:r>
      <w:r w:rsidRPr="00EE4D1B">
        <w:rPr>
          <w:noProof/>
        </w:rPr>
        <w:t xml:space="preserve">ed </w:t>
      </w:r>
      <w:r>
        <w:rPr>
          <w:noProof/>
        </w:rPr>
        <w:t>battery</w:t>
      </w:r>
      <w:r w:rsidRPr="00EE4D1B">
        <w:rPr>
          <w:noProof/>
        </w:rPr>
        <w:t xml:space="preserve"> industries </w:t>
      </w:r>
      <w:r>
        <w:rPr>
          <w:noProof/>
        </w:rPr>
        <w:t xml:space="preserve">operating both </w:t>
      </w:r>
      <w:r w:rsidRPr="00EE4D1B">
        <w:rPr>
          <w:noProof/>
        </w:rPr>
        <w:t>overseas</w:t>
      </w:r>
      <w:r>
        <w:rPr>
          <w:noProof/>
        </w:rPr>
        <w:t xml:space="preserve"> and</w:t>
      </w:r>
      <w:r w:rsidRPr="00EE4D1B">
        <w:rPr>
          <w:noProof/>
        </w:rPr>
        <w:t xml:space="preserve"> </w:t>
      </w:r>
      <w:r>
        <w:rPr>
          <w:noProof/>
        </w:rPr>
        <w:t>in</w:t>
      </w:r>
      <w:r w:rsidRPr="00EE4D1B">
        <w:rPr>
          <w:noProof/>
        </w:rPr>
        <w:t xml:space="preserve"> Europe, where some foreign companies </w:t>
      </w:r>
      <w:r w:rsidRPr="00C228A4">
        <w:rPr>
          <w:noProof/>
        </w:rPr>
        <w:t>maintain key stages of the value chain</w:t>
      </w:r>
      <w:r w:rsidRPr="00EE4D1B">
        <w:rPr>
          <w:noProof/>
        </w:rPr>
        <w:t xml:space="preserve"> and </w:t>
      </w:r>
      <w:r>
        <w:rPr>
          <w:noProof/>
        </w:rPr>
        <w:t>the technological know-how</w:t>
      </w:r>
      <w:r w:rsidRPr="00C228A4">
        <w:rPr>
          <w:noProof/>
        </w:rPr>
        <w:t xml:space="preserve"> in their home countries</w:t>
      </w:r>
      <w:r w:rsidRPr="00EE4D1B">
        <w:rPr>
          <w:noProof/>
        </w:rPr>
        <w:t>.</w:t>
      </w:r>
      <w:r>
        <w:rPr>
          <w:noProof/>
        </w:rPr>
        <w:t xml:space="preserve"> </w:t>
      </w:r>
    </w:p>
    <w:p w14:paraId="38610D7A" w14:textId="3904441D" w:rsidR="00285741" w:rsidRDefault="00285741">
      <w:pPr>
        <w:spacing w:after="120"/>
        <w:rPr>
          <w:noProof/>
        </w:rPr>
      </w:pPr>
      <w:r>
        <w:rPr>
          <w:noProof/>
        </w:rPr>
        <w:t xml:space="preserve">Additionally, </w:t>
      </w:r>
      <w:r w:rsidR="00E83DDC">
        <w:rPr>
          <w:noProof/>
        </w:rPr>
        <w:t>Made in EU</w:t>
      </w:r>
      <w:r>
        <w:rPr>
          <w:noProof/>
        </w:rPr>
        <w:t xml:space="preserve"> requirements will protect</w:t>
      </w:r>
      <w:r w:rsidRPr="00AE501A">
        <w:rPr>
          <w:noProof/>
        </w:rPr>
        <w:t xml:space="preserve"> </w:t>
      </w:r>
      <w:r>
        <w:rPr>
          <w:noProof/>
        </w:rPr>
        <w:t xml:space="preserve">the </w:t>
      </w:r>
      <w:r w:rsidRPr="00AE501A">
        <w:rPr>
          <w:noProof/>
        </w:rPr>
        <w:t xml:space="preserve">European battery </w:t>
      </w:r>
      <w:r>
        <w:rPr>
          <w:noProof/>
        </w:rPr>
        <w:t xml:space="preserve">industry </w:t>
      </w:r>
      <w:r w:rsidRPr="00AE501A">
        <w:rPr>
          <w:noProof/>
        </w:rPr>
        <w:t xml:space="preserve">from the disruptive impact </w:t>
      </w:r>
      <w:r>
        <w:rPr>
          <w:noProof/>
        </w:rPr>
        <w:t xml:space="preserve">of Chinese export restrictions on </w:t>
      </w:r>
      <w:r w:rsidRPr="00AE501A">
        <w:rPr>
          <w:noProof/>
        </w:rPr>
        <w:t>critical</w:t>
      </w:r>
      <w:r>
        <w:rPr>
          <w:noProof/>
        </w:rPr>
        <w:t xml:space="preserve"> battery technologies</w:t>
      </w:r>
      <w:r w:rsidRPr="00AE501A">
        <w:rPr>
          <w:noProof/>
        </w:rPr>
        <w:t xml:space="preserve"> and materials. </w:t>
      </w:r>
      <w:r w:rsidRPr="00AE501A">
        <w:rPr>
          <w:noProof/>
        </w:rPr>
        <w:lastRenderedPageBreak/>
        <w:t xml:space="preserve">By anchoring more stages of the battery value chain within Europe, </w:t>
      </w:r>
      <w:r>
        <w:rPr>
          <w:noProof/>
        </w:rPr>
        <w:t>this measure will</w:t>
      </w:r>
      <w:r w:rsidRPr="00AE501A">
        <w:rPr>
          <w:noProof/>
        </w:rPr>
        <w:t xml:space="preserve"> not only reduce </w:t>
      </w:r>
      <w:r w:rsidRPr="00DF3399">
        <w:rPr>
          <w:noProof/>
        </w:rPr>
        <w:t>the battery industry</w:t>
      </w:r>
      <w:r>
        <w:rPr>
          <w:noProof/>
        </w:rPr>
        <w:t>’</w:t>
      </w:r>
      <w:r w:rsidRPr="00DF3399">
        <w:rPr>
          <w:noProof/>
        </w:rPr>
        <w:t xml:space="preserve">s </w:t>
      </w:r>
      <w:r w:rsidRPr="00AE501A">
        <w:rPr>
          <w:noProof/>
        </w:rPr>
        <w:t>exposure to geopolitical risks</w:t>
      </w:r>
      <w:r>
        <w:rPr>
          <w:noProof/>
        </w:rPr>
        <w:t xml:space="preserve"> </w:t>
      </w:r>
      <w:r w:rsidRPr="00AE501A">
        <w:rPr>
          <w:noProof/>
        </w:rPr>
        <w:t>but also ensure that public support translates into industrial resilience</w:t>
      </w:r>
      <w:r>
        <w:rPr>
          <w:noProof/>
        </w:rPr>
        <w:t xml:space="preserve"> and long-term competitiveness. The impact of </w:t>
      </w:r>
      <w:r w:rsidR="00E83DDC">
        <w:rPr>
          <w:noProof/>
        </w:rPr>
        <w:t>Made in EU</w:t>
      </w:r>
      <w:r>
        <w:rPr>
          <w:noProof/>
        </w:rPr>
        <w:t xml:space="preserve"> requirements also extends to the extraction and processing of critical raw materials, where creating strong and predictable demand is essential to de-risk investments.</w:t>
      </w:r>
      <w:r w:rsidRPr="67E16D98">
        <w:rPr>
          <w:rStyle w:val="FootnoteReference"/>
          <w:noProof/>
        </w:rPr>
        <w:footnoteReference w:id="151"/>
      </w:r>
      <w:r>
        <w:rPr>
          <w:noProof/>
        </w:rPr>
        <w:t xml:space="preserve"> </w:t>
      </w:r>
    </w:p>
    <w:p w14:paraId="7E4EE2F3" w14:textId="463B19F7" w:rsidR="00285741" w:rsidRDefault="00285741">
      <w:pPr>
        <w:spacing w:after="120"/>
        <w:rPr>
          <w:noProof/>
        </w:rPr>
      </w:pPr>
      <w:r w:rsidRPr="00C039DB">
        <w:rPr>
          <w:noProof/>
        </w:rPr>
        <w:t xml:space="preserve">In </w:t>
      </w:r>
      <w:r w:rsidRPr="00C039DB">
        <w:rPr>
          <w:i/>
          <w:noProof/>
        </w:rPr>
        <w:t>public procurement and auctions</w:t>
      </w:r>
      <w:r w:rsidRPr="00C039DB">
        <w:rPr>
          <w:noProof/>
        </w:rPr>
        <w:t>, EVs are only marginally affected</w:t>
      </w:r>
      <w:r>
        <w:rPr>
          <w:noProof/>
        </w:rPr>
        <w:t xml:space="preserve">, </w:t>
      </w:r>
      <w:r w:rsidRPr="00C039DB">
        <w:rPr>
          <w:noProof/>
        </w:rPr>
        <w:t>except for urban buses</w:t>
      </w:r>
      <w:r>
        <w:rPr>
          <w:noProof/>
        </w:rPr>
        <w:t>, thus the impact will be limited to around 3.5% of the total EV demand</w:t>
      </w:r>
      <w:r>
        <w:rPr>
          <w:rStyle w:val="FootnoteReference"/>
          <w:noProof/>
        </w:rPr>
        <w:footnoteReference w:id="152"/>
      </w:r>
      <w:r w:rsidRPr="00C039DB">
        <w:rPr>
          <w:noProof/>
        </w:rPr>
        <w:t xml:space="preserve">, whereas BESS </w:t>
      </w:r>
      <w:r>
        <w:rPr>
          <w:noProof/>
        </w:rPr>
        <w:t>have a bigger exposure</w:t>
      </w:r>
      <w:r w:rsidRPr="00C039DB">
        <w:rPr>
          <w:noProof/>
        </w:rPr>
        <w:t xml:space="preserve"> due to its growing reliance on public </w:t>
      </w:r>
      <w:r>
        <w:rPr>
          <w:noProof/>
        </w:rPr>
        <w:t>auctions, which in 2024 accounted for 5% of the total BESS deployment.</w:t>
      </w:r>
      <w:r>
        <w:rPr>
          <w:rStyle w:val="FootnoteReference"/>
          <w:noProof/>
        </w:rPr>
        <w:footnoteReference w:id="153"/>
      </w:r>
      <w:r w:rsidRPr="00B100CF">
        <w:rPr>
          <w:noProof/>
        </w:rPr>
        <w:t xml:space="preserve"> </w:t>
      </w:r>
      <w:r>
        <w:rPr>
          <w:noProof/>
        </w:rPr>
        <w:t>The proposed</w:t>
      </w:r>
      <w:r w:rsidRPr="00B100CF">
        <w:rPr>
          <w:noProof/>
        </w:rPr>
        <w:t xml:space="preserve"> phased approach to introducing </w:t>
      </w:r>
      <w:r w:rsidR="00E83DDC">
        <w:rPr>
          <w:noProof/>
        </w:rPr>
        <w:t>Made in EU</w:t>
      </w:r>
      <w:r w:rsidRPr="00B100CF">
        <w:rPr>
          <w:noProof/>
        </w:rPr>
        <w:t xml:space="preserve"> requirements in BESS would help mitigate the impact on prices while enabling the EU to gradually build up its domestic value chain. </w:t>
      </w:r>
    </w:p>
    <w:p w14:paraId="3365781E" w14:textId="7E3C1B2C" w:rsidR="00285741" w:rsidRPr="00C92ADB" w:rsidRDefault="003E170A">
      <w:pPr>
        <w:spacing w:after="120"/>
        <w:rPr>
          <w:noProof/>
        </w:rPr>
      </w:pPr>
      <w:r>
        <w:rPr>
          <w:noProof/>
        </w:rPr>
        <w:t xml:space="preserve">Based on the analysis </w:t>
      </w:r>
      <w:r w:rsidR="00C92ADB">
        <w:rPr>
          <w:noProof/>
        </w:rPr>
        <w:t xml:space="preserve">on </w:t>
      </w:r>
      <w:r w:rsidR="00762442">
        <w:rPr>
          <w:noProof/>
        </w:rPr>
        <w:t xml:space="preserve"> batteries for EVs</w:t>
      </w:r>
      <w:r w:rsidR="00C92ADB">
        <w:rPr>
          <w:noProof/>
        </w:rPr>
        <w:t xml:space="preserve"> </w:t>
      </w:r>
      <w:r w:rsidR="00E40153">
        <w:rPr>
          <w:noProof/>
        </w:rPr>
        <w:t>in Annex 4, section 2.2</w:t>
      </w:r>
      <w:r w:rsidR="00C92ADB">
        <w:rPr>
          <w:noProof/>
        </w:rPr>
        <w:t>,</w:t>
      </w:r>
      <w:r w:rsidR="00E40153">
        <w:rPr>
          <w:noProof/>
        </w:rPr>
        <w:t xml:space="preserve"> </w:t>
      </w:r>
      <w:r w:rsidR="00E83DDC">
        <w:rPr>
          <w:noProof/>
        </w:rPr>
        <w:t>Made in EU</w:t>
      </w:r>
      <w:r w:rsidR="00285741">
        <w:rPr>
          <w:noProof/>
        </w:rPr>
        <w:t xml:space="preserve"> requirements in </w:t>
      </w:r>
      <w:r w:rsidR="00285741" w:rsidRPr="2209EF19">
        <w:rPr>
          <w:i/>
          <w:iCs/>
          <w:noProof/>
        </w:rPr>
        <w:t>public support schemes</w:t>
      </w:r>
      <w:r w:rsidR="00285741">
        <w:rPr>
          <w:noProof/>
        </w:rPr>
        <w:t xml:space="preserve"> may raise </w:t>
      </w:r>
      <w:r w:rsidR="00F943DA">
        <w:rPr>
          <w:noProof/>
        </w:rPr>
        <w:t xml:space="preserve">passenger </w:t>
      </w:r>
      <w:r w:rsidR="00285741">
        <w:rPr>
          <w:noProof/>
        </w:rPr>
        <w:t>EV costs</w:t>
      </w:r>
      <w:r w:rsidR="00E40FAA">
        <w:rPr>
          <w:noProof/>
        </w:rPr>
        <w:t xml:space="preserve"> </w:t>
      </w:r>
      <w:r w:rsidR="00F86756">
        <w:rPr>
          <w:noProof/>
        </w:rPr>
        <w:t xml:space="preserve"> between </w:t>
      </w:r>
      <w:r w:rsidR="00E40FAA" w:rsidRPr="00F261DB">
        <w:rPr>
          <w:noProof/>
        </w:rPr>
        <w:t>EUR 360-900</w:t>
      </w:r>
      <w:r w:rsidR="00EA2FB7">
        <w:rPr>
          <w:noProof/>
        </w:rPr>
        <w:t xml:space="preserve"> in 2030</w:t>
      </w:r>
      <w:r w:rsidR="00285741">
        <w:rPr>
          <w:noProof/>
        </w:rPr>
        <w:t>, which could affect affordability and competitiveness in cost-sensitive markets. In 2024, all Member States had some type of tax benefit or purchase incentive for EVs</w:t>
      </w:r>
      <w:r w:rsidR="00285741">
        <w:rPr>
          <w:rStyle w:val="FootnoteReference"/>
          <w:noProof/>
        </w:rPr>
        <w:footnoteReference w:id="154"/>
      </w:r>
      <w:r w:rsidR="00285741">
        <w:rPr>
          <w:noProof/>
        </w:rPr>
        <w:t xml:space="preserve">, however this will slow down as EV uptake keeps growing. A phased implementation starting with </w:t>
      </w:r>
      <w:r w:rsidR="00E83DDC">
        <w:rPr>
          <w:noProof/>
        </w:rPr>
        <w:t>Made in EU</w:t>
      </w:r>
      <w:r w:rsidR="00285741">
        <w:rPr>
          <w:noProof/>
        </w:rPr>
        <w:t xml:space="preserve"> requirements for batteries of four components for EVs, including the battery cell, at entry into force, plus the support schemes themselves would help absorb the impact.</w:t>
      </w:r>
      <w:r w:rsidR="00285741" w:rsidRPr="00D40766">
        <w:rPr>
          <w:noProof/>
        </w:rPr>
        <w:t xml:space="preserve"> </w:t>
      </w:r>
      <w:r w:rsidR="00285741">
        <w:rPr>
          <w:noProof/>
        </w:rPr>
        <w:t xml:space="preserve">According to industry </w:t>
      </w:r>
      <w:r w:rsidR="00285741" w:rsidRPr="00390FAA">
        <w:rPr>
          <w:rFonts w:cs="Times New Roman"/>
          <w:noProof/>
        </w:rPr>
        <w:t>announcements and demand estimates</w:t>
      </w:r>
      <w:r w:rsidR="00285741" w:rsidRPr="00390FAA">
        <w:rPr>
          <w:rStyle w:val="FootnoteReference"/>
          <w:rFonts w:cs="Times New Roman"/>
          <w:noProof/>
        </w:rPr>
        <w:footnoteReference w:id="155"/>
      </w:r>
      <w:r w:rsidR="00285741" w:rsidRPr="00390FAA">
        <w:rPr>
          <w:rFonts w:cs="Times New Roman"/>
          <w:noProof/>
        </w:rPr>
        <w:t>, battery cell installed capacity in 2025 could meet around 90% of the EV battery demand. While actual production falls short of installed capacity, a significant share of EVs on the EU market are already powered by battery cells manufactured within Europe, indicating that the cost impact of local production is already being absorbed to a large extent by the market.</w:t>
      </w:r>
    </w:p>
    <w:p w14:paraId="56BDE9D8" w14:textId="5B742884" w:rsidR="00285741" w:rsidRPr="00390FAA" w:rsidRDefault="00285741">
      <w:pPr>
        <w:spacing w:after="120"/>
        <w:rPr>
          <w:rFonts w:cs="Times New Roman"/>
          <w:noProof/>
        </w:rPr>
      </w:pPr>
      <w:r w:rsidRPr="002650B5">
        <w:rPr>
          <w:rFonts w:cs="Times New Roman"/>
          <w:b/>
          <w:noProof/>
        </w:rPr>
        <w:t>LEAD_SOL 1</w:t>
      </w:r>
      <w:r w:rsidRPr="002650B5">
        <w:rPr>
          <w:rFonts w:cs="Times New Roman"/>
          <w:noProof/>
        </w:rPr>
        <w:t xml:space="preserve"> introduces </w:t>
      </w:r>
      <w:r w:rsidR="00E83DDC">
        <w:rPr>
          <w:rFonts w:cs="Times New Roman"/>
          <w:noProof/>
        </w:rPr>
        <w:t>Made in EU</w:t>
      </w:r>
      <w:r w:rsidRPr="002650B5">
        <w:rPr>
          <w:rFonts w:cs="Times New Roman"/>
          <w:noProof/>
        </w:rPr>
        <w:t xml:space="preserve"> requirements for three main specific components in solar PV, </w:t>
      </w:r>
      <w:r w:rsidRPr="00390FAA">
        <w:rPr>
          <w:rFonts w:cs="Times New Roman"/>
          <w:noProof/>
        </w:rPr>
        <w:t>starting one year after entry into force, and four main specific components three years after entry into force, in public procurement, auctions, and support schemes</w:t>
      </w:r>
      <w:r w:rsidRPr="00EC65E3">
        <w:rPr>
          <w:rFonts w:cs="Times New Roman"/>
          <w:noProof/>
        </w:rPr>
        <w:t xml:space="preserve">. </w:t>
      </w:r>
    </w:p>
    <w:p w14:paraId="4EC0E03B" w14:textId="05608214" w:rsidR="00285741" w:rsidRPr="00390FAA" w:rsidRDefault="00E83DDC">
      <w:pPr>
        <w:spacing w:after="120"/>
        <w:rPr>
          <w:rFonts w:cs="Times New Roman"/>
          <w:noProof/>
        </w:rPr>
      </w:pPr>
      <w:r>
        <w:rPr>
          <w:rFonts w:cs="Times New Roman"/>
          <w:noProof/>
        </w:rPr>
        <w:t>Made in EU</w:t>
      </w:r>
      <w:r w:rsidR="00285741" w:rsidRPr="00390FAA">
        <w:rPr>
          <w:rFonts w:cs="Times New Roman"/>
          <w:noProof/>
        </w:rPr>
        <w:t xml:space="preserve"> requirements will ensure the retention of existing manufacturing capacities for solar </w:t>
      </w:r>
      <w:r w:rsidR="00285741">
        <w:rPr>
          <w:rFonts w:cs="Times New Roman"/>
          <w:noProof/>
        </w:rPr>
        <w:t>PV</w:t>
      </w:r>
      <w:r w:rsidR="00285741" w:rsidRPr="00390FAA">
        <w:rPr>
          <w:rFonts w:cs="Times New Roman"/>
          <w:noProof/>
        </w:rPr>
        <w:t xml:space="preserve"> modules and inverters, while enabling the scaling-up of further components and supporting the implementation of both the current project pipeline and projects under construction or announced. The component related targets have been set taking into account the assessed project pipeline and thus introducing a Made in the EU requirement one year after the entry into force of the IAA would be feasible (see Annex 9 for detailed assessment). </w:t>
      </w:r>
    </w:p>
    <w:p w14:paraId="58670C54" w14:textId="77777777" w:rsidR="00285741" w:rsidRDefault="00285741">
      <w:pPr>
        <w:spacing w:after="120"/>
        <w:rPr>
          <w:noProof/>
        </w:rPr>
      </w:pPr>
      <w:r w:rsidRPr="09CA0190">
        <w:rPr>
          <w:rFonts w:eastAsiaTheme="minorEastAsia" w:cs="Times New Roman"/>
          <w:noProof/>
        </w:rPr>
        <w:t>The impact of this measure would be to reduce</w:t>
      </w:r>
      <w:r w:rsidRPr="00390FAA">
        <w:rPr>
          <w:rFonts w:cs="Times New Roman"/>
          <w:noProof/>
        </w:rPr>
        <w:t xml:space="preserve"> the investment risks and improve market access for EU-based solar manufacturers</w:t>
      </w:r>
      <w:r w:rsidRPr="00801C0E">
        <w:rPr>
          <w:noProof/>
        </w:rPr>
        <w:t xml:space="preserve">. Companies willing to participate in tenders will have to localise manufacturing or partner with EU suppliers, hence supporting industry growth and job creation. </w:t>
      </w:r>
      <w:r w:rsidRPr="00801C0E">
        <w:rPr>
          <w:rFonts w:eastAsia="Times New Roman"/>
          <w:noProof/>
        </w:rPr>
        <w:t xml:space="preserve">This </w:t>
      </w:r>
      <w:r w:rsidRPr="00BD409B">
        <w:rPr>
          <w:rFonts w:cs="Times New Roman"/>
          <w:noProof/>
        </w:rPr>
        <w:t>should</w:t>
      </w:r>
      <w:r w:rsidRPr="00801C0E">
        <w:rPr>
          <w:rFonts w:eastAsia="Times New Roman"/>
          <w:noProof/>
        </w:rPr>
        <w:t xml:space="preserve"> therefore facilitate manufacturing projects reach final investment decision.</w:t>
      </w:r>
      <w:r w:rsidRPr="00801C0E">
        <w:rPr>
          <w:rStyle w:val="FootnoteReference"/>
          <w:rFonts w:eastAsia="Times New Roman"/>
          <w:noProof/>
        </w:rPr>
        <w:footnoteReference w:id="156"/>
      </w:r>
      <w:r w:rsidRPr="00801C0E">
        <w:rPr>
          <w:rFonts w:eastAsia="Times New Roman"/>
          <w:noProof/>
        </w:rPr>
        <w:t xml:space="preserve"> </w:t>
      </w:r>
      <w:r w:rsidRPr="007A0E30">
        <w:rPr>
          <w:rFonts w:eastAsia="Times New Roman"/>
          <w:noProof/>
        </w:rPr>
        <w:t xml:space="preserve">Scaling up the industry here will </w:t>
      </w:r>
      <w:r w:rsidRPr="007A0E30">
        <w:rPr>
          <w:rFonts w:cs="Times New Roman"/>
          <w:noProof/>
        </w:rPr>
        <w:t>also</w:t>
      </w:r>
      <w:r w:rsidRPr="007A0E30">
        <w:rPr>
          <w:rFonts w:eastAsia="Times New Roman"/>
          <w:noProof/>
        </w:rPr>
        <w:t xml:space="preserve"> ensure investments also in innovation and research in Europe. </w:t>
      </w:r>
      <w:r w:rsidRPr="007A0E30">
        <w:rPr>
          <w:noProof/>
        </w:rPr>
        <w:t xml:space="preserve">At least 12 GW of manufacturing capacity is on hold and at least 4 GW is shut down due to insecure and unstable business case for manufacturing PV in the EU at the moment. Despite the existing challenges, a strong project pipeline exists which, if realised, could increase the </w:t>
      </w:r>
      <w:r w:rsidRPr="007A0E30">
        <w:rPr>
          <w:rFonts w:cs="Times New Roman"/>
          <w:noProof/>
        </w:rPr>
        <w:t>manufacturing</w:t>
      </w:r>
      <w:r w:rsidRPr="007A0E30">
        <w:rPr>
          <w:noProof/>
        </w:rPr>
        <w:t xml:space="preserve"> capacity by 2030 for ingot from less than 1 GW today to 20 </w:t>
      </w:r>
      <w:r w:rsidRPr="007A0E30">
        <w:rPr>
          <w:noProof/>
        </w:rPr>
        <w:lastRenderedPageBreak/>
        <w:t>GW, for wafers from less than 1 GW to over 30 GW, cells from 2 GW to over 30 GW, modules from 8 GW to over 40 GW, and inverters from around 80 GW to more than 100 GW.</w:t>
      </w:r>
      <w:r w:rsidRPr="007A0E30">
        <w:rPr>
          <w:rStyle w:val="FootnoteReference"/>
          <w:noProof/>
        </w:rPr>
        <w:footnoteReference w:id="157"/>
      </w:r>
      <w:r w:rsidRPr="00505271">
        <w:rPr>
          <w:noProof/>
        </w:rPr>
        <w:t xml:space="preserve"> </w:t>
      </w:r>
    </w:p>
    <w:p w14:paraId="40961FB2" w14:textId="162E1691" w:rsidR="00B17B7D" w:rsidRPr="007A0E30" w:rsidRDefault="00285741" w:rsidP="761A7BA1">
      <w:pPr>
        <w:spacing w:after="120"/>
        <w:rPr>
          <w:rFonts w:eastAsia="Aptos" w:cs="Times New Roman"/>
          <w:noProof/>
        </w:rPr>
      </w:pPr>
      <w:r w:rsidRPr="761A7BA1">
        <w:rPr>
          <w:b/>
          <w:bCs/>
          <w:noProof/>
        </w:rPr>
        <w:t>LEAD_VC 1</w:t>
      </w:r>
      <w:r w:rsidRPr="00801C0E">
        <w:rPr>
          <w:b/>
          <w:bCs/>
          <w:noProof/>
        </w:rPr>
        <w:t xml:space="preserve"> </w:t>
      </w:r>
      <w:r w:rsidRPr="00707F5E">
        <w:rPr>
          <w:noProof/>
        </w:rPr>
        <w:t xml:space="preserve">– </w:t>
      </w:r>
      <w:r>
        <w:rPr>
          <w:noProof/>
        </w:rPr>
        <w:t xml:space="preserve">The impact of LEAD_VC is assessing based on a model developed by the Commission’s JRC (For further information about the methodology and assumptions, see: Annex 4). As vehicle </w:t>
      </w:r>
      <w:r w:rsidRPr="007A0E30">
        <w:rPr>
          <w:noProof/>
        </w:rPr>
        <w:t xml:space="preserve">manufacturers will have the incentive to comply with the target </w:t>
      </w:r>
      <w:r w:rsidR="005F3121" w:rsidRPr="007A0E30">
        <w:rPr>
          <w:noProof/>
        </w:rPr>
        <w:t>to</w:t>
      </w:r>
      <w:r w:rsidRPr="007A0E30">
        <w:rPr>
          <w:noProof/>
        </w:rPr>
        <w:t xml:space="preserve"> have potential access to public subsidies, the model projects an increase in </w:t>
      </w:r>
      <w:r w:rsidR="698CE70C" w:rsidRPr="007A0E30">
        <w:rPr>
          <w:noProof/>
        </w:rPr>
        <w:t xml:space="preserve">EU vehicle component suppliers’ </w:t>
      </w:r>
      <w:r w:rsidRPr="007A0E30">
        <w:rPr>
          <w:noProof/>
        </w:rPr>
        <w:t>sales to the manufacturers of EUR 6.5 billion in 2027 and by EUR 6.9 billion in 2030 when aggregating the sales in all three vehicle segments</w:t>
      </w:r>
      <w:r w:rsidR="002B6F4A" w:rsidRPr="007A0E30">
        <w:rPr>
          <w:noProof/>
        </w:rPr>
        <w:t>.</w:t>
      </w:r>
      <w:r w:rsidRPr="007A0E30">
        <w:rPr>
          <w:rStyle w:val="FootnoteReference"/>
          <w:noProof/>
        </w:rPr>
        <w:footnoteReference w:id="158"/>
      </w:r>
      <w:r w:rsidRPr="007A0E30">
        <w:rPr>
          <w:noProof/>
        </w:rPr>
        <w:t xml:space="preserve"> </w:t>
      </w:r>
      <w:r w:rsidR="00A36643" w:rsidRPr="007A0E30">
        <w:rPr>
          <w:noProof/>
        </w:rPr>
        <w:t xml:space="preserve">Following the sensitivity analysis carried out in Annex 15, </w:t>
      </w:r>
      <w:r w:rsidR="00A36643" w:rsidRPr="761A7BA1">
        <w:rPr>
          <w:rFonts w:eastAsia="Aptos" w:cs="Times New Roman"/>
          <w:noProof/>
        </w:rPr>
        <w:t>t</w:t>
      </w:r>
      <w:r w:rsidR="00B17B7D" w:rsidRPr="761A7BA1">
        <w:rPr>
          <w:rFonts w:eastAsia="Aptos" w:cs="Times New Roman"/>
          <w:noProof/>
        </w:rPr>
        <w:t>he cross-region elasticity</w:t>
      </w:r>
      <w:r w:rsidR="004F06F4" w:rsidRPr="761A7BA1">
        <w:rPr>
          <w:rFonts w:eastAsia="Aptos" w:cs="Times New Roman"/>
          <w:noProof/>
        </w:rPr>
        <w:t xml:space="preserve"> </w:t>
      </w:r>
      <w:r w:rsidR="00B73240" w:rsidRPr="761A7BA1">
        <w:rPr>
          <w:rFonts w:eastAsia="Aptos" w:cs="Times New Roman"/>
          <w:noProof/>
        </w:rPr>
        <w:t>(</w:t>
      </w:r>
      <w:r w:rsidR="00B73240" w:rsidRPr="007A0E30">
        <w:rPr>
          <w:rFonts w:eastAsia="Aptos" w:cs="Times New Roman"/>
          <w:noProof/>
        </w:rPr>
        <w:t>i.e. substitution between EU- and non-EU-made EVs)</w:t>
      </w:r>
      <w:r w:rsidR="00B17B7D" w:rsidRPr="761A7BA1">
        <w:rPr>
          <w:rFonts w:eastAsia="Aptos" w:cs="Times New Roman"/>
          <w:noProof/>
        </w:rPr>
        <w:t xml:space="preserve"> is the parameter that affects</w:t>
      </w:r>
      <w:r w:rsidR="00B73240" w:rsidRPr="761A7BA1">
        <w:rPr>
          <w:rFonts w:eastAsia="Aptos" w:cs="Times New Roman"/>
          <w:noProof/>
        </w:rPr>
        <w:t xml:space="preserve"> mostly</w:t>
      </w:r>
      <w:r w:rsidR="00B17B7D" w:rsidRPr="761A7BA1">
        <w:rPr>
          <w:rFonts w:eastAsia="Aptos" w:cs="Times New Roman"/>
          <w:noProof/>
        </w:rPr>
        <w:t xml:space="preserve"> the results for EU EV manufacturers, vehicle component suppliers, and the value added generated. However, the </w:t>
      </w:r>
      <w:r w:rsidR="00583344" w:rsidRPr="761A7BA1">
        <w:rPr>
          <w:rFonts w:eastAsia="Aptos" w:cs="Times New Roman"/>
          <w:noProof/>
        </w:rPr>
        <w:t xml:space="preserve">values do </w:t>
      </w:r>
      <w:r w:rsidR="00B17B7D" w:rsidRPr="761A7BA1">
        <w:rPr>
          <w:rFonts w:eastAsia="Aptos" w:cs="Times New Roman"/>
          <w:noProof/>
        </w:rPr>
        <w:t xml:space="preserve">not significantly affect the </w:t>
      </w:r>
      <w:r w:rsidR="00583344" w:rsidRPr="761A7BA1">
        <w:rPr>
          <w:rFonts w:eastAsia="Aptos" w:cs="Times New Roman"/>
          <w:noProof/>
        </w:rPr>
        <w:t xml:space="preserve">outcome of the </w:t>
      </w:r>
      <w:r w:rsidR="00B17B7D" w:rsidRPr="761A7BA1">
        <w:rPr>
          <w:rFonts w:eastAsia="Aptos" w:cs="Times New Roman"/>
          <w:noProof/>
        </w:rPr>
        <w:t>policy's economic effects.</w:t>
      </w:r>
    </w:p>
    <w:p w14:paraId="29947E0D" w14:textId="751CB504" w:rsidR="00285741" w:rsidRPr="007A0E30" w:rsidRDefault="00285741" w:rsidP="0026270D">
      <w:pPr>
        <w:spacing w:after="120"/>
        <w:rPr>
          <w:noProof/>
        </w:rPr>
      </w:pPr>
      <w:r w:rsidRPr="007A0E30">
        <w:rPr>
          <w:b/>
          <w:bCs/>
          <w:noProof/>
        </w:rPr>
        <w:t xml:space="preserve">INV 1 </w:t>
      </w:r>
      <w:r w:rsidRPr="007A0E30">
        <w:rPr>
          <w:noProof/>
        </w:rPr>
        <w:t xml:space="preserve">– Voluntary FDI conditions </w:t>
      </w:r>
      <w:r w:rsidR="006C3766" w:rsidRPr="007A0E30">
        <w:rPr>
          <w:noProof/>
        </w:rPr>
        <w:t>would create only limited and uneven effects:</w:t>
      </w:r>
      <w:r w:rsidRPr="007A0E30">
        <w:rPr>
          <w:noProof/>
        </w:rPr>
        <w:t xml:space="preserve"> companies </w:t>
      </w:r>
      <w:r w:rsidR="00D4403E" w:rsidRPr="007A0E30">
        <w:rPr>
          <w:noProof/>
        </w:rPr>
        <w:t xml:space="preserve">in </w:t>
      </w:r>
      <w:r w:rsidRPr="007A0E30">
        <w:rPr>
          <w:noProof/>
        </w:rPr>
        <w:t xml:space="preserve">Member States </w:t>
      </w:r>
      <w:r w:rsidR="00D4403E" w:rsidRPr="007A0E30">
        <w:rPr>
          <w:noProof/>
        </w:rPr>
        <w:t>that</w:t>
      </w:r>
      <w:r w:rsidR="00CB3881" w:rsidRPr="007A0E30">
        <w:rPr>
          <w:noProof/>
        </w:rPr>
        <w:t xml:space="preserve"> </w:t>
      </w:r>
      <w:r w:rsidR="00D60C79" w:rsidRPr="007A0E30">
        <w:rPr>
          <w:noProof/>
        </w:rPr>
        <w:t xml:space="preserve">apply the guidance may face modest requirements, while those </w:t>
      </w:r>
      <w:r w:rsidR="00575143" w:rsidRPr="007A0E30">
        <w:rPr>
          <w:noProof/>
        </w:rPr>
        <w:t>investing</w:t>
      </w:r>
      <w:r w:rsidR="00D60C79" w:rsidRPr="007A0E30">
        <w:rPr>
          <w:noProof/>
        </w:rPr>
        <w:t xml:space="preserve"> elsewhere would see no change at all. </w:t>
      </w:r>
      <w:r w:rsidRPr="007A0E30">
        <w:rPr>
          <w:noProof/>
        </w:rPr>
        <w:t>While such measures could send a positive market signal, they would not prevent a ‘race to the bottom’ across the Single Market.</w:t>
      </w:r>
    </w:p>
    <w:p w14:paraId="40B49496" w14:textId="222CCA25" w:rsidR="00285741" w:rsidRPr="007A0E30" w:rsidRDefault="00CB3881">
      <w:pPr>
        <w:pStyle w:val="Text2"/>
        <w:spacing w:after="120"/>
        <w:ind w:left="0"/>
        <w:rPr>
          <w:noProof/>
        </w:rPr>
      </w:pPr>
      <w:r w:rsidRPr="007A0E30">
        <w:rPr>
          <w:noProof/>
        </w:rPr>
        <w:t xml:space="preserve">However, the voluntary approach does not fix the core problems. Companies can simply avoid any obligations by choosing more permissive Member States, and even implementing Member States may pick and choose individual conditions, creating further fragmentation. </w:t>
      </w:r>
      <w:r w:rsidR="00AF0FD0" w:rsidRPr="007A0E30">
        <w:rPr>
          <w:noProof/>
        </w:rPr>
        <w:t>This enables regulatory arbitrage</w:t>
      </w:r>
      <w:r w:rsidR="00A1219F" w:rsidRPr="007A0E30">
        <w:rPr>
          <w:noProof/>
        </w:rPr>
        <w:t xml:space="preserve"> and</w:t>
      </w:r>
      <w:r w:rsidR="00E42EB4" w:rsidRPr="007A0E30">
        <w:rPr>
          <w:noProof/>
        </w:rPr>
        <w:t xml:space="preserve"> is likely to </w:t>
      </w:r>
      <w:r w:rsidR="00AF0FD0" w:rsidRPr="007A0E30">
        <w:rPr>
          <w:noProof/>
        </w:rPr>
        <w:t>preserve superficial or assembly-only investment models,</w:t>
      </w:r>
      <w:r w:rsidR="00285741" w:rsidRPr="007A0E30">
        <w:rPr>
          <w:noProof/>
        </w:rPr>
        <w:t xml:space="preserve"> </w:t>
      </w:r>
      <w:r w:rsidR="003371C0" w:rsidRPr="007A0E30">
        <w:rPr>
          <w:noProof/>
        </w:rPr>
        <w:t>and fails to secure technology retention, local value-added or meaningful supply-chain integration—leaving strategic vulnerabilities essentially unchanged.</w:t>
      </w:r>
      <w:r w:rsidR="003371C0" w:rsidRPr="007A0E30" w:rsidDel="003371C0">
        <w:rPr>
          <w:noProof/>
        </w:rPr>
        <w:t xml:space="preserve"> </w:t>
      </w:r>
    </w:p>
    <w:p w14:paraId="6AB50C7E" w14:textId="77777777" w:rsidR="00285741" w:rsidRPr="007A0E30" w:rsidRDefault="00285741">
      <w:pPr>
        <w:pStyle w:val="Text2"/>
        <w:spacing w:after="120"/>
        <w:ind w:left="0"/>
        <w:rPr>
          <w:noProof/>
        </w:rPr>
      </w:pPr>
      <w:r w:rsidRPr="007A0E30">
        <w:rPr>
          <w:b/>
          <w:noProof/>
        </w:rPr>
        <w:t xml:space="preserve">PERM 1 </w:t>
      </w:r>
      <w:r w:rsidRPr="007A0E30">
        <w:rPr>
          <w:noProof/>
        </w:rPr>
        <w:t xml:space="preserve">- </w:t>
      </w:r>
      <w:r w:rsidRPr="007A0E30">
        <w:rPr>
          <w:b/>
          <w:bCs/>
          <w:noProof/>
        </w:rPr>
        <w:t>Streamlining permitting for decarbonisation projects in manufacturing industries</w:t>
      </w:r>
      <w:r w:rsidRPr="007A0E30">
        <w:rPr>
          <w:noProof/>
        </w:rPr>
        <w:t xml:space="preserve"> would accelerate the authorisation of such projects and speed up the development of economies of scale for new generation of low-carbon manufacturing. However, these investments also depend on factors beyond the permitting framework, making quantification difficult.</w:t>
      </w:r>
    </w:p>
    <w:p w14:paraId="3EAD1AFC" w14:textId="576C08E2" w:rsidR="00285741" w:rsidRDefault="00285741">
      <w:pPr>
        <w:pStyle w:val="Text2"/>
        <w:spacing w:after="120"/>
        <w:ind w:left="0"/>
        <w:rPr>
          <w:noProof/>
        </w:rPr>
      </w:pPr>
      <w:r w:rsidRPr="007A0E30">
        <w:rPr>
          <w:noProof/>
        </w:rPr>
        <w:t>A joint, mandatory, digitally integrated assessment of the entire permit-granting process would reduce the administrative burden compared to fragmented procedures, thus lowering costs (e.g. environmental assessment costs</w:t>
      </w:r>
      <w:r w:rsidRPr="007A0E30">
        <w:rPr>
          <w:rStyle w:val="FootnoteReference"/>
          <w:noProof/>
        </w:rPr>
        <w:footnoteReference w:id="159"/>
      </w:r>
      <w:r w:rsidRPr="007A0E30">
        <w:rPr>
          <w:noProof/>
        </w:rPr>
        <w:t xml:space="preserve">) and saving time and money for companies. The introduction of e-permitting whenever missing could introduce cost-savings </w:t>
      </w:r>
      <w:r w:rsidR="00D37441" w:rsidRPr="005E418C">
        <w:rPr>
          <w:noProof/>
        </w:rPr>
        <w:t>from 80 million (for a third of all industrial manufacturing) to</w:t>
      </w:r>
      <w:r w:rsidR="00A25F81" w:rsidRPr="005E418C">
        <w:rPr>
          <w:noProof/>
        </w:rPr>
        <w:t xml:space="preserve"> </w:t>
      </w:r>
      <w:r w:rsidRPr="005E418C">
        <w:rPr>
          <w:noProof/>
        </w:rPr>
        <w:t>EUR 240 million for all manufacturing industries in the EU, through</w:t>
      </w:r>
      <w:r w:rsidRPr="005E418C" w:rsidDel="00CE5A19">
        <w:rPr>
          <w:noProof/>
        </w:rPr>
        <w:t xml:space="preserve"> </w:t>
      </w:r>
      <w:r w:rsidRPr="005E418C">
        <w:rPr>
          <w:noProof/>
        </w:rPr>
        <w:t>the digitalisation of 5 permit-granting procedures</w:t>
      </w:r>
      <w:r w:rsidRPr="007A0E30">
        <w:rPr>
          <w:noProof/>
        </w:rPr>
        <w:t>.</w:t>
      </w:r>
      <w:r w:rsidRPr="007A0E30">
        <w:rPr>
          <w:rStyle w:val="FootnoteReference"/>
          <w:noProof/>
        </w:rPr>
        <w:footnoteReference w:id="160"/>
      </w:r>
      <w:r w:rsidRPr="007A0E30">
        <w:rPr>
          <w:noProof/>
        </w:rPr>
        <w:t xml:space="preserve"> See Annex 4 </w:t>
      </w:r>
      <w:r w:rsidR="00E8682E" w:rsidRPr="007A0E30">
        <w:rPr>
          <w:noProof/>
        </w:rPr>
        <w:t>Section</w:t>
      </w:r>
      <w:r w:rsidRPr="007A0E30">
        <w:rPr>
          <w:noProof/>
        </w:rPr>
        <w:t xml:space="preserve"> 2.1 </w:t>
      </w:r>
      <w:r w:rsidR="004E3769" w:rsidRPr="007A0E30">
        <w:rPr>
          <w:noProof/>
        </w:rPr>
        <w:t xml:space="preserve">and Annex 15 </w:t>
      </w:r>
      <w:r w:rsidRPr="007A0E30">
        <w:rPr>
          <w:noProof/>
        </w:rPr>
        <w:t>for more information on the calculations.</w:t>
      </w:r>
      <w:r>
        <w:rPr>
          <w:noProof/>
        </w:rPr>
        <w:t xml:space="preserve"> </w:t>
      </w:r>
    </w:p>
    <w:tbl>
      <w:tblPr>
        <w:tblStyle w:val="TableGrid"/>
        <w:tblW w:w="9014" w:type="dxa"/>
        <w:jc w:val="center"/>
        <w:tblInd w:w="0" w:type="dxa"/>
        <w:tblLayout w:type="fixed"/>
        <w:tblLook w:val="06A0" w:firstRow="1" w:lastRow="0" w:firstColumn="1" w:lastColumn="0" w:noHBand="1" w:noVBand="1"/>
      </w:tblPr>
      <w:tblGrid>
        <w:gridCol w:w="9014"/>
      </w:tblGrid>
      <w:tr w:rsidR="00285741" w14:paraId="67AE9D39" w14:textId="77777777">
        <w:trPr>
          <w:trHeight w:val="300"/>
          <w:jc w:val="center"/>
        </w:trPr>
        <w:tc>
          <w:tcPr>
            <w:tcW w:w="9014" w:type="dxa"/>
            <w:tcBorders>
              <w:top w:val="single" w:sz="4" w:space="0" w:color="auto"/>
              <w:left w:val="single" w:sz="4" w:space="0" w:color="auto"/>
              <w:bottom w:val="single" w:sz="4" w:space="0" w:color="auto"/>
              <w:right w:val="single" w:sz="4" w:space="0" w:color="auto"/>
            </w:tcBorders>
          </w:tcPr>
          <w:p w14:paraId="11F10DE4" w14:textId="77777777" w:rsidR="00285741" w:rsidRPr="00BE7E13" w:rsidRDefault="00285741">
            <w:pPr>
              <w:spacing w:after="120"/>
              <w:rPr>
                <w:noProof/>
                <w:szCs w:val="20"/>
              </w:rPr>
            </w:pPr>
            <w:r>
              <w:rPr>
                <w:noProof/>
              </w:rPr>
              <w:t>Cross-border businesses could further benefit from the Single Digital Gateway (SDG)</w:t>
            </w:r>
            <w:r>
              <w:rPr>
                <w:rStyle w:val="FootnoteReference"/>
                <w:noProof/>
              </w:rPr>
              <w:footnoteReference w:id="161"/>
            </w:r>
            <w:r>
              <w:rPr>
                <w:noProof/>
              </w:rPr>
              <w:t xml:space="preserve">, notably reducing time and money dedicated to gather information or completing administrative procedures. </w:t>
            </w:r>
            <w:r w:rsidRPr="00BE7E13">
              <w:rPr>
                <w:noProof/>
                <w:szCs w:val="20"/>
              </w:rPr>
              <w:t xml:space="preserve">64% of respondents to the </w:t>
            </w:r>
            <w:r w:rsidRPr="00BE7E13">
              <w:rPr>
                <w:b/>
                <w:noProof/>
                <w:szCs w:val="20"/>
              </w:rPr>
              <w:t>Public Consultation</w:t>
            </w:r>
            <w:r w:rsidRPr="00BE7E13">
              <w:rPr>
                <w:noProof/>
                <w:szCs w:val="20"/>
              </w:rPr>
              <w:t xml:space="preserve"> (114 out of 179) agree that a fully digitalised permitting process is a relevant measure for accelerating permitting for industrial decarbonisation projects. Additionally, 61% (108 out of 178) support </w:t>
            </w:r>
            <w:r w:rsidRPr="00BE7E13">
              <w:rPr>
                <w:noProof/>
                <w:szCs w:val="20"/>
              </w:rPr>
              <w:lastRenderedPageBreak/>
              <w:t>improved administrative cooperation through digital tools as a relevant approach. Further identified measures for speeding up permitting for industrial decarbonisation were single points of contact (83%, 136 out of 163), time limits for the permit granting process (88%, 149 out of 170), joint environmental assessment when required under multiple legal acts (76%, 133 out of 176) and tacit approval for certain administrative decisions (83%, 144 out of 138)).</w:t>
            </w:r>
          </w:p>
        </w:tc>
      </w:tr>
    </w:tbl>
    <w:p w14:paraId="30D272CB" w14:textId="77777777" w:rsidR="00285741" w:rsidRPr="005E418C" w:rsidRDefault="00285741">
      <w:pPr>
        <w:pStyle w:val="Text2"/>
        <w:spacing w:before="240"/>
        <w:ind w:left="0"/>
        <w:rPr>
          <w:noProof/>
        </w:rPr>
      </w:pPr>
      <w:r w:rsidRPr="000272AD">
        <w:rPr>
          <w:b/>
          <w:noProof/>
        </w:rPr>
        <w:lastRenderedPageBreak/>
        <w:t xml:space="preserve">AREA 1 </w:t>
      </w:r>
      <w:r w:rsidRPr="009D11EB">
        <w:rPr>
          <w:noProof/>
        </w:rPr>
        <w:t>-</w:t>
      </w:r>
      <w:r>
        <w:rPr>
          <w:noProof/>
        </w:rPr>
        <w:t xml:space="preserve"> Regarding the </w:t>
      </w:r>
      <w:r w:rsidRPr="000272AD">
        <w:rPr>
          <w:noProof/>
        </w:rPr>
        <w:t xml:space="preserve">definition of </w:t>
      </w:r>
      <w:r w:rsidRPr="000272AD">
        <w:rPr>
          <w:b/>
          <w:noProof/>
        </w:rPr>
        <w:t>criteria for industrial areas</w:t>
      </w:r>
      <w:r w:rsidRPr="000272AD">
        <w:rPr>
          <w:noProof/>
        </w:rPr>
        <w:t>,</w:t>
      </w:r>
      <w:r w:rsidRPr="000272AD">
        <w:rPr>
          <w:b/>
          <w:noProof/>
        </w:rPr>
        <w:t xml:space="preserve"> </w:t>
      </w:r>
      <w:r>
        <w:rPr>
          <w:noProof/>
        </w:rPr>
        <w:t xml:space="preserve">the measures would recommend Member States to make use of the criteria defined in the IAA to focus on which projects to support under their national schemes. As this would be only a recommendation to Member States, it can be assumed that the effect </w:t>
      </w:r>
      <w:r w:rsidRPr="005E418C">
        <w:rPr>
          <w:noProof/>
        </w:rPr>
        <w:t xml:space="preserve">on companies is likely to be limited and potentially fragmented across the EU Single market, with some limited support for projects and industrial sectors with strategic importance for the EU. </w:t>
      </w:r>
    </w:p>
    <w:p w14:paraId="148A9C7B" w14:textId="77777777" w:rsidR="00285741" w:rsidRPr="005E418C" w:rsidRDefault="00285741" w:rsidP="00285741">
      <w:pPr>
        <w:pStyle w:val="Heading4"/>
        <w:numPr>
          <w:ilvl w:val="3"/>
          <w:numId w:val="64"/>
        </w:numPr>
        <w:spacing w:before="0" w:after="0"/>
        <w:ind w:left="0" w:firstLine="130"/>
        <w:rPr>
          <w:b/>
          <w:bCs/>
          <w:noProof/>
        </w:rPr>
      </w:pPr>
      <w:bookmarkStart w:id="70" w:name="_Ref212647944"/>
      <w:r w:rsidRPr="005E418C">
        <w:rPr>
          <w:b/>
          <w:noProof/>
          <w:color w:val="auto"/>
        </w:rPr>
        <w:t>Impact on downstream sectors</w:t>
      </w:r>
      <w:bookmarkEnd w:id="70"/>
      <w:r w:rsidRPr="005E418C">
        <w:rPr>
          <w:b/>
          <w:noProof/>
          <w:color w:val="auto"/>
        </w:rPr>
        <w:t xml:space="preserve"> </w:t>
      </w:r>
    </w:p>
    <w:p w14:paraId="24A1E025" w14:textId="77777777" w:rsidR="00285741" w:rsidRPr="005E418C" w:rsidRDefault="00285741" w:rsidP="00320CAA">
      <w:pPr>
        <w:rPr>
          <w:rFonts w:eastAsia="Times New Roman"/>
          <w:b/>
          <w:bCs/>
          <w:noProof/>
        </w:rPr>
      </w:pPr>
    </w:p>
    <w:p w14:paraId="7120AD87" w14:textId="77777777" w:rsidR="00285741" w:rsidRPr="005E418C" w:rsidRDefault="00285741">
      <w:pPr>
        <w:pStyle w:val="Text2"/>
        <w:spacing w:after="120"/>
        <w:ind w:left="0"/>
        <w:rPr>
          <w:noProof/>
        </w:rPr>
      </w:pPr>
      <w:r w:rsidRPr="005E418C">
        <w:rPr>
          <w:b/>
          <w:noProof/>
        </w:rPr>
        <w:t>LEAD_EII 1</w:t>
      </w:r>
      <w:r w:rsidRPr="005E418C">
        <w:rPr>
          <w:noProof/>
        </w:rPr>
        <w:t xml:space="preserve"> will have an impact on the cost of procuring low-carbon materials, as well as an impact on the final product pricing across the automotive and construction sectors. </w:t>
      </w:r>
    </w:p>
    <w:p w14:paraId="087DE293" w14:textId="6801D0E0" w:rsidR="00615C6E" w:rsidRPr="005E418C" w:rsidRDefault="00FE617E" w:rsidP="1A2A8689">
      <w:pPr>
        <w:pStyle w:val="Text2"/>
        <w:spacing w:after="120"/>
        <w:ind w:left="0"/>
        <w:rPr>
          <w:i/>
          <w:iCs/>
          <w:noProof/>
        </w:rPr>
      </w:pPr>
      <w:r w:rsidRPr="005E418C">
        <w:rPr>
          <w:i/>
          <w:iCs/>
          <w:noProof/>
        </w:rPr>
        <w:t>Automotive sector</w:t>
      </w:r>
    </w:p>
    <w:p w14:paraId="4D8978C2" w14:textId="7CC50286" w:rsidR="00214B95" w:rsidRPr="005E418C" w:rsidRDefault="003A29D8" w:rsidP="1A2A8689">
      <w:pPr>
        <w:pStyle w:val="Text2"/>
        <w:spacing w:after="120"/>
        <w:ind w:left="0"/>
        <w:rPr>
          <w:noProof/>
          <w:color w:val="000000" w:themeColor="text1"/>
        </w:rPr>
      </w:pPr>
      <w:r w:rsidRPr="005E418C">
        <w:rPr>
          <w:noProof/>
          <w:color w:val="000000" w:themeColor="text1"/>
        </w:rPr>
        <w:t xml:space="preserve">A </w:t>
      </w:r>
      <w:r w:rsidR="7C355CBF" w:rsidRPr="005E418C">
        <w:rPr>
          <w:noProof/>
          <w:color w:val="000000" w:themeColor="text1"/>
        </w:rPr>
        <w:t xml:space="preserve">25% low carbon steel target would lead to a price increase for a midsize passenger vehicle </w:t>
      </w:r>
      <w:r w:rsidR="00652F76" w:rsidRPr="005E418C">
        <w:rPr>
          <w:noProof/>
          <w:color w:val="000000" w:themeColor="text1"/>
        </w:rPr>
        <w:t>of</w:t>
      </w:r>
      <w:r w:rsidR="7C355CBF" w:rsidRPr="005E418C">
        <w:rPr>
          <w:noProof/>
          <w:color w:val="000000" w:themeColor="text1"/>
        </w:rPr>
        <w:t xml:space="preserve"> 0.125% increase in the </w:t>
      </w:r>
      <w:r w:rsidR="00D426DA" w:rsidRPr="005E418C">
        <w:rPr>
          <w:noProof/>
          <w:color w:val="000000" w:themeColor="text1"/>
        </w:rPr>
        <w:t xml:space="preserve">average </w:t>
      </w:r>
      <w:r w:rsidR="7C355CBF" w:rsidRPr="005E418C">
        <w:rPr>
          <w:noProof/>
          <w:color w:val="000000" w:themeColor="text1"/>
        </w:rPr>
        <w:t xml:space="preserve">price of a </w:t>
      </w:r>
      <w:r w:rsidR="45022E4A" w:rsidRPr="005E418C">
        <w:rPr>
          <w:noProof/>
          <w:color w:val="000000" w:themeColor="text1"/>
        </w:rPr>
        <w:t>vehicle</w:t>
      </w:r>
      <w:r w:rsidR="00285741" w:rsidRPr="005E418C">
        <w:rPr>
          <w:rStyle w:val="FootnoteReference"/>
          <w:noProof/>
          <w:color w:val="000000" w:themeColor="text1"/>
        </w:rPr>
        <w:footnoteReference w:id="162"/>
      </w:r>
      <w:r w:rsidR="7C355CBF" w:rsidRPr="005E418C">
        <w:rPr>
          <w:noProof/>
          <w:color w:val="000000" w:themeColor="text1"/>
        </w:rPr>
        <w:t>, resulting in a EUR 46.6</w:t>
      </w:r>
      <w:r w:rsidR="66842038" w:rsidRPr="005E418C">
        <w:rPr>
          <w:noProof/>
          <w:color w:val="000000" w:themeColor="text1"/>
        </w:rPr>
        <w:t>7</w:t>
      </w:r>
      <w:r w:rsidR="7C355CBF" w:rsidRPr="005E418C">
        <w:rPr>
          <w:noProof/>
          <w:color w:val="000000" w:themeColor="text1"/>
        </w:rPr>
        <w:t xml:space="preserve"> price increase per passenger vehicle and EUR 186.4 for heavy-duty vehicles. </w:t>
      </w:r>
      <w:r w:rsidR="00C17057" w:rsidRPr="00360154">
        <w:rPr>
          <w:noProof/>
          <w:color w:val="000000" w:themeColor="text1"/>
        </w:rPr>
        <w:t xml:space="preserve">The results for low-carbon aluminium present </w:t>
      </w:r>
      <w:r w:rsidR="00F214E9" w:rsidRPr="00360154">
        <w:rPr>
          <w:noProof/>
          <w:color w:val="000000" w:themeColor="text1"/>
        </w:rPr>
        <w:t xml:space="preserve">similarly low impacts in the price of a vehicle </w:t>
      </w:r>
      <w:r w:rsidR="00DC5378" w:rsidRPr="00360154">
        <w:rPr>
          <w:noProof/>
          <w:color w:val="000000" w:themeColor="text1"/>
        </w:rPr>
        <w:t xml:space="preserve">with </w:t>
      </w:r>
      <w:r w:rsidR="00970BED" w:rsidRPr="00360154">
        <w:rPr>
          <w:noProof/>
          <w:color w:val="000000" w:themeColor="text1"/>
        </w:rPr>
        <w:t>only a</w:t>
      </w:r>
      <w:r w:rsidR="00DC5378" w:rsidRPr="00360154">
        <w:rPr>
          <w:noProof/>
          <w:color w:val="000000" w:themeColor="text1"/>
        </w:rPr>
        <w:t xml:space="preserve"> 0.1%</w:t>
      </w:r>
      <w:r w:rsidR="00780D8E" w:rsidRPr="00360154">
        <w:rPr>
          <w:noProof/>
          <w:color w:val="000000" w:themeColor="text1"/>
        </w:rPr>
        <w:t xml:space="preserve"> increase</w:t>
      </w:r>
      <w:r w:rsidR="00CE3BD1" w:rsidRPr="00360154">
        <w:rPr>
          <w:rStyle w:val="FootnoteReference"/>
          <w:noProof/>
          <w:color w:val="000000" w:themeColor="text1"/>
        </w:rPr>
        <w:footnoteReference w:id="163"/>
      </w:r>
      <w:r w:rsidR="007E679C" w:rsidRPr="00360154">
        <w:rPr>
          <w:noProof/>
          <w:color w:val="000000" w:themeColor="text1"/>
        </w:rPr>
        <w:t xml:space="preserve">, </w:t>
      </w:r>
      <w:r w:rsidR="007C4AA9" w:rsidRPr="00360154">
        <w:rPr>
          <w:noProof/>
          <w:color w:val="000000" w:themeColor="text1"/>
        </w:rPr>
        <w:t xml:space="preserve">or </w:t>
      </w:r>
      <w:r w:rsidR="007E679C" w:rsidRPr="00360154">
        <w:rPr>
          <w:noProof/>
          <w:color w:val="000000" w:themeColor="text1"/>
        </w:rPr>
        <w:t xml:space="preserve">EUR </w:t>
      </w:r>
      <w:r w:rsidR="0013112A" w:rsidRPr="00360154">
        <w:rPr>
          <w:noProof/>
          <w:color w:val="000000" w:themeColor="text1"/>
        </w:rPr>
        <w:t>22.6</w:t>
      </w:r>
      <w:r w:rsidR="007C4AA9" w:rsidRPr="00360154">
        <w:rPr>
          <w:noProof/>
          <w:color w:val="000000" w:themeColor="text1"/>
        </w:rPr>
        <w:t xml:space="preserve">, bringing the total cost per </w:t>
      </w:r>
      <w:r w:rsidR="005004FC" w:rsidRPr="00360154">
        <w:rPr>
          <w:noProof/>
          <w:color w:val="000000" w:themeColor="text1"/>
        </w:rPr>
        <w:t>passenger</w:t>
      </w:r>
      <w:r w:rsidR="007C4AA9" w:rsidRPr="00360154">
        <w:rPr>
          <w:noProof/>
          <w:color w:val="000000" w:themeColor="text1"/>
        </w:rPr>
        <w:t xml:space="preserve"> vehicle </w:t>
      </w:r>
      <w:r w:rsidR="007C4AA9" w:rsidRPr="00360154">
        <w:rPr>
          <w:b/>
          <w:noProof/>
          <w:color w:val="000000" w:themeColor="text1"/>
        </w:rPr>
        <w:t>at 0.225% increase for both the low-carbon steel and aluminium</w:t>
      </w:r>
      <w:r w:rsidR="007C4AA9" w:rsidRPr="00360154">
        <w:rPr>
          <w:noProof/>
          <w:color w:val="000000" w:themeColor="text1"/>
        </w:rPr>
        <w:t xml:space="preserve">. </w:t>
      </w:r>
      <w:r w:rsidR="005D5E9F" w:rsidRPr="00360154">
        <w:rPr>
          <w:noProof/>
          <w:color w:val="000000" w:themeColor="text1"/>
        </w:rPr>
        <w:t xml:space="preserve">The overall impact </w:t>
      </w:r>
      <w:r w:rsidR="00112832" w:rsidRPr="00360154">
        <w:rPr>
          <w:noProof/>
          <w:color w:val="000000" w:themeColor="text1"/>
        </w:rPr>
        <w:t>per</w:t>
      </w:r>
      <w:r w:rsidR="005D5E9F" w:rsidRPr="00360154">
        <w:rPr>
          <w:noProof/>
          <w:color w:val="000000" w:themeColor="text1"/>
        </w:rPr>
        <w:t xml:space="preserve"> </w:t>
      </w:r>
      <w:r w:rsidR="00140FBB" w:rsidRPr="00360154">
        <w:rPr>
          <w:noProof/>
          <w:color w:val="000000" w:themeColor="text1"/>
        </w:rPr>
        <w:t>passenger (light duty)</w:t>
      </w:r>
      <w:r w:rsidR="005D5E9F" w:rsidRPr="00360154">
        <w:rPr>
          <w:noProof/>
          <w:color w:val="000000" w:themeColor="text1"/>
        </w:rPr>
        <w:t xml:space="preserve"> </w:t>
      </w:r>
      <w:r w:rsidR="004501AC" w:rsidRPr="00360154">
        <w:rPr>
          <w:noProof/>
          <w:color w:val="000000" w:themeColor="text1"/>
        </w:rPr>
        <w:t>vehicle</w:t>
      </w:r>
      <w:r w:rsidR="005D5E9F" w:rsidRPr="00360154">
        <w:rPr>
          <w:noProof/>
          <w:color w:val="000000" w:themeColor="text1"/>
        </w:rPr>
        <w:t xml:space="preserve"> would </w:t>
      </w:r>
      <w:r w:rsidR="00112832" w:rsidRPr="00360154">
        <w:rPr>
          <w:noProof/>
          <w:color w:val="000000" w:themeColor="text1"/>
        </w:rPr>
        <w:t>total to</w:t>
      </w:r>
      <w:r w:rsidR="00780D8E" w:rsidRPr="00360154">
        <w:rPr>
          <w:noProof/>
          <w:color w:val="000000" w:themeColor="text1"/>
        </w:rPr>
        <w:t xml:space="preserve"> </w:t>
      </w:r>
      <w:r w:rsidR="0013112A" w:rsidRPr="00360154">
        <w:rPr>
          <w:b/>
          <w:noProof/>
          <w:color w:val="000000" w:themeColor="text1"/>
        </w:rPr>
        <w:t>EUR</w:t>
      </w:r>
      <w:r w:rsidR="004618CE" w:rsidRPr="00360154">
        <w:rPr>
          <w:b/>
          <w:noProof/>
          <w:color w:val="000000" w:themeColor="text1"/>
        </w:rPr>
        <w:t xml:space="preserve"> 69.27</w:t>
      </w:r>
      <w:r w:rsidR="004618CE" w:rsidRPr="00360154">
        <w:rPr>
          <w:noProof/>
          <w:color w:val="000000" w:themeColor="text1"/>
        </w:rPr>
        <w:t>.</w:t>
      </w:r>
      <w:r w:rsidR="00C641C9" w:rsidRPr="005E418C">
        <w:rPr>
          <w:noProof/>
          <w:color w:val="000000" w:themeColor="text1"/>
        </w:rPr>
        <w:t xml:space="preserve"> </w:t>
      </w:r>
    </w:p>
    <w:p w14:paraId="74DB913D" w14:textId="10677000" w:rsidR="00214B95" w:rsidRPr="00360154" w:rsidRDefault="00122B6D" w:rsidP="00214B95">
      <w:pPr>
        <w:pStyle w:val="Text2"/>
        <w:spacing w:after="120"/>
        <w:ind w:left="0"/>
        <w:rPr>
          <w:noProof/>
          <w:color w:val="000000" w:themeColor="text1"/>
        </w:rPr>
      </w:pPr>
      <w:r w:rsidRPr="00360154">
        <w:rPr>
          <w:noProof/>
          <w:color w:val="000000" w:themeColor="text1"/>
        </w:rPr>
        <w:t>As a result</w:t>
      </w:r>
      <w:r w:rsidR="005A314C" w:rsidRPr="00360154">
        <w:rPr>
          <w:noProof/>
          <w:color w:val="000000" w:themeColor="text1"/>
        </w:rPr>
        <w:t xml:space="preserve"> of the modelling </w:t>
      </w:r>
      <w:r w:rsidR="00842F35" w:rsidRPr="00360154">
        <w:rPr>
          <w:noProof/>
          <w:color w:val="000000" w:themeColor="text1"/>
        </w:rPr>
        <w:t>exercise</w:t>
      </w:r>
      <w:r w:rsidRPr="00360154">
        <w:rPr>
          <w:noProof/>
          <w:color w:val="000000" w:themeColor="text1"/>
        </w:rPr>
        <w:t xml:space="preserve">, the value added of the automotive sector would be affected </w:t>
      </w:r>
      <w:r w:rsidR="00F718B0" w:rsidRPr="00360154">
        <w:rPr>
          <w:noProof/>
          <w:color w:val="000000" w:themeColor="text1"/>
        </w:rPr>
        <w:t xml:space="preserve">in a limited way, </w:t>
      </w:r>
      <w:r w:rsidRPr="00360154">
        <w:rPr>
          <w:noProof/>
          <w:color w:val="000000" w:themeColor="text1"/>
        </w:rPr>
        <w:t xml:space="preserve">with losses of EUR </w:t>
      </w:r>
      <w:r w:rsidR="00580B45" w:rsidRPr="00360154">
        <w:rPr>
          <w:noProof/>
          <w:color w:val="000000" w:themeColor="text1"/>
        </w:rPr>
        <w:t xml:space="preserve">291 </w:t>
      </w:r>
      <w:r w:rsidR="00EE5167" w:rsidRPr="00360154">
        <w:rPr>
          <w:noProof/>
          <w:color w:val="000000" w:themeColor="text1"/>
        </w:rPr>
        <w:t>million</w:t>
      </w:r>
      <w:r w:rsidR="00FB7DAE" w:rsidRPr="00360154">
        <w:rPr>
          <w:noProof/>
          <w:color w:val="000000" w:themeColor="text1"/>
        </w:rPr>
        <w:t xml:space="preserve"> for the entire sector</w:t>
      </w:r>
      <w:r w:rsidR="00580B45" w:rsidRPr="00360154">
        <w:rPr>
          <w:noProof/>
          <w:color w:val="000000" w:themeColor="text1"/>
        </w:rPr>
        <w:t>.</w:t>
      </w:r>
      <w:r w:rsidR="00214B95" w:rsidRPr="00360154">
        <w:rPr>
          <w:noProof/>
          <w:color w:val="000000" w:themeColor="text1"/>
        </w:rPr>
        <w:t xml:space="preserve"> These losses are a </w:t>
      </w:r>
      <w:r w:rsidR="00B94159" w:rsidRPr="00360154">
        <w:rPr>
          <w:noProof/>
          <w:color w:val="000000" w:themeColor="text1"/>
        </w:rPr>
        <w:t>consequence of the</w:t>
      </w:r>
      <w:r w:rsidR="00214B95" w:rsidRPr="00360154">
        <w:rPr>
          <w:noProof/>
          <w:color w:val="000000" w:themeColor="text1"/>
        </w:rPr>
        <w:t xml:space="preserve"> higher final </w:t>
      </w:r>
      <w:r w:rsidR="00493179" w:rsidRPr="00360154">
        <w:rPr>
          <w:noProof/>
          <w:color w:val="000000" w:themeColor="text1"/>
        </w:rPr>
        <w:t xml:space="preserve">vehicle </w:t>
      </w:r>
      <w:r w:rsidR="00214B95" w:rsidRPr="00360154">
        <w:rPr>
          <w:noProof/>
          <w:color w:val="000000" w:themeColor="text1"/>
        </w:rPr>
        <w:t xml:space="preserve">price driven by the newly imposed green premium and </w:t>
      </w:r>
      <w:r w:rsidR="001978A3" w:rsidRPr="00360154">
        <w:rPr>
          <w:noProof/>
          <w:color w:val="000000" w:themeColor="text1"/>
        </w:rPr>
        <w:t>the consequent</w:t>
      </w:r>
      <w:r w:rsidR="00214B95" w:rsidRPr="00360154">
        <w:rPr>
          <w:noProof/>
          <w:color w:val="000000" w:themeColor="text1"/>
        </w:rPr>
        <w:t xml:space="preserve"> decrease in the consumption of automotive and construction sectors.</w:t>
      </w:r>
    </w:p>
    <w:p w14:paraId="2EBBB007" w14:textId="4E47CEFE" w:rsidR="00B6620F" w:rsidRPr="005E418C" w:rsidRDefault="00580B45" w:rsidP="1A2A8689">
      <w:pPr>
        <w:pStyle w:val="Text2"/>
        <w:spacing w:after="120"/>
        <w:ind w:left="0"/>
        <w:rPr>
          <w:noProof/>
          <w:color w:val="000000" w:themeColor="text1"/>
        </w:rPr>
      </w:pPr>
      <w:r w:rsidRPr="005E418C">
        <w:rPr>
          <w:noProof/>
          <w:color w:val="000000" w:themeColor="text1"/>
        </w:rPr>
        <w:t xml:space="preserve"> </w:t>
      </w:r>
      <w:r w:rsidR="7C355CBF" w:rsidRPr="005E418C">
        <w:rPr>
          <w:noProof/>
          <w:color w:val="000000" w:themeColor="text1"/>
        </w:rPr>
        <w:t xml:space="preserve">See Annex 4 </w:t>
      </w:r>
      <w:r w:rsidR="0FFD6104" w:rsidRPr="005E418C">
        <w:rPr>
          <w:noProof/>
          <w:color w:val="000000" w:themeColor="text1"/>
        </w:rPr>
        <w:t>Section</w:t>
      </w:r>
      <w:r w:rsidR="7C355CBF" w:rsidRPr="005E418C">
        <w:rPr>
          <w:noProof/>
          <w:color w:val="000000" w:themeColor="text1"/>
        </w:rPr>
        <w:t xml:space="preserve"> 2.2 for more details on cost calculation. </w:t>
      </w:r>
      <w:r w:rsidR="00B428ED" w:rsidRPr="00360154">
        <w:rPr>
          <w:noProof/>
          <w:color w:val="000000" w:themeColor="text1"/>
        </w:rPr>
        <w:t>F</w:t>
      </w:r>
      <w:r w:rsidR="011C0534" w:rsidRPr="00360154">
        <w:rPr>
          <w:noProof/>
          <w:color w:val="000000" w:themeColor="text1"/>
        </w:rPr>
        <w:t xml:space="preserve">ollowing </w:t>
      </w:r>
      <w:r w:rsidR="03E5C11B" w:rsidRPr="00360154">
        <w:rPr>
          <w:noProof/>
          <w:color w:val="000000" w:themeColor="text1"/>
        </w:rPr>
        <w:t>the sensitivity analysis</w:t>
      </w:r>
      <w:r w:rsidR="15DD5263" w:rsidRPr="00360154" w:rsidDel="00166593">
        <w:rPr>
          <w:noProof/>
          <w:color w:val="000000" w:themeColor="text1"/>
        </w:rPr>
        <w:t xml:space="preserve"> </w:t>
      </w:r>
      <w:r w:rsidR="256F8ACF" w:rsidRPr="00360154">
        <w:rPr>
          <w:noProof/>
          <w:color w:val="000000" w:themeColor="text1"/>
        </w:rPr>
        <w:t>for the</w:t>
      </w:r>
      <w:r w:rsidR="7A554937" w:rsidRPr="00360154">
        <w:rPr>
          <w:noProof/>
          <w:color w:val="000000" w:themeColor="text1"/>
        </w:rPr>
        <w:t xml:space="preserve"> </w:t>
      </w:r>
      <w:r w:rsidR="15DD5263" w:rsidRPr="00360154">
        <w:rPr>
          <w:noProof/>
          <w:color w:val="000000" w:themeColor="text1"/>
        </w:rPr>
        <w:t>corporate</w:t>
      </w:r>
      <w:r w:rsidR="03E5C11B" w:rsidRPr="00360154">
        <w:rPr>
          <w:noProof/>
          <w:color w:val="000000" w:themeColor="text1"/>
        </w:rPr>
        <w:t xml:space="preserve"> fleets</w:t>
      </w:r>
      <w:r w:rsidR="00FF15FB" w:rsidRPr="00360154">
        <w:rPr>
          <w:noProof/>
          <w:color w:val="000000" w:themeColor="text1"/>
        </w:rPr>
        <w:t xml:space="preserve"> expected in 2030</w:t>
      </w:r>
      <w:r w:rsidR="011C0534" w:rsidRPr="00360154">
        <w:rPr>
          <w:noProof/>
          <w:color w:val="000000" w:themeColor="text1"/>
        </w:rPr>
        <w:t>, the costs could range from</w:t>
      </w:r>
      <w:r w:rsidR="03E5C11B" w:rsidRPr="00360154">
        <w:rPr>
          <w:noProof/>
          <w:color w:val="000000" w:themeColor="text1"/>
        </w:rPr>
        <w:t xml:space="preserve"> EUR 179.6 million </w:t>
      </w:r>
      <w:r w:rsidR="000F365F" w:rsidRPr="00360154">
        <w:rPr>
          <w:noProof/>
          <w:color w:val="000000" w:themeColor="text1"/>
        </w:rPr>
        <w:t xml:space="preserve">up </w:t>
      </w:r>
      <w:r w:rsidR="002F05B3" w:rsidRPr="00360154">
        <w:rPr>
          <w:noProof/>
          <w:color w:val="000000" w:themeColor="text1"/>
        </w:rPr>
        <w:t>to</w:t>
      </w:r>
      <w:r w:rsidR="03E5C11B" w:rsidRPr="00360154">
        <w:rPr>
          <w:noProof/>
          <w:color w:val="000000" w:themeColor="text1"/>
        </w:rPr>
        <w:t xml:space="preserve"> EUR 417.1</w:t>
      </w:r>
      <w:r w:rsidR="08FA46BD" w:rsidRPr="00360154">
        <w:rPr>
          <w:noProof/>
          <w:color w:val="000000" w:themeColor="text1"/>
        </w:rPr>
        <w:t>3</w:t>
      </w:r>
      <w:r w:rsidR="03E5C11B" w:rsidRPr="00360154">
        <w:rPr>
          <w:noProof/>
          <w:color w:val="000000" w:themeColor="text1"/>
        </w:rPr>
        <w:t xml:space="preserve"> million</w:t>
      </w:r>
      <w:r w:rsidR="29054C96" w:rsidRPr="00360154">
        <w:rPr>
          <w:noProof/>
          <w:color w:val="000000" w:themeColor="text1"/>
        </w:rPr>
        <w:t xml:space="preserve"> derived from uncertainties linked to the </w:t>
      </w:r>
      <w:r w:rsidR="2108E7BC" w:rsidRPr="00360154">
        <w:rPr>
          <w:noProof/>
          <w:color w:val="000000" w:themeColor="text1"/>
        </w:rPr>
        <w:t>future cost of low-carbon steel</w:t>
      </w:r>
      <w:r w:rsidR="776F5A80" w:rsidRPr="00360154">
        <w:rPr>
          <w:noProof/>
          <w:color w:val="000000" w:themeColor="text1"/>
        </w:rPr>
        <w:t>, notably on the technology routes used</w:t>
      </w:r>
      <w:r w:rsidR="5030D3A2" w:rsidRPr="00360154">
        <w:rPr>
          <w:noProof/>
          <w:color w:val="000000" w:themeColor="text1"/>
        </w:rPr>
        <w:t xml:space="preserve"> to decarbonise</w:t>
      </w:r>
      <w:r w:rsidR="03E5C11B" w:rsidRPr="00360154">
        <w:rPr>
          <w:noProof/>
          <w:color w:val="000000" w:themeColor="text1"/>
        </w:rPr>
        <w:t>.</w:t>
      </w:r>
      <w:r w:rsidR="03E5C11B" w:rsidRPr="005E418C">
        <w:rPr>
          <w:noProof/>
          <w:color w:val="000000" w:themeColor="text1"/>
        </w:rPr>
        <w:t xml:space="preserve"> </w:t>
      </w:r>
      <w:r w:rsidR="3575A46F" w:rsidRPr="00360154">
        <w:rPr>
          <w:noProof/>
          <w:color w:val="000000" w:themeColor="text1"/>
        </w:rPr>
        <w:t>S</w:t>
      </w:r>
      <w:r w:rsidR="03E5C11B" w:rsidRPr="00360154">
        <w:rPr>
          <w:noProof/>
          <w:color w:val="000000" w:themeColor="text1"/>
        </w:rPr>
        <w:t>ee Annex 15 for more information</w:t>
      </w:r>
      <w:r w:rsidR="03E5C11B" w:rsidRPr="005E418C">
        <w:rPr>
          <w:noProof/>
          <w:color w:val="000000" w:themeColor="text1"/>
        </w:rPr>
        <w:t>.</w:t>
      </w:r>
      <w:r w:rsidR="6526A693" w:rsidRPr="005E418C">
        <w:rPr>
          <w:noProof/>
          <w:color w:val="000000" w:themeColor="text1"/>
        </w:rPr>
        <w:t xml:space="preserve"> </w:t>
      </w:r>
    </w:p>
    <w:p w14:paraId="53DCB1B8" w14:textId="77777777" w:rsidR="00274FDC" w:rsidRPr="005E418C" w:rsidRDefault="00A26183" w:rsidP="1A2A8689">
      <w:pPr>
        <w:pStyle w:val="Text2"/>
        <w:spacing w:after="120"/>
        <w:ind w:left="0"/>
        <w:rPr>
          <w:noProof/>
        </w:rPr>
      </w:pPr>
      <w:r w:rsidRPr="005E418C">
        <w:rPr>
          <w:noProof/>
        </w:rPr>
        <w:t xml:space="preserve">Besides the premium linked to the use of low-carbon steel, vehicle manufacturers may need to adjust their supply chains to source the materials, which can lead to additional costs and logistical challenges. The effects of the supply chain adjustments will depend on the verification rules in place to comply with the requirements. In the case of steel, the approach established under the label on the carbon intensity (SO1) is based on third party verified data and on ensuring physical traceability. </w:t>
      </w:r>
    </w:p>
    <w:p w14:paraId="79F425D7" w14:textId="10D198B9" w:rsidR="00FE617E" w:rsidRPr="005E418C" w:rsidRDefault="00FE617E" w:rsidP="1A2A8689">
      <w:pPr>
        <w:pStyle w:val="Text2"/>
        <w:spacing w:after="120"/>
        <w:ind w:left="0"/>
        <w:rPr>
          <w:i/>
          <w:iCs/>
          <w:noProof/>
        </w:rPr>
      </w:pPr>
      <w:r w:rsidRPr="005E418C">
        <w:rPr>
          <w:i/>
          <w:iCs/>
          <w:noProof/>
        </w:rPr>
        <w:t xml:space="preserve">Construction sector </w:t>
      </w:r>
    </w:p>
    <w:p w14:paraId="2CB5FE1E" w14:textId="4933822A" w:rsidR="004325C3" w:rsidRPr="005E418C" w:rsidRDefault="7C355CBF" w:rsidP="1A2A8689">
      <w:pPr>
        <w:pStyle w:val="Text2"/>
        <w:spacing w:after="120"/>
        <w:ind w:left="0"/>
        <w:rPr>
          <w:noProof/>
        </w:rPr>
      </w:pPr>
      <w:r w:rsidRPr="005E418C">
        <w:rPr>
          <w:noProof/>
        </w:rPr>
        <w:t>Different estimates indicate that the premium associated with low-carbon</w:t>
      </w:r>
      <w:r w:rsidRPr="005E418C">
        <w:rPr>
          <w:b/>
          <w:bCs/>
          <w:noProof/>
        </w:rPr>
        <w:t xml:space="preserve"> steel</w:t>
      </w:r>
      <w:r w:rsidRPr="005E418C">
        <w:rPr>
          <w:noProof/>
        </w:rPr>
        <w:t xml:space="preserve"> in the construction sector can account for 0.25</w:t>
      </w:r>
      <w:r w:rsidRPr="005E418C" w:rsidDel="00C57779">
        <w:rPr>
          <w:noProof/>
        </w:rPr>
        <w:t>%</w:t>
      </w:r>
      <w:r w:rsidRPr="005E418C">
        <w:rPr>
          <w:noProof/>
        </w:rPr>
        <w:t xml:space="preserve"> of total building costs, with some variations depending on the type of project.</w:t>
      </w:r>
      <w:r w:rsidR="00285741" w:rsidRPr="005E418C">
        <w:rPr>
          <w:rStyle w:val="FootnoteReference"/>
          <w:noProof/>
        </w:rPr>
        <w:footnoteReference w:id="164"/>
      </w:r>
      <w:r w:rsidRPr="005E418C">
        <w:rPr>
          <w:noProof/>
        </w:rPr>
        <w:t xml:space="preserve"> </w:t>
      </w:r>
      <w:r w:rsidR="00F1357C" w:rsidRPr="00360154">
        <w:rPr>
          <w:noProof/>
        </w:rPr>
        <w:t xml:space="preserve">In the case of </w:t>
      </w:r>
      <w:r w:rsidR="00CE3BD1" w:rsidRPr="00360154">
        <w:rPr>
          <w:noProof/>
        </w:rPr>
        <w:t xml:space="preserve">low-carbon </w:t>
      </w:r>
      <w:r w:rsidR="00CE3BD1" w:rsidRPr="00360154">
        <w:rPr>
          <w:b/>
          <w:noProof/>
        </w:rPr>
        <w:t>aluminium</w:t>
      </w:r>
      <w:r w:rsidR="00CE3BD1" w:rsidRPr="00360154">
        <w:rPr>
          <w:noProof/>
        </w:rPr>
        <w:t xml:space="preserve">, in the absence of </w:t>
      </w:r>
      <w:r w:rsidR="0031550F" w:rsidRPr="00360154">
        <w:rPr>
          <w:noProof/>
        </w:rPr>
        <w:lastRenderedPageBreak/>
        <w:t xml:space="preserve">construction </w:t>
      </w:r>
      <w:r w:rsidR="00E74A97" w:rsidRPr="00360154">
        <w:rPr>
          <w:noProof/>
        </w:rPr>
        <w:t>sector specific</w:t>
      </w:r>
      <w:r w:rsidR="001A19EE" w:rsidRPr="00360154">
        <w:rPr>
          <w:noProof/>
        </w:rPr>
        <w:t xml:space="preserve"> estimates, the 0.1% </w:t>
      </w:r>
      <w:r w:rsidR="000B3EBA" w:rsidRPr="00360154">
        <w:rPr>
          <w:noProof/>
        </w:rPr>
        <w:t>price</w:t>
      </w:r>
      <w:r w:rsidR="001A19EE" w:rsidRPr="00360154">
        <w:rPr>
          <w:noProof/>
        </w:rPr>
        <w:t xml:space="preserve"> increase</w:t>
      </w:r>
      <w:r w:rsidR="00092ECC" w:rsidRPr="00360154">
        <w:rPr>
          <w:rStyle w:val="FootnoteReference"/>
          <w:noProof/>
        </w:rPr>
        <w:footnoteReference w:id="165"/>
      </w:r>
      <w:r w:rsidR="001A19EE" w:rsidRPr="00360154">
        <w:rPr>
          <w:noProof/>
        </w:rPr>
        <w:t xml:space="preserve"> </w:t>
      </w:r>
      <w:r w:rsidR="000B3EBA" w:rsidRPr="00360154">
        <w:rPr>
          <w:noProof/>
        </w:rPr>
        <w:t>is also used</w:t>
      </w:r>
      <w:r w:rsidR="000B3EBA" w:rsidRPr="005E418C">
        <w:rPr>
          <w:noProof/>
        </w:rPr>
        <w:t>.</w:t>
      </w:r>
      <w:r w:rsidR="001A19EE" w:rsidRPr="005E418C">
        <w:rPr>
          <w:noProof/>
        </w:rPr>
        <w:t xml:space="preserve"> </w:t>
      </w:r>
      <w:r w:rsidRPr="005E418C">
        <w:rPr>
          <w:noProof/>
        </w:rPr>
        <w:t xml:space="preserve">Similarly, as far as </w:t>
      </w:r>
      <w:r w:rsidRPr="005E418C">
        <w:rPr>
          <w:b/>
          <w:bCs/>
          <w:noProof/>
        </w:rPr>
        <w:t xml:space="preserve">cement </w:t>
      </w:r>
      <w:r w:rsidRPr="005E418C">
        <w:rPr>
          <w:noProof/>
        </w:rPr>
        <w:t xml:space="preserve">is concerned, estimates on the impact of using low-carbon cement or </w:t>
      </w:r>
      <w:r w:rsidRPr="005E418C">
        <w:rPr>
          <w:noProof/>
          <w:color w:val="000000" w:themeColor="text1"/>
        </w:rPr>
        <w:t>concrete</w:t>
      </w:r>
      <w:r w:rsidRPr="005E418C">
        <w:rPr>
          <w:noProof/>
        </w:rPr>
        <w:t xml:space="preserve"> on the final price of a house or construction project range would be of 0.10% for a 5% low-carbon cement target</w:t>
      </w:r>
      <w:r w:rsidRPr="005E418C">
        <w:rPr>
          <w:noProof/>
          <w:szCs w:val="24"/>
        </w:rPr>
        <w:t>.</w:t>
      </w:r>
      <w:r w:rsidR="00285741" w:rsidRPr="005E418C">
        <w:rPr>
          <w:rStyle w:val="FootnoteReference"/>
          <w:noProof/>
        </w:rPr>
        <w:footnoteReference w:id="166"/>
      </w:r>
      <w:r w:rsidRPr="005E418C" w:rsidDel="00B8207E">
        <w:rPr>
          <w:noProof/>
        </w:rPr>
        <w:t xml:space="preserve"> </w:t>
      </w:r>
      <w:r w:rsidRPr="005E418C">
        <w:rPr>
          <w:noProof/>
        </w:rPr>
        <w:t>Setting a</w:t>
      </w:r>
      <w:r w:rsidRPr="005E418C">
        <w:rPr>
          <w:b/>
          <w:bCs/>
          <w:noProof/>
        </w:rPr>
        <w:t xml:space="preserve"> </w:t>
      </w:r>
      <w:r w:rsidRPr="005E418C">
        <w:rPr>
          <w:noProof/>
        </w:rPr>
        <w:t xml:space="preserve">25% target for </w:t>
      </w:r>
      <w:r w:rsidR="00785906" w:rsidRPr="005E418C">
        <w:rPr>
          <w:noProof/>
        </w:rPr>
        <w:t>both</w:t>
      </w:r>
      <w:r w:rsidRPr="005E418C">
        <w:rPr>
          <w:noProof/>
        </w:rPr>
        <w:t xml:space="preserve"> low-carbon steel </w:t>
      </w:r>
      <w:r w:rsidRPr="00360154">
        <w:rPr>
          <w:noProof/>
        </w:rPr>
        <w:t xml:space="preserve">and </w:t>
      </w:r>
      <w:r w:rsidR="00CD01AA" w:rsidRPr="00360154">
        <w:rPr>
          <w:b/>
          <w:noProof/>
        </w:rPr>
        <w:t>aluminiu</w:t>
      </w:r>
      <w:r w:rsidR="00284BEE" w:rsidRPr="00360154">
        <w:rPr>
          <w:b/>
          <w:noProof/>
        </w:rPr>
        <w:t>m</w:t>
      </w:r>
      <w:r w:rsidR="00CD01AA" w:rsidRPr="00360154">
        <w:rPr>
          <w:b/>
          <w:noProof/>
        </w:rPr>
        <w:t>,</w:t>
      </w:r>
      <w:r w:rsidRPr="00360154">
        <w:rPr>
          <w:b/>
          <w:noProof/>
        </w:rPr>
        <w:t xml:space="preserve"> </w:t>
      </w:r>
      <w:r w:rsidRPr="00360154">
        <w:rPr>
          <w:noProof/>
        </w:rPr>
        <w:t>a</w:t>
      </w:r>
      <w:r w:rsidR="00CD01AA" w:rsidRPr="00360154">
        <w:rPr>
          <w:noProof/>
        </w:rPr>
        <w:t>s well as</w:t>
      </w:r>
      <w:r w:rsidR="00CD01AA" w:rsidRPr="005E418C">
        <w:rPr>
          <w:noProof/>
        </w:rPr>
        <w:t xml:space="preserve"> </w:t>
      </w:r>
      <w:r w:rsidRPr="005E418C">
        <w:rPr>
          <w:noProof/>
        </w:rPr>
        <w:t xml:space="preserve">a 5% target for low-carbon cement in public procurement is estimated to lead to a combined cost increase of less than </w:t>
      </w:r>
      <w:r w:rsidRPr="00360154">
        <w:rPr>
          <w:b/>
          <w:noProof/>
        </w:rPr>
        <w:t>0.</w:t>
      </w:r>
      <w:r w:rsidR="00CD01AA" w:rsidRPr="00360154">
        <w:rPr>
          <w:b/>
          <w:noProof/>
        </w:rPr>
        <w:t>4</w:t>
      </w:r>
      <w:r w:rsidRPr="00360154">
        <w:rPr>
          <w:b/>
          <w:noProof/>
        </w:rPr>
        <w:t>5%</w:t>
      </w:r>
      <w:r w:rsidRPr="005E418C">
        <w:rPr>
          <w:noProof/>
        </w:rPr>
        <w:t xml:space="preserve"> for</w:t>
      </w:r>
      <w:r w:rsidRPr="005E418C" w:rsidDel="00E877EE">
        <w:rPr>
          <w:noProof/>
        </w:rPr>
        <w:t xml:space="preserve"> </w:t>
      </w:r>
      <w:r w:rsidRPr="005E418C">
        <w:rPr>
          <w:noProof/>
        </w:rPr>
        <w:t xml:space="preserve">a construction project. </w:t>
      </w:r>
      <w:r w:rsidR="00FE415E" w:rsidRPr="00360154">
        <w:rPr>
          <w:noProof/>
        </w:rPr>
        <w:t>The construction sector</w:t>
      </w:r>
      <w:r w:rsidR="00BC5C2B" w:rsidRPr="00360154">
        <w:rPr>
          <w:noProof/>
        </w:rPr>
        <w:t xml:space="preserve"> would face a loss in value added of EUR 691 million </w:t>
      </w:r>
      <w:r w:rsidR="0038120D" w:rsidRPr="00360154">
        <w:rPr>
          <w:noProof/>
        </w:rPr>
        <w:t xml:space="preserve">by </w:t>
      </w:r>
      <w:r w:rsidR="00BC5C2B" w:rsidRPr="00360154">
        <w:rPr>
          <w:noProof/>
        </w:rPr>
        <w:t>2030</w:t>
      </w:r>
      <w:r w:rsidR="0038120D" w:rsidRPr="00360154">
        <w:rPr>
          <w:noProof/>
        </w:rPr>
        <w:t>, due to the requirements to</w:t>
      </w:r>
      <w:r w:rsidR="001978A3" w:rsidRPr="00360154">
        <w:rPr>
          <w:noProof/>
        </w:rPr>
        <w:t xml:space="preserve"> source </w:t>
      </w:r>
      <w:r w:rsidR="0038120D" w:rsidRPr="00360154">
        <w:rPr>
          <w:noProof/>
        </w:rPr>
        <w:t xml:space="preserve">a share of </w:t>
      </w:r>
      <w:r w:rsidR="001978A3" w:rsidRPr="00360154">
        <w:rPr>
          <w:noProof/>
        </w:rPr>
        <w:t>low-carbon steel, aluminium and cement</w:t>
      </w:r>
      <w:r w:rsidR="0038120D" w:rsidRPr="00360154">
        <w:rPr>
          <w:noProof/>
        </w:rPr>
        <w:t>.</w:t>
      </w:r>
    </w:p>
    <w:p w14:paraId="0DADF5D4" w14:textId="10648AB7" w:rsidR="00285741" w:rsidRPr="005E418C" w:rsidRDefault="7C355CBF" w:rsidP="1A2A8689">
      <w:pPr>
        <w:pStyle w:val="Text2"/>
        <w:spacing w:after="120"/>
        <w:ind w:left="0"/>
        <w:rPr>
          <w:noProof/>
          <w:color w:val="000000" w:themeColor="text1"/>
        </w:rPr>
      </w:pPr>
      <w:r w:rsidRPr="005E418C">
        <w:rPr>
          <w:noProof/>
          <w:color w:val="000000" w:themeColor="text1"/>
        </w:rPr>
        <w:t xml:space="preserve">Since </w:t>
      </w:r>
      <w:r w:rsidR="00FE617E" w:rsidRPr="005E418C">
        <w:rPr>
          <w:noProof/>
          <w:color w:val="000000" w:themeColor="text1"/>
        </w:rPr>
        <w:t>the</w:t>
      </w:r>
      <w:r w:rsidR="00AF6A15" w:rsidRPr="005E418C">
        <w:rPr>
          <w:noProof/>
          <w:color w:val="000000" w:themeColor="text1"/>
        </w:rPr>
        <w:t xml:space="preserve"> value</w:t>
      </w:r>
      <w:r w:rsidR="00FE617E" w:rsidRPr="005E418C">
        <w:rPr>
          <w:noProof/>
          <w:color w:val="000000" w:themeColor="text1"/>
        </w:rPr>
        <w:t xml:space="preserve"> of </w:t>
      </w:r>
      <w:r w:rsidRPr="005E418C">
        <w:rPr>
          <w:noProof/>
          <w:color w:val="000000" w:themeColor="text1"/>
        </w:rPr>
        <w:t xml:space="preserve">public support schemes </w:t>
      </w:r>
      <w:r w:rsidR="00AF6A15" w:rsidRPr="005E418C">
        <w:rPr>
          <w:noProof/>
          <w:color w:val="000000" w:themeColor="text1"/>
        </w:rPr>
        <w:t xml:space="preserve">available across Europe </w:t>
      </w:r>
      <w:r w:rsidRPr="005E418C">
        <w:rPr>
          <w:noProof/>
          <w:color w:val="000000" w:themeColor="text1"/>
        </w:rPr>
        <w:t xml:space="preserve">in the construction sector is not available, the full impact of the costs for this market segment cannot be provided at this stage. The </w:t>
      </w:r>
      <w:r w:rsidR="00AF6A15" w:rsidRPr="005E418C">
        <w:rPr>
          <w:noProof/>
          <w:color w:val="000000" w:themeColor="text1"/>
        </w:rPr>
        <w:t>impact</w:t>
      </w:r>
      <w:r w:rsidR="005802E4" w:rsidRPr="005E418C">
        <w:rPr>
          <w:noProof/>
          <w:color w:val="000000" w:themeColor="text1"/>
        </w:rPr>
        <w:t xml:space="preserve"> of this </w:t>
      </w:r>
      <w:r w:rsidR="00AF6A15" w:rsidRPr="005E418C">
        <w:rPr>
          <w:noProof/>
          <w:color w:val="000000" w:themeColor="text1"/>
        </w:rPr>
        <w:t xml:space="preserve">proposed </w:t>
      </w:r>
      <w:r w:rsidR="005802E4" w:rsidRPr="005E418C">
        <w:rPr>
          <w:noProof/>
          <w:color w:val="000000" w:themeColor="text1"/>
        </w:rPr>
        <w:t>measure</w:t>
      </w:r>
      <w:r w:rsidRPr="005E418C">
        <w:rPr>
          <w:noProof/>
          <w:color w:val="000000" w:themeColor="text1"/>
        </w:rPr>
        <w:t xml:space="preserve"> for </w:t>
      </w:r>
      <w:r w:rsidR="00AA1501" w:rsidRPr="005E418C">
        <w:rPr>
          <w:noProof/>
          <w:color w:val="000000" w:themeColor="text1"/>
        </w:rPr>
        <w:t>the entire construction sector</w:t>
      </w:r>
      <w:r w:rsidR="00873ED8" w:rsidRPr="005E418C">
        <w:rPr>
          <w:noProof/>
          <w:color w:val="000000" w:themeColor="text1"/>
        </w:rPr>
        <w:t xml:space="preserve"> </w:t>
      </w:r>
      <w:r w:rsidRPr="005E418C">
        <w:rPr>
          <w:noProof/>
          <w:color w:val="000000" w:themeColor="text1"/>
        </w:rPr>
        <w:t xml:space="preserve">are reflected in </w:t>
      </w:r>
      <w:r w:rsidR="55F8C18A" w:rsidRPr="005E418C">
        <w:rPr>
          <w:noProof/>
          <w:color w:val="000000" w:themeColor="text1"/>
        </w:rPr>
        <w:t>S</w:t>
      </w:r>
      <w:r w:rsidRPr="005E418C">
        <w:rPr>
          <w:noProof/>
          <w:color w:val="000000" w:themeColor="text1"/>
        </w:rPr>
        <w:t>ection 6.</w:t>
      </w:r>
      <w:r w:rsidR="0027611A" w:rsidRPr="005E418C">
        <w:rPr>
          <w:noProof/>
          <w:color w:val="000000" w:themeColor="text1"/>
        </w:rPr>
        <w:t>3</w:t>
      </w:r>
      <w:r w:rsidR="003F5C4F" w:rsidRPr="005E418C">
        <w:rPr>
          <w:noProof/>
          <w:color w:val="000000" w:themeColor="text1"/>
        </w:rPr>
        <w:t>.1.2.</w:t>
      </w:r>
      <w:r w:rsidR="00AF6A15" w:rsidRPr="005E418C">
        <w:rPr>
          <w:noProof/>
          <w:color w:val="000000" w:themeColor="text1"/>
        </w:rPr>
        <w:t xml:space="preserve"> </w:t>
      </w:r>
      <w:r w:rsidRPr="005E418C">
        <w:rPr>
          <w:noProof/>
          <w:color w:val="000000" w:themeColor="text1"/>
        </w:rPr>
        <w:t xml:space="preserve">See </w:t>
      </w:r>
      <w:r w:rsidRPr="005E418C">
        <w:rPr>
          <w:noProof/>
        </w:rPr>
        <w:t>Annex</w:t>
      </w:r>
      <w:r w:rsidRPr="005E418C">
        <w:rPr>
          <w:noProof/>
          <w:color w:val="000000" w:themeColor="text1"/>
        </w:rPr>
        <w:t xml:space="preserve"> 4, Section 2.2,</w:t>
      </w:r>
      <w:r w:rsidRPr="005E418C" w:rsidDel="007F1277">
        <w:rPr>
          <w:noProof/>
          <w:color w:val="000000" w:themeColor="text1"/>
        </w:rPr>
        <w:t xml:space="preserve"> for</w:t>
      </w:r>
      <w:r w:rsidRPr="005E418C">
        <w:rPr>
          <w:noProof/>
          <w:color w:val="000000" w:themeColor="text1"/>
        </w:rPr>
        <w:t xml:space="preserve"> cost calculation.</w:t>
      </w:r>
    </w:p>
    <w:p w14:paraId="65BC7B23" w14:textId="541F2CB0" w:rsidR="00285741" w:rsidRPr="005E418C" w:rsidRDefault="00285741" w:rsidP="00900949">
      <w:pPr>
        <w:pStyle w:val="Text1"/>
        <w:spacing w:after="0"/>
        <w:ind w:left="0"/>
        <w:rPr>
          <w:noProof/>
        </w:rPr>
      </w:pPr>
      <w:r w:rsidRPr="005E418C">
        <w:rPr>
          <w:noProof/>
        </w:rPr>
        <w:t>It is also important to recall that the cost premium of producing low</w:t>
      </w:r>
      <w:r w:rsidR="00F42FCE" w:rsidRPr="005E418C">
        <w:rPr>
          <w:noProof/>
        </w:rPr>
        <w:t>-</w:t>
      </w:r>
      <w:r w:rsidRPr="005E418C">
        <w:rPr>
          <w:noProof/>
        </w:rPr>
        <w:t>carbon materials is expected to decline over time as related technologies mature, are being deployed at large scale and demand for low-carbon materials moves from niche, lead markets to larger scale markets. At the same time, conventional carbon-intensive production methods will become more expensive as CO</w:t>
      </w:r>
      <w:r w:rsidRPr="005E418C">
        <w:rPr>
          <w:noProof/>
          <w:vertAlign w:val="subscript"/>
        </w:rPr>
        <w:t xml:space="preserve">2 </w:t>
      </w:r>
      <w:r w:rsidRPr="005E418C">
        <w:rPr>
          <w:noProof/>
        </w:rPr>
        <w:t xml:space="preserve">prices rise, narrowing the cost gap between conventional and low-carbon materials. See Annex 7 for more details on the projected cost evolution of clean technologies. </w:t>
      </w:r>
    </w:p>
    <w:p w14:paraId="0ACCE59B" w14:textId="77777777" w:rsidR="00285741" w:rsidRPr="005E418C" w:rsidRDefault="00285741" w:rsidP="00900949">
      <w:pPr>
        <w:pStyle w:val="Text1"/>
        <w:spacing w:after="0"/>
        <w:ind w:left="0"/>
        <w:rPr>
          <w:noProof/>
        </w:rPr>
      </w:pPr>
    </w:p>
    <w:p w14:paraId="71911065" w14:textId="460AF9AE" w:rsidR="00285741" w:rsidRPr="005E418C" w:rsidRDefault="00285741">
      <w:pPr>
        <w:pStyle w:val="Text1"/>
        <w:pBdr>
          <w:top w:val="single" w:sz="4" w:space="1" w:color="auto"/>
          <w:left w:val="single" w:sz="4" w:space="1" w:color="auto"/>
          <w:bottom w:val="single" w:sz="4" w:space="1" w:color="auto"/>
          <w:right w:val="single" w:sz="4" w:space="4" w:color="auto"/>
        </w:pBdr>
        <w:spacing w:after="120"/>
        <w:ind w:left="0"/>
        <w:rPr>
          <w:noProof/>
          <w:sz w:val="20"/>
        </w:rPr>
      </w:pPr>
      <w:r w:rsidRPr="005E418C">
        <w:rPr>
          <w:noProof/>
          <w:sz w:val="20"/>
        </w:rPr>
        <w:t xml:space="preserve">In the context of the </w:t>
      </w:r>
      <w:r w:rsidRPr="005E418C">
        <w:rPr>
          <w:b/>
          <w:bCs/>
          <w:noProof/>
          <w:sz w:val="20"/>
        </w:rPr>
        <w:t>targeted stakeholder consultation</w:t>
      </w:r>
      <w:r w:rsidRPr="005E418C">
        <w:rPr>
          <w:noProof/>
          <w:sz w:val="20"/>
        </w:rPr>
        <w:t xml:space="preserve">, industry also reported marginal downstream cost effects from using low-carbon materials. This view was supported by </w:t>
      </w:r>
      <w:r w:rsidRPr="005E418C">
        <w:rPr>
          <w:b/>
          <w:bCs/>
          <w:noProof/>
          <w:sz w:val="20"/>
        </w:rPr>
        <w:t>77% of the steel respondents</w:t>
      </w:r>
      <w:r w:rsidRPr="005E418C">
        <w:rPr>
          <w:noProof/>
          <w:sz w:val="20"/>
        </w:rPr>
        <w:t>.</w:t>
      </w:r>
      <w:r w:rsidRPr="005E418C">
        <w:rPr>
          <w:noProof/>
          <w:sz w:val="20"/>
          <w:vertAlign w:val="superscript"/>
        </w:rPr>
        <w:footnoteReference w:id="167"/>
      </w:r>
      <w:r w:rsidRPr="005E418C">
        <w:rPr>
          <w:noProof/>
          <w:sz w:val="20"/>
        </w:rPr>
        <w:t xml:space="preserve"> All 7 respondents from the </w:t>
      </w:r>
      <w:r w:rsidRPr="005E418C">
        <w:rPr>
          <w:b/>
          <w:bCs/>
          <w:noProof/>
          <w:sz w:val="20"/>
        </w:rPr>
        <w:t>cement</w:t>
      </w:r>
      <w:r w:rsidRPr="005E418C">
        <w:rPr>
          <w:noProof/>
          <w:sz w:val="20"/>
        </w:rPr>
        <w:t xml:space="preserve"> industry agreed that low-carbon cement can be deployed with minimal or no material impact on the total construction costs.</w:t>
      </w:r>
    </w:p>
    <w:p w14:paraId="5A3F90DD" w14:textId="77777777" w:rsidR="001C6FCC" w:rsidRPr="005E418C" w:rsidRDefault="009C1004" w:rsidP="009C1004">
      <w:pPr>
        <w:pStyle w:val="Text2"/>
        <w:spacing w:after="120"/>
        <w:ind w:left="0"/>
        <w:rPr>
          <w:i/>
          <w:iCs/>
          <w:noProof/>
        </w:rPr>
      </w:pPr>
      <w:r w:rsidRPr="005E418C">
        <w:rPr>
          <w:i/>
          <w:noProof/>
        </w:rPr>
        <w:t>Administrative costs</w:t>
      </w:r>
    </w:p>
    <w:p w14:paraId="4CAB7C6A" w14:textId="3EF41DBC" w:rsidR="009C1004" w:rsidRPr="005E418C" w:rsidRDefault="009C1004" w:rsidP="009C1004">
      <w:pPr>
        <w:pStyle w:val="Text2"/>
        <w:spacing w:after="120"/>
        <w:ind w:left="0"/>
        <w:rPr>
          <w:rFonts w:ascii="Times" w:eastAsia="Times" w:hAnsi="Times" w:cs="Times"/>
          <w:noProof/>
        </w:rPr>
      </w:pPr>
      <w:r w:rsidRPr="005E418C">
        <w:rPr>
          <w:noProof/>
        </w:rPr>
        <w:t>For steel, the label on the carbon intensity foreseen under LAB 2</w:t>
      </w:r>
      <w:r w:rsidRPr="005E418C">
        <w:rPr>
          <w:b/>
          <w:noProof/>
        </w:rPr>
        <w:t xml:space="preserve"> </w:t>
      </w:r>
      <w:r w:rsidRPr="005E418C">
        <w:rPr>
          <w:noProof/>
        </w:rPr>
        <w:t>would provide a reliable tool for participants in the tender to demonstrate compliance with low-carbon requirements for the material used in the automotive or construction projects. For cement, the standardisation request under the revised CPR has recently been adopted with a deadline for CEN of June 2027 to deliver the first new harmonised standards</w:t>
      </w:r>
      <w:r w:rsidR="00203F39" w:rsidRPr="005E418C">
        <w:rPr>
          <w:noProof/>
        </w:rPr>
        <w:t>.</w:t>
      </w:r>
      <w:r w:rsidRPr="005E418C">
        <w:rPr>
          <w:rStyle w:val="FootnoteReference"/>
          <w:noProof/>
        </w:rPr>
        <w:footnoteReference w:id="168"/>
      </w:r>
      <w:r w:rsidRPr="005E418C">
        <w:rPr>
          <w:noProof/>
        </w:rPr>
        <w:t xml:space="preserve"> Under these harmonised standards, CE marking will require the declaration of the GHG emissions in the declaration of performance and conformity and in a label on the packaging. This will offer a reliable basis for public authorities to ensure compliance with the relevant policy measure. Accordingly, this would add limited</w:t>
      </w:r>
      <w:r w:rsidRPr="005E418C">
        <w:rPr>
          <w:rFonts w:ascii="Times" w:eastAsia="Times" w:hAnsi="Times" w:cs="Times"/>
          <w:noProof/>
        </w:rPr>
        <w:t xml:space="preserve"> </w:t>
      </w:r>
      <w:r w:rsidRPr="005E418C">
        <w:rPr>
          <w:noProof/>
        </w:rPr>
        <w:t>administrative burden compared to the baseline.</w:t>
      </w:r>
      <w:r w:rsidRPr="005E418C">
        <w:rPr>
          <w:rFonts w:ascii="Times" w:eastAsia="Times" w:hAnsi="Times" w:cs="Times"/>
          <w:noProof/>
        </w:rPr>
        <w:t xml:space="preserve"> </w:t>
      </w:r>
    </w:p>
    <w:p w14:paraId="40847656" w14:textId="537B3D8F" w:rsidR="00285741" w:rsidRDefault="00285741">
      <w:pPr>
        <w:pStyle w:val="Text2"/>
        <w:spacing w:after="120"/>
        <w:ind w:left="0"/>
        <w:rPr>
          <w:noProof/>
        </w:rPr>
      </w:pPr>
      <w:r w:rsidRPr="005E418C">
        <w:rPr>
          <w:b/>
          <w:bCs/>
          <w:noProof/>
        </w:rPr>
        <w:t xml:space="preserve">LEAD_BAT 1 </w:t>
      </w:r>
      <w:r w:rsidRPr="005E418C">
        <w:rPr>
          <w:noProof/>
        </w:rPr>
        <w:t>–</w:t>
      </w:r>
      <w:r w:rsidRPr="005E418C">
        <w:rPr>
          <w:b/>
          <w:bCs/>
          <w:noProof/>
        </w:rPr>
        <w:t xml:space="preserve"> </w:t>
      </w:r>
      <w:r w:rsidRPr="005E418C">
        <w:rPr>
          <w:noProof/>
        </w:rPr>
        <w:t xml:space="preserve">Introducing </w:t>
      </w:r>
      <w:r w:rsidR="00E83DDC" w:rsidRPr="005E418C">
        <w:rPr>
          <w:noProof/>
        </w:rPr>
        <w:t>Made in EU</w:t>
      </w:r>
      <w:r w:rsidRPr="005E418C">
        <w:rPr>
          <w:noProof/>
        </w:rPr>
        <w:t xml:space="preserve"> requirements for batteries will have a twofold impact on downstream sectors. First, it will lead to higher prices compared to low-cost battery imports</w:t>
      </w:r>
      <w:r w:rsidR="0032703F" w:rsidRPr="005E418C">
        <w:rPr>
          <w:noProof/>
        </w:rPr>
        <w:t xml:space="preserve"> </w:t>
      </w:r>
      <w:r w:rsidR="004D365B" w:rsidRPr="005E418C">
        <w:rPr>
          <w:noProof/>
        </w:rPr>
        <w:t>with short term risks of delaying the energy transition.</w:t>
      </w:r>
      <w:r w:rsidRPr="005E418C">
        <w:rPr>
          <w:noProof/>
        </w:rPr>
        <w:t xml:space="preserve"> However, this must be considered in light of the EU’s existing battery production capacity, which reached approximately EUR 24 billion in 2023</w:t>
      </w:r>
      <w:r w:rsidRPr="005E418C">
        <w:rPr>
          <w:rStyle w:val="FootnoteReference"/>
          <w:noProof/>
        </w:rPr>
        <w:footnoteReference w:id="169"/>
      </w:r>
      <w:r w:rsidRPr="005E418C">
        <w:rPr>
          <w:noProof/>
        </w:rPr>
        <w:t>, with exports exceeding EUR 11</w:t>
      </w:r>
      <w:r w:rsidR="004D365B" w:rsidRPr="005E418C">
        <w:rPr>
          <w:noProof/>
        </w:rPr>
        <w:t xml:space="preserve"> </w:t>
      </w:r>
      <w:r w:rsidRPr="005E418C">
        <w:rPr>
          <w:noProof/>
        </w:rPr>
        <w:t>billion in both 2023 and 2024</w:t>
      </w:r>
      <w:r w:rsidRPr="005E418C">
        <w:rPr>
          <w:rStyle w:val="FootnoteReference"/>
          <w:noProof/>
        </w:rPr>
        <w:footnoteReference w:id="170"/>
      </w:r>
      <w:r w:rsidRPr="005E418C">
        <w:rPr>
          <w:noProof/>
        </w:rPr>
        <w:t xml:space="preserve">, demonstrating an already strong industrial base. Second, since foreign-made EVs and BESS are unlikely to meet the </w:t>
      </w:r>
      <w:r w:rsidR="00E83DDC" w:rsidRPr="005E418C">
        <w:rPr>
          <w:noProof/>
        </w:rPr>
        <w:t>Made in EU</w:t>
      </w:r>
      <w:r w:rsidRPr="005E418C">
        <w:rPr>
          <w:noProof/>
        </w:rPr>
        <w:t xml:space="preserve"> thresholds for batteries, EU-ma</w:t>
      </w:r>
      <w:r>
        <w:rPr>
          <w:noProof/>
        </w:rPr>
        <w:t>de</w:t>
      </w:r>
      <w:r w:rsidRPr="0084728A">
        <w:rPr>
          <w:noProof/>
        </w:rPr>
        <w:t xml:space="preserve"> </w:t>
      </w:r>
      <w:r>
        <w:rPr>
          <w:noProof/>
        </w:rPr>
        <w:t>downstream</w:t>
      </w:r>
      <w:r w:rsidRPr="0054153F">
        <w:rPr>
          <w:noProof/>
        </w:rPr>
        <w:t xml:space="preserve"> </w:t>
      </w:r>
      <w:r w:rsidRPr="0084728A">
        <w:rPr>
          <w:noProof/>
        </w:rPr>
        <w:t>products</w:t>
      </w:r>
      <w:r w:rsidRPr="0054153F">
        <w:rPr>
          <w:noProof/>
        </w:rPr>
        <w:t xml:space="preserve"> </w:t>
      </w:r>
      <w:r>
        <w:rPr>
          <w:noProof/>
        </w:rPr>
        <w:t>will benefit from the</w:t>
      </w:r>
      <w:r w:rsidRPr="0084728A">
        <w:rPr>
          <w:noProof/>
        </w:rPr>
        <w:t xml:space="preserve"> access to</w:t>
      </w:r>
      <w:r w:rsidRPr="0054153F">
        <w:rPr>
          <w:noProof/>
        </w:rPr>
        <w:t xml:space="preserve"> public </w:t>
      </w:r>
      <w:r>
        <w:rPr>
          <w:noProof/>
        </w:rPr>
        <w:t>support</w:t>
      </w:r>
      <w:r w:rsidRPr="0054153F">
        <w:rPr>
          <w:noProof/>
        </w:rPr>
        <w:t xml:space="preserve"> schemes, procurement, and auctions.</w:t>
      </w:r>
      <w:r w:rsidRPr="0084728A">
        <w:rPr>
          <w:noProof/>
        </w:rPr>
        <w:t xml:space="preserve"> Even if foreign producers attempt to comply, their costs are likely to be higher due to logistics and </w:t>
      </w:r>
      <w:r w:rsidRPr="0084728A">
        <w:rPr>
          <w:noProof/>
        </w:rPr>
        <w:lastRenderedPageBreak/>
        <w:t>limited integration</w:t>
      </w:r>
      <w:r>
        <w:rPr>
          <w:noProof/>
        </w:rPr>
        <w:t xml:space="preserve"> of EU components</w:t>
      </w:r>
      <w:r w:rsidRPr="0084728A">
        <w:rPr>
          <w:noProof/>
        </w:rPr>
        <w:t xml:space="preserve">, further reinforcing the competitiveness of </w:t>
      </w:r>
      <w:r>
        <w:rPr>
          <w:noProof/>
        </w:rPr>
        <w:t xml:space="preserve">an </w:t>
      </w:r>
      <w:r w:rsidRPr="0084728A">
        <w:rPr>
          <w:noProof/>
        </w:rPr>
        <w:t>EU</w:t>
      </w:r>
      <w:r>
        <w:rPr>
          <w:noProof/>
        </w:rPr>
        <w:t xml:space="preserve"> </w:t>
      </w:r>
      <w:r w:rsidRPr="0084728A">
        <w:rPr>
          <w:noProof/>
        </w:rPr>
        <w:t xml:space="preserve">based </w:t>
      </w:r>
      <w:r>
        <w:rPr>
          <w:noProof/>
        </w:rPr>
        <w:t>battery downstream sectors</w:t>
      </w:r>
      <w:r w:rsidRPr="0084728A">
        <w:rPr>
          <w:noProof/>
        </w:rPr>
        <w:t>.</w:t>
      </w:r>
    </w:p>
    <w:p w14:paraId="34BC9CBB" w14:textId="7CF5306B" w:rsidR="00285741" w:rsidRPr="00801C0E" w:rsidRDefault="00285741">
      <w:pPr>
        <w:pStyle w:val="Text2"/>
        <w:spacing w:after="120"/>
        <w:ind w:left="0"/>
        <w:rPr>
          <w:noProof/>
        </w:rPr>
      </w:pPr>
      <w:r w:rsidRPr="00801C0E">
        <w:rPr>
          <w:noProof/>
        </w:rPr>
        <w:t xml:space="preserve">In 2024, the price increase for manufacturing </w:t>
      </w:r>
      <w:r>
        <w:rPr>
          <w:noProof/>
        </w:rPr>
        <w:t>the same</w:t>
      </w:r>
      <w:r w:rsidRPr="00801C0E">
        <w:rPr>
          <w:noProof/>
        </w:rPr>
        <w:t xml:space="preserve"> battery </w:t>
      </w:r>
      <w:r>
        <w:rPr>
          <w:noProof/>
        </w:rPr>
        <w:t>product</w:t>
      </w:r>
      <w:r w:rsidRPr="00801C0E">
        <w:rPr>
          <w:noProof/>
        </w:rPr>
        <w:t xml:space="preserve"> in the EU using local battery cells, CAM and AAM, compared to importing these components from China, </w:t>
      </w:r>
      <w:r>
        <w:rPr>
          <w:noProof/>
        </w:rPr>
        <w:t>ranged</w:t>
      </w:r>
      <w:r w:rsidRPr="00801C0E">
        <w:rPr>
          <w:noProof/>
        </w:rPr>
        <w:t xml:space="preserve"> between EUR</w:t>
      </w:r>
      <w:r w:rsidR="00E30DB4">
        <w:rPr>
          <w:noProof/>
        </w:rPr>
        <w:t xml:space="preserve"> </w:t>
      </w:r>
      <w:r w:rsidRPr="00801C0E">
        <w:rPr>
          <w:noProof/>
        </w:rPr>
        <w:t xml:space="preserve">16-30 </w:t>
      </w:r>
      <w:r>
        <w:rPr>
          <w:noProof/>
        </w:rPr>
        <w:t xml:space="preserve">per </w:t>
      </w:r>
      <w:r w:rsidRPr="00801C0E">
        <w:rPr>
          <w:noProof/>
        </w:rPr>
        <w:t>kWh depending on the maturity of the manufacturing company</w:t>
      </w:r>
      <w:r>
        <w:rPr>
          <w:noProof/>
        </w:rPr>
        <w:t xml:space="preserve"> </w:t>
      </w:r>
      <w:r w:rsidRPr="00861F94">
        <w:rPr>
          <w:noProof/>
        </w:rPr>
        <w:t>(see Annex 9)</w:t>
      </w:r>
      <w:r w:rsidRPr="00801C0E">
        <w:rPr>
          <w:noProof/>
        </w:rPr>
        <w:t xml:space="preserve">. For example, </w:t>
      </w:r>
      <w:r>
        <w:rPr>
          <w:noProof/>
        </w:rPr>
        <w:t xml:space="preserve">looking at the impact on EVs, </w:t>
      </w:r>
      <w:r w:rsidRPr="00801C0E">
        <w:rPr>
          <w:noProof/>
        </w:rPr>
        <w:t>for an average passenger EV equipped with a 68-kWh battery pack, the estimated price increase in 2024 would range between EUR 653 and EUR 1</w:t>
      </w:r>
      <w:r w:rsidR="00B114A4">
        <w:rPr>
          <w:noProof/>
        </w:rPr>
        <w:t xml:space="preserve"> </w:t>
      </w:r>
      <w:r w:rsidRPr="00801C0E">
        <w:rPr>
          <w:noProof/>
        </w:rPr>
        <w:t>632. This corresponds to approximately 1.4% to 3.5% of the average retail price of an electric vehicle in Europe</w:t>
      </w:r>
      <w:r>
        <w:rPr>
          <w:noProof/>
        </w:rPr>
        <w:t>.</w:t>
      </w:r>
      <w:r w:rsidRPr="00801C0E">
        <w:rPr>
          <w:rStyle w:val="FootnoteReference"/>
          <w:noProof/>
        </w:rPr>
        <w:footnoteReference w:id="171"/>
      </w:r>
    </w:p>
    <w:p w14:paraId="42D58375" w14:textId="159C1A3A" w:rsidR="00285741" w:rsidRPr="00801C0E" w:rsidRDefault="00285741">
      <w:pPr>
        <w:pStyle w:val="Text2"/>
        <w:spacing w:after="120"/>
        <w:ind w:left="0"/>
        <w:rPr>
          <w:noProof/>
        </w:rPr>
      </w:pPr>
      <w:r w:rsidRPr="00801C0E">
        <w:rPr>
          <w:noProof/>
        </w:rPr>
        <w:t xml:space="preserve">Ongoing cost reductions in battery packs and cells are expected to gradually reduce the battery’s share of total EV and BESS costs, thereby diminishing the overall cost impact of </w:t>
      </w:r>
      <w:r w:rsidR="00E83DDC">
        <w:rPr>
          <w:noProof/>
        </w:rPr>
        <w:t>Made in EU</w:t>
      </w:r>
      <w:r w:rsidRPr="00801C0E">
        <w:rPr>
          <w:noProof/>
        </w:rPr>
        <w:t xml:space="preserve"> requirements on the downstream sectors.</w:t>
      </w:r>
      <w:r>
        <w:rPr>
          <w:noProof/>
        </w:rPr>
        <w:t xml:space="preserve"> </w:t>
      </w:r>
      <w:r w:rsidRPr="00801C0E">
        <w:rPr>
          <w:noProof/>
        </w:rPr>
        <w:t>Global average lithium-ion battery pack prices fell by 20% between 2023 and 2024, and by a total of 86% from 2013 to 2024. The learning rate for batteries is estimated at 18% at the pack level and 24% at the cell level, meaning costs typically decline by 18% and 24% respectively each time cumulative production doubles</w:t>
      </w:r>
      <w:r w:rsidR="008C09BD">
        <w:rPr>
          <w:noProof/>
        </w:rPr>
        <w:t>.</w:t>
      </w:r>
      <w:r w:rsidRPr="00801C0E">
        <w:rPr>
          <w:rStyle w:val="FootnoteReference"/>
          <w:noProof/>
        </w:rPr>
        <w:footnoteReference w:id="172"/>
      </w:r>
      <w:r w:rsidRPr="00801C0E">
        <w:rPr>
          <w:noProof/>
        </w:rPr>
        <w:t xml:space="preserve"> This suggests a continued and potentially accelerated decline in battery prices. Pack costs are projected to fall from </w:t>
      </w:r>
      <w:r>
        <w:rPr>
          <w:noProof/>
        </w:rPr>
        <w:t>EUR 98.9</w:t>
      </w:r>
      <w:r w:rsidRPr="00801C0E">
        <w:rPr>
          <w:noProof/>
        </w:rPr>
        <w:t xml:space="preserve">/kWh in 2024 to </w:t>
      </w:r>
      <w:r>
        <w:rPr>
          <w:noProof/>
        </w:rPr>
        <w:t>EUR</w:t>
      </w:r>
      <w:r w:rsidRPr="00801C0E">
        <w:rPr>
          <w:noProof/>
        </w:rPr>
        <w:t xml:space="preserve"> </w:t>
      </w:r>
      <w:r>
        <w:rPr>
          <w:noProof/>
        </w:rPr>
        <w:t>59.3</w:t>
      </w:r>
      <w:r w:rsidRPr="00801C0E">
        <w:rPr>
          <w:noProof/>
        </w:rPr>
        <w:t xml:space="preserve">/kWh by 2030 and </w:t>
      </w:r>
      <w:r>
        <w:rPr>
          <w:noProof/>
        </w:rPr>
        <w:t>EUR</w:t>
      </w:r>
      <w:r w:rsidRPr="00801C0E">
        <w:rPr>
          <w:noProof/>
        </w:rPr>
        <w:t xml:space="preserve"> </w:t>
      </w:r>
      <w:r>
        <w:rPr>
          <w:noProof/>
        </w:rPr>
        <w:t>46.4</w:t>
      </w:r>
      <w:r w:rsidRPr="00801C0E">
        <w:rPr>
          <w:noProof/>
        </w:rPr>
        <w:t xml:space="preserve">/kWh by 2035 (i.e., a 53% reduction). Similarly, cell prices are expected to drop from </w:t>
      </w:r>
      <w:r>
        <w:rPr>
          <w:noProof/>
        </w:rPr>
        <w:t>EUR</w:t>
      </w:r>
      <w:r w:rsidRPr="00801C0E">
        <w:rPr>
          <w:noProof/>
        </w:rPr>
        <w:t xml:space="preserve"> </w:t>
      </w:r>
      <w:r>
        <w:rPr>
          <w:noProof/>
        </w:rPr>
        <w:t>67</w:t>
      </w:r>
      <w:r w:rsidRPr="00801C0E">
        <w:rPr>
          <w:noProof/>
        </w:rPr>
        <w:t xml:space="preserve">/kWh in 2024 to </w:t>
      </w:r>
      <w:r>
        <w:rPr>
          <w:noProof/>
        </w:rPr>
        <w:t>EUR</w:t>
      </w:r>
      <w:r w:rsidRPr="00801C0E">
        <w:rPr>
          <w:noProof/>
        </w:rPr>
        <w:t xml:space="preserve"> </w:t>
      </w:r>
      <w:r>
        <w:rPr>
          <w:noProof/>
        </w:rPr>
        <w:t>36.9</w:t>
      </w:r>
      <w:r w:rsidRPr="00801C0E">
        <w:rPr>
          <w:noProof/>
        </w:rPr>
        <w:t xml:space="preserve">/kWh by 2030 and </w:t>
      </w:r>
      <w:r>
        <w:rPr>
          <w:noProof/>
        </w:rPr>
        <w:t>EUR</w:t>
      </w:r>
      <w:r w:rsidRPr="00801C0E">
        <w:rPr>
          <w:noProof/>
        </w:rPr>
        <w:t xml:space="preserve"> </w:t>
      </w:r>
      <w:r>
        <w:rPr>
          <w:noProof/>
        </w:rPr>
        <w:t>27</w:t>
      </w:r>
      <w:r w:rsidR="00A14EC8">
        <w:rPr>
          <w:noProof/>
        </w:rPr>
        <w:t>.</w:t>
      </w:r>
      <w:r>
        <w:rPr>
          <w:noProof/>
        </w:rPr>
        <w:t>5</w:t>
      </w:r>
      <w:r w:rsidRPr="00801C0E">
        <w:rPr>
          <w:noProof/>
        </w:rPr>
        <w:t>/kWh by 2035 (i.e., a 59% reduction) while maintaining a typical cell-to-pack cost ratio of approximately 60:40</w:t>
      </w:r>
      <w:r>
        <w:rPr>
          <w:noProof/>
        </w:rPr>
        <w:t xml:space="preserve"> </w:t>
      </w:r>
      <w:r w:rsidRPr="00D52B3D">
        <w:rPr>
          <w:i/>
          <w:noProof/>
        </w:rPr>
        <w:t>(</w:t>
      </w:r>
      <w:r w:rsidRPr="00913075">
        <w:rPr>
          <w:noProof/>
        </w:rPr>
        <w:t>see Annex 4</w:t>
      </w:r>
      <w:r w:rsidR="00913075" w:rsidRPr="00913075">
        <w:rPr>
          <w:iCs/>
          <w:noProof/>
        </w:rPr>
        <w:t xml:space="preserve"> </w:t>
      </w:r>
      <w:r w:rsidR="001F4D94">
        <w:rPr>
          <w:iCs/>
          <w:noProof/>
        </w:rPr>
        <w:t>S</w:t>
      </w:r>
      <w:r w:rsidR="00913075" w:rsidRPr="00913075">
        <w:rPr>
          <w:iCs/>
          <w:noProof/>
        </w:rPr>
        <w:t>ection 2</w:t>
      </w:r>
      <w:r w:rsidRPr="00913075">
        <w:rPr>
          <w:iCs/>
          <w:noProof/>
        </w:rPr>
        <w:t>).</w:t>
      </w:r>
      <w:r w:rsidRPr="00913075">
        <w:rPr>
          <w:rStyle w:val="FootnoteReference"/>
          <w:iCs/>
          <w:noProof/>
        </w:rPr>
        <w:footnoteReference w:id="173"/>
      </w:r>
    </w:p>
    <w:p w14:paraId="1420EAF6" w14:textId="0938B351" w:rsidR="00285741" w:rsidRPr="00360154" w:rsidRDefault="00285741" w:rsidP="002D79AB">
      <w:pPr>
        <w:pStyle w:val="Text2"/>
        <w:spacing w:after="120" w:line="259" w:lineRule="auto"/>
        <w:ind w:left="0"/>
        <w:rPr>
          <w:noProof/>
        </w:rPr>
      </w:pPr>
      <w:r>
        <w:rPr>
          <w:b/>
          <w:bCs/>
          <w:noProof/>
        </w:rPr>
        <w:t>LEAD_SOL 1</w:t>
      </w:r>
      <w:r w:rsidRPr="005A0E1B">
        <w:rPr>
          <w:noProof/>
        </w:rPr>
        <w:t xml:space="preserve"> -</w:t>
      </w:r>
      <w:r>
        <w:rPr>
          <w:noProof/>
        </w:rPr>
        <w:t xml:space="preserve"> </w:t>
      </w:r>
      <w:r w:rsidRPr="009F4BA6">
        <w:rPr>
          <w:noProof/>
        </w:rPr>
        <w:t xml:space="preserve">Introducing </w:t>
      </w:r>
      <w:r w:rsidR="00E83DDC">
        <w:rPr>
          <w:noProof/>
        </w:rPr>
        <w:t>Made in EU</w:t>
      </w:r>
      <w:r>
        <w:rPr>
          <w:noProof/>
        </w:rPr>
        <w:t xml:space="preserve"> requirements</w:t>
      </w:r>
      <w:r w:rsidRPr="009F4BA6">
        <w:rPr>
          <w:noProof/>
        </w:rPr>
        <w:t xml:space="preserve"> criteria in public procurement, auctions, and public support schemes for solar PV </w:t>
      </w:r>
      <w:r>
        <w:rPr>
          <w:noProof/>
        </w:rPr>
        <w:t>might</w:t>
      </w:r>
      <w:r w:rsidRPr="009F4BA6">
        <w:rPr>
          <w:noProof/>
        </w:rPr>
        <w:t xml:space="preserve"> result in a short-term cost premium</w:t>
      </w:r>
      <w:r w:rsidRPr="19EA4FC4">
        <w:rPr>
          <w:rStyle w:val="FootnoteReference"/>
          <w:noProof/>
        </w:rPr>
        <w:footnoteReference w:id="174"/>
      </w:r>
      <w:r w:rsidR="00C17430">
        <w:rPr>
          <w:noProof/>
        </w:rPr>
        <w:t>,</w:t>
      </w:r>
      <w:r w:rsidRPr="009F4BA6">
        <w:rPr>
          <w:noProof/>
        </w:rPr>
        <w:t xml:space="preserve"> as EU-made modules currently have higher production costs than import</w:t>
      </w:r>
      <w:r w:rsidR="004125B4">
        <w:rPr>
          <w:noProof/>
        </w:rPr>
        <w:t>ed ones</w:t>
      </w:r>
      <w:r w:rsidRPr="009F4BA6">
        <w:rPr>
          <w:noProof/>
        </w:rPr>
        <w:t xml:space="preserve">. </w:t>
      </w:r>
      <w:r w:rsidRPr="00801C0E">
        <w:rPr>
          <w:noProof/>
        </w:rPr>
        <w:t xml:space="preserve">European panels with three components manufactured in Europe </w:t>
      </w:r>
      <w:r w:rsidR="71BDBE77" w:rsidRPr="00801C0E">
        <w:rPr>
          <w:noProof/>
        </w:rPr>
        <w:t>(</w:t>
      </w:r>
      <w:r w:rsidR="2A9686E4" w:rsidRPr="00801C0E">
        <w:rPr>
          <w:noProof/>
        </w:rPr>
        <w:t xml:space="preserve">which </w:t>
      </w:r>
      <w:r w:rsidR="2A9686E4">
        <w:rPr>
          <w:noProof/>
        </w:rPr>
        <w:t xml:space="preserve">would be NZIA compliant) </w:t>
      </w:r>
      <w:r w:rsidRPr="00801C0E">
        <w:rPr>
          <w:noProof/>
        </w:rPr>
        <w:t>would cost around 19</w:t>
      </w:r>
      <w:r w:rsidR="00BA1A67">
        <w:rPr>
          <w:noProof/>
        </w:rPr>
        <w:t xml:space="preserve"> </w:t>
      </w:r>
      <w:r w:rsidRPr="00801C0E">
        <w:rPr>
          <w:noProof/>
        </w:rPr>
        <w:t>€ct/Wp</w:t>
      </w:r>
      <w:r>
        <w:rPr>
          <w:noProof/>
        </w:rPr>
        <w:t xml:space="preserve">, while </w:t>
      </w:r>
      <w:r w:rsidRPr="00801C0E">
        <w:rPr>
          <w:noProof/>
        </w:rPr>
        <w:t>minimum sustainable price for production in China is estimated at 15.9 €ct/Wp</w:t>
      </w:r>
      <w:r>
        <w:rPr>
          <w:rStyle w:val="FootnoteReference"/>
          <w:noProof/>
        </w:rPr>
        <w:footnoteReference w:id="175"/>
      </w:r>
      <w:r w:rsidR="00C17430">
        <w:rPr>
          <w:noProof/>
        </w:rPr>
        <w:t>,</w:t>
      </w:r>
      <w:r w:rsidRPr="00801C0E">
        <w:rPr>
          <w:noProof/>
        </w:rPr>
        <w:t xml:space="preserve"> </w:t>
      </w:r>
      <w:r>
        <w:rPr>
          <w:noProof/>
        </w:rPr>
        <w:t xml:space="preserve">despite </w:t>
      </w:r>
      <w:r w:rsidRPr="00801C0E">
        <w:rPr>
          <w:noProof/>
        </w:rPr>
        <w:t>Chinese panels</w:t>
      </w:r>
      <w:r w:rsidRPr="003D622F">
        <w:rPr>
          <w:noProof/>
        </w:rPr>
        <w:t xml:space="preserve"> </w:t>
      </w:r>
      <w:r w:rsidRPr="00801C0E">
        <w:rPr>
          <w:noProof/>
        </w:rPr>
        <w:t xml:space="preserve">currently </w:t>
      </w:r>
      <w:r>
        <w:rPr>
          <w:noProof/>
        </w:rPr>
        <w:t xml:space="preserve">being </w:t>
      </w:r>
      <w:r w:rsidRPr="00801C0E">
        <w:rPr>
          <w:noProof/>
        </w:rPr>
        <w:t>sold at levels of 8.7</w:t>
      </w:r>
      <w:r w:rsidR="00BA1A67">
        <w:rPr>
          <w:noProof/>
        </w:rPr>
        <w:t xml:space="preserve"> </w:t>
      </w:r>
      <w:r w:rsidRPr="00801C0E">
        <w:rPr>
          <w:noProof/>
        </w:rPr>
        <w:t xml:space="preserve">€ct/Wp in Europe. </w:t>
      </w:r>
      <w:r>
        <w:rPr>
          <w:noProof/>
        </w:rPr>
        <w:t>Once</w:t>
      </w:r>
      <w:r w:rsidRPr="00801C0E">
        <w:rPr>
          <w:noProof/>
        </w:rPr>
        <w:t xml:space="preserve"> Chinese products hit a sustainable level again</w:t>
      </w:r>
      <w:r w:rsidRPr="00801C0E">
        <w:rPr>
          <w:rStyle w:val="FootnoteReference"/>
          <w:noProof/>
        </w:rPr>
        <w:footnoteReference w:id="176"/>
      </w:r>
      <w:r w:rsidRPr="00801C0E">
        <w:rPr>
          <w:noProof/>
        </w:rPr>
        <w:t xml:space="preserve"> the price difference between the Made in the EU module and </w:t>
      </w:r>
      <w:r>
        <w:rPr>
          <w:noProof/>
        </w:rPr>
        <w:t xml:space="preserve">an </w:t>
      </w:r>
      <w:r w:rsidRPr="00801C0E">
        <w:rPr>
          <w:noProof/>
        </w:rPr>
        <w:t xml:space="preserve">imported one </w:t>
      </w:r>
      <w:r>
        <w:rPr>
          <w:noProof/>
        </w:rPr>
        <w:t>will not be that</w:t>
      </w:r>
      <w:r w:rsidRPr="00801C0E">
        <w:rPr>
          <w:noProof/>
        </w:rPr>
        <w:t xml:space="preserve"> disproportionate. At current levels of 8.7</w:t>
      </w:r>
      <w:r w:rsidR="00BA1A67">
        <w:rPr>
          <w:noProof/>
        </w:rPr>
        <w:t xml:space="preserve"> </w:t>
      </w:r>
      <w:r w:rsidRPr="00801C0E">
        <w:rPr>
          <w:noProof/>
        </w:rPr>
        <w:t xml:space="preserve">€ct/Wp the price difference </w:t>
      </w:r>
      <w:r>
        <w:rPr>
          <w:noProof/>
        </w:rPr>
        <w:t xml:space="preserve">between Chinese products and </w:t>
      </w:r>
      <w:r w:rsidR="43E64C90">
        <w:rPr>
          <w:noProof/>
        </w:rPr>
        <w:t>NZIA</w:t>
      </w:r>
      <w:r w:rsidR="2AA63473">
        <w:rPr>
          <w:noProof/>
        </w:rPr>
        <w:t>-</w:t>
      </w:r>
      <w:r w:rsidR="10B5ED13">
        <w:rPr>
          <w:noProof/>
        </w:rPr>
        <w:t xml:space="preserve">compliant </w:t>
      </w:r>
      <w:r w:rsidR="2AA63473">
        <w:rPr>
          <w:noProof/>
        </w:rPr>
        <w:t xml:space="preserve">products </w:t>
      </w:r>
      <w:r w:rsidR="0E3DA695">
        <w:rPr>
          <w:noProof/>
        </w:rPr>
        <w:t xml:space="preserve"> </w:t>
      </w:r>
      <w:r>
        <w:rPr>
          <w:noProof/>
        </w:rPr>
        <w:t xml:space="preserve"> </w:t>
      </w:r>
      <w:r w:rsidRPr="00801C0E">
        <w:rPr>
          <w:noProof/>
        </w:rPr>
        <w:t xml:space="preserve">would impact the </w:t>
      </w:r>
      <w:r w:rsidRPr="00C54ED5">
        <w:rPr>
          <w:noProof/>
        </w:rPr>
        <w:t>Levelized Cost of Energy</w:t>
      </w:r>
      <w:r>
        <w:rPr>
          <w:noProof/>
        </w:rPr>
        <w:t xml:space="preserve"> (</w:t>
      </w:r>
      <w:r w:rsidRPr="00801C0E">
        <w:rPr>
          <w:noProof/>
        </w:rPr>
        <w:t>LCOE</w:t>
      </w:r>
      <w:r>
        <w:rPr>
          <w:noProof/>
        </w:rPr>
        <w:t>)</w:t>
      </w:r>
      <w:r w:rsidRPr="00801C0E">
        <w:rPr>
          <w:noProof/>
        </w:rPr>
        <w:t xml:space="preserve"> </w:t>
      </w:r>
      <w:r>
        <w:rPr>
          <w:noProof/>
        </w:rPr>
        <w:t>by</w:t>
      </w:r>
      <w:r w:rsidRPr="00801C0E">
        <w:rPr>
          <w:noProof/>
        </w:rPr>
        <w:t xml:space="preserve"> 0.75 €ct/kWh </w:t>
      </w:r>
      <w:r w:rsidR="40BBE7D5">
        <w:rPr>
          <w:noProof/>
        </w:rPr>
        <w:t xml:space="preserve">equal to </w:t>
      </w:r>
      <w:r w:rsidRPr="00801C0E">
        <w:rPr>
          <w:noProof/>
        </w:rPr>
        <w:t xml:space="preserve"> an increase of 14.5%</w:t>
      </w:r>
      <w:r w:rsidRPr="00801C0E">
        <w:rPr>
          <w:rStyle w:val="FootnoteReference"/>
          <w:noProof/>
        </w:rPr>
        <w:footnoteReference w:id="177"/>
      </w:r>
      <w:r w:rsidRPr="00801C0E">
        <w:rPr>
          <w:noProof/>
        </w:rPr>
        <w:t xml:space="preserve"> </w:t>
      </w:r>
      <w:r>
        <w:rPr>
          <w:noProof/>
        </w:rPr>
        <w:t>at the level of the specific auction.</w:t>
      </w:r>
      <w:r w:rsidR="00C6060E">
        <w:rPr>
          <w:noProof/>
        </w:rPr>
        <w:t xml:space="preserve"> Please see Annex 4 section 2.2. for further calculations.</w:t>
      </w:r>
      <w:r>
        <w:rPr>
          <w:noProof/>
        </w:rPr>
        <w:t xml:space="preserve"> This means that profit m</w:t>
      </w:r>
      <w:r w:rsidRPr="00801C0E">
        <w:rPr>
          <w:noProof/>
        </w:rPr>
        <w:t xml:space="preserve">argins of utilities </w:t>
      </w:r>
      <w:r>
        <w:rPr>
          <w:noProof/>
        </w:rPr>
        <w:t>could</w:t>
      </w:r>
      <w:r w:rsidRPr="00801C0E">
        <w:rPr>
          <w:noProof/>
        </w:rPr>
        <w:t xml:space="preserve"> be </w:t>
      </w:r>
      <w:r w:rsidR="77B5911C" w:rsidRPr="00801C0E">
        <w:rPr>
          <w:noProof/>
        </w:rPr>
        <w:t>negatively</w:t>
      </w:r>
      <w:r w:rsidRPr="00801C0E">
        <w:rPr>
          <w:noProof/>
        </w:rPr>
        <w:t xml:space="preserve"> impacted,</w:t>
      </w:r>
      <w:r>
        <w:rPr>
          <w:noProof/>
        </w:rPr>
        <w:t xml:space="preserve"> with </w:t>
      </w:r>
      <w:r w:rsidRPr="0F58A058">
        <w:rPr>
          <w:noProof/>
        </w:rPr>
        <w:t xml:space="preserve">electricity prices </w:t>
      </w:r>
      <w:r>
        <w:rPr>
          <w:noProof/>
        </w:rPr>
        <w:t xml:space="preserve">for end consumers </w:t>
      </w:r>
      <w:r w:rsidR="7C68FB12" w:rsidRPr="002D79AB">
        <w:rPr>
          <w:noProof/>
        </w:rPr>
        <w:t>potentially</w:t>
      </w:r>
      <w:r>
        <w:rPr>
          <w:noProof/>
        </w:rPr>
        <w:t xml:space="preserve"> increasing only very </w:t>
      </w:r>
      <w:r w:rsidRPr="00DE4E1A">
        <w:rPr>
          <w:noProof/>
        </w:rPr>
        <w:t xml:space="preserve">marginally as (i) </w:t>
      </w:r>
      <w:r w:rsidR="00E83DDC" w:rsidRPr="00DE4E1A">
        <w:rPr>
          <w:noProof/>
        </w:rPr>
        <w:t>Made in EU</w:t>
      </w:r>
      <w:r w:rsidRPr="00DE4E1A">
        <w:rPr>
          <w:noProof/>
        </w:rPr>
        <w:t xml:space="preserve"> requirements would be applied only to a share of the auctions; (ii) gas power plants would remain the marginal source to set the electricity price most of the hours. Further, at end-consumer level, slight price increases can be accommodated by other means, such as levies and taxes. </w:t>
      </w:r>
      <w:r w:rsidRPr="00360154">
        <w:rPr>
          <w:noProof/>
        </w:rPr>
        <w:t xml:space="preserve">According to stakeholder input, the NZIA resilience requirements, applicable as of 30 December 2025 and foreseen to be implemented under the Fer X scheme in Italy, could lead to </w:t>
      </w:r>
      <w:r w:rsidRPr="00360154">
        <w:rPr>
          <w:noProof/>
        </w:rPr>
        <w:lastRenderedPageBreak/>
        <w:t xml:space="preserve">an increase of approximately 15% in the auction-level LCOE, but only around 1% </w:t>
      </w:r>
      <w:r w:rsidR="00C96B21" w:rsidRPr="00360154">
        <w:rPr>
          <w:noProof/>
        </w:rPr>
        <w:t xml:space="preserve">at the corresponding electricity price level. </w:t>
      </w:r>
    </w:p>
    <w:p w14:paraId="4DE28F78" w14:textId="704F157B" w:rsidR="00285741" w:rsidRDefault="00285741">
      <w:pPr>
        <w:pStyle w:val="Text2"/>
        <w:spacing w:after="120"/>
        <w:ind w:left="0"/>
        <w:rPr>
          <w:noProof/>
        </w:rPr>
      </w:pPr>
      <w:r w:rsidRPr="00DE4E1A">
        <w:rPr>
          <w:noProof/>
        </w:rPr>
        <w:t xml:space="preserve">Overall, applying </w:t>
      </w:r>
      <w:r w:rsidR="00E83DDC" w:rsidRPr="00DE4E1A">
        <w:rPr>
          <w:noProof/>
        </w:rPr>
        <w:t>Made in EU</w:t>
      </w:r>
      <w:r w:rsidRPr="00DE4E1A">
        <w:rPr>
          <w:noProof/>
        </w:rPr>
        <w:t xml:space="preserve"> requirement</w:t>
      </w:r>
      <w:r w:rsidRPr="0030203C">
        <w:rPr>
          <w:noProof/>
        </w:rPr>
        <w:t xml:space="preserve">s under LEAD_SOL 1 is estimated to generate the following additional cumulative costs by 2030 compared to the Baseline: approximately </w:t>
      </w:r>
      <w:r>
        <w:rPr>
          <w:noProof/>
        </w:rPr>
        <w:t>EUR 60 million</w:t>
      </w:r>
      <w:r w:rsidRPr="0030203C">
        <w:rPr>
          <w:noProof/>
        </w:rPr>
        <w:t xml:space="preserve"> in public procurement, </w:t>
      </w:r>
      <w:r>
        <w:rPr>
          <w:noProof/>
        </w:rPr>
        <w:t>EUR 580 million</w:t>
      </w:r>
      <w:r w:rsidRPr="0030203C">
        <w:rPr>
          <w:noProof/>
        </w:rPr>
        <w:t xml:space="preserve"> in auctions, and </w:t>
      </w:r>
      <w:r>
        <w:rPr>
          <w:noProof/>
        </w:rPr>
        <w:t>EUR 240 million</w:t>
      </w:r>
      <w:r w:rsidRPr="0030203C">
        <w:rPr>
          <w:noProof/>
        </w:rPr>
        <w:t xml:space="preserve"> in public support schemes. These costs reflect the price difference between PV modules manufactured in the EU using a mix of EU and Chinese components</w:t>
      </w:r>
      <w:r>
        <w:rPr>
          <w:noProof/>
        </w:rPr>
        <w:t xml:space="preserve"> (IAA compliant)</w:t>
      </w:r>
      <w:r w:rsidRPr="0030203C">
        <w:rPr>
          <w:noProof/>
        </w:rPr>
        <w:t xml:space="preserve">, and the </w:t>
      </w:r>
      <w:r>
        <w:rPr>
          <w:noProof/>
        </w:rPr>
        <w:t>minimum sustainable PV module price in China</w:t>
      </w:r>
      <w:r>
        <w:rPr>
          <w:rStyle w:val="FootnoteReference"/>
          <w:noProof/>
        </w:rPr>
        <w:footnoteReference w:id="178"/>
      </w:r>
      <w:r w:rsidRPr="0030203C">
        <w:rPr>
          <w:noProof/>
        </w:rPr>
        <w:t xml:space="preserve"> </w:t>
      </w:r>
      <w:r>
        <w:rPr>
          <w:noProof/>
        </w:rPr>
        <w:t>for</w:t>
      </w:r>
      <w:r w:rsidRPr="0030203C">
        <w:rPr>
          <w:noProof/>
        </w:rPr>
        <w:t xml:space="preserve"> fully Chinese-made modules</w:t>
      </w:r>
      <w:r w:rsidR="00DF463F" w:rsidRPr="0030203C">
        <w:rPr>
          <w:noProof/>
        </w:rPr>
        <w:t xml:space="preserve">. </w:t>
      </w:r>
      <w:r w:rsidR="00DF463F">
        <w:rPr>
          <w:noProof/>
        </w:rPr>
        <w:t xml:space="preserve">If Chinese solar costs would remain closer to today’s price, these costs </w:t>
      </w:r>
      <w:r w:rsidR="00394D15">
        <w:rPr>
          <w:noProof/>
        </w:rPr>
        <w:t>c</w:t>
      </w:r>
      <w:r w:rsidR="00DF463F">
        <w:rPr>
          <w:noProof/>
        </w:rPr>
        <w:t xml:space="preserve">ould be higher. The costs for downstream industrial and household consumers resulting from higher electricity prices could not be calculated with the models used for this impact assessment. </w:t>
      </w:r>
    </w:p>
    <w:p w14:paraId="71C01ACF" w14:textId="37067392" w:rsidR="006A7A3A" w:rsidRDefault="7F18CF50">
      <w:pPr>
        <w:pStyle w:val="Text2"/>
        <w:spacing w:after="120"/>
        <w:ind w:left="0"/>
        <w:rPr>
          <w:noProof/>
        </w:rPr>
      </w:pPr>
      <w:r>
        <w:rPr>
          <w:noProof/>
        </w:rPr>
        <w:t>Neverth</w:t>
      </w:r>
      <w:r w:rsidR="00EC69C6">
        <w:rPr>
          <w:noProof/>
        </w:rPr>
        <w:t>e</w:t>
      </w:r>
      <w:r>
        <w:rPr>
          <w:noProof/>
        </w:rPr>
        <w:t>less</w:t>
      </w:r>
      <w:r w:rsidR="00285741">
        <w:rPr>
          <w:noProof/>
        </w:rPr>
        <w:t xml:space="preserve">, this cost premium would be reduced over time as EU manufacturers ramp up and as the cost of solar </w:t>
      </w:r>
      <w:r w:rsidR="733966E0">
        <w:rPr>
          <w:noProof/>
        </w:rPr>
        <w:t>PV</w:t>
      </w:r>
      <w:r w:rsidR="307FA615">
        <w:rPr>
          <w:noProof/>
        </w:rPr>
        <w:t>s</w:t>
      </w:r>
      <w:r w:rsidR="00285741">
        <w:rPr>
          <w:noProof/>
        </w:rPr>
        <w:t xml:space="preserve">, and therefore the share of their cost within a PV installation (household or utility-scale) </w:t>
      </w:r>
      <w:r w:rsidR="733966E0">
        <w:rPr>
          <w:noProof/>
        </w:rPr>
        <w:t>decrease</w:t>
      </w:r>
      <w:r w:rsidR="66CDFAA1">
        <w:rPr>
          <w:noProof/>
        </w:rPr>
        <w:t>s</w:t>
      </w:r>
      <w:r w:rsidR="733966E0">
        <w:rPr>
          <w:noProof/>
        </w:rPr>
        <w:t>.</w:t>
      </w:r>
      <w:r w:rsidR="00285741">
        <w:rPr>
          <w:noProof/>
        </w:rPr>
        <w:t xml:space="preserve"> Large‑scale solar parks may see bid prices rise as EU‑content requirements take effect. However, the baseline scenario of NZIA’s indicative benchmark</w:t>
      </w:r>
      <w:r w:rsidR="00285741" w:rsidRPr="4FE43E78">
        <w:rPr>
          <w:rFonts w:eastAsia="Calibri"/>
          <w:noProof/>
        </w:rPr>
        <w:t xml:space="preserve"> of manufacturing capacity </w:t>
      </w:r>
      <w:r w:rsidR="00DE1153">
        <w:rPr>
          <w:rFonts w:eastAsia="Calibri"/>
          <w:noProof/>
        </w:rPr>
        <w:t>across net zero technologies</w:t>
      </w:r>
      <w:r w:rsidR="00285741" w:rsidRPr="4FE43E78">
        <w:rPr>
          <w:rFonts w:eastAsia="Calibri"/>
          <w:noProof/>
        </w:rPr>
        <w:t xml:space="preserve"> to reach at least 40% of the </w:t>
      </w:r>
      <w:r w:rsidR="733966E0" w:rsidRPr="4FE43E78">
        <w:rPr>
          <w:rFonts w:eastAsia="Calibri"/>
          <w:noProof/>
        </w:rPr>
        <w:t>EU</w:t>
      </w:r>
      <w:r w:rsidR="2470BC86" w:rsidRPr="4FE43E78">
        <w:rPr>
          <w:rFonts w:eastAsia="Calibri"/>
          <w:noProof/>
        </w:rPr>
        <w:t>’</w:t>
      </w:r>
      <w:r w:rsidR="733966E0" w:rsidRPr="4FE43E78">
        <w:rPr>
          <w:rFonts w:eastAsia="Calibri"/>
          <w:noProof/>
        </w:rPr>
        <w:t>s</w:t>
      </w:r>
      <w:r w:rsidR="00285741" w:rsidRPr="4FE43E78">
        <w:rPr>
          <w:rFonts w:eastAsia="Calibri"/>
          <w:noProof/>
        </w:rPr>
        <w:t xml:space="preserve"> annual deployment needs by 2030 </w:t>
      </w:r>
      <w:r w:rsidR="00285741">
        <w:rPr>
          <w:noProof/>
        </w:rPr>
        <w:t xml:space="preserve">will </w:t>
      </w:r>
      <w:r w:rsidR="0022766B">
        <w:rPr>
          <w:noProof/>
        </w:rPr>
        <w:t xml:space="preserve">improve </w:t>
      </w:r>
      <w:r w:rsidR="00285741">
        <w:rPr>
          <w:noProof/>
        </w:rPr>
        <w:t>market predictability</w:t>
      </w:r>
      <w:r w:rsidR="0022766B">
        <w:rPr>
          <w:noProof/>
        </w:rPr>
        <w:t>.</w:t>
      </w:r>
      <w:r w:rsidR="00285741">
        <w:rPr>
          <w:noProof/>
        </w:rPr>
        <w:t xml:space="preserve"> Rooftop and commercial installers who buy panels in small lots could see retail module prices climb and potentially dampening uptake. </w:t>
      </w:r>
      <w:r w:rsidR="00285741" w:rsidRPr="009F4BA6">
        <w:rPr>
          <w:noProof/>
        </w:rPr>
        <w:t xml:space="preserve">However, since the module typically accounts for </w:t>
      </w:r>
      <w:r w:rsidR="00285741">
        <w:rPr>
          <w:noProof/>
        </w:rPr>
        <w:t>25-30</w:t>
      </w:r>
      <w:r w:rsidR="00285741" w:rsidRPr="13D5E11A">
        <w:rPr>
          <w:noProof/>
        </w:rPr>
        <w:t>%</w:t>
      </w:r>
      <w:r w:rsidR="00285741">
        <w:rPr>
          <w:rStyle w:val="FootnoteReference"/>
          <w:noProof/>
        </w:rPr>
        <w:footnoteReference w:id="179"/>
      </w:r>
      <w:r w:rsidR="00285741">
        <w:rPr>
          <w:noProof/>
        </w:rPr>
        <w:t xml:space="preserve"> </w:t>
      </w:r>
      <w:r w:rsidR="00285741" w:rsidRPr="009F4BA6">
        <w:rPr>
          <w:noProof/>
        </w:rPr>
        <w:t xml:space="preserve">of total installation costs, the impact on final consumer prices would remain </w:t>
      </w:r>
      <w:r w:rsidR="00285741">
        <w:rPr>
          <w:noProof/>
        </w:rPr>
        <w:t>limited</w:t>
      </w:r>
      <w:r w:rsidR="00285741" w:rsidRPr="009F4BA6">
        <w:rPr>
          <w:noProof/>
        </w:rPr>
        <w:t xml:space="preserve"> and c</w:t>
      </w:r>
      <w:r w:rsidR="00285741">
        <w:rPr>
          <w:noProof/>
        </w:rPr>
        <w:t>ould</w:t>
      </w:r>
      <w:r w:rsidR="00285741" w:rsidRPr="009F4BA6">
        <w:rPr>
          <w:noProof/>
        </w:rPr>
        <w:t xml:space="preserve"> be further mitigated through smart auction and procurement design</w:t>
      </w:r>
      <w:r w:rsidR="00285741">
        <w:rPr>
          <w:noProof/>
        </w:rPr>
        <w:t xml:space="preserve"> to create different incentives and flexibility.</w:t>
      </w:r>
    </w:p>
    <w:p w14:paraId="4F0AEFF0" w14:textId="26787CA6" w:rsidR="00604E13" w:rsidRPr="00CF3918" w:rsidRDefault="00CA0D07" w:rsidP="00604E13">
      <w:pPr>
        <w:pStyle w:val="Text2"/>
        <w:spacing w:after="120"/>
        <w:ind w:left="0"/>
        <w:rPr>
          <w:noProof/>
          <w:lang w:val="en-IE"/>
        </w:rPr>
      </w:pPr>
      <w:r w:rsidRPr="00360154">
        <w:rPr>
          <w:noProof/>
        </w:rPr>
        <w:t>In relation to cybersecurity,</w:t>
      </w:r>
      <w:r w:rsidR="00677E79" w:rsidRPr="00360154">
        <w:rPr>
          <w:noProof/>
        </w:rPr>
        <w:t xml:space="preserve"> </w:t>
      </w:r>
      <w:r w:rsidR="00E83DDC" w:rsidRPr="00360154">
        <w:rPr>
          <w:noProof/>
          <w:lang w:val="en-IE"/>
        </w:rPr>
        <w:t>Made in EU</w:t>
      </w:r>
      <w:r w:rsidR="00604E13" w:rsidRPr="00360154">
        <w:rPr>
          <w:noProof/>
          <w:lang w:val="en-IE"/>
        </w:rPr>
        <w:t xml:space="preserve"> requirements </w:t>
      </w:r>
      <w:r w:rsidR="003A760F" w:rsidRPr="00360154">
        <w:rPr>
          <w:noProof/>
          <w:lang w:val="en-IE"/>
        </w:rPr>
        <w:t xml:space="preserve">for </w:t>
      </w:r>
      <w:r w:rsidR="005F2ACA" w:rsidRPr="00360154">
        <w:rPr>
          <w:noProof/>
          <w:lang w:val="en-IE"/>
        </w:rPr>
        <w:t xml:space="preserve">inverters </w:t>
      </w:r>
      <w:r w:rsidR="003A760F" w:rsidRPr="00360154">
        <w:rPr>
          <w:noProof/>
          <w:lang w:val="en-IE"/>
        </w:rPr>
        <w:t xml:space="preserve">can </w:t>
      </w:r>
      <w:r w:rsidR="00604E13" w:rsidRPr="00360154">
        <w:rPr>
          <w:noProof/>
          <w:lang w:val="en-IE"/>
        </w:rPr>
        <w:t>boost local manufacturing and improve cybersecurity by keeping control of key technologies in Europe. This reduces risks from foreign cyber threats and protects energy infrastructure, making the EU safer and more resilient.</w:t>
      </w:r>
    </w:p>
    <w:p w14:paraId="25A363B6" w14:textId="581BAF8F" w:rsidR="00A6750D" w:rsidRPr="00A6750D" w:rsidRDefault="00206D74" w:rsidP="00A6750D">
      <w:pPr>
        <w:pStyle w:val="Text2"/>
        <w:spacing w:after="120"/>
        <w:ind w:left="0"/>
        <w:rPr>
          <w:noProof/>
          <w:lang w:val="en-IE"/>
        </w:rPr>
      </w:pPr>
      <w:r w:rsidRPr="00360154">
        <w:rPr>
          <w:noProof/>
          <w:lang w:val="en-IE"/>
        </w:rPr>
        <w:t xml:space="preserve">Regarding </w:t>
      </w:r>
      <w:r w:rsidR="00524168" w:rsidRPr="00360154">
        <w:rPr>
          <w:noProof/>
          <w:lang w:val="en-IE"/>
        </w:rPr>
        <w:t>the</w:t>
      </w:r>
      <w:r w:rsidRPr="00360154">
        <w:rPr>
          <w:noProof/>
          <w:lang w:val="en-IE"/>
        </w:rPr>
        <w:t xml:space="preserve"> energy transition</w:t>
      </w:r>
      <w:r w:rsidR="6576EC09" w:rsidRPr="00360154">
        <w:rPr>
          <w:noProof/>
          <w:lang w:val="en-IE"/>
        </w:rPr>
        <w:t xml:space="preserve"> in the EU</w:t>
      </w:r>
      <w:r w:rsidRPr="00360154">
        <w:rPr>
          <w:noProof/>
          <w:lang w:val="en-IE"/>
        </w:rPr>
        <w:t>, t</w:t>
      </w:r>
      <w:r w:rsidR="00A6750D" w:rsidRPr="00360154">
        <w:rPr>
          <w:noProof/>
          <w:lang w:val="en-IE"/>
        </w:rPr>
        <w:t xml:space="preserve">he potential impact of </w:t>
      </w:r>
      <w:r w:rsidR="00E83DDC" w:rsidRPr="00360154">
        <w:rPr>
          <w:noProof/>
          <w:lang w:val="en-IE"/>
        </w:rPr>
        <w:t>Made</w:t>
      </w:r>
      <w:r w:rsidR="00A6750D" w:rsidRPr="00360154">
        <w:rPr>
          <w:noProof/>
          <w:lang w:val="en-IE"/>
        </w:rPr>
        <w:t xml:space="preserve"> in </w:t>
      </w:r>
      <w:r w:rsidR="00E83DDC" w:rsidRPr="00360154">
        <w:rPr>
          <w:noProof/>
          <w:lang w:val="en-IE"/>
        </w:rPr>
        <w:t>EU</w:t>
      </w:r>
      <w:r w:rsidR="00A6750D" w:rsidRPr="00360154">
        <w:rPr>
          <w:noProof/>
          <w:lang w:val="en-IE"/>
        </w:rPr>
        <w:t xml:space="preserve"> requirements in solar PV </w:t>
      </w:r>
      <w:r w:rsidR="00C94267" w:rsidRPr="00360154">
        <w:rPr>
          <w:noProof/>
          <w:lang w:val="en-IE"/>
        </w:rPr>
        <w:t xml:space="preserve">could lead to higher costs </w:t>
      </w:r>
      <w:r w:rsidR="57AC4CC2" w:rsidRPr="00360154">
        <w:rPr>
          <w:noProof/>
          <w:lang w:val="en-IE"/>
        </w:rPr>
        <w:t xml:space="preserve">in the </w:t>
      </w:r>
      <w:r w:rsidR="00C94267" w:rsidRPr="00360154">
        <w:rPr>
          <w:noProof/>
          <w:lang w:val="en-IE"/>
        </w:rPr>
        <w:t xml:space="preserve">short </w:t>
      </w:r>
      <w:r w:rsidR="57AC4CC2" w:rsidRPr="00360154">
        <w:rPr>
          <w:noProof/>
          <w:lang w:val="en-IE"/>
        </w:rPr>
        <w:t>term</w:t>
      </w:r>
      <w:r w:rsidR="00C94267" w:rsidRPr="00360154">
        <w:rPr>
          <w:noProof/>
          <w:lang w:val="en-IE"/>
        </w:rPr>
        <w:t xml:space="preserve"> but </w:t>
      </w:r>
      <w:r w:rsidR="00882FD4" w:rsidRPr="00360154">
        <w:rPr>
          <w:noProof/>
          <w:lang w:val="en-IE"/>
        </w:rPr>
        <w:t>will</w:t>
      </w:r>
      <w:r w:rsidR="61825F82" w:rsidRPr="00360154">
        <w:rPr>
          <w:noProof/>
          <w:lang w:val="en-IE"/>
        </w:rPr>
        <w:t xml:space="preserve"> be</w:t>
      </w:r>
      <w:r w:rsidR="00A6750D" w:rsidRPr="00360154">
        <w:rPr>
          <w:noProof/>
          <w:lang w:val="en-IE"/>
        </w:rPr>
        <w:t xml:space="preserve"> </w:t>
      </w:r>
      <w:r w:rsidR="57AC4CC2" w:rsidRPr="00360154">
        <w:rPr>
          <w:noProof/>
          <w:lang w:val="en-IE"/>
        </w:rPr>
        <w:t>beneficial in the mid to long-term</w:t>
      </w:r>
      <w:r w:rsidR="00A6750D" w:rsidRPr="00360154">
        <w:rPr>
          <w:noProof/>
          <w:lang w:val="en-IE"/>
        </w:rPr>
        <w:t>. First</w:t>
      </w:r>
      <w:r w:rsidR="299505B2" w:rsidRPr="00360154">
        <w:rPr>
          <w:noProof/>
          <w:lang w:val="en-IE"/>
        </w:rPr>
        <w:t xml:space="preserve">, the requirements </w:t>
      </w:r>
      <w:r w:rsidR="00A6750D" w:rsidRPr="00360154">
        <w:rPr>
          <w:noProof/>
          <w:lang w:val="en-IE"/>
        </w:rPr>
        <w:t>will significantly reduce Europe’s heavy import dependence—especially on China—thereby lowering risks of supply disruptions and enhancing solar PV rollout reliability</w:t>
      </w:r>
      <w:r w:rsidR="00CB2B6A" w:rsidRPr="00360154">
        <w:rPr>
          <w:noProof/>
          <w:lang w:val="en-IE"/>
        </w:rPr>
        <w:t xml:space="preserve">, </w:t>
      </w:r>
      <w:r w:rsidR="00A6750D" w:rsidRPr="00360154">
        <w:rPr>
          <w:noProof/>
          <w:lang w:val="en-IE"/>
        </w:rPr>
        <w:t xml:space="preserve">critical for </w:t>
      </w:r>
      <w:r w:rsidR="00CB2B6A" w:rsidRPr="00360154">
        <w:rPr>
          <w:noProof/>
          <w:lang w:val="en-IE"/>
        </w:rPr>
        <w:t xml:space="preserve">achieving </w:t>
      </w:r>
      <w:r w:rsidR="00A6750D" w:rsidRPr="00360154">
        <w:rPr>
          <w:noProof/>
          <w:lang w:val="en-IE"/>
        </w:rPr>
        <w:t xml:space="preserve">renewable targets. Second, </w:t>
      </w:r>
      <w:r w:rsidR="663E6DDA" w:rsidRPr="00360154">
        <w:rPr>
          <w:noProof/>
          <w:lang w:val="en-IE"/>
        </w:rPr>
        <w:t>they</w:t>
      </w:r>
      <w:r w:rsidR="00A6750D" w:rsidRPr="00360154">
        <w:rPr>
          <w:noProof/>
          <w:lang w:val="en-IE"/>
        </w:rPr>
        <w:t xml:space="preserve"> will </w:t>
      </w:r>
      <w:r w:rsidR="102A30EE" w:rsidRPr="00360154">
        <w:rPr>
          <w:noProof/>
          <w:lang w:val="en-IE"/>
        </w:rPr>
        <w:t>trigger</w:t>
      </w:r>
      <w:r w:rsidR="00A6750D" w:rsidRPr="00360154">
        <w:rPr>
          <w:noProof/>
          <w:lang w:val="en-IE"/>
        </w:rPr>
        <w:t xml:space="preserve"> large investments in new manufacturing capacity, technology, and skills; and 3) it will ensure availability of </w:t>
      </w:r>
      <w:r w:rsidR="00655C03" w:rsidRPr="00360154">
        <w:rPr>
          <w:noProof/>
          <w:lang w:val="en-IE"/>
        </w:rPr>
        <w:t xml:space="preserve">the </w:t>
      </w:r>
      <w:r w:rsidR="00A6750D" w:rsidRPr="00360154">
        <w:rPr>
          <w:noProof/>
          <w:lang w:val="en-IE"/>
        </w:rPr>
        <w:t>main specific components</w:t>
      </w:r>
      <w:r w:rsidR="00655C03" w:rsidRPr="00360154">
        <w:rPr>
          <w:noProof/>
          <w:lang w:val="en-IE"/>
        </w:rPr>
        <w:t>,</w:t>
      </w:r>
      <w:r w:rsidR="00A6750D" w:rsidRPr="00360154">
        <w:rPr>
          <w:noProof/>
          <w:lang w:val="en-IE"/>
        </w:rPr>
        <w:t xml:space="preserve"> in particular inverters</w:t>
      </w:r>
      <w:r w:rsidR="00655C03" w:rsidRPr="00360154">
        <w:rPr>
          <w:noProof/>
          <w:lang w:val="en-IE"/>
        </w:rPr>
        <w:t>,</w:t>
      </w:r>
      <w:r w:rsidR="00A6750D" w:rsidRPr="00360154">
        <w:rPr>
          <w:noProof/>
          <w:lang w:val="en-IE"/>
        </w:rPr>
        <w:t xml:space="preserve"> with high sustainability and quality standards that enable more resilient deployment, supporting grid stability and climate goals. Over time, this will make Europe </w:t>
      </w:r>
      <w:r w:rsidR="00E771C3" w:rsidRPr="00360154">
        <w:rPr>
          <w:noProof/>
          <w:lang w:val="en-IE"/>
        </w:rPr>
        <w:t xml:space="preserve">a </w:t>
      </w:r>
      <w:r w:rsidR="00A6750D" w:rsidRPr="00360154">
        <w:rPr>
          <w:noProof/>
          <w:lang w:val="en-IE"/>
        </w:rPr>
        <w:t>more energy secure space</w:t>
      </w:r>
      <w:r w:rsidR="00A6750D" w:rsidRPr="00D83629">
        <w:rPr>
          <w:noProof/>
          <w:lang w:val="en-IE"/>
        </w:rPr>
        <w:t>.</w:t>
      </w:r>
    </w:p>
    <w:p w14:paraId="727D4333" w14:textId="70F74B2A" w:rsidR="00A6750D" w:rsidRPr="00A6750D" w:rsidRDefault="00A6750D" w:rsidP="00A6750D">
      <w:pPr>
        <w:pStyle w:val="Text2"/>
        <w:spacing w:after="120"/>
        <w:ind w:left="0"/>
        <w:rPr>
          <w:noProof/>
          <w:lang w:val="en-IE"/>
        </w:rPr>
      </w:pPr>
      <w:r w:rsidRPr="00A6750D">
        <w:rPr>
          <w:noProof/>
          <w:lang w:val="en-IE"/>
        </w:rPr>
        <w:t xml:space="preserve">In the absence of </w:t>
      </w:r>
      <w:r w:rsidR="00E83DDC">
        <w:rPr>
          <w:noProof/>
          <w:lang w:val="en-IE"/>
        </w:rPr>
        <w:t>Made in EU</w:t>
      </w:r>
      <w:r w:rsidRPr="00A6750D">
        <w:rPr>
          <w:noProof/>
          <w:lang w:val="en-IE"/>
        </w:rPr>
        <w:t xml:space="preserve"> requirements, Europe’s heavy reliance on China controlling over 90% of global solar photovoltaic (PV) manufacturing capacity across the whole value chain exposes the EU to significant risks. Negative actions by China—such as export restrictions, tariffs, or supply chain disruptions—could create severe supply shortages, resulting in delayed solar project installations and increased costs due to price spikes. These possible disruptions would likely slow </w:t>
      </w:r>
      <w:r w:rsidR="00536E9E">
        <w:rPr>
          <w:noProof/>
          <w:lang w:val="en-IE"/>
        </w:rPr>
        <w:t>down</w:t>
      </w:r>
      <w:r w:rsidRPr="00A6750D">
        <w:rPr>
          <w:noProof/>
          <w:lang w:val="en-IE"/>
        </w:rPr>
        <w:t xml:space="preserve"> Europe’s renewable energy </w:t>
      </w:r>
      <w:r w:rsidR="757C0392" w:rsidRPr="6D019826">
        <w:rPr>
          <w:noProof/>
          <w:lang w:val="en-IE"/>
        </w:rPr>
        <w:t>deployment</w:t>
      </w:r>
      <w:r w:rsidRPr="00A6750D">
        <w:rPr>
          <w:noProof/>
          <w:lang w:val="en-IE"/>
        </w:rPr>
        <w:t xml:space="preserve">, delay </w:t>
      </w:r>
      <w:r w:rsidR="57D839CA" w:rsidRPr="2E1077AD">
        <w:rPr>
          <w:noProof/>
          <w:lang w:val="en-IE"/>
        </w:rPr>
        <w:t xml:space="preserve">the achievement of the EU </w:t>
      </w:r>
      <w:r w:rsidRPr="2E1077AD">
        <w:rPr>
          <w:noProof/>
          <w:lang w:val="en-IE"/>
        </w:rPr>
        <w:t>climate</w:t>
      </w:r>
      <w:r w:rsidRPr="00A6750D">
        <w:rPr>
          <w:noProof/>
          <w:lang w:val="en-IE"/>
        </w:rPr>
        <w:t xml:space="preserve"> targets for 2030 and 2050, and</w:t>
      </w:r>
      <w:r w:rsidR="57DEC416" w:rsidRPr="2E1077AD">
        <w:rPr>
          <w:noProof/>
          <w:lang w:val="en-IE"/>
        </w:rPr>
        <w:t>, consequently,</w:t>
      </w:r>
      <w:r w:rsidRPr="00A6750D">
        <w:rPr>
          <w:noProof/>
          <w:lang w:val="en-IE"/>
        </w:rPr>
        <w:t xml:space="preserve"> increase dependence on fossil fuels or less sustainable alternatives. Moreover, this dependency weakens Europe’s strategic autonomy in clean energy technologies, making the continent vulnerable to geopolitical tensions. Building a resilient EU manufacturing ecosystem through </w:t>
      </w:r>
      <w:r w:rsidR="003E2FD8">
        <w:rPr>
          <w:noProof/>
          <w:lang w:val="en-IE"/>
        </w:rPr>
        <w:t>EU</w:t>
      </w:r>
      <w:r w:rsidRPr="00A6750D">
        <w:rPr>
          <w:noProof/>
          <w:lang w:val="en-IE"/>
        </w:rPr>
        <w:t xml:space="preserve"> content requirements </w:t>
      </w:r>
      <w:r w:rsidRPr="00A6750D">
        <w:rPr>
          <w:noProof/>
          <w:lang w:val="en-IE"/>
        </w:rPr>
        <w:lastRenderedPageBreak/>
        <w:t>is therefore essential to safeguard energy security and ensure a stable, affordable, and timely solar PV deployment</w:t>
      </w:r>
      <w:r w:rsidR="0A4E777E" w:rsidRPr="55D5F02F">
        <w:rPr>
          <w:noProof/>
          <w:lang w:val="en-IE"/>
        </w:rPr>
        <w:t>.</w:t>
      </w:r>
    </w:p>
    <w:p w14:paraId="7E7FEA5A" w14:textId="11BF09AF" w:rsidR="002245F0" w:rsidRPr="00B15F42" w:rsidRDefault="001745CD" w:rsidP="2DD687AB">
      <w:pPr>
        <w:pStyle w:val="Text2"/>
        <w:spacing w:after="120" w:line="259" w:lineRule="auto"/>
        <w:ind w:left="0"/>
        <w:divId w:val="1084299864"/>
        <w:rPr>
          <w:noProof/>
          <w:lang w:val="en-IE"/>
        </w:rPr>
      </w:pPr>
      <w:r w:rsidRPr="00B15F42">
        <w:rPr>
          <w:noProof/>
          <w:lang w:val="en-IE"/>
        </w:rPr>
        <w:t>Concerning</w:t>
      </w:r>
      <w:r w:rsidR="00206D74" w:rsidRPr="00B15F42">
        <w:rPr>
          <w:noProof/>
          <w:lang w:val="en-IE"/>
        </w:rPr>
        <w:t xml:space="preserve"> </w:t>
      </w:r>
      <w:r w:rsidR="33E4B18A" w:rsidRPr="00B15F42">
        <w:rPr>
          <w:noProof/>
          <w:lang w:val="en-IE"/>
        </w:rPr>
        <w:t xml:space="preserve">the impact of the Made in EU </w:t>
      </w:r>
      <w:r w:rsidR="6C833316" w:rsidRPr="00B15F42">
        <w:rPr>
          <w:noProof/>
          <w:lang w:val="en-IE"/>
        </w:rPr>
        <w:t xml:space="preserve">requirements </w:t>
      </w:r>
      <w:r w:rsidR="33E4B18A" w:rsidRPr="00B15F42">
        <w:rPr>
          <w:noProof/>
          <w:lang w:val="en-IE"/>
        </w:rPr>
        <w:t>on the</w:t>
      </w:r>
      <w:r w:rsidR="00206D74" w:rsidRPr="00B15F42">
        <w:rPr>
          <w:noProof/>
          <w:lang w:val="en-IE"/>
        </w:rPr>
        <w:t xml:space="preserve"> </w:t>
      </w:r>
      <w:r w:rsidR="00D54A47" w:rsidRPr="00B15F42">
        <w:rPr>
          <w:noProof/>
          <w:lang w:val="en-IE"/>
        </w:rPr>
        <w:t xml:space="preserve">affordability of energy, </w:t>
      </w:r>
      <w:r w:rsidR="74A60468" w:rsidRPr="00B15F42">
        <w:rPr>
          <w:noProof/>
          <w:lang w:val="en-IE"/>
        </w:rPr>
        <w:t xml:space="preserve">this </w:t>
      </w:r>
      <w:r w:rsidR="58E9EE9A" w:rsidRPr="00B15F42">
        <w:rPr>
          <w:noProof/>
          <w:lang w:val="en-IE"/>
        </w:rPr>
        <w:t xml:space="preserve">is likely to </w:t>
      </w:r>
      <w:r w:rsidR="74A60468" w:rsidRPr="00B15F42">
        <w:rPr>
          <w:noProof/>
          <w:lang w:val="en-IE"/>
        </w:rPr>
        <w:t xml:space="preserve">be </w:t>
      </w:r>
      <w:r w:rsidR="00287539" w:rsidRPr="00B15F42">
        <w:rPr>
          <w:noProof/>
          <w:lang w:val="en-IE"/>
        </w:rPr>
        <w:t>limited</w:t>
      </w:r>
      <w:r w:rsidR="74A60468" w:rsidRPr="00B15F42">
        <w:rPr>
          <w:noProof/>
          <w:lang w:val="en-IE"/>
        </w:rPr>
        <w:t xml:space="preserve">. </w:t>
      </w:r>
      <w:r w:rsidR="65A83C61" w:rsidRPr="00B15F42">
        <w:rPr>
          <w:noProof/>
          <w:lang w:val="en-IE"/>
        </w:rPr>
        <w:t>I</w:t>
      </w:r>
      <w:r w:rsidR="0062568D" w:rsidRPr="00B15F42">
        <w:rPr>
          <w:noProof/>
          <w:lang w:val="en-IE"/>
        </w:rPr>
        <w:t xml:space="preserve">n the </w:t>
      </w:r>
      <w:r w:rsidR="00DC4DFE" w:rsidRPr="00B15F42">
        <w:rPr>
          <w:noProof/>
          <w:lang w:val="en-IE"/>
        </w:rPr>
        <w:t xml:space="preserve">EU </w:t>
      </w:r>
      <w:r w:rsidR="42906E2E" w:rsidRPr="00B15F42">
        <w:rPr>
          <w:noProof/>
          <w:lang w:val="en-IE"/>
        </w:rPr>
        <w:t>electricity</w:t>
      </w:r>
      <w:r w:rsidR="00DC4DFE" w:rsidRPr="00B15F42">
        <w:rPr>
          <w:noProof/>
          <w:lang w:val="en-IE"/>
        </w:rPr>
        <w:t xml:space="preserve"> </w:t>
      </w:r>
      <w:r w:rsidR="00E47E43" w:rsidRPr="00B15F42">
        <w:rPr>
          <w:noProof/>
          <w:lang w:val="en-IE"/>
        </w:rPr>
        <w:t>market</w:t>
      </w:r>
      <w:r w:rsidR="00DC4DFE" w:rsidRPr="00B15F42">
        <w:rPr>
          <w:noProof/>
          <w:lang w:val="en-IE"/>
        </w:rPr>
        <w:t>’</w:t>
      </w:r>
      <w:r w:rsidR="00E47E43" w:rsidRPr="00B15F42">
        <w:rPr>
          <w:noProof/>
          <w:lang w:val="en-IE"/>
        </w:rPr>
        <w:t xml:space="preserve">s marginal pricing model, the price is determined by the most expensive energy source needed to meet </w:t>
      </w:r>
      <w:r w:rsidR="258B86E6" w:rsidRPr="00B15F42">
        <w:rPr>
          <w:noProof/>
          <w:lang w:val="en-IE"/>
        </w:rPr>
        <w:t>demand which</w:t>
      </w:r>
      <w:r w:rsidR="00E47E43" w:rsidRPr="00B15F42">
        <w:rPr>
          <w:noProof/>
          <w:lang w:val="en-IE"/>
        </w:rPr>
        <w:t xml:space="preserve"> typically includes fossil fuels such as coal, oil, and natural gas due to their higher operational and fuel costs. </w:t>
      </w:r>
      <w:r w:rsidR="00913A6F" w:rsidRPr="00B15F42">
        <w:rPr>
          <w:noProof/>
          <w:lang w:val="en-IE"/>
        </w:rPr>
        <w:t>In June 2025, s</w:t>
      </w:r>
      <w:r w:rsidR="002245F0" w:rsidRPr="00B15F42">
        <w:rPr>
          <w:noProof/>
          <w:lang w:val="en-IE"/>
        </w:rPr>
        <w:t xml:space="preserve">olar energy </w:t>
      </w:r>
      <w:r w:rsidR="00FC2886" w:rsidRPr="00B15F42">
        <w:rPr>
          <w:noProof/>
          <w:lang w:val="en-IE"/>
        </w:rPr>
        <w:t>w</w:t>
      </w:r>
      <w:r w:rsidR="00FC2886" w:rsidRPr="00B15F42">
        <w:rPr>
          <w:noProof/>
        </w:rPr>
        <w:t>as the main source of electricity generated in the EU</w:t>
      </w:r>
      <w:r w:rsidR="00976743" w:rsidRPr="00B15F42">
        <w:rPr>
          <w:noProof/>
        </w:rPr>
        <w:t xml:space="preserve"> (22%)</w:t>
      </w:r>
      <w:r w:rsidR="00384588" w:rsidRPr="00B15F42">
        <w:rPr>
          <w:noProof/>
        </w:rPr>
        <w:t>.</w:t>
      </w:r>
      <w:r w:rsidR="002245F0" w:rsidRPr="00B15F42">
        <w:rPr>
          <w:rStyle w:val="FootnoteReference"/>
          <w:noProof/>
          <w:lang w:val="en-IE"/>
        </w:rPr>
        <w:footnoteReference w:id="180"/>
      </w:r>
      <w:r w:rsidR="002245F0" w:rsidRPr="00B15F42">
        <w:rPr>
          <w:noProof/>
          <w:lang w:val="en-IE"/>
        </w:rPr>
        <w:t xml:space="preserve"> </w:t>
      </w:r>
      <w:r w:rsidR="002245F0" w:rsidRPr="00B15F42">
        <w:rPr>
          <w:rFonts w:eastAsiaTheme="minorEastAsia"/>
          <w:noProof/>
        </w:rPr>
        <w:t xml:space="preserve">Since the price formation is dominated by the most expensive energy source, </w:t>
      </w:r>
      <w:r w:rsidR="002359D4" w:rsidRPr="00B15F42">
        <w:rPr>
          <w:rFonts w:eastAsiaTheme="minorEastAsia"/>
          <w:noProof/>
        </w:rPr>
        <w:t>a</w:t>
      </w:r>
      <w:r w:rsidR="00FD2F92" w:rsidRPr="00B15F42">
        <w:rPr>
          <w:rFonts w:eastAsiaTheme="minorEastAsia"/>
          <w:noProof/>
        </w:rPr>
        <w:t xml:space="preserve"> </w:t>
      </w:r>
      <w:r w:rsidR="002245F0" w:rsidRPr="00B15F42">
        <w:rPr>
          <w:rFonts w:eastAsiaTheme="minorEastAsia"/>
          <w:noProof/>
        </w:rPr>
        <w:t>greater solar share tends to lower average prices when solar is generating because it displaces fossil fuel generation</w:t>
      </w:r>
      <w:r w:rsidR="006C179E" w:rsidRPr="00B15F42">
        <w:rPr>
          <w:rFonts w:eastAsiaTheme="minorEastAsia"/>
          <w:noProof/>
        </w:rPr>
        <w:t>.</w:t>
      </w:r>
      <w:r w:rsidR="00FD2F92" w:rsidRPr="00B15F42">
        <w:rPr>
          <w:rFonts w:eastAsiaTheme="minorEastAsia"/>
          <w:noProof/>
        </w:rPr>
        <w:t xml:space="preserve"> </w:t>
      </w:r>
      <w:r w:rsidR="00BA62BA" w:rsidRPr="00B15F42">
        <w:rPr>
          <w:rFonts w:eastAsiaTheme="minorEastAsia"/>
          <w:noProof/>
        </w:rPr>
        <w:t xml:space="preserve">Buying made in EU solar PV </w:t>
      </w:r>
      <w:r w:rsidR="00FD2F92" w:rsidRPr="00B15F42">
        <w:rPr>
          <w:rFonts w:eastAsiaTheme="minorEastAsia"/>
          <w:noProof/>
        </w:rPr>
        <w:t xml:space="preserve">may lead to </w:t>
      </w:r>
      <w:r w:rsidR="006C179E" w:rsidRPr="00B15F42">
        <w:rPr>
          <w:rFonts w:eastAsiaTheme="minorEastAsia"/>
          <w:noProof/>
        </w:rPr>
        <w:t xml:space="preserve">power producers passing on the cost to consumers but in </w:t>
      </w:r>
      <w:r w:rsidR="00FD2F92" w:rsidRPr="00B15F42">
        <w:rPr>
          <w:rFonts w:eastAsiaTheme="minorEastAsia"/>
          <w:noProof/>
        </w:rPr>
        <w:t>a modest increase</w:t>
      </w:r>
      <w:r w:rsidR="003D48AC" w:rsidRPr="00B15F42">
        <w:rPr>
          <w:rFonts w:eastAsiaTheme="minorEastAsia"/>
          <w:noProof/>
        </w:rPr>
        <w:t>.</w:t>
      </w:r>
      <w:r w:rsidR="006C179E" w:rsidRPr="00B15F42">
        <w:rPr>
          <w:rFonts w:eastAsiaTheme="minorEastAsia"/>
          <w:noProof/>
        </w:rPr>
        <w:t xml:space="preserve"> T</w:t>
      </w:r>
      <w:r w:rsidR="00FD2F92" w:rsidRPr="00B15F42">
        <w:rPr>
          <w:rFonts w:eastAsiaTheme="minorEastAsia"/>
          <w:noProof/>
        </w:rPr>
        <w:t xml:space="preserve">his impact is </w:t>
      </w:r>
      <w:r w:rsidR="00100FAA" w:rsidRPr="00B15F42">
        <w:rPr>
          <w:rFonts w:eastAsiaTheme="minorEastAsia"/>
          <w:noProof/>
        </w:rPr>
        <w:t xml:space="preserve">expected to be </w:t>
      </w:r>
      <w:r w:rsidR="00FD2F92" w:rsidRPr="00B15F42">
        <w:rPr>
          <w:rFonts w:eastAsiaTheme="minorEastAsia"/>
          <w:noProof/>
        </w:rPr>
        <w:t xml:space="preserve">small and much less volatile compared to the larger fluctuating cost </w:t>
      </w:r>
      <w:r w:rsidR="00114F27">
        <w:rPr>
          <w:rFonts w:eastAsiaTheme="minorEastAsia"/>
          <w:noProof/>
        </w:rPr>
        <w:t xml:space="preserve">related to </w:t>
      </w:r>
      <w:r w:rsidR="00114F27" w:rsidRPr="00B15F42">
        <w:rPr>
          <w:rFonts w:eastAsiaTheme="minorEastAsia"/>
          <w:noProof/>
        </w:rPr>
        <w:t xml:space="preserve">fossil fuel </w:t>
      </w:r>
      <w:r w:rsidR="00114F27">
        <w:rPr>
          <w:rFonts w:eastAsiaTheme="minorEastAsia"/>
          <w:noProof/>
        </w:rPr>
        <w:t>consumption</w:t>
      </w:r>
      <w:r w:rsidR="00601FF1">
        <w:rPr>
          <w:rFonts w:eastAsiaTheme="minorEastAsia"/>
          <w:noProof/>
        </w:rPr>
        <w:t xml:space="preserve"> and CO2 </w:t>
      </w:r>
      <w:r w:rsidR="00042C61">
        <w:rPr>
          <w:rFonts w:eastAsiaTheme="minorEastAsia"/>
          <w:noProof/>
        </w:rPr>
        <w:t xml:space="preserve">ETS </w:t>
      </w:r>
      <w:r w:rsidR="00601FF1">
        <w:rPr>
          <w:rFonts w:eastAsiaTheme="minorEastAsia"/>
          <w:noProof/>
        </w:rPr>
        <w:t>pricing</w:t>
      </w:r>
      <w:r w:rsidR="00FD2F92" w:rsidRPr="00B15F42">
        <w:rPr>
          <w:rFonts w:eastAsiaTheme="minorEastAsia"/>
          <w:noProof/>
        </w:rPr>
        <w:t xml:space="preserve">. </w:t>
      </w:r>
    </w:p>
    <w:p w14:paraId="0808ED6F" w14:textId="45C5A37B" w:rsidR="00FD41B4" w:rsidRPr="00E47E43" w:rsidRDefault="006416F2" w:rsidP="002D70CF">
      <w:pPr>
        <w:pStyle w:val="Text2"/>
        <w:spacing w:after="120" w:line="259" w:lineRule="auto"/>
        <w:ind w:left="0"/>
        <w:rPr>
          <w:noProof/>
          <w:lang w:val="en-IE"/>
        </w:rPr>
      </w:pPr>
      <w:r w:rsidRPr="00B15F42">
        <w:rPr>
          <w:noProof/>
          <w:lang w:val="en-IE"/>
        </w:rPr>
        <w:t xml:space="preserve">An example </w:t>
      </w:r>
      <w:r w:rsidR="006669FB" w:rsidRPr="00B15F42">
        <w:rPr>
          <w:noProof/>
          <w:lang w:val="en-IE"/>
        </w:rPr>
        <w:t xml:space="preserve">of </w:t>
      </w:r>
      <w:r w:rsidR="00403CFD" w:rsidRPr="00B15F42">
        <w:rPr>
          <w:noProof/>
          <w:lang w:val="en-IE"/>
        </w:rPr>
        <w:t xml:space="preserve">how lead markets measures proved </w:t>
      </w:r>
      <w:r w:rsidR="006669FB" w:rsidRPr="00B15F42">
        <w:rPr>
          <w:noProof/>
          <w:lang w:val="en-IE"/>
        </w:rPr>
        <w:t xml:space="preserve">successful in the long run can be the feed-in tariffs models used by member States to support renewables deployment. </w:t>
      </w:r>
      <w:r w:rsidR="00E47E43" w:rsidRPr="00B15F42">
        <w:rPr>
          <w:noProof/>
          <w:lang w:val="en-IE"/>
        </w:rPr>
        <w:t xml:space="preserve">In the past, Europe benefited </w:t>
      </w:r>
      <w:r w:rsidR="00103B5F" w:rsidRPr="00B15F42">
        <w:rPr>
          <w:noProof/>
          <w:lang w:val="en-IE"/>
        </w:rPr>
        <w:t>from</w:t>
      </w:r>
      <w:r w:rsidR="00E47E43" w:rsidRPr="00B15F42">
        <w:rPr>
          <w:noProof/>
          <w:lang w:val="en-IE"/>
        </w:rPr>
        <w:t xml:space="preserve"> spillover effects of feed-in tariff policies like Germanys Renewable Energy Law (EEG). While the policy initially contributed to higher electricity prices for consumers, it ultimately generated net benefits by driving down costs for renewable technologies and accelerated large scale deployment. The guaranteed premium enabled the derisking of future investments, which </w:t>
      </w:r>
      <w:r w:rsidR="00DF0F17" w:rsidRPr="00B15F42">
        <w:rPr>
          <w:noProof/>
          <w:lang w:val="en-IE"/>
        </w:rPr>
        <w:t>led</w:t>
      </w:r>
      <w:r w:rsidR="00E47E43" w:rsidRPr="00B15F42">
        <w:rPr>
          <w:noProof/>
          <w:lang w:val="en-IE"/>
        </w:rPr>
        <w:t xml:space="preserve"> to a wide adoption of renewable energy projects as well as rapid expansions</w:t>
      </w:r>
      <w:r w:rsidR="00384588" w:rsidRPr="00B15F42">
        <w:rPr>
          <w:noProof/>
          <w:lang w:val="en-IE"/>
        </w:rPr>
        <w:t>.</w:t>
      </w:r>
      <w:r w:rsidR="0096318D" w:rsidRPr="00B15F42">
        <w:rPr>
          <w:rStyle w:val="FootnoteReference"/>
          <w:noProof/>
          <w:lang w:val="en-IE"/>
        </w:rPr>
        <w:footnoteReference w:id="181"/>
      </w:r>
    </w:p>
    <w:p w14:paraId="388F98B7" w14:textId="6B95DC41" w:rsidR="002035C3" w:rsidRPr="00AB06BD" w:rsidRDefault="00285741" w:rsidP="002035C3">
      <w:pPr>
        <w:rPr>
          <w:rFonts w:eastAsia="Aptos" w:cs="Times New Roman"/>
          <w:noProof/>
          <w:szCs w:val="24"/>
        </w:rPr>
      </w:pPr>
      <w:r w:rsidRPr="00CA2E1E">
        <w:rPr>
          <w:b/>
          <w:noProof/>
        </w:rPr>
        <w:t>LEAD_VC 1</w:t>
      </w:r>
      <w:r w:rsidRPr="00CA2E1E">
        <w:rPr>
          <w:noProof/>
        </w:rPr>
        <w:t xml:space="preserve"> -</w:t>
      </w:r>
      <w:r>
        <w:rPr>
          <w:noProof/>
        </w:rPr>
        <w:t xml:space="preserve"> G</w:t>
      </w:r>
      <w:r w:rsidRPr="003D134D">
        <w:rPr>
          <w:noProof/>
        </w:rPr>
        <w:t xml:space="preserve">iven the </w:t>
      </w:r>
      <w:r>
        <w:rPr>
          <w:noProof/>
        </w:rPr>
        <w:t xml:space="preserve">estimated </w:t>
      </w:r>
      <w:r w:rsidRPr="003D134D">
        <w:rPr>
          <w:noProof/>
        </w:rPr>
        <w:t>current</w:t>
      </w:r>
      <w:r>
        <w:rPr>
          <w:noProof/>
        </w:rPr>
        <w:t xml:space="preserve"> level of</w:t>
      </w:r>
      <w:r w:rsidRPr="003D134D">
        <w:rPr>
          <w:noProof/>
        </w:rPr>
        <w:t xml:space="preserve"> 70% </w:t>
      </w:r>
      <w:r w:rsidR="00E83DDC">
        <w:rPr>
          <w:noProof/>
        </w:rPr>
        <w:t>Made in EU</w:t>
      </w:r>
      <w:r>
        <w:rPr>
          <w:noProof/>
        </w:rPr>
        <w:t xml:space="preserve"> in the EVs</w:t>
      </w:r>
      <w:r w:rsidRPr="003D134D">
        <w:rPr>
          <w:noProof/>
        </w:rPr>
        <w:t>,</w:t>
      </w:r>
      <w:r>
        <w:rPr>
          <w:noProof/>
        </w:rPr>
        <w:t xml:space="preserve"> </w:t>
      </w:r>
      <w:r w:rsidRPr="003D134D">
        <w:rPr>
          <w:noProof/>
        </w:rPr>
        <w:t>the measure would not lead to any further</w:t>
      </w:r>
      <w:r>
        <w:rPr>
          <w:noProof/>
        </w:rPr>
        <w:t xml:space="preserve"> compliance</w:t>
      </w:r>
      <w:r w:rsidRPr="003D134D">
        <w:rPr>
          <w:noProof/>
        </w:rPr>
        <w:t xml:space="preserve"> costs for EU EV manufacturers in 2027</w:t>
      </w:r>
      <w:r>
        <w:rPr>
          <w:noProof/>
        </w:rPr>
        <w:t xml:space="preserve">. As the target is increased to 75% by 2030, the measure would represent a cost increase of EUR 1.9 billion for EU EV manufacturers, which would be offset by the increase of sales. EU EV manufacturers are expected to benefit from a sales increase of EUR 13.9 billion across all vehicle segments in 2027 and EUR 9 billion in 2030. The increase in sales is presumed to offset the cost increase for passenger cars and LCVs, however, not for HDVs. It is important to note that the numbers presented here are aggregated from all vehicle segments, and the measure would impact each of them to </w:t>
      </w:r>
      <w:r w:rsidR="001D1661">
        <w:rPr>
          <w:noProof/>
        </w:rPr>
        <w:t xml:space="preserve">a </w:t>
      </w:r>
      <w:r>
        <w:rPr>
          <w:noProof/>
        </w:rPr>
        <w:t xml:space="preserve">different extent. As previously noted, for the HDV sector, due to the limitations of the model, the same assumptions are applied as for passenger vehicles. However, as </w:t>
      </w:r>
      <w:r w:rsidRPr="005E595A">
        <w:rPr>
          <w:noProof/>
        </w:rPr>
        <w:t xml:space="preserve">the </w:t>
      </w:r>
      <w:r w:rsidR="00E83DDC">
        <w:rPr>
          <w:noProof/>
        </w:rPr>
        <w:t>Made in EU</w:t>
      </w:r>
      <w:r w:rsidRPr="005E595A">
        <w:rPr>
          <w:noProof/>
        </w:rPr>
        <w:t xml:space="preserve"> in HDV is likely to be higher than the assumed requirements, the measure may result in zero cost implications for EU HDV manufacturers, while preserving the positive effect on sales</w:t>
      </w:r>
      <w:r>
        <w:rPr>
          <w:noProof/>
        </w:rPr>
        <w:t>. Finally</w:t>
      </w:r>
      <w:r w:rsidRPr="006476A2">
        <w:rPr>
          <w:noProof/>
        </w:rPr>
        <w:t>, the measure is projected to lead to the generation of EUR 5.5 billion Global Value Added (GVA) in 2027 and EUR 4.5 billion in 2030 when assessing the impact, taking into account only the first tier of the value chain.</w:t>
      </w:r>
      <w:r w:rsidR="006842B8">
        <w:rPr>
          <w:noProof/>
        </w:rPr>
        <w:t xml:space="preserve"> </w:t>
      </w:r>
      <w:r w:rsidR="006842B8" w:rsidRPr="00EF4E41">
        <w:rPr>
          <w:noProof/>
          <w:lang w:val="en-IE"/>
        </w:rPr>
        <w:t>When</w:t>
      </w:r>
      <w:r w:rsidR="006842B8">
        <w:rPr>
          <w:noProof/>
          <w:lang w:val="en-IE"/>
        </w:rPr>
        <w:t xml:space="preserve"> considering the entire value chain, the value added generated from the necessary intermediate inputs for EVs the value added can reach EUR 10.5 billion in 2027 and EUR 9.7 billion in 2030.</w:t>
      </w:r>
      <w:r w:rsidR="002035C3">
        <w:rPr>
          <w:noProof/>
          <w:lang w:val="en-IE"/>
        </w:rPr>
        <w:t xml:space="preserve"> </w:t>
      </w:r>
      <w:r w:rsidR="002035C3" w:rsidRPr="00B15F42">
        <w:rPr>
          <w:noProof/>
          <w:lang w:val="en-IE"/>
        </w:rPr>
        <w:t>Following a sensitivity a</w:t>
      </w:r>
      <w:r w:rsidR="00432300" w:rsidRPr="00B15F42">
        <w:rPr>
          <w:noProof/>
          <w:lang w:val="en-IE"/>
        </w:rPr>
        <w:t>nalysis</w:t>
      </w:r>
      <w:r w:rsidR="002035C3" w:rsidRPr="00B15F42">
        <w:rPr>
          <w:noProof/>
          <w:lang w:val="en-IE"/>
        </w:rPr>
        <w:t xml:space="preserve"> (</w:t>
      </w:r>
      <w:r w:rsidR="00C75AF1" w:rsidRPr="00B15F42">
        <w:rPr>
          <w:noProof/>
          <w:lang w:val="en-IE"/>
        </w:rPr>
        <w:t>S</w:t>
      </w:r>
      <w:r w:rsidR="002035C3" w:rsidRPr="00B15F42">
        <w:rPr>
          <w:noProof/>
          <w:lang w:val="en-IE"/>
        </w:rPr>
        <w:t>ee Annex 15 for more information), t</w:t>
      </w:r>
      <w:r w:rsidR="002035C3" w:rsidRPr="00B15F42">
        <w:rPr>
          <w:rFonts w:eastAsia="Aptos" w:cs="Times New Roman"/>
          <w:noProof/>
          <w:szCs w:val="24"/>
        </w:rPr>
        <w:t>he cross-region elasticity is the parameter that most affects the results for EU EV manufacturers, and the value added generated. However, the sensitivity analysis shows the robustness of the results, with values falling within a small range and not significantly affecting the policy's economic effects.</w:t>
      </w:r>
    </w:p>
    <w:p w14:paraId="27EAB364" w14:textId="77E26EA8" w:rsidR="00285741" w:rsidRPr="000272AD" w:rsidRDefault="00285741">
      <w:pPr>
        <w:pStyle w:val="Text2"/>
        <w:spacing w:after="120"/>
        <w:ind w:left="0"/>
        <w:rPr>
          <w:noProof/>
        </w:rPr>
      </w:pPr>
    </w:p>
    <w:p w14:paraId="71F0C0B1" w14:textId="6EE04693" w:rsidR="00285741" w:rsidRPr="000272AD" w:rsidRDefault="00285741">
      <w:pPr>
        <w:spacing w:before="240" w:after="240"/>
        <w:rPr>
          <w:noProof/>
        </w:rPr>
      </w:pPr>
      <w:r w:rsidRPr="00B15F42">
        <w:rPr>
          <w:b/>
          <w:noProof/>
        </w:rPr>
        <w:lastRenderedPageBreak/>
        <w:t xml:space="preserve">INV 1 </w:t>
      </w:r>
      <w:r w:rsidRPr="00B15F42">
        <w:rPr>
          <w:noProof/>
        </w:rPr>
        <w:t xml:space="preserve">– The impact of conditions on investment would depend on the extent to which </w:t>
      </w:r>
      <w:r w:rsidR="002F035B" w:rsidRPr="00B15F42">
        <w:rPr>
          <w:noProof/>
        </w:rPr>
        <w:t xml:space="preserve">Member States </w:t>
      </w:r>
      <w:r w:rsidRPr="00B15F42">
        <w:rPr>
          <w:noProof/>
        </w:rPr>
        <w:t xml:space="preserve">take up the voluntary guidance. In the short term, the effects are likely to be </w:t>
      </w:r>
      <w:r w:rsidR="004047C6" w:rsidRPr="00B15F42">
        <w:rPr>
          <w:noProof/>
        </w:rPr>
        <w:t>limited</w:t>
      </w:r>
      <w:r w:rsidRPr="00B15F42">
        <w:rPr>
          <w:noProof/>
        </w:rPr>
        <w:t>, as companies would not be legally required to adapt their sourcing or production models.</w:t>
      </w:r>
      <w:r w:rsidR="008505AA" w:rsidRPr="00B15F42">
        <w:rPr>
          <w:noProof/>
        </w:rPr>
        <w:t xml:space="preserve"> I</w:t>
      </w:r>
      <w:r w:rsidRPr="00B15F42">
        <w:rPr>
          <w:noProof/>
        </w:rPr>
        <w:t xml:space="preserve">n Member States that </w:t>
      </w:r>
      <w:r w:rsidR="008505AA" w:rsidRPr="00B15F42">
        <w:rPr>
          <w:noProof/>
        </w:rPr>
        <w:t>do</w:t>
      </w:r>
      <w:r w:rsidRPr="00B15F42">
        <w:rPr>
          <w:noProof/>
        </w:rPr>
        <w:t xml:space="preserve"> apply the guidance, </w:t>
      </w:r>
      <w:r w:rsidR="008505AA" w:rsidRPr="00B15F42">
        <w:rPr>
          <w:noProof/>
        </w:rPr>
        <w:t xml:space="preserve">some </w:t>
      </w:r>
      <w:r w:rsidRPr="00B15F42">
        <w:rPr>
          <w:noProof/>
        </w:rPr>
        <w:t xml:space="preserve">investors </w:t>
      </w:r>
      <w:r w:rsidR="008505AA" w:rsidRPr="00B15F42">
        <w:rPr>
          <w:noProof/>
        </w:rPr>
        <w:t>may</w:t>
      </w:r>
      <w:r w:rsidRPr="00B15F42">
        <w:rPr>
          <w:noProof/>
        </w:rPr>
        <w:t xml:space="preserve"> be encouraged to </w:t>
      </w:r>
      <w:r w:rsidR="00B06A93" w:rsidRPr="00B15F42">
        <w:rPr>
          <w:noProof/>
        </w:rPr>
        <w:t xml:space="preserve">increasing EU </w:t>
      </w:r>
      <w:r w:rsidRPr="00B15F42">
        <w:rPr>
          <w:noProof/>
        </w:rPr>
        <w:t>sourc</w:t>
      </w:r>
      <w:r w:rsidR="00B06A93" w:rsidRPr="00B15F42">
        <w:rPr>
          <w:noProof/>
        </w:rPr>
        <w:t>ing</w:t>
      </w:r>
      <w:r w:rsidRPr="00B15F42">
        <w:rPr>
          <w:noProof/>
        </w:rPr>
        <w:t xml:space="preserve"> of components, materials or services</w:t>
      </w:r>
      <w:r w:rsidR="00B06A93" w:rsidRPr="00B15F42">
        <w:rPr>
          <w:noProof/>
        </w:rPr>
        <w:t xml:space="preserve">, potentially creating </w:t>
      </w:r>
      <w:r w:rsidR="00C04072" w:rsidRPr="00B15F42">
        <w:rPr>
          <w:noProof/>
        </w:rPr>
        <w:t>spillovers</w:t>
      </w:r>
      <w:r w:rsidRPr="00B15F42">
        <w:rPr>
          <w:noProof/>
        </w:rPr>
        <w:t xml:space="preserve"> through knowledge transfer and collaboration with EU-based firms. However, because the </w:t>
      </w:r>
      <w:r w:rsidR="00912344" w:rsidRPr="00B15F42">
        <w:rPr>
          <w:noProof/>
        </w:rPr>
        <w:t>implementation of the guidance</w:t>
      </w:r>
      <w:r w:rsidRPr="00B15F42">
        <w:rPr>
          <w:noProof/>
        </w:rPr>
        <w:t xml:space="preserve"> </w:t>
      </w:r>
      <w:r w:rsidR="00A6623E" w:rsidRPr="00B15F42">
        <w:rPr>
          <w:noProof/>
        </w:rPr>
        <w:t>is</w:t>
      </w:r>
      <w:r w:rsidRPr="00B15F42">
        <w:rPr>
          <w:noProof/>
        </w:rPr>
        <w:t xml:space="preserve"> voluntary</w:t>
      </w:r>
      <w:r w:rsidR="00537E1F" w:rsidRPr="00B15F42">
        <w:rPr>
          <w:noProof/>
        </w:rPr>
        <w:t xml:space="preserve"> and Member States may apply the guidance only partially</w:t>
      </w:r>
      <w:r w:rsidRPr="00B15F42">
        <w:rPr>
          <w:noProof/>
        </w:rPr>
        <w:t>, these positive effects would be uneven across the Union, with benefits concentrated in those countries that actively promote and monitor such conditionalities.</w:t>
      </w:r>
      <w:r w:rsidRPr="001E6F4B">
        <w:rPr>
          <w:noProof/>
        </w:rPr>
        <w:t xml:space="preserve"> In practice, the fragmented uptake would limit the overall capacity of the initiative to strengthen EU-wide industrial ecosystems.</w:t>
      </w:r>
      <w:r w:rsidRPr="09CA0190" w:rsidDel="001E6F4B">
        <w:rPr>
          <w:rStyle w:val="CommentReference"/>
          <w:noProof/>
          <w:sz w:val="24"/>
          <w:szCs w:val="24"/>
        </w:rPr>
        <w:t xml:space="preserve"> </w:t>
      </w:r>
    </w:p>
    <w:p w14:paraId="3C1D3D70" w14:textId="77777777" w:rsidR="00285741" w:rsidRPr="00B44BC4" w:rsidRDefault="00285741" w:rsidP="00285741">
      <w:pPr>
        <w:pStyle w:val="Heading4"/>
        <w:numPr>
          <w:ilvl w:val="3"/>
          <w:numId w:val="64"/>
        </w:numPr>
        <w:spacing w:before="0" w:after="0"/>
        <w:ind w:left="0" w:firstLine="130"/>
        <w:rPr>
          <w:b/>
          <w:noProof/>
          <w:color w:val="auto"/>
        </w:rPr>
      </w:pPr>
      <w:r w:rsidRPr="00B44BC4">
        <w:rPr>
          <w:b/>
          <w:noProof/>
          <w:color w:val="auto"/>
        </w:rPr>
        <w:t>Impact on SMEs</w:t>
      </w:r>
    </w:p>
    <w:p w14:paraId="48CAC455" w14:textId="77777777" w:rsidR="00285741" w:rsidRDefault="00285741">
      <w:pPr>
        <w:pStyle w:val="Text2"/>
        <w:spacing w:before="240" w:after="120"/>
        <w:ind w:left="0"/>
        <w:rPr>
          <w:noProof/>
        </w:rPr>
      </w:pPr>
      <w:r w:rsidRPr="004705CA">
        <w:rPr>
          <w:b/>
          <w:bCs/>
          <w:noProof/>
        </w:rPr>
        <w:t>LEAD_EII 1</w:t>
      </w:r>
      <w:r>
        <w:rPr>
          <w:noProof/>
        </w:rPr>
        <w:t xml:space="preserve"> –</w:t>
      </w:r>
      <w:r w:rsidRPr="005A7E56">
        <w:rPr>
          <w:noProof/>
        </w:rPr>
        <w:t xml:space="preserve"> </w:t>
      </w:r>
      <w:r w:rsidRPr="00485E69">
        <w:rPr>
          <w:noProof/>
        </w:rPr>
        <w:t>SMEs may have less capacity than larger firms to absorb temporary increases in material costs or to pass them on to customers, which could put pressure on their margins in the short term. However, these effects are expected to be limited, as the cost increase linked to low-carbon material requirements remain modest</w:t>
      </w:r>
      <w:r>
        <w:rPr>
          <w:noProof/>
        </w:rPr>
        <w:t xml:space="preserve"> and </w:t>
      </w:r>
      <w:r w:rsidRPr="00AF6525">
        <w:rPr>
          <w:noProof/>
        </w:rPr>
        <w:t>as low-carbon products gradually become more available and price differentials narrow.</w:t>
      </w:r>
    </w:p>
    <w:p w14:paraId="25DAD822" w14:textId="77777777" w:rsidR="00285741" w:rsidRPr="00031496" w:rsidRDefault="00285741">
      <w:pPr>
        <w:pStyle w:val="Text2"/>
        <w:spacing w:after="120"/>
        <w:ind w:left="0"/>
        <w:rPr>
          <w:i/>
          <w:iCs/>
          <w:noProof/>
        </w:rPr>
      </w:pPr>
      <w:r w:rsidRPr="0027555E">
        <w:rPr>
          <w:b/>
          <w:bCs/>
          <w:noProof/>
        </w:rPr>
        <w:t>LEAD_BAT 1</w:t>
      </w:r>
      <w:r>
        <w:rPr>
          <w:b/>
          <w:noProof/>
        </w:rPr>
        <w:t xml:space="preserve"> </w:t>
      </w:r>
      <w:r w:rsidRPr="001620B7">
        <w:rPr>
          <w:noProof/>
        </w:rPr>
        <w:t xml:space="preserve">would directly support </w:t>
      </w:r>
      <w:r>
        <w:rPr>
          <w:noProof/>
        </w:rPr>
        <w:t>SMEs</w:t>
      </w:r>
      <w:r w:rsidRPr="001620B7">
        <w:rPr>
          <w:noProof/>
        </w:rPr>
        <w:t xml:space="preserve"> by boosting demand for locally produced battery </w:t>
      </w:r>
      <w:r>
        <w:rPr>
          <w:noProof/>
        </w:rPr>
        <w:t xml:space="preserve">packs, </w:t>
      </w:r>
      <w:r w:rsidRPr="001620B7">
        <w:rPr>
          <w:noProof/>
        </w:rPr>
        <w:t xml:space="preserve">cells, components, and </w:t>
      </w:r>
      <w:r>
        <w:rPr>
          <w:noProof/>
        </w:rPr>
        <w:t xml:space="preserve">advanced </w:t>
      </w:r>
      <w:r w:rsidRPr="001620B7">
        <w:rPr>
          <w:noProof/>
        </w:rPr>
        <w:t xml:space="preserve">materials. This would not only strengthen existing suppliers but also create market opportunities for emerging businesses in a </w:t>
      </w:r>
      <w:r>
        <w:rPr>
          <w:noProof/>
        </w:rPr>
        <w:t xml:space="preserve">nascent and </w:t>
      </w:r>
      <w:r w:rsidRPr="001620B7">
        <w:rPr>
          <w:noProof/>
        </w:rPr>
        <w:t>growing strategic industry. As the European battery ecosystem expands, SMEs will be better positioned to scale, innovate, and integrate into regional and global value chains</w:t>
      </w:r>
      <w:r>
        <w:rPr>
          <w:noProof/>
        </w:rPr>
        <w:t>. Since this measure does not target private transactions, the impacts on the SMEs part of the road transport ecosystem using vehicles are expected to be limited.</w:t>
      </w:r>
    </w:p>
    <w:p w14:paraId="57A24F5D" w14:textId="77777777" w:rsidR="00285741" w:rsidRDefault="00285741">
      <w:pPr>
        <w:pStyle w:val="Text2"/>
        <w:spacing w:after="120"/>
        <w:ind w:left="0"/>
        <w:rPr>
          <w:noProof/>
        </w:rPr>
      </w:pPr>
      <w:r w:rsidRPr="0027555E">
        <w:rPr>
          <w:b/>
          <w:bCs/>
          <w:noProof/>
        </w:rPr>
        <w:t>LEAD_SOL 1</w:t>
      </w:r>
      <w:r>
        <w:rPr>
          <w:noProof/>
        </w:rPr>
        <w:t xml:space="preserve"> will help channel public demand towards domestically built modules, which are predominantly produced by SMEs in Europe, catalysing the creation of additional manufacturing and installation roles. </w:t>
      </w:r>
      <w:r w:rsidRPr="78117C66">
        <w:rPr>
          <w:noProof/>
        </w:rPr>
        <w:t>While a temporary slowdown in solar panel installations by SMEs may occur, the negative impact is expected to be limited and manageable, as Europe’s commitment to ambitious PV deployment targets remains firm and unchanged.</w:t>
      </w:r>
      <w:r w:rsidRPr="001E6264">
        <w:rPr>
          <w:noProof/>
        </w:rPr>
        <w:t xml:space="preserve"> In the mid to long term, these targets will continue to drive strong demand for installation services, ensuring SMEs can recover quickly and benefit from a sustained, growing market for solar deployment</w:t>
      </w:r>
      <w:r>
        <w:rPr>
          <w:noProof/>
        </w:rPr>
        <w:t>.</w:t>
      </w:r>
    </w:p>
    <w:p w14:paraId="08CB99C6" w14:textId="7676E0BD" w:rsidR="00285741" w:rsidRDefault="00285741">
      <w:pPr>
        <w:pStyle w:val="Text2"/>
        <w:spacing w:after="120"/>
        <w:ind w:left="0"/>
        <w:rPr>
          <w:noProof/>
        </w:rPr>
      </w:pPr>
      <w:r w:rsidRPr="00B15F42">
        <w:rPr>
          <w:b/>
          <w:noProof/>
        </w:rPr>
        <w:t xml:space="preserve">INV 1 </w:t>
      </w:r>
      <w:r w:rsidRPr="00B15F42">
        <w:rPr>
          <w:noProof/>
        </w:rPr>
        <w:t xml:space="preserve">will have </w:t>
      </w:r>
      <w:r w:rsidR="00B24F2A" w:rsidRPr="00B15F42">
        <w:rPr>
          <w:noProof/>
        </w:rPr>
        <w:t xml:space="preserve">very </w:t>
      </w:r>
      <w:r w:rsidRPr="00B15F42">
        <w:rPr>
          <w:noProof/>
        </w:rPr>
        <w:t xml:space="preserve">limited effect on SMEs as </w:t>
      </w:r>
      <w:r w:rsidR="00B24F2A" w:rsidRPr="00B15F42">
        <w:rPr>
          <w:noProof/>
        </w:rPr>
        <w:t>the</w:t>
      </w:r>
      <w:r w:rsidRPr="00B15F42">
        <w:rPr>
          <w:noProof/>
        </w:rPr>
        <w:t xml:space="preserve"> conditionalities would </w:t>
      </w:r>
      <w:r w:rsidR="00B24F2A" w:rsidRPr="00B15F42">
        <w:rPr>
          <w:noProof/>
        </w:rPr>
        <w:t>apply primarily to large foreign investors rather than smaller domestic firms</w:t>
      </w:r>
      <w:r w:rsidR="00576C67" w:rsidRPr="00B15F42">
        <w:rPr>
          <w:noProof/>
        </w:rPr>
        <w:t xml:space="preserve"> </w:t>
      </w:r>
      <w:r w:rsidR="0060608E" w:rsidRPr="00B15F42">
        <w:rPr>
          <w:noProof/>
        </w:rPr>
        <w:t>and be</w:t>
      </w:r>
      <w:r w:rsidRPr="00B15F42">
        <w:rPr>
          <w:noProof/>
        </w:rPr>
        <w:t xml:space="preserve"> limited to large investments. </w:t>
      </w:r>
      <w:r w:rsidR="004F433E" w:rsidRPr="00B15F42">
        <w:rPr>
          <w:noProof/>
        </w:rPr>
        <w:t>Where Member States choose to implement the guidance, SMEs located in those regions may benefit indirectly if inbound investors increase local sourcing or collaboration, but these effects would be uneven and dependent on national uptake. Given the voluntary nature of the measure and the fragmented application across the Union, broader SME participation in strengthened industrial ecosystems would remain uncertain and geographically constrained.</w:t>
      </w:r>
    </w:p>
    <w:p w14:paraId="05D7057E" w14:textId="77777777" w:rsidR="00285741" w:rsidRDefault="00285741">
      <w:pPr>
        <w:pStyle w:val="Text2"/>
        <w:spacing w:after="120"/>
        <w:ind w:left="0"/>
        <w:rPr>
          <w:rFonts w:ascii="Times" w:eastAsiaTheme="minorEastAsia" w:hAnsi="Times" w:cs="Times"/>
          <w:noProof/>
        </w:rPr>
      </w:pPr>
      <w:r w:rsidRPr="5D042B50">
        <w:rPr>
          <w:b/>
          <w:bCs/>
          <w:noProof/>
        </w:rPr>
        <w:t>PERM 1 -</w:t>
      </w:r>
      <w:r>
        <w:rPr>
          <w:noProof/>
        </w:rPr>
        <w:t xml:space="preserve"> </w:t>
      </w:r>
      <w:r w:rsidRPr="5D042B50">
        <w:rPr>
          <w:rFonts w:ascii="Times" w:eastAsiaTheme="minorEastAsia" w:hAnsi="Times" w:cs="Times"/>
          <w:noProof/>
        </w:rPr>
        <w:t xml:space="preserve">The digitalisation of </w:t>
      </w:r>
      <w:r>
        <w:rPr>
          <w:rFonts w:ascii="Times" w:eastAsiaTheme="minorEastAsia" w:hAnsi="Times" w:cs="Times"/>
          <w:noProof/>
        </w:rPr>
        <w:t>the</w:t>
      </w:r>
      <w:r w:rsidRPr="5D042B50">
        <w:rPr>
          <w:rFonts w:ascii="Times" w:eastAsiaTheme="minorEastAsia" w:hAnsi="Times" w:cs="Times"/>
          <w:noProof/>
        </w:rPr>
        <w:t xml:space="preserve"> permit-granting process with the Single Digital Gateway would benefit SMEs active on their domestic (national) market by gaining an easier access to other Member </w:t>
      </w:r>
      <w:r w:rsidRPr="006C1432">
        <w:rPr>
          <w:rFonts w:eastAsiaTheme="minorEastAsia"/>
          <w:noProof/>
        </w:rPr>
        <w:t>States</w:t>
      </w:r>
      <w:r w:rsidRPr="5D042B50">
        <w:rPr>
          <w:rFonts w:ascii="Times" w:eastAsiaTheme="minorEastAsia" w:hAnsi="Times" w:cs="Times"/>
          <w:noProof/>
        </w:rPr>
        <w:t xml:space="preserve"> for </w:t>
      </w:r>
      <w:r w:rsidRPr="006C1432">
        <w:rPr>
          <w:rFonts w:eastAsiaTheme="minorEastAsia"/>
          <w:noProof/>
        </w:rPr>
        <w:t>permit</w:t>
      </w:r>
      <w:r w:rsidRPr="5D042B50">
        <w:rPr>
          <w:rFonts w:ascii="Times" w:eastAsiaTheme="minorEastAsia" w:hAnsi="Times" w:cs="Times"/>
          <w:noProof/>
        </w:rPr>
        <w:t xml:space="preserve">-granting submission. </w:t>
      </w:r>
    </w:p>
    <w:p w14:paraId="24FA6DF8" w14:textId="77777777" w:rsidR="00285741" w:rsidRPr="00900949" w:rsidRDefault="00285741">
      <w:pPr>
        <w:pStyle w:val="Text2"/>
        <w:spacing w:after="120"/>
        <w:ind w:left="0"/>
        <w:rPr>
          <w:noProof/>
        </w:rPr>
      </w:pPr>
      <w:bookmarkStart w:id="71" w:name="_Hlk212578635"/>
      <w:r w:rsidRPr="002E170D">
        <w:rPr>
          <w:b/>
          <w:bCs/>
          <w:noProof/>
        </w:rPr>
        <w:t>LEAD_VC 1</w:t>
      </w:r>
      <w:r w:rsidRPr="002E170D">
        <w:rPr>
          <w:noProof/>
        </w:rPr>
        <w:t xml:space="preserve"> is expected to affect those EU based SMEs positively that are Tier 2 and Tier 3 suppliers of the industry due to the increased demand for vehicle components sourced locally. </w:t>
      </w:r>
      <w:r>
        <w:rPr>
          <w:noProof/>
        </w:rPr>
        <w:t xml:space="preserve">In quantitative terms, the impact on SMEs is covered under the </w:t>
      </w:r>
      <w:r w:rsidRPr="004A3797">
        <w:rPr>
          <w:i/>
          <w:iCs/>
          <w:noProof/>
        </w:rPr>
        <w:t>impact on consumers</w:t>
      </w:r>
      <w:r>
        <w:rPr>
          <w:noProof/>
        </w:rPr>
        <w:t xml:space="preserve"> section, as they are included in the definition of consumers, alongside private citizens. As Light, Medium, Heavy Commercial Vehicles, and Buses fall within the scope of the measure, </w:t>
      </w:r>
      <w:r>
        <w:rPr>
          <w:noProof/>
        </w:rPr>
        <w:lastRenderedPageBreak/>
        <w:t>the effects described above for consumers in these vehicle segments, have to be assumed as impacting SMEs that typically purchase and operate these vehicles</w:t>
      </w:r>
      <w:bookmarkEnd w:id="71"/>
      <w:r>
        <w:rPr>
          <w:noProof/>
        </w:rPr>
        <w:t>.</w:t>
      </w:r>
    </w:p>
    <w:p w14:paraId="3659899A" w14:textId="77777777" w:rsidR="00285741" w:rsidRPr="00743FBE" w:rsidRDefault="00285741" w:rsidP="00285741">
      <w:pPr>
        <w:pStyle w:val="Heading4"/>
        <w:numPr>
          <w:ilvl w:val="3"/>
          <w:numId w:val="64"/>
        </w:numPr>
        <w:spacing w:after="0"/>
        <w:ind w:left="0" w:firstLine="130"/>
        <w:rPr>
          <w:rStyle w:val="Strong"/>
          <w:noProof/>
          <w:color w:val="auto"/>
        </w:rPr>
      </w:pPr>
      <w:r w:rsidRPr="00B44BC4">
        <w:rPr>
          <w:b/>
          <w:noProof/>
          <w:color w:val="auto"/>
        </w:rPr>
        <w:t>Impact on citizens and consumers</w:t>
      </w:r>
    </w:p>
    <w:p w14:paraId="2400AFDD" w14:textId="77777777" w:rsidR="00285741" w:rsidRDefault="00285741">
      <w:pPr>
        <w:pStyle w:val="Text2"/>
        <w:spacing w:before="240" w:after="120"/>
        <w:ind w:left="0"/>
        <w:rPr>
          <w:rStyle w:val="Strong"/>
          <w:rFonts w:eastAsiaTheme="majorEastAsia" w:cstheme="majorBidi"/>
          <w:i/>
          <w:noProof/>
          <w:color w:val="0F4761" w:themeColor="accent1" w:themeShade="BF"/>
          <w:szCs w:val="22"/>
        </w:rPr>
      </w:pPr>
      <w:r w:rsidRPr="44166FE2">
        <w:rPr>
          <w:rStyle w:val="Strong"/>
          <w:noProof/>
        </w:rPr>
        <w:t xml:space="preserve">LAB 1 – </w:t>
      </w:r>
      <w:r w:rsidRPr="003A27D0">
        <w:rPr>
          <w:rStyle w:val="Strong"/>
          <w:b w:val="0"/>
          <w:noProof/>
        </w:rPr>
        <w:t xml:space="preserve">As explained under the economic impacts, this option would add complexity to the implementation of the existing framework and might create unnecessary confusion among consumers/businesses </w:t>
      </w:r>
      <w:r w:rsidRPr="001E62F4">
        <w:rPr>
          <w:rStyle w:val="Strong"/>
          <w:rFonts w:eastAsiaTheme="minorEastAsia"/>
          <w:b w:val="0"/>
          <w:noProof/>
        </w:rPr>
        <w:t>with</w:t>
      </w:r>
      <w:r w:rsidRPr="003A27D0">
        <w:rPr>
          <w:rStyle w:val="Strong"/>
          <w:b w:val="0"/>
          <w:noProof/>
        </w:rPr>
        <w:t xml:space="preserve"> a very wide </w:t>
      </w:r>
      <w:r w:rsidRPr="001E62F4">
        <w:rPr>
          <w:rStyle w:val="Strong"/>
          <w:b w:val="0"/>
          <w:noProof/>
        </w:rPr>
        <w:t>range</w:t>
      </w:r>
      <w:r w:rsidRPr="003A27D0">
        <w:rPr>
          <w:rStyle w:val="Strong"/>
          <w:b w:val="0"/>
          <w:noProof/>
        </w:rPr>
        <w:t xml:space="preserve"> of labels on all EIIs.</w:t>
      </w:r>
    </w:p>
    <w:p w14:paraId="6878772B" w14:textId="0D2A453F" w:rsidR="006B0005" w:rsidRDefault="00285741">
      <w:pPr>
        <w:pStyle w:val="Text2"/>
        <w:spacing w:after="120"/>
        <w:ind w:left="0"/>
        <w:rPr>
          <w:rFonts w:ascii="Times" w:eastAsia="Times" w:hAnsi="Times" w:cs="Times"/>
          <w:noProof/>
        </w:rPr>
      </w:pPr>
      <w:r w:rsidRPr="000272AD">
        <w:rPr>
          <w:rStyle w:val="Strong"/>
          <w:noProof/>
        </w:rPr>
        <w:t xml:space="preserve">LEAD_EII 1 </w:t>
      </w:r>
      <w:r w:rsidR="0060608E">
        <w:rPr>
          <w:rStyle w:val="Strong"/>
          <w:noProof/>
        </w:rPr>
        <w:t xml:space="preserve">- </w:t>
      </w:r>
      <w:r w:rsidR="00947996">
        <w:rPr>
          <w:noProof/>
        </w:rPr>
        <w:t>L</w:t>
      </w:r>
      <w:r w:rsidRPr="000272AD">
        <w:rPr>
          <w:noProof/>
        </w:rPr>
        <w:t xml:space="preserve">ow-carbon requirements are applied to </w:t>
      </w:r>
      <w:r w:rsidR="00FD79A2">
        <w:rPr>
          <w:noProof/>
        </w:rPr>
        <w:t>the steel</w:t>
      </w:r>
      <w:r w:rsidR="0049181C">
        <w:rPr>
          <w:noProof/>
        </w:rPr>
        <w:t xml:space="preserve"> and aluminium used in </w:t>
      </w:r>
      <w:r w:rsidR="00A23CB0">
        <w:rPr>
          <w:noProof/>
        </w:rPr>
        <w:t>end-</w:t>
      </w:r>
      <w:r w:rsidRPr="000272AD">
        <w:rPr>
          <w:noProof/>
        </w:rPr>
        <w:t xml:space="preserve">products </w:t>
      </w:r>
      <w:r w:rsidR="00B25DD4">
        <w:rPr>
          <w:noProof/>
        </w:rPr>
        <w:t xml:space="preserve">(such as passenger cars) </w:t>
      </w:r>
      <w:r w:rsidRPr="000272AD">
        <w:rPr>
          <w:noProof/>
        </w:rPr>
        <w:t>supported by public schemes</w:t>
      </w:r>
      <w:r w:rsidR="0049181C">
        <w:rPr>
          <w:noProof/>
        </w:rPr>
        <w:t xml:space="preserve">. Therefore, </w:t>
      </w:r>
      <w:r w:rsidRPr="000272AD">
        <w:rPr>
          <w:noProof/>
        </w:rPr>
        <w:t xml:space="preserve">the financial burden would mainly fall on Member States, </w:t>
      </w:r>
      <w:r w:rsidR="000120C4" w:rsidRPr="00CB36A9">
        <w:rPr>
          <w:noProof/>
        </w:rPr>
        <w:t>if they decide to absorb the price increase</w:t>
      </w:r>
      <w:r w:rsidR="00626E9B" w:rsidRPr="00CB36A9">
        <w:rPr>
          <w:noProof/>
        </w:rPr>
        <w:t xml:space="preserve">, rather than </w:t>
      </w:r>
      <w:r w:rsidR="004D7780" w:rsidRPr="00CB36A9">
        <w:rPr>
          <w:noProof/>
        </w:rPr>
        <w:t xml:space="preserve">on </w:t>
      </w:r>
      <w:r w:rsidR="00626E9B" w:rsidRPr="00CB36A9">
        <w:rPr>
          <w:noProof/>
        </w:rPr>
        <w:t xml:space="preserve">final </w:t>
      </w:r>
      <w:r w:rsidR="00962694" w:rsidRPr="00CB36A9">
        <w:rPr>
          <w:noProof/>
        </w:rPr>
        <w:t>consumers.</w:t>
      </w:r>
      <w:r>
        <w:rPr>
          <w:rFonts w:ascii="Times" w:eastAsia="Times" w:hAnsi="Times" w:cs="Times"/>
          <w:noProof/>
        </w:rPr>
        <w:t xml:space="preserve"> </w:t>
      </w:r>
    </w:p>
    <w:p w14:paraId="10EF094C" w14:textId="77B926A5" w:rsidR="006B0005" w:rsidRDefault="008E280C">
      <w:pPr>
        <w:pStyle w:val="Text2"/>
        <w:spacing w:after="120"/>
        <w:ind w:left="0"/>
        <w:rPr>
          <w:rFonts w:ascii="Times" w:eastAsia="Times" w:hAnsi="Times" w:cs="Times"/>
          <w:noProof/>
        </w:rPr>
      </w:pPr>
      <w:r w:rsidRPr="00CB36A9">
        <w:rPr>
          <w:rFonts w:ascii="Times" w:eastAsia="Times" w:hAnsi="Times" w:cs="Times"/>
          <w:noProof/>
        </w:rPr>
        <w:t>As outlined</w:t>
      </w:r>
      <w:r w:rsidR="00B766A0" w:rsidRPr="00CB36A9">
        <w:rPr>
          <w:rFonts w:ascii="Times" w:eastAsia="Times" w:hAnsi="Times" w:cs="Times"/>
          <w:noProof/>
        </w:rPr>
        <w:t xml:space="preserve"> in </w:t>
      </w:r>
      <w:r w:rsidR="00E84E0D" w:rsidRPr="00CB36A9">
        <w:rPr>
          <w:rFonts w:ascii="Times" w:eastAsia="Times" w:hAnsi="Times" w:cs="Times"/>
          <w:noProof/>
        </w:rPr>
        <w:t>S</w:t>
      </w:r>
      <w:r w:rsidR="00D5737E" w:rsidRPr="00CB36A9">
        <w:rPr>
          <w:rFonts w:ascii="Times" w:eastAsia="Times" w:hAnsi="Times" w:cs="Times"/>
          <w:noProof/>
        </w:rPr>
        <w:t xml:space="preserve">ection 6.1.1.2, the </w:t>
      </w:r>
      <w:r w:rsidR="00303C8B" w:rsidRPr="00CB36A9">
        <w:rPr>
          <w:rFonts w:ascii="Times" w:eastAsia="Times" w:hAnsi="Times" w:cs="Times"/>
          <w:noProof/>
        </w:rPr>
        <w:t xml:space="preserve">minor </w:t>
      </w:r>
      <w:r w:rsidR="003F1114" w:rsidRPr="00CB36A9">
        <w:rPr>
          <w:rFonts w:ascii="Times" w:eastAsia="Times" w:hAnsi="Times" w:cs="Times"/>
          <w:noProof/>
        </w:rPr>
        <w:t>econom</w:t>
      </w:r>
      <w:r w:rsidR="008901CB" w:rsidRPr="00CB36A9">
        <w:rPr>
          <w:rFonts w:ascii="Times" w:eastAsia="Times" w:hAnsi="Times" w:cs="Times"/>
          <w:noProof/>
        </w:rPr>
        <w:t>ic</w:t>
      </w:r>
      <w:r w:rsidR="003F1114" w:rsidRPr="00CB36A9">
        <w:rPr>
          <w:rFonts w:ascii="Times" w:eastAsia="Times" w:hAnsi="Times" w:cs="Times"/>
          <w:noProof/>
        </w:rPr>
        <w:t xml:space="preserve"> losses observed through the general equilibrium model </w:t>
      </w:r>
      <w:r w:rsidR="003F1114" w:rsidRPr="00CB36A9">
        <w:rPr>
          <w:noProof/>
          <w:color w:val="000000" w:themeColor="text1"/>
        </w:rPr>
        <w:t xml:space="preserve">point </w:t>
      </w:r>
      <w:r w:rsidR="00AB13E2" w:rsidRPr="00CB36A9">
        <w:rPr>
          <w:noProof/>
          <w:color w:val="000000" w:themeColor="text1"/>
        </w:rPr>
        <w:t xml:space="preserve">at </w:t>
      </w:r>
      <w:r w:rsidR="003F1114" w:rsidRPr="00CB36A9">
        <w:rPr>
          <w:noProof/>
          <w:color w:val="000000" w:themeColor="text1"/>
        </w:rPr>
        <w:t>a decrease in the consumption of automotive</w:t>
      </w:r>
      <w:r w:rsidR="00EA2DD5" w:rsidRPr="00CB36A9">
        <w:rPr>
          <w:noProof/>
          <w:color w:val="000000" w:themeColor="text1"/>
        </w:rPr>
        <w:t xml:space="preserve"> (</w:t>
      </w:r>
      <w:r w:rsidR="00187D4A" w:rsidRPr="00CB36A9">
        <w:rPr>
          <w:noProof/>
          <w:color w:val="000000" w:themeColor="text1"/>
        </w:rPr>
        <w:t>EUR</w:t>
      </w:r>
      <w:r w:rsidR="00246D17" w:rsidRPr="00CB36A9">
        <w:rPr>
          <w:noProof/>
          <w:color w:val="000000" w:themeColor="text1"/>
        </w:rPr>
        <w:t xml:space="preserve"> 84.4</w:t>
      </w:r>
      <w:r w:rsidR="002D434C" w:rsidRPr="00CB36A9">
        <w:rPr>
          <w:noProof/>
          <w:color w:val="000000" w:themeColor="text1"/>
        </w:rPr>
        <w:t xml:space="preserve"> million</w:t>
      </w:r>
      <w:r w:rsidR="00246D17" w:rsidRPr="00CB36A9">
        <w:rPr>
          <w:noProof/>
          <w:color w:val="000000" w:themeColor="text1"/>
        </w:rPr>
        <w:t>)</w:t>
      </w:r>
      <w:r w:rsidR="003F1114" w:rsidRPr="00CB36A9">
        <w:rPr>
          <w:noProof/>
          <w:color w:val="000000" w:themeColor="text1"/>
        </w:rPr>
        <w:t xml:space="preserve"> and construction</w:t>
      </w:r>
      <w:r w:rsidR="00EA2DD5" w:rsidRPr="00CB36A9">
        <w:rPr>
          <w:noProof/>
          <w:color w:val="000000" w:themeColor="text1"/>
        </w:rPr>
        <w:t xml:space="preserve"> (</w:t>
      </w:r>
      <w:r w:rsidR="00187D4A" w:rsidRPr="00CB36A9">
        <w:rPr>
          <w:noProof/>
          <w:color w:val="000000" w:themeColor="text1"/>
        </w:rPr>
        <w:t>EUR 59.4 million)</w:t>
      </w:r>
      <w:r w:rsidR="003F1114" w:rsidRPr="00CB36A9">
        <w:rPr>
          <w:noProof/>
          <w:color w:val="000000" w:themeColor="text1"/>
        </w:rPr>
        <w:t xml:space="preserve"> </w:t>
      </w:r>
      <w:r w:rsidR="00AB13E2" w:rsidRPr="00CB36A9">
        <w:rPr>
          <w:noProof/>
          <w:color w:val="000000" w:themeColor="text1"/>
        </w:rPr>
        <w:t>goods,</w:t>
      </w:r>
      <w:r w:rsidR="00961EA3" w:rsidRPr="00CB36A9">
        <w:rPr>
          <w:noProof/>
          <w:color w:val="000000" w:themeColor="text1"/>
        </w:rPr>
        <w:t xml:space="preserve"> driven by </w:t>
      </w:r>
      <w:r w:rsidR="00303C8B" w:rsidRPr="00CB36A9">
        <w:rPr>
          <w:noProof/>
          <w:color w:val="000000" w:themeColor="text1"/>
        </w:rPr>
        <w:t>the low-carbon cost increase</w:t>
      </w:r>
      <w:r w:rsidR="00AB13E2" w:rsidRPr="00CB36A9">
        <w:rPr>
          <w:noProof/>
          <w:color w:val="000000" w:themeColor="text1"/>
        </w:rPr>
        <w:t>,</w:t>
      </w:r>
      <w:r w:rsidR="00E461AD" w:rsidRPr="00CB36A9">
        <w:rPr>
          <w:noProof/>
          <w:color w:val="000000" w:themeColor="text1"/>
        </w:rPr>
        <w:t xml:space="preserve"> as one of the reasons for the </w:t>
      </w:r>
      <w:r w:rsidR="00E42484" w:rsidRPr="00CB36A9">
        <w:rPr>
          <w:noProof/>
          <w:color w:val="000000" w:themeColor="text1"/>
        </w:rPr>
        <w:t>value</w:t>
      </w:r>
      <w:r w:rsidR="00E84E0D" w:rsidRPr="00CB36A9">
        <w:rPr>
          <w:noProof/>
          <w:color w:val="000000" w:themeColor="text1"/>
        </w:rPr>
        <w:t>-</w:t>
      </w:r>
      <w:r w:rsidR="00E42484" w:rsidRPr="00CB36A9">
        <w:rPr>
          <w:noProof/>
          <w:color w:val="000000" w:themeColor="text1"/>
        </w:rPr>
        <w:t xml:space="preserve">added decrease of these </w:t>
      </w:r>
      <w:r w:rsidR="00BF3964" w:rsidRPr="00CB36A9">
        <w:rPr>
          <w:noProof/>
          <w:color w:val="000000" w:themeColor="text1"/>
        </w:rPr>
        <w:t xml:space="preserve">downstream </w:t>
      </w:r>
      <w:r w:rsidR="00E42484" w:rsidRPr="00CB36A9">
        <w:rPr>
          <w:noProof/>
          <w:color w:val="000000" w:themeColor="text1"/>
        </w:rPr>
        <w:t>sectors</w:t>
      </w:r>
      <w:r w:rsidR="003F1114" w:rsidRPr="00CB36A9">
        <w:rPr>
          <w:noProof/>
          <w:color w:val="000000" w:themeColor="text1"/>
        </w:rPr>
        <w:t>.</w:t>
      </w:r>
      <w:r w:rsidR="00C90879">
        <w:rPr>
          <w:noProof/>
          <w:color w:val="000000" w:themeColor="text1"/>
        </w:rPr>
        <w:t xml:space="preserve"> </w:t>
      </w:r>
    </w:p>
    <w:p w14:paraId="49677FBC" w14:textId="70809C09" w:rsidR="00285741" w:rsidRDefault="00BB1339">
      <w:pPr>
        <w:pStyle w:val="Text2"/>
        <w:spacing w:after="120"/>
        <w:ind w:left="0"/>
        <w:rPr>
          <w:rFonts w:ascii="Times" w:eastAsia="Times" w:hAnsi="Times" w:cs="Times"/>
          <w:noProof/>
        </w:rPr>
      </w:pPr>
      <w:r>
        <w:rPr>
          <w:rFonts w:ascii="Times" w:eastAsia="Times" w:hAnsi="Times" w:cs="Times"/>
          <w:noProof/>
        </w:rPr>
        <w:t>For a wider consideration on cost estimates, t</w:t>
      </w:r>
      <w:r w:rsidR="002965BB" w:rsidRPr="00425BFA">
        <w:rPr>
          <w:rFonts w:ascii="Times" w:eastAsia="Times" w:hAnsi="Times" w:cs="Times"/>
          <w:noProof/>
        </w:rPr>
        <w:t xml:space="preserve">he sensitivity analysis </w:t>
      </w:r>
      <w:r>
        <w:rPr>
          <w:rFonts w:ascii="Times" w:eastAsia="Times" w:hAnsi="Times" w:cs="Times"/>
          <w:noProof/>
        </w:rPr>
        <w:t>for</w:t>
      </w:r>
      <w:r w:rsidR="002965BB" w:rsidRPr="00425BFA">
        <w:rPr>
          <w:rFonts w:ascii="Times" w:eastAsia="Times" w:hAnsi="Times" w:cs="Times"/>
          <w:noProof/>
        </w:rPr>
        <w:t xml:space="preserve"> the </w:t>
      </w:r>
      <w:r w:rsidR="00823906" w:rsidRPr="00425BFA">
        <w:rPr>
          <w:rFonts w:ascii="Times" w:eastAsia="Times" w:hAnsi="Times" w:cs="Times"/>
          <w:noProof/>
        </w:rPr>
        <w:t>range of potential costs derived from low-carbon steel</w:t>
      </w:r>
      <w:r w:rsidR="00A2363B" w:rsidRPr="00425BFA">
        <w:rPr>
          <w:rFonts w:ascii="Times" w:eastAsia="Times" w:hAnsi="Times" w:cs="Times"/>
          <w:noProof/>
        </w:rPr>
        <w:t xml:space="preserve"> can present the following </w:t>
      </w:r>
      <w:r w:rsidR="002E0C3A" w:rsidRPr="00425BFA">
        <w:rPr>
          <w:rFonts w:ascii="Times" w:eastAsia="Times" w:hAnsi="Times" w:cs="Times"/>
          <w:noProof/>
        </w:rPr>
        <w:t>for p</w:t>
      </w:r>
      <w:r w:rsidR="002965BB" w:rsidRPr="002E0C3A">
        <w:rPr>
          <w:rFonts w:ascii="Times" w:eastAsia="Times" w:hAnsi="Times" w:cs="Times"/>
          <w:noProof/>
        </w:rPr>
        <w:t>assenger cars: </w:t>
      </w:r>
      <w:r w:rsidR="002965BB" w:rsidRPr="00425BFA">
        <w:rPr>
          <w:rFonts w:ascii="Times" w:eastAsia="Times" w:hAnsi="Times" w:cs="Times"/>
          <w:noProof/>
        </w:rPr>
        <w:t>EUR 91.7 million – EUR 212.87 million</w:t>
      </w:r>
      <w:r w:rsidR="002E0C3A" w:rsidRPr="00425BFA">
        <w:rPr>
          <w:rFonts w:ascii="Times" w:eastAsia="Times" w:hAnsi="Times" w:cs="Times"/>
          <w:noProof/>
        </w:rPr>
        <w:t xml:space="preserve">. </w:t>
      </w:r>
      <w:r w:rsidR="00C75AF1">
        <w:rPr>
          <w:rFonts w:ascii="Times" w:eastAsia="Times" w:hAnsi="Times" w:cs="Times"/>
          <w:noProof/>
        </w:rPr>
        <w:t>S</w:t>
      </w:r>
      <w:r w:rsidR="002E0C3A" w:rsidRPr="00425BFA">
        <w:rPr>
          <w:rFonts w:ascii="Times" w:eastAsia="Times" w:hAnsi="Times" w:cs="Times"/>
          <w:noProof/>
        </w:rPr>
        <w:t>ee Annex 15 for more information.</w:t>
      </w:r>
      <w:r w:rsidR="002E29CA">
        <w:rPr>
          <w:rFonts w:ascii="Times" w:eastAsia="Times" w:hAnsi="Times" w:cs="Times"/>
          <w:noProof/>
        </w:rPr>
        <w:t xml:space="preserve"> </w:t>
      </w:r>
    </w:p>
    <w:p w14:paraId="229C2FF5" w14:textId="3D3FD62C" w:rsidR="00285741" w:rsidRDefault="00285741">
      <w:pPr>
        <w:pStyle w:val="Text2"/>
        <w:spacing w:after="120"/>
        <w:ind w:left="0"/>
        <w:rPr>
          <w:rStyle w:val="Strong"/>
          <w:b w:val="0"/>
          <w:noProof/>
        </w:rPr>
      </w:pPr>
      <w:r w:rsidRPr="704C3EE0">
        <w:rPr>
          <w:noProof/>
        </w:rPr>
        <w:t>However, access to public schemes would be reduced to consumers willing to purchase a product containing low-carbon content.</w:t>
      </w:r>
      <w:r w:rsidRPr="704C3EE0">
        <w:rPr>
          <w:rStyle w:val="Strong"/>
          <w:b w:val="0"/>
          <w:noProof/>
        </w:rPr>
        <w:t xml:space="preserve"> While no assumption can be taken on the level of public funding, public incentives in these products are already widely present in society as explained above. </w:t>
      </w:r>
      <w:r w:rsidRPr="704C3EE0">
        <w:rPr>
          <w:noProof/>
        </w:rPr>
        <w:t>Only for internal combustion engine vehicles, a recent study estimated that subsidies for corporate vehicles alone amounted to EUR 42 billion in 2023.</w:t>
      </w:r>
      <w:r w:rsidRPr="704C3EE0">
        <w:rPr>
          <w:rStyle w:val="FootnoteReference"/>
          <w:noProof/>
        </w:rPr>
        <w:footnoteReference w:id="182"/>
      </w:r>
      <w:r w:rsidRPr="704C3EE0">
        <w:rPr>
          <w:noProof/>
        </w:rPr>
        <w:t xml:space="preserve"> </w:t>
      </w:r>
      <w:r w:rsidRPr="704C3EE0">
        <w:rPr>
          <w:rStyle w:val="Strong"/>
          <w:b w:val="0"/>
          <w:noProof/>
        </w:rPr>
        <w:t>Cost implications on the final products in automotive and construction</w:t>
      </w:r>
      <w:r w:rsidRPr="704C3EE0">
        <w:rPr>
          <w:rStyle w:val="FootnoteReference"/>
          <w:noProof/>
        </w:rPr>
        <w:footnoteReference w:id="183"/>
      </w:r>
      <w:r w:rsidRPr="704C3EE0">
        <w:rPr>
          <w:rStyle w:val="Strong"/>
          <w:b w:val="0"/>
          <w:noProof/>
        </w:rPr>
        <w:t xml:space="preserve"> are outlined in Section </w:t>
      </w:r>
      <w:r>
        <w:rPr>
          <w:rStyle w:val="Strong"/>
          <w:b w:val="0"/>
          <w:bCs w:val="0"/>
          <w:noProof/>
        </w:rPr>
        <w:fldChar w:fldCharType="begin"/>
      </w:r>
      <w:r>
        <w:rPr>
          <w:rStyle w:val="Strong"/>
          <w:b w:val="0"/>
          <w:bCs w:val="0"/>
          <w:noProof/>
        </w:rPr>
        <w:instrText xml:space="preserve"> REF _Ref212647944 \r \h </w:instrText>
      </w:r>
      <w:r>
        <w:rPr>
          <w:rStyle w:val="Strong"/>
          <w:b w:val="0"/>
          <w:bCs w:val="0"/>
          <w:noProof/>
        </w:rPr>
      </w:r>
      <w:r>
        <w:rPr>
          <w:rStyle w:val="Strong"/>
          <w:b w:val="0"/>
          <w:bCs w:val="0"/>
          <w:noProof/>
        </w:rPr>
        <w:fldChar w:fldCharType="separate"/>
      </w:r>
      <w:r w:rsidR="00E16D65">
        <w:rPr>
          <w:rStyle w:val="Strong"/>
          <w:b w:val="0"/>
          <w:bCs w:val="0"/>
          <w:noProof/>
        </w:rPr>
        <w:t>6.1.1.2</w:t>
      </w:r>
      <w:r>
        <w:rPr>
          <w:rStyle w:val="Strong"/>
          <w:b w:val="0"/>
          <w:bCs w:val="0"/>
          <w:noProof/>
        </w:rPr>
        <w:fldChar w:fldCharType="end"/>
      </w:r>
      <w:r>
        <w:rPr>
          <w:rStyle w:val="Strong"/>
          <w:b w:val="0"/>
          <w:noProof/>
        </w:rPr>
        <w:t>.</w:t>
      </w:r>
    </w:p>
    <w:p w14:paraId="5CE8899E" w14:textId="22CA9C8F" w:rsidR="00285741" w:rsidRDefault="00285741">
      <w:pPr>
        <w:pStyle w:val="Text2"/>
        <w:spacing w:after="120"/>
        <w:ind w:left="0"/>
        <w:rPr>
          <w:noProof/>
        </w:rPr>
      </w:pPr>
      <w:r w:rsidRPr="003A27D0">
        <w:rPr>
          <w:b/>
          <w:noProof/>
        </w:rPr>
        <w:t>LEAD_BAT 1</w:t>
      </w:r>
      <w:r w:rsidRPr="0047342F">
        <w:rPr>
          <w:noProof/>
        </w:rPr>
        <w:t xml:space="preserve"> - As outlined in </w:t>
      </w:r>
      <w:r w:rsidR="00262F57">
        <w:rPr>
          <w:noProof/>
        </w:rPr>
        <w:t>S</w:t>
      </w:r>
      <w:r w:rsidRPr="0047342F">
        <w:rPr>
          <w:noProof/>
        </w:rPr>
        <w:t xml:space="preserve">ection 6.1.1.2, consumers would be affected by the possible price increases. However, since these are tied to public support schemes, the effect on final prices would be less pronounced and more gradually absorbed. </w:t>
      </w:r>
      <w:r w:rsidRPr="00EB6B04">
        <w:rPr>
          <w:noProof/>
        </w:rPr>
        <w:t>By 2030, the adjustment</w:t>
      </w:r>
      <w:r w:rsidRPr="0047342F">
        <w:rPr>
          <w:noProof/>
        </w:rPr>
        <w:t xml:space="preserve"> costs for consumers</w:t>
      </w:r>
      <w:r w:rsidRPr="00EB6B04">
        <w:rPr>
          <w:noProof/>
        </w:rPr>
        <w:t xml:space="preserve"> will range between EUR </w:t>
      </w:r>
      <w:r w:rsidRPr="00DB753C">
        <w:rPr>
          <w:noProof/>
        </w:rPr>
        <w:t>292-730 million</w:t>
      </w:r>
      <w:r>
        <w:rPr>
          <w:noProof/>
        </w:rPr>
        <w:t xml:space="preserve"> </w:t>
      </w:r>
      <w:r w:rsidR="00335CE6">
        <w:rPr>
          <w:noProof/>
        </w:rPr>
        <w:t>(</w:t>
      </w:r>
      <w:r w:rsidR="00335CE6" w:rsidRPr="00335CE6">
        <w:rPr>
          <w:noProof/>
        </w:rPr>
        <w:t>average EUR 511 million</w:t>
      </w:r>
      <w:r w:rsidR="000D5469">
        <w:rPr>
          <w:noProof/>
        </w:rPr>
        <w:t>)</w:t>
      </w:r>
      <w:r>
        <w:rPr>
          <w:noProof/>
        </w:rPr>
        <w:t xml:space="preserve"> for private consumers and EUR 0.9</w:t>
      </w:r>
      <w:r w:rsidRPr="00291D11">
        <w:rPr>
          <w:noProof/>
        </w:rPr>
        <w:t>-</w:t>
      </w:r>
      <w:r>
        <w:rPr>
          <w:noProof/>
        </w:rPr>
        <w:t>2.2</w:t>
      </w:r>
      <w:r w:rsidRPr="00291D11">
        <w:rPr>
          <w:noProof/>
        </w:rPr>
        <w:t xml:space="preserve"> billion</w:t>
      </w:r>
      <w:r>
        <w:rPr>
          <w:noProof/>
        </w:rPr>
        <w:t xml:space="preserve"> </w:t>
      </w:r>
      <w:r w:rsidR="000D5469">
        <w:rPr>
          <w:noProof/>
        </w:rPr>
        <w:t>(</w:t>
      </w:r>
      <w:r w:rsidR="000D5469" w:rsidRPr="000D5469">
        <w:rPr>
          <w:noProof/>
        </w:rPr>
        <w:t xml:space="preserve">average EUR </w:t>
      </w:r>
      <w:r w:rsidR="000D5469">
        <w:rPr>
          <w:noProof/>
        </w:rPr>
        <w:t>1.55</w:t>
      </w:r>
      <w:r w:rsidR="000D5469" w:rsidRPr="000D5469">
        <w:rPr>
          <w:noProof/>
        </w:rPr>
        <w:t xml:space="preserve"> </w:t>
      </w:r>
      <w:r w:rsidR="000D5469">
        <w:rPr>
          <w:noProof/>
        </w:rPr>
        <w:t>b</w:t>
      </w:r>
      <w:r w:rsidR="000D5469" w:rsidRPr="000D5469">
        <w:rPr>
          <w:noProof/>
        </w:rPr>
        <w:t>illion</w:t>
      </w:r>
      <w:r w:rsidR="0041325B">
        <w:rPr>
          <w:noProof/>
        </w:rPr>
        <w:t>)</w:t>
      </w:r>
      <w:r>
        <w:rPr>
          <w:noProof/>
        </w:rPr>
        <w:t xml:space="preserve"> for corporate consumers</w:t>
      </w:r>
      <w:r w:rsidRPr="00EB6B04">
        <w:rPr>
          <w:noProof/>
        </w:rPr>
        <w:t xml:space="preserve"> (see Annex 4</w:t>
      </w:r>
      <w:r w:rsidR="00861F94">
        <w:rPr>
          <w:noProof/>
        </w:rPr>
        <w:t xml:space="preserve"> </w:t>
      </w:r>
      <w:r w:rsidR="0031028A">
        <w:rPr>
          <w:noProof/>
        </w:rPr>
        <w:t>S</w:t>
      </w:r>
      <w:r w:rsidR="00861F94">
        <w:rPr>
          <w:noProof/>
        </w:rPr>
        <w:t>ection 2</w:t>
      </w:r>
      <w:r w:rsidRPr="00EB6B04">
        <w:rPr>
          <w:noProof/>
        </w:rPr>
        <w:t>). Given that EV subsidies have exceeded EUR 16 billion annually from 2021 to 2024</w:t>
      </w:r>
      <w:r w:rsidRPr="00EB6B04">
        <w:rPr>
          <w:rStyle w:val="FootnoteReference"/>
          <w:noProof/>
        </w:rPr>
        <w:footnoteReference w:id="184"/>
      </w:r>
      <w:r w:rsidRPr="00EB6B04">
        <w:rPr>
          <w:noProof/>
        </w:rPr>
        <w:t xml:space="preserve">, these subsidies </w:t>
      </w:r>
      <w:r>
        <w:rPr>
          <w:noProof/>
        </w:rPr>
        <w:t>have the potential</w:t>
      </w:r>
      <w:r w:rsidRPr="00EB6B04">
        <w:rPr>
          <w:noProof/>
        </w:rPr>
        <w:t xml:space="preserve"> to </w:t>
      </w:r>
      <w:r w:rsidR="00892BC8">
        <w:rPr>
          <w:noProof/>
        </w:rPr>
        <w:t>financially compensate</w:t>
      </w:r>
      <w:r w:rsidR="00892BC8" w:rsidRPr="00EB6B04">
        <w:rPr>
          <w:noProof/>
        </w:rPr>
        <w:t xml:space="preserve"> the </w:t>
      </w:r>
      <w:r w:rsidR="00892BC8">
        <w:rPr>
          <w:noProof/>
        </w:rPr>
        <w:t>income effect of</w:t>
      </w:r>
      <w:r w:rsidRPr="00EB6B04">
        <w:rPr>
          <w:noProof/>
        </w:rPr>
        <w:t xml:space="preserve"> the impact on the final consumers. </w:t>
      </w:r>
    </w:p>
    <w:p w14:paraId="5FF45467" w14:textId="77777777" w:rsidR="00285741" w:rsidRDefault="00285741">
      <w:pPr>
        <w:pStyle w:val="Text2"/>
        <w:spacing w:after="120"/>
        <w:ind w:left="0"/>
        <w:rPr>
          <w:noProof/>
          <w:color w:val="000000" w:themeColor="text1"/>
        </w:rPr>
      </w:pPr>
      <w:r w:rsidRPr="000272AD">
        <w:rPr>
          <w:b/>
          <w:noProof/>
        </w:rPr>
        <w:t>LEAD_SOL 1</w:t>
      </w:r>
      <w:r w:rsidRPr="000272AD">
        <w:rPr>
          <w:noProof/>
        </w:rPr>
        <w:t xml:space="preserve"> </w:t>
      </w:r>
      <w:r w:rsidRPr="000272AD">
        <w:rPr>
          <w:rFonts w:eastAsiaTheme="minorEastAsia"/>
          <w:noProof/>
        </w:rPr>
        <w:t>would likely bring a near‑term cost uptick. As mentioned above, even a moderate increase in EU module prices would result in a system cost increase of only around 5-15%, depending on the configuration and market conditions, to be weighed against the broader benefits of resilient, locally based manufacturing and reduced dependency on imports.</w:t>
      </w:r>
      <w:r w:rsidRPr="000272AD">
        <w:rPr>
          <w:rStyle w:val="FootnoteReference"/>
          <w:rFonts w:eastAsiaTheme="minorEastAsia"/>
          <w:noProof/>
        </w:rPr>
        <w:footnoteReference w:id="185"/>
      </w:r>
      <w:r>
        <w:rPr>
          <w:rFonts w:eastAsiaTheme="minorEastAsia"/>
          <w:noProof/>
        </w:rPr>
        <w:t xml:space="preserve"> </w:t>
      </w:r>
      <w:r w:rsidRPr="00D30F4E">
        <w:rPr>
          <w:noProof/>
          <w:color w:val="000000" w:themeColor="text1"/>
        </w:rPr>
        <w:t xml:space="preserve">Directing part of publicly backed demand toward European products would diversify supply and build </w:t>
      </w:r>
      <w:r>
        <w:rPr>
          <w:noProof/>
          <w:color w:val="000000" w:themeColor="text1"/>
        </w:rPr>
        <w:t>(economic) security</w:t>
      </w:r>
      <w:r w:rsidRPr="00D30F4E">
        <w:rPr>
          <w:noProof/>
          <w:color w:val="000000" w:themeColor="text1"/>
        </w:rPr>
        <w:t>.</w:t>
      </w:r>
      <w:r w:rsidRPr="000272AD">
        <w:rPr>
          <w:rStyle w:val="FootnoteReference"/>
          <w:noProof/>
          <w:color w:val="000000" w:themeColor="text1"/>
        </w:rPr>
        <w:footnoteReference w:id="186"/>
      </w:r>
      <w:r w:rsidRPr="00D30F4E">
        <w:rPr>
          <w:noProof/>
          <w:color w:val="000000" w:themeColor="text1"/>
        </w:rPr>
        <w:t xml:space="preserve"> </w:t>
      </w:r>
      <w:r w:rsidRPr="00801C0E">
        <w:rPr>
          <w:noProof/>
          <w:color w:val="000000" w:themeColor="text1"/>
        </w:rPr>
        <w:t xml:space="preserve">As the measures target public procurement, auctions and public support schemes consumers would not be directly impacted by the </w:t>
      </w:r>
      <w:r>
        <w:rPr>
          <w:noProof/>
          <w:color w:val="000000" w:themeColor="text1"/>
        </w:rPr>
        <w:t>price</w:t>
      </w:r>
      <w:r w:rsidRPr="00801C0E">
        <w:rPr>
          <w:noProof/>
          <w:color w:val="000000" w:themeColor="text1"/>
        </w:rPr>
        <w:t xml:space="preserve"> </w:t>
      </w:r>
      <w:r w:rsidRPr="00801C0E">
        <w:rPr>
          <w:noProof/>
          <w:color w:val="000000" w:themeColor="text1"/>
        </w:rPr>
        <w:lastRenderedPageBreak/>
        <w:t>increase and especially under the public support schemes</w:t>
      </w:r>
      <w:r>
        <w:rPr>
          <w:noProof/>
          <w:color w:val="000000" w:themeColor="text1"/>
        </w:rPr>
        <w:t>,</w:t>
      </w:r>
      <w:r w:rsidRPr="00801C0E">
        <w:rPr>
          <w:noProof/>
          <w:color w:val="000000" w:themeColor="text1"/>
        </w:rPr>
        <w:t xml:space="preserve"> consumer purchases of EU made PV systems would be financially rewarded. </w:t>
      </w:r>
    </w:p>
    <w:p w14:paraId="3B56E3BC" w14:textId="50029383" w:rsidR="00285741" w:rsidRDefault="00285741">
      <w:pPr>
        <w:pStyle w:val="Text2"/>
        <w:spacing w:after="120"/>
        <w:ind w:left="0"/>
        <w:rPr>
          <w:noProof/>
          <w:color w:val="000000" w:themeColor="text1"/>
        </w:rPr>
      </w:pPr>
      <w:r w:rsidRPr="00D76577">
        <w:rPr>
          <w:b/>
          <w:bCs/>
          <w:noProof/>
          <w:color w:val="000000" w:themeColor="text1"/>
        </w:rPr>
        <w:t xml:space="preserve">LEAD_VC 1 </w:t>
      </w:r>
      <w:r>
        <w:rPr>
          <w:noProof/>
          <w:color w:val="000000" w:themeColor="text1"/>
        </w:rPr>
        <w:t>is estimated to</w:t>
      </w:r>
      <w:r w:rsidRPr="00D76577">
        <w:rPr>
          <w:noProof/>
          <w:color w:val="000000" w:themeColor="text1"/>
        </w:rPr>
        <w:t xml:space="preserve"> </w:t>
      </w:r>
      <w:r w:rsidRPr="00B436EC">
        <w:rPr>
          <w:noProof/>
          <w:color w:val="000000" w:themeColor="text1"/>
        </w:rPr>
        <w:t xml:space="preserve">have two different effects: </w:t>
      </w:r>
      <w:r>
        <w:rPr>
          <w:noProof/>
          <w:color w:val="000000" w:themeColor="text1"/>
        </w:rPr>
        <w:t>A</w:t>
      </w:r>
      <w:r w:rsidRPr="00B436EC">
        <w:rPr>
          <w:noProof/>
          <w:color w:val="000000" w:themeColor="text1"/>
        </w:rPr>
        <w:t>s EV passenger cars become more expensive f</w:t>
      </w:r>
      <w:r>
        <w:rPr>
          <w:noProof/>
          <w:color w:val="000000" w:themeColor="text1"/>
        </w:rPr>
        <w:t>rom</w:t>
      </w:r>
      <w:r w:rsidRPr="00B436EC">
        <w:rPr>
          <w:noProof/>
          <w:color w:val="000000" w:themeColor="text1"/>
        </w:rPr>
        <w:t xml:space="preserve"> non-EU manufacturers, and ICE vehicles, being not affected by the measure, could benefit from a relative price advantage (prior application of the bonus schemes or subsidies) over EVs, </w:t>
      </w:r>
      <w:r>
        <w:rPr>
          <w:noProof/>
          <w:color w:val="000000" w:themeColor="text1"/>
        </w:rPr>
        <w:t>there may be a</w:t>
      </w:r>
      <w:r w:rsidRPr="00B436EC">
        <w:rPr>
          <w:noProof/>
          <w:color w:val="000000" w:themeColor="text1"/>
        </w:rPr>
        <w:t xml:space="preserve"> partial product substitution of EVs with ICEs</w:t>
      </w:r>
      <w:r>
        <w:rPr>
          <w:noProof/>
          <w:color w:val="000000" w:themeColor="text1"/>
        </w:rPr>
        <w:t>. However,</w:t>
      </w:r>
      <w:r w:rsidRPr="004847C7">
        <w:rPr>
          <w:noProof/>
        </w:rPr>
        <w:t xml:space="preserve"> </w:t>
      </w:r>
      <w:r w:rsidRPr="004847C7">
        <w:rPr>
          <w:noProof/>
          <w:color w:val="000000" w:themeColor="text1"/>
        </w:rPr>
        <w:t xml:space="preserve">as EV passenger cars produced by EU manufacturers will benefit from a relative price advantage following the reduction of price </w:t>
      </w:r>
      <w:r>
        <w:rPr>
          <w:noProof/>
          <w:color w:val="000000" w:themeColor="text1"/>
        </w:rPr>
        <w:t>originating</w:t>
      </w:r>
      <w:r w:rsidRPr="004847C7">
        <w:rPr>
          <w:noProof/>
          <w:color w:val="000000" w:themeColor="text1"/>
        </w:rPr>
        <w:t xml:space="preserve"> from the reallocated subsidies, this </w:t>
      </w:r>
      <w:r>
        <w:rPr>
          <w:noProof/>
          <w:color w:val="000000" w:themeColor="text1"/>
        </w:rPr>
        <w:t>may</w:t>
      </w:r>
      <w:r w:rsidRPr="004847C7">
        <w:rPr>
          <w:noProof/>
          <w:color w:val="000000" w:themeColor="text1"/>
        </w:rPr>
        <w:t xml:space="preserve"> lead consumers to prefer EV passenger cars produced by EU manufacturers (which increase their sales) over non-EU EV passenger cars (which reduce their sales).</w:t>
      </w:r>
      <w:r>
        <w:rPr>
          <w:noProof/>
          <w:color w:val="000000" w:themeColor="text1"/>
        </w:rPr>
        <w:t xml:space="preserve"> </w:t>
      </w:r>
      <w:r w:rsidRPr="00B27758">
        <w:rPr>
          <w:noProof/>
          <w:color w:val="000000" w:themeColor="text1"/>
        </w:rPr>
        <w:t xml:space="preserve">The </w:t>
      </w:r>
      <w:r>
        <w:rPr>
          <w:noProof/>
          <w:color w:val="000000" w:themeColor="text1"/>
        </w:rPr>
        <w:t>latter</w:t>
      </w:r>
      <w:r w:rsidRPr="00B27758">
        <w:rPr>
          <w:noProof/>
          <w:color w:val="000000" w:themeColor="text1"/>
        </w:rPr>
        <w:t xml:space="preserve"> effect crucially depends on the bonus schemes</w:t>
      </w:r>
      <w:r>
        <w:rPr>
          <w:noProof/>
          <w:color w:val="000000" w:themeColor="text1"/>
        </w:rPr>
        <w:t xml:space="preserve"> and conditional to the assumptions taken in this impact assessment and Annex </w:t>
      </w:r>
      <w:r w:rsidR="001350D2">
        <w:rPr>
          <w:noProof/>
          <w:color w:val="000000" w:themeColor="text1"/>
        </w:rPr>
        <w:t>14</w:t>
      </w:r>
      <w:r>
        <w:rPr>
          <w:noProof/>
          <w:color w:val="000000" w:themeColor="text1"/>
        </w:rPr>
        <w:t xml:space="preserve"> presents a counterfactual analysis on the potential price impacts when changing the </w:t>
      </w:r>
      <w:r w:rsidDel="00853D8A">
        <w:rPr>
          <w:noProof/>
          <w:color w:val="000000" w:themeColor="text1"/>
        </w:rPr>
        <w:t>amount</w:t>
      </w:r>
      <w:r>
        <w:rPr>
          <w:noProof/>
          <w:color w:val="000000" w:themeColor="text1"/>
        </w:rPr>
        <w:t xml:space="preserve"> of public subsidy allocated to EU EV manufacturers. </w:t>
      </w:r>
    </w:p>
    <w:p w14:paraId="2B61D2F7" w14:textId="29F478DC" w:rsidR="00321C47" w:rsidRPr="00FB5D72" w:rsidRDefault="00285741" w:rsidP="00D21DDB">
      <w:pPr>
        <w:pStyle w:val="Text2"/>
        <w:spacing w:after="120"/>
        <w:ind w:left="0"/>
        <w:rPr>
          <w:rFonts w:eastAsia="Aptos"/>
          <w:noProof/>
          <w:szCs w:val="24"/>
        </w:rPr>
      </w:pPr>
      <w:r>
        <w:rPr>
          <w:noProof/>
          <w:color w:val="000000" w:themeColor="text1"/>
        </w:rPr>
        <w:t xml:space="preserve">In quantitative terms, when we look at the impacts in 2027, the average price increase (from both the potential reduction of price for EU manufacturers and price disadvantage for non-EU manufacturers), there would be an </w:t>
      </w:r>
      <w:r w:rsidRPr="00FB5D72">
        <w:rPr>
          <w:noProof/>
          <w:color w:val="000000" w:themeColor="text1"/>
        </w:rPr>
        <w:t>overall price increase of 0.4% for passenger cars, 0.5% for HDVs and there could be a reduction of 0.7% for LCVs. Looking at the impact in 2030, the price increase for passenger car rises to 1.2%, to 0.4% for LCVs and 1.2% for HDVs. As buyers of LCVs and HDVs are mostly economic operators, the impact qualifies as impact on the downstream.</w:t>
      </w:r>
      <w:r w:rsidR="00321C47" w:rsidRPr="00FB5D72">
        <w:rPr>
          <w:noProof/>
          <w:color w:val="000000" w:themeColor="text1"/>
        </w:rPr>
        <w:t xml:space="preserve"> </w:t>
      </w:r>
      <w:r w:rsidR="00321C47" w:rsidRPr="00CB36A9">
        <w:rPr>
          <w:rFonts w:eastAsia="Aptos"/>
          <w:noProof/>
          <w:szCs w:val="24"/>
        </w:rPr>
        <w:t xml:space="preserve">Following the sensitivity analysis carried out in Annex 15, demand elasticity is the parameter that </w:t>
      </w:r>
      <w:r w:rsidR="009F3AB4" w:rsidRPr="00CB36A9">
        <w:rPr>
          <w:rFonts w:eastAsia="Aptos"/>
          <w:noProof/>
          <w:szCs w:val="24"/>
        </w:rPr>
        <w:t>has the strongest impact on the results</w:t>
      </w:r>
      <w:r w:rsidR="00321C47" w:rsidRPr="00CB36A9">
        <w:rPr>
          <w:rFonts w:eastAsia="Aptos"/>
          <w:noProof/>
          <w:szCs w:val="24"/>
        </w:rPr>
        <w:t>. However, it shows values falling within a small range and not significantly affecting the policy's economic effects.</w:t>
      </w:r>
    </w:p>
    <w:p w14:paraId="2B4786E5" w14:textId="0DDC76AE" w:rsidR="00285741" w:rsidRPr="00FB5D72" w:rsidRDefault="00285741">
      <w:pPr>
        <w:pStyle w:val="NormalWeb"/>
        <w:spacing w:before="0" w:beforeAutospacing="0" w:after="240" w:afterAutospacing="0"/>
        <w:jc w:val="both"/>
        <w:rPr>
          <w:noProof/>
          <w:lang w:val="en-GB"/>
        </w:rPr>
      </w:pPr>
      <w:r w:rsidRPr="00FB5D72">
        <w:rPr>
          <w:b/>
          <w:noProof/>
          <w:lang w:val="en-GB"/>
        </w:rPr>
        <w:t>INV 1</w:t>
      </w:r>
      <w:r w:rsidRPr="00FB5D72">
        <w:rPr>
          <w:noProof/>
          <w:lang w:val="en-GB"/>
        </w:rPr>
        <w:t xml:space="preserve"> – </w:t>
      </w:r>
      <w:r w:rsidR="0079129F" w:rsidRPr="00FB5D72">
        <w:rPr>
          <w:noProof/>
          <w:lang w:val="en-GB"/>
        </w:rPr>
        <w:t>F</w:t>
      </w:r>
      <w:r w:rsidRPr="00FB5D72">
        <w:rPr>
          <w:noProof/>
          <w:lang w:val="en-GB"/>
        </w:rPr>
        <w:t xml:space="preserve">or citizens and consumers, the effects would be </w:t>
      </w:r>
      <w:r w:rsidRPr="00CB36A9">
        <w:rPr>
          <w:noProof/>
          <w:lang w:val="en-GB"/>
        </w:rPr>
        <w:t>limited in the short term</w:t>
      </w:r>
      <w:r w:rsidR="00563BA5" w:rsidRPr="00CB36A9">
        <w:rPr>
          <w:noProof/>
          <w:lang w:val="en-GB"/>
        </w:rPr>
        <w:t>, as</w:t>
      </w:r>
      <w:r w:rsidRPr="00CB36A9">
        <w:rPr>
          <w:noProof/>
          <w:lang w:val="en-GB"/>
        </w:rPr>
        <w:t xml:space="preserve"> the measure</w:t>
      </w:r>
      <w:r w:rsidR="00563BA5" w:rsidRPr="00CB36A9">
        <w:rPr>
          <w:noProof/>
          <w:lang w:val="en-GB"/>
        </w:rPr>
        <w:t>’s</w:t>
      </w:r>
      <w:r w:rsidRPr="00CB36A9">
        <w:rPr>
          <w:noProof/>
          <w:lang w:val="en-GB"/>
        </w:rPr>
        <w:t xml:space="preserve"> voluntary</w:t>
      </w:r>
      <w:r w:rsidR="00563BA5" w:rsidRPr="00CB36A9">
        <w:rPr>
          <w:noProof/>
          <w:lang w:val="en-GB"/>
        </w:rPr>
        <w:t xml:space="preserve"> nature</w:t>
      </w:r>
      <w:r w:rsidR="005125E7" w:rsidRPr="00CB36A9">
        <w:rPr>
          <w:noProof/>
          <w:lang w:val="en-GB"/>
        </w:rPr>
        <w:t xml:space="preserve"> means </w:t>
      </w:r>
      <w:r w:rsidRPr="00CB36A9">
        <w:rPr>
          <w:noProof/>
          <w:lang w:val="en-GB"/>
        </w:rPr>
        <w:t xml:space="preserve">it would not immediately alter market prices or consumer costs. </w:t>
      </w:r>
      <w:r w:rsidR="006321E9" w:rsidRPr="00CB36A9">
        <w:rPr>
          <w:noProof/>
          <w:lang w:val="en-GB"/>
        </w:rPr>
        <w:t>Where Member States do implement the guidance and attract additional investment, some localised benefits (such as job creation or opportunities linked to industrial activity) may occur, but these would be uneven and dependent on national uptake. Overall, the voluntary and fragmented application limits the likelihood of consistent or EU-wide improvements for citizens and consumers.</w:t>
      </w:r>
    </w:p>
    <w:p w14:paraId="720ECAB7" w14:textId="77777777" w:rsidR="00285741" w:rsidRPr="00FB5D72" w:rsidRDefault="00285741" w:rsidP="00285741">
      <w:pPr>
        <w:pStyle w:val="Heading4"/>
        <w:numPr>
          <w:ilvl w:val="3"/>
          <w:numId w:val="64"/>
        </w:numPr>
        <w:spacing w:after="0"/>
        <w:ind w:left="0" w:firstLine="130"/>
        <w:rPr>
          <w:b/>
          <w:noProof/>
          <w:color w:val="auto"/>
        </w:rPr>
      </w:pPr>
      <w:r w:rsidRPr="00FB5D72">
        <w:rPr>
          <w:b/>
          <w:noProof/>
          <w:color w:val="auto"/>
        </w:rPr>
        <w:t>Impact on competitiveness</w:t>
      </w:r>
    </w:p>
    <w:p w14:paraId="3C83D248" w14:textId="722CE93A" w:rsidR="00285741" w:rsidRPr="00FB5D72" w:rsidRDefault="7C355CBF">
      <w:pPr>
        <w:pStyle w:val="Text2"/>
        <w:spacing w:before="240" w:after="120"/>
        <w:ind w:left="0"/>
        <w:rPr>
          <w:noProof/>
          <w:color w:val="000000" w:themeColor="text1"/>
        </w:rPr>
      </w:pPr>
      <w:r w:rsidRPr="00FB5D72">
        <w:rPr>
          <w:b/>
          <w:bCs/>
          <w:noProof/>
        </w:rPr>
        <w:t xml:space="preserve">LEAD_EII 1 - </w:t>
      </w:r>
      <w:r w:rsidRPr="00FB5D72">
        <w:rPr>
          <w:noProof/>
        </w:rPr>
        <w:t xml:space="preserve">EU producers of low-carbon materials would initially benefit from a first-mover advantage. However, many non-EU regions have also rapidly expanded their low-carbon production capacity and are well-positioned to compete on carbon-related requirements. </w:t>
      </w:r>
      <w:r w:rsidRPr="00FB5D72">
        <w:rPr>
          <w:noProof/>
          <w:color w:val="000000" w:themeColor="text1"/>
        </w:rPr>
        <w:t xml:space="preserve">As an example, according to Strategic Perspectives, </w:t>
      </w:r>
      <w:r w:rsidR="5A46B5DC" w:rsidRPr="00FB5D72">
        <w:rPr>
          <w:noProof/>
          <w:color w:val="000000" w:themeColor="text1"/>
        </w:rPr>
        <w:t>China is expected to produce 105</w:t>
      </w:r>
      <w:r w:rsidR="1AC6F867" w:rsidRPr="00FB5D72">
        <w:rPr>
          <w:noProof/>
          <w:color w:val="000000" w:themeColor="text1"/>
        </w:rPr>
        <w:t xml:space="preserve"> Mtonnes </w:t>
      </w:r>
      <w:r w:rsidR="5A46B5DC" w:rsidRPr="00FB5D72">
        <w:rPr>
          <w:noProof/>
          <w:color w:val="000000" w:themeColor="text1"/>
        </w:rPr>
        <w:t>of recycled steel by 2030</w:t>
      </w:r>
      <w:r w:rsidR="00285741" w:rsidRPr="00FB5D72">
        <w:rPr>
          <w:rStyle w:val="FootnoteReference"/>
          <w:noProof/>
          <w:color w:val="000000" w:themeColor="text1"/>
        </w:rPr>
        <w:footnoteReference w:id="187"/>
      </w:r>
      <w:r w:rsidRPr="00FB5D72">
        <w:rPr>
          <w:noProof/>
          <w:color w:val="000000" w:themeColor="text1"/>
        </w:rPr>
        <w:t>, positioning it to supply nearly half of the EU’s potential low-carbon steel demand, subject to the limits imposed by</w:t>
      </w:r>
      <w:r w:rsidR="5F3014C9" w:rsidRPr="00FB5D72">
        <w:rPr>
          <w:noProof/>
          <w:color w:val="000000" w:themeColor="text1"/>
        </w:rPr>
        <w:t xml:space="preserve"> the forthcoming Regulation addressing global overcapacity</w:t>
      </w:r>
      <w:r w:rsidR="10309F4B" w:rsidRPr="00FB5D72">
        <w:rPr>
          <w:noProof/>
          <w:color w:val="000000" w:themeColor="text1"/>
        </w:rPr>
        <w:t>.</w:t>
      </w:r>
      <w:r w:rsidR="00285741" w:rsidRPr="00FB5D72">
        <w:rPr>
          <w:rStyle w:val="FootnoteReference"/>
          <w:noProof/>
          <w:color w:val="000000" w:themeColor="text1"/>
        </w:rPr>
        <w:footnoteReference w:id="188"/>
      </w:r>
      <w:r w:rsidRPr="00FB5D72">
        <w:rPr>
          <w:noProof/>
        </w:rPr>
        <w:t xml:space="preserve"> </w:t>
      </w:r>
      <w:r w:rsidRPr="00FB5D72">
        <w:rPr>
          <w:noProof/>
          <w:color w:val="000000" w:themeColor="text1"/>
        </w:rPr>
        <w:t>Any potential disadvantages for firms still relying on high-emission routes are expected to be temporary, as the gradual increase in low-carbon production reduces cost differentials across the sector. At the same time, the measure will create a more stable and predictable domestic market for European producers, allowing them to secure long-term contracts for low-carbon materials in public works and supported sectors. This internal market stimulus is expected to offset any small decline in export volumes, reinforcing industrial utilisation and accelerating investment recovery.</w:t>
      </w:r>
      <w:r w:rsidR="0916EEB4" w:rsidRPr="00FB5D72">
        <w:rPr>
          <w:noProof/>
          <w:color w:val="000000" w:themeColor="text1"/>
        </w:rPr>
        <w:t xml:space="preserve"> </w:t>
      </w:r>
      <w:r w:rsidR="0916EEB4" w:rsidRPr="00CB36A9">
        <w:rPr>
          <w:noProof/>
          <w:color w:val="000000" w:themeColor="text1"/>
        </w:rPr>
        <w:t xml:space="preserve">In addition, by slightly increasing domestic output and reducing exposure to highly concentrated foreign supply chains in the supported </w:t>
      </w:r>
      <w:r w:rsidR="0916EEB4" w:rsidRPr="00CB36A9">
        <w:rPr>
          <w:noProof/>
          <w:color w:val="000000" w:themeColor="text1"/>
        </w:rPr>
        <w:lastRenderedPageBreak/>
        <w:t>segments, the measure provides a modest economic-security gain, lowering vulnerability to sudden price shifts, coercive practices or export restrictions from dominant suppliers.</w:t>
      </w:r>
    </w:p>
    <w:p w14:paraId="2826DB1D" w14:textId="3FFC4AE2" w:rsidR="00285741" w:rsidRPr="00FB5D72" w:rsidRDefault="00285741">
      <w:pPr>
        <w:pStyle w:val="Text2"/>
        <w:spacing w:after="120"/>
        <w:ind w:left="0"/>
        <w:rPr>
          <w:noProof/>
        </w:rPr>
      </w:pPr>
      <w:r w:rsidRPr="00FB5D72">
        <w:rPr>
          <w:noProof/>
        </w:rPr>
        <w:t>Compared to the baseline, EU-based EIIs – especially the frontrunners – are expected to benefit from the low</w:t>
      </w:r>
      <w:r w:rsidR="00F42FCE" w:rsidRPr="00FB5D72">
        <w:rPr>
          <w:noProof/>
        </w:rPr>
        <w:t>-</w:t>
      </w:r>
      <w:r w:rsidRPr="00FB5D72">
        <w:rPr>
          <w:noProof/>
        </w:rPr>
        <w:t>carbon requirement, however their competitive position would still remain at risk, primarily due to higher operational costs in the EU compared to other global regions.</w:t>
      </w:r>
      <w:r w:rsidRPr="00FB5D72">
        <w:rPr>
          <w:rStyle w:val="FootnoteReference"/>
          <w:noProof/>
        </w:rPr>
        <w:footnoteReference w:id="189"/>
      </w:r>
      <w:r w:rsidRPr="00FB5D72">
        <w:rPr>
          <w:noProof/>
        </w:rPr>
        <w:t xml:space="preserve"> Furthermore, as some sectors, such as steel, are significant exporters, their competitiveness on the global market might be affected to some extent, since customers in third countries may not face the same low-carbon requirements and might not be willing to pay for the green premium. However, requirements under this measure only apply to public procurement, and do not require a 100% shift to low-carbon production in 2030, giving producers flexibility to gradually adapt and ramp up </w:t>
      </w:r>
      <w:r w:rsidRPr="00FB5D72">
        <w:rPr>
          <w:noProof/>
          <w:color w:val="000000" w:themeColor="text1"/>
        </w:rPr>
        <w:t>the</w:t>
      </w:r>
      <w:r w:rsidRPr="00FB5D72">
        <w:rPr>
          <w:noProof/>
        </w:rPr>
        <w:t xml:space="preserve"> low-carbon production. </w:t>
      </w:r>
    </w:p>
    <w:p w14:paraId="75B0C1E5" w14:textId="32B681E3" w:rsidR="00285741" w:rsidRPr="00FB5D72" w:rsidRDefault="00285741">
      <w:pPr>
        <w:pStyle w:val="Text2"/>
        <w:spacing w:after="120"/>
        <w:ind w:left="0"/>
        <w:rPr>
          <w:rFonts w:eastAsia="Calibri"/>
          <w:noProof/>
          <w:color w:val="000000" w:themeColor="text1"/>
        </w:rPr>
      </w:pPr>
      <w:r w:rsidRPr="00FB5D72">
        <w:rPr>
          <w:rFonts w:eastAsia="Calibri"/>
          <w:noProof/>
          <w:color w:val="000000" w:themeColor="text1"/>
        </w:rPr>
        <w:t xml:space="preserve">Looking at the competitiveness of downstream customers, </w:t>
      </w:r>
      <w:r w:rsidRPr="00FB5D72">
        <w:rPr>
          <w:rFonts w:eastAsia="Calibri"/>
          <w:noProof/>
        </w:rPr>
        <w:t>low-carbon requirements would apply indistinctively to all vehicle manufacturers that operate in the Single Market (both domestic and foreign</w:t>
      </w:r>
      <w:r w:rsidRPr="00FB5D72">
        <w:rPr>
          <w:rFonts w:eastAsia="Calibri"/>
          <w:noProof/>
          <w:color w:val="000000" w:themeColor="text1"/>
        </w:rPr>
        <w:t xml:space="preserve">) that intend to participate in public support schemes or procurement. Therefore, the proposed measures will in principle </w:t>
      </w:r>
      <w:r w:rsidRPr="00FB5D72">
        <w:rPr>
          <w:rFonts w:eastAsia="Calibri"/>
          <w:noProof/>
        </w:rPr>
        <w:t>preserve the level-playing field.</w:t>
      </w:r>
      <w:r w:rsidRPr="00FB5D72">
        <w:rPr>
          <w:rFonts w:eastAsia="Calibri"/>
          <w:noProof/>
          <w:color w:val="000000" w:themeColor="text1"/>
        </w:rPr>
        <w:t xml:space="preserve"> </w:t>
      </w:r>
      <w:r w:rsidRPr="00FB5D72">
        <w:rPr>
          <w:noProof/>
        </w:rPr>
        <w:t xml:space="preserve">However, given the significant share of vehicle registrations supported by public support schemes, it is reasonable to expect that introducing low-carbon steel </w:t>
      </w:r>
      <w:r w:rsidR="4271AA9C" w:rsidRPr="00FB5D72">
        <w:rPr>
          <w:noProof/>
        </w:rPr>
        <w:t xml:space="preserve">and aluminium </w:t>
      </w:r>
      <w:r w:rsidRPr="00FB5D72">
        <w:rPr>
          <w:noProof/>
        </w:rPr>
        <w:t xml:space="preserve">requirements as a condition for accessing such support would strongly incentivise vehicle manufacturers to adopt low-carbon materials across a significant part (if not the entirety) of their product portfolio, particularly for models intended for the EU market. At the same time, there is a risk of losing competitiveness on third countries markets, especially if no similar low-carbon policies apply. </w:t>
      </w:r>
    </w:p>
    <w:p w14:paraId="190B70A5" w14:textId="3C2991C5" w:rsidR="00285741" w:rsidRPr="00FB5D72" w:rsidRDefault="00285741">
      <w:pPr>
        <w:pStyle w:val="Text2"/>
        <w:spacing w:after="120"/>
        <w:ind w:left="0"/>
        <w:rPr>
          <w:noProof/>
        </w:rPr>
      </w:pPr>
      <w:r w:rsidRPr="00FB5D72">
        <w:rPr>
          <w:noProof/>
        </w:rPr>
        <w:t xml:space="preserve">Consequently, the absence of similar requirements in other world regions may put – in the short term – EU vehicle manufacturers in a condition of relative cost disadvantage and possible relocation of EU industry. Moreover, the risk of capacity constraints in the low-carbon steel </w:t>
      </w:r>
      <w:r w:rsidR="165B75A5" w:rsidRPr="00FB5D72">
        <w:rPr>
          <w:noProof/>
        </w:rPr>
        <w:t xml:space="preserve">and aluminium </w:t>
      </w:r>
      <w:r w:rsidRPr="00FB5D72">
        <w:rPr>
          <w:noProof/>
        </w:rPr>
        <w:t>supply-chain should not be neglected: the moderate low-carbon ambition tabled under this measure is therefore based on the existing pipeline of projects, to prevent that risk. Besides, as low-carbon production scales up, premiums are projected to decline, reducing the competitiveness gap. In the medium term, the expansion of EU low-carbon capacity and declining green premiums are expected to strengthen the overall competitiveness of the European industrial base, enabling it to compete globally on both cost and sustainability performance.</w:t>
      </w:r>
    </w:p>
    <w:p w14:paraId="66ED268E" w14:textId="5D73F1F0" w:rsidR="00285741" w:rsidRPr="00FB5D72" w:rsidDel="00293CCA" w:rsidRDefault="00285741">
      <w:pPr>
        <w:pStyle w:val="Text2"/>
        <w:spacing w:after="120"/>
        <w:ind w:left="0"/>
        <w:rPr>
          <w:noProof/>
        </w:rPr>
      </w:pPr>
      <w:r w:rsidRPr="00FB5D72">
        <w:rPr>
          <w:b/>
          <w:bCs/>
          <w:noProof/>
        </w:rPr>
        <w:t xml:space="preserve">LEAD_BAT 1 / LEAD_SOL 1– </w:t>
      </w:r>
      <w:r w:rsidRPr="00FB5D72">
        <w:rPr>
          <w:noProof/>
        </w:rPr>
        <w:t xml:space="preserve">Such measures would clearly </w:t>
      </w:r>
      <w:r w:rsidRPr="00FB5D72" w:rsidDel="545C8C3C">
        <w:rPr>
          <w:noProof/>
        </w:rPr>
        <w:t>benefit</w:t>
      </w:r>
      <w:r w:rsidRPr="00FB5D72">
        <w:rPr>
          <w:noProof/>
        </w:rPr>
        <w:t xml:space="preserve"> the</w:t>
      </w:r>
      <w:r w:rsidRPr="00FB5D72" w:rsidDel="545C8C3C">
        <w:rPr>
          <w:noProof/>
        </w:rPr>
        <w:t xml:space="preserve"> </w:t>
      </w:r>
      <w:r w:rsidRPr="00FB5D72">
        <w:rPr>
          <w:noProof/>
        </w:rPr>
        <w:t>situation of EU-based batteries</w:t>
      </w:r>
      <w:r w:rsidR="00CD672A" w:rsidRPr="00FB5D72">
        <w:rPr>
          <w:noProof/>
        </w:rPr>
        <w:t xml:space="preserve"> and</w:t>
      </w:r>
      <w:r w:rsidRPr="00FB5D72">
        <w:rPr>
          <w:noProof/>
        </w:rPr>
        <w:t xml:space="preserve"> solar industry, creating the conditions to reinforce their competitiveness. In the case of solar PV, introducing </w:t>
      </w:r>
      <w:r w:rsidR="00E83DDC" w:rsidRPr="00FB5D72">
        <w:rPr>
          <w:noProof/>
        </w:rPr>
        <w:t>Made in EU</w:t>
      </w:r>
      <w:r w:rsidRPr="00FB5D72">
        <w:rPr>
          <w:noProof/>
        </w:rPr>
        <w:t xml:space="preserve"> requirements for only a subset of the main components can limit the production cost difference with fully Chinese PV systems, since some components can be sourced in third countries. For example, producing a PV system with three EU-made components, including the module and cell, while relying on Chinese polysilicon, ingots, and wafers, would reduce the average cost to </w:t>
      </w:r>
      <w:r w:rsidRPr="00FB5D72" w:rsidDel="008A4286">
        <w:rPr>
          <w:noProof/>
        </w:rPr>
        <w:t>19 </w:t>
      </w:r>
      <w:r w:rsidRPr="00FB5D72">
        <w:rPr>
          <w:noProof/>
        </w:rPr>
        <w:t>€c/Watt-peak for a compliant PV system under LEAD_</w:t>
      </w:r>
      <w:r w:rsidRPr="00FB5D72" w:rsidDel="008A4286">
        <w:rPr>
          <w:noProof/>
        </w:rPr>
        <w:t>SOL</w:t>
      </w:r>
      <w:r w:rsidRPr="00FB5D72">
        <w:rPr>
          <w:noProof/>
        </w:rPr>
        <w:t xml:space="preserve"> 1. Under LEAD_BAT 1, EU based battery manufacturers would benefit from an increased demand for EU made batteries through public procurement and public auctions, while also reducing the cost gap with battery imports which will cease to receive public subsidies. </w:t>
      </w:r>
      <w:r w:rsidR="008B5963" w:rsidRPr="00CB36A9">
        <w:rPr>
          <w:noProof/>
        </w:rPr>
        <w:t>These competitiveness gains also translate into a modest improvement in economic security, as a larger share of Europe’s demand would be met by domestic production rather than from highly concentrated foreign supply chains, reducing vulnerability to external price shocks, export restrictions or other coercive practices affecting strategic inputs.</w:t>
      </w:r>
      <w:r w:rsidR="008B5963" w:rsidRPr="00FB5D72">
        <w:rPr>
          <w:noProof/>
        </w:rPr>
        <w:t xml:space="preserve"> </w:t>
      </w:r>
      <w:r w:rsidRPr="00FB5D72">
        <w:rPr>
          <w:noProof/>
        </w:rPr>
        <w:t xml:space="preserve">When increasing the cost of power generation technologies, this may also have a </w:t>
      </w:r>
      <w:r w:rsidRPr="00FB5D72">
        <w:rPr>
          <w:noProof/>
        </w:rPr>
        <w:lastRenderedPageBreak/>
        <w:t>moderate impact on clean energy deployment in the short term, and indirectly on the cost of electricity. However, electricity prices remain very largely determined by other components, such as the marginal source (usually gas).</w:t>
      </w:r>
    </w:p>
    <w:p w14:paraId="32ED13C4" w14:textId="6BB85CE0" w:rsidR="00285741" w:rsidRPr="00FB5D72" w:rsidRDefault="00285741">
      <w:pPr>
        <w:pStyle w:val="Text2"/>
        <w:spacing w:after="120"/>
        <w:ind w:left="0"/>
        <w:rPr>
          <w:noProof/>
        </w:rPr>
      </w:pPr>
      <w:r w:rsidRPr="00FB5D72">
        <w:rPr>
          <w:b/>
          <w:noProof/>
        </w:rPr>
        <w:t>LEAD_VC 1</w:t>
      </w:r>
      <w:r w:rsidRPr="00FB5D72">
        <w:rPr>
          <w:noProof/>
        </w:rPr>
        <w:t xml:space="preserve"> – The</w:t>
      </w:r>
      <w:bookmarkStart w:id="72" w:name="_Hlk212578694"/>
      <w:r w:rsidRPr="00FB5D72">
        <w:rPr>
          <w:noProof/>
        </w:rPr>
        <w:t xml:space="preserve"> measures would create a stable lead market in the EU for European component manufacturers, leading to a stronger business case for manufacturing in the EU and providing European suppliers with greater scale and industrial capacities to compete on the global markets. The EU local requirement for EVs could gradually increase the reshoring of the global value chain and increase the EU production capacity to meet the new requirements. </w:t>
      </w:r>
      <w:r w:rsidR="009C0BDB" w:rsidRPr="00CB36A9">
        <w:rPr>
          <w:noProof/>
        </w:rPr>
        <w:t>This gradual increase in domestic component production also brings a small but relevant economic security benefit, as reduced dependence on extra-EU suppliers in highly concentrated segments of the EV value chain lowers exposure to supply disruptions, price manipulation and other external shocks.</w:t>
      </w:r>
    </w:p>
    <w:p w14:paraId="4C1C1B8C" w14:textId="034F4C88" w:rsidR="00285741" w:rsidRPr="00FB5D72" w:rsidRDefault="00285741">
      <w:pPr>
        <w:pStyle w:val="Text2"/>
        <w:spacing w:after="120"/>
        <w:ind w:left="0"/>
        <w:rPr>
          <w:noProof/>
        </w:rPr>
      </w:pPr>
      <w:r w:rsidRPr="00FB5D72">
        <w:rPr>
          <w:noProof/>
        </w:rPr>
        <w:t xml:space="preserve">The competitiveness effects on EU car manufacturers are also positive. On the EU market for EVs, EU car manufacturers could benefit from the policy as it creates a positive price differential vis-à-vis non-EU car manufacturers. The measure also reduces foreign competition, as the </w:t>
      </w:r>
      <w:r w:rsidR="00EB3532" w:rsidRPr="00FB5D72">
        <w:rPr>
          <w:noProof/>
        </w:rPr>
        <w:t>Made in EU</w:t>
      </w:r>
      <w:r w:rsidRPr="00FB5D72">
        <w:rPr>
          <w:noProof/>
        </w:rPr>
        <w:t xml:space="preserve"> requirements are likely to be more difficult to meet for non-EU car manufacturers as the initial level of </w:t>
      </w:r>
      <w:r w:rsidR="00EB3532" w:rsidRPr="00FB5D72">
        <w:rPr>
          <w:noProof/>
        </w:rPr>
        <w:t>Made in EU</w:t>
      </w:r>
      <w:r w:rsidRPr="00FB5D72">
        <w:rPr>
          <w:noProof/>
        </w:rPr>
        <w:t xml:space="preserve"> in their EVs is lower and they will likely not be eligible for subsidies. The effect will depend on the capacity of non-EU car manufacturers to absorb the non-eligibility of subsidies. </w:t>
      </w:r>
    </w:p>
    <w:bookmarkEnd w:id="72"/>
    <w:p w14:paraId="6D599F6D" w14:textId="77777777" w:rsidR="00285741" w:rsidRPr="00FB5D72" w:rsidRDefault="00285741">
      <w:pPr>
        <w:pStyle w:val="Text2"/>
        <w:spacing w:after="120"/>
        <w:ind w:left="0"/>
        <w:rPr>
          <w:noProof/>
          <w:szCs w:val="24"/>
        </w:rPr>
      </w:pPr>
      <w:r w:rsidRPr="00FB5D72">
        <w:rPr>
          <w:noProof/>
        </w:rPr>
        <w:t xml:space="preserve">On the non-EU market for EVs, EU car manufacturers would not be impacted as they only need to comply on the domestic market and can differentiate their production based on the destination market of each product. </w:t>
      </w:r>
      <w:r w:rsidRPr="00FB5D72">
        <w:rPr>
          <w:noProof/>
          <w:szCs w:val="24"/>
        </w:rPr>
        <w:t>This assessment does not focus on potential action taken by trade partners in response, which are described below.</w:t>
      </w:r>
    </w:p>
    <w:p w14:paraId="22460313" w14:textId="4EBAB4F2" w:rsidR="00285741" w:rsidRPr="00FB5D72" w:rsidRDefault="00285741">
      <w:pPr>
        <w:pStyle w:val="Text2"/>
        <w:spacing w:after="120"/>
        <w:ind w:left="0"/>
        <w:rPr>
          <w:noProof/>
        </w:rPr>
      </w:pPr>
      <w:r w:rsidRPr="00CB36A9">
        <w:rPr>
          <w:b/>
          <w:noProof/>
        </w:rPr>
        <w:t>INV 1</w:t>
      </w:r>
      <w:r w:rsidRPr="00CB36A9">
        <w:rPr>
          <w:noProof/>
        </w:rPr>
        <w:t xml:space="preserve"> would </w:t>
      </w:r>
      <w:r w:rsidR="00FA32FA" w:rsidRPr="00CB36A9">
        <w:rPr>
          <w:noProof/>
        </w:rPr>
        <w:t xml:space="preserve">have limited impact on </w:t>
      </w:r>
      <w:r w:rsidRPr="00CB36A9">
        <w:rPr>
          <w:noProof/>
        </w:rPr>
        <w:t>the competitiveness of EU industries in scope</w:t>
      </w:r>
      <w:r w:rsidR="00FA32FA" w:rsidRPr="00CB36A9">
        <w:rPr>
          <w:noProof/>
        </w:rPr>
        <w:t>, as any effect depends on whether Member States choose to apply the guidance</w:t>
      </w:r>
      <w:r w:rsidRPr="00CB36A9">
        <w:rPr>
          <w:noProof/>
        </w:rPr>
        <w:t xml:space="preserve">. </w:t>
      </w:r>
      <w:r w:rsidR="004B6D94" w:rsidRPr="00CB36A9">
        <w:rPr>
          <w:noProof/>
        </w:rPr>
        <w:t>Where implemented, voluntary conditions may encourage some investors to embed more activities locally, which could support specific value-chain segments. However, these effects would be uneven, modest in scale, and constrained by the ability of investors to avoid such conditions entirely by locating in more permissive Member States.</w:t>
      </w:r>
    </w:p>
    <w:p w14:paraId="72F0A7B9" w14:textId="77777777" w:rsidR="00285741" w:rsidRPr="00FB5D72" w:rsidRDefault="00285741">
      <w:pPr>
        <w:pStyle w:val="Text2"/>
        <w:spacing w:after="120"/>
        <w:ind w:left="0"/>
        <w:rPr>
          <w:noProof/>
        </w:rPr>
      </w:pPr>
      <w:r w:rsidRPr="00FB5D72">
        <w:rPr>
          <w:b/>
          <w:bCs/>
          <w:noProof/>
        </w:rPr>
        <w:t xml:space="preserve">PERM 1 - </w:t>
      </w:r>
      <w:r w:rsidRPr="00FB5D72">
        <w:rPr>
          <w:noProof/>
        </w:rPr>
        <w:t xml:space="preserve">Implementing the SDG will reduce the cost of doing business in the Single Market, administrative frictions, obstacles and therefore improve the overall competitiveness of businesses by facilitating cross-border administrative operations. </w:t>
      </w:r>
    </w:p>
    <w:p w14:paraId="5E377B43" w14:textId="59751E2D" w:rsidR="60AA7DD9" w:rsidRPr="00FB5D72" w:rsidRDefault="60AA7DD9" w:rsidP="60AA7DD9">
      <w:pPr>
        <w:pStyle w:val="Text2"/>
        <w:spacing w:after="120"/>
        <w:ind w:left="0"/>
        <w:rPr>
          <w:noProof/>
        </w:rPr>
      </w:pPr>
    </w:p>
    <w:p w14:paraId="1F9E2804" w14:textId="225C34A3" w:rsidR="4F84EED7" w:rsidRPr="00FB5D72" w:rsidRDefault="00285741" w:rsidP="60AA7DD9">
      <w:pPr>
        <w:pStyle w:val="Heading4"/>
        <w:spacing w:before="0" w:after="0"/>
        <w:ind w:left="0" w:firstLine="130"/>
        <w:rPr>
          <w:b/>
          <w:noProof/>
          <w:color w:val="auto"/>
        </w:rPr>
      </w:pPr>
      <w:r w:rsidRPr="00FB5D72">
        <w:rPr>
          <w:b/>
          <w:noProof/>
          <w:color w:val="auto"/>
        </w:rPr>
        <w:t>Impact on competition</w:t>
      </w:r>
    </w:p>
    <w:p w14:paraId="5A6B9789" w14:textId="72D239CE" w:rsidR="60AA7DD9" w:rsidRPr="00FB5D72" w:rsidRDefault="60AA7DD9" w:rsidP="60AA7DD9">
      <w:pPr>
        <w:pStyle w:val="Text2"/>
        <w:spacing w:after="120"/>
        <w:ind w:left="0"/>
        <w:rPr>
          <w:b/>
          <w:bCs/>
          <w:noProof/>
        </w:rPr>
      </w:pPr>
    </w:p>
    <w:p w14:paraId="03B66EB2" w14:textId="77777777" w:rsidR="00285741" w:rsidRPr="00CB36A9" w:rsidRDefault="00285741" w:rsidP="60AA7DD9">
      <w:pPr>
        <w:pStyle w:val="Text2"/>
        <w:spacing w:after="120"/>
        <w:ind w:left="0"/>
        <w:rPr>
          <w:noProof/>
        </w:rPr>
      </w:pPr>
      <w:r w:rsidRPr="00FB5D72">
        <w:rPr>
          <w:b/>
          <w:bCs/>
          <w:noProof/>
        </w:rPr>
        <w:t>LEAD_EII 1</w:t>
      </w:r>
      <w:r w:rsidRPr="00FB5D72">
        <w:rPr>
          <w:noProof/>
        </w:rPr>
        <w:t xml:space="preserve"> - Low-carbon requirements would apply uniformly to all participants in public procurement procedures and beneficiaries of public support schemes, ensuring that manufacturers of energy-intensive materials and downstream producers compete on equal terms. As such, the measure is not expected to distort competition among market participants that meet the low-carbon requirements, as long as strong and reliable verification mechanisms are in place.</w:t>
      </w:r>
    </w:p>
    <w:p w14:paraId="08C16042" w14:textId="38B1B275" w:rsidR="00285741" w:rsidRPr="00FB5D72" w:rsidRDefault="00285741" w:rsidP="00CB36A9">
      <w:pPr>
        <w:pStyle w:val="Text2"/>
        <w:spacing w:after="120"/>
        <w:ind w:left="0"/>
        <w:rPr>
          <w:noProof/>
        </w:rPr>
      </w:pPr>
      <w:r w:rsidRPr="00FB5D72">
        <w:rPr>
          <w:b/>
          <w:bCs/>
          <w:noProof/>
        </w:rPr>
        <w:t>LEAD_BAT 1 / LEAD_SOL 1</w:t>
      </w:r>
      <w:r w:rsidRPr="00FB5D72">
        <w:rPr>
          <w:noProof/>
        </w:rPr>
        <w:t xml:space="preserve"> Introducing </w:t>
      </w:r>
      <w:r w:rsidR="00E83DDC" w:rsidRPr="00FB5D72">
        <w:rPr>
          <w:noProof/>
        </w:rPr>
        <w:t>Made in EU</w:t>
      </w:r>
      <w:r w:rsidRPr="00FB5D72">
        <w:rPr>
          <w:noProof/>
        </w:rPr>
        <w:t xml:space="preserve"> requirements is likely to reduce the overall pool of competitors for the segments targeted in this PO. As the number of EU businesses active in PV manufacturing is currently limited (approximately 150)</w:t>
      </w:r>
      <w:r w:rsidRPr="00FB5D72">
        <w:rPr>
          <w:rStyle w:val="FootnoteReference"/>
          <w:noProof/>
        </w:rPr>
        <w:footnoteReference w:id="190"/>
      </w:r>
      <w:r w:rsidRPr="00FB5D72">
        <w:rPr>
          <w:noProof/>
        </w:rPr>
        <w:t xml:space="preserve">, such </w:t>
      </w:r>
      <w:r w:rsidRPr="00FB5D72">
        <w:rPr>
          <w:noProof/>
        </w:rPr>
        <w:lastRenderedPageBreak/>
        <w:t xml:space="preserve">requirements may initially lead to a concentration of the market among a smaller number of players. However, as investments in the European manufacturing landscape are expected to increase, new players (including through FDI) are likely to enter the market. Competition would, in this scenario, be limited to manufacturers with production located in Europe, who, </w:t>
      </w:r>
      <w:r w:rsidR="005F3121" w:rsidRPr="00FB5D72">
        <w:rPr>
          <w:noProof/>
        </w:rPr>
        <w:t>to</w:t>
      </w:r>
      <w:r w:rsidRPr="00FB5D72">
        <w:rPr>
          <w:noProof/>
        </w:rPr>
        <w:t xml:space="preserve"> be competitive, would be expected to build up GW-scale capacities. This would result in fewer but larger players, rather than many small ones. Nevertheless, competition among these manufacturers is expected to ensure competitive pricing. Another key consequence is that this PO would ensure that Europe can at least partly rely on domestic technologies and jobs, which is essential to achieving climate objectives while reducing the risks associated with external dependencies.</w:t>
      </w:r>
    </w:p>
    <w:p w14:paraId="7D96834A" w14:textId="4793A278" w:rsidR="00285741" w:rsidRPr="00FB5D72" w:rsidRDefault="00285741" w:rsidP="009D31EA">
      <w:pPr>
        <w:pStyle w:val="Text2"/>
        <w:spacing w:before="240" w:after="120"/>
        <w:ind w:left="0"/>
        <w:rPr>
          <w:noProof/>
        </w:rPr>
      </w:pPr>
      <w:r w:rsidRPr="00FB5D72">
        <w:rPr>
          <w:b/>
          <w:bCs/>
          <w:noProof/>
        </w:rPr>
        <w:t>LEAD_VC 1</w:t>
      </w:r>
      <w:r w:rsidRPr="00FB5D72">
        <w:rPr>
          <w:noProof/>
        </w:rPr>
        <w:t xml:space="preserve"> – The effects of the policy on total sales and consumer welfare depend on the level of market competition on both the supplier and final producer sides. There is a certain risk of captive market for vehicle components, however, it is considered unlikely given the dependence of suppliers from vehicle manufacturers. Regarding the EV producers, the EU EV car manufacturers will have a competitive advantage with respect to non-EU car manufacturers. However, if the EV market is very competitive, non-EU EV car manufacturers will absorb a share of their price increase to not pass through the full price increase to EU final consumers. As there are no market entry barriers, and given the overcapacity of supply in China, non-EU EV manufacturers are likely to compensate with aggressive discounts, hence competition would remain. </w:t>
      </w:r>
    </w:p>
    <w:p w14:paraId="12379A62" w14:textId="7CBD02C0" w:rsidR="00285741" w:rsidRDefault="00285741">
      <w:pPr>
        <w:pStyle w:val="Text2"/>
        <w:tabs>
          <w:tab w:val="clear" w:pos="2302"/>
          <w:tab w:val="left" w:pos="1701"/>
        </w:tabs>
        <w:ind w:left="0"/>
        <w:rPr>
          <w:noProof/>
        </w:rPr>
      </w:pPr>
      <w:r w:rsidRPr="00CB36A9">
        <w:rPr>
          <w:b/>
          <w:noProof/>
        </w:rPr>
        <w:t>INV 1</w:t>
      </w:r>
      <w:r w:rsidRPr="00CB36A9">
        <w:rPr>
          <w:noProof/>
        </w:rPr>
        <w:t xml:space="preserve"> - Attracting FDI is important to strengthen innovation and competition in the Single Market. Since the measure is voluntary, implementation may remain </w:t>
      </w:r>
      <w:r w:rsidR="00B40516" w:rsidRPr="00CB36A9">
        <w:rPr>
          <w:noProof/>
        </w:rPr>
        <w:t xml:space="preserve">highly </w:t>
      </w:r>
      <w:r w:rsidRPr="00CB36A9">
        <w:rPr>
          <w:noProof/>
        </w:rPr>
        <w:t xml:space="preserve">uneven across </w:t>
      </w:r>
      <w:r w:rsidR="004F4963" w:rsidRPr="00CB36A9">
        <w:rPr>
          <w:noProof/>
        </w:rPr>
        <w:t>Member States</w:t>
      </w:r>
      <w:r w:rsidRPr="00CB36A9">
        <w:rPr>
          <w:noProof/>
        </w:rPr>
        <w:t>. Restrictive measures under conditionalities (</w:t>
      </w:r>
      <w:r w:rsidR="00E875EF" w:rsidRPr="00CB36A9">
        <w:rPr>
          <w:noProof/>
        </w:rPr>
        <w:t>a</w:t>
      </w:r>
      <w:r w:rsidRPr="00CB36A9">
        <w:rPr>
          <w:noProof/>
        </w:rPr>
        <w:t>) and (</w:t>
      </w:r>
      <w:r w:rsidR="00E875EF" w:rsidRPr="00CB36A9">
        <w:rPr>
          <w:noProof/>
        </w:rPr>
        <w:t>b</w:t>
      </w:r>
      <w:r w:rsidRPr="00CB36A9">
        <w:rPr>
          <w:noProof/>
        </w:rPr>
        <w:t>) may limit companies’ freedom in supply chain choices</w:t>
      </w:r>
      <w:r w:rsidR="00DA17AC" w:rsidRPr="00CB36A9">
        <w:rPr>
          <w:noProof/>
        </w:rPr>
        <w:t>. Where applied, certain conditions could marginally influence investors’ operational choices, but these effects would be limited and geographically concentrated. The ability of investors to choose Member States applying fewer conditions (or none at all) would encourage regulatory arbitrage and sustain divergent competitive environments across the Union, rather than ensuring a level playing field.</w:t>
      </w:r>
    </w:p>
    <w:p w14:paraId="7A2A55AC" w14:textId="77777777" w:rsidR="00285741" w:rsidRPr="00B44BC4" w:rsidRDefault="00285741" w:rsidP="00285741">
      <w:pPr>
        <w:pStyle w:val="Heading4"/>
        <w:numPr>
          <w:ilvl w:val="3"/>
          <w:numId w:val="64"/>
        </w:numPr>
        <w:spacing w:before="0" w:after="0"/>
        <w:ind w:left="0" w:firstLine="130"/>
        <w:rPr>
          <w:b/>
          <w:noProof/>
          <w:color w:val="auto"/>
        </w:rPr>
      </w:pPr>
      <w:r w:rsidRPr="00B44BC4">
        <w:rPr>
          <w:b/>
          <w:noProof/>
          <w:color w:val="auto"/>
        </w:rPr>
        <w:t>Impact on international trade</w:t>
      </w:r>
    </w:p>
    <w:p w14:paraId="4525B0E7" w14:textId="56647AF5" w:rsidR="00285741" w:rsidRPr="00EB6B04" w:rsidRDefault="00285741">
      <w:pPr>
        <w:pStyle w:val="Text2"/>
        <w:spacing w:before="240" w:after="120"/>
        <w:ind w:left="0"/>
        <w:rPr>
          <w:noProof/>
        </w:rPr>
      </w:pPr>
      <w:r>
        <w:rPr>
          <w:b/>
          <w:bCs/>
          <w:noProof/>
        </w:rPr>
        <w:t xml:space="preserve">LEAD_EII 1 </w:t>
      </w:r>
      <w:r>
        <w:rPr>
          <w:noProof/>
        </w:rPr>
        <w:t xml:space="preserve">is expected to shift trade flows only modestly, increasing </w:t>
      </w:r>
      <w:r w:rsidRPr="00C54E3E">
        <w:rPr>
          <w:noProof/>
        </w:rPr>
        <w:t xml:space="preserve">trade with producers of low-carbon materials while </w:t>
      </w:r>
      <w:r>
        <w:rPr>
          <w:noProof/>
        </w:rPr>
        <w:t>reducing demand</w:t>
      </w:r>
      <w:r w:rsidRPr="00C54E3E">
        <w:rPr>
          <w:noProof/>
        </w:rPr>
        <w:t xml:space="preserve"> </w:t>
      </w:r>
      <w:r>
        <w:rPr>
          <w:noProof/>
        </w:rPr>
        <w:t>for</w:t>
      </w:r>
      <w:r w:rsidRPr="00C54E3E">
        <w:rPr>
          <w:noProof/>
        </w:rPr>
        <w:t xml:space="preserve"> high-carbon </w:t>
      </w:r>
      <w:r>
        <w:rPr>
          <w:noProof/>
        </w:rPr>
        <w:t>alternatives.</w:t>
      </w:r>
      <w:r w:rsidRPr="00C54E3E">
        <w:rPr>
          <w:noProof/>
        </w:rPr>
        <w:t xml:space="preserve"> </w:t>
      </w:r>
      <w:r w:rsidRPr="00B13C16">
        <w:rPr>
          <w:noProof/>
        </w:rPr>
        <w:t xml:space="preserve">Low-carbon steel </w:t>
      </w:r>
      <w:r w:rsidR="449A2FD8">
        <w:rPr>
          <w:noProof/>
        </w:rPr>
        <w:t xml:space="preserve">and low-carbon aluminium </w:t>
      </w:r>
      <w:r>
        <w:rPr>
          <w:noProof/>
        </w:rPr>
        <w:t xml:space="preserve">or, to a lesser extent, cement </w:t>
      </w:r>
      <w:r w:rsidRPr="00B13C16">
        <w:rPr>
          <w:noProof/>
        </w:rPr>
        <w:t xml:space="preserve">produced in non-EU countries would likely be redirected to the EU, to meet such </w:t>
      </w:r>
      <w:r>
        <w:rPr>
          <w:noProof/>
        </w:rPr>
        <w:t xml:space="preserve">requirements in public procurement and support schemes. </w:t>
      </w:r>
      <w:r w:rsidRPr="0032328D">
        <w:rPr>
          <w:noProof/>
        </w:rPr>
        <w:t xml:space="preserve">While cement trade at the borders of the EU increased since the 2008 crisis, </w:t>
      </w:r>
      <w:r>
        <w:rPr>
          <w:noProof/>
        </w:rPr>
        <w:t>v</w:t>
      </w:r>
      <w:r w:rsidRPr="0032328D">
        <w:rPr>
          <w:noProof/>
        </w:rPr>
        <w:t xml:space="preserve">olumes traded remain marginal with the EU cement industry remaining a net exporter. </w:t>
      </w:r>
    </w:p>
    <w:p w14:paraId="52006CDA" w14:textId="77777777" w:rsidR="00285741" w:rsidRDefault="00285741">
      <w:pPr>
        <w:pStyle w:val="Text2"/>
        <w:spacing w:after="120"/>
        <w:ind w:left="0"/>
        <w:rPr>
          <w:noProof/>
        </w:rPr>
      </w:pPr>
      <w:r w:rsidRPr="5D042B50">
        <w:rPr>
          <w:b/>
          <w:bCs/>
          <w:noProof/>
        </w:rPr>
        <w:t>LEAD_B</w:t>
      </w:r>
      <w:r>
        <w:rPr>
          <w:b/>
          <w:bCs/>
          <w:noProof/>
        </w:rPr>
        <w:t>A</w:t>
      </w:r>
      <w:r w:rsidRPr="5D042B50">
        <w:rPr>
          <w:b/>
          <w:bCs/>
          <w:noProof/>
        </w:rPr>
        <w:t xml:space="preserve">T 1 / LEAD_SOL </w:t>
      </w:r>
      <w:r>
        <w:rPr>
          <w:b/>
          <w:bCs/>
          <w:noProof/>
        </w:rPr>
        <w:t>1</w:t>
      </w:r>
      <w:r w:rsidRPr="5D042B50">
        <w:rPr>
          <w:b/>
          <w:bCs/>
          <w:noProof/>
        </w:rPr>
        <w:t xml:space="preserve"> / LEAD_VC 1 </w:t>
      </w:r>
      <w:r w:rsidRPr="000272AD">
        <w:rPr>
          <w:noProof/>
        </w:rPr>
        <w:t xml:space="preserve">would likely reduce the import of solar PV cells and modules, batteries and their key components and vehicle components from non-EU countries, particularly from </w:t>
      </w:r>
      <w:r w:rsidRPr="00E447EE">
        <w:rPr>
          <w:noProof/>
        </w:rPr>
        <w:t xml:space="preserve">the </w:t>
      </w:r>
      <w:r>
        <w:rPr>
          <w:noProof/>
        </w:rPr>
        <w:t>single most dominant supplier, China</w:t>
      </w:r>
      <w:r w:rsidRPr="00E447EE">
        <w:rPr>
          <w:noProof/>
        </w:rPr>
        <w:t xml:space="preserve">, but also, from other partner countries. </w:t>
      </w:r>
    </w:p>
    <w:p w14:paraId="755CC65A" w14:textId="77777777" w:rsidR="00285741" w:rsidRDefault="00285741">
      <w:pPr>
        <w:pStyle w:val="Text2"/>
        <w:spacing w:after="120"/>
        <w:ind w:left="0"/>
        <w:rPr>
          <w:noProof/>
        </w:rPr>
      </w:pPr>
      <w:r w:rsidRPr="00E447EE">
        <w:rPr>
          <w:noProof/>
        </w:rPr>
        <w:t>The trade balance for solar products could thus impr</w:t>
      </w:r>
      <w:r w:rsidRPr="000272AD">
        <w:rPr>
          <w:noProof/>
        </w:rPr>
        <w:t xml:space="preserve">ove for the EU. The requirements could encourage FDI into the EU's manufacturing sector as companies look to set up operations within the region. This reconfiguration could impact the geography and logistics of global solar, battery and vehicle component supply chains, as global suppliers adapt their supply chains to comply with EU requirements. It would also boost the EU’s environmental ambition by reinforcing key supply chains for clean energy and mobility transitions. </w:t>
      </w:r>
    </w:p>
    <w:p w14:paraId="03325EC3" w14:textId="16BA9C40" w:rsidR="00285741" w:rsidRPr="00FB5D72" w:rsidRDefault="00285741">
      <w:pPr>
        <w:pStyle w:val="Text2"/>
        <w:spacing w:after="120"/>
        <w:ind w:left="0"/>
        <w:rPr>
          <w:noProof/>
        </w:rPr>
      </w:pPr>
      <w:r w:rsidRPr="50F259C5">
        <w:rPr>
          <w:b/>
          <w:bCs/>
          <w:noProof/>
        </w:rPr>
        <w:lastRenderedPageBreak/>
        <w:t>LEAD_VC</w:t>
      </w:r>
      <w:r w:rsidR="00DA17AC">
        <w:rPr>
          <w:b/>
          <w:bCs/>
          <w:noProof/>
        </w:rPr>
        <w:t xml:space="preserve"> </w:t>
      </w:r>
      <w:r w:rsidRPr="50F259C5">
        <w:rPr>
          <w:b/>
          <w:bCs/>
          <w:noProof/>
        </w:rPr>
        <w:t>1</w:t>
      </w:r>
      <w:r w:rsidRPr="006524B2">
        <w:rPr>
          <w:noProof/>
        </w:rPr>
        <w:t xml:space="preserve">, </w:t>
      </w:r>
      <w:r>
        <w:rPr>
          <w:noProof/>
        </w:rPr>
        <w:t>i</w:t>
      </w:r>
      <w:r w:rsidRPr="00893E3D">
        <w:rPr>
          <w:noProof/>
        </w:rPr>
        <w:t xml:space="preserve">ntroducing </w:t>
      </w:r>
      <w:r>
        <w:rPr>
          <w:noProof/>
        </w:rPr>
        <w:t>a minimum share of</w:t>
      </w:r>
      <w:r w:rsidRPr="00893E3D">
        <w:rPr>
          <w:noProof/>
        </w:rPr>
        <w:t xml:space="preserve"> </w:t>
      </w:r>
      <w:r w:rsidR="00E83DDC">
        <w:rPr>
          <w:noProof/>
        </w:rPr>
        <w:t>Made in EU</w:t>
      </w:r>
      <w:r w:rsidRPr="00893E3D">
        <w:rPr>
          <w:noProof/>
        </w:rPr>
        <w:t xml:space="preserve"> requirements for</w:t>
      </w:r>
      <w:r>
        <w:rPr>
          <w:noProof/>
        </w:rPr>
        <w:t xml:space="preserve"> EVs</w:t>
      </w:r>
      <w:r w:rsidRPr="00893E3D">
        <w:rPr>
          <w:noProof/>
        </w:rPr>
        <w:t xml:space="preserve"> sold in the Union</w:t>
      </w:r>
      <w:r>
        <w:rPr>
          <w:noProof/>
        </w:rPr>
        <w:t xml:space="preserve">, as </w:t>
      </w:r>
      <w:r w:rsidRPr="00893E3D">
        <w:rPr>
          <w:noProof/>
        </w:rPr>
        <w:t xml:space="preserve">a </w:t>
      </w:r>
      <w:r>
        <w:rPr>
          <w:noProof/>
        </w:rPr>
        <w:t xml:space="preserve">condition to access public procurements and subsidies, </w:t>
      </w:r>
      <w:r w:rsidRPr="00893E3D">
        <w:rPr>
          <w:noProof/>
        </w:rPr>
        <w:t>presents an opportunity to accelerate localisation, increase EU resilience, and reduce vulnerability to potential export restrictions or geopolitical leverage from dominant suppliers</w:t>
      </w:r>
      <w:r>
        <w:rPr>
          <w:noProof/>
        </w:rPr>
        <w:t xml:space="preserve"> and level playing field, taking into account local content </w:t>
      </w:r>
      <w:r w:rsidR="00AB55C8">
        <w:rPr>
          <w:noProof/>
        </w:rPr>
        <w:t xml:space="preserve">requirements </w:t>
      </w:r>
      <w:r>
        <w:rPr>
          <w:noProof/>
        </w:rPr>
        <w:t>applied on other markets</w:t>
      </w:r>
      <w:r w:rsidRPr="00893E3D">
        <w:rPr>
          <w:noProof/>
        </w:rPr>
        <w:t xml:space="preserve">. </w:t>
      </w:r>
      <w:r>
        <w:rPr>
          <w:noProof/>
        </w:rPr>
        <w:t>This</w:t>
      </w:r>
      <w:r w:rsidRPr="00893E3D">
        <w:rPr>
          <w:noProof/>
        </w:rPr>
        <w:t xml:space="preserve"> </w:t>
      </w:r>
      <w:r>
        <w:rPr>
          <w:noProof/>
        </w:rPr>
        <w:t>could</w:t>
      </w:r>
      <w:r w:rsidRPr="00893E3D">
        <w:rPr>
          <w:noProof/>
        </w:rPr>
        <w:t xml:space="preserve"> have a</w:t>
      </w:r>
      <w:r>
        <w:rPr>
          <w:noProof/>
        </w:rPr>
        <w:t>n</w:t>
      </w:r>
      <w:r w:rsidRPr="00893E3D">
        <w:rPr>
          <w:noProof/>
        </w:rPr>
        <w:t xml:space="preserve"> </w:t>
      </w:r>
      <w:r>
        <w:rPr>
          <w:noProof/>
        </w:rPr>
        <w:t>in</w:t>
      </w:r>
      <w:r w:rsidRPr="00893E3D">
        <w:rPr>
          <w:noProof/>
        </w:rPr>
        <w:t>direct effect on international trade</w:t>
      </w:r>
      <w:r>
        <w:rPr>
          <w:noProof/>
        </w:rPr>
        <w:t>, however,</w:t>
      </w:r>
      <w:r w:rsidRPr="00893E3D">
        <w:rPr>
          <w:noProof/>
        </w:rPr>
        <w:t xml:space="preserve"> </w:t>
      </w:r>
      <w:r>
        <w:rPr>
          <w:noProof/>
        </w:rPr>
        <w:t xml:space="preserve">given the attractiveness of the single market and the global nature of most vehicles manufacturers, foreign </w:t>
      </w:r>
      <w:r w:rsidRPr="00893E3D">
        <w:rPr>
          <w:noProof/>
        </w:rPr>
        <w:t>producers would have a strong incentive to adapt, either by reconfiguring supply chains or by investing in local production to meet the requirement</w:t>
      </w:r>
      <w:r>
        <w:rPr>
          <w:noProof/>
        </w:rPr>
        <w:t xml:space="preserve"> (also thanks to FDI </w:t>
      </w:r>
      <w:r w:rsidRPr="00FB5D72">
        <w:rPr>
          <w:noProof/>
        </w:rPr>
        <w:t xml:space="preserve">conditionalities, if applied by the Member States under INV 1). The measure is tied to legitimate policy objectives such as security of supply, ability to decarbonise, as well as cybersecurity concerns linked to connected vehicle systems. </w:t>
      </w:r>
    </w:p>
    <w:p w14:paraId="5B4CF805" w14:textId="77777777" w:rsidR="002063F2" w:rsidRPr="00CB36A9" w:rsidRDefault="00285741">
      <w:pPr>
        <w:pStyle w:val="Text2"/>
        <w:spacing w:after="120"/>
        <w:ind w:left="0"/>
        <w:rPr>
          <w:noProof/>
        </w:rPr>
      </w:pPr>
      <w:r w:rsidRPr="00CB36A9">
        <w:rPr>
          <w:b/>
          <w:noProof/>
        </w:rPr>
        <w:t>INV 1</w:t>
      </w:r>
      <w:r w:rsidRPr="00CB36A9">
        <w:rPr>
          <w:noProof/>
        </w:rPr>
        <w:t xml:space="preserve"> - As </w:t>
      </w:r>
      <w:r w:rsidR="00E176B3" w:rsidRPr="00CB36A9">
        <w:rPr>
          <w:noProof/>
        </w:rPr>
        <w:t>the measure remains voluntary</w:t>
      </w:r>
      <w:r w:rsidR="00CE082E" w:rsidRPr="00CB36A9">
        <w:rPr>
          <w:noProof/>
        </w:rPr>
        <w:t>, its impact on international trade would be</w:t>
      </w:r>
      <w:r w:rsidRPr="00CB36A9">
        <w:rPr>
          <w:noProof/>
        </w:rPr>
        <w:t xml:space="preserve"> </w:t>
      </w:r>
      <w:r w:rsidR="00096F15" w:rsidRPr="00CB36A9">
        <w:rPr>
          <w:noProof/>
        </w:rPr>
        <w:t>limited</w:t>
      </w:r>
      <w:r w:rsidR="006D69DD" w:rsidRPr="00CB36A9">
        <w:rPr>
          <w:noProof/>
        </w:rPr>
        <w:t xml:space="preserve">, as companies would not be obliged </w:t>
      </w:r>
      <w:r w:rsidR="00D66ED1" w:rsidRPr="00CB36A9">
        <w:rPr>
          <w:noProof/>
        </w:rPr>
        <w:t>at EU level to localise production or adjust sourcing patterns.</w:t>
      </w:r>
      <w:r w:rsidR="006D69DD" w:rsidRPr="00CB36A9">
        <w:rPr>
          <w:noProof/>
        </w:rPr>
        <w:t xml:space="preserve"> </w:t>
      </w:r>
      <w:r w:rsidR="009C07C3" w:rsidRPr="00CB36A9">
        <w:rPr>
          <w:noProof/>
        </w:rPr>
        <w:t xml:space="preserve">In Member States that decide to apply the guidance, some investors may marginally increase EU-based activities, but these effects would remain partial and uneven. </w:t>
      </w:r>
      <w:r w:rsidR="0077162C" w:rsidRPr="00CB36A9">
        <w:rPr>
          <w:noProof/>
        </w:rPr>
        <w:t xml:space="preserve">Because uptake is optional, any trade effects would be small and geographically concentrated, with no meaningful substitution of imports across the Single Market. </w:t>
      </w:r>
    </w:p>
    <w:p w14:paraId="3E6A2041" w14:textId="4588F13D" w:rsidR="00285741" w:rsidRPr="00FB5D72" w:rsidRDefault="00285741">
      <w:pPr>
        <w:pStyle w:val="Text2"/>
        <w:spacing w:after="120"/>
        <w:ind w:left="0"/>
        <w:rPr>
          <w:noProof/>
        </w:rPr>
      </w:pPr>
      <w:r w:rsidRPr="00CB36A9">
        <w:rPr>
          <w:noProof/>
        </w:rPr>
        <w:t>Although the overall impact may remain contained, there is a risk that certain partners could introduce reciprocal or retaliatory conditions affecting EU investors.</w:t>
      </w:r>
      <w:r w:rsidR="002063F2" w:rsidRPr="00CB36A9">
        <w:rPr>
          <w:noProof/>
        </w:rPr>
        <w:t xml:space="preserve"> At the same time, given the non-binding nature of INV 1, significant reactions from trading partners are unlikely, as conditions would only apply where individual Member States choose to implement them. Any external response would therefore be limited and directed at specific national regimes rather than the EU as a whole.</w:t>
      </w:r>
    </w:p>
    <w:p w14:paraId="0864270D" w14:textId="05CCB0EF" w:rsidR="00285741" w:rsidRPr="00FB5D72" w:rsidRDefault="00285741">
      <w:pPr>
        <w:pStyle w:val="Text2"/>
        <w:spacing w:after="120"/>
        <w:ind w:left="0"/>
        <w:rPr>
          <w:noProof/>
        </w:rPr>
      </w:pPr>
      <w:r w:rsidRPr="00FB5D72">
        <w:rPr>
          <w:noProof/>
        </w:rPr>
        <w:t>In the specific case of China, some temporary adjustment in investment behaviour could occur. Chinese companies with strong state backing or strategic technology interests may initially hesitate to invest under tighter localisation or value-added conditions. However, analyses</w:t>
      </w:r>
      <w:r w:rsidRPr="00FB5D72">
        <w:rPr>
          <w:rStyle w:val="FootnoteReference"/>
          <w:noProof/>
        </w:rPr>
        <w:footnoteReference w:id="191"/>
      </w:r>
      <w:r w:rsidRPr="00FB5D72">
        <w:rPr>
          <w:noProof/>
        </w:rPr>
        <w:t xml:space="preserve"> show that many Chinese industrial groups have progressively adapted to similar requirements when market access is sufficiently attractive. For instance, Chinese manufacturers in the battery and electric vehicle sectors have already expanded their use of European suppliers and partnerships in order to comply with local content expectations. Therefore, while stricter conditionalities could shift a few planned projects to third countries with lighter rules (e.g. Türkiye or Morocco), well-designed measures are likely to enhance the overall quality of Chinese FDI by anchoring more R&amp;I, jobs and supply-chain activity within the EU rather than deterring </w:t>
      </w:r>
      <w:r w:rsidRPr="00FB5D72">
        <w:rPr>
          <w:rFonts w:ascii="Times" w:eastAsia="Aptos" w:hAnsi="Times" w:cs="Times"/>
          <w:noProof/>
        </w:rPr>
        <w:t>investment</w:t>
      </w:r>
      <w:r w:rsidRPr="00FB5D72">
        <w:rPr>
          <w:noProof/>
        </w:rPr>
        <w:t xml:space="preserve"> altogether.</w:t>
      </w:r>
    </w:p>
    <w:p w14:paraId="053AC224" w14:textId="77777777" w:rsidR="00285741" w:rsidRPr="00FB5D72" w:rsidRDefault="00285741" w:rsidP="00285741">
      <w:pPr>
        <w:pStyle w:val="Heading4"/>
        <w:numPr>
          <w:ilvl w:val="3"/>
          <w:numId w:val="64"/>
        </w:numPr>
        <w:spacing w:before="0" w:after="0"/>
        <w:ind w:left="0" w:firstLine="130"/>
        <w:rPr>
          <w:b/>
          <w:noProof/>
          <w:color w:val="auto"/>
        </w:rPr>
      </w:pPr>
      <w:r w:rsidRPr="00FB5D72">
        <w:rPr>
          <w:b/>
          <w:bCs/>
          <w:noProof/>
          <w:color w:val="auto"/>
        </w:rPr>
        <w:t xml:space="preserve">Impact on Member States </w:t>
      </w:r>
    </w:p>
    <w:p w14:paraId="3A369D32" w14:textId="77777777" w:rsidR="00285741" w:rsidRPr="00FB5D72" w:rsidRDefault="00285741">
      <w:pPr>
        <w:spacing w:before="240" w:after="240"/>
        <w:rPr>
          <w:bCs/>
          <w:i/>
          <w:noProof/>
        </w:rPr>
      </w:pPr>
      <w:r w:rsidRPr="00FB5D72">
        <w:rPr>
          <w:bCs/>
          <w:i/>
          <w:noProof/>
        </w:rPr>
        <w:t>Financial implications</w:t>
      </w:r>
    </w:p>
    <w:p w14:paraId="4551C27D" w14:textId="76993295" w:rsidR="00AE72AC" w:rsidRPr="0001025B" w:rsidRDefault="00285741" w:rsidP="00CC7157">
      <w:pPr>
        <w:pStyle w:val="Text2"/>
        <w:spacing w:after="120"/>
        <w:ind w:left="0"/>
        <w:rPr>
          <w:rFonts w:ascii="Times" w:eastAsia="Times" w:hAnsi="Times" w:cs="Times"/>
          <w:noProof/>
        </w:rPr>
      </w:pPr>
      <w:r w:rsidRPr="00FB5D72">
        <w:rPr>
          <w:b/>
          <w:bCs/>
          <w:noProof/>
        </w:rPr>
        <w:t>LEAD_EII 1 –</w:t>
      </w:r>
      <w:r w:rsidR="003F6250" w:rsidRPr="00FB5D72">
        <w:rPr>
          <w:b/>
          <w:bCs/>
          <w:noProof/>
        </w:rPr>
        <w:t xml:space="preserve"> </w:t>
      </w:r>
      <w:r w:rsidR="003F6250" w:rsidRPr="00FB5D72">
        <w:rPr>
          <w:rStyle w:val="Strong"/>
          <w:b w:val="0"/>
          <w:bCs w:val="0"/>
          <w:noProof/>
        </w:rPr>
        <w:t>The cost implications of low-carbon requirements in additional public spending would be limited</w:t>
      </w:r>
      <w:r w:rsidR="003F6250" w:rsidRPr="00FB5D72">
        <w:rPr>
          <w:rStyle w:val="Strong"/>
          <w:rFonts w:eastAsiaTheme="majorEastAsia"/>
          <w:b w:val="0"/>
          <w:bCs w:val="0"/>
          <w:noProof/>
        </w:rPr>
        <w:t xml:space="preserve"> since</w:t>
      </w:r>
      <w:r w:rsidR="003F6250" w:rsidRPr="00FB5D72">
        <w:rPr>
          <w:noProof/>
        </w:rPr>
        <w:t xml:space="preserve"> the cost of steel and cement account for less than 1% of total public procurement expenditures across the EU</w:t>
      </w:r>
      <w:r w:rsidR="00BD1496" w:rsidRPr="00FB5D72">
        <w:rPr>
          <w:noProof/>
        </w:rPr>
        <w:t xml:space="preserve">, according to </w:t>
      </w:r>
      <w:r w:rsidR="000676DE" w:rsidRPr="00FB5D72">
        <w:rPr>
          <w:noProof/>
        </w:rPr>
        <w:t>2019</w:t>
      </w:r>
      <w:r w:rsidR="00BD1496" w:rsidRPr="00FB5D72">
        <w:rPr>
          <w:noProof/>
        </w:rPr>
        <w:t xml:space="preserve"> data</w:t>
      </w:r>
      <w:r w:rsidR="003F6250" w:rsidRPr="00FB5D72">
        <w:rPr>
          <w:noProof/>
        </w:rPr>
        <w:t>.</w:t>
      </w:r>
      <w:r w:rsidR="003F6250" w:rsidRPr="00FB5D72">
        <w:rPr>
          <w:rStyle w:val="FootnoteReference"/>
          <w:noProof/>
        </w:rPr>
        <w:footnoteReference w:id="192"/>
      </w:r>
      <w:r w:rsidR="003F6250" w:rsidRPr="00FB5D72">
        <w:rPr>
          <w:noProof/>
        </w:rPr>
        <w:t xml:space="preserve"> </w:t>
      </w:r>
      <w:r w:rsidRPr="00FB5D72">
        <w:rPr>
          <w:noProof/>
        </w:rPr>
        <w:t>Setting a</w:t>
      </w:r>
      <w:r w:rsidRPr="00FB5D72" w:rsidDel="00702465">
        <w:rPr>
          <w:b/>
          <w:bCs/>
          <w:noProof/>
        </w:rPr>
        <w:t xml:space="preserve"> </w:t>
      </w:r>
      <w:r w:rsidRPr="00FB5D72">
        <w:rPr>
          <w:noProof/>
        </w:rPr>
        <w:t>25% target for low-carbon steel</w:t>
      </w:r>
      <w:r w:rsidR="003F6250" w:rsidRPr="00FB5D72">
        <w:rPr>
          <w:noProof/>
        </w:rPr>
        <w:t xml:space="preserve"> and aluminium</w:t>
      </w:r>
      <w:r w:rsidR="00113180" w:rsidRPr="00FB5D72">
        <w:rPr>
          <w:noProof/>
        </w:rPr>
        <w:t xml:space="preserve"> used in </w:t>
      </w:r>
      <w:r w:rsidR="0063469B" w:rsidRPr="00FB5D72">
        <w:rPr>
          <w:noProof/>
        </w:rPr>
        <w:t>automotive</w:t>
      </w:r>
      <w:r w:rsidR="003B622B" w:rsidRPr="00FB5D72">
        <w:rPr>
          <w:noProof/>
        </w:rPr>
        <w:t>,</w:t>
      </w:r>
      <w:r w:rsidR="0063469B" w:rsidRPr="00FB5D72">
        <w:rPr>
          <w:noProof/>
        </w:rPr>
        <w:t xml:space="preserve"> building and construction projects</w:t>
      </w:r>
      <w:r w:rsidR="003F6250" w:rsidRPr="00FB5D72">
        <w:rPr>
          <w:noProof/>
        </w:rPr>
        <w:t>, as well as</w:t>
      </w:r>
      <w:r w:rsidR="003B622B" w:rsidRPr="00FB5D72">
        <w:rPr>
          <w:noProof/>
        </w:rPr>
        <w:t xml:space="preserve"> a</w:t>
      </w:r>
      <w:r w:rsidRPr="00FB5D72">
        <w:rPr>
          <w:noProof/>
        </w:rPr>
        <w:t xml:space="preserve"> 5% target for low-carbon cement in public procurement</w:t>
      </w:r>
      <w:r w:rsidR="003B622B" w:rsidRPr="00FB5D72">
        <w:rPr>
          <w:noProof/>
        </w:rPr>
        <w:t xml:space="preserve">, </w:t>
      </w:r>
      <w:r w:rsidR="00084319" w:rsidRPr="00FB5D72">
        <w:rPr>
          <w:noProof/>
        </w:rPr>
        <w:t xml:space="preserve">could </w:t>
      </w:r>
      <w:r w:rsidRPr="00FB5D72">
        <w:rPr>
          <w:noProof/>
        </w:rPr>
        <w:t xml:space="preserve">generate an additional cost for public authorities, assuming that </w:t>
      </w:r>
      <w:r w:rsidR="0063469B" w:rsidRPr="00FB5D72">
        <w:rPr>
          <w:noProof/>
        </w:rPr>
        <w:t>they are</w:t>
      </w:r>
      <w:r w:rsidRPr="00FB5D72">
        <w:rPr>
          <w:noProof/>
        </w:rPr>
        <w:t xml:space="preserve"> passed on to </w:t>
      </w:r>
      <w:r w:rsidR="00EE4168" w:rsidRPr="00FB5D72">
        <w:rPr>
          <w:noProof/>
        </w:rPr>
        <w:t xml:space="preserve">consumers, </w:t>
      </w:r>
      <w:r w:rsidR="00BB7379" w:rsidRPr="00FB5D72">
        <w:rPr>
          <w:noProof/>
        </w:rPr>
        <w:t>and</w:t>
      </w:r>
      <w:r w:rsidR="00EE4168" w:rsidRPr="00FB5D72">
        <w:rPr>
          <w:noProof/>
        </w:rPr>
        <w:t xml:space="preserve"> </w:t>
      </w:r>
      <w:r w:rsidRPr="00FB5D72">
        <w:rPr>
          <w:noProof/>
        </w:rPr>
        <w:t>public authorities</w:t>
      </w:r>
      <w:r w:rsidR="00EE4168" w:rsidRPr="00FB5D72">
        <w:rPr>
          <w:noProof/>
        </w:rPr>
        <w:t xml:space="preserve"> </w:t>
      </w:r>
      <w:r w:rsidR="00BB7379" w:rsidRPr="00FB5D72">
        <w:rPr>
          <w:noProof/>
        </w:rPr>
        <w:lastRenderedPageBreak/>
        <w:t>decide to cov</w:t>
      </w:r>
      <w:r w:rsidR="00D7271D" w:rsidRPr="00FB5D72">
        <w:rPr>
          <w:noProof/>
        </w:rPr>
        <w:t xml:space="preserve">er </w:t>
      </w:r>
      <w:r w:rsidR="00576177" w:rsidRPr="00FB5D72">
        <w:rPr>
          <w:noProof/>
        </w:rPr>
        <w:t xml:space="preserve">them </w:t>
      </w:r>
      <w:r w:rsidR="00EE4168" w:rsidRPr="00FB5D72">
        <w:rPr>
          <w:noProof/>
        </w:rPr>
        <w:t>as the providers of the financial support for the schemes</w:t>
      </w:r>
      <w:r w:rsidRPr="00FB5D72">
        <w:rPr>
          <w:noProof/>
        </w:rPr>
        <w:t>.</w:t>
      </w:r>
      <w:r w:rsidRPr="00FB5D72">
        <w:rPr>
          <w:rStyle w:val="FootnoteReference"/>
          <w:noProof/>
        </w:rPr>
        <w:footnoteReference w:id="193"/>
      </w:r>
      <w:r w:rsidR="0025410D" w:rsidRPr="00FB5D72" w:rsidDel="0025410D">
        <w:rPr>
          <w:rStyle w:val="CommentReference"/>
          <w:rFonts w:eastAsiaTheme="minorEastAsia"/>
          <w:noProof/>
          <w:color w:val="000000" w:themeColor="text1"/>
          <w:sz w:val="24"/>
          <w:szCs w:val="24"/>
        </w:rPr>
        <w:t xml:space="preserve"> </w:t>
      </w:r>
      <w:r w:rsidR="0001025B" w:rsidRPr="0001025B">
        <w:rPr>
          <w:rFonts w:ascii="Times" w:eastAsia="Times" w:hAnsi="Times" w:cs="Times"/>
          <w:noProof/>
        </w:rPr>
        <w:t>Furthermore</w:t>
      </w:r>
      <w:r w:rsidR="00FE66EF" w:rsidRPr="00FB5D72">
        <w:rPr>
          <w:rFonts w:ascii="Times" w:eastAsia="Times" w:hAnsi="Times" w:cs="Times"/>
          <w:noProof/>
        </w:rPr>
        <w:t xml:space="preserve">, a portion of public budgets could continue to </w:t>
      </w:r>
      <w:r w:rsidR="0001025B" w:rsidRPr="0001025B">
        <w:rPr>
          <w:rFonts w:ascii="Times" w:eastAsia="Times" w:hAnsi="Times" w:cs="Times"/>
          <w:noProof/>
        </w:rPr>
        <w:t>offset</w:t>
      </w:r>
      <w:r w:rsidR="00FE66EF" w:rsidRPr="00FB5D72">
        <w:rPr>
          <w:rFonts w:ascii="Times" w:eastAsia="Times" w:hAnsi="Times" w:cs="Times"/>
          <w:noProof/>
        </w:rPr>
        <w:t xml:space="preserve"> some of the costs for consumers outlined in Sections 6.1.1.2 and 6.1.1.4 </w:t>
      </w:r>
      <w:r w:rsidR="0001025B" w:rsidRPr="0001025B">
        <w:rPr>
          <w:rFonts w:ascii="Times" w:eastAsia="Times" w:hAnsi="Times" w:cs="Times"/>
          <w:noProof/>
        </w:rPr>
        <w:t>by incorporating them into</w:t>
      </w:r>
      <w:r w:rsidR="00FE66EF" w:rsidRPr="00FB5D72">
        <w:rPr>
          <w:rFonts w:ascii="Times" w:eastAsia="Times" w:hAnsi="Times" w:cs="Times"/>
          <w:noProof/>
        </w:rPr>
        <w:t xml:space="preserve"> public support schemes</w:t>
      </w:r>
      <w:r w:rsidR="0001025B" w:rsidRPr="0001025B">
        <w:rPr>
          <w:rFonts w:ascii="Times" w:eastAsia="Times" w:hAnsi="Times" w:cs="Times"/>
          <w:noProof/>
        </w:rPr>
        <w:t>. For instance,</w:t>
      </w:r>
      <w:r w:rsidR="00CB36A9">
        <w:rPr>
          <w:rFonts w:ascii="Times" w:eastAsia="Times" w:hAnsi="Times" w:cs="Times"/>
          <w:noProof/>
        </w:rPr>
        <w:t xml:space="preserve"> </w:t>
      </w:r>
      <w:r w:rsidR="002419A6">
        <w:rPr>
          <w:rFonts w:ascii="Times" w:eastAsia="Times" w:hAnsi="Times" w:cs="Times"/>
          <w:noProof/>
        </w:rPr>
        <w:t xml:space="preserve">in </w:t>
      </w:r>
      <w:r w:rsidR="004120A2">
        <w:rPr>
          <w:rFonts w:ascii="Times" w:eastAsia="Times" w:hAnsi="Times" w:cs="Times"/>
          <w:noProof/>
        </w:rPr>
        <w:t>2024</w:t>
      </w:r>
      <w:r w:rsidR="0001025B" w:rsidRPr="0001025B">
        <w:rPr>
          <w:rFonts w:ascii="Times" w:eastAsia="Times" w:hAnsi="Times" w:cs="Times"/>
          <w:noProof/>
        </w:rPr>
        <w:t>,</w:t>
      </w:r>
      <w:r w:rsidR="004120A2">
        <w:rPr>
          <w:rFonts w:ascii="Times" w:eastAsia="Times" w:hAnsi="Times" w:cs="Times"/>
          <w:noProof/>
        </w:rPr>
        <w:t xml:space="preserve"> the EU has</w:t>
      </w:r>
      <w:r w:rsidR="00FE66EF" w:rsidRPr="00FB5D72">
        <w:rPr>
          <w:rFonts w:ascii="Times" w:eastAsia="Times" w:hAnsi="Times" w:cs="Times"/>
          <w:noProof/>
        </w:rPr>
        <w:t xml:space="preserve"> </w:t>
      </w:r>
      <w:r w:rsidR="00D83629" w:rsidRPr="0003305C">
        <w:rPr>
          <w:rFonts w:ascii="Times" w:eastAsia="Times" w:hAnsi="Times" w:cs="Times"/>
          <w:noProof/>
        </w:rPr>
        <w:t>spent</w:t>
      </w:r>
      <w:r w:rsidR="00FE66EF" w:rsidRPr="0003305C">
        <w:rPr>
          <w:rFonts w:ascii="Times" w:eastAsia="Times" w:hAnsi="Times" w:cs="Times"/>
          <w:noProof/>
        </w:rPr>
        <w:t xml:space="preserve"> </w:t>
      </w:r>
      <w:r w:rsidR="00FA0426" w:rsidRPr="0003305C">
        <w:rPr>
          <w:rFonts w:ascii="Times" w:eastAsia="Times" w:hAnsi="Times" w:cs="Times"/>
          <w:noProof/>
        </w:rPr>
        <w:t xml:space="preserve">approximately </w:t>
      </w:r>
      <w:r w:rsidR="0001025B" w:rsidRPr="0003305C">
        <w:rPr>
          <w:rFonts w:ascii="Times" w:eastAsia="Times" w:hAnsi="Times" w:cs="Times"/>
          <w:noProof/>
        </w:rPr>
        <w:t>€</w:t>
      </w:r>
      <w:r w:rsidR="00FA0426" w:rsidRPr="0003305C">
        <w:rPr>
          <w:rFonts w:ascii="Times" w:eastAsia="Times" w:hAnsi="Times" w:cs="Times"/>
          <w:noProof/>
        </w:rPr>
        <w:t>17 billion</w:t>
      </w:r>
      <w:r w:rsidR="00FE66EF" w:rsidRPr="0003305C">
        <w:rPr>
          <w:rFonts w:ascii="Times" w:eastAsia="Times" w:hAnsi="Times" w:cs="Times"/>
          <w:noProof/>
        </w:rPr>
        <w:t xml:space="preserve"> </w:t>
      </w:r>
      <w:r w:rsidR="00D83629" w:rsidRPr="0003305C">
        <w:rPr>
          <w:rFonts w:ascii="Times" w:eastAsia="Times" w:hAnsi="Times" w:cs="Times"/>
          <w:noProof/>
        </w:rPr>
        <w:t>in</w:t>
      </w:r>
      <w:r w:rsidR="0001025B" w:rsidRPr="0003305C">
        <w:rPr>
          <w:rFonts w:ascii="Times" w:eastAsia="Times" w:hAnsi="Times" w:cs="Times"/>
          <w:noProof/>
        </w:rPr>
        <w:t xml:space="preserve"> </w:t>
      </w:r>
      <w:r w:rsidR="00FE66EF" w:rsidRPr="0003305C">
        <w:rPr>
          <w:rFonts w:ascii="Times" w:eastAsia="Times" w:hAnsi="Times" w:cs="Times"/>
          <w:noProof/>
        </w:rPr>
        <w:t xml:space="preserve">subsidies </w:t>
      </w:r>
      <w:r w:rsidR="0001025B" w:rsidRPr="0003305C">
        <w:rPr>
          <w:rFonts w:ascii="Times" w:eastAsia="Times" w:hAnsi="Times" w:cs="Times"/>
          <w:noProof/>
        </w:rPr>
        <w:t xml:space="preserve">to promote the purchase of </w:t>
      </w:r>
      <w:r w:rsidR="00FE66EF" w:rsidRPr="0003305C">
        <w:rPr>
          <w:rFonts w:ascii="Times" w:eastAsia="Times" w:hAnsi="Times" w:cs="Times"/>
          <w:noProof/>
        </w:rPr>
        <w:t>electric vehicles</w:t>
      </w:r>
      <w:r w:rsidR="00D8324F" w:rsidRPr="0003305C">
        <w:rPr>
          <w:rFonts w:ascii="Times" w:eastAsia="Times" w:hAnsi="Times" w:cs="Times"/>
          <w:noProof/>
        </w:rPr>
        <w:t>.</w:t>
      </w:r>
      <w:r w:rsidR="00FE66EF" w:rsidRPr="0003305C">
        <w:rPr>
          <w:rStyle w:val="FootnoteReference"/>
          <w:rFonts w:ascii="Times" w:eastAsia="Times" w:hAnsi="Times" w:cs="Times"/>
          <w:noProof/>
        </w:rPr>
        <w:footnoteReference w:id="194"/>
      </w:r>
      <w:r w:rsidR="00D8324F" w:rsidRPr="0003305C">
        <w:rPr>
          <w:rFonts w:ascii="Times" w:eastAsia="Times" w:hAnsi="Times" w:cs="Times"/>
          <w:noProof/>
        </w:rPr>
        <w:t xml:space="preserve"> </w:t>
      </w:r>
      <w:r w:rsidR="00FE66EF" w:rsidRPr="0003305C">
        <w:rPr>
          <w:rFonts w:ascii="Times" w:eastAsiaTheme="minorEastAsia" w:hAnsi="Times" w:cs="Times"/>
          <w:noProof/>
        </w:rPr>
        <w:t>At the moment</w:t>
      </w:r>
      <w:r w:rsidR="00FE66EF" w:rsidRPr="00FB5D72">
        <w:rPr>
          <w:rFonts w:ascii="Times" w:eastAsiaTheme="minorEastAsia" w:hAnsi="Times" w:cs="Times"/>
          <w:noProof/>
        </w:rPr>
        <w:t>,</w:t>
      </w:r>
      <w:r w:rsidR="00483057" w:rsidRPr="00FB5D72">
        <w:rPr>
          <w:rFonts w:ascii="Times" w:eastAsiaTheme="minorEastAsia" w:hAnsi="Times" w:cs="Times"/>
          <w:noProof/>
        </w:rPr>
        <w:t xml:space="preserve"> </w:t>
      </w:r>
      <w:r w:rsidR="00FE66EF" w:rsidRPr="00FB5D72">
        <w:rPr>
          <w:rFonts w:ascii="Times" w:eastAsiaTheme="minorEastAsia" w:hAnsi="Times" w:cs="Times"/>
          <w:noProof/>
        </w:rPr>
        <w:t>there is public support to buy EVs for corporate purchases in all Member States and for consumers in 19 Member States.</w:t>
      </w:r>
      <w:r w:rsidR="00D8324F" w:rsidRPr="00FB5D72">
        <w:rPr>
          <w:rStyle w:val="FootnoteReference"/>
          <w:rFonts w:ascii="Times" w:eastAsiaTheme="minorEastAsia" w:hAnsi="Times" w:cs="Times"/>
          <w:noProof/>
        </w:rPr>
        <w:footnoteReference w:id="195"/>
      </w:r>
      <w:r w:rsidR="00AC56E9" w:rsidRPr="00FB5D72">
        <w:rPr>
          <w:rFonts w:ascii="Times" w:eastAsiaTheme="minorEastAsia" w:hAnsi="Times" w:cs="Times"/>
          <w:noProof/>
        </w:rPr>
        <w:t xml:space="preserve"> </w:t>
      </w:r>
      <w:r w:rsidR="00FE66EF" w:rsidRPr="00FB5D72" w:rsidDel="0096155B">
        <w:rPr>
          <w:noProof/>
        </w:rPr>
        <w:t xml:space="preserve">In return, this </w:t>
      </w:r>
      <w:r w:rsidR="00FE66EF" w:rsidRPr="00FB5D72">
        <w:rPr>
          <w:noProof/>
        </w:rPr>
        <w:t xml:space="preserve">investment could help stimulate job creation and foster the development of clean industries, the scale of the benefits depending on whether low-carbon materials are produced within the EU rather than imported from non-EU countries. </w:t>
      </w:r>
    </w:p>
    <w:p w14:paraId="1C78F68F" w14:textId="77777777" w:rsidR="00D348F1" w:rsidRPr="00CF06C8" w:rsidRDefault="00151DF3" w:rsidP="00D348F1">
      <w:pPr>
        <w:pStyle w:val="Text2"/>
        <w:spacing w:before="240" w:after="120" w:line="259" w:lineRule="auto"/>
        <w:ind w:left="0"/>
        <w:rPr>
          <w:noProof/>
          <w:color w:val="000000" w:themeColor="text1"/>
          <w:szCs w:val="24"/>
        </w:rPr>
      </w:pPr>
      <w:r w:rsidRPr="00CF06C8">
        <w:rPr>
          <w:noProof/>
        </w:rPr>
        <w:t>At the same time,</w:t>
      </w:r>
      <w:r w:rsidR="00F313E6" w:rsidRPr="00CF06C8">
        <w:rPr>
          <w:noProof/>
        </w:rPr>
        <w:t xml:space="preserve"> </w:t>
      </w:r>
      <w:r w:rsidR="00F313E6" w:rsidRPr="00CF06C8">
        <w:rPr>
          <w:noProof/>
          <w:color w:val="000000" w:themeColor="text1"/>
          <w:szCs w:val="24"/>
        </w:rPr>
        <w:t>the</w:t>
      </w:r>
      <w:r w:rsidRPr="00CF06C8">
        <w:rPr>
          <w:noProof/>
          <w:color w:val="000000" w:themeColor="text1"/>
          <w:szCs w:val="24"/>
        </w:rPr>
        <w:t xml:space="preserve"> increase in the price of end-goods publicly purchased or supported </w:t>
      </w:r>
      <w:r w:rsidR="00F313E6" w:rsidRPr="00CF06C8">
        <w:rPr>
          <w:noProof/>
          <w:color w:val="000000" w:themeColor="text1"/>
          <w:szCs w:val="24"/>
        </w:rPr>
        <w:t xml:space="preserve">can result in </w:t>
      </w:r>
      <w:r w:rsidR="00C10E95" w:rsidRPr="00CF06C8">
        <w:rPr>
          <w:noProof/>
          <w:color w:val="000000" w:themeColor="text1"/>
          <w:szCs w:val="24"/>
        </w:rPr>
        <w:t>government</w:t>
      </w:r>
      <w:r w:rsidR="00A6227C" w:rsidRPr="00CF06C8">
        <w:rPr>
          <w:noProof/>
          <w:color w:val="000000" w:themeColor="text1"/>
          <w:szCs w:val="24"/>
        </w:rPr>
        <w:t>s deciding to</w:t>
      </w:r>
      <w:r w:rsidR="00C10E95" w:rsidRPr="00CF06C8">
        <w:rPr>
          <w:noProof/>
          <w:color w:val="000000" w:themeColor="text1"/>
          <w:szCs w:val="24"/>
        </w:rPr>
        <w:t xml:space="preserve"> spend less for such goods. This could result in</w:t>
      </w:r>
      <w:r w:rsidR="00F313E6" w:rsidRPr="00CF06C8">
        <w:rPr>
          <w:noProof/>
          <w:color w:val="000000" w:themeColor="text1"/>
          <w:szCs w:val="24"/>
        </w:rPr>
        <w:t xml:space="preserve"> reduction of consumption from governments of EUR 373 million in the construction sector, and 120 million in the automotive sector. </w:t>
      </w:r>
    </w:p>
    <w:p w14:paraId="1DE130D8" w14:textId="177B3FCB" w:rsidR="00285741" w:rsidRPr="00FB5D72" w:rsidRDefault="005B1E3B" w:rsidP="00D348F1">
      <w:pPr>
        <w:pStyle w:val="Text2"/>
        <w:spacing w:before="240" w:after="120" w:line="259" w:lineRule="auto"/>
        <w:ind w:left="0"/>
        <w:rPr>
          <w:rFonts w:eastAsia="Times"/>
          <w:noProof/>
        </w:rPr>
      </w:pPr>
      <w:r w:rsidRPr="00CF06C8">
        <w:rPr>
          <w:rFonts w:ascii="Times" w:eastAsia="Times" w:hAnsi="Times" w:cs="Times"/>
          <w:noProof/>
        </w:rPr>
        <w:t xml:space="preserve">For a wider consideration on cost estimates, the sensitivity analysis for potential costs derived from low-carbon steel </w:t>
      </w:r>
      <w:r w:rsidR="00AE1E64" w:rsidRPr="00CF06C8">
        <w:rPr>
          <w:rFonts w:ascii="Times" w:eastAsia="Times" w:hAnsi="Times" w:cs="Times"/>
          <w:noProof/>
        </w:rPr>
        <w:t>and cement/concrete</w:t>
      </w:r>
      <w:r w:rsidR="00B53326" w:rsidRPr="00CF06C8">
        <w:rPr>
          <w:rFonts w:ascii="Times" w:eastAsia="Times" w:hAnsi="Times" w:cs="Times"/>
          <w:noProof/>
        </w:rPr>
        <w:t xml:space="preserve"> </w:t>
      </w:r>
      <w:r w:rsidR="00E533DD" w:rsidRPr="00CF06C8">
        <w:rPr>
          <w:rFonts w:ascii="Times" w:eastAsia="Times" w:hAnsi="Times" w:cs="Times"/>
          <w:noProof/>
        </w:rPr>
        <w:t xml:space="preserve">used </w:t>
      </w:r>
      <w:r w:rsidR="00B53326" w:rsidRPr="00CF06C8">
        <w:rPr>
          <w:rFonts w:ascii="Times" w:eastAsia="Times" w:hAnsi="Times" w:cs="Times"/>
          <w:noProof/>
        </w:rPr>
        <w:t>in construction</w:t>
      </w:r>
      <w:r w:rsidR="00AE1E64" w:rsidRPr="00CF06C8">
        <w:rPr>
          <w:rFonts w:ascii="Times" w:eastAsia="Times" w:hAnsi="Times" w:cs="Times"/>
          <w:noProof/>
        </w:rPr>
        <w:t xml:space="preserve"> </w:t>
      </w:r>
      <w:r w:rsidR="00D348F1" w:rsidRPr="00CF06C8">
        <w:rPr>
          <w:rFonts w:ascii="Times" w:eastAsia="Times" w:hAnsi="Times" w:cs="Times"/>
          <w:noProof/>
        </w:rPr>
        <w:t xml:space="preserve">show that costs can vary from EUR </w:t>
      </w:r>
      <w:r w:rsidR="00AE1E64" w:rsidRPr="00CF06C8">
        <w:rPr>
          <w:rFonts w:ascii="Times" w:eastAsia="Times" w:hAnsi="Times" w:cs="Times"/>
          <w:noProof/>
        </w:rPr>
        <w:t>339.7 million</w:t>
      </w:r>
      <w:r w:rsidR="00D348F1" w:rsidRPr="00CF06C8">
        <w:rPr>
          <w:rFonts w:ascii="Times" w:eastAsia="Times" w:hAnsi="Times" w:cs="Times"/>
          <w:noProof/>
        </w:rPr>
        <w:t xml:space="preserve"> to EUR </w:t>
      </w:r>
      <w:r w:rsidR="00AE1E64" w:rsidRPr="00CF06C8">
        <w:rPr>
          <w:rFonts w:ascii="Times" w:eastAsia="Times" w:hAnsi="Times" w:cs="Times"/>
          <w:noProof/>
        </w:rPr>
        <w:t>2 billion</w:t>
      </w:r>
      <w:r w:rsidRPr="00CF06C8">
        <w:rPr>
          <w:rFonts w:ascii="Times" w:eastAsia="Times" w:hAnsi="Times" w:cs="Times"/>
          <w:noProof/>
        </w:rPr>
        <w:t xml:space="preserve">. </w:t>
      </w:r>
      <w:r w:rsidR="52C8FE48" w:rsidRPr="00CF06C8">
        <w:rPr>
          <w:rFonts w:ascii="Times" w:eastAsia="Times" w:hAnsi="Times" w:cs="Times"/>
          <w:noProof/>
        </w:rPr>
        <w:t>For a wider consideration on cost estimates</w:t>
      </w:r>
      <w:r w:rsidR="00FA1748" w:rsidRPr="00CF06C8">
        <w:rPr>
          <w:rFonts w:ascii="Times" w:eastAsia="Times" w:hAnsi="Times" w:cs="Times"/>
          <w:noProof/>
        </w:rPr>
        <w:t xml:space="preserve"> for au</w:t>
      </w:r>
      <w:r w:rsidR="00AC56E9" w:rsidRPr="00CF06C8">
        <w:rPr>
          <w:rFonts w:ascii="Times" w:eastAsia="Times" w:hAnsi="Times" w:cs="Times"/>
          <w:noProof/>
        </w:rPr>
        <w:t>to</w:t>
      </w:r>
      <w:r w:rsidR="00FA1748" w:rsidRPr="00CF06C8">
        <w:rPr>
          <w:rFonts w:ascii="Times" w:eastAsia="Times" w:hAnsi="Times" w:cs="Times"/>
          <w:noProof/>
        </w:rPr>
        <w:t>motive</w:t>
      </w:r>
      <w:r w:rsidR="52C8FE48" w:rsidRPr="00CF06C8">
        <w:rPr>
          <w:rFonts w:ascii="Times" w:eastAsia="Times" w:hAnsi="Times" w:cs="Times"/>
          <w:noProof/>
        </w:rPr>
        <w:t>,</w:t>
      </w:r>
      <w:r w:rsidR="00FA1748" w:rsidRPr="00CF06C8">
        <w:rPr>
          <w:rFonts w:ascii="Times" w:eastAsia="Times" w:hAnsi="Times" w:cs="Times"/>
          <w:noProof/>
        </w:rPr>
        <w:t xml:space="preserve"> notably public fleets</w:t>
      </w:r>
      <w:r w:rsidR="00D348F1" w:rsidRPr="00CF06C8">
        <w:rPr>
          <w:rFonts w:ascii="Times" w:eastAsia="Times" w:hAnsi="Times" w:cs="Times"/>
          <w:noProof/>
        </w:rPr>
        <w:t>,</w:t>
      </w:r>
      <w:r w:rsidR="52C8FE48" w:rsidRPr="00CF06C8">
        <w:rPr>
          <w:rFonts w:ascii="Times" w:eastAsia="Times" w:hAnsi="Times" w:cs="Times"/>
          <w:noProof/>
        </w:rPr>
        <w:t xml:space="preserve"> the sensitivity analysis for the </w:t>
      </w:r>
      <w:r w:rsidR="00D348F1" w:rsidRPr="00CF06C8">
        <w:rPr>
          <w:rFonts w:ascii="Times" w:eastAsia="Times" w:hAnsi="Times" w:cs="Times"/>
          <w:noProof/>
        </w:rPr>
        <w:t xml:space="preserve">low-carbon steel </w:t>
      </w:r>
      <w:r w:rsidR="52C8FE48" w:rsidRPr="00CF06C8">
        <w:rPr>
          <w:rFonts w:ascii="Times" w:eastAsia="Times" w:hAnsi="Times" w:cs="Times"/>
          <w:noProof/>
        </w:rPr>
        <w:t xml:space="preserve">costs can </w:t>
      </w:r>
      <w:r w:rsidR="1B58C4D5" w:rsidRPr="00CF06C8">
        <w:rPr>
          <w:rFonts w:ascii="Times" w:eastAsia="Times" w:hAnsi="Times" w:cs="Times"/>
          <w:noProof/>
        </w:rPr>
        <w:t>range from</w:t>
      </w:r>
      <w:r w:rsidR="52C8FE48" w:rsidRPr="00CF06C8">
        <w:rPr>
          <w:rFonts w:ascii="Times" w:eastAsia="Times" w:hAnsi="Times" w:cs="Times"/>
          <w:noProof/>
        </w:rPr>
        <w:t> </w:t>
      </w:r>
      <w:r w:rsidR="15EA5774" w:rsidRPr="00CF06C8">
        <w:rPr>
          <w:rFonts w:ascii="Times" w:eastAsia="Times" w:hAnsi="Times" w:cs="Times"/>
          <w:noProof/>
        </w:rPr>
        <w:t>EUR 14.04 million – EUR 32.59 million</w:t>
      </w:r>
      <w:r w:rsidR="52C8FE48" w:rsidRPr="00CF06C8">
        <w:rPr>
          <w:rFonts w:ascii="Times" w:eastAsia="Times" w:hAnsi="Times" w:cs="Times"/>
          <w:noProof/>
        </w:rPr>
        <w:t xml:space="preserve">. </w:t>
      </w:r>
      <w:r w:rsidR="3575A46F" w:rsidRPr="00CF06C8">
        <w:rPr>
          <w:rFonts w:ascii="Times" w:eastAsia="Times" w:hAnsi="Times" w:cs="Times"/>
          <w:noProof/>
        </w:rPr>
        <w:t>S</w:t>
      </w:r>
      <w:r w:rsidR="52C8FE48" w:rsidRPr="00CF06C8">
        <w:rPr>
          <w:rFonts w:ascii="Times" w:eastAsia="Times" w:hAnsi="Times" w:cs="Times"/>
          <w:noProof/>
        </w:rPr>
        <w:t>ee Annex 15 for more information.</w:t>
      </w:r>
      <w:r w:rsidR="52C8FE48" w:rsidRPr="00FB5D72">
        <w:rPr>
          <w:rFonts w:ascii="Times" w:eastAsia="Times" w:hAnsi="Times" w:cs="Times"/>
          <w:noProof/>
        </w:rPr>
        <w:t xml:space="preserve"> </w:t>
      </w:r>
    </w:p>
    <w:p w14:paraId="25DC197C" w14:textId="0DA61CF1" w:rsidR="00BC0724" w:rsidRPr="00FB5D72" w:rsidRDefault="00BC0724" w:rsidP="00BC0724">
      <w:pPr>
        <w:pStyle w:val="Text2"/>
        <w:spacing w:after="120"/>
        <w:ind w:left="0"/>
        <w:rPr>
          <w:noProof/>
        </w:rPr>
      </w:pPr>
      <w:r w:rsidRPr="00FB5D72">
        <w:rPr>
          <w:b/>
          <w:noProof/>
        </w:rPr>
        <w:t xml:space="preserve">LEAD_BAT 1 – </w:t>
      </w:r>
      <w:r w:rsidR="00E83DDC" w:rsidRPr="00FB5D72">
        <w:rPr>
          <w:noProof/>
        </w:rPr>
        <w:t>Made in EU</w:t>
      </w:r>
      <w:r w:rsidRPr="00FB5D72">
        <w:rPr>
          <w:noProof/>
        </w:rPr>
        <w:t xml:space="preserve"> requirements for batteries are anticipated to impact approximately 3.5% of the European EV fleet through private procurement and around 5% of BESS deployment via public auctions. Consequently, the total adjustment costs are estimated to range from EUR 132 million to EUR 331 million for EVs </w:t>
      </w:r>
      <w:r w:rsidR="00AE51A7" w:rsidRPr="00FB5D72">
        <w:rPr>
          <w:noProof/>
        </w:rPr>
        <w:t>(average EUR 231.5 million)</w:t>
      </w:r>
      <w:r w:rsidRPr="00FB5D72">
        <w:rPr>
          <w:noProof/>
        </w:rPr>
        <w:t xml:space="preserve"> and EUR 26 million to EUR 66 million </w:t>
      </w:r>
      <w:r w:rsidR="00AE51A7" w:rsidRPr="00FB5D72">
        <w:rPr>
          <w:noProof/>
        </w:rPr>
        <w:t>(average EUR 44 million)</w:t>
      </w:r>
      <w:r w:rsidRPr="00FB5D72">
        <w:rPr>
          <w:noProof/>
        </w:rPr>
        <w:t xml:space="preserve"> for BESS in 2030 (See Annex 4 </w:t>
      </w:r>
      <w:r w:rsidR="0031028A" w:rsidRPr="00FB5D72">
        <w:rPr>
          <w:noProof/>
        </w:rPr>
        <w:t>S</w:t>
      </w:r>
      <w:r w:rsidRPr="00FB5D72">
        <w:rPr>
          <w:noProof/>
        </w:rPr>
        <w:t>ection 2).</w:t>
      </w:r>
    </w:p>
    <w:p w14:paraId="631B852A" w14:textId="544BB94E" w:rsidR="00285741" w:rsidRDefault="00285741">
      <w:pPr>
        <w:pStyle w:val="Text2"/>
        <w:spacing w:after="120"/>
        <w:ind w:left="0"/>
        <w:rPr>
          <w:noProof/>
        </w:rPr>
      </w:pPr>
      <w:r w:rsidRPr="00FB5D72">
        <w:rPr>
          <w:b/>
          <w:noProof/>
        </w:rPr>
        <w:t>LEAD_SOL 1 –</w:t>
      </w:r>
      <w:r w:rsidRPr="00FB5D72">
        <w:rPr>
          <w:noProof/>
        </w:rPr>
        <w:t xml:space="preserve"> Due to the public procurement and public support schemes provisions requiring the purchase of EU Made products, the costs faced by public authorities and Member States will increase. However, public procurement is estimated to cover only around 3% of the solar market, auctions around 19% and public support schemes only 12%. In turn, Member States will benefit from several positive consequences in having increased manufacturing capacity in Europe, jobs creation and contributing to the achievement of European climate and energy targets through reduced emissions through transportation costs. It would also mean that the trade balance with Asia (with over EUR 4.5 billion</w:t>
      </w:r>
      <w:r w:rsidRPr="000272AD">
        <w:rPr>
          <w:noProof/>
        </w:rPr>
        <w:t xml:space="preserve"> in additional annual import costs) would be reduced and more wealth retained in Europe as well as job creation (more than 40</w:t>
      </w:r>
      <w:r w:rsidR="00B8591D">
        <w:rPr>
          <w:noProof/>
        </w:rPr>
        <w:t xml:space="preserve"> </w:t>
      </w:r>
      <w:r w:rsidRPr="000272AD">
        <w:rPr>
          <w:noProof/>
        </w:rPr>
        <w:t>000 highly qualified jobs in manufacturing, equipment supply, and related industries) and halting foregoing tax revenues of over EUR 1 billion per year.</w:t>
      </w:r>
      <w:r w:rsidRPr="00310056">
        <w:rPr>
          <w:noProof/>
        </w:rPr>
        <w:t xml:space="preserve"> </w:t>
      </w:r>
      <w:r w:rsidRPr="1AD09EA3">
        <w:rPr>
          <w:noProof/>
        </w:rPr>
        <w:t xml:space="preserve">If demand for EU-produced PV systems increases, </w:t>
      </w:r>
      <w:r w:rsidRPr="00801C0E">
        <w:rPr>
          <w:noProof/>
        </w:rPr>
        <w:t>t</w:t>
      </w:r>
      <w:r w:rsidRPr="6375C431">
        <w:rPr>
          <w:noProof/>
          <w:spacing w:val="1"/>
        </w:rPr>
        <w:t>his could temporarily result in a slight slowing down of deployment in the public-sector for the solar PV segment during the adjustment period</w:t>
      </w:r>
      <w:r w:rsidRPr="00D656BE">
        <w:rPr>
          <w:rFonts w:eastAsiaTheme="minorEastAsia"/>
          <w:noProof/>
        </w:rPr>
        <w:t>.</w:t>
      </w:r>
      <w:r w:rsidRPr="006877CC">
        <w:rPr>
          <w:rFonts w:ascii="system-ui" w:hAnsi="system-ui"/>
          <w:noProof/>
        </w:rPr>
        <w:t xml:space="preserve"> </w:t>
      </w:r>
      <w:r w:rsidRPr="001F2E54">
        <w:rPr>
          <w:noProof/>
        </w:rPr>
        <w:t>However, it is important to recognise that a significant portion of solar capacity deployment in the EU still depends on public support mechanisms, even when the installations are carried out by private entities.</w:t>
      </w:r>
      <w:r w:rsidRPr="1AD09EA3">
        <w:rPr>
          <w:noProof/>
        </w:rPr>
        <w:t xml:space="preserve"> </w:t>
      </w:r>
      <w:r w:rsidRPr="005146D2">
        <w:rPr>
          <w:noProof/>
        </w:rPr>
        <w:t>Consequently, a short-term price increase would likely translate into </w:t>
      </w:r>
      <w:r w:rsidRPr="00BB0650">
        <w:rPr>
          <w:noProof/>
        </w:rPr>
        <w:t>higher public financial support requirements</w:t>
      </w:r>
      <w:r w:rsidRPr="005146D2">
        <w:rPr>
          <w:noProof/>
        </w:rPr>
        <w:t> to meet the EU’s renewable energy targets.</w:t>
      </w:r>
      <w:r w:rsidRPr="1AD09EA3">
        <w:rPr>
          <w:noProof/>
        </w:rPr>
        <w:t xml:space="preserve"> </w:t>
      </w:r>
      <w:r>
        <w:rPr>
          <w:noProof/>
        </w:rPr>
        <w:t xml:space="preserve">Made in </w:t>
      </w:r>
      <w:r w:rsidRPr="1AD09EA3">
        <w:rPr>
          <w:noProof/>
        </w:rPr>
        <w:t xml:space="preserve">EU criteria could </w:t>
      </w:r>
      <w:r w:rsidRPr="1AD09EA3">
        <w:rPr>
          <w:noProof/>
        </w:rPr>
        <w:lastRenderedPageBreak/>
        <w:t xml:space="preserve">initially pose procurement challenges for some Member States, requiring </w:t>
      </w:r>
      <w:r>
        <w:rPr>
          <w:noProof/>
        </w:rPr>
        <w:t xml:space="preserve">potential </w:t>
      </w:r>
      <w:r w:rsidRPr="1AD09EA3">
        <w:rPr>
          <w:noProof/>
        </w:rPr>
        <w:t>adjustments to national plans to meet renewable energy targets</w:t>
      </w:r>
      <w:r>
        <w:rPr>
          <w:noProof/>
        </w:rPr>
        <w:t>.</w:t>
      </w:r>
    </w:p>
    <w:p w14:paraId="28BF072F" w14:textId="77777777" w:rsidR="00285741" w:rsidRPr="008C39AE" w:rsidRDefault="00285741" w:rsidP="00670794">
      <w:pPr>
        <w:pStyle w:val="Text2"/>
        <w:spacing w:after="120"/>
        <w:ind w:left="0"/>
        <w:rPr>
          <w:noProof/>
        </w:rPr>
      </w:pPr>
      <w:bookmarkStart w:id="73" w:name="_Hlk212578784"/>
      <w:r w:rsidRPr="008C39AE">
        <w:rPr>
          <w:noProof/>
        </w:rPr>
        <w:t xml:space="preserve">Under </w:t>
      </w:r>
      <w:r w:rsidRPr="008C39AE">
        <w:rPr>
          <w:b/>
          <w:bCs/>
          <w:noProof/>
        </w:rPr>
        <w:t xml:space="preserve">LEAD_VC 1, </w:t>
      </w:r>
      <w:r w:rsidRPr="008C39AE">
        <w:rPr>
          <w:noProof/>
        </w:rPr>
        <w:t xml:space="preserve">as observed above, public support schemes currently used in the automotive industry will mitigate the </w:t>
      </w:r>
      <w:r>
        <w:rPr>
          <w:noProof/>
        </w:rPr>
        <w:t xml:space="preserve">potential </w:t>
      </w:r>
      <w:r w:rsidRPr="008C39AE">
        <w:rPr>
          <w:noProof/>
        </w:rPr>
        <w:t>adverse effects of LEAD_VC. (See: Assumptions) To reach this positive objective, as laid down in the assumptions, it is important that Member States re-distribute (at least, partially) the public subsidies that are no longer accessible to non-compliant</w:t>
      </w:r>
      <w:r>
        <w:rPr>
          <w:noProof/>
        </w:rPr>
        <w:t xml:space="preserve"> manufacturers</w:t>
      </w:r>
      <w:r w:rsidRPr="008C39AE">
        <w:rPr>
          <w:noProof/>
        </w:rPr>
        <w:t xml:space="preserve">, meaning that the Member States would keep the volumes allocated to finance the strengthening of the EU industrial value chain. Since the assumptions are based on already existing schemes, the cost of public subsidies used for this Impact Assessment will not represent an increase in cost for Member States. Indeed, estimates indicate a saving budget for Member States of </w:t>
      </w:r>
      <w:r>
        <w:rPr>
          <w:noProof/>
        </w:rPr>
        <w:t xml:space="preserve">EUR </w:t>
      </w:r>
      <w:r w:rsidRPr="008C39AE">
        <w:rPr>
          <w:noProof/>
        </w:rPr>
        <w:t xml:space="preserve">2.7 billion per year from 2027 to 2030, with a net present value of </w:t>
      </w:r>
      <w:r>
        <w:rPr>
          <w:noProof/>
        </w:rPr>
        <w:t xml:space="preserve">EUR </w:t>
      </w:r>
      <w:r w:rsidRPr="008C39AE">
        <w:rPr>
          <w:noProof/>
        </w:rPr>
        <w:t>10.3 billion.</w:t>
      </w:r>
      <w:r w:rsidRPr="00086326">
        <w:rPr>
          <w:noProof/>
          <w:vertAlign w:val="superscript"/>
        </w:rPr>
        <w:footnoteReference w:id="196"/>
      </w:r>
    </w:p>
    <w:bookmarkEnd w:id="73"/>
    <w:p w14:paraId="271D1899" w14:textId="77777777" w:rsidR="00F01476" w:rsidRDefault="00285741">
      <w:pPr>
        <w:pStyle w:val="Text2"/>
        <w:spacing w:after="120"/>
        <w:ind w:left="0"/>
        <w:rPr>
          <w:i/>
          <w:noProof/>
        </w:rPr>
      </w:pPr>
      <w:r w:rsidRPr="009B3F91">
        <w:rPr>
          <w:i/>
          <w:noProof/>
        </w:rPr>
        <w:t>Administrative</w:t>
      </w:r>
      <w:r w:rsidRPr="00586EDD">
        <w:rPr>
          <w:i/>
          <w:noProof/>
        </w:rPr>
        <w:t xml:space="preserve"> burden</w:t>
      </w:r>
    </w:p>
    <w:p w14:paraId="3EEA3705" w14:textId="77777777" w:rsidR="00285741" w:rsidDel="007229D0" w:rsidRDefault="00285741">
      <w:pPr>
        <w:pStyle w:val="Text2"/>
        <w:spacing w:after="120"/>
        <w:ind w:left="0"/>
        <w:rPr>
          <w:noProof/>
        </w:rPr>
      </w:pPr>
      <w:r w:rsidRPr="72170573">
        <w:rPr>
          <w:b/>
          <w:noProof/>
        </w:rPr>
        <w:t>LEAD_EII 1 -</w:t>
      </w:r>
      <w:r w:rsidRPr="72170573">
        <w:rPr>
          <w:noProof/>
        </w:rPr>
        <w:t xml:space="preserve"> Public authorities </w:t>
      </w:r>
      <w:r>
        <w:rPr>
          <w:noProof/>
        </w:rPr>
        <w:t>can</w:t>
      </w:r>
      <w:r w:rsidRPr="72170573">
        <w:rPr>
          <w:noProof/>
        </w:rPr>
        <w:t xml:space="preserve"> encounter increased administrative burden in ensuring compliance with low-carbon requirements for energy-intensive materials. Effective implementation depends on the availability of reliable and transparent standards, emissions accounting methodologies, and certification systems as well as guidance for Member States.</w:t>
      </w:r>
    </w:p>
    <w:p w14:paraId="3A4D9F85" w14:textId="77777777" w:rsidR="00285741" w:rsidRDefault="00285741">
      <w:pPr>
        <w:pStyle w:val="Text2"/>
        <w:spacing w:after="120"/>
        <w:ind w:left="0"/>
        <w:rPr>
          <w:noProof/>
        </w:rPr>
      </w:pPr>
      <w:r>
        <w:rPr>
          <w:b/>
          <w:noProof/>
        </w:rPr>
        <w:t xml:space="preserve">LEAD_BAT 1 </w:t>
      </w:r>
      <w:r>
        <w:rPr>
          <w:noProof/>
        </w:rPr>
        <w:t xml:space="preserve">would increase the administrative burden on Member States to ensure compliance with the requirement. Rather than using a detailed value-based approach calculation, fixed </w:t>
      </w:r>
      <w:r w:rsidRPr="742729A5">
        <w:rPr>
          <w:noProof/>
        </w:rPr>
        <w:t>component</w:t>
      </w:r>
      <w:r>
        <w:rPr>
          <w:noProof/>
        </w:rPr>
        <w:t xml:space="preserve"> percentages would help lessen the administrative burden.</w:t>
      </w:r>
    </w:p>
    <w:p w14:paraId="4C252CC9" w14:textId="319B8D8C" w:rsidR="009C49EF" w:rsidRDefault="00285741">
      <w:pPr>
        <w:pStyle w:val="Text2"/>
        <w:spacing w:after="120"/>
        <w:ind w:left="0"/>
        <w:rPr>
          <w:noProof/>
        </w:rPr>
      </w:pPr>
      <w:r>
        <w:rPr>
          <w:b/>
          <w:bCs/>
          <w:noProof/>
        </w:rPr>
        <w:t xml:space="preserve">INV 1 </w:t>
      </w:r>
      <w:r w:rsidRPr="00CF06C8">
        <w:rPr>
          <w:b/>
          <w:noProof/>
        </w:rPr>
        <w:t>-</w:t>
      </w:r>
      <w:r w:rsidRPr="00CF06C8">
        <w:rPr>
          <w:noProof/>
        </w:rPr>
        <w:t xml:space="preserve"> </w:t>
      </w:r>
      <w:r w:rsidR="00675CB2" w:rsidRPr="00CF06C8">
        <w:rPr>
          <w:noProof/>
        </w:rPr>
        <w:t>As the measure is voluntary, Member States would face no obligation to adapt their national frameworks or establish new implementation mechanisms.</w:t>
      </w:r>
      <w:r w:rsidRPr="00CF06C8">
        <w:rPr>
          <w:noProof/>
        </w:rPr>
        <w:t xml:space="preserve"> </w:t>
      </w:r>
      <w:r w:rsidR="0083463A" w:rsidRPr="00CF06C8">
        <w:rPr>
          <w:noProof/>
        </w:rPr>
        <w:t xml:space="preserve">Administrative impacts arise only where a Member State chooses to apply the guidance, in which case the additional burden would remain </w:t>
      </w:r>
      <w:r w:rsidRPr="00CF06C8">
        <w:rPr>
          <w:noProof/>
        </w:rPr>
        <w:t xml:space="preserve">limited </w:t>
      </w:r>
      <w:r w:rsidR="0083463A" w:rsidRPr="00CF06C8">
        <w:rPr>
          <w:noProof/>
        </w:rPr>
        <w:t>with respect</w:t>
      </w:r>
      <w:r w:rsidR="0083463A">
        <w:rPr>
          <w:noProof/>
        </w:rPr>
        <w:t xml:space="preserve"> to </w:t>
      </w:r>
      <w:r w:rsidRPr="00801F8A">
        <w:rPr>
          <w:noProof/>
        </w:rPr>
        <w:t xml:space="preserve">additional administrative costs for </w:t>
      </w:r>
      <w:r>
        <w:rPr>
          <w:noProof/>
        </w:rPr>
        <w:t>national authorities</w:t>
      </w:r>
      <w:r w:rsidRPr="00801F8A">
        <w:rPr>
          <w:noProof/>
        </w:rPr>
        <w:t xml:space="preserve">. </w:t>
      </w:r>
      <w:r>
        <w:rPr>
          <w:noProof/>
        </w:rPr>
        <w:t>In fact, t</w:t>
      </w:r>
      <w:r w:rsidRPr="00801F8A">
        <w:rPr>
          <w:noProof/>
        </w:rPr>
        <w:t xml:space="preserve">he Commission’s Evaluation of the FDI Screening Regulation </w:t>
      </w:r>
      <w:r>
        <w:rPr>
          <w:noProof/>
        </w:rPr>
        <w:t>found only</w:t>
      </w:r>
      <w:r w:rsidRPr="00801F8A">
        <w:rPr>
          <w:noProof/>
        </w:rPr>
        <w:t xml:space="preserve"> a ‘minimal financial burden’ for Member States.</w:t>
      </w:r>
      <w:r>
        <w:rPr>
          <w:rStyle w:val="FootnoteReference"/>
          <w:noProof/>
        </w:rPr>
        <w:footnoteReference w:id="197"/>
      </w:r>
    </w:p>
    <w:p w14:paraId="4EED8FF3" w14:textId="36371EB3" w:rsidR="00285741" w:rsidRDefault="00285741">
      <w:pPr>
        <w:pStyle w:val="Text2"/>
        <w:spacing w:after="120"/>
        <w:ind w:left="0"/>
        <w:rPr>
          <w:noProof/>
        </w:rPr>
      </w:pPr>
      <w:r>
        <w:rPr>
          <w:b/>
          <w:bCs/>
          <w:noProof/>
        </w:rPr>
        <w:t>PERM 1 -</w:t>
      </w:r>
      <w:r>
        <w:rPr>
          <w:noProof/>
        </w:rPr>
        <w:t xml:space="preserve"> Digitalising the permitting process </w:t>
      </w:r>
      <w:r w:rsidRPr="00CF4C80">
        <w:rPr>
          <w:noProof/>
        </w:rPr>
        <w:t xml:space="preserve">would </w:t>
      </w:r>
      <w:r>
        <w:rPr>
          <w:noProof/>
        </w:rPr>
        <w:t xml:space="preserve">streamline transactions </w:t>
      </w:r>
      <w:r w:rsidRPr="00CF4C80">
        <w:rPr>
          <w:noProof/>
        </w:rPr>
        <w:t>between public administrations and users</w:t>
      </w:r>
      <w:r>
        <w:rPr>
          <w:noProof/>
        </w:rPr>
        <w:t>,</w:t>
      </w:r>
      <w:r w:rsidRPr="00CF4C80">
        <w:rPr>
          <w:noProof/>
        </w:rPr>
        <w:t xml:space="preserve"> result</w:t>
      </w:r>
      <w:r>
        <w:rPr>
          <w:noProof/>
        </w:rPr>
        <w:t>ing</w:t>
      </w:r>
      <w:r w:rsidRPr="00CF4C80">
        <w:rPr>
          <w:noProof/>
        </w:rPr>
        <w:t xml:space="preserve"> in time savings for both </w:t>
      </w:r>
      <w:r>
        <w:rPr>
          <w:noProof/>
        </w:rPr>
        <w:t xml:space="preserve">parties. Moreover, </w:t>
      </w:r>
      <w:r w:rsidRPr="00320484">
        <w:rPr>
          <w:noProof/>
        </w:rPr>
        <w:t xml:space="preserve">the economic </w:t>
      </w:r>
      <w:r>
        <w:rPr>
          <w:noProof/>
        </w:rPr>
        <w:t>benefits</w:t>
      </w:r>
      <w:r w:rsidRPr="00320484">
        <w:rPr>
          <w:noProof/>
        </w:rPr>
        <w:t xml:space="preserve"> </w:t>
      </w:r>
      <w:r>
        <w:rPr>
          <w:noProof/>
        </w:rPr>
        <w:t>for public authorities are greatest</w:t>
      </w:r>
      <w:r w:rsidRPr="00320484">
        <w:rPr>
          <w:noProof/>
        </w:rPr>
        <w:t xml:space="preserve"> when </w:t>
      </w:r>
      <w:r>
        <w:rPr>
          <w:noProof/>
        </w:rPr>
        <w:t xml:space="preserve">digitalisation is implemented swiftly </w:t>
      </w:r>
      <w:r w:rsidRPr="00320484">
        <w:rPr>
          <w:noProof/>
        </w:rPr>
        <w:t xml:space="preserve">and </w:t>
      </w:r>
      <w:r>
        <w:rPr>
          <w:noProof/>
        </w:rPr>
        <w:t>covers</w:t>
      </w:r>
      <w:r w:rsidRPr="00320484">
        <w:rPr>
          <w:noProof/>
        </w:rPr>
        <w:t xml:space="preserve"> a substantial number of transactions</w:t>
      </w:r>
      <w:r>
        <w:rPr>
          <w:noProof/>
        </w:rPr>
        <w:t>.</w:t>
      </w:r>
      <w:r>
        <w:rPr>
          <w:rStyle w:val="FootnoteReference"/>
          <w:noProof/>
        </w:rPr>
        <w:footnoteReference w:id="198"/>
      </w:r>
      <w:r>
        <w:rPr>
          <w:noProof/>
        </w:rPr>
        <w:t xml:space="preserve"> The biggest beneficiary of these savings would be municipalities, as they normally carry the biggest burden in the permit-granting process. </w:t>
      </w:r>
    </w:p>
    <w:p w14:paraId="0AB846EE" w14:textId="20760CEA" w:rsidR="00285741" w:rsidRDefault="00285741">
      <w:pPr>
        <w:pStyle w:val="Text2"/>
        <w:spacing w:after="120"/>
        <w:ind w:left="0"/>
        <w:rPr>
          <w:noProof/>
        </w:rPr>
      </w:pPr>
      <w:r>
        <w:rPr>
          <w:noProof/>
        </w:rPr>
        <w:t>The type of c</w:t>
      </w:r>
      <w:r w:rsidRPr="004A1345">
        <w:rPr>
          <w:noProof/>
        </w:rPr>
        <w:t xml:space="preserve">osts </w:t>
      </w:r>
      <w:r>
        <w:rPr>
          <w:noProof/>
        </w:rPr>
        <w:t>initially incurred by</w:t>
      </w:r>
      <w:r w:rsidRPr="004A1345">
        <w:rPr>
          <w:noProof/>
        </w:rPr>
        <w:t xml:space="preserve"> public administration</w:t>
      </w:r>
      <w:r>
        <w:rPr>
          <w:noProof/>
        </w:rPr>
        <w:t xml:space="preserve">s would be investment costs during the development and implementation phase, which can also include transitional costs from the paper/offline to the digitalised process. In addition, additional operational costs for the management of the tool are also expected. A reorganisation of the administration in some Member States may be required and can be costly in the short term. In turn, this measure can avoid duplication of efforts, notably at the various stages of environmental assessments. </w:t>
      </w:r>
      <w:r w:rsidR="00795740">
        <w:rPr>
          <w:noProof/>
        </w:rPr>
        <w:t>Similar digitalisation process</w:t>
      </w:r>
      <w:r w:rsidR="00684088">
        <w:rPr>
          <w:noProof/>
        </w:rPr>
        <w:t xml:space="preserve">es show net benefits for </w:t>
      </w:r>
      <w:r w:rsidR="00974AC2">
        <w:rPr>
          <w:noProof/>
        </w:rPr>
        <w:t>all relevant administr</w:t>
      </w:r>
      <w:r w:rsidR="00FC6466">
        <w:rPr>
          <w:noProof/>
        </w:rPr>
        <w:t>ative authorities (local, regional and national)</w:t>
      </w:r>
      <w:r w:rsidR="001571FD">
        <w:rPr>
          <w:noProof/>
        </w:rPr>
        <w:t>, even after</w:t>
      </w:r>
      <w:r w:rsidR="00FC6466">
        <w:rPr>
          <w:noProof/>
        </w:rPr>
        <w:t xml:space="preserve"> the upfront cost of implementation </w:t>
      </w:r>
      <w:r w:rsidR="0098729B">
        <w:rPr>
          <w:noProof/>
        </w:rPr>
        <w:t>for the first year.</w:t>
      </w:r>
      <w:r w:rsidR="00DD1824">
        <w:rPr>
          <w:rStyle w:val="FootnoteReference"/>
          <w:noProof/>
        </w:rPr>
        <w:footnoteReference w:id="199"/>
      </w:r>
      <w:r w:rsidR="008040C3">
        <w:rPr>
          <w:noProof/>
        </w:rPr>
        <w:t xml:space="preserve"> A</w:t>
      </w:r>
      <w:r w:rsidR="0005523E">
        <w:rPr>
          <w:noProof/>
        </w:rPr>
        <w:t>n up</w:t>
      </w:r>
      <w:r w:rsidR="005E5F0C">
        <w:rPr>
          <w:noProof/>
        </w:rPr>
        <w:t>f</w:t>
      </w:r>
      <w:r w:rsidR="0005523E">
        <w:rPr>
          <w:noProof/>
        </w:rPr>
        <w:t>ront</w:t>
      </w:r>
      <w:r w:rsidR="008040C3">
        <w:rPr>
          <w:noProof/>
        </w:rPr>
        <w:t xml:space="preserve"> cost of </w:t>
      </w:r>
      <w:r w:rsidR="008040C3" w:rsidRPr="008040C3">
        <w:rPr>
          <w:noProof/>
        </w:rPr>
        <w:t xml:space="preserve">EUR </w:t>
      </w:r>
      <w:r w:rsidR="00FA71D7">
        <w:rPr>
          <w:noProof/>
        </w:rPr>
        <w:t xml:space="preserve">16 000 to EUR </w:t>
      </w:r>
      <w:r w:rsidR="008040C3" w:rsidRPr="008040C3">
        <w:rPr>
          <w:noProof/>
        </w:rPr>
        <w:t>400 000</w:t>
      </w:r>
      <w:r w:rsidR="008040C3">
        <w:rPr>
          <w:noProof/>
        </w:rPr>
        <w:t xml:space="preserve"> to digitalise </w:t>
      </w:r>
      <w:r w:rsidR="00FA71D7">
        <w:rPr>
          <w:noProof/>
        </w:rPr>
        <w:t>a</w:t>
      </w:r>
      <w:r w:rsidR="008040C3">
        <w:rPr>
          <w:noProof/>
        </w:rPr>
        <w:t xml:space="preserve"> procedure</w:t>
      </w:r>
      <w:r w:rsidR="00FA71D7">
        <w:rPr>
          <w:noProof/>
        </w:rPr>
        <w:t xml:space="preserve">, depending on whether </w:t>
      </w:r>
      <w:r w:rsidR="00FA71D7">
        <w:rPr>
          <w:noProof/>
        </w:rPr>
        <w:lastRenderedPageBreak/>
        <w:t>it’s a local or other type of procedure</w:t>
      </w:r>
      <w:r w:rsidR="00225815">
        <w:rPr>
          <w:noProof/>
        </w:rPr>
        <w:t>s can be considered</w:t>
      </w:r>
      <w:r w:rsidR="00185752">
        <w:rPr>
          <w:noProof/>
        </w:rPr>
        <w:t xml:space="preserve"> in this context</w:t>
      </w:r>
      <w:r w:rsidR="00225815">
        <w:rPr>
          <w:noProof/>
        </w:rPr>
        <w:t>.</w:t>
      </w:r>
      <w:r w:rsidR="003B3A5D">
        <w:rPr>
          <w:noProof/>
        </w:rPr>
        <w:t xml:space="preserve"> </w:t>
      </w:r>
      <w:r w:rsidR="003B3A5D" w:rsidRPr="00A1737C">
        <w:rPr>
          <w:noProof/>
        </w:rPr>
        <w:t>Estimates based on digitalisation of procedures</w:t>
      </w:r>
      <w:r w:rsidR="003B3A5D">
        <w:rPr>
          <w:noProof/>
        </w:rPr>
        <w:t xml:space="preserve"> can show </w:t>
      </w:r>
      <w:r w:rsidR="003B3A5D" w:rsidRPr="00CF06C8">
        <w:rPr>
          <w:noProof/>
        </w:rPr>
        <w:t xml:space="preserve">savings up to EUR </w:t>
      </w:r>
      <w:r w:rsidR="00741872" w:rsidRPr="00CF06C8">
        <w:rPr>
          <w:noProof/>
        </w:rPr>
        <w:t>1.</w:t>
      </w:r>
      <w:r w:rsidR="00707A12" w:rsidRPr="00CF06C8">
        <w:rPr>
          <w:noProof/>
        </w:rPr>
        <w:t>3</w:t>
      </w:r>
      <w:r w:rsidR="00741872" w:rsidRPr="00CF06C8">
        <w:rPr>
          <w:noProof/>
        </w:rPr>
        <w:t xml:space="preserve"> billion </w:t>
      </w:r>
      <w:r w:rsidR="003B3A5D" w:rsidRPr="00CF06C8">
        <w:rPr>
          <w:noProof/>
        </w:rPr>
        <w:t xml:space="preserve">per year for </w:t>
      </w:r>
      <w:r w:rsidR="00D40B2B" w:rsidRPr="00CF06C8">
        <w:rPr>
          <w:noProof/>
        </w:rPr>
        <w:t xml:space="preserve">EU </w:t>
      </w:r>
      <w:r w:rsidR="003B3A5D" w:rsidRPr="00CF06C8">
        <w:rPr>
          <w:noProof/>
        </w:rPr>
        <w:t>government</w:t>
      </w:r>
      <w:r w:rsidR="00D40B2B" w:rsidRPr="00CF06C8">
        <w:rPr>
          <w:noProof/>
        </w:rPr>
        <w:t>s</w:t>
      </w:r>
      <w:r w:rsidR="003B3A5D" w:rsidRPr="00CF06C8">
        <w:rPr>
          <w:noProof/>
        </w:rPr>
        <w:t xml:space="preserve"> in efficiency savings</w:t>
      </w:r>
      <w:r w:rsidR="003B3A5D">
        <w:rPr>
          <w:noProof/>
        </w:rPr>
        <w:t>.</w:t>
      </w:r>
      <w:r w:rsidR="00225815">
        <w:rPr>
          <w:rStyle w:val="FootnoteReference"/>
          <w:noProof/>
        </w:rPr>
        <w:footnoteReference w:id="200"/>
      </w:r>
      <w:r w:rsidR="00225815">
        <w:rPr>
          <w:noProof/>
        </w:rPr>
        <w:t xml:space="preserve"> </w:t>
      </w:r>
      <w:r w:rsidR="00C75AF1" w:rsidRPr="00CF06C8">
        <w:rPr>
          <w:noProof/>
        </w:rPr>
        <w:t>S</w:t>
      </w:r>
      <w:r w:rsidR="008D36DC" w:rsidRPr="00CF06C8">
        <w:rPr>
          <w:noProof/>
        </w:rPr>
        <w:t>ee Annex 4 for more information.</w:t>
      </w:r>
      <w:r w:rsidR="008D36DC">
        <w:rPr>
          <w:noProof/>
        </w:rPr>
        <w:t xml:space="preserve"> </w:t>
      </w:r>
      <w:r w:rsidR="00324164">
        <w:rPr>
          <w:noProof/>
        </w:rPr>
        <w:t xml:space="preserve">However, accurate estimates are hard to quantify </w:t>
      </w:r>
      <w:r w:rsidR="00B859D0">
        <w:rPr>
          <w:noProof/>
        </w:rPr>
        <w:t>precisely, as they depend on</w:t>
      </w:r>
      <w:r w:rsidR="00324164">
        <w:rPr>
          <w:noProof/>
        </w:rPr>
        <w:t xml:space="preserve"> </w:t>
      </w:r>
      <w:r w:rsidR="00FE4498">
        <w:rPr>
          <w:noProof/>
        </w:rPr>
        <w:t xml:space="preserve">the level of digitalisation of </w:t>
      </w:r>
      <w:r w:rsidR="00D07BA1">
        <w:rPr>
          <w:noProof/>
        </w:rPr>
        <w:t>the relevant procedures</w:t>
      </w:r>
      <w:r w:rsidR="004766DA">
        <w:rPr>
          <w:noProof/>
        </w:rPr>
        <w:t xml:space="preserve">, </w:t>
      </w:r>
      <w:r w:rsidR="00020718">
        <w:rPr>
          <w:noProof/>
        </w:rPr>
        <w:t>their complexity or number of relevant procedure</w:t>
      </w:r>
      <w:r w:rsidR="00346071">
        <w:rPr>
          <w:noProof/>
        </w:rPr>
        <w:t xml:space="preserve">s. </w:t>
      </w:r>
    </w:p>
    <w:p w14:paraId="5A85D048" w14:textId="01E7A6BC" w:rsidR="00285741" w:rsidRPr="000272AD" w:rsidRDefault="00285741">
      <w:pPr>
        <w:pStyle w:val="Text2"/>
        <w:spacing w:after="120"/>
        <w:ind w:left="0"/>
        <w:rPr>
          <w:noProof/>
        </w:rPr>
      </w:pPr>
      <w:r>
        <w:rPr>
          <w:noProof/>
        </w:rPr>
        <w:t xml:space="preserve">A small </w:t>
      </w:r>
      <w:r w:rsidR="00E25566">
        <w:rPr>
          <w:noProof/>
        </w:rPr>
        <w:t xml:space="preserve">additional </w:t>
      </w:r>
      <w:r>
        <w:rPr>
          <w:noProof/>
        </w:rPr>
        <w:t>administrative cost</w:t>
      </w:r>
      <w:r w:rsidRPr="00393D17">
        <w:rPr>
          <w:noProof/>
        </w:rPr>
        <w:t xml:space="preserve"> can be expected when updating the Single Digital Gateway system</w:t>
      </w:r>
      <w:r>
        <w:rPr>
          <w:noProof/>
        </w:rPr>
        <w:t xml:space="preserve"> to streamline the accessibility of information for cross-border users, updating the system to include the permit-granting process</w:t>
      </w:r>
      <w:r w:rsidRPr="00393D17">
        <w:rPr>
          <w:noProof/>
        </w:rPr>
        <w:t xml:space="preserve"> </w:t>
      </w:r>
      <w:r>
        <w:rPr>
          <w:noProof/>
        </w:rPr>
        <w:t xml:space="preserve">for manufacturing industries </w:t>
      </w:r>
      <w:r w:rsidRPr="00393D17">
        <w:rPr>
          <w:noProof/>
        </w:rPr>
        <w:t xml:space="preserve">with a sectoral approach </w:t>
      </w:r>
      <w:r>
        <w:rPr>
          <w:noProof/>
        </w:rPr>
        <w:t>of</w:t>
      </w:r>
      <w:r w:rsidRPr="00393D17">
        <w:rPr>
          <w:noProof/>
        </w:rPr>
        <w:t xml:space="preserve"> EUR 20</w:t>
      </w:r>
      <w:r w:rsidR="00B8591D">
        <w:rPr>
          <w:noProof/>
        </w:rPr>
        <w:t xml:space="preserve"> </w:t>
      </w:r>
      <w:r w:rsidRPr="00393D17">
        <w:rPr>
          <w:noProof/>
        </w:rPr>
        <w:t>000 per</w:t>
      </w:r>
      <w:r>
        <w:rPr>
          <w:noProof/>
        </w:rPr>
        <w:t xml:space="preserve"> </w:t>
      </w:r>
      <w:r w:rsidRPr="00393D17">
        <w:rPr>
          <w:noProof/>
        </w:rPr>
        <w:t xml:space="preserve">section for the </w:t>
      </w:r>
      <w:r>
        <w:rPr>
          <w:noProof/>
        </w:rPr>
        <w:t xml:space="preserve">Commission </w:t>
      </w:r>
      <w:r w:rsidRPr="00393D17">
        <w:rPr>
          <w:noProof/>
        </w:rPr>
        <w:t>and up to EUR 40</w:t>
      </w:r>
      <w:r w:rsidR="00B8591D">
        <w:rPr>
          <w:noProof/>
        </w:rPr>
        <w:t xml:space="preserve"> </w:t>
      </w:r>
      <w:r w:rsidRPr="00393D17">
        <w:rPr>
          <w:noProof/>
        </w:rPr>
        <w:t>000 for Member States, per section</w:t>
      </w:r>
      <w:r>
        <w:rPr>
          <w:noProof/>
        </w:rPr>
        <w:t xml:space="preserve"> </w:t>
      </w:r>
      <w:r w:rsidRPr="000272AD">
        <w:rPr>
          <w:noProof/>
        </w:rPr>
        <w:t>as well</w:t>
      </w:r>
      <w:r w:rsidRPr="00393D17">
        <w:rPr>
          <w:noProof/>
        </w:rPr>
        <w:t>.</w:t>
      </w:r>
      <w:r>
        <w:rPr>
          <w:noProof/>
        </w:rPr>
        <w:t xml:space="preserve"> For more information on aggregate cost calculations for the Single Digital Gateway amendments, see Annex 4 </w:t>
      </w:r>
      <w:r w:rsidR="00E8682E">
        <w:rPr>
          <w:noProof/>
        </w:rPr>
        <w:t>Section</w:t>
      </w:r>
      <w:r>
        <w:rPr>
          <w:noProof/>
        </w:rPr>
        <w:t xml:space="preserve"> 2.1.</w:t>
      </w:r>
    </w:p>
    <w:p w14:paraId="5A94405B" w14:textId="77777777" w:rsidR="00285741" w:rsidRDefault="00285741">
      <w:pPr>
        <w:pStyle w:val="Text2"/>
        <w:tabs>
          <w:tab w:val="clear" w:pos="2302"/>
          <w:tab w:val="left" w:pos="851"/>
          <w:tab w:val="left" w:pos="2127"/>
        </w:tabs>
        <w:ind w:left="0"/>
        <w:rPr>
          <w:b/>
          <w:bCs/>
          <w:noProof/>
        </w:rPr>
      </w:pPr>
      <w:r>
        <w:rPr>
          <w:noProof/>
        </w:rPr>
        <w:t>The introduction of technical assistance for innovative projects will have positive impacts for the national authorities’ staff. Training on the most relevant innovative technologies will facilitate the treatment of permits and reduce the need to contact the project promoter for additional clarifications. In this context, the role of INCITE is particularly relevant.</w:t>
      </w:r>
      <w:r w:rsidRPr="4FE43E78">
        <w:rPr>
          <w:b/>
          <w:bCs/>
          <w:noProof/>
        </w:rPr>
        <w:t xml:space="preserve"> </w:t>
      </w:r>
    </w:p>
    <w:p w14:paraId="0475D9F9" w14:textId="0FFEC8E9" w:rsidR="00285741" w:rsidRPr="00310056" w:rsidRDefault="00285741" w:rsidP="00285741">
      <w:pPr>
        <w:pStyle w:val="Heading3"/>
        <w:numPr>
          <w:ilvl w:val="2"/>
          <w:numId w:val="64"/>
        </w:numPr>
        <w:spacing w:before="0" w:after="0"/>
        <w:ind w:hanging="11"/>
        <w:rPr>
          <w:b/>
          <w:i w:val="0"/>
        </w:rPr>
      </w:pPr>
      <w:r w:rsidRPr="00310056">
        <w:rPr>
          <w:b/>
          <w:i w:val="0"/>
        </w:rPr>
        <w:t xml:space="preserve">Social </w:t>
      </w:r>
      <w:r w:rsidR="00D3482D">
        <w:rPr>
          <w:b/>
          <w:i w:val="0"/>
        </w:rPr>
        <w:t>i</w:t>
      </w:r>
      <w:r w:rsidRPr="00310056">
        <w:rPr>
          <w:b/>
          <w:i w:val="0"/>
        </w:rPr>
        <w:t>mpacts</w:t>
      </w:r>
    </w:p>
    <w:p w14:paraId="3837E30D" w14:textId="496D18C4" w:rsidR="00285741" w:rsidRDefault="00285741">
      <w:pPr>
        <w:pStyle w:val="Text2"/>
        <w:spacing w:before="240" w:after="120"/>
        <w:ind w:left="0"/>
        <w:rPr>
          <w:noProof/>
        </w:rPr>
      </w:pPr>
      <w:r w:rsidRPr="4A1A64C6">
        <w:rPr>
          <w:b/>
          <w:bCs/>
          <w:noProof/>
        </w:rPr>
        <w:t xml:space="preserve">LEAD_EII </w:t>
      </w:r>
      <w:r w:rsidRPr="000C23B2">
        <w:rPr>
          <w:b/>
          <w:bCs/>
          <w:noProof/>
        </w:rPr>
        <w:t>1</w:t>
      </w:r>
      <w:r w:rsidRPr="4A1A64C6">
        <w:rPr>
          <w:b/>
          <w:bCs/>
          <w:noProof/>
        </w:rPr>
        <w:t xml:space="preserve"> – </w:t>
      </w:r>
      <w:r>
        <w:rPr>
          <w:noProof/>
        </w:rPr>
        <w:t>The</w:t>
      </w:r>
      <w:r w:rsidRPr="008F1464">
        <w:rPr>
          <w:noProof/>
        </w:rPr>
        <w:t xml:space="preserve"> creation of new demand for low-carbon materials is expected to spur investments in decarbonisation technologies. </w:t>
      </w:r>
      <w:r w:rsidRPr="000C7EE4">
        <w:rPr>
          <w:noProof/>
        </w:rPr>
        <w:t xml:space="preserve">Analysis by </w:t>
      </w:r>
      <w:r>
        <w:rPr>
          <w:noProof/>
        </w:rPr>
        <w:t xml:space="preserve">think tank </w:t>
      </w:r>
      <w:r w:rsidRPr="000C7EE4">
        <w:rPr>
          <w:noProof/>
        </w:rPr>
        <w:t>Strategic Perspectives estimates that introducing low-carbon requirements</w:t>
      </w:r>
      <w:r w:rsidRPr="000C7EE4">
        <w:rPr>
          <w:rStyle w:val="FootnoteReference"/>
          <w:noProof/>
        </w:rPr>
        <w:footnoteReference w:id="201"/>
      </w:r>
      <w:r>
        <w:rPr>
          <w:noProof/>
        </w:rPr>
        <w:t xml:space="preserve"> </w:t>
      </w:r>
      <w:r w:rsidRPr="000C7EE4">
        <w:rPr>
          <w:noProof/>
        </w:rPr>
        <w:t xml:space="preserve">for steel in public procurement could </w:t>
      </w:r>
      <w:r w:rsidR="00D349CC">
        <w:rPr>
          <w:noProof/>
        </w:rPr>
        <w:t>preserve</w:t>
      </w:r>
      <w:r w:rsidR="00D349CC" w:rsidRPr="000C7EE4">
        <w:rPr>
          <w:noProof/>
        </w:rPr>
        <w:t xml:space="preserve"> </w:t>
      </w:r>
      <w:r w:rsidR="008F25A7" w:rsidRPr="000C7EE4">
        <w:rPr>
          <w:noProof/>
        </w:rPr>
        <w:t xml:space="preserve">approximately </w:t>
      </w:r>
      <w:r w:rsidR="00122ED8" w:rsidRPr="000C7EE4">
        <w:rPr>
          <w:noProof/>
        </w:rPr>
        <w:t>4</w:t>
      </w:r>
      <w:r w:rsidR="00122ED8">
        <w:rPr>
          <w:noProof/>
        </w:rPr>
        <w:t xml:space="preserve"> 500</w:t>
      </w:r>
      <w:r w:rsidR="00122ED8" w:rsidRPr="000C7EE4">
        <w:rPr>
          <w:noProof/>
        </w:rPr>
        <w:t xml:space="preserve"> additional jobs in the steel sector </w:t>
      </w:r>
      <w:r w:rsidRPr="000C7EE4">
        <w:rPr>
          <w:noProof/>
        </w:rPr>
        <w:t>by 2030</w:t>
      </w:r>
      <w:r w:rsidR="007C3A7B">
        <w:rPr>
          <w:noProof/>
        </w:rPr>
        <w:t xml:space="preserve"> compared to </w:t>
      </w:r>
      <w:r w:rsidR="00E253AE">
        <w:rPr>
          <w:noProof/>
        </w:rPr>
        <w:t>the</w:t>
      </w:r>
      <w:r w:rsidR="00825F29">
        <w:rPr>
          <w:noProof/>
        </w:rPr>
        <w:t xml:space="preserve"> baseline scenario</w:t>
      </w:r>
      <w:r w:rsidRPr="000C7EE4">
        <w:rPr>
          <w:noProof/>
        </w:rPr>
        <w:t>.</w:t>
      </w:r>
      <w:r>
        <w:rPr>
          <w:rStyle w:val="FootnoteReference"/>
          <w:noProof/>
        </w:rPr>
        <w:footnoteReference w:id="202"/>
      </w:r>
    </w:p>
    <w:p w14:paraId="530E2909" w14:textId="2FD5EC35" w:rsidR="00285741" w:rsidRDefault="00285741">
      <w:pPr>
        <w:pStyle w:val="Text2"/>
        <w:spacing w:after="120"/>
        <w:ind w:left="0"/>
        <w:rPr>
          <w:noProof/>
        </w:rPr>
      </w:pPr>
      <w:r>
        <w:rPr>
          <w:b/>
          <w:bCs/>
          <w:noProof/>
        </w:rPr>
        <w:t xml:space="preserve">LEAD_BAT 1 - </w:t>
      </w:r>
      <w:r w:rsidR="00E83DDC">
        <w:rPr>
          <w:noProof/>
        </w:rPr>
        <w:t>Made in EU</w:t>
      </w:r>
      <w:r w:rsidRPr="005B450C">
        <w:rPr>
          <w:noProof/>
        </w:rPr>
        <w:t xml:space="preserve"> requirements can play a critical role in safeguarding and expanding employment across the European battery value chain. By creating stronger demand for locally produced components, </w:t>
      </w:r>
      <w:r w:rsidR="00E83DDC">
        <w:rPr>
          <w:noProof/>
        </w:rPr>
        <w:t>Made in EU</w:t>
      </w:r>
      <w:r w:rsidRPr="005B450C">
        <w:rPr>
          <w:noProof/>
        </w:rPr>
        <w:t xml:space="preserve"> requirements can help </w:t>
      </w:r>
      <w:r>
        <w:rPr>
          <w:noProof/>
        </w:rPr>
        <w:t xml:space="preserve">increase investments, </w:t>
      </w:r>
      <w:r w:rsidRPr="005B450C">
        <w:rPr>
          <w:noProof/>
        </w:rPr>
        <w:t xml:space="preserve">secure existing jobs and stimulate further </w:t>
      </w:r>
      <w:r>
        <w:rPr>
          <w:noProof/>
        </w:rPr>
        <w:t>employment</w:t>
      </w:r>
      <w:r w:rsidRPr="005B450C">
        <w:rPr>
          <w:noProof/>
        </w:rPr>
        <w:t xml:space="preserve"> across upstream and downstream the battery value chain.</w:t>
      </w:r>
      <w:r>
        <w:rPr>
          <w:noProof/>
        </w:rPr>
        <w:t xml:space="preserve"> The current battery project pipeline is expected to create 170</w:t>
      </w:r>
      <w:r w:rsidR="00B8591D">
        <w:rPr>
          <w:noProof/>
        </w:rPr>
        <w:t xml:space="preserve"> </w:t>
      </w:r>
      <w:r>
        <w:rPr>
          <w:noProof/>
        </w:rPr>
        <w:t>000 jobs by 2030.</w:t>
      </w:r>
      <w:r>
        <w:rPr>
          <w:rStyle w:val="FootnoteReference"/>
          <w:noProof/>
        </w:rPr>
        <w:footnoteReference w:id="203"/>
      </w:r>
      <w:r>
        <w:rPr>
          <w:noProof/>
        </w:rPr>
        <w:t xml:space="preserve"> In the battery cell sector alone, currently announced gigafactories are expected to create up to 128</w:t>
      </w:r>
      <w:r w:rsidR="00B8591D">
        <w:rPr>
          <w:noProof/>
        </w:rPr>
        <w:t xml:space="preserve"> </w:t>
      </w:r>
      <w:r>
        <w:rPr>
          <w:noProof/>
        </w:rPr>
        <w:t>000 jobs. However around 85</w:t>
      </w:r>
      <w:r w:rsidR="00B8591D">
        <w:rPr>
          <w:noProof/>
        </w:rPr>
        <w:t xml:space="preserve"> </w:t>
      </w:r>
      <w:r>
        <w:rPr>
          <w:noProof/>
        </w:rPr>
        <w:t>000 of these jobs are considered to be at high or medium risk.</w:t>
      </w:r>
      <w:r>
        <w:rPr>
          <w:rStyle w:val="FootnoteReference"/>
          <w:noProof/>
        </w:rPr>
        <w:footnoteReference w:id="204"/>
      </w:r>
      <w:r>
        <w:rPr>
          <w:noProof/>
        </w:rPr>
        <w:t xml:space="preserve"> LEAD_BAT 1 would help derisk these jobs, which currently amount to around 66% of the total jobs in the pipeline.</w:t>
      </w:r>
    </w:p>
    <w:p w14:paraId="61492AC4" w14:textId="73B75003" w:rsidR="00285741" w:rsidRPr="00BC44C5" w:rsidRDefault="00285741">
      <w:pPr>
        <w:pStyle w:val="Text2"/>
        <w:spacing w:after="120"/>
        <w:ind w:left="0"/>
        <w:rPr>
          <w:noProof/>
          <w:szCs w:val="24"/>
          <w:u w:val="single"/>
        </w:rPr>
      </w:pPr>
      <w:r>
        <w:rPr>
          <w:b/>
          <w:bCs/>
          <w:noProof/>
        </w:rPr>
        <w:t xml:space="preserve">LEAD_SOL 1 </w:t>
      </w:r>
      <w:r>
        <w:rPr>
          <w:noProof/>
        </w:rPr>
        <w:t>could deliver a substantial boost to employment. According to InnoEnergy, manufacturing 30 GW of solar panels annually in Europe alone would require 20</w:t>
      </w:r>
      <w:r w:rsidR="00B8591D">
        <w:rPr>
          <w:noProof/>
        </w:rPr>
        <w:t xml:space="preserve"> </w:t>
      </w:r>
      <w:r>
        <w:rPr>
          <w:noProof/>
        </w:rPr>
        <w:t>000 trained operators and technicians</w:t>
      </w:r>
      <w:r>
        <w:rPr>
          <w:rStyle w:val="FootnoteReference"/>
          <w:noProof/>
        </w:rPr>
        <w:footnoteReference w:id="205"/>
      </w:r>
      <w:r>
        <w:rPr>
          <w:noProof/>
        </w:rPr>
        <w:t xml:space="preserve">, underscoring the need for dedicated workforce development. In this context, </w:t>
      </w:r>
      <w:r w:rsidR="00E83DDC">
        <w:rPr>
          <w:noProof/>
        </w:rPr>
        <w:t>Made in EU</w:t>
      </w:r>
      <w:r>
        <w:rPr>
          <w:noProof/>
        </w:rPr>
        <w:t xml:space="preserve"> requirements would also help secure employment pathways for the growing number of skilled workers, including the 100</w:t>
      </w:r>
      <w:r w:rsidR="00B8591D">
        <w:rPr>
          <w:noProof/>
        </w:rPr>
        <w:t xml:space="preserve"> </w:t>
      </w:r>
      <w:r>
        <w:rPr>
          <w:noProof/>
        </w:rPr>
        <w:t xml:space="preserve">000 individuals the EU Solar Academy </w:t>
      </w:r>
      <w:r>
        <w:rPr>
          <w:noProof/>
        </w:rPr>
        <w:lastRenderedPageBreak/>
        <w:t>aims to upskill in solar PV by 2027, ensuring that training efforts are matched with long-term industrial job opportunities.</w:t>
      </w:r>
      <w:r w:rsidRPr="00E1461F">
        <w:rPr>
          <w:rStyle w:val="FootnoteReference"/>
          <w:noProof/>
        </w:rPr>
        <w:footnoteReference w:id="206"/>
      </w:r>
      <w:r w:rsidRPr="00E1461F">
        <w:rPr>
          <w:noProof/>
        </w:rPr>
        <w:t xml:space="preserve"> </w:t>
      </w:r>
    </w:p>
    <w:p w14:paraId="4EFA7BA4" w14:textId="77777777" w:rsidR="00285741" w:rsidRPr="0089424F" w:rsidRDefault="00285741">
      <w:pPr>
        <w:pStyle w:val="Text2"/>
        <w:spacing w:after="120"/>
        <w:ind w:left="0"/>
        <w:rPr>
          <w:noProof/>
        </w:rPr>
      </w:pPr>
      <w:bookmarkStart w:id="74" w:name="_Hlk212578817"/>
      <w:r w:rsidRPr="00157229">
        <w:rPr>
          <w:b/>
          <w:bCs/>
          <w:noProof/>
        </w:rPr>
        <w:t xml:space="preserve">LEAD_VC 1 </w:t>
      </w:r>
      <w:r w:rsidRPr="00157229">
        <w:rPr>
          <w:noProof/>
        </w:rPr>
        <w:t>could stop, and possibly reverse, the trend of progressive job losses which has been materialising over the past years in the EU’s vehicle components supply chain</w:t>
      </w:r>
      <w:r>
        <w:rPr>
          <w:noProof/>
        </w:rPr>
        <w:t>.</w:t>
      </w:r>
      <w:r>
        <w:rPr>
          <w:rStyle w:val="FootnoteReference"/>
          <w:noProof/>
        </w:rPr>
        <w:footnoteReference w:id="207"/>
      </w:r>
      <w:r w:rsidRPr="00157229">
        <w:rPr>
          <w:noProof/>
          <w:vertAlign w:val="superscript"/>
        </w:rPr>
        <w:t xml:space="preserve"> </w:t>
      </w:r>
      <w:r w:rsidRPr="00157229">
        <w:rPr>
          <w:noProof/>
        </w:rPr>
        <w:t xml:space="preserve">From this perspective, the minor vehicle price increases described above in the </w:t>
      </w:r>
      <w:r w:rsidRPr="663C4C1D">
        <w:rPr>
          <w:i/>
          <w:iCs/>
          <w:noProof/>
        </w:rPr>
        <w:t>impact on consumers</w:t>
      </w:r>
      <w:r>
        <w:rPr>
          <w:noProof/>
        </w:rPr>
        <w:t xml:space="preserve"> section, should be seen as irrelevant compared to the preservation of hundreds of thousands of high-quality jobs and a strong industrial base in the Union. F</w:t>
      </w:r>
      <w:r w:rsidRPr="00157229">
        <w:rPr>
          <w:noProof/>
        </w:rPr>
        <w:t>urthermore, the measure could create additional financial capacities for suppliers to be reinvested in future technologies.</w:t>
      </w:r>
      <w:r w:rsidRPr="09CA0190">
        <w:rPr>
          <w:noProof/>
        </w:rPr>
        <w:t> </w:t>
      </w:r>
    </w:p>
    <w:bookmarkEnd w:id="74"/>
    <w:p w14:paraId="7A6625A1" w14:textId="58A76A19" w:rsidR="00285741" w:rsidRPr="000272AD" w:rsidRDefault="00285741">
      <w:pPr>
        <w:pStyle w:val="Text2"/>
        <w:ind w:left="0"/>
        <w:rPr>
          <w:noProof/>
        </w:rPr>
      </w:pPr>
      <w:r w:rsidRPr="006A376F">
        <w:rPr>
          <w:b/>
          <w:bCs/>
          <w:noProof/>
        </w:rPr>
        <w:t>INV 1</w:t>
      </w:r>
      <w:r>
        <w:rPr>
          <w:noProof/>
        </w:rPr>
        <w:t xml:space="preserve"> </w:t>
      </w:r>
      <w:r w:rsidRPr="00CF06C8">
        <w:rPr>
          <w:noProof/>
        </w:rPr>
        <w:t xml:space="preserve">- </w:t>
      </w:r>
      <w:r w:rsidR="00401DCF" w:rsidRPr="00CF06C8">
        <w:rPr>
          <w:noProof/>
        </w:rPr>
        <w:t>As the measure is voluntary, social impacts would be limited and depend entirely on whether Member States choose to apply the guidance. Where implemented, some projects may generate additional employment or higher-quality jobs linked to localised activities, but these effects would be uneven and confined to specific regions. In Member States that do not adopt the guidance, no material social impact would occur, resulting in an overall limited and fragmented effect on EU employment and working conditions.</w:t>
      </w:r>
    </w:p>
    <w:p w14:paraId="3BBE96A3" w14:textId="7D23FDAE" w:rsidR="00285741" w:rsidRPr="005C6D64" w:rsidRDefault="00285741" w:rsidP="00285741">
      <w:pPr>
        <w:pStyle w:val="Heading3"/>
        <w:numPr>
          <w:ilvl w:val="2"/>
          <w:numId w:val="64"/>
        </w:numPr>
        <w:spacing w:before="0" w:after="0"/>
        <w:ind w:hanging="11"/>
        <w:rPr>
          <w:b/>
          <w:i w:val="0"/>
        </w:rPr>
      </w:pPr>
      <w:r w:rsidRPr="00310056">
        <w:rPr>
          <w:b/>
          <w:i w:val="0"/>
        </w:rPr>
        <w:t xml:space="preserve">Environmental </w:t>
      </w:r>
      <w:r w:rsidR="00D3482D">
        <w:rPr>
          <w:b/>
          <w:i w:val="0"/>
        </w:rPr>
        <w:t>i</w:t>
      </w:r>
      <w:r w:rsidRPr="00310056">
        <w:rPr>
          <w:b/>
          <w:i w:val="0"/>
        </w:rPr>
        <w:t>mpacts</w:t>
      </w:r>
    </w:p>
    <w:p w14:paraId="19A5BC84" w14:textId="77777777" w:rsidR="00285741" w:rsidRDefault="00285741">
      <w:pPr>
        <w:pStyle w:val="Text2"/>
        <w:spacing w:before="240" w:after="120"/>
        <w:ind w:left="0"/>
        <w:rPr>
          <w:bCs/>
          <w:noProof/>
        </w:rPr>
      </w:pPr>
      <w:r w:rsidRPr="0013338B">
        <w:rPr>
          <w:noProof/>
        </w:rPr>
        <w:t>Introducing</w:t>
      </w:r>
      <w:r>
        <w:rPr>
          <w:noProof/>
        </w:rPr>
        <w:t xml:space="preserve"> EU-wide labels for low-carbon energy intensive industrial products, as proposed in</w:t>
      </w:r>
      <w:r>
        <w:rPr>
          <w:b/>
          <w:noProof/>
        </w:rPr>
        <w:t xml:space="preserve"> LAB 1, </w:t>
      </w:r>
      <w:r w:rsidRPr="0013338B">
        <w:rPr>
          <w:noProof/>
        </w:rPr>
        <w:t xml:space="preserve">can improve the understanding of what constitute </w:t>
      </w:r>
      <w:r>
        <w:rPr>
          <w:noProof/>
        </w:rPr>
        <w:t xml:space="preserve">energy intensive products </w:t>
      </w:r>
      <w:r w:rsidRPr="0013338B">
        <w:rPr>
          <w:noProof/>
        </w:rPr>
        <w:t>with lower environmental impact.</w:t>
      </w:r>
      <w:r>
        <w:rPr>
          <w:noProof/>
        </w:rPr>
        <w:t xml:space="preserve"> </w:t>
      </w:r>
      <w:r w:rsidRPr="0013338B">
        <w:rPr>
          <w:noProof/>
        </w:rPr>
        <w:t xml:space="preserve">However, the </w:t>
      </w:r>
      <w:r w:rsidRPr="5E144335">
        <w:rPr>
          <w:noProof/>
        </w:rPr>
        <w:t>impact</w:t>
      </w:r>
      <w:r w:rsidRPr="0013338B">
        <w:rPr>
          <w:noProof/>
        </w:rPr>
        <w:t xml:space="preserve"> </w:t>
      </w:r>
      <w:r w:rsidRPr="0013338B">
        <w:rPr>
          <w:bCs/>
          <w:noProof/>
        </w:rPr>
        <w:t xml:space="preserve">of an EU voluntary low-carbon product label depends on its ability to effectively stimulate demand for low-carbon </w:t>
      </w:r>
      <w:r>
        <w:rPr>
          <w:bCs/>
          <w:noProof/>
        </w:rPr>
        <w:t>products</w:t>
      </w:r>
      <w:r w:rsidRPr="0013338B">
        <w:rPr>
          <w:bCs/>
          <w:noProof/>
        </w:rPr>
        <w:t>. This requires the label to provide buyers with credible information about the GHG emissions associated with the product. At the same time, its impact also depends on the ability of low-carbon producers to differentiate their products from conventional alternatives and to strengthen the business case for low-carbon production.</w:t>
      </w:r>
    </w:p>
    <w:p w14:paraId="063DCA81" w14:textId="77777777" w:rsidR="00285741" w:rsidRDefault="00285741">
      <w:pPr>
        <w:pStyle w:val="Text2"/>
        <w:spacing w:after="120"/>
        <w:ind w:left="0"/>
        <w:rPr>
          <w:bCs/>
          <w:noProof/>
        </w:rPr>
      </w:pPr>
      <w:r w:rsidRPr="0013338B">
        <w:rPr>
          <w:noProof/>
        </w:rPr>
        <w:t>The environmental impact of</w:t>
      </w:r>
      <w:r w:rsidRPr="0013338B" w:rsidDel="001A21F5">
        <w:rPr>
          <w:noProof/>
        </w:rPr>
        <w:t xml:space="preserve"> </w:t>
      </w:r>
      <w:r w:rsidRPr="0013338B">
        <w:rPr>
          <w:noProof/>
        </w:rPr>
        <w:t xml:space="preserve">the different design elements for the low-carbon product label </w:t>
      </w:r>
      <w:r>
        <w:rPr>
          <w:noProof/>
        </w:rPr>
        <w:t xml:space="preserve">will depend on the scope of GHG emission information provided by the label and on its ability to ensure comparability across products as well as </w:t>
      </w:r>
      <w:r w:rsidRPr="1B23F763">
        <w:rPr>
          <w:noProof/>
        </w:rPr>
        <w:t xml:space="preserve">attractiveness and </w:t>
      </w:r>
      <w:r>
        <w:rPr>
          <w:noProof/>
        </w:rPr>
        <w:t>accessibility of such a label for different market players/products (e.g. non-EU manufactured products)</w:t>
      </w:r>
      <w:r w:rsidDel="00CD2959">
        <w:rPr>
          <w:noProof/>
        </w:rPr>
        <w:t>.</w:t>
      </w:r>
      <w:r>
        <w:rPr>
          <w:noProof/>
        </w:rPr>
        <w:t xml:space="preserve"> These specific aspects are assessed for steel under PO2 and PO3. Regarding other </w:t>
      </w:r>
      <w:r w:rsidRPr="005970BD">
        <w:rPr>
          <w:noProof/>
        </w:rPr>
        <w:t>EIIs</w:t>
      </w:r>
      <w:r>
        <w:rPr>
          <w:noProof/>
        </w:rPr>
        <w:t xml:space="preserve">, it is expected that ongoing efforts to present the environmental performance of construction products would lead to lower environmental impact choices. For other sectors, ongoing </w:t>
      </w:r>
      <w:r w:rsidRPr="10156F2B">
        <w:rPr>
          <w:noProof/>
        </w:rPr>
        <w:t>initiatives</w:t>
      </w:r>
      <w:r>
        <w:rPr>
          <w:noProof/>
        </w:rPr>
        <w:t xml:space="preserve">, such as the upcoming ESPR delegated act on aluminium, could ensure a broad coverage of emissions and solid comparability, therefore providing strong incentives for decarbonisation. </w:t>
      </w:r>
    </w:p>
    <w:p w14:paraId="0B8E7355" w14:textId="6D4307FD" w:rsidR="00285741" w:rsidRDefault="34708B09">
      <w:pPr>
        <w:pStyle w:val="Text2"/>
        <w:spacing w:after="120"/>
        <w:ind w:left="0"/>
        <w:rPr>
          <w:noProof/>
          <w:color w:val="1F2427"/>
        </w:rPr>
      </w:pPr>
      <w:r w:rsidRPr="1A2A8689">
        <w:rPr>
          <w:b/>
          <w:bCs/>
          <w:noProof/>
        </w:rPr>
        <w:t xml:space="preserve">LEAD_EII 1 </w:t>
      </w:r>
      <w:r w:rsidRPr="00F24A9E">
        <w:rPr>
          <w:noProof/>
        </w:rPr>
        <w:t>is expected to provide a clear demand signal for low-carbon materials</w:t>
      </w:r>
      <w:r>
        <w:rPr>
          <w:noProof/>
        </w:rPr>
        <w:t xml:space="preserve">, </w:t>
      </w:r>
      <w:r w:rsidRPr="00F24A9E">
        <w:rPr>
          <w:noProof/>
        </w:rPr>
        <w:t>thereby encouraging investment and accelerating decarbonisation efforts.</w:t>
      </w:r>
      <w:r>
        <w:rPr>
          <w:noProof/>
        </w:rPr>
        <w:t xml:space="preserve"> </w:t>
      </w:r>
      <w:r w:rsidRPr="005C0886">
        <w:rPr>
          <w:noProof/>
        </w:rPr>
        <w:t>With a 25% target for low-carbon steel</w:t>
      </w:r>
      <w:r>
        <w:rPr>
          <w:noProof/>
        </w:rPr>
        <w:t xml:space="preserve"> in automotive and construction</w:t>
      </w:r>
      <w:r w:rsidRPr="005C0886">
        <w:rPr>
          <w:noProof/>
        </w:rPr>
        <w:t xml:space="preserve">, emission reductions would amount to approximately </w:t>
      </w:r>
      <w:r w:rsidR="70BB3912">
        <w:rPr>
          <w:noProof/>
        </w:rPr>
        <w:t>3.37</w:t>
      </w:r>
      <w:r w:rsidR="799AC31C">
        <w:rPr>
          <w:noProof/>
        </w:rPr>
        <w:t xml:space="preserve"> Mtonnes </w:t>
      </w:r>
      <w:r w:rsidRPr="005C0886">
        <w:rPr>
          <w:noProof/>
        </w:rPr>
        <w:t>CO₂</w:t>
      </w:r>
      <w:r w:rsidRPr="1A2A8689">
        <w:rPr>
          <w:b/>
          <w:bCs/>
          <w:noProof/>
        </w:rPr>
        <w:t xml:space="preserve"> </w:t>
      </w:r>
      <w:r w:rsidRPr="005C0886">
        <w:rPr>
          <w:noProof/>
        </w:rPr>
        <w:t>in 2030 alone.</w:t>
      </w:r>
      <w:r w:rsidR="00285741" w:rsidRPr="005C0886">
        <w:rPr>
          <w:rStyle w:val="FootnoteReference"/>
          <w:noProof/>
        </w:rPr>
        <w:footnoteReference w:id="208"/>
      </w:r>
      <w:r w:rsidRPr="005C0886">
        <w:rPr>
          <w:noProof/>
        </w:rPr>
        <w:t xml:space="preserve"> </w:t>
      </w:r>
      <w:r w:rsidRPr="005C0886">
        <w:rPr>
          <w:noProof/>
          <w:color w:val="1F2427"/>
        </w:rPr>
        <w:t xml:space="preserve">Based on the </w:t>
      </w:r>
      <w:r>
        <w:rPr>
          <w:noProof/>
          <w:color w:val="1F2427"/>
        </w:rPr>
        <w:t>5%</w:t>
      </w:r>
      <w:r w:rsidRPr="005C0886">
        <w:rPr>
          <w:noProof/>
          <w:color w:val="1F2427"/>
        </w:rPr>
        <w:t xml:space="preserve"> low-carbon target proposed for </w:t>
      </w:r>
      <w:r>
        <w:rPr>
          <w:noProof/>
          <w:color w:val="1F2427"/>
        </w:rPr>
        <w:t xml:space="preserve">cement in </w:t>
      </w:r>
      <w:r w:rsidRPr="005C0886">
        <w:rPr>
          <w:noProof/>
          <w:color w:val="1F2427"/>
        </w:rPr>
        <w:t xml:space="preserve">2030, the </w:t>
      </w:r>
      <w:r w:rsidRPr="00593A57">
        <w:rPr>
          <w:noProof/>
        </w:rPr>
        <w:t>potential</w:t>
      </w:r>
      <w:r w:rsidRPr="005C0886">
        <w:rPr>
          <w:noProof/>
          <w:color w:val="1F2427"/>
        </w:rPr>
        <w:t xml:space="preserve"> savings could </w:t>
      </w:r>
      <w:r>
        <w:rPr>
          <w:noProof/>
          <w:color w:val="1F2427"/>
        </w:rPr>
        <w:t>reach 0.69</w:t>
      </w:r>
      <w:r w:rsidR="6A17517F" w:rsidRPr="1A2A8689" w:rsidDel="7C355CBF">
        <w:rPr>
          <w:noProof/>
          <w:color w:val="1F2427"/>
        </w:rPr>
        <w:t xml:space="preserve"> </w:t>
      </w:r>
      <w:r w:rsidR="799AC31C" w:rsidRPr="1A2A8689">
        <w:rPr>
          <w:noProof/>
          <w:color w:val="1F2427"/>
        </w:rPr>
        <w:t xml:space="preserve">Mtonnes </w:t>
      </w:r>
      <w:r w:rsidRPr="00AB5978">
        <w:rPr>
          <w:noProof/>
          <w:color w:val="1F2427"/>
        </w:rPr>
        <w:t>CO₂</w:t>
      </w:r>
      <w:r>
        <w:rPr>
          <w:noProof/>
          <w:color w:val="1F2427"/>
        </w:rPr>
        <w:t xml:space="preserve"> for that year</w:t>
      </w:r>
      <w:r w:rsidR="3DBF5965" w:rsidRPr="00CF06C8">
        <w:rPr>
          <w:noProof/>
          <w:color w:val="1F2427"/>
        </w:rPr>
        <w:t>.</w:t>
      </w:r>
      <w:r w:rsidR="70BB3912" w:rsidRPr="00CF06C8">
        <w:rPr>
          <w:noProof/>
          <w:color w:val="1F2427"/>
        </w:rPr>
        <w:t xml:space="preserve"> </w:t>
      </w:r>
      <w:r w:rsidR="774D9C9E" w:rsidRPr="00CF06C8">
        <w:rPr>
          <w:noProof/>
          <w:color w:val="1F2427"/>
        </w:rPr>
        <w:t>Correspondingly</w:t>
      </w:r>
      <w:r w:rsidR="6D639EAD" w:rsidRPr="00CF06C8">
        <w:rPr>
          <w:noProof/>
          <w:color w:val="1F2427"/>
        </w:rPr>
        <w:t xml:space="preserve">, the </w:t>
      </w:r>
      <w:r w:rsidR="14092711" w:rsidRPr="00CF06C8">
        <w:rPr>
          <w:noProof/>
          <w:color w:val="1F2427"/>
        </w:rPr>
        <w:t xml:space="preserve">25% </w:t>
      </w:r>
      <w:r w:rsidR="6D639EAD" w:rsidRPr="00CF06C8">
        <w:rPr>
          <w:noProof/>
          <w:color w:val="1F2427"/>
        </w:rPr>
        <w:t>low-</w:t>
      </w:r>
      <w:r w:rsidR="14092711" w:rsidRPr="00CF06C8">
        <w:rPr>
          <w:noProof/>
          <w:color w:val="1F2427"/>
        </w:rPr>
        <w:t>carbon target for aluminium could sav</w:t>
      </w:r>
      <w:r w:rsidR="7F5141E9" w:rsidRPr="00CF06C8">
        <w:rPr>
          <w:noProof/>
          <w:color w:val="1F2427"/>
        </w:rPr>
        <w:t>e 0.22</w:t>
      </w:r>
      <w:r w:rsidR="7F5141E9" w:rsidRPr="00CF06C8" w:rsidDel="7C355CBF">
        <w:rPr>
          <w:noProof/>
          <w:color w:val="1F2427"/>
        </w:rPr>
        <w:t xml:space="preserve"> </w:t>
      </w:r>
      <w:r w:rsidR="7F5141E9" w:rsidRPr="00CF06C8">
        <w:rPr>
          <w:noProof/>
          <w:color w:val="1F2427"/>
        </w:rPr>
        <w:t xml:space="preserve">Mtonnes CO₂ </w:t>
      </w:r>
      <w:r w:rsidR="774D9C9E" w:rsidRPr="00CF06C8">
        <w:rPr>
          <w:noProof/>
          <w:color w:val="1F2427"/>
        </w:rPr>
        <w:t>in the year 2030</w:t>
      </w:r>
      <w:r w:rsidR="454E3AF1">
        <w:rPr>
          <w:noProof/>
          <w:color w:val="1F2427"/>
        </w:rPr>
        <w:t xml:space="preserve">. Combined, the potential savings </w:t>
      </w:r>
      <w:r w:rsidR="454E3AF1" w:rsidRPr="00CF06C8">
        <w:rPr>
          <w:noProof/>
          <w:color w:val="1F2427"/>
        </w:rPr>
        <w:t>for steel, cement and aluminium</w:t>
      </w:r>
      <w:r w:rsidR="5FA3D517" w:rsidRPr="00CF06C8">
        <w:rPr>
          <w:noProof/>
          <w:color w:val="1F2427"/>
        </w:rPr>
        <w:t xml:space="preserve"> </w:t>
      </w:r>
      <w:r w:rsidR="78581F8C">
        <w:rPr>
          <w:noProof/>
          <w:color w:val="1F2427"/>
        </w:rPr>
        <w:t>could reach</w:t>
      </w:r>
      <w:r w:rsidR="78581F8C" w:rsidRPr="00CF06C8">
        <w:rPr>
          <w:noProof/>
          <w:color w:val="1F2427"/>
        </w:rPr>
        <w:t xml:space="preserve"> </w:t>
      </w:r>
      <w:r w:rsidR="1DF826FF" w:rsidRPr="00CF06C8">
        <w:rPr>
          <w:noProof/>
          <w:color w:val="1F2427"/>
        </w:rPr>
        <w:t>4.28</w:t>
      </w:r>
      <w:r w:rsidR="799AC31C" w:rsidRPr="00CF06C8">
        <w:rPr>
          <w:noProof/>
          <w:color w:val="1F2427"/>
        </w:rPr>
        <w:t xml:space="preserve"> Mtonnes </w:t>
      </w:r>
      <w:r w:rsidRPr="00CF06C8">
        <w:rPr>
          <w:noProof/>
          <w:color w:val="1F2427"/>
        </w:rPr>
        <w:t>CO</w:t>
      </w:r>
      <w:r w:rsidRPr="00CF06C8">
        <w:rPr>
          <w:noProof/>
          <w:color w:val="1F2427"/>
          <w:vertAlign w:val="subscript"/>
        </w:rPr>
        <w:t>2</w:t>
      </w:r>
      <w:r w:rsidR="78581F8C">
        <w:rPr>
          <w:noProof/>
          <w:color w:val="1F2427"/>
          <w:vertAlign w:val="subscript"/>
        </w:rPr>
        <w:t xml:space="preserve"> </w:t>
      </w:r>
      <w:r w:rsidR="78581F8C">
        <w:rPr>
          <w:noProof/>
          <w:color w:val="1F2427"/>
        </w:rPr>
        <w:t>in 2030</w:t>
      </w:r>
      <w:r w:rsidRPr="00CF06C8">
        <w:rPr>
          <w:noProof/>
          <w:color w:val="1F2427"/>
        </w:rPr>
        <w:t>.</w:t>
      </w:r>
      <w:r w:rsidR="00285741" w:rsidRPr="00CF06C8">
        <w:rPr>
          <w:rStyle w:val="FootnoteReference"/>
          <w:noProof/>
          <w:color w:val="1F2427"/>
        </w:rPr>
        <w:footnoteReference w:id="209"/>
      </w:r>
      <w:r w:rsidRPr="00CF06C8">
        <w:rPr>
          <w:noProof/>
          <w:color w:val="1F2427"/>
        </w:rPr>
        <w:t xml:space="preserve"> </w:t>
      </w:r>
      <w:r w:rsidR="418D215E" w:rsidRPr="00CF06C8">
        <w:rPr>
          <w:noProof/>
          <w:color w:val="1F2427"/>
        </w:rPr>
        <w:t>These emissions savings amount to</w:t>
      </w:r>
      <w:r w:rsidR="70F06479" w:rsidRPr="00CF06C8">
        <w:rPr>
          <w:noProof/>
          <w:color w:val="1F2427"/>
        </w:rPr>
        <w:t xml:space="preserve"> EUR </w:t>
      </w:r>
      <w:r w:rsidR="6D639EAD" w:rsidRPr="00CF06C8">
        <w:rPr>
          <w:noProof/>
          <w:color w:val="1F2427"/>
        </w:rPr>
        <w:t>428</w:t>
      </w:r>
      <w:r w:rsidR="70F06479" w:rsidRPr="00CF06C8">
        <w:rPr>
          <w:noProof/>
          <w:color w:val="1F2427"/>
        </w:rPr>
        <w:t xml:space="preserve"> million</w:t>
      </w:r>
      <w:r w:rsidR="4195352B">
        <w:rPr>
          <w:noProof/>
          <w:color w:val="1F2427"/>
        </w:rPr>
        <w:t xml:space="preserve"> </w:t>
      </w:r>
      <w:r w:rsidR="4195352B" w:rsidRPr="00CF06C8">
        <w:rPr>
          <w:noProof/>
          <w:color w:val="1F2427"/>
        </w:rPr>
        <w:t>(</w:t>
      </w:r>
      <w:r w:rsidR="67D290A6" w:rsidRPr="00CF06C8">
        <w:rPr>
          <w:noProof/>
          <w:color w:val="1F2427"/>
        </w:rPr>
        <w:t xml:space="preserve">from </w:t>
      </w:r>
      <w:r w:rsidR="48421FB5" w:rsidRPr="00CF06C8">
        <w:rPr>
          <w:noProof/>
          <w:color w:val="1F2427"/>
        </w:rPr>
        <w:t xml:space="preserve">EUR </w:t>
      </w:r>
      <w:r w:rsidR="54F74676" w:rsidRPr="00CF06C8">
        <w:rPr>
          <w:noProof/>
          <w:color w:val="1F2427"/>
        </w:rPr>
        <w:lastRenderedPageBreak/>
        <w:t>256</w:t>
      </w:r>
      <w:r w:rsidR="48421FB5" w:rsidRPr="00CF06C8">
        <w:rPr>
          <w:noProof/>
          <w:color w:val="1F2427"/>
        </w:rPr>
        <w:t xml:space="preserve"> million </w:t>
      </w:r>
      <w:r w:rsidR="44B1BB4E" w:rsidRPr="00CF06C8">
        <w:rPr>
          <w:noProof/>
          <w:color w:val="1F2427"/>
        </w:rPr>
        <w:t xml:space="preserve">to EUR </w:t>
      </w:r>
      <w:r w:rsidR="0A95D6A9" w:rsidRPr="00CF06C8">
        <w:rPr>
          <w:noProof/>
          <w:color w:val="1F2427"/>
        </w:rPr>
        <w:t>809</w:t>
      </w:r>
      <w:r w:rsidR="48421FB5" w:rsidRPr="00CF06C8">
        <w:rPr>
          <w:noProof/>
          <w:color w:val="1F2427"/>
        </w:rPr>
        <w:t xml:space="preserve"> million</w:t>
      </w:r>
      <w:r w:rsidR="6E0BE3E3" w:rsidRPr="00CF06C8">
        <w:rPr>
          <w:noProof/>
          <w:color w:val="1F2427"/>
        </w:rPr>
        <w:t xml:space="preserve"> dep</w:t>
      </w:r>
      <w:r w:rsidR="40CA0417" w:rsidRPr="00CF06C8">
        <w:rPr>
          <w:noProof/>
          <w:color w:val="1F2427"/>
        </w:rPr>
        <w:t>ending on the cost of carbon used</w:t>
      </w:r>
      <w:r w:rsidR="44B1BB4E" w:rsidRPr="00CF06C8">
        <w:rPr>
          <w:noProof/>
          <w:color w:val="1F2427"/>
        </w:rPr>
        <w:t>)</w:t>
      </w:r>
      <w:r w:rsidR="7C1D1781">
        <w:rPr>
          <w:noProof/>
          <w:color w:val="1F2427"/>
        </w:rPr>
        <w:t>.</w:t>
      </w:r>
      <w:r w:rsidR="6A17517F" w:rsidRPr="1A2A8689" w:rsidDel="1095762B">
        <w:rPr>
          <w:noProof/>
          <w:color w:val="1F2427"/>
        </w:rPr>
        <w:t xml:space="preserve"> </w:t>
      </w:r>
      <w:r w:rsidR="7C1D1781">
        <w:rPr>
          <w:noProof/>
          <w:color w:val="1F2427"/>
        </w:rPr>
        <w:t>S</w:t>
      </w:r>
      <w:r w:rsidR="70F06479">
        <w:rPr>
          <w:noProof/>
          <w:color w:val="1F2427"/>
        </w:rPr>
        <w:t xml:space="preserve">ee Annex 4 </w:t>
      </w:r>
      <w:r w:rsidR="11FFD99C">
        <w:rPr>
          <w:noProof/>
          <w:color w:val="1F2427"/>
        </w:rPr>
        <w:t>Section</w:t>
      </w:r>
      <w:r w:rsidR="70F06479">
        <w:rPr>
          <w:noProof/>
          <w:color w:val="1F2427"/>
        </w:rPr>
        <w:t xml:space="preserve"> 2.3 </w:t>
      </w:r>
      <w:r w:rsidR="44B1BB4E" w:rsidRPr="00CF06C8">
        <w:rPr>
          <w:noProof/>
          <w:color w:val="1F2427"/>
        </w:rPr>
        <w:t>and Annex 15</w:t>
      </w:r>
      <w:r w:rsidR="70F06479" w:rsidRPr="00CF06C8">
        <w:rPr>
          <w:noProof/>
          <w:color w:val="1F2427"/>
        </w:rPr>
        <w:t xml:space="preserve"> for </w:t>
      </w:r>
      <w:r w:rsidR="54A2C43E" w:rsidRPr="00CF06C8">
        <w:rPr>
          <w:noProof/>
          <w:color w:val="1F2427"/>
        </w:rPr>
        <w:t>monetisation calculations</w:t>
      </w:r>
      <w:r w:rsidR="3C66FFDA" w:rsidRPr="00CF06C8">
        <w:rPr>
          <w:noProof/>
          <w:color w:val="1F2427"/>
        </w:rPr>
        <w:t xml:space="preserve"> in ranges following the sensitivity analysis</w:t>
      </w:r>
      <w:r w:rsidR="54A2C43E" w:rsidRPr="00CF06C8">
        <w:rPr>
          <w:noProof/>
          <w:color w:val="1F2427"/>
        </w:rPr>
        <w:t>.</w:t>
      </w:r>
    </w:p>
    <w:p w14:paraId="72EB4DC1" w14:textId="373A23F0" w:rsidR="00285741" w:rsidRDefault="00285741">
      <w:pPr>
        <w:pStyle w:val="Text2"/>
        <w:spacing w:after="120"/>
        <w:ind w:left="0"/>
        <w:rPr>
          <w:noProof/>
          <w:color w:val="1F2427"/>
        </w:rPr>
      </w:pPr>
      <w:r w:rsidRPr="27D9526D">
        <w:rPr>
          <w:b/>
          <w:noProof/>
        </w:rPr>
        <w:t>LEAD_BAT 1 -</w:t>
      </w:r>
      <w:r>
        <w:rPr>
          <w:noProof/>
        </w:rPr>
        <w:t xml:space="preserve"> Under</w:t>
      </w:r>
      <w:r w:rsidRPr="00F21150">
        <w:rPr>
          <w:noProof/>
        </w:rPr>
        <w:t xml:space="preserve"> the Batteries Regulation, batteries manufactured in the </w:t>
      </w:r>
      <w:r>
        <w:rPr>
          <w:noProof/>
        </w:rPr>
        <w:t>EU</w:t>
      </w:r>
      <w:r w:rsidRPr="00F21150">
        <w:rPr>
          <w:noProof/>
        </w:rPr>
        <w:t xml:space="preserve"> must </w:t>
      </w:r>
      <w:r>
        <w:rPr>
          <w:noProof/>
        </w:rPr>
        <w:t>meet</w:t>
      </w:r>
      <w:r w:rsidRPr="00F21150">
        <w:rPr>
          <w:noProof/>
        </w:rPr>
        <w:t xml:space="preserve"> strict environmental standards throughout their life cycle, </w:t>
      </w:r>
      <w:r>
        <w:rPr>
          <w:noProof/>
        </w:rPr>
        <w:t>covering</w:t>
      </w:r>
      <w:r w:rsidRPr="00F21150">
        <w:rPr>
          <w:noProof/>
        </w:rPr>
        <w:t xml:space="preserve"> carbon footprint, responsible sourcing of raw materials, durability, safety, and high </w:t>
      </w:r>
      <w:r>
        <w:rPr>
          <w:noProof/>
        </w:rPr>
        <w:t>rates</w:t>
      </w:r>
      <w:r w:rsidRPr="00F21150">
        <w:rPr>
          <w:noProof/>
        </w:rPr>
        <w:t xml:space="preserve"> of collection, reuse, and recycling</w:t>
      </w:r>
      <w:r>
        <w:rPr>
          <w:noProof/>
        </w:rPr>
        <w:t xml:space="preserve">. </w:t>
      </w:r>
      <w:r w:rsidRPr="7C471970">
        <w:rPr>
          <w:noProof/>
        </w:rPr>
        <w:t xml:space="preserve">Based on the 2023 EU grid, a battery manufactured in the EU would </w:t>
      </w:r>
      <w:r>
        <w:rPr>
          <w:noProof/>
        </w:rPr>
        <w:t xml:space="preserve">imply on </w:t>
      </w:r>
      <w:r w:rsidRPr="7C471970">
        <w:rPr>
          <w:noProof/>
        </w:rPr>
        <w:t>average a 25% CO</w:t>
      </w:r>
      <w:r w:rsidRPr="002E2B90">
        <w:rPr>
          <w:noProof/>
          <w:vertAlign w:val="subscript"/>
        </w:rPr>
        <w:t>2</w:t>
      </w:r>
      <w:r w:rsidRPr="7C471970">
        <w:rPr>
          <w:noProof/>
        </w:rPr>
        <w:t xml:space="preserve"> emissions reduction compared to a Chinese manufactured battery using the average Chinese grid</w:t>
      </w:r>
      <w:r>
        <w:rPr>
          <w:noProof/>
        </w:rPr>
        <w:t>.</w:t>
      </w:r>
      <w:r>
        <w:rPr>
          <w:rStyle w:val="FootnoteReference"/>
          <w:noProof/>
        </w:rPr>
        <w:footnoteReference w:id="210"/>
      </w:r>
      <w:r w:rsidRPr="7C471970">
        <w:rPr>
          <w:noProof/>
        </w:rPr>
        <w:t xml:space="preserve"> These CO</w:t>
      </w:r>
      <w:r w:rsidRPr="002E2B90">
        <w:rPr>
          <w:noProof/>
          <w:vertAlign w:val="subscript"/>
        </w:rPr>
        <w:t>2</w:t>
      </w:r>
      <w:r w:rsidRPr="7C471970">
        <w:rPr>
          <w:noProof/>
        </w:rPr>
        <w:t xml:space="preserve"> reductions also apply across the upstream value chain</w:t>
      </w:r>
      <w:r>
        <w:rPr>
          <w:noProof/>
        </w:rPr>
        <w:t>.</w:t>
      </w:r>
      <w:r>
        <w:rPr>
          <w:rStyle w:val="FootnoteReference"/>
          <w:noProof/>
        </w:rPr>
        <w:footnoteReference w:id="211"/>
      </w:r>
      <w:r w:rsidRPr="7C471970">
        <w:rPr>
          <w:noProof/>
        </w:rPr>
        <w:t xml:space="preserve"> </w:t>
      </w:r>
      <w:r w:rsidRPr="006C68B8">
        <w:rPr>
          <w:noProof/>
        </w:rPr>
        <w:t xml:space="preserve">Localizing the production of battery cells and </w:t>
      </w:r>
      <w:r w:rsidRPr="00801C0E">
        <w:rPr>
          <w:noProof/>
        </w:rPr>
        <w:t xml:space="preserve">cathode active materials, including its precursor material, </w:t>
      </w:r>
      <w:r>
        <w:rPr>
          <w:noProof/>
        </w:rPr>
        <w:t>under PO1</w:t>
      </w:r>
      <w:r w:rsidR="00AA1693">
        <w:rPr>
          <w:noProof/>
        </w:rPr>
        <w:t>,</w:t>
      </w:r>
      <w:r w:rsidRPr="00801C0E">
        <w:rPr>
          <w:noProof/>
        </w:rPr>
        <w:t xml:space="preserve"> rather than relying on imported Chinese products</w:t>
      </w:r>
      <w:r w:rsidRPr="006C68B8">
        <w:rPr>
          <w:noProof/>
        </w:rPr>
        <w:t xml:space="preserve">, could reduce CO₂ </w:t>
      </w:r>
      <w:r w:rsidRPr="00BC44C5">
        <w:rPr>
          <w:noProof/>
          <w:color w:val="1F2427"/>
        </w:rPr>
        <w:t xml:space="preserve">emissions by an estimated 25.6 </w:t>
      </w:r>
      <w:r w:rsidR="00F13BC5">
        <w:rPr>
          <w:noProof/>
          <w:color w:val="1F2427"/>
        </w:rPr>
        <w:t>Mtonnes</w:t>
      </w:r>
      <w:r w:rsidRPr="00BC44C5">
        <w:rPr>
          <w:noProof/>
          <w:color w:val="1F2427"/>
        </w:rPr>
        <w:t xml:space="preserve"> overall in 2030 alone</w:t>
      </w:r>
      <w:r w:rsidR="00027B7D">
        <w:rPr>
          <w:noProof/>
          <w:color w:val="1F2427"/>
        </w:rPr>
        <w:t>. These emissions savings amount to EUR 2.56</w:t>
      </w:r>
      <w:r w:rsidR="00490285">
        <w:rPr>
          <w:noProof/>
          <w:color w:val="1F2427"/>
        </w:rPr>
        <w:t xml:space="preserve"> billion</w:t>
      </w:r>
      <w:r w:rsidR="00027B7D">
        <w:rPr>
          <w:noProof/>
          <w:color w:val="1F2427"/>
        </w:rPr>
        <w:t xml:space="preserve"> </w:t>
      </w:r>
      <w:r w:rsidR="006B2B28" w:rsidRPr="00CF06C8">
        <w:rPr>
          <w:noProof/>
          <w:color w:val="1F2427"/>
        </w:rPr>
        <w:t>(EUR 1.5 billion- 4.8 billion)</w:t>
      </w:r>
      <w:r w:rsidR="00027B7D" w:rsidRPr="00CF06C8">
        <w:rPr>
          <w:noProof/>
          <w:color w:val="1F2427"/>
        </w:rPr>
        <w:t>,</w:t>
      </w:r>
      <w:r w:rsidR="00027B7D">
        <w:rPr>
          <w:noProof/>
          <w:color w:val="1F2427"/>
        </w:rPr>
        <w:t xml:space="preserve"> see Annex 4 </w:t>
      </w:r>
      <w:r w:rsidR="00E8682E">
        <w:rPr>
          <w:noProof/>
          <w:color w:val="1F2427"/>
        </w:rPr>
        <w:t>Section</w:t>
      </w:r>
      <w:r w:rsidR="00027B7D">
        <w:rPr>
          <w:noProof/>
          <w:color w:val="1F2427"/>
        </w:rPr>
        <w:t xml:space="preserve"> 2.3 </w:t>
      </w:r>
      <w:r w:rsidR="006B2B28" w:rsidRPr="00CF06C8">
        <w:rPr>
          <w:noProof/>
          <w:color w:val="1F2427"/>
        </w:rPr>
        <w:t>and Annex 15</w:t>
      </w:r>
      <w:r w:rsidR="00027B7D" w:rsidRPr="00CF06C8">
        <w:rPr>
          <w:noProof/>
          <w:color w:val="1F2427"/>
        </w:rPr>
        <w:t xml:space="preserve"> for monetisation calculations.</w:t>
      </w:r>
      <w:r w:rsidRPr="00CF06C8">
        <w:rPr>
          <w:noProof/>
          <w:color w:val="1F2427"/>
          <w:vertAlign w:val="superscript"/>
        </w:rPr>
        <w:footnoteReference w:id="212"/>
      </w:r>
      <w:r w:rsidR="00C2561B">
        <w:rPr>
          <w:noProof/>
          <w:color w:val="1F2427"/>
        </w:rPr>
        <w:t xml:space="preserve"> </w:t>
      </w:r>
    </w:p>
    <w:p w14:paraId="4812E910" w14:textId="77777777" w:rsidR="00285741" w:rsidRDefault="00285741">
      <w:pPr>
        <w:pStyle w:val="Text2"/>
        <w:spacing w:after="120"/>
        <w:ind w:left="0"/>
        <w:rPr>
          <w:noProof/>
        </w:rPr>
      </w:pPr>
      <w:r w:rsidRPr="00BC44C5">
        <w:rPr>
          <w:b/>
          <w:noProof/>
          <w:color w:val="1F2427"/>
        </w:rPr>
        <w:t>LEAD_SOL 1</w:t>
      </w:r>
      <w:r w:rsidRPr="00BC44C5">
        <w:rPr>
          <w:noProof/>
          <w:color w:val="1F2427"/>
        </w:rPr>
        <w:t xml:space="preserve"> </w:t>
      </w:r>
      <w:r w:rsidRPr="00C62751">
        <w:rPr>
          <w:b/>
          <w:noProof/>
          <w:color w:val="1F2427"/>
        </w:rPr>
        <w:t xml:space="preserve">- </w:t>
      </w:r>
      <w:r w:rsidRPr="00BC44C5">
        <w:rPr>
          <w:noProof/>
          <w:color w:val="1F2427"/>
        </w:rPr>
        <w:t>Due to the provisions of the NZIA on environmental sustainability, PV system production</w:t>
      </w:r>
      <w:r w:rsidRPr="006579C7">
        <w:rPr>
          <w:noProof/>
        </w:rPr>
        <w:t xml:space="preserve"> in Europe is expected to meet </w:t>
      </w:r>
      <w:r>
        <w:rPr>
          <w:noProof/>
        </w:rPr>
        <w:t xml:space="preserve">certain </w:t>
      </w:r>
      <w:r w:rsidRPr="006579C7">
        <w:rPr>
          <w:noProof/>
        </w:rPr>
        <w:t>environmental standards across the entire value chain.</w:t>
      </w:r>
      <w:r>
        <w:rPr>
          <w:noProof/>
        </w:rPr>
        <w:t xml:space="preserve"> </w:t>
      </w:r>
      <w:r>
        <w:rPr>
          <w:rFonts w:ascii="system-ui" w:hAnsi="system-ui"/>
          <w:noProof/>
          <w:spacing w:val="1"/>
        </w:rPr>
        <w:t>W</w:t>
      </w:r>
      <w:r w:rsidRPr="00490DAB">
        <w:rPr>
          <w:noProof/>
        </w:rPr>
        <w:t>hile the NZIA criteria set an important standard for all products, promoting EU PV manufacturing can result in further positive environmental impacts through reduced logistics emissions, stronger regulatory frameworks, and more sustainable production practices overall.</w:t>
      </w:r>
      <w:r w:rsidRPr="00801C0E">
        <w:rPr>
          <w:noProof/>
        </w:rPr>
        <w:t xml:space="preserve"> This in turn will facilitate meeting Europe’ emission reduction targets. </w:t>
      </w:r>
      <w:r>
        <w:rPr>
          <w:noProof/>
        </w:rPr>
        <w:t>According to the JRC, PV</w:t>
      </w:r>
      <w:r w:rsidRPr="00C62751">
        <w:rPr>
          <w:noProof/>
        </w:rPr>
        <w:t xml:space="preserve"> modules manufactured in Europe consistently demonstrate lower lifecycle emissions than those produced in more carbon-intensive electricity systems. This is primarily due to Europe’s cleaner energy mix during manufacturing, which is the dominant driver of global warming potential (GWP), as well as the use of materials from low-carbon supply chains and more advanced recycling practices. </w:t>
      </w:r>
    </w:p>
    <w:p w14:paraId="1883DFB6" w14:textId="124AD665" w:rsidR="00285741" w:rsidRDefault="00285741">
      <w:pPr>
        <w:pStyle w:val="Text2"/>
        <w:spacing w:after="120"/>
        <w:ind w:left="0"/>
        <w:rPr>
          <w:noProof/>
        </w:rPr>
      </w:pPr>
      <w:r w:rsidRPr="00BC44C5">
        <w:rPr>
          <w:b/>
          <w:bCs/>
          <w:noProof/>
        </w:rPr>
        <w:t>LEAD_BAT</w:t>
      </w:r>
      <w:r>
        <w:rPr>
          <w:noProof/>
        </w:rPr>
        <w:t xml:space="preserve"> and </w:t>
      </w:r>
      <w:r w:rsidRPr="00BC44C5">
        <w:rPr>
          <w:b/>
          <w:bCs/>
          <w:noProof/>
        </w:rPr>
        <w:t>LEAD</w:t>
      </w:r>
      <w:r w:rsidR="007D08AB">
        <w:rPr>
          <w:b/>
          <w:bCs/>
          <w:noProof/>
        </w:rPr>
        <w:t>_</w:t>
      </w:r>
      <w:r w:rsidRPr="00BC44C5">
        <w:rPr>
          <w:b/>
          <w:bCs/>
          <w:noProof/>
        </w:rPr>
        <w:t>SOL 1</w:t>
      </w:r>
      <w:r>
        <w:rPr>
          <w:noProof/>
        </w:rPr>
        <w:t xml:space="preserve"> provisions may also </w:t>
      </w:r>
      <w:r w:rsidR="003B622B">
        <w:rPr>
          <w:noProof/>
        </w:rPr>
        <w:t xml:space="preserve">risk having </w:t>
      </w:r>
      <w:r>
        <w:rPr>
          <w:noProof/>
        </w:rPr>
        <w:t xml:space="preserve">an impact on the pace of deployment of clean energy solutions, and therefore on </w:t>
      </w:r>
      <w:r w:rsidR="003B622B">
        <w:rPr>
          <w:noProof/>
        </w:rPr>
        <w:t xml:space="preserve">overall </w:t>
      </w:r>
      <w:r>
        <w:rPr>
          <w:noProof/>
        </w:rPr>
        <w:t>emissions, which could not be quantified</w:t>
      </w:r>
      <w:r w:rsidR="0098171E">
        <w:rPr>
          <w:noProof/>
        </w:rPr>
        <w:t xml:space="preserve"> in the context of this Impact Assessment</w:t>
      </w:r>
      <w:r>
        <w:rPr>
          <w:noProof/>
        </w:rPr>
        <w:t xml:space="preserve"> </w:t>
      </w:r>
      <w:r w:rsidR="00C251FF">
        <w:rPr>
          <w:noProof/>
        </w:rPr>
        <w:t xml:space="preserve">. </w:t>
      </w:r>
      <w:r>
        <w:rPr>
          <w:noProof/>
        </w:rPr>
        <w:t>However, the fact that these provisions are limited to publicly supported products attenuates this risk.</w:t>
      </w:r>
    </w:p>
    <w:p w14:paraId="1629F4E1" w14:textId="7EC62647" w:rsidR="00285741" w:rsidRPr="00446DF8" w:rsidRDefault="00285741">
      <w:pPr>
        <w:pStyle w:val="Text2"/>
        <w:spacing w:after="120"/>
        <w:ind w:left="0"/>
        <w:rPr>
          <w:noProof/>
        </w:rPr>
      </w:pPr>
      <w:r w:rsidRPr="5D042B50">
        <w:rPr>
          <w:b/>
          <w:bCs/>
          <w:noProof/>
        </w:rPr>
        <w:t>PERM 1 -</w:t>
      </w:r>
      <w:r>
        <w:rPr>
          <w:noProof/>
        </w:rPr>
        <w:t xml:space="preserve"> Streamlining provisions for permitting, notably through joint or coordinated environmental assessments, as provided by environmental law, will reduce administrative inefficiencies by identifying potential inconsistencies and in turn increase the quality of the </w:t>
      </w:r>
      <w:r w:rsidRPr="00446DF8">
        <w:rPr>
          <w:noProof/>
        </w:rPr>
        <w:t xml:space="preserve">assessments. Moreover, introducing a set of standardised data sets, notably on submissions linked to environmental permits will enable their re-utilisation in other areas like environmental reporting. Being able to re-use the original and most environmentally sound information will benefit the quality of other assessments. Furthermore, the EU manufacturing industry represents </w:t>
      </w:r>
      <w:r w:rsidR="00446DF8" w:rsidRPr="00446DF8">
        <w:rPr>
          <w:noProof/>
        </w:rPr>
        <w:t>22.5</w:t>
      </w:r>
      <w:r w:rsidRPr="00446DF8">
        <w:rPr>
          <w:noProof/>
        </w:rPr>
        <w:t>% of the EU total GHG emissions.</w:t>
      </w:r>
      <w:r w:rsidRPr="00446DF8">
        <w:rPr>
          <w:rStyle w:val="FootnoteReference"/>
          <w:noProof/>
        </w:rPr>
        <w:footnoteReference w:id="213"/>
      </w:r>
      <w:r w:rsidRPr="00446DF8">
        <w:rPr>
          <w:noProof/>
        </w:rPr>
        <w:t xml:space="preserve"> Streamlining permitting procedures will accelerate the implementation of decarbonisation projects, therefore leading to an accelerated pace of GHG savings. </w:t>
      </w:r>
    </w:p>
    <w:p w14:paraId="62A41236" w14:textId="64B21290" w:rsidR="00285741" w:rsidRPr="00A920A2" w:rsidRDefault="7C355CBF">
      <w:pPr>
        <w:pStyle w:val="Text2"/>
        <w:spacing w:after="120"/>
        <w:ind w:left="0"/>
        <w:rPr>
          <w:noProof/>
          <w:lang w:val="en-US"/>
        </w:rPr>
      </w:pPr>
      <w:bookmarkStart w:id="75" w:name="_Hlk212578573"/>
      <w:r w:rsidRPr="1A2A8689">
        <w:rPr>
          <w:b/>
          <w:bCs/>
          <w:noProof/>
          <w:lang w:val="en-US"/>
        </w:rPr>
        <w:t>LEAD_VC 1 -</w:t>
      </w:r>
      <w:r w:rsidRPr="1A2A8689">
        <w:rPr>
          <w:noProof/>
          <w:lang w:val="en-US"/>
        </w:rPr>
        <w:t xml:space="preserve"> In </w:t>
      </w:r>
      <w:r w:rsidRPr="1A2A8689">
        <w:rPr>
          <w:b/>
          <w:bCs/>
          <w:noProof/>
          <w:lang w:val="en-US"/>
        </w:rPr>
        <w:t>Scenario 1</w:t>
      </w:r>
      <w:r w:rsidRPr="1A2A8689">
        <w:rPr>
          <w:noProof/>
          <w:lang w:val="en-US"/>
        </w:rPr>
        <w:t>, global greenhouse gas emissions from vehicle manufacturing decrease by 0.5</w:t>
      </w:r>
      <w:r w:rsidR="1AC6F867" w:rsidRPr="1A2A8689">
        <w:rPr>
          <w:noProof/>
          <w:lang w:val="en-US"/>
        </w:rPr>
        <w:t xml:space="preserve"> Mtonnes </w:t>
      </w:r>
      <w:r w:rsidRPr="1A2A8689">
        <w:rPr>
          <w:noProof/>
          <w:lang w:val="en-US"/>
        </w:rPr>
        <w:t>CO</w:t>
      </w:r>
      <w:r w:rsidRPr="1A2A8689">
        <w:rPr>
          <w:noProof/>
          <w:vertAlign w:val="subscript"/>
          <w:lang w:val="en-US"/>
        </w:rPr>
        <w:t>2</w:t>
      </w:r>
      <w:r w:rsidRPr="1A2A8689">
        <w:rPr>
          <w:noProof/>
          <w:lang w:val="en-US"/>
        </w:rPr>
        <w:t>e in 2027 and by 0.6</w:t>
      </w:r>
      <w:r w:rsidR="1AC6F867" w:rsidRPr="1A2A8689">
        <w:rPr>
          <w:noProof/>
          <w:lang w:val="en-US"/>
        </w:rPr>
        <w:t xml:space="preserve"> Mtonnes </w:t>
      </w:r>
      <w:r w:rsidRPr="1A2A8689">
        <w:rPr>
          <w:noProof/>
          <w:lang w:val="en-US"/>
        </w:rPr>
        <w:t>in 2030 due to shifts in production; they further decline by 0.1</w:t>
      </w:r>
      <w:r w:rsidR="1AC6F867" w:rsidRPr="1A2A8689">
        <w:rPr>
          <w:noProof/>
          <w:lang w:val="en-US"/>
        </w:rPr>
        <w:t xml:space="preserve"> Mtonnes </w:t>
      </w:r>
      <w:r w:rsidRPr="1A2A8689">
        <w:rPr>
          <w:noProof/>
          <w:lang w:val="en-US"/>
        </w:rPr>
        <w:t xml:space="preserve">due to reductions in international transport associated with EU imports. </w:t>
      </w:r>
      <w:r w:rsidR="687752F5" w:rsidRPr="1A2A8689">
        <w:rPr>
          <w:noProof/>
          <w:color w:val="1F2427"/>
        </w:rPr>
        <w:t xml:space="preserve">These emissions savings amount to EUR </w:t>
      </w:r>
      <w:r w:rsidR="2CEF9EF8" w:rsidRPr="1A2A8689">
        <w:rPr>
          <w:noProof/>
          <w:color w:val="1F2427"/>
        </w:rPr>
        <w:t>70</w:t>
      </w:r>
      <w:r w:rsidR="687752F5" w:rsidRPr="1A2A8689">
        <w:rPr>
          <w:noProof/>
          <w:color w:val="1F2427"/>
        </w:rPr>
        <w:t xml:space="preserve"> million</w:t>
      </w:r>
      <w:r w:rsidR="57A970AA" w:rsidRPr="1A2A8689">
        <w:rPr>
          <w:noProof/>
          <w:color w:val="1F2427"/>
        </w:rPr>
        <w:t xml:space="preserve"> (EUR</w:t>
      </w:r>
      <w:r w:rsidR="05548CEB" w:rsidRPr="1A2A8689">
        <w:rPr>
          <w:noProof/>
          <w:color w:val="1F2427"/>
        </w:rPr>
        <w:t xml:space="preserve"> 42 million -132.30 </w:t>
      </w:r>
      <w:r w:rsidR="05548CEB" w:rsidRPr="1A2A8689">
        <w:rPr>
          <w:noProof/>
          <w:color w:val="1F2427"/>
        </w:rPr>
        <w:lastRenderedPageBreak/>
        <w:t>million)</w:t>
      </w:r>
      <w:r w:rsidR="687752F5" w:rsidRPr="1A2A8689">
        <w:rPr>
          <w:noProof/>
          <w:color w:val="1F2427"/>
        </w:rPr>
        <w:t xml:space="preserve">, see Annex 4 </w:t>
      </w:r>
      <w:r w:rsidR="0FFD6104" w:rsidRPr="1A2A8689">
        <w:rPr>
          <w:noProof/>
          <w:color w:val="1F2427"/>
        </w:rPr>
        <w:t>Section</w:t>
      </w:r>
      <w:r w:rsidR="687752F5" w:rsidRPr="1A2A8689">
        <w:rPr>
          <w:noProof/>
          <w:color w:val="1F2427"/>
        </w:rPr>
        <w:t xml:space="preserve"> 2.3 for monetisation calculations</w:t>
      </w:r>
      <w:r w:rsidR="4CC8CC67" w:rsidRPr="1A2A8689">
        <w:rPr>
          <w:noProof/>
          <w:color w:val="1F2427"/>
        </w:rPr>
        <w:t xml:space="preserve"> and Annex 15 for sensitivity analysis on the ranges</w:t>
      </w:r>
      <w:r w:rsidR="687752F5" w:rsidRPr="1A2A8689">
        <w:rPr>
          <w:noProof/>
          <w:color w:val="1F2427"/>
        </w:rPr>
        <w:t>.</w:t>
      </w:r>
    </w:p>
    <w:p w14:paraId="4B5B7D7B" w14:textId="5E83F977" w:rsidR="00285741" w:rsidRDefault="00285741">
      <w:pPr>
        <w:spacing w:after="240"/>
        <w:rPr>
          <w:noProof/>
        </w:rPr>
      </w:pPr>
      <w:r>
        <w:rPr>
          <w:noProof/>
        </w:rPr>
        <w:t>In sum, the environmental effects remain limited and are very similar across LEAD_VC</w:t>
      </w:r>
      <w:r w:rsidR="0009104E">
        <w:rPr>
          <w:noProof/>
        </w:rPr>
        <w:t xml:space="preserve"> </w:t>
      </w:r>
      <w:r>
        <w:rPr>
          <w:noProof/>
        </w:rPr>
        <w:t>1 and LEAD_VC</w:t>
      </w:r>
      <w:r w:rsidR="0009104E">
        <w:rPr>
          <w:noProof/>
        </w:rPr>
        <w:t xml:space="preserve"> </w:t>
      </w:r>
      <w:r>
        <w:rPr>
          <w:noProof/>
        </w:rPr>
        <w:t>2.</w:t>
      </w:r>
      <w:bookmarkEnd w:id="75"/>
    </w:p>
    <w:p w14:paraId="0FE9A5B0" w14:textId="77777777" w:rsidR="00285741" w:rsidRPr="001D7884" w:rsidRDefault="00285741" w:rsidP="00285741">
      <w:pPr>
        <w:pStyle w:val="Heading2"/>
        <w:numPr>
          <w:ilvl w:val="1"/>
          <w:numId w:val="64"/>
        </w:numPr>
        <w:spacing w:before="0" w:after="0" w:line="276" w:lineRule="auto"/>
        <w:ind w:firstLine="0"/>
      </w:pPr>
      <w:bookmarkStart w:id="76" w:name="_Toc211984403"/>
      <w:bookmarkStart w:id="77" w:name="_Toc222489988"/>
      <w:r w:rsidRPr="00310056">
        <w:t>POLICY OPTION 2</w:t>
      </w:r>
      <w:bookmarkEnd w:id="76"/>
      <w:bookmarkEnd w:id="77"/>
    </w:p>
    <w:p w14:paraId="118607CA" w14:textId="77777777" w:rsidR="00285741" w:rsidRPr="001D7884" w:rsidRDefault="00285741">
      <w:pPr>
        <w:spacing w:before="240" w:after="240"/>
        <w:rPr>
          <w:noProof/>
        </w:rPr>
      </w:pPr>
      <w:r w:rsidRPr="000272AD">
        <w:rPr>
          <w:b/>
          <w:noProof/>
        </w:rPr>
        <w:t>LEAD_BAT 1 / LEAD_SOL 1 / LEAD_VC 1</w:t>
      </w:r>
      <w:r w:rsidRPr="000272AD">
        <w:rPr>
          <w:noProof/>
        </w:rPr>
        <w:t xml:space="preserve"> – the proposed policy measures under PO2 are the same as under PO1, and the impacts have been assessed under PO1</w:t>
      </w:r>
      <w:r>
        <w:rPr>
          <w:noProof/>
        </w:rPr>
        <w:t>.</w:t>
      </w:r>
    </w:p>
    <w:p w14:paraId="5DE5825C" w14:textId="77777777" w:rsidR="00285741" w:rsidRPr="00146488" w:rsidRDefault="00285741" w:rsidP="00285741">
      <w:pPr>
        <w:pStyle w:val="Heading3"/>
        <w:numPr>
          <w:ilvl w:val="2"/>
          <w:numId w:val="64"/>
        </w:numPr>
        <w:spacing w:before="0" w:after="240" w:line="276" w:lineRule="auto"/>
        <w:ind w:hanging="153"/>
        <w:rPr>
          <w:b/>
          <w:i w:val="0"/>
        </w:rPr>
      </w:pPr>
      <w:r w:rsidRPr="00310056">
        <w:rPr>
          <w:b/>
          <w:i w:val="0"/>
        </w:rPr>
        <w:t>Economic impacts</w:t>
      </w:r>
    </w:p>
    <w:p w14:paraId="48C6E32E" w14:textId="77777777" w:rsidR="00285741" w:rsidRPr="003E4A2F" w:rsidRDefault="00285741" w:rsidP="00285741">
      <w:pPr>
        <w:pStyle w:val="Heading4"/>
        <w:numPr>
          <w:ilvl w:val="3"/>
          <w:numId w:val="64"/>
        </w:numPr>
        <w:spacing w:before="0" w:after="0" w:line="276" w:lineRule="auto"/>
        <w:ind w:left="142" w:firstLine="130"/>
        <w:rPr>
          <w:b/>
          <w:noProof/>
          <w:color w:val="auto"/>
        </w:rPr>
      </w:pPr>
      <w:r w:rsidRPr="003E4A2F">
        <w:rPr>
          <w:b/>
          <w:noProof/>
          <w:color w:val="auto"/>
        </w:rPr>
        <w:t>Impact on companies</w:t>
      </w:r>
    </w:p>
    <w:p w14:paraId="11063ACC" w14:textId="1487467D" w:rsidR="00285741" w:rsidRDefault="00285741">
      <w:pPr>
        <w:pStyle w:val="Text2"/>
        <w:spacing w:before="240" w:after="40"/>
        <w:ind w:left="0"/>
        <w:rPr>
          <w:rFonts w:eastAsia="Calibri"/>
          <w:noProof/>
        </w:rPr>
      </w:pPr>
      <w:r w:rsidRPr="006A376F">
        <w:rPr>
          <w:rFonts w:eastAsia="Calibri"/>
          <w:b/>
          <w:noProof/>
        </w:rPr>
        <w:t>LAB</w:t>
      </w:r>
      <w:r w:rsidRPr="006A376F">
        <w:rPr>
          <w:b/>
          <w:bCs/>
          <w:noProof/>
        </w:rPr>
        <w:t xml:space="preserve"> </w:t>
      </w:r>
      <w:r w:rsidRPr="006A376F">
        <w:rPr>
          <w:rFonts w:eastAsia="Calibri"/>
          <w:b/>
          <w:noProof/>
        </w:rPr>
        <w:t>2</w:t>
      </w:r>
      <w:r w:rsidRPr="33D7172A">
        <w:rPr>
          <w:rFonts w:eastAsia="Calibri"/>
          <w:noProof/>
        </w:rPr>
        <w:t xml:space="preserve"> would introduce a </w:t>
      </w:r>
      <w:r w:rsidRPr="00A31961">
        <w:rPr>
          <w:rFonts w:eastAsia="Calibri"/>
          <w:b/>
          <w:bCs/>
          <w:noProof/>
        </w:rPr>
        <w:t>label on the carbon intensity of steel</w:t>
      </w:r>
      <w:r>
        <w:rPr>
          <w:rFonts w:eastAsia="Calibri"/>
          <w:b/>
          <w:bCs/>
          <w:noProof/>
        </w:rPr>
        <w:t xml:space="preserve"> only, </w:t>
      </w:r>
      <w:r w:rsidRPr="00F21AF9">
        <w:rPr>
          <w:rFonts w:eastAsia="Calibri"/>
          <w:noProof/>
        </w:rPr>
        <w:t xml:space="preserve">covering </w:t>
      </w:r>
      <w:r>
        <w:rPr>
          <w:rFonts w:eastAsia="Calibri"/>
          <w:noProof/>
        </w:rPr>
        <w:t xml:space="preserve">emissions </w:t>
      </w:r>
      <w:r w:rsidRPr="00F21AF9">
        <w:rPr>
          <w:rFonts w:eastAsia="Calibri"/>
          <w:noProof/>
        </w:rPr>
        <w:t>up to the hot-rolling production step</w:t>
      </w:r>
      <w:r>
        <w:rPr>
          <w:rFonts w:eastAsia="Calibri"/>
          <w:noProof/>
        </w:rPr>
        <w:t xml:space="preserve"> (see more in Annex 12).</w:t>
      </w:r>
      <w:r w:rsidRPr="33D7172A">
        <w:rPr>
          <w:rFonts w:eastAsia="Calibri"/>
          <w:noProof/>
        </w:rPr>
        <w:t xml:space="preserve"> The impact on steel companies would </w:t>
      </w:r>
      <w:r w:rsidRPr="0D78D2D3">
        <w:rPr>
          <w:rFonts w:eastAsia="Calibri"/>
          <w:noProof/>
        </w:rPr>
        <w:t xml:space="preserve">be </w:t>
      </w:r>
      <w:r>
        <w:rPr>
          <w:rFonts w:eastAsia="Calibri"/>
          <w:noProof/>
        </w:rPr>
        <w:t>overall</w:t>
      </w:r>
      <w:r w:rsidRPr="0D78D2D3">
        <w:rPr>
          <w:rFonts w:eastAsia="Calibri"/>
          <w:noProof/>
        </w:rPr>
        <w:t xml:space="preserve"> positive,</w:t>
      </w:r>
      <w:r w:rsidRPr="0D78D2D3" w:rsidDel="001C44D0">
        <w:rPr>
          <w:rFonts w:eastAsia="Calibri"/>
          <w:noProof/>
        </w:rPr>
        <w:t xml:space="preserve"> </w:t>
      </w:r>
      <w:r w:rsidRPr="4F0488B2">
        <w:rPr>
          <w:rFonts w:eastAsia="Calibri"/>
          <w:noProof/>
        </w:rPr>
        <w:t>providing</w:t>
      </w:r>
      <w:r w:rsidRPr="0D78D2D3">
        <w:rPr>
          <w:rFonts w:eastAsia="Calibri"/>
          <w:noProof/>
        </w:rPr>
        <w:t xml:space="preserve"> </w:t>
      </w:r>
      <w:r w:rsidRPr="08B3FB70">
        <w:rPr>
          <w:rFonts w:eastAsia="Calibri"/>
          <w:noProof/>
        </w:rPr>
        <w:t>a</w:t>
      </w:r>
      <w:r w:rsidRPr="0D78D2D3">
        <w:rPr>
          <w:rFonts w:eastAsia="Calibri"/>
          <w:noProof/>
        </w:rPr>
        <w:t xml:space="preserve"> reliable</w:t>
      </w:r>
      <w:r w:rsidRPr="33D7172A">
        <w:rPr>
          <w:rFonts w:eastAsia="Calibri"/>
          <w:noProof/>
        </w:rPr>
        <w:t xml:space="preserve"> EU-wide methodology to calculate embedded emissions and </w:t>
      </w:r>
      <w:r>
        <w:rPr>
          <w:rFonts w:eastAsia="Calibri"/>
          <w:noProof/>
        </w:rPr>
        <w:t>support</w:t>
      </w:r>
      <w:r w:rsidRPr="33D7172A">
        <w:rPr>
          <w:rFonts w:eastAsia="Calibri"/>
          <w:noProof/>
        </w:rPr>
        <w:t xml:space="preserve"> the creation of lead markets. Steel companies would be encouraged to certify their production with the label as </w:t>
      </w:r>
      <w:r>
        <w:rPr>
          <w:rFonts w:eastAsia="Calibri"/>
          <w:noProof/>
        </w:rPr>
        <w:t>it</w:t>
      </w:r>
      <w:r w:rsidRPr="0D78D2D3">
        <w:rPr>
          <w:rFonts w:eastAsia="Calibri"/>
          <w:noProof/>
        </w:rPr>
        <w:t xml:space="preserve"> would provide a clear identifier for producers using low-carbon processes and therefore positively impact their ability to monetise their green premium towards potential customers. </w:t>
      </w:r>
      <w:r>
        <w:rPr>
          <w:rFonts w:eastAsia="Calibri"/>
          <w:noProof/>
        </w:rPr>
        <w:t xml:space="preserve">The classification system combined with the shape of the sliding scale, a clear presentation of the embedded emissions and the share of steel scrap, provides a fair treatment for all producers, acknowledging the decarbonisation effort. See Annex 12 for extended description of the design elements under LAB 2 and their potential impacts. </w:t>
      </w:r>
      <w:r w:rsidRPr="09CA0190">
        <w:rPr>
          <w:noProof/>
          <w:color w:val="000000" w:themeColor="text1"/>
        </w:rPr>
        <w:t>While the use of LAB</w:t>
      </w:r>
      <w:r w:rsidR="007F0435">
        <w:rPr>
          <w:noProof/>
          <w:color w:val="000000" w:themeColor="text1"/>
        </w:rPr>
        <w:t xml:space="preserve"> </w:t>
      </w:r>
      <w:r w:rsidRPr="09CA0190">
        <w:rPr>
          <w:noProof/>
          <w:color w:val="000000" w:themeColor="text1"/>
        </w:rPr>
        <w:t xml:space="preserve">2 for steel is voluntary by design and therefore no additional costs are imposed on companies, the administrative costs have been estimated </w:t>
      </w:r>
      <w:r w:rsidRPr="0097216F">
        <w:rPr>
          <w:noProof/>
        </w:rPr>
        <w:t>in a yearly approximate cost of EUR 6</w:t>
      </w:r>
      <w:r w:rsidR="00B8591D">
        <w:rPr>
          <w:noProof/>
        </w:rPr>
        <w:t xml:space="preserve"> </w:t>
      </w:r>
      <w:r w:rsidRPr="0097216F">
        <w:rPr>
          <w:noProof/>
        </w:rPr>
        <w:t>700 per steel site</w:t>
      </w:r>
      <w:r>
        <w:rPr>
          <w:rStyle w:val="FootnoteReference"/>
          <w:noProof/>
        </w:rPr>
        <w:footnoteReference w:id="214"/>
      </w:r>
      <w:r w:rsidRPr="09CA0190">
        <w:rPr>
          <w:noProof/>
          <w:color w:val="000000" w:themeColor="text1"/>
        </w:rPr>
        <w:t xml:space="preserve">, which could offset the administrative costs from using </w:t>
      </w:r>
      <w:r w:rsidRPr="00BC44C5">
        <w:rPr>
          <w:noProof/>
        </w:rPr>
        <w:t>several</w:t>
      </w:r>
      <w:r w:rsidRPr="09CA0190">
        <w:rPr>
          <w:noProof/>
          <w:color w:val="000000" w:themeColor="text1"/>
        </w:rPr>
        <w:t xml:space="preserve"> other labels in the market for different products, to just one. </w:t>
      </w:r>
    </w:p>
    <w:p w14:paraId="24A8D3D7" w14:textId="77777777" w:rsidR="00F63D01" w:rsidRDefault="00F63D01">
      <w:pPr>
        <w:pStyle w:val="Text2"/>
        <w:spacing w:after="120"/>
        <w:ind w:left="0"/>
        <w:rPr>
          <w:rFonts w:eastAsia="Calibri"/>
          <w:b/>
          <w:bCs/>
          <w:noProof/>
        </w:rPr>
      </w:pPr>
    </w:p>
    <w:p w14:paraId="370A6AD8" w14:textId="1174E016" w:rsidR="00285741" w:rsidRDefault="7C355CBF">
      <w:pPr>
        <w:pStyle w:val="Text2"/>
        <w:spacing w:after="120"/>
        <w:ind w:left="0"/>
        <w:rPr>
          <w:noProof/>
        </w:rPr>
      </w:pPr>
      <w:r w:rsidRPr="61003A5B">
        <w:rPr>
          <w:rFonts w:eastAsia="Calibri"/>
          <w:b/>
          <w:bCs/>
          <w:noProof/>
        </w:rPr>
        <w:t>LEAD_EII 2</w:t>
      </w:r>
      <w:r w:rsidRPr="00AD0CD9">
        <w:rPr>
          <w:rFonts w:eastAsia="Calibri"/>
          <w:b/>
          <w:bCs/>
          <w:noProof/>
        </w:rPr>
        <w:t xml:space="preserve"> </w:t>
      </w:r>
      <w:r w:rsidR="7AC45609" w:rsidRPr="61003A5B">
        <w:rPr>
          <w:rFonts w:eastAsia="Calibri"/>
          <w:noProof/>
        </w:rPr>
        <w:t xml:space="preserve">introduces made in EU </w:t>
      </w:r>
      <w:r w:rsidR="00602DDB">
        <w:rPr>
          <w:rFonts w:eastAsia="Calibri"/>
          <w:noProof/>
        </w:rPr>
        <w:t xml:space="preserve">requirements </w:t>
      </w:r>
      <w:r w:rsidR="4ADDC93A" w:rsidRPr="61003A5B">
        <w:rPr>
          <w:rFonts w:eastAsia="Calibri"/>
          <w:noProof/>
        </w:rPr>
        <w:t xml:space="preserve">in addition to the </w:t>
      </w:r>
      <w:r w:rsidRPr="61003A5B">
        <w:rPr>
          <w:rFonts w:eastAsia="Calibri"/>
          <w:noProof/>
        </w:rPr>
        <w:t xml:space="preserve">low-carbon requirements for </w:t>
      </w:r>
      <w:r w:rsidR="3DA46D3B" w:rsidRPr="61003A5B">
        <w:rPr>
          <w:rFonts w:eastAsia="Calibri"/>
          <w:noProof/>
        </w:rPr>
        <w:t xml:space="preserve">steel, cement and aluminium </w:t>
      </w:r>
      <w:r w:rsidR="00C771E8">
        <w:rPr>
          <w:rFonts w:eastAsia="Calibri"/>
          <w:noProof/>
        </w:rPr>
        <w:t xml:space="preserve">used in the automotive and construction </w:t>
      </w:r>
      <w:r w:rsidR="007D2232">
        <w:rPr>
          <w:rFonts w:eastAsia="Calibri"/>
          <w:noProof/>
        </w:rPr>
        <w:t xml:space="preserve">projects, </w:t>
      </w:r>
      <w:r w:rsidR="1517A9C1" w:rsidRPr="61003A5B">
        <w:rPr>
          <w:rFonts w:eastAsia="Calibri"/>
          <w:noProof/>
        </w:rPr>
        <w:t>purchased through public procurement or public support schemes</w:t>
      </w:r>
      <w:r w:rsidR="007D2232">
        <w:rPr>
          <w:rFonts w:eastAsia="Calibri"/>
          <w:noProof/>
        </w:rPr>
        <w:t xml:space="preserve">. </w:t>
      </w:r>
    </w:p>
    <w:p w14:paraId="25B1A5EE" w14:textId="1E0C5660" w:rsidR="00285741" w:rsidRDefault="7C355CBF">
      <w:pPr>
        <w:pStyle w:val="Text2"/>
        <w:spacing w:after="120"/>
        <w:ind w:left="0"/>
        <w:rPr>
          <w:noProof/>
        </w:rPr>
      </w:pPr>
      <w:r>
        <w:rPr>
          <w:noProof/>
        </w:rPr>
        <w:t>The impacts of</w:t>
      </w:r>
      <w:r w:rsidRPr="2720EBAF">
        <w:rPr>
          <w:b/>
          <w:bCs/>
          <w:noProof/>
        </w:rPr>
        <w:t xml:space="preserve"> low</w:t>
      </w:r>
      <w:r w:rsidR="00E060D1">
        <w:rPr>
          <w:b/>
          <w:bCs/>
          <w:noProof/>
        </w:rPr>
        <w:t>-</w:t>
      </w:r>
      <w:r w:rsidRPr="2720EBAF">
        <w:rPr>
          <w:b/>
          <w:bCs/>
          <w:noProof/>
        </w:rPr>
        <w:t>carbon requirements for steel</w:t>
      </w:r>
      <w:r w:rsidR="00163C29">
        <w:rPr>
          <w:b/>
          <w:bCs/>
          <w:noProof/>
        </w:rPr>
        <w:t xml:space="preserve">, </w:t>
      </w:r>
      <w:r w:rsidRPr="2720EBAF">
        <w:rPr>
          <w:b/>
          <w:bCs/>
          <w:noProof/>
        </w:rPr>
        <w:t>cement</w:t>
      </w:r>
      <w:r w:rsidR="00163C29">
        <w:rPr>
          <w:b/>
          <w:bCs/>
          <w:noProof/>
        </w:rPr>
        <w:t xml:space="preserve"> and aluminium</w:t>
      </w:r>
      <w:r>
        <w:rPr>
          <w:noProof/>
        </w:rPr>
        <w:t xml:space="preserve"> in public procurement and incentives </w:t>
      </w:r>
      <w:r w:rsidR="7A8E2FED">
        <w:rPr>
          <w:noProof/>
        </w:rPr>
        <w:t>have</w:t>
      </w:r>
      <w:r w:rsidR="007D2232">
        <w:rPr>
          <w:noProof/>
        </w:rPr>
        <w:t xml:space="preserve"> been</w:t>
      </w:r>
      <w:r>
        <w:rPr>
          <w:noProof/>
        </w:rPr>
        <w:t xml:space="preserve"> addressed under PO1</w:t>
      </w:r>
      <w:r w:rsidR="007F226E">
        <w:rPr>
          <w:noProof/>
        </w:rPr>
        <w:t xml:space="preserve">, </w:t>
      </w:r>
      <w:r w:rsidR="005F1C77" w:rsidRPr="00CF06C8">
        <w:rPr>
          <w:rStyle w:val="CommentReference"/>
          <w:noProof/>
          <w:sz w:val="24"/>
          <w:szCs w:val="24"/>
        </w:rPr>
        <w:t>where the b</w:t>
      </w:r>
      <w:r w:rsidR="00C85BB9" w:rsidRPr="00CF06C8">
        <w:rPr>
          <w:noProof/>
        </w:rPr>
        <w:t xml:space="preserve">enefits </w:t>
      </w:r>
      <w:r w:rsidR="00595FA4" w:rsidRPr="00CF06C8">
        <w:rPr>
          <w:noProof/>
        </w:rPr>
        <w:t xml:space="preserve">in terms of value added </w:t>
      </w:r>
      <w:r w:rsidR="00C85BB9" w:rsidRPr="00CF06C8">
        <w:rPr>
          <w:noProof/>
        </w:rPr>
        <w:t>could reach EUR 686 million for the three EIIs combined, as a result of the</w:t>
      </w:r>
      <w:r w:rsidR="00B10A64" w:rsidRPr="00CF06C8">
        <w:rPr>
          <w:noProof/>
        </w:rPr>
        <w:t xml:space="preserve"> requirements </w:t>
      </w:r>
      <w:r w:rsidR="009A39D9" w:rsidRPr="00CF06C8">
        <w:rPr>
          <w:noProof/>
        </w:rPr>
        <w:t xml:space="preserve">(see </w:t>
      </w:r>
      <w:r w:rsidR="0031028A" w:rsidRPr="00CF06C8">
        <w:rPr>
          <w:noProof/>
        </w:rPr>
        <w:t>S</w:t>
      </w:r>
      <w:r w:rsidR="009A39D9" w:rsidRPr="00CF06C8">
        <w:rPr>
          <w:noProof/>
        </w:rPr>
        <w:t>ection 6.1.1.1.)</w:t>
      </w:r>
      <w:r w:rsidR="00C85BB9" w:rsidRPr="00CF06C8">
        <w:rPr>
          <w:noProof/>
        </w:rPr>
        <w:t xml:space="preserve">. </w:t>
      </w:r>
      <w:r w:rsidR="00A016FC" w:rsidRPr="00CF06C8">
        <w:rPr>
          <w:noProof/>
        </w:rPr>
        <w:t xml:space="preserve">Introducing Made in EU requirements will ensure that </w:t>
      </w:r>
      <w:r w:rsidR="00533765" w:rsidRPr="00CF06C8">
        <w:rPr>
          <w:noProof/>
        </w:rPr>
        <w:t xml:space="preserve">a share of the </w:t>
      </w:r>
      <w:r w:rsidR="00A016FC" w:rsidRPr="00CF06C8">
        <w:rPr>
          <w:noProof/>
        </w:rPr>
        <w:t>demand for low</w:t>
      </w:r>
      <w:r w:rsidR="006A6D56" w:rsidRPr="00CF06C8">
        <w:rPr>
          <w:noProof/>
        </w:rPr>
        <w:t>-</w:t>
      </w:r>
      <w:r w:rsidR="00A016FC" w:rsidRPr="00CF06C8">
        <w:rPr>
          <w:noProof/>
        </w:rPr>
        <w:t xml:space="preserve">carbon energy intensive industrial products is met by </w:t>
      </w:r>
      <w:r w:rsidR="0084418E" w:rsidRPr="00CF06C8">
        <w:rPr>
          <w:noProof/>
        </w:rPr>
        <w:t xml:space="preserve">domestic </w:t>
      </w:r>
      <w:r w:rsidR="00A016FC" w:rsidRPr="00CF06C8">
        <w:rPr>
          <w:noProof/>
        </w:rPr>
        <w:t>production, instead of imports</w:t>
      </w:r>
      <w:r w:rsidR="00163C29" w:rsidRPr="00CF06C8">
        <w:rPr>
          <w:noProof/>
        </w:rPr>
        <w:t xml:space="preserve"> </w:t>
      </w:r>
      <w:r w:rsidR="00A016FC" w:rsidRPr="00CF06C8">
        <w:rPr>
          <w:noProof/>
        </w:rPr>
        <w:t xml:space="preserve">from third countries. </w:t>
      </w:r>
      <w:r w:rsidR="00290103" w:rsidRPr="00CF06C8">
        <w:rPr>
          <w:noProof/>
        </w:rPr>
        <w:t>The Made in EU requirement</w:t>
      </w:r>
      <w:r w:rsidR="00EF1A44" w:rsidRPr="00CF06C8">
        <w:rPr>
          <w:noProof/>
        </w:rPr>
        <w:t>s</w:t>
      </w:r>
      <w:r w:rsidR="00290103" w:rsidRPr="00CF06C8">
        <w:rPr>
          <w:noProof/>
        </w:rPr>
        <w:t xml:space="preserve">, however, </w:t>
      </w:r>
      <w:r w:rsidR="007D32E4" w:rsidRPr="00CF06C8">
        <w:rPr>
          <w:noProof/>
        </w:rPr>
        <w:t xml:space="preserve">are unlikely to create </w:t>
      </w:r>
      <w:r w:rsidR="00290103" w:rsidRPr="00CF06C8">
        <w:rPr>
          <w:noProof/>
        </w:rPr>
        <w:t xml:space="preserve">further economic benefits for the EII sectors. In the absence of </w:t>
      </w:r>
      <w:r w:rsidR="00E276FF" w:rsidRPr="00CF06C8">
        <w:rPr>
          <w:noProof/>
        </w:rPr>
        <w:t xml:space="preserve">well-established </w:t>
      </w:r>
      <w:r w:rsidR="00290103" w:rsidRPr="00CF06C8">
        <w:rPr>
          <w:noProof/>
        </w:rPr>
        <w:t>low-carbon supply chains for the</w:t>
      </w:r>
      <w:r w:rsidR="00E276FF" w:rsidRPr="00CF06C8">
        <w:rPr>
          <w:noProof/>
        </w:rPr>
        <w:t>ir</w:t>
      </w:r>
      <w:r w:rsidR="00290103" w:rsidRPr="00CF06C8">
        <w:rPr>
          <w:noProof/>
        </w:rPr>
        <w:t xml:space="preserve"> materials, and assuming traditional supply chains are maintained, the </w:t>
      </w:r>
      <w:r w:rsidR="00837E5D" w:rsidRPr="00CF06C8">
        <w:rPr>
          <w:noProof/>
        </w:rPr>
        <w:t>proposed level of target</w:t>
      </w:r>
      <w:r w:rsidR="00080CAE" w:rsidRPr="00CF06C8">
        <w:rPr>
          <w:noProof/>
        </w:rPr>
        <w:t>s</w:t>
      </w:r>
      <w:r w:rsidR="00273CBA" w:rsidRPr="00CF06C8">
        <w:rPr>
          <w:noProof/>
        </w:rPr>
        <w:t xml:space="preserve"> is </w:t>
      </w:r>
      <w:r w:rsidR="002C49F1" w:rsidRPr="00CF06C8">
        <w:rPr>
          <w:noProof/>
        </w:rPr>
        <w:t xml:space="preserve">lower than the </w:t>
      </w:r>
      <w:r w:rsidR="00117C79" w:rsidRPr="00CF06C8">
        <w:rPr>
          <w:noProof/>
        </w:rPr>
        <w:t xml:space="preserve">share </w:t>
      </w:r>
      <w:r w:rsidR="00E03C1C" w:rsidRPr="00CF06C8">
        <w:rPr>
          <w:noProof/>
        </w:rPr>
        <w:t xml:space="preserve">of </w:t>
      </w:r>
      <w:r w:rsidR="000045A6" w:rsidRPr="00CF06C8">
        <w:rPr>
          <w:noProof/>
        </w:rPr>
        <w:t xml:space="preserve">EU’s domestic demand </w:t>
      </w:r>
      <w:r w:rsidR="00450D38" w:rsidRPr="00CF06C8">
        <w:rPr>
          <w:noProof/>
        </w:rPr>
        <w:t>for</w:t>
      </w:r>
      <w:r w:rsidR="00E03C1C" w:rsidRPr="00CF06C8">
        <w:rPr>
          <w:noProof/>
        </w:rPr>
        <w:t xml:space="preserve"> these</w:t>
      </w:r>
      <w:r w:rsidR="002C49F1" w:rsidRPr="00CF06C8">
        <w:rPr>
          <w:noProof/>
        </w:rPr>
        <w:t xml:space="preserve"> </w:t>
      </w:r>
      <w:r w:rsidR="0030650C" w:rsidRPr="00CF06C8">
        <w:rPr>
          <w:noProof/>
        </w:rPr>
        <w:t xml:space="preserve">materials </w:t>
      </w:r>
      <w:r w:rsidR="00450D38" w:rsidRPr="00CF06C8">
        <w:rPr>
          <w:noProof/>
        </w:rPr>
        <w:t>(</w:t>
      </w:r>
      <w:r w:rsidR="00E03C1C" w:rsidRPr="00CF06C8">
        <w:rPr>
          <w:noProof/>
        </w:rPr>
        <w:t>in automotive and transport</w:t>
      </w:r>
      <w:r w:rsidR="00450D38" w:rsidRPr="00CF06C8">
        <w:rPr>
          <w:noProof/>
        </w:rPr>
        <w:t>)</w:t>
      </w:r>
      <w:r w:rsidR="00E03C1C" w:rsidRPr="00CF06C8">
        <w:rPr>
          <w:noProof/>
        </w:rPr>
        <w:t xml:space="preserve"> that </w:t>
      </w:r>
      <w:r w:rsidR="00CC1D66" w:rsidRPr="00CF06C8">
        <w:rPr>
          <w:noProof/>
        </w:rPr>
        <w:t xml:space="preserve">is </w:t>
      </w:r>
      <w:r w:rsidR="005D0919" w:rsidRPr="00CF06C8">
        <w:rPr>
          <w:noProof/>
        </w:rPr>
        <w:t xml:space="preserve">currently met by European </w:t>
      </w:r>
      <w:r w:rsidR="00E03C1C" w:rsidRPr="00CF06C8">
        <w:rPr>
          <w:noProof/>
        </w:rPr>
        <w:t>production</w:t>
      </w:r>
      <w:r w:rsidR="00C9653A" w:rsidRPr="00CF06C8">
        <w:rPr>
          <w:noProof/>
        </w:rPr>
        <w:t>.</w:t>
      </w:r>
      <w:r w:rsidR="00450D38" w:rsidRPr="00CF06C8">
        <w:rPr>
          <w:rStyle w:val="FootnoteReference"/>
          <w:noProof/>
        </w:rPr>
        <w:footnoteReference w:id="215"/>
      </w:r>
      <w:r w:rsidRPr="00CF06C8">
        <w:rPr>
          <w:noProof/>
        </w:rPr>
        <w:t xml:space="preserve"> </w:t>
      </w:r>
      <w:r w:rsidR="00CE781B" w:rsidRPr="00CF06C8">
        <w:rPr>
          <w:noProof/>
        </w:rPr>
        <w:t>Overall, it will help safeguard security</w:t>
      </w:r>
      <w:r w:rsidR="00627574" w:rsidRPr="00CF06C8">
        <w:rPr>
          <w:noProof/>
        </w:rPr>
        <w:t xml:space="preserve"> of supply</w:t>
      </w:r>
      <w:r w:rsidR="00CE781B" w:rsidRPr="00CF06C8">
        <w:rPr>
          <w:noProof/>
        </w:rPr>
        <w:t xml:space="preserve">, </w:t>
      </w:r>
      <w:r w:rsidR="00627574" w:rsidRPr="00CF06C8">
        <w:rPr>
          <w:noProof/>
        </w:rPr>
        <w:t xml:space="preserve">guaranteeing a share of secure, low-carbon </w:t>
      </w:r>
      <w:r w:rsidR="00CE781B" w:rsidRPr="00CF06C8">
        <w:rPr>
          <w:noProof/>
        </w:rPr>
        <w:t xml:space="preserve">demand </w:t>
      </w:r>
      <w:r w:rsidR="00773DF9" w:rsidRPr="00CF06C8">
        <w:rPr>
          <w:noProof/>
        </w:rPr>
        <w:t>for</w:t>
      </w:r>
      <w:r w:rsidR="00CE781B" w:rsidRPr="00CF06C8">
        <w:rPr>
          <w:noProof/>
        </w:rPr>
        <w:t xml:space="preserve"> domestic producers, and improve the resilience of low-carbon </w:t>
      </w:r>
      <w:r w:rsidR="00CE781B" w:rsidRPr="00CF06C8">
        <w:rPr>
          <w:noProof/>
        </w:rPr>
        <w:lastRenderedPageBreak/>
        <w:t>production of steel, aluminium and cement in their transition process where international competition and pressures will remain.</w:t>
      </w:r>
    </w:p>
    <w:p w14:paraId="53175C80" w14:textId="407BAFD6" w:rsidR="00C907CD" w:rsidRDefault="00773DF9" w:rsidP="00C907CD">
      <w:pPr>
        <w:spacing w:after="120"/>
        <w:rPr>
          <w:rFonts w:eastAsia="Times New Roman"/>
          <w:noProof/>
        </w:rPr>
      </w:pPr>
      <w:r w:rsidRPr="00CF06C8">
        <w:rPr>
          <w:rFonts w:eastAsia="Times New Roman"/>
          <w:noProof/>
        </w:rPr>
        <w:t xml:space="preserve">Furthermore, </w:t>
      </w:r>
      <w:r w:rsidR="0042657B" w:rsidRPr="00CF06C8">
        <w:rPr>
          <w:rFonts w:eastAsia="Times New Roman"/>
          <w:noProof/>
        </w:rPr>
        <w:t>such pre</w:t>
      </w:r>
      <w:r w:rsidR="0081793E" w:rsidRPr="00CF06C8">
        <w:rPr>
          <w:rFonts w:eastAsia="Times New Roman"/>
          <w:noProof/>
        </w:rPr>
        <w:t>dictability of demand for low-carbon steel can help absorb part of the investment’s costs from the low-carbon technologies</w:t>
      </w:r>
      <w:r w:rsidR="0042657B" w:rsidRPr="00CF06C8">
        <w:rPr>
          <w:rFonts w:eastAsia="Times New Roman"/>
          <w:noProof/>
        </w:rPr>
        <w:t>,</w:t>
      </w:r>
      <w:r w:rsidR="000465E7" w:rsidRPr="00CF06C8">
        <w:rPr>
          <w:rFonts w:eastAsia="Times New Roman"/>
          <w:noProof/>
        </w:rPr>
        <w:t xml:space="preserve"> potentially pushing i</w:t>
      </w:r>
      <w:r w:rsidR="0081793E" w:rsidRPr="00CF06C8">
        <w:rPr>
          <w:rFonts w:eastAsia="Times New Roman"/>
          <w:noProof/>
        </w:rPr>
        <w:t>nvestment decisions towards decarbonisation. In the EU steel sector, there are currently at least 29 announced steel decarbonisation projects, with a combined potential capacity of additional 41 Mtonnes of low-carbon steel per year by 2030, that have not yet reached the final investment stage</w:t>
      </w:r>
      <w:r w:rsidR="00C9653A" w:rsidRPr="00CF06C8">
        <w:rPr>
          <w:rFonts w:eastAsia="Times New Roman"/>
          <w:noProof/>
        </w:rPr>
        <w:t>.</w:t>
      </w:r>
      <w:r w:rsidR="001A4D6B" w:rsidRPr="00CF06C8">
        <w:rPr>
          <w:rStyle w:val="FootnoteReference"/>
          <w:rFonts w:eastAsia="Times New Roman"/>
          <w:noProof/>
        </w:rPr>
        <w:footnoteReference w:id="216"/>
      </w:r>
      <w:r w:rsidR="0081793E" w:rsidRPr="00CF06C8">
        <w:rPr>
          <w:rFonts w:eastAsia="Times New Roman"/>
          <w:noProof/>
        </w:rPr>
        <w:t xml:space="preserve"> To that end, the proposed lead market measures, based on the current project pipeline, could unlock up to EUR 15.5 billion in investments</w:t>
      </w:r>
      <w:r w:rsidR="00577521" w:rsidRPr="00CF06C8">
        <w:rPr>
          <w:rStyle w:val="FootnoteReference"/>
          <w:rFonts w:eastAsia="Times New Roman"/>
          <w:noProof/>
        </w:rPr>
        <w:footnoteReference w:id="217"/>
      </w:r>
      <w:r w:rsidR="0081793E" w:rsidRPr="00CF06C8">
        <w:rPr>
          <w:rFonts w:eastAsia="Times New Roman"/>
          <w:noProof/>
        </w:rPr>
        <w:t xml:space="preserve"> covering approximately 15% of the sector’s EUR 100 billion total investment need by 20</w:t>
      </w:r>
      <w:r w:rsidR="00A34B34">
        <w:rPr>
          <w:rFonts w:eastAsia="Times New Roman"/>
          <w:noProof/>
        </w:rPr>
        <w:t>50</w:t>
      </w:r>
      <w:r w:rsidR="0081793E" w:rsidRPr="00CF06C8">
        <w:rPr>
          <w:rFonts w:eastAsia="Times New Roman"/>
          <w:noProof/>
        </w:rPr>
        <w:t xml:space="preserve">, as estimated </w:t>
      </w:r>
      <w:r w:rsidR="0077359A">
        <w:rPr>
          <w:rFonts w:eastAsia="Times New Roman"/>
          <w:noProof/>
        </w:rPr>
        <w:t>in</w:t>
      </w:r>
      <w:r w:rsidR="0077359A" w:rsidRPr="00CF06C8">
        <w:rPr>
          <w:rFonts w:eastAsia="Times New Roman"/>
          <w:noProof/>
        </w:rPr>
        <w:t xml:space="preserve"> </w:t>
      </w:r>
      <w:r w:rsidR="0077359A">
        <w:rPr>
          <w:rFonts w:eastAsia="Times New Roman"/>
          <w:noProof/>
        </w:rPr>
        <w:t xml:space="preserve">the impact assessment </w:t>
      </w:r>
      <w:r w:rsidR="007173D9">
        <w:rPr>
          <w:rFonts w:eastAsia="Times New Roman"/>
          <w:noProof/>
        </w:rPr>
        <w:t>for</w:t>
      </w:r>
      <w:r w:rsidR="0077359A">
        <w:rPr>
          <w:rFonts w:eastAsia="Times New Roman"/>
          <w:noProof/>
        </w:rPr>
        <w:t xml:space="preserve"> the 2040 climate target</w:t>
      </w:r>
      <w:r w:rsidR="0077359A" w:rsidRPr="00CF06C8">
        <w:rPr>
          <w:rFonts w:eastAsia="Times New Roman"/>
          <w:noProof/>
        </w:rPr>
        <w:t>.</w:t>
      </w:r>
      <w:r w:rsidR="0077359A">
        <w:rPr>
          <w:rFonts w:eastAsia="Times New Roman"/>
          <w:noProof/>
        </w:rPr>
        <w:t xml:space="preserve"> </w:t>
      </w:r>
      <w:r w:rsidR="0081793E" w:rsidRPr="00CF06C8">
        <w:rPr>
          <w:rFonts w:eastAsia="Times New Roman"/>
          <w:noProof/>
        </w:rPr>
        <w:t>.</w:t>
      </w:r>
      <w:r w:rsidR="007173D9" w:rsidRPr="007173D9">
        <w:rPr>
          <w:rStyle w:val="FootnoteReference"/>
          <w:bCs/>
          <w:noProof/>
        </w:rPr>
        <w:t xml:space="preserve"> </w:t>
      </w:r>
      <w:r w:rsidR="007173D9">
        <w:rPr>
          <w:rStyle w:val="FootnoteReference"/>
          <w:bCs/>
          <w:noProof/>
        </w:rPr>
        <w:footnoteReference w:id="218"/>
      </w:r>
      <w:r w:rsidR="007173D9">
        <w:rPr>
          <w:bCs/>
          <w:noProof/>
          <w:vertAlign w:val="superscript"/>
        </w:rPr>
        <w:t xml:space="preserve">, </w:t>
      </w:r>
      <w:r w:rsidR="0007577F" w:rsidRPr="003A6409">
        <w:rPr>
          <w:rStyle w:val="FootnoteReference"/>
          <w:bCs/>
          <w:noProof/>
        </w:rPr>
        <w:footnoteReference w:id="219"/>
      </w:r>
      <w:r w:rsidR="0007577F">
        <w:rPr>
          <w:bCs/>
          <w:noProof/>
        </w:rPr>
        <w:t xml:space="preserve"> </w:t>
      </w:r>
      <w:r w:rsidR="0007577F" w:rsidRPr="003A6409">
        <w:rPr>
          <w:bCs/>
          <w:noProof/>
        </w:rPr>
        <w:t xml:space="preserve"> </w:t>
      </w:r>
    </w:p>
    <w:p w14:paraId="2B375D8D" w14:textId="4E92A8FF" w:rsidR="00285741" w:rsidRDefault="20ED8F15" w:rsidP="00C907CD">
      <w:pPr>
        <w:spacing w:after="120"/>
        <w:rPr>
          <w:noProof/>
        </w:rPr>
      </w:pPr>
      <w:r>
        <w:rPr>
          <w:noProof/>
        </w:rPr>
        <w:t>In contrast to the baseline scenario, where export-</w:t>
      </w:r>
      <w:r w:rsidR="002E52CB">
        <w:rPr>
          <w:noProof/>
        </w:rPr>
        <w:t xml:space="preserve">led </w:t>
      </w:r>
      <w:r>
        <w:rPr>
          <w:noProof/>
        </w:rPr>
        <w:t xml:space="preserve">overcapacity in third countries leads to artificially low prices (notably for steel) and causes EU job losses and plant closures, </w:t>
      </w:r>
      <w:r w:rsidRPr="2720EBAF">
        <w:rPr>
          <w:b/>
          <w:bCs/>
          <w:noProof/>
        </w:rPr>
        <w:t xml:space="preserve">introducing Made in EU </w:t>
      </w:r>
      <w:r w:rsidR="002E52CB">
        <w:rPr>
          <w:b/>
          <w:bCs/>
          <w:noProof/>
        </w:rPr>
        <w:t xml:space="preserve">low-carbon </w:t>
      </w:r>
      <w:r w:rsidRPr="2720EBAF">
        <w:rPr>
          <w:b/>
          <w:bCs/>
          <w:noProof/>
        </w:rPr>
        <w:t>requirements</w:t>
      </w:r>
      <w:r>
        <w:rPr>
          <w:noProof/>
        </w:rPr>
        <w:t xml:space="preserve"> will help safeguard security, redirect demand towards domestic</w:t>
      </w:r>
      <w:r w:rsidR="002E52CB">
        <w:rPr>
          <w:noProof/>
        </w:rPr>
        <w:t xml:space="preserve">, cleaner </w:t>
      </w:r>
      <w:r>
        <w:rPr>
          <w:noProof/>
        </w:rPr>
        <w:t xml:space="preserve">producers, </w:t>
      </w:r>
      <w:r w:rsidRPr="2720EBAF">
        <w:rPr>
          <w:rFonts w:eastAsia="Calibri"/>
          <w:noProof/>
        </w:rPr>
        <w:t>and</w:t>
      </w:r>
      <w:r>
        <w:rPr>
          <w:noProof/>
        </w:rPr>
        <w:t xml:space="preserve"> improve the resilience </w:t>
      </w:r>
      <w:r w:rsidR="002E52CB">
        <w:rPr>
          <w:noProof/>
        </w:rPr>
        <w:t xml:space="preserve">and transition </w:t>
      </w:r>
      <w:r>
        <w:rPr>
          <w:noProof/>
        </w:rPr>
        <w:t xml:space="preserve">of sectors like steel or aluminium that have lost market share over the past decade. </w:t>
      </w:r>
    </w:p>
    <w:p w14:paraId="2E3B5FFE" w14:textId="77777777" w:rsidR="00285741" w:rsidRPr="000272AD" w:rsidRDefault="7C355CBF">
      <w:pPr>
        <w:pBdr>
          <w:top w:val="single" w:sz="4" w:space="1" w:color="auto"/>
          <w:left w:val="single" w:sz="4" w:space="1" w:color="auto"/>
          <w:bottom w:val="single" w:sz="4" w:space="0" w:color="auto"/>
          <w:right w:val="single" w:sz="4" w:space="0" w:color="auto"/>
        </w:pBdr>
        <w:rPr>
          <w:noProof/>
          <w:sz w:val="20"/>
          <w:szCs w:val="20"/>
        </w:rPr>
      </w:pPr>
      <w:r w:rsidRPr="000272AD">
        <w:rPr>
          <w:noProof/>
          <w:sz w:val="20"/>
          <w:szCs w:val="20"/>
        </w:rPr>
        <w:t xml:space="preserve">According to the </w:t>
      </w:r>
      <w:r w:rsidRPr="1A2A8689">
        <w:rPr>
          <w:b/>
          <w:bCs/>
          <w:noProof/>
          <w:sz w:val="20"/>
          <w:szCs w:val="20"/>
        </w:rPr>
        <w:t>targeted stakeholder consultation,</w:t>
      </w:r>
      <w:r w:rsidRPr="000272AD">
        <w:rPr>
          <w:noProof/>
          <w:sz w:val="20"/>
          <w:szCs w:val="20"/>
        </w:rPr>
        <w:t xml:space="preserve"> support for stimulating demand for EU-made industrial products was broadly shared among respondents (86%; 53 out of 62 respondents). Support was widespread among sectors.</w:t>
      </w:r>
      <w:r w:rsidR="00285741" w:rsidRPr="000272AD">
        <w:rPr>
          <w:rStyle w:val="FootnoteReference"/>
          <w:noProof/>
          <w:sz w:val="20"/>
          <w:szCs w:val="20"/>
        </w:rPr>
        <w:footnoteReference w:id="220"/>
      </w:r>
      <w:r w:rsidRPr="000272AD">
        <w:rPr>
          <w:noProof/>
          <w:sz w:val="20"/>
          <w:szCs w:val="20"/>
        </w:rPr>
        <w:t xml:space="preserve"> </w:t>
      </w:r>
      <w:r w:rsidRPr="1A2A8689">
        <w:rPr>
          <w:b/>
          <w:bCs/>
          <w:noProof/>
          <w:sz w:val="20"/>
          <w:szCs w:val="20"/>
        </w:rPr>
        <w:t>SMEs also strongly supported lead markets</w:t>
      </w:r>
      <w:r w:rsidRPr="000272AD">
        <w:rPr>
          <w:noProof/>
          <w:sz w:val="20"/>
          <w:szCs w:val="20"/>
        </w:rPr>
        <w:t xml:space="preserve"> for EU-made industrial products, i.e. micro businesses (6 of 7; 86%), small businesses (6 of 7; 86%) and medium-sized businesses (5 of 6; 83%).</w:t>
      </w:r>
    </w:p>
    <w:p w14:paraId="36DE5DD4" w14:textId="299E20B1" w:rsidR="00285741" w:rsidRDefault="7C355CBF">
      <w:pPr>
        <w:pStyle w:val="Text2"/>
        <w:spacing w:before="240" w:after="120"/>
        <w:ind w:left="0"/>
        <w:rPr>
          <w:noProof/>
        </w:rPr>
      </w:pPr>
      <w:r w:rsidRPr="5D042B50">
        <w:rPr>
          <w:b/>
          <w:bCs/>
          <w:noProof/>
        </w:rPr>
        <w:t>INV 2</w:t>
      </w:r>
      <w:r w:rsidRPr="1A2A8689">
        <w:rPr>
          <w:b/>
          <w:bCs/>
          <w:noProof/>
        </w:rPr>
        <w:t xml:space="preserve"> -</w:t>
      </w:r>
      <w:r>
        <w:rPr>
          <w:noProof/>
        </w:rPr>
        <w:t xml:space="preserve"> </w:t>
      </w:r>
      <w:r w:rsidRPr="5D042B50">
        <w:rPr>
          <w:b/>
          <w:bCs/>
          <w:noProof/>
        </w:rPr>
        <w:t xml:space="preserve">FDI conditions </w:t>
      </w:r>
      <w:r>
        <w:rPr>
          <w:noProof/>
        </w:rPr>
        <w:t xml:space="preserve">would be mandatory and applied consistently across the EU, resulting in more stringent requirements on companies in scope. Conditionalities such as value-added production and staffing requirements could increase costs by limiting options for raw materials, components or </w:t>
      </w:r>
      <w:r w:rsidRPr="00CF06C8">
        <w:rPr>
          <w:noProof/>
        </w:rPr>
        <w:t>labour</w:t>
      </w:r>
      <w:r w:rsidR="5C1AFE1A" w:rsidRPr="00CF06C8">
        <w:rPr>
          <w:noProof/>
        </w:rPr>
        <w:t>, while ownership, joint-venture and EU-content requirements would have the strongest operational and strategic impact</w:t>
      </w:r>
      <w:r w:rsidRPr="00CF06C8">
        <w:rPr>
          <w:noProof/>
        </w:rPr>
        <w:t xml:space="preserve">. The benefits outlined in PO1 would be amplified, as consistent application would close loopholes, preventing investors from bypassing requirements by selecting investment locations with weaker or no conditionalities. </w:t>
      </w:r>
      <w:r w:rsidR="6AF33483" w:rsidRPr="00CF06C8">
        <w:rPr>
          <w:noProof/>
        </w:rPr>
        <w:t>For companies investing in or producing “strategic reinforcement” technologies, all core conditions would apply, creating a more rigid obligation set; for companies developing or manufacturing “other emerging key strategic sectors”,</w:t>
      </w:r>
      <w:r w:rsidRPr="00CF06C8">
        <w:rPr>
          <w:noProof/>
        </w:rPr>
        <w:t xml:space="preserve"> the </w:t>
      </w:r>
      <w:r w:rsidR="6AF33483" w:rsidRPr="00CF06C8">
        <w:rPr>
          <w:noProof/>
        </w:rPr>
        <w:t xml:space="preserve">requirement to comply with only a minimum subset of conditions would provide greater flexibility when adapting business models. </w:t>
      </w:r>
      <w:r w:rsidRPr="00CF06C8">
        <w:rPr>
          <w:noProof/>
        </w:rPr>
        <w:t xml:space="preserve">In the short term, </w:t>
      </w:r>
      <w:r w:rsidR="6AF33483" w:rsidRPr="00CF06C8">
        <w:rPr>
          <w:noProof/>
        </w:rPr>
        <w:t>this</w:t>
      </w:r>
      <w:r w:rsidRPr="00CF06C8">
        <w:rPr>
          <w:noProof/>
        </w:rPr>
        <w:t xml:space="preserve"> may temporarily deter some investments in the EU for the concerned sectors, particularly those relying on</w:t>
      </w:r>
      <w:r>
        <w:rPr>
          <w:noProof/>
        </w:rPr>
        <w:t xml:space="preserve"> imported intermediate goods or a global staffing model. However, OECD evidence shows that performance-based, transparent obligations (e.g. EU sourcing shares, local R&amp;I, technology commitments) are compatible with sustained inflows.</w:t>
      </w:r>
      <w:r w:rsidR="00285741">
        <w:rPr>
          <w:rStyle w:val="FootnoteReference"/>
          <w:noProof/>
        </w:rPr>
        <w:footnoteReference w:id="221"/>
      </w:r>
      <w:r>
        <w:rPr>
          <w:noProof/>
        </w:rPr>
        <w:t xml:space="preserve"> </w:t>
      </w:r>
      <w:r w:rsidRPr="00784A73">
        <w:rPr>
          <w:noProof/>
        </w:rPr>
        <w:t>Over the medium to long run, companies adapting to these obligations are expected to embed more R&amp;</w:t>
      </w:r>
      <w:r>
        <w:rPr>
          <w:noProof/>
        </w:rPr>
        <w:t>I</w:t>
      </w:r>
      <w:r w:rsidRPr="00784A73">
        <w:rPr>
          <w:noProof/>
        </w:rPr>
        <w:t xml:space="preserve"> and technology in their EU operations, making investments “stickier” and more resilient.</w:t>
      </w:r>
      <w:r w:rsidRPr="003C33A6">
        <w:rPr>
          <w:noProof/>
        </w:rPr>
        <w:t xml:space="preserve"> </w:t>
      </w:r>
      <w:r w:rsidR="2802550F">
        <w:rPr>
          <w:noProof/>
        </w:rPr>
        <w:t xml:space="preserve">International experience </w:t>
      </w:r>
      <w:r w:rsidR="2435A521">
        <w:rPr>
          <w:noProof/>
        </w:rPr>
        <w:t>suggests</w:t>
      </w:r>
      <w:r w:rsidRPr="00627397">
        <w:rPr>
          <w:noProof/>
        </w:rPr>
        <w:t xml:space="preserve"> that such measures can </w:t>
      </w:r>
      <w:r w:rsidRPr="00627397">
        <w:rPr>
          <w:noProof/>
        </w:rPr>
        <w:lastRenderedPageBreak/>
        <w:t>strengthen strategic value creation without deterring investment, provided they are implemented carefully (see Annex 13).</w:t>
      </w:r>
    </w:p>
    <w:p w14:paraId="0BC25D98" w14:textId="19F4DBD9" w:rsidR="00285741" w:rsidRDefault="7C355CBF">
      <w:pPr>
        <w:pStyle w:val="Text2"/>
        <w:spacing w:after="120"/>
        <w:ind w:left="0"/>
        <w:rPr>
          <w:noProof/>
        </w:rPr>
      </w:pPr>
      <w:r>
        <w:rPr>
          <w:b/>
          <w:bCs/>
          <w:noProof/>
        </w:rPr>
        <w:t xml:space="preserve">PERM 2 </w:t>
      </w:r>
      <w:r>
        <w:rPr>
          <w:noProof/>
        </w:rPr>
        <w:t>has the objective to streamline and/or increase business certainty over the permit</w:t>
      </w:r>
      <w:r w:rsidR="3DFFADF1">
        <w:rPr>
          <w:noProof/>
        </w:rPr>
        <w:t>ting</w:t>
      </w:r>
      <w:r>
        <w:rPr>
          <w:noProof/>
        </w:rPr>
        <w:t xml:space="preserve"> process. In this context, energy intensive companies’ decarbonisation projects eligible for measures like a One stop shop (Single point of contact) or the permitting timelines could largely benefit from an improved efficiency for their businesses as outlined in the findings of the Innovation Fund knowledge sharing report from 2025.</w:t>
      </w:r>
      <w:r w:rsidR="00285741">
        <w:rPr>
          <w:rStyle w:val="FootnoteReference"/>
          <w:noProof/>
        </w:rPr>
        <w:footnoteReference w:id="222"/>
      </w:r>
      <w:r>
        <w:rPr>
          <w:noProof/>
        </w:rPr>
        <w:t xml:space="preserve"> The measures would reduce the number of authorities to contact (which can in some cases reach 10), increase certainty over the timeline for the project from extreme cases lasting more than two years, and be reduced to a maximum of 18 months. Projects could also benefit from tacit approval, subject to conditions, on certain intermediary steps of their permitting process, which could help with the sequencing of permits and further incentivise public authorities to deliver timely feedback.</w:t>
      </w:r>
    </w:p>
    <w:p w14:paraId="3A8D3FF3" w14:textId="1A72DA9E" w:rsidR="00285741" w:rsidRDefault="00285741">
      <w:pPr>
        <w:pStyle w:val="Text2"/>
        <w:spacing w:after="120"/>
        <w:ind w:left="0"/>
        <w:rPr>
          <w:noProof/>
        </w:rPr>
      </w:pPr>
      <w:r>
        <w:rPr>
          <w:noProof/>
        </w:rPr>
        <w:t>Moreover, while not speeding up the environmental assessment itself, the presumption of overriding public interest could streamline</w:t>
      </w:r>
      <w:r w:rsidDel="00310255">
        <w:rPr>
          <w:noProof/>
        </w:rPr>
        <w:t xml:space="preserve"> </w:t>
      </w:r>
      <w:r>
        <w:rPr>
          <w:noProof/>
        </w:rPr>
        <w:t>the final stages of permit approval and increase business certainty</w:t>
      </w:r>
      <w:r w:rsidR="00AC1D2C">
        <w:rPr>
          <w:noProof/>
        </w:rPr>
        <w:t xml:space="preserve">. </w:t>
      </w:r>
      <w:r w:rsidDel="00AC1D2C">
        <w:rPr>
          <w:noProof/>
        </w:rPr>
        <w:t>Additionally, enabling the testing of innovative technologies under the regulatory sandboxes for limited periods of time, regarding the production technologies for renewable and low</w:t>
      </w:r>
      <w:r w:rsidR="00F42FCE" w:rsidDel="00AC1D2C">
        <w:rPr>
          <w:noProof/>
        </w:rPr>
        <w:t>-</w:t>
      </w:r>
      <w:r w:rsidDel="00AC1D2C">
        <w:rPr>
          <w:noProof/>
        </w:rPr>
        <w:t>carbon hydrogen, will facilitate the testing of new generation technologies</w:t>
      </w:r>
      <w:r>
        <w:rPr>
          <w:noProof/>
        </w:rPr>
        <w:t xml:space="preserve">. </w:t>
      </w:r>
      <w:r w:rsidR="00F103F1">
        <w:rPr>
          <w:noProof/>
        </w:rPr>
        <w:t>Regulatory learning</w:t>
      </w:r>
      <w:r w:rsidR="00D05C0B">
        <w:rPr>
          <w:noProof/>
        </w:rPr>
        <w:t xml:space="preserve">, as one of the main outcomes of regulatory sandboxes would enable authorities to </w:t>
      </w:r>
      <w:r w:rsidR="00297E6D">
        <w:rPr>
          <w:noProof/>
        </w:rPr>
        <w:t xml:space="preserve">improve the regulatory environment for upcoming </w:t>
      </w:r>
      <w:r w:rsidR="00AE5EB3">
        <w:rPr>
          <w:noProof/>
        </w:rPr>
        <w:t>technologies, and</w:t>
      </w:r>
      <w:r w:rsidR="00297E6D">
        <w:rPr>
          <w:noProof/>
        </w:rPr>
        <w:t xml:space="preserve"> </w:t>
      </w:r>
      <w:r w:rsidR="00AE5EB3">
        <w:rPr>
          <w:noProof/>
        </w:rPr>
        <w:t xml:space="preserve">as a result </w:t>
      </w:r>
      <w:r w:rsidR="00297E6D">
        <w:rPr>
          <w:noProof/>
        </w:rPr>
        <w:t>improve their permitting framework</w:t>
      </w:r>
      <w:r w:rsidR="0072660E">
        <w:rPr>
          <w:noProof/>
        </w:rPr>
        <w:t xml:space="preserve">. </w:t>
      </w:r>
    </w:p>
    <w:p w14:paraId="57DB1BCD" w14:textId="77777777" w:rsidR="00285741" w:rsidRDefault="00285741">
      <w:pPr>
        <w:pStyle w:val="Text2"/>
        <w:ind w:left="0"/>
        <w:rPr>
          <w:noProof/>
        </w:rPr>
      </w:pPr>
      <w:r>
        <w:rPr>
          <w:b/>
          <w:bCs/>
          <w:noProof/>
        </w:rPr>
        <w:t>AREA 2 -</w:t>
      </w:r>
      <w:r>
        <w:rPr>
          <w:noProof/>
        </w:rPr>
        <w:t xml:space="preserve"> The designation by Member States of industrial areas with investment projects that comply with the criteria presented in this option would allow for selected projects complying with the specified IAA criteria to increase visibility and facilitate their access to finance. This would include easier access to public funding at EU and national level, without prejudice to State aid rules, as well as increased visibility </w:t>
      </w:r>
      <w:r w:rsidRPr="00C43020">
        <w:rPr>
          <w:i/>
          <w:iCs/>
          <w:noProof/>
        </w:rPr>
        <w:t>vis-</w:t>
      </w:r>
      <w:r>
        <w:rPr>
          <w:i/>
          <w:iCs/>
          <w:noProof/>
        </w:rPr>
        <w:t>à</w:t>
      </w:r>
      <w:r w:rsidRPr="00C43020">
        <w:rPr>
          <w:i/>
          <w:iCs/>
          <w:noProof/>
        </w:rPr>
        <w:t xml:space="preserve">-vis </w:t>
      </w:r>
      <w:r>
        <w:rPr>
          <w:noProof/>
        </w:rPr>
        <w:t>private investors.</w:t>
      </w:r>
    </w:p>
    <w:p w14:paraId="0BC66F1A" w14:textId="77777777" w:rsidR="00285741" w:rsidRPr="008B293C" w:rsidRDefault="00285741" w:rsidP="00285741">
      <w:pPr>
        <w:pStyle w:val="Heading4"/>
        <w:numPr>
          <w:ilvl w:val="3"/>
          <w:numId w:val="64"/>
        </w:numPr>
        <w:spacing w:before="0" w:after="0"/>
        <w:ind w:left="142" w:firstLine="130"/>
        <w:rPr>
          <w:b/>
          <w:noProof/>
          <w:color w:val="auto"/>
        </w:rPr>
      </w:pPr>
      <w:r w:rsidRPr="008B293C">
        <w:rPr>
          <w:b/>
          <w:noProof/>
          <w:color w:val="auto"/>
        </w:rPr>
        <w:t>Impact on downstream sectors</w:t>
      </w:r>
    </w:p>
    <w:p w14:paraId="531DB900" w14:textId="7E47EF50" w:rsidR="00B9071A" w:rsidRDefault="7C355CBF" w:rsidP="00F52D20">
      <w:pPr>
        <w:pStyle w:val="Text2"/>
        <w:spacing w:before="240" w:after="120"/>
        <w:ind w:left="0"/>
        <w:rPr>
          <w:noProof/>
        </w:rPr>
      </w:pPr>
      <w:r w:rsidRPr="61003A5B">
        <w:rPr>
          <w:b/>
          <w:bCs/>
          <w:noProof/>
        </w:rPr>
        <w:t>LEAD_EII 2</w:t>
      </w:r>
      <w:r>
        <w:rPr>
          <w:noProof/>
        </w:rPr>
        <w:t xml:space="preserve"> </w:t>
      </w:r>
      <w:r w:rsidRPr="61003A5B">
        <w:rPr>
          <w:b/>
          <w:bCs/>
          <w:noProof/>
        </w:rPr>
        <w:t>-</w:t>
      </w:r>
      <w:r w:rsidR="5AD51CFF" w:rsidRPr="61003A5B">
        <w:rPr>
          <w:b/>
          <w:bCs/>
          <w:noProof/>
        </w:rPr>
        <w:t xml:space="preserve"> </w:t>
      </w:r>
      <w:r w:rsidR="5AD51CFF" w:rsidRPr="007836EE">
        <w:rPr>
          <w:noProof/>
        </w:rPr>
        <w:t xml:space="preserve">The impacts of </w:t>
      </w:r>
      <w:r w:rsidR="5AD51CFF" w:rsidRPr="61003A5B">
        <w:rPr>
          <w:b/>
          <w:bCs/>
          <w:noProof/>
        </w:rPr>
        <w:t>low</w:t>
      </w:r>
      <w:r w:rsidR="00C814A8">
        <w:rPr>
          <w:b/>
          <w:bCs/>
          <w:noProof/>
        </w:rPr>
        <w:t>-</w:t>
      </w:r>
      <w:r w:rsidR="5AD51CFF" w:rsidRPr="61003A5B">
        <w:rPr>
          <w:b/>
          <w:bCs/>
          <w:noProof/>
        </w:rPr>
        <w:t>carbon requirements</w:t>
      </w:r>
      <w:r w:rsidR="5AD51CFF" w:rsidRPr="007836EE">
        <w:rPr>
          <w:noProof/>
        </w:rPr>
        <w:t xml:space="preserve"> for steel</w:t>
      </w:r>
      <w:r w:rsidR="4A03171E">
        <w:rPr>
          <w:noProof/>
        </w:rPr>
        <w:t>, aluminium</w:t>
      </w:r>
      <w:r w:rsidR="5AD51CFF" w:rsidRPr="007836EE">
        <w:rPr>
          <w:noProof/>
        </w:rPr>
        <w:t xml:space="preserve"> and cement </w:t>
      </w:r>
      <w:r w:rsidR="00537B6A">
        <w:rPr>
          <w:noProof/>
        </w:rPr>
        <w:t xml:space="preserve">used </w:t>
      </w:r>
      <w:r w:rsidR="00D946D5">
        <w:rPr>
          <w:noProof/>
        </w:rPr>
        <w:t xml:space="preserve">for the end user of the materials, namely </w:t>
      </w:r>
      <w:r w:rsidR="00075F39">
        <w:rPr>
          <w:noProof/>
        </w:rPr>
        <w:t xml:space="preserve">automotive and construction projects </w:t>
      </w:r>
      <w:r w:rsidR="5AD51CFF" w:rsidRPr="007836EE">
        <w:rPr>
          <w:noProof/>
        </w:rPr>
        <w:t xml:space="preserve">in public procurement and </w:t>
      </w:r>
      <w:r w:rsidR="00576C67">
        <w:rPr>
          <w:noProof/>
        </w:rPr>
        <w:t>support schemes</w:t>
      </w:r>
      <w:r w:rsidR="00D946D5">
        <w:rPr>
          <w:noProof/>
        </w:rPr>
        <w:t xml:space="preserve">, </w:t>
      </w:r>
      <w:r w:rsidR="00C721A0">
        <w:rPr>
          <w:noProof/>
        </w:rPr>
        <w:t>have been</w:t>
      </w:r>
      <w:r w:rsidR="5AD51CFF" w:rsidRPr="007836EE">
        <w:rPr>
          <w:noProof/>
        </w:rPr>
        <w:t xml:space="preserve"> addressed under PO1</w:t>
      </w:r>
      <w:r w:rsidR="001C1587">
        <w:rPr>
          <w:noProof/>
        </w:rPr>
        <w:t xml:space="preserve"> </w:t>
      </w:r>
      <w:r w:rsidR="008A0FEE">
        <w:rPr>
          <w:noProof/>
        </w:rPr>
        <w:t>(Section 6.1.1.2</w:t>
      </w:r>
      <w:r w:rsidR="00B10F10">
        <w:rPr>
          <w:noProof/>
        </w:rPr>
        <w:t xml:space="preserve"> estimate</w:t>
      </w:r>
      <w:r w:rsidR="0023042E">
        <w:rPr>
          <w:noProof/>
        </w:rPr>
        <w:t>s implications for the downstream secto</w:t>
      </w:r>
      <w:r w:rsidR="00B9071A">
        <w:rPr>
          <w:noProof/>
        </w:rPr>
        <w:t xml:space="preserve">rs of about </w:t>
      </w:r>
      <w:r w:rsidR="001C1587">
        <w:rPr>
          <w:noProof/>
        </w:rPr>
        <w:t xml:space="preserve">EUR </w:t>
      </w:r>
      <w:r w:rsidR="0033750B">
        <w:rPr>
          <w:noProof/>
        </w:rPr>
        <w:t xml:space="preserve">291 million </w:t>
      </w:r>
      <w:r w:rsidR="00482DBE">
        <w:rPr>
          <w:noProof/>
        </w:rPr>
        <w:t xml:space="preserve">loss of GVA </w:t>
      </w:r>
      <w:r w:rsidR="0033750B">
        <w:rPr>
          <w:noProof/>
        </w:rPr>
        <w:t xml:space="preserve">for </w:t>
      </w:r>
      <w:r w:rsidR="001C632C">
        <w:rPr>
          <w:noProof/>
        </w:rPr>
        <w:t>automotive</w:t>
      </w:r>
      <w:r w:rsidR="0033750B">
        <w:rPr>
          <w:noProof/>
        </w:rPr>
        <w:t xml:space="preserve"> and EUR</w:t>
      </w:r>
      <w:r w:rsidR="001C632C">
        <w:rPr>
          <w:noProof/>
        </w:rPr>
        <w:t xml:space="preserve"> 691 </w:t>
      </w:r>
      <w:r w:rsidR="00073C07">
        <w:rPr>
          <w:noProof/>
        </w:rPr>
        <w:t>million</w:t>
      </w:r>
      <w:r w:rsidR="001C632C">
        <w:rPr>
          <w:noProof/>
        </w:rPr>
        <w:t xml:space="preserve"> </w:t>
      </w:r>
      <w:r w:rsidR="00482DBE">
        <w:rPr>
          <w:noProof/>
        </w:rPr>
        <w:t xml:space="preserve">loss of GVA </w:t>
      </w:r>
      <w:r w:rsidR="001C632C">
        <w:rPr>
          <w:noProof/>
        </w:rPr>
        <w:t>for construction)</w:t>
      </w:r>
      <w:r w:rsidR="5AD51CFF" w:rsidRPr="007836EE">
        <w:rPr>
          <w:noProof/>
        </w:rPr>
        <w:t xml:space="preserve">. </w:t>
      </w:r>
    </w:p>
    <w:p w14:paraId="4509DDF0" w14:textId="79C0D581" w:rsidR="004E0E55" w:rsidRDefault="00B33487" w:rsidP="00F52D20">
      <w:pPr>
        <w:pStyle w:val="Text2"/>
        <w:spacing w:before="240" w:after="120"/>
        <w:ind w:left="0"/>
        <w:rPr>
          <w:noProof/>
        </w:rPr>
      </w:pPr>
      <w:r>
        <w:rPr>
          <w:noProof/>
        </w:rPr>
        <w:t xml:space="preserve">Combining such low-carbon </w:t>
      </w:r>
      <w:r w:rsidR="005C3EC1">
        <w:rPr>
          <w:noProof/>
        </w:rPr>
        <w:t>with</w:t>
      </w:r>
      <w:r>
        <w:rPr>
          <w:noProof/>
        </w:rPr>
        <w:t xml:space="preserve"> </w:t>
      </w:r>
      <w:r w:rsidR="004E0E55">
        <w:rPr>
          <w:noProof/>
        </w:rPr>
        <w:t xml:space="preserve">Made in EU requirements </w:t>
      </w:r>
      <w:r w:rsidR="00A21DB8" w:rsidRPr="00A21DB8">
        <w:rPr>
          <w:noProof/>
        </w:rPr>
        <w:t xml:space="preserve">in public procurement and public support schemes is </w:t>
      </w:r>
      <w:r w:rsidR="007E6918">
        <w:rPr>
          <w:noProof/>
        </w:rPr>
        <w:t>expected to induce no</w:t>
      </w:r>
      <w:r w:rsidR="00BB70CA">
        <w:rPr>
          <w:noProof/>
        </w:rPr>
        <w:t xml:space="preserve"> </w:t>
      </w:r>
      <w:r w:rsidR="00A21DB8" w:rsidRPr="00A21DB8">
        <w:rPr>
          <w:noProof/>
        </w:rPr>
        <w:t xml:space="preserve">further adjustment costs </w:t>
      </w:r>
      <w:r w:rsidR="00BB70CA">
        <w:rPr>
          <w:noProof/>
        </w:rPr>
        <w:t>for the</w:t>
      </w:r>
      <w:r w:rsidR="00A21DB8" w:rsidRPr="00A21DB8">
        <w:rPr>
          <w:noProof/>
        </w:rPr>
        <w:t xml:space="preserve"> construction</w:t>
      </w:r>
      <w:r w:rsidR="00A16098">
        <w:rPr>
          <w:noProof/>
        </w:rPr>
        <w:t xml:space="preserve"> sector </w:t>
      </w:r>
      <w:r w:rsidR="00A21DB8" w:rsidRPr="00A21DB8">
        <w:rPr>
          <w:noProof/>
        </w:rPr>
        <w:t xml:space="preserve">and automotive </w:t>
      </w:r>
      <w:r w:rsidR="00C6567F">
        <w:rPr>
          <w:noProof/>
        </w:rPr>
        <w:t>manufacturers</w:t>
      </w:r>
      <w:r w:rsidR="004F15A4">
        <w:rPr>
          <w:noProof/>
        </w:rPr>
        <w:t xml:space="preserve">. </w:t>
      </w:r>
      <w:r w:rsidR="00A16098">
        <w:rPr>
          <w:noProof/>
        </w:rPr>
        <w:t>In fact, a</w:t>
      </w:r>
      <w:r w:rsidR="006A7556">
        <w:rPr>
          <w:noProof/>
        </w:rPr>
        <w:t>ssuming current s</w:t>
      </w:r>
      <w:r w:rsidR="002077B8">
        <w:rPr>
          <w:noProof/>
        </w:rPr>
        <w:t>u</w:t>
      </w:r>
      <w:r w:rsidR="004F15A4">
        <w:rPr>
          <w:noProof/>
        </w:rPr>
        <w:t xml:space="preserve">pply/ demand ratio is maintained, a </w:t>
      </w:r>
      <w:r w:rsidR="00DF728B" w:rsidRPr="00CF06C8">
        <w:rPr>
          <w:noProof/>
        </w:rPr>
        <w:t>high share of</w:t>
      </w:r>
      <w:r w:rsidR="004F15A4" w:rsidRPr="00CF06C8">
        <w:rPr>
          <w:noProof/>
        </w:rPr>
        <w:t xml:space="preserve"> the steel and aluminium currently used in European vehicles </w:t>
      </w:r>
      <w:r w:rsidR="000253B6" w:rsidRPr="00CF06C8">
        <w:rPr>
          <w:noProof/>
        </w:rPr>
        <w:t xml:space="preserve">and construction </w:t>
      </w:r>
      <w:r w:rsidR="004F15A4" w:rsidRPr="00CF06C8">
        <w:rPr>
          <w:noProof/>
        </w:rPr>
        <w:t xml:space="preserve">is </w:t>
      </w:r>
      <w:r w:rsidR="00A16098" w:rsidRPr="00CF06C8">
        <w:rPr>
          <w:noProof/>
        </w:rPr>
        <w:t xml:space="preserve">already </w:t>
      </w:r>
      <w:r w:rsidR="007E6918" w:rsidRPr="00CF06C8">
        <w:rPr>
          <w:noProof/>
        </w:rPr>
        <w:t xml:space="preserve">sourced from </w:t>
      </w:r>
      <w:r w:rsidR="00DF728B" w:rsidRPr="00CF06C8">
        <w:rPr>
          <w:noProof/>
        </w:rPr>
        <w:t>European production</w:t>
      </w:r>
      <w:r w:rsidR="00F7497D" w:rsidRPr="00CF06C8">
        <w:rPr>
          <w:noProof/>
        </w:rPr>
        <w:t>.</w:t>
      </w:r>
      <w:r w:rsidR="00DF728B" w:rsidRPr="00CF06C8">
        <w:rPr>
          <w:rStyle w:val="FootnoteReference"/>
          <w:noProof/>
        </w:rPr>
        <w:footnoteReference w:id="223"/>
      </w:r>
      <w:r w:rsidR="00E10F35" w:rsidRPr="00CF06C8">
        <w:rPr>
          <w:noProof/>
        </w:rPr>
        <w:t xml:space="preserve"> Made in EU requirements will mostly act as a safeguard mechanism, to make sure that domestic producers</w:t>
      </w:r>
      <w:r w:rsidR="009E67BD" w:rsidRPr="00CF06C8">
        <w:rPr>
          <w:noProof/>
        </w:rPr>
        <w:t>, w</w:t>
      </w:r>
      <w:r w:rsidR="00E10F35" w:rsidRPr="00CF06C8">
        <w:rPr>
          <w:noProof/>
        </w:rPr>
        <w:t xml:space="preserve">hen investing in decarbonisation, </w:t>
      </w:r>
      <w:r w:rsidR="009E67BD" w:rsidRPr="00CF06C8">
        <w:rPr>
          <w:noProof/>
        </w:rPr>
        <w:t xml:space="preserve">benefit from a secure and guaranteed </w:t>
      </w:r>
      <w:r w:rsidR="00E10F35" w:rsidRPr="00CF06C8">
        <w:rPr>
          <w:noProof/>
        </w:rPr>
        <w:t>demand</w:t>
      </w:r>
      <w:r w:rsidR="006358EB">
        <w:rPr>
          <w:noProof/>
        </w:rPr>
        <w:t xml:space="preserve"> share</w:t>
      </w:r>
      <w:r w:rsidR="00E10F35">
        <w:rPr>
          <w:noProof/>
        </w:rPr>
        <w:t>.</w:t>
      </w:r>
    </w:p>
    <w:p w14:paraId="5FCC680E" w14:textId="75CB9E63" w:rsidR="00D1360C" w:rsidRPr="00CF06C8" w:rsidRDefault="00D1360C" w:rsidP="00F52D20">
      <w:pPr>
        <w:pStyle w:val="Text2"/>
        <w:spacing w:before="240" w:after="120"/>
        <w:ind w:left="0"/>
        <w:rPr>
          <w:noProof/>
        </w:rPr>
      </w:pPr>
      <w:r w:rsidRPr="00D1360C">
        <w:rPr>
          <w:noProof/>
        </w:rPr>
        <w:t xml:space="preserve">It should be noted that according to the modelling exercise, the definition of Made in EU </w:t>
      </w:r>
      <w:r w:rsidR="004320EE">
        <w:rPr>
          <w:noProof/>
        </w:rPr>
        <w:t xml:space="preserve">assumed </w:t>
      </w:r>
      <w:r w:rsidRPr="00D1360C">
        <w:rPr>
          <w:noProof/>
        </w:rPr>
        <w:t xml:space="preserve">that demand </w:t>
      </w:r>
      <w:r w:rsidR="004320EE">
        <w:rPr>
          <w:noProof/>
        </w:rPr>
        <w:t>is to be</w:t>
      </w:r>
      <w:r w:rsidRPr="00D1360C">
        <w:rPr>
          <w:noProof/>
        </w:rPr>
        <w:t xml:space="preserve"> met by </w:t>
      </w:r>
      <w:r w:rsidR="004320EE">
        <w:rPr>
          <w:noProof/>
        </w:rPr>
        <w:t>EU</w:t>
      </w:r>
      <w:r w:rsidRPr="00D1360C">
        <w:rPr>
          <w:noProof/>
        </w:rPr>
        <w:t xml:space="preserve"> Member States and EEA, and therefore does not consider any imports which can alleviate the impacts to downstream sectors.</w:t>
      </w:r>
    </w:p>
    <w:p w14:paraId="60DD4778" w14:textId="1F8824CB" w:rsidR="00285741" w:rsidRDefault="00285741">
      <w:pPr>
        <w:pStyle w:val="Text2"/>
        <w:spacing w:after="120"/>
        <w:ind w:left="0"/>
        <w:rPr>
          <w:rFonts w:eastAsia="Calibri"/>
          <w:noProof/>
        </w:rPr>
      </w:pPr>
      <w:r w:rsidRPr="000272AD">
        <w:rPr>
          <w:i/>
          <w:noProof/>
        </w:rPr>
        <w:lastRenderedPageBreak/>
        <w:t xml:space="preserve">Construction: </w:t>
      </w:r>
      <w:r w:rsidRPr="000272AD">
        <w:rPr>
          <w:noProof/>
        </w:rPr>
        <w:t xml:space="preserve">Over 30% of the EU’s steel demand comes from the construction sector, while for cement, construction represents 98% of the demand. </w:t>
      </w:r>
      <w:r w:rsidR="00F5317A">
        <w:rPr>
          <w:noProof/>
        </w:rPr>
        <w:t>As noted in</w:t>
      </w:r>
      <w:r w:rsidRPr="000272AD">
        <w:rPr>
          <w:noProof/>
        </w:rPr>
        <w:t xml:space="preserve"> the introduction of low-carbon requirements </w:t>
      </w:r>
      <w:r w:rsidR="00AD063F">
        <w:rPr>
          <w:noProof/>
        </w:rPr>
        <w:t>in PO1</w:t>
      </w:r>
      <w:r w:rsidRPr="000272AD">
        <w:rPr>
          <w:noProof/>
        </w:rPr>
        <w:t>, the cost increase for final products would be relatively small, since steel, aluminium and cement represent a fraction of the final product costs</w:t>
      </w:r>
      <w:r>
        <w:rPr>
          <w:noProof/>
        </w:rPr>
        <w:t xml:space="preserve"> of, e.g. vehicles or infrastructure projects</w:t>
      </w:r>
      <w:r w:rsidRPr="000272AD">
        <w:rPr>
          <w:noProof/>
        </w:rPr>
        <w:t>. Available</w:t>
      </w:r>
      <w:r w:rsidRPr="00C15197">
        <w:rPr>
          <w:rFonts w:eastAsia="Calibri"/>
          <w:noProof/>
        </w:rPr>
        <w:t xml:space="preserve"> estimates</w:t>
      </w:r>
      <w:r w:rsidR="00DC7AAA">
        <w:rPr>
          <w:rFonts w:eastAsia="Calibri"/>
          <w:noProof/>
        </w:rPr>
        <w:t xml:space="preserve">, as outlined in </w:t>
      </w:r>
      <w:r w:rsidR="0031028A">
        <w:rPr>
          <w:rFonts w:eastAsia="Calibri"/>
          <w:noProof/>
        </w:rPr>
        <w:t>S</w:t>
      </w:r>
      <w:r w:rsidR="000837F0">
        <w:rPr>
          <w:rFonts w:eastAsia="Calibri"/>
          <w:noProof/>
        </w:rPr>
        <w:t>ection 6.1.</w:t>
      </w:r>
      <w:r w:rsidR="00721C0A">
        <w:rPr>
          <w:rFonts w:eastAsia="Calibri"/>
          <w:noProof/>
        </w:rPr>
        <w:t>1.2</w:t>
      </w:r>
      <w:r w:rsidRPr="00C15197">
        <w:rPr>
          <w:rFonts w:eastAsia="Calibri"/>
          <w:noProof/>
        </w:rPr>
        <w:t xml:space="preserve"> confirm that, even combining the impact of low-carbon material requirements across several energy-intensive materials would have a moderate effect on </w:t>
      </w:r>
      <w:r w:rsidR="006E4237">
        <w:rPr>
          <w:rFonts w:eastAsia="Calibri"/>
          <w:noProof/>
        </w:rPr>
        <w:t>the final</w:t>
      </w:r>
      <w:r w:rsidR="006E4237" w:rsidRPr="00C15197">
        <w:rPr>
          <w:rFonts w:eastAsia="Calibri"/>
          <w:noProof/>
        </w:rPr>
        <w:t xml:space="preserve"> </w:t>
      </w:r>
      <w:r w:rsidRPr="00C15197">
        <w:rPr>
          <w:rFonts w:eastAsia="Calibri"/>
          <w:noProof/>
        </w:rPr>
        <w:t>cost</w:t>
      </w:r>
      <w:r w:rsidR="006E4237">
        <w:rPr>
          <w:rFonts w:eastAsia="Calibri"/>
          <w:noProof/>
        </w:rPr>
        <w:t xml:space="preserve"> of vehicles and construction projects,</w:t>
      </w:r>
      <w:r w:rsidR="002F5EAC">
        <w:rPr>
          <w:rFonts w:eastAsia="Calibri"/>
          <w:noProof/>
        </w:rPr>
        <w:t xml:space="preserve"> and therefore moderate impact in the</w:t>
      </w:r>
      <w:r w:rsidR="00B97F4D">
        <w:rPr>
          <w:rFonts w:eastAsia="Calibri"/>
          <w:noProof/>
        </w:rPr>
        <w:t xml:space="preserve"> sector’s value added. </w:t>
      </w:r>
    </w:p>
    <w:p w14:paraId="7167ACE9" w14:textId="77777777" w:rsidR="008061B1" w:rsidRPr="00CF06C8" w:rsidRDefault="008061B1">
      <w:pPr>
        <w:pStyle w:val="Text2"/>
        <w:spacing w:after="120"/>
        <w:ind w:left="0"/>
        <w:rPr>
          <w:i/>
          <w:noProof/>
        </w:rPr>
      </w:pPr>
      <w:r w:rsidRPr="00CF06C8">
        <w:rPr>
          <w:i/>
          <w:noProof/>
        </w:rPr>
        <w:t>A</w:t>
      </w:r>
      <w:r w:rsidR="00EF52CC" w:rsidRPr="00CF06C8">
        <w:rPr>
          <w:i/>
          <w:noProof/>
        </w:rPr>
        <w:t>dministrative costs</w:t>
      </w:r>
    </w:p>
    <w:p w14:paraId="240BBCE8" w14:textId="61BE2366" w:rsidR="00285741" w:rsidRPr="000272AD" w:rsidRDefault="008061B1">
      <w:pPr>
        <w:pStyle w:val="Text2"/>
        <w:spacing w:after="120"/>
        <w:ind w:left="0"/>
        <w:rPr>
          <w:noProof/>
        </w:rPr>
      </w:pPr>
      <w:r w:rsidRPr="00CF06C8">
        <w:rPr>
          <w:noProof/>
        </w:rPr>
        <w:t>Administrative costs</w:t>
      </w:r>
      <w:r w:rsidR="00EF52CC" w:rsidRPr="00CF06C8">
        <w:rPr>
          <w:noProof/>
        </w:rPr>
        <w:t xml:space="preserve"> </w:t>
      </w:r>
      <w:r w:rsidR="00584452" w:rsidRPr="00CF06C8">
        <w:rPr>
          <w:noProof/>
        </w:rPr>
        <w:t>for ensuring</w:t>
      </w:r>
      <w:r w:rsidR="00D24E1D" w:rsidRPr="00CF06C8">
        <w:rPr>
          <w:noProof/>
        </w:rPr>
        <w:t xml:space="preserve"> conformity with the Made in EU measures could entail a higher</w:t>
      </w:r>
      <w:r w:rsidR="00452C4E" w:rsidRPr="00CF06C8">
        <w:rPr>
          <w:noProof/>
        </w:rPr>
        <w:t xml:space="preserve"> impact</w:t>
      </w:r>
      <w:r w:rsidR="008B067B" w:rsidRPr="00CF06C8">
        <w:rPr>
          <w:noProof/>
        </w:rPr>
        <w:t xml:space="preserve"> than those observed in PO1</w:t>
      </w:r>
      <w:r w:rsidR="001255B4" w:rsidRPr="00CF06C8">
        <w:rPr>
          <w:noProof/>
        </w:rPr>
        <w:t>, due to the need to enforce the Made in EU</w:t>
      </w:r>
      <w:r w:rsidR="00452C4E" w:rsidRPr="00CF06C8">
        <w:rPr>
          <w:noProof/>
        </w:rPr>
        <w:t xml:space="preserve">. </w:t>
      </w:r>
      <w:r w:rsidR="00783CFF" w:rsidRPr="00CF06C8">
        <w:rPr>
          <w:noProof/>
        </w:rPr>
        <w:t xml:space="preserve">More concretely, </w:t>
      </w:r>
      <w:r w:rsidR="000719C5" w:rsidRPr="00CF06C8">
        <w:rPr>
          <w:noProof/>
        </w:rPr>
        <w:t>applicable m</w:t>
      </w:r>
      <w:r w:rsidR="7C355CBF" w:rsidRPr="00CF06C8">
        <w:rPr>
          <w:noProof/>
        </w:rPr>
        <w:t xml:space="preserve">easures could have significant impacts on the aggregated administrative costs for </w:t>
      </w:r>
      <w:r w:rsidR="002C0CC9" w:rsidRPr="00CF06C8">
        <w:rPr>
          <w:noProof/>
        </w:rPr>
        <w:t>the construction sector</w:t>
      </w:r>
      <w:r w:rsidR="001C1587" w:rsidRPr="00CF06C8">
        <w:rPr>
          <w:noProof/>
        </w:rPr>
        <w:t xml:space="preserve">, due to </w:t>
      </w:r>
      <w:r w:rsidR="00726D68" w:rsidRPr="00CF06C8">
        <w:rPr>
          <w:noProof/>
        </w:rPr>
        <w:t>its</w:t>
      </w:r>
      <w:r w:rsidR="001C1587" w:rsidRPr="00CF06C8">
        <w:rPr>
          <w:noProof/>
        </w:rPr>
        <w:t xml:space="preserve"> size,</w:t>
      </w:r>
      <w:r w:rsidR="7C355CBF" w:rsidRPr="00CF06C8">
        <w:rPr>
          <w:noProof/>
        </w:rPr>
        <w:t xml:space="preserve"> in the EU to show compliance with the measures. </w:t>
      </w:r>
      <w:r w:rsidR="7C355CBF" w:rsidRPr="00CF06C8" w:rsidDel="00285741">
        <w:rPr>
          <w:noProof/>
        </w:rPr>
        <w:t>To minimise these impacts, an exemption could be considered for micro and small companies as they are not expected to fundamentally impact lead market provisions due to the size of their projects.</w:t>
      </w:r>
    </w:p>
    <w:p w14:paraId="2037E0FD" w14:textId="378E76BA" w:rsidR="00654495" w:rsidRDefault="00B90829">
      <w:pPr>
        <w:pStyle w:val="Text2"/>
        <w:spacing w:after="120"/>
        <w:ind w:left="0"/>
        <w:rPr>
          <w:noProof/>
        </w:rPr>
      </w:pPr>
      <w:r>
        <w:rPr>
          <w:noProof/>
        </w:rPr>
        <w:t xml:space="preserve">For most firms, these costs represent a minor fraction of total project </w:t>
      </w:r>
      <w:r w:rsidRPr="00F52D20">
        <w:rPr>
          <w:noProof/>
          <w:color w:val="000000" w:themeColor="text1"/>
        </w:rPr>
        <w:t>expenses</w:t>
      </w:r>
      <w:r>
        <w:rPr>
          <w:noProof/>
        </w:rPr>
        <w:t xml:space="preserve"> and are unlikely to affect investment or procurement decisions. </w:t>
      </w:r>
      <w:r w:rsidRPr="00CF06C8">
        <w:rPr>
          <w:noProof/>
        </w:rPr>
        <w:t xml:space="preserve">Over time, the establishment of harmonised certification procedures and greater supplier familiarity with EU-origin rules should reduce administrative burdens and improve efficiency. The measure thus provides downstream actors with more stable and predictable sourcing conditions, while incentivising closer </w:t>
      </w:r>
      <w:r w:rsidRPr="00CF06C8">
        <w:rPr>
          <w:rFonts w:eastAsia="Calibri"/>
          <w:noProof/>
        </w:rPr>
        <w:t>collaboration</w:t>
      </w:r>
      <w:r w:rsidRPr="00CF06C8">
        <w:rPr>
          <w:noProof/>
        </w:rPr>
        <w:t xml:space="preserve"> with EU-based suppliers.</w:t>
      </w:r>
      <w:r>
        <w:rPr>
          <w:noProof/>
        </w:rPr>
        <w:t xml:space="preserve"> </w:t>
      </w:r>
    </w:p>
    <w:p w14:paraId="0DDAC16E" w14:textId="19A3DFA1" w:rsidR="001D0F7B" w:rsidRDefault="00285741" w:rsidP="00CF06C8">
      <w:pPr>
        <w:pStyle w:val="Text2"/>
        <w:spacing w:after="120"/>
        <w:ind w:left="0"/>
        <w:rPr>
          <w:noProof/>
        </w:rPr>
      </w:pPr>
      <w:r w:rsidRPr="5D042B50">
        <w:rPr>
          <w:b/>
          <w:noProof/>
        </w:rPr>
        <w:t>INV 2</w:t>
      </w:r>
      <w:r w:rsidRPr="5D042B50">
        <w:rPr>
          <w:noProof/>
        </w:rPr>
        <w:t xml:space="preserve"> - </w:t>
      </w:r>
      <w:r w:rsidRPr="000272AD">
        <w:rPr>
          <w:noProof/>
        </w:rPr>
        <w:t xml:space="preserve">Regarding the </w:t>
      </w:r>
      <w:r w:rsidRPr="5D042B50">
        <w:rPr>
          <w:b/>
          <w:bCs/>
          <w:noProof/>
        </w:rPr>
        <w:t>FDI conditionalities</w:t>
      </w:r>
      <w:r w:rsidRPr="5D042B50">
        <w:rPr>
          <w:noProof/>
        </w:rPr>
        <w:t>,</w:t>
      </w:r>
      <w:r w:rsidRPr="5D042B50">
        <w:rPr>
          <w:b/>
          <w:bCs/>
          <w:noProof/>
        </w:rPr>
        <w:t xml:space="preserve"> </w:t>
      </w:r>
      <w:r w:rsidRPr="5D042B50">
        <w:rPr>
          <w:noProof/>
        </w:rPr>
        <w:t>the voluntary approach assessed in PO1 would, under PO2, become mandatory EU-w</w:t>
      </w:r>
      <w:r w:rsidRPr="00CF06C8">
        <w:rPr>
          <w:noProof/>
        </w:rPr>
        <w:t xml:space="preserve">ide for the batteries segment and </w:t>
      </w:r>
      <w:r w:rsidR="000E5697" w:rsidRPr="00CF06C8">
        <w:rPr>
          <w:noProof/>
        </w:rPr>
        <w:t xml:space="preserve">for the other </w:t>
      </w:r>
      <w:r w:rsidRPr="00CF06C8">
        <w:rPr>
          <w:noProof/>
        </w:rPr>
        <w:t xml:space="preserve">strategic technologies </w:t>
      </w:r>
      <w:r w:rsidR="00FD5F36" w:rsidRPr="00CF06C8">
        <w:rPr>
          <w:noProof/>
        </w:rPr>
        <w:t>in scope</w:t>
      </w:r>
      <w:r w:rsidRPr="00CF06C8">
        <w:rPr>
          <w:noProof/>
        </w:rPr>
        <w:t>. In the short term, downstream sectors could face moderate cost increases if suppliers pass through compliance costs, particularly in batteries</w:t>
      </w:r>
      <w:r w:rsidR="009F6628" w:rsidRPr="00CF06C8">
        <w:rPr>
          <w:noProof/>
        </w:rPr>
        <w:t xml:space="preserve"> and other market </w:t>
      </w:r>
      <w:r w:rsidR="0003082D" w:rsidRPr="00CF06C8">
        <w:rPr>
          <w:noProof/>
        </w:rPr>
        <w:t xml:space="preserve">segments </w:t>
      </w:r>
      <w:r w:rsidRPr="00CF06C8">
        <w:rPr>
          <w:noProof/>
        </w:rPr>
        <w:t xml:space="preserve">where EU production capacity is not yet fully scaled. These transitional costs are expected to be contained if conditionalities are phased in gradually. </w:t>
      </w:r>
      <w:r w:rsidR="00F10C66" w:rsidRPr="00CF06C8">
        <w:rPr>
          <w:noProof/>
        </w:rPr>
        <w:t xml:space="preserve">As under PO1, the conditions with the strongest downstream impact are ownership, joint-venture and EU-content requirements, as these </w:t>
      </w:r>
      <w:r w:rsidR="00C076B2" w:rsidRPr="00CF06C8">
        <w:rPr>
          <w:noProof/>
        </w:rPr>
        <w:t xml:space="preserve">conditions </w:t>
      </w:r>
      <w:r w:rsidR="00F10C66" w:rsidRPr="00CF06C8">
        <w:rPr>
          <w:noProof/>
        </w:rPr>
        <w:t xml:space="preserve">shape suppliers’ sourcing strategies, cost structures and localisation decisions. </w:t>
      </w:r>
      <w:r w:rsidR="00EB351C" w:rsidRPr="00CF06C8">
        <w:rPr>
          <w:noProof/>
        </w:rPr>
        <w:t>Mandatory application across the Single Market would substantially strengthen</w:t>
      </w:r>
      <w:r w:rsidRPr="00CF06C8">
        <w:rPr>
          <w:noProof/>
        </w:rPr>
        <w:t xml:space="preserve"> EU value chains </w:t>
      </w:r>
      <w:r w:rsidR="00C65138" w:rsidRPr="00CF06C8">
        <w:rPr>
          <w:noProof/>
        </w:rPr>
        <w:t>by encouraging more embedded upstream activities</w:t>
      </w:r>
      <w:r w:rsidR="004327A2" w:rsidRPr="00CF06C8">
        <w:rPr>
          <w:noProof/>
        </w:rPr>
        <w:t>, accelerating</w:t>
      </w:r>
      <w:r w:rsidRPr="00CF06C8">
        <w:rPr>
          <w:noProof/>
        </w:rPr>
        <w:t xml:space="preserve"> </w:t>
      </w:r>
      <w:r w:rsidR="004327A2" w:rsidRPr="00CF06C8">
        <w:rPr>
          <w:noProof/>
        </w:rPr>
        <w:t xml:space="preserve">technology </w:t>
      </w:r>
      <w:r w:rsidR="00A55FCE" w:rsidRPr="00CF06C8">
        <w:rPr>
          <w:noProof/>
        </w:rPr>
        <w:t>and</w:t>
      </w:r>
      <w:r w:rsidRPr="00CF06C8">
        <w:rPr>
          <w:noProof/>
        </w:rPr>
        <w:t xml:space="preserve"> know-how </w:t>
      </w:r>
      <w:r w:rsidR="00A55FCE" w:rsidRPr="00CF06C8">
        <w:rPr>
          <w:noProof/>
        </w:rPr>
        <w:t xml:space="preserve">transfers </w:t>
      </w:r>
      <w:r w:rsidRPr="00CF06C8">
        <w:rPr>
          <w:noProof/>
        </w:rPr>
        <w:t xml:space="preserve">and </w:t>
      </w:r>
      <w:r w:rsidR="001A2068" w:rsidRPr="00CF06C8">
        <w:rPr>
          <w:noProof/>
        </w:rPr>
        <w:t xml:space="preserve">improving the availability of EU-based suppliers </w:t>
      </w:r>
      <w:r w:rsidRPr="00CF06C8">
        <w:rPr>
          <w:noProof/>
        </w:rPr>
        <w:t>- resulting in more tangible competitiveness gains for downstream sectors.</w:t>
      </w:r>
      <w:r>
        <w:rPr>
          <w:noProof/>
        </w:rPr>
        <w:t xml:space="preserve"> </w:t>
      </w:r>
    </w:p>
    <w:p w14:paraId="46BDA57A" w14:textId="1B27D3C9" w:rsidR="00285741" w:rsidRPr="000272AD" w:rsidRDefault="00285741">
      <w:pPr>
        <w:spacing w:after="240"/>
        <w:rPr>
          <w:noProof/>
        </w:rPr>
      </w:pPr>
      <w:r w:rsidRPr="00CF06C8">
        <w:rPr>
          <w:noProof/>
        </w:rPr>
        <w:t xml:space="preserve">Conditionalities </w:t>
      </w:r>
      <w:r w:rsidR="00B74C75" w:rsidRPr="00CF06C8">
        <w:rPr>
          <w:noProof/>
        </w:rPr>
        <w:t xml:space="preserve">linked to value-added production, supply-chain security or technology retention </w:t>
      </w:r>
      <w:r w:rsidRPr="00CF06C8">
        <w:rPr>
          <w:noProof/>
        </w:rPr>
        <w:t>could rais</w:t>
      </w:r>
      <w:r w:rsidR="00B74C75" w:rsidRPr="00CF06C8">
        <w:rPr>
          <w:noProof/>
        </w:rPr>
        <w:t>e</w:t>
      </w:r>
      <w:r w:rsidRPr="00CF06C8">
        <w:rPr>
          <w:noProof/>
        </w:rPr>
        <w:t xml:space="preserve"> the price of certain </w:t>
      </w:r>
      <w:r w:rsidR="00B74C75" w:rsidRPr="00CF06C8">
        <w:rPr>
          <w:noProof/>
        </w:rPr>
        <w:t>inputs</w:t>
      </w:r>
      <w:r w:rsidRPr="00CF06C8">
        <w:rPr>
          <w:noProof/>
        </w:rPr>
        <w:t xml:space="preserve">, especially in the short term as local value chains adjust to the new demand created by the new FDI projects. Nevertheless, a more predictable and harmonised investment environment could lead to higher benefits for the industries in scope than the operational costs of mandatory investment conditionalities. </w:t>
      </w:r>
      <w:r w:rsidR="00B34318" w:rsidRPr="00CF06C8">
        <w:rPr>
          <w:noProof/>
        </w:rPr>
        <w:t>For downstream sectors, the uniform EU framework reduces fragmentation, levels the playing field across Member States and enhances long-term supply-chain stability.</w:t>
      </w:r>
      <w:r w:rsidR="00B34318">
        <w:rPr>
          <w:noProof/>
        </w:rPr>
        <w:t xml:space="preserve"> </w:t>
      </w:r>
      <w:r>
        <w:rPr>
          <w:noProof/>
        </w:rPr>
        <w:t xml:space="preserve">Above all, they would contribute to harmonise the approach within the Single Market, thereby increasing the benefits across EU Member States. </w:t>
      </w:r>
      <w:r w:rsidRPr="007B4749">
        <w:rPr>
          <w:noProof/>
        </w:rPr>
        <w:t>Experience from other regions suggests that comparable FDI measures can reinforce industrial linkages and supply chain resilience without harming investment flows (see Annex 13).</w:t>
      </w:r>
    </w:p>
    <w:p w14:paraId="748222E4" w14:textId="77777777" w:rsidR="00285741" w:rsidRPr="008D28B0" w:rsidRDefault="00285741" w:rsidP="00285741">
      <w:pPr>
        <w:pStyle w:val="Heading4"/>
        <w:numPr>
          <w:ilvl w:val="3"/>
          <w:numId w:val="64"/>
        </w:numPr>
        <w:spacing w:before="0" w:after="0" w:line="276" w:lineRule="auto"/>
        <w:ind w:left="142" w:firstLine="130"/>
        <w:rPr>
          <w:b/>
          <w:noProof/>
          <w:color w:val="auto"/>
        </w:rPr>
      </w:pPr>
      <w:r w:rsidRPr="008D28B0">
        <w:rPr>
          <w:b/>
          <w:noProof/>
          <w:color w:val="auto"/>
        </w:rPr>
        <w:lastRenderedPageBreak/>
        <w:t>Impact on SMEs</w:t>
      </w:r>
    </w:p>
    <w:p w14:paraId="3F818269" w14:textId="77777777" w:rsidR="00285741" w:rsidRDefault="00285741">
      <w:pPr>
        <w:pStyle w:val="Text2"/>
        <w:spacing w:before="240" w:after="120"/>
        <w:ind w:left="0"/>
        <w:rPr>
          <w:noProof/>
        </w:rPr>
      </w:pPr>
      <w:r>
        <w:rPr>
          <w:b/>
          <w:bCs/>
          <w:noProof/>
          <w:color w:val="000000" w:themeColor="text1"/>
        </w:rPr>
        <w:t>LAB 2 -</w:t>
      </w:r>
      <w:r w:rsidRPr="3D7F2619">
        <w:rPr>
          <w:noProof/>
          <w:color w:val="000000" w:themeColor="text1"/>
        </w:rPr>
        <w:t xml:space="preserve"> SMEs in the steel value chain are expected to benefit from the low-carbon steel label obtained by large manufacturers, as it will promote and enhance market differentiation of low-carbon products across the supply chain. This, in turn, can provide SMEs a competitive edge by meeting the demand for low-carbon products, and accessing new markets </w:t>
      </w:r>
      <w:r w:rsidRPr="3D7F2619">
        <w:rPr>
          <w:noProof/>
        </w:rPr>
        <w:t>which require the use of such label as a compliance instrument</w:t>
      </w:r>
      <w:r>
        <w:rPr>
          <w:noProof/>
        </w:rPr>
        <w:t>.</w:t>
      </w:r>
    </w:p>
    <w:p w14:paraId="6674BA1A" w14:textId="504A9112" w:rsidR="00285741" w:rsidRPr="00B252DB" w:rsidRDefault="7C355CBF" w:rsidP="00CF06C8">
      <w:pPr>
        <w:pStyle w:val="Text2"/>
        <w:spacing w:after="120"/>
        <w:ind w:left="0"/>
        <w:rPr>
          <w:noProof/>
          <w:color w:val="000000"/>
        </w:rPr>
      </w:pPr>
      <w:r w:rsidRPr="1A2A8689">
        <w:rPr>
          <w:b/>
          <w:bCs/>
          <w:noProof/>
          <w:color w:val="000000" w:themeColor="text1"/>
        </w:rPr>
        <w:t xml:space="preserve">LEAD_EII 2 </w:t>
      </w:r>
      <w:r w:rsidRPr="1A2A8689">
        <w:rPr>
          <w:noProof/>
          <w:color w:val="000000" w:themeColor="text1"/>
        </w:rPr>
        <w:t xml:space="preserve">will directly benefit </w:t>
      </w:r>
      <w:r w:rsidR="0C81B2F1" w:rsidRPr="1A2A8689">
        <w:rPr>
          <w:noProof/>
          <w:color w:val="000000" w:themeColor="text1"/>
        </w:rPr>
        <w:t xml:space="preserve">EU </w:t>
      </w:r>
      <w:r w:rsidRPr="1A2A8689">
        <w:rPr>
          <w:noProof/>
          <w:color w:val="000000" w:themeColor="text1"/>
        </w:rPr>
        <w:t xml:space="preserve">SMEs </w:t>
      </w:r>
      <w:r w:rsidR="00472AC9">
        <w:rPr>
          <w:noProof/>
          <w:color w:val="000000" w:themeColor="text1"/>
        </w:rPr>
        <w:t>in the steel, aluminium, cement</w:t>
      </w:r>
      <w:r w:rsidR="00385176">
        <w:rPr>
          <w:noProof/>
          <w:color w:val="000000" w:themeColor="text1"/>
        </w:rPr>
        <w:t xml:space="preserve">, vehicle component manufacturers, as well as </w:t>
      </w:r>
      <w:r w:rsidR="00D0750A">
        <w:rPr>
          <w:noProof/>
          <w:color w:val="000000" w:themeColor="text1"/>
        </w:rPr>
        <w:t>s</w:t>
      </w:r>
      <w:r w:rsidR="00385176">
        <w:rPr>
          <w:noProof/>
          <w:color w:val="000000" w:themeColor="text1"/>
        </w:rPr>
        <w:t>olar and battery manufacturers</w:t>
      </w:r>
      <w:r w:rsidRPr="1A2A8689">
        <w:rPr>
          <w:noProof/>
          <w:color w:val="000000" w:themeColor="text1"/>
        </w:rPr>
        <w:t xml:space="preserve"> by creating more predictable demand for their </w:t>
      </w:r>
      <w:r w:rsidR="00472AC9">
        <w:rPr>
          <w:noProof/>
          <w:color w:val="000000" w:themeColor="text1"/>
        </w:rPr>
        <w:t xml:space="preserve">European </w:t>
      </w:r>
      <w:r w:rsidRPr="1A2A8689">
        <w:rPr>
          <w:noProof/>
          <w:color w:val="000000" w:themeColor="text1"/>
        </w:rPr>
        <w:t xml:space="preserve">products. These requirements will not only strengthen existing manufacturers but also open new market opportunities for emerging businesses, especially within the growing battery ecosystem. As these industries expand, SMEs will be better positioned to scale their operations and integrate into </w:t>
      </w:r>
      <w:r>
        <w:rPr>
          <w:noProof/>
        </w:rPr>
        <w:t>global</w:t>
      </w:r>
      <w:r w:rsidRPr="1A2A8689">
        <w:rPr>
          <w:noProof/>
          <w:color w:val="000000" w:themeColor="text1"/>
        </w:rPr>
        <w:t xml:space="preserve"> value chains. </w:t>
      </w:r>
      <w:r>
        <w:rPr>
          <w:noProof/>
        </w:rPr>
        <w:t xml:space="preserve">As under option PO1, SMEs in selected downstream sectors are expected to be less able than larger firms to pass on to consumers or to absorb the extra costs. Even if limited, the cost increase will likely </w:t>
      </w:r>
      <w:r w:rsidRPr="1A2A8689">
        <w:rPr>
          <w:rFonts w:eastAsiaTheme="minorEastAsia"/>
          <w:noProof/>
          <w:color w:val="000000" w:themeColor="text1"/>
        </w:rPr>
        <w:t>negatively</w:t>
      </w:r>
      <w:r>
        <w:rPr>
          <w:noProof/>
        </w:rPr>
        <w:t xml:space="preserve"> impact their ability to export products. </w:t>
      </w:r>
    </w:p>
    <w:p w14:paraId="27146DFC" w14:textId="6822166E" w:rsidR="00285741" w:rsidRPr="00CF06C8" w:rsidRDefault="7C355CBF" w:rsidP="00CF06C8">
      <w:pPr>
        <w:pStyle w:val="Text2"/>
        <w:spacing w:after="120"/>
        <w:ind w:left="0"/>
        <w:rPr>
          <w:noProof/>
        </w:rPr>
      </w:pPr>
      <w:r>
        <w:rPr>
          <w:noProof/>
        </w:rPr>
        <w:t xml:space="preserve">It may also be costly and time consuming for SMEs to demonstrate compliance with low-carbon </w:t>
      </w:r>
      <w:r w:rsidR="42A9874D">
        <w:rPr>
          <w:noProof/>
        </w:rPr>
        <w:t xml:space="preserve">and made in EU </w:t>
      </w:r>
      <w:r>
        <w:rPr>
          <w:noProof/>
        </w:rPr>
        <w:t xml:space="preserve">requirements. This burden could be eased through tailored support measures (such as clear guidelines, digital tools, and dedicated helpdesk) </w:t>
      </w:r>
      <w:r w:rsidR="5F57F540">
        <w:rPr>
          <w:noProof/>
        </w:rPr>
        <w:t xml:space="preserve">specifically for SMEs </w:t>
      </w:r>
      <w:r>
        <w:rPr>
          <w:noProof/>
        </w:rPr>
        <w:t>as well as by extending the validity periods of relevant certificates.</w:t>
      </w:r>
      <w:r w:rsidR="4A3D2C08">
        <w:rPr>
          <w:noProof/>
        </w:rPr>
        <w:t xml:space="preserve"> </w:t>
      </w:r>
      <w:r w:rsidR="00285741" w:rsidRPr="00CF06C8">
        <w:rPr>
          <w:noProof/>
        </w:rPr>
        <w:t>Furthermore, in the case of the construction sector, small and micro companies (99% of construction companies) will be allowed to demonstrate compliance with the requirements via self-declaration</w:t>
      </w:r>
      <w:r w:rsidR="00285741">
        <w:rPr>
          <w:noProof/>
        </w:rPr>
        <w:t xml:space="preserve">, </w:t>
      </w:r>
      <w:r w:rsidR="00285741" w:rsidRPr="00CF06C8">
        <w:rPr>
          <w:noProof/>
        </w:rPr>
        <w:t>reducing the administrative burden.</w:t>
      </w:r>
    </w:p>
    <w:p w14:paraId="55CC1DA9" w14:textId="6EF54AB2" w:rsidR="00285741" w:rsidRPr="00C61EAF" w:rsidRDefault="00285741">
      <w:pPr>
        <w:spacing w:after="240"/>
        <w:rPr>
          <w:noProof/>
        </w:rPr>
      </w:pPr>
      <w:r w:rsidRPr="00CF06C8">
        <w:rPr>
          <w:b/>
          <w:noProof/>
        </w:rPr>
        <w:t>INV 2</w:t>
      </w:r>
      <w:r w:rsidRPr="00CF06C8">
        <w:rPr>
          <w:noProof/>
        </w:rPr>
        <w:t xml:space="preserve"> </w:t>
      </w:r>
      <w:r w:rsidRPr="00CF06C8">
        <w:rPr>
          <w:b/>
          <w:noProof/>
        </w:rPr>
        <w:t>-</w:t>
      </w:r>
      <w:r w:rsidRPr="00CF06C8">
        <w:rPr>
          <w:noProof/>
        </w:rPr>
        <w:t xml:space="preserve"> Mandatory conditionalities are expected to systematically increase opportunities for SMEs as suppliers to foreign investors. </w:t>
      </w:r>
      <w:r w:rsidR="0030593E" w:rsidRPr="00CF06C8">
        <w:rPr>
          <w:noProof/>
        </w:rPr>
        <w:t xml:space="preserve">Because conditionalities apply across all </w:t>
      </w:r>
      <w:r w:rsidR="00CA4D78" w:rsidRPr="00CF06C8">
        <w:rPr>
          <w:noProof/>
        </w:rPr>
        <w:t xml:space="preserve">key </w:t>
      </w:r>
      <w:r w:rsidR="0030593E" w:rsidRPr="00CF06C8">
        <w:rPr>
          <w:noProof/>
        </w:rPr>
        <w:t xml:space="preserve">strategic sectors, the resulting localisation of R&amp;I, manufacturing and procurement activities is likely to broaden SME entry points in multiple value chains rather than in isolated segments. </w:t>
      </w:r>
      <w:r w:rsidRPr="00CF06C8">
        <w:rPr>
          <w:noProof/>
        </w:rPr>
        <w:t xml:space="preserve">This integration </w:t>
      </w:r>
      <w:r w:rsidR="0030593E" w:rsidRPr="00CF06C8">
        <w:rPr>
          <w:noProof/>
        </w:rPr>
        <w:t>may</w:t>
      </w:r>
      <w:r w:rsidRPr="00CF06C8">
        <w:rPr>
          <w:noProof/>
        </w:rPr>
        <w:t xml:space="preserve"> require SMEs to meet higher quality and certification standards, potentially creating compliance costs and working-capital needs. </w:t>
      </w:r>
      <w:r w:rsidR="005258A6" w:rsidRPr="00CF06C8">
        <w:rPr>
          <w:noProof/>
        </w:rPr>
        <w:t xml:space="preserve">Some SMEs may also need to scale production capacity or upgrade processes to meet the requirements of foreign investors adapting to the mandatory regime. </w:t>
      </w:r>
      <w:r w:rsidRPr="00CF06C8">
        <w:rPr>
          <w:noProof/>
        </w:rPr>
        <w:t xml:space="preserve">Complementary support (e.g. supplier development programmes, technical assistance) will be critical to ensure SMEs can capture these opportunities. In the medium run, SMEs </w:t>
      </w:r>
      <w:r w:rsidR="005258A6" w:rsidRPr="00CF06C8">
        <w:rPr>
          <w:noProof/>
        </w:rPr>
        <w:t xml:space="preserve">are expected to </w:t>
      </w:r>
      <w:r w:rsidRPr="00CF06C8">
        <w:rPr>
          <w:noProof/>
        </w:rPr>
        <w:t xml:space="preserve">benefit from </w:t>
      </w:r>
      <w:r w:rsidR="0002205D" w:rsidRPr="00CF06C8">
        <w:rPr>
          <w:noProof/>
        </w:rPr>
        <w:t xml:space="preserve">more predictable and </w:t>
      </w:r>
      <w:r w:rsidRPr="00CF06C8">
        <w:rPr>
          <w:noProof/>
        </w:rPr>
        <w:t>stable demand, enhanced technological capabilities, and greater participation in global value chains.</w:t>
      </w:r>
      <w:r w:rsidR="00086631" w:rsidRPr="00CF06C8">
        <w:rPr>
          <w:noProof/>
        </w:rPr>
        <w:t xml:space="preserve"> The uniform EU-wide application of conditionalities also reduces fragmentation, ensuring that SME opportunities are not limited to specific Member States, as would be the case under a voluntary regime.</w:t>
      </w:r>
    </w:p>
    <w:p w14:paraId="129AB051" w14:textId="77777777" w:rsidR="00285741" w:rsidRPr="0010778B" w:rsidRDefault="00285741" w:rsidP="00285741">
      <w:pPr>
        <w:pStyle w:val="Heading4"/>
        <w:numPr>
          <w:ilvl w:val="3"/>
          <w:numId w:val="64"/>
        </w:numPr>
        <w:spacing w:before="0" w:after="0" w:line="276" w:lineRule="auto"/>
        <w:ind w:left="142" w:firstLine="130"/>
        <w:rPr>
          <w:b/>
          <w:noProof/>
          <w:color w:val="auto"/>
        </w:rPr>
      </w:pPr>
      <w:r w:rsidRPr="008D28B0">
        <w:rPr>
          <w:b/>
          <w:noProof/>
          <w:color w:val="auto"/>
        </w:rPr>
        <w:t>Impact on citizens and consumers</w:t>
      </w:r>
    </w:p>
    <w:p w14:paraId="536AD7AF" w14:textId="77777777" w:rsidR="00285741" w:rsidRDefault="00285741">
      <w:pPr>
        <w:pStyle w:val="Text2"/>
        <w:spacing w:before="240" w:after="120"/>
        <w:ind w:left="0"/>
        <w:rPr>
          <w:noProof/>
        </w:rPr>
      </w:pPr>
      <w:r w:rsidDel="00F24E09">
        <w:rPr>
          <w:b/>
          <w:bCs/>
          <w:noProof/>
        </w:rPr>
        <w:t>LAB 2</w:t>
      </w:r>
      <w:r>
        <w:rPr>
          <w:b/>
          <w:bCs/>
          <w:noProof/>
        </w:rPr>
        <w:t xml:space="preserve"> -</w:t>
      </w:r>
      <w:r w:rsidRPr="37054EE0">
        <w:rPr>
          <w:b/>
          <w:bCs/>
          <w:noProof/>
        </w:rPr>
        <w:t xml:space="preserve"> </w:t>
      </w:r>
      <w:r>
        <w:rPr>
          <w:noProof/>
        </w:rPr>
        <w:t>The</w:t>
      </w:r>
      <w:r w:rsidDel="00500155">
        <w:rPr>
          <w:noProof/>
        </w:rPr>
        <w:t xml:space="preserve"> </w:t>
      </w:r>
      <w:r>
        <w:rPr>
          <w:noProof/>
        </w:rPr>
        <w:t xml:space="preserve">impact on citizens and final consumers of a </w:t>
      </w:r>
      <w:r w:rsidRPr="003E4A2F">
        <w:rPr>
          <w:noProof/>
        </w:rPr>
        <w:t xml:space="preserve">label on the carbon intensity of steel </w:t>
      </w:r>
      <w:r>
        <w:rPr>
          <w:noProof/>
        </w:rPr>
        <w:t xml:space="preserve">would be marginal or indirect since steel is a business-to-business traded product between steel manufacturers and other companies, rather than to individual consumers. However, indirectly and through the supply chain, the info on the label could be transferred to consumers to inform about the carbon footprint of the material used in the final good. </w:t>
      </w:r>
    </w:p>
    <w:p w14:paraId="44E1409F" w14:textId="64FFEF24" w:rsidR="00285741" w:rsidRPr="000272AD" w:rsidRDefault="00285741">
      <w:pPr>
        <w:pStyle w:val="Text2"/>
        <w:spacing w:after="120"/>
        <w:ind w:left="0"/>
        <w:rPr>
          <w:noProof/>
        </w:rPr>
      </w:pPr>
      <w:r>
        <w:rPr>
          <w:b/>
          <w:bCs/>
          <w:noProof/>
        </w:rPr>
        <w:t>LEAD_EII 2 -</w:t>
      </w:r>
      <w:r>
        <w:rPr>
          <w:noProof/>
        </w:rPr>
        <w:t xml:space="preserve"> </w:t>
      </w:r>
      <w:r w:rsidRPr="000272AD">
        <w:rPr>
          <w:noProof/>
        </w:rPr>
        <w:t>The impacts are broadly similar to those described under PO1</w:t>
      </w:r>
      <w:r w:rsidR="00C93538">
        <w:rPr>
          <w:noProof/>
        </w:rPr>
        <w:t xml:space="preserve">, </w:t>
      </w:r>
      <w:r w:rsidR="00C93538" w:rsidRPr="00CF06C8">
        <w:rPr>
          <w:noProof/>
        </w:rPr>
        <w:t xml:space="preserve">and driven by </w:t>
      </w:r>
      <w:r w:rsidR="001D3A16" w:rsidRPr="00CF06C8">
        <w:rPr>
          <w:noProof/>
        </w:rPr>
        <w:t>the low-carbon measures</w:t>
      </w:r>
      <w:r w:rsidR="003C1004" w:rsidRPr="00CF06C8">
        <w:rPr>
          <w:noProof/>
        </w:rPr>
        <w:t>, rather than Made in EU requirements</w:t>
      </w:r>
      <w:r w:rsidRPr="00CF06C8">
        <w:rPr>
          <w:noProof/>
        </w:rPr>
        <w:t>.</w:t>
      </w:r>
      <w:r w:rsidR="001D3A16" w:rsidRPr="00CF06C8">
        <w:rPr>
          <w:noProof/>
        </w:rPr>
        <w:t xml:space="preserve"> As noted in </w:t>
      </w:r>
      <w:r w:rsidR="0031028A" w:rsidRPr="00CF06C8">
        <w:rPr>
          <w:noProof/>
        </w:rPr>
        <w:t>S</w:t>
      </w:r>
      <w:r w:rsidR="001D3A16" w:rsidRPr="00CF06C8">
        <w:rPr>
          <w:noProof/>
        </w:rPr>
        <w:t xml:space="preserve">ection 6.2.1.2, </w:t>
      </w:r>
      <w:r w:rsidR="001D3A16" w:rsidRPr="00CF06C8">
        <w:rPr>
          <w:noProof/>
        </w:rPr>
        <w:lastRenderedPageBreak/>
        <w:t xml:space="preserve">the introduction of Made in EU measures </w:t>
      </w:r>
      <w:r w:rsidR="00DF0D6A" w:rsidRPr="00CF06C8">
        <w:rPr>
          <w:noProof/>
        </w:rPr>
        <w:t>would not necessarily add any extra costs for the final consumers</w:t>
      </w:r>
      <w:r w:rsidR="004079CF" w:rsidRPr="00CF06C8">
        <w:rPr>
          <w:noProof/>
        </w:rPr>
        <w:t>, other than the low-carbon premium.</w:t>
      </w:r>
      <w:r w:rsidRPr="000272AD">
        <w:rPr>
          <w:noProof/>
        </w:rPr>
        <w:t xml:space="preserve"> </w:t>
      </w:r>
    </w:p>
    <w:p w14:paraId="75A414F1" w14:textId="77777777" w:rsidR="00285741" w:rsidRPr="000272AD" w:rsidRDefault="00285741">
      <w:pPr>
        <w:pStyle w:val="Text2"/>
        <w:spacing w:after="120"/>
        <w:ind w:left="0"/>
        <w:rPr>
          <w:noProof/>
        </w:rPr>
      </w:pPr>
      <w:r w:rsidRPr="000272AD">
        <w:rPr>
          <w:b/>
          <w:noProof/>
        </w:rPr>
        <w:t>PERM 2’s</w:t>
      </w:r>
      <w:r w:rsidRPr="000272AD">
        <w:rPr>
          <w:noProof/>
        </w:rPr>
        <w:t xml:space="preserve"> measures related to the presumption of overriding public interest might generate additional resistance by local communities affected by such projects, which can be mitigated by maintaining dialogue with local population. Similarly, strict deadlines for permit granting would need to be achieved while ensuring proper consultation to prevent the risks of litigation.</w:t>
      </w:r>
    </w:p>
    <w:p w14:paraId="32C447E7" w14:textId="533F82E1" w:rsidR="00285741" w:rsidRPr="000272AD" w:rsidRDefault="00285741">
      <w:pPr>
        <w:pStyle w:val="Text1"/>
        <w:ind w:left="0"/>
        <w:rPr>
          <w:noProof/>
        </w:rPr>
      </w:pPr>
      <w:r w:rsidRPr="000272AD">
        <w:rPr>
          <w:b/>
          <w:noProof/>
        </w:rPr>
        <w:t xml:space="preserve">INV 2 - </w:t>
      </w:r>
      <w:r w:rsidRPr="000272AD">
        <w:rPr>
          <w:noProof/>
        </w:rPr>
        <w:t xml:space="preserve">Consumers may face small, visible price increases in the short term (e.g. for </w:t>
      </w:r>
      <w:r>
        <w:rPr>
          <w:noProof/>
        </w:rPr>
        <w:t>EVs</w:t>
      </w:r>
      <w:r w:rsidRPr="000272AD">
        <w:rPr>
          <w:noProof/>
        </w:rPr>
        <w:t>) as firms adapt supply chains to meet EU sourcing or staffing obligations. These transitional effects are expected to be modest and outweighed by longer-term benefits. Citizens will benefit from more secure access to critical products (</w:t>
      </w:r>
      <w:r w:rsidR="00CA4D78">
        <w:rPr>
          <w:noProof/>
        </w:rPr>
        <w:t xml:space="preserve">like </w:t>
      </w:r>
      <w:r w:rsidRPr="000272AD">
        <w:rPr>
          <w:noProof/>
        </w:rPr>
        <w:t>batteries</w:t>
      </w:r>
      <w:r w:rsidR="00CA4D78">
        <w:rPr>
          <w:noProof/>
        </w:rPr>
        <w:t xml:space="preserve"> and EVs</w:t>
      </w:r>
      <w:r w:rsidRPr="000272AD">
        <w:rPr>
          <w:noProof/>
        </w:rPr>
        <w:t>), higher-quality jobs located within the EU, and better protection against supply disruptions. Over time, conditionalities should also contribute to faster decarbonisation, supporting the EU’s climate goals and strengthening public trust that the green transition delivers local value</w:t>
      </w:r>
      <w:r w:rsidR="00571C67">
        <w:rPr>
          <w:noProof/>
        </w:rPr>
        <w:t xml:space="preserve"> and industrial capacity.</w:t>
      </w:r>
    </w:p>
    <w:p w14:paraId="2F07478E" w14:textId="77777777" w:rsidR="00285741" w:rsidRPr="00486E41" w:rsidRDefault="00285741" w:rsidP="00285741">
      <w:pPr>
        <w:pStyle w:val="Heading4"/>
        <w:numPr>
          <w:ilvl w:val="3"/>
          <w:numId w:val="64"/>
        </w:numPr>
        <w:spacing w:before="0" w:after="0" w:line="276" w:lineRule="auto"/>
        <w:ind w:left="142" w:firstLine="130"/>
        <w:rPr>
          <w:b/>
          <w:noProof/>
          <w:color w:val="auto"/>
        </w:rPr>
      </w:pPr>
      <w:r w:rsidRPr="00486E41">
        <w:rPr>
          <w:b/>
          <w:noProof/>
          <w:color w:val="auto"/>
        </w:rPr>
        <w:t>Impact on competitiveness</w:t>
      </w:r>
    </w:p>
    <w:p w14:paraId="4550D5DF" w14:textId="3A52A57C" w:rsidR="00285741" w:rsidRPr="000272AD" w:rsidRDefault="7C355CBF">
      <w:pPr>
        <w:pStyle w:val="Text2"/>
        <w:spacing w:before="240" w:after="120"/>
        <w:ind w:left="0"/>
        <w:rPr>
          <w:noProof/>
        </w:rPr>
      </w:pPr>
      <w:r w:rsidRPr="1AD09EA3">
        <w:rPr>
          <w:b/>
          <w:bCs/>
          <w:noProof/>
        </w:rPr>
        <w:t>LEAD_EII 2</w:t>
      </w:r>
      <w:r w:rsidR="00A90C2E">
        <w:rPr>
          <w:b/>
          <w:bCs/>
          <w:noProof/>
        </w:rPr>
        <w:t xml:space="preserve"> </w:t>
      </w:r>
      <w:r w:rsidR="000C484E">
        <w:rPr>
          <w:noProof/>
        </w:rPr>
        <w:t>i</w:t>
      </w:r>
      <w:r w:rsidR="00B360CD">
        <w:rPr>
          <w:noProof/>
        </w:rPr>
        <w:t xml:space="preserve">s </w:t>
      </w:r>
      <w:r w:rsidR="00AE209D" w:rsidRPr="00CF06C8">
        <w:rPr>
          <w:noProof/>
        </w:rPr>
        <w:t xml:space="preserve">not expected to have </w:t>
      </w:r>
      <w:r w:rsidR="00B360CD" w:rsidRPr="00CF06C8">
        <w:rPr>
          <w:noProof/>
        </w:rPr>
        <w:t>an</w:t>
      </w:r>
      <w:r w:rsidR="00AE209D" w:rsidRPr="00CF06C8">
        <w:rPr>
          <w:noProof/>
        </w:rPr>
        <w:t xml:space="preserve"> impact on trade flows compared to PO1, considering that the Made in EU targets introduced fall within existing shares of </w:t>
      </w:r>
      <w:r w:rsidR="001E6114" w:rsidRPr="00CF06C8">
        <w:rPr>
          <w:noProof/>
        </w:rPr>
        <w:t xml:space="preserve">EU demand </w:t>
      </w:r>
      <w:r w:rsidR="00C61412" w:rsidRPr="00CF06C8">
        <w:rPr>
          <w:noProof/>
        </w:rPr>
        <w:t xml:space="preserve">met by </w:t>
      </w:r>
      <w:r w:rsidR="00AE209D" w:rsidRPr="00CF06C8">
        <w:rPr>
          <w:noProof/>
        </w:rPr>
        <w:t xml:space="preserve">domestic supply in the automotive and construction sectors. </w:t>
      </w:r>
      <w:r w:rsidR="000C484E" w:rsidRPr="00CF06C8">
        <w:rPr>
          <w:noProof/>
        </w:rPr>
        <w:t>In fact</w:t>
      </w:r>
      <w:r w:rsidR="000C484E">
        <w:rPr>
          <w:noProof/>
        </w:rPr>
        <w:t xml:space="preserve">, </w:t>
      </w:r>
      <w:r w:rsidRPr="00E935D4">
        <w:rPr>
          <w:noProof/>
        </w:rPr>
        <w:t>the</w:t>
      </w:r>
      <w:r w:rsidR="36BD45E4" w:rsidRPr="00E935D4">
        <w:rPr>
          <w:noProof/>
        </w:rPr>
        <w:t xml:space="preserve"> </w:t>
      </w:r>
      <w:r w:rsidR="36BD45E4" w:rsidRPr="00CF06C8">
        <w:rPr>
          <w:noProof/>
        </w:rPr>
        <w:t>made in EU</w:t>
      </w:r>
      <w:r w:rsidRPr="00E935D4">
        <w:rPr>
          <w:noProof/>
        </w:rPr>
        <w:t xml:space="preserve"> measure would enhance competitiveness by securing </w:t>
      </w:r>
      <w:r w:rsidR="003667F0">
        <w:rPr>
          <w:noProof/>
        </w:rPr>
        <w:t xml:space="preserve"> </w:t>
      </w:r>
      <w:r w:rsidR="00F71421">
        <w:rPr>
          <w:noProof/>
        </w:rPr>
        <w:t xml:space="preserve">a </w:t>
      </w:r>
      <w:r w:rsidR="004D1788">
        <w:rPr>
          <w:noProof/>
        </w:rPr>
        <w:t xml:space="preserve">minimum </w:t>
      </w:r>
      <w:r w:rsidR="00F71421">
        <w:rPr>
          <w:noProof/>
        </w:rPr>
        <w:t xml:space="preserve">low-carbon </w:t>
      </w:r>
      <w:r w:rsidRPr="00E935D4">
        <w:rPr>
          <w:noProof/>
        </w:rPr>
        <w:t>domestic demand</w:t>
      </w:r>
      <w:r w:rsidR="00323164">
        <w:rPr>
          <w:noProof/>
        </w:rPr>
        <w:t>,</w:t>
      </w:r>
      <w:r w:rsidR="0094150D">
        <w:rPr>
          <w:noProof/>
        </w:rPr>
        <w:t xml:space="preserve"> which is particularly impor</w:t>
      </w:r>
      <w:r w:rsidR="00ED0EB2">
        <w:rPr>
          <w:noProof/>
        </w:rPr>
        <w:t>ta</w:t>
      </w:r>
      <w:r w:rsidR="0094150D">
        <w:rPr>
          <w:noProof/>
        </w:rPr>
        <w:t>nt</w:t>
      </w:r>
      <w:r w:rsidR="00323164">
        <w:rPr>
          <w:noProof/>
        </w:rPr>
        <w:t xml:space="preserve"> </w:t>
      </w:r>
      <w:r w:rsidR="00607203">
        <w:rPr>
          <w:noProof/>
        </w:rPr>
        <w:t xml:space="preserve">in a context where the decarbonisation of these industries </w:t>
      </w:r>
      <w:r w:rsidR="007B685E">
        <w:rPr>
          <w:noProof/>
        </w:rPr>
        <w:t xml:space="preserve"> </w:t>
      </w:r>
      <w:r w:rsidR="00145245">
        <w:rPr>
          <w:noProof/>
        </w:rPr>
        <w:t xml:space="preserve">can </w:t>
      </w:r>
      <w:r w:rsidR="00323164">
        <w:rPr>
          <w:noProof/>
        </w:rPr>
        <w:t>widen the cost</w:t>
      </w:r>
      <w:r w:rsidR="00305464">
        <w:rPr>
          <w:noProof/>
        </w:rPr>
        <w:t xml:space="preserve"> </w:t>
      </w:r>
      <w:r w:rsidR="00323164">
        <w:rPr>
          <w:noProof/>
        </w:rPr>
        <w:t>gap with</w:t>
      </w:r>
      <w:r w:rsidR="00145245">
        <w:rPr>
          <w:noProof/>
        </w:rPr>
        <w:t xml:space="preserve"> third country </w:t>
      </w:r>
      <w:r w:rsidR="003E73B5">
        <w:rPr>
          <w:noProof/>
        </w:rPr>
        <w:t>imports</w:t>
      </w:r>
      <w:r w:rsidRPr="00E935D4">
        <w:rPr>
          <w:noProof/>
        </w:rPr>
        <w:t xml:space="preserve">. Temporary administrative and certification costs linked to verifying </w:t>
      </w:r>
      <w:r w:rsidR="6E3F9A2F">
        <w:rPr>
          <w:noProof/>
        </w:rPr>
        <w:t>Made in EU</w:t>
      </w:r>
      <w:r w:rsidRPr="00E935D4">
        <w:rPr>
          <w:noProof/>
        </w:rPr>
        <w:t xml:space="preserve"> are expected to decline over time as procedures become standardised, strengthening predictability and supply-chain resilience</w:t>
      </w:r>
      <w:r w:rsidRPr="00C61308">
        <w:rPr>
          <w:noProof/>
        </w:rPr>
        <w:t>.</w:t>
      </w:r>
      <w:r w:rsidR="00285741">
        <w:rPr>
          <w:rStyle w:val="FootnoteReference"/>
          <w:noProof/>
        </w:rPr>
        <w:footnoteReference w:id="224"/>
      </w:r>
      <w:r w:rsidRPr="00C61308">
        <w:rPr>
          <w:noProof/>
        </w:rPr>
        <w:t xml:space="preserve"> </w:t>
      </w:r>
      <w:r w:rsidR="49FCC7FC" w:rsidRPr="00CF06C8">
        <w:rPr>
          <w:noProof/>
        </w:rPr>
        <w:t>Additionally, t</w:t>
      </w:r>
      <w:r w:rsidR="034376EF" w:rsidRPr="00CF06C8">
        <w:rPr>
          <w:noProof/>
        </w:rPr>
        <w:t xml:space="preserve">he </w:t>
      </w:r>
      <w:r w:rsidR="6DA4F764" w:rsidRPr="00CF06C8">
        <w:rPr>
          <w:noProof/>
        </w:rPr>
        <w:t>combination of low</w:t>
      </w:r>
      <w:r w:rsidR="00EA3C4B" w:rsidRPr="00CF06C8">
        <w:rPr>
          <w:noProof/>
        </w:rPr>
        <w:t>-</w:t>
      </w:r>
      <w:r w:rsidR="6DA4F764" w:rsidRPr="00CF06C8">
        <w:rPr>
          <w:noProof/>
        </w:rPr>
        <w:t>carbon and made in EU requirements will ensure demand is met internally rather than through third country imports</w:t>
      </w:r>
      <w:r w:rsidR="6DA4F764">
        <w:rPr>
          <w:noProof/>
        </w:rPr>
        <w:t xml:space="preserve">. </w:t>
      </w:r>
      <w:r w:rsidR="006760CC" w:rsidRPr="00CF06C8">
        <w:rPr>
          <w:noProof/>
        </w:rPr>
        <w:t>Some of the costs may also be underestimated, as the modelling assumptions do not reflect potential changes in trade flows deriving from the Made in EU requirements</w:t>
      </w:r>
      <w:r w:rsidR="0001554A" w:rsidRPr="00CF06C8">
        <w:rPr>
          <w:noProof/>
        </w:rPr>
        <w:t xml:space="preserve"> while switching to low-carbon alternatives.</w:t>
      </w:r>
      <w:r w:rsidR="006760CC" w:rsidRPr="00CF06C8">
        <w:rPr>
          <w:noProof/>
        </w:rPr>
        <w:t xml:space="preserve"> </w:t>
      </w:r>
      <w:r w:rsidR="0001554A" w:rsidRPr="00CF06C8">
        <w:rPr>
          <w:noProof/>
        </w:rPr>
        <w:t>As such, it is</w:t>
      </w:r>
      <w:r w:rsidR="006760CC" w:rsidRPr="00CF06C8">
        <w:rPr>
          <w:noProof/>
        </w:rPr>
        <w:t xml:space="preserve"> assumed </w:t>
      </w:r>
      <w:r w:rsidR="0001554A" w:rsidRPr="00CF06C8">
        <w:rPr>
          <w:noProof/>
        </w:rPr>
        <w:t>that</w:t>
      </w:r>
      <w:r w:rsidR="00B54B2D" w:rsidRPr="00CF06C8">
        <w:rPr>
          <w:noProof/>
        </w:rPr>
        <w:t xml:space="preserve"> the</w:t>
      </w:r>
      <w:r w:rsidR="006760CC" w:rsidRPr="00CF06C8">
        <w:rPr>
          <w:noProof/>
        </w:rPr>
        <w:t xml:space="preserve"> supply chain structure</w:t>
      </w:r>
      <w:r w:rsidR="00B54B2D" w:rsidRPr="00CF06C8">
        <w:rPr>
          <w:noProof/>
        </w:rPr>
        <w:t xml:space="preserve"> and flows</w:t>
      </w:r>
      <w:r w:rsidR="006760CC" w:rsidRPr="00CF06C8">
        <w:rPr>
          <w:noProof/>
        </w:rPr>
        <w:t xml:space="preserve"> for the automotive and construction sectors</w:t>
      </w:r>
      <w:r w:rsidR="00B54B2D" w:rsidRPr="00CF06C8">
        <w:rPr>
          <w:noProof/>
        </w:rPr>
        <w:t xml:space="preserve"> would remain the same</w:t>
      </w:r>
      <w:r w:rsidR="0098394A" w:rsidRPr="00CF06C8">
        <w:rPr>
          <w:noProof/>
        </w:rPr>
        <w:t xml:space="preserve"> through the transition</w:t>
      </w:r>
      <w:r w:rsidR="006760CC" w:rsidRPr="00CF06C8">
        <w:rPr>
          <w:noProof/>
        </w:rPr>
        <w:t xml:space="preserve">. It is possible </w:t>
      </w:r>
      <w:r w:rsidR="0098394A" w:rsidRPr="00CF06C8">
        <w:rPr>
          <w:noProof/>
        </w:rPr>
        <w:t xml:space="preserve">however </w:t>
      </w:r>
      <w:r w:rsidR="006760CC" w:rsidRPr="00CF06C8">
        <w:rPr>
          <w:noProof/>
        </w:rPr>
        <w:t>to consider that supply chain dynamics would result in downstream sectors preferring to source outside of the EU while shifting to low-carbon alternatives.</w:t>
      </w:r>
    </w:p>
    <w:p w14:paraId="4929AA32" w14:textId="27571C38" w:rsidR="00285741" w:rsidRPr="0010778B" w:rsidRDefault="7C355CBF" w:rsidP="1A2A8689">
      <w:pPr>
        <w:pStyle w:val="Text2"/>
        <w:spacing w:after="120"/>
        <w:ind w:left="0"/>
        <w:rPr>
          <w:i/>
          <w:iCs/>
          <w:noProof/>
        </w:rPr>
      </w:pPr>
      <w:r w:rsidRPr="1A2A8689">
        <w:rPr>
          <w:i/>
          <w:iCs/>
          <w:noProof/>
        </w:rPr>
        <w:t xml:space="preserve">Automotive: </w:t>
      </w:r>
      <w:r>
        <w:rPr>
          <w:noProof/>
        </w:rPr>
        <w:t xml:space="preserve">Considerations under PO1 are also valid under PO2. The </w:t>
      </w:r>
      <w:r w:rsidR="6E3F9A2F">
        <w:rPr>
          <w:noProof/>
        </w:rPr>
        <w:t>Made in EU</w:t>
      </w:r>
      <w:r>
        <w:rPr>
          <w:noProof/>
        </w:rPr>
        <w:t xml:space="preserve"> requirement introduced under PO2 is set to generate a positive impact on the competitiveness of domestic vehicle manufacturers that already source most of their steel inputs locally (see </w:t>
      </w:r>
      <w:r w:rsidR="0FFD6104">
        <w:rPr>
          <w:noProof/>
        </w:rPr>
        <w:t>Section</w:t>
      </w:r>
      <w:r>
        <w:rPr>
          <w:noProof/>
        </w:rPr>
        <w:t xml:space="preserve"> 6.2.1.3). </w:t>
      </w:r>
    </w:p>
    <w:p w14:paraId="5E73265D" w14:textId="2338F91B" w:rsidR="00285741" w:rsidRPr="00B326A4" w:rsidRDefault="00285741">
      <w:pPr>
        <w:pStyle w:val="Text2"/>
        <w:spacing w:after="120"/>
        <w:ind w:left="0"/>
        <w:rPr>
          <w:noProof/>
        </w:rPr>
      </w:pPr>
      <w:r>
        <w:rPr>
          <w:b/>
          <w:bCs/>
          <w:noProof/>
        </w:rPr>
        <w:t xml:space="preserve">INV </w:t>
      </w:r>
      <w:r w:rsidR="0052557E">
        <w:rPr>
          <w:b/>
          <w:bCs/>
          <w:noProof/>
        </w:rPr>
        <w:t>2</w:t>
      </w:r>
      <w:r>
        <w:rPr>
          <w:b/>
          <w:bCs/>
          <w:noProof/>
        </w:rPr>
        <w:t xml:space="preserve"> - </w:t>
      </w:r>
      <w:r w:rsidRPr="00E447EE">
        <w:rPr>
          <w:noProof/>
        </w:rPr>
        <w:t xml:space="preserve">Mandatory conditionalities would strengthen EU competitiveness by ensuring that inward FDI systematically contributes to local value creation, innovation, and industrial ecosystems. In the short run, compliance costs could erode margins for some investors. However, consistent EU-wide rules eliminate loopholes, closing opportunities for firms to </w:t>
      </w:r>
      <w:r w:rsidRPr="00CF06C8">
        <w:rPr>
          <w:noProof/>
        </w:rPr>
        <w:t xml:space="preserve">bypass requirements and </w:t>
      </w:r>
      <w:r w:rsidR="001368D8" w:rsidRPr="00CF06C8">
        <w:rPr>
          <w:noProof/>
        </w:rPr>
        <w:t xml:space="preserve">helping to level </w:t>
      </w:r>
      <w:r w:rsidRPr="00CF06C8">
        <w:rPr>
          <w:noProof/>
        </w:rPr>
        <w:t xml:space="preserve">the playing field for both EU and foreign companies. Over time, the </w:t>
      </w:r>
      <w:r w:rsidR="00207EC3" w:rsidRPr="00CF06C8">
        <w:rPr>
          <w:noProof/>
        </w:rPr>
        <w:t xml:space="preserve">resulting knowledge transfer, technology retention and innovation spillovers are expected to reinforce EU technological leadership across the </w:t>
      </w:r>
      <w:r w:rsidR="008153D3" w:rsidRPr="00CF06C8">
        <w:rPr>
          <w:noProof/>
        </w:rPr>
        <w:t xml:space="preserve">batteries and other key </w:t>
      </w:r>
      <w:r w:rsidR="00207EC3" w:rsidRPr="00CF06C8">
        <w:rPr>
          <w:noProof/>
        </w:rPr>
        <w:t>strategic sectors concerned, rather than in isolated value chains.</w:t>
      </w:r>
    </w:p>
    <w:p w14:paraId="0293B4B3" w14:textId="77777777" w:rsidR="00285741" w:rsidRPr="00B72F0A" w:rsidRDefault="00285741" w:rsidP="00285741">
      <w:pPr>
        <w:pStyle w:val="Heading4"/>
        <w:numPr>
          <w:ilvl w:val="3"/>
          <w:numId w:val="64"/>
        </w:numPr>
        <w:spacing w:before="0" w:after="0"/>
        <w:ind w:left="142" w:firstLine="130"/>
        <w:rPr>
          <w:b/>
          <w:noProof/>
          <w:color w:val="auto"/>
        </w:rPr>
      </w:pPr>
      <w:r w:rsidRPr="00B72F0A">
        <w:rPr>
          <w:b/>
          <w:noProof/>
          <w:color w:val="auto"/>
        </w:rPr>
        <w:lastRenderedPageBreak/>
        <w:t>Impact on competition</w:t>
      </w:r>
    </w:p>
    <w:p w14:paraId="7787F49E" w14:textId="2BD1CFA2" w:rsidR="00285741" w:rsidRDefault="7C355CBF" w:rsidP="008A481B">
      <w:pPr>
        <w:pStyle w:val="Text2"/>
        <w:spacing w:before="240" w:after="120" w:line="259" w:lineRule="auto"/>
        <w:ind w:left="0"/>
        <w:rPr>
          <w:noProof/>
        </w:rPr>
      </w:pPr>
      <w:r w:rsidRPr="61003A5B">
        <w:rPr>
          <w:b/>
          <w:bCs/>
          <w:noProof/>
        </w:rPr>
        <w:t>LEAD_EII 2</w:t>
      </w:r>
      <w:r>
        <w:rPr>
          <w:noProof/>
        </w:rPr>
        <w:t xml:space="preserve"> - As the low-carbon </w:t>
      </w:r>
      <w:r w:rsidR="53DA6413" w:rsidRPr="00CF06C8">
        <w:rPr>
          <w:noProof/>
        </w:rPr>
        <w:t xml:space="preserve">and made in EU targets are set </w:t>
      </w:r>
      <w:r w:rsidR="5F1A01FA" w:rsidRPr="00CF06C8">
        <w:rPr>
          <w:noProof/>
        </w:rPr>
        <w:t xml:space="preserve">in order to accommodate for existing and future </w:t>
      </w:r>
      <w:r w:rsidR="17E2F8D5" w:rsidRPr="00CF06C8">
        <w:rPr>
          <w:noProof/>
        </w:rPr>
        <w:t xml:space="preserve">EU </w:t>
      </w:r>
      <w:r w:rsidR="003C1004" w:rsidRPr="00CF06C8">
        <w:rPr>
          <w:noProof/>
        </w:rPr>
        <w:t xml:space="preserve">low-carbon </w:t>
      </w:r>
      <w:r w:rsidR="17E2F8D5" w:rsidRPr="00CF06C8">
        <w:rPr>
          <w:noProof/>
        </w:rPr>
        <w:t>production while also</w:t>
      </w:r>
      <w:r w:rsidR="5F1A01FA" w:rsidRPr="00CF06C8">
        <w:rPr>
          <w:noProof/>
        </w:rPr>
        <w:t xml:space="preserve"> </w:t>
      </w:r>
      <w:r w:rsidR="6C04C96A" w:rsidRPr="00CF06C8">
        <w:rPr>
          <w:noProof/>
        </w:rPr>
        <w:t>considering the</w:t>
      </w:r>
      <w:r w:rsidR="5F1A01FA" w:rsidRPr="00CF06C8">
        <w:rPr>
          <w:noProof/>
        </w:rPr>
        <w:t xml:space="preserve"> reasonable absorption of price increases </w:t>
      </w:r>
      <w:r w:rsidR="1D541C44" w:rsidRPr="00CF06C8">
        <w:rPr>
          <w:noProof/>
        </w:rPr>
        <w:t>in</w:t>
      </w:r>
      <w:r w:rsidR="5F1A01FA" w:rsidRPr="00CF06C8">
        <w:rPr>
          <w:noProof/>
        </w:rPr>
        <w:t xml:space="preserve"> downstream sectors</w:t>
      </w:r>
      <w:r w:rsidR="53DA6413" w:rsidRPr="00CF06C8">
        <w:rPr>
          <w:noProof/>
        </w:rPr>
        <w:t>, the measure</w:t>
      </w:r>
      <w:r w:rsidR="009E1286">
        <w:rPr>
          <w:noProof/>
        </w:rPr>
        <w:t xml:space="preserve"> </w:t>
      </w:r>
      <w:r>
        <w:rPr>
          <w:noProof/>
        </w:rPr>
        <w:t xml:space="preserve">is not expected to distort competition among market actors that comply with these requirements. However, for products subject to Made in EU requirements for security or environmental reasons, competition would be limited to manufacturers located within the EU, thereby excluding non-EU producers up to the minimum content and narrowing the pool of eligible suppliers. </w:t>
      </w:r>
    </w:p>
    <w:p w14:paraId="35C03714" w14:textId="1A973AA4" w:rsidR="00285741" w:rsidRDefault="00285741">
      <w:pPr>
        <w:pStyle w:val="Text2"/>
        <w:spacing w:after="120"/>
        <w:ind w:left="0"/>
        <w:rPr>
          <w:noProof/>
        </w:rPr>
      </w:pPr>
      <w:r w:rsidRPr="00CF06C8">
        <w:rPr>
          <w:b/>
          <w:noProof/>
        </w:rPr>
        <w:t>INV 2</w:t>
      </w:r>
      <w:r w:rsidRPr="00CF06C8">
        <w:rPr>
          <w:noProof/>
        </w:rPr>
        <w:t xml:space="preserve"> could further safeguard the Single Market from disruptions caused by foreign investments and promote </w:t>
      </w:r>
      <w:r w:rsidR="00E8311C" w:rsidRPr="00CF06C8">
        <w:rPr>
          <w:noProof/>
        </w:rPr>
        <w:t xml:space="preserve">more effective </w:t>
      </w:r>
      <w:r w:rsidRPr="00CF06C8">
        <w:rPr>
          <w:noProof/>
        </w:rPr>
        <w:t xml:space="preserve">competition, due to its mandatory nature. By </w:t>
      </w:r>
      <w:r w:rsidR="00E8311C" w:rsidRPr="00CF06C8">
        <w:rPr>
          <w:noProof/>
        </w:rPr>
        <w:t>introducing</w:t>
      </w:r>
      <w:r w:rsidRPr="00CF06C8">
        <w:rPr>
          <w:noProof/>
        </w:rPr>
        <w:t xml:space="preserve"> harmonised conditions for investments in scope, the level playing field in the Single Market </w:t>
      </w:r>
      <w:r w:rsidR="00E8311C" w:rsidRPr="00CF06C8">
        <w:rPr>
          <w:noProof/>
        </w:rPr>
        <w:t xml:space="preserve">would </w:t>
      </w:r>
      <w:r w:rsidRPr="00CF06C8">
        <w:rPr>
          <w:noProof/>
        </w:rPr>
        <w:t xml:space="preserve">be enhanced and give investors a single, predictable rulebook. This uniformity ensures fairer competition between investors, regardless of entry location. Practices in other jurisdictions demonstrate that well-designed FDI conditions can enhance fair competition and prevent market distortions linked to state-backed investors (see Annex 13). </w:t>
      </w:r>
    </w:p>
    <w:p w14:paraId="051EC4FD" w14:textId="15070563" w:rsidR="00126036" w:rsidRPr="00126036" w:rsidRDefault="00285741" w:rsidP="00126036">
      <w:pPr>
        <w:pStyle w:val="Heading4"/>
        <w:numPr>
          <w:ilvl w:val="3"/>
          <w:numId w:val="64"/>
        </w:numPr>
        <w:spacing w:before="0" w:after="0"/>
        <w:ind w:left="142" w:firstLine="130"/>
        <w:rPr>
          <w:b/>
          <w:noProof/>
          <w:color w:val="auto"/>
        </w:rPr>
      </w:pPr>
      <w:r w:rsidRPr="00B72F0A">
        <w:rPr>
          <w:b/>
          <w:noProof/>
          <w:color w:val="auto"/>
        </w:rPr>
        <w:t>Impact on international trade</w:t>
      </w:r>
    </w:p>
    <w:p w14:paraId="4B873843" w14:textId="44F6EAB6" w:rsidR="00285741" w:rsidRDefault="7C355CBF" w:rsidP="3F0F1197">
      <w:pPr>
        <w:pStyle w:val="Text2"/>
        <w:spacing w:after="120"/>
        <w:ind w:left="0"/>
        <w:rPr>
          <w:noProof/>
          <w:vertAlign w:val="superscript"/>
        </w:rPr>
      </w:pPr>
      <w:r w:rsidRPr="61003A5B">
        <w:rPr>
          <w:b/>
          <w:bCs/>
          <w:noProof/>
        </w:rPr>
        <w:t>LEAD_EII 2</w:t>
      </w:r>
      <w:r w:rsidRPr="000C14B0">
        <w:rPr>
          <w:noProof/>
        </w:rPr>
        <w:t xml:space="preserve"> </w:t>
      </w:r>
      <w:r w:rsidR="588DA145" w:rsidRPr="00CF06C8">
        <w:rPr>
          <w:noProof/>
        </w:rPr>
        <w:t xml:space="preserve">is </w:t>
      </w:r>
      <w:r w:rsidR="005C6A73" w:rsidRPr="00CF06C8">
        <w:rPr>
          <w:noProof/>
        </w:rPr>
        <w:t>not</w:t>
      </w:r>
      <w:r w:rsidR="588DA145" w:rsidRPr="00CF06C8">
        <w:rPr>
          <w:noProof/>
        </w:rPr>
        <w:t xml:space="preserve"> expected to have</w:t>
      </w:r>
      <w:r w:rsidR="00756075" w:rsidRPr="00CF06C8">
        <w:rPr>
          <w:noProof/>
        </w:rPr>
        <w:t xml:space="preserve"> an additional</w:t>
      </w:r>
      <w:r w:rsidR="588DA145" w:rsidRPr="00CF06C8">
        <w:rPr>
          <w:noProof/>
        </w:rPr>
        <w:t xml:space="preserve"> impact on trade flows compared to PO1,</w:t>
      </w:r>
      <w:r w:rsidR="18683773" w:rsidRPr="00CF06C8">
        <w:rPr>
          <w:noProof/>
        </w:rPr>
        <w:t xml:space="preserve"> </w:t>
      </w:r>
      <w:r w:rsidR="00BB74B4" w:rsidRPr="00CF06C8">
        <w:rPr>
          <w:noProof/>
        </w:rPr>
        <w:t>considering</w:t>
      </w:r>
      <w:r w:rsidR="005C6A73" w:rsidRPr="00CF06C8">
        <w:rPr>
          <w:noProof/>
        </w:rPr>
        <w:t xml:space="preserve"> that </w:t>
      </w:r>
      <w:r w:rsidR="00BB74B4" w:rsidRPr="00CF06C8">
        <w:rPr>
          <w:noProof/>
        </w:rPr>
        <w:t xml:space="preserve">the Made in EU targets </w:t>
      </w:r>
      <w:r w:rsidR="00434BCA" w:rsidRPr="00CF06C8">
        <w:rPr>
          <w:noProof/>
        </w:rPr>
        <w:t>introduced</w:t>
      </w:r>
      <w:r w:rsidR="00BB74B4" w:rsidRPr="00CF06C8">
        <w:rPr>
          <w:noProof/>
        </w:rPr>
        <w:t xml:space="preserve"> fall within exis</w:t>
      </w:r>
      <w:r w:rsidR="00DE71B8" w:rsidRPr="00CF06C8">
        <w:rPr>
          <w:noProof/>
        </w:rPr>
        <w:t xml:space="preserve">ting </w:t>
      </w:r>
      <w:r w:rsidR="00434BCA" w:rsidRPr="00CF06C8">
        <w:rPr>
          <w:noProof/>
        </w:rPr>
        <w:t xml:space="preserve">shares of </w:t>
      </w:r>
      <w:r w:rsidR="00DE71B8" w:rsidRPr="00CF06C8">
        <w:rPr>
          <w:noProof/>
        </w:rPr>
        <w:t xml:space="preserve">domestic </w:t>
      </w:r>
      <w:r w:rsidR="00434BCA" w:rsidRPr="00CF06C8">
        <w:rPr>
          <w:noProof/>
        </w:rPr>
        <w:t>supply in the automotive and construction</w:t>
      </w:r>
      <w:r w:rsidR="00A12518" w:rsidRPr="00CF06C8">
        <w:rPr>
          <w:noProof/>
        </w:rPr>
        <w:t xml:space="preserve"> </w:t>
      </w:r>
      <w:r w:rsidR="00434BCA" w:rsidRPr="00CF06C8">
        <w:rPr>
          <w:noProof/>
        </w:rPr>
        <w:t>sectors.</w:t>
      </w:r>
      <w:r w:rsidR="18683773">
        <w:rPr>
          <w:noProof/>
        </w:rPr>
        <w:t xml:space="preserve"> </w:t>
      </w:r>
    </w:p>
    <w:p w14:paraId="1D864120" w14:textId="24F5CFA5" w:rsidR="00285741" w:rsidRDefault="00285741">
      <w:pPr>
        <w:pStyle w:val="Text2"/>
        <w:spacing w:after="120"/>
        <w:ind w:left="0"/>
        <w:rPr>
          <w:noProof/>
        </w:rPr>
      </w:pPr>
      <w:r w:rsidDel="00285741">
        <w:rPr>
          <w:noProof/>
        </w:rPr>
        <w:t xml:space="preserve">The EU’s cement industry is structurally domestic, with exports representing less than 3% of production and imports even smaller. Transport costs and product bulk make long-distance trade uneconomical. Even under a 5% low-carbon requirement, no material effect on trade flows or competitiveness is expected. </w:t>
      </w:r>
      <w:r>
        <w:rPr>
          <w:noProof/>
        </w:rPr>
        <w:t>Intra-EU trade flows of steel, aluminium and cement would increase due to the requirements in other EU countries to buy more Made in the EU steel, aluminium, and cement products.</w:t>
      </w:r>
    </w:p>
    <w:p w14:paraId="427D39D9" w14:textId="7C099CA8" w:rsidR="00285741" w:rsidRPr="000272AD" w:rsidRDefault="00285741">
      <w:pPr>
        <w:pStyle w:val="Text2"/>
        <w:spacing w:after="120" w:line="257" w:lineRule="auto"/>
        <w:ind w:left="0"/>
        <w:rPr>
          <w:noProof/>
        </w:rPr>
      </w:pPr>
      <w:r w:rsidRPr="0072793F">
        <w:rPr>
          <w:b/>
          <w:bCs/>
          <w:noProof/>
        </w:rPr>
        <w:t>INV 2</w:t>
      </w:r>
      <w:r>
        <w:rPr>
          <w:noProof/>
        </w:rPr>
        <w:t xml:space="preserve"> </w:t>
      </w:r>
      <w:r w:rsidR="008D0680">
        <w:rPr>
          <w:b/>
          <w:bCs/>
          <w:noProof/>
        </w:rPr>
        <w:t xml:space="preserve">- </w:t>
      </w:r>
      <w:r w:rsidR="008D0680" w:rsidRPr="00CF06C8">
        <w:rPr>
          <w:noProof/>
        </w:rPr>
        <w:t xml:space="preserve">Compared with PO1, the mandatory nature of INV 2 could generate stronger short-term adjustments in trade </w:t>
      </w:r>
      <w:r w:rsidR="000C5950" w:rsidRPr="00CF06C8">
        <w:rPr>
          <w:noProof/>
        </w:rPr>
        <w:t xml:space="preserve">and FDI </w:t>
      </w:r>
      <w:r w:rsidR="008D0680" w:rsidRPr="00CF06C8">
        <w:rPr>
          <w:noProof/>
        </w:rPr>
        <w:t>flows, particularly where localisation or EU-content obligations alter sourcing patterns, but these effects would remain concentrated in the sectors covered.</w:t>
      </w:r>
      <w:r>
        <w:rPr>
          <w:noProof/>
        </w:rPr>
        <w:t xml:space="preserve"> </w:t>
      </w:r>
      <w:r w:rsidRPr="003E574F">
        <w:rPr>
          <w:noProof/>
        </w:rPr>
        <w:t>Its application must remain consistent with the EU’s international commitments on investment liberalisation. In most FTAs, the EU has already granted extensive market access and national treatment in non-services sectors, except for a few sensitive activities. As a result, FDI from these partner countries</w:t>
      </w:r>
      <w:r>
        <w:rPr>
          <w:noProof/>
        </w:rPr>
        <w:t xml:space="preserve"> (</w:t>
      </w:r>
      <w:r w:rsidRPr="003E574F">
        <w:rPr>
          <w:noProof/>
        </w:rPr>
        <w:t>representing most EU inflows</w:t>
      </w:r>
      <w:r>
        <w:rPr>
          <w:noProof/>
        </w:rPr>
        <w:t xml:space="preserve">) </w:t>
      </w:r>
      <w:r w:rsidRPr="003E574F">
        <w:rPr>
          <w:noProof/>
        </w:rPr>
        <w:t xml:space="preserve">would be exempt, limiting overall coverage. The measure would thus primarily apply to strategic investments from non-FTA countries where economic security risks are highest. However, both GATS and TFEU provisions allow restrictions on capital movements only under narrowly interpreted public policy or security exceptions, leaving </w:t>
      </w:r>
      <w:r>
        <w:rPr>
          <w:noProof/>
        </w:rPr>
        <w:t>limited</w:t>
      </w:r>
      <w:r w:rsidRPr="003E574F">
        <w:rPr>
          <w:noProof/>
        </w:rPr>
        <w:t xml:space="preserve"> room for measures justified purely on economic or industrial grounds.</w:t>
      </w:r>
    </w:p>
    <w:p w14:paraId="59210FC6" w14:textId="77777777" w:rsidR="00285741" w:rsidRPr="00B72F0A" w:rsidRDefault="00285741" w:rsidP="00285741">
      <w:pPr>
        <w:pStyle w:val="Heading4"/>
        <w:numPr>
          <w:ilvl w:val="3"/>
          <w:numId w:val="64"/>
        </w:numPr>
        <w:spacing w:before="0" w:after="0" w:line="276" w:lineRule="auto"/>
        <w:ind w:left="142" w:firstLine="130"/>
        <w:rPr>
          <w:b/>
          <w:noProof/>
          <w:color w:val="auto"/>
        </w:rPr>
      </w:pPr>
      <w:r w:rsidRPr="00B72F0A">
        <w:rPr>
          <w:b/>
          <w:noProof/>
          <w:color w:val="auto"/>
        </w:rPr>
        <w:t xml:space="preserve">Impact on Member States </w:t>
      </w:r>
    </w:p>
    <w:p w14:paraId="646705E1" w14:textId="7BB3936A" w:rsidR="00285741" w:rsidRDefault="00285741">
      <w:pPr>
        <w:pStyle w:val="Text2"/>
        <w:spacing w:before="240" w:after="120" w:line="257" w:lineRule="auto"/>
        <w:ind w:left="0"/>
        <w:rPr>
          <w:noProof/>
        </w:rPr>
      </w:pPr>
      <w:r>
        <w:rPr>
          <w:b/>
          <w:noProof/>
        </w:rPr>
        <w:t>LAB</w:t>
      </w:r>
      <w:r w:rsidR="0034088F">
        <w:rPr>
          <w:b/>
          <w:noProof/>
        </w:rPr>
        <w:t xml:space="preserve"> </w:t>
      </w:r>
      <w:r>
        <w:rPr>
          <w:b/>
          <w:noProof/>
        </w:rPr>
        <w:t xml:space="preserve">2 </w:t>
      </w:r>
      <w:r w:rsidRPr="3285770D">
        <w:rPr>
          <w:noProof/>
        </w:rPr>
        <w:t xml:space="preserve">would increase the administrative burden </w:t>
      </w:r>
      <w:r w:rsidRPr="00801C0E">
        <w:rPr>
          <w:noProof/>
        </w:rPr>
        <w:t xml:space="preserve">for </w:t>
      </w:r>
      <w:r w:rsidRPr="3285770D">
        <w:rPr>
          <w:noProof/>
        </w:rPr>
        <w:t xml:space="preserve">Member States, depending on the </w:t>
      </w:r>
      <w:r w:rsidRPr="0D78D2D3">
        <w:rPr>
          <w:noProof/>
        </w:rPr>
        <w:t xml:space="preserve">additional data requirements, </w:t>
      </w:r>
      <w:r w:rsidRPr="3285770D">
        <w:rPr>
          <w:noProof/>
        </w:rPr>
        <w:t xml:space="preserve">accounting, reporting and verification system. </w:t>
      </w:r>
      <w:r w:rsidRPr="69DB84D0">
        <w:rPr>
          <w:noProof/>
        </w:rPr>
        <w:t>However</w:t>
      </w:r>
      <w:r w:rsidRPr="3285770D">
        <w:rPr>
          <w:noProof/>
        </w:rPr>
        <w:t xml:space="preserve">, as the label on steel will </w:t>
      </w:r>
      <w:r>
        <w:rPr>
          <w:noProof/>
        </w:rPr>
        <w:t>be</w:t>
      </w:r>
      <w:r w:rsidRPr="3285770D">
        <w:rPr>
          <w:noProof/>
        </w:rPr>
        <w:t xml:space="preserve"> built on existing EU ETS </w:t>
      </w:r>
      <w:r>
        <w:rPr>
          <w:noProof/>
        </w:rPr>
        <w:t xml:space="preserve">and CBAM </w:t>
      </w:r>
      <w:r w:rsidRPr="3285770D">
        <w:rPr>
          <w:noProof/>
        </w:rPr>
        <w:t>verification rules, the burden on national authorities is expected to be limited</w:t>
      </w:r>
      <w:r>
        <w:rPr>
          <w:noProof/>
        </w:rPr>
        <w:t>, and even more so compared to LAB 1</w:t>
      </w:r>
      <w:r w:rsidRPr="3285770D">
        <w:rPr>
          <w:noProof/>
        </w:rPr>
        <w:t xml:space="preserve">. </w:t>
      </w:r>
    </w:p>
    <w:p w14:paraId="5F59789B" w14:textId="1E80ADB2" w:rsidR="00285741" w:rsidRDefault="7C355CBF">
      <w:pPr>
        <w:pStyle w:val="Text2"/>
        <w:spacing w:after="120" w:line="257" w:lineRule="auto"/>
        <w:ind w:left="0"/>
        <w:rPr>
          <w:noProof/>
        </w:rPr>
      </w:pPr>
      <w:r w:rsidRPr="1A2A8689">
        <w:rPr>
          <w:b/>
          <w:bCs/>
          <w:noProof/>
        </w:rPr>
        <w:t xml:space="preserve">LEAD_EII 2 - </w:t>
      </w:r>
      <w:r w:rsidRPr="008659B1">
        <w:rPr>
          <w:noProof/>
        </w:rPr>
        <w:t>T</w:t>
      </w:r>
      <w:r w:rsidRPr="00993470">
        <w:rPr>
          <w:noProof/>
        </w:rPr>
        <w:t>he financial burden on Member States</w:t>
      </w:r>
      <w:r>
        <w:rPr>
          <w:noProof/>
        </w:rPr>
        <w:t xml:space="preserve"> of introducing low-carbon requirements</w:t>
      </w:r>
      <w:r w:rsidR="000E44D6">
        <w:rPr>
          <w:noProof/>
        </w:rPr>
        <w:t xml:space="preserve"> f</w:t>
      </w:r>
      <w:r w:rsidR="000E44D6" w:rsidRPr="000B5A6D">
        <w:rPr>
          <w:noProof/>
        </w:rPr>
        <w:t>or steel</w:t>
      </w:r>
      <w:r w:rsidR="000E44D6">
        <w:rPr>
          <w:noProof/>
        </w:rPr>
        <w:t>, aluminium</w:t>
      </w:r>
      <w:r w:rsidR="000E44D6" w:rsidRPr="000B5A6D">
        <w:rPr>
          <w:noProof/>
        </w:rPr>
        <w:t xml:space="preserve"> and cement </w:t>
      </w:r>
      <w:r w:rsidR="000E44D6">
        <w:rPr>
          <w:noProof/>
        </w:rPr>
        <w:t xml:space="preserve">used in automotive and construction projects </w:t>
      </w:r>
      <w:r w:rsidR="000E44D6" w:rsidRPr="000B5A6D">
        <w:rPr>
          <w:noProof/>
        </w:rPr>
        <w:t xml:space="preserve">in </w:t>
      </w:r>
      <w:r w:rsidR="000E44D6" w:rsidRPr="000B5A6D">
        <w:rPr>
          <w:noProof/>
        </w:rPr>
        <w:lastRenderedPageBreak/>
        <w:t>public procurement and incentives</w:t>
      </w:r>
      <w:r w:rsidRPr="00993470">
        <w:rPr>
          <w:noProof/>
        </w:rPr>
        <w:t xml:space="preserve"> </w:t>
      </w:r>
      <w:r w:rsidR="000E44D6">
        <w:rPr>
          <w:noProof/>
        </w:rPr>
        <w:t xml:space="preserve">schemes </w:t>
      </w:r>
      <w:r>
        <w:rPr>
          <w:noProof/>
        </w:rPr>
        <w:t>has been assessed under PO1.</w:t>
      </w:r>
      <w:r w:rsidR="0028119D">
        <w:rPr>
          <w:noProof/>
        </w:rPr>
        <w:t xml:space="preserve"> Adding a Made in EU requirement </w:t>
      </w:r>
      <w:r w:rsidR="001C6FCC">
        <w:rPr>
          <w:noProof/>
        </w:rPr>
        <w:t xml:space="preserve">will likely not </w:t>
      </w:r>
      <w:r w:rsidR="00AB282D">
        <w:rPr>
          <w:noProof/>
        </w:rPr>
        <w:t>lead</w:t>
      </w:r>
      <w:r w:rsidR="001C6FCC">
        <w:rPr>
          <w:noProof/>
        </w:rPr>
        <w:t xml:space="preserve"> to additional </w:t>
      </w:r>
      <w:r w:rsidR="006F5C39">
        <w:rPr>
          <w:noProof/>
        </w:rPr>
        <w:t>adjustment</w:t>
      </w:r>
      <w:r w:rsidR="001C6FCC">
        <w:rPr>
          <w:noProof/>
        </w:rPr>
        <w:t xml:space="preserve"> </w:t>
      </w:r>
      <w:r w:rsidR="0030203A">
        <w:rPr>
          <w:noProof/>
        </w:rPr>
        <w:t>costs</w:t>
      </w:r>
      <w:r w:rsidR="00D34ED6">
        <w:rPr>
          <w:noProof/>
        </w:rPr>
        <w:t xml:space="preserve">. </w:t>
      </w:r>
      <w:r w:rsidR="00DF4925">
        <w:rPr>
          <w:noProof/>
        </w:rPr>
        <w:t>However,</w:t>
      </w:r>
      <w:r w:rsidR="0030203A">
        <w:rPr>
          <w:noProof/>
        </w:rPr>
        <w:t xml:space="preserve"> it is likely to increase the </w:t>
      </w:r>
      <w:r w:rsidR="0030203A" w:rsidRPr="72170573">
        <w:rPr>
          <w:noProof/>
        </w:rPr>
        <w:t xml:space="preserve">administrative burden </w:t>
      </w:r>
      <w:r w:rsidR="0030203A">
        <w:rPr>
          <w:noProof/>
        </w:rPr>
        <w:t xml:space="preserve">since public administrations </w:t>
      </w:r>
      <w:r w:rsidR="0030203A" w:rsidRPr="1A2A8689" w:rsidDel="7C355CBF">
        <w:rPr>
          <w:noProof/>
        </w:rPr>
        <w:t>would be required to establish systems for monitoring, verification, and enforcement of compliance. This will involve building on existing EU-level verification mechanisms or building new ones in case not in place yet.</w:t>
      </w:r>
      <w:r w:rsidR="0030203A">
        <w:rPr>
          <w:noProof/>
        </w:rPr>
        <w:t xml:space="preserve"> </w:t>
      </w:r>
      <w:r w:rsidR="0030203A" w:rsidRPr="72170573">
        <w:rPr>
          <w:noProof/>
        </w:rPr>
        <w:t>Effective implementation depends on the availability of reliable and transparent standards, emissions accounting methodologies, and certification systems as well as guidance for Member States.</w:t>
      </w:r>
    </w:p>
    <w:p w14:paraId="018FE41C" w14:textId="34D2F138" w:rsidR="00285741" w:rsidRDefault="00285741" w:rsidP="00DF4925">
      <w:pPr>
        <w:pStyle w:val="Text2"/>
        <w:spacing w:after="120" w:line="257" w:lineRule="auto"/>
        <w:ind w:left="0"/>
        <w:rPr>
          <w:noProof/>
        </w:rPr>
      </w:pPr>
      <w:r w:rsidRPr="3285770D">
        <w:rPr>
          <w:noProof/>
        </w:rPr>
        <w:t xml:space="preserve">To support effective implementation, Member States </w:t>
      </w:r>
      <w:r>
        <w:rPr>
          <w:noProof/>
        </w:rPr>
        <w:t>will</w:t>
      </w:r>
      <w:r w:rsidRPr="3285770D">
        <w:rPr>
          <w:noProof/>
        </w:rPr>
        <w:t xml:space="preserve"> need </w:t>
      </w:r>
      <w:r>
        <w:rPr>
          <w:noProof/>
        </w:rPr>
        <w:t xml:space="preserve">to designate a competent authority </w:t>
      </w:r>
      <w:r w:rsidRPr="3285770D">
        <w:rPr>
          <w:noProof/>
        </w:rPr>
        <w:t xml:space="preserve">to </w:t>
      </w:r>
      <w:r>
        <w:rPr>
          <w:noProof/>
        </w:rPr>
        <w:t xml:space="preserve">oversee </w:t>
      </w:r>
      <w:r w:rsidR="00DD6151">
        <w:rPr>
          <w:noProof/>
        </w:rPr>
        <w:t xml:space="preserve">the </w:t>
      </w:r>
      <w:r>
        <w:rPr>
          <w:noProof/>
        </w:rPr>
        <w:t xml:space="preserve">implementation </w:t>
      </w:r>
      <w:r w:rsidR="00DD6151">
        <w:rPr>
          <w:noProof/>
        </w:rPr>
        <w:t>process</w:t>
      </w:r>
      <w:r>
        <w:rPr>
          <w:noProof/>
        </w:rPr>
        <w:t xml:space="preserve"> and </w:t>
      </w:r>
      <w:r w:rsidRPr="3285770D">
        <w:rPr>
          <w:noProof/>
        </w:rPr>
        <w:t>ensure monitoring, verification</w:t>
      </w:r>
      <w:r>
        <w:rPr>
          <w:noProof/>
        </w:rPr>
        <w:t xml:space="preserve"> and enforcement.</w:t>
      </w:r>
      <w:r w:rsidRPr="3285770D">
        <w:rPr>
          <w:noProof/>
        </w:rPr>
        <w:t xml:space="preserve"> </w:t>
      </w:r>
      <w:r>
        <w:rPr>
          <w:noProof/>
        </w:rPr>
        <w:t xml:space="preserve">For steel, the </w:t>
      </w:r>
      <w:r w:rsidRPr="3285770D">
        <w:rPr>
          <w:noProof/>
        </w:rPr>
        <w:t xml:space="preserve">introduction of a label on the </w:t>
      </w:r>
      <w:r w:rsidRPr="00222F62">
        <w:rPr>
          <w:noProof/>
        </w:rPr>
        <w:t>carbon intensity of steel (LAB 2)</w:t>
      </w:r>
      <w:r w:rsidRPr="00DF4925">
        <w:rPr>
          <w:noProof/>
        </w:rPr>
        <w:t xml:space="preserve"> </w:t>
      </w:r>
      <w:r w:rsidRPr="00F1175E">
        <w:rPr>
          <w:noProof/>
        </w:rPr>
        <w:t xml:space="preserve">will </w:t>
      </w:r>
      <w:r>
        <w:rPr>
          <w:noProof/>
        </w:rPr>
        <w:t>provide a reliable tool for</w:t>
      </w:r>
      <w:r w:rsidRPr="00F1175E">
        <w:rPr>
          <w:noProof/>
        </w:rPr>
        <w:t xml:space="preserve"> </w:t>
      </w:r>
      <w:r>
        <w:rPr>
          <w:noProof/>
        </w:rPr>
        <w:t>certification</w:t>
      </w:r>
      <w:r w:rsidRPr="6375C431">
        <w:rPr>
          <w:noProof/>
        </w:rPr>
        <w:t>.</w:t>
      </w:r>
      <w:r w:rsidRPr="3285770D" w:rsidDel="00FB3AF1">
        <w:rPr>
          <w:noProof/>
        </w:rPr>
        <w:t xml:space="preserve"> It will also have to ensure that the</w:t>
      </w:r>
      <w:r w:rsidDel="00FB3AF1">
        <w:rPr>
          <w:noProof/>
        </w:rPr>
        <w:t xml:space="preserve"> </w:t>
      </w:r>
      <w:r w:rsidRPr="3285770D" w:rsidDel="00FB3AF1">
        <w:rPr>
          <w:noProof/>
        </w:rPr>
        <w:t xml:space="preserve">certification system in place </w:t>
      </w:r>
      <w:r w:rsidDel="00FB3AF1">
        <w:rPr>
          <w:noProof/>
        </w:rPr>
        <w:t>is</w:t>
      </w:r>
      <w:r w:rsidRPr="3285770D" w:rsidDel="00FB3AF1">
        <w:rPr>
          <w:noProof/>
        </w:rPr>
        <w:t xml:space="preserve"> properly enforced and monitored for fraud risk. </w:t>
      </w:r>
      <w:r w:rsidRPr="00DE7275">
        <w:rPr>
          <w:noProof/>
        </w:rPr>
        <w:t xml:space="preserve">Similarly, in the construction sector, </w:t>
      </w:r>
      <w:r w:rsidRPr="472ED8BB">
        <w:rPr>
          <w:noProof/>
        </w:rPr>
        <w:t xml:space="preserve">for harmonised </w:t>
      </w:r>
      <w:r w:rsidRPr="57F2AA62">
        <w:rPr>
          <w:noProof/>
        </w:rPr>
        <w:t>construction products</w:t>
      </w:r>
      <w:r w:rsidRPr="472ED8BB">
        <w:rPr>
          <w:noProof/>
        </w:rPr>
        <w:t xml:space="preserve"> the</w:t>
      </w:r>
      <w:r w:rsidRPr="00DE7275">
        <w:rPr>
          <w:noProof/>
        </w:rPr>
        <w:t xml:space="preserve"> compliance with low-carbon requirements will have to be </w:t>
      </w:r>
      <w:r>
        <w:rPr>
          <w:noProof/>
        </w:rPr>
        <w:t xml:space="preserve">certified </w:t>
      </w:r>
      <w:r w:rsidRPr="00DE7275">
        <w:rPr>
          <w:noProof/>
        </w:rPr>
        <w:t>by a Declaration of Performance</w:t>
      </w:r>
      <w:r w:rsidRPr="6A60DF35">
        <w:rPr>
          <w:noProof/>
        </w:rPr>
        <w:t xml:space="preserve"> </w:t>
      </w:r>
      <w:r w:rsidRPr="55D90FD3">
        <w:rPr>
          <w:noProof/>
        </w:rPr>
        <w:t xml:space="preserve">and </w:t>
      </w:r>
      <w:r w:rsidRPr="77EF4864">
        <w:rPr>
          <w:noProof/>
        </w:rPr>
        <w:t>Conformity</w:t>
      </w:r>
      <w:r w:rsidRPr="00DE7275">
        <w:rPr>
          <w:noProof/>
        </w:rPr>
        <w:t xml:space="preserve">, under the procedure established in the context of the Construction Production Regulation. </w:t>
      </w:r>
    </w:p>
    <w:p w14:paraId="082EAC04" w14:textId="514E15CC" w:rsidR="00285741" w:rsidRPr="00D65F66" w:rsidRDefault="00285741" w:rsidP="00CC1E10">
      <w:pPr>
        <w:spacing w:after="120"/>
        <w:rPr>
          <w:rFonts w:eastAsia="Times New Roman"/>
          <w:noProof/>
        </w:rPr>
      </w:pPr>
      <w:r>
        <w:rPr>
          <w:rFonts w:eastAsia="Times New Roman"/>
          <w:b/>
          <w:bCs/>
          <w:noProof/>
        </w:rPr>
        <w:t xml:space="preserve">INV 2 </w:t>
      </w:r>
      <w:r w:rsidRPr="002D6DB8">
        <w:rPr>
          <w:rFonts w:eastAsia="Times New Roman"/>
          <w:b/>
          <w:noProof/>
        </w:rPr>
        <w:t>-</w:t>
      </w:r>
      <w:r>
        <w:rPr>
          <w:rFonts w:eastAsia="Times New Roman"/>
          <w:noProof/>
        </w:rPr>
        <w:t xml:space="preserve"> </w:t>
      </w:r>
      <w:r w:rsidRPr="00BF31DB">
        <w:rPr>
          <w:rFonts w:eastAsia="Times New Roman"/>
          <w:noProof/>
        </w:rPr>
        <w:t>For Member States, mandatory EU-wide conditionalities would bring higher administrative responsibilities</w:t>
      </w:r>
      <w:r>
        <w:rPr>
          <w:rFonts w:eastAsia="Times New Roman"/>
          <w:noProof/>
        </w:rPr>
        <w:t xml:space="preserve"> for those Member States that currently do not screen incoming FDI</w:t>
      </w:r>
      <w:r w:rsidRPr="00BF31DB">
        <w:rPr>
          <w:rFonts w:eastAsia="Times New Roman"/>
          <w:noProof/>
        </w:rPr>
        <w:t>. This will entail capacity-</w:t>
      </w:r>
      <w:r w:rsidRPr="00CF06C8">
        <w:rPr>
          <w:rFonts w:eastAsia="Times New Roman"/>
          <w:noProof/>
        </w:rPr>
        <w:t xml:space="preserve">building </w:t>
      </w:r>
      <w:r w:rsidR="00C12D62" w:rsidRPr="00CF06C8">
        <w:rPr>
          <w:rFonts w:eastAsia="Times New Roman"/>
          <w:noProof/>
        </w:rPr>
        <w:t>and</w:t>
      </w:r>
      <w:r w:rsidRPr="00CF06C8">
        <w:rPr>
          <w:rFonts w:eastAsia="Times New Roman"/>
          <w:noProof/>
        </w:rPr>
        <w:t xml:space="preserve"> generate efficiencies by reducing fragmentation. Uniform conditionalities strengthen </w:t>
      </w:r>
      <w:r w:rsidR="006B4562" w:rsidRPr="00CF06C8">
        <w:rPr>
          <w:rFonts w:eastAsia="Times New Roman"/>
          <w:noProof/>
        </w:rPr>
        <w:t>the consistency of the Single Market</w:t>
      </w:r>
      <w:r w:rsidRPr="00CF06C8">
        <w:rPr>
          <w:rFonts w:eastAsia="Times New Roman"/>
          <w:noProof/>
        </w:rPr>
        <w:t xml:space="preserve"> and reduce the administrative burden of divergent national practices, while ensuring that all </w:t>
      </w:r>
      <w:r w:rsidR="00DF06C1" w:rsidRPr="00CF06C8">
        <w:rPr>
          <w:rFonts w:eastAsia="Times New Roman"/>
          <w:noProof/>
        </w:rPr>
        <w:t>Member States</w:t>
      </w:r>
      <w:r w:rsidR="00DF06C1" w:rsidRPr="00BF31DB">
        <w:rPr>
          <w:rFonts w:eastAsia="Times New Roman"/>
          <w:noProof/>
        </w:rPr>
        <w:t xml:space="preserve"> </w:t>
      </w:r>
      <w:r w:rsidRPr="00BF31DB">
        <w:rPr>
          <w:rFonts w:eastAsia="Times New Roman"/>
          <w:noProof/>
        </w:rPr>
        <w:t>benefit from spillovers rather than competing against each other.</w:t>
      </w:r>
      <w:r>
        <w:rPr>
          <w:rFonts w:eastAsia="Times New Roman"/>
          <w:noProof/>
        </w:rPr>
        <w:t xml:space="preserve"> </w:t>
      </w:r>
      <w:r w:rsidRPr="00B54A91">
        <w:rPr>
          <w:rFonts w:eastAsia="Times New Roman"/>
          <w:noProof/>
        </w:rPr>
        <w:t>Lessons from other economies show that coordinated frameworks for FDI screening can strengthen national capacities while preserving overall attractiveness to investors (see Annex 13).</w:t>
      </w:r>
    </w:p>
    <w:p w14:paraId="0189BE85" w14:textId="77777777" w:rsidR="00285741" w:rsidRDefault="00285741" w:rsidP="00CC1E10">
      <w:pPr>
        <w:spacing w:after="120"/>
        <w:rPr>
          <w:noProof/>
        </w:rPr>
      </w:pPr>
      <w:r>
        <w:rPr>
          <w:rFonts w:eastAsia="Times New Roman"/>
          <w:b/>
          <w:bCs/>
          <w:noProof/>
        </w:rPr>
        <w:t xml:space="preserve">PERM 2 - </w:t>
      </w:r>
      <w:r w:rsidRPr="00EB10D8">
        <w:rPr>
          <w:rFonts w:eastAsia="Times New Roman"/>
          <w:noProof/>
        </w:rPr>
        <w:t>I</w:t>
      </w:r>
      <w:r w:rsidRPr="3285770D">
        <w:rPr>
          <w:rFonts w:eastAsia="Times New Roman"/>
          <w:noProof/>
        </w:rPr>
        <w:t xml:space="preserve">mpacts linked to the </w:t>
      </w:r>
      <w:r w:rsidRPr="00801C0E">
        <w:rPr>
          <w:rFonts w:eastAsia="Times New Roman"/>
          <w:noProof/>
        </w:rPr>
        <w:t>“</w:t>
      </w:r>
      <w:r w:rsidRPr="3285770D">
        <w:rPr>
          <w:rFonts w:eastAsia="Times New Roman"/>
          <w:noProof/>
        </w:rPr>
        <w:t>One project, one digital process</w:t>
      </w:r>
      <w:r w:rsidRPr="00801C0E">
        <w:rPr>
          <w:rFonts w:eastAsia="Times New Roman"/>
          <w:noProof/>
        </w:rPr>
        <w:t>”</w:t>
      </w:r>
      <w:r w:rsidRPr="3285770D">
        <w:rPr>
          <w:rFonts w:eastAsia="Times New Roman"/>
          <w:noProof/>
        </w:rPr>
        <w:t xml:space="preserve"> ha</w:t>
      </w:r>
      <w:r>
        <w:rPr>
          <w:rFonts w:eastAsia="Times New Roman"/>
          <w:noProof/>
        </w:rPr>
        <w:t>ve</w:t>
      </w:r>
      <w:r w:rsidRPr="3285770D">
        <w:rPr>
          <w:rFonts w:eastAsia="Times New Roman"/>
          <w:noProof/>
        </w:rPr>
        <w:t xml:space="preserve"> already been outlined for </w:t>
      </w:r>
      <w:r>
        <w:rPr>
          <w:rFonts w:eastAsia="Times New Roman"/>
          <w:noProof/>
        </w:rPr>
        <w:t>PO1</w:t>
      </w:r>
      <w:r w:rsidRPr="3285770D">
        <w:rPr>
          <w:rFonts w:eastAsia="Times New Roman"/>
          <w:noProof/>
        </w:rPr>
        <w:t xml:space="preserve">. </w:t>
      </w:r>
      <w:r>
        <w:rPr>
          <w:noProof/>
        </w:rPr>
        <w:t xml:space="preserve">Measures related to timeframes are expected to shorten procedures and would require additional administrative resources when the reason for delays is the lack of capacity. Still, the proposed time limits for decision-making are based on timeframes that are often already achieved and aim mainly to increase the predictability of the process for the most extreme cases. In addition, time limits can provide incentives to public authorities to consolidate internal processes. </w:t>
      </w:r>
    </w:p>
    <w:p w14:paraId="1C5EA19D" w14:textId="77777777" w:rsidR="00285741" w:rsidRDefault="00285741" w:rsidP="00CC1E10">
      <w:pPr>
        <w:pStyle w:val="Text2"/>
        <w:tabs>
          <w:tab w:val="clear" w:pos="2302"/>
          <w:tab w:val="left" w:pos="851"/>
          <w:tab w:val="left" w:pos="2127"/>
        </w:tabs>
        <w:spacing w:after="120"/>
        <w:ind w:left="0"/>
        <w:rPr>
          <w:noProof/>
        </w:rPr>
      </w:pPr>
      <w:r>
        <w:rPr>
          <w:noProof/>
        </w:rPr>
        <w:t xml:space="preserve">Tacit approval measures for intermediary steps of the permit granting process would not be applicable for Member States in which this option is not allowed by their </w:t>
      </w:r>
      <w:r w:rsidRPr="00801C0E">
        <w:rPr>
          <w:noProof/>
        </w:rPr>
        <w:t>legal</w:t>
      </w:r>
      <w:r>
        <w:rPr>
          <w:noProof/>
        </w:rPr>
        <w:t xml:space="preserve"> system. No additional impact would be expected in those countries. This measure is in part introduced to facilitate the achievement of the time limits by streamlining sequential characteristics of certain permit-granting processes in other Member States. Some training for relevant authorities could be expected to fully incorporate the tacit approval into the permitting process.</w:t>
      </w:r>
    </w:p>
    <w:p w14:paraId="756AC316" w14:textId="77777777" w:rsidR="00285741" w:rsidRPr="00E416E9" w:rsidRDefault="00285741">
      <w:pPr>
        <w:spacing w:after="120"/>
        <w:rPr>
          <w:i/>
          <w:noProof/>
        </w:rPr>
      </w:pPr>
      <w:r>
        <w:rPr>
          <w:rFonts w:eastAsia="Times New Roman"/>
          <w:b/>
          <w:noProof/>
        </w:rPr>
        <w:t xml:space="preserve">AREA </w:t>
      </w:r>
      <w:r w:rsidRPr="000272AD">
        <w:rPr>
          <w:rFonts w:eastAsia="Times New Roman"/>
          <w:b/>
          <w:noProof/>
        </w:rPr>
        <w:t xml:space="preserve">2 - </w:t>
      </w:r>
      <w:r w:rsidRPr="000272AD">
        <w:rPr>
          <w:rFonts w:eastAsia="Times New Roman"/>
          <w:noProof/>
        </w:rPr>
        <w:t xml:space="preserve">Member States would need to provide the necessary resources to conduct the process to designate </w:t>
      </w:r>
      <w:r>
        <w:rPr>
          <w:rFonts w:eastAsia="Times New Roman"/>
          <w:noProof/>
        </w:rPr>
        <w:t>areas with relevant</w:t>
      </w:r>
      <w:r w:rsidRPr="000272AD">
        <w:rPr>
          <w:rFonts w:eastAsia="Times New Roman"/>
          <w:noProof/>
        </w:rPr>
        <w:t xml:space="preserve"> projects. Given that the Commission will provide them with guidance on how to do so, and that each Member State only assigns a limited number of such projects, the additional impacts on Member State administrations should be limited. Additionally, Member States will be able to draw on their experiences with Strategic Projects under the </w:t>
      </w:r>
      <w:r>
        <w:rPr>
          <w:rFonts w:eastAsia="Times New Roman"/>
          <w:noProof/>
        </w:rPr>
        <w:t>NZIA</w:t>
      </w:r>
      <w:r w:rsidRPr="000272AD">
        <w:rPr>
          <w:rFonts w:eastAsia="Times New Roman"/>
          <w:noProof/>
        </w:rPr>
        <w:t>, where already decarbonisation projects have been designated as strategic.</w:t>
      </w:r>
    </w:p>
    <w:p w14:paraId="1BCB15C9" w14:textId="77777777" w:rsidR="00285741" w:rsidRPr="00310056" w:rsidRDefault="00285741" w:rsidP="00285741">
      <w:pPr>
        <w:pStyle w:val="Heading3"/>
        <w:numPr>
          <w:ilvl w:val="2"/>
          <w:numId w:val="64"/>
        </w:numPr>
        <w:spacing w:before="0"/>
        <w:ind w:hanging="153"/>
        <w:rPr>
          <w:b/>
          <w:i w:val="0"/>
        </w:rPr>
      </w:pPr>
      <w:r w:rsidRPr="00310056">
        <w:rPr>
          <w:b/>
          <w:i w:val="0"/>
        </w:rPr>
        <w:lastRenderedPageBreak/>
        <w:t>Social impacts</w:t>
      </w:r>
    </w:p>
    <w:p w14:paraId="590F7DFC" w14:textId="77777777" w:rsidR="00285741" w:rsidRPr="00DD5E4A" w:rsidRDefault="00285741" w:rsidP="00285741">
      <w:pPr>
        <w:pStyle w:val="Heading4"/>
        <w:numPr>
          <w:ilvl w:val="3"/>
          <w:numId w:val="64"/>
        </w:numPr>
        <w:spacing w:after="0"/>
        <w:ind w:left="1715"/>
        <w:rPr>
          <w:b/>
          <w:noProof/>
          <w:color w:val="auto"/>
        </w:rPr>
      </w:pPr>
      <w:r w:rsidRPr="00CC1E10">
        <w:rPr>
          <w:b/>
          <w:bCs/>
          <w:noProof/>
          <w:color w:val="auto"/>
        </w:rPr>
        <w:t>Impact on employment</w:t>
      </w:r>
    </w:p>
    <w:p w14:paraId="42610EB4" w14:textId="2B17441B" w:rsidR="00285741" w:rsidRPr="000272AD" w:rsidRDefault="7C355CBF">
      <w:pPr>
        <w:pStyle w:val="Text2"/>
        <w:tabs>
          <w:tab w:val="clear" w:pos="2302"/>
          <w:tab w:val="left" w:pos="851"/>
          <w:tab w:val="left" w:pos="2127"/>
        </w:tabs>
        <w:spacing w:before="240" w:after="120"/>
        <w:ind w:left="0"/>
        <w:rPr>
          <w:noProof/>
        </w:rPr>
      </w:pPr>
      <w:r>
        <w:rPr>
          <w:b/>
          <w:bCs/>
          <w:noProof/>
        </w:rPr>
        <w:t xml:space="preserve">LEAD_EII 2 </w:t>
      </w:r>
      <w:r w:rsidRPr="03B126B7">
        <w:rPr>
          <w:noProof/>
        </w:rPr>
        <w:t xml:space="preserve">would </w:t>
      </w:r>
      <w:r>
        <w:rPr>
          <w:noProof/>
        </w:rPr>
        <w:t>help boost</w:t>
      </w:r>
      <w:r w:rsidRPr="03B126B7">
        <w:rPr>
          <w:noProof/>
        </w:rPr>
        <w:t xml:space="preserve"> European </w:t>
      </w:r>
      <w:r>
        <w:rPr>
          <w:noProof/>
        </w:rPr>
        <w:t>employment in EIIs</w:t>
      </w:r>
      <w:r w:rsidRPr="03B126B7">
        <w:rPr>
          <w:noProof/>
        </w:rPr>
        <w:t>.</w:t>
      </w:r>
      <w:r w:rsidRPr="000272AD">
        <w:rPr>
          <w:noProof/>
        </w:rPr>
        <w:t xml:space="preserve"> According to research by think tank Strategic Perspectives, implementing </w:t>
      </w:r>
      <w:r w:rsidR="000E07A1">
        <w:rPr>
          <w:noProof/>
        </w:rPr>
        <w:t xml:space="preserve">a 100% substitution of </w:t>
      </w:r>
      <w:r w:rsidRPr="000272AD">
        <w:rPr>
          <w:noProof/>
        </w:rPr>
        <w:t xml:space="preserve">low-carbon </w:t>
      </w:r>
      <w:r w:rsidR="08567A40">
        <w:rPr>
          <w:noProof/>
        </w:rPr>
        <w:t xml:space="preserve">and made in Europe </w:t>
      </w:r>
      <w:r w:rsidR="5B8541BC">
        <w:rPr>
          <w:noProof/>
        </w:rPr>
        <w:t>requirements</w:t>
      </w:r>
      <w:r w:rsidR="00285741" w:rsidRPr="000272AD">
        <w:rPr>
          <w:rStyle w:val="FootnoteReference"/>
          <w:noProof/>
        </w:rPr>
        <w:footnoteReference w:id="225"/>
      </w:r>
      <w:r w:rsidRPr="000272AD">
        <w:rPr>
          <w:noProof/>
        </w:rPr>
        <w:t xml:space="preserve"> for steel</w:t>
      </w:r>
      <w:r>
        <w:rPr>
          <w:noProof/>
        </w:rPr>
        <w:t xml:space="preserve"> </w:t>
      </w:r>
      <w:r w:rsidR="125593EF">
        <w:rPr>
          <w:noProof/>
        </w:rPr>
        <w:t xml:space="preserve">could result in </w:t>
      </w:r>
      <w:r w:rsidR="2F63DB27">
        <w:rPr>
          <w:noProof/>
        </w:rPr>
        <w:t>a</w:t>
      </w:r>
      <w:r w:rsidR="125593EF">
        <w:rPr>
          <w:noProof/>
        </w:rPr>
        <w:t xml:space="preserve"> 21% increase in e</w:t>
      </w:r>
      <w:r w:rsidR="0C641D4C">
        <w:rPr>
          <w:noProof/>
        </w:rPr>
        <w:t xml:space="preserve">mployment </w:t>
      </w:r>
      <w:r w:rsidR="001F05D5">
        <w:rPr>
          <w:noProof/>
        </w:rPr>
        <w:t>in the</w:t>
      </w:r>
      <w:r w:rsidR="00F05A64">
        <w:rPr>
          <w:noProof/>
        </w:rPr>
        <w:t xml:space="preserve"> steel</w:t>
      </w:r>
      <w:r w:rsidR="001F05D5">
        <w:rPr>
          <w:noProof/>
        </w:rPr>
        <w:t xml:space="preserve"> sector </w:t>
      </w:r>
      <w:r w:rsidR="2F63DB27">
        <w:rPr>
          <w:noProof/>
        </w:rPr>
        <w:t>by the year</w:t>
      </w:r>
      <w:r w:rsidR="0C641D4C">
        <w:rPr>
          <w:noProof/>
        </w:rPr>
        <w:t xml:space="preserve"> 2030</w:t>
      </w:r>
      <w:r w:rsidRPr="36EBDCF3">
        <w:rPr>
          <w:rStyle w:val="FootnoteReference"/>
          <w:noProof/>
          <w:color w:val="000000" w:themeColor="text1"/>
        </w:rPr>
        <w:t xml:space="preserve"> </w:t>
      </w:r>
      <w:r w:rsidR="00800BE2">
        <w:rPr>
          <w:noProof/>
        </w:rPr>
        <w:t xml:space="preserve">compared to </w:t>
      </w:r>
      <w:r w:rsidR="005B4E85">
        <w:rPr>
          <w:noProof/>
        </w:rPr>
        <w:t>a</w:t>
      </w:r>
      <w:r w:rsidR="00C23820">
        <w:rPr>
          <w:noProof/>
        </w:rPr>
        <w:t xml:space="preserve"> </w:t>
      </w:r>
      <w:r w:rsidR="00DF57B2">
        <w:rPr>
          <w:noProof/>
        </w:rPr>
        <w:t>baseline</w:t>
      </w:r>
      <w:r w:rsidR="00C23820">
        <w:rPr>
          <w:noProof/>
        </w:rPr>
        <w:t xml:space="preserve"> scenario without </w:t>
      </w:r>
      <w:r w:rsidR="006655D3">
        <w:rPr>
          <w:noProof/>
        </w:rPr>
        <w:t>such</w:t>
      </w:r>
      <w:r w:rsidR="00C23820">
        <w:rPr>
          <w:noProof/>
        </w:rPr>
        <w:t xml:space="preserve"> </w:t>
      </w:r>
      <w:r w:rsidR="00DF57B2">
        <w:rPr>
          <w:noProof/>
        </w:rPr>
        <w:t>policies in place</w:t>
      </w:r>
      <w:r w:rsidR="00800BE2">
        <w:rPr>
          <w:noProof/>
        </w:rPr>
        <w:t>.</w:t>
      </w:r>
      <w:r w:rsidR="003326F1" w:rsidRPr="09CA0190">
        <w:rPr>
          <w:rStyle w:val="FootnoteReference"/>
          <w:noProof/>
          <w:color w:val="000000" w:themeColor="text1"/>
        </w:rPr>
        <w:footnoteReference w:id="226"/>
      </w:r>
      <w:r w:rsidRPr="000272AD">
        <w:rPr>
          <w:noProof/>
        </w:rPr>
        <w:t xml:space="preserve"> </w:t>
      </w:r>
    </w:p>
    <w:p w14:paraId="207DE749" w14:textId="79DD88B1" w:rsidR="00285741" w:rsidRPr="00EF3683" w:rsidRDefault="00285741">
      <w:pPr>
        <w:pStyle w:val="Text2"/>
        <w:tabs>
          <w:tab w:val="clear" w:pos="2302"/>
          <w:tab w:val="left" w:pos="851"/>
          <w:tab w:val="left" w:pos="2127"/>
        </w:tabs>
        <w:spacing w:after="120"/>
        <w:ind w:left="0"/>
        <w:rPr>
          <w:noProof/>
        </w:rPr>
      </w:pPr>
      <w:r w:rsidRPr="000272AD">
        <w:rPr>
          <w:b/>
          <w:noProof/>
        </w:rPr>
        <w:t>INV 2</w:t>
      </w:r>
      <w:r w:rsidRPr="00BC44C5">
        <w:rPr>
          <w:b/>
          <w:noProof/>
        </w:rPr>
        <w:t xml:space="preserve"> </w:t>
      </w:r>
      <w:r w:rsidRPr="000272AD">
        <w:rPr>
          <w:noProof/>
        </w:rPr>
        <w:t xml:space="preserve">- Impacts described under PO1 remain valid for PO2 and are expected to contribute to an increase in employment and the creation of quality jobs. Mandatory measures would more effectively prevent </w:t>
      </w:r>
      <w:r w:rsidR="004A476E" w:rsidRPr="00CF06C8">
        <w:rPr>
          <w:noProof/>
        </w:rPr>
        <w:t xml:space="preserve">companies </w:t>
      </w:r>
      <w:r w:rsidR="004B324A" w:rsidRPr="00CF06C8">
        <w:rPr>
          <w:noProof/>
        </w:rPr>
        <w:t>from cir</w:t>
      </w:r>
      <w:r w:rsidR="004A476E" w:rsidRPr="00CF06C8">
        <w:rPr>
          <w:noProof/>
        </w:rPr>
        <w:t>cumventing</w:t>
      </w:r>
      <w:r w:rsidR="004B324A" w:rsidRPr="00CF06C8">
        <w:rPr>
          <w:noProof/>
        </w:rPr>
        <w:t xml:space="preserve"> </w:t>
      </w:r>
      <w:r w:rsidRPr="00CF06C8">
        <w:rPr>
          <w:noProof/>
        </w:rPr>
        <w:t xml:space="preserve">staffing requirements </w:t>
      </w:r>
      <w:r w:rsidR="00E10AA2" w:rsidRPr="00CF06C8">
        <w:rPr>
          <w:noProof/>
        </w:rPr>
        <w:t>by removing the possibility for investors to choose Member States without such obligations</w:t>
      </w:r>
      <w:r w:rsidRPr="00CF06C8">
        <w:rPr>
          <w:noProof/>
        </w:rPr>
        <w:t xml:space="preserve">, thereby better safeguarding the homogeneity of the Single Market. The implementation of these conditionalities would build on existing FDI screening structures in Member States, with designated authorities ensuring that employment and training commitments are met. </w:t>
      </w:r>
      <w:r w:rsidR="00A9012F" w:rsidRPr="00CF06C8">
        <w:rPr>
          <w:noProof/>
        </w:rPr>
        <w:t xml:space="preserve">This may require some procedural adjustments where Member States currently apply limited or no staffing-related conditions. </w:t>
      </w:r>
    </w:p>
    <w:p w14:paraId="191E9178" w14:textId="77777777" w:rsidR="00285741" w:rsidRPr="00310056" w:rsidRDefault="00285741" w:rsidP="00285741">
      <w:pPr>
        <w:pStyle w:val="Heading3"/>
        <w:numPr>
          <w:ilvl w:val="2"/>
          <w:numId w:val="64"/>
        </w:numPr>
        <w:spacing w:line="276" w:lineRule="auto"/>
        <w:ind w:hanging="153"/>
        <w:rPr>
          <w:b/>
          <w:i w:val="0"/>
        </w:rPr>
      </w:pPr>
      <w:r w:rsidRPr="00310056">
        <w:rPr>
          <w:b/>
          <w:i w:val="0"/>
        </w:rPr>
        <w:t>Environmental impacts</w:t>
      </w:r>
    </w:p>
    <w:p w14:paraId="44BF7A0A" w14:textId="77777777" w:rsidR="00285741" w:rsidRDefault="00285741">
      <w:pPr>
        <w:pStyle w:val="Text2"/>
        <w:spacing w:after="120"/>
        <w:ind w:left="0"/>
        <w:rPr>
          <w:noProof/>
        </w:rPr>
      </w:pPr>
      <w:r>
        <w:rPr>
          <w:b/>
          <w:bCs/>
          <w:noProof/>
        </w:rPr>
        <w:t xml:space="preserve">LAB 2 </w:t>
      </w:r>
      <w:r>
        <w:rPr>
          <w:noProof/>
        </w:rPr>
        <w:t xml:space="preserve">would support the decarbonisation of the steel industry, which is one of the most emission-intensive industrial </w:t>
      </w:r>
      <w:r w:rsidRPr="00801C0E">
        <w:rPr>
          <w:noProof/>
        </w:rPr>
        <w:t>sectors</w:t>
      </w:r>
      <w:r>
        <w:rPr>
          <w:noProof/>
        </w:rPr>
        <w:t>, representing almost 20% of the industrial GHG emissions in the EU. In fact, t</w:t>
      </w:r>
      <w:r w:rsidRPr="00464387">
        <w:rPr>
          <w:noProof/>
        </w:rPr>
        <w:t xml:space="preserve">he introduction of an EU-wide label based on reliable and verified data and a uniform methodology can improve the understanding of what </w:t>
      </w:r>
      <w:r w:rsidRPr="00801C0E">
        <w:rPr>
          <w:noProof/>
        </w:rPr>
        <w:t>constitutes</w:t>
      </w:r>
      <w:r w:rsidRPr="00464387">
        <w:rPr>
          <w:noProof/>
        </w:rPr>
        <w:t xml:space="preserve"> steel with lower </w:t>
      </w:r>
      <w:r>
        <w:rPr>
          <w:noProof/>
        </w:rPr>
        <w:t xml:space="preserve">carbon footprint </w:t>
      </w:r>
      <w:r w:rsidRPr="00464387">
        <w:rPr>
          <w:noProof/>
        </w:rPr>
        <w:t>impact. </w:t>
      </w:r>
      <w:r>
        <w:rPr>
          <w:noProof/>
        </w:rPr>
        <w:t xml:space="preserve">The exact impact would depend on three key parameters: </w:t>
      </w:r>
    </w:p>
    <w:p w14:paraId="00B9BC7C" w14:textId="77777777" w:rsidR="00285741" w:rsidRPr="000272AD" w:rsidRDefault="00285741" w:rsidP="00285741">
      <w:pPr>
        <w:pStyle w:val="Text2"/>
        <w:numPr>
          <w:ilvl w:val="0"/>
          <w:numId w:val="50"/>
        </w:numPr>
        <w:spacing w:after="120"/>
        <w:rPr>
          <w:noProof/>
        </w:rPr>
      </w:pPr>
      <w:r w:rsidRPr="00221F29">
        <w:rPr>
          <w:noProof/>
        </w:rPr>
        <w:t>The scope of the GHG emission information provided by the label.</w:t>
      </w:r>
    </w:p>
    <w:p w14:paraId="70809545" w14:textId="77777777" w:rsidR="00285741" w:rsidRPr="000272AD" w:rsidRDefault="00285741" w:rsidP="00285741">
      <w:pPr>
        <w:pStyle w:val="Text2"/>
        <w:numPr>
          <w:ilvl w:val="0"/>
          <w:numId w:val="51"/>
        </w:numPr>
        <w:spacing w:after="120"/>
        <w:rPr>
          <w:noProof/>
        </w:rPr>
      </w:pPr>
      <w:r w:rsidRPr="00221F29">
        <w:rPr>
          <w:noProof/>
        </w:rPr>
        <w:t>The label’s ability to ensure comparability across products and producers</w:t>
      </w:r>
      <w:r>
        <w:rPr>
          <w:noProof/>
        </w:rPr>
        <w:t>.</w:t>
      </w:r>
    </w:p>
    <w:p w14:paraId="0FEB6910" w14:textId="77777777" w:rsidR="00285741" w:rsidRPr="000272AD" w:rsidRDefault="00285741" w:rsidP="00285741">
      <w:pPr>
        <w:pStyle w:val="Text2"/>
        <w:numPr>
          <w:ilvl w:val="0"/>
          <w:numId w:val="51"/>
        </w:numPr>
        <w:spacing w:after="120"/>
        <w:rPr>
          <w:noProof/>
        </w:rPr>
      </w:pPr>
      <w:r w:rsidRPr="00BC44C5">
        <w:rPr>
          <w:noProof/>
        </w:rPr>
        <w:t>The attractiveness and use of the voluntary label by companies.</w:t>
      </w:r>
      <w:r w:rsidRPr="006F51E1">
        <w:rPr>
          <w:noProof/>
        </w:rPr>
        <w:t> </w:t>
      </w:r>
    </w:p>
    <w:p w14:paraId="552A4688" w14:textId="057E7D52" w:rsidR="00285741" w:rsidRPr="000272AD" w:rsidRDefault="00285741">
      <w:pPr>
        <w:pStyle w:val="Text2"/>
        <w:spacing w:after="120"/>
        <w:ind w:left="0"/>
        <w:rPr>
          <w:noProof/>
        </w:rPr>
      </w:pPr>
      <w:r w:rsidRPr="000272AD">
        <w:rPr>
          <w:noProof/>
        </w:rPr>
        <w:t>As explained in more detail in Annex 12, up to 78% of GHG emissions (in case of primary steel, up to 60% in case of secondary) can be covered by a label relying on direct industrial GHG emissions covered by</w:t>
      </w:r>
      <w:r w:rsidR="00E97DBD" w:rsidRPr="00E97DBD">
        <w:rPr>
          <w:noProof/>
        </w:rPr>
        <w:t xml:space="preserve"> </w:t>
      </w:r>
      <w:r w:rsidR="00E97DBD">
        <w:rPr>
          <w:noProof/>
        </w:rPr>
        <w:t>EU</w:t>
      </w:r>
      <w:r w:rsidRPr="000272AD">
        <w:rPr>
          <w:noProof/>
        </w:rPr>
        <w:t xml:space="preserve"> ETS as well as indirect emissions from electricity, heat and hydrogen use. Besides, the comparability across products and producers can be effectively ensured by </w:t>
      </w:r>
      <w:r>
        <w:rPr>
          <w:noProof/>
        </w:rPr>
        <w:t>integrating classes of performance in the label, based on clear quantitative GHG-intensity thresholds. To maximi</w:t>
      </w:r>
      <w:r w:rsidR="004F19B7">
        <w:rPr>
          <w:noProof/>
        </w:rPr>
        <w:t>s</w:t>
      </w:r>
      <w:r>
        <w:rPr>
          <w:noProof/>
        </w:rPr>
        <w:t xml:space="preserve">e the comparability of diverse production pathways, the performance class thresholds could be adjusted in line with the amount of scrap used. Multiple types of information, in addition to indicating a performance class under the classification system, could be added, such as the actual GHG emission intensity or the amount of recycled content used in the product. It must be noted that during stakeholder consultations, the use of a sliding scale for differentiating the performance classes or of an alternative classification method not as a function of scrap was highly debated with no clear preference or compromise solution within industry. </w:t>
      </w:r>
    </w:p>
    <w:p w14:paraId="51E0A054" w14:textId="2B59F1C1" w:rsidR="00285741" w:rsidRPr="00121E98" w:rsidRDefault="273E514D">
      <w:pPr>
        <w:pStyle w:val="Text2"/>
        <w:spacing w:after="120"/>
        <w:ind w:left="0"/>
        <w:rPr>
          <w:noProof/>
          <w:color w:val="1F2427"/>
        </w:rPr>
      </w:pPr>
      <w:r w:rsidRPr="79121208">
        <w:rPr>
          <w:b/>
          <w:bCs/>
          <w:noProof/>
          <w:color w:val="1F2427"/>
        </w:rPr>
        <w:t xml:space="preserve">LEAD_EII 2 </w:t>
      </w:r>
      <w:r w:rsidR="00825204">
        <w:rPr>
          <w:noProof/>
          <w:color w:val="1F2427"/>
        </w:rPr>
        <w:t>–</w:t>
      </w:r>
      <w:r w:rsidR="1FC69D52" w:rsidRPr="79121208">
        <w:rPr>
          <w:noProof/>
          <w:color w:val="1F2427"/>
        </w:rPr>
        <w:t xml:space="preserve"> </w:t>
      </w:r>
      <w:r w:rsidR="000E7A17">
        <w:rPr>
          <w:noProof/>
          <w:color w:val="000000" w:themeColor="text1"/>
        </w:rPr>
        <w:t xml:space="preserve">could </w:t>
      </w:r>
      <w:r w:rsidR="000E7A17" w:rsidRPr="79121208">
        <w:rPr>
          <w:noProof/>
          <w:color w:val="000000" w:themeColor="text1"/>
        </w:rPr>
        <w:t>have</w:t>
      </w:r>
      <w:r w:rsidR="1AAFB490" w:rsidRPr="79121208">
        <w:rPr>
          <w:noProof/>
          <w:color w:val="000000" w:themeColor="text1"/>
        </w:rPr>
        <w:t xml:space="preserve"> a bigger </w:t>
      </w:r>
      <w:r w:rsidR="000E7A17">
        <w:rPr>
          <w:noProof/>
          <w:color w:val="000000" w:themeColor="text1"/>
        </w:rPr>
        <w:t xml:space="preserve">environmental </w:t>
      </w:r>
      <w:r w:rsidR="1AAFB490" w:rsidRPr="79121208">
        <w:rPr>
          <w:noProof/>
          <w:color w:val="000000" w:themeColor="text1"/>
        </w:rPr>
        <w:t>impact than PO1</w:t>
      </w:r>
      <w:r w:rsidR="5286A96C" w:rsidRPr="79121208">
        <w:rPr>
          <w:noProof/>
          <w:color w:val="000000" w:themeColor="text1"/>
        </w:rPr>
        <w:t>,</w:t>
      </w:r>
      <w:r w:rsidR="1AAFB490" w:rsidRPr="79121208">
        <w:rPr>
          <w:noProof/>
          <w:color w:val="000000" w:themeColor="text1"/>
        </w:rPr>
        <w:t xml:space="preserve"> as mandating made in EU requirements </w:t>
      </w:r>
      <w:r w:rsidR="001D0B14">
        <w:rPr>
          <w:noProof/>
          <w:color w:val="000000" w:themeColor="text1"/>
        </w:rPr>
        <w:t>could</w:t>
      </w:r>
      <w:r w:rsidR="1AAFB490" w:rsidRPr="79121208">
        <w:rPr>
          <w:noProof/>
          <w:color w:val="000000" w:themeColor="text1"/>
        </w:rPr>
        <w:t xml:space="preserve"> lower </w:t>
      </w:r>
      <w:r w:rsidR="00D53E77">
        <w:rPr>
          <w:noProof/>
          <w:color w:val="000000" w:themeColor="text1"/>
        </w:rPr>
        <w:t xml:space="preserve">transport </w:t>
      </w:r>
      <w:r w:rsidR="348DA02B" w:rsidRPr="79121208">
        <w:rPr>
          <w:noProof/>
          <w:color w:val="000000" w:themeColor="text1"/>
        </w:rPr>
        <w:t xml:space="preserve">emissions associated with </w:t>
      </w:r>
      <w:r w:rsidR="00D53E77">
        <w:rPr>
          <w:noProof/>
          <w:color w:val="000000" w:themeColor="text1"/>
        </w:rPr>
        <w:t>imports</w:t>
      </w:r>
      <w:r w:rsidR="348DA02B" w:rsidRPr="79121208">
        <w:rPr>
          <w:noProof/>
          <w:color w:val="000000" w:themeColor="text1"/>
        </w:rPr>
        <w:t>.</w:t>
      </w:r>
      <w:r w:rsidR="007E7B92">
        <w:rPr>
          <w:noProof/>
          <w:color w:val="000000" w:themeColor="text1"/>
        </w:rPr>
        <w:t xml:space="preserve"> </w:t>
      </w:r>
      <w:r w:rsidR="348DA02B" w:rsidRPr="79121208">
        <w:rPr>
          <w:noProof/>
          <w:color w:val="000000" w:themeColor="text1"/>
        </w:rPr>
        <w:t>These are however not quantified in the calculation on reduction of GHG emissions</w:t>
      </w:r>
      <w:r w:rsidR="00CD2D1C">
        <w:rPr>
          <w:noProof/>
          <w:color w:val="000000" w:themeColor="text1"/>
        </w:rPr>
        <w:t xml:space="preserve">, </w:t>
      </w:r>
      <w:r w:rsidR="005E5FBF">
        <w:rPr>
          <w:noProof/>
          <w:color w:val="000000" w:themeColor="text1"/>
        </w:rPr>
        <w:t>since they</w:t>
      </w:r>
      <w:r w:rsidR="00CD2D1C">
        <w:rPr>
          <w:noProof/>
          <w:color w:val="000000" w:themeColor="text1"/>
        </w:rPr>
        <w:t xml:space="preserve"> would </w:t>
      </w:r>
      <w:r w:rsidR="005E5FBF">
        <w:rPr>
          <w:noProof/>
          <w:color w:val="000000" w:themeColor="text1"/>
        </w:rPr>
        <w:t>require</w:t>
      </w:r>
      <w:r w:rsidR="00F23474">
        <w:rPr>
          <w:noProof/>
          <w:color w:val="000000" w:themeColor="text1"/>
        </w:rPr>
        <w:t xml:space="preserve"> </w:t>
      </w:r>
      <w:r w:rsidR="00F9768A">
        <w:rPr>
          <w:noProof/>
          <w:color w:val="000000" w:themeColor="text1"/>
        </w:rPr>
        <w:t xml:space="preserve">a </w:t>
      </w:r>
      <w:r w:rsidR="00F9768A">
        <w:rPr>
          <w:noProof/>
          <w:color w:val="000000" w:themeColor="text1"/>
        </w:rPr>
        <w:lastRenderedPageBreak/>
        <w:t>comparison between the domestic and imported material under an established</w:t>
      </w:r>
      <w:r w:rsidR="00F23474">
        <w:rPr>
          <w:noProof/>
          <w:color w:val="000000" w:themeColor="text1"/>
        </w:rPr>
        <w:t xml:space="preserve"> </w:t>
      </w:r>
      <w:r w:rsidR="005C14D0">
        <w:rPr>
          <w:noProof/>
          <w:color w:val="000000" w:themeColor="text1"/>
        </w:rPr>
        <w:t xml:space="preserve">low-carbon </w:t>
      </w:r>
      <w:r w:rsidR="00F23474">
        <w:rPr>
          <w:noProof/>
          <w:color w:val="000000" w:themeColor="text1"/>
        </w:rPr>
        <w:t>methodolog</w:t>
      </w:r>
      <w:r w:rsidR="0068642C">
        <w:rPr>
          <w:noProof/>
          <w:color w:val="000000" w:themeColor="text1"/>
        </w:rPr>
        <w:t>y.</w:t>
      </w:r>
    </w:p>
    <w:p w14:paraId="317396F3" w14:textId="77777777" w:rsidR="00285741" w:rsidRPr="002C06D3" w:rsidRDefault="7C355CBF">
      <w:pPr>
        <w:pStyle w:val="Text2"/>
        <w:spacing w:after="120"/>
        <w:ind w:left="0"/>
        <w:rPr>
          <w:noProof/>
        </w:rPr>
      </w:pPr>
      <w:r w:rsidRPr="1A2A8689">
        <w:rPr>
          <w:b/>
          <w:bCs/>
          <w:noProof/>
        </w:rPr>
        <w:t>PERM 2</w:t>
      </w:r>
      <w:r w:rsidRPr="000272AD">
        <w:rPr>
          <w:noProof/>
        </w:rPr>
        <w:t xml:space="preserve"> -</w:t>
      </w:r>
      <w:r>
        <w:rPr>
          <w:noProof/>
        </w:rPr>
        <w:t xml:space="preserve"> The designation of a one-stop-shop and streamlining of different assessments could prove to have a positive impact on the environment, as it enables a more comprehensive information base for decision-making. Moreover, by providing a set time limit of 18 months for decarbonisation </w:t>
      </w:r>
      <w:r w:rsidRPr="00801C0E">
        <w:rPr>
          <w:noProof/>
        </w:rPr>
        <w:t xml:space="preserve">of </w:t>
      </w:r>
      <w:r>
        <w:rPr>
          <w:noProof/>
        </w:rPr>
        <w:t>energy intensive industrial projects, the EU could gain up to 30 months of decreased emissions from industrial projects on the most extreme cases, thus speeding up GHG emission reductions.</w:t>
      </w:r>
      <w:r w:rsidR="00285741" w:rsidRPr="00C910D1">
        <w:rPr>
          <w:noProof/>
          <w:vertAlign w:val="superscript"/>
        </w:rPr>
        <w:footnoteReference w:id="227"/>
      </w:r>
      <w:r>
        <w:rPr>
          <w:noProof/>
        </w:rPr>
        <w:t xml:space="preserve"> </w:t>
      </w:r>
    </w:p>
    <w:p w14:paraId="3A72B95A" w14:textId="2823A057" w:rsidR="00285741" w:rsidRDefault="00285741">
      <w:pPr>
        <w:pStyle w:val="Text2"/>
        <w:tabs>
          <w:tab w:val="left" w:pos="851"/>
          <w:tab w:val="left" w:pos="2127"/>
        </w:tabs>
        <w:spacing w:after="120"/>
        <w:ind w:left="0"/>
        <w:rPr>
          <w:noProof/>
        </w:rPr>
      </w:pPr>
      <w:r>
        <w:rPr>
          <w:noProof/>
        </w:rPr>
        <w:t xml:space="preserve">The use of the overriding public interest (OPI) provisions is allowed under the current environmental legislative framework. This provision does not prevent the need for planning and assessing environmental effects under relevant legislation (Water Framework Directive, Habitats Directive,) and therefore does not necessarily accelerate the speed of the assessments. It will provide however the </w:t>
      </w:r>
      <w:r w:rsidRPr="0AD51DF7">
        <w:rPr>
          <w:noProof/>
          <w:color w:val="333333"/>
        </w:rPr>
        <w:t>most favourable procedure available in Member States’ planning and permit-granting procedures, while requiring</w:t>
      </w:r>
      <w:r>
        <w:rPr>
          <w:noProof/>
        </w:rPr>
        <w:t xml:space="preserve"> that all other conditions are also met</w:t>
      </w:r>
      <w:r w:rsidRPr="0AD51DF7">
        <w:rPr>
          <w:noProof/>
          <w:color w:val="333333"/>
        </w:rPr>
        <w:t>.</w:t>
      </w:r>
      <w:r>
        <w:rPr>
          <w:noProof/>
        </w:rPr>
        <w:t xml:space="preserve"> Overriding public interest considerations enable projects to go ahead upon some conditions even in case of a negative assessment for the project, so certain environmental impacts can be expected. However, any authorisation under the overriding public interest considerations must provide adequate compensation measures to offset environmental adverse effects, as provided in relevant legislation</w:t>
      </w:r>
      <w:r w:rsidR="00FE27C1">
        <w:rPr>
          <w:noProof/>
        </w:rPr>
        <w:t>.</w:t>
      </w:r>
      <w:r w:rsidR="000F0D79">
        <w:rPr>
          <w:noProof/>
        </w:rPr>
        <w:t xml:space="preserve"> F</w:t>
      </w:r>
      <w:r>
        <w:rPr>
          <w:noProof/>
        </w:rPr>
        <w:t xml:space="preserve">inally, regulatory sandboxes would be accompanied by a framework setting the necessary limitations to prevent any unintended </w:t>
      </w:r>
      <w:r w:rsidR="00F71CC7">
        <w:rPr>
          <w:noProof/>
        </w:rPr>
        <w:t xml:space="preserve">environmental </w:t>
      </w:r>
      <w:r>
        <w:rPr>
          <w:noProof/>
        </w:rPr>
        <w:t>consequences. Sandboxes would always be limited in time and scope, as well as accompanied by appropriate mitigation measures.</w:t>
      </w:r>
    </w:p>
    <w:p w14:paraId="5E3D79B3" w14:textId="77777777" w:rsidR="00285741" w:rsidRPr="00310056" w:rsidRDefault="00285741" w:rsidP="00285741">
      <w:pPr>
        <w:pStyle w:val="Heading2"/>
        <w:keepLines w:val="0"/>
        <w:numPr>
          <w:ilvl w:val="1"/>
          <w:numId w:val="64"/>
        </w:numPr>
        <w:tabs>
          <w:tab w:val="num" w:pos="1418"/>
        </w:tabs>
        <w:spacing w:after="120"/>
        <w:ind w:left="567" w:firstLine="0"/>
      </w:pPr>
      <w:bookmarkStart w:id="78" w:name="_Toc211984404"/>
      <w:bookmarkStart w:id="79" w:name="_Toc222489989"/>
      <w:r w:rsidRPr="00310056">
        <w:t>POLICY OPTION 3</w:t>
      </w:r>
      <w:bookmarkEnd w:id="78"/>
      <w:bookmarkEnd w:id="79"/>
    </w:p>
    <w:p w14:paraId="7772B738" w14:textId="77777777" w:rsidR="00285741" w:rsidRPr="00310056" w:rsidRDefault="00285741" w:rsidP="00285741">
      <w:pPr>
        <w:pStyle w:val="Heading3"/>
        <w:numPr>
          <w:ilvl w:val="2"/>
          <w:numId w:val="64"/>
        </w:numPr>
        <w:spacing w:line="276" w:lineRule="auto"/>
        <w:ind w:hanging="153"/>
        <w:rPr>
          <w:b/>
          <w:i w:val="0"/>
        </w:rPr>
      </w:pPr>
      <w:r w:rsidRPr="00310056">
        <w:rPr>
          <w:b/>
          <w:i w:val="0"/>
        </w:rPr>
        <w:t>Economic impacts</w:t>
      </w:r>
    </w:p>
    <w:p w14:paraId="06EBCE77" w14:textId="77777777" w:rsidR="00285741" w:rsidRPr="0023695A" w:rsidRDefault="00285741" w:rsidP="00285741">
      <w:pPr>
        <w:pStyle w:val="Heading4"/>
        <w:numPr>
          <w:ilvl w:val="3"/>
          <w:numId w:val="64"/>
        </w:numPr>
        <w:spacing w:after="120"/>
        <w:ind w:left="142" w:firstLine="129"/>
        <w:rPr>
          <w:b/>
          <w:bCs/>
          <w:noProof/>
          <w:color w:val="auto"/>
        </w:rPr>
      </w:pPr>
      <w:r w:rsidRPr="00195EC6">
        <w:rPr>
          <w:b/>
          <w:bCs/>
          <w:noProof/>
          <w:color w:val="auto"/>
        </w:rPr>
        <w:t xml:space="preserve">Impact on companies </w:t>
      </w:r>
    </w:p>
    <w:p w14:paraId="64DE9EE6" w14:textId="42C0DF00" w:rsidR="00285741" w:rsidRDefault="7C355CBF" w:rsidP="1A2A8689">
      <w:pPr>
        <w:pStyle w:val="Text2"/>
        <w:tabs>
          <w:tab w:val="clear" w:pos="2302"/>
        </w:tabs>
        <w:spacing w:after="120"/>
        <w:ind w:left="0"/>
        <w:rPr>
          <w:b/>
          <w:bCs/>
          <w:noProof/>
        </w:rPr>
      </w:pPr>
      <w:r w:rsidRPr="61003A5B">
        <w:rPr>
          <w:b/>
          <w:bCs/>
          <w:noProof/>
        </w:rPr>
        <w:t xml:space="preserve">LEAD_EII 3 </w:t>
      </w:r>
      <w:r w:rsidR="7F7BA89E" w:rsidRPr="61003A5B">
        <w:rPr>
          <w:b/>
          <w:bCs/>
          <w:noProof/>
        </w:rPr>
        <w:t xml:space="preserve">- </w:t>
      </w:r>
      <w:r w:rsidR="1CB3154B" w:rsidRPr="00CD726F">
        <w:rPr>
          <w:noProof/>
        </w:rPr>
        <w:t>exte</w:t>
      </w:r>
      <w:r w:rsidR="1CB3154B">
        <w:rPr>
          <w:noProof/>
        </w:rPr>
        <w:t>nds low-carbon</w:t>
      </w:r>
      <w:r w:rsidR="1CB3154B" w:rsidRPr="61003A5B">
        <w:rPr>
          <w:noProof/>
          <w:color w:val="000000" w:themeColor="text1"/>
        </w:rPr>
        <w:t xml:space="preserve"> </w:t>
      </w:r>
      <w:r w:rsidR="00CD726F">
        <w:rPr>
          <w:noProof/>
          <w:color w:val="000000" w:themeColor="text1"/>
        </w:rPr>
        <w:t xml:space="preserve">and Made in EU </w:t>
      </w:r>
      <w:r w:rsidR="1CB3154B" w:rsidRPr="61003A5B">
        <w:rPr>
          <w:noProof/>
          <w:color w:val="000000" w:themeColor="text1"/>
        </w:rPr>
        <w:t xml:space="preserve">requirements </w:t>
      </w:r>
      <w:r w:rsidR="00CD726F">
        <w:rPr>
          <w:noProof/>
          <w:color w:val="000000" w:themeColor="text1"/>
        </w:rPr>
        <w:t>to the steel, cement and aluminium used</w:t>
      </w:r>
      <w:r w:rsidR="1CB3154B" w:rsidRPr="61003A5B">
        <w:rPr>
          <w:noProof/>
          <w:color w:val="000000" w:themeColor="text1"/>
        </w:rPr>
        <w:t xml:space="preserve"> </w:t>
      </w:r>
      <w:r w:rsidR="00CD726F">
        <w:rPr>
          <w:noProof/>
          <w:color w:val="000000" w:themeColor="text1"/>
        </w:rPr>
        <w:t xml:space="preserve">in </w:t>
      </w:r>
      <w:r w:rsidR="1CB3154B" w:rsidRPr="61003A5B">
        <w:rPr>
          <w:noProof/>
          <w:color w:val="000000" w:themeColor="text1"/>
        </w:rPr>
        <w:t xml:space="preserve">all vehicles and construction products placed on the market. </w:t>
      </w:r>
    </w:p>
    <w:p w14:paraId="2242E6BC" w14:textId="77777777" w:rsidR="00002C57" w:rsidRDefault="1CB3154B" w:rsidP="00002C57">
      <w:pPr>
        <w:pStyle w:val="Text2"/>
        <w:spacing w:after="120"/>
        <w:ind w:left="0"/>
        <w:rPr>
          <w:noProof/>
          <w:color w:val="000000" w:themeColor="text1"/>
        </w:rPr>
      </w:pPr>
      <w:r w:rsidRPr="61003A5B">
        <w:rPr>
          <w:noProof/>
          <w:color w:val="000000" w:themeColor="text1"/>
        </w:rPr>
        <w:t>Extending requirements to all products in the automotive and construction sectors would drive the broader market transformation needed for systemic decarbonisation of EIIs, particularly in steel, where public procurement covers only a limited share of total consumption. By creating large-volume and predictable demand, these measures would send long-term market signals necessary to unlock investment in low-carbon technologies.</w:t>
      </w:r>
      <w:r w:rsidR="006C19B3">
        <w:rPr>
          <w:noProof/>
          <w:color w:val="000000" w:themeColor="text1"/>
        </w:rPr>
        <w:t xml:space="preserve"> </w:t>
      </w:r>
    </w:p>
    <w:p w14:paraId="7B61FF5B" w14:textId="10719A08" w:rsidR="00285741" w:rsidRPr="00AE4107" w:rsidRDefault="1CB3154B" w:rsidP="0AF02254">
      <w:pPr>
        <w:pStyle w:val="Text2"/>
        <w:spacing w:after="120"/>
        <w:ind w:left="0"/>
        <w:rPr>
          <w:noProof/>
          <w:vertAlign w:val="superscript"/>
        </w:rPr>
      </w:pPr>
      <w:r w:rsidRPr="00CF06C8">
        <w:rPr>
          <w:noProof/>
          <w:color w:val="000000" w:themeColor="text1"/>
        </w:rPr>
        <w:t>This predictability of future demand for low-carbon steel can help absorb part of the investment’s costs from the low-carbon technologies and has a high potential to further push investment decisions towards decarbonisation. In the EU steel sector, there are currently at least 29 announced steel decarbonisation projects, with a combined potential capacity of additional 41</w:t>
      </w:r>
      <w:r w:rsidR="00BE59D1" w:rsidRPr="00CF06C8">
        <w:rPr>
          <w:noProof/>
          <w:color w:val="000000" w:themeColor="text1"/>
        </w:rPr>
        <w:t xml:space="preserve"> Mtonnes </w:t>
      </w:r>
      <w:r w:rsidRPr="00CF06C8">
        <w:rPr>
          <w:noProof/>
          <w:color w:val="000000" w:themeColor="text1"/>
        </w:rPr>
        <w:t>of low-carbon steel per year by 2030, that have not yet reached the final investment stage. To that end, the proposed lead market measures, based on the current project pipeline, could unlock up to EUR 15.5 billion in investments</w:t>
      </w:r>
      <w:r w:rsidR="001E26DA" w:rsidRPr="00CF06C8">
        <w:rPr>
          <w:rStyle w:val="FootnoteReference"/>
          <w:noProof/>
          <w:color w:val="000000" w:themeColor="text1"/>
        </w:rPr>
        <w:footnoteReference w:id="228"/>
      </w:r>
      <w:r w:rsidRPr="00CF06C8">
        <w:rPr>
          <w:noProof/>
          <w:color w:val="000000" w:themeColor="text1"/>
        </w:rPr>
        <w:t xml:space="preserve"> covering approximately 15% </w:t>
      </w:r>
      <w:r w:rsidRPr="00CF06C8">
        <w:rPr>
          <w:noProof/>
          <w:color w:val="000000" w:themeColor="text1"/>
        </w:rPr>
        <w:lastRenderedPageBreak/>
        <w:t>of the sector’s EUR 100 billion total investment need by 20</w:t>
      </w:r>
      <w:r w:rsidR="00A34B34">
        <w:rPr>
          <w:noProof/>
          <w:color w:val="000000" w:themeColor="text1"/>
        </w:rPr>
        <w:t>50</w:t>
      </w:r>
      <w:r w:rsidRPr="00CF06C8">
        <w:rPr>
          <w:noProof/>
          <w:color w:val="000000" w:themeColor="text1"/>
        </w:rPr>
        <w:t xml:space="preserve">, as estimated </w:t>
      </w:r>
      <w:r w:rsidR="006157ED">
        <w:rPr>
          <w:noProof/>
          <w:color w:val="000000" w:themeColor="text1"/>
        </w:rPr>
        <w:t xml:space="preserve">in </w:t>
      </w:r>
      <w:r w:rsidR="006157ED">
        <w:rPr>
          <w:noProof/>
        </w:rPr>
        <w:t>the impact assessment for the 2040 climate target</w:t>
      </w:r>
      <w:r w:rsidR="00111EF5" w:rsidRPr="00CF06C8">
        <w:rPr>
          <w:noProof/>
          <w:color w:val="000000" w:themeColor="text1"/>
        </w:rPr>
        <w:t>.</w:t>
      </w:r>
      <w:r w:rsidR="00111EF5">
        <w:rPr>
          <w:bCs/>
          <w:noProof/>
        </w:rPr>
        <w:t xml:space="preserve"> </w:t>
      </w:r>
      <w:r w:rsidR="00111EF5">
        <w:rPr>
          <w:rStyle w:val="FootnoteReference"/>
          <w:bCs/>
          <w:noProof/>
        </w:rPr>
        <w:footnoteReference w:id="229"/>
      </w:r>
      <w:r w:rsidR="007173D9">
        <w:rPr>
          <w:bCs/>
          <w:noProof/>
          <w:vertAlign w:val="superscript"/>
        </w:rPr>
        <w:t xml:space="preserve">, </w:t>
      </w:r>
      <w:r w:rsidR="007173D9" w:rsidRPr="003A6409">
        <w:rPr>
          <w:rStyle w:val="FootnoteReference"/>
          <w:bCs/>
          <w:noProof/>
        </w:rPr>
        <w:footnoteReference w:id="230"/>
      </w:r>
      <w:r w:rsidR="00111EF5">
        <w:rPr>
          <w:bCs/>
          <w:noProof/>
        </w:rPr>
        <w:t xml:space="preserve"> </w:t>
      </w:r>
      <w:r w:rsidR="00111EF5" w:rsidRPr="003A6409">
        <w:rPr>
          <w:bCs/>
          <w:noProof/>
        </w:rPr>
        <w:t xml:space="preserve"> </w:t>
      </w:r>
    </w:p>
    <w:p w14:paraId="0E25B276" w14:textId="6A937D3B" w:rsidR="00285741" w:rsidRDefault="799B08BA" w:rsidP="00CD726F">
      <w:pPr>
        <w:spacing w:after="120"/>
        <w:rPr>
          <w:rFonts w:eastAsia="Times New Roman" w:cs="Times New Roman"/>
          <w:noProof/>
          <w:color w:val="000000" w:themeColor="text1"/>
          <w:szCs w:val="24"/>
        </w:rPr>
      </w:pPr>
      <w:r w:rsidRPr="1A2A8689">
        <w:rPr>
          <w:rFonts w:eastAsia="Times New Roman" w:cs="Times New Roman"/>
          <w:noProof/>
          <w:color w:val="000000" w:themeColor="text1"/>
          <w:szCs w:val="24"/>
        </w:rPr>
        <w:t xml:space="preserve">Furthermore, export-driven overcapacity in third countries </w:t>
      </w:r>
      <w:r w:rsidR="009015BE">
        <w:rPr>
          <w:rFonts w:eastAsia="Times New Roman" w:cs="Times New Roman"/>
          <w:noProof/>
          <w:color w:val="000000" w:themeColor="text1"/>
          <w:szCs w:val="24"/>
        </w:rPr>
        <w:t>today</w:t>
      </w:r>
      <w:r w:rsidRPr="1A2A8689">
        <w:rPr>
          <w:rFonts w:eastAsia="Times New Roman" w:cs="Times New Roman"/>
          <w:noProof/>
          <w:color w:val="000000" w:themeColor="text1"/>
          <w:szCs w:val="24"/>
        </w:rPr>
        <w:t xml:space="preserve"> leads to artificially low prices (notably for steel) and causes EU job losses and plant closures. Therefore, </w:t>
      </w:r>
      <w:r w:rsidR="00694680">
        <w:rPr>
          <w:rFonts w:eastAsia="Times New Roman" w:cs="Times New Roman"/>
          <w:noProof/>
          <w:color w:val="000000" w:themeColor="text1"/>
          <w:szCs w:val="24"/>
        </w:rPr>
        <w:t xml:space="preserve">this measure introduces </w:t>
      </w:r>
      <w:r w:rsidR="00FB08AC">
        <w:rPr>
          <w:rFonts w:eastAsia="Times New Roman" w:cs="Times New Roman"/>
          <w:noProof/>
          <w:color w:val="000000" w:themeColor="text1"/>
          <w:szCs w:val="24"/>
        </w:rPr>
        <w:t xml:space="preserve">higher </w:t>
      </w:r>
      <w:r w:rsidRPr="1A2A8689">
        <w:rPr>
          <w:rFonts w:eastAsia="Times New Roman" w:cs="Times New Roman"/>
          <w:b/>
          <w:bCs/>
          <w:noProof/>
          <w:color w:val="000000" w:themeColor="text1"/>
          <w:szCs w:val="24"/>
        </w:rPr>
        <w:t>Made in EU requirements</w:t>
      </w:r>
      <w:r w:rsidRPr="1A2A8689">
        <w:rPr>
          <w:rFonts w:eastAsia="Times New Roman" w:cs="Times New Roman"/>
          <w:noProof/>
          <w:color w:val="000000" w:themeColor="text1"/>
          <w:szCs w:val="24"/>
        </w:rPr>
        <w:t xml:space="preserve"> </w:t>
      </w:r>
      <w:r w:rsidR="00FB08AC">
        <w:rPr>
          <w:rFonts w:eastAsia="Times New Roman" w:cs="Times New Roman"/>
          <w:noProof/>
          <w:color w:val="000000" w:themeColor="text1"/>
          <w:szCs w:val="24"/>
        </w:rPr>
        <w:t xml:space="preserve">(targets of 85% for steel, 95% for cement and </w:t>
      </w:r>
      <w:r w:rsidR="00694680">
        <w:rPr>
          <w:rFonts w:eastAsia="Times New Roman" w:cs="Times New Roman"/>
          <w:noProof/>
          <w:color w:val="000000" w:themeColor="text1"/>
          <w:szCs w:val="24"/>
        </w:rPr>
        <w:t xml:space="preserve">70% for aluminium) to </w:t>
      </w:r>
      <w:r w:rsidRPr="1A2A8689">
        <w:rPr>
          <w:rFonts w:eastAsia="Times New Roman" w:cs="Times New Roman"/>
          <w:noProof/>
          <w:color w:val="000000" w:themeColor="text1"/>
          <w:szCs w:val="24"/>
        </w:rPr>
        <w:t>help safeguard security, redirect demand towards domestic producers, and improve the resilience of sectors like steel or aluminium that have lost market share over the past decade.</w:t>
      </w:r>
      <w:r w:rsidRPr="1A2A8689">
        <w:rPr>
          <w:rFonts w:eastAsia="Times New Roman" w:cs="Times New Roman"/>
          <w:noProof/>
          <w:color w:val="000000" w:themeColor="text1"/>
          <w:szCs w:val="24"/>
          <w:vertAlign w:val="superscript"/>
        </w:rPr>
        <w:t>209</w:t>
      </w:r>
      <w:r w:rsidRPr="1A2A8689">
        <w:rPr>
          <w:rFonts w:eastAsia="Times New Roman" w:cs="Times New Roman"/>
          <w:noProof/>
          <w:color w:val="000000" w:themeColor="text1"/>
          <w:szCs w:val="24"/>
        </w:rPr>
        <w:t xml:space="preserve"> There are two opposing effects of introducing Made in EU requirements. The first is the reduction in the production of cement, steel or aluminium due to the downstream sectors facing higher costs and reducing their demand for domestic production. Secondly, the cement, steel and aluminium industries will experience an increase in demand stemming from the Made in EU requirements</w:t>
      </w:r>
      <w:r w:rsidR="00643156">
        <w:rPr>
          <w:rFonts w:eastAsia="Times New Roman" w:cs="Times New Roman"/>
          <w:noProof/>
          <w:color w:val="000000" w:themeColor="text1"/>
          <w:szCs w:val="24"/>
        </w:rPr>
        <w:t xml:space="preserve"> as these </w:t>
      </w:r>
      <w:r w:rsidR="00E90CAD">
        <w:rPr>
          <w:rFonts w:eastAsia="Times New Roman" w:cs="Times New Roman"/>
          <w:noProof/>
          <w:color w:val="000000" w:themeColor="text1"/>
          <w:szCs w:val="24"/>
        </w:rPr>
        <w:t xml:space="preserve">would </w:t>
      </w:r>
      <w:r w:rsidR="006E0D87">
        <w:rPr>
          <w:rFonts w:eastAsia="Times New Roman" w:cs="Times New Roman"/>
          <w:noProof/>
          <w:color w:val="000000" w:themeColor="text1"/>
          <w:szCs w:val="24"/>
        </w:rPr>
        <w:t>lead to</w:t>
      </w:r>
      <w:r w:rsidR="00643156">
        <w:rPr>
          <w:rFonts w:eastAsia="Times New Roman" w:cs="Times New Roman"/>
          <w:noProof/>
          <w:color w:val="000000" w:themeColor="text1"/>
          <w:szCs w:val="24"/>
        </w:rPr>
        <w:t xml:space="preserve"> replac</w:t>
      </w:r>
      <w:r w:rsidR="006E375E">
        <w:rPr>
          <w:rFonts w:eastAsia="Times New Roman" w:cs="Times New Roman"/>
          <w:noProof/>
          <w:color w:val="000000" w:themeColor="text1"/>
          <w:szCs w:val="24"/>
        </w:rPr>
        <w:t>ing</w:t>
      </w:r>
      <w:r w:rsidR="00643156">
        <w:rPr>
          <w:rFonts w:eastAsia="Times New Roman" w:cs="Times New Roman"/>
          <w:noProof/>
          <w:color w:val="000000" w:themeColor="text1"/>
          <w:szCs w:val="24"/>
        </w:rPr>
        <w:t xml:space="preserve"> imports</w:t>
      </w:r>
      <w:r w:rsidR="006E375E">
        <w:rPr>
          <w:rFonts w:eastAsia="Times New Roman" w:cs="Times New Roman"/>
          <w:noProof/>
          <w:color w:val="000000" w:themeColor="text1"/>
          <w:szCs w:val="24"/>
        </w:rPr>
        <w:t xml:space="preserve"> from </w:t>
      </w:r>
      <w:r w:rsidR="006E0D87">
        <w:rPr>
          <w:rFonts w:eastAsia="Times New Roman" w:cs="Times New Roman"/>
          <w:noProof/>
          <w:color w:val="000000" w:themeColor="text1"/>
          <w:szCs w:val="24"/>
        </w:rPr>
        <w:t>non-EU countries</w:t>
      </w:r>
      <w:r w:rsidR="00E90CAD">
        <w:rPr>
          <w:rFonts w:eastAsia="Times New Roman" w:cs="Times New Roman"/>
          <w:noProof/>
          <w:color w:val="000000" w:themeColor="text1"/>
          <w:szCs w:val="24"/>
        </w:rPr>
        <w:t xml:space="preserve"> by domestic production</w:t>
      </w:r>
      <w:r w:rsidRPr="1A2A8689">
        <w:rPr>
          <w:rFonts w:eastAsia="Times New Roman" w:cs="Times New Roman"/>
          <w:noProof/>
          <w:color w:val="000000" w:themeColor="text1"/>
          <w:szCs w:val="24"/>
        </w:rPr>
        <w:t xml:space="preserve">. Overall, the second effect is greater than the first and translates into higher value added for these sectors. </w:t>
      </w:r>
    </w:p>
    <w:p w14:paraId="37D1FE99" w14:textId="21F5EACD" w:rsidR="00285741" w:rsidRDefault="00285741">
      <w:pPr>
        <w:pStyle w:val="Text2"/>
        <w:tabs>
          <w:tab w:val="clear" w:pos="2302"/>
        </w:tabs>
        <w:spacing w:after="120"/>
        <w:ind w:left="0"/>
        <w:rPr>
          <w:noProof/>
        </w:rPr>
      </w:pPr>
      <w:r>
        <w:rPr>
          <w:noProof/>
        </w:rPr>
        <w:t xml:space="preserve">Energy intensive sectors (cement, aluminium and steel) would benefit </w:t>
      </w:r>
      <w:r w:rsidRPr="00801C0E">
        <w:rPr>
          <w:noProof/>
        </w:rPr>
        <w:t xml:space="preserve">from </w:t>
      </w:r>
      <w:r w:rsidR="00694680">
        <w:rPr>
          <w:noProof/>
        </w:rPr>
        <w:t xml:space="preserve">higher targets </w:t>
      </w:r>
      <w:r w:rsidR="002A3FC8">
        <w:rPr>
          <w:noProof/>
        </w:rPr>
        <w:t>un</w:t>
      </w:r>
      <w:r>
        <w:rPr>
          <w:noProof/>
        </w:rPr>
        <w:t xml:space="preserve">der LEAD_EII 3, in a similar way as in LEAD_EII 2 but with a higher positive impact. </w:t>
      </w:r>
      <w:r w:rsidRPr="00052605">
        <w:rPr>
          <w:rFonts w:eastAsia="Calibri"/>
          <w:noProof/>
        </w:rPr>
        <w:t xml:space="preserve">In particular, for the EU cement industry, such benefits would represent </w:t>
      </w:r>
      <w:r w:rsidR="00213803">
        <w:rPr>
          <w:rFonts w:eastAsia="Calibri"/>
          <w:noProof/>
        </w:rPr>
        <w:t>3.09</w:t>
      </w:r>
      <w:r w:rsidRPr="00052605">
        <w:rPr>
          <w:rFonts w:eastAsia="Calibri"/>
          <w:noProof/>
        </w:rPr>
        <w:t xml:space="preserve">% </w:t>
      </w:r>
      <w:r w:rsidR="001B6A0C">
        <w:rPr>
          <w:rFonts w:eastAsia="Calibri"/>
          <w:noProof/>
        </w:rPr>
        <w:t>(</w:t>
      </w:r>
      <w:r w:rsidRPr="00055D5F">
        <w:rPr>
          <w:rFonts w:eastAsia="Calibri"/>
          <w:noProof/>
        </w:rPr>
        <w:t>EUR</w:t>
      </w:r>
      <w:r>
        <w:rPr>
          <w:rFonts w:eastAsia="Calibri"/>
          <w:noProof/>
        </w:rPr>
        <w:t xml:space="preserve"> </w:t>
      </w:r>
      <w:r w:rsidR="00665687">
        <w:rPr>
          <w:rFonts w:eastAsia="Calibri"/>
          <w:noProof/>
        </w:rPr>
        <w:t>2</w:t>
      </w:r>
      <w:r w:rsidR="00F06306">
        <w:rPr>
          <w:rFonts w:eastAsia="Calibri"/>
          <w:noProof/>
        </w:rPr>
        <w:t xml:space="preserve"> </w:t>
      </w:r>
      <w:r w:rsidR="00665687">
        <w:rPr>
          <w:rFonts w:eastAsia="Calibri"/>
          <w:noProof/>
        </w:rPr>
        <w:t>079</w:t>
      </w:r>
      <w:r w:rsidRPr="00055D5F">
        <w:rPr>
          <w:rFonts w:eastAsia="Calibri"/>
          <w:noProof/>
        </w:rPr>
        <w:t xml:space="preserve"> million</w:t>
      </w:r>
      <w:r>
        <w:rPr>
          <w:rFonts w:eastAsia="Calibri"/>
          <w:noProof/>
        </w:rPr>
        <w:t>)</w:t>
      </w:r>
      <w:r w:rsidRPr="00052605">
        <w:rPr>
          <w:rFonts w:eastAsia="Calibri"/>
          <w:noProof/>
        </w:rPr>
        <w:t xml:space="preserve"> of its total </w:t>
      </w:r>
      <w:r w:rsidRPr="00801C0E">
        <w:rPr>
          <w:rFonts w:eastAsia="Calibri"/>
          <w:noProof/>
        </w:rPr>
        <w:t xml:space="preserve">sectoral </w:t>
      </w:r>
      <w:r w:rsidRPr="00052605">
        <w:rPr>
          <w:rFonts w:eastAsia="Calibri"/>
          <w:noProof/>
        </w:rPr>
        <w:t>value added</w:t>
      </w:r>
      <w:r>
        <w:rPr>
          <w:rFonts w:eastAsia="Calibri"/>
          <w:noProof/>
        </w:rPr>
        <w:t xml:space="preserve">, while for the European steel and aluminium companies, it would account for </w:t>
      </w:r>
      <w:r w:rsidR="00FD1AB4">
        <w:rPr>
          <w:rFonts w:eastAsia="Calibri"/>
          <w:noProof/>
        </w:rPr>
        <w:t>4.32</w:t>
      </w:r>
      <w:r>
        <w:rPr>
          <w:rFonts w:eastAsia="Calibri"/>
          <w:noProof/>
        </w:rPr>
        <w:t>% (</w:t>
      </w:r>
      <w:r w:rsidRPr="00D15BB8">
        <w:rPr>
          <w:rFonts w:eastAsia="Calibri"/>
          <w:noProof/>
        </w:rPr>
        <w:t xml:space="preserve">EUR </w:t>
      </w:r>
      <w:r w:rsidR="00FD1AB4">
        <w:rPr>
          <w:rFonts w:eastAsia="Calibri"/>
          <w:noProof/>
        </w:rPr>
        <w:t>2</w:t>
      </w:r>
      <w:r w:rsidR="00F06306">
        <w:rPr>
          <w:rFonts w:eastAsia="Calibri"/>
          <w:noProof/>
        </w:rPr>
        <w:t xml:space="preserve"> </w:t>
      </w:r>
      <w:r w:rsidR="00FD1AB4">
        <w:rPr>
          <w:rFonts w:eastAsia="Calibri"/>
          <w:noProof/>
        </w:rPr>
        <w:t>883</w:t>
      </w:r>
      <w:r w:rsidRPr="00D15BB8">
        <w:rPr>
          <w:rFonts w:eastAsia="Calibri"/>
          <w:noProof/>
        </w:rPr>
        <w:t xml:space="preserve"> million</w:t>
      </w:r>
      <w:r>
        <w:rPr>
          <w:rFonts w:eastAsia="Calibri"/>
          <w:noProof/>
        </w:rPr>
        <w:t>) of its total sectoral value added. In both cases, the results refer to</w:t>
      </w:r>
      <w:r w:rsidRPr="000272AD">
        <w:rPr>
          <w:noProof/>
        </w:rPr>
        <w:t xml:space="preserve"> the period 2025-2030, </w:t>
      </w:r>
      <w:r w:rsidR="00F06306">
        <w:rPr>
          <w:noProof/>
        </w:rPr>
        <w:t>compared</w:t>
      </w:r>
      <w:r w:rsidRPr="000272AD">
        <w:rPr>
          <w:noProof/>
        </w:rPr>
        <w:t xml:space="preserve"> to a baseline scenario without IAA measures.</w:t>
      </w:r>
    </w:p>
    <w:p w14:paraId="0E20F4FF" w14:textId="77777777" w:rsidR="00285741" w:rsidRDefault="00285741">
      <w:pPr>
        <w:pStyle w:val="Text2"/>
        <w:tabs>
          <w:tab w:val="clear" w:pos="2302"/>
        </w:tabs>
        <w:spacing w:after="120"/>
        <w:ind w:left="0"/>
        <w:rPr>
          <w:noProof/>
        </w:rPr>
      </w:pPr>
      <w:r>
        <w:rPr>
          <w:noProof/>
        </w:rPr>
        <w:t xml:space="preserve">Similarly to LEAD_EII 2, the benefits stemming from the increase in the demand for steel, cement and aluminium due to the Made in EU requirements overcompensate the reductions in the demand for steel, cement and aluminium from downstream sectors facing higher costs. Moreover, the benefits are greater since the Made in EU requirements are extended to all products in the automotive and construction markets (not only public procurement and support schemes markets). </w:t>
      </w:r>
    </w:p>
    <w:p w14:paraId="3872DFB9" w14:textId="5B35C446" w:rsidR="00322B4C" w:rsidRDefault="7C355CBF">
      <w:pPr>
        <w:pStyle w:val="Text2"/>
        <w:tabs>
          <w:tab w:val="clear" w:pos="2302"/>
        </w:tabs>
        <w:spacing w:after="120"/>
        <w:ind w:left="0"/>
        <w:rPr>
          <w:noProof/>
        </w:rPr>
      </w:pPr>
      <w:r w:rsidRPr="000272AD">
        <w:rPr>
          <w:noProof/>
        </w:rPr>
        <w:t>When comparing LEAD_EII 3 and LEAD_EII 2, the FIDELIO model shows that the public market is an important driver of impacts of the proposed policy measures. This is particularly relevant for the steel and aluminium sectors, where public procurement and public subsidies for automotive causes up to 73.84% of the total estimated positive impacts in both sectors in the period 2025-2030</w:t>
      </w:r>
      <w:r w:rsidR="001E2AE3">
        <w:rPr>
          <w:noProof/>
        </w:rPr>
        <w:t>.</w:t>
      </w:r>
      <w:r w:rsidR="00285741" w:rsidRPr="000272AD">
        <w:rPr>
          <w:rStyle w:val="FootnoteReference"/>
          <w:noProof/>
        </w:rPr>
        <w:footnoteReference w:id="231"/>
      </w:r>
    </w:p>
    <w:p w14:paraId="0699FA51" w14:textId="7DAA1941" w:rsidR="00285741" w:rsidRDefault="00285741">
      <w:pPr>
        <w:pStyle w:val="Text2"/>
        <w:tabs>
          <w:tab w:val="clear" w:pos="2302"/>
        </w:tabs>
        <w:spacing w:after="120"/>
        <w:ind w:left="0"/>
        <w:rPr>
          <w:noProof/>
        </w:rPr>
      </w:pPr>
      <w:r>
        <w:rPr>
          <w:noProof/>
        </w:rPr>
        <w:t xml:space="preserve">In addition to the existing climate policies, introducing low-carbon requirements will help creating demand and accelerating investments, while </w:t>
      </w:r>
      <w:r w:rsidR="00E83DDC">
        <w:rPr>
          <w:noProof/>
        </w:rPr>
        <w:t>Made in EU</w:t>
      </w:r>
      <w:r>
        <w:rPr>
          <w:noProof/>
        </w:rPr>
        <w:t xml:space="preserve"> requirements would secure domestic market share for strategic materials, providing greater certainty for investment decisions, compared to the baseline. Redirecting demand to EU-based producers would also improve capacity utilisation - particularly in sectors that have seen notable declines between 2000 and 2021, such as cement, aluminium, and integrated steelmaking. </w:t>
      </w:r>
    </w:p>
    <w:p w14:paraId="042FD0B8" w14:textId="2F5159EB" w:rsidR="005E7FEC" w:rsidRDefault="005E7FEC">
      <w:pPr>
        <w:pStyle w:val="Text2"/>
        <w:tabs>
          <w:tab w:val="clear" w:pos="2302"/>
        </w:tabs>
        <w:spacing w:after="120"/>
        <w:ind w:left="0"/>
        <w:rPr>
          <w:noProof/>
        </w:rPr>
      </w:pPr>
      <w:r w:rsidRPr="34C0063F">
        <w:rPr>
          <w:b/>
          <w:bCs/>
          <w:noProof/>
        </w:rPr>
        <w:t xml:space="preserve">LEAD_BAT 2 / LEAD _SOL 2 </w:t>
      </w:r>
      <w:r>
        <w:rPr>
          <w:noProof/>
        </w:rPr>
        <w:t xml:space="preserve">- Expanding Made in EU requirements to all products in scope (i.e. steel, cement and aluminium in automotive and construction; batteries and solar PV) placed on the market would increase demand for EU produced energy intensive materials, EU manufactured batteries and solar, with greater certainty for domestic investments. </w:t>
      </w:r>
    </w:p>
    <w:p w14:paraId="5C24BC9B" w14:textId="0258D687" w:rsidR="00285741" w:rsidRDefault="7C355CBF" w:rsidP="00195EC6">
      <w:pPr>
        <w:spacing w:after="120"/>
        <w:rPr>
          <w:rFonts w:eastAsia="Calibri"/>
          <w:noProof/>
        </w:rPr>
      </w:pPr>
      <w:r>
        <w:rPr>
          <w:noProof/>
        </w:rPr>
        <w:lastRenderedPageBreak/>
        <w:t>Looking ahead, Europe is not expected to meet its internal battery demand with domestic production only until 2030.</w:t>
      </w:r>
      <w:r w:rsidR="00285741">
        <w:rPr>
          <w:rStyle w:val="FootnoteReference"/>
          <w:noProof/>
        </w:rPr>
        <w:footnoteReference w:id="232"/>
      </w:r>
      <w:r>
        <w:rPr>
          <w:noProof/>
        </w:rPr>
        <w:t xml:space="preserve"> Therefore, the introduction of</w:t>
      </w:r>
      <w:r w:rsidRPr="61241401">
        <w:rPr>
          <w:noProof/>
        </w:rPr>
        <w:t xml:space="preserve"> </w:t>
      </w:r>
      <w:r w:rsidR="6E3F9A2F">
        <w:rPr>
          <w:noProof/>
        </w:rPr>
        <w:t>Made in EU</w:t>
      </w:r>
      <w:r w:rsidRPr="61241401">
        <w:rPr>
          <w:noProof/>
        </w:rPr>
        <w:t xml:space="preserve"> requirements </w:t>
      </w:r>
      <w:r>
        <w:rPr>
          <w:noProof/>
        </w:rPr>
        <w:t>to</w:t>
      </w:r>
      <w:r w:rsidRPr="61241401">
        <w:rPr>
          <w:noProof/>
        </w:rPr>
        <w:t xml:space="preserve"> </w:t>
      </w:r>
      <w:r>
        <w:rPr>
          <w:noProof/>
        </w:rPr>
        <w:t>products placed on the market had to take account of</w:t>
      </w:r>
      <w:r w:rsidRPr="61241401">
        <w:rPr>
          <w:noProof/>
        </w:rPr>
        <w:t xml:space="preserve"> the time needed to </w:t>
      </w:r>
      <w:r>
        <w:rPr>
          <w:noProof/>
        </w:rPr>
        <w:t>reach operational status</w:t>
      </w:r>
      <w:r w:rsidRPr="61241401">
        <w:rPr>
          <w:noProof/>
        </w:rPr>
        <w:t xml:space="preserve"> and reach full-scale production </w:t>
      </w:r>
      <w:r>
        <w:rPr>
          <w:noProof/>
        </w:rPr>
        <w:t xml:space="preserve">for battery investment. </w:t>
      </w:r>
    </w:p>
    <w:p w14:paraId="08647595" w14:textId="7D35D55D" w:rsidR="00285741" w:rsidRPr="00AD0B5F" w:rsidRDefault="7C355CBF" w:rsidP="00195EC6">
      <w:pPr>
        <w:spacing w:after="120"/>
        <w:rPr>
          <w:noProof/>
        </w:rPr>
      </w:pPr>
      <w:r w:rsidRPr="0056BDA4">
        <w:rPr>
          <w:rFonts w:eastAsia="Calibri"/>
          <w:noProof/>
        </w:rPr>
        <w:t xml:space="preserve">The current EU solar manufacturing capacity, mainly in critical components (e.g., wafers, cells, inverters), does not yet have sufficient scale to meet </w:t>
      </w:r>
      <w:r>
        <w:rPr>
          <w:rFonts w:eastAsia="Calibri"/>
          <w:noProof/>
        </w:rPr>
        <w:t xml:space="preserve">overall </w:t>
      </w:r>
      <w:r w:rsidRPr="0056BDA4">
        <w:rPr>
          <w:rFonts w:eastAsia="Calibri"/>
          <w:noProof/>
        </w:rPr>
        <w:t xml:space="preserve">demand. </w:t>
      </w:r>
      <w:r>
        <w:rPr>
          <w:noProof/>
        </w:rPr>
        <w:t>As the non-public segment of the solar PV market accounts for around 65%</w:t>
      </w:r>
      <w:r w:rsidR="00285741" w:rsidRPr="00CA64CC">
        <w:rPr>
          <w:noProof/>
          <w:vertAlign w:val="superscript"/>
        </w:rPr>
        <w:footnoteReference w:id="233"/>
      </w:r>
      <w:r>
        <w:rPr>
          <w:noProof/>
        </w:rPr>
        <w:t xml:space="preserve"> of the EU market, introducing mandatory minimum </w:t>
      </w:r>
      <w:r w:rsidR="13D90664">
        <w:rPr>
          <w:noProof/>
        </w:rPr>
        <w:t>Made in EU</w:t>
      </w:r>
      <w:r>
        <w:rPr>
          <w:noProof/>
        </w:rPr>
        <w:t xml:space="preserve"> requirements had to be carefully designed to avoid creating pressure on the EU supply chain. </w:t>
      </w:r>
    </w:p>
    <w:p w14:paraId="10FF7E7E" w14:textId="6E15D673" w:rsidR="00285741" w:rsidRPr="007B3955" w:rsidRDefault="00285741" w:rsidP="00195EC6">
      <w:pPr>
        <w:spacing w:after="120"/>
        <w:rPr>
          <w:rFonts w:eastAsia="Calibri"/>
          <w:noProof/>
        </w:rPr>
      </w:pPr>
      <w:r w:rsidRPr="5D042B50">
        <w:rPr>
          <w:rFonts w:eastAsia="Calibri"/>
          <w:noProof/>
        </w:rPr>
        <w:t xml:space="preserve">In conclusion, extending even partial </w:t>
      </w:r>
      <w:r w:rsidR="00E83DDC">
        <w:rPr>
          <w:rFonts w:eastAsia="Calibri"/>
          <w:noProof/>
        </w:rPr>
        <w:t>Made in EU</w:t>
      </w:r>
      <w:r w:rsidRPr="5D042B50">
        <w:rPr>
          <w:rFonts w:eastAsia="Calibri"/>
          <w:noProof/>
        </w:rPr>
        <w:t xml:space="preserve"> requirements to all products placed on the market at this stage carries some risks for the solar and battery industries, including potential market distortions, implementation challenges, and legal uncertainties. While such requirements could play a role in the future, their near-term application may generate more challenges than benefits unless carefully phased and supported by complementary measures.</w:t>
      </w:r>
    </w:p>
    <w:p w14:paraId="34A46571" w14:textId="01DC1048" w:rsidR="00285741" w:rsidRDefault="00285741" w:rsidP="00195EC6">
      <w:pPr>
        <w:pStyle w:val="Text2"/>
        <w:spacing w:after="120"/>
        <w:ind w:left="0"/>
        <w:rPr>
          <w:noProof/>
        </w:rPr>
      </w:pPr>
      <w:r w:rsidRPr="00801C0E">
        <w:rPr>
          <w:b/>
          <w:bCs/>
          <w:noProof/>
        </w:rPr>
        <w:t xml:space="preserve">PERM 3 </w:t>
      </w:r>
      <w:r w:rsidRPr="00801C0E">
        <w:rPr>
          <w:noProof/>
        </w:rPr>
        <w:t xml:space="preserve">contains PERM 2 and therefore the same expected impacts. On top of this, it </w:t>
      </w:r>
      <w:r>
        <w:rPr>
          <w:noProof/>
        </w:rPr>
        <w:t>is expected to further facilitate the deployment of decarbonised projects in specific areas dedicated to industrial activity. The identification of geographical areas of industrial activity will promote industrial symbiosis and offer opportunities for collaboration between industries. Most notably, by being able to settle their projects in key areas of energy demand in the Member States, industry’s connection request to future energy infrastructure would become easier through the local synergies between generation and supply of electricity, potentially allowing for more efficient grid use and priority treatment for connection requests.</w:t>
      </w:r>
    </w:p>
    <w:p w14:paraId="21D46656" w14:textId="77777777" w:rsidR="00285741" w:rsidRDefault="00285741">
      <w:pPr>
        <w:pStyle w:val="Text2"/>
        <w:spacing w:after="120"/>
        <w:ind w:left="0"/>
        <w:rPr>
          <w:noProof/>
        </w:rPr>
      </w:pPr>
      <w:r>
        <w:rPr>
          <w:noProof/>
        </w:rPr>
        <w:t>Considering the electricity grid congestion issues and the lack of a hydrogen or CO</w:t>
      </w:r>
      <w:r w:rsidRPr="008B03CC">
        <w:rPr>
          <w:noProof/>
          <w:vertAlign w:val="subscript"/>
        </w:rPr>
        <w:t xml:space="preserve">2 </w:t>
      </w:r>
      <w:r>
        <w:rPr>
          <w:noProof/>
        </w:rPr>
        <w:t>infrastructure, favouring a clustering approach is expected to attract industrial investments as it may allow for faster grid connection. Subjecting the entire plan designating the industrial clusters to environmental assessments can contribute to streamlining subsequent permitting steps.</w:t>
      </w:r>
    </w:p>
    <w:tbl>
      <w:tblPr>
        <w:tblStyle w:val="TableGrid"/>
        <w:tblpPr w:leftFromText="180" w:rightFromText="180" w:vertAnchor="text" w:horzAnchor="margin" w:tblpY="9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016"/>
      </w:tblGrid>
      <w:tr w:rsidR="00285741" w14:paraId="3AF79F6D" w14:textId="77777777">
        <w:trPr>
          <w:trHeight w:val="300"/>
        </w:trPr>
        <w:tc>
          <w:tcPr>
            <w:tcW w:w="5000" w:type="pct"/>
          </w:tcPr>
          <w:p w14:paraId="6C66B340" w14:textId="77777777" w:rsidR="00285741" w:rsidRPr="00BE7E13" w:rsidRDefault="00285741">
            <w:pPr>
              <w:pStyle w:val="Text2"/>
              <w:spacing w:after="120"/>
              <w:ind w:left="0"/>
              <w:rPr>
                <w:noProof/>
              </w:rPr>
            </w:pPr>
            <w:r w:rsidRPr="00BE7E13">
              <w:rPr>
                <w:noProof/>
              </w:rPr>
              <w:t xml:space="preserve">Based on the </w:t>
            </w:r>
            <w:r w:rsidRPr="00BE7E13">
              <w:rPr>
                <w:b/>
                <w:noProof/>
              </w:rPr>
              <w:t>Public Consultation</w:t>
            </w:r>
            <w:r w:rsidRPr="00BE7E13">
              <w:rPr>
                <w:noProof/>
              </w:rPr>
              <w:t xml:space="preserve">, 67% (210 out of 314 respondents) support industrial clustering as a solution to streamlining and improving the efficiency of the permit granting process. </w:t>
            </w:r>
          </w:p>
        </w:tc>
      </w:tr>
    </w:tbl>
    <w:p w14:paraId="48ABF822" w14:textId="77777777" w:rsidR="00285741" w:rsidRDefault="00285741">
      <w:pPr>
        <w:pStyle w:val="Text2"/>
        <w:spacing w:before="240" w:after="120"/>
        <w:ind w:left="0"/>
        <w:rPr>
          <w:noProof/>
        </w:rPr>
      </w:pPr>
      <w:r w:rsidRPr="00BC44C5">
        <w:rPr>
          <w:b/>
          <w:noProof/>
        </w:rPr>
        <w:t>LEAD_VC 2 –</w:t>
      </w:r>
      <w:r>
        <w:rPr>
          <w:noProof/>
        </w:rPr>
        <w:t xml:space="preserve"> </w:t>
      </w:r>
      <w:r w:rsidRPr="008E4ABE">
        <w:rPr>
          <w:noProof/>
        </w:rPr>
        <w:t>The same assumptions apply as in LEAD_VC 1 (the increasing cost of EVs for EU car manufacturers is projected to be the same). However, in LEAD_VC 2, 100% of EVs put on the EU market will be affected.</w:t>
      </w:r>
      <w:r>
        <w:rPr>
          <w:noProof/>
        </w:rPr>
        <w:t xml:space="preserve"> </w:t>
      </w:r>
    </w:p>
    <w:p w14:paraId="085AFA89" w14:textId="00849A71" w:rsidR="00285741" w:rsidRDefault="00285741">
      <w:pPr>
        <w:pStyle w:val="Text2"/>
        <w:spacing w:after="120"/>
        <w:ind w:left="0"/>
        <w:rPr>
          <w:noProof/>
        </w:rPr>
      </w:pPr>
      <w:r w:rsidRPr="00955E69">
        <w:rPr>
          <w:noProof/>
        </w:rPr>
        <w:t xml:space="preserve">As vehicle manufacturers will have the incentive to comply with the target </w:t>
      </w:r>
      <w:r w:rsidR="005F3121" w:rsidRPr="00955E69">
        <w:rPr>
          <w:noProof/>
        </w:rPr>
        <w:t>to</w:t>
      </w:r>
      <w:r w:rsidRPr="00955E69">
        <w:rPr>
          <w:noProof/>
        </w:rPr>
        <w:t xml:space="preserve"> have access to public subsidies, the model predicts an increase in </w:t>
      </w:r>
      <w:r w:rsidR="00FD5B78" w:rsidRPr="00FD5B78">
        <w:rPr>
          <w:noProof/>
        </w:rPr>
        <w:t xml:space="preserve">EU vehicle component suppliers’ </w:t>
      </w:r>
      <w:r w:rsidRPr="00955E69">
        <w:rPr>
          <w:noProof/>
        </w:rPr>
        <w:t xml:space="preserve">sales to the manufacturers of EUR </w:t>
      </w:r>
      <w:r>
        <w:rPr>
          <w:noProof/>
        </w:rPr>
        <w:t>7.83</w:t>
      </w:r>
      <w:r w:rsidRPr="00955E69">
        <w:rPr>
          <w:noProof/>
        </w:rPr>
        <w:t xml:space="preserve"> billion in 2027 and by EUR </w:t>
      </w:r>
      <w:r>
        <w:rPr>
          <w:noProof/>
        </w:rPr>
        <w:t>8.2</w:t>
      </w:r>
      <w:r w:rsidRPr="00955E69">
        <w:rPr>
          <w:noProof/>
        </w:rPr>
        <w:t xml:space="preserve"> billion in 2030 when aggregating the sales in all three vehicle segments</w:t>
      </w:r>
      <w:r>
        <w:rPr>
          <w:noProof/>
        </w:rPr>
        <w:t>.</w:t>
      </w:r>
    </w:p>
    <w:p w14:paraId="254A0681" w14:textId="77777777" w:rsidR="00285741" w:rsidRPr="00DD5E4A" w:rsidRDefault="00285741" w:rsidP="00285741">
      <w:pPr>
        <w:pStyle w:val="Heading4"/>
        <w:numPr>
          <w:ilvl w:val="3"/>
          <w:numId w:val="64"/>
        </w:numPr>
        <w:spacing w:after="120"/>
        <w:ind w:left="142" w:firstLine="129"/>
        <w:rPr>
          <w:b/>
          <w:noProof/>
          <w:color w:val="auto"/>
        </w:rPr>
      </w:pPr>
      <w:r w:rsidRPr="00195EC6">
        <w:rPr>
          <w:b/>
          <w:bCs/>
          <w:noProof/>
          <w:color w:val="auto"/>
        </w:rPr>
        <w:t>Impact on downstream sectors</w:t>
      </w:r>
    </w:p>
    <w:p w14:paraId="23E84733" w14:textId="77777777" w:rsidR="00285741" w:rsidRDefault="00285741">
      <w:pPr>
        <w:pStyle w:val="Text2"/>
        <w:spacing w:before="240" w:after="120"/>
        <w:ind w:left="0"/>
        <w:rPr>
          <w:b/>
          <w:bCs/>
          <w:noProof/>
        </w:rPr>
      </w:pPr>
      <w:r w:rsidRPr="5F9B4742">
        <w:rPr>
          <w:b/>
          <w:bCs/>
          <w:noProof/>
        </w:rPr>
        <w:t xml:space="preserve">LAB 2 </w:t>
      </w:r>
      <w:r w:rsidRPr="007B754A">
        <w:rPr>
          <w:noProof/>
        </w:rPr>
        <w:t>would have same impacts as described under PO2.</w:t>
      </w:r>
    </w:p>
    <w:p w14:paraId="40BDB98D" w14:textId="77777777" w:rsidR="00E154FE" w:rsidRDefault="7C355CBF" w:rsidP="3F0F1197">
      <w:pPr>
        <w:pStyle w:val="Text2"/>
        <w:spacing w:before="240" w:after="120"/>
        <w:ind w:left="0"/>
        <w:rPr>
          <w:noProof/>
          <w:color w:val="000000" w:themeColor="text1"/>
        </w:rPr>
      </w:pPr>
      <w:r w:rsidRPr="3F0F1197">
        <w:rPr>
          <w:rFonts w:eastAsia="Calibri"/>
          <w:b/>
          <w:bCs/>
          <w:noProof/>
        </w:rPr>
        <w:lastRenderedPageBreak/>
        <w:t>LEAD_EII 3</w:t>
      </w:r>
      <w:r w:rsidRPr="3F0F1197">
        <w:rPr>
          <w:rFonts w:eastAsia="Calibri"/>
          <w:noProof/>
        </w:rPr>
        <w:t xml:space="preserve"> - </w:t>
      </w:r>
      <w:r w:rsidR="7F88F852" w:rsidRPr="3F0F1197">
        <w:rPr>
          <w:rFonts w:eastAsia="Calibri"/>
          <w:noProof/>
        </w:rPr>
        <w:t>e</w:t>
      </w:r>
      <w:r w:rsidR="770B1A7A" w:rsidRPr="3F0F1197">
        <w:rPr>
          <w:noProof/>
          <w:color w:val="000000" w:themeColor="text1"/>
        </w:rPr>
        <w:t xml:space="preserve">xtending </w:t>
      </w:r>
      <w:r w:rsidR="770B1A7A" w:rsidRPr="3F0F1197">
        <w:rPr>
          <w:b/>
          <w:bCs/>
          <w:noProof/>
          <w:color w:val="000000" w:themeColor="text1"/>
        </w:rPr>
        <w:t xml:space="preserve">low-carbon </w:t>
      </w:r>
      <w:r w:rsidR="00F47A2F">
        <w:rPr>
          <w:b/>
          <w:bCs/>
          <w:noProof/>
          <w:color w:val="000000" w:themeColor="text1"/>
        </w:rPr>
        <w:t xml:space="preserve">and made in EU </w:t>
      </w:r>
      <w:r w:rsidR="770B1A7A" w:rsidRPr="3F0F1197">
        <w:rPr>
          <w:b/>
          <w:bCs/>
          <w:noProof/>
          <w:color w:val="000000" w:themeColor="text1"/>
        </w:rPr>
        <w:t>requirements</w:t>
      </w:r>
      <w:r w:rsidR="770B1A7A" w:rsidRPr="3F0F1197">
        <w:rPr>
          <w:noProof/>
          <w:color w:val="000000" w:themeColor="text1"/>
        </w:rPr>
        <w:t xml:space="preserve"> to </w:t>
      </w:r>
      <w:r w:rsidR="00C43EB3">
        <w:rPr>
          <w:noProof/>
          <w:color w:val="000000" w:themeColor="text1"/>
        </w:rPr>
        <w:t xml:space="preserve">all </w:t>
      </w:r>
      <w:r w:rsidR="770B1A7A" w:rsidRPr="3F0F1197">
        <w:rPr>
          <w:noProof/>
          <w:color w:val="000000" w:themeColor="text1"/>
        </w:rPr>
        <w:t>products placed on the market will amplify the impacts described under PO1</w:t>
      </w:r>
      <w:r w:rsidR="005D767F">
        <w:rPr>
          <w:noProof/>
          <w:color w:val="000000" w:themeColor="text1"/>
        </w:rPr>
        <w:t>/PO2</w:t>
      </w:r>
      <w:r w:rsidR="00C43EB3">
        <w:rPr>
          <w:noProof/>
          <w:color w:val="000000" w:themeColor="text1"/>
        </w:rPr>
        <w:t xml:space="preserve"> </w:t>
      </w:r>
      <w:r w:rsidR="770B1A7A" w:rsidRPr="3F0F1197">
        <w:rPr>
          <w:noProof/>
          <w:color w:val="000000" w:themeColor="text1"/>
        </w:rPr>
        <w:t>for the construction and automotive sectors</w:t>
      </w:r>
      <w:r w:rsidR="00E154FE">
        <w:rPr>
          <w:noProof/>
          <w:color w:val="000000" w:themeColor="text1"/>
        </w:rPr>
        <w:t>.</w:t>
      </w:r>
    </w:p>
    <w:p w14:paraId="503026FE" w14:textId="75AE58FE" w:rsidR="00063165" w:rsidRDefault="2B3C9AB4" w:rsidP="00E92D94">
      <w:pPr>
        <w:pStyle w:val="Text2"/>
        <w:spacing w:before="240" w:after="120"/>
        <w:ind w:left="0"/>
        <w:rPr>
          <w:noProof/>
          <w:color w:val="000000" w:themeColor="text1"/>
        </w:rPr>
      </w:pPr>
      <w:r w:rsidRPr="0EDEA7B6">
        <w:rPr>
          <w:noProof/>
          <w:color w:val="000000" w:themeColor="text1"/>
        </w:rPr>
        <w:t xml:space="preserve">On the </w:t>
      </w:r>
      <w:r w:rsidRPr="0AB386DE">
        <w:rPr>
          <w:noProof/>
          <w:color w:val="000000" w:themeColor="text1"/>
        </w:rPr>
        <w:t>production</w:t>
      </w:r>
      <w:r w:rsidRPr="0EDEA7B6">
        <w:rPr>
          <w:noProof/>
          <w:color w:val="000000" w:themeColor="text1"/>
        </w:rPr>
        <w:t xml:space="preserve"> side of the </w:t>
      </w:r>
      <w:r w:rsidRPr="497EF17B">
        <w:rPr>
          <w:noProof/>
          <w:color w:val="000000" w:themeColor="text1"/>
        </w:rPr>
        <w:t>economy</w:t>
      </w:r>
      <w:r w:rsidR="00E154FE">
        <w:rPr>
          <w:noProof/>
          <w:color w:val="000000" w:themeColor="text1"/>
        </w:rPr>
        <w:t xml:space="preserve">, </w:t>
      </w:r>
      <w:r w:rsidRPr="497EF17B">
        <w:rPr>
          <w:noProof/>
          <w:color w:val="000000" w:themeColor="text1"/>
        </w:rPr>
        <w:t>t</w:t>
      </w:r>
      <w:r w:rsidR="00E722F3" w:rsidRPr="497EF17B">
        <w:rPr>
          <w:noProof/>
          <w:color w:val="000000" w:themeColor="text1"/>
        </w:rPr>
        <w:t>he</w:t>
      </w:r>
      <w:r w:rsidR="00E722F3">
        <w:rPr>
          <w:noProof/>
          <w:color w:val="000000" w:themeColor="text1"/>
        </w:rPr>
        <w:t xml:space="preserve"> construction sector would see losses of their </w:t>
      </w:r>
      <w:r w:rsidR="00637CEC">
        <w:rPr>
          <w:noProof/>
          <w:color w:val="000000" w:themeColor="text1"/>
        </w:rPr>
        <w:t>value-added</w:t>
      </w:r>
      <w:r w:rsidR="00E722F3">
        <w:rPr>
          <w:noProof/>
          <w:color w:val="000000" w:themeColor="text1"/>
        </w:rPr>
        <w:t xml:space="preserve"> reaching EUR 2.2 billion, while the automotive industry</w:t>
      </w:r>
      <w:r w:rsidR="00EA2BBF">
        <w:rPr>
          <w:noProof/>
          <w:color w:val="000000" w:themeColor="text1"/>
        </w:rPr>
        <w:t xml:space="preserve"> would see more moderate losses, of EUR</w:t>
      </w:r>
      <w:r w:rsidR="00E154FE">
        <w:rPr>
          <w:noProof/>
          <w:color w:val="000000" w:themeColor="text1"/>
        </w:rPr>
        <w:t xml:space="preserve"> </w:t>
      </w:r>
      <w:r w:rsidR="00EA2BBF">
        <w:rPr>
          <w:noProof/>
          <w:color w:val="000000" w:themeColor="text1"/>
        </w:rPr>
        <w:t>3</w:t>
      </w:r>
      <w:r w:rsidR="00063165">
        <w:rPr>
          <w:noProof/>
          <w:color w:val="000000" w:themeColor="text1"/>
        </w:rPr>
        <w:t>96</w:t>
      </w:r>
      <w:r w:rsidR="00EA2BBF">
        <w:rPr>
          <w:noProof/>
          <w:color w:val="000000" w:themeColor="text1"/>
        </w:rPr>
        <w:t xml:space="preserve"> million</w:t>
      </w:r>
      <w:r w:rsidR="00B82C89">
        <w:rPr>
          <w:noProof/>
          <w:color w:val="000000" w:themeColor="text1"/>
        </w:rPr>
        <w:t>.</w:t>
      </w:r>
      <w:r w:rsidR="008C7BE2">
        <w:rPr>
          <w:noProof/>
          <w:color w:val="000000" w:themeColor="text1"/>
        </w:rPr>
        <w:t xml:space="preserve"> </w:t>
      </w:r>
      <w:r w:rsidR="44C1E249" w:rsidRPr="0EE24BB9">
        <w:rPr>
          <w:noProof/>
          <w:color w:val="000000" w:themeColor="text1"/>
        </w:rPr>
        <w:t xml:space="preserve">On the expenditure side, this </w:t>
      </w:r>
      <w:r w:rsidR="3A2DF8D9" w:rsidRPr="39D89119">
        <w:rPr>
          <w:noProof/>
          <w:color w:val="000000" w:themeColor="text1"/>
        </w:rPr>
        <w:t>translates into</w:t>
      </w:r>
      <w:r w:rsidR="44C1E249" w:rsidRPr="0EE24BB9">
        <w:rPr>
          <w:noProof/>
          <w:color w:val="000000" w:themeColor="text1"/>
        </w:rPr>
        <w:t xml:space="preserve"> a reduction in </w:t>
      </w:r>
      <w:r w:rsidR="44C1E249" w:rsidRPr="2BF70FCE">
        <w:rPr>
          <w:noProof/>
          <w:color w:val="000000" w:themeColor="text1"/>
        </w:rPr>
        <w:t xml:space="preserve">consumption amounting to </w:t>
      </w:r>
      <w:r w:rsidR="0CB6402B" w:rsidRPr="064622D2">
        <w:rPr>
          <w:noProof/>
          <w:color w:val="000000" w:themeColor="text1"/>
        </w:rPr>
        <w:t>564</w:t>
      </w:r>
      <w:r w:rsidR="44C1E249" w:rsidRPr="2BF70FCE">
        <w:rPr>
          <w:noProof/>
          <w:color w:val="000000" w:themeColor="text1"/>
        </w:rPr>
        <w:t xml:space="preserve"> million in the construction </w:t>
      </w:r>
      <w:r w:rsidR="44C1E249" w:rsidRPr="39B8CA3F">
        <w:rPr>
          <w:noProof/>
          <w:color w:val="000000" w:themeColor="text1"/>
        </w:rPr>
        <w:t xml:space="preserve">sector and </w:t>
      </w:r>
      <w:r w:rsidR="0FECF49F" w:rsidRPr="064622D2">
        <w:rPr>
          <w:noProof/>
          <w:color w:val="000000" w:themeColor="text1"/>
        </w:rPr>
        <w:t>240</w:t>
      </w:r>
      <w:r w:rsidR="44C1E249" w:rsidRPr="39B8CA3F">
        <w:rPr>
          <w:noProof/>
          <w:color w:val="000000" w:themeColor="text1"/>
        </w:rPr>
        <w:t xml:space="preserve"> million in the automotive industry</w:t>
      </w:r>
      <w:r w:rsidR="005704F1" w:rsidRPr="39B8CA3F">
        <w:rPr>
          <w:noProof/>
          <w:color w:val="000000" w:themeColor="text1"/>
        </w:rPr>
        <w:t>.</w:t>
      </w:r>
      <w:r w:rsidR="005704F1">
        <w:rPr>
          <w:noProof/>
          <w:color w:val="000000" w:themeColor="text1"/>
        </w:rPr>
        <w:t xml:space="preserve"> </w:t>
      </w:r>
      <w:r w:rsidR="00B82C89">
        <w:rPr>
          <w:noProof/>
          <w:color w:val="000000" w:themeColor="text1"/>
        </w:rPr>
        <w:t>These losses</w:t>
      </w:r>
      <w:r w:rsidR="00060A85">
        <w:rPr>
          <w:noProof/>
          <w:color w:val="000000" w:themeColor="text1"/>
        </w:rPr>
        <w:t xml:space="preserve"> are a </w:t>
      </w:r>
      <w:r w:rsidR="00060A85" w:rsidRPr="00060A85">
        <w:rPr>
          <w:noProof/>
          <w:color w:val="000000" w:themeColor="text1"/>
        </w:rPr>
        <w:t xml:space="preserve">direct response to higher final </w:t>
      </w:r>
      <w:r w:rsidR="00E976B2">
        <w:rPr>
          <w:noProof/>
          <w:color w:val="000000" w:themeColor="text1"/>
        </w:rPr>
        <w:t xml:space="preserve">good </w:t>
      </w:r>
      <w:r w:rsidR="00060A85" w:rsidRPr="00060A85">
        <w:rPr>
          <w:noProof/>
          <w:color w:val="000000" w:themeColor="text1"/>
        </w:rPr>
        <w:t>prices driven by the newly imposed green premium</w:t>
      </w:r>
      <w:r w:rsidR="00060A85">
        <w:rPr>
          <w:noProof/>
          <w:color w:val="000000" w:themeColor="text1"/>
        </w:rPr>
        <w:t>, and</w:t>
      </w:r>
      <w:r w:rsidR="00B82C89">
        <w:rPr>
          <w:noProof/>
          <w:color w:val="000000" w:themeColor="text1"/>
        </w:rPr>
        <w:t xml:space="preserve"> are partly </w:t>
      </w:r>
      <w:r w:rsidR="00060A85">
        <w:rPr>
          <w:noProof/>
          <w:color w:val="000000" w:themeColor="text1"/>
        </w:rPr>
        <w:t>driven by a decrease</w:t>
      </w:r>
      <w:r w:rsidR="00804AB9">
        <w:rPr>
          <w:noProof/>
          <w:color w:val="000000" w:themeColor="text1"/>
        </w:rPr>
        <w:t xml:space="preserve"> in the</w:t>
      </w:r>
      <w:r w:rsidR="00B82C89" w:rsidRPr="00B82C89">
        <w:rPr>
          <w:noProof/>
          <w:color w:val="000000" w:themeColor="text1"/>
        </w:rPr>
        <w:t xml:space="preserve"> consumption </w:t>
      </w:r>
      <w:r w:rsidR="5B9C6F8B" w:rsidRPr="4E5DEE7F">
        <w:rPr>
          <w:noProof/>
          <w:color w:val="000000" w:themeColor="text1"/>
        </w:rPr>
        <w:t>of products of the</w:t>
      </w:r>
      <w:r w:rsidR="00B82C89" w:rsidRPr="00B82C89">
        <w:rPr>
          <w:noProof/>
          <w:color w:val="000000" w:themeColor="text1"/>
        </w:rPr>
        <w:t xml:space="preserve"> automotive</w:t>
      </w:r>
      <w:r w:rsidR="0033323B">
        <w:rPr>
          <w:noProof/>
          <w:color w:val="000000" w:themeColor="text1"/>
        </w:rPr>
        <w:t xml:space="preserve"> and construction sectors</w:t>
      </w:r>
      <w:r w:rsidR="00B82C89" w:rsidRPr="00B82C89">
        <w:rPr>
          <w:noProof/>
          <w:color w:val="000000" w:themeColor="text1"/>
        </w:rPr>
        <w:t>.</w:t>
      </w:r>
      <w:r w:rsidR="00A814C8">
        <w:rPr>
          <w:rStyle w:val="FootnoteReference"/>
          <w:noProof/>
          <w:color w:val="000000" w:themeColor="text1"/>
        </w:rPr>
        <w:footnoteReference w:id="234"/>
      </w:r>
      <w:r w:rsidR="0033323B">
        <w:rPr>
          <w:noProof/>
          <w:color w:val="000000" w:themeColor="text1"/>
        </w:rPr>
        <w:t xml:space="preserve"> </w:t>
      </w:r>
      <w:r w:rsidR="00614EEC">
        <w:rPr>
          <w:noProof/>
          <w:color w:val="000000" w:themeColor="text1"/>
        </w:rPr>
        <w:t>More information on consumption</w:t>
      </w:r>
      <w:r w:rsidR="001132DE">
        <w:rPr>
          <w:noProof/>
          <w:color w:val="000000" w:themeColor="text1"/>
        </w:rPr>
        <w:t xml:space="preserve"> patterns can be found in Section 6.3.1.3 and 6.3.1.7</w:t>
      </w:r>
      <w:r w:rsidR="00D910D1">
        <w:rPr>
          <w:noProof/>
          <w:color w:val="000000" w:themeColor="text1"/>
        </w:rPr>
        <w:t xml:space="preserve">, while </w:t>
      </w:r>
      <w:r w:rsidR="00E92D94">
        <w:rPr>
          <w:noProof/>
          <w:color w:val="000000" w:themeColor="text1"/>
        </w:rPr>
        <w:t xml:space="preserve">further breakdown of cost calculation can be found in </w:t>
      </w:r>
      <w:r w:rsidR="770B1A7A" w:rsidRPr="79121208">
        <w:rPr>
          <w:noProof/>
          <w:color w:val="000000" w:themeColor="text1"/>
        </w:rPr>
        <w:t xml:space="preserve">Annex 4 Section 2.2. </w:t>
      </w:r>
    </w:p>
    <w:p w14:paraId="1DDFE821" w14:textId="31D2A0A1" w:rsidR="00285741" w:rsidRDefault="6923C745">
      <w:pPr>
        <w:pStyle w:val="Text2"/>
        <w:spacing w:after="120"/>
        <w:ind w:left="0"/>
        <w:rPr>
          <w:rFonts w:eastAsia="Calibri"/>
          <w:noProof/>
        </w:rPr>
      </w:pPr>
      <w:r w:rsidRPr="3F0F1197">
        <w:rPr>
          <w:rFonts w:eastAsia="Calibri"/>
          <w:noProof/>
        </w:rPr>
        <w:t xml:space="preserve">Expanding </w:t>
      </w:r>
      <w:r w:rsidR="13D90664" w:rsidRPr="3F0F1197">
        <w:rPr>
          <w:rFonts w:eastAsia="Calibri"/>
          <w:noProof/>
        </w:rPr>
        <w:t>Made in EU</w:t>
      </w:r>
      <w:r w:rsidR="7C355CBF" w:rsidRPr="3F0F1197">
        <w:rPr>
          <w:rFonts w:eastAsia="Calibri"/>
          <w:noProof/>
        </w:rPr>
        <w:t xml:space="preserve"> requirements</w:t>
      </w:r>
      <w:r w:rsidR="00885C73">
        <w:rPr>
          <w:rFonts w:eastAsia="Calibri"/>
          <w:noProof/>
        </w:rPr>
        <w:t xml:space="preserve"> to higher</w:t>
      </w:r>
      <w:r w:rsidR="7C355CBF" w:rsidRPr="3F0F1197">
        <w:rPr>
          <w:rFonts w:eastAsia="Calibri"/>
          <w:noProof/>
        </w:rPr>
        <w:t xml:space="preserve"> </w:t>
      </w:r>
      <w:r w:rsidR="3B40D040" w:rsidRPr="3F0F1197">
        <w:rPr>
          <w:rFonts w:eastAsia="Calibri"/>
          <w:noProof/>
        </w:rPr>
        <w:t xml:space="preserve">targets </w:t>
      </w:r>
      <w:r w:rsidR="002A3FC8">
        <w:rPr>
          <w:rFonts w:eastAsia="Calibri"/>
          <w:noProof/>
        </w:rPr>
        <w:t>(</w:t>
      </w:r>
      <w:r w:rsidR="00493949">
        <w:rPr>
          <w:rFonts w:eastAsia="Calibri"/>
          <w:noProof/>
        </w:rPr>
        <w:t xml:space="preserve">85% for steel, 95% for cement and 70% for aluminium) </w:t>
      </w:r>
      <w:r w:rsidR="3B40D040" w:rsidRPr="3F0F1197">
        <w:rPr>
          <w:rFonts w:eastAsia="Calibri"/>
          <w:noProof/>
        </w:rPr>
        <w:t xml:space="preserve">and </w:t>
      </w:r>
      <w:r w:rsidR="00885C73">
        <w:rPr>
          <w:rFonts w:eastAsia="Calibri"/>
          <w:noProof/>
        </w:rPr>
        <w:t xml:space="preserve">larger </w:t>
      </w:r>
      <w:r w:rsidR="3B40D040" w:rsidRPr="3F0F1197">
        <w:rPr>
          <w:rFonts w:eastAsia="Calibri"/>
          <w:noProof/>
        </w:rPr>
        <w:t>scope</w:t>
      </w:r>
      <w:r w:rsidR="00885C73">
        <w:rPr>
          <w:rFonts w:eastAsia="Calibri"/>
          <w:noProof/>
        </w:rPr>
        <w:t xml:space="preserve"> (i.e. to include</w:t>
      </w:r>
      <w:r w:rsidR="3141838F" w:rsidRPr="3F0F1197">
        <w:rPr>
          <w:rFonts w:eastAsia="Calibri"/>
          <w:noProof/>
        </w:rPr>
        <w:t xml:space="preserve"> </w:t>
      </w:r>
      <w:r w:rsidR="1E5A50DA" w:rsidRPr="79121208">
        <w:rPr>
          <w:rFonts w:eastAsia="Calibri"/>
          <w:noProof/>
        </w:rPr>
        <w:t xml:space="preserve">all </w:t>
      </w:r>
      <w:r w:rsidR="00186892">
        <w:rPr>
          <w:rFonts w:eastAsia="Calibri"/>
          <w:noProof/>
        </w:rPr>
        <w:t xml:space="preserve">vehicles and construction projects </w:t>
      </w:r>
      <w:r w:rsidR="3141838F" w:rsidRPr="3F0F1197">
        <w:rPr>
          <w:rFonts w:eastAsia="Calibri"/>
          <w:noProof/>
        </w:rPr>
        <w:t>placed on the market</w:t>
      </w:r>
      <w:r w:rsidR="00885C73">
        <w:rPr>
          <w:rFonts w:eastAsia="Calibri"/>
          <w:noProof/>
        </w:rPr>
        <w:t>) would</w:t>
      </w:r>
      <w:r w:rsidR="3B40D040" w:rsidRPr="3F0F1197">
        <w:rPr>
          <w:rFonts w:eastAsia="Calibri"/>
          <w:noProof/>
        </w:rPr>
        <w:t xml:space="preserve"> </w:t>
      </w:r>
      <w:r w:rsidR="7C355CBF" w:rsidRPr="3F0F1197">
        <w:rPr>
          <w:rFonts w:eastAsia="Calibri"/>
          <w:noProof/>
        </w:rPr>
        <w:t>broadens the</w:t>
      </w:r>
      <w:r w:rsidR="00885C73">
        <w:rPr>
          <w:rFonts w:eastAsia="Calibri"/>
          <w:noProof/>
        </w:rPr>
        <w:t xml:space="preserve"> </w:t>
      </w:r>
      <w:r w:rsidR="7C355CBF" w:rsidRPr="3F0F1197">
        <w:rPr>
          <w:rFonts w:eastAsia="Calibri"/>
          <w:noProof/>
        </w:rPr>
        <w:t xml:space="preserve">impact. The measure would cover a large share of industrial steel use and require a minimum EU-origin content in products placed on the EU market. </w:t>
      </w:r>
    </w:p>
    <w:p w14:paraId="24DF0D06" w14:textId="77777777" w:rsidR="00AB4201" w:rsidRDefault="7C355CBF" w:rsidP="1A2A8689">
      <w:pPr>
        <w:spacing w:after="120"/>
        <w:rPr>
          <w:rFonts w:eastAsia="Calibri"/>
          <w:noProof/>
        </w:rPr>
      </w:pPr>
      <w:r w:rsidRPr="09CA0190">
        <w:rPr>
          <w:rFonts w:eastAsia="Calibri"/>
          <w:noProof/>
        </w:rPr>
        <w:t>However, downstream industries are expected to absorb these costs gradually through process optimisation and local sourcing efficiencies. In addition, greater reliance on EU-based suppliers will reduce exposure to import disruptions and long shipping lead times. For construction and automotive sectors, this stability translates into improved delivery reliability and long-term cost predictability, offsetting short-term compliance expenses.</w:t>
      </w:r>
      <w:r>
        <w:rPr>
          <w:rFonts w:eastAsia="Calibri"/>
          <w:noProof/>
        </w:rPr>
        <w:t xml:space="preserve"> </w:t>
      </w:r>
    </w:p>
    <w:p w14:paraId="21003C2E" w14:textId="0344C51D" w:rsidR="00285741" w:rsidRPr="00061A14" w:rsidRDefault="7C355CBF" w:rsidP="1A2A8689">
      <w:pPr>
        <w:spacing w:after="120"/>
        <w:rPr>
          <w:noProof/>
          <w:lang w:val="en-IE"/>
        </w:rPr>
      </w:pPr>
      <w:r w:rsidRPr="09CA0190">
        <w:rPr>
          <w:noProof/>
        </w:rPr>
        <w:t xml:space="preserve">For the </w:t>
      </w:r>
      <w:r w:rsidRPr="1A2A8689">
        <w:rPr>
          <w:b/>
          <w:bCs/>
          <w:noProof/>
        </w:rPr>
        <w:t>automotive industry</w:t>
      </w:r>
      <w:r w:rsidRPr="09CA0190">
        <w:rPr>
          <w:noProof/>
        </w:rPr>
        <w:t xml:space="preserve">, LEAD_EII 3 would determine the application of a minimum </w:t>
      </w:r>
      <w:r w:rsidR="6E3F9A2F">
        <w:rPr>
          <w:noProof/>
        </w:rPr>
        <w:t>Made in EU</w:t>
      </w:r>
      <w:r w:rsidRPr="09CA0190">
        <w:rPr>
          <w:noProof/>
        </w:rPr>
        <w:t xml:space="preserve"> requirement to the steel and aluminium used in the production of all vehicles placed on the EU market. In 2024, 28% of all vehicles registered in the EU market were imported from extra-EU countries.</w:t>
      </w:r>
      <w:r w:rsidR="00285741" w:rsidRPr="09CA0190">
        <w:rPr>
          <w:noProof/>
          <w:vertAlign w:val="superscript"/>
        </w:rPr>
        <w:footnoteReference w:id="235"/>
      </w:r>
      <w:r w:rsidRPr="09CA0190">
        <w:rPr>
          <w:noProof/>
        </w:rPr>
        <w:t xml:space="preserve"> Those imported vehicles would also need to source from EU countries their steel and aluminium up to the minimum share required. While this is expected to translate into higher demand for EU EIIs producers, it would increase costs for automotive manufacturers. In terms of value added, the impacts of introducing the policy measures foreseen under LEAD_EII 3 would have considerably less important effects (in relative terms) on the automotive sector than in construction, even when combining them across several energy-intensive materials. Specifically, this impact would represent </w:t>
      </w:r>
      <w:r w:rsidR="170CA1A5" w:rsidRPr="09CA0190">
        <w:rPr>
          <w:noProof/>
        </w:rPr>
        <w:t xml:space="preserve">an EU27 average of </w:t>
      </w:r>
      <w:r w:rsidRPr="09CA0190">
        <w:rPr>
          <w:noProof/>
        </w:rPr>
        <w:t>-0.</w:t>
      </w:r>
      <w:r w:rsidR="006510BF">
        <w:rPr>
          <w:noProof/>
        </w:rPr>
        <w:t xml:space="preserve">80 </w:t>
      </w:r>
      <w:r w:rsidRPr="09CA0190">
        <w:rPr>
          <w:noProof/>
        </w:rPr>
        <w:t>% (</w:t>
      </w:r>
      <w:r w:rsidR="1F2D0960" w:rsidRPr="09CA0190">
        <w:rPr>
          <w:noProof/>
        </w:rPr>
        <w:t xml:space="preserve">or </w:t>
      </w:r>
      <w:r w:rsidRPr="09CA0190">
        <w:rPr>
          <w:noProof/>
        </w:rPr>
        <w:t xml:space="preserve">EUR </w:t>
      </w:r>
      <w:r w:rsidR="005E5BFB">
        <w:rPr>
          <w:noProof/>
        </w:rPr>
        <w:t>6</w:t>
      </w:r>
      <w:r w:rsidR="00AB4201">
        <w:rPr>
          <w:noProof/>
        </w:rPr>
        <w:t xml:space="preserve"> </w:t>
      </w:r>
      <w:r w:rsidR="78436070">
        <w:rPr>
          <w:noProof/>
        </w:rPr>
        <w:t>651</w:t>
      </w:r>
      <w:r w:rsidR="00D959A2">
        <w:rPr>
          <w:noProof/>
        </w:rPr>
        <w:t xml:space="preserve"> </w:t>
      </w:r>
      <w:r w:rsidRPr="09CA0190">
        <w:rPr>
          <w:noProof/>
        </w:rPr>
        <w:t>million</w:t>
      </w:r>
      <w:r w:rsidR="5C6C3101" w:rsidRPr="09CA0190">
        <w:rPr>
          <w:noProof/>
        </w:rPr>
        <w:t xml:space="preserve"> for 2030</w:t>
      </w:r>
      <w:r w:rsidRPr="09CA0190">
        <w:rPr>
          <w:noProof/>
        </w:rPr>
        <w:t>)</w:t>
      </w:r>
      <w:r w:rsidR="008C7BE2">
        <w:rPr>
          <w:noProof/>
        </w:rPr>
        <w:t xml:space="preserve"> </w:t>
      </w:r>
      <w:r w:rsidRPr="09CA0190">
        <w:rPr>
          <w:noProof/>
        </w:rPr>
        <w:t xml:space="preserve">of the EU automotive sector’s value added for </w:t>
      </w:r>
      <w:r w:rsidRPr="09CA0190">
        <w:rPr>
          <w:rFonts w:eastAsia="Calibri"/>
          <w:noProof/>
        </w:rPr>
        <w:t>2025</w:t>
      </w:r>
      <w:r w:rsidRPr="09CA0190">
        <w:rPr>
          <w:noProof/>
        </w:rPr>
        <w:t>-2030, with respect to a baseline scenario without IAA measures.</w:t>
      </w:r>
      <w:r w:rsidR="00285741" w:rsidRPr="09CA0190">
        <w:rPr>
          <w:rStyle w:val="FootnoteReference"/>
          <w:noProof/>
        </w:rPr>
        <w:footnoteReference w:id="236"/>
      </w:r>
      <w:r w:rsidR="00061A14">
        <w:rPr>
          <w:noProof/>
        </w:rPr>
        <w:t xml:space="preserve"> </w:t>
      </w:r>
    </w:p>
    <w:p w14:paraId="21118395" w14:textId="487EEF9A" w:rsidR="00285741" w:rsidRDefault="7C355CBF">
      <w:pPr>
        <w:pStyle w:val="Text2"/>
        <w:spacing w:after="120"/>
        <w:ind w:left="0"/>
        <w:rPr>
          <w:rFonts w:eastAsia="Calibri"/>
          <w:noProof/>
        </w:rPr>
      </w:pPr>
      <w:r>
        <w:rPr>
          <w:noProof/>
        </w:rPr>
        <w:t>I</w:t>
      </w:r>
      <w:r w:rsidRPr="78117C66">
        <w:rPr>
          <w:noProof/>
        </w:rPr>
        <w:t xml:space="preserve">ntroducing a minimum </w:t>
      </w:r>
      <w:r w:rsidR="6E3F9A2F">
        <w:rPr>
          <w:noProof/>
        </w:rPr>
        <w:t>Made in EU</w:t>
      </w:r>
      <w:r w:rsidRPr="78117C66">
        <w:rPr>
          <w:noProof/>
        </w:rPr>
        <w:t xml:space="preserve"> requirement for cement used in the </w:t>
      </w:r>
      <w:r w:rsidRPr="00AB4201">
        <w:rPr>
          <w:b/>
          <w:noProof/>
        </w:rPr>
        <w:t>construction sector</w:t>
      </w:r>
      <w:r w:rsidRPr="78117C66">
        <w:rPr>
          <w:noProof/>
        </w:rPr>
        <w:t xml:space="preserve"> would </w:t>
      </w:r>
      <w:r w:rsidRPr="00801C0E">
        <w:rPr>
          <w:noProof/>
        </w:rPr>
        <w:t xml:space="preserve">reduce </w:t>
      </w:r>
      <w:r>
        <w:rPr>
          <w:noProof/>
        </w:rPr>
        <w:t>the EU construction sector’s value added</w:t>
      </w:r>
      <w:r w:rsidRPr="00801C0E">
        <w:rPr>
          <w:noProof/>
        </w:rPr>
        <w:t xml:space="preserve"> by </w:t>
      </w:r>
      <w:r w:rsidR="29CE0E2E" w:rsidRPr="00801C0E">
        <w:rPr>
          <w:noProof/>
        </w:rPr>
        <w:t>an EU27 average of</w:t>
      </w:r>
      <w:r w:rsidRPr="00801C0E">
        <w:rPr>
          <w:noProof/>
        </w:rPr>
        <w:t xml:space="preserve"> </w:t>
      </w:r>
      <w:r>
        <w:rPr>
          <w:noProof/>
        </w:rPr>
        <w:t>-</w:t>
      </w:r>
      <w:r w:rsidRPr="00801C0E">
        <w:rPr>
          <w:noProof/>
        </w:rPr>
        <w:t>1.</w:t>
      </w:r>
      <w:r w:rsidR="003C0D7E">
        <w:rPr>
          <w:noProof/>
        </w:rPr>
        <w:t xml:space="preserve">69 </w:t>
      </w:r>
      <w:r w:rsidRPr="00801C0E">
        <w:rPr>
          <w:noProof/>
        </w:rPr>
        <w:t>%</w:t>
      </w:r>
      <w:r>
        <w:rPr>
          <w:noProof/>
        </w:rPr>
        <w:t xml:space="preserve"> (</w:t>
      </w:r>
      <w:r w:rsidRPr="0090578E">
        <w:rPr>
          <w:noProof/>
        </w:rPr>
        <w:t>EUR</w:t>
      </w:r>
      <w:r w:rsidRPr="0090578E" w:rsidDel="003C0D7E">
        <w:rPr>
          <w:noProof/>
        </w:rPr>
        <w:t xml:space="preserve"> </w:t>
      </w:r>
      <w:r w:rsidR="009D5E5F">
        <w:rPr>
          <w:noProof/>
        </w:rPr>
        <w:t>1</w:t>
      </w:r>
      <w:r w:rsidR="2175B86D">
        <w:rPr>
          <w:noProof/>
        </w:rPr>
        <w:t>3</w:t>
      </w:r>
      <w:r w:rsidR="00AB4201">
        <w:rPr>
          <w:noProof/>
        </w:rPr>
        <w:t xml:space="preserve"> </w:t>
      </w:r>
      <w:r w:rsidR="2175B86D">
        <w:rPr>
          <w:noProof/>
        </w:rPr>
        <w:t>996</w:t>
      </w:r>
      <w:r w:rsidR="000631AA">
        <w:rPr>
          <w:noProof/>
        </w:rPr>
        <w:t xml:space="preserve"> million</w:t>
      </w:r>
      <w:r>
        <w:rPr>
          <w:noProof/>
        </w:rPr>
        <w:t xml:space="preserve">) </w:t>
      </w:r>
      <w:r w:rsidRPr="000272AD">
        <w:rPr>
          <w:noProof/>
        </w:rPr>
        <w:t>for 2025-2030 with respect to a baseline where no IAA measures are applied</w:t>
      </w:r>
      <w:r>
        <w:rPr>
          <w:noProof/>
        </w:rPr>
        <w:t>.</w:t>
      </w:r>
      <w:r w:rsidR="00285741" w:rsidRPr="000272AD">
        <w:rPr>
          <w:rStyle w:val="FootnoteReference"/>
          <w:noProof/>
        </w:rPr>
        <w:footnoteReference w:id="237"/>
      </w:r>
      <w:r w:rsidRPr="00C15197">
        <w:rPr>
          <w:rFonts w:eastAsia="Calibri"/>
          <w:noProof/>
        </w:rPr>
        <w:t xml:space="preserve"> </w:t>
      </w:r>
    </w:p>
    <w:p w14:paraId="37F1C0EC" w14:textId="4EE6B5F2" w:rsidR="00285741" w:rsidRDefault="00285741">
      <w:pPr>
        <w:pStyle w:val="Text2"/>
        <w:spacing w:after="120"/>
        <w:ind w:left="0"/>
        <w:rPr>
          <w:rFonts w:eastAsia="Calibri"/>
          <w:noProof/>
        </w:rPr>
      </w:pPr>
      <w:r w:rsidRPr="162BDF23">
        <w:rPr>
          <w:noProof/>
          <w:szCs w:val="24"/>
        </w:rPr>
        <w:t xml:space="preserve">The overall negative impact primarily arises from the fact that downstream sectors—those with a larger economic contribution to the EU GDP than the cement, steel, and aluminium industries—face increased costs due to </w:t>
      </w:r>
      <w:r w:rsidRPr="2DD904C3">
        <w:rPr>
          <w:noProof/>
        </w:rPr>
        <w:t xml:space="preserve">increased </w:t>
      </w:r>
      <w:r w:rsidR="00E83DDC">
        <w:rPr>
          <w:noProof/>
          <w:szCs w:val="24"/>
        </w:rPr>
        <w:t>Made in EU</w:t>
      </w:r>
      <w:r w:rsidRPr="162BDF23">
        <w:rPr>
          <w:noProof/>
          <w:szCs w:val="24"/>
        </w:rPr>
        <w:t xml:space="preserve"> requirements.</w:t>
      </w:r>
    </w:p>
    <w:p w14:paraId="5082F6C0" w14:textId="010A3F6D" w:rsidR="00285741" w:rsidRDefault="7C355CBF">
      <w:pPr>
        <w:pStyle w:val="Text2"/>
        <w:spacing w:after="120"/>
        <w:ind w:left="0"/>
        <w:rPr>
          <w:noProof/>
        </w:rPr>
      </w:pPr>
      <w:r w:rsidRPr="78117C66">
        <w:rPr>
          <w:noProof/>
        </w:rPr>
        <w:t>There are however disparities across the cement-related products</w:t>
      </w:r>
      <w:r>
        <w:rPr>
          <w:noProof/>
        </w:rPr>
        <w:t xml:space="preserve"> and across Member States. T</w:t>
      </w:r>
      <w:r w:rsidRPr="78117C66">
        <w:rPr>
          <w:noProof/>
        </w:rPr>
        <w:t xml:space="preserve">he EU has been consistently a net exporter of cement, while it relied on imports to meet its </w:t>
      </w:r>
      <w:r w:rsidRPr="78117C66">
        <w:rPr>
          <w:noProof/>
        </w:rPr>
        <w:lastRenderedPageBreak/>
        <w:t>demand in clinker before the financial crisis and again in 2021.</w:t>
      </w:r>
      <w:r w:rsidR="00285741" w:rsidRPr="009264B4">
        <w:rPr>
          <w:noProof/>
          <w:vertAlign w:val="superscript"/>
        </w:rPr>
        <w:footnoteReference w:id="238"/>
      </w:r>
      <w:r w:rsidRPr="78117C66">
        <w:rPr>
          <w:noProof/>
        </w:rPr>
        <w:t xml:space="preserve"> </w:t>
      </w:r>
      <w:r>
        <w:rPr>
          <w:noProof/>
        </w:rPr>
        <w:t xml:space="preserve">In addition, </w:t>
      </w:r>
      <w:r w:rsidRPr="78117C66">
        <w:rPr>
          <w:noProof/>
        </w:rPr>
        <w:t>Member States where there is a higher cross-border trade with third countries due to geographical proximity</w:t>
      </w:r>
      <w:r>
        <w:rPr>
          <w:noProof/>
        </w:rPr>
        <w:t xml:space="preserve"> would be more affected</w:t>
      </w:r>
      <w:r w:rsidRPr="78117C66">
        <w:rPr>
          <w:noProof/>
        </w:rPr>
        <w:t xml:space="preserve">. This is the case for Southern European regions, exposed to trading with Northern Africa, </w:t>
      </w:r>
      <w:r>
        <w:rPr>
          <w:noProof/>
        </w:rPr>
        <w:t xml:space="preserve">and </w:t>
      </w:r>
      <w:r w:rsidRPr="78117C66">
        <w:rPr>
          <w:noProof/>
        </w:rPr>
        <w:t>Eastern European regions</w:t>
      </w:r>
      <w:r w:rsidRPr="00CF06C8">
        <w:rPr>
          <w:noProof/>
        </w:rPr>
        <w:t xml:space="preserve">. </w:t>
      </w:r>
      <w:r w:rsidR="69D02CC1" w:rsidRPr="00CF06C8">
        <w:rPr>
          <w:noProof/>
        </w:rPr>
        <w:t xml:space="preserve">It should be noted that </w:t>
      </w:r>
      <w:r w:rsidR="00623AEF" w:rsidRPr="00CF06C8">
        <w:rPr>
          <w:noProof/>
        </w:rPr>
        <w:t>in the</w:t>
      </w:r>
      <w:r w:rsidR="69D02CC1" w:rsidRPr="00CF06C8">
        <w:rPr>
          <w:noProof/>
        </w:rPr>
        <w:t xml:space="preserve"> modelling exercise, the relevant demand was only met by </w:t>
      </w:r>
      <w:r w:rsidR="00F47A2F" w:rsidRPr="00CF06C8">
        <w:rPr>
          <w:noProof/>
        </w:rPr>
        <w:t>EU</w:t>
      </w:r>
      <w:r w:rsidR="69D02CC1" w:rsidRPr="00CF06C8">
        <w:rPr>
          <w:noProof/>
        </w:rPr>
        <w:t xml:space="preserve"> Member States supply</w:t>
      </w:r>
      <w:r w:rsidR="002C1691" w:rsidRPr="00CF06C8">
        <w:rPr>
          <w:noProof/>
        </w:rPr>
        <w:t xml:space="preserve"> and EEA countries</w:t>
      </w:r>
      <w:r w:rsidR="69D02CC1" w:rsidRPr="00CF06C8">
        <w:rPr>
          <w:noProof/>
        </w:rPr>
        <w:t xml:space="preserve">, </w:t>
      </w:r>
      <w:r w:rsidR="3E53F2DA" w:rsidRPr="00CF06C8">
        <w:rPr>
          <w:noProof/>
        </w:rPr>
        <w:t>meaning that it</w:t>
      </w:r>
      <w:r w:rsidR="69D02CC1" w:rsidRPr="00CF06C8">
        <w:rPr>
          <w:noProof/>
        </w:rPr>
        <w:t xml:space="preserve"> does</w:t>
      </w:r>
      <w:r w:rsidR="4F5018DB" w:rsidRPr="00CF06C8">
        <w:rPr>
          <w:noProof/>
        </w:rPr>
        <w:t xml:space="preserve"> </w:t>
      </w:r>
      <w:r w:rsidR="69D02CC1" w:rsidRPr="00CF06C8">
        <w:rPr>
          <w:noProof/>
        </w:rPr>
        <w:t>n</w:t>
      </w:r>
      <w:r w:rsidR="4F5018DB" w:rsidRPr="00CF06C8">
        <w:rPr>
          <w:noProof/>
        </w:rPr>
        <w:t>o</w:t>
      </w:r>
      <w:r w:rsidR="69D02CC1" w:rsidRPr="00CF06C8">
        <w:rPr>
          <w:noProof/>
        </w:rPr>
        <w:t>t consider any potential third country imports which c</w:t>
      </w:r>
      <w:r w:rsidR="009D4A67" w:rsidRPr="00CF06C8">
        <w:rPr>
          <w:noProof/>
        </w:rPr>
        <w:t>ould</w:t>
      </w:r>
      <w:r w:rsidR="69D02CC1" w:rsidRPr="00CF06C8">
        <w:rPr>
          <w:noProof/>
        </w:rPr>
        <w:t xml:space="preserve"> alleviate the</w:t>
      </w:r>
      <w:r w:rsidR="007E129F" w:rsidRPr="00CF06C8">
        <w:rPr>
          <w:noProof/>
        </w:rPr>
        <w:t xml:space="preserve"> </w:t>
      </w:r>
      <w:r w:rsidR="69D02CC1" w:rsidRPr="00CF06C8">
        <w:rPr>
          <w:noProof/>
        </w:rPr>
        <w:t>impacts to downstream sectors</w:t>
      </w:r>
      <w:r w:rsidR="00721747" w:rsidRPr="00CF06C8">
        <w:rPr>
          <w:noProof/>
        </w:rPr>
        <w:t xml:space="preserve"> assessed</w:t>
      </w:r>
      <w:r w:rsidR="69D02CC1" w:rsidRPr="00CF06C8">
        <w:rPr>
          <w:noProof/>
        </w:rPr>
        <w:t>.</w:t>
      </w:r>
      <w:r w:rsidR="62D8E97F" w:rsidRPr="00CF06C8">
        <w:rPr>
          <w:noProof/>
        </w:rPr>
        <w:t xml:space="preserve"> </w:t>
      </w:r>
    </w:p>
    <w:p w14:paraId="4B40F57F" w14:textId="77777777" w:rsidR="00285741" w:rsidRDefault="00285741">
      <w:pPr>
        <w:pStyle w:val="Text2"/>
        <w:spacing w:after="120"/>
        <w:ind w:left="0"/>
        <w:rPr>
          <w:noProof/>
        </w:rPr>
      </w:pPr>
      <w:r>
        <w:rPr>
          <w:noProof/>
        </w:rPr>
        <w:t>Measures applicable to the construction sector could have significant impacts on the aggregated administrative costs for relevant companies in the EU to show compliance with the measures. To minimise these impacts, an exemption could be considered for micro and small companies as they are not expected to fundamentally impact lead market provisions due to the size of their projects.</w:t>
      </w:r>
    </w:p>
    <w:p w14:paraId="1616E97F" w14:textId="004A93CD" w:rsidR="00285741" w:rsidRPr="008F2439" w:rsidRDefault="00285741">
      <w:pPr>
        <w:pStyle w:val="Text2"/>
        <w:spacing w:after="120"/>
        <w:ind w:left="0"/>
        <w:rPr>
          <w:noProof/>
        </w:rPr>
      </w:pPr>
      <w:r>
        <w:rPr>
          <w:b/>
          <w:bCs/>
          <w:noProof/>
        </w:rPr>
        <w:t xml:space="preserve">LEAD_BAT 2 / </w:t>
      </w:r>
      <w:r w:rsidRPr="00BB1B33">
        <w:rPr>
          <w:b/>
          <w:bCs/>
          <w:noProof/>
        </w:rPr>
        <w:t>LEAD _SOL 2</w:t>
      </w:r>
      <w:r w:rsidRPr="3285770D" w:rsidDel="00B86654">
        <w:rPr>
          <w:b/>
          <w:bCs/>
          <w:noProof/>
        </w:rPr>
        <w:t xml:space="preserve"> </w:t>
      </w:r>
      <w:r>
        <w:rPr>
          <w:b/>
          <w:bCs/>
          <w:noProof/>
        </w:rPr>
        <w:t>-</w:t>
      </w:r>
      <w:r>
        <w:rPr>
          <w:b/>
          <w:noProof/>
        </w:rPr>
        <w:t xml:space="preserve"> </w:t>
      </w:r>
      <w:r>
        <w:rPr>
          <w:noProof/>
        </w:rPr>
        <w:t xml:space="preserve">Unlike measures limited to public procurement or public support, this approach would affect the whole market. Higher battery prices would impact the affordability and uptake of EVs and BESS, potentially slowing down their deployment. This, in turn, may also affect demand for EU-made batteries, influencing the pace of new investments in battery manufacturing. </w:t>
      </w:r>
      <w:r w:rsidRPr="000631A8">
        <w:rPr>
          <w:noProof/>
        </w:rPr>
        <w:t>Ensuring cost competitiveness alongside scaling up production capacity will therefore be key to sustaining demand growth and strengthening the investment case for EU battery manufacturing.</w:t>
      </w:r>
      <w:r>
        <w:rPr>
          <w:noProof/>
        </w:rPr>
        <w:t xml:space="preserve"> Additionally, ensuring adequate supply would be a challenge. Current EU battery production capacity does not match projected demand, as outlined in the previous </w:t>
      </w:r>
      <w:r w:rsidR="0031028A">
        <w:rPr>
          <w:noProof/>
        </w:rPr>
        <w:t>S</w:t>
      </w:r>
      <w:r>
        <w:rPr>
          <w:noProof/>
        </w:rPr>
        <w:t xml:space="preserve">ection. This measure would require a timely scale-up to prevent the gap from driving up prices and delaying project timelines. </w:t>
      </w:r>
    </w:p>
    <w:p w14:paraId="0808773F" w14:textId="77777777" w:rsidR="00285741" w:rsidRPr="00801C0E" w:rsidRDefault="00285741">
      <w:pPr>
        <w:pStyle w:val="Text2"/>
        <w:spacing w:after="120"/>
        <w:ind w:left="0"/>
        <w:rPr>
          <w:noProof/>
        </w:rPr>
      </w:pPr>
      <w:r w:rsidRPr="000272AD">
        <w:rPr>
          <w:noProof/>
        </w:rPr>
        <w:t xml:space="preserve">As regards solar, the proposed measure could negatively impact downstream sectors involved in solar deployment. Increased regulatory complexity and increased investment costs in the short-term could slow down the development of utility-scale solar farms, with implications for project developers, engineering firms, equipment suppliers, and grid operators. While this may initially affect project pipelines, it can also encourage more resilient supply chains and greater transparency in the market. </w:t>
      </w:r>
      <w:r>
        <w:rPr>
          <w:noProof/>
        </w:rPr>
        <w:t>Buyers, particularly in offtake agreements or PPAs, may face increased due diligence obligations to certify compliance.</w:t>
      </w:r>
    </w:p>
    <w:p w14:paraId="47D351A7" w14:textId="19FD93F5" w:rsidR="00285741" w:rsidRPr="00716256" w:rsidRDefault="00285741">
      <w:pPr>
        <w:pStyle w:val="Text2"/>
        <w:spacing w:after="120"/>
        <w:ind w:left="0"/>
        <w:rPr>
          <w:noProof/>
          <w:lang w:val="en-IE"/>
        </w:rPr>
      </w:pPr>
      <w:r w:rsidRPr="000272AD">
        <w:rPr>
          <w:b/>
          <w:noProof/>
        </w:rPr>
        <w:t>LEAD_VC 2</w:t>
      </w:r>
      <w:r w:rsidRPr="00801C0E">
        <w:rPr>
          <w:noProof/>
        </w:rPr>
        <w:t xml:space="preserve"> – Similarly to LEAD_VC 1, </w:t>
      </w:r>
      <w:r>
        <w:rPr>
          <w:noProof/>
        </w:rPr>
        <w:t>g</w:t>
      </w:r>
      <w:r w:rsidRPr="00700D48">
        <w:rPr>
          <w:noProof/>
        </w:rPr>
        <w:t xml:space="preserve">iven the estimated current level of 70% </w:t>
      </w:r>
      <w:r w:rsidR="00E83DDC">
        <w:rPr>
          <w:noProof/>
        </w:rPr>
        <w:t>Made in EU</w:t>
      </w:r>
      <w:r w:rsidRPr="00700D48">
        <w:rPr>
          <w:noProof/>
        </w:rPr>
        <w:t xml:space="preserve"> in the </w:t>
      </w:r>
      <w:r>
        <w:rPr>
          <w:noProof/>
        </w:rPr>
        <w:t>EVs</w:t>
      </w:r>
      <w:r w:rsidRPr="00700D48">
        <w:rPr>
          <w:noProof/>
        </w:rPr>
        <w:t xml:space="preserve">, the measure would not lead to any further costs for EU EV manufacturers in 2027 </w:t>
      </w:r>
      <w:r w:rsidR="005F3121" w:rsidRPr="00700D48">
        <w:rPr>
          <w:noProof/>
        </w:rPr>
        <w:t>to</w:t>
      </w:r>
      <w:r w:rsidRPr="00700D48">
        <w:rPr>
          <w:noProof/>
        </w:rPr>
        <w:t xml:space="preserve"> comply. As the target is increased to 75% by 2030, the measure would represent a cost increase of EUR </w:t>
      </w:r>
      <w:r>
        <w:rPr>
          <w:noProof/>
        </w:rPr>
        <w:t>2.36</w:t>
      </w:r>
      <w:r w:rsidRPr="00700D48">
        <w:rPr>
          <w:noProof/>
        </w:rPr>
        <w:t xml:space="preserve"> billion for EU EV manufacturers, which on the other hand would be offset by </w:t>
      </w:r>
      <w:r w:rsidRPr="007B7ACD">
        <w:rPr>
          <w:noProof/>
        </w:rPr>
        <w:t>the increase of sales</w:t>
      </w:r>
      <w:r>
        <w:rPr>
          <w:noProof/>
        </w:rPr>
        <w:t xml:space="preserve">. </w:t>
      </w:r>
      <w:r w:rsidRPr="00700D48">
        <w:rPr>
          <w:noProof/>
        </w:rPr>
        <w:t>EU EV manufacturers are expected to benefit from a sales increase of EUR 1</w:t>
      </w:r>
      <w:r>
        <w:rPr>
          <w:noProof/>
        </w:rPr>
        <w:t>6</w:t>
      </w:r>
      <w:r w:rsidRPr="00700D48">
        <w:rPr>
          <w:noProof/>
        </w:rPr>
        <w:t>.</w:t>
      </w:r>
      <w:r>
        <w:rPr>
          <w:noProof/>
        </w:rPr>
        <w:t>7</w:t>
      </w:r>
      <w:r w:rsidRPr="00700D48">
        <w:rPr>
          <w:noProof/>
        </w:rPr>
        <w:t xml:space="preserve"> billion across all vehicle segments in 2027 and EUR </w:t>
      </w:r>
      <w:r>
        <w:rPr>
          <w:noProof/>
        </w:rPr>
        <w:t>10.7</w:t>
      </w:r>
      <w:r w:rsidRPr="00700D48">
        <w:rPr>
          <w:noProof/>
        </w:rPr>
        <w:t xml:space="preserve"> billion in 2030. The increase in sales is presumed to offset the cost increase for passenger cars and LCVs, however, not for HDVs. </w:t>
      </w:r>
      <w:r>
        <w:rPr>
          <w:noProof/>
        </w:rPr>
        <w:t>Finally</w:t>
      </w:r>
      <w:r w:rsidRPr="00DB206C">
        <w:rPr>
          <w:noProof/>
        </w:rPr>
        <w:t>, LEAD_VC 2 is projected to lead to the generation of EUR 6.6 billion Global Value Added (GVA) in 2027 and EUR 5.4 billion in 2030 when assessing the impact, taking into account only the first tier of the value chain.</w:t>
      </w:r>
      <w:r w:rsidR="00716256">
        <w:rPr>
          <w:noProof/>
        </w:rPr>
        <w:t xml:space="preserve"> </w:t>
      </w:r>
      <w:r w:rsidR="00731FD5">
        <w:rPr>
          <w:noProof/>
        </w:rPr>
        <w:t>T</w:t>
      </w:r>
      <w:r w:rsidR="00731FD5" w:rsidRPr="00731FD5">
        <w:rPr>
          <w:noProof/>
        </w:rPr>
        <w:t>he positive impacts can also be perceived throughout the value chain for intermediate inputs, reaching this time higher benefits, EUR 12.6 billion in 2027, and EUR 11.5 billion in 2030 in value added.</w:t>
      </w:r>
      <w:r w:rsidR="00731FD5">
        <w:rPr>
          <w:noProof/>
        </w:rPr>
        <w:t xml:space="preserve"> </w:t>
      </w:r>
    </w:p>
    <w:p w14:paraId="10F03C20" w14:textId="77777777" w:rsidR="00285741" w:rsidRPr="00195EC6" w:rsidRDefault="00285741" w:rsidP="00CF06C8">
      <w:pPr>
        <w:pStyle w:val="Heading4"/>
        <w:numPr>
          <w:ilvl w:val="3"/>
          <w:numId w:val="64"/>
        </w:numPr>
        <w:spacing w:after="120"/>
        <w:ind w:left="142" w:firstLine="130"/>
        <w:rPr>
          <w:b/>
          <w:bCs/>
          <w:noProof/>
          <w:color w:val="auto"/>
        </w:rPr>
      </w:pPr>
      <w:r w:rsidRPr="00195EC6">
        <w:rPr>
          <w:b/>
          <w:bCs/>
          <w:noProof/>
          <w:color w:val="auto"/>
        </w:rPr>
        <w:t>Impact on citizens and consumers</w:t>
      </w:r>
    </w:p>
    <w:p w14:paraId="0A3F030D" w14:textId="37C28BAE" w:rsidR="00537BAA" w:rsidRDefault="7C355CBF" w:rsidP="00CF06C8">
      <w:pPr>
        <w:pStyle w:val="Text2"/>
        <w:spacing w:after="120"/>
        <w:ind w:left="0"/>
        <w:rPr>
          <w:noProof/>
          <w:color w:val="000000" w:themeColor="text1"/>
          <w:szCs w:val="24"/>
        </w:rPr>
      </w:pPr>
      <w:r w:rsidRPr="1A2A8689">
        <w:rPr>
          <w:b/>
          <w:bCs/>
          <w:noProof/>
        </w:rPr>
        <w:t xml:space="preserve">LEAD_EII 3 </w:t>
      </w:r>
      <w:r w:rsidR="3E491F97" w:rsidRPr="1A2A8689">
        <w:rPr>
          <w:noProof/>
          <w:color w:val="000000" w:themeColor="text1"/>
          <w:szCs w:val="24"/>
        </w:rPr>
        <w:t xml:space="preserve">would have a </w:t>
      </w:r>
      <w:r w:rsidR="00EB257B">
        <w:rPr>
          <w:noProof/>
          <w:color w:val="000000" w:themeColor="text1"/>
          <w:szCs w:val="24"/>
        </w:rPr>
        <w:t>much higher impact</w:t>
      </w:r>
      <w:r w:rsidR="3E491F97" w:rsidRPr="1A2A8689">
        <w:rPr>
          <w:noProof/>
          <w:color w:val="000000" w:themeColor="text1"/>
          <w:szCs w:val="24"/>
        </w:rPr>
        <w:t xml:space="preserve"> on consumers</w:t>
      </w:r>
      <w:r w:rsidR="00EB257B">
        <w:rPr>
          <w:noProof/>
          <w:color w:val="000000" w:themeColor="text1"/>
          <w:szCs w:val="24"/>
        </w:rPr>
        <w:t xml:space="preserve"> in terms of facing cost increase, </w:t>
      </w:r>
      <w:r w:rsidR="3E491F97" w:rsidRPr="1A2A8689">
        <w:rPr>
          <w:noProof/>
          <w:color w:val="000000" w:themeColor="text1"/>
          <w:szCs w:val="24"/>
        </w:rPr>
        <w:t xml:space="preserve">as the associated ‘green premium’ is likely to be passed on to consumers </w:t>
      </w:r>
      <w:r w:rsidR="00A76144">
        <w:rPr>
          <w:noProof/>
          <w:color w:val="000000" w:themeColor="text1"/>
          <w:szCs w:val="24"/>
        </w:rPr>
        <w:t xml:space="preserve">via higher </w:t>
      </w:r>
      <w:r w:rsidR="00EB257B">
        <w:rPr>
          <w:noProof/>
          <w:color w:val="000000" w:themeColor="text1"/>
          <w:szCs w:val="24"/>
        </w:rPr>
        <w:t xml:space="preserve">final good </w:t>
      </w:r>
      <w:r w:rsidR="00A76144">
        <w:rPr>
          <w:noProof/>
          <w:color w:val="000000" w:themeColor="text1"/>
          <w:szCs w:val="24"/>
        </w:rPr>
        <w:t xml:space="preserve">prices </w:t>
      </w:r>
      <w:r w:rsidR="3E491F97" w:rsidRPr="1A2A8689">
        <w:rPr>
          <w:noProof/>
          <w:color w:val="000000" w:themeColor="text1"/>
          <w:szCs w:val="24"/>
        </w:rPr>
        <w:t xml:space="preserve">(until cost parity is reached). </w:t>
      </w:r>
      <w:r w:rsidR="00A31E0B">
        <w:rPr>
          <w:noProof/>
          <w:color w:val="000000" w:themeColor="text1"/>
          <w:szCs w:val="24"/>
        </w:rPr>
        <w:t xml:space="preserve">However, as outlined before, the </w:t>
      </w:r>
      <w:r w:rsidR="00C115BA">
        <w:rPr>
          <w:noProof/>
          <w:color w:val="000000" w:themeColor="text1"/>
          <w:szCs w:val="24"/>
        </w:rPr>
        <w:t>low-carbon</w:t>
      </w:r>
      <w:r w:rsidR="00A31E0B">
        <w:rPr>
          <w:noProof/>
          <w:color w:val="000000" w:themeColor="text1"/>
          <w:szCs w:val="24"/>
        </w:rPr>
        <w:t xml:space="preserve"> cost increase </w:t>
      </w:r>
      <w:r w:rsidR="00A31E0B">
        <w:rPr>
          <w:noProof/>
          <w:color w:val="000000" w:themeColor="text1"/>
          <w:szCs w:val="24"/>
        </w:rPr>
        <w:lastRenderedPageBreak/>
        <w:t xml:space="preserve">per </w:t>
      </w:r>
      <w:r w:rsidR="00A76144">
        <w:rPr>
          <w:noProof/>
          <w:color w:val="000000" w:themeColor="text1"/>
          <w:szCs w:val="24"/>
        </w:rPr>
        <w:t xml:space="preserve">passenger </w:t>
      </w:r>
      <w:r w:rsidR="00A31E0B">
        <w:rPr>
          <w:noProof/>
          <w:color w:val="000000" w:themeColor="text1"/>
          <w:szCs w:val="24"/>
        </w:rPr>
        <w:t>vehicle</w:t>
      </w:r>
      <w:r w:rsidR="00BD2AF3">
        <w:rPr>
          <w:noProof/>
          <w:color w:val="000000" w:themeColor="text1"/>
          <w:szCs w:val="24"/>
        </w:rPr>
        <w:t xml:space="preserve"> </w:t>
      </w:r>
      <w:r w:rsidR="00C115BA">
        <w:rPr>
          <w:noProof/>
          <w:color w:val="000000" w:themeColor="text1"/>
          <w:szCs w:val="24"/>
        </w:rPr>
        <w:t xml:space="preserve">for </w:t>
      </w:r>
      <w:r w:rsidR="00157AAC">
        <w:rPr>
          <w:noProof/>
          <w:color w:val="000000" w:themeColor="text1"/>
          <w:szCs w:val="24"/>
        </w:rPr>
        <w:t xml:space="preserve">including a 25% target </w:t>
      </w:r>
      <w:r w:rsidR="00332B62">
        <w:rPr>
          <w:noProof/>
          <w:color w:val="000000" w:themeColor="text1"/>
          <w:szCs w:val="24"/>
        </w:rPr>
        <w:t xml:space="preserve">for both low-carbon </w:t>
      </w:r>
      <w:r w:rsidR="00C115BA">
        <w:rPr>
          <w:noProof/>
          <w:color w:val="000000" w:themeColor="text1"/>
          <w:szCs w:val="24"/>
        </w:rPr>
        <w:t>steel and aluminium</w:t>
      </w:r>
      <w:r w:rsidR="00BD2AF3">
        <w:rPr>
          <w:noProof/>
          <w:color w:val="000000" w:themeColor="text1"/>
          <w:szCs w:val="24"/>
        </w:rPr>
        <w:t xml:space="preserve"> </w:t>
      </w:r>
      <w:r w:rsidR="00EB257B">
        <w:rPr>
          <w:noProof/>
          <w:color w:val="000000" w:themeColor="text1"/>
          <w:szCs w:val="24"/>
        </w:rPr>
        <w:t xml:space="preserve">is considered </w:t>
      </w:r>
      <w:r w:rsidR="00A31E0B">
        <w:rPr>
          <w:noProof/>
          <w:color w:val="000000" w:themeColor="text1"/>
          <w:szCs w:val="24"/>
        </w:rPr>
        <w:t>minimal</w:t>
      </w:r>
      <w:r w:rsidR="00C115BA">
        <w:rPr>
          <w:noProof/>
          <w:color w:val="000000" w:themeColor="text1"/>
          <w:szCs w:val="24"/>
        </w:rPr>
        <w:t>,</w:t>
      </w:r>
      <w:r w:rsidR="00A31E0B">
        <w:rPr>
          <w:noProof/>
          <w:color w:val="000000" w:themeColor="text1"/>
          <w:szCs w:val="24"/>
        </w:rPr>
        <w:t xml:space="preserve"> </w:t>
      </w:r>
      <w:r w:rsidR="00BD2AF3" w:rsidRPr="00EB257B">
        <w:rPr>
          <w:noProof/>
          <w:color w:val="000000" w:themeColor="text1"/>
        </w:rPr>
        <w:t>EUR 69.27</w:t>
      </w:r>
      <w:r w:rsidR="00BD2AF3" w:rsidRPr="00EB257B">
        <w:rPr>
          <w:noProof/>
          <w:color w:val="000000" w:themeColor="text1"/>
          <w:szCs w:val="24"/>
        </w:rPr>
        <w:t>.</w:t>
      </w:r>
      <w:r w:rsidR="00332B62">
        <w:rPr>
          <w:noProof/>
          <w:color w:val="000000" w:themeColor="text1"/>
          <w:szCs w:val="24"/>
        </w:rPr>
        <w:t xml:space="preserve"> </w:t>
      </w:r>
    </w:p>
    <w:p w14:paraId="69D4B013" w14:textId="08842745" w:rsidR="7C355CBF" w:rsidRPr="00EB257B" w:rsidRDefault="00332B62" w:rsidP="00CF06C8">
      <w:pPr>
        <w:pStyle w:val="Text2"/>
        <w:spacing w:after="120"/>
        <w:ind w:left="0"/>
        <w:rPr>
          <w:noProof/>
          <w:color w:val="000000" w:themeColor="text1"/>
        </w:rPr>
      </w:pPr>
      <w:r w:rsidRPr="0305FF0E">
        <w:rPr>
          <w:noProof/>
          <w:color w:val="000000" w:themeColor="text1"/>
        </w:rPr>
        <w:t>However, th</w:t>
      </w:r>
      <w:r w:rsidR="005435BC" w:rsidRPr="0305FF0E">
        <w:rPr>
          <w:noProof/>
          <w:color w:val="000000" w:themeColor="text1"/>
        </w:rPr>
        <w:t>ese</w:t>
      </w:r>
      <w:r w:rsidRPr="0305FF0E">
        <w:rPr>
          <w:noProof/>
          <w:color w:val="000000" w:themeColor="text1"/>
        </w:rPr>
        <w:t xml:space="preserve"> cost increases</w:t>
      </w:r>
      <w:r w:rsidR="00F41FFB" w:rsidRPr="0305FF0E">
        <w:rPr>
          <w:noProof/>
          <w:color w:val="000000" w:themeColor="text1"/>
        </w:rPr>
        <w:t xml:space="preserve"> </w:t>
      </w:r>
      <w:r w:rsidR="6B2CD54F" w:rsidRPr="3697671F">
        <w:rPr>
          <w:noProof/>
          <w:color w:val="000000" w:themeColor="text1"/>
        </w:rPr>
        <w:t xml:space="preserve">are </w:t>
      </w:r>
      <w:r w:rsidR="6B2CD54F" w:rsidRPr="1D9EB654">
        <w:rPr>
          <w:noProof/>
          <w:color w:val="000000" w:themeColor="text1"/>
        </w:rPr>
        <w:t>projected to</w:t>
      </w:r>
      <w:r w:rsidR="00F41FFB" w:rsidRPr="0305FF0E">
        <w:rPr>
          <w:noProof/>
          <w:color w:val="000000" w:themeColor="text1"/>
        </w:rPr>
        <w:t xml:space="preserve"> result in</w:t>
      </w:r>
      <w:r w:rsidR="0056112D" w:rsidRPr="0305FF0E">
        <w:rPr>
          <w:noProof/>
          <w:color w:val="000000" w:themeColor="text1"/>
        </w:rPr>
        <w:t xml:space="preserve"> a reduction of consumption from </w:t>
      </w:r>
      <w:r w:rsidR="007F5D20" w:rsidRPr="0305FF0E">
        <w:rPr>
          <w:noProof/>
          <w:color w:val="000000" w:themeColor="text1"/>
        </w:rPr>
        <w:t xml:space="preserve">household </w:t>
      </w:r>
      <w:r w:rsidR="0056112D" w:rsidRPr="0305FF0E">
        <w:rPr>
          <w:noProof/>
          <w:color w:val="000000" w:themeColor="text1"/>
        </w:rPr>
        <w:t>consumers</w:t>
      </w:r>
      <w:r w:rsidR="005435BC" w:rsidRPr="0305FF0E">
        <w:rPr>
          <w:noProof/>
          <w:color w:val="000000" w:themeColor="text1"/>
        </w:rPr>
        <w:t xml:space="preserve"> </w:t>
      </w:r>
      <w:r w:rsidR="007F5D20" w:rsidRPr="0305FF0E">
        <w:rPr>
          <w:noProof/>
          <w:color w:val="000000" w:themeColor="text1"/>
        </w:rPr>
        <w:t>of EUR 191</w:t>
      </w:r>
      <w:r w:rsidR="00B6693B" w:rsidRPr="0305FF0E">
        <w:rPr>
          <w:noProof/>
          <w:color w:val="000000" w:themeColor="text1"/>
        </w:rPr>
        <w:t xml:space="preserve"> million in the construction sector, and 120 million </w:t>
      </w:r>
      <w:r w:rsidR="00611562" w:rsidRPr="0305FF0E">
        <w:rPr>
          <w:noProof/>
          <w:color w:val="000000" w:themeColor="text1"/>
        </w:rPr>
        <w:t xml:space="preserve">in the automotive sector. </w:t>
      </w:r>
    </w:p>
    <w:p w14:paraId="1BAC3DC6" w14:textId="5EBD41AC" w:rsidR="00D82046" w:rsidRDefault="3E491F97" w:rsidP="00CF06C8">
      <w:pPr>
        <w:pStyle w:val="Text2"/>
        <w:spacing w:after="120"/>
        <w:ind w:left="0"/>
        <w:rPr>
          <w:strike/>
          <w:noProof/>
          <w:color w:val="881798"/>
          <w:szCs w:val="24"/>
        </w:rPr>
      </w:pPr>
      <w:r w:rsidRPr="1A2A8689">
        <w:rPr>
          <w:noProof/>
          <w:color w:val="000000" w:themeColor="text1"/>
          <w:szCs w:val="24"/>
        </w:rPr>
        <w:t>Introducing requirements for low-carbon steel</w:t>
      </w:r>
      <w:r w:rsidR="009D5F7F">
        <w:rPr>
          <w:noProof/>
          <w:color w:val="000000" w:themeColor="text1"/>
          <w:szCs w:val="24"/>
        </w:rPr>
        <w:t>, aluminium</w:t>
      </w:r>
      <w:r w:rsidRPr="1A2A8689">
        <w:rPr>
          <w:noProof/>
          <w:color w:val="000000" w:themeColor="text1"/>
          <w:szCs w:val="24"/>
        </w:rPr>
        <w:t xml:space="preserve"> and cement in the construction sector at large would have a higher impact on costs, due to the cumulation of the t</w:t>
      </w:r>
      <w:r w:rsidR="009D5F7F">
        <w:rPr>
          <w:noProof/>
          <w:color w:val="000000" w:themeColor="text1"/>
          <w:szCs w:val="24"/>
        </w:rPr>
        <w:t>hree</w:t>
      </w:r>
      <w:r w:rsidRPr="1A2A8689">
        <w:rPr>
          <w:noProof/>
          <w:color w:val="000000" w:themeColor="text1"/>
          <w:szCs w:val="24"/>
        </w:rPr>
        <w:t xml:space="preserve"> materials used </w:t>
      </w:r>
      <w:r w:rsidR="00B21228">
        <w:rPr>
          <w:noProof/>
          <w:color w:val="000000" w:themeColor="text1"/>
          <w:szCs w:val="24"/>
        </w:rPr>
        <w:t>for</w:t>
      </w:r>
      <w:r w:rsidRPr="1A2A8689">
        <w:rPr>
          <w:noProof/>
          <w:color w:val="000000" w:themeColor="text1"/>
          <w:szCs w:val="24"/>
        </w:rPr>
        <w:t xml:space="preserve"> construction</w:t>
      </w:r>
      <w:r w:rsidR="00525C91">
        <w:rPr>
          <w:noProof/>
          <w:color w:val="000000" w:themeColor="text1"/>
          <w:szCs w:val="24"/>
        </w:rPr>
        <w:t xml:space="preserve">. Nonetheless these costs remain </w:t>
      </w:r>
      <w:r w:rsidR="00413131">
        <w:rPr>
          <w:noProof/>
          <w:color w:val="000000" w:themeColor="text1"/>
          <w:szCs w:val="24"/>
        </w:rPr>
        <w:t>limited</w:t>
      </w:r>
      <w:r w:rsidR="00D05E2B">
        <w:rPr>
          <w:noProof/>
          <w:color w:val="000000" w:themeColor="text1"/>
          <w:szCs w:val="24"/>
        </w:rPr>
        <w:t>, at 0.45%</w:t>
      </w:r>
      <w:r w:rsidRPr="1A2A8689" w:rsidDel="009D5F7F">
        <w:rPr>
          <w:noProof/>
          <w:color w:val="000000" w:themeColor="text1"/>
          <w:szCs w:val="24"/>
        </w:rPr>
        <w:t xml:space="preserve"> </w:t>
      </w:r>
      <w:r w:rsidR="009E3A2F">
        <w:rPr>
          <w:noProof/>
          <w:color w:val="000000" w:themeColor="text1"/>
          <w:szCs w:val="24"/>
        </w:rPr>
        <w:t>compared to its traditional alternatives</w:t>
      </w:r>
      <w:r w:rsidRPr="1A2A8689">
        <w:rPr>
          <w:noProof/>
          <w:color w:val="000000" w:themeColor="text1"/>
          <w:szCs w:val="24"/>
        </w:rPr>
        <w:t>. Similarly, public subsidies for renovations could offset part of these costs.</w:t>
      </w:r>
    </w:p>
    <w:p w14:paraId="1A7FD31F" w14:textId="09E5072F" w:rsidR="3E491F97" w:rsidRPr="00FB25ED" w:rsidRDefault="00D400F0" w:rsidP="00FB25ED">
      <w:pPr>
        <w:pStyle w:val="Text2"/>
        <w:spacing w:after="120"/>
        <w:ind w:left="0"/>
        <w:rPr>
          <w:strike/>
          <w:noProof/>
          <w:color w:val="881798"/>
          <w:szCs w:val="24"/>
        </w:rPr>
      </w:pPr>
      <w:r>
        <w:rPr>
          <w:noProof/>
        </w:rPr>
        <w:t>PO3 raises the Made in EU targets for steel</w:t>
      </w:r>
      <w:r w:rsidR="00FB25ED">
        <w:rPr>
          <w:noProof/>
        </w:rPr>
        <w:t xml:space="preserve"> to 85%</w:t>
      </w:r>
      <w:r>
        <w:rPr>
          <w:noProof/>
        </w:rPr>
        <w:t xml:space="preserve">, aluminium </w:t>
      </w:r>
      <w:r w:rsidR="00FB25ED">
        <w:rPr>
          <w:noProof/>
        </w:rPr>
        <w:t xml:space="preserve">to 70% </w:t>
      </w:r>
      <w:r>
        <w:rPr>
          <w:noProof/>
        </w:rPr>
        <w:t xml:space="preserve">and cement </w:t>
      </w:r>
      <w:r w:rsidR="00FB25ED">
        <w:rPr>
          <w:noProof/>
        </w:rPr>
        <w:t>to 95%</w:t>
      </w:r>
      <w:r w:rsidR="008D4BE1">
        <w:rPr>
          <w:noProof/>
        </w:rPr>
        <w:t>, going beyond existing</w:t>
      </w:r>
      <w:r w:rsidR="00A91BC0">
        <w:rPr>
          <w:noProof/>
        </w:rPr>
        <w:t xml:space="preserve"> sourcing levels </w:t>
      </w:r>
      <w:r w:rsidR="008D4BE1">
        <w:rPr>
          <w:noProof/>
        </w:rPr>
        <w:t xml:space="preserve">from EU domestic suppliers </w:t>
      </w:r>
      <w:r w:rsidR="00A91BC0">
        <w:rPr>
          <w:noProof/>
        </w:rPr>
        <w:t xml:space="preserve">for automotive and construction. </w:t>
      </w:r>
      <w:r w:rsidR="3E491F97">
        <w:rPr>
          <w:noProof/>
        </w:rPr>
        <w:t>Citizens and consumers will see further cost increases from the obligation to source European energy intensive industrial products, as automakers and construction companies would pass on the higher cost premium in the final selling</w:t>
      </w:r>
      <w:r w:rsidR="00110185">
        <w:rPr>
          <w:noProof/>
        </w:rPr>
        <w:t xml:space="preserve"> price</w:t>
      </w:r>
      <w:r w:rsidR="3E491F97">
        <w:rPr>
          <w:noProof/>
        </w:rPr>
        <w:t>.</w:t>
      </w:r>
    </w:p>
    <w:p w14:paraId="79E86B4F" w14:textId="77777777" w:rsidR="00285741" w:rsidRPr="000272AD" w:rsidRDefault="00285741">
      <w:pPr>
        <w:pStyle w:val="Text2"/>
        <w:spacing w:after="120"/>
        <w:ind w:left="0"/>
        <w:rPr>
          <w:noProof/>
        </w:rPr>
      </w:pPr>
      <w:r>
        <w:rPr>
          <w:b/>
          <w:bCs/>
          <w:noProof/>
        </w:rPr>
        <w:t xml:space="preserve">LEAD_BAT 2 / LEAD_SOL 2 </w:t>
      </w:r>
      <w:r>
        <w:rPr>
          <w:noProof/>
        </w:rPr>
        <w:t>would lead to higher prices for downstream products, as described under PO1. As regards batteries, this could hinder the adoption of EVs and jeopardise the EU’s clean mobility objectives. For BESS projects, the increase in prices and the possible lack of supply could stop the momentum of the sector. As regards solar, c</w:t>
      </w:r>
      <w:r w:rsidRPr="000272AD">
        <w:rPr>
          <w:noProof/>
        </w:rPr>
        <w:t xml:space="preserve">itizens and consumers may face higher energy costs and reduced access to affordable solar solutions. Stricter obligations on installers or product specifications could drive up the price of residential solar systems, discouraging adoption by households. </w:t>
      </w:r>
      <w:r>
        <w:rPr>
          <w:noProof/>
        </w:rPr>
        <w:t>In turn, it</w:t>
      </w:r>
      <w:r w:rsidRPr="000272AD">
        <w:rPr>
          <w:noProof/>
        </w:rPr>
        <w:t xml:space="preserve"> risks slowing down the uptake of clean energy at the local level and limiting the benefits of lower electricity bills and energy independence for citizens.</w:t>
      </w:r>
    </w:p>
    <w:p w14:paraId="6469A02C" w14:textId="77777777" w:rsidR="00285741" w:rsidRPr="008A2081" w:rsidRDefault="00285741">
      <w:pPr>
        <w:pStyle w:val="Text2"/>
        <w:ind w:left="0"/>
        <w:rPr>
          <w:noProof/>
        </w:rPr>
      </w:pPr>
      <w:r w:rsidRPr="000272AD">
        <w:rPr>
          <w:b/>
          <w:noProof/>
        </w:rPr>
        <w:t>LEAD_VC 2</w:t>
      </w:r>
      <w:r w:rsidRPr="000272AD">
        <w:rPr>
          <w:noProof/>
        </w:rPr>
        <w:t xml:space="preserve"> - </w:t>
      </w:r>
      <w:r>
        <w:rPr>
          <w:noProof/>
        </w:rPr>
        <w:t xml:space="preserve">The same assumptions apply as for LEAD_VC 1. </w:t>
      </w:r>
      <w:r w:rsidRPr="008A2081">
        <w:rPr>
          <w:noProof/>
        </w:rPr>
        <w:t>In quantitative terms, when we look at the impacts in 2027, the average price increase (from both the potential reduction of price for EU manufacturers and price disadvantage for non-EU manufacturers), there would be an overall price increase of 0.</w:t>
      </w:r>
      <w:r>
        <w:rPr>
          <w:noProof/>
        </w:rPr>
        <w:t>5</w:t>
      </w:r>
      <w:r w:rsidRPr="008A2081">
        <w:rPr>
          <w:noProof/>
        </w:rPr>
        <w:t>% for passenger cars, 0.</w:t>
      </w:r>
      <w:r>
        <w:rPr>
          <w:noProof/>
        </w:rPr>
        <w:t>1</w:t>
      </w:r>
      <w:r w:rsidRPr="008A2081">
        <w:rPr>
          <w:noProof/>
        </w:rPr>
        <w:t>% for HDVs and there could be a reduction of 0.</w:t>
      </w:r>
      <w:r>
        <w:rPr>
          <w:noProof/>
        </w:rPr>
        <w:t>8</w:t>
      </w:r>
      <w:r w:rsidRPr="008A2081">
        <w:rPr>
          <w:noProof/>
        </w:rPr>
        <w:t>% for LCVs. Looking at the impact in 2030, the price increase for passenger car rises to 1.</w:t>
      </w:r>
      <w:r>
        <w:rPr>
          <w:noProof/>
        </w:rPr>
        <w:t>4</w:t>
      </w:r>
      <w:r w:rsidRPr="008A2081">
        <w:rPr>
          <w:noProof/>
        </w:rPr>
        <w:t>%, to 0.</w:t>
      </w:r>
      <w:r>
        <w:rPr>
          <w:noProof/>
        </w:rPr>
        <w:t>5</w:t>
      </w:r>
      <w:r w:rsidRPr="008A2081">
        <w:rPr>
          <w:noProof/>
        </w:rPr>
        <w:t>% for LCVs and 1.</w:t>
      </w:r>
      <w:r>
        <w:rPr>
          <w:noProof/>
        </w:rPr>
        <w:t>3</w:t>
      </w:r>
      <w:r w:rsidRPr="008A2081">
        <w:rPr>
          <w:noProof/>
        </w:rPr>
        <w:t xml:space="preserve">% for HDVs. </w:t>
      </w:r>
    </w:p>
    <w:p w14:paraId="4332962B" w14:textId="77777777" w:rsidR="00285741" w:rsidRPr="00195EC6" w:rsidRDefault="00285741" w:rsidP="00285741">
      <w:pPr>
        <w:pStyle w:val="Heading4"/>
        <w:numPr>
          <w:ilvl w:val="3"/>
          <w:numId w:val="64"/>
        </w:numPr>
        <w:spacing w:before="0" w:after="0"/>
        <w:ind w:left="142" w:firstLine="129"/>
        <w:rPr>
          <w:b/>
          <w:bCs/>
          <w:noProof/>
          <w:color w:val="auto"/>
        </w:rPr>
      </w:pPr>
      <w:r w:rsidRPr="00195EC6">
        <w:rPr>
          <w:b/>
          <w:bCs/>
          <w:noProof/>
          <w:color w:val="auto"/>
        </w:rPr>
        <w:t>Impact on competitiveness</w:t>
      </w:r>
    </w:p>
    <w:p w14:paraId="06B7D5D4" w14:textId="17FB905B" w:rsidR="00285741" w:rsidRDefault="7C355CBF" w:rsidP="1A2A8689">
      <w:pPr>
        <w:pStyle w:val="Text2"/>
        <w:spacing w:before="240" w:after="120"/>
        <w:ind w:left="0"/>
        <w:rPr>
          <w:noProof/>
        </w:rPr>
      </w:pPr>
      <w:r w:rsidRPr="3F0F1197">
        <w:rPr>
          <w:b/>
          <w:bCs/>
          <w:noProof/>
        </w:rPr>
        <w:t>LEAD_EII 3</w:t>
      </w:r>
      <w:r>
        <w:rPr>
          <w:noProof/>
        </w:rPr>
        <w:t xml:space="preserve"> - Given that a high share of the steel and aluminium used in vehicles produced in the EU is already sourced locally, the introduction of a</w:t>
      </w:r>
      <w:r w:rsidR="051DC754">
        <w:rPr>
          <w:noProof/>
        </w:rPr>
        <w:t xml:space="preserve"> higher</w:t>
      </w:r>
      <w:r>
        <w:rPr>
          <w:noProof/>
        </w:rPr>
        <w:t xml:space="preserve"> </w:t>
      </w:r>
      <w:r w:rsidR="6E3F9A2F">
        <w:rPr>
          <w:noProof/>
        </w:rPr>
        <w:t>Made in EU</w:t>
      </w:r>
      <w:r>
        <w:rPr>
          <w:noProof/>
        </w:rPr>
        <w:t xml:space="preserve"> requirement</w:t>
      </w:r>
      <w:r w:rsidR="4ED5AF7B">
        <w:rPr>
          <w:noProof/>
        </w:rPr>
        <w:t xml:space="preserve"> in all products placed on the market</w:t>
      </w:r>
      <w:r>
        <w:rPr>
          <w:noProof/>
        </w:rPr>
        <w:t xml:space="preserve"> is not expected to generate a significant impact on the global competitiveness of the EU vehicle manufacturers, at least in the short term. However, in the longer term, the </w:t>
      </w:r>
      <w:r w:rsidR="6E3F9A2F">
        <w:rPr>
          <w:noProof/>
        </w:rPr>
        <w:t>Made in EU</w:t>
      </w:r>
      <w:r>
        <w:rPr>
          <w:noProof/>
        </w:rPr>
        <w:t xml:space="preserve"> requirement could result in a limited capacity by EU vehicle manufacturers to find the required quality steel and aluminium from non-EU countries if domestic EII production is geared towards the specific needs of the EU market. </w:t>
      </w:r>
      <w:r w:rsidR="47849958" w:rsidRPr="00CF06C8">
        <w:rPr>
          <w:noProof/>
        </w:rPr>
        <w:t xml:space="preserve">However, a </w:t>
      </w:r>
      <w:r w:rsidR="47849958" w:rsidRPr="00CF06C8">
        <w:rPr>
          <w:noProof/>
          <w:color w:val="000000" w:themeColor="text1"/>
        </w:rPr>
        <w:t>higher share of EU demand served by domestic steel, aluminium and cement producers under PO</w:t>
      </w:r>
      <w:r w:rsidR="001BB341" w:rsidRPr="00CF06C8">
        <w:rPr>
          <w:noProof/>
          <w:color w:val="000000" w:themeColor="text1"/>
        </w:rPr>
        <w:t>3</w:t>
      </w:r>
      <w:r w:rsidR="47849958" w:rsidRPr="00CF06C8">
        <w:rPr>
          <w:noProof/>
          <w:color w:val="000000" w:themeColor="text1"/>
        </w:rPr>
        <w:t xml:space="preserve"> is expected to deliver a notable economic security gain, as reduced reliance on concentrated </w:t>
      </w:r>
      <w:r w:rsidR="0013777E" w:rsidRPr="00CF06C8">
        <w:rPr>
          <w:noProof/>
          <w:color w:val="000000" w:themeColor="text1"/>
        </w:rPr>
        <w:t>third-country</w:t>
      </w:r>
      <w:r w:rsidR="004C7A6C" w:rsidRPr="00CF06C8">
        <w:rPr>
          <w:noProof/>
          <w:color w:val="000000" w:themeColor="text1"/>
        </w:rPr>
        <w:t xml:space="preserve"> </w:t>
      </w:r>
      <w:r w:rsidR="47849958" w:rsidRPr="00CF06C8">
        <w:rPr>
          <w:noProof/>
          <w:color w:val="000000" w:themeColor="text1"/>
        </w:rPr>
        <w:t>suppliers lowers exposure to price manipulation, supply interruptions and coercive practices, thereby strengthening the resilience of the entire construction and automotive value chain.</w:t>
      </w:r>
    </w:p>
    <w:p w14:paraId="5592D033" w14:textId="05BEE9B7" w:rsidR="00285741" w:rsidRDefault="7C355CBF">
      <w:pPr>
        <w:pStyle w:val="Text2"/>
        <w:spacing w:after="120"/>
        <w:ind w:left="0"/>
        <w:rPr>
          <w:noProof/>
        </w:rPr>
      </w:pPr>
      <w:r>
        <w:rPr>
          <w:noProof/>
        </w:rPr>
        <w:t>Under LEAD_EII 3,</w:t>
      </w:r>
      <w:r w:rsidRPr="009C6A04">
        <w:rPr>
          <w:noProof/>
        </w:rPr>
        <w:t xml:space="preserve"> </w:t>
      </w:r>
      <w:r w:rsidRPr="009D07B9">
        <w:rPr>
          <w:noProof/>
        </w:rPr>
        <w:t xml:space="preserve">the stronger </w:t>
      </w:r>
      <w:r w:rsidR="13D90664">
        <w:rPr>
          <w:noProof/>
        </w:rPr>
        <w:t>Made in EU</w:t>
      </w:r>
      <w:r w:rsidRPr="009D07B9">
        <w:rPr>
          <w:noProof/>
        </w:rPr>
        <w:t xml:space="preserve"> requirement would result in a domestic steel price increase, producing a more visible but still contained effect on downstream industries. The measure would not materially affect investment or competitiveness in construction and </w:t>
      </w:r>
      <w:r w:rsidRPr="009D07B9">
        <w:rPr>
          <w:noProof/>
        </w:rPr>
        <w:lastRenderedPageBreak/>
        <w:t>automotive sectors but would significantly reinforce the position of EU steel producers by redirecting part of export-oriented output to domestic projects. Total production would increase, improving utilisation of low-carbon capacity and supporting investment in cleaner technologies. As certification systems mature and compliance processes become more efficient, the temporary cost impact should diminish, consolidating a more resilient and competitive EU steel base</w:t>
      </w:r>
      <w:r>
        <w:rPr>
          <w:noProof/>
        </w:rPr>
        <w:t>.</w:t>
      </w:r>
      <w:r w:rsidRPr="009C6A04">
        <w:rPr>
          <w:noProof/>
        </w:rPr>
        <w:t xml:space="preserve"> Once low-carbon technologies reach maturity and scale, the competitiveness gap is expected to close.</w:t>
      </w:r>
    </w:p>
    <w:p w14:paraId="7C4A187A" w14:textId="77777777" w:rsidR="00285741" w:rsidRDefault="00285741">
      <w:pPr>
        <w:pStyle w:val="Text2"/>
        <w:spacing w:after="120"/>
        <w:ind w:left="0"/>
        <w:rPr>
          <w:noProof/>
        </w:rPr>
      </w:pPr>
      <w:r w:rsidRPr="00BB2E11">
        <w:rPr>
          <w:noProof/>
        </w:rPr>
        <w:t>The EU’s cement industry is structurally domestic, with exports representing less than 3% of production and imports even smaller. Transport costs and product bulk make long-distance trade uneconomical.</w:t>
      </w:r>
    </w:p>
    <w:p w14:paraId="419A0C5D" w14:textId="562A56C1" w:rsidR="00285741" w:rsidRDefault="7C355CBF" w:rsidP="00320CAA">
      <w:pPr>
        <w:pStyle w:val="Text2"/>
        <w:spacing w:after="0"/>
        <w:ind w:left="0"/>
        <w:rPr>
          <w:noProof/>
        </w:rPr>
      </w:pPr>
      <w:r>
        <w:rPr>
          <w:noProof/>
        </w:rPr>
        <w:t xml:space="preserve">In aggregate terms, JRC estimations show that </w:t>
      </w:r>
      <w:r w:rsidR="6E3F9A2F">
        <w:rPr>
          <w:noProof/>
        </w:rPr>
        <w:t>Made in EU</w:t>
      </w:r>
      <w:r>
        <w:rPr>
          <w:noProof/>
        </w:rPr>
        <w:t xml:space="preserve"> requirements for steel and aluminium in construction, and automotive might trigger negative value-added impacts in the EU economy of -0.1</w:t>
      </w:r>
      <w:r w:rsidR="00806E8E">
        <w:rPr>
          <w:noProof/>
        </w:rPr>
        <w:t>3</w:t>
      </w:r>
      <w:r>
        <w:rPr>
          <w:noProof/>
        </w:rPr>
        <w:t>%, over the period 2025-2030</w:t>
      </w:r>
      <w:r w:rsidR="76964AE4">
        <w:rPr>
          <w:noProof/>
        </w:rPr>
        <w:t xml:space="preserve"> (or EUR 15</w:t>
      </w:r>
      <w:r w:rsidR="004F48BD">
        <w:rPr>
          <w:noProof/>
        </w:rPr>
        <w:t xml:space="preserve"> </w:t>
      </w:r>
      <w:r w:rsidR="76964AE4">
        <w:rPr>
          <w:noProof/>
        </w:rPr>
        <w:t>202 million)</w:t>
      </w:r>
      <w:r>
        <w:rPr>
          <w:noProof/>
        </w:rPr>
        <w:t xml:space="preserve">, and with respect to a baseline where no IAA measures are applied. </w:t>
      </w:r>
    </w:p>
    <w:p w14:paraId="3A2BFFB5" w14:textId="6ED0C876" w:rsidR="1A2A8689" w:rsidRDefault="1A2A8689" w:rsidP="1A2A8689">
      <w:pPr>
        <w:pStyle w:val="Text2"/>
        <w:spacing w:after="0"/>
        <w:ind w:left="0"/>
        <w:rPr>
          <w:noProof/>
        </w:rPr>
      </w:pPr>
    </w:p>
    <w:p w14:paraId="4DD911FE" w14:textId="77777777" w:rsidR="00285741" w:rsidRPr="00C910D1" w:rsidRDefault="00285741">
      <w:pPr>
        <w:pStyle w:val="Text2"/>
        <w:spacing w:before="240"/>
        <w:ind w:left="0"/>
        <w:rPr>
          <w:noProof/>
        </w:rPr>
      </w:pPr>
      <w:r w:rsidRPr="00D0172F">
        <w:rPr>
          <w:b/>
          <w:bCs/>
          <w:noProof/>
        </w:rPr>
        <w:t>LEAD_VC 2</w:t>
      </w:r>
      <w:r>
        <w:rPr>
          <w:noProof/>
        </w:rPr>
        <w:t xml:space="preserve"> – would have the same effect as described in PO1.</w:t>
      </w:r>
    </w:p>
    <w:p w14:paraId="1B941EAF" w14:textId="77777777" w:rsidR="00285741" w:rsidRPr="00195EC6" w:rsidRDefault="00285741" w:rsidP="00285741">
      <w:pPr>
        <w:pStyle w:val="Heading4"/>
        <w:numPr>
          <w:ilvl w:val="3"/>
          <w:numId w:val="64"/>
        </w:numPr>
        <w:spacing w:before="0" w:after="0"/>
        <w:ind w:left="142" w:firstLine="129"/>
        <w:rPr>
          <w:b/>
          <w:bCs/>
          <w:noProof/>
          <w:color w:val="auto"/>
        </w:rPr>
      </w:pPr>
      <w:r w:rsidRPr="00195EC6">
        <w:rPr>
          <w:b/>
          <w:bCs/>
          <w:noProof/>
          <w:color w:val="auto"/>
        </w:rPr>
        <w:t>Impact on competition</w:t>
      </w:r>
    </w:p>
    <w:p w14:paraId="1C69D826" w14:textId="67F4DFC9" w:rsidR="00285741" w:rsidRDefault="7C355CBF" w:rsidP="3F0F1197">
      <w:pPr>
        <w:pStyle w:val="Text2"/>
        <w:spacing w:before="240" w:after="120"/>
        <w:ind w:left="0"/>
        <w:rPr>
          <w:noProof/>
          <w:color w:val="000000" w:themeColor="text1"/>
        </w:rPr>
      </w:pPr>
      <w:r w:rsidRPr="61003A5B">
        <w:rPr>
          <w:b/>
          <w:bCs/>
          <w:noProof/>
        </w:rPr>
        <w:t xml:space="preserve">LEAD_EII 3 </w:t>
      </w:r>
      <w:r>
        <w:rPr>
          <w:noProof/>
        </w:rPr>
        <w:t>introduces</w:t>
      </w:r>
      <w:r w:rsidRPr="61003A5B">
        <w:rPr>
          <w:b/>
          <w:bCs/>
          <w:noProof/>
        </w:rPr>
        <w:t xml:space="preserve"> </w:t>
      </w:r>
      <w:r w:rsidR="13D90664">
        <w:rPr>
          <w:noProof/>
        </w:rPr>
        <w:t>Made in EU</w:t>
      </w:r>
      <w:r>
        <w:rPr>
          <w:noProof/>
        </w:rPr>
        <w:t xml:space="preserve"> requirements for EIIs used in products placed on the market (in selected downstream markets), likely reducing eligible supplies for downstream sectors such as automotive, thereby restricting competition and limiting market access. </w:t>
      </w:r>
    </w:p>
    <w:p w14:paraId="2395E29A" w14:textId="7A36FC3F" w:rsidR="00285741" w:rsidRDefault="00285741">
      <w:pPr>
        <w:pStyle w:val="Text2"/>
        <w:spacing w:after="120"/>
        <w:ind w:left="0"/>
        <w:rPr>
          <w:noProof/>
        </w:rPr>
      </w:pPr>
      <w:r>
        <w:rPr>
          <w:b/>
          <w:bCs/>
          <w:noProof/>
        </w:rPr>
        <w:t xml:space="preserve">LEAD_BAT 2 </w:t>
      </w:r>
      <w:r>
        <w:rPr>
          <w:noProof/>
        </w:rPr>
        <w:t>would limit access to the European market for manufacturers and suppliers located outside the EU, strongly reducing competition. Such measures would disadvantage companies located overseas and restrict</w:t>
      </w:r>
      <w:r w:rsidRPr="00801C0E">
        <w:rPr>
          <w:noProof/>
        </w:rPr>
        <w:t>,</w:t>
      </w:r>
      <w:r>
        <w:rPr>
          <w:noProof/>
        </w:rPr>
        <w:t xml:space="preserve"> proportionally to the level of the </w:t>
      </w:r>
      <w:r w:rsidR="00E83DDC">
        <w:rPr>
          <w:noProof/>
        </w:rPr>
        <w:t>Made in EU</w:t>
      </w:r>
      <w:r>
        <w:rPr>
          <w:noProof/>
        </w:rPr>
        <w:t xml:space="preserve"> obligation</w:t>
      </w:r>
      <w:r w:rsidRPr="00801C0E">
        <w:rPr>
          <w:noProof/>
        </w:rPr>
        <w:t>,</w:t>
      </w:r>
      <w:r>
        <w:rPr>
          <w:noProof/>
        </w:rPr>
        <w:t xml:space="preserve"> supplier diversity for the downstream users of batteries (i.e. automotive OEMs and BESS producers).</w:t>
      </w:r>
    </w:p>
    <w:p w14:paraId="4822FBA5" w14:textId="77777777" w:rsidR="00285741" w:rsidRDefault="00285741">
      <w:pPr>
        <w:pStyle w:val="Text2"/>
        <w:spacing w:after="120"/>
        <w:ind w:left="0"/>
        <w:rPr>
          <w:noProof/>
        </w:rPr>
      </w:pPr>
      <w:r w:rsidRPr="00CA78F9">
        <w:rPr>
          <w:noProof/>
        </w:rPr>
        <w:t>Regarding</w:t>
      </w:r>
      <w:r>
        <w:rPr>
          <w:b/>
          <w:bCs/>
          <w:noProof/>
        </w:rPr>
        <w:t xml:space="preserve"> LEAD_SOL 2, </w:t>
      </w:r>
      <w:r>
        <w:rPr>
          <w:noProof/>
        </w:rPr>
        <w:t xml:space="preserve">unlike public procurement, which can be monitored through clear compliance frameworks, private market transactions are highly fragmented and decentralised, making enforcement challenging. </w:t>
      </w:r>
    </w:p>
    <w:p w14:paraId="011CD0A5" w14:textId="16BF57FA" w:rsidR="00285741" w:rsidRPr="00CB65C8" w:rsidRDefault="00285741">
      <w:pPr>
        <w:spacing w:after="240"/>
        <w:rPr>
          <w:noProof/>
        </w:rPr>
      </w:pPr>
      <w:r w:rsidRPr="00BC44C5">
        <w:rPr>
          <w:b/>
          <w:noProof/>
        </w:rPr>
        <w:t>LEAD_VC 2</w:t>
      </w:r>
      <w:r>
        <w:rPr>
          <w:noProof/>
        </w:rPr>
        <w:t xml:space="preserve"> The reduced competitive pressure for both the suppliers of vehicle components and vehicle manufacturers that was described for LEAD_VC 1 is to be assumed also under LEAD_VC 2, with a higher effect </w:t>
      </w:r>
      <w:r w:rsidRPr="006E7D3E">
        <w:rPr>
          <w:noProof/>
        </w:rPr>
        <w:t>under</w:t>
      </w:r>
      <w:r>
        <w:rPr>
          <w:noProof/>
        </w:rPr>
        <w:t xml:space="preserve"> the latter measure. </w:t>
      </w:r>
      <w:r w:rsidRPr="09CA0190">
        <w:rPr>
          <w:rFonts w:eastAsia="Times New Roman" w:cs="Times New Roman"/>
          <w:noProof/>
        </w:rPr>
        <w:t xml:space="preserve">Overall, minimum </w:t>
      </w:r>
      <w:r w:rsidR="00E83DDC">
        <w:rPr>
          <w:rFonts w:eastAsia="Times New Roman" w:cs="Times New Roman"/>
          <w:noProof/>
        </w:rPr>
        <w:t>Made in EU</w:t>
      </w:r>
      <w:r w:rsidRPr="09CA0190">
        <w:rPr>
          <w:rFonts w:eastAsia="Times New Roman" w:cs="Times New Roman"/>
          <w:noProof/>
        </w:rPr>
        <w:t xml:space="preserve"> requirements imposed on all products put on the market (in selected downstream sectors)</w:t>
      </w:r>
      <w:r>
        <w:rPr>
          <w:noProof/>
        </w:rPr>
        <w:t xml:space="preserve"> would distort competition by artificially favouring EU-made products over </w:t>
      </w:r>
      <w:r w:rsidRPr="00801C0E">
        <w:rPr>
          <w:noProof/>
        </w:rPr>
        <w:t>others</w:t>
      </w:r>
      <w:r>
        <w:rPr>
          <w:noProof/>
        </w:rPr>
        <w:t>, irrespective of market price, quality or existing contractual relationships, depending on the sectors. This potential detrimental effect might be exacerbated in sectors where EU production capacity is more limited, even if for those sectors the level of the content obligations is also lowered.</w:t>
      </w:r>
    </w:p>
    <w:p w14:paraId="497D0C67" w14:textId="77777777" w:rsidR="00285741" w:rsidRPr="007B221C" w:rsidRDefault="00285741" w:rsidP="00285741">
      <w:pPr>
        <w:pStyle w:val="Heading4"/>
        <w:numPr>
          <w:ilvl w:val="3"/>
          <w:numId w:val="64"/>
        </w:numPr>
        <w:spacing w:before="0" w:after="0"/>
        <w:ind w:left="142" w:firstLine="129"/>
        <w:rPr>
          <w:b/>
          <w:noProof/>
          <w:color w:val="auto"/>
        </w:rPr>
      </w:pPr>
      <w:r w:rsidRPr="00195EC6">
        <w:rPr>
          <w:b/>
          <w:bCs/>
          <w:noProof/>
          <w:color w:val="auto"/>
        </w:rPr>
        <w:t>Impact on international trade</w:t>
      </w:r>
    </w:p>
    <w:p w14:paraId="5D0EA78B" w14:textId="77777777" w:rsidR="00165328" w:rsidRDefault="7C355CBF" w:rsidP="00165328">
      <w:pPr>
        <w:pStyle w:val="Text2"/>
        <w:spacing w:before="240" w:after="120"/>
        <w:ind w:left="0"/>
        <w:rPr>
          <w:noProof/>
        </w:rPr>
      </w:pPr>
      <w:r w:rsidRPr="00B053B7">
        <w:rPr>
          <w:b/>
          <w:bCs/>
          <w:noProof/>
        </w:rPr>
        <w:t>LEAD_EII 3</w:t>
      </w:r>
      <w:r w:rsidRPr="00B053B7">
        <w:rPr>
          <w:noProof/>
        </w:rPr>
        <w:t xml:space="preserve"> – PO2 </w:t>
      </w:r>
      <w:r>
        <w:rPr>
          <w:noProof/>
        </w:rPr>
        <w:t xml:space="preserve">impacts </w:t>
      </w:r>
      <w:r w:rsidRPr="00B053B7">
        <w:rPr>
          <w:noProof/>
        </w:rPr>
        <w:t>remain</w:t>
      </w:r>
      <w:r>
        <w:rPr>
          <w:noProof/>
        </w:rPr>
        <w:t xml:space="preserve"> relevant </w:t>
      </w:r>
      <w:r w:rsidRPr="00B053B7">
        <w:rPr>
          <w:noProof/>
        </w:rPr>
        <w:t>but are amplified, as</w:t>
      </w:r>
      <w:r>
        <w:rPr>
          <w:noProof/>
        </w:rPr>
        <w:t xml:space="preserve"> the introduction of strengthened </w:t>
      </w:r>
      <w:r w:rsidR="13D90664">
        <w:rPr>
          <w:noProof/>
        </w:rPr>
        <w:t>Made in EU</w:t>
      </w:r>
      <w:r>
        <w:rPr>
          <w:noProof/>
        </w:rPr>
        <w:t xml:space="preserve"> requirements would have a more pronounced impact on international steel </w:t>
      </w:r>
      <w:r w:rsidR="008D2188">
        <w:rPr>
          <w:noProof/>
        </w:rPr>
        <w:t xml:space="preserve">and aluminium </w:t>
      </w:r>
      <w:r>
        <w:rPr>
          <w:noProof/>
        </w:rPr>
        <w:t>trade. This change represents a</w:t>
      </w:r>
      <w:r w:rsidR="008D2188">
        <w:rPr>
          <w:noProof/>
        </w:rPr>
        <w:t>n</w:t>
      </w:r>
      <w:r>
        <w:rPr>
          <w:noProof/>
        </w:rPr>
        <w:t xml:space="preserve"> adjustment of EU trade flows, as part of export-oriented output is </w:t>
      </w:r>
      <w:r w:rsidR="00137C3A">
        <w:rPr>
          <w:noProof/>
        </w:rPr>
        <w:t>likely t</w:t>
      </w:r>
      <w:r w:rsidR="00165328">
        <w:rPr>
          <w:noProof/>
        </w:rPr>
        <w:t xml:space="preserve">o be </w:t>
      </w:r>
      <w:r>
        <w:rPr>
          <w:noProof/>
        </w:rPr>
        <w:t>redirected to domestic</w:t>
      </w:r>
      <w:r w:rsidR="00165328">
        <w:rPr>
          <w:noProof/>
        </w:rPr>
        <w:t xml:space="preserve"> consumption. </w:t>
      </w:r>
      <w:r>
        <w:rPr>
          <w:noProof/>
        </w:rPr>
        <w:t>However, the measure does not reduce total production capacity; rather, it reallocates supply to the internal market</w:t>
      </w:r>
      <w:r w:rsidR="002831D5">
        <w:rPr>
          <w:noProof/>
        </w:rPr>
        <w:t xml:space="preserve">. </w:t>
      </w:r>
      <w:r w:rsidRPr="00BB2E11">
        <w:rPr>
          <w:noProof/>
        </w:rPr>
        <w:t>The EU’s cement industry is structurally domestic, with exports representing less than 3% of production and imports even smaller. Transport costs and product bulk make long-</w:t>
      </w:r>
      <w:r w:rsidRPr="00BB2E11">
        <w:rPr>
          <w:noProof/>
        </w:rPr>
        <w:lastRenderedPageBreak/>
        <w:t>distance trade uneconomical. Even under a 5% low-carbon requirement, no material effect on trade flows or competitiveness is expected.</w:t>
      </w:r>
      <w:r w:rsidR="002831D5">
        <w:rPr>
          <w:noProof/>
        </w:rPr>
        <w:t xml:space="preserve"> </w:t>
      </w:r>
    </w:p>
    <w:p w14:paraId="20E74A7C" w14:textId="7926B0AE" w:rsidR="00285741" w:rsidRDefault="00165328" w:rsidP="00165328">
      <w:pPr>
        <w:pStyle w:val="Text2"/>
        <w:spacing w:before="240" w:after="120"/>
        <w:ind w:left="0"/>
        <w:rPr>
          <w:noProof/>
        </w:rPr>
      </w:pPr>
      <w:r>
        <w:rPr>
          <w:noProof/>
        </w:rPr>
        <w:t>Extra</w:t>
      </w:r>
      <w:r w:rsidR="7C355CBF" w:rsidRPr="00F70A4A">
        <w:rPr>
          <w:noProof/>
        </w:rPr>
        <w:t xml:space="preserve">-EU economies </w:t>
      </w:r>
      <w:r w:rsidR="00F2775F">
        <w:rPr>
          <w:noProof/>
        </w:rPr>
        <w:t>would benefit</w:t>
      </w:r>
      <w:r w:rsidR="00FA5D6C">
        <w:rPr>
          <w:noProof/>
        </w:rPr>
        <w:t xml:space="preserve"> from </w:t>
      </w:r>
      <w:r w:rsidR="7C355CBF" w:rsidRPr="00F70A4A">
        <w:rPr>
          <w:noProof/>
        </w:rPr>
        <w:t>positive value-added gains in construction and automotive from an</w:t>
      </w:r>
      <w:r w:rsidR="7C355CBF" w:rsidRPr="00F70A4A" w:rsidDel="002578AF">
        <w:rPr>
          <w:noProof/>
        </w:rPr>
        <w:t xml:space="preserve"> </w:t>
      </w:r>
      <w:r w:rsidR="6E3F9A2F">
        <w:rPr>
          <w:noProof/>
        </w:rPr>
        <w:t>Made in EU</w:t>
      </w:r>
      <w:r w:rsidR="7C355CBF" w:rsidRPr="00F70A4A" w:rsidDel="002578AF">
        <w:rPr>
          <w:noProof/>
        </w:rPr>
        <w:t xml:space="preserve"> </w:t>
      </w:r>
      <w:r w:rsidR="7C355CBF" w:rsidRPr="00F70A4A">
        <w:rPr>
          <w:noProof/>
        </w:rPr>
        <w:t>requiremen</w:t>
      </w:r>
      <w:r>
        <w:rPr>
          <w:noProof/>
        </w:rPr>
        <w:t>t</w:t>
      </w:r>
      <w:r w:rsidR="00285741" w:rsidRPr="00165328">
        <w:rPr>
          <w:noProof/>
          <w:vertAlign w:val="superscript"/>
        </w:rPr>
        <w:footnoteReference w:id="239"/>
      </w:r>
      <w:r>
        <w:rPr>
          <w:noProof/>
        </w:rPr>
        <w:t xml:space="preserve"> </w:t>
      </w:r>
      <w:r w:rsidR="7C355CBF">
        <w:rPr>
          <w:noProof/>
        </w:rPr>
        <w:t xml:space="preserve">for steel and aluminium. These downstream sectors would possibly benefit from the increased availability of domestically produced </w:t>
      </w:r>
      <w:r w:rsidR="00866614">
        <w:rPr>
          <w:noProof/>
        </w:rPr>
        <w:t xml:space="preserve">EII </w:t>
      </w:r>
      <w:r w:rsidR="7C355CBF">
        <w:rPr>
          <w:noProof/>
        </w:rPr>
        <w:t xml:space="preserve">inputs that previously were exported to the EU, which would result in lower prices for their inputs. </w:t>
      </w:r>
    </w:p>
    <w:p w14:paraId="69F2CB1F" w14:textId="5C8A6D58" w:rsidR="00285741" w:rsidRDefault="00285741">
      <w:pPr>
        <w:pStyle w:val="Text2"/>
        <w:spacing w:after="120"/>
        <w:ind w:left="0"/>
        <w:rPr>
          <w:noProof/>
        </w:rPr>
      </w:pPr>
      <w:r w:rsidRPr="00235535">
        <w:rPr>
          <w:b/>
          <w:bCs/>
          <w:noProof/>
        </w:rPr>
        <w:t>LEAD_BAT 2</w:t>
      </w:r>
      <w:r>
        <w:rPr>
          <w:b/>
          <w:bCs/>
          <w:noProof/>
        </w:rPr>
        <w:t xml:space="preserve"> </w:t>
      </w:r>
      <w:r>
        <w:rPr>
          <w:noProof/>
        </w:rPr>
        <w:t xml:space="preserve">- </w:t>
      </w:r>
      <w:r w:rsidRPr="00802793">
        <w:rPr>
          <w:noProof/>
        </w:rPr>
        <w:t xml:space="preserve">Making market access conditional on </w:t>
      </w:r>
      <w:r w:rsidR="00E83DDC">
        <w:rPr>
          <w:noProof/>
        </w:rPr>
        <w:t>Made in EU</w:t>
      </w:r>
      <w:r w:rsidRPr="00802793">
        <w:rPr>
          <w:noProof/>
        </w:rPr>
        <w:t xml:space="preserve"> in batteries would directly affect imports from major global suppliers, particularly in Asia. The difficulty lies in WTO non-discrimination rules, as imported and EU-produced batteries are “like products” and a content condition would likely be contested. At the same time, Europe’s attractiveness as a fast-growing market means suppliers would have strong incentives to comply, either by adapting sourcing or investing in EU production facilities. This creates an opportunity to accelerate localisation and reduce dependency on external supply. To strengthen the case, the measure would need to be tightly framed around essential security and resilience arguments, supported by evidence of risks such as export restrictions. Even if challenged, it could succeed in re-anchoring part of the battery value chain in Europe, though the</w:t>
      </w:r>
      <w:r>
        <w:rPr>
          <w:noProof/>
        </w:rPr>
        <w:t xml:space="preserve"> </w:t>
      </w:r>
      <w:r w:rsidRPr="00802793">
        <w:rPr>
          <w:noProof/>
        </w:rPr>
        <w:t>political costs of trade disputes would need to be managed.</w:t>
      </w:r>
    </w:p>
    <w:p w14:paraId="22675960" w14:textId="7696BDF7" w:rsidR="00285741" w:rsidRPr="0009571D" w:rsidRDefault="00285741">
      <w:pPr>
        <w:pStyle w:val="Text2"/>
        <w:spacing w:after="120"/>
        <w:ind w:left="0"/>
        <w:rPr>
          <w:noProof/>
        </w:rPr>
      </w:pPr>
      <w:r w:rsidRPr="00235535">
        <w:rPr>
          <w:b/>
          <w:bCs/>
          <w:noProof/>
        </w:rPr>
        <w:t>LEAD_</w:t>
      </w:r>
      <w:r>
        <w:rPr>
          <w:b/>
          <w:bCs/>
          <w:noProof/>
        </w:rPr>
        <w:t>SOL</w:t>
      </w:r>
      <w:r w:rsidRPr="00235535">
        <w:rPr>
          <w:b/>
          <w:bCs/>
          <w:noProof/>
        </w:rPr>
        <w:t xml:space="preserve"> 2</w:t>
      </w:r>
      <w:r>
        <w:rPr>
          <w:b/>
          <w:bCs/>
          <w:noProof/>
        </w:rPr>
        <w:t xml:space="preserve"> -</w:t>
      </w:r>
      <w:r w:rsidRPr="00235535">
        <w:rPr>
          <w:noProof/>
        </w:rPr>
        <w:t xml:space="preserve"> Applying </w:t>
      </w:r>
      <w:r w:rsidR="00E83DDC">
        <w:rPr>
          <w:noProof/>
        </w:rPr>
        <w:t>Made in EU</w:t>
      </w:r>
      <w:r w:rsidRPr="00235535">
        <w:rPr>
          <w:noProof/>
        </w:rPr>
        <w:t xml:space="preserve"> conditions would have significant trade consequences, as the EU is highly dependent on imports, especially from Asia. WTO panels have already struck down comparable local content schemes in solar. The risk of</w:t>
      </w:r>
      <w:r>
        <w:rPr>
          <w:noProof/>
        </w:rPr>
        <w:t xml:space="preserve"> legal and political </w:t>
      </w:r>
      <w:r w:rsidRPr="00235535">
        <w:rPr>
          <w:noProof/>
        </w:rPr>
        <w:t>retaliation is therefore high. Nonetheless, the scale of EU demand makes the market too important for global players to ignore. A requirement could trigger investment in EU manufacturing and create new industrial opportunities, provided it is carefully designed and linked to legitimate policy objectives such as climate security and resilience. There is therefore a trade-off: the measure could be transformative for EU industrial capacity but would almost certainly provoke partner pushback. Managing this would require complementary diplomacy and perhaps transitional measures to avoid abrupt disruption of supply.</w:t>
      </w:r>
    </w:p>
    <w:p w14:paraId="71DC8E0A" w14:textId="354B1373" w:rsidR="00285741" w:rsidRPr="00F26C21" w:rsidRDefault="00285741">
      <w:pPr>
        <w:spacing w:after="240"/>
        <w:rPr>
          <w:noProof/>
        </w:rPr>
      </w:pPr>
      <w:bookmarkStart w:id="80" w:name="_Hlk212578911"/>
      <w:r w:rsidRPr="00F26C21">
        <w:rPr>
          <w:b/>
          <w:bCs/>
          <w:noProof/>
        </w:rPr>
        <w:t xml:space="preserve">LEAD_VC 2 </w:t>
      </w:r>
      <w:r w:rsidRPr="00F26C21">
        <w:rPr>
          <w:noProof/>
        </w:rPr>
        <w:t xml:space="preserve">- extending the </w:t>
      </w:r>
      <w:r w:rsidR="00E83DDC">
        <w:rPr>
          <w:noProof/>
        </w:rPr>
        <w:t>Made in EU</w:t>
      </w:r>
      <w:r w:rsidRPr="00F26C21">
        <w:rPr>
          <w:noProof/>
        </w:rPr>
        <w:t xml:space="preserve"> requirements to all EVs placed on the market in the Union would have a much more direct and wide-ranging effect on international trade. </w:t>
      </w:r>
      <w:bookmarkEnd w:id="80"/>
    </w:p>
    <w:p w14:paraId="3542117E" w14:textId="77777777" w:rsidR="00285741" w:rsidRPr="00195EC6" w:rsidRDefault="00285741" w:rsidP="00285741">
      <w:pPr>
        <w:pStyle w:val="Heading4"/>
        <w:numPr>
          <w:ilvl w:val="3"/>
          <w:numId w:val="64"/>
        </w:numPr>
        <w:spacing w:before="0" w:after="0"/>
        <w:ind w:left="142" w:firstLine="129"/>
        <w:rPr>
          <w:b/>
          <w:bCs/>
          <w:noProof/>
          <w:color w:val="auto"/>
        </w:rPr>
      </w:pPr>
      <w:r w:rsidRPr="00195EC6">
        <w:rPr>
          <w:b/>
          <w:bCs/>
          <w:noProof/>
          <w:color w:val="auto"/>
        </w:rPr>
        <w:t xml:space="preserve">Impact on Member States </w:t>
      </w:r>
    </w:p>
    <w:p w14:paraId="3551AE16" w14:textId="53A25014" w:rsidR="00F94109" w:rsidRDefault="7C355CBF" w:rsidP="00F94109">
      <w:pPr>
        <w:pStyle w:val="Text2"/>
        <w:spacing w:before="240" w:after="120" w:line="259" w:lineRule="auto"/>
        <w:ind w:left="0"/>
        <w:rPr>
          <w:noProof/>
        </w:rPr>
      </w:pPr>
      <w:r w:rsidRPr="415E4900">
        <w:rPr>
          <w:b/>
          <w:bCs/>
          <w:noProof/>
        </w:rPr>
        <w:t>LEAD</w:t>
      </w:r>
      <w:r w:rsidR="5EC1F9E6" w:rsidRPr="415E4900">
        <w:rPr>
          <w:b/>
          <w:bCs/>
          <w:noProof/>
        </w:rPr>
        <w:t>_</w:t>
      </w:r>
      <w:r w:rsidRPr="415E4900">
        <w:rPr>
          <w:b/>
          <w:bCs/>
          <w:noProof/>
        </w:rPr>
        <w:t>EII</w:t>
      </w:r>
      <w:r w:rsidR="5EC1F9E6" w:rsidRPr="415E4900">
        <w:rPr>
          <w:b/>
          <w:bCs/>
          <w:noProof/>
        </w:rPr>
        <w:t xml:space="preserve"> </w:t>
      </w:r>
      <w:r w:rsidRPr="415E4900">
        <w:rPr>
          <w:b/>
          <w:bCs/>
          <w:noProof/>
        </w:rPr>
        <w:t xml:space="preserve">3 </w:t>
      </w:r>
      <w:r>
        <w:rPr>
          <w:noProof/>
        </w:rPr>
        <w:t>-</w:t>
      </w:r>
      <w:r w:rsidR="30817441">
        <w:rPr>
          <w:noProof/>
        </w:rPr>
        <w:t xml:space="preserve"> introduces low-carbon and made in EU requirements for EIIs for products placed on the market, which will place additional responsibilities on Member States, as they would be required to establish systems for monitoring, verification, and enforcement of compliance. This will involve building on existing EU-level verification mechanisms or building new ones in case not in place yet</w:t>
      </w:r>
      <w:r w:rsidR="4C83C8F0">
        <w:rPr>
          <w:noProof/>
        </w:rPr>
        <w:t>.</w:t>
      </w:r>
      <w:r w:rsidR="003E67CA">
        <w:rPr>
          <w:noProof/>
        </w:rPr>
        <w:t xml:space="preserve"> </w:t>
      </w:r>
    </w:p>
    <w:p w14:paraId="6D8F921B" w14:textId="7138C55D" w:rsidR="00285741" w:rsidRDefault="00285741">
      <w:pPr>
        <w:pStyle w:val="Text2"/>
        <w:spacing w:after="120"/>
        <w:ind w:left="0"/>
        <w:rPr>
          <w:noProof/>
        </w:rPr>
      </w:pPr>
      <w:r w:rsidRPr="3F0F1197">
        <w:rPr>
          <w:b/>
          <w:bCs/>
          <w:noProof/>
        </w:rPr>
        <w:t xml:space="preserve">PERM 3 - </w:t>
      </w:r>
      <w:r>
        <w:rPr>
          <w:noProof/>
        </w:rPr>
        <w:t xml:space="preserve">Relevant impacts on Member States have already been assessed under PO1 and PO2. Increased administrative support needs from relevant national authorities could be expected in the assessment and designation of potential clusters at </w:t>
      </w:r>
      <w:r w:rsidR="000E2797">
        <w:rPr>
          <w:noProof/>
        </w:rPr>
        <w:t xml:space="preserve">Member State </w:t>
      </w:r>
      <w:r>
        <w:rPr>
          <w:noProof/>
        </w:rPr>
        <w:t>level including setting up relevant procedures across diverse public sector competencies, in view of the priority assessment to grant the infrastructure connection and the environmental assessments of clusters’ plans.</w:t>
      </w:r>
    </w:p>
    <w:p w14:paraId="37E516E9" w14:textId="77777777" w:rsidR="00285741" w:rsidRDefault="00285741">
      <w:pPr>
        <w:pStyle w:val="Text2"/>
        <w:spacing w:after="120"/>
        <w:ind w:left="0"/>
        <w:rPr>
          <w:noProof/>
        </w:rPr>
      </w:pPr>
      <w:r w:rsidRPr="00BC44C5">
        <w:rPr>
          <w:b/>
          <w:noProof/>
        </w:rPr>
        <w:lastRenderedPageBreak/>
        <w:t>LEAD_VC 2</w:t>
      </w:r>
      <w:r>
        <w:rPr>
          <w:noProof/>
        </w:rPr>
        <w:t xml:space="preserve"> – Similarly to LEAD_VC 1, </w:t>
      </w:r>
      <w:r w:rsidRPr="00306865">
        <w:rPr>
          <w:noProof/>
        </w:rPr>
        <w:t>as observed above public support schemes currently used in the automotive industry will mitigate the adverse effects of LEAD_VC.</w:t>
      </w:r>
      <w:r>
        <w:rPr>
          <w:noProof/>
        </w:rPr>
        <w:t xml:space="preserve"> </w:t>
      </w:r>
      <w:r w:rsidRPr="000B59B7">
        <w:rPr>
          <w:noProof/>
        </w:rPr>
        <w:t>Since the assumptions are based on already existing schemes, the cost of public subsidies used for this Impact Assessment will not represent an increase in cost for Member States.</w:t>
      </w:r>
    </w:p>
    <w:p w14:paraId="6AACC148" w14:textId="77777777" w:rsidR="00285741" w:rsidRPr="00483A37" w:rsidRDefault="00285741" w:rsidP="00285741">
      <w:pPr>
        <w:pStyle w:val="Heading3"/>
        <w:numPr>
          <w:ilvl w:val="2"/>
          <w:numId w:val="64"/>
        </w:numPr>
        <w:spacing w:before="0" w:after="0" w:line="276" w:lineRule="auto"/>
        <w:ind w:hanging="153"/>
        <w:rPr>
          <w:b/>
          <w:i w:val="0"/>
        </w:rPr>
      </w:pPr>
      <w:r w:rsidRPr="00310056">
        <w:rPr>
          <w:b/>
          <w:i w:val="0"/>
        </w:rPr>
        <w:t>Social impacts</w:t>
      </w:r>
    </w:p>
    <w:p w14:paraId="007FE2CB" w14:textId="4CC5996F" w:rsidR="00285741" w:rsidRDefault="00285741">
      <w:pPr>
        <w:pStyle w:val="Text2"/>
        <w:tabs>
          <w:tab w:val="clear" w:pos="2302"/>
        </w:tabs>
        <w:spacing w:before="240" w:after="120"/>
        <w:ind w:left="0"/>
        <w:rPr>
          <w:noProof/>
        </w:rPr>
      </w:pPr>
      <w:r w:rsidRPr="00D14F45">
        <w:rPr>
          <w:b/>
          <w:bCs/>
          <w:noProof/>
        </w:rPr>
        <w:t>LEAD_EII 3 -</w:t>
      </w:r>
      <w:r w:rsidRPr="00D14F45">
        <w:rPr>
          <w:b/>
          <w:noProof/>
        </w:rPr>
        <w:t xml:space="preserve"> </w:t>
      </w:r>
      <w:r>
        <w:rPr>
          <w:noProof/>
        </w:rPr>
        <w:t>Made in EU measures would generate employment in the energy intensive sectors, notably 4</w:t>
      </w:r>
      <w:r w:rsidR="00C93BD9">
        <w:rPr>
          <w:noProof/>
        </w:rPr>
        <w:t xml:space="preserve"> </w:t>
      </w:r>
      <w:r>
        <w:rPr>
          <w:noProof/>
        </w:rPr>
        <w:t>272 jobs in cement, and 3</w:t>
      </w:r>
      <w:r w:rsidR="00C93BD9">
        <w:rPr>
          <w:noProof/>
        </w:rPr>
        <w:t xml:space="preserve"> </w:t>
      </w:r>
      <w:r>
        <w:rPr>
          <w:noProof/>
        </w:rPr>
        <w:t>762 in the steel and aluminium sectors combined, resulting from the increase in value added. In other words, the employment benefits are directly correlated to the increase in value for the covered sectors. At the same time, decreased value added in downstream sectors could lead to negative impacts on employment for those sectors</w:t>
      </w:r>
      <w:r w:rsidR="00835406">
        <w:rPr>
          <w:noProof/>
        </w:rPr>
        <w:t xml:space="preserve"> but could not be quantified at this stage</w:t>
      </w:r>
      <w:r>
        <w:rPr>
          <w:noProof/>
        </w:rPr>
        <w:t>.</w:t>
      </w:r>
    </w:p>
    <w:p w14:paraId="452C2DFC" w14:textId="2EA42468" w:rsidR="00285741" w:rsidRDefault="00285741">
      <w:pPr>
        <w:pStyle w:val="Text2"/>
        <w:tabs>
          <w:tab w:val="clear" w:pos="2302"/>
        </w:tabs>
        <w:spacing w:after="120"/>
        <w:ind w:left="0"/>
        <w:rPr>
          <w:noProof/>
        </w:rPr>
      </w:pPr>
      <w:r w:rsidRPr="00BC44C5">
        <w:rPr>
          <w:b/>
          <w:bCs/>
          <w:noProof/>
        </w:rPr>
        <w:t>LEAD_BAT 2</w:t>
      </w:r>
      <w:r>
        <w:rPr>
          <w:noProof/>
        </w:rPr>
        <w:t xml:space="preserve"> -</w:t>
      </w:r>
      <w:r w:rsidRPr="00122F5B">
        <w:rPr>
          <w:noProof/>
        </w:rPr>
        <w:t xml:space="preserve"> As discussed under LEAD_BAT 1, </w:t>
      </w:r>
      <w:r w:rsidR="00E83DDC">
        <w:rPr>
          <w:noProof/>
        </w:rPr>
        <w:t>Made in EU</w:t>
      </w:r>
      <w:r w:rsidRPr="00122F5B">
        <w:rPr>
          <w:noProof/>
        </w:rPr>
        <w:t xml:space="preserve"> requirements would help anchor</w:t>
      </w:r>
      <w:r>
        <w:rPr>
          <w:noProof/>
        </w:rPr>
        <w:t xml:space="preserve"> the </w:t>
      </w:r>
      <w:r w:rsidRPr="004E5CB1">
        <w:rPr>
          <w:noProof/>
        </w:rPr>
        <w:t>170</w:t>
      </w:r>
      <w:r w:rsidR="00B8591D">
        <w:rPr>
          <w:noProof/>
        </w:rPr>
        <w:t xml:space="preserve"> </w:t>
      </w:r>
      <w:r w:rsidRPr="004E5CB1">
        <w:rPr>
          <w:noProof/>
        </w:rPr>
        <w:t xml:space="preserve">000 jobs expected to be created by the </w:t>
      </w:r>
      <w:r>
        <w:rPr>
          <w:noProof/>
        </w:rPr>
        <w:t xml:space="preserve">current battery project pipeline </w:t>
      </w:r>
      <w:r w:rsidRPr="004E5CB1">
        <w:rPr>
          <w:noProof/>
        </w:rPr>
        <w:t xml:space="preserve">by </w:t>
      </w:r>
      <w:r>
        <w:rPr>
          <w:noProof/>
        </w:rPr>
        <w:t>2030</w:t>
      </w:r>
      <w:r w:rsidRPr="004E5CB1">
        <w:rPr>
          <w:noProof/>
        </w:rPr>
        <w:t>.</w:t>
      </w:r>
      <w:r>
        <w:rPr>
          <w:noProof/>
        </w:rPr>
        <w:t xml:space="preserve"> However, this measure would not only </w:t>
      </w:r>
      <w:r w:rsidRPr="004E5CB1">
        <w:rPr>
          <w:noProof/>
        </w:rPr>
        <w:t>safeguard those</w:t>
      </w:r>
      <w:r>
        <w:rPr>
          <w:noProof/>
        </w:rPr>
        <w:t xml:space="preserve"> jobs, </w:t>
      </w:r>
      <w:r w:rsidRPr="004E5CB1">
        <w:rPr>
          <w:noProof/>
        </w:rPr>
        <w:t>but it</w:t>
      </w:r>
      <w:r>
        <w:rPr>
          <w:noProof/>
        </w:rPr>
        <w:t xml:space="preserve"> would </w:t>
      </w:r>
      <w:r w:rsidRPr="004E5CB1">
        <w:rPr>
          <w:noProof/>
        </w:rPr>
        <w:t>also stimulate further employment across</w:t>
      </w:r>
      <w:r>
        <w:rPr>
          <w:noProof/>
        </w:rPr>
        <w:t xml:space="preserve"> the value chain as additional production </w:t>
      </w:r>
      <w:r w:rsidRPr="004E5CB1">
        <w:rPr>
          <w:noProof/>
        </w:rPr>
        <w:t>capacity</w:t>
      </w:r>
      <w:r>
        <w:rPr>
          <w:noProof/>
        </w:rPr>
        <w:t xml:space="preserve"> would be needed to meet </w:t>
      </w:r>
      <w:r w:rsidRPr="004E5CB1">
        <w:rPr>
          <w:noProof/>
        </w:rPr>
        <w:t>internal</w:t>
      </w:r>
      <w:r>
        <w:rPr>
          <w:noProof/>
        </w:rPr>
        <w:t xml:space="preserve"> </w:t>
      </w:r>
      <w:r w:rsidRPr="00122F5B">
        <w:rPr>
          <w:noProof/>
        </w:rPr>
        <w:t>demand</w:t>
      </w:r>
      <w:r>
        <w:rPr>
          <w:noProof/>
        </w:rPr>
        <w:t>.</w:t>
      </w:r>
    </w:p>
    <w:p w14:paraId="4AECE4C7" w14:textId="77777777" w:rsidR="00285741" w:rsidRDefault="00285741">
      <w:pPr>
        <w:pStyle w:val="Text2"/>
        <w:tabs>
          <w:tab w:val="clear" w:pos="2302"/>
        </w:tabs>
        <w:spacing w:after="120"/>
        <w:ind w:left="0"/>
        <w:rPr>
          <w:noProof/>
        </w:rPr>
      </w:pPr>
      <w:r w:rsidRPr="00BC44C5">
        <w:rPr>
          <w:b/>
          <w:bCs/>
          <w:noProof/>
        </w:rPr>
        <w:t>LEAD_VC 2</w:t>
      </w:r>
      <w:r>
        <w:rPr>
          <w:noProof/>
        </w:rPr>
        <w:t xml:space="preserve"> – as noted in LEAD_VC 1, the measure </w:t>
      </w:r>
      <w:r w:rsidRPr="00DE7B0C">
        <w:rPr>
          <w:noProof/>
        </w:rPr>
        <w:t>could stop the trend of progressive job losses which has been materialising over the past years in the EU’s vehicle components supply chain. Furthermore, the measure could create additional financial capacities for suppliers to be reinvested in future technologies.</w:t>
      </w:r>
    </w:p>
    <w:p w14:paraId="7D118F7D" w14:textId="77777777" w:rsidR="00285741" w:rsidRPr="00310056" w:rsidRDefault="00285741" w:rsidP="00285741">
      <w:pPr>
        <w:pStyle w:val="Heading3"/>
        <w:numPr>
          <w:ilvl w:val="2"/>
          <w:numId w:val="64"/>
        </w:numPr>
        <w:spacing w:before="0" w:after="0" w:line="276" w:lineRule="auto"/>
        <w:ind w:hanging="153"/>
        <w:rPr>
          <w:b/>
          <w:i w:val="0"/>
        </w:rPr>
      </w:pPr>
      <w:r w:rsidRPr="00310056">
        <w:rPr>
          <w:b/>
          <w:i w:val="0"/>
        </w:rPr>
        <w:t>Environmental impacts</w:t>
      </w:r>
    </w:p>
    <w:p w14:paraId="25BAAF83" w14:textId="77777777" w:rsidR="00285741" w:rsidDel="00F530D8" w:rsidRDefault="00285741">
      <w:pPr>
        <w:pStyle w:val="Text2"/>
        <w:tabs>
          <w:tab w:val="clear" w:pos="2302"/>
        </w:tabs>
        <w:spacing w:before="240" w:after="120"/>
        <w:ind w:left="0"/>
        <w:rPr>
          <w:noProof/>
        </w:rPr>
      </w:pPr>
      <w:r w:rsidRPr="12090B95">
        <w:rPr>
          <w:b/>
          <w:bCs/>
          <w:noProof/>
        </w:rPr>
        <w:t xml:space="preserve">LAB 2 </w:t>
      </w:r>
      <w:r w:rsidRPr="006D09E9">
        <w:rPr>
          <w:noProof/>
        </w:rPr>
        <w:t>would have same impacts as described under PO2.</w:t>
      </w:r>
    </w:p>
    <w:p w14:paraId="769FB101" w14:textId="007E19C1" w:rsidR="00285741" w:rsidRPr="00CF06C8" w:rsidRDefault="7C355CBF" w:rsidP="3F0F1197">
      <w:pPr>
        <w:pStyle w:val="Text2"/>
        <w:tabs>
          <w:tab w:val="clear" w:pos="2302"/>
        </w:tabs>
        <w:spacing w:after="120"/>
        <w:ind w:left="0"/>
        <w:rPr>
          <w:noProof/>
          <w:color w:val="1F2427"/>
        </w:rPr>
      </w:pPr>
      <w:r w:rsidRPr="0D4159A0">
        <w:rPr>
          <w:b/>
          <w:bCs/>
          <w:noProof/>
        </w:rPr>
        <w:t>LEAD_EII 3</w:t>
      </w:r>
      <w:r>
        <w:rPr>
          <w:noProof/>
        </w:rPr>
        <w:t xml:space="preserve"> </w:t>
      </w:r>
      <w:r w:rsidR="1B02DAC8" w:rsidRPr="0D4159A0">
        <w:rPr>
          <w:noProof/>
          <w:color w:val="1F2427"/>
        </w:rPr>
        <w:t>is expected to further contribute to the reduction of CO</w:t>
      </w:r>
      <w:r w:rsidR="1B02DAC8" w:rsidRPr="0D4159A0">
        <w:rPr>
          <w:noProof/>
          <w:color w:val="1F2427"/>
          <w:vertAlign w:val="subscript"/>
        </w:rPr>
        <w:t xml:space="preserve">2 </w:t>
      </w:r>
      <w:r w:rsidR="1B02DAC8" w:rsidRPr="0D4159A0">
        <w:rPr>
          <w:noProof/>
          <w:color w:val="1F2427"/>
        </w:rPr>
        <w:t xml:space="preserve">emissions from steel and cement since the provisions would impact the entire automotive and construction sectors. Low-carbon steel would account for emissions saving of </w:t>
      </w:r>
      <w:r w:rsidR="79729C4C" w:rsidRPr="0D4159A0">
        <w:rPr>
          <w:noProof/>
          <w:color w:val="1F2427"/>
        </w:rPr>
        <w:t>10.26</w:t>
      </w:r>
      <w:r w:rsidR="1B02DAC8" w:rsidRPr="0D4159A0">
        <w:rPr>
          <w:noProof/>
          <w:color w:val="1F2427"/>
        </w:rPr>
        <w:t xml:space="preserve"> </w:t>
      </w:r>
      <w:r w:rsidR="00137C3A" w:rsidRPr="00137C3A">
        <w:rPr>
          <w:noProof/>
          <w:color w:val="1F2427"/>
        </w:rPr>
        <w:t xml:space="preserve">Mtonnes </w:t>
      </w:r>
      <w:r w:rsidR="1B02DAC8" w:rsidRPr="0D4159A0">
        <w:rPr>
          <w:noProof/>
          <w:color w:val="1F2427"/>
        </w:rPr>
        <w:t>CO</w:t>
      </w:r>
      <w:r w:rsidR="1B02DAC8" w:rsidRPr="00137C3A">
        <w:rPr>
          <w:noProof/>
          <w:color w:val="1F2427"/>
        </w:rPr>
        <w:t>2</w:t>
      </w:r>
      <w:r w:rsidR="00541001">
        <w:rPr>
          <w:noProof/>
          <w:color w:val="1F2427"/>
        </w:rPr>
        <w:t xml:space="preserve">, </w:t>
      </w:r>
      <w:r w:rsidR="1B02DAC8" w:rsidRPr="0D4159A0">
        <w:rPr>
          <w:noProof/>
          <w:color w:val="1F2427"/>
        </w:rPr>
        <w:t>low-carbon cement for 2.22</w:t>
      </w:r>
      <w:r w:rsidR="1B02DAC8" w:rsidRPr="00137C3A">
        <w:rPr>
          <w:noProof/>
          <w:color w:val="1F2427"/>
        </w:rPr>
        <w:t xml:space="preserve"> Mtonnes </w:t>
      </w:r>
      <w:r w:rsidR="1B02DAC8" w:rsidRPr="0D4159A0">
        <w:rPr>
          <w:noProof/>
          <w:color w:val="1F2427"/>
        </w:rPr>
        <w:t>CO</w:t>
      </w:r>
      <w:r w:rsidR="1B02DAC8" w:rsidRPr="0D4159A0">
        <w:rPr>
          <w:noProof/>
          <w:color w:val="1F2427"/>
          <w:vertAlign w:val="subscript"/>
        </w:rPr>
        <w:t>2</w:t>
      </w:r>
      <w:r w:rsidR="00541001">
        <w:rPr>
          <w:noProof/>
          <w:color w:val="1F2427"/>
          <w:vertAlign w:val="subscript"/>
        </w:rPr>
        <w:t xml:space="preserve"> </w:t>
      </w:r>
      <w:r w:rsidR="00541001">
        <w:rPr>
          <w:noProof/>
          <w:color w:val="1F2427"/>
        </w:rPr>
        <w:t xml:space="preserve">and aluminium </w:t>
      </w:r>
      <w:r w:rsidR="00443D2D">
        <w:rPr>
          <w:noProof/>
          <w:color w:val="1F2427"/>
        </w:rPr>
        <w:t>1.1 Mtonnes CO</w:t>
      </w:r>
      <w:r w:rsidR="00443D2D">
        <w:rPr>
          <w:noProof/>
          <w:color w:val="1F2427"/>
          <w:vertAlign w:val="subscript"/>
        </w:rPr>
        <w:t>2</w:t>
      </w:r>
      <w:r w:rsidR="1B02DAC8" w:rsidRPr="0D4159A0">
        <w:rPr>
          <w:noProof/>
          <w:color w:val="1F2427"/>
        </w:rPr>
        <w:t xml:space="preserve">. In total, LEAD_EII </w:t>
      </w:r>
      <w:r w:rsidR="0089254C">
        <w:rPr>
          <w:noProof/>
          <w:color w:val="1F2427"/>
        </w:rPr>
        <w:t>3</w:t>
      </w:r>
      <w:r w:rsidR="1B02DAC8" w:rsidRPr="0D4159A0">
        <w:rPr>
          <w:noProof/>
          <w:color w:val="1F2427"/>
        </w:rPr>
        <w:t xml:space="preserve"> would contribute to the reduction of </w:t>
      </w:r>
      <w:r w:rsidR="0089254C">
        <w:rPr>
          <w:noProof/>
          <w:color w:val="1F2427"/>
        </w:rPr>
        <w:t>13</w:t>
      </w:r>
      <w:r w:rsidR="00335CC2">
        <w:rPr>
          <w:noProof/>
          <w:color w:val="1F2427"/>
        </w:rPr>
        <w:t>.58</w:t>
      </w:r>
      <w:r w:rsidR="1B02DAC8" w:rsidRPr="0D4159A0">
        <w:rPr>
          <w:noProof/>
          <w:color w:val="1F2427"/>
        </w:rPr>
        <w:t xml:space="preserve"> </w:t>
      </w:r>
      <w:r w:rsidR="1B02DAC8" w:rsidRPr="00137C3A">
        <w:rPr>
          <w:noProof/>
          <w:color w:val="1F2427"/>
        </w:rPr>
        <w:t xml:space="preserve">Mtonnes </w:t>
      </w:r>
      <w:r w:rsidR="1B02DAC8" w:rsidRPr="0D4159A0">
        <w:rPr>
          <w:noProof/>
          <w:color w:val="1F2427"/>
        </w:rPr>
        <w:t>CO</w:t>
      </w:r>
      <w:r w:rsidR="1B02DAC8" w:rsidRPr="00137C3A">
        <w:rPr>
          <w:noProof/>
          <w:color w:val="1F2427"/>
        </w:rPr>
        <w:t>2</w:t>
      </w:r>
      <w:r w:rsidR="1B02DAC8" w:rsidRPr="0D4159A0">
        <w:rPr>
          <w:noProof/>
          <w:color w:val="1F2427"/>
        </w:rPr>
        <w:t xml:space="preserve"> emissions</w:t>
      </w:r>
      <w:r w:rsidR="00244D20">
        <w:rPr>
          <w:noProof/>
          <w:color w:val="1F2427"/>
        </w:rPr>
        <w:t>.</w:t>
      </w:r>
      <w:r w:rsidR="1B02DAC8">
        <w:rPr>
          <w:noProof/>
          <w:color w:val="1F2427"/>
        </w:rPr>
        <w:t xml:space="preserve"> </w:t>
      </w:r>
      <w:r w:rsidR="1B02DAC8" w:rsidRPr="00137C3A">
        <w:rPr>
          <w:noProof/>
          <w:color w:val="1F2427"/>
        </w:rPr>
        <w:t>T</w:t>
      </w:r>
      <w:r w:rsidR="1B02DAC8" w:rsidRPr="00CF06C8">
        <w:rPr>
          <w:noProof/>
          <w:color w:val="1F2427"/>
        </w:rPr>
        <w:t xml:space="preserve">hese emissions savings </w:t>
      </w:r>
      <w:r w:rsidR="00D529ED" w:rsidRPr="00CF06C8">
        <w:rPr>
          <w:noProof/>
          <w:color w:val="1F2427"/>
        </w:rPr>
        <w:t>can be valued at</w:t>
      </w:r>
      <w:r w:rsidR="1B02DAC8" w:rsidRPr="00CF06C8">
        <w:rPr>
          <w:noProof/>
          <w:color w:val="1F2427"/>
        </w:rPr>
        <w:t xml:space="preserve"> EUR 1.</w:t>
      </w:r>
      <w:r w:rsidR="00E1764E" w:rsidRPr="00CF06C8">
        <w:rPr>
          <w:noProof/>
          <w:color w:val="1F2427"/>
        </w:rPr>
        <w:t>358</w:t>
      </w:r>
      <w:r w:rsidR="1B02DAC8" w:rsidRPr="00CF06C8">
        <w:rPr>
          <w:noProof/>
          <w:color w:val="1F2427"/>
        </w:rPr>
        <w:t xml:space="preserve"> billion</w:t>
      </w:r>
      <w:r w:rsidR="00244D20" w:rsidRPr="00CF06C8">
        <w:rPr>
          <w:noProof/>
          <w:color w:val="1F2427"/>
        </w:rPr>
        <w:t xml:space="preserve"> </w:t>
      </w:r>
      <w:r w:rsidR="00244D20" w:rsidRPr="0D4159A0">
        <w:rPr>
          <w:noProof/>
          <w:color w:val="1F2427"/>
        </w:rPr>
        <w:t>(</w:t>
      </w:r>
      <w:r w:rsidR="00244D20" w:rsidRPr="00CF06C8">
        <w:rPr>
          <w:noProof/>
          <w:color w:val="1F2427"/>
        </w:rPr>
        <w:t xml:space="preserve">EUR </w:t>
      </w:r>
      <w:r w:rsidR="00970995" w:rsidRPr="00CF06C8">
        <w:rPr>
          <w:noProof/>
          <w:color w:val="1F2427"/>
        </w:rPr>
        <w:t>814.88</w:t>
      </w:r>
      <w:r w:rsidR="00244D20" w:rsidRPr="00CF06C8">
        <w:rPr>
          <w:noProof/>
          <w:color w:val="1F2427"/>
        </w:rPr>
        <w:t xml:space="preserve"> million – 2</w:t>
      </w:r>
      <w:r w:rsidR="00B21B58" w:rsidRPr="00CF06C8">
        <w:rPr>
          <w:noProof/>
          <w:color w:val="1F2427"/>
        </w:rPr>
        <w:t>.566</w:t>
      </w:r>
      <w:r w:rsidR="00244D20" w:rsidRPr="00CF06C8">
        <w:rPr>
          <w:noProof/>
          <w:color w:val="1F2427"/>
        </w:rPr>
        <w:t xml:space="preserve"> billion) for 2030</w:t>
      </w:r>
      <w:r w:rsidR="1B02DAC8" w:rsidRPr="00CF06C8">
        <w:rPr>
          <w:noProof/>
          <w:color w:val="1F2427"/>
        </w:rPr>
        <w:t>,</w:t>
      </w:r>
      <w:r w:rsidR="00137C3A" w:rsidRPr="00CF06C8">
        <w:rPr>
          <w:noProof/>
          <w:color w:val="1F2427"/>
        </w:rPr>
        <w:t xml:space="preserve"> </w:t>
      </w:r>
      <w:r w:rsidR="1B02DAC8" w:rsidRPr="00CF06C8">
        <w:rPr>
          <w:noProof/>
          <w:color w:val="1F2427"/>
        </w:rPr>
        <w:t>see Annex 4 Section 2.3 for monetisation calculations and Annex 15 for the emission ranges and monetisation.</w:t>
      </w:r>
    </w:p>
    <w:p w14:paraId="05EC0D3C" w14:textId="2C7FED6C" w:rsidR="00285741" w:rsidRPr="00982A23" w:rsidRDefault="1B02DAC8">
      <w:pPr>
        <w:pStyle w:val="Text2"/>
        <w:tabs>
          <w:tab w:val="clear" w:pos="2302"/>
        </w:tabs>
        <w:spacing w:after="120"/>
        <w:ind w:left="0"/>
        <w:rPr>
          <w:noProof/>
        </w:rPr>
      </w:pPr>
      <w:r>
        <w:rPr>
          <w:noProof/>
        </w:rPr>
        <w:t xml:space="preserve">It also </w:t>
      </w:r>
      <w:r w:rsidR="7C355CBF">
        <w:rPr>
          <w:noProof/>
        </w:rPr>
        <w:t xml:space="preserve">introduces a wider scope for </w:t>
      </w:r>
      <w:r w:rsidR="6E3F9A2F">
        <w:rPr>
          <w:noProof/>
        </w:rPr>
        <w:t>Made in EU</w:t>
      </w:r>
      <w:r w:rsidR="7C355CBF">
        <w:rPr>
          <w:noProof/>
        </w:rPr>
        <w:t xml:space="preserve"> requirements, which, on the one hand, would increase environmental performance as EU producers tend to </w:t>
      </w:r>
      <w:r w:rsidR="7C355CBF" w:rsidRPr="00801C0E">
        <w:rPr>
          <w:noProof/>
        </w:rPr>
        <w:t>outperform</w:t>
      </w:r>
      <w:r w:rsidR="7C355CBF">
        <w:rPr>
          <w:noProof/>
        </w:rPr>
        <w:t xml:space="preserve"> international competitors in terms of emissions performance.</w:t>
      </w:r>
      <w:r w:rsidR="00285741">
        <w:rPr>
          <w:rStyle w:val="FootnoteReference"/>
          <w:noProof/>
        </w:rPr>
        <w:footnoteReference w:id="240"/>
      </w:r>
      <w:r w:rsidR="7C355CBF">
        <w:rPr>
          <w:noProof/>
        </w:rPr>
        <w:t xml:space="preserve"> On the other hand, it may limit market competition, which could result in lowering the incentive to innovate and hence further decarbonise. </w:t>
      </w:r>
    </w:p>
    <w:p w14:paraId="4BC465B4" w14:textId="2A54FEEC" w:rsidR="00285741" w:rsidRPr="00982A23" w:rsidRDefault="00285741">
      <w:pPr>
        <w:pStyle w:val="Text2"/>
        <w:tabs>
          <w:tab w:val="clear" w:pos="2302"/>
        </w:tabs>
        <w:spacing w:after="120"/>
        <w:ind w:left="0"/>
        <w:rPr>
          <w:noProof/>
        </w:rPr>
      </w:pPr>
      <w:r w:rsidRPr="3F0F1197">
        <w:rPr>
          <w:b/>
          <w:bCs/>
          <w:noProof/>
        </w:rPr>
        <w:t>LEAD_BAT 2 -</w:t>
      </w:r>
      <w:r>
        <w:rPr>
          <w:noProof/>
        </w:rPr>
        <w:t xml:space="preserve"> Localizing the production of battery cells and cathode active materials, including its precursor material, under PO3 to meet the whole EU demand rather than relying on imported Chinese products, could reduce CO₂ emissions by an estimated 34.17 </w:t>
      </w:r>
      <w:r w:rsidR="00F13BC5">
        <w:rPr>
          <w:noProof/>
        </w:rPr>
        <w:t>Mtonnes</w:t>
      </w:r>
      <w:r>
        <w:rPr>
          <w:noProof/>
        </w:rPr>
        <w:t xml:space="preserve"> by 2030. </w:t>
      </w:r>
      <w:r w:rsidR="00FD5E84" w:rsidRPr="3F0F1197">
        <w:rPr>
          <w:noProof/>
          <w:color w:val="1F2427"/>
        </w:rPr>
        <w:t xml:space="preserve">These emissions savings </w:t>
      </w:r>
      <w:r w:rsidR="008843A2">
        <w:rPr>
          <w:noProof/>
          <w:color w:val="1F2427"/>
        </w:rPr>
        <w:t>have a value of</w:t>
      </w:r>
      <w:r w:rsidR="00FD5E84" w:rsidRPr="3F0F1197">
        <w:rPr>
          <w:noProof/>
          <w:color w:val="1F2427"/>
        </w:rPr>
        <w:t xml:space="preserve"> EUR </w:t>
      </w:r>
      <w:r w:rsidR="00A51F4E" w:rsidRPr="3F0F1197">
        <w:rPr>
          <w:noProof/>
          <w:color w:val="1F2427"/>
        </w:rPr>
        <w:t>3.4</w:t>
      </w:r>
      <w:r w:rsidR="00FD5E84" w:rsidRPr="3F0F1197">
        <w:rPr>
          <w:noProof/>
          <w:color w:val="1F2427"/>
        </w:rPr>
        <w:t xml:space="preserve"> </w:t>
      </w:r>
      <w:r w:rsidR="00A51F4E" w:rsidRPr="3F0F1197">
        <w:rPr>
          <w:noProof/>
          <w:color w:val="1F2427"/>
        </w:rPr>
        <w:t>b</w:t>
      </w:r>
      <w:r w:rsidR="00FD5E84" w:rsidRPr="3F0F1197">
        <w:rPr>
          <w:noProof/>
          <w:color w:val="1F2427"/>
        </w:rPr>
        <w:t>illion</w:t>
      </w:r>
      <w:r w:rsidR="00676183">
        <w:rPr>
          <w:noProof/>
          <w:color w:val="1F2427"/>
        </w:rPr>
        <w:t xml:space="preserve"> </w:t>
      </w:r>
      <w:r w:rsidR="00C86C1A" w:rsidRPr="00CF06C8">
        <w:rPr>
          <w:noProof/>
          <w:color w:val="1F2427"/>
        </w:rPr>
        <w:t>(</w:t>
      </w:r>
      <w:r w:rsidR="00A266CC" w:rsidRPr="00CF06C8">
        <w:rPr>
          <w:noProof/>
          <w:color w:val="1F2427"/>
        </w:rPr>
        <w:t>EUR 2 billion -</w:t>
      </w:r>
      <w:r w:rsidR="00E66EF8" w:rsidRPr="00CF06C8">
        <w:rPr>
          <w:noProof/>
          <w:color w:val="1F2427"/>
        </w:rPr>
        <w:t>6.4 billion)</w:t>
      </w:r>
      <w:r w:rsidR="00FD5E84" w:rsidRPr="00CF06C8">
        <w:rPr>
          <w:noProof/>
          <w:color w:val="1F2427"/>
        </w:rPr>
        <w:t xml:space="preserve">, see Annex 4 </w:t>
      </w:r>
      <w:r w:rsidR="00E8682E" w:rsidRPr="00CF06C8">
        <w:rPr>
          <w:noProof/>
          <w:color w:val="1F2427"/>
        </w:rPr>
        <w:t>Section</w:t>
      </w:r>
      <w:r w:rsidR="00FD5E84" w:rsidRPr="00CF06C8">
        <w:rPr>
          <w:noProof/>
          <w:color w:val="1F2427"/>
        </w:rPr>
        <w:t xml:space="preserve"> 2.3</w:t>
      </w:r>
      <w:r w:rsidRPr="00CF06C8">
        <w:rPr>
          <w:noProof/>
          <w:color w:val="1F2427"/>
        </w:rPr>
        <w:t xml:space="preserve"> for </w:t>
      </w:r>
      <w:r w:rsidR="00FD5E84" w:rsidRPr="00CF06C8">
        <w:rPr>
          <w:noProof/>
          <w:color w:val="1F2427"/>
        </w:rPr>
        <w:t>monetisation calculations</w:t>
      </w:r>
      <w:r w:rsidR="00E66EF8" w:rsidRPr="00CF06C8">
        <w:rPr>
          <w:noProof/>
          <w:color w:val="1F2427"/>
        </w:rPr>
        <w:t xml:space="preserve"> and Annex 15 for </w:t>
      </w:r>
      <w:r w:rsidR="007363E3" w:rsidRPr="00CF06C8">
        <w:rPr>
          <w:noProof/>
          <w:color w:val="1F2427"/>
        </w:rPr>
        <w:t xml:space="preserve">the </w:t>
      </w:r>
      <w:r w:rsidR="00E66EF8" w:rsidRPr="00CF06C8">
        <w:rPr>
          <w:noProof/>
          <w:color w:val="1F2427"/>
        </w:rPr>
        <w:t>sensitivity analysis</w:t>
      </w:r>
      <w:r w:rsidR="00FD5E84" w:rsidRPr="00CF06C8">
        <w:rPr>
          <w:noProof/>
          <w:color w:val="1F2427"/>
        </w:rPr>
        <w:t>.</w:t>
      </w:r>
      <w:r w:rsidR="00FD5E84" w:rsidRPr="3F0F1197">
        <w:rPr>
          <w:noProof/>
          <w:color w:val="1F2427"/>
        </w:rPr>
        <w:t xml:space="preserve"> </w:t>
      </w:r>
      <w:r>
        <w:rPr>
          <w:noProof/>
        </w:rPr>
        <w:t xml:space="preserve">This does not account </w:t>
      </w:r>
      <w:r w:rsidR="0081285F">
        <w:rPr>
          <w:noProof/>
        </w:rPr>
        <w:t>any potential</w:t>
      </w:r>
      <w:r>
        <w:rPr>
          <w:noProof/>
        </w:rPr>
        <w:t xml:space="preserve"> slowdown of EV and BESS uptake, which would in turn have a negative environmental impact.</w:t>
      </w:r>
    </w:p>
    <w:p w14:paraId="487E78FD" w14:textId="71A582C7" w:rsidR="00285741" w:rsidRPr="002312A3" w:rsidRDefault="00285741">
      <w:pPr>
        <w:pStyle w:val="Text2"/>
        <w:tabs>
          <w:tab w:val="clear" w:pos="2302"/>
        </w:tabs>
        <w:spacing w:after="120"/>
        <w:ind w:left="0"/>
        <w:rPr>
          <w:noProof/>
        </w:rPr>
      </w:pPr>
      <w:r w:rsidRPr="6375C431">
        <w:rPr>
          <w:b/>
          <w:noProof/>
        </w:rPr>
        <w:lastRenderedPageBreak/>
        <w:t xml:space="preserve">PERM 3 </w:t>
      </w:r>
      <w:r>
        <w:rPr>
          <w:noProof/>
        </w:rPr>
        <w:t>increases</w:t>
      </w:r>
      <w:r w:rsidRPr="0AD51DF7">
        <w:rPr>
          <w:b/>
          <w:noProof/>
        </w:rPr>
        <w:t xml:space="preserve"> </w:t>
      </w:r>
      <w:r>
        <w:rPr>
          <w:noProof/>
        </w:rPr>
        <w:t>climate benefits by further accelerating the decarbonisation projects through faster deployment, potentially accelerated grid connection as a result of clustering and through easier implementation in clusters areas, notably in their GHG performance. It also introduces a single environmental assessment for the industrial clusters’ plans. To mitigate to the maximum any individual impacts by the projects, the plan would accompany the designation of such areas with the relevant mitigation and/or compensatory measures for the industrial activities planned. This would ensure that any potential environmental impact is kept to a minimum. However, a derogation from individual environmental impact assessments will result in a less efficient identification of environmental impacts associated with industrial activities in identified clusters. Hence, mitigation or compensatory measures are expected to be more challenging to implement at an adequate and sufficient level. Permitting under the IED would remain at the installation level within clusters</w:t>
      </w:r>
      <w:r w:rsidDel="00A20776">
        <w:rPr>
          <w:noProof/>
        </w:rPr>
        <w:t>.</w:t>
      </w:r>
      <w:r>
        <w:rPr>
          <w:noProof/>
        </w:rPr>
        <w:t xml:space="preserve"> The possibility to derogate from the temporary emissions occurring during the construction phase of a project with CCS would have negative impacts on the environment, for instance in terms of nitrogen emissions. The initial negative impact on the environment from this derogation should be considered against the climate improvements brought by the projects in the process of the decarbonisation of </w:t>
      </w:r>
      <w:r w:rsidR="00DF59A0">
        <w:rPr>
          <w:noProof/>
        </w:rPr>
        <w:t xml:space="preserve">sectors with hard to abate emissions </w:t>
      </w:r>
      <w:r>
        <w:rPr>
          <w:noProof/>
        </w:rPr>
        <w:t xml:space="preserve">. The identification of these industrial clusters can contribute to wider decarbonisation efforts as regard to infrastructure planning. Easily identifiable points of considerable energy demand could speed up the deployment of future energy infrastructure, necessary for their </w:t>
      </w:r>
      <w:r>
        <w:rPr>
          <w:rFonts w:eastAsia="Aptos"/>
          <w:noProof/>
        </w:rPr>
        <w:t>decarbonisation</w:t>
      </w:r>
      <w:r>
        <w:rPr>
          <w:noProof/>
        </w:rPr>
        <w:t xml:space="preserve"> efforts. </w:t>
      </w:r>
    </w:p>
    <w:p w14:paraId="36F47081" w14:textId="5274A381" w:rsidR="00285741" w:rsidRPr="002312A3" w:rsidRDefault="14D7A9EF">
      <w:pPr>
        <w:pStyle w:val="Text2"/>
        <w:spacing w:after="120"/>
        <w:ind w:left="0"/>
        <w:rPr>
          <w:noProof/>
        </w:rPr>
      </w:pPr>
      <w:r w:rsidRPr="3C1B0927">
        <w:rPr>
          <w:b/>
          <w:bCs/>
          <w:noProof/>
        </w:rPr>
        <w:t>LEAD_VC 2</w:t>
      </w:r>
      <w:r>
        <w:rPr>
          <w:noProof/>
        </w:rPr>
        <w:t xml:space="preserve"> - In Scenario 1, global greenhouse gas emissions from vehicle manufacturing decrease by 0.9</w:t>
      </w:r>
      <w:r w:rsidR="393FB8A7">
        <w:rPr>
          <w:noProof/>
        </w:rPr>
        <w:t xml:space="preserve"> Mtonnes </w:t>
      </w:r>
      <w:r>
        <w:rPr>
          <w:noProof/>
        </w:rPr>
        <w:t>CO</w:t>
      </w:r>
      <w:r w:rsidRPr="3C1B0927">
        <w:rPr>
          <w:noProof/>
          <w:vertAlign w:val="subscript"/>
        </w:rPr>
        <w:t>2</w:t>
      </w:r>
      <w:r>
        <w:rPr>
          <w:noProof/>
        </w:rPr>
        <w:t>e in 2027 and by 0.7</w:t>
      </w:r>
      <w:r w:rsidR="393FB8A7">
        <w:rPr>
          <w:noProof/>
        </w:rPr>
        <w:t xml:space="preserve"> Mtonnes </w:t>
      </w:r>
      <w:r>
        <w:rPr>
          <w:noProof/>
        </w:rPr>
        <w:t>in 2030 due to shifts in production; they further decline by 0.1 - 0.2</w:t>
      </w:r>
      <w:r w:rsidR="393FB8A7">
        <w:rPr>
          <w:noProof/>
        </w:rPr>
        <w:t xml:space="preserve"> Mtonnes </w:t>
      </w:r>
      <w:r>
        <w:rPr>
          <w:noProof/>
        </w:rPr>
        <w:t xml:space="preserve">due to reductions in international transport associated with EU imports. </w:t>
      </w:r>
      <w:r w:rsidR="408530DB" w:rsidRPr="3C1B0927">
        <w:rPr>
          <w:noProof/>
          <w:color w:val="1F2427"/>
        </w:rPr>
        <w:t xml:space="preserve">These emissions savings </w:t>
      </w:r>
      <w:r w:rsidR="00D4252F">
        <w:rPr>
          <w:noProof/>
          <w:color w:val="1F2427"/>
        </w:rPr>
        <w:t>represent a benefit of</w:t>
      </w:r>
      <w:r w:rsidR="408530DB" w:rsidRPr="3C1B0927">
        <w:rPr>
          <w:noProof/>
          <w:color w:val="1F2427"/>
        </w:rPr>
        <w:t xml:space="preserve"> EUR 90 million</w:t>
      </w:r>
      <w:r w:rsidR="0C8301D7" w:rsidRPr="3C1B0927">
        <w:rPr>
          <w:noProof/>
          <w:color w:val="1F2427"/>
        </w:rPr>
        <w:t xml:space="preserve"> </w:t>
      </w:r>
      <w:r w:rsidR="0C8301D7" w:rsidRPr="00CF06C8">
        <w:rPr>
          <w:noProof/>
          <w:color w:val="1F2427"/>
        </w:rPr>
        <w:t>(EUR 54 million</w:t>
      </w:r>
      <w:r w:rsidR="00CF06C8">
        <w:rPr>
          <w:noProof/>
          <w:color w:val="1F2427"/>
        </w:rPr>
        <w:t xml:space="preserve"> </w:t>
      </w:r>
      <w:r w:rsidR="0C8301D7" w:rsidRPr="00CF06C8">
        <w:rPr>
          <w:noProof/>
          <w:color w:val="1F2427"/>
        </w:rPr>
        <w:t>- 170 million)</w:t>
      </w:r>
      <w:r w:rsidR="408530DB" w:rsidRPr="00CF06C8">
        <w:rPr>
          <w:noProof/>
          <w:color w:val="1F2427"/>
        </w:rPr>
        <w:t xml:space="preserve">, see Annex 4 </w:t>
      </w:r>
      <w:r w:rsidR="51A583AA" w:rsidRPr="00CF06C8">
        <w:rPr>
          <w:noProof/>
          <w:color w:val="1F2427"/>
        </w:rPr>
        <w:t>Section</w:t>
      </w:r>
      <w:r w:rsidR="408530DB" w:rsidRPr="00CF06C8">
        <w:rPr>
          <w:noProof/>
          <w:color w:val="1F2427"/>
        </w:rPr>
        <w:t xml:space="preserve"> 2.3 for monetisation calculations</w:t>
      </w:r>
      <w:r w:rsidR="0C8301D7" w:rsidRPr="00CF06C8">
        <w:rPr>
          <w:noProof/>
          <w:color w:val="1F2427"/>
        </w:rPr>
        <w:t xml:space="preserve"> and Annex 15 for the sensitivity analysis</w:t>
      </w:r>
      <w:r w:rsidR="408530DB" w:rsidRPr="3C1B0927">
        <w:rPr>
          <w:noProof/>
          <w:color w:val="1F2427"/>
        </w:rPr>
        <w:t>.</w:t>
      </w:r>
      <w:r>
        <w:rPr>
          <w:noProof/>
        </w:rPr>
        <w:t xml:space="preserve"> In sum, the environmental effects remain limited and are very similar across LEAD_VC</w:t>
      </w:r>
      <w:r w:rsidR="007D56AE">
        <w:rPr>
          <w:noProof/>
        </w:rPr>
        <w:t xml:space="preserve"> </w:t>
      </w:r>
      <w:r>
        <w:rPr>
          <w:noProof/>
        </w:rPr>
        <w:t>1 and LEAD_VC</w:t>
      </w:r>
      <w:r w:rsidR="007D56AE">
        <w:rPr>
          <w:noProof/>
        </w:rPr>
        <w:t xml:space="preserve"> </w:t>
      </w:r>
      <w:r>
        <w:rPr>
          <w:noProof/>
        </w:rPr>
        <w:t>2.</w:t>
      </w:r>
    </w:p>
    <w:p w14:paraId="5A8CE299" w14:textId="77777777" w:rsidR="00285741" w:rsidRPr="00195EC6" w:rsidRDefault="00285741" w:rsidP="00285741">
      <w:pPr>
        <w:pStyle w:val="Heading1"/>
        <w:keepLines w:val="0"/>
        <w:numPr>
          <w:ilvl w:val="0"/>
          <w:numId w:val="64"/>
        </w:numPr>
        <w:tabs>
          <w:tab w:val="num" w:pos="480"/>
        </w:tabs>
        <w:spacing w:after="120"/>
        <w:ind w:left="480" w:hanging="480"/>
        <w:rPr>
          <w:rFonts w:ascii="Times" w:hAnsi="Times" w:cs="Times"/>
          <w:b/>
          <w:bCs/>
          <w:noProof/>
          <w:color w:val="auto"/>
          <w:sz w:val="28"/>
          <w:szCs w:val="28"/>
        </w:rPr>
      </w:pPr>
      <w:bookmarkStart w:id="81" w:name="_Toc205923049"/>
      <w:bookmarkStart w:id="82" w:name="_Toc211984405"/>
      <w:bookmarkStart w:id="83" w:name="_Toc222159303"/>
      <w:bookmarkStart w:id="84" w:name="_Toc222489990"/>
      <w:r w:rsidRPr="00195EC6">
        <w:rPr>
          <w:rFonts w:ascii="Times" w:hAnsi="Times" w:cs="Times"/>
          <w:b/>
          <w:bCs/>
          <w:noProof/>
          <w:color w:val="auto"/>
          <w:sz w:val="28"/>
          <w:szCs w:val="28"/>
        </w:rPr>
        <w:t>How do the options compare?</w:t>
      </w:r>
      <w:bookmarkEnd w:id="81"/>
      <w:bookmarkEnd w:id="82"/>
      <w:bookmarkEnd w:id="83"/>
      <w:bookmarkEnd w:id="84"/>
    </w:p>
    <w:p w14:paraId="69DDEA56" w14:textId="77777777" w:rsidR="00285741" w:rsidRPr="00310056" w:rsidRDefault="00285741" w:rsidP="00285741">
      <w:pPr>
        <w:pStyle w:val="Heading2"/>
        <w:keepLines w:val="0"/>
        <w:numPr>
          <w:ilvl w:val="1"/>
          <w:numId w:val="64"/>
        </w:numPr>
        <w:tabs>
          <w:tab w:val="num" w:pos="1418"/>
        </w:tabs>
        <w:spacing w:before="0" w:after="120"/>
        <w:ind w:left="1855" w:hanging="1288"/>
      </w:pPr>
      <w:bookmarkStart w:id="85" w:name="_Toc211984406"/>
      <w:bookmarkStart w:id="86" w:name="_Toc222489991"/>
      <w:r w:rsidRPr="00310056">
        <w:t>Effectiveness</w:t>
      </w:r>
      <w:bookmarkEnd w:id="85"/>
      <w:bookmarkEnd w:id="86"/>
    </w:p>
    <w:p w14:paraId="0173CE85" w14:textId="6108E004" w:rsidR="00285741" w:rsidRPr="00ED66AD" w:rsidRDefault="00285741">
      <w:pPr>
        <w:spacing w:after="120"/>
        <w:rPr>
          <w:rFonts w:eastAsia="Times New Roman"/>
          <w:noProof/>
        </w:rPr>
      </w:pPr>
      <w:r w:rsidRPr="3285770D">
        <w:rPr>
          <w:rFonts w:eastAsia="Times New Roman"/>
          <w:noProof/>
        </w:rPr>
        <w:t xml:space="preserve">The assessment of effectiveness looks at the extent to which the general and specific objectives (SO) of the intervention, as described in </w:t>
      </w:r>
      <w:r w:rsidR="00E8682E">
        <w:rPr>
          <w:rFonts w:eastAsia="Times New Roman"/>
          <w:noProof/>
        </w:rPr>
        <w:t>Section</w:t>
      </w:r>
      <w:r w:rsidRPr="3285770D">
        <w:rPr>
          <w:rFonts w:eastAsia="Times New Roman"/>
          <w:noProof/>
        </w:rPr>
        <w:t xml:space="preserve"> 4, are met.</w:t>
      </w:r>
    </w:p>
    <w:p w14:paraId="52C67FA9" w14:textId="77777777" w:rsidR="00285741" w:rsidRDefault="00285741" w:rsidP="00195EC6">
      <w:pPr>
        <w:spacing w:after="120"/>
        <w:rPr>
          <w:rFonts w:eastAsia="Aptos"/>
          <w:noProof/>
          <w:color w:val="000000" w:themeColor="text1"/>
          <w:lang w:eastAsia="en-GB"/>
        </w:rPr>
      </w:pPr>
      <w:r w:rsidRPr="00807708">
        <w:rPr>
          <w:b/>
          <w:noProof/>
        </w:rPr>
        <w:t>SO1</w:t>
      </w:r>
      <w:r w:rsidRPr="00807708">
        <w:rPr>
          <w:b/>
          <w:bCs/>
          <w:noProof/>
        </w:rPr>
        <w:t xml:space="preserve">: </w:t>
      </w:r>
      <w:r w:rsidRPr="7EF5B61A">
        <w:rPr>
          <w:rFonts w:eastAsia="Times New Roman"/>
          <w:b/>
          <w:noProof/>
        </w:rPr>
        <w:t xml:space="preserve">Facilitate differentiation </w:t>
      </w:r>
      <w:r>
        <w:rPr>
          <w:rFonts w:eastAsia="Times New Roman"/>
          <w:b/>
          <w:noProof/>
        </w:rPr>
        <w:t xml:space="preserve">for </w:t>
      </w:r>
      <w:r w:rsidRPr="7EF5B61A">
        <w:rPr>
          <w:rFonts w:eastAsia="Times New Roman"/>
          <w:b/>
          <w:noProof/>
        </w:rPr>
        <w:t>low-carbon industrial products to increase their value and marketability</w:t>
      </w:r>
      <w:r w:rsidRPr="00D11FC5">
        <w:rPr>
          <w:b/>
          <w:bCs/>
          <w:noProof/>
        </w:rPr>
        <w:t>:</w:t>
      </w:r>
      <w:r w:rsidRPr="00AF73F6">
        <w:rPr>
          <w:b/>
          <w:noProof/>
        </w:rPr>
        <w:t xml:space="preserve"> </w:t>
      </w:r>
      <w:r w:rsidRPr="3285770D">
        <w:rPr>
          <w:rFonts w:eastAsia="Aptos"/>
          <w:noProof/>
          <w:color w:val="000000" w:themeColor="text1"/>
          <w:lang w:eastAsia="en-GB"/>
        </w:rPr>
        <w:t xml:space="preserve">PO1 would be more effective than PO2 as it would develop low-carbon labels for all </w:t>
      </w:r>
      <w:r>
        <w:rPr>
          <w:rFonts w:eastAsia="Aptos"/>
          <w:noProof/>
          <w:color w:val="000000" w:themeColor="text1"/>
          <w:lang w:eastAsia="en-GB"/>
        </w:rPr>
        <w:t>outputs of</w:t>
      </w:r>
      <w:r w:rsidRPr="3285770D">
        <w:rPr>
          <w:rFonts w:eastAsia="Aptos"/>
          <w:noProof/>
          <w:color w:val="000000" w:themeColor="text1"/>
          <w:lang w:eastAsia="en-GB"/>
        </w:rPr>
        <w:t xml:space="preserve"> EIIs</w:t>
      </w:r>
      <w:r w:rsidRPr="6F97CC81">
        <w:rPr>
          <w:rFonts w:eastAsia="Aptos"/>
          <w:noProof/>
          <w:color w:val="000000" w:themeColor="text1"/>
          <w:lang w:eastAsia="en-GB"/>
        </w:rPr>
        <w:t>.</w:t>
      </w:r>
      <w:r w:rsidRPr="3285770D">
        <w:rPr>
          <w:rFonts w:eastAsia="Aptos"/>
          <w:noProof/>
          <w:color w:val="000000" w:themeColor="text1"/>
          <w:lang w:eastAsia="en-GB"/>
        </w:rPr>
        <w:t xml:space="preserve"> This would increase transparency and help manufacturers of l</w:t>
      </w:r>
      <w:r>
        <w:rPr>
          <w:noProof/>
        </w:rPr>
        <w:t xml:space="preserve">ow-carbon industrial products in distinguishing their offerings from conventional alternatives, contributing to lead markets creation and, ultimately, the </w:t>
      </w:r>
      <w:r w:rsidRPr="3285770D">
        <w:rPr>
          <w:rFonts w:eastAsia="Aptos"/>
          <w:noProof/>
          <w:color w:val="000000" w:themeColor="text1"/>
          <w:lang w:eastAsia="en-GB"/>
        </w:rPr>
        <w:t xml:space="preserve">general objective of supporting the decarbonisation of </w:t>
      </w:r>
      <w:r w:rsidRPr="005970BD">
        <w:rPr>
          <w:rFonts w:eastAsia="Aptos"/>
          <w:noProof/>
          <w:color w:val="000000" w:themeColor="text1"/>
          <w:lang w:eastAsia="en-GB"/>
        </w:rPr>
        <w:t>EIIs</w:t>
      </w:r>
      <w:r w:rsidRPr="3285770D">
        <w:rPr>
          <w:rFonts w:eastAsia="Aptos"/>
          <w:noProof/>
          <w:color w:val="000000" w:themeColor="text1"/>
          <w:lang w:eastAsia="en-GB"/>
        </w:rPr>
        <w:t xml:space="preserve">. </w:t>
      </w:r>
      <w:r w:rsidRPr="1B9937DE">
        <w:rPr>
          <w:rFonts w:eastAsia="Aptos"/>
          <w:noProof/>
          <w:color w:val="000000" w:themeColor="text1"/>
          <w:lang w:eastAsia="en-GB"/>
        </w:rPr>
        <w:t xml:space="preserve">However, this would only be the case in the long term once </w:t>
      </w:r>
      <w:r w:rsidRPr="0437BAC9">
        <w:rPr>
          <w:rFonts w:eastAsia="Aptos"/>
          <w:noProof/>
          <w:color w:val="000000" w:themeColor="text1"/>
          <w:lang w:eastAsia="en-GB"/>
        </w:rPr>
        <w:t>labels</w:t>
      </w:r>
      <w:r w:rsidRPr="1B9937DE">
        <w:rPr>
          <w:rFonts w:eastAsia="Aptos"/>
          <w:noProof/>
          <w:color w:val="000000" w:themeColor="text1"/>
          <w:lang w:eastAsia="en-GB"/>
        </w:rPr>
        <w:t xml:space="preserve"> </w:t>
      </w:r>
      <w:r>
        <w:rPr>
          <w:rFonts w:eastAsia="Aptos"/>
          <w:noProof/>
          <w:color w:val="000000" w:themeColor="text1"/>
          <w:lang w:eastAsia="en-GB"/>
        </w:rPr>
        <w:t>have been properly</w:t>
      </w:r>
      <w:r w:rsidRPr="1B9937DE">
        <w:rPr>
          <w:rFonts w:eastAsia="Aptos"/>
          <w:noProof/>
          <w:color w:val="000000" w:themeColor="text1"/>
          <w:lang w:eastAsia="en-GB"/>
        </w:rPr>
        <w:t xml:space="preserve"> established</w:t>
      </w:r>
      <w:r>
        <w:rPr>
          <w:rFonts w:eastAsia="Aptos"/>
          <w:noProof/>
          <w:color w:val="000000" w:themeColor="text1"/>
          <w:lang w:eastAsia="en-GB"/>
        </w:rPr>
        <w:t xml:space="preserve"> and the attractiveness and use of such labels confirmed</w:t>
      </w:r>
      <w:r w:rsidRPr="521D36A5">
        <w:rPr>
          <w:rFonts w:eastAsia="Aptos"/>
          <w:noProof/>
          <w:color w:val="000000" w:themeColor="text1"/>
          <w:lang w:eastAsia="en-GB"/>
        </w:rPr>
        <w:t>.</w:t>
      </w:r>
    </w:p>
    <w:p w14:paraId="0DEC4137" w14:textId="7DEC55FD" w:rsidR="005D263C" w:rsidRDefault="7C355CBF" w:rsidP="005D263C">
      <w:pPr>
        <w:spacing w:after="120"/>
        <w:rPr>
          <w:rFonts w:eastAsia="Times New Roman"/>
          <w:noProof/>
        </w:rPr>
      </w:pPr>
      <w:r w:rsidRPr="3F0F1197">
        <w:rPr>
          <w:b/>
          <w:bCs/>
          <w:noProof/>
        </w:rPr>
        <w:t xml:space="preserve">SO2: Boost demand </w:t>
      </w:r>
      <w:r w:rsidR="70279C72" w:rsidRPr="3F0F1197">
        <w:rPr>
          <w:b/>
          <w:bCs/>
          <w:noProof/>
        </w:rPr>
        <w:t>for</w:t>
      </w:r>
      <w:r w:rsidRPr="3F0F1197">
        <w:rPr>
          <w:b/>
          <w:bCs/>
          <w:noProof/>
        </w:rPr>
        <w:t xml:space="preserve"> European low-carbon products and clean tech: </w:t>
      </w:r>
      <w:r>
        <w:rPr>
          <w:noProof/>
        </w:rPr>
        <w:t>P</w:t>
      </w:r>
      <w:r w:rsidRPr="3F0F1197">
        <w:rPr>
          <w:rFonts w:eastAsia="Times New Roman"/>
          <w:noProof/>
        </w:rPr>
        <w:t>O2 is likely to be the most effective in meeting the objective of creating lead markets for European low</w:t>
      </w:r>
      <w:r w:rsidR="00F42FCE">
        <w:rPr>
          <w:rFonts w:eastAsia="Times New Roman"/>
          <w:noProof/>
        </w:rPr>
        <w:t>-</w:t>
      </w:r>
      <w:r w:rsidRPr="3F0F1197">
        <w:rPr>
          <w:rFonts w:eastAsia="Times New Roman"/>
          <w:noProof/>
        </w:rPr>
        <w:t xml:space="preserve">carbon industrial products and European clean technologies as well as vehicle components for EVs, as it would introduce low-carbon and </w:t>
      </w:r>
      <w:r w:rsidR="6E3F9A2F" w:rsidRPr="3F0F1197">
        <w:rPr>
          <w:rFonts w:eastAsia="Times New Roman"/>
          <w:noProof/>
        </w:rPr>
        <w:t>Made</w:t>
      </w:r>
      <w:r w:rsidRPr="3F0F1197">
        <w:rPr>
          <w:rFonts w:eastAsia="Times New Roman"/>
          <w:noProof/>
        </w:rPr>
        <w:t xml:space="preserve"> in </w:t>
      </w:r>
      <w:r w:rsidR="6E3F9A2F" w:rsidRPr="3F0F1197">
        <w:rPr>
          <w:rFonts w:eastAsia="Times New Roman"/>
          <w:noProof/>
        </w:rPr>
        <w:t>EU</w:t>
      </w:r>
      <w:r w:rsidRPr="3F0F1197">
        <w:rPr>
          <w:rFonts w:eastAsia="Times New Roman"/>
          <w:noProof/>
        </w:rPr>
        <w:t xml:space="preserve"> requirements in those market segments where the benefits would be the highest. By spurring demand, it would also contribute to attracting new investments in EIIs, batteries, solar PV and automotive components. PO3, could also be effective, as long as introducing EU requirements for products placed on the market are sufficiently progressive to address implementation challenges for the sectors considered, </w:t>
      </w:r>
      <w:r w:rsidRPr="3F0F1197">
        <w:rPr>
          <w:rFonts w:eastAsia="Times New Roman"/>
          <w:noProof/>
        </w:rPr>
        <w:lastRenderedPageBreak/>
        <w:t xml:space="preserve">especially for ‘nascent industries’ like batteries and solar PVs, where European manufacturers lack sufficient scale to ramp up production to meet the projected demand increase in the short to medium term. PO3 would also be challenging in terms of enforcement, affecting the effectiveness of the measure. </w:t>
      </w:r>
    </w:p>
    <w:p w14:paraId="156ED0F1" w14:textId="35C522F9" w:rsidR="001223DC" w:rsidRPr="00425BFA" w:rsidRDefault="001D3C5E" w:rsidP="00195EC6">
      <w:pPr>
        <w:spacing w:after="120"/>
        <w:rPr>
          <w:rFonts w:eastAsia="Times New Roman"/>
          <w:noProof/>
          <w:lang w:val="en-IE"/>
        </w:rPr>
      </w:pPr>
      <w:r w:rsidRPr="00CF06C8">
        <w:rPr>
          <w:rFonts w:eastAsia="Times New Roman"/>
          <w:noProof/>
        </w:rPr>
        <w:t xml:space="preserve">By </w:t>
      </w:r>
      <w:r w:rsidR="00087429" w:rsidRPr="00CF06C8">
        <w:rPr>
          <w:rFonts w:eastAsia="Times New Roman"/>
          <w:noProof/>
        </w:rPr>
        <w:t xml:space="preserve">creating </w:t>
      </w:r>
      <w:r w:rsidR="00C25F08" w:rsidRPr="00CF06C8">
        <w:rPr>
          <w:rFonts w:eastAsia="Times New Roman"/>
          <w:noProof/>
        </w:rPr>
        <w:t xml:space="preserve">more </w:t>
      </w:r>
      <w:r w:rsidR="00087429" w:rsidRPr="00CF06C8">
        <w:rPr>
          <w:rFonts w:eastAsia="Times New Roman"/>
          <w:noProof/>
        </w:rPr>
        <w:t>p</w:t>
      </w:r>
      <w:r w:rsidR="00C25F08" w:rsidRPr="00CF06C8">
        <w:rPr>
          <w:rFonts w:eastAsia="Times New Roman"/>
          <w:noProof/>
        </w:rPr>
        <w:t xml:space="preserve">redictable demand, </w:t>
      </w:r>
      <w:r w:rsidR="005D263C" w:rsidRPr="00CF06C8">
        <w:rPr>
          <w:rFonts w:eastAsia="Times New Roman"/>
          <w:noProof/>
        </w:rPr>
        <w:t xml:space="preserve">PO2 will </w:t>
      </w:r>
      <w:r w:rsidR="00C25F08" w:rsidRPr="00CF06C8">
        <w:rPr>
          <w:noProof/>
        </w:rPr>
        <w:t xml:space="preserve">help absorb some of the investments costs from the low-carbon technologies, unlocking </w:t>
      </w:r>
      <w:r w:rsidR="004C2878" w:rsidRPr="00CF06C8">
        <w:rPr>
          <w:rFonts w:eastAsia="Times New Roman"/>
          <w:noProof/>
        </w:rPr>
        <w:t xml:space="preserve">stalled and </w:t>
      </w:r>
      <w:r w:rsidR="00967F0E" w:rsidRPr="00CF06C8">
        <w:rPr>
          <w:rFonts w:eastAsia="Times New Roman"/>
          <w:noProof/>
        </w:rPr>
        <w:t xml:space="preserve">creating market signal for </w:t>
      </w:r>
      <w:r w:rsidR="004C2878" w:rsidRPr="00CF06C8">
        <w:rPr>
          <w:rFonts w:eastAsia="Times New Roman"/>
          <w:noProof/>
        </w:rPr>
        <w:t xml:space="preserve">new </w:t>
      </w:r>
      <w:r w:rsidR="005D263C" w:rsidRPr="00CF06C8">
        <w:rPr>
          <w:rFonts w:eastAsia="Times New Roman"/>
          <w:noProof/>
          <w:lang w:val="en-IE"/>
        </w:rPr>
        <w:t>investments in the sectors covered.</w:t>
      </w:r>
      <w:r w:rsidR="003D55F2" w:rsidRPr="00CF06C8">
        <w:rPr>
          <w:rFonts w:eastAsia="Times New Roman"/>
          <w:noProof/>
          <w:lang w:val="en-IE"/>
        </w:rPr>
        <w:t xml:space="preserve"> The Made in EU and low-carbon requirements </w:t>
      </w:r>
      <w:r w:rsidR="003D55F2" w:rsidRPr="00CF06C8">
        <w:rPr>
          <w:rFonts w:eastAsia="Times New Roman"/>
          <w:noProof/>
        </w:rPr>
        <w:t xml:space="preserve">will create a pull effect in the market </w:t>
      </w:r>
      <w:r w:rsidR="00582786" w:rsidRPr="00CF06C8">
        <w:rPr>
          <w:rFonts w:eastAsia="Times New Roman"/>
          <w:noProof/>
        </w:rPr>
        <w:t xml:space="preserve">that </w:t>
      </w:r>
      <w:r w:rsidR="00DA48E9" w:rsidRPr="00CF06C8">
        <w:rPr>
          <w:rFonts w:eastAsia="Times New Roman"/>
          <w:noProof/>
        </w:rPr>
        <w:t>will</w:t>
      </w:r>
      <w:r w:rsidR="00B8051B" w:rsidRPr="00CF06C8">
        <w:rPr>
          <w:rFonts w:eastAsia="Times New Roman"/>
          <w:noProof/>
        </w:rPr>
        <w:t xml:space="preserve"> increase the share</w:t>
      </w:r>
      <w:r w:rsidR="003D55F2" w:rsidRPr="00CF06C8">
        <w:rPr>
          <w:rFonts w:eastAsia="Times New Roman"/>
          <w:noProof/>
        </w:rPr>
        <w:t xml:space="preserve"> of domestic demand to be covered by </w:t>
      </w:r>
      <w:r w:rsidR="00F44909" w:rsidRPr="00CF06C8">
        <w:rPr>
          <w:rFonts w:eastAsia="Times New Roman"/>
          <w:noProof/>
        </w:rPr>
        <w:t>cleaner and European production</w:t>
      </w:r>
      <w:r w:rsidR="00563CBA" w:rsidRPr="00CF06C8">
        <w:rPr>
          <w:rFonts w:eastAsia="Times New Roman"/>
          <w:noProof/>
        </w:rPr>
        <w:t>,</w:t>
      </w:r>
      <w:r w:rsidR="00A01D53" w:rsidRPr="00CF06C8">
        <w:rPr>
          <w:rFonts w:eastAsia="Times New Roman"/>
          <w:noProof/>
          <w:lang w:val="en-IE"/>
        </w:rPr>
        <w:t xml:space="preserve"> establishing certainty for investments</w:t>
      </w:r>
      <w:r w:rsidR="00563CBA" w:rsidRPr="00CF06C8">
        <w:rPr>
          <w:rFonts w:eastAsia="Times New Roman"/>
          <w:noProof/>
          <w:lang w:val="en-IE"/>
        </w:rPr>
        <w:t xml:space="preserve"> decisions</w:t>
      </w:r>
      <w:r w:rsidR="00BC055D" w:rsidRPr="00CF06C8">
        <w:rPr>
          <w:rFonts w:eastAsia="Times New Roman"/>
          <w:noProof/>
          <w:lang w:val="en-IE"/>
        </w:rPr>
        <w:t>.</w:t>
      </w:r>
      <w:r w:rsidR="00A01D53" w:rsidRPr="00CF06C8">
        <w:rPr>
          <w:rFonts w:eastAsia="Times New Roman"/>
          <w:noProof/>
          <w:lang w:val="en-IE"/>
        </w:rPr>
        <w:t xml:space="preserve"> It facilitates the reduction of the green premium through strategic </w:t>
      </w:r>
      <w:r w:rsidR="00D72B59" w:rsidRPr="00CF06C8">
        <w:rPr>
          <w:rFonts w:eastAsia="Times New Roman"/>
          <w:noProof/>
          <w:lang w:val="en-IE"/>
        </w:rPr>
        <w:t xml:space="preserve">green </w:t>
      </w:r>
      <w:r w:rsidR="00A01D53" w:rsidRPr="00CF06C8">
        <w:rPr>
          <w:rFonts w:eastAsia="Times New Roman"/>
          <w:noProof/>
          <w:lang w:val="en-IE"/>
        </w:rPr>
        <w:t>public procurement</w:t>
      </w:r>
      <w:r w:rsidR="00563CBA" w:rsidRPr="00CF06C8">
        <w:rPr>
          <w:rFonts w:eastAsia="Times New Roman"/>
          <w:noProof/>
          <w:lang w:val="en-IE"/>
        </w:rPr>
        <w:t xml:space="preserve">, </w:t>
      </w:r>
      <w:r w:rsidR="00D72B59" w:rsidRPr="00CF06C8">
        <w:rPr>
          <w:rFonts w:eastAsia="Times New Roman"/>
          <w:noProof/>
          <w:lang w:val="en-IE"/>
        </w:rPr>
        <w:t>creat</w:t>
      </w:r>
      <w:r w:rsidR="00563CBA" w:rsidRPr="00CF06C8">
        <w:rPr>
          <w:rFonts w:eastAsia="Times New Roman"/>
          <w:noProof/>
          <w:lang w:val="en-IE"/>
        </w:rPr>
        <w:t>ing</w:t>
      </w:r>
      <w:r w:rsidR="00D72B59" w:rsidRPr="00CF06C8">
        <w:rPr>
          <w:rFonts w:eastAsia="Times New Roman"/>
          <w:noProof/>
          <w:lang w:val="en-IE"/>
        </w:rPr>
        <w:t xml:space="preserve"> a </w:t>
      </w:r>
      <w:r w:rsidR="00A01D53" w:rsidRPr="00CF06C8">
        <w:rPr>
          <w:rFonts w:eastAsia="Times New Roman"/>
          <w:noProof/>
          <w:lang w:val="en-IE"/>
        </w:rPr>
        <w:t xml:space="preserve">market </w:t>
      </w:r>
      <w:r w:rsidR="00D72B59" w:rsidRPr="00CF06C8">
        <w:rPr>
          <w:rFonts w:eastAsia="Times New Roman"/>
          <w:noProof/>
          <w:lang w:val="en-IE"/>
        </w:rPr>
        <w:t>signal to tri</w:t>
      </w:r>
      <w:r w:rsidR="003960B5" w:rsidRPr="00CF06C8">
        <w:rPr>
          <w:rFonts w:eastAsia="Times New Roman"/>
          <w:noProof/>
          <w:lang w:val="en-IE"/>
        </w:rPr>
        <w:t>gger private capital, which remain the main driver be</w:t>
      </w:r>
      <w:r w:rsidR="005C5833" w:rsidRPr="00CF06C8">
        <w:rPr>
          <w:rFonts w:eastAsia="Times New Roman"/>
          <w:noProof/>
          <w:lang w:val="en-IE"/>
        </w:rPr>
        <w:t>hind investments.</w:t>
      </w:r>
      <w:r w:rsidR="00A01D53" w:rsidRPr="00CF06C8">
        <w:rPr>
          <w:rFonts w:eastAsia="Times New Roman"/>
          <w:noProof/>
          <w:lang w:val="en-IE"/>
        </w:rPr>
        <w:t xml:space="preserve"> </w:t>
      </w:r>
      <w:r w:rsidR="00563CBA" w:rsidRPr="00CF06C8">
        <w:rPr>
          <w:rFonts w:eastAsia="Times New Roman"/>
          <w:noProof/>
          <w:lang w:val="en-IE"/>
        </w:rPr>
        <w:t xml:space="preserve">As </w:t>
      </w:r>
      <w:r w:rsidR="00AF373C" w:rsidRPr="00CF06C8">
        <w:rPr>
          <w:rFonts w:eastAsia="Times New Roman"/>
          <w:noProof/>
          <w:lang w:val="en-IE"/>
        </w:rPr>
        <w:t xml:space="preserve">described in the Section 6, under impact on companies, </w:t>
      </w:r>
      <w:r w:rsidR="00AF373C" w:rsidRPr="00CF06C8">
        <w:rPr>
          <w:noProof/>
        </w:rPr>
        <w:t xml:space="preserve">the lead market measures on low-carbon steel could accelerate final investment decisions, unlocking </w:t>
      </w:r>
      <w:r w:rsidR="00AF373C" w:rsidRPr="00CF06C8">
        <w:rPr>
          <w:rFonts w:eastAsia="Times New Roman"/>
          <w:noProof/>
        </w:rPr>
        <w:t>up to EUR 15.5 billion</w:t>
      </w:r>
      <w:r w:rsidR="00DB7648" w:rsidRPr="00CF06C8">
        <w:rPr>
          <w:rStyle w:val="FootnoteReference"/>
          <w:rFonts w:eastAsia="Times New Roman"/>
          <w:noProof/>
        </w:rPr>
        <w:footnoteReference w:id="241"/>
      </w:r>
      <w:r w:rsidR="008C7BE2" w:rsidRPr="00CF06C8">
        <w:rPr>
          <w:rFonts w:eastAsia="Times New Roman"/>
          <w:noProof/>
        </w:rPr>
        <w:t xml:space="preserve"> </w:t>
      </w:r>
      <w:r w:rsidR="00AF373C" w:rsidRPr="00CF06C8">
        <w:rPr>
          <w:rFonts w:eastAsia="Times New Roman"/>
          <w:noProof/>
        </w:rPr>
        <w:t>in investments</w:t>
      </w:r>
      <w:r w:rsidR="00607BC3" w:rsidRPr="00CF06C8">
        <w:rPr>
          <w:noProof/>
        </w:rPr>
        <w:t>, contributing to reduce the</w:t>
      </w:r>
      <w:r w:rsidR="00D61B91" w:rsidRPr="00CF06C8">
        <w:rPr>
          <w:noProof/>
        </w:rPr>
        <w:t xml:space="preserve"> </w:t>
      </w:r>
      <w:r w:rsidR="00DA48E9" w:rsidRPr="00CF06C8">
        <w:rPr>
          <w:noProof/>
        </w:rPr>
        <w:t>investment gap.</w:t>
      </w:r>
      <w:r w:rsidR="00D61B91">
        <w:rPr>
          <w:noProof/>
        </w:rPr>
        <w:t xml:space="preserve"> </w:t>
      </w:r>
    </w:p>
    <w:p w14:paraId="6C6FF43E" w14:textId="77777777" w:rsidR="00285741" w:rsidRPr="00AF73F6" w:rsidRDefault="00285741" w:rsidP="00195EC6">
      <w:pPr>
        <w:spacing w:after="120"/>
        <w:rPr>
          <w:rFonts w:eastAsia="Calibri"/>
          <w:noProof/>
        </w:rPr>
      </w:pPr>
      <w:r w:rsidRPr="000272AD">
        <w:rPr>
          <w:b/>
          <w:noProof/>
        </w:rPr>
        <w:t xml:space="preserve">SO3: Maximise </w:t>
      </w:r>
      <w:r>
        <w:rPr>
          <w:b/>
          <w:noProof/>
        </w:rPr>
        <w:t xml:space="preserve">the quality and </w:t>
      </w:r>
      <w:r w:rsidRPr="000272AD">
        <w:rPr>
          <w:b/>
          <w:noProof/>
        </w:rPr>
        <w:t xml:space="preserve">benefits of foreign investment </w:t>
      </w:r>
      <w:r>
        <w:rPr>
          <w:b/>
          <w:noProof/>
        </w:rPr>
        <w:t>within the Single Market</w:t>
      </w:r>
      <w:r w:rsidRPr="000272AD">
        <w:rPr>
          <w:b/>
          <w:noProof/>
        </w:rPr>
        <w:t>:</w:t>
      </w:r>
      <w:r>
        <w:rPr>
          <w:noProof/>
        </w:rPr>
        <w:t xml:space="preserve"> </w:t>
      </w:r>
      <w:r w:rsidRPr="007911CB">
        <w:rPr>
          <w:rFonts w:eastAsia="Calibri"/>
          <w:noProof/>
        </w:rPr>
        <w:t>Compared to PO1, PO2 is expected to deliver significantly greater effectiveness. Under PO2, all Member States would apply uniform, mandatory provisions,</w:t>
      </w:r>
      <w:r w:rsidRPr="5D042B50">
        <w:rPr>
          <w:rFonts w:eastAsia="Calibri"/>
          <w:noProof/>
        </w:rPr>
        <w:t xml:space="preserve"> </w:t>
      </w:r>
      <w:r>
        <w:rPr>
          <w:rFonts w:eastAsia="Calibri"/>
          <w:noProof/>
        </w:rPr>
        <w:t>while</w:t>
      </w:r>
      <w:r w:rsidRPr="5D042B50">
        <w:rPr>
          <w:rFonts w:eastAsia="Calibri"/>
          <w:noProof/>
        </w:rPr>
        <w:t xml:space="preserve"> the voluntary approach in PO1 would </w:t>
      </w:r>
      <w:r w:rsidRPr="004A64FC">
        <w:rPr>
          <w:rFonts w:eastAsia="Calibri"/>
          <w:noProof/>
        </w:rPr>
        <w:t>not ensure convergence, leaving scope for divergent national practices and competition based on lighter conditions. In both cases, the industries in scope</w:t>
      </w:r>
      <w:r>
        <w:rPr>
          <w:rFonts w:eastAsia="Calibri"/>
          <w:noProof/>
        </w:rPr>
        <w:t xml:space="preserve"> are expected to</w:t>
      </w:r>
      <w:r w:rsidRPr="5D042B50">
        <w:rPr>
          <w:rFonts w:eastAsia="Calibri"/>
          <w:noProof/>
        </w:rPr>
        <w:t xml:space="preserve"> </w:t>
      </w:r>
      <w:r>
        <w:rPr>
          <w:rFonts w:eastAsia="Calibri"/>
          <w:noProof/>
        </w:rPr>
        <w:t>cover</w:t>
      </w:r>
      <w:r w:rsidRPr="5D042B50">
        <w:rPr>
          <w:rFonts w:eastAsia="Calibri"/>
          <w:noProof/>
        </w:rPr>
        <w:t xml:space="preserve"> batteries and possibly certain EIIs. </w:t>
      </w:r>
    </w:p>
    <w:p w14:paraId="1DF9DC12" w14:textId="6515E7AB" w:rsidR="00285741" w:rsidRPr="000272AD" w:rsidRDefault="00285741" w:rsidP="00195EC6">
      <w:pPr>
        <w:spacing w:after="120"/>
        <w:rPr>
          <w:rFonts w:eastAsia="Times New Roman"/>
          <w:noProof/>
        </w:rPr>
      </w:pPr>
      <w:r w:rsidRPr="001C01E6">
        <w:rPr>
          <w:b/>
          <w:noProof/>
        </w:rPr>
        <w:t xml:space="preserve">SO4: </w:t>
      </w:r>
      <w:r w:rsidRPr="00AF73F6">
        <w:rPr>
          <w:b/>
          <w:noProof/>
        </w:rPr>
        <w:t>Speed-up and simplify permits for industrial decarbonisation:</w:t>
      </w:r>
      <w:r>
        <w:rPr>
          <w:b/>
          <w:noProof/>
        </w:rPr>
        <w:t xml:space="preserve"> </w:t>
      </w:r>
      <w:r w:rsidRPr="000272AD">
        <w:rPr>
          <w:rFonts w:eastAsia="Times New Roman"/>
          <w:noProof/>
        </w:rPr>
        <w:t xml:space="preserve">PO2 and PO3 introduce additional and targeted measures to facilitate and speed up the business case (e.g. planning security and de-risking investments) of decarbonisation projects for EIIs, while PO1 only contains </w:t>
      </w:r>
      <w:r w:rsidR="00697CAE">
        <w:rPr>
          <w:rFonts w:eastAsia="Times New Roman"/>
          <w:noProof/>
        </w:rPr>
        <w:t>digitalisation</w:t>
      </w:r>
      <w:r w:rsidR="006546D7">
        <w:rPr>
          <w:rFonts w:eastAsia="Times New Roman"/>
          <w:noProof/>
        </w:rPr>
        <w:t xml:space="preserve"> and streamlining</w:t>
      </w:r>
      <w:r w:rsidRPr="000272AD">
        <w:rPr>
          <w:rFonts w:eastAsia="Times New Roman"/>
          <w:noProof/>
        </w:rPr>
        <w:t xml:space="preserve"> measures for all manufacturing industries. PO3 would be the most effective option since it includes measures from PO1 and PO2 and combines them with a clustering approach to reap benefits from a geographical concentration of industries, notably in terms of energy infrastructure </w:t>
      </w:r>
      <w:r>
        <w:rPr>
          <w:rFonts w:eastAsia="Times New Roman"/>
          <w:noProof/>
        </w:rPr>
        <w:t>synergies</w:t>
      </w:r>
      <w:r w:rsidRPr="000272AD">
        <w:rPr>
          <w:rFonts w:eastAsia="Times New Roman"/>
          <w:noProof/>
        </w:rPr>
        <w:t xml:space="preserve"> and rippled down indirect benefits for infrastructure design.</w:t>
      </w:r>
      <w:r w:rsidRPr="000272AD">
        <w:rPr>
          <w:rFonts w:asciiTheme="minorHAnsi" w:eastAsiaTheme="minorEastAsia" w:hAnsiTheme="minorHAnsi"/>
          <w:noProof/>
        </w:rPr>
        <w:t xml:space="preserve"> </w:t>
      </w:r>
    </w:p>
    <w:p w14:paraId="157C6799" w14:textId="77777777" w:rsidR="00285741" w:rsidRDefault="00285741" w:rsidP="00195EC6">
      <w:pPr>
        <w:spacing w:after="120"/>
        <w:rPr>
          <w:rFonts w:eastAsia="Times New Roman"/>
          <w:noProof/>
        </w:rPr>
      </w:pPr>
      <w:r w:rsidRPr="00EB6B04">
        <w:rPr>
          <w:rFonts w:eastAsia="Times New Roman"/>
          <w:b/>
          <w:noProof/>
        </w:rPr>
        <w:t xml:space="preserve">SO5: </w:t>
      </w:r>
      <w:r w:rsidRPr="004C6BC6">
        <w:rPr>
          <w:rFonts w:eastAsia="Times New Roman"/>
          <w:b/>
          <w:bCs/>
          <w:noProof/>
        </w:rPr>
        <w:t>Increase investment projects in industrial areas</w:t>
      </w:r>
      <w:r w:rsidRPr="00EB6B04">
        <w:rPr>
          <w:rFonts w:eastAsia="Times New Roman"/>
          <w:b/>
          <w:noProof/>
        </w:rPr>
        <w:t>:</w:t>
      </w:r>
      <w:r w:rsidRPr="000272AD">
        <w:rPr>
          <w:rFonts w:eastAsia="Times New Roman"/>
          <w:noProof/>
        </w:rPr>
        <w:t xml:space="preserve"> PO2 </w:t>
      </w:r>
      <w:r w:rsidRPr="3285770D">
        <w:rPr>
          <w:rFonts w:eastAsia="Times New Roman"/>
          <w:noProof/>
        </w:rPr>
        <w:t xml:space="preserve">would be more effective </w:t>
      </w:r>
      <w:r>
        <w:rPr>
          <w:rFonts w:eastAsia="Times New Roman"/>
          <w:noProof/>
        </w:rPr>
        <w:t>than PO1</w:t>
      </w:r>
      <w:r w:rsidRPr="3285770D">
        <w:rPr>
          <w:rFonts w:eastAsia="Times New Roman"/>
          <w:noProof/>
        </w:rPr>
        <w:t xml:space="preserve"> in facilitating access to funding and accelerate investment decisions for industrial decarbonisation projects across the EU due to its binding nature. </w:t>
      </w:r>
    </w:p>
    <w:p w14:paraId="609F0FE1" w14:textId="46F29BE6" w:rsidR="00285741" w:rsidRPr="000272AD" w:rsidRDefault="00285741" w:rsidP="00285741">
      <w:pPr>
        <w:pStyle w:val="Heading2"/>
        <w:keepLines w:val="0"/>
        <w:numPr>
          <w:ilvl w:val="1"/>
          <w:numId w:val="64"/>
        </w:numPr>
        <w:tabs>
          <w:tab w:val="num" w:pos="1418"/>
        </w:tabs>
        <w:spacing w:before="0" w:after="120"/>
        <w:ind w:left="1855" w:hanging="1288"/>
      </w:pPr>
      <w:bookmarkStart w:id="87" w:name="_Toc211984407"/>
      <w:bookmarkStart w:id="88" w:name="_Toc222489992"/>
      <w:r w:rsidRPr="000272AD">
        <w:t>Efficiency</w:t>
      </w:r>
      <w:bookmarkEnd w:id="87"/>
      <w:bookmarkEnd w:id="88"/>
    </w:p>
    <w:p w14:paraId="713438EF" w14:textId="18806ECA" w:rsidR="00A53A6D" w:rsidRDefault="00285741" w:rsidP="00195EC6">
      <w:pPr>
        <w:spacing w:after="120"/>
        <w:rPr>
          <w:rFonts w:eastAsia="Times New Roman"/>
          <w:noProof/>
        </w:rPr>
      </w:pPr>
      <w:r w:rsidRPr="000272AD">
        <w:rPr>
          <w:rFonts w:eastAsia="Times New Roman"/>
          <w:noProof/>
        </w:rPr>
        <w:t>Efficiency refers to the</w:t>
      </w:r>
      <w:r w:rsidRPr="3285770D">
        <w:rPr>
          <w:rFonts w:eastAsia="Times New Roman"/>
          <w:noProof/>
        </w:rPr>
        <w:t xml:space="preserve"> ‘extent to which objectives can be achieved for a given cost (cost effectiveness). </w:t>
      </w:r>
      <w:r>
        <w:rPr>
          <w:rFonts w:eastAsia="Times New Roman"/>
          <w:noProof/>
        </w:rPr>
        <w:t>E</w:t>
      </w:r>
      <w:r w:rsidRPr="3285770D">
        <w:rPr>
          <w:rFonts w:eastAsia="Times New Roman"/>
          <w:noProof/>
        </w:rPr>
        <w:t xml:space="preserve">fficiency also assesses to which extent options contribute to administrative and process efficiency (reaching objectives with the least administrative burden). </w:t>
      </w:r>
      <w:r w:rsidR="68392AA6" w:rsidRPr="50662D78">
        <w:rPr>
          <w:rFonts w:eastAsia="Times New Roman"/>
          <w:noProof/>
        </w:rPr>
        <w:t xml:space="preserve">The </w:t>
      </w:r>
      <w:r w:rsidR="3BF40415" w:rsidRPr="2182822A">
        <w:rPr>
          <w:rFonts w:eastAsia="Times New Roman"/>
          <w:noProof/>
        </w:rPr>
        <w:t>analysis</w:t>
      </w:r>
      <w:r w:rsidR="68392AA6" w:rsidRPr="50662D78">
        <w:rPr>
          <w:rFonts w:eastAsia="Times New Roman"/>
          <w:noProof/>
        </w:rPr>
        <w:t xml:space="preserve"> below does not quantify the </w:t>
      </w:r>
      <w:r w:rsidR="00735DCF">
        <w:rPr>
          <w:rFonts w:eastAsia="Times New Roman"/>
          <w:noProof/>
        </w:rPr>
        <w:t xml:space="preserve">long-term </w:t>
      </w:r>
      <w:r w:rsidR="68392AA6" w:rsidRPr="50662D78">
        <w:rPr>
          <w:rFonts w:eastAsia="Times New Roman"/>
          <w:noProof/>
        </w:rPr>
        <w:t xml:space="preserve">benefits </w:t>
      </w:r>
      <w:r w:rsidR="68392AA6" w:rsidRPr="6139C899">
        <w:rPr>
          <w:rFonts w:eastAsia="Times New Roman"/>
          <w:noProof/>
        </w:rPr>
        <w:t>associated with</w:t>
      </w:r>
      <w:r w:rsidR="68392AA6" w:rsidRPr="50662D78">
        <w:rPr>
          <w:rFonts w:eastAsia="Times New Roman"/>
          <w:noProof/>
        </w:rPr>
        <w:t xml:space="preserve"> economic security. </w:t>
      </w:r>
    </w:p>
    <w:p w14:paraId="2E63057A" w14:textId="77777777" w:rsidR="00972A47" w:rsidRDefault="00972A47">
      <w:pPr>
        <w:rPr>
          <w:rFonts w:cs="Times New Roman"/>
          <w:i/>
          <w:iCs/>
          <w:noProof/>
          <w:szCs w:val="18"/>
        </w:rPr>
      </w:pPr>
      <w:r>
        <w:rPr>
          <w:noProof/>
        </w:rPr>
        <w:br w:type="page"/>
      </w:r>
    </w:p>
    <w:p w14:paraId="72C19436" w14:textId="77777777" w:rsidR="00972A47" w:rsidRDefault="00972A47" w:rsidP="00AA6312">
      <w:pPr>
        <w:pStyle w:val="Caption"/>
        <w:keepNext/>
        <w:rPr>
          <w:noProof/>
        </w:rPr>
        <w:sectPr w:rsidR="00972A47" w:rsidSect="00020031">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08" w:footer="708" w:gutter="0"/>
          <w:cols w:space="708"/>
          <w:docGrid w:linePitch="360"/>
        </w:sectPr>
      </w:pPr>
    </w:p>
    <w:p w14:paraId="03388D4C" w14:textId="78E8E59E" w:rsidR="00286C5F" w:rsidRPr="003D4B21" w:rsidRDefault="188FE46A" w:rsidP="00AA6312">
      <w:pPr>
        <w:pStyle w:val="Caption"/>
        <w:keepNext/>
        <w:rPr>
          <w:noProof/>
          <w:sz w:val="20"/>
          <w:szCs w:val="20"/>
        </w:rPr>
      </w:pPr>
      <w:r w:rsidRPr="003D4B21">
        <w:rPr>
          <w:noProof/>
        </w:rPr>
        <w:lastRenderedPageBreak/>
        <w:t>Summary of costs and benefits of policy options for 2030, compared to the baseline (in million EUR)</w:t>
      </w:r>
      <w:r w:rsidR="006B1724" w:rsidRPr="003D4B21">
        <w:rPr>
          <w:rStyle w:val="FootnoteReference"/>
          <w:noProof/>
          <w:sz w:val="20"/>
          <w:szCs w:val="20"/>
        </w:rPr>
        <w:footnoteReference w:id="242"/>
      </w:r>
    </w:p>
    <w:tbl>
      <w:tblPr>
        <w:tblW w:w="14457" w:type="dxa"/>
        <w:tblCellMar>
          <w:top w:w="15" w:type="dxa"/>
          <w:bottom w:w="15" w:type="dxa"/>
        </w:tblCellMar>
        <w:tblLook w:val="04A0" w:firstRow="1" w:lastRow="0" w:firstColumn="1" w:lastColumn="0" w:noHBand="0" w:noVBand="1"/>
      </w:tblPr>
      <w:tblGrid>
        <w:gridCol w:w="2691"/>
        <w:gridCol w:w="1450"/>
        <w:gridCol w:w="2380"/>
        <w:gridCol w:w="1450"/>
        <w:gridCol w:w="2380"/>
        <w:gridCol w:w="1450"/>
        <w:gridCol w:w="2656"/>
      </w:tblGrid>
      <w:tr w:rsidR="00005999" w:rsidRPr="00005999" w14:paraId="2BD26897" w14:textId="77777777" w:rsidTr="0048557B">
        <w:trPr>
          <w:trHeight w:val="286"/>
          <w:tblHeader/>
        </w:trPr>
        <w:tc>
          <w:tcPr>
            <w:tcW w:w="2691" w:type="dxa"/>
            <w:tcBorders>
              <w:top w:val="nil"/>
              <w:left w:val="nil"/>
              <w:bottom w:val="nil"/>
              <w:right w:val="nil"/>
            </w:tcBorders>
            <w:shd w:val="clear" w:color="auto" w:fill="DAE9F8"/>
            <w:noWrap/>
            <w:vAlign w:val="bottom"/>
            <w:hideMark/>
          </w:tcPr>
          <w:p w14:paraId="123C1491" w14:textId="77777777" w:rsidR="00005999" w:rsidRPr="00005999" w:rsidRDefault="00005999" w:rsidP="00005999">
            <w:pPr>
              <w:jc w:val="left"/>
              <w:rPr>
                <w:rFonts w:eastAsia="Times New Roman" w:cs="Times New Roman"/>
                <w:noProof/>
                <w:szCs w:val="20"/>
                <w:lang w:val="en-IE" w:eastAsia="en-IE"/>
              </w:rPr>
            </w:pPr>
          </w:p>
        </w:tc>
        <w:tc>
          <w:tcPr>
            <w:tcW w:w="11766" w:type="dxa"/>
            <w:gridSpan w:val="6"/>
            <w:tcBorders>
              <w:top w:val="nil"/>
              <w:left w:val="nil"/>
              <w:bottom w:val="nil"/>
              <w:right w:val="nil"/>
            </w:tcBorders>
            <w:shd w:val="clear" w:color="auto" w:fill="DAE9F8"/>
            <w:noWrap/>
            <w:vAlign w:val="bottom"/>
            <w:hideMark/>
          </w:tcPr>
          <w:p w14:paraId="25EDB8AC" w14:textId="77777777" w:rsidR="00005999" w:rsidRPr="00005999" w:rsidRDefault="00005999" w:rsidP="00005999">
            <w:pPr>
              <w:jc w:val="center"/>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Difference to the baseline</w:t>
            </w:r>
          </w:p>
        </w:tc>
      </w:tr>
      <w:tr w:rsidR="0079102D" w:rsidRPr="00005999" w14:paraId="7BE14747" w14:textId="77777777" w:rsidTr="0048557B">
        <w:trPr>
          <w:trHeight w:val="271"/>
          <w:tblHeader/>
        </w:trPr>
        <w:tc>
          <w:tcPr>
            <w:tcW w:w="2691" w:type="dxa"/>
            <w:tcBorders>
              <w:top w:val="nil"/>
              <w:left w:val="nil"/>
              <w:bottom w:val="nil"/>
              <w:right w:val="nil"/>
            </w:tcBorders>
            <w:shd w:val="clear" w:color="auto" w:fill="DAE9F8"/>
            <w:noWrap/>
            <w:vAlign w:val="bottom"/>
            <w:hideMark/>
          </w:tcPr>
          <w:p w14:paraId="420334FC"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EUR in millions</w:t>
            </w:r>
          </w:p>
        </w:tc>
        <w:tc>
          <w:tcPr>
            <w:tcW w:w="1450" w:type="dxa"/>
            <w:tcBorders>
              <w:top w:val="nil"/>
              <w:left w:val="nil"/>
              <w:bottom w:val="nil"/>
              <w:right w:val="nil"/>
            </w:tcBorders>
            <w:shd w:val="clear" w:color="auto" w:fill="DAE9F8"/>
            <w:noWrap/>
            <w:vAlign w:val="bottom"/>
            <w:hideMark/>
          </w:tcPr>
          <w:p w14:paraId="10147001" w14:textId="77777777" w:rsidR="00005999" w:rsidRPr="00005999" w:rsidRDefault="00005999" w:rsidP="00005999">
            <w:pPr>
              <w:jc w:val="center"/>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PO1</w:t>
            </w:r>
          </w:p>
        </w:tc>
        <w:tc>
          <w:tcPr>
            <w:tcW w:w="2380" w:type="dxa"/>
            <w:tcBorders>
              <w:top w:val="nil"/>
              <w:left w:val="nil"/>
              <w:bottom w:val="nil"/>
              <w:right w:val="nil"/>
            </w:tcBorders>
            <w:shd w:val="clear" w:color="auto" w:fill="DAE9F8"/>
            <w:noWrap/>
            <w:vAlign w:val="bottom"/>
            <w:hideMark/>
          </w:tcPr>
          <w:p w14:paraId="7B19A2A3" w14:textId="77777777" w:rsidR="00005999" w:rsidRPr="00005999" w:rsidRDefault="00005999" w:rsidP="00005999">
            <w:pPr>
              <w:jc w:val="center"/>
              <w:rPr>
                <w:rFonts w:ascii="Aptos Narrow" w:eastAsia="Times New Roman" w:hAnsi="Aptos Narrow" w:cs="Times New Roman"/>
                <w:b/>
                <w:bCs/>
                <w:noProof/>
                <w:color w:val="000000"/>
                <w:sz w:val="22"/>
                <w:lang w:val="en-IE" w:eastAsia="en-IE"/>
              </w:rPr>
            </w:pPr>
          </w:p>
        </w:tc>
        <w:tc>
          <w:tcPr>
            <w:tcW w:w="1450" w:type="dxa"/>
            <w:tcBorders>
              <w:top w:val="nil"/>
              <w:left w:val="nil"/>
              <w:bottom w:val="nil"/>
              <w:right w:val="nil"/>
            </w:tcBorders>
            <w:shd w:val="clear" w:color="auto" w:fill="DAE9F8"/>
            <w:noWrap/>
            <w:vAlign w:val="bottom"/>
            <w:hideMark/>
          </w:tcPr>
          <w:p w14:paraId="218143F9" w14:textId="77777777" w:rsidR="00005999" w:rsidRPr="00005999" w:rsidRDefault="00005999" w:rsidP="00005999">
            <w:pPr>
              <w:jc w:val="center"/>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PO2</w:t>
            </w:r>
          </w:p>
        </w:tc>
        <w:tc>
          <w:tcPr>
            <w:tcW w:w="2380" w:type="dxa"/>
            <w:tcBorders>
              <w:top w:val="nil"/>
              <w:left w:val="nil"/>
              <w:bottom w:val="nil"/>
              <w:right w:val="nil"/>
            </w:tcBorders>
            <w:shd w:val="clear" w:color="auto" w:fill="DAE9F8"/>
            <w:noWrap/>
            <w:vAlign w:val="bottom"/>
            <w:hideMark/>
          </w:tcPr>
          <w:p w14:paraId="77196B90" w14:textId="77777777" w:rsidR="00005999" w:rsidRPr="00005999" w:rsidRDefault="00005999" w:rsidP="00005999">
            <w:pPr>
              <w:jc w:val="center"/>
              <w:rPr>
                <w:rFonts w:ascii="Aptos Narrow" w:eastAsia="Times New Roman" w:hAnsi="Aptos Narrow" w:cs="Times New Roman"/>
                <w:b/>
                <w:bCs/>
                <w:noProof/>
                <w:color w:val="000000"/>
                <w:sz w:val="22"/>
                <w:lang w:val="en-IE" w:eastAsia="en-IE"/>
              </w:rPr>
            </w:pPr>
          </w:p>
        </w:tc>
        <w:tc>
          <w:tcPr>
            <w:tcW w:w="1450" w:type="dxa"/>
            <w:tcBorders>
              <w:top w:val="nil"/>
              <w:left w:val="nil"/>
              <w:bottom w:val="nil"/>
              <w:right w:val="nil"/>
            </w:tcBorders>
            <w:shd w:val="clear" w:color="auto" w:fill="DAE9F8"/>
            <w:noWrap/>
            <w:vAlign w:val="bottom"/>
            <w:hideMark/>
          </w:tcPr>
          <w:p w14:paraId="254077CA" w14:textId="77777777" w:rsidR="00005999" w:rsidRPr="00005999" w:rsidRDefault="00005999" w:rsidP="00005999">
            <w:pPr>
              <w:jc w:val="center"/>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PO3</w:t>
            </w:r>
          </w:p>
        </w:tc>
        <w:tc>
          <w:tcPr>
            <w:tcW w:w="2654" w:type="dxa"/>
            <w:tcBorders>
              <w:top w:val="nil"/>
              <w:left w:val="nil"/>
              <w:bottom w:val="nil"/>
              <w:right w:val="nil"/>
            </w:tcBorders>
            <w:shd w:val="clear" w:color="auto" w:fill="DAE9F8"/>
            <w:noWrap/>
            <w:vAlign w:val="bottom"/>
            <w:hideMark/>
          </w:tcPr>
          <w:p w14:paraId="35403941" w14:textId="77777777" w:rsidR="00005999" w:rsidRPr="00005999" w:rsidRDefault="00005999" w:rsidP="00005999">
            <w:pPr>
              <w:jc w:val="center"/>
              <w:rPr>
                <w:rFonts w:ascii="Aptos Narrow" w:eastAsia="Times New Roman" w:hAnsi="Aptos Narrow" w:cs="Times New Roman"/>
                <w:b/>
                <w:bCs/>
                <w:noProof/>
                <w:color w:val="000000"/>
                <w:sz w:val="22"/>
                <w:lang w:val="en-IE" w:eastAsia="en-IE"/>
              </w:rPr>
            </w:pPr>
          </w:p>
        </w:tc>
      </w:tr>
      <w:tr w:rsidR="0079102D" w:rsidRPr="00005999" w14:paraId="799F6959" w14:textId="77777777" w:rsidTr="0048557B">
        <w:trPr>
          <w:trHeight w:val="271"/>
          <w:tblHeader/>
        </w:trPr>
        <w:tc>
          <w:tcPr>
            <w:tcW w:w="2691" w:type="dxa"/>
            <w:tcBorders>
              <w:top w:val="nil"/>
              <w:left w:val="nil"/>
              <w:bottom w:val="nil"/>
              <w:right w:val="nil"/>
            </w:tcBorders>
            <w:shd w:val="clear" w:color="auto" w:fill="DAE9F8"/>
            <w:noWrap/>
            <w:vAlign w:val="bottom"/>
            <w:hideMark/>
          </w:tcPr>
          <w:p w14:paraId="0C7878BD" w14:textId="77777777" w:rsidR="00005999" w:rsidRPr="00005999" w:rsidRDefault="00005999" w:rsidP="00005999">
            <w:pPr>
              <w:jc w:val="center"/>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04BCAD93"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One Off</w:t>
            </w:r>
          </w:p>
        </w:tc>
        <w:tc>
          <w:tcPr>
            <w:tcW w:w="2380" w:type="dxa"/>
            <w:tcBorders>
              <w:top w:val="nil"/>
              <w:left w:val="nil"/>
              <w:bottom w:val="nil"/>
              <w:right w:val="nil"/>
            </w:tcBorders>
            <w:shd w:val="clear" w:color="auto" w:fill="DAE9F8"/>
            <w:noWrap/>
            <w:vAlign w:val="bottom"/>
            <w:hideMark/>
          </w:tcPr>
          <w:p w14:paraId="555B9BBF"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Recurring</w:t>
            </w:r>
          </w:p>
        </w:tc>
        <w:tc>
          <w:tcPr>
            <w:tcW w:w="1450" w:type="dxa"/>
            <w:tcBorders>
              <w:top w:val="nil"/>
              <w:left w:val="nil"/>
              <w:bottom w:val="nil"/>
              <w:right w:val="nil"/>
            </w:tcBorders>
            <w:shd w:val="clear" w:color="auto" w:fill="DAE9F8"/>
            <w:noWrap/>
            <w:vAlign w:val="bottom"/>
            <w:hideMark/>
          </w:tcPr>
          <w:p w14:paraId="3672C2D5"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One Off</w:t>
            </w:r>
          </w:p>
        </w:tc>
        <w:tc>
          <w:tcPr>
            <w:tcW w:w="2380" w:type="dxa"/>
            <w:tcBorders>
              <w:top w:val="nil"/>
              <w:left w:val="nil"/>
              <w:bottom w:val="nil"/>
              <w:right w:val="nil"/>
            </w:tcBorders>
            <w:shd w:val="clear" w:color="auto" w:fill="DAE9F8"/>
            <w:noWrap/>
            <w:vAlign w:val="bottom"/>
            <w:hideMark/>
          </w:tcPr>
          <w:p w14:paraId="6BA9340D"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Recurring</w:t>
            </w:r>
          </w:p>
        </w:tc>
        <w:tc>
          <w:tcPr>
            <w:tcW w:w="1450" w:type="dxa"/>
            <w:tcBorders>
              <w:top w:val="nil"/>
              <w:left w:val="nil"/>
              <w:bottom w:val="nil"/>
              <w:right w:val="nil"/>
            </w:tcBorders>
            <w:shd w:val="clear" w:color="auto" w:fill="DAE9F8"/>
            <w:noWrap/>
            <w:vAlign w:val="bottom"/>
            <w:hideMark/>
          </w:tcPr>
          <w:p w14:paraId="553ECC49"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One Off</w:t>
            </w:r>
          </w:p>
        </w:tc>
        <w:tc>
          <w:tcPr>
            <w:tcW w:w="2654" w:type="dxa"/>
            <w:tcBorders>
              <w:top w:val="nil"/>
              <w:left w:val="nil"/>
              <w:bottom w:val="nil"/>
              <w:right w:val="nil"/>
            </w:tcBorders>
            <w:shd w:val="clear" w:color="auto" w:fill="DAE9F8"/>
            <w:noWrap/>
            <w:vAlign w:val="bottom"/>
            <w:hideMark/>
          </w:tcPr>
          <w:p w14:paraId="652FE635"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Recurring</w:t>
            </w:r>
          </w:p>
        </w:tc>
      </w:tr>
      <w:tr w:rsidR="0079102D" w:rsidRPr="00005999" w14:paraId="29FFD9B6" w14:textId="77777777" w:rsidTr="0048557B">
        <w:trPr>
          <w:trHeight w:val="286"/>
        </w:trPr>
        <w:tc>
          <w:tcPr>
            <w:tcW w:w="2691" w:type="dxa"/>
            <w:tcBorders>
              <w:top w:val="nil"/>
              <w:left w:val="nil"/>
              <w:bottom w:val="nil"/>
              <w:right w:val="nil"/>
            </w:tcBorders>
            <w:shd w:val="clear" w:color="auto" w:fill="F7C7AC"/>
            <w:noWrap/>
            <w:vAlign w:val="bottom"/>
            <w:hideMark/>
          </w:tcPr>
          <w:p w14:paraId="73998353" w14:textId="77777777" w:rsidR="00005999" w:rsidRPr="00005999" w:rsidRDefault="00005999" w:rsidP="00005999">
            <w:pPr>
              <w:jc w:val="left"/>
              <w:rPr>
                <w:rFonts w:ascii="Aptos Narrow" w:eastAsia="Times New Roman" w:hAnsi="Aptos Narrow" w:cs="Times New Roman"/>
                <w:i/>
                <w:iCs/>
                <w:noProof/>
                <w:color w:val="000000"/>
                <w:sz w:val="22"/>
                <w:lang w:val="en-IE" w:eastAsia="en-IE"/>
              </w:rPr>
            </w:pPr>
            <w:r w:rsidRPr="00005999">
              <w:rPr>
                <w:rFonts w:ascii="Aptos Narrow" w:eastAsia="Times New Roman" w:hAnsi="Aptos Narrow" w:cs="Times New Roman"/>
                <w:i/>
                <w:iCs/>
                <w:noProof/>
                <w:color w:val="000000"/>
                <w:sz w:val="22"/>
                <w:lang w:val="en-IE" w:eastAsia="en-IE"/>
              </w:rPr>
              <w:t>Costs and benefits</w:t>
            </w:r>
          </w:p>
        </w:tc>
        <w:tc>
          <w:tcPr>
            <w:tcW w:w="1450" w:type="dxa"/>
            <w:tcBorders>
              <w:top w:val="nil"/>
              <w:left w:val="nil"/>
              <w:bottom w:val="nil"/>
              <w:right w:val="nil"/>
            </w:tcBorders>
            <w:shd w:val="clear" w:color="auto" w:fill="F7C7AC"/>
            <w:noWrap/>
            <w:vAlign w:val="bottom"/>
            <w:hideMark/>
          </w:tcPr>
          <w:p w14:paraId="634FFB11" w14:textId="77777777" w:rsidR="00005999" w:rsidRPr="00005999" w:rsidRDefault="00005999" w:rsidP="00005999">
            <w:pPr>
              <w:jc w:val="left"/>
              <w:rPr>
                <w:rFonts w:ascii="Aptos Narrow" w:eastAsia="Times New Roman" w:hAnsi="Aptos Narrow" w:cs="Times New Roman"/>
                <w:i/>
                <w:iCs/>
                <w:noProof/>
                <w:color w:val="000000"/>
                <w:sz w:val="22"/>
                <w:lang w:val="en-IE" w:eastAsia="en-IE"/>
              </w:rPr>
            </w:pPr>
          </w:p>
        </w:tc>
        <w:tc>
          <w:tcPr>
            <w:tcW w:w="2380" w:type="dxa"/>
            <w:tcBorders>
              <w:top w:val="nil"/>
              <w:left w:val="nil"/>
              <w:bottom w:val="nil"/>
              <w:right w:val="nil"/>
            </w:tcBorders>
            <w:shd w:val="clear" w:color="auto" w:fill="F7C7AC"/>
            <w:noWrap/>
            <w:vAlign w:val="bottom"/>
            <w:hideMark/>
          </w:tcPr>
          <w:p w14:paraId="0E5F9505"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F7C7AC"/>
            <w:noWrap/>
            <w:vAlign w:val="bottom"/>
            <w:hideMark/>
          </w:tcPr>
          <w:p w14:paraId="03E48C21" w14:textId="77777777" w:rsidR="00005999" w:rsidRPr="00005999" w:rsidRDefault="00005999" w:rsidP="00005999">
            <w:pPr>
              <w:jc w:val="left"/>
              <w:rPr>
                <w:rFonts w:eastAsia="Times New Roman" w:cs="Times New Roman"/>
                <w:noProof/>
                <w:sz w:val="20"/>
                <w:szCs w:val="20"/>
                <w:lang w:val="en-IE" w:eastAsia="en-IE"/>
              </w:rPr>
            </w:pPr>
          </w:p>
        </w:tc>
        <w:tc>
          <w:tcPr>
            <w:tcW w:w="2380" w:type="dxa"/>
            <w:tcBorders>
              <w:top w:val="nil"/>
              <w:left w:val="nil"/>
              <w:bottom w:val="nil"/>
              <w:right w:val="nil"/>
            </w:tcBorders>
            <w:shd w:val="clear" w:color="auto" w:fill="F7C7AC"/>
            <w:noWrap/>
            <w:vAlign w:val="bottom"/>
            <w:hideMark/>
          </w:tcPr>
          <w:p w14:paraId="71E08103"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F7C7AC"/>
            <w:noWrap/>
            <w:vAlign w:val="bottom"/>
            <w:hideMark/>
          </w:tcPr>
          <w:p w14:paraId="4CC244AE" w14:textId="77777777" w:rsidR="00005999" w:rsidRPr="00005999" w:rsidRDefault="00005999" w:rsidP="00005999">
            <w:pPr>
              <w:jc w:val="left"/>
              <w:rPr>
                <w:rFonts w:eastAsia="Times New Roman" w:cs="Times New Roman"/>
                <w:noProof/>
                <w:sz w:val="20"/>
                <w:szCs w:val="20"/>
                <w:lang w:val="en-IE" w:eastAsia="en-IE"/>
              </w:rPr>
            </w:pPr>
          </w:p>
        </w:tc>
        <w:tc>
          <w:tcPr>
            <w:tcW w:w="2654" w:type="dxa"/>
            <w:tcBorders>
              <w:top w:val="nil"/>
              <w:left w:val="nil"/>
              <w:bottom w:val="nil"/>
              <w:right w:val="nil"/>
            </w:tcBorders>
            <w:shd w:val="clear" w:color="auto" w:fill="F7C7AC"/>
            <w:noWrap/>
            <w:vAlign w:val="bottom"/>
            <w:hideMark/>
          </w:tcPr>
          <w:p w14:paraId="53D192F6" w14:textId="77777777" w:rsidR="00005999" w:rsidRPr="00005999" w:rsidRDefault="00005999" w:rsidP="00005999">
            <w:pPr>
              <w:jc w:val="left"/>
              <w:rPr>
                <w:rFonts w:eastAsia="Times New Roman" w:cs="Times New Roman"/>
                <w:noProof/>
                <w:sz w:val="20"/>
                <w:szCs w:val="20"/>
                <w:lang w:val="en-IE" w:eastAsia="en-IE"/>
              </w:rPr>
            </w:pPr>
          </w:p>
        </w:tc>
      </w:tr>
      <w:tr w:rsidR="0079102D" w:rsidRPr="00005999" w14:paraId="59B652DC" w14:textId="77777777" w:rsidTr="0048557B">
        <w:trPr>
          <w:trHeight w:val="286"/>
        </w:trPr>
        <w:tc>
          <w:tcPr>
            <w:tcW w:w="2691" w:type="dxa"/>
            <w:tcBorders>
              <w:top w:val="nil"/>
              <w:left w:val="nil"/>
              <w:bottom w:val="nil"/>
              <w:right w:val="nil"/>
            </w:tcBorders>
            <w:shd w:val="clear" w:color="auto" w:fill="DAE9F8"/>
            <w:noWrap/>
            <w:vAlign w:val="bottom"/>
            <w:hideMark/>
          </w:tcPr>
          <w:p w14:paraId="574FD5A3"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Member States</w:t>
            </w:r>
          </w:p>
        </w:tc>
        <w:tc>
          <w:tcPr>
            <w:tcW w:w="1450" w:type="dxa"/>
            <w:tcBorders>
              <w:top w:val="nil"/>
              <w:left w:val="nil"/>
              <w:bottom w:val="nil"/>
              <w:right w:val="nil"/>
            </w:tcBorders>
            <w:shd w:val="clear" w:color="auto" w:fill="DAE9F8"/>
            <w:noWrap/>
            <w:vAlign w:val="bottom"/>
            <w:hideMark/>
          </w:tcPr>
          <w:p w14:paraId="2CC3A2BC"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p>
        </w:tc>
        <w:tc>
          <w:tcPr>
            <w:tcW w:w="2380" w:type="dxa"/>
            <w:tcBorders>
              <w:top w:val="nil"/>
              <w:left w:val="nil"/>
              <w:bottom w:val="nil"/>
              <w:right w:val="nil"/>
            </w:tcBorders>
            <w:shd w:val="clear" w:color="auto" w:fill="DAE9F8"/>
            <w:noWrap/>
            <w:vAlign w:val="bottom"/>
            <w:hideMark/>
          </w:tcPr>
          <w:p w14:paraId="6846DBF0"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017077A2" w14:textId="77777777" w:rsidR="00005999" w:rsidRPr="00005999" w:rsidRDefault="00005999" w:rsidP="00005999">
            <w:pPr>
              <w:jc w:val="left"/>
              <w:rPr>
                <w:rFonts w:eastAsia="Times New Roman" w:cs="Times New Roman"/>
                <w:noProof/>
                <w:sz w:val="20"/>
                <w:szCs w:val="20"/>
                <w:lang w:val="en-IE" w:eastAsia="en-IE"/>
              </w:rPr>
            </w:pPr>
          </w:p>
        </w:tc>
        <w:tc>
          <w:tcPr>
            <w:tcW w:w="2380" w:type="dxa"/>
            <w:tcBorders>
              <w:top w:val="nil"/>
              <w:left w:val="nil"/>
              <w:bottom w:val="nil"/>
              <w:right w:val="nil"/>
            </w:tcBorders>
            <w:shd w:val="clear" w:color="auto" w:fill="DAE9F8"/>
            <w:noWrap/>
            <w:vAlign w:val="bottom"/>
            <w:hideMark/>
          </w:tcPr>
          <w:p w14:paraId="52AA357A"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66D268EE" w14:textId="77777777" w:rsidR="00005999" w:rsidRPr="00005999" w:rsidRDefault="00005999" w:rsidP="00005999">
            <w:pPr>
              <w:jc w:val="left"/>
              <w:rPr>
                <w:rFonts w:eastAsia="Times New Roman" w:cs="Times New Roman"/>
                <w:noProof/>
                <w:sz w:val="20"/>
                <w:szCs w:val="20"/>
                <w:lang w:val="en-IE" w:eastAsia="en-IE"/>
              </w:rPr>
            </w:pPr>
          </w:p>
        </w:tc>
        <w:tc>
          <w:tcPr>
            <w:tcW w:w="2654" w:type="dxa"/>
            <w:tcBorders>
              <w:top w:val="nil"/>
              <w:left w:val="nil"/>
              <w:bottom w:val="nil"/>
              <w:right w:val="nil"/>
            </w:tcBorders>
            <w:shd w:val="clear" w:color="auto" w:fill="DAE9F8"/>
            <w:noWrap/>
            <w:vAlign w:val="bottom"/>
            <w:hideMark/>
          </w:tcPr>
          <w:p w14:paraId="31104F13" w14:textId="77777777" w:rsidR="00005999" w:rsidRPr="00005999" w:rsidRDefault="00005999" w:rsidP="00005999">
            <w:pPr>
              <w:jc w:val="left"/>
              <w:rPr>
                <w:rFonts w:eastAsia="Times New Roman" w:cs="Times New Roman"/>
                <w:noProof/>
                <w:sz w:val="20"/>
                <w:szCs w:val="20"/>
                <w:lang w:val="en-IE" w:eastAsia="en-IE"/>
              </w:rPr>
            </w:pPr>
          </w:p>
        </w:tc>
      </w:tr>
      <w:tr w:rsidR="00B2795B" w:rsidRPr="00005999" w14:paraId="5F7B42CB" w14:textId="77777777" w:rsidTr="0048557B">
        <w:trPr>
          <w:trHeight w:val="286"/>
        </w:trPr>
        <w:tc>
          <w:tcPr>
            <w:tcW w:w="2691" w:type="dxa"/>
            <w:tcBorders>
              <w:top w:val="nil"/>
              <w:left w:val="nil"/>
              <w:bottom w:val="nil"/>
              <w:right w:val="nil"/>
            </w:tcBorders>
            <w:noWrap/>
            <w:vAlign w:val="bottom"/>
            <w:hideMark/>
          </w:tcPr>
          <w:p w14:paraId="42959C49"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Adjustment costs</w:t>
            </w:r>
          </w:p>
        </w:tc>
        <w:tc>
          <w:tcPr>
            <w:tcW w:w="1450" w:type="dxa"/>
            <w:tcBorders>
              <w:top w:val="nil"/>
              <w:left w:val="nil"/>
              <w:bottom w:val="nil"/>
              <w:right w:val="nil"/>
            </w:tcBorders>
            <w:noWrap/>
            <w:vAlign w:val="bottom"/>
            <w:hideMark/>
          </w:tcPr>
          <w:p w14:paraId="0099789C"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1AB4B53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€821.09</w:t>
            </w:r>
          </w:p>
        </w:tc>
        <w:tc>
          <w:tcPr>
            <w:tcW w:w="1450" w:type="dxa"/>
            <w:tcBorders>
              <w:top w:val="nil"/>
              <w:left w:val="nil"/>
              <w:bottom w:val="nil"/>
              <w:right w:val="nil"/>
            </w:tcBorders>
            <w:noWrap/>
            <w:vAlign w:val="bottom"/>
            <w:hideMark/>
          </w:tcPr>
          <w:p w14:paraId="2198CFD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7E69DCFA"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€821.09</w:t>
            </w:r>
          </w:p>
        </w:tc>
        <w:tc>
          <w:tcPr>
            <w:tcW w:w="1450" w:type="dxa"/>
            <w:tcBorders>
              <w:top w:val="nil"/>
              <w:left w:val="nil"/>
              <w:bottom w:val="nil"/>
              <w:right w:val="nil"/>
            </w:tcBorders>
            <w:noWrap/>
            <w:vAlign w:val="bottom"/>
            <w:hideMark/>
          </w:tcPr>
          <w:p w14:paraId="3E4F6D0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08166DB4"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€860.78</w:t>
            </w:r>
          </w:p>
        </w:tc>
      </w:tr>
      <w:tr w:rsidR="00B2795B" w:rsidRPr="00005999" w14:paraId="496AD7BC" w14:textId="77777777" w:rsidTr="0048557B">
        <w:trPr>
          <w:trHeight w:val="286"/>
        </w:trPr>
        <w:tc>
          <w:tcPr>
            <w:tcW w:w="2691" w:type="dxa"/>
            <w:tcBorders>
              <w:top w:val="nil"/>
              <w:left w:val="nil"/>
              <w:bottom w:val="nil"/>
              <w:right w:val="nil"/>
            </w:tcBorders>
            <w:noWrap/>
            <w:vAlign w:val="bottom"/>
            <w:hideMark/>
          </w:tcPr>
          <w:p w14:paraId="16BE4CA0"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Administrative costs</w:t>
            </w:r>
          </w:p>
        </w:tc>
        <w:tc>
          <w:tcPr>
            <w:tcW w:w="1450" w:type="dxa"/>
            <w:tcBorders>
              <w:top w:val="nil"/>
              <w:left w:val="nil"/>
              <w:bottom w:val="nil"/>
              <w:right w:val="nil"/>
            </w:tcBorders>
            <w:noWrap/>
            <w:vAlign w:val="bottom"/>
            <w:hideMark/>
          </w:tcPr>
          <w:p w14:paraId="1D8E58AA"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78EC309F"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€5.62</w:t>
            </w:r>
          </w:p>
        </w:tc>
        <w:tc>
          <w:tcPr>
            <w:tcW w:w="1450" w:type="dxa"/>
            <w:tcBorders>
              <w:top w:val="nil"/>
              <w:left w:val="nil"/>
              <w:bottom w:val="nil"/>
              <w:right w:val="nil"/>
            </w:tcBorders>
            <w:noWrap/>
            <w:vAlign w:val="bottom"/>
            <w:hideMark/>
          </w:tcPr>
          <w:p w14:paraId="18122CD0"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0C4DF484"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€8.92</w:t>
            </w:r>
          </w:p>
        </w:tc>
        <w:tc>
          <w:tcPr>
            <w:tcW w:w="1450" w:type="dxa"/>
            <w:tcBorders>
              <w:top w:val="nil"/>
              <w:left w:val="nil"/>
              <w:bottom w:val="nil"/>
              <w:right w:val="nil"/>
            </w:tcBorders>
            <w:noWrap/>
            <w:vAlign w:val="bottom"/>
            <w:hideMark/>
          </w:tcPr>
          <w:p w14:paraId="25AA3456"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0DA68C8E"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€8.92</w:t>
            </w:r>
          </w:p>
        </w:tc>
      </w:tr>
      <w:tr w:rsidR="00B2795B" w:rsidRPr="00005999" w14:paraId="482188D7" w14:textId="77777777" w:rsidTr="0048557B">
        <w:trPr>
          <w:trHeight w:val="286"/>
        </w:trPr>
        <w:tc>
          <w:tcPr>
            <w:tcW w:w="2691" w:type="dxa"/>
            <w:tcBorders>
              <w:top w:val="nil"/>
              <w:left w:val="nil"/>
              <w:bottom w:val="nil"/>
              <w:right w:val="nil"/>
            </w:tcBorders>
            <w:noWrap/>
            <w:vAlign w:val="bottom"/>
            <w:hideMark/>
          </w:tcPr>
          <w:p w14:paraId="22E33153"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Administrative savings</w:t>
            </w:r>
          </w:p>
        </w:tc>
        <w:tc>
          <w:tcPr>
            <w:tcW w:w="1450" w:type="dxa"/>
            <w:tcBorders>
              <w:top w:val="nil"/>
              <w:left w:val="nil"/>
              <w:bottom w:val="nil"/>
              <w:right w:val="nil"/>
            </w:tcBorders>
            <w:noWrap/>
            <w:vAlign w:val="bottom"/>
            <w:hideMark/>
          </w:tcPr>
          <w:p w14:paraId="00E7F17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5D26C0BC"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€1,300.00</w:t>
            </w:r>
          </w:p>
        </w:tc>
        <w:tc>
          <w:tcPr>
            <w:tcW w:w="1450" w:type="dxa"/>
            <w:tcBorders>
              <w:top w:val="nil"/>
              <w:left w:val="nil"/>
              <w:bottom w:val="nil"/>
              <w:right w:val="nil"/>
            </w:tcBorders>
            <w:noWrap/>
            <w:vAlign w:val="bottom"/>
            <w:hideMark/>
          </w:tcPr>
          <w:p w14:paraId="32BCE51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13AD3471"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€1,300.00</w:t>
            </w:r>
          </w:p>
        </w:tc>
        <w:tc>
          <w:tcPr>
            <w:tcW w:w="1450" w:type="dxa"/>
            <w:tcBorders>
              <w:top w:val="nil"/>
              <w:left w:val="nil"/>
              <w:bottom w:val="nil"/>
              <w:right w:val="nil"/>
            </w:tcBorders>
            <w:noWrap/>
            <w:vAlign w:val="bottom"/>
            <w:hideMark/>
          </w:tcPr>
          <w:p w14:paraId="76C19669"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7BB41F4B"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€1,300.00</w:t>
            </w:r>
          </w:p>
        </w:tc>
      </w:tr>
      <w:tr w:rsidR="0079102D" w:rsidRPr="00005999" w14:paraId="067614DE" w14:textId="77777777" w:rsidTr="0048557B">
        <w:trPr>
          <w:trHeight w:val="286"/>
        </w:trPr>
        <w:tc>
          <w:tcPr>
            <w:tcW w:w="2691" w:type="dxa"/>
            <w:tcBorders>
              <w:top w:val="nil"/>
              <w:left w:val="nil"/>
              <w:bottom w:val="nil"/>
              <w:right w:val="nil"/>
            </w:tcBorders>
            <w:shd w:val="clear" w:color="auto" w:fill="DAE9F8"/>
            <w:noWrap/>
            <w:vAlign w:val="bottom"/>
            <w:hideMark/>
          </w:tcPr>
          <w:p w14:paraId="498B7F0A"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EU Commission</w:t>
            </w:r>
          </w:p>
        </w:tc>
        <w:tc>
          <w:tcPr>
            <w:tcW w:w="1450" w:type="dxa"/>
            <w:tcBorders>
              <w:top w:val="nil"/>
              <w:left w:val="nil"/>
              <w:bottom w:val="nil"/>
              <w:right w:val="nil"/>
            </w:tcBorders>
            <w:shd w:val="clear" w:color="auto" w:fill="DAE9F8"/>
            <w:noWrap/>
            <w:vAlign w:val="bottom"/>
            <w:hideMark/>
          </w:tcPr>
          <w:p w14:paraId="079581CC"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p>
        </w:tc>
        <w:tc>
          <w:tcPr>
            <w:tcW w:w="2380" w:type="dxa"/>
            <w:tcBorders>
              <w:top w:val="nil"/>
              <w:left w:val="nil"/>
              <w:bottom w:val="nil"/>
              <w:right w:val="nil"/>
            </w:tcBorders>
            <w:shd w:val="clear" w:color="auto" w:fill="DAE9F8"/>
            <w:noWrap/>
            <w:vAlign w:val="bottom"/>
            <w:hideMark/>
          </w:tcPr>
          <w:p w14:paraId="0DA11673"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77E6FB1D" w14:textId="77777777" w:rsidR="00005999" w:rsidRPr="00005999" w:rsidRDefault="00005999" w:rsidP="00005999">
            <w:pPr>
              <w:jc w:val="left"/>
              <w:rPr>
                <w:rFonts w:eastAsia="Times New Roman" w:cs="Times New Roman"/>
                <w:noProof/>
                <w:sz w:val="20"/>
                <w:szCs w:val="20"/>
                <w:lang w:val="en-IE" w:eastAsia="en-IE"/>
              </w:rPr>
            </w:pPr>
          </w:p>
        </w:tc>
        <w:tc>
          <w:tcPr>
            <w:tcW w:w="2380" w:type="dxa"/>
            <w:tcBorders>
              <w:top w:val="nil"/>
              <w:left w:val="nil"/>
              <w:bottom w:val="nil"/>
              <w:right w:val="nil"/>
            </w:tcBorders>
            <w:shd w:val="clear" w:color="auto" w:fill="DAE9F8"/>
            <w:noWrap/>
            <w:vAlign w:val="bottom"/>
            <w:hideMark/>
          </w:tcPr>
          <w:p w14:paraId="733C705B"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70AF57C1" w14:textId="77777777" w:rsidR="00005999" w:rsidRPr="00005999" w:rsidRDefault="00005999" w:rsidP="00005999">
            <w:pPr>
              <w:jc w:val="left"/>
              <w:rPr>
                <w:rFonts w:eastAsia="Times New Roman" w:cs="Times New Roman"/>
                <w:noProof/>
                <w:sz w:val="20"/>
                <w:szCs w:val="20"/>
                <w:lang w:val="en-IE" w:eastAsia="en-IE"/>
              </w:rPr>
            </w:pPr>
          </w:p>
        </w:tc>
        <w:tc>
          <w:tcPr>
            <w:tcW w:w="2654" w:type="dxa"/>
            <w:tcBorders>
              <w:top w:val="nil"/>
              <w:left w:val="nil"/>
              <w:bottom w:val="nil"/>
              <w:right w:val="nil"/>
            </w:tcBorders>
            <w:shd w:val="clear" w:color="auto" w:fill="DAE9F8"/>
            <w:noWrap/>
            <w:vAlign w:val="bottom"/>
            <w:hideMark/>
          </w:tcPr>
          <w:p w14:paraId="11C67B55" w14:textId="77777777" w:rsidR="00005999" w:rsidRPr="00005999" w:rsidRDefault="00005999" w:rsidP="00005999">
            <w:pPr>
              <w:jc w:val="left"/>
              <w:rPr>
                <w:rFonts w:eastAsia="Times New Roman" w:cs="Times New Roman"/>
                <w:noProof/>
                <w:sz w:val="20"/>
                <w:szCs w:val="20"/>
                <w:lang w:val="en-IE" w:eastAsia="en-IE"/>
              </w:rPr>
            </w:pPr>
          </w:p>
        </w:tc>
      </w:tr>
      <w:tr w:rsidR="0079102D" w:rsidRPr="00005999" w14:paraId="10A5B33D" w14:textId="77777777" w:rsidTr="0048557B">
        <w:trPr>
          <w:trHeight w:val="271"/>
        </w:trPr>
        <w:tc>
          <w:tcPr>
            <w:tcW w:w="2691" w:type="dxa"/>
            <w:tcBorders>
              <w:top w:val="nil"/>
              <w:left w:val="nil"/>
              <w:bottom w:val="nil"/>
              <w:right w:val="nil"/>
            </w:tcBorders>
            <w:noWrap/>
            <w:vAlign w:val="bottom"/>
            <w:hideMark/>
          </w:tcPr>
          <w:p w14:paraId="7B0B49D5" w14:textId="77777777" w:rsidR="00AA29F6" w:rsidRPr="00005999" w:rsidRDefault="00AA29F6" w:rsidP="00AA29F6">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Administrative costs</w:t>
            </w:r>
          </w:p>
        </w:tc>
        <w:tc>
          <w:tcPr>
            <w:tcW w:w="1450" w:type="dxa"/>
            <w:tcBorders>
              <w:top w:val="nil"/>
              <w:left w:val="nil"/>
              <w:bottom w:val="nil"/>
              <w:right w:val="nil"/>
            </w:tcBorders>
            <w:shd w:val="clear" w:color="auto" w:fill="FFFFFF" w:themeFill="background1"/>
            <w:noWrap/>
            <w:vAlign w:val="bottom"/>
            <w:hideMark/>
          </w:tcPr>
          <w:p w14:paraId="7B1C71A0" w14:textId="242F4E6F"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€0.80</w:t>
            </w:r>
          </w:p>
        </w:tc>
        <w:tc>
          <w:tcPr>
            <w:tcW w:w="2380" w:type="dxa"/>
            <w:tcBorders>
              <w:top w:val="nil"/>
              <w:left w:val="nil"/>
              <w:bottom w:val="nil"/>
              <w:right w:val="nil"/>
            </w:tcBorders>
            <w:shd w:val="clear" w:color="auto" w:fill="FFFFFF" w:themeFill="background1"/>
            <w:noWrap/>
            <w:vAlign w:val="bottom"/>
            <w:hideMark/>
          </w:tcPr>
          <w:p w14:paraId="0D401412" w14:textId="577C2586"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€0.13</w:t>
            </w:r>
          </w:p>
        </w:tc>
        <w:tc>
          <w:tcPr>
            <w:tcW w:w="1450" w:type="dxa"/>
            <w:tcBorders>
              <w:top w:val="nil"/>
              <w:left w:val="nil"/>
              <w:bottom w:val="nil"/>
              <w:right w:val="nil"/>
            </w:tcBorders>
            <w:shd w:val="clear" w:color="auto" w:fill="FFFFFF" w:themeFill="background1"/>
            <w:noWrap/>
            <w:vAlign w:val="bottom"/>
            <w:hideMark/>
          </w:tcPr>
          <w:p w14:paraId="6E4E9D46" w14:textId="50B85EC5"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€0.41</w:t>
            </w:r>
          </w:p>
        </w:tc>
        <w:tc>
          <w:tcPr>
            <w:tcW w:w="2380" w:type="dxa"/>
            <w:tcBorders>
              <w:top w:val="nil"/>
              <w:left w:val="nil"/>
              <w:bottom w:val="nil"/>
              <w:right w:val="nil"/>
            </w:tcBorders>
            <w:shd w:val="clear" w:color="auto" w:fill="FFFFFF" w:themeFill="background1"/>
            <w:noWrap/>
            <w:vAlign w:val="bottom"/>
            <w:hideMark/>
          </w:tcPr>
          <w:p w14:paraId="58F4831C" w14:textId="63979A64"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€0.18</w:t>
            </w:r>
          </w:p>
        </w:tc>
        <w:tc>
          <w:tcPr>
            <w:tcW w:w="1450" w:type="dxa"/>
            <w:tcBorders>
              <w:top w:val="nil"/>
              <w:left w:val="nil"/>
              <w:bottom w:val="nil"/>
              <w:right w:val="nil"/>
            </w:tcBorders>
            <w:shd w:val="clear" w:color="auto" w:fill="FFFFFF" w:themeFill="background1"/>
            <w:noWrap/>
            <w:vAlign w:val="bottom"/>
            <w:hideMark/>
          </w:tcPr>
          <w:p w14:paraId="3756AC9A" w14:textId="4A0ADF2B"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€0.41</w:t>
            </w:r>
          </w:p>
        </w:tc>
        <w:tc>
          <w:tcPr>
            <w:tcW w:w="2654" w:type="dxa"/>
            <w:tcBorders>
              <w:top w:val="nil"/>
              <w:left w:val="nil"/>
              <w:bottom w:val="nil"/>
              <w:right w:val="nil"/>
            </w:tcBorders>
            <w:shd w:val="clear" w:color="auto" w:fill="FFFFFF" w:themeFill="background1"/>
            <w:noWrap/>
            <w:vAlign w:val="bottom"/>
            <w:hideMark/>
          </w:tcPr>
          <w:p w14:paraId="13286B36" w14:textId="5B997211"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€0.19</w:t>
            </w:r>
          </w:p>
        </w:tc>
      </w:tr>
      <w:tr w:rsidR="0079102D" w:rsidRPr="00005999" w14:paraId="57A8D10E" w14:textId="77777777" w:rsidTr="0048557B">
        <w:trPr>
          <w:trHeight w:val="286"/>
        </w:trPr>
        <w:tc>
          <w:tcPr>
            <w:tcW w:w="2691" w:type="dxa"/>
            <w:tcBorders>
              <w:top w:val="nil"/>
              <w:left w:val="nil"/>
              <w:bottom w:val="nil"/>
              <w:right w:val="nil"/>
            </w:tcBorders>
            <w:shd w:val="clear" w:color="auto" w:fill="DAE9F8"/>
            <w:noWrap/>
            <w:vAlign w:val="bottom"/>
            <w:hideMark/>
          </w:tcPr>
          <w:p w14:paraId="3FD9DC9D"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Citizens</w:t>
            </w:r>
          </w:p>
        </w:tc>
        <w:tc>
          <w:tcPr>
            <w:tcW w:w="1450" w:type="dxa"/>
            <w:tcBorders>
              <w:top w:val="nil"/>
              <w:left w:val="nil"/>
              <w:bottom w:val="nil"/>
              <w:right w:val="nil"/>
            </w:tcBorders>
            <w:shd w:val="clear" w:color="auto" w:fill="DAE9F8"/>
            <w:noWrap/>
            <w:vAlign w:val="bottom"/>
            <w:hideMark/>
          </w:tcPr>
          <w:p w14:paraId="23F14861"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p>
        </w:tc>
        <w:tc>
          <w:tcPr>
            <w:tcW w:w="2380" w:type="dxa"/>
            <w:tcBorders>
              <w:top w:val="nil"/>
              <w:left w:val="nil"/>
              <w:bottom w:val="nil"/>
              <w:right w:val="nil"/>
            </w:tcBorders>
            <w:shd w:val="clear" w:color="auto" w:fill="DAE9F8"/>
            <w:noWrap/>
            <w:vAlign w:val="bottom"/>
            <w:hideMark/>
          </w:tcPr>
          <w:p w14:paraId="7A7286CE"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16AA7750" w14:textId="77777777" w:rsidR="00005999" w:rsidRPr="00005999" w:rsidRDefault="00005999" w:rsidP="00005999">
            <w:pPr>
              <w:jc w:val="left"/>
              <w:rPr>
                <w:rFonts w:eastAsia="Times New Roman" w:cs="Times New Roman"/>
                <w:noProof/>
                <w:sz w:val="20"/>
                <w:szCs w:val="20"/>
                <w:lang w:val="en-IE" w:eastAsia="en-IE"/>
              </w:rPr>
            </w:pPr>
          </w:p>
        </w:tc>
        <w:tc>
          <w:tcPr>
            <w:tcW w:w="2380" w:type="dxa"/>
            <w:tcBorders>
              <w:top w:val="nil"/>
              <w:left w:val="nil"/>
              <w:bottom w:val="nil"/>
              <w:right w:val="nil"/>
            </w:tcBorders>
            <w:shd w:val="clear" w:color="auto" w:fill="DAE9F8"/>
            <w:noWrap/>
            <w:vAlign w:val="bottom"/>
            <w:hideMark/>
          </w:tcPr>
          <w:p w14:paraId="24AFEFE3"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0C92974F" w14:textId="77777777" w:rsidR="00005999" w:rsidRPr="00005999" w:rsidRDefault="00005999" w:rsidP="00005999">
            <w:pPr>
              <w:jc w:val="left"/>
              <w:rPr>
                <w:rFonts w:eastAsia="Times New Roman" w:cs="Times New Roman"/>
                <w:noProof/>
                <w:sz w:val="20"/>
                <w:szCs w:val="20"/>
                <w:lang w:val="en-IE" w:eastAsia="en-IE"/>
              </w:rPr>
            </w:pPr>
          </w:p>
        </w:tc>
        <w:tc>
          <w:tcPr>
            <w:tcW w:w="2654" w:type="dxa"/>
            <w:tcBorders>
              <w:top w:val="nil"/>
              <w:left w:val="nil"/>
              <w:bottom w:val="nil"/>
              <w:right w:val="nil"/>
            </w:tcBorders>
            <w:shd w:val="clear" w:color="auto" w:fill="DAE9F8"/>
            <w:noWrap/>
            <w:vAlign w:val="bottom"/>
            <w:hideMark/>
          </w:tcPr>
          <w:p w14:paraId="6EC35BE2" w14:textId="77777777" w:rsidR="00005999" w:rsidRPr="00005999" w:rsidRDefault="00005999" w:rsidP="00005999">
            <w:pPr>
              <w:jc w:val="left"/>
              <w:rPr>
                <w:rFonts w:eastAsia="Times New Roman" w:cs="Times New Roman"/>
                <w:noProof/>
                <w:sz w:val="20"/>
                <w:szCs w:val="20"/>
                <w:lang w:val="en-IE" w:eastAsia="en-IE"/>
              </w:rPr>
            </w:pPr>
          </w:p>
        </w:tc>
      </w:tr>
      <w:tr w:rsidR="00B2795B" w:rsidRPr="00005999" w14:paraId="31D308D4" w14:textId="77777777" w:rsidTr="0048557B">
        <w:trPr>
          <w:trHeight w:val="286"/>
        </w:trPr>
        <w:tc>
          <w:tcPr>
            <w:tcW w:w="2691" w:type="dxa"/>
            <w:tcBorders>
              <w:top w:val="nil"/>
              <w:left w:val="nil"/>
              <w:bottom w:val="nil"/>
              <w:right w:val="nil"/>
            </w:tcBorders>
            <w:noWrap/>
            <w:vAlign w:val="bottom"/>
            <w:hideMark/>
          </w:tcPr>
          <w:p w14:paraId="0268EBEB"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Adjustment costs</w:t>
            </w:r>
          </w:p>
        </w:tc>
        <w:tc>
          <w:tcPr>
            <w:tcW w:w="1450" w:type="dxa"/>
            <w:tcBorders>
              <w:top w:val="nil"/>
              <w:left w:val="nil"/>
              <w:bottom w:val="nil"/>
              <w:right w:val="nil"/>
            </w:tcBorders>
            <w:noWrap/>
            <w:vAlign w:val="bottom"/>
            <w:hideMark/>
          </w:tcPr>
          <w:p w14:paraId="0E2F441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4653857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€1,442.47</w:t>
            </w:r>
          </w:p>
        </w:tc>
        <w:tc>
          <w:tcPr>
            <w:tcW w:w="1450" w:type="dxa"/>
            <w:tcBorders>
              <w:top w:val="nil"/>
              <w:left w:val="nil"/>
              <w:bottom w:val="nil"/>
              <w:right w:val="nil"/>
            </w:tcBorders>
            <w:noWrap/>
            <w:vAlign w:val="bottom"/>
            <w:hideMark/>
          </w:tcPr>
          <w:p w14:paraId="0D33FAAE"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1E248D86"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€1,442.47</w:t>
            </w:r>
          </w:p>
        </w:tc>
        <w:tc>
          <w:tcPr>
            <w:tcW w:w="1450" w:type="dxa"/>
            <w:tcBorders>
              <w:top w:val="nil"/>
              <w:left w:val="nil"/>
              <w:bottom w:val="nil"/>
              <w:right w:val="nil"/>
            </w:tcBorders>
            <w:noWrap/>
            <w:vAlign w:val="bottom"/>
            <w:hideMark/>
          </w:tcPr>
          <w:p w14:paraId="7B561CE0"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319EBD5B"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€4,337.96</w:t>
            </w:r>
          </w:p>
        </w:tc>
      </w:tr>
      <w:tr w:rsidR="00B2795B" w:rsidRPr="00005999" w14:paraId="6289142A" w14:textId="77777777" w:rsidTr="0048557B">
        <w:trPr>
          <w:trHeight w:val="286"/>
        </w:trPr>
        <w:tc>
          <w:tcPr>
            <w:tcW w:w="2691" w:type="dxa"/>
            <w:tcBorders>
              <w:top w:val="nil"/>
              <w:left w:val="nil"/>
              <w:bottom w:val="nil"/>
              <w:right w:val="nil"/>
            </w:tcBorders>
            <w:noWrap/>
            <w:vAlign w:val="bottom"/>
            <w:hideMark/>
          </w:tcPr>
          <w:p w14:paraId="08066C69"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Administrative costs</w:t>
            </w:r>
          </w:p>
        </w:tc>
        <w:tc>
          <w:tcPr>
            <w:tcW w:w="1450" w:type="dxa"/>
            <w:tcBorders>
              <w:top w:val="nil"/>
              <w:left w:val="nil"/>
              <w:bottom w:val="nil"/>
              <w:right w:val="nil"/>
            </w:tcBorders>
            <w:noWrap/>
            <w:vAlign w:val="bottom"/>
            <w:hideMark/>
          </w:tcPr>
          <w:p w14:paraId="79799EE1"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49D11A6B"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1450" w:type="dxa"/>
            <w:tcBorders>
              <w:top w:val="nil"/>
              <w:left w:val="nil"/>
              <w:bottom w:val="nil"/>
              <w:right w:val="nil"/>
            </w:tcBorders>
            <w:noWrap/>
            <w:vAlign w:val="bottom"/>
            <w:hideMark/>
          </w:tcPr>
          <w:p w14:paraId="75EF5E4C"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7B018B3B"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1450" w:type="dxa"/>
            <w:tcBorders>
              <w:top w:val="nil"/>
              <w:left w:val="nil"/>
              <w:bottom w:val="nil"/>
              <w:right w:val="nil"/>
            </w:tcBorders>
            <w:noWrap/>
            <w:vAlign w:val="bottom"/>
            <w:hideMark/>
          </w:tcPr>
          <w:p w14:paraId="05475FEE"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1E37ECED"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r>
      <w:tr w:rsidR="0079102D" w:rsidRPr="00005999" w14:paraId="1316725E" w14:textId="77777777" w:rsidTr="0048557B">
        <w:trPr>
          <w:trHeight w:val="286"/>
        </w:trPr>
        <w:tc>
          <w:tcPr>
            <w:tcW w:w="2691" w:type="dxa"/>
            <w:tcBorders>
              <w:top w:val="nil"/>
              <w:left w:val="nil"/>
              <w:bottom w:val="nil"/>
              <w:right w:val="nil"/>
            </w:tcBorders>
            <w:shd w:val="clear" w:color="auto" w:fill="DAE9F8"/>
            <w:noWrap/>
            <w:vAlign w:val="bottom"/>
            <w:hideMark/>
          </w:tcPr>
          <w:p w14:paraId="3FD787D1"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Businesses</w:t>
            </w:r>
          </w:p>
        </w:tc>
        <w:tc>
          <w:tcPr>
            <w:tcW w:w="1450" w:type="dxa"/>
            <w:tcBorders>
              <w:top w:val="nil"/>
              <w:left w:val="nil"/>
              <w:bottom w:val="nil"/>
              <w:right w:val="nil"/>
            </w:tcBorders>
            <w:shd w:val="clear" w:color="auto" w:fill="DAE9F8"/>
            <w:noWrap/>
            <w:vAlign w:val="bottom"/>
            <w:hideMark/>
          </w:tcPr>
          <w:p w14:paraId="4A8240BB"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p>
        </w:tc>
        <w:tc>
          <w:tcPr>
            <w:tcW w:w="2380" w:type="dxa"/>
            <w:tcBorders>
              <w:top w:val="nil"/>
              <w:left w:val="nil"/>
              <w:bottom w:val="nil"/>
              <w:right w:val="nil"/>
            </w:tcBorders>
            <w:shd w:val="clear" w:color="auto" w:fill="DAE9F8"/>
            <w:noWrap/>
            <w:vAlign w:val="bottom"/>
            <w:hideMark/>
          </w:tcPr>
          <w:p w14:paraId="01FA1DAE"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73514438" w14:textId="77777777" w:rsidR="00005999" w:rsidRPr="00005999" w:rsidRDefault="00005999" w:rsidP="00005999">
            <w:pPr>
              <w:jc w:val="left"/>
              <w:rPr>
                <w:rFonts w:eastAsia="Times New Roman" w:cs="Times New Roman"/>
                <w:noProof/>
                <w:sz w:val="20"/>
                <w:szCs w:val="20"/>
                <w:lang w:val="en-IE" w:eastAsia="en-IE"/>
              </w:rPr>
            </w:pPr>
          </w:p>
        </w:tc>
        <w:tc>
          <w:tcPr>
            <w:tcW w:w="2380" w:type="dxa"/>
            <w:tcBorders>
              <w:top w:val="nil"/>
              <w:left w:val="nil"/>
              <w:bottom w:val="nil"/>
              <w:right w:val="nil"/>
            </w:tcBorders>
            <w:shd w:val="clear" w:color="auto" w:fill="DAE9F8"/>
            <w:noWrap/>
            <w:vAlign w:val="bottom"/>
            <w:hideMark/>
          </w:tcPr>
          <w:p w14:paraId="0FB31867"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DAE9F8"/>
            <w:noWrap/>
            <w:vAlign w:val="bottom"/>
            <w:hideMark/>
          </w:tcPr>
          <w:p w14:paraId="64BBDBCA" w14:textId="77777777" w:rsidR="00005999" w:rsidRPr="00005999" w:rsidRDefault="00005999" w:rsidP="00005999">
            <w:pPr>
              <w:jc w:val="left"/>
              <w:rPr>
                <w:rFonts w:eastAsia="Times New Roman" w:cs="Times New Roman"/>
                <w:noProof/>
                <w:sz w:val="20"/>
                <w:szCs w:val="20"/>
                <w:lang w:val="en-IE" w:eastAsia="en-IE"/>
              </w:rPr>
            </w:pPr>
          </w:p>
        </w:tc>
        <w:tc>
          <w:tcPr>
            <w:tcW w:w="2654" w:type="dxa"/>
            <w:tcBorders>
              <w:top w:val="nil"/>
              <w:left w:val="nil"/>
              <w:bottom w:val="nil"/>
              <w:right w:val="nil"/>
            </w:tcBorders>
            <w:shd w:val="clear" w:color="auto" w:fill="DAE9F8"/>
            <w:noWrap/>
            <w:vAlign w:val="bottom"/>
            <w:hideMark/>
          </w:tcPr>
          <w:p w14:paraId="15EBD350" w14:textId="77777777" w:rsidR="00005999" w:rsidRPr="00005999" w:rsidRDefault="00005999" w:rsidP="00005999">
            <w:pPr>
              <w:jc w:val="left"/>
              <w:rPr>
                <w:rFonts w:eastAsia="Times New Roman" w:cs="Times New Roman"/>
                <w:noProof/>
                <w:sz w:val="20"/>
                <w:szCs w:val="20"/>
                <w:lang w:val="en-IE" w:eastAsia="en-IE"/>
              </w:rPr>
            </w:pPr>
          </w:p>
        </w:tc>
      </w:tr>
      <w:tr w:rsidR="00B2795B" w:rsidRPr="00005999" w14:paraId="7FD79DD5" w14:textId="77777777" w:rsidTr="0048557B">
        <w:trPr>
          <w:trHeight w:val="286"/>
        </w:trPr>
        <w:tc>
          <w:tcPr>
            <w:tcW w:w="2691" w:type="dxa"/>
            <w:tcBorders>
              <w:top w:val="nil"/>
              <w:left w:val="nil"/>
              <w:bottom w:val="nil"/>
              <w:right w:val="nil"/>
            </w:tcBorders>
            <w:noWrap/>
            <w:vAlign w:val="bottom"/>
            <w:hideMark/>
          </w:tcPr>
          <w:p w14:paraId="5F2E2C81" w14:textId="43A610E9"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Adjustment costs</w:t>
            </w:r>
            <w:r w:rsidR="00017746">
              <w:rPr>
                <w:rFonts w:ascii="Aptos Narrow" w:eastAsia="Times New Roman" w:hAnsi="Aptos Narrow" w:cs="Times New Roman"/>
                <w:noProof/>
                <w:color w:val="000000"/>
                <w:sz w:val="22"/>
                <w:lang w:val="en-IE" w:eastAsia="en-IE"/>
              </w:rPr>
              <w:t>*</w:t>
            </w:r>
          </w:p>
        </w:tc>
        <w:tc>
          <w:tcPr>
            <w:tcW w:w="1450" w:type="dxa"/>
            <w:tcBorders>
              <w:top w:val="nil"/>
              <w:left w:val="nil"/>
              <w:bottom w:val="nil"/>
              <w:right w:val="nil"/>
            </w:tcBorders>
            <w:noWrap/>
            <w:vAlign w:val="bottom"/>
            <w:hideMark/>
          </w:tcPr>
          <w:p w14:paraId="096E3F16"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6576E9E2"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€3,782.05</w:t>
            </w:r>
          </w:p>
        </w:tc>
        <w:tc>
          <w:tcPr>
            <w:tcW w:w="1450" w:type="dxa"/>
            <w:tcBorders>
              <w:top w:val="nil"/>
              <w:left w:val="nil"/>
              <w:bottom w:val="nil"/>
              <w:right w:val="nil"/>
            </w:tcBorders>
            <w:noWrap/>
            <w:vAlign w:val="bottom"/>
            <w:hideMark/>
          </w:tcPr>
          <w:p w14:paraId="1DF77A7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3A21E84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€3,782.05</w:t>
            </w:r>
          </w:p>
        </w:tc>
        <w:tc>
          <w:tcPr>
            <w:tcW w:w="1450" w:type="dxa"/>
            <w:tcBorders>
              <w:top w:val="nil"/>
              <w:left w:val="nil"/>
              <w:bottom w:val="nil"/>
              <w:right w:val="nil"/>
            </w:tcBorders>
            <w:noWrap/>
            <w:vAlign w:val="bottom"/>
            <w:hideMark/>
          </w:tcPr>
          <w:p w14:paraId="41D86C0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26B4C433" w14:textId="6557F2EF" w:rsidR="00005999" w:rsidRPr="00005999" w:rsidRDefault="005126A5" w:rsidP="00005999">
            <w:pPr>
              <w:jc w:val="right"/>
              <w:rPr>
                <w:rFonts w:ascii="Aptos Narrow" w:eastAsia="Times New Roman" w:hAnsi="Aptos Narrow" w:cs="Times New Roman"/>
                <w:noProof/>
                <w:color w:val="000000"/>
                <w:sz w:val="22"/>
                <w:lang w:val="en-IE" w:eastAsia="en-IE"/>
              </w:rPr>
            </w:pPr>
            <w:r>
              <w:rPr>
                <w:noProof/>
              </w:rPr>
              <w:t xml:space="preserve"> </w:t>
            </w:r>
            <w:r w:rsidRPr="005126A5">
              <w:rPr>
                <w:rFonts w:ascii="Aptos Narrow" w:eastAsia="Times New Roman" w:hAnsi="Aptos Narrow" w:cs="Times New Roman"/>
                <w:noProof/>
                <w:color w:val="000000"/>
                <w:sz w:val="22"/>
                <w:lang w:val="en-IE" w:eastAsia="en-IE"/>
              </w:rPr>
              <w:t>€27,498.35</w:t>
            </w:r>
          </w:p>
        </w:tc>
      </w:tr>
      <w:tr w:rsidR="00B2795B" w:rsidRPr="00005999" w14:paraId="24714CF0" w14:textId="77777777" w:rsidTr="0048557B">
        <w:trPr>
          <w:trHeight w:val="286"/>
        </w:trPr>
        <w:tc>
          <w:tcPr>
            <w:tcW w:w="2691" w:type="dxa"/>
            <w:tcBorders>
              <w:top w:val="nil"/>
              <w:left w:val="nil"/>
              <w:bottom w:val="nil"/>
              <w:right w:val="nil"/>
            </w:tcBorders>
            <w:noWrap/>
            <w:vAlign w:val="bottom"/>
            <w:hideMark/>
          </w:tcPr>
          <w:p w14:paraId="0DCEF542"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Administrative costs</w:t>
            </w:r>
          </w:p>
        </w:tc>
        <w:tc>
          <w:tcPr>
            <w:tcW w:w="1450" w:type="dxa"/>
            <w:tcBorders>
              <w:top w:val="nil"/>
              <w:left w:val="nil"/>
              <w:bottom w:val="nil"/>
              <w:right w:val="nil"/>
            </w:tcBorders>
            <w:noWrap/>
            <w:vAlign w:val="bottom"/>
            <w:hideMark/>
          </w:tcPr>
          <w:p w14:paraId="57A3A8A3"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3C894FE1"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€0.70</w:t>
            </w:r>
          </w:p>
        </w:tc>
        <w:tc>
          <w:tcPr>
            <w:tcW w:w="1450" w:type="dxa"/>
            <w:tcBorders>
              <w:top w:val="nil"/>
              <w:left w:val="nil"/>
              <w:bottom w:val="nil"/>
              <w:right w:val="nil"/>
            </w:tcBorders>
            <w:noWrap/>
            <w:vAlign w:val="bottom"/>
            <w:hideMark/>
          </w:tcPr>
          <w:p w14:paraId="7ACA3C5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€0.12</w:t>
            </w:r>
          </w:p>
        </w:tc>
        <w:tc>
          <w:tcPr>
            <w:tcW w:w="2380" w:type="dxa"/>
            <w:tcBorders>
              <w:top w:val="nil"/>
              <w:left w:val="nil"/>
              <w:bottom w:val="nil"/>
              <w:right w:val="nil"/>
            </w:tcBorders>
            <w:noWrap/>
            <w:vAlign w:val="bottom"/>
            <w:hideMark/>
          </w:tcPr>
          <w:p w14:paraId="3B7981AA"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€1.16</w:t>
            </w:r>
          </w:p>
        </w:tc>
        <w:tc>
          <w:tcPr>
            <w:tcW w:w="1450" w:type="dxa"/>
            <w:tcBorders>
              <w:top w:val="nil"/>
              <w:left w:val="nil"/>
              <w:bottom w:val="nil"/>
              <w:right w:val="nil"/>
            </w:tcBorders>
            <w:noWrap/>
            <w:vAlign w:val="bottom"/>
            <w:hideMark/>
          </w:tcPr>
          <w:p w14:paraId="3F70291B"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€0.12</w:t>
            </w:r>
          </w:p>
        </w:tc>
        <w:tc>
          <w:tcPr>
            <w:tcW w:w="2654" w:type="dxa"/>
            <w:tcBorders>
              <w:top w:val="nil"/>
              <w:left w:val="nil"/>
              <w:bottom w:val="nil"/>
              <w:right w:val="nil"/>
            </w:tcBorders>
            <w:noWrap/>
            <w:vAlign w:val="bottom"/>
            <w:hideMark/>
          </w:tcPr>
          <w:p w14:paraId="4CE5BC30"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€5.76</w:t>
            </w:r>
          </w:p>
        </w:tc>
      </w:tr>
      <w:tr w:rsidR="00B2795B" w:rsidRPr="00005999" w14:paraId="4991AFFA" w14:textId="77777777" w:rsidTr="0048557B">
        <w:trPr>
          <w:trHeight w:val="286"/>
        </w:trPr>
        <w:tc>
          <w:tcPr>
            <w:tcW w:w="2691" w:type="dxa"/>
            <w:tcBorders>
              <w:top w:val="nil"/>
              <w:left w:val="nil"/>
              <w:bottom w:val="nil"/>
              <w:right w:val="nil"/>
            </w:tcBorders>
            <w:noWrap/>
            <w:vAlign w:val="bottom"/>
            <w:hideMark/>
          </w:tcPr>
          <w:p w14:paraId="29A16250"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Administrative savings</w:t>
            </w:r>
          </w:p>
        </w:tc>
        <w:tc>
          <w:tcPr>
            <w:tcW w:w="1450" w:type="dxa"/>
            <w:tcBorders>
              <w:top w:val="nil"/>
              <w:left w:val="nil"/>
              <w:bottom w:val="nil"/>
              <w:right w:val="nil"/>
            </w:tcBorders>
            <w:noWrap/>
            <w:vAlign w:val="bottom"/>
            <w:hideMark/>
          </w:tcPr>
          <w:p w14:paraId="2F4569B6"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€240.00</w:t>
            </w:r>
          </w:p>
        </w:tc>
        <w:tc>
          <w:tcPr>
            <w:tcW w:w="2380" w:type="dxa"/>
            <w:tcBorders>
              <w:top w:val="nil"/>
              <w:left w:val="nil"/>
              <w:bottom w:val="nil"/>
              <w:right w:val="nil"/>
            </w:tcBorders>
            <w:noWrap/>
            <w:vAlign w:val="bottom"/>
            <w:hideMark/>
          </w:tcPr>
          <w:p w14:paraId="14F52C02"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1450" w:type="dxa"/>
            <w:tcBorders>
              <w:top w:val="nil"/>
              <w:left w:val="nil"/>
              <w:bottom w:val="nil"/>
              <w:right w:val="nil"/>
            </w:tcBorders>
            <w:noWrap/>
            <w:vAlign w:val="bottom"/>
            <w:hideMark/>
          </w:tcPr>
          <w:p w14:paraId="1CA607BE"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€240.00</w:t>
            </w:r>
          </w:p>
        </w:tc>
        <w:tc>
          <w:tcPr>
            <w:tcW w:w="2380" w:type="dxa"/>
            <w:tcBorders>
              <w:top w:val="nil"/>
              <w:left w:val="nil"/>
              <w:bottom w:val="nil"/>
              <w:right w:val="nil"/>
            </w:tcBorders>
            <w:noWrap/>
            <w:vAlign w:val="bottom"/>
            <w:hideMark/>
          </w:tcPr>
          <w:p w14:paraId="2883D4A6"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1450" w:type="dxa"/>
            <w:tcBorders>
              <w:top w:val="nil"/>
              <w:left w:val="nil"/>
              <w:bottom w:val="nil"/>
              <w:right w:val="nil"/>
            </w:tcBorders>
            <w:noWrap/>
            <w:vAlign w:val="bottom"/>
            <w:hideMark/>
          </w:tcPr>
          <w:p w14:paraId="6481A8DD"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€240.00</w:t>
            </w:r>
          </w:p>
        </w:tc>
        <w:tc>
          <w:tcPr>
            <w:tcW w:w="2654" w:type="dxa"/>
            <w:tcBorders>
              <w:top w:val="nil"/>
              <w:left w:val="nil"/>
              <w:bottom w:val="nil"/>
              <w:right w:val="nil"/>
            </w:tcBorders>
            <w:noWrap/>
            <w:vAlign w:val="bottom"/>
            <w:hideMark/>
          </w:tcPr>
          <w:p w14:paraId="5D3807D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r>
      <w:tr w:rsidR="00B2795B" w:rsidRPr="00005999" w14:paraId="202FE89C" w14:textId="77777777" w:rsidTr="0048557B">
        <w:trPr>
          <w:trHeight w:val="286"/>
        </w:trPr>
        <w:tc>
          <w:tcPr>
            <w:tcW w:w="2691" w:type="dxa"/>
            <w:tcBorders>
              <w:top w:val="nil"/>
              <w:left w:val="nil"/>
              <w:bottom w:val="nil"/>
              <w:right w:val="nil"/>
            </w:tcBorders>
            <w:noWrap/>
            <w:vAlign w:val="bottom"/>
            <w:hideMark/>
          </w:tcPr>
          <w:p w14:paraId="7518E0BC"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Increase in GVA/VA</w:t>
            </w:r>
          </w:p>
        </w:tc>
        <w:tc>
          <w:tcPr>
            <w:tcW w:w="1450" w:type="dxa"/>
            <w:tcBorders>
              <w:top w:val="nil"/>
              <w:left w:val="nil"/>
              <w:bottom w:val="nil"/>
              <w:right w:val="nil"/>
            </w:tcBorders>
            <w:noWrap/>
            <w:vAlign w:val="bottom"/>
            <w:hideMark/>
          </w:tcPr>
          <w:p w14:paraId="5672811C"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01CFEFE9"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€10,386.92</w:t>
            </w:r>
          </w:p>
        </w:tc>
        <w:tc>
          <w:tcPr>
            <w:tcW w:w="1450" w:type="dxa"/>
            <w:tcBorders>
              <w:top w:val="nil"/>
              <w:left w:val="nil"/>
              <w:bottom w:val="nil"/>
              <w:right w:val="nil"/>
            </w:tcBorders>
            <w:noWrap/>
            <w:vAlign w:val="bottom"/>
            <w:hideMark/>
          </w:tcPr>
          <w:p w14:paraId="21335DDE"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4AA4C52C"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€10,386.92</w:t>
            </w:r>
          </w:p>
        </w:tc>
        <w:tc>
          <w:tcPr>
            <w:tcW w:w="1450" w:type="dxa"/>
            <w:tcBorders>
              <w:top w:val="nil"/>
              <w:left w:val="nil"/>
              <w:bottom w:val="nil"/>
              <w:right w:val="nil"/>
            </w:tcBorders>
            <w:noWrap/>
            <w:vAlign w:val="bottom"/>
            <w:hideMark/>
          </w:tcPr>
          <w:p w14:paraId="2E2D0A51"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10F19D65" w14:textId="0D97F11C"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€18,299.</w:t>
            </w:r>
            <w:r w:rsidR="00472ADD">
              <w:rPr>
                <w:rFonts w:ascii="Aptos Narrow" w:eastAsia="Times New Roman" w:hAnsi="Aptos Narrow" w:cs="Times New Roman"/>
                <w:noProof/>
                <w:color w:val="000000"/>
                <w:sz w:val="22"/>
                <w:lang w:val="en-IE" w:eastAsia="en-IE"/>
              </w:rPr>
              <w:t>67</w:t>
            </w:r>
          </w:p>
        </w:tc>
      </w:tr>
      <w:tr w:rsidR="0079102D" w:rsidRPr="00005999" w14:paraId="4AB13B16" w14:textId="77777777" w:rsidTr="0048557B">
        <w:trPr>
          <w:trHeight w:val="286"/>
        </w:trPr>
        <w:tc>
          <w:tcPr>
            <w:tcW w:w="2691" w:type="dxa"/>
            <w:tcBorders>
              <w:top w:val="nil"/>
              <w:left w:val="nil"/>
              <w:bottom w:val="nil"/>
              <w:right w:val="nil"/>
            </w:tcBorders>
            <w:shd w:val="clear" w:color="auto" w:fill="F7C7AC"/>
            <w:noWrap/>
            <w:vAlign w:val="bottom"/>
            <w:hideMark/>
          </w:tcPr>
          <w:p w14:paraId="68FB75FF" w14:textId="77777777" w:rsidR="00005999" w:rsidRPr="00005999" w:rsidRDefault="00005999" w:rsidP="00005999">
            <w:pPr>
              <w:jc w:val="left"/>
              <w:rPr>
                <w:rFonts w:ascii="Aptos Narrow" w:eastAsia="Times New Roman" w:hAnsi="Aptos Narrow" w:cs="Times New Roman"/>
                <w:i/>
                <w:iCs/>
                <w:noProof/>
                <w:color w:val="000000"/>
                <w:sz w:val="22"/>
                <w:lang w:val="en-IE" w:eastAsia="en-IE"/>
              </w:rPr>
            </w:pPr>
            <w:r w:rsidRPr="00005999">
              <w:rPr>
                <w:rFonts w:ascii="Aptos Narrow" w:eastAsia="Times New Roman" w:hAnsi="Aptos Narrow" w:cs="Times New Roman"/>
                <w:i/>
                <w:iCs/>
                <w:noProof/>
                <w:color w:val="000000"/>
                <w:sz w:val="22"/>
                <w:lang w:val="en-IE" w:eastAsia="en-IE"/>
              </w:rPr>
              <w:t>Other benefits</w:t>
            </w:r>
          </w:p>
        </w:tc>
        <w:tc>
          <w:tcPr>
            <w:tcW w:w="1450" w:type="dxa"/>
            <w:tcBorders>
              <w:top w:val="nil"/>
              <w:left w:val="nil"/>
              <w:bottom w:val="nil"/>
              <w:right w:val="nil"/>
            </w:tcBorders>
            <w:shd w:val="clear" w:color="auto" w:fill="F7C7AC"/>
            <w:noWrap/>
            <w:vAlign w:val="bottom"/>
            <w:hideMark/>
          </w:tcPr>
          <w:p w14:paraId="11EAA2DD" w14:textId="77777777" w:rsidR="00005999" w:rsidRPr="00005999" w:rsidRDefault="00005999" w:rsidP="00005999">
            <w:pPr>
              <w:jc w:val="left"/>
              <w:rPr>
                <w:rFonts w:ascii="Aptos Narrow" w:eastAsia="Times New Roman" w:hAnsi="Aptos Narrow" w:cs="Times New Roman"/>
                <w:i/>
                <w:iCs/>
                <w:noProof/>
                <w:color w:val="000000"/>
                <w:sz w:val="22"/>
                <w:lang w:val="en-IE" w:eastAsia="en-IE"/>
              </w:rPr>
            </w:pPr>
          </w:p>
        </w:tc>
        <w:tc>
          <w:tcPr>
            <w:tcW w:w="2380" w:type="dxa"/>
            <w:tcBorders>
              <w:top w:val="nil"/>
              <w:left w:val="nil"/>
              <w:bottom w:val="nil"/>
              <w:right w:val="nil"/>
            </w:tcBorders>
            <w:shd w:val="clear" w:color="auto" w:fill="F7C7AC"/>
            <w:noWrap/>
            <w:vAlign w:val="bottom"/>
            <w:hideMark/>
          </w:tcPr>
          <w:p w14:paraId="7176A8FC"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F7C7AC"/>
            <w:noWrap/>
            <w:vAlign w:val="bottom"/>
            <w:hideMark/>
          </w:tcPr>
          <w:p w14:paraId="703DCE4B" w14:textId="77777777" w:rsidR="00005999" w:rsidRPr="00005999" w:rsidRDefault="00005999" w:rsidP="00005999">
            <w:pPr>
              <w:jc w:val="left"/>
              <w:rPr>
                <w:rFonts w:eastAsia="Times New Roman" w:cs="Times New Roman"/>
                <w:noProof/>
                <w:sz w:val="20"/>
                <w:szCs w:val="20"/>
                <w:lang w:val="en-IE" w:eastAsia="en-IE"/>
              </w:rPr>
            </w:pPr>
          </w:p>
        </w:tc>
        <w:tc>
          <w:tcPr>
            <w:tcW w:w="2380" w:type="dxa"/>
            <w:tcBorders>
              <w:top w:val="nil"/>
              <w:left w:val="nil"/>
              <w:bottom w:val="nil"/>
              <w:right w:val="nil"/>
            </w:tcBorders>
            <w:shd w:val="clear" w:color="auto" w:fill="F7C7AC"/>
            <w:noWrap/>
            <w:vAlign w:val="bottom"/>
            <w:hideMark/>
          </w:tcPr>
          <w:p w14:paraId="0E20121A" w14:textId="77777777" w:rsidR="00005999" w:rsidRPr="00005999" w:rsidRDefault="00005999" w:rsidP="00005999">
            <w:pPr>
              <w:jc w:val="left"/>
              <w:rPr>
                <w:rFonts w:eastAsia="Times New Roman" w:cs="Times New Roman"/>
                <w:noProof/>
                <w:sz w:val="20"/>
                <w:szCs w:val="20"/>
                <w:lang w:val="en-IE" w:eastAsia="en-IE"/>
              </w:rPr>
            </w:pPr>
          </w:p>
        </w:tc>
        <w:tc>
          <w:tcPr>
            <w:tcW w:w="1450" w:type="dxa"/>
            <w:tcBorders>
              <w:top w:val="nil"/>
              <w:left w:val="nil"/>
              <w:bottom w:val="nil"/>
              <w:right w:val="nil"/>
            </w:tcBorders>
            <w:shd w:val="clear" w:color="auto" w:fill="F7C7AC"/>
            <w:noWrap/>
            <w:vAlign w:val="bottom"/>
            <w:hideMark/>
          </w:tcPr>
          <w:p w14:paraId="7F6336D9" w14:textId="77777777" w:rsidR="00005999" w:rsidRPr="00005999" w:rsidRDefault="00005999" w:rsidP="00005999">
            <w:pPr>
              <w:jc w:val="left"/>
              <w:rPr>
                <w:rFonts w:eastAsia="Times New Roman" w:cs="Times New Roman"/>
                <w:noProof/>
                <w:sz w:val="20"/>
                <w:szCs w:val="20"/>
                <w:lang w:val="en-IE" w:eastAsia="en-IE"/>
              </w:rPr>
            </w:pPr>
          </w:p>
        </w:tc>
        <w:tc>
          <w:tcPr>
            <w:tcW w:w="2654" w:type="dxa"/>
            <w:tcBorders>
              <w:top w:val="nil"/>
              <w:left w:val="nil"/>
              <w:bottom w:val="nil"/>
              <w:right w:val="nil"/>
            </w:tcBorders>
            <w:shd w:val="clear" w:color="auto" w:fill="F7C7AC"/>
            <w:noWrap/>
            <w:vAlign w:val="bottom"/>
            <w:hideMark/>
          </w:tcPr>
          <w:p w14:paraId="1C3C2702" w14:textId="77777777" w:rsidR="00005999" w:rsidRPr="00005999" w:rsidRDefault="00005999" w:rsidP="00005999">
            <w:pPr>
              <w:jc w:val="left"/>
              <w:rPr>
                <w:rFonts w:eastAsia="Times New Roman" w:cs="Times New Roman"/>
                <w:noProof/>
                <w:sz w:val="20"/>
                <w:szCs w:val="20"/>
                <w:lang w:val="en-IE" w:eastAsia="en-IE"/>
              </w:rPr>
            </w:pPr>
          </w:p>
        </w:tc>
      </w:tr>
      <w:tr w:rsidR="00B2795B" w:rsidRPr="00005999" w14:paraId="65396D78" w14:textId="77777777" w:rsidTr="0048557B">
        <w:trPr>
          <w:trHeight w:val="286"/>
        </w:trPr>
        <w:tc>
          <w:tcPr>
            <w:tcW w:w="2691" w:type="dxa"/>
            <w:tcBorders>
              <w:top w:val="nil"/>
              <w:left w:val="nil"/>
              <w:bottom w:val="nil"/>
              <w:right w:val="nil"/>
            </w:tcBorders>
            <w:noWrap/>
            <w:vAlign w:val="bottom"/>
            <w:hideMark/>
          </w:tcPr>
          <w:p w14:paraId="0C34A026"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GHG emission reduction savings</w:t>
            </w:r>
          </w:p>
        </w:tc>
        <w:tc>
          <w:tcPr>
            <w:tcW w:w="1450" w:type="dxa"/>
            <w:tcBorders>
              <w:top w:val="nil"/>
              <w:left w:val="nil"/>
              <w:bottom w:val="nil"/>
              <w:right w:val="nil"/>
            </w:tcBorders>
            <w:noWrap/>
            <w:vAlign w:val="bottom"/>
            <w:hideMark/>
          </w:tcPr>
          <w:p w14:paraId="59F08D8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7C721E99" w14:textId="228A17E6"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w:t>
            </w:r>
            <w:r w:rsidR="00EF7639">
              <w:rPr>
                <w:rFonts w:ascii="Aptos Narrow" w:eastAsia="Times New Roman" w:hAnsi="Aptos Narrow" w:cs="Times New Roman"/>
                <w:noProof/>
                <w:color w:val="000000"/>
                <w:sz w:val="22"/>
                <w:lang w:val="en-IE" w:eastAsia="en-IE"/>
              </w:rPr>
              <w:t>3.058,23</w:t>
            </w:r>
          </w:p>
        </w:tc>
        <w:tc>
          <w:tcPr>
            <w:tcW w:w="1450" w:type="dxa"/>
            <w:tcBorders>
              <w:top w:val="nil"/>
              <w:left w:val="nil"/>
              <w:bottom w:val="nil"/>
              <w:right w:val="nil"/>
            </w:tcBorders>
            <w:noWrap/>
            <w:vAlign w:val="bottom"/>
            <w:hideMark/>
          </w:tcPr>
          <w:p w14:paraId="410CDA61"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380" w:type="dxa"/>
            <w:tcBorders>
              <w:top w:val="nil"/>
              <w:left w:val="nil"/>
              <w:bottom w:val="nil"/>
              <w:right w:val="nil"/>
            </w:tcBorders>
            <w:noWrap/>
            <w:vAlign w:val="bottom"/>
            <w:hideMark/>
          </w:tcPr>
          <w:p w14:paraId="25228C63" w14:textId="1E7EAD54" w:rsidR="00005999" w:rsidRPr="00005999" w:rsidRDefault="00EF763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w:t>
            </w:r>
            <w:r>
              <w:rPr>
                <w:rFonts w:ascii="Aptos Narrow" w:eastAsia="Times New Roman" w:hAnsi="Aptos Narrow" w:cs="Times New Roman"/>
                <w:noProof/>
                <w:color w:val="000000"/>
                <w:sz w:val="22"/>
                <w:lang w:val="en-IE" w:eastAsia="en-IE"/>
              </w:rPr>
              <w:t>3.058,23</w:t>
            </w:r>
          </w:p>
        </w:tc>
        <w:tc>
          <w:tcPr>
            <w:tcW w:w="1450" w:type="dxa"/>
            <w:tcBorders>
              <w:top w:val="nil"/>
              <w:left w:val="nil"/>
              <w:bottom w:val="nil"/>
              <w:right w:val="nil"/>
            </w:tcBorders>
            <w:noWrap/>
            <w:vAlign w:val="bottom"/>
            <w:hideMark/>
          </w:tcPr>
          <w:p w14:paraId="397080F1"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€0.00</w:t>
            </w:r>
          </w:p>
        </w:tc>
        <w:tc>
          <w:tcPr>
            <w:tcW w:w="2654" w:type="dxa"/>
            <w:tcBorders>
              <w:top w:val="nil"/>
              <w:left w:val="nil"/>
              <w:bottom w:val="nil"/>
              <w:right w:val="nil"/>
            </w:tcBorders>
            <w:noWrap/>
            <w:vAlign w:val="bottom"/>
            <w:hideMark/>
          </w:tcPr>
          <w:p w14:paraId="2C0F6243" w14:textId="673E1A38"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w:t>
            </w:r>
            <w:r w:rsidR="00372758">
              <w:rPr>
                <w:rFonts w:ascii="Aptos Narrow" w:eastAsia="Times New Roman" w:hAnsi="Aptos Narrow" w:cs="Times New Roman"/>
                <w:noProof/>
                <w:color w:val="000000"/>
                <w:sz w:val="22"/>
                <w:lang w:val="en-IE" w:eastAsia="en-IE"/>
              </w:rPr>
              <w:t>4</w:t>
            </w:r>
            <w:r w:rsidR="009E7A37">
              <w:rPr>
                <w:rFonts w:ascii="Aptos Narrow" w:eastAsia="Times New Roman" w:hAnsi="Aptos Narrow" w:cs="Times New Roman"/>
                <w:noProof/>
                <w:color w:val="000000"/>
                <w:sz w:val="22"/>
                <w:lang w:val="en-IE" w:eastAsia="en-IE"/>
              </w:rPr>
              <w:t>.</w:t>
            </w:r>
            <w:r w:rsidR="00372758">
              <w:rPr>
                <w:rFonts w:ascii="Aptos Narrow" w:eastAsia="Times New Roman" w:hAnsi="Aptos Narrow" w:cs="Times New Roman"/>
                <w:noProof/>
                <w:color w:val="000000"/>
                <w:sz w:val="22"/>
                <w:lang w:val="en-IE" w:eastAsia="en-IE"/>
              </w:rPr>
              <w:t>865,13</w:t>
            </w:r>
          </w:p>
        </w:tc>
      </w:tr>
      <w:tr w:rsidR="00B2795B" w:rsidRPr="00005999" w14:paraId="0F2CBEE0" w14:textId="77777777" w:rsidTr="0048557B">
        <w:trPr>
          <w:trHeight w:val="286"/>
        </w:trPr>
        <w:tc>
          <w:tcPr>
            <w:tcW w:w="2691" w:type="dxa"/>
            <w:tcBorders>
              <w:top w:val="nil"/>
              <w:left w:val="nil"/>
              <w:bottom w:val="nil"/>
              <w:right w:val="nil"/>
            </w:tcBorders>
            <w:noWrap/>
            <w:vAlign w:val="bottom"/>
            <w:hideMark/>
          </w:tcPr>
          <w:p w14:paraId="67297938" w14:textId="77777777" w:rsidR="00005999" w:rsidRPr="00005999" w:rsidRDefault="00005999" w:rsidP="00005999">
            <w:pPr>
              <w:jc w:val="lef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Increase in jobs (not monetised)</w:t>
            </w:r>
          </w:p>
        </w:tc>
        <w:tc>
          <w:tcPr>
            <w:tcW w:w="1450" w:type="dxa"/>
            <w:tcBorders>
              <w:top w:val="nil"/>
              <w:left w:val="nil"/>
              <w:bottom w:val="nil"/>
              <w:right w:val="nil"/>
            </w:tcBorders>
            <w:noWrap/>
            <w:vAlign w:val="bottom"/>
            <w:hideMark/>
          </w:tcPr>
          <w:p w14:paraId="3D1C5760" w14:textId="77777777" w:rsidR="00005999" w:rsidRPr="00005999" w:rsidRDefault="00005999" w:rsidP="00005999">
            <w:pPr>
              <w:jc w:val="left"/>
              <w:rPr>
                <w:rFonts w:ascii="Aptos Narrow" w:eastAsia="Times New Roman" w:hAnsi="Aptos Narrow" w:cs="Times New Roman"/>
                <w:noProof/>
                <w:color w:val="000000"/>
                <w:sz w:val="22"/>
                <w:lang w:val="en-IE" w:eastAsia="en-IE"/>
              </w:rPr>
            </w:pPr>
          </w:p>
        </w:tc>
        <w:tc>
          <w:tcPr>
            <w:tcW w:w="2380" w:type="dxa"/>
            <w:tcBorders>
              <w:top w:val="nil"/>
              <w:left w:val="nil"/>
              <w:bottom w:val="nil"/>
              <w:right w:val="nil"/>
            </w:tcBorders>
            <w:noWrap/>
            <w:vAlign w:val="bottom"/>
            <w:hideMark/>
          </w:tcPr>
          <w:p w14:paraId="0350C549" w14:textId="180AD876"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143</w:t>
            </w:r>
            <w:r w:rsidR="001D310A">
              <w:rPr>
                <w:rFonts w:ascii="Aptos Narrow" w:eastAsia="Times New Roman" w:hAnsi="Aptos Narrow" w:cs="Times New Roman"/>
                <w:noProof/>
                <w:color w:val="000000"/>
                <w:sz w:val="22"/>
                <w:lang w:val="en-IE" w:eastAsia="en-IE"/>
              </w:rPr>
              <w:t>.</w:t>
            </w:r>
            <w:r w:rsidRPr="00005999">
              <w:rPr>
                <w:rFonts w:ascii="Aptos Narrow" w:eastAsia="Times New Roman" w:hAnsi="Aptos Narrow" w:cs="Times New Roman"/>
                <w:noProof/>
                <w:color w:val="000000"/>
                <w:sz w:val="22"/>
                <w:lang w:val="en-IE" w:eastAsia="en-IE"/>
              </w:rPr>
              <w:t>852</w:t>
            </w:r>
          </w:p>
        </w:tc>
        <w:tc>
          <w:tcPr>
            <w:tcW w:w="1450" w:type="dxa"/>
            <w:tcBorders>
              <w:top w:val="nil"/>
              <w:left w:val="nil"/>
              <w:bottom w:val="nil"/>
              <w:right w:val="nil"/>
            </w:tcBorders>
            <w:noWrap/>
            <w:vAlign w:val="bottom"/>
            <w:hideMark/>
          </w:tcPr>
          <w:p w14:paraId="4CAD38F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p>
        </w:tc>
        <w:tc>
          <w:tcPr>
            <w:tcW w:w="2380" w:type="dxa"/>
            <w:tcBorders>
              <w:top w:val="nil"/>
              <w:left w:val="nil"/>
              <w:bottom w:val="nil"/>
              <w:right w:val="nil"/>
            </w:tcBorders>
            <w:noWrap/>
            <w:vAlign w:val="bottom"/>
            <w:hideMark/>
          </w:tcPr>
          <w:p w14:paraId="2C6F4575" w14:textId="731EE488"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148</w:t>
            </w:r>
            <w:r w:rsidR="001D310A">
              <w:rPr>
                <w:rFonts w:ascii="Aptos Narrow" w:eastAsia="Times New Roman" w:hAnsi="Aptos Narrow" w:cs="Times New Roman"/>
                <w:noProof/>
                <w:color w:val="000000"/>
                <w:sz w:val="22"/>
                <w:lang w:val="en-IE" w:eastAsia="en-IE"/>
              </w:rPr>
              <w:t>.</w:t>
            </w:r>
            <w:r w:rsidRPr="00005999">
              <w:rPr>
                <w:rFonts w:ascii="Aptos Narrow" w:eastAsia="Times New Roman" w:hAnsi="Aptos Narrow" w:cs="Times New Roman"/>
                <w:noProof/>
                <w:color w:val="000000"/>
                <w:sz w:val="22"/>
                <w:lang w:val="en-IE" w:eastAsia="en-IE"/>
              </w:rPr>
              <w:t>352</w:t>
            </w:r>
          </w:p>
        </w:tc>
        <w:tc>
          <w:tcPr>
            <w:tcW w:w="1450" w:type="dxa"/>
            <w:tcBorders>
              <w:top w:val="nil"/>
              <w:left w:val="nil"/>
              <w:bottom w:val="nil"/>
              <w:right w:val="nil"/>
            </w:tcBorders>
            <w:noWrap/>
            <w:vAlign w:val="bottom"/>
            <w:hideMark/>
          </w:tcPr>
          <w:p w14:paraId="43C86F4C"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p>
        </w:tc>
        <w:tc>
          <w:tcPr>
            <w:tcW w:w="2654" w:type="dxa"/>
            <w:tcBorders>
              <w:top w:val="nil"/>
              <w:left w:val="nil"/>
              <w:bottom w:val="nil"/>
              <w:right w:val="nil"/>
            </w:tcBorders>
            <w:noWrap/>
            <w:vAlign w:val="bottom"/>
            <w:hideMark/>
          </w:tcPr>
          <w:p w14:paraId="46912A3B" w14:textId="26657943" w:rsidR="00005999" w:rsidRDefault="00005999" w:rsidP="00005999">
            <w:pPr>
              <w:jc w:val="right"/>
              <w:rPr>
                <w:rFonts w:ascii="Aptos Narrow" w:eastAsia="Times New Roman" w:hAnsi="Aptos Narrow" w:cs="Times New Roman"/>
                <w:noProof/>
                <w:color w:val="000000"/>
                <w:sz w:val="22"/>
                <w:lang w:val="en-IE" w:eastAsia="en-IE"/>
              </w:rPr>
            </w:pPr>
          </w:p>
          <w:p w14:paraId="7B628F9F" w14:textId="67CD2664" w:rsidR="0069040A" w:rsidRPr="00005999" w:rsidRDefault="0069040A" w:rsidP="00005999">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w:t>
            </w:r>
            <w:r w:rsidRPr="0069040A">
              <w:rPr>
                <w:rFonts w:ascii="Aptos Narrow" w:eastAsia="Times New Roman" w:hAnsi="Aptos Narrow" w:cs="Times New Roman"/>
                <w:noProof/>
                <w:color w:val="000000"/>
                <w:sz w:val="22"/>
                <w:lang w:val="en-IE" w:eastAsia="en-IE"/>
              </w:rPr>
              <w:t>270</w:t>
            </w:r>
            <w:r w:rsidR="00946E2D">
              <w:rPr>
                <w:rFonts w:ascii="Aptos Narrow" w:eastAsia="Times New Roman" w:hAnsi="Aptos Narrow" w:cs="Times New Roman"/>
                <w:noProof/>
                <w:color w:val="000000"/>
                <w:sz w:val="22"/>
                <w:lang w:val="en-IE" w:eastAsia="en-IE"/>
              </w:rPr>
              <w:t>.</w:t>
            </w:r>
            <w:r w:rsidRPr="0069040A">
              <w:rPr>
                <w:rFonts w:ascii="Aptos Narrow" w:eastAsia="Times New Roman" w:hAnsi="Aptos Narrow" w:cs="Times New Roman"/>
                <w:noProof/>
                <w:color w:val="000000"/>
                <w:sz w:val="22"/>
                <w:lang w:val="en-IE" w:eastAsia="en-IE"/>
              </w:rPr>
              <w:t>629</w:t>
            </w:r>
          </w:p>
        </w:tc>
      </w:tr>
      <w:tr w:rsidR="0079102D" w:rsidRPr="00005999" w14:paraId="59D20885" w14:textId="77777777" w:rsidTr="0048557B">
        <w:trPr>
          <w:trHeight w:val="271"/>
        </w:trPr>
        <w:tc>
          <w:tcPr>
            <w:tcW w:w="2691" w:type="dxa"/>
            <w:tcBorders>
              <w:top w:val="nil"/>
              <w:left w:val="nil"/>
              <w:bottom w:val="nil"/>
              <w:right w:val="nil"/>
            </w:tcBorders>
            <w:shd w:val="clear" w:color="auto" w:fill="F2F2F2" w:themeFill="background1" w:themeFillShade="F2"/>
            <w:noWrap/>
            <w:vAlign w:val="bottom"/>
            <w:hideMark/>
          </w:tcPr>
          <w:p w14:paraId="42A35172" w14:textId="77777777" w:rsidR="00AA29F6" w:rsidRPr="00005999" w:rsidRDefault="00AA29F6" w:rsidP="00AA29F6">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Total costs</w:t>
            </w:r>
          </w:p>
        </w:tc>
        <w:tc>
          <w:tcPr>
            <w:tcW w:w="1450" w:type="dxa"/>
            <w:tcBorders>
              <w:top w:val="nil"/>
              <w:left w:val="nil"/>
              <w:bottom w:val="nil"/>
              <w:right w:val="nil"/>
            </w:tcBorders>
            <w:shd w:val="clear" w:color="auto" w:fill="F2F2F2" w:themeFill="background1" w:themeFillShade="F2"/>
            <w:noWrap/>
            <w:vAlign w:val="bottom"/>
            <w:hideMark/>
          </w:tcPr>
          <w:p w14:paraId="0E78537D" w14:textId="28B9EAB1"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€0.80</w:t>
            </w:r>
          </w:p>
        </w:tc>
        <w:tc>
          <w:tcPr>
            <w:tcW w:w="2380" w:type="dxa"/>
            <w:tcBorders>
              <w:top w:val="nil"/>
              <w:left w:val="nil"/>
              <w:bottom w:val="nil"/>
              <w:right w:val="nil"/>
            </w:tcBorders>
            <w:shd w:val="clear" w:color="auto" w:fill="F2F2F2" w:themeFill="background1" w:themeFillShade="F2"/>
            <w:noWrap/>
            <w:vAlign w:val="bottom"/>
            <w:hideMark/>
          </w:tcPr>
          <w:p w14:paraId="3927AA6B" w14:textId="1F331518"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€6,052.06</w:t>
            </w:r>
          </w:p>
        </w:tc>
        <w:tc>
          <w:tcPr>
            <w:tcW w:w="1450" w:type="dxa"/>
            <w:tcBorders>
              <w:top w:val="nil"/>
              <w:left w:val="nil"/>
              <w:bottom w:val="nil"/>
              <w:right w:val="nil"/>
            </w:tcBorders>
            <w:shd w:val="clear" w:color="auto" w:fill="F2F2F2" w:themeFill="background1" w:themeFillShade="F2"/>
            <w:noWrap/>
            <w:vAlign w:val="bottom"/>
            <w:hideMark/>
          </w:tcPr>
          <w:p w14:paraId="41C193B4" w14:textId="05BCF3F1"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€0.53</w:t>
            </w:r>
          </w:p>
        </w:tc>
        <w:tc>
          <w:tcPr>
            <w:tcW w:w="2380" w:type="dxa"/>
            <w:tcBorders>
              <w:top w:val="nil"/>
              <w:left w:val="nil"/>
              <w:bottom w:val="nil"/>
              <w:right w:val="nil"/>
            </w:tcBorders>
            <w:shd w:val="clear" w:color="auto" w:fill="F2F2F2" w:themeFill="background1" w:themeFillShade="F2"/>
            <w:noWrap/>
            <w:vAlign w:val="bottom"/>
            <w:hideMark/>
          </w:tcPr>
          <w:p w14:paraId="3A4C2926" w14:textId="0957ED4C"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€6,055.88</w:t>
            </w:r>
          </w:p>
        </w:tc>
        <w:tc>
          <w:tcPr>
            <w:tcW w:w="1450" w:type="dxa"/>
            <w:tcBorders>
              <w:top w:val="nil"/>
              <w:left w:val="nil"/>
              <w:bottom w:val="nil"/>
              <w:right w:val="nil"/>
            </w:tcBorders>
            <w:shd w:val="clear" w:color="auto" w:fill="F2F2F2" w:themeFill="background1" w:themeFillShade="F2"/>
            <w:noWrap/>
            <w:vAlign w:val="bottom"/>
            <w:hideMark/>
          </w:tcPr>
          <w:p w14:paraId="16D35898" w14:textId="0D371FD4" w:rsidR="00AA29F6" w:rsidRPr="00005999" w:rsidRDefault="00AA29F6" w:rsidP="00AA29F6">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€0.53</w:t>
            </w:r>
          </w:p>
        </w:tc>
        <w:tc>
          <w:tcPr>
            <w:tcW w:w="2654" w:type="dxa"/>
            <w:tcBorders>
              <w:top w:val="nil"/>
              <w:left w:val="nil"/>
              <w:bottom w:val="nil"/>
              <w:right w:val="nil"/>
            </w:tcBorders>
            <w:shd w:val="clear" w:color="auto" w:fill="F2F2F2" w:themeFill="background1" w:themeFillShade="F2"/>
            <w:noWrap/>
            <w:vAlign w:val="bottom"/>
            <w:hideMark/>
          </w:tcPr>
          <w:p w14:paraId="44FA8520" w14:textId="794F40B3" w:rsidR="00AA29F6" w:rsidRPr="00005999" w:rsidRDefault="004170C3" w:rsidP="00AA29F6">
            <w:pPr>
              <w:jc w:val="right"/>
              <w:rPr>
                <w:rFonts w:ascii="Aptos Narrow" w:eastAsia="Times New Roman" w:hAnsi="Aptos Narrow" w:cs="Times New Roman"/>
                <w:noProof/>
                <w:color w:val="000000"/>
                <w:sz w:val="22"/>
                <w:lang w:val="en-IE" w:eastAsia="en-IE"/>
              </w:rPr>
            </w:pPr>
            <w:r>
              <w:rPr>
                <w:noProof/>
              </w:rPr>
              <w:t xml:space="preserve"> </w:t>
            </w:r>
            <w:r w:rsidRPr="004170C3">
              <w:rPr>
                <w:rFonts w:ascii="Aptos Narrow" w:hAnsi="Aptos Narrow"/>
                <w:noProof/>
                <w:color w:val="000000"/>
                <w:sz w:val="22"/>
              </w:rPr>
              <w:t>€32,711.96</w:t>
            </w:r>
          </w:p>
        </w:tc>
      </w:tr>
      <w:tr w:rsidR="0079102D" w:rsidRPr="00005999" w14:paraId="1ADE828B" w14:textId="77777777" w:rsidTr="0048557B">
        <w:trPr>
          <w:trHeight w:val="271"/>
        </w:trPr>
        <w:tc>
          <w:tcPr>
            <w:tcW w:w="2691" w:type="dxa"/>
            <w:tcBorders>
              <w:top w:val="nil"/>
              <w:left w:val="nil"/>
              <w:bottom w:val="nil"/>
              <w:right w:val="nil"/>
            </w:tcBorders>
            <w:shd w:val="clear" w:color="auto" w:fill="F2F2F2" w:themeFill="background1" w:themeFillShade="F2"/>
            <w:noWrap/>
            <w:vAlign w:val="bottom"/>
            <w:hideMark/>
          </w:tcPr>
          <w:p w14:paraId="699DC5BC" w14:textId="77777777" w:rsidR="00005999" w:rsidRPr="00005999" w:rsidRDefault="00005999" w:rsidP="00005999">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Total benefits</w:t>
            </w:r>
          </w:p>
        </w:tc>
        <w:tc>
          <w:tcPr>
            <w:tcW w:w="1450" w:type="dxa"/>
            <w:tcBorders>
              <w:top w:val="nil"/>
              <w:left w:val="nil"/>
              <w:bottom w:val="nil"/>
              <w:right w:val="nil"/>
            </w:tcBorders>
            <w:shd w:val="clear" w:color="auto" w:fill="F2F2F2" w:themeFill="background1" w:themeFillShade="F2"/>
            <w:noWrap/>
            <w:vAlign w:val="bottom"/>
            <w:hideMark/>
          </w:tcPr>
          <w:p w14:paraId="64B79AF5"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€240.00</w:t>
            </w:r>
          </w:p>
        </w:tc>
        <w:tc>
          <w:tcPr>
            <w:tcW w:w="2380" w:type="dxa"/>
            <w:tcBorders>
              <w:top w:val="nil"/>
              <w:left w:val="nil"/>
              <w:bottom w:val="nil"/>
              <w:right w:val="nil"/>
            </w:tcBorders>
            <w:shd w:val="clear" w:color="auto" w:fill="F2F2F2" w:themeFill="background1" w:themeFillShade="F2"/>
            <w:noWrap/>
            <w:vAlign w:val="bottom"/>
            <w:hideMark/>
          </w:tcPr>
          <w:p w14:paraId="72C084CA" w14:textId="10232D60" w:rsidR="00005999" w:rsidRPr="00005999" w:rsidRDefault="0069040A" w:rsidP="00005999">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w:t>
            </w:r>
            <w:r w:rsidR="00A47733" w:rsidRPr="00A47733">
              <w:rPr>
                <w:rFonts w:ascii="Aptos Narrow" w:eastAsia="Times New Roman" w:hAnsi="Aptos Narrow" w:cs="Times New Roman"/>
                <w:noProof/>
                <w:color w:val="000000"/>
                <w:sz w:val="22"/>
                <w:lang w:val="en-IE" w:eastAsia="en-IE"/>
              </w:rPr>
              <w:t>14,745.15</w:t>
            </w:r>
          </w:p>
        </w:tc>
        <w:tc>
          <w:tcPr>
            <w:tcW w:w="1450" w:type="dxa"/>
            <w:tcBorders>
              <w:top w:val="nil"/>
              <w:left w:val="nil"/>
              <w:bottom w:val="nil"/>
              <w:right w:val="nil"/>
            </w:tcBorders>
            <w:shd w:val="clear" w:color="auto" w:fill="F2F2F2" w:themeFill="background1" w:themeFillShade="F2"/>
            <w:noWrap/>
            <w:vAlign w:val="bottom"/>
            <w:hideMark/>
          </w:tcPr>
          <w:p w14:paraId="5EB326C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€240.00</w:t>
            </w:r>
          </w:p>
        </w:tc>
        <w:tc>
          <w:tcPr>
            <w:tcW w:w="2380" w:type="dxa"/>
            <w:tcBorders>
              <w:top w:val="nil"/>
              <w:left w:val="nil"/>
              <w:bottom w:val="nil"/>
              <w:right w:val="nil"/>
            </w:tcBorders>
            <w:shd w:val="clear" w:color="auto" w:fill="F2F2F2" w:themeFill="background1" w:themeFillShade="F2"/>
            <w:noWrap/>
            <w:vAlign w:val="bottom"/>
            <w:hideMark/>
          </w:tcPr>
          <w:p w14:paraId="19E381A1" w14:textId="0A16E71B" w:rsidR="0019312F" w:rsidRPr="00005999" w:rsidRDefault="0069040A" w:rsidP="00005999">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w:t>
            </w:r>
            <w:r w:rsidR="0019312F">
              <w:rPr>
                <w:rFonts w:ascii="Aptos Narrow" w:eastAsia="Times New Roman" w:hAnsi="Aptos Narrow" w:cs="Times New Roman"/>
                <w:noProof/>
                <w:color w:val="000000"/>
                <w:sz w:val="22"/>
                <w:lang w:val="en-IE" w:eastAsia="en-IE"/>
              </w:rPr>
              <w:t>14,745.15</w:t>
            </w:r>
          </w:p>
        </w:tc>
        <w:tc>
          <w:tcPr>
            <w:tcW w:w="1450" w:type="dxa"/>
            <w:tcBorders>
              <w:top w:val="nil"/>
              <w:left w:val="nil"/>
              <w:bottom w:val="nil"/>
              <w:right w:val="nil"/>
            </w:tcBorders>
            <w:shd w:val="clear" w:color="auto" w:fill="F2F2F2" w:themeFill="background1" w:themeFillShade="F2"/>
            <w:noWrap/>
            <w:vAlign w:val="bottom"/>
            <w:hideMark/>
          </w:tcPr>
          <w:p w14:paraId="47F0AF17" w14:textId="7777777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€240.00</w:t>
            </w:r>
          </w:p>
        </w:tc>
        <w:tc>
          <w:tcPr>
            <w:tcW w:w="2654" w:type="dxa"/>
            <w:tcBorders>
              <w:top w:val="nil"/>
              <w:left w:val="nil"/>
              <w:bottom w:val="nil"/>
              <w:right w:val="nil"/>
            </w:tcBorders>
            <w:shd w:val="clear" w:color="auto" w:fill="F2F2F2" w:themeFill="background1" w:themeFillShade="F2"/>
            <w:noWrap/>
            <w:vAlign w:val="bottom"/>
            <w:hideMark/>
          </w:tcPr>
          <w:p w14:paraId="7779E8A2" w14:textId="69F23267" w:rsidR="00005999" w:rsidRPr="00005999" w:rsidRDefault="00005999" w:rsidP="00005999">
            <w:pPr>
              <w:jc w:val="right"/>
              <w:rPr>
                <w:rFonts w:ascii="Aptos Narrow" w:eastAsia="Times New Roman" w:hAnsi="Aptos Narrow" w:cs="Times New Roman"/>
                <w:noProof/>
                <w:color w:val="000000"/>
                <w:sz w:val="22"/>
                <w:lang w:val="en-IE" w:eastAsia="en-IE"/>
              </w:rPr>
            </w:pPr>
            <w:r w:rsidRPr="00005999">
              <w:rPr>
                <w:rFonts w:ascii="Aptos Narrow" w:eastAsia="Times New Roman" w:hAnsi="Aptos Narrow" w:cs="Times New Roman"/>
                <w:noProof/>
                <w:color w:val="000000"/>
                <w:sz w:val="22"/>
                <w:lang w:val="en-IE" w:eastAsia="en-IE"/>
              </w:rPr>
              <w:t>€2</w:t>
            </w:r>
            <w:r w:rsidR="001D310A">
              <w:rPr>
                <w:rFonts w:ascii="Aptos Narrow" w:eastAsia="Times New Roman" w:hAnsi="Aptos Narrow" w:cs="Times New Roman"/>
                <w:noProof/>
                <w:color w:val="000000"/>
                <w:sz w:val="22"/>
                <w:lang w:val="en-IE" w:eastAsia="en-IE"/>
              </w:rPr>
              <w:t>4</w:t>
            </w:r>
            <w:r w:rsidRPr="00005999">
              <w:rPr>
                <w:rFonts w:ascii="Aptos Narrow" w:eastAsia="Times New Roman" w:hAnsi="Aptos Narrow" w:cs="Times New Roman"/>
                <w:noProof/>
                <w:color w:val="000000"/>
                <w:sz w:val="22"/>
                <w:lang w:val="en-IE" w:eastAsia="en-IE"/>
              </w:rPr>
              <w:t>,</w:t>
            </w:r>
            <w:r w:rsidR="001D310A">
              <w:rPr>
                <w:rFonts w:ascii="Aptos Narrow" w:eastAsia="Times New Roman" w:hAnsi="Aptos Narrow" w:cs="Times New Roman"/>
                <w:noProof/>
                <w:color w:val="000000"/>
                <w:sz w:val="22"/>
                <w:lang w:val="en-IE" w:eastAsia="en-IE"/>
              </w:rPr>
              <w:t>464</w:t>
            </w:r>
            <w:r w:rsidRPr="00005999">
              <w:rPr>
                <w:rFonts w:ascii="Aptos Narrow" w:eastAsia="Times New Roman" w:hAnsi="Aptos Narrow" w:cs="Times New Roman"/>
                <w:noProof/>
                <w:color w:val="000000"/>
                <w:sz w:val="22"/>
                <w:lang w:val="en-IE" w:eastAsia="en-IE"/>
              </w:rPr>
              <w:t>.</w:t>
            </w:r>
            <w:r w:rsidR="001D310A">
              <w:rPr>
                <w:rFonts w:ascii="Aptos Narrow" w:eastAsia="Times New Roman" w:hAnsi="Aptos Narrow" w:cs="Times New Roman"/>
                <w:noProof/>
                <w:color w:val="000000"/>
                <w:sz w:val="22"/>
                <w:lang w:val="en-IE" w:eastAsia="en-IE"/>
              </w:rPr>
              <w:t>80</w:t>
            </w:r>
          </w:p>
        </w:tc>
      </w:tr>
      <w:tr w:rsidR="0079102D" w:rsidRPr="00005999" w14:paraId="27B27035" w14:textId="77777777" w:rsidTr="0048557B">
        <w:trPr>
          <w:trHeight w:val="286"/>
        </w:trPr>
        <w:tc>
          <w:tcPr>
            <w:tcW w:w="2691" w:type="dxa"/>
            <w:tcBorders>
              <w:top w:val="nil"/>
              <w:left w:val="nil"/>
              <w:bottom w:val="nil"/>
              <w:right w:val="nil"/>
            </w:tcBorders>
            <w:shd w:val="clear" w:color="auto" w:fill="F2F2F2" w:themeFill="background1" w:themeFillShade="F2"/>
            <w:noWrap/>
            <w:vAlign w:val="bottom"/>
            <w:hideMark/>
          </w:tcPr>
          <w:p w14:paraId="6542D35A" w14:textId="77777777" w:rsidR="00B043E8" w:rsidRPr="00005999" w:rsidRDefault="00B043E8" w:rsidP="00B043E8">
            <w:pPr>
              <w:jc w:val="left"/>
              <w:rPr>
                <w:rFonts w:ascii="Aptos Narrow" w:eastAsia="Times New Roman" w:hAnsi="Aptos Narrow" w:cs="Times New Roman"/>
                <w:b/>
                <w:bCs/>
                <w:noProof/>
                <w:color w:val="000000"/>
                <w:sz w:val="22"/>
                <w:lang w:val="en-IE" w:eastAsia="en-IE"/>
              </w:rPr>
            </w:pPr>
            <w:r w:rsidRPr="00005999">
              <w:rPr>
                <w:rFonts w:ascii="Aptos Narrow" w:eastAsia="Times New Roman" w:hAnsi="Aptos Narrow" w:cs="Times New Roman"/>
                <w:b/>
                <w:bCs/>
                <w:noProof/>
                <w:color w:val="000000"/>
                <w:sz w:val="22"/>
                <w:lang w:val="en-IE" w:eastAsia="en-IE"/>
              </w:rPr>
              <w:t>Net benefits</w:t>
            </w:r>
          </w:p>
        </w:tc>
        <w:tc>
          <w:tcPr>
            <w:tcW w:w="1450" w:type="dxa"/>
            <w:tcBorders>
              <w:top w:val="nil"/>
              <w:left w:val="nil"/>
              <w:bottom w:val="nil"/>
              <w:right w:val="nil"/>
            </w:tcBorders>
            <w:shd w:val="clear" w:color="auto" w:fill="F2F2F2" w:themeFill="background1" w:themeFillShade="F2"/>
            <w:noWrap/>
            <w:vAlign w:val="bottom"/>
            <w:hideMark/>
          </w:tcPr>
          <w:p w14:paraId="4FB32120" w14:textId="14446008" w:rsidR="00B043E8" w:rsidRPr="00005999" w:rsidRDefault="00B043E8" w:rsidP="00B043E8">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€239.20</w:t>
            </w:r>
          </w:p>
        </w:tc>
        <w:tc>
          <w:tcPr>
            <w:tcW w:w="2380" w:type="dxa"/>
            <w:tcBorders>
              <w:top w:val="nil"/>
              <w:left w:val="nil"/>
              <w:bottom w:val="nil"/>
              <w:right w:val="nil"/>
            </w:tcBorders>
            <w:shd w:val="clear" w:color="auto" w:fill="F2F2F2" w:themeFill="background1" w:themeFillShade="F2"/>
            <w:noWrap/>
            <w:vAlign w:val="bottom"/>
            <w:hideMark/>
          </w:tcPr>
          <w:p w14:paraId="260AA503" w14:textId="1E24DB97" w:rsidR="00B043E8" w:rsidRPr="00165328" w:rsidRDefault="00B043E8" w:rsidP="00B043E8">
            <w:pPr>
              <w:jc w:val="right"/>
              <w:rPr>
                <w:rFonts w:ascii="Aptos Narrow" w:hAnsi="Aptos Narrow"/>
                <w:b/>
                <w:noProof/>
                <w:color w:val="000000"/>
                <w:sz w:val="22"/>
                <w:lang w:val="en-IE"/>
              </w:rPr>
            </w:pPr>
            <w:r>
              <w:rPr>
                <w:rFonts w:ascii="Aptos Narrow" w:hAnsi="Aptos Narrow"/>
                <w:b/>
                <w:bCs/>
                <w:noProof/>
                <w:color w:val="000000"/>
                <w:sz w:val="22"/>
              </w:rPr>
              <w:t>€8,693.08</w:t>
            </w:r>
          </w:p>
        </w:tc>
        <w:tc>
          <w:tcPr>
            <w:tcW w:w="1450" w:type="dxa"/>
            <w:tcBorders>
              <w:top w:val="nil"/>
              <w:left w:val="nil"/>
              <w:bottom w:val="nil"/>
              <w:right w:val="nil"/>
            </w:tcBorders>
            <w:shd w:val="clear" w:color="auto" w:fill="F2F2F2" w:themeFill="background1" w:themeFillShade="F2"/>
            <w:noWrap/>
            <w:vAlign w:val="bottom"/>
            <w:hideMark/>
          </w:tcPr>
          <w:p w14:paraId="01693C82" w14:textId="0708EAAE" w:rsidR="00B043E8" w:rsidRPr="00005999" w:rsidRDefault="00B043E8" w:rsidP="00B043E8">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€239.47</w:t>
            </w:r>
          </w:p>
        </w:tc>
        <w:tc>
          <w:tcPr>
            <w:tcW w:w="2380" w:type="dxa"/>
            <w:tcBorders>
              <w:top w:val="nil"/>
              <w:left w:val="nil"/>
              <w:bottom w:val="nil"/>
              <w:right w:val="nil"/>
            </w:tcBorders>
            <w:shd w:val="clear" w:color="auto" w:fill="F2F2F2" w:themeFill="background1" w:themeFillShade="F2"/>
            <w:noWrap/>
            <w:vAlign w:val="bottom"/>
            <w:hideMark/>
          </w:tcPr>
          <w:p w14:paraId="3D430797" w14:textId="7C1FB8E0" w:rsidR="00B043E8" w:rsidRPr="00165328" w:rsidRDefault="00B043E8" w:rsidP="00B043E8">
            <w:pPr>
              <w:jc w:val="right"/>
              <w:rPr>
                <w:rFonts w:ascii="Aptos Narrow" w:hAnsi="Aptos Narrow"/>
                <w:b/>
                <w:noProof/>
                <w:color w:val="000000"/>
                <w:sz w:val="22"/>
                <w:lang w:val="en-IE"/>
              </w:rPr>
            </w:pPr>
            <w:r>
              <w:rPr>
                <w:rFonts w:ascii="Aptos Narrow" w:hAnsi="Aptos Narrow"/>
                <w:b/>
                <w:bCs/>
                <w:noProof/>
                <w:color w:val="000000"/>
                <w:sz w:val="22"/>
              </w:rPr>
              <w:t>€8,689.27</w:t>
            </w:r>
          </w:p>
        </w:tc>
        <w:tc>
          <w:tcPr>
            <w:tcW w:w="1450" w:type="dxa"/>
            <w:tcBorders>
              <w:top w:val="nil"/>
              <w:left w:val="nil"/>
              <w:bottom w:val="nil"/>
              <w:right w:val="nil"/>
            </w:tcBorders>
            <w:shd w:val="clear" w:color="auto" w:fill="F2F2F2" w:themeFill="background1" w:themeFillShade="F2"/>
            <w:noWrap/>
            <w:vAlign w:val="bottom"/>
            <w:hideMark/>
          </w:tcPr>
          <w:p w14:paraId="4F8706D2" w14:textId="680454E5" w:rsidR="00B043E8" w:rsidRPr="00005999" w:rsidRDefault="00B043E8" w:rsidP="00B043E8">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€239.47</w:t>
            </w:r>
          </w:p>
        </w:tc>
        <w:tc>
          <w:tcPr>
            <w:tcW w:w="2654" w:type="dxa"/>
            <w:tcBorders>
              <w:top w:val="nil"/>
              <w:left w:val="nil"/>
              <w:bottom w:val="nil"/>
              <w:right w:val="nil"/>
            </w:tcBorders>
            <w:shd w:val="clear" w:color="auto" w:fill="F2F2F2" w:themeFill="background1" w:themeFillShade="F2"/>
            <w:noWrap/>
            <w:vAlign w:val="bottom"/>
            <w:hideMark/>
          </w:tcPr>
          <w:p w14:paraId="0A1D78DD" w14:textId="2E5E2522" w:rsidR="00B043E8" w:rsidRPr="00165328" w:rsidRDefault="004170C3" w:rsidP="00B043E8">
            <w:pPr>
              <w:jc w:val="right"/>
              <w:rPr>
                <w:rFonts w:ascii="Aptos Narrow" w:hAnsi="Aptos Narrow"/>
                <w:b/>
                <w:noProof/>
                <w:color w:val="000000"/>
                <w:sz w:val="22"/>
                <w:lang w:val="en-IE"/>
              </w:rPr>
            </w:pPr>
            <w:r>
              <w:rPr>
                <w:noProof/>
              </w:rPr>
              <w:t xml:space="preserve"> </w:t>
            </w:r>
            <w:r w:rsidRPr="004170C3">
              <w:rPr>
                <w:rFonts w:ascii="Aptos Narrow" w:hAnsi="Aptos Narrow"/>
                <w:b/>
                <w:bCs/>
                <w:noProof/>
                <w:color w:val="000000"/>
                <w:sz w:val="22"/>
              </w:rPr>
              <w:t>-€8,247.16</w:t>
            </w:r>
          </w:p>
        </w:tc>
      </w:tr>
    </w:tbl>
    <w:p w14:paraId="4DE05922" w14:textId="77777777" w:rsidR="0076272F" w:rsidRDefault="0076272F" w:rsidP="3C1B0927">
      <w:pPr>
        <w:spacing w:before="240" w:after="120"/>
        <w:rPr>
          <w:rFonts w:eastAsia="Times New Roman"/>
          <w:i/>
          <w:iCs/>
          <w:noProof/>
          <w:sz w:val="18"/>
          <w:szCs w:val="18"/>
        </w:rPr>
        <w:sectPr w:rsidR="0076272F" w:rsidSect="00BB5F01">
          <w:headerReference w:type="even" r:id="rId42"/>
          <w:headerReference w:type="default" r:id="rId43"/>
          <w:footerReference w:type="default" r:id="rId44"/>
          <w:headerReference w:type="first" r:id="rId45"/>
          <w:pgSz w:w="16838" w:h="11906" w:orient="landscape"/>
          <w:pgMar w:top="1440" w:right="1440" w:bottom="1440" w:left="1440" w:header="708" w:footer="708" w:gutter="0"/>
          <w:cols w:space="708"/>
          <w:docGrid w:linePitch="360"/>
        </w:sectPr>
      </w:pPr>
    </w:p>
    <w:p w14:paraId="53FA8800" w14:textId="098E80E8" w:rsidR="00530FC9" w:rsidRDefault="2186B542" w:rsidP="3C1B0927">
      <w:pPr>
        <w:spacing w:before="240" w:after="120"/>
        <w:rPr>
          <w:rFonts w:eastAsia="Times New Roman"/>
          <w:i/>
          <w:iCs/>
          <w:noProof/>
          <w:sz w:val="18"/>
          <w:szCs w:val="18"/>
        </w:rPr>
      </w:pPr>
      <w:r w:rsidRPr="3C1B0927">
        <w:rPr>
          <w:rFonts w:eastAsia="Times New Roman"/>
          <w:i/>
          <w:iCs/>
          <w:noProof/>
          <w:sz w:val="18"/>
          <w:szCs w:val="18"/>
        </w:rPr>
        <w:lastRenderedPageBreak/>
        <w:t xml:space="preserve">[* </w:t>
      </w:r>
      <w:r w:rsidR="00FF7E3C">
        <w:rPr>
          <w:rFonts w:eastAsia="Times New Roman"/>
          <w:i/>
          <w:iCs/>
          <w:noProof/>
          <w:sz w:val="18"/>
          <w:szCs w:val="18"/>
        </w:rPr>
        <w:t>A q</w:t>
      </w:r>
      <w:r w:rsidRPr="3C1B0927">
        <w:rPr>
          <w:rFonts w:eastAsia="Times New Roman"/>
          <w:i/>
          <w:iCs/>
          <w:noProof/>
          <w:sz w:val="18"/>
          <w:szCs w:val="18"/>
        </w:rPr>
        <w:t xml:space="preserve">uantification of benefits derived from </w:t>
      </w:r>
      <w:r w:rsidR="5EFC4E14" w:rsidRPr="3C1B0927">
        <w:rPr>
          <w:rFonts w:eastAsia="Times New Roman"/>
          <w:i/>
          <w:iCs/>
          <w:noProof/>
          <w:sz w:val="18"/>
          <w:szCs w:val="18"/>
        </w:rPr>
        <w:t xml:space="preserve">Made in EU </w:t>
      </w:r>
      <w:r w:rsidR="14987443" w:rsidRPr="3C1B0927">
        <w:rPr>
          <w:rFonts w:eastAsia="Times New Roman"/>
          <w:i/>
          <w:iCs/>
          <w:noProof/>
          <w:sz w:val="18"/>
          <w:szCs w:val="18"/>
        </w:rPr>
        <w:t xml:space="preserve">provisions for solar and batteries </w:t>
      </w:r>
      <w:r w:rsidR="00975B07">
        <w:rPr>
          <w:rFonts w:eastAsia="Times New Roman"/>
          <w:i/>
          <w:iCs/>
          <w:noProof/>
          <w:sz w:val="18"/>
          <w:szCs w:val="18"/>
        </w:rPr>
        <w:t>sectors</w:t>
      </w:r>
      <w:r w:rsidR="14987443" w:rsidRPr="3C1B0927">
        <w:rPr>
          <w:rFonts w:eastAsia="Times New Roman"/>
          <w:i/>
          <w:iCs/>
          <w:noProof/>
          <w:sz w:val="18"/>
          <w:szCs w:val="18"/>
        </w:rPr>
        <w:t xml:space="preserve"> </w:t>
      </w:r>
      <w:r w:rsidR="6B9458A8" w:rsidRPr="3C1B0927">
        <w:rPr>
          <w:rFonts w:eastAsia="Times New Roman"/>
          <w:i/>
          <w:iCs/>
          <w:noProof/>
          <w:sz w:val="18"/>
          <w:szCs w:val="18"/>
        </w:rPr>
        <w:t>was not possible</w:t>
      </w:r>
      <w:r w:rsidR="004B1CDC" w:rsidRPr="3C1B0927">
        <w:rPr>
          <w:rFonts w:eastAsia="Times New Roman"/>
          <w:i/>
          <w:iCs/>
          <w:noProof/>
          <w:sz w:val="18"/>
          <w:szCs w:val="18"/>
        </w:rPr>
        <w:t>.</w:t>
      </w:r>
      <w:r w:rsidR="003B5BF4">
        <w:rPr>
          <w:rFonts w:eastAsia="Times New Roman"/>
          <w:i/>
          <w:iCs/>
          <w:noProof/>
          <w:sz w:val="18"/>
          <w:szCs w:val="18"/>
        </w:rPr>
        <w:t xml:space="preserve"> </w:t>
      </w:r>
      <w:r w:rsidR="004B1CDC">
        <w:rPr>
          <w:rFonts w:eastAsia="Times New Roman"/>
          <w:i/>
          <w:iCs/>
          <w:noProof/>
          <w:sz w:val="18"/>
          <w:szCs w:val="18"/>
        </w:rPr>
        <w:t>Moreover, adjustment costs on foreign direct investment conditionalities</w:t>
      </w:r>
      <w:r w:rsidR="6B9458A8" w:rsidRPr="3C1B0927">
        <w:rPr>
          <w:rFonts w:eastAsia="Times New Roman"/>
          <w:i/>
          <w:iCs/>
          <w:noProof/>
          <w:sz w:val="18"/>
          <w:szCs w:val="18"/>
        </w:rPr>
        <w:t xml:space="preserve"> </w:t>
      </w:r>
      <w:r w:rsidR="00FF7E3C">
        <w:rPr>
          <w:rFonts w:eastAsia="Times New Roman"/>
          <w:i/>
          <w:iCs/>
          <w:noProof/>
          <w:sz w:val="18"/>
          <w:szCs w:val="18"/>
        </w:rPr>
        <w:t xml:space="preserve">were not </w:t>
      </w:r>
      <w:r w:rsidR="00D87252">
        <w:rPr>
          <w:rFonts w:eastAsia="Times New Roman"/>
          <w:i/>
          <w:iCs/>
          <w:noProof/>
          <w:sz w:val="18"/>
          <w:szCs w:val="18"/>
        </w:rPr>
        <w:t>possible either</w:t>
      </w:r>
      <w:r w:rsidR="00CB200C">
        <w:rPr>
          <w:rFonts w:eastAsia="Times New Roman"/>
          <w:i/>
          <w:iCs/>
          <w:noProof/>
          <w:sz w:val="18"/>
          <w:szCs w:val="18"/>
        </w:rPr>
        <w:t xml:space="preserve">. </w:t>
      </w:r>
      <w:r w:rsidR="76745A4A" w:rsidRPr="3C1B0927">
        <w:rPr>
          <w:rFonts w:eastAsia="Times New Roman"/>
          <w:i/>
          <w:iCs/>
          <w:noProof/>
          <w:sz w:val="18"/>
          <w:szCs w:val="18"/>
        </w:rPr>
        <w:t>Therefore,</w:t>
      </w:r>
      <w:r w:rsidR="6B9458A8" w:rsidRPr="3C1B0927">
        <w:rPr>
          <w:rFonts w:eastAsia="Times New Roman"/>
          <w:i/>
          <w:iCs/>
          <w:noProof/>
          <w:sz w:val="18"/>
          <w:szCs w:val="18"/>
        </w:rPr>
        <w:t xml:space="preserve"> a comparison of costs and benefits </w:t>
      </w:r>
      <w:r w:rsidR="4AE0F411" w:rsidRPr="3C1B0927">
        <w:rPr>
          <w:rFonts w:eastAsia="Times New Roman"/>
          <w:i/>
          <w:iCs/>
          <w:noProof/>
          <w:sz w:val="18"/>
          <w:szCs w:val="18"/>
        </w:rPr>
        <w:t>is only partially reflected.</w:t>
      </w:r>
      <w:r w:rsidR="00C05363">
        <w:rPr>
          <w:rFonts w:eastAsia="Times New Roman"/>
          <w:i/>
          <w:iCs/>
          <w:noProof/>
          <w:sz w:val="18"/>
          <w:szCs w:val="18"/>
        </w:rPr>
        <w:t xml:space="preserve"> LEAD_EII costs/benefits are reflected for 2030 compared to baseline year</w:t>
      </w:r>
      <w:r w:rsidR="00530FC9">
        <w:rPr>
          <w:rFonts w:eastAsia="Times New Roman"/>
          <w:i/>
          <w:iCs/>
          <w:noProof/>
          <w:sz w:val="18"/>
          <w:szCs w:val="18"/>
        </w:rPr>
        <w:t xml:space="preserve">. </w:t>
      </w:r>
    </w:p>
    <w:p w14:paraId="23B6A4A5" w14:textId="77777777" w:rsidR="00972A47" w:rsidRDefault="00167344" w:rsidP="3C1B0927">
      <w:pPr>
        <w:spacing w:before="240" w:after="120"/>
        <w:rPr>
          <w:rFonts w:eastAsia="Times New Roman"/>
          <w:i/>
          <w:iCs/>
          <w:noProof/>
          <w:sz w:val="18"/>
          <w:szCs w:val="18"/>
        </w:rPr>
      </w:pPr>
      <w:r>
        <w:rPr>
          <w:rFonts w:eastAsia="Times New Roman"/>
          <w:i/>
          <w:iCs/>
          <w:noProof/>
          <w:sz w:val="18"/>
          <w:szCs w:val="18"/>
        </w:rPr>
        <w:t xml:space="preserve">** PO1 and PO2 only reflect </w:t>
      </w:r>
      <w:r w:rsidR="006210FA">
        <w:rPr>
          <w:rFonts w:eastAsia="Times New Roman"/>
          <w:i/>
          <w:iCs/>
          <w:noProof/>
          <w:sz w:val="18"/>
          <w:szCs w:val="18"/>
        </w:rPr>
        <w:t xml:space="preserve">impacts on the shares of the market covered by public procurement in construction </w:t>
      </w:r>
      <w:r w:rsidR="001E6FE7">
        <w:rPr>
          <w:rFonts w:eastAsia="Times New Roman"/>
          <w:i/>
          <w:iCs/>
          <w:noProof/>
          <w:sz w:val="18"/>
          <w:szCs w:val="18"/>
        </w:rPr>
        <w:t>(LEAD_EII_1 and 2,</w:t>
      </w:r>
      <w:r w:rsidR="006210FA">
        <w:rPr>
          <w:rFonts w:eastAsia="Times New Roman"/>
          <w:i/>
          <w:iCs/>
          <w:noProof/>
          <w:sz w:val="18"/>
          <w:szCs w:val="18"/>
        </w:rPr>
        <w:t xml:space="preserve"> in the absence of data of public schemes.</w:t>
      </w:r>
      <w:r w:rsidR="1EB8B67B" w:rsidRPr="3C1B0927">
        <w:rPr>
          <w:rFonts w:eastAsia="Times New Roman"/>
          <w:i/>
          <w:iCs/>
          <w:noProof/>
          <w:sz w:val="18"/>
          <w:szCs w:val="18"/>
        </w:rPr>
        <w:t>]</w:t>
      </w:r>
    </w:p>
    <w:p w14:paraId="6001C6B1" w14:textId="15370BA8" w:rsidR="00285741" w:rsidRPr="009E7A37" w:rsidRDefault="00285741">
      <w:pPr>
        <w:spacing w:before="240" w:after="120"/>
        <w:rPr>
          <w:rFonts w:eastAsia="Times New Roman"/>
          <w:noProof/>
        </w:rPr>
      </w:pPr>
      <w:r w:rsidRPr="000272AD">
        <w:rPr>
          <w:rFonts w:eastAsia="Times New Roman"/>
          <w:b/>
          <w:noProof/>
        </w:rPr>
        <w:t>SO1</w:t>
      </w:r>
      <w:r w:rsidRPr="000272AD">
        <w:rPr>
          <w:rFonts w:eastAsia="Times New Roman"/>
          <w:noProof/>
        </w:rPr>
        <w:t>: PO2 would be more efficient than PO1 as it would start by developing a label for one EII industry first, steel. Compared to other EIIs, steel is a relative</w:t>
      </w:r>
      <w:r w:rsidR="00F7183E">
        <w:rPr>
          <w:rFonts w:eastAsia="Times New Roman"/>
          <w:noProof/>
        </w:rPr>
        <w:t>ly</w:t>
      </w:r>
      <w:r w:rsidRPr="000272AD">
        <w:rPr>
          <w:rFonts w:eastAsia="Times New Roman"/>
          <w:noProof/>
        </w:rPr>
        <w:t xml:space="preserve"> homogenous product, meaning the administrative costs of establishing an accounting methodology and ensure its implementation would be simpler, meeting the objective of supporting lead market policies faster, via a less burdensome process. Furthermore, by reusing most of the information that are collected through the EU ETS and CBAM, it would alleviate the administrative burden of reporting for both companies and authorities. </w:t>
      </w:r>
      <w:r w:rsidRPr="7E177BD5">
        <w:rPr>
          <w:rFonts w:eastAsia="Times New Roman"/>
          <w:noProof/>
        </w:rPr>
        <w:t xml:space="preserve">Key differences between the individual options to design a low-carbon product steel label are presented in Annex 12. </w:t>
      </w:r>
    </w:p>
    <w:p w14:paraId="5BADE589" w14:textId="7F6CAE2E" w:rsidR="00157C03" w:rsidRPr="009E7A37" w:rsidRDefault="5A4D3970" w:rsidP="00195EC6">
      <w:pPr>
        <w:spacing w:after="120"/>
        <w:rPr>
          <w:rFonts w:eastAsia="Times New Roman"/>
          <w:noProof/>
        </w:rPr>
      </w:pPr>
      <w:r w:rsidRPr="3F0F1197">
        <w:rPr>
          <w:rFonts w:eastAsia="Times New Roman"/>
          <w:b/>
          <w:bCs/>
          <w:noProof/>
        </w:rPr>
        <w:t xml:space="preserve">SO2: </w:t>
      </w:r>
      <w:r w:rsidRPr="3F0F1197">
        <w:rPr>
          <w:rFonts w:eastAsia="Times New Roman"/>
          <w:noProof/>
        </w:rPr>
        <w:t>PO3 has been assessed as more costly to society at large (including Member States and European consumers) than PO1 and PO2 to meet the objectives of creating lead markets for EIIs. Costs under PO3 remain larger than PO1</w:t>
      </w:r>
      <w:r w:rsidR="004578AF">
        <w:rPr>
          <w:rFonts w:eastAsia="Times New Roman"/>
          <w:noProof/>
        </w:rPr>
        <w:t xml:space="preserve"> and PO2</w:t>
      </w:r>
      <w:r w:rsidRPr="3F0F1197">
        <w:rPr>
          <w:rFonts w:eastAsia="Times New Roman"/>
          <w:noProof/>
        </w:rPr>
        <w:t xml:space="preserve"> </w:t>
      </w:r>
      <w:r w:rsidR="00C4242D">
        <w:rPr>
          <w:rFonts w:eastAsia="Times New Roman"/>
          <w:noProof/>
        </w:rPr>
        <w:t xml:space="preserve">(which are similar) </w:t>
      </w:r>
      <w:r w:rsidRPr="3F0F1197">
        <w:rPr>
          <w:rFonts w:eastAsia="Times New Roman"/>
          <w:noProof/>
        </w:rPr>
        <w:t xml:space="preserve">in particular in relation to the ambitious </w:t>
      </w:r>
      <w:r w:rsidR="403A175D" w:rsidRPr="3F0F1197">
        <w:rPr>
          <w:rFonts w:eastAsia="Times New Roman"/>
          <w:noProof/>
        </w:rPr>
        <w:t>M</w:t>
      </w:r>
      <w:r w:rsidRPr="3F0F1197">
        <w:rPr>
          <w:rFonts w:eastAsia="Times New Roman"/>
          <w:noProof/>
        </w:rPr>
        <w:t>ade in E</w:t>
      </w:r>
      <w:r w:rsidR="403A175D" w:rsidRPr="3F0F1197">
        <w:rPr>
          <w:rFonts w:eastAsia="Times New Roman"/>
          <w:noProof/>
        </w:rPr>
        <w:t>U</w:t>
      </w:r>
      <w:r w:rsidRPr="3F0F1197">
        <w:rPr>
          <w:rFonts w:eastAsia="Times New Roman"/>
          <w:noProof/>
        </w:rPr>
        <w:t xml:space="preserve"> provisions for steel, cement and aluminium and their impacts on downstream sectors. </w:t>
      </w:r>
      <w:r w:rsidR="4957C78A" w:rsidRPr="3F0F1197">
        <w:rPr>
          <w:rFonts w:eastAsia="Times New Roman"/>
          <w:noProof/>
        </w:rPr>
        <w:t xml:space="preserve">Based on policy and regulatory developments, </w:t>
      </w:r>
      <w:r w:rsidR="6796ECE9" w:rsidRPr="3F0F1197">
        <w:rPr>
          <w:rFonts w:eastAsia="Times New Roman"/>
          <w:noProof/>
        </w:rPr>
        <w:t>such a</w:t>
      </w:r>
      <w:r w:rsidR="41B047B8" w:rsidRPr="3F0F1197">
        <w:rPr>
          <w:rFonts w:eastAsia="Times New Roman"/>
          <w:noProof/>
        </w:rPr>
        <w:t>s</w:t>
      </w:r>
      <w:r w:rsidR="6796ECE9" w:rsidRPr="3F0F1197">
        <w:rPr>
          <w:rFonts w:eastAsia="Times New Roman"/>
          <w:noProof/>
        </w:rPr>
        <w:t xml:space="preserve"> the newly proposed</w:t>
      </w:r>
      <w:r w:rsidR="4957C78A" w:rsidRPr="3F0F1197">
        <w:rPr>
          <w:rFonts w:eastAsia="Times New Roman"/>
          <w:noProof/>
        </w:rPr>
        <w:t xml:space="preserve"> </w:t>
      </w:r>
      <w:r w:rsidR="5FA26713" w:rsidRPr="3F0F1197">
        <w:rPr>
          <w:rFonts w:eastAsia="Times New Roman"/>
          <w:noProof/>
        </w:rPr>
        <w:t xml:space="preserve">trade measure for the </w:t>
      </w:r>
      <w:r w:rsidR="41B047B8" w:rsidRPr="3F0F1197">
        <w:rPr>
          <w:rFonts w:eastAsia="Times New Roman"/>
          <w:noProof/>
        </w:rPr>
        <w:t xml:space="preserve">EU </w:t>
      </w:r>
      <w:r w:rsidR="5FA26713" w:rsidRPr="3F0F1197">
        <w:rPr>
          <w:rFonts w:eastAsia="Times New Roman"/>
          <w:noProof/>
        </w:rPr>
        <w:t xml:space="preserve">steel sector, </w:t>
      </w:r>
      <w:r w:rsidR="4957C78A" w:rsidRPr="3F0F1197">
        <w:rPr>
          <w:rFonts w:eastAsia="Times New Roman"/>
          <w:noProof/>
        </w:rPr>
        <w:t>the level of ambition</w:t>
      </w:r>
      <w:r w:rsidR="5FA26713" w:rsidRPr="3F0F1197">
        <w:rPr>
          <w:rFonts w:eastAsia="Times New Roman"/>
          <w:noProof/>
        </w:rPr>
        <w:t xml:space="preserve"> of the Made in EU </w:t>
      </w:r>
      <w:r w:rsidR="41B047B8" w:rsidRPr="3F0F1197">
        <w:rPr>
          <w:rFonts w:eastAsia="Times New Roman"/>
          <w:noProof/>
        </w:rPr>
        <w:t>provisions</w:t>
      </w:r>
      <w:r w:rsidR="5FA26713" w:rsidRPr="3F0F1197">
        <w:rPr>
          <w:rFonts w:eastAsia="Times New Roman"/>
          <w:noProof/>
        </w:rPr>
        <w:t xml:space="preserve"> could be adjusted to fit </w:t>
      </w:r>
      <w:r w:rsidR="41B047B8" w:rsidRPr="3F0F1197">
        <w:rPr>
          <w:rFonts w:eastAsia="Times New Roman"/>
          <w:noProof/>
        </w:rPr>
        <w:t xml:space="preserve">new </w:t>
      </w:r>
      <w:r w:rsidR="5FA26713" w:rsidRPr="3F0F1197">
        <w:rPr>
          <w:rFonts w:eastAsia="Times New Roman"/>
          <w:noProof/>
        </w:rPr>
        <w:t>market realit</w:t>
      </w:r>
      <w:r w:rsidR="41B047B8" w:rsidRPr="3F0F1197">
        <w:rPr>
          <w:rFonts w:eastAsia="Times New Roman"/>
          <w:noProof/>
        </w:rPr>
        <w:t>ies</w:t>
      </w:r>
      <w:r w:rsidR="5FA26713" w:rsidRPr="3F0F1197">
        <w:rPr>
          <w:rFonts w:eastAsia="Times New Roman"/>
          <w:noProof/>
        </w:rPr>
        <w:t>.</w:t>
      </w:r>
      <w:r w:rsidR="4957C78A" w:rsidRPr="3F0F1197">
        <w:rPr>
          <w:rFonts w:eastAsia="Times New Roman"/>
          <w:noProof/>
        </w:rPr>
        <w:t xml:space="preserve"> </w:t>
      </w:r>
      <w:r w:rsidRPr="3F0F1197">
        <w:rPr>
          <w:rFonts w:eastAsia="Times New Roman"/>
          <w:noProof/>
        </w:rPr>
        <w:t xml:space="preserve">Conversely, it is not possible to fully quantify the positive externalities associated with </w:t>
      </w:r>
      <w:r w:rsidR="744370A5" w:rsidRPr="3F0F1197">
        <w:rPr>
          <w:rFonts w:eastAsia="Times New Roman"/>
          <w:noProof/>
        </w:rPr>
        <w:t xml:space="preserve">long-term </w:t>
      </w:r>
      <w:r w:rsidRPr="3F0F1197">
        <w:rPr>
          <w:rFonts w:eastAsia="Times New Roman"/>
          <w:noProof/>
        </w:rPr>
        <w:t>economic security benefits linked to the promotion of resilient European supply chains in strategic EII industries</w:t>
      </w:r>
      <w:r w:rsidR="003B2580">
        <w:rPr>
          <w:rFonts w:eastAsia="Times New Roman"/>
          <w:noProof/>
        </w:rPr>
        <w:t xml:space="preserve"> introduced in PO2 and PO3</w:t>
      </w:r>
      <w:r w:rsidR="001C0E50">
        <w:rPr>
          <w:rFonts w:eastAsia="Times New Roman"/>
          <w:noProof/>
        </w:rPr>
        <w:t>,</w:t>
      </w:r>
      <w:r w:rsidR="008C7BE2">
        <w:rPr>
          <w:rFonts w:eastAsia="Times New Roman"/>
          <w:noProof/>
        </w:rPr>
        <w:t xml:space="preserve"> </w:t>
      </w:r>
      <w:r w:rsidR="006221F1">
        <w:rPr>
          <w:rFonts w:eastAsia="Times New Roman"/>
          <w:noProof/>
        </w:rPr>
        <w:t xml:space="preserve">notably in relation </w:t>
      </w:r>
      <w:r w:rsidR="001C0E50">
        <w:rPr>
          <w:rFonts w:eastAsia="Times New Roman"/>
          <w:noProof/>
        </w:rPr>
        <w:t>to external shocks</w:t>
      </w:r>
      <w:r w:rsidRPr="3F0F1197">
        <w:rPr>
          <w:rFonts w:eastAsia="Times New Roman"/>
          <w:noProof/>
        </w:rPr>
        <w:t xml:space="preserve">. </w:t>
      </w:r>
      <w:r w:rsidR="00C4242D">
        <w:rPr>
          <w:rFonts w:eastAsia="Times New Roman"/>
          <w:noProof/>
        </w:rPr>
        <w:t>Overall, P</w:t>
      </w:r>
      <w:r w:rsidR="004476DE">
        <w:rPr>
          <w:rFonts w:eastAsia="Times New Roman"/>
          <w:noProof/>
        </w:rPr>
        <w:t xml:space="preserve">O1 and PO2 result in </w:t>
      </w:r>
      <w:r w:rsidR="0053561F">
        <w:rPr>
          <w:rFonts w:eastAsia="Times New Roman"/>
          <w:noProof/>
        </w:rPr>
        <w:t>similar</w:t>
      </w:r>
      <w:r w:rsidR="004476DE">
        <w:rPr>
          <w:rFonts w:eastAsia="Times New Roman"/>
          <w:noProof/>
        </w:rPr>
        <w:t xml:space="preserve"> net benefits</w:t>
      </w:r>
      <w:r w:rsidR="00193535">
        <w:rPr>
          <w:rFonts w:eastAsia="Times New Roman"/>
          <w:noProof/>
        </w:rPr>
        <w:t xml:space="preserve">. </w:t>
      </w:r>
      <w:r w:rsidR="00193535" w:rsidRPr="009E7A37">
        <w:rPr>
          <w:rFonts w:eastAsia="Times New Roman"/>
          <w:noProof/>
        </w:rPr>
        <w:t xml:space="preserve">Some of the costs may also be underestimated under PO2, as the modelling assumptions </w:t>
      </w:r>
      <w:r w:rsidR="00FB1869" w:rsidRPr="009E7A37">
        <w:rPr>
          <w:rFonts w:eastAsia="Times New Roman"/>
          <w:noProof/>
        </w:rPr>
        <w:t xml:space="preserve">do not </w:t>
      </w:r>
      <w:r w:rsidR="00C4242D" w:rsidRPr="009E7A37">
        <w:rPr>
          <w:rFonts w:eastAsia="Times New Roman"/>
          <w:noProof/>
        </w:rPr>
        <w:t xml:space="preserve">reflect potential changes in trade flows deriving </w:t>
      </w:r>
      <w:r w:rsidR="00193535" w:rsidRPr="009E7A37">
        <w:rPr>
          <w:rFonts w:eastAsia="Times New Roman"/>
          <w:noProof/>
        </w:rPr>
        <w:t>from the Made in EU requirements, given the assumed constant supply chain structure for the automotive and construction sectors</w:t>
      </w:r>
      <w:r w:rsidR="00FB1869" w:rsidRPr="009E7A37">
        <w:rPr>
          <w:rFonts w:eastAsia="Times New Roman"/>
          <w:noProof/>
        </w:rPr>
        <w:t xml:space="preserve"> (in absence of low-carbon supply chains)</w:t>
      </w:r>
      <w:r w:rsidR="00193535" w:rsidRPr="009E7A37">
        <w:rPr>
          <w:rFonts w:eastAsia="Times New Roman"/>
          <w:noProof/>
        </w:rPr>
        <w:t>. It is</w:t>
      </w:r>
      <w:r w:rsidR="004476DE" w:rsidRPr="009E7A37">
        <w:rPr>
          <w:rFonts w:eastAsia="Times New Roman"/>
          <w:noProof/>
        </w:rPr>
        <w:t xml:space="preserve"> </w:t>
      </w:r>
      <w:r w:rsidR="00193535" w:rsidRPr="009E7A37">
        <w:rPr>
          <w:rFonts w:eastAsia="Times New Roman"/>
          <w:noProof/>
        </w:rPr>
        <w:t>possible</w:t>
      </w:r>
      <w:r w:rsidR="00C4242D" w:rsidRPr="009E7A37">
        <w:rPr>
          <w:rFonts w:eastAsia="Times New Roman"/>
          <w:noProof/>
        </w:rPr>
        <w:t xml:space="preserve"> to consider </w:t>
      </w:r>
      <w:r w:rsidR="00193535" w:rsidRPr="009E7A37">
        <w:rPr>
          <w:rFonts w:eastAsia="Times New Roman"/>
          <w:noProof/>
        </w:rPr>
        <w:t>that supply chain dynamics would result in downstream sectors preferring to source outside of the EU</w:t>
      </w:r>
      <w:r w:rsidR="00B67370" w:rsidRPr="009E7A37">
        <w:rPr>
          <w:rFonts w:eastAsia="Times New Roman"/>
          <w:noProof/>
        </w:rPr>
        <w:t xml:space="preserve"> while shifting to low-carbon alternatives</w:t>
      </w:r>
      <w:r w:rsidR="00193535" w:rsidRPr="009E7A37">
        <w:rPr>
          <w:rFonts w:eastAsia="Times New Roman"/>
          <w:noProof/>
        </w:rPr>
        <w:t xml:space="preserve">. </w:t>
      </w:r>
      <w:r w:rsidR="00D9768F" w:rsidRPr="009E7A37">
        <w:rPr>
          <w:rFonts w:eastAsia="Times New Roman"/>
          <w:noProof/>
        </w:rPr>
        <w:t>However,</w:t>
      </w:r>
      <w:r w:rsidR="004476DE" w:rsidRPr="009E7A37">
        <w:rPr>
          <w:rFonts w:eastAsia="Times New Roman"/>
          <w:noProof/>
        </w:rPr>
        <w:t xml:space="preserve"> PO2 introduces </w:t>
      </w:r>
      <w:r w:rsidR="0053561F" w:rsidRPr="009E7A37">
        <w:rPr>
          <w:rFonts w:eastAsia="Times New Roman"/>
          <w:noProof/>
        </w:rPr>
        <w:t>a stronger</w:t>
      </w:r>
      <w:r w:rsidR="004476DE" w:rsidRPr="009E7A37">
        <w:rPr>
          <w:rFonts w:eastAsia="Times New Roman"/>
          <w:noProof/>
        </w:rPr>
        <w:t xml:space="preserve"> positive externality of economic security</w:t>
      </w:r>
      <w:r w:rsidR="006221F1" w:rsidRPr="009E7A37">
        <w:rPr>
          <w:rFonts w:eastAsia="Times New Roman"/>
          <w:noProof/>
        </w:rPr>
        <w:t xml:space="preserve"> mentioned before</w:t>
      </w:r>
      <w:r w:rsidR="009E6D3C" w:rsidRPr="009E7A37">
        <w:rPr>
          <w:rFonts w:eastAsia="Times New Roman"/>
          <w:noProof/>
        </w:rPr>
        <w:t>.</w:t>
      </w:r>
      <w:r w:rsidR="004476DE" w:rsidRPr="009E7A37">
        <w:rPr>
          <w:rFonts w:eastAsia="Times New Roman"/>
          <w:noProof/>
        </w:rPr>
        <w:t xml:space="preserve"> </w:t>
      </w:r>
      <w:r w:rsidRPr="009E7A37">
        <w:rPr>
          <w:rFonts w:eastAsia="Times New Roman"/>
          <w:noProof/>
        </w:rPr>
        <w:t>Such benefits include, but are not limited, to job creation</w:t>
      </w:r>
      <w:r w:rsidR="00486DA8" w:rsidRPr="009E7A37">
        <w:rPr>
          <w:rFonts w:eastAsia="Times New Roman"/>
          <w:noProof/>
        </w:rPr>
        <w:t>/retentions</w:t>
      </w:r>
      <w:r w:rsidRPr="009E7A37">
        <w:rPr>
          <w:rFonts w:eastAsia="Times New Roman"/>
          <w:noProof/>
        </w:rPr>
        <w:t xml:space="preserve"> and </w:t>
      </w:r>
      <w:r w:rsidR="74C4582E" w:rsidRPr="009E7A37">
        <w:rPr>
          <w:rFonts w:eastAsia="Times New Roman"/>
          <w:noProof/>
        </w:rPr>
        <w:t>more economic and social stability overall.</w:t>
      </w:r>
      <w:r w:rsidR="00D9768F" w:rsidRPr="009E7A37">
        <w:rPr>
          <w:rFonts w:eastAsia="Times New Roman"/>
          <w:noProof/>
        </w:rPr>
        <w:t xml:space="preserve"> </w:t>
      </w:r>
      <w:r w:rsidR="004476DE" w:rsidRPr="009E7A37">
        <w:rPr>
          <w:rFonts w:eastAsia="Times New Roman"/>
          <w:noProof/>
        </w:rPr>
        <w:t>Moreover</w:t>
      </w:r>
      <w:r w:rsidR="529DFCC0" w:rsidRPr="009E7A37">
        <w:rPr>
          <w:rFonts w:eastAsia="Times New Roman"/>
          <w:noProof/>
        </w:rPr>
        <w:t xml:space="preserve">, no </w:t>
      </w:r>
      <w:r w:rsidR="55EFD710" w:rsidRPr="009E7A37">
        <w:rPr>
          <w:rFonts w:eastAsia="Times New Roman"/>
          <w:noProof/>
        </w:rPr>
        <w:t xml:space="preserve">quantification </w:t>
      </w:r>
      <w:r w:rsidR="40596A32" w:rsidRPr="009E7A37">
        <w:rPr>
          <w:rFonts w:eastAsia="Times New Roman"/>
          <w:noProof/>
        </w:rPr>
        <w:t>was</w:t>
      </w:r>
      <w:r w:rsidR="55EFD710" w:rsidRPr="009E7A37">
        <w:rPr>
          <w:rFonts w:eastAsia="Times New Roman"/>
          <w:noProof/>
        </w:rPr>
        <w:t xml:space="preserve"> </w:t>
      </w:r>
      <w:r w:rsidR="4B62D63F" w:rsidRPr="009E7A37">
        <w:rPr>
          <w:rFonts w:eastAsia="Times New Roman"/>
          <w:noProof/>
        </w:rPr>
        <w:t>possible on</w:t>
      </w:r>
      <w:r w:rsidR="33D2B8BC" w:rsidRPr="009E7A37">
        <w:rPr>
          <w:rFonts w:eastAsia="Times New Roman"/>
          <w:noProof/>
        </w:rPr>
        <w:t xml:space="preserve"> the </w:t>
      </w:r>
      <w:r w:rsidR="40596A32" w:rsidRPr="009E7A37">
        <w:rPr>
          <w:rFonts w:eastAsia="Times New Roman"/>
          <w:noProof/>
        </w:rPr>
        <w:t xml:space="preserve">benefits from </w:t>
      </w:r>
      <w:r w:rsidR="16C21AA8" w:rsidRPr="009E7A37">
        <w:rPr>
          <w:rFonts w:eastAsia="Times New Roman"/>
          <w:noProof/>
        </w:rPr>
        <w:t>Made in EU considerations for solar and battery manufactu</w:t>
      </w:r>
      <w:r w:rsidR="72B46024" w:rsidRPr="009E7A37">
        <w:rPr>
          <w:rFonts w:eastAsia="Times New Roman"/>
          <w:noProof/>
        </w:rPr>
        <w:t>ring supply chains.</w:t>
      </w:r>
      <w:r w:rsidR="394A26FB" w:rsidRPr="009E7A37">
        <w:rPr>
          <w:rFonts w:eastAsia="Times New Roman"/>
          <w:noProof/>
        </w:rPr>
        <w:t xml:space="preserve"> Therefore</w:t>
      </w:r>
      <w:r w:rsidR="74A138AD" w:rsidRPr="009E7A37">
        <w:rPr>
          <w:rFonts w:eastAsia="Times New Roman"/>
          <w:noProof/>
        </w:rPr>
        <w:t>,</w:t>
      </w:r>
      <w:r w:rsidR="7AE7EEC7" w:rsidRPr="009E7A37">
        <w:rPr>
          <w:rFonts w:eastAsia="Times New Roman"/>
          <w:noProof/>
        </w:rPr>
        <w:t xml:space="preserve"> </w:t>
      </w:r>
      <w:r w:rsidR="394A26FB" w:rsidRPr="009E7A37">
        <w:rPr>
          <w:rFonts w:eastAsia="Times New Roman"/>
          <w:noProof/>
        </w:rPr>
        <w:t xml:space="preserve">a full comparison between costs and benefits </w:t>
      </w:r>
      <w:r w:rsidR="0EB33F7F" w:rsidRPr="009E7A37">
        <w:rPr>
          <w:rFonts w:eastAsia="Times New Roman"/>
          <w:noProof/>
        </w:rPr>
        <w:t xml:space="preserve">between the different POs </w:t>
      </w:r>
      <w:r w:rsidR="00D9768F" w:rsidRPr="009E7A37">
        <w:rPr>
          <w:rFonts w:eastAsia="Times New Roman"/>
          <w:noProof/>
        </w:rPr>
        <w:t xml:space="preserve">and sectors included </w:t>
      </w:r>
      <w:r w:rsidR="0EB33F7F" w:rsidRPr="009E7A37">
        <w:rPr>
          <w:rFonts w:eastAsia="Times New Roman"/>
          <w:noProof/>
        </w:rPr>
        <w:t xml:space="preserve">is not possible for </w:t>
      </w:r>
      <w:r w:rsidR="4A082DA7" w:rsidRPr="009E7A37">
        <w:rPr>
          <w:rFonts w:eastAsia="Times New Roman"/>
          <w:noProof/>
        </w:rPr>
        <w:t>all measures.</w:t>
      </w:r>
      <w:r w:rsidR="72B46024" w:rsidRPr="009E7A37">
        <w:rPr>
          <w:rFonts w:eastAsia="Times New Roman"/>
          <w:noProof/>
        </w:rPr>
        <w:t xml:space="preserve"> </w:t>
      </w:r>
      <w:r w:rsidR="7D4C449D" w:rsidRPr="009E7A37">
        <w:rPr>
          <w:rFonts w:eastAsia="Times New Roman"/>
          <w:noProof/>
        </w:rPr>
        <w:t>In addition</w:t>
      </w:r>
      <w:r w:rsidR="00C16BEF" w:rsidRPr="009E7A37">
        <w:rPr>
          <w:rFonts w:eastAsia="Times New Roman"/>
          <w:noProof/>
        </w:rPr>
        <w:t xml:space="preserve">, </w:t>
      </w:r>
      <w:r w:rsidR="3F631959" w:rsidRPr="009E7A37">
        <w:rPr>
          <w:rFonts w:eastAsia="Times New Roman"/>
          <w:noProof/>
        </w:rPr>
        <w:t xml:space="preserve">PO2 will </w:t>
      </w:r>
      <w:r w:rsidR="7D4C449D" w:rsidRPr="009E7A37">
        <w:rPr>
          <w:rFonts w:eastAsia="Times New Roman"/>
          <w:noProof/>
        </w:rPr>
        <w:t xml:space="preserve">reduce the </w:t>
      </w:r>
      <w:r w:rsidR="3F631959" w:rsidRPr="009E7A37">
        <w:rPr>
          <w:rFonts w:eastAsia="Times New Roman"/>
          <w:noProof/>
        </w:rPr>
        <w:t xml:space="preserve">risks </w:t>
      </w:r>
      <w:r w:rsidR="7D4C449D" w:rsidRPr="009E7A37">
        <w:rPr>
          <w:rFonts w:eastAsia="Times New Roman"/>
          <w:noProof/>
        </w:rPr>
        <w:t>of</w:t>
      </w:r>
      <w:r w:rsidR="3F631959" w:rsidRPr="009E7A37">
        <w:rPr>
          <w:rFonts w:eastAsia="Times New Roman"/>
          <w:noProof/>
        </w:rPr>
        <w:t xml:space="preserve"> supply chain disruptions</w:t>
      </w:r>
      <w:r w:rsidR="48D321CF" w:rsidRPr="009E7A37">
        <w:rPr>
          <w:rFonts w:eastAsia="Times New Roman"/>
          <w:noProof/>
        </w:rPr>
        <w:t xml:space="preserve"> </w:t>
      </w:r>
      <w:r w:rsidR="107DA068" w:rsidRPr="009E7A37">
        <w:rPr>
          <w:noProof/>
        </w:rPr>
        <w:t xml:space="preserve">and exposure to high-risk dependencies, </w:t>
      </w:r>
      <w:r w:rsidR="7D4C449D" w:rsidRPr="009E7A37">
        <w:rPr>
          <w:rFonts w:eastAsia="Times New Roman"/>
          <w:noProof/>
        </w:rPr>
        <w:t>or</w:t>
      </w:r>
      <w:r w:rsidR="5B789F7F" w:rsidRPr="009E7A37">
        <w:rPr>
          <w:rFonts w:eastAsia="Times New Roman"/>
          <w:noProof/>
        </w:rPr>
        <w:t xml:space="preserve"> of third countries restricting</w:t>
      </w:r>
      <w:r w:rsidR="22DDE3B3" w:rsidRPr="009E7A37">
        <w:rPr>
          <w:rFonts w:eastAsia="Times New Roman"/>
          <w:noProof/>
        </w:rPr>
        <w:t xml:space="preserve"> </w:t>
      </w:r>
      <w:r w:rsidR="44AA153D" w:rsidRPr="009E7A37">
        <w:rPr>
          <w:rFonts w:eastAsia="Times New Roman"/>
          <w:noProof/>
        </w:rPr>
        <w:t xml:space="preserve">imports of critical materials, leading to a more predictable </w:t>
      </w:r>
      <w:r w:rsidR="255C3A11" w:rsidRPr="009E7A37">
        <w:rPr>
          <w:rFonts w:eastAsia="Times New Roman"/>
          <w:noProof/>
        </w:rPr>
        <w:t>and stable economic and social</w:t>
      </w:r>
      <w:r w:rsidR="44AA153D" w:rsidRPr="009E7A37">
        <w:rPr>
          <w:rFonts w:eastAsia="Times New Roman"/>
          <w:noProof/>
        </w:rPr>
        <w:t xml:space="preserve"> environment</w:t>
      </w:r>
      <w:r w:rsidR="255C3A11" w:rsidRPr="009E7A37">
        <w:rPr>
          <w:rFonts w:eastAsia="Times New Roman"/>
          <w:noProof/>
        </w:rPr>
        <w:t>.</w:t>
      </w:r>
      <w:r w:rsidR="51D98C1B" w:rsidRPr="009E7A37">
        <w:rPr>
          <w:rFonts w:eastAsia="Times New Roman"/>
          <w:noProof/>
        </w:rPr>
        <w:t xml:space="preserve"> While these effects </w:t>
      </w:r>
      <w:r w:rsidR="51D98C1B" w:rsidRPr="009E7A37">
        <w:rPr>
          <w:noProof/>
        </w:rPr>
        <w:t>cannot be reliably quantified, they</w:t>
      </w:r>
      <w:r w:rsidR="107DA068" w:rsidRPr="009E7A37">
        <w:rPr>
          <w:noProof/>
        </w:rPr>
        <w:t xml:space="preserve"> constitute a real and material benefit of policy intervention. </w:t>
      </w:r>
    </w:p>
    <w:p w14:paraId="301B347E" w14:textId="56A28FFC" w:rsidR="0089642E" w:rsidRDefault="50F437E1" w:rsidP="00195EC6">
      <w:pPr>
        <w:spacing w:after="120"/>
        <w:rPr>
          <w:rFonts w:eastAsia="Times New Roman"/>
          <w:noProof/>
        </w:rPr>
      </w:pPr>
      <w:r w:rsidRPr="009E7A37">
        <w:rPr>
          <w:rFonts w:eastAsia="Times New Roman"/>
          <w:noProof/>
        </w:rPr>
        <w:t xml:space="preserve">Predictability, access to </w:t>
      </w:r>
      <w:r w:rsidR="2D1066B5" w:rsidRPr="009E7A37">
        <w:rPr>
          <w:rFonts w:eastAsia="Times New Roman"/>
          <w:noProof/>
        </w:rPr>
        <w:t>inputs</w:t>
      </w:r>
      <w:r w:rsidRPr="009E7A37">
        <w:rPr>
          <w:rFonts w:eastAsia="Times New Roman"/>
          <w:noProof/>
        </w:rPr>
        <w:t xml:space="preserve"> and strong supply chains are </w:t>
      </w:r>
      <w:r w:rsidR="2D1066B5" w:rsidRPr="009E7A37">
        <w:rPr>
          <w:rFonts w:eastAsia="Times New Roman"/>
          <w:noProof/>
        </w:rPr>
        <w:t>essential</w:t>
      </w:r>
      <w:r w:rsidRPr="009E7A37">
        <w:rPr>
          <w:rFonts w:eastAsia="Times New Roman"/>
          <w:noProof/>
        </w:rPr>
        <w:t xml:space="preserve"> for the well-functioning and competitiveness of EU’s manufacturing industry</w:t>
      </w:r>
      <w:r w:rsidR="70A31348" w:rsidRPr="009E7A37">
        <w:rPr>
          <w:rFonts w:eastAsia="Times New Roman"/>
          <w:noProof/>
        </w:rPr>
        <w:t>.</w:t>
      </w:r>
      <w:r w:rsidR="443F8B17" w:rsidRPr="3C1B0927">
        <w:rPr>
          <w:rFonts w:eastAsia="Times New Roman"/>
          <w:noProof/>
        </w:rPr>
        <w:t xml:space="preserve"> </w:t>
      </w:r>
      <w:r w:rsidR="14D7A9EF" w:rsidRPr="3C1B0927">
        <w:rPr>
          <w:rFonts w:eastAsia="Times New Roman"/>
          <w:noProof/>
        </w:rPr>
        <w:t xml:space="preserve">PO3 affects the entirety of the automotive and construction sectors both in terms of low-carbon and </w:t>
      </w:r>
      <w:r w:rsidR="41A9F550" w:rsidRPr="3C1B0927">
        <w:rPr>
          <w:rFonts w:eastAsia="Times New Roman"/>
          <w:noProof/>
        </w:rPr>
        <w:t>Made in EU</w:t>
      </w:r>
      <w:r w:rsidR="14D7A9EF" w:rsidRPr="3C1B0927">
        <w:rPr>
          <w:rFonts w:eastAsia="Times New Roman"/>
          <w:noProof/>
        </w:rPr>
        <w:t xml:space="preserve"> requirements. The cumulative impacts of these measures will make PO3 more costly, with additional challenges on how to pass on these extra costs for downstream sectors. Similarly, for EIIs, solar, batteries, and vehicle components, PO2 leads to fewer costs for the downstream industry than PO3 and therefore impacts less on final consumers or public authorities. PO1, on the other hand, would have the least adjustment and administrative costs. Benefits increase as the level of ambition increases in the policy options. </w:t>
      </w:r>
    </w:p>
    <w:p w14:paraId="3FF2760C" w14:textId="05733740" w:rsidR="00285741" w:rsidRDefault="00285741" w:rsidP="00195EC6">
      <w:pPr>
        <w:spacing w:after="120"/>
        <w:rPr>
          <w:noProof/>
        </w:rPr>
      </w:pPr>
      <w:r w:rsidRPr="002A27A2">
        <w:rPr>
          <w:b/>
          <w:bCs/>
          <w:noProof/>
        </w:rPr>
        <w:lastRenderedPageBreak/>
        <w:t>S</w:t>
      </w:r>
      <w:r>
        <w:rPr>
          <w:b/>
          <w:bCs/>
          <w:noProof/>
        </w:rPr>
        <w:t>O3:</w:t>
      </w:r>
      <w:r w:rsidDel="003C4CBE">
        <w:rPr>
          <w:b/>
          <w:bCs/>
          <w:noProof/>
        </w:rPr>
        <w:t xml:space="preserve"> </w:t>
      </w:r>
      <w:r>
        <w:rPr>
          <w:rFonts w:eastAsia="Aptos"/>
          <w:noProof/>
          <w:color w:val="000000" w:themeColor="text1"/>
          <w:kern w:val="2"/>
          <w:lang w:eastAsia="en-GB"/>
        </w:rPr>
        <w:t xml:space="preserve">PO1 </w:t>
      </w:r>
      <w:r>
        <w:rPr>
          <w:noProof/>
        </w:rPr>
        <w:t xml:space="preserve">is expected to cost less than a mandatory approach (PO2), due to lower administrative burden, as some Member States might decide not to adopt </w:t>
      </w:r>
      <w:r w:rsidDel="00574390">
        <w:rPr>
          <w:noProof/>
        </w:rPr>
        <w:t>the</w:t>
      </w:r>
      <w:r>
        <w:rPr>
          <w:noProof/>
        </w:rPr>
        <w:t xml:space="preserve"> guidance on</w:t>
      </w:r>
      <w:r w:rsidDel="00574390">
        <w:rPr>
          <w:noProof/>
        </w:rPr>
        <w:t xml:space="preserve"> </w:t>
      </w:r>
      <w:r>
        <w:rPr>
          <w:noProof/>
        </w:rPr>
        <w:t>conditionalities. At the same time, g</w:t>
      </w:r>
      <w:r w:rsidRPr="00A26DA3">
        <w:rPr>
          <w:noProof/>
        </w:rPr>
        <w:t>ains (spillovers) are limited and uneven, leading to a low benefit-to-cost ratio overall.</w:t>
      </w:r>
      <w:r>
        <w:rPr>
          <w:noProof/>
        </w:rPr>
        <w:t xml:space="preserve"> However, PO2 will have more impact in addressing the prevailing issues, as Member States will be required to enforce mandatory provisions more strictly, leading to higher market harmonisation. Accordingly, PO2 is expected to be more efficient in the m</w:t>
      </w:r>
      <w:r w:rsidRPr="002E40F9">
        <w:rPr>
          <w:noProof/>
        </w:rPr>
        <w:t>edium- to long-term as systemic spillovers materialise, boosting resilience, innovation, and security of supply.</w:t>
      </w:r>
    </w:p>
    <w:p w14:paraId="53A772E4" w14:textId="77777777" w:rsidR="00285741" w:rsidRDefault="00285741" w:rsidP="00195EC6">
      <w:pPr>
        <w:shd w:val="clear" w:color="auto" w:fill="FFFFFF" w:themeFill="background1"/>
        <w:spacing w:after="120"/>
        <w:rPr>
          <w:rFonts w:eastAsia="Times New Roman"/>
          <w:noProof/>
          <w:color w:val="000000" w:themeColor="text1"/>
        </w:rPr>
      </w:pPr>
      <w:r>
        <w:rPr>
          <w:rFonts w:eastAsia="Times New Roman"/>
          <w:b/>
          <w:bCs/>
          <w:noProof/>
        </w:rPr>
        <w:t>SO4:</w:t>
      </w:r>
      <w:r w:rsidDel="003C4CBE">
        <w:rPr>
          <w:rFonts w:eastAsia="Times New Roman"/>
          <w:b/>
          <w:bCs/>
          <w:noProof/>
        </w:rPr>
        <w:t xml:space="preserve"> </w:t>
      </w:r>
      <w:r w:rsidRPr="3285770D">
        <w:rPr>
          <w:rFonts w:eastAsia="Times New Roman"/>
          <w:noProof/>
        </w:rPr>
        <w:t>PO3 combine</w:t>
      </w:r>
      <w:r>
        <w:rPr>
          <w:rFonts w:eastAsia="Times New Roman"/>
          <w:noProof/>
        </w:rPr>
        <w:t>s</w:t>
      </w:r>
      <w:r w:rsidRPr="3285770D">
        <w:rPr>
          <w:rFonts w:eastAsia="Times New Roman"/>
          <w:noProof/>
        </w:rPr>
        <w:t xml:space="preserve"> the previous permitting provisions introduced under PO1 and PO2, adding benefits for industrial clusters. </w:t>
      </w:r>
      <w:r>
        <w:rPr>
          <w:rFonts w:eastAsia="Times New Roman"/>
          <w:noProof/>
        </w:rPr>
        <w:t>However</w:t>
      </w:r>
      <w:r w:rsidRPr="3285770D">
        <w:rPr>
          <w:rFonts w:eastAsia="Times New Roman"/>
          <w:noProof/>
        </w:rPr>
        <w:t>, the benefits from industrial clusters can only materialise if a prior mapping and designation of a geographical area by the Member State (with an additional mobilisation of resources) has taken place. All POs</w:t>
      </w:r>
      <w:r w:rsidRPr="3285770D" w:rsidDel="00580893">
        <w:rPr>
          <w:rFonts w:eastAsia="Times New Roman"/>
          <w:noProof/>
        </w:rPr>
        <w:t xml:space="preserve"> </w:t>
      </w:r>
      <w:r>
        <w:rPr>
          <w:rFonts w:eastAsia="Times New Roman"/>
          <w:noProof/>
        </w:rPr>
        <w:t>will lead to</w:t>
      </w:r>
      <w:r w:rsidRPr="3285770D">
        <w:rPr>
          <w:rFonts w:eastAsia="Times New Roman"/>
          <w:noProof/>
        </w:rPr>
        <w:t xml:space="preserve"> efficiency gains from the one</w:t>
      </w:r>
      <w:r>
        <w:rPr>
          <w:rFonts w:eastAsia="Times New Roman"/>
          <w:noProof/>
        </w:rPr>
        <w:t xml:space="preserve"> </w:t>
      </w:r>
      <w:r w:rsidRPr="3285770D">
        <w:rPr>
          <w:rFonts w:eastAsia="Times New Roman"/>
          <w:noProof/>
        </w:rPr>
        <w:t xml:space="preserve">project, one digital process measure, present under each option. Digital improvements paired with data interoperability will increase data re-use for other reporting or permitting activities and potentially reduce unnecessary duplications in the permit granting process. PO2 would </w:t>
      </w:r>
      <w:r w:rsidRPr="3285770D">
        <w:rPr>
          <w:rFonts w:eastAsia="Times New Roman"/>
          <w:noProof/>
          <w:color w:val="000000" w:themeColor="text1"/>
        </w:rPr>
        <w:t>capitalis</w:t>
      </w:r>
      <w:r>
        <w:rPr>
          <w:rFonts w:eastAsia="Times New Roman"/>
          <w:noProof/>
          <w:color w:val="000000" w:themeColor="text1"/>
        </w:rPr>
        <w:t>e</w:t>
      </w:r>
      <w:r w:rsidRPr="3285770D">
        <w:rPr>
          <w:rFonts w:eastAsia="Times New Roman"/>
          <w:noProof/>
          <w:color w:val="000000" w:themeColor="text1"/>
        </w:rPr>
        <w:t xml:space="preserve"> as much as possible on the existing NZIA </w:t>
      </w:r>
      <w:r w:rsidRPr="3797D820">
        <w:rPr>
          <w:rFonts w:eastAsia="Times New Roman"/>
          <w:noProof/>
          <w:color w:val="000000" w:themeColor="text1"/>
        </w:rPr>
        <w:t>provisions</w:t>
      </w:r>
      <w:r w:rsidRPr="3285770D">
        <w:rPr>
          <w:rFonts w:eastAsia="Times New Roman"/>
          <w:noProof/>
        </w:rPr>
        <w:t xml:space="preserve"> to meet the objective of </w:t>
      </w:r>
      <w:r>
        <w:rPr>
          <w:rFonts w:eastAsia="Times New Roman"/>
          <w:noProof/>
        </w:rPr>
        <w:t>facilitating</w:t>
      </w:r>
      <w:r w:rsidRPr="3285770D">
        <w:rPr>
          <w:rFonts w:eastAsia="Times New Roman"/>
          <w:noProof/>
        </w:rPr>
        <w:t xml:space="preserve"> permit</w:t>
      </w:r>
      <w:r>
        <w:rPr>
          <w:rFonts w:eastAsia="Times New Roman"/>
          <w:noProof/>
        </w:rPr>
        <w:t>ting processes</w:t>
      </w:r>
      <w:r w:rsidRPr="3285770D">
        <w:rPr>
          <w:rFonts w:eastAsia="Times New Roman"/>
          <w:noProof/>
        </w:rPr>
        <w:t xml:space="preserve"> to accelerate the</w:t>
      </w:r>
      <w:r w:rsidRPr="3285770D">
        <w:rPr>
          <w:rFonts w:eastAsia="Times New Roman"/>
          <w:noProof/>
          <w:color w:val="000000" w:themeColor="text1"/>
        </w:rPr>
        <w:t xml:space="preserve"> decarbonisation of </w:t>
      </w:r>
      <w:r>
        <w:rPr>
          <w:rFonts w:eastAsia="Times New Roman"/>
          <w:noProof/>
          <w:color w:val="000000" w:themeColor="text1"/>
        </w:rPr>
        <w:t xml:space="preserve">manufacturing </w:t>
      </w:r>
      <w:r w:rsidRPr="3285770D">
        <w:rPr>
          <w:rFonts w:eastAsia="Times New Roman"/>
          <w:noProof/>
          <w:color w:val="000000" w:themeColor="text1"/>
        </w:rPr>
        <w:t>industries in Europe</w:t>
      </w:r>
      <w:r>
        <w:rPr>
          <w:rFonts w:eastAsia="Times New Roman"/>
          <w:noProof/>
          <w:color w:val="000000" w:themeColor="text1"/>
        </w:rPr>
        <w:t xml:space="preserve"> with special focus on EIIs</w:t>
      </w:r>
      <w:r w:rsidRPr="3285770D">
        <w:rPr>
          <w:rFonts w:eastAsia="Times New Roman"/>
          <w:noProof/>
          <w:color w:val="000000" w:themeColor="text1"/>
        </w:rPr>
        <w:t>.</w:t>
      </w:r>
    </w:p>
    <w:p w14:paraId="59EF6812" w14:textId="77777777" w:rsidR="00285741" w:rsidRPr="00187D1C" w:rsidRDefault="00285741">
      <w:pPr>
        <w:pStyle w:val="Text2"/>
        <w:ind w:left="0"/>
        <w:rPr>
          <w:noProof/>
          <w:color w:val="000000" w:themeColor="text1"/>
        </w:rPr>
      </w:pPr>
      <w:r w:rsidRPr="0AD51DF7">
        <w:rPr>
          <w:b/>
          <w:bCs/>
          <w:noProof/>
        </w:rPr>
        <w:t>SO5</w:t>
      </w:r>
      <w:r>
        <w:rPr>
          <w:noProof/>
        </w:rPr>
        <w:t xml:space="preserve">: </w:t>
      </w:r>
      <w:r w:rsidRPr="008A732E">
        <w:rPr>
          <w:bCs/>
          <w:noProof/>
        </w:rPr>
        <w:t>PO1 would</w:t>
      </w:r>
      <w:r>
        <w:rPr>
          <w:noProof/>
        </w:rPr>
        <w:t xml:space="preserve"> minimise administrative burden, as it merely recommends using defined criteria for public support, leaving their application to Member States’ discretion. </w:t>
      </w:r>
      <w:r w:rsidRPr="008A732E">
        <w:rPr>
          <w:bCs/>
          <w:noProof/>
        </w:rPr>
        <w:t>PO2</w:t>
      </w:r>
      <w:r>
        <w:rPr>
          <w:noProof/>
        </w:rPr>
        <w:t xml:space="preserve"> would require Member States to use these criteria to </w:t>
      </w:r>
      <w:r w:rsidRPr="000272AD">
        <w:rPr>
          <w:noProof/>
          <w:color w:val="000000" w:themeColor="text1"/>
        </w:rPr>
        <w:t xml:space="preserve">identify synergies with existing and future public funding opportunities, to facilitate access to funding for industrial projects in industrial areas. </w:t>
      </w:r>
      <w:r w:rsidRPr="0AD51DF7">
        <w:rPr>
          <w:noProof/>
          <w:color w:val="000000" w:themeColor="text1"/>
        </w:rPr>
        <w:t>While this approach may entail higher administrative costs, it offers greater benefits by accelerating decarbonisation in targeted industries.</w:t>
      </w:r>
      <w:r>
        <w:rPr>
          <w:noProof/>
          <w:color w:val="000000" w:themeColor="text1"/>
        </w:rPr>
        <w:t xml:space="preserve"> </w:t>
      </w:r>
    </w:p>
    <w:p w14:paraId="37B8C75B" w14:textId="2FCFFF39" w:rsidR="4E5F2BA5" w:rsidRPr="009E7A37" w:rsidRDefault="17586B3F" w:rsidP="1FA04443">
      <w:pPr>
        <w:pStyle w:val="Text2"/>
        <w:pBdr>
          <w:top w:val="single" w:sz="4" w:space="4" w:color="auto"/>
          <w:left w:val="single" w:sz="4" w:space="4" w:color="auto"/>
          <w:bottom w:val="single" w:sz="4" w:space="4" w:color="auto"/>
          <w:right w:val="single" w:sz="4" w:space="4" w:color="auto"/>
        </w:pBdr>
        <w:ind w:left="0"/>
        <w:rPr>
          <w:b/>
          <w:noProof/>
          <w:color w:val="000000" w:themeColor="text1"/>
          <w:lang w:val="en-IE"/>
        </w:rPr>
      </w:pPr>
      <w:r w:rsidRPr="009E7A37">
        <w:rPr>
          <w:b/>
          <w:noProof/>
          <w:color w:val="000000" w:themeColor="text1"/>
          <w:lang w:val="en-IE"/>
        </w:rPr>
        <w:t>Impact on</w:t>
      </w:r>
      <w:r w:rsidR="158EC1F7" w:rsidRPr="009E7A37">
        <w:rPr>
          <w:b/>
          <w:noProof/>
          <w:color w:val="000000" w:themeColor="text1"/>
          <w:lang w:val="en-IE"/>
        </w:rPr>
        <w:t xml:space="preserve"> various stakeholders </w:t>
      </w:r>
      <w:r w:rsidRPr="009E7A37">
        <w:rPr>
          <w:b/>
          <w:noProof/>
          <w:color w:val="000000" w:themeColor="text1"/>
          <w:lang w:val="en-IE"/>
        </w:rPr>
        <w:t>depending on the</w:t>
      </w:r>
      <w:r w:rsidR="158EC1F7" w:rsidRPr="009E7A37">
        <w:rPr>
          <w:b/>
          <w:noProof/>
          <w:color w:val="000000" w:themeColor="text1"/>
          <w:lang w:val="en-IE"/>
        </w:rPr>
        <w:t xml:space="preserve"> Policy Options:</w:t>
      </w:r>
    </w:p>
    <w:p w14:paraId="5EB23AB9" w14:textId="669A7E02" w:rsidR="000741C5" w:rsidRPr="009E7A37" w:rsidRDefault="00490203" w:rsidP="599B7163">
      <w:pPr>
        <w:pStyle w:val="Text2"/>
        <w:pBdr>
          <w:top w:val="single" w:sz="4" w:space="4" w:color="auto"/>
          <w:left w:val="single" w:sz="4" w:space="4" w:color="auto"/>
          <w:bottom w:val="single" w:sz="4" w:space="4" w:color="auto"/>
          <w:right w:val="single" w:sz="4" w:space="4" w:color="auto"/>
        </w:pBdr>
        <w:ind w:left="0"/>
        <w:rPr>
          <w:noProof/>
          <w:color w:val="000000" w:themeColor="text1"/>
          <w:u w:val="single"/>
        </w:rPr>
      </w:pPr>
      <w:r w:rsidRPr="009E7A37">
        <w:rPr>
          <w:noProof/>
          <w:color w:val="000000" w:themeColor="text1"/>
          <w:u w:val="single"/>
        </w:rPr>
        <w:t xml:space="preserve">Downstream </w:t>
      </w:r>
      <w:r w:rsidR="007314F9" w:rsidRPr="009E7A37">
        <w:rPr>
          <w:noProof/>
          <w:color w:val="000000" w:themeColor="text1"/>
          <w:u w:val="single"/>
        </w:rPr>
        <w:t xml:space="preserve">sector - </w:t>
      </w:r>
      <w:r w:rsidR="000741C5" w:rsidRPr="009E7A37">
        <w:rPr>
          <w:noProof/>
          <w:color w:val="000000" w:themeColor="text1"/>
          <w:u w:val="single"/>
        </w:rPr>
        <w:t xml:space="preserve">Automotive: </w:t>
      </w:r>
    </w:p>
    <w:p w14:paraId="1AFD2F01" w14:textId="024902A6" w:rsidR="009A747D" w:rsidRPr="009E7A37" w:rsidRDefault="569F7944" w:rsidP="1FA04443">
      <w:pPr>
        <w:pStyle w:val="Text2"/>
        <w:pBdr>
          <w:top w:val="single" w:sz="4" w:space="4" w:color="auto"/>
          <w:left w:val="single" w:sz="4" w:space="4" w:color="auto"/>
          <w:bottom w:val="single" w:sz="4" w:space="4" w:color="auto"/>
          <w:right w:val="single" w:sz="4" w:space="4" w:color="auto"/>
        </w:pBdr>
        <w:spacing w:line="259" w:lineRule="auto"/>
        <w:ind w:left="0"/>
        <w:rPr>
          <w:noProof/>
          <w:color w:val="000000" w:themeColor="text1"/>
          <w:lang w:val="en-IE"/>
        </w:rPr>
      </w:pPr>
      <w:r w:rsidRPr="009E7A37">
        <w:rPr>
          <w:noProof/>
          <w:color w:val="000000" w:themeColor="text1"/>
          <w:lang w:val="en-IE"/>
        </w:rPr>
        <w:t xml:space="preserve">Cumulative adjustment costs from LEAD market measures (LEAD_EII 2, LEAD_VC 1, LEAD_BAT 1) </w:t>
      </w:r>
      <w:r w:rsidR="42830528" w:rsidRPr="009E7A37">
        <w:rPr>
          <w:noProof/>
          <w:color w:val="000000" w:themeColor="text1"/>
          <w:lang w:val="en-IE"/>
        </w:rPr>
        <w:t xml:space="preserve">increase with each Policy Option, and </w:t>
      </w:r>
      <w:r w:rsidRPr="009E7A37">
        <w:rPr>
          <w:noProof/>
          <w:color w:val="000000" w:themeColor="text1"/>
          <w:lang w:val="en-IE"/>
        </w:rPr>
        <w:t xml:space="preserve">are estimated at EUR </w:t>
      </w:r>
      <w:r w:rsidR="00FA6313" w:rsidRPr="009E7A37">
        <w:rPr>
          <w:noProof/>
          <w:color w:val="000000" w:themeColor="text1"/>
          <w:lang w:val="en-IE"/>
        </w:rPr>
        <w:t>4.4 billion</w:t>
      </w:r>
      <w:r w:rsidRPr="009E7A37">
        <w:rPr>
          <w:noProof/>
          <w:color w:val="000000" w:themeColor="text1"/>
          <w:lang w:val="en-IE"/>
        </w:rPr>
        <w:t xml:space="preserve"> in PO1, EUR </w:t>
      </w:r>
      <w:r w:rsidR="00190D77" w:rsidRPr="009E7A37">
        <w:rPr>
          <w:noProof/>
          <w:color w:val="000000" w:themeColor="text1"/>
          <w:lang w:val="en-IE"/>
        </w:rPr>
        <w:t>4.4</w:t>
      </w:r>
      <w:r w:rsidR="00241500" w:rsidRPr="009E7A37">
        <w:rPr>
          <w:noProof/>
          <w:color w:val="000000" w:themeColor="text1"/>
          <w:lang w:val="en-IE"/>
        </w:rPr>
        <w:t xml:space="preserve"> </w:t>
      </w:r>
      <w:r w:rsidRPr="009E7A37">
        <w:rPr>
          <w:noProof/>
          <w:color w:val="000000" w:themeColor="text1"/>
          <w:lang w:val="en-IE"/>
        </w:rPr>
        <w:t xml:space="preserve">billion in PO2, and EUR </w:t>
      </w:r>
      <w:r w:rsidR="00E50C30" w:rsidRPr="009E7A37">
        <w:rPr>
          <w:noProof/>
          <w:color w:val="000000" w:themeColor="text1"/>
          <w:lang w:val="en-IE"/>
        </w:rPr>
        <w:t>14</w:t>
      </w:r>
      <w:r w:rsidRPr="009E7A37">
        <w:rPr>
          <w:noProof/>
          <w:color w:val="000000" w:themeColor="text1"/>
          <w:lang w:val="en-IE"/>
        </w:rPr>
        <w:t xml:space="preserve"> billion in PO3, with most </w:t>
      </w:r>
      <w:r w:rsidR="00EC134E" w:rsidRPr="009E7A37">
        <w:rPr>
          <w:noProof/>
          <w:color w:val="000000" w:themeColor="text1"/>
          <w:lang w:val="en-IE"/>
        </w:rPr>
        <w:t xml:space="preserve">costs </w:t>
      </w:r>
      <w:r w:rsidRPr="009E7A37">
        <w:rPr>
          <w:noProof/>
          <w:color w:val="000000" w:themeColor="text1"/>
          <w:lang w:val="en-IE"/>
        </w:rPr>
        <w:t>passed on to Member States and citizens</w:t>
      </w:r>
      <w:r w:rsidR="00EC134E" w:rsidRPr="009E7A37">
        <w:rPr>
          <w:noProof/>
          <w:color w:val="000000" w:themeColor="text1"/>
          <w:lang w:val="en-IE"/>
        </w:rPr>
        <w:t xml:space="preserve"> as final consumers</w:t>
      </w:r>
      <w:r w:rsidRPr="009E7A37">
        <w:rPr>
          <w:noProof/>
          <w:color w:val="000000" w:themeColor="text1"/>
          <w:lang w:val="en-IE"/>
        </w:rPr>
        <w:t xml:space="preserve">. The largest cost increases </w:t>
      </w:r>
      <w:r w:rsidR="70CA4910" w:rsidRPr="009E7A37">
        <w:rPr>
          <w:noProof/>
          <w:color w:val="000000" w:themeColor="text1"/>
          <w:lang w:val="en-IE"/>
        </w:rPr>
        <w:t xml:space="preserve">will </w:t>
      </w:r>
      <w:r w:rsidR="1C7735E1" w:rsidRPr="009E7A37">
        <w:rPr>
          <w:noProof/>
          <w:color w:val="000000" w:themeColor="text1"/>
          <w:lang w:val="en-IE"/>
        </w:rPr>
        <w:t>affect</w:t>
      </w:r>
      <w:r w:rsidR="70CA4910" w:rsidRPr="009E7A37">
        <w:rPr>
          <w:noProof/>
          <w:color w:val="000000" w:themeColor="text1"/>
          <w:lang w:val="en-IE"/>
        </w:rPr>
        <w:t xml:space="preserve"> the price of</w:t>
      </w:r>
      <w:r w:rsidRPr="009E7A37">
        <w:rPr>
          <w:noProof/>
          <w:color w:val="000000" w:themeColor="text1"/>
          <w:lang w:val="en-IE"/>
        </w:rPr>
        <w:t xml:space="preserve"> EVs,</w:t>
      </w:r>
      <w:r w:rsidR="782F7A95" w:rsidRPr="009E7A37">
        <w:rPr>
          <w:noProof/>
          <w:color w:val="000000" w:themeColor="text1"/>
          <w:lang w:val="en-IE"/>
        </w:rPr>
        <w:t xml:space="preserve"> </w:t>
      </w:r>
      <w:r w:rsidR="354C03BA" w:rsidRPr="009E7A37">
        <w:rPr>
          <w:noProof/>
          <w:color w:val="000000" w:themeColor="text1"/>
          <w:lang w:val="en-IE"/>
        </w:rPr>
        <w:t xml:space="preserve">as per </w:t>
      </w:r>
      <w:r w:rsidR="2861E748" w:rsidRPr="009E7A37">
        <w:rPr>
          <w:noProof/>
          <w:color w:val="000000" w:themeColor="text1"/>
          <w:lang w:val="en-IE"/>
        </w:rPr>
        <w:t>the “</w:t>
      </w:r>
      <w:r w:rsidR="2861E748" w:rsidRPr="009E7A37">
        <w:rPr>
          <w:noProof/>
          <w:color w:val="000000" w:themeColor="text1"/>
        </w:rPr>
        <w:t xml:space="preserve">Cost increase per type of vehicle” table in Annex 4, Section 2.2 </w:t>
      </w:r>
      <w:r w:rsidR="75D800BB" w:rsidRPr="009E7A37">
        <w:rPr>
          <w:noProof/>
          <w:color w:val="000000" w:themeColor="text1"/>
          <w:lang w:val="en-IE"/>
        </w:rPr>
        <w:t>- which are</w:t>
      </w:r>
      <w:r w:rsidRPr="009E7A37">
        <w:rPr>
          <w:noProof/>
          <w:color w:val="000000" w:themeColor="text1"/>
          <w:lang w:val="en-IE"/>
        </w:rPr>
        <w:t xml:space="preserve"> often subsidized.</w:t>
      </w:r>
      <w:r w:rsidR="4061CAEE" w:rsidRPr="009E7A37">
        <w:rPr>
          <w:noProof/>
          <w:color w:val="000000" w:themeColor="text1"/>
          <w:lang w:val="en-IE"/>
        </w:rPr>
        <w:t xml:space="preserve"> </w:t>
      </w:r>
      <w:r w:rsidR="61F23393" w:rsidRPr="009E7A37">
        <w:rPr>
          <w:noProof/>
          <w:color w:val="000000" w:themeColor="text1"/>
          <w:lang w:val="en-IE"/>
        </w:rPr>
        <w:t>However</w:t>
      </w:r>
      <w:r w:rsidR="065AB531" w:rsidRPr="009E7A37">
        <w:rPr>
          <w:noProof/>
          <w:color w:val="000000" w:themeColor="text1"/>
          <w:lang w:val="en-IE"/>
        </w:rPr>
        <w:t>, s</w:t>
      </w:r>
      <w:r w:rsidRPr="009E7A37">
        <w:rPr>
          <w:noProof/>
          <w:color w:val="000000" w:themeColor="text1"/>
          <w:lang w:val="en-IE"/>
        </w:rPr>
        <w:t xml:space="preserve">ubsidies limited to EU-made vehicles and reduced access for non-EU manufacturers to procurement and support schemes </w:t>
      </w:r>
      <w:r w:rsidR="065AB531" w:rsidRPr="009E7A37">
        <w:rPr>
          <w:noProof/>
          <w:color w:val="000000" w:themeColor="text1"/>
          <w:lang w:val="en-IE"/>
        </w:rPr>
        <w:t>can</w:t>
      </w:r>
      <w:r w:rsidRPr="009E7A37">
        <w:rPr>
          <w:noProof/>
          <w:color w:val="000000" w:themeColor="text1"/>
          <w:lang w:val="en-IE"/>
        </w:rPr>
        <w:t xml:space="preserve"> improve EU competitiveness and keep consumer price impacts manageable. </w:t>
      </w:r>
    </w:p>
    <w:p w14:paraId="52CD4090" w14:textId="55F17174" w:rsidR="00464251" w:rsidRPr="009E7A37" w:rsidRDefault="009A747D" w:rsidP="599B7163">
      <w:pPr>
        <w:pStyle w:val="Text2"/>
        <w:pBdr>
          <w:top w:val="single" w:sz="4" w:space="4" w:color="auto"/>
          <w:left w:val="single" w:sz="4" w:space="4" w:color="auto"/>
          <w:bottom w:val="single" w:sz="4" w:space="4" w:color="auto"/>
          <w:right w:val="single" w:sz="4" w:space="4" w:color="auto"/>
        </w:pBdr>
        <w:ind w:left="0"/>
        <w:rPr>
          <w:noProof/>
          <w:color w:val="000000" w:themeColor="text1"/>
          <w:lang w:val="en-IE"/>
        </w:rPr>
      </w:pPr>
      <w:r w:rsidRPr="009E7A37">
        <w:rPr>
          <w:noProof/>
          <w:color w:val="000000" w:themeColor="text1"/>
        </w:rPr>
        <w:t xml:space="preserve">Furthermore, EU-made EVs are expected to increase their market share, generating about EUR </w:t>
      </w:r>
      <w:r w:rsidR="7347567A" w:rsidRPr="009E7A37">
        <w:rPr>
          <w:noProof/>
          <w:color w:val="000000" w:themeColor="text1"/>
        </w:rPr>
        <w:t>1.9</w:t>
      </w:r>
      <w:r w:rsidRPr="009E7A37">
        <w:rPr>
          <w:noProof/>
          <w:color w:val="000000" w:themeColor="text1"/>
        </w:rPr>
        <w:t xml:space="preserve"> billion in additional value added </w:t>
      </w:r>
      <w:r w:rsidR="00430DBA" w:rsidRPr="009E7A37">
        <w:rPr>
          <w:noProof/>
          <w:color w:val="000000" w:themeColor="text1"/>
        </w:rPr>
        <w:t xml:space="preserve">in PO1 &amp; 2, and </w:t>
      </w:r>
      <w:r w:rsidR="00012F76" w:rsidRPr="009E7A37">
        <w:rPr>
          <w:noProof/>
          <w:color w:val="000000" w:themeColor="text1"/>
        </w:rPr>
        <w:t xml:space="preserve">EUR </w:t>
      </w:r>
      <w:r w:rsidR="43605AC7" w:rsidRPr="009E7A37">
        <w:rPr>
          <w:noProof/>
          <w:color w:val="000000" w:themeColor="text1"/>
        </w:rPr>
        <w:t>2.25</w:t>
      </w:r>
      <w:r w:rsidR="00012F76" w:rsidRPr="009E7A37">
        <w:rPr>
          <w:noProof/>
          <w:color w:val="000000" w:themeColor="text1"/>
        </w:rPr>
        <w:t xml:space="preserve"> in PO3</w:t>
      </w:r>
      <w:r w:rsidRPr="009E7A37">
        <w:rPr>
          <w:noProof/>
          <w:color w:val="000000" w:themeColor="text1"/>
        </w:rPr>
        <w:t xml:space="preserve"> due to domestic content requirements for vehicle components</w:t>
      </w:r>
      <w:r w:rsidR="1F9D9699" w:rsidRPr="009E7A37">
        <w:rPr>
          <w:noProof/>
          <w:color w:val="000000" w:themeColor="text1"/>
        </w:rPr>
        <w:t>, aiding the competitiveness of the sector and the green transition.</w:t>
      </w:r>
      <w:r w:rsidR="0095357E" w:rsidRPr="009E7A37">
        <w:rPr>
          <w:noProof/>
          <w:color w:val="000000" w:themeColor="text1"/>
        </w:rPr>
        <w:t xml:space="preserve"> </w:t>
      </w:r>
      <w:r w:rsidR="00464251" w:rsidRPr="009E7A37">
        <w:rPr>
          <w:noProof/>
          <w:color w:val="000000" w:themeColor="text1"/>
          <w:lang w:val="en-IE"/>
        </w:rPr>
        <w:t>Administrative costs remain low at about EUR 1</w:t>
      </w:r>
      <w:r w:rsidR="00D7393A" w:rsidRPr="009E7A37">
        <w:rPr>
          <w:noProof/>
          <w:color w:val="000000" w:themeColor="text1"/>
          <w:lang w:val="en-IE"/>
        </w:rPr>
        <w:t xml:space="preserve"> </w:t>
      </w:r>
      <w:r w:rsidR="00464251" w:rsidRPr="009E7A37">
        <w:rPr>
          <w:noProof/>
          <w:color w:val="000000" w:themeColor="text1"/>
          <w:lang w:val="en-IE"/>
        </w:rPr>
        <w:t>176 per company per year, and since most OEMs are large firms, the burden on SMEs is minimal.</w:t>
      </w:r>
    </w:p>
    <w:p w14:paraId="262DD2EB" w14:textId="3725A9CB" w:rsidR="008F7272" w:rsidRPr="009E7A37" w:rsidRDefault="007314F9" w:rsidP="599B7163">
      <w:pPr>
        <w:pStyle w:val="Text2"/>
        <w:pBdr>
          <w:top w:val="single" w:sz="4" w:space="4" w:color="auto"/>
          <w:left w:val="single" w:sz="4" w:space="4" w:color="auto"/>
          <w:bottom w:val="single" w:sz="4" w:space="4" w:color="auto"/>
          <w:right w:val="single" w:sz="4" w:space="4" w:color="auto"/>
        </w:pBdr>
        <w:ind w:left="0"/>
        <w:rPr>
          <w:noProof/>
          <w:color w:val="000000" w:themeColor="text1"/>
          <w:u w:val="single"/>
        </w:rPr>
      </w:pPr>
      <w:r w:rsidRPr="009E7A37">
        <w:rPr>
          <w:noProof/>
          <w:color w:val="000000" w:themeColor="text1"/>
          <w:u w:val="single"/>
        </w:rPr>
        <w:t xml:space="preserve">Downstream sector - </w:t>
      </w:r>
      <w:r w:rsidR="008F7272" w:rsidRPr="009E7A37">
        <w:rPr>
          <w:noProof/>
          <w:color w:val="000000" w:themeColor="text1"/>
          <w:u w:val="single"/>
        </w:rPr>
        <w:t xml:space="preserve">Construction: </w:t>
      </w:r>
    </w:p>
    <w:p w14:paraId="5B8A8557" w14:textId="3A715EC7" w:rsidR="00172A72" w:rsidRDefault="545823BA" w:rsidP="1FA04443">
      <w:pPr>
        <w:pStyle w:val="Text2"/>
        <w:pBdr>
          <w:top w:val="single" w:sz="4" w:space="4" w:color="auto"/>
          <w:left w:val="single" w:sz="4" w:space="4" w:color="auto"/>
          <w:bottom w:val="single" w:sz="4" w:space="4" w:color="auto"/>
          <w:right w:val="single" w:sz="4" w:space="4" w:color="auto"/>
        </w:pBdr>
        <w:ind w:left="0"/>
        <w:rPr>
          <w:noProof/>
          <w:color w:val="000000" w:themeColor="text1"/>
          <w:lang w:val="en-IE"/>
        </w:rPr>
      </w:pPr>
      <w:r w:rsidRPr="009E7A37">
        <w:rPr>
          <w:noProof/>
          <w:color w:val="000000" w:themeColor="text1"/>
          <w:lang w:val="en-IE"/>
        </w:rPr>
        <w:t xml:space="preserve">Cumulative LEAD_EII costs </w:t>
      </w:r>
      <w:r w:rsidR="422A29EB" w:rsidRPr="009E7A37">
        <w:rPr>
          <w:noProof/>
          <w:color w:val="000000" w:themeColor="text1"/>
          <w:lang w:val="en-IE"/>
        </w:rPr>
        <w:t>also increase with each Policy Option and</w:t>
      </w:r>
      <w:r w:rsidR="1B8B0C66" w:rsidRPr="009E7A37">
        <w:rPr>
          <w:noProof/>
          <w:color w:val="000000" w:themeColor="text1"/>
          <w:lang w:val="en-IE"/>
        </w:rPr>
        <w:t xml:space="preserve"> are </w:t>
      </w:r>
      <w:r w:rsidRPr="009E7A37">
        <w:rPr>
          <w:noProof/>
          <w:color w:val="000000" w:themeColor="text1"/>
          <w:lang w:val="en-IE"/>
        </w:rPr>
        <w:t>estimated</w:t>
      </w:r>
      <w:r w:rsidR="1B8B0C66" w:rsidRPr="009E7A37">
        <w:rPr>
          <w:noProof/>
          <w:color w:val="000000" w:themeColor="text1"/>
          <w:lang w:val="en-IE"/>
        </w:rPr>
        <w:t xml:space="preserve"> at EUR </w:t>
      </w:r>
      <w:r w:rsidR="00FA6313" w:rsidRPr="009E7A37">
        <w:rPr>
          <w:noProof/>
          <w:color w:val="000000" w:themeColor="text1"/>
          <w:lang w:val="en-IE"/>
        </w:rPr>
        <w:t>691 million</w:t>
      </w:r>
      <w:r w:rsidR="5887DFAF" w:rsidRPr="009E7A37">
        <w:rPr>
          <w:noProof/>
          <w:color w:val="000000" w:themeColor="text1"/>
          <w:lang w:val="en-IE"/>
        </w:rPr>
        <w:t xml:space="preserve"> in PO1</w:t>
      </w:r>
      <w:r w:rsidR="2308CC71" w:rsidRPr="009E7A37">
        <w:rPr>
          <w:noProof/>
          <w:color w:val="000000" w:themeColor="text1"/>
          <w:lang w:val="en-IE"/>
        </w:rPr>
        <w:t xml:space="preserve"> and PO2</w:t>
      </w:r>
      <w:r w:rsidR="5887DFAF" w:rsidRPr="009E7A37">
        <w:rPr>
          <w:noProof/>
          <w:color w:val="000000" w:themeColor="text1"/>
          <w:lang w:val="en-IE"/>
        </w:rPr>
        <w:t xml:space="preserve">, </w:t>
      </w:r>
      <w:r w:rsidR="1B8B0C66" w:rsidRPr="009E7A37">
        <w:rPr>
          <w:noProof/>
          <w:color w:val="000000" w:themeColor="text1"/>
          <w:lang w:val="en-IE"/>
        </w:rPr>
        <w:t xml:space="preserve">and EUR </w:t>
      </w:r>
      <w:r w:rsidR="009A6047" w:rsidRPr="009E7A37">
        <w:rPr>
          <w:noProof/>
          <w:color w:val="000000" w:themeColor="text1"/>
          <w:lang w:val="en-IE"/>
        </w:rPr>
        <w:t xml:space="preserve">16 </w:t>
      </w:r>
      <w:r w:rsidR="1B8B0C66" w:rsidRPr="009E7A37">
        <w:rPr>
          <w:noProof/>
          <w:color w:val="000000" w:themeColor="text1"/>
          <w:lang w:val="en-IE"/>
        </w:rPr>
        <w:t xml:space="preserve">billion in PO3. </w:t>
      </w:r>
      <w:r w:rsidRPr="009E7A37">
        <w:rPr>
          <w:noProof/>
          <w:color w:val="000000" w:themeColor="text1"/>
          <w:lang w:val="en-IE"/>
        </w:rPr>
        <w:t>While</w:t>
      </w:r>
      <w:r w:rsidR="1B8B0C66" w:rsidRPr="009E7A37">
        <w:rPr>
          <w:noProof/>
          <w:color w:val="000000" w:themeColor="text1"/>
          <w:lang w:val="en-IE"/>
        </w:rPr>
        <w:t xml:space="preserve"> the exact building </w:t>
      </w:r>
      <w:r w:rsidRPr="009E7A37">
        <w:rPr>
          <w:noProof/>
          <w:color w:val="000000" w:themeColor="text1"/>
          <w:lang w:val="en-IE"/>
        </w:rPr>
        <w:t xml:space="preserve">price impact </w:t>
      </w:r>
      <w:r w:rsidR="7F2FB28E" w:rsidRPr="009E7A37">
        <w:rPr>
          <w:noProof/>
          <w:color w:val="000000" w:themeColor="text1"/>
          <w:lang w:val="en-IE"/>
        </w:rPr>
        <w:t xml:space="preserve">cannot </w:t>
      </w:r>
      <w:r w:rsidR="1B8B0C66" w:rsidRPr="009E7A37">
        <w:rPr>
          <w:noProof/>
          <w:color w:val="000000" w:themeColor="text1"/>
          <w:lang w:val="en-IE"/>
        </w:rPr>
        <w:t xml:space="preserve">be calculated, Member States and citizens </w:t>
      </w:r>
      <w:r w:rsidRPr="009E7A37">
        <w:rPr>
          <w:noProof/>
          <w:color w:val="000000" w:themeColor="text1"/>
          <w:lang w:val="en-IE"/>
        </w:rPr>
        <w:t xml:space="preserve">are expected to </w:t>
      </w:r>
      <w:r w:rsidR="1B8B0C66" w:rsidRPr="009E7A37">
        <w:rPr>
          <w:noProof/>
          <w:color w:val="000000" w:themeColor="text1"/>
          <w:lang w:val="en-IE"/>
        </w:rPr>
        <w:t xml:space="preserve">absorb </w:t>
      </w:r>
      <w:r w:rsidRPr="009E7A37">
        <w:rPr>
          <w:noProof/>
          <w:color w:val="000000" w:themeColor="text1"/>
          <w:lang w:val="en-IE"/>
        </w:rPr>
        <w:t>the</w:t>
      </w:r>
      <w:r w:rsidR="1B8B0C66" w:rsidRPr="009E7A37">
        <w:rPr>
          <w:noProof/>
          <w:color w:val="000000" w:themeColor="text1"/>
          <w:lang w:val="en-IE"/>
        </w:rPr>
        <w:t xml:space="preserve"> costs, with </w:t>
      </w:r>
      <w:r w:rsidR="1B8B0C66" w:rsidRPr="009E7A37">
        <w:rPr>
          <w:noProof/>
          <w:color w:val="000000" w:themeColor="text1"/>
          <w:lang w:val="en-IE"/>
        </w:rPr>
        <w:lastRenderedPageBreak/>
        <w:t xml:space="preserve">building prices projected to rise </w:t>
      </w:r>
      <w:r w:rsidRPr="009E7A37">
        <w:rPr>
          <w:noProof/>
          <w:color w:val="000000" w:themeColor="text1"/>
          <w:lang w:val="en-IE"/>
        </w:rPr>
        <w:t>about</w:t>
      </w:r>
      <w:r w:rsidR="1B8B0C66" w:rsidRPr="009E7A37">
        <w:rPr>
          <w:noProof/>
          <w:color w:val="000000" w:themeColor="text1"/>
          <w:lang w:val="en-IE"/>
        </w:rPr>
        <w:t xml:space="preserve"> 0.</w:t>
      </w:r>
      <w:r w:rsidR="002E36E1" w:rsidRPr="009E7A37">
        <w:rPr>
          <w:noProof/>
          <w:color w:val="000000" w:themeColor="text1"/>
          <w:lang w:val="en-IE"/>
        </w:rPr>
        <w:t>4</w:t>
      </w:r>
      <w:r w:rsidR="1B8B0C66" w:rsidRPr="009E7A37">
        <w:rPr>
          <w:noProof/>
          <w:color w:val="000000" w:themeColor="text1"/>
          <w:lang w:val="en-IE"/>
        </w:rPr>
        <w:t>5</w:t>
      </w:r>
      <w:r w:rsidRPr="009E7A37">
        <w:rPr>
          <w:noProof/>
          <w:color w:val="000000" w:themeColor="text1"/>
          <w:lang w:val="en-IE"/>
        </w:rPr>
        <w:t>%</w:t>
      </w:r>
      <w:r w:rsidR="71BD5241" w:rsidRPr="009E7A37">
        <w:rPr>
          <w:noProof/>
          <w:color w:val="000000" w:themeColor="text1"/>
          <w:lang w:val="en-IE"/>
        </w:rPr>
        <w:t xml:space="preserve"> from low</w:t>
      </w:r>
      <w:r w:rsidR="00F42FCE" w:rsidRPr="009E7A37">
        <w:rPr>
          <w:noProof/>
          <w:color w:val="000000" w:themeColor="text1"/>
          <w:lang w:val="en-IE"/>
        </w:rPr>
        <w:t>-</w:t>
      </w:r>
      <w:r w:rsidR="71BD5241" w:rsidRPr="009E7A37">
        <w:rPr>
          <w:noProof/>
          <w:color w:val="000000" w:themeColor="text1"/>
          <w:lang w:val="en-IE"/>
        </w:rPr>
        <w:t>carbon provisions under PO2</w:t>
      </w:r>
      <w:r w:rsidRPr="009E7A37">
        <w:rPr>
          <w:noProof/>
          <w:color w:val="000000" w:themeColor="text1"/>
          <w:lang w:val="en-IE"/>
        </w:rPr>
        <w:t>.</w:t>
      </w:r>
      <w:r w:rsidR="1B8B0C66" w:rsidRPr="009E7A37">
        <w:rPr>
          <w:noProof/>
          <w:color w:val="000000" w:themeColor="text1"/>
          <w:lang w:val="en-IE"/>
        </w:rPr>
        <w:t xml:space="preserve"> Administrative costs </w:t>
      </w:r>
      <w:r w:rsidR="1C1862AF" w:rsidRPr="009E7A37">
        <w:rPr>
          <w:noProof/>
          <w:color w:val="000000" w:themeColor="text1"/>
          <w:lang w:val="en-IE"/>
        </w:rPr>
        <w:t>are minimal</w:t>
      </w:r>
      <w:r w:rsidR="1B8B0C66" w:rsidRPr="009E7A37">
        <w:rPr>
          <w:noProof/>
          <w:color w:val="000000" w:themeColor="text1"/>
          <w:lang w:val="en-IE"/>
        </w:rPr>
        <w:t xml:space="preserve"> at </w:t>
      </w:r>
      <w:r w:rsidRPr="009E7A37">
        <w:rPr>
          <w:noProof/>
          <w:color w:val="000000" w:themeColor="text1"/>
          <w:lang w:val="en-IE"/>
        </w:rPr>
        <w:t xml:space="preserve">about </w:t>
      </w:r>
      <w:r w:rsidR="1B8B0C66" w:rsidRPr="009E7A37">
        <w:rPr>
          <w:noProof/>
          <w:color w:val="000000" w:themeColor="text1"/>
          <w:lang w:val="en-IE"/>
        </w:rPr>
        <w:t xml:space="preserve">EUR 882 per </w:t>
      </w:r>
      <w:r w:rsidR="00640369" w:rsidRPr="009E7A37">
        <w:rPr>
          <w:noProof/>
          <w:color w:val="000000" w:themeColor="text1"/>
          <w:lang w:val="en-IE"/>
        </w:rPr>
        <w:t xml:space="preserve">large and medium </w:t>
      </w:r>
      <w:r w:rsidR="1B8B0C66" w:rsidRPr="009E7A37">
        <w:rPr>
          <w:noProof/>
          <w:color w:val="000000" w:themeColor="text1"/>
          <w:lang w:val="en-IE"/>
        </w:rPr>
        <w:t>company</w:t>
      </w:r>
      <w:r w:rsidRPr="009E7A37">
        <w:rPr>
          <w:noProof/>
          <w:color w:val="000000" w:themeColor="text1"/>
          <w:lang w:val="en-IE"/>
        </w:rPr>
        <w:t xml:space="preserve"> per year</w:t>
      </w:r>
      <w:r w:rsidR="71D9B542" w:rsidRPr="009E7A37">
        <w:rPr>
          <w:noProof/>
          <w:color w:val="000000" w:themeColor="text1"/>
          <w:lang w:val="en-IE"/>
        </w:rPr>
        <w:t>.</w:t>
      </w:r>
    </w:p>
    <w:p w14:paraId="65D41279" w14:textId="1D2FA89C" w:rsidR="00490203" w:rsidRPr="009E7A37" w:rsidRDefault="007314F9" w:rsidP="599B7163">
      <w:pPr>
        <w:pStyle w:val="Text2"/>
        <w:pBdr>
          <w:top w:val="single" w:sz="4" w:space="4" w:color="auto"/>
          <w:left w:val="single" w:sz="4" w:space="4" w:color="auto"/>
          <w:bottom w:val="single" w:sz="4" w:space="4" w:color="auto"/>
          <w:right w:val="single" w:sz="4" w:space="4" w:color="auto"/>
        </w:pBdr>
        <w:ind w:left="0"/>
        <w:rPr>
          <w:noProof/>
          <w:color w:val="000000" w:themeColor="text1"/>
          <w:u w:val="single"/>
          <w:lang w:val="en-IE"/>
        </w:rPr>
      </w:pPr>
      <w:r w:rsidRPr="009E7A37">
        <w:rPr>
          <w:noProof/>
          <w:color w:val="000000" w:themeColor="text1"/>
          <w:u w:val="single"/>
          <w:lang w:val="en-IE"/>
        </w:rPr>
        <w:t xml:space="preserve">Downstream sector </w:t>
      </w:r>
      <w:r w:rsidR="00207F49" w:rsidRPr="009E7A37">
        <w:rPr>
          <w:noProof/>
          <w:color w:val="000000" w:themeColor="text1"/>
          <w:u w:val="single"/>
          <w:lang w:val="en-IE"/>
        </w:rPr>
        <w:t>–</w:t>
      </w:r>
      <w:r w:rsidRPr="009E7A37">
        <w:rPr>
          <w:noProof/>
          <w:color w:val="000000" w:themeColor="text1"/>
          <w:u w:val="single"/>
          <w:lang w:val="en-IE"/>
        </w:rPr>
        <w:t xml:space="preserve"> </w:t>
      </w:r>
      <w:r w:rsidR="255C1D92" w:rsidRPr="009E7A37">
        <w:rPr>
          <w:noProof/>
          <w:color w:val="000000" w:themeColor="text1"/>
          <w:u w:val="single"/>
          <w:lang w:val="en-IE"/>
        </w:rPr>
        <w:t>Electricity</w:t>
      </w:r>
      <w:r w:rsidR="00207F49" w:rsidRPr="009E7A37">
        <w:rPr>
          <w:noProof/>
          <w:color w:val="000000" w:themeColor="text1"/>
          <w:u w:val="single"/>
          <w:lang w:val="en-IE"/>
        </w:rPr>
        <w:t xml:space="preserve"> utilities</w:t>
      </w:r>
      <w:r w:rsidR="00490203" w:rsidRPr="009E7A37">
        <w:rPr>
          <w:noProof/>
          <w:color w:val="000000" w:themeColor="text1"/>
          <w:u w:val="single"/>
          <w:lang w:val="en-IE"/>
        </w:rPr>
        <w:t xml:space="preserve">: </w:t>
      </w:r>
    </w:p>
    <w:p w14:paraId="23A54C8D" w14:textId="0C18A90D" w:rsidR="008F7272" w:rsidRPr="009E7A37" w:rsidRDefault="37E65257" w:rsidP="3C1B0927">
      <w:pPr>
        <w:pStyle w:val="Text2"/>
        <w:pBdr>
          <w:top w:val="single" w:sz="4" w:space="4" w:color="auto"/>
          <w:left w:val="single" w:sz="4" w:space="4" w:color="auto"/>
          <w:bottom w:val="single" w:sz="4" w:space="4" w:color="auto"/>
          <w:right w:val="single" w:sz="4" w:space="4" w:color="auto"/>
        </w:pBdr>
        <w:ind w:left="0"/>
        <w:rPr>
          <w:noProof/>
          <w:color w:val="000000" w:themeColor="text1"/>
          <w:lang w:val="en-US"/>
        </w:rPr>
      </w:pPr>
      <w:r w:rsidRPr="009E7A37">
        <w:rPr>
          <w:noProof/>
          <w:color w:val="000000" w:themeColor="text1"/>
          <w:lang w:val="en-IE"/>
        </w:rPr>
        <w:t>The</w:t>
      </w:r>
      <w:r w:rsidR="0E9CF557" w:rsidRPr="009E7A37">
        <w:rPr>
          <w:noProof/>
          <w:color w:val="000000" w:themeColor="text1"/>
          <w:lang w:val="en-IE"/>
        </w:rPr>
        <w:t xml:space="preserve"> </w:t>
      </w:r>
      <w:r w:rsidR="2167374E" w:rsidRPr="009E7A37">
        <w:rPr>
          <w:noProof/>
          <w:color w:val="000000" w:themeColor="text1"/>
          <w:lang w:val="en-IE"/>
        </w:rPr>
        <w:t>electricity</w:t>
      </w:r>
      <w:r w:rsidRPr="009E7A37">
        <w:rPr>
          <w:noProof/>
          <w:color w:val="000000" w:themeColor="text1"/>
          <w:lang w:val="en-IE"/>
        </w:rPr>
        <w:t xml:space="preserve"> </w:t>
      </w:r>
      <w:r w:rsidR="00207F49" w:rsidRPr="009E7A37">
        <w:rPr>
          <w:noProof/>
          <w:color w:val="000000" w:themeColor="text1"/>
          <w:lang w:val="en-IE"/>
        </w:rPr>
        <w:t>utilities</w:t>
      </w:r>
      <w:r w:rsidRPr="009E7A37">
        <w:rPr>
          <w:noProof/>
          <w:color w:val="000000" w:themeColor="text1"/>
          <w:lang w:val="en-IE"/>
        </w:rPr>
        <w:t xml:space="preserve"> sector is anticipated to experience rising costs for solar PVs and BESS storage</w:t>
      </w:r>
      <w:r w:rsidR="335BC79A" w:rsidRPr="009E7A37">
        <w:rPr>
          <w:noProof/>
          <w:color w:val="000000" w:themeColor="text1"/>
          <w:lang w:val="en-IE"/>
        </w:rPr>
        <w:t xml:space="preserve"> due to lead market provisions</w:t>
      </w:r>
      <w:r w:rsidRPr="009E7A37">
        <w:rPr>
          <w:noProof/>
          <w:color w:val="000000" w:themeColor="text1"/>
          <w:lang w:val="en-IE"/>
        </w:rPr>
        <w:t>, as detailed in Annex 4</w:t>
      </w:r>
      <w:r w:rsidR="3D9D9606" w:rsidRPr="009E7A37">
        <w:rPr>
          <w:noProof/>
          <w:color w:val="000000" w:themeColor="text1"/>
          <w:lang w:val="en-IE"/>
        </w:rPr>
        <w:t>, Section 2.2</w:t>
      </w:r>
      <w:r w:rsidR="33247E3E" w:rsidRPr="009E7A37">
        <w:rPr>
          <w:noProof/>
          <w:color w:val="000000" w:themeColor="text1"/>
          <w:lang w:val="en-IE"/>
        </w:rPr>
        <w:t xml:space="preserve">, on the cumulative costs of the </w:t>
      </w:r>
      <w:r w:rsidR="7F27D049" w:rsidRPr="009E7A37">
        <w:rPr>
          <w:noProof/>
          <w:color w:val="000000" w:themeColor="text1"/>
          <w:lang w:val="en-IE"/>
        </w:rPr>
        <w:t xml:space="preserve">electricity </w:t>
      </w:r>
      <w:r w:rsidR="33247E3E" w:rsidRPr="009E7A37">
        <w:rPr>
          <w:noProof/>
          <w:color w:val="000000" w:themeColor="text1"/>
          <w:lang w:val="en-IE"/>
        </w:rPr>
        <w:t>sector</w:t>
      </w:r>
      <w:r w:rsidRPr="009E7A37">
        <w:rPr>
          <w:noProof/>
          <w:color w:val="000000" w:themeColor="text1"/>
          <w:lang w:val="en-IE"/>
        </w:rPr>
        <w:t xml:space="preserve">. However, these costs are expected to have minimal impacts on </w:t>
      </w:r>
      <w:r w:rsidR="1F76B014" w:rsidRPr="009E7A37">
        <w:rPr>
          <w:noProof/>
          <w:color w:val="000000" w:themeColor="text1"/>
          <w:lang w:val="en-IE"/>
        </w:rPr>
        <w:t xml:space="preserve">electricity </w:t>
      </w:r>
      <w:r w:rsidRPr="009E7A37">
        <w:rPr>
          <w:noProof/>
          <w:color w:val="000000" w:themeColor="text1"/>
          <w:lang w:val="en-IE"/>
        </w:rPr>
        <w:t xml:space="preserve">prices, as detailed in </w:t>
      </w:r>
      <w:r w:rsidR="7DB5AD35" w:rsidRPr="009E7A37">
        <w:rPr>
          <w:noProof/>
          <w:color w:val="000000" w:themeColor="text1"/>
          <w:lang w:val="en-IE"/>
        </w:rPr>
        <w:t>Section 6.1.1</w:t>
      </w:r>
      <w:r w:rsidRPr="009E7A37">
        <w:rPr>
          <w:noProof/>
          <w:color w:val="000000" w:themeColor="text1"/>
          <w:lang w:val="en-IE"/>
        </w:rPr>
        <w:t>.</w:t>
      </w:r>
    </w:p>
    <w:p w14:paraId="6090F57F" w14:textId="577685DE" w:rsidR="00490203" w:rsidRPr="00B8051B" w:rsidRDefault="00490203" w:rsidP="599B7163">
      <w:pPr>
        <w:pStyle w:val="Text2"/>
        <w:pBdr>
          <w:top w:val="single" w:sz="4" w:space="4" w:color="auto"/>
          <w:left w:val="single" w:sz="4" w:space="4" w:color="auto"/>
          <w:bottom w:val="single" w:sz="4" w:space="4" w:color="auto"/>
          <w:right w:val="single" w:sz="4" w:space="4" w:color="auto"/>
        </w:pBdr>
        <w:ind w:left="0"/>
        <w:rPr>
          <w:noProof/>
          <w:color w:val="000000" w:themeColor="text1"/>
          <w:u w:val="single"/>
          <w:lang w:val="en-US"/>
        </w:rPr>
      </w:pPr>
      <w:r w:rsidRPr="009E7A37">
        <w:rPr>
          <w:noProof/>
          <w:color w:val="000000" w:themeColor="text1"/>
          <w:u w:val="single"/>
          <w:lang w:val="en-US"/>
        </w:rPr>
        <w:t>Member States:</w:t>
      </w:r>
      <w:r w:rsidRPr="778C610B">
        <w:rPr>
          <w:noProof/>
          <w:color w:val="000000" w:themeColor="text1"/>
          <w:u w:val="single"/>
          <w:lang w:val="en-US"/>
        </w:rPr>
        <w:t xml:space="preserve"> </w:t>
      </w:r>
    </w:p>
    <w:p w14:paraId="6865AA0F" w14:textId="042D4EED" w:rsidR="006E6276" w:rsidRPr="009E7A37" w:rsidRDefault="006E6276" w:rsidP="7ECD02B7">
      <w:pPr>
        <w:pStyle w:val="Text2"/>
        <w:pBdr>
          <w:top w:val="single" w:sz="4" w:space="4" w:color="auto"/>
          <w:left w:val="single" w:sz="4" w:space="4" w:color="auto"/>
          <w:bottom w:val="single" w:sz="4" w:space="4" w:color="auto"/>
          <w:right w:val="single" w:sz="4" w:space="4" w:color="auto"/>
        </w:pBdr>
        <w:ind w:left="0"/>
        <w:rPr>
          <w:noProof/>
          <w:color w:val="000000" w:themeColor="text1"/>
          <w:lang w:val="en-IE"/>
        </w:rPr>
      </w:pPr>
      <w:r w:rsidRPr="009E7A37">
        <w:rPr>
          <w:noProof/>
          <w:color w:val="000000" w:themeColor="text1"/>
          <w:lang w:val="en-IE"/>
        </w:rPr>
        <w:t>Public administrations are expected to incur EUR 2.43 billion in additional administrative and adjustment costs</w:t>
      </w:r>
      <w:r w:rsidR="40BEB6EE" w:rsidRPr="009E7A37">
        <w:rPr>
          <w:noProof/>
          <w:color w:val="000000" w:themeColor="text1"/>
          <w:lang w:val="en-IE"/>
        </w:rPr>
        <w:t xml:space="preserve"> in PO1, </w:t>
      </w:r>
      <w:r w:rsidR="00BA26CC" w:rsidRPr="009E7A37">
        <w:rPr>
          <w:noProof/>
          <w:color w:val="000000" w:themeColor="text1"/>
          <w:lang w:val="en-IE"/>
        </w:rPr>
        <w:t>EUR 2.4</w:t>
      </w:r>
      <w:r w:rsidR="00427E40" w:rsidRPr="009E7A37">
        <w:rPr>
          <w:noProof/>
          <w:color w:val="000000" w:themeColor="text1"/>
          <w:lang w:val="en-IE"/>
        </w:rPr>
        <w:t>4</w:t>
      </w:r>
      <w:r w:rsidR="00BA26CC" w:rsidRPr="009E7A37">
        <w:rPr>
          <w:noProof/>
          <w:color w:val="000000" w:themeColor="text1"/>
          <w:lang w:val="en-IE"/>
        </w:rPr>
        <w:t xml:space="preserve"> billion </w:t>
      </w:r>
      <w:r w:rsidRPr="009E7A37">
        <w:rPr>
          <w:noProof/>
          <w:color w:val="000000" w:themeColor="text1"/>
          <w:lang w:val="en-IE"/>
        </w:rPr>
        <w:t>in PO2 and EUR 2.4</w:t>
      </w:r>
      <w:r w:rsidR="00427E40" w:rsidRPr="009E7A37">
        <w:rPr>
          <w:noProof/>
          <w:color w:val="000000" w:themeColor="text1"/>
          <w:lang w:val="en-IE"/>
        </w:rPr>
        <w:t>8</w:t>
      </w:r>
      <w:r w:rsidRPr="009E7A37">
        <w:rPr>
          <w:noProof/>
          <w:color w:val="000000" w:themeColor="text1"/>
          <w:lang w:val="en-IE"/>
        </w:rPr>
        <w:t xml:space="preserve"> billion in PO3. However, permitting savings of EUR </w:t>
      </w:r>
      <w:r w:rsidR="00AE0095" w:rsidRPr="009E7A37">
        <w:rPr>
          <w:noProof/>
          <w:color w:val="000000" w:themeColor="text1"/>
          <w:lang w:val="en-IE"/>
        </w:rPr>
        <w:t xml:space="preserve">1.3 </w:t>
      </w:r>
      <w:r w:rsidRPr="009E7A37">
        <w:rPr>
          <w:noProof/>
          <w:color w:val="000000" w:themeColor="text1"/>
          <w:lang w:val="en-IE"/>
        </w:rPr>
        <w:t xml:space="preserve">billion reduce net costs to EUR </w:t>
      </w:r>
      <w:r w:rsidR="31D897AA" w:rsidRPr="009E7A37">
        <w:rPr>
          <w:noProof/>
          <w:color w:val="000000" w:themeColor="text1"/>
          <w:lang w:val="en-IE"/>
        </w:rPr>
        <w:t>1.1</w:t>
      </w:r>
      <w:r w:rsidR="00427E40" w:rsidRPr="009E7A37">
        <w:rPr>
          <w:noProof/>
          <w:color w:val="000000" w:themeColor="text1"/>
          <w:lang w:val="en-IE"/>
        </w:rPr>
        <w:t>4</w:t>
      </w:r>
      <w:r w:rsidR="31D897AA" w:rsidRPr="009E7A37">
        <w:rPr>
          <w:noProof/>
          <w:color w:val="000000" w:themeColor="text1"/>
          <w:lang w:val="en-IE"/>
        </w:rPr>
        <w:t xml:space="preserve"> billion</w:t>
      </w:r>
      <w:r w:rsidRPr="009E7A37">
        <w:rPr>
          <w:noProof/>
          <w:color w:val="000000" w:themeColor="text1"/>
          <w:lang w:val="en-IE"/>
        </w:rPr>
        <w:t xml:space="preserve"> in PO1</w:t>
      </w:r>
      <w:r w:rsidR="00C17DB7" w:rsidRPr="009E7A37">
        <w:rPr>
          <w:noProof/>
          <w:color w:val="000000" w:themeColor="text1"/>
          <w:lang w:val="en-IE"/>
        </w:rPr>
        <w:t>, EUR</w:t>
      </w:r>
      <w:r w:rsidR="00932C01" w:rsidRPr="009E7A37">
        <w:rPr>
          <w:noProof/>
          <w:color w:val="000000" w:themeColor="text1"/>
          <w:lang w:val="en-IE"/>
        </w:rPr>
        <w:t xml:space="preserve"> </w:t>
      </w:r>
      <w:r w:rsidR="7FDDDC44" w:rsidRPr="009E7A37">
        <w:rPr>
          <w:noProof/>
          <w:color w:val="000000" w:themeColor="text1"/>
          <w:lang w:val="en-IE"/>
        </w:rPr>
        <w:t>1.1</w:t>
      </w:r>
      <w:r w:rsidR="00932C01" w:rsidRPr="009E7A37">
        <w:rPr>
          <w:noProof/>
          <w:color w:val="000000" w:themeColor="text1"/>
          <w:lang w:val="en-IE"/>
        </w:rPr>
        <w:t>4</w:t>
      </w:r>
      <w:r w:rsidR="7FDDDC44" w:rsidRPr="009E7A37">
        <w:rPr>
          <w:noProof/>
          <w:color w:val="000000" w:themeColor="text1"/>
          <w:lang w:val="en-IE"/>
        </w:rPr>
        <w:t xml:space="preserve"> billion</w:t>
      </w:r>
      <w:r w:rsidRPr="009E7A37">
        <w:rPr>
          <w:noProof/>
          <w:color w:val="000000" w:themeColor="text1"/>
          <w:lang w:val="en-IE"/>
        </w:rPr>
        <w:t xml:space="preserve"> </w:t>
      </w:r>
      <w:r w:rsidR="00C17DB7" w:rsidRPr="009E7A37">
        <w:rPr>
          <w:noProof/>
          <w:color w:val="000000" w:themeColor="text1"/>
          <w:lang w:val="en-IE"/>
        </w:rPr>
        <w:t>in PO2</w:t>
      </w:r>
      <w:r w:rsidRPr="009E7A37">
        <w:rPr>
          <w:noProof/>
          <w:color w:val="000000" w:themeColor="text1"/>
          <w:lang w:val="en-IE"/>
        </w:rPr>
        <w:t xml:space="preserve"> and EUR </w:t>
      </w:r>
      <w:r w:rsidR="79295AD0" w:rsidRPr="009E7A37">
        <w:rPr>
          <w:noProof/>
          <w:color w:val="000000" w:themeColor="text1"/>
          <w:lang w:val="en-IE"/>
        </w:rPr>
        <w:t>1.1</w:t>
      </w:r>
      <w:r w:rsidR="00935FD8" w:rsidRPr="009E7A37">
        <w:rPr>
          <w:noProof/>
          <w:color w:val="000000" w:themeColor="text1"/>
          <w:lang w:val="en-IE"/>
        </w:rPr>
        <w:t>8</w:t>
      </w:r>
      <w:r w:rsidR="79295AD0" w:rsidRPr="009E7A37">
        <w:rPr>
          <w:noProof/>
          <w:color w:val="000000" w:themeColor="text1"/>
          <w:lang w:val="en-IE"/>
        </w:rPr>
        <w:t xml:space="preserve"> billion</w:t>
      </w:r>
      <w:r w:rsidRPr="009E7A37">
        <w:rPr>
          <w:noProof/>
          <w:color w:val="000000" w:themeColor="text1"/>
          <w:lang w:val="en-IE"/>
        </w:rPr>
        <w:t xml:space="preserve"> in PO3</w:t>
      </w:r>
      <w:r w:rsidR="00C17DB7" w:rsidRPr="009E7A37">
        <w:rPr>
          <w:noProof/>
          <w:color w:val="000000" w:themeColor="text1"/>
          <w:lang w:val="en-IE"/>
        </w:rPr>
        <w:t>, as per Annex 4</w:t>
      </w:r>
      <w:r w:rsidR="00012F76" w:rsidRPr="009E7A37">
        <w:rPr>
          <w:noProof/>
          <w:color w:val="000000" w:themeColor="text1"/>
          <w:lang w:val="en-IE"/>
        </w:rPr>
        <w:t xml:space="preserve">, </w:t>
      </w:r>
      <w:r w:rsidR="00C07E58" w:rsidRPr="009E7A37">
        <w:rPr>
          <w:noProof/>
          <w:color w:val="000000" w:themeColor="text1"/>
          <w:lang w:val="en-IE"/>
        </w:rPr>
        <w:t>Section 2.2</w:t>
      </w:r>
      <w:r w:rsidRPr="009E7A37">
        <w:rPr>
          <w:noProof/>
          <w:color w:val="000000" w:themeColor="text1"/>
          <w:lang w:val="en-IE"/>
        </w:rPr>
        <w:t>. With subsidy budgets freed up, these increases are considered manageable for national and local authorities.</w:t>
      </w:r>
    </w:p>
    <w:p w14:paraId="505F010A" w14:textId="6FC92F98" w:rsidR="00490203" w:rsidRPr="009E7A37" w:rsidRDefault="00490203" w:rsidP="599B7163">
      <w:pPr>
        <w:pStyle w:val="Text2"/>
        <w:pBdr>
          <w:top w:val="single" w:sz="4" w:space="4" w:color="auto"/>
          <w:left w:val="single" w:sz="4" w:space="4" w:color="auto"/>
          <w:bottom w:val="single" w:sz="4" w:space="4" w:color="auto"/>
          <w:right w:val="single" w:sz="4" w:space="4" w:color="auto"/>
        </w:pBdr>
        <w:ind w:left="0"/>
        <w:rPr>
          <w:noProof/>
          <w:color w:val="000000" w:themeColor="text1"/>
          <w:u w:val="single"/>
          <w:lang w:val="en-IE"/>
        </w:rPr>
      </w:pPr>
      <w:r w:rsidRPr="009E7A37">
        <w:rPr>
          <w:noProof/>
          <w:color w:val="000000" w:themeColor="text1"/>
          <w:u w:val="single"/>
          <w:lang w:val="en-IE"/>
        </w:rPr>
        <w:t xml:space="preserve">Citizens: </w:t>
      </w:r>
    </w:p>
    <w:p w14:paraId="0BEC3047" w14:textId="23C71A1D" w:rsidR="008F7272" w:rsidRPr="00EF5FD1" w:rsidRDefault="007314F9" w:rsidP="599B7163">
      <w:pPr>
        <w:pStyle w:val="Text2"/>
        <w:pBdr>
          <w:top w:val="single" w:sz="4" w:space="4" w:color="auto"/>
          <w:left w:val="single" w:sz="4" w:space="4" w:color="auto"/>
          <w:bottom w:val="single" w:sz="4" w:space="4" w:color="auto"/>
          <w:right w:val="single" w:sz="4" w:space="4" w:color="auto"/>
        </w:pBdr>
        <w:ind w:left="0"/>
        <w:rPr>
          <w:noProof/>
          <w:color w:val="000000" w:themeColor="text1"/>
          <w:lang w:val="en-IE"/>
        </w:rPr>
      </w:pPr>
      <w:r w:rsidRPr="009E7A37">
        <w:rPr>
          <w:noProof/>
          <w:color w:val="000000" w:themeColor="text1"/>
          <w:lang w:val="en-IE"/>
        </w:rPr>
        <w:t xml:space="preserve">Citizens will face higher vehicle and construction prices as shown in Annex 4, </w:t>
      </w:r>
      <w:r w:rsidR="00C07E58" w:rsidRPr="009E7A37">
        <w:rPr>
          <w:noProof/>
          <w:color w:val="000000" w:themeColor="text1"/>
          <w:lang w:val="en-IE"/>
        </w:rPr>
        <w:t>Section 2.2</w:t>
      </w:r>
      <w:r w:rsidRPr="009E7A37">
        <w:rPr>
          <w:noProof/>
          <w:color w:val="000000" w:themeColor="text1"/>
          <w:lang w:val="en-IE"/>
        </w:rPr>
        <w:t>, though vehicle cost increases may be partly offset as explained in the automotive section.</w:t>
      </w:r>
    </w:p>
    <w:p w14:paraId="5078732C" w14:textId="68155C7D" w:rsidR="00285741" w:rsidRPr="00310056" w:rsidRDefault="0096074E" w:rsidP="00285741">
      <w:pPr>
        <w:pStyle w:val="Heading2"/>
        <w:keepLines w:val="0"/>
        <w:numPr>
          <w:ilvl w:val="1"/>
          <w:numId w:val="64"/>
        </w:numPr>
        <w:tabs>
          <w:tab w:val="num" w:pos="1418"/>
        </w:tabs>
        <w:spacing w:before="0" w:after="120"/>
        <w:ind w:left="1855" w:hanging="1288"/>
      </w:pPr>
      <w:bookmarkStart w:id="89" w:name="_Toc211984408"/>
      <w:bookmarkStart w:id="90" w:name="_Toc222489993"/>
      <w:r>
        <w:t>C</w:t>
      </w:r>
      <w:r w:rsidR="00285741" w:rsidRPr="00310056">
        <w:t>oherence</w:t>
      </w:r>
      <w:bookmarkEnd w:id="89"/>
      <w:bookmarkEnd w:id="90"/>
    </w:p>
    <w:p w14:paraId="37E749C2" w14:textId="77777777" w:rsidR="00285741" w:rsidRPr="000272AD" w:rsidRDefault="00285741" w:rsidP="00195EC6">
      <w:pPr>
        <w:spacing w:after="120"/>
        <w:rPr>
          <w:rFonts w:eastAsia="Times New Roman"/>
          <w:noProof/>
          <w:color w:val="000000" w:themeColor="text1"/>
        </w:rPr>
      </w:pPr>
      <w:r w:rsidRPr="3285770D">
        <w:rPr>
          <w:rFonts w:eastAsia="Times New Roman"/>
          <w:noProof/>
          <w:color w:val="000000" w:themeColor="text1"/>
        </w:rPr>
        <w:t xml:space="preserve">In terms of overall coherence, the options are all seeking to reinforce the </w:t>
      </w:r>
      <w:r>
        <w:rPr>
          <w:rFonts w:eastAsia="Times New Roman"/>
          <w:noProof/>
          <w:color w:val="000000" w:themeColor="text1"/>
        </w:rPr>
        <w:t>EU’s</w:t>
      </w:r>
      <w:r w:rsidRPr="3285770D">
        <w:rPr>
          <w:rFonts w:eastAsia="Times New Roman"/>
          <w:noProof/>
          <w:color w:val="000000" w:themeColor="text1"/>
        </w:rPr>
        <w:t xml:space="preserve"> ability to meet the Clean Industrial Deal</w:t>
      </w:r>
      <w:r>
        <w:rPr>
          <w:rFonts w:eastAsia="Times New Roman"/>
          <w:noProof/>
          <w:color w:val="000000" w:themeColor="text1"/>
        </w:rPr>
        <w:t>’s</w:t>
      </w:r>
      <w:r w:rsidRPr="3285770D">
        <w:rPr>
          <w:rFonts w:eastAsia="Times New Roman"/>
          <w:noProof/>
          <w:color w:val="000000" w:themeColor="text1"/>
        </w:rPr>
        <w:t xml:space="preserve"> objectives</w:t>
      </w:r>
      <w:r w:rsidRPr="0AD51DF7">
        <w:rPr>
          <w:rFonts w:eastAsia="Times New Roman"/>
          <w:noProof/>
          <w:color w:val="000000" w:themeColor="text1"/>
        </w:rPr>
        <w:t>.</w:t>
      </w:r>
      <w:r w:rsidRPr="3285770D">
        <w:rPr>
          <w:rFonts w:eastAsia="Times New Roman"/>
          <w:noProof/>
          <w:color w:val="000000" w:themeColor="text1"/>
        </w:rPr>
        <w:t xml:space="preserve"> </w:t>
      </w:r>
      <w:r w:rsidRPr="000272AD">
        <w:rPr>
          <w:rFonts w:eastAsia="Times New Roman"/>
          <w:noProof/>
          <w:color w:val="000000" w:themeColor="text1"/>
        </w:rPr>
        <w:t xml:space="preserve">Moreover, in terms of internal coherence, the options are built in a way that actions introduced to meet one specific objective, should not come at the expense of another specific objective. </w:t>
      </w:r>
    </w:p>
    <w:p w14:paraId="3F056B19" w14:textId="77777777" w:rsidR="00285741" w:rsidRDefault="00285741" w:rsidP="00195EC6">
      <w:pPr>
        <w:spacing w:after="120"/>
        <w:rPr>
          <w:rFonts w:eastAsia="Times New Roman"/>
          <w:noProof/>
          <w:color w:val="000000" w:themeColor="text1"/>
        </w:rPr>
      </w:pPr>
      <w:r w:rsidRPr="07352980">
        <w:rPr>
          <w:rFonts w:eastAsia="Times New Roman"/>
          <w:b/>
          <w:noProof/>
          <w:color w:val="000000" w:themeColor="text1"/>
        </w:rPr>
        <w:t>SO1</w:t>
      </w:r>
      <w:r w:rsidRPr="0AD51DF7">
        <w:rPr>
          <w:rFonts w:eastAsia="Times New Roman"/>
          <w:noProof/>
          <w:color w:val="000000" w:themeColor="text1"/>
        </w:rPr>
        <w:t xml:space="preserve">: PO2 would be the most coherent with existing policies and strategies, such as the Steel and Metals Action Plan, as well as the Clean Industrial Deal which calls for an accelerated procedure to create a </w:t>
      </w:r>
      <w:r w:rsidRPr="6E6897D4">
        <w:rPr>
          <w:rFonts w:eastAsia="Times New Roman"/>
          <w:noProof/>
          <w:color w:val="000000" w:themeColor="text1"/>
        </w:rPr>
        <w:t xml:space="preserve">voluntary </w:t>
      </w:r>
      <w:r w:rsidRPr="0AD51DF7">
        <w:rPr>
          <w:rFonts w:eastAsia="Times New Roman"/>
          <w:noProof/>
          <w:color w:val="000000" w:themeColor="text1"/>
        </w:rPr>
        <w:t xml:space="preserve">label for low-carbon steel. Coherence with other existing regulatory frameworks, namely ESPR is guaranteed by the complementarity </w:t>
      </w:r>
      <w:r>
        <w:rPr>
          <w:rFonts w:eastAsia="Times New Roman"/>
          <w:noProof/>
          <w:color w:val="000000" w:themeColor="text1"/>
        </w:rPr>
        <w:t xml:space="preserve">by design </w:t>
      </w:r>
      <w:r w:rsidRPr="0AD51DF7">
        <w:rPr>
          <w:rFonts w:eastAsia="Times New Roman"/>
          <w:noProof/>
          <w:color w:val="000000" w:themeColor="text1"/>
        </w:rPr>
        <w:t xml:space="preserve">of the two initiatives, with a logic of building blocks. Once the steel label under IAA is stabilised, it </w:t>
      </w:r>
      <w:r>
        <w:rPr>
          <w:rFonts w:eastAsia="Times New Roman"/>
          <w:noProof/>
          <w:color w:val="000000" w:themeColor="text1"/>
        </w:rPr>
        <w:t>would</w:t>
      </w:r>
      <w:r w:rsidRPr="0AD51DF7">
        <w:rPr>
          <w:rFonts w:eastAsia="Times New Roman"/>
          <w:noProof/>
          <w:color w:val="000000" w:themeColor="text1"/>
        </w:rPr>
        <w:t xml:space="preserve"> be possible to complement it through the ESPR approach</w:t>
      </w:r>
      <w:r>
        <w:rPr>
          <w:rFonts w:eastAsia="Times New Roman"/>
          <w:noProof/>
          <w:color w:val="000000" w:themeColor="text1"/>
        </w:rPr>
        <w:t xml:space="preserve"> and enlarge the scope of </w:t>
      </w:r>
      <w:r w:rsidRPr="0490E6FC">
        <w:rPr>
          <w:rFonts w:eastAsia="Times New Roman"/>
          <w:noProof/>
          <w:color w:val="000000" w:themeColor="text1"/>
        </w:rPr>
        <w:t xml:space="preserve">products and </w:t>
      </w:r>
      <w:r>
        <w:rPr>
          <w:rFonts w:eastAsia="Times New Roman"/>
          <w:noProof/>
          <w:color w:val="000000" w:themeColor="text1"/>
        </w:rPr>
        <w:t>emissions covered</w:t>
      </w:r>
      <w:r w:rsidRPr="0AD51DF7">
        <w:rPr>
          <w:rFonts w:eastAsia="Times New Roman"/>
          <w:noProof/>
          <w:color w:val="000000" w:themeColor="text1"/>
        </w:rPr>
        <w:t xml:space="preserve">. Both will also benefit from the ongoing streamlining exercise on carbon accounting methodologies. </w:t>
      </w:r>
    </w:p>
    <w:p w14:paraId="4DEA6CD5" w14:textId="27AAFE6C" w:rsidR="00285741" w:rsidRPr="000272AD" w:rsidRDefault="00285741" w:rsidP="00195EC6">
      <w:pPr>
        <w:spacing w:after="120"/>
        <w:rPr>
          <w:rFonts w:eastAsia="Times New Roman"/>
          <w:noProof/>
          <w:color w:val="000000" w:themeColor="text1"/>
        </w:rPr>
      </w:pPr>
      <w:r w:rsidRPr="000272AD">
        <w:rPr>
          <w:b/>
          <w:noProof/>
          <w:color w:val="000000" w:themeColor="text1"/>
        </w:rPr>
        <w:t>SO2</w:t>
      </w:r>
      <w:r w:rsidRPr="000272AD">
        <w:rPr>
          <w:noProof/>
          <w:color w:val="000000" w:themeColor="text1"/>
        </w:rPr>
        <w:t>:</w:t>
      </w:r>
      <w:r w:rsidRPr="000272AD" w:rsidDel="00BD6A30">
        <w:rPr>
          <w:noProof/>
          <w:color w:val="000000" w:themeColor="text1"/>
        </w:rPr>
        <w:t xml:space="preserve"> </w:t>
      </w:r>
      <w:r w:rsidRPr="000272AD">
        <w:rPr>
          <w:noProof/>
          <w:color w:val="000000" w:themeColor="text1"/>
        </w:rPr>
        <w:t>All POs would meet the objectives without unduly undermining the EU renewable energy target</w:t>
      </w:r>
      <w:r>
        <w:rPr>
          <w:noProof/>
          <w:color w:val="000000" w:themeColor="text1"/>
        </w:rPr>
        <w:t>, even if PO3 could have the greatest impact, as public intervention may not be in a position to smoothen the short-term impacts</w:t>
      </w:r>
      <w:r w:rsidRPr="000272AD">
        <w:rPr>
          <w:noProof/>
          <w:color w:val="000000" w:themeColor="text1"/>
        </w:rPr>
        <w:t>. Regarding EU requirements for batteries and solar PV, the gap analysis of this assessment demonstrates that the existing EU provisions under NZIA will not likely be sufficient to achieve the objective of creating European lead markets for clean technologies</w:t>
      </w:r>
      <w:r w:rsidRPr="5D042B50">
        <w:rPr>
          <w:noProof/>
          <w:color w:val="000000" w:themeColor="text1"/>
        </w:rPr>
        <w:t>. Additional EU requirements, designed to complement or amend as relevant existing NZIA provisions, can better contribute to creating those European lead markets that in turn support the EU’s economic security of battery, solar technologies and automotive components. PO2 is coherent with the objectives set down in the Industrial Action Plan for the European Automotive Sector</w:t>
      </w:r>
      <w:r>
        <w:rPr>
          <w:noProof/>
          <w:color w:val="000000" w:themeColor="text1"/>
        </w:rPr>
        <w:t xml:space="preserve"> with respect to batteries and components</w:t>
      </w:r>
      <w:r w:rsidRPr="5D042B50">
        <w:rPr>
          <w:noProof/>
          <w:color w:val="000000" w:themeColor="text1"/>
        </w:rPr>
        <w:t xml:space="preserve">. </w:t>
      </w:r>
      <w:r w:rsidRPr="000272AD">
        <w:rPr>
          <w:noProof/>
          <w:color w:val="000000" w:themeColor="text1"/>
        </w:rPr>
        <w:t xml:space="preserve">Similarly, for EIIs, the lead market measures would complement existing product policies, providing a targeted further demand-side incentive to decarbonise these industries, in line with buildings’ legislation notably. </w:t>
      </w:r>
      <w:r>
        <w:rPr>
          <w:noProof/>
          <w:color w:val="000000" w:themeColor="text1"/>
        </w:rPr>
        <w:t>For steel in particular however,</w:t>
      </w:r>
      <w:r w:rsidRPr="09CA0190">
        <w:rPr>
          <w:rFonts w:eastAsia="Times New Roman" w:cs="Times New Roman"/>
          <w:noProof/>
          <w:color w:val="000000" w:themeColor="text1"/>
        </w:rPr>
        <w:t xml:space="preserve"> the new legislative instrument to address </w:t>
      </w:r>
      <w:r w:rsidRPr="09CA0190">
        <w:rPr>
          <w:rFonts w:eastAsia="Times New Roman" w:cs="Times New Roman"/>
          <w:noProof/>
          <w:color w:val="000000" w:themeColor="text1"/>
        </w:rPr>
        <w:lastRenderedPageBreak/>
        <w:t xml:space="preserve">global </w:t>
      </w:r>
      <w:r>
        <w:rPr>
          <w:rFonts w:eastAsia="Times New Roman" w:cs="Times New Roman"/>
          <w:noProof/>
          <w:color w:val="000000" w:themeColor="text1"/>
        </w:rPr>
        <w:t xml:space="preserve">steel </w:t>
      </w:r>
      <w:r w:rsidRPr="09CA0190">
        <w:rPr>
          <w:rFonts w:eastAsia="Times New Roman" w:cs="Times New Roman"/>
          <w:noProof/>
          <w:color w:val="000000" w:themeColor="text1"/>
        </w:rPr>
        <w:t xml:space="preserve">overcapacities, </w:t>
      </w:r>
      <w:r>
        <w:rPr>
          <w:rFonts w:eastAsia="Times New Roman" w:cs="Times New Roman"/>
          <w:noProof/>
          <w:color w:val="000000" w:themeColor="text1"/>
        </w:rPr>
        <w:t>points, if adopted by co</w:t>
      </w:r>
      <w:r w:rsidR="00003134">
        <w:rPr>
          <w:rFonts w:eastAsia="Times New Roman" w:cs="Times New Roman"/>
          <w:noProof/>
          <w:color w:val="000000" w:themeColor="text1"/>
        </w:rPr>
        <w:t>-</w:t>
      </w:r>
      <w:r>
        <w:rPr>
          <w:rFonts w:eastAsia="Times New Roman" w:cs="Times New Roman"/>
          <w:noProof/>
          <w:color w:val="000000" w:themeColor="text1"/>
        </w:rPr>
        <w:t xml:space="preserve">legislators, to a possible risk of incoherence, with the blanket measures on </w:t>
      </w:r>
      <w:r w:rsidR="0081660B">
        <w:rPr>
          <w:rFonts w:eastAsia="Times New Roman" w:cs="Times New Roman"/>
          <w:noProof/>
          <w:color w:val="000000" w:themeColor="text1"/>
        </w:rPr>
        <w:t>M</w:t>
      </w:r>
      <w:r>
        <w:rPr>
          <w:rFonts w:eastAsia="Times New Roman" w:cs="Times New Roman"/>
          <w:noProof/>
          <w:color w:val="000000" w:themeColor="text1"/>
        </w:rPr>
        <w:t xml:space="preserve">ade in </w:t>
      </w:r>
      <w:r w:rsidR="0081660B">
        <w:rPr>
          <w:rFonts w:eastAsia="Times New Roman" w:cs="Times New Roman"/>
          <w:noProof/>
          <w:color w:val="000000" w:themeColor="text1"/>
        </w:rPr>
        <w:t xml:space="preserve">EU </w:t>
      </w:r>
      <w:r>
        <w:rPr>
          <w:rFonts w:eastAsia="Times New Roman" w:cs="Times New Roman"/>
          <w:noProof/>
          <w:color w:val="000000" w:themeColor="text1"/>
        </w:rPr>
        <w:t>provisions for public support</w:t>
      </w:r>
      <w:r w:rsidRPr="09CA0190">
        <w:rPr>
          <w:rFonts w:eastAsia="Times New Roman" w:cs="Times New Roman"/>
          <w:noProof/>
          <w:color w:val="000000" w:themeColor="text1"/>
        </w:rPr>
        <w:t xml:space="preserve">. </w:t>
      </w:r>
      <w:r w:rsidRPr="000272AD">
        <w:rPr>
          <w:noProof/>
          <w:color w:val="000000" w:themeColor="text1"/>
        </w:rPr>
        <w:t>Exemptions</w:t>
      </w:r>
      <w:r w:rsidRPr="000272AD" w:rsidDel="009F6F94">
        <w:rPr>
          <w:noProof/>
          <w:color w:val="000000" w:themeColor="text1"/>
        </w:rPr>
        <w:t xml:space="preserve"> </w:t>
      </w:r>
      <w:r w:rsidRPr="000272AD">
        <w:rPr>
          <w:noProof/>
          <w:color w:val="000000" w:themeColor="text1"/>
        </w:rPr>
        <w:t>to WTO principles and FTAs</w:t>
      </w:r>
      <w:r w:rsidRPr="000272AD" w:rsidDel="009F6F94">
        <w:rPr>
          <w:noProof/>
          <w:color w:val="000000" w:themeColor="text1"/>
        </w:rPr>
        <w:t xml:space="preserve"> </w:t>
      </w:r>
      <w:r w:rsidRPr="000272AD">
        <w:rPr>
          <w:noProof/>
          <w:color w:val="000000" w:themeColor="text1"/>
        </w:rPr>
        <w:t xml:space="preserve">should be invoked to justify the introduction of </w:t>
      </w:r>
      <w:r w:rsidR="00E83DDC">
        <w:rPr>
          <w:noProof/>
          <w:color w:val="000000" w:themeColor="text1"/>
        </w:rPr>
        <w:t>Made in EU</w:t>
      </w:r>
      <w:r w:rsidRPr="000272AD">
        <w:rPr>
          <w:noProof/>
          <w:color w:val="000000" w:themeColor="text1"/>
        </w:rPr>
        <w:t xml:space="preserve"> requirements in public procurement and support schemes, which might be more difficult to justify if applied to all products </w:t>
      </w:r>
      <w:r>
        <w:rPr>
          <w:noProof/>
          <w:color w:val="000000" w:themeColor="text1"/>
        </w:rPr>
        <w:t>(e.g. batteries, solar PV systems, vehicle components and steel/aluminium/cement in automotive and construction)</w:t>
      </w:r>
      <w:r w:rsidRPr="000272AD">
        <w:rPr>
          <w:noProof/>
          <w:color w:val="000000" w:themeColor="text1"/>
        </w:rPr>
        <w:t xml:space="preserve"> put on the EU market (PO3)</w:t>
      </w:r>
      <w:r>
        <w:rPr>
          <w:noProof/>
          <w:color w:val="000000" w:themeColor="text1"/>
        </w:rPr>
        <w:t xml:space="preserve"> or without considerations for environmental performance</w:t>
      </w:r>
      <w:r w:rsidRPr="000272AD">
        <w:rPr>
          <w:noProof/>
          <w:color w:val="000000" w:themeColor="text1"/>
        </w:rPr>
        <w:t xml:space="preserve">. </w:t>
      </w:r>
    </w:p>
    <w:p w14:paraId="355DFD8C" w14:textId="77777777" w:rsidR="00285741" w:rsidRPr="000272AD" w:rsidRDefault="7C355CBF" w:rsidP="00195EC6">
      <w:pPr>
        <w:spacing w:after="120"/>
        <w:rPr>
          <w:rFonts w:eastAsia="Times New Roman"/>
          <w:noProof/>
        </w:rPr>
      </w:pPr>
      <w:r w:rsidRPr="5D042B50">
        <w:rPr>
          <w:rFonts w:eastAsia="Calibri"/>
          <w:b/>
          <w:bCs/>
          <w:noProof/>
        </w:rPr>
        <w:t xml:space="preserve">SO3: </w:t>
      </w:r>
      <w:r w:rsidRPr="5D042B50">
        <w:rPr>
          <w:rFonts w:eastAsia="Calibri"/>
          <w:noProof/>
        </w:rPr>
        <w:t xml:space="preserve">On conditionalities for </w:t>
      </w:r>
      <w:r>
        <w:rPr>
          <w:rFonts w:eastAsia="Calibri"/>
          <w:noProof/>
        </w:rPr>
        <w:t>FDI</w:t>
      </w:r>
      <w:r w:rsidRPr="5D042B50">
        <w:rPr>
          <w:rFonts w:eastAsia="Calibri"/>
          <w:b/>
          <w:bCs/>
          <w:noProof/>
        </w:rPr>
        <w:t xml:space="preserve">, </w:t>
      </w:r>
      <w:r w:rsidRPr="5D042B50">
        <w:rPr>
          <w:rFonts w:eastAsia="Calibri"/>
          <w:noProof/>
        </w:rPr>
        <w:t xml:space="preserve">voluntary measures (PO1) have fewer interlinkages with existing frameworks and could be interpreted in addition to prevailing legislation. </w:t>
      </w:r>
      <w:r>
        <w:rPr>
          <w:rFonts w:eastAsia="Calibri"/>
          <w:noProof/>
        </w:rPr>
        <w:t>It would be c</w:t>
      </w:r>
      <w:r w:rsidRPr="00714CA8">
        <w:rPr>
          <w:rFonts w:eastAsia="Calibri"/>
          <w:noProof/>
        </w:rPr>
        <w:t xml:space="preserve">oherent with </w:t>
      </w:r>
      <w:r>
        <w:rPr>
          <w:rFonts w:eastAsia="Calibri"/>
          <w:noProof/>
        </w:rPr>
        <w:t xml:space="preserve">historic </w:t>
      </w:r>
      <w:r w:rsidRPr="00714CA8">
        <w:rPr>
          <w:rFonts w:eastAsia="Calibri"/>
          <w:noProof/>
        </w:rPr>
        <w:t xml:space="preserve">EU openness to FDI but </w:t>
      </w:r>
      <w:r>
        <w:rPr>
          <w:rFonts w:eastAsia="Calibri"/>
          <w:noProof/>
        </w:rPr>
        <w:t xml:space="preserve">in current times, but it would </w:t>
      </w:r>
      <w:r w:rsidRPr="00714CA8">
        <w:rPr>
          <w:rFonts w:eastAsia="Calibri"/>
          <w:noProof/>
        </w:rPr>
        <w:t>undermine coherence of the Single Market</w:t>
      </w:r>
      <w:r>
        <w:rPr>
          <w:rFonts w:eastAsia="Calibri"/>
          <w:noProof/>
        </w:rPr>
        <w:t xml:space="preserve">, leading to </w:t>
      </w:r>
      <w:r w:rsidRPr="00714CA8">
        <w:rPr>
          <w:rFonts w:eastAsia="Calibri"/>
          <w:noProof/>
        </w:rPr>
        <w:t>fragmentation</w:t>
      </w:r>
      <w:r>
        <w:rPr>
          <w:rFonts w:eastAsia="Calibri"/>
          <w:noProof/>
        </w:rPr>
        <w:t>: d</w:t>
      </w:r>
      <w:r w:rsidRPr="00253674">
        <w:rPr>
          <w:rFonts w:eastAsia="Calibri"/>
          <w:noProof/>
        </w:rPr>
        <w:t>ivergent application between Member States can create distortions and unequal benefits</w:t>
      </w:r>
      <w:r w:rsidRPr="00714CA8">
        <w:rPr>
          <w:rFonts w:eastAsia="Calibri"/>
          <w:noProof/>
        </w:rPr>
        <w:t>.</w:t>
      </w:r>
      <w:r>
        <w:rPr>
          <w:rFonts w:eastAsia="Calibri"/>
          <w:noProof/>
        </w:rPr>
        <w:t xml:space="preserve"> </w:t>
      </w:r>
      <w:r w:rsidRPr="5D042B50">
        <w:rPr>
          <w:rFonts w:eastAsia="Calibri"/>
          <w:noProof/>
        </w:rPr>
        <w:t>Introducing mandatory conditionalities (PO2) to further harmonise the Single Market would be complementary to the existing FDI legal framework as it would focus on specific strategic industries only (e.</w:t>
      </w:r>
      <w:r>
        <w:rPr>
          <w:rFonts w:eastAsia="Calibri"/>
          <w:noProof/>
        </w:rPr>
        <w:t>g.</w:t>
      </w:r>
      <w:r w:rsidRPr="5D042B50">
        <w:rPr>
          <w:rFonts w:eastAsia="Calibri"/>
          <w:noProof/>
        </w:rPr>
        <w:t xml:space="preserve"> batteries and possibly certain EIIs) and would be based on thresholds on the investment value, to limit the risk of overlaps. </w:t>
      </w:r>
      <w:r>
        <w:rPr>
          <w:rFonts w:eastAsia="Calibri"/>
          <w:noProof/>
        </w:rPr>
        <w:t>Mandatory requirements would be f</w:t>
      </w:r>
      <w:r w:rsidRPr="00AE1BEF">
        <w:rPr>
          <w:rFonts w:eastAsia="Calibri"/>
          <w:noProof/>
        </w:rPr>
        <w:t xml:space="preserve">ully coherent with </w:t>
      </w:r>
      <w:r w:rsidRPr="00896E09">
        <w:rPr>
          <w:rFonts w:eastAsia="Calibri"/>
          <w:noProof/>
        </w:rPr>
        <w:t>the European Economic Security Strategy</w:t>
      </w:r>
      <w:r w:rsidR="00285741">
        <w:rPr>
          <w:rStyle w:val="FootnoteReference"/>
          <w:rFonts w:eastAsia="Calibri"/>
          <w:noProof/>
        </w:rPr>
        <w:footnoteReference w:id="243"/>
      </w:r>
      <w:r>
        <w:rPr>
          <w:rFonts w:eastAsia="Calibri"/>
          <w:noProof/>
        </w:rPr>
        <w:t>:</w:t>
      </w:r>
      <w:r w:rsidRPr="00896E09">
        <w:rPr>
          <w:rFonts w:eastAsia="Calibri"/>
          <w:noProof/>
        </w:rPr>
        <w:t xml:space="preserve"> proactively strengthening Europe’s competitiveness, resilience and technological leadership</w:t>
      </w:r>
      <w:r>
        <w:rPr>
          <w:rFonts w:eastAsia="Calibri"/>
          <w:noProof/>
        </w:rPr>
        <w:t>, while protection is strengthened</w:t>
      </w:r>
      <w:r w:rsidRPr="00896E09">
        <w:rPr>
          <w:rFonts w:eastAsia="Calibri"/>
          <w:noProof/>
        </w:rPr>
        <w:t xml:space="preserve"> against risks. </w:t>
      </w:r>
      <w:r>
        <w:rPr>
          <w:rFonts w:eastAsia="Calibri"/>
          <w:noProof/>
        </w:rPr>
        <w:t>Finally</w:t>
      </w:r>
      <w:r w:rsidRPr="5D042B50">
        <w:rPr>
          <w:rFonts w:eastAsia="Calibri"/>
          <w:noProof/>
        </w:rPr>
        <w:t>, conditioning FDI in</w:t>
      </w:r>
      <w:r w:rsidRPr="00896E09">
        <w:rPr>
          <w:rFonts w:eastAsia="Calibri"/>
          <w:noProof/>
        </w:rPr>
        <w:t xml:space="preserve"> the </w:t>
      </w:r>
      <w:r w:rsidRPr="5D042B50">
        <w:rPr>
          <w:rFonts w:eastAsia="Calibri"/>
          <w:noProof/>
        </w:rPr>
        <w:t xml:space="preserve">manufacturing sector would </w:t>
      </w:r>
      <w:r>
        <w:rPr>
          <w:rFonts w:eastAsia="Calibri"/>
          <w:noProof/>
        </w:rPr>
        <w:t xml:space="preserve">risk </w:t>
      </w:r>
      <w:r w:rsidRPr="5D042B50">
        <w:rPr>
          <w:rFonts w:eastAsia="Calibri"/>
          <w:noProof/>
        </w:rPr>
        <w:t>go</w:t>
      </w:r>
      <w:r>
        <w:rPr>
          <w:rFonts w:eastAsia="Calibri"/>
          <w:noProof/>
        </w:rPr>
        <w:t>ing</w:t>
      </w:r>
      <w:r w:rsidRPr="5D042B50">
        <w:rPr>
          <w:rFonts w:eastAsia="Calibri"/>
          <w:noProof/>
        </w:rPr>
        <w:t xml:space="preserve"> against the investment liberalisation commitments on market access and national treatment the EU has undertaken under </w:t>
      </w:r>
      <w:r>
        <w:rPr>
          <w:rFonts w:eastAsia="Calibri"/>
          <w:noProof/>
        </w:rPr>
        <w:t xml:space="preserve">some of </w:t>
      </w:r>
      <w:r w:rsidRPr="5D042B50">
        <w:rPr>
          <w:rFonts w:eastAsia="Calibri"/>
          <w:noProof/>
        </w:rPr>
        <w:t xml:space="preserve">its FTAs and </w:t>
      </w:r>
      <w:r>
        <w:rPr>
          <w:noProof/>
        </w:rPr>
        <w:t>relevant FTA partners would thus need to be exempted from investment conditions in these areas to maintain coherence.</w:t>
      </w:r>
    </w:p>
    <w:p w14:paraId="71D4B95A" w14:textId="73F24B6B" w:rsidR="00285741" w:rsidRPr="000272AD" w:rsidRDefault="00285741" w:rsidP="00195EC6">
      <w:pPr>
        <w:spacing w:after="120"/>
        <w:rPr>
          <w:rFonts w:eastAsia="Times New Roman"/>
          <w:noProof/>
          <w:color w:val="000000" w:themeColor="text1"/>
        </w:rPr>
      </w:pPr>
      <w:r w:rsidRPr="000272AD">
        <w:rPr>
          <w:rFonts w:eastAsia="Times New Roman"/>
          <w:b/>
          <w:noProof/>
          <w:color w:val="000000" w:themeColor="text1"/>
        </w:rPr>
        <w:t>SO4</w:t>
      </w:r>
      <w:r w:rsidRPr="000272AD">
        <w:rPr>
          <w:rFonts w:eastAsia="Times New Roman"/>
          <w:noProof/>
          <w:color w:val="000000" w:themeColor="text1"/>
        </w:rPr>
        <w:t xml:space="preserve">: All options would include a measure targeting permitting for all manufacturing industries based on digitalisation of a unified </w:t>
      </w:r>
      <w:r w:rsidR="000E1C3A">
        <w:rPr>
          <w:rFonts w:eastAsia="Times New Roman"/>
          <w:noProof/>
          <w:color w:val="000000" w:themeColor="text1"/>
        </w:rPr>
        <w:t xml:space="preserve">permitting </w:t>
      </w:r>
      <w:r w:rsidRPr="000272AD">
        <w:rPr>
          <w:rFonts w:eastAsia="Times New Roman"/>
          <w:noProof/>
          <w:color w:val="000000" w:themeColor="text1"/>
        </w:rPr>
        <w:t>process, while building on sector specific legislation</w:t>
      </w:r>
      <w:r w:rsidR="003569A6">
        <w:rPr>
          <w:rFonts w:eastAsia="Times New Roman"/>
          <w:noProof/>
          <w:color w:val="000000" w:themeColor="text1"/>
        </w:rPr>
        <w:t>, including the upcoming Environmental</w:t>
      </w:r>
      <w:r w:rsidR="00593807">
        <w:rPr>
          <w:rFonts w:eastAsia="Times New Roman"/>
          <w:noProof/>
          <w:color w:val="000000" w:themeColor="text1"/>
        </w:rPr>
        <w:t xml:space="preserve"> permitting initiative</w:t>
      </w:r>
      <w:r w:rsidR="0095169D">
        <w:rPr>
          <w:rFonts w:eastAsia="Times New Roman"/>
          <w:noProof/>
          <w:color w:val="000000" w:themeColor="text1"/>
        </w:rPr>
        <w:t xml:space="preserve"> </w:t>
      </w:r>
      <w:r w:rsidR="00BA2027">
        <w:rPr>
          <w:rFonts w:eastAsia="Times New Roman"/>
          <w:noProof/>
          <w:color w:val="000000" w:themeColor="text1"/>
        </w:rPr>
        <w:t>(Environmental Omnibus)</w:t>
      </w:r>
      <w:r w:rsidR="00EF20E8">
        <w:rPr>
          <w:rFonts w:eastAsia="Times New Roman"/>
          <w:noProof/>
          <w:color w:val="000000" w:themeColor="text1"/>
        </w:rPr>
        <w:t xml:space="preserve"> which will focus on environmental assessment specific items</w:t>
      </w:r>
      <w:r w:rsidRPr="000272AD">
        <w:rPr>
          <w:rFonts w:eastAsia="Times New Roman"/>
          <w:noProof/>
          <w:color w:val="000000" w:themeColor="text1"/>
        </w:rPr>
        <w:t xml:space="preserve">. For instance, PO2 complements the NZIA permitting provisions for EIIs and ensures a consistent approach in this regard by providing a level playing field. Moreover, the overall level of coherence with environmental legislation in PO2 and PO3 will be affected by any possible legislation on environmental simplification (omnibus), currently under preparation, which may require adjustments to the specific measures under the preferred </w:t>
      </w:r>
      <w:r>
        <w:rPr>
          <w:rFonts w:eastAsia="Times New Roman"/>
          <w:noProof/>
          <w:color w:val="000000" w:themeColor="text1"/>
        </w:rPr>
        <w:t>PO</w:t>
      </w:r>
      <w:r w:rsidRPr="000272AD">
        <w:rPr>
          <w:rFonts w:eastAsia="Times New Roman"/>
          <w:noProof/>
          <w:color w:val="000000" w:themeColor="text1"/>
        </w:rPr>
        <w:t xml:space="preserve"> presented in this impact assessment. PO3 could also partially overlap with the upcoming grid energy package, which aims at addressing grid infrastructure bottlenecks </w:t>
      </w:r>
      <w:r>
        <w:rPr>
          <w:rFonts w:eastAsia="Times New Roman"/>
          <w:noProof/>
          <w:color w:val="000000" w:themeColor="text1"/>
        </w:rPr>
        <w:t xml:space="preserve">Finally, coherence will need to be ensured with the permitting reflections under preparation as part of the Environment omnibus, which are however not subject to an impact assessment. </w:t>
      </w:r>
    </w:p>
    <w:p w14:paraId="08D79534" w14:textId="77777777" w:rsidR="00285741" w:rsidRDefault="00285741" w:rsidP="00195EC6">
      <w:pPr>
        <w:spacing w:after="120"/>
        <w:rPr>
          <w:rFonts w:eastAsia="Calibri"/>
          <w:noProof/>
        </w:rPr>
      </w:pPr>
      <w:r w:rsidRPr="3285770D">
        <w:rPr>
          <w:rFonts w:eastAsia="Calibri"/>
          <w:b/>
          <w:bCs/>
          <w:noProof/>
        </w:rPr>
        <w:t>SO5</w:t>
      </w:r>
      <w:r>
        <w:rPr>
          <w:rFonts w:eastAsia="Calibri"/>
          <w:noProof/>
        </w:rPr>
        <w:t>:</w:t>
      </w:r>
      <w:r w:rsidRPr="3285770D">
        <w:rPr>
          <w:rFonts w:eastAsia="Calibri"/>
          <w:noProof/>
        </w:rPr>
        <w:t xml:space="preserve"> </w:t>
      </w:r>
      <w:r>
        <w:rPr>
          <w:rFonts w:eastAsia="Calibri"/>
          <w:noProof/>
        </w:rPr>
        <w:t>P</w:t>
      </w:r>
      <w:r w:rsidRPr="3285770D">
        <w:rPr>
          <w:rFonts w:eastAsia="Calibri"/>
          <w:noProof/>
        </w:rPr>
        <w:t>rojects</w:t>
      </w:r>
      <w:r>
        <w:rPr>
          <w:rFonts w:eastAsia="Calibri"/>
          <w:noProof/>
        </w:rPr>
        <w:t xml:space="preserve"> in industrial areas</w:t>
      </w:r>
      <w:r w:rsidRPr="3285770D">
        <w:rPr>
          <w:rFonts w:eastAsia="Calibri"/>
          <w:noProof/>
        </w:rPr>
        <w:t xml:space="preserve"> </w:t>
      </w:r>
      <w:r w:rsidRPr="4680A8F4">
        <w:rPr>
          <w:rFonts w:eastAsia="Calibri"/>
          <w:noProof/>
        </w:rPr>
        <w:t>could</w:t>
      </w:r>
      <w:r w:rsidRPr="3285770D">
        <w:rPr>
          <w:rFonts w:eastAsia="Calibri"/>
          <w:noProof/>
        </w:rPr>
        <w:t xml:space="preserve"> </w:t>
      </w:r>
      <w:r>
        <w:rPr>
          <w:rFonts w:eastAsia="Calibri"/>
          <w:noProof/>
        </w:rPr>
        <w:t xml:space="preserve">tap into existing priority projects or areas </w:t>
      </w:r>
      <w:r w:rsidRPr="3285770D">
        <w:rPr>
          <w:rFonts w:eastAsia="Calibri"/>
          <w:noProof/>
        </w:rPr>
        <w:t xml:space="preserve">under other </w:t>
      </w:r>
      <w:r w:rsidRPr="4680A8F4">
        <w:rPr>
          <w:rFonts w:eastAsia="Calibri"/>
          <w:noProof/>
        </w:rPr>
        <w:t>EU</w:t>
      </w:r>
      <w:r w:rsidRPr="3285770D">
        <w:rPr>
          <w:rFonts w:eastAsia="Calibri"/>
          <w:noProof/>
        </w:rPr>
        <w:t xml:space="preserve"> legislation, such as the </w:t>
      </w:r>
      <w:r>
        <w:rPr>
          <w:rFonts w:eastAsia="Calibri"/>
          <w:noProof/>
        </w:rPr>
        <w:t>CRMA</w:t>
      </w:r>
      <w:r w:rsidRPr="3285770D">
        <w:rPr>
          <w:rFonts w:eastAsia="Calibri"/>
          <w:noProof/>
        </w:rPr>
        <w:t xml:space="preserve"> and the </w:t>
      </w:r>
      <w:r>
        <w:rPr>
          <w:rFonts w:eastAsia="Calibri"/>
          <w:noProof/>
        </w:rPr>
        <w:t xml:space="preserve">NZIA. </w:t>
      </w:r>
      <w:r w:rsidRPr="4680A8F4">
        <w:rPr>
          <w:rFonts w:eastAsia="Calibri"/>
          <w:noProof/>
        </w:rPr>
        <w:t xml:space="preserve">However, care will be required to address the risk of confusion in the multiplication of labelling and in managing expectations by promotors on the benefits of being identified as priority projects. </w:t>
      </w:r>
    </w:p>
    <w:p w14:paraId="5183A7C2" w14:textId="77777777" w:rsidR="00285741" w:rsidRPr="00310056" w:rsidRDefault="00285741" w:rsidP="00285741">
      <w:pPr>
        <w:pStyle w:val="Heading2"/>
        <w:keepLines w:val="0"/>
        <w:numPr>
          <w:ilvl w:val="1"/>
          <w:numId w:val="64"/>
        </w:numPr>
        <w:tabs>
          <w:tab w:val="num" w:pos="1418"/>
        </w:tabs>
        <w:spacing w:before="0" w:after="120"/>
        <w:ind w:left="1855" w:hanging="1288"/>
      </w:pPr>
      <w:bookmarkStart w:id="91" w:name="_Toc211984409"/>
      <w:bookmarkStart w:id="92" w:name="_Toc222489994"/>
      <w:r w:rsidRPr="00310056">
        <w:t>Proportionality/Subsidiarity</w:t>
      </w:r>
      <w:bookmarkEnd w:id="91"/>
      <w:bookmarkEnd w:id="92"/>
    </w:p>
    <w:p w14:paraId="2DE994EB" w14:textId="77777777" w:rsidR="00F9585B" w:rsidRDefault="00285741" w:rsidP="00195EC6">
      <w:pPr>
        <w:spacing w:after="120"/>
        <w:rPr>
          <w:rFonts w:eastAsia="Times New Roman"/>
          <w:noProof/>
          <w:color w:val="000000" w:themeColor="text1"/>
        </w:rPr>
      </w:pPr>
      <w:r w:rsidRPr="3285770D">
        <w:rPr>
          <w:rFonts w:eastAsia="Times New Roman"/>
          <w:noProof/>
          <w:color w:val="000000" w:themeColor="text1"/>
        </w:rPr>
        <w:t xml:space="preserve">Regarding the proportionality of the measures to achieve the objectives of the initiative, the three </w:t>
      </w:r>
      <w:r>
        <w:rPr>
          <w:rFonts w:eastAsia="Times New Roman"/>
          <w:noProof/>
          <w:color w:val="000000" w:themeColor="text1"/>
        </w:rPr>
        <w:t>POs</w:t>
      </w:r>
      <w:r w:rsidRPr="3285770D">
        <w:rPr>
          <w:rFonts w:eastAsia="Times New Roman"/>
          <w:noProof/>
          <w:color w:val="000000" w:themeColor="text1"/>
        </w:rPr>
        <w:t xml:space="preserve"> follow a logic of increased level of intervention. </w:t>
      </w:r>
    </w:p>
    <w:p w14:paraId="42C79C56" w14:textId="60120228" w:rsidR="00285741" w:rsidRDefault="00285741" w:rsidP="00195EC6">
      <w:pPr>
        <w:spacing w:after="120"/>
        <w:rPr>
          <w:rFonts w:eastAsia="Times New Roman"/>
          <w:noProof/>
          <w:color w:val="000000" w:themeColor="text1"/>
        </w:rPr>
      </w:pPr>
      <w:r w:rsidRPr="00571959">
        <w:rPr>
          <w:rFonts w:eastAsia="Times New Roman"/>
          <w:b/>
          <w:noProof/>
          <w:color w:val="000000" w:themeColor="text1"/>
        </w:rPr>
        <w:t>PO1</w:t>
      </w:r>
      <w:r w:rsidRPr="3285770D">
        <w:rPr>
          <w:rFonts w:eastAsia="Times New Roman"/>
          <w:noProof/>
          <w:color w:val="000000" w:themeColor="text1"/>
        </w:rPr>
        <w:t xml:space="preserve"> establishes minimum provisions for market intervention (SO2, SO4), often relying on voluntary aspects of the measures for Member States (SO3, SO5). </w:t>
      </w:r>
    </w:p>
    <w:p w14:paraId="4B641C11" w14:textId="36FF2C40" w:rsidR="00AB79AB" w:rsidRDefault="00285741" w:rsidP="00195EC6">
      <w:pPr>
        <w:spacing w:after="120"/>
        <w:rPr>
          <w:rFonts w:eastAsia="Times New Roman"/>
          <w:noProof/>
          <w:color w:val="000000" w:themeColor="text1"/>
        </w:rPr>
      </w:pPr>
      <w:r w:rsidRPr="3F0F1197">
        <w:rPr>
          <w:rFonts w:eastAsia="Times New Roman"/>
          <w:b/>
          <w:bCs/>
          <w:noProof/>
          <w:color w:val="000000" w:themeColor="text1"/>
        </w:rPr>
        <w:lastRenderedPageBreak/>
        <w:t>PO2</w:t>
      </w:r>
      <w:r w:rsidRPr="3F0F1197">
        <w:rPr>
          <w:rFonts w:eastAsia="Times New Roman"/>
          <w:noProof/>
          <w:color w:val="000000" w:themeColor="text1"/>
        </w:rPr>
        <w:t xml:space="preserve"> introduces a medium level of intervention, which increases the obligations on Member States</w:t>
      </w:r>
      <w:r w:rsidR="00B77F0A" w:rsidRPr="3F0F1197">
        <w:rPr>
          <w:rFonts w:eastAsia="Times New Roman"/>
          <w:noProof/>
          <w:color w:val="000000" w:themeColor="text1"/>
        </w:rPr>
        <w:t xml:space="preserve"> and </w:t>
      </w:r>
      <w:r w:rsidR="006145AB" w:rsidRPr="3F0F1197">
        <w:rPr>
          <w:rFonts w:eastAsia="Times New Roman"/>
          <w:noProof/>
          <w:color w:val="000000" w:themeColor="text1"/>
        </w:rPr>
        <w:t>market operators</w:t>
      </w:r>
      <w:r w:rsidRPr="3F0F1197">
        <w:rPr>
          <w:rFonts w:eastAsia="Times New Roman"/>
          <w:noProof/>
          <w:color w:val="000000" w:themeColor="text1"/>
        </w:rPr>
        <w:t xml:space="preserve">. </w:t>
      </w:r>
      <w:r w:rsidRPr="009E7A37">
        <w:rPr>
          <w:rFonts w:eastAsia="Times New Roman"/>
          <w:noProof/>
          <w:color w:val="000000" w:themeColor="text1"/>
        </w:rPr>
        <w:t>SO2</w:t>
      </w:r>
      <w:r w:rsidR="00F027BF" w:rsidRPr="009E7A37">
        <w:rPr>
          <w:rFonts w:eastAsia="Times New Roman"/>
          <w:noProof/>
          <w:color w:val="000000" w:themeColor="text1"/>
        </w:rPr>
        <w:t xml:space="preserve"> introduces</w:t>
      </w:r>
      <w:r w:rsidR="7469746A" w:rsidRPr="009E7A37">
        <w:rPr>
          <w:rFonts w:eastAsia="Times New Roman"/>
          <w:noProof/>
          <w:color w:val="000000" w:themeColor="text1"/>
        </w:rPr>
        <w:t xml:space="preserve"> made in EU</w:t>
      </w:r>
      <w:r w:rsidR="00F027BF" w:rsidRPr="009E7A37">
        <w:rPr>
          <w:rFonts w:eastAsia="Times New Roman"/>
          <w:noProof/>
          <w:color w:val="000000" w:themeColor="text1"/>
        </w:rPr>
        <w:t xml:space="preserve"> requirements for </w:t>
      </w:r>
      <w:r w:rsidR="00CE5C85" w:rsidRPr="009E7A37">
        <w:rPr>
          <w:noProof/>
        </w:rPr>
        <w:t>low-carbon</w:t>
      </w:r>
      <w:r w:rsidR="00F027BF" w:rsidRPr="009E7A37">
        <w:rPr>
          <w:noProof/>
        </w:rPr>
        <w:t xml:space="preserve"> steel</w:t>
      </w:r>
      <w:r w:rsidR="00CF5312" w:rsidRPr="009E7A37">
        <w:rPr>
          <w:noProof/>
        </w:rPr>
        <w:t>, aluminium</w:t>
      </w:r>
      <w:r w:rsidR="00F027BF" w:rsidRPr="009E7A37">
        <w:rPr>
          <w:noProof/>
        </w:rPr>
        <w:t xml:space="preserve"> and cement </w:t>
      </w:r>
      <w:r w:rsidR="0096074E" w:rsidRPr="009E7A37">
        <w:rPr>
          <w:rFonts w:eastAsia="Times New Roman"/>
          <w:noProof/>
          <w:color w:val="000000" w:themeColor="text1"/>
        </w:rPr>
        <w:t>used in the construction and transport sector</w:t>
      </w:r>
      <w:r w:rsidR="0096074E" w:rsidRPr="009E7A37">
        <w:rPr>
          <w:noProof/>
        </w:rPr>
        <w:t xml:space="preserve"> </w:t>
      </w:r>
      <w:r w:rsidR="3FA8B0DA" w:rsidRPr="009E7A37">
        <w:rPr>
          <w:noProof/>
        </w:rPr>
        <w:t>in public procurement and public support schemes</w:t>
      </w:r>
      <w:r w:rsidR="00591830" w:rsidRPr="009E7A37">
        <w:rPr>
          <w:noProof/>
        </w:rPr>
        <w:t xml:space="preserve">, </w:t>
      </w:r>
      <w:r w:rsidR="008B76F4" w:rsidRPr="009E7A37">
        <w:rPr>
          <w:noProof/>
        </w:rPr>
        <w:t>which</w:t>
      </w:r>
      <w:r w:rsidR="00591830" w:rsidRPr="009E7A37">
        <w:rPr>
          <w:noProof/>
        </w:rPr>
        <w:t xml:space="preserve"> are proportionate to the expected level of low-carbon </w:t>
      </w:r>
      <w:r w:rsidR="008B76F4" w:rsidRPr="009E7A37">
        <w:rPr>
          <w:noProof/>
        </w:rPr>
        <w:t>capacities, based on current investment project pipelines</w:t>
      </w:r>
      <w:r w:rsidR="0096074E" w:rsidRPr="009E7A37">
        <w:rPr>
          <w:noProof/>
        </w:rPr>
        <w:t>.</w:t>
      </w:r>
      <w:r w:rsidR="00EE6FA3" w:rsidRPr="009E7A37">
        <w:rPr>
          <w:noProof/>
        </w:rPr>
        <w:t xml:space="preserve"> While the requirements are mandatory, they cover only a partial share of sourcing low-carbon materials</w:t>
      </w:r>
      <w:r w:rsidR="0035740F" w:rsidRPr="009E7A37">
        <w:rPr>
          <w:noProof/>
        </w:rPr>
        <w:t xml:space="preserve"> and are </w:t>
      </w:r>
      <w:r w:rsidR="00026D17" w:rsidRPr="009E7A37">
        <w:rPr>
          <w:noProof/>
        </w:rPr>
        <w:t xml:space="preserve">gradually </w:t>
      </w:r>
      <w:r w:rsidR="00852089" w:rsidRPr="009E7A37">
        <w:rPr>
          <w:noProof/>
        </w:rPr>
        <w:t xml:space="preserve">introduced only for </w:t>
      </w:r>
      <w:r w:rsidR="003C132B" w:rsidRPr="009E7A37">
        <w:rPr>
          <w:noProof/>
        </w:rPr>
        <w:t xml:space="preserve">products </w:t>
      </w:r>
      <w:r w:rsidR="00026D17" w:rsidRPr="009E7A37">
        <w:rPr>
          <w:noProof/>
        </w:rPr>
        <w:t>to be purchased thanks to</w:t>
      </w:r>
      <w:r w:rsidR="003C132B" w:rsidRPr="009E7A37">
        <w:rPr>
          <w:noProof/>
        </w:rPr>
        <w:t xml:space="preserve"> p</w:t>
      </w:r>
      <w:r w:rsidR="0028449F" w:rsidRPr="009E7A37">
        <w:rPr>
          <w:noProof/>
        </w:rPr>
        <w:t>ublic financing</w:t>
      </w:r>
      <w:r w:rsidR="00026D17" w:rsidRPr="009E7A37">
        <w:rPr>
          <w:noProof/>
        </w:rPr>
        <w:t>. This p</w:t>
      </w:r>
      <w:r w:rsidR="00EE6FA3" w:rsidRPr="009E7A37">
        <w:rPr>
          <w:noProof/>
        </w:rPr>
        <w:t>rovid</w:t>
      </w:r>
      <w:r w:rsidR="00026D17" w:rsidRPr="009E7A37">
        <w:rPr>
          <w:noProof/>
        </w:rPr>
        <w:t>es</w:t>
      </w:r>
      <w:r w:rsidR="00EE6FA3" w:rsidRPr="009E7A37">
        <w:rPr>
          <w:noProof/>
        </w:rPr>
        <w:t xml:space="preserve"> member States and business with some </w:t>
      </w:r>
      <w:r w:rsidR="001C2E51" w:rsidRPr="009E7A37">
        <w:rPr>
          <w:noProof/>
        </w:rPr>
        <w:t xml:space="preserve">flexibility and adjustment time, to allow production ramp up and, ultimately, </w:t>
      </w:r>
      <w:r w:rsidR="0035740F" w:rsidRPr="009E7A37">
        <w:rPr>
          <w:noProof/>
        </w:rPr>
        <w:t xml:space="preserve">lowering the </w:t>
      </w:r>
      <w:r w:rsidR="001C2E51" w:rsidRPr="009E7A37">
        <w:rPr>
          <w:noProof/>
        </w:rPr>
        <w:t xml:space="preserve">green premium. </w:t>
      </w:r>
      <w:r w:rsidR="00026D17" w:rsidRPr="009E7A37">
        <w:rPr>
          <w:noProof/>
        </w:rPr>
        <w:t>It also ensures that public money is spent to support the objective of EU industrial resilience and decarbonisation. PO2 corresponds to the most</w:t>
      </w:r>
      <w:r w:rsidRPr="009E7A37">
        <w:rPr>
          <w:noProof/>
        </w:rPr>
        <w:t xml:space="preserve"> proportionate approach, considering market realities and calibrated against the sectors</w:t>
      </w:r>
      <w:r w:rsidR="00026D17" w:rsidRPr="009E7A37">
        <w:rPr>
          <w:noProof/>
        </w:rPr>
        <w:t>’</w:t>
      </w:r>
      <w:r w:rsidRPr="009E7A37">
        <w:rPr>
          <w:noProof/>
        </w:rPr>
        <w:t xml:space="preserve"> ability to fully scale up production for low-carbon steel</w:t>
      </w:r>
      <w:r w:rsidR="00026D17" w:rsidRPr="009E7A37">
        <w:rPr>
          <w:noProof/>
        </w:rPr>
        <w:t xml:space="preserve">, cement and aluminium, as well as domestic </w:t>
      </w:r>
      <w:r w:rsidR="00145683" w:rsidRPr="009E7A37">
        <w:rPr>
          <w:noProof/>
        </w:rPr>
        <w:t>clean tech</w:t>
      </w:r>
      <w:r w:rsidRPr="009E7A37">
        <w:rPr>
          <w:noProof/>
        </w:rPr>
        <w:t>.</w:t>
      </w:r>
    </w:p>
    <w:p w14:paraId="7EC5676E" w14:textId="1D5DECFD" w:rsidR="00285741" w:rsidRDefault="00285741" w:rsidP="00195EC6">
      <w:pPr>
        <w:spacing w:after="120"/>
        <w:rPr>
          <w:rFonts w:eastAsia="Times New Roman"/>
          <w:noProof/>
          <w:color w:val="000000" w:themeColor="text1"/>
        </w:rPr>
      </w:pPr>
      <w:r w:rsidRPr="00571959">
        <w:rPr>
          <w:rFonts w:eastAsia="Times New Roman"/>
          <w:b/>
          <w:noProof/>
          <w:color w:val="000000" w:themeColor="text1"/>
        </w:rPr>
        <w:t xml:space="preserve">PO3 </w:t>
      </w:r>
      <w:r w:rsidRPr="3285770D">
        <w:rPr>
          <w:rFonts w:eastAsia="Times New Roman"/>
          <w:noProof/>
          <w:color w:val="000000" w:themeColor="text1"/>
        </w:rPr>
        <w:t xml:space="preserve">establishes the highest level of intervention in the market, increasing the obligation not only on the Member States but also more substantially on market operators, especially downstream sectors that will have to comply with the mandatory minimum </w:t>
      </w:r>
      <w:r w:rsidR="00E83DDC">
        <w:rPr>
          <w:rFonts w:eastAsia="Times New Roman"/>
          <w:noProof/>
          <w:color w:val="000000" w:themeColor="text1"/>
        </w:rPr>
        <w:t>Made in EU</w:t>
      </w:r>
      <w:r w:rsidRPr="3285770D">
        <w:rPr>
          <w:rFonts w:eastAsia="Times New Roman"/>
          <w:noProof/>
          <w:color w:val="000000" w:themeColor="text1"/>
        </w:rPr>
        <w:t xml:space="preserve"> requirements. </w:t>
      </w:r>
      <w:r w:rsidRPr="4680A8F4">
        <w:rPr>
          <w:rFonts w:eastAsia="Times New Roman"/>
          <w:noProof/>
          <w:color w:val="000000" w:themeColor="text1"/>
        </w:rPr>
        <w:t>Regarding</w:t>
      </w:r>
      <w:r w:rsidRPr="3285770D">
        <w:rPr>
          <w:rFonts w:eastAsia="Times New Roman"/>
          <w:noProof/>
          <w:color w:val="000000" w:themeColor="text1"/>
        </w:rPr>
        <w:t xml:space="preserve"> </w:t>
      </w:r>
      <w:r w:rsidRPr="000272AD">
        <w:rPr>
          <w:rFonts w:eastAsia="Times New Roman"/>
          <w:noProof/>
          <w:color w:val="000000" w:themeColor="text1"/>
        </w:rPr>
        <w:t>SO4, requirements on permitting in PO2 and PO3 increasingly impose further obligations on Member States to streamline processes and time management. At the same time, they would both provide further discretion to Member States regarding permit-granting and the application of environmental legislation, which would make the options overall proportionate to the objectives.</w:t>
      </w:r>
    </w:p>
    <w:p w14:paraId="761DDF25" w14:textId="6FA2F4AB" w:rsidR="0088055C" w:rsidRDefault="0088055C" w:rsidP="0088055C">
      <w:pPr>
        <w:pStyle w:val="Caption"/>
        <w:keepNext/>
        <w:rPr>
          <w:noProof/>
        </w:rPr>
      </w:pPr>
      <w:r>
        <w:rPr>
          <w:noProof/>
        </w:rPr>
        <w:t xml:space="preserve">Table </w:t>
      </w:r>
      <w:r>
        <w:rPr>
          <w:noProof/>
        </w:rPr>
        <w:fldChar w:fldCharType="begin"/>
      </w:r>
      <w:r w:rsidRPr="3F0F1197">
        <w:rPr>
          <w:noProof/>
          <w:sz w:val="20"/>
          <w:szCs w:val="20"/>
        </w:rPr>
        <w:instrText xml:space="preserve"> SEQ Table \* ARABIC </w:instrText>
      </w:r>
      <w:r>
        <w:rPr>
          <w:noProof/>
        </w:rPr>
        <w:fldChar w:fldCharType="separate"/>
      </w:r>
      <w:r w:rsidR="00E16D65" w:rsidRPr="3F0F1197">
        <w:rPr>
          <w:noProof/>
          <w:sz w:val="20"/>
          <w:szCs w:val="20"/>
        </w:rPr>
        <w:t>5</w:t>
      </w:r>
      <w:r>
        <w:rPr>
          <w:noProof/>
        </w:rPr>
        <w:fldChar w:fldCharType="end"/>
      </w:r>
      <w:r>
        <w:rPr>
          <w:noProof/>
        </w:rPr>
        <w:t>: Summary comparison of the options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1700"/>
        <w:gridCol w:w="1843"/>
        <w:gridCol w:w="1224"/>
      </w:tblGrid>
      <w:tr w:rsidR="00285741" w:rsidRPr="00F6288E" w14:paraId="242E91FE" w14:textId="77777777" w:rsidTr="3F0F1197">
        <w:trPr>
          <w:trHeight w:val="255"/>
          <w:tblHeader/>
          <w:jc w:val="center"/>
        </w:trPr>
        <w:tc>
          <w:tcPr>
            <w:tcW w:w="2356" w:type="pct"/>
            <w:shd w:val="clear" w:color="auto" w:fill="E97132" w:themeFill="accent2"/>
            <w:hideMark/>
          </w:tcPr>
          <w:p w14:paraId="730675C4"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Impacts</w:t>
            </w:r>
          </w:p>
        </w:tc>
        <w:tc>
          <w:tcPr>
            <w:tcW w:w="943" w:type="pct"/>
            <w:shd w:val="clear" w:color="auto" w:fill="E97132" w:themeFill="accent2"/>
            <w:hideMark/>
          </w:tcPr>
          <w:p w14:paraId="59E0CCA0"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PO1</w:t>
            </w:r>
          </w:p>
        </w:tc>
        <w:tc>
          <w:tcPr>
            <w:tcW w:w="1022" w:type="pct"/>
            <w:shd w:val="clear" w:color="auto" w:fill="E97132" w:themeFill="accent2"/>
            <w:hideMark/>
          </w:tcPr>
          <w:p w14:paraId="2016E9AC"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PO2</w:t>
            </w:r>
          </w:p>
        </w:tc>
        <w:tc>
          <w:tcPr>
            <w:tcW w:w="679" w:type="pct"/>
            <w:shd w:val="clear" w:color="auto" w:fill="E97132" w:themeFill="accent2"/>
            <w:hideMark/>
          </w:tcPr>
          <w:p w14:paraId="2A0F3344"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PO3</w:t>
            </w:r>
          </w:p>
        </w:tc>
      </w:tr>
      <w:tr w:rsidR="00285741" w:rsidRPr="00F6288E" w14:paraId="793A6F20" w14:textId="77777777" w:rsidTr="3F0F1197">
        <w:trPr>
          <w:trHeight w:val="255"/>
          <w:jc w:val="center"/>
        </w:trPr>
        <w:tc>
          <w:tcPr>
            <w:tcW w:w="2356" w:type="pct"/>
            <w:shd w:val="clear" w:color="auto" w:fill="F6C5AC" w:themeFill="accent2" w:themeFillTint="66"/>
            <w:hideMark/>
          </w:tcPr>
          <w:p w14:paraId="29A39265" w14:textId="77777777" w:rsidR="00285741" w:rsidRPr="00F6288E" w:rsidRDefault="00285741">
            <w:pPr>
              <w:ind w:right="114"/>
              <w:rPr>
                <w:rFonts w:eastAsia="Aptos"/>
                <w:b/>
                <w:bCs/>
                <w:noProof/>
                <w:color w:val="FFFFFF"/>
                <w:kern w:val="2"/>
                <w:sz w:val="20"/>
                <w:szCs w:val="20"/>
                <w:lang w:eastAsia="en-GB"/>
              </w:rPr>
            </w:pPr>
            <w:r w:rsidRPr="3285770D">
              <w:rPr>
                <w:rFonts w:eastAsia="Aptos"/>
                <w:b/>
                <w:bCs/>
                <w:noProof/>
                <w:color w:val="FFFFFF"/>
                <w:kern w:val="2"/>
                <w:sz w:val="20"/>
                <w:szCs w:val="20"/>
                <w:lang w:eastAsia="en-GB"/>
              </w:rPr>
              <w:t>Effectiveness</w:t>
            </w:r>
          </w:p>
        </w:tc>
        <w:tc>
          <w:tcPr>
            <w:tcW w:w="943" w:type="pct"/>
            <w:shd w:val="clear" w:color="auto" w:fill="F6C5AC" w:themeFill="accent2" w:themeFillTint="66"/>
            <w:hideMark/>
          </w:tcPr>
          <w:p w14:paraId="0333ED5C"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themeColor="background1"/>
                <w:sz w:val="20"/>
                <w:szCs w:val="20"/>
                <w:lang w:eastAsia="en-GB"/>
              </w:rPr>
              <w:t>+</w:t>
            </w:r>
          </w:p>
        </w:tc>
        <w:tc>
          <w:tcPr>
            <w:tcW w:w="1022" w:type="pct"/>
            <w:shd w:val="clear" w:color="auto" w:fill="F6C5AC" w:themeFill="accent2" w:themeFillTint="66"/>
            <w:noWrap/>
            <w:hideMark/>
          </w:tcPr>
          <w:p w14:paraId="7A258C87"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p>
        </w:tc>
        <w:tc>
          <w:tcPr>
            <w:tcW w:w="679" w:type="pct"/>
            <w:shd w:val="clear" w:color="auto" w:fill="F6C5AC" w:themeFill="accent2" w:themeFillTint="66"/>
            <w:noWrap/>
            <w:hideMark/>
          </w:tcPr>
          <w:p w14:paraId="0D8D1A66"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themeColor="background1"/>
                <w:sz w:val="20"/>
                <w:szCs w:val="20"/>
                <w:lang w:eastAsia="en-GB"/>
              </w:rPr>
              <w:t>++</w:t>
            </w:r>
          </w:p>
        </w:tc>
      </w:tr>
      <w:tr w:rsidR="00285741" w:rsidRPr="00F6288E" w14:paraId="0214D277" w14:textId="77777777" w:rsidTr="3F0F1197">
        <w:trPr>
          <w:trHeight w:val="250"/>
          <w:jc w:val="center"/>
        </w:trPr>
        <w:tc>
          <w:tcPr>
            <w:tcW w:w="2356" w:type="pct"/>
          </w:tcPr>
          <w:p w14:paraId="51C6280B" w14:textId="77777777" w:rsidR="00285741" w:rsidRPr="00F6288E" w:rsidRDefault="00285741">
            <w:pPr>
              <w:ind w:right="114"/>
              <w:rPr>
                <w:noProof/>
                <w:color w:val="000000" w:themeColor="text1"/>
                <w:kern w:val="2"/>
                <w:sz w:val="20"/>
                <w:szCs w:val="20"/>
              </w:rPr>
            </w:pPr>
            <w:r w:rsidRPr="00F6288E">
              <w:rPr>
                <w:rFonts w:eastAsia="Aptos"/>
                <w:noProof/>
                <w:color w:val="000000" w:themeColor="text1"/>
                <w:kern w:val="2"/>
                <w:sz w:val="20"/>
                <w:szCs w:val="20"/>
                <w:lang w:eastAsia="en-GB"/>
              </w:rPr>
              <w:t>SO1</w:t>
            </w:r>
          </w:p>
        </w:tc>
        <w:tc>
          <w:tcPr>
            <w:tcW w:w="943" w:type="pct"/>
          </w:tcPr>
          <w:p w14:paraId="39FB0CEE"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color w:val="FFFFFF"/>
                <w:kern w:val="2"/>
                <w:sz w:val="20"/>
                <w:szCs w:val="20"/>
                <w:lang w:eastAsia="en-GB"/>
              </w:rPr>
              <w:t> </w:t>
            </w:r>
            <w:r w:rsidRPr="00F6288E">
              <w:rPr>
                <w:rFonts w:eastAsia="Aptos"/>
                <w:b/>
                <w:noProof/>
                <w:sz w:val="20"/>
                <w:szCs w:val="20"/>
                <w:lang w:eastAsia="en-GB"/>
              </w:rPr>
              <w:t>++</w:t>
            </w:r>
          </w:p>
        </w:tc>
        <w:tc>
          <w:tcPr>
            <w:tcW w:w="1701" w:type="pct"/>
            <w:gridSpan w:val="2"/>
            <w:noWrap/>
          </w:tcPr>
          <w:p w14:paraId="6F2BE59E" w14:textId="77777777" w:rsidR="00285741" w:rsidRPr="00F6288E" w:rsidRDefault="00285741">
            <w:pPr>
              <w:ind w:right="114"/>
              <w:jc w:val="center"/>
              <w:rPr>
                <w:rFonts w:eastAsia="Aptos"/>
                <w:b/>
                <w:bCs/>
                <w:noProof/>
                <w:kern w:val="2"/>
                <w:sz w:val="20"/>
                <w:szCs w:val="20"/>
                <w:lang w:eastAsia="en-GB"/>
              </w:rPr>
            </w:pPr>
            <w:r w:rsidRPr="3285770D">
              <w:rPr>
                <w:rFonts w:eastAsia="Aptos"/>
                <w:b/>
                <w:noProof/>
                <w:sz w:val="20"/>
                <w:szCs w:val="20"/>
                <w:lang w:eastAsia="en-GB"/>
              </w:rPr>
              <w:t>+</w:t>
            </w:r>
          </w:p>
        </w:tc>
      </w:tr>
      <w:tr w:rsidR="00285741" w:rsidRPr="00F6288E" w14:paraId="6775086C" w14:textId="77777777" w:rsidTr="3F0F1197">
        <w:trPr>
          <w:trHeight w:val="255"/>
          <w:jc w:val="center"/>
        </w:trPr>
        <w:tc>
          <w:tcPr>
            <w:tcW w:w="2356" w:type="pct"/>
          </w:tcPr>
          <w:p w14:paraId="73DAE0A4" w14:textId="77777777" w:rsidR="00285741" w:rsidRPr="00F6288E" w:rsidRDefault="00285741">
            <w:pPr>
              <w:ind w:right="114"/>
              <w:rPr>
                <w:noProof/>
                <w:color w:val="000000" w:themeColor="text1"/>
                <w:kern w:val="2"/>
                <w:sz w:val="20"/>
                <w:szCs w:val="20"/>
              </w:rPr>
            </w:pPr>
            <w:r w:rsidRPr="00F6288E">
              <w:rPr>
                <w:rFonts w:eastAsia="Aptos"/>
                <w:noProof/>
                <w:color w:val="000000" w:themeColor="text1"/>
                <w:kern w:val="2"/>
                <w:sz w:val="20"/>
                <w:szCs w:val="20"/>
                <w:lang w:eastAsia="en-GB"/>
              </w:rPr>
              <w:t xml:space="preserve">SO2 </w:t>
            </w:r>
          </w:p>
        </w:tc>
        <w:tc>
          <w:tcPr>
            <w:tcW w:w="943" w:type="pct"/>
          </w:tcPr>
          <w:p w14:paraId="2EE8E360" w14:textId="77777777" w:rsidR="00285741" w:rsidRPr="00F6288E" w:rsidRDefault="00285741">
            <w:pPr>
              <w:ind w:right="114"/>
              <w:jc w:val="center"/>
              <w:rPr>
                <w:rFonts w:eastAsia="Aptos"/>
                <w:b/>
                <w:bCs/>
                <w:noProof/>
                <w:kern w:val="2"/>
                <w:sz w:val="20"/>
                <w:szCs w:val="20"/>
                <w:lang w:eastAsia="en-GB"/>
              </w:rPr>
            </w:pPr>
            <w:r w:rsidRPr="3285770D" w:rsidDel="00CF7B87">
              <w:rPr>
                <w:rFonts w:eastAsia="Aptos"/>
                <w:b/>
                <w:bCs/>
                <w:noProof/>
                <w:kern w:val="2"/>
                <w:sz w:val="20"/>
                <w:szCs w:val="20"/>
                <w:lang w:eastAsia="en-GB"/>
              </w:rPr>
              <w:t>+</w:t>
            </w:r>
          </w:p>
        </w:tc>
        <w:tc>
          <w:tcPr>
            <w:tcW w:w="1022" w:type="pct"/>
            <w:noWrap/>
          </w:tcPr>
          <w:p w14:paraId="3767A4BB"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kern w:val="2"/>
                <w:sz w:val="20"/>
                <w:szCs w:val="20"/>
                <w:lang w:eastAsia="en-GB"/>
              </w:rPr>
              <w:t>+++</w:t>
            </w:r>
          </w:p>
        </w:tc>
        <w:tc>
          <w:tcPr>
            <w:tcW w:w="679" w:type="pct"/>
            <w:noWrap/>
          </w:tcPr>
          <w:p w14:paraId="1E275F05"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kern w:val="2"/>
                <w:sz w:val="20"/>
                <w:szCs w:val="20"/>
                <w:lang w:eastAsia="en-GB"/>
              </w:rPr>
              <w:t>+</w:t>
            </w:r>
            <w:r>
              <w:rPr>
                <w:rFonts w:eastAsia="Aptos"/>
                <w:b/>
                <w:bCs/>
                <w:noProof/>
                <w:kern w:val="2"/>
                <w:sz w:val="20"/>
                <w:szCs w:val="20"/>
                <w:lang w:eastAsia="en-GB"/>
              </w:rPr>
              <w:t>+</w:t>
            </w:r>
          </w:p>
        </w:tc>
      </w:tr>
      <w:tr w:rsidR="00285741" w:rsidRPr="00F6288E" w14:paraId="60D52639" w14:textId="77777777" w:rsidTr="3F0F1197">
        <w:trPr>
          <w:trHeight w:val="255"/>
          <w:jc w:val="center"/>
        </w:trPr>
        <w:tc>
          <w:tcPr>
            <w:tcW w:w="2356" w:type="pct"/>
          </w:tcPr>
          <w:p w14:paraId="0FD10DA0" w14:textId="77777777" w:rsidR="00285741" w:rsidRPr="00F6288E" w:rsidRDefault="00285741">
            <w:pPr>
              <w:ind w:right="114"/>
              <w:rPr>
                <w:noProof/>
                <w:color w:val="000000" w:themeColor="text1"/>
                <w:kern w:val="2"/>
                <w:sz w:val="20"/>
                <w:szCs w:val="20"/>
              </w:rPr>
            </w:pPr>
            <w:r w:rsidRPr="00F6288E">
              <w:rPr>
                <w:rFonts w:eastAsia="Aptos"/>
                <w:noProof/>
                <w:color w:val="000000" w:themeColor="text1"/>
                <w:kern w:val="2"/>
                <w:sz w:val="20"/>
                <w:szCs w:val="20"/>
                <w:lang w:eastAsia="en-GB"/>
              </w:rPr>
              <w:t>SO3</w:t>
            </w:r>
          </w:p>
        </w:tc>
        <w:tc>
          <w:tcPr>
            <w:tcW w:w="943" w:type="pct"/>
          </w:tcPr>
          <w:p w14:paraId="6204664D"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kern w:val="2"/>
                <w:sz w:val="20"/>
                <w:szCs w:val="20"/>
                <w:lang w:eastAsia="en-GB"/>
              </w:rPr>
              <w:t>+</w:t>
            </w:r>
          </w:p>
        </w:tc>
        <w:tc>
          <w:tcPr>
            <w:tcW w:w="1701" w:type="pct"/>
            <w:gridSpan w:val="2"/>
            <w:noWrap/>
          </w:tcPr>
          <w:p w14:paraId="5DD57422"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kern w:val="2"/>
                <w:sz w:val="20"/>
                <w:szCs w:val="20"/>
                <w:lang w:eastAsia="en-GB"/>
              </w:rPr>
              <w:t>+++</w:t>
            </w:r>
          </w:p>
        </w:tc>
      </w:tr>
      <w:tr w:rsidR="00285741" w:rsidRPr="00F6288E" w14:paraId="78FDD43C" w14:textId="77777777" w:rsidTr="3F0F1197">
        <w:trPr>
          <w:trHeight w:val="232"/>
          <w:jc w:val="center"/>
        </w:trPr>
        <w:tc>
          <w:tcPr>
            <w:tcW w:w="2356" w:type="pct"/>
          </w:tcPr>
          <w:p w14:paraId="6C284BCB" w14:textId="77777777" w:rsidR="00285741" w:rsidRPr="00F6288E" w:rsidRDefault="00285741">
            <w:pPr>
              <w:ind w:right="114"/>
              <w:rPr>
                <w:noProof/>
                <w:color w:val="000000" w:themeColor="text1"/>
                <w:kern w:val="2"/>
                <w:sz w:val="20"/>
                <w:szCs w:val="20"/>
              </w:rPr>
            </w:pPr>
            <w:r w:rsidRPr="00F6288E">
              <w:rPr>
                <w:rFonts w:eastAsia="Aptos"/>
                <w:noProof/>
                <w:color w:val="000000" w:themeColor="text1"/>
                <w:kern w:val="2"/>
                <w:sz w:val="20"/>
                <w:szCs w:val="20"/>
                <w:lang w:eastAsia="en-GB"/>
              </w:rPr>
              <w:t>SO4</w:t>
            </w:r>
          </w:p>
        </w:tc>
        <w:tc>
          <w:tcPr>
            <w:tcW w:w="943" w:type="pct"/>
          </w:tcPr>
          <w:p w14:paraId="60F0AAF2"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kern w:val="2"/>
                <w:sz w:val="20"/>
                <w:szCs w:val="20"/>
                <w:lang w:eastAsia="en-GB"/>
              </w:rPr>
              <w:t>+</w:t>
            </w:r>
          </w:p>
        </w:tc>
        <w:tc>
          <w:tcPr>
            <w:tcW w:w="1022" w:type="pct"/>
            <w:noWrap/>
          </w:tcPr>
          <w:p w14:paraId="0BDAFE07"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kern w:val="2"/>
                <w:sz w:val="20"/>
                <w:szCs w:val="20"/>
                <w:lang w:eastAsia="en-GB"/>
              </w:rPr>
              <w:t>++</w:t>
            </w:r>
          </w:p>
        </w:tc>
        <w:tc>
          <w:tcPr>
            <w:tcW w:w="679" w:type="pct"/>
            <w:noWrap/>
          </w:tcPr>
          <w:p w14:paraId="6B500C89" w14:textId="77777777" w:rsidR="00285741" w:rsidRPr="00F6288E" w:rsidRDefault="00285741">
            <w:pPr>
              <w:ind w:right="114"/>
              <w:jc w:val="center"/>
              <w:rPr>
                <w:rFonts w:eastAsia="Aptos"/>
                <w:b/>
                <w:bCs/>
                <w:noProof/>
                <w:kern w:val="2"/>
                <w:sz w:val="20"/>
                <w:szCs w:val="20"/>
                <w:lang w:eastAsia="en-GB"/>
              </w:rPr>
            </w:pPr>
            <w:r w:rsidRPr="3285770D">
              <w:rPr>
                <w:rFonts w:eastAsia="Aptos"/>
                <w:b/>
                <w:bCs/>
                <w:noProof/>
                <w:kern w:val="2"/>
                <w:sz w:val="20"/>
                <w:szCs w:val="20"/>
                <w:lang w:eastAsia="en-GB"/>
              </w:rPr>
              <w:t>+++</w:t>
            </w:r>
          </w:p>
        </w:tc>
      </w:tr>
      <w:tr w:rsidR="00285741" w:rsidRPr="00F6288E" w14:paraId="6396AA96" w14:textId="77777777" w:rsidTr="3F0F1197">
        <w:trPr>
          <w:trHeight w:val="249"/>
          <w:jc w:val="center"/>
        </w:trPr>
        <w:tc>
          <w:tcPr>
            <w:tcW w:w="2356" w:type="pct"/>
          </w:tcPr>
          <w:p w14:paraId="3CC3F45D" w14:textId="77777777" w:rsidR="00285741" w:rsidRPr="00F6288E" w:rsidRDefault="00285741">
            <w:pPr>
              <w:ind w:right="114"/>
              <w:rPr>
                <w:rFonts w:eastAsia="Aptos"/>
                <w:noProof/>
                <w:color w:val="000000" w:themeColor="text1"/>
                <w:kern w:val="2"/>
                <w:sz w:val="20"/>
                <w:szCs w:val="20"/>
                <w:lang w:eastAsia="en-GB"/>
              </w:rPr>
            </w:pPr>
            <w:r w:rsidRPr="3285770D">
              <w:rPr>
                <w:rFonts w:eastAsia="Aptos"/>
                <w:noProof/>
                <w:color w:val="000000" w:themeColor="text1"/>
                <w:sz w:val="20"/>
                <w:szCs w:val="20"/>
                <w:lang w:eastAsia="en-GB"/>
              </w:rPr>
              <w:t>SO5</w:t>
            </w:r>
          </w:p>
        </w:tc>
        <w:tc>
          <w:tcPr>
            <w:tcW w:w="943" w:type="pct"/>
          </w:tcPr>
          <w:p w14:paraId="44826349" w14:textId="77777777" w:rsidR="00285741" w:rsidRPr="00F6288E" w:rsidRDefault="00285741">
            <w:pPr>
              <w:ind w:right="114"/>
              <w:jc w:val="center"/>
              <w:rPr>
                <w:rFonts w:eastAsia="Aptos"/>
                <w:b/>
                <w:noProof/>
                <w:kern w:val="2"/>
                <w:sz w:val="20"/>
                <w:szCs w:val="20"/>
                <w:lang w:eastAsia="en-GB"/>
              </w:rPr>
            </w:pPr>
            <w:r>
              <w:rPr>
                <w:rFonts w:eastAsia="Aptos"/>
                <w:b/>
                <w:noProof/>
                <w:kern w:val="2"/>
                <w:sz w:val="20"/>
                <w:szCs w:val="20"/>
                <w:lang w:eastAsia="en-GB"/>
              </w:rPr>
              <w:t>+</w:t>
            </w:r>
          </w:p>
        </w:tc>
        <w:tc>
          <w:tcPr>
            <w:tcW w:w="1701" w:type="pct"/>
            <w:gridSpan w:val="2"/>
            <w:noWrap/>
          </w:tcPr>
          <w:p w14:paraId="5927B6A5" w14:textId="77777777" w:rsidR="00285741" w:rsidRPr="00F6288E" w:rsidRDefault="00285741">
            <w:pPr>
              <w:ind w:right="114"/>
              <w:jc w:val="center"/>
              <w:rPr>
                <w:rFonts w:eastAsia="Aptos"/>
                <w:b/>
                <w:noProof/>
                <w:kern w:val="2"/>
                <w:sz w:val="20"/>
                <w:szCs w:val="20"/>
                <w:lang w:eastAsia="en-GB"/>
              </w:rPr>
            </w:pPr>
            <w:r>
              <w:rPr>
                <w:rFonts w:eastAsia="Aptos"/>
                <w:b/>
                <w:noProof/>
                <w:kern w:val="2"/>
                <w:sz w:val="20"/>
                <w:szCs w:val="20"/>
                <w:lang w:eastAsia="en-GB"/>
              </w:rPr>
              <w:t>++</w:t>
            </w:r>
          </w:p>
        </w:tc>
      </w:tr>
      <w:tr w:rsidR="00285741" w:rsidRPr="00F6288E" w14:paraId="32045425" w14:textId="77777777" w:rsidTr="3F0F1197">
        <w:trPr>
          <w:trHeight w:val="255"/>
          <w:jc w:val="center"/>
        </w:trPr>
        <w:tc>
          <w:tcPr>
            <w:tcW w:w="2356" w:type="pct"/>
            <w:shd w:val="clear" w:color="auto" w:fill="F6C5AC" w:themeFill="accent2" w:themeFillTint="66"/>
            <w:hideMark/>
          </w:tcPr>
          <w:p w14:paraId="261B23BF" w14:textId="77777777" w:rsidR="00285741" w:rsidRPr="00F6288E" w:rsidRDefault="00285741">
            <w:pPr>
              <w:ind w:right="114"/>
              <w:rPr>
                <w:rFonts w:eastAsia="Aptos"/>
                <w:b/>
                <w:bCs/>
                <w:noProof/>
                <w:color w:val="FFFFFF"/>
                <w:kern w:val="2"/>
                <w:sz w:val="20"/>
                <w:szCs w:val="20"/>
                <w:lang w:eastAsia="en-GB"/>
              </w:rPr>
            </w:pPr>
            <w:r w:rsidRPr="3285770D">
              <w:rPr>
                <w:rFonts w:eastAsia="Aptos"/>
                <w:b/>
                <w:bCs/>
                <w:noProof/>
                <w:color w:val="FFFFFF"/>
                <w:kern w:val="2"/>
                <w:sz w:val="20"/>
                <w:szCs w:val="20"/>
                <w:lang w:eastAsia="en-GB"/>
              </w:rPr>
              <w:t>Efficiency</w:t>
            </w:r>
          </w:p>
        </w:tc>
        <w:tc>
          <w:tcPr>
            <w:tcW w:w="943" w:type="pct"/>
            <w:shd w:val="clear" w:color="auto" w:fill="F6C5AC" w:themeFill="accent2" w:themeFillTint="66"/>
            <w:hideMark/>
          </w:tcPr>
          <w:p w14:paraId="7A371566" w14:textId="3E8D6C1A"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themeColor="background1"/>
                <w:sz w:val="20"/>
                <w:szCs w:val="20"/>
                <w:lang w:eastAsia="en-GB"/>
              </w:rPr>
              <w:t>+</w:t>
            </w:r>
            <w:r w:rsidR="00C14AE5">
              <w:rPr>
                <w:rFonts w:eastAsia="Aptos"/>
                <w:b/>
                <w:bCs/>
                <w:noProof/>
                <w:color w:val="FFFFFF" w:themeColor="background1"/>
                <w:sz w:val="20"/>
                <w:szCs w:val="20"/>
                <w:lang w:eastAsia="en-GB"/>
              </w:rPr>
              <w:t>+</w:t>
            </w:r>
          </w:p>
        </w:tc>
        <w:tc>
          <w:tcPr>
            <w:tcW w:w="1022" w:type="pct"/>
            <w:shd w:val="clear" w:color="auto" w:fill="F6C5AC" w:themeFill="accent2" w:themeFillTint="66"/>
            <w:noWrap/>
            <w:hideMark/>
          </w:tcPr>
          <w:p w14:paraId="2E3CE10B" w14:textId="6F59C449" w:rsidR="00285741" w:rsidRPr="00F6288E" w:rsidRDefault="00285741">
            <w:pPr>
              <w:ind w:right="114"/>
              <w:jc w:val="center"/>
              <w:rPr>
                <w:rFonts w:eastAsia="Aptos"/>
                <w:b/>
                <w:bCs/>
                <w:noProof/>
                <w:color w:val="FFFFFF"/>
                <w:kern w:val="2"/>
                <w:sz w:val="20"/>
                <w:szCs w:val="20"/>
                <w:lang w:eastAsia="en-GB"/>
              </w:rPr>
            </w:pPr>
            <w:r w:rsidRPr="00F6288E">
              <w:rPr>
                <w:rFonts w:eastAsia="Aptos"/>
                <w:b/>
                <w:noProof/>
                <w:color w:val="FFFFFF"/>
                <w:kern w:val="2"/>
                <w:sz w:val="20"/>
                <w:szCs w:val="20"/>
                <w:lang w:eastAsia="en-GB"/>
              </w:rPr>
              <w:t>++</w:t>
            </w:r>
            <w:r>
              <w:rPr>
                <w:rFonts w:eastAsia="Aptos"/>
                <w:b/>
                <w:noProof/>
                <w:color w:val="FFFFFF"/>
                <w:kern w:val="2"/>
                <w:sz w:val="20"/>
                <w:szCs w:val="20"/>
                <w:lang w:eastAsia="en-GB"/>
              </w:rPr>
              <w:t>+</w:t>
            </w:r>
          </w:p>
        </w:tc>
        <w:tc>
          <w:tcPr>
            <w:tcW w:w="679" w:type="pct"/>
            <w:shd w:val="clear" w:color="auto" w:fill="F6C5AC" w:themeFill="accent2" w:themeFillTint="66"/>
            <w:noWrap/>
            <w:hideMark/>
          </w:tcPr>
          <w:p w14:paraId="7092278E" w14:textId="3C376848"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p>
        </w:tc>
      </w:tr>
      <w:tr w:rsidR="00285741" w:rsidRPr="00F6288E" w14:paraId="5E0B95D7" w14:textId="77777777" w:rsidTr="3F0F1197">
        <w:trPr>
          <w:trHeight w:val="263"/>
          <w:jc w:val="center"/>
        </w:trPr>
        <w:tc>
          <w:tcPr>
            <w:tcW w:w="2356" w:type="pct"/>
            <w:hideMark/>
          </w:tcPr>
          <w:p w14:paraId="6B1CD619" w14:textId="77777777" w:rsidR="00285741" w:rsidRPr="002A27A2" w:rsidRDefault="00285741">
            <w:pPr>
              <w:ind w:right="114"/>
              <w:rPr>
                <w:noProof/>
                <w:color w:val="000000" w:themeColor="text1"/>
                <w:kern w:val="2"/>
                <w:sz w:val="20"/>
                <w:szCs w:val="20"/>
              </w:rPr>
            </w:pPr>
            <w:r w:rsidRPr="002A27A2">
              <w:rPr>
                <w:noProof/>
                <w:color w:val="000000" w:themeColor="text1"/>
                <w:kern w:val="2"/>
                <w:sz w:val="20"/>
                <w:szCs w:val="20"/>
              </w:rPr>
              <w:t xml:space="preserve">SO1 </w:t>
            </w:r>
          </w:p>
        </w:tc>
        <w:tc>
          <w:tcPr>
            <w:tcW w:w="943" w:type="pct"/>
            <w:hideMark/>
          </w:tcPr>
          <w:p w14:paraId="4C4E61EF"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r w:rsidRPr="3285770D">
              <w:rPr>
                <w:rFonts w:eastAsia="Aptos"/>
                <w:b/>
                <w:bCs/>
                <w:noProof/>
                <w:sz w:val="20"/>
                <w:szCs w:val="20"/>
                <w:lang w:eastAsia="en-GB"/>
              </w:rPr>
              <w:t>+</w:t>
            </w:r>
            <w:r w:rsidRPr="3285770D">
              <w:rPr>
                <w:rFonts w:eastAsia="Aptos"/>
                <w:b/>
                <w:bCs/>
                <w:noProof/>
                <w:color w:val="FFFFFF" w:themeColor="background1"/>
                <w:sz w:val="20"/>
                <w:szCs w:val="20"/>
                <w:lang w:eastAsia="en-GB"/>
              </w:rPr>
              <w:t xml:space="preserve"> </w:t>
            </w:r>
            <w:r w:rsidRPr="3285770D">
              <w:rPr>
                <w:rFonts w:eastAsia="Aptos"/>
                <w:b/>
                <w:bCs/>
                <w:noProof/>
                <w:color w:val="FFFFFF"/>
                <w:kern w:val="2"/>
                <w:sz w:val="20"/>
                <w:szCs w:val="20"/>
                <w:lang w:eastAsia="en-GB"/>
              </w:rPr>
              <w:t>+</w:t>
            </w:r>
          </w:p>
        </w:tc>
        <w:tc>
          <w:tcPr>
            <w:tcW w:w="1701" w:type="pct"/>
            <w:gridSpan w:val="2"/>
            <w:noWrap/>
            <w:hideMark/>
          </w:tcPr>
          <w:p w14:paraId="760FFA8B" w14:textId="77777777" w:rsidR="00285741" w:rsidRPr="3285770D" w:rsidRDefault="00285741">
            <w:pPr>
              <w:ind w:right="114"/>
              <w:jc w:val="center"/>
              <w:rPr>
                <w:rFonts w:eastAsia="Aptos"/>
                <w:b/>
                <w:noProof/>
                <w:sz w:val="20"/>
                <w:szCs w:val="20"/>
                <w:lang w:eastAsia="en-GB"/>
              </w:rPr>
            </w:pPr>
            <w:r w:rsidRPr="3285770D">
              <w:rPr>
                <w:rFonts w:eastAsia="Aptos"/>
                <w:b/>
                <w:noProof/>
                <w:sz w:val="20"/>
                <w:szCs w:val="20"/>
                <w:lang w:eastAsia="en-GB"/>
              </w:rPr>
              <w:t>++</w:t>
            </w:r>
          </w:p>
        </w:tc>
      </w:tr>
      <w:tr w:rsidR="00285741" w:rsidRPr="00F6288E" w14:paraId="0528714B" w14:textId="77777777" w:rsidTr="3F0F1197">
        <w:trPr>
          <w:trHeight w:val="255"/>
          <w:jc w:val="center"/>
        </w:trPr>
        <w:tc>
          <w:tcPr>
            <w:tcW w:w="2356" w:type="pct"/>
            <w:hideMark/>
          </w:tcPr>
          <w:p w14:paraId="7D802FF2" w14:textId="77777777" w:rsidR="00285741" w:rsidRPr="002A27A2" w:rsidRDefault="00285741">
            <w:pPr>
              <w:ind w:right="114"/>
              <w:rPr>
                <w:noProof/>
                <w:color w:val="000000" w:themeColor="text1"/>
                <w:kern w:val="2"/>
                <w:sz w:val="20"/>
                <w:szCs w:val="20"/>
              </w:rPr>
            </w:pPr>
            <w:r w:rsidRPr="002A27A2">
              <w:rPr>
                <w:noProof/>
                <w:color w:val="000000" w:themeColor="text1"/>
                <w:kern w:val="2"/>
                <w:sz w:val="20"/>
                <w:szCs w:val="20"/>
              </w:rPr>
              <w:t>SO2</w:t>
            </w:r>
          </w:p>
        </w:tc>
        <w:tc>
          <w:tcPr>
            <w:tcW w:w="943" w:type="pct"/>
            <w:hideMark/>
          </w:tcPr>
          <w:p w14:paraId="39BC44C2"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r>
              <w:rPr>
                <w:rFonts w:eastAsia="Aptos"/>
                <w:b/>
                <w:bCs/>
                <w:noProof/>
                <w:color w:val="000000" w:themeColor="text1"/>
                <w:kern w:val="2"/>
                <w:sz w:val="20"/>
                <w:szCs w:val="20"/>
                <w:lang w:eastAsia="en-GB"/>
              </w:rPr>
              <w:t>+</w:t>
            </w:r>
          </w:p>
        </w:tc>
        <w:tc>
          <w:tcPr>
            <w:tcW w:w="1022" w:type="pct"/>
            <w:noWrap/>
            <w:hideMark/>
          </w:tcPr>
          <w:p w14:paraId="06A6AB69" w14:textId="477977D3"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r w:rsidR="00042958">
              <w:rPr>
                <w:rFonts w:eastAsia="Aptos"/>
                <w:b/>
                <w:bCs/>
                <w:noProof/>
                <w:color w:val="000000" w:themeColor="text1"/>
                <w:kern w:val="2"/>
                <w:sz w:val="20"/>
                <w:szCs w:val="20"/>
                <w:lang w:eastAsia="en-GB"/>
              </w:rPr>
              <w:t>+</w:t>
            </w:r>
          </w:p>
        </w:tc>
        <w:tc>
          <w:tcPr>
            <w:tcW w:w="679" w:type="pct"/>
            <w:noWrap/>
            <w:hideMark/>
          </w:tcPr>
          <w:p w14:paraId="430A81F5" w14:textId="34A85DFC" w:rsidR="00285741" w:rsidRPr="00F6288E" w:rsidRDefault="00C64D0F">
            <w:pPr>
              <w:ind w:right="114"/>
              <w:jc w:val="center"/>
              <w:rPr>
                <w:rFonts w:eastAsia="Aptos"/>
                <w:b/>
                <w:bCs/>
                <w:noProof/>
                <w:color w:val="000000" w:themeColor="text1"/>
                <w:kern w:val="2"/>
                <w:sz w:val="20"/>
                <w:szCs w:val="20"/>
                <w:lang w:eastAsia="en-GB"/>
              </w:rPr>
            </w:pPr>
            <w:r>
              <w:rPr>
                <w:rFonts w:eastAsia="Aptos"/>
                <w:b/>
                <w:bCs/>
                <w:noProof/>
                <w:color w:val="000000" w:themeColor="text1"/>
                <w:kern w:val="2"/>
                <w:sz w:val="20"/>
                <w:szCs w:val="20"/>
                <w:lang w:eastAsia="en-GB"/>
              </w:rPr>
              <w:t xml:space="preserve"> -</w:t>
            </w:r>
          </w:p>
        </w:tc>
      </w:tr>
      <w:tr w:rsidR="00285741" w:rsidRPr="00F6288E" w14:paraId="327176E3" w14:textId="77777777" w:rsidTr="3F0F1197">
        <w:trPr>
          <w:trHeight w:val="255"/>
          <w:jc w:val="center"/>
        </w:trPr>
        <w:tc>
          <w:tcPr>
            <w:tcW w:w="2356" w:type="pct"/>
          </w:tcPr>
          <w:p w14:paraId="7B8F0330" w14:textId="77777777" w:rsidR="00285741" w:rsidRPr="002A27A2" w:rsidRDefault="00285741">
            <w:pPr>
              <w:ind w:right="114"/>
              <w:rPr>
                <w:noProof/>
                <w:color w:val="000000" w:themeColor="text1"/>
                <w:kern w:val="2"/>
                <w:sz w:val="20"/>
                <w:szCs w:val="20"/>
              </w:rPr>
            </w:pPr>
            <w:r w:rsidRPr="002A27A2">
              <w:rPr>
                <w:noProof/>
                <w:color w:val="000000" w:themeColor="text1"/>
                <w:kern w:val="2"/>
                <w:sz w:val="20"/>
                <w:szCs w:val="20"/>
              </w:rPr>
              <w:t>SO3</w:t>
            </w:r>
          </w:p>
        </w:tc>
        <w:tc>
          <w:tcPr>
            <w:tcW w:w="943" w:type="pct"/>
          </w:tcPr>
          <w:p w14:paraId="387A4A70"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p>
        </w:tc>
        <w:tc>
          <w:tcPr>
            <w:tcW w:w="1701" w:type="pct"/>
            <w:gridSpan w:val="2"/>
            <w:noWrap/>
          </w:tcPr>
          <w:p w14:paraId="46868A39" w14:textId="77777777" w:rsidR="00285741" w:rsidRPr="00F6288E" w:rsidRDefault="00285741">
            <w:pPr>
              <w:ind w:right="114"/>
              <w:jc w:val="center"/>
              <w:rPr>
                <w:rFonts w:eastAsia="Aptos"/>
                <w:b/>
                <w:noProof/>
                <w:color w:val="000000" w:themeColor="text1"/>
                <w:kern w:val="2"/>
                <w:sz w:val="20"/>
                <w:szCs w:val="20"/>
                <w:lang w:eastAsia="en-GB"/>
              </w:rPr>
            </w:pPr>
            <w:r w:rsidRPr="00F6288E">
              <w:rPr>
                <w:rFonts w:eastAsia="Aptos"/>
                <w:b/>
                <w:noProof/>
                <w:color w:val="000000" w:themeColor="text1"/>
                <w:kern w:val="2"/>
                <w:sz w:val="20"/>
                <w:szCs w:val="20"/>
                <w:lang w:eastAsia="en-GB"/>
              </w:rPr>
              <w:t>+</w:t>
            </w:r>
            <w:r>
              <w:rPr>
                <w:rFonts w:eastAsia="Aptos"/>
                <w:b/>
                <w:noProof/>
                <w:color w:val="000000" w:themeColor="text1"/>
                <w:kern w:val="2"/>
                <w:sz w:val="20"/>
                <w:szCs w:val="20"/>
                <w:lang w:eastAsia="en-GB"/>
              </w:rPr>
              <w:t>+</w:t>
            </w:r>
          </w:p>
        </w:tc>
      </w:tr>
      <w:tr w:rsidR="00285741" w:rsidRPr="00F6288E" w14:paraId="52EFB52B" w14:textId="77777777" w:rsidTr="3F0F1197">
        <w:trPr>
          <w:trHeight w:val="296"/>
          <w:jc w:val="center"/>
        </w:trPr>
        <w:tc>
          <w:tcPr>
            <w:tcW w:w="2356" w:type="pct"/>
          </w:tcPr>
          <w:p w14:paraId="45EAB58F" w14:textId="77777777" w:rsidR="00285741" w:rsidRPr="002A27A2" w:rsidRDefault="00285741">
            <w:pPr>
              <w:ind w:right="114"/>
              <w:rPr>
                <w:noProof/>
                <w:color w:val="000000" w:themeColor="text1"/>
                <w:kern w:val="2"/>
                <w:sz w:val="20"/>
                <w:szCs w:val="20"/>
              </w:rPr>
            </w:pPr>
            <w:r w:rsidRPr="002A27A2">
              <w:rPr>
                <w:noProof/>
                <w:color w:val="000000" w:themeColor="text1"/>
                <w:kern w:val="2"/>
                <w:sz w:val="20"/>
                <w:szCs w:val="20"/>
              </w:rPr>
              <w:t>SO4</w:t>
            </w:r>
          </w:p>
        </w:tc>
        <w:tc>
          <w:tcPr>
            <w:tcW w:w="943" w:type="pct"/>
          </w:tcPr>
          <w:p w14:paraId="584419A5"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p>
        </w:tc>
        <w:tc>
          <w:tcPr>
            <w:tcW w:w="1022" w:type="pct"/>
            <w:noWrap/>
          </w:tcPr>
          <w:p w14:paraId="4798C1F5" w14:textId="77777777" w:rsidR="00285741" w:rsidRPr="00F6288E" w:rsidRDefault="00285741">
            <w:pPr>
              <w:ind w:right="114"/>
              <w:jc w:val="center"/>
              <w:rPr>
                <w:rFonts w:eastAsia="Aptos"/>
                <w:b/>
                <w:bCs/>
                <w:noProof/>
                <w:color w:val="000000" w:themeColor="text1"/>
                <w:kern w:val="2"/>
                <w:sz w:val="20"/>
                <w:szCs w:val="20"/>
                <w:lang w:eastAsia="en-GB"/>
              </w:rPr>
            </w:pPr>
            <w:r w:rsidRPr="00F6288E">
              <w:rPr>
                <w:rFonts w:eastAsia="Aptos"/>
                <w:b/>
                <w:noProof/>
                <w:color w:val="000000" w:themeColor="text1"/>
                <w:kern w:val="2"/>
                <w:sz w:val="20"/>
                <w:szCs w:val="20"/>
                <w:lang w:eastAsia="en-GB"/>
              </w:rPr>
              <w:t>++</w:t>
            </w:r>
            <w:r>
              <w:rPr>
                <w:rFonts w:eastAsia="Aptos"/>
                <w:b/>
                <w:noProof/>
                <w:color w:val="000000" w:themeColor="text1"/>
                <w:kern w:val="2"/>
                <w:sz w:val="20"/>
                <w:szCs w:val="20"/>
                <w:lang w:eastAsia="en-GB"/>
              </w:rPr>
              <w:t>+</w:t>
            </w:r>
          </w:p>
        </w:tc>
        <w:tc>
          <w:tcPr>
            <w:tcW w:w="679" w:type="pct"/>
            <w:noWrap/>
          </w:tcPr>
          <w:p w14:paraId="4A55A6E0" w14:textId="2BAFE03A"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r>
              <w:rPr>
                <w:rFonts w:eastAsia="Aptos"/>
                <w:b/>
                <w:bCs/>
                <w:noProof/>
                <w:color w:val="000000" w:themeColor="text1"/>
                <w:kern w:val="2"/>
                <w:sz w:val="20"/>
                <w:szCs w:val="20"/>
                <w:lang w:eastAsia="en-GB"/>
              </w:rPr>
              <w:t>+</w:t>
            </w:r>
          </w:p>
        </w:tc>
      </w:tr>
      <w:tr w:rsidR="00285741" w:rsidRPr="00F6288E" w14:paraId="4E0237D3" w14:textId="77777777" w:rsidTr="3F0F1197">
        <w:trPr>
          <w:trHeight w:val="255"/>
          <w:jc w:val="center"/>
        </w:trPr>
        <w:tc>
          <w:tcPr>
            <w:tcW w:w="2356" w:type="pct"/>
          </w:tcPr>
          <w:p w14:paraId="51060BA3" w14:textId="77777777" w:rsidR="00285741" w:rsidRPr="002A27A2" w:rsidRDefault="00285741">
            <w:pPr>
              <w:ind w:right="114"/>
              <w:rPr>
                <w:noProof/>
                <w:color w:val="000000" w:themeColor="text1"/>
                <w:kern w:val="2"/>
                <w:sz w:val="20"/>
                <w:szCs w:val="20"/>
              </w:rPr>
            </w:pPr>
            <w:r w:rsidRPr="002A27A2">
              <w:rPr>
                <w:noProof/>
                <w:color w:val="000000" w:themeColor="text1"/>
                <w:kern w:val="2"/>
                <w:sz w:val="20"/>
                <w:szCs w:val="20"/>
              </w:rPr>
              <w:t>SO5</w:t>
            </w:r>
          </w:p>
        </w:tc>
        <w:tc>
          <w:tcPr>
            <w:tcW w:w="943" w:type="pct"/>
          </w:tcPr>
          <w:p w14:paraId="6FF93DF6" w14:textId="77777777" w:rsidR="00285741" w:rsidRPr="00F6288E" w:rsidRDefault="00285741">
            <w:pPr>
              <w:ind w:right="114"/>
              <w:jc w:val="center"/>
              <w:rPr>
                <w:rFonts w:eastAsia="Aptos"/>
                <w:b/>
                <w:bCs/>
                <w:noProof/>
                <w:color w:val="000000" w:themeColor="text1"/>
                <w:sz w:val="20"/>
                <w:szCs w:val="20"/>
                <w:lang w:eastAsia="en-GB"/>
              </w:rPr>
            </w:pPr>
            <w:r w:rsidRPr="3285770D">
              <w:rPr>
                <w:rFonts w:eastAsia="Aptos"/>
                <w:b/>
                <w:bCs/>
                <w:noProof/>
                <w:color w:val="000000" w:themeColor="text1"/>
                <w:sz w:val="20"/>
                <w:szCs w:val="20"/>
                <w:lang w:eastAsia="en-GB"/>
              </w:rPr>
              <w:t>+</w:t>
            </w:r>
          </w:p>
        </w:tc>
        <w:tc>
          <w:tcPr>
            <w:tcW w:w="1701" w:type="pct"/>
            <w:gridSpan w:val="2"/>
            <w:noWrap/>
          </w:tcPr>
          <w:p w14:paraId="47CAE6BA" w14:textId="77777777" w:rsidR="00285741" w:rsidRPr="3285770D" w:rsidRDefault="00285741">
            <w:pPr>
              <w:ind w:right="114"/>
              <w:jc w:val="center"/>
              <w:rPr>
                <w:rFonts w:eastAsia="Aptos"/>
                <w:b/>
                <w:noProof/>
                <w:color w:val="000000" w:themeColor="text1"/>
                <w:sz w:val="20"/>
                <w:szCs w:val="20"/>
                <w:lang w:eastAsia="en-GB"/>
              </w:rPr>
            </w:pPr>
            <w:r w:rsidRPr="3285770D">
              <w:rPr>
                <w:rFonts w:eastAsia="Aptos"/>
                <w:b/>
                <w:noProof/>
                <w:color w:val="000000" w:themeColor="text1"/>
                <w:sz w:val="20"/>
                <w:szCs w:val="20"/>
                <w:lang w:eastAsia="en-GB"/>
              </w:rPr>
              <w:t>++</w:t>
            </w:r>
          </w:p>
        </w:tc>
      </w:tr>
      <w:tr w:rsidR="00285741" w:rsidRPr="00F6288E" w14:paraId="2130D0AD" w14:textId="77777777" w:rsidTr="3F0F1197">
        <w:trPr>
          <w:trHeight w:val="255"/>
          <w:jc w:val="center"/>
        </w:trPr>
        <w:tc>
          <w:tcPr>
            <w:tcW w:w="2356" w:type="pct"/>
            <w:shd w:val="clear" w:color="auto" w:fill="F6C5AC" w:themeFill="accent2" w:themeFillTint="66"/>
          </w:tcPr>
          <w:p w14:paraId="462473B7" w14:textId="77777777" w:rsidR="00285741" w:rsidRPr="00F6288E" w:rsidRDefault="00285741">
            <w:pPr>
              <w:ind w:right="114"/>
              <w:rPr>
                <w:rFonts w:eastAsia="Aptos"/>
                <w:b/>
                <w:bCs/>
                <w:noProof/>
                <w:color w:val="FFFFFF"/>
                <w:kern w:val="2"/>
                <w:sz w:val="20"/>
                <w:szCs w:val="20"/>
                <w:lang w:eastAsia="en-GB"/>
              </w:rPr>
            </w:pPr>
            <w:r w:rsidRPr="3285770D">
              <w:rPr>
                <w:rFonts w:eastAsia="Aptos"/>
                <w:b/>
                <w:bCs/>
                <w:noProof/>
                <w:color w:val="FFFFFF"/>
                <w:kern w:val="2"/>
                <w:sz w:val="20"/>
                <w:szCs w:val="20"/>
                <w:lang w:eastAsia="en-GB"/>
              </w:rPr>
              <w:t>Coherence</w:t>
            </w:r>
          </w:p>
        </w:tc>
        <w:tc>
          <w:tcPr>
            <w:tcW w:w="943" w:type="pct"/>
            <w:shd w:val="clear" w:color="auto" w:fill="F6C5AC" w:themeFill="accent2" w:themeFillTint="66"/>
          </w:tcPr>
          <w:p w14:paraId="7F781A0E"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r>
              <w:rPr>
                <w:rFonts w:eastAsia="Aptos"/>
                <w:b/>
                <w:bCs/>
                <w:noProof/>
                <w:color w:val="FFFFFF"/>
                <w:kern w:val="2"/>
                <w:sz w:val="20"/>
                <w:szCs w:val="20"/>
                <w:lang w:eastAsia="en-GB"/>
              </w:rPr>
              <w:t>+</w:t>
            </w:r>
          </w:p>
        </w:tc>
        <w:tc>
          <w:tcPr>
            <w:tcW w:w="1022" w:type="pct"/>
            <w:shd w:val="clear" w:color="auto" w:fill="F6C5AC" w:themeFill="accent2" w:themeFillTint="66"/>
            <w:noWrap/>
          </w:tcPr>
          <w:p w14:paraId="3D8C7E7A"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p>
        </w:tc>
        <w:tc>
          <w:tcPr>
            <w:tcW w:w="679" w:type="pct"/>
            <w:shd w:val="clear" w:color="auto" w:fill="F6C5AC" w:themeFill="accent2" w:themeFillTint="66"/>
            <w:noWrap/>
          </w:tcPr>
          <w:p w14:paraId="51DCDDAB" w14:textId="77777777" w:rsidR="00285741" w:rsidRPr="00F6288E" w:rsidRDefault="00285741">
            <w:pPr>
              <w:ind w:right="114"/>
              <w:jc w:val="center"/>
              <w:rPr>
                <w:rFonts w:eastAsia="Aptos"/>
                <w:b/>
                <w:bCs/>
                <w:noProof/>
                <w:color w:val="FFFFFF"/>
                <w:kern w:val="2"/>
                <w:sz w:val="20"/>
                <w:szCs w:val="20"/>
                <w:lang w:eastAsia="en-GB"/>
              </w:rPr>
            </w:pPr>
            <w:r w:rsidRPr="00F6288E">
              <w:rPr>
                <w:rFonts w:eastAsia="Aptos"/>
                <w:b/>
                <w:noProof/>
                <w:color w:val="FFFFFF"/>
                <w:kern w:val="2"/>
                <w:sz w:val="20"/>
                <w:szCs w:val="20"/>
                <w:lang w:eastAsia="en-GB"/>
              </w:rPr>
              <w:t>+</w:t>
            </w:r>
            <w:r>
              <w:rPr>
                <w:rFonts w:eastAsia="Aptos"/>
                <w:b/>
                <w:noProof/>
                <w:color w:val="FFFFFF"/>
                <w:kern w:val="2"/>
                <w:sz w:val="20"/>
                <w:szCs w:val="20"/>
                <w:lang w:eastAsia="en-GB"/>
              </w:rPr>
              <w:t>+</w:t>
            </w:r>
          </w:p>
        </w:tc>
      </w:tr>
      <w:tr w:rsidR="00285741" w:rsidRPr="00F6288E" w14:paraId="7E4E6822" w14:textId="77777777" w:rsidTr="3F0F1197">
        <w:trPr>
          <w:trHeight w:val="255"/>
          <w:jc w:val="center"/>
        </w:trPr>
        <w:tc>
          <w:tcPr>
            <w:tcW w:w="2356" w:type="pct"/>
          </w:tcPr>
          <w:p w14:paraId="68C2315F" w14:textId="77777777" w:rsidR="00285741" w:rsidRPr="00F6288E" w:rsidRDefault="00285741">
            <w:pPr>
              <w:ind w:right="114"/>
              <w:rPr>
                <w:rFonts w:eastAsia="Aptos"/>
                <w:noProof/>
                <w:color w:val="000000" w:themeColor="text1"/>
                <w:kern w:val="2"/>
                <w:sz w:val="20"/>
                <w:szCs w:val="20"/>
                <w:lang w:eastAsia="en-GB"/>
              </w:rPr>
            </w:pPr>
            <w:r>
              <w:rPr>
                <w:rFonts w:eastAsia="Aptos"/>
                <w:noProof/>
                <w:color w:val="000000" w:themeColor="text1"/>
                <w:kern w:val="2"/>
                <w:sz w:val="20"/>
                <w:szCs w:val="20"/>
                <w:lang w:eastAsia="en-GB"/>
              </w:rPr>
              <w:t>SO1</w:t>
            </w:r>
          </w:p>
        </w:tc>
        <w:tc>
          <w:tcPr>
            <w:tcW w:w="943" w:type="pct"/>
          </w:tcPr>
          <w:p w14:paraId="7CECF003" w14:textId="77777777" w:rsidR="00285741" w:rsidRPr="3285770D" w:rsidRDefault="00285741">
            <w:pPr>
              <w:ind w:right="114"/>
              <w:jc w:val="center"/>
              <w:rPr>
                <w:rFonts w:eastAsia="Aptos"/>
                <w:b/>
                <w:bCs/>
                <w:noProof/>
                <w:color w:val="000000" w:themeColor="text1"/>
                <w:kern w:val="2"/>
                <w:sz w:val="20"/>
                <w:szCs w:val="20"/>
                <w:lang w:eastAsia="en-GB"/>
              </w:rPr>
            </w:pPr>
            <w:r>
              <w:rPr>
                <w:rFonts w:eastAsia="Aptos"/>
                <w:b/>
                <w:bCs/>
                <w:noProof/>
                <w:color w:val="000000" w:themeColor="text1"/>
                <w:kern w:val="2"/>
                <w:sz w:val="20"/>
                <w:szCs w:val="20"/>
                <w:lang w:eastAsia="en-GB"/>
              </w:rPr>
              <w:t>++</w:t>
            </w:r>
          </w:p>
        </w:tc>
        <w:tc>
          <w:tcPr>
            <w:tcW w:w="1701" w:type="pct"/>
            <w:gridSpan w:val="2"/>
            <w:noWrap/>
          </w:tcPr>
          <w:p w14:paraId="28C08F83" w14:textId="77777777" w:rsidR="00285741" w:rsidRPr="3285770D" w:rsidRDefault="00285741">
            <w:pPr>
              <w:ind w:right="114"/>
              <w:jc w:val="center"/>
              <w:rPr>
                <w:rFonts w:eastAsia="Aptos"/>
                <w:b/>
                <w:bCs/>
                <w:noProof/>
                <w:color w:val="000000" w:themeColor="text1"/>
                <w:kern w:val="2"/>
                <w:sz w:val="20"/>
                <w:szCs w:val="20"/>
                <w:lang w:eastAsia="en-GB"/>
              </w:rPr>
            </w:pPr>
            <w:r>
              <w:rPr>
                <w:rFonts w:eastAsia="Aptos"/>
                <w:b/>
                <w:bCs/>
                <w:noProof/>
                <w:color w:val="000000" w:themeColor="text1"/>
                <w:kern w:val="2"/>
                <w:sz w:val="20"/>
                <w:szCs w:val="20"/>
                <w:lang w:eastAsia="en-GB"/>
              </w:rPr>
              <w:t>+++</w:t>
            </w:r>
          </w:p>
        </w:tc>
      </w:tr>
      <w:tr w:rsidR="00285741" w:rsidRPr="00F6288E" w14:paraId="26DFA51B" w14:textId="77777777" w:rsidTr="3F0F1197">
        <w:trPr>
          <w:trHeight w:val="255"/>
          <w:jc w:val="center"/>
        </w:trPr>
        <w:tc>
          <w:tcPr>
            <w:tcW w:w="2356" w:type="pct"/>
          </w:tcPr>
          <w:p w14:paraId="20FDCE80" w14:textId="77777777" w:rsidR="00285741" w:rsidRPr="00F6288E" w:rsidRDefault="00285741">
            <w:pPr>
              <w:ind w:right="114"/>
              <w:rPr>
                <w:rFonts w:eastAsia="Aptos"/>
                <w:noProof/>
                <w:color w:val="000000" w:themeColor="text1"/>
                <w:kern w:val="2"/>
                <w:sz w:val="20"/>
                <w:szCs w:val="20"/>
                <w:lang w:eastAsia="en-GB"/>
              </w:rPr>
            </w:pPr>
            <w:r w:rsidRPr="00F6288E">
              <w:rPr>
                <w:rFonts w:eastAsia="Aptos"/>
                <w:noProof/>
                <w:color w:val="000000" w:themeColor="text1"/>
                <w:kern w:val="2"/>
                <w:sz w:val="20"/>
                <w:szCs w:val="20"/>
                <w:lang w:eastAsia="en-GB"/>
              </w:rPr>
              <w:t>SO2</w:t>
            </w:r>
          </w:p>
        </w:tc>
        <w:tc>
          <w:tcPr>
            <w:tcW w:w="943" w:type="pct"/>
          </w:tcPr>
          <w:p w14:paraId="43E7B893"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r>
              <w:rPr>
                <w:rFonts w:eastAsia="Aptos"/>
                <w:b/>
                <w:bCs/>
                <w:noProof/>
                <w:color w:val="000000" w:themeColor="text1"/>
                <w:kern w:val="2"/>
                <w:sz w:val="20"/>
                <w:szCs w:val="20"/>
                <w:lang w:eastAsia="en-GB"/>
              </w:rPr>
              <w:t>+</w:t>
            </w:r>
          </w:p>
        </w:tc>
        <w:tc>
          <w:tcPr>
            <w:tcW w:w="1022" w:type="pct"/>
            <w:noWrap/>
          </w:tcPr>
          <w:p w14:paraId="2BA0C276"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p>
        </w:tc>
        <w:tc>
          <w:tcPr>
            <w:tcW w:w="679" w:type="pct"/>
            <w:noWrap/>
          </w:tcPr>
          <w:p w14:paraId="5150E14A"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p>
        </w:tc>
      </w:tr>
      <w:tr w:rsidR="00285741" w:rsidRPr="00F6288E" w14:paraId="4D3B920A" w14:textId="77777777" w:rsidTr="3F0F1197">
        <w:trPr>
          <w:trHeight w:val="255"/>
          <w:jc w:val="center"/>
        </w:trPr>
        <w:tc>
          <w:tcPr>
            <w:tcW w:w="2356" w:type="pct"/>
          </w:tcPr>
          <w:p w14:paraId="6CCDD2C0" w14:textId="77777777" w:rsidR="00285741" w:rsidRPr="00F6288E" w:rsidRDefault="00285741">
            <w:pPr>
              <w:ind w:right="114"/>
              <w:rPr>
                <w:rFonts w:eastAsia="Aptos"/>
                <w:noProof/>
                <w:color w:val="000000" w:themeColor="text1"/>
                <w:kern w:val="2"/>
                <w:sz w:val="20"/>
                <w:szCs w:val="20"/>
                <w:lang w:eastAsia="en-GB"/>
              </w:rPr>
            </w:pPr>
            <w:r>
              <w:rPr>
                <w:rFonts w:eastAsia="Aptos"/>
                <w:noProof/>
                <w:color w:val="000000" w:themeColor="text1"/>
                <w:kern w:val="2"/>
                <w:sz w:val="20"/>
                <w:szCs w:val="20"/>
                <w:lang w:eastAsia="en-GB"/>
              </w:rPr>
              <w:t>SO3</w:t>
            </w:r>
          </w:p>
        </w:tc>
        <w:tc>
          <w:tcPr>
            <w:tcW w:w="943" w:type="pct"/>
          </w:tcPr>
          <w:p w14:paraId="2F1AF6B4" w14:textId="77777777" w:rsidR="00285741" w:rsidRPr="3285770D" w:rsidRDefault="00285741">
            <w:pPr>
              <w:ind w:right="114"/>
              <w:jc w:val="center"/>
              <w:rPr>
                <w:rFonts w:eastAsia="Aptos"/>
                <w:b/>
                <w:bCs/>
                <w:noProof/>
                <w:color w:val="000000" w:themeColor="text1"/>
                <w:kern w:val="2"/>
                <w:sz w:val="20"/>
                <w:szCs w:val="20"/>
                <w:lang w:eastAsia="en-GB"/>
              </w:rPr>
            </w:pPr>
            <w:r>
              <w:rPr>
                <w:rFonts w:eastAsia="Aptos"/>
                <w:b/>
                <w:bCs/>
                <w:noProof/>
                <w:color w:val="000000" w:themeColor="text1"/>
                <w:kern w:val="2"/>
                <w:sz w:val="20"/>
                <w:szCs w:val="20"/>
                <w:lang w:eastAsia="en-GB"/>
              </w:rPr>
              <w:t>+</w:t>
            </w:r>
          </w:p>
        </w:tc>
        <w:tc>
          <w:tcPr>
            <w:tcW w:w="1701" w:type="pct"/>
            <w:gridSpan w:val="2"/>
            <w:noWrap/>
          </w:tcPr>
          <w:p w14:paraId="3877210C" w14:textId="77777777" w:rsidR="00285741" w:rsidRPr="3285770D" w:rsidRDefault="00285741">
            <w:pPr>
              <w:ind w:right="114"/>
              <w:jc w:val="center"/>
              <w:rPr>
                <w:rFonts w:eastAsia="Aptos"/>
                <w:b/>
                <w:bCs/>
                <w:noProof/>
                <w:color w:val="000000" w:themeColor="text1"/>
                <w:kern w:val="2"/>
                <w:sz w:val="20"/>
                <w:szCs w:val="20"/>
                <w:lang w:eastAsia="en-GB"/>
              </w:rPr>
            </w:pPr>
            <w:r>
              <w:rPr>
                <w:rFonts w:eastAsia="Aptos"/>
                <w:b/>
                <w:bCs/>
                <w:noProof/>
                <w:color w:val="000000" w:themeColor="text1"/>
                <w:kern w:val="2"/>
                <w:sz w:val="20"/>
                <w:szCs w:val="20"/>
                <w:lang w:eastAsia="en-GB"/>
              </w:rPr>
              <w:t>++</w:t>
            </w:r>
          </w:p>
        </w:tc>
      </w:tr>
      <w:tr w:rsidR="00285741" w:rsidRPr="00F6288E" w14:paraId="4754E1C1" w14:textId="77777777" w:rsidTr="3F0F1197">
        <w:trPr>
          <w:trHeight w:val="255"/>
          <w:jc w:val="center"/>
        </w:trPr>
        <w:tc>
          <w:tcPr>
            <w:tcW w:w="2356" w:type="pct"/>
          </w:tcPr>
          <w:p w14:paraId="015E6AD2" w14:textId="77777777" w:rsidR="00285741" w:rsidRPr="00F6288E" w:rsidRDefault="00285741">
            <w:pPr>
              <w:ind w:right="114"/>
              <w:rPr>
                <w:rFonts w:eastAsia="Aptos"/>
                <w:noProof/>
                <w:color w:val="000000" w:themeColor="text1"/>
                <w:kern w:val="2"/>
                <w:sz w:val="20"/>
                <w:szCs w:val="20"/>
                <w:lang w:eastAsia="en-GB"/>
              </w:rPr>
            </w:pPr>
            <w:r w:rsidRPr="00F6288E">
              <w:rPr>
                <w:rFonts w:eastAsia="Aptos"/>
                <w:noProof/>
                <w:color w:val="000000" w:themeColor="text1"/>
                <w:kern w:val="2"/>
                <w:sz w:val="20"/>
                <w:szCs w:val="20"/>
                <w:lang w:eastAsia="en-GB"/>
              </w:rPr>
              <w:t>SO4</w:t>
            </w:r>
          </w:p>
        </w:tc>
        <w:tc>
          <w:tcPr>
            <w:tcW w:w="943" w:type="pct"/>
          </w:tcPr>
          <w:p w14:paraId="1E349DF5"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p>
        </w:tc>
        <w:tc>
          <w:tcPr>
            <w:tcW w:w="1022" w:type="pct"/>
            <w:noWrap/>
          </w:tcPr>
          <w:p w14:paraId="639C8529"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p>
        </w:tc>
        <w:tc>
          <w:tcPr>
            <w:tcW w:w="679" w:type="pct"/>
            <w:noWrap/>
          </w:tcPr>
          <w:p w14:paraId="06AD7457" w14:textId="77777777" w:rsidR="00285741" w:rsidRPr="00F6288E" w:rsidRDefault="00285741">
            <w:pPr>
              <w:ind w:right="114"/>
              <w:jc w:val="center"/>
              <w:rPr>
                <w:rFonts w:eastAsia="Aptos"/>
                <w:b/>
                <w:bCs/>
                <w:noProof/>
                <w:color w:val="000000" w:themeColor="text1"/>
                <w:kern w:val="2"/>
                <w:sz w:val="20"/>
                <w:szCs w:val="20"/>
                <w:lang w:eastAsia="en-GB"/>
              </w:rPr>
            </w:pPr>
            <w:r w:rsidRPr="3285770D">
              <w:rPr>
                <w:rFonts w:eastAsia="Aptos"/>
                <w:b/>
                <w:bCs/>
                <w:noProof/>
                <w:color w:val="000000" w:themeColor="text1"/>
                <w:kern w:val="2"/>
                <w:sz w:val="20"/>
                <w:szCs w:val="20"/>
                <w:lang w:eastAsia="en-GB"/>
              </w:rPr>
              <w:t>++</w:t>
            </w:r>
          </w:p>
        </w:tc>
      </w:tr>
      <w:tr w:rsidR="00285741" w:rsidRPr="00F6288E" w14:paraId="63F71629" w14:textId="77777777" w:rsidTr="3F0F1197">
        <w:trPr>
          <w:trHeight w:val="255"/>
          <w:jc w:val="center"/>
        </w:trPr>
        <w:tc>
          <w:tcPr>
            <w:tcW w:w="2356" w:type="pct"/>
          </w:tcPr>
          <w:p w14:paraId="1E659324" w14:textId="77777777" w:rsidR="00285741" w:rsidRPr="00F6288E" w:rsidRDefault="00285741">
            <w:pPr>
              <w:ind w:right="114"/>
              <w:rPr>
                <w:rFonts w:eastAsia="Aptos"/>
                <w:noProof/>
                <w:color w:val="000000" w:themeColor="text1"/>
                <w:kern w:val="2"/>
                <w:sz w:val="20"/>
                <w:szCs w:val="20"/>
                <w:lang w:eastAsia="en-GB"/>
              </w:rPr>
            </w:pPr>
            <w:r>
              <w:rPr>
                <w:rFonts w:eastAsia="Aptos"/>
                <w:noProof/>
                <w:color w:val="000000" w:themeColor="text1"/>
                <w:kern w:val="2"/>
                <w:sz w:val="20"/>
                <w:szCs w:val="20"/>
                <w:lang w:eastAsia="en-GB"/>
              </w:rPr>
              <w:t>SO5</w:t>
            </w:r>
          </w:p>
        </w:tc>
        <w:tc>
          <w:tcPr>
            <w:tcW w:w="943" w:type="pct"/>
          </w:tcPr>
          <w:p w14:paraId="39CA8061" w14:textId="77777777" w:rsidR="00285741" w:rsidRPr="3285770D" w:rsidRDefault="00285741">
            <w:pPr>
              <w:ind w:right="114"/>
              <w:jc w:val="center"/>
              <w:rPr>
                <w:rFonts w:eastAsia="Aptos"/>
                <w:b/>
                <w:bCs/>
                <w:noProof/>
                <w:color w:val="000000" w:themeColor="text1"/>
                <w:kern w:val="2"/>
                <w:sz w:val="20"/>
                <w:szCs w:val="20"/>
                <w:lang w:eastAsia="en-GB"/>
              </w:rPr>
            </w:pPr>
            <w:r>
              <w:rPr>
                <w:rFonts w:eastAsia="Aptos"/>
                <w:b/>
                <w:bCs/>
                <w:noProof/>
                <w:color w:val="000000" w:themeColor="text1"/>
                <w:kern w:val="2"/>
                <w:sz w:val="20"/>
                <w:szCs w:val="20"/>
                <w:lang w:eastAsia="en-GB"/>
              </w:rPr>
              <w:t>+</w:t>
            </w:r>
          </w:p>
        </w:tc>
        <w:tc>
          <w:tcPr>
            <w:tcW w:w="1701" w:type="pct"/>
            <w:gridSpan w:val="2"/>
            <w:noWrap/>
          </w:tcPr>
          <w:p w14:paraId="28ABDAD6" w14:textId="77777777" w:rsidR="00285741" w:rsidRPr="3285770D" w:rsidRDefault="00285741">
            <w:pPr>
              <w:ind w:right="114"/>
              <w:jc w:val="center"/>
              <w:rPr>
                <w:rFonts w:eastAsia="Aptos"/>
                <w:b/>
                <w:bCs/>
                <w:noProof/>
                <w:color w:val="000000" w:themeColor="text1"/>
                <w:kern w:val="2"/>
                <w:sz w:val="20"/>
                <w:szCs w:val="20"/>
                <w:lang w:eastAsia="en-GB"/>
              </w:rPr>
            </w:pPr>
            <w:r>
              <w:rPr>
                <w:rFonts w:eastAsia="Aptos"/>
                <w:b/>
                <w:bCs/>
                <w:noProof/>
                <w:color w:val="000000" w:themeColor="text1"/>
                <w:kern w:val="2"/>
                <w:sz w:val="20"/>
                <w:szCs w:val="20"/>
                <w:lang w:eastAsia="en-GB"/>
              </w:rPr>
              <w:t>+++</w:t>
            </w:r>
          </w:p>
        </w:tc>
      </w:tr>
      <w:tr w:rsidR="00285741" w:rsidRPr="00F6288E" w14:paraId="5395E435" w14:textId="77777777" w:rsidTr="3F0F1197">
        <w:trPr>
          <w:trHeight w:val="255"/>
          <w:jc w:val="center"/>
        </w:trPr>
        <w:tc>
          <w:tcPr>
            <w:tcW w:w="2356" w:type="pct"/>
            <w:shd w:val="clear" w:color="auto" w:fill="F6C5AC" w:themeFill="accent2" w:themeFillTint="66"/>
          </w:tcPr>
          <w:p w14:paraId="191A1B9B" w14:textId="77777777" w:rsidR="00285741" w:rsidRPr="00F6288E" w:rsidRDefault="00285741">
            <w:pPr>
              <w:ind w:right="114"/>
              <w:rPr>
                <w:rFonts w:eastAsia="Aptos"/>
                <w:noProof/>
                <w:color w:val="000000" w:themeColor="text1"/>
                <w:kern w:val="2"/>
                <w:sz w:val="20"/>
                <w:szCs w:val="20"/>
                <w:lang w:eastAsia="en-GB"/>
              </w:rPr>
            </w:pPr>
            <w:r w:rsidRPr="3285770D">
              <w:rPr>
                <w:rFonts w:eastAsia="Aptos"/>
                <w:b/>
                <w:bCs/>
                <w:noProof/>
                <w:color w:val="FFFFFF"/>
                <w:kern w:val="2"/>
                <w:sz w:val="20"/>
                <w:szCs w:val="20"/>
                <w:lang w:eastAsia="en-GB"/>
              </w:rPr>
              <w:t>Subsidiarity and proportionality</w:t>
            </w:r>
          </w:p>
        </w:tc>
        <w:tc>
          <w:tcPr>
            <w:tcW w:w="943" w:type="pct"/>
            <w:shd w:val="clear" w:color="auto" w:fill="F6C5AC" w:themeFill="accent2" w:themeFillTint="66"/>
          </w:tcPr>
          <w:p w14:paraId="19A1D4B0" w14:textId="77777777" w:rsidR="00285741" w:rsidRPr="00F6288E" w:rsidRDefault="00285741">
            <w:pPr>
              <w:ind w:right="114"/>
              <w:jc w:val="center"/>
              <w:rPr>
                <w:rFonts w:eastAsia="Aptos"/>
                <w:b/>
                <w:bCs/>
                <w:noProof/>
                <w:color w:val="FFFFFF"/>
                <w:kern w:val="2"/>
                <w:sz w:val="20"/>
                <w:szCs w:val="20"/>
                <w:lang w:eastAsia="en-GB"/>
              </w:rPr>
            </w:pPr>
            <w:r w:rsidRPr="00F6288E">
              <w:rPr>
                <w:rFonts w:eastAsia="Aptos"/>
                <w:b/>
                <w:noProof/>
                <w:color w:val="FFFFFF"/>
                <w:kern w:val="2"/>
                <w:sz w:val="20"/>
                <w:szCs w:val="20"/>
                <w:lang w:eastAsia="en-GB"/>
              </w:rPr>
              <w:t>++</w:t>
            </w:r>
          </w:p>
        </w:tc>
        <w:tc>
          <w:tcPr>
            <w:tcW w:w="1022" w:type="pct"/>
            <w:shd w:val="clear" w:color="auto" w:fill="F6C5AC" w:themeFill="accent2" w:themeFillTint="66"/>
            <w:noWrap/>
          </w:tcPr>
          <w:p w14:paraId="7069336F"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r w:rsidRPr="3285770D" w:rsidDel="6662E0F7">
              <w:rPr>
                <w:rFonts w:eastAsia="Aptos"/>
                <w:b/>
                <w:bCs/>
                <w:noProof/>
                <w:color w:val="FFFFFF"/>
                <w:kern w:val="2"/>
                <w:sz w:val="20"/>
                <w:szCs w:val="20"/>
                <w:lang w:eastAsia="en-GB"/>
              </w:rPr>
              <w:t>+</w:t>
            </w:r>
          </w:p>
        </w:tc>
        <w:tc>
          <w:tcPr>
            <w:tcW w:w="679" w:type="pct"/>
            <w:shd w:val="clear" w:color="auto" w:fill="F6C5AC" w:themeFill="accent2" w:themeFillTint="66"/>
            <w:noWrap/>
          </w:tcPr>
          <w:p w14:paraId="0EE71ED1" w14:textId="77777777" w:rsidR="00285741" w:rsidRPr="00F6288E" w:rsidRDefault="00285741">
            <w:pPr>
              <w:ind w:right="114"/>
              <w:jc w:val="center"/>
              <w:rPr>
                <w:rFonts w:eastAsia="Aptos"/>
                <w:b/>
                <w:bCs/>
                <w:noProof/>
                <w:color w:val="FFFFFF"/>
                <w:kern w:val="2"/>
                <w:sz w:val="20"/>
                <w:szCs w:val="20"/>
                <w:lang w:eastAsia="en-GB"/>
              </w:rPr>
            </w:pPr>
            <w:r w:rsidRPr="00F6288E">
              <w:rPr>
                <w:rFonts w:eastAsia="Aptos"/>
                <w:b/>
                <w:noProof/>
                <w:color w:val="FFFFFF"/>
                <w:kern w:val="2"/>
                <w:sz w:val="20"/>
                <w:szCs w:val="20"/>
                <w:lang w:eastAsia="en-GB"/>
              </w:rPr>
              <w:t>+</w:t>
            </w:r>
            <w:r>
              <w:rPr>
                <w:rFonts w:eastAsia="Aptos"/>
                <w:b/>
                <w:noProof/>
                <w:color w:val="FFFFFF"/>
                <w:kern w:val="2"/>
                <w:sz w:val="20"/>
                <w:szCs w:val="20"/>
                <w:lang w:eastAsia="en-GB"/>
              </w:rPr>
              <w:t>+</w:t>
            </w:r>
          </w:p>
        </w:tc>
      </w:tr>
      <w:tr w:rsidR="00285741" w:rsidRPr="00F6288E" w14:paraId="7B7F2B5C" w14:textId="77777777" w:rsidTr="3F0F1197">
        <w:trPr>
          <w:trHeight w:val="244"/>
          <w:jc w:val="center"/>
        </w:trPr>
        <w:tc>
          <w:tcPr>
            <w:tcW w:w="2356" w:type="pct"/>
          </w:tcPr>
          <w:p w14:paraId="3860AC82" w14:textId="77777777" w:rsidR="00285741" w:rsidRPr="00226FE3" w:rsidRDefault="00285741">
            <w:pPr>
              <w:ind w:right="114"/>
              <w:rPr>
                <w:rFonts w:eastAsia="Aptos"/>
                <w:noProof/>
                <w:color w:val="000000" w:themeColor="text1"/>
                <w:kern w:val="2"/>
                <w:sz w:val="20"/>
                <w:szCs w:val="20"/>
                <w:lang w:eastAsia="en-GB"/>
              </w:rPr>
            </w:pPr>
            <w:r w:rsidRPr="00F6288E">
              <w:rPr>
                <w:rFonts w:eastAsia="Aptos"/>
                <w:noProof/>
                <w:color w:val="000000" w:themeColor="text1"/>
                <w:kern w:val="2"/>
                <w:sz w:val="20"/>
                <w:szCs w:val="20"/>
                <w:lang w:eastAsia="en-GB"/>
              </w:rPr>
              <w:t>SO1</w:t>
            </w:r>
          </w:p>
        </w:tc>
        <w:tc>
          <w:tcPr>
            <w:tcW w:w="943" w:type="pct"/>
          </w:tcPr>
          <w:p w14:paraId="6FC6B63D" w14:textId="77777777" w:rsidR="00285741" w:rsidRPr="00F6288E" w:rsidRDefault="00285741">
            <w:pPr>
              <w:ind w:right="114"/>
              <w:jc w:val="center"/>
              <w:rPr>
                <w:rFonts w:eastAsia="Aptos"/>
                <w:b/>
                <w:noProof/>
                <w:color w:val="000000" w:themeColor="text1"/>
                <w:sz w:val="20"/>
                <w:szCs w:val="20"/>
                <w:lang w:eastAsia="en-GB"/>
              </w:rPr>
            </w:pPr>
            <w:r w:rsidRPr="3285770D">
              <w:rPr>
                <w:rFonts w:eastAsia="Aptos"/>
                <w:b/>
                <w:bCs/>
                <w:noProof/>
                <w:color w:val="000000" w:themeColor="text1"/>
                <w:sz w:val="20"/>
                <w:szCs w:val="20"/>
                <w:lang w:eastAsia="en-GB"/>
              </w:rPr>
              <w:t>++</w:t>
            </w:r>
          </w:p>
        </w:tc>
        <w:tc>
          <w:tcPr>
            <w:tcW w:w="1701" w:type="pct"/>
            <w:gridSpan w:val="2"/>
            <w:noWrap/>
          </w:tcPr>
          <w:p w14:paraId="354A3926" w14:textId="77777777" w:rsidR="00285741" w:rsidRPr="3285770D" w:rsidRDefault="00285741">
            <w:pPr>
              <w:ind w:right="114"/>
              <w:jc w:val="center"/>
              <w:rPr>
                <w:rFonts w:eastAsia="Aptos"/>
                <w:b/>
                <w:noProof/>
                <w:color w:val="000000" w:themeColor="text1"/>
                <w:sz w:val="20"/>
                <w:szCs w:val="20"/>
                <w:lang w:eastAsia="en-GB"/>
              </w:rPr>
            </w:pPr>
            <w:r w:rsidRPr="3285770D">
              <w:rPr>
                <w:rFonts w:eastAsia="Aptos"/>
                <w:b/>
                <w:noProof/>
                <w:color w:val="000000" w:themeColor="text1"/>
                <w:sz w:val="20"/>
                <w:szCs w:val="20"/>
                <w:lang w:eastAsia="en-GB"/>
              </w:rPr>
              <w:t>++</w:t>
            </w:r>
            <w:r>
              <w:rPr>
                <w:rFonts w:eastAsia="Aptos"/>
                <w:b/>
                <w:noProof/>
                <w:color w:val="000000" w:themeColor="text1"/>
                <w:sz w:val="20"/>
                <w:szCs w:val="20"/>
                <w:lang w:eastAsia="en-GB"/>
              </w:rPr>
              <w:t>+</w:t>
            </w:r>
          </w:p>
        </w:tc>
      </w:tr>
      <w:tr w:rsidR="00285741" w:rsidRPr="00F6288E" w14:paraId="2FF060BC" w14:textId="77777777" w:rsidTr="3F0F1197">
        <w:trPr>
          <w:trHeight w:val="255"/>
          <w:jc w:val="center"/>
        </w:trPr>
        <w:tc>
          <w:tcPr>
            <w:tcW w:w="2356" w:type="pct"/>
          </w:tcPr>
          <w:p w14:paraId="58AF7057" w14:textId="77777777" w:rsidR="00285741" w:rsidRPr="00F6288E" w:rsidRDefault="00285741">
            <w:pPr>
              <w:ind w:right="114"/>
              <w:rPr>
                <w:rFonts w:eastAsia="Aptos"/>
                <w:noProof/>
                <w:color w:val="000000" w:themeColor="text1"/>
                <w:kern w:val="2"/>
                <w:sz w:val="20"/>
                <w:szCs w:val="20"/>
                <w:lang w:eastAsia="en-GB"/>
              </w:rPr>
            </w:pPr>
            <w:r w:rsidRPr="00F6288E">
              <w:rPr>
                <w:rFonts w:eastAsia="Aptos"/>
                <w:noProof/>
                <w:color w:val="000000" w:themeColor="text1"/>
                <w:kern w:val="2"/>
                <w:sz w:val="20"/>
                <w:szCs w:val="20"/>
                <w:lang w:eastAsia="en-GB"/>
              </w:rPr>
              <w:t>SO2</w:t>
            </w:r>
          </w:p>
        </w:tc>
        <w:tc>
          <w:tcPr>
            <w:tcW w:w="943" w:type="pct"/>
          </w:tcPr>
          <w:p w14:paraId="5D75A6A0" w14:textId="77777777" w:rsidR="00285741" w:rsidRPr="00F6288E" w:rsidRDefault="00285741">
            <w:pPr>
              <w:ind w:right="114"/>
              <w:jc w:val="center"/>
              <w:rPr>
                <w:rFonts w:eastAsia="Aptos"/>
                <w:b/>
                <w:noProof/>
                <w:color w:val="000000" w:themeColor="text1"/>
                <w:kern w:val="2"/>
                <w:sz w:val="20"/>
                <w:szCs w:val="20"/>
                <w:lang w:eastAsia="en-GB"/>
              </w:rPr>
            </w:pPr>
            <w:r w:rsidRPr="00F6288E">
              <w:rPr>
                <w:rFonts w:eastAsia="Aptos"/>
                <w:b/>
                <w:noProof/>
                <w:color w:val="000000" w:themeColor="text1"/>
                <w:kern w:val="2"/>
                <w:sz w:val="20"/>
                <w:szCs w:val="20"/>
                <w:lang w:eastAsia="en-GB"/>
              </w:rPr>
              <w:t>++</w:t>
            </w:r>
          </w:p>
        </w:tc>
        <w:tc>
          <w:tcPr>
            <w:tcW w:w="1022" w:type="pct"/>
            <w:noWrap/>
          </w:tcPr>
          <w:p w14:paraId="05862CFB" w14:textId="77777777" w:rsidR="00285741" w:rsidRPr="00F6288E" w:rsidRDefault="00285741">
            <w:pPr>
              <w:ind w:right="114"/>
              <w:jc w:val="center"/>
              <w:rPr>
                <w:rFonts w:eastAsia="Aptos"/>
                <w:b/>
                <w:noProof/>
                <w:color w:val="000000" w:themeColor="text1"/>
                <w:kern w:val="2"/>
                <w:sz w:val="20"/>
                <w:szCs w:val="20"/>
                <w:lang w:eastAsia="en-GB"/>
              </w:rPr>
            </w:pPr>
            <w:r w:rsidRPr="00F6288E">
              <w:rPr>
                <w:rFonts w:eastAsia="Aptos"/>
                <w:b/>
                <w:noProof/>
                <w:color w:val="000000" w:themeColor="text1"/>
                <w:kern w:val="2"/>
                <w:sz w:val="20"/>
                <w:szCs w:val="20"/>
                <w:lang w:eastAsia="en-GB"/>
              </w:rPr>
              <w:t>+++</w:t>
            </w:r>
          </w:p>
        </w:tc>
        <w:tc>
          <w:tcPr>
            <w:tcW w:w="679" w:type="pct"/>
            <w:noWrap/>
          </w:tcPr>
          <w:p w14:paraId="07785F65" w14:textId="77777777" w:rsidR="00285741" w:rsidRPr="00F6288E" w:rsidRDefault="00285741">
            <w:pPr>
              <w:ind w:right="114"/>
              <w:jc w:val="center"/>
              <w:rPr>
                <w:rFonts w:eastAsia="Aptos"/>
                <w:b/>
                <w:noProof/>
                <w:color w:val="000000" w:themeColor="text1"/>
                <w:kern w:val="2"/>
                <w:sz w:val="20"/>
                <w:szCs w:val="20"/>
                <w:lang w:eastAsia="en-GB"/>
              </w:rPr>
            </w:pPr>
            <w:r w:rsidRPr="00F6288E">
              <w:rPr>
                <w:rFonts w:eastAsia="Aptos"/>
                <w:b/>
                <w:noProof/>
                <w:color w:val="000000" w:themeColor="text1"/>
                <w:kern w:val="2"/>
                <w:sz w:val="20"/>
                <w:szCs w:val="20"/>
                <w:lang w:eastAsia="en-GB"/>
              </w:rPr>
              <w:t>+</w:t>
            </w:r>
          </w:p>
        </w:tc>
      </w:tr>
      <w:tr w:rsidR="00285741" w:rsidRPr="00F6288E" w14:paraId="57C26012" w14:textId="77777777" w:rsidTr="3F0F1197">
        <w:trPr>
          <w:trHeight w:val="255"/>
          <w:jc w:val="center"/>
        </w:trPr>
        <w:tc>
          <w:tcPr>
            <w:tcW w:w="2356" w:type="pct"/>
          </w:tcPr>
          <w:p w14:paraId="33BBEB3B" w14:textId="77777777" w:rsidR="00285741" w:rsidRPr="00F6288E" w:rsidRDefault="00285741">
            <w:pPr>
              <w:ind w:right="114"/>
              <w:rPr>
                <w:rFonts w:eastAsia="Aptos"/>
                <w:noProof/>
                <w:color w:val="000000" w:themeColor="text1"/>
                <w:kern w:val="2"/>
                <w:sz w:val="20"/>
                <w:szCs w:val="20"/>
                <w:lang w:eastAsia="en-GB"/>
              </w:rPr>
            </w:pPr>
            <w:r w:rsidRPr="00F6288E">
              <w:rPr>
                <w:rFonts w:eastAsia="Aptos"/>
                <w:noProof/>
                <w:color w:val="000000" w:themeColor="text1"/>
                <w:kern w:val="2"/>
                <w:sz w:val="20"/>
                <w:szCs w:val="20"/>
                <w:lang w:eastAsia="en-GB"/>
              </w:rPr>
              <w:t>SO3</w:t>
            </w:r>
          </w:p>
        </w:tc>
        <w:tc>
          <w:tcPr>
            <w:tcW w:w="943" w:type="pct"/>
          </w:tcPr>
          <w:p w14:paraId="4B3C1598" w14:textId="77777777" w:rsidR="00285741" w:rsidRPr="00F6288E" w:rsidRDefault="00285741">
            <w:pPr>
              <w:ind w:right="114"/>
              <w:jc w:val="center"/>
              <w:rPr>
                <w:rFonts w:eastAsia="Aptos"/>
                <w:b/>
                <w:noProof/>
                <w:color w:val="000000" w:themeColor="text1"/>
                <w:kern w:val="2"/>
                <w:sz w:val="20"/>
                <w:szCs w:val="20"/>
                <w:lang w:eastAsia="en-GB"/>
              </w:rPr>
            </w:pPr>
            <w:r>
              <w:rPr>
                <w:rFonts w:eastAsia="Aptos"/>
                <w:b/>
                <w:noProof/>
                <w:color w:val="000000" w:themeColor="text1"/>
                <w:kern w:val="2"/>
                <w:sz w:val="20"/>
                <w:szCs w:val="20"/>
                <w:lang w:eastAsia="en-GB"/>
              </w:rPr>
              <w:t>+</w:t>
            </w:r>
          </w:p>
        </w:tc>
        <w:tc>
          <w:tcPr>
            <w:tcW w:w="1701" w:type="pct"/>
            <w:gridSpan w:val="2"/>
            <w:noWrap/>
          </w:tcPr>
          <w:p w14:paraId="5B1535EB" w14:textId="77777777" w:rsidR="00285741" w:rsidRPr="00F6288E" w:rsidRDefault="00285741">
            <w:pPr>
              <w:ind w:right="114"/>
              <w:jc w:val="center"/>
              <w:rPr>
                <w:rFonts w:eastAsia="Aptos"/>
                <w:b/>
                <w:noProof/>
                <w:color w:val="000000" w:themeColor="text1"/>
                <w:kern w:val="2"/>
                <w:sz w:val="20"/>
                <w:szCs w:val="20"/>
                <w:lang w:eastAsia="en-GB"/>
              </w:rPr>
            </w:pPr>
            <w:r>
              <w:rPr>
                <w:rFonts w:eastAsia="Aptos"/>
                <w:b/>
                <w:noProof/>
                <w:color w:val="000000" w:themeColor="text1"/>
                <w:kern w:val="2"/>
                <w:sz w:val="20"/>
                <w:szCs w:val="20"/>
                <w:lang w:eastAsia="en-GB"/>
              </w:rPr>
              <w:t>++</w:t>
            </w:r>
          </w:p>
        </w:tc>
      </w:tr>
      <w:tr w:rsidR="00285741" w:rsidRPr="00F6288E" w14:paraId="393C12B0" w14:textId="77777777" w:rsidTr="3F0F1197">
        <w:trPr>
          <w:trHeight w:val="255"/>
          <w:jc w:val="center"/>
        </w:trPr>
        <w:tc>
          <w:tcPr>
            <w:tcW w:w="2356" w:type="pct"/>
          </w:tcPr>
          <w:p w14:paraId="56EC7B5D" w14:textId="77777777" w:rsidR="00285741" w:rsidRPr="00F6288E" w:rsidRDefault="00285741">
            <w:pPr>
              <w:ind w:right="114"/>
              <w:rPr>
                <w:rFonts w:eastAsia="Aptos"/>
                <w:noProof/>
                <w:color w:val="000000" w:themeColor="text1"/>
                <w:kern w:val="2"/>
                <w:sz w:val="20"/>
                <w:szCs w:val="20"/>
                <w:lang w:eastAsia="en-GB"/>
              </w:rPr>
            </w:pPr>
            <w:r w:rsidRPr="00F6288E">
              <w:rPr>
                <w:rFonts w:eastAsia="Aptos"/>
                <w:noProof/>
                <w:color w:val="000000" w:themeColor="text1"/>
                <w:kern w:val="2"/>
                <w:sz w:val="20"/>
                <w:szCs w:val="20"/>
                <w:lang w:eastAsia="en-GB"/>
              </w:rPr>
              <w:t>SO4</w:t>
            </w:r>
          </w:p>
        </w:tc>
        <w:tc>
          <w:tcPr>
            <w:tcW w:w="943" w:type="pct"/>
          </w:tcPr>
          <w:p w14:paraId="49457D0B" w14:textId="77777777" w:rsidR="00285741" w:rsidRPr="00F6288E" w:rsidRDefault="00285741">
            <w:pPr>
              <w:ind w:right="114"/>
              <w:jc w:val="center"/>
              <w:rPr>
                <w:rFonts w:eastAsia="Aptos"/>
                <w:b/>
                <w:noProof/>
                <w:color w:val="000000" w:themeColor="text1"/>
                <w:kern w:val="2"/>
                <w:sz w:val="20"/>
                <w:szCs w:val="20"/>
                <w:lang w:eastAsia="en-GB"/>
              </w:rPr>
            </w:pPr>
            <w:r>
              <w:rPr>
                <w:rFonts w:eastAsia="Aptos"/>
                <w:b/>
                <w:noProof/>
                <w:color w:val="000000" w:themeColor="text1"/>
                <w:kern w:val="2"/>
                <w:sz w:val="20"/>
                <w:szCs w:val="20"/>
                <w:lang w:eastAsia="en-GB"/>
              </w:rPr>
              <w:t>+</w:t>
            </w:r>
          </w:p>
        </w:tc>
        <w:tc>
          <w:tcPr>
            <w:tcW w:w="1022" w:type="pct"/>
            <w:noWrap/>
          </w:tcPr>
          <w:p w14:paraId="09DAFC2C" w14:textId="77777777" w:rsidR="00285741" w:rsidRPr="00F6288E" w:rsidRDefault="00285741">
            <w:pPr>
              <w:ind w:right="114"/>
              <w:jc w:val="center"/>
              <w:rPr>
                <w:rFonts w:eastAsia="Aptos"/>
                <w:b/>
                <w:noProof/>
                <w:color w:val="000000" w:themeColor="text1"/>
                <w:kern w:val="2"/>
                <w:sz w:val="20"/>
                <w:szCs w:val="20"/>
                <w:lang w:eastAsia="en-GB"/>
              </w:rPr>
            </w:pPr>
            <w:r>
              <w:rPr>
                <w:rFonts w:eastAsia="Aptos"/>
                <w:b/>
                <w:noProof/>
                <w:color w:val="000000" w:themeColor="text1"/>
                <w:kern w:val="2"/>
                <w:sz w:val="20"/>
                <w:szCs w:val="20"/>
                <w:lang w:eastAsia="en-GB"/>
              </w:rPr>
              <w:t>++</w:t>
            </w:r>
          </w:p>
        </w:tc>
        <w:tc>
          <w:tcPr>
            <w:tcW w:w="679" w:type="pct"/>
            <w:noWrap/>
          </w:tcPr>
          <w:p w14:paraId="3108CA0D" w14:textId="77777777" w:rsidR="00285741" w:rsidRPr="00F6288E" w:rsidRDefault="00285741">
            <w:pPr>
              <w:ind w:right="114"/>
              <w:jc w:val="center"/>
              <w:rPr>
                <w:rFonts w:eastAsia="Aptos"/>
                <w:b/>
                <w:noProof/>
                <w:color w:val="000000" w:themeColor="text1"/>
                <w:kern w:val="2"/>
                <w:sz w:val="20"/>
                <w:szCs w:val="20"/>
                <w:lang w:eastAsia="en-GB"/>
              </w:rPr>
            </w:pPr>
            <w:r>
              <w:rPr>
                <w:rFonts w:eastAsia="Aptos"/>
                <w:b/>
                <w:noProof/>
                <w:color w:val="000000" w:themeColor="text1"/>
                <w:kern w:val="2"/>
                <w:sz w:val="20"/>
                <w:szCs w:val="20"/>
                <w:lang w:eastAsia="en-GB"/>
              </w:rPr>
              <w:t>++</w:t>
            </w:r>
          </w:p>
        </w:tc>
      </w:tr>
      <w:tr w:rsidR="00285741" w:rsidRPr="00F6288E" w14:paraId="09794CFF" w14:textId="77777777" w:rsidTr="3F0F1197">
        <w:trPr>
          <w:trHeight w:val="255"/>
          <w:jc w:val="center"/>
        </w:trPr>
        <w:tc>
          <w:tcPr>
            <w:tcW w:w="2356" w:type="pct"/>
          </w:tcPr>
          <w:p w14:paraId="50A5CC18" w14:textId="77777777" w:rsidR="00285741" w:rsidRPr="00F6288E" w:rsidRDefault="00285741">
            <w:pPr>
              <w:ind w:right="114"/>
              <w:rPr>
                <w:rFonts w:eastAsia="Aptos"/>
                <w:noProof/>
                <w:color w:val="000000" w:themeColor="text1"/>
                <w:kern w:val="2"/>
                <w:sz w:val="20"/>
                <w:szCs w:val="20"/>
                <w:lang w:eastAsia="en-GB"/>
              </w:rPr>
            </w:pPr>
            <w:r w:rsidRPr="3285770D">
              <w:rPr>
                <w:rFonts w:eastAsia="Aptos"/>
                <w:noProof/>
                <w:color w:val="000000" w:themeColor="text1"/>
                <w:sz w:val="20"/>
                <w:szCs w:val="20"/>
                <w:lang w:eastAsia="en-GB"/>
              </w:rPr>
              <w:t>SO5</w:t>
            </w:r>
          </w:p>
        </w:tc>
        <w:tc>
          <w:tcPr>
            <w:tcW w:w="943" w:type="pct"/>
          </w:tcPr>
          <w:p w14:paraId="03938C9D" w14:textId="77777777" w:rsidR="00285741" w:rsidRPr="00F6288E" w:rsidRDefault="00285741">
            <w:pPr>
              <w:ind w:right="114"/>
              <w:jc w:val="center"/>
              <w:rPr>
                <w:rFonts w:eastAsia="Aptos"/>
                <w:b/>
                <w:noProof/>
                <w:color w:val="000000" w:themeColor="text1"/>
                <w:kern w:val="2"/>
                <w:sz w:val="20"/>
                <w:szCs w:val="20"/>
                <w:lang w:eastAsia="en-GB"/>
              </w:rPr>
            </w:pPr>
            <w:r>
              <w:rPr>
                <w:rFonts w:eastAsia="Aptos"/>
                <w:b/>
                <w:noProof/>
                <w:color w:val="000000" w:themeColor="text1"/>
                <w:kern w:val="2"/>
                <w:sz w:val="20"/>
                <w:szCs w:val="20"/>
                <w:lang w:eastAsia="en-GB"/>
              </w:rPr>
              <w:t>++</w:t>
            </w:r>
          </w:p>
        </w:tc>
        <w:tc>
          <w:tcPr>
            <w:tcW w:w="1701" w:type="pct"/>
            <w:gridSpan w:val="2"/>
            <w:noWrap/>
          </w:tcPr>
          <w:p w14:paraId="4E8618FC" w14:textId="77777777" w:rsidR="00285741" w:rsidRPr="00F6288E" w:rsidRDefault="00285741">
            <w:pPr>
              <w:ind w:right="114"/>
              <w:jc w:val="center"/>
              <w:rPr>
                <w:rFonts w:eastAsia="Aptos"/>
                <w:b/>
                <w:noProof/>
                <w:color w:val="000000" w:themeColor="text1"/>
                <w:kern w:val="2"/>
                <w:sz w:val="20"/>
                <w:szCs w:val="20"/>
                <w:lang w:eastAsia="en-GB"/>
              </w:rPr>
            </w:pPr>
            <w:r>
              <w:rPr>
                <w:rFonts w:eastAsia="Aptos"/>
                <w:b/>
                <w:noProof/>
                <w:color w:val="000000" w:themeColor="text1"/>
                <w:kern w:val="2"/>
                <w:sz w:val="20"/>
                <w:szCs w:val="20"/>
                <w:lang w:eastAsia="en-GB"/>
              </w:rPr>
              <w:t>++</w:t>
            </w:r>
          </w:p>
        </w:tc>
      </w:tr>
      <w:tr w:rsidR="00285741" w:rsidRPr="00F6288E" w14:paraId="3CF17023" w14:textId="77777777" w:rsidTr="3F0F1197">
        <w:trPr>
          <w:trHeight w:val="255"/>
          <w:jc w:val="center"/>
        </w:trPr>
        <w:tc>
          <w:tcPr>
            <w:tcW w:w="2356" w:type="pct"/>
            <w:shd w:val="clear" w:color="auto" w:fill="F6C5AC" w:themeFill="accent2" w:themeFillTint="66"/>
          </w:tcPr>
          <w:p w14:paraId="0D8B9720" w14:textId="77777777" w:rsidR="00285741" w:rsidRPr="00F6288E" w:rsidRDefault="7C355CBF">
            <w:pPr>
              <w:ind w:right="114"/>
              <w:rPr>
                <w:rFonts w:eastAsia="Aptos"/>
                <w:noProof/>
                <w:color w:val="000000" w:themeColor="text1"/>
                <w:kern w:val="2"/>
                <w:sz w:val="20"/>
                <w:szCs w:val="20"/>
                <w:lang w:eastAsia="en-GB"/>
              </w:rPr>
            </w:pPr>
            <w:r w:rsidRPr="3285770D">
              <w:rPr>
                <w:rFonts w:eastAsia="Aptos"/>
                <w:b/>
                <w:bCs/>
                <w:noProof/>
                <w:color w:val="FFFFFF"/>
                <w:kern w:val="2"/>
                <w:sz w:val="20"/>
                <w:szCs w:val="20"/>
                <w:lang w:eastAsia="en-GB"/>
              </w:rPr>
              <w:t>Summary comparison of options</w:t>
            </w:r>
            <w:r w:rsidR="00285741">
              <w:rPr>
                <w:rStyle w:val="FootnoteReference"/>
                <w:rFonts w:eastAsia="Aptos"/>
                <w:b/>
                <w:bCs/>
                <w:noProof/>
                <w:color w:val="FFFFFF"/>
                <w:kern w:val="2"/>
                <w:sz w:val="20"/>
                <w:szCs w:val="20"/>
                <w:lang w:eastAsia="en-GB"/>
              </w:rPr>
              <w:footnoteReference w:id="244"/>
            </w:r>
          </w:p>
        </w:tc>
        <w:tc>
          <w:tcPr>
            <w:tcW w:w="943" w:type="pct"/>
            <w:shd w:val="clear" w:color="auto" w:fill="F6C5AC" w:themeFill="accent2" w:themeFillTint="66"/>
          </w:tcPr>
          <w:p w14:paraId="3F315ADA"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p>
        </w:tc>
        <w:tc>
          <w:tcPr>
            <w:tcW w:w="1022" w:type="pct"/>
            <w:shd w:val="clear" w:color="auto" w:fill="F6C5AC" w:themeFill="accent2" w:themeFillTint="66"/>
            <w:noWrap/>
          </w:tcPr>
          <w:p w14:paraId="637727D2" w14:textId="77777777" w:rsidR="00285741" w:rsidRPr="00F6288E" w:rsidRDefault="00285741">
            <w:pPr>
              <w:ind w:right="114"/>
              <w:jc w:val="center"/>
              <w:rPr>
                <w:rFonts w:eastAsia="Aptos"/>
                <w:b/>
                <w:bCs/>
                <w:noProof/>
                <w:color w:val="FFFFFF"/>
                <w:kern w:val="2"/>
                <w:sz w:val="20"/>
                <w:szCs w:val="20"/>
                <w:lang w:eastAsia="en-GB"/>
              </w:rPr>
            </w:pPr>
            <w:r w:rsidRPr="00F6288E">
              <w:rPr>
                <w:rFonts w:eastAsia="Aptos"/>
                <w:b/>
                <w:noProof/>
                <w:color w:val="FFFFFF"/>
                <w:kern w:val="2"/>
                <w:sz w:val="20"/>
                <w:szCs w:val="20"/>
                <w:lang w:eastAsia="en-GB"/>
              </w:rPr>
              <w:t>++</w:t>
            </w:r>
            <w:r>
              <w:rPr>
                <w:rFonts w:eastAsia="Aptos"/>
                <w:b/>
                <w:noProof/>
                <w:color w:val="FFFFFF"/>
                <w:kern w:val="2"/>
                <w:sz w:val="20"/>
                <w:szCs w:val="20"/>
                <w:lang w:eastAsia="en-GB"/>
              </w:rPr>
              <w:t>+</w:t>
            </w:r>
          </w:p>
        </w:tc>
        <w:tc>
          <w:tcPr>
            <w:tcW w:w="679" w:type="pct"/>
            <w:shd w:val="clear" w:color="auto" w:fill="F6C5AC" w:themeFill="accent2" w:themeFillTint="66"/>
            <w:noWrap/>
          </w:tcPr>
          <w:p w14:paraId="6D3FA031" w14:textId="77777777" w:rsidR="00285741" w:rsidRPr="00F6288E" w:rsidRDefault="00285741">
            <w:pPr>
              <w:ind w:right="114"/>
              <w:jc w:val="center"/>
              <w:rPr>
                <w:rFonts w:eastAsia="Aptos"/>
                <w:b/>
                <w:bCs/>
                <w:noProof/>
                <w:color w:val="FFFFFF"/>
                <w:kern w:val="2"/>
                <w:sz w:val="20"/>
                <w:szCs w:val="20"/>
                <w:lang w:eastAsia="en-GB"/>
              </w:rPr>
            </w:pPr>
            <w:r w:rsidRPr="3285770D">
              <w:rPr>
                <w:rFonts w:eastAsia="Aptos"/>
                <w:b/>
                <w:bCs/>
                <w:noProof/>
                <w:color w:val="FFFFFF"/>
                <w:kern w:val="2"/>
                <w:sz w:val="20"/>
                <w:szCs w:val="20"/>
                <w:lang w:eastAsia="en-GB"/>
              </w:rPr>
              <w:t>+</w:t>
            </w:r>
            <w:r>
              <w:rPr>
                <w:rFonts w:eastAsia="Aptos"/>
                <w:b/>
                <w:bCs/>
                <w:noProof/>
                <w:color w:val="FFFFFF"/>
                <w:kern w:val="2"/>
                <w:sz w:val="20"/>
                <w:szCs w:val="20"/>
                <w:lang w:eastAsia="en-GB"/>
              </w:rPr>
              <w:t>+</w:t>
            </w:r>
          </w:p>
        </w:tc>
      </w:tr>
    </w:tbl>
    <w:p w14:paraId="1567BDC4" w14:textId="77777777" w:rsidR="00285741" w:rsidRDefault="00285741">
      <w:pPr>
        <w:spacing w:after="120"/>
        <w:rPr>
          <w:rFonts w:eastAsia="Times New Roman"/>
          <w:noProof/>
          <w:color w:val="333333"/>
        </w:rPr>
      </w:pPr>
    </w:p>
    <w:p w14:paraId="47E7D3E1" w14:textId="77777777" w:rsidR="00285741" w:rsidRPr="00195EC6" w:rsidRDefault="00285741" w:rsidP="00285741">
      <w:pPr>
        <w:pStyle w:val="Heading1"/>
        <w:keepLines w:val="0"/>
        <w:numPr>
          <w:ilvl w:val="0"/>
          <w:numId w:val="64"/>
        </w:numPr>
        <w:tabs>
          <w:tab w:val="num" w:pos="480"/>
        </w:tabs>
        <w:spacing w:before="0" w:after="120"/>
        <w:ind w:left="480" w:hanging="480"/>
        <w:rPr>
          <w:rFonts w:ascii="Times" w:hAnsi="Times" w:cs="Times"/>
          <w:b/>
          <w:noProof/>
          <w:color w:val="auto"/>
          <w:sz w:val="28"/>
          <w:szCs w:val="28"/>
        </w:rPr>
      </w:pPr>
      <w:bookmarkStart w:id="93" w:name="_Toc205923050"/>
      <w:bookmarkStart w:id="94" w:name="_Toc211984410"/>
      <w:bookmarkStart w:id="95" w:name="_Toc222159304"/>
      <w:bookmarkStart w:id="96" w:name="_Toc222489995"/>
      <w:r w:rsidRPr="09CA0190">
        <w:rPr>
          <w:rFonts w:ascii="Times" w:hAnsi="Times" w:cs="Times"/>
          <w:b/>
          <w:noProof/>
          <w:color w:val="auto"/>
          <w:sz w:val="28"/>
          <w:szCs w:val="28"/>
        </w:rPr>
        <w:t>Preferred option</w:t>
      </w:r>
      <w:bookmarkEnd w:id="93"/>
      <w:bookmarkEnd w:id="94"/>
      <w:bookmarkEnd w:id="95"/>
      <w:bookmarkEnd w:id="96"/>
    </w:p>
    <w:p w14:paraId="6FFFF92C" w14:textId="5FD680EF" w:rsidR="00285741" w:rsidRDefault="00285741" w:rsidP="00195EC6">
      <w:pPr>
        <w:spacing w:after="120"/>
        <w:rPr>
          <w:noProof/>
        </w:rPr>
      </w:pPr>
      <w:r>
        <w:rPr>
          <w:noProof/>
        </w:rPr>
        <w:t>Following the analysis of the impacts of each PO, as well as their ability to meet the general and specific objectives in the most effective and efficient manner while respecting proportionality, coherence and subsidiarity, this impact assessment considers that PO2 would be the preferred option.</w:t>
      </w:r>
      <w:r w:rsidDel="545C8C3C">
        <w:rPr>
          <w:noProof/>
        </w:rPr>
        <w:t xml:space="preserve"> </w:t>
      </w:r>
      <w:r>
        <w:rPr>
          <w:noProof/>
        </w:rPr>
        <w:t>In that balance, PO2 would facilitate business and trigger investment decisions in the EU by streamlining permit procedures for the entire manufacturing sector, boosting demand for decarbonised materials and clean tech products in strategic value chains, and ensure an investment framework that protects against unfair global competition and support value-added creation in the EU.</w:t>
      </w:r>
      <w:r w:rsidR="004140D9">
        <w:rPr>
          <w:noProof/>
        </w:rPr>
        <w:t xml:space="preserve"> </w:t>
      </w:r>
      <w:r>
        <w:rPr>
          <w:noProof/>
        </w:rPr>
        <w:t xml:space="preserve">PO1 and PO3 present a similar impact in terms of proportionality/subsidiarity, however PO2 stands out with a more positive impact in terms of proportionality when introducing </w:t>
      </w:r>
      <w:r w:rsidR="00AE2FE5">
        <w:rPr>
          <w:noProof/>
        </w:rPr>
        <w:t>Made in EU</w:t>
      </w:r>
      <w:r>
        <w:rPr>
          <w:noProof/>
        </w:rPr>
        <w:t xml:space="preserve"> in policy measures for public procurement and public support only. Regarding coherence, PO2 again presents a bigger positive impact, followed by PO3 and PO1. For SO2 however, coherence with the latest legislative proposals as well as with the EU’s international commitments would be better ensured by a combination of PO1 and PO2, potentially associating made in EU requirements for relevant EIIs with low-carbon ones. </w:t>
      </w:r>
    </w:p>
    <w:p w14:paraId="4A07077E" w14:textId="77777777" w:rsidR="00285741" w:rsidRPr="000272AD" w:rsidRDefault="00285741" w:rsidP="00195EC6">
      <w:pPr>
        <w:spacing w:after="120"/>
        <w:rPr>
          <w:noProof/>
        </w:rPr>
      </w:pPr>
      <w:r>
        <w:rPr>
          <w:noProof/>
        </w:rPr>
        <w:t>PO2</w:t>
      </w:r>
      <w:r w:rsidDel="002F09AB">
        <w:rPr>
          <w:noProof/>
        </w:rPr>
        <w:t xml:space="preserve"> </w:t>
      </w:r>
      <w:r>
        <w:rPr>
          <w:noProof/>
        </w:rPr>
        <w:t xml:space="preserve">offers a good balance between effectiveness and efficiency. </w:t>
      </w:r>
      <w:r w:rsidRPr="000272AD">
        <w:rPr>
          <w:noProof/>
        </w:rPr>
        <w:t>Although it demands resources from Member States and affects downstream sectors, it remains efficient for addressing the problem drivers</w:t>
      </w:r>
      <w:r>
        <w:rPr>
          <w:noProof/>
        </w:rPr>
        <w:t>, in particular when taking account of economic security considerations</w:t>
      </w:r>
      <w:r w:rsidRPr="000272AD">
        <w:rPr>
          <w:noProof/>
        </w:rPr>
        <w:t xml:space="preserve">. </w:t>
      </w:r>
      <w:r>
        <w:rPr>
          <w:noProof/>
        </w:rPr>
        <w:t xml:space="preserve">PO3 would be more effective in achieving the objectives, but its possible efficiency is hampered by potential impacts on downstream </w:t>
      </w:r>
      <w:r w:rsidRPr="3285770D">
        <w:rPr>
          <w:rFonts w:eastAsiaTheme="minorEastAsia"/>
          <w:noProof/>
        </w:rPr>
        <w:t>sectors and consumers</w:t>
      </w:r>
      <w:r>
        <w:rPr>
          <w:rFonts w:eastAsiaTheme="minorEastAsia"/>
          <w:noProof/>
        </w:rPr>
        <w:t>,</w:t>
      </w:r>
      <w:r w:rsidRPr="3285770D">
        <w:rPr>
          <w:rFonts w:eastAsiaTheme="minorEastAsia"/>
          <w:noProof/>
        </w:rPr>
        <w:t xml:space="preserve"> </w:t>
      </w:r>
      <w:r>
        <w:rPr>
          <w:rFonts w:eastAsiaTheme="minorEastAsia"/>
          <w:noProof/>
        </w:rPr>
        <w:t xml:space="preserve">and by the challenge in quantifying the positive externalities associated with supply security. </w:t>
      </w:r>
    </w:p>
    <w:p w14:paraId="6A147F30" w14:textId="3BA3404F" w:rsidR="006B67CA" w:rsidRPr="004947ED" w:rsidRDefault="006B67CA" w:rsidP="006B67CA">
      <w:pPr>
        <w:rPr>
          <w:noProof/>
        </w:rPr>
      </w:pPr>
      <w:r w:rsidRPr="00AA05BC">
        <w:rPr>
          <w:rFonts w:eastAsia="Times New Roman" w:cs="Times New Roman"/>
          <w:noProof/>
          <w:color w:val="000000" w:themeColor="text1"/>
          <w:lang w:val="en-IE"/>
        </w:rPr>
        <w:t xml:space="preserve">While PO2 results in </w:t>
      </w:r>
      <w:r w:rsidR="003571C7" w:rsidRPr="00AA05BC">
        <w:rPr>
          <w:rFonts w:eastAsia="Times New Roman" w:cs="Times New Roman"/>
          <w:noProof/>
          <w:color w:val="000000" w:themeColor="text1"/>
          <w:lang w:val="en-IE"/>
        </w:rPr>
        <w:t xml:space="preserve">similar </w:t>
      </w:r>
      <w:r w:rsidRPr="00AA05BC">
        <w:rPr>
          <w:rFonts w:eastAsia="Times New Roman" w:cs="Times New Roman"/>
          <w:noProof/>
          <w:color w:val="000000" w:themeColor="text1"/>
          <w:lang w:val="en-IE"/>
        </w:rPr>
        <w:t xml:space="preserve">net </w:t>
      </w:r>
      <w:r w:rsidR="003571C7" w:rsidRPr="00AA05BC">
        <w:rPr>
          <w:rFonts w:eastAsia="Times New Roman" w:cs="Times New Roman"/>
          <w:noProof/>
          <w:color w:val="000000" w:themeColor="text1"/>
          <w:lang w:val="en-IE"/>
        </w:rPr>
        <w:t>benefits as PO1</w:t>
      </w:r>
      <w:r w:rsidRPr="00AA05BC">
        <w:rPr>
          <w:rFonts w:eastAsia="Times New Roman" w:cs="Times New Roman"/>
          <w:noProof/>
          <w:color w:val="000000" w:themeColor="text1"/>
          <w:lang w:val="en-IE"/>
        </w:rPr>
        <w:t xml:space="preserve">, </w:t>
      </w:r>
      <w:r w:rsidR="004A6E39" w:rsidRPr="00AA05BC">
        <w:rPr>
          <w:rFonts w:eastAsia="Times New Roman" w:cs="Times New Roman"/>
          <w:noProof/>
          <w:color w:val="000000" w:themeColor="text1"/>
          <w:lang w:val="en-IE"/>
        </w:rPr>
        <w:t>PO2 will provide</w:t>
      </w:r>
      <w:r w:rsidRPr="00AA05BC">
        <w:rPr>
          <w:rFonts w:eastAsia="Times New Roman" w:cs="Times New Roman"/>
          <w:noProof/>
          <w:color w:val="000000" w:themeColor="text1"/>
          <w:lang w:val="en-IE"/>
        </w:rPr>
        <w:t xml:space="preserve"> </w:t>
      </w:r>
      <w:r w:rsidR="00280602" w:rsidRPr="00AA05BC">
        <w:rPr>
          <w:rFonts w:eastAsia="Times New Roman" w:cs="Times New Roman"/>
          <w:noProof/>
          <w:color w:val="000000" w:themeColor="text1"/>
          <w:lang w:val="en-IE"/>
        </w:rPr>
        <w:t xml:space="preserve">further </w:t>
      </w:r>
      <w:r w:rsidRPr="00AA05BC">
        <w:rPr>
          <w:rFonts w:eastAsia="Times New Roman" w:cs="Times New Roman"/>
          <w:noProof/>
          <w:color w:val="000000" w:themeColor="text1"/>
          <w:lang w:val="en-IE"/>
        </w:rPr>
        <w:t xml:space="preserve">long term benefits, </w:t>
      </w:r>
      <w:r w:rsidR="0095357E" w:rsidRPr="00AA05BC">
        <w:rPr>
          <w:rFonts w:eastAsia="Times New Roman" w:cs="Times New Roman"/>
          <w:noProof/>
          <w:color w:val="000000" w:themeColor="text1"/>
          <w:lang w:val="en-IE"/>
        </w:rPr>
        <w:t>increasing the</w:t>
      </w:r>
      <w:r w:rsidRPr="00AA05BC">
        <w:rPr>
          <w:rFonts w:eastAsia="Times New Roman" w:cs="Times New Roman"/>
          <w:noProof/>
          <w:color w:val="000000" w:themeColor="text1"/>
          <w:lang w:val="en-IE"/>
        </w:rPr>
        <w:t xml:space="preserve"> EU economic security and resilience</w:t>
      </w:r>
      <w:r w:rsidR="004A6E39" w:rsidRPr="00AA05BC">
        <w:rPr>
          <w:rFonts w:eastAsia="Times New Roman" w:cs="Times New Roman"/>
          <w:noProof/>
          <w:color w:val="000000" w:themeColor="text1"/>
          <w:lang w:val="en-IE"/>
        </w:rPr>
        <w:t xml:space="preserve"> as the </w:t>
      </w:r>
      <w:r w:rsidR="00B130D3" w:rsidRPr="00AA05BC">
        <w:rPr>
          <w:rFonts w:eastAsia="Times New Roman" w:cs="Times New Roman"/>
          <w:noProof/>
          <w:color w:val="000000" w:themeColor="text1"/>
          <w:lang w:val="en-IE"/>
        </w:rPr>
        <w:t>Union advances in</w:t>
      </w:r>
      <w:r w:rsidR="004A6E39" w:rsidRPr="00AA05BC">
        <w:rPr>
          <w:rFonts w:eastAsia="Times New Roman" w:cs="Times New Roman"/>
          <w:noProof/>
          <w:color w:val="000000" w:themeColor="text1"/>
          <w:lang w:val="en-IE"/>
        </w:rPr>
        <w:t xml:space="preserve"> its transition</w:t>
      </w:r>
      <w:r w:rsidR="0087153D" w:rsidRPr="00AA05BC">
        <w:rPr>
          <w:rFonts w:eastAsia="Times New Roman" w:cs="Times New Roman"/>
          <w:noProof/>
          <w:color w:val="000000" w:themeColor="text1"/>
          <w:lang w:val="en-IE"/>
        </w:rPr>
        <w:t xml:space="preserve"> towards climate neutrality, notably of the energy intensive industries</w:t>
      </w:r>
      <w:r w:rsidRPr="00AA05BC">
        <w:rPr>
          <w:rFonts w:eastAsia="Times New Roman" w:cs="Times New Roman"/>
          <w:noProof/>
          <w:color w:val="000000" w:themeColor="text1"/>
          <w:lang w:val="en-IE"/>
        </w:rPr>
        <w:t xml:space="preserve">. These benefits are however difficult to quantify and thus are not reflected in the costs and benefits analysis under Section 7.2. </w:t>
      </w:r>
      <w:r w:rsidRPr="00AA05BC">
        <w:rPr>
          <w:rFonts w:eastAsia="Times New Roman" w:cs="Times New Roman"/>
          <w:noProof/>
          <w:lang w:val="en-IE"/>
        </w:rPr>
        <w:t xml:space="preserve">Economic security translates, amongst others, into businesses and public authorities operating in a predictable economic environment, with reduced risks of supply chain shortages and disruptions, or of third countries restricting access to input materials for key strategic sectors. </w:t>
      </w:r>
      <w:r w:rsidR="00B372C3" w:rsidRPr="00AA05BC">
        <w:rPr>
          <w:rFonts w:eastAsia="Times New Roman" w:cs="Times New Roman"/>
          <w:noProof/>
          <w:lang w:val="en-IE"/>
        </w:rPr>
        <w:t>This would</w:t>
      </w:r>
      <w:r w:rsidR="00846358" w:rsidRPr="00AA05BC">
        <w:rPr>
          <w:rFonts w:eastAsia="Times New Roman" w:cs="Times New Roman"/>
          <w:noProof/>
          <w:lang w:val="en-IE"/>
        </w:rPr>
        <w:t xml:space="preserve"> ultimately</w:t>
      </w:r>
      <w:r w:rsidR="00B372C3" w:rsidRPr="00AA05BC">
        <w:rPr>
          <w:rFonts w:eastAsia="Times New Roman" w:cs="Times New Roman"/>
          <w:noProof/>
          <w:lang w:val="en-IE"/>
        </w:rPr>
        <w:t xml:space="preserve"> </w:t>
      </w:r>
      <w:r w:rsidR="00C7161F" w:rsidRPr="00AA05BC">
        <w:rPr>
          <w:rFonts w:eastAsia="Times New Roman" w:cs="Times New Roman"/>
          <w:noProof/>
          <w:lang w:val="en-IE"/>
        </w:rPr>
        <w:t xml:space="preserve">result in </w:t>
      </w:r>
      <w:r w:rsidR="00A043EE" w:rsidRPr="00AA05BC">
        <w:rPr>
          <w:rFonts w:eastAsia="Times New Roman" w:cs="Times New Roman"/>
          <w:noProof/>
          <w:lang w:val="en-IE"/>
        </w:rPr>
        <w:t>reduced economic and</w:t>
      </w:r>
      <w:r w:rsidR="00B372C3" w:rsidRPr="00AA05BC">
        <w:rPr>
          <w:rFonts w:eastAsia="Times New Roman" w:cs="Times New Roman"/>
          <w:noProof/>
          <w:lang w:val="en-IE"/>
        </w:rPr>
        <w:t xml:space="preserve"> </w:t>
      </w:r>
      <w:r w:rsidR="00846358" w:rsidRPr="00AA05BC">
        <w:rPr>
          <w:rFonts w:eastAsia="Times New Roman" w:cs="Times New Roman"/>
          <w:noProof/>
          <w:lang w:val="en-IE"/>
        </w:rPr>
        <w:t xml:space="preserve">social </w:t>
      </w:r>
      <w:r w:rsidR="00B372C3" w:rsidRPr="00AA05BC">
        <w:rPr>
          <w:rFonts w:eastAsia="Times New Roman" w:cs="Times New Roman"/>
          <w:noProof/>
          <w:lang w:val="en-IE"/>
        </w:rPr>
        <w:t>instability</w:t>
      </w:r>
      <w:r w:rsidR="00A043EE" w:rsidRPr="00AA05BC">
        <w:rPr>
          <w:rFonts w:eastAsia="Times New Roman" w:cs="Times New Roman"/>
          <w:noProof/>
          <w:lang w:val="en-IE"/>
        </w:rPr>
        <w:t>.</w:t>
      </w:r>
      <w:r w:rsidRPr="00AA05BC">
        <w:rPr>
          <w:rFonts w:eastAsia="Times New Roman" w:cs="Times New Roman"/>
          <w:noProof/>
          <w:lang w:val="en-IE"/>
        </w:rPr>
        <w:t xml:space="preserve"> For citizens, this means stable access to resources, creation and retention of industry jobs, stable incomes, thereby contributing to social cohesion</w:t>
      </w:r>
      <w:r w:rsidRPr="3F0F1197">
        <w:rPr>
          <w:rFonts w:eastAsia="Times New Roman" w:cs="Times New Roman"/>
          <w:noProof/>
          <w:lang w:val="en-IE"/>
        </w:rPr>
        <w:t>.</w:t>
      </w:r>
      <w:r w:rsidRPr="3F0F1197">
        <w:rPr>
          <w:rFonts w:eastAsia="Times New Roman" w:cs="Times New Roman"/>
          <w:noProof/>
        </w:rPr>
        <w:t xml:space="preserve"> </w:t>
      </w:r>
    </w:p>
    <w:p w14:paraId="5809D0E8" w14:textId="56B2FCD6" w:rsidR="1F29401A" w:rsidRDefault="1F29401A" w:rsidP="1F29401A">
      <w:pPr>
        <w:rPr>
          <w:rFonts w:eastAsia="Times New Roman" w:cs="Times New Roman"/>
          <w:noProof/>
          <w:szCs w:val="24"/>
        </w:rPr>
      </w:pPr>
    </w:p>
    <w:p w14:paraId="0AB74604" w14:textId="77777777" w:rsidR="00285741" w:rsidRPr="00AA05BC" w:rsidRDefault="00285741" w:rsidP="00195EC6">
      <w:pPr>
        <w:spacing w:after="120"/>
        <w:rPr>
          <w:noProof/>
        </w:rPr>
      </w:pPr>
      <w:r>
        <w:rPr>
          <w:noProof/>
        </w:rPr>
        <w:t xml:space="preserve">PO3 is assessed as more effective to meet the SO4 (permitting). However, it would require additional resources and support for the mapping and identification of cluster areas. These additional resources could be overshadowed by the positive gains (efficiency offered by the industrial clusters to attract new investments). PO3 also presents some overlaps with other environment or energy initiatives and as such PO2 </w:t>
      </w:r>
      <w:r w:rsidRPr="00DB44C9">
        <w:rPr>
          <w:noProof/>
        </w:rPr>
        <w:t xml:space="preserve">may </w:t>
      </w:r>
      <w:r>
        <w:rPr>
          <w:noProof/>
        </w:rPr>
        <w:t xml:space="preserve">offer a slightly more balanced choice, </w:t>
      </w:r>
      <w:r w:rsidRPr="00E201A2">
        <w:rPr>
          <w:noProof/>
        </w:rPr>
        <w:t>with detailed specific measures to be considered at a later stage pending the environmental omnibus outcome</w:t>
      </w:r>
      <w:r>
        <w:rPr>
          <w:noProof/>
        </w:rPr>
        <w:t xml:space="preserve">. </w:t>
      </w:r>
    </w:p>
    <w:p w14:paraId="3405C7BE" w14:textId="77777777" w:rsidR="00285741" w:rsidRPr="00310056" w:rsidRDefault="00285741" w:rsidP="00285741">
      <w:pPr>
        <w:pStyle w:val="Heading2"/>
        <w:keepLines w:val="0"/>
        <w:numPr>
          <w:ilvl w:val="1"/>
          <w:numId w:val="64"/>
        </w:numPr>
        <w:tabs>
          <w:tab w:val="num" w:pos="1855"/>
        </w:tabs>
        <w:spacing w:before="0" w:after="120"/>
        <w:ind w:left="1855" w:hanging="720"/>
      </w:pPr>
      <w:bookmarkStart w:id="97" w:name="_Toc211984411"/>
      <w:bookmarkStart w:id="98" w:name="_Toc222489996"/>
      <w:r w:rsidRPr="00310056">
        <w:t>REFIT (simplification and improved efficiency)</w:t>
      </w:r>
      <w:bookmarkEnd w:id="97"/>
      <w:bookmarkEnd w:id="98"/>
    </w:p>
    <w:p w14:paraId="5CCC9804" w14:textId="77777777" w:rsidR="00285741" w:rsidRDefault="00285741" w:rsidP="00195EC6">
      <w:pPr>
        <w:pStyle w:val="Text2"/>
        <w:spacing w:after="120"/>
        <w:ind w:left="0"/>
        <w:rPr>
          <w:noProof/>
        </w:rPr>
      </w:pPr>
      <w:r>
        <w:rPr>
          <w:noProof/>
        </w:rPr>
        <w:t xml:space="preserve">The preferred policy option will aim at simplifying conditions for manufacturing industry in general, and </w:t>
      </w:r>
      <w:r w:rsidRPr="005970BD">
        <w:rPr>
          <w:noProof/>
        </w:rPr>
        <w:t>EIIs</w:t>
      </w:r>
      <w:r>
        <w:rPr>
          <w:noProof/>
        </w:rPr>
        <w:t xml:space="preserve"> in particular, to decarbonise and operate in Europe whilst maintaining environmental protection through facilitation of permitting processes. This is particularly the case thanks to the proposed measure to speed-up and streamline permitting provisions for businesses investing in decarbonisation delivering a lower regulatory burden. </w:t>
      </w:r>
    </w:p>
    <w:p w14:paraId="2FF0C30C" w14:textId="77777777" w:rsidR="00285741" w:rsidRDefault="00285741" w:rsidP="00195EC6">
      <w:pPr>
        <w:pStyle w:val="Text2"/>
        <w:spacing w:after="120"/>
        <w:ind w:left="0"/>
        <w:rPr>
          <w:noProof/>
        </w:rPr>
      </w:pPr>
      <w:r>
        <w:rPr>
          <w:noProof/>
        </w:rPr>
        <w:lastRenderedPageBreak/>
        <w:t>For the FDI conditionalities, the uniform application of the conditions across the EU would largely prevent forum shopping and race to the bottom in attracting investments, while harmonising and simplifying the business conditions.</w:t>
      </w:r>
    </w:p>
    <w:p w14:paraId="427764EC" w14:textId="77777777" w:rsidR="00285741" w:rsidRPr="001B6E69" w:rsidRDefault="00285741">
      <w:pPr>
        <w:pStyle w:val="Text2"/>
        <w:spacing w:after="120"/>
        <w:ind w:left="0"/>
        <w:rPr>
          <w:noProof/>
        </w:rPr>
      </w:pPr>
      <w:r w:rsidRPr="002B30B2">
        <w:rPr>
          <w:noProof/>
        </w:rPr>
        <w:t>The changes to existing legislation that this initiative would provide are limited to the NZIA</w:t>
      </w:r>
      <w:r>
        <w:rPr>
          <w:noProof/>
        </w:rPr>
        <w:t xml:space="preserve"> and t</w:t>
      </w:r>
      <w:r w:rsidRPr="002B30B2">
        <w:rPr>
          <w:noProof/>
        </w:rPr>
        <w:t xml:space="preserve">he measures are designed to consist in targeted amendments to existing provisions. This will reduce unnecessary regulatory costs and achieve a high degree of simplification in that a legally clear adjustment to reach the underlying policy objectives is made as early as possible, hence avoiding later changes and the related adjustment costs. Moreover, adjustments will be made as much as possible in line with the existing provisions of the </w:t>
      </w:r>
      <w:r>
        <w:rPr>
          <w:noProof/>
        </w:rPr>
        <w:t>NZIA</w:t>
      </w:r>
      <w:r w:rsidRPr="002B30B2">
        <w:rPr>
          <w:noProof/>
        </w:rPr>
        <w:t xml:space="preserve">, reducing </w:t>
      </w:r>
      <w:r w:rsidRPr="001B6E69">
        <w:rPr>
          <w:noProof/>
        </w:rPr>
        <w:t xml:space="preserve">unnecessary regulatory cost through relying on the existing basic concepts of NZIA. </w:t>
      </w:r>
    </w:p>
    <w:p w14:paraId="79678919" w14:textId="1DADBF86" w:rsidR="00285741" w:rsidRPr="00310056" w:rsidRDefault="00285741" w:rsidP="3F0F1197">
      <w:pPr>
        <w:pStyle w:val="Heading2"/>
        <w:keepLines w:val="0"/>
        <w:tabs>
          <w:tab w:val="num" w:pos="1855"/>
        </w:tabs>
        <w:spacing w:before="0" w:after="120"/>
        <w:ind w:left="1855" w:hanging="720"/>
      </w:pPr>
      <w:bookmarkStart w:id="99" w:name="_Toc206097501"/>
      <w:bookmarkStart w:id="100" w:name="_Toc211984412"/>
      <w:bookmarkStart w:id="101" w:name="_Toc222489997"/>
      <w:r>
        <w:t>Application of the ‘one in, one out’ approach</w:t>
      </w:r>
      <w:bookmarkEnd w:id="99"/>
      <w:bookmarkEnd w:id="100"/>
      <w:bookmarkEnd w:id="101"/>
    </w:p>
    <w:p w14:paraId="14037C58" w14:textId="77777777" w:rsidR="00285741" w:rsidRPr="00A86D22" w:rsidRDefault="00285741" w:rsidP="00195EC6">
      <w:pPr>
        <w:pStyle w:val="Text2"/>
        <w:spacing w:after="120"/>
        <w:ind w:left="0"/>
        <w:rPr>
          <w:noProof/>
        </w:rPr>
      </w:pPr>
      <w:r w:rsidRPr="00E0764E">
        <w:rPr>
          <w:noProof/>
        </w:rPr>
        <w:t>The initiative is in the scope of the “one in, one out” approach.</w:t>
      </w:r>
      <w:r>
        <w:rPr>
          <w:noProof/>
        </w:rPr>
        <w:t xml:space="preserve"> </w:t>
      </w:r>
      <w:r w:rsidRPr="00672A9A">
        <w:rPr>
          <w:noProof/>
        </w:rPr>
        <w:t xml:space="preserve">The one–off administrative costs for businesses that would result directly with this </w:t>
      </w:r>
      <w:r w:rsidRPr="00A86D22">
        <w:rPr>
          <w:noProof/>
        </w:rPr>
        <w:t>initiative are limited and relate to:</w:t>
      </w:r>
    </w:p>
    <w:p w14:paraId="64C603F9" w14:textId="7A40BE49" w:rsidR="00285741" w:rsidRPr="00A86D22" w:rsidRDefault="00285741" w:rsidP="00285741">
      <w:pPr>
        <w:pStyle w:val="Text2"/>
        <w:numPr>
          <w:ilvl w:val="0"/>
          <w:numId w:val="63"/>
        </w:numPr>
        <w:spacing w:after="120"/>
        <w:rPr>
          <w:rStyle w:val="FootnoteReference"/>
          <w:noProof/>
        </w:rPr>
      </w:pPr>
      <w:r w:rsidRPr="00A86D22">
        <w:rPr>
          <w:noProof/>
        </w:rPr>
        <w:t xml:space="preserve">The </w:t>
      </w:r>
      <w:r>
        <w:rPr>
          <w:noProof/>
        </w:rPr>
        <w:t xml:space="preserve">one-off </w:t>
      </w:r>
      <w:r w:rsidRPr="00A86D22">
        <w:rPr>
          <w:noProof/>
        </w:rPr>
        <w:t xml:space="preserve">FDI notification </w:t>
      </w:r>
      <w:r>
        <w:rPr>
          <w:noProof/>
        </w:rPr>
        <w:t>cost</w:t>
      </w:r>
      <w:r w:rsidRPr="00A86D22">
        <w:rPr>
          <w:noProof/>
        </w:rPr>
        <w:t xml:space="preserve"> would </w:t>
      </w:r>
      <w:r>
        <w:rPr>
          <w:noProof/>
        </w:rPr>
        <w:t>amount to EUR 117</w:t>
      </w:r>
      <w:r w:rsidR="00B114A4">
        <w:rPr>
          <w:noProof/>
        </w:rPr>
        <w:t xml:space="preserve"> </w:t>
      </w:r>
      <w:r>
        <w:rPr>
          <w:noProof/>
        </w:rPr>
        <w:t xml:space="preserve">600 annualised at EUR 0.01 million per year. </w:t>
      </w:r>
    </w:p>
    <w:p w14:paraId="1B9356A7" w14:textId="77777777" w:rsidR="00285741" w:rsidRPr="00A86D22" w:rsidRDefault="00285741">
      <w:pPr>
        <w:pStyle w:val="Text2"/>
        <w:spacing w:after="120"/>
        <w:ind w:left="0"/>
        <w:rPr>
          <w:noProof/>
        </w:rPr>
      </w:pPr>
      <w:r w:rsidRPr="00672A9A">
        <w:rPr>
          <w:noProof/>
        </w:rPr>
        <w:t xml:space="preserve">The </w:t>
      </w:r>
      <w:r>
        <w:rPr>
          <w:noProof/>
        </w:rPr>
        <w:t>recurring</w:t>
      </w:r>
      <w:r w:rsidRPr="00672A9A">
        <w:rPr>
          <w:noProof/>
        </w:rPr>
        <w:t xml:space="preserve"> administrative costs for businesses that would result directly with this </w:t>
      </w:r>
      <w:r w:rsidRPr="00A86D22">
        <w:rPr>
          <w:noProof/>
        </w:rPr>
        <w:t>initiative are limited and relate to:</w:t>
      </w:r>
    </w:p>
    <w:p w14:paraId="7E700D6B" w14:textId="1136C9D1" w:rsidR="00285741" w:rsidRPr="00A86D22" w:rsidRDefault="00285741" w:rsidP="00285741">
      <w:pPr>
        <w:pStyle w:val="Text2"/>
        <w:numPr>
          <w:ilvl w:val="0"/>
          <w:numId w:val="63"/>
        </w:numPr>
        <w:spacing w:after="120"/>
        <w:rPr>
          <w:noProof/>
        </w:rPr>
      </w:pPr>
      <w:r>
        <w:rPr>
          <w:noProof/>
        </w:rPr>
        <w:t xml:space="preserve">Demonstrating compliance with low-carbon and EU requirements for relevant downstream sectors would amount to EUR </w:t>
      </w:r>
      <w:r w:rsidR="1B00C109">
        <w:rPr>
          <w:noProof/>
        </w:rPr>
        <w:t>1.16</w:t>
      </w:r>
      <w:r w:rsidR="00B97DC2">
        <w:rPr>
          <w:noProof/>
        </w:rPr>
        <w:t xml:space="preserve"> </w:t>
      </w:r>
      <w:r>
        <w:rPr>
          <w:noProof/>
        </w:rPr>
        <w:t>million recurring administrative costs.</w:t>
      </w:r>
    </w:p>
    <w:p w14:paraId="2BBFD063" w14:textId="0C8E5854" w:rsidR="00285741" w:rsidRDefault="00285741" w:rsidP="00195EC6">
      <w:pPr>
        <w:pStyle w:val="Text2"/>
        <w:spacing w:after="120"/>
        <w:ind w:left="0"/>
        <w:rPr>
          <w:noProof/>
        </w:rPr>
      </w:pPr>
      <w:r>
        <w:rPr>
          <w:noProof/>
        </w:rPr>
        <w:t>The administrative cost</w:t>
      </w:r>
      <w:r w:rsidR="00C24AB5">
        <w:rPr>
          <w:noProof/>
        </w:rPr>
        <w:t xml:space="preserve"> </w:t>
      </w:r>
      <w:r>
        <w:rPr>
          <w:noProof/>
        </w:rPr>
        <w:t xml:space="preserve">savings for businesses that would result directly with this initiative relate to: </w:t>
      </w:r>
    </w:p>
    <w:p w14:paraId="78AA2C05" w14:textId="308862C6" w:rsidR="00285741" w:rsidRPr="00C54E3E" w:rsidRDefault="00285741" w:rsidP="00285741">
      <w:pPr>
        <w:pStyle w:val="Text2"/>
        <w:numPr>
          <w:ilvl w:val="0"/>
          <w:numId w:val="63"/>
        </w:numPr>
        <w:spacing w:after="120"/>
        <w:rPr>
          <w:noProof/>
        </w:rPr>
      </w:pPr>
      <w:r>
        <w:rPr>
          <w:noProof/>
        </w:rPr>
        <w:t xml:space="preserve">Cost savings of EUR 240 million for all manufacturing industries in the EU for the digitalisation of 5 permit-granting procedures, annualised at EUR 28.14 million per year. </w:t>
      </w:r>
    </w:p>
    <w:p w14:paraId="3367B5A7" w14:textId="0C9E81F1" w:rsidR="00285741" w:rsidRDefault="00285741">
      <w:pPr>
        <w:pStyle w:val="Text2"/>
        <w:spacing w:after="120"/>
        <w:ind w:left="0"/>
        <w:rPr>
          <w:noProof/>
          <w:color w:val="000000" w:themeColor="text1"/>
        </w:rPr>
      </w:pPr>
      <w:r w:rsidRPr="1FA04443">
        <w:rPr>
          <w:noProof/>
          <w:color w:val="000000" w:themeColor="text1"/>
        </w:rPr>
        <w:t>Overall, the initiative would result in EUR 2</w:t>
      </w:r>
      <w:r w:rsidR="00E2234B">
        <w:rPr>
          <w:noProof/>
          <w:color w:val="000000" w:themeColor="text1"/>
        </w:rPr>
        <w:t>6</w:t>
      </w:r>
      <w:r w:rsidRPr="1FA04443">
        <w:rPr>
          <w:noProof/>
          <w:color w:val="000000" w:themeColor="text1"/>
        </w:rPr>
        <w:t>.9</w:t>
      </w:r>
      <w:r w:rsidR="00E2234B">
        <w:rPr>
          <w:noProof/>
          <w:color w:val="000000" w:themeColor="text1"/>
        </w:rPr>
        <w:t>7</w:t>
      </w:r>
      <w:r w:rsidRPr="1FA04443">
        <w:rPr>
          <w:noProof/>
          <w:color w:val="000000" w:themeColor="text1"/>
        </w:rPr>
        <w:t xml:space="preserve">  million yearly administrative savings for businesses. </w:t>
      </w:r>
    </w:p>
    <w:p w14:paraId="2968FDE5" w14:textId="77777777" w:rsidR="00AA0A4F" w:rsidRDefault="00285741">
      <w:pPr>
        <w:pStyle w:val="Text2"/>
        <w:spacing w:after="120"/>
        <w:ind w:left="0"/>
        <w:rPr>
          <w:noProof/>
        </w:rPr>
      </w:pPr>
      <w:r>
        <w:rPr>
          <w:noProof/>
        </w:rPr>
        <w:t xml:space="preserve">The initiative does not foresee any administrative cost applicable to citizens. </w:t>
      </w:r>
    </w:p>
    <w:p w14:paraId="2CB088A2" w14:textId="005DC46B" w:rsidR="00285741" w:rsidRPr="00EB6B04" w:rsidRDefault="00285741">
      <w:pPr>
        <w:pStyle w:val="Text2"/>
        <w:spacing w:after="120"/>
        <w:ind w:left="0"/>
        <w:rPr>
          <w:noProof/>
        </w:rPr>
      </w:pPr>
      <w:r w:rsidRPr="1FA04443">
        <w:rPr>
          <w:noProof/>
          <w:color w:val="000000" w:themeColor="text1"/>
        </w:rPr>
        <w:t xml:space="preserve">The adjustment costs </w:t>
      </w:r>
      <w:r>
        <w:rPr>
          <w:noProof/>
        </w:rPr>
        <w:t xml:space="preserve">that would result directly with this initiative amount to: </w:t>
      </w:r>
    </w:p>
    <w:p w14:paraId="0B7674D7" w14:textId="4E8B1B5F" w:rsidR="00285741" w:rsidRDefault="00285741" w:rsidP="00285741">
      <w:pPr>
        <w:pStyle w:val="Text2"/>
        <w:numPr>
          <w:ilvl w:val="0"/>
          <w:numId w:val="63"/>
        </w:numPr>
        <w:spacing w:after="120"/>
        <w:rPr>
          <w:noProof/>
          <w:color w:val="000000" w:themeColor="text1"/>
        </w:rPr>
      </w:pPr>
      <w:r>
        <w:rPr>
          <w:noProof/>
        </w:rPr>
        <w:t>EUR</w:t>
      </w:r>
      <w:r w:rsidRPr="1FA04443">
        <w:rPr>
          <w:noProof/>
          <w:color w:val="000000" w:themeColor="text1"/>
        </w:rPr>
        <w:t xml:space="preserve"> </w:t>
      </w:r>
      <w:r w:rsidR="007F767A">
        <w:rPr>
          <w:noProof/>
          <w:color w:val="000000" w:themeColor="text1"/>
        </w:rPr>
        <w:t>3</w:t>
      </w:r>
      <w:r w:rsidR="00AA05BC">
        <w:rPr>
          <w:noProof/>
          <w:color w:val="000000" w:themeColor="text1"/>
        </w:rPr>
        <w:t xml:space="preserve"> </w:t>
      </w:r>
      <w:r w:rsidR="007F767A">
        <w:rPr>
          <w:noProof/>
          <w:color w:val="000000" w:themeColor="text1"/>
        </w:rPr>
        <w:t xml:space="preserve">782 </w:t>
      </w:r>
      <w:r w:rsidRPr="1FA04443">
        <w:rPr>
          <w:noProof/>
          <w:color w:val="000000" w:themeColor="text1"/>
        </w:rPr>
        <w:t>million for businesses.</w:t>
      </w:r>
    </w:p>
    <w:p w14:paraId="5A6D023E" w14:textId="000B54F4" w:rsidR="00285741" w:rsidRPr="005B31C4" w:rsidRDefault="00285741" w:rsidP="00285741">
      <w:pPr>
        <w:pStyle w:val="Text2"/>
        <w:numPr>
          <w:ilvl w:val="0"/>
          <w:numId w:val="63"/>
        </w:numPr>
        <w:spacing w:after="120"/>
        <w:rPr>
          <w:noProof/>
          <w:color w:val="000000" w:themeColor="text1"/>
        </w:rPr>
      </w:pPr>
      <w:r w:rsidRPr="1FA04443">
        <w:rPr>
          <w:noProof/>
          <w:color w:val="000000" w:themeColor="text1"/>
        </w:rPr>
        <w:t xml:space="preserve">EUR </w:t>
      </w:r>
      <w:r w:rsidR="00D30B97">
        <w:rPr>
          <w:noProof/>
          <w:color w:val="000000" w:themeColor="text1"/>
        </w:rPr>
        <w:t>1</w:t>
      </w:r>
      <w:r w:rsidR="00AA05BC">
        <w:rPr>
          <w:noProof/>
          <w:color w:val="000000" w:themeColor="text1"/>
        </w:rPr>
        <w:t xml:space="preserve"> </w:t>
      </w:r>
      <w:r w:rsidR="00D30B97">
        <w:rPr>
          <w:noProof/>
          <w:color w:val="000000" w:themeColor="text1"/>
        </w:rPr>
        <w:t xml:space="preserve">442 </w:t>
      </w:r>
      <w:r w:rsidRPr="1FA04443">
        <w:rPr>
          <w:noProof/>
          <w:color w:val="000000" w:themeColor="text1"/>
        </w:rPr>
        <w:t>million for citizens.</w:t>
      </w:r>
    </w:p>
    <w:p w14:paraId="22FBEFD3" w14:textId="2454D162" w:rsidR="00285741" w:rsidRPr="00F92EAE" w:rsidRDefault="00285741" w:rsidP="00195EC6">
      <w:pPr>
        <w:pStyle w:val="Text2"/>
        <w:spacing w:after="120"/>
        <w:ind w:left="0"/>
        <w:rPr>
          <w:noProof/>
        </w:rPr>
      </w:pPr>
      <w:r>
        <w:rPr>
          <w:noProof/>
        </w:rPr>
        <w:t>A more detailed elaboration (</w:t>
      </w:r>
      <w:r w:rsidRPr="004411CA">
        <w:rPr>
          <w:noProof/>
        </w:rPr>
        <w:t>the specific split of FTEs by lead market provision</w:t>
      </w:r>
      <w:r>
        <w:rPr>
          <w:noProof/>
        </w:rPr>
        <w:t xml:space="preserve">) of all calculations in this </w:t>
      </w:r>
      <w:r w:rsidR="00E8682E">
        <w:rPr>
          <w:noProof/>
        </w:rPr>
        <w:t>Section</w:t>
      </w:r>
      <w:r>
        <w:rPr>
          <w:noProof/>
        </w:rPr>
        <w:t xml:space="preserve"> can be found in Annex 4.</w:t>
      </w:r>
    </w:p>
    <w:p w14:paraId="362C2953" w14:textId="77777777" w:rsidR="00285741" w:rsidRPr="00195EC6" w:rsidRDefault="00285741" w:rsidP="00285741">
      <w:pPr>
        <w:pStyle w:val="Heading1"/>
        <w:keepLines w:val="0"/>
        <w:numPr>
          <w:ilvl w:val="0"/>
          <w:numId w:val="64"/>
        </w:numPr>
        <w:tabs>
          <w:tab w:val="num" w:pos="480"/>
        </w:tabs>
        <w:spacing w:before="0" w:after="120"/>
        <w:ind w:left="480" w:hanging="480"/>
        <w:rPr>
          <w:rFonts w:ascii="Times" w:hAnsi="Times" w:cs="Times"/>
          <w:b/>
          <w:noProof/>
          <w:color w:val="auto"/>
          <w:sz w:val="28"/>
          <w:szCs w:val="28"/>
        </w:rPr>
      </w:pPr>
      <w:bookmarkStart w:id="102" w:name="_Toc206097502"/>
      <w:bookmarkStart w:id="103" w:name="_Toc211984413"/>
      <w:bookmarkStart w:id="104" w:name="_Toc222159305"/>
      <w:bookmarkStart w:id="105" w:name="_Toc222489998"/>
      <w:r w:rsidRPr="09CA0190">
        <w:rPr>
          <w:rFonts w:ascii="Times" w:hAnsi="Times" w:cs="Times"/>
          <w:b/>
          <w:noProof/>
          <w:color w:val="auto"/>
          <w:sz w:val="28"/>
          <w:szCs w:val="28"/>
        </w:rPr>
        <w:t>How will actual impacts be monitored and evaluated?</w:t>
      </w:r>
      <w:bookmarkEnd w:id="102"/>
      <w:bookmarkEnd w:id="103"/>
      <w:bookmarkEnd w:id="104"/>
      <w:bookmarkEnd w:id="105"/>
    </w:p>
    <w:p w14:paraId="573A2D6B" w14:textId="77777777" w:rsidR="00285741" w:rsidRDefault="00285741" w:rsidP="00195EC6">
      <w:pPr>
        <w:spacing w:after="120"/>
        <w:rPr>
          <w:noProof/>
        </w:rPr>
      </w:pPr>
      <w:r>
        <w:rPr>
          <w:noProof/>
        </w:rPr>
        <w:t xml:space="preserve">The Commission will carry out an evaluation of the effectiveness, efficiency, coherence, proportionality and subsidiarity of this legislative initiative and present a report on the main findings to the European Parliament, the Council, the European Economic and Social Committee, and the Committee of the Regions four to six years after the date of application of the legislative act. </w:t>
      </w:r>
    </w:p>
    <w:p w14:paraId="6DED3AA9" w14:textId="77777777" w:rsidR="00285741" w:rsidRDefault="00285741" w:rsidP="00195EC6">
      <w:pPr>
        <w:spacing w:after="120"/>
        <w:rPr>
          <w:noProof/>
        </w:rPr>
      </w:pPr>
      <w:r>
        <w:rPr>
          <w:noProof/>
        </w:rPr>
        <w:t xml:space="preserve">This review mechanism is similar to the review mechanisms included in other Commission initiatives, such as the CRMA or the NZIA. The Commission and Member States will regularly monitor the application of the legal act, in particular the effectiveness of the measures to increase competitiveness and invest in decarbonisation by the European industry. </w:t>
      </w:r>
    </w:p>
    <w:p w14:paraId="5D1E024D" w14:textId="0EDEE58B" w:rsidR="00285741" w:rsidRDefault="00285741">
      <w:pPr>
        <w:spacing w:after="120"/>
        <w:rPr>
          <w:noProof/>
        </w:rPr>
      </w:pPr>
      <w:r>
        <w:rPr>
          <w:noProof/>
        </w:rPr>
        <w:lastRenderedPageBreak/>
        <w:t xml:space="preserve">In addition, the success of the initiative would be measured in terms of increased competitiveness </w:t>
      </w:r>
      <w:r w:rsidR="00E0587C">
        <w:rPr>
          <w:noProof/>
        </w:rPr>
        <w:t>and resilience</w:t>
      </w:r>
      <w:r>
        <w:rPr>
          <w:noProof/>
        </w:rPr>
        <w:t xml:space="preserve"> (which is not </w:t>
      </w:r>
      <w:r w:rsidR="00E0587C">
        <w:rPr>
          <w:noProof/>
        </w:rPr>
        <w:t xml:space="preserve">easily </w:t>
      </w:r>
      <w:r>
        <w:rPr>
          <w:noProof/>
        </w:rPr>
        <w:t xml:space="preserve">measurable </w:t>
      </w:r>
      <w:r w:rsidR="00E0587C">
        <w:rPr>
          <w:noProof/>
        </w:rPr>
        <w:t>by a single indicator</w:t>
      </w:r>
      <w:r>
        <w:rPr>
          <w:noProof/>
        </w:rPr>
        <w:t xml:space="preserve"> but relevant aspects, such as the share of EU manufacturing industry in total EU gross value added can be used as proxies), or in terms of the scale (in terms of amount of financial value) and speed (in terms of permitting timelines) of decarbonisation investments by the EU industry. Concretely, the following indicators to determine the initiative’s success could be developed as follows:</w:t>
      </w:r>
    </w:p>
    <w:p w14:paraId="634B3350" w14:textId="50A18D66" w:rsidR="0088055C" w:rsidRDefault="0088055C" w:rsidP="0088055C">
      <w:pPr>
        <w:pStyle w:val="Caption"/>
        <w:keepNext/>
        <w:rPr>
          <w:noProof/>
        </w:rPr>
      </w:pPr>
      <w:r>
        <w:rPr>
          <w:noProof/>
        </w:rPr>
        <w:t xml:space="preserve">Table </w:t>
      </w:r>
      <w:r>
        <w:rPr>
          <w:noProof/>
        </w:rPr>
        <w:fldChar w:fldCharType="begin"/>
      </w:r>
      <w:r w:rsidRPr="00C57E41">
        <w:rPr>
          <w:noProof/>
          <w:sz w:val="20"/>
          <w:szCs w:val="14"/>
        </w:rPr>
        <w:instrText xml:space="preserve"> SEQ Table \* ARABIC </w:instrText>
      </w:r>
      <w:r>
        <w:rPr>
          <w:noProof/>
        </w:rPr>
        <w:fldChar w:fldCharType="separate"/>
      </w:r>
      <w:r w:rsidR="00E16D65">
        <w:rPr>
          <w:noProof/>
          <w:sz w:val="20"/>
          <w:szCs w:val="14"/>
        </w:rPr>
        <w:t>6</w:t>
      </w:r>
      <w:r>
        <w:rPr>
          <w:noProof/>
        </w:rPr>
        <w:fldChar w:fldCharType="end"/>
      </w:r>
      <w:r>
        <w:rPr>
          <w:noProof/>
        </w:rPr>
        <w:t>: Monitoring table of key performance indicators</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696"/>
        <w:gridCol w:w="2375"/>
        <w:gridCol w:w="1452"/>
        <w:gridCol w:w="1560"/>
        <w:gridCol w:w="1933"/>
      </w:tblGrid>
      <w:tr w:rsidR="00285741" w:rsidRPr="00003134" w14:paraId="1FBB1DB5" w14:textId="77777777" w:rsidTr="00AA05BC">
        <w:trPr>
          <w:trHeight w:val="300"/>
          <w:tblHeader/>
        </w:trPr>
        <w:tc>
          <w:tcPr>
            <w:tcW w:w="941" w:type="pct"/>
          </w:tcPr>
          <w:p w14:paraId="56FC811E" w14:textId="77777777" w:rsidR="00285741" w:rsidRPr="00003134" w:rsidRDefault="00285741">
            <w:pPr>
              <w:pStyle w:val="Text1"/>
              <w:spacing w:after="0"/>
              <w:ind w:left="0"/>
              <w:jc w:val="left"/>
              <w:rPr>
                <w:b/>
                <w:noProof/>
                <w:lang w:val="en-IE"/>
              </w:rPr>
            </w:pPr>
            <w:r w:rsidRPr="00003134">
              <w:rPr>
                <w:b/>
                <w:noProof/>
                <w:lang w:val="en-IE"/>
              </w:rPr>
              <w:t>Specific Objective</w:t>
            </w:r>
          </w:p>
        </w:tc>
        <w:tc>
          <w:tcPr>
            <w:tcW w:w="1317" w:type="pct"/>
          </w:tcPr>
          <w:p w14:paraId="2FF23BCF" w14:textId="74AF57DF" w:rsidR="00285741" w:rsidRPr="00003134" w:rsidRDefault="14D7A9EF" w:rsidP="3C1B0927">
            <w:pPr>
              <w:pStyle w:val="Text1"/>
              <w:spacing w:after="0"/>
              <w:ind w:left="0"/>
              <w:jc w:val="left"/>
              <w:rPr>
                <w:b/>
                <w:bCs/>
                <w:noProof/>
                <w:lang w:val="en-IE"/>
              </w:rPr>
            </w:pPr>
            <w:r w:rsidRPr="3C1B0927">
              <w:rPr>
                <w:b/>
                <w:bCs/>
                <w:noProof/>
                <w:lang w:val="en-IE"/>
              </w:rPr>
              <w:t xml:space="preserve">Indicator measured every </w:t>
            </w:r>
            <w:r w:rsidR="4DFF6814" w:rsidRPr="3C1B0927">
              <w:rPr>
                <w:b/>
                <w:bCs/>
                <w:noProof/>
                <w:lang w:val="en-IE"/>
              </w:rPr>
              <w:t>second</w:t>
            </w:r>
            <w:r w:rsidRPr="3C1B0927">
              <w:rPr>
                <w:b/>
                <w:bCs/>
                <w:noProof/>
                <w:lang w:val="en-IE"/>
              </w:rPr>
              <w:t xml:space="preserve"> year</w:t>
            </w:r>
          </w:p>
        </w:tc>
        <w:tc>
          <w:tcPr>
            <w:tcW w:w="805" w:type="pct"/>
          </w:tcPr>
          <w:p w14:paraId="7AED3ADA" w14:textId="77777777" w:rsidR="00285741" w:rsidRPr="00003134" w:rsidRDefault="00285741">
            <w:pPr>
              <w:pStyle w:val="Text1"/>
              <w:spacing w:after="0"/>
              <w:ind w:left="0"/>
              <w:jc w:val="left"/>
              <w:rPr>
                <w:b/>
                <w:noProof/>
                <w:lang w:val="en-IE"/>
              </w:rPr>
            </w:pPr>
            <w:r w:rsidRPr="00003134">
              <w:rPr>
                <w:b/>
                <w:noProof/>
                <w:lang w:val="en-IE"/>
              </w:rPr>
              <w:t>Unit of measurement</w:t>
            </w:r>
          </w:p>
        </w:tc>
        <w:tc>
          <w:tcPr>
            <w:tcW w:w="865" w:type="pct"/>
          </w:tcPr>
          <w:p w14:paraId="79F7C869" w14:textId="77777777" w:rsidR="00285741" w:rsidRPr="00003134" w:rsidRDefault="00285741">
            <w:pPr>
              <w:pStyle w:val="Text1"/>
              <w:spacing w:after="0"/>
              <w:ind w:left="0"/>
              <w:jc w:val="left"/>
              <w:rPr>
                <w:b/>
                <w:noProof/>
                <w:lang w:val="en-IE"/>
              </w:rPr>
            </w:pPr>
            <w:r w:rsidRPr="00003134">
              <w:rPr>
                <w:b/>
                <w:noProof/>
                <w:lang w:val="en-IE"/>
              </w:rPr>
              <w:t>Data source</w:t>
            </w:r>
          </w:p>
        </w:tc>
        <w:tc>
          <w:tcPr>
            <w:tcW w:w="1072" w:type="pct"/>
          </w:tcPr>
          <w:p w14:paraId="31D050DE" w14:textId="77777777" w:rsidR="00285741" w:rsidRPr="00003134" w:rsidRDefault="00285741">
            <w:pPr>
              <w:pStyle w:val="Text1"/>
              <w:spacing w:after="0"/>
              <w:ind w:left="0"/>
              <w:jc w:val="left"/>
              <w:rPr>
                <w:b/>
                <w:noProof/>
                <w:lang w:val="en-IE"/>
              </w:rPr>
            </w:pPr>
            <w:r w:rsidRPr="00003134">
              <w:rPr>
                <w:b/>
                <w:noProof/>
                <w:lang w:val="en-IE"/>
              </w:rPr>
              <w:t>Target</w:t>
            </w:r>
          </w:p>
        </w:tc>
      </w:tr>
      <w:tr w:rsidR="00285741" w:rsidRPr="00003134" w14:paraId="6BABDFB9" w14:textId="77777777" w:rsidTr="3C1B0927">
        <w:trPr>
          <w:trHeight w:val="300"/>
        </w:trPr>
        <w:tc>
          <w:tcPr>
            <w:tcW w:w="941" w:type="pct"/>
          </w:tcPr>
          <w:p w14:paraId="686F600D" w14:textId="77777777" w:rsidR="00285741" w:rsidRPr="00003134" w:rsidRDefault="00285741">
            <w:pPr>
              <w:pStyle w:val="Text1"/>
              <w:spacing w:after="0"/>
              <w:ind w:left="0"/>
              <w:jc w:val="left"/>
              <w:rPr>
                <w:b/>
                <w:noProof/>
                <w:lang w:val="en-IE"/>
              </w:rPr>
            </w:pPr>
            <w:r w:rsidRPr="00003134">
              <w:rPr>
                <w:b/>
                <w:noProof/>
                <w:lang w:val="en-IE"/>
              </w:rPr>
              <w:t>General objective</w:t>
            </w:r>
          </w:p>
        </w:tc>
        <w:tc>
          <w:tcPr>
            <w:tcW w:w="1317" w:type="pct"/>
          </w:tcPr>
          <w:p w14:paraId="13C4AE83" w14:textId="1539E4EB" w:rsidR="00285741" w:rsidRPr="00003134" w:rsidRDefault="00285741">
            <w:pPr>
              <w:pStyle w:val="Text1"/>
              <w:spacing w:after="0"/>
              <w:ind w:left="0"/>
              <w:jc w:val="left"/>
              <w:rPr>
                <w:noProof/>
                <w:lang w:val="en-IE"/>
              </w:rPr>
            </w:pPr>
            <w:r w:rsidRPr="00003134">
              <w:rPr>
                <w:noProof/>
                <w:lang w:val="en-IE"/>
              </w:rPr>
              <w:t>Manufacturing industry as % of EU total GVA</w:t>
            </w:r>
          </w:p>
        </w:tc>
        <w:tc>
          <w:tcPr>
            <w:tcW w:w="805" w:type="pct"/>
          </w:tcPr>
          <w:p w14:paraId="7B679E9E" w14:textId="77777777" w:rsidR="00285741" w:rsidRPr="00003134" w:rsidRDefault="00285741">
            <w:pPr>
              <w:pStyle w:val="Text1"/>
              <w:spacing w:after="0"/>
              <w:ind w:left="0"/>
              <w:jc w:val="left"/>
              <w:rPr>
                <w:noProof/>
                <w:lang w:val="en-IE"/>
              </w:rPr>
            </w:pPr>
            <w:r w:rsidRPr="00003134">
              <w:rPr>
                <w:noProof/>
                <w:lang w:val="en-IE"/>
              </w:rPr>
              <w:t>%</w:t>
            </w:r>
          </w:p>
        </w:tc>
        <w:tc>
          <w:tcPr>
            <w:tcW w:w="865" w:type="pct"/>
          </w:tcPr>
          <w:p w14:paraId="513D1B18" w14:textId="77777777" w:rsidR="00285741" w:rsidRPr="00003134" w:rsidRDefault="00285741">
            <w:pPr>
              <w:pStyle w:val="Text1"/>
              <w:spacing w:after="0"/>
              <w:ind w:left="0"/>
              <w:jc w:val="left"/>
              <w:rPr>
                <w:noProof/>
                <w:lang w:val="en-IE"/>
              </w:rPr>
            </w:pPr>
            <w:r w:rsidRPr="00003134">
              <w:rPr>
                <w:noProof/>
                <w:lang w:val="en-IE"/>
              </w:rPr>
              <w:t>Eurostat</w:t>
            </w:r>
          </w:p>
        </w:tc>
        <w:tc>
          <w:tcPr>
            <w:tcW w:w="1072" w:type="pct"/>
          </w:tcPr>
          <w:p w14:paraId="30453FC3" w14:textId="77777777" w:rsidR="00285741" w:rsidRPr="00003134" w:rsidRDefault="00285741">
            <w:pPr>
              <w:pStyle w:val="Text1"/>
              <w:spacing w:after="0"/>
              <w:ind w:left="0"/>
              <w:jc w:val="left"/>
              <w:rPr>
                <w:noProof/>
                <w:lang w:val="en-IE"/>
              </w:rPr>
            </w:pPr>
            <w:r w:rsidRPr="00003134">
              <w:rPr>
                <w:noProof/>
                <w:lang w:val="en-IE"/>
              </w:rPr>
              <w:t>20% by 2030 (Aspirational target)</w:t>
            </w:r>
          </w:p>
        </w:tc>
      </w:tr>
      <w:tr w:rsidR="00285741" w:rsidRPr="00003134" w14:paraId="5A825080" w14:textId="77777777" w:rsidTr="3C1B0927">
        <w:trPr>
          <w:trHeight w:val="416"/>
        </w:trPr>
        <w:tc>
          <w:tcPr>
            <w:tcW w:w="941" w:type="pct"/>
          </w:tcPr>
          <w:p w14:paraId="3BB2ABC7" w14:textId="77777777" w:rsidR="00285741" w:rsidRPr="00003134" w:rsidRDefault="00285741">
            <w:pPr>
              <w:pStyle w:val="Text1"/>
              <w:ind w:left="0"/>
              <w:jc w:val="left"/>
              <w:rPr>
                <w:noProof/>
              </w:rPr>
            </w:pPr>
            <w:r w:rsidRPr="03E2C731">
              <w:rPr>
                <w:b/>
                <w:noProof/>
              </w:rPr>
              <w:t xml:space="preserve">General objective </w:t>
            </w:r>
            <w:r w:rsidRPr="03E2C731">
              <w:rPr>
                <w:noProof/>
              </w:rPr>
              <w:t>(decarbonisation)</w:t>
            </w:r>
          </w:p>
        </w:tc>
        <w:tc>
          <w:tcPr>
            <w:tcW w:w="1317" w:type="pct"/>
          </w:tcPr>
          <w:p w14:paraId="5074B69A" w14:textId="54F15145" w:rsidR="00285741" w:rsidRPr="00003134" w:rsidRDefault="00285741">
            <w:pPr>
              <w:pStyle w:val="Text1"/>
              <w:spacing w:after="0"/>
              <w:ind w:left="0"/>
              <w:jc w:val="left"/>
              <w:rPr>
                <w:noProof/>
                <w:lang w:val="fr-BE"/>
              </w:rPr>
            </w:pPr>
            <w:r w:rsidRPr="03E2C731">
              <w:rPr>
                <w:noProof/>
                <w:lang w:val="fr-BE"/>
              </w:rPr>
              <w:t>Carbon emissions/tonnes of EU EII production</w:t>
            </w:r>
          </w:p>
        </w:tc>
        <w:tc>
          <w:tcPr>
            <w:tcW w:w="805" w:type="pct"/>
          </w:tcPr>
          <w:p w14:paraId="288E0C76" w14:textId="77777777" w:rsidR="00285741" w:rsidRPr="00003134" w:rsidRDefault="00285741">
            <w:pPr>
              <w:pStyle w:val="Text1"/>
              <w:ind w:left="-26"/>
              <w:jc w:val="left"/>
              <w:rPr>
                <w:noProof/>
                <w:lang w:val="en-IE"/>
              </w:rPr>
            </w:pPr>
            <w:r w:rsidRPr="00003134">
              <w:rPr>
                <w:noProof/>
                <w:lang w:val="en-IE"/>
              </w:rPr>
              <w:t>Tonnes CO</w:t>
            </w:r>
            <w:r w:rsidRPr="00003134">
              <w:rPr>
                <w:noProof/>
                <w:vertAlign w:val="subscript"/>
                <w:lang w:val="en-IE"/>
              </w:rPr>
              <w:t>2</w:t>
            </w:r>
            <w:r w:rsidRPr="00003134">
              <w:rPr>
                <w:noProof/>
                <w:lang w:val="en-IE"/>
              </w:rPr>
              <w:t xml:space="preserve">eq / tonnes of production </w:t>
            </w:r>
          </w:p>
        </w:tc>
        <w:tc>
          <w:tcPr>
            <w:tcW w:w="865" w:type="pct"/>
          </w:tcPr>
          <w:p w14:paraId="6C80CE86" w14:textId="77777777" w:rsidR="00285741" w:rsidRPr="00003134" w:rsidRDefault="00285741">
            <w:pPr>
              <w:pStyle w:val="Text1"/>
              <w:ind w:left="0"/>
              <w:jc w:val="left"/>
              <w:rPr>
                <w:noProof/>
                <w:lang w:val="en-IE"/>
              </w:rPr>
            </w:pPr>
            <w:r w:rsidRPr="00003134">
              <w:rPr>
                <w:noProof/>
                <w:lang w:val="en-IE"/>
              </w:rPr>
              <w:t>Eurostat</w:t>
            </w:r>
          </w:p>
        </w:tc>
        <w:tc>
          <w:tcPr>
            <w:tcW w:w="1072" w:type="pct"/>
          </w:tcPr>
          <w:p w14:paraId="247FEBB5" w14:textId="77777777" w:rsidR="00285741" w:rsidRPr="00003134" w:rsidRDefault="00285741">
            <w:pPr>
              <w:pStyle w:val="Text1"/>
              <w:ind w:left="0"/>
              <w:jc w:val="left"/>
              <w:rPr>
                <w:noProof/>
                <w:lang w:val="en-IE"/>
              </w:rPr>
            </w:pPr>
            <w:r w:rsidRPr="00003134">
              <w:rPr>
                <w:noProof/>
                <w:lang w:val="en-IE"/>
              </w:rPr>
              <w:t>Reduction in line with climate targets</w:t>
            </w:r>
          </w:p>
        </w:tc>
      </w:tr>
      <w:tr w:rsidR="00285741" w:rsidRPr="00003134" w14:paraId="24C01E69" w14:textId="77777777" w:rsidTr="3C1B0927">
        <w:trPr>
          <w:trHeight w:val="834"/>
        </w:trPr>
        <w:tc>
          <w:tcPr>
            <w:tcW w:w="941" w:type="pct"/>
          </w:tcPr>
          <w:p w14:paraId="54571EDB" w14:textId="77777777" w:rsidR="00285741" w:rsidRPr="00003134" w:rsidRDefault="00285741">
            <w:pPr>
              <w:pStyle w:val="Text1"/>
              <w:ind w:left="0"/>
              <w:jc w:val="left"/>
              <w:rPr>
                <w:noProof/>
              </w:rPr>
            </w:pPr>
            <w:r w:rsidRPr="03E2C731">
              <w:rPr>
                <w:b/>
                <w:noProof/>
              </w:rPr>
              <w:t xml:space="preserve">General objective </w:t>
            </w:r>
            <w:r w:rsidRPr="03E2C731">
              <w:rPr>
                <w:noProof/>
              </w:rPr>
              <w:t>(resilience)</w:t>
            </w:r>
          </w:p>
        </w:tc>
        <w:tc>
          <w:tcPr>
            <w:tcW w:w="1317" w:type="pct"/>
          </w:tcPr>
          <w:p w14:paraId="2D47A807" w14:textId="77777777" w:rsidR="00285741" w:rsidRPr="00003134" w:rsidRDefault="00285741">
            <w:pPr>
              <w:pStyle w:val="Text1"/>
              <w:spacing w:after="0"/>
              <w:ind w:left="0"/>
              <w:jc w:val="left"/>
              <w:rPr>
                <w:noProof/>
              </w:rPr>
            </w:pPr>
            <w:r w:rsidRPr="03E2C731">
              <w:rPr>
                <w:noProof/>
              </w:rPr>
              <w:t>EII Production volumes trends (steel, cement and aluminium)</w:t>
            </w:r>
          </w:p>
        </w:tc>
        <w:tc>
          <w:tcPr>
            <w:tcW w:w="805" w:type="pct"/>
          </w:tcPr>
          <w:p w14:paraId="3105E0AC" w14:textId="77777777" w:rsidR="00285741" w:rsidRPr="00003134" w:rsidRDefault="00285741">
            <w:pPr>
              <w:pStyle w:val="Text1"/>
              <w:ind w:left="-26"/>
              <w:jc w:val="left"/>
              <w:rPr>
                <w:noProof/>
                <w:lang w:val="en-IE"/>
              </w:rPr>
            </w:pPr>
            <w:r w:rsidRPr="00003134">
              <w:rPr>
                <w:noProof/>
                <w:lang w:val="en-IE"/>
              </w:rPr>
              <w:t>Output in each sector</w:t>
            </w:r>
          </w:p>
        </w:tc>
        <w:tc>
          <w:tcPr>
            <w:tcW w:w="865" w:type="pct"/>
          </w:tcPr>
          <w:p w14:paraId="4988EEF1" w14:textId="77777777" w:rsidR="00285741" w:rsidRPr="00003134" w:rsidRDefault="00285741">
            <w:pPr>
              <w:pStyle w:val="Text1"/>
              <w:ind w:left="0"/>
              <w:jc w:val="left"/>
              <w:rPr>
                <w:noProof/>
                <w:lang w:val="en-IE"/>
              </w:rPr>
            </w:pPr>
            <w:r w:rsidRPr="00003134">
              <w:rPr>
                <w:noProof/>
                <w:lang w:val="en-IE"/>
              </w:rPr>
              <w:t>JRC</w:t>
            </w:r>
          </w:p>
        </w:tc>
        <w:tc>
          <w:tcPr>
            <w:tcW w:w="1072" w:type="pct"/>
          </w:tcPr>
          <w:p w14:paraId="25435FD4" w14:textId="77777777" w:rsidR="00285741" w:rsidRPr="00003134" w:rsidRDefault="00285741">
            <w:pPr>
              <w:pStyle w:val="Text1"/>
              <w:ind w:left="0"/>
              <w:jc w:val="left"/>
              <w:rPr>
                <w:noProof/>
                <w:lang w:val="en-IE"/>
              </w:rPr>
            </w:pPr>
            <w:r w:rsidRPr="00003134">
              <w:rPr>
                <w:noProof/>
                <w:lang w:val="en-IE"/>
              </w:rPr>
              <w:t>Increase from 2025 values</w:t>
            </w:r>
          </w:p>
        </w:tc>
      </w:tr>
      <w:tr w:rsidR="00285741" w:rsidRPr="00003134" w14:paraId="5E710FCE" w14:textId="77777777" w:rsidTr="3C1B0927">
        <w:trPr>
          <w:trHeight w:val="983"/>
        </w:trPr>
        <w:tc>
          <w:tcPr>
            <w:tcW w:w="941" w:type="pct"/>
          </w:tcPr>
          <w:p w14:paraId="795B662D" w14:textId="77777777" w:rsidR="00285741" w:rsidRPr="00003134" w:rsidRDefault="00285741">
            <w:pPr>
              <w:pStyle w:val="Text1"/>
              <w:ind w:left="0"/>
              <w:jc w:val="left"/>
              <w:rPr>
                <w:noProof/>
              </w:rPr>
            </w:pPr>
            <w:r w:rsidRPr="03E2C731">
              <w:rPr>
                <w:b/>
                <w:noProof/>
              </w:rPr>
              <w:t xml:space="preserve">General objective </w:t>
            </w:r>
            <w:r w:rsidRPr="03E2C731">
              <w:rPr>
                <w:noProof/>
              </w:rPr>
              <w:t>(resilience)</w:t>
            </w:r>
          </w:p>
        </w:tc>
        <w:tc>
          <w:tcPr>
            <w:tcW w:w="1317" w:type="pct"/>
          </w:tcPr>
          <w:p w14:paraId="426BC9DA" w14:textId="77777777" w:rsidR="00285741" w:rsidRPr="00003134" w:rsidRDefault="00285741">
            <w:pPr>
              <w:pStyle w:val="Text1"/>
              <w:spacing w:after="0"/>
              <w:ind w:left="0"/>
              <w:jc w:val="left"/>
              <w:rPr>
                <w:noProof/>
              </w:rPr>
            </w:pPr>
            <w:r w:rsidRPr="03E2C731">
              <w:rPr>
                <w:noProof/>
              </w:rPr>
              <w:t>Value of EU domestic production /value of EU consumption of EII materials (steel, cement and aluminium)</w:t>
            </w:r>
          </w:p>
        </w:tc>
        <w:tc>
          <w:tcPr>
            <w:tcW w:w="805" w:type="pct"/>
          </w:tcPr>
          <w:p w14:paraId="3C2B93A0" w14:textId="77777777" w:rsidR="00285741" w:rsidRPr="00003134" w:rsidRDefault="00285741">
            <w:pPr>
              <w:pStyle w:val="Text1"/>
              <w:ind w:left="0"/>
              <w:jc w:val="left"/>
              <w:rPr>
                <w:noProof/>
                <w:lang w:val="en-IE"/>
              </w:rPr>
            </w:pPr>
            <w:r w:rsidRPr="00003134">
              <w:rPr>
                <w:noProof/>
                <w:lang w:val="en-IE"/>
              </w:rPr>
              <w:t>%</w:t>
            </w:r>
          </w:p>
        </w:tc>
        <w:tc>
          <w:tcPr>
            <w:tcW w:w="865" w:type="pct"/>
          </w:tcPr>
          <w:p w14:paraId="6ECB3C63" w14:textId="77777777" w:rsidR="00285741" w:rsidRPr="00003134" w:rsidRDefault="00285741">
            <w:pPr>
              <w:pStyle w:val="Text1"/>
              <w:ind w:left="0"/>
              <w:jc w:val="left"/>
              <w:rPr>
                <w:noProof/>
                <w:lang w:val="en-IE"/>
              </w:rPr>
            </w:pPr>
            <w:r w:rsidRPr="00003134">
              <w:rPr>
                <w:noProof/>
                <w:lang w:val="en-IE"/>
              </w:rPr>
              <w:t>Eurostat/ JRC</w:t>
            </w:r>
          </w:p>
        </w:tc>
        <w:tc>
          <w:tcPr>
            <w:tcW w:w="1072" w:type="pct"/>
          </w:tcPr>
          <w:p w14:paraId="05D884F3" w14:textId="77777777" w:rsidR="00285741" w:rsidRPr="00003134" w:rsidRDefault="00285741">
            <w:pPr>
              <w:pStyle w:val="Text1"/>
              <w:ind w:left="0"/>
              <w:jc w:val="left"/>
              <w:rPr>
                <w:noProof/>
                <w:lang w:val="en-IE"/>
              </w:rPr>
            </w:pPr>
            <w:r w:rsidRPr="00003134">
              <w:rPr>
                <w:noProof/>
                <w:lang w:val="en-IE"/>
              </w:rPr>
              <w:t>Increase by 2029</w:t>
            </w:r>
          </w:p>
        </w:tc>
      </w:tr>
      <w:tr w:rsidR="00285741" w:rsidRPr="00003134" w14:paraId="48741014" w14:textId="77777777" w:rsidTr="3C1B0927">
        <w:tblPrEx>
          <w:tblLook w:val="04A0" w:firstRow="1" w:lastRow="0" w:firstColumn="1" w:lastColumn="0" w:noHBand="0" w:noVBand="1"/>
        </w:tblPrEx>
        <w:trPr>
          <w:trHeight w:val="300"/>
        </w:trPr>
        <w:tc>
          <w:tcPr>
            <w:tcW w:w="941" w:type="pct"/>
          </w:tcPr>
          <w:p w14:paraId="32782E26" w14:textId="77777777" w:rsidR="00285741" w:rsidRPr="00003134" w:rsidRDefault="00285741">
            <w:pPr>
              <w:pStyle w:val="Text1"/>
              <w:ind w:left="0"/>
              <w:jc w:val="left"/>
              <w:rPr>
                <w:b/>
                <w:noProof/>
              </w:rPr>
            </w:pPr>
            <w:r w:rsidRPr="03E2C731">
              <w:rPr>
                <w:b/>
                <w:noProof/>
              </w:rPr>
              <w:t xml:space="preserve">General objective </w:t>
            </w:r>
            <w:r w:rsidRPr="03E2C731">
              <w:rPr>
                <w:noProof/>
              </w:rPr>
              <w:t>(resilience)</w:t>
            </w:r>
          </w:p>
        </w:tc>
        <w:tc>
          <w:tcPr>
            <w:tcW w:w="1317" w:type="pct"/>
          </w:tcPr>
          <w:p w14:paraId="478F3940" w14:textId="0750CDA1" w:rsidR="00285741" w:rsidRPr="00003134" w:rsidRDefault="00285741">
            <w:pPr>
              <w:pStyle w:val="Text1"/>
              <w:spacing w:after="0"/>
              <w:ind w:left="0"/>
              <w:jc w:val="left"/>
              <w:rPr>
                <w:noProof/>
                <w:lang w:val="en-IE"/>
              </w:rPr>
            </w:pPr>
            <w:r w:rsidRPr="00003134">
              <w:rPr>
                <w:noProof/>
                <w:color w:val="000000" w:themeColor="text1"/>
                <w:lang w:val="en-IE"/>
              </w:rPr>
              <w:t xml:space="preserve">Share of domestic production and/or capacities out of total EU demand in selected </w:t>
            </w:r>
            <w:r w:rsidR="003B2167">
              <w:rPr>
                <w:noProof/>
                <w:color w:val="000000" w:themeColor="text1"/>
                <w:lang w:val="en-IE"/>
              </w:rPr>
              <w:t xml:space="preserve">clean tech </w:t>
            </w:r>
            <w:r w:rsidRPr="00003134">
              <w:rPr>
                <w:noProof/>
                <w:color w:val="000000" w:themeColor="text1"/>
                <w:lang w:val="en-IE"/>
              </w:rPr>
              <w:t>sectors (batteries, solar PV)</w:t>
            </w:r>
          </w:p>
        </w:tc>
        <w:tc>
          <w:tcPr>
            <w:tcW w:w="805" w:type="pct"/>
          </w:tcPr>
          <w:p w14:paraId="5C943719" w14:textId="76067BB5" w:rsidR="00285741" w:rsidRPr="00003134" w:rsidRDefault="14D7A9EF">
            <w:pPr>
              <w:pStyle w:val="Text1"/>
              <w:spacing w:after="0"/>
              <w:ind w:left="0"/>
              <w:jc w:val="left"/>
              <w:rPr>
                <w:noProof/>
                <w:lang w:val="en-IE"/>
              </w:rPr>
            </w:pPr>
            <w:r w:rsidRPr="3C1B0927">
              <w:rPr>
                <w:noProof/>
                <w:lang w:val="en-IE"/>
              </w:rPr>
              <w:t xml:space="preserve">% </w:t>
            </w:r>
            <w:r w:rsidR="754B831B" w:rsidRPr="3C1B0927">
              <w:rPr>
                <w:noProof/>
                <w:lang w:val="en-IE"/>
              </w:rPr>
              <w:t>Mtonnes</w:t>
            </w:r>
            <w:r w:rsidRPr="3C1B0927">
              <w:rPr>
                <w:noProof/>
                <w:lang w:val="en-IE"/>
              </w:rPr>
              <w:t xml:space="preserve"> or GW (as relevant)</w:t>
            </w:r>
          </w:p>
        </w:tc>
        <w:tc>
          <w:tcPr>
            <w:tcW w:w="865" w:type="pct"/>
          </w:tcPr>
          <w:p w14:paraId="3D1294AC" w14:textId="77777777" w:rsidR="00285741" w:rsidRPr="00003134" w:rsidRDefault="00285741">
            <w:pPr>
              <w:pStyle w:val="Text1"/>
              <w:spacing w:after="0"/>
              <w:ind w:left="0"/>
              <w:jc w:val="left"/>
              <w:rPr>
                <w:noProof/>
                <w:lang w:val="en-IE"/>
              </w:rPr>
            </w:pPr>
            <w:r w:rsidRPr="00003134">
              <w:rPr>
                <w:noProof/>
                <w:lang w:val="en-IE"/>
              </w:rPr>
              <w:t xml:space="preserve">Data providers for internal Commission analysis </w:t>
            </w:r>
          </w:p>
        </w:tc>
        <w:tc>
          <w:tcPr>
            <w:tcW w:w="1072" w:type="pct"/>
          </w:tcPr>
          <w:p w14:paraId="0CDE551E" w14:textId="77777777" w:rsidR="00285741" w:rsidRPr="00003134" w:rsidRDefault="00285741">
            <w:pPr>
              <w:pStyle w:val="Text1"/>
              <w:spacing w:after="0"/>
              <w:ind w:left="0"/>
              <w:jc w:val="left"/>
              <w:rPr>
                <w:noProof/>
                <w:lang w:val="en-IE"/>
              </w:rPr>
            </w:pPr>
            <w:r w:rsidRPr="00003134">
              <w:rPr>
                <w:noProof/>
                <w:lang w:val="en-IE"/>
              </w:rPr>
              <w:t>Increased capacities as mentioned in Anne x 9</w:t>
            </w:r>
          </w:p>
        </w:tc>
      </w:tr>
      <w:tr w:rsidR="00285741" w:rsidRPr="00003134" w14:paraId="7835E5F9" w14:textId="77777777" w:rsidTr="3C1B0927">
        <w:trPr>
          <w:trHeight w:val="300"/>
        </w:trPr>
        <w:tc>
          <w:tcPr>
            <w:tcW w:w="941" w:type="pct"/>
          </w:tcPr>
          <w:p w14:paraId="2799A13D" w14:textId="77777777" w:rsidR="00285741" w:rsidRPr="00003134" w:rsidRDefault="00285741">
            <w:pPr>
              <w:pStyle w:val="Text1"/>
              <w:spacing w:after="0"/>
              <w:ind w:left="0"/>
              <w:jc w:val="left"/>
              <w:rPr>
                <w:b/>
                <w:noProof/>
                <w:lang w:val="en-IE"/>
              </w:rPr>
            </w:pPr>
            <w:r w:rsidRPr="00003134">
              <w:rPr>
                <w:b/>
                <w:noProof/>
                <w:lang w:val="en-IE"/>
              </w:rPr>
              <w:t>SO1</w:t>
            </w:r>
          </w:p>
        </w:tc>
        <w:tc>
          <w:tcPr>
            <w:tcW w:w="1317" w:type="pct"/>
          </w:tcPr>
          <w:p w14:paraId="4BCB700F" w14:textId="5919B0D2" w:rsidR="00285741" w:rsidRPr="00003134" w:rsidRDefault="00285741">
            <w:pPr>
              <w:pStyle w:val="Text1"/>
              <w:spacing w:after="0"/>
              <w:ind w:left="0"/>
              <w:jc w:val="left"/>
              <w:rPr>
                <w:noProof/>
                <w:lang w:val="en-IE"/>
              </w:rPr>
            </w:pPr>
            <w:r w:rsidRPr="00003134">
              <w:rPr>
                <w:noProof/>
                <w:lang w:val="en-IE"/>
              </w:rPr>
              <w:t>Availability of a low</w:t>
            </w:r>
            <w:r w:rsidR="00F42FCE">
              <w:rPr>
                <w:noProof/>
                <w:lang w:val="en-IE"/>
              </w:rPr>
              <w:t>-</w:t>
            </w:r>
            <w:r w:rsidRPr="00003134">
              <w:rPr>
                <w:noProof/>
                <w:lang w:val="en-IE"/>
              </w:rPr>
              <w:t>carbon label for relevant products that is supported by a robust verification mechanism</w:t>
            </w:r>
          </w:p>
        </w:tc>
        <w:tc>
          <w:tcPr>
            <w:tcW w:w="805" w:type="pct"/>
          </w:tcPr>
          <w:p w14:paraId="5696D38D" w14:textId="77777777" w:rsidR="00285741" w:rsidRPr="00003134" w:rsidRDefault="00285741">
            <w:pPr>
              <w:pStyle w:val="Text1"/>
              <w:spacing w:after="0"/>
              <w:ind w:left="0"/>
              <w:jc w:val="left"/>
              <w:rPr>
                <w:noProof/>
                <w:lang w:val="en-IE"/>
              </w:rPr>
            </w:pPr>
            <w:r w:rsidRPr="00003134">
              <w:rPr>
                <w:noProof/>
                <w:lang w:val="en-IE"/>
              </w:rPr>
              <w:t>Yes/no</w:t>
            </w:r>
          </w:p>
        </w:tc>
        <w:tc>
          <w:tcPr>
            <w:tcW w:w="865" w:type="pct"/>
          </w:tcPr>
          <w:p w14:paraId="733EBBD6" w14:textId="77777777" w:rsidR="00285741" w:rsidRPr="00003134" w:rsidRDefault="00285741">
            <w:pPr>
              <w:pStyle w:val="Text1"/>
              <w:spacing w:after="0"/>
              <w:ind w:left="0"/>
              <w:jc w:val="left"/>
              <w:rPr>
                <w:noProof/>
                <w:lang w:val="en-IE"/>
              </w:rPr>
            </w:pPr>
            <w:r w:rsidRPr="00003134">
              <w:rPr>
                <w:noProof/>
                <w:lang w:val="en-IE"/>
              </w:rPr>
              <w:t>European Commission</w:t>
            </w:r>
          </w:p>
        </w:tc>
        <w:tc>
          <w:tcPr>
            <w:tcW w:w="1072" w:type="pct"/>
          </w:tcPr>
          <w:p w14:paraId="48B8E4FF" w14:textId="77777777" w:rsidR="00285741" w:rsidRPr="00003134" w:rsidRDefault="00285741">
            <w:pPr>
              <w:pStyle w:val="Text1"/>
              <w:spacing w:after="0"/>
              <w:ind w:left="0"/>
              <w:jc w:val="left"/>
              <w:rPr>
                <w:noProof/>
                <w:lang w:val="en-IE"/>
              </w:rPr>
            </w:pPr>
            <w:r w:rsidRPr="00003134">
              <w:rPr>
                <w:noProof/>
                <w:lang w:val="en-IE"/>
              </w:rPr>
              <w:t xml:space="preserve">Label available by 2029 </w:t>
            </w:r>
          </w:p>
        </w:tc>
      </w:tr>
      <w:tr w:rsidR="00285741" w:rsidRPr="00003134" w14:paraId="2588FDC5" w14:textId="77777777" w:rsidTr="3C1B0927">
        <w:trPr>
          <w:trHeight w:val="300"/>
        </w:trPr>
        <w:tc>
          <w:tcPr>
            <w:tcW w:w="941" w:type="pct"/>
          </w:tcPr>
          <w:p w14:paraId="46C46B68" w14:textId="77777777" w:rsidR="00285741" w:rsidRPr="00003134" w:rsidRDefault="00285741">
            <w:pPr>
              <w:pStyle w:val="Text1"/>
              <w:spacing w:after="0"/>
              <w:ind w:left="0"/>
              <w:jc w:val="left"/>
              <w:rPr>
                <w:b/>
                <w:noProof/>
                <w:lang w:val="en-IE"/>
              </w:rPr>
            </w:pPr>
            <w:r w:rsidRPr="00003134">
              <w:rPr>
                <w:b/>
                <w:noProof/>
                <w:lang w:val="en-IE"/>
              </w:rPr>
              <w:t>SO1</w:t>
            </w:r>
          </w:p>
        </w:tc>
        <w:tc>
          <w:tcPr>
            <w:tcW w:w="1317" w:type="pct"/>
          </w:tcPr>
          <w:p w14:paraId="7859489F" w14:textId="77777777" w:rsidR="00285741" w:rsidRPr="00003134" w:rsidRDefault="00285741">
            <w:pPr>
              <w:pStyle w:val="Text1"/>
              <w:spacing w:after="0"/>
              <w:ind w:left="0"/>
              <w:jc w:val="left"/>
              <w:rPr>
                <w:noProof/>
                <w:lang w:val="en-IE"/>
              </w:rPr>
            </w:pPr>
            <w:r w:rsidRPr="00003134">
              <w:rPr>
                <w:noProof/>
                <w:lang w:val="en-IE"/>
              </w:rPr>
              <w:t>Number of companies who applied for the label</w:t>
            </w:r>
          </w:p>
        </w:tc>
        <w:tc>
          <w:tcPr>
            <w:tcW w:w="805" w:type="pct"/>
          </w:tcPr>
          <w:p w14:paraId="144405C8" w14:textId="77777777" w:rsidR="00285741" w:rsidRPr="00003134" w:rsidRDefault="00285741">
            <w:pPr>
              <w:pStyle w:val="Text1"/>
              <w:spacing w:after="0"/>
              <w:ind w:left="0"/>
              <w:jc w:val="left"/>
              <w:rPr>
                <w:noProof/>
                <w:lang w:val="en-IE"/>
              </w:rPr>
            </w:pPr>
            <w:r w:rsidRPr="00003134">
              <w:rPr>
                <w:noProof/>
                <w:lang w:val="en-IE"/>
              </w:rPr>
              <w:t>Number</w:t>
            </w:r>
          </w:p>
        </w:tc>
        <w:tc>
          <w:tcPr>
            <w:tcW w:w="865" w:type="pct"/>
          </w:tcPr>
          <w:p w14:paraId="109E939D" w14:textId="77777777" w:rsidR="00285741" w:rsidRPr="00003134" w:rsidRDefault="00285741">
            <w:pPr>
              <w:pStyle w:val="Text1"/>
              <w:spacing w:after="0"/>
              <w:ind w:left="0"/>
              <w:jc w:val="left"/>
              <w:rPr>
                <w:noProof/>
                <w:lang w:val="en-IE"/>
              </w:rPr>
            </w:pPr>
            <w:r w:rsidRPr="00003134">
              <w:rPr>
                <w:noProof/>
                <w:lang w:val="en-IE"/>
              </w:rPr>
              <w:t xml:space="preserve">Label certifier </w:t>
            </w:r>
          </w:p>
        </w:tc>
        <w:tc>
          <w:tcPr>
            <w:tcW w:w="1072" w:type="pct"/>
          </w:tcPr>
          <w:p w14:paraId="2E91AC3A" w14:textId="169B1412" w:rsidR="00285741" w:rsidRPr="00003134" w:rsidRDefault="00285741">
            <w:pPr>
              <w:pStyle w:val="Text1"/>
              <w:spacing w:after="0"/>
              <w:ind w:left="0"/>
              <w:jc w:val="left"/>
              <w:rPr>
                <w:noProof/>
                <w:lang w:val="en-IE"/>
              </w:rPr>
            </w:pPr>
            <w:r w:rsidRPr="00003134">
              <w:rPr>
                <w:noProof/>
                <w:lang w:val="en-IE"/>
              </w:rPr>
              <w:t xml:space="preserve">11 (large) companies by </w:t>
            </w:r>
            <w:r w:rsidR="00CB5E77">
              <w:rPr>
                <w:noProof/>
                <w:lang w:val="en-IE"/>
              </w:rPr>
              <w:t xml:space="preserve">site </w:t>
            </w:r>
            <w:r w:rsidRPr="00003134">
              <w:rPr>
                <w:noProof/>
                <w:lang w:val="en-IE"/>
              </w:rPr>
              <w:t>by 2030</w:t>
            </w:r>
          </w:p>
        </w:tc>
      </w:tr>
      <w:tr w:rsidR="00285741" w:rsidRPr="00003134" w14:paraId="46FB7228" w14:textId="77777777" w:rsidTr="3C1B0927">
        <w:trPr>
          <w:trHeight w:val="300"/>
        </w:trPr>
        <w:tc>
          <w:tcPr>
            <w:tcW w:w="941" w:type="pct"/>
          </w:tcPr>
          <w:p w14:paraId="137C3A19" w14:textId="77777777" w:rsidR="00285741" w:rsidRPr="00003134" w:rsidRDefault="00285741">
            <w:pPr>
              <w:pStyle w:val="Text1"/>
              <w:spacing w:after="0"/>
              <w:ind w:left="0"/>
              <w:jc w:val="left"/>
              <w:rPr>
                <w:b/>
                <w:noProof/>
                <w:lang w:val="en-IE"/>
              </w:rPr>
            </w:pPr>
            <w:r w:rsidRPr="00003134">
              <w:rPr>
                <w:b/>
                <w:noProof/>
                <w:lang w:val="en-IE"/>
              </w:rPr>
              <w:t>SO2</w:t>
            </w:r>
          </w:p>
        </w:tc>
        <w:tc>
          <w:tcPr>
            <w:tcW w:w="1317" w:type="pct"/>
          </w:tcPr>
          <w:p w14:paraId="1FCD8828" w14:textId="5203F306" w:rsidR="00285741" w:rsidRPr="00003134" w:rsidRDefault="00285741">
            <w:pPr>
              <w:pStyle w:val="Text1"/>
              <w:spacing w:after="0"/>
              <w:ind w:left="0"/>
              <w:jc w:val="left"/>
              <w:rPr>
                <w:noProof/>
                <w:lang w:val="en-IE"/>
              </w:rPr>
            </w:pPr>
            <w:r w:rsidRPr="00003134">
              <w:rPr>
                <w:noProof/>
                <w:lang w:val="en-IE"/>
              </w:rPr>
              <w:t>Share of low</w:t>
            </w:r>
            <w:r w:rsidR="00F42FCE">
              <w:rPr>
                <w:noProof/>
                <w:lang w:val="en-IE"/>
              </w:rPr>
              <w:t>-</w:t>
            </w:r>
            <w:r w:rsidRPr="00003134">
              <w:rPr>
                <w:noProof/>
                <w:lang w:val="en-IE"/>
              </w:rPr>
              <w:t>carbon steel and cement out of total sold on EU markets for automotive and construction</w:t>
            </w:r>
          </w:p>
        </w:tc>
        <w:tc>
          <w:tcPr>
            <w:tcW w:w="805" w:type="pct"/>
          </w:tcPr>
          <w:p w14:paraId="2AED2D6A" w14:textId="77777777" w:rsidR="00285741" w:rsidRPr="00003134" w:rsidRDefault="00285741">
            <w:pPr>
              <w:pStyle w:val="Text1"/>
              <w:spacing w:after="0"/>
              <w:ind w:left="0"/>
              <w:jc w:val="left"/>
              <w:rPr>
                <w:noProof/>
                <w:lang w:val="en-IE"/>
              </w:rPr>
            </w:pPr>
            <w:r w:rsidRPr="00003134">
              <w:rPr>
                <w:noProof/>
                <w:lang w:val="en-IE"/>
              </w:rPr>
              <w:t>%</w:t>
            </w:r>
          </w:p>
        </w:tc>
        <w:tc>
          <w:tcPr>
            <w:tcW w:w="865" w:type="pct"/>
          </w:tcPr>
          <w:p w14:paraId="67F40EE7" w14:textId="77777777" w:rsidR="00285741" w:rsidRPr="00003134" w:rsidRDefault="00285741">
            <w:pPr>
              <w:pStyle w:val="Text1"/>
              <w:spacing w:after="0"/>
              <w:ind w:left="0"/>
              <w:jc w:val="left"/>
              <w:rPr>
                <w:noProof/>
                <w:lang w:val="en-IE"/>
              </w:rPr>
            </w:pPr>
            <w:r w:rsidRPr="00003134">
              <w:rPr>
                <w:noProof/>
                <w:lang w:val="en-IE"/>
              </w:rPr>
              <w:t xml:space="preserve"> Stakeholder reporting </w:t>
            </w:r>
          </w:p>
        </w:tc>
        <w:tc>
          <w:tcPr>
            <w:tcW w:w="1072" w:type="pct"/>
          </w:tcPr>
          <w:p w14:paraId="18EC9421" w14:textId="565DBF85" w:rsidR="00285741" w:rsidRPr="00003134" w:rsidRDefault="00285741">
            <w:pPr>
              <w:pStyle w:val="Text1"/>
              <w:spacing w:after="0"/>
              <w:ind w:left="0"/>
              <w:jc w:val="left"/>
              <w:rPr>
                <w:noProof/>
                <w:lang w:val="en-IE"/>
              </w:rPr>
            </w:pPr>
            <w:r w:rsidRPr="00003134">
              <w:rPr>
                <w:noProof/>
                <w:lang w:val="en-IE"/>
              </w:rPr>
              <w:t xml:space="preserve">As mentioned in </w:t>
            </w:r>
            <w:r w:rsidR="001D095E">
              <w:rPr>
                <w:noProof/>
                <w:lang w:val="en-IE"/>
              </w:rPr>
              <w:t>Table 3</w:t>
            </w:r>
            <w:r w:rsidR="00D07751">
              <w:rPr>
                <w:noProof/>
                <w:lang w:val="en-IE"/>
              </w:rPr>
              <w:t xml:space="preserve"> in </w:t>
            </w:r>
            <w:r w:rsidR="00E8682E">
              <w:rPr>
                <w:noProof/>
                <w:lang w:val="en-IE"/>
              </w:rPr>
              <w:t>Section</w:t>
            </w:r>
            <w:r w:rsidR="00D07751">
              <w:rPr>
                <w:noProof/>
                <w:lang w:val="en-IE"/>
              </w:rPr>
              <w:t xml:space="preserve"> 5.2</w:t>
            </w:r>
          </w:p>
        </w:tc>
      </w:tr>
      <w:tr w:rsidR="00285741" w:rsidRPr="00003134" w14:paraId="444B16C9" w14:textId="77777777" w:rsidTr="3C1B0927">
        <w:trPr>
          <w:trHeight w:val="300"/>
        </w:trPr>
        <w:tc>
          <w:tcPr>
            <w:tcW w:w="941" w:type="pct"/>
          </w:tcPr>
          <w:p w14:paraId="37573CE7" w14:textId="77777777" w:rsidR="00285741" w:rsidRPr="00003134" w:rsidRDefault="00285741">
            <w:pPr>
              <w:pStyle w:val="Text1"/>
              <w:spacing w:after="0"/>
              <w:ind w:left="0"/>
              <w:jc w:val="left"/>
              <w:rPr>
                <w:b/>
                <w:noProof/>
                <w:lang w:val="en-IE"/>
              </w:rPr>
            </w:pPr>
            <w:r w:rsidRPr="00003134">
              <w:rPr>
                <w:b/>
                <w:noProof/>
                <w:lang w:val="en-IE"/>
              </w:rPr>
              <w:t>SO2</w:t>
            </w:r>
          </w:p>
        </w:tc>
        <w:tc>
          <w:tcPr>
            <w:tcW w:w="1317" w:type="pct"/>
          </w:tcPr>
          <w:p w14:paraId="28C831A0" w14:textId="77777777" w:rsidR="00285741" w:rsidRPr="00003134" w:rsidRDefault="00285741">
            <w:pPr>
              <w:pStyle w:val="Text1"/>
              <w:spacing w:after="0"/>
              <w:ind w:left="0"/>
              <w:jc w:val="left"/>
              <w:rPr>
                <w:noProof/>
                <w:lang w:val="en-IE"/>
              </w:rPr>
            </w:pPr>
            <w:r w:rsidRPr="00003134">
              <w:rPr>
                <w:noProof/>
                <w:lang w:val="en-IE"/>
              </w:rPr>
              <w:t>Value of EU domestic production for selected vehicle components / value of EU consumption of selected vehicle components</w:t>
            </w:r>
          </w:p>
        </w:tc>
        <w:tc>
          <w:tcPr>
            <w:tcW w:w="805" w:type="pct"/>
          </w:tcPr>
          <w:p w14:paraId="23249A73" w14:textId="77777777" w:rsidR="00285741" w:rsidRPr="00003134" w:rsidRDefault="00285741">
            <w:pPr>
              <w:pStyle w:val="Text1"/>
              <w:spacing w:after="0"/>
              <w:ind w:left="0"/>
              <w:jc w:val="left"/>
              <w:rPr>
                <w:noProof/>
                <w:lang w:val="en-IE"/>
              </w:rPr>
            </w:pPr>
            <w:r w:rsidRPr="00003134">
              <w:rPr>
                <w:noProof/>
                <w:lang w:val="en-IE"/>
              </w:rPr>
              <w:t xml:space="preserve">% </w:t>
            </w:r>
          </w:p>
        </w:tc>
        <w:tc>
          <w:tcPr>
            <w:tcW w:w="865" w:type="pct"/>
          </w:tcPr>
          <w:p w14:paraId="4E45E0A7" w14:textId="77777777" w:rsidR="00285741" w:rsidRPr="00003134" w:rsidRDefault="00285741">
            <w:pPr>
              <w:pStyle w:val="Text1"/>
              <w:spacing w:after="0"/>
              <w:ind w:left="0"/>
              <w:jc w:val="left"/>
              <w:rPr>
                <w:noProof/>
              </w:rPr>
            </w:pPr>
            <w:r w:rsidRPr="03E2C731">
              <w:rPr>
                <w:noProof/>
              </w:rPr>
              <w:t xml:space="preserve">JRC’s internal methodology </w:t>
            </w:r>
          </w:p>
        </w:tc>
        <w:tc>
          <w:tcPr>
            <w:tcW w:w="1072" w:type="pct"/>
          </w:tcPr>
          <w:p w14:paraId="69C84D51" w14:textId="77777777" w:rsidR="00285741" w:rsidRPr="00003134" w:rsidRDefault="00285741">
            <w:pPr>
              <w:pStyle w:val="Text1"/>
              <w:spacing w:after="0"/>
              <w:ind w:left="0"/>
              <w:jc w:val="left"/>
              <w:rPr>
                <w:noProof/>
                <w:lang w:val="en-IE"/>
              </w:rPr>
            </w:pPr>
            <w:r w:rsidRPr="00003134">
              <w:rPr>
                <w:noProof/>
                <w:lang w:val="en-IE"/>
              </w:rPr>
              <w:t>Stable domestic demand while reducing the import from 3</w:t>
            </w:r>
            <w:r w:rsidRPr="00003134">
              <w:rPr>
                <w:noProof/>
                <w:vertAlign w:val="superscript"/>
                <w:lang w:val="en-IE"/>
              </w:rPr>
              <w:t>rd</w:t>
            </w:r>
            <w:r w:rsidRPr="00003134">
              <w:rPr>
                <w:noProof/>
                <w:lang w:val="en-IE"/>
              </w:rPr>
              <w:t xml:space="preserve"> countries.</w:t>
            </w:r>
          </w:p>
        </w:tc>
      </w:tr>
      <w:tr w:rsidR="00285741" w:rsidRPr="00003134" w14:paraId="09C0F7CB" w14:textId="77777777" w:rsidTr="3C1B0927">
        <w:trPr>
          <w:trHeight w:val="300"/>
        </w:trPr>
        <w:tc>
          <w:tcPr>
            <w:tcW w:w="941" w:type="pct"/>
          </w:tcPr>
          <w:p w14:paraId="0FB5E840" w14:textId="77777777" w:rsidR="00285741" w:rsidRPr="00003134" w:rsidRDefault="00285741">
            <w:pPr>
              <w:pStyle w:val="Text1"/>
              <w:spacing w:after="0"/>
              <w:ind w:left="0"/>
              <w:jc w:val="left"/>
              <w:rPr>
                <w:b/>
                <w:noProof/>
                <w:lang w:val="en-IE"/>
              </w:rPr>
            </w:pPr>
            <w:r w:rsidRPr="00003134">
              <w:rPr>
                <w:b/>
                <w:noProof/>
                <w:lang w:val="en-IE"/>
              </w:rPr>
              <w:t>SO3</w:t>
            </w:r>
          </w:p>
        </w:tc>
        <w:tc>
          <w:tcPr>
            <w:tcW w:w="1317" w:type="pct"/>
          </w:tcPr>
          <w:p w14:paraId="509BA0D0" w14:textId="77777777" w:rsidR="00285741" w:rsidRPr="00003134" w:rsidRDefault="00285741">
            <w:pPr>
              <w:pStyle w:val="Text1"/>
              <w:spacing w:after="0"/>
              <w:ind w:left="0"/>
              <w:jc w:val="left"/>
              <w:rPr>
                <w:noProof/>
                <w:lang w:val="en-IE"/>
              </w:rPr>
            </w:pPr>
            <w:r w:rsidRPr="00003134">
              <w:rPr>
                <w:noProof/>
                <w:lang w:val="en-IE"/>
              </w:rPr>
              <w:t>Inward FDI transactions of relevant sectors/businesses</w:t>
            </w:r>
          </w:p>
        </w:tc>
        <w:tc>
          <w:tcPr>
            <w:tcW w:w="805" w:type="pct"/>
          </w:tcPr>
          <w:p w14:paraId="7D7522ED" w14:textId="77777777" w:rsidR="00285741" w:rsidRPr="00003134" w:rsidRDefault="00285741">
            <w:pPr>
              <w:pStyle w:val="Text1"/>
              <w:spacing w:after="0"/>
              <w:ind w:left="0"/>
              <w:jc w:val="left"/>
              <w:rPr>
                <w:noProof/>
                <w:lang w:val="en-IE"/>
              </w:rPr>
            </w:pPr>
            <w:r w:rsidRPr="00003134">
              <w:rPr>
                <w:noProof/>
                <w:lang w:val="en-IE"/>
              </w:rPr>
              <w:t>Number</w:t>
            </w:r>
          </w:p>
        </w:tc>
        <w:tc>
          <w:tcPr>
            <w:tcW w:w="865" w:type="pct"/>
          </w:tcPr>
          <w:p w14:paraId="11C9D65C" w14:textId="77777777" w:rsidR="00285741" w:rsidRPr="00003134" w:rsidRDefault="00285741">
            <w:pPr>
              <w:pStyle w:val="Text1"/>
              <w:spacing w:after="0"/>
              <w:ind w:left="0"/>
              <w:jc w:val="left"/>
              <w:rPr>
                <w:noProof/>
                <w:lang w:val="en-IE"/>
              </w:rPr>
            </w:pPr>
            <w:r w:rsidRPr="00003134">
              <w:rPr>
                <w:noProof/>
                <w:lang w:val="en-IE"/>
              </w:rPr>
              <w:t xml:space="preserve">Eurostat and Orbis </w:t>
            </w:r>
          </w:p>
        </w:tc>
        <w:tc>
          <w:tcPr>
            <w:tcW w:w="1072" w:type="pct"/>
          </w:tcPr>
          <w:p w14:paraId="07314F6F" w14:textId="77777777" w:rsidR="00285741" w:rsidRPr="00003134" w:rsidRDefault="00285741">
            <w:pPr>
              <w:pStyle w:val="Text1"/>
              <w:spacing w:after="0"/>
              <w:ind w:left="0"/>
              <w:jc w:val="left"/>
              <w:rPr>
                <w:noProof/>
                <w:lang w:val="en-IE"/>
              </w:rPr>
            </w:pPr>
            <w:r w:rsidRPr="00003134">
              <w:rPr>
                <w:noProof/>
                <w:lang w:val="en-IE"/>
              </w:rPr>
              <w:t>Stable transactions as year of entry into force</w:t>
            </w:r>
          </w:p>
        </w:tc>
      </w:tr>
      <w:tr w:rsidR="00285741" w:rsidRPr="00003134" w14:paraId="41EE1134" w14:textId="77777777" w:rsidTr="3C1B0927">
        <w:trPr>
          <w:trHeight w:val="300"/>
        </w:trPr>
        <w:tc>
          <w:tcPr>
            <w:tcW w:w="941" w:type="pct"/>
          </w:tcPr>
          <w:p w14:paraId="4AEEEF80" w14:textId="77777777" w:rsidR="00285741" w:rsidRPr="00003134" w:rsidRDefault="00285741">
            <w:pPr>
              <w:pStyle w:val="Text1"/>
              <w:spacing w:after="0"/>
              <w:ind w:left="0"/>
              <w:jc w:val="left"/>
              <w:rPr>
                <w:b/>
                <w:noProof/>
                <w:lang w:val="en-IE"/>
              </w:rPr>
            </w:pPr>
            <w:r w:rsidRPr="00003134">
              <w:rPr>
                <w:b/>
                <w:bCs/>
                <w:noProof/>
                <w:lang w:val="en-IE"/>
              </w:rPr>
              <w:t>SO3</w:t>
            </w:r>
          </w:p>
        </w:tc>
        <w:tc>
          <w:tcPr>
            <w:tcW w:w="1317" w:type="pct"/>
          </w:tcPr>
          <w:p w14:paraId="4B66E9A6" w14:textId="77777777" w:rsidR="00285741" w:rsidRPr="00003134" w:rsidRDefault="00285741">
            <w:pPr>
              <w:pStyle w:val="Text1"/>
              <w:spacing w:after="0"/>
              <w:ind w:left="0"/>
              <w:jc w:val="left"/>
              <w:rPr>
                <w:noProof/>
                <w:lang w:val="en-IE"/>
              </w:rPr>
            </w:pPr>
            <w:r w:rsidRPr="00003134">
              <w:rPr>
                <w:noProof/>
                <w:lang w:val="en-IE"/>
              </w:rPr>
              <w:t xml:space="preserve">Number of joint ventures on batteries </w:t>
            </w:r>
          </w:p>
        </w:tc>
        <w:tc>
          <w:tcPr>
            <w:tcW w:w="805" w:type="pct"/>
          </w:tcPr>
          <w:p w14:paraId="461E7193" w14:textId="77777777" w:rsidR="00285741" w:rsidRPr="00003134" w:rsidRDefault="00285741">
            <w:pPr>
              <w:pStyle w:val="Text1"/>
              <w:spacing w:after="0" w:line="259" w:lineRule="auto"/>
              <w:ind w:left="0"/>
              <w:jc w:val="left"/>
              <w:rPr>
                <w:noProof/>
                <w:lang w:val="en-IE"/>
              </w:rPr>
            </w:pPr>
            <w:r w:rsidRPr="00003134">
              <w:rPr>
                <w:noProof/>
                <w:lang w:val="en-IE"/>
              </w:rPr>
              <w:t>Number</w:t>
            </w:r>
          </w:p>
        </w:tc>
        <w:tc>
          <w:tcPr>
            <w:tcW w:w="865" w:type="pct"/>
          </w:tcPr>
          <w:p w14:paraId="18F8004D" w14:textId="77777777" w:rsidR="00285741" w:rsidRPr="00003134" w:rsidRDefault="00285741">
            <w:pPr>
              <w:pStyle w:val="Text1"/>
              <w:spacing w:after="0" w:line="259" w:lineRule="auto"/>
              <w:ind w:left="0"/>
              <w:jc w:val="left"/>
              <w:rPr>
                <w:noProof/>
                <w:lang w:val="en-IE"/>
              </w:rPr>
            </w:pPr>
            <w:r w:rsidRPr="00003134">
              <w:rPr>
                <w:noProof/>
                <w:lang w:val="en-IE"/>
              </w:rPr>
              <w:t xml:space="preserve">Stakeholder survey </w:t>
            </w:r>
          </w:p>
        </w:tc>
        <w:tc>
          <w:tcPr>
            <w:tcW w:w="1072" w:type="pct"/>
          </w:tcPr>
          <w:p w14:paraId="7D305306" w14:textId="77777777" w:rsidR="00285741" w:rsidRPr="00003134" w:rsidRDefault="00285741">
            <w:pPr>
              <w:pStyle w:val="Text1"/>
              <w:spacing w:after="0"/>
              <w:ind w:left="0"/>
              <w:jc w:val="left"/>
              <w:rPr>
                <w:noProof/>
                <w:lang w:val="en-IE"/>
              </w:rPr>
            </w:pPr>
          </w:p>
        </w:tc>
      </w:tr>
      <w:tr w:rsidR="00285741" w:rsidRPr="00003134" w14:paraId="28CAC482" w14:textId="77777777" w:rsidTr="3C1B0927">
        <w:trPr>
          <w:trHeight w:val="300"/>
        </w:trPr>
        <w:tc>
          <w:tcPr>
            <w:tcW w:w="941" w:type="pct"/>
          </w:tcPr>
          <w:p w14:paraId="6516D3D3" w14:textId="77777777" w:rsidR="00285741" w:rsidRPr="00003134" w:rsidRDefault="00285741">
            <w:pPr>
              <w:pStyle w:val="Text1"/>
              <w:spacing w:after="0"/>
              <w:ind w:left="0"/>
              <w:jc w:val="left"/>
              <w:rPr>
                <w:b/>
                <w:noProof/>
                <w:lang w:val="en-IE"/>
              </w:rPr>
            </w:pPr>
            <w:r w:rsidRPr="00003134">
              <w:rPr>
                <w:b/>
                <w:noProof/>
                <w:lang w:val="en-IE"/>
              </w:rPr>
              <w:t>SO4</w:t>
            </w:r>
          </w:p>
        </w:tc>
        <w:tc>
          <w:tcPr>
            <w:tcW w:w="1317" w:type="pct"/>
          </w:tcPr>
          <w:p w14:paraId="37C940FC" w14:textId="77777777" w:rsidR="00285741" w:rsidRPr="00003134" w:rsidRDefault="00285741">
            <w:pPr>
              <w:pStyle w:val="Text1"/>
              <w:spacing w:after="0"/>
              <w:ind w:left="0"/>
              <w:jc w:val="left"/>
              <w:rPr>
                <w:noProof/>
              </w:rPr>
            </w:pPr>
            <w:r w:rsidRPr="03E2C731">
              <w:rPr>
                <w:noProof/>
              </w:rPr>
              <w:t xml:space="preserve">Average permitting time </w:t>
            </w:r>
          </w:p>
        </w:tc>
        <w:tc>
          <w:tcPr>
            <w:tcW w:w="805" w:type="pct"/>
          </w:tcPr>
          <w:p w14:paraId="3ECEDCA3" w14:textId="77777777" w:rsidR="00285741" w:rsidRPr="00003134" w:rsidRDefault="00285741">
            <w:pPr>
              <w:pStyle w:val="Text1"/>
              <w:spacing w:after="0"/>
              <w:ind w:left="0"/>
              <w:jc w:val="left"/>
              <w:rPr>
                <w:noProof/>
                <w:lang w:val="en-IE"/>
              </w:rPr>
            </w:pPr>
            <w:r w:rsidRPr="00003134">
              <w:rPr>
                <w:noProof/>
                <w:lang w:val="en-IE"/>
              </w:rPr>
              <w:t>Months</w:t>
            </w:r>
          </w:p>
        </w:tc>
        <w:tc>
          <w:tcPr>
            <w:tcW w:w="865" w:type="pct"/>
          </w:tcPr>
          <w:p w14:paraId="20F331EF" w14:textId="77777777" w:rsidR="00285741" w:rsidRPr="00003134" w:rsidRDefault="00285741">
            <w:pPr>
              <w:pStyle w:val="Text1"/>
              <w:spacing w:after="0"/>
              <w:ind w:left="0"/>
              <w:jc w:val="left"/>
              <w:rPr>
                <w:noProof/>
                <w:lang w:val="en-IE"/>
              </w:rPr>
            </w:pPr>
            <w:r w:rsidRPr="00003134">
              <w:rPr>
                <w:noProof/>
                <w:lang w:val="en-IE"/>
              </w:rPr>
              <w:t>Member States Survey</w:t>
            </w:r>
          </w:p>
        </w:tc>
        <w:tc>
          <w:tcPr>
            <w:tcW w:w="1072" w:type="pct"/>
          </w:tcPr>
          <w:p w14:paraId="2CCF53B3" w14:textId="77777777" w:rsidR="00285741" w:rsidRPr="00003134" w:rsidRDefault="00285741">
            <w:pPr>
              <w:pStyle w:val="Text1"/>
              <w:spacing w:after="0"/>
              <w:ind w:left="0"/>
              <w:jc w:val="left"/>
              <w:rPr>
                <w:noProof/>
                <w:lang w:val="en-IE"/>
              </w:rPr>
            </w:pPr>
            <w:r w:rsidRPr="00003134">
              <w:rPr>
                <w:noProof/>
                <w:lang w:val="en-IE"/>
              </w:rPr>
              <w:t>Total of 18 months</w:t>
            </w:r>
          </w:p>
        </w:tc>
      </w:tr>
      <w:tr w:rsidR="00285741" w:rsidRPr="00003134" w14:paraId="5E83F914" w14:textId="77777777" w:rsidTr="3C1B0927">
        <w:trPr>
          <w:trHeight w:val="300"/>
        </w:trPr>
        <w:tc>
          <w:tcPr>
            <w:tcW w:w="941" w:type="pct"/>
          </w:tcPr>
          <w:p w14:paraId="05E177D6" w14:textId="77777777" w:rsidR="00285741" w:rsidRPr="00003134" w:rsidRDefault="00285741">
            <w:pPr>
              <w:pStyle w:val="Text1"/>
              <w:spacing w:after="0"/>
              <w:ind w:left="0"/>
              <w:jc w:val="left"/>
              <w:rPr>
                <w:b/>
                <w:bCs/>
                <w:noProof/>
                <w:lang w:val="en-IE"/>
              </w:rPr>
            </w:pPr>
            <w:r w:rsidRPr="00003134">
              <w:rPr>
                <w:b/>
                <w:bCs/>
                <w:noProof/>
                <w:lang w:val="en-IE"/>
              </w:rPr>
              <w:t>SO4</w:t>
            </w:r>
          </w:p>
        </w:tc>
        <w:tc>
          <w:tcPr>
            <w:tcW w:w="1317" w:type="pct"/>
          </w:tcPr>
          <w:p w14:paraId="35BF0098" w14:textId="77777777" w:rsidR="00285741" w:rsidRPr="00003134" w:rsidRDefault="00285741">
            <w:pPr>
              <w:pStyle w:val="Text1"/>
              <w:spacing w:after="0"/>
              <w:ind w:left="0"/>
              <w:jc w:val="left"/>
              <w:rPr>
                <w:noProof/>
                <w:lang w:val="en-IE"/>
              </w:rPr>
            </w:pPr>
            <w:r w:rsidRPr="00003134">
              <w:rPr>
                <w:noProof/>
                <w:lang w:val="en-IE"/>
              </w:rPr>
              <w:t>Share of digitalised permitting procedures out of all permitting procedures for industrial manufacturing</w:t>
            </w:r>
          </w:p>
        </w:tc>
        <w:tc>
          <w:tcPr>
            <w:tcW w:w="805" w:type="pct"/>
          </w:tcPr>
          <w:p w14:paraId="7B86955E" w14:textId="77777777" w:rsidR="00285741" w:rsidRPr="00003134" w:rsidRDefault="00285741">
            <w:pPr>
              <w:pStyle w:val="Text1"/>
              <w:ind w:left="0"/>
              <w:jc w:val="left"/>
              <w:rPr>
                <w:noProof/>
                <w:lang w:val="en-IE"/>
              </w:rPr>
            </w:pPr>
            <w:r w:rsidRPr="00003134">
              <w:rPr>
                <w:noProof/>
                <w:lang w:val="en-IE"/>
              </w:rPr>
              <w:t>%</w:t>
            </w:r>
          </w:p>
        </w:tc>
        <w:tc>
          <w:tcPr>
            <w:tcW w:w="865" w:type="pct"/>
          </w:tcPr>
          <w:p w14:paraId="751D224B" w14:textId="77777777" w:rsidR="00285741" w:rsidRPr="00003134" w:rsidRDefault="00285741">
            <w:pPr>
              <w:pStyle w:val="Text1"/>
              <w:ind w:left="0"/>
              <w:jc w:val="left"/>
              <w:rPr>
                <w:noProof/>
                <w:lang w:val="en-IE"/>
              </w:rPr>
            </w:pPr>
            <w:r w:rsidRPr="00003134">
              <w:rPr>
                <w:noProof/>
                <w:lang w:val="en-IE"/>
              </w:rPr>
              <w:t>Single Digital Gateway</w:t>
            </w:r>
          </w:p>
        </w:tc>
        <w:tc>
          <w:tcPr>
            <w:tcW w:w="1072" w:type="pct"/>
          </w:tcPr>
          <w:p w14:paraId="79B98DDB" w14:textId="77777777" w:rsidR="00285741" w:rsidRPr="00003134" w:rsidRDefault="00285741">
            <w:pPr>
              <w:pStyle w:val="Text1"/>
              <w:ind w:left="0"/>
              <w:jc w:val="left"/>
              <w:rPr>
                <w:noProof/>
                <w:lang w:val="en-IE"/>
              </w:rPr>
            </w:pPr>
            <w:r w:rsidRPr="00003134">
              <w:rPr>
                <w:noProof/>
                <w:lang w:val="en-IE"/>
              </w:rPr>
              <w:t>Aspirational target of 75% by 2030</w:t>
            </w:r>
          </w:p>
        </w:tc>
      </w:tr>
      <w:tr w:rsidR="00285741" w:rsidRPr="00003134" w14:paraId="7C0AA3BD" w14:textId="77777777" w:rsidTr="3C1B0927">
        <w:trPr>
          <w:trHeight w:val="300"/>
        </w:trPr>
        <w:tc>
          <w:tcPr>
            <w:tcW w:w="941" w:type="pct"/>
          </w:tcPr>
          <w:p w14:paraId="07F74B1C" w14:textId="77777777" w:rsidR="00285741" w:rsidRPr="00003134" w:rsidRDefault="00285741">
            <w:pPr>
              <w:pStyle w:val="Text1"/>
              <w:spacing w:after="0"/>
              <w:ind w:left="0"/>
              <w:jc w:val="left"/>
              <w:rPr>
                <w:b/>
                <w:noProof/>
                <w:lang w:val="en-IE"/>
              </w:rPr>
            </w:pPr>
            <w:r w:rsidRPr="00003134">
              <w:rPr>
                <w:b/>
                <w:noProof/>
                <w:lang w:val="en-IE"/>
              </w:rPr>
              <w:t>SO5</w:t>
            </w:r>
          </w:p>
        </w:tc>
        <w:tc>
          <w:tcPr>
            <w:tcW w:w="1317" w:type="pct"/>
          </w:tcPr>
          <w:p w14:paraId="350938A8" w14:textId="77777777" w:rsidR="00285741" w:rsidRPr="00003134" w:rsidRDefault="00285741">
            <w:pPr>
              <w:pStyle w:val="Text1"/>
              <w:spacing w:after="0"/>
              <w:ind w:left="0"/>
              <w:jc w:val="left"/>
              <w:rPr>
                <w:noProof/>
                <w:lang w:val="en-IE"/>
              </w:rPr>
            </w:pPr>
            <w:r w:rsidRPr="00003134">
              <w:rPr>
                <w:noProof/>
                <w:lang w:val="en-IE"/>
              </w:rPr>
              <w:t xml:space="preserve">Industrial FIDs realised in the EU for industrial </w:t>
            </w:r>
            <w:r w:rsidRPr="00003134">
              <w:rPr>
                <w:noProof/>
                <w:lang w:val="en-IE"/>
              </w:rPr>
              <w:lastRenderedPageBreak/>
              <w:t>manufacturing projects in relevant areas</w:t>
            </w:r>
          </w:p>
        </w:tc>
        <w:tc>
          <w:tcPr>
            <w:tcW w:w="805" w:type="pct"/>
          </w:tcPr>
          <w:p w14:paraId="3DCF4372" w14:textId="77777777" w:rsidR="00285741" w:rsidRPr="00003134" w:rsidRDefault="00285741">
            <w:pPr>
              <w:pStyle w:val="Text1"/>
              <w:spacing w:after="0"/>
              <w:ind w:left="0"/>
              <w:jc w:val="left"/>
              <w:rPr>
                <w:noProof/>
                <w:lang w:val="en-IE"/>
              </w:rPr>
            </w:pPr>
            <w:r w:rsidRPr="00003134">
              <w:rPr>
                <w:noProof/>
                <w:lang w:val="en-IE"/>
              </w:rPr>
              <w:lastRenderedPageBreak/>
              <w:t>Number</w:t>
            </w:r>
          </w:p>
        </w:tc>
        <w:tc>
          <w:tcPr>
            <w:tcW w:w="865" w:type="pct"/>
          </w:tcPr>
          <w:p w14:paraId="535B5204" w14:textId="77777777" w:rsidR="00285741" w:rsidRPr="00003134" w:rsidRDefault="00285741">
            <w:pPr>
              <w:pStyle w:val="Text1"/>
              <w:spacing w:after="0"/>
              <w:ind w:left="0"/>
              <w:jc w:val="left"/>
              <w:rPr>
                <w:noProof/>
                <w:lang w:val="en-IE"/>
              </w:rPr>
            </w:pPr>
            <w:r w:rsidRPr="00003134">
              <w:rPr>
                <w:noProof/>
                <w:lang w:val="en-IE"/>
              </w:rPr>
              <w:t>Member States</w:t>
            </w:r>
          </w:p>
        </w:tc>
        <w:tc>
          <w:tcPr>
            <w:tcW w:w="1072" w:type="pct"/>
          </w:tcPr>
          <w:p w14:paraId="716648FA" w14:textId="77777777" w:rsidR="00285741" w:rsidRPr="00003134" w:rsidRDefault="00285741">
            <w:pPr>
              <w:pStyle w:val="Text1"/>
              <w:spacing w:after="0"/>
              <w:ind w:left="0"/>
              <w:jc w:val="left"/>
              <w:rPr>
                <w:noProof/>
                <w:lang w:val="en-IE"/>
              </w:rPr>
            </w:pPr>
          </w:p>
        </w:tc>
      </w:tr>
    </w:tbl>
    <w:p w14:paraId="64A9793B" w14:textId="77777777" w:rsidR="00285741" w:rsidRDefault="00285741">
      <w:pPr>
        <w:rPr>
          <w:noProof/>
        </w:rPr>
      </w:pPr>
      <w:r>
        <w:rPr>
          <w:noProof/>
        </w:rPr>
        <w:br w:type="page"/>
      </w:r>
    </w:p>
    <w:p w14:paraId="1C6F13E4" w14:textId="513A957A" w:rsidR="00020031" w:rsidRPr="00D2408C" w:rsidRDefault="00020031" w:rsidP="00331A10">
      <w:pPr>
        <w:pStyle w:val="Heading1"/>
        <w:keepLines w:val="0"/>
        <w:numPr>
          <w:ilvl w:val="0"/>
          <w:numId w:val="0"/>
        </w:numPr>
        <w:spacing w:before="0" w:after="120"/>
        <w:rPr>
          <w:rFonts w:ascii="Times" w:hAnsi="Times" w:cs="Times"/>
          <w:b/>
          <w:noProof/>
          <w:color w:val="auto"/>
          <w:sz w:val="28"/>
          <w:szCs w:val="28"/>
        </w:rPr>
      </w:pPr>
      <w:bookmarkStart w:id="106" w:name="_Toc222159306"/>
      <w:bookmarkStart w:id="107" w:name="_Toc222489999"/>
      <w:r w:rsidRPr="00D2408C">
        <w:rPr>
          <w:rFonts w:ascii="Times" w:hAnsi="Times" w:cs="Times"/>
          <w:b/>
          <w:noProof/>
          <w:color w:val="auto"/>
          <w:sz w:val="28"/>
          <w:szCs w:val="28"/>
        </w:rPr>
        <w:lastRenderedPageBreak/>
        <w:t>Annex 1: Procedural information</w:t>
      </w:r>
      <w:bookmarkEnd w:id="0"/>
      <w:bookmarkEnd w:id="1"/>
      <w:bookmarkEnd w:id="106"/>
      <w:bookmarkEnd w:id="107"/>
    </w:p>
    <w:p w14:paraId="6C5ACB85" w14:textId="77777777" w:rsidR="00020031" w:rsidRPr="00D2408C" w:rsidRDefault="00020031" w:rsidP="003F3451">
      <w:pPr>
        <w:pStyle w:val="ListParagraph"/>
        <w:keepNext/>
        <w:keepLines/>
        <w:numPr>
          <w:ilvl w:val="0"/>
          <w:numId w:val="38"/>
        </w:numPr>
        <w:spacing w:before="360" w:after="80"/>
        <w:outlineLvl w:val="0"/>
        <w:rPr>
          <w:rFonts w:eastAsia="Yu Gothic Light"/>
          <w:b/>
          <w:noProof/>
        </w:rPr>
      </w:pPr>
      <w:bookmarkStart w:id="108" w:name="_Toc471997754"/>
      <w:bookmarkStart w:id="109" w:name="_Toc195528721"/>
      <w:bookmarkStart w:id="110" w:name="_Toc207192534"/>
      <w:bookmarkStart w:id="111" w:name="_Toc212728786"/>
      <w:bookmarkStart w:id="112" w:name="_Toc212729060"/>
      <w:bookmarkStart w:id="113" w:name="_Toc212729312"/>
      <w:bookmarkStart w:id="114" w:name="_Toc215506256"/>
      <w:bookmarkStart w:id="115" w:name="_Toc222159307"/>
      <w:bookmarkStart w:id="116" w:name="_Toc222489511"/>
      <w:bookmarkStart w:id="117" w:name="_Toc222490000"/>
      <w:r w:rsidRPr="00D2408C">
        <w:rPr>
          <w:rFonts w:eastAsia="Yu Gothic Light"/>
          <w:b/>
          <w:noProof/>
        </w:rPr>
        <w:t>Lead DG, D</w:t>
      </w:r>
      <w:r w:rsidRPr="00D2408C">
        <w:rPr>
          <w:rFonts w:eastAsia="Yu Gothic Light"/>
          <w:b/>
          <w:i/>
          <w:noProof/>
        </w:rPr>
        <w:t>e</w:t>
      </w:r>
      <w:r w:rsidRPr="00D2408C">
        <w:rPr>
          <w:rFonts w:eastAsia="Yu Gothic Light"/>
          <w:b/>
          <w:noProof/>
        </w:rPr>
        <w:t>cide Planning/CWP references</w:t>
      </w:r>
      <w:bookmarkEnd w:id="108"/>
      <w:bookmarkEnd w:id="109"/>
      <w:bookmarkEnd w:id="110"/>
      <w:bookmarkEnd w:id="111"/>
      <w:bookmarkEnd w:id="112"/>
      <w:bookmarkEnd w:id="113"/>
      <w:bookmarkEnd w:id="114"/>
      <w:bookmarkEnd w:id="115"/>
      <w:bookmarkEnd w:id="116"/>
      <w:bookmarkEnd w:id="117"/>
    </w:p>
    <w:p w14:paraId="723EA845" w14:textId="45D989D1" w:rsidR="00020031" w:rsidRPr="00D2408C" w:rsidRDefault="00020031" w:rsidP="00195EC6">
      <w:pPr>
        <w:rPr>
          <w:rFonts w:eastAsia="Aptos"/>
          <w:noProof/>
        </w:rPr>
      </w:pPr>
      <w:r w:rsidRPr="00D2408C">
        <w:rPr>
          <w:rFonts w:eastAsia="Aptos"/>
          <w:noProof/>
        </w:rPr>
        <w:t>The Industrial</w:t>
      </w:r>
      <w:r w:rsidRPr="00D2408C" w:rsidDel="00772758">
        <w:rPr>
          <w:rFonts w:eastAsia="Aptos"/>
          <w:noProof/>
        </w:rPr>
        <w:t xml:space="preserve"> </w:t>
      </w:r>
      <w:r w:rsidRPr="00D2408C">
        <w:rPr>
          <w:rFonts w:eastAsia="Aptos"/>
          <w:noProof/>
        </w:rPr>
        <w:t>Accelerator Act is part of the 2025 Commission Work Programme under the Commission’s priority ‘Simplifying rules and effective implementation’. The lead DG for this initiative is the DG for Internal Market, Industry, Entrepreneurship and SMEs (DG GROW). The Directorate in charge is Directorate I – Decarbonisation, Mobility, Raw Materials. The initiative is encoded in Decide Planning with the reference</w:t>
      </w:r>
      <w:r w:rsidRPr="00D2408C">
        <w:rPr>
          <w:rFonts w:ascii="Verdana" w:eastAsia="Times New Roman" w:hAnsi="Verdana"/>
          <w:noProof/>
          <w:color w:val="09496F"/>
          <w:sz w:val="20"/>
          <w:szCs w:val="20"/>
        </w:rPr>
        <w:t xml:space="preserve"> </w:t>
      </w:r>
      <w:r w:rsidRPr="00D2408C">
        <w:rPr>
          <w:rFonts w:eastAsia="Aptos"/>
          <w:noProof/>
        </w:rPr>
        <w:t xml:space="preserve">PLAN/2024/2611. </w:t>
      </w:r>
    </w:p>
    <w:p w14:paraId="68CA621D" w14:textId="77777777" w:rsidR="00020031" w:rsidRPr="00D2408C" w:rsidRDefault="00020031" w:rsidP="003F3451">
      <w:pPr>
        <w:pStyle w:val="ListParagraph"/>
        <w:keepNext/>
        <w:keepLines/>
        <w:numPr>
          <w:ilvl w:val="0"/>
          <w:numId w:val="38"/>
        </w:numPr>
        <w:spacing w:before="360" w:after="80"/>
        <w:outlineLvl w:val="0"/>
        <w:rPr>
          <w:rFonts w:eastAsia="Yu Gothic Light"/>
          <w:b/>
          <w:noProof/>
        </w:rPr>
      </w:pPr>
      <w:bookmarkStart w:id="118" w:name="_Toc471997755"/>
      <w:bookmarkStart w:id="119" w:name="_Toc195528722"/>
      <w:bookmarkStart w:id="120" w:name="_Toc207192535"/>
      <w:bookmarkStart w:id="121" w:name="_Toc212728787"/>
      <w:bookmarkStart w:id="122" w:name="_Toc212729061"/>
      <w:bookmarkStart w:id="123" w:name="_Toc212729313"/>
      <w:bookmarkStart w:id="124" w:name="_Toc215506257"/>
      <w:bookmarkStart w:id="125" w:name="_Toc222159308"/>
      <w:bookmarkStart w:id="126" w:name="_Toc222489512"/>
      <w:bookmarkStart w:id="127" w:name="_Toc222490001"/>
      <w:r w:rsidRPr="00D2408C">
        <w:rPr>
          <w:rFonts w:eastAsia="Yu Gothic Light"/>
          <w:b/>
          <w:noProof/>
        </w:rPr>
        <w:t>Organisation and timing</w:t>
      </w:r>
      <w:bookmarkEnd w:id="118"/>
      <w:bookmarkEnd w:id="119"/>
      <w:bookmarkEnd w:id="120"/>
      <w:bookmarkEnd w:id="121"/>
      <w:bookmarkEnd w:id="122"/>
      <w:bookmarkEnd w:id="123"/>
      <w:bookmarkEnd w:id="124"/>
      <w:bookmarkEnd w:id="125"/>
      <w:bookmarkEnd w:id="126"/>
      <w:bookmarkEnd w:id="127"/>
    </w:p>
    <w:p w14:paraId="3722E6E6" w14:textId="5D2E7A74" w:rsidR="00020031" w:rsidRPr="00D2408C" w:rsidRDefault="00020031" w:rsidP="00195EC6">
      <w:pPr>
        <w:rPr>
          <w:rFonts w:eastAsia="Yu Gothic Light"/>
          <w:noProof/>
        </w:rPr>
      </w:pPr>
      <w:r w:rsidRPr="738064E7">
        <w:rPr>
          <w:rFonts w:eastAsia="Yu Gothic Light"/>
          <w:noProof/>
        </w:rPr>
        <w:t xml:space="preserve">The Secretariat-General set up the Inter-service Steering Group to assist in preparing the initiative in the first quarter of 2025. There have been three interservice steering group (ISSG) meetings (in March, May and August) and four rounds of written consultations. The last ISSG consultation meeting took place on 20 August 2025. </w:t>
      </w:r>
      <w:r w:rsidR="0B1CC46A" w:rsidRPr="738064E7">
        <w:rPr>
          <w:rFonts w:eastAsia="Yu Gothic Light"/>
          <w:noProof/>
        </w:rPr>
        <w:t xml:space="preserve">Following the Board’s </w:t>
      </w:r>
      <w:r w:rsidR="0B1CC46A" w:rsidRPr="22D6BD94">
        <w:rPr>
          <w:rFonts w:eastAsia="Yu Gothic Light"/>
          <w:noProof/>
        </w:rPr>
        <w:t>neg</w:t>
      </w:r>
      <w:r w:rsidR="134D65D4" w:rsidRPr="22D6BD94">
        <w:rPr>
          <w:rFonts w:eastAsia="Yu Gothic Light"/>
          <w:noProof/>
        </w:rPr>
        <w:t>a</w:t>
      </w:r>
      <w:r w:rsidR="0B1CC46A" w:rsidRPr="22D6BD94">
        <w:rPr>
          <w:rFonts w:eastAsia="Yu Gothic Light"/>
          <w:noProof/>
        </w:rPr>
        <w:t>tive</w:t>
      </w:r>
      <w:r w:rsidR="0B1CC46A" w:rsidRPr="738064E7">
        <w:rPr>
          <w:rFonts w:eastAsia="Yu Gothic Light"/>
          <w:noProof/>
        </w:rPr>
        <w:t xml:space="preserve"> opinion, a fifth </w:t>
      </w:r>
      <w:r w:rsidR="0B1CC46A" w:rsidRPr="2FD6D526">
        <w:rPr>
          <w:rFonts w:eastAsia="Yu Gothic Light"/>
          <w:noProof/>
        </w:rPr>
        <w:t>round of written consultation on the revised text was held.</w:t>
      </w:r>
    </w:p>
    <w:p w14:paraId="318BA7E8" w14:textId="77777777" w:rsidR="00F13DAC" w:rsidRPr="00D2408C" w:rsidRDefault="00F13DAC" w:rsidP="00195EC6">
      <w:pPr>
        <w:rPr>
          <w:rFonts w:eastAsia="Yu Gothic Light"/>
          <w:noProof/>
        </w:rPr>
      </w:pPr>
    </w:p>
    <w:p w14:paraId="4E342ECA" w14:textId="07F3C5D5" w:rsidR="001F2F3A" w:rsidRPr="00D2408C" w:rsidRDefault="00020031" w:rsidP="00195EC6">
      <w:pPr>
        <w:rPr>
          <w:rFonts w:eastAsia="Yu Gothic Light"/>
          <w:noProof/>
        </w:rPr>
      </w:pPr>
      <w:r w:rsidRPr="00D2408C">
        <w:rPr>
          <w:rFonts w:eastAsia="Yu Gothic Light"/>
          <w:noProof/>
        </w:rPr>
        <w:t xml:space="preserve">The Call for Evidence and Public Consultation for this initiative were published on 15 April and were open to feedback from all stakeholders for a period of twelve weeks, until 8 July. The timing for adoption of the new act by the Commission is the fourth quarter of 2025. </w:t>
      </w:r>
    </w:p>
    <w:p w14:paraId="2A08518C" w14:textId="5EC4F111" w:rsidR="00020031" w:rsidRPr="00D2408C" w:rsidRDefault="00020031" w:rsidP="7ECD02B7">
      <w:pPr>
        <w:pStyle w:val="ListParagraph"/>
        <w:keepNext/>
        <w:keepLines/>
        <w:numPr>
          <w:ilvl w:val="0"/>
          <w:numId w:val="38"/>
        </w:numPr>
        <w:spacing w:before="360" w:after="80"/>
        <w:outlineLvl w:val="0"/>
        <w:rPr>
          <w:rFonts w:eastAsia="Yu Gothic Light"/>
          <w:b/>
          <w:bCs/>
          <w:noProof/>
        </w:rPr>
      </w:pPr>
      <w:bookmarkStart w:id="128" w:name="_Toc471997757"/>
      <w:bookmarkStart w:id="129" w:name="_Toc195528723"/>
      <w:bookmarkStart w:id="130" w:name="_Toc207192536"/>
      <w:bookmarkStart w:id="131" w:name="_Toc212728788"/>
      <w:bookmarkStart w:id="132" w:name="_Toc212729062"/>
      <w:bookmarkStart w:id="133" w:name="_Toc212729314"/>
      <w:bookmarkStart w:id="134" w:name="_Toc215506258"/>
      <w:bookmarkStart w:id="135" w:name="_Toc222159309"/>
      <w:bookmarkStart w:id="136" w:name="_Toc222489513"/>
      <w:bookmarkStart w:id="137" w:name="_Toc222490002"/>
      <w:r w:rsidRPr="7ECD02B7">
        <w:rPr>
          <w:rFonts w:eastAsia="Yu Gothic Light"/>
          <w:b/>
          <w:bCs/>
          <w:noProof/>
        </w:rPr>
        <w:t>Consultation of the RSB</w:t>
      </w:r>
      <w:bookmarkEnd w:id="128"/>
      <w:bookmarkEnd w:id="129"/>
      <w:bookmarkEnd w:id="130"/>
      <w:bookmarkEnd w:id="131"/>
      <w:bookmarkEnd w:id="132"/>
      <w:bookmarkEnd w:id="133"/>
      <w:bookmarkEnd w:id="134"/>
      <w:bookmarkEnd w:id="135"/>
      <w:bookmarkEnd w:id="136"/>
      <w:bookmarkEnd w:id="137"/>
    </w:p>
    <w:p w14:paraId="1C2D2142" w14:textId="13F145EB" w:rsidR="00020031" w:rsidRPr="00D2408C" w:rsidRDefault="00020031" w:rsidP="00195EC6">
      <w:pPr>
        <w:rPr>
          <w:noProof/>
        </w:rPr>
      </w:pPr>
      <w:r w:rsidRPr="00D2408C">
        <w:rPr>
          <w:noProof/>
        </w:rPr>
        <w:t xml:space="preserve">An upstream meeting with the Regulatory Scrutiny Board took place on 23 May 2025. A meeting with the Regulatory Scrutiny Board </w:t>
      </w:r>
      <w:r w:rsidR="00153988" w:rsidRPr="00D2408C">
        <w:rPr>
          <w:noProof/>
        </w:rPr>
        <w:t xml:space="preserve">to discuss the draft impact assessment took </w:t>
      </w:r>
      <w:r w:rsidRPr="00D2408C">
        <w:rPr>
          <w:noProof/>
        </w:rPr>
        <w:t>place on 24 September 2025.</w:t>
      </w:r>
      <w:r w:rsidR="00153988" w:rsidRPr="00D2408C">
        <w:rPr>
          <w:noProof/>
        </w:rPr>
        <w:t xml:space="preserve"> The Board issued a negative opinion on </w:t>
      </w:r>
      <w:r w:rsidR="00D40AB0" w:rsidRPr="00D2408C">
        <w:rPr>
          <w:noProof/>
        </w:rPr>
        <w:t>26 September</w:t>
      </w:r>
      <w:r w:rsidR="00C2580F" w:rsidRPr="00D2408C">
        <w:rPr>
          <w:noProof/>
        </w:rPr>
        <w:t xml:space="preserve"> 2025</w:t>
      </w:r>
      <w:r w:rsidR="00D40AB0" w:rsidRPr="00D2408C">
        <w:rPr>
          <w:noProof/>
        </w:rPr>
        <w:t>.</w:t>
      </w:r>
      <w:r w:rsidR="00265D67" w:rsidRPr="00D2408C">
        <w:rPr>
          <w:noProof/>
        </w:rPr>
        <w:t xml:space="preserve"> The recommendations of the Board were addressed in the revised impact assessment as follows:</w:t>
      </w:r>
    </w:p>
    <w:p w14:paraId="3C280F5E" w14:textId="77777777" w:rsidR="00265D67" w:rsidRPr="00D2408C" w:rsidRDefault="00265D67" w:rsidP="00195EC6">
      <w:pPr>
        <w:rPr>
          <w:noProof/>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13"/>
      </w:tblGrid>
      <w:tr w:rsidR="00E8450C" w:rsidRPr="002B47EE" w14:paraId="1FD576B1" w14:textId="77777777" w:rsidTr="0095357E">
        <w:trPr>
          <w:tblHeader/>
        </w:trPr>
        <w:tc>
          <w:tcPr>
            <w:tcW w:w="4621" w:type="dxa"/>
            <w:tcMar>
              <w:top w:w="113" w:type="dxa"/>
              <w:left w:w="113" w:type="dxa"/>
              <w:bottom w:w="113" w:type="dxa"/>
              <w:right w:w="113" w:type="dxa"/>
            </w:tcMar>
          </w:tcPr>
          <w:p w14:paraId="0FDDCC89" w14:textId="77777777" w:rsidR="00E8450C" w:rsidRPr="00D2408C" w:rsidRDefault="00E8450C">
            <w:pPr>
              <w:rPr>
                <w:b/>
                <w:noProof/>
                <w:sz w:val="24"/>
                <w:szCs w:val="24"/>
              </w:rPr>
            </w:pPr>
            <w:r w:rsidRPr="00D2408C">
              <w:rPr>
                <w:b/>
                <w:noProof/>
                <w:szCs w:val="24"/>
              </w:rPr>
              <w:t>RSB recommendations:</w:t>
            </w:r>
          </w:p>
          <w:p w14:paraId="4AFC6615" w14:textId="77777777" w:rsidR="00E8450C" w:rsidRPr="00D2408C" w:rsidRDefault="00E8450C">
            <w:pPr>
              <w:rPr>
                <w:b/>
                <w:noProof/>
                <w:sz w:val="24"/>
                <w:szCs w:val="24"/>
              </w:rPr>
            </w:pPr>
          </w:p>
        </w:tc>
        <w:tc>
          <w:tcPr>
            <w:tcW w:w="4621" w:type="dxa"/>
            <w:tcMar>
              <w:top w:w="113" w:type="dxa"/>
              <w:left w:w="113" w:type="dxa"/>
              <w:bottom w:w="113" w:type="dxa"/>
              <w:right w:w="113" w:type="dxa"/>
            </w:tcMar>
          </w:tcPr>
          <w:p w14:paraId="4FE503F4" w14:textId="5B0F3A15" w:rsidR="00E8450C" w:rsidRPr="00D2408C" w:rsidRDefault="00E8450C">
            <w:pPr>
              <w:rPr>
                <w:b/>
                <w:noProof/>
                <w:sz w:val="24"/>
                <w:szCs w:val="24"/>
              </w:rPr>
            </w:pPr>
            <w:r w:rsidRPr="00D2408C">
              <w:rPr>
                <w:b/>
                <w:noProof/>
                <w:szCs w:val="24"/>
              </w:rPr>
              <w:t>How they were addressed:</w:t>
            </w:r>
          </w:p>
        </w:tc>
      </w:tr>
      <w:tr w:rsidR="00E8450C" w:rsidRPr="002B47EE" w14:paraId="0F4AB37F" w14:textId="77777777" w:rsidTr="00B8051B">
        <w:tc>
          <w:tcPr>
            <w:tcW w:w="4621" w:type="dxa"/>
            <w:tcMar>
              <w:top w:w="113" w:type="dxa"/>
              <w:left w:w="113" w:type="dxa"/>
              <w:bottom w:w="113" w:type="dxa"/>
              <w:right w:w="113" w:type="dxa"/>
            </w:tcMar>
          </w:tcPr>
          <w:p w14:paraId="5B372FFA" w14:textId="77777777" w:rsidR="00E8450C" w:rsidRPr="00D2408C" w:rsidRDefault="00E8450C">
            <w:pPr>
              <w:rPr>
                <w:b/>
                <w:noProof/>
                <w:sz w:val="24"/>
                <w:szCs w:val="24"/>
              </w:rPr>
            </w:pPr>
            <w:r w:rsidRPr="00D2408C">
              <w:rPr>
                <w:b/>
                <w:noProof/>
                <w:szCs w:val="24"/>
              </w:rPr>
              <w:t>(B) Summary of findings</w:t>
            </w:r>
          </w:p>
          <w:p w14:paraId="6F387531" w14:textId="77777777" w:rsidR="00E8450C" w:rsidRPr="00D2408C" w:rsidRDefault="00E8450C">
            <w:pPr>
              <w:rPr>
                <w:b/>
                <w:noProof/>
                <w:sz w:val="24"/>
                <w:szCs w:val="24"/>
              </w:rPr>
            </w:pPr>
          </w:p>
          <w:p w14:paraId="63F4BDCD" w14:textId="77777777" w:rsidR="00E8450C" w:rsidRPr="00D2408C" w:rsidRDefault="00E8450C">
            <w:pPr>
              <w:rPr>
                <w:noProof/>
                <w:sz w:val="24"/>
                <w:szCs w:val="24"/>
              </w:rPr>
            </w:pPr>
            <w:r w:rsidRPr="00D2408C">
              <w:rPr>
                <w:noProof/>
                <w:szCs w:val="24"/>
              </w:rPr>
              <w:t>The Board notes the additional information provided in advance of the meeting and commitments to make changes to the report. However, the Board gives a negative opinion, because the report contains the following significant shortcomings:</w:t>
            </w:r>
          </w:p>
          <w:p w14:paraId="3F225BFB" w14:textId="77777777" w:rsidR="00E8450C" w:rsidRPr="00D2408C" w:rsidRDefault="00E8450C">
            <w:pPr>
              <w:rPr>
                <w:noProof/>
                <w:sz w:val="24"/>
                <w:szCs w:val="24"/>
              </w:rPr>
            </w:pPr>
          </w:p>
          <w:p w14:paraId="242F855A" w14:textId="77777777" w:rsidR="00E8450C" w:rsidRPr="00D2408C" w:rsidRDefault="00E8450C">
            <w:pPr>
              <w:rPr>
                <w:noProof/>
                <w:sz w:val="24"/>
                <w:szCs w:val="24"/>
              </w:rPr>
            </w:pPr>
            <w:r w:rsidRPr="00D2408C">
              <w:rPr>
                <w:noProof/>
                <w:szCs w:val="24"/>
              </w:rPr>
              <w:t>(1) The report does not sufficiently analyse how the problem would evolve over time and does not demonstrate to what extent this initiative is needed.</w:t>
            </w:r>
          </w:p>
          <w:p w14:paraId="4E1B8704" w14:textId="77777777" w:rsidR="00E8450C" w:rsidRPr="00D2408C" w:rsidRDefault="00E8450C">
            <w:pPr>
              <w:rPr>
                <w:noProof/>
                <w:sz w:val="24"/>
                <w:szCs w:val="24"/>
              </w:rPr>
            </w:pPr>
          </w:p>
          <w:p w14:paraId="11177C92" w14:textId="77777777" w:rsidR="00E8450C" w:rsidRPr="00D2408C" w:rsidRDefault="00E8450C">
            <w:pPr>
              <w:rPr>
                <w:noProof/>
                <w:sz w:val="24"/>
                <w:szCs w:val="24"/>
              </w:rPr>
            </w:pPr>
            <w:r w:rsidRPr="00D2408C">
              <w:rPr>
                <w:noProof/>
                <w:szCs w:val="24"/>
              </w:rPr>
              <w:t>(2) The report lacks an analysis of the market drivers and contribution of various drivers to the identified problems. An assessment of the availability of economically viable industrial decarbonisation technologies is missing.</w:t>
            </w:r>
          </w:p>
          <w:p w14:paraId="4D12B7E4" w14:textId="77777777" w:rsidR="00E8450C" w:rsidRPr="00D2408C" w:rsidRDefault="00E8450C">
            <w:pPr>
              <w:rPr>
                <w:noProof/>
                <w:sz w:val="24"/>
                <w:szCs w:val="24"/>
              </w:rPr>
            </w:pPr>
          </w:p>
          <w:p w14:paraId="62259146" w14:textId="77777777" w:rsidR="00E8450C" w:rsidRPr="00D2408C" w:rsidRDefault="00E8450C">
            <w:pPr>
              <w:rPr>
                <w:noProof/>
                <w:sz w:val="24"/>
                <w:szCs w:val="24"/>
              </w:rPr>
            </w:pPr>
            <w:r w:rsidRPr="00D2408C">
              <w:rPr>
                <w:noProof/>
                <w:szCs w:val="24"/>
              </w:rPr>
              <w:t>(3) The objectives are not defined in a S.M.A.R.T manner.</w:t>
            </w:r>
          </w:p>
          <w:p w14:paraId="56431666" w14:textId="77777777" w:rsidR="00E8450C" w:rsidRPr="00D2408C" w:rsidRDefault="00E8450C">
            <w:pPr>
              <w:rPr>
                <w:noProof/>
                <w:sz w:val="24"/>
                <w:szCs w:val="24"/>
              </w:rPr>
            </w:pPr>
          </w:p>
          <w:p w14:paraId="66BF3D70" w14:textId="77777777" w:rsidR="00E8450C" w:rsidRPr="00D2408C" w:rsidRDefault="00E8450C">
            <w:pPr>
              <w:rPr>
                <w:noProof/>
                <w:sz w:val="24"/>
                <w:szCs w:val="24"/>
              </w:rPr>
            </w:pPr>
            <w:r w:rsidRPr="00D2408C">
              <w:rPr>
                <w:noProof/>
                <w:szCs w:val="24"/>
              </w:rPr>
              <w:lastRenderedPageBreak/>
              <w:t xml:space="preserve">(4) The report does not provide a sufficient assessment of the impacts of the proposed measures, including on the resilience of the manufacturing industry in the EU and on the foreign direct investments. </w:t>
            </w:r>
          </w:p>
          <w:p w14:paraId="51A4F197" w14:textId="77777777" w:rsidR="00E8450C" w:rsidRPr="005754F4" w:rsidRDefault="00E8450C">
            <w:pPr>
              <w:rPr>
                <w:noProof/>
                <w:sz w:val="24"/>
                <w:szCs w:val="24"/>
                <w:lang w:val="en-IE"/>
              </w:rPr>
            </w:pPr>
          </w:p>
          <w:p w14:paraId="43690C12" w14:textId="77777777" w:rsidR="00E8450C" w:rsidRPr="00D2408C" w:rsidRDefault="00E8450C">
            <w:pPr>
              <w:rPr>
                <w:noProof/>
                <w:sz w:val="24"/>
                <w:szCs w:val="24"/>
              </w:rPr>
            </w:pPr>
            <w:r w:rsidRPr="00D2408C">
              <w:rPr>
                <w:noProof/>
                <w:szCs w:val="24"/>
              </w:rPr>
              <w:t>(5) The report lacks an analysis of the total costs, their pass through, and the impacts on downstream sectors.</w:t>
            </w:r>
          </w:p>
          <w:p w14:paraId="3FD50A05" w14:textId="77777777" w:rsidR="00D41096" w:rsidRPr="00D2408C" w:rsidRDefault="00D41096">
            <w:pPr>
              <w:rPr>
                <w:noProof/>
                <w:sz w:val="24"/>
                <w:szCs w:val="24"/>
              </w:rPr>
            </w:pPr>
          </w:p>
        </w:tc>
        <w:tc>
          <w:tcPr>
            <w:tcW w:w="4621" w:type="dxa"/>
            <w:tcMar>
              <w:top w:w="113" w:type="dxa"/>
              <w:left w:w="113" w:type="dxa"/>
              <w:bottom w:w="113" w:type="dxa"/>
              <w:right w:w="113" w:type="dxa"/>
            </w:tcMar>
          </w:tcPr>
          <w:p w14:paraId="6AEE2553" w14:textId="77777777" w:rsidR="00E8450C" w:rsidRPr="00D2408C" w:rsidRDefault="00E8450C">
            <w:pPr>
              <w:rPr>
                <w:noProof/>
                <w:sz w:val="24"/>
                <w:szCs w:val="24"/>
              </w:rPr>
            </w:pPr>
          </w:p>
          <w:p w14:paraId="4D1AD43E" w14:textId="77777777" w:rsidR="00E8450C" w:rsidRPr="00D2408C" w:rsidRDefault="00E8450C">
            <w:pPr>
              <w:rPr>
                <w:noProof/>
                <w:sz w:val="24"/>
                <w:szCs w:val="24"/>
              </w:rPr>
            </w:pPr>
          </w:p>
          <w:p w14:paraId="194D285D" w14:textId="77777777" w:rsidR="00E8450C" w:rsidRPr="00D2408C" w:rsidRDefault="00E8450C">
            <w:pPr>
              <w:rPr>
                <w:noProof/>
                <w:sz w:val="24"/>
                <w:szCs w:val="24"/>
              </w:rPr>
            </w:pPr>
          </w:p>
          <w:p w14:paraId="40124975" w14:textId="77777777" w:rsidR="00E8450C" w:rsidRPr="00D2408C" w:rsidRDefault="00E8450C">
            <w:pPr>
              <w:rPr>
                <w:noProof/>
                <w:sz w:val="24"/>
                <w:szCs w:val="24"/>
              </w:rPr>
            </w:pPr>
          </w:p>
          <w:p w14:paraId="45AFADA0" w14:textId="77777777" w:rsidR="00E8450C" w:rsidRPr="00D2408C" w:rsidRDefault="00E8450C">
            <w:pPr>
              <w:rPr>
                <w:noProof/>
                <w:sz w:val="24"/>
                <w:szCs w:val="24"/>
              </w:rPr>
            </w:pPr>
          </w:p>
          <w:p w14:paraId="7FA49F19" w14:textId="77777777" w:rsidR="00E8450C" w:rsidRPr="00D2408C" w:rsidRDefault="00E8450C">
            <w:pPr>
              <w:rPr>
                <w:noProof/>
                <w:sz w:val="24"/>
                <w:szCs w:val="24"/>
              </w:rPr>
            </w:pPr>
          </w:p>
          <w:p w14:paraId="69788953" w14:textId="77777777" w:rsidR="00E8450C" w:rsidRPr="00D2408C" w:rsidRDefault="00E8450C">
            <w:pPr>
              <w:rPr>
                <w:noProof/>
                <w:sz w:val="24"/>
                <w:szCs w:val="24"/>
              </w:rPr>
            </w:pPr>
          </w:p>
          <w:p w14:paraId="5039301C" w14:textId="77777777" w:rsidR="00E8450C" w:rsidRPr="00D2408C" w:rsidRDefault="00E8450C">
            <w:pPr>
              <w:rPr>
                <w:noProof/>
                <w:sz w:val="24"/>
                <w:szCs w:val="24"/>
              </w:rPr>
            </w:pPr>
            <w:r w:rsidRPr="00D2408C">
              <w:rPr>
                <w:noProof/>
                <w:szCs w:val="24"/>
              </w:rPr>
              <w:t>See below under C.1</w:t>
            </w:r>
          </w:p>
          <w:p w14:paraId="3CF77EC9" w14:textId="77777777" w:rsidR="00E8450C" w:rsidRPr="00D2408C" w:rsidRDefault="00E8450C">
            <w:pPr>
              <w:rPr>
                <w:noProof/>
                <w:sz w:val="24"/>
                <w:szCs w:val="24"/>
              </w:rPr>
            </w:pPr>
          </w:p>
          <w:p w14:paraId="7DC7ABF9" w14:textId="77777777" w:rsidR="00E8450C" w:rsidRDefault="00E8450C">
            <w:pPr>
              <w:rPr>
                <w:noProof/>
                <w:szCs w:val="24"/>
              </w:rPr>
            </w:pPr>
          </w:p>
          <w:p w14:paraId="701D702E" w14:textId="77777777" w:rsidR="00E8450C" w:rsidRDefault="00E8450C">
            <w:pPr>
              <w:rPr>
                <w:noProof/>
                <w:szCs w:val="24"/>
              </w:rPr>
            </w:pPr>
          </w:p>
          <w:p w14:paraId="386AA29E" w14:textId="683B288E" w:rsidR="00E8450C" w:rsidRPr="00D2408C" w:rsidRDefault="00E8450C">
            <w:pPr>
              <w:rPr>
                <w:noProof/>
                <w:sz w:val="24"/>
                <w:szCs w:val="24"/>
              </w:rPr>
            </w:pPr>
            <w:r w:rsidRPr="00D2408C">
              <w:rPr>
                <w:noProof/>
                <w:szCs w:val="24"/>
              </w:rPr>
              <w:t xml:space="preserve">See below under </w:t>
            </w:r>
            <w:r w:rsidR="00BD296B" w:rsidRPr="00D2408C">
              <w:rPr>
                <w:noProof/>
                <w:szCs w:val="24"/>
              </w:rPr>
              <w:t>C.2</w:t>
            </w:r>
          </w:p>
          <w:p w14:paraId="6DED56F8" w14:textId="77777777" w:rsidR="00E8450C" w:rsidRPr="00D2408C" w:rsidRDefault="00E8450C">
            <w:pPr>
              <w:rPr>
                <w:noProof/>
                <w:sz w:val="24"/>
                <w:szCs w:val="24"/>
              </w:rPr>
            </w:pPr>
          </w:p>
          <w:p w14:paraId="452E648D" w14:textId="77777777" w:rsidR="00E8450C" w:rsidRPr="00D2408C" w:rsidRDefault="00E8450C">
            <w:pPr>
              <w:rPr>
                <w:noProof/>
                <w:sz w:val="24"/>
                <w:szCs w:val="24"/>
              </w:rPr>
            </w:pPr>
          </w:p>
          <w:p w14:paraId="1FD443D3" w14:textId="77777777" w:rsidR="00E8450C" w:rsidRPr="00D2408C" w:rsidRDefault="00E8450C">
            <w:pPr>
              <w:rPr>
                <w:noProof/>
                <w:sz w:val="24"/>
                <w:szCs w:val="24"/>
              </w:rPr>
            </w:pPr>
          </w:p>
          <w:p w14:paraId="2D3ABDE2" w14:textId="77777777" w:rsidR="00E8450C" w:rsidRPr="00D2408C" w:rsidRDefault="00E8450C">
            <w:pPr>
              <w:rPr>
                <w:noProof/>
                <w:sz w:val="24"/>
                <w:szCs w:val="24"/>
              </w:rPr>
            </w:pPr>
          </w:p>
          <w:p w14:paraId="4E90487F" w14:textId="59BF79C9" w:rsidR="00E8450C" w:rsidRPr="00D2408C" w:rsidRDefault="00E8450C">
            <w:pPr>
              <w:rPr>
                <w:noProof/>
                <w:sz w:val="24"/>
                <w:szCs w:val="24"/>
              </w:rPr>
            </w:pPr>
            <w:r w:rsidRPr="00D2408C">
              <w:rPr>
                <w:noProof/>
                <w:szCs w:val="24"/>
              </w:rPr>
              <w:t xml:space="preserve">See below under </w:t>
            </w:r>
            <w:r w:rsidR="00201374" w:rsidRPr="00D2408C">
              <w:rPr>
                <w:noProof/>
                <w:szCs w:val="24"/>
              </w:rPr>
              <w:t>C</w:t>
            </w:r>
            <w:r w:rsidR="00BD296B" w:rsidRPr="00D2408C">
              <w:rPr>
                <w:noProof/>
                <w:szCs w:val="24"/>
              </w:rPr>
              <w:t>.</w:t>
            </w:r>
            <w:r w:rsidR="00201374" w:rsidRPr="00D2408C">
              <w:rPr>
                <w:noProof/>
                <w:szCs w:val="24"/>
              </w:rPr>
              <w:t>3</w:t>
            </w:r>
          </w:p>
          <w:p w14:paraId="103A196A" w14:textId="77777777" w:rsidR="00E8450C" w:rsidRPr="00D2408C" w:rsidRDefault="00E8450C">
            <w:pPr>
              <w:rPr>
                <w:noProof/>
                <w:sz w:val="24"/>
                <w:szCs w:val="24"/>
              </w:rPr>
            </w:pPr>
          </w:p>
          <w:p w14:paraId="1FEDB2DA" w14:textId="77777777" w:rsidR="00E8450C" w:rsidRPr="00D2408C" w:rsidRDefault="00E8450C">
            <w:pPr>
              <w:rPr>
                <w:noProof/>
                <w:sz w:val="24"/>
                <w:szCs w:val="24"/>
              </w:rPr>
            </w:pPr>
          </w:p>
          <w:p w14:paraId="05E21E3D" w14:textId="77777777" w:rsidR="0074474A" w:rsidRPr="00D2408C" w:rsidRDefault="0074474A">
            <w:pPr>
              <w:rPr>
                <w:noProof/>
                <w:sz w:val="24"/>
                <w:szCs w:val="24"/>
              </w:rPr>
            </w:pPr>
          </w:p>
          <w:p w14:paraId="7CF329A3" w14:textId="5C132917" w:rsidR="00E8450C" w:rsidRPr="00D2408C" w:rsidRDefault="00E8450C">
            <w:pPr>
              <w:rPr>
                <w:noProof/>
                <w:sz w:val="24"/>
                <w:szCs w:val="24"/>
              </w:rPr>
            </w:pPr>
            <w:r w:rsidRPr="00D2408C">
              <w:rPr>
                <w:noProof/>
                <w:szCs w:val="24"/>
              </w:rPr>
              <w:t xml:space="preserve">See below under </w:t>
            </w:r>
            <w:r w:rsidR="009B2349" w:rsidRPr="00D2408C">
              <w:rPr>
                <w:noProof/>
                <w:szCs w:val="24"/>
              </w:rPr>
              <w:t>C.</w:t>
            </w:r>
            <w:r w:rsidR="000C40A3" w:rsidRPr="00D2408C">
              <w:rPr>
                <w:noProof/>
                <w:szCs w:val="24"/>
              </w:rPr>
              <w:t>5</w:t>
            </w:r>
          </w:p>
          <w:p w14:paraId="17914741" w14:textId="77777777" w:rsidR="00E8450C" w:rsidRPr="00D2408C" w:rsidRDefault="00E8450C">
            <w:pPr>
              <w:rPr>
                <w:noProof/>
                <w:sz w:val="24"/>
                <w:szCs w:val="24"/>
              </w:rPr>
            </w:pPr>
          </w:p>
          <w:p w14:paraId="3B6757F7" w14:textId="77777777" w:rsidR="00E8450C" w:rsidRPr="00D2408C" w:rsidRDefault="00E8450C">
            <w:pPr>
              <w:rPr>
                <w:noProof/>
                <w:sz w:val="24"/>
                <w:szCs w:val="24"/>
              </w:rPr>
            </w:pPr>
          </w:p>
          <w:p w14:paraId="06A65FEC" w14:textId="77777777" w:rsidR="00E8450C" w:rsidRDefault="00E8450C">
            <w:pPr>
              <w:rPr>
                <w:noProof/>
                <w:szCs w:val="24"/>
              </w:rPr>
            </w:pPr>
          </w:p>
          <w:p w14:paraId="37BA9543" w14:textId="77777777" w:rsidR="00E8450C" w:rsidRDefault="00E8450C">
            <w:pPr>
              <w:rPr>
                <w:noProof/>
                <w:szCs w:val="24"/>
              </w:rPr>
            </w:pPr>
          </w:p>
          <w:p w14:paraId="00E293BF" w14:textId="661C2C9F" w:rsidR="00E8450C" w:rsidRPr="00D2408C" w:rsidRDefault="00E8450C">
            <w:pPr>
              <w:rPr>
                <w:noProof/>
                <w:sz w:val="24"/>
                <w:szCs w:val="24"/>
              </w:rPr>
            </w:pPr>
            <w:r w:rsidRPr="00D2408C">
              <w:rPr>
                <w:noProof/>
                <w:szCs w:val="24"/>
              </w:rPr>
              <w:t xml:space="preserve">See below under </w:t>
            </w:r>
            <w:r w:rsidR="000C40A3" w:rsidRPr="00D2408C">
              <w:rPr>
                <w:noProof/>
                <w:szCs w:val="24"/>
              </w:rPr>
              <w:t>C.6</w:t>
            </w:r>
          </w:p>
        </w:tc>
      </w:tr>
      <w:tr w:rsidR="00E8450C" w:rsidRPr="002B47EE" w14:paraId="5068FDCF" w14:textId="77777777" w:rsidTr="00B8051B">
        <w:tc>
          <w:tcPr>
            <w:tcW w:w="4621" w:type="dxa"/>
            <w:tcMar>
              <w:top w:w="113" w:type="dxa"/>
              <w:left w:w="113" w:type="dxa"/>
              <w:bottom w:w="113" w:type="dxa"/>
              <w:right w:w="113" w:type="dxa"/>
            </w:tcMar>
          </w:tcPr>
          <w:p w14:paraId="7A611FCA" w14:textId="68EB0A56" w:rsidR="00E8450C" w:rsidRPr="00D2408C" w:rsidRDefault="00E8450C">
            <w:pPr>
              <w:rPr>
                <w:b/>
                <w:noProof/>
                <w:sz w:val="24"/>
                <w:szCs w:val="24"/>
              </w:rPr>
            </w:pPr>
            <w:r w:rsidRPr="00D2408C">
              <w:rPr>
                <w:b/>
                <w:noProof/>
                <w:szCs w:val="24"/>
              </w:rPr>
              <w:lastRenderedPageBreak/>
              <w:t>(C) What to improve</w:t>
            </w:r>
          </w:p>
        </w:tc>
        <w:tc>
          <w:tcPr>
            <w:tcW w:w="4621" w:type="dxa"/>
            <w:tcMar>
              <w:top w:w="113" w:type="dxa"/>
              <w:left w:w="113" w:type="dxa"/>
              <w:bottom w:w="113" w:type="dxa"/>
              <w:right w:w="113" w:type="dxa"/>
            </w:tcMar>
          </w:tcPr>
          <w:p w14:paraId="7B0D830A" w14:textId="77777777" w:rsidR="00E8450C" w:rsidRPr="00D2408C" w:rsidRDefault="00E8450C">
            <w:pPr>
              <w:rPr>
                <w:noProof/>
                <w:sz w:val="24"/>
                <w:szCs w:val="24"/>
              </w:rPr>
            </w:pPr>
          </w:p>
        </w:tc>
      </w:tr>
      <w:tr w:rsidR="00E8450C" w:rsidRPr="002B47EE" w14:paraId="7AC90E94" w14:textId="77777777" w:rsidTr="00B8051B">
        <w:tc>
          <w:tcPr>
            <w:tcW w:w="4621" w:type="dxa"/>
            <w:tcMar>
              <w:top w:w="113" w:type="dxa"/>
              <w:left w:w="113" w:type="dxa"/>
              <w:bottom w:w="113" w:type="dxa"/>
              <w:right w:w="113" w:type="dxa"/>
            </w:tcMar>
          </w:tcPr>
          <w:p w14:paraId="66DDCCAF" w14:textId="77777777" w:rsidR="00E8450C" w:rsidRPr="00D2408C" w:rsidRDefault="00E8450C">
            <w:pPr>
              <w:rPr>
                <w:noProof/>
                <w:sz w:val="24"/>
                <w:szCs w:val="24"/>
              </w:rPr>
            </w:pPr>
            <w:r w:rsidRPr="00D2408C">
              <w:rPr>
                <w:noProof/>
                <w:szCs w:val="24"/>
              </w:rPr>
              <w:t xml:space="preserve">(1) A dynamic baseline regarding the decarbonisation and resilience of EU manufacturing industry, including energy intensive and clean tech, should be developed to make it clear how the problem would evolve without the proposed policy action. </w:t>
            </w:r>
          </w:p>
          <w:p w14:paraId="66023149" w14:textId="77777777" w:rsidR="00E8450C" w:rsidRPr="00D2408C" w:rsidRDefault="00E8450C">
            <w:pPr>
              <w:rPr>
                <w:noProof/>
                <w:sz w:val="24"/>
                <w:szCs w:val="24"/>
              </w:rPr>
            </w:pPr>
          </w:p>
          <w:p w14:paraId="33353537" w14:textId="77777777" w:rsidR="008E6F93" w:rsidRPr="00D2408C" w:rsidRDefault="008E6F93">
            <w:pPr>
              <w:rPr>
                <w:noProof/>
                <w:sz w:val="24"/>
                <w:szCs w:val="24"/>
              </w:rPr>
            </w:pPr>
          </w:p>
          <w:p w14:paraId="185E6209" w14:textId="77777777" w:rsidR="008E6F93" w:rsidRPr="00D2408C" w:rsidRDefault="008E6F93">
            <w:pPr>
              <w:rPr>
                <w:noProof/>
                <w:sz w:val="24"/>
                <w:szCs w:val="24"/>
              </w:rPr>
            </w:pPr>
          </w:p>
          <w:p w14:paraId="771E556A" w14:textId="77777777" w:rsidR="008E6F93" w:rsidRPr="00D2408C" w:rsidRDefault="008E6F93">
            <w:pPr>
              <w:rPr>
                <w:noProof/>
                <w:sz w:val="24"/>
                <w:szCs w:val="24"/>
              </w:rPr>
            </w:pPr>
          </w:p>
          <w:p w14:paraId="114E96B3" w14:textId="77777777" w:rsidR="008E6F93" w:rsidRPr="00D2408C" w:rsidRDefault="008E6F93">
            <w:pPr>
              <w:rPr>
                <w:noProof/>
                <w:sz w:val="24"/>
                <w:szCs w:val="24"/>
              </w:rPr>
            </w:pPr>
          </w:p>
          <w:p w14:paraId="5D4A2998" w14:textId="77777777" w:rsidR="008E6F93" w:rsidRPr="00D2408C" w:rsidRDefault="008E6F93">
            <w:pPr>
              <w:rPr>
                <w:noProof/>
                <w:sz w:val="24"/>
                <w:szCs w:val="24"/>
              </w:rPr>
            </w:pPr>
          </w:p>
          <w:p w14:paraId="56EA24AE" w14:textId="77777777" w:rsidR="008E6F93" w:rsidRPr="00D2408C" w:rsidRDefault="008E6F93">
            <w:pPr>
              <w:rPr>
                <w:noProof/>
                <w:sz w:val="24"/>
                <w:szCs w:val="24"/>
              </w:rPr>
            </w:pPr>
          </w:p>
          <w:p w14:paraId="394924A4" w14:textId="77777777" w:rsidR="008E6F93" w:rsidRPr="00D2408C" w:rsidRDefault="008E6F93">
            <w:pPr>
              <w:rPr>
                <w:noProof/>
                <w:sz w:val="24"/>
                <w:szCs w:val="24"/>
              </w:rPr>
            </w:pPr>
          </w:p>
          <w:p w14:paraId="584CE0ED" w14:textId="77777777" w:rsidR="008E6F93" w:rsidRPr="00D2408C" w:rsidRDefault="008E6F93">
            <w:pPr>
              <w:rPr>
                <w:noProof/>
                <w:sz w:val="24"/>
                <w:szCs w:val="24"/>
              </w:rPr>
            </w:pPr>
          </w:p>
          <w:p w14:paraId="616319CE" w14:textId="77777777" w:rsidR="008E6F93" w:rsidRPr="00D2408C" w:rsidRDefault="008E6F93">
            <w:pPr>
              <w:rPr>
                <w:noProof/>
                <w:sz w:val="24"/>
                <w:szCs w:val="24"/>
              </w:rPr>
            </w:pPr>
          </w:p>
          <w:p w14:paraId="3EA7B701" w14:textId="77777777" w:rsidR="008E6F93" w:rsidRPr="00D2408C" w:rsidRDefault="008E6F93">
            <w:pPr>
              <w:rPr>
                <w:noProof/>
                <w:sz w:val="24"/>
                <w:szCs w:val="24"/>
              </w:rPr>
            </w:pPr>
          </w:p>
          <w:p w14:paraId="670DA8CA" w14:textId="77777777" w:rsidR="008E6F93" w:rsidRPr="00D2408C" w:rsidRDefault="008E6F93">
            <w:pPr>
              <w:rPr>
                <w:noProof/>
                <w:sz w:val="24"/>
                <w:szCs w:val="24"/>
              </w:rPr>
            </w:pPr>
          </w:p>
          <w:p w14:paraId="38A175CB" w14:textId="77777777" w:rsidR="008E6F93" w:rsidRPr="00D2408C" w:rsidRDefault="008E6F93">
            <w:pPr>
              <w:rPr>
                <w:noProof/>
                <w:sz w:val="24"/>
                <w:szCs w:val="24"/>
              </w:rPr>
            </w:pPr>
          </w:p>
          <w:p w14:paraId="3E46D9A0" w14:textId="77777777" w:rsidR="008E6F93" w:rsidRPr="00D2408C" w:rsidRDefault="008E6F93">
            <w:pPr>
              <w:rPr>
                <w:noProof/>
                <w:sz w:val="24"/>
                <w:szCs w:val="24"/>
              </w:rPr>
            </w:pPr>
          </w:p>
          <w:p w14:paraId="7D29A3F1" w14:textId="77777777" w:rsidR="00E8450C" w:rsidRPr="00D2408C" w:rsidRDefault="00E8450C">
            <w:pPr>
              <w:rPr>
                <w:noProof/>
                <w:sz w:val="24"/>
                <w:szCs w:val="24"/>
              </w:rPr>
            </w:pPr>
            <w:r w:rsidRPr="00D2408C">
              <w:rPr>
                <w:noProof/>
                <w:szCs w:val="24"/>
              </w:rPr>
              <w:t xml:space="preserve">As the EU Emissions Trading System is there to provide incentives to decarbonise and CBAM is intended to protect against carbon leakage and establish the level playing the report should better explain the magnitude of the slow decarbonisation problem and to what extent an ‘acceleration’ is needed to meet the EU’s climate goals. </w:t>
            </w:r>
          </w:p>
          <w:p w14:paraId="4183605E" w14:textId="77777777" w:rsidR="00E8450C" w:rsidRPr="00D2408C" w:rsidRDefault="00E8450C">
            <w:pPr>
              <w:rPr>
                <w:noProof/>
                <w:sz w:val="24"/>
                <w:szCs w:val="24"/>
              </w:rPr>
            </w:pPr>
          </w:p>
          <w:p w14:paraId="04569D96" w14:textId="77777777" w:rsidR="00964D62" w:rsidRPr="00D2408C" w:rsidRDefault="00964D62">
            <w:pPr>
              <w:rPr>
                <w:noProof/>
                <w:sz w:val="24"/>
                <w:szCs w:val="24"/>
              </w:rPr>
            </w:pPr>
          </w:p>
          <w:p w14:paraId="2BB72399" w14:textId="77777777" w:rsidR="00964D62" w:rsidRPr="00D2408C" w:rsidRDefault="00964D62">
            <w:pPr>
              <w:rPr>
                <w:noProof/>
                <w:sz w:val="24"/>
                <w:szCs w:val="24"/>
              </w:rPr>
            </w:pPr>
          </w:p>
          <w:p w14:paraId="037431BC" w14:textId="77777777" w:rsidR="006100FA" w:rsidRPr="00D2408C" w:rsidRDefault="006100FA">
            <w:pPr>
              <w:rPr>
                <w:noProof/>
                <w:sz w:val="24"/>
                <w:szCs w:val="24"/>
              </w:rPr>
            </w:pPr>
          </w:p>
          <w:p w14:paraId="66683F08" w14:textId="77777777" w:rsidR="00964D62" w:rsidRPr="00D2408C" w:rsidRDefault="00964D62">
            <w:pPr>
              <w:rPr>
                <w:noProof/>
                <w:sz w:val="24"/>
                <w:szCs w:val="24"/>
              </w:rPr>
            </w:pPr>
          </w:p>
          <w:p w14:paraId="2BFCB8A3" w14:textId="2BDD5DE7" w:rsidR="00E8450C" w:rsidRPr="00D2408C" w:rsidRDefault="00E8450C">
            <w:pPr>
              <w:rPr>
                <w:noProof/>
                <w:sz w:val="24"/>
                <w:szCs w:val="24"/>
              </w:rPr>
            </w:pPr>
            <w:r w:rsidRPr="00D2408C">
              <w:rPr>
                <w:noProof/>
                <w:szCs w:val="24"/>
              </w:rPr>
              <w:t>The report should identify the resulting decarbonisation speed gap as well as gaps related to the resilience of manufacturing industry in the EU that need to be addressed by the additional policy measures.</w:t>
            </w:r>
          </w:p>
          <w:p w14:paraId="6814CDE3" w14:textId="1288EA62" w:rsidR="00D41096" w:rsidRPr="00D2408C" w:rsidRDefault="00D41096">
            <w:pPr>
              <w:rPr>
                <w:noProof/>
                <w:sz w:val="24"/>
                <w:szCs w:val="24"/>
              </w:rPr>
            </w:pPr>
          </w:p>
        </w:tc>
        <w:tc>
          <w:tcPr>
            <w:tcW w:w="4621" w:type="dxa"/>
            <w:tcMar>
              <w:top w:w="113" w:type="dxa"/>
              <w:left w:w="113" w:type="dxa"/>
              <w:bottom w:w="113" w:type="dxa"/>
              <w:right w:w="113" w:type="dxa"/>
            </w:tcMar>
          </w:tcPr>
          <w:p w14:paraId="779D26B4" w14:textId="73315FCB" w:rsidR="001657E4" w:rsidRPr="00D2408C" w:rsidRDefault="006762C8">
            <w:pPr>
              <w:rPr>
                <w:noProof/>
                <w:sz w:val="24"/>
                <w:szCs w:val="24"/>
              </w:rPr>
            </w:pPr>
            <w:r w:rsidRPr="00D2408C">
              <w:rPr>
                <w:noProof/>
                <w:szCs w:val="24"/>
              </w:rPr>
              <w:t>The</w:t>
            </w:r>
            <w:r w:rsidR="00B211AF" w:rsidRPr="00D2408C">
              <w:rPr>
                <w:noProof/>
                <w:szCs w:val="24"/>
              </w:rPr>
              <w:t xml:space="preserve"> dynamic baseline has been </w:t>
            </w:r>
            <w:r w:rsidRPr="00D2408C">
              <w:rPr>
                <w:noProof/>
                <w:szCs w:val="24"/>
              </w:rPr>
              <w:t xml:space="preserve">improved </w:t>
            </w:r>
            <w:r w:rsidR="00B211AF" w:rsidRPr="00D2408C">
              <w:rPr>
                <w:noProof/>
                <w:szCs w:val="24"/>
              </w:rPr>
              <w:t>in Section 5.1 showing that</w:t>
            </w:r>
            <w:r w:rsidR="00AF6A8D" w:rsidRPr="00D2408C">
              <w:rPr>
                <w:noProof/>
                <w:szCs w:val="24"/>
              </w:rPr>
              <w:t>, without further action,</w:t>
            </w:r>
            <w:r w:rsidR="00B211AF" w:rsidRPr="00D2408C">
              <w:rPr>
                <w:noProof/>
                <w:szCs w:val="24"/>
              </w:rPr>
              <w:t xml:space="preserve"> EU industr</w:t>
            </w:r>
            <w:r w:rsidR="00AF6A8D" w:rsidRPr="00D2408C">
              <w:rPr>
                <w:noProof/>
                <w:szCs w:val="24"/>
              </w:rPr>
              <w:t xml:space="preserve">y would risk </w:t>
            </w:r>
            <w:r w:rsidR="00771F78" w:rsidRPr="00D2408C">
              <w:rPr>
                <w:noProof/>
                <w:szCs w:val="24"/>
              </w:rPr>
              <w:t>continuing existing trends, i</w:t>
            </w:r>
            <w:r w:rsidR="00200A5A" w:rsidRPr="00D2408C">
              <w:rPr>
                <w:noProof/>
                <w:szCs w:val="24"/>
              </w:rPr>
              <w:t>.</w:t>
            </w:r>
            <w:r w:rsidR="00771F78" w:rsidRPr="00D2408C">
              <w:rPr>
                <w:noProof/>
                <w:szCs w:val="24"/>
              </w:rPr>
              <w:t xml:space="preserve">e. </w:t>
            </w:r>
            <w:r w:rsidR="00AF6A8D" w:rsidRPr="00D2408C">
              <w:rPr>
                <w:noProof/>
                <w:szCs w:val="24"/>
              </w:rPr>
              <w:t xml:space="preserve">decarbonising more by reducing </w:t>
            </w:r>
            <w:r w:rsidR="00EF6F22" w:rsidRPr="00D2408C">
              <w:rPr>
                <w:noProof/>
                <w:szCs w:val="24"/>
              </w:rPr>
              <w:t xml:space="preserve">industrial </w:t>
            </w:r>
            <w:r w:rsidR="00AF6A8D" w:rsidRPr="00D2408C">
              <w:rPr>
                <w:noProof/>
                <w:szCs w:val="24"/>
              </w:rPr>
              <w:t xml:space="preserve">production than by </w:t>
            </w:r>
            <w:r w:rsidR="001973A1" w:rsidRPr="00D2408C">
              <w:rPr>
                <w:noProof/>
                <w:szCs w:val="24"/>
              </w:rPr>
              <w:t xml:space="preserve">using more efficient technologies, </w:t>
            </w:r>
            <w:r w:rsidR="00506565">
              <w:rPr>
                <w:noProof/>
                <w:szCs w:val="24"/>
              </w:rPr>
              <w:t>which</w:t>
            </w:r>
            <w:r w:rsidR="00506565" w:rsidRPr="00D2408C">
              <w:rPr>
                <w:noProof/>
                <w:szCs w:val="24"/>
              </w:rPr>
              <w:t xml:space="preserve"> </w:t>
            </w:r>
            <w:r w:rsidR="001973A1" w:rsidRPr="00D2408C">
              <w:rPr>
                <w:noProof/>
                <w:szCs w:val="24"/>
              </w:rPr>
              <w:t>would</w:t>
            </w:r>
            <w:r w:rsidR="00637B59" w:rsidRPr="00D2408C">
              <w:rPr>
                <w:noProof/>
                <w:szCs w:val="24"/>
              </w:rPr>
              <w:t xml:space="preserve"> </w:t>
            </w:r>
            <w:r w:rsidR="00AF6A8D" w:rsidRPr="00D2408C">
              <w:rPr>
                <w:noProof/>
                <w:szCs w:val="24"/>
              </w:rPr>
              <w:t>decoupl</w:t>
            </w:r>
            <w:r w:rsidR="00AA4461" w:rsidRPr="00D2408C">
              <w:rPr>
                <w:noProof/>
                <w:szCs w:val="24"/>
              </w:rPr>
              <w:t>e</w:t>
            </w:r>
            <w:r w:rsidR="00AF6A8D" w:rsidRPr="00D2408C">
              <w:rPr>
                <w:noProof/>
                <w:szCs w:val="24"/>
              </w:rPr>
              <w:t xml:space="preserve"> emissions from production</w:t>
            </w:r>
            <w:r w:rsidR="003F336D" w:rsidRPr="00D2408C">
              <w:rPr>
                <w:noProof/>
                <w:szCs w:val="24"/>
              </w:rPr>
              <w:t>. Th</w:t>
            </w:r>
            <w:r w:rsidR="00A85C87" w:rsidRPr="00D2408C">
              <w:rPr>
                <w:noProof/>
                <w:szCs w:val="24"/>
              </w:rPr>
              <w:t xml:space="preserve">is is </w:t>
            </w:r>
            <w:r w:rsidR="00AA4461" w:rsidRPr="00D2408C">
              <w:rPr>
                <w:noProof/>
                <w:szCs w:val="24"/>
              </w:rPr>
              <w:t xml:space="preserve">illustrated in Section </w:t>
            </w:r>
            <w:r w:rsidR="00ED26F8" w:rsidRPr="00D2408C">
              <w:rPr>
                <w:noProof/>
                <w:szCs w:val="24"/>
              </w:rPr>
              <w:t xml:space="preserve">5.1, Figure 9, which shows </w:t>
            </w:r>
            <w:r w:rsidR="002A39F5" w:rsidRPr="00D2408C">
              <w:rPr>
                <w:noProof/>
                <w:szCs w:val="24"/>
              </w:rPr>
              <w:t>pas</w:t>
            </w:r>
            <w:r w:rsidR="00EC3146" w:rsidRPr="00D2408C">
              <w:rPr>
                <w:noProof/>
                <w:szCs w:val="24"/>
              </w:rPr>
              <w:t>t</w:t>
            </w:r>
            <w:r w:rsidR="002A39F5" w:rsidRPr="00D2408C">
              <w:rPr>
                <w:noProof/>
                <w:szCs w:val="24"/>
              </w:rPr>
              <w:t xml:space="preserve"> and future trends for </w:t>
            </w:r>
            <w:r w:rsidR="00DC51C0" w:rsidRPr="00D2408C">
              <w:rPr>
                <w:noProof/>
                <w:szCs w:val="24"/>
              </w:rPr>
              <w:t xml:space="preserve">iron and steel, while </w:t>
            </w:r>
            <w:r w:rsidR="00816561" w:rsidRPr="00D2408C">
              <w:rPr>
                <w:noProof/>
                <w:szCs w:val="24"/>
              </w:rPr>
              <w:t xml:space="preserve">the analysis for </w:t>
            </w:r>
            <w:r w:rsidR="00DC51C0" w:rsidRPr="00D2408C">
              <w:rPr>
                <w:noProof/>
                <w:szCs w:val="24"/>
              </w:rPr>
              <w:t xml:space="preserve">other EIIs </w:t>
            </w:r>
            <w:r w:rsidR="00816561" w:rsidRPr="00D2408C">
              <w:rPr>
                <w:noProof/>
                <w:szCs w:val="24"/>
              </w:rPr>
              <w:t>is</w:t>
            </w:r>
            <w:r w:rsidR="00DC51C0" w:rsidRPr="00D2408C">
              <w:rPr>
                <w:noProof/>
                <w:szCs w:val="24"/>
              </w:rPr>
              <w:t xml:space="preserve"> </w:t>
            </w:r>
            <w:r w:rsidR="00206248">
              <w:rPr>
                <w:noProof/>
                <w:szCs w:val="24"/>
              </w:rPr>
              <w:t>presented</w:t>
            </w:r>
            <w:r w:rsidR="00206248" w:rsidRPr="00D2408C">
              <w:rPr>
                <w:noProof/>
                <w:szCs w:val="24"/>
              </w:rPr>
              <w:t xml:space="preserve"> </w:t>
            </w:r>
            <w:r w:rsidR="00B81EAC" w:rsidRPr="00D2408C">
              <w:rPr>
                <w:noProof/>
                <w:szCs w:val="24"/>
              </w:rPr>
              <w:t xml:space="preserve">in Annex </w:t>
            </w:r>
            <w:r w:rsidR="00816561" w:rsidRPr="00D2408C">
              <w:rPr>
                <w:noProof/>
                <w:szCs w:val="24"/>
              </w:rPr>
              <w:t>8</w:t>
            </w:r>
            <w:r w:rsidR="00DC51C0" w:rsidRPr="00D2408C">
              <w:rPr>
                <w:noProof/>
                <w:szCs w:val="24"/>
              </w:rPr>
              <w:t>.</w:t>
            </w:r>
          </w:p>
          <w:p w14:paraId="31305B53" w14:textId="77777777" w:rsidR="00927E48" w:rsidRPr="00D2408C" w:rsidRDefault="00927E48">
            <w:pPr>
              <w:rPr>
                <w:noProof/>
                <w:sz w:val="24"/>
              </w:rPr>
            </w:pPr>
          </w:p>
          <w:p w14:paraId="2ADC460A" w14:textId="77777777" w:rsidR="00690AD6" w:rsidRPr="00D2408C" w:rsidRDefault="006C45B0" w:rsidP="00616D5B">
            <w:pPr>
              <w:rPr>
                <w:noProof/>
                <w:sz w:val="24"/>
                <w:szCs w:val="24"/>
              </w:rPr>
            </w:pPr>
            <w:r w:rsidRPr="00D2408C">
              <w:rPr>
                <w:noProof/>
                <w:szCs w:val="24"/>
              </w:rPr>
              <w:t xml:space="preserve">The magnitude of the slow decarbonisation problem is described </w:t>
            </w:r>
            <w:r w:rsidR="009B4BC3" w:rsidRPr="00D2408C">
              <w:rPr>
                <w:noProof/>
                <w:szCs w:val="24"/>
              </w:rPr>
              <w:t>under Driver 3, where the analysis show</w:t>
            </w:r>
            <w:r w:rsidR="0018418E" w:rsidRPr="00D2408C">
              <w:rPr>
                <w:noProof/>
                <w:szCs w:val="24"/>
              </w:rPr>
              <w:t xml:space="preserve">s </w:t>
            </w:r>
            <w:r w:rsidR="000A0649" w:rsidRPr="00D2408C">
              <w:rPr>
                <w:noProof/>
                <w:szCs w:val="24"/>
              </w:rPr>
              <w:t>th</w:t>
            </w:r>
            <w:r w:rsidR="00D03186" w:rsidRPr="00D2408C">
              <w:rPr>
                <w:noProof/>
                <w:szCs w:val="24"/>
              </w:rPr>
              <w:t>at</w:t>
            </w:r>
            <w:r w:rsidR="000A0649" w:rsidRPr="00D2408C">
              <w:rPr>
                <w:noProof/>
                <w:szCs w:val="24"/>
              </w:rPr>
              <w:t xml:space="preserve"> in the past six years</w:t>
            </w:r>
            <w:r w:rsidR="0018418E" w:rsidRPr="00D2408C">
              <w:rPr>
                <w:noProof/>
                <w:szCs w:val="24"/>
              </w:rPr>
              <w:t xml:space="preserve"> </w:t>
            </w:r>
            <w:r w:rsidR="00D03186" w:rsidRPr="00D2408C">
              <w:rPr>
                <w:noProof/>
                <w:szCs w:val="24"/>
              </w:rPr>
              <w:t xml:space="preserve">many </w:t>
            </w:r>
            <w:r w:rsidR="0018418E" w:rsidRPr="00D2408C">
              <w:rPr>
                <w:noProof/>
                <w:szCs w:val="24"/>
              </w:rPr>
              <w:t>announced decarbonisation projects have been cancelled or remain stalled before final investment decision</w:t>
            </w:r>
            <w:r w:rsidR="00D03186" w:rsidRPr="00D2408C">
              <w:rPr>
                <w:noProof/>
                <w:szCs w:val="24"/>
              </w:rPr>
              <w:t xml:space="preserve"> (See Figure 2, 3 and 4). Similarly, </w:t>
            </w:r>
            <w:r w:rsidR="00C60570" w:rsidRPr="00D2408C">
              <w:rPr>
                <w:noProof/>
                <w:szCs w:val="24"/>
              </w:rPr>
              <w:t xml:space="preserve">Sub-problem 3 describes to what extent the cost </w:t>
            </w:r>
            <w:r w:rsidR="003A239A" w:rsidRPr="00D2408C">
              <w:rPr>
                <w:noProof/>
                <w:szCs w:val="24"/>
              </w:rPr>
              <w:t xml:space="preserve">and </w:t>
            </w:r>
            <w:r w:rsidR="00553D0A" w:rsidRPr="00D2408C">
              <w:rPr>
                <w:noProof/>
                <w:szCs w:val="24"/>
              </w:rPr>
              <w:t>availability</w:t>
            </w:r>
            <w:r w:rsidR="003A239A" w:rsidRPr="00D2408C">
              <w:rPr>
                <w:noProof/>
                <w:szCs w:val="24"/>
              </w:rPr>
              <w:t xml:space="preserve"> of lo</w:t>
            </w:r>
            <w:r w:rsidR="00553D0A" w:rsidRPr="00D2408C">
              <w:rPr>
                <w:noProof/>
                <w:szCs w:val="24"/>
              </w:rPr>
              <w:t>w</w:t>
            </w:r>
            <w:r w:rsidR="003A239A" w:rsidRPr="00D2408C">
              <w:rPr>
                <w:noProof/>
                <w:szCs w:val="24"/>
              </w:rPr>
              <w:t>-car</w:t>
            </w:r>
            <w:r w:rsidR="00553D0A" w:rsidRPr="00D2408C">
              <w:rPr>
                <w:noProof/>
                <w:szCs w:val="24"/>
              </w:rPr>
              <w:t>b</w:t>
            </w:r>
            <w:r w:rsidR="003A239A" w:rsidRPr="00D2408C">
              <w:rPr>
                <w:noProof/>
                <w:szCs w:val="24"/>
              </w:rPr>
              <w:t xml:space="preserve">on </w:t>
            </w:r>
            <w:r w:rsidR="00553D0A" w:rsidRPr="00D2408C">
              <w:rPr>
                <w:noProof/>
                <w:szCs w:val="24"/>
              </w:rPr>
              <w:t>industrial</w:t>
            </w:r>
            <w:r w:rsidR="003A239A" w:rsidRPr="00D2408C">
              <w:rPr>
                <w:noProof/>
                <w:szCs w:val="24"/>
              </w:rPr>
              <w:t xml:space="preserve"> technologies, as well as other barriers (Driver</w:t>
            </w:r>
            <w:r w:rsidR="00553D0A" w:rsidRPr="00D2408C">
              <w:rPr>
                <w:noProof/>
                <w:szCs w:val="24"/>
              </w:rPr>
              <w:t xml:space="preserve"> 5</w:t>
            </w:r>
            <w:r w:rsidR="003A239A" w:rsidRPr="00D2408C">
              <w:rPr>
                <w:noProof/>
                <w:szCs w:val="24"/>
              </w:rPr>
              <w:t xml:space="preserve"> </w:t>
            </w:r>
            <w:r w:rsidR="00553D0A" w:rsidRPr="00D2408C">
              <w:rPr>
                <w:noProof/>
                <w:szCs w:val="24"/>
              </w:rPr>
              <w:t xml:space="preserve">and 6) </w:t>
            </w:r>
            <w:r w:rsidR="00E020D3" w:rsidRPr="00D2408C">
              <w:rPr>
                <w:noProof/>
                <w:szCs w:val="24"/>
              </w:rPr>
              <w:t>are</w:t>
            </w:r>
            <w:r w:rsidR="00C60570" w:rsidRPr="00D2408C">
              <w:rPr>
                <w:rFonts w:eastAsiaTheme="minorEastAsia"/>
                <w:noProof/>
                <w:szCs w:val="24"/>
              </w:rPr>
              <w:t xml:space="preserve"> important </w:t>
            </w:r>
            <w:r w:rsidR="00C60570" w:rsidRPr="00D2408C">
              <w:rPr>
                <w:rFonts w:eastAsiaTheme="minorHAnsi"/>
                <w:noProof/>
                <w:szCs w:val="24"/>
              </w:rPr>
              <w:t>factor</w:t>
            </w:r>
            <w:r w:rsidR="00E020D3" w:rsidRPr="00D2408C">
              <w:rPr>
                <w:noProof/>
                <w:szCs w:val="24"/>
              </w:rPr>
              <w:t>s</w:t>
            </w:r>
            <w:r w:rsidR="00C60570" w:rsidRPr="00D2408C">
              <w:rPr>
                <w:rFonts w:eastAsiaTheme="minorEastAsia"/>
                <w:noProof/>
                <w:szCs w:val="24"/>
              </w:rPr>
              <w:t xml:space="preserve"> determining the slow decarbonisation </w:t>
            </w:r>
            <w:r w:rsidR="00C60570" w:rsidRPr="00D2408C">
              <w:rPr>
                <w:rFonts w:eastAsiaTheme="minorHAnsi"/>
                <w:noProof/>
                <w:szCs w:val="24"/>
              </w:rPr>
              <w:t>pac</w:t>
            </w:r>
            <w:r w:rsidR="00E020D3" w:rsidRPr="00D2408C">
              <w:rPr>
                <w:noProof/>
                <w:szCs w:val="24"/>
              </w:rPr>
              <w:t>e</w:t>
            </w:r>
            <w:r w:rsidR="00690AD6" w:rsidRPr="00D2408C">
              <w:rPr>
                <w:noProof/>
                <w:szCs w:val="24"/>
              </w:rPr>
              <w:t xml:space="preserve">. </w:t>
            </w:r>
          </w:p>
          <w:p w14:paraId="46104FFF" w14:textId="77777777" w:rsidR="003521AD" w:rsidRPr="00D2408C" w:rsidRDefault="003521AD">
            <w:pPr>
              <w:rPr>
                <w:rFonts w:eastAsiaTheme="minorEastAsia"/>
                <w:noProof/>
                <w:sz w:val="24"/>
                <w:szCs w:val="24"/>
              </w:rPr>
            </w:pPr>
          </w:p>
          <w:p w14:paraId="22BB4B52" w14:textId="525529BE" w:rsidR="009F082F" w:rsidRDefault="009F082F" w:rsidP="617D0D8B">
            <w:pPr>
              <w:rPr>
                <w:rFonts w:eastAsiaTheme="minorEastAsia"/>
                <w:noProof/>
              </w:rPr>
            </w:pPr>
          </w:p>
          <w:p w14:paraId="77622430" w14:textId="23D84CBF" w:rsidR="009F082F" w:rsidRDefault="009F082F" w:rsidP="617D0D8B">
            <w:pPr>
              <w:rPr>
                <w:rFonts w:eastAsiaTheme="minorEastAsia"/>
                <w:noProof/>
              </w:rPr>
            </w:pPr>
            <w:r w:rsidRPr="617D0D8B">
              <w:rPr>
                <w:rFonts w:eastAsiaTheme="minorEastAsia"/>
                <w:noProof/>
              </w:rPr>
              <w:t xml:space="preserve">A more comprehensive description of the EU Emissions Trading System as well of the CBAM and its forthcoming review is included in the baseline description. </w:t>
            </w:r>
          </w:p>
          <w:p w14:paraId="5F8F640F" w14:textId="2B7BEA89" w:rsidR="009F082F" w:rsidRDefault="009F082F" w:rsidP="617D0D8B">
            <w:pPr>
              <w:rPr>
                <w:rFonts w:eastAsiaTheme="minorEastAsia"/>
                <w:noProof/>
              </w:rPr>
            </w:pPr>
          </w:p>
          <w:p w14:paraId="6EDA9622" w14:textId="4CF49281" w:rsidR="009F082F" w:rsidRDefault="009F082F" w:rsidP="617D0D8B">
            <w:pPr>
              <w:rPr>
                <w:rFonts w:eastAsiaTheme="minorEastAsia"/>
                <w:noProof/>
              </w:rPr>
            </w:pPr>
          </w:p>
          <w:p w14:paraId="04C03F1F" w14:textId="589ECB05" w:rsidR="009F082F" w:rsidRDefault="009F082F" w:rsidP="617D0D8B">
            <w:pPr>
              <w:rPr>
                <w:rFonts w:eastAsiaTheme="minorEastAsia"/>
                <w:noProof/>
              </w:rPr>
            </w:pPr>
          </w:p>
          <w:p w14:paraId="30A709A6" w14:textId="4871FE1F" w:rsidR="009F082F" w:rsidRDefault="009F082F" w:rsidP="617D0D8B">
            <w:pPr>
              <w:rPr>
                <w:rFonts w:eastAsiaTheme="minorEastAsia"/>
                <w:noProof/>
              </w:rPr>
            </w:pPr>
          </w:p>
          <w:p w14:paraId="7DB7A535" w14:textId="6EBF0126" w:rsidR="009F082F" w:rsidRDefault="009F082F" w:rsidP="617D0D8B">
            <w:pPr>
              <w:rPr>
                <w:rFonts w:eastAsiaTheme="minorEastAsia"/>
                <w:noProof/>
              </w:rPr>
            </w:pPr>
          </w:p>
          <w:p w14:paraId="6847CF57" w14:textId="5C1A5B8D" w:rsidR="009F082F" w:rsidRDefault="009F082F" w:rsidP="617D0D8B">
            <w:pPr>
              <w:rPr>
                <w:rFonts w:eastAsiaTheme="minorEastAsia"/>
                <w:noProof/>
              </w:rPr>
            </w:pPr>
          </w:p>
          <w:p w14:paraId="12F68565" w14:textId="6AED8C8C" w:rsidR="009F082F" w:rsidRDefault="009F082F" w:rsidP="617D0D8B">
            <w:pPr>
              <w:rPr>
                <w:rFonts w:eastAsiaTheme="minorEastAsia"/>
                <w:noProof/>
              </w:rPr>
            </w:pPr>
          </w:p>
          <w:p w14:paraId="531D2BA2" w14:textId="3CAE9072" w:rsidR="009F082F" w:rsidRDefault="009F082F" w:rsidP="617D0D8B">
            <w:pPr>
              <w:rPr>
                <w:rFonts w:eastAsiaTheme="minorEastAsia"/>
                <w:noProof/>
              </w:rPr>
            </w:pPr>
          </w:p>
          <w:p w14:paraId="012B7235" w14:textId="267140FC" w:rsidR="00E8450C" w:rsidRPr="00D2408C" w:rsidRDefault="000D5718">
            <w:pPr>
              <w:rPr>
                <w:noProof/>
                <w:sz w:val="24"/>
                <w:szCs w:val="24"/>
              </w:rPr>
            </w:pPr>
            <w:r w:rsidRPr="00D2408C">
              <w:rPr>
                <w:rFonts w:eastAsiaTheme="minorEastAsia"/>
                <w:noProof/>
                <w:szCs w:val="24"/>
              </w:rPr>
              <w:t xml:space="preserve">The </w:t>
            </w:r>
            <w:r w:rsidR="00810E5A" w:rsidRPr="00D2408C">
              <w:rPr>
                <w:rFonts w:eastAsiaTheme="minorEastAsia"/>
                <w:noProof/>
                <w:szCs w:val="24"/>
              </w:rPr>
              <w:t xml:space="preserve">decarbonisation speed gap is identified </w:t>
            </w:r>
            <w:r w:rsidR="006D19E3" w:rsidRPr="00D2408C">
              <w:rPr>
                <w:rFonts w:eastAsiaTheme="minorEastAsia"/>
                <w:noProof/>
                <w:szCs w:val="24"/>
              </w:rPr>
              <w:t xml:space="preserve">by </w:t>
            </w:r>
            <w:r w:rsidR="00616D5B" w:rsidRPr="00D2408C">
              <w:rPr>
                <w:rFonts w:eastAsiaTheme="minorEastAsia"/>
                <w:noProof/>
                <w:szCs w:val="24"/>
              </w:rPr>
              <w:t xml:space="preserve">looking at the </w:t>
            </w:r>
            <w:r w:rsidR="00D449DD" w:rsidRPr="00D2408C">
              <w:rPr>
                <w:rFonts w:eastAsiaTheme="minorEastAsia"/>
                <w:noProof/>
                <w:szCs w:val="24"/>
              </w:rPr>
              <w:t xml:space="preserve">causes </w:t>
            </w:r>
            <w:r w:rsidR="00616D5B" w:rsidRPr="00D2408C">
              <w:rPr>
                <w:rFonts w:eastAsiaTheme="minorEastAsia"/>
                <w:noProof/>
                <w:szCs w:val="24"/>
              </w:rPr>
              <w:t>of recent emissions trends</w:t>
            </w:r>
            <w:r w:rsidR="00FB00FD" w:rsidRPr="00D2408C">
              <w:rPr>
                <w:rFonts w:eastAsiaTheme="minorEastAsia"/>
                <w:noProof/>
                <w:szCs w:val="24"/>
              </w:rPr>
              <w:t xml:space="preserve"> (Figure 7, Section 2.3)</w:t>
            </w:r>
            <w:r w:rsidR="00616D5B" w:rsidRPr="00D2408C">
              <w:rPr>
                <w:rFonts w:eastAsiaTheme="minorEastAsia"/>
                <w:noProof/>
                <w:szCs w:val="24"/>
              </w:rPr>
              <w:t>. The</w:t>
            </w:r>
            <w:r w:rsidR="009F7178" w:rsidRPr="00D2408C">
              <w:rPr>
                <w:rFonts w:eastAsiaTheme="minorEastAsia"/>
                <w:noProof/>
                <w:szCs w:val="24"/>
              </w:rPr>
              <w:t>y</w:t>
            </w:r>
            <w:r w:rsidR="00616D5B" w:rsidRPr="00D2408C">
              <w:rPr>
                <w:rFonts w:eastAsiaTheme="minorEastAsia"/>
                <w:noProof/>
                <w:szCs w:val="24"/>
              </w:rPr>
              <w:t xml:space="preserve"> show that over the past six years the emissions reduction was mainly driven by changes in the production activity level, rather than in emission intensity</w:t>
            </w:r>
            <w:r w:rsidR="00FB00FD" w:rsidRPr="00D2408C">
              <w:rPr>
                <w:rFonts w:eastAsiaTheme="minorEastAsia"/>
                <w:noProof/>
                <w:szCs w:val="24"/>
              </w:rPr>
              <w:t xml:space="preserve">. This is further elaborated </w:t>
            </w:r>
            <w:r w:rsidR="00FB00FD" w:rsidRPr="00254A85">
              <w:rPr>
                <w:rFonts w:eastAsiaTheme="minorEastAsia"/>
                <w:noProof/>
                <w:szCs w:val="24"/>
              </w:rPr>
              <w:t xml:space="preserve">in Annex </w:t>
            </w:r>
            <w:r w:rsidR="007E4391" w:rsidRPr="00254A85">
              <w:rPr>
                <w:rFonts w:eastAsiaTheme="minorEastAsia"/>
                <w:noProof/>
                <w:szCs w:val="24"/>
              </w:rPr>
              <w:t>7.</w:t>
            </w:r>
            <w:r w:rsidR="00690AD6" w:rsidRPr="00D2408C">
              <w:rPr>
                <w:rFonts w:eastAsiaTheme="minorEastAsia"/>
                <w:noProof/>
                <w:szCs w:val="24"/>
              </w:rPr>
              <w:t xml:space="preserve"> </w:t>
            </w:r>
            <w:r w:rsidR="00C77260" w:rsidRPr="00D2408C">
              <w:rPr>
                <w:noProof/>
                <w:szCs w:val="24"/>
              </w:rPr>
              <w:t>T</w:t>
            </w:r>
            <w:r w:rsidR="00BC3180" w:rsidRPr="00D2408C">
              <w:rPr>
                <w:noProof/>
                <w:szCs w:val="24"/>
              </w:rPr>
              <w:t xml:space="preserve">he resilience gap is described </w:t>
            </w:r>
            <w:r w:rsidR="00C77260" w:rsidRPr="00D2408C">
              <w:rPr>
                <w:noProof/>
                <w:szCs w:val="24"/>
              </w:rPr>
              <w:t>by the re-drafted Sub-problem 2</w:t>
            </w:r>
            <w:r w:rsidR="00FA634C" w:rsidRPr="00D2408C">
              <w:rPr>
                <w:noProof/>
                <w:szCs w:val="24"/>
              </w:rPr>
              <w:t>, showing supply chain vulnerabilities</w:t>
            </w:r>
            <w:r w:rsidR="003F1EA6" w:rsidRPr="00D2408C">
              <w:rPr>
                <w:noProof/>
                <w:szCs w:val="24"/>
              </w:rPr>
              <w:t xml:space="preserve"> (see </w:t>
            </w:r>
            <w:r w:rsidR="00963872" w:rsidRPr="00D2408C">
              <w:rPr>
                <w:noProof/>
                <w:szCs w:val="24"/>
              </w:rPr>
              <w:t xml:space="preserve">number of cancellation or delay in </w:t>
            </w:r>
            <w:r w:rsidR="00963872" w:rsidRPr="00D2408C">
              <w:rPr>
                <w:noProof/>
                <w:szCs w:val="24"/>
              </w:rPr>
              <w:lastRenderedPageBreak/>
              <w:t>the EU of several battery and solar PV projects</w:t>
            </w:r>
            <w:r w:rsidR="00C821EC" w:rsidRPr="00D2408C">
              <w:rPr>
                <w:noProof/>
                <w:szCs w:val="24"/>
              </w:rPr>
              <w:t xml:space="preserve">), as well as </w:t>
            </w:r>
            <w:r w:rsidR="000D79B7" w:rsidRPr="00D2408C">
              <w:rPr>
                <w:noProof/>
                <w:szCs w:val="24"/>
              </w:rPr>
              <w:t xml:space="preserve">in the Section </w:t>
            </w:r>
            <w:r w:rsidR="006B0E49" w:rsidRPr="00D2408C">
              <w:rPr>
                <w:noProof/>
                <w:szCs w:val="24"/>
              </w:rPr>
              <w:t>2.3.</w:t>
            </w:r>
          </w:p>
        </w:tc>
      </w:tr>
      <w:tr w:rsidR="00E8450C" w:rsidRPr="00F261DB" w14:paraId="323A03F5" w14:textId="77777777" w:rsidTr="00B8051B">
        <w:tc>
          <w:tcPr>
            <w:tcW w:w="4621" w:type="dxa"/>
            <w:tcMar>
              <w:top w:w="113" w:type="dxa"/>
              <w:left w:w="113" w:type="dxa"/>
              <w:bottom w:w="113" w:type="dxa"/>
              <w:right w:w="113" w:type="dxa"/>
            </w:tcMar>
          </w:tcPr>
          <w:p w14:paraId="0E412DDE" w14:textId="77777777" w:rsidR="00E8450C" w:rsidRPr="00D2408C" w:rsidRDefault="00E8450C">
            <w:pPr>
              <w:rPr>
                <w:noProof/>
                <w:sz w:val="24"/>
                <w:szCs w:val="24"/>
              </w:rPr>
            </w:pPr>
            <w:r w:rsidRPr="00D2408C">
              <w:rPr>
                <w:noProof/>
                <w:szCs w:val="24"/>
              </w:rPr>
              <w:lastRenderedPageBreak/>
              <w:t xml:space="preserve">(2) The report needs to identify all the problem drivers and to further investigate the causal links and contribution to the identified problem. </w:t>
            </w:r>
          </w:p>
          <w:p w14:paraId="75896474" w14:textId="77777777" w:rsidR="00E8450C" w:rsidRPr="00D2408C" w:rsidRDefault="00E8450C">
            <w:pPr>
              <w:rPr>
                <w:noProof/>
                <w:sz w:val="24"/>
                <w:szCs w:val="24"/>
              </w:rPr>
            </w:pPr>
          </w:p>
          <w:p w14:paraId="729ADC86" w14:textId="77777777" w:rsidR="00FD6359" w:rsidRPr="00D2408C" w:rsidRDefault="00FD6359">
            <w:pPr>
              <w:rPr>
                <w:noProof/>
                <w:sz w:val="24"/>
                <w:szCs w:val="24"/>
              </w:rPr>
            </w:pPr>
          </w:p>
          <w:p w14:paraId="53E5A792" w14:textId="77777777" w:rsidR="00FD6359" w:rsidRPr="00D2408C" w:rsidRDefault="00FD6359">
            <w:pPr>
              <w:rPr>
                <w:noProof/>
                <w:sz w:val="24"/>
                <w:szCs w:val="24"/>
              </w:rPr>
            </w:pPr>
          </w:p>
          <w:p w14:paraId="0BD04754" w14:textId="77777777" w:rsidR="00FD6359" w:rsidRPr="00D2408C" w:rsidRDefault="00FD6359">
            <w:pPr>
              <w:rPr>
                <w:noProof/>
                <w:sz w:val="24"/>
                <w:szCs w:val="24"/>
              </w:rPr>
            </w:pPr>
          </w:p>
          <w:p w14:paraId="3ADFE6C7" w14:textId="77777777" w:rsidR="00FD6359" w:rsidRPr="00D2408C" w:rsidRDefault="00FD6359">
            <w:pPr>
              <w:rPr>
                <w:noProof/>
                <w:sz w:val="24"/>
                <w:szCs w:val="24"/>
              </w:rPr>
            </w:pPr>
          </w:p>
          <w:p w14:paraId="32DFA8EF" w14:textId="504D270C" w:rsidR="00E8450C" w:rsidRPr="00D2408C" w:rsidRDefault="00E8450C">
            <w:pPr>
              <w:rPr>
                <w:noProof/>
                <w:sz w:val="24"/>
                <w:szCs w:val="24"/>
              </w:rPr>
            </w:pPr>
            <w:r w:rsidRPr="00D2408C">
              <w:rPr>
                <w:noProof/>
                <w:szCs w:val="24"/>
              </w:rPr>
              <w:t xml:space="preserve">The report should analyse more in-depth the availability and economic viability of industrial decarbonisation technologies. </w:t>
            </w:r>
          </w:p>
          <w:p w14:paraId="496096CA" w14:textId="77777777" w:rsidR="00E8450C" w:rsidRPr="00D2408C" w:rsidRDefault="00E8450C">
            <w:pPr>
              <w:rPr>
                <w:noProof/>
                <w:sz w:val="24"/>
                <w:szCs w:val="24"/>
              </w:rPr>
            </w:pPr>
          </w:p>
          <w:p w14:paraId="73C246CC" w14:textId="77777777" w:rsidR="00D078F2" w:rsidRPr="00D2408C" w:rsidRDefault="00D078F2">
            <w:pPr>
              <w:rPr>
                <w:noProof/>
                <w:sz w:val="24"/>
                <w:szCs w:val="24"/>
              </w:rPr>
            </w:pPr>
          </w:p>
          <w:p w14:paraId="7B3A811E" w14:textId="77777777" w:rsidR="00D078F2" w:rsidRPr="00D2408C" w:rsidRDefault="00D078F2">
            <w:pPr>
              <w:rPr>
                <w:noProof/>
                <w:sz w:val="24"/>
                <w:szCs w:val="24"/>
              </w:rPr>
            </w:pPr>
          </w:p>
          <w:p w14:paraId="3792444D" w14:textId="77777777" w:rsidR="00D078F2" w:rsidRPr="00D2408C" w:rsidRDefault="00D078F2">
            <w:pPr>
              <w:rPr>
                <w:noProof/>
                <w:sz w:val="24"/>
                <w:szCs w:val="24"/>
              </w:rPr>
            </w:pPr>
          </w:p>
          <w:p w14:paraId="69DF8E17" w14:textId="77777777" w:rsidR="00D078F2" w:rsidRPr="00D2408C" w:rsidRDefault="00D078F2">
            <w:pPr>
              <w:rPr>
                <w:noProof/>
                <w:sz w:val="24"/>
                <w:szCs w:val="24"/>
              </w:rPr>
            </w:pPr>
          </w:p>
          <w:p w14:paraId="7A764BDB" w14:textId="77777777" w:rsidR="00D078F2" w:rsidRPr="00D2408C" w:rsidRDefault="00D078F2">
            <w:pPr>
              <w:rPr>
                <w:noProof/>
                <w:sz w:val="24"/>
                <w:szCs w:val="24"/>
              </w:rPr>
            </w:pPr>
          </w:p>
          <w:p w14:paraId="38B8DEBA" w14:textId="77777777" w:rsidR="00D078F2" w:rsidRPr="00D2408C" w:rsidRDefault="00D078F2">
            <w:pPr>
              <w:rPr>
                <w:noProof/>
                <w:sz w:val="24"/>
                <w:szCs w:val="24"/>
              </w:rPr>
            </w:pPr>
          </w:p>
          <w:p w14:paraId="29284AD0" w14:textId="77777777" w:rsidR="00D078F2" w:rsidRPr="00D2408C" w:rsidRDefault="00D078F2">
            <w:pPr>
              <w:rPr>
                <w:noProof/>
                <w:sz w:val="24"/>
                <w:szCs w:val="24"/>
              </w:rPr>
            </w:pPr>
          </w:p>
          <w:p w14:paraId="45B227E5" w14:textId="77777777" w:rsidR="00D078F2" w:rsidRPr="00D2408C" w:rsidRDefault="00D078F2">
            <w:pPr>
              <w:rPr>
                <w:noProof/>
                <w:sz w:val="24"/>
                <w:szCs w:val="24"/>
              </w:rPr>
            </w:pPr>
          </w:p>
          <w:p w14:paraId="54B9DD04" w14:textId="77777777" w:rsidR="00D078F2" w:rsidRPr="00D2408C" w:rsidRDefault="00D078F2">
            <w:pPr>
              <w:rPr>
                <w:noProof/>
                <w:sz w:val="24"/>
                <w:szCs w:val="24"/>
              </w:rPr>
            </w:pPr>
          </w:p>
          <w:p w14:paraId="1143A27B" w14:textId="77777777" w:rsidR="00D078F2" w:rsidRPr="00D2408C" w:rsidRDefault="00D078F2">
            <w:pPr>
              <w:rPr>
                <w:noProof/>
                <w:sz w:val="24"/>
                <w:szCs w:val="24"/>
              </w:rPr>
            </w:pPr>
          </w:p>
          <w:p w14:paraId="67110EE2" w14:textId="77777777" w:rsidR="00D078F2" w:rsidRPr="00D2408C" w:rsidRDefault="00D078F2">
            <w:pPr>
              <w:rPr>
                <w:noProof/>
                <w:sz w:val="24"/>
                <w:szCs w:val="24"/>
              </w:rPr>
            </w:pPr>
          </w:p>
          <w:p w14:paraId="6323E4A8" w14:textId="77777777" w:rsidR="00D078F2" w:rsidRPr="00D2408C" w:rsidRDefault="00D078F2">
            <w:pPr>
              <w:rPr>
                <w:noProof/>
                <w:sz w:val="24"/>
                <w:szCs w:val="24"/>
              </w:rPr>
            </w:pPr>
          </w:p>
          <w:p w14:paraId="11F6B112" w14:textId="77777777" w:rsidR="00D078F2" w:rsidRPr="00D2408C" w:rsidRDefault="00D078F2">
            <w:pPr>
              <w:rPr>
                <w:noProof/>
                <w:sz w:val="24"/>
                <w:szCs w:val="24"/>
              </w:rPr>
            </w:pPr>
          </w:p>
          <w:p w14:paraId="05665844" w14:textId="77777777" w:rsidR="00D078F2" w:rsidRPr="00D2408C" w:rsidRDefault="00D078F2">
            <w:pPr>
              <w:rPr>
                <w:noProof/>
                <w:sz w:val="24"/>
                <w:szCs w:val="24"/>
              </w:rPr>
            </w:pPr>
          </w:p>
          <w:p w14:paraId="1985A58B" w14:textId="0BCDA87B" w:rsidR="00E8450C" w:rsidRPr="00F261DB" w:rsidRDefault="00E8450C">
            <w:pPr>
              <w:rPr>
                <w:noProof/>
                <w:sz w:val="24"/>
                <w:szCs w:val="24"/>
              </w:rPr>
            </w:pPr>
            <w:r w:rsidRPr="00D2408C">
              <w:rPr>
                <w:noProof/>
                <w:szCs w:val="24"/>
              </w:rPr>
              <w:t xml:space="preserve">A more detailed analysis is also needed regarding the demand for low-carbon alternatives including related price elasticities and substitutability. </w:t>
            </w:r>
          </w:p>
          <w:p w14:paraId="372C7706" w14:textId="77777777" w:rsidR="00E8450C" w:rsidRPr="00F261DB" w:rsidRDefault="00E8450C">
            <w:pPr>
              <w:rPr>
                <w:noProof/>
                <w:sz w:val="24"/>
                <w:szCs w:val="24"/>
              </w:rPr>
            </w:pPr>
          </w:p>
          <w:p w14:paraId="1BCF907B" w14:textId="77777777" w:rsidR="004E2FC1" w:rsidRPr="00F261DB" w:rsidRDefault="004E2FC1">
            <w:pPr>
              <w:rPr>
                <w:noProof/>
                <w:sz w:val="24"/>
                <w:szCs w:val="24"/>
              </w:rPr>
            </w:pPr>
          </w:p>
          <w:p w14:paraId="4D665A76" w14:textId="77777777" w:rsidR="004E2FC1" w:rsidRPr="00F261DB" w:rsidRDefault="004E2FC1">
            <w:pPr>
              <w:rPr>
                <w:noProof/>
                <w:sz w:val="24"/>
                <w:szCs w:val="24"/>
              </w:rPr>
            </w:pPr>
          </w:p>
          <w:p w14:paraId="1D5DF74E" w14:textId="77777777" w:rsidR="004E2FC1" w:rsidRPr="00F261DB" w:rsidRDefault="004E2FC1">
            <w:pPr>
              <w:rPr>
                <w:noProof/>
                <w:sz w:val="24"/>
                <w:szCs w:val="24"/>
              </w:rPr>
            </w:pPr>
          </w:p>
          <w:p w14:paraId="146B5F7A" w14:textId="77777777" w:rsidR="00403B9F" w:rsidRPr="00F261DB" w:rsidRDefault="00403B9F">
            <w:pPr>
              <w:rPr>
                <w:noProof/>
                <w:sz w:val="24"/>
                <w:szCs w:val="24"/>
              </w:rPr>
            </w:pPr>
          </w:p>
          <w:p w14:paraId="6EDE0CDE" w14:textId="77777777" w:rsidR="00403B9F" w:rsidRPr="00F261DB" w:rsidRDefault="00403B9F">
            <w:pPr>
              <w:rPr>
                <w:noProof/>
                <w:sz w:val="24"/>
                <w:szCs w:val="24"/>
              </w:rPr>
            </w:pPr>
          </w:p>
          <w:p w14:paraId="167415A1" w14:textId="77777777" w:rsidR="004E2FC1" w:rsidRPr="00F261DB" w:rsidRDefault="004E2FC1">
            <w:pPr>
              <w:rPr>
                <w:noProof/>
                <w:sz w:val="24"/>
                <w:szCs w:val="24"/>
              </w:rPr>
            </w:pPr>
          </w:p>
          <w:p w14:paraId="3FDEFD7E" w14:textId="77777777" w:rsidR="00E8450C" w:rsidRPr="00F261DB" w:rsidRDefault="00E8450C">
            <w:pPr>
              <w:rPr>
                <w:noProof/>
                <w:sz w:val="24"/>
                <w:szCs w:val="24"/>
              </w:rPr>
            </w:pPr>
            <w:r w:rsidRPr="00F261DB">
              <w:rPr>
                <w:noProof/>
                <w:szCs w:val="24"/>
              </w:rPr>
              <w:t xml:space="preserve">The problem driver related to permitting should be clarified regarding the specificities and differences compared with other sectors. </w:t>
            </w:r>
          </w:p>
          <w:p w14:paraId="68AF9C38" w14:textId="77777777" w:rsidR="00E8450C" w:rsidRPr="00F261DB" w:rsidRDefault="00E8450C">
            <w:pPr>
              <w:rPr>
                <w:noProof/>
                <w:sz w:val="24"/>
                <w:szCs w:val="24"/>
              </w:rPr>
            </w:pPr>
          </w:p>
          <w:p w14:paraId="659BEB6E" w14:textId="77777777" w:rsidR="00E8450C" w:rsidRPr="00F261DB" w:rsidRDefault="00E8450C">
            <w:pPr>
              <w:rPr>
                <w:noProof/>
                <w:sz w:val="24"/>
                <w:szCs w:val="24"/>
              </w:rPr>
            </w:pPr>
            <w:r w:rsidRPr="00F261DB">
              <w:rPr>
                <w:noProof/>
                <w:szCs w:val="24"/>
              </w:rPr>
              <w:t>The analysis of drivers related to foreign investments and difficulty to de-risk investments should be deepened and go beyond the regulatory and public funding aspects.</w:t>
            </w:r>
          </w:p>
          <w:p w14:paraId="3408FB31" w14:textId="77777777" w:rsidR="00D41096" w:rsidRPr="00F261DB" w:rsidRDefault="00D41096">
            <w:pPr>
              <w:rPr>
                <w:noProof/>
                <w:sz w:val="24"/>
                <w:szCs w:val="24"/>
              </w:rPr>
            </w:pPr>
          </w:p>
        </w:tc>
        <w:tc>
          <w:tcPr>
            <w:tcW w:w="4621" w:type="dxa"/>
            <w:tcMar>
              <w:top w:w="113" w:type="dxa"/>
              <w:left w:w="113" w:type="dxa"/>
              <w:bottom w:w="113" w:type="dxa"/>
              <w:right w:w="113" w:type="dxa"/>
            </w:tcMar>
          </w:tcPr>
          <w:p w14:paraId="4D344F3E" w14:textId="567FFC80" w:rsidR="003D0094" w:rsidRPr="00F261DB" w:rsidRDefault="47DB4B24" w:rsidP="1B3ADE7E">
            <w:pPr>
              <w:rPr>
                <w:noProof/>
                <w:sz w:val="24"/>
              </w:rPr>
            </w:pPr>
            <w:r w:rsidRPr="00F261DB">
              <w:rPr>
                <w:noProof/>
                <w:szCs w:val="24"/>
              </w:rPr>
              <w:t>The correlation between the problems identified and their corresponding drivers have been modified to better reflect their connection to</w:t>
            </w:r>
            <w:r w:rsidR="1E89116B" w:rsidRPr="00F261DB">
              <w:rPr>
                <w:noProof/>
                <w:szCs w:val="24"/>
              </w:rPr>
              <w:t xml:space="preserve"> the limited business case for EU industry</w:t>
            </w:r>
            <w:r w:rsidR="1DFE0973" w:rsidRPr="00F261DB">
              <w:rPr>
                <w:noProof/>
                <w:szCs w:val="24"/>
              </w:rPr>
              <w:t xml:space="preserve">. </w:t>
            </w:r>
            <w:r w:rsidR="7FFE7C98" w:rsidRPr="00F261DB">
              <w:rPr>
                <w:noProof/>
                <w:szCs w:val="24"/>
              </w:rPr>
              <w:t>Notably, how resilience plays a role in the competitiveness of European companies</w:t>
            </w:r>
            <w:r w:rsidR="1579958A" w:rsidRPr="00F261DB">
              <w:rPr>
                <w:noProof/>
                <w:szCs w:val="24"/>
              </w:rPr>
              <w:t xml:space="preserve">, with the introduction of a new </w:t>
            </w:r>
            <w:r w:rsidR="00D733D2" w:rsidRPr="00F261DB">
              <w:rPr>
                <w:noProof/>
                <w:szCs w:val="24"/>
              </w:rPr>
              <w:t>S</w:t>
            </w:r>
            <w:r w:rsidR="1579958A" w:rsidRPr="00F261DB">
              <w:rPr>
                <w:noProof/>
                <w:szCs w:val="24"/>
              </w:rPr>
              <w:t>ub-problem</w:t>
            </w:r>
            <w:r w:rsidR="0514476D" w:rsidRPr="00F261DB">
              <w:rPr>
                <w:noProof/>
                <w:szCs w:val="24"/>
              </w:rPr>
              <w:t xml:space="preserve"> </w:t>
            </w:r>
            <w:r w:rsidR="00D733D2" w:rsidRPr="00F261DB">
              <w:rPr>
                <w:noProof/>
                <w:szCs w:val="24"/>
              </w:rPr>
              <w:t xml:space="preserve">2 about ‘Supply chain vulnerabilities in strategic </w:t>
            </w:r>
            <w:r w:rsidR="00BB6353" w:rsidRPr="00F261DB">
              <w:rPr>
                <w:noProof/>
                <w:szCs w:val="24"/>
              </w:rPr>
              <w:t>sectors</w:t>
            </w:r>
            <w:r w:rsidR="00D733D2" w:rsidRPr="00F261DB">
              <w:rPr>
                <w:noProof/>
                <w:szCs w:val="24"/>
              </w:rPr>
              <w:t xml:space="preserve"> </w:t>
            </w:r>
            <w:r w:rsidR="00281757" w:rsidRPr="00F261DB">
              <w:rPr>
                <w:noProof/>
                <w:szCs w:val="24"/>
              </w:rPr>
              <w:t xml:space="preserve">and </w:t>
            </w:r>
            <w:r w:rsidR="00A10582" w:rsidRPr="00F261DB">
              <w:rPr>
                <w:noProof/>
                <w:szCs w:val="24"/>
              </w:rPr>
              <w:t xml:space="preserve">the related causes explained in </w:t>
            </w:r>
            <w:r w:rsidR="00A10582" w:rsidRPr="00F261DB">
              <w:rPr>
                <w:noProof/>
              </w:rPr>
              <w:t>Driver</w:t>
            </w:r>
            <w:r w:rsidR="00927E48" w:rsidRPr="00F261DB">
              <w:rPr>
                <w:noProof/>
              </w:rPr>
              <w:t>s</w:t>
            </w:r>
            <w:r w:rsidR="00A10582" w:rsidRPr="00F261DB">
              <w:rPr>
                <w:noProof/>
                <w:szCs w:val="24"/>
              </w:rPr>
              <w:t xml:space="preserve"> 3 and 4</w:t>
            </w:r>
            <w:r w:rsidR="006E4CFF" w:rsidRPr="00F261DB">
              <w:rPr>
                <w:noProof/>
                <w:szCs w:val="24"/>
              </w:rPr>
              <w:t>.</w:t>
            </w:r>
          </w:p>
          <w:p w14:paraId="169E625A" w14:textId="77777777" w:rsidR="003D0094" w:rsidRPr="00F261DB" w:rsidRDefault="003D0094" w:rsidP="1B3ADE7E">
            <w:pPr>
              <w:rPr>
                <w:noProof/>
                <w:sz w:val="24"/>
              </w:rPr>
            </w:pPr>
          </w:p>
          <w:p w14:paraId="05195A03" w14:textId="03B9479E" w:rsidR="002E62BA" w:rsidRPr="00F261DB" w:rsidRDefault="006E4CFF" w:rsidP="1B3ADE7E">
            <w:pPr>
              <w:rPr>
                <w:noProof/>
                <w:sz w:val="24"/>
                <w:szCs w:val="24"/>
              </w:rPr>
            </w:pPr>
            <w:r w:rsidRPr="00F261DB">
              <w:rPr>
                <w:noProof/>
                <w:szCs w:val="24"/>
              </w:rPr>
              <w:t>Regarding the availability of industrial decarbonisation technologies</w:t>
            </w:r>
            <w:r w:rsidR="00F2400C" w:rsidRPr="00F261DB">
              <w:rPr>
                <w:noProof/>
                <w:szCs w:val="24"/>
              </w:rPr>
              <w:t xml:space="preserve"> and demand for low-carbon alternatives</w:t>
            </w:r>
            <w:r w:rsidRPr="00F261DB">
              <w:rPr>
                <w:noProof/>
                <w:szCs w:val="24"/>
              </w:rPr>
              <w:t xml:space="preserve">, </w:t>
            </w:r>
            <w:r w:rsidR="00C2200B" w:rsidRPr="00F261DB">
              <w:rPr>
                <w:noProof/>
                <w:szCs w:val="24"/>
              </w:rPr>
              <w:t xml:space="preserve">the analysis has been deepened by </w:t>
            </w:r>
            <w:r w:rsidR="002E62BA" w:rsidRPr="00F261DB">
              <w:rPr>
                <w:noProof/>
                <w:szCs w:val="24"/>
              </w:rPr>
              <w:t xml:space="preserve">showing the </w:t>
            </w:r>
            <w:r w:rsidR="00226DF6" w:rsidRPr="00F261DB">
              <w:rPr>
                <w:noProof/>
                <w:szCs w:val="24"/>
              </w:rPr>
              <w:t>heterogeneity o</w:t>
            </w:r>
            <w:r w:rsidR="00DB50F3" w:rsidRPr="00F261DB">
              <w:rPr>
                <w:noProof/>
                <w:szCs w:val="24"/>
              </w:rPr>
              <w:t>f these</w:t>
            </w:r>
            <w:r w:rsidR="003E29D6" w:rsidRPr="00F261DB">
              <w:rPr>
                <w:noProof/>
                <w:szCs w:val="24"/>
              </w:rPr>
              <w:t xml:space="preserve"> </w:t>
            </w:r>
            <w:r w:rsidR="002E62BA" w:rsidRPr="00F261DB">
              <w:rPr>
                <w:rFonts w:eastAsiaTheme="minorEastAsia"/>
                <w:noProof/>
                <w:szCs w:val="24"/>
              </w:rPr>
              <w:t xml:space="preserve">technologies </w:t>
            </w:r>
            <w:r w:rsidR="00DB50F3" w:rsidRPr="00F261DB">
              <w:rPr>
                <w:noProof/>
                <w:szCs w:val="24"/>
              </w:rPr>
              <w:t xml:space="preserve">and their </w:t>
            </w:r>
            <w:r w:rsidR="00F2400C" w:rsidRPr="00F261DB">
              <w:rPr>
                <w:noProof/>
                <w:szCs w:val="24"/>
              </w:rPr>
              <w:t xml:space="preserve">economic </w:t>
            </w:r>
            <w:r w:rsidR="00DB50F3" w:rsidRPr="00F261DB">
              <w:rPr>
                <w:noProof/>
                <w:szCs w:val="24"/>
              </w:rPr>
              <w:t xml:space="preserve">viability </w:t>
            </w:r>
            <w:r w:rsidR="002E62BA" w:rsidRPr="00F261DB">
              <w:rPr>
                <w:rFonts w:eastAsiaTheme="minorEastAsia"/>
                <w:noProof/>
                <w:szCs w:val="24"/>
              </w:rPr>
              <w:t xml:space="preserve">depending </w:t>
            </w:r>
            <w:r w:rsidR="00226DF6" w:rsidRPr="00F261DB">
              <w:rPr>
                <w:noProof/>
                <w:szCs w:val="24"/>
              </w:rPr>
              <w:t>o</w:t>
            </w:r>
            <w:r w:rsidR="00DB50F3" w:rsidRPr="00F261DB">
              <w:rPr>
                <w:noProof/>
                <w:szCs w:val="24"/>
              </w:rPr>
              <w:t>n</w:t>
            </w:r>
            <w:r w:rsidR="00226DF6" w:rsidRPr="00F261DB">
              <w:rPr>
                <w:rFonts w:eastAsiaTheme="minorEastAsia"/>
                <w:noProof/>
                <w:szCs w:val="24"/>
              </w:rPr>
              <w:t xml:space="preserve"> factors such</w:t>
            </w:r>
            <w:r w:rsidR="002E62BA" w:rsidRPr="00F261DB">
              <w:rPr>
                <w:rFonts w:eastAsiaTheme="minorEastAsia"/>
                <w:noProof/>
                <w:szCs w:val="24"/>
              </w:rPr>
              <w:t xml:space="preserve"> as the technology readiness level, the energy and raw materials needs, the CO</w:t>
            </w:r>
            <w:r w:rsidR="002E62BA" w:rsidRPr="007C2D0D">
              <w:rPr>
                <w:rFonts w:eastAsiaTheme="minorEastAsia"/>
                <w:noProof/>
                <w:szCs w:val="24"/>
                <w:vertAlign w:val="subscript"/>
              </w:rPr>
              <w:t>2</w:t>
            </w:r>
            <w:r w:rsidR="002E62BA" w:rsidRPr="00F261DB">
              <w:rPr>
                <w:rFonts w:eastAsiaTheme="minorEastAsia"/>
                <w:noProof/>
                <w:szCs w:val="24"/>
              </w:rPr>
              <w:t xml:space="preserve"> abatemen</w:t>
            </w:r>
            <w:r w:rsidR="00226DF6" w:rsidRPr="00F261DB">
              <w:rPr>
                <w:rFonts w:eastAsiaTheme="minorEastAsia"/>
                <w:noProof/>
                <w:szCs w:val="24"/>
              </w:rPr>
              <w:t>t</w:t>
            </w:r>
            <w:r w:rsidR="002E62BA" w:rsidRPr="00F261DB">
              <w:rPr>
                <w:rFonts w:eastAsiaTheme="minorEastAsia"/>
                <w:noProof/>
                <w:szCs w:val="24"/>
              </w:rPr>
              <w:t xml:space="preserve"> costs. </w:t>
            </w:r>
            <w:r w:rsidR="00226DF6" w:rsidRPr="00F261DB">
              <w:rPr>
                <w:rFonts w:eastAsiaTheme="minorEastAsia"/>
                <w:noProof/>
                <w:szCs w:val="24"/>
              </w:rPr>
              <w:t xml:space="preserve">This is illustrated under Sub-problem </w:t>
            </w:r>
            <w:r w:rsidR="006E7BCD" w:rsidRPr="00F261DB">
              <w:rPr>
                <w:rFonts w:eastAsiaTheme="minorEastAsia"/>
                <w:noProof/>
                <w:szCs w:val="24"/>
              </w:rPr>
              <w:t xml:space="preserve">3, </w:t>
            </w:r>
            <w:r w:rsidR="0090266A" w:rsidRPr="00F261DB">
              <w:rPr>
                <w:rFonts w:eastAsiaTheme="minorEastAsia"/>
                <w:noProof/>
                <w:szCs w:val="24"/>
              </w:rPr>
              <w:t xml:space="preserve">as well as further </w:t>
            </w:r>
            <w:r w:rsidR="00DB50F3" w:rsidRPr="00F261DB">
              <w:rPr>
                <w:rFonts w:eastAsiaTheme="minorEastAsia"/>
                <w:noProof/>
                <w:szCs w:val="24"/>
              </w:rPr>
              <w:t xml:space="preserve">in </w:t>
            </w:r>
            <w:r w:rsidR="0090266A" w:rsidRPr="00F261DB">
              <w:rPr>
                <w:rFonts w:eastAsiaTheme="minorEastAsia"/>
                <w:noProof/>
                <w:szCs w:val="24"/>
              </w:rPr>
              <w:t xml:space="preserve">details in Annex </w:t>
            </w:r>
            <w:r w:rsidR="00AD6EE5">
              <w:rPr>
                <w:rFonts w:eastAsiaTheme="minorEastAsia"/>
                <w:noProof/>
                <w:szCs w:val="24"/>
              </w:rPr>
              <w:t>7</w:t>
            </w:r>
            <w:r w:rsidR="0090266A" w:rsidRPr="00F261DB">
              <w:rPr>
                <w:rFonts w:eastAsiaTheme="minorEastAsia"/>
                <w:noProof/>
                <w:szCs w:val="24"/>
              </w:rPr>
              <w:t xml:space="preserve">, where an overview of the cost evolution of </w:t>
            </w:r>
            <w:r w:rsidR="00DB50F3" w:rsidRPr="00F261DB">
              <w:rPr>
                <w:rFonts w:eastAsiaTheme="minorEastAsia"/>
                <w:noProof/>
                <w:szCs w:val="24"/>
              </w:rPr>
              <w:t xml:space="preserve">the </w:t>
            </w:r>
            <w:r w:rsidR="0090266A" w:rsidRPr="00F261DB">
              <w:rPr>
                <w:rFonts w:eastAsiaTheme="minorEastAsia"/>
                <w:noProof/>
                <w:szCs w:val="24"/>
              </w:rPr>
              <w:t>main industrial decarbonisation pathways</w:t>
            </w:r>
            <w:r w:rsidR="002A2B19" w:rsidRPr="00F261DB">
              <w:rPr>
                <w:rFonts w:eastAsiaTheme="minorEastAsia"/>
                <w:noProof/>
                <w:szCs w:val="24"/>
              </w:rPr>
              <w:t xml:space="preserve">, as well as total investments needs, </w:t>
            </w:r>
            <w:r w:rsidR="00DB50F3" w:rsidRPr="00F261DB">
              <w:rPr>
                <w:rFonts w:eastAsiaTheme="minorEastAsia"/>
                <w:noProof/>
                <w:szCs w:val="24"/>
              </w:rPr>
              <w:t xml:space="preserve">for </w:t>
            </w:r>
            <w:r w:rsidR="002A2B19" w:rsidRPr="00F261DB">
              <w:rPr>
                <w:rFonts w:eastAsiaTheme="minorEastAsia"/>
                <w:noProof/>
                <w:szCs w:val="24"/>
              </w:rPr>
              <w:t xml:space="preserve">aluminium, cement, chemicals, steel and pulp and paper </w:t>
            </w:r>
            <w:r w:rsidR="0090266A" w:rsidRPr="00F261DB">
              <w:rPr>
                <w:rFonts w:eastAsiaTheme="minorEastAsia"/>
                <w:noProof/>
                <w:szCs w:val="24"/>
              </w:rPr>
              <w:t>is provided.</w:t>
            </w:r>
          </w:p>
          <w:p w14:paraId="35266B8F" w14:textId="138300A2" w:rsidR="00E8450C" w:rsidRPr="00F261DB" w:rsidRDefault="00E8450C" w:rsidP="1B3ADE7E">
            <w:pPr>
              <w:rPr>
                <w:noProof/>
                <w:sz w:val="24"/>
                <w:szCs w:val="24"/>
              </w:rPr>
            </w:pPr>
          </w:p>
          <w:p w14:paraId="65EDC5BD" w14:textId="5EF222CE" w:rsidR="00464601" w:rsidRDefault="00464601" w:rsidP="1B3ADE7E">
            <w:pPr>
              <w:rPr>
                <w:noProof/>
              </w:rPr>
            </w:pPr>
          </w:p>
          <w:p w14:paraId="65740E73" w14:textId="103C8FAF" w:rsidR="00464601" w:rsidRDefault="00464601" w:rsidP="1B3ADE7E">
            <w:pPr>
              <w:rPr>
                <w:noProof/>
              </w:rPr>
            </w:pPr>
          </w:p>
          <w:p w14:paraId="3BBBB6E5" w14:textId="173ABBD4" w:rsidR="00464601" w:rsidRDefault="00464601" w:rsidP="1B3ADE7E">
            <w:pPr>
              <w:rPr>
                <w:noProof/>
              </w:rPr>
            </w:pPr>
          </w:p>
          <w:p w14:paraId="3F3A97A3" w14:textId="7EF674C4" w:rsidR="00464601" w:rsidRDefault="00464601" w:rsidP="1B3ADE7E">
            <w:pPr>
              <w:rPr>
                <w:noProof/>
              </w:rPr>
            </w:pPr>
          </w:p>
          <w:p w14:paraId="4CD1825A" w14:textId="7616D467" w:rsidR="00464601" w:rsidRDefault="00464601" w:rsidP="1B3ADE7E">
            <w:pPr>
              <w:rPr>
                <w:noProof/>
              </w:rPr>
            </w:pPr>
          </w:p>
          <w:p w14:paraId="2B23BA7D" w14:textId="7B7E04AD" w:rsidR="00464601" w:rsidRDefault="00464601" w:rsidP="1B3ADE7E">
            <w:pPr>
              <w:rPr>
                <w:noProof/>
              </w:rPr>
            </w:pPr>
          </w:p>
          <w:p w14:paraId="599DA30D" w14:textId="08FC3F1C" w:rsidR="00464601" w:rsidRDefault="00464601" w:rsidP="1B3ADE7E">
            <w:pPr>
              <w:rPr>
                <w:noProof/>
              </w:rPr>
            </w:pPr>
          </w:p>
          <w:p w14:paraId="7FAFA33B" w14:textId="28730FF1" w:rsidR="00871513" w:rsidRPr="00F261DB" w:rsidRDefault="004C640A" w:rsidP="1B3ADE7E">
            <w:pPr>
              <w:rPr>
                <w:noProof/>
                <w:sz w:val="24"/>
                <w:szCs w:val="24"/>
              </w:rPr>
            </w:pPr>
            <w:r w:rsidRPr="00F261DB">
              <w:rPr>
                <w:noProof/>
                <w:szCs w:val="24"/>
              </w:rPr>
              <w:t>Regarding</w:t>
            </w:r>
            <w:r w:rsidR="003B088F" w:rsidRPr="00F261DB">
              <w:rPr>
                <w:noProof/>
                <w:szCs w:val="24"/>
              </w:rPr>
              <w:t xml:space="preserve"> the </w:t>
            </w:r>
            <w:r w:rsidR="00662442" w:rsidRPr="00F261DB">
              <w:rPr>
                <w:noProof/>
                <w:szCs w:val="24"/>
              </w:rPr>
              <w:t>demand for low-carbon alternatives</w:t>
            </w:r>
            <w:r w:rsidR="00061018" w:rsidRPr="00F261DB">
              <w:rPr>
                <w:noProof/>
                <w:szCs w:val="24"/>
              </w:rPr>
              <w:t xml:space="preserve">, </w:t>
            </w:r>
            <w:r w:rsidR="00061018">
              <w:rPr>
                <w:noProof/>
                <w:szCs w:val="24"/>
              </w:rPr>
              <w:t xml:space="preserve">Annex </w:t>
            </w:r>
            <w:r w:rsidR="009C105B">
              <w:rPr>
                <w:noProof/>
                <w:szCs w:val="24"/>
              </w:rPr>
              <w:t>10</w:t>
            </w:r>
            <w:r w:rsidR="00021008" w:rsidRPr="00F261DB">
              <w:rPr>
                <w:noProof/>
                <w:szCs w:val="24"/>
              </w:rPr>
              <w:t xml:space="preserve"> </w:t>
            </w:r>
            <w:r w:rsidR="00427E7E">
              <w:rPr>
                <w:noProof/>
                <w:szCs w:val="24"/>
              </w:rPr>
              <w:t>(Sub-problem 1</w:t>
            </w:r>
            <w:r w:rsidR="00CA68D5">
              <w:rPr>
                <w:noProof/>
                <w:szCs w:val="24"/>
              </w:rPr>
              <w:t>, Driver 2)</w:t>
            </w:r>
            <w:r w:rsidR="00021008" w:rsidRPr="00F261DB">
              <w:rPr>
                <w:noProof/>
                <w:szCs w:val="24"/>
              </w:rPr>
              <w:t xml:space="preserve"> now </w:t>
            </w:r>
            <w:r w:rsidR="00F65DA8" w:rsidRPr="00F261DB">
              <w:rPr>
                <w:noProof/>
                <w:szCs w:val="24"/>
              </w:rPr>
              <w:t xml:space="preserve">contains </w:t>
            </w:r>
            <w:r w:rsidR="00021008" w:rsidRPr="00F261DB">
              <w:rPr>
                <w:noProof/>
                <w:szCs w:val="24"/>
              </w:rPr>
              <w:t xml:space="preserve">an overview of existing </w:t>
            </w:r>
            <w:r w:rsidR="008557BE" w:rsidRPr="00F261DB">
              <w:rPr>
                <w:noProof/>
                <w:szCs w:val="24"/>
              </w:rPr>
              <w:t xml:space="preserve">green public procurement practices to illustrate </w:t>
            </w:r>
            <w:r w:rsidR="001607EA" w:rsidRPr="00F261DB">
              <w:rPr>
                <w:noProof/>
                <w:szCs w:val="24"/>
              </w:rPr>
              <w:t xml:space="preserve">similar </w:t>
            </w:r>
            <w:r w:rsidR="00F50F52" w:rsidRPr="00F261DB">
              <w:rPr>
                <w:noProof/>
                <w:szCs w:val="24"/>
              </w:rPr>
              <w:t>initiatives</w:t>
            </w:r>
            <w:r w:rsidR="004E2FC1" w:rsidRPr="00F261DB">
              <w:rPr>
                <w:noProof/>
                <w:szCs w:val="24"/>
              </w:rPr>
              <w:t xml:space="preserve">. </w:t>
            </w:r>
            <w:r w:rsidR="00F50F52" w:rsidRPr="00F261DB">
              <w:rPr>
                <w:noProof/>
                <w:szCs w:val="24"/>
              </w:rPr>
              <w:t>N</w:t>
            </w:r>
            <w:r w:rsidR="004C796D" w:rsidRPr="00F261DB">
              <w:rPr>
                <w:noProof/>
                <w:szCs w:val="24"/>
              </w:rPr>
              <w:t>o information regarding the price elasticity of demand for the relevant low</w:t>
            </w:r>
            <w:r w:rsidR="00F42FCE">
              <w:rPr>
                <w:noProof/>
                <w:szCs w:val="24"/>
              </w:rPr>
              <w:t>-</w:t>
            </w:r>
            <w:r w:rsidR="004C796D" w:rsidRPr="00F261DB">
              <w:rPr>
                <w:noProof/>
                <w:szCs w:val="24"/>
              </w:rPr>
              <w:t xml:space="preserve">carbon products could be determined. </w:t>
            </w:r>
            <w:r w:rsidR="001C0A5D" w:rsidRPr="00F261DB">
              <w:rPr>
                <w:noProof/>
                <w:szCs w:val="24"/>
              </w:rPr>
              <w:t>Therefore,</w:t>
            </w:r>
            <w:r w:rsidR="004C796D" w:rsidRPr="00F261DB">
              <w:rPr>
                <w:noProof/>
                <w:szCs w:val="24"/>
              </w:rPr>
              <w:t xml:space="preserve"> we have assumed full cost pass-on when analysing the impacts of the policy options</w:t>
            </w:r>
            <w:r w:rsidR="008234C0">
              <w:rPr>
                <w:noProof/>
                <w:szCs w:val="24"/>
              </w:rPr>
              <w:t xml:space="preserve"> to final consumers</w:t>
            </w:r>
            <w:r w:rsidR="00403B9F" w:rsidRPr="00F261DB">
              <w:rPr>
                <w:noProof/>
                <w:szCs w:val="24"/>
              </w:rPr>
              <w:t>.</w:t>
            </w:r>
            <w:r w:rsidR="008234C0">
              <w:rPr>
                <w:noProof/>
                <w:szCs w:val="24"/>
              </w:rPr>
              <w:t xml:space="preserve"> </w:t>
            </w:r>
          </w:p>
          <w:p w14:paraId="45B2A948" w14:textId="77777777" w:rsidR="00871513" w:rsidRPr="00F261DB" w:rsidRDefault="00871513" w:rsidP="1B3ADE7E">
            <w:pPr>
              <w:rPr>
                <w:noProof/>
                <w:sz w:val="24"/>
                <w:szCs w:val="24"/>
              </w:rPr>
            </w:pPr>
          </w:p>
          <w:p w14:paraId="2C946A47" w14:textId="77777777" w:rsidR="00871513" w:rsidRPr="00F261DB" w:rsidRDefault="00871513" w:rsidP="1B3ADE7E">
            <w:pPr>
              <w:rPr>
                <w:noProof/>
                <w:sz w:val="24"/>
                <w:szCs w:val="24"/>
              </w:rPr>
            </w:pPr>
          </w:p>
          <w:p w14:paraId="16C1489E" w14:textId="7A3D229A" w:rsidR="00E8450C" w:rsidRPr="00F261DB" w:rsidRDefault="7E596D28" w:rsidP="1B3ADE7E">
            <w:pPr>
              <w:rPr>
                <w:noProof/>
                <w:sz w:val="24"/>
                <w:szCs w:val="24"/>
              </w:rPr>
            </w:pPr>
            <w:r w:rsidRPr="00F261DB">
              <w:rPr>
                <w:noProof/>
                <w:szCs w:val="24"/>
              </w:rPr>
              <w:t>The analysis for the problem drivers ha</w:t>
            </w:r>
            <w:r w:rsidR="003C72E9" w:rsidRPr="00F261DB">
              <w:rPr>
                <w:noProof/>
                <w:szCs w:val="24"/>
              </w:rPr>
              <w:t>s</w:t>
            </w:r>
            <w:r w:rsidRPr="00F261DB">
              <w:rPr>
                <w:noProof/>
                <w:szCs w:val="24"/>
              </w:rPr>
              <w:t xml:space="preserve"> been revised </w:t>
            </w:r>
            <w:r w:rsidR="67DEC7CE" w:rsidRPr="00F261DB">
              <w:rPr>
                <w:noProof/>
                <w:szCs w:val="24"/>
              </w:rPr>
              <w:t xml:space="preserve">to reflect the </w:t>
            </w:r>
            <w:r w:rsidR="00E8152B" w:rsidRPr="00F261DB">
              <w:rPr>
                <w:noProof/>
                <w:szCs w:val="24"/>
              </w:rPr>
              <w:t>B</w:t>
            </w:r>
            <w:r w:rsidR="67DEC7CE" w:rsidRPr="00F261DB">
              <w:rPr>
                <w:noProof/>
                <w:szCs w:val="24"/>
              </w:rPr>
              <w:t>oard’s comments as follows:</w:t>
            </w:r>
          </w:p>
          <w:p w14:paraId="20DD4B31" w14:textId="661B9676" w:rsidR="00E8450C" w:rsidRPr="00F261DB" w:rsidRDefault="00D00D3C" w:rsidP="008A0BFF">
            <w:pPr>
              <w:pStyle w:val="ListParagraph"/>
              <w:numPr>
                <w:ilvl w:val="0"/>
                <w:numId w:val="65"/>
              </w:numPr>
              <w:rPr>
                <w:noProof/>
                <w:sz w:val="24"/>
                <w:szCs w:val="24"/>
              </w:rPr>
            </w:pPr>
            <w:r w:rsidRPr="00F261DB">
              <w:rPr>
                <w:noProof/>
                <w:szCs w:val="24"/>
              </w:rPr>
              <w:t xml:space="preserve">Driver </w:t>
            </w:r>
            <w:r w:rsidR="001872C1" w:rsidRPr="00F261DB">
              <w:rPr>
                <w:noProof/>
                <w:szCs w:val="24"/>
              </w:rPr>
              <w:t>4</w:t>
            </w:r>
            <w:r w:rsidR="00BE573F" w:rsidRPr="00F261DB">
              <w:rPr>
                <w:noProof/>
                <w:szCs w:val="24"/>
              </w:rPr>
              <w:t xml:space="preserve"> on</w:t>
            </w:r>
            <w:r w:rsidR="001872C1" w:rsidRPr="00F261DB">
              <w:rPr>
                <w:noProof/>
                <w:szCs w:val="24"/>
              </w:rPr>
              <w:t xml:space="preserve"> </w:t>
            </w:r>
            <w:r w:rsidR="1916FABA" w:rsidRPr="00F261DB">
              <w:rPr>
                <w:noProof/>
                <w:szCs w:val="24"/>
              </w:rPr>
              <w:t>foreign investment</w:t>
            </w:r>
            <w:r w:rsidR="00252C0E" w:rsidRPr="00F261DB">
              <w:rPr>
                <w:noProof/>
                <w:szCs w:val="24"/>
              </w:rPr>
              <w:t>s</w:t>
            </w:r>
            <w:r w:rsidR="1916FABA" w:rsidRPr="00F261DB">
              <w:rPr>
                <w:noProof/>
                <w:szCs w:val="24"/>
              </w:rPr>
              <w:t xml:space="preserve"> </w:t>
            </w:r>
            <w:r w:rsidR="001872C1" w:rsidRPr="00F261DB">
              <w:rPr>
                <w:noProof/>
                <w:szCs w:val="24"/>
              </w:rPr>
              <w:t xml:space="preserve">has been </w:t>
            </w:r>
            <w:r w:rsidR="00252C0E" w:rsidRPr="00F261DB">
              <w:rPr>
                <w:noProof/>
                <w:szCs w:val="24"/>
              </w:rPr>
              <w:t>improved</w:t>
            </w:r>
            <w:r w:rsidR="001872C1" w:rsidRPr="00F261DB">
              <w:rPr>
                <w:noProof/>
                <w:szCs w:val="24"/>
              </w:rPr>
              <w:t xml:space="preserve"> by </w:t>
            </w:r>
            <w:r w:rsidR="1916FABA" w:rsidRPr="00F261DB">
              <w:rPr>
                <w:noProof/>
                <w:szCs w:val="24"/>
              </w:rPr>
              <w:t>bring</w:t>
            </w:r>
            <w:r w:rsidR="001872C1" w:rsidRPr="00F261DB">
              <w:rPr>
                <w:noProof/>
                <w:szCs w:val="24"/>
              </w:rPr>
              <w:t>ing</w:t>
            </w:r>
            <w:r w:rsidR="1916FABA" w:rsidRPr="00F261DB">
              <w:rPr>
                <w:noProof/>
                <w:szCs w:val="24"/>
              </w:rPr>
              <w:t xml:space="preserve"> in concrete evidence from current practices</w:t>
            </w:r>
            <w:r w:rsidR="00422F4F" w:rsidRPr="00F261DB">
              <w:rPr>
                <w:noProof/>
                <w:szCs w:val="24"/>
              </w:rPr>
              <w:t xml:space="preserve"> in </w:t>
            </w:r>
            <w:r w:rsidR="001872C1" w:rsidRPr="00F261DB">
              <w:rPr>
                <w:noProof/>
                <w:szCs w:val="24"/>
              </w:rPr>
              <w:t xml:space="preserve">Europe vis-à-vis other regions in the </w:t>
            </w:r>
            <w:r w:rsidR="00AC1BF3" w:rsidRPr="00F261DB">
              <w:rPr>
                <w:noProof/>
                <w:szCs w:val="24"/>
              </w:rPr>
              <w:t>world,</w:t>
            </w:r>
            <w:r w:rsidR="1916FABA" w:rsidRPr="00F261DB">
              <w:rPr>
                <w:noProof/>
                <w:szCs w:val="24"/>
              </w:rPr>
              <w:t xml:space="preserve"> and data that reflects </w:t>
            </w:r>
            <w:r w:rsidR="131C7C3D" w:rsidRPr="00F261DB">
              <w:rPr>
                <w:noProof/>
                <w:szCs w:val="24"/>
              </w:rPr>
              <w:t>the technological knowledge gap for batteries</w:t>
            </w:r>
            <w:r w:rsidR="324B0D79" w:rsidRPr="00F261DB">
              <w:rPr>
                <w:noProof/>
                <w:szCs w:val="24"/>
              </w:rPr>
              <w:t>, and the impacts this has on wider socioeconomic benefits</w:t>
            </w:r>
            <w:r w:rsidR="131C7C3D" w:rsidRPr="00F261DB">
              <w:rPr>
                <w:noProof/>
                <w:szCs w:val="24"/>
              </w:rPr>
              <w:t xml:space="preserve">. </w:t>
            </w:r>
            <w:r w:rsidR="00066981" w:rsidRPr="00F261DB">
              <w:rPr>
                <w:noProof/>
                <w:szCs w:val="24"/>
              </w:rPr>
              <w:t xml:space="preserve">Further information has been added in the </w:t>
            </w:r>
            <w:r w:rsidR="00191D45" w:rsidRPr="00F261DB">
              <w:rPr>
                <w:noProof/>
                <w:szCs w:val="24"/>
              </w:rPr>
              <w:t>Annex 13.</w:t>
            </w:r>
          </w:p>
          <w:p w14:paraId="699C3BF1" w14:textId="3CBEF227" w:rsidR="00A20612" w:rsidRPr="00F261DB" w:rsidRDefault="00A20612" w:rsidP="008A0BFF">
            <w:pPr>
              <w:pStyle w:val="ListParagraph"/>
              <w:numPr>
                <w:ilvl w:val="0"/>
                <w:numId w:val="65"/>
              </w:numPr>
              <w:rPr>
                <w:noProof/>
                <w:sz w:val="24"/>
                <w:szCs w:val="24"/>
              </w:rPr>
            </w:pPr>
            <w:r w:rsidRPr="00F261DB">
              <w:rPr>
                <w:noProof/>
                <w:szCs w:val="24"/>
              </w:rPr>
              <w:lastRenderedPageBreak/>
              <w:t xml:space="preserve">Driver 5 linked to </w:t>
            </w:r>
            <w:r w:rsidR="00BE573F" w:rsidRPr="00F261DB">
              <w:rPr>
                <w:noProof/>
                <w:szCs w:val="24"/>
              </w:rPr>
              <w:t xml:space="preserve">permitting procedures has been improved </w:t>
            </w:r>
            <w:r w:rsidR="00C61D90" w:rsidRPr="00F261DB">
              <w:rPr>
                <w:noProof/>
                <w:szCs w:val="24"/>
              </w:rPr>
              <w:t xml:space="preserve">by clarifying the complexities of permitting </w:t>
            </w:r>
            <w:r w:rsidR="00AF1AA2" w:rsidRPr="00F261DB">
              <w:rPr>
                <w:noProof/>
                <w:szCs w:val="24"/>
              </w:rPr>
              <w:t xml:space="preserve">for industrial </w:t>
            </w:r>
            <w:r w:rsidR="00C90DC7" w:rsidRPr="00F261DB">
              <w:rPr>
                <w:noProof/>
                <w:szCs w:val="24"/>
              </w:rPr>
              <w:t xml:space="preserve">manufacturing vis-à-vis </w:t>
            </w:r>
            <w:r w:rsidR="00C61D90" w:rsidRPr="00F261DB">
              <w:rPr>
                <w:noProof/>
                <w:szCs w:val="24"/>
              </w:rPr>
              <w:t xml:space="preserve">other sectors, </w:t>
            </w:r>
            <w:r w:rsidR="00C90DC7" w:rsidRPr="00F261DB">
              <w:rPr>
                <w:noProof/>
                <w:szCs w:val="24"/>
              </w:rPr>
              <w:t xml:space="preserve">especially </w:t>
            </w:r>
            <w:r w:rsidR="00C61D90" w:rsidRPr="00F261DB">
              <w:rPr>
                <w:noProof/>
                <w:szCs w:val="24"/>
              </w:rPr>
              <w:t xml:space="preserve">with regards </w:t>
            </w:r>
            <w:r w:rsidR="00C90DC7" w:rsidRPr="00F261DB">
              <w:rPr>
                <w:noProof/>
                <w:szCs w:val="24"/>
              </w:rPr>
              <w:t xml:space="preserve">to </w:t>
            </w:r>
            <w:r w:rsidR="00C61D90" w:rsidRPr="00F261DB">
              <w:rPr>
                <w:noProof/>
                <w:szCs w:val="24"/>
              </w:rPr>
              <w:t>the</w:t>
            </w:r>
            <w:r w:rsidR="0045087E" w:rsidRPr="00F261DB">
              <w:rPr>
                <w:noProof/>
                <w:szCs w:val="24"/>
              </w:rPr>
              <w:t>ir</w:t>
            </w:r>
            <w:r w:rsidR="00C61D90" w:rsidRPr="00F261DB">
              <w:rPr>
                <w:noProof/>
                <w:szCs w:val="24"/>
              </w:rPr>
              <w:t xml:space="preserve"> </w:t>
            </w:r>
            <w:r w:rsidR="00C90DC7" w:rsidRPr="00F261DB">
              <w:rPr>
                <w:noProof/>
                <w:szCs w:val="24"/>
              </w:rPr>
              <w:t>environmen</w:t>
            </w:r>
            <w:r w:rsidR="00C90DC7" w:rsidRPr="00F261DB">
              <w:rPr>
                <w:noProof/>
              </w:rPr>
              <w:t>tal</w:t>
            </w:r>
            <w:r w:rsidR="00AF1AA2" w:rsidRPr="00F261DB">
              <w:rPr>
                <w:noProof/>
                <w:szCs w:val="24"/>
              </w:rPr>
              <w:t xml:space="preserve"> impacts</w:t>
            </w:r>
            <w:r w:rsidR="00C90DC7" w:rsidRPr="00F261DB">
              <w:rPr>
                <w:noProof/>
                <w:szCs w:val="24"/>
              </w:rPr>
              <w:t>.</w:t>
            </w:r>
          </w:p>
          <w:p w14:paraId="57996163" w14:textId="0D44F7B7" w:rsidR="00E8450C" w:rsidRPr="00F261DB" w:rsidRDefault="001872C1" w:rsidP="00257D37">
            <w:pPr>
              <w:pStyle w:val="ListParagraph"/>
              <w:numPr>
                <w:ilvl w:val="0"/>
                <w:numId w:val="65"/>
              </w:numPr>
              <w:rPr>
                <w:noProof/>
                <w:sz w:val="24"/>
                <w:szCs w:val="24"/>
              </w:rPr>
            </w:pPr>
            <w:r w:rsidRPr="00F261DB">
              <w:rPr>
                <w:noProof/>
                <w:szCs w:val="24"/>
              </w:rPr>
              <w:t>Driver</w:t>
            </w:r>
            <w:r w:rsidR="00A20612" w:rsidRPr="00F261DB">
              <w:rPr>
                <w:noProof/>
                <w:szCs w:val="24"/>
              </w:rPr>
              <w:t xml:space="preserve"> 6</w:t>
            </w:r>
            <w:r w:rsidR="131C7C3D" w:rsidRPr="00F261DB">
              <w:rPr>
                <w:noProof/>
                <w:szCs w:val="24"/>
              </w:rPr>
              <w:t xml:space="preserve"> linked to investments has been widened to reflect larger struggles beyond public funding, to highlight other bottlenecks for projects to invest and take final investment decisions, such as access to </w:t>
            </w:r>
            <w:r w:rsidR="037CB789" w:rsidRPr="00F261DB">
              <w:rPr>
                <w:noProof/>
                <w:szCs w:val="24"/>
              </w:rPr>
              <w:t xml:space="preserve">energy </w:t>
            </w:r>
            <w:r w:rsidR="00422F4F" w:rsidRPr="00F261DB">
              <w:rPr>
                <w:noProof/>
                <w:szCs w:val="24"/>
              </w:rPr>
              <w:t>infrastructure or other essential inputs</w:t>
            </w:r>
            <w:r w:rsidR="00927E48" w:rsidRPr="00F261DB">
              <w:rPr>
                <w:noProof/>
              </w:rPr>
              <w:t>, while taking account of other ongoing initiatives</w:t>
            </w:r>
          </w:p>
        </w:tc>
      </w:tr>
      <w:tr w:rsidR="00E8450C" w:rsidRPr="00F261DB" w14:paraId="64F19447" w14:textId="77777777" w:rsidTr="00B8051B">
        <w:tc>
          <w:tcPr>
            <w:tcW w:w="4621" w:type="dxa"/>
            <w:tcMar>
              <w:top w:w="113" w:type="dxa"/>
              <w:left w:w="113" w:type="dxa"/>
              <w:bottom w:w="113" w:type="dxa"/>
              <w:right w:w="113" w:type="dxa"/>
            </w:tcMar>
          </w:tcPr>
          <w:p w14:paraId="76B6A48B" w14:textId="77777777" w:rsidR="00E8450C" w:rsidRPr="00F261DB" w:rsidRDefault="00E8450C">
            <w:pPr>
              <w:rPr>
                <w:noProof/>
                <w:sz w:val="24"/>
                <w:szCs w:val="24"/>
              </w:rPr>
            </w:pPr>
            <w:r w:rsidRPr="00F261DB">
              <w:rPr>
                <w:noProof/>
                <w:szCs w:val="24"/>
              </w:rPr>
              <w:lastRenderedPageBreak/>
              <w:t xml:space="preserve">(3) The report should establish how the success regarding the general objective will look like and how it will be assessed including the timeframe. </w:t>
            </w:r>
          </w:p>
          <w:p w14:paraId="57D360D4" w14:textId="77777777" w:rsidR="00E8450C" w:rsidRPr="00F261DB" w:rsidRDefault="00E8450C">
            <w:pPr>
              <w:rPr>
                <w:noProof/>
                <w:sz w:val="24"/>
                <w:szCs w:val="24"/>
              </w:rPr>
            </w:pPr>
          </w:p>
          <w:p w14:paraId="432415C1" w14:textId="77777777" w:rsidR="00243AA2" w:rsidRPr="00F261DB" w:rsidRDefault="00243AA2">
            <w:pPr>
              <w:rPr>
                <w:noProof/>
                <w:sz w:val="24"/>
                <w:szCs w:val="24"/>
              </w:rPr>
            </w:pPr>
          </w:p>
          <w:p w14:paraId="329F6E3F" w14:textId="77777777" w:rsidR="00243AA2" w:rsidRPr="00F261DB" w:rsidRDefault="00243AA2">
            <w:pPr>
              <w:rPr>
                <w:noProof/>
                <w:sz w:val="24"/>
                <w:szCs w:val="24"/>
              </w:rPr>
            </w:pPr>
          </w:p>
          <w:p w14:paraId="30AFD96A" w14:textId="77777777" w:rsidR="00737BC0" w:rsidRPr="00F261DB" w:rsidRDefault="00737BC0">
            <w:pPr>
              <w:rPr>
                <w:noProof/>
                <w:sz w:val="24"/>
                <w:szCs w:val="24"/>
              </w:rPr>
            </w:pPr>
          </w:p>
          <w:p w14:paraId="063B3696" w14:textId="014C787E" w:rsidR="00665019" w:rsidRDefault="00665019">
            <w:pPr>
              <w:rPr>
                <w:noProof/>
              </w:rPr>
            </w:pPr>
          </w:p>
          <w:p w14:paraId="63369A6D" w14:textId="77777777" w:rsidR="00E8450C" w:rsidRPr="00F261DB" w:rsidRDefault="00E8450C">
            <w:pPr>
              <w:rPr>
                <w:noProof/>
                <w:sz w:val="24"/>
                <w:szCs w:val="24"/>
              </w:rPr>
            </w:pPr>
            <w:r w:rsidRPr="00F261DB">
              <w:rPr>
                <w:noProof/>
                <w:szCs w:val="24"/>
              </w:rPr>
              <w:t xml:space="preserve">Based on the improved analysis of problem drivers, the specific objectives should be revised to better reflect how they contribute to the general objective. </w:t>
            </w:r>
          </w:p>
          <w:p w14:paraId="40CF39A4" w14:textId="77777777" w:rsidR="00E8450C" w:rsidRPr="00F261DB" w:rsidRDefault="00E8450C">
            <w:pPr>
              <w:rPr>
                <w:noProof/>
                <w:sz w:val="24"/>
                <w:szCs w:val="24"/>
              </w:rPr>
            </w:pPr>
          </w:p>
          <w:p w14:paraId="4F8583D4" w14:textId="77777777" w:rsidR="00CC123E" w:rsidRPr="00F261DB" w:rsidRDefault="00CC123E">
            <w:pPr>
              <w:rPr>
                <w:noProof/>
                <w:sz w:val="24"/>
                <w:szCs w:val="24"/>
              </w:rPr>
            </w:pPr>
          </w:p>
          <w:p w14:paraId="68E30D96" w14:textId="774F7BAB" w:rsidR="00D41096" w:rsidRPr="00F261DB" w:rsidRDefault="00E8450C">
            <w:pPr>
              <w:rPr>
                <w:noProof/>
                <w:sz w:val="24"/>
                <w:szCs w:val="24"/>
              </w:rPr>
            </w:pPr>
            <w:r w:rsidRPr="00F261DB">
              <w:rPr>
                <w:noProof/>
                <w:szCs w:val="24"/>
              </w:rPr>
              <w:t>The specific objectives should be formulated in S.M.A.R.T. terms to allow for an improved analysis of the impact of options and for monitoring the progress on attaining the objectives.</w:t>
            </w:r>
          </w:p>
        </w:tc>
        <w:tc>
          <w:tcPr>
            <w:tcW w:w="4621" w:type="dxa"/>
            <w:tcMar>
              <w:top w:w="113" w:type="dxa"/>
              <w:left w:w="113" w:type="dxa"/>
              <w:bottom w:w="113" w:type="dxa"/>
              <w:right w:w="113" w:type="dxa"/>
            </w:tcMar>
          </w:tcPr>
          <w:p w14:paraId="02DC6D1C" w14:textId="51764AA5" w:rsidR="00E8450C" w:rsidRPr="00F261DB" w:rsidRDefault="78AAB41A" w:rsidP="1B3ADE7E">
            <w:pPr>
              <w:rPr>
                <w:noProof/>
                <w:sz w:val="24"/>
                <w:szCs w:val="24"/>
              </w:rPr>
            </w:pPr>
            <w:r w:rsidRPr="00F261DB">
              <w:rPr>
                <w:noProof/>
                <w:szCs w:val="24"/>
              </w:rPr>
              <w:t>The general objective</w:t>
            </w:r>
            <w:r w:rsidR="00437E54" w:rsidRPr="00F261DB">
              <w:rPr>
                <w:noProof/>
                <w:szCs w:val="24"/>
              </w:rPr>
              <w:t xml:space="preserve"> has been </w:t>
            </w:r>
            <w:r w:rsidR="009341D8" w:rsidRPr="00F261DB">
              <w:rPr>
                <w:noProof/>
                <w:szCs w:val="24"/>
              </w:rPr>
              <w:t>revised</w:t>
            </w:r>
            <w:r w:rsidR="00437E54" w:rsidRPr="00F261DB">
              <w:rPr>
                <w:noProof/>
                <w:szCs w:val="24"/>
              </w:rPr>
              <w:t xml:space="preserve"> to ensure </w:t>
            </w:r>
            <w:r w:rsidR="009341D8" w:rsidRPr="00F261DB">
              <w:rPr>
                <w:noProof/>
                <w:szCs w:val="24"/>
              </w:rPr>
              <w:t xml:space="preserve">it </w:t>
            </w:r>
            <w:r w:rsidR="0099028A" w:rsidRPr="00F261DB">
              <w:rPr>
                <w:noProof/>
                <w:szCs w:val="24"/>
              </w:rPr>
              <w:t>can be measured.</w:t>
            </w:r>
            <w:r w:rsidR="00480BEE">
              <w:rPr>
                <w:noProof/>
                <w:szCs w:val="24"/>
              </w:rPr>
              <w:t xml:space="preserve"> </w:t>
            </w:r>
            <w:r w:rsidR="00370D62" w:rsidRPr="00F261DB">
              <w:rPr>
                <w:noProof/>
                <w:szCs w:val="24"/>
              </w:rPr>
              <w:t>Specificall</w:t>
            </w:r>
            <w:r w:rsidR="00370D62" w:rsidRPr="00F261DB">
              <w:rPr>
                <w:noProof/>
              </w:rPr>
              <w:t>y</w:t>
            </w:r>
            <w:r w:rsidR="00AC1BF3" w:rsidRPr="00F261DB">
              <w:rPr>
                <w:noProof/>
              </w:rPr>
              <w:t>,</w:t>
            </w:r>
            <w:r w:rsidR="00370D62" w:rsidRPr="00F261DB">
              <w:rPr>
                <w:noProof/>
                <w:szCs w:val="24"/>
              </w:rPr>
              <w:t xml:space="preserve"> it will be measure</w:t>
            </w:r>
            <w:r w:rsidR="00CE26F9" w:rsidRPr="00F261DB">
              <w:rPr>
                <w:noProof/>
                <w:szCs w:val="24"/>
              </w:rPr>
              <w:t>d</w:t>
            </w:r>
            <w:r w:rsidR="00370D62" w:rsidRPr="00F261DB">
              <w:rPr>
                <w:noProof/>
                <w:szCs w:val="24"/>
              </w:rPr>
              <w:t xml:space="preserve"> </w:t>
            </w:r>
            <w:r w:rsidR="00026CFD" w:rsidRPr="00F261DB">
              <w:rPr>
                <w:noProof/>
                <w:szCs w:val="24"/>
              </w:rPr>
              <w:t>by monitoring the carbon intensity of EII production, as well as production capacities and output for the EU in EIIs, certain clean tech and vehicle components</w:t>
            </w:r>
            <w:r w:rsidRPr="00F261DB">
              <w:rPr>
                <w:noProof/>
                <w:szCs w:val="24"/>
              </w:rPr>
              <w:t xml:space="preserve">. </w:t>
            </w:r>
            <w:r w:rsidR="2FB12409" w:rsidRPr="00F261DB">
              <w:rPr>
                <w:noProof/>
                <w:szCs w:val="24"/>
              </w:rPr>
              <w:t xml:space="preserve">The general objective will also be assessed in combination with </w:t>
            </w:r>
            <w:r w:rsidR="005A6154" w:rsidRPr="00F261DB">
              <w:rPr>
                <w:noProof/>
                <w:szCs w:val="24"/>
              </w:rPr>
              <w:t xml:space="preserve">indicators for </w:t>
            </w:r>
            <w:r w:rsidR="2FB12409" w:rsidRPr="00F261DB">
              <w:rPr>
                <w:noProof/>
                <w:szCs w:val="24"/>
              </w:rPr>
              <w:t>the specific objectives</w:t>
            </w:r>
            <w:r w:rsidR="005A6154" w:rsidRPr="00F261DB">
              <w:rPr>
                <w:noProof/>
                <w:szCs w:val="24"/>
              </w:rPr>
              <w:t>.</w:t>
            </w:r>
            <w:r w:rsidR="2FB12409" w:rsidRPr="00F261DB">
              <w:rPr>
                <w:noProof/>
                <w:szCs w:val="24"/>
              </w:rPr>
              <w:t xml:space="preserve"> </w:t>
            </w:r>
          </w:p>
          <w:p w14:paraId="720D57DC" w14:textId="14A6E624" w:rsidR="00E8450C" w:rsidRPr="00F261DB" w:rsidRDefault="00E8450C" w:rsidP="1B3ADE7E">
            <w:pPr>
              <w:rPr>
                <w:rFonts w:eastAsiaTheme="minorEastAsia"/>
                <w:noProof/>
                <w:sz w:val="24"/>
                <w:szCs w:val="24"/>
              </w:rPr>
            </w:pPr>
          </w:p>
          <w:p w14:paraId="190696CD" w14:textId="16A2392C" w:rsidR="00E8450C" w:rsidRDefault="62544AD2">
            <w:pPr>
              <w:rPr>
                <w:noProof/>
              </w:rPr>
            </w:pPr>
            <w:r>
              <w:rPr>
                <w:noProof/>
              </w:rPr>
              <w:t xml:space="preserve">Specific objectives </w:t>
            </w:r>
            <w:r w:rsidR="6E0BF1B7">
              <w:rPr>
                <w:noProof/>
              </w:rPr>
              <w:t xml:space="preserve">in </w:t>
            </w:r>
            <w:r w:rsidR="00E8682E">
              <w:rPr>
                <w:noProof/>
              </w:rPr>
              <w:t>Section</w:t>
            </w:r>
            <w:r w:rsidR="6E0BF1B7">
              <w:rPr>
                <w:noProof/>
              </w:rPr>
              <w:t xml:space="preserve"> 4 </w:t>
            </w:r>
            <w:r>
              <w:rPr>
                <w:noProof/>
              </w:rPr>
              <w:t xml:space="preserve">have been </w:t>
            </w:r>
            <w:r w:rsidR="00FA4BFA">
              <w:rPr>
                <w:noProof/>
              </w:rPr>
              <w:t>aligned</w:t>
            </w:r>
            <w:r w:rsidR="00C33F26">
              <w:rPr>
                <w:noProof/>
              </w:rPr>
              <w:t xml:space="preserve"> to </w:t>
            </w:r>
            <w:r w:rsidR="003A3595">
              <w:rPr>
                <w:noProof/>
              </w:rPr>
              <w:t>individual problem drivers</w:t>
            </w:r>
            <w:r w:rsidR="00FA4BFA">
              <w:rPr>
                <w:noProof/>
              </w:rPr>
              <w:t>,</w:t>
            </w:r>
            <w:r w:rsidR="003A3595">
              <w:rPr>
                <w:noProof/>
              </w:rPr>
              <w:t xml:space="preserve"> and </w:t>
            </w:r>
            <w:r w:rsidR="00713C64">
              <w:rPr>
                <w:noProof/>
              </w:rPr>
              <w:t>reformulated</w:t>
            </w:r>
            <w:r w:rsidR="00594061">
              <w:rPr>
                <w:noProof/>
              </w:rPr>
              <w:t xml:space="preserve"> </w:t>
            </w:r>
            <w:r w:rsidR="003A3595">
              <w:rPr>
                <w:noProof/>
              </w:rPr>
              <w:t xml:space="preserve">and </w:t>
            </w:r>
            <w:r w:rsidR="0049240A">
              <w:rPr>
                <w:noProof/>
              </w:rPr>
              <w:t>clearly linked to</w:t>
            </w:r>
            <w:r w:rsidR="1C2A3E34">
              <w:rPr>
                <w:noProof/>
              </w:rPr>
              <w:t xml:space="preserve"> indicators that</w:t>
            </w:r>
            <w:r w:rsidR="78AAB41A">
              <w:rPr>
                <w:noProof/>
              </w:rPr>
              <w:t xml:space="preserve"> </w:t>
            </w:r>
            <w:r w:rsidR="0012350D">
              <w:rPr>
                <w:noProof/>
              </w:rPr>
              <w:t xml:space="preserve">measure </w:t>
            </w:r>
            <w:r w:rsidR="000F2F57">
              <w:rPr>
                <w:noProof/>
              </w:rPr>
              <w:t>the extent to which success has been achieved</w:t>
            </w:r>
            <w:r w:rsidR="78AAB41A">
              <w:rPr>
                <w:noProof/>
              </w:rPr>
              <w:t>.</w:t>
            </w:r>
            <w:r w:rsidR="00F34B76">
              <w:rPr>
                <w:noProof/>
              </w:rPr>
              <w:t xml:space="preserve"> Those indicators are </w:t>
            </w:r>
            <w:r w:rsidR="00BF7406">
              <w:rPr>
                <w:noProof/>
              </w:rPr>
              <w:t xml:space="preserve">included in </w:t>
            </w:r>
            <w:r w:rsidR="00E8682E">
              <w:rPr>
                <w:noProof/>
              </w:rPr>
              <w:t>Section</w:t>
            </w:r>
            <w:r w:rsidR="00BF7406">
              <w:rPr>
                <w:noProof/>
              </w:rPr>
              <w:t xml:space="preserve"> 9 as well.</w:t>
            </w:r>
          </w:p>
          <w:p w14:paraId="57CF4AD3" w14:textId="77777777" w:rsidR="00CC123E" w:rsidRDefault="00CC123E">
            <w:pPr>
              <w:rPr>
                <w:noProof/>
              </w:rPr>
            </w:pPr>
          </w:p>
          <w:p w14:paraId="698D187E" w14:textId="6B5D902B" w:rsidR="00E8450C" w:rsidRPr="00F261DB" w:rsidRDefault="00665019">
            <w:pPr>
              <w:rPr>
                <w:noProof/>
                <w:sz w:val="24"/>
                <w:szCs w:val="24"/>
              </w:rPr>
            </w:pPr>
            <w:r>
              <w:rPr>
                <w:noProof/>
                <w:szCs w:val="24"/>
              </w:rPr>
              <w:t>The specific objectives are now formulated in a more S.M.A.R.T manner</w:t>
            </w:r>
            <w:r w:rsidR="00E63657">
              <w:rPr>
                <w:noProof/>
                <w:szCs w:val="24"/>
              </w:rPr>
              <w:t>, notably improved on the measurability</w:t>
            </w:r>
            <w:r w:rsidDel="00E63657">
              <w:rPr>
                <w:noProof/>
                <w:szCs w:val="24"/>
              </w:rPr>
              <w:t>.</w:t>
            </w:r>
          </w:p>
        </w:tc>
      </w:tr>
      <w:tr w:rsidR="00E8450C" w:rsidRPr="00F261DB" w14:paraId="6EA45E7F" w14:textId="77777777" w:rsidTr="00B8051B">
        <w:tc>
          <w:tcPr>
            <w:tcW w:w="4621" w:type="dxa"/>
            <w:tcMar>
              <w:top w:w="113" w:type="dxa"/>
              <w:left w:w="113" w:type="dxa"/>
              <w:bottom w:w="113" w:type="dxa"/>
              <w:right w:w="113" w:type="dxa"/>
            </w:tcMar>
          </w:tcPr>
          <w:p w14:paraId="22D26753" w14:textId="77777777" w:rsidR="00E8450C" w:rsidRPr="00F261DB" w:rsidRDefault="00E8450C">
            <w:pPr>
              <w:rPr>
                <w:noProof/>
                <w:sz w:val="24"/>
                <w:szCs w:val="24"/>
              </w:rPr>
            </w:pPr>
            <w:r w:rsidRPr="00F261DB">
              <w:rPr>
                <w:noProof/>
                <w:szCs w:val="24"/>
              </w:rPr>
              <w:t xml:space="preserve">(4) The measures considered should reflect the improved analysis of the problem and problem drivers. </w:t>
            </w:r>
          </w:p>
          <w:p w14:paraId="7CD29478" w14:textId="77777777" w:rsidR="00E8450C" w:rsidRPr="00F261DB" w:rsidRDefault="00E8450C">
            <w:pPr>
              <w:rPr>
                <w:noProof/>
                <w:sz w:val="24"/>
                <w:szCs w:val="24"/>
              </w:rPr>
            </w:pPr>
          </w:p>
          <w:p w14:paraId="04DDA324" w14:textId="77777777" w:rsidR="00AE5BBA" w:rsidRPr="00F261DB" w:rsidRDefault="00AE5BBA">
            <w:pPr>
              <w:rPr>
                <w:noProof/>
                <w:sz w:val="24"/>
                <w:szCs w:val="24"/>
              </w:rPr>
            </w:pPr>
          </w:p>
          <w:p w14:paraId="020007D4" w14:textId="77777777" w:rsidR="00163AFC" w:rsidRPr="00F261DB" w:rsidRDefault="00163AFC">
            <w:pPr>
              <w:rPr>
                <w:noProof/>
                <w:sz w:val="24"/>
                <w:szCs w:val="24"/>
              </w:rPr>
            </w:pPr>
          </w:p>
          <w:p w14:paraId="683A4336" w14:textId="77777777" w:rsidR="00E72F2B" w:rsidRPr="00F261DB" w:rsidRDefault="00E72F2B">
            <w:pPr>
              <w:rPr>
                <w:noProof/>
                <w:sz w:val="24"/>
                <w:szCs w:val="24"/>
              </w:rPr>
            </w:pPr>
          </w:p>
          <w:p w14:paraId="3596BE13" w14:textId="402B6851" w:rsidR="00E8450C" w:rsidRPr="00F261DB" w:rsidRDefault="00E8450C">
            <w:pPr>
              <w:rPr>
                <w:noProof/>
                <w:sz w:val="24"/>
                <w:szCs w:val="24"/>
              </w:rPr>
            </w:pPr>
            <w:r w:rsidRPr="00F261DB">
              <w:rPr>
                <w:noProof/>
                <w:szCs w:val="24"/>
              </w:rPr>
              <w:t>The selection of measures should be based on available evidence regarding the short and medium to long-term benefits of public intervention, in particular evidence how such interventions can cause the development of lead markets, including how CO</w:t>
            </w:r>
            <w:r w:rsidRPr="006201AB">
              <w:rPr>
                <w:noProof/>
                <w:szCs w:val="24"/>
                <w:vertAlign w:val="subscript"/>
              </w:rPr>
              <w:t>2</w:t>
            </w:r>
            <w:r w:rsidRPr="00F261DB">
              <w:rPr>
                <w:noProof/>
                <w:szCs w:val="24"/>
              </w:rPr>
              <w:t xml:space="preserve"> content requirements could affect demand patterns as well as innovation in the industry</w:t>
            </w:r>
            <w:r w:rsidR="00AE4AC5" w:rsidRPr="00F261DB">
              <w:rPr>
                <w:noProof/>
                <w:szCs w:val="24"/>
              </w:rPr>
              <w:t>.</w:t>
            </w:r>
            <w:r w:rsidRPr="00F261DB">
              <w:rPr>
                <w:noProof/>
                <w:szCs w:val="24"/>
              </w:rPr>
              <w:t xml:space="preserve"> </w:t>
            </w:r>
          </w:p>
          <w:p w14:paraId="7306A9C1" w14:textId="77777777" w:rsidR="00E8450C" w:rsidRPr="00F261DB" w:rsidRDefault="00E8450C">
            <w:pPr>
              <w:rPr>
                <w:noProof/>
                <w:sz w:val="24"/>
                <w:szCs w:val="24"/>
              </w:rPr>
            </w:pPr>
          </w:p>
          <w:p w14:paraId="38E06FF1" w14:textId="77777777" w:rsidR="00EE05D8" w:rsidRPr="00F261DB" w:rsidRDefault="00EE05D8">
            <w:pPr>
              <w:rPr>
                <w:noProof/>
                <w:sz w:val="24"/>
                <w:szCs w:val="24"/>
              </w:rPr>
            </w:pPr>
          </w:p>
          <w:p w14:paraId="6AE219B2" w14:textId="77777777" w:rsidR="00EE05D8" w:rsidRPr="00F261DB" w:rsidRDefault="00EE05D8">
            <w:pPr>
              <w:rPr>
                <w:noProof/>
                <w:sz w:val="24"/>
                <w:szCs w:val="24"/>
              </w:rPr>
            </w:pPr>
          </w:p>
          <w:p w14:paraId="08EFB149" w14:textId="153344C6" w:rsidR="00E8450C" w:rsidRPr="00F261DB" w:rsidRDefault="00E8450C">
            <w:pPr>
              <w:rPr>
                <w:noProof/>
                <w:sz w:val="24"/>
                <w:szCs w:val="24"/>
              </w:rPr>
            </w:pPr>
            <w:r w:rsidRPr="00F261DB">
              <w:rPr>
                <w:noProof/>
                <w:szCs w:val="24"/>
              </w:rPr>
              <w:t>The selection of measures should also better reflect related costs.</w:t>
            </w:r>
          </w:p>
          <w:p w14:paraId="61AB3C8F" w14:textId="77777777" w:rsidR="00D41096" w:rsidRPr="00F261DB" w:rsidRDefault="00D41096">
            <w:pPr>
              <w:rPr>
                <w:noProof/>
                <w:sz w:val="24"/>
                <w:szCs w:val="24"/>
              </w:rPr>
            </w:pPr>
          </w:p>
        </w:tc>
        <w:tc>
          <w:tcPr>
            <w:tcW w:w="4621" w:type="dxa"/>
            <w:tcMar>
              <w:top w:w="113" w:type="dxa"/>
              <w:left w:w="113" w:type="dxa"/>
              <w:bottom w:w="113" w:type="dxa"/>
              <w:right w:w="113" w:type="dxa"/>
            </w:tcMar>
          </w:tcPr>
          <w:p w14:paraId="418D2F7F" w14:textId="536D8461" w:rsidR="00E8450C" w:rsidRPr="00F0752B" w:rsidRDefault="003B3D72">
            <w:pPr>
              <w:rPr>
                <w:noProof/>
                <w:szCs w:val="24"/>
              </w:rPr>
            </w:pPr>
            <w:r w:rsidRPr="00F261DB">
              <w:rPr>
                <w:noProof/>
                <w:szCs w:val="24"/>
              </w:rPr>
              <w:t xml:space="preserve">The </w:t>
            </w:r>
            <w:r w:rsidR="00C36430">
              <w:rPr>
                <w:noProof/>
                <w:szCs w:val="24"/>
              </w:rPr>
              <w:t xml:space="preserve">policy </w:t>
            </w:r>
            <w:r w:rsidRPr="00F261DB">
              <w:rPr>
                <w:noProof/>
                <w:szCs w:val="24"/>
              </w:rPr>
              <w:t xml:space="preserve">measures </w:t>
            </w:r>
            <w:r w:rsidR="00F42924">
              <w:rPr>
                <w:noProof/>
                <w:szCs w:val="24"/>
              </w:rPr>
              <w:t xml:space="preserve">are </w:t>
            </w:r>
            <w:r w:rsidR="000D5765" w:rsidRPr="00F261DB">
              <w:rPr>
                <w:noProof/>
                <w:szCs w:val="24"/>
              </w:rPr>
              <w:t xml:space="preserve">now </w:t>
            </w:r>
            <w:r w:rsidR="00F42924">
              <w:rPr>
                <w:noProof/>
                <w:szCs w:val="24"/>
              </w:rPr>
              <w:t xml:space="preserve">better aligned </w:t>
            </w:r>
            <w:r w:rsidR="00C36430">
              <w:rPr>
                <w:noProof/>
                <w:szCs w:val="24"/>
              </w:rPr>
              <w:t xml:space="preserve">to </w:t>
            </w:r>
            <w:r w:rsidR="00370D62" w:rsidRPr="00F261DB">
              <w:rPr>
                <w:noProof/>
                <w:szCs w:val="24"/>
              </w:rPr>
              <w:t>the</w:t>
            </w:r>
            <w:r w:rsidR="000D5765" w:rsidRPr="00F261DB">
              <w:rPr>
                <w:noProof/>
                <w:szCs w:val="24"/>
              </w:rPr>
              <w:t xml:space="preserve"> </w:t>
            </w:r>
            <w:r w:rsidR="00370D62" w:rsidRPr="00F261DB">
              <w:rPr>
                <w:noProof/>
                <w:szCs w:val="24"/>
              </w:rPr>
              <w:t xml:space="preserve">revised </w:t>
            </w:r>
            <w:r w:rsidR="00312FD2" w:rsidRPr="00F261DB">
              <w:rPr>
                <w:noProof/>
                <w:szCs w:val="24"/>
              </w:rPr>
              <w:t xml:space="preserve">analysis of </w:t>
            </w:r>
            <w:r w:rsidR="000527CB">
              <w:rPr>
                <w:noProof/>
                <w:szCs w:val="24"/>
              </w:rPr>
              <w:t>sub-problem and drivers.</w:t>
            </w:r>
            <w:r w:rsidR="00312FD2" w:rsidRPr="00F261DB" w:rsidDel="000527CB">
              <w:rPr>
                <w:noProof/>
                <w:szCs w:val="24"/>
              </w:rPr>
              <w:t xml:space="preserve"> </w:t>
            </w:r>
            <w:r w:rsidR="00822B21">
              <w:rPr>
                <w:noProof/>
                <w:szCs w:val="24"/>
              </w:rPr>
              <w:t>The vulnerability of certain</w:t>
            </w:r>
            <w:r w:rsidR="000D4CFF" w:rsidRPr="00F0752B">
              <w:rPr>
                <w:noProof/>
                <w:szCs w:val="24"/>
              </w:rPr>
              <w:t xml:space="preserve"> strategic sectors</w:t>
            </w:r>
            <w:r w:rsidR="00B26557" w:rsidRPr="00F0752B">
              <w:rPr>
                <w:noProof/>
                <w:szCs w:val="24"/>
              </w:rPr>
              <w:t xml:space="preserve"> and their supply chains</w:t>
            </w:r>
            <w:r w:rsidR="000D4CFF" w:rsidRPr="00F0752B">
              <w:rPr>
                <w:noProof/>
                <w:szCs w:val="24"/>
              </w:rPr>
              <w:t xml:space="preserve"> is</w:t>
            </w:r>
            <w:r w:rsidR="00567629">
              <w:rPr>
                <w:noProof/>
                <w:szCs w:val="24"/>
              </w:rPr>
              <w:t xml:space="preserve"> now </w:t>
            </w:r>
            <w:r w:rsidR="00754C35">
              <w:rPr>
                <w:noProof/>
                <w:szCs w:val="24"/>
              </w:rPr>
              <w:t xml:space="preserve">explained by two </w:t>
            </w:r>
            <w:r w:rsidR="00C30345">
              <w:rPr>
                <w:noProof/>
                <w:szCs w:val="24"/>
              </w:rPr>
              <w:t>specific</w:t>
            </w:r>
            <w:r w:rsidR="00754C35">
              <w:rPr>
                <w:noProof/>
                <w:szCs w:val="24"/>
              </w:rPr>
              <w:t xml:space="preserve"> drivers:</w:t>
            </w:r>
            <w:r w:rsidR="00090AA4">
              <w:rPr>
                <w:noProof/>
                <w:szCs w:val="24"/>
              </w:rPr>
              <w:t xml:space="preserve"> the fragmented EU approach to foreign investments,</w:t>
            </w:r>
            <w:r w:rsidR="00D54760">
              <w:rPr>
                <w:noProof/>
                <w:szCs w:val="24"/>
              </w:rPr>
              <w:t xml:space="preserve"> and the loss of competitiveness due to fierce global competition</w:t>
            </w:r>
            <w:r w:rsidR="00F42924">
              <w:rPr>
                <w:noProof/>
                <w:szCs w:val="24"/>
              </w:rPr>
              <w:t xml:space="preserve">. </w:t>
            </w:r>
          </w:p>
          <w:p w14:paraId="1D8BBF15" w14:textId="77777777" w:rsidR="00B94EFA" w:rsidRPr="00F261DB" w:rsidRDefault="00B94EFA">
            <w:pPr>
              <w:rPr>
                <w:noProof/>
                <w:sz w:val="24"/>
                <w:szCs w:val="24"/>
              </w:rPr>
            </w:pPr>
          </w:p>
          <w:p w14:paraId="7632A70F" w14:textId="043FFC87" w:rsidR="00312FD2" w:rsidRPr="00F261DB" w:rsidRDefault="004B2326">
            <w:pPr>
              <w:rPr>
                <w:noProof/>
                <w:sz w:val="24"/>
                <w:szCs w:val="24"/>
              </w:rPr>
            </w:pPr>
            <w:r w:rsidRPr="00F261DB">
              <w:rPr>
                <w:noProof/>
                <w:szCs w:val="24"/>
              </w:rPr>
              <w:t xml:space="preserve">While the </w:t>
            </w:r>
            <w:r w:rsidR="00FF7D42" w:rsidRPr="00F261DB">
              <w:rPr>
                <w:noProof/>
                <w:szCs w:val="24"/>
              </w:rPr>
              <w:t xml:space="preserve">intervention logic and structure of the different </w:t>
            </w:r>
            <w:r w:rsidR="00F84DE2" w:rsidRPr="00F261DB">
              <w:rPr>
                <w:noProof/>
                <w:szCs w:val="24"/>
              </w:rPr>
              <w:t>policy option</w:t>
            </w:r>
            <w:r w:rsidR="00FF7D42" w:rsidRPr="00F261DB">
              <w:rPr>
                <w:noProof/>
                <w:szCs w:val="24"/>
              </w:rPr>
              <w:t>s ha</w:t>
            </w:r>
            <w:r w:rsidR="002D0C6A" w:rsidRPr="00F261DB">
              <w:rPr>
                <w:noProof/>
                <w:szCs w:val="24"/>
              </w:rPr>
              <w:t>ve</w:t>
            </w:r>
            <w:r w:rsidR="00FF7D42" w:rsidRPr="00F261DB">
              <w:rPr>
                <w:noProof/>
                <w:szCs w:val="24"/>
              </w:rPr>
              <w:t xml:space="preserve"> remained the same, the </w:t>
            </w:r>
            <w:r w:rsidR="00DA5AC3" w:rsidRPr="00F261DB">
              <w:rPr>
                <w:noProof/>
                <w:szCs w:val="24"/>
              </w:rPr>
              <w:t xml:space="preserve">impact </w:t>
            </w:r>
            <w:r w:rsidR="00FF7D42" w:rsidRPr="00F261DB">
              <w:rPr>
                <w:noProof/>
                <w:szCs w:val="24"/>
              </w:rPr>
              <w:t xml:space="preserve">of the measures, including the level </w:t>
            </w:r>
            <w:r w:rsidR="00667A50" w:rsidRPr="00F261DB">
              <w:rPr>
                <w:noProof/>
                <w:szCs w:val="24"/>
              </w:rPr>
              <w:t xml:space="preserve">and duration </w:t>
            </w:r>
            <w:r w:rsidR="00FF7D42" w:rsidRPr="00F261DB">
              <w:rPr>
                <w:noProof/>
                <w:szCs w:val="24"/>
              </w:rPr>
              <w:t xml:space="preserve">of </w:t>
            </w:r>
            <w:r w:rsidR="00667A50" w:rsidRPr="00F261DB">
              <w:rPr>
                <w:noProof/>
                <w:szCs w:val="24"/>
              </w:rPr>
              <w:t>the</w:t>
            </w:r>
            <w:r w:rsidR="00FF7D42" w:rsidRPr="00F261DB">
              <w:rPr>
                <w:noProof/>
                <w:szCs w:val="24"/>
              </w:rPr>
              <w:t xml:space="preserve"> targets for the lead markets provisions, has been </w:t>
            </w:r>
            <w:r w:rsidR="00856DDD" w:rsidRPr="00F261DB">
              <w:rPr>
                <w:noProof/>
                <w:szCs w:val="24"/>
              </w:rPr>
              <w:t>revise</w:t>
            </w:r>
            <w:r w:rsidR="00FF7D42" w:rsidRPr="00F261DB">
              <w:rPr>
                <w:noProof/>
                <w:szCs w:val="24"/>
              </w:rPr>
              <w:t xml:space="preserve">d reflecting additional evidence and improved quantification of impacts </w:t>
            </w:r>
            <w:r w:rsidR="00993612" w:rsidRPr="00F261DB">
              <w:rPr>
                <w:noProof/>
                <w:szCs w:val="24"/>
              </w:rPr>
              <w:t>for each measure</w:t>
            </w:r>
            <w:r w:rsidR="00927E48" w:rsidRPr="00F261DB">
              <w:rPr>
                <w:noProof/>
                <w:szCs w:val="24"/>
              </w:rPr>
              <w:t xml:space="preserve">. The intention of a review clause has also been added, making it clear that such </w:t>
            </w:r>
            <w:r w:rsidR="007733F6">
              <w:rPr>
                <w:noProof/>
                <w:szCs w:val="24"/>
              </w:rPr>
              <w:t xml:space="preserve">measures on lead markets </w:t>
            </w:r>
            <w:r w:rsidR="00927E48" w:rsidRPr="00F261DB">
              <w:rPr>
                <w:noProof/>
                <w:szCs w:val="24"/>
              </w:rPr>
              <w:t>could be of</w:t>
            </w:r>
            <w:r w:rsidR="00927E48" w:rsidRPr="00F261DB" w:rsidDel="002D0C6A">
              <w:rPr>
                <w:noProof/>
                <w:szCs w:val="24"/>
              </w:rPr>
              <w:t xml:space="preserve"> </w:t>
            </w:r>
            <w:r w:rsidR="00927E48" w:rsidRPr="00F261DB">
              <w:rPr>
                <w:noProof/>
                <w:szCs w:val="24"/>
              </w:rPr>
              <w:t>a temporary nature.</w:t>
            </w:r>
          </w:p>
          <w:p w14:paraId="21C0FFFE" w14:textId="77777777" w:rsidR="00312FD2" w:rsidRPr="00F261DB" w:rsidRDefault="00312FD2">
            <w:pPr>
              <w:rPr>
                <w:noProof/>
                <w:sz w:val="24"/>
                <w:szCs w:val="24"/>
              </w:rPr>
            </w:pPr>
          </w:p>
          <w:p w14:paraId="013F2613" w14:textId="37C6E740" w:rsidR="00E8450C" w:rsidRPr="00F261DB" w:rsidRDefault="00312FD2">
            <w:pPr>
              <w:rPr>
                <w:noProof/>
                <w:sz w:val="24"/>
                <w:szCs w:val="24"/>
              </w:rPr>
            </w:pPr>
            <w:r w:rsidRPr="00F261DB">
              <w:rPr>
                <w:noProof/>
                <w:szCs w:val="24"/>
              </w:rPr>
              <w:t xml:space="preserve">The link between each </w:t>
            </w:r>
            <w:r w:rsidR="00993612" w:rsidRPr="00F261DB">
              <w:rPr>
                <w:noProof/>
                <w:szCs w:val="24"/>
              </w:rPr>
              <w:t>measure</w:t>
            </w:r>
            <w:r w:rsidRPr="00F261DB">
              <w:rPr>
                <w:noProof/>
                <w:szCs w:val="24"/>
              </w:rPr>
              <w:t xml:space="preserve"> and the estimated cost has been better presented and clarified throughout the text</w:t>
            </w:r>
            <w:r w:rsidR="001171E3" w:rsidRPr="00F261DB">
              <w:rPr>
                <w:noProof/>
                <w:szCs w:val="24"/>
              </w:rPr>
              <w:t>, as well as substantiated further</w:t>
            </w:r>
            <w:r w:rsidR="00982BB1" w:rsidRPr="00F261DB">
              <w:rPr>
                <w:noProof/>
                <w:szCs w:val="24"/>
              </w:rPr>
              <w:t xml:space="preserve"> with aggregated </w:t>
            </w:r>
            <w:r w:rsidR="00982BB1" w:rsidRPr="00F261DB">
              <w:rPr>
                <w:noProof/>
                <w:szCs w:val="24"/>
              </w:rPr>
              <w:lastRenderedPageBreak/>
              <w:t>costs for the policy measures at hand</w:t>
            </w:r>
            <w:r w:rsidR="0029161A" w:rsidRPr="00F261DB">
              <w:rPr>
                <w:noProof/>
                <w:szCs w:val="24"/>
              </w:rPr>
              <w:t>.</w:t>
            </w:r>
            <w:r w:rsidR="00982BB1" w:rsidRPr="00F261DB">
              <w:rPr>
                <w:noProof/>
                <w:szCs w:val="24"/>
              </w:rPr>
              <w:t xml:space="preserve"> </w:t>
            </w:r>
            <w:r w:rsidR="0029161A" w:rsidRPr="00F261DB">
              <w:rPr>
                <w:noProof/>
                <w:szCs w:val="24"/>
              </w:rPr>
              <w:t>Impacts are also</w:t>
            </w:r>
            <w:r w:rsidR="00982BB1" w:rsidRPr="00F261DB">
              <w:rPr>
                <w:noProof/>
                <w:szCs w:val="24"/>
              </w:rPr>
              <w:t xml:space="preserve"> aligned to </w:t>
            </w:r>
            <w:r w:rsidR="00930EC5" w:rsidRPr="00F261DB">
              <w:rPr>
                <w:noProof/>
                <w:szCs w:val="24"/>
              </w:rPr>
              <w:t>their targets when relevant</w:t>
            </w:r>
            <w:r w:rsidR="0029161A" w:rsidRPr="00F261DB">
              <w:rPr>
                <w:noProof/>
                <w:szCs w:val="24"/>
              </w:rPr>
              <w:t xml:space="preserve">, </w:t>
            </w:r>
            <w:r w:rsidR="009B286B" w:rsidRPr="00F261DB">
              <w:rPr>
                <w:noProof/>
                <w:szCs w:val="24"/>
              </w:rPr>
              <w:t xml:space="preserve">notably the lead market measures. </w:t>
            </w:r>
          </w:p>
        </w:tc>
      </w:tr>
      <w:tr w:rsidR="00E8450C" w:rsidRPr="00F261DB" w14:paraId="116C0C83" w14:textId="77777777" w:rsidTr="00B8051B">
        <w:tc>
          <w:tcPr>
            <w:tcW w:w="4621" w:type="dxa"/>
            <w:tcMar>
              <w:top w:w="113" w:type="dxa"/>
              <w:left w:w="113" w:type="dxa"/>
              <w:bottom w:w="113" w:type="dxa"/>
              <w:right w:w="113" w:type="dxa"/>
            </w:tcMar>
          </w:tcPr>
          <w:p w14:paraId="32CA25CD" w14:textId="77777777" w:rsidR="00E8450C" w:rsidRPr="00F261DB" w:rsidRDefault="00E8450C">
            <w:pPr>
              <w:rPr>
                <w:noProof/>
                <w:sz w:val="24"/>
                <w:szCs w:val="24"/>
              </w:rPr>
            </w:pPr>
            <w:r w:rsidRPr="00F261DB">
              <w:rPr>
                <w:noProof/>
                <w:szCs w:val="24"/>
              </w:rPr>
              <w:lastRenderedPageBreak/>
              <w:t xml:space="preserve">(5) The analysis of the impacts of the proposed measures and combined impacts of options should be strengthened including by quantifying overall costs and benefits to the extent possible. </w:t>
            </w:r>
          </w:p>
          <w:p w14:paraId="1018EBA3" w14:textId="77777777" w:rsidR="00E8450C" w:rsidRPr="00F261DB" w:rsidRDefault="00E8450C">
            <w:pPr>
              <w:rPr>
                <w:noProof/>
                <w:sz w:val="24"/>
                <w:szCs w:val="24"/>
              </w:rPr>
            </w:pPr>
          </w:p>
          <w:p w14:paraId="629CDE40" w14:textId="77777777" w:rsidR="00737BC0" w:rsidRDefault="00737BC0">
            <w:pPr>
              <w:rPr>
                <w:noProof/>
              </w:rPr>
            </w:pPr>
          </w:p>
          <w:p w14:paraId="27148E9A" w14:textId="28085475" w:rsidR="00E8450C" w:rsidRDefault="00E8450C">
            <w:pPr>
              <w:rPr>
                <w:noProof/>
              </w:rPr>
            </w:pPr>
            <w:r>
              <w:rPr>
                <w:noProof/>
              </w:rPr>
              <w:t xml:space="preserve">The report should establish a single appraisal period on which basis all costs and benefits are calculated. </w:t>
            </w:r>
          </w:p>
          <w:p w14:paraId="17FD1F66" w14:textId="23EADCC5" w:rsidR="00B57581" w:rsidRDefault="00B57581">
            <w:pPr>
              <w:rPr>
                <w:noProof/>
              </w:rPr>
            </w:pPr>
          </w:p>
          <w:p w14:paraId="52CFA061" w14:textId="14578551" w:rsidR="00B57581" w:rsidRDefault="00B57581">
            <w:pPr>
              <w:rPr>
                <w:noProof/>
              </w:rPr>
            </w:pPr>
          </w:p>
          <w:p w14:paraId="10A81CA0" w14:textId="77777777" w:rsidR="00E8450C" w:rsidRPr="00F261DB" w:rsidRDefault="00E8450C">
            <w:pPr>
              <w:rPr>
                <w:noProof/>
                <w:sz w:val="24"/>
                <w:szCs w:val="24"/>
              </w:rPr>
            </w:pPr>
          </w:p>
          <w:p w14:paraId="19FDCC17" w14:textId="77777777" w:rsidR="00E8450C" w:rsidRPr="00F261DB" w:rsidRDefault="00E8450C">
            <w:pPr>
              <w:rPr>
                <w:noProof/>
                <w:sz w:val="24"/>
                <w:szCs w:val="24"/>
              </w:rPr>
            </w:pPr>
            <w:r w:rsidRPr="00F261DB">
              <w:rPr>
                <w:noProof/>
                <w:szCs w:val="24"/>
              </w:rPr>
              <w:t xml:space="preserve">When it comes to the benefits, the analysis should be reinforced based on quantitative modelling to demonstrate to what extent it can be expected that the initiative will address any identified gaps in terms of speed of decarbonisation and contribute to EU economic security. </w:t>
            </w:r>
          </w:p>
          <w:p w14:paraId="388B5A69" w14:textId="6ED50A31" w:rsidR="00E8450C" w:rsidRPr="00F261DB" w:rsidRDefault="00E8450C">
            <w:pPr>
              <w:rPr>
                <w:noProof/>
                <w:sz w:val="24"/>
                <w:szCs w:val="24"/>
              </w:rPr>
            </w:pPr>
          </w:p>
          <w:p w14:paraId="74A8B23B" w14:textId="51D2ED2B" w:rsidR="00943F3F" w:rsidRDefault="00943F3F">
            <w:pPr>
              <w:rPr>
                <w:noProof/>
              </w:rPr>
            </w:pPr>
          </w:p>
          <w:p w14:paraId="7471062C" w14:textId="77777777" w:rsidR="007E2766" w:rsidRDefault="007E2766">
            <w:pPr>
              <w:rPr>
                <w:noProof/>
              </w:rPr>
            </w:pPr>
          </w:p>
          <w:p w14:paraId="2DD4C077" w14:textId="77777777" w:rsidR="007E2766" w:rsidRDefault="007E2766">
            <w:pPr>
              <w:rPr>
                <w:noProof/>
              </w:rPr>
            </w:pPr>
          </w:p>
          <w:p w14:paraId="1F6CACD7" w14:textId="77777777" w:rsidR="00DE0151" w:rsidRDefault="00DE0151">
            <w:pPr>
              <w:rPr>
                <w:noProof/>
              </w:rPr>
            </w:pPr>
          </w:p>
          <w:p w14:paraId="4E73144F" w14:textId="77777777" w:rsidR="007E2766" w:rsidRDefault="007E2766">
            <w:pPr>
              <w:rPr>
                <w:noProof/>
              </w:rPr>
            </w:pPr>
          </w:p>
          <w:p w14:paraId="55182FA2" w14:textId="77777777" w:rsidR="00E8450C" w:rsidRPr="00F261DB" w:rsidRDefault="00E8450C">
            <w:pPr>
              <w:rPr>
                <w:noProof/>
                <w:sz w:val="24"/>
                <w:szCs w:val="24"/>
              </w:rPr>
            </w:pPr>
            <w:r w:rsidRPr="00F261DB">
              <w:rPr>
                <w:noProof/>
                <w:szCs w:val="24"/>
              </w:rPr>
              <w:t xml:space="preserve">The results of modelling including the impact on capital costs (CAPEX), operational costs (OPEX) and international competitiveness should be subject to sensitivity analysis and robustness of the projection should be clearly acknowledged. </w:t>
            </w:r>
          </w:p>
          <w:p w14:paraId="1BE82A41" w14:textId="55386DFA" w:rsidR="00E8450C" w:rsidRPr="00F261DB" w:rsidRDefault="00E8450C">
            <w:pPr>
              <w:rPr>
                <w:noProof/>
                <w:sz w:val="24"/>
                <w:szCs w:val="24"/>
              </w:rPr>
            </w:pPr>
          </w:p>
          <w:p w14:paraId="3549B7B8" w14:textId="00ED5757" w:rsidR="00943F3F" w:rsidRDefault="00943F3F">
            <w:pPr>
              <w:rPr>
                <w:noProof/>
              </w:rPr>
            </w:pPr>
          </w:p>
          <w:p w14:paraId="25554B22" w14:textId="3CD4ADE4" w:rsidR="00943F3F" w:rsidRDefault="00943F3F">
            <w:pPr>
              <w:rPr>
                <w:noProof/>
              </w:rPr>
            </w:pPr>
          </w:p>
          <w:p w14:paraId="5EABD021" w14:textId="7B9A8D98" w:rsidR="00943F3F" w:rsidRDefault="00943F3F">
            <w:pPr>
              <w:rPr>
                <w:noProof/>
              </w:rPr>
            </w:pPr>
          </w:p>
          <w:p w14:paraId="34A9AF45" w14:textId="084AA66A" w:rsidR="00D41096" w:rsidRPr="00F261DB" w:rsidRDefault="00E8450C">
            <w:pPr>
              <w:rPr>
                <w:noProof/>
                <w:sz w:val="24"/>
                <w:szCs w:val="24"/>
              </w:rPr>
            </w:pPr>
            <w:r w:rsidRPr="00F261DB">
              <w:rPr>
                <w:noProof/>
                <w:szCs w:val="24"/>
              </w:rPr>
              <w:t>The analysis of the expected impact on FDI should be improved based on quantitative modelling distinguishing more clearly between the expected impacts in the short versus the medium to long run, taking into account the interplay of various measures.</w:t>
            </w:r>
          </w:p>
        </w:tc>
        <w:tc>
          <w:tcPr>
            <w:tcW w:w="4621" w:type="dxa"/>
            <w:tcMar>
              <w:top w:w="113" w:type="dxa"/>
              <w:left w:w="113" w:type="dxa"/>
              <w:bottom w:w="113" w:type="dxa"/>
              <w:right w:w="113" w:type="dxa"/>
            </w:tcMar>
          </w:tcPr>
          <w:p w14:paraId="12B0DC98" w14:textId="58066920" w:rsidR="00B57581" w:rsidRDefault="005A20F7" w:rsidP="005A20F7">
            <w:pPr>
              <w:rPr>
                <w:noProof/>
              </w:rPr>
            </w:pPr>
            <w:r>
              <w:rPr>
                <w:noProof/>
              </w:rPr>
              <w:t xml:space="preserve">Individual costs and benefits for measures linked to every </w:t>
            </w:r>
            <w:r w:rsidR="00E630FE">
              <w:rPr>
                <w:noProof/>
              </w:rPr>
              <w:t>specific objective</w:t>
            </w:r>
            <w:r w:rsidR="0019191B">
              <w:rPr>
                <w:noProof/>
              </w:rPr>
              <w:t xml:space="preserve"> have been included under Annex 4</w:t>
            </w:r>
            <w:r w:rsidR="005B0A76">
              <w:rPr>
                <w:noProof/>
              </w:rPr>
              <w:t xml:space="preserve">, to reflect </w:t>
            </w:r>
            <w:r w:rsidR="00C704AE">
              <w:rPr>
                <w:noProof/>
              </w:rPr>
              <w:t xml:space="preserve">all calculations relevant for the final table on costs and benefits reflected </w:t>
            </w:r>
            <w:r w:rsidR="007E39EF">
              <w:rPr>
                <w:noProof/>
              </w:rPr>
              <w:t xml:space="preserve">in </w:t>
            </w:r>
            <w:r w:rsidR="00E8682E">
              <w:rPr>
                <w:noProof/>
              </w:rPr>
              <w:t>Section</w:t>
            </w:r>
            <w:r w:rsidR="007E39EF">
              <w:rPr>
                <w:noProof/>
              </w:rPr>
              <w:t xml:space="preserve"> 7.2. </w:t>
            </w:r>
          </w:p>
          <w:p w14:paraId="6A9E36FD" w14:textId="77777777" w:rsidR="00D435CE" w:rsidRDefault="00D435CE" w:rsidP="005A20F7">
            <w:pPr>
              <w:rPr>
                <w:noProof/>
              </w:rPr>
            </w:pPr>
          </w:p>
          <w:p w14:paraId="70E0851B" w14:textId="65051C84" w:rsidR="00A84CA4" w:rsidRPr="00F261DB" w:rsidRDefault="00A84CA4" w:rsidP="005A20F7">
            <w:pPr>
              <w:rPr>
                <w:noProof/>
                <w:sz w:val="24"/>
                <w:szCs w:val="24"/>
              </w:rPr>
            </w:pPr>
            <w:r>
              <w:rPr>
                <w:noProof/>
              </w:rPr>
              <w:t xml:space="preserve">The </w:t>
            </w:r>
            <w:r w:rsidR="0049185D">
              <w:rPr>
                <w:noProof/>
              </w:rPr>
              <w:t>chosen</w:t>
            </w:r>
            <w:r>
              <w:rPr>
                <w:noProof/>
              </w:rPr>
              <w:t xml:space="preserve"> appraisal period is the year 2030</w:t>
            </w:r>
            <w:r w:rsidR="00B57581">
              <w:rPr>
                <w:noProof/>
              </w:rPr>
              <w:t xml:space="preserve"> for the quantitative aspects, even if impacts could be of a longer nature. When relevant, qualitative elements are added regarding the </w:t>
            </w:r>
            <w:r w:rsidR="00E7254E">
              <w:rPr>
                <w:noProof/>
              </w:rPr>
              <w:t>long-term</w:t>
            </w:r>
            <w:r w:rsidR="00B57581">
              <w:rPr>
                <w:noProof/>
              </w:rPr>
              <w:t xml:space="preserve"> perspective. </w:t>
            </w:r>
          </w:p>
          <w:p w14:paraId="662390C8" w14:textId="77777777" w:rsidR="002C5B73" w:rsidRPr="00F261DB" w:rsidRDefault="002C5B73" w:rsidP="1B3ADE7E">
            <w:pPr>
              <w:rPr>
                <w:noProof/>
                <w:sz w:val="24"/>
                <w:szCs w:val="24"/>
              </w:rPr>
            </w:pPr>
          </w:p>
          <w:p w14:paraId="16C678AD" w14:textId="23A46098" w:rsidR="00E8450C" w:rsidRDefault="1C3BDB57" w:rsidP="1B3ADE7E">
            <w:pPr>
              <w:rPr>
                <w:noProof/>
              </w:rPr>
            </w:pPr>
            <w:r w:rsidRPr="00F261DB">
              <w:rPr>
                <w:noProof/>
                <w:szCs w:val="24"/>
              </w:rPr>
              <w:t>The analysis of the impacts for the Made in E</w:t>
            </w:r>
            <w:r w:rsidR="0081660B">
              <w:rPr>
                <w:noProof/>
                <w:szCs w:val="24"/>
              </w:rPr>
              <w:t>U</w:t>
            </w:r>
            <w:r w:rsidR="7B0D0595" w:rsidRPr="00F261DB">
              <w:rPr>
                <w:noProof/>
                <w:szCs w:val="24"/>
              </w:rPr>
              <w:t xml:space="preserve"> provisions for Energy intensive industries</w:t>
            </w:r>
            <w:r w:rsidRPr="00F261DB">
              <w:rPr>
                <w:noProof/>
                <w:szCs w:val="24"/>
              </w:rPr>
              <w:t xml:space="preserve"> ha</w:t>
            </w:r>
            <w:r w:rsidR="009E4425" w:rsidRPr="00F261DB">
              <w:rPr>
                <w:noProof/>
                <w:szCs w:val="24"/>
              </w:rPr>
              <w:t>s</w:t>
            </w:r>
            <w:r w:rsidRPr="00F261DB">
              <w:rPr>
                <w:noProof/>
                <w:szCs w:val="24"/>
              </w:rPr>
              <w:t xml:space="preserve"> been strengthened with a revised modelling exercise, adjusted to the </w:t>
            </w:r>
            <w:r w:rsidR="0029161A" w:rsidRPr="00F261DB">
              <w:rPr>
                <w:noProof/>
                <w:szCs w:val="24"/>
              </w:rPr>
              <w:t xml:space="preserve">Made in EU </w:t>
            </w:r>
            <w:r w:rsidR="52F7A968" w:rsidRPr="00F261DB">
              <w:rPr>
                <w:noProof/>
                <w:szCs w:val="24"/>
              </w:rPr>
              <w:t xml:space="preserve">targets </w:t>
            </w:r>
            <w:r w:rsidR="00927E48" w:rsidRPr="00F261DB">
              <w:rPr>
                <w:noProof/>
              </w:rPr>
              <w:t>described in the impact assessment</w:t>
            </w:r>
            <w:r w:rsidR="00E542D6">
              <w:rPr>
                <w:noProof/>
              </w:rPr>
              <w:t>.</w:t>
            </w:r>
            <w:r w:rsidR="52F7A968" w:rsidRPr="00F261DB">
              <w:rPr>
                <w:noProof/>
                <w:szCs w:val="24"/>
              </w:rPr>
              <w:t xml:space="preserve"> A more accurate representation of the impacts can be found </w:t>
            </w:r>
            <w:r w:rsidR="001C5966" w:rsidRPr="00F261DB">
              <w:rPr>
                <w:noProof/>
                <w:szCs w:val="24"/>
              </w:rPr>
              <w:t>in</w:t>
            </w:r>
            <w:r w:rsidR="52F7A968" w:rsidRPr="00F261DB">
              <w:rPr>
                <w:noProof/>
                <w:szCs w:val="24"/>
              </w:rPr>
              <w:t xml:space="preserve"> </w:t>
            </w:r>
            <w:r w:rsidR="00E8682E">
              <w:rPr>
                <w:noProof/>
                <w:szCs w:val="24"/>
              </w:rPr>
              <w:t>Section</w:t>
            </w:r>
            <w:r w:rsidR="52F7A968" w:rsidRPr="00F261DB">
              <w:rPr>
                <w:noProof/>
                <w:szCs w:val="24"/>
              </w:rPr>
              <w:t>s 6.2 and 6.3</w:t>
            </w:r>
            <w:r w:rsidR="007907FA" w:rsidRPr="00F261DB">
              <w:rPr>
                <w:noProof/>
                <w:szCs w:val="24"/>
              </w:rPr>
              <w:t>, including comparison of impacts for the year 2030</w:t>
            </w:r>
            <w:r w:rsidR="007A6105" w:rsidRPr="00F261DB">
              <w:rPr>
                <w:noProof/>
                <w:szCs w:val="24"/>
              </w:rPr>
              <w:t>.</w:t>
            </w:r>
            <w:r w:rsidR="00927E48" w:rsidRPr="00F261DB">
              <w:rPr>
                <w:noProof/>
              </w:rPr>
              <w:t xml:space="preserve"> On this last point, to facilitate comparisons, quantitative impacts (costs and benefits) </w:t>
            </w:r>
            <w:r w:rsidR="005A10D0">
              <w:rPr>
                <w:noProof/>
              </w:rPr>
              <w:t>have been</w:t>
            </w:r>
            <w:r w:rsidR="00927E48" w:rsidRPr="00F261DB">
              <w:rPr>
                <w:noProof/>
              </w:rPr>
              <w:t xml:space="preserve"> presented for the year 2030, while adding qualitative impacts for the longer-term perspective.</w:t>
            </w:r>
          </w:p>
          <w:p w14:paraId="6B74A6AF" w14:textId="77777777" w:rsidR="00DE0151" w:rsidRPr="00F261DB" w:rsidRDefault="00DE0151" w:rsidP="1B3ADE7E">
            <w:pPr>
              <w:rPr>
                <w:noProof/>
                <w:sz w:val="24"/>
                <w:szCs w:val="24"/>
              </w:rPr>
            </w:pPr>
          </w:p>
          <w:p w14:paraId="0AED1992" w14:textId="08BFF7EA" w:rsidR="00E8450C" w:rsidRDefault="74466A4E" w:rsidP="1B3ADE7E">
            <w:pPr>
              <w:rPr>
                <w:noProof/>
              </w:rPr>
            </w:pPr>
            <w:r>
              <w:rPr>
                <w:noProof/>
              </w:rPr>
              <w:t xml:space="preserve">The limitations inherent to the modelling have been </w:t>
            </w:r>
            <w:r w:rsidR="007907FA">
              <w:rPr>
                <w:noProof/>
              </w:rPr>
              <w:t xml:space="preserve">better </w:t>
            </w:r>
            <w:r>
              <w:rPr>
                <w:noProof/>
              </w:rPr>
              <w:t>outlined in Annex 4</w:t>
            </w:r>
            <w:r w:rsidR="00927E48" w:rsidRPr="00F261DB">
              <w:rPr>
                <w:noProof/>
              </w:rPr>
              <w:t xml:space="preserve">, which also includes a </w:t>
            </w:r>
            <w:r w:rsidR="005A10D0">
              <w:rPr>
                <w:noProof/>
              </w:rPr>
              <w:t>more thorough</w:t>
            </w:r>
            <w:r w:rsidR="00927E48" w:rsidRPr="00F261DB">
              <w:rPr>
                <w:noProof/>
              </w:rPr>
              <w:t xml:space="preserve"> description of the broader analytical approach followed in the different parts of the impact assessment</w:t>
            </w:r>
            <w:r w:rsidR="007A6105">
              <w:rPr>
                <w:noProof/>
              </w:rPr>
              <w:t>.</w:t>
            </w:r>
          </w:p>
          <w:p w14:paraId="3DA12962" w14:textId="0D5CDC99" w:rsidR="00943F3F" w:rsidRPr="00F261DB" w:rsidRDefault="008402DC" w:rsidP="1B3ADE7E">
            <w:pPr>
              <w:rPr>
                <w:noProof/>
                <w:sz w:val="24"/>
                <w:szCs w:val="24"/>
              </w:rPr>
            </w:pPr>
            <w:r>
              <w:rPr>
                <w:noProof/>
              </w:rPr>
              <w:t>S</w:t>
            </w:r>
            <w:r w:rsidR="00943F3F">
              <w:rPr>
                <w:noProof/>
              </w:rPr>
              <w:t xml:space="preserve">ome expected benefits, notably in terms of greater </w:t>
            </w:r>
            <w:r>
              <w:rPr>
                <w:noProof/>
              </w:rPr>
              <w:t xml:space="preserve">EU </w:t>
            </w:r>
            <w:r w:rsidR="00943F3F">
              <w:rPr>
                <w:noProof/>
              </w:rPr>
              <w:t>economic security, cannot be quantified with the modelling tools available</w:t>
            </w:r>
            <w:r w:rsidR="00823DA3">
              <w:rPr>
                <w:noProof/>
              </w:rPr>
              <w:t xml:space="preserve"> for this impact assessment. </w:t>
            </w:r>
          </w:p>
          <w:p w14:paraId="4FC7B766" w14:textId="73ACE6DC" w:rsidR="00E8450C" w:rsidRPr="00F261DB" w:rsidRDefault="00E8450C" w:rsidP="1B3ADE7E">
            <w:pPr>
              <w:rPr>
                <w:noProof/>
                <w:sz w:val="24"/>
                <w:szCs w:val="24"/>
              </w:rPr>
            </w:pPr>
          </w:p>
          <w:p w14:paraId="6CB5B19F" w14:textId="6AE88347" w:rsidR="00E8450C" w:rsidRPr="00F261DB" w:rsidRDefault="2C0DF0AB">
            <w:pPr>
              <w:rPr>
                <w:noProof/>
                <w:sz w:val="24"/>
                <w:szCs w:val="24"/>
              </w:rPr>
            </w:pPr>
            <w:r w:rsidRPr="00F261DB">
              <w:rPr>
                <w:noProof/>
                <w:szCs w:val="24"/>
              </w:rPr>
              <w:t xml:space="preserve">The </w:t>
            </w:r>
            <w:r w:rsidR="7F42A51C" w:rsidRPr="00F261DB">
              <w:rPr>
                <w:noProof/>
                <w:szCs w:val="24"/>
              </w:rPr>
              <w:t>foreig</w:t>
            </w:r>
            <w:r w:rsidR="00245F99" w:rsidRPr="00F261DB">
              <w:rPr>
                <w:noProof/>
                <w:szCs w:val="24"/>
              </w:rPr>
              <w:t>n</w:t>
            </w:r>
            <w:r w:rsidR="7F42A51C" w:rsidRPr="00F261DB">
              <w:rPr>
                <w:noProof/>
                <w:szCs w:val="24"/>
              </w:rPr>
              <w:t xml:space="preserve"> direct investment measures’ analysis ha</w:t>
            </w:r>
            <w:r w:rsidR="00DB6E83" w:rsidRPr="00F261DB">
              <w:rPr>
                <w:noProof/>
                <w:szCs w:val="24"/>
              </w:rPr>
              <w:t>s</w:t>
            </w:r>
            <w:r w:rsidR="7F42A51C" w:rsidRPr="00F261DB">
              <w:rPr>
                <w:noProof/>
                <w:szCs w:val="24"/>
              </w:rPr>
              <w:t xml:space="preserve"> been strengthened by a comparison with existing similar practices in other regions of the world</w:t>
            </w:r>
            <w:r w:rsidR="00927E48" w:rsidRPr="00F261DB">
              <w:rPr>
                <w:noProof/>
              </w:rPr>
              <w:t>, notably to address the possible impacts</w:t>
            </w:r>
            <w:r w:rsidR="006B25CC" w:rsidRPr="00F261DB">
              <w:rPr>
                <w:noProof/>
                <w:szCs w:val="24"/>
              </w:rPr>
              <w:t xml:space="preserve"> in </w:t>
            </w:r>
            <w:r w:rsidR="00927E48" w:rsidRPr="00F261DB">
              <w:rPr>
                <w:noProof/>
              </w:rPr>
              <w:t xml:space="preserve">terms of </w:t>
            </w:r>
            <w:r w:rsidR="00D43CBC">
              <w:rPr>
                <w:noProof/>
              </w:rPr>
              <w:t xml:space="preserve">similar approaches that have been successfully implemented in major economies, demonstrating that such measures </w:t>
            </w:r>
            <w:r w:rsidR="00E46A80">
              <w:rPr>
                <w:noProof/>
              </w:rPr>
              <w:t>can enhance strategic value without deterring investment</w:t>
            </w:r>
            <w:r w:rsidR="00927E48" w:rsidRPr="00F261DB">
              <w:rPr>
                <w:noProof/>
              </w:rPr>
              <w:t xml:space="preserve">. </w:t>
            </w:r>
            <w:r w:rsidR="005A10D0">
              <w:rPr>
                <w:noProof/>
              </w:rPr>
              <w:t xml:space="preserve">See </w:t>
            </w:r>
            <w:r w:rsidR="006B25CC" w:rsidRPr="00E7254E">
              <w:rPr>
                <w:noProof/>
                <w:szCs w:val="24"/>
              </w:rPr>
              <w:t>Annex 13</w:t>
            </w:r>
            <w:r w:rsidR="7F42A51C" w:rsidRPr="00F261DB">
              <w:rPr>
                <w:noProof/>
                <w:szCs w:val="24"/>
              </w:rPr>
              <w:t xml:space="preserve">. </w:t>
            </w:r>
          </w:p>
        </w:tc>
      </w:tr>
      <w:tr w:rsidR="00E8450C" w:rsidRPr="00F261DB" w14:paraId="282EE1B6" w14:textId="77777777" w:rsidTr="00B8051B">
        <w:tc>
          <w:tcPr>
            <w:tcW w:w="4621" w:type="dxa"/>
            <w:tcMar>
              <w:top w:w="113" w:type="dxa"/>
              <w:left w:w="113" w:type="dxa"/>
              <w:bottom w:w="113" w:type="dxa"/>
              <w:right w:w="113" w:type="dxa"/>
            </w:tcMar>
          </w:tcPr>
          <w:p w14:paraId="7928B8DB" w14:textId="77777777" w:rsidR="00E8450C" w:rsidRPr="00F261DB" w:rsidRDefault="00E8450C">
            <w:pPr>
              <w:rPr>
                <w:noProof/>
                <w:sz w:val="24"/>
                <w:szCs w:val="24"/>
              </w:rPr>
            </w:pPr>
            <w:r w:rsidRPr="00F261DB">
              <w:rPr>
                <w:noProof/>
                <w:szCs w:val="24"/>
              </w:rPr>
              <w:t xml:space="preserve">(6) The calculations of costs and their pass through to downstream sectors including to businesses, consumers and public administration for each policy option needs to be strengthened based on the clarification of the scope of the envisaged measures (i.e. public support/procurement and specific downstream sectors rather than all products put on the European market) and transparent assumptions used for the calculations. </w:t>
            </w:r>
          </w:p>
          <w:p w14:paraId="2A489D66" w14:textId="77777777" w:rsidR="00E8450C" w:rsidRPr="00F261DB" w:rsidRDefault="00E8450C">
            <w:pPr>
              <w:rPr>
                <w:noProof/>
                <w:sz w:val="24"/>
                <w:szCs w:val="24"/>
              </w:rPr>
            </w:pPr>
          </w:p>
          <w:p w14:paraId="3ECB2500" w14:textId="77777777" w:rsidR="00E8450C" w:rsidRPr="00F261DB" w:rsidRDefault="00E8450C">
            <w:pPr>
              <w:rPr>
                <w:noProof/>
                <w:sz w:val="24"/>
                <w:szCs w:val="24"/>
              </w:rPr>
            </w:pPr>
            <w:r w:rsidRPr="00F261DB">
              <w:rPr>
                <w:noProof/>
                <w:szCs w:val="24"/>
              </w:rPr>
              <w:lastRenderedPageBreak/>
              <w:t xml:space="preserve">In addition, it should be better explained how the possible inflationary effects were taken into account when considering the scope and parameters of the policy measures. </w:t>
            </w:r>
          </w:p>
          <w:p w14:paraId="12574DC4" w14:textId="77777777" w:rsidR="00E8450C" w:rsidRPr="00F261DB" w:rsidRDefault="00E8450C">
            <w:pPr>
              <w:rPr>
                <w:noProof/>
                <w:sz w:val="24"/>
                <w:szCs w:val="24"/>
              </w:rPr>
            </w:pPr>
          </w:p>
          <w:p w14:paraId="3A4F06BC" w14:textId="1529864E" w:rsidR="00D41096" w:rsidRPr="00F261DB" w:rsidRDefault="00E8450C">
            <w:pPr>
              <w:rPr>
                <w:noProof/>
                <w:sz w:val="24"/>
                <w:szCs w:val="24"/>
              </w:rPr>
            </w:pPr>
            <w:r w:rsidRPr="00F261DB">
              <w:rPr>
                <w:noProof/>
                <w:szCs w:val="24"/>
              </w:rPr>
              <w:t>The assessment of cost and benefits should allow to analyse and compare the effectiveness and efficiency of the options</w:t>
            </w:r>
            <w:r w:rsidR="00D41096" w:rsidRPr="00F261DB">
              <w:rPr>
                <w:noProof/>
                <w:szCs w:val="24"/>
              </w:rPr>
              <w:t>.</w:t>
            </w:r>
          </w:p>
        </w:tc>
        <w:tc>
          <w:tcPr>
            <w:tcW w:w="4621" w:type="dxa"/>
            <w:tcMar>
              <w:top w:w="113" w:type="dxa"/>
              <w:left w:w="113" w:type="dxa"/>
              <w:bottom w:w="113" w:type="dxa"/>
              <w:right w:w="113" w:type="dxa"/>
            </w:tcMar>
          </w:tcPr>
          <w:p w14:paraId="785EF481" w14:textId="7149ECF0" w:rsidR="00E8450C" w:rsidRPr="00F261DB" w:rsidRDefault="235B8879" w:rsidP="1F9C1569">
            <w:pPr>
              <w:rPr>
                <w:noProof/>
                <w:sz w:val="24"/>
                <w:szCs w:val="24"/>
              </w:rPr>
            </w:pPr>
            <w:r w:rsidRPr="00F261DB">
              <w:rPr>
                <w:noProof/>
                <w:szCs w:val="24"/>
              </w:rPr>
              <w:lastRenderedPageBreak/>
              <w:t>The calculations of costs</w:t>
            </w:r>
            <w:r w:rsidR="00EC4055" w:rsidRPr="00F261DB">
              <w:rPr>
                <w:noProof/>
                <w:szCs w:val="24"/>
              </w:rPr>
              <w:t xml:space="preserve"> for each policy option</w:t>
            </w:r>
            <w:r w:rsidRPr="00F261DB">
              <w:rPr>
                <w:noProof/>
                <w:szCs w:val="24"/>
              </w:rPr>
              <w:t xml:space="preserve"> </w:t>
            </w:r>
            <w:r w:rsidR="3CACB9CC" w:rsidRPr="00F261DB">
              <w:rPr>
                <w:noProof/>
                <w:szCs w:val="24"/>
              </w:rPr>
              <w:t>ha</w:t>
            </w:r>
            <w:r w:rsidR="1F73CF05" w:rsidRPr="00F261DB">
              <w:rPr>
                <w:noProof/>
                <w:szCs w:val="24"/>
              </w:rPr>
              <w:t>ve</w:t>
            </w:r>
            <w:r w:rsidRPr="00F261DB">
              <w:rPr>
                <w:noProof/>
                <w:szCs w:val="24"/>
              </w:rPr>
              <w:t xml:space="preserve"> been improved based </w:t>
            </w:r>
            <w:r w:rsidR="00D018F4" w:rsidRPr="00F261DB">
              <w:rPr>
                <w:noProof/>
                <w:szCs w:val="24"/>
              </w:rPr>
              <w:t>upon</w:t>
            </w:r>
            <w:r w:rsidRPr="00F261DB">
              <w:rPr>
                <w:noProof/>
                <w:szCs w:val="24"/>
              </w:rPr>
              <w:t xml:space="preserve"> available data, and the </w:t>
            </w:r>
            <w:r w:rsidR="378E2ED7" w:rsidRPr="00F261DB">
              <w:rPr>
                <w:noProof/>
                <w:szCs w:val="24"/>
              </w:rPr>
              <w:t xml:space="preserve">assumptions are </w:t>
            </w:r>
            <w:r w:rsidR="00BA0B79" w:rsidRPr="00F261DB">
              <w:rPr>
                <w:noProof/>
                <w:szCs w:val="24"/>
              </w:rPr>
              <w:t xml:space="preserve">more clearly and </w:t>
            </w:r>
            <w:r w:rsidR="378E2ED7" w:rsidRPr="00F261DB">
              <w:rPr>
                <w:noProof/>
                <w:szCs w:val="24"/>
              </w:rPr>
              <w:t>transparently</w:t>
            </w:r>
            <w:r w:rsidRPr="00F261DB">
              <w:rPr>
                <w:noProof/>
                <w:szCs w:val="24"/>
              </w:rPr>
              <w:t xml:space="preserve"> reflected in Annex 4. The pass</w:t>
            </w:r>
            <w:r w:rsidR="6027E0B9" w:rsidRPr="00F261DB">
              <w:rPr>
                <w:noProof/>
                <w:szCs w:val="24"/>
              </w:rPr>
              <w:t>-</w:t>
            </w:r>
            <w:r w:rsidRPr="00F261DB">
              <w:rPr>
                <w:noProof/>
                <w:szCs w:val="24"/>
              </w:rPr>
              <w:t>th</w:t>
            </w:r>
            <w:r w:rsidR="65E96155" w:rsidRPr="00F261DB">
              <w:rPr>
                <w:noProof/>
                <w:szCs w:val="24"/>
              </w:rPr>
              <w:t>rough</w:t>
            </w:r>
            <w:r w:rsidRPr="00F261DB">
              <w:rPr>
                <w:noProof/>
                <w:szCs w:val="24"/>
              </w:rPr>
              <w:t xml:space="preserve"> </w:t>
            </w:r>
            <w:r w:rsidR="65E96155" w:rsidRPr="00F261DB">
              <w:rPr>
                <w:noProof/>
                <w:szCs w:val="24"/>
              </w:rPr>
              <w:t xml:space="preserve">effects have been </w:t>
            </w:r>
            <w:r w:rsidR="3429995F" w:rsidRPr="00F261DB">
              <w:rPr>
                <w:noProof/>
                <w:szCs w:val="24"/>
              </w:rPr>
              <w:t>emphasized</w:t>
            </w:r>
            <w:r w:rsidR="65E96155" w:rsidRPr="00F261DB">
              <w:rPr>
                <w:noProof/>
                <w:szCs w:val="24"/>
              </w:rPr>
              <w:t>, following the assumption of full pass through to customers and public administrations</w:t>
            </w:r>
            <w:r w:rsidR="00927E48" w:rsidRPr="00F261DB">
              <w:rPr>
                <w:noProof/>
              </w:rPr>
              <w:t>, wherever relevant</w:t>
            </w:r>
            <w:r w:rsidR="65E96155" w:rsidRPr="00F261DB">
              <w:rPr>
                <w:noProof/>
                <w:szCs w:val="24"/>
              </w:rPr>
              <w:t>.</w:t>
            </w:r>
          </w:p>
          <w:p w14:paraId="68C321C5" w14:textId="77777777" w:rsidR="0040025B" w:rsidRPr="00F261DB" w:rsidRDefault="0040025B" w:rsidP="1F9C1569">
            <w:pPr>
              <w:rPr>
                <w:noProof/>
                <w:sz w:val="24"/>
                <w:szCs w:val="24"/>
              </w:rPr>
            </w:pPr>
          </w:p>
          <w:p w14:paraId="69294913" w14:textId="77777777" w:rsidR="007F3346" w:rsidRPr="00F261DB" w:rsidRDefault="007F3346" w:rsidP="1F9C1569">
            <w:pPr>
              <w:rPr>
                <w:noProof/>
                <w:sz w:val="24"/>
                <w:szCs w:val="24"/>
              </w:rPr>
            </w:pPr>
          </w:p>
          <w:p w14:paraId="5F4DE595" w14:textId="77777777" w:rsidR="001F4BFB" w:rsidRPr="00F261DB" w:rsidRDefault="001F4BFB" w:rsidP="1F9C1569">
            <w:pPr>
              <w:rPr>
                <w:noProof/>
                <w:sz w:val="24"/>
                <w:szCs w:val="24"/>
              </w:rPr>
            </w:pPr>
          </w:p>
          <w:p w14:paraId="07A820A1" w14:textId="382D302D" w:rsidR="0040025B" w:rsidRPr="00F261DB" w:rsidRDefault="0040025B" w:rsidP="1F9C1569">
            <w:pPr>
              <w:rPr>
                <w:noProof/>
                <w:sz w:val="24"/>
                <w:szCs w:val="24"/>
              </w:rPr>
            </w:pPr>
            <w:r w:rsidRPr="00F261DB">
              <w:rPr>
                <w:noProof/>
                <w:szCs w:val="24"/>
              </w:rPr>
              <w:lastRenderedPageBreak/>
              <w:t>The inflationary effects were also briefly explained</w:t>
            </w:r>
            <w:r w:rsidR="00165CFA">
              <w:rPr>
                <w:noProof/>
                <w:szCs w:val="24"/>
              </w:rPr>
              <w:t>, notably when presenting where relevant impacts on final products’ prices</w:t>
            </w:r>
            <w:r w:rsidRPr="00F261DB">
              <w:rPr>
                <w:noProof/>
                <w:szCs w:val="24"/>
              </w:rPr>
              <w:t xml:space="preserve">. </w:t>
            </w:r>
          </w:p>
          <w:p w14:paraId="08F628A1" w14:textId="46561CCB" w:rsidR="0040025B" w:rsidRPr="00F261DB" w:rsidRDefault="0040025B" w:rsidP="1F9C1569">
            <w:pPr>
              <w:rPr>
                <w:noProof/>
                <w:sz w:val="24"/>
                <w:szCs w:val="24"/>
              </w:rPr>
            </w:pPr>
          </w:p>
          <w:p w14:paraId="348D63A3" w14:textId="77777777" w:rsidR="00631DC0" w:rsidRPr="00F261DB" w:rsidRDefault="00631DC0" w:rsidP="1F9C1569">
            <w:pPr>
              <w:rPr>
                <w:noProof/>
                <w:sz w:val="24"/>
                <w:szCs w:val="24"/>
              </w:rPr>
            </w:pPr>
          </w:p>
          <w:p w14:paraId="01159C01" w14:textId="1A2717CB" w:rsidR="001D5D3B" w:rsidRPr="00F261DB" w:rsidRDefault="0040025B">
            <w:pPr>
              <w:rPr>
                <w:noProof/>
                <w:sz w:val="24"/>
                <w:szCs w:val="24"/>
              </w:rPr>
            </w:pPr>
            <w:r w:rsidRPr="00F261DB">
              <w:rPr>
                <w:noProof/>
                <w:szCs w:val="24"/>
              </w:rPr>
              <w:t xml:space="preserve">The assessment of costs and benefits for each </w:t>
            </w:r>
            <w:r w:rsidR="00EC4055" w:rsidRPr="00F261DB">
              <w:rPr>
                <w:noProof/>
                <w:szCs w:val="24"/>
              </w:rPr>
              <w:t>policy option</w:t>
            </w:r>
            <w:r w:rsidRPr="00F261DB">
              <w:rPr>
                <w:noProof/>
                <w:szCs w:val="24"/>
              </w:rPr>
              <w:t xml:space="preserve"> was conducted for the year 2030</w:t>
            </w:r>
            <w:r w:rsidR="000F1573">
              <w:rPr>
                <w:noProof/>
              </w:rPr>
              <w:t>,</w:t>
            </w:r>
            <w:r w:rsidR="00927E48" w:rsidRPr="00F261DB">
              <w:rPr>
                <w:noProof/>
              </w:rPr>
              <w:t xml:space="preserve"> while</w:t>
            </w:r>
            <w:r w:rsidR="000F1573">
              <w:rPr>
                <w:noProof/>
              </w:rPr>
              <w:t xml:space="preserve"> the</w:t>
            </w:r>
            <w:r w:rsidR="001D5D3B">
              <w:rPr>
                <w:noProof/>
              </w:rPr>
              <w:t xml:space="preserve"> </w:t>
            </w:r>
            <w:r w:rsidR="001D5D3B" w:rsidRPr="00F261DB">
              <w:rPr>
                <w:noProof/>
                <w:szCs w:val="24"/>
              </w:rPr>
              <w:t xml:space="preserve">Efficiency </w:t>
            </w:r>
            <w:r w:rsidR="00E8682E">
              <w:rPr>
                <w:noProof/>
                <w:szCs w:val="24"/>
              </w:rPr>
              <w:t>Section</w:t>
            </w:r>
            <w:r w:rsidR="005F026F" w:rsidRPr="00F261DB">
              <w:rPr>
                <w:noProof/>
                <w:szCs w:val="24"/>
              </w:rPr>
              <w:t xml:space="preserve"> 7.1</w:t>
            </w:r>
            <w:r w:rsidR="00AB7512" w:rsidRPr="00F261DB">
              <w:rPr>
                <w:noProof/>
                <w:szCs w:val="24"/>
              </w:rPr>
              <w:t xml:space="preserve"> now has </w:t>
            </w:r>
            <w:r w:rsidR="001D598D" w:rsidRPr="00F261DB">
              <w:rPr>
                <w:noProof/>
                <w:szCs w:val="24"/>
              </w:rPr>
              <w:t>a summary of all costs and benefits of</w:t>
            </w:r>
            <w:r w:rsidR="00411428" w:rsidRPr="00F261DB">
              <w:rPr>
                <w:noProof/>
                <w:szCs w:val="24"/>
              </w:rPr>
              <w:t xml:space="preserve"> the </w:t>
            </w:r>
            <w:r w:rsidR="00927E48" w:rsidRPr="00F261DB">
              <w:rPr>
                <w:noProof/>
              </w:rPr>
              <w:t>longer-term perspective</w:t>
            </w:r>
            <w:r w:rsidR="00927E48" w:rsidRPr="00CD2CD8">
              <w:rPr>
                <w:noProof/>
              </w:rPr>
              <w:t xml:space="preserve"> </w:t>
            </w:r>
            <w:r w:rsidR="00467413" w:rsidRPr="00CD2CD8">
              <w:rPr>
                <w:noProof/>
              </w:rPr>
              <w:t xml:space="preserve">for the </w:t>
            </w:r>
            <w:r w:rsidR="00411428" w:rsidRPr="00F261DB">
              <w:rPr>
                <w:noProof/>
                <w:szCs w:val="24"/>
              </w:rPr>
              <w:t>different</w:t>
            </w:r>
            <w:r w:rsidR="001D598D" w:rsidRPr="00F261DB">
              <w:rPr>
                <w:noProof/>
                <w:szCs w:val="24"/>
              </w:rPr>
              <w:t xml:space="preserve"> policy options</w:t>
            </w:r>
            <w:r w:rsidR="00411428" w:rsidRPr="00F261DB">
              <w:rPr>
                <w:noProof/>
                <w:szCs w:val="24"/>
              </w:rPr>
              <w:t xml:space="preserve">. </w:t>
            </w:r>
            <w:r w:rsidR="003F2755" w:rsidRPr="00F261DB">
              <w:rPr>
                <w:noProof/>
                <w:szCs w:val="24"/>
              </w:rPr>
              <w:t xml:space="preserve">Annex 4 </w:t>
            </w:r>
            <w:r w:rsidR="00411428" w:rsidRPr="00F261DB">
              <w:rPr>
                <w:noProof/>
                <w:szCs w:val="24"/>
              </w:rPr>
              <w:t>has individual</w:t>
            </w:r>
            <w:r w:rsidR="003F2755" w:rsidRPr="00F261DB">
              <w:rPr>
                <w:noProof/>
                <w:szCs w:val="24"/>
              </w:rPr>
              <w:t xml:space="preserve"> </w:t>
            </w:r>
            <w:r w:rsidR="00CE4071" w:rsidRPr="00F261DB">
              <w:rPr>
                <w:noProof/>
                <w:szCs w:val="24"/>
              </w:rPr>
              <w:t>tables</w:t>
            </w:r>
            <w:r w:rsidR="00411428" w:rsidRPr="00F261DB">
              <w:rPr>
                <w:noProof/>
                <w:szCs w:val="24"/>
              </w:rPr>
              <w:t xml:space="preserve"> per </w:t>
            </w:r>
            <w:r w:rsidR="00D0748B" w:rsidRPr="00CD2CD8">
              <w:rPr>
                <w:noProof/>
                <w:szCs w:val="24"/>
              </w:rPr>
              <w:t xml:space="preserve">type of cost or benefit, for all relevant </w:t>
            </w:r>
            <w:r w:rsidR="00411428" w:rsidRPr="00F261DB">
              <w:rPr>
                <w:noProof/>
                <w:szCs w:val="24"/>
              </w:rPr>
              <w:t>S</w:t>
            </w:r>
            <w:r w:rsidR="001C3BD4">
              <w:rPr>
                <w:noProof/>
                <w:szCs w:val="24"/>
              </w:rPr>
              <w:t>O</w:t>
            </w:r>
            <w:r w:rsidR="00D0748B" w:rsidRPr="00CD2CD8">
              <w:rPr>
                <w:noProof/>
                <w:szCs w:val="24"/>
              </w:rPr>
              <w:t>s,</w:t>
            </w:r>
            <w:r w:rsidR="00CE4071" w:rsidRPr="00F261DB">
              <w:rPr>
                <w:noProof/>
                <w:szCs w:val="24"/>
              </w:rPr>
              <w:t xml:space="preserve"> with </w:t>
            </w:r>
            <w:r w:rsidR="00D0748B" w:rsidRPr="00CD2CD8">
              <w:rPr>
                <w:noProof/>
                <w:szCs w:val="24"/>
              </w:rPr>
              <w:t>the</w:t>
            </w:r>
            <w:r w:rsidR="00CE4071" w:rsidRPr="00CD2CD8">
              <w:rPr>
                <w:noProof/>
                <w:szCs w:val="24"/>
              </w:rPr>
              <w:t xml:space="preserve"> </w:t>
            </w:r>
            <w:r w:rsidR="00411428" w:rsidRPr="00F261DB">
              <w:rPr>
                <w:noProof/>
                <w:szCs w:val="24"/>
              </w:rPr>
              <w:t>calculations used to reach the final</w:t>
            </w:r>
            <w:r w:rsidR="00CA5FD4" w:rsidRPr="00F261DB">
              <w:rPr>
                <w:noProof/>
                <w:szCs w:val="24"/>
              </w:rPr>
              <w:t xml:space="preserve"> </w:t>
            </w:r>
            <w:r w:rsidR="001C3BD4">
              <w:rPr>
                <w:noProof/>
                <w:szCs w:val="24"/>
              </w:rPr>
              <w:t xml:space="preserve">summary </w:t>
            </w:r>
            <w:r w:rsidR="00CA5FD4" w:rsidRPr="00F261DB">
              <w:rPr>
                <w:noProof/>
                <w:szCs w:val="24"/>
              </w:rPr>
              <w:t xml:space="preserve">Table of </w:t>
            </w:r>
            <w:r w:rsidR="00E8682E">
              <w:rPr>
                <w:noProof/>
                <w:szCs w:val="24"/>
              </w:rPr>
              <w:t>Section</w:t>
            </w:r>
            <w:r w:rsidR="00CA5FD4" w:rsidRPr="00F261DB">
              <w:rPr>
                <w:noProof/>
                <w:szCs w:val="24"/>
              </w:rPr>
              <w:t xml:space="preserve"> 7.1.</w:t>
            </w:r>
          </w:p>
          <w:p w14:paraId="04C22C6C" w14:textId="1B27B163" w:rsidR="00E8450C" w:rsidRPr="00F261DB" w:rsidRDefault="00480BEE">
            <w:pPr>
              <w:rPr>
                <w:noProof/>
                <w:sz w:val="24"/>
                <w:szCs w:val="24"/>
              </w:rPr>
            </w:pPr>
            <w:r>
              <w:rPr>
                <w:noProof/>
                <w:szCs w:val="24"/>
              </w:rPr>
              <w:t xml:space="preserve"> </w:t>
            </w:r>
          </w:p>
        </w:tc>
      </w:tr>
      <w:tr w:rsidR="00E8450C" w:rsidRPr="00F261DB" w14:paraId="57F5A142" w14:textId="77777777" w:rsidTr="00B8051B">
        <w:tc>
          <w:tcPr>
            <w:tcW w:w="4621" w:type="dxa"/>
            <w:tcMar>
              <w:top w:w="113" w:type="dxa"/>
              <w:left w:w="113" w:type="dxa"/>
              <w:bottom w:w="113" w:type="dxa"/>
              <w:right w:w="113" w:type="dxa"/>
            </w:tcMar>
          </w:tcPr>
          <w:p w14:paraId="2995B89E" w14:textId="77777777" w:rsidR="00E8450C" w:rsidRPr="00F261DB" w:rsidRDefault="00E8450C">
            <w:pPr>
              <w:rPr>
                <w:noProof/>
                <w:sz w:val="24"/>
                <w:szCs w:val="24"/>
              </w:rPr>
            </w:pPr>
            <w:r w:rsidRPr="00F261DB">
              <w:rPr>
                <w:noProof/>
                <w:szCs w:val="24"/>
              </w:rPr>
              <w:lastRenderedPageBreak/>
              <w:t xml:space="preserve">(7) </w:t>
            </w:r>
            <w:r w:rsidRPr="00F261DB">
              <w:rPr>
                <w:noProof/>
              </w:rPr>
              <w:t>The simplification and burden reduction dimension of this initiative needs to be better analysed.</w:t>
            </w:r>
            <w:r w:rsidRPr="00F261DB">
              <w:rPr>
                <w:noProof/>
                <w:szCs w:val="24"/>
              </w:rPr>
              <w:t xml:space="preserve"> </w:t>
            </w:r>
          </w:p>
          <w:p w14:paraId="6FD85365" w14:textId="6731A10A" w:rsidR="00E8450C" w:rsidRPr="00F261DB" w:rsidRDefault="00E8450C">
            <w:pPr>
              <w:rPr>
                <w:noProof/>
                <w:sz w:val="24"/>
                <w:szCs w:val="24"/>
              </w:rPr>
            </w:pPr>
          </w:p>
          <w:p w14:paraId="51514D63" w14:textId="6ED0B4F1" w:rsidR="002838FE" w:rsidRDefault="002838FE">
            <w:pPr>
              <w:rPr>
                <w:noProof/>
              </w:rPr>
            </w:pPr>
          </w:p>
          <w:p w14:paraId="7407740E" w14:textId="0E3C65DF" w:rsidR="002838FE" w:rsidRDefault="002838FE">
            <w:pPr>
              <w:rPr>
                <w:noProof/>
              </w:rPr>
            </w:pPr>
          </w:p>
          <w:p w14:paraId="63453F78" w14:textId="43764E54" w:rsidR="002838FE" w:rsidRDefault="002838FE">
            <w:pPr>
              <w:rPr>
                <w:noProof/>
              </w:rPr>
            </w:pPr>
          </w:p>
          <w:p w14:paraId="6009EC30" w14:textId="634B2959" w:rsidR="002838FE" w:rsidRDefault="002838FE">
            <w:pPr>
              <w:rPr>
                <w:noProof/>
              </w:rPr>
            </w:pPr>
          </w:p>
          <w:p w14:paraId="33E51927" w14:textId="77777777" w:rsidR="00A94263" w:rsidRDefault="00A94263">
            <w:pPr>
              <w:rPr>
                <w:noProof/>
              </w:rPr>
            </w:pPr>
          </w:p>
          <w:p w14:paraId="3ECA9E38" w14:textId="77777777" w:rsidR="00A94263" w:rsidRDefault="00A94263">
            <w:pPr>
              <w:rPr>
                <w:noProof/>
              </w:rPr>
            </w:pPr>
          </w:p>
          <w:p w14:paraId="59044D44" w14:textId="488A3F00" w:rsidR="00E8450C" w:rsidRPr="00F261DB" w:rsidRDefault="00E8450C">
            <w:pPr>
              <w:rPr>
                <w:noProof/>
                <w:sz w:val="24"/>
                <w:szCs w:val="24"/>
              </w:rPr>
            </w:pPr>
            <w:r w:rsidRPr="00F261DB">
              <w:rPr>
                <w:noProof/>
                <w:szCs w:val="24"/>
              </w:rPr>
              <w:t xml:space="preserve">The tables in annex 3 need to be revised to provide a clearer representation of the overall costs and benefits. </w:t>
            </w:r>
          </w:p>
          <w:p w14:paraId="1515020C" w14:textId="5EC26E01" w:rsidR="00E8450C" w:rsidRPr="00F261DB" w:rsidRDefault="00E8450C">
            <w:pPr>
              <w:rPr>
                <w:noProof/>
                <w:sz w:val="24"/>
                <w:szCs w:val="24"/>
              </w:rPr>
            </w:pPr>
          </w:p>
          <w:p w14:paraId="0F6C2898" w14:textId="6EC9ADE0" w:rsidR="002D2C99" w:rsidRDefault="002D2C99">
            <w:pPr>
              <w:rPr>
                <w:noProof/>
              </w:rPr>
            </w:pPr>
          </w:p>
          <w:p w14:paraId="6FD136B0" w14:textId="4A4F9BB9" w:rsidR="002D2C99" w:rsidRDefault="002D2C99">
            <w:pPr>
              <w:rPr>
                <w:noProof/>
              </w:rPr>
            </w:pPr>
          </w:p>
          <w:p w14:paraId="1ADFC7D9" w14:textId="77777777" w:rsidR="00E8450C" w:rsidRPr="00F261DB" w:rsidRDefault="00E8450C">
            <w:pPr>
              <w:rPr>
                <w:noProof/>
                <w:sz w:val="24"/>
                <w:szCs w:val="24"/>
              </w:rPr>
            </w:pPr>
            <w:r w:rsidRPr="00F261DB">
              <w:rPr>
                <w:noProof/>
                <w:szCs w:val="24"/>
              </w:rPr>
              <w:t>The estimates of the administrative costs need to be revised to ensure a credible calculation of the net administrative burdens.</w:t>
            </w:r>
          </w:p>
          <w:p w14:paraId="61FC3FC1" w14:textId="77777777" w:rsidR="00D41096" w:rsidRPr="00F261DB" w:rsidRDefault="00D41096">
            <w:pPr>
              <w:rPr>
                <w:noProof/>
                <w:sz w:val="24"/>
                <w:szCs w:val="24"/>
              </w:rPr>
            </w:pPr>
          </w:p>
        </w:tc>
        <w:tc>
          <w:tcPr>
            <w:tcW w:w="4621" w:type="dxa"/>
            <w:tcMar>
              <w:top w:w="113" w:type="dxa"/>
              <w:left w:w="113" w:type="dxa"/>
              <w:bottom w:w="113" w:type="dxa"/>
              <w:right w:w="113" w:type="dxa"/>
            </w:tcMar>
          </w:tcPr>
          <w:p w14:paraId="0B117F93" w14:textId="77E2A29A" w:rsidR="00E60CDE" w:rsidRPr="00F261DB" w:rsidRDefault="00E60CDE" w:rsidP="4AE33500">
            <w:pPr>
              <w:rPr>
                <w:noProof/>
                <w:sz w:val="24"/>
                <w:szCs w:val="24"/>
              </w:rPr>
            </w:pPr>
            <w:r w:rsidRPr="00F261DB">
              <w:rPr>
                <w:noProof/>
                <w:szCs w:val="24"/>
              </w:rPr>
              <w:t xml:space="preserve">The administrative burden reduction was emphasised in the </w:t>
            </w:r>
            <w:r w:rsidR="00916849" w:rsidRPr="00F261DB">
              <w:rPr>
                <w:noProof/>
                <w:szCs w:val="24"/>
              </w:rPr>
              <w:t xml:space="preserve">one-in one-out table </w:t>
            </w:r>
            <w:r w:rsidR="00F224D4" w:rsidRPr="00F261DB">
              <w:rPr>
                <w:noProof/>
                <w:szCs w:val="24"/>
              </w:rPr>
              <w:t>in Annex 3</w:t>
            </w:r>
            <w:r w:rsidR="00916849" w:rsidRPr="00F261DB">
              <w:rPr>
                <w:noProof/>
                <w:szCs w:val="24"/>
              </w:rPr>
              <w:t xml:space="preserve">, showing overall administrative savings for businesses, in particular from the permitting provisions. </w:t>
            </w:r>
            <w:r w:rsidR="000B20BB" w:rsidRPr="00CD2CD8">
              <w:rPr>
                <w:noProof/>
                <w:szCs w:val="24"/>
              </w:rPr>
              <w:t xml:space="preserve">Overall administrative benefits derived from the </w:t>
            </w:r>
            <w:r w:rsidR="009A3A88" w:rsidRPr="00CD2CD8">
              <w:rPr>
                <w:noProof/>
                <w:szCs w:val="24"/>
              </w:rPr>
              <w:t>digitalisation of permitting provisions has been adjusted</w:t>
            </w:r>
            <w:r w:rsidR="004F1189" w:rsidRPr="00CD2CD8">
              <w:rPr>
                <w:noProof/>
                <w:szCs w:val="24"/>
              </w:rPr>
              <w:t xml:space="preserve">, </w:t>
            </w:r>
            <w:r w:rsidR="002D1830" w:rsidRPr="00CD2CD8">
              <w:rPr>
                <w:noProof/>
                <w:szCs w:val="24"/>
              </w:rPr>
              <w:t>after</w:t>
            </w:r>
            <w:r w:rsidR="004F1189" w:rsidRPr="00CD2CD8">
              <w:rPr>
                <w:noProof/>
                <w:szCs w:val="24"/>
              </w:rPr>
              <w:t xml:space="preserve"> reconsideration of </w:t>
            </w:r>
            <w:r w:rsidR="002D1830" w:rsidRPr="00CD2CD8">
              <w:rPr>
                <w:noProof/>
                <w:szCs w:val="24"/>
              </w:rPr>
              <w:t xml:space="preserve">the </w:t>
            </w:r>
            <w:r w:rsidR="004F1189" w:rsidRPr="00CD2CD8">
              <w:rPr>
                <w:noProof/>
                <w:szCs w:val="24"/>
              </w:rPr>
              <w:t>expected benefits from the Once Only Technical System</w:t>
            </w:r>
            <w:r w:rsidR="00195ED0">
              <w:rPr>
                <w:noProof/>
                <w:szCs w:val="24"/>
              </w:rPr>
              <w:t xml:space="preserve"> </w:t>
            </w:r>
            <w:r w:rsidR="006E410A">
              <w:rPr>
                <w:noProof/>
                <w:szCs w:val="24"/>
              </w:rPr>
              <w:t>for the permitting processes</w:t>
            </w:r>
            <w:r w:rsidR="004F1189" w:rsidRPr="00CD2CD8">
              <w:rPr>
                <w:noProof/>
                <w:szCs w:val="24"/>
              </w:rPr>
              <w:t xml:space="preserve">. </w:t>
            </w:r>
          </w:p>
          <w:p w14:paraId="58DB2125" w14:textId="77777777" w:rsidR="00916849" w:rsidRPr="00F261DB" w:rsidRDefault="00916849" w:rsidP="4AE33500">
            <w:pPr>
              <w:rPr>
                <w:noProof/>
                <w:sz w:val="24"/>
                <w:szCs w:val="24"/>
              </w:rPr>
            </w:pPr>
          </w:p>
          <w:p w14:paraId="19A3B80E" w14:textId="6FAA2A7A" w:rsidR="00E4251A" w:rsidRPr="00F261DB" w:rsidRDefault="72B0B587">
            <w:pPr>
              <w:rPr>
                <w:noProof/>
                <w:sz w:val="24"/>
                <w:szCs w:val="24"/>
              </w:rPr>
            </w:pPr>
            <w:r w:rsidRPr="00F261DB">
              <w:rPr>
                <w:noProof/>
                <w:szCs w:val="24"/>
              </w:rPr>
              <w:t xml:space="preserve">Table I on the overview of benefits </w:t>
            </w:r>
            <w:r w:rsidR="57814735" w:rsidRPr="00F261DB">
              <w:rPr>
                <w:noProof/>
                <w:szCs w:val="24"/>
              </w:rPr>
              <w:t>in Annex 3</w:t>
            </w:r>
            <w:r w:rsidRPr="00F261DB">
              <w:rPr>
                <w:noProof/>
                <w:szCs w:val="24"/>
              </w:rPr>
              <w:t xml:space="preserve"> was </w:t>
            </w:r>
            <w:r w:rsidR="6A01F6F6" w:rsidRPr="00F261DB">
              <w:rPr>
                <w:noProof/>
                <w:szCs w:val="24"/>
              </w:rPr>
              <w:t>updated</w:t>
            </w:r>
            <w:r w:rsidRPr="00F261DB">
              <w:rPr>
                <w:noProof/>
                <w:szCs w:val="24"/>
              </w:rPr>
              <w:t xml:space="preserve"> to reflect </w:t>
            </w:r>
            <w:r w:rsidR="6A01F6F6" w:rsidRPr="00F261DB">
              <w:rPr>
                <w:noProof/>
                <w:szCs w:val="24"/>
              </w:rPr>
              <w:t xml:space="preserve">the </w:t>
            </w:r>
            <w:r w:rsidR="44AB2F0B" w:rsidRPr="00F261DB">
              <w:rPr>
                <w:noProof/>
                <w:szCs w:val="24"/>
              </w:rPr>
              <w:t xml:space="preserve">appraisal period </w:t>
            </w:r>
            <w:r w:rsidR="00B94EFA" w:rsidRPr="00F261DB">
              <w:rPr>
                <w:noProof/>
                <w:szCs w:val="24"/>
              </w:rPr>
              <w:t>for</w:t>
            </w:r>
            <w:r w:rsidR="000F7692" w:rsidRPr="00F261DB">
              <w:rPr>
                <w:noProof/>
                <w:szCs w:val="24"/>
              </w:rPr>
              <w:t xml:space="preserve"> </w:t>
            </w:r>
            <w:r w:rsidR="44AB2F0B" w:rsidRPr="00F261DB">
              <w:rPr>
                <w:noProof/>
                <w:szCs w:val="24"/>
              </w:rPr>
              <w:t>2030</w:t>
            </w:r>
            <w:r w:rsidR="4D393BF6" w:rsidRPr="00F261DB">
              <w:rPr>
                <w:noProof/>
                <w:szCs w:val="24"/>
              </w:rPr>
              <w:t>, where possible</w:t>
            </w:r>
            <w:r w:rsidR="405CC5CF" w:rsidRPr="00F261DB">
              <w:rPr>
                <w:noProof/>
                <w:szCs w:val="24"/>
              </w:rPr>
              <w:t>.</w:t>
            </w:r>
            <w:r w:rsidR="44AB2F0B" w:rsidRPr="00F261DB">
              <w:rPr>
                <w:noProof/>
                <w:szCs w:val="24"/>
              </w:rPr>
              <w:t xml:space="preserve"> Table II on the overview of costs was </w:t>
            </w:r>
            <w:r w:rsidR="7FC4BD54" w:rsidRPr="00F261DB">
              <w:rPr>
                <w:noProof/>
                <w:szCs w:val="24"/>
              </w:rPr>
              <w:t>broken down by policy measure</w:t>
            </w:r>
            <w:r w:rsidR="194EDE30" w:rsidRPr="00F261DB">
              <w:rPr>
                <w:noProof/>
                <w:szCs w:val="24"/>
              </w:rPr>
              <w:t>,</w:t>
            </w:r>
            <w:r w:rsidR="7FC4BD54" w:rsidRPr="00F261DB">
              <w:rPr>
                <w:noProof/>
                <w:szCs w:val="24"/>
              </w:rPr>
              <w:t xml:space="preserve"> and the quantification of costs was further expanded </w:t>
            </w:r>
            <w:r w:rsidR="594FB7AE" w:rsidRPr="00F261DB">
              <w:rPr>
                <w:noProof/>
                <w:szCs w:val="24"/>
              </w:rPr>
              <w:t>upon</w:t>
            </w:r>
            <w:r w:rsidR="7FC4BD54" w:rsidRPr="00F261DB">
              <w:rPr>
                <w:noProof/>
                <w:szCs w:val="24"/>
              </w:rPr>
              <w:t>.</w:t>
            </w:r>
            <w:r w:rsidR="13247BA1" w:rsidRPr="00F261DB">
              <w:rPr>
                <w:noProof/>
                <w:szCs w:val="24"/>
              </w:rPr>
              <w:t xml:space="preserve"> </w:t>
            </w:r>
          </w:p>
          <w:p w14:paraId="1B3D97CF" w14:textId="77777777" w:rsidR="00E4251A" w:rsidRPr="00F261DB" w:rsidRDefault="00E4251A">
            <w:pPr>
              <w:rPr>
                <w:noProof/>
                <w:sz w:val="24"/>
                <w:szCs w:val="24"/>
              </w:rPr>
            </w:pPr>
          </w:p>
          <w:p w14:paraId="2526AE33" w14:textId="38B32F67" w:rsidR="00E8450C" w:rsidRPr="00F261DB" w:rsidRDefault="3AC0A7B5">
            <w:pPr>
              <w:rPr>
                <w:noProof/>
                <w:sz w:val="24"/>
                <w:szCs w:val="24"/>
              </w:rPr>
            </w:pPr>
            <w:r w:rsidRPr="00F261DB">
              <w:rPr>
                <w:noProof/>
                <w:szCs w:val="24"/>
              </w:rPr>
              <w:t>T</w:t>
            </w:r>
            <w:r w:rsidR="6EE0476E" w:rsidRPr="00F261DB">
              <w:rPr>
                <w:noProof/>
                <w:szCs w:val="24"/>
              </w:rPr>
              <w:t>he</w:t>
            </w:r>
            <w:r w:rsidR="13247BA1" w:rsidRPr="00F261DB">
              <w:rPr>
                <w:noProof/>
                <w:szCs w:val="24"/>
              </w:rPr>
              <w:t xml:space="preserve"> methodology </w:t>
            </w:r>
            <w:r w:rsidR="00E8682E">
              <w:rPr>
                <w:noProof/>
                <w:szCs w:val="24"/>
              </w:rPr>
              <w:t>Section</w:t>
            </w:r>
            <w:r w:rsidR="13247BA1" w:rsidRPr="00F261DB">
              <w:rPr>
                <w:noProof/>
                <w:szCs w:val="24"/>
              </w:rPr>
              <w:t xml:space="preserve"> of Annex 4 </w:t>
            </w:r>
            <w:r w:rsidR="00FB5ACE" w:rsidRPr="00F261DB">
              <w:rPr>
                <w:noProof/>
                <w:szCs w:val="24"/>
              </w:rPr>
              <w:t xml:space="preserve">has been </w:t>
            </w:r>
            <w:r w:rsidR="42C2A8D0" w:rsidRPr="00F261DB">
              <w:rPr>
                <w:noProof/>
                <w:szCs w:val="24"/>
              </w:rPr>
              <w:t xml:space="preserve">further </w:t>
            </w:r>
            <w:r w:rsidR="00B94EFA" w:rsidRPr="00F261DB">
              <w:rPr>
                <w:noProof/>
                <w:szCs w:val="24"/>
              </w:rPr>
              <w:t>developed</w:t>
            </w:r>
            <w:r w:rsidR="00DD759B" w:rsidRPr="00F261DB">
              <w:rPr>
                <w:noProof/>
                <w:szCs w:val="24"/>
              </w:rPr>
              <w:t xml:space="preserve">, to transparently reflect the </w:t>
            </w:r>
            <w:r w:rsidR="00471CFF" w:rsidRPr="00F261DB">
              <w:rPr>
                <w:noProof/>
                <w:szCs w:val="24"/>
              </w:rPr>
              <w:t>cost and benefit analysis</w:t>
            </w:r>
            <w:r w:rsidR="00B366E0" w:rsidRPr="00F261DB">
              <w:rPr>
                <w:noProof/>
                <w:szCs w:val="24"/>
              </w:rPr>
              <w:t xml:space="preserve"> of the different policy m</w:t>
            </w:r>
            <w:r w:rsidR="00396B65" w:rsidRPr="00F261DB">
              <w:rPr>
                <w:noProof/>
                <w:szCs w:val="24"/>
              </w:rPr>
              <w:t>easures assessed</w:t>
            </w:r>
            <w:r w:rsidR="13247BA1" w:rsidRPr="00F261DB">
              <w:rPr>
                <w:noProof/>
                <w:szCs w:val="24"/>
              </w:rPr>
              <w:t xml:space="preserve">. </w:t>
            </w:r>
            <w:r w:rsidR="0054347F">
              <w:rPr>
                <w:noProof/>
                <w:szCs w:val="24"/>
              </w:rPr>
              <w:t xml:space="preserve">Annex 4 now </w:t>
            </w:r>
            <w:r w:rsidR="000164A1">
              <w:rPr>
                <w:noProof/>
                <w:szCs w:val="24"/>
              </w:rPr>
              <w:t>includes</w:t>
            </w:r>
            <w:r w:rsidR="0054347F">
              <w:rPr>
                <w:noProof/>
                <w:szCs w:val="24"/>
              </w:rPr>
              <w:t xml:space="preserve"> all relevant assumptions and </w:t>
            </w:r>
            <w:r w:rsidR="00BF58C6">
              <w:rPr>
                <w:noProof/>
                <w:szCs w:val="24"/>
              </w:rPr>
              <w:t>calculations</w:t>
            </w:r>
            <w:r w:rsidR="0054347F">
              <w:rPr>
                <w:noProof/>
                <w:szCs w:val="24"/>
              </w:rPr>
              <w:t xml:space="preserve"> necessary t</w:t>
            </w:r>
            <w:r w:rsidR="00346C22">
              <w:rPr>
                <w:noProof/>
                <w:szCs w:val="24"/>
              </w:rPr>
              <w:t xml:space="preserve">o understand the cost and benefit </w:t>
            </w:r>
            <w:r w:rsidR="00BF58C6">
              <w:rPr>
                <w:noProof/>
                <w:szCs w:val="24"/>
              </w:rPr>
              <w:t>analysis</w:t>
            </w:r>
            <w:r w:rsidR="00346C22">
              <w:rPr>
                <w:noProof/>
                <w:szCs w:val="24"/>
              </w:rPr>
              <w:t xml:space="preserve">. </w:t>
            </w:r>
            <w:r w:rsidR="2456E6C2" w:rsidRPr="00F261DB">
              <w:rPr>
                <w:noProof/>
                <w:szCs w:val="24"/>
              </w:rPr>
              <w:t xml:space="preserve">The one-in one-out table </w:t>
            </w:r>
            <w:r w:rsidR="04C9C82C" w:rsidRPr="00F261DB">
              <w:rPr>
                <w:noProof/>
                <w:szCs w:val="24"/>
              </w:rPr>
              <w:t xml:space="preserve">was </w:t>
            </w:r>
            <w:r w:rsidR="004C25FB" w:rsidRPr="00F261DB">
              <w:rPr>
                <w:noProof/>
                <w:szCs w:val="24"/>
              </w:rPr>
              <w:t>significantly revamped</w:t>
            </w:r>
            <w:r w:rsidR="5FF348EB" w:rsidRPr="00F261DB">
              <w:rPr>
                <w:noProof/>
                <w:szCs w:val="24"/>
              </w:rPr>
              <w:t>, including the calculation on the net administrative burdens</w:t>
            </w:r>
            <w:r w:rsidR="004C25FB" w:rsidRPr="00F261DB">
              <w:rPr>
                <w:noProof/>
                <w:szCs w:val="24"/>
              </w:rPr>
              <w:t>, by focusing more specifically on the expected impacts for the targeted stakeholder groups</w:t>
            </w:r>
            <w:r w:rsidR="5FF348EB" w:rsidRPr="00F261DB">
              <w:rPr>
                <w:noProof/>
                <w:szCs w:val="24"/>
              </w:rPr>
              <w:t>.</w:t>
            </w:r>
          </w:p>
        </w:tc>
      </w:tr>
    </w:tbl>
    <w:p w14:paraId="5C7B5C36" w14:textId="77777777" w:rsidR="00E8450C" w:rsidRPr="00F261DB" w:rsidRDefault="00E8450C" w:rsidP="00195EC6">
      <w:pPr>
        <w:rPr>
          <w:noProof/>
        </w:rPr>
      </w:pPr>
    </w:p>
    <w:p w14:paraId="7B90A70E" w14:textId="60CDDBAE" w:rsidR="00D41096" w:rsidRPr="00F261DB" w:rsidRDefault="00D41096" w:rsidP="00195EC6">
      <w:pPr>
        <w:rPr>
          <w:noProof/>
        </w:rPr>
      </w:pPr>
      <w:r w:rsidRPr="008B332E">
        <w:rPr>
          <w:noProof/>
        </w:rPr>
        <w:t>The revised impact assessment was resubmitted</w:t>
      </w:r>
      <w:r w:rsidR="00B94EFA" w:rsidRPr="008B332E">
        <w:rPr>
          <w:noProof/>
        </w:rPr>
        <w:t>,</w:t>
      </w:r>
      <w:r w:rsidRPr="008B332E">
        <w:rPr>
          <w:noProof/>
        </w:rPr>
        <w:t xml:space="preserve"> and </w:t>
      </w:r>
      <w:r w:rsidR="00740652" w:rsidRPr="008B332E">
        <w:rPr>
          <w:noProof/>
        </w:rPr>
        <w:t xml:space="preserve">the Board issued a second opinion </w:t>
      </w:r>
      <w:r w:rsidR="00C5536F" w:rsidRPr="008B332E">
        <w:rPr>
          <w:noProof/>
        </w:rPr>
        <w:t>(positive with recommendations)</w:t>
      </w:r>
      <w:r w:rsidR="00740652" w:rsidRPr="008B332E">
        <w:rPr>
          <w:noProof/>
        </w:rPr>
        <w:t xml:space="preserve"> on </w:t>
      </w:r>
      <w:r w:rsidR="00C5536F" w:rsidRPr="008B332E">
        <w:rPr>
          <w:noProof/>
        </w:rPr>
        <w:t>20 November 2025.</w:t>
      </w:r>
      <w:r w:rsidR="00740652" w:rsidRPr="008B332E">
        <w:rPr>
          <w:noProof/>
        </w:rPr>
        <w:t xml:space="preserve"> In its opinion, the Board made further recommendations for improvement that were addressed as follows:</w:t>
      </w:r>
    </w:p>
    <w:p w14:paraId="58062FEB" w14:textId="77777777" w:rsidR="00611A5E" w:rsidRPr="00F261DB" w:rsidRDefault="00611A5E" w:rsidP="00195EC6">
      <w:pPr>
        <w:rPr>
          <w:noProof/>
        </w:rPr>
      </w:pP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7"/>
        <w:gridCol w:w="4567"/>
      </w:tblGrid>
      <w:tr w:rsidR="00B4506C" w:rsidRPr="009B29A8" w14:paraId="797EA5BB" w14:textId="77777777" w:rsidTr="008B332E">
        <w:trPr>
          <w:tblHeader/>
        </w:trPr>
        <w:tc>
          <w:tcPr>
            <w:tcW w:w="4621" w:type="dxa"/>
            <w:tcMar>
              <w:top w:w="113" w:type="dxa"/>
              <w:left w:w="113" w:type="dxa"/>
              <w:bottom w:w="113" w:type="dxa"/>
              <w:right w:w="113" w:type="dxa"/>
            </w:tcMar>
          </w:tcPr>
          <w:p w14:paraId="64BC2FAD" w14:textId="77777777" w:rsidR="00D41756" w:rsidRPr="008B332E" w:rsidRDefault="00D41756">
            <w:pPr>
              <w:rPr>
                <w:b/>
                <w:noProof/>
                <w:szCs w:val="20"/>
              </w:rPr>
            </w:pPr>
            <w:r w:rsidRPr="008B332E">
              <w:rPr>
                <w:b/>
                <w:noProof/>
                <w:szCs w:val="20"/>
              </w:rPr>
              <w:t>RSB recommendations:</w:t>
            </w:r>
          </w:p>
          <w:p w14:paraId="227DD9EA" w14:textId="77777777" w:rsidR="00D41756" w:rsidRPr="008B332E" w:rsidRDefault="00D41756">
            <w:pPr>
              <w:rPr>
                <w:noProof/>
                <w:szCs w:val="20"/>
              </w:rPr>
            </w:pPr>
          </w:p>
        </w:tc>
        <w:tc>
          <w:tcPr>
            <w:tcW w:w="4621" w:type="dxa"/>
            <w:tcMar>
              <w:top w:w="113" w:type="dxa"/>
              <w:left w:w="113" w:type="dxa"/>
              <w:bottom w:w="113" w:type="dxa"/>
              <w:right w:w="113" w:type="dxa"/>
            </w:tcMar>
          </w:tcPr>
          <w:p w14:paraId="511DA638" w14:textId="77777777" w:rsidR="00D41756" w:rsidRPr="008B332E" w:rsidRDefault="00D41756">
            <w:pPr>
              <w:rPr>
                <w:noProof/>
                <w:szCs w:val="20"/>
              </w:rPr>
            </w:pPr>
            <w:r w:rsidRPr="008B332E">
              <w:rPr>
                <w:b/>
                <w:noProof/>
                <w:szCs w:val="20"/>
              </w:rPr>
              <w:t>How they were addressed:</w:t>
            </w:r>
          </w:p>
        </w:tc>
      </w:tr>
      <w:tr w:rsidR="00B4506C" w:rsidRPr="009B29A8" w14:paraId="3C255161" w14:textId="77777777" w:rsidTr="3C1B0927">
        <w:tc>
          <w:tcPr>
            <w:tcW w:w="4621" w:type="dxa"/>
            <w:tcMar>
              <w:top w:w="113" w:type="dxa"/>
              <w:left w:w="113" w:type="dxa"/>
              <w:bottom w:w="113" w:type="dxa"/>
              <w:right w:w="113" w:type="dxa"/>
            </w:tcMar>
          </w:tcPr>
          <w:p w14:paraId="0AA8ECA6" w14:textId="77777777" w:rsidR="00D41756" w:rsidRDefault="00D41756">
            <w:pPr>
              <w:rPr>
                <w:b/>
                <w:bCs/>
                <w:noProof/>
                <w:szCs w:val="20"/>
              </w:rPr>
            </w:pPr>
            <w:r w:rsidRPr="009B29A8">
              <w:rPr>
                <w:b/>
                <w:bCs/>
                <w:noProof/>
                <w:szCs w:val="20"/>
              </w:rPr>
              <w:t>(B) Summary of findings</w:t>
            </w:r>
          </w:p>
          <w:p w14:paraId="0D8B5D92" w14:textId="77777777" w:rsidR="00D41756" w:rsidRPr="009B29A8" w:rsidRDefault="00D41756">
            <w:pPr>
              <w:rPr>
                <w:b/>
                <w:bCs/>
                <w:noProof/>
                <w:szCs w:val="20"/>
              </w:rPr>
            </w:pPr>
          </w:p>
          <w:p w14:paraId="36916588" w14:textId="77777777" w:rsidR="00D41756" w:rsidRDefault="00D41756">
            <w:pPr>
              <w:rPr>
                <w:noProof/>
                <w:szCs w:val="20"/>
              </w:rPr>
            </w:pPr>
            <w:r w:rsidRPr="009B29A8">
              <w:rPr>
                <w:noProof/>
                <w:szCs w:val="20"/>
              </w:rPr>
              <w:t xml:space="preserve">The Board notes the improvements to the revised </w:t>
            </w:r>
            <w:r>
              <w:rPr>
                <w:noProof/>
                <w:szCs w:val="20"/>
              </w:rPr>
              <w:t>r</w:t>
            </w:r>
            <w:r w:rsidRPr="009B29A8">
              <w:rPr>
                <w:noProof/>
                <w:szCs w:val="20"/>
              </w:rPr>
              <w:t xml:space="preserve">eport responding to the Board’s previous opinion. </w:t>
            </w:r>
            <w:r w:rsidRPr="009B29A8">
              <w:rPr>
                <w:noProof/>
                <w:szCs w:val="20"/>
              </w:rPr>
              <w:lastRenderedPageBreak/>
              <w:t>However, the report still contains significant shortcomings. The Board gives a</w:t>
            </w:r>
            <w:r>
              <w:rPr>
                <w:noProof/>
                <w:szCs w:val="20"/>
              </w:rPr>
              <w:t xml:space="preserve"> </w:t>
            </w:r>
            <w:r w:rsidRPr="009B29A8">
              <w:rPr>
                <w:noProof/>
                <w:szCs w:val="20"/>
              </w:rPr>
              <w:t xml:space="preserve">positive opinion with reservations because it expects the lead Service to rectify the following aspects: </w:t>
            </w:r>
          </w:p>
          <w:p w14:paraId="02F0F4CB" w14:textId="77777777" w:rsidR="00D41756" w:rsidRDefault="00D41756">
            <w:pPr>
              <w:rPr>
                <w:noProof/>
                <w:szCs w:val="20"/>
              </w:rPr>
            </w:pPr>
          </w:p>
          <w:p w14:paraId="70EBAFD0" w14:textId="77777777" w:rsidR="00D41756" w:rsidRDefault="00D41756">
            <w:pPr>
              <w:rPr>
                <w:noProof/>
                <w:szCs w:val="20"/>
              </w:rPr>
            </w:pPr>
            <w:r w:rsidRPr="009B29A8">
              <w:rPr>
                <w:noProof/>
                <w:szCs w:val="20"/>
              </w:rPr>
              <w:t>(1) The report does not sufficiently assess the expected impacts regarding the general objective to increase decarbonised and resilient industrial production in EIIs. The interplay with economic security implications is not sufficiently analysed.</w:t>
            </w:r>
          </w:p>
          <w:p w14:paraId="1CC4B4E1" w14:textId="77777777" w:rsidR="00D41756" w:rsidRDefault="00D41756">
            <w:pPr>
              <w:rPr>
                <w:noProof/>
                <w:szCs w:val="20"/>
              </w:rPr>
            </w:pPr>
          </w:p>
          <w:p w14:paraId="415BDEF3" w14:textId="77777777" w:rsidR="00D41756" w:rsidRDefault="00D41756">
            <w:pPr>
              <w:rPr>
                <w:noProof/>
                <w:szCs w:val="20"/>
              </w:rPr>
            </w:pPr>
            <w:r w:rsidRPr="009B29A8">
              <w:rPr>
                <w:noProof/>
                <w:szCs w:val="20"/>
              </w:rPr>
              <w:t>(2) The report is not clear to what extent the demand side measures are expected to address the consequences of identified problems.</w:t>
            </w:r>
          </w:p>
          <w:p w14:paraId="7C84E77E" w14:textId="77777777" w:rsidR="00D41756" w:rsidRDefault="00D41756">
            <w:pPr>
              <w:rPr>
                <w:noProof/>
                <w:szCs w:val="20"/>
              </w:rPr>
            </w:pPr>
          </w:p>
          <w:p w14:paraId="11B1B71A" w14:textId="77777777" w:rsidR="00D41756" w:rsidRPr="009B29A8" w:rsidRDefault="00D41756">
            <w:pPr>
              <w:rPr>
                <w:noProof/>
                <w:szCs w:val="20"/>
              </w:rPr>
            </w:pPr>
            <w:r w:rsidRPr="009B29A8">
              <w:rPr>
                <w:noProof/>
                <w:szCs w:val="20"/>
              </w:rPr>
              <w:t>(3) The limitations related to the modelling are not sufficiently reflected; cost benefit calculations as well as impacts on consumers and the downstream sectors are not sufficiently robust.</w:t>
            </w:r>
          </w:p>
        </w:tc>
        <w:tc>
          <w:tcPr>
            <w:tcW w:w="4621" w:type="dxa"/>
            <w:tcMar>
              <w:top w:w="113" w:type="dxa"/>
              <w:left w:w="113" w:type="dxa"/>
              <w:bottom w:w="113" w:type="dxa"/>
              <w:right w:w="113" w:type="dxa"/>
            </w:tcMar>
          </w:tcPr>
          <w:p w14:paraId="69CA0A54" w14:textId="77777777" w:rsidR="00D41756" w:rsidRDefault="00D41756">
            <w:pPr>
              <w:rPr>
                <w:noProof/>
                <w:szCs w:val="20"/>
              </w:rPr>
            </w:pPr>
          </w:p>
          <w:p w14:paraId="06FB26F7" w14:textId="77777777" w:rsidR="00D41756" w:rsidRDefault="00D41756">
            <w:pPr>
              <w:rPr>
                <w:noProof/>
                <w:szCs w:val="20"/>
              </w:rPr>
            </w:pPr>
          </w:p>
          <w:p w14:paraId="6C127B2A" w14:textId="77777777" w:rsidR="00D41756" w:rsidRDefault="00D41756">
            <w:pPr>
              <w:rPr>
                <w:noProof/>
                <w:szCs w:val="20"/>
              </w:rPr>
            </w:pPr>
          </w:p>
          <w:p w14:paraId="1C0BE542" w14:textId="77777777" w:rsidR="00D41756" w:rsidRDefault="00D41756">
            <w:pPr>
              <w:rPr>
                <w:noProof/>
                <w:szCs w:val="20"/>
              </w:rPr>
            </w:pPr>
          </w:p>
          <w:p w14:paraId="0F66D724" w14:textId="77777777" w:rsidR="00D41756" w:rsidRDefault="00D41756">
            <w:pPr>
              <w:rPr>
                <w:noProof/>
                <w:szCs w:val="20"/>
              </w:rPr>
            </w:pPr>
          </w:p>
          <w:p w14:paraId="77584276" w14:textId="77777777" w:rsidR="00D41756" w:rsidRDefault="00D41756">
            <w:pPr>
              <w:rPr>
                <w:noProof/>
                <w:szCs w:val="20"/>
              </w:rPr>
            </w:pPr>
          </w:p>
          <w:p w14:paraId="0FFAA686" w14:textId="77777777" w:rsidR="00D41756" w:rsidRDefault="00D41756">
            <w:pPr>
              <w:rPr>
                <w:noProof/>
                <w:szCs w:val="20"/>
              </w:rPr>
            </w:pPr>
          </w:p>
          <w:p w14:paraId="1DD32DAF" w14:textId="77777777" w:rsidR="00D41756" w:rsidRDefault="00D41756">
            <w:pPr>
              <w:rPr>
                <w:noProof/>
                <w:szCs w:val="20"/>
              </w:rPr>
            </w:pPr>
          </w:p>
          <w:p w14:paraId="498C6598" w14:textId="77777777" w:rsidR="00D41756" w:rsidRDefault="00D41756">
            <w:pPr>
              <w:rPr>
                <w:noProof/>
                <w:szCs w:val="20"/>
              </w:rPr>
            </w:pPr>
          </w:p>
          <w:p w14:paraId="2A225BF3" w14:textId="51A348EE" w:rsidR="00D41756" w:rsidRDefault="00D41756">
            <w:pPr>
              <w:rPr>
                <w:noProof/>
                <w:szCs w:val="20"/>
              </w:rPr>
            </w:pPr>
            <w:r>
              <w:rPr>
                <w:noProof/>
                <w:szCs w:val="20"/>
              </w:rPr>
              <w:t xml:space="preserve">See below under </w:t>
            </w:r>
            <w:r w:rsidR="00CC21C6">
              <w:rPr>
                <w:noProof/>
                <w:szCs w:val="20"/>
              </w:rPr>
              <w:t>C.1</w:t>
            </w:r>
            <w:r w:rsidR="003C2FE8">
              <w:rPr>
                <w:noProof/>
                <w:szCs w:val="20"/>
              </w:rPr>
              <w:t xml:space="preserve"> and C.2</w:t>
            </w:r>
          </w:p>
          <w:p w14:paraId="032E4A0E" w14:textId="77777777" w:rsidR="00D41756" w:rsidRDefault="00D41756">
            <w:pPr>
              <w:rPr>
                <w:noProof/>
                <w:szCs w:val="20"/>
              </w:rPr>
            </w:pPr>
          </w:p>
          <w:p w14:paraId="21DBA739" w14:textId="77777777" w:rsidR="00D41756" w:rsidRDefault="00D41756">
            <w:pPr>
              <w:rPr>
                <w:noProof/>
                <w:szCs w:val="20"/>
              </w:rPr>
            </w:pPr>
          </w:p>
          <w:p w14:paraId="02AAE8AA" w14:textId="77777777" w:rsidR="00D41756" w:rsidRDefault="00D41756">
            <w:pPr>
              <w:rPr>
                <w:noProof/>
                <w:szCs w:val="20"/>
              </w:rPr>
            </w:pPr>
          </w:p>
          <w:p w14:paraId="71AC79A7" w14:textId="77777777" w:rsidR="00D41756" w:rsidRDefault="00D41756">
            <w:pPr>
              <w:rPr>
                <w:noProof/>
                <w:szCs w:val="20"/>
              </w:rPr>
            </w:pPr>
          </w:p>
          <w:p w14:paraId="00C3E8D8" w14:textId="77777777" w:rsidR="00D41756" w:rsidRDefault="00D41756">
            <w:pPr>
              <w:rPr>
                <w:noProof/>
                <w:szCs w:val="20"/>
              </w:rPr>
            </w:pPr>
          </w:p>
          <w:p w14:paraId="76C86388" w14:textId="2A80C74B" w:rsidR="00D41756" w:rsidRDefault="00D41756">
            <w:pPr>
              <w:rPr>
                <w:noProof/>
                <w:szCs w:val="20"/>
              </w:rPr>
            </w:pPr>
            <w:r>
              <w:rPr>
                <w:noProof/>
                <w:szCs w:val="20"/>
              </w:rPr>
              <w:t xml:space="preserve">See below under </w:t>
            </w:r>
            <w:r w:rsidR="00395CE3">
              <w:rPr>
                <w:noProof/>
                <w:szCs w:val="20"/>
              </w:rPr>
              <w:t>C.1</w:t>
            </w:r>
          </w:p>
          <w:p w14:paraId="009F5A0A" w14:textId="77777777" w:rsidR="00D41756" w:rsidRDefault="00D41756">
            <w:pPr>
              <w:rPr>
                <w:noProof/>
                <w:szCs w:val="20"/>
              </w:rPr>
            </w:pPr>
          </w:p>
          <w:p w14:paraId="7C4DD36C" w14:textId="77777777" w:rsidR="00D41756" w:rsidRDefault="00D41756">
            <w:pPr>
              <w:rPr>
                <w:noProof/>
                <w:szCs w:val="20"/>
              </w:rPr>
            </w:pPr>
          </w:p>
          <w:p w14:paraId="50B4D35D" w14:textId="77777777" w:rsidR="00D41756" w:rsidRDefault="00D41756">
            <w:pPr>
              <w:rPr>
                <w:noProof/>
                <w:szCs w:val="20"/>
              </w:rPr>
            </w:pPr>
          </w:p>
          <w:p w14:paraId="441D8933" w14:textId="62E3751E" w:rsidR="00D41756" w:rsidRPr="009B29A8" w:rsidRDefault="00D41756">
            <w:pPr>
              <w:rPr>
                <w:noProof/>
                <w:szCs w:val="20"/>
              </w:rPr>
            </w:pPr>
            <w:r>
              <w:rPr>
                <w:noProof/>
                <w:szCs w:val="20"/>
              </w:rPr>
              <w:t xml:space="preserve">See below under </w:t>
            </w:r>
            <w:r w:rsidR="004E5820">
              <w:rPr>
                <w:noProof/>
                <w:szCs w:val="20"/>
              </w:rPr>
              <w:t xml:space="preserve">C.3 </w:t>
            </w:r>
            <w:r w:rsidR="009D0E3C">
              <w:rPr>
                <w:noProof/>
                <w:szCs w:val="20"/>
              </w:rPr>
              <w:t>and C.6</w:t>
            </w:r>
          </w:p>
        </w:tc>
      </w:tr>
      <w:tr w:rsidR="00B4506C" w:rsidRPr="009B29A8" w14:paraId="73EB3AAE" w14:textId="77777777" w:rsidTr="3C1B0927">
        <w:tc>
          <w:tcPr>
            <w:tcW w:w="4621" w:type="dxa"/>
            <w:tcMar>
              <w:top w:w="113" w:type="dxa"/>
              <w:left w:w="113" w:type="dxa"/>
              <w:bottom w:w="113" w:type="dxa"/>
              <w:right w:w="113" w:type="dxa"/>
            </w:tcMar>
          </w:tcPr>
          <w:p w14:paraId="7EAFC6A2" w14:textId="77777777" w:rsidR="00D41756" w:rsidRDefault="00D41756">
            <w:pPr>
              <w:rPr>
                <w:b/>
                <w:bCs/>
                <w:noProof/>
                <w:szCs w:val="20"/>
              </w:rPr>
            </w:pPr>
            <w:r w:rsidRPr="009B29A8">
              <w:rPr>
                <w:b/>
                <w:bCs/>
                <w:noProof/>
                <w:szCs w:val="20"/>
              </w:rPr>
              <w:lastRenderedPageBreak/>
              <w:t>(C) What to improve</w:t>
            </w:r>
          </w:p>
          <w:p w14:paraId="3864313C" w14:textId="77777777" w:rsidR="00D41756" w:rsidRPr="009B29A8" w:rsidRDefault="00D41756">
            <w:pPr>
              <w:rPr>
                <w:b/>
                <w:bCs/>
                <w:noProof/>
                <w:szCs w:val="20"/>
              </w:rPr>
            </w:pPr>
          </w:p>
          <w:p w14:paraId="76C1925A" w14:textId="77777777" w:rsidR="00D41756" w:rsidRPr="009B29A8" w:rsidRDefault="00D41756">
            <w:pPr>
              <w:rPr>
                <w:noProof/>
                <w:szCs w:val="20"/>
              </w:rPr>
            </w:pPr>
            <w:r w:rsidRPr="009B29A8">
              <w:rPr>
                <w:noProof/>
                <w:szCs w:val="20"/>
              </w:rPr>
              <w:t>(1) The report should model how the demand for EU low-carbon products and clean tech</w:t>
            </w:r>
            <w:r>
              <w:rPr>
                <w:noProof/>
                <w:szCs w:val="20"/>
              </w:rPr>
              <w:t xml:space="preserve"> </w:t>
            </w:r>
            <w:r w:rsidRPr="009B29A8">
              <w:rPr>
                <w:noProof/>
                <w:szCs w:val="20"/>
              </w:rPr>
              <w:t>industries is expected to increase thanks to the initiative and how the increased demand will enable investments in the sectors covered by the scope of the initiative. In addition, the expected investment increase should be put into perspective with the investments needed to reach the decarbonisation goals.</w:t>
            </w:r>
          </w:p>
        </w:tc>
        <w:tc>
          <w:tcPr>
            <w:tcW w:w="4621" w:type="dxa"/>
            <w:tcMar>
              <w:top w:w="113" w:type="dxa"/>
              <w:left w:w="113" w:type="dxa"/>
              <w:bottom w:w="113" w:type="dxa"/>
              <w:right w:w="113" w:type="dxa"/>
            </w:tcMar>
          </w:tcPr>
          <w:p w14:paraId="605CE640" w14:textId="77777777" w:rsidR="00F261F7" w:rsidRDefault="00F261F7">
            <w:pPr>
              <w:rPr>
                <w:noProof/>
                <w:szCs w:val="20"/>
              </w:rPr>
            </w:pPr>
          </w:p>
          <w:p w14:paraId="21F50D6C" w14:textId="77777777" w:rsidR="00F261F7" w:rsidRDefault="00F261F7">
            <w:pPr>
              <w:rPr>
                <w:noProof/>
                <w:szCs w:val="20"/>
              </w:rPr>
            </w:pPr>
          </w:p>
          <w:p w14:paraId="7B187270" w14:textId="70E5EA3A" w:rsidR="00446EAF" w:rsidRPr="00446EAF" w:rsidRDefault="6BA6DB92">
            <w:pPr>
              <w:rPr>
                <w:noProof/>
              </w:rPr>
            </w:pPr>
            <w:r>
              <w:rPr>
                <w:noProof/>
              </w:rPr>
              <w:t>The analysis has be</w:t>
            </w:r>
            <w:r w:rsidR="25CA7955">
              <w:rPr>
                <w:noProof/>
              </w:rPr>
              <w:t>e</w:t>
            </w:r>
            <w:r>
              <w:rPr>
                <w:noProof/>
              </w:rPr>
              <w:t xml:space="preserve">n strengthened </w:t>
            </w:r>
            <w:r w:rsidR="3DC3B29A">
              <w:rPr>
                <w:noProof/>
              </w:rPr>
              <w:t xml:space="preserve">by </w:t>
            </w:r>
            <w:r w:rsidR="47CEB534">
              <w:rPr>
                <w:noProof/>
              </w:rPr>
              <w:t xml:space="preserve">better </w:t>
            </w:r>
            <w:r w:rsidR="3DC3B29A">
              <w:rPr>
                <w:noProof/>
              </w:rPr>
              <w:t xml:space="preserve">explaining </w:t>
            </w:r>
            <w:r w:rsidR="5DF0EA48">
              <w:rPr>
                <w:noProof/>
              </w:rPr>
              <w:t xml:space="preserve">in </w:t>
            </w:r>
            <w:r w:rsidR="45B55B9C">
              <w:rPr>
                <w:noProof/>
              </w:rPr>
              <w:t xml:space="preserve">Section 7, under </w:t>
            </w:r>
            <w:r w:rsidR="4851E7B6">
              <w:rPr>
                <w:noProof/>
              </w:rPr>
              <w:t>the comparison of options</w:t>
            </w:r>
            <w:r w:rsidR="44967F64">
              <w:rPr>
                <w:noProof/>
              </w:rPr>
              <w:t xml:space="preserve">, </w:t>
            </w:r>
            <w:r w:rsidR="3DC3B29A">
              <w:rPr>
                <w:noProof/>
              </w:rPr>
              <w:t xml:space="preserve">that </w:t>
            </w:r>
            <w:r w:rsidR="5D094379">
              <w:rPr>
                <w:noProof/>
              </w:rPr>
              <w:t xml:space="preserve">made in EU and low-carbon </w:t>
            </w:r>
            <w:r w:rsidR="09F0EB35">
              <w:rPr>
                <w:noProof/>
              </w:rPr>
              <w:t xml:space="preserve">requirements </w:t>
            </w:r>
            <w:r w:rsidR="3DC3B29A">
              <w:rPr>
                <w:noProof/>
              </w:rPr>
              <w:t xml:space="preserve">will create a pull effect in the market </w:t>
            </w:r>
            <w:r w:rsidR="765DA458">
              <w:rPr>
                <w:noProof/>
              </w:rPr>
              <w:t>by guaranteeing</w:t>
            </w:r>
            <w:r w:rsidR="02EB98C6">
              <w:rPr>
                <w:noProof/>
              </w:rPr>
              <w:t xml:space="preserve"> </w:t>
            </w:r>
            <w:r w:rsidR="5D094379">
              <w:rPr>
                <w:noProof/>
              </w:rPr>
              <w:t xml:space="preserve">that a larger share of European </w:t>
            </w:r>
            <w:r w:rsidR="02EB98C6">
              <w:rPr>
                <w:noProof/>
              </w:rPr>
              <w:t xml:space="preserve">demand </w:t>
            </w:r>
            <w:r w:rsidR="5D094379">
              <w:rPr>
                <w:noProof/>
              </w:rPr>
              <w:t>is met by</w:t>
            </w:r>
            <w:r w:rsidR="3DC3B29A">
              <w:rPr>
                <w:noProof/>
              </w:rPr>
              <w:t xml:space="preserve"> EU and low</w:t>
            </w:r>
            <w:r w:rsidR="00F42FCE">
              <w:rPr>
                <w:noProof/>
              </w:rPr>
              <w:t>-</w:t>
            </w:r>
            <w:r w:rsidR="3DC3B29A">
              <w:rPr>
                <w:noProof/>
              </w:rPr>
              <w:t xml:space="preserve">carbon </w:t>
            </w:r>
            <w:r w:rsidR="0948431A">
              <w:rPr>
                <w:noProof/>
              </w:rPr>
              <w:t xml:space="preserve">industrial </w:t>
            </w:r>
            <w:r w:rsidR="3DC3B29A">
              <w:rPr>
                <w:noProof/>
              </w:rPr>
              <w:t xml:space="preserve">products and </w:t>
            </w:r>
            <w:r w:rsidR="40601F05">
              <w:rPr>
                <w:noProof/>
              </w:rPr>
              <w:t xml:space="preserve">technologies. While a new quantitative </w:t>
            </w:r>
            <w:r w:rsidR="0A1B97AC">
              <w:rPr>
                <w:noProof/>
              </w:rPr>
              <w:t>analysis</w:t>
            </w:r>
            <w:r w:rsidR="40601F05">
              <w:rPr>
                <w:noProof/>
              </w:rPr>
              <w:t xml:space="preserve"> was not </w:t>
            </w:r>
            <w:r w:rsidR="0867EFD8">
              <w:rPr>
                <w:noProof/>
              </w:rPr>
              <w:t>possible due to the modelling limitation</w:t>
            </w:r>
            <w:r w:rsidR="40601F05">
              <w:rPr>
                <w:noProof/>
              </w:rPr>
              <w:t xml:space="preserve">, </w:t>
            </w:r>
            <w:r w:rsidR="0867EFD8">
              <w:rPr>
                <w:noProof/>
              </w:rPr>
              <w:t xml:space="preserve">additional </w:t>
            </w:r>
            <w:r w:rsidR="150C26D4">
              <w:rPr>
                <w:noProof/>
              </w:rPr>
              <w:t>explanations</w:t>
            </w:r>
            <w:r w:rsidR="0867EFD8">
              <w:rPr>
                <w:noProof/>
              </w:rPr>
              <w:t xml:space="preserve"> on how </w:t>
            </w:r>
            <w:r w:rsidR="7B678AC3">
              <w:rPr>
                <w:noProof/>
              </w:rPr>
              <w:t xml:space="preserve">the increased </w:t>
            </w:r>
            <w:r w:rsidR="45B55B9C">
              <w:rPr>
                <w:noProof/>
              </w:rPr>
              <w:t>demand will help absorb some of the investments costs from the low-carbon technologies has been added</w:t>
            </w:r>
            <w:r w:rsidR="239D272A">
              <w:rPr>
                <w:noProof/>
              </w:rPr>
              <w:t xml:space="preserve"> under </w:t>
            </w:r>
            <w:r w:rsidR="0A1B97AC">
              <w:rPr>
                <w:noProof/>
              </w:rPr>
              <w:t xml:space="preserve">Section 7.1 </w:t>
            </w:r>
            <w:r w:rsidR="239D272A">
              <w:rPr>
                <w:noProof/>
              </w:rPr>
              <w:t xml:space="preserve">on </w:t>
            </w:r>
            <w:r w:rsidR="0A1B97AC">
              <w:rPr>
                <w:noProof/>
              </w:rPr>
              <w:t>Effectiveness</w:t>
            </w:r>
            <w:r w:rsidR="2853BF8C">
              <w:rPr>
                <w:noProof/>
              </w:rPr>
              <w:t xml:space="preserve">. </w:t>
            </w:r>
            <w:r w:rsidR="54F9D59A">
              <w:rPr>
                <w:noProof/>
              </w:rPr>
              <w:t xml:space="preserve">Concerning </w:t>
            </w:r>
            <w:r w:rsidR="3469FCA7">
              <w:rPr>
                <w:noProof/>
              </w:rPr>
              <w:t>the link between the ex</w:t>
            </w:r>
            <w:r w:rsidR="2BF480F0">
              <w:rPr>
                <w:noProof/>
              </w:rPr>
              <w:t xml:space="preserve">pected investment increase and </w:t>
            </w:r>
            <w:r w:rsidR="54F9D59A">
              <w:rPr>
                <w:noProof/>
              </w:rPr>
              <w:t xml:space="preserve">the </w:t>
            </w:r>
            <w:r w:rsidR="2BF480F0">
              <w:rPr>
                <w:noProof/>
              </w:rPr>
              <w:t>overall investments need</w:t>
            </w:r>
            <w:r w:rsidR="7084708E">
              <w:rPr>
                <w:noProof/>
              </w:rPr>
              <w:t>s</w:t>
            </w:r>
            <w:r w:rsidR="3EA7DF61">
              <w:rPr>
                <w:noProof/>
              </w:rPr>
              <w:t xml:space="preserve"> to reach the decarbonisation goals</w:t>
            </w:r>
            <w:r w:rsidR="54F9D59A">
              <w:rPr>
                <w:noProof/>
              </w:rPr>
              <w:t>,</w:t>
            </w:r>
            <w:r w:rsidR="3C2C9D4A">
              <w:rPr>
                <w:noProof/>
              </w:rPr>
              <w:t xml:space="preserve"> a new</w:t>
            </w:r>
            <w:r w:rsidR="7198E903">
              <w:rPr>
                <w:noProof/>
              </w:rPr>
              <w:t xml:space="preserve"> </w:t>
            </w:r>
            <w:r w:rsidR="5257750D">
              <w:rPr>
                <w:noProof/>
              </w:rPr>
              <w:t>quantitative analysis</w:t>
            </w:r>
            <w:r w:rsidR="3C2C9D4A">
              <w:rPr>
                <w:noProof/>
              </w:rPr>
              <w:t xml:space="preserve"> has been conducted</w:t>
            </w:r>
            <w:r w:rsidR="63403253">
              <w:rPr>
                <w:noProof/>
              </w:rPr>
              <w:t xml:space="preserve"> in the impacts Section (</w:t>
            </w:r>
            <w:r w:rsidR="24640ADB">
              <w:rPr>
                <w:noProof/>
              </w:rPr>
              <w:t>under PO1</w:t>
            </w:r>
            <w:r w:rsidR="67AD152A">
              <w:rPr>
                <w:noProof/>
              </w:rPr>
              <w:t xml:space="preserve"> and PO2, ‘Impact on companies’)</w:t>
            </w:r>
            <w:r w:rsidR="3C2C9D4A">
              <w:rPr>
                <w:noProof/>
              </w:rPr>
              <w:t xml:space="preserve">, which outlines the potential impact of the </w:t>
            </w:r>
            <w:r w:rsidR="67AD152A">
              <w:rPr>
                <w:noProof/>
              </w:rPr>
              <w:t>initiative</w:t>
            </w:r>
            <w:r w:rsidR="3C2C9D4A">
              <w:rPr>
                <w:noProof/>
              </w:rPr>
              <w:t xml:space="preserve"> on </w:t>
            </w:r>
            <w:r w:rsidR="67AD152A">
              <w:rPr>
                <w:noProof/>
              </w:rPr>
              <w:t>reducing</w:t>
            </w:r>
            <w:r w:rsidR="3C2C9D4A">
              <w:rPr>
                <w:noProof/>
              </w:rPr>
              <w:t xml:space="preserve"> th</w:t>
            </w:r>
            <w:r w:rsidR="7198E903">
              <w:rPr>
                <w:noProof/>
              </w:rPr>
              <w:t xml:space="preserve">e decarbonisation investment gap in the steel sector. </w:t>
            </w:r>
            <w:r w:rsidR="67AD152A">
              <w:rPr>
                <w:noProof/>
              </w:rPr>
              <w:t xml:space="preserve">The lead market measures on low-carbon steel could </w:t>
            </w:r>
            <w:r w:rsidR="592D446D">
              <w:rPr>
                <w:noProof/>
              </w:rPr>
              <w:t>accelerate</w:t>
            </w:r>
            <w:r w:rsidR="67AD152A">
              <w:rPr>
                <w:noProof/>
              </w:rPr>
              <w:t xml:space="preserve"> final investment</w:t>
            </w:r>
            <w:r w:rsidR="1EB7BE0E">
              <w:rPr>
                <w:noProof/>
              </w:rPr>
              <w:t xml:space="preserve"> decisions, unlocking up to EUR 15.5 billion in investments</w:t>
            </w:r>
            <w:r w:rsidR="29CE41B9">
              <w:rPr>
                <w:noProof/>
              </w:rPr>
              <w:t xml:space="preserve"> (</w:t>
            </w:r>
            <w:r w:rsidR="7BD3428A">
              <w:rPr>
                <w:noProof/>
              </w:rPr>
              <w:t>or</w:t>
            </w:r>
            <w:r w:rsidR="2F24F151">
              <w:rPr>
                <w:noProof/>
              </w:rPr>
              <w:t xml:space="preserve"> about </w:t>
            </w:r>
            <w:r w:rsidR="29CE41B9">
              <w:rPr>
                <w:noProof/>
              </w:rPr>
              <w:t xml:space="preserve">15% of the </w:t>
            </w:r>
            <w:r w:rsidR="2F24F151">
              <w:rPr>
                <w:noProof/>
              </w:rPr>
              <w:t xml:space="preserve">sector’s </w:t>
            </w:r>
            <w:r w:rsidR="29CE41B9">
              <w:rPr>
                <w:noProof/>
              </w:rPr>
              <w:t>estimated investment need by 2040)</w:t>
            </w:r>
          </w:p>
        </w:tc>
      </w:tr>
      <w:tr w:rsidR="00B4506C" w:rsidRPr="009B29A8" w14:paraId="40BD38E7" w14:textId="77777777" w:rsidTr="3C1B0927">
        <w:tc>
          <w:tcPr>
            <w:tcW w:w="4621" w:type="dxa"/>
            <w:tcMar>
              <w:top w:w="113" w:type="dxa"/>
              <w:left w:w="113" w:type="dxa"/>
              <w:bottom w:w="113" w:type="dxa"/>
              <w:right w:w="113" w:type="dxa"/>
            </w:tcMar>
          </w:tcPr>
          <w:p w14:paraId="22371921" w14:textId="77777777" w:rsidR="00D41756" w:rsidRPr="009B29A8" w:rsidRDefault="00D41756">
            <w:pPr>
              <w:tabs>
                <w:tab w:val="left" w:pos="902"/>
              </w:tabs>
              <w:rPr>
                <w:noProof/>
                <w:szCs w:val="20"/>
              </w:rPr>
            </w:pPr>
            <w:r w:rsidRPr="009B29A8">
              <w:rPr>
                <w:noProof/>
                <w:szCs w:val="20"/>
              </w:rPr>
              <w:t>(2) The report should demonstrate how the industries in the scope of the initiative are expected to evolve when the initiative will be implemented, in particular in terms of the size of the sector (production capacities and output) and the share of the EU demand covered by EU production. The report should provide a more detailed analysis of</w:t>
            </w:r>
            <w:r>
              <w:rPr>
                <w:noProof/>
                <w:szCs w:val="20"/>
              </w:rPr>
              <w:t xml:space="preserve"> </w:t>
            </w:r>
            <w:r w:rsidRPr="009B29A8">
              <w:rPr>
                <w:noProof/>
                <w:szCs w:val="20"/>
              </w:rPr>
              <w:t>economic security implications.</w:t>
            </w:r>
          </w:p>
        </w:tc>
        <w:tc>
          <w:tcPr>
            <w:tcW w:w="4621" w:type="dxa"/>
            <w:tcMar>
              <w:top w:w="113" w:type="dxa"/>
              <w:left w:w="113" w:type="dxa"/>
              <w:bottom w:w="113" w:type="dxa"/>
              <w:right w:w="113" w:type="dxa"/>
            </w:tcMar>
          </w:tcPr>
          <w:p w14:paraId="36CBBA77" w14:textId="6DE53A32" w:rsidR="00D41756" w:rsidRPr="009B29A8" w:rsidRDefault="000075AD" w:rsidP="00B17180">
            <w:pPr>
              <w:rPr>
                <w:noProof/>
                <w:szCs w:val="20"/>
              </w:rPr>
            </w:pPr>
            <w:r>
              <w:rPr>
                <w:noProof/>
                <w:szCs w:val="20"/>
              </w:rPr>
              <w:t xml:space="preserve">The evolution of the industries in scope has been further described </w:t>
            </w:r>
            <w:r w:rsidR="00190CF1">
              <w:rPr>
                <w:noProof/>
                <w:szCs w:val="20"/>
              </w:rPr>
              <w:t xml:space="preserve">in Section 2.1, 2.3, </w:t>
            </w:r>
            <w:r w:rsidR="00233379">
              <w:rPr>
                <w:noProof/>
                <w:szCs w:val="20"/>
              </w:rPr>
              <w:t>and</w:t>
            </w:r>
            <w:r w:rsidR="002A5DC4" w:rsidRPr="002A5DC4">
              <w:rPr>
                <w:noProof/>
                <w:szCs w:val="20"/>
              </w:rPr>
              <w:t xml:space="preserve"> Sections 6 and 7. </w:t>
            </w:r>
            <w:r w:rsidR="00C6264C">
              <w:rPr>
                <w:noProof/>
                <w:szCs w:val="20"/>
              </w:rPr>
              <w:t xml:space="preserve">Specifically for batteries and solar PV, new data have been highlighted </w:t>
            </w:r>
            <w:r w:rsidR="00150C1D">
              <w:rPr>
                <w:noProof/>
                <w:szCs w:val="20"/>
              </w:rPr>
              <w:t xml:space="preserve">on </w:t>
            </w:r>
            <w:r w:rsidR="00C6264C">
              <w:rPr>
                <w:noProof/>
                <w:szCs w:val="20"/>
              </w:rPr>
              <w:t xml:space="preserve">how EU production </w:t>
            </w:r>
            <w:r w:rsidR="00A11A2C">
              <w:rPr>
                <w:noProof/>
                <w:szCs w:val="20"/>
              </w:rPr>
              <w:t xml:space="preserve">capacities are </w:t>
            </w:r>
            <w:r w:rsidR="00510254">
              <w:rPr>
                <w:noProof/>
                <w:szCs w:val="20"/>
              </w:rPr>
              <w:t>expected</w:t>
            </w:r>
            <w:r w:rsidR="00C6264C">
              <w:rPr>
                <w:noProof/>
                <w:szCs w:val="20"/>
              </w:rPr>
              <w:t xml:space="preserve"> to </w:t>
            </w:r>
            <w:r w:rsidR="00510254">
              <w:rPr>
                <w:noProof/>
                <w:szCs w:val="20"/>
              </w:rPr>
              <w:t>ramp up, based on existing projects pipeline</w:t>
            </w:r>
            <w:r w:rsidR="00A53A6D">
              <w:rPr>
                <w:noProof/>
                <w:szCs w:val="20"/>
              </w:rPr>
              <w:t>s</w:t>
            </w:r>
            <w:r w:rsidR="00A11A2C">
              <w:rPr>
                <w:noProof/>
                <w:szCs w:val="20"/>
              </w:rPr>
              <w:t>. This can be found in Section 6, un</w:t>
            </w:r>
            <w:r w:rsidR="00B17180">
              <w:rPr>
                <w:noProof/>
                <w:szCs w:val="20"/>
              </w:rPr>
              <w:t>der impact on companies. Regarding economic security, f</w:t>
            </w:r>
            <w:r w:rsidR="002A5DC4" w:rsidRPr="002A5DC4">
              <w:rPr>
                <w:noProof/>
                <w:szCs w:val="20"/>
              </w:rPr>
              <w:t xml:space="preserve">or each </w:t>
            </w:r>
            <w:r w:rsidR="00233379">
              <w:rPr>
                <w:noProof/>
                <w:szCs w:val="20"/>
              </w:rPr>
              <w:t xml:space="preserve">policy </w:t>
            </w:r>
            <w:r w:rsidR="002A5DC4" w:rsidRPr="002A5DC4">
              <w:rPr>
                <w:noProof/>
                <w:szCs w:val="20"/>
              </w:rPr>
              <w:t>option, the competitiveness analysis now includes explicit economic</w:t>
            </w:r>
            <w:r w:rsidR="008302D6">
              <w:rPr>
                <w:noProof/>
                <w:szCs w:val="20"/>
              </w:rPr>
              <w:t xml:space="preserve"> </w:t>
            </w:r>
            <w:r w:rsidR="002A5DC4" w:rsidRPr="002A5DC4">
              <w:rPr>
                <w:noProof/>
                <w:szCs w:val="20"/>
              </w:rPr>
              <w:t xml:space="preserve">security effects. </w:t>
            </w:r>
            <w:r w:rsidR="007E281D">
              <w:rPr>
                <w:noProof/>
                <w:szCs w:val="20"/>
              </w:rPr>
              <w:t xml:space="preserve">However, </w:t>
            </w:r>
            <w:r w:rsidR="007E281D" w:rsidRPr="007E281D">
              <w:rPr>
                <w:noProof/>
                <w:szCs w:val="20"/>
              </w:rPr>
              <w:t xml:space="preserve">the quantified cost–benefit analysis </w:t>
            </w:r>
            <w:r w:rsidR="007E281D" w:rsidRPr="007E281D">
              <w:rPr>
                <w:noProof/>
                <w:szCs w:val="20"/>
              </w:rPr>
              <w:lastRenderedPageBreak/>
              <w:t xml:space="preserve">does not capture a central dimension of the problem, namely the reduction in the risk of supply disruptions and exposure to high-risk dependencies. These effects constitute a real and material benefit of policy intervention but cannot be reliably quantified for any of the policy options. As a result, interpreting the numerical comparison of costs and benefits in isolation </w:t>
            </w:r>
            <w:r w:rsidR="007E281D">
              <w:rPr>
                <w:noProof/>
                <w:szCs w:val="20"/>
              </w:rPr>
              <w:t>could</w:t>
            </w:r>
            <w:r w:rsidR="007E281D" w:rsidRPr="007E281D">
              <w:rPr>
                <w:noProof/>
                <w:szCs w:val="20"/>
              </w:rPr>
              <w:t xml:space="preserve"> be misleading.</w:t>
            </w:r>
            <w:r w:rsidR="007E281D">
              <w:rPr>
                <w:noProof/>
                <w:szCs w:val="20"/>
              </w:rPr>
              <w:t xml:space="preserve"> </w:t>
            </w:r>
            <w:r w:rsidR="002A5DC4" w:rsidRPr="002A5DC4">
              <w:rPr>
                <w:noProof/>
                <w:szCs w:val="20"/>
              </w:rPr>
              <w:t xml:space="preserve">Section 7 </w:t>
            </w:r>
            <w:r w:rsidR="007E281D">
              <w:rPr>
                <w:noProof/>
                <w:szCs w:val="20"/>
              </w:rPr>
              <w:t>therefore</w:t>
            </w:r>
            <w:r w:rsidR="002A5DC4" w:rsidRPr="002A5DC4">
              <w:rPr>
                <w:noProof/>
                <w:szCs w:val="20"/>
              </w:rPr>
              <w:t xml:space="preserve"> </w:t>
            </w:r>
            <w:r w:rsidR="007E281D">
              <w:rPr>
                <w:noProof/>
                <w:szCs w:val="20"/>
              </w:rPr>
              <w:t>clarifies</w:t>
            </w:r>
            <w:r w:rsidR="007E281D" w:rsidRPr="002A5DC4">
              <w:rPr>
                <w:noProof/>
                <w:szCs w:val="20"/>
              </w:rPr>
              <w:t xml:space="preserve"> </w:t>
            </w:r>
            <w:r w:rsidR="002A5DC4" w:rsidRPr="002A5DC4">
              <w:rPr>
                <w:noProof/>
                <w:szCs w:val="20"/>
              </w:rPr>
              <w:t>that</w:t>
            </w:r>
            <w:r w:rsidR="007E281D">
              <w:rPr>
                <w:noProof/>
                <w:szCs w:val="20"/>
              </w:rPr>
              <w:t>,</w:t>
            </w:r>
            <w:r w:rsidR="002A5DC4" w:rsidRPr="002A5DC4">
              <w:rPr>
                <w:noProof/>
                <w:szCs w:val="20"/>
              </w:rPr>
              <w:t xml:space="preserve"> </w:t>
            </w:r>
            <w:r w:rsidR="009034CD" w:rsidRPr="009034CD">
              <w:rPr>
                <w:noProof/>
                <w:szCs w:val="20"/>
              </w:rPr>
              <w:t xml:space="preserve">while </w:t>
            </w:r>
            <w:r w:rsidR="002A5DC4" w:rsidRPr="002A5DC4">
              <w:rPr>
                <w:noProof/>
                <w:szCs w:val="20"/>
              </w:rPr>
              <w:t xml:space="preserve">PO1 </w:t>
            </w:r>
            <w:r w:rsidR="007E281D">
              <w:rPr>
                <w:noProof/>
                <w:szCs w:val="20"/>
              </w:rPr>
              <w:t>appears</w:t>
            </w:r>
            <w:r w:rsidR="007E281D" w:rsidRPr="002A5DC4">
              <w:rPr>
                <w:noProof/>
                <w:szCs w:val="20"/>
              </w:rPr>
              <w:t xml:space="preserve"> </w:t>
            </w:r>
            <w:r w:rsidR="00300CDC">
              <w:rPr>
                <w:noProof/>
                <w:szCs w:val="20"/>
              </w:rPr>
              <w:t>less cost</w:t>
            </w:r>
            <w:r w:rsidR="003F1682">
              <w:rPr>
                <w:noProof/>
                <w:szCs w:val="20"/>
              </w:rPr>
              <w:t>ly</w:t>
            </w:r>
            <w:r w:rsidR="007E281D">
              <w:rPr>
                <w:noProof/>
                <w:szCs w:val="20"/>
              </w:rPr>
              <w:t xml:space="preserve"> in purely quantified terms</w:t>
            </w:r>
            <w:r w:rsidR="00E155E9">
              <w:rPr>
                <w:noProof/>
                <w:szCs w:val="20"/>
              </w:rPr>
              <w:t>,</w:t>
            </w:r>
            <w:r w:rsidR="009034CD" w:rsidRPr="009034CD">
              <w:rPr>
                <w:noProof/>
                <w:szCs w:val="20"/>
              </w:rPr>
              <w:t xml:space="preserve"> </w:t>
            </w:r>
            <w:r w:rsidR="00670B76">
              <w:rPr>
                <w:noProof/>
                <w:szCs w:val="20"/>
              </w:rPr>
              <w:t xml:space="preserve">this assessment excludes </w:t>
            </w:r>
            <w:r w:rsidR="0015149F">
              <w:rPr>
                <w:noProof/>
                <w:szCs w:val="20"/>
              </w:rPr>
              <w:t xml:space="preserve">long-term </w:t>
            </w:r>
            <w:r w:rsidR="002A5DC4" w:rsidRPr="002A5DC4">
              <w:rPr>
                <w:noProof/>
                <w:szCs w:val="20"/>
              </w:rPr>
              <w:t xml:space="preserve">economic-security benefits </w:t>
            </w:r>
            <w:r w:rsidR="00CA227C">
              <w:rPr>
                <w:noProof/>
                <w:szCs w:val="20"/>
              </w:rPr>
              <w:t>that are intrinsic to the policy objective</w:t>
            </w:r>
            <w:r w:rsidR="009034CD" w:rsidRPr="009034CD">
              <w:rPr>
                <w:noProof/>
                <w:szCs w:val="20"/>
              </w:rPr>
              <w:t xml:space="preserve">. </w:t>
            </w:r>
            <w:r w:rsidR="0025287D">
              <w:rPr>
                <w:noProof/>
                <w:szCs w:val="20"/>
              </w:rPr>
              <w:t>By contrast,</w:t>
            </w:r>
            <w:r w:rsidR="002A5DC4" w:rsidRPr="002A5DC4">
              <w:rPr>
                <w:noProof/>
                <w:szCs w:val="20"/>
              </w:rPr>
              <w:t xml:space="preserve"> PO2 </w:t>
            </w:r>
            <w:r w:rsidR="00152A06">
              <w:rPr>
                <w:noProof/>
                <w:szCs w:val="20"/>
              </w:rPr>
              <w:t>delivers a clear increase</w:t>
            </w:r>
            <w:r w:rsidR="00152A06" w:rsidRPr="009034CD">
              <w:rPr>
                <w:noProof/>
                <w:szCs w:val="20"/>
              </w:rPr>
              <w:t xml:space="preserve"> </w:t>
            </w:r>
            <w:r w:rsidR="00FD466B">
              <w:rPr>
                <w:noProof/>
                <w:szCs w:val="20"/>
              </w:rPr>
              <w:t>in economic security</w:t>
            </w:r>
            <w:r w:rsidR="002A5DC4" w:rsidRPr="002A5DC4">
              <w:rPr>
                <w:noProof/>
                <w:szCs w:val="20"/>
              </w:rPr>
              <w:t xml:space="preserve"> </w:t>
            </w:r>
            <w:r w:rsidR="00552D30">
              <w:rPr>
                <w:noProof/>
                <w:szCs w:val="20"/>
              </w:rPr>
              <w:t>by strengthening</w:t>
            </w:r>
            <w:r w:rsidR="002A5DC4" w:rsidRPr="002A5DC4">
              <w:rPr>
                <w:noProof/>
                <w:szCs w:val="20"/>
              </w:rPr>
              <w:t xml:space="preserve"> EU industrial capacity and </w:t>
            </w:r>
            <w:r w:rsidR="009034CD" w:rsidRPr="009034CD">
              <w:rPr>
                <w:noProof/>
                <w:szCs w:val="20"/>
              </w:rPr>
              <w:t>reduce strategic</w:t>
            </w:r>
            <w:r w:rsidR="002A5DC4" w:rsidRPr="002A5DC4">
              <w:rPr>
                <w:noProof/>
                <w:szCs w:val="20"/>
              </w:rPr>
              <w:t xml:space="preserve"> dependencies.</w:t>
            </w:r>
          </w:p>
        </w:tc>
      </w:tr>
      <w:tr w:rsidR="00B4506C" w:rsidRPr="009B29A8" w14:paraId="070D6ADB" w14:textId="77777777" w:rsidTr="3C1B0927">
        <w:tc>
          <w:tcPr>
            <w:tcW w:w="4621" w:type="dxa"/>
            <w:tcMar>
              <w:top w:w="113" w:type="dxa"/>
              <w:left w:w="113" w:type="dxa"/>
              <w:bottom w:w="113" w:type="dxa"/>
              <w:right w:w="113" w:type="dxa"/>
            </w:tcMar>
          </w:tcPr>
          <w:p w14:paraId="363CCF4F" w14:textId="77777777" w:rsidR="00D41756" w:rsidRPr="009B29A8" w:rsidRDefault="00D41756">
            <w:pPr>
              <w:rPr>
                <w:noProof/>
                <w:szCs w:val="20"/>
              </w:rPr>
            </w:pPr>
            <w:r w:rsidRPr="009B29A8">
              <w:rPr>
                <w:noProof/>
                <w:szCs w:val="20"/>
              </w:rPr>
              <w:lastRenderedPageBreak/>
              <w:t>(3) The costs and benefits should be, to the extent possible, monetised, discounted and aggregated for each of the options for the whole appraisal period, which should be clearly established. In case a phased approach is envisaged, it should be captured by the modelling. The assessment of costs and benefits should allow to analyse and compare the effectiveness and efficiency of the options. The report should provide a clear distributional analysis, i.e. a distribution of the aggregated costs and benefits to the main groups of stakeholders.</w:t>
            </w:r>
          </w:p>
        </w:tc>
        <w:tc>
          <w:tcPr>
            <w:tcW w:w="4621" w:type="dxa"/>
            <w:tcMar>
              <w:top w:w="113" w:type="dxa"/>
              <w:left w:w="113" w:type="dxa"/>
              <w:bottom w:w="113" w:type="dxa"/>
              <w:right w:w="113" w:type="dxa"/>
            </w:tcMar>
          </w:tcPr>
          <w:p w14:paraId="0A3BDDD0" w14:textId="689C7936" w:rsidR="00544A73" w:rsidRDefault="00EA5EAB" w:rsidP="00544A73">
            <w:pPr>
              <w:spacing w:line="259" w:lineRule="auto"/>
              <w:rPr>
                <w:noProof/>
              </w:rPr>
            </w:pPr>
            <w:r>
              <w:rPr>
                <w:noProof/>
              </w:rPr>
              <w:t>The</w:t>
            </w:r>
            <w:r w:rsidR="001C7720">
              <w:rPr>
                <w:noProof/>
              </w:rPr>
              <w:t xml:space="preserve"> costs and benefits have</w:t>
            </w:r>
            <w:r w:rsidR="00D83414">
              <w:rPr>
                <w:noProof/>
              </w:rPr>
              <w:t xml:space="preserve"> been </w:t>
            </w:r>
            <w:r>
              <w:rPr>
                <w:noProof/>
              </w:rPr>
              <w:t xml:space="preserve">updated and aggregated </w:t>
            </w:r>
            <w:r w:rsidR="00FA25B4">
              <w:rPr>
                <w:noProof/>
              </w:rPr>
              <w:t>in the overview table present at the end of Annex 4, as well as in Section 7.2. A</w:t>
            </w:r>
            <w:r w:rsidR="001C7720">
              <w:rPr>
                <w:noProof/>
              </w:rPr>
              <w:t xml:space="preserve"> new</w:t>
            </w:r>
            <w:r w:rsidR="788573E7">
              <w:rPr>
                <w:noProof/>
              </w:rPr>
              <w:t xml:space="preserve"> </w:t>
            </w:r>
            <w:r w:rsidR="00284405">
              <w:rPr>
                <w:noProof/>
              </w:rPr>
              <w:t>zoom-in box has been added to</w:t>
            </w:r>
            <w:r w:rsidR="788573E7">
              <w:rPr>
                <w:noProof/>
              </w:rPr>
              <w:t xml:space="preserve"> </w:t>
            </w:r>
            <w:r w:rsidR="00D44BE4">
              <w:rPr>
                <w:noProof/>
              </w:rPr>
              <w:t>Section 7.2</w:t>
            </w:r>
            <w:r>
              <w:rPr>
                <w:noProof/>
              </w:rPr>
              <w:t xml:space="preserve">, showing the </w:t>
            </w:r>
            <w:r w:rsidR="00544A73">
              <w:rPr>
                <w:noProof/>
              </w:rPr>
              <w:t xml:space="preserve">aggregated </w:t>
            </w:r>
            <w:r w:rsidR="00047E82">
              <w:rPr>
                <w:noProof/>
              </w:rPr>
              <w:t xml:space="preserve">costs and benefits </w:t>
            </w:r>
            <w:r w:rsidR="00544A73">
              <w:rPr>
                <w:noProof/>
              </w:rPr>
              <w:t xml:space="preserve">for </w:t>
            </w:r>
            <w:r w:rsidR="00047E82">
              <w:rPr>
                <w:noProof/>
              </w:rPr>
              <w:t xml:space="preserve">the main </w:t>
            </w:r>
            <w:r w:rsidR="00284405">
              <w:rPr>
                <w:noProof/>
              </w:rPr>
              <w:t>stakeholders’</w:t>
            </w:r>
            <w:r w:rsidR="00047E82">
              <w:rPr>
                <w:noProof/>
              </w:rPr>
              <w:t xml:space="preserve"> groups</w:t>
            </w:r>
            <w:r w:rsidR="00544A73">
              <w:rPr>
                <w:noProof/>
              </w:rPr>
              <w:t xml:space="preserve"> (including downstream sectors, citizens and Member States). This can also be found in detail in </w:t>
            </w:r>
            <w:r w:rsidR="00D44BE4">
              <w:rPr>
                <w:noProof/>
              </w:rPr>
              <w:t>Annex 4</w:t>
            </w:r>
            <w:r w:rsidR="2E351C0A">
              <w:rPr>
                <w:noProof/>
              </w:rPr>
              <w:t>.</w:t>
            </w:r>
            <w:r w:rsidR="00D44BE4">
              <w:rPr>
                <w:noProof/>
              </w:rPr>
              <w:t xml:space="preserve"> </w:t>
            </w:r>
          </w:p>
          <w:p w14:paraId="193C7096" w14:textId="77777777" w:rsidR="00544A73" w:rsidRDefault="00544A73" w:rsidP="00544A73">
            <w:pPr>
              <w:spacing w:line="259" w:lineRule="auto"/>
              <w:rPr>
                <w:noProof/>
              </w:rPr>
            </w:pPr>
          </w:p>
          <w:p w14:paraId="55E9D7EC" w14:textId="35B91A8D" w:rsidR="00D41756" w:rsidRPr="009B29A8" w:rsidRDefault="00364EC9" w:rsidP="00544A73">
            <w:pPr>
              <w:spacing w:line="259" w:lineRule="auto"/>
              <w:rPr>
                <w:noProof/>
                <w:szCs w:val="20"/>
              </w:rPr>
            </w:pPr>
            <w:r>
              <w:rPr>
                <w:noProof/>
              </w:rPr>
              <w:t xml:space="preserve">It was not possible to </w:t>
            </w:r>
            <w:r w:rsidR="002C58D0">
              <w:rPr>
                <w:noProof/>
              </w:rPr>
              <w:t>calculate the yearly costs for each policy option</w:t>
            </w:r>
            <w:r w:rsidR="009B5347">
              <w:rPr>
                <w:noProof/>
              </w:rPr>
              <w:t xml:space="preserve">, therefore the analysis for the year 2030 was maintained. </w:t>
            </w:r>
          </w:p>
        </w:tc>
      </w:tr>
      <w:tr w:rsidR="00B4506C" w:rsidRPr="009B29A8" w14:paraId="01B1322C" w14:textId="77777777" w:rsidTr="3C1B0927">
        <w:tc>
          <w:tcPr>
            <w:tcW w:w="4621" w:type="dxa"/>
            <w:tcMar>
              <w:top w:w="113" w:type="dxa"/>
              <w:left w:w="113" w:type="dxa"/>
              <w:bottom w:w="113" w:type="dxa"/>
              <w:right w:w="113" w:type="dxa"/>
            </w:tcMar>
          </w:tcPr>
          <w:p w14:paraId="28C8F92D" w14:textId="5AAE3D8A" w:rsidR="00D41756" w:rsidRPr="009B29A8" w:rsidRDefault="00D41756">
            <w:pPr>
              <w:rPr>
                <w:noProof/>
                <w:szCs w:val="20"/>
              </w:rPr>
            </w:pPr>
            <w:r w:rsidRPr="009B29A8">
              <w:rPr>
                <w:noProof/>
                <w:szCs w:val="20"/>
              </w:rPr>
              <w:t>(4) The newly added summary of estimated costs and benefits in 2030 (</w:t>
            </w:r>
            <w:r w:rsidR="00E63701">
              <w:rPr>
                <w:noProof/>
                <w:szCs w:val="20"/>
              </w:rPr>
              <w:t>T</w:t>
            </w:r>
            <w:r w:rsidRPr="009B29A8">
              <w:rPr>
                <w:noProof/>
                <w:szCs w:val="20"/>
              </w:rPr>
              <w:t>able 4) provides for an important difference in net benefits of the preferred policy option 2 (negative net benefit) and policy option 1 (positive net benefit). The report should justify why a less efficient option has been selected as the preferred one; this should be reflected also in the executive summary. The analysis should also build on an improved analysis of proportionality, in particular related to the scope of low-carbon content (all products placed on the market vs. products purchased thanks to public financing).</w:t>
            </w:r>
          </w:p>
        </w:tc>
        <w:tc>
          <w:tcPr>
            <w:tcW w:w="4621" w:type="dxa"/>
            <w:tcMar>
              <w:top w:w="113" w:type="dxa"/>
              <w:left w:w="113" w:type="dxa"/>
              <w:bottom w:w="113" w:type="dxa"/>
              <w:right w:w="113" w:type="dxa"/>
            </w:tcMar>
          </w:tcPr>
          <w:p w14:paraId="12E328FE" w14:textId="1DD0EC4B" w:rsidR="00012235" w:rsidRDefault="002B02D7">
            <w:pPr>
              <w:rPr>
                <w:noProof/>
              </w:rPr>
            </w:pPr>
            <w:r>
              <w:rPr>
                <w:noProof/>
              </w:rPr>
              <w:t xml:space="preserve">Following an adjustment to the policy option design, </w:t>
            </w:r>
            <w:r w:rsidR="00B832ED">
              <w:rPr>
                <w:noProof/>
              </w:rPr>
              <w:t xml:space="preserve">the overall costs and benefits </w:t>
            </w:r>
            <w:r w:rsidR="002835F4">
              <w:rPr>
                <w:noProof/>
              </w:rPr>
              <w:t xml:space="preserve">result in </w:t>
            </w:r>
            <w:r w:rsidR="00827842">
              <w:rPr>
                <w:noProof/>
              </w:rPr>
              <w:t>similar net benefits between PO1 and PO2.</w:t>
            </w:r>
            <w:r w:rsidR="00E24E9B">
              <w:rPr>
                <w:noProof/>
              </w:rPr>
              <w:t xml:space="preserve"> Th</w:t>
            </w:r>
            <w:r w:rsidR="00714A83">
              <w:rPr>
                <w:noProof/>
              </w:rPr>
              <w:t>ese</w:t>
            </w:r>
            <w:r w:rsidR="00E24E9B">
              <w:rPr>
                <w:noProof/>
              </w:rPr>
              <w:t xml:space="preserve"> result from lowering the Made in EU targets</w:t>
            </w:r>
            <w:r w:rsidR="001E12E9">
              <w:rPr>
                <w:noProof/>
              </w:rPr>
              <w:t xml:space="preserve">, </w:t>
            </w:r>
            <w:r w:rsidR="00012235">
              <w:rPr>
                <w:noProof/>
              </w:rPr>
              <w:t>to</w:t>
            </w:r>
            <w:r w:rsidR="001E12E9">
              <w:rPr>
                <w:noProof/>
              </w:rPr>
              <w:t xml:space="preserve"> align them</w:t>
            </w:r>
            <w:r w:rsidR="00B832ED">
              <w:rPr>
                <w:noProof/>
              </w:rPr>
              <w:t xml:space="preserve"> </w:t>
            </w:r>
            <w:r w:rsidR="001E12E9">
              <w:rPr>
                <w:noProof/>
              </w:rPr>
              <w:t>with</w:t>
            </w:r>
            <w:r w:rsidR="00EB3BA5">
              <w:rPr>
                <w:noProof/>
              </w:rPr>
              <w:t xml:space="preserve"> the low-carbon targets. </w:t>
            </w:r>
            <w:r w:rsidR="00C42924">
              <w:rPr>
                <w:noProof/>
              </w:rPr>
              <w:t xml:space="preserve">In the absence of </w:t>
            </w:r>
            <w:r w:rsidR="004046F2">
              <w:rPr>
                <w:noProof/>
              </w:rPr>
              <w:t>established</w:t>
            </w:r>
            <w:r w:rsidR="008C7BE2">
              <w:rPr>
                <w:noProof/>
              </w:rPr>
              <w:t xml:space="preserve"> </w:t>
            </w:r>
            <w:r w:rsidR="00C42924">
              <w:rPr>
                <w:noProof/>
              </w:rPr>
              <w:t>low-carbon supply chain</w:t>
            </w:r>
            <w:r w:rsidR="004046F2">
              <w:rPr>
                <w:noProof/>
              </w:rPr>
              <w:t>s</w:t>
            </w:r>
            <w:r w:rsidR="00C42924">
              <w:rPr>
                <w:noProof/>
              </w:rPr>
              <w:t xml:space="preserve"> for cement, steel and aluminium, the</w:t>
            </w:r>
            <w:r w:rsidR="00073070">
              <w:rPr>
                <w:noProof/>
              </w:rPr>
              <w:t xml:space="preserve"> analysis is based on the</w:t>
            </w:r>
            <w:r w:rsidR="00C42924">
              <w:rPr>
                <w:noProof/>
              </w:rPr>
              <w:t xml:space="preserve"> traditional supply chains </w:t>
            </w:r>
            <w:r w:rsidR="004D7BE9">
              <w:rPr>
                <w:noProof/>
              </w:rPr>
              <w:t>for these materials</w:t>
            </w:r>
            <w:r w:rsidR="00073070">
              <w:rPr>
                <w:noProof/>
              </w:rPr>
              <w:t xml:space="preserve">, </w:t>
            </w:r>
            <w:r w:rsidR="005608B4">
              <w:rPr>
                <w:noProof/>
              </w:rPr>
              <w:t xml:space="preserve">where </w:t>
            </w:r>
            <w:r w:rsidR="004046F2">
              <w:rPr>
                <w:noProof/>
              </w:rPr>
              <w:t xml:space="preserve">today </w:t>
            </w:r>
            <w:r w:rsidR="005608B4">
              <w:rPr>
                <w:noProof/>
              </w:rPr>
              <w:t xml:space="preserve">domestic EU </w:t>
            </w:r>
            <w:r w:rsidR="00616559">
              <w:rPr>
                <w:noProof/>
              </w:rPr>
              <w:t xml:space="preserve">materials producers </w:t>
            </w:r>
            <w:r w:rsidR="00691841">
              <w:rPr>
                <w:noProof/>
              </w:rPr>
              <w:t>are able to meet high share</w:t>
            </w:r>
            <w:r w:rsidR="003764FF">
              <w:rPr>
                <w:noProof/>
              </w:rPr>
              <w:t xml:space="preserve">s of the demand </w:t>
            </w:r>
            <w:r w:rsidR="00AB7E4D">
              <w:rPr>
                <w:noProof/>
              </w:rPr>
              <w:t xml:space="preserve">for materials by </w:t>
            </w:r>
            <w:r w:rsidR="006D60A0">
              <w:rPr>
                <w:noProof/>
              </w:rPr>
              <w:t xml:space="preserve">the European automotive and construction sector. As a result, no increase </w:t>
            </w:r>
            <w:r w:rsidR="00137F79">
              <w:rPr>
                <w:noProof/>
              </w:rPr>
              <w:t>in</w:t>
            </w:r>
            <w:r w:rsidR="006D60A0">
              <w:rPr>
                <w:noProof/>
              </w:rPr>
              <w:t xml:space="preserve"> cost</w:t>
            </w:r>
            <w:r w:rsidR="00035098">
              <w:rPr>
                <w:noProof/>
              </w:rPr>
              <w:t>s</w:t>
            </w:r>
            <w:r w:rsidR="006D60A0">
              <w:rPr>
                <w:noProof/>
              </w:rPr>
              <w:t xml:space="preserve"> from Made in EU </w:t>
            </w:r>
            <w:r w:rsidR="00035098">
              <w:rPr>
                <w:noProof/>
              </w:rPr>
              <w:t>can be incorporated to PO2</w:t>
            </w:r>
            <w:r w:rsidR="003D0C5A">
              <w:rPr>
                <w:noProof/>
              </w:rPr>
              <w:t xml:space="preserve">. </w:t>
            </w:r>
          </w:p>
          <w:p w14:paraId="6FE16411" w14:textId="77777777" w:rsidR="00012235" w:rsidRDefault="00012235">
            <w:pPr>
              <w:rPr>
                <w:noProof/>
              </w:rPr>
            </w:pPr>
          </w:p>
          <w:p w14:paraId="2E787AB3" w14:textId="2828CE40" w:rsidR="00D41756" w:rsidRPr="009B29A8" w:rsidRDefault="0001017D">
            <w:pPr>
              <w:rPr>
                <w:noProof/>
              </w:rPr>
            </w:pPr>
            <w:r>
              <w:rPr>
                <w:noProof/>
              </w:rPr>
              <w:t>The</w:t>
            </w:r>
            <w:r w:rsidR="004A3F4A">
              <w:rPr>
                <w:noProof/>
              </w:rPr>
              <w:t xml:space="preserve"> justification </w:t>
            </w:r>
            <w:r>
              <w:rPr>
                <w:noProof/>
              </w:rPr>
              <w:t>for selecting a</w:t>
            </w:r>
            <w:r w:rsidR="00A90F6C">
              <w:rPr>
                <w:noProof/>
              </w:rPr>
              <w:t>n equally</w:t>
            </w:r>
            <w:r w:rsidR="004A3F4A">
              <w:rPr>
                <w:noProof/>
              </w:rPr>
              <w:t xml:space="preserve"> efficient option</w:t>
            </w:r>
            <w:r w:rsidR="00D83414">
              <w:rPr>
                <w:noProof/>
              </w:rPr>
              <w:t xml:space="preserve"> has been </w:t>
            </w:r>
            <w:r>
              <w:rPr>
                <w:noProof/>
              </w:rPr>
              <w:t>added</w:t>
            </w:r>
            <w:r w:rsidR="7A6C6D30">
              <w:rPr>
                <w:noProof/>
              </w:rPr>
              <w:t xml:space="preserve"> i</w:t>
            </w:r>
            <w:r w:rsidR="00B742D8">
              <w:rPr>
                <w:noProof/>
              </w:rPr>
              <w:t xml:space="preserve">n Section 8, </w:t>
            </w:r>
            <w:r w:rsidR="00824CD7">
              <w:rPr>
                <w:noProof/>
              </w:rPr>
              <w:t xml:space="preserve">where the </w:t>
            </w:r>
            <w:r w:rsidR="00AA4EE5">
              <w:rPr>
                <w:noProof/>
              </w:rPr>
              <w:t>reasons</w:t>
            </w:r>
            <w:r w:rsidR="00824CD7">
              <w:rPr>
                <w:noProof/>
              </w:rPr>
              <w:t xml:space="preserve"> for the preferred Policy Option </w:t>
            </w:r>
            <w:r w:rsidR="00E352C7">
              <w:rPr>
                <w:noProof/>
              </w:rPr>
              <w:t>have been</w:t>
            </w:r>
            <w:r w:rsidR="00824CD7">
              <w:rPr>
                <w:noProof/>
              </w:rPr>
              <w:t xml:space="preserve"> further expanded upon</w:t>
            </w:r>
            <w:r w:rsidR="00E352C7">
              <w:rPr>
                <w:noProof/>
              </w:rPr>
              <w:t xml:space="preserve">, showing </w:t>
            </w:r>
            <w:r w:rsidR="00E44CDC">
              <w:rPr>
                <w:noProof/>
              </w:rPr>
              <w:t xml:space="preserve">how </w:t>
            </w:r>
            <w:r w:rsidR="00E352C7">
              <w:rPr>
                <w:noProof/>
              </w:rPr>
              <w:t xml:space="preserve">the long-term </w:t>
            </w:r>
            <w:r w:rsidR="0033503A">
              <w:rPr>
                <w:noProof/>
              </w:rPr>
              <w:t xml:space="preserve">economic security </w:t>
            </w:r>
            <w:r w:rsidR="00E352C7">
              <w:rPr>
                <w:noProof/>
              </w:rPr>
              <w:t>benefits</w:t>
            </w:r>
            <w:r w:rsidR="0033503A">
              <w:rPr>
                <w:noProof/>
              </w:rPr>
              <w:t xml:space="preserve"> </w:t>
            </w:r>
            <w:r w:rsidR="00E44CDC">
              <w:rPr>
                <w:noProof/>
              </w:rPr>
              <w:t xml:space="preserve">will mitigate the </w:t>
            </w:r>
            <w:r w:rsidR="00416D9C">
              <w:rPr>
                <w:noProof/>
              </w:rPr>
              <w:t xml:space="preserve">initial </w:t>
            </w:r>
            <w:r w:rsidR="001218B2">
              <w:rPr>
                <w:noProof/>
              </w:rPr>
              <w:t>negative net benefit</w:t>
            </w:r>
            <w:r w:rsidR="00935116">
              <w:rPr>
                <w:noProof/>
              </w:rPr>
              <w:t xml:space="preserve"> for 2030</w:t>
            </w:r>
            <w:r w:rsidR="001218B2">
              <w:rPr>
                <w:noProof/>
              </w:rPr>
              <w:t xml:space="preserve">. This is also </w:t>
            </w:r>
            <w:r w:rsidR="00AA4EE5">
              <w:rPr>
                <w:noProof/>
              </w:rPr>
              <w:t>further reflected in Section 7.2, under Efficiency considerations</w:t>
            </w:r>
            <w:r w:rsidR="1FD70E09">
              <w:rPr>
                <w:noProof/>
              </w:rPr>
              <w:t xml:space="preserve">. </w:t>
            </w:r>
            <w:r w:rsidR="1500A384">
              <w:rPr>
                <w:noProof/>
              </w:rPr>
              <w:t xml:space="preserve">This is now reflected in the executive summary as well. </w:t>
            </w:r>
          </w:p>
          <w:p w14:paraId="13E94079" w14:textId="268037D2" w:rsidR="00E90C7D" w:rsidRDefault="777356FE" w:rsidP="00A61215">
            <w:pPr>
              <w:spacing w:line="259" w:lineRule="auto"/>
              <w:rPr>
                <w:rFonts w:ascii="Times" w:eastAsia="Times" w:hAnsi="Times" w:cs="Times"/>
                <w:noProof/>
                <w:szCs w:val="24"/>
              </w:rPr>
            </w:pPr>
            <w:r w:rsidRPr="00A61215">
              <w:rPr>
                <w:rFonts w:ascii="Times" w:eastAsia="Times" w:hAnsi="Times" w:cs="Times"/>
                <w:noProof/>
                <w:szCs w:val="24"/>
              </w:rPr>
              <w:t>Additionally</w:t>
            </w:r>
            <w:r w:rsidR="4B78F68D" w:rsidRPr="00A61215">
              <w:rPr>
                <w:rFonts w:ascii="Times" w:eastAsia="Times" w:hAnsi="Times" w:cs="Times"/>
                <w:noProof/>
                <w:szCs w:val="24"/>
              </w:rPr>
              <w:t xml:space="preserve">, the breakdown of costs </w:t>
            </w:r>
            <w:r w:rsidRPr="00A61215">
              <w:rPr>
                <w:rFonts w:ascii="Times" w:eastAsia="Times" w:hAnsi="Times" w:cs="Times"/>
                <w:noProof/>
                <w:szCs w:val="24"/>
              </w:rPr>
              <w:t>associated with</w:t>
            </w:r>
            <w:r w:rsidR="4B78F68D" w:rsidRPr="00A61215">
              <w:rPr>
                <w:rFonts w:ascii="Times" w:eastAsia="Times" w:hAnsi="Times" w:cs="Times"/>
                <w:noProof/>
                <w:szCs w:val="24"/>
              </w:rPr>
              <w:t xml:space="preserve"> low</w:t>
            </w:r>
            <w:r w:rsidR="00F42FCE">
              <w:rPr>
                <w:rFonts w:ascii="Times" w:eastAsia="Times" w:hAnsi="Times" w:cs="Times"/>
                <w:noProof/>
                <w:szCs w:val="24"/>
              </w:rPr>
              <w:t>-</w:t>
            </w:r>
            <w:r w:rsidR="4B78F68D" w:rsidRPr="00A61215">
              <w:rPr>
                <w:rFonts w:ascii="Times" w:eastAsia="Times" w:hAnsi="Times" w:cs="Times"/>
                <w:noProof/>
                <w:szCs w:val="24"/>
              </w:rPr>
              <w:t xml:space="preserve">carbon content requirements, </w:t>
            </w:r>
            <w:r w:rsidRPr="00A61215">
              <w:rPr>
                <w:rFonts w:ascii="Times" w:eastAsia="Times" w:hAnsi="Times" w:cs="Times"/>
                <w:noProof/>
                <w:szCs w:val="24"/>
              </w:rPr>
              <w:t>divided</w:t>
            </w:r>
            <w:r w:rsidR="4B78F68D" w:rsidRPr="00A61215">
              <w:rPr>
                <w:rFonts w:ascii="Times" w:eastAsia="Times" w:hAnsi="Times" w:cs="Times"/>
                <w:noProof/>
                <w:szCs w:val="24"/>
              </w:rPr>
              <w:t xml:space="preserve"> by public procurement, support schemes</w:t>
            </w:r>
            <w:r w:rsidRPr="00A61215">
              <w:rPr>
                <w:rFonts w:ascii="Times" w:eastAsia="Times" w:hAnsi="Times" w:cs="Times"/>
                <w:noProof/>
                <w:szCs w:val="24"/>
              </w:rPr>
              <w:t>,</w:t>
            </w:r>
            <w:r w:rsidR="4B78F68D" w:rsidRPr="00A61215">
              <w:rPr>
                <w:rFonts w:ascii="Times" w:eastAsia="Times" w:hAnsi="Times" w:cs="Times"/>
                <w:noProof/>
                <w:szCs w:val="24"/>
              </w:rPr>
              <w:t xml:space="preserve"> and products placed on the market</w:t>
            </w:r>
            <w:r w:rsidRPr="00A61215">
              <w:rPr>
                <w:rFonts w:ascii="Times" w:eastAsia="Times" w:hAnsi="Times" w:cs="Times"/>
                <w:noProof/>
                <w:szCs w:val="24"/>
              </w:rPr>
              <w:t>,</w:t>
            </w:r>
            <w:r w:rsidR="4B78F68D" w:rsidRPr="00A61215">
              <w:rPr>
                <w:rFonts w:ascii="Times" w:eastAsia="Times" w:hAnsi="Times" w:cs="Times"/>
                <w:noProof/>
                <w:szCs w:val="24"/>
              </w:rPr>
              <w:t xml:space="preserve"> is </w:t>
            </w:r>
            <w:r w:rsidRPr="00A61215">
              <w:rPr>
                <w:rFonts w:ascii="Times" w:eastAsia="Times" w:hAnsi="Times" w:cs="Times"/>
                <w:noProof/>
                <w:szCs w:val="24"/>
              </w:rPr>
              <w:t>detailed</w:t>
            </w:r>
            <w:r w:rsidR="4B78F68D" w:rsidRPr="00A61215">
              <w:rPr>
                <w:rFonts w:ascii="Times" w:eastAsia="Times" w:hAnsi="Times" w:cs="Times"/>
                <w:noProof/>
                <w:szCs w:val="24"/>
              </w:rPr>
              <w:t xml:space="preserve"> in Annex 4, </w:t>
            </w:r>
            <w:r w:rsidR="0590323D" w:rsidRPr="00A61215">
              <w:rPr>
                <w:rFonts w:ascii="Times" w:eastAsia="Times" w:hAnsi="Times" w:cs="Times"/>
                <w:noProof/>
                <w:szCs w:val="24"/>
              </w:rPr>
              <w:t>Section 2.2</w:t>
            </w:r>
            <w:r w:rsidRPr="00A61215">
              <w:rPr>
                <w:rFonts w:ascii="Times" w:eastAsia="Times" w:hAnsi="Times" w:cs="Times"/>
                <w:noProof/>
                <w:szCs w:val="24"/>
              </w:rPr>
              <w:t xml:space="preserve">. This provides a </w:t>
            </w:r>
            <w:r w:rsidR="4B78F68D" w:rsidRPr="00A61215">
              <w:rPr>
                <w:rFonts w:ascii="Times" w:eastAsia="Times" w:hAnsi="Times" w:cs="Times"/>
                <w:noProof/>
                <w:szCs w:val="24"/>
              </w:rPr>
              <w:t>better</w:t>
            </w:r>
            <w:r w:rsidR="4B78F68D" w:rsidRPr="705ECB58">
              <w:rPr>
                <w:rFonts w:ascii="Times" w:eastAsia="Times" w:hAnsi="Times" w:cs="Times"/>
                <w:noProof/>
                <w:sz w:val="24"/>
                <w:szCs w:val="24"/>
              </w:rPr>
              <w:t xml:space="preserve"> </w:t>
            </w:r>
            <w:r w:rsidRPr="00A61215">
              <w:rPr>
                <w:rFonts w:ascii="Times" w:eastAsia="Times" w:hAnsi="Times" w:cs="Times"/>
                <w:noProof/>
                <w:szCs w:val="24"/>
              </w:rPr>
              <w:t>reflection of the impacts</w:t>
            </w:r>
            <w:r w:rsidR="429B6BE2" w:rsidRPr="00A61215">
              <w:rPr>
                <w:rFonts w:ascii="Times" w:eastAsia="Times" w:hAnsi="Times" w:cs="Times"/>
                <w:noProof/>
                <w:szCs w:val="24"/>
              </w:rPr>
              <w:t xml:space="preserve"> of each </w:t>
            </w:r>
            <w:r w:rsidR="429B6BE2" w:rsidRPr="00A61215">
              <w:rPr>
                <w:rFonts w:ascii="Times" w:eastAsia="Times" w:hAnsi="Times" w:cs="Times"/>
                <w:noProof/>
                <w:szCs w:val="24"/>
              </w:rPr>
              <w:lastRenderedPageBreak/>
              <w:t xml:space="preserve">policy option as the requirements extend to a </w:t>
            </w:r>
            <w:r w:rsidRPr="00A61215">
              <w:rPr>
                <w:rFonts w:ascii="Times" w:eastAsia="Times" w:hAnsi="Times" w:cs="Times"/>
                <w:noProof/>
                <w:szCs w:val="24"/>
              </w:rPr>
              <w:t>larger</w:t>
            </w:r>
            <w:r w:rsidR="429B6BE2" w:rsidRPr="00A61215">
              <w:rPr>
                <w:rFonts w:ascii="Times" w:eastAsia="Times" w:hAnsi="Times" w:cs="Times"/>
                <w:noProof/>
                <w:szCs w:val="24"/>
              </w:rPr>
              <w:t xml:space="preserve"> share of the market.</w:t>
            </w:r>
          </w:p>
          <w:p w14:paraId="58F213A0" w14:textId="77777777" w:rsidR="00E90C7D" w:rsidRDefault="00E90C7D" w:rsidP="00A61215">
            <w:pPr>
              <w:spacing w:line="259" w:lineRule="auto"/>
              <w:rPr>
                <w:rFonts w:ascii="Times" w:eastAsia="Times" w:hAnsi="Times" w:cs="Times"/>
                <w:noProof/>
              </w:rPr>
            </w:pPr>
          </w:p>
          <w:p w14:paraId="410BEDDE" w14:textId="45B94E46" w:rsidR="00D41756" w:rsidRPr="009B29A8" w:rsidRDefault="00B507BF" w:rsidP="00B507BF">
            <w:pPr>
              <w:spacing w:line="259" w:lineRule="auto"/>
              <w:rPr>
                <w:rFonts w:ascii="Aptos" w:eastAsia="Aptos" w:hAnsi="Aptos" w:cs="Aptos"/>
                <w:noProof/>
                <w:sz w:val="24"/>
                <w:szCs w:val="24"/>
              </w:rPr>
            </w:pPr>
            <w:r>
              <w:rPr>
                <w:rFonts w:ascii="Times" w:eastAsia="Times" w:hAnsi="Times" w:cs="Times"/>
                <w:noProof/>
              </w:rPr>
              <w:t>The</w:t>
            </w:r>
            <w:r w:rsidR="00E90C7D">
              <w:rPr>
                <w:rFonts w:ascii="Times" w:eastAsia="Times" w:hAnsi="Times" w:cs="Times"/>
                <w:noProof/>
              </w:rPr>
              <w:t xml:space="preserve"> proportionality analysis has been </w:t>
            </w:r>
            <w:r w:rsidR="00137100">
              <w:rPr>
                <w:rFonts w:ascii="Times" w:eastAsia="Times" w:hAnsi="Times" w:cs="Times"/>
                <w:noProof/>
              </w:rPr>
              <w:t>improved</w:t>
            </w:r>
            <w:r w:rsidR="0033503A">
              <w:rPr>
                <w:rFonts w:ascii="Times" w:eastAsia="Times" w:hAnsi="Times" w:cs="Times"/>
                <w:noProof/>
              </w:rPr>
              <w:t xml:space="preserve"> </w:t>
            </w:r>
            <w:r w:rsidR="0033503A" w:rsidRPr="00B507BF">
              <w:rPr>
                <w:rFonts w:ascii="Times" w:eastAsia="Times" w:hAnsi="Times" w:cs="Times"/>
                <w:noProof/>
              </w:rPr>
              <w:t>under Section 7.4 explaining that starting with low-carbon requirements for all products placed on the market could have s</w:t>
            </w:r>
            <w:r w:rsidR="0033503A" w:rsidRPr="00B507BF">
              <w:rPr>
                <w:noProof/>
                <w:color w:val="000000" w:themeColor="text1"/>
              </w:rPr>
              <w:t>ubstantial impact on downstream sectors, with risks of imposing high costs or incentivising material substitution. Therefore, a</w:t>
            </w:r>
            <w:r w:rsidR="00B62963" w:rsidRPr="00B507BF">
              <w:rPr>
                <w:noProof/>
                <w:color w:val="000000" w:themeColor="text1"/>
              </w:rPr>
              <w:t xml:space="preserve"> more gradual option could be considered </w:t>
            </w:r>
            <w:r w:rsidRPr="00B507BF">
              <w:rPr>
                <w:noProof/>
                <w:color w:val="000000" w:themeColor="text1"/>
              </w:rPr>
              <w:t>for</w:t>
            </w:r>
            <w:r w:rsidR="00B62963" w:rsidRPr="00B507BF">
              <w:rPr>
                <w:noProof/>
                <w:color w:val="000000" w:themeColor="text1"/>
              </w:rPr>
              <w:t xml:space="preserve"> the legal drafting</w:t>
            </w:r>
            <w:r w:rsidRPr="00B507BF">
              <w:rPr>
                <w:noProof/>
                <w:color w:val="000000" w:themeColor="text1"/>
              </w:rPr>
              <w:t xml:space="preserve">, where the low-carbon requirements could initially be introduced </w:t>
            </w:r>
            <w:r>
              <w:rPr>
                <w:noProof/>
                <w:color w:val="000000" w:themeColor="text1"/>
              </w:rPr>
              <w:t xml:space="preserve">on a </w:t>
            </w:r>
            <w:r w:rsidRPr="00B507BF">
              <w:rPr>
                <w:noProof/>
                <w:color w:val="000000" w:themeColor="text1"/>
              </w:rPr>
              <w:t>reduced application scope</w:t>
            </w:r>
            <w:r>
              <w:rPr>
                <w:noProof/>
                <w:color w:val="000000" w:themeColor="text1"/>
              </w:rPr>
              <w:t>.</w:t>
            </w:r>
          </w:p>
        </w:tc>
      </w:tr>
      <w:tr w:rsidR="00B4506C" w:rsidRPr="009B29A8" w14:paraId="7FD9D1A3" w14:textId="77777777" w:rsidTr="3C1B0927">
        <w:tc>
          <w:tcPr>
            <w:tcW w:w="4621" w:type="dxa"/>
            <w:tcMar>
              <w:top w:w="113" w:type="dxa"/>
              <w:left w:w="113" w:type="dxa"/>
              <w:bottom w:w="113" w:type="dxa"/>
              <w:right w:w="113" w:type="dxa"/>
            </w:tcMar>
          </w:tcPr>
          <w:p w14:paraId="05DE7145" w14:textId="2B89E483" w:rsidR="00D41756" w:rsidRPr="009B29A8" w:rsidRDefault="00D41756">
            <w:pPr>
              <w:rPr>
                <w:noProof/>
                <w:szCs w:val="20"/>
              </w:rPr>
            </w:pPr>
            <w:r w:rsidRPr="009B29A8">
              <w:rPr>
                <w:noProof/>
                <w:szCs w:val="20"/>
              </w:rPr>
              <w:lastRenderedPageBreak/>
              <w:t>(5) The incoherence of the adjustment costs for business, as reported in the new summary</w:t>
            </w:r>
            <w:r>
              <w:rPr>
                <w:noProof/>
                <w:szCs w:val="20"/>
              </w:rPr>
              <w:t xml:space="preserve"> </w:t>
            </w:r>
            <w:r w:rsidR="00E63701">
              <w:rPr>
                <w:noProof/>
                <w:szCs w:val="20"/>
              </w:rPr>
              <w:t>T</w:t>
            </w:r>
            <w:r w:rsidRPr="009B29A8">
              <w:rPr>
                <w:noProof/>
                <w:szCs w:val="20"/>
              </w:rPr>
              <w:t>able 4 on the one hand, and in the one-in one-out section of the main report and in annex 4 on the other hand needs to be resolved.</w:t>
            </w:r>
          </w:p>
        </w:tc>
        <w:tc>
          <w:tcPr>
            <w:tcW w:w="4621" w:type="dxa"/>
            <w:tcMar>
              <w:top w:w="113" w:type="dxa"/>
              <w:left w:w="113" w:type="dxa"/>
              <w:bottom w:w="113" w:type="dxa"/>
              <w:right w:w="113" w:type="dxa"/>
            </w:tcMar>
          </w:tcPr>
          <w:p w14:paraId="41AC08C9" w14:textId="7C08E8AE" w:rsidR="00D41756" w:rsidRPr="009B29A8" w:rsidRDefault="00D83414">
            <w:pPr>
              <w:rPr>
                <w:noProof/>
                <w:szCs w:val="20"/>
              </w:rPr>
            </w:pPr>
            <w:r>
              <w:rPr>
                <w:noProof/>
                <w:szCs w:val="20"/>
              </w:rPr>
              <w:t xml:space="preserve">This </w:t>
            </w:r>
            <w:r w:rsidR="001C7720">
              <w:rPr>
                <w:noProof/>
                <w:szCs w:val="20"/>
              </w:rPr>
              <w:t>incoherence</w:t>
            </w:r>
            <w:r>
              <w:rPr>
                <w:noProof/>
                <w:szCs w:val="20"/>
              </w:rPr>
              <w:t xml:space="preserve"> has been a</w:t>
            </w:r>
            <w:r w:rsidR="00824CD7">
              <w:rPr>
                <w:noProof/>
                <w:szCs w:val="20"/>
              </w:rPr>
              <w:t xml:space="preserve">ddressed in </w:t>
            </w:r>
            <w:r w:rsidR="00B316AD">
              <w:rPr>
                <w:noProof/>
                <w:szCs w:val="20"/>
              </w:rPr>
              <w:t xml:space="preserve">the main text, as well as in </w:t>
            </w:r>
            <w:r w:rsidR="00824CD7">
              <w:rPr>
                <w:noProof/>
                <w:szCs w:val="20"/>
              </w:rPr>
              <w:t xml:space="preserve">Annex 3 and 4, where the data </w:t>
            </w:r>
            <w:r w:rsidR="00B316AD">
              <w:rPr>
                <w:noProof/>
                <w:szCs w:val="20"/>
              </w:rPr>
              <w:t xml:space="preserve">was aligned. </w:t>
            </w:r>
          </w:p>
        </w:tc>
      </w:tr>
      <w:tr w:rsidR="00B4506C" w:rsidRPr="009B29A8" w14:paraId="1B29D4E0" w14:textId="77777777" w:rsidTr="3C1B0927">
        <w:tc>
          <w:tcPr>
            <w:tcW w:w="4621" w:type="dxa"/>
            <w:tcMar>
              <w:top w:w="113" w:type="dxa"/>
              <w:left w:w="113" w:type="dxa"/>
              <w:bottom w:w="113" w:type="dxa"/>
              <w:right w:w="113" w:type="dxa"/>
            </w:tcMar>
          </w:tcPr>
          <w:p w14:paraId="624C47D5" w14:textId="77777777" w:rsidR="00D41756" w:rsidRPr="009B29A8" w:rsidRDefault="00D41756">
            <w:pPr>
              <w:rPr>
                <w:noProof/>
                <w:szCs w:val="20"/>
              </w:rPr>
            </w:pPr>
            <w:r w:rsidRPr="009B29A8">
              <w:rPr>
                <w:noProof/>
                <w:szCs w:val="20"/>
              </w:rPr>
              <w:t>(6) Both in the main text and the annexes, the limitations related to the modelling and the calculations as well as their robustness should be better reflected including in the comparison of options. Where significant uncertainties regarding key estimates are identified the report should provide a corresponding sensitivity analysis. In case a quantification and monetisation of benefits is not possible the report should provide a substantiated estimate to present the order of magnitude of expected benefits.</w:t>
            </w:r>
          </w:p>
        </w:tc>
        <w:tc>
          <w:tcPr>
            <w:tcW w:w="4621" w:type="dxa"/>
            <w:tcMar>
              <w:top w:w="113" w:type="dxa"/>
              <w:left w:w="113" w:type="dxa"/>
              <w:bottom w:w="113" w:type="dxa"/>
              <w:right w:w="113" w:type="dxa"/>
            </w:tcMar>
          </w:tcPr>
          <w:p w14:paraId="75000401" w14:textId="6502EF22" w:rsidR="457E65EB" w:rsidRDefault="457E65EB">
            <w:pPr>
              <w:rPr>
                <w:noProof/>
              </w:rPr>
            </w:pPr>
            <w:r>
              <w:rPr>
                <w:noProof/>
              </w:rPr>
              <w:t>The main text</w:t>
            </w:r>
            <w:r w:rsidR="00B41216">
              <w:rPr>
                <w:noProof/>
              </w:rPr>
              <w:t xml:space="preserve"> </w:t>
            </w:r>
            <w:r>
              <w:rPr>
                <w:noProof/>
              </w:rPr>
              <w:t xml:space="preserve">in the relevant impact sections </w:t>
            </w:r>
            <w:r w:rsidR="3B2AE077">
              <w:rPr>
                <w:noProof/>
              </w:rPr>
              <w:t>and Annex 4</w:t>
            </w:r>
            <w:r>
              <w:rPr>
                <w:noProof/>
              </w:rPr>
              <w:t xml:space="preserve"> is now nuanced with the characteristics </w:t>
            </w:r>
            <w:r w:rsidR="4C28D7A1">
              <w:rPr>
                <w:noProof/>
              </w:rPr>
              <w:t xml:space="preserve">of the </w:t>
            </w:r>
            <w:r w:rsidR="00E65162">
              <w:rPr>
                <w:noProof/>
              </w:rPr>
              <w:t>modelling exercises</w:t>
            </w:r>
            <w:r w:rsidR="4C28D7A1">
              <w:rPr>
                <w:noProof/>
              </w:rPr>
              <w:t xml:space="preserve">, and </w:t>
            </w:r>
            <w:r w:rsidR="3DF661F0">
              <w:rPr>
                <w:noProof/>
              </w:rPr>
              <w:t>how</w:t>
            </w:r>
            <w:r w:rsidR="4C28D7A1">
              <w:rPr>
                <w:noProof/>
              </w:rPr>
              <w:t xml:space="preserve"> the results</w:t>
            </w:r>
            <w:r w:rsidR="3DF661F0">
              <w:rPr>
                <w:noProof/>
              </w:rPr>
              <w:t xml:space="preserve"> should be framed. </w:t>
            </w:r>
            <w:r w:rsidR="00C04307">
              <w:rPr>
                <w:noProof/>
              </w:rPr>
              <w:t>Further limitations on the calculations are outlined as well in the relevant impact sections and Annex 4, such is the case for digitalisation of permitting</w:t>
            </w:r>
            <w:r w:rsidR="00D00CD0">
              <w:rPr>
                <w:noProof/>
              </w:rPr>
              <w:t>,</w:t>
            </w:r>
            <w:r w:rsidR="00E65162">
              <w:rPr>
                <w:noProof/>
              </w:rPr>
              <w:t xml:space="preserve"> where in the absence of </w:t>
            </w:r>
            <w:r w:rsidR="00D00CD0">
              <w:rPr>
                <w:noProof/>
              </w:rPr>
              <w:t>permitting-</w:t>
            </w:r>
            <w:r w:rsidR="00E65162">
              <w:rPr>
                <w:noProof/>
              </w:rPr>
              <w:t xml:space="preserve">specific analysis, </w:t>
            </w:r>
            <w:r w:rsidR="003031C1">
              <w:rPr>
                <w:noProof/>
              </w:rPr>
              <w:t xml:space="preserve">certain assumptions </w:t>
            </w:r>
            <w:r w:rsidR="007846BA">
              <w:rPr>
                <w:noProof/>
              </w:rPr>
              <w:t>need to be</w:t>
            </w:r>
            <w:r w:rsidR="003031C1">
              <w:rPr>
                <w:noProof/>
              </w:rPr>
              <w:t xml:space="preserve"> </w:t>
            </w:r>
            <w:r w:rsidR="00D00CD0">
              <w:rPr>
                <w:noProof/>
              </w:rPr>
              <w:t>drawn</w:t>
            </w:r>
            <w:r w:rsidR="003031C1">
              <w:rPr>
                <w:noProof/>
              </w:rPr>
              <w:t xml:space="preserve"> </w:t>
            </w:r>
            <w:r w:rsidR="007846BA">
              <w:rPr>
                <w:noProof/>
              </w:rPr>
              <w:t xml:space="preserve">to provide estimations </w:t>
            </w:r>
            <w:r w:rsidR="00D00CD0">
              <w:rPr>
                <w:noProof/>
              </w:rPr>
              <w:t xml:space="preserve">for </w:t>
            </w:r>
            <w:r w:rsidR="007846BA">
              <w:rPr>
                <w:noProof/>
              </w:rPr>
              <w:t xml:space="preserve">the </w:t>
            </w:r>
            <w:r w:rsidR="00D00CD0">
              <w:rPr>
                <w:noProof/>
              </w:rPr>
              <w:t>benefits</w:t>
            </w:r>
            <w:r w:rsidR="00DE7DBD">
              <w:rPr>
                <w:noProof/>
              </w:rPr>
              <w:t>.</w:t>
            </w:r>
            <w:r w:rsidR="15A61AAA">
              <w:rPr>
                <w:noProof/>
              </w:rPr>
              <w:t xml:space="preserve"> </w:t>
            </w:r>
          </w:p>
          <w:p w14:paraId="79136A96" w14:textId="00DF6F26" w:rsidR="1E649C8B" w:rsidRDefault="1E649C8B">
            <w:pPr>
              <w:rPr>
                <w:noProof/>
              </w:rPr>
            </w:pPr>
          </w:p>
          <w:p w14:paraId="64CFD0B5" w14:textId="1563E006" w:rsidR="008F3E06" w:rsidRDefault="00B93D8B">
            <w:pPr>
              <w:rPr>
                <w:noProof/>
              </w:rPr>
            </w:pPr>
            <w:r>
              <w:rPr>
                <w:noProof/>
              </w:rPr>
              <w:t>A</w:t>
            </w:r>
            <w:r w:rsidR="008C1AA9">
              <w:rPr>
                <w:noProof/>
              </w:rPr>
              <w:t xml:space="preserve"> </w:t>
            </w:r>
            <w:r w:rsidR="2203020E">
              <w:rPr>
                <w:noProof/>
              </w:rPr>
              <w:t xml:space="preserve">new </w:t>
            </w:r>
            <w:r>
              <w:rPr>
                <w:noProof/>
              </w:rPr>
              <w:t>A</w:t>
            </w:r>
            <w:r w:rsidR="008C1AA9">
              <w:rPr>
                <w:noProof/>
              </w:rPr>
              <w:t>nnex 15</w:t>
            </w:r>
            <w:r>
              <w:rPr>
                <w:noProof/>
              </w:rPr>
              <w:t xml:space="preserve"> has been developed. It</w:t>
            </w:r>
            <w:r w:rsidR="008C1AA9">
              <w:rPr>
                <w:noProof/>
              </w:rPr>
              <w:t xml:space="preserve"> introduces potential ranges of cost impacts, w</w:t>
            </w:r>
            <w:r w:rsidR="00BE3AE9">
              <w:rPr>
                <w:noProof/>
              </w:rPr>
              <w:t>h</w:t>
            </w:r>
            <w:r w:rsidR="008C1AA9">
              <w:rPr>
                <w:noProof/>
              </w:rPr>
              <w:t>ere uncertainties over the price differentials could influence the choice of P</w:t>
            </w:r>
            <w:r w:rsidR="007523FA">
              <w:rPr>
                <w:noProof/>
              </w:rPr>
              <w:t>olicy Opti</w:t>
            </w:r>
            <w:r w:rsidR="008C1AA9">
              <w:rPr>
                <w:noProof/>
              </w:rPr>
              <w:t>o</w:t>
            </w:r>
            <w:r w:rsidR="007523FA">
              <w:rPr>
                <w:noProof/>
              </w:rPr>
              <w:t>n</w:t>
            </w:r>
            <w:r w:rsidR="008C1AA9">
              <w:rPr>
                <w:noProof/>
              </w:rPr>
              <w:t>s. It</w:t>
            </w:r>
            <w:r w:rsidR="2203020E">
              <w:rPr>
                <w:noProof/>
              </w:rPr>
              <w:t xml:space="preserve"> presents a sensitivity analysis for some key parameters in the lead market measures</w:t>
            </w:r>
            <w:r w:rsidR="008F3E06">
              <w:rPr>
                <w:noProof/>
              </w:rPr>
              <w:t>:</w:t>
            </w:r>
          </w:p>
          <w:p w14:paraId="76B28AD6" w14:textId="7305ACA5" w:rsidR="00262C46" w:rsidRDefault="4C5D2F66" w:rsidP="000B50BF">
            <w:pPr>
              <w:pStyle w:val="ListParagraph"/>
              <w:numPr>
                <w:ilvl w:val="0"/>
                <w:numId w:val="29"/>
              </w:numPr>
              <w:rPr>
                <w:noProof/>
              </w:rPr>
            </w:pPr>
            <w:r>
              <w:rPr>
                <w:noProof/>
              </w:rPr>
              <w:t xml:space="preserve">Low-carbon </w:t>
            </w:r>
            <w:r w:rsidR="3C30BEDA">
              <w:rPr>
                <w:noProof/>
              </w:rPr>
              <w:t>measures for EIIs provide cost ranges, considering the uncertainty related to definitions of low-carbon</w:t>
            </w:r>
            <w:r w:rsidR="3D1617B6">
              <w:rPr>
                <w:noProof/>
              </w:rPr>
              <w:t>, prices for decarbonised energy</w:t>
            </w:r>
            <w:r w:rsidR="56B0CD26">
              <w:rPr>
                <w:noProof/>
              </w:rPr>
              <w:t xml:space="preserve">, decarbonisation </w:t>
            </w:r>
            <w:r w:rsidR="5C2CA54C">
              <w:rPr>
                <w:noProof/>
              </w:rPr>
              <w:t>costs and</w:t>
            </w:r>
            <w:r w:rsidR="41B92D47">
              <w:rPr>
                <w:noProof/>
              </w:rPr>
              <w:t xml:space="preserve"> other variables. </w:t>
            </w:r>
            <w:r w:rsidR="1DFB874E">
              <w:rPr>
                <w:noProof/>
              </w:rPr>
              <w:t>Due to these</w:t>
            </w:r>
            <w:r w:rsidR="79B3AAB5">
              <w:rPr>
                <w:noProof/>
              </w:rPr>
              <w:t xml:space="preserve"> uncertainties</w:t>
            </w:r>
            <w:r w:rsidR="1DFB874E">
              <w:rPr>
                <w:noProof/>
              </w:rPr>
              <w:t xml:space="preserve">, </w:t>
            </w:r>
            <w:r w:rsidR="3D4C3B1D">
              <w:rPr>
                <w:noProof/>
              </w:rPr>
              <w:t xml:space="preserve">the </w:t>
            </w:r>
            <w:r w:rsidR="2611C676">
              <w:rPr>
                <w:noProof/>
              </w:rPr>
              <w:t>low</w:t>
            </w:r>
            <w:r w:rsidR="00F42FCE">
              <w:rPr>
                <w:noProof/>
              </w:rPr>
              <w:t>-</w:t>
            </w:r>
            <w:r w:rsidR="2611C676">
              <w:rPr>
                <w:noProof/>
              </w:rPr>
              <w:t xml:space="preserve">carbon steel target would </w:t>
            </w:r>
            <w:r w:rsidR="1DD94B9D">
              <w:rPr>
                <w:noProof/>
              </w:rPr>
              <w:t>trigger a price</w:t>
            </w:r>
            <w:r w:rsidR="2611C676">
              <w:rPr>
                <w:noProof/>
              </w:rPr>
              <w:t xml:space="preserve"> increase ranging from 0.075% to 0.175% </w:t>
            </w:r>
            <w:r w:rsidR="1DD94B9D">
              <w:rPr>
                <w:noProof/>
              </w:rPr>
              <w:t>in the final price of the vehicle</w:t>
            </w:r>
            <w:r w:rsidR="3F8A3F93">
              <w:rPr>
                <w:noProof/>
              </w:rPr>
              <w:t>. The</w:t>
            </w:r>
            <w:r w:rsidR="1DD94B9D">
              <w:rPr>
                <w:noProof/>
              </w:rPr>
              <w:t xml:space="preserve"> combination of </w:t>
            </w:r>
            <w:r w:rsidR="14B32E37">
              <w:rPr>
                <w:noProof/>
              </w:rPr>
              <w:t xml:space="preserve">low-carbon steel and cement </w:t>
            </w:r>
            <w:r w:rsidR="1DD94B9D">
              <w:rPr>
                <w:noProof/>
              </w:rPr>
              <w:t>would be</w:t>
            </w:r>
            <w:r w:rsidR="14B32E37">
              <w:rPr>
                <w:noProof/>
              </w:rPr>
              <w:t xml:space="preserve"> </w:t>
            </w:r>
            <w:r w:rsidR="5C2CA54C">
              <w:rPr>
                <w:noProof/>
              </w:rPr>
              <w:t>projected to</w:t>
            </w:r>
            <w:r w:rsidR="1DD94B9D">
              <w:rPr>
                <w:noProof/>
              </w:rPr>
              <w:t xml:space="preserve"> increase</w:t>
            </w:r>
            <w:r w:rsidR="5B137FD5">
              <w:rPr>
                <w:noProof/>
              </w:rPr>
              <w:t xml:space="preserve"> between</w:t>
            </w:r>
            <w:r w:rsidR="14B32E37">
              <w:rPr>
                <w:noProof/>
              </w:rPr>
              <w:t xml:space="preserve"> 0.08% to 0.45% </w:t>
            </w:r>
            <w:r w:rsidR="1DD94B9D">
              <w:rPr>
                <w:noProof/>
              </w:rPr>
              <w:t>the final pric</w:t>
            </w:r>
            <w:r w:rsidR="5160AC35">
              <w:rPr>
                <w:noProof/>
              </w:rPr>
              <w:t xml:space="preserve">es of </w:t>
            </w:r>
            <w:r w:rsidR="14B32E37">
              <w:rPr>
                <w:noProof/>
              </w:rPr>
              <w:t>construction</w:t>
            </w:r>
            <w:r w:rsidR="5160AC35">
              <w:rPr>
                <w:noProof/>
              </w:rPr>
              <w:t xml:space="preserve"> projects</w:t>
            </w:r>
            <w:r w:rsidR="3F8A3F93">
              <w:rPr>
                <w:noProof/>
              </w:rPr>
              <w:t>.</w:t>
            </w:r>
          </w:p>
          <w:p w14:paraId="06096677" w14:textId="4C7F5E6F" w:rsidR="00536DF7" w:rsidRDefault="00536DF7" w:rsidP="000B50BF">
            <w:pPr>
              <w:pStyle w:val="ListParagraph"/>
              <w:numPr>
                <w:ilvl w:val="0"/>
                <w:numId w:val="29"/>
              </w:numPr>
              <w:rPr>
                <w:noProof/>
              </w:rPr>
            </w:pPr>
            <w:r w:rsidRPr="00A43075">
              <w:rPr>
                <w:noProof/>
              </w:rPr>
              <w:t xml:space="preserve">Batteries provides variables </w:t>
            </w:r>
            <w:r w:rsidR="00A43075" w:rsidRPr="00A43075">
              <w:rPr>
                <w:noProof/>
              </w:rPr>
              <w:t xml:space="preserve">when manufactured in the EU with a cost differential ranging from </w:t>
            </w:r>
            <w:r w:rsidR="00A174A9">
              <w:rPr>
                <w:noProof/>
              </w:rPr>
              <w:t xml:space="preserve">a </w:t>
            </w:r>
            <w:r w:rsidR="00A43075" w:rsidRPr="00A43075">
              <w:rPr>
                <w:noProof/>
              </w:rPr>
              <w:t>26% to 50%</w:t>
            </w:r>
            <w:r w:rsidR="00A174A9">
              <w:rPr>
                <w:noProof/>
              </w:rPr>
              <w:t xml:space="preserve"> increase</w:t>
            </w:r>
            <w:r w:rsidR="00A43075" w:rsidRPr="00A43075">
              <w:rPr>
                <w:noProof/>
              </w:rPr>
              <w:t>.</w:t>
            </w:r>
          </w:p>
          <w:p w14:paraId="64477785" w14:textId="77046BFB" w:rsidR="00DF4AB9" w:rsidRDefault="00DF4AB9" w:rsidP="00A43075">
            <w:pPr>
              <w:pStyle w:val="ListParagraph"/>
              <w:numPr>
                <w:ilvl w:val="0"/>
                <w:numId w:val="29"/>
              </w:numPr>
              <w:rPr>
                <w:noProof/>
              </w:rPr>
            </w:pPr>
            <w:r>
              <w:rPr>
                <w:noProof/>
              </w:rPr>
              <w:t xml:space="preserve">Solar presents a more conservative estimate of </w:t>
            </w:r>
            <w:r w:rsidR="00D0547F">
              <w:rPr>
                <w:noProof/>
              </w:rPr>
              <w:t xml:space="preserve">a low </w:t>
            </w:r>
            <w:r>
              <w:rPr>
                <w:noProof/>
              </w:rPr>
              <w:t xml:space="preserve">deployment </w:t>
            </w:r>
            <w:r w:rsidR="00D0547F">
              <w:rPr>
                <w:noProof/>
              </w:rPr>
              <w:t>scenario</w:t>
            </w:r>
            <w:r w:rsidR="00BF3509">
              <w:rPr>
                <w:noProof/>
              </w:rPr>
              <w:t xml:space="preserve"> in 2030</w:t>
            </w:r>
            <w:r w:rsidR="00EC4D92">
              <w:rPr>
                <w:noProof/>
              </w:rPr>
              <w:t xml:space="preserve">. </w:t>
            </w:r>
          </w:p>
          <w:p w14:paraId="1BC1BE97" w14:textId="13CB804A" w:rsidR="00412F9B" w:rsidRDefault="00412F9B" w:rsidP="00A43075">
            <w:pPr>
              <w:pStyle w:val="ListParagraph"/>
              <w:numPr>
                <w:ilvl w:val="0"/>
                <w:numId w:val="29"/>
              </w:numPr>
              <w:rPr>
                <w:noProof/>
              </w:rPr>
            </w:pPr>
            <w:r w:rsidRPr="00A43075">
              <w:rPr>
                <w:noProof/>
              </w:rPr>
              <w:t>Vehicle components</w:t>
            </w:r>
            <w:r w:rsidR="0040315F">
              <w:rPr>
                <w:noProof/>
              </w:rPr>
              <w:t xml:space="preserve"> present a </w:t>
            </w:r>
            <w:r w:rsidR="0040315F" w:rsidRPr="0040315F">
              <w:rPr>
                <w:noProof/>
              </w:rPr>
              <w:t>sensitivity analysis on the set of elasticity parameters</w:t>
            </w:r>
            <w:r w:rsidR="0051601F">
              <w:rPr>
                <w:noProof/>
              </w:rPr>
              <w:t xml:space="preserve"> governing consumer behaviour.</w:t>
            </w:r>
          </w:p>
          <w:p w14:paraId="74D124DC" w14:textId="59F9170D" w:rsidR="00CF7A90" w:rsidRDefault="00670556" w:rsidP="00CE47B2">
            <w:pPr>
              <w:rPr>
                <w:noProof/>
              </w:rPr>
            </w:pPr>
            <w:r>
              <w:rPr>
                <w:noProof/>
              </w:rPr>
              <w:lastRenderedPageBreak/>
              <w:t xml:space="preserve">Additionally, some of the benefits present </w:t>
            </w:r>
            <w:r w:rsidR="00F73709">
              <w:rPr>
                <w:noProof/>
              </w:rPr>
              <w:t xml:space="preserve">a wider range of </w:t>
            </w:r>
            <w:r w:rsidR="00CF7A90">
              <w:rPr>
                <w:noProof/>
              </w:rPr>
              <w:t>potential scenarios:</w:t>
            </w:r>
          </w:p>
          <w:p w14:paraId="27C6D975" w14:textId="77777777" w:rsidR="00CF7A90" w:rsidRDefault="00CF7A90" w:rsidP="00CE47B2">
            <w:pPr>
              <w:rPr>
                <w:noProof/>
              </w:rPr>
            </w:pPr>
          </w:p>
          <w:p w14:paraId="12D43F3D" w14:textId="6178A5C9" w:rsidR="00CE47B2" w:rsidRPr="00CE47B2" w:rsidRDefault="7717B858" w:rsidP="00CE47B2">
            <w:pPr>
              <w:rPr>
                <w:noProof/>
              </w:rPr>
            </w:pPr>
            <w:r>
              <w:rPr>
                <w:noProof/>
              </w:rPr>
              <w:t xml:space="preserve">Environmental benefits </w:t>
            </w:r>
            <w:r w:rsidR="0B62CA59">
              <w:rPr>
                <w:noProof/>
              </w:rPr>
              <w:t xml:space="preserve">also present the </w:t>
            </w:r>
            <w:r w:rsidR="20C4EEE0">
              <w:rPr>
                <w:noProof/>
              </w:rPr>
              <w:t xml:space="preserve">low </w:t>
            </w:r>
            <w:r w:rsidR="5F47B83A">
              <w:rPr>
                <w:noProof/>
              </w:rPr>
              <w:t>(60 EUR</w:t>
            </w:r>
            <w:r w:rsidR="1FC293E7">
              <w:rPr>
                <w:noProof/>
              </w:rPr>
              <w:t xml:space="preserve"> tCO</w:t>
            </w:r>
            <w:r w:rsidR="1FC293E7" w:rsidRPr="3C1B0927">
              <w:rPr>
                <w:noProof/>
                <w:vertAlign w:val="subscript"/>
              </w:rPr>
              <w:t>2</w:t>
            </w:r>
            <w:r w:rsidR="1FC293E7">
              <w:rPr>
                <w:noProof/>
              </w:rPr>
              <w:t xml:space="preserve">eq) </w:t>
            </w:r>
            <w:r w:rsidR="20C4EEE0">
              <w:rPr>
                <w:noProof/>
              </w:rPr>
              <w:t xml:space="preserve">to high </w:t>
            </w:r>
            <w:r w:rsidR="1FC293E7">
              <w:rPr>
                <w:noProof/>
              </w:rPr>
              <w:t>(</w:t>
            </w:r>
            <w:r w:rsidR="5CF50FAF">
              <w:rPr>
                <w:noProof/>
              </w:rPr>
              <w:t xml:space="preserve">EUR </w:t>
            </w:r>
            <w:r w:rsidR="00AB7E4D">
              <w:rPr>
                <w:noProof/>
              </w:rPr>
              <w:t>189 per</w:t>
            </w:r>
            <w:r w:rsidR="0B62CA59">
              <w:rPr>
                <w:noProof/>
              </w:rPr>
              <w:t xml:space="preserve"> tCO</w:t>
            </w:r>
            <w:r w:rsidR="0B62CA59" w:rsidRPr="3C1B0927">
              <w:rPr>
                <w:noProof/>
                <w:vertAlign w:val="subscript"/>
              </w:rPr>
              <w:t>2</w:t>
            </w:r>
            <w:r w:rsidR="0B62CA59">
              <w:rPr>
                <w:noProof/>
              </w:rPr>
              <w:t>eq</w:t>
            </w:r>
            <w:r w:rsidR="20C4EEE0">
              <w:rPr>
                <w:noProof/>
              </w:rPr>
              <w:t xml:space="preserve"> </w:t>
            </w:r>
            <w:r w:rsidR="1FC293E7">
              <w:rPr>
                <w:noProof/>
              </w:rPr>
              <w:t xml:space="preserve">) </w:t>
            </w:r>
            <w:r w:rsidR="0B62CA59">
              <w:rPr>
                <w:noProof/>
              </w:rPr>
              <w:t xml:space="preserve">value used </w:t>
            </w:r>
            <w:r w:rsidR="257AD4A5">
              <w:rPr>
                <w:noProof/>
              </w:rPr>
              <w:t>for 2030</w:t>
            </w:r>
            <w:r w:rsidR="0B62CA59">
              <w:rPr>
                <w:noProof/>
              </w:rPr>
              <w:t xml:space="preserve"> to give an estimation of the monetisation range. </w:t>
            </w:r>
          </w:p>
          <w:p w14:paraId="614B2C59" w14:textId="77777777" w:rsidR="008366E0" w:rsidRPr="00CE47B2" w:rsidRDefault="008366E0" w:rsidP="00CE47B2">
            <w:pPr>
              <w:rPr>
                <w:noProof/>
              </w:rPr>
            </w:pPr>
          </w:p>
          <w:p w14:paraId="16AAF97C" w14:textId="2C563C52" w:rsidR="00FF4B98" w:rsidRDefault="00FF4B98" w:rsidP="00CE47B2">
            <w:pPr>
              <w:rPr>
                <w:noProof/>
              </w:rPr>
            </w:pPr>
            <w:r>
              <w:rPr>
                <w:noProof/>
              </w:rPr>
              <w:t xml:space="preserve">Administrative </w:t>
            </w:r>
            <w:r w:rsidR="00B111F6">
              <w:rPr>
                <w:noProof/>
              </w:rPr>
              <w:t xml:space="preserve">savings </w:t>
            </w:r>
            <w:r w:rsidR="00670556">
              <w:rPr>
                <w:noProof/>
              </w:rPr>
              <w:t>also present a more conservative estimate,</w:t>
            </w:r>
            <w:r w:rsidR="00B111F6" w:rsidRPr="00B111F6">
              <w:rPr>
                <w:noProof/>
              </w:rPr>
              <w:t xml:space="preserve"> with the assumption that only a third of the manufacturing industries can carry out their transformation process by 2030</w:t>
            </w:r>
            <w:r w:rsidR="00B111F6">
              <w:rPr>
                <w:noProof/>
              </w:rPr>
              <w:t xml:space="preserve"> (and therefore undergo a new permitting proce</w:t>
            </w:r>
            <w:r w:rsidR="000A5EEF">
              <w:rPr>
                <w:noProof/>
              </w:rPr>
              <w:t>ss</w:t>
            </w:r>
            <w:r w:rsidR="00BC7733">
              <w:rPr>
                <w:noProof/>
              </w:rPr>
              <w:t>)</w:t>
            </w:r>
            <w:r w:rsidR="00B111F6" w:rsidRPr="00B111F6">
              <w:rPr>
                <w:noProof/>
              </w:rPr>
              <w:t>.</w:t>
            </w:r>
          </w:p>
          <w:p w14:paraId="79F7E193" w14:textId="77777777" w:rsidR="000E3DE3" w:rsidRPr="00CE47B2" w:rsidRDefault="000E3DE3" w:rsidP="00CE47B2">
            <w:pPr>
              <w:rPr>
                <w:noProof/>
              </w:rPr>
            </w:pPr>
          </w:p>
          <w:p w14:paraId="236CACB1" w14:textId="0F879267" w:rsidR="00D41756" w:rsidRPr="009B29A8" w:rsidRDefault="00757229">
            <w:pPr>
              <w:rPr>
                <w:noProof/>
              </w:rPr>
            </w:pPr>
            <w:r>
              <w:rPr>
                <w:noProof/>
              </w:rPr>
              <w:t xml:space="preserve">Elements of the </w:t>
            </w:r>
            <w:r w:rsidR="001C7720">
              <w:rPr>
                <w:noProof/>
              </w:rPr>
              <w:t>sensitivity</w:t>
            </w:r>
            <w:r>
              <w:rPr>
                <w:noProof/>
              </w:rPr>
              <w:t xml:space="preserve"> </w:t>
            </w:r>
            <w:r w:rsidR="008245E7">
              <w:rPr>
                <w:noProof/>
              </w:rPr>
              <w:t>analysis</w:t>
            </w:r>
            <w:r>
              <w:rPr>
                <w:noProof/>
              </w:rPr>
              <w:t xml:space="preserve"> have been cross-referenced in the main report under Section 6. </w:t>
            </w:r>
          </w:p>
        </w:tc>
      </w:tr>
      <w:tr w:rsidR="00B4506C" w:rsidRPr="009B29A8" w14:paraId="73BC44A2" w14:textId="77777777" w:rsidTr="3C1B0927">
        <w:trPr>
          <w:trHeight w:val="300"/>
        </w:trPr>
        <w:tc>
          <w:tcPr>
            <w:tcW w:w="4621" w:type="dxa"/>
            <w:tcMar>
              <w:top w:w="113" w:type="dxa"/>
              <w:left w:w="113" w:type="dxa"/>
              <w:bottom w:w="113" w:type="dxa"/>
              <w:right w:w="113" w:type="dxa"/>
            </w:tcMar>
          </w:tcPr>
          <w:p w14:paraId="2ED84F4C" w14:textId="77777777" w:rsidR="00D41756" w:rsidRPr="009B29A8" w:rsidRDefault="00D41756">
            <w:pPr>
              <w:tabs>
                <w:tab w:val="left" w:pos="2830"/>
              </w:tabs>
              <w:rPr>
                <w:noProof/>
                <w:szCs w:val="20"/>
              </w:rPr>
            </w:pPr>
            <w:r w:rsidRPr="009B29A8">
              <w:rPr>
                <w:noProof/>
                <w:szCs w:val="20"/>
              </w:rPr>
              <w:lastRenderedPageBreak/>
              <w:t>(7) The report should provide an analysis of the cumulative effects of costs increases (low-carbon, EU-made, energy, etc.) on consumers and downstream sectors and their</w:t>
            </w:r>
            <w:r>
              <w:rPr>
                <w:noProof/>
                <w:szCs w:val="20"/>
              </w:rPr>
              <w:t xml:space="preserve"> </w:t>
            </w:r>
            <w:r w:rsidRPr="009B29A8">
              <w:rPr>
                <w:noProof/>
                <w:szCs w:val="20"/>
              </w:rPr>
              <w:t>competitiveness. It should also better analyse the potential impact that this can have for the energy transition in the EU as well as the impacts on the affordability of energy.</w:t>
            </w:r>
          </w:p>
        </w:tc>
        <w:tc>
          <w:tcPr>
            <w:tcW w:w="4621" w:type="dxa"/>
            <w:tcMar>
              <w:top w:w="113" w:type="dxa"/>
              <w:left w:w="113" w:type="dxa"/>
              <w:bottom w:w="113" w:type="dxa"/>
              <w:right w:w="113" w:type="dxa"/>
            </w:tcMar>
          </w:tcPr>
          <w:p w14:paraId="3B66D9BF" w14:textId="790ACBD8" w:rsidR="00D41756" w:rsidRPr="009B29A8" w:rsidRDefault="00D83414">
            <w:pPr>
              <w:rPr>
                <w:noProof/>
                <w:szCs w:val="20"/>
              </w:rPr>
            </w:pPr>
            <w:r>
              <w:rPr>
                <w:noProof/>
                <w:szCs w:val="20"/>
              </w:rPr>
              <w:t>The cumulative effects of the cost increases were further shown in Annex 4</w:t>
            </w:r>
            <w:r w:rsidR="007127CF">
              <w:rPr>
                <w:noProof/>
                <w:szCs w:val="20"/>
              </w:rPr>
              <w:t xml:space="preserve"> and Section 7.2, where the competitiveness of the </w:t>
            </w:r>
            <w:r w:rsidR="00876064">
              <w:rPr>
                <w:noProof/>
                <w:szCs w:val="20"/>
              </w:rPr>
              <w:t xml:space="preserve">downstream sectors was addressed. </w:t>
            </w:r>
            <w:r w:rsidR="008245E7">
              <w:rPr>
                <w:noProof/>
                <w:szCs w:val="20"/>
              </w:rPr>
              <w:t>Furthermore,</w:t>
            </w:r>
            <w:r w:rsidR="00837F55">
              <w:rPr>
                <w:noProof/>
                <w:szCs w:val="20"/>
              </w:rPr>
              <w:t xml:space="preserve"> </w:t>
            </w:r>
            <w:r w:rsidR="004372ED">
              <w:rPr>
                <w:noProof/>
                <w:szCs w:val="20"/>
              </w:rPr>
              <w:t xml:space="preserve">the potential implications of the </w:t>
            </w:r>
            <w:r w:rsidR="00632631">
              <w:rPr>
                <w:noProof/>
                <w:szCs w:val="20"/>
              </w:rPr>
              <w:t xml:space="preserve">proposed </w:t>
            </w:r>
            <w:r w:rsidR="004372ED">
              <w:rPr>
                <w:noProof/>
                <w:szCs w:val="20"/>
              </w:rPr>
              <w:t xml:space="preserve">policy </w:t>
            </w:r>
            <w:r w:rsidR="00632631">
              <w:rPr>
                <w:noProof/>
                <w:szCs w:val="20"/>
              </w:rPr>
              <w:t>instruments</w:t>
            </w:r>
            <w:r w:rsidR="004372ED">
              <w:rPr>
                <w:noProof/>
                <w:szCs w:val="20"/>
              </w:rPr>
              <w:t xml:space="preserve"> on the </w:t>
            </w:r>
            <w:r w:rsidR="0071324C">
              <w:rPr>
                <w:noProof/>
                <w:szCs w:val="20"/>
              </w:rPr>
              <w:t>energy transition</w:t>
            </w:r>
            <w:r w:rsidR="00B81DDC">
              <w:rPr>
                <w:noProof/>
                <w:szCs w:val="20"/>
              </w:rPr>
              <w:t>,</w:t>
            </w:r>
            <w:r w:rsidR="0071324C">
              <w:rPr>
                <w:noProof/>
                <w:szCs w:val="20"/>
              </w:rPr>
              <w:t xml:space="preserve"> as well as the affordability of energy</w:t>
            </w:r>
            <w:r w:rsidR="00B81DDC">
              <w:rPr>
                <w:noProof/>
                <w:szCs w:val="20"/>
              </w:rPr>
              <w:t>,</w:t>
            </w:r>
            <w:r w:rsidR="0071324C">
              <w:rPr>
                <w:noProof/>
                <w:szCs w:val="20"/>
              </w:rPr>
              <w:t xml:space="preserve"> have been addresse</w:t>
            </w:r>
            <w:r w:rsidR="00A96957">
              <w:rPr>
                <w:noProof/>
                <w:szCs w:val="20"/>
              </w:rPr>
              <w:t>d</w:t>
            </w:r>
            <w:r w:rsidR="0071324C">
              <w:rPr>
                <w:noProof/>
                <w:szCs w:val="20"/>
              </w:rPr>
              <w:t xml:space="preserve"> in Section 6.1.</w:t>
            </w:r>
            <w:r w:rsidR="00632631">
              <w:rPr>
                <w:noProof/>
                <w:szCs w:val="20"/>
              </w:rPr>
              <w:t>1.</w:t>
            </w:r>
          </w:p>
        </w:tc>
      </w:tr>
      <w:tr w:rsidR="00B4506C" w:rsidRPr="009B29A8" w14:paraId="41A3B885" w14:textId="77777777" w:rsidTr="3C1B0927">
        <w:trPr>
          <w:trHeight w:val="300"/>
        </w:trPr>
        <w:tc>
          <w:tcPr>
            <w:tcW w:w="4621" w:type="dxa"/>
            <w:tcMar>
              <w:top w:w="113" w:type="dxa"/>
              <w:left w:w="113" w:type="dxa"/>
              <w:bottom w:w="113" w:type="dxa"/>
              <w:right w:w="113" w:type="dxa"/>
            </w:tcMar>
          </w:tcPr>
          <w:p w14:paraId="18A1E94C" w14:textId="77777777" w:rsidR="00D41756" w:rsidRPr="009B29A8" w:rsidRDefault="00D41756">
            <w:pPr>
              <w:rPr>
                <w:noProof/>
                <w:szCs w:val="20"/>
              </w:rPr>
            </w:pPr>
            <w:r w:rsidRPr="009B29A8">
              <w:rPr>
                <w:noProof/>
                <w:szCs w:val="20"/>
              </w:rPr>
              <w:t>(8) Regarding permitting for EIIs coherence shall be assured with other measures and initiatives on permitting. The impact on costs for administrations through the digitalisation of permitting should be better substantiated.</w:t>
            </w:r>
          </w:p>
        </w:tc>
        <w:tc>
          <w:tcPr>
            <w:tcW w:w="4621" w:type="dxa"/>
            <w:tcMar>
              <w:top w:w="113" w:type="dxa"/>
              <w:left w:w="113" w:type="dxa"/>
              <w:bottom w:w="113" w:type="dxa"/>
              <w:right w:w="113" w:type="dxa"/>
            </w:tcMar>
          </w:tcPr>
          <w:p w14:paraId="1DFA1761" w14:textId="3BBD2702" w:rsidR="00D41756" w:rsidRPr="009B29A8" w:rsidRDefault="1407F9AF">
            <w:pPr>
              <w:rPr>
                <w:noProof/>
              </w:rPr>
            </w:pPr>
            <w:r>
              <w:rPr>
                <w:noProof/>
              </w:rPr>
              <w:t xml:space="preserve">Coherence with the Environmental Omnibus initiative on permitting is highlighted in the baseline, as well as in </w:t>
            </w:r>
            <w:r w:rsidR="00D072F7">
              <w:rPr>
                <w:noProof/>
              </w:rPr>
              <w:t>S</w:t>
            </w:r>
            <w:r>
              <w:rPr>
                <w:noProof/>
              </w:rPr>
              <w:t xml:space="preserve">ection 7 for coherence. </w:t>
            </w:r>
          </w:p>
          <w:p w14:paraId="167FD890" w14:textId="628E554F" w:rsidR="00D41756" w:rsidRPr="009B29A8" w:rsidRDefault="1407F9AF">
            <w:pPr>
              <w:rPr>
                <w:noProof/>
              </w:rPr>
            </w:pPr>
            <w:r>
              <w:rPr>
                <w:noProof/>
              </w:rPr>
              <w:t xml:space="preserve">Moreover, estimates on the costs of digitalisation, even if outweighed by the benefits, are outlined in </w:t>
            </w:r>
            <w:r w:rsidR="00D072F7">
              <w:rPr>
                <w:noProof/>
              </w:rPr>
              <w:t>S</w:t>
            </w:r>
            <w:r>
              <w:rPr>
                <w:noProof/>
              </w:rPr>
              <w:t>ection 6.1. Substantiated ranges are prese</w:t>
            </w:r>
            <w:r w:rsidR="4E445849">
              <w:rPr>
                <w:noProof/>
              </w:rPr>
              <w:t>nted per procedure, depending on the type of process</w:t>
            </w:r>
            <w:r w:rsidR="00197072">
              <w:rPr>
                <w:noProof/>
              </w:rPr>
              <w:t>es</w:t>
            </w:r>
            <w:r w:rsidR="4E445849">
              <w:rPr>
                <w:noProof/>
              </w:rPr>
              <w:t xml:space="preserve"> at hand. </w:t>
            </w:r>
            <w:r w:rsidR="00D743C6">
              <w:rPr>
                <w:noProof/>
              </w:rPr>
              <w:t>A revised estimate of cost savings for administrations is presented</w:t>
            </w:r>
            <w:r w:rsidR="002B6CF5">
              <w:rPr>
                <w:noProof/>
              </w:rPr>
              <w:t xml:space="preserve">, with the limitations that these figures </w:t>
            </w:r>
            <w:r w:rsidR="009A5631">
              <w:rPr>
                <w:noProof/>
              </w:rPr>
              <w:t>entail</w:t>
            </w:r>
            <w:r w:rsidR="002B6CF5">
              <w:rPr>
                <w:noProof/>
              </w:rPr>
              <w:t xml:space="preserve">, notably that they are extracted from </w:t>
            </w:r>
            <w:r w:rsidR="00CF29D2">
              <w:rPr>
                <w:noProof/>
              </w:rPr>
              <w:t>assessments on different types of business proc</w:t>
            </w:r>
            <w:r w:rsidR="009A5631">
              <w:rPr>
                <w:noProof/>
              </w:rPr>
              <w:t xml:space="preserve">esses, not necessarily linked to permitting. </w:t>
            </w:r>
          </w:p>
        </w:tc>
      </w:tr>
      <w:tr w:rsidR="00B4506C" w:rsidRPr="009B29A8" w14:paraId="57C966E0" w14:textId="77777777" w:rsidTr="3C1B0927">
        <w:trPr>
          <w:trHeight w:val="300"/>
        </w:trPr>
        <w:tc>
          <w:tcPr>
            <w:tcW w:w="4621" w:type="dxa"/>
            <w:tcMar>
              <w:top w:w="113" w:type="dxa"/>
              <w:left w:w="113" w:type="dxa"/>
              <w:bottom w:w="113" w:type="dxa"/>
              <w:right w:w="113" w:type="dxa"/>
            </w:tcMar>
          </w:tcPr>
          <w:p w14:paraId="40EAA699" w14:textId="401BD4AE" w:rsidR="00D41756" w:rsidRPr="009B29A8" w:rsidRDefault="256D9375">
            <w:pPr>
              <w:rPr>
                <w:noProof/>
              </w:rPr>
            </w:pPr>
            <w:r>
              <w:rPr>
                <w:noProof/>
              </w:rPr>
              <w:t xml:space="preserve">(9) Regarding the FDI conditionalities (measure INV 2) the report should specify what </w:t>
            </w:r>
            <w:r w:rsidR="7E67147D">
              <w:rPr>
                <w:noProof/>
              </w:rPr>
              <w:t>methodology,</w:t>
            </w:r>
            <w:r>
              <w:rPr>
                <w:noProof/>
              </w:rPr>
              <w:t xml:space="preserve"> and criteria will be used for including strategic technologies or EIIs into the scope of mandatory FDI conditionalities. In addition, the report should provide more detail on the related safeguards, including how proportionality of the conditionalities will be ensured and how the speed of phasing in the conditionalities will be determined.</w:t>
            </w:r>
          </w:p>
        </w:tc>
        <w:tc>
          <w:tcPr>
            <w:tcW w:w="4621" w:type="dxa"/>
            <w:tcMar>
              <w:top w:w="113" w:type="dxa"/>
              <w:left w:w="113" w:type="dxa"/>
              <w:bottom w:w="113" w:type="dxa"/>
              <w:right w:w="113" w:type="dxa"/>
            </w:tcMar>
          </w:tcPr>
          <w:p w14:paraId="05062516" w14:textId="0C1FDCD4" w:rsidR="00D41756" w:rsidRPr="009B29A8" w:rsidRDefault="008F7001">
            <w:pPr>
              <w:rPr>
                <w:noProof/>
                <w:szCs w:val="20"/>
              </w:rPr>
            </w:pPr>
            <w:r w:rsidRPr="008F7001">
              <w:rPr>
                <w:noProof/>
                <w:szCs w:val="20"/>
              </w:rPr>
              <w:t xml:space="preserve">This has been addressed </w:t>
            </w:r>
            <w:r w:rsidR="006966D1">
              <w:rPr>
                <w:noProof/>
                <w:szCs w:val="20"/>
              </w:rPr>
              <w:t>in Annex 9</w:t>
            </w:r>
            <w:r w:rsidR="00F2175B">
              <w:rPr>
                <w:noProof/>
                <w:szCs w:val="20"/>
              </w:rPr>
              <w:t xml:space="preserve"> ‘Overview of policy measures’, </w:t>
            </w:r>
            <w:r w:rsidR="00757229">
              <w:rPr>
                <w:noProof/>
                <w:szCs w:val="20"/>
              </w:rPr>
              <w:t>under</w:t>
            </w:r>
            <w:r w:rsidR="00F2175B">
              <w:rPr>
                <w:noProof/>
                <w:szCs w:val="20"/>
              </w:rPr>
              <w:t xml:space="preserve"> </w:t>
            </w:r>
            <w:r w:rsidR="006966D1">
              <w:rPr>
                <w:noProof/>
                <w:szCs w:val="20"/>
              </w:rPr>
              <w:t>SO</w:t>
            </w:r>
            <w:r w:rsidR="00F2175B">
              <w:rPr>
                <w:noProof/>
                <w:szCs w:val="20"/>
              </w:rPr>
              <w:t>3, INV</w:t>
            </w:r>
            <w:r w:rsidR="009130F1">
              <w:rPr>
                <w:noProof/>
                <w:szCs w:val="20"/>
              </w:rPr>
              <w:t xml:space="preserve"> </w:t>
            </w:r>
            <w:r w:rsidR="00F2175B">
              <w:rPr>
                <w:noProof/>
                <w:szCs w:val="20"/>
              </w:rPr>
              <w:t xml:space="preserve">2 measure, </w:t>
            </w:r>
            <w:r w:rsidRPr="008F7001">
              <w:rPr>
                <w:noProof/>
                <w:szCs w:val="20"/>
              </w:rPr>
              <w:t>by explaining that the Commission’s critical</w:t>
            </w:r>
            <w:r w:rsidR="009130F1">
              <w:rPr>
                <w:noProof/>
                <w:szCs w:val="20"/>
              </w:rPr>
              <w:t xml:space="preserve"> </w:t>
            </w:r>
            <w:r w:rsidRPr="008F7001">
              <w:rPr>
                <w:noProof/>
                <w:szCs w:val="20"/>
              </w:rPr>
              <w:t xml:space="preserve">technology assessment methodology </w:t>
            </w:r>
            <w:r w:rsidR="006966D1">
              <w:rPr>
                <w:noProof/>
                <w:szCs w:val="20"/>
              </w:rPr>
              <w:t>will be</w:t>
            </w:r>
            <w:r w:rsidRPr="008F7001">
              <w:rPr>
                <w:noProof/>
                <w:szCs w:val="20"/>
              </w:rPr>
              <w:t xml:space="preserve"> applied to identify the sectors in scope, that a </w:t>
            </w:r>
            <w:r w:rsidR="0036625E">
              <w:rPr>
                <w:noProof/>
                <w:szCs w:val="20"/>
              </w:rPr>
              <w:t>coherent,</w:t>
            </w:r>
            <w:r w:rsidRPr="008F7001">
              <w:rPr>
                <w:noProof/>
                <w:szCs w:val="20"/>
              </w:rPr>
              <w:t xml:space="preserve"> uniform and proportionate set of conditions will apply to inbound investors in these designated sectors, and that </w:t>
            </w:r>
            <w:r w:rsidR="0036625E">
              <w:rPr>
                <w:noProof/>
                <w:szCs w:val="20"/>
              </w:rPr>
              <w:t xml:space="preserve">the degree of obligation </w:t>
            </w:r>
            <w:r w:rsidR="008812D8">
              <w:rPr>
                <w:noProof/>
                <w:szCs w:val="20"/>
              </w:rPr>
              <w:t xml:space="preserve">differs between strategic reinforcement technologies on the one hand and </w:t>
            </w:r>
            <w:r w:rsidR="0061141D">
              <w:rPr>
                <w:noProof/>
                <w:szCs w:val="20"/>
              </w:rPr>
              <w:t>other emerging key strategic technologies on the other hand.</w:t>
            </w:r>
          </w:p>
        </w:tc>
      </w:tr>
      <w:tr w:rsidR="00B4506C" w:rsidRPr="009B29A8" w14:paraId="19BA13FE" w14:textId="77777777" w:rsidTr="3C1B0927">
        <w:trPr>
          <w:trHeight w:val="300"/>
        </w:trPr>
        <w:tc>
          <w:tcPr>
            <w:tcW w:w="4621" w:type="dxa"/>
            <w:tcMar>
              <w:top w:w="113" w:type="dxa"/>
              <w:left w:w="113" w:type="dxa"/>
              <w:bottom w:w="113" w:type="dxa"/>
              <w:right w:w="113" w:type="dxa"/>
            </w:tcMar>
          </w:tcPr>
          <w:p w14:paraId="647C8DD1" w14:textId="77777777" w:rsidR="00D41756" w:rsidRPr="009B29A8" w:rsidRDefault="00D41756">
            <w:pPr>
              <w:tabs>
                <w:tab w:val="left" w:pos="3080"/>
              </w:tabs>
              <w:rPr>
                <w:noProof/>
                <w:szCs w:val="20"/>
              </w:rPr>
            </w:pPr>
            <w:r w:rsidRPr="009B29A8">
              <w:rPr>
                <w:noProof/>
                <w:szCs w:val="20"/>
              </w:rPr>
              <w:t>(10)</w:t>
            </w:r>
            <w:r>
              <w:rPr>
                <w:noProof/>
                <w:szCs w:val="20"/>
              </w:rPr>
              <w:t xml:space="preserve"> </w:t>
            </w:r>
            <w:r w:rsidRPr="009B29A8">
              <w:rPr>
                <w:noProof/>
                <w:szCs w:val="20"/>
              </w:rPr>
              <w:t>The report (as well as SME Check) should further clarify mitigation measures, in particular on micro and small enterprises in the construction sector.</w:t>
            </w:r>
          </w:p>
        </w:tc>
        <w:tc>
          <w:tcPr>
            <w:tcW w:w="4621" w:type="dxa"/>
            <w:tcMar>
              <w:top w:w="113" w:type="dxa"/>
              <w:left w:w="113" w:type="dxa"/>
              <w:bottom w:w="113" w:type="dxa"/>
              <w:right w:w="113" w:type="dxa"/>
            </w:tcMar>
          </w:tcPr>
          <w:p w14:paraId="19598117" w14:textId="3C5421C1" w:rsidR="00D41756" w:rsidRPr="009B29A8" w:rsidRDefault="478ABBDA">
            <w:pPr>
              <w:rPr>
                <w:noProof/>
              </w:rPr>
            </w:pPr>
            <w:r>
              <w:rPr>
                <w:noProof/>
              </w:rPr>
              <w:t xml:space="preserve">The mitigation measures for SMEs, in particular the reduction of the administrative burden for those operating in the construction sector, </w:t>
            </w:r>
            <w:r w:rsidR="2195EBF4">
              <w:rPr>
                <w:noProof/>
              </w:rPr>
              <w:t>have been</w:t>
            </w:r>
            <w:r>
              <w:rPr>
                <w:noProof/>
              </w:rPr>
              <w:t xml:space="preserve"> addressed in Annex 6</w:t>
            </w:r>
            <w:r w:rsidR="3779E645">
              <w:rPr>
                <w:noProof/>
              </w:rPr>
              <w:t>, the SME Check</w:t>
            </w:r>
            <w:r w:rsidR="2195EBF4">
              <w:rPr>
                <w:noProof/>
              </w:rPr>
              <w:t xml:space="preserve">, as well as cross-referenced in </w:t>
            </w:r>
            <w:r w:rsidR="078C238A">
              <w:rPr>
                <w:noProof/>
              </w:rPr>
              <w:t>Section 6 of the report</w:t>
            </w:r>
            <w:r w:rsidR="7D875C01">
              <w:rPr>
                <w:noProof/>
              </w:rPr>
              <w:t xml:space="preserve">. </w:t>
            </w:r>
          </w:p>
        </w:tc>
      </w:tr>
    </w:tbl>
    <w:p w14:paraId="0545AD92" w14:textId="77777777" w:rsidR="0096105F" w:rsidRPr="00F261DB" w:rsidRDefault="0096105F" w:rsidP="00195EC6">
      <w:pPr>
        <w:rPr>
          <w:noProof/>
        </w:rPr>
      </w:pPr>
    </w:p>
    <w:p w14:paraId="0A6199B3" w14:textId="77777777" w:rsidR="00020031" w:rsidRPr="00F261DB" w:rsidRDefault="00020031" w:rsidP="003F3451">
      <w:pPr>
        <w:pStyle w:val="ListParagraph"/>
        <w:keepNext/>
        <w:keepLines/>
        <w:numPr>
          <w:ilvl w:val="0"/>
          <w:numId w:val="38"/>
        </w:numPr>
        <w:spacing w:before="360" w:after="80"/>
        <w:outlineLvl w:val="0"/>
        <w:rPr>
          <w:rFonts w:eastAsia="Yu Gothic Light"/>
          <w:b/>
          <w:noProof/>
        </w:rPr>
      </w:pPr>
      <w:bookmarkStart w:id="138" w:name="_Toc471997758"/>
      <w:bookmarkStart w:id="139" w:name="_Toc195528724"/>
      <w:bookmarkStart w:id="140" w:name="_Toc207192537"/>
      <w:bookmarkStart w:id="141" w:name="_Toc212728789"/>
      <w:bookmarkStart w:id="142" w:name="_Toc212729063"/>
      <w:bookmarkStart w:id="143" w:name="_Toc212729315"/>
      <w:bookmarkStart w:id="144" w:name="_Toc215506259"/>
      <w:bookmarkStart w:id="145" w:name="_Toc222159310"/>
      <w:bookmarkStart w:id="146" w:name="_Toc222489514"/>
      <w:bookmarkStart w:id="147" w:name="_Toc222490003"/>
      <w:r w:rsidRPr="00F261DB">
        <w:rPr>
          <w:rFonts w:eastAsia="Yu Gothic Light"/>
          <w:b/>
          <w:noProof/>
        </w:rPr>
        <w:lastRenderedPageBreak/>
        <w:t>Evidence, sources and quality</w:t>
      </w:r>
      <w:bookmarkEnd w:id="138"/>
      <w:bookmarkEnd w:id="139"/>
      <w:bookmarkEnd w:id="140"/>
      <w:bookmarkEnd w:id="141"/>
      <w:bookmarkEnd w:id="142"/>
      <w:bookmarkEnd w:id="143"/>
      <w:bookmarkEnd w:id="144"/>
      <w:bookmarkEnd w:id="145"/>
      <w:bookmarkEnd w:id="146"/>
      <w:bookmarkEnd w:id="147"/>
    </w:p>
    <w:p w14:paraId="5D522EC2" w14:textId="77777777" w:rsidR="00020031" w:rsidRPr="00F261DB" w:rsidRDefault="00020031" w:rsidP="00195EC6">
      <w:pPr>
        <w:rPr>
          <w:rFonts w:eastAsia="Aptos"/>
          <w:noProof/>
        </w:rPr>
      </w:pPr>
      <w:r w:rsidRPr="00F261DB">
        <w:rPr>
          <w:rFonts w:eastAsia="Aptos"/>
          <w:noProof/>
        </w:rPr>
        <w:t xml:space="preserve">Evidence and data that were used in this Impact Assessment included: </w:t>
      </w:r>
    </w:p>
    <w:p w14:paraId="4008827A" w14:textId="77777777" w:rsidR="00F13DAC" w:rsidRPr="00F261DB" w:rsidRDefault="00F13DAC" w:rsidP="00195EC6">
      <w:pPr>
        <w:rPr>
          <w:rFonts w:eastAsia="Aptos"/>
          <w:noProof/>
        </w:rPr>
      </w:pPr>
    </w:p>
    <w:p w14:paraId="34D8B44D" w14:textId="72057F05" w:rsidR="00020031" w:rsidRPr="00F261DB" w:rsidRDefault="00020031" w:rsidP="003F3451">
      <w:pPr>
        <w:pStyle w:val="ListParagraph"/>
        <w:numPr>
          <w:ilvl w:val="0"/>
          <w:numId w:val="62"/>
        </w:numPr>
        <w:rPr>
          <w:rFonts w:eastAsia="Aptos"/>
          <w:noProof/>
        </w:rPr>
      </w:pPr>
      <w:r w:rsidRPr="00F261DB">
        <w:rPr>
          <w:rFonts w:eastAsia="Aptos"/>
          <w:noProof/>
        </w:rPr>
        <w:t>Academic studies and literature on challenges faced by EIIs and clean technologies and possible policy measures, as well as existing position papers and other documents drawn up by relevant stakeholders</w:t>
      </w:r>
      <w:r w:rsidR="00EF4C82" w:rsidRPr="00F261DB">
        <w:rPr>
          <w:rFonts w:eastAsia="Aptos"/>
          <w:noProof/>
        </w:rPr>
        <w:t>.</w:t>
      </w:r>
    </w:p>
    <w:p w14:paraId="7889B00E" w14:textId="3DA6B4BB" w:rsidR="00020031" w:rsidRPr="00F261DB" w:rsidRDefault="00020031" w:rsidP="003F3451">
      <w:pPr>
        <w:pStyle w:val="ListParagraph"/>
        <w:numPr>
          <w:ilvl w:val="0"/>
          <w:numId w:val="62"/>
        </w:numPr>
        <w:rPr>
          <w:rFonts w:eastAsia="Aptos"/>
          <w:noProof/>
        </w:rPr>
      </w:pPr>
      <w:r w:rsidRPr="00F261DB">
        <w:rPr>
          <w:rFonts w:eastAsia="Aptos"/>
          <w:noProof/>
        </w:rPr>
        <w:t xml:space="preserve">Newspaper articles and press materials. The references are cited in the main text of the report as appropriate. </w:t>
      </w:r>
    </w:p>
    <w:p w14:paraId="5534113B" w14:textId="19B85077" w:rsidR="00020031" w:rsidRPr="00F261DB" w:rsidRDefault="780C06FD" w:rsidP="003F3451">
      <w:pPr>
        <w:pStyle w:val="ListParagraph"/>
        <w:numPr>
          <w:ilvl w:val="0"/>
          <w:numId w:val="62"/>
        </w:numPr>
        <w:rPr>
          <w:rFonts w:eastAsia="Aptos"/>
          <w:noProof/>
        </w:rPr>
      </w:pPr>
      <w:r w:rsidRPr="3C1B0927">
        <w:rPr>
          <w:rFonts w:eastAsia="Aptos"/>
          <w:noProof/>
        </w:rPr>
        <w:t xml:space="preserve">Internal studies </w:t>
      </w:r>
      <w:r w:rsidR="003448FF">
        <w:rPr>
          <w:rFonts w:eastAsia="Aptos"/>
          <w:noProof/>
        </w:rPr>
        <w:t>and modelling exercises</w:t>
      </w:r>
      <w:r w:rsidRPr="3C1B0927">
        <w:rPr>
          <w:rFonts w:eastAsia="Aptos"/>
          <w:noProof/>
        </w:rPr>
        <w:t xml:space="preserve"> of Commission services, and notably of the </w:t>
      </w:r>
      <w:r w:rsidR="7D0B6F77" w:rsidRPr="3C1B0927">
        <w:rPr>
          <w:rFonts w:eastAsia="Aptos"/>
          <w:noProof/>
        </w:rPr>
        <w:t>JRC</w:t>
      </w:r>
      <w:r w:rsidRPr="3C1B0927">
        <w:rPr>
          <w:rFonts w:eastAsia="Aptos"/>
          <w:noProof/>
        </w:rPr>
        <w:t xml:space="preserve">. </w:t>
      </w:r>
    </w:p>
    <w:p w14:paraId="2260892E" w14:textId="77777777" w:rsidR="00F13DAC" w:rsidRPr="00F261DB" w:rsidRDefault="00F13DAC" w:rsidP="00F13DAC">
      <w:pPr>
        <w:pStyle w:val="ListParagraph"/>
        <w:ind w:left="1146"/>
        <w:rPr>
          <w:rFonts w:eastAsia="Aptos"/>
          <w:noProof/>
        </w:rPr>
      </w:pPr>
    </w:p>
    <w:p w14:paraId="4985DFEC" w14:textId="77777777" w:rsidR="00020031" w:rsidRPr="00F261DB" w:rsidRDefault="00020031" w:rsidP="00195EC6">
      <w:pPr>
        <w:rPr>
          <w:rFonts w:eastAsia="Times New Roman"/>
          <w:noProof/>
        </w:rPr>
      </w:pPr>
      <w:r w:rsidRPr="00F261DB">
        <w:rPr>
          <w:rFonts w:eastAsia="Aptos"/>
          <w:noProof/>
        </w:rPr>
        <w:t>The Impact Assessment further relies on the information received from consultation activities as detailed in the synopsis report contained in Annex 2 of this Impact Assessment.</w:t>
      </w:r>
      <w:r w:rsidRPr="00F261DB">
        <w:rPr>
          <w:rFonts w:eastAsia="Aptos"/>
          <w:noProof/>
        </w:rPr>
        <w:br w:type="page"/>
      </w:r>
    </w:p>
    <w:p w14:paraId="2FEC3242" w14:textId="77777777" w:rsidR="00020031" w:rsidRPr="00F261DB" w:rsidRDefault="00020031">
      <w:pPr>
        <w:pStyle w:val="Heading1"/>
        <w:numPr>
          <w:ilvl w:val="0"/>
          <w:numId w:val="0"/>
        </w:numPr>
        <w:rPr>
          <w:rFonts w:ascii="Times" w:hAnsi="Times" w:cs="Times"/>
          <w:b/>
          <w:noProof/>
          <w:color w:val="auto"/>
          <w:sz w:val="28"/>
          <w:szCs w:val="28"/>
        </w:rPr>
      </w:pPr>
      <w:bookmarkStart w:id="148" w:name="_Toc195528725"/>
      <w:bookmarkStart w:id="149" w:name="_Toc207192538"/>
      <w:bookmarkStart w:id="150" w:name="_Toc222159311"/>
      <w:bookmarkStart w:id="151" w:name="_Toc222490004"/>
      <w:r w:rsidRPr="00F261DB">
        <w:rPr>
          <w:rFonts w:ascii="Times" w:hAnsi="Times" w:cs="Times"/>
          <w:b/>
          <w:noProof/>
          <w:color w:val="auto"/>
          <w:sz w:val="28"/>
          <w:szCs w:val="28"/>
        </w:rPr>
        <w:lastRenderedPageBreak/>
        <w:t>Annex 2: Stakeholder consultation (Synopsis report)</w:t>
      </w:r>
      <w:bookmarkEnd w:id="148"/>
      <w:bookmarkEnd w:id="149"/>
      <w:bookmarkEnd w:id="150"/>
      <w:bookmarkEnd w:id="151"/>
    </w:p>
    <w:p w14:paraId="2F941F31" w14:textId="77777777" w:rsidR="00C23DA5" w:rsidRPr="00CD2CD8" w:rsidRDefault="00020031" w:rsidP="00195EC6">
      <w:pPr>
        <w:rPr>
          <w:rFonts w:eastAsia="Times New Roman"/>
          <w:noProof/>
          <w:color w:val="000000" w:themeColor="text1"/>
        </w:rPr>
      </w:pPr>
      <w:r w:rsidRPr="00F261DB">
        <w:rPr>
          <w:rFonts w:eastAsia="Times New Roman"/>
          <w:noProof/>
          <w:color w:val="000000" w:themeColor="text1"/>
        </w:rPr>
        <w:t>In the context of the Impact Assessment on the Industrial Accelerator Act, several consultation activities were conducted between April and July 2025. The purpose of the consultations was to collect evidence and views from a broad range of stakeholders, giving them an opportunity to provide relevant data and information on the problems and potential solutions in support of the decarbonation and competitiveness of industry, with a clear focus on energy intensive and clean tech industries. This Annex presents the results of the consultation activities carried out. The consultation activities included:</w:t>
      </w:r>
      <w:r w:rsidR="00345961" w:rsidRPr="00CD2CD8">
        <w:rPr>
          <w:rFonts w:eastAsia="Times New Roman"/>
          <w:noProof/>
          <w:color w:val="000000" w:themeColor="text1"/>
        </w:rPr>
        <w:t xml:space="preserve"> </w:t>
      </w:r>
    </w:p>
    <w:p w14:paraId="6AF3B36B" w14:textId="4C080C23" w:rsidR="00C23DA5" w:rsidRPr="003C0CEC" w:rsidRDefault="00020031" w:rsidP="003C0CEC">
      <w:pPr>
        <w:pStyle w:val="ListParagraph"/>
        <w:numPr>
          <w:ilvl w:val="0"/>
          <w:numId w:val="121"/>
        </w:numPr>
        <w:rPr>
          <w:rFonts w:eastAsia="Times New Roman"/>
          <w:noProof/>
          <w:color w:val="000000" w:themeColor="text1"/>
        </w:rPr>
      </w:pPr>
      <w:r w:rsidRPr="00F261DB">
        <w:rPr>
          <w:rFonts w:eastAsia="Times New Roman"/>
          <w:noProof/>
          <w:color w:val="000000" w:themeColor="text1"/>
        </w:rPr>
        <w:t>A Call for Evidence, published for feedback from 15 April 2025 to 08 July 2025</w:t>
      </w:r>
    </w:p>
    <w:p w14:paraId="4D0493CD" w14:textId="6BC68808" w:rsidR="00020031" w:rsidRPr="00F261DB" w:rsidRDefault="00020031" w:rsidP="003C0CEC">
      <w:pPr>
        <w:pStyle w:val="ListParagraph"/>
        <w:numPr>
          <w:ilvl w:val="0"/>
          <w:numId w:val="121"/>
        </w:numPr>
        <w:rPr>
          <w:rFonts w:eastAsia="Times New Roman"/>
          <w:noProof/>
          <w:color w:val="000000" w:themeColor="text1"/>
        </w:rPr>
      </w:pPr>
      <w:r w:rsidRPr="00F261DB">
        <w:rPr>
          <w:rFonts w:eastAsia="Times New Roman"/>
          <w:noProof/>
          <w:color w:val="000000" w:themeColor="text1"/>
        </w:rPr>
        <w:t xml:space="preserve">A public consultation published in the “Have your say” portal, open to the public, containing multiple choice and open questions, running in parallel with the Call for </w:t>
      </w:r>
      <w:r w:rsidRPr="00F261DB">
        <w:rPr>
          <w:rFonts w:eastAsia="Times New Roman"/>
          <w:noProof/>
        </w:rPr>
        <w:t>Evidence.</w:t>
      </w:r>
    </w:p>
    <w:p w14:paraId="4FE3E3C0" w14:textId="77777777" w:rsidR="00020031" w:rsidRPr="00F261DB" w:rsidRDefault="00020031" w:rsidP="003C0CEC">
      <w:pPr>
        <w:pStyle w:val="ListParagraph"/>
        <w:numPr>
          <w:ilvl w:val="0"/>
          <w:numId w:val="121"/>
        </w:numPr>
        <w:rPr>
          <w:rFonts w:eastAsia="Times New Roman"/>
          <w:noProof/>
          <w:color w:val="000000" w:themeColor="text1"/>
        </w:rPr>
      </w:pPr>
      <w:r w:rsidRPr="00F261DB">
        <w:rPr>
          <w:rFonts w:eastAsia="Times New Roman"/>
          <w:noProof/>
        </w:rPr>
        <w:t>A targeted consultation published in the “Have your say” portal, open for associations and companies from the energy intensive sectors</w:t>
      </w:r>
    </w:p>
    <w:p w14:paraId="74A5207A" w14:textId="77777777" w:rsidR="00020031" w:rsidRPr="00F261DB" w:rsidRDefault="00020031" w:rsidP="003C0CEC">
      <w:pPr>
        <w:pStyle w:val="ListParagraph"/>
        <w:numPr>
          <w:ilvl w:val="0"/>
          <w:numId w:val="121"/>
        </w:numPr>
        <w:rPr>
          <w:rFonts w:eastAsia="Times New Roman"/>
          <w:noProof/>
        </w:rPr>
      </w:pPr>
      <w:r w:rsidRPr="00F261DB">
        <w:rPr>
          <w:rFonts w:eastAsia="Times New Roman"/>
          <w:noProof/>
        </w:rPr>
        <w:t>A reality check workshop, open only to companies from energy intensive sectors, including the possibility to submit position papers afterwards</w:t>
      </w:r>
    </w:p>
    <w:p w14:paraId="7DDBDF74" w14:textId="77777777" w:rsidR="00020031" w:rsidRPr="00F261DB" w:rsidRDefault="00020031" w:rsidP="003C0CEC">
      <w:pPr>
        <w:pStyle w:val="ListParagraph"/>
        <w:numPr>
          <w:ilvl w:val="0"/>
          <w:numId w:val="121"/>
        </w:numPr>
        <w:rPr>
          <w:rFonts w:eastAsia="Times New Roman"/>
          <w:noProof/>
        </w:rPr>
      </w:pPr>
      <w:r w:rsidRPr="00F261DB">
        <w:rPr>
          <w:rFonts w:eastAsia="Times New Roman"/>
          <w:noProof/>
        </w:rPr>
        <w:t>A reality check workshop, open only to steel companies, on EU low-carbon product label for steel, including a survey and the possibility to submit position papers afterwards</w:t>
      </w:r>
    </w:p>
    <w:p w14:paraId="77185E26" w14:textId="77777777" w:rsidR="00020031" w:rsidRPr="00F261DB" w:rsidRDefault="00020031" w:rsidP="003C0CEC">
      <w:pPr>
        <w:pStyle w:val="ListParagraph"/>
        <w:numPr>
          <w:ilvl w:val="0"/>
          <w:numId w:val="121"/>
        </w:numPr>
        <w:rPr>
          <w:rFonts w:eastAsia="Times New Roman"/>
          <w:noProof/>
        </w:rPr>
      </w:pPr>
      <w:r w:rsidRPr="00F261DB">
        <w:rPr>
          <w:rFonts w:eastAsia="Times New Roman"/>
          <w:noProof/>
        </w:rPr>
        <w:t>A reality check workshop, open only to Member States, including the possibility to submit position papers afterwards.</w:t>
      </w:r>
    </w:p>
    <w:p w14:paraId="7CE0BF21" w14:textId="3A5D9BA2" w:rsidR="00020031" w:rsidRPr="00F261DB" w:rsidRDefault="00020031" w:rsidP="003C0CEC">
      <w:pPr>
        <w:pStyle w:val="ListParagraph"/>
        <w:numPr>
          <w:ilvl w:val="0"/>
          <w:numId w:val="121"/>
        </w:numPr>
        <w:rPr>
          <w:rFonts w:eastAsia="Times New Roman"/>
          <w:noProof/>
        </w:rPr>
      </w:pPr>
      <w:r w:rsidRPr="00F261DB">
        <w:rPr>
          <w:rFonts w:eastAsia="Times New Roman"/>
          <w:noProof/>
        </w:rPr>
        <w:t>A targeted consultation following the Automotive Action Plan to gather insights from the battery ecosystem and downstream sectors on the potential impact of EU content requirements for batteries.</w:t>
      </w:r>
    </w:p>
    <w:p w14:paraId="55114169" w14:textId="77777777" w:rsidR="00020031" w:rsidRPr="00F261DB" w:rsidRDefault="00020031">
      <w:pPr>
        <w:pStyle w:val="ListParagraph"/>
        <w:rPr>
          <w:rFonts w:eastAsia="Times New Roman"/>
          <w:noProof/>
        </w:rPr>
      </w:pPr>
    </w:p>
    <w:p w14:paraId="12072CB1" w14:textId="34287217" w:rsidR="00020031" w:rsidRPr="00F261DB" w:rsidRDefault="00020031" w:rsidP="003C0CEC">
      <w:pPr>
        <w:pStyle w:val="ListParagraph"/>
        <w:keepNext/>
        <w:keepLines/>
        <w:numPr>
          <w:ilvl w:val="0"/>
          <w:numId w:val="123"/>
        </w:numPr>
        <w:spacing w:before="360" w:after="80"/>
        <w:outlineLvl w:val="0"/>
        <w:rPr>
          <w:rFonts w:eastAsia="Yu Gothic Light"/>
          <w:b/>
          <w:noProof/>
        </w:rPr>
      </w:pPr>
      <w:bookmarkStart w:id="152" w:name="_Toc207192539"/>
      <w:bookmarkStart w:id="153" w:name="_Toc212728791"/>
      <w:bookmarkStart w:id="154" w:name="_Toc212729065"/>
      <w:bookmarkStart w:id="155" w:name="_Toc212729317"/>
      <w:bookmarkStart w:id="156" w:name="_Toc215506261"/>
      <w:bookmarkStart w:id="157" w:name="_Toc222159312"/>
      <w:bookmarkStart w:id="158" w:name="_Toc222489516"/>
      <w:bookmarkStart w:id="159" w:name="_Toc222490005"/>
      <w:r w:rsidRPr="00F261DB">
        <w:rPr>
          <w:rFonts w:eastAsia="Yu Gothic Light"/>
          <w:b/>
          <w:noProof/>
        </w:rPr>
        <w:t>Overview of the participants</w:t>
      </w:r>
      <w:bookmarkEnd w:id="152"/>
      <w:bookmarkEnd w:id="153"/>
      <w:bookmarkEnd w:id="154"/>
      <w:bookmarkEnd w:id="155"/>
      <w:bookmarkEnd w:id="156"/>
      <w:bookmarkEnd w:id="157"/>
      <w:bookmarkEnd w:id="158"/>
      <w:bookmarkEnd w:id="159"/>
    </w:p>
    <w:p w14:paraId="384A4A15" w14:textId="77777777" w:rsidR="00020031" w:rsidRPr="00F261DB" w:rsidRDefault="00020031">
      <w:pPr>
        <w:rPr>
          <w:rFonts w:eastAsia="Times New Roman"/>
          <w:noProof/>
          <w:color w:val="000000" w:themeColor="text1"/>
        </w:rPr>
      </w:pPr>
      <w:r w:rsidRPr="00F261DB">
        <w:rPr>
          <w:rFonts w:eastAsia="Times New Roman"/>
          <w:noProof/>
          <w:color w:val="000000" w:themeColor="text1"/>
        </w:rPr>
        <w:t>For all stakeholder activities, the main stakeholder groups addressed were:</w:t>
      </w:r>
    </w:p>
    <w:p w14:paraId="1508E1EC" w14:textId="77777777" w:rsidR="00020031" w:rsidRPr="00F261DB" w:rsidRDefault="00020031" w:rsidP="003F3451">
      <w:pPr>
        <w:pStyle w:val="ListParagraph"/>
        <w:numPr>
          <w:ilvl w:val="0"/>
          <w:numId w:val="43"/>
        </w:numPr>
        <w:rPr>
          <w:rFonts w:eastAsia="Times New Roman"/>
          <w:noProof/>
          <w:color w:val="000000" w:themeColor="text1"/>
        </w:rPr>
      </w:pPr>
      <w:r w:rsidRPr="00F261DB">
        <w:rPr>
          <w:rFonts w:eastAsia="Times New Roman"/>
          <w:noProof/>
          <w:color w:val="000000" w:themeColor="text1"/>
        </w:rPr>
        <w:t>National authorities of the Member States responsible for industrial policy, permitting procedures and public procurement</w:t>
      </w:r>
    </w:p>
    <w:p w14:paraId="10CFC97E" w14:textId="77777777" w:rsidR="00020031" w:rsidRPr="00F261DB" w:rsidRDefault="00020031" w:rsidP="003F3451">
      <w:pPr>
        <w:pStyle w:val="ListParagraph"/>
        <w:numPr>
          <w:ilvl w:val="0"/>
          <w:numId w:val="43"/>
        </w:numPr>
        <w:rPr>
          <w:rFonts w:eastAsia="Times New Roman"/>
          <w:noProof/>
          <w:color w:val="000000" w:themeColor="text1"/>
        </w:rPr>
      </w:pPr>
      <w:r w:rsidRPr="00F261DB">
        <w:rPr>
          <w:rFonts w:eastAsia="Times New Roman"/>
          <w:noProof/>
          <w:color w:val="000000" w:themeColor="text1"/>
        </w:rPr>
        <w:t>Non-Governmental Organisations representing civil society</w:t>
      </w:r>
    </w:p>
    <w:p w14:paraId="0E71A771" w14:textId="77777777" w:rsidR="00020031" w:rsidRPr="00F261DB" w:rsidRDefault="00020031" w:rsidP="003F3451">
      <w:pPr>
        <w:pStyle w:val="ListParagraph"/>
        <w:numPr>
          <w:ilvl w:val="0"/>
          <w:numId w:val="43"/>
        </w:numPr>
        <w:rPr>
          <w:rFonts w:eastAsia="Times New Roman"/>
          <w:noProof/>
          <w:color w:val="000000" w:themeColor="text1"/>
        </w:rPr>
      </w:pPr>
      <w:r w:rsidRPr="00F261DB">
        <w:rPr>
          <w:rFonts w:eastAsia="Times New Roman"/>
          <w:noProof/>
          <w:color w:val="000000" w:themeColor="text1"/>
        </w:rPr>
        <w:t>Associations representing industry, businesses and professionals</w:t>
      </w:r>
    </w:p>
    <w:p w14:paraId="39314429" w14:textId="2F24D45D" w:rsidR="00020031" w:rsidRPr="00F261DB" w:rsidRDefault="00020031" w:rsidP="003F3451">
      <w:pPr>
        <w:pStyle w:val="ListParagraph"/>
        <w:numPr>
          <w:ilvl w:val="0"/>
          <w:numId w:val="43"/>
        </w:numPr>
        <w:rPr>
          <w:rFonts w:eastAsia="Times New Roman"/>
          <w:noProof/>
          <w:color w:val="000000" w:themeColor="text1"/>
        </w:rPr>
      </w:pPr>
      <w:r w:rsidRPr="00F261DB">
        <w:rPr>
          <w:rFonts w:eastAsia="Times New Roman"/>
          <w:noProof/>
          <w:color w:val="000000" w:themeColor="text1"/>
        </w:rPr>
        <w:t>Businesses, including SME</w:t>
      </w:r>
      <w:r w:rsidR="005903DC">
        <w:rPr>
          <w:rFonts w:eastAsia="Times New Roman"/>
          <w:noProof/>
          <w:color w:val="000000" w:themeColor="text1"/>
        </w:rPr>
        <w:t>s</w:t>
      </w:r>
    </w:p>
    <w:p w14:paraId="3210B5E2" w14:textId="77777777" w:rsidR="00020031" w:rsidRPr="00F261DB" w:rsidRDefault="00020031" w:rsidP="003F3451">
      <w:pPr>
        <w:pStyle w:val="ListParagraph"/>
        <w:numPr>
          <w:ilvl w:val="0"/>
          <w:numId w:val="43"/>
        </w:numPr>
        <w:rPr>
          <w:rFonts w:eastAsia="Times New Roman"/>
          <w:noProof/>
          <w:color w:val="000000" w:themeColor="text1"/>
        </w:rPr>
      </w:pPr>
      <w:r w:rsidRPr="00F261DB">
        <w:rPr>
          <w:rFonts w:eastAsia="Times New Roman"/>
          <w:noProof/>
          <w:color w:val="000000" w:themeColor="text1"/>
        </w:rPr>
        <w:t>EU citizens</w:t>
      </w:r>
    </w:p>
    <w:p w14:paraId="461E6289" w14:textId="77777777" w:rsidR="00020031" w:rsidRPr="00F261DB" w:rsidRDefault="00020031" w:rsidP="003F3451">
      <w:pPr>
        <w:pStyle w:val="ListParagraph"/>
        <w:numPr>
          <w:ilvl w:val="0"/>
          <w:numId w:val="43"/>
        </w:numPr>
        <w:rPr>
          <w:rFonts w:eastAsia="Times New Roman"/>
          <w:noProof/>
          <w:color w:val="000000" w:themeColor="text1"/>
        </w:rPr>
      </w:pPr>
      <w:r w:rsidRPr="00F261DB">
        <w:rPr>
          <w:rFonts w:eastAsia="Times New Roman"/>
          <w:noProof/>
          <w:color w:val="000000" w:themeColor="text1"/>
        </w:rPr>
        <w:t>Think-tanks</w:t>
      </w:r>
    </w:p>
    <w:p w14:paraId="16B70DE5" w14:textId="77777777" w:rsidR="0094745A" w:rsidRDefault="00020031" w:rsidP="0094745A">
      <w:pPr>
        <w:pStyle w:val="ListParagraph"/>
        <w:numPr>
          <w:ilvl w:val="0"/>
          <w:numId w:val="43"/>
        </w:numPr>
        <w:spacing w:before="240"/>
        <w:rPr>
          <w:rFonts w:eastAsia="Times New Roman"/>
          <w:noProof/>
          <w:color w:val="000000" w:themeColor="text1"/>
        </w:rPr>
      </w:pPr>
      <w:r w:rsidRPr="00F261DB">
        <w:rPr>
          <w:rFonts w:eastAsia="Times New Roman"/>
          <w:noProof/>
          <w:color w:val="000000" w:themeColor="text1"/>
        </w:rPr>
        <w:t>Other</w:t>
      </w:r>
    </w:p>
    <w:p w14:paraId="4391F3EB" w14:textId="77777777" w:rsidR="0094745A" w:rsidRPr="0094745A" w:rsidRDefault="0094745A" w:rsidP="0094745A">
      <w:pPr>
        <w:pStyle w:val="ListParagraph"/>
        <w:spacing w:before="240"/>
        <w:rPr>
          <w:rFonts w:eastAsia="Times New Roman"/>
          <w:noProof/>
          <w:color w:val="000000" w:themeColor="text1"/>
        </w:rPr>
      </w:pPr>
    </w:p>
    <w:p w14:paraId="079CC1CB" w14:textId="7C97FCE3" w:rsidR="00020031" w:rsidRPr="007E7594" w:rsidRDefault="00020031" w:rsidP="007E7594">
      <w:pPr>
        <w:spacing w:after="120"/>
        <w:rPr>
          <w:rFonts w:eastAsia="Times New Roman"/>
          <w:noProof/>
        </w:rPr>
      </w:pPr>
      <w:r w:rsidRPr="00F261DB">
        <w:rPr>
          <w:rFonts w:eastAsia="Times New Roman"/>
          <w:noProof/>
          <w:color w:val="000000" w:themeColor="text1"/>
        </w:rPr>
        <w:t>The public consultation received 314 answers. The responses came mainly from business associations (</w:t>
      </w:r>
      <w:r w:rsidR="008128D0" w:rsidRPr="00F261DB">
        <w:rPr>
          <w:rFonts w:eastAsia="Times New Roman"/>
          <w:noProof/>
          <w:color w:val="000000" w:themeColor="text1"/>
        </w:rPr>
        <w:t>n=</w:t>
      </w:r>
      <w:r w:rsidRPr="00F261DB">
        <w:rPr>
          <w:rFonts w:eastAsia="Times New Roman"/>
          <w:noProof/>
          <w:color w:val="000000" w:themeColor="text1"/>
        </w:rPr>
        <w:t>129, 41%), followed by companies (</w:t>
      </w:r>
      <w:r w:rsidR="008128D0" w:rsidRPr="00F261DB">
        <w:rPr>
          <w:rFonts w:eastAsia="Times New Roman"/>
          <w:noProof/>
          <w:color w:val="000000" w:themeColor="text1"/>
        </w:rPr>
        <w:t>n=</w:t>
      </w:r>
      <w:r w:rsidRPr="00F261DB">
        <w:rPr>
          <w:rFonts w:eastAsia="Times New Roman"/>
          <w:noProof/>
          <w:color w:val="000000" w:themeColor="text1"/>
        </w:rPr>
        <w:t>120, 38%), non-governmental organisations, EU citizens, public authorities (</w:t>
      </w:r>
      <w:r w:rsidR="008128D0" w:rsidRPr="00F261DB">
        <w:rPr>
          <w:rFonts w:eastAsia="Times New Roman"/>
          <w:noProof/>
          <w:color w:val="000000" w:themeColor="text1"/>
        </w:rPr>
        <w:t>n=</w:t>
      </w:r>
      <w:r w:rsidRPr="00F261DB">
        <w:rPr>
          <w:rFonts w:eastAsia="Times New Roman"/>
          <w:noProof/>
          <w:color w:val="000000" w:themeColor="text1"/>
        </w:rPr>
        <w:t>11, 3%), trade unions, academic institutions, environmental organisations and other stakeholders (</w:t>
      </w:r>
      <w:r w:rsidR="008128D0" w:rsidRPr="00F261DB">
        <w:rPr>
          <w:rFonts w:eastAsia="Times New Roman"/>
          <w:noProof/>
          <w:color w:val="000000" w:themeColor="text1"/>
        </w:rPr>
        <w:t>n=</w:t>
      </w:r>
      <w:r w:rsidRPr="00F261DB">
        <w:rPr>
          <w:rFonts w:eastAsia="Times New Roman"/>
          <w:noProof/>
          <w:color w:val="000000" w:themeColor="text1"/>
        </w:rPr>
        <w:t xml:space="preserve">15, 5%). 133 stakeholders attached a policy paper to their answers. Most respondents came from Belgium (29%, </w:t>
      </w:r>
      <w:r w:rsidR="008128D0" w:rsidRPr="00F261DB">
        <w:rPr>
          <w:rFonts w:eastAsia="Times New Roman"/>
          <w:noProof/>
          <w:color w:val="000000" w:themeColor="text1"/>
        </w:rPr>
        <w:t>n=</w:t>
      </w:r>
      <w:r w:rsidRPr="00F261DB">
        <w:rPr>
          <w:rFonts w:eastAsia="Times New Roman"/>
          <w:noProof/>
          <w:color w:val="000000" w:themeColor="text1"/>
        </w:rPr>
        <w:t xml:space="preserve">91), followed by Germany (13%, </w:t>
      </w:r>
      <w:r w:rsidR="008128D0" w:rsidRPr="00F261DB">
        <w:rPr>
          <w:rFonts w:eastAsia="Times New Roman"/>
          <w:noProof/>
          <w:color w:val="000000" w:themeColor="text1"/>
        </w:rPr>
        <w:t>n=</w:t>
      </w:r>
      <w:r w:rsidRPr="00F261DB">
        <w:rPr>
          <w:rFonts w:eastAsia="Times New Roman"/>
          <w:noProof/>
          <w:color w:val="000000" w:themeColor="text1"/>
        </w:rPr>
        <w:t xml:space="preserve">42), France (10%, </w:t>
      </w:r>
      <w:r w:rsidR="008128D0" w:rsidRPr="00F261DB">
        <w:rPr>
          <w:rFonts w:eastAsia="Times New Roman"/>
          <w:noProof/>
          <w:color w:val="000000" w:themeColor="text1"/>
        </w:rPr>
        <w:t>n=</w:t>
      </w:r>
      <w:r w:rsidRPr="00F261DB">
        <w:rPr>
          <w:rFonts w:eastAsia="Times New Roman"/>
          <w:noProof/>
          <w:color w:val="000000" w:themeColor="text1"/>
        </w:rPr>
        <w:t xml:space="preserve">32), Spain (6%, </w:t>
      </w:r>
      <w:r w:rsidR="008128D0" w:rsidRPr="00F261DB">
        <w:rPr>
          <w:rFonts w:eastAsia="Times New Roman"/>
          <w:noProof/>
          <w:color w:val="000000" w:themeColor="text1"/>
        </w:rPr>
        <w:t>n=</w:t>
      </w:r>
      <w:r w:rsidRPr="00F261DB">
        <w:rPr>
          <w:rFonts w:eastAsia="Times New Roman"/>
          <w:noProof/>
          <w:color w:val="000000" w:themeColor="text1"/>
        </w:rPr>
        <w:t xml:space="preserve">20), Netherlands (6%, </w:t>
      </w:r>
      <w:r w:rsidR="008128D0" w:rsidRPr="00F261DB">
        <w:rPr>
          <w:rFonts w:eastAsia="Times New Roman"/>
          <w:noProof/>
          <w:color w:val="000000" w:themeColor="text1"/>
        </w:rPr>
        <w:t>n=</w:t>
      </w:r>
      <w:r w:rsidRPr="00F261DB">
        <w:rPr>
          <w:rFonts w:eastAsia="Times New Roman"/>
          <w:noProof/>
          <w:color w:val="000000" w:themeColor="text1"/>
        </w:rPr>
        <w:t xml:space="preserve">18), Italy (5%, </w:t>
      </w:r>
      <w:r w:rsidR="008128D0" w:rsidRPr="00F261DB">
        <w:rPr>
          <w:rFonts w:eastAsia="Times New Roman"/>
          <w:noProof/>
          <w:color w:val="000000" w:themeColor="text1"/>
        </w:rPr>
        <w:t>n=</w:t>
      </w:r>
      <w:r w:rsidRPr="00F261DB">
        <w:rPr>
          <w:rFonts w:eastAsia="Times New Roman"/>
          <w:noProof/>
          <w:color w:val="000000" w:themeColor="text1"/>
        </w:rPr>
        <w:t xml:space="preserve">17), and Finland (4%, </w:t>
      </w:r>
      <w:r w:rsidR="008128D0" w:rsidRPr="00F261DB">
        <w:rPr>
          <w:rFonts w:eastAsia="Times New Roman"/>
          <w:noProof/>
          <w:color w:val="000000" w:themeColor="text1"/>
        </w:rPr>
        <w:t>n=</w:t>
      </w:r>
      <w:r w:rsidRPr="00F261DB">
        <w:rPr>
          <w:rFonts w:eastAsia="Times New Roman"/>
          <w:noProof/>
          <w:color w:val="000000" w:themeColor="text1"/>
        </w:rPr>
        <w:t>13), with responses from other Member States as well as non-</w:t>
      </w:r>
      <w:r w:rsidRPr="007E7594">
        <w:rPr>
          <w:rFonts w:eastAsia="Times New Roman"/>
          <w:noProof/>
        </w:rPr>
        <w:t xml:space="preserve">Member States. </w:t>
      </w:r>
    </w:p>
    <w:p w14:paraId="12A27720" w14:textId="01024CD8" w:rsidR="00020031" w:rsidRPr="00F261DB" w:rsidRDefault="00020031" w:rsidP="007E7594">
      <w:pPr>
        <w:spacing w:after="120"/>
        <w:rPr>
          <w:rFonts w:eastAsia="Times New Roman"/>
          <w:noProof/>
          <w:color w:val="000000" w:themeColor="text1"/>
        </w:rPr>
      </w:pPr>
      <w:r w:rsidRPr="007E7594">
        <w:rPr>
          <w:rFonts w:eastAsia="Times New Roman"/>
          <w:noProof/>
        </w:rPr>
        <w:t>Significant participation came from industrial respondents (</w:t>
      </w:r>
      <w:r w:rsidR="008128D0" w:rsidRPr="007E7594">
        <w:rPr>
          <w:rFonts w:eastAsia="Times New Roman"/>
          <w:noProof/>
        </w:rPr>
        <w:t>n=</w:t>
      </w:r>
      <w:r w:rsidRPr="007E7594">
        <w:rPr>
          <w:rFonts w:eastAsia="Times New Roman"/>
          <w:noProof/>
        </w:rPr>
        <w:t>249, 79%), broken down into the following</w:t>
      </w:r>
      <w:r w:rsidRPr="00F261DB">
        <w:rPr>
          <w:rFonts w:eastAsia="Times New Roman"/>
          <w:noProof/>
          <w:color w:val="000000" w:themeColor="text1"/>
        </w:rPr>
        <w:t xml:space="preserve"> sectors: chemicals (</w:t>
      </w:r>
      <w:r w:rsidR="008128D0" w:rsidRPr="00F261DB">
        <w:rPr>
          <w:rFonts w:eastAsia="Times New Roman"/>
          <w:noProof/>
          <w:color w:val="000000" w:themeColor="text1"/>
        </w:rPr>
        <w:t>n=</w:t>
      </w:r>
      <w:r w:rsidRPr="00F261DB">
        <w:rPr>
          <w:rFonts w:eastAsia="Times New Roman"/>
          <w:noProof/>
          <w:color w:val="000000" w:themeColor="text1"/>
        </w:rPr>
        <w:t>24, 7.6%), steel (</w:t>
      </w:r>
      <w:r w:rsidR="008128D0" w:rsidRPr="00F261DB">
        <w:rPr>
          <w:rFonts w:eastAsia="Times New Roman"/>
          <w:noProof/>
          <w:color w:val="000000" w:themeColor="text1"/>
        </w:rPr>
        <w:t>n=</w:t>
      </w:r>
      <w:r w:rsidRPr="00F261DB">
        <w:rPr>
          <w:rFonts w:eastAsia="Times New Roman"/>
          <w:noProof/>
          <w:color w:val="000000" w:themeColor="text1"/>
        </w:rPr>
        <w:t>21, 6.7%), fuels (</w:t>
      </w:r>
      <w:r w:rsidR="008128D0" w:rsidRPr="00F261DB">
        <w:rPr>
          <w:rFonts w:eastAsia="Times New Roman"/>
          <w:noProof/>
          <w:color w:val="000000" w:themeColor="text1"/>
        </w:rPr>
        <w:t>n=</w:t>
      </w:r>
      <w:r w:rsidRPr="00F261DB">
        <w:rPr>
          <w:rFonts w:eastAsia="Times New Roman"/>
          <w:noProof/>
          <w:color w:val="000000" w:themeColor="text1"/>
        </w:rPr>
        <w:t>16, 5.1%), metals and mining (</w:t>
      </w:r>
      <w:r w:rsidR="008128D0" w:rsidRPr="00F261DB">
        <w:rPr>
          <w:rFonts w:eastAsia="Times New Roman"/>
          <w:noProof/>
          <w:color w:val="000000" w:themeColor="text1"/>
        </w:rPr>
        <w:t>n=</w:t>
      </w:r>
      <w:r w:rsidRPr="00F261DB">
        <w:rPr>
          <w:rFonts w:eastAsia="Times New Roman"/>
          <w:noProof/>
          <w:color w:val="000000" w:themeColor="text1"/>
        </w:rPr>
        <w:t>11, 3.5%) , cement (</w:t>
      </w:r>
      <w:r w:rsidR="00ED2747" w:rsidRPr="00F261DB">
        <w:rPr>
          <w:rFonts w:eastAsia="Times New Roman"/>
          <w:noProof/>
          <w:color w:val="000000" w:themeColor="text1"/>
        </w:rPr>
        <w:t>n=</w:t>
      </w:r>
      <w:r w:rsidRPr="00F261DB">
        <w:rPr>
          <w:rFonts w:eastAsia="Times New Roman"/>
          <w:noProof/>
          <w:color w:val="000000" w:themeColor="text1"/>
        </w:rPr>
        <w:t>8, 2.5%), fertilizers and agriculture (</w:t>
      </w:r>
      <w:r w:rsidR="00ED2747" w:rsidRPr="00F261DB">
        <w:rPr>
          <w:rFonts w:eastAsia="Times New Roman"/>
          <w:noProof/>
          <w:color w:val="000000" w:themeColor="text1"/>
        </w:rPr>
        <w:t>n=</w:t>
      </w:r>
      <w:r w:rsidRPr="00F261DB">
        <w:rPr>
          <w:rFonts w:eastAsia="Times New Roman"/>
          <w:noProof/>
          <w:color w:val="000000" w:themeColor="text1"/>
        </w:rPr>
        <w:t>8, 2.5%), aluminium (</w:t>
      </w:r>
      <w:r w:rsidR="00ED2747" w:rsidRPr="00F261DB">
        <w:rPr>
          <w:rFonts w:eastAsia="Times New Roman"/>
          <w:noProof/>
          <w:color w:val="000000" w:themeColor="text1"/>
        </w:rPr>
        <w:t>n=</w:t>
      </w:r>
      <w:r w:rsidRPr="00F261DB">
        <w:rPr>
          <w:rFonts w:eastAsia="Times New Roman"/>
          <w:noProof/>
          <w:color w:val="000000" w:themeColor="text1"/>
        </w:rPr>
        <w:t>5, 1.6%), pulp &amp; paper (</w:t>
      </w:r>
      <w:r w:rsidR="00ED2747" w:rsidRPr="00F261DB">
        <w:rPr>
          <w:rFonts w:eastAsia="Times New Roman"/>
          <w:noProof/>
          <w:color w:val="000000" w:themeColor="text1"/>
        </w:rPr>
        <w:t>n=</w:t>
      </w:r>
      <w:r w:rsidRPr="00F261DB">
        <w:rPr>
          <w:rFonts w:eastAsia="Times New Roman"/>
          <w:noProof/>
          <w:color w:val="000000" w:themeColor="text1"/>
        </w:rPr>
        <w:t>5, 1.6%), ceramics (</w:t>
      </w:r>
      <w:r w:rsidR="00ED2747" w:rsidRPr="00F261DB">
        <w:rPr>
          <w:rFonts w:eastAsia="Times New Roman"/>
          <w:noProof/>
          <w:color w:val="000000" w:themeColor="text1"/>
        </w:rPr>
        <w:t>n=</w:t>
      </w:r>
      <w:r w:rsidRPr="00F261DB">
        <w:rPr>
          <w:rFonts w:eastAsia="Times New Roman"/>
          <w:noProof/>
          <w:color w:val="000000" w:themeColor="text1"/>
        </w:rPr>
        <w:t>4, 1.3%), glass (</w:t>
      </w:r>
      <w:r w:rsidR="00ED2747" w:rsidRPr="00F261DB">
        <w:rPr>
          <w:rFonts w:eastAsia="Times New Roman"/>
          <w:noProof/>
          <w:color w:val="000000" w:themeColor="text1"/>
        </w:rPr>
        <w:t>n=</w:t>
      </w:r>
      <w:r w:rsidRPr="00F261DB">
        <w:rPr>
          <w:rFonts w:eastAsia="Times New Roman"/>
          <w:noProof/>
          <w:color w:val="000000" w:themeColor="text1"/>
        </w:rPr>
        <w:t xml:space="preserve">6, 1.9%) </w:t>
      </w:r>
      <w:r w:rsidRPr="00F261DB">
        <w:rPr>
          <w:rFonts w:eastAsia="Times New Roman"/>
          <w:noProof/>
          <w:color w:val="000000" w:themeColor="text1"/>
        </w:rPr>
        <w:lastRenderedPageBreak/>
        <w:t>and lime sector (</w:t>
      </w:r>
      <w:r w:rsidR="00ED2747" w:rsidRPr="00F261DB">
        <w:rPr>
          <w:rFonts w:eastAsia="Times New Roman"/>
          <w:noProof/>
          <w:color w:val="000000" w:themeColor="text1"/>
        </w:rPr>
        <w:t>n=</w:t>
      </w:r>
      <w:r w:rsidRPr="00F261DB">
        <w:rPr>
          <w:rFonts w:eastAsia="Times New Roman"/>
          <w:noProof/>
          <w:color w:val="000000" w:themeColor="text1"/>
        </w:rPr>
        <w:t>1, 0.3%), as well as downstream sectors such as energy (</w:t>
      </w:r>
      <w:r w:rsidR="00ED2747" w:rsidRPr="00F261DB">
        <w:rPr>
          <w:rFonts w:eastAsia="Times New Roman"/>
          <w:noProof/>
          <w:color w:val="000000" w:themeColor="text1"/>
        </w:rPr>
        <w:t>n=</w:t>
      </w:r>
      <w:r w:rsidRPr="00F261DB">
        <w:rPr>
          <w:rFonts w:eastAsia="Times New Roman"/>
          <w:noProof/>
          <w:color w:val="000000" w:themeColor="text1"/>
        </w:rPr>
        <w:t>57, 18.1%) - including electricity (21 answers), clean tech (</w:t>
      </w:r>
      <w:r w:rsidR="00ED2747" w:rsidRPr="00F261DB">
        <w:rPr>
          <w:rFonts w:eastAsia="Times New Roman"/>
          <w:noProof/>
          <w:color w:val="000000" w:themeColor="text1"/>
        </w:rPr>
        <w:t>n=</w:t>
      </w:r>
      <w:r w:rsidRPr="00F261DB">
        <w:rPr>
          <w:rFonts w:eastAsia="Times New Roman"/>
          <w:noProof/>
          <w:color w:val="000000" w:themeColor="text1"/>
        </w:rPr>
        <w:t>15), gas</w:t>
      </w:r>
      <w:r w:rsidR="00B122CA" w:rsidRPr="00F261DB">
        <w:rPr>
          <w:rFonts w:eastAsia="Times New Roman"/>
          <w:noProof/>
          <w:color w:val="000000" w:themeColor="text1"/>
        </w:rPr>
        <w:t xml:space="preserve"> </w:t>
      </w:r>
      <w:r w:rsidRPr="00F261DB">
        <w:rPr>
          <w:rFonts w:eastAsia="Times New Roman"/>
          <w:noProof/>
          <w:color w:val="000000" w:themeColor="text1"/>
        </w:rPr>
        <w:t>&amp;</w:t>
      </w:r>
      <w:r w:rsidR="00B122CA" w:rsidRPr="00F261DB">
        <w:rPr>
          <w:rFonts w:eastAsia="Times New Roman"/>
          <w:noProof/>
          <w:color w:val="000000" w:themeColor="text1"/>
        </w:rPr>
        <w:t xml:space="preserve"> </w:t>
      </w:r>
      <w:r w:rsidRPr="00F261DB">
        <w:rPr>
          <w:rFonts w:eastAsia="Times New Roman"/>
          <w:noProof/>
          <w:color w:val="000000" w:themeColor="text1"/>
        </w:rPr>
        <w:t>oil (</w:t>
      </w:r>
      <w:r w:rsidR="00ED2747" w:rsidRPr="00F261DB">
        <w:rPr>
          <w:rFonts w:eastAsia="Times New Roman"/>
          <w:noProof/>
          <w:color w:val="000000" w:themeColor="text1"/>
        </w:rPr>
        <w:t>n=</w:t>
      </w:r>
      <w:r w:rsidRPr="00F261DB">
        <w:rPr>
          <w:rFonts w:eastAsia="Times New Roman"/>
          <w:noProof/>
          <w:color w:val="000000" w:themeColor="text1"/>
        </w:rPr>
        <w:t>7), hydrogen (</w:t>
      </w:r>
      <w:r w:rsidR="00ED2747" w:rsidRPr="00F261DB">
        <w:rPr>
          <w:rFonts w:eastAsia="Times New Roman"/>
          <w:noProof/>
          <w:color w:val="000000" w:themeColor="text1"/>
        </w:rPr>
        <w:t>n=</w:t>
      </w:r>
      <w:r w:rsidRPr="00F261DB">
        <w:rPr>
          <w:rFonts w:eastAsia="Times New Roman"/>
          <w:noProof/>
          <w:color w:val="000000" w:themeColor="text1"/>
        </w:rPr>
        <w:t>5), heat (</w:t>
      </w:r>
      <w:r w:rsidR="00ED2747" w:rsidRPr="00F261DB">
        <w:rPr>
          <w:rFonts w:eastAsia="Times New Roman"/>
          <w:noProof/>
          <w:color w:val="000000" w:themeColor="text1"/>
        </w:rPr>
        <w:t>n=</w:t>
      </w:r>
      <w:r w:rsidRPr="00F261DB">
        <w:rPr>
          <w:rFonts w:eastAsia="Times New Roman"/>
          <w:noProof/>
          <w:color w:val="000000" w:themeColor="text1"/>
        </w:rPr>
        <w:t>4), solar (</w:t>
      </w:r>
      <w:r w:rsidR="00ED2747" w:rsidRPr="00F261DB">
        <w:rPr>
          <w:rFonts w:eastAsia="Times New Roman"/>
          <w:noProof/>
          <w:color w:val="000000" w:themeColor="text1"/>
        </w:rPr>
        <w:t>n=</w:t>
      </w:r>
      <w:r w:rsidRPr="00F261DB">
        <w:rPr>
          <w:rFonts w:eastAsia="Times New Roman"/>
          <w:noProof/>
          <w:color w:val="000000" w:themeColor="text1"/>
        </w:rPr>
        <w:t>2), wind (</w:t>
      </w:r>
      <w:r w:rsidR="00ED2747" w:rsidRPr="00F261DB">
        <w:rPr>
          <w:rFonts w:eastAsia="Times New Roman"/>
          <w:noProof/>
          <w:color w:val="000000" w:themeColor="text1"/>
        </w:rPr>
        <w:t>n=</w:t>
      </w:r>
      <w:r w:rsidRPr="00F261DB">
        <w:rPr>
          <w:rFonts w:eastAsia="Times New Roman"/>
          <w:noProof/>
          <w:color w:val="000000" w:themeColor="text1"/>
        </w:rPr>
        <w:t>2) and geothermal (</w:t>
      </w:r>
      <w:r w:rsidR="00ED2747" w:rsidRPr="00F261DB">
        <w:rPr>
          <w:rFonts w:eastAsia="Times New Roman"/>
          <w:noProof/>
          <w:color w:val="000000" w:themeColor="text1"/>
        </w:rPr>
        <w:t>n=</w:t>
      </w:r>
      <w:r w:rsidRPr="00F261DB">
        <w:rPr>
          <w:rFonts w:eastAsia="Times New Roman"/>
          <w:noProof/>
          <w:color w:val="000000" w:themeColor="text1"/>
        </w:rPr>
        <w:t>1) -, waste management and recycling (</w:t>
      </w:r>
      <w:r w:rsidR="00ED2747" w:rsidRPr="00F261DB">
        <w:rPr>
          <w:rFonts w:eastAsia="Times New Roman"/>
          <w:noProof/>
          <w:color w:val="000000" w:themeColor="text1"/>
        </w:rPr>
        <w:t>n=</w:t>
      </w:r>
      <w:r w:rsidRPr="00F261DB">
        <w:rPr>
          <w:rFonts w:eastAsia="Times New Roman"/>
          <w:noProof/>
          <w:color w:val="000000" w:themeColor="text1"/>
        </w:rPr>
        <w:t>11, 3.5%), construction (</w:t>
      </w:r>
      <w:r w:rsidR="00ED2747" w:rsidRPr="00F261DB">
        <w:rPr>
          <w:rFonts w:eastAsia="Times New Roman"/>
          <w:noProof/>
          <w:color w:val="000000" w:themeColor="text1"/>
        </w:rPr>
        <w:t>n=</w:t>
      </w:r>
      <w:r w:rsidRPr="00F261DB">
        <w:rPr>
          <w:rFonts w:eastAsia="Times New Roman"/>
          <w:noProof/>
          <w:color w:val="000000" w:themeColor="text1"/>
        </w:rPr>
        <w:t>8, 2.5%), automotive (</w:t>
      </w:r>
      <w:r w:rsidR="00ED2747" w:rsidRPr="00F261DB">
        <w:rPr>
          <w:rFonts w:eastAsia="Times New Roman"/>
          <w:noProof/>
          <w:color w:val="000000" w:themeColor="text1"/>
        </w:rPr>
        <w:t>n=</w:t>
      </w:r>
      <w:r w:rsidRPr="00F261DB">
        <w:rPr>
          <w:rFonts w:eastAsia="Times New Roman"/>
          <w:noProof/>
          <w:color w:val="000000" w:themeColor="text1"/>
        </w:rPr>
        <w:t>5, 1.6%), batteries and storage (</w:t>
      </w:r>
      <w:r w:rsidR="00ED2747" w:rsidRPr="00F261DB">
        <w:rPr>
          <w:rFonts w:eastAsia="Times New Roman"/>
          <w:noProof/>
          <w:color w:val="000000" w:themeColor="text1"/>
        </w:rPr>
        <w:t>n=</w:t>
      </w:r>
      <w:r w:rsidRPr="00F261DB">
        <w:rPr>
          <w:rFonts w:eastAsia="Times New Roman"/>
          <w:noProof/>
          <w:color w:val="000000" w:themeColor="text1"/>
        </w:rPr>
        <w:t>4, 1.3%), and other (</w:t>
      </w:r>
      <w:r w:rsidR="00ED2747" w:rsidRPr="00F261DB">
        <w:rPr>
          <w:rFonts w:eastAsia="Times New Roman"/>
          <w:noProof/>
          <w:color w:val="000000" w:themeColor="text1"/>
        </w:rPr>
        <w:t>n=</w:t>
      </w:r>
      <w:r w:rsidRPr="00F261DB">
        <w:rPr>
          <w:rFonts w:eastAsia="Times New Roman"/>
          <w:noProof/>
          <w:color w:val="000000" w:themeColor="text1"/>
        </w:rPr>
        <w:t xml:space="preserve">55, 17.5%). </w:t>
      </w:r>
    </w:p>
    <w:p w14:paraId="7DC0C317" w14:textId="77777777" w:rsidR="00020031" w:rsidRPr="00F261DB" w:rsidRDefault="00020031">
      <w:pPr>
        <w:keepNext/>
        <w:spacing w:before="240"/>
        <w:jc w:val="center"/>
        <w:rPr>
          <w:noProof/>
        </w:rPr>
      </w:pPr>
      <w:r w:rsidRPr="00826A85">
        <w:rPr>
          <w:noProof/>
          <w:lang w:eastAsia="en-GB"/>
        </w:rPr>
        <w:drawing>
          <wp:inline distT="0" distB="0" distL="0" distR="0" wp14:anchorId="52B750CF" wp14:editId="5DA3FDA6">
            <wp:extent cx="3999839" cy="2257914"/>
            <wp:effectExtent l="0" t="0" r="0" b="0"/>
            <wp:docPr id="17596654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65474" name=""/>
                    <pic:cNvPicPr/>
                  </pic:nvPicPr>
                  <pic:blipFill>
                    <a:blip r:embed="rId46">
                      <a:extLst>
                        <a:ext uri="{28A0092B-C50C-407E-A947-70E740481C1C}">
                          <a14:useLocalDpi xmlns:a14="http://schemas.microsoft.com/office/drawing/2010/main"/>
                        </a:ext>
                      </a:extLst>
                    </a:blip>
                    <a:stretch>
                      <a:fillRect/>
                    </a:stretch>
                  </pic:blipFill>
                  <pic:spPr>
                    <a:xfrm>
                      <a:off x="0" y="0"/>
                      <a:ext cx="3999839" cy="2257914"/>
                    </a:xfrm>
                    <a:prstGeom prst="rect">
                      <a:avLst/>
                    </a:prstGeom>
                  </pic:spPr>
                </pic:pic>
              </a:graphicData>
            </a:graphic>
          </wp:inline>
        </w:drawing>
      </w:r>
    </w:p>
    <w:p w14:paraId="67093999" w14:textId="7F656ECC" w:rsidR="00020031" w:rsidRPr="005754F4" w:rsidRDefault="00020031">
      <w:pPr>
        <w:pStyle w:val="Caption"/>
        <w:jc w:val="center"/>
        <w:rPr>
          <w:noProof/>
          <w:sz w:val="20"/>
          <w:szCs w:val="20"/>
        </w:rPr>
      </w:pPr>
      <w:bookmarkStart w:id="160" w:name="_Ref212215369"/>
      <w:r w:rsidRPr="005754F4">
        <w:rPr>
          <w:noProof/>
          <w:sz w:val="20"/>
          <w:szCs w:val="20"/>
        </w:rPr>
        <w:t xml:space="preserve">Figure </w:t>
      </w:r>
      <w:r w:rsidRPr="005754F4">
        <w:rPr>
          <w:noProof/>
          <w:sz w:val="20"/>
          <w:szCs w:val="20"/>
        </w:rPr>
        <w:fldChar w:fldCharType="begin"/>
      </w:r>
      <w:r w:rsidRPr="005754F4">
        <w:rPr>
          <w:noProof/>
          <w:sz w:val="20"/>
          <w:szCs w:val="20"/>
        </w:rPr>
        <w:instrText xml:space="preserve"> SEQ Figure \* ARABIC </w:instrText>
      </w:r>
      <w:r w:rsidRPr="005754F4">
        <w:rPr>
          <w:noProof/>
          <w:sz w:val="20"/>
          <w:szCs w:val="20"/>
        </w:rPr>
        <w:fldChar w:fldCharType="separate"/>
      </w:r>
      <w:r w:rsidR="00E16D65">
        <w:rPr>
          <w:noProof/>
          <w:sz w:val="20"/>
          <w:szCs w:val="20"/>
        </w:rPr>
        <w:t>7</w:t>
      </w:r>
      <w:r w:rsidRPr="005754F4">
        <w:rPr>
          <w:noProof/>
          <w:sz w:val="20"/>
          <w:szCs w:val="20"/>
        </w:rPr>
        <w:fldChar w:fldCharType="end"/>
      </w:r>
      <w:bookmarkEnd w:id="160"/>
      <w:r w:rsidRPr="005754F4">
        <w:rPr>
          <w:noProof/>
          <w:sz w:val="20"/>
          <w:szCs w:val="20"/>
        </w:rPr>
        <w:t>: participation in the open public consultation by type of organisation</w:t>
      </w:r>
    </w:p>
    <w:p w14:paraId="038E862F" w14:textId="77777777" w:rsidR="00020031" w:rsidRPr="00F261DB" w:rsidRDefault="00020031">
      <w:pPr>
        <w:keepNext/>
        <w:spacing w:before="240"/>
        <w:jc w:val="center"/>
        <w:rPr>
          <w:noProof/>
        </w:rPr>
      </w:pPr>
      <w:r w:rsidRPr="00826A85">
        <w:rPr>
          <w:noProof/>
          <w:lang w:eastAsia="en-GB"/>
        </w:rPr>
        <w:drawing>
          <wp:inline distT="0" distB="0" distL="0" distR="0" wp14:anchorId="7746AB15" wp14:editId="7B4F29AE">
            <wp:extent cx="3943985" cy="2523280"/>
            <wp:effectExtent l="0" t="0" r="0" b="0"/>
            <wp:docPr id="808098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9873" name=""/>
                    <pic:cNvPicPr/>
                  </pic:nvPicPr>
                  <pic:blipFill>
                    <a:blip r:embed="rId47">
                      <a:extLst>
                        <a:ext uri="{28A0092B-C50C-407E-A947-70E740481C1C}">
                          <a14:useLocalDpi xmlns:a14="http://schemas.microsoft.com/office/drawing/2010/main"/>
                        </a:ext>
                      </a:extLst>
                    </a:blip>
                    <a:stretch>
                      <a:fillRect/>
                    </a:stretch>
                  </pic:blipFill>
                  <pic:spPr>
                    <a:xfrm>
                      <a:off x="0" y="0"/>
                      <a:ext cx="3950484" cy="2527438"/>
                    </a:xfrm>
                    <a:prstGeom prst="rect">
                      <a:avLst/>
                    </a:prstGeom>
                  </pic:spPr>
                </pic:pic>
              </a:graphicData>
            </a:graphic>
          </wp:inline>
        </w:drawing>
      </w:r>
    </w:p>
    <w:p w14:paraId="0DBE7BFD" w14:textId="701383BF" w:rsidR="00020031" w:rsidRPr="005754F4" w:rsidRDefault="00020031">
      <w:pPr>
        <w:pStyle w:val="Caption"/>
        <w:jc w:val="center"/>
        <w:rPr>
          <w:noProof/>
          <w:sz w:val="20"/>
          <w:szCs w:val="20"/>
        </w:rPr>
      </w:pPr>
      <w:r w:rsidRPr="005754F4">
        <w:rPr>
          <w:noProof/>
          <w:sz w:val="20"/>
          <w:szCs w:val="20"/>
        </w:rPr>
        <w:t xml:space="preserve">Figure </w:t>
      </w:r>
      <w:r w:rsidRPr="005754F4">
        <w:rPr>
          <w:noProof/>
          <w:sz w:val="20"/>
          <w:szCs w:val="20"/>
        </w:rPr>
        <w:fldChar w:fldCharType="begin"/>
      </w:r>
      <w:r w:rsidRPr="005754F4">
        <w:rPr>
          <w:noProof/>
          <w:sz w:val="20"/>
          <w:szCs w:val="20"/>
        </w:rPr>
        <w:instrText xml:space="preserve"> SEQ Figure \* ARABIC </w:instrText>
      </w:r>
      <w:r w:rsidRPr="005754F4">
        <w:rPr>
          <w:noProof/>
          <w:sz w:val="20"/>
          <w:szCs w:val="20"/>
        </w:rPr>
        <w:fldChar w:fldCharType="separate"/>
      </w:r>
      <w:r w:rsidR="00E16D65">
        <w:rPr>
          <w:noProof/>
          <w:sz w:val="20"/>
          <w:szCs w:val="20"/>
        </w:rPr>
        <w:t>8</w:t>
      </w:r>
      <w:r w:rsidRPr="005754F4">
        <w:rPr>
          <w:noProof/>
          <w:sz w:val="20"/>
          <w:szCs w:val="20"/>
        </w:rPr>
        <w:fldChar w:fldCharType="end"/>
      </w:r>
      <w:r w:rsidRPr="005754F4">
        <w:rPr>
          <w:noProof/>
          <w:sz w:val="20"/>
          <w:szCs w:val="20"/>
        </w:rPr>
        <w:t>: participation in the OPC by sector</w:t>
      </w:r>
    </w:p>
    <w:p w14:paraId="03BAA926" w14:textId="77777777" w:rsidR="0094745A" w:rsidRPr="0094745A" w:rsidRDefault="0094745A" w:rsidP="0094745A">
      <w:pPr>
        <w:rPr>
          <w:noProof/>
        </w:rPr>
      </w:pPr>
    </w:p>
    <w:p w14:paraId="30F071CB" w14:textId="47C812D3" w:rsidR="00345961" w:rsidRPr="00CD2CD8" w:rsidRDefault="00020031" w:rsidP="0094745A">
      <w:pPr>
        <w:spacing w:after="120"/>
        <w:rPr>
          <w:rFonts w:eastAsia="Times New Roman"/>
          <w:noProof/>
          <w:color w:val="000000" w:themeColor="text1"/>
        </w:rPr>
      </w:pPr>
      <w:r w:rsidRPr="00F261DB">
        <w:rPr>
          <w:rFonts w:eastAsia="Times New Roman"/>
          <w:noProof/>
          <w:color w:val="000000" w:themeColor="text1"/>
        </w:rPr>
        <w:t xml:space="preserve">For the targeted consultation, 62 answers were received, mainly coming from business associations/companies/business organisations (49 responses; 79%), followed by non-governmental organisations (8 responses; 13%), and other stakeholders (5 responses; 8%). </w:t>
      </w:r>
      <w:r w:rsidRPr="00F261DB">
        <w:rPr>
          <w:rFonts w:eastAsia="Times New Roman"/>
          <w:noProof/>
        </w:rPr>
        <w:t>Only 4 out of 62 responses (6%) came from SMEs. Among these, 2 respondents were from the cement industry, 1 from the steel sector, and 1 from the construction industry.</w:t>
      </w:r>
      <w:r w:rsidRPr="00F261DB">
        <w:rPr>
          <w:rFonts w:eastAsia="Times New Roman"/>
          <w:noProof/>
          <w:color w:val="000000" w:themeColor="text1"/>
        </w:rPr>
        <w:t xml:space="preserve"> 23 stakeholders submitted a policy paper following the targeted consultation, including the workshops. Replies came from various sectors, with the iron and steel sector contributing the most responses (17 replies, 34%), followed by cement (6 replies, 12%), non-ferrous metals (5 replies, 8%), glass and chemicals (4 replies each, 6%), and ceramics (3 replies, 5%). Only 1 reply (2%) was received from the pulp and paper sector. An additional 9 respondents (18%) selected “other”.</w:t>
      </w:r>
    </w:p>
    <w:p w14:paraId="7D8FAD7E" w14:textId="538D7E65" w:rsidR="00345961" w:rsidRPr="00CD2CD8" w:rsidRDefault="00020031" w:rsidP="005D1B0C">
      <w:pPr>
        <w:spacing w:before="240"/>
        <w:contextualSpacing/>
        <w:jc w:val="center"/>
        <w:rPr>
          <w:rFonts w:eastAsia="Times New Roman"/>
          <w:noProof/>
          <w:color w:val="000000" w:themeColor="text1"/>
        </w:rPr>
      </w:pPr>
      <w:r w:rsidRPr="00826A85">
        <w:rPr>
          <w:noProof/>
          <w:lang w:eastAsia="en-GB"/>
        </w:rPr>
        <w:lastRenderedPageBreak/>
        <w:drawing>
          <wp:inline distT="0" distB="0" distL="0" distR="0" wp14:anchorId="3D7FCE56" wp14:editId="11B1EC59">
            <wp:extent cx="3927968" cy="2217603"/>
            <wp:effectExtent l="0" t="0" r="0" b="0"/>
            <wp:docPr id="1716873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73963" name=""/>
                    <pic:cNvPicPr/>
                  </pic:nvPicPr>
                  <pic:blipFill>
                    <a:blip r:embed="rId48">
                      <a:extLst>
                        <a:ext uri="{28A0092B-C50C-407E-A947-70E740481C1C}">
                          <a14:useLocalDpi xmlns:a14="http://schemas.microsoft.com/office/drawing/2010/main"/>
                        </a:ext>
                      </a:extLst>
                    </a:blip>
                    <a:stretch>
                      <a:fillRect/>
                    </a:stretch>
                  </pic:blipFill>
                  <pic:spPr>
                    <a:xfrm>
                      <a:off x="0" y="0"/>
                      <a:ext cx="3927968" cy="2217603"/>
                    </a:xfrm>
                    <a:prstGeom prst="rect">
                      <a:avLst/>
                    </a:prstGeom>
                  </pic:spPr>
                </pic:pic>
              </a:graphicData>
            </a:graphic>
          </wp:inline>
        </w:drawing>
      </w:r>
    </w:p>
    <w:p w14:paraId="7FB20C49" w14:textId="57C887B3" w:rsidR="00345961" w:rsidRPr="005754F4" w:rsidRDefault="00020031" w:rsidP="00C66CDA">
      <w:pPr>
        <w:spacing w:before="240"/>
        <w:contextualSpacing/>
        <w:jc w:val="center"/>
        <w:rPr>
          <w:i/>
          <w:iCs/>
          <w:noProof/>
          <w:sz w:val="20"/>
          <w:szCs w:val="18"/>
        </w:rPr>
      </w:pPr>
      <w:r w:rsidRPr="005754F4">
        <w:rPr>
          <w:i/>
          <w:iCs/>
          <w:noProof/>
          <w:sz w:val="20"/>
          <w:szCs w:val="18"/>
        </w:rPr>
        <w:t xml:space="preserve">Figure </w:t>
      </w:r>
      <w:r w:rsidRPr="005754F4">
        <w:rPr>
          <w:i/>
          <w:iCs/>
          <w:noProof/>
          <w:sz w:val="20"/>
          <w:szCs w:val="18"/>
        </w:rPr>
        <w:fldChar w:fldCharType="begin"/>
      </w:r>
      <w:r w:rsidRPr="005754F4">
        <w:rPr>
          <w:i/>
          <w:iCs/>
          <w:noProof/>
          <w:sz w:val="20"/>
          <w:szCs w:val="18"/>
          <w:lang w:val="en-IE"/>
        </w:rPr>
        <w:instrText xml:space="preserve"> SEQ Figure \* ARABIC </w:instrText>
      </w:r>
      <w:r w:rsidRPr="005754F4">
        <w:rPr>
          <w:i/>
          <w:iCs/>
          <w:noProof/>
          <w:sz w:val="20"/>
          <w:szCs w:val="18"/>
        </w:rPr>
        <w:fldChar w:fldCharType="separate"/>
      </w:r>
      <w:r w:rsidR="00E16D65">
        <w:rPr>
          <w:i/>
          <w:iCs/>
          <w:noProof/>
          <w:sz w:val="20"/>
          <w:szCs w:val="18"/>
          <w:lang w:val="en-IE"/>
        </w:rPr>
        <w:t>9</w:t>
      </w:r>
      <w:r w:rsidRPr="005754F4">
        <w:rPr>
          <w:i/>
          <w:iCs/>
          <w:noProof/>
          <w:sz w:val="20"/>
          <w:szCs w:val="18"/>
        </w:rPr>
        <w:fldChar w:fldCharType="end"/>
      </w:r>
      <w:r w:rsidRPr="005754F4">
        <w:rPr>
          <w:i/>
          <w:iCs/>
          <w:noProof/>
          <w:sz w:val="20"/>
          <w:szCs w:val="18"/>
        </w:rPr>
        <w:t>: participation in the TC by type of organisation</w:t>
      </w:r>
    </w:p>
    <w:p w14:paraId="4CB16278" w14:textId="77777777" w:rsidR="00C66CDA" w:rsidRPr="00F261DB" w:rsidRDefault="00C66CDA" w:rsidP="005D1B0C">
      <w:pPr>
        <w:spacing w:before="240"/>
        <w:contextualSpacing/>
        <w:jc w:val="center"/>
        <w:rPr>
          <w:noProof/>
        </w:rPr>
      </w:pPr>
    </w:p>
    <w:p w14:paraId="29262837" w14:textId="3E73E8AD" w:rsidR="00020031" w:rsidRPr="00F261DB" w:rsidRDefault="00020031" w:rsidP="005D1B0C">
      <w:pPr>
        <w:spacing w:before="240"/>
        <w:contextualSpacing/>
        <w:jc w:val="center"/>
        <w:rPr>
          <w:rFonts w:eastAsia="Times New Roman"/>
          <w:noProof/>
          <w:color w:val="000000" w:themeColor="text1"/>
        </w:rPr>
      </w:pPr>
      <w:r w:rsidRPr="00826A85">
        <w:rPr>
          <w:noProof/>
          <w:lang w:eastAsia="en-GB"/>
        </w:rPr>
        <w:drawing>
          <wp:inline distT="0" distB="0" distL="0" distR="0" wp14:anchorId="1A5F6FE4" wp14:editId="6BB34DC5">
            <wp:extent cx="3875933" cy="2404110"/>
            <wp:effectExtent l="0" t="0" r="0" b="0"/>
            <wp:docPr id="274729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29368" name=""/>
                    <pic:cNvPicPr/>
                  </pic:nvPicPr>
                  <pic:blipFill>
                    <a:blip r:embed="rId49">
                      <a:extLst>
                        <a:ext uri="{28A0092B-C50C-407E-A947-70E740481C1C}">
                          <a14:useLocalDpi xmlns:a14="http://schemas.microsoft.com/office/drawing/2010/main"/>
                        </a:ext>
                      </a:extLst>
                    </a:blip>
                    <a:stretch>
                      <a:fillRect/>
                    </a:stretch>
                  </pic:blipFill>
                  <pic:spPr>
                    <a:xfrm>
                      <a:off x="0" y="0"/>
                      <a:ext cx="3881270" cy="2407420"/>
                    </a:xfrm>
                    <a:prstGeom prst="rect">
                      <a:avLst/>
                    </a:prstGeom>
                  </pic:spPr>
                </pic:pic>
              </a:graphicData>
            </a:graphic>
          </wp:inline>
        </w:drawing>
      </w:r>
    </w:p>
    <w:p w14:paraId="457DD644" w14:textId="44B23EF0" w:rsidR="00020031" w:rsidRPr="005754F4" w:rsidRDefault="00020031">
      <w:pPr>
        <w:pStyle w:val="Caption"/>
        <w:jc w:val="center"/>
        <w:rPr>
          <w:rFonts w:ascii="Aptos" w:eastAsia="Aptos" w:hAnsi="Aptos" w:cs="Aptos"/>
          <w:noProof/>
          <w:color w:val="000000" w:themeColor="text1"/>
          <w:sz w:val="20"/>
          <w:szCs w:val="14"/>
        </w:rPr>
      </w:pPr>
      <w:r w:rsidRPr="005754F4">
        <w:rPr>
          <w:noProof/>
          <w:sz w:val="20"/>
          <w:szCs w:val="14"/>
        </w:rPr>
        <w:t xml:space="preserve">Figure </w:t>
      </w:r>
      <w:r w:rsidRPr="005754F4">
        <w:rPr>
          <w:noProof/>
          <w:sz w:val="20"/>
          <w:szCs w:val="14"/>
        </w:rPr>
        <w:fldChar w:fldCharType="begin"/>
      </w:r>
      <w:r w:rsidRPr="005754F4">
        <w:rPr>
          <w:noProof/>
          <w:sz w:val="20"/>
          <w:szCs w:val="14"/>
        </w:rPr>
        <w:instrText xml:space="preserve"> SEQ Figure \* ARABIC </w:instrText>
      </w:r>
      <w:r w:rsidRPr="005754F4">
        <w:rPr>
          <w:noProof/>
          <w:sz w:val="20"/>
          <w:szCs w:val="14"/>
        </w:rPr>
        <w:fldChar w:fldCharType="separate"/>
      </w:r>
      <w:r w:rsidR="00E16D65">
        <w:rPr>
          <w:noProof/>
          <w:sz w:val="20"/>
          <w:szCs w:val="14"/>
        </w:rPr>
        <w:t>10</w:t>
      </w:r>
      <w:r w:rsidRPr="005754F4">
        <w:rPr>
          <w:noProof/>
          <w:sz w:val="20"/>
          <w:szCs w:val="14"/>
        </w:rPr>
        <w:fldChar w:fldCharType="end"/>
      </w:r>
      <w:r w:rsidRPr="005754F4">
        <w:rPr>
          <w:noProof/>
          <w:sz w:val="20"/>
          <w:szCs w:val="14"/>
        </w:rPr>
        <w:t>: participation in the TC by sector</w:t>
      </w:r>
    </w:p>
    <w:p w14:paraId="64E91556" w14:textId="77777777" w:rsidR="007E7594" w:rsidRDefault="007E7594" w:rsidP="007E7594">
      <w:pPr>
        <w:spacing w:after="120"/>
        <w:rPr>
          <w:rFonts w:eastAsia="Times New Roman"/>
          <w:noProof/>
          <w:color w:val="000000" w:themeColor="text1"/>
        </w:rPr>
      </w:pPr>
    </w:p>
    <w:p w14:paraId="0791D1D6" w14:textId="7A184E68"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 xml:space="preserve">The reality check with energy intensive companies gathered around 40 participants, from 27 companies across </w:t>
      </w:r>
      <w:r w:rsidRPr="0094745A">
        <w:rPr>
          <w:rFonts w:eastAsia="Times New Roman"/>
          <w:noProof/>
        </w:rPr>
        <w:t>sectors</w:t>
      </w:r>
      <w:r w:rsidRPr="00F261DB">
        <w:rPr>
          <w:rFonts w:eastAsia="Times New Roman"/>
          <w:noProof/>
          <w:color w:val="000000" w:themeColor="text1"/>
        </w:rPr>
        <w:t xml:space="preserve"> such as steel, chemicals, cement, glass, refining, </w:t>
      </w:r>
      <w:r w:rsidR="00B122CA" w:rsidRPr="00F261DB">
        <w:rPr>
          <w:rFonts w:eastAsia="Times New Roman"/>
          <w:noProof/>
          <w:color w:val="000000" w:themeColor="text1"/>
        </w:rPr>
        <w:t>aluminium</w:t>
      </w:r>
      <w:r w:rsidRPr="00F261DB">
        <w:rPr>
          <w:rFonts w:eastAsia="Times New Roman"/>
          <w:noProof/>
          <w:color w:val="000000" w:themeColor="text1"/>
        </w:rPr>
        <w:t xml:space="preserve">, fertilizers, paper, and lime. The reality check with steel companies on EU low-carbon product label for steel gathered 34 participants from 26 European steel companies and associations. Lastly, the reality check with Member States brought together 46 participants across 17 </w:t>
      </w:r>
      <w:r w:rsidRPr="007E7594">
        <w:rPr>
          <w:rFonts w:eastAsia="Times New Roman"/>
          <w:noProof/>
        </w:rPr>
        <w:t>Member</w:t>
      </w:r>
      <w:r w:rsidRPr="00F261DB">
        <w:rPr>
          <w:rFonts w:eastAsia="Times New Roman"/>
          <w:noProof/>
          <w:color w:val="000000" w:themeColor="text1"/>
        </w:rPr>
        <w:t xml:space="preserve"> States. </w:t>
      </w:r>
    </w:p>
    <w:p w14:paraId="09B50F0F" w14:textId="4E71C060" w:rsidR="00732EBF" w:rsidRPr="00CD2CD8" w:rsidRDefault="00020031" w:rsidP="007E7594">
      <w:pPr>
        <w:spacing w:after="120"/>
        <w:rPr>
          <w:rFonts w:eastAsia="Times New Roman"/>
          <w:noProof/>
          <w:color w:val="000000" w:themeColor="text1"/>
        </w:rPr>
      </w:pPr>
      <w:r w:rsidRPr="00F261DB">
        <w:rPr>
          <w:rFonts w:eastAsia="Times New Roman"/>
          <w:noProof/>
          <w:color w:val="000000" w:themeColor="text1"/>
        </w:rPr>
        <w:t>For the targeted consultation on EU content requirements for batteries, 63 responses were received, primarily from companies (56 responses; 89%), followed by business associations and industry groups (3 responses; 5%), civil society organisations and NGOs (2 responses; 3%), and other stakeholders (2 responses; 3%). Among these, 15 respondents (24%) identified as part of the downstream sectors, including automotive and battery energy storage systems. Sectoral representation was diverse, with many stakeholders active across multiple segments of the battery value chain. The most frequent mentions were in battery pack and recycling (each 37%), followed by battery cell and critical raw materials (each 29%), and battery management systems (26%). Other notable sectors included cathode active materials (23%), anode active materials (18%), and various chemicals (11%) and machinery (8%) components.</w:t>
      </w:r>
    </w:p>
    <w:p w14:paraId="502B0B6E" w14:textId="4EA6741C" w:rsidR="00732EBF" w:rsidRPr="00EE38B9" w:rsidRDefault="00020031" w:rsidP="00EE38B9">
      <w:pPr>
        <w:pStyle w:val="ListParagraph"/>
        <w:keepNext/>
        <w:keepLines/>
        <w:numPr>
          <w:ilvl w:val="0"/>
          <w:numId w:val="123"/>
        </w:numPr>
        <w:spacing w:before="360" w:after="80"/>
        <w:outlineLvl w:val="0"/>
        <w:rPr>
          <w:rFonts w:eastAsia="Yu Gothic Light"/>
          <w:b/>
          <w:noProof/>
        </w:rPr>
      </w:pPr>
      <w:bookmarkStart w:id="161" w:name="_Toc212728792"/>
      <w:bookmarkStart w:id="162" w:name="_Toc212729066"/>
      <w:bookmarkStart w:id="163" w:name="_Toc212729318"/>
      <w:bookmarkStart w:id="164" w:name="_Toc215506262"/>
      <w:bookmarkStart w:id="165" w:name="_Toc222159313"/>
      <w:bookmarkStart w:id="166" w:name="_Toc222489517"/>
      <w:bookmarkStart w:id="167" w:name="_Toc222490006"/>
      <w:r w:rsidRPr="00F261DB">
        <w:rPr>
          <w:rFonts w:eastAsia="Yu Gothic Light"/>
          <w:b/>
          <w:noProof/>
        </w:rPr>
        <w:lastRenderedPageBreak/>
        <w:t xml:space="preserve">Public </w:t>
      </w:r>
      <w:r w:rsidR="00D3482D">
        <w:rPr>
          <w:rFonts w:eastAsia="Yu Gothic Light"/>
          <w:b/>
          <w:noProof/>
        </w:rPr>
        <w:t>c</w:t>
      </w:r>
      <w:r w:rsidRPr="00F261DB">
        <w:rPr>
          <w:rFonts w:eastAsia="Yu Gothic Light"/>
          <w:b/>
          <w:noProof/>
        </w:rPr>
        <w:t>onsultation</w:t>
      </w:r>
      <w:bookmarkEnd w:id="161"/>
      <w:bookmarkEnd w:id="162"/>
      <w:bookmarkEnd w:id="163"/>
      <w:bookmarkEnd w:id="164"/>
      <w:bookmarkEnd w:id="165"/>
      <w:bookmarkEnd w:id="166"/>
      <w:bookmarkEnd w:id="167"/>
    </w:p>
    <w:p w14:paraId="77050BC0" w14:textId="3A64DF81" w:rsidR="00020031" w:rsidRPr="00F261DB" w:rsidRDefault="00020031" w:rsidP="00195EC6">
      <w:pPr>
        <w:spacing w:before="240"/>
        <w:rPr>
          <w:rFonts w:eastAsia="Times New Roman"/>
          <w:noProof/>
          <w:color w:val="000000" w:themeColor="text1"/>
        </w:rPr>
      </w:pPr>
      <w:r w:rsidRPr="00EE38B9">
        <w:rPr>
          <w:rFonts w:eastAsia="Times New Roman"/>
          <w:b/>
          <w:noProof/>
          <w:color w:val="000000" w:themeColor="text1"/>
        </w:rPr>
        <w:t>2.</w:t>
      </w:r>
      <w:r w:rsidRPr="00F261DB">
        <w:rPr>
          <w:rFonts w:eastAsia="Times New Roman"/>
          <w:b/>
          <w:noProof/>
          <w:color w:val="000000" w:themeColor="text1"/>
        </w:rPr>
        <w:t>1 Public Consultation Survey</w:t>
      </w:r>
    </w:p>
    <w:p w14:paraId="0AD15553" w14:textId="77777777" w:rsidR="00020031" w:rsidRPr="00F261DB" w:rsidRDefault="00020031">
      <w:pPr>
        <w:spacing w:before="240"/>
        <w:rPr>
          <w:rFonts w:eastAsia="Times New Roman"/>
          <w:noProof/>
          <w:color w:val="000000" w:themeColor="text1"/>
        </w:rPr>
      </w:pPr>
      <w:r w:rsidRPr="00F261DB">
        <w:rPr>
          <w:rFonts w:eastAsia="Times New Roman"/>
          <w:b/>
          <w:noProof/>
          <w:color w:val="000000" w:themeColor="text1"/>
        </w:rPr>
        <w:t>Overview</w:t>
      </w:r>
    </w:p>
    <w:p w14:paraId="23140BFB" w14:textId="340CC474"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 xml:space="preserve">The public consultation survey included questions on barriers to industrial decarbonisation, permitting for industrial decarbonisation projects, identifying and promoting priority decarbonisation projects, the creation and protection of European lead markets for low-carbon and EU made products, and foreign direct investments for decarbonisation. </w:t>
      </w:r>
    </w:p>
    <w:p w14:paraId="04E301A0" w14:textId="5CD6A9B9" w:rsidR="00020031" w:rsidRPr="007E7594" w:rsidRDefault="00020031" w:rsidP="007E7594">
      <w:pPr>
        <w:spacing w:after="120"/>
        <w:rPr>
          <w:rFonts w:eastAsia="Times New Roman"/>
          <w:b/>
          <w:bCs/>
          <w:noProof/>
          <w:color w:val="000000" w:themeColor="text1"/>
        </w:rPr>
      </w:pPr>
      <w:r w:rsidRPr="007E7594">
        <w:rPr>
          <w:rFonts w:eastAsia="Times New Roman"/>
          <w:b/>
          <w:bCs/>
          <w:noProof/>
          <w:color w:val="000000" w:themeColor="text1"/>
        </w:rPr>
        <w:t>Barriers to industrial decarbonisation</w:t>
      </w:r>
    </w:p>
    <w:p w14:paraId="14C1B745" w14:textId="4EB230F6"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 xml:space="preserve">Industrial stakeholders identified several </w:t>
      </w:r>
      <w:r w:rsidRPr="007E7594">
        <w:rPr>
          <w:rFonts w:eastAsia="Times New Roman"/>
          <w:noProof/>
          <w:color w:val="000000" w:themeColor="text1"/>
        </w:rPr>
        <w:t>key barriers to decarbonisation</w:t>
      </w:r>
      <w:r w:rsidRPr="00F261DB">
        <w:rPr>
          <w:rFonts w:eastAsia="Times New Roman"/>
          <w:noProof/>
          <w:color w:val="000000" w:themeColor="text1"/>
        </w:rPr>
        <w:t>. The most widely acknowledged challenge was lack of sufficient access to affordable and decarbonised energy – 266 (85%) out of 314 respondents, followed by unfair international competition from non-EU countries (</w:t>
      </w:r>
      <w:r w:rsidR="00D942FB" w:rsidRPr="00F261DB">
        <w:rPr>
          <w:rFonts w:eastAsia="Times New Roman"/>
          <w:noProof/>
          <w:color w:val="000000" w:themeColor="text1"/>
        </w:rPr>
        <w:t>n=</w:t>
      </w:r>
      <w:r w:rsidRPr="00F261DB">
        <w:rPr>
          <w:rFonts w:eastAsia="Times New Roman"/>
          <w:noProof/>
          <w:color w:val="000000" w:themeColor="text1"/>
        </w:rPr>
        <w:t>250, 80%), decarbonisation technologies not yet being widely available or deployed at scale (</w:t>
      </w:r>
      <w:r w:rsidR="00D942FB" w:rsidRPr="00F261DB">
        <w:rPr>
          <w:rFonts w:eastAsia="Times New Roman"/>
          <w:noProof/>
          <w:color w:val="000000" w:themeColor="text1"/>
        </w:rPr>
        <w:t>n=</w:t>
      </w:r>
      <w:r w:rsidRPr="00F261DB">
        <w:rPr>
          <w:rFonts w:eastAsia="Times New Roman"/>
          <w:noProof/>
          <w:color w:val="000000" w:themeColor="text1"/>
        </w:rPr>
        <w:t>198, 63%), high operational costs (</w:t>
      </w:r>
      <w:r w:rsidR="00D942FB" w:rsidRPr="00F261DB">
        <w:rPr>
          <w:rFonts w:eastAsia="Times New Roman"/>
          <w:noProof/>
          <w:color w:val="000000" w:themeColor="text1"/>
        </w:rPr>
        <w:t>n=</w:t>
      </w:r>
      <w:r w:rsidRPr="00F261DB">
        <w:rPr>
          <w:rFonts w:eastAsia="Times New Roman"/>
          <w:noProof/>
          <w:color w:val="000000" w:themeColor="text1"/>
        </w:rPr>
        <w:t>260, 83%), high capital costs (</w:t>
      </w:r>
      <w:r w:rsidR="00D942FB" w:rsidRPr="00F261DB">
        <w:rPr>
          <w:rFonts w:eastAsia="Times New Roman"/>
          <w:noProof/>
          <w:color w:val="000000" w:themeColor="text1"/>
        </w:rPr>
        <w:t>n=</w:t>
      </w:r>
      <w:r w:rsidRPr="00F261DB">
        <w:rPr>
          <w:rFonts w:eastAsia="Times New Roman"/>
          <w:noProof/>
          <w:color w:val="000000" w:themeColor="text1"/>
        </w:rPr>
        <w:t>251, 80%) and high carbon abatement costs (</w:t>
      </w:r>
      <w:r w:rsidR="00D942FB" w:rsidRPr="00F261DB">
        <w:rPr>
          <w:rFonts w:eastAsia="Times New Roman"/>
          <w:noProof/>
          <w:color w:val="000000" w:themeColor="text1"/>
        </w:rPr>
        <w:t>n=</w:t>
      </w:r>
      <w:r w:rsidRPr="00F261DB">
        <w:rPr>
          <w:rFonts w:eastAsia="Times New Roman"/>
          <w:noProof/>
          <w:color w:val="000000" w:themeColor="text1"/>
        </w:rPr>
        <w:t>251,</w:t>
      </w:r>
      <w:r w:rsidR="00A14EC8">
        <w:rPr>
          <w:rFonts w:eastAsia="Times New Roman"/>
          <w:noProof/>
          <w:color w:val="000000" w:themeColor="text1"/>
        </w:rPr>
        <w:t xml:space="preserve"> </w:t>
      </w:r>
      <w:r w:rsidRPr="00F261DB">
        <w:rPr>
          <w:rFonts w:eastAsia="Times New Roman"/>
          <w:noProof/>
          <w:color w:val="000000" w:themeColor="text1"/>
        </w:rPr>
        <w:t xml:space="preserve">80%) Permitting complexity and duration was perceived as a major obstacle by 256 respondents (82%). Furthermore, 146 respondents (46%) agreed that </w:t>
      </w:r>
      <w:r w:rsidRPr="00F261DB">
        <w:rPr>
          <w:rFonts w:eastAsia="Times New Roman"/>
          <w:b/>
          <w:noProof/>
          <w:color w:val="000000" w:themeColor="text1"/>
        </w:rPr>
        <w:t xml:space="preserve">SMEs face greater decarbonisation barriers than larger companies, </w:t>
      </w:r>
      <w:r w:rsidRPr="00F261DB">
        <w:rPr>
          <w:rFonts w:eastAsia="Times New Roman"/>
          <w:noProof/>
          <w:color w:val="000000" w:themeColor="text1"/>
        </w:rPr>
        <w:t>of which,</w:t>
      </w:r>
      <w:r w:rsidRPr="00F261DB">
        <w:rPr>
          <w:rFonts w:eastAsia="Times New Roman"/>
          <w:b/>
          <w:noProof/>
          <w:color w:val="000000" w:themeColor="text1"/>
        </w:rPr>
        <w:t xml:space="preserve"> </w:t>
      </w:r>
      <w:r w:rsidRPr="00F261DB">
        <w:rPr>
          <w:rFonts w:eastAsia="Times New Roman"/>
          <w:noProof/>
          <w:color w:val="000000" w:themeColor="text1"/>
        </w:rPr>
        <w:t xml:space="preserve">52% (91 out of 176) were SME respondents. </w:t>
      </w:r>
    </w:p>
    <w:p w14:paraId="66A08504" w14:textId="52B0DC4A" w:rsidR="00020031" w:rsidRPr="00F261DB" w:rsidRDefault="00020031" w:rsidP="007E7594">
      <w:pPr>
        <w:spacing w:after="120"/>
        <w:rPr>
          <w:rFonts w:eastAsia="Times New Roman"/>
          <w:noProof/>
          <w:color w:val="000000" w:themeColor="text1"/>
        </w:rPr>
      </w:pPr>
      <w:r w:rsidRPr="00F261DB">
        <w:rPr>
          <w:rFonts w:eastAsia="Times New Roman"/>
          <w:b/>
          <w:noProof/>
          <w:color w:val="000000" w:themeColor="text1"/>
        </w:rPr>
        <w:t xml:space="preserve">Streamlining and </w:t>
      </w:r>
      <w:r w:rsidRPr="007E7594">
        <w:rPr>
          <w:rFonts w:eastAsia="Times New Roman"/>
          <w:b/>
          <w:bCs/>
          <w:noProof/>
          <w:color w:val="000000" w:themeColor="text1"/>
        </w:rPr>
        <w:t>speeding</w:t>
      </w:r>
      <w:r w:rsidRPr="00F261DB">
        <w:rPr>
          <w:rFonts w:eastAsia="Times New Roman"/>
          <w:b/>
          <w:noProof/>
          <w:color w:val="000000" w:themeColor="text1"/>
        </w:rPr>
        <w:t>-up permitting procedures</w:t>
      </w:r>
    </w:p>
    <w:p w14:paraId="423D20C7" w14:textId="3A52EDD8" w:rsidR="00020031" w:rsidRPr="00F261DB" w:rsidRDefault="00020031" w:rsidP="00195EC6">
      <w:pPr>
        <w:rPr>
          <w:rFonts w:eastAsia="Times New Roman"/>
          <w:noProof/>
          <w:color w:val="000000" w:themeColor="text1"/>
        </w:rPr>
      </w:pPr>
      <w:r w:rsidRPr="00F261DB">
        <w:rPr>
          <w:rFonts w:eastAsia="Times New Roman"/>
          <w:noProof/>
          <w:color w:val="000000" w:themeColor="text1"/>
        </w:rPr>
        <w:t xml:space="preserve">Stakeholders identified the </w:t>
      </w:r>
      <w:r w:rsidRPr="00F261DB">
        <w:rPr>
          <w:rFonts w:eastAsia="Times New Roman"/>
          <w:b/>
          <w:noProof/>
          <w:color w:val="000000" w:themeColor="text1"/>
        </w:rPr>
        <w:t xml:space="preserve">permitting </w:t>
      </w:r>
      <w:r w:rsidRPr="00F261DB">
        <w:rPr>
          <w:rFonts w:eastAsia="Times New Roman"/>
          <w:noProof/>
          <w:color w:val="000000" w:themeColor="text1"/>
        </w:rPr>
        <w:t>process as a major bottleneck to advancing industrial decarbonisation in the EU. Among all identified issues, the fragmented regulatory landscape and complexity of the process stood out as the most significant (</w:t>
      </w:r>
      <w:r w:rsidR="00F0274B" w:rsidRPr="00F261DB">
        <w:rPr>
          <w:rFonts w:eastAsia="Times New Roman"/>
          <w:noProof/>
          <w:color w:val="000000" w:themeColor="text1"/>
        </w:rPr>
        <w:t>n=</w:t>
      </w:r>
      <w:r w:rsidRPr="00F261DB">
        <w:rPr>
          <w:rFonts w:eastAsia="Times New Roman"/>
          <w:noProof/>
          <w:color w:val="000000" w:themeColor="text1"/>
        </w:rPr>
        <w:t>187,</w:t>
      </w:r>
      <w:r w:rsidR="00F0274B" w:rsidRPr="00F261DB">
        <w:rPr>
          <w:rFonts w:eastAsia="Times New Roman"/>
          <w:noProof/>
          <w:color w:val="000000" w:themeColor="text1"/>
        </w:rPr>
        <w:t xml:space="preserve"> </w:t>
      </w:r>
      <w:r w:rsidRPr="00F261DB">
        <w:rPr>
          <w:rFonts w:eastAsia="Times New Roman"/>
          <w:noProof/>
          <w:color w:val="000000" w:themeColor="text1"/>
        </w:rPr>
        <w:t xml:space="preserve">60%). Of the 314 stakeholders surveyed, 218 (69%) agreed that </w:t>
      </w:r>
      <w:r w:rsidRPr="00F261DB">
        <w:rPr>
          <w:rFonts w:eastAsia="Times New Roman"/>
          <w:b/>
          <w:noProof/>
          <w:color w:val="000000" w:themeColor="text1"/>
        </w:rPr>
        <w:t>permitting challenges are widespread across Member States</w:t>
      </w:r>
      <w:r w:rsidRPr="00F261DB">
        <w:rPr>
          <w:rFonts w:eastAsia="Times New Roman"/>
          <w:noProof/>
          <w:color w:val="000000" w:themeColor="text1"/>
        </w:rPr>
        <w:t xml:space="preserve">. Furthermore, 222 respondents (71%) agreed that permitting </w:t>
      </w:r>
      <w:r w:rsidRPr="00F261DB">
        <w:rPr>
          <w:rFonts w:eastAsia="Times New Roman"/>
          <w:b/>
          <w:noProof/>
          <w:color w:val="000000" w:themeColor="text1"/>
        </w:rPr>
        <w:t>challenges differ between Member States</w:t>
      </w:r>
      <w:r w:rsidRPr="00F261DB">
        <w:rPr>
          <w:rFonts w:eastAsia="Times New Roman"/>
          <w:noProof/>
          <w:color w:val="000000" w:themeColor="text1"/>
        </w:rPr>
        <w:t xml:space="preserve">, highlighting fragmentation and national-level variation in implementation. A large majority—266 out of 314 respondents (85%)—agreed that </w:t>
      </w:r>
      <w:r w:rsidRPr="00F261DB">
        <w:rPr>
          <w:rFonts w:eastAsia="Times New Roman"/>
          <w:b/>
          <w:noProof/>
          <w:color w:val="000000" w:themeColor="text1"/>
        </w:rPr>
        <w:t>decarbonising energy-intensive industries requires addressing significant cross-border challenges</w:t>
      </w:r>
      <w:r w:rsidRPr="00F261DB">
        <w:rPr>
          <w:rFonts w:eastAsia="Times New Roman"/>
          <w:noProof/>
          <w:color w:val="000000" w:themeColor="text1"/>
        </w:rPr>
        <w:t>.</w:t>
      </w:r>
    </w:p>
    <w:p w14:paraId="3E1F3DE5" w14:textId="3616EE8C" w:rsidR="00020031" w:rsidRPr="00F261DB" w:rsidRDefault="00020031" w:rsidP="00195EC6">
      <w:pPr>
        <w:spacing w:before="240"/>
        <w:rPr>
          <w:rFonts w:eastAsia="Times New Roman"/>
          <w:noProof/>
          <w:color w:val="000000" w:themeColor="text1"/>
        </w:rPr>
      </w:pPr>
      <w:r w:rsidRPr="00F261DB">
        <w:rPr>
          <w:rFonts w:eastAsia="Times New Roman"/>
          <w:b/>
          <w:noProof/>
          <w:color w:val="000000" w:themeColor="text1"/>
        </w:rPr>
        <w:t>Based on the responses, the most reported permitting length across Member States falls within the range of 12 to 24 months.</w:t>
      </w:r>
      <w:r w:rsidRPr="00F261DB">
        <w:rPr>
          <w:rFonts w:eastAsia="Times New Roman"/>
          <w:noProof/>
          <w:color w:val="000000" w:themeColor="text1"/>
        </w:rPr>
        <w:t xml:space="preserve"> </w:t>
      </w:r>
      <w:r w:rsidRPr="00F261DB">
        <w:rPr>
          <w:rFonts w:eastAsia="Times New Roman"/>
          <w:b/>
          <w:noProof/>
          <w:color w:val="000000" w:themeColor="text1"/>
        </w:rPr>
        <w:t xml:space="preserve">Grid access timelines </w:t>
      </w:r>
      <w:r w:rsidRPr="00F261DB">
        <w:rPr>
          <w:rFonts w:eastAsia="Times New Roman"/>
          <w:noProof/>
          <w:color w:val="000000" w:themeColor="text1"/>
        </w:rPr>
        <w:t xml:space="preserve">vary by sector, with durations ranging from 15 months (pulp &amp; paper, ceramics, lime) to </w:t>
      </w:r>
      <w:r w:rsidR="42ED7141" w:rsidRPr="00F261DB">
        <w:rPr>
          <w:rFonts w:eastAsia="Times New Roman"/>
          <w:noProof/>
          <w:color w:val="000000" w:themeColor="text1"/>
        </w:rPr>
        <w:t>24</w:t>
      </w:r>
      <w:r w:rsidRPr="00F261DB">
        <w:rPr>
          <w:rFonts w:eastAsia="Times New Roman"/>
          <w:noProof/>
          <w:color w:val="000000" w:themeColor="text1"/>
        </w:rPr>
        <w:t xml:space="preserve"> months in automotive. Energy and cement sectors face long waits of 80 to 100 and 40 to 80 months, respectively, while construction, waste management, and fertilisers often experience delays of 60 months or more. </w:t>
      </w:r>
    </w:p>
    <w:p w14:paraId="08D5C666" w14:textId="3B897597" w:rsidR="00C23DA5" w:rsidRPr="00F261DB" w:rsidRDefault="00020031" w:rsidP="00195EC6">
      <w:pPr>
        <w:spacing w:before="240"/>
        <w:rPr>
          <w:rFonts w:eastAsia="Times New Roman"/>
          <w:noProof/>
          <w:color w:val="000000" w:themeColor="text1"/>
        </w:rPr>
      </w:pPr>
      <w:r w:rsidRPr="00F261DB">
        <w:rPr>
          <w:rFonts w:eastAsia="Times New Roman"/>
          <w:b/>
          <w:noProof/>
          <w:color w:val="000000" w:themeColor="text1"/>
        </w:rPr>
        <w:t>When asked about the reasonable maximum timeframe</w:t>
      </w:r>
      <w:r w:rsidRPr="00F261DB">
        <w:rPr>
          <w:rFonts w:eastAsia="Times New Roman"/>
          <w:noProof/>
          <w:color w:val="000000" w:themeColor="text1"/>
        </w:rPr>
        <w:t xml:space="preserve"> for an industrial decarbonisation project between submission</w:t>
      </w:r>
      <w:r w:rsidRPr="00F261DB">
        <w:rPr>
          <w:rFonts w:eastAsia="Times New Roman"/>
          <w:noProof/>
        </w:rPr>
        <w:t xml:space="preserve"> of the permit application to the permit being granted</w:t>
      </w:r>
      <w:r w:rsidRPr="00F261DB">
        <w:rPr>
          <w:rFonts w:eastAsia="Times New Roman"/>
          <w:noProof/>
          <w:color w:val="000000" w:themeColor="text1"/>
        </w:rPr>
        <w:t xml:space="preserve"> was identified by 56 (18%) respondents as 12 months, followed by 53 (17%) suggesting 6 months.</w:t>
      </w:r>
      <w:r w:rsidR="006A5460" w:rsidRPr="00CD2CD8">
        <w:rPr>
          <w:rFonts w:eastAsia="Times New Roman"/>
          <w:noProof/>
          <w:color w:val="000000" w:themeColor="text1"/>
        </w:rPr>
        <w:t xml:space="preserve"> Other 65% </w:t>
      </w:r>
      <w:r w:rsidR="00163C59" w:rsidRPr="00CD2CD8">
        <w:rPr>
          <w:rFonts w:eastAsia="Times New Roman"/>
          <w:noProof/>
          <w:color w:val="000000" w:themeColor="text1"/>
        </w:rPr>
        <w:t xml:space="preserve">of respondents </w:t>
      </w:r>
      <w:r w:rsidR="006A5460" w:rsidRPr="00CD2CD8">
        <w:rPr>
          <w:rFonts w:eastAsia="Times New Roman"/>
          <w:noProof/>
          <w:color w:val="000000" w:themeColor="text1"/>
        </w:rPr>
        <w:t xml:space="preserve">did not </w:t>
      </w:r>
      <w:r w:rsidR="00163C59" w:rsidRPr="00CD2CD8">
        <w:rPr>
          <w:rFonts w:eastAsia="Times New Roman"/>
          <w:noProof/>
          <w:color w:val="000000" w:themeColor="text1"/>
        </w:rPr>
        <w:t>provide an answer</w:t>
      </w:r>
      <w:r w:rsidR="006A5460" w:rsidRPr="00CD2CD8">
        <w:rPr>
          <w:rFonts w:eastAsia="Times New Roman"/>
          <w:noProof/>
          <w:color w:val="000000" w:themeColor="text1"/>
        </w:rPr>
        <w:t>.</w:t>
      </w:r>
      <w:r w:rsidRPr="00F261DB">
        <w:rPr>
          <w:rFonts w:eastAsia="Times New Roman"/>
          <w:noProof/>
          <w:color w:val="000000" w:themeColor="text1"/>
        </w:rPr>
        <w:t xml:space="preserve"> Respondents pointed to Environmental Permits (158 respondents, 50%), Building or Construction Permits (</w:t>
      </w:r>
      <w:r w:rsidR="00412D74" w:rsidRPr="00F261DB">
        <w:rPr>
          <w:rFonts w:eastAsia="Times New Roman"/>
          <w:noProof/>
          <w:color w:val="000000" w:themeColor="text1"/>
        </w:rPr>
        <w:t>n=</w:t>
      </w:r>
      <w:r w:rsidRPr="00F261DB">
        <w:rPr>
          <w:rFonts w:eastAsia="Times New Roman"/>
          <w:noProof/>
          <w:color w:val="000000" w:themeColor="text1"/>
        </w:rPr>
        <w:t>78, 25%), Grid Connection Permits (</w:t>
      </w:r>
      <w:r w:rsidR="00412D74" w:rsidRPr="00F261DB">
        <w:rPr>
          <w:rFonts w:eastAsia="Times New Roman"/>
          <w:noProof/>
          <w:color w:val="000000" w:themeColor="text1"/>
        </w:rPr>
        <w:t>n=</w:t>
      </w:r>
      <w:r w:rsidRPr="00F261DB">
        <w:rPr>
          <w:rFonts w:eastAsia="Times New Roman"/>
          <w:noProof/>
          <w:color w:val="000000" w:themeColor="text1"/>
        </w:rPr>
        <w:t>45, 14%) and Health &amp; Safety Permits (</w:t>
      </w:r>
      <w:r w:rsidR="00412D74" w:rsidRPr="00F261DB">
        <w:rPr>
          <w:rFonts w:eastAsia="Times New Roman"/>
          <w:noProof/>
          <w:color w:val="000000" w:themeColor="text1"/>
        </w:rPr>
        <w:t>n=</w:t>
      </w:r>
      <w:r w:rsidRPr="00F261DB">
        <w:rPr>
          <w:rFonts w:eastAsia="Times New Roman"/>
          <w:noProof/>
          <w:color w:val="000000" w:themeColor="text1"/>
        </w:rPr>
        <w:t xml:space="preserve">33, 11%) as </w:t>
      </w:r>
      <w:r w:rsidRPr="00F261DB">
        <w:rPr>
          <w:rFonts w:eastAsia="Times New Roman"/>
          <w:b/>
          <w:noProof/>
          <w:color w:val="000000" w:themeColor="text1"/>
        </w:rPr>
        <w:t xml:space="preserve">the main types of permits relevant to industrial decarbonisation projects. </w:t>
      </w:r>
    </w:p>
    <w:p w14:paraId="56B7D658" w14:textId="52E6E4E2" w:rsidR="00020031" w:rsidRPr="00F261DB" w:rsidRDefault="00020031" w:rsidP="00EE38B9">
      <w:pPr>
        <w:spacing w:before="240"/>
        <w:rPr>
          <w:rFonts w:eastAsia="Times New Roman"/>
          <w:noProof/>
          <w:color w:val="000000" w:themeColor="text1"/>
          <w:u w:val="single"/>
        </w:rPr>
      </w:pPr>
      <w:r w:rsidRPr="00F261DB">
        <w:rPr>
          <w:rFonts w:eastAsia="Times New Roman"/>
          <w:noProof/>
          <w:color w:val="000000" w:themeColor="text1"/>
        </w:rPr>
        <w:t xml:space="preserve">Permitting at the </w:t>
      </w:r>
      <w:r w:rsidRPr="00F261DB">
        <w:rPr>
          <w:rFonts w:eastAsia="Times New Roman"/>
          <w:b/>
          <w:noProof/>
          <w:color w:val="000000" w:themeColor="text1"/>
        </w:rPr>
        <w:t xml:space="preserve">geographical cluster </w:t>
      </w:r>
      <w:r w:rsidRPr="00F261DB">
        <w:rPr>
          <w:rFonts w:eastAsia="Times New Roman"/>
          <w:noProof/>
          <w:color w:val="000000" w:themeColor="text1"/>
        </w:rPr>
        <w:t xml:space="preserve">level received support from 210 respondents (67%) while the </w:t>
      </w:r>
      <w:r w:rsidRPr="00F261DB">
        <w:rPr>
          <w:rFonts w:eastAsia="Times New Roman"/>
          <w:b/>
          <w:noProof/>
          <w:color w:val="000000" w:themeColor="text1"/>
        </w:rPr>
        <w:t>use of data repositories</w:t>
      </w:r>
      <w:r w:rsidRPr="00F261DB">
        <w:rPr>
          <w:rFonts w:eastAsia="Times New Roman"/>
          <w:noProof/>
          <w:color w:val="000000" w:themeColor="text1"/>
        </w:rPr>
        <w:t xml:space="preserve"> and spaces to improve permitting processes by re-using relevant datasets was supported by 196 respondents (62%). S</w:t>
      </w:r>
      <w:r w:rsidRPr="00F261DB">
        <w:rPr>
          <w:rFonts w:eastAsia="Times New Roman"/>
          <w:b/>
          <w:noProof/>
          <w:color w:val="000000" w:themeColor="text1"/>
        </w:rPr>
        <w:t>implifying EU legislation</w:t>
      </w:r>
      <w:r w:rsidRPr="00F261DB">
        <w:rPr>
          <w:rFonts w:eastAsia="Times New Roman"/>
          <w:noProof/>
          <w:color w:val="000000" w:themeColor="text1"/>
        </w:rPr>
        <w:t xml:space="preserve"> to facilitate industrial permitting also received strong endorsement (</w:t>
      </w:r>
      <w:r w:rsidR="00412D74" w:rsidRPr="00F261DB">
        <w:rPr>
          <w:rFonts w:eastAsia="Times New Roman"/>
          <w:noProof/>
          <w:color w:val="000000" w:themeColor="text1"/>
        </w:rPr>
        <w:t>n=</w:t>
      </w:r>
      <w:r w:rsidRPr="00F261DB">
        <w:rPr>
          <w:rFonts w:eastAsia="Times New Roman"/>
          <w:noProof/>
          <w:color w:val="000000" w:themeColor="text1"/>
        </w:rPr>
        <w:t>258, 82%).</w:t>
      </w:r>
    </w:p>
    <w:p w14:paraId="65A6C1BD" w14:textId="70716743"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lastRenderedPageBreak/>
        <w:t xml:space="preserve">From the received answers, several </w:t>
      </w:r>
      <w:r w:rsidRPr="00F261DB">
        <w:rPr>
          <w:rFonts w:eastAsia="Times New Roman"/>
          <w:b/>
          <w:noProof/>
          <w:color w:val="000000" w:themeColor="text1"/>
        </w:rPr>
        <w:t>preferred measures for speeding up the permitting processes</w:t>
      </w:r>
      <w:r w:rsidRPr="00F261DB">
        <w:rPr>
          <w:rFonts w:eastAsia="Times New Roman"/>
          <w:noProof/>
          <w:color w:val="000000" w:themeColor="text1"/>
        </w:rPr>
        <w:t xml:space="preserve"> were identified: single points of contact (136 out of 174 answers), time limits for the permit-granting process (</w:t>
      </w:r>
      <w:r w:rsidR="00412D74" w:rsidRPr="00F261DB">
        <w:rPr>
          <w:rFonts w:eastAsia="Times New Roman"/>
          <w:noProof/>
          <w:color w:val="000000" w:themeColor="text1"/>
        </w:rPr>
        <w:t>n=</w:t>
      </w:r>
      <w:r w:rsidRPr="00F261DB">
        <w:rPr>
          <w:rFonts w:eastAsia="Times New Roman"/>
          <w:noProof/>
          <w:color w:val="000000" w:themeColor="text1"/>
        </w:rPr>
        <w:t>149, 81%), time limits for the environmental impact assessment (</w:t>
      </w:r>
      <w:r w:rsidR="00412D74" w:rsidRPr="00F261DB">
        <w:rPr>
          <w:rFonts w:eastAsia="Times New Roman"/>
          <w:noProof/>
          <w:color w:val="000000" w:themeColor="text1"/>
        </w:rPr>
        <w:t>n=</w:t>
      </w:r>
      <w:r w:rsidRPr="00F261DB">
        <w:rPr>
          <w:rFonts w:eastAsia="Times New Roman"/>
          <w:noProof/>
          <w:color w:val="000000" w:themeColor="text1"/>
        </w:rPr>
        <w:t>144, 79%), joint environmental assessment when required under multiple legal acts (</w:t>
      </w:r>
      <w:r w:rsidR="00412D74" w:rsidRPr="00F261DB">
        <w:rPr>
          <w:rFonts w:eastAsia="Times New Roman"/>
          <w:noProof/>
          <w:color w:val="000000" w:themeColor="text1"/>
        </w:rPr>
        <w:t>n=</w:t>
      </w:r>
      <w:r w:rsidRPr="00F261DB">
        <w:rPr>
          <w:rFonts w:eastAsia="Times New Roman"/>
          <w:noProof/>
          <w:color w:val="000000" w:themeColor="text1"/>
        </w:rPr>
        <w:t>133, 76%), tacit approvals for certain administrative decisions (</w:t>
      </w:r>
      <w:r w:rsidR="00412D74" w:rsidRPr="00F261DB">
        <w:rPr>
          <w:rFonts w:eastAsia="Times New Roman"/>
          <w:noProof/>
          <w:color w:val="000000" w:themeColor="text1"/>
        </w:rPr>
        <w:t>n=</w:t>
      </w:r>
      <w:r w:rsidRPr="00F261DB">
        <w:rPr>
          <w:rFonts w:eastAsia="Times New Roman"/>
          <w:noProof/>
          <w:color w:val="000000" w:themeColor="text1"/>
        </w:rPr>
        <w:t xml:space="preserve">144, </w:t>
      </w:r>
      <w:r w:rsidR="70AE1589" w:rsidRPr="00F261DB">
        <w:rPr>
          <w:rFonts w:eastAsia="Times New Roman"/>
          <w:noProof/>
          <w:color w:val="000000" w:themeColor="text1"/>
        </w:rPr>
        <w:t>83</w:t>
      </w:r>
      <w:r w:rsidRPr="00F261DB">
        <w:rPr>
          <w:rFonts w:eastAsia="Times New Roman"/>
          <w:noProof/>
          <w:color w:val="000000" w:themeColor="text1"/>
        </w:rPr>
        <w:t>%), overriding public interest status when it exists in national law (</w:t>
      </w:r>
      <w:r w:rsidR="00412D74" w:rsidRPr="00F261DB">
        <w:rPr>
          <w:rFonts w:eastAsia="Times New Roman"/>
          <w:noProof/>
          <w:color w:val="000000" w:themeColor="text1"/>
        </w:rPr>
        <w:t>n=</w:t>
      </w:r>
      <w:r w:rsidRPr="00F261DB">
        <w:rPr>
          <w:rFonts w:eastAsia="Times New Roman"/>
          <w:noProof/>
          <w:color w:val="000000" w:themeColor="text1"/>
        </w:rPr>
        <w:t>108, 62%), fully digitalised processes (</w:t>
      </w:r>
      <w:r w:rsidR="00412D74" w:rsidRPr="00F261DB">
        <w:rPr>
          <w:rFonts w:eastAsia="Times New Roman"/>
          <w:noProof/>
          <w:color w:val="000000" w:themeColor="text1"/>
        </w:rPr>
        <w:t>n=</w:t>
      </w:r>
      <w:r w:rsidRPr="00F261DB">
        <w:rPr>
          <w:rFonts w:eastAsia="Times New Roman"/>
          <w:noProof/>
          <w:color w:val="000000" w:themeColor="text1"/>
        </w:rPr>
        <w:t>114, 64%), and improved administrative cooperation via digital tools (</w:t>
      </w:r>
      <w:r w:rsidR="00412D74" w:rsidRPr="00F261DB">
        <w:rPr>
          <w:rFonts w:eastAsia="Times New Roman"/>
          <w:noProof/>
          <w:color w:val="000000" w:themeColor="text1"/>
        </w:rPr>
        <w:t>n=</w:t>
      </w:r>
      <w:r w:rsidRPr="00F261DB">
        <w:rPr>
          <w:rFonts w:eastAsia="Times New Roman"/>
          <w:noProof/>
          <w:color w:val="000000" w:themeColor="text1"/>
        </w:rPr>
        <w:t>114, 64%).</w:t>
      </w:r>
    </w:p>
    <w:p w14:paraId="0174C043" w14:textId="65FFF2D3" w:rsidR="00020031" w:rsidRPr="00F261DB" w:rsidRDefault="00020031" w:rsidP="007E7594">
      <w:pPr>
        <w:spacing w:after="120"/>
        <w:rPr>
          <w:rFonts w:eastAsia="Times New Roman"/>
          <w:noProof/>
          <w:color w:val="000000" w:themeColor="text1"/>
        </w:rPr>
      </w:pPr>
      <w:r w:rsidRPr="00F261DB">
        <w:rPr>
          <w:rFonts w:eastAsia="Times New Roman"/>
          <w:b/>
          <w:noProof/>
          <w:color w:val="000000" w:themeColor="text1"/>
        </w:rPr>
        <w:t xml:space="preserve">Identifying and </w:t>
      </w:r>
      <w:r w:rsidRPr="007E7594">
        <w:rPr>
          <w:rFonts w:eastAsia="Times New Roman"/>
          <w:b/>
          <w:bCs/>
          <w:noProof/>
          <w:color w:val="000000" w:themeColor="text1"/>
        </w:rPr>
        <w:t>promoting</w:t>
      </w:r>
      <w:r w:rsidRPr="00F261DB">
        <w:rPr>
          <w:rFonts w:eastAsia="Times New Roman"/>
          <w:b/>
          <w:noProof/>
          <w:color w:val="000000" w:themeColor="text1"/>
        </w:rPr>
        <w:t xml:space="preserve"> priority projects</w:t>
      </w:r>
    </w:p>
    <w:p w14:paraId="685D92CE" w14:textId="1D41FF0F"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The majority of respondents agreed that limited access to private funding (194 out of 314, 62%), public funding (</w:t>
      </w:r>
      <w:r w:rsidR="00982214" w:rsidRPr="00F261DB">
        <w:rPr>
          <w:rFonts w:eastAsia="Times New Roman"/>
          <w:noProof/>
          <w:color w:val="000000" w:themeColor="text1"/>
        </w:rPr>
        <w:t>n=</w:t>
      </w:r>
      <w:r w:rsidRPr="00F261DB">
        <w:rPr>
          <w:rFonts w:eastAsia="Times New Roman"/>
          <w:noProof/>
          <w:color w:val="000000" w:themeColor="text1"/>
        </w:rPr>
        <w:t>245, 78%), and transition finance (</w:t>
      </w:r>
      <w:r w:rsidR="00982214" w:rsidRPr="00F261DB">
        <w:rPr>
          <w:rFonts w:eastAsia="Times New Roman"/>
          <w:noProof/>
          <w:color w:val="000000" w:themeColor="text1"/>
        </w:rPr>
        <w:t>n=</w:t>
      </w:r>
      <w:r w:rsidRPr="00F261DB">
        <w:rPr>
          <w:rFonts w:eastAsia="Times New Roman"/>
          <w:noProof/>
          <w:color w:val="000000" w:themeColor="text1"/>
        </w:rPr>
        <w:t xml:space="preserve">196, 62%) is a </w:t>
      </w:r>
      <w:r w:rsidRPr="00F261DB">
        <w:rPr>
          <w:rFonts w:eastAsia="Times New Roman"/>
          <w:b/>
          <w:noProof/>
          <w:color w:val="000000" w:themeColor="text1"/>
        </w:rPr>
        <w:t>major barrier to industrial decarbonisation.</w:t>
      </w:r>
    </w:p>
    <w:p w14:paraId="68D5D3C2" w14:textId="3B9A8F54"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 xml:space="preserve">On </w:t>
      </w:r>
      <w:r w:rsidRPr="00F261DB">
        <w:rPr>
          <w:rFonts w:eastAsia="Times New Roman"/>
          <w:b/>
          <w:noProof/>
          <w:color w:val="000000" w:themeColor="text1"/>
        </w:rPr>
        <w:t>risks associated with investing in industrial decarbonisation projects</w:t>
      </w:r>
      <w:r w:rsidRPr="00F261DB">
        <w:rPr>
          <w:rFonts w:eastAsia="Times New Roman"/>
          <w:noProof/>
          <w:color w:val="000000" w:themeColor="text1"/>
        </w:rPr>
        <w:t>, market uncertainty was identified as the top risk (269,</w:t>
      </w:r>
      <w:r w:rsidR="00A14EC8">
        <w:rPr>
          <w:rFonts w:eastAsia="Times New Roman"/>
          <w:noProof/>
          <w:color w:val="000000" w:themeColor="text1"/>
        </w:rPr>
        <w:t xml:space="preserve"> </w:t>
      </w:r>
      <w:r w:rsidRPr="00F261DB">
        <w:rPr>
          <w:rFonts w:eastAsia="Times New Roman"/>
          <w:noProof/>
          <w:color w:val="000000" w:themeColor="text1"/>
        </w:rPr>
        <w:t>86%), followed by regulatory uncertainty (</w:t>
      </w:r>
      <w:r w:rsidR="00982214" w:rsidRPr="00F261DB">
        <w:rPr>
          <w:rFonts w:eastAsia="Times New Roman"/>
          <w:noProof/>
          <w:color w:val="000000" w:themeColor="text1"/>
        </w:rPr>
        <w:t>n=</w:t>
      </w:r>
      <w:r w:rsidRPr="00F261DB">
        <w:rPr>
          <w:rFonts w:eastAsia="Times New Roman"/>
          <w:noProof/>
          <w:color w:val="000000" w:themeColor="text1"/>
        </w:rPr>
        <w:t>260, 83%) and financial risk (</w:t>
      </w:r>
      <w:r w:rsidR="00982214" w:rsidRPr="00F261DB">
        <w:rPr>
          <w:rFonts w:eastAsia="Times New Roman"/>
          <w:noProof/>
          <w:color w:val="000000" w:themeColor="text1"/>
        </w:rPr>
        <w:t>n=</w:t>
      </w:r>
      <w:r w:rsidRPr="00F261DB">
        <w:rPr>
          <w:rFonts w:eastAsia="Times New Roman"/>
          <w:noProof/>
          <w:color w:val="000000" w:themeColor="text1"/>
        </w:rPr>
        <w:t xml:space="preserve">243, 77%). </w:t>
      </w:r>
    </w:p>
    <w:p w14:paraId="6E299B08" w14:textId="378D300E"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63% of respondents (197 out of 314) supported the</w:t>
      </w:r>
      <w:r w:rsidRPr="00F261DB">
        <w:rPr>
          <w:rFonts w:eastAsia="Times New Roman"/>
          <w:b/>
          <w:noProof/>
          <w:color w:val="000000" w:themeColor="text1"/>
        </w:rPr>
        <w:t xml:space="preserve"> introduction of a category of priority industrial decarbonisation projects</w:t>
      </w:r>
      <w:r w:rsidRPr="00F261DB">
        <w:rPr>
          <w:rFonts w:eastAsia="Times New Roman"/>
          <w:noProof/>
          <w:color w:val="000000" w:themeColor="text1"/>
        </w:rPr>
        <w:t xml:space="preserve">, </w:t>
      </w:r>
      <w:r w:rsidR="00220B91">
        <w:rPr>
          <w:rFonts w:eastAsia="Times New Roman"/>
          <w:noProof/>
          <w:color w:val="000000" w:themeColor="text1"/>
        </w:rPr>
        <w:t>with</w:t>
      </w:r>
      <w:r w:rsidRPr="00F261DB">
        <w:rPr>
          <w:rFonts w:eastAsia="Times New Roman"/>
          <w:noProof/>
          <w:color w:val="000000" w:themeColor="text1"/>
        </w:rPr>
        <w:t xml:space="preserve"> targeted benefits. The preferred criteria for identifying priority projects were contribution to industrial decarbonisation (</w:t>
      </w:r>
      <w:r w:rsidR="00220B91">
        <w:rPr>
          <w:rFonts w:eastAsia="Times New Roman"/>
          <w:noProof/>
          <w:color w:val="000000" w:themeColor="text1"/>
        </w:rPr>
        <w:t>n=</w:t>
      </w:r>
      <w:r w:rsidRPr="00F261DB">
        <w:rPr>
          <w:rFonts w:eastAsia="Times New Roman"/>
          <w:noProof/>
          <w:color w:val="000000" w:themeColor="text1"/>
        </w:rPr>
        <w:t>100, 32%), to strategic value chains (</w:t>
      </w:r>
      <w:r w:rsidR="00982214" w:rsidRPr="00F261DB">
        <w:rPr>
          <w:rFonts w:eastAsia="Times New Roman"/>
          <w:noProof/>
          <w:color w:val="000000" w:themeColor="text1"/>
        </w:rPr>
        <w:t>n=</w:t>
      </w:r>
      <w:r w:rsidRPr="00F261DB">
        <w:rPr>
          <w:rFonts w:eastAsia="Times New Roman"/>
          <w:noProof/>
          <w:color w:val="000000" w:themeColor="text1"/>
        </w:rPr>
        <w:t>64, 20%), to industrial electrification (</w:t>
      </w:r>
      <w:r w:rsidR="00982214" w:rsidRPr="00F261DB">
        <w:rPr>
          <w:rFonts w:eastAsia="Times New Roman"/>
          <w:noProof/>
          <w:color w:val="000000" w:themeColor="text1"/>
        </w:rPr>
        <w:t>n=</w:t>
      </w:r>
      <w:r w:rsidRPr="00F261DB">
        <w:rPr>
          <w:rFonts w:eastAsia="Times New Roman"/>
          <w:noProof/>
          <w:color w:val="000000" w:themeColor="text1"/>
        </w:rPr>
        <w:t>9, 16%), economic importance (</w:t>
      </w:r>
      <w:r w:rsidR="00982214" w:rsidRPr="00F261DB">
        <w:rPr>
          <w:rFonts w:eastAsia="Times New Roman"/>
          <w:noProof/>
          <w:color w:val="000000" w:themeColor="text1"/>
        </w:rPr>
        <w:t>n=</w:t>
      </w:r>
      <w:r w:rsidRPr="00F261DB">
        <w:rPr>
          <w:rFonts w:eastAsia="Times New Roman"/>
          <w:noProof/>
          <w:color w:val="000000" w:themeColor="text1"/>
        </w:rPr>
        <w:t>43, 14%) and expected increased demand for outputs (</w:t>
      </w:r>
      <w:r w:rsidR="00982214" w:rsidRPr="00F261DB">
        <w:rPr>
          <w:rFonts w:eastAsia="Times New Roman"/>
          <w:noProof/>
          <w:color w:val="000000" w:themeColor="text1"/>
        </w:rPr>
        <w:t>n=</w:t>
      </w:r>
      <w:r w:rsidRPr="00F261DB">
        <w:rPr>
          <w:rFonts w:eastAsia="Times New Roman"/>
          <w:noProof/>
          <w:color w:val="000000" w:themeColor="text1"/>
        </w:rPr>
        <w:t>28, 9%).</w:t>
      </w:r>
    </w:p>
    <w:p w14:paraId="42A0AC80" w14:textId="45D7ED36" w:rsidR="00D861C8" w:rsidRPr="00CD2CD8" w:rsidRDefault="00020031" w:rsidP="007E7594">
      <w:pPr>
        <w:spacing w:after="120"/>
        <w:rPr>
          <w:rFonts w:eastAsia="Times New Roman"/>
          <w:noProof/>
          <w:color w:val="000000" w:themeColor="text1"/>
        </w:rPr>
      </w:pPr>
      <w:r w:rsidRPr="00F261DB">
        <w:rPr>
          <w:rFonts w:eastAsia="Times New Roman"/>
          <w:noProof/>
          <w:color w:val="000000" w:themeColor="text1"/>
        </w:rPr>
        <w:t xml:space="preserve">When looking at the </w:t>
      </w:r>
      <w:r w:rsidRPr="00F261DB">
        <w:rPr>
          <w:rFonts w:eastAsia="Times New Roman"/>
          <w:b/>
          <w:noProof/>
          <w:color w:val="000000" w:themeColor="text1"/>
        </w:rPr>
        <w:t>benefits(s) strategic projects should receiv</w:t>
      </w:r>
      <w:r w:rsidRPr="00EE38B9">
        <w:rPr>
          <w:rFonts w:eastAsia="Times New Roman"/>
          <w:noProof/>
          <w:color w:val="000000" w:themeColor="text1"/>
        </w:rPr>
        <w:t>e</w:t>
      </w:r>
      <w:r w:rsidRPr="00F261DB">
        <w:rPr>
          <w:rFonts w:eastAsia="Times New Roman"/>
          <w:noProof/>
          <w:color w:val="000000" w:themeColor="text1"/>
        </w:rPr>
        <w:t>,</w:t>
      </w:r>
      <w:r w:rsidRPr="00EE38B9">
        <w:rPr>
          <w:rFonts w:eastAsia="Times New Roman"/>
          <w:noProof/>
          <w:color w:val="000000" w:themeColor="text1"/>
        </w:rPr>
        <w:t xml:space="preserve"> </w:t>
      </w:r>
      <w:r w:rsidRPr="00F261DB">
        <w:rPr>
          <w:rFonts w:eastAsia="Times New Roman"/>
          <w:noProof/>
          <w:color w:val="000000" w:themeColor="text1"/>
        </w:rPr>
        <w:t>117 (37%) agreed with faster permit-granting procedures, 113 (36%) with priority status for administrative procedures, 113 (36%) with better access to funding.</w:t>
      </w:r>
    </w:p>
    <w:p w14:paraId="62FF9F48" w14:textId="2B6752E9" w:rsidR="00020031" w:rsidRPr="00CD2CD8" w:rsidRDefault="00020031" w:rsidP="007E7594">
      <w:pPr>
        <w:spacing w:after="120"/>
        <w:rPr>
          <w:rFonts w:eastAsia="Times New Roman"/>
          <w:b/>
          <w:noProof/>
          <w:color w:val="000000" w:themeColor="text1"/>
        </w:rPr>
      </w:pPr>
      <w:r w:rsidRPr="00F261DB">
        <w:rPr>
          <w:rFonts w:eastAsia="Times New Roman"/>
          <w:b/>
          <w:noProof/>
          <w:color w:val="000000" w:themeColor="text1"/>
        </w:rPr>
        <w:t>Creation and protection of European lead markets for low-carbon products</w:t>
      </w:r>
    </w:p>
    <w:p w14:paraId="0E283BBA" w14:textId="2ACC632B"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 xml:space="preserve">The vast majority - 280 (89%) out of 314 respondents - believed that </w:t>
      </w:r>
      <w:r w:rsidRPr="00F261DB">
        <w:rPr>
          <w:rFonts w:eastAsia="Times New Roman"/>
          <w:b/>
          <w:noProof/>
          <w:color w:val="000000" w:themeColor="text1"/>
        </w:rPr>
        <w:t>measures to stimulate demand for clean industrial products</w:t>
      </w:r>
      <w:r w:rsidRPr="00F261DB">
        <w:rPr>
          <w:rFonts w:eastAsia="Times New Roman"/>
          <w:noProof/>
          <w:color w:val="000000" w:themeColor="text1"/>
        </w:rPr>
        <w:t xml:space="preserve"> are essential to drive industrial decarbonisation, backed by all industries. This was further supported by the lack of willingness among downstream sectors and consumers to pay a premium for clean industrial products (</w:t>
      </w:r>
      <w:r w:rsidR="00982214" w:rsidRPr="00F261DB">
        <w:rPr>
          <w:rFonts w:eastAsia="Times New Roman"/>
          <w:noProof/>
          <w:color w:val="000000" w:themeColor="text1"/>
        </w:rPr>
        <w:t>n=</w:t>
      </w:r>
      <w:r w:rsidRPr="00F261DB">
        <w:rPr>
          <w:rFonts w:eastAsia="Times New Roman"/>
          <w:noProof/>
          <w:color w:val="000000" w:themeColor="text1"/>
        </w:rPr>
        <w:t>253, 81%).</w:t>
      </w:r>
      <w:r w:rsidR="00C23DA5" w:rsidRPr="00CD2CD8">
        <w:rPr>
          <w:rFonts w:eastAsia="Times New Roman"/>
          <w:noProof/>
          <w:color w:val="000000" w:themeColor="text1"/>
        </w:rPr>
        <w:t xml:space="preserve"> </w:t>
      </w:r>
      <w:r w:rsidRPr="00F261DB">
        <w:rPr>
          <w:rFonts w:eastAsia="Times New Roman"/>
          <w:noProof/>
          <w:color w:val="000000" w:themeColor="text1"/>
        </w:rPr>
        <w:t xml:space="preserve">When looking at the </w:t>
      </w:r>
      <w:r w:rsidRPr="00F261DB">
        <w:rPr>
          <w:rFonts w:eastAsia="Times New Roman"/>
          <w:b/>
          <w:noProof/>
          <w:color w:val="000000" w:themeColor="text1"/>
        </w:rPr>
        <w:t>downstream sectors supporting the uptake of clean energy-intensive materials</w:t>
      </w:r>
      <w:r w:rsidRPr="00F261DB">
        <w:rPr>
          <w:rFonts w:eastAsia="Times New Roman"/>
          <w:noProof/>
          <w:color w:val="000000" w:themeColor="text1"/>
        </w:rPr>
        <w:t>, the most important ones included construction and infrastructure (</w:t>
      </w:r>
      <w:r w:rsidR="00982214" w:rsidRPr="00F261DB">
        <w:rPr>
          <w:rFonts w:eastAsia="Times New Roman"/>
          <w:noProof/>
          <w:color w:val="000000" w:themeColor="text1"/>
        </w:rPr>
        <w:t>n=</w:t>
      </w:r>
      <w:r w:rsidRPr="00F261DB">
        <w:rPr>
          <w:rFonts w:eastAsia="Times New Roman"/>
          <w:noProof/>
          <w:color w:val="000000" w:themeColor="text1"/>
        </w:rPr>
        <w:t>218, 70%), automotive (</w:t>
      </w:r>
      <w:r w:rsidR="00982214" w:rsidRPr="00F261DB">
        <w:rPr>
          <w:rFonts w:eastAsia="Times New Roman"/>
          <w:noProof/>
          <w:color w:val="000000" w:themeColor="text1"/>
        </w:rPr>
        <w:t>n=</w:t>
      </w:r>
      <w:r w:rsidRPr="00F261DB">
        <w:rPr>
          <w:rFonts w:eastAsia="Times New Roman"/>
          <w:noProof/>
          <w:color w:val="000000" w:themeColor="text1"/>
        </w:rPr>
        <w:t>196, 62%), clean energy technologies (</w:t>
      </w:r>
      <w:r w:rsidR="00982214" w:rsidRPr="00F261DB">
        <w:rPr>
          <w:rFonts w:eastAsia="Times New Roman"/>
          <w:noProof/>
          <w:color w:val="000000" w:themeColor="text1"/>
        </w:rPr>
        <w:t>n=</w:t>
      </w:r>
      <w:r w:rsidRPr="00F261DB">
        <w:rPr>
          <w:rFonts w:eastAsia="Times New Roman"/>
          <w:noProof/>
          <w:color w:val="000000" w:themeColor="text1"/>
        </w:rPr>
        <w:t>186, 60%), electrical and electronic equipment (</w:t>
      </w:r>
      <w:r w:rsidR="00982214" w:rsidRPr="00F261DB">
        <w:rPr>
          <w:rFonts w:eastAsia="Times New Roman"/>
          <w:noProof/>
          <w:color w:val="000000" w:themeColor="text1"/>
        </w:rPr>
        <w:t>n=</w:t>
      </w:r>
      <w:r w:rsidRPr="00F261DB">
        <w:rPr>
          <w:rFonts w:eastAsia="Times New Roman"/>
          <w:noProof/>
          <w:color w:val="000000" w:themeColor="text1"/>
        </w:rPr>
        <w:t>136, 43%), defence (</w:t>
      </w:r>
      <w:r w:rsidR="00982214" w:rsidRPr="00F261DB">
        <w:rPr>
          <w:rFonts w:eastAsia="Times New Roman"/>
          <w:noProof/>
          <w:color w:val="000000" w:themeColor="text1"/>
        </w:rPr>
        <w:t>n=</w:t>
      </w:r>
      <w:r w:rsidRPr="00F261DB">
        <w:rPr>
          <w:rFonts w:eastAsia="Times New Roman"/>
          <w:noProof/>
          <w:color w:val="000000" w:themeColor="text1"/>
        </w:rPr>
        <w:t>92, 30%) machinery (</w:t>
      </w:r>
      <w:r w:rsidR="00982214" w:rsidRPr="00F261DB">
        <w:rPr>
          <w:rFonts w:eastAsia="Times New Roman"/>
          <w:noProof/>
          <w:color w:val="000000" w:themeColor="text1"/>
        </w:rPr>
        <w:t>n=</w:t>
      </w:r>
      <w:r w:rsidRPr="00F261DB">
        <w:rPr>
          <w:rFonts w:eastAsia="Times New Roman"/>
          <w:noProof/>
          <w:color w:val="000000" w:themeColor="text1"/>
        </w:rPr>
        <w:t xml:space="preserve">40, 13%), </w:t>
      </w:r>
      <w:r w:rsidR="75D2E5F2" w:rsidRPr="00F261DB">
        <w:rPr>
          <w:rFonts w:eastAsia="Times New Roman"/>
          <w:noProof/>
          <w:color w:val="000000" w:themeColor="text1"/>
        </w:rPr>
        <w:t>and other (n=</w:t>
      </w:r>
      <w:r w:rsidRPr="00F261DB">
        <w:rPr>
          <w:rFonts w:eastAsia="Times New Roman"/>
          <w:noProof/>
          <w:color w:val="000000" w:themeColor="text1"/>
        </w:rPr>
        <w:t>72</w:t>
      </w:r>
      <w:r w:rsidR="041BF573" w:rsidRPr="00F261DB">
        <w:rPr>
          <w:rFonts w:eastAsia="Times New Roman"/>
          <w:noProof/>
          <w:color w:val="000000" w:themeColor="text1"/>
        </w:rPr>
        <w:t>,</w:t>
      </w:r>
      <w:r w:rsidRPr="00F261DB">
        <w:rPr>
          <w:rFonts w:eastAsia="Times New Roman"/>
          <w:noProof/>
          <w:color w:val="000000" w:themeColor="text1"/>
        </w:rPr>
        <w:t xml:space="preserve"> 22%).</w:t>
      </w:r>
    </w:p>
    <w:p w14:paraId="38880E8F" w14:textId="77777777" w:rsidR="00020031" w:rsidRPr="00F261DB" w:rsidRDefault="00020031" w:rsidP="007E7594">
      <w:pPr>
        <w:spacing w:after="120"/>
        <w:rPr>
          <w:rFonts w:eastAsia="Times New Roman"/>
          <w:noProof/>
          <w:color w:val="000000" w:themeColor="text1"/>
        </w:rPr>
      </w:pPr>
      <w:r w:rsidRPr="00F261DB">
        <w:rPr>
          <w:rFonts w:eastAsia="Times New Roman"/>
          <w:noProof/>
          <w:color w:val="000000" w:themeColor="text1"/>
        </w:rPr>
        <w:t xml:space="preserve">Most respondents—259 out of 314 (82%)—agreed that </w:t>
      </w:r>
      <w:r w:rsidRPr="00F261DB">
        <w:rPr>
          <w:rFonts w:eastAsia="Times New Roman"/>
          <w:b/>
          <w:noProof/>
          <w:color w:val="000000" w:themeColor="text1"/>
        </w:rPr>
        <w:t>public procurement</w:t>
      </w:r>
      <w:r w:rsidRPr="00F261DB">
        <w:rPr>
          <w:rFonts w:eastAsia="Times New Roman"/>
          <w:noProof/>
          <w:color w:val="000000" w:themeColor="text1"/>
        </w:rPr>
        <w:t xml:space="preserve"> is a significant driver for lead markets for European and clean industrial products. Additionally, 246 respondents (78%) believe that public procurement is too heavily focused on price rather than on non-price criteria. </w:t>
      </w:r>
    </w:p>
    <w:p w14:paraId="56A3626F" w14:textId="6F80DA8A" w:rsidR="00020031" w:rsidRPr="00F261DB" w:rsidRDefault="00020031" w:rsidP="008E295A">
      <w:pPr>
        <w:spacing w:after="120"/>
        <w:rPr>
          <w:rFonts w:eastAsia="Times New Roman"/>
          <w:noProof/>
          <w:color w:val="000000" w:themeColor="text1"/>
        </w:rPr>
      </w:pPr>
      <w:r w:rsidRPr="00F261DB">
        <w:rPr>
          <w:rFonts w:eastAsia="Times New Roman"/>
          <w:b/>
          <w:noProof/>
          <w:color w:val="000000" w:themeColor="text1"/>
        </w:rPr>
        <w:t xml:space="preserve">Non-price </w:t>
      </w:r>
      <w:r w:rsidR="008E295A">
        <w:rPr>
          <w:rFonts w:eastAsia="Times New Roman"/>
          <w:b/>
          <w:noProof/>
          <w:color w:val="000000" w:themeColor="text1"/>
        </w:rPr>
        <w:t>c</w:t>
      </w:r>
      <w:r w:rsidRPr="00F261DB">
        <w:rPr>
          <w:rFonts w:eastAsia="Times New Roman"/>
          <w:b/>
          <w:noProof/>
          <w:color w:val="000000" w:themeColor="text1"/>
        </w:rPr>
        <w:t>riteria identified for public procurement</w:t>
      </w:r>
      <w:r w:rsidRPr="00F261DB">
        <w:rPr>
          <w:rFonts w:eastAsia="Times New Roman"/>
          <w:noProof/>
          <w:color w:val="000000" w:themeColor="text1"/>
        </w:rPr>
        <w:t xml:space="preserve"> to help create lead markets included: resilience (</w:t>
      </w:r>
      <w:r w:rsidR="00982214" w:rsidRPr="00F261DB">
        <w:rPr>
          <w:rFonts w:eastAsia="Times New Roman"/>
          <w:noProof/>
          <w:color w:val="000000" w:themeColor="text1"/>
        </w:rPr>
        <w:t>n=</w:t>
      </w:r>
      <w:r w:rsidRPr="00F261DB">
        <w:rPr>
          <w:rFonts w:eastAsia="Times New Roman"/>
          <w:noProof/>
          <w:color w:val="000000" w:themeColor="text1"/>
        </w:rPr>
        <w:t>53, 17%); environmental sustainability (</w:t>
      </w:r>
      <w:r w:rsidR="00982214" w:rsidRPr="00F261DB">
        <w:rPr>
          <w:rFonts w:eastAsia="Times New Roman"/>
          <w:noProof/>
          <w:color w:val="000000" w:themeColor="text1"/>
        </w:rPr>
        <w:t>n=</w:t>
      </w:r>
      <w:r w:rsidRPr="00F261DB">
        <w:rPr>
          <w:rFonts w:eastAsia="Times New Roman"/>
          <w:noProof/>
          <w:color w:val="000000" w:themeColor="text1"/>
        </w:rPr>
        <w:t>53, 17%); EU content (</w:t>
      </w:r>
      <w:r w:rsidR="00982214" w:rsidRPr="00F261DB">
        <w:rPr>
          <w:rFonts w:eastAsia="Times New Roman"/>
          <w:noProof/>
          <w:color w:val="000000" w:themeColor="text1"/>
        </w:rPr>
        <w:t>n=</w:t>
      </w:r>
      <w:r w:rsidRPr="00F261DB">
        <w:rPr>
          <w:rFonts w:eastAsia="Times New Roman"/>
          <w:noProof/>
          <w:color w:val="000000" w:themeColor="text1"/>
        </w:rPr>
        <w:t>44, 14%); employment and social requirements (</w:t>
      </w:r>
      <w:r w:rsidR="00982214" w:rsidRPr="00F261DB">
        <w:rPr>
          <w:rFonts w:eastAsia="Times New Roman"/>
          <w:noProof/>
          <w:color w:val="000000" w:themeColor="text1"/>
        </w:rPr>
        <w:t>n=</w:t>
      </w:r>
      <w:r w:rsidRPr="00F261DB">
        <w:rPr>
          <w:rFonts w:eastAsia="Times New Roman"/>
          <w:noProof/>
          <w:color w:val="000000" w:themeColor="text1"/>
        </w:rPr>
        <w:t>22, 7%); and cybersecurity (</w:t>
      </w:r>
      <w:r w:rsidR="00982214" w:rsidRPr="00F261DB">
        <w:rPr>
          <w:rFonts w:eastAsia="Times New Roman"/>
          <w:noProof/>
          <w:color w:val="000000" w:themeColor="text1"/>
        </w:rPr>
        <w:t>n=</w:t>
      </w:r>
      <w:r w:rsidRPr="00F261DB">
        <w:rPr>
          <w:rFonts w:eastAsia="Times New Roman"/>
          <w:noProof/>
          <w:color w:val="000000" w:themeColor="text1"/>
        </w:rPr>
        <w:t>10, 3%).</w:t>
      </w:r>
    </w:p>
    <w:p w14:paraId="55041809" w14:textId="7E053E43" w:rsidR="00020031" w:rsidRPr="00F261DB" w:rsidRDefault="00020031" w:rsidP="008E295A">
      <w:pPr>
        <w:spacing w:after="120"/>
        <w:rPr>
          <w:rFonts w:eastAsia="Times New Roman"/>
          <w:b/>
          <w:noProof/>
          <w:color w:val="000000" w:themeColor="text1"/>
        </w:rPr>
      </w:pPr>
      <w:r w:rsidRPr="00F261DB">
        <w:rPr>
          <w:rFonts w:eastAsia="Times New Roman"/>
          <w:b/>
          <w:noProof/>
          <w:color w:val="000000" w:themeColor="text1"/>
        </w:rPr>
        <w:t>EU lab</w:t>
      </w:r>
      <w:r w:rsidR="008E295A">
        <w:rPr>
          <w:rFonts w:eastAsia="Times New Roman"/>
          <w:b/>
          <w:noProof/>
          <w:color w:val="000000" w:themeColor="text1"/>
        </w:rPr>
        <w:t>e</w:t>
      </w:r>
      <w:r w:rsidRPr="00F261DB">
        <w:rPr>
          <w:rFonts w:eastAsia="Times New Roman"/>
          <w:b/>
          <w:noProof/>
          <w:color w:val="000000" w:themeColor="text1"/>
        </w:rPr>
        <w:t>l on carbon intensity of industrial products</w:t>
      </w:r>
    </w:p>
    <w:p w14:paraId="191AF7B3" w14:textId="4CF94E43" w:rsidR="00020031" w:rsidRPr="00F261DB" w:rsidRDefault="719AC623" w:rsidP="008E295A">
      <w:pPr>
        <w:spacing w:after="120"/>
        <w:rPr>
          <w:rFonts w:eastAsia="Times New Roman"/>
          <w:noProof/>
          <w:color w:val="000000" w:themeColor="text1"/>
        </w:rPr>
      </w:pPr>
      <w:r w:rsidRPr="00F261DB">
        <w:rPr>
          <w:rFonts w:eastAsia="Times New Roman"/>
          <w:noProof/>
          <w:color w:val="000000" w:themeColor="text1"/>
        </w:rPr>
        <w:t>A majority of respondents (191 out of 314, 61%)</w:t>
      </w:r>
      <w:r w:rsidR="007E25D2" w:rsidRPr="00CD2CD8">
        <w:rPr>
          <w:rStyle w:val="FootnoteReference"/>
          <w:rFonts w:eastAsia="Times New Roman"/>
          <w:noProof/>
          <w:color w:val="000000" w:themeColor="text1"/>
        </w:rPr>
        <w:footnoteReference w:id="245"/>
      </w:r>
      <w:r w:rsidRPr="00F261DB">
        <w:rPr>
          <w:rFonts w:eastAsia="Times New Roman"/>
          <w:noProof/>
          <w:color w:val="000000" w:themeColor="text1"/>
        </w:rPr>
        <w:t xml:space="preserve"> agreed that </w:t>
      </w:r>
      <w:r w:rsidRPr="1A2A8689">
        <w:rPr>
          <w:rFonts w:eastAsia="Times New Roman"/>
          <w:b/>
          <w:bCs/>
          <w:noProof/>
          <w:color w:val="000000" w:themeColor="text1"/>
        </w:rPr>
        <w:t>introducing an EU voluntary label on the carbon intensity of industrial products</w:t>
      </w:r>
      <w:r w:rsidRPr="00F261DB">
        <w:rPr>
          <w:rFonts w:eastAsia="Times New Roman"/>
          <w:noProof/>
          <w:color w:val="000000" w:themeColor="text1"/>
        </w:rPr>
        <w:t xml:space="preserve"> would support the uptake of sustainable industrial products and the creation of lead markets. However, respondents were more sceptical about the label’s potential to curb the proliferation of labels and ensure a harmonised approach, </w:t>
      </w:r>
      <w:r w:rsidRPr="00F261DB">
        <w:rPr>
          <w:rFonts w:eastAsia="Times New Roman"/>
          <w:noProof/>
          <w:color w:val="000000" w:themeColor="text1"/>
        </w:rPr>
        <w:lastRenderedPageBreak/>
        <w:t>with only 129 respondents (41%) in agreement. Concerns about administrative and compliance costs were limited, as only 100 respondents (32%) believed that introducing a voluntary label would impose significant costs.</w:t>
      </w:r>
      <w:r w:rsidR="61C7F4E7" w:rsidRPr="00F261DB">
        <w:rPr>
          <w:rFonts w:eastAsia="Times New Roman"/>
          <w:noProof/>
          <w:color w:val="000000" w:themeColor="text1"/>
        </w:rPr>
        <w:t xml:space="preserve"> </w:t>
      </w:r>
      <w:r w:rsidRPr="00F261DB">
        <w:rPr>
          <w:rFonts w:eastAsia="Times New Roman"/>
          <w:noProof/>
          <w:color w:val="000000" w:themeColor="text1"/>
        </w:rPr>
        <w:t xml:space="preserve">On the </w:t>
      </w:r>
      <w:r w:rsidRPr="1A2A8689">
        <w:rPr>
          <w:rFonts w:eastAsia="Times New Roman"/>
          <w:b/>
          <w:bCs/>
          <w:noProof/>
          <w:color w:val="000000" w:themeColor="text1"/>
        </w:rPr>
        <w:t>added value of an EU label on carbon intensity of industrial products</w:t>
      </w:r>
      <w:r w:rsidRPr="00F261DB">
        <w:rPr>
          <w:rFonts w:eastAsia="Times New Roman"/>
          <w:noProof/>
          <w:color w:val="000000" w:themeColor="text1"/>
        </w:rPr>
        <w:t>, respondents saw benefits in terms of increased transparency (</w:t>
      </w:r>
      <w:r w:rsidR="61C7F4E7" w:rsidRPr="00F261DB">
        <w:rPr>
          <w:rFonts w:eastAsia="Times New Roman"/>
          <w:noProof/>
          <w:color w:val="000000" w:themeColor="text1"/>
        </w:rPr>
        <w:t>n=</w:t>
      </w:r>
      <w:r w:rsidRPr="00F261DB">
        <w:rPr>
          <w:rFonts w:eastAsia="Times New Roman"/>
          <w:noProof/>
          <w:color w:val="000000" w:themeColor="text1"/>
        </w:rPr>
        <w:t>195, 62%), comparability and market differentiation (</w:t>
      </w:r>
      <w:r w:rsidR="61C7F4E7" w:rsidRPr="00F261DB">
        <w:rPr>
          <w:rFonts w:eastAsia="Times New Roman"/>
          <w:noProof/>
          <w:color w:val="000000" w:themeColor="text1"/>
        </w:rPr>
        <w:t>n=</w:t>
      </w:r>
      <w:r w:rsidRPr="00F261DB">
        <w:rPr>
          <w:rFonts w:eastAsia="Times New Roman"/>
          <w:noProof/>
          <w:color w:val="000000" w:themeColor="text1"/>
        </w:rPr>
        <w:t>187, 60%), and market uptake of greener products (</w:t>
      </w:r>
      <w:r w:rsidR="61C7F4E7" w:rsidRPr="00F261DB">
        <w:rPr>
          <w:rFonts w:eastAsia="Times New Roman"/>
          <w:noProof/>
          <w:color w:val="000000" w:themeColor="text1"/>
        </w:rPr>
        <w:t>n=</w:t>
      </w:r>
      <w:r w:rsidRPr="00F261DB">
        <w:rPr>
          <w:rFonts w:eastAsia="Times New Roman"/>
          <w:noProof/>
          <w:color w:val="000000" w:themeColor="text1"/>
        </w:rPr>
        <w:t>160, 51%), while fewer agreed on its role in improving access to green finance (</w:t>
      </w:r>
      <w:r w:rsidR="61C7F4E7" w:rsidRPr="00F261DB">
        <w:rPr>
          <w:rFonts w:eastAsia="Times New Roman"/>
          <w:noProof/>
          <w:color w:val="000000" w:themeColor="text1"/>
        </w:rPr>
        <w:t>n=</w:t>
      </w:r>
      <w:r w:rsidRPr="00F261DB">
        <w:rPr>
          <w:rFonts w:eastAsia="Times New Roman"/>
          <w:noProof/>
          <w:color w:val="000000" w:themeColor="text1"/>
        </w:rPr>
        <w:t>136, 43%) or compliance with regulatory requirements (</w:t>
      </w:r>
      <w:r w:rsidR="61C7F4E7" w:rsidRPr="00F261DB">
        <w:rPr>
          <w:rFonts w:eastAsia="Times New Roman"/>
          <w:noProof/>
          <w:color w:val="000000" w:themeColor="text1"/>
        </w:rPr>
        <w:t>n=</w:t>
      </w:r>
      <w:r w:rsidRPr="00F261DB">
        <w:rPr>
          <w:rFonts w:eastAsia="Times New Roman"/>
          <w:noProof/>
          <w:color w:val="000000" w:themeColor="text1"/>
        </w:rPr>
        <w:t xml:space="preserve">108, 35%). </w:t>
      </w:r>
    </w:p>
    <w:p w14:paraId="3A9D4D1E" w14:textId="77777777" w:rsidR="00020031" w:rsidRPr="00F261DB" w:rsidRDefault="00020031" w:rsidP="008E295A">
      <w:pPr>
        <w:spacing w:after="120"/>
        <w:rPr>
          <w:rFonts w:eastAsia="Times New Roman"/>
          <w:b/>
          <w:noProof/>
          <w:color w:val="000000" w:themeColor="text1"/>
        </w:rPr>
      </w:pPr>
      <w:r w:rsidRPr="00F261DB">
        <w:rPr>
          <w:rFonts w:eastAsia="Times New Roman"/>
          <w:b/>
          <w:noProof/>
          <w:color w:val="000000" w:themeColor="text1"/>
        </w:rPr>
        <w:t>Foreign Direct Investments</w:t>
      </w:r>
    </w:p>
    <w:p w14:paraId="4FCBA28A" w14:textId="5AE9D9FD" w:rsidR="00C23DA5" w:rsidRPr="00CD2CD8" w:rsidRDefault="00020031" w:rsidP="008E295A">
      <w:pPr>
        <w:spacing w:after="120"/>
        <w:rPr>
          <w:rFonts w:eastAsia="Times New Roman"/>
          <w:noProof/>
          <w:color w:val="000000" w:themeColor="text1"/>
        </w:rPr>
      </w:pPr>
      <w:r w:rsidRPr="00F261DB">
        <w:rPr>
          <w:rFonts w:eastAsia="Times New Roman"/>
          <w:noProof/>
          <w:color w:val="000000" w:themeColor="text1"/>
        </w:rPr>
        <w:t>The majority of respondents (166 out of 314, 63%), out of which, the majority (136) being business associations and businesses - agreed that foreign direct investments are valuable for bringing capital into Europe that is otherwise unavailable within the EU, to increase industrial decarbonisation investments. Additionally, 147 respondents (47%) believed such investments are beneficial for transferring know-how on products or processes currently not available in the EU. A further 118 respondents (38%) saw value in these investments for enhancing supply security for EU customers by localising production closer to demand. Only 12 respondents (4%) considered foreign direct investment to play no role in advancing industrial decarbonisation investments.</w:t>
      </w:r>
    </w:p>
    <w:p w14:paraId="42D11441" w14:textId="71768CA2" w:rsidR="005A007C" w:rsidRPr="00CD2CD8" w:rsidRDefault="00020031" w:rsidP="003E4DEF">
      <w:pPr>
        <w:spacing w:after="120"/>
        <w:rPr>
          <w:rFonts w:eastAsia="Times New Roman"/>
          <w:noProof/>
          <w:color w:val="000000" w:themeColor="text1"/>
        </w:rPr>
      </w:pPr>
      <w:r w:rsidRPr="00F261DB">
        <w:rPr>
          <w:rFonts w:eastAsia="Times New Roman"/>
          <w:noProof/>
          <w:color w:val="000000" w:themeColor="text1"/>
        </w:rPr>
        <w:t>172 (55%) out of 314 respondents found it useful to</w:t>
      </w:r>
      <w:r w:rsidRPr="00F261DB">
        <w:rPr>
          <w:rFonts w:eastAsia="Times New Roman"/>
          <w:b/>
          <w:noProof/>
          <w:color w:val="000000" w:themeColor="text1"/>
        </w:rPr>
        <w:t xml:space="preserve"> impose conditions on foreign direct investment</w:t>
      </w:r>
      <w:r w:rsidRPr="00F261DB">
        <w:rPr>
          <w:rFonts w:eastAsia="Times New Roman"/>
          <w:noProof/>
          <w:color w:val="000000" w:themeColor="text1"/>
        </w:rPr>
        <w:t xml:space="preserve"> from an internal market perspective. Further opinions on these conditions showed that </w:t>
      </w:r>
      <w:r w:rsidR="00437D1A" w:rsidRPr="00F261DB">
        <w:rPr>
          <w:rFonts w:eastAsia="Times New Roman"/>
          <w:noProof/>
          <w:color w:val="000000" w:themeColor="text1"/>
        </w:rPr>
        <w:t xml:space="preserve">79% (102 out of 129) agreed on the requirement to perform research, development, and innovation activities in the EU, </w:t>
      </w:r>
      <w:r w:rsidR="00155A72" w:rsidRPr="00F261DB">
        <w:rPr>
          <w:rFonts w:eastAsia="Times New Roman"/>
          <w:noProof/>
          <w:color w:val="000000" w:themeColor="text1"/>
        </w:rPr>
        <w:t xml:space="preserve">74% (93 out of 126) found the requirement to perform value-added production in the EU (rather than mere assembly of imported components) useful, </w:t>
      </w:r>
      <w:r w:rsidRPr="00F261DB">
        <w:rPr>
          <w:rFonts w:eastAsia="Times New Roman"/>
          <w:noProof/>
          <w:color w:val="000000" w:themeColor="text1"/>
        </w:rPr>
        <w:t xml:space="preserve">73% (92 out of 126) of respondents find the requirement to form a joint venture with a European partner and/or restrict foreign ownership percentages useful, </w:t>
      </w:r>
      <w:r w:rsidR="00155A72" w:rsidRPr="00F261DB">
        <w:rPr>
          <w:rFonts w:eastAsia="Times New Roman"/>
          <w:noProof/>
          <w:color w:val="000000" w:themeColor="text1"/>
        </w:rPr>
        <w:t xml:space="preserve">71% (91 out of 126) found the requirement to source equipment and inputs in the EU useful, </w:t>
      </w:r>
      <w:r w:rsidRPr="00F261DB">
        <w:rPr>
          <w:rFonts w:eastAsia="Times New Roman"/>
          <w:noProof/>
          <w:color w:val="000000" w:themeColor="text1"/>
        </w:rPr>
        <w:t>70% (88 out of 126) agreed on the requirement to hire and train EU citizens as staff, 67% (84 out of 126) supported the requirement to transfer intellectual property rights and know-how to the EU investment and/or grant irrevocable licenses, 50% (64 out of 128) supported the requirement to supply EU customers</w:t>
      </w:r>
      <w:r w:rsidR="00155A72">
        <w:rPr>
          <w:rFonts w:eastAsia="Times New Roman"/>
          <w:noProof/>
          <w:color w:val="000000" w:themeColor="text1"/>
        </w:rPr>
        <w:t xml:space="preserve">, and </w:t>
      </w:r>
      <w:r w:rsidR="00155A72" w:rsidRPr="00F261DB">
        <w:rPr>
          <w:rFonts w:eastAsia="Times New Roman"/>
          <w:noProof/>
          <w:color w:val="000000" w:themeColor="text1"/>
        </w:rPr>
        <w:t>39% (50 out of 126) supported the requirement to appoint EU citizens to key management positions</w:t>
      </w:r>
      <w:r w:rsidR="005A007C">
        <w:rPr>
          <w:rFonts w:eastAsia="Times New Roman"/>
          <w:noProof/>
          <w:color w:val="000000" w:themeColor="text1"/>
        </w:rPr>
        <w:t>.</w:t>
      </w:r>
    </w:p>
    <w:p w14:paraId="3C9824A7" w14:textId="7B548790" w:rsidR="00112C12" w:rsidRPr="00F51FD2" w:rsidRDefault="00020031" w:rsidP="008E295A">
      <w:pPr>
        <w:spacing w:after="120"/>
        <w:rPr>
          <w:rFonts w:eastAsia="Times New Roman"/>
          <w:b/>
          <w:noProof/>
          <w:color w:val="000000" w:themeColor="text1"/>
        </w:rPr>
      </w:pPr>
      <w:r w:rsidRPr="00F261DB">
        <w:rPr>
          <w:rFonts w:eastAsia="Times New Roman"/>
          <w:b/>
          <w:noProof/>
          <w:color w:val="000000" w:themeColor="text1"/>
        </w:rPr>
        <w:t>2.2 Industry Position Papers</w:t>
      </w:r>
    </w:p>
    <w:p w14:paraId="753E01AB" w14:textId="7CD107FA" w:rsidR="00112C12" w:rsidRPr="00F51FD2" w:rsidRDefault="00020031" w:rsidP="003E4DEF">
      <w:pPr>
        <w:spacing w:after="120"/>
        <w:rPr>
          <w:rFonts w:eastAsia="Times New Roman"/>
          <w:b/>
          <w:noProof/>
          <w:color w:val="000000" w:themeColor="text1"/>
        </w:rPr>
      </w:pPr>
      <w:r w:rsidRPr="00F261DB">
        <w:rPr>
          <w:rFonts w:eastAsia="Times New Roman"/>
          <w:b/>
          <w:noProof/>
          <w:color w:val="000000" w:themeColor="text1"/>
        </w:rPr>
        <w:t>Overview</w:t>
      </w:r>
    </w:p>
    <w:p w14:paraId="50DC1C57" w14:textId="0497897C" w:rsidR="00020031" w:rsidRPr="00F261DB" w:rsidRDefault="00020031" w:rsidP="003E4DEF">
      <w:pPr>
        <w:spacing w:after="120"/>
        <w:rPr>
          <w:rFonts w:eastAsia="Times New Roman"/>
          <w:noProof/>
          <w:color w:val="000000" w:themeColor="text1"/>
        </w:rPr>
      </w:pPr>
      <w:r w:rsidRPr="00F261DB">
        <w:rPr>
          <w:rFonts w:eastAsia="Times New Roman"/>
          <w:noProof/>
          <w:color w:val="000000" w:themeColor="text1"/>
        </w:rPr>
        <w:t>As part of the Open Public Consultation, 142 policy papers were submitted, across a wide range of industries such as aluminium (2 responses), cement (</w:t>
      </w:r>
      <w:r w:rsidR="00506E7D" w:rsidRPr="00F261DB">
        <w:rPr>
          <w:rFonts w:eastAsia="Times New Roman"/>
          <w:noProof/>
          <w:color w:val="000000" w:themeColor="text1"/>
        </w:rPr>
        <w:t>n=</w:t>
      </w:r>
      <w:r w:rsidRPr="00F261DB">
        <w:rPr>
          <w:rFonts w:eastAsia="Times New Roman"/>
          <w:noProof/>
          <w:color w:val="000000" w:themeColor="text1"/>
        </w:rPr>
        <w:t>2) , chemicals (</w:t>
      </w:r>
      <w:r w:rsidR="00506E7D" w:rsidRPr="00F261DB">
        <w:rPr>
          <w:rFonts w:eastAsia="Times New Roman"/>
          <w:noProof/>
          <w:color w:val="000000" w:themeColor="text1"/>
        </w:rPr>
        <w:t>n=</w:t>
      </w:r>
      <w:r w:rsidRPr="00F261DB">
        <w:rPr>
          <w:rFonts w:eastAsia="Times New Roman"/>
          <w:noProof/>
          <w:color w:val="000000" w:themeColor="text1"/>
        </w:rPr>
        <w:t>10) , fertilizers (</w:t>
      </w:r>
      <w:r w:rsidR="00506E7D" w:rsidRPr="00F261DB">
        <w:rPr>
          <w:rFonts w:eastAsia="Times New Roman"/>
          <w:noProof/>
          <w:color w:val="000000" w:themeColor="text1"/>
        </w:rPr>
        <w:t>n=</w:t>
      </w:r>
      <w:r w:rsidRPr="00F261DB">
        <w:rPr>
          <w:rFonts w:eastAsia="Times New Roman"/>
          <w:noProof/>
          <w:color w:val="000000" w:themeColor="text1"/>
        </w:rPr>
        <w:t>5), glass (</w:t>
      </w:r>
      <w:r w:rsidR="00506E7D" w:rsidRPr="00F261DB">
        <w:rPr>
          <w:rFonts w:eastAsia="Times New Roman"/>
          <w:noProof/>
          <w:color w:val="000000" w:themeColor="text1"/>
        </w:rPr>
        <w:t>n=</w:t>
      </w:r>
      <w:r w:rsidRPr="00F261DB">
        <w:rPr>
          <w:rFonts w:eastAsia="Times New Roman"/>
          <w:noProof/>
          <w:color w:val="000000" w:themeColor="text1"/>
        </w:rPr>
        <w:t>2), metals (</w:t>
      </w:r>
      <w:r w:rsidR="00506E7D" w:rsidRPr="00F261DB">
        <w:rPr>
          <w:rFonts w:eastAsia="Times New Roman"/>
          <w:noProof/>
          <w:color w:val="000000" w:themeColor="text1"/>
        </w:rPr>
        <w:t>n=</w:t>
      </w:r>
      <w:r w:rsidRPr="00F261DB">
        <w:rPr>
          <w:rFonts w:eastAsia="Times New Roman"/>
          <w:noProof/>
          <w:color w:val="000000" w:themeColor="text1"/>
        </w:rPr>
        <w:t>3), pulp &amp;paper (</w:t>
      </w:r>
      <w:r w:rsidR="00506E7D" w:rsidRPr="00F261DB">
        <w:rPr>
          <w:rFonts w:eastAsia="Times New Roman"/>
          <w:noProof/>
          <w:color w:val="000000" w:themeColor="text1"/>
        </w:rPr>
        <w:t>n=</w:t>
      </w:r>
      <w:r w:rsidRPr="00F261DB">
        <w:rPr>
          <w:rFonts w:eastAsia="Times New Roman"/>
          <w:noProof/>
          <w:color w:val="000000" w:themeColor="text1"/>
        </w:rPr>
        <w:t>2) , and steel (</w:t>
      </w:r>
      <w:r w:rsidR="00506E7D" w:rsidRPr="00F261DB">
        <w:rPr>
          <w:rFonts w:eastAsia="Times New Roman"/>
          <w:noProof/>
          <w:color w:val="000000" w:themeColor="text1"/>
        </w:rPr>
        <w:t>n=</w:t>
      </w:r>
      <w:r w:rsidRPr="00F261DB">
        <w:rPr>
          <w:rFonts w:eastAsia="Times New Roman"/>
          <w:noProof/>
          <w:color w:val="000000" w:themeColor="text1"/>
        </w:rPr>
        <w:t>7), with downstream sectors represented by the automotive industry (</w:t>
      </w:r>
      <w:r w:rsidR="00506E7D" w:rsidRPr="00F261DB">
        <w:rPr>
          <w:rFonts w:eastAsia="Times New Roman"/>
          <w:noProof/>
          <w:color w:val="000000" w:themeColor="text1"/>
        </w:rPr>
        <w:t>n=</w:t>
      </w:r>
      <w:r w:rsidRPr="00F261DB">
        <w:rPr>
          <w:rFonts w:eastAsia="Times New Roman"/>
          <w:noProof/>
          <w:color w:val="000000" w:themeColor="text1"/>
        </w:rPr>
        <w:t>1), batteries and storage (</w:t>
      </w:r>
      <w:r w:rsidR="00506E7D" w:rsidRPr="00F261DB">
        <w:rPr>
          <w:rFonts w:eastAsia="Times New Roman"/>
          <w:noProof/>
          <w:color w:val="000000" w:themeColor="text1"/>
        </w:rPr>
        <w:t>n=</w:t>
      </w:r>
      <w:r w:rsidRPr="00F261DB">
        <w:rPr>
          <w:rFonts w:eastAsia="Times New Roman"/>
          <w:noProof/>
          <w:color w:val="000000" w:themeColor="text1"/>
        </w:rPr>
        <w:t>2), construction (</w:t>
      </w:r>
      <w:r w:rsidR="00506E7D" w:rsidRPr="00F261DB">
        <w:rPr>
          <w:rFonts w:eastAsia="Times New Roman"/>
          <w:noProof/>
          <w:color w:val="000000" w:themeColor="text1"/>
        </w:rPr>
        <w:t>n=</w:t>
      </w:r>
      <w:r w:rsidRPr="00F261DB">
        <w:rPr>
          <w:rFonts w:eastAsia="Times New Roman"/>
          <w:noProof/>
          <w:color w:val="000000" w:themeColor="text1"/>
        </w:rPr>
        <w:t>2), energy, including clean tech manufacturers (</w:t>
      </w:r>
      <w:r w:rsidR="00506E7D" w:rsidRPr="00F261DB">
        <w:rPr>
          <w:rFonts w:eastAsia="Times New Roman"/>
          <w:noProof/>
          <w:color w:val="000000" w:themeColor="text1"/>
        </w:rPr>
        <w:t>n=</w:t>
      </w:r>
      <w:r w:rsidRPr="00F261DB">
        <w:rPr>
          <w:rFonts w:eastAsia="Times New Roman"/>
          <w:noProof/>
          <w:color w:val="000000" w:themeColor="text1"/>
        </w:rPr>
        <w:t>10), electricity (</w:t>
      </w:r>
      <w:r w:rsidR="00506E7D" w:rsidRPr="00F261DB">
        <w:rPr>
          <w:rFonts w:eastAsia="Times New Roman"/>
          <w:noProof/>
          <w:color w:val="000000" w:themeColor="text1"/>
        </w:rPr>
        <w:t>n=</w:t>
      </w:r>
      <w:r w:rsidRPr="00F261DB">
        <w:rPr>
          <w:rFonts w:eastAsia="Times New Roman"/>
          <w:noProof/>
          <w:color w:val="000000" w:themeColor="text1"/>
        </w:rPr>
        <w:t>8), gas</w:t>
      </w:r>
      <w:r w:rsidR="00AB42C6" w:rsidRPr="00F261DB">
        <w:rPr>
          <w:rFonts w:eastAsia="Times New Roman"/>
          <w:noProof/>
          <w:color w:val="000000" w:themeColor="text1"/>
        </w:rPr>
        <w:t xml:space="preserve"> </w:t>
      </w:r>
      <w:r w:rsidRPr="00F261DB">
        <w:rPr>
          <w:rFonts w:eastAsia="Times New Roman"/>
          <w:noProof/>
          <w:color w:val="000000" w:themeColor="text1"/>
        </w:rPr>
        <w:t>&amp;</w:t>
      </w:r>
      <w:r w:rsidR="00AB42C6" w:rsidRPr="00F261DB">
        <w:rPr>
          <w:rFonts w:eastAsia="Times New Roman"/>
          <w:noProof/>
          <w:color w:val="000000" w:themeColor="text1"/>
        </w:rPr>
        <w:t xml:space="preserve"> </w:t>
      </w:r>
      <w:r w:rsidRPr="00F261DB">
        <w:rPr>
          <w:rFonts w:eastAsia="Times New Roman"/>
          <w:noProof/>
          <w:color w:val="000000" w:themeColor="text1"/>
        </w:rPr>
        <w:t>oil (</w:t>
      </w:r>
      <w:r w:rsidR="00506E7D" w:rsidRPr="00F261DB">
        <w:rPr>
          <w:rFonts w:eastAsia="Times New Roman"/>
          <w:noProof/>
          <w:color w:val="000000" w:themeColor="text1"/>
        </w:rPr>
        <w:t>n=</w:t>
      </w:r>
      <w:r w:rsidRPr="00F261DB">
        <w:rPr>
          <w:rFonts w:eastAsia="Times New Roman"/>
          <w:noProof/>
          <w:color w:val="000000" w:themeColor="text1"/>
        </w:rPr>
        <w:t>3), heat (</w:t>
      </w:r>
      <w:r w:rsidR="00506E7D" w:rsidRPr="00F261DB">
        <w:rPr>
          <w:rFonts w:eastAsia="Times New Roman"/>
          <w:noProof/>
          <w:color w:val="000000" w:themeColor="text1"/>
        </w:rPr>
        <w:t>n=</w:t>
      </w:r>
      <w:r w:rsidRPr="00F261DB">
        <w:rPr>
          <w:rFonts w:eastAsia="Times New Roman"/>
          <w:noProof/>
          <w:color w:val="000000" w:themeColor="text1"/>
        </w:rPr>
        <w:t>2) and wind (</w:t>
      </w:r>
      <w:r w:rsidR="00506E7D" w:rsidRPr="00F261DB">
        <w:rPr>
          <w:rFonts w:eastAsia="Times New Roman"/>
          <w:noProof/>
          <w:color w:val="000000" w:themeColor="text1"/>
        </w:rPr>
        <w:t>n=</w:t>
      </w:r>
      <w:r w:rsidRPr="00F261DB">
        <w:rPr>
          <w:rFonts w:eastAsia="Times New Roman"/>
          <w:noProof/>
          <w:color w:val="000000" w:themeColor="text1"/>
        </w:rPr>
        <w:t>3) - waste management &amp; recycling (</w:t>
      </w:r>
      <w:r w:rsidR="00506E7D" w:rsidRPr="00F261DB">
        <w:rPr>
          <w:rFonts w:eastAsia="Times New Roman"/>
          <w:noProof/>
          <w:color w:val="000000" w:themeColor="text1"/>
        </w:rPr>
        <w:t>n=</w:t>
      </w:r>
      <w:r w:rsidRPr="00F261DB">
        <w:rPr>
          <w:rFonts w:eastAsia="Times New Roman"/>
          <w:noProof/>
          <w:color w:val="000000" w:themeColor="text1"/>
        </w:rPr>
        <w:t>4) and other (</w:t>
      </w:r>
      <w:r w:rsidR="00506E7D" w:rsidRPr="00F261DB">
        <w:rPr>
          <w:rFonts w:eastAsia="Times New Roman"/>
          <w:noProof/>
          <w:color w:val="000000" w:themeColor="text1"/>
        </w:rPr>
        <w:t>n=</w:t>
      </w:r>
      <w:r w:rsidRPr="00F261DB">
        <w:rPr>
          <w:rFonts w:eastAsia="Times New Roman"/>
          <w:noProof/>
          <w:color w:val="000000" w:themeColor="text1"/>
        </w:rPr>
        <w:t xml:space="preserve">54). </w:t>
      </w:r>
    </w:p>
    <w:p w14:paraId="03FC95CA" w14:textId="77777777" w:rsidR="00020031" w:rsidRPr="00F261DB" w:rsidRDefault="00020031" w:rsidP="003E4DEF">
      <w:pPr>
        <w:spacing w:after="120"/>
        <w:rPr>
          <w:rFonts w:eastAsia="Times New Roman"/>
          <w:b/>
          <w:noProof/>
          <w:color w:val="000000" w:themeColor="text1"/>
        </w:rPr>
      </w:pPr>
      <w:r w:rsidRPr="00F261DB">
        <w:rPr>
          <w:rFonts w:eastAsia="Times New Roman"/>
          <w:b/>
          <w:noProof/>
          <w:color w:val="000000" w:themeColor="text1"/>
        </w:rPr>
        <w:t>Barriers to industrial decarbonisation</w:t>
      </w:r>
    </w:p>
    <w:p w14:paraId="0C2BB65B" w14:textId="645E415F" w:rsidR="00020031" w:rsidRPr="003E4DEF" w:rsidRDefault="00020031" w:rsidP="003E4DEF">
      <w:pPr>
        <w:spacing w:after="120"/>
        <w:rPr>
          <w:rFonts w:eastAsia="Times New Roman"/>
          <w:noProof/>
          <w:color w:val="000000" w:themeColor="text1"/>
        </w:rPr>
      </w:pPr>
      <w:r w:rsidRPr="00F261DB">
        <w:rPr>
          <w:rFonts w:eastAsia="Times New Roman"/>
          <w:noProof/>
          <w:color w:val="000000" w:themeColor="text1"/>
        </w:rPr>
        <w:t>Stakeholders across sectors cited high costs, regulatory uncertainty, and limited infrastructure as major obstacles to decarbonisation. Energy-intensive industries identified CAPEX and OPEX for new technologies—exacerbated by volatile energy prices—as key financial barriers.</w:t>
      </w:r>
      <w:r w:rsidR="003E4DEF">
        <w:rPr>
          <w:rFonts w:eastAsia="Times New Roman"/>
          <w:noProof/>
          <w:color w:val="000000" w:themeColor="text1"/>
        </w:rPr>
        <w:t xml:space="preserve"> </w:t>
      </w:r>
      <w:r w:rsidRPr="00F261DB">
        <w:rPr>
          <w:rFonts w:eastAsia="Times New Roman"/>
          <w:noProof/>
          <w:color w:val="000000" w:themeColor="text1"/>
        </w:rPr>
        <w:t>Many highlighted fragmented and unclear regulations across Member States. In sectors like metals, aluminium, and glass, current EU policies were seen as overly focused on breakthrough tech, neglecting scalable solutions. Steel stakeholders pointed to limited demand and lack of price premiums for low-carbon products. SMEs were also noted as challenged by complex permitting and funding systems.</w:t>
      </w:r>
    </w:p>
    <w:p w14:paraId="7BD2CA2B" w14:textId="77777777" w:rsidR="00020031" w:rsidRPr="00F261DB" w:rsidRDefault="00020031" w:rsidP="003E4DEF">
      <w:pPr>
        <w:spacing w:after="120"/>
        <w:rPr>
          <w:rFonts w:eastAsia="Times New Roman"/>
          <w:noProof/>
          <w:color w:val="000000" w:themeColor="text1"/>
        </w:rPr>
      </w:pPr>
      <w:r w:rsidRPr="00F261DB">
        <w:rPr>
          <w:rFonts w:eastAsia="Times New Roman"/>
          <w:b/>
          <w:noProof/>
          <w:color w:val="000000" w:themeColor="text1"/>
        </w:rPr>
        <w:lastRenderedPageBreak/>
        <w:t>Identifying and promoting priority projects</w:t>
      </w:r>
    </w:p>
    <w:p w14:paraId="618B38A3" w14:textId="77777777" w:rsidR="00020031" w:rsidRPr="00F261DB" w:rsidRDefault="00020031" w:rsidP="003E4DEF">
      <w:pPr>
        <w:spacing w:after="120"/>
        <w:rPr>
          <w:rFonts w:eastAsia="Times New Roman"/>
          <w:noProof/>
          <w:color w:val="000000" w:themeColor="text1"/>
        </w:rPr>
      </w:pPr>
      <w:r w:rsidRPr="00F261DB">
        <w:rPr>
          <w:rFonts w:eastAsia="Times New Roman"/>
          <w:noProof/>
          <w:color w:val="000000" w:themeColor="text1"/>
        </w:rPr>
        <w:t>There was strong support for the prioritisation of decarbonisation projects. Respondents emphasised the importance of eligibility criteria remaining broad and flexible to reflect the technological diversity and specific decarbonisation pathways across sectors. There was broad agreement that prioritised projects should benefit from simplified permitting, fast-track approval processes, and access to de-risking instruments such as public guarantees.</w:t>
      </w:r>
    </w:p>
    <w:p w14:paraId="289F38AE" w14:textId="77777777" w:rsidR="00020031" w:rsidRPr="00F261DB" w:rsidRDefault="00020031" w:rsidP="003E4DEF">
      <w:pPr>
        <w:spacing w:after="120"/>
        <w:rPr>
          <w:rFonts w:eastAsia="Times New Roman"/>
          <w:noProof/>
          <w:color w:val="000000" w:themeColor="text1"/>
        </w:rPr>
      </w:pPr>
      <w:r w:rsidRPr="00F261DB">
        <w:rPr>
          <w:rFonts w:eastAsia="Times New Roman"/>
          <w:b/>
          <w:noProof/>
          <w:color w:val="000000" w:themeColor="text1"/>
        </w:rPr>
        <w:t>Creation and Protection of European Lead Markets for Low-Carbon Products</w:t>
      </w:r>
    </w:p>
    <w:p w14:paraId="0380941C" w14:textId="77777777" w:rsidR="00BB7EA3" w:rsidRPr="00CD2CD8" w:rsidRDefault="00020031" w:rsidP="00980612">
      <w:pPr>
        <w:spacing w:after="120"/>
        <w:rPr>
          <w:rFonts w:eastAsia="Times New Roman"/>
          <w:noProof/>
          <w:color w:val="000000" w:themeColor="text1"/>
        </w:rPr>
      </w:pPr>
      <w:r w:rsidRPr="00F261DB">
        <w:rPr>
          <w:rFonts w:eastAsia="Times New Roman"/>
          <w:noProof/>
          <w:color w:val="000000" w:themeColor="text1"/>
        </w:rPr>
        <w:t xml:space="preserve">Stakeholders broadly supported the development of lead markets as a key mechanism to stimulate demand for low-carbon products and foster investment in decarbonised production, confirming the results of the Public Consultation. A majority welcomed the introduction of low-carbon labels and minimum EU content requirements, although some expressed concern about possible market distortions and administrative burdens. Across sectors, there was strong support for harmonised environmental standards, including the application of life-cycle assessment </w:t>
      </w:r>
      <w:r w:rsidR="00FD5291" w:rsidRPr="00CD2CD8">
        <w:rPr>
          <w:rFonts w:eastAsia="Times New Roman"/>
          <w:noProof/>
          <w:color w:val="000000" w:themeColor="text1"/>
        </w:rPr>
        <w:t xml:space="preserve">(LCA) </w:t>
      </w:r>
      <w:r w:rsidRPr="00F261DB">
        <w:rPr>
          <w:rFonts w:eastAsia="Times New Roman"/>
          <w:noProof/>
          <w:color w:val="000000" w:themeColor="text1"/>
        </w:rPr>
        <w:t>methodologies and the integration of social and resilience criteria in procurement practices.</w:t>
      </w:r>
    </w:p>
    <w:p w14:paraId="6D2640CE" w14:textId="78063835" w:rsidR="00BB7EA3" w:rsidRPr="00CD2CD8" w:rsidRDefault="00020031" w:rsidP="002328A5">
      <w:pPr>
        <w:spacing w:after="120"/>
        <w:rPr>
          <w:rFonts w:eastAsia="Times New Roman"/>
          <w:noProof/>
          <w:color w:val="000000" w:themeColor="text1"/>
        </w:rPr>
      </w:pPr>
      <w:r w:rsidRPr="00F261DB">
        <w:rPr>
          <w:rFonts w:eastAsia="Times New Roman"/>
          <w:noProof/>
          <w:color w:val="000000" w:themeColor="text1"/>
        </w:rPr>
        <w:t xml:space="preserve">While public procurement was broadly acknowledged as a potential driver of demand, several contributions pointed out that its current reach is too limited and must be complemented by initiatives for all products put on the market. </w:t>
      </w:r>
    </w:p>
    <w:p w14:paraId="204CC4AE" w14:textId="77777777" w:rsidR="002328A5" w:rsidRDefault="00020031" w:rsidP="002328A5">
      <w:pPr>
        <w:spacing w:after="120"/>
        <w:rPr>
          <w:noProof/>
        </w:rPr>
      </w:pPr>
      <w:r w:rsidRPr="00F261DB">
        <w:rPr>
          <w:rFonts w:eastAsia="Times New Roman"/>
          <w:b/>
          <w:noProof/>
          <w:color w:val="000000" w:themeColor="text1"/>
        </w:rPr>
        <w:t>Streamlining and speeding-up permitting procedures</w:t>
      </w:r>
    </w:p>
    <w:p w14:paraId="79692FD6" w14:textId="32952F85" w:rsidR="00BB7EA3" w:rsidRPr="00CD2CD8" w:rsidRDefault="00020031" w:rsidP="002137AC">
      <w:pPr>
        <w:spacing w:after="120"/>
        <w:rPr>
          <w:rFonts w:eastAsia="Times New Roman"/>
          <w:noProof/>
          <w:color w:val="000000" w:themeColor="text1"/>
        </w:rPr>
      </w:pPr>
      <w:r w:rsidRPr="00F261DB">
        <w:rPr>
          <w:rFonts w:eastAsia="Times New Roman"/>
          <w:noProof/>
          <w:color w:val="000000" w:themeColor="text1"/>
        </w:rPr>
        <w:t>Permitting processes were identified across all sectors as one of the main challenges to the timely implementation of decarbonisation projects. Stakeholders described the permitting process as fragmented, non-transparent, and excessively slow. Particular concerns were expressed regarding the lack of uniformity across Member States and the complexity of navigating approvals for grid infrastructure, electrification, and hydrogen deployment.</w:t>
      </w:r>
    </w:p>
    <w:p w14:paraId="6E2E0F81" w14:textId="587CF1C5" w:rsidR="00020031" w:rsidRPr="00CD2CD8" w:rsidRDefault="00020031" w:rsidP="00901F8C">
      <w:pPr>
        <w:spacing w:after="120"/>
        <w:rPr>
          <w:rFonts w:eastAsia="Times New Roman"/>
          <w:noProof/>
          <w:color w:val="000000" w:themeColor="text1"/>
        </w:rPr>
      </w:pPr>
      <w:r w:rsidRPr="00F261DB">
        <w:rPr>
          <w:rFonts w:eastAsia="Times New Roman"/>
          <w:noProof/>
          <w:color w:val="000000" w:themeColor="text1"/>
        </w:rPr>
        <w:t xml:space="preserve">In response, there was a strong call for the creation of a streamlined EU-wide permitting framework, which includes digitalised processes, legally enforceable deadlines, and centralised contact points. This included support for tacit approval and fast tracking. There was also recognition that SMEs actors face disproportionately high administrative burdens under the current system, and that simplified procedures are needed. </w:t>
      </w:r>
    </w:p>
    <w:p w14:paraId="13DB7A27" w14:textId="77777777" w:rsidR="00020031" w:rsidRPr="00F261DB" w:rsidRDefault="00020031" w:rsidP="00901F8C">
      <w:pPr>
        <w:spacing w:after="120"/>
        <w:rPr>
          <w:rFonts w:eastAsia="Times New Roman"/>
          <w:noProof/>
          <w:color w:val="000000" w:themeColor="text1"/>
        </w:rPr>
      </w:pPr>
      <w:r w:rsidRPr="00F261DB">
        <w:rPr>
          <w:rFonts w:eastAsia="Times New Roman"/>
          <w:b/>
          <w:noProof/>
          <w:color w:val="000000" w:themeColor="text1"/>
        </w:rPr>
        <w:t>Foreign Direct Investments</w:t>
      </w:r>
    </w:p>
    <w:p w14:paraId="65E9EA88" w14:textId="77777777" w:rsidR="00020031" w:rsidRPr="00F261DB" w:rsidRDefault="00020031" w:rsidP="00901F8C">
      <w:pPr>
        <w:spacing w:after="120"/>
        <w:rPr>
          <w:rFonts w:eastAsia="Times New Roman"/>
          <w:noProof/>
          <w:color w:val="000000" w:themeColor="text1"/>
        </w:rPr>
      </w:pPr>
      <w:r w:rsidRPr="00F261DB">
        <w:rPr>
          <w:rFonts w:eastAsia="Times New Roman"/>
          <w:noProof/>
          <w:color w:val="000000" w:themeColor="text1"/>
        </w:rPr>
        <w:t>FDI was viewed as essential for scaling infrastructure and clean technologies. Stakeholders stressed aligning FDI with EU goals and safeguarding domestic standards. High energy costs and regulation could deter FDI without better risk-sharing tools.</w:t>
      </w:r>
    </w:p>
    <w:p w14:paraId="59D73E5E" w14:textId="77777777" w:rsidR="00020031" w:rsidRPr="00F261DB" w:rsidRDefault="00020031" w:rsidP="00901F8C">
      <w:pPr>
        <w:spacing w:after="120"/>
        <w:rPr>
          <w:noProof/>
        </w:rPr>
      </w:pPr>
      <w:r w:rsidRPr="00901F8C">
        <w:rPr>
          <w:rFonts w:eastAsia="Times New Roman"/>
          <w:noProof/>
          <w:color w:val="000000" w:themeColor="text1"/>
        </w:rPr>
        <w:t xml:space="preserve">Stakeholders proposed several solutions, including the </w:t>
      </w:r>
      <w:r w:rsidR="00D861C8" w:rsidRPr="00901F8C">
        <w:rPr>
          <w:rFonts w:eastAsia="Times New Roman"/>
          <w:noProof/>
          <w:color w:val="000000" w:themeColor="text1"/>
        </w:rPr>
        <w:t>definitio</w:t>
      </w:r>
      <w:r w:rsidRPr="00901F8C">
        <w:rPr>
          <w:rFonts w:eastAsia="Times New Roman"/>
          <w:noProof/>
          <w:color w:val="000000" w:themeColor="text1"/>
        </w:rPr>
        <w:t>n of clear sustainability benchmarks</w:t>
      </w:r>
      <w:r w:rsidRPr="00F261DB">
        <w:rPr>
          <w:rFonts w:eastAsia="Times New Roman"/>
          <w:noProof/>
        </w:rPr>
        <w:t>, incorporation of EU content requirements, and the design of FDI frameworks that complement rather than displace existing industrial capacities.</w:t>
      </w:r>
    </w:p>
    <w:p w14:paraId="3180899F" w14:textId="79BC1A3A" w:rsidR="00020031" w:rsidRPr="00F261DB" w:rsidRDefault="00020031" w:rsidP="00EE38B9">
      <w:pPr>
        <w:pStyle w:val="ListParagraph"/>
        <w:keepNext/>
        <w:keepLines/>
        <w:numPr>
          <w:ilvl w:val="0"/>
          <w:numId w:val="123"/>
        </w:numPr>
        <w:spacing w:before="360" w:after="80"/>
        <w:outlineLvl w:val="0"/>
        <w:rPr>
          <w:rFonts w:eastAsia="Yu Gothic Light"/>
          <w:b/>
          <w:noProof/>
        </w:rPr>
      </w:pPr>
      <w:bookmarkStart w:id="168" w:name="_Toc207192541"/>
      <w:bookmarkStart w:id="169" w:name="_Toc212728793"/>
      <w:bookmarkStart w:id="170" w:name="_Toc212729067"/>
      <w:bookmarkStart w:id="171" w:name="_Toc212729319"/>
      <w:bookmarkStart w:id="172" w:name="_Toc215506263"/>
      <w:bookmarkStart w:id="173" w:name="_Toc222159314"/>
      <w:bookmarkStart w:id="174" w:name="_Toc222489518"/>
      <w:bookmarkStart w:id="175" w:name="_Toc222490007"/>
      <w:r w:rsidRPr="00F261DB">
        <w:rPr>
          <w:rFonts w:eastAsia="Yu Gothic Light"/>
          <w:b/>
          <w:noProof/>
        </w:rPr>
        <w:t xml:space="preserve">Targeted </w:t>
      </w:r>
      <w:r w:rsidR="00D3482D">
        <w:rPr>
          <w:rFonts w:eastAsia="Yu Gothic Light"/>
          <w:b/>
          <w:noProof/>
        </w:rPr>
        <w:t>c</w:t>
      </w:r>
      <w:r w:rsidRPr="00F261DB">
        <w:rPr>
          <w:rFonts w:eastAsia="Yu Gothic Light"/>
          <w:b/>
          <w:noProof/>
        </w:rPr>
        <w:t>onsultation for EIIs</w:t>
      </w:r>
      <w:bookmarkEnd w:id="168"/>
      <w:bookmarkEnd w:id="169"/>
      <w:bookmarkEnd w:id="170"/>
      <w:bookmarkEnd w:id="171"/>
      <w:bookmarkEnd w:id="172"/>
      <w:bookmarkEnd w:id="173"/>
      <w:bookmarkEnd w:id="174"/>
      <w:bookmarkEnd w:id="175"/>
    </w:p>
    <w:p w14:paraId="2B2C5AB3" w14:textId="0DD767C2" w:rsidR="00020031" w:rsidRPr="00F261DB" w:rsidRDefault="00020031" w:rsidP="00901F8C">
      <w:pPr>
        <w:spacing w:after="120"/>
        <w:rPr>
          <w:rFonts w:eastAsia="Times New Roman"/>
          <w:noProof/>
          <w:color w:val="000000" w:themeColor="text1"/>
        </w:rPr>
      </w:pPr>
      <w:r w:rsidRPr="00F261DB">
        <w:rPr>
          <w:rFonts w:eastAsia="Times New Roman"/>
          <w:b/>
          <w:noProof/>
          <w:color w:val="000000" w:themeColor="text1"/>
        </w:rPr>
        <w:t xml:space="preserve">3.1 Targeted </w:t>
      </w:r>
      <w:r w:rsidR="00D3482D">
        <w:rPr>
          <w:rFonts w:eastAsia="Times New Roman"/>
          <w:b/>
          <w:noProof/>
          <w:color w:val="000000" w:themeColor="text1"/>
        </w:rPr>
        <w:t>s</w:t>
      </w:r>
      <w:r w:rsidRPr="00F261DB">
        <w:rPr>
          <w:rFonts w:eastAsia="Times New Roman"/>
          <w:b/>
          <w:noProof/>
          <w:color w:val="000000" w:themeColor="text1"/>
        </w:rPr>
        <w:t>urvey</w:t>
      </w:r>
    </w:p>
    <w:p w14:paraId="257E46AB" w14:textId="77777777" w:rsidR="00020031" w:rsidRPr="00F261DB" w:rsidRDefault="00020031" w:rsidP="00901F8C">
      <w:pPr>
        <w:spacing w:after="120"/>
        <w:rPr>
          <w:rFonts w:eastAsia="Times New Roman"/>
          <w:b/>
          <w:noProof/>
          <w:color w:val="000000" w:themeColor="text1"/>
        </w:rPr>
      </w:pPr>
      <w:r w:rsidRPr="00F261DB">
        <w:rPr>
          <w:rFonts w:eastAsia="Times New Roman"/>
          <w:b/>
          <w:noProof/>
          <w:color w:val="000000" w:themeColor="text1"/>
        </w:rPr>
        <w:t>Overview</w:t>
      </w:r>
    </w:p>
    <w:p w14:paraId="0F8D75B8" w14:textId="77777777" w:rsidR="00020031" w:rsidRPr="00F261DB" w:rsidRDefault="00020031" w:rsidP="00901F8C">
      <w:pPr>
        <w:spacing w:after="120"/>
        <w:rPr>
          <w:rFonts w:eastAsia="Times New Roman"/>
          <w:noProof/>
          <w:color w:val="000000" w:themeColor="text1"/>
        </w:rPr>
      </w:pPr>
      <w:r w:rsidRPr="00F261DB">
        <w:rPr>
          <w:rFonts w:eastAsia="Times New Roman"/>
          <w:noProof/>
          <w:color w:val="000000" w:themeColor="text1"/>
        </w:rPr>
        <w:t>The targeted consultation questionnaire included questions on the creation and protection of European lead markets for low-carbon products, as well as the streamlining and acceleration of permitting procedures for industrial access to energy and decarbonisation.</w:t>
      </w:r>
    </w:p>
    <w:p w14:paraId="636DE803" w14:textId="77777777" w:rsidR="00901F8C" w:rsidRDefault="00020031" w:rsidP="00901F8C">
      <w:pPr>
        <w:spacing w:after="120"/>
        <w:rPr>
          <w:rFonts w:eastAsia="Times New Roman"/>
          <w:noProof/>
          <w:color w:val="000000" w:themeColor="text1"/>
        </w:rPr>
      </w:pPr>
      <w:r w:rsidRPr="00F261DB">
        <w:rPr>
          <w:rFonts w:eastAsia="Times New Roman"/>
          <w:b/>
          <w:noProof/>
          <w:color w:val="000000" w:themeColor="text1"/>
        </w:rPr>
        <w:t>Creation and Protection of European Lead Markets for Low-Carbon Products</w:t>
      </w:r>
    </w:p>
    <w:p w14:paraId="0A6A9F93" w14:textId="77777777" w:rsidR="00020031" w:rsidRPr="00F261DB" w:rsidRDefault="00020031" w:rsidP="00901F8C">
      <w:pPr>
        <w:spacing w:after="120"/>
        <w:rPr>
          <w:rFonts w:eastAsia="Times New Roman"/>
          <w:noProof/>
          <w:color w:val="000000" w:themeColor="text1"/>
        </w:rPr>
      </w:pPr>
      <w:r w:rsidRPr="00F261DB">
        <w:rPr>
          <w:rFonts w:eastAsia="Times New Roman"/>
          <w:noProof/>
          <w:color w:val="000000" w:themeColor="text1"/>
        </w:rPr>
        <w:lastRenderedPageBreak/>
        <w:t xml:space="preserve">A large majority of respondents, 56 (90%) out of 62, agreed that stimulating demand for low-carbon industrial products is essential, with support consistent across company sizes and stakeholder groups. </w:t>
      </w:r>
    </w:p>
    <w:p w14:paraId="37786DC5" w14:textId="4A2E1949" w:rsidR="00020031" w:rsidRPr="00F261DB" w:rsidRDefault="00020031" w:rsidP="00901F8C">
      <w:pPr>
        <w:spacing w:after="120"/>
        <w:rPr>
          <w:rFonts w:eastAsia="Times New Roman"/>
          <w:noProof/>
          <w:color w:val="000000" w:themeColor="text1"/>
        </w:rPr>
      </w:pPr>
      <w:r w:rsidRPr="00F261DB">
        <w:rPr>
          <w:rFonts w:eastAsia="Times New Roman"/>
          <w:noProof/>
          <w:color w:val="000000" w:themeColor="text1"/>
        </w:rPr>
        <w:t xml:space="preserve">When looking at </w:t>
      </w:r>
      <w:r w:rsidRPr="00F261DB">
        <w:rPr>
          <w:rFonts w:eastAsia="Times New Roman"/>
          <w:b/>
          <w:noProof/>
          <w:color w:val="000000" w:themeColor="text1"/>
        </w:rPr>
        <w:t>key design principles for low-carbon requirements,</w:t>
      </w:r>
      <w:r w:rsidRPr="00F261DB">
        <w:rPr>
          <w:rFonts w:eastAsia="Times New Roman"/>
          <w:noProof/>
          <w:color w:val="000000" w:themeColor="text1"/>
        </w:rPr>
        <w:t xml:space="preserve"> a technology-neutral, performance-based approach was backed by 13 respondents (21%) with another 13 (21%) stressing the need for regulatory flexibility. Lifecycle assessment methods were considered essential by 19 respondents (31%) and progressive tightening of benchmarks over time was proposed in 20 responses (32%). Green Public Procurement emerged as a key lever in 17 replies (27%), with calls for integrating CO₂ benchmarks, lifecycle criteria, and EU-origin rules. Additionally, 10 respondents (16%) recommended harmonised labelling and certification, while financial support was emphasi</w:t>
      </w:r>
      <w:r w:rsidR="00BA637D">
        <w:rPr>
          <w:rFonts w:eastAsia="Times New Roman"/>
          <w:noProof/>
          <w:color w:val="000000" w:themeColor="text1"/>
        </w:rPr>
        <w:t>s</w:t>
      </w:r>
      <w:r w:rsidRPr="00F261DB">
        <w:rPr>
          <w:rFonts w:eastAsia="Times New Roman"/>
          <w:noProof/>
          <w:color w:val="000000" w:themeColor="text1"/>
        </w:rPr>
        <w:t xml:space="preserve">ed in 15 responses (24%). </w:t>
      </w:r>
    </w:p>
    <w:p w14:paraId="2217EE38" w14:textId="77777777" w:rsidR="00020031" w:rsidRPr="00F261DB" w:rsidRDefault="00020031" w:rsidP="00901F8C">
      <w:pPr>
        <w:spacing w:after="120"/>
        <w:rPr>
          <w:rFonts w:eastAsia="Times New Roman"/>
          <w:noProof/>
          <w:color w:val="000000" w:themeColor="text1"/>
        </w:rPr>
      </w:pPr>
      <w:r w:rsidRPr="00F261DB">
        <w:rPr>
          <w:rFonts w:eastAsia="Times New Roman"/>
          <w:noProof/>
          <w:color w:val="000000" w:themeColor="text1"/>
        </w:rPr>
        <w:t xml:space="preserve">Regarding the </w:t>
      </w:r>
      <w:r w:rsidRPr="00F261DB">
        <w:rPr>
          <w:rFonts w:eastAsia="Times New Roman"/>
          <w:b/>
          <w:noProof/>
          <w:color w:val="000000" w:themeColor="text1"/>
        </w:rPr>
        <w:t>cost impact of low-carbon alternatives and downstream pricing</w:t>
      </w:r>
      <w:r w:rsidRPr="00F261DB">
        <w:rPr>
          <w:rFonts w:eastAsia="Times New Roman"/>
          <w:noProof/>
          <w:color w:val="000000" w:themeColor="text1"/>
        </w:rPr>
        <w:t>, stakeholders across energy-intensive industries reported significant cost increases tied to low-carbon production—typically 10–50%, sometimes higher. However, most agreed the effect on final product prices is modest. By sector breakdown:</w:t>
      </w:r>
    </w:p>
    <w:p w14:paraId="0B1A910C" w14:textId="77777777" w:rsidR="00020031" w:rsidRPr="00F261DB" w:rsidRDefault="00020031" w:rsidP="003F3451">
      <w:pPr>
        <w:pStyle w:val="ListParagraph"/>
        <w:numPr>
          <w:ilvl w:val="0"/>
          <w:numId w:val="42"/>
        </w:numPr>
        <w:spacing w:before="240"/>
        <w:rPr>
          <w:rFonts w:eastAsia="Times New Roman"/>
          <w:noProof/>
          <w:color w:val="000000" w:themeColor="text1"/>
        </w:rPr>
      </w:pPr>
      <w:r w:rsidRPr="00901F8C">
        <w:rPr>
          <w:rFonts w:eastAsia="Times New Roman"/>
          <w:noProof/>
          <w:color w:val="000000" w:themeColor="text1"/>
          <w:u w:val="single"/>
        </w:rPr>
        <w:t>Cement</w:t>
      </w:r>
      <w:r w:rsidRPr="00F261DB">
        <w:rPr>
          <w:rFonts w:eastAsia="Times New Roman"/>
          <w:noProof/>
          <w:color w:val="000000" w:themeColor="text1"/>
        </w:rPr>
        <w:t>: All respondents agreed low-carbon cement has little or no impact on construction costs. Studies show even doubling cement prices raises building costs by only 1–3%.</w:t>
      </w:r>
    </w:p>
    <w:p w14:paraId="153B1D67" w14:textId="77777777" w:rsidR="00020031" w:rsidRPr="00F261DB" w:rsidRDefault="00020031" w:rsidP="003F3451">
      <w:pPr>
        <w:pStyle w:val="ListParagraph"/>
        <w:numPr>
          <w:ilvl w:val="0"/>
          <w:numId w:val="42"/>
        </w:numPr>
        <w:rPr>
          <w:rFonts w:eastAsia="Times New Roman"/>
          <w:noProof/>
          <w:color w:val="000000" w:themeColor="text1"/>
        </w:rPr>
      </w:pPr>
      <w:r w:rsidRPr="00901F8C">
        <w:rPr>
          <w:rFonts w:eastAsia="Times New Roman"/>
          <w:noProof/>
          <w:color w:val="000000" w:themeColor="text1"/>
          <w:u w:val="single"/>
        </w:rPr>
        <w:t>Steel</w:t>
      </w:r>
      <w:r w:rsidRPr="00F261DB">
        <w:rPr>
          <w:rFonts w:eastAsia="Times New Roman"/>
          <w:noProof/>
          <w:color w:val="000000" w:themeColor="text1"/>
        </w:rPr>
        <w:t>: 14 of 18 (77%) respondents reported minimal downstream price effects from low-carbon steel, citing studies and internal data: &lt;1% for an average car; 0.1–0.2% for buildings; 0.6–1.2% for industrial sites; 1.6–5.5% for appliances and offshore wind; 0.15–0.5% for military vehicles.</w:t>
      </w:r>
    </w:p>
    <w:p w14:paraId="17E3BA0F" w14:textId="77777777" w:rsidR="00020031" w:rsidRPr="00F261DB" w:rsidRDefault="00020031" w:rsidP="003F3451">
      <w:pPr>
        <w:pStyle w:val="ListParagraph"/>
        <w:numPr>
          <w:ilvl w:val="0"/>
          <w:numId w:val="42"/>
        </w:numPr>
        <w:rPr>
          <w:rFonts w:eastAsia="Times New Roman"/>
          <w:noProof/>
          <w:color w:val="000000" w:themeColor="text1"/>
        </w:rPr>
      </w:pPr>
      <w:r w:rsidRPr="00901F8C">
        <w:rPr>
          <w:rFonts w:eastAsia="Times New Roman"/>
          <w:noProof/>
          <w:color w:val="000000" w:themeColor="text1"/>
          <w:u w:val="single"/>
        </w:rPr>
        <w:t>Chemicals</w:t>
      </w:r>
      <w:r w:rsidRPr="00F261DB">
        <w:rPr>
          <w:rFonts w:eastAsia="Times New Roman"/>
          <w:noProof/>
          <w:color w:val="000000" w:themeColor="text1"/>
        </w:rPr>
        <w:t>: Stakeholders noted variability across products; most estimates place end-product cost increases at 1–5%.</w:t>
      </w:r>
    </w:p>
    <w:p w14:paraId="1665896C" w14:textId="271370BB" w:rsidR="00020031" w:rsidRPr="00F261DB" w:rsidRDefault="00020031" w:rsidP="003F3451">
      <w:pPr>
        <w:pStyle w:val="ListParagraph"/>
        <w:numPr>
          <w:ilvl w:val="0"/>
          <w:numId w:val="42"/>
        </w:numPr>
        <w:rPr>
          <w:rFonts w:eastAsia="Times New Roman"/>
          <w:noProof/>
          <w:color w:val="000000" w:themeColor="text1"/>
        </w:rPr>
      </w:pPr>
      <w:r w:rsidRPr="00901F8C">
        <w:rPr>
          <w:rFonts w:eastAsia="Times New Roman"/>
          <w:noProof/>
          <w:color w:val="000000" w:themeColor="text1"/>
          <w:u w:val="single"/>
        </w:rPr>
        <w:t>Ceramics</w:t>
      </w:r>
      <w:r w:rsidRPr="00F261DB">
        <w:rPr>
          <w:rFonts w:eastAsia="Times New Roman"/>
          <w:noProof/>
          <w:color w:val="000000" w:themeColor="text1"/>
        </w:rPr>
        <w:t>: Producers anticipate significant value chain cost increases, stressing low price elasticity in key downstream sectors.</w:t>
      </w:r>
    </w:p>
    <w:p w14:paraId="5055C202" w14:textId="77777777" w:rsidR="00020031" w:rsidRDefault="00020031" w:rsidP="003F3451">
      <w:pPr>
        <w:pStyle w:val="ListParagraph"/>
        <w:numPr>
          <w:ilvl w:val="0"/>
          <w:numId w:val="42"/>
        </w:numPr>
        <w:spacing w:before="240"/>
        <w:rPr>
          <w:rFonts w:eastAsia="Times New Roman"/>
          <w:noProof/>
          <w:color w:val="000000" w:themeColor="text1"/>
        </w:rPr>
      </w:pPr>
      <w:r w:rsidRPr="00901F8C">
        <w:rPr>
          <w:rFonts w:eastAsia="Times New Roman"/>
          <w:noProof/>
          <w:color w:val="000000" w:themeColor="text1"/>
          <w:u w:val="single"/>
        </w:rPr>
        <w:t>Glass, non-ferrous metals, pulp &amp; paper</w:t>
      </w:r>
      <w:r w:rsidRPr="00F261DB">
        <w:rPr>
          <w:rFonts w:eastAsia="Times New Roman"/>
          <w:noProof/>
          <w:color w:val="000000" w:themeColor="text1"/>
        </w:rPr>
        <w:t>: No figures or clear data.</w:t>
      </w:r>
    </w:p>
    <w:p w14:paraId="74004F0A" w14:textId="77777777" w:rsidR="00B54F08" w:rsidRPr="00F261DB" w:rsidRDefault="00B54F08" w:rsidP="00B54F08">
      <w:pPr>
        <w:pStyle w:val="ListParagraph"/>
        <w:spacing w:before="240"/>
        <w:rPr>
          <w:rFonts w:eastAsia="Times New Roman"/>
          <w:noProof/>
          <w:color w:val="000000" w:themeColor="text1"/>
        </w:rPr>
      </w:pPr>
    </w:p>
    <w:p w14:paraId="0500B566" w14:textId="77777777"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Risks of material substitution due to low-carbon requirements</w:t>
      </w:r>
      <w:r w:rsidRPr="00F261DB">
        <w:rPr>
          <w:rFonts w:eastAsia="Times New Roman"/>
          <w:noProof/>
          <w:color w:val="000000" w:themeColor="text1"/>
        </w:rPr>
        <w:t xml:space="preserve"> vary across sectors; however, most respondents agreed that the risks can be mitigated with lifecycle-based, material-neutral policies applied consistently across sectors and imports. </w:t>
      </w:r>
    </w:p>
    <w:p w14:paraId="073BC866" w14:textId="06B8FD8D"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Regarding </w:t>
      </w:r>
      <w:r w:rsidRPr="00F261DB">
        <w:rPr>
          <w:rFonts w:eastAsia="Times New Roman"/>
          <w:b/>
          <w:noProof/>
          <w:color w:val="000000" w:themeColor="text1"/>
        </w:rPr>
        <w:t>social and economic impacts of low-carbon requirements,</w:t>
      </w:r>
      <w:r w:rsidRPr="00F261DB">
        <w:rPr>
          <w:rFonts w:eastAsia="Times New Roman"/>
          <w:noProof/>
          <w:color w:val="000000" w:themeColor="text1"/>
        </w:rPr>
        <w:t xml:space="preserve"> 45 (75%) </w:t>
      </w:r>
      <w:r w:rsidR="00667B62" w:rsidRPr="00F261DB">
        <w:rPr>
          <w:rFonts w:eastAsia="Times New Roman"/>
          <w:noProof/>
          <w:color w:val="000000" w:themeColor="text1"/>
        </w:rPr>
        <w:t xml:space="preserve">out </w:t>
      </w:r>
      <w:r w:rsidRPr="00F261DB">
        <w:rPr>
          <w:rFonts w:eastAsia="Times New Roman"/>
          <w:noProof/>
          <w:color w:val="000000" w:themeColor="text1"/>
        </w:rPr>
        <w:t xml:space="preserve">of 62 respondents saw long-term socio-economic benefits from low-carbon requirements. However, 27% warned of short-term risks, including higher production costs, investment pressure (CAPEX/OPEX), inflation, job losses, and delocalisation. </w:t>
      </w:r>
    </w:p>
    <w:p w14:paraId="1B83A954" w14:textId="77777777"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Stakeholder views on the </w:t>
      </w:r>
      <w:r w:rsidRPr="00F261DB">
        <w:rPr>
          <w:rFonts w:eastAsia="Times New Roman"/>
          <w:b/>
          <w:noProof/>
          <w:color w:val="000000" w:themeColor="text1"/>
        </w:rPr>
        <w:t>impact of low-carbon requirements on SMEs</w:t>
      </w:r>
      <w:r w:rsidRPr="00F261DB">
        <w:rPr>
          <w:rFonts w:eastAsia="Times New Roman"/>
          <w:noProof/>
          <w:color w:val="000000" w:themeColor="text1"/>
        </w:rPr>
        <w:t xml:space="preserve"> were mixed. 29 (47%) out of 62 respondents believed the requirements are supportive of SMEs, while 24 (39%) expressed concern over barriers such as high upfront costs, administrative burden, and limited access to finance or technical support. </w:t>
      </w:r>
    </w:p>
    <w:p w14:paraId="2503BECE" w14:textId="77777777" w:rsidR="00020031" w:rsidRPr="00F261DB" w:rsidRDefault="00020031" w:rsidP="00B54F08">
      <w:pPr>
        <w:spacing w:after="120"/>
        <w:rPr>
          <w:rFonts w:eastAsia="Times New Roman"/>
          <w:b/>
          <w:noProof/>
          <w:color w:val="000000" w:themeColor="text1"/>
        </w:rPr>
      </w:pPr>
      <w:r w:rsidRPr="00F261DB">
        <w:rPr>
          <w:rFonts w:eastAsia="Times New Roman"/>
          <w:b/>
          <w:noProof/>
          <w:color w:val="000000" w:themeColor="text1"/>
        </w:rPr>
        <w:t>EU content requirements for industrial products</w:t>
      </w:r>
    </w:p>
    <w:p w14:paraId="1BBB9CA9" w14:textId="77777777"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Support for stimulating demand for EU-made industrial products was strong across stakeholder groups, with 53 (86%) out of 62 respondents in favour. Stakeholders showed a clear preference for </w:t>
      </w:r>
      <w:r w:rsidRPr="00F261DB">
        <w:rPr>
          <w:rFonts w:eastAsia="Times New Roman"/>
          <w:b/>
          <w:noProof/>
          <w:color w:val="000000" w:themeColor="text1"/>
        </w:rPr>
        <w:t>defining “EU content”</w:t>
      </w:r>
      <w:r w:rsidRPr="00F261DB">
        <w:rPr>
          <w:rFonts w:eastAsia="Times New Roman"/>
          <w:noProof/>
          <w:color w:val="000000" w:themeColor="text1"/>
        </w:rPr>
        <w:t xml:space="preserve"> </w:t>
      </w:r>
      <w:r w:rsidRPr="00F261DB">
        <w:rPr>
          <w:rFonts w:eastAsia="Times New Roman"/>
          <w:b/>
          <w:noProof/>
          <w:color w:val="000000" w:themeColor="text1"/>
        </w:rPr>
        <w:t>in industrial products</w:t>
      </w:r>
      <w:r w:rsidRPr="00F261DB">
        <w:rPr>
          <w:rFonts w:eastAsia="Times New Roman"/>
          <w:noProof/>
          <w:color w:val="000000" w:themeColor="text1"/>
        </w:rPr>
        <w:t xml:space="preserve"> based on value creation within the EU, with 51% supporting minimum percentage of the value creation (i.e. value of the final product compared to initial input) in the EU, followed by a minimum share of specific materials used in a product to be manufactured in the EU (23%), products to have proof of origin or traceability </w:t>
      </w:r>
      <w:r w:rsidRPr="00F261DB">
        <w:rPr>
          <w:rFonts w:eastAsia="Times New Roman"/>
          <w:noProof/>
          <w:color w:val="000000" w:themeColor="text1"/>
        </w:rPr>
        <w:lastRenderedPageBreak/>
        <w:t>certification showing compliance with EU content rules (10%) and specific production steps or final assembly taking place within EU (8%).</w:t>
      </w:r>
    </w:p>
    <w:p w14:paraId="0775BF3D" w14:textId="77777777"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Regarding the most appropriate</w:t>
      </w:r>
      <w:r w:rsidRPr="00F261DB">
        <w:rPr>
          <w:rFonts w:eastAsia="Times New Roman"/>
          <w:b/>
          <w:noProof/>
          <w:color w:val="000000" w:themeColor="text1"/>
        </w:rPr>
        <w:t xml:space="preserve"> policy instruments to introduce minimum EU content requirements</w:t>
      </w:r>
      <w:r w:rsidRPr="00F261DB">
        <w:rPr>
          <w:rFonts w:eastAsia="Times New Roman"/>
          <w:noProof/>
          <w:color w:val="000000" w:themeColor="text1"/>
        </w:rPr>
        <w:t>, the responses favoured all forms of public funding and support schemes (35%), followed by private procurement (i.e., product requirements) (23%), and public procurement (19%).</w:t>
      </w:r>
    </w:p>
    <w:p w14:paraId="4B363158" w14:textId="0D793E6E"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Stakeholder</w:t>
      </w:r>
      <w:r w:rsidRPr="00F261DB">
        <w:rPr>
          <w:rFonts w:eastAsia="Times New Roman"/>
          <w:b/>
          <w:noProof/>
          <w:color w:val="000000" w:themeColor="text1"/>
        </w:rPr>
        <w:t xml:space="preserve"> views on traceability of EU origin</w:t>
      </w:r>
      <w:r w:rsidRPr="00F261DB">
        <w:rPr>
          <w:rFonts w:eastAsia="Times New Roman"/>
          <w:noProof/>
          <w:color w:val="000000" w:themeColor="text1"/>
        </w:rPr>
        <w:t xml:space="preserve"> vary, with most supporting sector-specific or existing frameworks for practicality and enforceability. In cement, 43% supported traceability via tools like Environmental Product Declarations and origin disclosures under the</w:t>
      </w:r>
      <w:r w:rsidR="00852E10">
        <w:rPr>
          <w:rFonts w:eastAsia="Times New Roman"/>
          <w:noProof/>
          <w:color w:val="000000" w:themeColor="text1"/>
        </w:rPr>
        <w:t xml:space="preserve"> CPR</w:t>
      </w:r>
      <w:r w:rsidRPr="00F261DB">
        <w:rPr>
          <w:rFonts w:eastAsia="Times New Roman"/>
          <w:noProof/>
          <w:color w:val="000000" w:themeColor="text1"/>
        </w:rPr>
        <w:t>, while 29% viewed origin tracking as irrelevant. Ceramics unanimously supported direct application of EU Rules of Origin. In chemicals, 50% favoured sector-adapted Digital Product Passports, but 25% expressed uncertainty due to supply chain fragmentation. Glass stakeholders fully supported traceability using existing tools like CE marking and Declarations of Performance, especially with Digital Product Passports. In iron and steel, 72% backed traceability with the "Melted and Poured in the EU" rule, Mill Test Certificates, and Digital Product Passports, but warned of loopholes and complexity. Non-ferrous metals had 60% support for traceability through origin checks, mass-balance approaches, and import monitoring, with concerns over scrap-based supply chains. The sole pulp and paper respondent supported traceability using existing systems like the EU Deforestation Regulation, FSC/PEFC certifications, and Declarations of Compliance</w:t>
      </w:r>
      <w:r w:rsidR="00195EC6" w:rsidRPr="00F261DB">
        <w:rPr>
          <w:rFonts w:eastAsia="Times New Roman"/>
          <w:noProof/>
          <w:color w:val="000000" w:themeColor="text1"/>
        </w:rPr>
        <w:t>.</w:t>
      </w:r>
    </w:p>
    <w:p w14:paraId="3A763E6A" w14:textId="3BF0A4A9"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When asked about the potential </w:t>
      </w:r>
      <w:r w:rsidRPr="00F261DB">
        <w:rPr>
          <w:rFonts w:eastAsia="Times New Roman"/>
          <w:b/>
          <w:noProof/>
          <w:color w:val="000000" w:themeColor="text1"/>
        </w:rPr>
        <w:t>economic and social impacts</w:t>
      </w:r>
      <w:r w:rsidRPr="00F261DB">
        <w:rPr>
          <w:rFonts w:eastAsia="Times New Roman"/>
          <w:noProof/>
          <w:color w:val="000000" w:themeColor="text1"/>
        </w:rPr>
        <w:t xml:space="preserve"> of EU content requirements, the pulp and paper sector </w:t>
      </w:r>
      <w:r w:rsidR="00E921EA" w:rsidRPr="00CD2CD8">
        <w:rPr>
          <w:rFonts w:eastAsia="Times New Roman"/>
          <w:noProof/>
          <w:color w:val="000000" w:themeColor="text1"/>
        </w:rPr>
        <w:t xml:space="preserve">sole </w:t>
      </w:r>
      <w:r w:rsidR="4D96C8EA" w:rsidRPr="00F261DB">
        <w:rPr>
          <w:rFonts w:eastAsia="Times New Roman"/>
          <w:noProof/>
          <w:color w:val="000000" w:themeColor="text1"/>
        </w:rPr>
        <w:t xml:space="preserve">respondent </w:t>
      </w:r>
      <w:r w:rsidRPr="00F261DB">
        <w:rPr>
          <w:rFonts w:eastAsia="Times New Roman"/>
          <w:noProof/>
          <w:color w:val="000000" w:themeColor="text1"/>
        </w:rPr>
        <w:t>was entirely positive across economic, employment, and SME impacts. Non-ferrous metals stakeholders were divided: 60% supported the economic shift, while 20% were cautious and 20% opposed, mainly due to concerns about cost pass-through. Iron and steel respondents were largely positive on economic (61%) and skills (50%) impacts, with a smaller share noting conditional effects or risks. In the glass sector, economic views were evenly split—positive, mixed, negative, and conditional (each 25%). Chemicals pers</w:t>
      </w:r>
      <w:r w:rsidR="00454217" w:rsidRPr="00CD2CD8">
        <w:rPr>
          <w:rFonts w:eastAsia="Times New Roman"/>
          <w:noProof/>
          <w:color w:val="000000" w:themeColor="text1"/>
        </w:rPr>
        <w:t>p</w:t>
      </w:r>
      <w:r w:rsidRPr="00F261DB">
        <w:rPr>
          <w:rFonts w:eastAsia="Times New Roman"/>
          <w:noProof/>
          <w:color w:val="000000" w:themeColor="text1"/>
        </w:rPr>
        <w:t>ectives were cautious and design-dependent. Ceramics respondents</w:t>
      </w:r>
      <w:r w:rsidR="00454217" w:rsidRPr="00CD2CD8">
        <w:rPr>
          <w:rFonts w:eastAsia="Times New Roman"/>
          <w:noProof/>
          <w:color w:val="000000" w:themeColor="text1"/>
        </w:rPr>
        <w:t xml:space="preserve"> w</w:t>
      </w:r>
      <w:r w:rsidRPr="00F261DB">
        <w:rPr>
          <w:rFonts w:eastAsia="Times New Roman"/>
          <w:noProof/>
          <w:color w:val="000000" w:themeColor="text1"/>
        </w:rPr>
        <w:t>ere unanimously positive on economic impacts, with some also anticipating job benefits. Cement stakeholders expressed mixed views on economic impacts; half emphasi</w:t>
      </w:r>
      <w:r w:rsidR="00BA637D">
        <w:rPr>
          <w:rFonts w:eastAsia="Times New Roman"/>
          <w:noProof/>
          <w:color w:val="000000" w:themeColor="text1"/>
        </w:rPr>
        <w:t>s</w:t>
      </w:r>
      <w:r w:rsidRPr="00F261DB">
        <w:rPr>
          <w:rFonts w:eastAsia="Times New Roman"/>
          <w:noProof/>
          <w:color w:val="000000" w:themeColor="text1"/>
        </w:rPr>
        <w:t>ed the need for upskilling, particularly in carbon capture and digital technologies, while a third considered skills impacts not relevant.</w:t>
      </w:r>
    </w:p>
    <w:p w14:paraId="7134A369" w14:textId="77777777"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Furthermore, 49% of respondents considered the introduction of EU content requirements for industrial products to be supportive of SMEs, with 47% SMEs agreeing as well. </w:t>
      </w:r>
    </w:p>
    <w:p w14:paraId="063EE360" w14:textId="60C1E973" w:rsidR="00BB7EA3" w:rsidRPr="00CD2CD8"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The identified </w:t>
      </w:r>
      <w:r w:rsidRPr="00F261DB">
        <w:rPr>
          <w:rFonts w:eastAsia="Times New Roman"/>
          <w:b/>
          <w:noProof/>
          <w:color w:val="000000" w:themeColor="text1"/>
        </w:rPr>
        <w:t>downstream sectors</w:t>
      </w:r>
      <w:r w:rsidRPr="00F261DB">
        <w:rPr>
          <w:rFonts w:eastAsia="Times New Roman"/>
          <w:noProof/>
          <w:color w:val="000000" w:themeColor="text1"/>
        </w:rPr>
        <w:t xml:space="preserve"> where it be technically and economically feasible to apply minimum EU content requirements were reported as follows: Automotive &amp; transport equipment is strongly supported by steel (88%) and non-ferrous (80%) respondents as a relevant downstream sector. Buildings &amp; construction had the highest support, backed by all ceramics and most steel, cement, and non-ferrous stakeholders. Civil infrastructure &amp; public works gained support from steel (81%) and non-ferrous (60%). Clean energy &amp; renewables saw moderate backing from steel (44%) and non-ferrous (60%). Machinery, white goods &amp; heavy equipment were supported by 50% steel and 40% non-ferrous. Defence &amp; security received support from 38% steel and 40% non-ferrous. Packaging, consumer goods &amp; glassware were backed by glass (75%) and 40% of non-ferrous respondents.</w:t>
      </w:r>
    </w:p>
    <w:p w14:paraId="6C8827AF" w14:textId="44BCDF04"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Streamlining and speeding-up permitting procedures</w:t>
      </w:r>
    </w:p>
    <w:p w14:paraId="41F7D91B" w14:textId="77777777"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Most respondents (63%) agreed that the permitting measures under the Net Zero Industry Act are not enough to improve permitting conditions for energy intensive industries. Sectoral </w:t>
      </w:r>
      <w:r w:rsidRPr="00F261DB">
        <w:rPr>
          <w:rFonts w:eastAsia="Times New Roman"/>
          <w:noProof/>
          <w:color w:val="000000" w:themeColor="text1"/>
        </w:rPr>
        <w:lastRenderedPageBreak/>
        <w:t>support was high in glass, (100%), pulp and paper (100%), ceramics (100%), steel (72%), and non-ferrous metals (80%). The cement (43%) and chemical sector (25%) were however less aligned.</w:t>
      </w:r>
    </w:p>
    <w:p w14:paraId="5C50AEF5" w14:textId="20AA4A11"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Most stakeholders highlighted the need for </w:t>
      </w:r>
      <w:r w:rsidRPr="00F261DB">
        <w:rPr>
          <w:rFonts w:eastAsia="Times New Roman"/>
          <w:b/>
          <w:noProof/>
          <w:color w:val="000000" w:themeColor="text1"/>
        </w:rPr>
        <w:t>further measures to improve the permitting processes</w:t>
      </w:r>
      <w:r w:rsidRPr="00F261DB">
        <w:rPr>
          <w:rFonts w:eastAsia="Times New Roman"/>
          <w:noProof/>
          <w:color w:val="000000" w:themeColor="text1"/>
        </w:rPr>
        <w:t>, with 72% support for facilitating access to grid and relevant energy infrastructure, 67% advocating for the digitali</w:t>
      </w:r>
      <w:r w:rsidR="00C93E5C">
        <w:rPr>
          <w:rFonts w:eastAsia="Times New Roman"/>
          <w:noProof/>
          <w:color w:val="000000" w:themeColor="text1"/>
        </w:rPr>
        <w:t>sation</w:t>
      </w:r>
      <w:r w:rsidRPr="00F261DB">
        <w:rPr>
          <w:rFonts w:eastAsia="Times New Roman"/>
          <w:noProof/>
          <w:color w:val="000000" w:themeColor="text1"/>
        </w:rPr>
        <w:t xml:space="preserve"> of the permitting process, and 67% for tacit approval for specific steps or permits. Meanwhile, 64% expressed the need for targeted environmental derogations for industrial clusters and projects and 59% supported the wider use of overriding public interest provisions.</w:t>
      </w:r>
    </w:p>
    <w:p w14:paraId="3E67471B" w14:textId="01C11C55" w:rsidR="00020031" w:rsidRPr="00F261DB" w:rsidRDefault="753B109F" w:rsidP="00B54F08">
      <w:pPr>
        <w:spacing w:after="120"/>
        <w:rPr>
          <w:rFonts w:eastAsia="Times New Roman"/>
          <w:noProof/>
          <w:color w:val="000000" w:themeColor="text1"/>
        </w:rPr>
      </w:pPr>
      <w:r w:rsidRPr="3C1B0927">
        <w:rPr>
          <w:rFonts w:eastAsia="Times New Roman"/>
          <w:b/>
          <w:bCs/>
          <w:noProof/>
          <w:color w:val="000000" w:themeColor="text1"/>
        </w:rPr>
        <w:t xml:space="preserve">Despite 2/3 of respondents indicating that tacit approval could be relevant to improve the efficiency of the permitting processes, </w:t>
      </w:r>
      <w:r w:rsidRPr="00F261DB">
        <w:rPr>
          <w:rFonts w:eastAsia="Times New Roman"/>
          <w:noProof/>
          <w:color w:val="000000" w:themeColor="text1"/>
        </w:rPr>
        <w:t>only a few of them suggested specific</w:t>
      </w:r>
      <w:r w:rsidRPr="3C1B0927">
        <w:rPr>
          <w:rFonts w:eastAsia="Times New Roman"/>
          <w:b/>
          <w:bCs/>
          <w:noProof/>
          <w:color w:val="000000" w:themeColor="text1"/>
        </w:rPr>
        <w:t xml:space="preserve"> </w:t>
      </w:r>
      <w:r w:rsidRPr="00F261DB">
        <w:rPr>
          <w:rFonts w:eastAsia="Times New Roman"/>
          <w:noProof/>
          <w:color w:val="000000" w:themeColor="text1"/>
        </w:rPr>
        <w:t>steps: early procedural steps of the Environmental Impact Assessment (1 mention), environmental permits for known low-impact technologies (provided safeguards are in place) (1), changes to permits that will not increase the negative environmental impact (1), (low risk) modifications with limited impact (3), minor modifications to existing permits (1), renewed permits (1), non-critical administrative steps (completeness checks or intermediate reviews) (1), permitting for grid connection and land access (2), for iron &amp; steel, the biomethane use (1), the for non-ferrous metals, the environmental permitting process (1)</w:t>
      </w:r>
      <w:r w:rsidR="20964D0D">
        <w:rPr>
          <w:rFonts w:eastAsia="Times New Roman"/>
          <w:noProof/>
          <w:color w:val="000000" w:themeColor="text1"/>
        </w:rPr>
        <w:t xml:space="preserve">. </w:t>
      </w:r>
      <w:r w:rsidRPr="00F261DB">
        <w:rPr>
          <w:rFonts w:eastAsia="Times New Roman"/>
          <w:noProof/>
          <w:color w:val="000000" w:themeColor="text1"/>
        </w:rPr>
        <w:t>When asked which</w:t>
      </w:r>
      <w:r w:rsidRPr="3C1B0927">
        <w:rPr>
          <w:rFonts w:eastAsia="Times New Roman"/>
          <w:b/>
          <w:bCs/>
          <w:noProof/>
          <w:color w:val="000000" w:themeColor="text1"/>
        </w:rPr>
        <w:t xml:space="preserve"> EU legislation presents the bigger hurdles when addressing the permitting granting processes for a decarbonised industrial investment, </w:t>
      </w:r>
      <w:r w:rsidRPr="00F261DB">
        <w:rPr>
          <w:rFonts w:eastAsia="Times New Roman"/>
          <w:noProof/>
          <w:color w:val="000000" w:themeColor="text1"/>
        </w:rPr>
        <w:t>the main directives mentioned were:</w:t>
      </w:r>
      <w:r w:rsidRPr="3C1B0927">
        <w:rPr>
          <w:rFonts w:eastAsia="Times New Roman"/>
          <w:b/>
          <w:bCs/>
          <w:noProof/>
          <w:color w:val="000000" w:themeColor="text1"/>
        </w:rPr>
        <w:t xml:space="preserve"> </w:t>
      </w:r>
      <w:r w:rsidRPr="00F261DB">
        <w:rPr>
          <w:rFonts w:eastAsia="Times New Roman"/>
          <w:noProof/>
          <w:color w:val="000000" w:themeColor="text1"/>
        </w:rPr>
        <w:t>Industrial Emissions Directive (34% ), Water Framework Directive (19%), Environmental Impact Assessment Directive (6%), Birds and Habitats Directives (5%), followed by Ambient Air Quality Directive, Waste Framework Directive, and Natura 2000 (each 3%), and finally, Nitrogen emission impact calculations, Hydrogen Delegated Acts, BREFs, Air Quality Directives, and Waste Shipment Regulation (</w:t>
      </w:r>
      <w:r w:rsidR="43B4EEC8" w:rsidRPr="00F261DB">
        <w:rPr>
          <w:rFonts w:eastAsia="Times New Roman"/>
          <w:noProof/>
          <w:color w:val="000000" w:themeColor="text1"/>
        </w:rPr>
        <w:t xml:space="preserve">1% </w:t>
      </w:r>
      <w:r w:rsidRPr="00F261DB">
        <w:rPr>
          <w:rFonts w:eastAsia="Times New Roman"/>
          <w:noProof/>
          <w:color w:val="000000" w:themeColor="text1"/>
        </w:rPr>
        <w:t>each</w:t>
      </w:r>
      <w:r w:rsidR="1BD3E360" w:rsidRPr="00F261DB">
        <w:rPr>
          <w:rFonts w:eastAsia="Times New Roman"/>
          <w:noProof/>
          <w:color w:val="000000" w:themeColor="text1"/>
        </w:rPr>
        <w:t>)</w:t>
      </w:r>
      <w:r w:rsidR="3C9AC15C" w:rsidRPr="00F261DB">
        <w:rPr>
          <w:rFonts w:eastAsia="Times New Roman"/>
          <w:noProof/>
          <w:color w:val="000000" w:themeColor="text1"/>
        </w:rPr>
        <w:t>.</w:t>
      </w:r>
      <w:r w:rsidR="002077FB" w:rsidRPr="00EE38B9">
        <w:rPr>
          <w:rStyle w:val="FootnoteTextChar"/>
          <w:noProof/>
          <w:vertAlign w:val="superscript"/>
          <w:lang w:val="en-IE"/>
        </w:rPr>
        <w:footnoteReference w:id="246"/>
      </w:r>
      <w:r w:rsidR="23048469" w:rsidRPr="00F261DB">
        <w:rPr>
          <w:rFonts w:eastAsia="Times New Roman"/>
          <w:noProof/>
          <w:color w:val="000000" w:themeColor="text1"/>
        </w:rPr>
        <w:t xml:space="preserve"> </w:t>
      </w:r>
      <w:r w:rsidRPr="00F261DB">
        <w:rPr>
          <w:rFonts w:eastAsia="Times New Roman"/>
          <w:noProof/>
          <w:color w:val="000000" w:themeColor="text1"/>
        </w:rPr>
        <w:t>SMEs also reported various hurdles in the permit granting process for decarbonisation projects, including, from a regulatory perspective, complex and lengthy environmental assessments and other permitting processes (2 mentions), administrative delays and unclear procedures (</w:t>
      </w:r>
      <w:r w:rsidR="6806DCEA" w:rsidRPr="00F261DB">
        <w:rPr>
          <w:rFonts w:eastAsia="Times New Roman"/>
          <w:noProof/>
          <w:color w:val="000000" w:themeColor="text1"/>
        </w:rPr>
        <w:t>n=</w:t>
      </w:r>
      <w:r w:rsidRPr="00F261DB">
        <w:rPr>
          <w:rFonts w:eastAsia="Times New Roman"/>
          <w:noProof/>
          <w:color w:val="000000" w:themeColor="text1"/>
        </w:rPr>
        <w:t>2), unpredictable timelines (</w:t>
      </w:r>
      <w:r w:rsidR="6806DCEA" w:rsidRPr="00F261DB">
        <w:rPr>
          <w:rFonts w:eastAsia="Times New Roman"/>
          <w:noProof/>
          <w:color w:val="000000" w:themeColor="text1"/>
        </w:rPr>
        <w:t>n=</w:t>
      </w:r>
      <w:r w:rsidRPr="00F261DB">
        <w:rPr>
          <w:rFonts w:eastAsia="Times New Roman"/>
          <w:noProof/>
          <w:color w:val="000000" w:themeColor="text1"/>
        </w:rPr>
        <w:t>1), lack of technical and general support / guidance (</w:t>
      </w:r>
      <w:r w:rsidR="6806DCEA" w:rsidRPr="00F261DB">
        <w:rPr>
          <w:rFonts w:eastAsia="Times New Roman"/>
          <w:noProof/>
          <w:color w:val="000000" w:themeColor="text1"/>
        </w:rPr>
        <w:t>n=</w:t>
      </w:r>
      <w:r w:rsidRPr="00F261DB">
        <w:rPr>
          <w:rFonts w:eastAsia="Times New Roman"/>
          <w:noProof/>
          <w:color w:val="000000" w:themeColor="text1"/>
        </w:rPr>
        <w:t>3), lack of early access to pre-consultation services or tailored regulatory advice (</w:t>
      </w:r>
      <w:r w:rsidR="6806DCEA" w:rsidRPr="00F261DB">
        <w:rPr>
          <w:rFonts w:eastAsia="Times New Roman"/>
          <w:noProof/>
          <w:color w:val="000000" w:themeColor="text1"/>
        </w:rPr>
        <w:t>n=</w:t>
      </w:r>
      <w:r w:rsidRPr="00F261DB">
        <w:rPr>
          <w:rFonts w:eastAsia="Times New Roman"/>
          <w:noProof/>
          <w:color w:val="000000" w:themeColor="text1"/>
        </w:rPr>
        <w:t>1), complex documentation requirements and uncertainty about eligibility for permits or incentives (</w:t>
      </w:r>
      <w:r w:rsidR="6806DCEA" w:rsidRPr="00F261DB">
        <w:rPr>
          <w:rFonts w:eastAsia="Times New Roman"/>
          <w:noProof/>
          <w:color w:val="000000" w:themeColor="text1"/>
        </w:rPr>
        <w:t>n=</w:t>
      </w:r>
      <w:r w:rsidRPr="00F261DB">
        <w:rPr>
          <w:rFonts w:eastAsia="Times New Roman"/>
          <w:noProof/>
          <w:color w:val="000000" w:themeColor="text1"/>
        </w:rPr>
        <w:t>2), with permitting rules being designed around large installations rather than SMEs (</w:t>
      </w:r>
      <w:r w:rsidR="6806DCEA" w:rsidRPr="00F261DB">
        <w:rPr>
          <w:rFonts w:eastAsia="Times New Roman"/>
          <w:noProof/>
          <w:color w:val="000000" w:themeColor="text1"/>
        </w:rPr>
        <w:t>n=</w:t>
      </w:r>
      <w:r w:rsidRPr="00F261DB">
        <w:rPr>
          <w:rFonts w:eastAsia="Times New Roman"/>
          <w:noProof/>
          <w:color w:val="000000" w:themeColor="text1"/>
        </w:rPr>
        <w:t xml:space="preserve">2). On an internal level, they encounter high costs of compliance and consulting as well as limited internal capacity to navigate complex regulatory frameworks. </w:t>
      </w:r>
    </w:p>
    <w:p w14:paraId="01ADE349" w14:textId="74B75A27"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3.2 Reality Check with Industry on Industrial Accelerator Act</w:t>
      </w:r>
    </w:p>
    <w:p w14:paraId="019B5706" w14:textId="77777777" w:rsidR="00020031" w:rsidRPr="00F261DB" w:rsidRDefault="00020031" w:rsidP="00B54F08">
      <w:pPr>
        <w:spacing w:after="120"/>
        <w:rPr>
          <w:rFonts w:eastAsia="Times New Roman"/>
          <w:b/>
          <w:noProof/>
          <w:color w:val="000000" w:themeColor="text1"/>
        </w:rPr>
      </w:pPr>
      <w:r w:rsidRPr="00F261DB">
        <w:rPr>
          <w:rFonts w:eastAsia="Times New Roman"/>
          <w:b/>
          <w:noProof/>
          <w:color w:val="000000" w:themeColor="text1"/>
        </w:rPr>
        <w:t>Overview</w:t>
      </w:r>
    </w:p>
    <w:p w14:paraId="3F66455B" w14:textId="77777777"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The consultation workshop with energy intensive industry representatives included preliminarily shared questions and discussion around the topics of (i) the creation of European lead markets for low-carbon products, with discussions on EU content, and (ii) streamlining and accelerating permitting procedures.</w:t>
      </w:r>
    </w:p>
    <w:p w14:paraId="1B1FAB41" w14:textId="75D2EFAD"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 xml:space="preserve">Regarding the creation and protection of European lead markets for low-carbon products, during the workshop participants broadly confirmed the results of the targeted survey. </w:t>
      </w:r>
      <w:r w:rsidRPr="00F261DB">
        <w:rPr>
          <w:rFonts w:eastAsia="Times New Roman"/>
          <w:noProof/>
          <w:color w:val="000000" w:themeColor="text1"/>
        </w:rPr>
        <w:t>They agreed that there is currently only a niche market for low-carbon products, as customers tend to be price sensitive, and few incentives exist for a green premium. In this context, supporting the creation of lead markets for low</w:t>
      </w:r>
      <w:r w:rsidR="00F42FCE">
        <w:rPr>
          <w:rFonts w:eastAsia="Times New Roman"/>
          <w:noProof/>
          <w:color w:val="000000" w:themeColor="text1"/>
        </w:rPr>
        <w:t>-</w:t>
      </w:r>
      <w:r w:rsidRPr="00F261DB">
        <w:rPr>
          <w:rFonts w:eastAsia="Times New Roman"/>
          <w:noProof/>
          <w:color w:val="000000" w:themeColor="text1"/>
        </w:rPr>
        <w:t xml:space="preserve">carbon products will increase demand and production, thereby aiding the decarbonisation of energy-intensive industries. Public and private procurement, EU content targets, and low-carbon labels, however, must be tailored to </w:t>
      </w:r>
      <w:r w:rsidRPr="00F261DB">
        <w:rPr>
          <w:rFonts w:eastAsia="Times New Roman"/>
          <w:noProof/>
          <w:color w:val="000000" w:themeColor="text1"/>
        </w:rPr>
        <w:lastRenderedPageBreak/>
        <w:t xml:space="preserve">the needs and complexities of each industry and their supply chains. Participants noted varying demand shares currently met by public procurement, depending on the specific energy-intensive application in different end-use sectors, and mostly agreed that incentives for products put on the market are needed to grow the market for all industry players. </w:t>
      </w:r>
      <w:r w:rsidRPr="00F261DB">
        <w:rPr>
          <w:rFonts w:eastAsia="Times New Roman"/>
          <w:b/>
          <w:noProof/>
          <w:color w:val="000000" w:themeColor="text1"/>
        </w:rPr>
        <w:t>They also confirmed that EU content requirements</w:t>
      </w:r>
      <w:r w:rsidRPr="00F261DB">
        <w:rPr>
          <w:rFonts w:eastAsia="Times New Roman"/>
          <w:noProof/>
          <w:color w:val="000000" w:themeColor="text1"/>
        </w:rPr>
        <w:t xml:space="preserve"> are important for ensuring that the market for low-carbon products is not undermined by non-EU competition. </w:t>
      </w:r>
    </w:p>
    <w:p w14:paraId="7A5C1781" w14:textId="7FA99785" w:rsidR="00C23DA5" w:rsidRPr="00CD2CD8" w:rsidRDefault="00020031" w:rsidP="00B54F08">
      <w:pPr>
        <w:spacing w:after="120"/>
        <w:rPr>
          <w:rFonts w:eastAsia="Times New Roman"/>
          <w:noProof/>
          <w:color w:val="000000" w:themeColor="text1"/>
        </w:rPr>
      </w:pPr>
      <w:r w:rsidRPr="00F261DB">
        <w:rPr>
          <w:rFonts w:eastAsia="Times New Roman"/>
          <w:b/>
          <w:noProof/>
          <w:color w:val="000000" w:themeColor="text1"/>
        </w:rPr>
        <w:t xml:space="preserve">Concerning streamlining and speeding-up permitting procedures, </w:t>
      </w:r>
      <w:r w:rsidRPr="00F261DB">
        <w:rPr>
          <w:rFonts w:eastAsia="Times New Roman"/>
          <w:noProof/>
          <w:color w:val="000000" w:themeColor="text1"/>
        </w:rPr>
        <w:t>participants acknowledged that, permitting bottlenecks can cause significant delays, extra costs, and uncertainty which leads to postponement in investment or even idle operations. Suggested solutions include a central authority for permitting, a one stop shop for permitting procedures, digitalisation, regulatory sandboxes, support for permitting new technologies, tacit approval if time limits are exceeded, fast track permitting processes for decarbonisation projects, one application covering multiple permits, and early-stage public participation to accelerate approvals.</w:t>
      </w:r>
    </w:p>
    <w:p w14:paraId="28F9AB4A" w14:textId="14AB7FDA"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3.3 Reality Check with Steel Industry on the Carbon Intensity Label</w:t>
      </w:r>
    </w:p>
    <w:p w14:paraId="70AF6CC7" w14:textId="77777777"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Overview</w:t>
      </w:r>
    </w:p>
    <w:p w14:paraId="622D1418" w14:textId="5A09C9FA"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The consultation workshop with steel industry representatives included preliminarily shared questions and discussion on the development of an EU low-carbon product label for steel. </w:t>
      </w:r>
    </w:p>
    <w:p w14:paraId="7668C012" w14:textId="77777777"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Scope and methodology</w:t>
      </w:r>
    </w:p>
    <w:p w14:paraId="2B9D6D33" w14:textId="77777777" w:rsidR="00020031" w:rsidRPr="00F261DB" w:rsidRDefault="00020031" w:rsidP="003F3451">
      <w:pPr>
        <w:pStyle w:val="ListParagraph"/>
        <w:numPr>
          <w:ilvl w:val="0"/>
          <w:numId w:val="41"/>
        </w:numPr>
        <w:rPr>
          <w:rFonts w:eastAsia="Times New Roman"/>
          <w:noProof/>
          <w:color w:val="000000" w:themeColor="text1"/>
        </w:rPr>
      </w:pPr>
      <w:r w:rsidRPr="00B54F08">
        <w:rPr>
          <w:rFonts w:eastAsia="Times New Roman"/>
          <w:noProof/>
          <w:color w:val="000000" w:themeColor="text1"/>
          <w:u w:val="single"/>
        </w:rPr>
        <w:t>Product Coverage</w:t>
      </w:r>
      <w:r w:rsidRPr="00F261DB">
        <w:rPr>
          <w:rFonts w:eastAsia="Times New Roman"/>
          <w:noProof/>
          <w:color w:val="000000" w:themeColor="text1"/>
        </w:rPr>
        <w:t>: There was broad consensus from participants that hot-rolled steel should serve as the reference product for the label. Stakeholders supported a comprehensive emissions scope for the label, particularly including emissions resulting from relevant upstream processes such as the use of alloying elements.</w:t>
      </w:r>
    </w:p>
    <w:p w14:paraId="1CFC8E99" w14:textId="54171EAC" w:rsidR="006B5FB0" w:rsidRPr="00CD2CD8" w:rsidRDefault="00020031" w:rsidP="003F3451">
      <w:pPr>
        <w:pStyle w:val="ListParagraph"/>
        <w:numPr>
          <w:ilvl w:val="0"/>
          <w:numId w:val="41"/>
        </w:numPr>
        <w:rPr>
          <w:rFonts w:eastAsia="Times New Roman"/>
          <w:noProof/>
          <w:color w:val="000000" w:themeColor="text1"/>
        </w:rPr>
      </w:pPr>
      <w:r w:rsidRPr="00B54F08">
        <w:rPr>
          <w:rFonts w:eastAsia="Times New Roman"/>
          <w:noProof/>
          <w:color w:val="000000" w:themeColor="text1"/>
          <w:u w:val="single"/>
        </w:rPr>
        <w:t xml:space="preserve">Use of </w:t>
      </w:r>
      <w:r w:rsidR="00230CE8">
        <w:rPr>
          <w:rFonts w:eastAsia="Times New Roman"/>
          <w:noProof/>
          <w:color w:val="000000" w:themeColor="text1"/>
          <w:u w:val="single"/>
        </w:rPr>
        <w:t xml:space="preserve">EU </w:t>
      </w:r>
      <w:r w:rsidRPr="00B54F08">
        <w:rPr>
          <w:rFonts w:eastAsia="Times New Roman"/>
          <w:noProof/>
          <w:color w:val="000000" w:themeColor="text1"/>
          <w:u w:val="single"/>
        </w:rPr>
        <w:t>ETS Benchmarks</w:t>
      </w:r>
      <w:r w:rsidRPr="00F261DB">
        <w:rPr>
          <w:rFonts w:eastAsia="Times New Roman"/>
          <w:noProof/>
          <w:color w:val="000000" w:themeColor="text1"/>
        </w:rPr>
        <w:t xml:space="preserve">: Stakeholders generally supported using </w:t>
      </w:r>
      <w:r w:rsidR="006D46EF">
        <w:rPr>
          <w:rFonts w:eastAsia="Times New Roman"/>
          <w:noProof/>
          <w:color w:val="000000" w:themeColor="text1"/>
        </w:rPr>
        <w:t xml:space="preserve">EU </w:t>
      </w:r>
      <w:r w:rsidRPr="00F261DB">
        <w:rPr>
          <w:rFonts w:eastAsia="Times New Roman"/>
          <w:noProof/>
          <w:color w:val="000000" w:themeColor="text1"/>
        </w:rPr>
        <w:t>ETS product benchmarks as the foundation for the label. However, they also called for the inclusion of additional upstream and indirect emissions not covered by these product benchmarks, and the need to align the approach with CBAM rules to ensure consistent treatment of imported steel.</w:t>
      </w:r>
      <w:r w:rsidR="006B5FB0" w:rsidRPr="00CD2CD8">
        <w:rPr>
          <w:rFonts w:eastAsia="Times New Roman"/>
          <w:noProof/>
          <w:color w:val="000000" w:themeColor="text1"/>
        </w:rPr>
        <w:t xml:space="preserve"> </w:t>
      </w:r>
    </w:p>
    <w:p w14:paraId="651CE6C7" w14:textId="1A082E1F" w:rsidR="006B5FB0" w:rsidRPr="00CD2CD8" w:rsidRDefault="00020031" w:rsidP="003F3451">
      <w:pPr>
        <w:pStyle w:val="ListParagraph"/>
        <w:numPr>
          <w:ilvl w:val="0"/>
          <w:numId w:val="41"/>
        </w:numPr>
        <w:rPr>
          <w:rFonts w:eastAsia="Times New Roman"/>
          <w:noProof/>
          <w:color w:val="000000" w:themeColor="text1"/>
        </w:rPr>
      </w:pPr>
      <w:r w:rsidRPr="00B54F08">
        <w:rPr>
          <w:rFonts w:eastAsia="Times New Roman"/>
          <w:noProof/>
          <w:color w:val="000000" w:themeColor="text1"/>
          <w:u w:val="single"/>
        </w:rPr>
        <w:t>Hydrogen</w:t>
      </w:r>
      <w:r w:rsidRPr="00F261DB">
        <w:rPr>
          <w:rFonts w:eastAsia="Times New Roman"/>
          <w:noProof/>
          <w:color w:val="000000" w:themeColor="text1"/>
        </w:rPr>
        <w:t>: Stakeholders agreed that hydrogen-related emissions must be included in the carbon footprint calculation. They emphasi</w:t>
      </w:r>
      <w:r w:rsidR="00BA637D">
        <w:rPr>
          <w:rFonts w:eastAsia="Times New Roman"/>
          <w:noProof/>
          <w:color w:val="000000" w:themeColor="text1"/>
        </w:rPr>
        <w:t>s</w:t>
      </w:r>
      <w:r w:rsidRPr="00F261DB">
        <w:rPr>
          <w:rFonts w:eastAsia="Times New Roman"/>
          <w:noProof/>
          <w:color w:val="000000" w:themeColor="text1"/>
        </w:rPr>
        <w:t>ed the need for harmoni</w:t>
      </w:r>
      <w:r w:rsidR="00BA637D">
        <w:rPr>
          <w:rFonts w:eastAsia="Times New Roman"/>
          <w:noProof/>
          <w:color w:val="000000" w:themeColor="text1"/>
        </w:rPr>
        <w:t>s</w:t>
      </w:r>
      <w:r w:rsidRPr="00F261DB">
        <w:rPr>
          <w:rFonts w:eastAsia="Times New Roman"/>
          <w:noProof/>
          <w:color w:val="000000" w:themeColor="text1"/>
        </w:rPr>
        <w:t>ed EU-level rules to ensure consistency in the methodology.</w:t>
      </w:r>
    </w:p>
    <w:p w14:paraId="7F17692B" w14:textId="7DFC601F" w:rsidR="006B5FB0" w:rsidRPr="00CD2CD8" w:rsidRDefault="00020031" w:rsidP="003F3451">
      <w:pPr>
        <w:pStyle w:val="ListParagraph"/>
        <w:numPr>
          <w:ilvl w:val="0"/>
          <w:numId w:val="41"/>
        </w:numPr>
        <w:rPr>
          <w:rFonts w:eastAsia="Times New Roman"/>
          <w:noProof/>
          <w:color w:val="000000" w:themeColor="text1"/>
        </w:rPr>
      </w:pPr>
      <w:r w:rsidRPr="00B54F08">
        <w:rPr>
          <w:rFonts w:eastAsia="Times New Roman"/>
          <w:noProof/>
          <w:color w:val="000000" w:themeColor="text1"/>
          <w:u w:val="single"/>
        </w:rPr>
        <w:t>CCUS</w:t>
      </w:r>
      <w:r w:rsidRPr="00F261DB">
        <w:rPr>
          <w:rFonts w:eastAsia="Times New Roman"/>
          <w:noProof/>
          <w:color w:val="000000" w:themeColor="text1"/>
        </w:rPr>
        <w:t>: Captured and permanently stored CO₂ should be eligible for exclusion from the product’s carbon footprint, in alignment with the current</w:t>
      </w:r>
      <w:r w:rsidR="004404FF">
        <w:rPr>
          <w:rFonts w:eastAsia="Times New Roman"/>
          <w:noProof/>
          <w:color w:val="000000" w:themeColor="text1"/>
        </w:rPr>
        <w:t xml:space="preserve"> EU</w:t>
      </w:r>
      <w:r w:rsidRPr="00F261DB">
        <w:rPr>
          <w:rFonts w:eastAsia="Times New Roman"/>
          <w:noProof/>
          <w:color w:val="000000" w:themeColor="text1"/>
        </w:rPr>
        <w:t xml:space="preserve"> ETS accounting rules.</w:t>
      </w:r>
    </w:p>
    <w:p w14:paraId="29BA2C07" w14:textId="33DE36C1" w:rsidR="006B5FB0" w:rsidRPr="00CD2CD8" w:rsidRDefault="00020031" w:rsidP="003F3451">
      <w:pPr>
        <w:pStyle w:val="ListParagraph"/>
        <w:numPr>
          <w:ilvl w:val="0"/>
          <w:numId w:val="41"/>
        </w:numPr>
        <w:rPr>
          <w:rFonts w:eastAsia="Times New Roman"/>
          <w:noProof/>
          <w:color w:val="000000" w:themeColor="text1"/>
        </w:rPr>
      </w:pPr>
      <w:r w:rsidRPr="00B54F08">
        <w:rPr>
          <w:rFonts w:eastAsia="Times New Roman"/>
          <w:noProof/>
          <w:color w:val="000000" w:themeColor="text1"/>
          <w:u w:val="single"/>
        </w:rPr>
        <w:t>Electricity</w:t>
      </w:r>
      <w:r w:rsidRPr="00F261DB">
        <w:rPr>
          <w:rFonts w:eastAsia="Times New Roman"/>
          <w:noProof/>
          <w:color w:val="000000" w:themeColor="text1"/>
        </w:rPr>
        <w:t>: The role of electricity-related emissions is becoming increasingly significant. Stakeholders were divided on whether to use market-based data, average national grid mixes or an average EU-mix</w:t>
      </w:r>
      <w:r w:rsidRPr="00F261DB">
        <w:rPr>
          <w:rFonts w:eastAsia="Times New Roman"/>
          <w:noProof/>
          <w:color w:val="881798"/>
          <w:u w:val="single"/>
        </w:rPr>
        <w:t>.</w:t>
      </w:r>
      <w:r w:rsidRPr="00F261DB">
        <w:rPr>
          <w:rFonts w:eastAsia="Times New Roman"/>
          <w:strike/>
          <w:noProof/>
          <w:color w:val="881798"/>
        </w:rPr>
        <w:t>,</w:t>
      </w:r>
      <w:r w:rsidRPr="00F261DB">
        <w:rPr>
          <w:rFonts w:eastAsia="Times New Roman"/>
          <w:noProof/>
          <w:color w:val="000000" w:themeColor="text1"/>
        </w:rPr>
        <w:t xml:space="preserve"> </w:t>
      </w:r>
    </w:p>
    <w:p w14:paraId="53096B8E" w14:textId="77FAED7B" w:rsidR="006B5FB0" w:rsidRPr="00CD2CD8" w:rsidRDefault="00020031" w:rsidP="003F3451">
      <w:pPr>
        <w:pStyle w:val="ListParagraph"/>
        <w:numPr>
          <w:ilvl w:val="0"/>
          <w:numId w:val="41"/>
        </w:numPr>
        <w:rPr>
          <w:rFonts w:eastAsia="Times New Roman"/>
          <w:noProof/>
          <w:color w:val="000000" w:themeColor="text1"/>
        </w:rPr>
      </w:pPr>
      <w:r w:rsidRPr="00B54F08">
        <w:rPr>
          <w:rFonts w:eastAsia="Times New Roman"/>
          <w:noProof/>
          <w:color w:val="000000" w:themeColor="text1"/>
          <w:u w:val="single"/>
        </w:rPr>
        <w:t>Scrap</w:t>
      </w:r>
      <w:r w:rsidRPr="00F261DB">
        <w:rPr>
          <w:rFonts w:eastAsia="Times New Roman"/>
          <w:noProof/>
          <w:color w:val="000000" w:themeColor="text1"/>
        </w:rPr>
        <w:t>: there was agreement about that emissions from scrap should not be differentiated based on source (pre-consumer vs. post-consumer). Stakeholders cited concerns over traceability, verification challenges, and the risk of manipulation.</w:t>
      </w:r>
    </w:p>
    <w:p w14:paraId="7694325B" w14:textId="77777777" w:rsidR="00DF1991" w:rsidRPr="00CD2CD8" w:rsidRDefault="00DF1991" w:rsidP="006B5FB0">
      <w:pPr>
        <w:rPr>
          <w:rFonts w:eastAsia="Times New Roman"/>
          <w:noProof/>
          <w:color w:val="000000" w:themeColor="text1"/>
        </w:rPr>
      </w:pPr>
    </w:p>
    <w:p w14:paraId="0E5D32CF" w14:textId="0B1AF400" w:rsidR="006B5FB0" w:rsidRPr="00F261DB" w:rsidRDefault="00020031" w:rsidP="00B54F08">
      <w:pPr>
        <w:spacing w:after="120"/>
        <w:rPr>
          <w:noProof/>
        </w:rPr>
      </w:pPr>
      <w:r w:rsidRPr="00F261DB">
        <w:rPr>
          <w:rFonts w:eastAsia="Times New Roman"/>
          <w:b/>
          <w:noProof/>
          <w:color w:val="000000" w:themeColor="text1"/>
        </w:rPr>
        <w:t>Monitoring, Reporting, Verification, Certification</w:t>
      </w:r>
    </w:p>
    <w:p w14:paraId="74FCB944" w14:textId="6A74CB46" w:rsidR="00020031" w:rsidRPr="00F261DB" w:rsidRDefault="00020031" w:rsidP="003F3451">
      <w:pPr>
        <w:pStyle w:val="ListParagraph"/>
        <w:numPr>
          <w:ilvl w:val="0"/>
          <w:numId w:val="41"/>
        </w:numPr>
        <w:rPr>
          <w:rFonts w:eastAsia="Times New Roman"/>
          <w:noProof/>
          <w:color w:val="000000" w:themeColor="text1"/>
        </w:rPr>
      </w:pPr>
      <w:r w:rsidRPr="00B54F08">
        <w:rPr>
          <w:rFonts w:eastAsia="Times New Roman"/>
          <w:noProof/>
          <w:color w:val="000000" w:themeColor="text1"/>
          <w:u w:val="single"/>
        </w:rPr>
        <w:t>Data Reporting</w:t>
      </w:r>
      <w:r w:rsidRPr="00F261DB">
        <w:rPr>
          <w:rFonts w:eastAsia="Times New Roman"/>
          <w:noProof/>
          <w:color w:val="000000" w:themeColor="text1"/>
        </w:rPr>
        <w:t>: Stakeholders emphasi</w:t>
      </w:r>
      <w:r w:rsidR="00BA637D">
        <w:rPr>
          <w:rFonts w:eastAsia="Times New Roman"/>
          <w:noProof/>
          <w:color w:val="000000" w:themeColor="text1"/>
        </w:rPr>
        <w:t>s</w:t>
      </w:r>
      <w:r w:rsidRPr="00F261DB">
        <w:rPr>
          <w:rFonts w:eastAsia="Times New Roman"/>
          <w:noProof/>
          <w:color w:val="000000" w:themeColor="text1"/>
        </w:rPr>
        <w:t xml:space="preserve">ed the need for accurate and verifiable emissions data, with broad agreement on the importance of transparency. The use of primary data should be the priority, while possible default factors should be sufficiently conservative. </w:t>
      </w:r>
    </w:p>
    <w:p w14:paraId="12EC000C" w14:textId="73EF1735" w:rsidR="006B5FB0" w:rsidRPr="00CD2CD8" w:rsidRDefault="00020031" w:rsidP="003F3451">
      <w:pPr>
        <w:pStyle w:val="ListParagraph"/>
        <w:numPr>
          <w:ilvl w:val="0"/>
          <w:numId w:val="40"/>
        </w:numPr>
        <w:rPr>
          <w:rFonts w:eastAsia="Times New Roman"/>
          <w:noProof/>
          <w:color w:val="000000" w:themeColor="text1"/>
        </w:rPr>
      </w:pPr>
      <w:r w:rsidRPr="00B54F08">
        <w:rPr>
          <w:rFonts w:eastAsia="Times New Roman"/>
          <w:noProof/>
          <w:color w:val="000000" w:themeColor="text1"/>
          <w:u w:val="single"/>
        </w:rPr>
        <w:t>Baseline Data</w:t>
      </w:r>
      <w:r w:rsidRPr="00F261DB">
        <w:rPr>
          <w:rFonts w:eastAsia="Times New Roman"/>
          <w:noProof/>
          <w:color w:val="000000" w:themeColor="text1"/>
        </w:rPr>
        <w:t xml:space="preserve">: Most stakeholders supported using a 12-month average as the baseline for emissions reporting, with some flexibility allowed in cases of significant </w:t>
      </w:r>
      <w:r w:rsidRPr="00F261DB">
        <w:rPr>
          <w:rFonts w:eastAsia="Times New Roman"/>
          <w:noProof/>
          <w:color w:val="000000" w:themeColor="text1"/>
        </w:rPr>
        <w:lastRenderedPageBreak/>
        <w:t xml:space="preserve">transformation or process upgrades. Verification: There was consensus among stakeholders that verification procedures must be comparable to those under the </w:t>
      </w:r>
      <w:r w:rsidR="00011902">
        <w:rPr>
          <w:rFonts w:eastAsia="Times New Roman"/>
          <w:noProof/>
          <w:color w:val="000000" w:themeColor="text1"/>
        </w:rPr>
        <w:t xml:space="preserve">EU </w:t>
      </w:r>
      <w:r w:rsidRPr="00F261DB">
        <w:rPr>
          <w:rFonts w:eastAsia="Times New Roman"/>
          <w:noProof/>
          <w:color w:val="000000" w:themeColor="text1"/>
        </w:rPr>
        <w:t>ETS framework, especially if the label is to apply equally to EU and non-EU steel.</w:t>
      </w:r>
    </w:p>
    <w:p w14:paraId="4051300D" w14:textId="4EF98589" w:rsidR="006B5FB0" w:rsidRDefault="00020031" w:rsidP="003F3451">
      <w:pPr>
        <w:pStyle w:val="ListParagraph"/>
        <w:numPr>
          <w:ilvl w:val="0"/>
          <w:numId w:val="40"/>
        </w:numPr>
        <w:rPr>
          <w:rFonts w:eastAsia="Times New Roman"/>
          <w:noProof/>
        </w:rPr>
      </w:pPr>
      <w:r w:rsidRPr="00B54F08">
        <w:rPr>
          <w:rFonts w:eastAsia="Times New Roman"/>
          <w:noProof/>
          <w:color w:val="000000" w:themeColor="text1"/>
          <w:u w:val="single"/>
        </w:rPr>
        <w:t>Certification</w:t>
      </w:r>
      <w:r w:rsidRPr="00F261DB">
        <w:rPr>
          <w:rFonts w:eastAsia="Times New Roman"/>
          <w:noProof/>
          <w:color w:val="000000" w:themeColor="text1"/>
        </w:rPr>
        <w:t xml:space="preserve">: Some stakeholders recommended that certification responsibilities be assigned to existing </w:t>
      </w:r>
      <w:r w:rsidR="00170A72">
        <w:rPr>
          <w:rFonts w:eastAsia="Times New Roman"/>
          <w:noProof/>
          <w:color w:val="000000" w:themeColor="text1"/>
        </w:rPr>
        <w:t xml:space="preserve">EU </w:t>
      </w:r>
      <w:r w:rsidRPr="00F261DB">
        <w:rPr>
          <w:rFonts w:eastAsia="Times New Roman"/>
          <w:noProof/>
          <w:color w:val="000000" w:themeColor="text1"/>
        </w:rPr>
        <w:t xml:space="preserve">ETS verification bodies, leveraging their established infrastructure and </w:t>
      </w:r>
      <w:r w:rsidRPr="00B54F08">
        <w:rPr>
          <w:rFonts w:eastAsia="Times New Roman"/>
          <w:noProof/>
        </w:rPr>
        <w:t>expertise. Larger companies indicated that they would be able to manage the administrative demands of regular audits under such a system.</w:t>
      </w:r>
    </w:p>
    <w:p w14:paraId="60F3B61F" w14:textId="77777777" w:rsidR="00DF1991" w:rsidRPr="00B54F08" w:rsidRDefault="00DF1991" w:rsidP="006B5FB0">
      <w:pPr>
        <w:rPr>
          <w:rFonts w:eastAsia="Times New Roman"/>
          <w:noProof/>
        </w:rPr>
      </w:pPr>
    </w:p>
    <w:p w14:paraId="7D3632D0" w14:textId="370C156C" w:rsidR="006B5FB0" w:rsidRPr="00B54F08" w:rsidRDefault="00020031" w:rsidP="00B54F08">
      <w:pPr>
        <w:spacing w:after="120"/>
        <w:rPr>
          <w:rFonts w:eastAsia="Times New Roman"/>
          <w:strike/>
          <w:noProof/>
        </w:rPr>
      </w:pPr>
      <w:r w:rsidRPr="00B54F08">
        <w:rPr>
          <w:rFonts w:eastAsia="Times New Roman"/>
          <w:b/>
          <w:noProof/>
        </w:rPr>
        <w:t xml:space="preserve">Label </w:t>
      </w:r>
      <w:r w:rsidRPr="00B54F08">
        <w:rPr>
          <w:rFonts w:eastAsia="Times New Roman"/>
          <w:b/>
          <w:noProof/>
          <w:color w:val="000000" w:themeColor="text1"/>
        </w:rPr>
        <w:t>Design</w:t>
      </w:r>
      <w:r w:rsidRPr="00B54F08">
        <w:rPr>
          <w:rFonts w:eastAsia="Times New Roman"/>
          <w:b/>
          <w:noProof/>
        </w:rPr>
        <w:t xml:space="preserve"> Elements</w:t>
      </w:r>
    </w:p>
    <w:p w14:paraId="1E5C4D55" w14:textId="3D1DCAB4" w:rsidR="00020031" w:rsidRPr="00F261DB" w:rsidRDefault="00020031" w:rsidP="00B54F08">
      <w:pPr>
        <w:spacing w:after="120"/>
        <w:rPr>
          <w:rFonts w:eastAsia="Times New Roman"/>
          <w:noProof/>
          <w:color w:val="000000" w:themeColor="text1"/>
        </w:rPr>
      </w:pPr>
      <w:r w:rsidRPr="00B54F08">
        <w:rPr>
          <w:rFonts w:eastAsia="Times New Roman"/>
          <w:noProof/>
        </w:rPr>
        <w:t xml:space="preserve">The use of a sliding scale for differentiating the performance classes or of an alternative classification method </w:t>
      </w:r>
      <w:r w:rsidRPr="00F261DB">
        <w:rPr>
          <w:rFonts w:eastAsia="Times New Roman"/>
          <w:noProof/>
          <w:color w:val="000000" w:themeColor="text1"/>
        </w:rPr>
        <w:t>not as a function of scrap was highly debated with no clear preference or compromise solution within industry. Supporters of the sliding scale which participated in the reality check view it as a fair mechanism for reflecting decarbonisation progress in primary steelmaking.</w:t>
      </w:r>
      <w:r w:rsidR="0073552C">
        <w:rPr>
          <w:noProof/>
        </w:rPr>
        <w:t xml:space="preserve"> </w:t>
      </w:r>
      <w:r w:rsidRPr="00F261DB">
        <w:rPr>
          <w:rFonts w:eastAsia="Times New Roman"/>
          <w:noProof/>
          <w:color w:val="000000" w:themeColor="text1"/>
        </w:rPr>
        <w:t xml:space="preserve">Opponents on the other hand argued it could undermine the environmental value of secondary production, by diluting incentives for recycling and disadvantaging EAF producers. Some </w:t>
      </w:r>
      <w:r w:rsidRPr="00B54F08">
        <w:rPr>
          <w:rFonts w:eastAsia="Times New Roman"/>
          <w:noProof/>
        </w:rPr>
        <w:t>stakeholders</w:t>
      </w:r>
      <w:r w:rsidRPr="00F261DB">
        <w:rPr>
          <w:rFonts w:eastAsia="Times New Roman"/>
          <w:noProof/>
          <w:color w:val="000000" w:themeColor="text1"/>
        </w:rPr>
        <w:t xml:space="preserve"> were critical towards the idea of having two different classification systems, based on production route, as it would risk locking-in technological innovation.</w:t>
      </w:r>
    </w:p>
    <w:p w14:paraId="34E7C257" w14:textId="77777777" w:rsidR="00020031" w:rsidRPr="00F261DB" w:rsidRDefault="00020031" w:rsidP="003F3451">
      <w:pPr>
        <w:pStyle w:val="ListParagraph"/>
        <w:numPr>
          <w:ilvl w:val="0"/>
          <w:numId w:val="39"/>
        </w:numPr>
        <w:rPr>
          <w:rFonts w:eastAsia="Times New Roman"/>
          <w:noProof/>
          <w:color w:val="000000" w:themeColor="text1"/>
        </w:rPr>
      </w:pPr>
      <w:r w:rsidRPr="00B54F08">
        <w:rPr>
          <w:rFonts w:eastAsia="Times New Roman"/>
          <w:noProof/>
          <w:color w:val="000000" w:themeColor="text1"/>
          <w:u w:val="single"/>
        </w:rPr>
        <w:t>Production Route Transparency</w:t>
      </w:r>
      <w:r w:rsidRPr="00F261DB">
        <w:rPr>
          <w:rFonts w:eastAsia="Times New Roman"/>
          <w:noProof/>
          <w:color w:val="000000" w:themeColor="text1"/>
        </w:rPr>
        <w:t>: Some participants called for including production route, recycled content, and place of origin data on the label, alongside carbon intensity.</w:t>
      </w:r>
    </w:p>
    <w:p w14:paraId="3A1759EC" w14:textId="77777777" w:rsidR="00020031" w:rsidRDefault="00020031" w:rsidP="003F3451">
      <w:pPr>
        <w:pStyle w:val="ListParagraph"/>
        <w:numPr>
          <w:ilvl w:val="0"/>
          <w:numId w:val="39"/>
        </w:numPr>
        <w:rPr>
          <w:rFonts w:eastAsia="Times New Roman"/>
          <w:noProof/>
          <w:color w:val="000000" w:themeColor="text1"/>
        </w:rPr>
      </w:pPr>
      <w:r w:rsidRPr="00B54F08">
        <w:rPr>
          <w:rFonts w:eastAsia="Times New Roman"/>
          <w:noProof/>
          <w:color w:val="000000" w:themeColor="text1"/>
          <w:u w:val="single"/>
        </w:rPr>
        <w:t>Harmonisation Needs</w:t>
      </w:r>
      <w:r w:rsidRPr="00F261DB">
        <w:rPr>
          <w:rFonts w:eastAsia="Times New Roman"/>
          <w:noProof/>
          <w:color w:val="000000" w:themeColor="text1"/>
        </w:rPr>
        <w:t>: A consistent EU-wide methodology is necessary to build trust across markets and ensure clear messaging for both consumers and B2B customers.</w:t>
      </w:r>
    </w:p>
    <w:p w14:paraId="3D20D1FF" w14:textId="77777777" w:rsidR="00B54F08" w:rsidRPr="00F261DB" w:rsidRDefault="00B54F08" w:rsidP="00B54F08">
      <w:pPr>
        <w:pStyle w:val="ListParagraph"/>
        <w:rPr>
          <w:rFonts w:eastAsia="Times New Roman"/>
          <w:noProof/>
          <w:color w:val="000000" w:themeColor="text1"/>
        </w:rPr>
      </w:pPr>
    </w:p>
    <w:p w14:paraId="2CE1962A" w14:textId="390A79D0"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3.4 Reality Check with Member States on Industrial Accelerator Act</w:t>
      </w:r>
    </w:p>
    <w:p w14:paraId="7B96654B" w14:textId="77777777" w:rsidR="00020031" w:rsidRPr="00F261DB" w:rsidRDefault="00020031" w:rsidP="00B54F08">
      <w:pPr>
        <w:spacing w:after="120"/>
        <w:rPr>
          <w:rFonts w:eastAsia="Times New Roman"/>
          <w:b/>
          <w:noProof/>
          <w:color w:val="000000" w:themeColor="text1"/>
        </w:rPr>
      </w:pPr>
      <w:r w:rsidRPr="00F261DB">
        <w:rPr>
          <w:rFonts w:eastAsia="Times New Roman"/>
          <w:b/>
          <w:noProof/>
          <w:color w:val="000000" w:themeColor="text1"/>
        </w:rPr>
        <w:t>Overview</w:t>
      </w:r>
    </w:p>
    <w:p w14:paraId="53B8EC6D" w14:textId="77777777"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The consultation workshop with Member States representatives included preliminarily shared questions and discussion around the topics of European lead markets for low-carbon industrial products and streamlining permitting procedures.</w:t>
      </w:r>
    </w:p>
    <w:p w14:paraId="7852E6F0" w14:textId="77777777" w:rsidR="00020031" w:rsidRPr="00F261DB" w:rsidRDefault="00020031" w:rsidP="00B54F08">
      <w:pPr>
        <w:spacing w:after="120"/>
        <w:rPr>
          <w:rFonts w:eastAsia="Times New Roman"/>
          <w:noProof/>
          <w:color w:val="000000" w:themeColor="text1"/>
        </w:rPr>
      </w:pPr>
      <w:r w:rsidRPr="00F261DB">
        <w:rPr>
          <w:rFonts w:eastAsia="Times New Roman"/>
          <w:b/>
          <w:noProof/>
          <w:color w:val="000000" w:themeColor="text1"/>
        </w:rPr>
        <w:t>Creation and protection of European lead markets for low-carbon products</w:t>
      </w:r>
    </w:p>
    <w:p w14:paraId="69ACAB7D" w14:textId="4C76B8B8" w:rsidR="00742B02" w:rsidRPr="00CD2CD8"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Member States welcomed the </w:t>
      </w:r>
      <w:r w:rsidR="00646A42" w:rsidRPr="00F261DB">
        <w:rPr>
          <w:rFonts w:eastAsia="Times New Roman"/>
          <w:noProof/>
          <w:color w:val="000000" w:themeColor="text1"/>
        </w:rPr>
        <w:t>IAA</w:t>
      </w:r>
      <w:r w:rsidRPr="00F261DB">
        <w:rPr>
          <w:rFonts w:eastAsia="Times New Roman"/>
          <w:noProof/>
          <w:color w:val="000000" w:themeColor="text1"/>
        </w:rPr>
        <w:t xml:space="preserve">'s ambition to develop lead markets but emphasised the need for clarity of scope, particularly distinguishing </w:t>
      </w:r>
      <w:r w:rsidR="00646A42" w:rsidRPr="00F261DB">
        <w:rPr>
          <w:rFonts w:eastAsia="Times New Roman"/>
          <w:noProof/>
          <w:color w:val="000000" w:themeColor="text1"/>
        </w:rPr>
        <w:t>IAA</w:t>
      </w:r>
      <w:r w:rsidRPr="00F261DB">
        <w:rPr>
          <w:rFonts w:eastAsia="Times New Roman"/>
          <w:noProof/>
          <w:color w:val="000000" w:themeColor="text1"/>
        </w:rPr>
        <w:t xml:space="preserve"> from the Net-Zero Industry Act (NZIA). The participants underlined the importance of alignment with existing EU legislation such as ESPR, Renewable Energy Directive, and Circular Economy initiatives. Several countries supported EU preference criteria in procurement, highlighting that minimum EU content requirements could drive market creation, especially in key sectors like steel, cement, fertilizers, and batteries.</w:t>
      </w:r>
      <w:r w:rsidR="00A15761" w:rsidRPr="00CD2CD8">
        <w:rPr>
          <w:rFonts w:eastAsia="Times New Roman"/>
          <w:noProof/>
          <w:color w:val="000000" w:themeColor="text1"/>
        </w:rPr>
        <w:t xml:space="preserve"> </w:t>
      </w:r>
      <w:r w:rsidRPr="00F261DB">
        <w:rPr>
          <w:rFonts w:eastAsia="Times New Roman"/>
          <w:noProof/>
          <w:color w:val="000000" w:themeColor="text1"/>
        </w:rPr>
        <w:t>Technological neutrality was broadly supported, with calls for verified and interoperable labelling systems that build on ETS data without adding new burdens. Concerns were raised about electricity access, calling for EU support in addressing grid capacity constraints. There was consensus on avoiding new regulatory burdens and instead simplifying existing frameworks to attract investments.</w:t>
      </w:r>
    </w:p>
    <w:p w14:paraId="05B05CFE" w14:textId="77777777" w:rsidR="00A15761" w:rsidRPr="00F261DB" w:rsidRDefault="00020031" w:rsidP="00B54F08">
      <w:pPr>
        <w:spacing w:after="120"/>
        <w:rPr>
          <w:noProof/>
        </w:rPr>
      </w:pPr>
      <w:r w:rsidRPr="00F261DB">
        <w:rPr>
          <w:rFonts w:eastAsia="Times New Roman"/>
          <w:b/>
          <w:noProof/>
          <w:color w:val="000000" w:themeColor="text1"/>
        </w:rPr>
        <w:t>Streamlining and speeding-up permitting procedures</w:t>
      </w:r>
    </w:p>
    <w:p w14:paraId="30FB89E9" w14:textId="5322EA42" w:rsidR="00742B02" w:rsidRPr="00FF63D1" w:rsidRDefault="00020031" w:rsidP="00195EC6">
      <w:pPr>
        <w:rPr>
          <w:rFonts w:eastAsia="Times New Roman"/>
          <w:noProof/>
          <w:color w:val="000000" w:themeColor="text1"/>
        </w:rPr>
      </w:pPr>
      <w:r w:rsidRPr="00F261DB">
        <w:rPr>
          <w:rFonts w:eastAsia="Times New Roman"/>
          <w:noProof/>
          <w:color w:val="000000" w:themeColor="text1"/>
        </w:rPr>
        <w:t>All Member States called for streamlined permitting but rejected hard deadlines, with some emphasizing outcome-focused simplification, preferring procedural flexibility over rigid timelines. Others highlighted the complexity arising from regional administrative structures, which must be respected in any EU-level initiative.</w:t>
      </w:r>
      <w:r w:rsidR="00A15761" w:rsidRPr="00FF63D1">
        <w:rPr>
          <w:rFonts w:eastAsia="Times New Roman"/>
          <w:noProof/>
          <w:color w:val="000000" w:themeColor="text1"/>
        </w:rPr>
        <w:t xml:space="preserve"> </w:t>
      </w:r>
      <w:r w:rsidRPr="00F261DB">
        <w:rPr>
          <w:rFonts w:eastAsia="Times New Roman"/>
          <w:noProof/>
          <w:color w:val="000000" w:themeColor="text1"/>
        </w:rPr>
        <w:t xml:space="preserve">Some Member States called for identification and removal of legal inconsistencies that delay permitting, while others warned </w:t>
      </w:r>
      <w:r w:rsidRPr="00F261DB">
        <w:rPr>
          <w:rFonts w:eastAsia="Times New Roman"/>
          <w:noProof/>
          <w:color w:val="000000" w:themeColor="text1"/>
        </w:rPr>
        <w:lastRenderedPageBreak/>
        <w:t>against creating new layers of bureaucracy. Digitali</w:t>
      </w:r>
      <w:r w:rsidR="00C93E5C">
        <w:rPr>
          <w:rFonts w:eastAsia="Times New Roman"/>
          <w:noProof/>
          <w:color w:val="000000" w:themeColor="text1"/>
        </w:rPr>
        <w:t>sation</w:t>
      </w:r>
      <w:r w:rsidRPr="00F261DB">
        <w:rPr>
          <w:rFonts w:eastAsia="Times New Roman"/>
          <w:noProof/>
          <w:color w:val="000000" w:themeColor="text1"/>
        </w:rPr>
        <w:t xml:space="preserve"> and standardi</w:t>
      </w:r>
      <w:r w:rsidR="00BA637D">
        <w:rPr>
          <w:rFonts w:eastAsia="Times New Roman"/>
          <w:noProof/>
          <w:color w:val="000000" w:themeColor="text1"/>
        </w:rPr>
        <w:t>s</w:t>
      </w:r>
      <w:r w:rsidRPr="00F261DB">
        <w:rPr>
          <w:rFonts w:eastAsia="Times New Roman"/>
          <w:noProof/>
          <w:color w:val="000000" w:themeColor="text1"/>
        </w:rPr>
        <w:t>ed procedures were favoured, especially for environmental assessments, but cautioned that real-world constraints, such as limited regional capacity and financing, must be addressed.</w:t>
      </w:r>
      <w:r w:rsidR="00A15761" w:rsidRPr="00FF63D1">
        <w:rPr>
          <w:rFonts w:eastAsia="Times New Roman"/>
          <w:noProof/>
          <w:color w:val="000000" w:themeColor="text1"/>
        </w:rPr>
        <w:t xml:space="preserve"> </w:t>
      </w:r>
      <w:r w:rsidRPr="00F261DB">
        <w:rPr>
          <w:rFonts w:eastAsia="Times New Roman"/>
          <w:noProof/>
          <w:color w:val="000000" w:themeColor="text1"/>
        </w:rPr>
        <w:t xml:space="preserve">Beyond simplification, Member States raised practical implementation concerns. Some of them suggested narrowing </w:t>
      </w:r>
      <w:r w:rsidR="00646A42" w:rsidRPr="00F261DB">
        <w:rPr>
          <w:rFonts w:eastAsia="Times New Roman"/>
          <w:noProof/>
          <w:color w:val="000000" w:themeColor="text1"/>
        </w:rPr>
        <w:t>IAA</w:t>
      </w:r>
      <w:r w:rsidRPr="00F261DB">
        <w:rPr>
          <w:rFonts w:eastAsia="Times New Roman"/>
          <w:noProof/>
          <w:color w:val="000000" w:themeColor="text1"/>
        </w:rPr>
        <w:t>’s permitting acceleration to large-scale decarbonisation projects to avoid over-prioritisation, while others called for a horizontal simplification approach, applicable to all decarbonisation projects.</w:t>
      </w:r>
    </w:p>
    <w:p w14:paraId="6BCE96D9" w14:textId="5B33EED8" w:rsidR="00B54F08" w:rsidRPr="00B54F08" w:rsidRDefault="00020031" w:rsidP="00B54F08">
      <w:pPr>
        <w:pStyle w:val="ListParagraph"/>
        <w:keepNext/>
        <w:keepLines/>
        <w:numPr>
          <w:ilvl w:val="0"/>
          <w:numId w:val="123"/>
        </w:numPr>
        <w:spacing w:before="360" w:after="80"/>
        <w:outlineLvl w:val="0"/>
        <w:rPr>
          <w:rFonts w:eastAsia="Yu Gothic Light"/>
          <w:b/>
          <w:noProof/>
        </w:rPr>
      </w:pPr>
      <w:bookmarkStart w:id="176" w:name="_Toc212728794"/>
      <w:bookmarkStart w:id="177" w:name="_Toc212729068"/>
      <w:bookmarkStart w:id="178" w:name="_Toc212729320"/>
      <w:bookmarkStart w:id="179" w:name="_Toc215506264"/>
      <w:bookmarkStart w:id="180" w:name="_Toc222159315"/>
      <w:bookmarkStart w:id="181" w:name="_Toc222489519"/>
      <w:bookmarkStart w:id="182" w:name="_Toc222490008"/>
      <w:r w:rsidRPr="00F261DB">
        <w:rPr>
          <w:rFonts w:eastAsia="Yu Gothic Light"/>
          <w:b/>
          <w:noProof/>
        </w:rPr>
        <w:t xml:space="preserve">Targeted </w:t>
      </w:r>
      <w:r w:rsidR="00D3482D">
        <w:rPr>
          <w:rFonts w:eastAsia="Yu Gothic Light"/>
          <w:b/>
          <w:noProof/>
        </w:rPr>
        <w:t>c</w:t>
      </w:r>
      <w:r w:rsidRPr="00F261DB">
        <w:rPr>
          <w:rFonts w:eastAsia="Yu Gothic Light"/>
          <w:b/>
          <w:noProof/>
        </w:rPr>
        <w:t xml:space="preserve">onsultation on the </w:t>
      </w:r>
      <w:r w:rsidR="00D3482D">
        <w:rPr>
          <w:rFonts w:eastAsia="Yu Gothic Light"/>
          <w:b/>
          <w:noProof/>
        </w:rPr>
        <w:t>b</w:t>
      </w:r>
      <w:r w:rsidRPr="00F261DB">
        <w:rPr>
          <w:rFonts w:eastAsia="Yu Gothic Light"/>
          <w:b/>
          <w:noProof/>
        </w:rPr>
        <w:t xml:space="preserve">attery </w:t>
      </w:r>
      <w:r w:rsidR="00D3482D">
        <w:rPr>
          <w:rFonts w:eastAsia="Yu Gothic Light"/>
          <w:b/>
          <w:noProof/>
        </w:rPr>
        <w:t>s</w:t>
      </w:r>
      <w:r w:rsidRPr="00F261DB">
        <w:rPr>
          <w:rFonts w:eastAsia="Yu Gothic Light"/>
          <w:b/>
          <w:noProof/>
        </w:rPr>
        <w:t>ector</w:t>
      </w:r>
      <w:bookmarkEnd w:id="176"/>
      <w:bookmarkEnd w:id="177"/>
      <w:bookmarkEnd w:id="178"/>
      <w:bookmarkEnd w:id="179"/>
      <w:bookmarkEnd w:id="180"/>
      <w:bookmarkEnd w:id="181"/>
      <w:bookmarkEnd w:id="182"/>
    </w:p>
    <w:p w14:paraId="0B105A26" w14:textId="68BB12D6" w:rsidR="00A15761" w:rsidRPr="0073552C" w:rsidRDefault="00020031" w:rsidP="00B54F08">
      <w:pPr>
        <w:spacing w:after="120"/>
        <w:rPr>
          <w:rFonts w:eastAsia="Times New Roman"/>
          <w:noProof/>
          <w:color w:val="000000" w:themeColor="text1"/>
        </w:rPr>
      </w:pPr>
      <w:r w:rsidRPr="00F261DB">
        <w:rPr>
          <w:rFonts w:eastAsia="Times New Roman"/>
          <w:noProof/>
          <w:color w:val="000000" w:themeColor="text1"/>
        </w:rPr>
        <w:t xml:space="preserve">The consultation focused on the potential introduction of EU content requirements for the battery sector, including their definition, implementation through policy instruments, and expected impacts on competitiveness, pricing, and employment. </w:t>
      </w:r>
    </w:p>
    <w:p w14:paraId="151C9866" w14:textId="21C8E6FD" w:rsidR="00A15761" w:rsidRPr="00B54F08" w:rsidRDefault="00020031" w:rsidP="00B54F08">
      <w:pPr>
        <w:spacing w:after="120"/>
        <w:rPr>
          <w:rFonts w:eastAsia="Times New Roman"/>
          <w:b/>
          <w:noProof/>
        </w:rPr>
      </w:pPr>
      <w:r w:rsidRPr="00B54F08">
        <w:rPr>
          <w:rFonts w:eastAsia="Times New Roman"/>
          <w:b/>
          <w:noProof/>
        </w:rPr>
        <w:t>Support for Policy Instruments</w:t>
      </w:r>
    </w:p>
    <w:p w14:paraId="560F7172" w14:textId="3DDFB886"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Out of 63 respondents, a large majority supported the inclusion of EU content requirements in various policy mechanisms. Public funding and support schemes received the highest endorsement (45 responses; 71%), followed by public procurement and private procurement (each with 39 responses; 62%). Notably, 29 respondents (46%) supported the use of all three instruments simultaneously. Only 7 respondents (11%) expressed opposition to any form of EU content requirement.</w:t>
      </w:r>
    </w:p>
    <w:p w14:paraId="66415628" w14:textId="77777777" w:rsidR="00020031" w:rsidRPr="00B54F08" w:rsidRDefault="00020031" w:rsidP="00B54F08">
      <w:pPr>
        <w:spacing w:after="120"/>
        <w:rPr>
          <w:rFonts w:eastAsia="Times New Roman"/>
          <w:b/>
          <w:noProof/>
        </w:rPr>
      </w:pPr>
      <w:r w:rsidRPr="00B54F08">
        <w:rPr>
          <w:rFonts w:eastAsia="Times New Roman"/>
          <w:b/>
          <w:noProof/>
        </w:rPr>
        <w:t>Definitions of EU Content</w:t>
      </w:r>
    </w:p>
    <w:p w14:paraId="739317AE" w14:textId="040DBCB5" w:rsidR="00020031" w:rsidRPr="00F261DB" w:rsidRDefault="00020031" w:rsidP="00B54F08">
      <w:pPr>
        <w:spacing w:after="120"/>
        <w:rPr>
          <w:rFonts w:eastAsia="Times New Roman"/>
          <w:noProof/>
          <w:color w:val="000000" w:themeColor="text1"/>
        </w:rPr>
      </w:pPr>
      <w:r w:rsidRPr="00F261DB">
        <w:rPr>
          <w:rFonts w:eastAsia="Times New Roman"/>
          <w:noProof/>
          <w:color w:val="000000" w:themeColor="text1"/>
        </w:rPr>
        <w:t>Respondents provided varied interpretations of what constitutes “EU content” in the battery value chain. The most common definition was “components made in the EU” (</w:t>
      </w:r>
      <w:r w:rsidR="00707EF4" w:rsidRPr="00F261DB">
        <w:rPr>
          <w:rFonts w:eastAsia="Times New Roman"/>
          <w:noProof/>
          <w:color w:val="000000" w:themeColor="text1"/>
        </w:rPr>
        <w:t>n=</w:t>
      </w:r>
      <w:r w:rsidRPr="00F261DB">
        <w:rPr>
          <w:rFonts w:eastAsia="Times New Roman"/>
          <w:noProof/>
          <w:color w:val="000000" w:themeColor="text1"/>
        </w:rPr>
        <w:t>43</w:t>
      </w:r>
      <w:r w:rsidR="00220B91">
        <w:rPr>
          <w:rFonts w:eastAsia="Times New Roman"/>
          <w:noProof/>
          <w:color w:val="000000" w:themeColor="text1"/>
        </w:rPr>
        <w:t>,</w:t>
      </w:r>
      <w:r w:rsidRPr="00F261DB">
        <w:rPr>
          <w:rFonts w:eastAsia="Times New Roman"/>
          <w:noProof/>
          <w:color w:val="000000" w:themeColor="text1"/>
        </w:rPr>
        <w:t xml:space="preserve"> 68%), followed by “assembly in the EU” (</w:t>
      </w:r>
      <w:r w:rsidR="00707EF4" w:rsidRPr="00F261DB">
        <w:rPr>
          <w:rFonts w:eastAsia="Times New Roman"/>
          <w:noProof/>
          <w:color w:val="000000" w:themeColor="text1"/>
        </w:rPr>
        <w:t>n=</w:t>
      </w:r>
      <w:r w:rsidRPr="00F261DB">
        <w:rPr>
          <w:rFonts w:eastAsia="Times New Roman"/>
          <w:noProof/>
          <w:color w:val="000000" w:themeColor="text1"/>
        </w:rPr>
        <w:t>36, 57%). Less frequently cited were “bill of materials produced in the EU” (</w:t>
      </w:r>
      <w:r w:rsidR="00707EF4" w:rsidRPr="00F261DB">
        <w:rPr>
          <w:rFonts w:eastAsia="Times New Roman"/>
          <w:noProof/>
          <w:color w:val="000000" w:themeColor="text1"/>
        </w:rPr>
        <w:t>n=</w:t>
      </w:r>
      <w:r w:rsidRPr="00F261DB">
        <w:rPr>
          <w:rFonts w:eastAsia="Times New Roman"/>
          <w:noProof/>
          <w:color w:val="000000" w:themeColor="text1"/>
        </w:rPr>
        <w:t>14, 22%), “value generated in the EU” (</w:t>
      </w:r>
      <w:r w:rsidR="00707EF4" w:rsidRPr="00F261DB">
        <w:rPr>
          <w:rFonts w:eastAsia="Times New Roman"/>
          <w:noProof/>
          <w:color w:val="000000" w:themeColor="text1"/>
        </w:rPr>
        <w:t>n=</w:t>
      </w:r>
      <w:r w:rsidRPr="00F261DB">
        <w:rPr>
          <w:rFonts w:eastAsia="Times New Roman"/>
          <w:noProof/>
          <w:color w:val="000000" w:themeColor="text1"/>
        </w:rPr>
        <w:t>12, 19%), and “weight/volume generated in the EU” (</w:t>
      </w:r>
      <w:r w:rsidR="00707EF4" w:rsidRPr="00F261DB">
        <w:rPr>
          <w:rFonts w:eastAsia="Times New Roman"/>
          <w:noProof/>
          <w:color w:val="000000" w:themeColor="text1"/>
        </w:rPr>
        <w:t>n=</w:t>
      </w:r>
      <w:r w:rsidRPr="00F261DB">
        <w:rPr>
          <w:rFonts w:eastAsia="Times New Roman"/>
          <w:noProof/>
          <w:color w:val="000000" w:themeColor="text1"/>
        </w:rPr>
        <w:t>4, 6%). Only one respondent (2%) provided a definition that did not fit into these categories.</w:t>
      </w:r>
    </w:p>
    <w:p w14:paraId="6D0059F5" w14:textId="77777777" w:rsidR="00020031" w:rsidRPr="00B54F08" w:rsidRDefault="00020031" w:rsidP="00B54F08">
      <w:pPr>
        <w:spacing w:after="120"/>
        <w:rPr>
          <w:rFonts w:eastAsia="Times New Roman"/>
          <w:b/>
          <w:noProof/>
        </w:rPr>
      </w:pPr>
      <w:r w:rsidRPr="00B54F08">
        <w:rPr>
          <w:rFonts w:eastAsia="Times New Roman"/>
          <w:b/>
          <w:noProof/>
        </w:rPr>
        <w:t>Expected Impacts</w:t>
      </w:r>
    </w:p>
    <w:p w14:paraId="4187EDA3" w14:textId="77777777" w:rsidR="00020031" w:rsidRPr="00F261DB" w:rsidRDefault="00020031" w:rsidP="00195EC6">
      <w:pPr>
        <w:rPr>
          <w:rFonts w:eastAsia="Times New Roman"/>
          <w:noProof/>
          <w:color w:val="000000" w:themeColor="text1"/>
        </w:rPr>
      </w:pPr>
      <w:r w:rsidRPr="00F261DB">
        <w:rPr>
          <w:rFonts w:eastAsia="Times New Roman"/>
          <w:noProof/>
          <w:color w:val="000000" w:themeColor="text1"/>
        </w:rPr>
        <w:t>Stakeholders were asked to assess the expected impacts of EU content requirements in batteries across six dimensions:</w:t>
      </w:r>
    </w:p>
    <w:p w14:paraId="3E907A83" w14:textId="0D256067" w:rsidR="00454217" w:rsidRPr="00F261DB" w:rsidRDefault="00020031" w:rsidP="000A08D4">
      <w:pPr>
        <w:pStyle w:val="ListParagraph"/>
        <w:numPr>
          <w:ilvl w:val="0"/>
          <w:numId w:val="65"/>
        </w:numPr>
        <w:rPr>
          <w:rFonts w:eastAsia="Times New Roman"/>
          <w:noProof/>
          <w:color w:val="000000" w:themeColor="text1"/>
        </w:rPr>
      </w:pPr>
      <w:r w:rsidRPr="00B54F08">
        <w:rPr>
          <w:rFonts w:eastAsia="Times New Roman"/>
          <w:noProof/>
          <w:color w:val="000000" w:themeColor="text1"/>
          <w:u w:val="single"/>
        </w:rPr>
        <w:t>Social Aspects (e.g. Jobs)</w:t>
      </w:r>
      <w:r w:rsidRPr="00F261DB">
        <w:rPr>
          <w:rFonts w:eastAsia="Times New Roman"/>
          <w:noProof/>
          <w:color w:val="000000" w:themeColor="text1"/>
        </w:rPr>
        <w:t>: 39 respondents (62%) anticipated very positive effects, with another 18 (29%) expecting positive outcomes. Only 5% saw no impact, and just one respondent (2%) foresaw negative consequences.</w:t>
      </w:r>
    </w:p>
    <w:p w14:paraId="7744A96E" w14:textId="33CD0AB3" w:rsidR="00454217" w:rsidRPr="00F261DB" w:rsidRDefault="00020031" w:rsidP="000A08D4">
      <w:pPr>
        <w:pStyle w:val="ListParagraph"/>
        <w:numPr>
          <w:ilvl w:val="0"/>
          <w:numId w:val="65"/>
        </w:numPr>
        <w:rPr>
          <w:rFonts w:eastAsia="Times New Roman"/>
          <w:noProof/>
          <w:color w:val="000000" w:themeColor="text1"/>
        </w:rPr>
      </w:pPr>
      <w:r w:rsidRPr="00B54F08">
        <w:rPr>
          <w:rFonts w:eastAsia="Times New Roman"/>
          <w:noProof/>
          <w:color w:val="000000" w:themeColor="text1"/>
          <w:u w:val="single"/>
        </w:rPr>
        <w:t>Economic Aspects (e.g. Profitability)</w:t>
      </w:r>
      <w:r w:rsidRPr="00F261DB">
        <w:rPr>
          <w:rFonts w:eastAsia="Times New Roman"/>
          <w:noProof/>
          <w:color w:val="000000" w:themeColor="text1"/>
        </w:rPr>
        <w:t>: 42 respondents (67%) expected positive or very positive impacts, while 12 (19%) anticipated negative effects. A small share (10%) saw no impact.</w:t>
      </w:r>
    </w:p>
    <w:p w14:paraId="24D4E4B4" w14:textId="72192D86" w:rsidR="00454217" w:rsidRPr="00F261DB" w:rsidRDefault="00020031" w:rsidP="000A08D4">
      <w:pPr>
        <w:pStyle w:val="ListParagraph"/>
        <w:numPr>
          <w:ilvl w:val="0"/>
          <w:numId w:val="65"/>
        </w:numPr>
        <w:rPr>
          <w:rFonts w:eastAsia="Times New Roman"/>
          <w:noProof/>
          <w:color w:val="000000" w:themeColor="text1"/>
        </w:rPr>
      </w:pPr>
      <w:r w:rsidRPr="00B54F08">
        <w:rPr>
          <w:rFonts w:eastAsia="Times New Roman"/>
          <w:noProof/>
          <w:color w:val="000000" w:themeColor="text1"/>
          <w:u w:val="single"/>
        </w:rPr>
        <w:t>SMEs</w:t>
      </w:r>
      <w:r w:rsidRPr="00F261DB">
        <w:rPr>
          <w:rFonts w:eastAsia="Times New Roman"/>
          <w:noProof/>
          <w:color w:val="000000" w:themeColor="text1"/>
        </w:rPr>
        <w:t>: 40 respondents (64%) viewed EU content requirements as beneficial to SMEs, while 3 (5%) expressed concern about negative impacts. 14% saw no impact.</w:t>
      </w:r>
    </w:p>
    <w:p w14:paraId="14219D52" w14:textId="55974D7C" w:rsidR="00454217" w:rsidRPr="00F261DB" w:rsidRDefault="00020031" w:rsidP="000A08D4">
      <w:pPr>
        <w:pStyle w:val="ListParagraph"/>
        <w:numPr>
          <w:ilvl w:val="0"/>
          <w:numId w:val="65"/>
        </w:numPr>
        <w:rPr>
          <w:rFonts w:eastAsia="Times New Roman"/>
          <w:noProof/>
          <w:color w:val="000000" w:themeColor="text1"/>
        </w:rPr>
      </w:pPr>
      <w:r w:rsidRPr="00B54F08">
        <w:rPr>
          <w:rFonts w:eastAsia="Times New Roman"/>
          <w:noProof/>
          <w:color w:val="000000" w:themeColor="text1"/>
          <w:u w:val="single"/>
        </w:rPr>
        <w:t>Skills and Workforce Development</w:t>
      </w:r>
      <w:r w:rsidRPr="00F261DB">
        <w:rPr>
          <w:rFonts w:eastAsia="Times New Roman"/>
          <w:noProof/>
          <w:color w:val="000000" w:themeColor="text1"/>
        </w:rPr>
        <w:t>: This dimension received strong support, with 30 respondents (48%) rating the impact as very positive and 26 (41%) as positive. No respondents anticipated negative effects.</w:t>
      </w:r>
    </w:p>
    <w:p w14:paraId="25964D7C" w14:textId="79AAD2EA" w:rsidR="00454217" w:rsidRPr="00F261DB" w:rsidRDefault="00020031" w:rsidP="000A08D4">
      <w:pPr>
        <w:pStyle w:val="ListParagraph"/>
        <w:numPr>
          <w:ilvl w:val="0"/>
          <w:numId w:val="65"/>
        </w:numPr>
        <w:rPr>
          <w:rFonts w:eastAsia="Times New Roman"/>
          <w:noProof/>
          <w:color w:val="000000" w:themeColor="text1"/>
        </w:rPr>
      </w:pPr>
      <w:r w:rsidRPr="00B54F08">
        <w:rPr>
          <w:rFonts w:eastAsia="Times New Roman"/>
          <w:noProof/>
          <w:color w:val="000000" w:themeColor="text1"/>
          <w:u w:val="single"/>
        </w:rPr>
        <w:t>Battery Price</w:t>
      </w:r>
      <w:r w:rsidRPr="00F261DB">
        <w:rPr>
          <w:rFonts w:eastAsia="Times New Roman"/>
          <w:noProof/>
          <w:color w:val="000000" w:themeColor="text1"/>
        </w:rPr>
        <w:t>: Stakeholders expressed concern about cost implications. 26 respondents (41%) expected negative impacts on battery prices, with 5 (</w:t>
      </w:r>
      <w:r w:rsidR="00A66BB3" w:rsidRPr="00FF63D1">
        <w:rPr>
          <w:rFonts w:eastAsia="Times New Roman"/>
          <w:noProof/>
          <w:color w:val="000000" w:themeColor="text1"/>
        </w:rPr>
        <w:t>8</w:t>
      </w:r>
      <w:r w:rsidRPr="00F261DB">
        <w:rPr>
          <w:rFonts w:eastAsia="Times New Roman"/>
          <w:noProof/>
          <w:color w:val="000000" w:themeColor="text1"/>
        </w:rPr>
        <w:t>%) anticipating very negative effects. Only 11 (18%) saw positive effects, and 15 (24%) expected no impact.</w:t>
      </w:r>
    </w:p>
    <w:p w14:paraId="4EE44D4F" w14:textId="296A4B67" w:rsidR="00020031" w:rsidRPr="00F261DB" w:rsidRDefault="00020031" w:rsidP="000A08D4">
      <w:pPr>
        <w:pStyle w:val="ListParagraph"/>
        <w:numPr>
          <w:ilvl w:val="0"/>
          <w:numId w:val="65"/>
        </w:numPr>
        <w:rPr>
          <w:rFonts w:eastAsia="Times New Roman"/>
          <w:noProof/>
          <w:color w:val="000000" w:themeColor="text1"/>
        </w:rPr>
      </w:pPr>
      <w:r w:rsidRPr="00B54F08">
        <w:rPr>
          <w:rFonts w:eastAsia="Times New Roman"/>
          <w:noProof/>
          <w:color w:val="000000" w:themeColor="text1"/>
          <w:u w:val="single"/>
        </w:rPr>
        <w:t>Downstream Product</w:t>
      </w:r>
      <w:r w:rsidRPr="00F261DB">
        <w:rPr>
          <w:rFonts w:eastAsia="Times New Roman"/>
          <w:noProof/>
          <w:color w:val="000000" w:themeColor="text1"/>
        </w:rPr>
        <w:t xml:space="preserve"> Price: 22 respondents (35%) anticipated negative impacts, and 4 (6%) expected very negative effects. Meanwhile, 20 (32%) saw no impact, and 10 (16%) expected positive or very positive outcomes.</w:t>
      </w:r>
    </w:p>
    <w:p w14:paraId="2776B049" w14:textId="77777777" w:rsidR="00020031" w:rsidRPr="00F261DB" w:rsidRDefault="00020031">
      <w:pPr>
        <w:spacing w:after="160" w:line="259" w:lineRule="auto"/>
        <w:jc w:val="left"/>
        <w:rPr>
          <w:rFonts w:eastAsia="Times New Roman"/>
          <w:noProof/>
          <w:color w:val="000000" w:themeColor="text1"/>
        </w:rPr>
      </w:pPr>
      <w:bookmarkStart w:id="183" w:name="_Toc195528726"/>
      <w:r w:rsidRPr="00F261DB">
        <w:rPr>
          <w:rFonts w:eastAsia="Times New Roman"/>
          <w:noProof/>
          <w:color w:val="000000" w:themeColor="text1"/>
        </w:rPr>
        <w:br w:type="page"/>
      </w:r>
    </w:p>
    <w:p w14:paraId="0F55992B" w14:textId="77777777" w:rsidR="00362868" w:rsidRPr="00F261DB" w:rsidRDefault="00020031" w:rsidP="005D5915">
      <w:pPr>
        <w:pStyle w:val="Heading1"/>
        <w:numPr>
          <w:ilvl w:val="0"/>
          <w:numId w:val="0"/>
        </w:numPr>
        <w:spacing w:before="0" w:after="0"/>
        <w:rPr>
          <w:rFonts w:ascii="Times" w:eastAsia="Times New Roman" w:hAnsi="Times" w:cs="Times"/>
          <w:b/>
          <w:noProof/>
          <w:color w:val="auto"/>
          <w:sz w:val="28"/>
          <w:szCs w:val="28"/>
        </w:rPr>
      </w:pPr>
      <w:bookmarkStart w:id="184" w:name="_Toc207192543"/>
      <w:bookmarkStart w:id="185" w:name="_Toc222159316"/>
      <w:bookmarkStart w:id="186" w:name="_Toc222490009"/>
      <w:r w:rsidRPr="00F261DB">
        <w:rPr>
          <w:rFonts w:ascii="Times" w:hAnsi="Times" w:cs="Times"/>
          <w:b/>
          <w:noProof/>
          <w:color w:val="auto"/>
          <w:sz w:val="28"/>
          <w:szCs w:val="28"/>
        </w:rPr>
        <w:lastRenderedPageBreak/>
        <w:t>Annex 3: Who is affected and how?</w:t>
      </w:r>
      <w:bookmarkEnd w:id="183"/>
      <w:bookmarkEnd w:id="184"/>
      <w:bookmarkEnd w:id="185"/>
      <w:bookmarkEnd w:id="186"/>
    </w:p>
    <w:p w14:paraId="249FD290" w14:textId="69B531EF" w:rsidR="00020031" w:rsidRPr="00F261DB" w:rsidRDefault="00020031" w:rsidP="0084750D">
      <w:pPr>
        <w:pStyle w:val="ListParagraph"/>
        <w:keepNext/>
        <w:keepLines/>
        <w:numPr>
          <w:ilvl w:val="0"/>
          <w:numId w:val="149"/>
        </w:numPr>
        <w:spacing w:before="360" w:after="80"/>
        <w:outlineLvl w:val="0"/>
        <w:rPr>
          <w:rFonts w:eastAsia="Yu Gothic Light"/>
          <w:b/>
          <w:noProof/>
        </w:rPr>
      </w:pPr>
      <w:bookmarkStart w:id="187" w:name="_Toc195528727"/>
      <w:bookmarkStart w:id="188" w:name="_Toc207192544"/>
      <w:bookmarkStart w:id="189" w:name="_Toc212728796"/>
      <w:bookmarkStart w:id="190" w:name="_Toc212729070"/>
      <w:bookmarkStart w:id="191" w:name="_Toc212729322"/>
      <w:bookmarkStart w:id="192" w:name="_Toc215506266"/>
      <w:bookmarkStart w:id="193" w:name="_Toc222159317"/>
      <w:bookmarkStart w:id="194" w:name="_Toc222489521"/>
      <w:bookmarkStart w:id="195" w:name="_Toc222490010"/>
      <w:r w:rsidRPr="00F261DB">
        <w:rPr>
          <w:rFonts w:eastAsia="Yu Gothic Light"/>
          <w:b/>
          <w:noProof/>
        </w:rPr>
        <w:t>Practical implications of the initiative</w:t>
      </w:r>
      <w:bookmarkEnd w:id="187"/>
      <w:bookmarkEnd w:id="188"/>
      <w:bookmarkEnd w:id="189"/>
      <w:bookmarkEnd w:id="190"/>
      <w:bookmarkEnd w:id="191"/>
      <w:bookmarkEnd w:id="192"/>
      <w:bookmarkEnd w:id="193"/>
      <w:bookmarkEnd w:id="194"/>
      <w:bookmarkEnd w:id="195"/>
    </w:p>
    <w:p w14:paraId="5136F592" w14:textId="754B3AE1" w:rsidR="00020031" w:rsidRPr="0084750D" w:rsidRDefault="00020031" w:rsidP="0084750D">
      <w:pPr>
        <w:spacing w:after="120"/>
        <w:rPr>
          <w:rFonts w:eastAsia="Times New Roman"/>
          <w:noProof/>
          <w:color w:val="000000" w:themeColor="text1"/>
        </w:rPr>
      </w:pPr>
      <w:r w:rsidRPr="009D6D71">
        <w:rPr>
          <w:rFonts w:eastAsia="Times New Roman"/>
          <w:b/>
          <w:bCs/>
          <w:noProof/>
        </w:rPr>
        <w:t>Businesses</w:t>
      </w:r>
      <w:r w:rsidR="005D5915" w:rsidRPr="00F261DB">
        <w:rPr>
          <w:rFonts w:eastAsia="Times New Roman"/>
          <w:noProof/>
        </w:rPr>
        <w:t xml:space="preserve"> </w:t>
      </w:r>
      <w:r w:rsidR="006A7567" w:rsidRPr="00F261DB">
        <w:rPr>
          <w:rFonts w:eastAsia="Times New Roman"/>
          <w:noProof/>
        </w:rPr>
        <w:t>–</w:t>
      </w:r>
      <w:r w:rsidR="005E2844" w:rsidRPr="00F261DB">
        <w:rPr>
          <w:rFonts w:eastAsia="Times New Roman"/>
          <w:noProof/>
        </w:rPr>
        <w:t xml:space="preserve"> </w:t>
      </w:r>
      <w:r w:rsidRPr="00F261DB">
        <w:rPr>
          <w:rFonts w:eastAsia="Times New Roman"/>
          <w:noProof/>
        </w:rPr>
        <w:t xml:space="preserve">particularly </w:t>
      </w:r>
      <w:r w:rsidR="0077543B">
        <w:rPr>
          <w:rFonts w:eastAsia="Times New Roman"/>
          <w:noProof/>
        </w:rPr>
        <w:t>EIIs</w:t>
      </w:r>
      <w:r w:rsidRPr="00F261DB">
        <w:rPr>
          <w:rFonts w:eastAsia="Times New Roman"/>
          <w:noProof/>
        </w:rPr>
        <w:t>, battery manufacturers, solar manufacturers, and key automotive component industries</w:t>
      </w:r>
      <w:r w:rsidR="005D5915" w:rsidRPr="00F261DB">
        <w:rPr>
          <w:rFonts w:eastAsia="Times New Roman"/>
          <w:noProof/>
        </w:rPr>
        <w:t xml:space="preserve"> </w:t>
      </w:r>
      <w:r w:rsidR="006A7567" w:rsidRPr="00F261DB">
        <w:rPr>
          <w:rFonts w:eastAsia="Times New Roman"/>
          <w:noProof/>
        </w:rPr>
        <w:t>–</w:t>
      </w:r>
      <w:r w:rsidR="005D5915" w:rsidRPr="00F261DB">
        <w:rPr>
          <w:rFonts w:eastAsia="Times New Roman"/>
          <w:noProof/>
        </w:rPr>
        <w:t xml:space="preserve"> </w:t>
      </w:r>
      <w:r w:rsidRPr="00F261DB">
        <w:rPr>
          <w:rFonts w:eastAsia="Times New Roman"/>
          <w:noProof/>
        </w:rPr>
        <w:t xml:space="preserve">will benefit the most from the initiative. It aims at creating lead markets for European, low-carbon products, depending on the industry, through </w:t>
      </w:r>
      <w:r w:rsidRPr="0084750D">
        <w:rPr>
          <w:rFonts w:eastAsia="Times New Roman"/>
          <w:noProof/>
          <w:color w:val="000000" w:themeColor="text1"/>
        </w:rPr>
        <w:t>public procurement mandates and/or mandates for all products put on the market, supported by a low-carbon label (in the case of steel).</w:t>
      </w:r>
    </w:p>
    <w:p w14:paraId="4477C758" w14:textId="6268394A" w:rsidR="00020031" w:rsidRPr="0084750D" w:rsidRDefault="00020031" w:rsidP="0084750D">
      <w:pPr>
        <w:spacing w:after="120"/>
        <w:rPr>
          <w:rFonts w:eastAsia="Times New Roman"/>
          <w:noProof/>
          <w:color w:val="000000" w:themeColor="text1"/>
        </w:rPr>
      </w:pPr>
      <w:r w:rsidRPr="0084750D">
        <w:rPr>
          <w:rFonts w:eastAsia="Times New Roman"/>
          <w:noProof/>
          <w:color w:val="000000" w:themeColor="text1"/>
        </w:rPr>
        <w:t xml:space="preserve">For businesses that have already invested in decarbonisation, the impact will be felt in the short term, as markets for their products expand. For companies that have not yet invested in decarbonisation, </w:t>
      </w:r>
      <w:r w:rsidR="00646A42" w:rsidRPr="0084750D">
        <w:rPr>
          <w:rFonts w:eastAsia="Times New Roman"/>
          <w:noProof/>
          <w:color w:val="000000" w:themeColor="text1"/>
        </w:rPr>
        <w:t>IAA</w:t>
      </w:r>
      <w:r w:rsidRPr="0084750D">
        <w:rPr>
          <w:rFonts w:eastAsia="Times New Roman"/>
          <w:noProof/>
          <w:color w:val="000000" w:themeColor="text1"/>
        </w:rPr>
        <w:t xml:space="preserve"> will provide an incentive on the demand side, increasing confidence in decarbonisation investments.</w:t>
      </w:r>
    </w:p>
    <w:p w14:paraId="6E6A3068" w14:textId="72FDC066" w:rsidR="00020031" w:rsidRDefault="00020031" w:rsidP="0084750D">
      <w:pPr>
        <w:spacing w:after="120"/>
        <w:rPr>
          <w:rFonts w:eastAsia="Times New Roman"/>
          <w:noProof/>
          <w:color w:val="000000" w:themeColor="text1"/>
        </w:rPr>
      </w:pPr>
      <w:r w:rsidRPr="0084750D">
        <w:rPr>
          <w:rFonts w:eastAsia="Times New Roman"/>
          <w:noProof/>
          <w:color w:val="000000" w:themeColor="text1"/>
        </w:rPr>
        <w:t xml:space="preserve">The initiative will also accelerate manufacturing industry’s decarbonisation projects by speeding-up </w:t>
      </w:r>
      <w:r w:rsidR="002E4744" w:rsidRPr="0084750D">
        <w:rPr>
          <w:rFonts w:eastAsia="Times New Roman"/>
          <w:noProof/>
          <w:color w:val="000000" w:themeColor="text1"/>
        </w:rPr>
        <w:t>using</w:t>
      </w:r>
      <w:r w:rsidR="00040EFD" w:rsidRPr="0084750D">
        <w:rPr>
          <w:rFonts w:eastAsia="Times New Roman"/>
          <w:noProof/>
          <w:color w:val="000000" w:themeColor="text1"/>
        </w:rPr>
        <w:t xml:space="preserve"> tacit approval for intermediate steps (with certain limitations and safeguards), </w:t>
      </w:r>
      <w:r w:rsidRPr="0084750D">
        <w:rPr>
          <w:rFonts w:eastAsia="Times New Roman"/>
          <w:noProof/>
          <w:color w:val="000000" w:themeColor="text1"/>
        </w:rPr>
        <w:t>and simplifying permitting procedures,</w:t>
      </w:r>
      <w:r w:rsidR="00040EFD" w:rsidRPr="0084750D">
        <w:rPr>
          <w:rFonts w:eastAsia="Times New Roman"/>
          <w:noProof/>
          <w:color w:val="000000" w:themeColor="text1"/>
        </w:rPr>
        <w:t xml:space="preserve"> </w:t>
      </w:r>
      <w:r w:rsidRPr="0084750D">
        <w:rPr>
          <w:rFonts w:eastAsia="Times New Roman"/>
          <w:noProof/>
          <w:color w:val="000000" w:themeColor="text1"/>
        </w:rPr>
        <w:t>including by digitalisation of procedures</w:t>
      </w:r>
      <w:r w:rsidR="181D082C" w:rsidRPr="0084750D">
        <w:rPr>
          <w:rFonts w:eastAsia="Times New Roman"/>
          <w:noProof/>
          <w:color w:val="000000" w:themeColor="text1"/>
        </w:rPr>
        <w:t xml:space="preserve">. </w:t>
      </w:r>
      <w:r w:rsidRPr="0084750D">
        <w:rPr>
          <w:rFonts w:eastAsia="Times New Roman"/>
          <w:noProof/>
          <w:color w:val="000000" w:themeColor="text1"/>
        </w:rPr>
        <w:t xml:space="preserve">Decarbonisation will require high initial CAPEX as well as higher OPEX in the short and medium term. Some of these costs will be passed down the value chain </w:t>
      </w:r>
      <w:r w:rsidR="005A253A" w:rsidRPr="0084750D">
        <w:rPr>
          <w:rFonts w:eastAsia="Times New Roman"/>
          <w:noProof/>
          <w:color w:val="000000" w:themeColor="text1"/>
        </w:rPr>
        <w:t>–</w:t>
      </w:r>
      <w:r w:rsidR="00442368" w:rsidRPr="0084750D">
        <w:rPr>
          <w:rFonts w:eastAsia="Times New Roman"/>
          <w:noProof/>
          <w:color w:val="000000" w:themeColor="text1"/>
        </w:rPr>
        <w:t xml:space="preserve"> </w:t>
      </w:r>
      <w:r w:rsidRPr="0084750D">
        <w:rPr>
          <w:rFonts w:eastAsia="Times New Roman"/>
          <w:noProof/>
          <w:color w:val="000000" w:themeColor="text1"/>
        </w:rPr>
        <w:t>in the form of a “green premium”</w:t>
      </w:r>
      <w:r w:rsidR="005A253A" w:rsidRPr="0084750D">
        <w:rPr>
          <w:rFonts w:eastAsia="Times New Roman"/>
          <w:noProof/>
          <w:color w:val="000000" w:themeColor="text1"/>
        </w:rPr>
        <w:t xml:space="preserve"> –</w:t>
      </w:r>
      <w:r w:rsidRPr="0084750D">
        <w:rPr>
          <w:rFonts w:eastAsia="Times New Roman"/>
          <w:noProof/>
          <w:color w:val="000000" w:themeColor="text1"/>
        </w:rPr>
        <w:t xml:space="preserve"> to downstream sectors that have the capacity to absorb them to different degrees. Since most provisions focus on public procurement and public support schemes, these costs are likely to be absorbed by public administrations, </w:t>
      </w:r>
      <w:r w:rsidRPr="4EAE5FAC">
        <w:rPr>
          <w:rFonts w:eastAsia="Times New Roman"/>
          <w:noProof/>
          <w:color w:val="000000" w:themeColor="text1"/>
        </w:rPr>
        <w:t xml:space="preserve">but the extent and availability of such support will depend on national budgetary capacities and political priorities. </w:t>
      </w:r>
    </w:p>
    <w:p w14:paraId="165A9E05" w14:textId="3E0FF5F2" w:rsidR="00020031" w:rsidRPr="00F261DB" w:rsidRDefault="00020031" w:rsidP="0084750D">
      <w:pPr>
        <w:spacing w:after="120"/>
        <w:rPr>
          <w:rFonts w:eastAsia="Times New Roman"/>
          <w:noProof/>
        </w:rPr>
      </w:pPr>
      <w:r w:rsidRPr="0084750D">
        <w:rPr>
          <w:rFonts w:eastAsia="Times New Roman"/>
          <w:noProof/>
          <w:color w:val="000000" w:themeColor="text1"/>
        </w:rPr>
        <w:t>In the long term, the cost premium associated with producing low-carbon materials is expected to decline as relevant technologies</w:t>
      </w:r>
      <w:r w:rsidRPr="00F261DB">
        <w:rPr>
          <w:rFonts w:eastAsia="Times New Roman"/>
          <w:noProof/>
        </w:rPr>
        <w:t xml:space="preserve"> mature and demand for low-carbon materials</w:t>
      </w:r>
      <w:r w:rsidRPr="00FF63D1">
        <w:rPr>
          <w:rFonts w:eastAsia="Times New Roman"/>
          <w:noProof/>
        </w:rPr>
        <w:t xml:space="preserve"> </w:t>
      </w:r>
      <w:r w:rsidRPr="00F261DB">
        <w:rPr>
          <w:rFonts w:eastAsia="Times New Roman"/>
          <w:noProof/>
        </w:rPr>
        <w:t>transitions from niche lead markets to larger-scale markets</w:t>
      </w:r>
      <w:r w:rsidR="00BB0252" w:rsidRPr="00FF63D1">
        <w:rPr>
          <w:rFonts w:eastAsia="Times New Roman"/>
          <w:noProof/>
        </w:rPr>
        <w:t>, while in parallel carbon intensive products are expected to become more expensive as a result of the tightening of the EU’s climate policies, e.g. the EU ETS and CBAM</w:t>
      </w:r>
      <w:r w:rsidRPr="00F261DB">
        <w:rPr>
          <w:rFonts w:eastAsia="Times New Roman"/>
          <w:noProof/>
        </w:rPr>
        <w:t xml:space="preserve">. </w:t>
      </w:r>
    </w:p>
    <w:p w14:paraId="473CFCDD" w14:textId="5F81B4B6" w:rsidR="00B631AB" w:rsidRPr="0084750D" w:rsidRDefault="000C69D6" w:rsidP="0084750D">
      <w:pPr>
        <w:spacing w:after="120"/>
        <w:rPr>
          <w:rFonts w:eastAsia="Times New Roman"/>
          <w:noProof/>
          <w:color w:val="000000" w:themeColor="text1"/>
        </w:rPr>
      </w:pPr>
      <w:r w:rsidRPr="009D6D71">
        <w:rPr>
          <w:rFonts w:eastAsia="Aptos"/>
          <w:b/>
          <w:bCs/>
          <w:noProof/>
        </w:rPr>
        <w:t>Citizens</w:t>
      </w:r>
      <w:r w:rsidR="00020031" w:rsidRPr="009D6D71">
        <w:rPr>
          <w:rFonts w:eastAsia="Aptos"/>
          <w:b/>
          <w:bCs/>
          <w:noProof/>
        </w:rPr>
        <w:t xml:space="preserve"> and consumers</w:t>
      </w:r>
      <w:r w:rsidR="00020031" w:rsidRPr="00F261DB">
        <w:rPr>
          <w:rFonts w:eastAsia="Aptos"/>
          <w:noProof/>
        </w:rPr>
        <w:t xml:space="preserve"> will benefit by having a more reliable access to low-carbon products, which will be easier to differentiate, thereby being able to make more sustainable consumer choices. Initially, final consumer goods containing low-carbon industrial products will be more expensive, but i</w:t>
      </w:r>
      <w:r w:rsidR="00020031" w:rsidRPr="00F261DB">
        <w:rPr>
          <w:rFonts w:eastAsia="Times New Roman"/>
          <w:noProof/>
        </w:rPr>
        <w:t xml:space="preserve">n specific sectors analysed in the assessment (construction and automotive), the increase in the final product price </w:t>
      </w:r>
      <w:r w:rsidR="00BB0252" w:rsidRPr="00FF63D1">
        <w:rPr>
          <w:rFonts w:eastAsia="Times New Roman"/>
          <w:noProof/>
        </w:rPr>
        <w:t>will affect</w:t>
      </w:r>
      <w:r w:rsidR="00020031" w:rsidRPr="00F261DB">
        <w:rPr>
          <w:rFonts w:eastAsia="Times New Roman"/>
          <w:noProof/>
        </w:rPr>
        <w:t xml:space="preserve"> consumers only to </w:t>
      </w:r>
      <w:r w:rsidR="00BB0252" w:rsidRPr="00FF63D1">
        <w:rPr>
          <w:rFonts w:eastAsia="Times New Roman"/>
          <w:noProof/>
        </w:rPr>
        <w:t>some</w:t>
      </w:r>
      <w:r w:rsidR="00020031" w:rsidRPr="00F261DB">
        <w:rPr>
          <w:rFonts w:eastAsia="Times New Roman"/>
          <w:noProof/>
        </w:rPr>
        <w:t xml:space="preserve"> extent and until the lead markets </w:t>
      </w:r>
      <w:r w:rsidR="00020031" w:rsidRPr="0084750D">
        <w:rPr>
          <w:rFonts w:eastAsia="Times New Roman"/>
          <w:noProof/>
          <w:color w:val="000000" w:themeColor="text1"/>
        </w:rPr>
        <w:t xml:space="preserve">become the norm. </w:t>
      </w:r>
    </w:p>
    <w:p w14:paraId="52AB7893" w14:textId="5959F914" w:rsidR="00B122CA" w:rsidRPr="00F261DB" w:rsidRDefault="00020031" w:rsidP="0084750D">
      <w:pPr>
        <w:spacing w:after="120"/>
        <w:rPr>
          <w:rFonts w:eastAsia="Aptos"/>
          <w:noProof/>
          <w:u w:val="single"/>
        </w:rPr>
      </w:pPr>
      <w:r w:rsidRPr="0084750D">
        <w:rPr>
          <w:rFonts w:eastAsia="Times New Roman"/>
          <w:noProof/>
          <w:color w:val="000000" w:themeColor="text1"/>
        </w:rPr>
        <w:t>In the long term the green premium will be reduced, therefore consumers will benefit from that as well. Public procurement and public support schemes measure would support lead market</w:t>
      </w:r>
      <w:r w:rsidR="00415552" w:rsidRPr="0084750D">
        <w:rPr>
          <w:rFonts w:eastAsia="Times New Roman"/>
          <w:noProof/>
          <w:color w:val="000000" w:themeColor="text1"/>
        </w:rPr>
        <w:t>s</w:t>
      </w:r>
      <w:r w:rsidRPr="0084750D">
        <w:rPr>
          <w:rFonts w:eastAsia="Times New Roman"/>
          <w:noProof/>
          <w:color w:val="000000" w:themeColor="text1"/>
        </w:rPr>
        <w:t>, entailing fiscal benefits for purchasing products containing low</w:t>
      </w:r>
      <w:r w:rsidR="00F42FCE">
        <w:rPr>
          <w:rFonts w:eastAsia="Times New Roman"/>
          <w:noProof/>
          <w:color w:val="000000" w:themeColor="text1"/>
        </w:rPr>
        <w:t>-</w:t>
      </w:r>
      <w:r w:rsidRPr="0084750D">
        <w:rPr>
          <w:rFonts w:eastAsia="Times New Roman"/>
          <w:noProof/>
          <w:color w:val="000000" w:themeColor="text1"/>
        </w:rPr>
        <w:t>carbon and EU content materials</w:t>
      </w:r>
      <w:r w:rsidR="005A1FBA" w:rsidRPr="0084750D">
        <w:rPr>
          <w:rFonts w:eastAsia="Times New Roman"/>
          <w:noProof/>
          <w:color w:val="000000" w:themeColor="text1"/>
        </w:rPr>
        <w:t>, which are</w:t>
      </w:r>
      <w:r w:rsidR="005A1FBA" w:rsidRPr="00FF63D1">
        <w:rPr>
          <w:rFonts w:eastAsia="Aptos"/>
          <w:noProof/>
        </w:rPr>
        <w:t>, for example, already in place for EVs</w:t>
      </w:r>
      <w:r w:rsidRPr="00F261DB">
        <w:rPr>
          <w:rFonts w:eastAsia="Aptos"/>
          <w:noProof/>
        </w:rPr>
        <w:t>. Citizens will also benefit from improved information and, more broadly, carbon emissions reduction.</w:t>
      </w:r>
    </w:p>
    <w:p w14:paraId="2A3CF35E" w14:textId="77248938" w:rsidR="00020031" w:rsidRPr="00F261DB" w:rsidRDefault="00020031" w:rsidP="0084750D">
      <w:pPr>
        <w:spacing w:after="120"/>
        <w:rPr>
          <w:rFonts w:eastAsia="Aptos"/>
          <w:noProof/>
        </w:rPr>
      </w:pPr>
      <w:r w:rsidRPr="009D6D71">
        <w:rPr>
          <w:rFonts w:eastAsia="Aptos"/>
          <w:b/>
          <w:bCs/>
          <w:noProof/>
        </w:rPr>
        <w:t>Member States</w:t>
      </w:r>
      <w:r w:rsidRPr="00F261DB">
        <w:rPr>
          <w:rFonts w:eastAsia="Aptos"/>
          <w:noProof/>
        </w:rPr>
        <w:t xml:space="preserve"> will play an important role in the implementation of this initiative. Public procurement and support schemes will contribute the most to the creation of lead markets of low</w:t>
      </w:r>
      <w:r w:rsidR="00F42FCE">
        <w:rPr>
          <w:rFonts w:eastAsia="Aptos"/>
          <w:noProof/>
        </w:rPr>
        <w:t>-</w:t>
      </w:r>
      <w:r w:rsidRPr="00F261DB">
        <w:rPr>
          <w:rFonts w:eastAsia="Aptos"/>
          <w:noProof/>
        </w:rPr>
        <w:t xml:space="preserve">carbon, EU content products. Thereby, administrations will need to include these provisions in their </w:t>
      </w:r>
      <w:r w:rsidRPr="0084750D">
        <w:rPr>
          <w:rFonts w:eastAsia="Times New Roman"/>
          <w:noProof/>
          <w:color w:val="000000" w:themeColor="text1"/>
        </w:rPr>
        <w:t>procurement</w:t>
      </w:r>
      <w:r w:rsidRPr="00F261DB">
        <w:rPr>
          <w:rFonts w:eastAsia="Aptos"/>
          <w:noProof/>
        </w:rPr>
        <w:t xml:space="preserve"> practices, including monitoring and reporting. Permitting provisions will also have to be implemented by Member States, where coordination across public authorities will be crucial. </w:t>
      </w:r>
    </w:p>
    <w:p w14:paraId="769C81D7" w14:textId="61D3E9B4" w:rsidR="00020031" w:rsidRPr="00F261DB" w:rsidRDefault="00020031" w:rsidP="0084750D">
      <w:pPr>
        <w:spacing w:after="120"/>
        <w:rPr>
          <w:rFonts w:eastAsia="Times New Roman"/>
          <w:noProof/>
          <w:color w:val="000000" w:themeColor="text1"/>
        </w:rPr>
      </w:pPr>
      <w:bookmarkStart w:id="196" w:name="_Toc195528728"/>
      <w:r w:rsidRPr="00F261DB">
        <w:rPr>
          <w:rFonts w:eastAsia="Times New Roman"/>
          <w:noProof/>
          <w:color w:val="000000" w:themeColor="text1"/>
        </w:rPr>
        <w:t xml:space="preserve">The financial burden associated with low-carbon requirements in public procurement procedures and support schemes would primarily fall on Member States and other public authorities, requiring a limited increase in public spending on low-carbon products. </w:t>
      </w:r>
    </w:p>
    <w:p w14:paraId="6672DF37" w14:textId="77777777" w:rsidR="00020031" w:rsidRPr="00F261DB" w:rsidRDefault="00020031">
      <w:pPr>
        <w:spacing w:beforeAutospacing="1" w:afterAutospacing="1"/>
        <w:rPr>
          <w:rFonts w:eastAsia="Times New Roman"/>
          <w:noProof/>
        </w:rPr>
        <w:sectPr w:rsidR="00020031" w:rsidRPr="00F261DB" w:rsidSect="00020031">
          <w:headerReference w:type="even" r:id="rId50"/>
          <w:headerReference w:type="default" r:id="rId51"/>
          <w:footerReference w:type="default" r:id="rId52"/>
          <w:headerReference w:type="first" r:id="rId53"/>
          <w:pgSz w:w="11906" w:h="16838"/>
          <w:pgMar w:top="1440" w:right="1440" w:bottom="1440" w:left="1440" w:header="708" w:footer="708" w:gutter="0"/>
          <w:cols w:space="708"/>
          <w:docGrid w:linePitch="360"/>
        </w:sectPr>
      </w:pPr>
    </w:p>
    <w:p w14:paraId="5FEA2469" w14:textId="3BF172A7" w:rsidR="00020031" w:rsidRPr="00F261DB" w:rsidRDefault="00020031" w:rsidP="00EF6EDE">
      <w:pPr>
        <w:pStyle w:val="ListParagraph"/>
        <w:keepNext/>
        <w:keepLines/>
        <w:numPr>
          <w:ilvl w:val="0"/>
          <w:numId w:val="149"/>
        </w:numPr>
        <w:spacing w:before="360" w:after="80"/>
        <w:outlineLvl w:val="0"/>
        <w:rPr>
          <w:rFonts w:eastAsia="Yu Gothic Light"/>
          <w:b/>
          <w:noProof/>
        </w:rPr>
      </w:pPr>
      <w:bookmarkStart w:id="197" w:name="_Toc207192545"/>
      <w:bookmarkStart w:id="198" w:name="_Toc212728797"/>
      <w:bookmarkStart w:id="199" w:name="_Toc212729071"/>
      <w:bookmarkStart w:id="200" w:name="_Toc212729323"/>
      <w:bookmarkStart w:id="201" w:name="_Toc215506267"/>
      <w:bookmarkStart w:id="202" w:name="_Toc222159318"/>
      <w:bookmarkStart w:id="203" w:name="_Toc222489522"/>
      <w:bookmarkStart w:id="204" w:name="_Toc222490011"/>
      <w:r w:rsidRPr="00F261DB">
        <w:rPr>
          <w:rFonts w:eastAsia="Yu Gothic Light"/>
          <w:b/>
          <w:noProof/>
        </w:rPr>
        <w:lastRenderedPageBreak/>
        <w:t>Summary of costs and benefits</w:t>
      </w:r>
      <w:bookmarkEnd w:id="196"/>
      <w:bookmarkEnd w:id="197"/>
      <w:bookmarkEnd w:id="198"/>
      <w:bookmarkEnd w:id="199"/>
      <w:bookmarkEnd w:id="200"/>
      <w:bookmarkEnd w:id="201"/>
      <w:bookmarkEnd w:id="202"/>
      <w:bookmarkEnd w:id="203"/>
      <w:bookmarkEnd w:id="204"/>
    </w:p>
    <w:tbl>
      <w:tblPr>
        <w:tblStyle w:val="CV12"/>
        <w:tblW w:w="5000" w:type="pct"/>
        <w:tblInd w:w="-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262"/>
        <w:gridCol w:w="7086"/>
        <w:gridCol w:w="5420"/>
      </w:tblGrid>
      <w:tr w:rsidR="001C7632" w:rsidRPr="00F261DB" w14:paraId="33F1EBA8" w14:textId="77777777" w:rsidTr="7ECD02B7">
        <w:trPr>
          <w:trHeight w:val="300"/>
          <w:tblHeader/>
        </w:trPr>
        <w:tc>
          <w:tcPr>
            <w:tcW w:w="5000" w:type="pct"/>
            <w:gridSpan w:val="3"/>
            <w:tcBorders>
              <w:top w:val="double" w:sz="4" w:space="0" w:color="auto"/>
              <w:bottom w:val="single" w:sz="4" w:space="0" w:color="auto"/>
            </w:tcBorders>
            <w:shd w:val="clear" w:color="auto" w:fill="B7D4EF"/>
          </w:tcPr>
          <w:p w14:paraId="3A5397C3" w14:textId="77777777" w:rsidR="00020031" w:rsidRPr="002B6C88" w:rsidRDefault="00020031" w:rsidP="000A154A">
            <w:pPr>
              <w:rPr>
                <w:rFonts w:eastAsia="Aptos"/>
                <w:b/>
                <w:noProof/>
              </w:rPr>
            </w:pPr>
            <w:r w:rsidRPr="002B6C88">
              <w:rPr>
                <w:rFonts w:eastAsia="Aptos"/>
                <w:b/>
                <w:noProof/>
              </w:rPr>
              <w:t>I. Overview of Benefits (total for all provisions) – Preferred Option</w:t>
            </w:r>
          </w:p>
        </w:tc>
      </w:tr>
      <w:tr w:rsidR="0059029C" w:rsidRPr="00F261DB" w14:paraId="0941A4CB" w14:textId="77777777" w:rsidTr="00264F89">
        <w:trPr>
          <w:trHeight w:val="300"/>
          <w:tblHeader/>
        </w:trPr>
        <w:tc>
          <w:tcPr>
            <w:tcW w:w="766" w:type="pct"/>
            <w:tcBorders>
              <w:top w:val="single" w:sz="4" w:space="0" w:color="auto"/>
            </w:tcBorders>
            <w:shd w:val="clear" w:color="auto" w:fill="B7D4EF"/>
          </w:tcPr>
          <w:p w14:paraId="62EA615F" w14:textId="77777777" w:rsidR="00020031" w:rsidRPr="002B6C88" w:rsidRDefault="00020031" w:rsidP="000A154A">
            <w:pPr>
              <w:jc w:val="center"/>
              <w:rPr>
                <w:rFonts w:eastAsia="Aptos"/>
                <w:b/>
                <w:i/>
                <w:noProof/>
              </w:rPr>
            </w:pPr>
            <w:r w:rsidRPr="002B6C88">
              <w:rPr>
                <w:rFonts w:eastAsia="Aptos"/>
                <w:b/>
                <w:i/>
                <w:noProof/>
              </w:rPr>
              <w:t>Description</w:t>
            </w:r>
          </w:p>
        </w:tc>
        <w:tc>
          <w:tcPr>
            <w:tcW w:w="2399" w:type="pct"/>
            <w:tcBorders>
              <w:top w:val="single" w:sz="4" w:space="0" w:color="auto"/>
            </w:tcBorders>
            <w:shd w:val="clear" w:color="auto" w:fill="B7D4EF"/>
          </w:tcPr>
          <w:p w14:paraId="54A67571" w14:textId="77777777" w:rsidR="00020031" w:rsidRPr="002B6C88" w:rsidRDefault="00020031" w:rsidP="000A154A">
            <w:pPr>
              <w:jc w:val="center"/>
              <w:rPr>
                <w:rFonts w:eastAsia="Aptos"/>
                <w:b/>
                <w:i/>
                <w:noProof/>
              </w:rPr>
            </w:pPr>
            <w:r w:rsidRPr="002B6C88">
              <w:rPr>
                <w:rFonts w:eastAsia="Aptos"/>
                <w:b/>
                <w:i/>
                <w:noProof/>
              </w:rPr>
              <w:t>Amount</w:t>
            </w:r>
          </w:p>
        </w:tc>
        <w:tc>
          <w:tcPr>
            <w:tcW w:w="1835" w:type="pct"/>
            <w:tcBorders>
              <w:top w:val="single" w:sz="4" w:space="0" w:color="auto"/>
            </w:tcBorders>
            <w:shd w:val="clear" w:color="auto" w:fill="B7D4EF"/>
            <w:tcMar>
              <w:top w:w="57" w:type="dxa"/>
              <w:left w:w="57" w:type="dxa"/>
              <w:bottom w:w="57" w:type="dxa"/>
              <w:right w:w="57" w:type="dxa"/>
            </w:tcMar>
          </w:tcPr>
          <w:p w14:paraId="10F45A87" w14:textId="77777777" w:rsidR="00020031" w:rsidRPr="002B6C88" w:rsidRDefault="00020031" w:rsidP="000A154A">
            <w:pPr>
              <w:jc w:val="center"/>
              <w:rPr>
                <w:rFonts w:eastAsia="Aptos"/>
                <w:b/>
                <w:i/>
                <w:noProof/>
              </w:rPr>
            </w:pPr>
            <w:r w:rsidRPr="002B6C88">
              <w:rPr>
                <w:rFonts w:eastAsia="Aptos"/>
                <w:b/>
                <w:i/>
                <w:noProof/>
              </w:rPr>
              <w:t>Comments</w:t>
            </w:r>
          </w:p>
        </w:tc>
      </w:tr>
      <w:tr w:rsidR="00242CFB" w:rsidRPr="00F261DB" w14:paraId="77C65A10" w14:textId="77777777" w:rsidTr="7ECD02B7">
        <w:trPr>
          <w:trHeight w:val="300"/>
        </w:trPr>
        <w:tc>
          <w:tcPr>
            <w:tcW w:w="5000" w:type="pct"/>
            <w:gridSpan w:val="3"/>
            <w:tcBorders>
              <w:top w:val="double" w:sz="4" w:space="0" w:color="auto"/>
            </w:tcBorders>
            <w:shd w:val="clear" w:color="auto" w:fill="F2F2F2" w:themeFill="background1" w:themeFillShade="F2"/>
          </w:tcPr>
          <w:p w14:paraId="365BB89E" w14:textId="77777777" w:rsidR="00020031" w:rsidRPr="002B6C88" w:rsidRDefault="00020031" w:rsidP="000A154A">
            <w:pPr>
              <w:jc w:val="center"/>
              <w:rPr>
                <w:rFonts w:eastAsia="Aptos"/>
                <w:b/>
                <w:i/>
                <w:noProof/>
              </w:rPr>
            </w:pPr>
            <w:r w:rsidRPr="002B6C88">
              <w:rPr>
                <w:rFonts w:eastAsia="Aptos"/>
                <w:b/>
                <w:i/>
                <w:noProof/>
              </w:rPr>
              <w:t>Direct benefits</w:t>
            </w:r>
          </w:p>
        </w:tc>
      </w:tr>
      <w:tr w:rsidR="0011213E" w:rsidRPr="00F261DB" w14:paraId="7C4DF1E9" w14:textId="77777777" w:rsidTr="005F73AA">
        <w:trPr>
          <w:trHeight w:val="300"/>
        </w:trPr>
        <w:tc>
          <w:tcPr>
            <w:tcW w:w="766" w:type="pct"/>
            <w:tcBorders>
              <w:top w:val="double" w:sz="4" w:space="0" w:color="auto"/>
              <w:left w:val="double" w:sz="4" w:space="0" w:color="auto"/>
              <w:bottom w:val="double" w:sz="4" w:space="0" w:color="auto"/>
              <w:right w:val="double" w:sz="4" w:space="0" w:color="auto"/>
            </w:tcBorders>
          </w:tcPr>
          <w:p w14:paraId="0F7A21C2" w14:textId="77777777" w:rsidR="00020031" w:rsidRPr="002B6C88" w:rsidRDefault="00020031" w:rsidP="000A154A">
            <w:pPr>
              <w:rPr>
                <w:rFonts w:eastAsia="Aptos"/>
                <w:noProof/>
              </w:rPr>
            </w:pPr>
            <w:r w:rsidRPr="002B6C88">
              <w:rPr>
                <w:rFonts w:eastAsia="Aptos"/>
                <w:noProof/>
              </w:rPr>
              <w:t>LAB 2 – Creation of label on carbon intensity steel</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79B3770" w14:textId="2BA4C33D" w:rsidR="00A44384" w:rsidRPr="002B6C88" w:rsidRDefault="00020031" w:rsidP="000A154A">
            <w:pPr>
              <w:rPr>
                <w:noProof/>
                <w:color w:val="000000" w:themeColor="text1"/>
              </w:rPr>
            </w:pPr>
            <w:r w:rsidRPr="002B6C88">
              <w:rPr>
                <w:noProof/>
                <w:color w:val="000000" w:themeColor="text1"/>
                <w:u w:val="single"/>
              </w:rPr>
              <w:t>Steel businesses</w:t>
            </w:r>
            <w:r w:rsidRPr="002B6C88">
              <w:rPr>
                <w:noProof/>
                <w:color w:val="000000" w:themeColor="text1"/>
              </w:rPr>
              <w:t>: Will benefit from a certification that will allow the differentiation of low-carbon steel on the market and increased transparency, leading to a competitive edge</w:t>
            </w:r>
            <w:r w:rsidR="002A7600" w:rsidRPr="002B6C88">
              <w:rPr>
                <w:noProof/>
                <w:color w:val="000000" w:themeColor="text1"/>
              </w:rPr>
              <w:t>, reduced administrative burden from the multiplications of labels,</w:t>
            </w:r>
            <w:r w:rsidRPr="002B6C88">
              <w:rPr>
                <w:noProof/>
                <w:color w:val="000000" w:themeColor="text1"/>
              </w:rPr>
              <w:t xml:space="preserve"> and possibility to </w:t>
            </w:r>
            <w:r w:rsidR="00315AC2" w:rsidRPr="002B6C88">
              <w:rPr>
                <w:noProof/>
                <w:color w:val="000000" w:themeColor="text1"/>
              </w:rPr>
              <w:t>derisk investment in deca</w:t>
            </w:r>
            <w:r w:rsidR="00943722" w:rsidRPr="002B6C88">
              <w:rPr>
                <w:noProof/>
                <w:color w:val="000000" w:themeColor="text1"/>
              </w:rPr>
              <w:t xml:space="preserve">rbonisation </w:t>
            </w:r>
            <w:r w:rsidRPr="002B6C88">
              <w:rPr>
                <w:noProof/>
                <w:color w:val="000000" w:themeColor="text1"/>
              </w:rPr>
              <w:t xml:space="preserve">and new markets (combined with </w:t>
            </w:r>
            <w:r w:rsidRPr="002B6C88">
              <w:rPr>
                <w:noProof/>
              </w:rPr>
              <w:t>LEAD_EII 2)</w:t>
            </w:r>
            <w:r w:rsidR="00043355" w:rsidRPr="002B6C88">
              <w:rPr>
                <w:noProof/>
                <w:color w:val="000000" w:themeColor="text1"/>
              </w:rPr>
              <w:t>.</w:t>
            </w:r>
          </w:p>
          <w:p w14:paraId="5B6DD263" w14:textId="01BFD6AC" w:rsidR="00020031" w:rsidRPr="002B6C88" w:rsidRDefault="00020031" w:rsidP="000A154A">
            <w:pPr>
              <w:rPr>
                <w:noProof/>
                <w:color w:val="000000" w:themeColor="text1"/>
              </w:rPr>
            </w:pPr>
            <w:r w:rsidRPr="002B6C88">
              <w:rPr>
                <w:noProof/>
                <w:color w:val="000000" w:themeColor="text1"/>
                <w:u w:val="single"/>
              </w:rPr>
              <w:t>Downstream businesses</w:t>
            </w:r>
            <w:r w:rsidRPr="002B6C88">
              <w:rPr>
                <w:noProof/>
                <w:color w:val="000000" w:themeColor="text1"/>
              </w:rPr>
              <w:t xml:space="preserve">: Customers will benefit from increased transparency on low-carbon steel, which will help them reduce their scope 3 emissions and achieve their own decarbonisation goals. </w:t>
            </w:r>
          </w:p>
          <w:p w14:paraId="1F2D01AC" w14:textId="20032F77" w:rsidR="00020031" w:rsidRPr="002B6C88" w:rsidRDefault="00020031" w:rsidP="000A154A">
            <w:pPr>
              <w:rPr>
                <w:rFonts w:eastAsia="Aptos"/>
                <w:noProof/>
                <w:color w:val="000000" w:themeColor="text1"/>
              </w:rPr>
            </w:pPr>
            <w:r w:rsidRPr="002B6C88">
              <w:rPr>
                <w:noProof/>
                <w:color w:val="000000" w:themeColor="text1"/>
                <w:u w:val="single"/>
              </w:rPr>
              <w:t>Public administration</w:t>
            </w:r>
            <w:r w:rsidRPr="002B6C88">
              <w:rPr>
                <w:noProof/>
                <w:color w:val="000000" w:themeColor="text1"/>
              </w:rPr>
              <w:t xml:space="preserve">: </w:t>
            </w:r>
            <w:r w:rsidR="00043355" w:rsidRPr="002B6C88">
              <w:rPr>
                <w:noProof/>
                <w:color w:val="000000" w:themeColor="text1"/>
              </w:rPr>
              <w:t>W</w:t>
            </w:r>
            <w:r w:rsidRPr="002B6C88">
              <w:rPr>
                <w:noProof/>
                <w:color w:val="000000" w:themeColor="text1"/>
              </w:rPr>
              <w:t>ill benefit from a common European, pre-verified label on the carbon intensity of steel, which will provide a clear reference for assessing compliance with low-carbon requirements in public procurement rules. It would also create a level playing field across the single market. It will eventually allow procedural and environmental costs saving.</w:t>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26253423" w14:textId="137066EE" w:rsidR="00020031" w:rsidRPr="002B6C88" w:rsidRDefault="00020031" w:rsidP="000A154A">
            <w:pPr>
              <w:rPr>
                <w:rFonts w:eastAsia="Aptos"/>
                <w:noProof/>
              </w:rPr>
            </w:pPr>
            <w:r w:rsidRPr="002B6C88">
              <w:rPr>
                <w:noProof/>
              </w:rPr>
              <w:t xml:space="preserve">A label for low-carbon steel, through the standardisation and improved information on the carbon emissions impacts of steel, will increase the value and marketability of low-carbon steel, open new markets, </w:t>
            </w:r>
            <w:r w:rsidR="00943722" w:rsidRPr="002B6C88">
              <w:rPr>
                <w:noProof/>
              </w:rPr>
              <w:t xml:space="preserve">derisk investment and </w:t>
            </w:r>
            <w:r w:rsidRPr="002B6C88">
              <w:rPr>
                <w:noProof/>
              </w:rPr>
              <w:t>increase access to green finance or ESG-linked loans, and create a level playing field between steel companies engaged in decarbonisation activities.</w:t>
            </w:r>
          </w:p>
        </w:tc>
      </w:tr>
      <w:tr w:rsidR="0011213E" w:rsidRPr="00F261DB" w14:paraId="78252A3A" w14:textId="77777777" w:rsidTr="005F73AA">
        <w:trPr>
          <w:trHeight w:val="300"/>
        </w:trPr>
        <w:tc>
          <w:tcPr>
            <w:tcW w:w="766" w:type="pct"/>
            <w:tcBorders>
              <w:top w:val="double" w:sz="4" w:space="0" w:color="auto"/>
              <w:left w:val="double" w:sz="4" w:space="0" w:color="auto"/>
              <w:bottom w:val="double" w:sz="4" w:space="0" w:color="auto"/>
              <w:right w:val="double" w:sz="4" w:space="0" w:color="auto"/>
            </w:tcBorders>
          </w:tcPr>
          <w:p w14:paraId="5546779F" w14:textId="7A20F8B8" w:rsidR="00020031" w:rsidRPr="002B6C88" w:rsidRDefault="00020031" w:rsidP="000A154A">
            <w:pPr>
              <w:rPr>
                <w:rFonts w:eastAsia="Aptos"/>
                <w:noProof/>
              </w:rPr>
            </w:pPr>
            <w:r w:rsidRPr="002B6C88">
              <w:rPr>
                <w:rFonts w:eastAsia="Aptos"/>
                <w:noProof/>
              </w:rPr>
              <w:t>LEAD_EII 2 -</w:t>
            </w:r>
            <w:r w:rsidR="00B631AB" w:rsidRPr="002B6C88">
              <w:rPr>
                <w:rFonts w:eastAsia="Aptos"/>
                <w:noProof/>
              </w:rPr>
              <w:t xml:space="preserve"> </w:t>
            </w:r>
            <w:r w:rsidRPr="002B6C88">
              <w:rPr>
                <w:rFonts w:eastAsia="Aptos"/>
                <w:noProof/>
              </w:rPr>
              <w:t>Increased demand for low</w:t>
            </w:r>
            <w:r w:rsidR="00F42FCE">
              <w:rPr>
                <w:rFonts w:eastAsia="Aptos"/>
                <w:noProof/>
              </w:rPr>
              <w:t>-</w:t>
            </w:r>
            <w:r w:rsidRPr="002B6C88">
              <w:rPr>
                <w:rFonts w:eastAsia="Aptos"/>
                <w:noProof/>
              </w:rPr>
              <w:t>carbon EU EII products</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642DD780" w14:textId="77777777" w:rsidR="00020031" w:rsidRPr="002B6C88" w:rsidRDefault="00020031" w:rsidP="000A154A">
            <w:pPr>
              <w:rPr>
                <w:noProof/>
              </w:rPr>
            </w:pPr>
            <w:r w:rsidRPr="002B6C88">
              <w:rPr>
                <w:rFonts w:eastAsia="Aptos"/>
                <w:noProof/>
                <w:u w:val="single"/>
              </w:rPr>
              <w:t>EII businesses</w:t>
            </w:r>
            <w:r w:rsidRPr="002B6C88">
              <w:rPr>
                <w:rFonts w:eastAsia="Aptos"/>
                <w:noProof/>
              </w:rPr>
              <w:t>: Benefits include</w:t>
            </w:r>
            <w:r w:rsidR="00957A44" w:rsidRPr="002B6C88">
              <w:rPr>
                <w:rFonts w:eastAsia="Aptos"/>
                <w:noProof/>
              </w:rPr>
              <w:t xml:space="preserve"> value added increases,</w:t>
            </w:r>
            <w:r w:rsidRPr="002B6C88">
              <w:rPr>
                <w:rFonts w:eastAsia="Aptos"/>
                <w:noProof/>
              </w:rPr>
              <w:t xml:space="preserve"> market certainty </w:t>
            </w:r>
            <w:r w:rsidRPr="002B6C88">
              <w:rPr>
                <w:noProof/>
              </w:rPr>
              <w:t>and increased demand for</w:t>
            </w:r>
            <w:r w:rsidR="00043355" w:rsidRPr="002B6C88">
              <w:rPr>
                <w:noProof/>
              </w:rPr>
              <w:t xml:space="preserve"> European,</w:t>
            </w:r>
            <w:r w:rsidRPr="002B6C88">
              <w:rPr>
                <w:noProof/>
              </w:rPr>
              <w:t xml:space="preserve"> low-carbon EII products, thereby</w:t>
            </w:r>
            <w:r w:rsidRPr="002B6C88">
              <w:rPr>
                <w:rFonts w:eastAsia="Aptos"/>
                <w:noProof/>
              </w:rPr>
              <w:t xml:space="preserve"> facilitating investment in decarbonisation</w:t>
            </w:r>
            <w:r w:rsidRPr="002B6C88">
              <w:rPr>
                <w:noProof/>
              </w:rPr>
              <w:t xml:space="preserve"> by providing security of offtakes. In the </w:t>
            </w:r>
            <w:r w:rsidRPr="002B6C88">
              <w:rPr>
                <w:rFonts w:eastAsia="Aptos"/>
                <w:noProof/>
              </w:rPr>
              <w:t>long term</w:t>
            </w:r>
            <w:r w:rsidRPr="002B6C88">
              <w:rPr>
                <w:noProof/>
              </w:rPr>
              <w:t xml:space="preserve">, this will result in decreased </w:t>
            </w:r>
            <w:r w:rsidRPr="002B6C88">
              <w:rPr>
                <w:rFonts w:eastAsia="Aptos"/>
                <w:noProof/>
              </w:rPr>
              <w:t>production costs</w:t>
            </w:r>
            <w:r w:rsidRPr="002B6C88">
              <w:rPr>
                <w:noProof/>
              </w:rPr>
              <w:t xml:space="preserve"> and greater competitiveness in global markets.</w:t>
            </w:r>
            <w:r w:rsidR="00957A44" w:rsidRPr="002B6C88">
              <w:rPr>
                <w:noProof/>
              </w:rPr>
              <w:t xml:space="preserve"> </w:t>
            </w:r>
          </w:p>
          <w:p w14:paraId="11426591" w14:textId="77777777" w:rsidR="00747EEA" w:rsidRPr="002B6C88" w:rsidRDefault="00747EEA" w:rsidP="00747EEA">
            <w:pPr>
              <w:rPr>
                <w:rFonts w:eastAsia="Aptos"/>
                <w:noProof/>
              </w:rPr>
            </w:pPr>
          </w:p>
          <w:p w14:paraId="6FD39519" w14:textId="4A96FA3B" w:rsidR="00A67A0D" w:rsidRPr="002B6C88" w:rsidRDefault="37A34B2C" w:rsidP="3F0F1197">
            <w:pPr>
              <w:spacing w:line="259" w:lineRule="auto"/>
              <w:rPr>
                <w:rFonts w:eastAsia="Aptos"/>
                <w:noProof/>
              </w:rPr>
            </w:pPr>
            <w:r w:rsidRPr="1FA04443">
              <w:rPr>
                <w:rFonts w:eastAsia="Aptos"/>
                <w:noProof/>
              </w:rPr>
              <w:t>The introduction of a 25% low-carbon steel</w:t>
            </w:r>
            <w:r w:rsidR="00A712D9">
              <w:rPr>
                <w:rFonts w:eastAsia="Aptos"/>
                <w:noProof/>
              </w:rPr>
              <w:t>,</w:t>
            </w:r>
            <w:r w:rsidRPr="1FA04443">
              <w:rPr>
                <w:rFonts w:eastAsia="Aptos"/>
                <w:noProof/>
              </w:rPr>
              <w:t xml:space="preserve"> </w:t>
            </w:r>
            <w:r w:rsidR="14C9B615" w:rsidRPr="1FA04443">
              <w:rPr>
                <w:rFonts w:eastAsia="Aptos"/>
                <w:noProof/>
              </w:rPr>
              <w:t>a 5% low</w:t>
            </w:r>
            <w:r w:rsidR="00F42FCE">
              <w:rPr>
                <w:rFonts w:eastAsia="Aptos"/>
                <w:noProof/>
              </w:rPr>
              <w:t>-</w:t>
            </w:r>
            <w:r w:rsidR="14C9B615" w:rsidRPr="1FA04443">
              <w:rPr>
                <w:rFonts w:eastAsia="Aptos"/>
                <w:noProof/>
              </w:rPr>
              <w:t>carbon</w:t>
            </w:r>
            <w:r w:rsidRPr="1FA04443">
              <w:rPr>
                <w:rFonts w:eastAsia="Aptos"/>
                <w:noProof/>
              </w:rPr>
              <w:t xml:space="preserve"> cement </w:t>
            </w:r>
            <w:r w:rsidR="00A712D9">
              <w:rPr>
                <w:rFonts w:eastAsia="Aptos"/>
                <w:noProof/>
              </w:rPr>
              <w:t xml:space="preserve">and a 25% low-carbon aluminium </w:t>
            </w:r>
            <w:r w:rsidR="00797D2B">
              <w:rPr>
                <w:rFonts w:eastAsia="Aptos"/>
                <w:noProof/>
              </w:rPr>
              <w:t>target</w:t>
            </w:r>
            <w:r w:rsidRPr="1FA04443">
              <w:rPr>
                <w:rFonts w:eastAsia="Aptos"/>
                <w:noProof/>
              </w:rPr>
              <w:t xml:space="preserve"> in relevant downstream sectors can result in the following </w:t>
            </w:r>
            <w:r w:rsidR="00797D2B">
              <w:rPr>
                <w:rFonts w:eastAsia="Aptos"/>
                <w:noProof/>
              </w:rPr>
              <w:t xml:space="preserve">yearly </w:t>
            </w:r>
            <w:r w:rsidRPr="1FA04443">
              <w:rPr>
                <w:rFonts w:eastAsia="Aptos"/>
                <w:noProof/>
              </w:rPr>
              <w:t>CO</w:t>
            </w:r>
            <w:r w:rsidR="00797D2B" w:rsidRPr="00797D2B">
              <w:rPr>
                <w:rFonts w:eastAsia="Aptos"/>
                <w:noProof/>
                <w:vertAlign w:val="subscript"/>
              </w:rPr>
              <w:t>2</w:t>
            </w:r>
            <w:r w:rsidRPr="1FA04443">
              <w:rPr>
                <w:rFonts w:eastAsia="Aptos"/>
                <w:noProof/>
              </w:rPr>
              <w:t xml:space="preserve"> savings</w:t>
            </w:r>
            <w:r w:rsidR="00797D2B">
              <w:rPr>
                <w:rFonts w:eastAsia="Aptos"/>
                <w:noProof/>
              </w:rPr>
              <w:t xml:space="preserve"> (2030)</w:t>
            </w:r>
            <w:r w:rsidR="48F16465" w:rsidRPr="1FA04443">
              <w:rPr>
                <w:rFonts w:eastAsia="Aptos"/>
                <w:noProof/>
              </w:rPr>
              <w:t xml:space="preserve">: </w:t>
            </w:r>
            <w:r w:rsidRPr="1FA04443">
              <w:rPr>
                <w:rFonts w:eastAsia="Aptos"/>
                <w:noProof/>
              </w:rPr>
              <w:t xml:space="preserve">Steel: </w:t>
            </w:r>
            <w:r w:rsidR="00797D2B" w:rsidDel="00647884">
              <w:rPr>
                <w:noProof/>
              </w:rPr>
              <w:t>3.37</w:t>
            </w:r>
            <w:r w:rsidR="00797D2B" w:rsidRPr="1A2A8689" w:rsidDel="00647884">
              <w:rPr>
                <w:noProof/>
              </w:rPr>
              <w:t xml:space="preserve"> </w:t>
            </w:r>
            <w:r w:rsidR="00647884" w:rsidRPr="1FA04443">
              <w:rPr>
                <w:rFonts w:eastAsia="Aptos"/>
                <w:noProof/>
              </w:rPr>
              <w:t>Mtonnes</w:t>
            </w:r>
            <w:r w:rsidR="7E24DEDA" w:rsidRPr="1FA04443">
              <w:rPr>
                <w:rFonts w:eastAsia="Aptos"/>
                <w:noProof/>
              </w:rPr>
              <w:t xml:space="preserve"> </w:t>
            </w:r>
            <w:r w:rsidRPr="1FA04443">
              <w:rPr>
                <w:rFonts w:eastAsia="Aptos"/>
                <w:noProof/>
              </w:rPr>
              <w:t>CO</w:t>
            </w:r>
            <w:r w:rsidRPr="1FA04443">
              <w:rPr>
                <w:rFonts w:eastAsia="Aptos"/>
                <w:noProof/>
                <w:vertAlign w:val="subscript"/>
              </w:rPr>
              <w:t>2</w:t>
            </w:r>
            <w:r w:rsidR="00A712D9">
              <w:rPr>
                <w:rFonts w:eastAsia="Aptos"/>
                <w:noProof/>
                <w:vertAlign w:val="subscript"/>
              </w:rPr>
              <w:t xml:space="preserve">, </w:t>
            </w:r>
            <w:r w:rsidRPr="1FA04443">
              <w:rPr>
                <w:rFonts w:eastAsia="Aptos"/>
                <w:noProof/>
              </w:rPr>
              <w:t xml:space="preserve">Cement: </w:t>
            </w:r>
            <w:r w:rsidR="02D95FAF" w:rsidRPr="1FA04443">
              <w:rPr>
                <w:rFonts w:eastAsia="Aptos"/>
                <w:noProof/>
              </w:rPr>
              <w:t>0.69</w:t>
            </w:r>
            <w:r w:rsidR="7E24DEDA" w:rsidRPr="1FA04443">
              <w:rPr>
                <w:rFonts w:eastAsia="Aptos"/>
                <w:noProof/>
              </w:rPr>
              <w:t xml:space="preserve"> Mtonnes </w:t>
            </w:r>
            <w:r w:rsidRPr="1FA04443">
              <w:rPr>
                <w:rFonts w:eastAsia="Aptos"/>
                <w:noProof/>
              </w:rPr>
              <w:t>CO</w:t>
            </w:r>
            <w:r w:rsidRPr="1FA04443">
              <w:rPr>
                <w:rFonts w:eastAsia="Aptos"/>
                <w:noProof/>
                <w:vertAlign w:val="subscript"/>
              </w:rPr>
              <w:t>2</w:t>
            </w:r>
            <w:r w:rsidR="00A712D9">
              <w:rPr>
                <w:rFonts w:eastAsia="Aptos"/>
                <w:noProof/>
                <w:vertAlign w:val="subscript"/>
              </w:rPr>
              <w:t xml:space="preserve"> </w:t>
            </w:r>
            <w:r w:rsidR="00A712D9">
              <w:rPr>
                <w:rFonts w:eastAsia="Aptos"/>
                <w:noProof/>
              </w:rPr>
              <w:t>and Aluminium</w:t>
            </w:r>
            <w:r w:rsidR="00071F6C">
              <w:rPr>
                <w:rFonts w:eastAsia="Aptos"/>
                <w:noProof/>
              </w:rPr>
              <w:t>:</w:t>
            </w:r>
            <w:r w:rsidR="00A712D9">
              <w:rPr>
                <w:rFonts w:eastAsia="Aptos"/>
                <w:noProof/>
              </w:rPr>
              <w:t xml:space="preserve"> </w:t>
            </w:r>
            <w:r w:rsidR="00A712D9" w:rsidRPr="1FA04443">
              <w:rPr>
                <w:rFonts w:eastAsia="Aptos"/>
                <w:noProof/>
              </w:rPr>
              <w:t>0.</w:t>
            </w:r>
            <w:r w:rsidR="00797D2B">
              <w:rPr>
                <w:rFonts w:eastAsia="Aptos"/>
                <w:noProof/>
              </w:rPr>
              <w:t>22</w:t>
            </w:r>
            <w:r w:rsidR="00A712D9" w:rsidRPr="1FA04443">
              <w:rPr>
                <w:rFonts w:eastAsia="Aptos"/>
                <w:noProof/>
              </w:rPr>
              <w:t xml:space="preserve"> Mtonnes CO</w:t>
            </w:r>
            <w:r w:rsidR="00A712D9" w:rsidRPr="1FA04443">
              <w:rPr>
                <w:rFonts w:eastAsia="Aptos"/>
                <w:noProof/>
                <w:vertAlign w:val="subscript"/>
              </w:rPr>
              <w:t>2</w:t>
            </w:r>
            <w:r w:rsidRPr="1FA04443">
              <w:rPr>
                <w:rFonts w:eastAsia="Aptos"/>
                <w:noProof/>
              </w:rPr>
              <w:t xml:space="preserve">. Total: </w:t>
            </w:r>
            <w:r w:rsidR="00797D2B" w:rsidRPr="00B267DD">
              <w:rPr>
                <w:noProof/>
                <w:lang w:val="en-IE"/>
              </w:rPr>
              <w:t>4.28</w:t>
            </w:r>
            <w:r w:rsidR="7E24DEDA" w:rsidRPr="00B267DD">
              <w:rPr>
                <w:rFonts w:eastAsia="Aptos"/>
                <w:noProof/>
                <w:lang w:val="en-IE"/>
              </w:rPr>
              <w:t xml:space="preserve"> </w:t>
            </w:r>
            <w:r w:rsidR="7E24DEDA" w:rsidRPr="1FA04443">
              <w:rPr>
                <w:rFonts w:eastAsia="Aptos"/>
                <w:noProof/>
              </w:rPr>
              <w:t xml:space="preserve">Mtonnes </w:t>
            </w:r>
            <w:r w:rsidRPr="1FA04443">
              <w:rPr>
                <w:rFonts w:eastAsia="Aptos"/>
                <w:noProof/>
              </w:rPr>
              <w:t>CO</w:t>
            </w:r>
            <w:r w:rsidRPr="1FA04443">
              <w:rPr>
                <w:rFonts w:eastAsia="Aptos"/>
                <w:noProof/>
                <w:vertAlign w:val="subscript"/>
              </w:rPr>
              <w:t>2</w:t>
            </w:r>
            <w:r w:rsidR="696DD00C" w:rsidRPr="1FA04443">
              <w:rPr>
                <w:rFonts w:eastAsia="Aptos"/>
                <w:noProof/>
              </w:rPr>
              <w:t xml:space="preserve">. It would also lead to the </w:t>
            </w:r>
            <w:r w:rsidR="00C17721" w:rsidRPr="1FA04443">
              <w:rPr>
                <w:rFonts w:eastAsia="Aptos"/>
                <w:noProof/>
              </w:rPr>
              <w:t xml:space="preserve">preservation of up to </w:t>
            </w:r>
            <w:r w:rsidR="00C17721" w:rsidRPr="0095357E">
              <w:rPr>
                <w:rFonts w:eastAsia="Aptos"/>
                <w:noProof/>
              </w:rPr>
              <w:t>4 500 new jobs</w:t>
            </w:r>
            <w:r w:rsidR="00C17721" w:rsidRPr="1FA04443">
              <w:rPr>
                <w:rFonts w:eastAsia="Aptos"/>
                <w:noProof/>
              </w:rPr>
              <w:t xml:space="preserve"> </w:t>
            </w:r>
            <w:r w:rsidR="696DD00C" w:rsidRPr="1FA04443">
              <w:rPr>
                <w:rFonts w:eastAsia="Aptos"/>
                <w:noProof/>
              </w:rPr>
              <w:t xml:space="preserve">in the steel sector. </w:t>
            </w:r>
          </w:p>
          <w:p w14:paraId="2F570B57" w14:textId="77777777" w:rsidR="009279B9" w:rsidRPr="002B6C88" w:rsidRDefault="009279B9" w:rsidP="00747EEA">
            <w:pPr>
              <w:rPr>
                <w:rFonts w:eastAsia="Aptos"/>
                <w:noProof/>
              </w:rPr>
            </w:pPr>
          </w:p>
          <w:p w14:paraId="30C7CB1C" w14:textId="53F5EA00" w:rsidR="0037020D" w:rsidRPr="002B6C88" w:rsidRDefault="0037020D" w:rsidP="0037020D">
            <w:pPr>
              <w:spacing w:line="259" w:lineRule="auto"/>
              <w:rPr>
                <w:rFonts w:eastAsia="Aptos"/>
                <w:noProof/>
              </w:rPr>
            </w:pPr>
            <w:r>
              <w:rPr>
                <w:rFonts w:eastAsia="Aptos"/>
                <w:noProof/>
              </w:rPr>
              <w:t>Low-carbon measures in steel, cement and aluminium would result in</w:t>
            </w:r>
            <w:r w:rsidRPr="1FA04443">
              <w:rPr>
                <w:rFonts w:eastAsia="Aptos"/>
                <w:noProof/>
              </w:rPr>
              <w:t xml:space="preserve"> </w:t>
            </w:r>
            <w:r>
              <w:rPr>
                <w:rFonts w:eastAsia="Aptos"/>
                <w:noProof/>
              </w:rPr>
              <w:t>GVA EUR 241 million</w:t>
            </w:r>
            <w:r w:rsidR="00BB15D1">
              <w:rPr>
                <w:rFonts w:eastAsia="Aptos"/>
                <w:noProof/>
              </w:rPr>
              <w:t xml:space="preserve"> for steel and aluminium sectors, </w:t>
            </w:r>
            <w:r>
              <w:rPr>
                <w:rFonts w:eastAsia="Aptos"/>
                <w:noProof/>
              </w:rPr>
              <w:t>and GVA EUR 445 million for cement (EUR 686 million)</w:t>
            </w:r>
            <w:r w:rsidR="00A42C0B">
              <w:rPr>
                <w:rFonts w:eastAsia="Aptos"/>
                <w:noProof/>
              </w:rPr>
              <w:t>.</w:t>
            </w:r>
          </w:p>
          <w:p w14:paraId="319EB663" w14:textId="77777777" w:rsidR="0037020D" w:rsidRPr="002B6C88" w:rsidRDefault="0037020D" w:rsidP="00747EEA">
            <w:pPr>
              <w:rPr>
                <w:rFonts w:eastAsia="Aptos"/>
                <w:noProof/>
              </w:rPr>
            </w:pPr>
          </w:p>
          <w:p w14:paraId="0B67F1E5" w14:textId="0C1A7835" w:rsidR="00020031" w:rsidRPr="002B6C88" w:rsidRDefault="00020031" w:rsidP="000A154A">
            <w:pPr>
              <w:rPr>
                <w:rFonts w:eastAsia="Aptos"/>
                <w:noProof/>
              </w:rPr>
            </w:pP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70E26A9F" w14:textId="77777777" w:rsidR="00020031" w:rsidRPr="002B6C88" w:rsidRDefault="00020031" w:rsidP="000A154A">
            <w:pPr>
              <w:rPr>
                <w:noProof/>
              </w:rPr>
            </w:pPr>
            <w:r w:rsidRPr="002B6C88">
              <w:rPr>
                <w:noProof/>
              </w:rPr>
              <w:t xml:space="preserve">Other benefits include preserving European industrial capacities in strategic sectors at risk of becoming too much imports dependent. </w:t>
            </w:r>
          </w:p>
          <w:p w14:paraId="6F007A5C" w14:textId="77777777" w:rsidR="00C029F1" w:rsidRPr="002B6C88" w:rsidRDefault="00C029F1" w:rsidP="000A154A">
            <w:pPr>
              <w:rPr>
                <w:noProof/>
              </w:rPr>
            </w:pPr>
          </w:p>
          <w:p w14:paraId="030A9B56" w14:textId="77777777" w:rsidR="00C029F1" w:rsidRPr="002B6C88" w:rsidRDefault="00C029F1" w:rsidP="000A154A">
            <w:pPr>
              <w:rPr>
                <w:noProof/>
              </w:rPr>
            </w:pPr>
          </w:p>
          <w:p w14:paraId="2DB79D95" w14:textId="0DD50D24" w:rsidR="00020031" w:rsidRPr="002B6C88" w:rsidRDefault="78605327" w:rsidP="000A154A">
            <w:pPr>
              <w:rPr>
                <w:noProof/>
              </w:rPr>
            </w:pPr>
            <w:r>
              <w:rPr>
                <w:noProof/>
              </w:rPr>
              <w:t>S</w:t>
            </w:r>
            <w:r w:rsidR="5AE31986">
              <w:rPr>
                <w:noProof/>
              </w:rPr>
              <w:t>ee An</w:t>
            </w:r>
            <w:r w:rsidR="2E956E2E">
              <w:rPr>
                <w:noProof/>
              </w:rPr>
              <w:t>n</w:t>
            </w:r>
            <w:r w:rsidR="5AE31986">
              <w:rPr>
                <w:noProof/>
              </w:rPr>
              <w:t xml:space="preserve">ex 4 </w:t>
            </w:r>
            <w:r w:rsidR="51A583AA">
              <w:rPr>
                <w:noProof/>
              </w:rPr>
              <w:t>Section</w:t>
            </w:r>
            <w:r w:rsidR="5AE31986">
              <w:rPr>
                <w:noProof/>
              </w:rPr>
              <w:t xml:space="preserve"> 2 for calculation</w:t>
            </w:r>
            <w:r w:rsidR="1C48E4D3">
              <w:rPr>
                <w:noProof/>
              </w:rPr>
              <w:t xml:space="preserve">s of the benefits highlighted here. </w:t>
            </w:r>
          </w:p>
        </w:tc>
      </w:tr>
      <w:tr w:rsidR="0011213E" w:rsidRPr="00F261DB" w14:paraId="7AD1CCB6" w14:textId="77777777" w:rsidTr="005F73AA">
        <w:trPr>
          <w:trHeight w:val="300"/>
        </w:trPr>
        <w:tc>
          <w:tcPr>
            <w:tcW w:w="766" w:type="pct"/>
            <w:tcBorders>
              <w:top w:val="double" w:sz="4" w:space="0" w:color="auto"/>
              <w:left w:val="double" w:sz="4" w:space="0" w:color="auto"/>
              <w:bottom w:val="double" w:sz="4" w:space="0" w:color="auto"/>
              <w:right w:val="double" w:sz="4" w:space="0" w:color="auto"/>
            </w:tcBorders>
          </w:tcPr>
          <w:p w14:paraId="44D1EFC0" w14:textId="0209E9B9" w:rsidR="00020031" w:rsidRPr="002B6C88" w:rsidRDefault="00020031" w:rsidP="000A154A">
            <w:pPr>
              <w:rPr>
                <w:rFonts w:eastAsia="Aptos"/>
                <w:noProof/>
              </w:rPr>
            </w:pPr>
            <w:r w:rsidRPr="002B6C88">
              <w:rPr>
                <w:rFonts w:eastAsia="Aptos"/>
                <w:noProof/>
              </w:rPr>
              <w:lastRenderedPageBreak/>
              <w:t>LEAD</w:t>
            </w:r>
            <w:r w:rsidR="00A718F8" w:rsidRPr="002B6C88">
              <w:rPr>
                <w:rFonts w:eastAsia="Aptos"/>
                <w:noProof/>
              </w:rPr>
              <w:t>_</w:t>
            </w:r>
            <w:r w:rsidRPr="002B6C88">
              <w:rPr>
                <w:rFonts w:eastAsia="Aptos"/>
                <w:noProof/>
              </w:rPr>
              <w:t>BAT 1 - Increased demand for EU batteries</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3148D17" w14:textId="111AE1D3" w:rsidR="00317B00" w:rsidRPr="002B6C88" w:rsidRDefault="15C09B86" w:rsidP="000A154A">
            <w:pPr>
              <w:rPr>
                <w:noProof/>
                <w:color w:val="000000" w:themeColor="text1"/>
              </w:rPr>
            </w:pPr>
            <w:r w:rsidRPr="002B6C88">
              <w:rPr>
                <w:rFonts w:eastAsia="Montserrat"/>
                <w:noProof/>
                <w:color w:val="000000" w:themeColor="text1"/>
                <w:u w:val="single"/>
              </w:rPr>
              <w:t>Batteries manufacturing businesses</w:t>
            </w:r>
            <w:r w:rsidRPr="002B6C88">
              <w:rPr>
                <w:rFonts w:eastAsia="Montserrat"/>
                <w:noProof/>
                <w:color w:val="000000" w:themeColor="text1"/>
              </w:rPr>
              <w:t xml:space="preserve">: </w:t>
            </w:r>
            <w:r w:rsidR="6B61232E" w:rsidRPr="002B6C88">
              <w:rPr>
                <w:rFonts w:eastAsia="Montserrat"/>
                <w:noProof/>
                <w:color w:val="000000" w:themeColor="text1"/>
              </w:rPr>
              <w:t xml:space="preserve">Secure demand for EU-made batteries and key battery components </w:t>
            </w:r>
            <w:r w:rsidR="005F3121" w:rsidRPr="002B6C88">
              <w:rPr>
                <w:rFonts w:eastAsia="Montserrat"/>
                <w:noProof/>
                <w:color w:val="000000" w:themeColor="text1"/>
              </w:rPr>
              <w:t>to</w:t>
            </w:r>
            <w:r w:rsidR="6B61232E" w:rsidRPr="002B6C88">
              <w:rPr>
                <w:rFonts w:eastAsia="Montserrat"/>
                <w:noProof/>
                <w:color w:val="000000" w:themeColor="text1"/>
              </w:rPr>
              <w:t xml:space="preserve"> develop a strong value chain and cut </w:t>
            </w:r>
            <w:r w:rsidR="7B69BFB5" w:rsidRPr="002B6C88">
              <w:rPr>
                <w:rFonts w:eastAsia="Montserrat"/>
                <w:noProof/>
                <w:color w:val="000000" w:themeColor="text1"/>
              </w:rPr>
              <w:t>strategic dependencies for a sector crucial for achieving climate goals</w:t>
            </w:r>
            <w:r w:rsidR="505D85CD" w:rsidRPr="002B6C88">
              <w:rPr>
                <w:rFonts w:eastAsia="Montserrat"/>
                <w:noProof/>
                <w:color w:val="000000" w:themeColor="text1"/>
              </w:rPr>
              <w:t>, defence applications, and the competitiveness of downstream sectors</w:t>
            </w:r>
            <w:r w:rsidR="7B69BFB5" w:rsidRPr="002B6C88">
              <w:rPr>
                <w:rFonts w:eastAsia="Montserrat"/>
                <w:noProof/>
                <w:color w:val="000000" w:themeColor="text1"/>
              </w:rPr>
              <w:t>.</w:t>
            </w:r>
            <w:r w:rsidR="16575A6C" w:rsidRPr="002B6C88">
              <w:rPr>
                <w:rFonts w:eastAsia="Montserrat"/>
                <w:noProof/>
                <w:color w:val="000000" w:themeColor="text1"/>
              </w:rPr>
              <w:t xml:space="preserve"> </w:t>
            </w:r>
            <w:r w:rsidR="6A76C5BF" w:rsidRPr="002B6C88">
              <w:rPr>
                <w:noProof/>
                <w:color w:val="000000" w:themeColor="text1"/>
              </w:rPr>
              <w:t xml:space="preserve">The benefits of </w:t>
            </w:r>
            <w:r w:rsidR="00AE2FE5">
              <w:rPr>
                <w:noProof/>
                <w:color w:val="000000" w:themeColor="text1"/>
              </w:rPr>
              <w:t>Made in EU</w:t>
            </w:r>
            <w:r w:rsidR="6A76C5BF" w:rsidRPr="002B6C88">
              <w:rPr>
                <w:noProof/>
                <w:color w:val="000000" w:themeColor="text1"/>
              </w:rPr>
              <w:t xml:space="preserve"> on batteries include creating the market certainty needed to de-risk investments and anchor battery production along the supply chain within the EU.</w:t>
            </w:r>
            <w:r w:rsidR="00BB51F2" w:rsidRPr="002B6C88">
              <w:rPr>
                <w:noProof/>
                <w:color w:val="000000" w:themeColor="text1"/>
              </w:rPr>
              <w:t xml:space="preserve"> </w:t>
            </w:r>
          </w:p>
          <w:p w14:paraId="22D9FCA2" w14:textId="77777777" w:rsidR="004521A3" w:rsidRPr="002B6C88" w:rsidRDefault="004521A3" w:rsidP="000A154A">
            <w:pPr>
              <w:rPr>
                <w:noProof/>
                <w:color w:val="000000" w:themeColor="text1"/>
              </w:rPr>
            </w:pPr>
          </w:p>
          <w:p w14:paraId="12779879" w14:textId="18D025FA" w:rsidR="00317B00" w:rsidRPr="002B6C88" w:rsidRDefault="00BB51F2" w:rsidP="000A154A">
            <w:pPr>
              <w:rPr>
                <w:noProof/>
                <w:color w:val="000000" w:themeColor="text1"/>
              </w:rPr>
            </w:pPr>
            <w:r w:rsidRPr="002B6C88">
              <w:rPr>
                <w:noProof/>
                <w:color w:val="000000" w:themeColor="text1"/>
              </w:rPr>
              <w:t xml:space="preserve">This measure would help anchor </w:t>
            </w:r>
            <w:r w:rsidR="00AC045B" w:rsidRPr="002B6C88">
              <w:rPr>
                <w:noProof/>
                <w:color w:val="000000" w:themeColor="text1"/>
              </w:rPr>
              <w:t xml:space="preserve">the </w:t>
            </w:r>
            <w:r w:rsidR="00FF260E" w:rsidRPr="002B6C88">
              <w:rPr>
                <w:noProof/>
                <w:color w:val="000000" w:themeColor="text1"/>
              </w:rPr>
              <w:t xml:space="preserve">total number of jobs </w:t>
            </w:r>
            <w:r w:rsidR="00785F5E" w:rsidRPr="002B6C88">
              <w:rPr>
                <w:noProof/>
                <w:color w:val="000000" w:themeColor="text1"/>
              </w:rPr>
              <w:t>expected under the current pipeline of projects</w:t>
            </w:r>
            <w:r w:rsidR="00AC045B" w:rsidRPr="002B6C88">
              <w:rPr>
                <w:noProof/>
                <w:color w:val="000000" w:themeColor="text1"/>
              </w:rPr>
              <w:t>, which</w:t>
            </w:r>
            <w:r w:rsidR="00785F5E" w:rsidRPr="002B6C88">
              <w:rPr>
                <w:noProof/>
                <w:color w:val="000000" w:themeColor="text1"/>
              </w:rPr>
              <w:t xml:space="preserve"> stands at 170</w:t>
            </w:r>
            <w:r w:rsidR="00B8591D">
              <w:rPr>
                <w:noProof/>
                <w:color w:val="000000" w:themeColor="text1"/>
              </w:rPr>
              <w:t xml:space="preserve"> </w:t>
            </w:r>
            <w:r w:rsidR="00785F5E" w:rsidRPr="002B6C88">
              <w:rPr>
                <w:noProof/>
                <w:color w:val="000000" w:themeColor="text1"/>
              </w:rPr>
              <w:t>000</w:t>
            </w:r>
            <w:r w:rsidR="00C81FBF" w:rsidRPr="002B6C88">
              <w:rPr>
                <w:noProof/>
                <w:color w:val="000000" w:themeColor="text1"/>
              </w:rPr>
              <w:t xml:space="preserve"> by 2030</w:t>
            </w:r>
            <w:r w:rsidR="0078173D" w:rsidRPr="002B6C88">
              <w:rPr>
                <w:noProof/>
                <w:color w:val="000000" w:themeColor="text1"/>
              </w:rPr>
              <w:t>, out of which around 85</w:t>
            </w:r>
            <w:r w:rsidR="00B8591D">
              <w:rPr>
                <w:noProof/>
                <w:color w:val="000000" w:themeColor="text1"/>
              </w:rPr>
              <w:t xml:space="preserve"> </w:t>
            </w:r>
            <w:r w:rsidR="0078173D" w:rsidRPr="002B6C88">
              <w:rPr>
                <w:noProof/>
                <w:color w:val="000000" w:themeColor="text1"/>
              </w:rPr>
              <w:t>000 are considered to be at medium or high ris</w:t>
            </w:r>
            <w:r w:rsidR="00317B00" w:rsidRPr="002B6C88">
              <w:rPr>
                <w:noProof/>
                <w:color w:val="000000" w:themeColor="text1"/>
              </w:rPr>
              <w:t>k</w:t>
            </w:r>
            <w:r w:rsidR="0078173D" w:rsidRPr="002B6C88">
              <w:rPr>
                <w:noProof/>
                <w:color w:val="000000" w:themeColor="text1"/>
              </w:rPr>
              <w:t>.</w:t>
            </w:r>
            <w:r w:rsidR="00317B00" w:rsidRPr="002B6C88">
              <w:rPr>
                <w:noProof/>
                <w:color w:val="000000" w:themeColor="text1"/>
              </w:rPr>
              <w:t xml:space="preserve"> </w:t>
            </w:r>
          </w:p>
          <w:p w14:paraId="59990ECE" w14:textId="344C9945" w:rsidR="002D7C12" w:rsidRPr="002B6C88" w:rsidRDefault="1DDD38F0" w:rsidP="000A154A">
            <w:pPr>
              <w:rPr>
                <w:noProof/>
                <w:color w:val="000000" w:themeColor="text1"/>
              </w:rPr>
            </w:pPr>
            <w:r w:rsidRPr="3C1B0927">
              <w:rPr>
                <w:noProof/>
                <w:color w:val="000000" w:themeColor="text1"/>
              </w:rPr>
              <w:t>Additionally, LEAD_BAT 1 would resul</w:t>
            </w:r>
            <w:r w:rsidR="4649F641" w:rsidRPr="3C1B0927">
              <w:rPr>
                <w:noProof/>
                <w:color w:val="000000" w:themeColor="text1"/>
              </w:rPr>
              <w:t xml:space="preserve">t in </w:t>
            </w:r>
            <w:r w:rsidR="1D3411AF" w:rsidRPr="3C1B0927">
              <w:rPr>
                <w:noProof/>
                <w:color w:val="000000" w:themeColor="text1"/>
              </w:rPr>
              <w:t>25.6</w:t>
            </w:r>
            <w:r w:rsidR="393FB8A7" w:rsidRPr="3C1B0927">
              <w:rPr>
                <w:noProof/>
                <w:color w:val="000000" w:themeColor="text1"/>
              </w:rPr>
              <w:t xml:space="preserve"> Mtonnes </w:t>
            </w:r>
            <w:r w:rsidR="1D3411AF" w:rsidRPr="3C1B0927">
              <w:rPr>
                <w:noProof/>
                <w:color w:val="000000" w:themeColor="text1"/>
              </w:rPr>
              <w:t>CO</w:t>
            </w:r>
            <w:r w:rsidR="1D3411AF" w:rsidRPr="3C1B0927">
              <w:rPr>
                <w:noProof/>
                <w:color w:val="000000" w:themeColor="text1"/>
                <w:vertAlign w:val="subscript"/>
              </w:rPr>
              <w:t>2</w:t>
            </w:r>
            <w:r w:rsidR="1D3411AF" w:rsidRPr="3C1B0927">
              <w:rPr>
                <w:noProof/>
                <w:color w:val="000000" w:themeColor="text1"/>
              </w:rPr>
              <w:t xml:space="preserve"> savings in 2030</w:t>
            </w:r>
            <w:r w:rsidR="3986C9CB" w:rsidRPr="3C1B0927">
              <w:rPr>
                <w:noProof/>
                <w:color w:val="000000" w:themeColor="text1"/>
              </w:rPr>
              <w:t>.</w:t>
            </w:r>
          </w:p>
          <w:p w14:paraId="5A25AE77" w14:textId="77777777" w:rsidR="00081BD9" w:rsidRDefault="00081BD9" w:rsidP="000A154A">
            <w:pPr>
              <w:rPr>
                <w:noProof/>
                <w:color w:val="000000" w:themeColor="text1"/>
                <w:u w:val="single"/>
              </w:rPr>
            </w:pPr>
          </w:p>
          <w:p w14:paraId="6404F26F" w14:textId="2418726F" w:rsidR="00020031" w:rsidRPr="002B6C88" w:rsidRDefault="780C06FD" w:rsidP="000A154A">
            <w:pPr>
              <w:rPr>
                <w:rFonts w:eastAsia="Montserrat"/>
                <w:noProof/>
                <w:color w:val="000000" w:themeColor="text1"/>
              </w:rPr>
            </w:pPr>
            <w:r w:rsidRPr="3C1B0927">
              <w:rPr>
                <w:noProof/>
                <w:color w:val="000000" w:themeColor="text1"/>
                <w:u w:val="single"/>
              </w:rPr>
              <w:t>Upstream businesses</w:t>
            </w:r>
            <w:r w:rsidRPr="3C1B0927">
              <w:rPr>
                <w:noProof/>
                <w:color w:val="000000" w:themeColor="text1"/>
              </w:rPr>
              <w:t xml:space="preserve">: </w:t>
            </w:r>
            <w:r w:rsidR="70164779" w:rsidRPr="3C1B0927">
              <w:rPr>
                <w:noProof/>
                <w:color w:val="000000" w:themeColor="text1"/>
              </w:rPr>
              <w:t xml:space="preserve">Expected benefits for the </w:t>
            </w:r>
            <w:r w:rsidR="0DEC52A2" w:rsidRPr="3C1B0927">
              <w:rPr>
                <w:noProof/>
                <w:color w:val="000000" w:themeColor="text1"/>
              </w:rPr>
              <w:t>b</w:t>
            </w:r>
            <w:r w:rsidR="70164779" w:rsidRPr="3C1B0927">
              <w:rPr>
                <w:noProof/>
                <w:color w:val="000000" w:themeColor="text1"/>
              </w:rPr>
              <w:t xml:space="preserve">atteries-related critical raw materials projects. </w:t>
            </w:r>
            <w:r w:rsidR="54843CB4" w:rsidRPr="3C1B0927">
              <w:rPr>
                <w:noProof/>
                <w:color w:val="000000" w:themeColor="text1"/>
              </w:rPr>
              <w:t>A stable demand of critical battery components will allow to de-risk investments into upstream critical raw materials projects related to batter</w:t>
            </w:r>
            <w:r w:rsidR="7B4F2399" w:rsidRPr="3C1B0927">
              <w:rPr>
                <w:noProof/>
                <w:color w:val="000000" w:themeColor="text1"/>
              </w:rPr>
              <w:t>y materials</w:t>
            </w:r>
            <w:r w:rsidR="54843CB4" w:rsidRPr="3C1B0927">
              <w:rPr>
                <w:noProof/>
                <w:color w:val="000000" w:themeColor="text1"/>
              </w:rPr>
              <w:t>.</w:t>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4A7AA3EA" w14:textId="50AFD09B" w:rsidR="00020031" w:rsidRPr="002B6C88" w:rsidRDefault="3DD7DF92" w:rsidP="005D1B0C">
            <w:pPr>
              <w:rPr>
                <w:noProof/>
                <w:color w:val="000000" w:themeColor="text1"/>
              </w:rPr>
            </w:pPr>
            <w:r w:rsidRPr="005D1B0C">
              <w:rPr>
                <w:rFonts w:eastAsiaTheme="minorHAnsi" w:cstheme="minorBidi"/>
                <w:noProof/>
              </w:rPr>
              <w:t xml:space="preserve">In the long term, </w:t>
            </w:r>
            <w:r w:rsidR="5352D2DE" w:rsidRPr="005D1B0C">
              <w:rPr>
                <w:rFonts w:eastAsiaTheme="minorHAnsi" w:cstheme="minorBidi"/>
                <w:noProof/>
              </w:rPr>
              <w:t xml:space="preserve">the benefits include </w:t>
            </w:r>
            <w:r w:rsidRPr="00E71388">
              <w:rPr>
                <w:rFonts w:eastAsiaTheme="minorHAnsi"/>
                <w:noProof/>
              </w:rPr>
              <w:t>decreased</w:t>
            </w:r>
            <w:r w:rsidRPr="005D1B0C">
              <w:rPr>
                <w:rFonts w:eastAsiaTheme="minorHAnsi" w:cstheme="minorBidi"/>
                <w:noProof/>
              </w:rPr>
              <w:t xml:space="preserve"> production costs and greater competitiveness in global markets. Securing manufacturing at scale through IAA </w:t>
            </w:r>
            <w:r w:rsidRPr="005D1B0C">
              <w:rPr>
                <w:rFonts w:eastAsiaTheme="minorHAnsi" w:cstheme="minorBidi"/>
                <w:noProof/>
                <w:color w:val="000000" w:themeColor="text1"/>
              </w:rPr>
              <w:t>can help narrowing the cost gap with China by approximately 40%.</w:t>
            </w:r>
          </w:p>
          <w:p w14:paraId="17322C15" w14:textId="6934DC65" w:rsidR="00020031" w:rsidRPr="002B6C88" w:rsidRDefault="00020031" w:rsidP="000A154A">
            <w:pPr>
              <w:pStyle w:val="Text2"/>
              <w:ind w:left="0"/>
              <w:rPr>
                <w:noProof/>
              </w:rPr>
            </w:pPr>
          </w:p>
        </w:tc>
      </w:tr>
      <w:tr w:rsidR="0011213E" w:rsidRPr="00F261DB" w14:paraId="7338391A" w14:textId="77777777" w:rsidTr="005F73AA">
        <w:trPr>
          <w:trHeight w:val="300"/>
        </w:trPr>
        <w:tc>
          <w:tcPr>
            <w:tcW w:w="766" w:type="pct"/>
            <w:tcBorders>
              <w:top w:val="double" w:sz="4" w:space="0" w:color="auto"/>
              <w:left w:val="double" w:sz="4" w:space="0" w:color="auto"/>
              <w:bottom w:val="double" w:sz="4" w:space="0" w:color="auto"/>
              <w:right w:val="double" w:sz="4" w:space="0" w:color="auto"/>
            </w:tcBorders>
          </w:tcPr>
          <w:p w14:paraId="5DA74CF7" w14:textId="3228ACD7" w:rsidR="00020031" w:rsidRPr="002B6C88" w:rsidRDefault="00020031" w:rsidP="000A154A">
            <w:pPr>
              <w:rPr>
                <w:noProof/>
                <w:color w:val="000000" w:themeColor="text1"/>
              </w:rPr>
            </w:pPr>
            <w:r w:rsidRPr="002B6C88">
              <w:rPr>
                <w:noProof/>
                <w:color w:val="000000" w:themeColor="text1"/>
              </w:rPr>
              <w:t>LEAD_SOL</w:t>
            </w:r>
            <w:r w:rsidR="0034088F">
              <w:rPr>
                <w:noProof/>
                <w:color w:val="000000" w:themeColor="text1"/>
              </w:rPr>
              <w:t xml:space="preserve"> </w:t>
            </w:r>
            <w:r w:rsidRPr="002B6C88">
              <w:rPr>
                <w:noProof/>
                <w:color w:val="000000" w:themeColor="text1"/>
              </w:rPr>
              <w:t>1 – Increased demand for EU solar manufacturing</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294EF812" w14:textId="044D9F1F" w:rsidR="00020031" w:rsidRPr="002B6C88" w:rsidRDefault="719AC623" w:rsidP="000A154A">
            <w:pPr>
              <w:rPr>
                <w:noProof/>
              </w:rPr>
            </w:pPr>
            <w:r w:rsidRPr="002B6C88">
              <w:rPr>
                <w:noProof/>
                <w:color w:val="000000" w:themeColor="text1"/>
                <w:u w:val="single"/>
              </w:rPr>
              <w:t>Solar manufacturing businesses</w:t>
            </w:r>
            <w:r w:rsidRPr="002B6C88">
              <w:rPr>
                <w:noProof/>
                <w:color w:val="000000" w:themeColor="text1"/>
              </w:rPr>
              <w:t xml:space="preserve">: </w:t>
            </w:r>
            <w:r w:rsidRPr="002B6C88">
              <w:rPr>
                <w:noProof/>
              </w:rPr>
              <w:t xml:space="preserve">Offtakes for the EU solar manufacturing supply chain are expected to be secured, in </w:t>
            </w:r>
            <w:r w:rsidR="2E4D5C8C" w:rsidRPr="002B6C88">
              <w:rPr>
                <w:noProof/>
              </w:rPr>
              <w:t>alignment with</w:t>
            </w:r>
            <w:r w:rsidRPr="002B6C88">
              <w:rPr>
                <w:noProof/>
              </w:rPr>
              <w:t xml:space="preserve"> the projected 2030 manufacturing capacity based on the project pipeline.</w:t>
            </w:r>
            <w:r w:rsidR="66D794B8" w:rsidRPr="002B6C88">
              <w:rPr>
                <w:noProof/>
              </w:rPr>
              <w:t xml:space="preserve"> </w:t>
            </w:r>
            <w:r w:rsidR="7423E26B" w:rsidRPr="002B6C88">
              <w:rPr>
                <w:noProof/>
              </w:rPr>
              <w:t xml:space="preserve">With the </w:t>
            </w:r>
            <w:r w:rsidR="4FE2384E" w:rsidRPr="002B6C88">
              <w:rPr>
                <w:noProof/>
              </w:rPr>
              <w:t>LEAD_SOL 1 policy option</w:t>
            </w:r>
            <w:r w:rsidR="7423E26B" w:rsidRPr="002B6C88">
              <w:rPr>
                <w:noProof/>
              </w:rPr>
              <w:t xml:space="preserve">, </w:t>
            </w:r>
            <w:r w:rsidR="765A26E6" w:rsidRPr="002B6C88">
              <w:rPr>
                <w:noProof/>
              </w:rPr>
              <w:t>over 20</w:t>
            </w:r>
            <w:r w:rsidR="31394F0A">
              <w:rPr>
                <w:noProof/>
              </w:rPr>
              <w:t xml:space="preserve"> </w:t>
            </w:r>
            <w:r w:rsidR="765A26E6" w:rsidRPr="002B6C88">
              <w:rPr>
                <w:noProof/>
              </w:rPr>
              <w:t xml:space="preserve">GW of the deployment </w:t>
            </w:r>
            <w:r w:rsidR="7ED17C6C" w:rsidRPr="002B6C88">
              <w:rPr>
                <w:noProof/>
              </w:rPr>
              <w:t>of PV would be covered which helps ensure the current existing project pipeline (as per the European Solar Industry Alliance</w:t>
            </w:r>
            <w:r w:rsidR="00DD1008" w:rsidRPr="002B6C88">
              <w:rPr>
                <w:rStyle w:val="FootnoteReference"/>
                <w:noProof/>
              </w:rPr>
              <w:footnoteReference w:id="247"/>
            </w:r>
            <w:r w:rsidR="7ED17C6C" w:rsidRPr="002B6C88">
              <w:rPr>
                <w:noProof/>
              </w:rPr>
              <w:t xml:space="preserve">) to </w:t>
            </w:r>
            <w:r w:rsidR="268DD3D7" w:rsidRPr="002B6C88">
              <w:rPr>
                <w:noProof/>
              </w:rPr>
              <w:t xml:space="preserve">be realised. </w:t>
            </w:r>
            <w:r w:rsidR="268DD3D7" w:rsidRPr="002B6C88">
              <w:rPr>
                <w:rFonts w:eastAsia="Aptos"/>
                <w:noProof/>
              </w:rPr>
              <w:t>Thus, t</w:t>
            </w:r>
            <w:r w:rsidRPr="002B6C88">
              <w:rPr>
                <w:rFonts w:eastAsia="Aptos"/>
                <w:noProof/>
              </w:rPr>
              <w:t xml:space="preserve">his would </w:t>
            </w:r>
            <w:r w:rsidRPr="002B6C88">
              <w:rPr>
                <w:noProof/>
              </w:rPr>
              <w:t>help</w:t>
            </w:r>
            <w:r w:rsidRPr="002B6C88">
              <w:rPr>
                <w:rFonts w:eastAsia="Aptos"/>
                <w:noProof/>
              </w:rPr>
              <w:t xml:space="preserve"> bridge the gap between EU manufacturing capacity and </w:t>
            </w:r>
            <w:r w:rsidRPr="002B6C88">
              <w:rPr>
                <w:noProof/>
              </w:rPr>
              <w:t xml:space="preserve">the </w:t>
            </w:r>
            <w:r w:rsidRPr="002B6C88">
              <w:rPr>
                <w:rFonts w:eastAsia="Aptos"/>
                <w:noProof/>
              </w:rPr>
              <w:t>demand for EU</w:t>
            </w:r>
            <w:r w:rsidRPr="002B6C88">
              <w:rPr>
                <w:noProof/>
              </w:rPr>
              <w:t>-</w:t>
            </w:r>
            <w:r w:rsidRPr="002B6C88">
              <w:rPr>
                <w:rFonts w:eastAsia="Aptos"/>
                <w:noProof/>
              </w:rPr>
              <w:t xml:space="preserve">made solar </w:t>
            </w:r>
            <w:r w:rsidRPr="002B6C88">
              <w:rPr>
                <w:noProof/>
              </w:rPr>
              <w:t>modules.</w:t>
            </w:r>
          </w:p>
          <w:p w14:paraId="45BC59FE" w14:textId="77777777" w:rsidR="00DA7A09" w:rsidRPr="002B6C88" w:rsidRDefault="00DA7A09" w:rsidP="000A154A">
            <w:pPr>
              <w:rPr>
                <w:noProof/>
              </w:rPr>
            </w:pPr>
          </w:p>
          <w:p w14:paraId="016FC159" w14:textId="0B771BAB" w:rsidR="00020031" w:rsidRPr="002B6C88" w:rsidRDefault="0A52D9D3" w:rsidP="000A154A">
            <w:pPr>
              <w:rPr>
                <w:rFonts w:eastAsia="Aptos"/>
                <w:noProof/>
              </w:rPr>
            </w:pPr>
            <w:r>
              <w:rPr>
                <w:noProof/>
              </w:rPr>
              <w:t>The measures focused on public procurement/auctions, as well as public support schemes for solar manufacturing could result in a combination of 58</w:t>
            </w:r>
            <w:r w:rsidR="2B4E8B76">
              <w:rPr>
                <w:noProof/>
              </w:rPr>
              <w:t xml:space="preserve"> </w:t>
            </w:r>
            <w:r>
              <w:rPr>
                <w:noProof/>
              </w:rPr>
              <w:t>852 jobs</w:t>
            </w:r>
            <w:r w:rsidR="11F4CC62">
              <w:rPr>
                <w:noProof/>
              </w:rPr>
              <w:t>.</w:t>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7592DA1" w14:textId="178D2605" w:rsidR="00020031" w:rsidRPr="002B6C88" w:rsidRDefault="00020031" w:rsidP="008A0BFF">
            <w:pPr>
              <w:spacing w:after="160" w:line="259" w:lineRule="auto"/>
              <w:rPr>
                <w:rFonts w:eastAsia="Arial"/>
                <w:noProof/>
              </w:rPr>
            </w:pPr>
            <w:r w:rsidRPr="002B6C88">
              <w:rPr>
                <w:noProof/>
              </w:rPr>
              <w:t>The benefits include increased demand for EU solar manufacturers and the preservation of existing EU production capacity while strengthening the business case for new manufacturing projects. Additionally, reduced investment risks will enable more solar manufacturing projects to reach their Final Investment Decision.</w:t>
            </w:r>
            <w:r w:rsidR="002742EF" w:rsidRPr="002B6C88">
              <w:rPr>
                <w:noProof/>
              </w:rPr>
              <w:t xml:space="preserve"> Implications for consumers</w:t>
            </w:r>
            <w:r w:rsidR="00796254" w:rsidRPr="002B6C88">
              <w:rPr>
                <w:noProof/>
              </w:rPr>
              <w:t xml:space="preserve"> </w:t>
            </w:r>
            <w:r w:rsidR="00110459" w:rsidRPr="002B6C88">
              <w:rPr>
                <w:noProof/>
              </w:rPr>
              <w:t xml:space="preserve">include more reliable delivery due to lower exposure to geopolitical or trade disruptions, easier warranty enforcement and repairs due to </w:t>
            </w:r>
            <w:r w:rsidR="009F36C2" w:rsidRPr="002B6C88">
              <w:rPr>
                <w:noProof/>
              </w:rPr>
              <w:t>easier</w:t>
            </w:r>
            <w:r w:rsidR="00110459" w:rsidRPr="002B6C88">
              <w:rPr>
                <w:noProof/>
              </w:rPr>
              <w:t xml:space="preserve"> </w:t>
            </w:r>
            <w:r w:rsidR="00D028F0" w:rsidRPr="002B6C88">
              <w:rPr>
                <w:noProof/>
              </w:rPr>
              <w:t>access to EU-firms/installers</w:t>
            </w:r>
            <w:r w:rsidR="00110459" w:rsidRPr="002B6C88">
              <w:rPr>
                <w:noProof/>
              </w:rPr>
              <w:t xml:space="preserve">, </w:t>
            </w:r>
            <w:r w:rsidR="00D028F0" w:rsidRPr="002B6C88">
              <w:rPr>
                <w:noProof/>
              </w:rPr>
              <w:t>increased</w:t>
            </w:r>
            <w:r w:rsidR="00110459" w:rsidRPr="002B6C88">
              <w:rPr>
                <w:noProof/>
              </w:rPr>
              <w:t xml:space="preserve"> traceability of material origin, lower environmental impact thanks to shorter transport distances, reduced risk of purchasing products linked to forced labour, and a contribution to strengthening local resilience and industrial sovereignty</w:t>
            </w:r>
            <w:r w:rsidR="00D028F0" w:rsidRPr="002B6C88">
              <w:rPr>
                <w:noProof/>
              </w:rPr>
              <w:t xml:space="preserve"> through job creation</w:t>
            </w:r>
            <w:r w:rsidR="00110459" w:rsidRPr="002B6C88">
              <w:rPr>
                <w:noProof/>
              </w:rPr>
              <w:t>.</w:t>
            </w:r>
            <w:r w:rsidR="005F64D0" w:rsidRPr="002B6C88">
              <w:rPr>
                <w:noProof/>
              </w:rPr>
              <w:t xml:space="preserve"> </w:t>
            </w:r>
          </w:p>
        </w:tc>
      </w:tr>
      <w:tr w:rsidR="0011213E" w:rsidRPr="00F261DB" w14:paraId="2653080B" w14:textId="77777777" w:rsidTr="005F73AA">
        <w:trPr>
          <w:trHeight w:val="5300"/>
        </w:trPr>
        <w:tc>
          <w:tcPr>
            <w:tcW w:w="766" w:type="pct"/>
            <w:tcBorders>
              <w:top w:val="double" w:sz="4" w:space="0" w:color="auto"/>
              <w:left w:val="double" w:sz="4" w:space="0" w:color="auto"/>
              <w:bottom w:val="double" w:sz="4" w:space="0" w:color="auto"/>
              <w:right w:val="double" w:sz="4" w:space="0" w:color="auto"/>
            </w:tcBorders>
          </w:tcPr>
          <w:p w14:paraId="4EF387EA" w14:textId="515814C1" w:rsidR="00020031" w:rsidRPr="002B6C88" w:rsidRDefault="00020031" w:rsidP="000A154A">
            <w:pPr>
              <w:rPr>
                <w:rFonts w:eastAsia="Aptos"/>
                <w:noProof/>
              </w:rPr>
            </w:pPr>
            <w:r w:rsidRPr="002B6C88">
              <w:rPr>
                <w:rFonts w:eastAsia="Aptos"/>
                <w:noProof/>
              </w:rPr>
              <w:lastRenderedPageBreak/>
              <w:t>LEAD_VC 1 – Increase demand for EU content in vehicle components</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7659397A" w14:textId="74031461" w:rsidR="00437755" w:rsidRPr="002B6C88" w:rsidRDefault="00437755" w:rsidP="000A154A">
            <w:pPr>
              <w:rPr>
                <w:rFonts w:eastAsia="Montserrat"/>
                <w:noProof/>
                <w:color w:val="000000" w:themeColor="text1"/>
              </w:rPr>
            </w:pPr>
            <w:r w:rsidRPr="002B6C88">
              <w:rPr>
                <w:rFonts w:eastAsia="Montserrat"/>
                <w:noProof/>
                <w:color w:val="000000" w:themeColor="text1"/>
              </w:rPr>
              <w:t>The increase in EU content of EVs sold in the EU would lead to higher sales of EU components.</w:t>
            </w:r>
            <w:r w:rsidR="00A61ACD" w:rsidRPr="002B6C88">
              <w:rPr>
                <w:rFonts w:eastAsia="Montserrat"/>
                <w:noProof/>
                <w:color w:val="000000" w:themeColor="text1"/>
              </w:rPr>
              <w:t xml:space="preserve"> </w:t>
            </w:r>
          </w:p>
          <w:p w14:paraId="7FEE3D6C" w14:textId="0C8D3BC1" w:rsidR="00E01A3E" w:rsidRPr="002B6C88" w:rsidRDefault="0019428F" w:rsidP="000A154A">
            <w:pPr>
              <w:rPr>
                <w:rFonts w:eastAsia="Montserrat"/>
                <w:noProof/>
                <w:color w:val="000000" w:themeColor="text1"/>
              </w:rPr>
            </w:pPr>
            <w:r w:rsidRPr="002B6C88">
              <w:rPr>
                <w:rFonts w:eastAsia="Montserrat"/>
                <w:noProof/>
                <w:color w:val="000000" w:themeColor="text1"/>
              </w:rPr>
              <w:t xml:space="preserve">Furthermore, the measure is projected to lead to the generation of EUR </w:t>
            </w:r>
            <w:r w:rsidR="7F3969BF" w:rsidRPr="002B6C88">
              <w:rPr>
                <w:rFonts w:eastAsia="Montserrat"/>
                <w:noProof/>
                <w:color w:val="000000" w:themeColor="text1"/>
              </w:rPr>
              <w:t>10.</w:t>
            </w:r>
            <w:r w:rsidRPr="002B6C88">
              <w:rPr>
                <w:rFonts w:eastAsia="Montserrat"/>
                <w:noProof/>
                <w:color w:val="000000" w:themeColor="text1"/>
              </w:rPr>
              <w:t xml:space="preserve">5 billion Global Value Added in 2027 and EUR </w:t>
            </w:r>
            <w:r w:rsidR="1C345902" w:rsidRPr="002B6C88">
              <w:rPr>
                <w:rFonts w:eastAsia="Montserrat"/>
                <w:noProof/>
                <w:color w:val="000000" w:themeColor="text1"/>
              </w:rPr>
              <w:t>9.7</w:t>
            </w:r>
            <w:r w:rsidR="00480BEE" w:rsidRPr="002B6C88">
              <w:rPr>
                <w:rFonts w:eastAsia="Montserrat"/>
                <w:noProof/>
                <w:color w:val="000000" w:themeColor="text1"/>
              </w:rPr>
              <w:t xml:space="preserve"> </w:t>
            </w:r>
            <w:r w:rsidRPr="002B6C88">
              <w:rPr>
                <w:rFonts w:eastAsia="Montserrat"/>
                <w:noProof/>
                <w:color w:val="000000" w:themeColor="text1"/>
              </w:rPr>
              <w:t>billion in 2030 when assessing the impact, taking into account only the first tier of the value chain.</w:t>
            </w:r>
          </w:p>
          <w:p w14:paraId="1D264C83" w14:textId="200FC58C" w:rsidR="0019428F" w:rsidRPr="002B6C88" w:rsidRDefault="0019428F" w:rsidP="000A154A">
            <w:pPr>
              <w:rPr>
                <w:rFonts w:eastAsia="Montserrat"/>
                <w:noProof/>
                <w:color w:val="000000" w:themeColor="text1"/>
              </w:rPr>
            </w:pPr>
          </w:p>
          <w:p w14:paraId="4558113F" w14:textId="078EDBF3" w:rsidR="0019428F" w:rsidRPr="002B6C88" w:rsidRDefault="0019428F" w:rsidP="000A154A">
            <w:pPr>
              <w:rPr>
                <w:rFonts w:eastAsia="Montserrat"/>
                <w:noProof/>
                <w:color w:val="000000" w:themeColor="text1"/>
              </w:rPr>
            </w:pPr>
            <w:r w:rsidRPr="002B6C88">
              <w:rPr>
                <w:rFonts w:eastAsia="Montserrat"/>
                <w:noProof/>
                <w:color w:val="000000" w:themeColor="text1"/>
              </w:rPr>
              <w:t xml:space="preserve">Notably: </w:t>
            </w:r>
          </w:p>
          <w:p w14:paraId="458386A7" w14:textId="77777777" w:rsidR="0019428F" w:rsidRPr="002B6C88" w:rsidRDefault="0019428F" w:rsidP="000A154A">
            <w:pPr>
              <w:rPr>
                <w:rFonts w:eastAsia="Montserrat"/>
                <w:noProof/>
                <w:color w:val="000000" w:themeColor="text1"/>
              </w:rPr>
            </w:pPr>
          </w:p>
          <w:p w14:paraId="41BA99A3" w14:textId="1D7F8E6F" w:rsidR="00E01A3E" w:rsidRPr="002B6C88" w:rsidRDefault="00E01A3E" w:rsidP="00E01A3E">
            <w:pPr>
              <w:rPr>
                <w:rFonts w:eastAsia="Montserrat"/>
                <w:noProof/>
                <w:color w:val="000000" w:themeColor="text1"/>
              </w:rPr>
            </w:pPr>
            <w:r w:rsidRPr="002B6C88">
              <w:rPr>
                <w:rFonts w:eastAsia="Montserrat"/>
                <w:noProof/>
                <w:color w:val="000000" w:themeColor="text1"/>
              </w:rPr>
              <w:t xml:space="preserve">LEAD_VC 1 would lead to an overall increase in sales for vehicle component suppliers (referred to as: </w:t>
            </w:r>
            <w:r w:rsidRPr="002B6C88">
              <w:rPr>
                <w:rFonts w:eastAsia="Montserrat"/>
                <w:i/>
                <w:noProof/>
                <w:color w:val="000000" w:themeColor="text1"/>
              </w:rPr>
              <w:t>“Companies”</w:t>
            </w:r>
            <w:r w:rsidR="00317C80" w:rsidRPr="002B6C88">
              <w:rPr>
                <w:rFonts w:eastAsia="Montserrat"/>
                <w:noProof/>
                <w:color w:val="000000" w:themeColor="text1"/>
              </w:rPr>
              <w:t xml:space="preserve">: EUR </w:t>
            </w:r>
            <w:r w:rsidRPr="002B6C88">
              <w:rPr>
                <w:rFonts w:eastAsia="Montserrat"/>
                <w:noProof/>
                <w:color w:val="000000" w:themeColor="text1"/>
              </w:rPr>
              <w:t>6.5</w:t>
            </w:r>
            <w:r w:rsidR="00317C80" w:rsidRPr="002B6C88">
              <w:rPr>
                <w:rFonts w:eastAsia="Montserrat"/>
                <w:noProof/>
                <w:color w:val="000000" w:themeColor="text1"/>
              </w:rPr>
              <w:t xml:space="preserve"> </w:t>
            </w:r>
            <w:r w:rsidRPr="002B6C88">
              <w:rPr>
                <w:rFonts w:eastAsia="Montserrat"/>
                <w:noProof/>
                <w:color w:val="000000" w:themeColor="text1"/>
              </w:rPr>
              <w:t>b</w:t>
            </w:r>
            <w:r w:rsidR="00317C80" w:rsidRPr="002B6C88">
              <w:rPr>
                <w:rFonts w:eastAsia="Montserrat"/>
                <w:noProof/>
                <w:color w:val="000000" w:themeColor="text1"/>
              </w:rPr>
              <w:t xml:space="preserve">illion in 2027 and </w:t>
            </w:r>
            <w:r w:rsidRPr="002B6C88">
              <w:rPr>
                <w:rFonts w:eastAsia="Montserrat"/>
                <w:noProof/>
                <w:color w:val="000000" w:themeColor="text1"/>
              </w:rPr>
              <w:t>6.9</w:t>
            </w:r>
            <w:r w:rsidR="00317C80" w:rsidRPr="002B6C88">
              <w:rPr>
                <w:rFonts w:eastAsia="Montserrat"/>
                <w:noProof/>
                <w:color w:val="000000" w:themeColor="text1"/>
              </w:rPr>
              <w:t xml:space="preserve"> billion in 2030.</w:t>
            </w:r>
          </w:p>
          <w:p w14:paraId="5AF45D17" w14:textId="30DD2BFB" w:rsidR="00E01A3E" w:rsidRPr="002B6C88" w:rsidRDefault="004A4AFE" w:rsidP="00E01A3E">
            <w:pPr>
              <w:rPr>
                <w:rFonts w:eastAsia="Montserrat"/>
                <w:noProof/>
                <w:color w:val="000000" w:themeColor="text1"/>
              </w:rPr>
            </w:pPr>
            <w:r w:rsidRPr="002B6C88">
              <w:rPr>
                <w:rFonts w:eastAsia="Montserrat"/>
                <w:noProof/>
                <w:color w:val="000000" w:themeColor="text1"/>
              </w:rPr>
              <w:t>The extra cost for the downstream sector (</w:t>
            </w:r>
            <w:r w:rsidR="00B75C32" w:rsidRPr="002B6C88">
              <w:rPr>
                <w:rFonts w:eastAsia="Montserrat"/>
                <w:noProof/>
                <w:color w:val="000000" w:themeColor="text1"/>
              </w:rPr>
              <w:t>EU EV manufacturers) of EUR</w:t>
            </w:r>
            <w:r w:rsidR="00E01A3E" w:rsidRPr="002B6C88">
              <w:rPr>
                <w:rFonts w:eastAsia="Montserrat"/>
                <w:noProof/>
                <w:color w:val="000000" w:themeColor="text1"/>
              </w:rPr>
              <w:t xml:space="preserve"> 1.9</w:t>
            </w:r>
            <w:r w:rsidR="00B75C32" w:rsidRPr="002B6C88">
              <w:rPr>
                <w:rFonts w:eastAsia="Montserrat"/>
                <w:noProof/>
                <w:color w:val="000000" w:themeColor="text1"/>
              </w:rPr>
              <w:t xml:space="preserve"> billion in 2030 would be completely offset by the increase in sales of EUR 9 billion</w:t>
            </w:r>
            <w:r w:rsidR="006C1BA7" w:rsidRPr="002B6C88">
              <w:rPr>
                <w:rFonts w:eastAsia="Montserrat"/>
                <w:noProof/>
                <w:color w:val="000000" w:themeColor="text1"/>
              </w:rPr>
              <w:t xml:space="preserve"> in 2030 across all vehicle segments. </w:t>
            </w:r>
          </w:p>
          <w:p w14:paraId="3371EA55" w14:textId="77777777" w:rsidR="006C1BA7" w:rsidRPr="002B6C88" w:rsidRDefault="006C1BA7" w:rsidP="00E01A3E">
            <w:pPr>
              <w:rPr>
                <w:rFonts w:eastAsia="Montserrat"/>
                <w:noProof/>
                <w:color w:val="000000" w:themeColor="text1"/>
              </w:rPr>
            </w:pPr>
          </w:p>
          <w:p w14:paraId="6FB20461" w14:textId="5EB69390" w:rsidR="00020031" w:rsidRPr="007F2F45" w:rsidRDefault="006C1BA7" w:rsidP="000A154A">
            <w:pPr>
              <w:rPr>
                <w:rFonts w:eastAsia="Montserrat"/>
                <w:noProof/>
                <w:color w:val="000000" w:themeColor="text1"/>
              </w:rPr>
            </w:pPr>
            <w:r w:rsidRPr="002B6C88">
              <w:rPr>
                <w:rFonts w:eastAsia="Montserrat"/>
                <w:noProof/>
                <w:color w:val="000000" w:themeColor="text1"/>
              </w:rPr>
              <w:t xml:space="preserve">When it comes to the consumers, </w:t>
            </w:r>
            <w:r w:rsidR="00281489">
              <w:rPr>
                <w:rFonts w:eastAsia="Montserrat"/>
                <w:noProof/>
                <w:color w:val="000000" w:themeColor="text1"/>
              </w:rPr>
              <w:t>Made in EU</w:t>
            </w:r>
            <w:r w:rsidRPr="002B6C88">
              <w:rPr>
                <w:rFonts w:eastAsia="Montserrat"/>
                <w:noProof/>
                <w:color w:val="000000" w:themeColor="text1"/>
              </w:rPr>
              <w:t xml:space="preserve"> compliant EVs gain a price advantage</w:t>
            </w:r>
            <w:r w:rsidR="009534EF" w:rsidRPr="002B6C88">
              <w:rPr>
                <w:rFonts w:eastAsia="Montserrat"/>
                <w:noProof/>
                <w:color w:val="000000" w:themeColor="text1"/>
              </w:rPr>
              <w:t xml:space="preserve">, and cars are assumed to become more affordable. </w:t>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138E408" w14:textId="19C423E1" w:rsidR="00C41A65" w:rsidRPr="002B6C88" w:rsidRDefault="003E3E77" w:rsidP="003E3E77">
            <w:pPr>
              <w:pStyle w:val="Text2"/>
              <w:ind w:left="0"/>
              <w:rPr>
                <w:noProof/>
                <w:color w:val="000000" w:themeColor="text1"/>
              </w:rPr>
            </w:pPr>
            <w:r w:rsidRPr="002B6C88">
              <w:rPr>
                <w:noProof/>
                <w:color w:val="000000" w:themeColor="text1"/>
              </w:rPr>
              <w:t xml:space="preserve">The impact on EU automotive component suppliers should be positive in both scenarios due to increased sales to car manufacturers that sell in the EU market. </w:t>
            </w:r>
          </w:p>
          <w:p w14:paraId="647A21D2" w14:textId="69333A8B" w:rsidR="00142A9C" w:rsidRPr="002B6C88" w:rsidRDefault="00B72B7A" w:rsidP="003E3E77">
            <w:pPr>
              <w:pStyle w:val="Text2"/>
              <w:ind w:left="0"/>
              <w:rPr>
                <w:noProof/>
                <w:color w:val="000000" w:themeColor="text1"/>
              </w:rPr>
            </w:pPr>
            <w:r w:rsidRPr="002B6C88">
              <w:rPr>
                <w:noProof/>
                <w:color w:val="000000" w:themeColor="text1"/>
              </w:rPr>
              <w:t>In addition</w:t>
            </w:r>
            <w:r w:rsidR="003E3E77" w:rsidRPr="002B6C88">
              <w:rPr>
                <w:noProof/>
                <w:color w:val="000000" w:themeColor="text1"/>
              </w:rPr>
              <w:t xml:space="preserve">, </w:t>
            </w:r>
            <w:r w:rsidR="00B047BA" w:rsidRPr="002B6C88">
              <w:rPr>
                <w:noProof/>
                <w:color w:val="000000" w:themeColor="text1"/>
              </w:rPr>
              <w:t xml:space="preserve">for </w:t>
            </w:r>
            <w:r w:rsidR="00EF4FBD" w:rsidRPr="002B6C88">
              <w:rPr>
                <w:noProof/>
                <w:color w:val="000000" w:themeColor="text1"/>
              </w:rPr>
              <w:t xml:space="preserve">those EU </w:t>
            </w:r>
            <w:r w:rsidR="009566E3" w:rsidRPr="002B6C88">
              <w:rPr>
                <w:noProof/>
                <w:color w:val="000000" w:themeColor="text1"/>
              </w:rPr>
              <w:t>manufacturers</w:t>
            </w:r>
            <w:r w:rsidR="00EF4FBD" w:rsidRPr="002B6C88">
              <w:rPr>
                <w:noProof/>
                <w:color w:val="000000" w:themeColor="text1"/>
              </w:rPr>
              <w:t xml:space="preserve"> that </w:t>
            </w:r>
            <w:r w:rsidR="00EF030F" w:rsidRPr="002B6C88">
              <w:rPr>
                <w:noProof/>
                <w:color w:val="000000" w:themeColor="text1"/>
              </w:rPr>
              <w:t xml:space="preserve">comply with the requirements, </w:t>
            </w:r>
            <w:r w:rsidR="00B047BA" w:rsidRPr="002B6C88">
              <w:rPr>
                <w:noProof/>
                <w:color w:val="000000" w:themeColor="text1"/>
              </w:rPr>
              <w:t xml:space="preserve">the measure will not represent any additional </w:t>
            </w:r>
            <w:r w:rsidR="00EF4FBD" w:rsidRPr="002B6C88">
              <w:rPr>
                <w:noProof/>
                <w:color w:val="000000" w:themeColor="text1"/>
              </w:rPr>
              <w:t>adjustment costs</w:t>
            </w:r>
            <w:r w:rsidR="00EF030F" w:rsidRPr="002B6C88">
              <w:rPr>
                <w:noProof/>
                <w:color w:val="000000" w:themeColor="text1"/>
              </w:rPr>
              <w:t xml:space="preserve">, since the initial share of </w:t>
            </w:r>
            <w:r w:rsidR="00895C78">
              <w:rPr>
                <w:noProof/>
                <w:color w:val="000000" w:themeColor="text1"/>
              </w:rPr>
              <w:t>Made in EU</w:t>
            </w:r>
            <w:r w:rsidR="00895C78" w:rsidRPr="002B6C88">
              <w:rPr>
                <w:noProof/>
                <w:color w:val="000000" w:themeColor="text1"/>
              </w:rPr>
              <w:t xml:space="preserve"> </w:t>
            </w:r>
            <w:r w:rsidR="00EF030F" w:rsidRPr="002B6C88">
              <w:rPr>
                <w:noProof/>
                <w:color w:val="000000" w:themeColor="text1"/>
              </w:rPr>
              <w:t xml:space="preserve">content is estimated at 70%. Hence the </w:t>
            </w:r>
            <w:r w:rsidR="00C736BE" w:rsidRPr="002B6C88">
              <w:rPr>
                <w:noProof/>
                <w:color w:val="000000" w:themeColor="text1"/>
              </w:rPr>
              <w:t xml:space="preserve">first target would contribute to safeguarding the local vehicle component industry, while preventing further offshoring supply chains. </w:t>
            </w:r>
            <w:r w:rsidR="00142A9C" w:rsidRPr="002B6C88">
              <w:rPr>
                <w:noProof/>
                <w:color w:val="000000" w:themeColor="text1"/>
              </w:rPr>
              <w:t xml:space="preserve">The measure would imply an increase in costs (see: Section 6), however due to the increased sales of vehicles, the negative implications on the EU EV manufacturers would be mitigated. </w:t>
            </w:r>
          </w:p>
          <w:p w14:paraId="7DE0F06C" w14:textId="4CB56020" w:rsidR="009566E3" w:rsidRPr="002B6C88" w:rsidRDefault="003E3E77" w:rsidP="003E3E77">
            <w:pPr>
              <w:pStyle w:val="Text2"/>
              <w:ind w:left="0"/>
              <w:rPr>
                <w:noProof/>
                <w:color w:val="000000" w:themeColor="text1"/>
              </w:rPr>
            </w:pPr>
            <w:r w:rsidRPr="002B6C88">
              <w:rPr>
                <w:noProof/>
                <w:color w:val="000000" w:themeColor="text1"/>
              </w:rPr>
              <w:t xml:space="preserve">As the policy measure would apply indistinctively to EU and non-EU car manufacturers, the level-playing field would be preserved and EU </w:t>
            </w:r>
            <w:r w:rsidR="006F10E0" w:rsidRPr="002B6C88">
              <w:rPr>
                <w:noProof/>
                <w:color w:val="000000" w:themeColor="text1"/>
              </w:rPr>
              <w:t>EV manufacturers could gain competitive advantage in the EU single market</w:t>
            </w:r>
            <w:r w:rsidR="009566E3" w:rsidRPr="002B6C88">
              <w:rPr>
                <w:noProof/>
                <w:color w:val="000000" w:themeColor="text1"/>
              </w:rPr>
              <w:t>, while not havi</w:t>
            </w:r>
            <w:r w:rsidR="008D76D6" w:rsidRPr="002B6C88">
              <w:rPr>
                <w:noProof/>
                <w:color w:val="000000" w:themeColor="text1"/>
              </w:rPr>
              <w:t xml:space="preserve">ng significant impact on the competition. </w:t>
            </w:r>
          </w:p>
          <w:p w14:paraId="1B5EFE6B" w14:textId="56AD3717" w:rsidR="00020031" w:rsidRPr="002B6C88" w:rsidRDefault="002E1592" w:rsidP="008A0BFF">
            <w:pPr>
              <w:pStyle w:val="Text2"/>
              <w:ind w:left="0"/>
              <w:rPr>
                <w:noProof/>
                <w:color w:val="000000" w:themeColor="text1"/>
                <w:highlight w:val="cyan"/>
              </w:rPr>
            </w:pPr>
            <w:r w:rsidRPr="002B6C88">
              <w:rPr>
                <w:noProof/>
                <w:color w:val="000000" w:themeColor="text1"/>
              </w:rPr>
              <w:t xml:space="preserve">Overall, benefits of the measure are </w:t>
            </w:r>
            <w:r w:rsidR="002819A3" w:rsidRPr="002B6C88">
              <w:rPr>
                <w:noProof/>
                <w:color w:val="000000" w:themeColor="text1"/>
              </w:rPr>
              <w:t>significant, and it would</w:t>
            </w:r>
            <w:r w:rsidR="005702E4" w:rsidRPr="002B6C88">
              <w:rPr>
                <w:noProof/>
                <w:color w:val="000000" w:themeColor="text1"/>
              </w:rPr>
              <w:t xml:space="preserve"> contribute to safeguarding the EU industry, re-establishing a level playing field</w:t>
            </w:r>
            <w:r w:rsidR="008913BD" w:rsidRPr="002B6C88">
              <w:rPr>
                <w:noProof/>
                <w:color w:val="000000" w:themeColor="text1"/>
              </w:rPr>
              <w:t xml:space="preserve">, while providing a competitive advantage for the EU EV manufacturers in the internal market. </w:t>
            </w:r>
          </w:p>
        </w:tc>
      </w:tr>
      <w:tr w:rsidR="0011213E" w:rsidRPr="00F261DB" w14:paraId="176AF868" w14:textId="77777777" w:rsidTr="005F73AA">
        <w:trPr>
          <w:trHeight w:val="300"/>
        </w:trPr>
        <w:tc>
          <w:tcPr>
            <w:tcW w:w="766" w:type="pct"/>
            <w:tcBorders>
              <w:bottom w:val="double" w:sz="4" w:space="0" w:color="auto"/>
            </w:tcBorders>
          </w:tcPr>
          <w:p w14:paraId="5A68582C" w14:textId="3B2112F2" w:rsidR="00020031" w:rsidRPr="002B6C88" w:rsidRDefault="00020031" w:rsidP="000A154A">
            <w:pPr>
              <w:rPr>
                <w:rFonts w:eastAsia="Aptos"/>
                <w:noProof/>
              </w:rPr>
            </w:pPr>
            <w:r w:rsidRPr="002B6C88">
              <w:rPr>
                <w:rFonts w:eastAsia="Aptos"/>
                <w:noProof/>
              </w:rPr>
              <w:t>INV 2 –</w:t>
            </w:r>
            <w:r w:rsidR="00A718F8" w:rsidRPr="002B6C88">
              <w:rPr>
                <w:rFonts w:eastAsia="Aptos"/>
                <w:noProof/>
              </w:rPr>
              <w:t xml:space="preserve"> </w:t>
            </w:r>
            <w:r w:rsidRPr="002B6C88">
              <w:rPr>
                <w:rFonts w:eastAsia="Aptos"/>
                <w:noProof/>
              </w:rPr>
              <w:t>Maximise benefits of foreign investments in the EU via conditionalities</w:t>
            </w:r>
          </w:p>
        </w:tc>
        <w:tc>
          <w:tcPr>
            <w:tcW w:w="2399" w:type="pct"/>
            <w:tcBorders>
              <w:bottom w:val="double" w:sz="4" w:space="0" w:color="auto"/>
            </w:tcBorders>
            <w:tcMar>
              <w:top w:w="57" w:type="dxa"/>
              <w:left w:w="57" w:type="dxa"/>
              <w:bottom w:w="57" w:type="dxa"/>
              <w:right w:w="57" w:type="dxa"/>
            </w:tcMar>
          </w:tcPr>
          <w:p w14:paraId="700B8971" w14:textId="4E2746AB" w:rsidR="00020031" w:rsidRPr="002B6C88" w:rsidRDefault="00020031" w:rsidP="000A154A">
            <w:pPr>
              <w:rPr>
                <w:noProof/>
              </w:rPr>
            </w:pPr>
            <w:r w:rsidRPr="002B6C88">
              <w:rPr>
                <w:rFonts w:eastAsia="Times"/>
                <w:noProof/>
              </w:rPr>
              <w:t xml:space="preserve">EII Businesses: </w:t>
            </w:r>
            <w:r w:rsidR="00570A2C" w:rsidRPr="002B6C88">
              <w:rPr>
                <w:noProof/>
              </w:rPr>
              <w:t>B</w:t>
            </w:r>
            <w:r w:rsidRPr="002B6C88">
              <w:rPr>
                <w:noProof/>
              </w:rPr>
              <w:t xml:space="preserve">enefits include securing critical technologies and intellectual property vital for European innovation and competitiveness. </w:t>
            </w:r>
            <w:r w:rsidR="00FD3D5F" w:rsidRPr="002B6C88">
              <w:rPr>
                <w:noProof/>
              </w:rPr>
              <w:t xml:space="preserve">Companies are also expected to embed more </w:t>
            </w:r>
            <w:r w:rsidR="00FD3D5F" w:rsidRPr="002B6C88" w:rsidDel="00787D54">
              <w:rPr>
                <w:noProof/>
              </w:rPr>
              <w:t>R&amp;</w:t>
            </w:r>
            <w:r w:rsidR="00787D54" w:rsidRPr="002B6C88">
              <w:rPr>
                <w:noProof/>
              </w:rPr>
              <w:t>I</w:t>
            </w:r>
            <w:r w:rsidR="00FD3D5F" w:rsidRPr="002B6C88">
              <w:rPr>
                <w:noProof/>
              </w:rPr>
              <w:t xml:space="preserve"> and technologies in their EU operations. </w:t>
            </w:r>
            <w:r w:rsidRPr="002B6C88">
              <w:rPr>
                <w:noProof/>
              </w:rPr>
              <w:t>Domestic value-added production encourages long-term investment and a more predictable investment environment</w:t>
            </w:r>
            <w:r w:rsidR="007C6197" w:rsidRPr="002B6C88">
              <w:rPr>
                <w:noProof/>
              </w:rPr>
              <w:t>, including for SMEs</w:t>
            </w:r>
            <w:r w:rsidRPr="002B6C88">
              <w:rPr>
                <w:noProof/>
              </w:rPr>
              <w:t>.</w:t>
            </w:r>
            <w:r w:rsidR="003440E7" w:rsidRPr="002B6C88">
              <w:rPr>
                <w:noProof/>
              </w:rPr>
              <w:t xml:space="preserve"> </w:t>
            </w:r>
          </w:p>
        </w:tc>
        <w:tc>
          <w:tcPr>
            <w:tcW w:w="1835" w:type="pct"/>
            <w:tcBorders>
              <w:bottom w:val="double" w:sz="4" w:space="0" w:color="auto"/>
            </w:tcBorders>
            <w:tcMar>
              <w:top w:w="57" w:type="dxa"/>
              <w:left w:w="57" w:type="dxa"/>
              <w:bottom w:w="57" w:type="dxa"/>
              <w:right w:w="57" w:type="dxa"/>
            </w:tcMar>
          </w:tcPr>
          <w:p w14:paraId="05A49EC1" w14:textId="53CEFBBE" w:rsidR="00020031" w:rsidRPr="002B6C88" w:rsidRDefault="00AF46CC" w:rsidP="000A154A">
            <w:pPr>
              <w:rPr>
                <w:rFonts w:eastAsia="Times"/>
                <w:noProof/>
              </w:rPr>
            </w:pPr>
            <w:r w:rsidRPr="002B6C88">
              <w:rPr>
                <w:noProof/>
              </w:rPr>
              <w:t xml:space="preserve">The preferred option is not intended to deter investment but to enhance quality, stability, and long-term value of investments in the EU. Conditionalities aim to anchor foreign investors’ technological, </w:t>
            </w:r>
            <w:r w:rsidRPr="002B6C88" w:rsidDel="00787D54">
              <w:rPr>
                <w:noProof/>
              </w:rPr>
              <w:t>R&amp;</w:t>
            </w:r>
            <w:r w:rsidR="00787D54" w:rsidRPr="002B6C88">
              <w:rPr>
                <w:noProof/>
              </w:rPr>
              <w:t>I</w:t>
            </w:r>
            <w:r w:rsidRPr="002B6C88">
              <w:rPr>
                <w:noProof/>
              </w:rPr>
              <w:t xml:space="preserve">, and production activities within Europe, ensuring that the EU remains an attractive and predictable destination for strategic and high-quality investment. By enforcing legal certainty, the measure supports continued inflows of productive investment rather than restricting them. </w:t>
            </w:r>
          </w:p>
        </w:tc>
      </w:tr>
      <w:tr w:rsidR="0011213E" w:rsidRPr="00F261DB" w14:paraId="071359FA" w14:textId="77777777" w:rsidTr="005F73AA">
        <w:trPr>
          <w:trHeight w:val="300"/>
        </w:trPr>
        <w:tc>
          <w:tcPr>
            <w:tcW w:w="766" w:type="pct"/>
            <w:tcBorders>
              <w:top w:val="double" w:sz="4" w:space="0" w:color="auto"/>
              <w:left w:val="double" w:sz="4" w:space="0" w:color="auto"/>
              <w:bottom w:val="double" w:sz="4" w:space="0" w:color="auto"/>
              <w:right w:val="double" w:sz="4" w:space="0" w:color="auto"/>
            </w:tcBorders>
          </w:tcPr>
          <w:p w14:paraId="1168B56D" w14:textId="77777777" w:rsidR="00020031" w:rsidRPr="002B6C88" w:rsidRDefault="00020031" w:rsidP="000A154A">
            <w:pPr>
              <w:rPr>
                <w:rFonts w:eastAsia="Aptos"/>
                <w:noProof/>
              </w:rPr>
            </w:pPr>
            <w:r w:rsidRPr="002B6C88">
              <w:rPr>
                <w:rFonts w:eastAsia="Aptos"/>
                <w:noProof/>
              </w:rPr>
              <w:lastRenderedPageBreak/>
              <w:t>PERM 2 – Digitalisation of permitting procedures</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FDA1455" w14:textId="77777777" w:rsidR="00020031" w:rsidRDefault="404A2814" w:rsidP="000A154A">
            <w:pPr>
              <w:rPr>
                <w:noProof/>
                <w:vertAlign w:val="superscript"/>
              </w:rPr>
            </w:pPr>
            <w:r w:rsidRPr="002B6C88">
              <w:rPr>
                <w:rFonts w:eastAsia="Aptos"/>
                <w:noProof/>
                <w:u w:val="single"/>
              </w:rPr>
              <w:t xml:space="preserve">Industrial </w:t>
            </w:r>
            <w:r w:rsidRPr="002B6C88">
              <w:rPr>
                <w:noProof/>
                <w:u w:val="single"/>
              </w:rPr>
              <w:t>manufacturing</w:t>
            </w:r>
            <w:r w:rsidRPr="002B6C88">
              <w:rPr>
                <w:rFonts w:eastAsia="Aptos"/>
                <w:noProof/>
                <w:u w:val="single"/>
              </w:rPr>
              <w:t xml:space="preserve"> businesses</w:t>
            </w:r>
            <w:r w:rsidR="3CAA4503" w:rsidRPr="002B6C88">
              <w:rPr>
                <w:rFonts w:eastAsia="Aptos"/>
                <w:noProof/>
                <w:u w:val="single"/>
              </w:rPr>
              <w:t xml:space="preserve"> (NACE code C)</w:t>
            </w:r>
            <w:r w:rsidRPr="002B6C88">
              <w:rPr>
                <w:rFonts w:eastAsia="Aptos"/>
                <w:noProof/>
              </w:rPr>
              <w:t xml:space="preserve">: Cost savings of EUR </w:t>
            </w:r>
            <w:r w:rsidR="712240C2" w:rsidRPr="002B6C88">
              <w:rPr>
                <w:rFonts w:eastAsia="Aptos"/>
                <w:noProof/>
              </w:rPr>
              <w:t>2</w:t>
            </w:r>
            <w:r w:rsidR="0250EEC0" w:rsidRPr="002B6C88">
              <w:rPr>
                <w:rFonts w:eastAsia="Aptos"/>
                <w:noProof/>
              </w:rPr>
              <w:t>40</w:t>
            </w:r>
            <w:r w:rsidRPr="002B6C88">
              <w:rPr>
                <w:rFonts w:eastAsia="Aptos"/>
                <w:noProof/>
              </w:rPr>
              <w:t xml:space="preserve"> million for all manufacturing industries (2.2 million) in the EU could be perceived for the digitalisation of 5 </w:t>
            </w:r>
            <w:r w:rsidR="4EE7A65B" w:rsidRPr="002B6C88">
              <w:rPr>
                <w:rFonts w:eastAsia="Aptos"/>
                <w:noProof/>
              </w:rPr>
              <w:t xml:space="preserve">similar </w:t>
            </w:r>
            <w:r w:rsidR="2432254C" w:rsidRPr="002B6C88">
              <w:rPr>
                <w:rFonts w:eastAsia="Aptos"/>
                <w:noProof/>
              </w:rPr>
              <w:t xml:space="preserve">administrative </w:t>
            </w:r>
            <w:r w:rsidR="67E65C80" w:rsidRPr="002B6C88">
              <w:rPr>
                <w:rFonts w:eastAsia="Aptos"/>
                <w:noProof/>
              </w:rPr>
              <w:t>processes</w:t>
            </w:r>
            <w:r w:rsidR="4BD4D6F4" w:rsidRPr="002B6C88">
              <w:rPr>
                <w:rFonts w:eastAsia="Aptos"/>
                <w:noProof/>
              </w:rPr>
              <w:t>.</w:t>
            </w:r>
            <w:r w:rsidR="00020031" w:rsidRPr="002B6C88">
              <w:rPr>
                <w:noProof/>
                <w:vertAlign w:val="superscript"/>
              </w:rPr>
              <w:footnoteReference w:id="248"/>
            </w:r>
            <w:r w:rsidR="2EF0C2FC" w:rsidRPr="002B6C88">
              <w:rPr>
                <w:noProof/>
                <w:vertAlign w:val="superscript"/>
              </w:rPr>
              <w:t xml:space="preserve"> </w:t>
            </w:r>
          </w:p>
          <w:p w14:paraId="669DEEF2" w14:textId="77777777" w:rsidR="00094DBA" w:rsidRDefault="00094DBA" w:rsidP="000A154A">
            <w:pPr>
              <w:rPr>
                <w:noProof/>
                <w:vertAlign w:val="superscript"/>
              </w:rPr>
            </w:pPr>
          </w:p>
          <w:p w14:paraId="7904C533" w14:textId="7E40DBF8" w:rsidR="00020031" w:rsidRPr="002B6C88" w:rsidRDefault="3C71C9FD" w:rsidP="000A154A">
            <w:pPr>
              <w:rPr>
                <w:noProof/>
              </w:rPr>
            </w:pPr>
            <w:r w:rsidRPr="3C1B0927">
              <w:rPr>
                <w:noProof/>
                <w:u w:val="single"/>
              </w:rPr>
              <w:t>MS administrations</w:t>
            </w:r>
            <w:r>
              <w:rPr>
                <w:noProof/>
              </w:rPr>
              <w:t xml:space="preserve">: Digitalisation of permitting procedures per year in efficiency savings </w:t>
            </w:r>
            <w:r w:rsidR="0010385B">
              <w:rPr>
                <w:noProof/>
              </w:rPr>
              <w:t xml:space="preserve">could lead </w:t>
            </w:r>
            <w:r w:rsidR="59222438">
              <w:rPr>
                <w:noProof/>
              </w:rPr>
              <w:t>up to</w:t>
            </w:r>
            <w:r>
              <w:rPr>
                <w:noProof/>
              </w:rPr>
              <w:t xml:space="preserve"> EUR </w:t>
            </w:r>
            <w:r w:rsidR="3EE943AB">
              <w:rPr>
                <w:noProof/>
              </w:rPr>
              <w:t>1.</w:t>
            </w:r>
            <w:r w:rsidR="25C1BB03">
              <w:rPr>
                <w:noProof/>
              </w:rPr>
              <w:t>3</w:t>
            </w:r>
            <w:r w:rsidR="3EE943AB">
              <w:rPr>
                <w:noProof/>
              </w:rPr>
              <w:t xml:space="preserve"> </w:t>
            </w:r>
            <w:r>
              <w:rPr>
                <w:noProof/>
              </w:rPr>
              <w:t>billion</w:t>
            </w:r>
            <w:r w:rsidR="5301BBE7">
              <w:rPr>
                <w:noProof/>
              </w:rPr>
              <w:t xml:space="preserve"> for procedures </w:t>
            </w:r>
            <w:r w:rsidR="1626B5C2">
              <w:rPr>
                <w:noProof/>
              </w:rPr>
              <w:t>with a volume of at least 100 000 transactions</w:t>
            </w:r>
            <w:r w:rsidR="59222438">
              <w:rPr>
                <w:noProof/>
              </w:rPr>
              <w:t>.</w:t>
            </w:r>
            <w:r w:rsidR="006C4E92">
              <w:rPr>
                <w:rStyle w:val="FootnoteReference"/>
                <w:noProof/>
              </w:rPr>
              <w:footnoteReference w:id="249"/>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470E34FB" w14:textId="77777777" w:rsidR="00020031" w:rsidRPr="002B6C88" w:rsidRDefault="00020031" w:rsidP="000A154A">
            <w:pPr>
              <w:rPr>
                <w:rFonts w:eastAsia="Aptos"/>
                <w:noProof/>
              </w:rPr>
            </w:pPr>
          </w:p>
        </w:tc>
      </w:tr>
      <w:tr w:rsidR="0011213E" w:rsidRPr="00F261DB" w14:paraId="47B5416E" w14:textId="77777777" w:rsidTr="005F73AA">
        <w:trPr>
          <w:trHeight w:val="300"/>
        </w:trPr>
        <w:tc>
          <w:tcPr>
            <w:tcW w:w="766" w:type="pct"/>
            <w:tcBorders>
              <w:bottom w:val="double" w:sz="4" w:space="0" w:color="auto"/>
            </w:tcBorders>
          </w:tcPr>
          <w:p w14:paraId="0C6F88AA" w14:textId="6FB8F49C" w:rsidR="00020031" w:rsidRPr="002B6C88" w:rsidRDefault="5A69AB24" w:rsidP="000A154A">
            <w:pPr>
              <w:rPr>
                <w:rFonts w:eastAsia="Aptos"/>
                <w:noProof/>
              </w:rPr>
            </w:pPr>
            <w:r w:rsidRPr="002B6C88">
              <w:rPr>
                <w:noProof/>
                <w:color w:val="000000" w:themeColor="text1"/>
              </w:rPr>
              <w:t>AREA</w:t>
            </w:r>
            <w:r w:rsidR="00020031" w:rsidRPr="002B6C88">
              <w:rPr>
                <w:noProof/>
                <w:color w:val="000000" w:themeColor="text1"/>
              </w:rPr>
              <w:t xml:space="preserve"> 2 - </w:t>
            </w:r>
            <w:r w:rsidR="00E43A56" w:rsidRPr="002B6C88">
              <w:rPr>
                <w:noProof/>
                <w:color w:val="000000" w:themeColor="text1"/>
                <w:szCs w:val="20"/>
              </w:rPr>
              <w:t xml:space="preserve">Member States to designate industrial areas and facilitate access to public funding </w:t>
            </w:r>
          </w:p>
        </w:tc>
        <w:tc>
          <w:tcPr>
            <w:tcW w:w="2399" w:type="pct"/>
            <w:tcBorders>
              <w:bottom w:val="double" w:sz="4" w:space="0" w:color="auto"/>
            </w:tcBorders>
            <w:tcMar>
              <w:top w:w="57" w:type="dxa"/>
              <w:left w:w="57" w:type="dxa"/>
              <w:bottom w:w="57" w:type="dxa"/>
              <w:right w:w="57" w:type="dxa"/>
            </w:tcMar>
          </w:tcPr>
          <w:p w14:paraId="2DDAA81E" w14:textId="2B31C1F3" w:rsidR="00020031" w:rsidRPr="002B6C88" w:rsidRDefault="00020031" w:rsidP="000A154A">
            <w:pPr>
              <w:rPr>
                <w:rFonts w:eastAsia="Aptos"/>
                <w:noProof/>
              </w:rPr>
            </w:pPr>
            <w:r w:rsidRPr="002B6C88">
              <w:rPr>
                <w:noProof/>
                <w:color w:val="000000" w:themeColor="text1"/>
              </w:rPr>
              <w:t xml:space="preserve"> </w:t>
            </w:r>
            <w:r w:rsidR="4B9CCDCC" w:rsidRPr="002B6C88">
              <w:rPr>
                <w:noProof/>
                <w:color w:val="000000" w:themeColor="text1"/>
                <w:u w:val="single"/>
              </w:rPr>
              <w:t>Projects in industrial areas</w:t>
            </w:r>
            <w:r w:rsidRPr="002B6C88">
              <w:rPr>
                <w:noProof/>
                <w:color w:val="000000" w:themeColor="text1"/>
                <w:u w:val="single"/>
              </w:rPr>
              <w:t xml:space="preserve">: </w:t>
            </w:r>
            <w:r w:rsidRPr="002B6C88">
              <w:rPr>
                <w:noProof/>
                <w:color w:val="000000" w:themeColor="text1"/>
              </w:rPr>
              <w:t>Benefits include improved support for access to funding for decarbonisation projects, which is likely to accelerate investment decisions and support industrial decarbonisation efforts across companies in the EU.</w:t>
            </w:r>
          </w:p>
        </w:tc>
        <w:tc>
          <w:tcPr>
            <w:tcW w:w="1835" w:type="pct"/>
            <w:tcBorders>
              <w:bottom w:val="double" w:sz="4" w:space="0" w:color="auto"/>
            </w:tcBorders>
            <w:tcMar>
              <w:top w:w="57" w:type="dxa"/>
              <w:left w:w="57" w:type="dxa"/>
              <w:bottom w:w="57" w:type="dxa"/>
              <w:right w:w="57" w:type="dxa"/>
            </w:tcMar>
          </w:tcPr>
          <w:p w14:paraId="38704FE1" w14:textId="77777777" w:rsidR="00020031" w:rsidRPr="002B6C88" w:rsidRDefault="00020031" w:rsidP="000A154A">
            <w:pPr>
              <w:rPr>
                <w:rFonts w:eastAsia="Aptos"/>
                <w:noProof/>
              </w:rPr>
            </w:pPr>
          </w:p>
        </w:tc>
      </w:tr>
      <w:tr w:rsidR="0011213E" w:rsidRPr="00F261DB" w14:paraId="6DA749AB" w14:textId="77777777" w:rsidTr="7ECD02B7">
        <w:trPr>
          <w:trHeight w:val="300"/>
        </w:trPr>
        <w:tc>
          <w:tcPr>
            <w:tcW w:w="5000" w:type="pct"/>
            <w:gridSpan w:val="3"/>
            <w:shd w:val="clear" w:color="auto" w:fill="F2F2F2" w:themeFill="background1" w:themeFillShade="F2"/>
          </w:tcPr>
          <w:p w14:paraId="0F9BF8DF" w14:textId="77777777" w:rsidR="00020031" w:rsidRPr="002B6C88" w:rsidRDefault="00020031" w:rsidP="000A154A">
            <w:pPr>
              <w:jc w:val="center"/>
              <w:rPr>
                <w:rFonts w:eastAsia="Aptos"/>
                <w:b/>
                <w:i/>
                <w:noProof/>
              </w:rPr>
            </w:pPr>
            <w:r w:rsidRPr="002B6C88">
              <w:rPr>
                <w:rFonts w:eastAsia="Aptos"/>
                <w:b/>
                <w:i/>
                <w:noProof/>
              </w:rPr>
              <w:t>Indirect benefits</w:t>
            </w:r>
          </w:p>
        </w:tc>
      </w:tr>
      <w:tr w:rsidR="0011213E" w:rsidRPr="00F261DB" w14:paraId="341E1B99" w14:textId="77777777" w:rsidTr="00264F89">
        <w:trPr>
          <w:trHeight w:val="300"/>
        </w:trPr>
        <w:tc>
          <w:tcPr>
            <w:tcW w:w="766" w:type="pct"/>
            <w:tcBorders>
              <w:top w:val="double" w:sz="4" w:space="0" w:color="auto"/>
              <w:left w:val="double" w:sz="4" w:space="0" w:color="auto"/>
              <w:bottom w:val="double" w:sz="4" w:space="0" w:color="auto"/>
              <w:right w:val="double" w:sz="4" w:space="0" w:color="auto"/>
            </w:tcBorders>
          </w:tcPr>
          <w:p w14:paraId="4731926D" w14:textId="77777777" w:rsidR="00020031" w:rsidRPr="002B6C88" w:rsidRDefault="00020031" w:rsidP="000A154A">
            <w:pPr>
              <w:rPr>
                <w:rFonts w:eastAsia="Aptos"/>
                <w:noProof/>
              </w:rPr>
            </w:pPr>
            <w:r w:rsidRPr="002B6C88">
              <w:rPr>
                <w:rFonts w:eastAsia="Aptos"/>
                <w:noProof/>
              </w:rPr>
              <w:t>Increased access to low-carbon products</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53CB432D" w14:textId="77777777" w:rsidR="00020031" w:rsidRPr="002B6C88" w:rsidRDefault="00020031" w:rsidP="000A154A">
            <w:pPr>
              <w:rPr>
                <w:rFonts w:eastAsia="Aptos"/>
                <w:noProof/>
              </w:rPr>
            </w:pPr>
            <w:r w:rsidRPr="002B6C88">
              <w:rPr>
                <w:rFonts w:eastAsia="Aptos"/>
                <w:noProof/>
                <w:u w:val="single"/>
              </w:rPr>
              <w:t>Citizen / Consumers</w:t>
            </w:r>
            <w:r w:rsidRPr="002B6C88">
              <w:rPr>
                <w:rFonts w:eastAsia="Aptos"/>
                <w:noProof/>
              </w:rPr>
              <w:t>: The steel label will provide transparency regarding the carbon intensity of steel content, supporting market differentiation for low-carbon products and enabling consumers to make more sustainable choices.</w:t>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7DCFE8C" w14:textId="77777777" w:rsidR="00020031" w:rsidRPr="002B6C88" w:rsidRDefault="00020031" w:rsidP="000A154A">
            <w:pPr>
              <w:rPr>
                <w:rFonts w:eastAsia="Aptos"/>
                <w:noProof/>
              </w:rPr>
            </w:pPr>
            <w:r w:rsidRPr="002B6C88">
              <w:rPr>
                <w:rFonts w:eastAsia="Aptos"/>
                <w:noProof/>
              </w:rPr>
              <w:t xml:space="preserve">Furthermore, when the label is linked to public support schemes, it can incentivise consumers to increase their demand for lower-carbon products. </w:t>
            </w:r>
          </w:p>
        </w:tc>
      </w:tr>
      <w:tr w:rsidR="0011213E" w:rsidRPr="00F261DB" w14:paraId="20B34890" w14:textId="77777777" w:rsidTr="00264F89">
        <w:trPr>
          <w:trHeight w:val="300"/>
        </w:trPr>
        <w:tc>
          <w:tcPr>
            <w:tcW w:w="766" w:type="pct"/>
            <w:tcBorders>
              <w:top w:val="double" w:sz="4" w:space="0" w:color="auto"/>
              <w:left w:val="double" w:sz="4" w:space="0" w:color="auto"/>
              <w:bottom w:val="double" w:sz="4" w:space="0" w:color="auto"/>
              <w:right w:val="double" w:sz="4" w:space="0" w:color="auto"/>
            </w:tcBorders>
          </w:tcPr>
          <w:p w14:paraId="02159527" w14:textId="77777777" w:rsidR="00020031" w:rsidRPr="002B6C88" w:rsidRDefault="00020031" w:rsidP="000A154A">
            <w:pPr>
              <w:rPr>
                <w:rFonts w:eastAsia="Aptos"/>
                <w:noProof/>
              </w:rPr>
            </w:pPr>
            <w:r w:rsidRPr="002B6C88">
              <w:rPr>
                <w:rFonts w:eastAsia="Aptos"/>
                <w:noProof/>
              </w:rPr>
              <w:t>Employment</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107A11C" w14:textId="3220D3B0" w:rsidR="00020031" w:rsidRPr="002B6C88" w:rsidRDefault="00020031" w:rsidP="000A154A">
            <w:pPr>
              <w:rPr>
                <w:noProof/>
                <w:color w:val="000000" w:themeColor="text1"/>
              </w:rPr>
            </w:pPr>
            <w:r w:rsidRPr="002B6C88">
              <w:rPr>
                <w:rFonts w:eastAsia="Aptos"/>
                <w:noProof/>
              </w:rPr>
              <w:t>LEAD_EII 2 – Low</w:t>
            </w:r>
            <w:r w:rsidR="00F42FCE">
              <w:rPr>
                <w:rFonts w:eastAsia="Aptos"/>
                <w:noProof/>
              </w:rPr>
              <w:t>-</w:t>
            </w:r>
            <w:r w:rsidRPr="002B6C88">
              <w:rPr>
                <w:rFonts w:eastAsia="Aptos"/>
                <w:noProof/>
              </w:rPr>
              <w:t xml:space="preserve">carbon &amp; </w:t>
            </w:r>
            <w:r w:rsidR="00281489">
              <w:rPr>
                <w:rFonts w:eastAsia="Aptos"/>
                <w:noProof/>
              </w:rPr>
              <w:t>Made in EU</w:t>
            </w:r>
            <w:r w:rsidRPr="002B6C88">
              <w:rPr>
                <w:rFonts w:eastAsia="Aptos"/>
                <w:noProof/>
              </w:rPr>
              <w:t xml:space="preserve"> for EII products: </w:t>
            </w:r>
            <w:r w:rsidRPr="002B6C88">
              <w:rPr>
                <w:noProof/>
                <w:color w:val="000000" w:themeColor="text1"/>
              </w:rPr>
              <w:t xml:space="preserve">increased stable demand for EU, low-carbon materials </w:t>
            </w:r>
            <w:r w:rsidR="005A0FBF" w:rsidRPr="002B6C88">
              <w:rPr>
                <w:noProof/>
                <w:color w:val="000000" w:themeColor="text1"/>
              </w:rPr>
              <w:t>are</w:t>
            </w:r>
            <w:r w:rsidRPr="002B6C88">
              <w:rPr>
                <w:noProof/>
                <w:color w:val="000000" w:themeColor="text1"/>
              </w:rPr>
              <w:t xml:space="preserve"> expected to generate new employment opportunities linked to these technologies and supporting the industrial transition.</w:t>
            </w:r>
          </w:p>
          <w:p w14:paraId="6CBC5B88" w14:textId="77777777" w:rsidR="00020031" w:rsidRPr="002B6C88" w:rsidRDefault="00020031" w:rsidP="000A154A">
            <w:pPr>
              <w:rPr>
                <w:noProof/>
                <w:color w:val="000000" w:themeColor="text1"/>
              </w:rPr>
            </w:pPr>
          </w:p>
          <w:p w14:paraId="11104F45" w14:textId="321F541B" w:rsidR="00020031" w:rsidRPr="0095357E" w:rsidRDefault="719AC623" w:rsidP="000A154A">
            <w:pPr>
              <w:pStyle w:val="Text2"/>
              <w:ind w:left="0"/>
              <w:rPr>
                <w:noProof/>
                <w:color w:val="000000" w:themeColor="text1"/>
                <w:highlight w:val="yellow"/>
              </w:rPr>
            </w:pPr>
            <w:r w:rsidRPr="1FA04443">
              <w:rPr>
                <w:noProof/>
                <w:color w:val="000000" w:themeColor="text1"/>
              </w:rPr>
              <w:t xml:space="preserve">Low-carbon steel requirements in public procurement could </w:t>
            </w:r>
            <w:r w:rsidR="00D47F13" w:rsidRPr="1FA04443">
              <w:rPr>
                <w:noProof/>
                <w:color w:val="000000" w:themeColor="text1"/>
              </w:rPr>
              <w:t xml:space="preserve">preserve up to 4 500 jobs </w:t>
            </w:r>
            <w:r w:rsidRPr="1FA04443">
              <w:rPr>
                <w:noProof/>
                <w:color w:val="000000" w:themeColor="text1"/>
              </w:rPr>
              <w:t>by 2030</w:t>
            </w:r>
            <w:r w:rsidR="00264F89">
              <w:rPr>
                <w:noProof/>
                <w:color w:val="000000" w:themeColor="text1"/>
              </w:rPr>
              <w:t>.</w:t>
            </w:r>
          </w:p>
          <w:p w14:paraId="3AF5B915" w14:textId="4B03EC56" w:rsidR="00C636D0" w:rsidRPr="002B6C88" w:rsidRDefault="545C8C3C" w:rsidP="000A154A">
            <w:pPr>
              <w:pStyle w:val="Text2"/>
              <w:ind w:left="0"/>
              <w:rPr>
                <w:noProof/>
                <w:color w:val="000000" w:themeColor="text1"/>
              </w:rPr>
            </w:pPr>
            <w:r w:rsidRPr="002B6C88">
              <w:rPr>
                <w:noProof/>
                <w:color w:val="000000" w:themeColor="text1"/>
              </w:rPr>
              <w:t>LEAD</w:t>
            </w:r>
            <w:r w:rsidR="00CC0A5A" w:rsidRPr="002B6C88">
              <w:rPr>
                <w:noProof/>
                <w:color w:val="000000" w:themeColor="text1"/>
              </w:rPr>
              <w:t>_</w:t>
            </w:r>
            <w:r w:rsidRPr="002B6C88">
              <w:rPr>
                <w:noProof/>
                <w:color w:val="000000" w:themeColor="text1"/>
              </w:rPr>
              <w:t>BAT</w:t>
            </w:r>
            <w:r w:rsidR="00CC0A5A" w:rsidRPr="002B6C88">
              <w:rPr>
                <w:noProof/>
                <w:color w:val="000000" w:themeColor="text1"/>
              </w:rPr>
              <w:t xml:space="preserve"> </w:t>
            </w:r>
            <w:r w:rsidRPr="002B6C88">
              <w:rPr>
                <w:noProof/>
                <w:color w:val="000000" w:themeColor="text1"/>
              </w:rPr>
              <w:t xml:space="preserve">1 – </w:t>
            </w:r>
            <w:r w:rsidR="00281489">
              <w:rPr>
                <w:noProof/>
                <w:color w:val="000000" w:themeColor="text1"/>
              </w:rPr>
              <w:t>Made in EU</w:t>
            </w:r>
            <w:r w:rsidRPr="002B6C88">
              <w:rPr>
                <w:noProof/>
                <w:color w:val="000000" w:themeColor="text1"/>
              </w:rPr>
              <w:t xml:space="preserve"> for batteries:</w:t>
            </w:r>
            <w:r w:rsidR="1F820EB7" w:rsidRPr="002B6C88">
              <w:rPr>
                <w:noProof/>
                <w:color w:val="000000" w:themeColor="text1"/>
              </w:rPr>
              <w:t xml:space="preserve"> </w:t>
            </w:r>
            <w:r w:rsidR="351886FF" w:rsidRPr="002B6C88">
              <w:rPr>
                <w:noProof/>
                <w:color w:val="000000" w:themeColor="text1"/>
              </w:rPr>
              <w:t>a</w:t>
            </w:r>
            <w:r w:rsidR="1F820EB7" w:rsidRPr="002B6C88">
              <w:rPr>
                <w:noProof/>
                <w:color w:val="000000" w:themeColor="text1"/>
              </w:rPr>
              <w:t xml:space="preserve">nnounced gigafactories expected to create </w:t>
            </w:r>
            <w:r w:rsidR="6753DF0B" w:rsidRPr="002B6C88">
              <w:rPr>
                <w:noProof/>
                <w:color w:val="000000" w:themeColor="text1"/>
              </w:rPr>
              <w:t>by</w:t>
            </w:r>
            <w:r w:rsidR="1F820EB7" w:rsidRPr="002B6C88">
              <w:rPr>
                <w:noProof/>
                <w:color w:val="000000" w:themeColor="text1"/>
              </w:rPr>
              <w:t xml:space="preserve"> </w:t>
            </w:r>
            <w:r w:rsidR="532618BD" w:rsidRPr="002B6C88">
              <w:rPr>
                <w:noProof/>
                <w:color w:val="000000" w:themeColor="text1"/>
              </w:rPr>
              <w:t xml:space="preserve">2030 </w:t>
            </w:r>
            <w:r w:rsidR="1F820EB7" w:rsidRPr="002B6C88">
              <w:rPr>
                <w:noProof/>
                <w:color w:val="000000" w:themeColor="text1"/>
              </w:rPr>
              <w:t xml:space="preserve">up to </w:t>
            </w:r>
            <w:r w:rsidR="00505792" w:rsidRPr="002B6C88">
              <w:rPr>
                <w:noProof/>
                <w:color w:val="000000" w:themeColor="text1"/>
              </w:rPr>
              <w:t>85</w:t>
            </w:r>
            <w:r w:rsidR="1F820EB7" w:rsidRPr="002B6C88">
              <w:rPr>
                <w:noProof/>
                <w:color w:val="000000" w:themeColor="text1"/>
              </w:rPr>
              <w:t>000 job</w:t>
            </w:r>
            <w:r w:rsidR="023BA7F0" w:rsidRPr="002B6C88">
              <w:rPr>
                <w:noProof/>
                <w:color w:val="000000" w:themeColor="text1"/>
              </w:rPr>
              <w:t>s</w:t>
            </w:r>
            <w:r w:rsidR="00CC0A5A" w:rsidRPr="002B6C88">
              <w:rPr>
                <w:noProof/>
                <w:color w:val="000000" w:themeColor="text1"/>
              </w:rPr>
              <w:t xml:space="preserve"> </w:t>
            </w:r>
          </w:p>
          <w:p w14:paraId="44F2B833" w14:textId="76370D56" w:rsidR="00020031" w:rsidRPr="002B6C88" w:rsidRDefault="00020031" w:rsidP="000A154A">
            <w:pPr>
              <w:pStyle w:val="Text2"/>
              <w:ind w:left="0"/>
              <w:rPr>
                <w:rFonts w:eastAsia="Aptos"/>
                <w:noProof/>
                <w:color w:val="000000" w:themeColor="text1"/>
              </w:rPr>
            </w:pPr>
            <w:r w:rsidRPr="002B6C88">
              <w:rPr>
                <w:noProof/>
                <w:color w:val="000000" w:themeColor="text1"/>
              </w:rPr>
              <w:t>LEAD</w:t>
            </w:r>
            <w:r w:rsidR="00053E29" w:rsidRPr="002B6C88">
              <w:rPr>
                <w:noProof/>
                <w:color w:val="000000" w:themeColor="text1"/>
              </w:rPr>
              <w:t>_</w:t>
            </w:r>
            <w:r w:rsidRPr="002B6C88">
              <w:rPr>
                <w:noProof/>
                <w:color w:val="000000" w:themeColor="text1"/>
              </w:rPr>
              <w:t xml:space="preserve">SOL 1 – </w:t>
            </w:r>
            <w:r w:rsidR="00281489">
              <w:rPr>
                <w:noProof/>
                <w:color w:val="000000" w:themeColor="text1"/>
              </w:rPr>
              <w:t>Made in EU</w:t>
            </w:r>
            <w:r w:rsidRPr="002B6C88">
              <w:rPr>
                <w:noProof/>
                <w:color w:val="000000" w:themeColor="text1"/>
              </w:rPr>
              <w:t xml:space="preserve"> for solar manufacturers: </w:t>
            </w:r>
            <w:r w:rsidR="009D6E27" w:rsidRPr="002B6C88">
              <w:rPr>
                <w:noProof/>
                <w:color w:val="000000" w:themeColor="text1"/>
              </w:rPr>
              <w:t>In terms of the policy segments assessed in the impact assessment, this corresponds to an estimated 5</w:t>
            </w:r>
            <w:r w:rsidR="00D7393A">
              <w:rPr>
                <w:noProof/>
                <w:color w:val="000000" w:themeColor="text1"/>
              </w:rPr>
              <w:t xml:space="preserve"> </w:t>
            </w:r>
            <w:r w:rsidR="009D6E27" w:rsidRPr="002B6C88">
              <w:rPr>
                <w:noProof/>
                <w:color w:val="000000" w:themeColor="text1"/>
              </w:rPr>
              <w:t>19</w:t>
            </w:r>
            <w:r w:rsidR="00840B5A" w:rsidRPr="002B6C88">
              <w:rPr>
                <w:noProof/>
                <w:color w:val="000000" w:themeColor="text1"/>
              </w:rPr>
              <w:t>3</w:t>
            </w:r>
            <w:r w:rsidR="009D6E27" w:rsidRPr="002B6C88">
              <w:rPr>
                <w:noProof/>
                <w:color w:val="000000" w:themeColor="text1"/>
              </w:rPr>
              <w:t xml:space="preserve"> jobs created </w:t>
            </w:r>
            <w:r w:rsidR="009D6E27" w:rsidRPr="002B6C88">
              <w:rPr>
                <w:noProof/>
                <w:color w:val="000000" w:themeColor="text1"/>
              </w:rPr>
              <w:lastRenderedPageBreak/>
              <w:t>by the public procurement provisions, 32</w:t>
            </w:r>
            <w:r w:rsidR="00B8591D">
              <w:rPr>
                <w:noProof/>
                <w:color w:val="000000" w:themeColor="text1"/>
              </w:rPr>
              <w:t xml:space="preserve"> </w:t>
            </w:r>
            <w:r w:rsidR="009D6E27" w:rsidRPr="002B6C88">
              <w:rPr>
                <w:noProof/>
                <w:color w:val="000000" w:themeColor="text1"/>
              </w:rPr>
              <w:t>888 jobs by auctions, and 20</w:t>
            </w:r>
            <w:r w:rsidR="00B8591D">
              <w:rPr>
                <w:noProof/>
                <w:color w:val="000000" w:themeColor="text1"/>
              </w:rPr>
              <w:t xml:space="preserve"> </w:t>
            </w:r>
            <w:r w:rsidR="009D6E27" w:rsidRPr="002B6C88">
              <w:rPr>
                <w:noProof/>
                <w:color w:val="000000" w:themeColor="text1"/>
              </w:rPr>
              <w:t>771 jobs by public support schemes</w:t>
            </w:r>
            <w:r w:rsidR="42AA0B2E" w:rsidRPr="002B6C88">
              <w:rPr>
                <w:noProof/>
                <w:color w:val="000000" w:themeColor="text1"/>
              </w:rPr>
              <w:t>, with a total of 58</w:t>
            </w:r>
            <w:r w:rsidR="00B8591D">
              <w:rPr>
                <w:noProof/>
                <w:color w:val="000000" w:themeColor="text1"/>
              </w:rPr>
              <w:t xml:space="preserve"> </w:t>
            </w:r>
            <w:r w:rsidR="42AA0B2E" w:rsidRPr="002B6C88">
              <w:rPr>
                <w:noProof/>
                <w:color w:val="000000" w:themeColor="text1"/>
              </w:rPr>
              <w:t>852</w:t>
            </w:r>
            <w:r w:rsidR="0078147F" w:rsidRPr="002B6C88">
              <w:rPr>
                <w:noProof/>
                <w:color w:val="000000" w:themeColor="text1"/>
              </w:rPr>
              <w:t xml:space="preserve"> jobs</w:t>
            </w:r>
            <w:r w:rsidR="009D6E27" w:rsidRPr="002B6C88">
              <w:rPr>
                <w:noProof/>
                <w:color w:val="000000" w:themeColor="text1"/>
              </w:rPr>
              <w:t>.</w:t>
            </w:r>
          </w:p>
          <w:p w14:paraId="2EA91B03" w14:textId="0A6F4DC3" w:rsidR="00020031" w:rsidRPr="002B6C88" w:rsidRDefault="00020031" w:rsidP="000A154A">
            <w:pPr>
              <w:rPr>
                <w:rFonts w:eastAsia="Aptos"/>
                <w:noProof/>
              </w:rPr>
            </w:pPr>
            <w:r w:rsidRPr="002B6C88">
              <w:rPr>
                <w:rFonts w:eastAsia="Aptos"/>
                <w:noProof/>
              </w:rPr>
              <w:t>INV 2</w:t>
            </w:r>
            <w:r w:rsidR="00B54017" w:rsidRPr="002B6C88">
              <w:rPr>
                <w:rFonts w:eastAsia="Aptos"/>
                <w:noProof/>
              </w:rPr>
              <w:t xml:space="preserve"> -</w:t>
            </w:r>
            <w:r w:rsidRPr="002B6C88">
              <w:rPr>
                <w:rFonts w:eastAsia="Aptos"/>
                <w:noProof/>
              </w:rPr>
              <w:t xml:space="preserve"> Conditions on value added production (</w:t>
            </w:r>
            <w:r w:rsidRPr="002B6C88" w:rsidDel="00787D54">
              <w:rPr>
                <w:rFonts w:eastAsia="Aptos"/>
                <w:noProof/>
              </w:rPr>
              <w:t>R&amp;</w:t>
            </w:r>
            <w:r w:rsidR="00787D54" w:rsidRPr="002B6C88">
              <w:rPr>
                <w:rFonts w:eastAsia="Aptos"/>
                <w:noProof/>
              </w:rPr>
              <w:t>I</w:t>
            </w:r>
            <w:r w:rsidRPr="002B6C88">
              <w:rPr>
                <w:rFonts w:eastAsia="Aptos"/>
                <w:noProof/>
              </w:rPr>
              <w:t xml:space="preserve">, engineering, domestic processing and manufacturing) could lead to more EU quality jobs. Particularly, staffing requirements and social protection conditionalities could lead to more employment. </w:t>
            </w:r>
          </w:p>
          <w:p w14:paraId="2DC184E4" w14:textId="77777777" w:rsidR="00081D80" w:rsidRPr="002B6C88" w:rsidRDefault="00081D80" w:rsidP="000A154A">
            <w:pPr>
              <w:rPr>
                <w:rFonts w:eastAsia="Aptos"/>
                <w:noProof/>
              </w:rPr>
            </w:pPr>
          </w:p>
          <w:p w14:paraId="2E914343" w14:textId="2324823E" w:rsidR="00020031" w:rsidRPr="002B6C88" w:rsidRDefault="00186DB7" w:rsidP="000A154A">
            <w:pPr>
              <w:rPr>
                <w:rFonts w:eastAsia="Aptos"/>
                <w:noProof/>
              </w:rPr>
            </w:pPr>
            <w:r w:rsidRPr="002B6C88">
              <w:rPr>
                <w:rFonts w:eastAsia="Aptos"/>
                <w:b/>
                <w:noProof/>
              </w:rPr>
              <w:t>LEAD_VC 1</w:t>
            </w:r>
            <w:r w:rsidRPr="002B6C88">
              <w:rPr>
                <w:rFonts w:eastAsia="Aptos"/>
                <w:noProof/>
              </w:rPr>
              <w:t xml:space="preserve"> could stop, and possibly reverse, the trend of progressive job losses which has been materialising over the past years in the EU’s vehicle components supply chain.</w:t>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5CE26CD" w14:textId="159CDC11" w:rsidR="00020031" w:rsidRPr="002B6C88" w:rsidRDefault="00020031" w:rsidP="000A154A">
            <w:pPr>
              <w:rPr>
                <w:rFonts w:eastAsia="Aptos"/>
                <w:noProof/>
              </w:rPr>
            </w:pPr>
            <w:r w:rsidRPr="002B6C88">
              <w:rPr>
                <w:rFonts w:eastAsia="Aptos"/>
                <w:noProof/>
              </w:rPr>
              <w:lastRenderedPageBreak/>
              <w:t xml:space="preserve">The </w:t>
            </w:r>
            <w:r w:rsidR="00646A42" w:rsidRPr="002B6C88">
              <w:rPr>
                <w:rFonts w:eastAsia="Aptos"/>
                <w:noProof/>
              </w:rPr>
              <w:t>IAA</w:t>
            </w:r>
            <w:r w:rsidRPr="002B6C88">
              <w:rPr>
                <w:rFonts w:eastAsia="Aptos"/>
                <w:noProof/>
              </w:rPr>
              <w:t xml:space="preserve"> provisions will generally lead to new job creation in the industry field, plus upskilling and reskilling opportunities in relation to decarbonisation projects. </w:t>
            </w:r>
          </w:p>
        </w:tc>
      </w:tr>
      <w:tr w:rsidR="0011213E" w:rsidRPr="00F261DB" w14:paraId="722B9FB0" w14:textId="77777777" w:rsidTr="00264F89">
        <w:trPr>
          <w:trHeight w:val="300"/>
        </w:trPr>
        <w:tc>
          <w:tcPr>
            <w:tcW w:w="766" w:type="pct"/>
            <w:tcBorders>
              <w:top w:val="double" w:sz="4" w:space="0" w:color="auto"/>
              <w:left w:val="double" w:sz="4" w:space="0" w:color="auto"/>
              <w:bottom w:val="double" w:sz="4" w:space="0" w:color="auto"/>
              <w:right w:val="double" w:sz="4" w:space="0" w:color="auto"/>
            </w:tcBorders>
          </w:tcPr>
          <w:p w14:paraId="18F377BC" w14:textId="05144F7A" w:rsidR="00020031" w:rsidRPr="002B6C88" w:rsidRDefault="00020031" w:rsidP="000A154A">
            <w:pPr>
              <w:rPr>
                <w:rFonts w:eastAsia="Aptos"/>
                <w:noProof/>
              </w:rPr>
            </w:pPr>
            <w:r w:rsidRPr="002B6C88">
              <w:rPr>
                <w:rFonts w:eastAsia="Aptos"/>
                <w:noProof/>
              </w:rPr>
              <w:t xml:space="preserve">GHG </w:t>
            </w:r>
            <w:r w:rsidR="008951FF" w:rsidRPr="002B6C88">
              <w:rPr>
                <w:rFonts w:eastAsia="Aptos"/>
                <w:noProof/>
              </w:rPr>
              <w:t>e</w:t>
            </w:r>
            <w:r w:rsidRPr="002B6C88">
              <w:rPr>
                <w:rFonts w:eastAsia="Aptos"/>
                <w:noProof/>
              </w:rPr>
              <w:t>mission reductions</w:t>
            </w:r>
          </w:p>
        </w:tc>
        <w:tc>
          <w:tcPr>
            <w:tcW w:w="2399"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0E4D22E2" w14:textId="29EF96FD" w:rsidR="7FA1613C" w:rsidRPr="002B6C88" w:rsidRDefault="7FA1613C" w:rsidP="5D042B50">
            <w:pPr>
              <w:rPr>
                <w:noProof/>
                <w:color w:val="000000" w:themeColor="text1"/>
                <w:szCs w:val="20"/>
              </w:rPr>
            </w:pPr>
            <w:r w:rsidRPr="002B6C88">
              <w:rPr>
                <w:rFonts w:eastAsia="Aptos"/>
                <w:noProof/>
                <w:szCs w:val="20"/>
              </w:rPr>
              <w:t>LAB 2 – Low</w:t>
            </w:r>
            <w:r w:rsidR="00F42FCE">
              <w:rPr>
                <w:rFonts w:eastAsia="Aptos"/>
                <w:noProof/>
                <w:szCs w:val="20"/>
              </w:rPr>
              <w:t>-</w:t>
            </w:r>
            <w:r w:rsidRPr="002B6C88">
              <w:rPr>
                <w:rFonts w:eastAsia="Aptos"/>
                <w:noProof/>
                <w:szCs w:val="20"/>
              </w:rPr>
              <w:t xml:space="preserve">carbon steel label: </w:t>
            </w:r>
            <w:r w:rsidR="1C34B0F4" w:rsidRPr="002B6C88">
              <w:rPr>
                <w:rFonts w:eastAsia="Aptos"/>
                <w:noProof/>
                <w:szCs w:val="20"/>
              </w:rPr>
              <w:t xml:space="preserve">will </w:t>
            </w:r>
            <w:r w:rsidR="1C34B0F4" w:rsidRPr="002B6C88">
              <w:rPr>
                <w:noProof/>
                <w:color w:val="000000" w:themeColor="text1"/>
                <w:szCs w:val="20"/>
              </w:rPr>
              <w:t>support the decarbonisation of the (high emissions) steel industry, covering up to 78% of steel emissions</w:t>
            </w:r>
            <w:r w:rsidR="00650571" w:rsidRPr="002B6C88">
              <w:rPr>
                <w:noProof/>
                <w:color w:val="000000" w:themeColor="text1"/>
                <w:szCs w:val="20"/>
              </w:rPr>
              <w:t>.</w:t>
            </w:r>
          </w:p>
          <w:p w14:paraId="45FD54BD" w14:textId="77777777" w:rsidR="00650571" w:rsidRPr="002B6C88" w:rsidRDefault="00650571" w:rsidP="5D042B50">
            <w:pPr>
              <w:rPr>
                <w:noProof/>
                <w:szCs w:val="20"/>
              </w:rPr>
            </w:pPr>
          </w:p>
          <w:p w14:paraId="4F451C58" w14:textId="6F26FA3C" w:rsidR="00A26148" w:rsidRPr="002B6C88" w:rsidRDefault="780C06FD" w:rsidP="000A154A">
            <w:pPr>
              <w:rPr>
                <w:rFonts w:eastAsia="Aptos"/>
                <w:noProof/>
              </w:rPr>
            </w:pPr>
            <w:r w:rsidRPr="1FA04443">
              <w:rPr>
                <w:rFonts w:eastAsia="Aptos"/>
                <w:noProof/>
              </w:rPr>
              <w:t xml:space="preserve">LEAD_EII 2 </w:t>
            </w:r>
            <w:r w:rsidR="00F42FCE">
              <w:rPr>
                <w:rFonts w:eastAsia="Aptos"/>
                <w:noProof/>
              </w:rPr>
              <w:t>–</w:t>
            </w:r>
            <w:r w:rsidRPr="1FA04443">
              <w:rPr>
                <w:rFonts w:eastAsia="Aptos"/>
                <w:noProof/>
              </w:rPr>
              <w:t xml:space="preserve"> Low</w:t>
            </w:r>
            <w:r w:rsidR="00F42FCE">
              <w:rPr>
                <w:rFonts w:eastAsia="Aptos"/>
                <w:noProof/>
              </w:rPr>
              <w:t>-</w:t>
            </w:r>
            <w:r w:rsidRPr="1FA04443">
              <w:rPr>
                <w:rFonts w:eastAsia="Aptos"/>
                <w:noProof/>
              </w:rPr>
              <w:t xml:space="preserve">carbon &amp; </w:t>
            </w:r>
            <w:r w:rsidR="14D2B105" w:rsidRPr="1FA04443">
              <w:rPr>
                <w:rFonts w:eastAsia="Aptos"/>
                <w:noProof/>
              </w:rPr>
              <w:t>Made in EU</w:t>
            </w:r>
            <w:r w:rsidRPr="1FA04443">
              <w:rPr>
                <w:rFonts w:eastAsia="Aptos"/>
                <w:noProof/>
              </w:rPr>
              <w:t xml:space="preserve"> for EII products: Increased demand for low</w:t>
            </w:r>
            <w:r w:rsidR="00F42FCE">
              <w:rPr>
                <w:rFonts w:eastAsia="Aptos"/>
                <w:noProof/>
              </w:rPr>
              <w:t>-</w:t>
            </w:r>
            <w:r w:rsidRPr="1FA04443">
              <w:rPr>
                <w:rFonts w:eastAsia="Aptos"/>
                <w:noProof/>
              </w:rPr>
              <w:t xml:space="preserve">carbon products will lead to carbon emission reductions for EII industries. </w:t>
            </w:r>
            <w:r w:rsidR="17BD5A47" w:rsidRPr="1FA04443">
              <w:rPr>
                <w:rFonts w:eastAsia="Aptos"/>
                <w:noProof/>
              </w:rPr>
              <w:t>Assuming low-carbon targets for steel</w:t>
            </w:r>
            <w:r w:rsidR="0090550E">
              <w:rPr>
                <w:rFonts w:eastAsia="Aptos"/>
                <w:noProof/>
              </w:rPr>
              <w:t xml:space="preserve">, </w:t>
            </w:r>
            <w:r w:rsidR="17BD5A47" w:rsidRPr="1FA04443">
              <w:rPr>
                <w:rFonts w:eastAsia="Aptos"/>
                <w:noProof/>
              </w:rPr>
              <w:t xml:space="preserve">cement </w:t>
            </w:r>
            <w:r w:rsidR="0090550E">
              <w:rPr>
                <w:rFonts w:eastAsia="Aptos"/>
                <w:noProof/>
              </w:rPr>
              <w:t>and</w:t>
            </w:r>
            <w:r w:rsidR="17BD5A47" w:rsidRPr="1FA04443">
              <w:rPr>
                <w:rFonts w:eastAsia="Aptos"/>
                <w:noProof/>
              </w:rPr>
              <w:t xml:space="preserve"> can lead to</w:t>
            </w:r>
            <w:r w:rsidR="7F2BE1AA" w:rsidRPr="1FA04443">
              <w:rPr>
                <w:rFonts w:eastAsia="Aptos"/>
                <w:noProof/>
              </w:rPr>
              <w:t xml:space="preserve"> </w:t>
            </w:r>
            <w:r w:rsidR="7F2BE1AA" w:rsidRPr="0022778F">
              <w:rPr>
                <w:rFonts w:eastAsia="Aptos"/>
                <w:noProof/>
              </w:rPr>
              <w:t xml:space="preserve">GHG </w:t>
            </w:r>
            <w:r w:rsidR="2C18ADC8" w:rsidRPr="0022778F">
              <w:rPr>
                <w:rFonts w:eastAsia="Aptos"/>
                <w:noProof/>
              </w:rPr>
              <w:t xml:space="preserve">emission reductions of </w:t>
            </w:r>
            <w:r w:rsidR="00EC33B4" w:rsidRPr="0022778F">
              <w:rPr>
                <w:rFonts w:eastAsia="Aptos"/>
                <w:noProof/>
              </w:rPr>
              <w:t>4.</w:t>
            </w:r>
            <w:r w:rsidR="0062310C" w:rsidRPr="0022778F">
              <w:rPr>
                <w:rFonts w:eastAsia="Aptos"/>
                <w:noProof/>
              </w:rPr>
              <w:t>28</w:t>
            </w:r>
            <w:r w:rsidR="393FB8A7" w:rsidRPr="0022778F">
              <w:rPr>
                <w:rFonts w:eastAsia="Aptos"/>
                <w:noProof/>
              </w:rPr>
              <w:t xml:space="preserve"> Mtonnes</w:t>
            </w:r>
            <w:r w:rsidR="393FB8A7" w:rsidRPr="1FA04443">
              <w:rPr>
                <w:rFonts w:eastAsia="Aptos"/>
                <w:noProof/>
              </w:rPr>
              <w:t xml:space="preserve"> </w:t>
            </w:r>
            <w:r w:rsidR="1EDEC9B2" w:rsidRPr="1FA04443">
              <w:rPr>
                <w:rFonts w:eastAsia="Aptos"/>
                <w:noProof/>
              </w:rPr>
              <w:t>C</w:t>
            </w:r>
            <w:r w:rsidR="0B95D388" w:rsidRPr="1FA04443">
              <w:rPr>
                <w:rFonts w:eastAsia="Aptos"/>
                <w:noProof/>
              </w:rPr>
              <w:t>O</w:t>
            </w:r>
            <w:r w:rsidR="2C7C5EB1" w:rsidRPr="1FA04443">
              <w:rPr>
                <w:rFonts w:eastAsia="Aptos"/>
                <w:noProof/>
                <w:vertAlign w:val="subscript"/>
              </w:rPr>
              <w:t>2</w:t>
            </w:r>
            <w:r w:rsidR="6E5E05DF" w:rsidRPr="1FA04443">
              <w:rPr>
                <w:rFonts w:eastAsia="Aptos"/>
                <w:noProof/>
              </w:rPr>
              <w:t xml:space="preserve"> </w:t>
            </w:r>
            <w:r w:rsidR="00235EEA">
              <w:rPr>
                <w:rFonts w:eastAsia="Aptos"/>
                <w:noProof/>
              </w:rPr>
              <w:t>in</w:t>
            </w:r>
            <w:r w:rsidR="00235EEA" w:rsidRPr="1FA04443">
              <w:rPr>
                <w:rFonts w:eastAsia="Aptos"/>
                <w:noProof/>
              </w:rPr>
              <w:t xml:space="preserve"> </w:t>
            </w:r>
            <w:r w:rsidR="02428F74" w:rsidRPr="1FA04443">
              <w:rPr>
                <w:rFonts w:eastAsia="Aptos"/>
                <w:noProof/>
              </w:rPr>
              <w:t xml:space="preserve">2030, with a monetary value of around </w:t>
            </w:r>
            <w:bookmarkStart w:id="205" w:name="_Hlk211181633"/>
            <w:r w:rsidR="02428F74" w:rsidRPr="0022778F">
              <w:rPr>
                <w:rFonts w:eastAsia="Aptos"/>
                <w:noProof/>
              </w:rPr>
              <w:t xml:space="preserve">EUR </w:t>
            </w:r>
            <w:bookmarkEnd w:id="205"/>
            <w:r w:rsidR="0062310C" w:rsidRPr="0022778F">
              <w:rPr>
                <w:rFonts w:eastAsia="Aptos"/>
                <w:noProof/>
              </w:rPr>
              <w:t>428</w:t>
            </w:r>
            <w:r w:rsidR="624BEE76" w:rsidRPr="0022778F">
              <w:rPr>
                <w:rFonts w:eastAsia="Aptos"/>
                <w:noProof/>
              </w:rPr>
              <w:t xml:space="preserve"> </w:t>
            </w:r>
            <w:r w:rsidR="0090550E" w:rsidRPr="0022778F">
              <w:rPr>
                <w:rFonts w:eastAsia="Aptos"/>
                <w:noProof/>
              </w:rPr>
              <w:t>million</w:t>
            </w:r>
            <w:r w:rsidR="00235EEA" w:rsidRPr="0022778F">
              <w:rPr>
                <w:rFonts w:eastAsia="Aptos"/>
                <w:noProof/>
              </w:rPr>
              <w:t xml:space="preserve"> per year</w:t>
            </w:r>
            <w:r w:rsidR="0090550E" w:rsidRPr="0022778F">
              <w:rPr>
                <w:rFonts w:eastAsia="Aptos"/>
                <w:noProof/>
              </w:rPr>
              <w:t>.</w:t>
            </w:r>
            <w:r w:rsidR="35C46244" w:rsidRPr="1FA04443">
              <w:rPr>
                <w:rFonts w:eastAsia="Aptos"/>
                <w:noProof/>
              </w:rPr>
              <w:t xml:space="preserve"> </w:t>
            </w:r>
          </w:p>
          <w:p w14:paraId="3078EF38" w14:textId="77777777" w:rsidR="00A26148" w:rsidRPr="002B6C88" w:rsidRDefault="00A26148" w:rsidP="00A26148">
            <w:pPr>
              <w:rPr>
                <w:noProof/>
                <w:color w:val="000000" w:themeColor="text1"/>
              </w:rPr>
            </w:pPr>
          </w:p>
          <w:p w14:paraId="682B46EB" w14:textId="20FE141A" w:rsidR="00402203" w:rsidRPr="002B6C88" w:rsidRDefault="780C06FD" w:rsidP="000A154A">
            <w:pPr>
              <w:rPr>
                <w:noProof/>
                <w:color w:val="000000" w:themeColor="text1"/>
              </w:rPr>
            </w:pPr>
            <w:r w:rsidRPr="3C1B0927">
              <w:rPr>
                <w:noProof/>
                <w:color w:val="000000" w:themeColor="text1"/>
              </w:rPr>
              <w:t>LEAD</w:t>
            </w:r>
            <w:r w:rsidR="7BE7A9A0" w:rsidRPr="3C1B0927">
              <w:rPr>
                <w:noProof/>
                <w:color w:val="000000" w:themeColor="text1"/>
              </w:rPr>
              <w:t>_</w:t>
            </w:r>
            <w:r w:rsidRPr="3C1B0927">
              <w:rPr>
                <w:noProof/>
                <w:color w:val="000000" w:themeColor="text1"/>
              </w:rPr>
              <w:t>BAT 1 - EU-made batteries emit ~25% less CO₂ than Chinese-made ones (based on average grid). Reductions extend across the upstream value chain</w:t>
            </w:r>
            <w:r w:rsidR="1A44D558" w:rsidRPr="3C1B0927">
              <w:rPr>
                <w:noProof/>
                <w:color w:val="000000" w:themeColor="text1"/>
              </w:rPr>
              <w:t xml:space="preserve"> and so boosting domestic supply chains create environment and climate benefits</w:t>
            </w:r>
            <w:r w:rsidR="31B076F5" w:rsidRPr="3C1B0927">
              <w:rPr>
                <w:noProof/>
                <w:color w:val="000000" w:themeColor="text1"/>
              </w:rPr>
              <w:t>.</w:t>
            </w:r>
            <w:r w:rsidR="7921E776" w:rsidRPr="3C1B0927">
              <w:rPr>
                <w:noProof/>
                <w:color w:val="000000" w:themeColor="text1"/>
              </w:rPr>
              <w:t xml:space="preserve"> This </w:t>
            </w:r>
            <w:r w:rsidR="0117CEA1" w:rsidRPr="3C1B0927">
              <w:rPr>
                <w:noProof/>
                <w:color w:val="000000" w:themeColor="text1"/>
              </w:rPr>
              <w:t xml:space="preserve">could lead </w:t>
            </w:r>
            <w:r w:rsidR="0117CEA1" w:rsidRPr="3C1B0927">
              <w:rPr>
                <w:rFonts w:eastAsia="Aptos"/>
                <w:noProof/>
              </w:rPr>
              <w:t>to GHG emission reductions of</w:t>
            </w:r>
            <w:r w:rsidR="0117CEA1" w:rsidRPr="3C1B0927">
              <w:rPr>
                <w:noProof/>
                <w:color w:val="000000" w:themeColor="text1"/>
              </w:rPr>
              <w:t xml:space="preserve"> </w:t>
            </w:r>
            <w:r w:rsidR="242B7D47" w:rsidRPr="3C1B0927">
              <w:rPr>
                <w:noProof/>
                <w:color w:val="000000" w:themeColor="text1"/>
              </w:rPr>
              <w:t>25.</w:t>
            </w:r>
            <w:r w:rsidR="57E3A024" w:rsidRPr="3C1B0927">
              <w:rPr>
                <w:noProof/>
                <w:color w:val="000000" w:themeColor="text1"/>
              </w:rPr>
              <w:t>6</w:t>
            </w:r>
            <w:r w:rsidR="393FB8A7" w:rsidRPr="3C1B0927">
              <w:rPr>
                <w:noProof/>
                <w:color w:val="000000" w:themeColor="text1"/>
              </w:rPr>
              <w:t xml:space="preserve"> Mtonnes </w:t>
            </w:r>
            <w:r w:rsidR="0117CEA1" w:rsidRPr="3C1B0927">
              <w:rPr>
                <w:noProof/>
                <w:color w:val="000000" w:themeColor="text1"/>
              </w:rPr>
              <w:t>CO</w:t>
            </w:r>
            <w:r w:rsidR="0117CEA1" w:rsidRPr="3C1B0927">
              <w:rPr>
                <w:noProof/>
                <w:color w:val="000000" w:themeColor="text1"/>
                <w:vertAlign w:val="subscript"/>
              </w:rPr>
              <w:t>2</w:t>
            </w:r>
            <w:r w:rsidR="0117CEA1" w:rsidRPr="3C1B0927">
              <w:rPr>
                <w:noProof/>
                <w:color w:val="000000" w:themeColor="text1"/>
              </w:rPr>
              <w:t xml:space="preserve">eq in 2030, </w:t>
            </w:r>
            <w:r w:rsidR="421D4550" w:rsidRPr="3C1B0927">
              <w:rPr>
                <w:noProof/>
                <w:color w:val="000000" w:themeColor="text1"/>
              </w:rPr>
              <w:t xml:space="preserve">with a monetary value of </w:t>
            </w:r>
            <w:r w:rsidR="0EC3FF15" w:rsidRPr="3C1B0927">
              <w:rPr>
                <w:noProof/>
                <w:color w:val="000000" w:themeColor="text1"/>
              </w:rPr>
              <w:t xml:space="preserve">EUR </w:t>
            </w:r>
            <w:r w:rsidR="599DE85E" w:rsidRPr="3C1B0927">
              <w:rPr>
                <w:noProof/>
                <w:color w:val="000000" w:themeColor="text1"/>
              </w:rPr>
              <w:t>2</w:t>
            </w:r>
            <w:r w:rsidR="00B573E4">
              <w:rPr>
                <w:noProof/>
                <w:color w:val="000000" w:themeColor="text1"/>
              </w:rPr>
              <w:t xml:space="preserve"> </w:t>
            </w:r>
            <w:r w:rsidR="4304B171" w:rsidRPr="3C1B0927">
              <w:rPr>
                <w:noProof/>
                <w:color w:val="000000" w:themeColor="text1"/>
              </w:rPr>
              <w:t>5</w:t>
            </w:r>
            <w:r w:rsidR="521472B4" w:rsidRPr="3C1B0927">
              <w:rPr>
                <w:noProof/>
                <w:color w:val="000000" w:themeColor="text1"/>
              </w:rPr>
              <w:t>6</w:t>
            </w:r>
            <w:r w:rsidR="00B573E4">
              <w:rPr>
                <w:noProof/>
                <w:color w:val="000000" w:themeColor="text1"/>
              </w:rPr>
              <w:t>0</w:t>
            </w:r>
            <w:r w:rsidR="0EC3FF15" w:rsidRPr="3C1B0927">
              <w:rPr>
                <w:noProof/>
                <w:color w:val="000000" w:themeColor="text1"/>
              </w:rPr>
              <w:t xml:space="preserve"> </w:t>
            </w:r>
            <w:r w:rsidR="00B573E4">
              <w:rPr>
                <w:noProof/>
                <w:color w:val="000000" w:themeColor="text1"/>
              </w:rPr>
              <w:t>m</w:t>
            </w:r>
            <w:r w:rsidR="0EC3FF15" w:rsidRPr="3C1B0927">
              <w:rPr>
                <w:noProof/>
                <w:color w:val="000000" w:themeColor="text1"/>
              </w:rPr>
              <w:t xml:space="preserve">illion. </w:t>
            </w:r>
          </w:p>
          <w:p w14:paraId="4D78EA63" w14:textId="77777777" w:rsidR="00650571" w:rsidRPr="002B6C88" w:rsidRDefault="00650571" w:rsidP="000A154A">
            <w:pPr>
              <w:rPr>
                <w:noProof/>
                <w:color w:val="000000" w:themeColor="text1"/>
              </w:rPr>
            </w:pPr>
          </w:p>
          <w:p w14:paraId="472E92A9" w14:textId="2EBFA251" w:rsidR="00020031" w:rsidRPr="002B6C88" w:rsidRDefault="00020031" w:rsidP="000A154A">
            <w:pPr>
              <w:rPr>
                <w:rFonts w:eastAsia="Aptos"/>
                <w:noProof/>
                <w:color w:val="000000" w:themeColor="text1"/>
              </w:rPr>
            </w:pPr>
            <w:r w:rsidRPr="002B6C88">
              <w:rPr>
                <w:rFonts w:eastAsia="Aptos"/>
                <w:noProof/>
              </w:rPr>
              <w:t xml:space="preserve"> LEAD</w:t>
            </w:r>
            <w:r w:rsidR="007D08AB">
              <w:rPr>
                <w:rFonts w:eastAsia="Aptos"/>
                <w:noProof/>
              </w:rPr>
              <w:t>_</w:t>
            </w:r>
            <w:r w:rsidRPr="002B6C88">
              <w:rPr>
                <w:rFonts w:eastAsia="Aptos"/>
                <w:noProof/>
              </w:rPr>
              <w:t xml:space="preserve">SOL 1 – </w:t>
            </w:r>
            <w:r w:rsidR="00BD765B" w:rsidRPr="002B6C88">
              <w:rPr>
                <w:rFonts w:eastAsia="Aptos"/>
                <w:noProof/>
              </w:rPr>
              <w:t>Solar</w:t>
            </w:r>
            <w:r w:rsidRPr="002B6C88">
              <w:rPr>
                <w:rFonts w:eastAsia="Aptos"/>
                <w:noProof/>
              </w:rPr>
              <w:t xml:space="preserve"> PV</w:t>
            </w:r>
            <w:r w:rsidR="00807628" w:rsidRPr="002B6C88">
              <w:rPr>
                <w:rFonts w:eastAsia="Aptos"/>
                <w:noProof/>
              </w:rPr>
              <w:t xml:space="preserve"> </w:t>
            </w:r>
            <w:r w:rsidRPr="002B6C88">
              <w:rPr>
                <w:rFonts w:eastAsia="Aptos"/>
                <w:noProof/>
              </w:rPr>
              <w:t>s</w:t>
            </w:r>
            <w:r w:rsidR="00807628" w:rsidRPr="002B6C88">
              <w:rPr>
                <w:rFonts w:eastAsia="Aptos"/>
                <w:noProof/>
              </w:rPr>
              <w:t>ystems</w:t>
            </w:r>
            <w:r w:rsidRPr="002B6C88">
              <w:rPr>
                <w:rFonts w:eastAsia="Aptos"/>
                <w:noProof/>
              </w:rPr>
              <w:t xml:space="preserve"> produced in EU </w:t>
            </w:r>
            <w:r w:rsidRPr="002B6C88">
              <w:rPr>
                <w:noProof/>
                <w:color w:val="000000" w:themeColor="text1"/>
              </w:rPr>
              <w:t>must comply with strict environmental standards throughout their entire life cycle, including requirements on carbon footprint, which will have a positive environmental effect.</w:t>
            </w:r>
          </w:p>
          <w:p w14:paraId="578615C8" w14:textId="77777777" w:rsidR="006945F4" w:rsidRPr="002B6C88" w:rsidRDefault="006945F4" w:rsidP="000A154A">
            <w:pPr>
              <w:rPr>
                <w:rFonts w:eastAsia="Aptos"/>
                <w:noProof/>
                <w:color w:val="000000" w:themeColor="text1"/>
              </w:rPr>
            </w:pPr>
          </w:p>
          <w:p w14:paraId="60BD42FF" w14:textId="20D66CA2" w:rsidR="00020031" w:rsidRPr="002B6C88" w:rsidRDefault="7993616A" w:rsidP="000A154A">
            <w:pPr>
              <w:rPr>
                <w:rFonts w:eastAsia="Aptos"/>
                <w:noProof/>
              </w:rPr>
            </w:pPr>
            <w:r w:rsidRPr="3C1B0927">
              <w:rPr>
                <w:rFonts w:eastAsia="Aptos"/>
                <w:noProof/>
                <w:color w:val="000000" w:themeColor="text1"/>
              </w:rPr>
              <w:t xml:space="preserve">LEAD_VC 1- </w:t>
            </w:r>
            <w:r w:rsidR="50243E2C">
              <w:rPr>
                <w:noProof/>
              </w:rPr>
              <w:t xml:space="preserve">In </w:t>
            </w:r>
            <w:r w:rsidR="1593F4CD">
              <w:rPr>
                <w:noProof/>
              </w:rPr>
              <w:t>the</w:t>
            </w:r>
            <w:r w:rsidR="2B493CA7">
              <w:rPr>
                <w:noProof/>
              </w:rPr>
              <w:t xml:space="preserve"> </w:t>
            </w:r>
            <w:r w:rsidR="1593F4CD">
              <w:rPr>
                <w:noProof/>
              </w:rPr>
              <w:t>“</w:t>
            </w:r>
            <w:r w:rsidR="1593F4CD" w:rsidRPr="3C1B0927">
              <w:rPr>
                <w:i/>
                <w:iCs/>
                <w:noProof/>
              </w:rPr>
              <w:t>Internal market reaction</w:t>
            </w:r>
            <w:r w:rsidR="1593F4CD">
              <w:rPr>
                <w:noProof/>
              </w:rPr>
              <w:t>” scenario</w:t>
            </w:r>
            <w:r w:rsidR="50243E2C">
              <w:rPr>
                <w:noProof/>
              </w:rPr>
              <w:t xml:space="preserve"> of the presented analysis, global </w:t>
            </w:r>
            <w:r w:rsidR="0672C6A9">
              <w:rPr>
                <w:noProof/>
              </w:rPr>
              <w:t>GHG</w:t>
            </w:r>
            <w:r w:rsidR="50243E2C">
              <w:rPr>
                <w:noProof/>
              </w:rPr>
              <w:t xml:space="preserve"> emissions from vehicle manufacturing decrease by 0.5</w:t>
            </w:r>
            <w:r w:rsidR="393FB8A7">
              <w:rPr>
                <w:noProof/>
              </w:rPr>
              <w:t xml:space="preserve"> Mtonnes </w:t>
            </w:r>
            <w:r w:rsidR="50243E2C">
              <w:rPr>
                <w:noProof/>
              </w:rPr>
              <w:t>CO</w:t>
            </w:r>
            <w:r w:rsidR="50243E2C" w:rsidRPr="3C1B0927">
              <w:rPr>
                <w:noProof/>
                <w:vertAlign w:val="subscript"/>
              </w:rPr>
              <w:t>2</w:t>
            </w:r>
            <w:r w:rsidR="50243E2C">
              <w:rPr>
                <w:noProof/>
              </w:rPr>
              <w:t>e in 2027 and by 0.6</w:t>
            </w:r>
            <w:r w:rsidR="393FB8A7">
              <w:rPr>
                <w:noProof/>
              </w:rPr>
              <w:t xml:space="preserve"> Mtonnes </w:t>
            </w:r>
            <w:r w:rsidR="50243E2C">
              <w:rPr>
                <w:noProof/>
              </w:rPr>
              <w:t>in 2030 due to shifts in production; they further decline by 0.1</w:t>
            </w:r>
            <w:r w:rsidR="393FB8A7">
              <w:rPr>
                <w:noProof/>
              </w:rPr>
              <w:t xml:space="preserve"> Mtonnes </w:t>
            </w:r>
            <w:r w:rsidR="50243E2C">
              <w:rPr>
                <w:noProof/>
              </w:rPr>
              <w:t>due to reductions in international transport associated with EU imports</w:t>
            </w:r>
            <w:r w:rsidR="3D98FD98">
              <w:rPr>
                <w:noProof/>
              </w:rPr>
              <w:t>, with a total monetary value of EUR 70 million</w:t>
            </w:r>
            <w:r w:rsidR="2B493CA7">
              <w:rPr>
                <w:noProof/>
              </w:rPr>
              <w:t>.</w:t>
            </w:r>
            <w:r w:rsidR="50243E2C">
              <w:rPr>
                <w:noProof/>
              </w:rPr>
              <w:t xml:space="preserve"> </w:t>
            </w:r>
          </w:p>
        </w:tc>
        <w:tc>
          <w:tcPr>
            <w:tcW w:w="1835" w:type="pc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69475F9B" w14:textId="5B8D9C07" w:rsidR="00020031" w:rsidRPr="002B6C88" w:rsidRDefault="00020031" w:rsidP="000A154A">
            <w:pPr>
              <w:rPr>
                <w:rFonts w:eastAsia="Aptos"/>
                <w:noProof/>
              </w:rPr>
            </w:pPr>
            <w:r w:rsidRPr="002B6C88">
              <w:rPr>
                <w:rFonts w:eastAsia="Aptos"/>
                <w:noProof/>
              </w:rPr>
              <w:t xml:space="preserve">Indirect positive effect on society at large by reducing industrial carbon emissions, with energy intensive industries accounting for almost 20% of industrial GHG emissions in the EU. </w:t>
            </w:r>
          </w:p>
        </w:tc>
      </w:tr>
    </w:tbl>
    <w:p w14:paraId="126D983A" w14:textId="7CC3DF35" w:rsidR="00B33328" w:rsidRPr="00F261DB" w:rsidRDefault="00BA5D9B" w:rsidP="3C1B0927">
      <w:pPr>
        <w:rPr>
          <w:rFonts w:eastAsia="Aptos"/>
          <w:i/>
          <w:iCs/>
          <w:noProof/>
          <w:sz w:val="20"/>
          <w:szCs w:val="20"/>
        </w:rPr>
      </w:pPr>
      <w:r w:rsidRPr="3C1B0927">
        <w:rPr>
          <w:rFonts w:eastAsia="Aptos"/>
          <w:i/>
          <w:iCs/>
          <w:noProof/>
          <w:sz w:val="20"/>
          <w:szCs w:val="20"/>
        </w:rPr>
        <w:br w:type="page"/>
      </w:r>
    </w:p>
    <w:p w14:paraId="271BC7FA" w14:textId="1FF400A1" w:rsidR="00B33328" w:rsidRPr="00F261DB" w:rsidDel="00BA5D9B" w:rsidRDefault="00B33328" w:rsidP="3C1B0927">
      <w:pPr>
        <w:spacing w:after="240"/>
        <w:contextualSpacing/>
        <w:rPr>
          <w:rFonts w:eastAsia="Aptos"/>
          <w:i/>
          <w:iCs/>
          <w:noProof/>
          <w:sz w:val="20"/>
          <w:szCs w:val="20"/>
        </w:rPr>
      </w:pPr>
    </w:p>
    <w:tbl>
      <w:tblPr>
        <w:tblpPr w:leftFromText="180" w:rightFromText="180" w:vertAnchor="text" w:tblpY="1"/>
        <w:tblOverlap w:val="never"/>
        <w:tblW w:w="5000" w:type="pct"/>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1249"/>
        <w:gridCol w:w="1412"/>
        <w:gridCol w:w="1878"/>
        <w:gridCol w:w="1666"/>
        <w:gridCol w:w="2050"/>
        <w:gridCol w:w="2640"/>
        <w:gridCol w:w="1861"/>
        <w:gridCol w:w="2011"/>
      </w:tblGrid>
      <w:tr w:rsidR="7DC08AA4" w:rsidRPr="00F261DB" w14:paraId="2344E2D5" w14:textId="77777777" w:rsidTr="7ECD02B7">
        <w:trPr>
          <w:trHeight w:val="300"/>
          <w:tblHeader/>
        </w:trPr>
        <w:tc>
          <w:tcPr>
            <w:tcW w:w="5000" w:type="pct"/>
            <w:gridSpan w:val="8"/>
            <w:tcBorders>
              <w:top w:val="double" w:sz="6" w:space="0" w:color="auto"/>
              <w:left w:val="double" w:sz="6" w:space="0" w:color="auto"/>
              <w:bottom w:val="single" w:sz="6" w:space="0" w:color="auto"/>
            </w:tcBorders>
            <w:shd w:val="clear" w:color="auto" w:fill="A5C9EB" w:themeFill="text2" w:themeFillTint="40"/>
            <w:vAlign w:val="center"/>
          </w:tcPr>
          <w:p w14:paraId="38C6B821" w14:textId="5A16BBFF" w:rsidR="7DC08AA4" w:rsidRPr="00FF63D1" w:rsidRDefault="54CBB448">
            <w:pPr>
              <w:spacing w:after="240"/>
              <w:contextualSpacing/>
              <w:jc w:val="left"/>
              <w:rPr>
                <w:noProof/>
                <w:sz w:val="20"/>
              </w:rPr>
            </w:pPr>
            <w:r w:rsidRPr="1A2A8689">
              <w:rPr>
                <w:rFonts w:eastAsia="Aptos"/>
                <w:b/>
                <w:bCs/>
                <w:noProof/>
                <w:sz w:val="20"/>
                <w:szCs w:val="20"/>
              </w:rPr>
              <w:t>II. Overview of costs – Preferred option</w:t>
            </w:r>
            <w:r w:rsidRPr="4EAE5FAC">
              <w:rPr>
                <w:noProof/>
                <w:sz w:val="20"/>
                <w:szCs w:val="20"/>
              </w:rPr>
              <w:t> </w:t>
            </w:r>
            <w:r w:rsidR="00C8690B" w:rsidRPr="1A2A8689">
              <w:rPr>
                <w:rStyle w:val="FootnoteReference"/>
                <w:noProof/>
                <w:sz w:val="20"/>
                <w:szCs w:val="20"/>
              </w:rPr>
              <w:footnoteReference w:id="250"/>
            </w:r>
          </w:p>
        </w:tc>
      </w:tr>
      <w:tr w:rsidR="00147D8A" w:rsidRPr="00F261DB" w14:paraId="1996FE2B" w14:textId="77777777" w:rsidTr="7ECD02B7">
        <w:trPr>
          <w:trHeight w:val="300"/>
          <w:tblHeader/>
        </w:trPr>
        <w:tc>
          <w:tcPr>
            <w:tcW w:w="423" w:type="pct"/>
            <w:vMerge w:val="restart"/>
            <w:tcBorders>
              <w:top w:val="single" w:sz="6" w:space="0" w:color="auto"/>
              <w:left w:val="double" w:sz="6" w:space="0" w:color="auto"/>
              <w:bottom w:val="single" w:sz="6" w:space="0" w:color="auto"/>
              <w:right w:val="single" w:sz="6" w:space="0" w:color="auto"/>
            </w:tcBorders>
            <w:vAlign w:val="center"/>
          </w:tcPr>
          <w:p w14:paraId="2B50F2C4" w14:textId="7B871989" w:rsidR="62D9D027" w:rsidRPr="00FF63D1" w:rsidRDefault="67B2DF3F">
            <w:pPr>
              <w:jc w:val="left"/>
              <w:rPr>
                <w:noProof/>
                <w:sz w:val="20"/>
              </w:rPr>
            </w:pPr>
            <w:r w:rsidRPr="00FF63D1">
              <w:rPr>
                <w:noProof/>
                <w:sz w:val="20"/>
              </w:rPr>
              <w:t>SO</w:t>
            </w:r>
          </w:p>
        </w:tc>
        <w:tc>
          <w:tcPr>
            <w:tcW w:w="478" w:type="pct"/>
            <w:vMerge w:val="restart"/>
            <w:tcBorders>
              <w:top w:val="single" w:sz="6" w:space="0" w:color="auto"/>
              <w:left w:val="double" w:sz="6" w:space="0" w:color="auto"/>
              <w:bottom w:val="single" w:sz="6" w:space="0" w:color="auto"/>
              <w:right w:val="single" w:sz="6" w:space="0" w:color="auto"/>
            </w:tcBorders>
            <w:vAlign w:val="center"/>
          </w:tcPr>
          <w:p w14:paraId="62D9F514" w14:textId="1F987CF1" w:rsidR="7DC08AA4" w:rsidRPr="00FF63D1" w:rsidRDefault="7DC08AA4">
            <w:pPr>
              <w:spacing w:after="240"/>
              <w:contextualSpacing/>
              <w:jc w:val="left"/>
              <w:rPr>
                <w:noProof/>
                <w:sz w:val="20"/>
              </w:rPr>
            </w:pPr>
            <w:r w:rsidRPr="00FF63D1">
              <w:rPr>
                <w:noProof/>
                <w:sz w:val="20"/>
              </w:rPr>
              <w:t> </w:t>
            </w:r>
            <w:r w:rsidR="7C842C7A" w:rsidRPr="00FF63D1">
              <w:rPr>
                <w:noProof/>
                <w:sz w:val="20"/>
              </w:rPr>
              <w:t>Cost Type</w:t>
            </w:r>
          </w:p>
        </w:tc>
        <w:tc>
          <w:tcPr>
            <w:tcW w:w="1200" w:type="pct"/>
            <w:gridSpan w:val="2"/>
            <w:tcBorders>
              <w:top w:val="single" w:sz="6" w:space="0" w:color="auto"/>
              <w:left w:val="double" w:sz="6" w:space="0" w:color="auto"/>
              <w:bottom w:val="double" w:sz="6" w:space="0" w:color="auto"/>
              <w:right w:val="single" w:sz="6" w:space="0" w:color="auto"/>
            </w:tcBorders>
            <w:vAlign w:val="center"/>
          </w:tcPr>
          <w:p w14:paraId="5A342D87" w14:textId="77777777" w:rsidR="7DC08AA4" w:rsidRPr="00FF63D1" w:rsidRDefault="7DC08AA4">
            <w:pPr>
              <w:spacing w:after="240"/>
              <w:contextualSpacing/>
              <w:jc w:val="left"/>
              <w:rPr>
                <w:noProof/>
                <w:sz w:val="20"/>
              </w:rPr>
            </w:pPr>
            <w:r w:rsidRPr="00F261DB">
              <w:rPr>
                <w:rFonts w:eastAsia="Aptos"/>
                <w:b/>
                <w:noProof/>
                <w:sz w:val="20"/>
                <w:szCs w:val="20"/>
              </w:rPr>
              <w:t>Citizens/Consumers</w:t>
            </w:r>
            <w:r w:rsidRPr="00FF63D1">
              <w:rPr>
                <w:noProof/>
                <w:sz w:val="20"/>
              </w:rPr>
              <w:t> </w:t>
            </w:r>
          </w:p>
        </w:tc>
        <w:tc>
          <w:tcPr>
            <w:tcW w:w="1587" w:type="pct"/>
            <w:gridSpan w:val="2"/>
            <w:tcBorders>
              <w:top w:val="single" w:sz="6" w:space="0" w:color="auto"/>
              <w:left w:val="single" w:sz="6" w:space="0" w:color="auto"/>
              <w:bottom w:val="double" w:sz="6" w:space="0" w:color="auto"/>
              <w:right w:val="single" w:sz="6" w:space="0" w:color="auto"/>
            </w:tcBorders>
            <w:vAlign w:val="center"/>
          </w:tcPr>
          <w:p w14:paraId="18001608" w14:textId="77777777" w:rsidR="7DC08AA4" w:rsidRPr="00FF63D1" w:rsidRDefault="7DC08AA4">
            <w:pPr>
              <w:spacing w:after="240"/>
              <w:contextualSpacing/>
              <w:jc w:val="left"/>
              <w:rPr>
                <w:noProof/>
                <w:sz w:val="20"/>
              </w:rPr>
            </w:pPr>
            <w:r w:rsidRPr="00F261DB">
              <w:rPr>
                <w:rFonts w:eastAsia="Aptos"/>
                <w:b/>
                <w:noProof/>
                <w:sz w:val="20"/>
                <w:szCs w:val="20"/>
              </w:rPr>
              <w:t>Businesses</w:t>
            </w:r>
            <w:r w:rsidRPr="00FF63D1">
              <w:rPr>
                <w:noProof/>
                <w:sz w:val="20"/>
              </w:rPr>
              <w:t> </w:t>
            </w:r>
          </w:p>
        </w:tc>
        <w:tc>
          <w:tcPr>
            <w:tcW w:w="1312" w:type="pct"/>
            <w:gridSpan w:val="2"/>
            <w:tcBorders>
              <w:top w:val="single" w:sz="6" w:space="0" w:color="auto"/>
              <w:left w:val="single" w:sz="6" w:space="0" w:color="auto"/>
              <w:bottom w:val="double" w:sz="6" w:space="0" w:color="auto"/>
              <w:right w:val="double" w:sz="6" w:space="0" w:color="auto"/>
            </w:tcBorders>
            <w:vAlign w:val="center"/>
          </w:tcPr>
          <w:p w14:paraId="4E6510B8" w14:textId="77777777" w:rsidR="7DC08AA4" w:rsidRPr="00FF63D1" w:rsidRDefault="7DC08AA4">
            <w:pPr>
              <w:spacing w:after="240"/>
              <w:contextualSpacing/>
              <w:jc w:val="left"/>
              <w:rPr>
                <w:noProof/>
                <w:sz w:val="20"/>
              </w:rPr>
            </w:pPr>
            <w:r w:rsidRPr="00F261DB">
              <w:rPr>
                <w:rFonts w:eastAsia="Aptos"/>
                <w:b/>
                <w:noProof/>
                <w:sz w:val="20"/>
                <w:szCs w:val="20"/>
              </w:rPr>
              <w:t>Administrations (MS/COM)</w:t>
            </w:r>
            <w:r w:rsidRPr="00FF63D1">
              <w:rPr>
                <w:noProof/>
                <w:sz w:val="20"/>
              </w:rPr>
              <w:t> </w:t>
            </w:r>
          </w:p>
        </w:tc>
      </w:tr>
      <w:tr w:rsidR="00147D8A" w:rsidRPr="00F261DB" w14:paraId="7B720E32" w14:textId="77777777" w:rsidTr="7ECD02B7">
        <w:trPr>
          <w:trHeight w:val="300"/>
          <w:tblHeader/>
        </w:trPr>
        <w:tc>
          <w:tcPr>
            <w:tcW w:w="423" w:type="pct"/>
            <w:vMerge/>
          </w:tcPr>
          <w:p w14:paraId="34BDD9FD" w14:textId="77777777" w:rsidR="006B52DB" w:rsidRPr="00F261DB" w:rsidRDefault="006B52DB">
            <w:pPr>
              <w:rPr>
                <w:noProof/>
              </w:rPr>
            </w:pPr>
          </w:p>
        </w:tc>
        <w:tc>
          <w:tcPr>
            <w:tcW w:w="478" w:type="pct"/>
            <w:vMerge/>
          </w:tcPr>
          <w:p w14:paraId="14F6B750" w14:textId="77777777" w:rsidR="006B52DB" w:rsidRPr="00F261DB" w:rsidRDefault="006B52DB">
            <w:pPr>
              <w:rPr>
                <w:noProof/>
              </w:rPr>
            </w:pPr>
          </w:p>
        </w:tc>
        <w:tc>
          <w:tcPr>
            <w:tcW w:w="636" w:type="pct"/>
            <w:tcBorders>
              <w:top w:val="single" w:sz="6" w:space="0" w:color="auto"/>
              <w:left w:val="double" w:sz="6" w:space="0" w:color="auto"/>
              <w:bottom w:val="double" w:sz="6" w:space="0" w:color="auto"/>
              <w:right w:val="single" w:sz="6" w:space="0" w:color="auto"/>
            </w:tcBorders>
            <w:vAlign w:val="center"/>
          </w:tcPr>
          <w:p w14:paraId="0AC919E2" w14:textId="77777777" w:rsidR="7DC08AA4" w:rsidRPr="00FF63D1" w:rsidRDefault="7DC08AA4">
            <w:pPr>
              <w:spacing w:after="240"/>
              <w:contextualSpacing/>
              <w:jc w:val="left"/>
              <w:rPr>
                <w:noProof/>
                <w:sz w:val="20"/>
              </w:rPr>
            </w:pPr>
            <w:r w:rsidRPr="00F261DB">
              <w:rPr>
                <w:rFonts w:eastAsia="Aptos"/>
                <w:b/>
                <w:noProof/>
                <w:sz w:val="20"/>
                <w:szCs w:val="20"/>
              </w:rPr>
              <w:t>One-off</w:t>
            </w:r>
            <w:r w:rsidRPr="00FF63D1">
              <w:rPr>
                <w:noProof/>
                <w:sz w:val="20"/>
              </w:rPr>
              <w:t> </w:t>
            </w:r>
          </w:p>
        </w:tc>
        <w:tc>
          <w:tcPr>
            <w:tcW w:w="564" w:type="pct"/>
            <w:tcBorders>
              <w:top w:val="single" w:sz="6" w:space="0" w:color="auto"/>
              <w:left w:val="single" w:sz="6" w:space="0" w:color="auto"/>
              <w:bottom w:val="double" w:sz="6" w:space="0" w:color="auto"/>
              <w:right w:val="single" w:sz="6" w:space="0" w:color="auto"/>
            </w:tcBorders>
            <w:vAlign w:val="center"/>
          </w:tcPr>
          <w:p w14:paraId="1374F50A" w14:textId="77777777" w:rsidR="7DC08AA4" w:rsidRPr="00FF63D1" w:rsidRDefault="7DC08AA4">
            <w:pPr>
              <w:spacing w:after="240"/>
              <w:contextualSpacing/>
              <w:jc w:val="left"/>
              <w:rPr>
                <w:noProof/>
                <w:sz w:val="20"/>
              </w:rPr>
            </w:pPr>
            <w:r w:rsidRPr="00F261DB">
              <w:rPr>
                <w:rFonts w:eastAsia="Aptos"/>
                <w:b/>
                <w:noProof/>
                <w:sz w:val="20"/>
                <w:szCs w:val="20"/>
              </w:rPr>
              <w:t>Recurrent</w:t>
            </w:r>
            <w:r w:rsidRPr="00FF63D1">
              <w:rPr>
                <w:noProof/>
                <w:sz w:val="20"/>
              </w:rPr>
              <w:t> </w:t>
            </w:r>
          </w:p>
        </w:tc>
        <w:tc>
          <w:tcPr>
            <w:tcW w:w="694" w:type="pct"/>
            <w:tcBorders>
              <w:top w:val="single" w:sz="6" w:space="0" w:color="auto"/>
              <w:left w:val="single" w:sz="6" w:space="0" w:color="auto"/>
              <w:bottom w:val="double" w:sz="6" w:space="0" w:color="auto"/>
              <w:right w:val="single" w:sz="6" w:space="0" w:color="auto"/>
            </w:tcBorders>
            <w:vAlign w:val="center"/>
          </w:tcPr>
          <w:p w14:paraId="11A14881" w14:textId="77777777" w:rsidR="7DC08AA4" w:rsidRPr="00FF63D1" w:rsidRDefault="7DC08AA4">
            <w:pPr>
              <w:spacing w:after="240"/>
              <w:contextualSpacing/>
              <w:jc w:val="left"/>
              <w:rPr>
                <w:noProof/>
                <w:sz w:val="20"/>
              </w:rPr>
            </w:pPr>
            <w:r w:rsidRPr="00F261DB">
              <w:rPr>
                <w:rFonts w:eastAsia="Aptos"/>
                <w:b/>
                <w:noProof/>
                <w:sz w:val="20"/>
                <w:szCs w:val="20"/>
              </w:rPr>
              <w:t>One-off</w:t>
            </w:r>
            <w:r w:rsidRPr="00FF63D1">
              <w:rPr>
                <w:noProof/>
                <w:sz w:val="20"/>
              </w:rPr>
              <w:t> </w:t>
            </w:r>
          </w:p>
        </w:tc>
        <w:tc>
          <w:tcPr>
            <w:tcW w:w="894" w:type="pct"/>
            <w:tcBorders>
              <w:top w:val="single" w:sz="6" w:space="0" w:color="auto"/>
              <w:left w:val="single" w:sz="6" w:space="0" w:color="auto"/>
              <w:bottom w:val="double" w:sz="6" w:space="0" w:color="auto"/>
              <w:right w:val="single" w:sz="6" w:space="0" w:color="auto"/>
            </w:tcBorders>
            <w:vAlign w:val="center"/>
          </w:tcPr>
          <w:p w14:paraId="1B455E83" w14:textId="77777777" w:rsidR="7DC08AA4" w:rsidRPr="00FF63D1" w:rsidRDefault="7DC08AA4">
            <w:pPr>
              <w:spacing w:after="240"/>
              <w:contextualSpacing/>
              <w:jc w:val="left"/>
              <w:rPr>
                <w:noProof/>
                <w:sz w:val="20"/>
              </w:rPr>
            </w:pPr>
            <w:r w:rsidRPr="00F261DB">
              <w:rPr>
                <w:rFonts w:eastAsia="Aptos"/>
                <w:b/>
                <w:noProof/>
                <w:sz w:val="20"/>
                <w:szCs w:val="20"/>
              </w:rPr>
              <w:t>Recurrent</w:t>
            </w:r>
            <w:r w:rsidRPr="00FF63D1">
              <w:rPr>
                <w:noProof/>
                <w:sz w:val="20"/>
              </w:rPr>
              <w:t> </w:t>
            </w:r>
          </w:p>
        </w:tc>
        <w:tc>
          <w:tcPr>
            <w:tcW w:w="630" w:type="pct"/>
            <w:tcBorders>
              <w:top w:val="single" w:sz="6" w:space="0" w:color="auto"/>
              <w:left w:val="single" w:sz="6" w:space="0" w:color="auto"/>
              <w:bottom w:val="double" w:sz="6" w:space="0" w:color="auto"/>
              <w:right w:val="single" w:sz="6" w:space="0" w:color="auto"/>
            </w:tcBorders>
            <w:vAlign w:val="center"/>
          </w:tcPr>
          <w:p w14:paraId="73AD05B1" w14:textId="77777777" w:rsidR="7DC08AA4" w:rsidRPr="00FF63D1" w:rsidRDefault="7DC08AA4">
            <w:pPr>
              <w:spacing w:after="240"/>
              <w:contextualSpacing/>
              <w:jc w:val="left"/>
              <w:rPr>
                <w:noProof/>
                <w:sz w:val="20"/>
              </w:rPr>
            </w:pPr>
            <w:r w:rsidRPr="00F261DB">
              <w:rPr>
                <w:rFonts w:eastAsia="Aptos"/>
                <w:b/>
                <w:noProof/>
                <w:sz w:val="20"/>
                <w:szCs w:val="20"/>
              </w:rPr>
              <w:t>One-off</w:t>
            </w:r>
            <w:r w:rsidRPr="00FF63D1">
              <w:rPr>
                <w:noProof/>
                <w:sz w:val="20"/>
              </w:rPr>
              <w:t> </w:t>
            </w:r>
          </w:p>
        </w:tc>
        <w:tc>
          <w:tcPr>
            <w:tcW w:w="682" w:type="pct"/>
            <w:tcBorders>
              <w:top w:val="single" w:sz="6" w:space="0" w:color="auto"/>
              <w:left w:val="single" w:sz="6" w:space="0" w:color="auto"/>
              <w:bottom w:val="double" w:sz="6" w:space="0" w:color="auto"/>
              <w:right w:val="double" w:sz="6" w:space="0" w:color="auto"/>
            </w:tcBorders>
            <w:vAlign w:val="center"/>
          </w:tcPr>
          <w:p w14:paraId="23BFFF00" w14:textId="48C52B63" w:rsidR="7DC08AA4" w:rsidRPr="00FF63D1" w:rsidRDefault="54CBB448">
            <w:pPr>
              <w:spacing w:after="240"/>
              <w:contextualSpacing/>
              <w:jc w:val="left"/>
              <w:rPr>
                <w:noProof/>
                <w:sz w:val="20"/>
              </w:rPr>
            </w:pPr>
            <w:r w:rsidRPr="1A2A8689">
              <w:rPr>
                <w:rFonts w:eastAsia="Aptos"/>
                <w:b/>
                <w:bCs/>
                <w:noProof/>
                <w:sz w:val="20"/>
                <w:szCs w:val="20"/>
              </w:rPr>
              <w:t>Recurrent</w:t>
            </w:r>
            <w:r w:rsidRPr="4EAE5FAC">
              <w:rPr>
                <w:noProof/>
                <w:sz w:val="20"/>
                <w:szCs w:val="20"/>
              </w:rPr>
              <w:t> </w:t>
            </w:r>
            <w:r w:rsidR="006C2900" w:rsidRPr="1A2A8689">
              <w:rPr>
                <w:rStyle w:val="FootnoteReference"/>
                <w:noProof/>
                <w:sz w:val="20"/>
                <w:szCs w:val="20"/>
              </w:rPr>
              <w:footnoteReference w:id="251"/>
            </w:r>
          </w:p>
        </w:tc>
      </w:tr>
      <w:tr w:rsidR="00147D8A" w:rsidRPr="00F261DB" w14:paraId="03C57D12" w14:textId="77777777" w:rsidTr="7ECD02B7">
        <w:trPr>
          <w:trHeight w:val="300"/>
        </w:trPr>
        <w:tc>
          <w:tcPr>
            <w:tcW w:w="423" w:type="pct"/>
            <w:vMerge w:val="restart"/>
            <w:tcBorders>
              <w:top w:val="single" w:sz="6" w:space="0" w:color="auto"/>
              <w:left w:val="double" w:sz="6" w:space="0" w:color="auto"/>
              <w:bottom w:val="single" w:sz="6" w:space="0" w:color="auto"/>
              <w:right w:val="single" w:sz="6" w:space="0" w:color="auto"/>
            </w:tcBorders>
            <w:vAlign w:val="center"/>
          </w:tcPr>
          <w:p w14:paraId="102311F4" w14:textId="52424968" w:rsidR="7DC08AA4" w:rsidRPr="00F261DB" w:rsidRDefault="7DC08AA4">
            <w:pPr>
              <w:jc w:val="center"/>
              <w:rPr>
                <w:rFonts w:eastAsia="Times New Roman" w:cs="Times New Roman"/>
                <w:noProof/>
                <w:color w:val="000000" w:themeColor="text1"/>
                <w:sz w:val="20"/>
                <w:szCs w:val="20"/>
              </w:rPr>
            </w:pPr>
            <w:r w:rsidRPr="00F261DB">
              <w:rPr>
                <w:rFonts w:eastAsia="Times New Roman" w:cs="Times New Roman"/>
                <w:noProof/>
                <w:color w:val="000000" w:themeColor="text1"/>
                <w:sz w:val="20"/>
                <w:szCs w:val="20"/>
              </w:rPr>
              <w:t>LAB 2</w:t>
            </w:r>
          </w:p>
        </w:tc>
        <w:tc>
          <w:tcPr>
            <w:tcW w:w="478" w:type="pct"/>
            <w:tcBorders>
              <w:top w:val="single" w:sz="6" w:space="0" w:color="auto"/>
              <w:left w:val="single" w:sz="6" w:space="0" w:color="auto"/>
              <w:bottom w:val="single" w:sz="6" w:space="0" w:color="auto"/>
              <w:right w:val="single" w:sz="6" w:space="0" w:color="auto"/>
            </w:tcBorders>
            <w:vAlign w:val="center"/>
          </w:tcPr>
          <w:p w14:paraId="3162BCE9" w14:textId="217035A9" w:rsidR="3FCABB38" w:rsidRPr="00FF63D1" w:rsidRDefault="3FCABB38">
            <w:pPr>
              <w:spacing w:after="240"/>
              <w:contextualSpacing/>
              <w:jc w:val="left"/>
              <w:rPr>
                <w:noProof/>
                <w:sz w:val="20"/>
              </w:rPr>
            </w:pPr>
            <w:r w:rsidRPr="00FF63D1">
              <w:rPr>
                <w:noProof/>
                <w:sz w:val="20"/>
              </w:rPr>
              <w:t>Direct adjustment costs</w:t>
            </w:r>
          </w:p>
        </w:tc>
        <w:tc>
          <w:tcPr>
            <w:tcW w:w="636" w:type="pct"/>
            <w:tcBorders>
              <w:top w:val="single" w:sz="6" w:space="0" w:color="auto"/>
              <w:left w:val="double" w:sz="6" w:space="0" w:color="auto"/>
              <w:bottom w:val="double" w:sz="6" w:space="0" w:color="auto"/>
              <w:right w:val="single" w:sz="6" w:space="0" w:color="auto"/>
            </w:tcBorders>
            <w:vAlign w:val="center"/>
          </w:tcPr>
          <w:p w14:paraId="65409471" w14:textId="1F59947A" w:rsidR="7DC08AA4" w:rsidRPr="00F261DB" w:rsidRDefault="7DC08AA4">
            <w:pPr>
              <w:spacing w:after="240"/>
              <w:contextualSpacing/>
              <w:jc w:val="left"/>
              <w:rPr>
                <w:noProof/>
              </w:rPr>
            </w:pPr>
          </w:p>
        </w:tc>
        <w:tc>
          <w:tcPr>
            <w:tcW w:w="564" w:type="pct"/>
            <w:tcBorders>
              <w:top w:val="single" w:sz="6" w:space="0" w:color="auto"/>
              <w:left w:val="single" w:sz="6" w:space="0" w:color="auto"/>
              <w:bottom w:val="double" w:sz="6" w:space="0" w:color="auto"/>
              <w:right w:val="single" w:sz="6" w:space="0" w:color="auto"/>
            </w:tcBorders>
            <w:vAlign w:val="center"/>
          </w:tcPr>
          <w:p w14:paraId="24971504" w14:textId="37687365" w:rsidR="7DC08AA4" w:rsidRPr="00FF63D1" w:rsidRDefault="7DC08AA4">
            <w:pPr>
              <w:spacing w:after="240"/>
              <w:contextualSpacing/>
              <w:jc w:val="left"/>
              <w:rPr>
                <w:noProof/>
                <w:sz w:val="20"/>
              </w:rPr>
            </w:pPr>
          </w:p>
        </w:tc>
        <w:tc>
          <w:tcPr>
            <w:tcW w:w="694" w:type="pct"/>
            <w:tcBorders>
              <w:top w:val="single" w:sz="6" w:space="0" w:color="auto"/>
              <w:left w:val="single" w:sz="6" w:space="0" w:color="auto"/>
              <w:bottom w:val="double" w:sz="6" w:space="0" w:color="auto"/>
              <w:right w:val="single" w:sz="6" w:space="0" w:color="auto"/>
            </w:tcBorders>
            <w:vAlign w:val="center"/>
          </w:tcPr>
          <w:p w14:paraId="240ABCAF" w14:textId="514D8470" w:rsidR="7DC08AA4" w:rsidRPr="00FF63D1" w:rsidRDefault="7DC08AA4">
            <w:pPr>
              <w:spacing w:after="240"/>
              <w:contextualSpacing/>
              <w:jc w:val="left"/>
              <w:rPr>
                <w:noProof/>
                <w:sz w:val="20"/>
              </w:rPr>
            </w:pPr>
          </w:p>
        </w:tc>
        <w:tc>
          <w:tcPr>
            <w:tcW w:w="894" w:type="pct"/>
            <w:tcBorders>
              <w:top w:val="single" w:sz="6" w:space="0" w:color="auto"/>
              <w:left w:val="single" w:sz="6" w:space="0" w:color="auto"/>
              <w:bottom w:val="double" w:sz="6" w:space="0" w:color="auto"/>
              <w:right w:val="single" w:sz="6" w:space="0" w:color="auto"/>
            </w:tcBorders>
            <w:vAlign w:val="center"/>
          </w:tcPr>
          <w:p w14:paraId="73069D68" w14:textId="454D6DB7" w:rsidR="7DC08AA4" w:rsidRPr="00F261DB" w:rsidRDefault="7DC08AA4">
            <w:pPr>
              <w:spacing w:after="240"/>
              <w:contextualSpacing/>
              <w:jc w:val="left"/>
              <w:rPr>
                <w:rFonts w:eastAsia="Aptos"/>
                <w:noProof/>
                <w:sz w:val="20"/>
                <w:szCs w:val="20"/>
              </w:rPr>
            </w:pPr>
          </w:p>
        </w:tc>
        <w:tc>
          <w:tcPr>
            <w:tcW w:w="630" w:type="pct"/>
            <w:tcBorders>
              <w:top w:val="single" w:sz="6" w:space="0" w:color="auto"/>
              <w:left w:val="single" w:sz="6" w:space="0" w:color="auto"/>
              <w:bottom w:val="double" w:sz="6" w:space="0" w:color="auto"/>
              <w:right w:val="single" w:sz="6" w:space="0" w:color="auto"/>
            </w:tcBorders>
            <w:vAlign w:val="center"/>
          </w:tcPr>
          <w:p w14:paraId="61C31F53" w14:textId="46D06681" w:rsidR="7DC08AA4" w:rsidRPr="00FF63D1" w:rsidRDefault="7DC08AA4">
            <w:pPr>
              <w:spacing w:after="240"/>
              <w:contextualSpacing/>
              <w:jc w:val="left"/>
              <w:rPr>
                <w:noProof/>
                <w:sz w:val="20"/>
              </w:rPr>
            </w:pPr>
          </w:p>
        </w:tc>
        <w:tc>
          <w:tcPr>
            <w:tcW w:w="682" w:type="pct"/>
            <w:tcBorders>
              <w:top w:val="single" w:sz="6" w:space="0" w:color="auto"/>
              <w:left w:val="single" w:sz="6" w:space="0" w:color="auto"/>
              <w:bottom w:val="double" w:sz="6" w:space="0" w:color="auto"/>
              <w:right w:val="double" w:sz="6" w:space="0" w:color="auto"/>
            </w:tcBorders>
            <w:vAlign w:val="center"/>
          </w:tcPr>
          <w:p w14:paraId="15CA7C55" w14:textId="3DA5117C" w:rsidR="7DC08AA4" w:rsidRPr="00FF63D1" w:rsidRDefault="7DC08AA4">
            <w:pPr>
              <w:spacing w:after="240"/>
              <w:contextualSpacing/>
              <w:jc w:val="left"/>
              <w:rPr>
                <w:noProof/>
                <w:sz w:val="20"/>
              </w:rPr>
            </w:pPr>
          </w:p>
        </w:tc>
      </w:tr>
      <w:tr w:rsidR="00147D8A" w:rsidRPr="00F261DB" w14:paraId="5129CD62" w14:textId="77777777" w:rsidTr="7ECD02B7">
        <w:trPr>
          <w:trHeight w:val="300"/>
        </w:trPr>
        <w:tc>
          <w:tcPr>
            <w:tcW w:w="423" w:type="pct"/>
            <w:vMerge/>
            <w:vAlign w:val="center"/>
          </w:tcPr>
          <w:p w14:paraId="7E64D52B" w14:textId="77777777" w:rsidR="006B52DB" w:rsidRPr="00F261DB" w:rsidRDefault="006B52DB">
            <w:pPr>
              <w:rPr>
                <w:noProof/>
              </w:rPr>
            </w:pPr>
          </w:p>
        </w:tc>
        <w:tc>
          <w:tcPr>
            <w:tcW w:w="478" w:type="pct"/>
            <w:tcBorders>
              <w:top w:val="single" w:sz="6" w:space="0" w:color="auto"/>
              <w:left w:val="single" w:sz="6" w:space="0" w:color="auto"/>
              <w:bottom w:val="single" w:sz="6" w:space="0" w:color="auto"/>
              <w:right w:val="single" w:sz="6" w:space="0" w:color="auto"/>
            </w:tcBorders>
            <w:vAlign w:val="center"/>
          </w:tcPr>
          <w:p w14:paraId="15B2C62E" w14:textId="5FDD02AD" w:rsidR="3FCABB38" w:rsidRPr="00FF63D1" w:rsidRDefault="3FCABB38">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double" w:sz="6" w:space="0" w:color="auto"/>
              <w:right w:val="single" w:sz="6" w:space="0" w:color="auto"/>
            </w:tcBorders>
            <w:vAlign w:val="center"/>
          </w:tcPr>
          <w:p w14:paraId="63F9FEE4" w14:textId="74FF0654" w:rsidR="7DC08AA4" w:rsidRPr="00F261DB" w:rsidRDefault="7DC08AA4">
            <w:pPr>
              <w:jc w:val="left"/>
              <w:rPr>
                <w:noProof/>
              </w:rPr>
            </w:pPr>
          </w:p>
        </w:tc>
        <w:tc>
          <w:tcPr>
            <w:tcW w:w="564" w:type="pct"/>
            <w:tcBorders>
              <w:top w:val="single" w:sz="6" w:space="0" w:color="auto"/>
              <w:left w:val="single" w:sz="6" w:space="0" w:color="auto"/>
              <w:bottom w:val="double" w:sz="6" w:space="0" w:color="auto"/>
              <w:right w:val="single" w:sz="6" w:space="0" w:color="auto"/>
            </w:tcBorders>
            <w:vAlign w:val="center"/>
          </w:tcPr>
          <w:p w14:paraId="604BC1AE" w14:textId="1B8721DD" w:rsidR="7DC08AA4" w:rsidRPr="00FF63D1" w:rsidRDefault="7DC08AA4">
            <w:pPr>
              <w:jc w:val="left"/>
              <w:rPr>
                <w:noProof/>
                <w:sz w:val="20"/>
              </w:rPr>
            </w:pPr>
          </w:p>
        </w:tc>
        <w:tc>
          <w:tcPr>
            <w:tcW w:w="694" w:type="pct"/>
            <w:tcBorders>
              <w:top w:val="single" w:sz="6" w:space="0" w:color="auto"/>
              <w:left w:val="single" w:sz="6" w:space="0" w:color="auto"/>
              <w:bottom w:val="double" w:sz="6" w:space="0" w:color="auto"/>
              <w:right w:val="single" w:sz="6" w:space="0" w:color="auto"/>
            </w:tcBorders>
            <w:vAlign w:val="center"/>
          </w:tcPr>
          <w:p w14:paraId="65C3FC89" w14:textId="48F1DB06" w:rsidR="7DC08AA4" w:rsidRPr="00FF63D1" w:rsidRDefault="7DC08AA4">
            <w:pPr>
              <w:jc w:val="left"/>
              <w:rPr>
                <w:noProof/>
                <w:sz w:val="20"/>
              </w:rPr>
            </w:pPr>
          </w:p>
        </w:tc>
        <w:tc>
          <w:tcPr>
            <w:tcW w:w="894" w:type="pct"/>
            <w:tcBorders>
              <w:top w:val="single" w:sz="6" w:space="0" w:color="auto"/>
              <w:left w:val="single" w:sz="6" w:space="0" w:color="auto"/>
              <w:bottom w:val="double" w:sz="6" w:space="0" w:color="auto"/>
              <w:right w:val="single" w:sz="6" w:space="0" w:color="auto"/>
            </w:tcBorders>
            <w:vAlign w:val="center"/>
          </w:tcPr>
          <w:p w14:paraId="11956544" w14:textId="47E8A740" w:rsidR="1CD35FCD" w:rsidRPr="00F261DB" w:rsidRDefault="1CD35FCD">
            <w:pPr>
              <w:spacing w:after="240"/>
              <w:contextualSpacing/>
              <w:jc w:val="left"/>
              <w:rPr>
                <w:rFonts w:eastAsia="Aptos"/>
                <w:noProof/>
                <w:sz w:val="20"/>
                <w:szCs w:val="20"/>
              </w:rPr>
            </w:pPr>
          </w:p>
        </w:tc>
        <w:tc>
          <w:tcPr>
            <w:tcW w:w="630" w:type="pct"/>
            <w:tcBorders>
              <w:top w:val="single" w:sz="6" w:space="0" w:color="auto"/>
              <w:left w:val="single" w:sz="6" w:space="0" w:color="auto"/>
              <w:bottom w:val="double" w:sz="6" w:space="0" w:color="auto"/>
              <w:right w:val="single" w:sz="6" w:space="0" w:color="auto"/>
            </w:tcBorders>
            <w:vAlign w:val="center"/>
          </w:tcPr>
          <w:p w14:paraId="29A301C7" w14:textId="2C513CA0" w:rsidR="7DC08AA4" w:rsidRPr="00FF63D1" w:rsidRDefault="00D73D8F">
            <w:pPr>
              <w:jc w:val="left"/>
              <w:rPr>
                <w:rFonts w:eastAsia="Aptos"/>
                <w:noProof/>
                <w:sz w:val="20"/>
                <w:szCs w:val="20"/>
              </w:rPr>
            </w:pPr>
            <w:r w:rsidRPr="0AA3AA21">
              <w:rPr>
                <w:rFonts w:eastAsia="Aptos"/>
                <w:noProof/>
                <w:sz w:val="20"/>
                <w:szCs w:val="20"/>
              </w:rPr>
              <w:t xml:space="preserve">European Commission: </w:t>
            </w:r>
            <w:r w:rsidR="00623FD8" w:rsidRPr="0AA3AA21">
              <w:rPr>
                <w:rFonts w:eastAsia="Aptos"/>
                <w:noProof/>
                <w:sz w:val="20"/>
                <w:szCs w:val="20"/>
              </w:rPr>
              <w:t xml:space="preserve">2 </w:t>
            </w:r>
            <w:r w:rsidR="00D53477" w:rsidRPr="0AA3AA21">
              <w:rPr>
                <w:rFonts w:eastAsia="Aptos"/>
                <w:noProof/>
                <w:sz w:val="20"/>
                <w:szCs w:val="20"/>
              </w:rPr>
              <w:t>FTE</w:t>
            </w:r>
            <w:r w:rsidR="00246550" w:rsidRPr="0AA3AA21">
              <w:rPr>
                <w:rFonts w:eastAsia="Aptos"/>
                <w:noProof/>
                <w:sz w:val="20"/>
                <w:szCs w:val="20"/>
              </w:rPr>
              <w:t xml:space="preserve"> (</w:t>
            </w:r>
            <w:r w:rsidR="00246550" w:rsidRPr="0AA3AA21">
              <w:rPr>
                <w:noProof/>
                <w:color w:val="000000" w:themeColor="text1"/>
                <w:sz w:val="20"/>
                <w:szCs w:val="20"/>
              </w:rPr>
              <w:t>EUR</w:t>
            </w:r>
            <w:r w:rsidR="431087AE" w:rsidRPr="0AA3AA21">
              <w:rPr>
                <w:noProof/>
                <w:color w:val="000000" w:themeColor="text1"/>
                <w:sz w:val="20"/>
                <w:szCs w:val="20"/>
              </w:rPr>
              <w:t xml:space="preserve"> </w:t>
            </w:r>
            <w:r w:rsidR="001F2BB1">
              <w:rPr>
                <w:noProof/>
                <w:color w:val="000000" w:themeColor="text1"/>
                <w:sz w:val="20"/>
                <w:szCs w:val="20"/>
              </w:rPr>
              <w:t xml:space="preserve">388 </w:t>
            </w:r>
            <w:r w:rsidR="00623FD8" w:rsidRPr="0AA3AA21">
              <w:rPr>
                <w:noProof/>
                <w:color w:val="000000" w:themeColor="text1"/>
                <w:sz w:val="20"/>
                <w:szCs w:val="20"/>
              </w:rPr>
              <w:t>000</w:t>
            </w:r>
            <w:r w:rsidR="00936E52" w:rsidRPr="0AA3AA21">
              <w:rPr>
                <w:noProof/>
                <w:color w:val="000000" w:themeColor="text1"/>
                <w:sz w:val="20"/>
                <w:szCs w:val="20"/>
              </w:rPr>
              <w:t xml:space="preserve"> total</w:t>
            </w:r>
            <w:r w:rsidR="00246550" w:rsidRPr="0AA3AA21">
              <w:rPr>
                <w:noProof/>
                <w:color w:val="000000" w:themeColor="text1"/>
                <w:sz w:val="20"/>
                <w:szCs w:val="20"/>
              </w:rPr>
              <w:t>)</w:t>
            </w:r>
            <w:r w:rsidRPr="0AA3AA21">
              <w:rPr>
                <w:rFonts w:eastAsia="Aptos"/>
                <w:noProof/>
                <w:sz w:val="20"/>
                <w:szCs w:val="20"/>
              </w:rPr>
              <w:t xml:space="preserve"> for developing the methodology for the low</w:t>
            </w:r>
            <w:r w:rsidR="00F42FCE">
              <w:rPr>
                <w:rFonts w:eastAsia="Aptos"/>
                <w:noProof/>
                <w:sz w:val="20"/>
                <w:szCs w:val="20"/>
              </w:rPr>
              <w:t>-</w:t>
            </w:r>
            <w:r w:rsidRPr="0AA3AA21">
              <w:rPr>
                <w:rFonts w:eastAsia="Aptos"/>
                <w:noProof/>
                <w:sz w:val="20"/>
                <w:szCs w:val="20"/>
              </w:rPr>
              <w:t>carbon</w:t>
            </w:r>
            <w:r w:rsidR="00623FD8" w:rsidRPr="0AA3AA21">
              <w:rPr>
                <w:rFonts w:eastAsia="Aptos"/>
                <w:noProof/>
                <w:sz w:val="20"/>
                <w:szCs w:val="20"/>
              </w:rPr>
              <w:t xml:space="preserve"> steel</w:t>
            </w:r>
            <w:r w:rsidRPr="0AA3AA21">
              <w:rPr>
                <w:rFonts w:eastAsia="Aptos"/>
                <w:noProof/>
                <w:sz w:val="20"/>
                <w:szCs w:val="20"/>
              </w:rPr>
              <w:t xml:space="preserve"> label</w:t>
            </w:r>
            <w:r w:rsidR="0899ADFF" w:rsidRPr="0AA3AA21">
              <w:rPr>
                <w:rFonts w:eastAsia="Aptos"/>
                <w:noProof/>
                <w:sz w:val="20"/>
                <w:szCs w:val="20"/>
              </w:rPr>
              <w:t xml:space="preserve"> </w:t>
            </w:r>
          </w:p>
        </w:tc>
        <w:tc>
          <w:tcPr>
            <w:tcW w:w="682" w:type="pct"/>
            <w:tcBorders>
              <w:top w:val="single" w:sz="6" w:space="0" w:color="auto"/>
              <w:left w:val="single" w:sz="6" w:space="0" w:color="auto"/>
              <w:bottom w:val="double" w:sz="6" w:space="0" w:color="auto"/>
              <w:right w:val="double" w:sz="6" w:space="0" w:color="auto"/>
            </w:tcBorders>
            <w:vAlign w:val="center"/>
          </w:tcPr>
          <w:p w14:paraId="16F197EF" w14:textId="65FD85A8" w:rsidR="7DC08AA4" w:rsidRPr="00FF63D1" w:rsidRDefault="7DC08AA4">
            <w:pPr>
              <w:jc w:val="left"/>
              <w:rPr>
                <w:noProof/>
                <w:sz w:val="20"/>
              </w:rPr>
            </w:pPr>
          </w:p>
        </w:tc>
      </w:tr>
      <w:tr w:rsidR="00147D8A" w:rsidRPr="00F261DB" w14:paraId="47340DE4" w14:textId="77777777" w:rsidTr="7ECD02B7">
        <w:trPr>
          <w:trHeight w:val="300"/>
        </w:trPr>
        <w:tc>
          <w:tcPr>
            <w:tcW w:w="423" w:type="pct"/>
            <w:vMerge w:val="restart"/>
            <w:tcBorders>
              <w:top w:val="single" w:sz="6" w:space="0" w:color="auto"/>
              <w:left w:val="double" w:sz="6" w:space="0" w:color="auto"/>
              <w:bottom w:val="single" w:sz="6" w:space="0" w:color="auto"/>
              <w:right w:val="single" w:sz="6" w:space="0" w:color="auto"/>
            </w:tcBorders>
            <w:vAlign w:val="center"/>
          </w:tcPr>
          <w:p w14:paraId="3970336F" w14:textId="751B82FD" w:rsidR="00CA64B9" w:rsidRPr="00F261DB" w:rsidRDefault="00CA64B9">
            <w:pPr>
              <w:jc w:val="center"/>
              <w:rPr>
                <w:rFonts w:eastAsia="Times New Roman" w:cs="Times New Roman"/>
                <w:noProof/>
                <w:color w:val="000000" w:themeColor="text1"/>
                <w:sz w:val="20"/>
                <w:szCs w:val="20"/>
              </w:rPr>
            </w:pPr>
            <w:r w:rsidRPr="00F261DB">
              <w:rPr>
                <w:rFonts w:eastAsia="Times New Roman" w:cs="Times New Roman"/>
                <w:noProof/>
                <w:color w:val="000000" w:themeColor="text1"/>
                <w:sz w:val="20"/>
                <w:szCs w:val="20"/>
              </w:rPr>
              <w:t>LEAD_EII 2</w:t>
            </w:r>
          </w:p>
        </w:tc>
        <w:tc>
          <w:tcPr>
            <w:tcW w:w="478" w:type="pct"/>
            <w:tcBorders>
              <w:top w:val="single" w:sz="6" w:space="0" w:color="auto"/>
              <w:left w:val="single" w:sz="6" w:space="0" w:color="auto"/>
              <w:bottom w:val="single" w:sz="6" w:space="0" w:color="auto"/>
              <w:right w:val="single" w:sz="6" w:space="0" w:color="auto"/>
            </w:tcBorders>
            <w:vAlign w:val="center"/>
          </w:tcPr>
          <w:p w14:paraId="3DDECE5C" w14:textId="089850FA" w:rsidR="00CA64B9" w:rsidRPr="00FF63D1" w:rsidRDefault="00CA64B9">
            <w:pPr>
              <w:jc w:val="left"/>
              <w:rPr>
                <w:noProof/>
                <w:sz w:val="20"/>
              </w:rPr>
            </w:pPr>
            <w:r w:rsidRPr="00FF63D1">
              <w:rPr>
                <w:noProof/>
                <w:sz w:val="20"/>
              </w:rPr>
              <w:t>Direct adjustment costs</w:t>
            </w:r>
          </w:p>
        </w:tc>
        <w:tc>
          <w:tcPr>
            <w:tcW w:w="636" w:type="pct"/>
            <w:tcBorders>
              <w:top w:val="single" w:sz="6" w:space="0" w:color="auto"/>
              <w:left w:val="double" w:sz="6" w:space="0" w:color="auto"/>
              <w:bottom w:val="double" w:sz="6" w:space="0" w:color="auto"/>
              <w:right w:val="single" w:sz="6" w:space="0" w:color="auto"/>
            </w:tcBorders>
            <w:vAlign w:val="center"/>
          </w:tcPr>
          <w:p w14:paraId="72888893" w14:textId="1537528B" w:rsidR="00CA64B9" w:rsidRPr="00F261DB" w:rsidRDefault="00CA64B9">
            <w:pPr>
              <w:jc w:val="left"/>
              <w:rPr>
                <w:noProof/>
                <w:sz w:val="20"/>
                <w:szCs w:val="20"/>
              </w:rPr>
            </w:pPr>
          </w:p>
        </w:tc>
        <w:tc>
          <w:tcPr>
            <w:tcW w:w="564" w:type="pct"/>
            <w:tcBorders>
              <w:top w:val="single" w:sz="6" w:space="0" w:color="auto"/>
              <w:left w:val="single" w:sz="6" w:space="0" w:color="auto"/>
              <w:bottom w:val="double" w:sz="6" w:space="0" w:color="auto"/>
              <w:right w:val="single" w:sz="6" w:space="0" w:color="auto"/>
            </w:tcBorders>
            <w:vAlign w:val="center"/>
          </w:tcPr>
          <w:p w14:paraId="41485EB7" w14:textId="1422E7B0" w:rsidR="00CA64B9" w:rsidRPr="00FF63D1" w:rsidRDefault="00CA64B9">
            <w:pPr>
              <w:jc w:val="left"/>
              <w:rPr>
                <w:noProof/>
                <w:sz w:val="20"/>
                <w:szCs w:val="20"/>
              </w:rPr>
            </w:pPr>
          </w:p>
        </w:tc>
        <w:tc>
          <w:tcPr>
            <w:tcW w:w="694" w:type="pct"/>
            <w:tcBorders>
              <w:top w:val="single" w:sz="6" w:space="0" w:color="auto"/>
              <w:left w:val="single" w:sz="6" w:space="0" w:color="auto"/>
              <w:bottom w:val="double" w:sz="6" w:space="0" w:color="auto"/>
              <w:right w:val="single" w:sz="6" w:space="0" w:color="auto"/>
            </w:tcBorders>
            <w:vAlign w:val="center"/>
          </w:tcPr>
          <w:p w14:paraId="20807876" w14:textId="194CAB26" w:rsidR="00CA64B9" w:rsidRPr="00FF63D1" w:rsidRDefault="00CA64B9">
            <w:pPr>
              <w:jc w:val="left"/>
              <w:rPr>
                <w:noProof/>
                <w:sz w:val="20"/>
              </w:rPr>
            </w:pPr>
            <w:r w:rsidRPr="00FF63D1">
              <w:rPr>
                <w:noProof/>
                <w:sz w:val="20"/>
              </w:rPr>
              <w:t xml:space="preserve">Selected downstream sector: Expected moderate but non-quantified impact from the potential readjustment of supply chains, including finding manufacturers for low-carbon/EU products, and manufacturing processes to ensure compliance with low-carbon and </w:t>
            </w:r>
            <w:r w:rsidR="00281489">
              <w:rPr>
                <w:noProof/>
                <w:sz w:val="20"/>
              </w:rPr>
              <w:t>Made in EU</w:t>
            </w:r>
            <w:r w:rsidRPr="00FF63D1">
              <w:rPr>
                <w:noProof/>
                <w:sz w:val="20"/>
              </w:rPr>
              <w:t xml:space="preserve"> requirements</w:t>
            </w:r>
          </w:p>
          <w:p w14:paraId="569F45BB" w14:textId="5AC7AECE" w:rsidR="00CA64B9" w:rsidRPr="00FF63D1" w:rsidRDefault="00CA64B9">
            <w:pPr>
              <w:jc w:val="left"/>
              <w:rPr>
                <w:noProof/>
                <w:sz w:val="20"/>
              </w:rPr>
            </w:pPr>
          </w:p>
          <w:p w14:paraId="6DF5374A" w14:textId="77777777" w:rsidR="00CA64B9" w:rsidRDefault="00CA64B9">
            <w:pPr>
              <w:jc w:val="left"/>
              <w:rPr>
                <w:noProof/>
                <w:sz w:val="20"/>
              </w:rPr>
            </w:pPr>
            <w:r w:rsidRPr="00FF63D1">
              <w:rPr>
                <w:noProof/>
                <w:sz w:val="20"/>
              </w:rPr>
              <w:t xml:space="preserve">For energy intensive industries: limited increase in cost, </w:t>
            </w:r>
            <w:r w:rsidRPr="00FF63D1">
              <w:rPr>
                <w:noProof/>
                <w:sz w:val="20"/>
              </w:rPr>
              <w:lastRenderedPageBreak/>
              <w:t>passed down to consumer</w:t>
            </w:r>
          </w:p>
          <w:p w14:paraId="1F36ABE6" w14:textId="0C748FFC" w:rsidR="00CA64B9" w:rsidRPr="00567615" w:rsidRDefault="00CA64B9">
            <w:pPr>
              <w:jc w:val="left"/>
              <w:rPr>
                <w:noProof/>
                <w:sz w:val="20"/>
              </w:rPr>
            </w:pPr>
          </w:p>
        </w:tc>
        <w:tc>
          <w:tcPr>
            <w:tcW w:w="894" w:type="pct"/>
            <w:tcBorders>
              <w:top w:val="single" w:sz="6" w:space="0" w:color="auto"/>
              <w:left w:val="single" w:sz="6" w:space="0" w:color="auto"/>
              <w:bottom w:val="double" w:sz="6" w:space="0" w:color="auto"/>
              <w:right w:val="single" w:sz="6" w:space="0" w:color="auto"/>
            </w:tcBorders>
            <w:vAlign w:val="center"/>
          </w:tcPr>
          <w:p w14:paraId="4B96D813" w14:textId="77777777" w:rsidR="008F1B47" w:rsidRDefault="008F1B47">
            <w:pPr>
              <w:jc w:val="left"/>
              <w:rPr>
                <w:rFonts w:eastAsia="Aptos"/>
                <w:noProof/>
                <w:sz w:val="20"/>
                <w:szCs w:val="20"/>
              </w:rPr>
            </w:pPr>
            <w:r>
              <w:rPr>
                <w:rFonts w:eastAsia="Aptos"/>
                <w:noProof/>
                <w:sz w:val="20"/>
                <w:szCs w:val="20"/>
              </w:rPr>
              <w:lastRenderedPageBreak/>
              <w:t>Low-carbon measures:</w:t>
            </w:r>
          </w:p>
          <w:p w14:paraId="74EC2F3C" w14:textId="77777777" w:rsidR="008F1B47" w:rsidRDefault="008F1B47">
            <w:pPr>
              <w:jc w:val="left"/>
              <w:rPr>
                <w:rFonts w:eastAsia="Aptos"/>
                <w:noProof/>
                <w:sz w:val="20"/>
                <w:szCs w:val="20"/>
              </w:rPr>
            </w:pPr>
            <w:r>
              <w:rPr>
                <w:rFonts w:eastAsia="Aptos"/>
                <w:noProof/>
                <w:sz w:val="20"/>
                <w:szCs w:val="20"/>
              </w:rPr>
              <w:t xml:space="preserve">Automotive sector EUR 291 million from low-carbon steel and aluminium, </w:t>
            </w:r>
          </w:p>
          <w:p w14:paraId="23DD04F0" w14:textId="77777777" w:rsidR="008F1B47" w:rsidRDefault="008F1B47">
            <w:pPr>
              <w:jc w:val="left"/>
              <w:rPr>
                <w:rFonts w:eastAsia="Aptos"/>
                <w:noProof/>
                <w:sz w:val="20"/>
                <w:szCs w:val="20"/>
              </w:rPr>
            </w:pPr>
          </w:p>
          <w:p w14:paraId="6FE6E5B4" w14:textId="550E910A" w:rsidR="0032581A" w:rsidRPr="00F261DB" w:rsidRDefault="008F1B47">
            <w:pPr>
              <w:jc w:val="left"/>
              <w:rPr>
                <w:rFonts w:eastAsia="Aptos"/>
                <w:noProof/>
                <w:sz w:val="20"/>
                <w:szCs w:val="20"/>
              </w:rPr>
            </w:pPr>
            <w:r>
              <w:rPr>
                <w:rFonts w:eastAsia="Aptos"/>
                <w:noProof/>
                <w:sz w:val="20"/>
                <w:szCs w:val="20"/>
              </w:rPr>
              <w:t xml:space="preserve">The construction sector EUR 691 million from low-carbon steel, aluminium and cement, </w:t>
            </w:r>
          </w:p>
        </w:tc>
        <w:tc>
          <w:tcPr>
            <w:tcW w:w="630" w:type="pct"/>
            <w:tcBorders>
              <w:top w:val="single" w:sz="6" w:space="0" w:color="auto"/>
              <w:left w:val="single" w:sz="6" w:space="0" w:color="auto"/>
              <w:bottom w:val="double" w:sz="6" w:space="0" w:color="auto"/>
              <w:right w:val="single" w:sz="6" w:space="0" w:color="auto"/>
            </w:tcBorders>
            <w:vAlign w:val="center"/>
          </w:tcPr>
          <w:p w14:paraId="714A82AD" w14:textId="4B825899" w:rsidR="00CA64B9" w:rsidRPr="00FF63D1" w:rsidRDefault="00CA64B9">
            <w:pPr>
              <w:jc w:val="left"/>
              <w:rPr>
                <w:noProof/>
                <w:sz w:val="20"/>
              </w:rPr>
            </w:pPr>
          </w:p>
        </w:tc>
        <w:tc>
          <w:tcPr>
            <w:tcW w:w="682" w:type="pct"/>
            <w:tcBorders>
              <w:top w:val="single" w:sz="6" w:space="0" w:color="auto"/>
              <w:left w:val="single" w:sz="6" w:space="0" w:color="auto"/>
              <w:bottom w:val="double" w:sz="6" w:space="0" w:color="auto"/>
              <w:right w:val="double" w:sz="6" w:space="0" w:color="auto"/>
            </w:tcBorders>
            <w:vAlign w:val="center"/>
          </w:tcPr>
          <w:p w14:paraId="5A4A46D5" w14:textId="033151CE" w:rsidR="00CA64B9" w:rsidRPr="00FF63D1" w:rsidRDefault="00CA64B9">
            <w:pPr>
              <w:jc w:val="left"/>
              <w:rPr>
                <w:noProof/>
                <w:sz w:val="20"/>
              </w:rPr>
            </w:pPr>
          </w:p>
        </w:tc>
      </w:tr>
      <w:tr w:rsidR="00147D8A" w:rsidRPr="00F261DB" w14:paraId="490B48AF" w14:textId="77777777" w:rsidTr="7ECD02B7">
        <w:trPr>
          <w:trHeight w:val="300"/>
        </w:trPr>
        <w:tc>
          <w:tcPr>
            <w:tcW w:w="423" w:type="pct"/>
            <w:vMerge/>
            <w:vAlign w:val="center"/>
          </w:tcPr>
          <w:p w14:paraId="6EDF4866" w14:textId="77777777" w:rsidR="00CA64B9" w:rsidRPr="00F261DB" w:rsidRDefault="00CA64B9">
            <w:pPr>
              <w:rPr>
                <w:noProof/>
              </w:rPr>
            </w:pPr>
          </w:p>
        </w:tc>
        <w:tc>
          <w:tcPr>
            <w:tcW w:w="478" w:type="pct"/>
            <w:tcBorders>
              <w:top w:val="single" w:sz="6" w:space="0" w:color="auto"/>
              <w:left w:val="single" w:sz="6" w:space="0" w:color="auto"/>
              <w:bottom w:val="single" w:sz="6" w:space="0" w:color="auto"/>
              <w:right w:val="single" w:sz="6" w:space="0" w:color="auto"/>
            </w:tcBorders>
            <w:vAlign w:val="center"/>
          </w:tcPr>
          <w:p w14:paraId="26009EB9" w14:textId="6C9DB043" w:rsidR="00CA64B9" w:rsidRPr="00FF63D1" w:rsidRDefault="00CA64B9">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single" w:sz="6" w:space="0" w:color="auto"/>
              <w:right w:val="single" w:sz="6" w:space="0" w:color="auto"/>
            </w:tcBorders>
            <w:vAlign w:val="center"/>
          </w:tcPr>
          <w:p w14:paraId="3BA3B0F5" w14:textId="38B6302C"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327F4229" w14:textId="0C94FE41"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5159ECB8" w14:textId="0C5EDCBA"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35461A71" w14:textId="54306216" w:rsidR="00CA64B9" w:rsidRPr="00FF63D1" w:rsidRDefault="00CA64B9">
            <w:pPr>
              <w:jc w:val="left"/>
              <w:rPr>
                <w:rFonts w:eastAsia="Aptos"/>
                <w:noProof/>
                <w:sz w:val="20"/>
                <w:szCs w:val="20"/>
              </w:rPr>
            </w:pPr>
            <w:r w:rsidRPr="00FF63D1">
              <w:rPr>
                <w:rFonts w:eastAsia="Aptos"/>
                <w:noProof/>
                <w:sz w:val="20"/>
                <w:szCs w:val="20"/>
              </w:rPr>
              <w:t>1</w:t>
            </w:r>
            <w:r w:rsidRPr="00F261DB">
              <w:rPr>
                <w:rFonts w:eastAsia="Aptos"/>
                <w:noProof/>
                <w:sz w:val="20"/>
                <w:szCs w:val="20"/>
              </w:rPr>
              <w:t xml:space="preserve"> week FTE per year for </w:t>
            </w:r>
            <w:r w:rsidR="00854C03">
              <w:rPr>
                <w:rFonts w:eastAsia="Aptos"/>
                <w:noProof/>
                <w:sz w:val="20"/>
                <w:szCs w:val="20"/>
              </w:rPr>
              <w:t xml:space="preserve">the </w:t>
            </w:r>
            <w:r w:rsidRPr="00FF63D1">
              <w:rPr>
                <w:rFonts w:eastAsia="Aptos"/>
                <w:noProof/>
                <w:sz w:val="20"/>
                <w:szCs w:val="20"/>
              </w:rPr>
              <w:t>automotive sector</w:t>
            </w:r>
          </w:p>
          <w:p w14:paraId="45FC38D4" w14:textId="67052A8C" w:rsidR="00FC2AE9" w:rsidRPr="00FF63D1" w:rsidRDefault="00CA64B9">
            <w:pPr>
              <w:jc w:val="left"/>
              <w:rPr>
                <w:rFonts w:eastAsia="Aptos"/>
                <w:noProof/>
                <w:sz w:val="20"/>
                <w:szCs w:val="20"/>
              </w:rPr>
            </w:pPr>
            <w:r w:rsidRPr="00F261DB">
              <w:rPr>
                <w:rFonts w:eastAsia="Aptos"/>
                <w:noProof/>
                <w:sz w:val="20"/>
                <w:szCs w:val="20"/>
              </w:rPr>
              <w:t xml:space="preserve"> </w:t>
            </w:r>
            <w:r w:rsidR="40AFE34F" w:rsidRPr="00FF63D1">
              <w:rPr>
                <w:rFonts w:eastAsia="Aptos"/>
                <w:noProof/>
                <w:sz w:val="20"/>
                <w:szCs w:val="20"/>
              </w:rPr>
              <w:t>f</w:t>
            </w:r>
            <w:r w:rsidRPr="00F261DB">
              <w:rPr>
                <w:rFonts w:eastAsia="Aptos"/>
                <w:noProof/>
                <w:sz w:val="20"/>
                <w:szCs w:val="20"/>
              </w:rPr>
              <w:t>o</w:t>
            </w:r>
            <w:r w:rsidR="001E5632" w:rsidRPr="00FF63D1">
              <w:rPr>
                <w:rFonts w:eastAsia="Aptos"/>
                <w:noProof/>
                <w:sz w:val="20"/>
                <w:szCs w:val="20"/>
              </w:rPr>
              <w:t>r</w:t>
            </w:r>
            <w:r w:rsidR="0035017F" w:rsidRPr="00FF63D1">
              <w:rPr>
                <w:rFonts w:eastAsia="Aptos"/>
                <w:noProof/>
                <w:sz w:val="20"/>
                <w:szCs w:val="20"/>
              </w:rPr>
              <w:t xml:space="preserve"> </w:t>
            </w:r>
            <w:r w:rsidR="13D1632C" w:rsidRPr="00FF63D1" w:rsidDel="00093F98">
              <w:rPr>
                <w:rFonts w:eastAsia="Aptos"/>
                <w:noProof/>
                <w:sz w:val="20"/>
                <w:szCs w:val="20"/>
              </w:rPr>
              <w:t>demonstrating</w:t>
            </w:r>
            <w:r w:rsidR="00BF4EBA" w:rsidRPr="00FF63D1">
              <w:rPr>
                <w:rFonts w:eastAsia="Aptos"/>
                <w:noProof/>
                <w:sz w:val="20"/>
                <w:szCs w:val="20"/>
              </w:rPr>
              <w:t xml:space="preserve"> compliance with </w:t>
            </w:r>
            <w:r w:rsidRPr="00F261DB">
              <w:rPr>
                <w:rFonts w:eastAsia="Aptos"/>
                <w:noProof/>
                <w:sz w:val="20"/>
                <w:szCs w:val="20"/>
              </w:rPr>
              <w:t>low</w:t>
            </w:r>
            <w:r w:rsidR="00F42FCE">
              <w:rPr>
                <w:rFonts w:eastAsia="Aptos"/>
                <w:noProof/>
                <w:sz w:val="20"/>
                <w:szCs w:val="20"/>
              </w:rPr>
              <w:t>-</w:t>
            </w:r>
            <w:r w:rsidRPr="00F261DB">
              <w:rPr>
                <w:rFonts w:eastAsia="Aptos"/>
                <w:noProof/>
                <w:sz w:val="20"/>
                <w:szCs w:val="20"/>
              </w:rPr>
              <w:t xml:space="preserve">carbon and made in </w:t>
            </w:r>
            <w:r w:rsidR="00281489">
              <w:rPr>
                <w:rFonts w:eastAsia="Aptos"/>
                <w:noProof/>
                <w:sz w:val="20"/>
                <w:szCs w:val="20"/>
              </w:rPr>
              <w:t>Made in EU</w:t>
            </w:r>
            <w:r w:rsidRPr="00F261DB">
              <w:rPr>
                <w:rFonts w:eastAsia="Aptos"/>
                <w:noProof/>
                <w:sz w:val="20"/>
                <w:szCs w:val="20"/>
              </w:rPr>
              <w:t xml:space="preserve"> requirements</w:t>
            </w:r>
            <w:r w:rsidRPr="00FF63D1">
              <w:rPr>
                <w:rFonts w:eastAsia="Aptos"/>
                <w:noProof/>
                <w:sz w:val="20"/>
                <w:szCs w:val="20"/>
              </w:rPr>
              <w:t xml:space="preserve"> </w:t>
            </w:r>
            <w:r w:rsidR="00920FCC" w:rsidRPr="00FF63D1">
              <w:rPr>
                <w:rFonts w:eastAsia="Aptos"/>
                <w:noProof/>
                <w:sz w:val="20"/>
                <w:szCs w:val="20"/>
              </w:rPr>
              <w:t xml:space="preserve">(including </w:t>
            </w:r>
            <w:r w:rsidR="00FC2AE9" w:rsidRPr="00FF63D1">
              <w:rPr>
                <w:rFonts w:eastAsia="Aptos"/>
                <w:noProof/>
                <w:sz w:val="20"/>
                <w:szCs w:val="20"/>
              </w:rPr>
              <w:t>for batteries and vehicle components)</w:t>
            </w:r>
          </w:p>
          <w:p w14:paraId="79884403" w14:textId="0B1BD663" w:rsidR="00FC2AE9" w:rsidRPr="00FF63D1" w:rsidRDefault="00CA64B9">
            <w:pPr>
              <w:jc w:val="left"/>
              <w:rPr>
                <w:rFonts w:eastAsia="Aptos"/>
                <w:noProof/>
                <w:sz w:val="20"/>
                <w:szCs w:val="20"/>
              </w:rPr>
            </w:pPr>
            <w:r w:rsidRPr="00FF63D1">
              <w:rPr>
                <w:rFonts w:eastAsia="Aptos"/>
                <w:noProof/>
                <w:sz w:val="20"/>
                <w:szCs w:val="20"/>
              </w:rPr>
              <w:t xml:space="preserve"> </w:t>
            </w:r>
          </w:p>
          <w:p w14:paraId="1253E19A" w14:textId="4E73D5F9" w:rsidR="00CA64B9" w:rsidRPr="00F261DB" w:rsidRDefault="46A24402">
            <w:pPr>
              <w:jc w:val="left"/>
              <w:rPr>
                <w:rFonts w:eastAsia="Aptos"/>
                <w:noProof/>
                <w:sz w:val="20"/>
                <w:szCs w:val="20"/>
              </w:rPr>
            </w:pPr>
            <w:r w:rsidRPr="00FF63D1">
              <w:rPr>
                <w:rFonts w:eastAsia="Aptos"/>
                <w:noProof/>
                <w:sz w:val="20"/>
                <w:szCs w:val="20"/>
              </w:rPr>
              <w:t xml:space="preserve">And </w:t>
            </w:r>
            <w:r w:rsidR="00CA64B9" w:rsidRPr="00FF63D1">
              <w:rPr>
                <w:rFonts w:eastAsia="Aptos"/>
                <w:noProof/>
                <w:sz w:val="20"/>
                <w:szCs w:val="20"/>
              </w:rPr>
              <w:t xml:space="preserve">¾ </w:t>
            </w:r>
            <w:r w:rsidR="00FC2AE9" w:rsidRPr="00FF63D1">
              <w:rPr>
                <w:rFonts w:eastAsia="Aptos"/>
                <w:noProof/>
                <w:sz w:val="20"/>
                <w:szCs w:val="20"/>
              </w:rPr>
              <w:t xml:space="preserve">weeks </w:t>
            </w:r>
            <w:r w:rsidR="00CA64B9" w:rsidRPr="00FF63D1">
              <w:rPr>
                <w:rFonts w:eastAsia="Aptos"/>
                <w:noProof/>
                <w:sz w:val="20"/>
                <w:szCs w:val="20"/>
              </w:rPr>
              <w:t>FTE</w:t>
            </w:r>
            <w:r w:rsidR="00A149F7" w:rsidRPr="00FF63D1">
              <w:rPr>
                <w:rFonts w:eastAsia="Aptos"/>
                <w:noProof/>
                <w:sz w:val="20"/>
                <w:szCs w:val="20"/>
              </w:rPr>
              <w:t xml:space="preserve"> per year </w:t>
            </w:r>
            <w:r w:rsidR="00CA64B9" w:rsidRPr="00FF63D1">
              <w:rPr>
                <w:rFonts w:eastAsia="Aptos"/>
                <w:noProof/>
                <w:sz w:val="20"/>
                <w:szCs w:val="20"/>
              </w:rPr>
              <w:t xml:space="preserve">for </w:t>
            </w:r>
            <w:r w:rsidR="15A80246" w:rsidRPr="00FF63D1">
              <w:rPr>
                <w:rFonts w:eastAsia="Aptos"/>
                <w:noProof/>
                <w:sz w:val="20"/>
                <w:szCs w:val="20"/>
              </w:rPr>
              <w:t xml:space="preserve">the </w:t>
            </w:r>
            <w:r w:rsidR="00CA64B9" w:rsidRPr="00FF63D1">
              <w:rPr>
                <w:rFonts w:eastAsia="Aptos"/>
                <w:noProof/>
                <w:sz w:val="20"/>
                <w:szCs w:val="20"/>
              </w:rPr>
              <w:t>construction</w:t>
            </w:r>
            <w:r w:rsidR="00633010" w:rsidRPr="00FF63D1">
              <w:rPr>
                <w:rFonts w:eastAsia="Aptos"/>
                <w:noProof/>
                <w:sz w:val="20"/>
                <w:szCs w:val="20"/>
              </w:rPr>
              <w:t xml:space="preserve"> </w:t>
            </w:r>
            <w:r w:rsidR="00A149F7" w:rsidRPr="00FF63D1">
              <w:rPr>
                <w:rFonts w:eastAsia="Aptos"/>
                <w:noProof/>
                <w:sz w:val="20"/>
                <w:szCs w:val="20"/>
              </w:rPr>
              <w:t>sector</w:t>
            </w:r>
          </w:p>
          <w:p w14:paraId="75CFFE37" w14:textId="77777777" w:rsidR="00CA64B9" w:rsidRPr="00F261DB" w:rsidRDefault="00CA64B9">
            <w:pPr>
              <w:jc w:val="left"/>
              <w:rPr>
                <w:rFonts w:eastAsia="Aptos"/>
                <w:noProof/>
                <w:sz w:val="20"/>
                <w:szCs w:val="20"/>
              </w:rPr>
            </w:pPr>
          </w:p>
          <w:p w14:paraId="4C46101F" w14:textId="4C3E2516" w:rsidR="00A149F7" w:rsidRPr="00FF63D1" w:rsidRDefault="00CA64B9">
            <w:pPr>
              <w:jc w:val="left"/>
              <w:rPr>
                <w:rFonts w:eastAsia="Aptos"/>
                <w:noProof/>
                <w:sz w:val="20"/>
                <w:szCs w:val="20"/>
              </w:rPr>
            </w:pPr>
            <w:r w:rsidRPr="00FF63D1">
              <w:rPr>
                <w:rFonts w:eastAsia="Aptos"/>
                <w:noProof/>
                <w:sz w:val="20"/>
                <w:szCs w:val="20"/>
              </w:rPr>
              <w:t>3/4</w:t>
            </w:r>
            <w:r w:rsidRPr="00F261DB">
              <w:rPr>
                <w:rFonts w:eastAsia="Aptos"/>
                <w:noProof/>
                <w:sz w:val="20"/>
                <w:szCs w:val="20"/>
              </w:rPr>
              <w:t xml:space="preserve"> weeks FTE</w:t>
            </w:r>
            <w:r w:rsidR="00A149F7" w:rsidRPr="00FF63D1">
              <w:rPr>
                <w:rFonts w:eastAsia="Aptos"/>
                <w:noProof/>
                <w:sz w:val="20"/>
                <w:szCs w:val="20"/>
              </w:rPr>
              <w:t xml:space="preserve"> </w:t>
            </w:r>
            <w:r w:rsidRPr="00F261DB">
              <w:rPr>
                <w:rFonts w:eastAsia="Aptos"/>
                <w:noProof/>
                <w:sz w:val="20"/>
                <w:szCs w:val="20"/>
              </w:rPr>
              <w:t xml:space="preserve">per year for </w:t>
            </w:r>
            <w:r w:rsidR="00FF320C" w:rsidRPr="00FF63D1">
              <w:rPr>
                <w:rFonts w:eastAsia="Aptos"/>
                <w:noProof/>
                <w:sz w:val="20"/>
                <w:szCs w:val="20"/>
              </w:rPr>
              <w:t xml:space="preserve">automotive </w:t>
            </w:r>
            <w:r w:rsidRPr="00FF63D1">
              <w:rPr>
                <w:rFonts w:eastAsia="Aptos"/>
                <w:noProof/>
                <w:sz w:val="20"/>
                <w:szCs w:val="20"/>
              </w:rPr>
              <w:t xml:space="preserve">sector </w:t>
            </w:r>
            <w:r w:rsidRPr="00F261DB">
              <w:rPr>
                <w:rFonts w:eastAsia="Aptos"/>
                <w:noProof/>
                <w:sz w:val="20"/>
                <w:szCs w:val="20"/>
              </w:rPr>
              <w:t xml:space="preserve">for </w:t>
            </w:r>
            <w:r w:rsidR="00FF320C" w:rsidRPr="00FF63D1">
              <w:rPr>
                <w:rFonts w:eastAsia="Aptos"/>
                <w:noProof/>
                <w:sz w:val="20"/>
                <w:szCs w:val="20"/>
              </w:rPr>
              <w:t>demonstrating compliance with</w:t>
            </w:r>
            <w:r w:rsidRPr="00F261DB">
              <w:rPr>
                <w:rFonts w:eastAsia="Aptos"/>
                <w:noProof/>
                <w:sz w:val="20"/>
                <w:szCs w:val="20"/>
              </w:rPr>
              <w:t xml:space="preserve"> low</w:t>
            </w:r>
            <w:r w:rsidR="00F42FCE">
              <w:rPr>
                <w:rFonts w:eastAsia="Aptos"/>
                <w:noProof/>
                <w:sz w:val="20"/>
                <w:szCs w:val="20"/>
              </w:rPr>
              <w:t>-</w:t>
            </w:r>
            <w:r w:rsidRPr="00F261DB">
              <w:rPr>
                <w:rFonts w:eastAsia="Aptos"/>
                <w:noProof/>
                <w:sz w:val="20"/>
                <w:szCs w:val="20"/>
              </w:rPr>
              <w:t xml:space="preserve">carbon content requirements </w:t>
            </w:r>
          </w:p>
          <w:p w14:paraId="183A918C" w14:textId="77777777" w:rsidR="00A149F7" w:rsidRPr="00FF63D1" w:rsidRDefault="00A149F7">
            <w:pPr>
              <w:jc w:val="left"/>
              <w:rPr>
                <w:rFonts w:eastAsia="Aptos"/>
                <w:noProof/>
                <w:sz w:val="20"/>
                <w:szCs w:val="20"/>
              </w:rPr>
            </w:pPr>
          </w:p>
          <w:p w14:paraId="47B4EB20" w14:textId="54B6264A" w:rsidR="00CA64B9" w:rsidRPr="00FF63D1" w:rsidRDefault="73B6A07C">
            <w:pPr>
              <w:jc w:val="left"/>
              <w:rPr>
                <w:rFonts w:eastAsia="Aptos"/>
                <w:noProof/>
                <w:sz w:val="20"/>
                <w:szCs w:val="20"/>
              </w:rPr>
            </w:pPr>
            <w:r w:rsidRPr="00FF63D1">
              <w:rPr>
                <w:rFonts w:eastAsia="Aptos"/>
                <w:noProof/>
                <w:sz w:val="20"/>
                <w:szCs w:val="20"/>
              </w:rPr>
              <w:t xml:space="preserve">And </w:t>
            </w:r>
            <w:r w:rsidR="00CA64B9" w:rsidRPr="00FF63D1">
              <w:rPr>
                <w:rFonts w:eastAsia="Aptos"/>
                <w:noProof/>
                <w:sz w:val="20"/>
                <w:szCs w:val="20"/>
              </w:rPr>
              <w:t xml:space="preserve">½ </w:t>
            </w:r>
            <w:r w:rsidR="00A149F7" w:rsidRPr="00FF63D1">
              <w:rPr>
                <w:rFonts w:eastAsia="Aptos"/>
                <w:noProof/>
                <w:sz w:val="20"/>
                <w:szCs w:val="20"/>
              </w:rPr>
              <w:t xml:space="preserve">weeks </w:t>
            </w:r>
            <w:r w:rsidR="00CA64B9" w:rsidRPr="00FF63D1">
              <w:rPr>
                <w:rFonts w:eastAsia="Aptos"/>
                <w:noProof/>
                <w:sz w:val="20"/>
                <w:szCs w:val="20"/>
              </w:rPr>
              <w:t>FTE</w:t>
            </w:r>
            <w:r w:rsidR="00A149F7" w:rsidRPr="00FF63D1">
              <w:rPr>
                <w:rFonts w:eastAsia="Aptos"/>
                <w:noProof/>
                <w:sz w:val="20"/>
                <w:szCs w:val="20"/>
              </w:rPr>
              <w:t xml:space="preserve"> per year</w:t>
            </w:r>
            <w:r w:rsidR="00633010" w:rsidRPr="00FF63D1">
              <w:rPr>
                <w:rFonts w:eastAsia="Aptos"/>
                <w:noProof/>
                <w:sz w:val="20"/>
                <w:szCs w:val="20"/>
              </w:rPr>
              <w:t xml:space="preserve"> </w:t>
            </w:r>
            <w:r w:rsidR="00CA64B9" w:rsidRPr="00FF63D1">
              <w:rPr>
                <w:rFonts w:eastAsia="Aptos"/>
                <w:noProof/>
                <w:sz w:val="20"/>
                <w:szCs w:val="20"/>
              </w:rPr>
              <w:t xml:space="preserve">for </w:t>
            </w:r>
            <w:r w:rsidR="6B474543" w:rsidRPr="00FF63D1">
              <w:rPr>
                <w:rFonts w:eastAsia="Aptos"/>
                <w:noProof/>
                <w:sz w:val="20"/>
                <w:szCs w:val="20"/>
              </w:rPr>
              <w:t xml:space="preserve">the </w:t>
            </w:r>
            <w:r w:rsidR="00CA64B9" w:rsidRPr="00FF63D1">
              <w:rPr>
                <w:rFonts w:eastAsia="Aptos"/>
                <w:noProof/>
                <w:sz w:val="20"/>
                <w:szCs w:val="20"/>
              </w:rPr>
              <w:t>construction</w:t>
            </w:r>
            <w:r w:rsidR="00A149F7" w:rsidRPr="00FF63D1">
              <w:rPr>
                <w:rFonts w:eastAsia="Aptos"/>
                <w:noProof/>
                <w:sz w:val="20"/>
                <w:szCs w:val="20"/>
              </w:rPr>
              <w:t xml:space="preserve"> sector</w:t>
            </w:r>
          </w:p>
          <w:p w14:paraId="418B86AC" w14:textId="77777777" w:rsidR="00CA64B9" w:rsidRPr="00F261DB" w:rsidRDefault="00CA64B9">
            <w:pPr>
              <w:jc w:val="left"/>
              <w:rPr>
                <w:rFonts w:eastAsia="Aptos"/>
                <w:noProof/>
                <w:sz w:val="20"/>
                <w:szCs w:val="20"/>
              </w:rPr>
            </w:pPr>
          </w:p>
          <w:p w14:paraId="13157E9B" w14:textId="67E4AC06" w:rsidR="00CA64B9" w:rsidRPr="00FF63D1" w:rsidRDefault="1D7E60E6">
            <w:pPr>
              <w:jc w:val="left"/>
              <w:rPr>
                <w:rFonts w:eastAsia="Aptos"/>
                <w:noProof/>
                <w:sz w:val="20"/>
                <w:szCs w:val="20"/>
              </w:rPr>
            </w:pPr>
            <w:r w:rsidRPr="1FA04443">
              <w:rPr>
                <w:rFonts w:eastAsia="Aptos"/>
                <w:noProof/>
                <w:sz w:val="20"/>
                <w:szCs w:val="20"/>
              </w:rPr>
              <w:t>With a total cost of EUR</w:t>
            </w:r>
            <w:r w:rsidR="7F34E76D" w:rsidRPr="1FA04443">
              <w:rPr>
                <w:rFonts w:eastAsia="Aptos"/>
                <w:noProof/>
                <w:sz w:val="20"/>
                <w:szCs w:val="20"/>
              </w:rPr>
              <w:t xml:space="preserve"> </w:t>
            </w:r>
            <w:r w:rsidR="45D8B691" w:rsidRPr="1FA04443">
              <w:rPr>
                <w:rFonts w:eastAsia="Aptos"/>
                <w:noProof/>
                <w:sz w:val="20"/>
                <w:szCs w:val="20"/>
              </w:rPr>
              <w:t>1</w:t>
            </w:r>
            <w:r w:rsidRPr="1FA04443">
              <w:rPr>
                <w:rFonts w:eastAsia="Aptos"/>
                <w:noProof/>
                <w:sz w:val="20"/>
                <w:szCs w:val="20"/>
              </w:rPr>
              <w:t xml:space="preserve"> million for </w:t>
            </w:r>
            <w:r w:rsidR="3D519AA5" w:rsidRPr="1FA04443">
              <w:rPr>
                <w:rFonts w:eastAsia="Aptos"/>
                <w:noProof/>
                <w:sz w:val="20"/>
                <w:szCs w:val="20"/>
              </w:rPr>
              <w:t>affected</w:t>
            </w:r>
            <w:r w:rsidRPr="1FA04443">
              <w:rPr>
                <w:rFonts w:eastAsia="Aptos"/>
                <w:noProof/>
                <w:sz w:val="20"/>
                <w:szCs w:val="20"/>
              </w:rPr>
              <w:t xml:space="preserve"> OEM and construction companies</w:t>
            </w:r>
          </w:p>
          <w:p w14:paraId="26F30736" w14:textId="77777777" w:rsidR="0032581A" w:rsidRPr="00FF63D1" w:rsidRDefault="0032581A">
            <w:pPr>
              <w:jc w:val="left"/>
              <w:rPr>
                <w:rFonts w:eastAsia="Aptos"/>
                <w:noProof/>
                <w:sz w:val="20"/>
                <w:szCs w:val="20"/>
              </w:rPr>
            </w:pPr>
          </w:p>
          <w:p w14:paraId="1ED2D3C2" w14:textId="4DDA9DCB" w:rsidR="0032581A" w:rsidRPr="00F261DB" w:rsidRDefault="00213E45">
            <w:pPr>
              <w:jc w:val="left"/>
              <w:rPr>
                <w:rFonts w:eastAsia="Aptos"/>
                <w:noProof/>
                <w:sz w:val="20"/>
                <w:szCs w:val="20"/>
              </w:rPr>
            </w:pPr>
            <w:r w:rsidRPr="00FF63D1">
              <w:rPr>
                <w:rFonts w:eastAsia="Aptos"/>
                <w:noProof/>
                <w:sz w:val="20"/>
                <w:szCs w:val="20"/>
              </w:rPr>
              <w:t>S</w:t>
            </w:r>
            <w:r w:rsidR="00001CC8" w:rsidRPr="00FF63D1">
              <w:rPr>
                <w:rFonts w:eastAsia="Aptos"/>
                <w:noProof/>
                <w:sz w:val="20"/>
                <w:szCs w:val="20"/>
              </w:rPr>
              <w:t xml:space="preserve">teel label </w:t>
            </w:r>
            <w:r w:rsidR="00734328" w:rsidRPr="00FF63D1">
              <w:rPr>
                <w:rFonts w:eastAsia="Aptos"/>
                <w:noProof/>
                <w:sz w:val="20"/>
                <w:szCs w:val="20"/>
              </w:rPr>
              <w:t xml:space="preserve">certification: </w:t>
            </w:r>
            <w:r w:rsidR="00EE4B85" w:rsidRPr="00FF63D1">
              <w:rPr>
                <w:rFonts w:eastAsia="Aptos"/>
                <w:noProof/>
                <w:sz w:val="20"/>
                <w:szCs w:val="20"/>
              </w:rPr>
              <w:t>EUR 6</w:t>
            </w:r>
            <w:r w:rsidR="00B8591D">
              <w:rPr>
                <w:rFonts w:eastAsia="Aptos"/>
                <w:noProof/>
                <w:sz w:val="20"/>
                <w:szCs w:val="20"/>
              </w:rPr>
              <w:t xml:space="preserve"> </w:t>
            </w:r>
            <w:r w:rsidR="00EE4B85" w:rsidRPr="00FF63D1">
              <w:rPr>
                <w:rFonts w:eastAsia="Aptos"/>
                <w:noProof/>
                <w:sz w:val="20"/>
                <w:szCs w:val="20"/>
              </w:rPr>
              <w:t xml:space="preserve">700 per </w:t>
            </w:r>
            <w:r w:rsidR="00555212" w:rsidRPr="00FF63D1">
              <w:rPr>
                <w:rFonts w:eastAsia="Aptos"/>
                <w:noProof/>
                <w:sz w:val="20"/>
                <w:szCs w:val="20"/>
              </w:rPr>
              <w:t>site</w:t>
            </w:r>
            <w:r w:rsidR="00807654" w:rsidRPr="00FF63D1">
              <w:rPr>
                <w:rFonts w:eastAsia="Aptos"/>
                <w:noProof/>
                <w:sz w:val="20"/>
                <w:szCs w:val="20"/>
              </w:rPr>
              <w:t xml:space="preserve"> per year, </w:t>
            </w:r>
            <w:r w:rsidR="00F7370F" w:rsidRPr="00FF63D1">
              <w:rPr>
                <w:rFonts w:eastAsia="Aptos"/>
                <w:noProof/>
                <w:sz w:val="20"/>
                <w:szCs w:val="20"/>
              </w:rPr>
              <w:t xml:space="preserve">with a </w:t>
            </w:r>
            <w:r w:rsidR="00807654" w:rsidRPr="00FF63D1">
              <w:rPr>
                <w:rFonts w:eastAsia="Aptos"/>
                <w:noProof/>
                <w:sz w:val="20"/>
                <w:szCs w:val="20"/>
              </w:rPr>
              <w:t xml:space="preserve">total </w:t>
            </w:r>
            <w:r w:rsidR="00F7370F" w:rsidRPr="00FF63D1">
              <w:rPr>
                <w:rFonts w:eastAsia="Aptos"/>
                <w:noProof/>
                <w:sz w:val="20"/>
                <w:szCs w:val="20"/>
              </w:rPr>
              <w:t xml:space="preserve">of </w:t>
            </w:r>
            <w:r w:rsidR="00807654" w:rsidRPr="00FF63D1">
              <w:rPr>
                <w:rFonts w:eastAsia="Aptos"/>
                <w:noProof/>
                <w:sz w:val="20"/>
                <w:szCs w:val="20"/>
              </w:rPr>
              <w:t xml:space="preserve">EUR </w:t>
            </w:r>
            <w:r w:rsidR="00DF3DF9" w:rsidRPr="00FF63D1">
              <w:rPr>
                <w:rFonts w:eastAsia="Aptos"/>
                <w:noProof/>
                <w:sz w:val="20"/>
                <w:szCs w:val="20"/>
              </w:rPr>
              <w:t>154</w:t>
            </w:r>
            <w:r w:rsidR="00D7393A">
              <w:rPr>
                <w:rFonts w:eastAsia="Aptos"/>
                <w:noProof/>
                <w:sz w:val="20"/>
                <w:szCs w:val="20"/>
              </w:rPr>
              <w:t xml:space="preserve"> </w:t>
            </w:r>
            <w:r w:rsidR="00F7370F" w:rsidRPr="00FF63D1">
              <w:rPr>
                <w:rFonts w:eastAsia="Aptos"/>
                <w:noProof/>
                <w:sz w:val="20"/>
                <w:szCs w:val="20"/>
              </w:rPr>
              <w:t xml:space="preserve">100 for 23 </w:t>
            </w:r>
            <w:r w:rsidR="00555212" w:rsidRPr="00FF63D1">
              <w:rPr>
                <w:rFonts w:eastAsia="Aptos"/>
                <w:noProof/>
                <w:sz w:val="20"/>
                <w:szCs w:val="20"/>
              </w:rPr>
              <w:t>steel sites</w:t>
            </w:r>
          </w:p>
        </w:tc>
        <w:tc>
          <w:tcPr>
            <w:tcW w:w="630" w:type="pct"/>
            <w:tcBorders>
              <w:top w:val="single" w:sz="6" w:space="0" w:color="auto"/>
              <w:left w:val="single" w:sz="6" w:space="0" w:color="auto"/>
              <w:bottom w:val="single" w:sz="6" w:space="0" w:color="auto"/>
              <w:right w:val="single" w:sz="6" w:space="0" w:color="auto"/>
            </w:tcBorders>
            <w:vAlign w:val="center"/>
          </w:tcPr>
          <w:p w14:paraId="6EA5D8B1" w14:textId="20718B6C"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408F2001" w14:textId="66CBFE63" w:rsidR="00CA64B9" w:rsidRPr="00F261DB" w:rsidRDefault="26B9D6D5">
            <w:pPr>
              <w:jc w:val="left"/>
              <w:rPr>
                <w:rFonts w:eastAsia="Aptos"/>
                <w:noProof/>
                <w:sz w:val="20"/>
                <w:szCs w:val="20"/>
              </w:rPr>
            </w:pPr>
            <w:r w:rsidRPr="3C1B0927">
              <w:rPr>
                <w:rFonts w:eastAsia="Aptos"/>
                <w:noProof/>
                <w:sz w:val="20"/>
                <w:szCs w:val="20"/>
              </w:rPr>
              <w:t>Member States: 2 FTE (EUR 3.3 million total for all</w:t>
            </w:r>
            <w:r w:rsidR="27F3A5F8" w:rsidRPr="3C1B0927">
              <w:rPr>
                <w:rFonts w:eastAsia="Aptos"/>
                <w:noProof/>
                <w:sz w:val="20"/>
                <w:szCs w:val="20"/>
              </w:rPr>
              <w:t xml:space="preserve"> Member States</w:t>
            </w:r>
            <w:r w:rsidRPr="3C1B0927">
              <w:rPr>
                <w:rFonts w:eastAsia="Aptos"/>
                <w:noProof/>
                <w:sz w:val="20"/>
                <w:szCs w:val="20"/>
              </w:rPr>
              <w:t>) per year</w:t>
            </w:r>
            <w:r w:rsidR="7E4853C7" w:rsidRPr="3C1B0927">
              <w:rPr>
                <w:rFonts w:eastAsia="Aptos"/>
                <w:noProof/>
                <w:sz w:val="20"/>
                <w:szCs w:val="20"/>
              </w:rPr>
              <w:t xml:space="preserve"> to</w:t>
            </w:r>
            <w:r w:rsidRPr="3C1B0927">
              <w:rPr>
                <w:rFonts w:eastAsia="Aptos"/>
                <w:noProof/>
                <w:sz w:val="20"/>
                <w:szCs w:val="20"/>
              </w:rPr>
              <w:t xml:space="preserve"> design and monitor in relation to lead market provisions. </w:t>
            </w:r>
            <w:r w:rsidR="2B1D565D" w:rsidRPr="3C1B0927">
              <w:rPr>
                <w:rFonts w:eastAsia="Aptos"/>
                <w:noProof/>
                <w:sz w:val="20"/>
                <w:szCs w:val="20"/>
              </w:rPr>
              <w:t>(including for batteries and vehicle components)</w:t>
            </w:r>
          </w:p>
          <w:p w14:paraId="1768B752" w14:textId="77777777" w:rsidR="00CA64B9" w:rsidRPr="00F261DB" w:rsidRDefault="00CA64B9">
            <w:pPr>
              <w:jc w:val="left"/>
              <w:rPr>
                <w:rFonts w:eastAsia="Aptos"/>
                <w:noProof/>
                <w:sz w:val="20"/>
                <w:szCs w:val="20"/>
              </w:rPr>
            </w:pPr>
          </w:p>
          <w:p w14:paraId="12646137" w14:textId="271DA0BF" w:rsidR="00CA64B9" w:rsidRPr="00FF63D1" w:rsidRDefault="00CA64B9">
            <w:pPr>
              <w:jc w:val="left"/>
              <w:rPr>
                <w:noProof/>
                <w:sz w:val="20"/>
              </w:rPr>
            </w:pPr>
            <w:r w:rsidRPr="6446CEE8">
              <w:rPr>
                <w:rFonts w:eastAsia="Aptos"/>
                <w:noProof/>
                <w:sz w:val="20"/>
                <w:szCs w:val="20"/>
              </w:rPr>
              <w:t xml:space="preserve">European Commission: 1 month FTE (EUR </w:t>
            </w:r>
            <w:r w:rsidR="009D1453">
              <w:rPr>
                <w:rFonts w:eastAsia="Aptos"/>
                <w:noProof/>
                <w:sz w:val="20"/>
                <w:szCs w:val="20"/>
              </w:rPr>
              <w:t>16 167</w:t>
            </w:r>
            <w:r w:rsidRPr="6446CEE8">
              <w:rPr>
                <w:rFonts w:eastAsia="Aptos"/>
                <w:noProof/>
                <w:sz w:val="20"/>
                <w:szCs w:val="20"/>
              </w:rPr>
              <w:t xml:space="preserve">) </w:t>
            </w:r>
            <w:r w:rsidR="00A149F7" w:rsidRPr="6446CEE8">
              <w:rPr>
                <w:rFonts w:eastAsia="Aptos"/>
                <w:noProof/>
                <w:sz w:val="20"/>
                <w:szCs w:val="20"/>
              </w:rPr>
              <w:t xml:space="preserve">per year </w:t>
            </w:r>
            <w:r w:rsidRPr="6446CEE8">
              <w:rPr>
                <w:rFonts w:eastAsia="Aptos"/>
                <w:noProof/>
                <w:sz w:val="20"/>
                <w:szCs w:val="20"/>
              </w:rPr>
              <w:t>for monitoring lead provisions (including batteries, solar and vehicle components)</w:t>
            </w:r>
          </w:p>
        </w:tc>
      </w:tr>
      <w:tr w:rsidR="00147D8A" w:rsidRPr="005B5DB1" w14:paraId="3B2CD9A4" w14:textId="77777777" w:rsidTr="7ECD02B7">
        <w:trPr>
          <w:trHeight w:val="300"/>
        </w:trPr>
        <w:tc>
          <w:tcPr>
            <w:tcW w:w="423" w:type="pct"/>
            <w:vMerge w:val="restart"/>
            <w:tcBorders>
              <w:left w:val="double" w:sz="6" w:space="0" w:color="auto"/>
              <w:right w:val="single" w:sz="6" w:space="0" w:color="auto"/>
            </w:tcBorders>
            <w:vAlign w:val="center"/>
          </w:tcPr>
          <w:p w14:paraId="38888F1A" w14:textId="3E17152C" w:rsidR="00CA64B9" w:rsidRPr="00F261DB" w:rsidRDefault="00CA64B9">
            <w:pPr>
              <w:rPr>
                <w:noProof/>
                <w:sz w:val="20"/>
                <w:szCs w:val="20"/>
              </w:rPr>
            </w:pPr>
            <w:r w:rsidRPr="00F261DB">
              <w:rPr>
                <w:noProof/>
                <w:sz w:val="20"/>
                <w:szCs w:val="20"/>
              </w:rPr>
              <w:lastRenderedPageBreak/>
              <w:t>LEAD_BAT 1</w:t>
            </w:r>
          </w:p>
        </w:tc>
        <w:tc>
          <w:tcPr>
            <w:tcW w:w="478" w:type="pct"/>
            <w:tcBorders>
              <w:top w:val="single" w:sz="6" w:space="0" w:color="auto"/>
              <w:left w:val="single" w:sz="6" w:space="0" w:color="auto"/>
              <w:bottom w:val="single" w:sz="6" w:space="0" w:color="auto"/>
              <w:right w:val="single" w:sz="6" w:space="0" w:color="auto"/>
            </w:tcBorders>
            <w:vAlign w:val="center"/>
          </w:tcPr>
          <w:p w14:paraId="69E6AEE9" w14:textId="6B76BFE0" w:rsidR="00CA64B9" w:rsidRPr="00FF63D1" w:rsidRDefault="00CA64B9">
            <w:pPr>
              <w:jc w:val="left"/>
              <w:rPr>
                <w:noProof/>
                <w:sz w:val="20"/>
              </w:rPr>
            </w:pPr>
            <w:r w:rsidRPr="00FF63D1">
              <w:rPr>
                <w:noProof/>
                <w:sz w:val="20"/>
              </w:rPr>
              <w:t>Direct adjustment costs</w:t>
            </w:r>
          </w:p>
        </w:tc>
        <w:tc>
          <w:tcPr>
            <w:tcW w:w="636" w:type="pct"/>
            <w:tcBorders>
              <w:top w:val="single" w:sz="6" w:space="0" w:color="auto"/>
              <w:left w:val="double" w:sz="6" w:space="0" w:color="auto"/>
              <w:bottom w:val="single" w:sz="6" w:space="0" w:color="auto"/>
              <w:right w:val="single" w:sz="6" w:space="0" w:color="auto"/>
            </w:tcBorders>
            <w:vAlign w:val="center"/>
          </w:tcPr>
          <w:p w14:paraId="51D11203" w14:textId="16787E77" w:rsidR="00CA64B9" w:rsidRPr="00F261DB" w:rsidRDefault="00CA64B9">
            <w:pPr>
              <w:jc w:val="left"/>
              <w:rPr>
                <w:noProof/>
                <w:sz w:val="20"/>
                <w:szCs w:val="20"/>
              </w:rPr>
            </w:pPr>
          </w:p>
        </w:tc>
        <w:tc>
          <w:tcPr>
            <w:tcW w:w="564" w:type="pct"/>
            <w:tcBorders>
              <w:top w:val="single" w:sz="6" w:space="0" w:color="auto"/>
              <w:left w:val="single" w:sz="6" w:space="0" w:color="auto"/>
              <w:bottom w:val="single" w:sz="6" w:space="0" w:color="auto"/>
              <w:right w:val="single" w:sz="6" w:space="0" w:color="auto"/>
            </w:tcBorders>
            <w:vAlign w:val="center"/>
          </w:tcPr>
          <w:p w14:paraId="5CACD01C" w14:textId="040D284D" w:rsidR="00CA64B9" w:rsidRPr="00FF63D1" w:rsidRDefault="006C2900">
            <w:pPr>
              <w:jc w:val="left"/>
              <w:rPr>
                <w:noProof/>
                <w:sz w:val="20"/>
              </w:rPr>
            </w:pPr>
            <w:r w:rsidRPr="00FF63D1">
              <w:rPr>
                <w:noProof/>
                <w:sz w:val="20"/>
                <w:szCs w:val="20"/>
              </w:rPr>
              <w:t>EVs:</w:t>
            </w:r>
            <w:r w:rsidRPr="00F261DB">
              <w:rPr>
                <w:noProof/>
              </w:rPr>
              <w:t xml:space="preserve"> </w:t>
            </w:r>
            <w:r w:rsidRPr="00FF63D1">
              <w:rPr>
                <w:noProof/>
                <w:sz w:val="20"/>
                <w:szCs w:val="20"/>
              </w:rPr>
              <w:t>EUR 292-730 million for public support schemes</w:t>
            </w:r>
          </w:p>
        </w:tc>
        <w:tc>
          <w:tcPr>
            <w:tcW w:w="694" w:type="pct"/>
            <w:tcBorders>
              <w:top w:val="single" w:sz="6" w:space="0" w:color="auto"/>
              <w:left w:val="single" w:sz="6" w:space="0" w:color="auto"/>
              <w:bottom w:val="single" w:sz="6" w:space="0" w:color="auto"/>
              <w:right w:val="single" w:sz="6" w:space="0" w:color="auto"/>
            </w:tcBorders>
            <w:vAlign w:val="center"/>
          </w:tcPr>
          <w:p w14:paraId="6CB8A5E6" w14:textId="3E9B5ABF" w:rsidR="00CA64B9" w:rsidRPr="00FF63D1" w:rsidRDefault="00CA64B9">
            <w:pPr>
              <w:jc w:val="left"/>
              <w:rPr>
                <w:rFonts w:eastAsia="Aptos"/>
                <w:noProof/>
                <w:sz w:val="20"/>
                <w:szCs w:val="20"/>
              </w:rPr>
            </w:pPr>
            <w:r w:rsidRPr="00FF63D1">
              <w:rPr>
                <w:rFonts w:eastAsia="Aptos"/>
                <w:noProof/>
                <w:sz w:val="20"/>
                <w:szCs w:val="20"/>
              </w:rPr>
              <w:t xml:space="preserve">Selected downstream sector: Expected moderate but non-quantified impact from the potential readjustment of supply chains, including finding manufacturers for EU products, and manufacturing processes to ensure compliance with made in </w:t>
            </w:r>
            <w:r w:rsidR="00281489">
              <w:rPr>
                <w:rFonts w:eastAsia="Aptos"/>
                <w:noProof/>
                <w:sz w:val="20"/>
                <w:szCs w:val="20"/>
              </w:rPr>
              <w:t>Made in EU</w:t>
            </w:r>
            <w:r w:rsidRPr="00FF63D1">
              <w:rPr>
                <w:rFonts w:eastAsia="Aptos"/>
                <w:noProof/>
                <w:sz w:val="20"/>
                <w:szCs w:val="20"/>
              </w:rPr>
              <w:t xml:space="preserve"> requirements</w:t>
            </w:r>
          </w:p>
        </w:tc>
        <w:tc>
          <w:tcPr>
            <w:tcW w:w="894" w:type="pct"/>
            <w:tcBorders>
              <w:top w:val="single" w:sz="6" w:space="0" w:color="auto"/>
              <w:left w:val="single" w:sz="6" w:space="0" w:color="auto"/>
              <w:bottom w:val="single" w:sz="6" w:space="0" w:color="auto"/>
              <w:right w:val="single" w:sz="6" w:space="0" w:color="auto"/>
            </w:tcBorders>
            <w:vAlign w:val="center"/>
          </w:tcPr>
          <w:p w14:paraId="02C15FB2" w14:textId="485506DB" w:rsidR="00CA64B9" w:rsidRPr="00F261DB" w:rsidRDefault="00CA64B9">
            <w:pPr>
              <w:jc w:val="left"/>
              <w:rPr>
                <w:rFonts w:eastAsia="Aptos"/>
                <w:noProof/>
                <w:sz w:val="20"/>
                <w:szCs w:val="20"/>
              </w:rPr>
            </w:pPr>
            <w:r w:rsidRPr="00FF63D1">
              <w:rPr>
                <w:rFonts w:eastAsia="Aptos"/>
                <w:noProof/>
                <w:sz w:val="20"/>
                <w:szCs w:val="20"/>
              </w:rPr>
              <w:t>EVs</w:t>
            </w:r>
            <w:r w:rsidR="006C2900" w:rsidRPr="00FF63D1">
              <w:rPr>
                <w:rFonts w:eastAsia="Aptos"/>
                <w:noProof/>
                <w:sz w:val="20"/>
                <w:szCs w:val="20"/>
              </w:rPr>
              <w:t>:</w:t>
            </w:r>
            <w:r w:rsidRPr="00FF63D1">
              <w:rPr>
                <w:rFonts w:eastAsia="Aptos"/>
                <w:noProof/>
                <w:sz w:val="20"/>
                <w:szCs w:val="20"/>
              </w:rPr>
              <w:t xml:space="preserve"> EUR 0.9-2.2 billion for public support schemes</w:t>
            </w:r>
            <w:r w:rsidR="00555212" w:rsidRPr="00FF63D1">
              <w:rPr>
                <w:rFonts w:eastAsia="Aptos"/>
                <w:noProof/>
                <w:sz w:val="20"/>
                <w:szCs w:val="20"/>
              </w:rPr>
              <w:t xml:space="preserve"> </w:t>
            </w:r>
          </w:p>
        </w:tc>
        <w:tc>
          <w:tcPr>
            <w:tcW w:w="630" w:type="pct"/>
            <w:tcBorders>
              <w:top w:val="single" w:sz="6" w:space="0" w:color="auto"/>
              <w:left w:val="single" w:sz="6" w:space="0" w:color="auto"/>
              <w:bottom w:val="single" w:sz="6" w:space="0" w:color="auto"/>
              <w:right w:val="single" w:sz="6" w:space="0" w:color="auto"/>
            </w:tcBorders>
            <w:vAlign w:val="center"/>
          </w:tcPr>
          <w:p w14:paraId="4F80DBF2" w14:textId="77777777"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31E4DD35" w14:textId="30CB4E3D" w:rsidR="00CA64B9" w:rsidRPr="00F261DB" w:rsidRDefault="00CA64B9">
            <w:pPr>
              <w:jc w:val="left"/>
              <w:rPr>
                <w:rFonts w:eastAsia="Aptos"/>
                <w:noProof/>
                <w:sz w:val="20"/>
                <w:szCs w:val="20"/>
              </w:rPr>
            </w:pPr>
            <w:r w:rsidRPr="00F261DB">
              <w:rPr>
                <w:rFonts w:eastAsia="Aptos"/>
                <w:noProof/>
                <w:sz w:val="20"/>
                <w:szCs w:val="20"/>
              </w:rPr>
              <w:t>Member States total: Auctions for BESS: EUR 26-66 million</w:t>
            </w:r>
          </w:p>
          <w:p w14:paraId="1D82BA2C" w14:textId="02853AE7" w:rsidR="00CA64B9" w:rsidRPr="0036649F" w:rsidRDefault="00CA64B9">
            <w:pPr>
              <w:jc w:val="left"/>
              <w:rPr>
                <w:rFonts w:eastAsia="Aptos"/>
                <w:noProof/>
                <w:sz w:val="20"/>
                <w:szCs w:val="20"/>
                <w:lang w:val="fr-BE"/>
              </w:rPr>
            </w:pPr>
            <w:r w:rsidRPr="0036649F">
              <w:rPr>
                <w:rFonts w:eastAsia="Aptos"/>
                <w:noProof/>
                <w:sz w:val="20"/>
                <w:szCs w:val="20"/>
                <w:lang w:val="fr-BE"/>
              </w:rPr>
              <w:t xml:space="preserve">Vehicle fleet EVs: EUR 132 – 331 million </w:t>
            </w:r>
          </w:p>
        </w:tc>
      </w:tr>
      <w:tr w:rsidR="00147D8A" w:rsidRPr="00F261DB" w14:paraId="13FF3B85" w14:textId="77777777" w:rsidTr="7ECD02B7">
        <w:trPr>
          <w:trHeight w:val="300"/>
        </w:trPr>
        <w:tc>
          <w:tcPr>
            <w:tcW w:w="423" w:type="pct"/>
            <w:vMerge/>
            <w:vAlign w:val="center"/>
          </w:tcPr>
          <w:p w14:paraId="2ACBC227" w14:textId="77777777" w:rsidR="00CA64B9" w:rsidRPr="0036649F" w:rsidRDefault="00CA64B9">
            <w:pPr>
              <w:rPr>
                <w:noProof/>
                <w:sz w:val="20"/>
                <w:lang w:val="fr-BE"/>
              </w:rPr>
            </w:pPr>
          </w:p>
        </w:tc>
        <w:tc>
          <w:tcPr>
            <w:tcW w:w="478" w:type="pct"/>
            <w:tcBorders>
              <w:top w:val="single" w:sz="6" w:space="0" w:color="auto"/>
              <w:left w:val="single" w:sz="6" w:space="0" w:color="auto"/>
              <w:bottom w:val="single" w:sz="6" w:space="0" w:color="auto"/>
              <w:right w:val="single" w:sz="6" w:space="0" w:color="auto"/>
            </w:tcBorders>
            <w:vAlign w:val="center"/>
          </w:tcPr>
          <w:p w14:paraId="65E41839" w14:textId="4EB6C479" w:rsidR="00CA64B9" w:rsidRPr="00FF63D1" w:rsidRDefault="00CA64B9">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single" w:sz="6" w:space="0" w:color="auto"/>
              <w:right w:val="single" w:sz="6" w:space="0" w:color="auto"/>
            </w:tcBorders>
            <w:vAlign w:val="center"/>
          </w:tcPr>
          <w:p w14:paraId="7A823C8A"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7159614E"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0CF6F230" w14:textId="77777777"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78B5D0DC" w14:textId="33304C7A" w:rsidR="00CA64B9" w:rsidRPr="00F261DB" w:rsidRDefault="00CA64B9">
            <w:pPr>
              <w:jc w:val="left"/>
              <w:rPr>
                <w:rFonts w:eastAsia="Aptos"/>
                <w:noProof/>
                <w:sz w:val="20"/>
                <w:szCs w:val="20"/>
              </w:rPr>
            </w:pPr>
            <w:r w:rsidRPr="00F261DB">
              <w:rPr>
                <w:rFonts w:eastAsia="Aptos"/>
                <w:noProof/>
                <w:sz w:val="20"/>
                <w:szCs w:val="20"/>
              </w:rPr>
              <w:t>1</w:t>
            </w:r>
            <w:r w:rsidRPr="00FF63D1">
              <w:rPr>
                <w:rFonts w:eastAsia="Aptos"/>
                <w:noProof/>
                <w:sz w:val="20"/>
                <w:szCs w:val="20"/>
              </w:rPr>
              <w:t>/2</w:t>
            </w:r>
            <w:r w:rsidR="00CD0E5D" w:rsidRPr="00CD0E5D">
              <w:rPr>
                <w:rFonts w:eastAsia="Aptos"/>
                <w:noProof/>
                <w:sz w:val="20"/>
                <w:szCs w:val="20"/>
              </w:rPr>
              <w:t>-</w:t>
            </w:r>
            <w:r w:rsidRPr="00F261DB">
              <w:rPr>
                <w:rFonts w:eastAsia="Aptos"/>
                <w:noProof/>
                <w:sz w:val="20"/>
                <w:szCs w:val="20"/>
              </w:rPr>
              <w:t xml:space="preserve">week FTE (EUR </w:t>
            </w:r>
            <w:r w:rsidRPr="00FF63D1">
              <w:rPr>
                <w:rFonts w:eastAsia="Aptos"/>
                <w:noProof/>
                <w:sz w:val="20"/>
                <w:szCs w:val="20"/>
              </w:rPr>
              <w:t>2</w:t>
            </w:r>
            <w:r w:rsidR="00D7393A">
              <w:rPr>
                <w:rFonts w:eastAsia="Aptos"/>
                <w:noProof/>
                <w:sz w:val="20"/>
                <w:szCs w:val="20"/>
              </w:rPr>
              <w:t xml:space="preserve"> </w:t>
            </w:r>
            <w:r w:rsidRPr="00FF63D1">
              <w:rPr>
                <w:rFonts w:eastAsia="Aptos"/>
                <w:noProof/>
                <w:sz w:val="20"/>
                <w:szCs w:val="20"/>
              </w:rPr>
              <w:t xml:space="preserve">117 </w:t>
            </w:r>
            <w:r w:rsidRPr="00F261DB">
              <w:rPr>
                <w:rFonts w:eastAsia="Aptos"/>
                <w:noProof/>
                <w:sz w:val="20"/>
                <w:szCs w:val="20"/>
              </w:rPr>
              <w:t xml:space="preserve">total </w:t>
            </w:r>
            <w:r w:rsidRPr="00FF63D1">
              <w:rPr>
                <w:rFonts w:eastAsia="Aptos"/>
                <w:noProof/>
                <w:sz w:val="20"/>
                <w:szCs w:val="20"/>
              </w:rPr>
              <w:t>for all companies</w:t>
            </w:r>
            <w:r w:rsidR="0069467E">
              <w:rPr>
                <w:rFonts w:eastAsia="Aptos"/>
                <w:noProof/>
                <w:sz w:val="20"/>
                <w:szCs w:val="20"/>
              </w:rPr>
              <w:t>)</w:t>
            </w:r>
            <w:r w:rsidRPr="00F261DB">
              <w:rPr>
                <w:rFonts w:eastAsia="Aptos"/>
                <w:noProof/>
                <w:sz w:val="20"/>
                <w:szCs w:val="20"/>
              </w:rPr>
              <w:t xml:space="preserve"> per year for </w:t>
            </w:r>
            <w:r w:rsidR="00FF320C" w:rsidRPr="00FF63D1">
              <w:rPr>
                <w:rFonts w:eastAsia="Aptos"/>
                <w:noProof/>
                <w:sz w:val="20"/>
                <w:szCs w:val="20"/>
              </w:rPr>
              <w:t>demonstrating compliance</w:t>
            </w:r>
            <w:r w:rsidRPr="00F261DB">
              <w:rPr>
                <w:rFonts w:eastAsia="Aptos"/>
                <w:noProof/>
                <w:sz w:val="20"/>
                <w:szCs w:val="20"/>
              </w:rPr>
              <w:t xml:space="preserve"> </w:t>
            </w:r>
            <w:r w:rsidR="00FF320C" w:rsidRPr="00FF63D1">
              <w:rPr>
                <w:rFonts w:eastAsia="Aptos"/>
                <w:noProof/>
                <w:sz w:val="20"/>
                <w:szCs w:val="20"/>
              </w:rPr>
              <w:t xml:space="preserve">with </w:t>
            </w:r>
            <w:r w:rsidRPr="00F261DB">
              <w:rPr>
                <w:rFonts w:eastAsia="Aptos"/>
                <w:noProof/>
                <w:sz w:val="20"/>
                <w:szCs w:val="20"/>
              </w:rPr>
              <w:t>made in EU requirements</w:t>
            </w:r>
          </w:p>
        </w:tc>
        <w:tc>
          <w:tcPr>
            <w:tcW w:w="630" w:type="pct"/>
            <w:tcBorders>
              <w:top w:val="single" w:sz="6" w:space="0" w:color="auto"/>
              <w:left w:val="single" w:sz="6" w:space="0" w:color="auto"/>
              <w:bottom w:val="single" w:sz="6" w:space="0" w:color="auto"/>
              <w:right w:val="single" w:sz="6" w:space="0" w:color="auto"/>
            </w:tcBorders>
            <w:vAlign w:val="center"/>
          </w:tcPr>
          <w:p w14:paraId="721A7550" w14:textId="7D2F1B17"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7C1385C1" w14:textId="1F1C536D" w:rsidR="00CA64B9" w:rsidRPr="00F261DB" w:rsidRDefault="26B9D6D5">
            <w:pPr>
              <w:jc w:val="left"/>
              <w:rPr>
                <w:rFonts w:eastAsia="Aptos"/>
                <w:noProof/>
                <w:sz w:val="20"/>
                <w:szCs w:val="20"/>
              </w:rPr>
            </w:pPr>
            <w:r w:rsidRPr="3C1B0927">
              <w:rPr>
                <w:noProof/>
                <w:color w:val="000000" w:themeColor="text1"/>
                <w:sz w:val="20"/>
                <w:szCs w:val="20"/>
              </w:rPr>
              <w:t>Member States: 1/4 FTE (EUR 412</w:t>
            </w:r>
            <w:r w:rsidR="2B4E8B76" w:rsidRPr="3C1B0927">
              <w:rPr>
                <w:noProof/>
                <w:color w:val="000000" w:themeColor="text1"/>
                <w:sz w:val="20"/>
                <w:szCs w:val="20"/>
              </w:rPr>
              <w:t xml:space="preserve"> </w:t>
            </w:r>
            <w:r w:rsidRPr="3C1B0927">
              <w:rPr>
                <w:noProof/>
                <w:color w:val="000000" w:themeColor="text1"/>
                <w:sz w:val="20"/>
                <w:szCs w:val="20"/>
              </w:rPr>
              <w:t>776 total for all</w:t>
            </w:r>
            <w:r w:rsidR="27F3A5F8" w:rsidRPr="3C1B0927">
              <w:rPr>
                <w:noProof/>
                <w:color w:val="000000" w:themeColor="text1"/>
                <w:sz w:val="20"/>
                <w:szCs w:val="20"/>
              </w:rPr>
              <w:t xml:space="preserve"> Member States</w:t>
            </w:r>
            <w:r w:rsidRPr="3C1B0927">
              <w:rPr>
                <w:noProof/>
                <w:color w:val="000000" w:themeColor="text1"/>
                <w:sz w:val="20"/>
                <w:szCs w:val="20"/>
              </w:rPr>
              <w:t>) per year to design and monitor in relation to lead market provisions </w:t>
            </w:r>
          </w:p>
        </w:tc>
      </w:tr>
      <w:tr w:rsidR="00147D8A" w:rsidRPr="00F261DB" w14:paraId="57EBDE1E" w14:textId="77777777" w:rsidTr="7ECD02B7">
        <w:trPr>
          <w:trHeight w:val="300"/>
        </w:trPr>
        <w:tc>
          <w:tcPr>
            <w:tcW w:w="423" w:type="pct"/>
            <w:vMerge w:val="restart"/>
            <w:tcBorders>
              <w:left w:val="double" w:sz="6" w:space="0" w:color="auto"/>
              <w:right w:val="single" w:sz="6" w:space="0" w:color="auto"/>
            </w:tcBorders>
            <w:vAlign w:val="center"/>
          </w:tcPr>
          <w:p w14:paraId="51094A78" w14:textId="10DABE32" w:rsidR="00CA64B9" w:rsidRPr="00F261DB" w:rsidRDefault="00CA64B9">
            <w:pPr>
              <w:rPr>
                <w:noProof/>
                <w:sz w:val="20"/>
                <w:szCs w:val="20"/>
              </w:rPr>
            </w:pPr>
            <w:r w:rsidRPr="00F261DB">
              <w:rPr>
                <w:noProof/>
                <w:sz w:val="20"/>
                <w:szCs w:val="20"/>
              </w:rPr>
              <w:t>LEAD_SOL 1</w:t>
            </w:r>
          </w:p>
        </w:tc>
        <w:tc>
          <w:tcPr>
            <w:tcW w:w="478" w:type="pct"/>
            <w:tcBorders>
              <w:top w:val="single" w:sz="6" w:space="0" w:color="auto"/>
              <w:left w:val="single" w:sz="6" w:space="0" w:color="auto"/>
              <w:bottom w:val="single" w:sz="6" w:space="0" w:color="auto"/>
              <w:right w:val="single" w:sz="6" w:space="0" w:color="auto"/>
            </w:tcBorders>
            <w:vAlign w:val="center"/>
          </w:tcPr>
          <w:p w14:paraId="4737A670" w14:textId="6904700A" w:rsidR="00CA64B9" w:rsidRPr="00FF63D1" w:rsidRDefault="00CA64B9">
            <w:pPr>
              <w:jc w:val="left"/>
              <w:rPr>
                <w:noProof/>
                <w:sz w:val="20"/>
              </w:rPr>
            </w:pPr>
            <w:r w:rsidRPr="00FF63D1">
              <w:rPr>
                <w:noProof/>
                <w:sz w:val="20"/>
              </w:rPr>
              <w:t>Direct adjustment costs</w:t>
            </w:r>
          </w:p>
          <w:p w14:paraId="6C7ACF2F" w14:textId="468681E8" w:rsidR="00CA64B9" w:rsidRPr="00F261DB" w:rsidRDefault="00480BEE">
            <w:pPr>
              <w:jc w:val="left"/>
              <w:rPr>
                <w:noProof/>
              </w:rPr>
            </w:pPr>
            <w:r>
              <w:rPr>
                <w:rFonts w:ascii="Segoe UI" w:hAnsi="Segoe UI"/>
                <w:noProof/>
                <w:sz w:val="21"/>
              </w:rPr>
              <w:t xml:space="preserve"> </w:t>
            </w:r>
          </w:p>
        </w:tc>
        <w:tc>
          <w:tcPr>
            <w:tcW w:w="636" w:type="pct"/>
            <w:tcBorders>
              <w:top w:val="single" w:sz="6" w:space="0" w:color="auto"/>
              <w:left w:val="double" w:sz="6" w:space="0" w:color="auto"/>
              <w:bottom w:val="single" w:sz="6" w:space="0" w:color="auto"/>
              <w:right w:val="single" w:sz="6" w:space="0" w:color="auto"/>
            </w:tcBorders>
            <w:vAlign w:val="center"/>
          </w:tcPr>
          <w:p w14:paraId="3E6B2600" w14:textId="0B1F9F6F" w:rsidR="00CA64B9" w:rsidRPr="00F261DB" w:rsidRDefault="00CA64B9">
            <w:pPr>
              <w:jc w:val="left"/>
              <w:rPr>
                <w:rFonts w:eastAsia="Aptos"/>
                <w:noProof/>
                <w:sz w:val="20"/>
                <w:szCs w:val="20"/>
              </w:rPr>
            </w:pPr>
          </w:p>
        </w:tc>
        <w:tc>
          <w:tcPr>
            <w:tcW w:w="564" w:type="pct"/>
            <w:tcBorders>
              <w:top w:val="single" w:sz="6" w:space="0" w:color="auto"/>
              <w:left w:val="single" w:sz="6" w:space="0" w:color="auto"/>
              <w:bottom w:val="single" w:sz="6" w:space="0" w:color="auto"/>
              <w:right w:val="single" w:sz="6" w:space="0" w:color="auto"/>
            </w:tcBorders>
            <w:vAlign w:val="center"/>
          </w:tcPr>
          <w:p w14:paraId="2F9DA571" w14:textId="27B7DCF8" w:rsidR="00CA64B9" w:rsidRPr="00F261DB" w:rsidRDefault="006C2900">
            <w:pPr>
              <w:jc w:val="left"/>
              <w:rPr>
                <w:rFonts w:eastAsia="Aptos"/>
                <w:noProof/>
                <w:sz w:val="20"/>
                <w:szCs w:val="20"/>
              </w:rPr>
            </w:pPr>
            <w:r w:rsidRPr="00FF63D1">
              <w:rPr>
                <w:rFonts w:eastAsia="Aptos"/>
                <w:noProof/>
                <w:sz w:val="20"/>
                <w:szCs w:val="20"/>
              </w:rPr>
              <w:t xml:space="preserve">EUR </w:t>
            </w:r>
            <w:r w:rsidR="00783F40" w:rsidRPr="00FF63D1">
              <w:rPr>
                <w:rFonts w:eastAsia="Aptos"/>
                <w:noProof/>
                <w:sz w:val="20"/>
                <w:szCs w:val="20"/>
              </w:rPr>
              <w:t xml:space="preserve">241.8 </w:t>
            </w:r>
            <w:r w:rsidRPr="00FF63D1">
              <w:rPr>
                <w:rFonts w:eastAsia="Aptos"/>
                <w:noProof/>
                <w:sz w:val="20"/>
                <w:szCs w:val="20"/>
              </w:rPr>
              <w:t>million for public support schemes</w:t>
            </w:r>
          </w:p>
        </w:tc>
        <w:tc>
          <w:tcPr>
            <w:tcW w:w="694" w:type="pct"/>
            <w:tcBorders>
              <w:top w:val="single" w:sz="6" w:space="0" w:color="auto"/>
              <w:left w:val="single" w:sz="6" w:space="0" w:color="auto"/>
              <w:bottom w:val="single" w:sz="6" w:space="0" w:color="auto"/>
              <w:right w:val="single" w:sz="6" w:space="0" w:color="auto"/>
            </w:tcBorders>
            <w:vAlign w:val="center"/>
          </w:tcPr>
          <w:p w14:paraId="4DE0B8EA" w14:textId="27F50FBC" w:rsidR="00CA64B9" w:rsidRPr="00F261DB" w:rsidRDefault="00CA64B9">
            <w:pPr>
              <w:jc w:val="left"/>
              <w:rPr>
                <w:rFonts w:eastAsia="Aptos"/>
                <w:noProof/>
                <w:sz w:val="20"/>
                <w:szCs w:val="20"/>
              </w:rPr>
            </w:pPr>
            <w:r w:rsidRPr="00F261DB">
              <w:rPr>
                <w:rFonts w:eastAsia="Aptos"/>
                <w:noProof/>
                <w:sz w:val="20"/>
                <w:szCs w:val="20"/>
              </w:rPr>
              <w:t xml:space="preserve">Selected downstream sector: Expected moderate but non-quantified impact from the potential readjustment of supply chains, including finding manufacturers for EU products, and manufacturing processes to ensure compliance with </w:t>
            </w:r>
            <w:r w:rsidR="00281489">
              <w:rPr>
                <w:rFonts w:eastAsia="Aptos"/>
                <w:noProof/>
                <w:sz w:val="20"/>
                <w:szCs w:val="20"/>
              </w:rPr>
              <w:t>Made in EU</w:t>
            </w:r>
            <w:r w:rsidRPr="00F261DB">
              <w:rPr>
                <w:rFonts w:eastAsia="Aptos"/>
                <w:noProof/>
                <w:sz w:val="20"/>
                <w:szCs w:val="20"/>
              </w:rPr>
              <w:t xml:space="preserve"> requirements.</w:t>
            </w:r>
          </w:p>
        </w:tc>
        <w:tc>
          <w:tcPr>
            <w:tcW w:w="894" w:type="pct"/>
            <w:tcBorders>
              <w:top w:val="single" w:sz="6" w:space="0" w:color="auto"/>
              <w:left w:val="single" w:sz="6" w:space="0" w:color="auto"/>
              <w:bottom w:val="single" w:sz="6" w:space="0" w:color="auto"/>
              <w:right w:val="single" w:sz="6" w:space="0" w:color="auto"/>
            </w:tcBorders>
            <w:vAlign w:val="center"/>
          </w:tcPr>
          <w:p w14:paraId="0A069615" w14:textId="77777777" w:rsidR="00CA64B9" w:rsidRPr="00F261DB" w:rsidRDefault="00CA64B9">
            <w:pPr>
              <w:spacing w:line="259" w:lineRule="auto"/>
              <w:rPr>
                <w:rFonts w:eastAsia="Aptos"/>
                <w:noProof/>
                <w:sz w:val="20"/>
                <w:szCs w:val="20"/>
              </w:rPr>
            </w:pPr>
          </w:p>
          <w:p w14:paraId="4122D32E" w14:textId="09461508" w:rsidR="00CA64B9" w:rsidRPr="00F261DB" w:rsidRDefault="00CA64B9">
            <w:pPr>
              <w:spacing w:line="259" w:lineRule="auto"/>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700C744F" w14:textId="77777777" w:rsidR="00CA64B9" w:rsidRPr="00F261DB" w:rsidRDefault="00CA64B9">
            <w:pPr>
              <w:jc w:val="left"/>
              <w:rPr>
                <w:rFonts w:eastAsia="Aptos"/>
                <w:noProof/>
                <w:sz w:val="20"/>
                <w:szCs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0FAE52A2" w14:textId="0B76D774" w:rsidR="00567615" w:rsidRDefault="006C2900">
            <w:pPr>
              <w:jc w:val="left"/>
              <w:rPr>
                <w:noProof/>
                <w:color w:val="000000" w:themeColor="text1"/>
                <w:sz w:val="20"/>
                <w:szCs w:val="20"/>
              </w:rPr>
            </w:pPr>
            <w:r w:rsidRPr="00FF63D1">
              <w:rPr>
                <w:noProof/>
                <w:color w:val="000000" w:themeColor="text1"/>
                <w:sz w:val="20"/>
                <w:szCs w:val="20"/>
              </w:rPr>
              <w:t>Member States:</w:t>
            </w:r>
            <w:r w:rsidR="00CA64B9" w:rsidRPr="00F261DB">
              <w:rPr>
                <w:noProof/>
                <w:color w:val="000000" w:themeColor="text1"/>
                <w:sz w:val="20"/>
                <w:szCs w:val="20"/>
              </w:rPr>
              <w:t> EUR</w:t>
            </w:r>
            <w:r w:rsidR="00CA64B9" w:rsidRPr="008B2ACB">
              <w:rPr>
                <w:noProof/>
                <w:color w:val="000000" w:themeColor="text1"/>
                <w:sz w:val="20"/>
                <w:szCs w:val="20"/>
              </w:rPr>
              <w:t xml:space="preserve"> 60.45 million </w:t>
            </w:r>
            <w:r w:rsidR="577E4CD1" w:rsidRPr="00FF63D1">
              <w:rPr>
                <w:noProof/>
                <w:color w:val="000000" w:themeColor="text1"/>
                <w:sz w:val="20"/>
                <w:szCs w:val="20"/>
              </w:rPr>
              <w:t xml:space="preserve">per year </w:t>
            </w:r>
            <w:r w:rsidR="00CA64B9" w:rsidRPr="008B2ACB">
              <w:rPr>
                <w:noProof/>
                <w:color w:val="000000" w:themeColor="text1"/>
                <w:sz w:val="20"/>
                <w:szCs w:val="20"/>
              </w:rPr>
              <w:t>for public procurement</w:t>
            </w:r>
          </w:p>
          <w:p w14:paraId="1C1D448C" w14:textId="77777777" w:rsidR="00567615" w:rsidRDefault="00567615">
            <w:pPr>
              <w:jc w:val="left"/>
              <w:rPr>
                <w:noProof/>
                <w:color w:val="000000"/>
                <w:sz w:val="20"/>
                <w:szCs w:val="20"/>
              </w:rPr>
            </w:pPr>
          </w:p>
          <w:p w14:paraId="28D6EA6B" w14:textId="20F618AC" w:rsidR="00CA64B9" w:rsidRPr="00567615" w:rsidRDefault="00CA64B9">
            <w:pPr>
              <w:jc w:val="left"/>
              <w:rPr>
                <w:noProof/>
                <w:color w:val="000000" w:themeColor="text1"/>
                <w:sz w:val="20"/>
                <w:szCs w:val="20"/>
              </w:rPr>
            </w:pPr>
            <w:r w:rsidRPr="00F261DB">
              <w:rPr>
                <w:noProof/>
                <w:color w:val="000000"/>
                <w:sz w:val="20"/>
                <w:szCs w:val="20"/>
              </w:rPr>
              <w:t>EUR 382.85 million for auctions</w:t>
            </w:r>
          </w:p>
        </w:tc>
      </w:tr>
      <w:tr w:rsidR="00147D8A" w:rsidRPr="00F261DB" w14:paraId="29832F0A" w14:textId="77777777" w:rsidTr="7ECD02B7">
        <w:trPr>
          <w:trHeight w:val="300"/>
        </w:trPr>
        <w:tc>
          <w:tcPr>
            <w:tcW w:w="423" w:type="pct"/>
            <w:vMerge/>
            <w:vAlign w:val="center"/>
          </w:tcPr>
          <w:p w14:paraId="2B1B2981" w14:textId="77777777" w:rsidR="00CA64B9" w:rsidRPr="00F261DB" w:rsidRDefault="00CA64B9">
            <w:pPr>
              <w:rPr>
                <w:noProof/>
                <w:sz w:val="20"/>
                <w:szCs w:val="20"/>
              </w:rPr>
            </w:pPr>
          </w:p>
        </w:tc>
        <w:tc>
          <w:tcPr>
            <w:tcW w:w="478" w:type="pct"/>
            <w:tcBorders>
              <w:top w:val="single" w:sz="6" w:space="0" w:color="auto"/>
              <w:left w:val="single" w:sz="6" w:space="0" w:color="auto"/>
              <w:bottom w:val="single" w:sz="6" w:space="0" w:color="auto"/>
              <w:right w:val="single" w:sz="6" w:space="0" w:color="auto"/>
            </w:tcBorders>
            <w:vAlign w:val="center"/>
          </w:tcPr>
          <w:p w14:paraId="4C140AEF" w14:textId="7001EB5F" w:rsidR="00CA64B9" w:rsidRPr="00FF63D1" w:rsidRDefault="00CA64B9">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single" w:sz="6" w:space="0" w:color="auto"/>
              <w:right w:val="single" w:sz="6" w:space="0" w:color="auto"/>
            </w:tcBorders>
            <w:vAlign w:val="center"/>
          </w:tcPr>
          <w:p w14:paraId="37F46132"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354183FF"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2D719665" w14:textId="77777777"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79A3627A" w14:textId="55CFD490" w:rsidR="00CA64B9" w:rsidRPr="00F261DB" w:rsidRDefault="00CA64B9">
            <w:pPr>
              <w:jc w:val="left"/>
              <w:rPr>
                <w:rFonts w:eastAsia="Aptos"/>
                <w:noProof/>
                <w:sz w:val="20"/>
                <w:szCs w:val="20"/>
              </w:rPr>
            </w:pPr>
            <w:r w:rsidRPr="00F261DB">
              <w:rPr>
                <w:rFonts w:eastAsia="Aptos"/>
                <w:noProof/>
                <w:sz w:val="20"/>
                <w:szCs w:val="20"/>
              </w:rPr>
              <w:t>1</w:t>
            </w:r>
            <w:r w:rsidRPr="00FF63D1">
              <w:rPr>
                <w:rFonts w:eastAsia="Aptos"/>
                <w:noProof/>
                <w:sz w:val="20"/>
                <w:szCs w:val="20"/>
              </w:rPr>
              <w:t>/2</w:t>
            </w:r>
            <w:r w:rsidRPr="00F261DB">
              <w:rPr>
                <w:rFonts w:eastAsia="Aptos"/>
                <w:noProof/>
                <w:sz w:val="20"/>
                <w:szCs w:val="20"/>
              </w:rPr>
              <w:t xml:space="preserve"> week FTE (EUR </w:t>
            </w:r>
            <w:r w:rsidRPr="00FF63D1">
              <w:rPr>
                <w:rFonts w:eastAsia="Aptos"/>
                <w:noProof/>
                <w:sz w:val="20"/>
                <w:szCs w:val="20"/>
              </w:rPr>
              <w:t>2</w:t>
            </w:r>
            <w:r w:rsidR="00B114A4">
              <w:rPr>
                <w:rFonts w:eastAsia="Aptos"/>
                <w:noProof/>
                <w:sz w:val="20"/>
                <w:szCs w:val="20"/>
              </w:rPr>
              <w:t xml:space="preserve"> </w:t>
            </w:r>
            <w:r w:rsidRPr="00FF63D1">
              <w:rPr>
                <w:rFonts w:eastAsia="Aptos"/>
                <w:noProof/>
                <w:sz w:val="20"/>
                <w:szCs w:val="20"/>
              </w:rPr>
              <w:t>646 total for all companies</w:t>
            </w:r>
            <w:r w:rsidRPr="00F261DB">
              <w:rPr>
                <w:rFonts w:eastAsia="Aptos"/>
                <w:noProof/>
                <w:sz w:val="20"/>
                <w:szCs w:val="20"/>
              </w:rPr>
              <w:t>) per year</w:t>
            </w:r>
            <w:r w:rsidRPr="00FF63D1">
              <w:rPr>
                <w:rFonts w:eastAsia="Aptos"/>
                <w:noProof/>
                <w:sz w:val="20"/>
                <w:szCs w:val="20"/>
              </w:rPr>
              <w:t xml:space="preserve"> for</w:t>
            </w:r>
            <w:r w:rsidRPr="00F261DB">
              <w:rPr>
                <w:rFonts w:eastAsia="Aptos"/>
                <w:noProof/>
                <w:sz w:val="20"/>
                <w:szCs w:val="20"/>
              </w:rPr>
              <w:t xml:space="preserve"> </w:t>
            </w:r>
            <w:r w:rsidR="00FF320C" w:rsidRPr="00FF63D1">
              <w:rPr>
                <w:rFonts w:eastAsia="Aptos"/>
                <w:noProof/>
                <w:sz w:val="20"/>
                <w:szCs w:val="20"/>
              </w:rPr>
              <w:t>demonstrating compliance with</w:t>
            </w:r>
            <w:r w:rsidRPr="00FF63D1" w:rsidDel="00A102B1">
              <w:rPr>
                <w:rFonts w:eastAsia="Aptos"/>
                <w:noProof/>
                <w:sz w:val="20"/>
                <w:szCs w:val="20"/>
              </w:rPr>
              <w:t xml:space="preserve"> </w:t>
            </w:r>
            <w:r w:rsidRPr="00F261DB">
              <w:rPr>
                <w:rFonts w:eastAsia="Aptos"/>
                <w:noProof/>
                <w:sz w:val="20"/>
                <w:szCs w:val="20"/>
              </w:rPr>
              <w:t>made in EU requirements</w:t>
            </w:r>
          </w:p>
        </w:tc>
        <w:tc>
          <w:tcPr>
            <w:tcW w:w="630" w:type="pct"/>
            <w:tcBorders>
              <w:top w:val="single" w:sz="6" w:space="0" w:color="auto"/>
              <w:left w:val="single" w:sz="6" w:space="0" w:color="auto"/>
              <w:bottom w:val="single" w:sz="6" w:space="0" w:color="auto"/>
              <w:right w:val="single" w:sz="6" w:space="0" w:color="auto"/>
            </w:tcBorders>
            <w:vAlign w:val="center"/>
          </w:tcPr>
          <w:p w14:paraId="0C05CE98" w14:textId="7B7CD4DA"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55D362D3" w14:textId="39DD3F05" w:rsidR="00CA64B9" w:rsidRPr="00F261DB" w:rsidRDefault="26B9D6D5">
            <w:pPr>
              <w:jc w:val="left"/>
              <w:rPr>
                <w:noProof/>
                <w:color w:val="000000"/>
                <w:sz w:val="20"/>
                <w:szCs w:val="20"/>
              </w:rPr>
            </w:pPr>
            <w:r w:rsidRPr="3C1B0927">
              <w:rPr>
                <w:noProof/>
                <w:color w:val="000000" w:themeColor="text1"/>
                <w:sz w:val="20"/>
                <w:szCs w:val="20"/>
              </w:rPr>
              <w:t xml:space="preserve">Member States: 1/2 FTE </w:t>
            </w:r>
            <w:r w:rsidR="2E7E5EB6" w:rsidRPr="3C1B0927">
              <w:rPr>
                <w:noProof/>
                <w:color w:val="000000" w:themeColor="text1"/>
                <w:sz w:val="20"/>
                <w:szCs w:val="20"/>
              </w:rPr>
              <w:t xml:space="preserve">per </w:t>
            </w:r>
            <w:r w:rsidR="1DC1850F" w:rsidRPr="3C1B0927">
              <w:rPr>
                <w:noProof/>
                <w:color w:val="000000" w:themeColor="text1"/>
                <w:sz w:val="20"/>
                <w:szCs w:val="20"/>
              </w:rPr>
              <w:t xml:space="preserve">Member State </w:t>
            </w:r>
            <w:r w:rsidR="1DF2AF97" w:rsidRPr="3C1B0927">
              <w:rPr>
                <w:noProof/>
                <w:color w:val="000000" w:themeColor="text1"/>
                <w:sz w:val="20"/>
                <w:szCs w:val="20"/>
              </w:rPr>
              <w:t>(</w:t>
            </w:r>
            <w:r w:rsidRPr="3C1B0927">
              <w:rPr>
                <w:noProof/>
                <w:color w:val="000000" w:themeColor="text1"/>
                <w:sz w:val="20"/>
                <w:szCs w:val="20"/>
              </w:rPr>
              <w:t>EUR 825</w:t>
            </w:r>
            <w:r w:rsidR="31C06FD9" w:rsidRPr="3C1B0927">
              <w:rPr>
                <w:noProof/>
                <w:color w:val="000000" w:themeColor="text1"/>
                <w:sz w:val="20"/>
                <w:szCs w:val="20"/>
              </w:rPr>
              <w:t xml:space="preserve"> </w:t>
            </w:r>
            <w:r w:rsidRPr="3C1B0927">
              <w:rPr>
                <w:noProof/>
                <w:color w:val="000000" w:themeColor="text1"/>
                <w:sz w:val="20"/>
                <w:szCs w:val="20"/>
              </w:rPr>
              <w:t xml:space="preserve">552 total for all </w:t>
            </w:r>
            <w:r w:rsidR="1DC1850F" w:rsidRPr="3C1B0927">
              <w:rPr>
                <w:noProof/>
                <w:color w:val="000000" w:themeColor="text1"/>
                <w:sz w:val="20"/>
                <w:szCs w:val="20"/>
              </w:rPr>
              <w:t>Member States</w:t>
            </w:r>
            <w:r w:rsidRPr="3C1B0927">
              <w:rPr>
                <w:noProof/>
                <w:color w:val="000000" w:themeColor="text1"/>
                <w:sz w:val="20"/>
                <w:szCs w:val="20"/>
              </w:rPr>
              <w:t>) per year to design and monitor in relation to lead market provisions </w:t>
            </w:r>
          </w:p>
        </w:tc>
      </w:tr>
      <w:tr w:rsidR="00147D8A" w:rsidRPr="005B5DB1" w14:paraId="0E1E52B9" w14:textId="77777777" w:rsidTr="7ECD02B7">
        <w:trPr>
          <w:trHeight w:val="300"/>
        </w:trPr>
        <w:tc>
          <w:tcPr>
            <w:tcW w:w="423" w:type="pct"/>
            <w:vMerge w:val="restart"/>
            <w:tcBorders>
              <w:left w:val="double" w:sz="6" w:space="0" w:color="auto"/>
              <w:right w:val="single" w:sz="6" w:space="0" w:color="auto"/>
            </w:tcBorders>
            <w:vAlign w:val="center"/>
          </w:tcPr>
          <w:p w14:paraId="57AF334A" w14:textId="7397A98C" w:rsidR="00CA64B9" w:rsidRPr="00F261DB" w:rsidRDefault="00CA64B9">
            <w:pPr>
              <w:rPr>
                <w:noProof/>
                <w:sz w:val="20"/>
                <w:szCs w:val="20"/>
              </w:rPr>
            </w:pPr>
            <w:r w:rsidRPr="00F261DB">
              <w:rPr>
                <w:noProof/>
                <w:sz w:val="20"/>
                <w:szCs w:val="20"/>
              </w:rPr>
              <w:t>LEAD_VC 1</w:t>
            </w:r>
          </w:p>
        </w:tc>
        <w:tc>
          <w:tcPr>
            <w:tcW w:w="478" w:type="pct"/>
            <w:tcBorders>
              <w:top w:val="single" w:sz="6" w:space="0" w:color="auto"/>
              <w:left w:val="single" w:sz="6" w:space="0" w:color="auto"/>
              <w:bottom w:val="single" w:sz="6" w:space="0" w:color="auto"/>
              <w:right w:val="single" w:sz="6" w:space="0" w:color="auto"/>
            </w:tcBorders>
            <w:vAlign w:val="center"/>
          </w:tcPr>
          <w:p w14:paraId="774F777E" w14:textId="63BBCC4A" w:rsidR="00CA64B9" w:rsidRPr="00FF63D1" w:rsidRDefault="00CA64B9">
            <w:pPr>
              <w:jc w:val="left"/>
              <w:rPr>
                <w:noProof/>
                <w:sz w:val="20"/>
              </w:rPr>
            </w:pPr>
            <w:r w:rsidRPr="00FF63D1">
              <w:rPr>
                <w:noProof/>
                <w:sz w:val="20"/>
              </w:rPr>
              <w:t>Direct adjustment costs</w:t>
            </w:r>
          </w:p>
        </w:tc>
        <w:tc>
          <w:tcPr>
            <w:tcW w:w="636" w:type="pct"/>
            <w:tcBorders>
              <w:top w:val="single" w:sz="6" w:space="0" w:color="auto"/>
              <w:left w:val="double" w:sz="6" w:space="0" w:color="auto"/>
              <w:bottom w:val="single" w:sz="6" w:space="0" w:color="auto"/>
              <w:right w:val="single" w:sz="6" w:space="0" w:color="auto"/>
            </w:tcBorders>
            <w:vAlign w:val="center"/>
          </w:tcPr>
          <w:p w14:paraId="3EA82644" w14:textId="0EF913D1" w:rsidR="00CA64B9" w:rsidRPr="00FF63D1" w:rsidRDefault="00CA64B9">
            <w:pPr>
              <w:jc w:val="left"/>
              <w:rPr>
                <w:noProof/>
                <w:color w:val="000000" w:themeColor="text1"/>
                <w:sz w:val="20"/>
              </w:rPr>
            </w:pPr>
          </w:p>
        </w:tc>
        <w:tc>
          <w:tcPr>
            <w:tcW w:w="564" w:type="pct"/>
            <w:tcBorders>
              <w:top w:val="single" w:sz="6" w:space="0" w:color="auto"/>
              <w:left w:val="single" w:sz="6" w:space="0" w:color="auto"/>
              <w:bottom w:val="single" w:sz="6" w:space="0" w:color="auto"/>
              <w:right w:val="single" w:sz="6" w:space="0" w:color="auto"/>
            </w:tcBorders>
            <w:vAlign w:val="center"/>
          </w:tcPr>
          <w:p w14:paraId="53D0E488" w14:textId="31AFFB4D" w:rsidR="00CA64B9" w:rsidRPr="00FF63D1" w:rsidRDefault="00EE4B85">
            <w:pPr>
              <w:jc w:val="left"/>
              <w:rPr>
                <w:noProof/>
                <w:sz w:val="20"/>
                <w:szCs w:val="20"/>
              </w:rPr>
            </w:pPr>
            <w:r w:rsidRPr="00FF63D1">
              <w:rPr>
                <w:noProof/>
                <w:sz w:val="20"/>
                <w:szCs w:val="20"/>
              </w:rPr>
              <w:t>EVs: EUR 689.66</w:t>
            </w:r>
            <w:r w:rsidR="3DA9F5E7" w:rsidRPr="00FF63D1">
              <w:rPr>
                <w:noProof/>
                <w:sz w:val="20"/>
                <w:szCs w:val="20"/>
              </w:rPr>
              <w:t xml:space="preserve"> million</w:t>
            </w:r>
          </w:p>
        </w:tc>
        <w:tc>
          <w:tcPr>
            <w:tcW w:w="694" w:type="pct"/>
            <w:tcBorders>
              <w:top w:val="single" w:sz="6" w:space="0" w:color="auto"/>
              <w:left w:val="single" w:sz="6" w:space="0" w:color="auto"/>
              <w:bottom w:val="single" w:sz="6" w:space="0" w:color="auto"/>
              <w:right w:val="single" w:sz="6" w:space="0" w:color="auto"/>
            </w:tcBorders>
            <w:vAlign w:val="center"/>
          </w:tcPr>
          <w:p w14:paraId="0FDC097B" w14:textId="52AE9144"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2C5752F2" w14:textId="77777777" w:rsidR="00CA64B9" w:rsidRPr="00FF63D1" w:rsidRDefault="00EE4B85">
            <w:pPr>
              <w:jc w:val="left"/>
              <w:rPr>
                <w:rFonts w:eastAsia="Aptos"/>
                <w:noProof/>
                <w:sz w:val="20"/>
                <w:szCs w:val="20"/>
              </w:rPr>
            </w:pPr>
            <w:r w:rsidRPr="00FF63D1">
              <w:rPr>
                <w:rFonts w:eastAsia="Aptos"/>
                <w:noProof/>
                <w:sz w:val="20"/>
                <w:szCs w:val="20"/>
              </w:rPr>
              <w:t>Corporate fleet EVs: EUR 1.24 billion</w:t>
            </w:r>
          </w:p>
          <w:p w14:paraId="38359927" w14:textId="77777777" w:rsidR="00EE4B85" w:rsidRPr="00FF63D1" w:rsidRDefault="00EE4B85">
            <w:pPr>
              <w:jc w:val="left"/>
              <w:rPr>
                <w:rFonts w:eastAsia="Aptos"/>
                <w:noProof/>
                <w:sz w:val="20"/>
                <w:szCs w:val="20"/>
              </w:rPr>
            </w:pPr>
          </w:p>
          <w:p w14:paraId="07645F85" w14:textId="551F1AAF" w:rsidR="00EE4B85" w:rsidRPr="00F261DB" w:rsidRDefault="1CF4EF98">
            <w:pPr>
              <w:jc w:val="left"/>
              <w:rPr>
                <w:rFonts w:eastAsia="Aptos"/>
                <w:noProof/>
                <w:sz w:val="20"/>
                <w:szCs w:val="20"/>
              </w:rPr>
            </w:pPr>
            <w:r w:rsidRPr="3C1B0927">
              <w:rPr>
                <w:rFonts w:eastAsia="Aptos"/>
                <w:noProof/>
                <w:sz w:val="20"/>
                <w:szCs w:val="20"/>
              </w:rPr>
              <w:t xml:space="preserve">Downstream sector (OEMs): </w:t>
            </w:r>
            <w:r w:rsidR="229C774A" w:rsidRPr="3C1B0927">
              <w:rPr>
                <w:rFonts w:eastAsia="Aptos"/>
                <w:noProof/>
                <w:sz w:val="20"/>
                <w:szCs w:val="20"/>
              </w:rPr>
              <w:t xml:space="preserve">EUR </w:t>
            </w:r>
            <w:r w:rsidRPr="3C1B0927">
              <w:rPr>
                <w:rFonts w:eastAsia="Aptos"/>
                <w:noProof/>
                <w:sz w:val="20"/>
                <w:szCs w:val="20"/>
              </w:rPr>
              <w:t xml:space="preserve">1.9 billion </w:t>
            </w:r>
          </w:p>
        </w:tc>
        <w:tc>
          <w:tcPr>
            <w:tcW w:w="630" w:type="pct"/>
            <w:tcBorders>
              <w:top w:val="single" w:sz="6" w:space="0" w:color="auto"/>
              <w:left w:val="single" w:sz="6" w:space="0" w:color="auto"/>
              <w:bottom w:val="single" w:sz="6" w:space="0" w:color="auto"/>
              <w:right w:val="single" w:sz="6" w:space="0" w:color="auto"/>
            </w:tcBorders>
            <w:vAlign w:val="center"/>
          </w:tcPr>
          <w:p w14:paraId="30B12EC2" w14:textId="77777777"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185BA038" w14:textId="57A371FB" w:rsidR="00CA64B9" w:rsidRPr="0036649F" w:rsidRDefault="00EE4B85">
            <w:pPr>
              <w:jc w:val="left"/>
              <w:rPr>
                <w:rFonts w:eastAsia="Aptos"/>
                <w:noProof/>
                <w:sz w:val="20"/>
                <w:szCs w:val="20"/>
                <w:lang w:val="fr-BE"/>
              </w:rPr>
            </w:pPr>
            <w:r w:rsidRPr="0036649F">
              <w:rPr>
                <w:noProof/>
                <w:sz w:val="20"/>
                <w:szCs w:val="20"/>
                <w:lang w:val="fr-BE"/>
              </w:rPr>
              <w:t>Vehicle fleet</w:t>
            </w:r>
            <w:r w:rsidR="6168D1AC" w:rsidRPr="0036649F">
              <w:rPr>
                <w:noProof/>
                <w:sz w:val="20"/>
                <w:szCs w:val="20"/>
                <w:lang w:val="fr-BE"/>
              </w:rPr>
              <w:t xml:space="preserve"> EVs</w:t>
            </w:r>
            <w:r w:rsidRPr="0036649F">
              <w:rPr>
                <w:noProof/>
                <w:sz w:val="20"/>
                <w:szCs w:val="20"/>
                <w:lang w:val="fr-BE"/>
              </w:rPr>
              <w:t>: EUR 100.29 million</w:t>
            </w:r>
          </w:p>
        </w:tc>
      </w:tr>
      <w:tr w:rsidR="00147D8A" w:rsidRPr="00F261DB" w14:paraId="22551E69" w14:textId="77777777" w:rsidTr="7ECD02B7">
        <w:trPr>
          <w:trHeight w:val="300"/>
        </w:trPr>
        <w:tc>
          <w:tcPr>
            <w:tcW w:w="423" w:type="pct"/>
            <w:vMerge/>
            <w:vAlign w:val="center"/>
          </w:tcPr>
          <w:p w14:paraId="77C05131" w14:textId="77777777" w:rsidR="00CA64B9" w:rsidRPr="0036649F" w:rsidRDefault="00CA64B9">
            <w:pPr>
              <w:rPr>
                <w:noProof/>
                <w:sz w:val="20"/>
                <w:szCs w:val="20"/>
                <w:lang w:val="fr-BE"/>
              </w:rPr>
            </w:pPr>
          </w:p>
        </w:tc>
        <w:tc>
          <w:tcPr>
            <w:tcW w:w="478" w:type="pct"/>
            <w:tcBorders>
              <w:top w:val="single" w:sz="6" w:space="0" w:color="auto"/>
              <w:left w:val="single" w:sz="6" w:space="0" w:color="auto"/>
              <w:bottom w:val="single" w:sz="6" w:space="0" w:color="auto"/>
              <w:right w:val="single" w:sz="6" w:space="0" w:color="auto"/>
            </w:tcBorders>
            <w:vAlign w:val="center"/>
          </w:tcPr>
          <w:p w14:paraId="27F7C84D" w14:textId="369927FF" w:rsidR="00CA64B9" w:rsidRPr="00FF63D1" w:rsidRDefault="00CA64B9">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single" w:sz="6" w:space="0" w:color="auto"/>
              <w:right w:val="single" w:sz="6" w:space="0" w:color="auto"/>
            </w:tcBorders>
            <w:vAlign w:val="center"/>
          </w:tcPr>
          <w:p w14:paraId="67CC036B"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18AC0AB9"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1B240F6F" w14:textId="77777777"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5170DFF4" w14:textId="61419EE9" w:rsidR="00CA64B9" w:rsidRPr="00F261DB" w:rsidRDefault="00CA64B9">
            <w:pPr>
              <w:jc w:val="left"/>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724C6A2E" w14:textId="72B0A958"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78925F0B" w14:textId="77777777" w:rsidR="00CA64B9" w:rsidRPr="00F261DB" w:rsidRDefault="00CA64B9">
            <w:pPr>
              <w:jc w:val="left"/>
              <w:rPr>
                <w:noProof/>
                <w:color w:val="000000"/>
                <w:sz w:val="20"/>
                <w:szCs w:val="20"/>
              </w:rPr>
            </w:pPr>
          </w:p>
        </w:tc>
      </w:tr>
      <w:tr w:rsidR="00147D8A" w:rsidRPr="00F261DB" w14:paraId="5FF419F0" w14:textId="77777777" w:rsidTr="7ECD02B7">
        <w:trPr>
          <w:trHeight w:val="300"/>
        </w:trPr>
        <w:tc>
          <w:tcPr>
            <w:tcW w:w="423" w:type="pct"/>
            <w:vMerge w:val="restart"/>
            <w:tcBorders>
              <w:left w:val="double" w:sz="6" w:space="0" w:color="auto"/>
              <w:right w:val="single" w:sz="6" w:space="0" w:color="auto"/>
            </w:tcBorders>
            <w:vAlign w:val="center"/>
          </w:tcPr>
          <w:p w14:paraId="31F6FD21" w14:textId="0807E49C" w:rsidR="00CA64B9" w:rsidRPr="00F261DB" w:rsidRDefault="00CA64B9">
            <w:pPr>
              <w:rPr>
                <w:noProof/>
                <w:sz w:val="20"/>
                <w:szCs w:val="20"/>
              </w:rPr>
            </w:pPr>
            <w:r w:rsidRPr="00F261DB">
              <w:rPr>
                <w:noProof/>
                <w:sz w:val="20"/>
                <w:szCs w:val="20"/>
              </w:rPr>
              <w:t>INV 2</w:t>
            </w:r>
          </w:p>
        </w:tc>
        <w:tc>
          <w:tcPr>
            <w:tcW w:w="478" w:type="pct"/>
            <w:tcBorders>
              <w:top w:val="single" w:sz="6" w:space="0" w:color="auto"/>
              <w:left w:val="single" w:sz="6" w:space="0" w:color="auto"/>
              <w:bottom w:val="single" w:sz="6" w:space="0" w:color="auto"/>
              <w:right w:val="single" w:sz="6" w:space="0" w:color="auto"/>
            </w:tcBorders>
            <w:vAlign w:val="center"/>
          </w:tcPr>
          <w:p w14:paraId="6B599881" w14:textId="39E20AA4" w:rsidR="00CA64B9" w:rsidRPr="00FF63D1" w:rsidRDefault="00CA64B9">
            <w:pPr>
              <w:jc w:val="left"/>
              <w:rPr>
                <w:noProof/>
                <w:sz w:val="20"/>
              </w:rPr>
            </w:pPr>
            <w:r w:rsidRPr="00FF63D1">
              <w:rPr>
                <w:noProof/>
                <w:sz w:val="20"/>
              </w:rPr>
              <w:t>Direct adjustment costs</w:t>
            </w:r>
          </w:p>
        </w:tc>
        <w:tc>
          <w:tcPr>
            <w:tcW w:w="636" w:type="pct"/>
            <w:tcBorders>
              <w:top w:val="single" w:sz="6" w:space="0" w:color="auto"/>
              <w:left w:val="double" w:sz="6" w:space="0" w:color="auto"/>
              <w:bottom w:val="single" w:sz="6" w:space="0" w:color="auto"/>
              <w:right w:val="single" w:sz="6" w:space="0" w:color="auto"/>
            </w:tcBorders>
            <w:vAlign w:val="center"/>
          </w:tcPr>
          <w:p w14:paraId="673C6B92" w14:textId="3458823A" w:rsidR="00CA64B9" w:rsidRPr="00F261DB" w:rsidRDefault="00CA64B9">
            <w:pPr>
              <w:jc w:val="left"/>
              <w:rPr>
                <w:noProof/>
                <w:sz w:val="20"/>
                <w:szCs w:val="20"/>
              </w:rPr>
            </w:pPr>
          </w:p>
        </w:tc>
        <w:tc>
          <w:tcPr>
            <w:tcW w:w="564" w:type="pct"/>
            <w:tcBorders>
              <w:top w:val="single" w:sz="6" w:space="0" w:color="auto"/>
              <w:left w:val="single" w:sz="6" w:space="0" w:color="auto"/>
              <w:bottom w:val="single" w:sz="6" w:space="0" w:color="auto"/>
              <w:right w:val="single" w:sz="6" w:space="0" w:color="auto"/>
            </w:tcBorders>
            <w:vAlign w:val="center"/>
          </w:tcPr>
          <w:p w14:paraId="13F7B0A9" w14:textId="5F763A92" w:rsidR="00CA64B9" w:rsidRPr="00FF63D1" w:rsidRDefault="5592827D">
            <w:pPr>
              <w:jc w:val="left"/>
              <w:rPr>
                <w:noProof/>
                <w:sz w:val="20"/>
                <w:szCs w:val="20"/>
              </w:rPr>
            </w:pPr>
            <w:r w:rsidRPr="3C1B0927">
              <w:rPr>
                <w:noProof/>
                <w:sz w:val="20"/>
                <w:szCs w:val="20"/>
              </w:rPr>
              <w:t>Small price increase in the short term (</w:t>
            </w:r>
            <w:r w:rsidR="6D0837B6" w:rsidRPr="3C1B0927">
              <w:rPr>
                <w:noProof/>
                <w:sz w:val="20"/>
                <w:szCs w:val="20"/>
              </w:rPr>
              <w:t>e.g.</w:t>
            </w:r>
            <w:r w:rsidRPr="3C1B0927">
              <w:rPr>
                <w:noProof/>
                <w:sz w:val="20"/>
                <w:szCs w:val="20"/>
              </w:rPr>
              <w:t xml:space="preserve"> ECs, buildings) as firms adapt supply chains to meet FDI conditionalities.</w:t>
            </w:r>
          </w:p>
        </w:tc>
        <w:tc>
          <w:tcPr>
            <w:tcW w:w="694" w:type="pct"/>
            <w:tcBorders>
              <w:top w:val="single" w:sz="6" w:space="0" w:color="auto"/>
              <w:left w:val="single" w:sz="6" w:space="0" w:color="auto"/>
              <w:bottom w:val="single" w:sz="6" w:space="0" w:color="auto"/>
              <w:right w:val="single" w:sz="6" w:space="0" w:color="auto"/>
            </w:tcBorders>
            <w:vAlign w:val="center"/>
          </w:tcPr>
          <w:p w14:paraId="571B0162" w14:textId="77777777" w:rsidR="00CA64B9" w:rsidRPr="00F261DB" w:rsidRDefault="00CA64B9">
            <w:pPr>
              <w:jc w:val="left"/>
              <w:rPr>
                <w:rFonts w:eastAsia="Aptos"/>
                <w:noProof/>
                <w:sz w:val="20"/>
                <w:szCs w:val="20"/>
              </w:rPr>
            </w:pPr>
            <w:r w:rsidRPr="00F261DB">
              <w:rPr>
                <w:rFonts w:eastAsia="Aptos"/>
                <w:noProof/>
                <w:sz w:val="20"/>
                <w:szCs w:val="20"/>
              </w:rPr>
              <w:t>Non quantified but </w:t>
            </w:r>
            <w:r w:rsidRPr="00F261DB">
              <w:rPr>
                <w:rFonts w:eastAsia="Aptos"/>
                <w:noProof/>
                <w:sz w:val="20"/>
                <w:szCs w:val="20"/>
              </w:rPr>
              <w:br/>
              <w:t>limited costs of </w:t>
            </w:r>
            <w:r w:rsidRPr="00F261DB">
              <w:rPr>
                <w:rFonts w:eastAsia="Aptos"/>
                <w:noProof/>
                <w:sz w:val="20"/>
                <w:szCs w:val="20"/>
              </w:rPr>
              <w:br/>
              <w:t>implementing FDI </w:t>
            </w:r>
            <w:r w:rsidRPr="00F261DB">
              <w:rPr>
                <w:rFonts w:eastAsia="Aptos"/>
                <w:noProof/>
                <w:sz w:val="20"/>
                <w:szCs w:val="20"/>
              </w:rPr>
              <w:br/>
              <w:t>conditionalities such </w:t>
            </w:r>
            <w:r w:rsidRPr="00F261DB">
              <w:rPr>
                <w:rFonts w:eastAsia="Aptos"/>
                <w:noProof/>
                <w:sz w:val="20"/>
                <w:szCs w:val="20"/>
              </w:rPr>
              <w:br/>
              <w:t>as value-added </w:t>
            </w:r>
            <w:r w:rsidRPr="00F261DB">
              <w:rPr>
                <w:rFonts w:eastAsia="Aptos"/>
                <w:noProof/>
                <w:sz w:val="20"/>
                <w:szCs w:val="20"/>
              </w:rPr>
              <w:br/>
              <w:t>production, including </w:t>
            </w:r>
            <w:r w:rsidRPr="00F261DB">
              <w:rPr>
                <w:rFonts w:eastAsia="Aptos"/>
                <w:noProof/>
                <w:sz w:val="20"/>
                <w:szCs w:val="20"/>
              </w:rPr>
              <w:br/>
              <w:t>staffing requirements </w:t>
            </w:r>
          </w:p>
          <w:p w14:paraId="1F483900" w14:textId="77777777" w:rsidR="00CA64B9" w:rsidRPr="00F261DB" w:rsidRDefault="00CA64B9">
            <w:pPr>
              <w:jc w:val="left"/>
              <w:rPr>
                <w:rFonts w:eastAsia="Aptos"/>
                <w:noProof/>
                <w:sz w:val="20"/>
                <w:szCs w:val="20"/>
              </w:rPr>
            </w:pPr>
          </w:p>
          <w:p w14:paraId="2040F719" w14:textId="19416D82" w:rsidR="00CA64B9" w:rsidRPr="00FF63D1" w:rsidRDefault="00CA64B9">
            <w:pPr>
              <w:jc w:val="left"/>
              <w:rPr>
                <w:noProof/>
                <w:sz w:val="20"/>
              </w:rPr>
            </w:pPr>
            <w:r w:rsidRPr="00F261DB">
              <w:rPr>
                <w:rFonts w:eastAsia="Aptos"/>
                <w:noProof/>
                <w:sz w:val="20"/>
                <w:szCs w:val="20"/>
              </w:rPr>
              <w:t xml:space="preserve">For downstream sector, expected moderate and temporary cost increases if suppliers pass through compliance costs. </w:t>
            </w:r>
          </w:p>
        </w:tc>
        <w:tc>
          <w:tcPr>
            <w:tcW w:w="894" w:type="pct"/>
            <w:tcBorders>
              <w:top w:val="single" w:sz="6" w:space="0" w:color="auto"/>
              <w:left w:val="single" w:sz="6" w:space="0" w:color="auto"/>
              <w:bottom w:val="single" w:sz="6" w:space="0" w:color="auto"/>
              <w:right w:val="single" w:sz="6" w:space="0" w:color="auto"/>
            </w:tcBorders>
            <w:vAlign w:val="center"/>
          </w:tcPr>
          <w:p w14:paraId="77543A4B" w14:textId="77777777" w:rsidR="00CA64B9" w:rsidRPr="00F261DB" w:rsidRDefault="00CA64B9">
            <w:pPr>
              <w:jc w:val="left"/>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754D42A2" w14:textId="4F16EF08"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30023691" w14:textId="3B964FB8" w:rsidR="00CA64B9" w:rsidRPr="00F261DB" w:rsidRDefault="00CA64B9">
            <w:pPr>
              <w:jc w:val="left"/>
              <w:rPr>
                <w:noProof/>
                <w:color w:val="000000"/>
                <w:sz w:val="20"/>
                <w:szCs w:val="20"/>
              </w:rPr>
            </w:pPr>
          </w:p>
        </w:tc>
      </w:tr>
      <w:tr w:rsidR="00147D8A" w:rsidRPr="00F261DB" w14:paraId="54A943AD" w14:textId="77777777" w:rsidTr="7ECD02B7">
        <w:trPr>
          <w:trHeight w:val="300"/>
        </w:trPr>
        <w:tc>
          <w:tcPr>
            <w:tcW w:w="423" w:type="pct"/>
            <w:vMerge/>
            <w:vAlign w:val="center"/>
          </w:tcPr>
          <w:p w14:paraId="0D5D119A" w14:textId="77777777" w:rsidR="00CA64B9" w:rsidRPr="00F261DB" w:rsidRDefault="00CA64B9">
            <w:pPr>
              <w:rPr>
                <w:noProof/>
                <w:sz w:val="20"/>
                <w:szCs w:val="20"/>
              </w:rPr>
            </w:pPr>
          </w:p>
        </w:tc>
        <w:tc>
          <w:tcPr>
            <w:tcW w:w="478" w:type="pct"/>
            <w:tcBorders>
              <w:top w:val="single" w:sz="6" w:space="0" w:color="auto"/>
              <w:left w:val="single" w:sz="6" w:space="0" w:color="auto"/>
              <w:bottom w:val="single" w:sz="6" w:space="0" w:color="auto"/>
              <w:right w:val="single" w:sz="6" w:space="0" w:color="auto"/>
            </w:tcBorders>
            <w:vAlign w:val="center"/>
          </w:tcPr>
          <w:p w14:paraId="467908F4" w14:textId="2FBF10EB" w:rsidR="00CA64B9" w:rsidRPr="00FF63D1" w:rsidRDefault="00CA64B9">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single" w:sz="6" w:space="0" w:color="auto"/>
              <w:right w:val="single" w:sz="6" w:space="0" w:color="auto"/>
            </w:tcBorders>
            <w:vAlign w:val="center"/>
          </w:tcPr>
          <w:p w14:paraId="2C594179"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773187B6"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42303945" w14:textId="4C521D6F" w:rsidR="00CA64B9" w:rsidRPr="00FF63D1" w:rsidRDefault="26B9D6D5">
            <w:pPr>
              <w:jc w:val="left"/>
              <w:rPr>
                <w:noProof/>
                <w:sz w:val="20"/>
                <w:szCs w:val="20"/>
              </w:rPr>
            </w:pPr>
            <w:r w:rsidRPr="3C1B0927">
              <w:rPr>
                <w:rFonts w:eastAsia="Aptos"/>
                <w:noProof/>
                <w:sz w:val="20"/>
                <w:szCs w:val="20"/>
              </w:rPr>
              <w:t>1 month FTE (EUR 117</w:t>
            </w:r>
            <w:r w:rsidR="31C06FD9" w:rsidRPr="3C1B0927">
              <w:rPr>
                <w:rFonts w:eastAsia="Aptos"/>
                <w:noProof/>
                <w:sz w:val="20"/>
                <w:szCs w:val="20"/>
              </w:rPr>
              <w:t xml:space="preserve"> </w:t>
            </w:r>
            <w:r w:rsidRPr="3C1B0927">
              <w:rPr>
                <w:rFonts w:eastAsia="Aptos"/>
                <w:noProof/>
                <w:sz w:val="20"/>
                <w:szCs w:val="20"/>
              </w:rPr>
              <w:t xml:space="preserve">600 total for all companies) for </w:t>
            </w:r>
            <w:r w:rsidRPr="3C1B0927">
              <w:rPr>
                <w:rFonts w:eastAsia="Aptos"/>
                <w:noProof/>
                <w:sz w:val="20"/>
                <w:szCs w:val="20"/>
              </w:rPr>
              <w:lastRenderedPageBreak/>
              <w:t xml:space="preserve">notification of </w:t>
            </w:r>
            <w:r w:rsidR="1DC1850F" w:rsidRPr="3C1B0927">
              <w:rPr>
                <w:rFonts w:eastAsia="Aptos"/>
                <w:noProof/>
                <w:sz w:val="20"/>
                <w:szCs w:val="20"/>
              </w:rPr>
              <w:t xml:space="preserve">Member State </w:t>
            </w:r>
            <w:r w:rsidRPr="3C1B0927">
              <w:rPr>
                <w:rFonts w:eastAsia="Aptos"/>
                <w:noProof/>
                <w:sz w:val="20"/>
                <w:szCs w:val="20"/>
              </w:rPr>
              <w:t>authorities for FDIs screening</w:t>
            </w:r>
          </w:p>
        </w:tc>
        <w:tc>
          <w:tcPr>
            <w:tcW w:w="894" w:type="pct"/>
            <w:tcBorders>
              <w:top w:val="single" w:sz="6" w:space="0" w:color="auto"/>
              <w:left w:val="single" w:sz="6" w:space="0" w:color="auto"/>
              <w:bottom w:val="single" w:sz="6" w:space="0" w:color="auto"/>
              <w:right w:val="single" w:sz="6" w:space="0" w:color="auto"/>
            </w:tcBorders>
            <w:vAlign w:val="center"/>
          </w:tcPr>
          <w:p w14:paraId="4F11D220" w14:textId="77777777" w:rsidR="00CA64B9" w:rsidRPr="00F261DB" w:rsidRDefault="00CA64B9">
            <w:pPr>
              <w:jc w:val="left"/>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79B6E918" w14:textId="1B1A94A2"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1A345D6D" w14:textId="40E9F16D" w:rsidR="00CA64B9" w:rsidRPr="00F261DB" w:rsidRDefault="00CA64B9">
            <w:pPr>
              <w:jc w:val="left"/>
              <w:rPr>
                <w:noProof/>
                <w:color w:val="000000" w:themeColor="text1"/>
                <w:sz w:val="20"/>
                <w:szCs w:val="20"/>
              </w:rPr>
            </w:pPr>
            <w:r w:rsidRPr="51975683">
              <w:rPr>
                <w:noProof/>
                <w:color w:val="000000" w:themeColor="text1"/>
                <w:sz w:val="20"/>
                <w:szCs w:val="20"/>
              </w:rPr>
              <w:t xml:space="preserve">European Commission:3/4 FTE (EUR </w:t>
            </w:r>
            <w:r w:rsidR="00001458">
              <w:rPr>
                <w:noProof/>
                <w:color w:val="000000" w:themeColor="text1"/>
                <w:sz w:val="20"/>
                <w:szCs w:val="20"/>
              </w:rPr>
              <w:t>145 000</w:t>
            </w:r>
            <w:r w:rsidRPr="51975683">
              <w:rPr>
                <w:noProof/>
                <w:color w:val="000000" w:themeColor="text1"/>
                <w:sz w:val="20"/>
                <w:szCs w:val="20"/>
              </w:rPr>
              <w:t xml:space="preserve">) per </w:t>
            </w:r>
            <w:r w:rsidRPr="51975683">
              <w:rPr>
                <w:noProof/>
                <w:color w:val="000000" w:themeColor="text1"/>
                <w:sz w:val="20"/>
                <w:szCs w:val="20"/>
              </w:rPr>
              <w:lastRenderedPageBreak/>
              <w:t>year to ensure</w:t>
            </w:r>
            <w:r w:rsidR="00567615" w:rsidRPr="51975683">
              <w:rPr>
                <w:noProof/>
                <w:color w:val="000000" w:themeColor="text1"/>
                <w:sz w:val="20"/>
                <w:szCs w:val="20"/>
              </w:rPr>
              <w:t xml:space="preserve"> </w:t>
            </w:r>
            <w:r w:rsidRPr="51975683">
              <w:rPr>
                <w:noProof/>
                <w:color w:val="000000" w:themeColor="text1"/>
                <w:sz w:val="20"/>
                <w:szCs w:val="20"/>
              </w:rPr>
              <w:t>implementation and operation</w:t>
            </w:r>
          </w:p>
          <w:p w14:paraId="40C47AFA" w14:textId="0A9003EF" w:rsidR="00CA64B9" w:rsidRPr="00F261DB" w:rsidRDefault="00CA64B9">
            <w:pPr>
              <w:jc w:val="left"/>
              <w:rPr>
                <w:noProof/>
                <w:color w:val="000000" w:themeColor="text1"/>
                <w:sz w:val="20"/>
                <w:szCs w:val="20"/>
              </w:rPr>
            </w:pPr>
          </w:p>
          <w:p w14:paraId="791924E4" w14:textId="310D48CD" w:rsidR="00CA64B9" w:rsidRPr="00F261DB" w:rsidRDefault="26B9D6D5">
            <w:pPr>
              <w:jc w:val="left"/>
              <w:rPr>
                <w:noProof/>
                <w:color w:val="000000"/>
                <w:sz w:val="20"/>
                <w:szCs w:val="20"/>
              </w:rPr>
            </w:pPr>
            <w:r w:rsidRPr="3C1B0927">
              <w:rPr>
                <w:noProof/>
                <w:color w:val="000000" w:themeColor="text1"/>
                <w:sz w:val="20"/>
                <w:szCs w:val="20"/>
              </w:rPr>
              <w:t>Member States: 1 FTE (EUR 1.65 million total for all</w:t>
            </w:r>
            <w:r w:rsidR="27F3A5F8" w:rsidRPr="3C1B0927">
              <w:rPr>
                <w:noProof/>
                <w:color w:val="000000" w:themeColor="text1"/>
                <w:sz w:val="20"/>
                <w:szCs w:val="20"/>
              </w:rPr>
              <w:t xml:space="preserve"> Member States</w:t>
            </w:r>
            <w:r w:rsidRPr="3C1B0927">
              <w:rPr>
                <w:noProof/>
                <w:color w:val="000000" w:themeColor="text1"/>
                <w:sz w:val="20"/>
                <w:szCs w:val="20"/>
              </w:rPr>
              <w:t>) per year</w:t>
            </w:r>
          </w:p>
        </w:tc>
      </w:tr>
      <w:tr w:rsidR="00147D8A" w:rsidRPr="00F261DB" w14:paraId="4F2A37FA" w14:textId="77777777" w:rsidTr="7ECD02B7">
        <w:trPr>
          <w:trHeight w:val="300"/>
        </w:trPr>
        <w:tc>
          <w:tcPr>
            <w:tcW w:w="423" w:type="pct"/>
            <w:vMerge w:val="restart"/>
            <w:tcBorders>
              <w:left w:val="double" w:sz="6" w:space="0" w:color="auto"/>
              <w:right w:val="single" w:sz="6" w:space="0" w:color="auto"/>
            </w:tcBorders>
            <w:vAlign w:val="center"/>
          </w:tcPr>
          <w:p w14:paraId="0ADC162F" w14:textId="6A0ECC5E" w:rsidR="00CA64B9" w:rsidRPr="00F261DB" w:rsidRDefault="00CA64B9">
            <w:pPr>
              <w:rPr>
                <w:noProof/>
                <w:sz w:val="20"/>
                <w:szCs w:val="20"/>
              </w:rPr>
            </w:pPr>
            <w:r w:rsidRPr="00F261DB">
              <w:rPr>
                <w:noProof/>
                <w:sz w:val="20"/>
                <w:szCs w:val="20"/>
              </w:rPr>
              <w:lastRenderedPageBreak/>
              <w:t>PERM 2</w:t>
            </w:r>
          </w:p>
        </w:tc>
        <w:tc>
          <w:tcPr>
            <w:tcW w:w="478" w:type="pct"/>
            <w:tcBorders>
              <w:top w:val="single" w:sz="6" w:space="0" w:color="auto"/>
              <w:left w:val="single" w:sz="6" w:space="0" w:color="auto"/>
              <w:bottom w:val="single" w:sz="6" w:space="0" w:color="auto"/>
              <w:right w:val="single" w:sz="6" w:space="0" w:color="auto"/>
            </w:tcBorders>
            <w:vAlign w:val="center"/>
          </w:tcPr>
          <w:p w14:paraId="384BCE15" w14:textId="12F28527" w:rsidR="00CA64B9" w:rsidRPr="00FF63D1" w:rsidRDefault="00CA64B9">
            <w:pPr>
              <w:jc w:val="left"/>
              <w:rPr>
                <w:noProof/>
                <w:sz w:val="20"/>
              </w:rPr>
            </w:pPr>
            <w:r w:rsidRPr="00FF63D1">
              <w:rPr>
                <w:noProof/>
                <w:sz w:val="20"/>
              </w:rPr>
              <w:t>Direct adjustment costs</w:t>
            </w:r>
          </w:p>
        </w:tc>
        <w:tc>
          <w:tcPr>
            <w:tcW w:w="636" w:type="pct"/>
            <w:tcBorders>
              <w:top w:val="single" w:sz="6" w:space="0" w:color="auto"/>
              <w:left w:val="double" w:sz="6" w:space="0" w:color="auto"/>
              <w:bottom w:val="single" w:sz="6" w:space="0" w:color="auto"/>
              <w:right w:val="single" w:sz="6" w:space="0" w:color="auto"/>
            </w:tcBorders>
            <w:vAlign w:val="center"/>
          </w:tcPr>
          <w:p w14:paraId="4F2DE0A2"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2E0F7AFF"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22EE61CE" w14:textId="77777777"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2E2AD528" w14:textId="77777777" w:rsidR="00CA64B9" w:rsidRPr="00F261DB" w:rsidRDefault="00CA64B9">
            <w:pPr>
              <w:jc w:val="left"/>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3C4037A6" w14:textId="10FA7ED7" w:rsidR="00CA64B9" w:rsidRPr="00FF63D1" w:rsidRDefault="00CA64B9">
            <w:pPr>
              <w:jc w:val="left"/>
              <w:rPr>
                <w:noProof/>
                <w:sz w:val="20"/>
              </w:rPr>
            </w:pPr>
            <w:r w:rsidRPr="00F261DB">
              <w:rPr>
                <w:noProof/>
                <w:color w:val="000000"/>
                <w:sz w:val="20"/>
                <w:szCs w:val="20"/>
              </w:rPr>
              <w:t>European Commission: investment in the back-end SDG system EUR 20</w:t>
            </w:r>
            <w:r w:rsidR="00B8591D">
              <w:rPr>
                <w:noProof/>
                <w:color w:val="000000"/>
                <w:sz w:val="20"/>
                <w:szCs w:val="20"/>
              </w:rPr>
              <w:t xml:space="preserve"> </w:t>
            </w:r>
            <w:r w:rsidRPr="00F261DB">
              <w:rPr>
                <w:noProof/>
                <w:color w:val="000000"/>
                <w:sz w:val="20"/>
                <w:szCs w:val="20"/>
              </w:rPr>
              <w:t>000</w:t>
            </w:r>
          </w:p>
        </w:tc>
        <w:tc>
          <w:tcPr>
            <w:tcW w:w="682" w:type="pct"/>
            <w:tcBorders>
              <w:top w:val="single" w:sz="6" w:space="0" w:color="auto"/>
              <w:left w:val="single" w:sz="6" w:space="0" w:color="auto"/>
              <w:bottom w:val="single" w:sz="6" w:space="0" w:color="auto"/>
              <w:right w:val="double" w:sz="6" w:space="0" w:color="auto"/>
            </w:tcBorders>
            <w:vAlign w:val="center"/>
          </w:tcPr>
          <w:p w14:paraId="4E3AC51F" w14:textId="7B96E6D7" w:rsidR="00567615" w:rsidRDefault="00CA64B9">
            <w:pPr>
              <w:jc w:val="left"/>
              <w:rPr>
                <w:noProof/>
                <w:color w:val="000000"/>
                <w:sz w:val="20"/>
                <w:szCs w:val="20"/>
              </w:rPr>
            </w:pPr>
            <w:r w:rsidRPr="00F261DB">
              <w:rPr>
                <w:noProof/>
                <w:color w:val="000000"/>
                <w:sz w:val="20"/>
                <w:szCs w:val="20"/>
              </w:rPr>
              <w:t>European Commission:</w:t>
            </w:r>
            <w:r w:rsidRPr="00F261DB" w:rsidDel="00480BEE">
              <w:rPr>
                <w:noProof/>
                <w:color w:val="000000"/>
                <w:sz w:val="20"/>
                <w:szCs w:val="20"/>
              </w:rPr>
              <w:t xml:space="preserve"> </w:t>
            </w:r>
            <w:r w:rsidRPr="00F261DB">
              <w:rPr>
                <w:noProof/>
                <w:color w:val="000000"/>
                <w:sz w:val="20"/>
                <w:szCs w:val="20"/>
              </w:rPr>
              <w:t>EUR 20</w:t>
            </w:r>
            <w:r w:rsidR="00B8591D">
              <w:rPr>
                <w:noProof/>
                <w:color w:val="000000"/>
                <w:sz w:val="20"/>
                <w:szCs w:val="20"/>
              </w:rPr>
              <w:t xml:space="preserve"> </w:t>
            </w:r>
            <w:r>
              <w:rPr>
                <w:noProof/>
                <w:color w:val="000000"/>
                <w:sz w:val="20"/>
                <w:szCs w:val="20"/>
              </w:rPr>
              <w:t>0</w:t>
            </w:r>
            <w:r w:rsidRPr="00567615">
              <w:rPr>
                <w:noProof/>
                <w:sz w:val="20"/>
                <w:szCs w:val="20"/>
              </w:rPr>
              <w:t xml:space="preserve">00 per year per section for expanding </w:t>
            </w:r>
            <w:r w:rsidRPr="00F261DB">
              <w:rPr>
                <w:noProof/>
                <w:color w:val="000000"/>
                <w:sz w:val="20"/>
                <w:szCs w:val="20"/>
              </w:rPr>
              <w:t xml:space="preserve">Annex I of the </w:t>
            </w:r>
            <w:r w:rsidRPr="00F261DB">
              <w:rPr>
                <w:noProof/>
                <w:color w:val="000000"/>
                <w:sz w:val="20"/>
                <w:szCs w:val="20"/>
              </w:rPr>
              <w:br/>
              <w:t xml:space="preserve">SGDR with permitting (Your Europe Portal) </w:t>
            </w:r>
          </w:p>
          <w:p w14:paraId="568A8835" w14:textId="77777777" w:rsidR="00567615" w:rsidRDefault="00567615">
            <w:pPr>
              <w:jc w:val="left"/>
              <w:rPr>
                <w:noProof/>
                <w:color w:val="000000"/>
                <w:sz w:val="20"/>
                <w:szCs w:val="20"/>
              </w:rPr>
            </w:pPr>
          </w:p>
          <w:p w14:paraId="06A3A629" w14:textId="376C23F2" w:rsidR="00CA64B9" w:rsidRPr="00F261DB" w:rsidRDefault="26B9D6D5">
            <w:pPr>
              <w:jc w:val="left"/>
              <w:rPr>
                <w:noProof/>
                <w:color w:val="000000"/>
                <w:sz w:val="20"/>
                <w:szCs w:val="20"/>
              </w:rPr>
            </w:pPr>
            <w:r w:rsidRPr="3C1B0927">
              <w:rPr>
                <w:noProof/>
                <w:color w:val="000000" w:themeColor="text1"/>
                <w:sz w:val="20"/>
                <w:szCs w:val="20"/>
              </w:rPr>
              <w:t>Member States: up to EUR 40</w:t>
            </w:r>
            <w:r w:rsidR="2B4E8B76" w:rsidRPr="3C1B0927">
              <w:rPr>
                <w:noProof/>
                <w:color w:val="000000" w:themeColor="text1"/>
                <w:sz w:val="20"/>
                <w:szCs w:val="20"/>
              </w:rPr>
              <w:t xml:space="preserve"> </w:t>
            </w:r>
            <w:r w:rsidRPr="3C1B0927">
              <w:rPr>
                <w:noProof/>
                <w:color w:val="000000" w:themeColor="text1"/>
                <w:sz w:val="20"/>
                <w:szCs w:val="20"/>
              </w:rPr>
              <w:t>000 per year per section, with a total cost of EUR 1.08 million</w:t>
            </w:r>
            <w:r w:rsidR="3BEEBEC8" w:rsidRPr="3C1B0927">
              <w:rPr>
                <w:noProof/>
                <w:color w:val="000000" w:themeColor="text1"/>
                <w:sz w:val="20"/>
                <w:szCs w:val="20"/>
              </w:rPr>
              <w:t xml:space="preserve"> for all</w:t>
            </w:r>
            <w:r w:rsidR="27F3A5F8" w:rsidRPr="3C1B0927">
              <w:rPr>
                <w:noProof/>
                <w:color w:val="000000" w:themeColor="text1"/>
                <w:sz w:val="20"/>
                <w:szCs w:val="20"/>
              </w:rPr>
              <w:t xml:space="preserve"> Member States</w:t>
            </w:r>
          </w:p>
        </w:tc>
      </w:tr>
      <w:tr w:rsidR="00147D8A" w:rsidRPr="00F261DB" w14:paraId="38684A33" w14:textId="77777777" w:rsidTr="7ECD02B7">
        <w:trPr>
          <w:trHeight w:val="300"/>
        </w:trPr>
        <w:tc>
          <w:tcPr>
            <w:tcW w:w="423" w:type="pct"/>
            <w:vMerge/>
            <w:vAlign w:val="center"/>
          </w:tcPr>
          <w:p w14:paraId="1E1E8F2E" w14:textId="77777777" w:rsidR="00CA64B9" w:rsidRPr="00F261DB" w:rsidRDefault="00CA64B9">
            <w:pPr>
              <w:rPr>
                <w:noProof/>
                <w:sz w:val="20"/>
                <w:szCs w:val="20"/>
              </w:rPr>
            </w:pPr>
          </w:p>
        </w:tc>
        <w:tc>
          <w:tcPr>
            <w:tcW w:w="478" w:type="pct"/>
            <w:tcBorders>
              <w:top w:val="single" w:sz="6" w:space="0" w:color="auto"/>
              <w:left w:val="single" w:sz="6" w:space="0" w:color="auto"/>
              <w:bottom w:val="single" w:sz="6" w:space="0" w:color="auto"/>
              <w:right w:val="single" w:sz="6" w:space="0" w:color="auto"/>
            </w:tcBorders>
            <w:vAlign w:val="center"/>
          </w:tcPr>
          <w:p w14:paraId="1567A3B1" w14:textId="7CEAF225" w:rsidR="00CA64B9" w:rsidRPr="00FF63D1" w:rsidRDefault="00CA64B9">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single" w:sz="6" w:space="0" w:color="auto"/>
              <w:right w:val="single" w:sz="6" w:space="0" w:color="auto"/>
            </w:tcBorders>
            <w:vAlign w:val="center"/>
          </w:tcPr>
          <w:p w14:paraId="43FF77D2"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3AA487CF"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54FAE5D7" w14:textId="77777777"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38505A8C" w14:textId="77777777" w:rsidR="00CA64B9" w:rsidRPr="00F261DB" w:rsidRDefault="00CA64B9">
            <w:pPr>
              <w:jc w:val="left"/>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7DAE86D8" w14:textId="77777777"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2B781271" w14:textId="77777777" w:rsidR="00CA64B9" w:rsidRPr="00F261DB" w:rsidRDefault="00CA64B9">
            <w:pPr>
              <w:jc w:val="left"/>
              <w:rPr>
                <w:noProof/>
                <w:color w:val="000000"/>
                <w:sz w:val="20"/>
                <w:szCs w:val="20"/>
              </w:rPr>
            </w:pPr>
          </w:p>
        </w:tc>
      </w:tr>
      <w:tr w:rsidR="00147D8A" w:rsidRPr="00F261DB" w14:paraId="78994A6C" w14:textId="77777777" w:rsidTr="7ECD02B7">
        <w:trPr>
          <w:trHeight w:val="300"/>
        </w:trPr>
        <w:tc>
          <w:tcPr>
            <w:tcW w:w="423" w:type="pct"/>
            <w:vMerge w:val="restart"/>
            <w:tcBorders>
              <w:left w:val="double" w:sz="6" w:space="0" w:color="auto"/>
              <w:right w:val="single" w:sz="6" w:space="0" w:color="auto"/>
            </w:tcBorders>
            <w:vAlign w:val="center"/>
          </w:tcPr>
          <w:p w14:paraId="3F252F24" w14:textId="446338E9" w:rsidR="00CA64B9" w:rsidRPr="00F261DB" w:rsidRDefault="00CA64B9">
            <w:pPr>
              <w:rPr>
                <w:noProof/>
                <w:sz w:val="20"/>
                <w:szCs w:val="20"/>
              </w:rPr>
            </w:pPr>
            <w:r w:rsidRPr="00F261DB">
              <w:rPr>
                <w:noProof/>
                <w:sz w:val="20"/>
                <w:szCs w:val="20"/>
              </w:rPr>
              <w:t>AREA 2</w:t>
            </w:r>
          </w:p>
        </w:tc>
        <w:tc>
          <w:tcPr>
            <w:tcW w:w="478" w:type="pct"/>
            <w:tcBorders>
              <w:top w:val="single" w:sz="6" w:space="0" w:color="auto"/>
              <w:left w:val="single" w:sz="6" w:space="0" w:color="auto"/>
              <w:bottom w:val="single" w:sz="6" w:space="0" w:color="auto"/>
              <w:right w:val="single" w:sz="6" w:space="0" w:color="auto"/>
            </w:tcBorders>
            <w:vAlign w:val="center"/>
          </w:tcPr>
          <w:p w14:paraId="108E55D1" w14:textId="3301D51A" w:rsidR="00CA64B9" w:rsidRPr="00FF63D1" w:rsidRDefault="00CA64B9">
            <w:pPr>
              <w:jc w:val="left"/>
              <w:rPr>
                <w:noProof/>
                <w:sz w:val="20"/>
              </w:rPr>
            </w:pPr>
            <w:r w:rsidRPr="00FF63D1">
              <w:rPr>
                <w:noProof/>
                <w:sz w:val="20"/>
              </w:rPr>
              <w:t>Direct adjustment costs</w:t>
            </w:r>
          </w:p>
        </w:tc>
        <w:tc>
          <w:tcPr>
            <w:tcW w:w="636" w:type="pct"/>
            <w:tcBorders>
              <w:top w:val="single" w:sz="6" w:space="0" w:color="auto"/>
              <w:left w:val="double" w:sz="6" w:space="0" w:color="auto"/>
              <w:bottom w:val="single" w:sz="6" w:space="0" w:color="auto"/>
              <w:right w:val="single" w:sz="6" w:space="0" w:color="auto"/>
            </w:tcBorders>
            <w:vAlign w:val="center"/>
          </w:tcPr>
          <w:p w14:paraId="3F7EEF51"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03AFDFB4"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0D25B7BD" w14:textId="77777777"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7B067BBD" w14:textId="77777777" w:rsidR="00CA64B9" w:rsidRPr="00F261DB" w:rsidRDefault="00CA64B9">
            <w:pPr>
              <w:jc w:val="left"/>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42C5F6B3" w14:textId="77777777"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3F960060" w14:textId="77777777" w:rsidR="00CA64B9" w:rsidRPr="00F261DB" w:rsidRDefault="00CA64B9">
            <w:pPr>
              <w:jc w:val="left"/>
              <w:rPr>
                <w:noProof/>
                <w:color w:val="000000"/>
                <w:sz w:val="20"/>
                <w:szCs w:val="20"/>
              </w:rPr>
            </w:pPr>
          </w:p>
        </w:tc>
      </w:tr>
      <w:tr w:rsidR="00147D8A" w:rsidRPr="00F261DB" w14:paraId="5C928964" w14:textId="77777777" w:rsidTr="7ECD02B7">
        <w:trPr>
          <w:trHeight w:val="300"/>
        </w:trPr>
        <w:tc>
          <w:tcPr>
            <w:tcW w:w="423" w:type="pct"/>
            <w:vMerge/>
            <w:vAlign w:val="center"/>
          </w:tcPr>
          <w:p w14:paraId="39F2F3ED" w14:textId="77777777" w:rsidR="00CA64B9" w:rsidRPr="00F261DB" w:rsidRDefault="00CA64B9">
            <w:pPr>
              <w:rPr>
                <w:noProof/>
                <w:sz w:val="20"/>
                <w:szCs w:val="20"/>
              </w:rPr>
            </w:pPr>
          </w:p>
        </w:tc>
        <w:tc>
          <w:tcPr>
            <w:tcW w:w="478" w:type="pct"/>
            <w:tcBorders>
              <w:top w:val="single" w:sz="6" w:space="0" w:color="auto"/>
              <w:left w:val="single" w:sz="6" w:space="0" w:color="auto"/>
              <w:bottom w:val="single" w:sz="6" w:space="0" w:color="auto"/>
              <w:right w:val="single" w:sz="6" w:space="0" w:color="auto"/>
            </w:tcBorders>
            <w:vAlign w:val="center"/>
          </w:tcPr>
          <w:p w14:paraId="38848C49" w14:textId="685916B1" w:rsidR="00CA64B9" w:rsidRPr="00FF63D1" w:rsidRDefault="00CA64B9">
            <w:pPr>
              <w:jc w:val="left"/>
              <w:rPr>
                <w:noProof/>
                <w:sz w:val="20"/>
              </w:rPr>
            </w:pPr>
            <w:r w:rsidRPr="00FF63D1">
              <w:rPr>
                <w:noProof/>
                <w:sz w:val="20"/>
              </w:rPr>
              <w:t>Direct administrative costs</w:t>
            </w:r>
          </w:p>
        </w:tc>
        <w:tc>
          <w:tcPr>
            <w:tcW w:w="636" w:type="pct"/>
            <w:tcBorders>
              <w:top w:val="single" w:sz="6" w:space="0" w:color="auto"/>
              <w:left w:val="double" w:sz="6" w:space="0" w:color="auto"/>
              <w:bottom w:val="single" w:sz="6" w:space="0" w:color="auto"/>
              <w:right w:val="single" w:sz="6" w:space="0" w:color="auto"/>
            </w:tcBorders>
            <w:vAlign w:val="center"/>
          </w:tcPr>
          <w:p w14:paraId="5006A768" w14:textId="77777777" w:rsidR="00CA64B9" w:rsidRPr="00F261DB" w:rsidRDefault="00CA64B9">
            <w:pPr>
              <w:jc w:val="left"/>
              <w:rPr>
                <w:noProof/>
              </w:rPr>
            </w:pPr>
          </w:p>
        </w:tc>
        <w:tc>
          <w:tcPr>
            <w:tcW w:w="564" w:type="pct"/>
            <w:tcBorders>
              <w:top w:val="single" w:sz="6" w:space="0" w:color="auto"/>
              <w:left w:val="single" w:sz="6" w:space="0" w:color="auto"/>
              <w:bottom w:val="single" w:sz="6" w:space="0" w:color="auto"/>
              <w:right w:val="single" w:sz="6" w:space="0" w:color="auto"/>
            </w:tcBorders>
            <w:vAlign w:val="center"/>
          </w:tcPr>
          <w:p w14:paraId="2A512749" w14:textId="77777777" w:rsidR="00CA64B9" w:rsidRPr="00FF63D1" w:rsidRDefault="00CA64B9">
            <w:pPr>
              <w:jc w:val="left"/>
              <w:rPr>
                <w:noProof/>
                <w:sz w:val="20"/>
              </w:rPr>
            </w:pPr>
          </w:p>
        </w:tc>
        <w:tc>
          <w:tcPr>
            <w:tcW w:w="694" w:type="pct"/>
            <w:tcBorders>
              <w:top w:val="single" w:sz="6" w:space="0" w:color="auto"/>
              <w:left w:val="single" w:sz="6" w:space="0" w:color="auto"/>
              <w:bottom w:val="single" w:sz="6" w:space="0" w:color="auto"/>
              <w:right w:val="single" w:sz="6" w:space="0" w:color="auto"/>
            </w:tcBorders>
            <w:vAlign w:val="center"/>
          </w:tcPr>
          <w:p w14:paraId="065CE195" w14:textId="77777777" w:rsidR="00CA64B9" w:rsidRPr="00FF63D1" w:rsidRDefault="00CA64B9">
            <w:pPr>
              <w:jc w:val="left"/>
              <w:rPr>
                <w:noProof/>
                <w:sz w:val="20"/>
              </w:rPr>
            </w:pPr>
          </w:p>
        </w:tc>
        <w:tc>
          <w:tcPr>
            <w:tcW w:w="894" w:type="pct"/>
            <w:tcBorders>
              <w:top w:val="single" w:sz="6" w:space="0" w:color="auto"/>
              <w:left w:val="single" w:sz="6" w:space="0" w:color="auto"/>
              <w:bottom w:val="single" w:sz="6" w:space="0" w:color="auto"/>
              <w:right w:val="single" w:sz="6" w:space="0" w:color="auto"/>
            </w:tcBorders>
            <w:vAlign w:val="center"/>
          </w:tcPr>
          <w:p w14:paraId="3446BE3D" w14:textId="77777777" w:rsidR="00CA64B9" w:rsidRPr="00F261DB" w:rsidRDefault="00CA64B9">
            <w:pPr>
              <w:jc w:val="left"/>
              <w:rPr>
                <w:rFonts w:eastAsia="Aptos"/>
                <w:noProof/>
                <w:sz w:val="20"/>
                <w:szCs w:val="20"/>
              </w:rPr>
            </w:pPr>
          </w:p>
        </w:tc>
        <w:tc>
          <w:tcPr>
            <w:tcW w:w="630" w:type="pct"/>
            <w:tcBorders>
              <w:top w:val="single" w:sz="6" w:space="0" w:color="auto"/>
              <w:left w:val="single" w:sz="6" w:space="0" w:color="auto"/>
              <w:bottom w:val="single" w:sz="6" w:space="0" w:color="auto"/>
              <w:right w:val="single" w:sz="6" w:space="0" w:color="auto"/>
            </w:tcBorders>
            <w:vAlign w:val="center"/>
          </w:tcPr>
          <w:p w14:paraId="18FCEAFA" w14:textId="77777777" w:rsidR="00CA64B9" w:rsidRPr="00FF63D1" w:rsidRDefault="00CA64B9">
            <w:pPr>
              <w:jc w:val="left"/>
              <w:rPr>
                <w:noProof/>
                <w:sz w:val="20"/>
              </w:rPr>
            </w:pPr>
          </w:p>
        </w:tc>
        <w:tc>
          <w:tcPr>
            <w:tcW w:w="682" w:type="pct"/>
            <w:tcBorders>
              <w:top w:val="single" w:sz="6" w:space="0" w:color="auto"/>
              <w:left w:val="single" w:sz="6" w:space="0" w:color="auto"/>
              <w:bottom w:val="single" w:sz="6" w:space="0" w:color="auto"/>
              <w:right w:val="double" w:sz="6" w:space="0" w:color="auto"/>
            </w:tcBorders>
            <w:vAlign w:val="center"/>
          </w:tcPr>
          <w:p w14:paraId="39CF30DE" w14:textId="6C6E83A7" w:rsidR="00CA64B9" w:rsidRPr="00F261DB" w:rsidRDefault="26B9D6D5">
            <w:pPr>
              <w:jc w:val="left"/>
              <w:rPr>
                <w:noProof/>
                <w:color w:val="000000"/>
                <w:sz w:val="20"/>
                <w:szCs w:val="20"/>
              </w:rPr>
            </w:pPr>
            <w:r w:rsidRPr="3C1B0927">
              <w:rPr>
                <w:noProof/>
                <w:color w:val="000000" w:themeColor="text1"/>
                <w:sz w:val="20"/>
                <w:szCs w:val="20"/>
              </w:rPr>
              <w:t>1 FTE (EUR 1.65 million for all</w:t>
            </w:r>
            <w:r w:rsidR="27F3A5F8" w:rsidRPr="3C1B0927">
              <w:rPr>
                <w:noProof/>
                <w:color w:val="000000" w:themeColor="text1"/>
                <w:sz w:val="20"/>
                <w:szCs w:val="20"/>
              </w:rPr>
              <w:t xml:space="preserve"> Member States</w:t>
            </w:r>
            <w:r w:rsidRPr="3C1B0927">
              <w:rPr>
                <w:noProof/>
                <w:color w:val="000000" w:themeColor="text1"/>
                <w:sz w:val="20"/>
                <w:szCs w:val="20"/>
              </w:rPr>
              <w:t xml:space="preserve">) per year to designate </w:t>
            </w:r>
            <w:r w:rsidRPr="3C1B0927">
              <w:rPr>
                <w:noProof/>
                <w:color w:val="000000" w:themeColor="text1"/>
                <w:sz w:val="20"/>
                <w:szCs w:val="20"/>
              </w:rPr>
              <w:lastRenderedPageBreak/>
              <w:t>priority projects / acceleration areas and facilitate benefits</w:t>
            </w:r>
          </w:p>
        </w:tc>
      </w:tr>
    </w:tbl>
    <w:p w14:paraId="2DDD7B34" w14:textId="72FBFF73" w:rsidR="00020031" w:rsidRPr="00F261DB" w:rsidRDefault="00A76C75" w:rsidP="3C1B0927">
      <w:pPr>
        <w:spacing w:after="240"/>
        <w:contextualSpacing/>
        <w:rPr>
          <w:rFonts w:eastAsia="Aptos"/>
          <w:i/>
          <w:iCs/>
          <w:noProof/>
          <w:sz w:val="20"/>
          <w:szCs w:val="20"/>
        </w:rPr>
      </w:pPr>
      <w:r>
        <w:rPr>
          <w:rFonts w:eastAsia="Aptos"/>
          <w:i/>
          <w:noProof/>
          <w:sz w:val="20"/>
          <w:szCs w:val="20"/>
        </w:rPr>
        <w:lastRenderedPageBreak/>
        <w:br w:type="textWrapping" w:clear="all"/>
      </w:r>
    </w:p>
    <w:tbl>
      <w:tblPr>
        <w:tblpPr w:leftFromText="180" w:rightFromText="180" w:vertAnchor="text" w:tblpY="1"/>
        <w:tblOverlap w:val="never"/>
        <w:tblW w:w="5000" w:type="pct"/>
        <w:tblCellMar>
          <w:left w:w="0" w:type="dxa"/>
          <w:right w:w="0" w:type="dxa"/>
        </w:tblCellMar>
        <w:tblLook w:val="04A0" w:firstRow="1" w:lastRow="0" w:firstColumn="1" w:lastColumn="0" w:noHBand="0" w:noVBand="1"/>
      </w:tblPr>
      <w:tblGrid>
        <w:gridCol w:w="2292"/>
        <w:gridCol w:w="5254"/>
        <w:gridCol w:w="3438"/>
        <w:gridCol w:w="3784"/>
      </w:tblGrid>
      <w:tr w:rsidR="00020031" w:rsidRPr="00F261DB" w14:paraId="4D4203C7" w14:textId="77777777" w:rsidTr="00081BD9">
        <w:trPr>
          <w:tblHeader/>
        </w:trPr>
        <w:tc>
          <w:tcPr>
            <w:tcW w:w="5000" w:type="pct"/>
            <w:gridSpan w:val="4"/>
            <w:tcBorders>
              <w:top w:val="double" w:sz="4" w:space="0" w:color="auto"/>
              <w:left w:val="double" w:sz="4" w:space="0" w:color="auto"/>
              <w:bottom w:val="single" w:sz="8" w:space="0" w:color="auto"/>
              <w:right w:val="double" w:sz="4" w:space="0" w:color="auto"/>
            </w:tcBorders>
            <w:shd w:val="clear" w:color="auto" w:fill="B7D4EF"/>
            <w:tcMar>
              <w:top w:w="0" w:type="dxa"/>
              <w:left w:w="108" w:type="dxa"/>
              <w:bottom w:w="0" w:type="dxa"/>
              <w:right w:w="108" w:type="dxa"/>
            </w:tcMar>
            <w:vAlign w:val="center"/>
            <w:hideMark/>
          </w:tcPr>
          <w:p w14:paraId="24CC50BC" w14:textId="1DE841AD" w:rsidR="00020031" w:rsidRPr="00F261DB" w:rsidRDefault="00020031" w:rsidP="0022778F">
            <w:pPr>
              <w:spacing w:before="60" w:after="60"/>
              <w:rPr>
                <w:rFonts w:eastAsia="Aptos"/>
                <w:b/>
                <w:noProof/>
                <w:sz w:val="20"/>
                <w:szCs w:val="20"/>
              </w:rPr>
            </w:pPr>
            <w:bookmarkStart w:id="206" w:name="_Hlk126312867"/>
            <w:r w:rsidRPr="00F261DB">
              <w:rPr>
                <w:rFonts w:eastAsia="Aptos"/>
                <w:b/>
                <w:noProof/>
                <w:sz w:val="20"/>
                <w:szCs w:val="20"/>
              </w:rPr>
              <w:t>III. Application of the ‘one in, one out’ approach – Preferred option(s)</w:t>
            </w:r>
          </w:p>
        </w:tc>
      </w:tr>
      <w:tr w:rsidR="00B403BA" w:rsidRPr="00F261DB" w14:paraId="6C2C2356" w14:textId="77777777" w:rsidTr="00081BD9">
        <w:trPr>
          <w:tblHeader/>
        </w:trPr>
        <w:tc>
          <w:tcPr>
            <w:tcW w:w="776"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7897CE12" w14:textId="37BABA3D" w:rsidR="00020031" w:rsidRPr="00F261DB" w:rsidRDefault="00C841CC" w:rsidP="0022778F">
            <w:pPr>
              <w:spacing w:before="60" w:after="60"/>
              <w:jc w:val="right"/>
              <w:rPr>
                <w:rFonts w:ascii="Calibri" w:eastAsia="Aptos" w:hAnsi="Calibri" w:cs="Calibri"/>
                <w:b/>
                <w:noProof/>
                <w:sz w:val="20"/>
                <w:szCs w:val="20"/>
              </w:rPr>
            </w:pPr>
            <w:r>
              <w:rPr>
                <w:rFonts w:eastAsia="Aptos"/>
                <w:b/>
                <w:noProof/>
                <w:sz w:val="20"/>
                <w:szCs w:val="20"/>
              </w:rPr>
              <w:t>EUR in million</w:t>
            </w:r>
          </w:p>
        </w:tc>
        <w:tc>
          <w:tcPr>
            <w:tcW w:w="17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C96E24" w14:textId="77777777" w:rsidR="00020031" w:rsidRPr="00F261DB" w:rsidRDefault="00020031" w:rsidP="0022778F">
            <w:pPr>
              <w:spacing w:before="60"/>
              <w:jc w:val="center"/>
              <w:rPr>
                <w:rFonts w:eastAsia="Aptos"/>
                <w:b/>
                <w:noProof/>
                <w:sz w:val="20"/>
                <w:szCs w:val="20"/>
              </w:rPr>
            </w:pPr>
            <w:r w:rsidRPr="00F261DB">
              <w:rPr>
                <w:rFonts w:eastAsia="Aptos"/>
                <w:b/>
                <w:noProof/>
                <w:sz w:val="20"/>
                <w:szCs w:val="20"/>
              </w:rPr>
              <w:t>One-off</w:t>
            </w:r>
          </w:p>
          <w:p w14:paraId="3493409B" w14:textId="6C7B7110" w:rsidR="00020031" w:rsidRPr="00F261DB" w:rsidRDefault="719AC623" w:rsidP="0022778F">
            <w:pPr>
              <w:spacing w:after="60"/>
              <w:jc w:val="center"/>
              <w:rPr>
                <w:rFonts w:eastAsia="Aptos"/>
                <w:noProof/>
                <w:sz w:val="20"/>
                <w:szCs w:val="20"/>
              </w:rPr>
            </w:pPr>
            <w:r w:rsidRPr="00F261DB">
              <w:rPr>
                <w:rFonts w:eastAsia="Aptos"/>
                <w:noProof/>
                <w:sz w:val="20"/>
                <w:szCs w:val="20"/>
              </w:rPr>
              <w:t>(annualised total net present value over the relevant period)</w:t>
            </w:r>
            <w:r w:rsidR="00CF5668" w:rsidRPr="00F261DB">
              <w:rPr>
                <w:rStyle w:val="FootnoteReference"/>
                <w:rFonts w:eastAsia="Aptos"/>
                <w:noProof/>
                <w:sz w:val="20"/>
                <w:szCs w:val="20"/>
              </w:rPr>
              <w:footnoteReference w:id="252"/>
            </w:r>
          </w:p>
        </w:tc>
        <w:tc>
          <w:tcPr>
            <w:tcW w:w="1164" w:type="pct"/>
            <w:tcBorders>
              <w:top w:val="nil"/>
              <w:left w:val="nil"/>
              <w:bottom w:val="single" w:sz="8" w:space="0" w:color="auto"/>
              <w:right w:val="double" w:sz="4" w:space="0" w:color="auto"/>
            </w:tcBorders>
            <w:tcMar>
              <w:top w:w="0" w:type="dxa"/>
              <w:left w:w="108" w:type="dxa"/>
              <w:bottom w:w="0" w:type="dxa"/>
              <w:right w:w="108" w:type="dxa"/>
            </w:tcMar>
            <w:vAlign w:val="center"/>
          </w:tcPr>
          <w:p w14:paraId="102258F2" w14:textId="77777777" w:rsidR="00020031" w:rsidRPr="00F261DB" w:rsidRDefault="00020031" w:rsidP="0022778F">
            <w:pPr>
              <w:spacing w:before="60"/>
              <w:jc w:val="center"/>
              <w:rPr>
                <w:rFonts w:eastAsia="Aptos"/>
                <w:b/>
                <w:noProof/>
                <w:sz w:val="20"/>
                <w:szCs w:val="20"/>
              </w:rPr>
            </w:pPr>
            <w:r w:rsidRPr="00F261DB">
              <w:rPr>
                <w:rFonts w:eastAsia="Aptos"/>
                <w:b/>
                <w:noProof/>
                <w:sz w:val="20"/>
                <w:szCs w:val="20"/>
              </w:rPr>
              <w:t>Recurrent</w:t>
            </w:r>
          </w:p>
          <w:p w14:paraId="70DD25B6" w14:textId="24251240" w:rsidR="00020031" w:rsidRPr="00F261DB" w:rsidRDefault="00020031" w:rsidP="0022778F">
            <w:pPr>
              <w:spacing w:after="60"/>
              <w:jc w:val="center"/>
              <w:rPr>
                <w:rFonts w:eastAsia="Aptos"/>
                <w:b/>
                <w:noProof/>
                <w:sz w:val="20"/>
                <w:szCs w:val="20"/>
              </w:rPr>
            </w:pPr>
            <w:r w:rsidRPr="00F261DB">
              <w:rPr>
                <w:rFonts w:eastAsia="Aptos"/>
                <w:noProof/>
                <w:sz w:val="20"/>
                <w:szCs w:val="20"/>
              </w:rPr>
              <w:t>(nominal values per year)</w:t>
            </w:r>
          </w:p>
        </w:tc>
        <w:tc>
          <w:tcPr>
            <w:tcW w:w="1281" w:type="pct"/>
            <w:tcBorders>
              <w:top w:val="nil"/>
              <w:left w:val="nil"/>
              <w:bottom w:val="single" w:sz="8" w:space="0" w:color="auto"/>
              <w:right w:val="double" w:sz="4" w:space="0" w:color="auto"/>
            </w:tcBorders>
          </w:tcPr>
          <w:p w14:paraId="6EFC9D51" w14:textId="77777777" w:rsidR="00020031" w:rsidRPr="00F261DB" w:rsidRDefault="00020031" w:rsidP="0022778F">
            <w:pPr>
              <w:spacing w:before="60"/>
              <w:jc w:val="center"/>
              <w:rPr>
                <w:rFonts w:eastAsia="Aptos"/>
                <w:b/>
                <w:noProof/>
                <w:sz w:val="20"/>
                <w:szCs w:val="20"/>
              </w:rPr>
            </w:pPr>
            <w:r w:rsidRPr="00F261DB">
              <w:rPr>
                <w:rFonts w:eastAsia="Aptos"/>
                <w:b/>
                <w:noProof/>
                <w:sz w:val="20"/>
                <w:szCs w:val="20"/>
              </w:rPr>
              <w:t>Total</w:t>
            </w:r>
          </w:p>
        </w:tc>
      </w:tr>
      <w:tr w:rsidR="00020031" w:rsidRPr="00F261DB" w14:paraId="687D09C9" w14:textId="77777777" w:rsidTr="00081BD9">
        <w:tc>
          <w:tcPr>
            <w:tcW w:w="5000" w:type="pct"/>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74547E45" w14:textId="77777777" w:rsidR="00020031" w:rsidRPr="00F261DB" w:rsidRDefault="00020031" w:rsidP="0022778F">
            <w:pPr>
              <w:spacing w:before="120" w:after="120"/>
              <w:jc w:val="left"/>
              <w:rPr>
                <w:rFonts w:eastAsia="Aptos"/>
                <w:b/>
                <w:noProof/>
                <w:sz w:val="20"/>
                <w:szCs w:val="20"/>
                <w:lang w:eastAsia="en-GB"/>
              </w:rPr>
            </w:pPr>
            <w:r w:rsidRPr="00F261DB">
              <w:rPr>
                <w:rFonts w:eastAsia="Aptos"/>
                <w:b/>
                <w:noProof/>
                <w:sz w:val="20"/>
                <w:szCs w:val="20"/>
              </w:rPr>
              <w:t>Businesses</w:t>
            </w:r>
          </w:p>
        </w:tc>
      </w:tr>
      <w:tr w:rsidR="00B403BA" w:rsidRPr="00F261DB" w14:paraId="6E45789F" w14:textId="77777777" w:rsidTr="00081BD9">
        <w:tc>
          <w:tcPr>
            <w:tcW w:w="776"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1FED5371" w14:textId="77777777" w:rsidR="00020031" w:rsidRPr="00F261DB" w:rsidRDefault="00020031" w:rsidP="0022778F">
            <w:pPr>
              <w:spacing w:before="60" w:after="60"/>
              <w:ind w:left="284"/>
              <w:jc w:val="left"/>
              <w:rPr>
                <w:rFonts w:eastAsia="Aptos"/>
                <w:noProof/>
                <w:sz w:val="20"/>
                <w:szCs w:val="20"/>
              </w:rPr>
            </w:pPr>
            <w:r w:rsidRPr="00F261DB">
              <w:rPr>
                <w:rFonts w:eastAsia="Aptos"/>
                <w:noProof/>
                <w:sz w:val="20"/>
                <w:szCs w:val="20"/>
              </w:rPr>
              <w:t>New administrative burdens (INs)</w:t>
            </w:r>
          </w:p>
        </w:tc>
        <w:tc>
          <w:tcPr>
            <w:tcW w:w="1779" w:type="pct"/>
            <w:tcBorders>
              <w:top w:val="nil"/>
              <w:left w:val="nil"/>
              <w:bottom w:val="single" w:sz="8" w:space="0" w:color="auto"/>
              <w:right w:val="single" w:sz="8" w:space="0" w:color="auto"/>
            </w:tcBorders>
            <w:tcMar>
              <w:top w:w="0" w:type="dxa"/>
              <w:left w:w="108" w:type="dxa"/>
              <w:bottom w:w="0" w:type="dxa"/>
              <w:right w:w="108" w:type="dxa"/>
            </w:tcMar>
            <w:vAlign w:val="center"/>
          </w:tcPr>
          <w:p w14:paraId="40635074" w14:textId="4883D889" w:rsidR="00945EB5" w:rsidRPr="0036649F" w:rsidRDefault="006371D9" w:rsidP="0022778F">
            <w:pPr>
              <w:jc w:val="center"/>
              <w:rPr>
                <w:rStyle w:val="FootnoteReference"/>
                <w:rFonts w:eastAsia="Times New Roman"/>
                <w:noProof/>
                <w:color w:val="000000" w:themeColor="text1"/>
                <w:sz w:val="20"/>
                <w:szCs w:val="20"/>
                <w:lang w:val="fr-BE"/>
              </w:rPr>
            </w:pPr>
            <w:r w:rsidRPr="0036649F">
              <w:rPr>
                <w:rFonts w:eastAsia="Times New Roman"/>
                <w:noProof/>
                <w:color w:val="000000" w:themeColor="text1"/>
                <w:sz w:val="20"/>
                <w:szCs w:val="20"/>
                <w:lang w:val="fr-BE"/>
              </w:rPr>
              <w:t xml:space="preserve">Total: </w:t>
            </w:r>
            <w:r w:rsidR="67BF4D13" w:rsidRPr="0036649F">
              <w:rPr>
                <w:rFonts w:eastAsia="Times New Roman"/>
                <w:noProof/>
                <w:color w:val="000000" w:themeColor="text1"/>
                <w:sz w:val="20"/>
                <w:szCs w:val="20"/>
                <w:lang w:val="fr-BE"/>
              </w:rPr>
              <w:t xml:space="preserve">EUR </w:t>
            </w:r>
            <w:r w:rsidR="53F40E0B" w:rsidRPr="0036649F">
              <w:rPr>
                <w:rFonts w:eastAsia="Times New Roman"/>
                <w:noProof/>
                <w:color w:val="000000" w:themeColor="text1"/>
                <w:sz w:val="20"/>
                <w:szCs w:val="20"/>
                <w:lang w:val="fr-BE"/>
              </w:rPr>
              <w:t>0.</w:t>
            </w:r>
            <w:r w:rsidR="49234CCC" w:rsidRPr="0036649F">
              <w:rPr>
                <w:rFonts w:eastAsia="Times New Roman"/>
                <w:noProof/>
                <w:color w:val="000000" w:themeColor="text1"/>
                <w:sz w:val="20"/>
                <w:szCs w:val="20"/>
                <w:lang w:val="fr-BE"/>
              </w:rPr>
              <w:t>01</w:t>
            </w:r>
            <w:r w:rsidR="53F40E0B" w:rsidRPr="0036649F">
              <w:rPr>
                <w:rFonts w:eastAsia="Times New Roman"/>
                <w:noProof/>
                <w:color w:val="000000" w:themeColor="text1"/>
                <w:sz w:val="20"/>
                <w:szCs w:val="20"/>
                <w:lang w:val="fr-BE"/>
              </w:rPr>
              <w:t xml:space="preserve"> </w:t>
            </w:r>
            <w:r w:rsidR="16B04FE1" w:rsidRPr="0036649F">
              <w:rPr>
                <w:rFonts w:eastAsia="Times New Roman"/>
                <w:noProof/>
                <w:color w:val="000000" w:themeColor="text1"/>
                <w:sz w:val="20"/>
                <w:szCs w:val="20"/>
                <w:lang w:val="fr-BE"/>
              </w:rPr>
              <w:t>million</w:t>
            </w:r>
            <w:r w:rsidR="53F40E0B" w:rsidRPr="0036649F">
              <w:rPr>
                <w:rFonts w:eastAsia="Times New Roman"/>
                <w:noProof/>
                <w:color w:val="000000" w:themeColor="text1"/>
                <w:sz w:val="20"/>
                <w:szCs w:val="20"/>
                <w:lang w:val="fr-BE"/>
              </w:rPr>
              <w:t xml:space="preserve"> </w:t>
            </w:r>
            <w:r w:rsidR="67BF4D13" w:rsidRPr="0036649F">
              <w:rPr>
                <w:rFonts w:eastAsia="Times New Roman"/>
                <w:noProof/>
                <w:color w:val="000000" w:themeColor="text1"/>
                <w:sz w:val="20"/>
                <w:szCs w:val="20"/>
                <w:lang w:val="fr-BE"/>
              </w:rPr>
              <w:t>for FDI notification</w:t>
            </w:r>
            <w:r w:rsidR="69EDF3C9" w:rsidRPr="0036649F">
              <w:rPr>
                <w:rFonts w:eastAsia="Times New Roman"/>
                <w:noProof/>
                <w:color w:val="000000" w:themeColor="text1"/>
                <w:sz w:val="20"/>
                <w:szCs w:val="20"/>
                <w:lang w:val="fr-BE"/>
              </w:rPr>
              <w:t xml:space="preserve">: </w:t>
            </w:r>
          </w:p>
          <w:p w14:paraId="6F8A2E99" w14:textId="29FAF55A" w:rsidR="00945EB5" w:rsidRPr="0036649F" w:rsidRDefault="69EDF3C9" w:rsidP="0022778F">
            <w:pPr>
              <w:pStyle w:val="ListParagraph"/>
              <w:jc w:val="center"/>
              <w:rPr>
                <w:rFonts w:eastAsia="Times New Roman"/>
                <w:noProof/>
                <w:color w:val="000000" w:themeColor="text1"/>
                <w:sz w:val="20"/>
                <w:szCs w:val="20"/>
                <w:lang w:val="fr-BE"/>
              </w:rPr>
            </w:pPr>
            <w:r w:rsidRPr="0036649F">
              <w:rPr>
                <w:rFonts w:eastAsia="Times New Roman"/>
                <w:noProof/>
                <w:color w:val="000000" w:themeColor="text1"/>
                <w:sz w:val="20"/>
                <w:szCs w:val="20"/>
                <w:lang w:val="fr-BE"/>
              </w:rPr>
              <w:t>Large Companies:</w:t>
            </w:r>
            <w:r w:rsidR="47A2207B" w:rsidRPr="0036649F">
              <w:rPr>
                <w:rFonts w:eastAsia="Times New Roman"/>
                <w:noProof/>
                <w:color w:val="000000" w:themeColor="text1"/>
                <w:sz w:val="20"/>
                <w:szCs w:val="20"/>
                <w:lang w:val="fr-BE"/>
              </w:rPr>
              <w:t xml:space="preserve"> EUR</w:t>
            </w:r>
            <w:r w:rsidRPr="0036649F">
              <w:rPr>
                <w:rFonts w:eastAsia="Times New Roman"/>
                <w:noProof/>
                <w:color w:val="000000" w:themeColor="text1"/>
                <w:sz w:val="20"/>
                <w:szCs w:val="20"/>
                <w:lang w:val="fr-BE"/>
              </w:rPr>
              <w:t xml:space="preserve"> </w:t>
            </w:r>
            <w:r w:rsidR="7C6EFE6F" w:rsidRPr="0036649F">
              <w:rPr>
                <w:rFonts w:eastAsia="Times New Roman"/>
                <w:noProof/>
                <w:color w:val="000000" w:themeColor="text1"/>
                <w:sz w:val="20"/>
                <w:szCs w:val="20"/>
                <w:lang w:val="fr-BE"/>
              </w:rPr>
              <w:t>0.0059 million</w:t>
            </w:r>
          </w:p>
          <w:p w14:paraId="6EA6CD58" w14:textId="1EBEC50C" w:rsidR="00945EB5" w:rsidRPr="0036649F" w:rsidRDefault="69EDF3C9" w:rsidP="0022778F">
            <w:pPr>
              <w:pStyle w:val="ListParagraph"/>
              <w:jc w:val="center"/>
              <w:rPr>
                <w:rFonts w:eastAsia="Times New Roman"/>
                <w:noProof/>
                <w:color w:val="000000" w:themeColor="text1"/>
                <w:sz w:val="20"/>
                <w:szCs w:val="20"/>
                <w:lang w:val="fr-BE"/>
              </w:rPr>
            </w:pPr>
            <w:r w:rsidRPr="0036649F">
              <w:rPr>
                <w:rFonts w:eastAsia="Times New Roman"/>
                <w:noProof/>
                <w:color w:val="000000" w:themeColor="text1"/>
                <w:sz w:val="20"/>
                <w:szCs w:val="20"/>
                <w:lang w:val="fr-BE"/>
              </w:rPr>
              <w:t xml:space="preserve">SMES: </w:t>
            </w:r>
            <w:r w:rsidR="5501E019" w:rsidRPr="0036649F">
              <w:rPr>
                <w:rFonts w:eastAsia="Times New Roman"/>
                <w:noProof/>
                <w:color w:val="000000" w:themeColor="text1"/>
                <w:sz w:val="20"/>
                <w:szCs w:val="20"/>
                <w:lang w:val="fr-BE"/>
              </w:rPr>
              <w:t xml:space="preserve">EUR </w:t>
            </w:r>
            <w:r w:rsidR="1C74167E" w:rsidRPr="0036649F">
              <w:rPr>
                <w:rFonts w:eastAsia="Times New Roman"/>
                <w:noProof/>
                <w:color w:val="000000" w:themeColor="text1"/>
                <w:sz w:val="20"/>
                <w:szCs w:val="20"/>
                <w:lang w:val="fr-BE"/>
              </w:rPr>
              <w:t>0.0041 million</w:t>
            </w:r>
          </w:p>
        </w:tc>
        <w:tc>
          <w:tcPr>
            <w:tcW w:w="1164" w:type="pct"/>
            <w:tcBorders>
              <w:top w:val="nil"/>
              <w:left w:val="nil"/>
              <w:bottom w:val="single" w:sz="8" w:space="0" w:color="auto"/>
              <w:right w:val="double" w:sz="4" w:space="0" w:color="auto"/>
            </w:tcBorders>
            <w:tcMar>
              <w:top w:w="0" w:type="dxa"/>
              <w:left w:w="108" w:type="dxa"/>
              <w:bottom w:w="0" w:type="dxa"/>
              <w:right w:w="108" w:type="dxa"/>
            </w:tcMar>
            <w:vAlign w:val="center"/>
          </w:tcPr>
          <w:p w14:paraId="3335A795" w14:textId="08D8D87B" w:rsidR="00393831" w:rsidRPr="00FF63D1" w:rsidRDefault="167091CC" w:rsidP="0022778F">
            <w:pPr>
              <w:jc w:val="center"/>
              <w:rPr>
                <w:noProof/>
                <w:color w:val="000000" w:themeColor="text1"/>
                <w:sz w:val="20"/>
                <w:szCs w:val="20"/>
              </w:rPr>
            </w:pPr>
            <w:r w:rsidRPr="1FA04443">
              <w:rPr>
                <w:noProof/>
                <w:color w:val="000000" w:themeColor="text1"/>
                <w:sz w:val="20"/>
                <w:szCs w:val="20"/>
              </w:rPr>
              <w:t xml:space="preserve">LEAD_EII &amp; LEAD_VC: </w:t>
            </w:r>
          </w:p>
          <w:p w14:paraId="35E047F2" w14:textId="740D81D2" w:rsidR="000A51E8" w:rsidRPr="00C84BC0" w:rsidRDefault="4886260C" w:rsidP="0022778F">
            <w:pPr>
              <w:pStyle w:val="ListParagraph"/>
              <w:numPr>
                <w:ilvl w:val="0"/>
                <w:numId w:val="112"/>
              </w:numPr>
              <w:jc w:val="center"/>
              <w:rPr>
                <w:noProof/>
                <w:color w:val="000000" w:themeColor="text1"/>
                <w:sz w:val="20"/>
                <w:szCs w:val="20"/>
              </w:rPr>
            </w:pPr>
            <w:r w:rsidRPr="00C84BC0">
              <w:rPr>
                <w:noProof/>
                <w:color w:val="000000" w:themeColor="text1"/>
                <w:sz w:val="20"/>
                <w:szCs w:val="20"/>
              </w:rPr>
              <w:t xml:space="preserve">Automotive sector: EUR </w:t>
            </w:r>
            <w:r w:rsidR="569F6E73" w:rsidRPr="00C84BC0">
              <w:rPr>
                <w:noProof/>
                <w:color w:val="000000" w:themeColor="text1"/>
                <w:sz w:val="20"/>
                <w:szCs w:val="20"/>
              </w:rPr>
              <w:t>0.</w:t>
            </w:r>
            <w:r w:rsidR="6D4CFD63" w:rsidRPr="00C84BC0">
              <w:rPr>
                <w:noProof/>
                <w:color w:val="000000" w:themeColor="text1"/>
                <w:sz w:val="20"/>
                <w:szCs w:val="20"/>
              </w:rPr>
              <w:t>0</w:t>
            </w:r>
            <w:r w:rsidR="3B2F14E4" w:rsidRPr="00C84BC0">
              <w:rPr>
                <w:noProof/>
                <w:color w:val="000000" w:themeColor="text1"/>
                <w:sz w:val="20"/>
                <w:szCs w:val="20"/>
              </w:rPr>
              <w:t>148</w:t>
            </w:r>
            <w:r w:rsidR="569F6E73" w:rsidRPr="00C84BC0">
              <w:rPr>
                <w:noProof/>
                <w:color w:val="000000" w:themeColor="text1"/>
                <w:sz w:val="20"/>
                <w:szCs w:val="20"/>
              </w:rPr>
              <w:t xml:space="preserve"> million</w:t>
            </w:r>
            <w:r w:rsidR="18DC3309" w:rsidRPr="00C84BC0">
              <w:rPr>
                <w:noProof/>
                <w:color w:val="000000" w:themeColor="text1"/>
                <w:sz w:val="20"/>
                <w:szCs w:val="20"/>
              </w:rPr>
              <w:t xml:space="preserve"> (large companies)</w:t>
            </w:r>
          </w:p>
          <w:p w14:paraId="2799E5DA" w14:textId="6770713A" w:rsidR="002842E9" w:rsidRPr="00C84BC0" w:rsidRDefault="7FA03CB8" w:rsidP="0022778F">
            <w:pPr>
              <w:pStyle w:val="ListParagraph"/>
              <w:numPr>
                <w:ilvl w:val="0"/>
                <w:numId w:val="112"/>
              </w:numPr>
              <w:jc w:val="center"/>
              <w:rPr>
                <w:noProof/>
                <w:color w:val="000000" w:themeColor="text1"/>
                <w:sz w:val="20"/>
                <w:szCs w:val="20"/>
              </w:rPr>
            </w:pPr>
            <w:r w:rsidRPr="00C84BC0">
              <w:rPr>
                <w:noProof/>
                <w:color w:val="000000" w:themeColor="text1"/>
                <w:sz w:val="20"/>
                <w:szCs w:val="20"/>
              </w:rPr>
              <w:t xml:space="preserve">Construction sector: </w:t>
            </w:r>
            <w:r w:rsidR="704331A7" w:rsidRPr="00C84BC0">
              <w:rPr>
                <w:noProof/>
                <w:color w:val="000000" w:themeColor="text1"/>
                <w:sz w:val="20"/>
                <w:szCs w:val="20"/>
              </w:rPr>
              <w:t xml:space="preserve">EUR </w:t>
            </w:r>
            <w:r w:rsidR="2555333C" w:rsidRPr="1FA04443">
              <w:rPr>
                <w:noProof/>
                <w:color w:val="000000" w:themeColor="text1"/>
                <w:sz w:val="20"/>
                <w:szCs w:val="20"/>
              </w:rPr>
              <w:t>0.</w:t>
            </w:r>
            <w:r w:rsidR="2555333C" w:rsidRPr="66ACBCB7">
              <w:rPr>
                <w:noProof/>
                <w:color w:val="000000" w:themeColor="text1"/>
                <w:sz w:val="20"/>
                <w:szCs w:val="20"/>
              </w:rPr>
              <w:t>9</w:t>
            </w:r>
            <w:r w:rsidR="7626DDCB" w:rsidRPr="66ACBCB7">
              <w:rPr>
                <w:noProof/>
                <w:color w:val="000000" w:themeColor="text1"/>
                <w:sz w:val="20"/>
                <w:szCs w:val="20"/>
              </w:rPr>
              <w:t>8</w:t>
            </w:r>
            <w:r w:rsidR="2555333C" w:rsidRPr="66ACBCB7">
              <w:rPr>
                <w:noProof/>
                <w:color w:val="000000" w:themeColor="text1"/>
                <w:sz w:val="20"/>
                <w:szCs w:val="20"/>
              </w:rPr>
              <w:t>8</w:t>
            </w:r>
            <w:r w:rsidR="73AEFBB4" w:rsidRPr="00C84BC0">
              <w:rPr>
                <w:noProof/>
                <w:color w:val="000000" w:themeColor="text1"/>
                <w:sz w:val="20"/>
                <w:szCs w:val="20"/>
              </w:rPr>
              <w:t xml:space="preserve"> million</w:t>
            </w:r>
          </w:p>
          <w:p w14:paraId="683DDE85" w14:textId="65F5EE58" w:rsidR="002842E9" w:rsidRPr="009C02EB" w:rsidRDefault="7FA03CB8" w:rsidP="0022778F">
            <w:pPr>
              <w:pStyle w:val="ListParagraph"/>
              <w:numPr>
                <w:ilvl w:val="1"/>
                <w:numId w:val="112"/>
              </w:numPr>
              <w:jc w:val="center"/>
              <w:rPr>
                <w:noProof/>
                <w:color w:val="000000" w:themeColor="text1"/>
                <w:sz w:val="20"/>
                <w:szCs w:val="20"/>
              </w:rPr>
            </w:pPr>
            <w:r w:rsidRPr="009C02EB">
              <w:rPr>
                <w:noProof/>
                <w:color w:val="000000" w:themeColor="text1"/>
                <w:sz w:val="20"/>
                <w:szCs w:val="20"/>
              </w:rPr>
              <w:t xml:space="preserve">SMEs: </w:t>
            </w:r>
            <w:r w:rsidR="04707B01" w:rsidRPr="009C02EB">
              <w:rPr>
                <w:noProof/>
                <w:color w:val="000000" w:themeColor="text1"/>
                <w:sz w:val="20"/>
                <w:szCs w:val="20"/>
              </w:rPr>
              <w:t xml:space="preserve">EUR </w:t>
            </w:r>
            <w:r w:rsidR="070D25EB" w:rsidRPr="1FA04443">
              <w:rPr>
                <w:noProof/>
                <w:color w:val="000000" w:themeColor="text1"/>
                <w:sz w:val="20"/>
                <w:szCs w:val="20"/>
              </w:rPr>
              <w:t>0.982</w:t>
            </w:r>
            <w:r w:rsidR="04707B01" w:rsidRPr="009C02EB">
              <w:rPr>
                <w:noProof/>
                <w:color w:val="000000" w:themeColor="text1"/>
                <w:sz w:val="20"/>
                <w:szCs w:val="20"/>
              </w:rPr>
              <w:t xml:space="preserve"> million</w:t>
            </w:r>
          </w:p>
          <w:p w14:paraId="3BB045EB" w14:textId="26C5A187" w:rsidR="002842E9" w:rsidRPr="008B2ACB" w:rsidRDefault="7FA03CB8" w:rsidP="0022778F">
            <w:pPr>
              <w:pStyle w:val="ListParagraph"/>
              <w:numPr>
                <w:ilvl w:val="1"/>
                <w:numId w:val="112"/>
              </w:numPr>
              <w:jc w:val="center"/>
              <w:rPr>
                <w:noProof/>
                <w:color w:val="000000" w:themeColor="text1"/>
                <w:sz w:val="20"/>
                <w:szCs w:val="20"/>
              </w:rPr>
            </w:pPr>
            <w:r w:rsidRPr="009C02EB">
              <w:rPr>
                <w:noProof/>
                <w:color w:val="000000" w:themeColor="text1"/>
                <w:sz w:val="20"/>
                <w:szCs w:val="20"/>
              </w:rPr>
              <w:t>Large Companies</w:t>
            </w:r>
            <w:r w:rsidR="73AEFBB4" w:rsidRPr="009C02EB">
              <w:rPr>
                <w:noProof/>
                <w:color w:val="000000" w:themeColor="text1"/>
                <w:sz w:val="20"/>
                <w:szCs w:val="20"/>
              </w:rPr>
              <w:t xml:space="preserve">: </w:t>
            </w:r>
            <w:r w:rsidR="04707B01" w:rsidRPr="009C02EB">
              <w:rPr>
                <w:noProof/>
                <w:color w:val="000000" w:themeColor="text1"/>
                <w:sz w:val="20"/>
                <w:szCs w:val="20"/>
              </w:rPr>
              <w:t xml:space="preserve">EUR </w:t>
            </w:r>
            <w:r w:rsidR="73AEFBB4" w:rsidRPr="009C02EB">
              <w:rPr>
                <w:noProof/>
                <w:color w:val="000000" w:themeColor="text1"/>
                <w:sz w:val="20"/>
                <w:szCs w:val="20"/>
              </w:rPr>
              <w:t>0.</w:t>
            </w:r>
            <w:r w:rsidR="2DE47F3A" w:rsidRPr="246B65B9">
              <w:rPr>
                <w:noProof/>
                <w:color w:val="000000" w:themeColor="text1"/>
                <w:sz w:val="20"/>
                <w:szCs w:val="20"/>
              </w:rPr>
              <w:t>00</w:t>
            </w:r>
            <w:r w:rsidR="6010135D" w:rsidRPr="246B65B9">
              <w:rPr>
                <w:noProof/>
                <w:color w:val="000000" w:themeColor="text1"/>
                <w:sz w:val="20"/>
                <w:szCs w:val="20"/>
              </w:rPr>
              <w:t>6</w:t>
            </w:r>
            <w:r w:rsidR="2DE47F3A" w:rsidRPr="246B65B9">
              <w:rPr>
                <w:noProof/>
                <w:color w:val="000000" w:themeColor="text1"/>
                <w:sz w:val="20"/>
                <w:szCs w:val="20"/>
              </w:rPr>
              <w:t>7</w:t>
            </w:r>
            <w:r w:rsidR="73AEFBB4" w:rsidRPr="009C02EB">
              <w:rPr>
                <w:noProof/>
                <w:color w:val="000000" w:themeColor="text1"/>
                <w:sz w:val="20"/>
                <w:szCs w:val="20"/>
              </w:rPr>
              <w:t xml:space="preserve"> million</w:t>
            </w:r>
          </w:p>
          <w:p w14:paraId="4F842B25" w14:textId="2151B700" w:rsidR="00393831" w:rsidRPr="00FF63D1" w:rsidRDefault="5C1739D3" w:rsidP="0022778F">
            <w:pPr>
              <w:jc w:val="center"/>
              <w:rPr>
                <w:noProof/>
                <w:color w:val="000000" w:themeColor="text1"/>
                <w:sz w:val="20"/>
                <w:szCs w:val="20"/>
              </w:rPr>
            </w:pPr>
            <w:r w:rsidRPr="1FA04443">
              <w:rPr>
                <w:noProof/>
                <w:color w:val="000000" w:themeColor="text1"/>
                <w:sz w:val="20"/>
                <w:szCs w:val="20"/>
              </w:rPr>
              <w:t>LEA</w:t>
            </w:r>
            <w:r w:rsidR="37A1D1F7" w:rsidRPr="1FA04443">
              <w:rPr>
                <w:noProof/>
                <w:color w:val="000000" w:themeColor="text1"/>
                <w:sz w:val="20"/>
                <w:szCs w:val="20"/>
              </w:rPr>
              <w:t>D</w:t>
            </w:r>
            <w:r w:rsidRPr="1FA04443">
              <w:rPr>
                <w:noProof/>
                <w:color w:val="000000" w:themeColor="text1"/>
                <w:sz w:val="20"/>
                <w:szCs w:val="20"/>
              </w:rPr>
              <w:t>_SOL: EUR</w:t>
            </w:r>
            <w:r w:rsidR="6F602C82" w:rsidRPr="1FA04443">
              <w:rPr>
                <w:noProof/>
                <w:color w:val="000000" w:themeColor="text1"/>
                <w:sz w:val="20"/>
                <w:szCs w:val="20"/>
              </w:rPr>
              <w:t xml:space="preserve"> 0.0026 million</w:t>
            </w:r>
            <w:r w:rsidR="6C639488" w:rsidRPr="1FA04443">
              <w:rPr>
                <w:noProof/>
                <w:color w:val="000000" w:themeColor="text1"/>
                <w:sz w:val="20"/>
                <w:szCs w:val="20"/>
              </w:rPr>
              <w:t xml:space="preserve"> (large companies)</w:t>
            </w:r>
          </w:p>
          <w:p w14:paraId="291FE72E" w14:textId="0BCBF92D" w:rsidR="00393831" w:rsidRPr="00FF63D1" w:rsidRDefault="5C1739D3" w:rsidP="0022778F">
            <w:pPr>
              <w:jc w:val="center"/>
              <w:rPr>
                <w:noProof/>
                <w:color w:val="000000" w:themeColor="text1"/>
                <w:sz w:val="20"/>
                <w:szCs w:val="20"/>
              </w:rPr>
            </w:pPr>
            <w:r w:rsidRPr="1FA04443">
              <w:rPr>
                <w:noProof/>
                <w:color w:val="000000" w:themeColor="text1"/>
                <w:sz w:val="20"/>
                <w:szCs w:val="20"/>
              </w:rPr>
              <w:t xml:space="preserve">LEAD_BAT: </w:t>
            </w:r>
            <w:r w:rsidR="3C020519" w:rsidRPr="1FA04443">
              <w:rPr>
                <w:noProof/>
                <w:color w:val="000000" w:themeColor="text1"/>
                <w:sz w:val="20"/>
                <w:szCs w:val="20"/>
              </w:rPr>
              <w:t xml:space="preserve">EUR </w:t>
            </w:r>
            <w:r w:rsidR="6F602C82" w:rsidRPr="1FA04443">
              <w:rPr>
                <w:noProof/>
                <w:color w:val="000000" w:themeColor="text1"/>
                <w:sz w:val="20"/>
                <w:szCs w:val="20"/>
              </w:rPr>
              <w:t>0.0021 million</w:t>
            </w:r>
            <w:r w:rsidR="646C0C3B" w:rsidRPr="1FA04443">
              <w:rPr>
                <w:noProof/>
                <w:color w:val="000000" w:themeColor="text1"/>
                <w:sz w:val="20"/>
                <w:szCs w:val="20"/>
              </w:rPr>
              <w:t xml:space="preserve"> (large companies)</w:t>
            </w:r>
          </w:p>
          <w:p w14:paraId="1AA50D2C" w14:textId="77777777" w:rsidR="00393831" w:rsidRPr="00FF63D1" w:rsidRDefault="00393831" w:rsidP="0022778F">
            <w:pPr>
              <w:rPr>
                <w:noProof/>
                <w:color w:val="000000" w:themeColor="text1"/>
                <w:sz w:val="20"/>
                <w:szCs w:val="20"/>
              </w:rPr>
            </w:pPr>
          </w:p>
          <w:p w14:paraId="24C48D22" w14:textId="0AA04C3D" w:rsidR="00020031" w:rsidRPr="008B2ACB" w:rsidRDefault="116ECCFE" w:rsidP="0022778F">
            <w:pPr>
              <w:jc w:val="center"/>
              <w:rPr>
                <w:noProof/>
                <w:color w:val="000000" w:themeColor="text1"/>
                <w:sz w:val="20"/>
                <w:szCs w:val="20"/>
              </w:rPr>
            </w:pPr>
            <w:r w:rsidRPr="1FA04443">
              <w:rPr>
                <w:noProof/>
                <w:color w:val="000000" w:themeColor="text1"/>
                <w:sz w:val="20"/>
                <w:szCs w:val="20"/>
              </w:rPr>
              <w:t xml:space="preserve">Total </w:t>
            </w:r>
            <w:r w:rsidR="72CB4044" w:rsidRPr="1FA04443">
              <w:rPr>
                <w:noProof/>
                <w:color w:val="000000" w:themeColor="text1"/>
                <w:sz w:val="20"/>
                <w:szCs w:val="20"/>
              </w:rPr>
              <w:t>EUR</w:t>
            </w:r>
            <w:r w:rsidR="72CB4044" w:rsidRPr="009C02EB">
              <w:rPr>
                <w:noProof/>
                <w:color w:val="000000" w:themeColor="text1"/>
                <w:sz w:val="20"/>
                <w:szCs w:val="20"/>
              </w:rPr>
              <w:t xml:space="preserve"> </w:t>
            </w:r>
            <w:r w:rsidR="555126BD" w:rsidRPr="66ACBCB7">
              <w:rPr>
                <w:noProof/>
                <w:color w:val="000000" w:themeColor="text1"/>
                <w:sz w:val="20"/>
                <w:szCs w:val="20"/>
              </w:rPr>
              <w:t>1.</w:t>
            </w:r>
            <w:r w:rsidR="555126BD" w:rsidRPr="0000438C">
              <w:rPr>
                <w:noProof/>
                <w:color w:val="000000" w:themeColor="text1"/>
                <w:sz w:val="20"/>
                <w:szCs w:val="20"/>
              </w:rPr>
              <w:t>009</w:t>
            </w:r>
            <w:r w:rsidR="0000438C" w:rsidRPr="0000438C">
              <w:rPr>
                <w:noProof/>
                <w:color w:val="000000" w:themeColor="text1"/>
                <w:sz w:val="20"/>
                <w:szCs w:val="20"/>
              </w:rPr>
              <w:t xml:space="preserve"> </w:t>
            </w:r>
            <w:r w:rsidR="72CB4044" w:rsidRPr="0000438C">
              <w:rPr>
                <w:noProof/>
                <w:color w:val="000000" w:themeColor="text1"/>
                <w:sz w:val="20"/>
                <w:szCs w:val="20"/>
              </w:rPr>
              <w:t>million</w:t>
            </w:r>
            <w:r w:rsidR="72CB4044" w:rsidRPr="1FA04443">
              <w:rPr>
                <w:noProof/>
                <w:color w:val="000000" w:themeColor="text1"/>
                <w:sz w:val="20"/>
                <w:szCs w:val="20"/>
              </w:rPr>
              <w:t xml:space="preserve"> for </w:t>
            </w:r>
            <w:r w:rsidR="72F041D5" w:rsidRPr="1FA04443">
              <w:rPr>
                <w:noProof/>
                <w:color w:val="000000" w:themeColor="text1"/>
                <w:sz w:val="20"/>
                <w:szCs w:val="20"/>
              </w:rPr>
              <w:t>lead market provisions</w:t>
            </w:r>
          </w:p>
          <w:p w14:paraId="2FF5E2F2" w14:textId="6888F50C" w:rsidR="00020031" w:rsidRPr="008B2ACB" w:rsidRDefault="00020031" w:rsidP="0022778F">
            <w:pPr>
              <w:jc w:val="center"/>
              <w:rPr>
                <w:noProof/>
                <w:color w:val="000000" w:themeColor="text1"/>
                <w:sz w:val="20"/>
                <w:szCs w:val="20"/>
              </w:rPr>
            </w:pPr>
          </w:p>
          <w:p w14:paraId="51AAB2C3" w14:textId="77777777" w:rsidR="00020031" w:rsidRDefault="576F35A8" w:rsidP="0022778F">
            <w:pPr>
              <w:jc w:val="center"/>
              <w:rPr>
                <w:noProof/>
                <w:color w:val="000000" w:themeColor="text1"/>
                <w:sz w:val="20"/>
                <w:szCs w:val="20"/>
              </w:rPr>
            </w:pPr>
            <w:r w:rsidRPr="1FA04443">
              <w:rPr>
                <w:noProof/>
                <w:color w:val="000000" w:themeColor="text1"/>
                <w:sz w:val="20"/>
                <w:szCs w:val="20"/>
              </w:rPr>
              <w:t xml:space="preserve">EUR </w:t>
            </w:r>
            <w:r w:rsidR="5341E4DA" w:rsidRPr="1FA04443">
              <w:rPr>
                <w:noProof/>
                <w:color w:val="000000" w:themeColor="text1"/>
                <w:sz w:val="20"/>
                <w:szCs w:val="20"/>
              </w:rPr>
              <w:t>0.154 million</w:t>
            </w:r>
            <w:r w:rsidR="09E9FEB0" w:rsidRPr="1FA04443">
              <w:rPr>
                <w:noProof/>
                <w:color w:val="000000" w:themeColor="text1"/>
                <w:sz w:val="20"/>
                <w:szCs w:val="20"/>
              </w:rPr>
              <w:t xml:space="preserve"> for steel label certification (large companies)</w:t>
            </w:r>
          </w:p>
          <w:p w14:paraId="2D7F2EDF" w14:textId="77777777" w:rsidR="00917E72" w:rsidRPr="009C02EB" w:rsidRDefault="00917E72" w:rsidP="0022778F">
            <w:pPr>
              <w:jc w:val="center"/>
              <w:rPr>
                <w:noProof/>
                <w:color w:val="000000" w:themeColor="text1"/>
                <w:sz w:val="20"/>
                <w:szCs w:val="20"/>
              </w:rPr>
            </w:pPr>
          </w:p>
          <w:p w14:paraId="50518B5E" w14:textId="3BA46DE3" w:rsidR="00020031" w:rsidRPr="008B2ACB" w:rsidRDefault="5826A7FE" w:rsidP="0022778F">
            <w:pPr>
              <w:jc w:val="center"/>
              <w:rPr>
                <w:noProof/>
                <w:color w:val="000000" w:themeColor="text1"/>
                <w:sz w:val="20"/>
                <w:szCs w:val="20"/>
              </w:rPr>
            </w:pPr>
            <w:r w:rsidRPr="009C02EB">
              <w:rPr>
                <w:noProof/>
                <w:color w:val="000000" w:themeColor="text1"/>
                <w:sz w:val="20"/>
                <w:szCs w:val="20"/>
              </w:rPr>
              <w:t xml:space="preserve">Total: EUR </w:t>
            </w:r>
            <w:r w:rsidR="1F5F41C0" w:rsidRPr="66ACBCB7">
              <w:rPr>
                <w:noProof/>
                <w:color w:val="000000" w:themeColor="text1"/>
                <w:sz w:val="20"/>
                <w:szCs w:val="20"/>
              </w:rPr>
              <w:t>1.16</w:t>
            </w:r>
            <w:r w:rsidR="6D043684" w:rsidRPr="009C02EB">
              <w:rPr>
                <w:noProof/>
                <w:color w:val="000000" w:themeColor="text1"/>
                <w:sz w:val="20"/>
                <w:szCs w:val="20"/>
              </w:rPr>
              <w:t xml:space="preserve"> </w:t>
            </w:r>
            <w:r w:rsidR="481A60C6" w:rsidRPr="009C02EB">
              <w:rPr>
                <w:noProof/>
                <w:color w:val="000000" w:themeColor="text1"/>
                <w:sz w:val="20"/>
                <w:szCs w:val="20"/>
              </w:rPr>
              <w:t>mil</w:t>
            </w:r>
            <w:r w:rsidR="481A60C6" w:rsidRPr="1FA04443">
              <w:rPr>
                <w:noProof/>
                <w:color w:val="000000" w:themeColor="text1"/>
                <w:sz w:val="20"/>
                <w:szCs w:val="20"/>
              </w:rPr>
              <w:t>lion</w:t>
            </w:r>
          </w:p>
        </w:tc>
        <w:tc>
          <w:tcPr>
            <w:tcW w:w="1281" w:type="pct"/>
            <w:tcBorders>
              <w:top w:val="nil"/>
              <w:left w:val="nil"/>
              <w:bottom w:val="single" w:sz="8" w:space="0" w:color="auto"/>
              <w:right w:val="double" w:sz="4" w:space="0" w:color="auto"/>
            </w:tcBorders>
            <w:vAlign w:val="center"/>
          </w:tcPr>
          <w:p w14:paraId="635C7D72" w14:textId="77735E7E" w:rsidR="00020031" w:rsidRPr="00C84BC0" w:rsidRDefault="69FDBC1E" w:rsidP="0022778F">
            <w:pPr>
              <w:jc w:val="center"/>
              <w:rPr>
                <w:rFonts w:eastAsia="Times New Roman"/>
                <w:noProof/>
                <w:color w:val="000000" w:themeColor="text1"/>
                <w:sz w:val="20"/>
                <w:szCs w:val="20"/>
              </w:rPr>
            </w:pPr>
            <w:r w:rsidRPr="00C84BC0">
              <w:rPr>
                <w:rFonts w:eastAsia="Times New Roman"/>
                <w:noProof/>
                <w:color w:val="000000" w:themeColor="text1"/>
                <w:sz w:val="20"/>
                <w:szCs w:val="20"/>
              </w:rPr>
              <w:lastRenderedPageBreak/>
              <w:t xml:space="preserve">EUR </w:t>
            </w:r>
            <w:r w:rsidR="1FD97824" w:rsidRPr="1FA04443">
              <w:rPr>
                <w:rFonts w:eastAsia="Times New Roman"/>
                <w:noProof/>
                <w:color w:val="000000" w:themeColor="text1"/>
                <w:sz w:val="20"/>
                <w:szCs w:val="20"/>
              </w:rPr>
              <w:t>1.17</w:t>
            </w:r>
            <w:r w:rsidRPr="00C84BC0">
              <w:rPr>
                <w:rFonts w:eastAsia="Times New Roman"/>
                <w:noProof/>
                <w:color w:val="000000" w:themeColor="text1"/>
                <w:sz w:val="20"/>
                <w:szCs w:val="20"/>
              </w:rPr>
              <w:t xml:space="preserve"> </w:t>
            </w:r>
            <w:r w:rsidR="69773D89" w:rsidRPr="00C84BC0">
              <w:rPr>
                <w:rFonts w:eastAsia="Times New Roman"/>
                <w:noProof/>
                <w:color w:val="000000" w:themeColor="text1"/>
                <w:sz w:val="20"/>
                <w:szCs w:val="20"/>
              </w:rPr>
              <w:t>million</w:t>
            </w:r>
          </w:p>
        </w:tc>
      </w:tr>
      <w:tr w:rsidR="00B403BA" w:rsidRPr="00F261DB" w14:paraId="173DA5B4" w14:textId="77777777" w:rsidTr="00853C60">
        <w:tc>
          <w:tcPr>
            <w:tcW w:w="776"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7A314F6A" w14:textId="77777777" w:rsidR="00020031" w:rsidRPr="00F261DB" w:rsidRDefault="00020031" w:rsidP="0022778F">
            <w:pPr>
              <w:spacing w:before="60" w:after="60"/>
              <w:ind w:left="284"/>
              <w:jc w:val="left"/>
              <w:rPr>
                <w:rFonts w:eastAsia="Aptos"/>
                <w:noProof/>
                <w:sz w:val="20"/>
                <w:szCs w:val="20"/>
              </w:rPr>
            </w:pPr>
            <w:r w:rsidRPr="00F261DB">
              <w:rPr>
                <w:rFonts w:eastAsia="Aptos"/>
                <w:noProof/>
                <w:sz w:val="20"/>
                <w:szCs w:val="20"/>
              </w:rPr>
              <w:t>Removed administrative burdens (OUTs)</w:t>
            </w:r>
          </w:p>
        </w:tc>
        <w:tc>
          <w:tcPr>
            <w:tcW w:w="1779" w:type="pct"/>
            <w:tcBorders>
              <w:top w:val="nil"/>
              <w:left w:val="nil"/>
              <w:bottom w:val="single" w:sz="8" w:space="0" w:color="auto"/>
              <w:right w:val="single" w:sz="8" w:space="0" w:color="auto"/>
            </w:tcBorders>
            <w:tcMar>
              <w:top w:w="0" w:type="dxa"/>
              <w:left w:w="108" w:type="dxa"/>
              <w:bottom w:w="0" w:type="dxa"/>
              <w:right w:w="108" w:type="dxa"/>
            </w:tcMar>
            <w:vAlign w:val="center"/>
          </w:tcPr>
          <w:p w14:paraId="50C085D3" w14:textId="77777777" w:rsidR="00020031" w:rsidRPr="00F261DB" w:rsidRDefault="00020031" w:rsidP="0022778F">
            <w:pPr>
              <w:jc w:val="center"/>
              <w:rPr>
                <w:rFonts w:eastAsia="Aptos"/>
                <w:noProof/>
                <w:sz w:val="20"/>
                <w:szCs w:val="20"/>
              </w:rPr>
            </w:pPr>
          </w:p>
          <w:p w14:paraId="3AE0C4E5" w14:textId="7D2185D3" w:rsidR="00020031" w:rsidRPr="00F261DB" w:rsidRDefault="52BB86D7" w:rsidP="0022778F">
            <w:pPr>
              <w:pStyle w:val="Text2"/>
              <w:ind w:left="0"/>
              <w:jc w:val="center"/>
              <w:rPr>
                <w:noProof/>
                <w:color w:val="000000" w:themeColor="text1"/>
                <w:sz w:val="20"/>
              </w:rPr>
            </w:pPr>
            <w:r w:rsidRPr="3F0F1197">
              <w:rPr>
                <w:noProof/>
                <w:color w:val="000000" w:themeColor="text1"/>
                <w:sz w:val="20"/>
              </w:rPr>
              <w:t xml:space="preserve">Total: </w:t>
            </w:r>
            <w:r w:rsidR="4A1AF2A4" w:rsidRPr="3F0F1197">
              <w:rPr>
                <w:noProof/>
                <w:color w:val="000000" w:themeColor="text1"/>
                <w:sz w:val="20"/>
              </w:rPr>
              <w:t>EUR</w:t>
            </w:r>
            <w:r w:rsidR="5C632CCF" w:rsidRPr="3F0F1197">
              <w:rPr>
                <w:noProof/>
                <w:color w:val="000000" w:themeColor="text1"/>
                <w:sz w:val="20"/>
              </w:rPr>
              <w:t xml:space="preserve"> </w:t>
            </w:r>
            <w:r w:rsidR="1249AD7C" w:rsidRPr="3F0F1197">
              <w:rPr>
                <w:noProof/>
                <w:color w:val="000000" w:themeColor="text1"/>
                <w:sz w:val="20"/>
              </w:rPr>
              <w:t xml:space="preserve">28.14 </w:t>
            </w:r>
            <w:r w:rsidR="65476388" w:rsidRPr="3F0F1197">
              <w:rPr>
                <w:noProof/>
                <w:color w:val="000000" w:themeColor="text1"/>
                <w:sz w:val="20"/>
              </w:rPr>
              <w:t>million</w:t>
            </w:r>
            <w:r w:rsidR="000A1CE2" w:rsidRPr="3F0F1197">
              <w:rPr>
                <w:rStyle w:val="FootnoteReference"/>
                <w:noProof/>
                <w:color w:val="000000" w:themeColor="text1"/>
                <w:sz w:val="20"/>
              </w:rPr>
              <w:footnoteReference w:id="253"/>
            </w:r>
            <w:r w:rsidR="4A1AF2A4" w:rsidRPr="3F0F1197">
              <w:rPr>
                <w:noProof/>
                <w:color w:val="000000" w:themeColor="text1"/>
                <w:sz w:val="20"/>
              </w:rPr>
              <w:t xml:space="preserve"> for all manufacturing industries in the EU for the digitalisation of 5 permit-granting procedures</w:t>
            </w:r>
            <w:r w:rsidR="635000BD" w:rsidRPr="3F0F1197">
              <w:rPr>
                <w:noProof/>
                <w:color w:val="000000" w:themeColor="text1"/>
                <w:sz w:val="20"/>
              </w:rPr>
              <w:t xml:space="preserve">: </w:t>
            </w:r>
          </w:p>
          <w:p w14:paraId="2EAC487F" w14:textId="7A43582B" w:rsidR="00020031" w:rsidRPr="0036649F" w:rsidRDefault="75310C84" w:rsidP="0022778F">
            <w:pPr>
              <w:pStyle w:val="Text2"/>
              <w:jc w:val="center"/>
              <w:rPr>
                <w:noProof/>
                <w:color w:val="000000" w:themeColor="text1"/>
                <w:sz w:val="20"/>
                <w:lang w:val="fr-BE"/>
              </w:rPr>
            </w:pPr>
            <w:r w:rsidRPr="0036649F">
              <w:rPr>
                <w:noProof/>
                <w:color w:val="000000" w:themeColor="text1"/>
                <w:sz w:val="20"/>
                <w:lang w:val="fr-BE"/>
              </w:rPr>
              <w:t xml:space="preserve">Large Companies: </w:t>
            </w:r>
            <w:r w:rsidR="1961C13E" w:rsidRPr="0036649F">
              <w:rPr>
                <w:noProof/>
                <w:color w:val="000000" w:themeColor="text1"/>
                <w:sz w:val="20"/>
                <w:lang w:val="fr-BE"/>
              </w:rPr>
              <w:t xml:space="preserve">EUR </w:t>
            </w:r>
            <w:r w:rsidRPr="0036649F">
              <w:rPr>
                <w:noProof/>
                <w:color w:val="000000" w:themeColor="text1"/>
                <w:sz w:val="20"/>
                <w:lang w:val="fr-BE"/>
              </w:rPr>
              <w:t>0.28 million</w:t>
            </w:r>
          </w:p>
          <w:p w14:paraId="5A0EA5D2" w14:textId="526AF771" w:rsidR="00020031" w:rsidRPr="0036649F" w:rsidRDefault="75310C84" w:rsidP="0022778F">
            <w:pPr>
              <w:pStyle w:val="Text2"/>
              <w:jc w:val="center"/>
              <w:rPr>
                <w:noProof/>
                <w:color w:val="000000" w:themeColor="text1"/>
                <w:sz w:val="20"/>
                <w:lang w:val="fr-BE"/>
              </w:rPr>
            </w:pPr>
            <w:r w:rsidRPr="0036649F">
              <w:rPr>
                <w:noProof/>
                <w:color w:val="000000" w:themeColor="text1"/>
                <w:sz w:val="20"/>
                <w:lang w:val="fr-BE"/>
              </w:rPr>
              <w:t xml:space="preserve">SMEs: </w:t>
            </w:r>
            <w:r w:rsidR="3C9163DC" w:rsidRPr="0036649F">
              <w:rPr>
                <w:noProof/>
                <w:color w:val="000000" w:themeColor="text1"/>
                <w:sz w:val="20"/>
                <w:lang w:val="fr-BE"/>
              </w:rPr>
              <w:t xml:space="preserve">EUR </w:t>
            </w:r>
            <w:r w:rsidRPr="0036649F">
              <w:rPr>
                <w:noProof/>
                <w:color w:val="000000" w:themeColor="text1"/>
                <w:sz w:val="20"/>
                <w:lang w:val="fr-BE"/>
              </w:rPr>
              <w:t>27.85 million</w:t>
            </w:r>
          </w:p>
        </w:tc>
        <w:tc>
          <w:tcPr>
            <w:tcW w:w="1164" w:type="pct"/>
            <w:tcBorders>
              <w:top w:val="nil"/>
              <w:left w:val="nil"/>
              <w:bottom w:val="single" w:sz="8" w:space="0" w:color="auto"/>
              <w:right w:val="double" w:sz="4" w:space="0" w:color="auto"/>
            </w:tcBorders>
            <w:tcMar>
              <w:top w:w="0" w:type="dxa"/>
              <w:left w:w="108" w:type="dxa"/>
              <w:bottom w:w="0" w:type="dxa"/>
              <w:right w:w="108" w:type="dxa"/>
            </w:tcMar>
            <w:vAlign w:val="center"/>
          </w:tcPr>
          <w:p w14:paraId="7EFC570E" w14:textId="4FEF8DB9" w:rsidR="00020031" w:rsidRPr="00F261DB" w:rsidRDefault="3A44377D" w:rsidP="0022778F">
            <w:pPr>
              <w:jc w:val="center"/>
              <w:rPr>
                <w:rFonts w:eastAsia="Aptos"/>
                <w:noProof/>
                <w:sz w:val="20"/>
                <w:szCs w:val="20"/>
                <w:lang w:eastAsia="en-GB"/>
              </w:rPr>
            </w:pPr>
            <w:r w:rsidRPr="1FA04443">
              <w:rPr>
                <w:rFonts w:eastAsia="Aptos"/>
                <w:noProof/>
                <w:sz w:val="20"/>
                <w:szCs w:val="20"/>
                <w:lang w:eastAsia="en-GB"/>
              </w:rPr>
              <w:t>Not available</w:t>
            </w:r>
          </w:p>
        </w:tc>
        <w:tc>
          <w:tcPr>
            <w:tcW w:w="1281" w:type="pct"/>
            <w:tcBorders>
              <w:top w:val="nil"/>
              <w:left w:val="nil"/>
              <w:bottom w:val="single" w:sz="8" w:space="0" w:color="auto"/>
              <w:right w:val="double" w:sz="4" w:space="0" w:color="auto"/>
            </w:tcBorders>
            <w:vAlign w:val="center"/>
          </w:tcPr>
          <w:p w14:paraId="31A4B843" w14:textId="714EEE42" w:rsidR="00020031" w:rsidRPr="00F261DB" w:rsidRDefault="00DF694F" w:rsidP="0022778F">
            <w:pPr>
              <w:jc w:val="center"/>
              <w:rPr>
                <w:rFonts w:eastAsia="Times New Roman"/>
                <w:noProof/>
                <w:color w:val="000000" w:themeColor="text1"/>
                <w:sz w:val="20"/>
                <w:szCs w:val="20"/>
              </w:rPr>
            </w:pPr>
            <w:r w:rsidRPr="00F261DB">
              <w:rPr>
                <w:rFonts w:eastAsia="Times New Roman"/>
                <w:noProof/>
                <w:color w:val="000000" w:themeColor="text1"/>
                <w:sz w:val="20"/>
                <w:szCs w:val="20"/>
              </w:rPr>
              <w:t>EUR 28.14 million</w:t>
            </w:r>
          </w:p>
        </w:tc>
      </w:tr>
      <w:tr w:rsidR="004B19E7" w:rsidRPr="00F261DB" w14:paraId="4E703784" w14:textId="77777777" w:rsidTr="00853C60">
        <w:tc>
          <w:tcPr>
            <w:tcW w:w="776"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40159CD0" w14:textId="1A832304" w:rsidR="004B19E7" w:rsidRPr="00F261DB" w:rsidRDefault="004B19E7" w:rsidP="00853C60">
            <w:pPr>
              <w:spacing w:before="60" w:after="60"/>
              <w:ind w:left="284"/>
              <w:jc w:val="left"/>
              <w:rPr>
                <w:rFonts w:eastAsia="Aptos"/>
                <w:noProof/>
                <w:sz w:val="20"/>
                <w:szCs w:val="20"/>
              </w:rPr>
            </w:pPr>
            <w:r w:rsidRPr="00F261DB">
              <w:rPr>
                <w:rFonts w:eastAsia="Aptos"/>
                <w:b/>
                <w:i/>
                <w:noProof/>
                <w:sz w:val="20"/>
                <w:szCs w:val="20"/>
              </w:rPr>
              <w:t>Net administrative burdens*</w:t>
            </w:r>
          </w:p>
        </w:tc>
        <w:tc>
          <w:tcPr>
            <w:tcW w:w="1779" w:type="pct"/>
            <w:tcBorders>
              <w:top w:val="nil"/>
              <w:left w:val="nil"/>
              <w:bottom w:val="single" w:sz="8" w:space="0" w:color="auto"/>
              <w:right w:val="single" w:sz="8" w:space="0" w:color="auto"/>
            </w:tcBorders>
            <w:tcMar>
              <w:top w:w="0" w:type="dxa"/>
              <w:left w:w="108" w:type="dxa"/>
              <w:bottom w:w="0" w:type="dxa"/>
              <w:right w:w="108" w:type="dxa"/>
            </w:tcMar>
            <w:vAlign w:val="center"/>
          </w:tcPr>
          <w:p w14:paraId="182D9E86" w14:textId="11CA5797" w:rsidR="004B19E7" w:rsidRPr="00F261DB" w:rsidRDefault="00DF694F" w:rsidP="00853C60">
            <w:pPr>
              <w:jc w:val="center"/>
              <w:rPr>
                <w:rFonts w:eastAsia="Aptos"/>
                <w:noProof/>
                <w:sz w:val="20"/>
                <w:szCs w:val="20"/>
              </w:rPr>
            </w:pPr>
            <w:r w:rsidRPr="00F261DB">
              <w:rPr>
                <w:rFonts w:eastAsia="Aptos"/>
                <w:noProof/>
                <w:sz w:val="20"/>
                <w:szCs w:val="20"/>
              </w:rPr>
              <w:t>EUR - 2</w:t>
            </w:r>
            <w:r w:rsidR="00CD4ECF" w:rsidRPr="00F261DB">
              <w:rPr>
                <w:rFonts w:eastAsia="Aptos"/>
                <w:noProof/>
                <w:sz w:val="20"/>
                <w:szCs w:val="20"/>
              </w:rPr>
              <w:t>8</w:t>
            </w:r>
            <w:r w:rsidRPr="00F261DB">
              <w:rPr>
                <w:rFonts w:eastAsia="Aptos"/>
                <w:noProof/>
                <w:sz w:val="20"/>
                <w:szCs w:val="20"/>
              </w:rPr>
              <w:t>.13 million</w:t>
            </w:r>
          </w:p>
        </w:tc>
        <w:tc>
          <w:tcPr>
            <w:tcW w:w="1164" w:type="pct"/>
            <w:tcBorders>
              <w:top w:val="nil"/>
              <w:left w:val="nil"/>
              <w:bottom w:val="single" w:sz="8" w:space="0" w:color="auto"/>
              <w:right w:val="double" w:sz="4" w:space="0" w:color="auto"/>
            </w:tcBorders>
            <w:tcMar>
              <w:top w:w="0" w:type="dxa"/>
              <w:left w:w="108" w:type="dxa"/>
              <w:bottom w:w="0" w:type="dxa"/>
              <w:right w:w="108" w:type="dxa"/>
            </w:tcMar>
            <w:vAlign w:val="center"/>
          </w:tcPr>
          <w:p w14:paraId="29272EAF" w14:textId="031752B7" w:rsidR="004B19E7" w:rsidRPr="00C84BC0" w:rsidRDefault="69FDBC1E" w:rsidP="00853C60">
            <w:pPr>
              <w:jc w:val="center"/>
              <w:rPr>
                <w:rFonts w:eastAsia="Times New Roman"/>
                <w:noProof/>
                <w:color w:val="000000" w:themeColor="text1"/>
                <w:sz w:val="20"/>
                <w:szCs w:val="20"/>
              </w:rPr>
            </w:pPr>
            <w:r w:rsidRPr="0000438C">
              <w:rPr>
                <w:rFonts w:eastAsia="Times New Roman"/>
                <w:noProof/>
                <w:color w:val="000000" w:themeColor="text1"/>
                <w:sz w:val="20"/>
                <w:szCs w:val="20"/>
              </w:rPr>
              <w:t>EUR</w:t>
            </w:r>
            <w:r w:rsidR="001A1955">
              <w:rPr>
                <w:rFonts w:eastAsia="Times New Roman"/>
                <w:noProof/>
                <w:color w:val="000000" w:themeColor="text1"/>
                <w:sz w:val="20"/>
                <w:szCs w:val="20"/>
              </w:rPr>
              <w:t xml:space="preserve"> </w:t>
            </w:r>
            <w:r w:rsidR="0F179B14" w:rsidRPr="0000438C">
              <w:rPr>
                <w:rFonts w:eastAsia="Times New Roman"/>
                <w:noProof/>
                <w:color w:val="000000" w:themeColor="text1"/>
                <w:sz w:val="20"/>
                <w:szCs w:val="20"/>
              </w:rPr>
              <w:t>1</w:t>
            </w:r>
            <w:r w:rsidR="0F179B14" w:rsidRPr="1FA04443">
              <w:rPr>
                <w:rFonts w:eastAsia="Times New Roman"/>
                <w:noProof/>
                <w:color w:val="000000" w:themeColor="text1"/>
                <w:sz w:val="20"/>
                <w:szCs w:val="20"/>
              </w:rPr>
              <w:t>.16</w:t>
            </w:r>
            <w:r w:rsidR="74C3436C" w:rsidRPr="00C84BC0">
              <w:rPr>
                <w:rFonts w:eastAsia="Times New Roman"/>
                <w:noProof/>
                <w:color w:val="000000" w:themeColor="text1"/>
                <w:sz w:val="20"/>
                <w:szCs w:val="20"/>
              </w:rPr>
              <w:t xml:space="preserve"> </w:t>
            </w:r>
            <w:r w:rsidRPr="00C84BC0">
              <w:rPr>
                <w:rFonts w:eastAsia="Times New Roman"/>
                <w:noProof/>
                <w:color w:val="000000" w:themeColor="text1"/>
                <w:sz w:val="20"/>
                <w:szCs w:val="20"/>
              </w:rPr>
              <w:t>million</w:t>
            </w:r>
          </w:p>
        </w:tc>
        <w:tc>
          <w:tcPr>
            <w:tcW w:w="1281" w:type="pct"/>
            <w:tcBorders>
              <w:top w:val="nil"/>
              <w:left w:val="nil"/>
              <w:bottom w:val="single" w:sz="8" w:space="0" w:color="auto"/>
              <w:right w:val="double" w:sz="4" w:space="0" w:color="auto"/>
            </w:tcBorders>
            <w:vAlign w:val="center"/>
          </w:tcPr>
          <w:p w14:paraId="5F36A54C" w14:textId="2B98877E" w:rsidR="004B19E7" w:rsidRPr="00C84BC0" w:rsidRDefault="69FDBC1E" w:rsidP="00853C60">
            <w:pPr>
              <w:jc w:val="center"/>
              <w:rPr>
                <w:rFonts w:eastAsia="Times New Roman"/>
                <w:noProof/>
                <w:color w:val="000000" w:themeColor="text1"/>
                <w:sz w:val="20"/>
                <w:szCs w:val="20"/>
              </w:rPr>
            </w:pPr>
            <w:r w:rsidRPr="00C84BC0">
              <w:rPr>
                <w:rFonts w:eastAsia="Times New Roman"/>
                <w:noProof/>
                <w:color w:val="000000" w:themeColor="text1"/>
                <w:sz w:val="20"/>
                <w:szCs w:val="20"/>
              </w:rPr>
              <w:t xml:space="preserve">- EUR </w:t>
            </w:r>
            <w:r w:rsidR="23E04FF2" w:rsidRPr="1FA04443">
              <w:rPr>
                <w:rFonts w:eastAsia="Times New Roman"/>
                <w:noProof/>
                <w:color w:val="000000" w:themeColor="text1"/>
                <w:sz w:val="20"/>
                <w:szCs w:val="20"/>
              </w:rPr>
              <w:t>26.97</w:t>
            </w:r>
            <w:r w:rsidRPr="00C84BC0">
              <w:rPr>
                <w:rFonts w:eastAsia="Times New Roman"/>
                <w:noProof/>
                <w:color w:val="000000" w:themeColor="text1"/>
                <w:sz w:val="20"/>
                <w:szCs w:val="20"/>
              </w:rPr>
              <w:t xml:space="preserve"> million</w:t>
            </w:r>
          </w:p>
        </w:tc>
      </w:tr>
      <w:tr w:rsidR="00A201A1" w:rsidRPr="00F261DB" w14:paraId="2F052611" w14:textId="77777777" w:rsidTr="00853C60">
        <w:trPr>
          <w:trHeight w:val="549"/>
        </w:trPr>
        <w:tc>
          <w:tcPr>
            <w:tcW w:w="776"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49549A66" w14:textId="77777777" w:rsidR="00020031" w:rsidRPr="00F261DB" w:rsidRDefault="00020031" w:rsidP="00853C60">
            <w:pPr>
              <w:spacing w:before="60" w:after="60"/>
              <w:ind w:left="284"/>
              <w:jc w:val="left"/>
              <w:rPr>
                <w:rFonts w:eastAsia="Aptos"/>
                <w:i/>
                <w:noProof/>
                <w:sz w:val="20"/>
                <w:szCs w:val="20"/>
              </w:rPr>
            </w:pPr>
            <w:bookmarkStart w:id="207" w:name="_Hlk126312690"/>
            <w:r w:rsidRPr="008B2ACB">
              <w:rPr>
                <w:rFonts w:eastAsia="Aptos"/>
                <w:noProof/>
                <w:sz w:val="20"/>
                <w:szCs w:val="20"/>
              </w:rPr>
              <w:t>Adjustment costs**</w:t>
            </w:r>
          </w:p>
        </w:tc>
        <w:tc>
          <w:tcPr>
            <w:tcW w:w="1779" w:type="pct"/>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4DB42A53" w14:textId="2CEB516E" w:rsidR="00020031" w:rsidRPr="00F261DB" w:rsidRDefault="00020031" w:rsidP="00853C60">
            <w:pPr>
              <w:spacing w:before="60" w:after="60"/>
              <w:jc w:val="center"/>
              <w:rPr>
                <w:rFonts w:eastAsia="Aptos"/>
                <w:noProof/>
                <w:sz w:val="20"/>
                <w:szCs w:val="20"/>
                <w:highlight w:val="yellow"/>
              </w:rPr>
            </w:pPr>
          </w:p>
        </w:tc>
        <w:tc>
          <w:tcPr>
            <w:tcW w:w="1164" w:type="pct"/>
            <w:tcBorders>
              <w:top w:val="nil"/>
              <w:left w:val="single" w:sz="8" w:space="0" w:color="auto"/>
              <w:bottom w:val="double" w:sz="4" w:space="0" w:color="auto"/>
              <w:right w:val="double" w:sz="4" w:space="0" w:color="auto"/>
            </w:tcBorders>
            <w:vAlign w:val="center"/>
          </w:tcPr>
          <w:p w14:paraId="13C881E1" w14:textId="035E6E15" w:rsidR="00020031" w:rsidRPr="00C84BC0" w:rsidRDefault="5051CDAA" w:rsidP="00853C60">
            <w:pPr>
              <w:spacing w:before="60" w:after="60"/>
              <w:jc w:val="center"/>
              <w:rPr>
                <w:rFonts w:eastAsia="Aptos"/>
                <w:noProof/>
                <w:sz w:val="20"/>
                <w:szCs w:val="20"/>
                <w:highlight w:val="cyan"/>
              </w:rPr>
            </w:pPr>
            <w:r w:rsidRPr="00C84BC0">
              <w:rPr>
                <w:rFonts w:eastAsia="Aptos"/>
                <w:noProof/>
                <w:sz w:val="20"/>
                <w:szCs w:val="20"/>
              </w:rPr>
              <w:t>EUR</w:t>
            </w:r>
            <w:r>
              <w:rPr>
                <w:rFonts w:eastAsia="Aptos"/>
                <w:noProof/>
                <w:sz w:val="20"/>
                <w:szCs w:val="20"/>
              </w:rPr>
              <w:t xml:space="preserve"> </w:t>
            </w:r>
            <w:r w:rsidR="00EE2D45">
              <w:rPr>
                <w:rFonts w:eastAsia="Aptos"/>
                <w:noProof/>
                <w:sz w:val="20"/>
                <w:szCs w:val="20"/>
              </w:rPr>
              <w:t>3.</w:t>
            </w:r>
            <w:r w:rsidR="009D27F4">
              <w:rPr>
                <w:rFonts w:eastAsia="Aptos"/>
                <w:noProof/>
                <w:sz w:val="20"/>
                <w:szCs w:val="20"/>
              </w:rPr>
              <w:t>7 million</w:t>
            </w:r>
            <w:r w:rsidRPr="00C84BC0">
              <w:rPr>
                <w:rFonts w:eastAsia="Aptos"/>
                <w:noProof/>
                <w:sz w:val="20"/>
                <w:szCs w:val="20"/>
              </w:rPr>
              <w:t xml:space="preserve"> </w:t>
            </w:r>
          </w:p>
        </w:tc>
        <w:tc>
          <w:tcPr>
            <w:tcW w:w="1281" w:type="pct"/>
            <w:tcBorders>
              <w:top w:val="single" w:sz="8" w:space="0" w:color="auto"/>
              <w:left w:val="single" w:sz="4" w:space="0" w:color="auto"/>
              <w:bottom w:val="double" w:sz="4" w:space="0" w:color="auto"/>
              <w:right w:val="double" w:sz="4" w:space="0" w:color="auto"/>
              <w:tl2br w:val="double" w:sz="4" w:space="0" w:color="auto"/>
            </w:tcBorders>
            <w:vAlign w:val="center"/>
          </w:tcPr>
          <w:p w14:paraId="0E2B5268" w14:textId="77777777" w:rsidR="00020031" w:rsidRPr="00F261DB" w:rsidRDefault="00020031" w:rsidP="00853C60">
            <w:pPr>
              <w:spacing w:before="60" w:after="60"/>
              <w:jc w:val="center"/>
              <w:rPr>
                <w:rFonts w:eastAsia="Aptos"/>
                <w:noProof/>
                <w:sz w:val="20"/>
                <w:szCs w:val="20"/>
                <w:highlight w:val="yellow"/>
              </w:rPr>
            </w:pPr>
          </w:p>
        </w:tc>
        <w:bookmarkEnd w:id="207"/>
      </w:tr>
      <w:tr w:rsidR="00A201A1" w:rsidRPr="00F261DB" w14:paraId="7452DAC5" w14:textId="77777777" w:rsidTr="00853C60">
        <w:trPr>
          <w:trHeight w:val="549"/>
        </w:trPr>
        <w:tc>
          <w:tcPr>
            <w:tcW w:w="776"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73921C2F" w14:textId="77777777" w:rsidR="00020031" w:rsidRPr="00F261DB" w:rsidRDefault="00020031" w:rsidP="00853C60">
            <w:pPr>
              <w:jc w:val="left"/>
              <w:rPr>
                <w:rFonts w:eastAsia="Aptos"/>
                <w:noProof/>
                <w:sz w:val="20"/>
                <w:szCs w:val="20"/>
              </w:rPr>
            </w:pPr>
            <w:r w:rsidRPr="00F261DB">
              <w:rPr>
                <w:rFonts w:eastAsia="Aptos"/>
                <w:noProof/>
                <w:sz w:val="20"/>
                <w:szCs w:val="20"/>
              </w:rPr>
              <w:t>New adjustment cost</w:t>
            </w:r>
          </w:p>
        </w:tc>
        <w:tc>
          <w:tcPr>
            <w:tcW w:w="1779" w:type="pct"/>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47503840" w14:textId="77777777" w:rsidR="00020031" w:rsidRPr="00F261DB" w:rsidRDefault="00020031" w:rsidP="00853C60">
            <w:pPr>
              <w:jc w:val="center"/>
              <w:rPr>
                <w:rFonts w:eastAsia="Aptos"/>
                <w:noProof/>
                <w:sz w:val="20"/>
                <w:szCs w:val="20"/>
              </w:rPr>
            </w:pPr>
          </w:p>
        </w:tc>
        <w:tc>
          <w:tcPr>
            <w:tcW w:w="1164" w:type="pct"/>
            <w:tcBorders>
              <w:top w:val="nil"/>
              <w:left w:val="single" w:sz="8" w:space="0" w:color="auto"/>
              <w:bottom w:val="double" w:sz="4" w:space="0" w:color="auto"/>
              <w:right w:val="double" w:sz="4" w:space="0" w:color="auto"/>
            </w:tcBorders>
            <w:vAlign w:val="center"/>
          </w:tcPr>
          <w:p w14:paraId="6B8ACEC8" w14:textId="77777777" w:rsidR="00020031" w:rsidRPr="00F261DB" w:rsidRDefault="00020031" w:rsidP="00853C60">
            <w:pPr>
              <w:jc w:val="center"/>
              <w:rPr>
                <w:rFonts w:eastAsia="Aptos"/>
                <w:noProof/>
                <w:sz w:val="20"/>
                <w:szCs w:val="20"/>
              </w:rPr>
            </w:pPr>
          </w:p>
        </w:tc>
        <w:tc>
          <w:tcPr>
            <w:tcW w:w="1281" w:type="pct"/>
            <w:tcBorders>
              <w:top w:val="single" w:sz="8" w:space="0" w:color="auto"/>
              <w:left w:val="single" w:sz="4" w:space="0" w:color="auto"/>
              <w:bottom w:val="double" w:sz="4" w:space="0" w:color="auto"/>
              <w:right w:val="double" w:sz="4" w:space="0" w:color="auto"/>
              <w:tl2br w:val="double" w:sz="4" w:space="0" w:color="auto"/>
            </w:tcBorders>
            <w:vAlign w:val="center"/>
          </w:tcPr>
          <w:p w14:paraId="472BBF33" w14:textId="77777777" w:rsidR="00020031" w:rsidRPr="00F261DB" w:rsidRDefault="00020031" w:rsidP="00853C60">
            <w:pPr>
              <w:jc w:val="center"/>
              <w:rPr>
                <w:rFonts w:eastAsia="Aptos"/>
                <w:noProof/>
                <w:sz w:val="20"/>
                <w:szCs w:val="20"/>
              </w:rPr>
            </w:pPr>
          </w:p>
        </w:tc>
      </w:tr>
      <w:tr w:rsidR="00020031" w:rsidRPr="00F261DB" w14:paraId="6E377F73" w14:textId="77777777" w:rsidTr="00853C60">
        <w:tc>
          <w:tcPr>
            <w:tcW w:w="5000" w:type="pct"/>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299FB034" w14:textId="77777777" w:rsidR="00020031" w:rsidRPr="00F261DB" w:rsidRDefault="00020031" w:rsidP="00853C60">
            <w:pPr>
              <w:spacing w:before="120" w:after="120"/>
              <w:jc w:val="left"/>
              <w:rPr>
                <w:rFonts w:eastAsia="Aptos"/>
                <w:b/>
                <w:noProof/>
                <w:sz w:val="20"/>
                <w:szCs w:val="20"/>
                <w:lang w:eastAsia="en-GB"/>
              </w:rPr>
            </w:pPr>
            <w:r w:rsidRPr="00F261DB">
              <w:rPr>
                <w:rFonts w:eastAsia="Aptos"/>
                <w:b/>
                <w:noProof/>
                <w:sz w:val="20"/>
                <w:szCs w:val="20"/>
              </w:rPr>
              <w:t>Citizens</w:t>
            </w:r>
          </w:p>
        </w:tc>
      </w:tr>
      <w:tr w:rsidR="00B403BA" w:rsidRPr="00F261DB" w14:paraId="637C0161" w14:textId="77777777" w:rsidTr="00853C60">
        <w:tc>
          <w:tcPr>
            <w:tcW w:w="776"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62214055" w14:textId="77777777" w:rsidR="00020031" w:rsidRPr="00F261DB" w:rsidRDefault="00020031" w:rsidP="00853C60">
            <w:pPr>
              <w:spacing w:before="60" w:after="60"/>
              <w:ind w:left="284"/>
              <w:jc w:val="left"/>
              <w:rPr>
                <w:rFonts w:eastAsia="Aptos"/>
                <w:noProof/>
                <w:sz w:val="20"/>
                <w:szCs w:val="20"/>
              </w:rPr>
            </w:pPr>
            <w:r w:rsidRPr="00F261DB">
              <w:rPr>
                <w:rFonts w:eastAsia="Aptos"/>
                <w:noProof/>
                <w:sz w:val="20"/>
                <w:szCs w:val="20"/>
              </w:rPr>
              <w:t>New administrative burdens (INs)</w:t>
            </w:r>
          </w:p>
        </w:tc>
        <w:tc>
          <w:tcPr>
            <w:tcW w:w="1779" w:type="pct"/>
            <w:tcBorders>
              <w:top w:val="nil"/>
              <w:left w:val="nil"/>
              <w:bottom w:val="single" w:sz="8" w:space="0" w:color="auto"/>
              <w:right w:val="single" w:sz="8" w:space="0" w:color="auto"/>
            </w:tcBorders>
            <w:tcMar>
              <w:top w:w="0" w:type="dxa"/>
              <w:left w:w="108" w:type="dxa"/>
              <w:bottom w:w="0" w:type="dxa"/>
              <w:right w:w="108" w:type="dxa"/>
            </w:tcMar>
            <w:vAlign w:val="center"/>
          </w:tcPr>
          <w:p w14:paraId="30ADE9E7" w14:textId="611D574A" w:rsidR="00020031" w:rsidRPr="00F261DB" w:rsidRDefault="379CF81D" w:rsidP="00853C60">
            <w:pPr>
              <w:jc w:val="center"/>
              <w:rPr>
                <w:rFonts w:eastAsia="Aptos"/>
                <w:noProof/>
                <w:sz w:val="20"/>
                <w:szCs w:val="20"/>
                <w:lang w:eastAsia="en-GB"/>
              </w:rPr>
            </w:pPr>
            <w:r w:rsidRPr="3C1B0927">
              <w:rPr>
                <w:rFonts w:eastAsia="Aptos"/>
                <w:noProof/>
                <w:sz w:val="20"/>
                <w:szCs w:val="20"/>
                <w:lang w:eastAsia="en-GB"/>
              </w:rPr>
              <w:t>Not available</w:t>
            </w:r>
          </w:p>
        </w:tc>
        <w:tc>
          <w:tcPr>
            <w:tcW w:w="1164" w:type="pct"/>
            <w:tcBorders>
              <w:top w:val="nil"/>
              <w:left w:val="nil"/>
              <w:bottom w:val="single" w:sz="8" w:space="0" w:color="auto"/>
              <w:right w:val="double" w:sz="4" w:space="0" w:color="auto"/>
            </w:tcBorders>
            <w:tcMar>
              <w:top w:w="0" w:type="dxa"/>
              <w:left w:w="108" w:type="dxa"/>
              <w:bottom w:w="0" w:type="dxa"/>
              <w:right w:w="108" w:type="dxa"/>
            </w:tcMar>
            <w:vAlign w:val="center"/>
          </w:tcPr>
          <w:p w14:paraId="7789DF59" w14:textId="46C86BDA" w:rsidR="00020031" w:rsidRPr="00F261DB" w:rsidRDefault="379CF81D" w:rsidP="00853C60">
            <w:pPr>
              <w:jc w:val="center"/>
              <w:rPr>
                <w:rFonts w:eastAsia="Aptos"/>
                <w:noProof/>
                <w:sz w:val="20"/>
                <w:szCs w:val="20"/>
                <w:lang w:eastAsia="en-GB"/>
              </w:rPr>
            </w:pPr>
            <w:r w:rsidRPr="3C1B0927">
              <w:rPr>
                <w:rFonts w:eastAsia="Aptos"/>
                <w:noProof/>
                <w:sz w:val="20"/>
                <w:szCs w:val="20"/>
                <w:lang w:eastAsia="en-GB"/>
              </w:rPr>
              <w:t>Not available</w:t>
            </w:r>
          </w:p>
        </w:tc>
        <w:tc>
          <w:tcPr>
            <w:tcW w:w="1281" w:type="pct"/>
            <w:tcBorders>
              <w:top w:val="nil"/>
              <w:left w:val="nil"/>
              <w:bottom w:val="single" w:sz="8" w:space="0" w:color="auto"/>
              <w:right w:val="double" w:sz="4" w:space="0" w:color="auto"/>
            </w:tcBorders>
            <w:vAlign w:val="center"/>
          </w:tcPr>
          <w:p w14:paraId="7F4A6119" w14:textId="77777777" w:rsidR="00020031" w:rsidRPr="00F261DB" w:rsidRDefault="00020031" w:rsidP="00853C60">
            <w:pPr>
              <w:jc w:val="center"/>
              <w:rPr>
                <w:rFonts w:eastAsia="Aptos"/>
                <w:noProof/>
                <w:sz w:val="20"/>
                <w:szCs w:val="20"/>
                <w:lang w:eastAsia="en-GB"/>
              </w:rPr>
            </w:pPr>
          </w:p>
        </w:tc>
      </w:tr>
      <w:tr w:rsidR="00B403BA" w:rsidRPr="00F261DB" w14:paraId="0A016587" w14:textId="77777777" w:rsidTr="00853C60">
        <w:tc>
          <w:tcPr>
            <w:tcW w:w="776"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274DC579" w14:textId="77777777" w:rsidR="00020031" w:rsidRPr="00F261DB" w:rsidRDefault="00020031" w:rsidP="00853C60">
            <w:pPr>
              <w:spacing w:before="60" w:after="60"/>
              <w:ind w:left="284"/>
              <w:jc w:val="left"/>
              <w:rPr>
                <w:rFonts w:eastAsia="Aptos"/>
                <w:noProof/>
                <w:sz w:val="20"/>
                <w:szCs w:val="20"/>
              </w:rPr>
            </w:pPr>
            <w:r w:rsidRPr="00F261DB">
              <w:rPr>
                <w:rFonts w:eastAsia="Aptos"/>
                <w:noProof/>
                <w:sz w:val="20"/>
                <w:szCs w:val="20"/>
              </w:rPr>
              <w:t>Removed administrative burdens (OUTs)</w:t>
            </w:r>
          </w:p>
        </w:tc>
        <w:tc>
          <w:tcPr>
            <w:tcW w:w="1779" w:type="pct"/>
            <w:tcBorders>
              <w:top w:val="nil"/>
              <w:left w:val="nil"/>
              <w:bottom w:val="single" w:sz="8" w:space="0" w:color="auto"/>
              <w:right w:val="single" w:sz="8" w:space="0" w:color="auto"/>
            </w:tcBorders>
            <w:tcMar>
              <w:top w:w="0" w:type="dxa"/>
              <w:left w:w="108" w:type="dxa"/>
              <w:bottom w:w="0" w:type="dxa"/>
              <w:right w:w="108" w:type="dxa"/>
            </w:tcMar>
            <w:vAlign w:val="center"/>
          </w:tcPr>
          <w:p w14:paraId="4F68E8B4" w14:textId="3FDB15B4" w:rsidR="00020031" w:rsidRPr="00F261DB" w:rsidRDefault="379CF81D" w:rsidP="00853C60">
            <w:pPr>
              <w:jc w:val="center"/>
              <w:rPr>
                <w:rFonts w:eastAsia="Aptos"/>
                <w:noProof/>
                <w:sz w:val="20"/>
                <w:szCs w:val="20"/>
                <w:lang w:eastAsia="en-GB"/>
              </w:rPr>
            </w:pPr>
            <w:r w:rsidRPr="3C1B0927">
              <w:rPr>
                <w:rFonts w:eastAsia="Aptos"/>
                <w:noProof/>
                <w:sz w:val="20"/>
                <w:szCs w:val="20"/>
                <w:lang w:eastAsia="en-GB"/>
              </w:rPr>
              <w:t>Not available</w:t>
            </w:r>
          </w:p>
        </w:tc>
        <w:tc>
          <w:tcPr>
            <w:tcW w:w="1164" w:type="pct"/>
            <w:tcBorders>
              <w:top w:val="nil"/>
              <w:left w:val="nil"/>
              <w:bottom w:val="single" w:sz="8" w:space="0" w:color="auto"/>
              <w:right w:val="double" w:sz="4" w:space="0" w:color="auto"/>
            </w:tcBorders>
            <w:tcMar>
              <w:top w:w="0" w:type="dxa"/>
              <w:left w:w="108" w:type="dxa"/>
              <w:bottom w:w="0" w:type="dxa"/>
              <w:right w:w="108" w:type="dxa"/>
            </w:tcMar>
            <w:vAlign w:val="center"/>
          </w:tcPr>
          <w:p w14:paraId="48D59D77" w14:textId="48FD64E8" w:rsidR="00020031" w:rsidRPr="00F261DB" w:rsidRDefault="379CF81D" w:rsidP="00853C60">
            <w:pPr>
              <w:jc w:val="center"/>
              <w:rPr>
                <w:rFonts w:eastAsia="Aptos"/>
                <w:noProof/>
                <w:sz w:val="20"/>
                <w:szCs w:val="20"/>
                <w:lang w:eastAsia="en-GB"/>
              </w:rPr>
            </w:pPr>
            <w:r w:rsidRPr="3C1B0927">
              <w:rPr>
                <w:rFonts w:eastAsia="Aptos"/>
                <w:noProof/>
                <w:sz w:val="20"/>
                <w:szCs w:val="20"/>
                <w:lang w:eastAsia="en-GB"/>
              </w:rPr>
              <w:t>Not available</w:t>
            </w:r>
          </w:p>
        </w:tc>
        <w:tc>
          <w:tcPr>
            <w:tcW w:w="1281" w:type="pct"/>
            <w:tcBorders>
              <w:top w:val="nil"/>
              <w:left w:val="nil"/>
              <w:bottom w:val="single" w:sz="8" w:space="0" w:color="auto"/>
              <w:right w:val="double" w:sz="4" w:space="0" w:color="auto"/>
            </w:tcBorders>
            <w:vAlign w:val="center"/>
          </w:tcPr>
          <w:p w14:paraId="4606B2AD" w14:textId="77777777" w:rsidR="00020031" w:rsidRPr="00F261DB" w:rsidRDefault="00020031" w:rsidP="00853C60">
            <w:pPr>
              <w:jc w:val="center"/>
              <w:rPr>
                <w:rFonts w:eastAsia="Aptos"/>
                <w:noProof/>
                <w:sz w:val="20"/>
                <w:szCs w:val="20"/>
                <w:lang w:eastAsia="en-GB"/>
              </w:rPr>
            </w:pPr>
          </w:p>
        </w:tc>
      </w:tr>
      <w:tr w:rsidR="00B403BA" w:rsidRPr="00F261DB" w14:paraId="79E2327E" w14:textId="77777777" w:rsidTr="00853C60">
        <w:tc>
          <w:tcPr>
            <w:tcW w:w="776"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72A094E0" w14:textId="77777777" w:rsidR="00020031" w:rsidRPr="00F261DB" w:rsidRDefault="00020031" w:rsidP="00853C60">
            <w:pPr>
              <w:spacing w:before="60" w:after="60"/>
              <w:ind w:left="284"/>
              <w:jc w:val="left"/>
              <w:rPr>
                <w:rFonts w:eastAsia="Aptos"/>
                <w:b/>
                <w:noProof/>
                <w:sz w:val="20"/>
                <w:szCs w:val="20"/>
              </w:rPr>
            </w:pPr>
            <w:r w:rsidRPr="00F261DB">
              <w:rPr>
                <w:rFonts w:eastAsia="Aptos"/>
                <w:b/>
                <w:i/>
                <w:noProof/>
                <w:sz w:val="20"/>
                <w:szCs w:val="20"/>
              </w:rPr>
              <w:t>Net administrative burdens*</w:t>
            </w:r>
          </w:p>
        </w:tc>
        <w:tc>
          <w:tcPr>
            <w:tcW w:w="1779" w:type="pct"/>
            <w:tcBorders>
              <w:top w:val="nil"/>
              <w:left w:val="nil"/>
              <w:bottom w:val="single" w:sz="8" w:space="0" w:color="auto"/>
              <w:right w:val="single" w:sz="8" w:space="0" w:color="auto"/>
            </w:tcBorders>
            <w:tcMar>
              <w:top w:w="0" w:type="dxa"/>
              <w:left w:w="108" w:type="dxa"/>
              <w:bottom w:w="0" w:type="dxa"/>
              <w:right w:w="108" w:type="dxa"/>
            </w:tcMar>
            <w:vAlign w:val="center"/>
          </w:tcPr>
          <w:p w14:paraId="157C555B" w14:textId="7D337C45" w:rsidR="00020031" w:rsidRPr="00F261DB" w:rsidRDefault="379CF81D" w:rsidP="00853C60">
            <w:pPr>
              <w:jc w:val="center"/>
              <w:rPr>
                <w:rFonts w:eastAsia="Aptos"/>
                <w:noProof/>
                <w:sz w:val="20"/>
                <w:szCs w:val="20"/>
                <w:lang w:eastAsia="en-GB"/>
              </w:rPr>
            </w:pPr>
            <w:r w:rsidRPr="3C1B0927">
              <w:rPr>
                <w:rFonts w:eastAsia="Aptos"/>
                <w:noProof/>
                <w:sz w:val="20"/>
                <w:szCs w:val="20"/>
                <w:lang w:eastAsia="en-GB"/>
              </w:rPr>
              <w:t>Not available</w:t>
            </w:r>
          </w:p>
        </w:tc>
        <w:tc>
          <w:tcPr>
            <w:tcW w:w="1164" w:type="pct"/>
            <w:tcBorders>
              <w:top w:val="nil"/>
              <w:left w:val="nil"/>
              <w:bottom w:val="single" w:sz="8" w:space="0" w:color="auto"/>
              <w:right w:val="double" w:sz="4" w:space="0" w:color="auto"/>
            </w:tcBorders>
            <w:tcMar>
              <w:top w:w="0" w:type="dxa"/>
              <w:left w:w="108" w:type="dxa"/>
              <w:bottom w:w="0" w:type="dxa"/>
              <w:right w:w="108" w:type="dxa"/>
            </w:tcMar>
            <w:vAlign w:val="center"/>
          </w:tcPr>
          <w:p w14:paraId="723AC467" w14:textId="00BC82BE" w:rsidR="00020031" w:rsidRPr="00F261DB" w:rsidRDefault="379CF81D" w:rsidP="00853C60">
            <w:pPr>
              <w:jc w:val="center"/>
              <w:rPr>
                <w:rFonts w:eastAsia="Aptos"/>
                <w:noProof/>
                <w:sz w:val="20"/>
                <w:szCs w:val="20"/>
                <w:lang w:eastAsia="en-GB"/>
              </w:rPr>
            </w:pPr>
            <w:r w:rsidRPr="3C1B0927">
              <w:rPr>
                <w:rFonts w:eastAsia="Aptos"/>
                <w:noProof/>
                <w:sz w:val="20"/>
                <w:szCs w:val="20"/>
                <w:lang w:eastAsia="en-GB"/>
              </w:rPr>
              <w:t>Not available</w:t>
            </w:r>
          </w:p>
        </w:tc>
        <w:tc>
          <w:tcPr>
            <w:tcW w:w="1281" w:type="pct"/>
            <w:tcBorders>
              <w:top w:val="nil"/>
              <w:left w:val="nil"/>
              <w:bottom w:val="single" w:sz="8" w:space="0" w:color="auto"/>
              <w:right w:val="double" w:sz="4" w:space="0" w:color="auto"/>
            </w:tcBorders>
            <w:vAlign w:val="center"/>
          </w:tcPr>
          <w:p w14:paraId="538D96E2" w14:textId="77777777" w:rsidR="00020031" w:rsidRPr="00F261DB" w:rsidRDefault="00020031" w:rsidP="00853C60">
            <w:pPr>
              <w:jc w:val="center"/>
              <w:rPr>
                <w:rFonts w:eastAsia="Aptos"/>
                <w:noProof/>
                <w:sz w:val="20"/>
                <w:szCs w:val="20"/>
                <w:lang w:eastAsia="en-GB"/>
              </w:rPr>
            </w:pPr>
          </w:p>
        </w:tc>
      </w:tr>
      <w:tr w:rsidR="00A201A1" w:rsidRPr="00F261DB" w14:paraId="4373BE15" w14:textId="77777777" w:rsidTr="00853C60">
        <w:trPr>
          <w:trHeight w:val="557"/>
        </w:trPr>
        <w:tc>
          <w:tcPr>
            <w:tcW w:w="776"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75B7F62B" w14:textId="0B85344A" w:rsidR="00020031" w:rsidRPr="00F261DB" w:rsidRDefault="00020031" w:rsidP="00853C60">
            <w:pPr>
              <w:spacing w:before="60" w:after="60"/>
              <w:ind w:left="284"/>
              <w:jc w:val="left"/>
              <w:rPr>
                <w:rFonts w:eastAsia="Aptos"/>
                <w:i/>
                <w:noProof/>
                <w:sz w:val="20"/>
                <w:szCs w:val="20"/>
              </w:rPr>
            </w:pPr>
            <w:r w:rsidRPr="00F261DB">
              <w:rPr>
                <w:rFonts w:eastAsia="Aptos"/>
                <w:noProof/>
                <w:sz w:val="20"/>
                <w:szCs w:val="20"/>
              </w:rPr>
              <w:t>Adjustment costs**</w:t>
            </w:r>
          </w:p>
        </w:tc>
        <w:tc>
          <w:tcPr>
            <w:tcW w:w="1779" w:type="pct"/>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1BA9280F" w14:textId="7DB88438" w:rsidR="00020031" w:rsidRPr="008B2ACB" w:rsidRDefault="00020031" w:rsidP="00853C60">
            <w:pPr>
              <w:spacing w:before="60" w:after="60"/>
              <w:jc w:val="center"/>
              <w:rPr>
                <w:rFonts w:eastAsia="Aptos"/>
                <w:noProof/>
                <w:sz w:val="20"/>
                <w:szCs w:val="20"/>
                <w:highlight w:val="yellow"/>
              </w:rPr>
            </w:pPr>
          </w:p>
        </w:tc>
        <w:tc>
          <w:tcPr>
            <w:tcW w:w="1164" w:type="pct"/>
            <w:tcBorders>
              <w:top w:val="nil"/>
              <w:left w:val="single" w:sz="8" w:space="0" w:color="auto"/>
              <w:bottom w:val="double" w:sz="4" w:space="0" w:color="auto"/>
              <w:right w:val="double" w:sz="4" w:space="0" w:color="auto"/>
            </w:tcBorders>
            <w:vAlign w:val="center"/>
          </w:tcPr>
          <w:p w14:paraId="1A194551" w14:textId="2AA319F5" w:rsidR="00020031" w:rsidRPr="00C84BC0" w:rsidRDefault="005727BC" w:rsidP="00853C60">
            <w:pPr>
              <w:spacing w:before="60" w:after="60"/>
              <w:jc w:val="center"/>
              <w:rPr>
                <w:rFonts w:eastAsia="Aptos"/>
                <w:noProof/>
                <w:sz w:val="20"/>
                <w:szCs w:val="20"/>
              </w:rPr>
            </w:pPr>
            <w:r w:rsidRPr="00853C60">
              <w:rPr>
                <w:rFonts w:eastAsia="Aptos"/>
                <w:noProof/>
                <w:sz w:val="20"/>
                <w:szCs w:val="20"/>
              </w:rPr>
              <w:t xml:space="preserve">EUR 1.442 </w:t>
            </w:r>
            <w:r w:rsidR="22CF6321" w:rsidRPr="00853C60">
              <w:rPr>
                <w:rFonts w:eastAsia="Aptos"/>
                <w:noProof/>
                <w:sz w:val="20"/>
                <w:szCs w:val="20"/>
              </w:rPr>
              <w:t>million</w:t>
            </w:r>
          </w:p>
        </w:tc>
        <w:tc>
          <w:tcPr>
            <w:tcW w:w="1281" w:type="pct"/>
            <w:tcBorders>
              <w:top w:val="single" w:sz="8" w:space="0" w:color="auto"/>
              <w:left w:val="single" w:sz="4" w:space="0" w:color="auto"/>
              <w:bottom w:val="double" w:sz="4" w:space="0" w:color="auto"/>
              <w:right w:val="double" w:sz="4" w:space="0" w:color="auto"/>
              <w:tl2br w:val="double" w:sz="4" w:space="0" w:color="auto"/>
            </w:tcBorders>
            <w:vAlign w:val="center"/>
          </w:tcPr>
          <w:p w14:paraId="5684E5E1" w14:textId="77777777" w:rsidR="00020031" w:rsidRPr="00C84BC0" w:rsidRDefault="00020031" w:rsidP="00853C60">
            <w:pPr>
              <w:spacing w:before="60" w:after="60"/>
              <w:jc w:val="center"/>
              <w:rPr>
                <w:rFonts w:eastAsia="Aptos"/>
                <w:noProof/>
                <w:sz w:val="20"/>
                <w:szCs w:val="20"/>
                <w:highlight w:val="cyan"/>
              </w:rPr>
            </w:pPr>
          </w:p>
        </w:tc>
      </w:tr>
      <w:tr w:rsidR="00B403BA" w:rsidRPr="00F261DB" w14:paraId="7E403F6E" w14:textId="77777777" w:rsidTr="00853C60">
        <w:trPr>
          <w:trHeight w:val="467"/>
        </w:trPr>
        <w:tc>
          <w:tcPr>
            <w:tcW w:w="776" w:type="pct"/>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4A500132" w14:textId="2DB4FFCB" w:rsidR="00020031" w:rsidRPr="00F261DB" w:rsidRDefault="00020031" w:rsidP="00853C60">
            <w:pPr>
              <w:spacing w:before="60" w:after="60"/>
              <w:ind w:left="35"/>
              <w:jc w:val="left"/>
              <w:rPr>
                <w:rFonts w:eastAsia="Aptos"/>
                <w:noProof/>
                <w:sz w:val="20"/>
                <w:szCs w:val="20"/>
              </w:rPr>
            </w:pPr>
            <w:r w:rsidRPr="00F261DB">
              <w:rPr>
                <w:rFonts w:eastAsia="Aptos"/>
                <w:b/>
                <w:noProof/>
                <w:sz w:val="20"/>
                <w:szCs w:val="20"/>
              </w:rPr>
              <w:lastRenderedPageBreak/>
              <w:t>Total administrative burdens***</w:t>
            </w:r>
          </w:p>
        </w:tc>
        <w:tc>
          <w:tcPr>
            <w:tcW w:w="1779" w:type="pct"/>
            <w:tcBorders>
              <w:top w:val="double" w:sz="4" w:space="0" w:color="auto"/>
              <w:left w:val="nil"/>
              <w:bottom w:val="double" w:sz="4" w:space="0" w:color="auto"/>
              <w:right w:val="single" w:sz="8" w:space="0" w:color="auto"/>
            </w:tcBorders>
            <w:tcMar>
              <w:top w:w="0" w:type="dxa"/>
              <w:left w:w="108" w:type="dxa"/>
              <w:bottom w:w="0" w:type="dxa"/>
              <w:right w:w="108" w:type="dxa"/>
            </w:tcMar>
            <w:vAlign w:val="center"/>
          </w:tcPr>
          <w:p w14:paraId="7A4AC5A2" w14:textId="67C15DEB" w:rsidR="00020031" w:rsidRPr="00F261DB" w:rsidRDefault="00753AA8" w:rsidP="00853C60">
            <w:pPr>
              <w:spacing w:before="60" w:after="60"/>
              <w:jc w:val="center"/>
              <w:rPr>
                <w:rFonts w:eastAsia="Aptos"/>
                <w:noProof/>
                <w:sz w:val="20"/>
                <w:szCs w:val="20"/>
              </w:rPr>
            </w:pPr>
            <w:r w:rsidRPr="00F261DB">
              <w:rPr>
                <w:rFonts w:eastAsia="Aptos"/>
                <w:noProof/>
                <w:sz w:val="20"/>
                <w:szCs w:val="20"/>
              </w:rPr>
              <w:t>- EUR 28.13 million</w:t>
            </w:r>
          </w:p>
        </w:tc>
        <w:tc>
          <w:tcPr>
            <w:tcW w:w="1164" w:type="pct"/>
            <w:tcBorders>
              <w:top w:val="double" w:sz="4" w:space="0" w:color="auto"/>
              <w:left w:val="single" w:sz="8" w:space="0" w:color="auto"/>
              <w:bottom w:val="double" w:sz="4" w:space="0" w:color="auto"/>
              <w:right w:val="double" w:sz="4" w:space="0" w:color="auto"/>
            </w:tcBorders>
            <w:vAlign w:val="center"/>
          </w:tcPr>
          <w:p w14:paraId="218CDC54" w14:textId="384C5C48" w:rsidR="00020031" w:rsidRPr="00C84BC0" w:rsidRDefault="45012259" w:rsidP="00853C60">
            <w:pPr>
              <w:spacing w:before="60" w:after="60"/>
              <w:jc w:val="center"/>
              <w:rPr>
                <w:rFonts w:eastAsia="Aptos"/>
                <w:noProof/>
                <w:sz w:val="20"/>
                <w:szCs w:val="20"/>
              </w:rPr>
            </w:pPr>
            <w:r w:rsidRPr="00C84BC0">
              <w:rPr>
                <w:rFonts w:eastAsia="Aptos"/>
                <w:noProof/>
                <w:sz w:val="20"/>
                <w:szCs w:val="20"/>
              </w:rPr>
              <w:t xml:space="preserve">EUR </w:t>
            </w:r>
            <w:r w:rsidR="3E80F1D1" w:rsidRPr="1FA04443">
              <w:rPr>
                <w:rFonts w:eastAsia="Aptos"/>
                <w:noProof/>
                <w:sz w:val="20"/>
                <w:szCs w:val="20"/>
              </w:rPr>
              <w:t>1.16</w:t>
            </w:r>
            <w:r w:rsidRPr="00C84BC0">
              <w:rPr>
                <w:rFonts w:eastAsia="Aptos"/>
                <w:noProof/>
                <w:sz w:val="20"/>
                <w:szCs w:val="20"/>
              </w:rPr>
              <w:t xml:space="preserve"> million</w:t>
            </w:r>
          </w:p>
        </w:tc>
        <w:tc>
          <w:tcPr>
            <w:tcW w:w="1281" w:type="pct"/>
            <w:tcBorders>
              <w:top w:val="double" w:sz="4" w:space="0" w:color="auto"/>
              <w:left w:val="single" w:sz="4" w:space="0" w:color="auto"/>
              <w:bottom w:val="double" w:sz="4" w:space="0" w:color="auto"/>
              <w:right w:val="double" w:sz="4" w:space="0" w:color="auto"/>
            </w:tcBorders>
            <w:vAlign w:val="center"/>
          </w:tcPr>
          <w:p w14:paraId="2F0C19A3" w14:textId="08C96A35" w:rsidR="00020031" w:rsidRPr="00C84BC0" w:rsidRDefault="45012259" w:rsidP="00853C60">
            <w:pPr>
              <w:jc w:val="center"/>
              <w:rPr>
                <w:noProof/>
                <w:sz w:val="20"/>
                <w:szCs w:val="20"/>
              </w:rPr>
            </w:pPr>
            <w:r w:rsidRPr="00C84BC0">
              <w:rPr>
                <w:noProof/>
                <w:sz w:val="20"/>
                <w:szCs w:val="20"/>
              </w:rPr>
              <w:t xml:space="preserve">- EUR </w:t>
            </w:r>
            <w:r w:rsidR="1F0386BE" w:rsidRPr="1FA04443">
              <w:rPr>
                <w:noProof/>
                <w:sz w:val="20"/>
                <w:szCs w:val="20"/>
              </w:rPr>
              <w:t>26.97</w:t>
            </w:r>
            <w:r w:rsidRPr="00C84BC0">
              <w:rPr>
                <w:noProof/>
                <w:sz w:val="20"/>
                <w:szCs w:val="20"/>
              </w:rPr>
              <w:t xml:space="preserve"> million</w:t>
            </w:r>
          </w:p>
        </w:tc>
      </w:tr>
    </w:tbl>
    <w:p w14:paraId="1CE02309" w14:textId="641EEA64" w:rsidR="00917A70" w:rsidRPr="00F261DB" w:rsidRDefault="0000438C">
      <w:pPr>
        <w:ind w:left="-567"/>
        <w:rPr>
          <w:rFonts w:eastAsia="Aptos"/>
          <w:i/>
          <w:noProof/>
          <w:sz w:val="20"/>
          <w:szCs w:val="20"/>
        </w:rPr>
      </w:pPr>
      <w:r>
        <w:rPr>
          <w:rFonts w:eastAsia="Aptos"/>
          <w:i/>
          <w:noProof/>
          <w:sz w:val="20"/>
          <w:szCs w:val="20"/>
        </w:rPr>
        <w:br w:type="textWrapping" w:clear="all"/>
      </w:r>
    </w:p>
    <w:p w14:paraId="01CE482A" w14:textId="77777777" w:rsidR="00020031" w:rsidRPr="00F261DB" w:rsidRDefault="00020031" w:rsidP="00110357">
      <w:pPr>
        <w:spacing w:after="240"/>
        <w:contextualSpacing/>
        <w:rPr>
          <w:rFonts w:eastAsia="Aptos"/>
          <w:i/>
          <w:noProof/>
          <w:sz w:val="20"/>
          <w:szCs w:val="20"/>
        </w:rPr>
      </w:pPr>
      <w:r w:rsidRPr="00F261DB">
        <w:rPr>
          <w:rFonts w:eastAsia="Aptos"/>
          <w:i/>
          <w:noProof/>
          <w:sz w:val="20"/>
          <w:szCs w:val="20"/>
        </w:rPr>
        <w:t xml:space="preserve">(*) Net administrative burdens = INs – OUTs; </w:t>
      </w:r>
    </w:p>
    <w:p w14:paraId="61B327A2" w14:textId="77777777" w:rsidR="00020031" w:rsidRPr="00F261DB" w:rsidRDefault="00020031" w:rsidP="00110357">
      <w:pPr>
        <w:spacing w:after="240"/>
        <w:contextualSpacing/>
        <w:rPr>
          <w:rFonts w:eastAsia="Aptos"/>
          <w:i/>
          <w:noProof/>
          <w:sz w:val="20"/>
          <w:szCs w:val="20"/>
        </w:rPr>
      </w:pPr>
      <w:r w:rsidRPr="00F261DB">
        <w:rPr>
          <w:rFonts w:eastAsia="Aptos"/>
          <w:i/>
          <w:noProof/>
          <w:sz w:val="20"/>
          <w:szCs w:val="20"/>
        </w:rPr>
        <w:t>(**) Adjustment costs falling under the scope of the OIOO approach are the same as reported in Table 2 above.</w:t>
      </w:r>
      <w:bookmarkEnd w:id="206"/>
      <w:r w:rsidRPr="00F261DB">
        <w:rPr>
          <w:rFonts w:eastAsia="Aptos"/>
          <w:i/>
          <w:noProof/>
          <w:sz w:val="20"/>
          <w:szCs w:val="20"/>
        </w:rPr>
        <w:t xml:space="preserve"> Non-annualised values; </w:t>
      </w:r>
    </w:p>
    <w:p w14:paraId="31044A6C" w14:textId="77777777" w:rsidR="00020031" w:rsidRPr="00F261DB" w:rsidRDefault="00020031" w:rsidP="00110357">
      <w:pPr>
        <w:spacing w:after="240"/>
        <w:contextualSpacing/>
        <w:rPr>
          <w:rFonts w:eastAsia="Aptos"/>
          <w:i/>
          <w:noProof/>
          <w:sz w:val="20"/>
          <w:szCs w:val="20"/>
        </w:rPr>
      </w:pPr>
      <w:r w:rsidRPr="00F261DB">
        <w:rPr>
          <w:rFonts w:eastAsia="Aptos"/>
          <w:i/>
          <w:noProof/>
          <w:sz w:val="20"/>
          <w:szCs w:val="20"/>
        </w:rPr>
        <w:t>(***) Total administrative burdens = Net administrative burdens for businesses + net administrative burdens for citizens.</w:t>
      </w:r>
    </w:p>
    <w:p w14:paraId="0CA7D02D" w14:textId="22B615C2" w:rsidR="00020031" w:rsidRPr="00F261DB" w:rsidRDefault="00020031" w:rsidP="00EF6EDE">
      <w:pPr>
        <w:pStyle w:val="ListParagraph"/>
        <w:keepNext/>
        <w:keepLines/>
        <w:numPr>
          <w:ilvl w:val="0"/>
          <w:numId w:val="149"/>
        </w:numPr>
        <w:spacing w:before="360" w:after="80"/>
        <w:outlineLvl w:val="0"/>
        <w:rPr>
          <w:rFonts w:eastAsia="Yu Gothic Light"/>
          <w:b/>
          <w:noProof/>
        </w:rPr>
      </w:pPr>
      <w:bookmarkStart w:id="208" w:name="_Toc195528729"/>
      <w:bookmarkStart w:id="209" w:name="_Toc207192546"/>
      <w:bookmarkStart w:id="210" w:name="_Toc212728798"/>
      <w:bookmarkStart w:id="211" w:name="_Toc212729072"/>
      <w:bookmarkStart w:id="212" w:name="_Toc212729324"/>
      <w:bookmarkStart w:id="213" w:name="_Toc215506268"/>
      <w:bookmarkStart w:id="214" w:name="_Toc222159319"/>
      <w:bookmarkStart w:id="215" w:name="_Toc222489523"/>
      <w:bookmarkStart w:id="216" w:name="_Toc222490012"/>
      <w:r w:rsidRPr="00F261DB">
        <w:rPr>
          <w:rFonts w:eastAsia="Yu Gothic Light"/>
          <w:b/>
          <w:noProof/>
        </w:rPr>
        <w:t>Relevant sustainable development goals</w:t>
      </w:r>
      <w:bookmarkEnd w:id="208"/>
      <w:bookmarkEnd w:id="209"/>
      <w:bookmarkEnd w:id="210"/>
      <w:bookmarkEnd w:id="211"/>
      <w:bookmarkEnd w:id="212"/>
      <w:bookmarkEnd w:id="213"/>
      <w:bookmarkEnd w:id="214"/>
      <w:bookmarkEnd w:id="215"/>
      <w:bookmarkEnd w:id="216"/>
    </w:p>
    <w:p w14:paraId="1CEA1801" w14:textId="77777777" w:rsidR="00020031" w:rsidRPr="00F261DB" w:rsidRDefault="00020031">
      <w:pPr>
        <w:rPr>
          <w:rFonts w:eastAsia="Aptos"/>
          <w:noProof/>
        </w:rPr>
      </w:pPr>
    </w:p>
    <w:tbl>
      <w:tblPr>
        <w:tblStyle w:val="CV11"/>
        <w:tblW w:w="5000" w:type="pct"/>
        <w:tblInd w:w="-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688"/>
        <w:gridCol w:w="12080"/>
      </w:tblGrid>
      <w:tr w:rsidR="001C7632" w:rsidRPr="00F261DB" w14:paraId="49C0322E" w14:textId="77777777" w:rsidTr="0059635E">
        <w:trPr>
          <w:trHeight w:val="300"/>
          <w:tblHeader/>
        </w:trPr>
        <w:tc>
          <w:tcPr>
            <w:tcW w:w="5000" w:type="pct"/>
            <w:gridSpan w:val="2"/>
            <w:tcBorders>
              <w:top w:val="double" w:sz="4" w:space="0" w:color="auto"/>
              <w:bottom w:val="single" w:sz="4" w:space="0" w:color="auto"/>
            </w:tcBorders>
            <w:shd w:val="clear" w:color="auto" w:fill="B7D4EF"/>
          </w:tcPr>
          <w:p w14:paraId="5BA7A70B" w14:textId="77777777" w:rsidR="00020031" w:rsidRPr="00F261DB" w:rsidRDefault="00020031">
            <w:pPr>
              <w:rPr>
                <w:rFonts w:eastAsia="Aptos"/>
                <w:b/>
                <w:noProof/>
              </w:rPr>
            </w:pPr>
            <w:r w:rsidRPr="00F261DB">
              <w:rPr>
                <w:rFonts w:eastAsia="Aptos"/>
                <w:b/>
                <w:noProof/>
              </w:rPr>
              <w:t>IV. Overview of relevant Sustainable Development Goals – Preferred Option(s)</w:t>
            </w:r>
          </w:p>
        </w:tc>
      </w:tr>
      <w:tr w:rsidR="001C7632" w:rsidRPr="00F261DB" w14:paraId="06C8B385" w14:textId="77777777" w:rsidTr="0059635E">
        <w:trPr>
          <w:trHeight w:val="300"/>
          <w:tblHeader/>
        </w:trPr>
        <w:tc>
          <w:tcPr>
            <w:tcW w:w="910" w:type="pct"/>
            <w:tcBorders>
              <w:top w:val="single" w:sz="4" w:space="0" w:color="auto"/>
            </w:tcBorders>
            <w:shd w:val="clear" w:color="auto" w:fill="B7D4EF"/>
          </w:tcPr>
          <w:p w14:paraId="6D51D8BD" w14:textId="77777777" w:rsidR="00020031" w:rsidRPr="00F261DB" w:rsidRDefault="00020031">
            <w:pPr>
              <w:rPr>
                <w:rFonts w:eastAsia="Aptos"/>
                <w:b/>
                <w:noProof/>
              </w:rPr>
            </w:pPr>
            <w:r w:rsidRPr="00F261DB">
              <w:rPr>
                <w:rFonts w:eastAsia="Aptos"/>
                <w:b/>
                <w:noProof/>
              </w:rPr>
              <w:t>Relevant SDG</w:t>
            </w:r>
          </w:p>
        </w:tc>
        <w:tc>
          <w:tcPr>
            <w:tcW w:w="4090" w:type="pct"/>
            <w:tcBorders>
              <w:top w:val="single" w:sz="4" w:space="0" w:color="auto"/>
            </w:tcBorders>
            <w:shd w:val="clear" w:color="auto" w:fill="B7D4EF"/>
          </w:tcPr>
          <w:p w14:paraId="77F4B62E" w14:textId="77777777" w:rsidR="00020031" w:rsidRPr="00F261DB" w:rsidRDefault="00020031">
            <w:pPr>
              <w:rPr>
                <w:rFonts w:eastAsia="Aptos"/>
                <w:b/>
                <w:noProof/>
              </w:rPr>
            </w:pPr>
            <w:r w:rsidRPr="00F261DB">
              <w:rPr>
                <w:rFonts w:eastAsia="Aptos"/>
                <w:b/>
                <w:noProof/>
              </w:rPr>
              <w:t>Expected progress towards the Goal</w:t>
            </w:r>
          </w:p>
        </w:tc>
      </w:tr>
      <w:tr w:rsidR="0067165B" w:rsidRPr="00F261DB" w14:paraId="15AE72B9" w14:textId="77777777" w:rsidTr="00110357">
        <w:trPr>
          <w:trHeight w:val="300"/>
        </w:trPr>
        <w:tc>
          <w:tcPr>
            <w:tcW w:w="910" w:type="pct"/>
            <w:tcBorders>
              <w:top w:val="double" w:sz="4" w:space="0" w:color="auto"/>
              <w:bottom w:val="single" w:sz="4" w:space="0" w:color="auto"/>
            </w:tcBorders>
          </w:tcPr>
          <w:p w14:paraId="5C9BABB7" w14:textId="77777777" w:rsidR="00020031" w:rsidRPr="00F261DB" w:rsidRDefault="00020031">
            <w:pPr>
              <w:rPr>
                <w:rFonts w:eastAsia="Aptos"/>
                <w:noProof/>
              </w:rPr>
            </w:pPr>
            <w:r w:rsidRPr="00F261DB">
              <w:rPr>
                <w:noProof/>
              </w:rPr>
              <w:t>DG #7 Affordable and clean energy, SDG #13 Climate action</w:t>
            </w:r>
          </w:p>
        </w:tc>
        <w:tc>
          <w:tcPr>
            <w:tcW w:w="4090" w:type="pct"/>
            <w:tcBorders>
              <w:top w:val="double" w:sz="4" w:space="0" w:color="auto"/>
              <w:bottom w:val="single" w:sz="4" w:space="0" w:color="auto"/>
            </w:tcBorders>
            <w:tcMar>
              <w:top w:w="57" w:type="dxa"/>
              <w:left w:w="57" w:type="dxa"/>
              <w:bottom w:w="57" w:type="dxa"/>
              <w:right w:w="57" w:type="dxa"/>
            </w:tcMar>
          </w:tcPr>
          <w:p w14:paraId="5B17775E" w14:textId="77777777" w:rsidR="00020031" w:rsidRPr="00F261DB" w:rsidRDefault="00020031">
            <w:pPr>
              <w:rPr>
                <w:rFonts w:eastAsia="Aptos"/>
                <w:noProof/>
              </w:rPr>
            </w:pPr>
            <w:r w:rsidRPr="00F261DB">
              <w:rPr>
                <w:noProof/>
              </w:rPr>
              <w:t>The creation of lead markets for EU solar manufacturing will enable the local development of clean and affordable energy. Similarly, ensuring demand for low-carbon, EU-made EIIs industrial products—including through the creation of a label for steel and content requirements—will result in reductions in carbon emissions from the most hard-to abate sectors.</w:t>
            </w:r>
          </w:p>
        </w:tc>
      </w:tr>
      <w:tr w:rsidR="00A96790" w:rsidRPr="00F261DB" w14:paraId="2308815F" w14:textId="77777777" w:rsidTr="00110357">
        <w:trPr>
          <w:trHeight w:val="300"/>
        </w:trPr>
        <w:tc>
          <w:tcPr>
            <w:tcW w:w="910" w:type="pct"/>
            <w:tcBorders>
              <w:top w:val="single" w:sz="4" w:space="0" w:color="auto"/>
              <w:bottom w:val="single" w:sz="4" w:space="0" w:color="auto"/>
            </w:tcBorders>
          </w:tcPr>
          <w:p w14:paraId="6073D555" w14:textId="77777777" w:rsidR="00020031" w:rsidRPr="00F261DB" w:rsidRDefault="00020031">
            <w:pPr>
              <w:rPr>
                <w:rFonts w:eastAsia="Aptos"/>
                <w:noProof/>
              </w:rPr>
            </w:pPr>
            <w:r w:rsidRPr="00F261DB">
              <w:rPr>
                <w:noProof/>
              </w:rPr>
              <w:t>SDG #8 Decent work and economic growth</w:t>
            </w:r>
          </w:p>
        </w:tc>
        <w:tc>
          <w:tcPr>
            <w:tcW w:w="4090" w:type="pct"/>
            <w:tcBorders>
              <w:top w:val="single" w:sz="4" w:space="0" w:color="auto"/>
              <w:bottom w:val="single" w:sz="4" w:space="0" w:color="auto"/>
            </w:tcBorders>
            <w:tcMar>
              <w:top w:w="57" w:type="dxa"/>
              <w:left w:w="57" w:type="dxa"/>
              <w:bottom w:w="57" w:type="dxa"/>
              <w:right w:w="57" w:type="dxa"/>
            </w:tcMar>
          </w:tcPr>
          <w:p w14:paraId="56CC0B93" w14:textId="273DDE7A" w:rsidR="00020031" w:rsidRPr="00F261DB" w:rsidRDefault="00020031">
            <w:pPr>
              <w:rPr>
                <w:rFonts w:eastAsia="Aptos"/>
                <w:noProof/>
              </w:rPr>
            </w:pPr>
            <w:r w:rsidRPr="00F261DB">
              <w:rPr>
                <w:noProof/>
              </w:rPr>
              <w:t xml:space="preserve">The implementation of </w:t>
            </w:r>
            <w:r w:rsidR="00646A42" w:rsidRPr="00F261DB">
              <w:rPr>
                <w:noProof/>
              </w:rPr>
              <w:t>IAA</w:t>
            </w:r>
            <w:r w:rsidRPr="00F261DB">
              <w:rPr>
                <w:noProof/>
              </w:rPr>
              <w:t xml:space="preserve"> is expected to have a positive impact on employment, reskilling, and upskilling—particularly in EII industrial regions, as well as in solar, battery, and automotive parts manufacturing. This will also generate positive effects on the specific downstream sectors targeted by </w:t>
            </w:r>
            <w:r w:rsidR="00646A42" w:rsidRPr="00F261DB">
              <w:rPr>
                <w:noProof/>
              </w:rPr>
              <w:t>IAA</w:t>
            </w:r>
            <w:r w:rsidRPr="00F261DB">
              <w:rPr>
                <w:noProof/>
              </w:rPr>
              <w:t xml:space="preserve"> and, by extension, across the entire value chain.</w:t>
            </w:r>
          </w:p>
        </w:tc>
      </w:tr>
      <w:tr w:rsidR="00A96790" w:rsidRPr="00F261DB" w14:paraId="20AF42A1" w14:textId="77777777" w:rsidTr="00110357">
        <w:trPr>
          <w:trHeight w:val="300"/>
        </w:trPr>
        <w:tc>
          <w:tcPr>
            <w:tcW w:w="910" w:type="pct"/>
            <w:tcBorders>
              <w:top w:val="single" w:sz="4" w:space="0" w:color="auto"/>
            </w:tcBorders>
          </w:tcPr>
          <w:p w14:paraId="1857D814" w14:textId="77777777" w:rsidR="00020031" w:rsidRPr="00F261DB" w:rsidRDefault="00020031">
            <w:pPr>
              <w:rPr>
                <w:rFonts w:eastAsia="Aptos"/>
                <w:noProof/>
              </w:rPr>
            </w:pPr>
            <w:r w:rsidRPr="00F261DB">
              <w:rPr>
                <w:noProof/>
              </w:rPr>
              <w:t>SDG #9 Industry, innovation and infrastructure</w:t>
            </w:r>
          </w:p>
        </w:tc>
        <w:tc>
          <w:tcPr>
            <w:tcW w:w="4090" w:type="pct"/>
            <w:tcBorders>
              <w:top w:val="single" w:sz="4" w:space="0" w:color="auto"/>
            </w:tcBorders>
            <w:tcMar>
              <w:top w:w="57" w:type="dxa"/>
              <w:left w:w="57" w:type="dxa"/>
              <w:bottom w:w="57" w:type="dxa"/>
              <w:right w:w="57" w:type="dxa"/>
            </w:tcMar>
          </w:tcPr>
          <w:p w14:paraId="7D094470" w14:textId="77777777" w:rsidR="00020031" w:rsidRPr="00F261DB" w:rsidRDefault="00020031">
            <w:pPr>
              <w:rPr>
                <w:rFonts w:eastAsia="Aptos"/>
                <w:noProof/>
              </w:rPr>
            </w:pPr>
            <w:r w:rsidRPr="00F261DB">
              <w:rPr>
                <w:noProof/>
              </w:rPr>
              <w:t>The proposal is expected to strengthen EU industrial resilience by increasing demand for EU industrial products, supporting investment in decarbonisation through the identification of industrial decarbonisation priority projects and foreign direct investment conditionalities, and ensuring faster decarbonisation processes by speeding up and facilitating permitting procedures.</w:t>
            </w:r>
          </w:p>
        </w:tc>
      </w:tr>
    </w:tbl>
    <w:p w14:paraId="7E9BD6BA" w14:textId="77777777" w:rsidR="00020031" w:rsidRPr="00F261DB" w:rsidRDefault="00020031">
      <w:pPr>
        <w:rPr>
          <w:noProof/>
        </w:rPr>
      </w:pPr>
    </w:p>
    <w:p w14:paraId="3B899F46" w14:textId="77777777" w:rsidR="00020031" w:rsidRPr="00F261DB" w:rsidRDefault="00020031">
      <w:pPr>
        <w:rPr>
          <w:rFonts w:eastAsia="Aptos"/>
          <w:noProof/>
        </w:rPr>
        <w:sectPr w:rsidR="00020031" w:rsidRPr="00F261DB" w:rsidSect="00020031">
          <w:headerReference w:type="even" r:id="rId54"/>
          <w:headerReference w:type="default" r:id="rId55"/>
          <w:footerReference w:type="default" r:id="rId56"/>
          <w:headerReference w:type="first" r:id="rId57"/>
          <w:footerReference w:type="first" r:id="rId58"/>
          <w:type w:val="evenPage"/>
          <w:pgSz w:w="16838" w:h="11906" w:orient="landscape"/>
          <w:pgMar w:top="1587" w:right="1020" w:bottom="707" w:left="1020" w:header="601" w:footer="1077" w:gutter="0"/>
          <w:cols w:space="720"/>
          <w:titlePg/>
          <w:docGrid w:linePitch="326"/>
        </w:sectPr>
      </w:pPr>
    </w:p>
    <w:p w14:paraId="29B00417" w14:textId="52911854" w:rsidR="00020031" w:rsidRPr="00F261DB" w:rsidRDefault="00020031" w:rsidP="00A11E4D">
      <w:pPr>
        <w:pStyle w:val="Heading1"/>
        <w:numPr>
          <w:ilvl w:val="0"/>
          <w:numId w:val="0"/>
        </w:numPr>
        <w:spacing w:before="0" w:after="0"/>
        <w:rPr>
          <w:rFonts w:ascii="Times" w:hAnsi="Times" w:cs="Times"/>
          <w:b/>
          <w:noProof/>
          <w:color w:val="auto"/>
          <w:sz w:val="28"/>
          <w:szCs w:val="28"/>
        </w:rPr>
      </w:pPr>
      <w:bookmarkStart w:id="217" w:name="_Toc195528730"/>
      <w:bookmarkStart w:id="218" w:name="_Toc207192547"/>
      <w:bookmarkStart w:id="219" w:name="_Toc222159320"/>
      <w:bookmarkStart w:id="220" w:name="_Toc222490013"/>
      <w:r w:rsidRPr="00F261DB">
        <w:rPr>
          <w:rFonts w:ascii="Times" w:hAnsi="Times" w:cs="Times"/>
          <w:b/>
          <w:noProof/>
          <w:color w:val="auto"/>
          <w:sz w:val="28"/>
          <w:szCs w:val="28"/>
        </w:rPr>
        <w:lastRenderedPageBreak/>
        <w:t>Annex 4: Analytical method</w:t>
      </w:r>
      <w:bookmarkEnd w:id="217"/>
      <w:bookmarkEnd w:id="218"/>
      <w:bookmarkEnd w:id="219"/>
      <w:bookmarkEnd w:id="220"/>
    </w:p>
    <w:p w14:paraId="399F6BBB" w14:textId="0D15533F" w:rsidR="007A25E0" w:rsidRPr="00557AFD" w:rsidRDefault="007A25E0" w:rsidP="00D614EB">
      <w:pPr>
        <w:pStyle w:val="ListParagraph"/>
        <w:keepNext/>
        <w:keepLines/>
        <w:numPr>
          <w:ilvl w:val="0"/>
          <w:numId w:val="157"/>
        </w:numPr>
        <w:spacing w:before="360" w:after="80"/>
        <w:outlineLvl w:val="0"/>
        <w:rPr>
          <w:rFonts w:eastAsia="Yu Gothic Light"/>
          <w:b/>
          <w:noProof/>
        </w:rPr>
      </w:pPr>
      <w:bookmarkStart w:id="221" w:name="_Toc212728800"/>
      <w:bookmarkStart w:id="222" w:name="_Toc212729074"/>
      <w:bookmarkStart w:id="223" w:name="_Toc212729326"/>
      <w:bookmarkStart w:id="224" w:name="_Toc215506270"/>
      <w:bookmarkStart w:id="225" w:name="_Toc222159321"/>
      <w:bookmarkStart w:id="226" w:name="_Toc222489525"/>
      <w:bookmarkStart w:id="227" w:name="_Toc222490014"/>
      <w:r w:rsidRPr="00557AFD">
        <w:rPr>
          <w:rFonts w:eastAsia="Yu Gothic Light"/>
          <w:b/>
          <w:noProof/>
        </w:rPr>
        <w:t>Models</w:t>
      </w:r>
      <w:r w:rsidRPr="00557AFD" w:rsidDel="002D3172">
        <w:rPr>
          <w:rFonts w:eastAsia="Yu Gothic Light"/>
          <w:b/>
          <w:noProof/>
        </w:rPr>
        <w:t xml:space="preserve"> </w:t>
      </w:r>
      <w:r w:rsidRPr="00557AFD">
        <w:rPr>
          <w:rFonts w:eastAsia="Yu Gothic Light"/>
          <w:b/>
          <w:noProof/>
        </w:rPr>
        <w:t>used</w:t>
      </w:r>
      <w:bookmarkEnd w:id="221"/>
      <w:bookmarkEnd w:id="222"/>
      <w:bookmarkEnd w:id="223"/>
      <w:bookmarkEnd w:id="224"/>
      <w:bookmarkEnd w:id="225"/>
      <w:bookmarkEnd w:id="226"/>
      <w:bookmarkEnd w:id="227"/>
    </w:p>
    <w:p w14:paraId="576CABC5" w14:textId="77777777" w:rsidR="002D3172" w:rsidRPr="00F261DB" w:rsidRDefault="00020031" w:rsidP="007F2F45">
      <w:pPr>
        <w:spacing w:after="120"/>
        <w:rPr>
          <w:rFonts w:eastAsia="Aptos"/>
          <w:noProof/>
        </w:rPr>
      </w:pPr>
      <w:r w:rsidRPr="00F261DB">
        <w:rPr>
          <w:rFonts w:eastAsia="Aptos"/>
          <w:noProof/>
        </w:rPr>
        <w:t xml:space="preserve">The analysis contained in this Impact Assessment builds on data collected from desk research (academic studies, economic reports, media items, input from stakeholder outreach activities) and Commission officials’ expert knowledge. </w:t>
      </w:r>
    </w:p>
    <w:p w14:paraId="41949D8C" w14:textId="6BB2B8F0" w:rsidR="00E50903" w:rsidRPr="00FF63D1" w:rsidRDefault="00020031" w:rsidP="002E4F87">
      <w:pPr>
        <w:spacing w:after="120"/>
        <w:rPr>
          <w:rFonts w:eastAsia="Aptos"/>
          <w:noProof/>
        </w:rPr>
      </w:pPr>
      <w:r w:rsidRPr="00F261DB">
        <w:rPr>
          <w:rFonts w:eastAsia="Aptos"/>
          <w:noProof/>
        </w:rPr>
        <w:t xml:space="preserve">In addition, the analytical framework used for some parts of this impact assessment builds on </w:t>
      </w:r>
      <w:r w:rsidRPr="00F261DB">
        <w:rPr>
          <w:rFonts w:eastAsia="Aptos"/>
          <w:b/>
          <w:noProof/>
        </w:rPr>
        <w:t>CARMEN</w:t>
      </w:r>
      <w:r w:rsidRPr="00F261DB">
        <w:rPr>
          <w:rFonts w:eastAsia="Aptos"/>
          <w:noProof/>
        </w:rPr>
        <w:t>,</w:t>
      </w:r>
      <w:r w:rsidRPr="00F261DB">
        <w:rPr>
          <w:rFonts w:eastAsia="Aptos"/>
          <w:b/>
          <w:noProof/>
        </w:rPr>
        <w:t xml:space="preserve"> FIGARO</w:t>
      </w:r>
      <w:r w:rsidR="002E3967" w:rsidRPr="00F261DB">
        <w:rPr>
          <w:rFonts w:eastAsia="Aptos"/>
          <w:b/>
          <w:noProof/>
        </w:rPr>
        <w:t>,</w:t>
      </w:r>
      <w:r w:rsidRPr="00F261DB">
        <w:rPr>
          <w:rFonts w:eastAsia="Aptos"/>
          <w:b/>
          <w:noProof/>
        </w:rPr>
        <w:t xml:space="preserve"> FIDELIO</w:t>
      </w:r>
      <w:r w:rsidR="00170198" w:rsidRPr="00F261DB">
        <w:rPr>
          <w:rFonts w:eastAsia="Aptos"/>
          <w:b/>
          <w:noProof/>
        </w:rPr>
        <w:t xml:space="preserve">, </w:t>
      </w:r>
      <w:r w:rsidR="002E3967" w:rsidRPr="00F261DB">
        <w:rPr>
          <w:rFonts w:eastAsia="Aptos"/>
          <w:b/>
          <w:noProof/>
        </w:rPr>
        <w:t>SMILE EU</w:t>
      </w:r>
      <w:r w:rsidR="00170198" w:rsidRPr="00F261DB">
        <w:rPr>
          <w:rFonts w:eastAsia="Aptos"/>
          <w:b/>
          <w:noProof/>
        </w:rPr>
        <w:t>, and SCAN</w:t>
      </w:r>
      <w:r w:rsidRPr="00F261DB">
        <w:rPr>
          <w:rFonts w:eastAsia="Aptos"/>
          <w:noProof/>
        </w:rPr>
        <w:t>. Information has been analysed against the main problems identified for the purpose of this initiative, the problem drivers as well as stakeholder positions. Whenever possible, the Impact Assessment provides a quantitative analysis of benefits and costs relating to the main economic, environmental and social impacts. The cost/benefit analysis, however, is not fully comprehensive due to data gaps, notably related to the short time available to request and collect information beyond questions identified early on in the call for evidence and the public consultation The views of stakeholders are transparently reflected in the Impact Assessment.</w:t>
      </w:r>
    </w:p>
    <w:p w14:paraId="776C2EB8" w14:textId="2559F6DC" w:rsidR="006B2C40" w:rsidRPr="00C0596A" w:rsidRDefault="006B2C40" w:rsidP="005757F9">
      <w:pPr>
        <w:pStyle w:val="ListParagraph"/>
        <w:keepNext/>
        <w:keepLines/>
        <w:numPr>
          <w:ilvl w:val="1"/>
          <w:numId w:val="157"/>
        </w:numPr>
        <w:spacing w:before="360" w:after="80"/>
        <w:outlineLvl w:val="0"/>
        <w:rPr>
          <w:rFonts w:eastAsia="Yu Gothic Light"/>
          <w:b/>
          <w:noProof/>
        </w:rPr>
      </w:pPr>
      <w:bookmarkStart w:id="228" w:name="_Toc212728801"/>
      <w:bookmarkStart w:id="229" w:name="_Toc212729075"/>
      <w:bookmarkStart w:id="230" w:name="_Toc212729327"/>
      <w:bookmarkStart w:id="231" w:name="_Toc215506271"/>
      <w:bookmarkStart w:id="232" w:name="_Toc222159322"/>
      <w:bookmarkStart w:id="233" w:name="_Toc222489526"/>
      <w:bookmarkStart w:id="234" w:name="_Toc222490015"/>
      <w:r w:rsidRPr="00C0596A">
        <w:rPr>
          <w:rFonts w:eastAsia="Yu Gothic Light"/>
          <w:b/>
          <w:noProof/>
        </w:rPr>
        <w:t>CARMEN</w:t>
      </w:r>
      <w:bookmarkEnd w:id="228"/>
      <w:bookmarkEnd w:id="229"/>
      <w:bookmarkEnd w:id="230"/>
      <w:bookmarkEnd w:id="231"/>
      <w:bookmarkEnd w:id="232"/>
      <w:bookmarkEnd w:id="233"/>
      <w:bookmarkEnd w:id="234"/>
    </w:p>
    <w:p w14:paraId="01DA1D57" w14:textId="374EA2B1" w:rsidR="00020031" w:rsidRPr="00E71388" w:rsidRDefault="00020031" w:rsidP="00C0596A">
      <w:pPr>
        <w:spacing w:after="120"/>
        <w:rPr>
          <w:rFonts w:cs="Times New Roman"/>
          <w:b/>
          <w:noProof/>
          <w:szCs w:val="24"/>
          <w:lang w:val="en-IE"/>
        </w:rPr>
      </w:pPr>
      <w:hyperlink r:id="rId59">
        <w:r w:rsidRPr="00F261DB">
          <w:rPr>
            <w:rStyle w:val="Hyperlink"/>
            <w:rFonts w:cs="Times New Roman"/>
            <w:b/>
            <w:noProof/>
            <w:szCs w:val="24"/>
          </w:rPr>
          <w:t>CARMEN</w:t>
        </w:r>
      </w:hyperlink>
      <w:r w:rsidRPr="00F261DB">
        <w:rPr>
          <w:rFonts w:cs="Times New Roman"/>
          <w:b/>
          <w:noProof/>
          <w:szCs w:val="24"/>
        </w:rPr>
        <w:t xml:space="preserve"> </w:t>
      </w:r>
      <w:r w:rsidR="002B7B4A" w:rsidRPr="00E71388">
        <w:rPr>
          <w:rFonts w:cs="Times New Roman"/>
          <w:b/>
          <w:noProof/>
          <w:szCs w:val="24"/>
          <w:lang w:val="en-IE"/>
        </w:rPr>
        <w:t xml:space="preserve">(Computable Analysis of the Regional Multipliers of the European economy) </w:t>
      </w:r>
      <w:r w:rsidRPr="00E71388">
        <w:rPr>
          <w:rFonts w:cs="Times New Roman"/>
          <w:noProof/>
          <w:szCs w:val="24"/>
          <w:lang w:val="en-IE"/>
        </w:rPr>
        <w:t xml:space="preserve">is a model developed by the European Commission’s JRC that allows for a wide range of policy relevant impact analyses at territorial and industry level. CARMEN is developed in a modular approach allowing, for the first time, to cluster groups of regions (e.g. regions with a significant share of high-tech component in their economy) throughout the EU and assessing the impacts of investments both in the regions inside and outside the cluster. CARMEN was used to evaluate the competitiveness gain of increased EU global market shares (e.g., 1%) in energy intensive industries. </w:t>
      </w:r>
    </w:p>
    <w:p w14:paraId="4DC5EAEE" w14:textId="77777777" w:rsidR="00020031" w:rsidRPr="00F261DB" w:rsidRDefault="00020031" w:rsidP="00C0596A">
      <w:pPr>
        <w:spacing w:after="120"/>
        <w:rPr>
          <w:rFonts w:cs="Times New Roman"/>
          <w:noProof/>
          <w:szCs w:val="24"/>
        </w:rPr>
      </w:pPr>
      <w:r w:rsidRPr="00F261DB">
        <w:rPr>
          <w:rFonts w:cs="Times New Roman"/>
          <w:noProof/>
          <w:szCs w:val="24"/>
        </w:rPr>
        <w:t>We have identified eight clusters, one for each EII by selecting the top 60 EU NUTS2 regions in terms of their total industry output. The EIIs cluster comprises the following industries: paper and paper products; coke and refined petroleum products; chemicals and chemical products; other non-metallic mineral products; cement (subset of other non-metallic products); basic metals; steel (subset of basic metals); aluminium (subset of basic metals).</w:t>
      </w:r>
    </w:p>
    <w:p w14:paraId="3CD27ECF" w14:textId="77777777" w:rsidR="00020031" w:rsidRPr="00F261DB" w:rsidRDefault="404A2814" w:rsidP="00C0596A">
      <w:pPr>
        <w:spacing w:after="120"/>
        <w:rPr>
          <w:rFonts w:cs="Times New Roman"/>
          <w:b/>
          <w:noProof/>
          <w:szCs w:val="24"/>
        </w:rPr>
      </w:pPr>
      <w:r w:rsidRPr="1A2A8689">
        <w:rPr>
          <w:rFonts w:cs="Times New Roman"/>
          <w:noProof/>
        </w:rPr>
        <w:t>CARMEN</w:t>
      </w:r>
      <w:r w:rsidR="00020031" w:rsidRPr="1A2A8689">
        <w:rPr>
          <w:rStyle w:val="FootnoteReference"/>
          <w:rFonts w:cs="Times New Roman"/>
          <w:noProof/>
        </w:rPr>
        <w:footnoteReference w:id="254"/>
      </w:r>
      <w:r w:rsidRPr="1A2A8689">
        <w:rPr>
          <w:rFonts w:cs="Times New Roman"/>
          <w:noProof/>
        </w:rPr>
        <w:t>’s capability is to evaluate the short-term economic effects of external shocks, delivering outcomes with detailed insights by industry and specific regions.</w:t>
      </w:r>
    </w:p>
    <w:p w14:paraId="72579693" w14:textId="28FD087E" w:rsidR="00020031" w:rsidRPr="00F261DB" w:rsidRDefault="00020031" w:rsidP="00C0596A">
      <w:pPr>
        <w:spacing w:after="120"/>
        <w:rPr>
          <w:rFonts w:cs="Times New Roman"/>
          <w:noProof/>
          <w:szCs w:val="24"/>
        </w:rPr>
      </w:pPr>
      <w:r w:rsidRPr="00F261DB">
        <w:rPr>
          <w:rFonts w:cs="Times New Roman"/>
          <w:noProof/>
          <w:szCs w:val="24"/>
        </w:rPr>
        <w:t xml:space="preserve">CARMEN’s main input is the </w:t>
      </w:r>
      <w:hyperlink r:id="rId60" w:history="1">
        <w:r w:rsidRPr="00F261DB">
          <w:rPr>
            <w:rStyle w:val="Hyperlink"/>
            <w:rFonts w:cs="Times New Roman"/>
            <w:noProof/>
            <w:szCs w:val="24"/>
          </w:rPr>
          <w:t>FIGARO-REG</w:t>
        </w:r>
      </w:hyperlink>
      <w:r w:rsidRPr="00F261DB">
        <w:rPr>
          <w:rFonts w:cs="Times New Roman"/>
          <w:noProof/>
          <w:szCs w:val="24"/>
        </w:rPr>
        <w:t xml:space="preserve"> Multi-regional Input-Output (MRIO) table, a comprehensive economic database that covers 240 EU regions (NUTS2), 48 non-EU regions (Norway and United Kingdom), and 16 main non-EU trading actors, with data for 56 industries (Garcia Rodriguez et al., 2023).</w:t>
      </w:r>
    </w:p>
    <w:p w14:paraId="25387B44" w14:textId="77777777" w:rsidR="00020031" w:rsidRPr="00F261DB" w:rsidRDefault="404A2814" w:rsidP="00C0596A">
      <w:pPr>
        <w:spacing w:after="120"/>
        <w:rPr>
          <w:rFonts w:cs="Times New Roman"/>
          <w:noProof/>
          <w:szCs w:val="24"/>
        </w:rPr>
      </w:pPr>
      <w:r w:rsidRPr="1A2A8689">
        <w:rPr>
          <w:rFonts w:cs="Times New Roman"/>
          <w:noProof/>
        </w:rPr>
        <w:t>The FIGARO-REG tables encompass a complete description of all bilateral trade flows between the above mentioned 288 regions, for intermediate and final uses, as well as with other non-EU countries. This allows to measure the gross value added (GVA</w:t>
      </w:r>
      <w:r w:rsidR="00020031" w:rsidRPr="1A2A8689">
        <w:rPr>
          <w:rFonts w:cs="Times New Roman"/>
          <w:noProof/>
          <w:vertAlign w:val="superscript"/>
        </w:rPr>
        <w:footnoteReference w:id="255"/>
      </w:r>
      <w:r w:rsidRPr="1A2A8689">
        <w:rPr>
          <w:rFonts w:cs="Times New Roman"/>
          <w:noProof/>
        </w:rPr>
        <w:t>) embodied in exports or in the final demand of specific products by NUT2 region. As such, it enables an understanding of the potential impact that economic shocks may have on activities in different regions. Therefore, the findings of this study here should be interpreted as a detailed snapshot of trade in terms of value added, rather than as an analysis of the effects of policy shocks on GVA.</w:t>
      </w:r>
    </w:p>
    <w:p w14:paraId="370F8A80" w14:textId="1FB31EB6" w:rsidR="00E35A02" w:rsidRPr="00FF63D1" w:rsidRDefault="00020031" w:rsidP="00C0596A">
      <w:pPr>
        <w:spacing w:after="120"/>
        <w:rPr>
          <w:rFonts w:cs="Times New Roman"/>
          <w:noProof/>
          <w:szCs w:val="24"/>
        </w:rPr>
      </w:pPr>
      <w:r w:rsidRPr="00F261DB">
        <w:rPr>
          <w:rFonts w:cs="Times New Roman"/>
          <w:noProof/>
          <w:szCs w:val="24"/>
        </w:rPr>
        <w:t xml:space="preserve">Output multipliers measure the total change in production resulting from a one-unit change in the final use of a specific product. In this exercise, we calculated GVA multipliers as shown in </w:t>
      </w:r>
      <w:hyperlink r:id="rId61">
        <w:r w:rsidRPr="00F261DB">
          <w:rPr>
            <w:rFonts w:cs="Times New Roman"/>
            <w:noProof/>
            <w:szCs w:val="24"/>
          </w:rPr>
          <w:t>Miller and Blair (2022)</w:t>
        </w:r>
      </w:hyperlink>
      <w:r w:rsidRPr="00F261DB">
        <w:rPr>
          <w:rFonts w:cs="Times New Roman"/>
          <w:noProof/>
          <w:szCs w:val="24"/>
        </w:rPr>
        <w:t xml:space="preserve"> to estimate intraregional (i.e.</w:t>
      </w:r>
      <w:r w:rsidRPr="00F261DB" w:rsidDel="00F47FD4">
        <w:rPr>
          <w:rFonts w:cs="Times New Roman"/>
          <w:noProof/>
          <w:szCs w:val="24"/>
        </w:rPr>
        <w:t xml:space="preserve"> </w:t>
      </w:r>
      <w:r w:rsidRPr="00F261DB">
        <w:rPr>
          <w:rFonts w:cs="Times New Roman"/>
          <w:noProof/>
          <w:szCs w:val="24"/>
        </w:rPr>
        <w:t>regional value added generated within the energy-</w:t>
      </w:r>
      <w:r w:rsidRPr="00F261DB">
        <w:rPr>
          <w:rFonts w:cs="Times New Roman"/>
          <w:noProof/>
          <w:szCs w:val="24"/>
        </w:rPr>
        <w:lastRenderedPageBreak/>
        <w:t>intensive industries cluster); interregional (i.e. regional value added generated by the interactions of the EIIs cluster</w:t>
      </w:r>
      <w:r w:rsidRPr="00F261DB" w:rsidDel="006E65E1">
        <w:rPr>
          <w:rFonts w:cs="Times New Roman"/>
          <w:noProof/>
          <w:szCs w:val="24"/>
        </w:rPr>
        <w:t xml:space="preserve"> </w:t>
      </w:r>
      <w:r w:rsidRPr="00F261DB">
        <w:rPr>
          <w:rFonts w:cs="Times New Roman"/>
          <w:noProof/>
          <w:szCs w:val="24"/>
        </w:rPr>
        <w:t xml:space="preserve">with all non-energy-intensive industries outside the cluster) and feedback (i.e. value added generated by the interactions between non-energy-intensive industries outside the cluster) effects. </w:t>
      </w:r>
    </w:p>
    <w:p w14:paraId="2EEEF8A0" w14:textId="2C2715E9" w:rsidR="00E35A02" w:rsidRPr="00C0596A" w:rsidRDefault="00E35A02" w:rsidP="005757F9">
      <w:pPr>
        <w:pStyle w:val="ListParagraph"/>
        <w:keepNext/>
        <w:keepLines/>
        <w:numPr>
          <w:ilvl w:val="1"/>
          <w:numId w:val="157"/>
        </w:numPr>
        <w:spacing w:before="360" w:after="80"/>
        <w:outlineLvl w:val="0"/>
        <w:rPr>
          <w:rFonts w:eastAsia="Yu Gothic Light"/>
          <w:b/>
          <w:noProof/>
        </w:rPr>
      </w:pPr>
      <w:bookmarkStart w:id="235" w:name="_Toc212728802"/>
      <w:bookmarkStart w:id="236" w:name="_Toc212729076"/>
      <w:bookmarkStart w:id="237" w:name="_Toc212729328"/>
      <w:bookmarkStart w:id="238" w:name="_Toc215506272"/>
      <w:bookmarkStart w:id="239" w:name="_Toc222159323"/>
      <w:bookmarkStart w:id="240" w:name="_Toc222489527"/>
      <w:bookmarkStart w:id="241" w:name="_Toc222490016"/>
      <w:bookmarkStart w:id="242" w:name="_Hlk218937717"/>
      <w:r w:rsidRPr="00C0596A">
        <w:rPr>
          <w:rFonts w:eastAsia="Yu Gothic Light"/>
          <w:b/>
          <w:noProof/>
        </w:rPr>
        <w:t>FIDELIO</w:t>
      </w:r>
      <w:bookmarkEnd w:id="235"/>
      <w:bookmarkEnd w:id="236"/>
      <w:bookmarkEnd w:id="237"/>
      <w:bookmarkEnd w:id="238"/>
      <w:bookmarkEnd w:id="239"/>
      <w:bookmarkEnd w:id="240"/>
      <w:bookmarkEnd w:id="241"/>
    </w:p>
    <w:p w14:paraId="0D8BAD89" w14:textId="77777777" w:rsidR="00020031" w:rsidRPr="00F261DB" w:rsidRDefault="00020031" w:rsidP="00FC7AB2">
      <w:pPr>
        <w:spacing w:after="120"/>
        <w:rPr>
          <w:rFonts w:cs="Times New Roman"/>
          <w:b/>
          <w:noProof/>
          <w:szCs w:val="24"/>
        </w:rPr>
      </w:pPr>
      <w:r w:rsidRPr="00F261DB">
        <w:rPr>
          <w:rFonts w:cs="Times New Roman"/>
          <w:b/>
          <w:noProof/>
          <w:szCs w:val="24"/>
        </w:rPr>
        <w:t>JRC contribution with the FIDELIO (Full Interregional Dynamic Econometric Long-term Input-Output) model</w:t>
      </w:r>
    </w:p>
    <w:p w14:paraId="428D1D8A" w14:textId="43ABF5AB" w:rsidR="00020031" w:rsidRPr="00F261DB" w:rsidRDefault="404A2814" w:rsidP="00FC7AB2">
      <w:pPr>
        <w:spacing w:after="120"/>
        <w:rPr>
          <w:rFonts w:eastAsia="Calibri" w:cs="Times New Roman"/>
          <w:noProof/>
          <w:szCs w:val="24"/>
        </w:rPr>
      </w:pPr>
      <w:hyperlink r:id="rId62">
        <w:r w:rsidRPr="1A2A8689">
          <w:rPr>
            <w:rStyle w:val="Hyperlink"/>
            <w:rFonts w:eastAsia="Calibri" w:cs="Times New Roman"/>
            <w:noProof/>
          </w:rPr>
          <w:t>FIDELIO</w:t>
        </w:r>
      </w:hyperlink>
      <w:r w:rsidRPr="1A2A8689">
        <w:rPr>
          <w:rFonts w:eastAsia="Calibri" w:cs="Times New Roman"/>
          <w:noProof/>
        </w:rPr>
        <w:t xml:space="preserve"> stands for Fully Interregional Dynamic Econometric Long-term Input-Output model. It is a dynamic general equilibrium model developed by the</w:t>
      </w:r>
      <w:r w:rsidR="00D35DD6">
        <w:rPr>
          <w:rFonts w:eastAsia="Calibri" w:cs="Times New Roman"/>
          <w:noProof/>
        </w:rPr>
        <w:t xml:space="preserve"> </w:t>
      </w:r>
      <w:r w:rsidR="00052841">
        <w:rPr>
          <w:rFonts w:eastAsia="Calibri" w:cs="Times New Roman"/>
          <w:noProof/>
        </w:rPr>
        <w:t xml:space="preserve">JRC </w:t>
      </w:r>
      <w:r w:rsidRPr="1A2A8689">
        <w:rPr>
          <w:rFonts w:eastAsia="Calibri" w:cs="Times New Roman"/>
          <w:noProof/>
        </w:rPr>
        <w:t xml:space="preserve">that has been used in this Impact Assessment to model the economic and competitiveness impacts of introducing </w:t>
      </w:r>
      <w:r w:rsidR="00B267DD" w:rsidRPr="0022778F">
        <w:rPr>
          <w:rFonts w:eastAsia="Calibri" w:cs="Times New Roman"/>
          <w:noProof/>
        </w:rPr>
        <w:t>Low-carbon and</w:t>
      </w:r>
      <w:r w:rsidR="00B267DD">
        <w:rPr>
          <w:rFonts w:eastAsia="Calibri" w:cs="Times New Roman"/>
          <w:noProof/>
        </w:rPr>
        <w:t xml:space="preserve"> </w:t>
      </w:r>
      <w:r w:rsidR="2EAEC862" w:rsidRPr="1A2A8689">
        <w:rPr>
          <w:rFonts w:eastAsia="Calibri" w:cs="Times New Roman"/>
          <w:noProof/>
        </w:rPr>
        <w:t>Made in EU</w:t>
      </w:r>
      <w:r w:rsidRPr="1A2A8689">
        <w:rPr>
          <w:rFonts w:eastAsia="Calibri" w:cs="Times New Roman"/>
          <w:noProof/>
        </w:rPr>
        <w:t xml:space="preserve"> requirements for steel</w:t>
      </w:r>
      <w:r w:rsidR="00052841">
        <w:rPr>
          <w:rFonts w:eastAsia="Calibri" w:cs="Times New Roman"/>
          <w:noProof/>
        </w:rPr>
        <w:t>, cement</w:t>
      </w:r>
      <w:r w:rsidRPr="1A2A8689">
        <w:rPr>
          <w:rFonts w:eastAsia="Calibri" w:cs="Times New Roman"/>
          <w:noProof/>
        </w:rPr>
        <w:t xml:space="preserve"> and aluminium in the construction</w:t>
      </w:r>
      <w:r w:rsidR="00184B56">
        <w:rPr>
          <w:rFonts w:eastAsia="Calibri" w:cs="Times New Roman"/>
          <w:noProof/>
        </w:rPr>
        <w:t xml:space="preserve"> </w:t>
      </w:r>
      <w:r w:rsidRPr="1A2A8689">
        <w:rPr>
          <w:rFonts w:eastAsia="Calibri" w:cs="Times New Roman"/>
          <w:noProof/>
        </w:rPr>
        <w:t>and automotive industries in the EU</w:t>
      </w:r>
      <w:r w:rsidR="4BD4D6F4" w:rsidRPr="1A2A8689">
        <w:rPr>
          <w:rFonts w:eastAsia="Calibri" w:cs="Times New Roman"/>
          <w:noProof/>
        </w:rPr>
        <w:t>.</w:t>
      </w:r>
      <w:r w:rsidR="00020031" w:rsidRPr="1A2A8689">
        <w:rPr>
          <w:rStyle w:val="FootnoteReference"/>
          <w:rFonts w:eastAsia="Calibri" w:cs="Times New Roman"/>
          <w:noProof/>
        </w:rPr>
        <w:footnoteReference w:id="256"/>
      </w:r>
      <w:r w:rsidRPr="1A2A8689">
        <w:rPr>
          <w:rFonts w:eastAsia="Calibri" w:cs="Times New Roman"/>
          <w:noProof/>
        </w:rPr>
        <w:t xml:space="preserve"> </w:t>
      </w:r>
      <w:r w:rsidR="4E4505EF" w:rsidRPr="0022778F">
        <w:rPr>
          <w:rFonts w:eastAsia="Calibri" w:cs="Times New Roman"/>
          <w:noProof/>
        </w:rPr>
        <w:t>FIDELIO (Rocchi et al., 2025)</w:t>
      </w:r>
      <w:r w:rsidR="003F0A88" w:rsidRPr="0022778F">
        <w:rPr>
          <w:rStyle w:val="FootnoteReference"/>
          <w:rFonts w:eastAsia="Calibri" w:cs="Times New Roman"/>
          <w:noProof/>
        </w:rPr>
        <w:footnoteReference w:id="257"/>
      </w:r>
      <w:r w:rsidR="4E4505EF" w:rsidRPr="0022778F">
        <w:rPr>
          <w:rFonts w:eastAsia="Calibri" w:cs="Times New Roman"/>
          <w:noProof/>
        </w:rPr>
        <w:t xml:space="preserve"> is a general equilibrium model which provides results based on external “shocks” to the economy, which are then transmitted to the rest of the economy according to the model specifications, using the Eurostat's official statistics on input-output tables for the European Union - FIGARO database (Rueda-Cantuche and Remond Tiedrez, 2019</w:t>
      </w:r>
      <w:r w:rsidR="002455D8" w:rsidRPr="0022778F">
        <w:rPr>
          <w:rStyle w:val="FootnoteReference"/>
          <w:rFonts w:eastAsia="Calibri" w:cs="Times New Roman"/>
          <w:noProof/>
        </w:rPr>
        <w:footnoteReference w:id="258"/>
      </w:r>
      <w:r w:rsidR="4E4505EF" w:rsidRPr="0022778F">
        <w:rPr>
          <w:rFonts w:eastAsia="Calibri" w:cs="Times New Roman"/>
          <w:noProof/>
        </w:rPr>
        <w:t>)</w:t>
      </w:r>
      <w:r w:rsidR="303EB1B0" w:rsidRPr="0022778F">
        <w:rPr>
          <w:rFonts w:eastAsia="Calibri" w:cs="Times New Roman"/>
          <w:noProof/>
        </w:rPr>
        <w:t>.</w:t>
      </w:r>
    </w:p>
    <w:p w14:paraId="3AB30D87" w14:textId="18813510" w:rsidR="00023D63" w:rsidRPr="00F261DB" w:rsidRDefault="00020031" w:rsidP="00FC7AB2">
      <w:pPr>
        <w:spacing w:after="120"/>
        <w:rPr>
          <w:rFonts w:cs="Times New Roman"/>
          <w:noProof/>
          <w:szCs w:val="24"/>
        </w:rPr>
      </w:pPr>
      <w:r w:rsidRPr="00F261DB">
        <w:rPr>
          <w:rFonts w:cs="Times New Roman"/>
          <w:noProof/>
          <w:szCs w:val="24"/>
        </w:rPr>
        <w:t xml:space="preserve">For simulating the impacts of </w:t>
      </w:r>
      <w:r w:rsidR="0022778F">
        <w:rPr>
          <w:rFonts w:cs="Times New Roman"/>
          <w:noProof/>
          <w:szCs w:val="24"/>
        </w:rPr>
        <w:t>l</w:t>
      </w:r>
      <w:r w:rsidR="00781092" w:rsidRPr="0022778F">
        <w:rPr>
          <w:rFonts w:cs="Times New Roman"/>
          <w:noProof/>
          <w:szCs w:val="24"/>
        </w:rPr>
        <w:t>ow</w:t>
      </w:r>
      <w:r w:rsidR="00781092">
        <w:rPr>
          <w:rFonts w:cs="Times New Roman"/>
          <w:noProof/>
          <w:szCs w:val="24"/>
        </w:rPr>
        <w:t>-carbon and</w:t>
      </w:r>
      <w:r w:rsidRPr="00F261DB">
        <w:rPr>
          <w:rFonts w:cs="Times New Roman"/>
          <w:noProof/>
          <w:szCs w:val="24"/>
        </w:rPr>
        <w:t xml:space="preserve"> </w:t>
      </w:r>
      <w:r w:rsidR="00895C78">
        <w:rPr>
          <w:rFonts w:cs="Times New Roman"/>
          <w:noProof/>
          <w:szCs w:val="24"/>
        </w:rPr>
        <w:t>Made in EU</w:t>
      </w:r>
      <w:r w:rsidRPr="00F261DB">
        <w:rPr>
          <w:rFonts w:cs="Times New Roman"/>
          <w:noProof/>
          <w:szCs w:val="24"/>
        </w:rPr>
        <w:t xml:space="preserve"> requirements for aluminium and steel, FIDELIO was used in combination with the </w:t>
      </w:r>
      <w:hyperlink r:id="rId63" w:history="1">
        <w:r w:rsidRPr="00F261DB">
          <w:rPr>
            <w:rStyle w:val="Hyperlink"/>
            <w:rFonts w:eastAsia="Calibri" w:cs="Times New Roman"/>
            <w:noProof/>
            <w:szCs w:val="24"/>
          </w:rPr>
          <w:t>FIGARO-E3</w:t>
        </w:r>
      </w:hyperlink>
      <w:r w:rsidRPr="00F261DB">
        <w:rPr>
          <w:rFonts w:cs="Times New Roman"/>
          <w:noProof/>
          <w:szCs w:val="24"/>
        </w:rPr>
        <w:t xml:space="preserve"> database (</w:t>
      </w:r>
      <w:hyperlink r:id="rId64" w:history="1">
        <w:r w:rsidRPr="00F261DB">
          <w:rPr>
            <w:rStyle w:val="Hyperlink"/>
            <w:rFonts w:eastAsia="Calibri" w:cs="Times New Roman"/>
            <w:noProof/>
            <w:szCs w:val="24"/>
          </w:rPr>
          <w:t>Cazcarro et al., 2025</w:t>
        </w:r>
      </w:hyperlink>
      <w:r w:rsidRPr="00F261DB">
        <w:rPr>
          <w:rFonts w:cs="Times New Roman"/>
          <w:noProof/>
          <w:szCs w:val="24"/>
        </w:rPr>
        <w:t xml:space="preserve">); a disaggregation of the </w:t>
      </w:r>
      <w:hyperlink r:id="rId65" w:history="1">
        <w:r w:rsidRPr="00F261DB">
          <w:rPr>
            <w:rStyle w:val="Hyperlink"/>
            <w:rFonts w:eastAsia="Calibri" w:cs="Times New Roman"/>
            <w:noProof/>
            <w:szCs w:val="24"/>
          </w:rPr>
          <w:t>Eurostat</w:t>
        </w:r>
      </w:hyperlink>
      <w:r w:rsidRPr="00F261DB">
        <w:rPr>
          <w:rStyle w:val="Hyperlink"/>
          <w:rFonts w:eastAsia="Calibri" w:cs="Times New Roman"/>
          <w:noProof/>
          <w:szCs w:val="24"/>
        </w:rPr>
        <w:t>’s</w:t>
      </w:r>
      <w:r w:rsidRPr="00F261DB">
        <w:rPr>
          <w:rFonts w:cs="Times New Roman"/>
          <w:noProof/>
          <w:szCs w:val="24"/>
        </w:rPr>
        <w:t xml:space="preserve"> global FIGARO input-output tables (</w:t>
      </w:r>
      <w:hyperlink r:id="rId66" w:history="1">
        <w:r w:rsidRPr="00F261DB">
          <w:rPr>
            <w:rStyle w:val="Hyperlink"/>
            <w:rFonts w:eastAsia="Calibri" w:cs="Times New Roman"/>
            <w:noProof/>
            <w:szCs w:val="24"/>
          </w:rPr>
          <w:t>Remond-Tiedrez and Rueda-Cantuche, 2019</w:t>
        </w:r>
      </w:hyperlink>
      <w:r w:rsidRPr="00F261DB">
        <w:rPr>
          <w:rFonts w:cs="Times New Roman"/>
          <w:noProof/>
          <w:szCs w:val="24"/>
        </w:rPr>
        <w:t>) that includes such materials explicitly represented.</w:t>
      </w:r>
    </w:p>
    <w:p w14:paraId="69D454B4" w14:textId="029F47D3" w:rsidR="00FC7EBC" w:rsidRPr="00F261DB" w:rsidRDefault="00FC7EBC" w:rsidP="00FC7AB2">
      <w:pPr>
        <w:spacing w:after="120"/>
        <w:rPr>
          <w:rFonts w:cs="Times New Roman"/>
          <w:noProof/>
          <w:szCs w:val="24"/>
        </w:rPr>
      </w:pPr>
      <w:r w:rsidRPr="00F261DB">
        <w:rPr>
          <w:rFonts w:cs="Times New Roman"/>
          <w:noProof/>
          <w:szCs w:val="24"/>
        </w:rPr>
        <w:t>Two scenarios were modelled:</w:t>
      </w:r>
    </w:p>
    <w:p w14:paraId="15220498" w14:textId="36892693" w:rsidR="005449CC" w:rsidRPr="00D00B1A" w:rsidRDefault="00A370CF" w:rsidP="00FC7AB2">
      <w:pPr>
        <w:pStyle w:val="ListParagraph"/>
        <w:numPr>
          <w:ilvl w:val="0"/>
          <w:numId w:val="42"/>
        </w:numPr>
        <w:rPr>
          <w:rFonts w:cs="Times New Roman"/>
          <w:noProof/>
          <w:szCs w:val="24"/>
        </w:rPr>
      </w:pPr>
      <w:r w:rsidRPr="4CFD6D9B">
        <w:rPr>
          <w:rFonts w:cs="Times New Roman"/>
          <w:b/>
          <w:noProof/>
        </w:rPr>
        <w:t>Scenario 1</w:t>
      </w:r>
      <w:r w:rsidR="008126DE">
        <w:rPr>
          <w:rFonts w:cs="Times New Roman"/>
          <w:b/>
          <w:noProof/>
        </w:rPr>
        <w:t>:</w:t>
      </w:r>
      <w:r w:rsidRPr="4CFD6D9B">
        <w:rPr>
          <w:rFonts w:cs="Times New Roman"/>
          <w:b/>
          <w:noProof/>
        </w:rPr>
        <w:t xml:space="preserve"> </w:t>
      </w:r>
      <w:r w:rsidR="005449CC" w:rsidRPr="00CA664E">
        <w:rPr>
          <w:rFonts w:cs="Times New Roman"/>
          <w:noProof/>
          <w:lang w:val="en-US"/>
        </w:rPr>
        <w:t xml:space="preserve">the transition to </w:t>
      </w:r>
      <w:r w:rsidR="005449CC" w:rsidRPr="00D00B1A">
        <w:rPr>
          <w:rFonts w:cs="Times New Roman"/>
          <w:i/>
          <w:iCs/>
          <w:noProof/>
          <w:lang w:val="en-US"/>
        </w:rPr>
        <w:t>low-carbon requirements</w:t>
      </w:r>
      <w:r w:rsidR="005449CC" w:rsidRPr="00CA664E">
        <w:rPr>
          <w:rFonts w:cs="Times New Roman"/>
          <w:noProof/>
          <w:lang w:val="en-US"/>
        </w:rPr>
        <w:t xml:space="preserve"> within the FIDELIO framework </w:t>
      </w:r>
      <w:r w:rsidR="005F6E93">
        <w:rPr>
          <w:rFonts w:cs="Times New Roman"/>
          <w:noProof/>
          <w:lang w:val="en-US"/>
        </w:rPr>
        <w:t xml:space="preserve">is </w:t>
      </w:r>
      <w:r w:rsidR="005449CC" w:rsidRPr="00CA664E">
        <w:rPr>
          <w:rFonts w:cs="Times New Roman"/>
          <w:noProof/>
          <w:lang w:val="en-US"/>
        </w:rPr>
        <w:t xml:space="preserve">modeled as a shift towards higher-cost sustainable inputs. </w:t>
      </w:r>
      <w:r w:rsidR="005449CC">
        <w:rPr>
          <w:rFonts w:cs="Times New Roman"/>
          <w:noProof/>
          <w:lang w:val="en-US"/>
        </w:rPr>
        <w:t>The</w:t>
      </w:r>
      <w:r w:rsidR="005449CC" w:rsidRPr="00CA664E">
        <w:rPr>
          <w:rFonts w:cs="Times New Roman"/>
          <w:noProof/>
          <w:lang w:val="en-US"/>
        </w:rPr>
        <w:t xml:space="preserve"> "green premium" </w:t>
      </w:r>
      <w:r w:rsidR="005449CC">
        <w:rPr>
          <w:rFonts w:cs="Times New Roman"/>
          <w:noProof/>
          <w:lang w:val="en-US"/>
        </w:rPr>
        <w:t xml:space="preserve">is incorporated </w:t>
      </w:r>
      <w:r w:rsidR="005449CC" w:rsidRPr="00CA664E">
        <w:rPr>
          <w:rFonts w:cs="Times New Roman"/>
          <w:noProof/>
          <w:lang w:val="en-US"/>
        </w:rPr>
        <w:t>into sectoral production costs by applying targeted cost shocks</w:t>
      </w:r>
      <w:r w:rsidR="005C2B5E">
        <w:rPr>
          <w:rStyle w:val="FootnoteReference"/>
          <w:rFonts w:cs="Times New Roman"/>
          <w:noProof/>
          <w:lang w:val="en-US"/>
        </w:rPr>
        <w:footnoteReference w:id="259"/>
      </w:r>
      <w:r w:rsidR="005449CC" w:rsidRPr="00CA664E">
        <w:rPr>
          <w:rFonts w:cs="Times New Roman"/>
          <w:noProof/>
          <w:lang w:val="en-US"/>
        </w:rPr>
        <w:t xml:space="preserve"> to key industries</w:t>
      </w:r>
      <w:r w:rsidR="005449CC">
        <w:rPr>
          <w:rFonts w:cs="Times New Roman"/>
          <w:noProof/>
          <w:lang w:val="en-US"/>
        </w:rPr>
        <w:t xml:space="preserve"> (</w:t>
      </w:r>
      <w:r w:rsidR="005449CC" w:rsidRPr="00CA664E">
        <w:rPr>
          <w:rFonts w:cs="Times New Roman"/>
          <w:noProof/>
          <w:lang w:val="en-US"/>
        </w:rPr>
        <w:t>steel and aluminum procurement in the automotive sector (C29), as well as to cement, steel, and aluminum in the construction industry (F)</w:t>
      </w:r>
      <w:r w:rsidR="005449CC">
        <w:rPr>
          <w:rFonts w:cs="Times New Roman"/>
          <w:noProof/>
          <w:lang w:val="en-US"/>
        </w:rPr>
        <w:t>)</w:t>
      </w:r>
      <w:r w:rsidR="005449CC" w:rsidRPr="00CA664E">
        <w:rPr>
          <w:rFonts w:cs="Times New Roman"/>
          <w:noProof/>
          <w:lang w:val="en-US"/>
        </w:rPr>
        <w:t xml:space="preserve">. </w:t>
      </w:r>
      <w:r w:rsidR="005C2B5E">
        <w:rPr>
          <w:rFonts w:cs="Times New Roman"/>
          <w:noProof/>
          <w:lang w:val="en-US"/>
        </w:rPr>
        <w:t>The results are then</w:t>
      </w:r>
      <w:r w:rsidR="00FC4C48">
        <w:rPr>
          <w:rFonts w:cs="Times New Roman"/>
          <w:noProof/>
          <w:lang w:val="en-US"/>
        </w:rPr>
        <w:t xml:space="preserve"> implemented when public intervention is present i.e. in public procurement or public support</w:t>
      </w:r>
      <w:r w:rsidR="00DA783A">
        <w:rPr>
          <w:rFonts w:cs="Times New Roman"/>
          <w:noProof/>
          <w:lang w:val="en-US"/>
        </w:rPr>
        <w:t xml:space="preserve"> schemes</w:t>
      </w:r>
      <w:r w:rsidR="00F01D73">
        <w:rPr>
          <w:rFonts w:cs="Times New Roman"/>
          <w:noProof/>
          <w:lang w:val="en-US"/>
        </w:rPr>
        <w:t xml:space="preserve"> (LEAD_EII_1 and </w:t>
      </w:r>
      <w:r w:rsidR="1D6638C6">
        <w:rPr>
          <w:rFonts w:cs="Times New Roman"/>
          <w:noProof/>
          <w:lang w:val="en-US"/>
        </w:rPr>
        <w:t>LEAD_EII_2</w:t>
      </w:r>
      <w:r w:rsidR="00F01D73">
        <w:rPr>
          <w:rFonts w:cs="Times New Roman"/>
          <w:noProof/>
          <w:lang w:val="en-US"/>
        </w:rPr>
        <w:t>)</w:t>
      </w:r>
      <w:r w:rsidR="000650DE">
        <w:rPr>
          <w:rFonts w:cs="Times New Roman"/>
          <w:noProof/>
          <w:lang w:val="en-US"/>
        </w:rPr>
        <w:t>,</w:t>
      </w:r>
      <w:r w:rsidR="00F01D73">
        <w:rPr>
          <w:rFonts w:cs="Times New Roman"/>
          <w:noProof/>
          <w:lang w:val="en-US"/>
        </w:rPr>
        <w:t xml:space="preserve"> </w:t>
      </w:r>
      <w:r w:rsidR="00720C96">
        <w:rPr>
          <w:rFonts w:cs="Times New Roman"/>
          <w:noProof/>
          <w:lang w:val="en-US"/>
        </w:rPr>
        <w:t>as well as for the entire market, irrespective of the public intervention in the automotive and construction sectors. (LEAD_EII_3)</w:t>
      </w:r>
    </w:p>
    <w:p w14:paraId="4C2B2EE6" w14:textId="4CC4DFA6" w:rsidR="00A11E4D" w:rsidRPr="00867196" w:rsidRDefault="00A370CF" w:rsidP="00867196">
      <w:pPr>
        <w:pStyle w:val="ListParagraph"/>
        <w:numPr>
          <w:ilvl w:val="0"/>
          <w:numId w:val="42"/>
        </w:numPr>
        <w:rPr>
          <w:rFonts w:cs="Times New Roman"/>
          <w:noProof/>
          <w:szCs w:val="24"/>
        </w:rPr>
      </w:pPr>
      <w:r w:rsidRPr="00867196">
        <w:rPr>
          <w:rFonts w:cs="Times New Roman"/>
          <w:b/>
          <w:noProof/>
        </w:rPr>
        <w:t>Scenario 2</w:t>
      </w:r>
      <w:r w:rsidR="00FC7EBC" w:rsidRPr="00867196">
        <w:rPr>
          <w:rFonts w:cs="Times New Roman"/>
          <w:b/>
          <w:noProof/>
        </w:rPr>
        <w:t>:</w:t>
      </w:r>
      <w:r w:rsidR="00FC7EBC" w:rsidRPr="00867196">
        <w:rPr>
          <w:rFonts w:cs="Times New Roman"/>
          <w:noProof/>
        </w:rPr>
        <w:t xml:space="preserve"> </w:t>
      </w:r>
      <w:r w:rsidR="008126DE">
        <w:rPr>
          <w:rFonts w:cs="Times New Roman"/>
          <w:noProof/>
        </w:rPr>
        <w:t>a ‘</w:t>
      </w:r>
      <w:r w:rsidR="008126DE" w:rsidRPr="00787D5A">
        <w:rPr>
          <w:rFonts w:cs="Times New Roman"/>
          <w:i/>
          <w:iCs/>
          <w:noProof/>
        </w:rPr>
        <w:t>Made in EU</w:t>
      </w:r>
      <w:r w:rsidR="008126DE">
        <w:rPr>
          <w:rFonts w:cs="Times New Roman"/>
          <w:i/>
          <w:iCs/>
          <w:noProof/>
        </w:rPr>
        <w:t xml:space="preserve">’ </w:t>
      </w:r>
      <w:r w:rsidR="00CA664E" w:rsidRPr="00867196">
        <w:rPr>
          <w:rFonts w:cs="Times New Roman"/>
          <w:noProof/>
        </w:rPr>
        <w:t xml:space="preserve">scenario of 85% </w:t>
      </w:r>
      <w:r w:rsidR="007173AD">
        <w:rPr>
          <w:rFonts w:cs="Times New Roman"/>
          <w:noProof/>
        </w:rPr>
        <w:t>European content</w:t>
      </w:r>
      <w:r w:rsidR="00CA664E" w:rsidRPr="00867196">
        <w:rPr>
          <w:rFonts w:cs="Times New Roman"/>
          <w:noProof/>
        </w:rPr>
        <w:t xml:space="preserve"> requirement </w:t>
      </w:r>
      <w:r w:rsidR="008126DE">
        <w:rPr>
          <w:rFonts w:cs="Times New Roman"/>
          <w:noProof/>
        </w:rPr>
        <w:t>for</w:t>
      </w:r>
      <w:r w:rsidR="00CA664E" w:rsidRPr="00867196">
        <w:rPr>
          <w:rFonts w:cs="Times New Roman"/>
          <w:noProof/>
        </w:rPr>
        <w:t xml:space="preserve"> steel, 70% </w:t>
      </w:r>
      <w:r w:rsidR="008126DE">
        <w:rPr>
          <w:rFonts w:cs="Times New Roman"/>
          <w:noProof/>
        </w:rPr>
        <w:t>for</w:t>
      </w:r>
      <w:r w:rsidR="00CA664E" w:rsidRPr="00867196">
        <w:rPr>
          <w:rFonts w:cs="Times New Roman"/>
          <w:noProof/>
        </w:rPr>
        <w:t xml:space="preserve"> aluminium and 95% </w:t>
      </w:r>
      <w:r w:rsidR="008126DE">
        <w:rPr>
          <w:rFonts w:cs="Times New Roman"/>
          <w:noProof/>
        </w:rPr>
        <w:t>for</w:t>
      </w:r>
      <w:r w:rsidR="00CA664E" w:rsidRPr="00867196">
        <w:rPr>
          <w:rFonts w:cs="Times New Roman"/>
          <w:noProof/>
        </w:rPr>
        <w:t xml:space="preserve"> cement</w:t>
      </w:r>
      <w:r w:rsidR="009C390A">
        <w:rPr>
          <w:rFonts w:cs="Times New Roman"/>
          <w:noProof/>
        </w:rPr>
        <w:t xml:space="preserve"> is</w:t>
      </w:r>
      <w:r w:rsidR="00CA664E" w:rsidRPr="00867196">
        <w:rPr>
          <w:rFonts w:cs="Times New Roman"/>
          <w:noProof/>
        </w:rPr>
        <w:t xml:space="preserve"> implemented </w:t>
      </w:r>
      <w:r w:rsidR="003A6F4D" w:rsidRPr="00867196">
        <w:rPr>
          <w:rFonts w:cs="Times New Roman"/>
          <w:noProof/>
        </w:rPr>
        <w:t xml:space="preserve">to </w:t>
      </w:r>
      <w:r w:rsidR="00FC7EBC" w:rsidRPr="00867196">
        <w:rPr>
          <w:rFonts w:cs="Times New Roman"/>
          <w:noProof/>
        </w:rPr>
        <w:t>construction and automotive production</w:t>
      </w:r>
      <w:r w:rsidR="0089673F" w:rsidRPr="00867196">
        <w:rPr>
          <w:rFonts w:cs="Times New Roman"/>
          <w:noProof/>
        </w:rPr>
        <w:t xml:space="preserve"> (LEAD_EII_3)</w:t>
      </w:r>
      <w:r w:rsidR="003A6F4D" w:rsidRPr="00867196">
        <w:rPr>
          <w:rFonts w:cs="Times New Roman"/>
          <w:noProof/>
        </w:rPr>
        <w:t>.</w:t>
      </w:r>
    </w:p>
    <w:p w14:paraId="3F17F1E3" w14:textId="77777777" w:rsidR="00FC7AB2" w:rsidRPr="00FC7AB2" w:rsidRDefault="00FC7AB2" w:rsidP="00FC7AB2">
      <w:pPr>
        <w:pStyle w:val="ListParagraph"/>
        <w:rPr>
          <w:rFonts w:cs="Times New Roman"/>
          <w:noProof/>
          <w:szCs w:val="24"/>
        </w:rPr>
      </w:pPr>
    </w:p>
    <w:p w14:paraId="5B12BD03" w14:textId="77777777" w:rsidR="00020031" w:rsidRPr="00F261DB" w:rsidRDefault="00020031" w:rsidP="00FC7AB2">
      <w:pPr>
        <w:spacing w:after="120"/>
        <w:rPr>
          <w:rFonts w:cs="Times New Roman"/>
          <w:noProof/>
          <w:szCs w:val="24"/>
        </w:rPr>
      </w:pPr>
      <w:r w:rsidRPr="00F261DB">
        <w:rPr>
          <w:rFonts w:cs="Times New Roman"/>
          <w:noProof/>
          <w:szCs w:val="24"/>
        </w:rPr>
        <w:t>The following assumptions were used:</w:t>
      </w:r>
    </w:p>
    <w:p w14:paraId="6FEC4382" w14:textId="7F9F7905" w:rsidR="00B819E5" w:rsidRPr="00F261DB" w:rsidRDefault="00B819E5" w:rsidP="00FC7AB2">
      <w:pPr>
        <w:pStyle w:val="ListParagraph"/>
        <w:numPr>
          <w:ilvl w:val="0"/>
          <w:numId w:val="42"/>
        </w:numPr>
        <w:rPr>
          <w:rFonts w:cs="Times New Roman"/>
          <w:noProof/>
          <w:szCs w:val="24"/>
        </w:rPr>
      </w:pPr>
      <w:r w:rsidRPr="00F261DB">
        <w:rPr>
          <w:rFonts w:cs="Times New Roman"/>
          <w:noProof/>
          <w:szCs w:val="24"/>
        </w:rPr>
        <w:t xml:space="preserve">EU Member States </w:t>
      </w:r>
      <w:r w:rsidR="00E33FE0" w:rsidRPr="00F261DB">
        <w:rPr>
          <w:rFonts w:cs="Times New Roman"/>
          <w:noProof/>
          <w:szCs w:val="24"/>
        </w:rPr>
        <w:t xml:space="preserve">can </w:t>
      </w:r>
      <w:r w:rsidRPr="00F261DB">
        <w:rPr>
          <w:rFonts w:cs="Times New Roman"/>
          <w:noProof/>
          <w:szCs w:val="24"/>
        </w:rPr>
        <w:t xml:space="preserve">do a different effort to achieve the EU target, </w:t>
      </w:r>
      <w:r w:rsidR="00E33FE0" w:rsidRPr="00F261DB">
        <w:rPr>
          <w:rFonts w:cs="Times New Roman"/>
          <w:noProof/>
          <w:szCs w:val="24"/>
        </w:rPr>
        <w:t xml:space="preserve">notably influenced by </w:t>
      </w:r>
      <w:r w:rsidR="00093FB9" w:rsidRPr="00F261DB">
        <w:rPr>
          <w:rFonts w:cs="Times New Roman"/>
          <w:noProof/>
          <w:szCs w:val="24"/>
        </w:rPr>
        <w:t xml:space="preserve">what </w:t>
      </w:r>
      <w:r w:rsidRPr="00F261DB">
        <w:rPr>
          <w:rFonts w:cs="Times New Roman"/>
          <w:noProof/>
          <w:szCs w:val="24"/>
        </w:rPr>
        <w:t xml:space="preserve">the previous EU content of their production activities </w:t>
      </w:r>
      <w:r w:rsidR="00093FB9" w:rsidRPr="00F261DB">
        <w:rPr>
          <w:rFonts w:cs="Times New Roman"/>
          <w:noProof/>
          <w:szCs w:val="24"/>
        </w:rPr>
        <w:t xml:space="preserve">was </w:t>
      </w:r>
      <w:r w:rsidRPr="00F261DB">
        <w:rPr>
          <w:rFonts w:cs="Times New Roman"/>
          <w:noProof/>
          <w:szCs w:val="24"/>
        </w:rPr>
        <w:t>before the policy implementation</w:t>
      </w:r>
      <w:r w:rsidR="006F004A">
        <w:rPr>
          <w:rFonts w:cs="Times New Roman"/>
          <w:noProof/>
          <w:szCs w:val="24"/>
        </w:rPr>
        <w:t>.</w:t>
      </w:r>
    </w:p>
    <w:p w14:paraId="55E6B522" w14:textId="23F2A8A8" w:rsidR="00FC7AB2" w:rsidRDefault="00B819E5" w:rsidP="00FC7AB2">
      <w:pPr>
        <w:pStyle w:val="ListParagraph"/>
        <w:numPr>
          <w:ilvl w:val="0"/>
          <w:numId w:val="42"/>
        </w:numPr>
        <w:rPr>
          <w:rFonts w:cs="Times New Roman"/>
          <w:noProof/>
          <w:szCs w:val="24"/>
        </w:rPr>
      </w:pPr>
      <w:r w:rsidRPr="00F261DB">
        <w:rPr>
          <w:rFonts w:cs="Times New Roman"/>
          <w:noProof/>
          <w:szCs w:val="24"/>
        </w:rPr>
        <w:t>Directly impacted downstream industries are automotive and construction</w:t>
      </w:r>
      <w:r w:rsidR="006F004A">
        <w:rPr>
          <w:rFonts w:cs="Times New Roman"/>
          <w:noProof/>
          <w:szCs w:val="24"/>
        </w:rPr>
        <w:t>.</w:t>
      </w:r>
    </w:p>
    <w:p w14:paraId="26762758" w14:textId="77777777" w:rsidR="00FC7AB2" w:rsidRPr="00FC7AB2" w:rsidRDefault="00FC7AB2" w:rsidP="00FC7AB2">
      <w:pPr>
        <w:pStyle w:val="ListParagraph"/>
        <w:rPr>
          <w:rFonts w:cs="Times New Roman"/>
          <w:noProof/>
          <w:szCs w:val="24"/>
        </w:rPr>
      </w:pPr>
    </w:p>
    <w:p w14:paraId="70EBF9D3" w14:textId="751A3621" w:rsidR="00DA783A" w:rsidRDefault="00B819E5" w:rsidP="00FC7AB2">
      <w:pPr>
        <w:spacing w:after="120"/>
        <w:rPr>
          <w:rFonts w:cs="Times New Roman"/>
          <w:noProof/>
          <w:szCs w:val="24"/>
        </w:rPr>
      </w:pPr>
      <w:r w:rsidRPr="00F261DB">
        <w:rPr>
          <w:rFonts w:cs="Times New Roman"/>
          <w:noProof/>
          <w:szCs w:val="24"/>
        </w:rPr>
        <w:t>Temporal profile to reflect gradual implementation</w:t>
      </w:r>
      <w:r w:rsidR="002D4FE9">
        <w:rPr>
          <w:rFonts w:cs="Times New Roman"/>
          <w:noProof/>
          <w:szCs w:val="24"/>
        </w:rPr>
        <w:t>:</w:t>
      </w:r>
    </w:p>
    <w:p w14:paraId="64D58D96" w14:textId="720AEBF0" w:rsidR="00754987" w:rsidRDefault="00754987" w:rsidP="00DA783A">
      <w:pPr>
        <w:pStyle w:val="ListParagraph"/>
        <w:numPr>
          <w:ilvl w:val="0"/>
          <w:numId w:val="65"/>
        </w:numPr>
        <w:spacing w:after="120"/>
        <w:rPr>
          <w:rFonts w:cs="Times New Roman"/>
          <w:noProof/>
          <w:szCs w:val="24"/>
        </w:rPr>
      </w:pPr>
      <w:r>
        <w:rPr>
          <w:rFonts w:cs="Times New Roman"/>
          <w:noProof/>
          <w:szCs w:val="24"/>
        </w:rPr>
        <w:t xml:space="preserve">Scenario </w:t>
      </w:r>
      <w:r w:rsidR="002D4FE9">
        <w:rPr>
          <w:rFonts w:cs="Times New Roman"/>
          <w:noProof/>
          <w:szCs w:val="24"/>
        </w:rPr>
        <w:t>1</w:t>
      </w:r>
      <w:r>
        <w:rPr>
          <w:rFonts w:cs="Times New Roman"/>
          <w:noProof/>
          <w:szCs w:val="24"/>
        </w:rPr>
        <w:t xml:space="preserve"> assumes a gradual increase until 2030.</w:t>
      </w:r>
    </w:p>
    <w:p w14:paraId="203A9AED" w14:textId="17E942E0" w:rsidR="00E15439" w:rsidRPr="00F261DB" w:rsidRDefault="002D4FE9" w:rsidP="002D4FE9">
      <w:pPr>
        <w:pStyle w:val="ListParagraph"/>
        <w:numPr>
          <w:ilvl w:val="0"/>
          <w:numId w:val="65"/>
        </w:numPr>
        <w:spacing w:after="120"/>
        <w:rPr>
          <w:rFonts w:cs="Times New Roman"/>
          <w:noProof/>
          <w:szCs w:val="24"/>
        </w:rPr>
      </w:pPr>
      <w:r>
        <w:rPr>
          <w:rFonts w:cs="Times New Roman"/>
          <w:noProof/>
          <w:szCs w:val="24"/>
        </w:rPr>
        <w:lastRenderedPageBreak/>
        <w:t>Scenario</w:t>
      </w:r>
      <w:r w:rsidR="00DA783A" w:rsidRPr="00DA783A">
        <w:rPr>
          <w:rFonts w:cs="Times New Roman"/>
          <w:noProof/>
          <w:szCs w:val="24"/>
        </w:rPr>
        <w:t xml:space="preserve"> 2</w:t>
      </w:r>
      <w:r w:rsidR="00093FB9" w:rsidRPr="00F261DB">
        <w:rPr>
          <w:rFonts w:cs="Times New Roman"/>
          <w:noProof/>
          <w:szCs w:val="24"/>
        </w:rPr>
        <w:t xml:space="preserve"> assume</w:t>
      </w:r>
      <w:r>
        <w:rPr>
          <w:rFonts w:cs="Times New Roman"/>
          <w:noProof/>
          <w:szCs w:val="24"/>
        </w:rPr>
        <w:t xml:space="preserve">s </w:t>
      </w:r>
      <w:r w:rsidR="00093FB9" w:rsidRPr="00F261DB">
        <w:rPr>
          <w:rFonts w:cs="Times New Roman"/>
          <w:noProof/>
          <w:szCs w:val="24"/>
        </w:rPr>
        <w:t>that t</w:t>
      </w:r>
      <w:r w:rsidR="00B819E5" w:rsidRPr="00F261DB">
        <w:rPr>
          <w:rFonts w:cs="Times New Roman"/>
          <w:noProof/>
          <w:szCs w:val="24"/>
        </w:rPr>
        <w:t>he policy</w:t>
      </w:r>
      <w:r>
        <w:rPr>
          <w:rFonts w:cs="Times New Roman"/>
          <w:noProof/>
          <w:szCs w:val="24"/>
        </w:rPr>
        <w:t xml:space="preserve"> measure</w:t>
      </w:r>
      <w:r w:rsidR="00B819E5" w:rsidRPr="00F261DB">
        <w:rPr>
          <w:rFonts w:cs="Times New Roman"/>
          <w:noProof/>
          <w:szCs w:val="24"/>
        </w:rPr>
        <w:t xml:space="preserve"> starts in 2025, gradually increasing until 2028, remaining constant until 2035 and fading from 2036 onwards</w:t>
      </w:r>
      <w:r w:rsidR="00E526FD" w:rsidRPr="00F261DB">
        <w:rPr>
          <w:rFonts w:cs="Times New Roman"/>
          <w:noProof/>
          <w:szCs w:val="24"/>
        </w:rPr>
        <w:t>. This reflects the anticipation of the activities by public authorities with the legislative proposal of the Commission adopted, but only a real entry into force of these provisions by 2028. The fact that this obligation fades post-2036 is here to reflect that such requirements will be subject to a review clause</w:t>
      </w:r>
      <w:r w:rsidR="0025446C" w:rsidRPr="00F261DB">
        <w:rPr>
          <w:rFonts w:cs="Times New Roman"/>
          <w:noProof/>
          <w:szCs w:val="24"/>
        </w:rPr>
        <w:t xml:space="preserve"> that could phase out these policy measures. </w:t>
      </w:r>
    </w:p>
    <w:p w14:paraId="3F8D923C" w14:textId="77777777" w:rsidR="002D4FE9" w:rsidRPr="00F261DB" w:rsidRDefault="002D4FE9" w:rsidP="002D4FE9">
      <w:pPr>
        <w:pStyle w:val="ListParagraph"/>
        <w:spacing w:after="120"/>
        <w:rPr>
          <w:rFonts w:cs="Times New Roman"/>
          <w:noProof/>
          <w:szCs w:val="24"/>
        </w:rPr>
      </w:pPr>
    </w:p>
    <w:p w14:paraId="0BA85EAB" w14:textId="621B93B3" w:rsidR="00A11E4D" w:rsidRPr="00FC7AB2" w:rsidRDefault="00E35A02" w:rsidP="005757F9">
      <w:pPr>
        <w:pStyle w:val="ListParagraph"/>
        <w:keepNext/>
        <w:keepLines/>
        <w:numPr>
          <w:ilvl w:val="1"/>
          <w:numId w:val="157"/>
        </w:numPr>
        <w:spacing w:before="360" w:after="80"/>
        <w:outlineLvl w:val="0"/>
        <w:rPr>
          <w:rFonts w:eastAsia="Yu Gothic Light"/>
          <w:b/>
          <w:noProof/>
        </w:rPr>
      </w:pPr>
      <w:bookmarkStart w:id="243" w:name="_Toc212728803"/>
      <w:bookmarkStart w:id="244" w:name="_Toc212729077"/>
      <w:bookmarkStart w:id="245" w:name="_Toc212729329"/>
      <w:bookmarkStart w:id="246" w:name="_Toc215506273"/>
      <w:bookmarkStart w:id="247" w:name="_Toc222159324"/>
      <w:bookmarkStart w:id="248" w:name="_Toc222489528"/>
      <w:bookmarkStart w:id="249" w:name="_Toc222490017"/>
      <w:bookmarkEnd w:id="242"/>
      <w:r w:rsidRPr="005757F9">
        <w:rPr>
          <w:rFonts w:eastAsia="Yu Gothic Light"/>
          <w:b/>
          <w:noProof/>
        </w:rPr>
        <w:t>SMILE EU</w:t>
      </w:r>
      <w:bookmarkEnd w:id="243"/>
      <w:bookmarkEnd w:id="244"/>
      <w:bookmarkEnd w:id="245"/>
      <w:bookmarkEnd w:id="246"/>
      <w:bookmarkEnd w:id="247"/>
      <w:bookmarkEnd w:id="248"/>
      <w:bookmarkEnd w:id="249"/>
    </w:p>
    <w:p w14:paraId="51571AC4" w14:textId="2BDF9E2D" w:rsidR="3397C4FA" w:rsidRPr="00F261DB" w:rsidRDefault="3397C4FA" w:rsidP="00FC7AB2">
      <w:pPr>
        <w:spacing w:after="120"/>
        <w:rPr>
          <w:rFonts w:cs="Times New Roman"/>
          <w:b/>
          <w:noProof/>
          <w:szCs w:val="24"/>
        </w:rPr>
      </w:pPr>
      <w:r w:rsidRPr="00F261DB">
        <w:rPr>
          <w:rFonts w:cs="Times New Roman"/>
          <w:b/>
          <w:noProof/>
          <w:szCs w:val="24"/>
        </w:rPr>
        <w:t>JRC contribution with the SMILE EU (Single Market Integration through a MIcroeconomic LEns)</w:t>
      </w:r>
    </w:p>
    <w:p w14:paraId="55E8D2F7" w14:textId="75543C70" w:rsidR="00BE40BE" w:rsidRPr="00F261DB" w:rsidRDefault="006B1A6D" w:rsidP="00FC7AB2">
      <w:pPr>
        <w:spacing w:after="120"/>
        <w:rPr>
          <w:rFonts w:eastAsia="Times New Roman" w:cs="Times New Roman"/>
          <w:noProof/>
        </w:rPr>
      </w:pPr>
      <w:r w:rsidRPr="00F261DB">
        <w:rPr>
          <w:rFonts w:eastAsia="Times New Roman" w:cs="Times New Roman"/>
          <w:noProof/>
        </w:rPr>
        <w:t xml:space="preserve">SMILE EU </w:t>
      </w:r>
      <w:r w:rsidR="002E55E7" w:rsidRPr="00F261DB">
        <w:rPr>
          <w:rFonts w:eastAsia="Aptos"/>
          <w:noProof/>
        </w:rPr>
        <w:t xml:space="preserve">(Single Market Integration through a MIcroeconomic LEns) is a set of analytical and quantitative tools on market efficiency and microeconomic behaviour to provide tailor-made answers related to industrial, innovation and employment policies. At its core, there is a macroeconomic model where economic outcomes are the result of microeconomic decisions made by heterogeneous firms and/or households. In SMILE EU, the micro drives the macro. </w:t>
      </w:r>
      <w:r w:rsidR="00D52E39" w:rsidRPr="00F261DB">
        <w:rPr>
          <w:rFonts w:eastAsia="Times New Roman" w:cs="Times New Roman"/>
          <w:noProof/>
        </w:rPr>
        <w:t>The impact assessment builds on various tools developed within SMILE EU</w:t>
      </w:r>
      <w:r w:rsidR="00D96D3B" w:rsidRPr="00F261DB">
        <w:rPr>
          <w:rFonts w:eastAsia="Times New Roman" w:cs="Times New Roman"/>
          <w:noProof/>
        </w:rPr>
        <w:t>.</w:t>
      </w:r>
      <w:r w:rsidR="00D52E39" w:rsidRPr="00F261DB">
        <w:rPr>
          <w:rFonts w:eastAsia="Times New Roman" w:cs="Times New Roman"/>
          <w:noProof/>
        </w:rPr>
        <w:t xml:space="preserve"> It leverages the methodology developed to disaggregate input-output data, which provides science-to-policy evidence at a more granular level. </w:t>
      </w:r>
    </w:p>
    <w:p w14:paraId="21C7792D" w14:textId="660EBA70" w:rsidR="00D52E39" w:rsidRPr="00FF63D1" w:rsidRDefault="663FCD9C" w:rsidP="00FC7AB2">
      <w:pPr>
        <w:spacing w:after="120"/>
        <w:rPr>
          <w:rFonts w:eastAsia="Times New Roman" w:cs="Times New Roman"/>
          <w:noProof/>
        </w:rPr>
      </w:pPr>
      <w:r w:rsidRPr="00F261DB">
        <w:rPr>
          <w:rFonts w:eastAsia="Times New Roman" w:cs="Times New Roman"/>
          <w:noProof/>
        </w:rPr>
        <w:t>JR</w:t>
      </w:r>
      <w:r w:rsidR="08CFED83" w:rsidRPr="00F261DB">
        <w:rPr>
          <w:rFonts w:eastAsia="Times New Roman" w:cs="Times New Roman"/>
          <w:noProof/>
        </w:rPr>
        <w:t>C</w:t>
      </w:r>
      <w:r w:rsidR="00D52E39" w:rsidRPr="00F261DB">
        <w:rPr>
          <w:rFonts w:eastAsia="Times New Roman" w:cs="Times New Roman"/>
          <w:noProof/>
        </w:rPr>
        <w:t xml:space="preserve"> use</w:t>
      </w:r>
      <w:r w:rsidR="00925B19" w:rsidRPr="00F261DB">
        <w:rPr>
          <w:rFonts w:eastAsia="Times New Roman" w:cs="Times New Roman"/>
          <w:noProof/>
        </w:rPr>
        <w:t>s</w:t>
      </w:r>
      <w:r w:rsidR="00D52E39" w:rsidRPr="00F261DB">
        <w:rPr>
          <w:rFonts w:eastAsia="Times New Roman" w:cs="Times New Roman"/>
          <w:noProof/>
        </w:rPr>
        <w:t xml:space="preserve"> the econometric model behind to disentangle the production technology of EVs </w:t>
      </w:r>
      <w:r w:rsidR="007D0138" w:rsidRPr="00F261DB">
        <w:rPr>
          <w:rFonts w:eastAsia="Times New Roman" w:cs="Times New Roman"/>
          <w:noProof/>
        </w:rPr>
        <w:t xml:space="preserve">(electric vehicles) </w:t>
      </w:r>
      <w:r w:rsidR="00D52E39" w:rsidRPr="00F261DB">
        <w:rPr>
          <w:rFonts w:eastAsia="Times New Roman" w:cs="Times New Roman"/>
          <w:noProof/>
        </w:rPr>
        <w:t>and ICE</w:t>
      </w:r>
      <w:r w:rsidR="007D0138" w:rsidRPr="00F261DB">
        <w:rPr>
          <w:rFonts w:eastAsia="Times New Roman" w:cs="Times New Roman"/>
          <w:noProof/>
        </w:rPr>
        <w:t xml:space="preserve"> (internal combustion engine) </w:t>
      </w:r>
      <w:r w:rsidR="006C4316" w:rsidRPr="00F261DB">
        <w:rPr>
          <w:rFonts w:eastAsia="Times New Roman" w:cs="Times New Roman"/>
          <w:noProof/>
        </w:rPr>
        <w:t>vehicles</w:t>
      </w:r>
      <w:r w:rsidR="00D52E39" w:rsidRPr="00F261DB">
        <w:rPr>
          <w:rFonts w:eastAsia="Times New Roman" w:cs="Times New Roman"/>
          <w:noProof/>
        </w:rPr>
        <w:t xml:space="preserve"> from the macroeconomic industry C29 (Manufacture of motor vehicles, trailers and semi-trailers). The results also unveil the differences in the global value chain of EU car manufacturers when producing EVs as opposed to ICE vehicles. </w:t>
      </w:r>
      <w:r w:rsidR="00C84A2D" w:rsidRPr="00F261DB">
        <w:rPr>
          <w:rFonts w:eastAsia="Times New Roman" w:cs="Times New Roman"/>
          <w:noProof/>
        </w:rPr>
        <w:t>JRC</w:t>
      </w:r>
      <w:r w:rsidR="00D52E39" w:rsidRPr="00F261DB">
        <w:rPr>
          <w:rFonts w:eastAsia="Times New Roman" w:cs="Times New Roman"/>
          <w:noProof/>
        </w:rPr>
        <w:t xml:space="preserve"> utilised the modelling capabilities behind SMILE EU to account for how policy affects the microeconomic decisions of firms and households. Consumer reactions to prices, substitution between ICE</w:t>
      </w:r>
      <w:r w:rsidR="006C4316" w:rsidRPr="00F261DB">
        <w:rPr>
          <w:rFonts w:eastAsia="Times New Roman" w:cs="Times New Roman"/>
          <w:noProof/>
        </w:rPr>
        <w:t>s</w:t>
      </w:r>
      <w:r w:rsidR="00D52E39" w:rsidRPr="00F261DB">
        <w:rPr>
          <w:rFonts w:eastAsia="Times New Roman" w:cs="Times New Roman"/>
          <w:noProof/>
        </w:rPr>
        <w:t xml:space="preserve"> and EVs, and competition between EU and non-EU car manufacturers are crucial to get a comprehensive picture of the aggregate effects. The different mechanisms that come into place inform policymakers of the suitability of various instruments that can mitigate the side effects of the policy.</w:t>
      </w:r>
    </w:p>
    <w:p w14:paraId="579E87C9" w14:textId="6E38448C" w:rsidR="00892161" w:rsidRPr="00FF63D1" w:rsidRDefault="00D91EF1" w:rsidP="00FC7AB2">
      <w:pPr>
        <w:spacing w:after="120"/>
        <w:rPr>
          <w:rFonts w:eastAsia="Times New Roman" w:cs="Times New Roman"/>
          <w:noProof/>
        </w:rPr>
      </w:pPr>
      <w:r w:rsidRPr="008B332E">
        <w:rPr>
          <w:rFonts w:eastAsia="Times New Roman" w:cs="Times New Roman"/>
          <w:noProof/>
        </w:rPr>
        <w:t xml:space="preserve">As </w:t>
      </w:r>
      <w:r w:rsidR="00F44EDC" w:rsidRPr="008B332E">
        <w:rPr>
          <w:rFonts w:eastAsia="Times New Roman" w:cs="Times New Roman"/>
          <w:noProof/>
        </w:rPr>
        <w:t xml:space="preserve">with </w:t>
      </w:r>
      <w:r w:rsidRPr="008B332E">
        <w:rPr>
          <w:rFonts w:eastAsia="Times New Roman" w:cs="Times New Roman"/>
          <w:noProof/>
        </w:rPr>
        <w:t>any model</w:t>
      </w:r>
      <w:r w:rsidR="000E450C" w:rsidRPr="008B332E">
        <w:rPr>
          <w:rFonts w:eastAsia="Times New Roman" w:cs="Times New Roman"/>
          <w:noProof/>
        </w:rPr>
        <w:t>ling exercise</w:t>
      </w:r>
      <w:r w:rsidR="00056A0E" w:rsidRPr="008B332E">
        <w:rPr>
          <w:rFonts w:eastAsia="Times New Roman" w:cs="Times New Roman"/>
          <w:noProof/>
        </w:rPr>
        <w:t xml:space="preserve">, </w:t>
      </w:r>
      <w:r w:rsidR="00F44EDC" w:rsidRPr="008B332E">
        <w:rPr>
          <w:rFonts w:eastAsia="Times New Roman" w:cs="Times New Roman"/>
          <w:noProof/>
        </w:rPr>
        <w:t xml:space="preserve">the scenarios analysed are </w:t>
      </w:r>
      <w:r w:rsidR="00DB7E96" w:rsidRPr="008B332E">
        <w:rPr>
          <w:rFonts w:eastAsia="Times New Roman" w:cs="Times New Roman"/>
          <w:noProof/>
        </w:rPr>
        <w:t>a simplification</w:t>
      </w:r>
      <w:r w:rsidR="007B3F70" w:rsidRPr="008B332E">
        <w:rPr>
          <w:rFonts w:eastAsia="Times New Roman" w:cs="Times New Roman"/>
          <w:noProof/>
        </w:rPr>
        <w:t xml:space="preserve"> of the reality</w:t>
      </w:r>
      <w:r w:rsidR="00BB5ADA" w:rsidRPr="008B332E">
        <w:rPr>
          <w:rFonts w:eastAsia="Times New Roman" w:cs="Times New Roman"/>
          <w:noProof/>
        </w:rPr>
        <w:t xml:space="preserve">. </w:t>
      </w:r>
      <w:r w:rsidR="000E450C" w:rsidRPr="008B332E">
        <w:rPr>
          <w:rFonts w:eastAsia="Times New Roman" w:cs="Times New Roman"/>
          <w:noProof/>
        </w:rPr>
        <w:t>In the case of vehicle components, o</w:t>
      </w:r>
      <w:r w:rsidR="002166E1" w:rsidRPr="008B332E">
        <w:rPr>
          <w:rFonts w:eastAsia="Times New Roman" w:cs="Times New Roman"/>
          <w:noProof/>
        </w:rPr>
        <w:t xml:space="preserve">nly </w:t>
      </w:r>
      <w:r w:rsidR="0086531F" w:rsidRPr="008B332E">
        <w:rPr>
          <w:rFonts w:eastAsia="Times New Roman" w:cs="Times New Roman"/>
          <w:noProof/>
        </w:rPr>
        <w:t xml:space="preserve">one </w:t>
      </w:r>
      <w:r w:rsidR="00CC3CE7" w:rsidRPr="008B332E">
        <w:rPr>
          <w:rFonts w:eastAsia="Times New Roman" w:cs="Times New Roman"/>
          <w:noProof/>
        </w:rPr>
        <w:t>“</w:t>
      </w:r>
      <w:r w:rsidR="002166E1" w:rsidRPr="008B332E">
        <w:rPr>
          <w:rFonts w:eastAsia="Times New Roman" w:cs="Times New Roman"/>
          <w:noProof/>
        </w:rPr>
        <w:t>average</w:t>
      </w:r>
      <w:r w:rsidR="00CC3CE7" w:rsidRPr="008B332E">
        <w:rPr>
          <w:rFonts w:eastAsia="Times New Roman" w:cs="Times New Roman"/>
          <w:noProof/>
        </w:rPr>
        <w:t>”</w:t>
      </w:r>
      <w:r w:rsidR="002166E1" w:rsidRPr="008B332E">
        <w:rPr>
          <w:rFonts w:eastAsia="Times New Roman" w:cs="Times New Roman"/>
          <w:noProof/>
        </w:rPr>
        <w:t xml:space="preserve"> </w:t>
      </w:r>
      <w:r w:rsidR="00345389" w:rsidRPr="008B332E">
        <w:rPr>
          <w:rFonts w:eastAsia="Times New Roman" w:cs="Times New Roman"/>
          <w:noProof/>
        </w:rPr>
        <w:t xml:space="preserve">EV </w:t>
      </w:r>
      <w:r w:rsidR="0086531F" w:rsidRPr="008B332E">
        <w:rPr>
          <w:rFonts w:eastAsia="Times New Roman" w:cs="Times New Roman"/>
          <w:noProof/>
        </w:rPr>
        <w:t>(</w:t>
      </w:r>
      <w:r w:rsidR="00345389" w:rsidRPr="008B332E">
        <w:rPr>
          <w:rFonts w:eastAsia="Times New Roman" w:cs="Times New Roman"/>
          <w:noProof/>
        </w:rPr>
        <w:t xml:space="preserve">and </w:t>
      </w:r>
      <w:r w:rsidR="0086531F" w:rsidRPr="008B332E">
        <w:rPr>
          <w:rFonts w:eastAsia="Times New Roman" w:cs="Times New Roman"/>
          <w:noProof/>
        </w:rPr>
        <w:t xml:space="preserve">one average </w:t>
      </w:r>
      <w:r w:rsidR="00345389" w:rsidRPr="008B332E">
        <w:rPr>
          <w:rFonts w:eastAsia="Times New Roman" w:cs="Times New Roman"/>
          <w:noProof/>
        </w:rPr>
        <w:t>ICE</w:t>
      </w:r>
      <w:r w:rsidR="0086531F" w:rsidRPr="008B332E">
        <w:rPr>
          <w:rFonts w:eastAsia="Times New Roman" w:cs="Times New Roman"/>
          <w:noProof/>
        </w:rPr>
        <w:t>)</w:t>
      </w:r>
      <w:r w:rsidR="00345389" w:rsidRPr="008B332E">
        <w:rPr>
          <w:rFonts w:eastAsia="Times New Roman" w:cs="Times New Roman"/>
          <w:noProof/>
        </w:rPr>
        <w:t xml:space="preserve"> is modelled</w:t>
      </w:r>
      <w:r w:rsidR="00B535CE" w:rsidRPr="008B332E">
        <w:rPr>
          <w:rFonts w:eastAsia="Times New Roman" w:cs="Times New Roman"/>
          <w:noProof/>
        </w:rPr>
        <w:t xml:space="preserve"> (full battery EV</w:t>
      </w:r>
      <w:r w:rsidR="00566789" w:rsidRPr="008B332E">
        <w:rPr>
          <w:rFonts w:eastAsia="Times New Roman" w:cs="Times New Roman"/>
          <w:noProof/>
        </w:rPr>
        <w:t>s</w:t>
      </w:r>
      <w:r w:rsidR="00B535CE" w:rsidRPr="008B332E">
        <w:rPr>
          <w:rFonts w:eastAsia="Times New Roman" w:cs="Times New Roman"/>
          <w:noProof/>
        </w:rPr>
        <w:t xml:space="preserve"> cannot be differentiated from </w:t>
      </w:r>
      <w:r w:rsidR="00566789" w:rsidRPr="008B332E">
        <w:rPr>
          <w:rFonts w:eastAsia="Times New Roman" w:cs="Times New Roman"/>
          <w:noProof/>
        </w:rPr>
        <w:t xml:space="preserve">other EVs such as </w:t>
      </w:r>
      <w:r w:rsidR="00B535CE" w:rsidRPr="008B332E">
        <w:rPr>
          <w:rFonts w:eastAsia="Times New Roman" w:cs="Times New Roman"/>
          <w:noProof/>
        </w:rPr>
        <w:t>plu</w:t>
      </w:r>
      <w:r w:rsidR="0095648E" w:rsidRPr="008B332E">
        <w:rPr>
          <w:rFonts w:eastAsia="Times New Roman" w:cs="Times New Roman"/>
          <w:noProof/>
        </w:rPr>
        <w:t>g-in EV</w:t>
      </w:r>
      <w:r w:rsidR="00566789" w:rsidRPr="008B332E">
        <w:rPr>
          <w:rFonts w:eastAsia="Times New Roman" w:cs="Times New Roman"/>
          <w:noProof/>
        </w:rPr>
        <w:t>s or fuel cell EVs)</w:t>
      </w:r>
      <w:r w:rsidR="0079488B" w:rsidRPr="008B332E">
        <w:rPr>
          <w:rFonts w:eastAsia="Times New Roman" w:cs="Times New Roman"/>
          <w:noProof/>
        </w:rPr>
        <w:t xml:space="preserve">. </w:t>
      </w:r>
      <w:r w:rsidR="00BD38FD" w:rsidRPr="008B332E">
        <w:rPr>
          <w:rFonts w:eastAsia="Times New Roman" w:cs="Times New Roman"/>
          <w:noProof/>
        </w:rPr>
        <w:t xml:space="preserve">It is also assumed the same </w:t>
      </w:r>
      <w:r w:rsidR="007243D2" w:rsidRPr="008B332E">
        <w:rPr>
          <w:rFonts w:eastAsia="Times New Roman" w:cs="Times New Roman"/>
          <w:noProof/>
        </w:rPr>
        <w:t xml:space="preserve">production </w:t>
      </w:r>
      <w:r w:rsidR="00BD38FD" w:rsidRPr="008B332E">
        <w:rPr>
          <w:rFonts w:eastAsia="Times New Roman" w:cs="Times New Roman"/>
          <w:noProof/>
        </w:rPr>
        <w:t xml:space="preserve">technology </w:t>
      </w:r>
      <w:r w:rsidR="00204133" w:rsidRPr="008B332E">
        <w:rPr>
          <w:rFonts w:eastAsia="Times New Roman" w:cs="Times New Roman"/>
          <w:noProof/>
        </w:rPr>
        <w:t xml:space="preserve">(same input) </w:t>
      </w:r>
      <w:r w:rsidR="00636F63" w:rsidRPr="008B332E">
        <w:rPr>
          <w:rFonts w:eastAsia="Times New Roman" w:cs="Times New Roman"/>
          <w:noProof/>
        </w:rPr>
        <w:t xml:space="preserve">to produce a </w:t>
      </w:r>
      <w:r w:rsidR="009A18E8" w:rsidRPr="008B332E">
        <w:rPr>
          <w:rFonts w:eastAsia="Times New Roman" w:cs="Times New Roman"/>
          <w:noProof/>
        </w:rPr>
        <w:t xml:space="preserve">vehicle </w:t>
      </w:r>
      <w:r w:rsidR="00BD38FD" w:rsidRPr="008B332E">
        <w:rPr>
          <w:rFonts w:eastAsia="Times New Roman" w:cs="Times New Roman"/>
          <w:noProof/>
        </w:rPr>
        <w:t>over the year</w:t>
      </w:r>
      <w:r w:rsidR="00BF0DE1" w:rsidRPr="008B332E">
        <w:rPr>
          <w:rFonts w:eastAsia="Times New Roman" w:cs="Times New Roman"/>
          <w:noProof/>
        </w:rPr>
        <w:t>s</w:t>
      </w:r>
      <w:r w:rsidR="00BD38FD" w:rsidRPr="008B332E">
        <w:rPr>
          <w:rFonts w:eastAsia="Times New Roman" w:cs="Times New Roman"/>
          <w:noProof/>
        </w:rPr>
        <w:t xml:space="preserve">. </w:t>
      </w:r>
      <w:r w:rsidR="0079488B" w:rsidRPr="008B332E">
        <w:rPr>
          <w:rFonts w:eastAsia="Times New Roman" w:cs="Times New Roman"/>
          <w:noProof/>
        </w:rPr>
        <w:t>Nevertheless,</w:t>
      </w:r>
      <w:r w:rsidR="00345389" w:rsidRPr="008B332E">
        <w:rPr>
          <w:rFonts w:eastAsia="Times New Roman" w:cs="Times New Roman"/>
          <w:noProof/>
        </w:rPr>
        <w:t xml:space="preserve"> </w:t>
      </w:r>
      <w:r w:rsidR="0079488B" w:rsidRPr="008B332E">
        <w:rPr>
          <w:rFonts w:eastAsia="Times New Roman" w:cs="Times New Roman"/>
          <w:noProof/>
        </w:rPr>
        <w:t>s</w:t>
      </w:r>
      <w:r w:rsidR="00BB5ADA" w:rsidRPr="008B332E">
        <w:rPr>
          <w:rFonts w:eastAsia="Times New Roman" w:cs="Times New Roman"/>
          <w:noProof/>
        </w:rPr>
        <w:t xml:space="preserve">ome of the </w:t>
      </w:r>
      <w:r w:rsidR="005A7C88" w:rsidRPr="008B332E">
        <w:rPr>
          <w:rFonts w:eastAsia="Times New Roman" w:cs="Times New Roman"/>
          <w:noProof/>
        </w:rPr>
        <w:t>modelling</w:t>
      </w:r>
      <w:r w:rsidR="00BB5ADA" w:rsidRPr="008B332E">
        <w:rPr>
          <w:rFonts w:eastAsia="Times New Roman" w:cs="Times New Roman"/>
          <w:noProof/>
        </w:rPr>
        <w:t xml:space="preserve"> assumptions are relaxed through the analysis of two different scenarios</w:t>
      </w:r>
      <w:r w:rsidR="007772A5" w:rsidRPr="008B332E">
        <w:rPr>
          <w:rFonts w:eastAsia="Times New Roman" w:cs="Times New Roman"/>
          <w:noProof/>
        </w:rPr>
        <w:t xml:space="preserve"> on vehicle components</w:t>
      </w:r>
      <w:r w:rsidR="00BB5ADA" w:rsidRPr="008B332E">
        <w:rPr>
          <w:rFonts w:eastAsia="Times New Roman" w:cs="Times New Roman"/>
          <w:noProof/>
        </w:rPr>
        <w:t xml:space="preserve"> </w:t>
      </w:r>
      <w:r w:rsidR="0079488B" w:rsidRPr="008B332E">
        <w:rPr>
          <w:rFonts w:eastAsia="Times New Roman" w:cs="Times New Roman"/>
          <w:noProof/>
        </w:rPr>
        <w:t>(</w:t>
      </w:r>
      <w:r w:rsidR="00780D27" w:rsidRPr="008B332E">
        <w:rPr>
          <w:rFonts w:eastAsia="Times New Roman" w:cs="Times New Roman"/>
          <w:noProof/>
        </w:rPr>
        <w:t>accounting for</w:t>
      </w:r>
      <w:r w:rsidR="0079488B" w:rsidRPr="008B332E">
        <w:rPr>
          <w:rFonts w:eastAsia="Times New Roman" w:cs="Times New Roman"/>
          <w:noProof/>
        </w:rPr>
        <w:t xml:space="preserve"> </w:t>
      </w:r>
      <w:r w:rsidR="004265A0" w:rsidRPr="008B332E">
        <w:rPr>
          <w:rFonts w:eastAsia="Times New Roman" w:cs="Times New Roman"/>
          <w:noProof/>
        </w:rPr>
        <w:t>different</w:t>
      </w:r>
      <w:r w:rsidR="00780D27" w:rsidRPr="008B332E">
        <w:rPr>
          <w:rFonts w:eastAsia="Times New Roman" w:cs="Times New Roman"/>
          <w:noProof/>
        </w:rPr>
        <w:t xml:space="preserve"> </w:t>
      </w:r>
      <w:r w:rsidR="00ED1E78" w:rsidRPr="008B332E">
        <w:rPr>
          <w:rFonts w:eastAsia="Times New Roman" w:cs="Times New Roman"/>
          <w:noProof/>
        </w:rPr>
        <w:t>potential</w:t>
      </w:r>
      <w:r w:rsidR="0079488B" w:rsidRPr="008B332E">
        <w:rPr>
          <w:rFonts w:eastAsia="Times New Roman" w:cs="Times New Roman"/>
          <w:noProof/>
        </w:rPr>
        <w:t xml:space="preserve"> reaction</w:t>
      </w:r>
      <w:r w:rsidR="00ED1E78" w:rsidRPr="008B332E">
        <w:rPr>
          <w:rFonts w:eastAsia="Times New Roman" w:cs="Times New Roman"/>
          <w:noProof/>
        </w:rPr>
        <w:t>s</w:t>
      </w:r>
      <w:r w:rsidR="0079488B" w:rsidRPr="008B332E">
        <w:rPr>
          <w:rFonts w:eastAsia="Times New Roman" w:cs="Times New Roman"/>
          <w:noProof/>
        </w:rPr>
        <w:t xml:space="preserve"> of </w:t>
      </w:r>
      <w:r w:rsidR="005A7C88" w:rsidRPr="008B332E">
        <w:rPr>
          <w:rFonts w:eastAsia="Times New Roman" w:cs="Times New Roman"/>
          <w:noProof/>
        </w:rPr>
        <w:t>n</w:t>
      </w:r>
      <w:r w:rsidR="0079488B" w:rsidRPr="008B332E">
        <w:rPr>
          <w:rFonts w:eastAsia="Times New Roman" w:cs="Times New Roman"/>
          <w:noProof/>
        </w:rPr>
        <w:t xml:space="preserve">on-EU manufacturers) </w:t>
      </w:r>
      <w:r w:rsidR="007614C5" w:rsidRPr="008B332E">
        <w:rPr>
          <w:rFonts w:eastAsia="Times New Roman" w:cs="Times New Roman"/>
          <w:noProof/>
        </w:rPr>
        <w:t xml:space="preserve">– see </w:t>
      </w:r>
      <w:r w:rsidR="006E3159" w:rsidRPr="008B332E">
        <w:rPr>
          <w:rFonts w:eastAsia="Times New Roman" w:cs="Times New Roman"/>
          <w:noProof/>
        </w:rPr>
        <w:t xml:space="preserve">Annex 14 </w:t>
      </w:r>
      <w:r w:rsidR="007614C5" w:rsidRPr="008B332E">
        <w:rPr>
          <w:rFonts w:eastAsia="Times New Roman" w:cs="Times New Roman"/>
          <w:noProof/>
        </w:rPr>
        <w:t xml:space="preserve">– </w:t>
      </w:r>
      <w:r w:rsidR="00BB5ADA" w:rsidRPr="008B332E">
        <w:rPr>
          <w:rFonts w:eastAsia="Times New Roman" w:cs="Times New Roman"/>
          <w:noProof/>
        </w:rPr>
        <w:t xml:space="preserve">and </w:t>
      </w:r>
      <w:r w:rsidR="0076166A" w:rsidRPr="008B332E">
        <w:rPr>
          <w:rFonts w:eastAsia="Times New Roman" w:cs="Times New Roman"/>
          <w:noProof/>
        </w:rPr>
        <w:t xml:space="preserve">a sensitivity analysis of key parameters (elasticities of </w:t>
      </w:r>
      <w:r w:rsidR="00FC4D64" w:rsidRPr="008B332E">
        <w:rPr>
          <w:rFonts w:eastAsia="Times New Roman" w:cs="Times New Roman"/>
          <w:noProof/>
        </w:rPr>
        <w:t xml:space="preserve">demand </w:t>
      </w:r>
      <w:r w:rsidR="007C3991" w:rsidRPr="008B332E">
        <w:rPr>
          <w:rFonts w:eastAsia="Times New Roman" w:cs="Times New Roman"/>
          <w:noProof/>
        </w:rPr>
        <w:t xml:space="preserve">and </w:t>
      </w:r>
      <w:r w:rsidR="0076166A" w:rsidRPr="008B332E">
        <w:rPr>
          <w:rFonts w:eastAsia="Times New Roman" w:cs="Times New Roman"/>
          <w:noProof/>
        </w:rPr>
        <w:t xml:space="preserve">of </w:t>
      </w:r>
      <w:r w:rsidR="00994DE3" w:rsidRPr="008B332E">
        <w:rPr>
          <w:rFonts w:eastAsia="Times New Roman" w:cs="Times New Roman"/>
          <w:noProof/>
        </w:rPr>
        <w:t>substitution</w:t>
      </w:r>
      <w:r w:rsidR="0076166A" w:rsidRPr="008B332E">
        <w:rPr>
          <w:rFonts w:eastAsia="Times New Roman" w:cs="Times New Roman"/>
          <w:noProof/>
        </w:rPr>
        <w:t>)</w:t>
      </w:r>
      <w:r w:rsidR="007614C5" w:rsidRPr="008B332E">
        <w:rPr>
          <w:rFonts w:eastAsia="Times New Roman" w:cs="Times New Roman"/>
          <w:noProof/>
        </w:rPr>
        <w:t xml:space="preserve"> is performed </w:t>
      </w:r>
      <w:r w:rsidR="00490B08" w:rsidRPr="008B332E">
        <w:rPr>
          <w:rFonts w:eastAsia="Times New Roman" w:cs="Times New Roman"/>
          <w:noProof/>
        </w:rPr>
        <w:t>–</w:t>
      </w:r>
      <w:r w:rsidR="007614C5" w:rsidRPr="008B332E">
        <w:rPr>
          <w:rFonts w:eastAsia="Times New Roman" w:cs="Times New Roman"/>
          <w:noProof/>
        </w:rPr>
        <w:t xml:space="preserve"> </w:t>
      </w:r>
      <w:r w:rsidR="00490B08" w:rsidRPr="008B332E">
        <w:rPr>
          <w:rFonts w:eastAsia="Times New Roman" w:cs="Times New Roman"/>
          <w:noProof/>
        </w:rPr>
        <w:t>see</w:t>
      </w:r>
      <w:r w:rsidR="006E3159" w:rsidRPr="008B332E">
        <w:rPr>
          <w:rFonts w:eastAsia="Times New Roman" w:cs="Times New Roman"/>
          <w:noProof/>
        </w:rPr>
        <w:t xml:space="preserve"> Annex 15</w:t>
      </w:r>
      <w:r w:rsidR="007C3991" w:rsidRPr="008B332E">
        <w:rPr>
          <w:rFonts w:eastAsia="Times New Roman" w:cs="Times New Roman"/>
          <w:noProof/>
        </w:rPr>
        <w:t>.</w:t>
      </w:r>
    </w:p>
    <w:p w14:paraId="6506C11F" w14:textId="020814B0" w:rsidR="00023D63" w:rsidRPr="00FC7AB2" w:rsidRDefault="00E35A02" w:rsidP="002837F7">
      <w:pPr>
        <w:pStyle w:val="ListParagraph"/>
        <w:keepNext/>
        <w:keepLines/>
        <w:numPr>
          <w:ilvl w:val="1"/>
          <w:numId w:val="157"/>
        </w:numPr>
        <w:spacing w:before="360" w:after="80"/>
        <w:outlineLvl w:val="0"/>
        <w:rPr>
          <w:rFonts w:eastAsia="Yu Gothic Light"/>
          <w:b/>
          <w:noProof/>
        </w:rPr>
      </w:pPr>
      <w:bookmarkStart w:id="250" w:name="_Toc212728804"/>
      <w:bookmarkStart w:id="251" w:name="_Toc212729078"/>
      <w:bookmarkStart w:id="252" w:name="_Toc212729330"/>
      <w:bookmarkStart w:id="253" w:name="_Toc215506274"/>
      <w:bookmarkStart w:id="254" w:name="_Toc222159325"/>
      <w:bookmarkStart w:id="255" w:name="_Toc222489529"/>
      <w:bookmarkStart w:id="256" w:name="_Toc222490018"/>
      <w:r w:rsidRPr="002837F7">
        <w:rPr>
          <w:rFonts w:eastAsia="Yu Gothic Light"/>
          <w:b/>
          <w:noProof/>
        </w:rPr>
        <w:t>JRC-GEM-E3</w:t>
      </w:r>
      <w:bookmarkEnd w:id="250"/>
      <w:bookmarkEnd w:id="251"/>
      <w:bookmarkEnd w:id="252"/>
      <w:bookmarkEnd w:id="253"/>
      <w:bookmarkEnd w:id="254"/>
      <w:bookmarkEnd w:id="255"/>
      <w:bookmarkEnd w:id="256"/>
    </w:p>
    <w:p w14:paraId="49509763" w14:textId="5780D904" w:rsidR="00023D63" w:rsidRPr="00F261DB" w:rsidRDefault="00023D63" w:rsidP="00FC7AB2">
      <w:pPr>
        <w:spacing w:after="120"/>
        <w:rPr>
          <w:b/>
          <w:noProof/>
        </w:rPr>
      </w:pPr>
      <w:r w:rsidRPr="00F261DB">
        <w:rPr>
          <w:b/>
          <w:noProof/>
        </w:rPr>
        <w:t>JRC</w:t>
      </w:r>
      <w:r w:rsidR="000E27A6" w:rsidRPr="00FF63D1">
        <w:rPr>
          <w:b/>
          <w:noProof/>
        </w:rPr>
        <w:t xml:space="preserve"> assessment of environmental impact LEAD_VC using the JRC</w:t>
      </w:r>
      <w:r w:rsidRPr="00F261DB">
        <w:rPr>
          <w:b/>
          <w:noProof/>
        </w:rPr>
        <w:t>-GEM-E3 model</w:t>
      </w:r>
    </w:p>
    <w:p w14:paraId="05A2BFEA" w14:textId="77777777" w:rsidR="004C0244" w:rsidRPr="00F261DB" w:rsidRDefault="1F3A4D93" w:rsidP="00FC7AB2">
      <w:pPr>
        <w:spacing w:after="120"/>
        <w:rPr>
          <w:noProof/>
        </w:rPr>
      </w:pPr>
      <w:r w:rsidRPr="00F261DB">
        <w:rPr>
          <w:noProof/>
        </w:rPr>
        <w:t>In a reference scenario which includes current policies</w:t>
      </w:r>
      <w:r w:rsidR="004C0244" w:rsidRPr="00F261DB">
        <w:rPr>
          <w:rStyle w:val="FootnoteReference"/>
          <w:noProof/>
        </w:rPr>
        <w:footnoteReference w:id="260"/>
      </w:r>
      <w:r w:rsidRPr="00F261DB">
        <w:rPr>
          <w:noProof/>
        </w:rPr>
        <w:t xml:space="preserve">, the JRC-GEM-E3 model projects the emission intensity (emissions including from electricity use divided by output) in the “Manufacture of motor vehicles, trailers and semi-trailers” sector in regions from which the EU imports vehicles to be at least twice as high as in the EU in 2025. This efficiency gap is projected to increase over time as the emission intensity in the EU declines faster than outside the EU. This intensity does not </w:t>
      </w:r>
      <w:r w:rsidRPr="00F261DB">
        <w:rPr>
          <w:noProof/>
        </w:rPr>
        <w:lastRenderedPageBreak/>
        <w:t xml:space="preserve">contain the whole vehicle value chain. The difference in the emission intensity is used to calculate changes in emission from the production of vehicles. </w:t>
      </w:r>
    </w:p>
    <w:p w14:paraId="4EF6C5F8" w14:textId="34E863FB" w:rsidR="00E35A02" w:rsidRPr="002837F7" w:rsidRDefault="00E35A02" w:rsidP="002703E8">
      <w:pPr>
        <w:pStyle w:val="ListParagraph"/>
        <w:keepNext/>
        <w:keepLines/>
        <w:numPr>
          <w:ilvl w:val="1"/>
          <w:numId w:val="157"/>
        </w:numPr>
        <w:spacing w:before="360" w:after="80"/>
        <w:outlineLvl w:val="0"/>
        <w:rPr>
          <w:rFonts w:eastAsia="Yu Gothic Light"/>
          <w:b/>
          <w:noProof/>
        </w:rPr>
      </w:pPr>
      <w:bookmarkStart w:id="257" w:name="_Toc212728805"/>
      <w:bookmarkStart w:id="258" w:name="_Toc212729079"/>
      <w:bookmarkStart w:id="259" w:name="_Toc212729331"/>
      <w:bookmarkStart w:id="260" w:name="_Toc215506275"/>
      <w:bookmarkStart w:id="261" w:name="_Toc222159326"/>
      <w:bookmarkStart w:id="262" w:name="_Toc222489530"/>
      <w:bookmarkStart w:id="263" w:name="_Toc222490019"/>
      <w:r w:rsidRPr="002837F7">
        <w:rPr>
          <w:rFonts w:eastAsia="Yu Gothic Light"/>
          <w:b/>
          <w:noProof/>
        </w:rPr>
        <w:t>SCAN</w:t>
      </w:r>
      <w:bookmarkEnd w:id="257"/>
      <w:bookmarkEnd w:id="258"/>
      <w:bookmarkEnd w:id="259"/>
      <w:bookmarkEnd w:id="260"/>
      <w:bookmarkEnd w:id="261"/>
      <w:bookmarkEnd w:id="262"/>
      <w:bookmarkEnd w:id="263"/>
    </w:p>
    <w:p w14:paraId="36E016EA" w14:textId="019A83C2" w:rsidR="00D44319" w:rsidRPr="00F261DB" w:rsidRDefault="00D44319" w:rsidP="00FC7AB2">
      <w:pPr>
        <w:spacing w:after="120"/>
        <w:rPr>
          <w:rFonts w:eastAsia="Times New Roman" w:cs="Times New Roman"/>
          <w:noProof/>
        </w:rPr>
      </w:pPr>
      <w:r w:rsidRPr="00F261DB">
        <w:rPr>
          <w:rFonts w:eastAsia="Times New Roman" w:cs="Times New Roman"/>
          <w:b/>
          <w:noProof/>
        </w:rPr>
        <w:t>SCAN</w:t>
      </w:r>
      <w:r w:rsidRPr="00F261DB">
        <w:rPr>
          <w:rFonts w:eastAsia="Times New Roman" w:cs="Times New Roman"/>
          <w:noProof/>
        </w:rPr>
        <w:t xml:space="preserve"> (Supply Chain Alert Notification), developed by DG GROW, complements these models by monitoring supply chain distress across the EU. It is an indicator-based quantitative system designed to detect early signs of shortages or inflationary pressures in strategic products and sectors. The SCAN combines:</w:t>
      </w:r>
    </w:p>
    <w:p w14:paraId="064A57FC" w14:textId="77777777" w:rsidR="00455E0B" w:rsidRPr="00F261DB" w:rsidRDefault="00D44319" w:rsidP="00FC7AB2">
      <w:pPr>
        <w:pStyle w:val="ListParagraph"/>
        <w:numPr>
          <w:ilvl w:val="0"/>
          <w:numId w:val="42"/>
        </w:numPr>
        <w:rPr>
          <w:rFonts w:eastAsia="Times New Roman" w:cs="Times New Roman"/>
          <w:noProof/>
        </w:rPr>
      </w:pPr>
      <w:r w:rsidRPr="00F261DB">
        <w:rPr>
          <w:rFonts w:eastAsia="Times New Roman" w:cs="Times New Roman"/>
          <w:noProof/>
        </w:rPr>
        <w:t>High-frequency indicators (Block 1), which track import prices and quantities using customs data updated every two weeks, identifying products that show a simultaneous rise in import prices and fall in import volumes as potential distress cases; and</w:t>
      </w:r>
    </w:p>
    <w:p w14:paraId="368397E5" w14:textId="77777777" w:rsidR="00D44319" w:rsidRPr="00F261DB" w:rsidRDefault="00D44319" w:rsidP="00FC7AB2">
      <w:pPr>
        <w:pStyle w:val="ListParagraph"/>
        <w:numPr>
          <w:ilvl w:val="0"/>
          <w:numId w:val="42"/>
        </w:numPr>
        <w:rPr>
          <w:rFonts w:eastAsia="Times New Roman" w:cs="Times New Roman"/>
          <w:noProof/>
        </w:rPr>
      </w:pPr>
      <w:r w:rsidRPr="00F261DB">
        <w:rPr>
          <w:rFonts w:eastAsia="Times New Roman" w:cs="Times New Roman"/>
          <w:noProof/>
        </w:rPr>
        <w:t>Structural indicators (Block 2), which assess ex-ante risks based on import concentration (Herfindahl-Hirschman Index), dependency on non-EU suppliers, and substitutability with EU production, using COMEXT and PRODCOM data.</w:t>
      </w:r>
    </w:p>
    <w:p w14:paraId="7166FB3D" w14:textId="77777777" w:rsidR="00D44319" w:rsidRPr="00F261DB" w:rsidRDefault="00D44319" w:rsidP="00D44319">
      <w:pPr>
        <w:rPr>
          <w:rFonts w:eastAsia="Times New Roman" w:cs="Times New Roman"/>
          <w:noProof/>
        </w:rPr>
      </w:pPr>
    </w:p>
    <w:p w14:paraId="16C14534" w14:textId="77777777" w:rsidR="00D44319" w:rsidRPr="00F261DB" w:rsidRDefault="00D44319" w:rsidP="00557FB9">
      <w:pPr>
        <w:spacing w:after="120"/>
        <w:rPr>
          <w:rFonts w:eastAsia="Times New Roman" w:cs="Times New Roman"/>
          <w:noProof/>
        </w:rPr>
      </w:pPr>
      <w:r w:rsidRPr="00F261DB">
        <w:rPr>
          <w:rFonts w:eastAsia="Times New Roman" w:cs="Times New Roman"/>
          <w:noProof/>
        </w:rPr>
        <w:t>At the sectoral level, the SCAN also integrates short-term business statistics and business surveys to identify industries where firms report material and equipment shortages, enabling a cross-check between quantitative and qualitative evidence.</w:t>
      </w:r>
    </w:p>
    <w:p w14:paraId="01620CC1" w14:textId="07973C4E" w:rsidR="00D44319" w:rsidRPr="00F261DB" w:rsidRDefault="00D44319" w:rsidP="00557AFD">
      <w:pPr>
        <w:spacing w:after="120"/>
        <w:rPr>
          <w:rFonts w:eastAsia="Times New Roman" w:cs="Times New Roman"/>
          <w:noProof/>
        </w:rPr>
      </w:pPr>
      <w:r w:rsidRPr="00F261DB">
        <w:rPr>
          <w:rFonts w:eastAsia="Times New Roman" w:cs="Times New Roman"/>
          <w:noProof/>
        </w:rPr>
        <w:t>In this Impact Assessment, SCAN indicators were used to assess the exposure of the EU’s energy-intensive industries (EIIs) to external supply disruptions and dependencies</w:t>
      </w:r>
    </w:p>
    <w:p w14:paraId="0EC24459" w14:textId="38B8F22B" w:rsidR="00020031" w:rsidRPr="00557AFD" w:rsidRDefault="00184F3A" w:rsidP="00D614EB">
      <w:pPr>
        <w:pStyle w:val="ListParagraph"/>
        <w:keepNext/>
        <w:keepLines/>
        <w:numPr>
          <w:ilvl w:val="0"/>
          <w:numId w:val="157"/>
        </w:numPr>
        <w:spacing w:before="360" w:after="80"/>
        <w:outlineLvl w:val="0"/>
        <w:rPr>
          <w:rFonts w:eastAsia="Yu Gothic Light"/>
          <w:b/>
          <w:noProof/>
        </w:rPr>
      </w:pPr>
      <w:bookmarkStart w:id="264" w:name="_Toc212728806"/>
      <w:bookmarkStart w:id="265" w:name="_Toc212729080"/>
      <w:bookmarkStart w:id="266" w:name="_Toc212729332"/>
      <w:bookmarkStart w:id="267" w:name="_Toc215506276"/>
      <w:bookmarkStart w:id="268" w:name="_Toc222159327"/>
      <w:bookmarkStart w:id="269" w:name="_Toc222489531"/>
      <w:bookmarkStart w:id="270" w:name="_Toc222490020"/>
      <w:r w:rsidRPr="00557AFD">
        <w:rPr>
          <w:rFonts w:eastAsia="Yu Gothic Light"/>
          <w:b/>
          <w:noProof/>
        </w:rPr>
        <w:t>Analysis of i</w:t>
      </w:r>
      <w:r w:rsidR="00020031" w:rsidRPr="00557AFD">
        <w:rPr>
          <w:rFonts w:eastAsia="Yu Gothic Light"/>
          <w:b/>
          <w:noProof/>
        </w:rPr>
        <w:t>mpacts</w:t>
      </w:r>
      <w:bookmarkEnd w:id="264"/>
      <w:bookmarkEnd w:id="265"/>
      <w:bookmarkEnd w:id="266"/>
      <w:bookmarkEnd w:id="267"/>
      <w:bookmarkEnd w:id="268"/>
      <w:bookmarkEnd w:id="269"/>
      <w:bookmarkEnd w:id="270"/>
      <w:r w:rsidR="00020031" w:rsidRPr="00557AFD">
        <w:rPr>
          <w:rFonts w:eastAsia="Yu Gothic Light"/>
          <w:b/>
          <w:noProof/>
        </w:rPr>
        <w:t xml:space="preserve"> </w:t>
      </w:r>
    </w:p>
    <w:p w14:paraId="4D8F7EAD" w14:textId="31F3A25E" w:rsidR="006D4082" w:rsidRPr="00F261DB" w:rsidRDefault="006D4082" w:rsidP="00557AFD">
      <w:pPr>
        <w:spacing w:after="120"/>
        <w:rPr>
          <w:rFonts w:eastAsia="Times New Roman" w:cs="Times New Roman"/>
          <w:noProof/>
          <w:color w:val="000000" w:themeColor="text1"/>
          <w:szCs w:val="24"/>
        </w:rPr>
      </w:pPr>
      <w:r w:rsidRPr="00F261DB">
        <w:rPr>
          <w:rFonts w:eastAsia="Times New Roman" w:cs="Times New Roman"/>
          <w:noProof/>
          <w:color w:val="000000" w:themeColor="text1"/>
          <w:szCs w:val="24"/>
        </w:rPr>
        <w:t xml:space="preserve">All costs </w:t>
      </w:r>
      <w:r w:rsidR="6254E92F" w:rsidRPr="00F261DB">
        <w:rPr>
          <w:rFonts w:eastAsia="Times New Roman" w:cs="Times New Roman"/>
          <w:noProof/>
          <w:color w:val="000000" w:themeColor="text1"/>
          <w:szCs w:val="24"/>
        </w:rPr>
        <w:t xml:space="preserve">in this Impact Assessment </w:t>
      </w:r>
      <w:r w:rsidRPr="00F261DB">
        <w:rPr>
          <w:rFonts w:eastAsia="Times New Roman" w:cs="Times New Roman"/>
          <w:noProof/>
          <w:color w:val="000000" w:themeColor="text1"/>
          <w:szCs w:val="24"/>
        </w:rPr>
        <w:t xml:space="preserve">are </w:t>
      </w:r>
      <w:r w:rsidR="00D602FB" w:rsidRPr="00FF63D1">
        <w:rPr>
          <w:rFonts w:eastAsia="Times New Roman" w:cs="Times New Roman"/>
          <w:noProof/>
          <w:color w:val="000000" w:themeColor="text1"/>
          <w:szCs w:val="24"/>
        </w:rPr>
        <w:t>presented</w:t>
      </w:r>
      <w:r w:rsidRPr="00F261DB">
        <w:rPr>
          <w:rFonts w:eastAsia="Times New Roman" w:cs="Times New Roman"/>
          <w:noProof/>
          <w:color w:val="000000" w:themeColor="text1"/>
          <w:szCs w:val="24"/>
        </w:rPr>
        <w:t xml:space="preserve"> for the year 2030.</w:t>
      </w:r>
      <w:r w:rsidR="006A6164" w:rsidRPr="00FF63D1">
        <w:rPr>
          <w:rFonts w:eastAsia="Times New Roman" w:cs="Times New Roman"/>
          <w:noProof/>
          <w:color w:val="000000" w:themeColor="text1"/>
          <w:szCs w:val="24"/>
        </w:rPr>
        <w:t xml:space="preserve"> </w:t>
      </w:r>
      <w:r w:rsidR="008F4AAB" w:rsidRPr="00FF63D1">
        <w:rPr>
          <w:rFonts w:eastAsia="Times New Roman" w:cs="Times New Roman"/>
          <w:noProof/>
          <w:color w:val="000000" w:themeColor="text1"/>
          <w:szCs w:val="24"/>
        </w:rPr>
        <w:t>The Impact Assessment explores measures in a short to medium term</w:t>
      </w:r>
      <w:r w:rsidR="00D2518E" w:rsidRPr="00FF63D1">
        <w:rPr>
          <w:rFonts w:eastAsia="Times New Roman" w:cs="Times New Roman"/>
          <w:noProof/>
          <w:color w:val="000000" w:themeColor="text1"/>
          <w:szCs w:val="24"/>
        </w:rPr>
        <w:t xml:space="preserve"> to be re-evaluated </w:t>
      </w:r>
      <w:r w:rsidR="006C43CE" w:rsidRPr="00FF63D1">
        <w:rPr>
          <w:rFonts w:eastAsia="Times New Roman" w:cs="Times New Roman"/>
          <w:noProof/>
          <w:color w:val="000000" w:themeColor="text1"/>
          <w:szCs w:val="24"/>
        </w:rPr>
        <w:t>i</w:t>
      </w:r>
      <w:r w:rsidR="00D2518E" w:rsidRPr="00FF63D1">
        <w:rPr>
          <w:rFonts w:eastAsia="Times New Roman" w:cs="Times New Roman"/>
          <w:noProof/>
          <w:color w:val="000000" w:themeColor="text1"/>
          <w:szCs w:val="24"/>
        </w:rPr>
        <w:t xml:space="preserve">n 2030 to assess </w:t>
      </w:r>
      <w:r w:rsidR="003E1BB4" w:rsidRPr="00FF63D1">
        <w:rPr>
          <w:rFonts w:eastAsia="Times New Roman" w:cs="Times New Roman"/>
          <w:noProof/>
          <w:color w:val="000000" w:themeColor="text1"/>
          <w:szCs w:val="24"/>
        </w:rPr>
        <w:t>the success of the measures</w:t>
      </w:r>
      <w:r w:rsidR="006C34A8" w:rsidRPr="00FF63D1">
        <w:rPr>
          <w:rFonts w:eastAsia="Times New Roman" w:cs="Times New Roman"/>
          <w:noProof/>
          <w:color w:val="000000" w:themeColor="text1"/>
          <w:szCs w:val="24"/>
        </w:rPr>
        <w:t>.</w:t>
      </w:r>
      <w:r w:rsidR="00AD17A7" w:rsidRPr="00FF63D1">
        <w:rPr>
          <w:rFonts w:eastAsia="Times New Roman" w:cs="Times New Roman"/>
          <w:noProof/>
          <w:color w:val="000000" w:themeColor="text1"/>
          <w:szCs w:val="24"/>
        </w:rPr>
        <w:t xml:space="preserve"> </w:t>
      </w:r>
      <w:r w:rsidR="00F67B9E" w:rsidRPr="00FF63D1">
        <w:rPr>
          <w:rFonts w:eastAsia="Times New Roman" w:cs="Times New Roman"/>
          <w:noProof/>
          <w:color w:val="000000" w:themeColor="text1"/>
          <w:szCs w:val="24"/>
        </w:rPr>
        <w:t xml:space="preserve">As such, </w:t>
      </w:r>
      <w:r w:rsidR="00540680" w:rsidRPr="00FF63D1">
        <w:rPr>
          <w:rFonts w:eastAsia="Times New Roman" w:cs="Times New Roman"/>
          <w:noProof/>
          <w:color w:val="000000" w:themeColor="text1"/>
          <w:szCs w:val="24"/>
        </w:rPr>
        <w:t xml:space="preserve">2030 is identified as key year to measure potential impacts on costs and benefits. </w:t>
      </w:r>
    </w:p>
    <w:p w14:paraId="4EC8594B" w14:textId="4DB9EEFC" w:rsidR="00037CB4" w:rsidRPr="00F261DB" w:rsidRDefault="00037CB4" w:rsidP="00557AFD">
      <w:pPr>
        <w:spacing w:after="120"/>
        <w:rPr>
          <w:rFonts w:eastAsia="Times New Roman" w:cs="Times New Roman"/>
          <w:noProof/>
          <w:color w:val="000000" w:themeColor="text1"/>
          <w:szCs w:val="24"/>
        </w:rPr>
      </w:pPr>
      <w:r w:rsidRPr="00853C60">
        <w:rPr>
          <w:rFonts w:eastAsia="Times New Roman" w:cs="Times New Roman"/>
          <w:noProof/>
          <w:color w:val="000000" w:themeColor="text1"/>
          <w:szCs w:val="24"/>
        </w:rPr>
        <w:t>Annex 15 provides a sensitivity analysis for some of the values analysed</w:t>
      </w:r>
      <w:r w:rsidR="00DE3E59" w:rsidRPr="00853C60">
        <w:rPr>
          <w:rFonts w:eastAsia="Times New Roman" w:cs="Times New Roman"/>
          <w:noProof/>
          <w:color w:val="000000" w:themeColor="text1"/>
          <w:szCs w:val="24"/>
        </w:rPr>
        <w:t xml:space="preserve"> </w:t>
      </w:r>
      <w:r w:rsidRPr="00853C60">
        <w:rPr>
          <w:rFonts w:eastAsia="Times New Roman" w:cs="Times New Roman"/>
          <w:noProof/>
          <w:color w:val="000000" w:themeColor="text1"/>
          <w:szCs w:val="24"/>
        </w:rPr>
        <w:t xml:space="preserve">below to provide </w:t>
      </w:r>
      <w:r w:rsidR="00DE3E59" w:rsidRPr="00853C60">
        <w:rPr>
          <w:rFonts w:eastAsia="Times New Roman" w:cs="Times New Roman"/>
          <w:noProof/>
          <w:color w:val="000000" w:themeColor="text1"/>
          <w:szCs w:val="24"/>
        </w:rPr>
        <w:t>a full spectrum of potential cost impacts.</w:t>
      </w:r>
      <w:r w:rsidR="00DE3E59">
        <w:rPr>
          <w:rFonts w:eastAsia="Times New Roman" w:cs="Times New Roman"/>
          <w:noProof/>
          <w:color w:val="000000" w:themeColor="text1"/>
          <w:szCs w:val="24"/>
        </w:rPr>
        <w:t xml:space="preserve"> </w:t>
      </w:r>
    </w:p>
    <w:p w14:paraId="4778C901" w14:textId="392B9BCE" w:rsidR="00FF2238" w:rsidRPr="00557AFD" w:rsidRDefault="00FF2238" w:rsidP="002703E8">
      <w:pPr>
        <w:pStyle w:val="ListParagraph"/>
        <w:keepNext/>
        <w:keepLines/>
        <w:numPr>
          <w:ilvl w:val="1"/>
          <w:numId w:val="157"/>
        </w:numPr>
        <w:spacing w:before="360" w:after="80"/>
        <w:outlineLvl w:val="0"/>
        <w:rPr>
          <w:rFonts w:eastAsia="Yu Gothic Light"/>
          <w:b/>
          <w:noProof/>
        </w:rPr>
      </w:pPr>
      <w:bookmarkStart w:id="271" w:name="_Toc212728807"/>
      <w:bookmarkStart w:id="272" w:name="_Toc212729081"/>
      <w:bookmarkStart w:id="273" w:name="_Toc212729333"/>
      <w:bookmarkStart w:id="274" w:name="_Toc215506277"/>
      <w:bookmarkStart w:id="275" w:name="_Toc222159328"/>
      <w:bookmarkStart w:id="276" w:name="_Toc222489532"/>
      <w:bookmarkStart w:id="277" w:name="_Toc222490021"/>
      <w:r w:rsidRPr="00557AFD">
        <w:rPr>
          <w:rFonts w:eastAsia="Yu Gothic Light"/>
          <w:b/>
          <w:noProof/>
        </w:rPr>
        <w:t xml:space="preserve">Administrative </w:t>
      </w:r>
      <w:r w:rsidR="00EE6A9A" w:rsidRPr="00557AFD">
        <w:rPr>
          <w:rFonts w:eastAsia="Yu Gothic Light"/>
          <w:b/>
          <w:noProof/>
        </w:rPr>
        <w:t>c</w:t>
      </w:r>
      <w:r w:rsidRPr="00557AFD">
        <w:rPr>
          <w:rFonts w:eastAsia="Yu Gothic Light"/>
          <w:b/>
          <w:noProof/>
        </w:rPr>
        <w:t>osts</w:t>
      </w:r>
      <w:r w:rsidR="00EE6A9A" w:rsidRPr="00557AFD">
        <w:rPr>
          <w:rFonts w:eastAsia="Yu Gothic Light"/>
          <w:b/>
          <w:noProof/>
        </w:rPr>
        <w:t xml:space="preserve"> and benefits</w:t>
      </w:r>
      <w:bookmarkEnd w:id="271"/>
      <w:bookmarkEnd w:id="272"/>
      <w:bookmarkEnd w:id="273"/>
      <w:bookmarkEnd w:id="274"/>
      <w:bookmarkEnd w:id="275"/>
      <w:bookmarkEnd w:id="276"/>
      <w:bookmarkEnd w:id="277"/>
    </w:p>
    <w:p w14:paraId="4D93DD38" w14:textId="77777777" w:rsidR="00F83D84" w:rsidRDefault="00F83D84" w:rsidP="00F83D84">
      <w:pPr>
        <w:pStyle w:val="ListParagraph"/>
        <w:numPr>
          <w:ilvl w:val="0"/>
          <w:numId w:val="171"/>
        </w:numPr>
        <w:spacing w:after="120"/>
        <w:rPr>
          <w:rFonts w:eastAsia="Times New Roman" w:cs="Times New Roman"/>
          <w:noProof/>
          <w:color w:val="000000" w:themeColor="text1"/>
          <w:szCs w:val="24"/>
        </w:rPr>
      </w:pPr>
      <w:r w:rsidRPr="00144455">
        <w:rPr>
          <w:rFonts w:eastAsia="Times New Roman" w:cs="Times New Roman"/>
          <w:noProof/>
          <w:color w:val="000000" w:themeColor="text1"/>
          <w:szCs w:val="24"/>
        </w:rPr>
        <w:t>For the purpose of this exercise, it is assumed that the one-off costs and savings occur in 2030. In reality, however, these are expected to be incurred closer to the date of entry into force.</w:t>
      </w:r>
    </w:p>
    <w:p w14:paraId="09995487" w14:textId="35B51AE3" w:rsidR="00C2032C" w:rsidRPr="005F03AB" w:rsidRDefault="4D581B6F" w:rsidP="51975683">
      <w:pPr>
        <w:pStyle w:val="ListParagraph"/>
        <w:numPr>
          <w:ilvl w:val="0"/>
          <w:numId w:val="171"/>
        </w:numPr>
        <w:spacing w:after="120"/>
        <w:rPr>
          <w:rFonts w:eastAsia="Times New Roman" w:cs="Times New Roman"/>
          <w:noProof/>
          <w:color w:val="000000" w:themeColor="text1"/>
        </w:rPr>
      </w:pPr>
      <w:r w:rsidRPr="51975683">
        <w:rPr>
          <w:rFonts w:eastAsia="Times New Roman" w:cs="Times New Roman"/>
          <w:noProof/>
          <w:color w:val="000000" w:themeColor="text1"/>
        </w:rPr>
        <w:t>F</w:t>
      </w:r>
      <w:r w:rsidR="54A17393" w:rsidRPr="51975683">
        <w:rPr>
          <w:rFonts w:eastAsia="Times New Roman" w:cs="Times New Roman"/>
          <w:noProof/>
          <w:color w:val="000000" w:themeColor="text1"/>
        </w:rPr>
        <w:t xml:space="preserve">ull </w:t>
      </w:r>
      <w:r w:rsidRPr="51975683">
        <w:rPr>
          <w:rFonts w:eastAsia="Times New Roman" w:cs="Times New Roman"/>
          <w:noProof/>
          <w:color w:val="000000" w:themeColor="text1"/>
        </w:rPr>
        <w:t>T</w:t>
      </w:r>
      <w:r w:rsidR="54A17393" w:rsidRPr="51975683">
        <w:rPr>
          <w:rFonts w:eastAsia="Times New Roman" w:cs="Times New Roman"/>
          <w:noProof/>
          <w:color w:val="000000" w:themeColor="text1"/>
        </w:rPr>
        <w:t xml:space="preserve">ime </w:t>
      </w:r>
      <w:r w:rsidRPr="51975683">
        <w:rPr>
          <w:rFonts w:eastAsia="Times New Roman" w:cs="Times New Roman"/>
          <w:noProof/>
          <w:color w:val="000000" w:themeColor="text1"/>
        </w:rPr>
        <w:t>E</w:t>
      </w:r>
      <w:r w:rsidR="54A17393" w:rsidRPr="51975683">
        <w:rPr>
          <w:rFonts w:eastAsia="Times New Roman" w:cs="Times New Roman"/>
          <w:noProof/>
          <w:color w:val="000000" w:themeColor="text1"/>
        </w:rPr>
        <w:t xml:space="preserve">quivalents </w:t>
      </w:r>
      <w:r w:rsidRPr="51975683">
        <w:rPr>
          <w:rFonts w:eastAsia="Times New Roman" w:cs="Times New Roman"/>
          <w:noProof/>
          <w:color w:val="000000" w:themeColor="text1"/>
        </w:rPr>
        <w:t xml:space="preserve">(FTEs were established based on internal </w:t>
      </w:r>
      <w:r w:rsidR="5A5C93FB" w:rsidRPr="51975683">
        <w:rPr>
          <w:rFonts w:eastAsia="Times New Roman" w:cs="Times New Roman"/>
          <w:noProof/>
          <w:color w:val="000000" w:themeColor="text1"/>
        </w:rPr>
        <w:t xml:space="preserve">Commission </w:t>
      </w:r>
      <w:r w:rsidRPr="51975683">
        <w:rPr>
          <w:rFonts w:eastAsia="Times New Roman" w:cs="Times New Roman"/>
          <w:noProof/>
          <w:color w:val="000000" w:themeColor="text1"/>
        </w:rPr>
        <w:t>analysis</w:t>
      </w:r>
      <w:r w:rsidR="134741EC" w:rsidRPr="51975683">
        <w:rPr>
          <w:rFonts w:eastAsia="Times New Roman" w:cs="Times New Roman"/>
          <w:noProof/>
          <w:color w:val="000000" w:themeColor="text1"/>
        </w:rPr>
        <w:t>.</w:t>
      </w:r>
      <w:r w:rsidR="33D0599A" w:rsidRPr="51975683">
        <w:rPr>
          <w:rFonts w:eastAsia="Times New Roman" w:cs="Times New Roman"/>
          <w:noProof/>
          <w:color w:val="000000" w:themeColor="text1"/>
        </w:rPr>
        <w:t xml:space="preserve"> </w:t>
      </w:r>
      <w:r w:rsidR="75451871" w:rsidRPr="51975683">
        <w:rPr>
          <w:rFonts w:eastAsia="Times New Roman" w:cs="Times New Roman"/>
          <w:noProof/>
          <w:color w:val="000000" w:themeColor="text1"/>
        </w:rPr>
        <w:t xml:space="preserve">The hourly wage for Member States and businesses was estimated at EUR 29.4 </w:t>
      </w:r>
      <w:r w:rsidR="33D0599A" w:rsidRPr="51975683">
        <w:rPr>
          <w:rFonts w:eastAsia="Times New Roman" w:cs="Times New Roman"/>
          <w:noProof/>
          <w:color w:val="000000" w:themeColor="text1"/>
        </w:rPr>
        <w:t xml:space="preserve">/h. The European Commission </w:t>
      </w:r>
      <w:r w:rsidR="4DF13D9F" w:rsidRPr="51975683">
        <w:rPr>
          <w:rFonts w:eastAsia="Times New Roman" w:cs="Times New Roman"/>
          <w:noProof/>
          <w:color w:val="000000" w:themeColor="text1"/>
        </w:rPr>
        <w:t xml:space="preserve">costs </w:t>
      </w:r>
      <w:r w:rsidR="163FEFAF" w:rsidRPr="51975683">
        <w:rPr>
          <w:rFonts w:eastAsia="Times New Roman" w:cs="Times New Roman"/>
          <w:noProof/>
          <w:color w:val="000000" w:themeColor="text1"/>
        </w:rPr>
        <w:t>per FTE are</w:t>
      </w:r>
      <w:r w:rsidR="33D0599A" w:rsidRPr="51975683">
        <w:rPr>
          <w:rFonts w:eastAsia="Times New Roman" w:cs="Times New Roman"/>
          <w:noProof/>
          <w:color w:val="000000" w:themeColor="text1"/>
        </w:rPr>
        <w:t xml:space="preserve"> EUR </w:t>
      </w:r>
      <w:r w:rsidR="00140127">
        <w:rPr>
          <w:rFonts w:eastAsia="Times New Roman" w:cs="Times New Roman"/>
          <w:noProof/>
          <w:color w:val="000000" w:themeColor="text1"/>
        </w:rPr>
        <w:t xml:space="preserve">194 </w:t>
      </w:r>
      <w:r w:rsidR="33D0599A" w:rsidRPr="51975683">
        <w:rPr>
          <w:rFonts w:eastAsia="Times New Roman" w:cs="Times New Roman"/>
          <w:noProof/>
          <w:color w:val="000000" w:themeColor="text1"/>
        </w:rPr>
        <w:t>000/year.</w:t>
      </w:r>
      <w:r w:rsidR="00E34318" w:rsidRPr="51975683">
        <w:rPr>
          <w:rStyle w:val="FootnoteReference"/>
          <w:rFonts w:eastAsia="Times New Roman" w:cs="Times New Roman"/>
          <w:noProof/>
          <w:color w:val="000000" w:themeColor="text1"/>
        </w:rPr>
        <w:footnoteReference w:id="261"/>
      </w:r>
      <w:r w:rsidR="11125258">
        <w:rPr>
          <w:rFonts w:eastAsia="Times New Roman" w:cs="Times New Roman"/>
          <w:noProof/>
          <w:color w:val="000000" w:themeColor="text1"/>
        </w:rPr>
        <w:t xml:space="preserve"> </w:t>
      </w:r>
      <w:r w:rsidR="3DA581A8" w:rsidRPr="51975683">
        <w:rPr>
          <w:rFonts w:eastAsia="Times New Roman" w:cs="Times New Roman"/>
          <w:noProof/>
          <w:color w:val="000000" w:themeColor="text1"/>
        </w:rPr>
        <w:t xml:space="preserve">The number of companies participating in public procurement was assumed </w:t>
      </w:r>
      <w:r w:rsidR="0A56A748" w:rsidRPr="51975683">
        <w:rPr>
          <w:rFonts w:eastAsia="Times New Roman" w:cs="Times New Roman"/>
          <w:noProof/>
          <w:color w:val="000000" w:themeColor="text1"/>
        </w:rPr>
        <w:t>to be</w:t>
      </w:r>
      <w:r w:rsidR="3DA581A8" w:rsidRPr="51975683">
        <w:rPr>
          <w:rFonts w:eastAsia="Times New Roman" w:cs="Times New Roman"/>
          <w:noProof/>
          <w:color w:val="000000" w:themeColor="text1"/>
        </w:rPr>
        <w:t xml:space="preserve"> 18%</w:t>
      </w:r>
      <w:r w:rsidR="0A56A748" w:rsidRPr="51975683">
        <w:rPr>
          <w:rFonts w:eastAsia="Times New Roman" w:cs="Times New Roman"/>
          <w:noProof/>
          <w:color w:val="000000" w:themeColor="text1"/>
        </w:rPr>
        <w:t xml:space="preserve"> of t</w:t>
      </w:r>
      <w:r w:rsidR="02371FE8" w:rsidRPr="51975683">
        <w:rPr>
          <w:rFonts w:eastAsia="Times New Roman" w:cs="Times New Roman"/>
          <w:noProof/>
          <w:color w:val="000000" w:themeColor="text1"/>
        </w:rPr>
        <w:t xml:space="preserve">otal companies operating in the </w:t>
      </w:r>
      <w:r w:rsidR="7B6C60E4" w:rsidRPr="51975683">
        <w:rPr>
          <w:rFonts w:eastAsia="Times New Roman" w:cs="Times New Roman"/>
          <w:noProof/>
          <w:color w:val="000000" w:themeColor="text1"/>
        </w:rPr>
        <w:t>EU</w:t>
      </w:r>
      <w:r w:rsidR="00DE12E7">
        <w:rPr>
          <w:rFonts w:eastAsia="Times New Roman" w:cs="Times New Roman"/>
          <w:noProof/>
          <w:color w:val="000000" w:themeColor="text1"/>
        </w:rPr>
        <w:t>.</w:t>
      </w:r>
      <w:r w:rsidR="00C2032C" w:rsidRPr="51975683">
        <w:rPr>
          <w:rStyle w:val="FootnoteReference"/>
          <w:rFonts w:eastAsia="Times New Roman" w:cs="Times New Roman"/>
          <w:noProof/>
          <w:color w:val="000000" w:themeColor="text1"/>
        </w:rPr>
        <w:footnoteReference w:id="262"/>
      </w:r>
    </w:p>
    <w:p w14:paraId="63BA9DDA" w14:textId="634B9B57" w:rsidR="005F03AB" w:rsidRDefault="00B40764" w:rsidP="00144455">
      <w:pPr>
        <w:pStyle w:val="ListParagraph"/>
        <w:numPr>
          <w:ilvl w:val="0"/>
          <w:numId w:val="171"/>
        </w:numPr>
        <w:spacing w:after="120"/>
        <w:rPr>
          <w:rFonts w:eastAsia="Times New Roman" w:cs="Times New Roman"/>
          <w:noProof/>
          <w:color w:val="000000" w:themeColor="text1"/>
          <w:szCs w:val="24"/>
        </w:rPr>
      </w:pPr>
      <w:r w:rsidRPr="00F03F9B">
        <w:rPr>
          <w:rFonts w:eastAsia="Times New Roman" w:cs="Times New Roman"/>
          <w:b/>
          <w:noProof/>
          <w:color w:val="000000" w:themeColor="text1"/>
          <w:szCs w:val="24"/>
        </w:rPr>
        <w:t>LEAD</w:t>
      </w:r>
      <w:r>
        <w:rPr>
          <w:rFonts w:eastAsia="Times New Roman" w:cs="Times New Roman"/>
          <w:b/>
          <w:bCs/>
          <w:noProof/>
          <w:color w:val="000000" w:themeColor="text1"/>
          <w:szCs w:val="24"/>
        </w:rPr>
        <w:t>_EII</w:t>
      </w:r>
      <w:r w:rsidRPr="00F03F9B">
        <w:rPr>
          <w:rFonts w:eastAsia="Times New Roman" w:cs="Times New Roman"/>
          <w:b/>
          <w:noProof/>
          <w:color w:val="000000" w:themeColor="text1"/>
          <w:szCs w:val="24"/>
        </w:rPr>
        <w:t>:</w:t>
      </w:r>
      <w:r>
        <w:rPr>
          <w:rFonts w:eastAsia="Times New Roman" w:cs="Times New Roman"/>
          <w:noProof/>
          <w:color w:val="000000" w:themeColor="text1"/>
          <w:szCs w:val="24"/>
        </w:rPr>
        <w:t xml:space="preserve"> </w:t>
      </w:r>
      <w:r w:rsidR="00A03C85" w:rsidRPr="00F261DB">
        <w:rPr>
          <w:rFonts w:eastAsia="Times New Roman" w:cs="Times New Roman"/>
          <w:noProof/>
          <w:color w:val="000000" w:themeColor="text1"/>
          <w:szCs w:val="24"/>
        </w:rPr>
        <w:t xml:space="preserve">The number of affected </w:t>
      </w:r>
      <w:r w:rsidR="00EA5A4D" w:rsidRPr="00F261DB">
        <w:rPr>
          <w:rFonts w:eastAsia="Times New Roman" w:cs="Times New Roman"/>
          <w:noProof/>
          <w:color w:val="000000" w:themeColor="text1"/>
          <w:szCs w:val="24"/>
        </w:rPr>
        <w:t xml:space="preserve">automotive, </w:t>
      </w:r>
      <w:r w:rsidR="00B82AD4" w:rsidRPr="00F261DB">
        <w:rPr>
          <w:rFonts w:eastAsia="Times New Roman" w:cs="Times New Roman"/>
          <w:noProof/>
          <w:color w:val="000000" w:themeColor="text1"/>
          <w:szCs w:val="24"/>
        </w:rPr>
        <w:t>battery</w:t>
      </w:r>
      <w:r w:rsidR="006D7492" w:rsidRPr="00F261DB">
        <w:rPr>
          <w:rFonts w:eastAsia="Times New Roman" w:cs="Times New Roman"/>
          <w:noProof/>
          <w:color w:val="000000" w:themeColor="text1"/>
          <w:szCs w:val="24"/>
        </w:rPr>
        <w:t xml:space="preserve"> and solar</w:t>
      </w:r>
      <w:r w:rsidR="00A03C85" w:rsidRPr="00F261DB">
        <w:rPr>
          <w:rFonts w:eastAsia="Times New Roman" w:cs="Times New Roman"/>
          <w:noProof/>
          <w:color w:val="000000" w:themeColor="text1"/>
          <w:szCs w:val="24"/>
        </w:rPr>
        <w:t xml:space="preserve"> </w:t>
      </w:r>
      <w:r w:rsidR="00B82AD4" w:rsidRPr="00F261DB">
        <w:rPr>
          <w:rFonts w:eastAsia="Times New Roman" w:cs="Times New Roman"/>
          <w:noProof/>
          <w:color w:val="000000" w:themeColor="text1"/>
          <w:szCs w:val="24"/>
        </w:rPr>
        <w:t xml:space="preserve">manufacturing </w:t>
      </w:r>
      <w:r w:rsidR="00A03C85" w:rsidRPr="00F261DB">
        <w:rPr>
          <w:rFonts w:eastAsia="Times New Roman" w:cs="Times New Roman"/>
          <w:noProof/>
          <w:color w:val="000000" w:themeColor="text1"/>
          <w:szCs w:val="24"/>
        </w:rPr>
        <w:t xml:space="preserve">companies was estimated based on </w:t>
      </w:r>
      <w:r w:rsidR="00B82AD4" w:rsidRPr="00F261DB">
        <w:rPr>
          <w:rFonts w:eastAsia="Times New Roman" w:cs="Times New Roman"/>
          <w:noProof/>
          <w:color w:val="000000" w:themeColor="text1"/>
          <w:szCs w:val="24"/>
        </w:rPr>
        <w:t xml:space="preserve">available data on </w:t>
      </w:r>
      <w:r w:rsidR="00A03C85" w:rsidRPr="00F261DB">
        <w:rPr>
          <w:rFonts w:eastAsia="Times New Roman" w:cs="Times New Roman"/>
          <w:noProof/>
          <w:color w:val="000000" w:themeColor="text1"/>
          <w:szCs w:val="24"/>
        </w:rPr>
        <w:t>companies</w:t>
      </w:r>
      <w:r w:rsidR="00B82AD4" w:rsidRPr="00F261DB">
        <w:rPr>
          <w:rFonts w:eastAsia="Times New Roman" w:cs="Times New Roman"/>
          <w:noProof/>
          <w:color w:val="000000" w:themeColor="text1"/>
          <w:szCs w:val="24"/>
        </w:rPr>
        <w:t xml:space="preserve"> present in the European market</w:t>
      </w:r>
      <w:r w:rsidR="00623BBA" w:rsidRPr="00F261DB">
        <w:rPr>
          <w:rFonts w:eastAsia="Times New Roman" w:cs="Times New Roman"/>
          <w:noProof/>
          <w:color w:val="000000" w:themeColor="text1"/>
          <w:szCs w:val="24"/>
        </w:rPr>
        <w:t>.</w:t>
      </w:r>
    </w:p>
    <w:p w14:paraId="49879557" w14:textId="4A566D41" w:rsidR="005F03AB" w:rsidRPr="00FF63D1" w:rsidRDefault="2559BFF6" w:rsidP="38BBBED6">
      <w:pPr>
        <w:pStyle w:val="ListParagraph"/>
        <w:spacing w:after="120"/>
        <w:rPr>
          <w:rFonts w:eastAsia="Times New Roman" w:cs="Times New Roman"/>
          <w:noProof/>
          <w:color w:val="000000" w:themeColor="text1"/>
        </w:rPr>
      </w:pPr>
      <w:r w:rsidRPr="7A410C0A" w:rsidDel="2559BFF6">
        <w:rPr>
          <w:rFonts w:eastAsia="Times New Roman" w:cs="Times New Roman"/>
          <w:noProof/>
          <w:color w:val="000000" w:themeColor="text1"/>
        </w:rPr>
        <w:t>The number of affected construction</w:t>
      </w:r>
      <w:r w:rsidRPr="7A410C0A" w:rsidDel="6E72D239">
        <w:rPr>
          <w:rFonts w:eastAsia="Times New Roman" w:cs="Times New Roman"/>
          <w:noProof/>
          <w:color w:val="000000" w:themeColor="text1"/>
        </w:rPr>
        <w:t xml:space="preserve"> </w:t>
      </w:r>
      <w:r w:rsidRPr="7A410C0A" w:rsidDel="30FF600C">
        <w:rPr>
          <w:rFonts w:eastAsia="Times New Roman" w:cs="Times New Roman"/>
          <w:noProof/>
          <w:color w:val="000000" w:themeColor="text1"/>
        </w:rPr>
        <w:t xml:space="preserve">companies </w:t>
      </w:r>
      <w:r w:rsidRPr="7A410C0A" w:rsidDel="6E72D239">
        <w:rPr>
          <w:rFonts w:eastAsia="Times New Roman" w:cs="Times New Roman"/>
          <w:noProof/>
          <w:color w:val="000000" w:themeColor="text1"/>
        </w:rPr>
        <w:t>in the context of administrative costs</w:t>
      </w:r>
      <w:r w:rsidRPr="7A410C0A" w:rsidDel="53A5A706">
        <w:rPr>
          <w:rFonts w:eastAsia="Times New Roman" w:cs="Times New Roman"/>
          <w:noProof/>
          <w:color w:val="000000" w:themeColor="text1"/>
        </w:rPr>
        <w:t xml:space="preserve"> are limited to large</w:t>
      </w:r>
      <w:r w:rsidRPr="7A410C0A" w:rsidDel="629F97ED">
        <w:rPr>
          <w:rFonts w:eastAsia="Times New Roman" w:cs="Times New Roman"/>
          <w:noProof/>
          <w:color w:val="000000" w:themeColor="text1"/>
        </w:rPr>
        <w:t xml:space="preserve"> and medium sized</w:t>
      </w:r>
      <w:r w:rsidRPr="7A410C0A" w:rsidDel="53A5A706">
        <w:rPr>
          <w:rFonts w:eastAsia="Times New Roman" w:cs="Times New Roman"/>
          <w:noProof/>
          <w:color w:val="000000" w:themeColor="text1"/>
        </w:rPr>
        <w:t xml:space="preserve"> companies, due to limited </w:t>
      </w:r>
      <w:r w:rsidRPr="7A410C0A" w:rsidDel="792BD197">
        <w:rPr>
          <w:rFonts w:eastAsia="Times New Roman" w:cs="Times New Roman"/>
          <w:noProof/>
          <w:color w:val="000000" w:themeColor="text1"/>
        </w:rPr>
        <w:t xml:space="preserve">compliance </w:t>
      </w:r>
      <w:r w:rsidRPr="7A410C0A" w:rsidDel="53A5A706">
        <w:rPr>
          <w:rFonts w:eastAsia="Times New Roman" w:cs="Times New Roman"/>
          <w:noProof/>
          <w:color w:val="000000" w:themeColor="text1"/>
        </w:rPr>
        <w:t>requirements</w:t>
      </w:r>
      <w:r w:rsidRPr="7A410C0A" w:rsidDel="4EFA52F2">
        <w:rPr>
          <w:rFonts w:eastAsia="Times New Roman" w:cs="Times New Roman"/>
          <w:noProof/>
          <w:color w:val="000000" w:themeColor="text1"/>
        </w:rPr>
        <w:t xml:space="preserve"> only applicable to large </w:t>
      </w:r>
      <w:r w:rsidRPr="7A410C0A" w:rsidDel="792BD197">
        <w:rPr>
          <w:rFonts w:eastAsia="Times New Roman" w:cs="Times New Roman"/>
          <w:noProof/>
          <w:color w:val="000000" w:themeColor="text1"/>
        </w:rPr>
        <w:t>and medium sized</w:t>
      </w:r>
      <w:r w:rsidRPr="7A410C0A" w:rsidDel="4EFA52F2">
        <w:rPr>
          <w:rFonts w:eastAsia="Times New Roman" w:cs="Times New Roman"/>
          <w:noProof/>
          <w:color w:val="000000" w:themeColor="text1"/>
        </w:rPr>
        <w:t xml:space="preserve"> companies.</w:t>
      </w:r>
      <w:r w:rsidR="4EFA52F2" w:rsidRPr="1FA04443">
        <w:rPr>
          <w:rFonts w:eastAsia="Times New Roman" w:cs="Times New Roman"/>
          <w:noProof/>
          <w:color w:val="000000" w:themeColor="text1"/>
        </w:rPr>
        <w:t xml:space="preserve"> </w:t>
      </w:r>
      <w:r w:rsidR="12F03FEC" w:rsidRPr="1FA04443">
        <w:rPr>
          <w:rFonts w:eastAsia="Times New Roman" w:cs="Times New Roman"/>
          <w:noProof/>
          <w:color w:val="000000" w:themeColor="text1"/>
        </w:rPr>
        <w:t xml:space="preserve">The administrative costs </w:t>
      </w:r>
      <w:r w:rsidR="5D538CDB" w:rsidRPr="1FA04443">
        <w:rPr>
          <w:rFonts w:eastAsia="Times New Roman" w:cs="Times New Roman"/>
          <w:noProof/>
          <w:color w:val="000000" w:themeColor="text1"/>
        </w:rPr>
        <w:t xml:space="preserve">shown </w:t>
      </w:r>
      <w:r w:rsidR="12F03FEC" w:rsidRPr="1FA04443">
        <w:rPr>
          <w:rFonts w:eastAsia="Times New Roman" w:cs="Times New Roman"/>
          <w:noProof/>
          <w:color w:val="000000" w:themeColor="text1"/>
        </w:rPr>
        <w:t xml:space="preserve">for automotive manufacturers </w:t>
      </w:r>
      <w:r w:rsidR="7AC4D1D3" w:rsidRPr="1FA04443">
        <w:rPr>
          <w:rFonts w:eastAsia="Times New Roman" w:cs="Times New Roman"/>
          <w:noProof/>
          <w:color w:val="000000" w:themeColor="text1"/>
        </w:rPr>
        <w:t>combines</w:t>
      </w:r>
      <w:r w:rsidR="12F03FEC" w:rsidRPr="1FA04443">
        <w:rPr>
          <w:rFonts w:eastAsia="Times New Roman" w:cs="Times New Roman"/>
          <w:noProof/>
          <w:color w:val="000000" w:themeColor="text1"/>
        </w:rPr>
        <w:t xml:space="preserve"> </w:t>
      </w:r>
      <w:r w:rsidR="29706D55" w:rsidRPr="1FA04443">
        <w:rPr>
          <w:rFonts w:eastAsia="Times New Roman" w:cs="Times New Roman"/>
          <w:noProof/>
          <w:color w:val="000000" w:themeColor="text1"/>
        </w:rPr>
        <w:t xml:space="preserve">all impacts derived from different </w:t>
      </w:r>
      <w:r w:rsidR="7AC4D1D3" w:rsidRPr="1FA04443">
        <w:rPr>
          <w:rFonts w:eastAsia="Times New Roman" w:cs="Times New Roman"/>
          <w:noProof/>
          <w:color w:val="000000" w:themeColor="text1"/>
        </w:rPr>
        <w:t>measures</w:t>
      </w:r>
      <w:r w:rsidR="12F03FEC" w:rsidRPr="1FA04443">
        <w:rPr>
          <w:rFonts w:eastAsia="Times New Roman" w:cs="Times New Roman"/>
          <w:noProof/>
          <w:color w:val="000000" w:themeColor="text1"/>
        </w:rPr>
        <w:t xml:space="preserve"> </w:t>
      </w:r>
      <w:r w:rsidR="7AC4D1D3" w:rsidRPr="1FA04443">
        <w:rPr>
          <w:rFonts w:eastAsia="Times New Roman" w:cs="Times New Roman"/>
          <w:noProof/>
          <w:color w:val="000000" w:themeColor="text1"/>
        </w:rPr>
        <w:t>on steel,</w:t>
      </w:r>
      <w:r w:rsidR="12F03FEC" w:rsidRPr="1FA04443">
        <w:rPr>
          <w:rFonts w:eastAsia="Times New Roman" w:cs="Times New Roman"/>
          <w:noProof/>
          <w:color w:val="000000" w:themeColor="text1"/>
        </w:rPr>
        <w:t xml:space="preserve"> batteries and vehicle components</w:t>
      </w:r>
      <w:r w:rsidR="7AC4D1D3" w:rsidRPr="1FA04443">
        <w:rPr>
          <w:rFonts w:eastAsia="Times New Roman" w:cs="Times New Roman"/>
          <w:noProof/>
          <w:color w:val="000000" w:themeColor="text1"/>
        </w:rPr>
        <w:t xml:space="preserve"> jointly, under the EII</w:t>
      </w:r>
      <w:r w:rsidR="296F478B" w:rsidRPr="1FA04443">
        <w:rPr>
          <w:rFonts w:eastAsia="Times New Roman" w:cs="Times New Roman"/>
          <w:noProof/>
          <w:color w:val="000000" w:themeColor="text1"/>
        </w:rPr>
        <w:t xml:space="preserve"> table below</w:t>
      </w:r>
      <w:r w:rsidR="7AC4D1D3" w:rsidRPr="1FA04443">
        <w:rPr>
          <w:rFonts w:eastAsia="Times New Roman" w:cs="Times New Roman"/>
          <w:noProof/>
          <w:color w:val="000000" w:themeColor="text1"/>
        </w:rPr>
        <w:t>.</w:t>
      </w:r>
      <w:r w:rsidR="4CD3286E" w:rsidRPr="1FA04443">
        <w:rPr>
          <w:rFonts w:eastAsia="Times New Roman" w:cs="Times New Roman"/>
          <w:noProof/>
          <w:color w:val="000000" w:themeColor="text1"/>
        </w:rPr>
        <w:t xml:space="preserve"> </w:t>
      </w:r>
      <w:r w:rsidR="4CD3286E" w:rsidRPr="00853C60">
        <w:rPr>
          <w:rFonts w:eastAsia="Times New Roman" w:cs="Times New Roman"/>
          <w:noProof/>
          <w:color w:val="000000" w:themeColor="text1"/>
        </w:rPr>
        <w:t>Public procurement measures are limited to purchase/lease, not services.</w:t>
      </w:r>
    </w:p>
    <w:p w14:paraId="5960FE6A" w14:textId="77777777" w:rsidR="00F83D84" w:rsidRPr="00144455" w:rsidRDefault="00F83D84" w:rsidP="00F83D84">
      <w:pPr>
        <w:pStyle w:val="ListParagraph"/>
        <w:spacing w:after="120"/>
        <w:rPr>
          <w:rFonts w:eastAsia="Times New Roman" w:cs="Times New Roman"/>
          <w:noProof/>
          <w:color w:val="000000" w:themeColor="text1"/>
          <w:szCs w:val="24"/>
        </w:rPr>
      </w:pPr>
    </w:p>
    <w:p w14:paraId="28733E65" w14:textId="37604D87" w:rsidR="00D15768" w:rsidRPr="00643941" w:rsidRDefault="0A33CF56" w:rsidP="00144455">
      <w:pPr>
        <w:pStyle w:val="ListParagraph"/>
        <w:numPr>
          <w:ilvl w:val="0"/>
          <w:numId w:val="171"/>
        </w:numPr>
        <w:spacing w:after="120"/>
        <w:rPr>
          <w:rFonts w:eastAsia="Times New Roman" w:cs="Times New Roman"/>
          <w:b/>
          <w:i/>
          <w:noProof/>
          <w:color w:val="000000" w:themeColor="text1"/>
          <w:szCs w:val="24"/>
          <w:u w:val="single"/>
          <w:lang w:val="en-IE"/>
        </w:rPr>
      </w:pPr>
      <w:r w:rsidRPr="1A2A8689">
        <w:rPr>
          <w:rFonts w:eastAsia="Times New Roman" w:cs="Times New Roman"/>
          <w:b/>
          <w:bCs/>
          <w:noProof/>
          <w:color w:val="000000" w:themeColor="text1"/>
        </w:rPr>
        <w:t>LAB:</w:t>
      </w:r>
      <w:r>
        <w:rPr>
          <w:rFonts w:eastAsia="Times New Roman" w:cs="Times New Roman"/>
          <w:noProof/>
          <w:color w:val="000000" w:themeColor="text1"/>
        </w:rPr>
        <w:t xml:space="preserve"> </w:t>
      </w:r>
      <w:r w:rsidR="76FBF96E" w:rsidRPr="4EAE5FAC">
        <w:rPr>
          <w:rFonts w:eastAsia="Times New Roman" w:cs="Times New Roman"/>
          <w:noProof/>
          <w:color w:val="000000" w:themeColor="text1"/>
        </w:rPr>
        <w:t>While the use of LAB</w:t>
      </w:r>
      <w:r w:rsidR="5AD80621" w:rsidRPr="3F0F1197">
        <w:rPr>
          <w:rFonts w:eastAsia="Times New Roman" w:cs="Times New Roman"/>
          <w:noProof/>
          <w:color w:val="000000" w:themeColor="text1"/>
        </w:rPr>
        <w:t xml:space="preserve"> </w:t>
      </w:r>
      <w:r w:rsidR="76FBF96E" w:rsidRPr="4EAE5FAC">
        <w:rPr>
          <w:rFonts w:eastAsia="Times New Roman" w:cs="Times New Roman"/>
          <w:noProof/>
          <w:color w:val="000000" w:themeColor="text1"/>
        </w:rPr>
        <w:t xml:space="preserve">2 is voluntary </w:t>
      </w:r>
      <w:r w:rsidR="2DE6CE8A" w:rsidRPr="4EAE5FAC">
        <w:rPr>
          <w:rFonts w:eastAsia="Times New Roman" w:cs="Times New Roman"/>
          <w:noProof/>
          <w:color w:val="000000" w:themeColor="text1"/>
        </w:rPr>
        <w:t xml:space="preserve">by design, compliance for </w:t>
      </w:r>
      <w:r w:rsidR="2DE6CE8A" w:rsidRPr="00144455">
        <w:rPr>
          <w:rFonts w:eastAsia="Times New Roman" w:cs="Times New Roman"/>
          <w:noProof/>
          <w:color w:val="000000" w:themeColor="text1"/>
        </w:rPr>
        <w:t>LE</w:t>
      </w:r>
      <w:r w:rsidR="31900AE6" w:rsidRPr="00144455">
        <w:rPr>
          <w:rFonts w:eastAsia="Times New Roman" w:cs="Times New Roman"/>
          <w:noProof/>
          <w:color w:val="000000" w:themeColor="text1"/>
        </w:rPr>
        <w:t>A</w:t>
      </w:r>
      <w:r w:rsidR="2DE6CE8A" w:rsidRPr="00144455">
        <w:rPr>
          <w:rFonts w:eastAsia="Times New Roman" w:cs="Times New Roman"/>
          <w:noProof/>
          <w:color w:val="000000" w:themeColor="text1"/>
        </w:rPr>
        <w:t>D</w:t>
      </w:r>
      <w:r w:rsidR="2DE6CE8A" w:rsidRPr="4EAE5FAC">
        <w:rPr>
          <w:rFonts w:eastAsia="Times New Roman" w:cs="Times New Roman"/>
          <w:noProof/>
          <w:color w:val="000000" w:themeColor="text1"/>
        </w:rPr>
        <w:t>_EII</w:t>
      </w:r>
      <w:r w:rsidR="21C27087" w:rsidRPr="4EAE5FAC">
        <w:rPr>
          <w:rFonts w:eastAsia="Times New Roman" w:cs="Times New Roman"/>
          <w:noProof/>
          <w:color w:val="000000" w:themeColor="text1"/>
        </w:rPr>
        <w:t xml:space="preserve"> measures on low</w:t>
      </w:r>
      <w:r w:rsidR="00F42FCE">
        <w:rPr>
          <w:rFonts w:eastAsia="Times New Roman" w:cs="Times New Roman"/>
          <w:noProof/>
          <w:color w:val="000000" w:themeColor="text1"/>
        </w:rPr>
        <w:t>-</w:t>
      </w:r>
      <w:r w:rsidR="21C27087" w:rsidRPr="4EAE5FAC">
        <w:rPr>
          <w:rFonts w:eastAsia="Times New Roman" w:cs="Times New Roman"/>
          <w:noProof/>
          <w:color w:val="000000" w:themeColor="text1"/>
        </w:rPr>
        <w:t xml:space="preserve">carbon steel </w:t>
      </w:r>
      <w:r w:rsidR="6E096A5B" w:rsidRPr="4EAE5FAC">
        <w:rPr>
          <w:rFonts w:eastAsia="Times New Roman" w:cs="Times New Roman"/>
          <w:noProof/>
          <w:color w:val="000000" w:themeColor="text1"/>
        </w:rPr>
        <w:t xml:space="preserve">would require the use of </w:t>
      </w:r>
      <w:r w:rsidR="64BCFD79" w:rsidRPr="4EAE5FAC">
        <w:rPr>
          <w:rFonts w:eastAsia="Times New Roman" w:cs="Times New Roman"/>
          <w:noProof/>
          <w:color w:val="000000" w:themeColor="text1"/>
        </w:rPr>
        <w:t>the label, or equivalent</w:t>
      </w:r>
      <w:r w:rsidR="31900AE6" w:rsidRPr="4EAE5FAC">
        <w:rPr>
          <w:rFonts w:eastAsia="Times New Roman" w:cs="Times New Roman"/>
          <w:noProof/>
          <w:color w:val="000000" w:themeColor="text1"/>
        </w:rPr>
        <w:t>,</w:t>
      </w:r>
      <w:r w:rsidR="64BCFD79" w:rsidRPr="4EAE5FAC">
        <w:rPr>
          <w:rFonts w:eastAsia="Times New Roman" w:cs="Times New Roman"/>
          <w:noProof/>
          <w:color w:val="000000" w:themeColor="text1"/>
        </w:rPr>
        <w:t xml:space="preserve"> to show compliance with </w:t>
      </w:r>
      <w:r w:rsidR="1265C189" w:rsidRPr="4EAE5FAC">
        <w:rPr>
          <w:rFonts w:eastAsia="Times New Roman" w:cs="Times New Roman"/>
          <w:noProof/>
          <w:color w:val="000000" w:themeColor="text1"/>
        </w:rPr>
        <w:t xml:space="preserve">the low-carbon measures. </w:t>
      </w:r>
      <w:r w:rsidR="35AC346B" w:rsidRPr="4EAE5FAC">
        <w:rPr>
          <w:rFonts w:eastAsia="Times New Roman" w:cs="Times New Roman"/>
          <w:noProof/>
          <w:color w:val="000000" w:themeColor="text1"/>
        </w:rPr>
        <w:t xml:space="preserve">In this regard, </w:t>
      </w:r>
      <w:r w:rsidR="7B124A6E" w:rsidRPr="4EAE5FAC">
        <w:rPr>
          <w:rFonts w:eastAsia="Times New Roman" w:cs="Times New Roman"/>
          <w:noProof/>
          <w:color w:val="000000" w:themeColor="text1"/>
        </w:rPr>
        <w:t xml:space="preserve">the costs for LAB have been assigned to relevant steel </w:t>
      </w:r>
      <w:r w:rsidR="4F834AD5" w:rsidRPr="4EAE5FAC">
        <w:rPr>
          <w:rFonts w:eastAsia="Times New Roman" w:cs="Times New Roman"/>
          <w:noProof/>
          <w:color w:val="000000" w:themeColor="text1"/>
        </w:rPr>
        <w:t>sites.</w:t>
      </w:r>
      <w:r w:rsidR="10B6C25D" w:rsidRPr="4EAE5FAC">
        <w:rPr>
          <w:rFonts w:eastAsia="Times New Roman" w:cs="Times New Roman"/>
          <w:noProof/>
          <w:color w:val="000000" w:themeColor="text1"/>
        </w:rPr>
        <w:t xml:space="preserve"> </w:t>
      </w:r>
      <w:r w:rsidR="10B6C25D" w:rsidRPr="0097216F">
        <w:rPr>
          <w:rFonts w:eastAsia="Times New Roman"/>
          <w:noProof/>
        </w:rPr>
        <w:t>The low</w:t>
      </w:r>
      <w:r w:rsidR="00F42FCE">
        <w:rPr>
          <w:rFonts w:eastAsia="Times New Roman"/>
          <w:noProof/>
        </w:rPr>
        <w:t>-</w:t>
      </w:r>
      <w:r w:rsidR="10B6C25D" w:rsidRPr="0097216F">
        <w:rPr>
          <w:rFonts w:eastAsia="Times New Roman"/>
          <w:noProof/>
        </w:rPr>
        <w:t>carbon steel label costs for businesses can be estimated using the cost structure from ResponsibleSteel. This estimate took the average between costs for normal and large companies, resulting in a yearly approximate cost of EUR 6</w:t>
      </w:r>
      <w:r w:rsidR="217EA473">
        <w:rPr>
          <w:rFonts w:eastAsia="Times New Roman"/>
          <w:noProof/>
        </w:rPr>
        <w:t xml:space="preserve"> </w:t>
      </w:r>
      <w:r w:rsidR="10B6C25D" w:rsidRPr="0097216F">
        <w:rPr>
          <w:rFonts w:eastAsia="Times New Roman"/>
          <w:noProof/>
        </w:rPr>
        <w:t>700 per steel site</w:t>
      </w:r>
      <w:r w:rsidR="00DE12E7">
        <w:rPr>
          <w:rFonts w:eastAsia="Times New Roman"/>
          <w:noProof/>
        </w:rPr>
        <w:t>.</w:t>
      </w:r>
      <w:r w:rsidR="00D15768" w:rsidRPr="0097216F">
        <w:rPr>
          <w:rStyle w:val="FootnoteReference"/>
          <w:rFonts w:eastAsia="Times New Roman"/>
          <w:noProof/>
        </w:rPr>
        <w:footnoteReference w:id="263"/>
      </w:r>
      <w:r w:rsidR="10B6C25D" w:rsidRPr="0097216F">
        <w:rPr>
          <w:rFonts w:eastAsia="Times New Roman"/>
          <w:noProof/>
        </w:rPr>
        <w:t xml:space="preserve"> </w:t>
      </w:r>
      <w:r w:rsidR="10B6C25D" w:rsidRPr="4EAE5FAC">
        <w:rPr>
          <w:rFonts w:eastAsia="Times New Roman" w:cs="Times New Roman"/>
          <w:noProof/>
        </w:rPr>
        <w:t>R</w:t>
      </w:r>
      <w:r w:rsidR="10B6C25D" w:rsidRPr="4EAE5FAC">
        <w:rPr>
          <w:rFonts w:eastAsia="Times New Roman" w:cs="Times New Roman"/>
          <w:noProof/>
          <w:color w:val="000000" w:themeColor="text1"/>
          <w:lang w:val="en-IE"/>
        </w:rPr>
        <w:t>ecurrent administrative costs of demonstrating compliance with steel label would be limited as companies are already obliged to report on relevant data under the EU ETS.</w:t>
      </w:r>
    </w:p>
    <w:p w14:paraId="1A239B02" w14:textId="77777777" w:rsidR="00B40764" w:rsidRPr="00667FC1" w:rsidRDefault="00B40764" w:rsidP="00F03F9B">
      <w:pPr>
        <w:pStyle w:val="ListParagraph"/>
        <w:spacing w:after="120"/>
        <w:rPr>
          <w:rFonts w:eastAsia="Times New Roman" w:cs="Times New Roman"/>
          <w:b/>
          <w:i/>
          <w:noProof/>
          <w:color w:val="000000" w:themeColor="text1"/>
          <w:szCs w:val="24"/>
          <w:u w:val="single"/>
          <w:lang w:val="en-IE"/>
        </w:rPr>
      </w:pPr>
    </w:p>
    <w:p w14:paraId="3803F102" w14:textId="6B59D785" w:rsidR="00FC6D38" w:rsidRPr="00643941" w:rsidRDefault="0A33CF56" w:rsidP="00144455">
      <w:pPr>
        <w:pStyle w:val="ListParagraph"/>
        <w:numPr>
          <w:ilvl w:val="0"/>
          <w:numId w:val="171"/>
        </w:numPr>
        <w:spacing w:after="120"/>
        <w:rPr>
          <w:rFonts w:eastAsia="Times New Roman" w:cs="Times New Roman"/>
          <w:b/>
          <w:i/>
          <w:noProof/>
          <w:color w:val="000000" w:themeColor="text1"/>
          <w:szCs w:val="24"/>
          <w:u w:val="single"/>
          <w:lang w:val="en-IE"/>
        </w:rPr>
      </w:pPr>
      <w:r w:rsidRPr="1A2A8689">
        <w:rPr>
          <w:rFonts w:eastAsia="Times New Roman" w:cs="Times New Roman"/>
          <w:b/>
          <w:bCs/>
          <w:noProof/>
          <w:color w:val="000000" w:themeColor="text1"/>
        </w:rPr>
        <w:t>PERM</w:t>
      </w:r>
      <w:r>
        <w:rPr>
          <w:rFonts w:eastAsia="Times New Roman" w:cs="Times New Roman"/>
          <w:noProof/>
          <w:color w:val="000000" w:themeColor="text1"/>
        </w:rPr>
        <w:t xml:space="preserve">: </w:t>
      </w:r>
      <w:r w:rsidR="7D1454A8" w:rsidRPr="00144455">
        <w:rPr>
          <w:rFonts w:eastAsia="Times New Roman" w:cs="Times New Roman"/>
          <w:noProof/>
          <w:color w:val="000000" w:themeColor="text1"/>
        </w:rPr>
        <w:t xml:space="preserve">The cost savings from implementing a digitally integrated permit granting process are </w:t>
      </w:r>
      <w:r w:rsidR="7D1454A8" w:rsidRPr="00144455">
        <w:rPr>
          <w:rFonts w:eastAsia="Times New Roman"/>
          <w:noProof/>
        </w:rPr>
        <w:t>calculated</w:t>
      </w:r>
      <w:r w:rsidR="7D1454A8" w:rsidRPr="00144455">
        <w:rPr>
          <w:rFonts w:eastAsia="Times New Roman" w:cs="Times New Roman"/>
          <w:noProof/>
          <w:color w:val="000000" w:themeColor="text1"/>
        </w:rPr>
        <w:t xml:space="preserve"> based on </w:t>
      </w:r>
      <w:r w:rsidR="307CCD24">
        <w:rPr>
          <w:rFonts w:eastAsia="Times New Roman" w:cs="Times New Roman"/>
          <w:noProof/>
          <w:color w:val="000000" w:themeColor="text1"/>
        </w:rPr>
        <w:t>the</w:t>
      </w:r>
      <w:r w:rsidR="7D1454A8" w:rsidRPr="00144455">
        <w:rPr>
          <w:rFonts w:eastAsia="Times New Roman" w:cs="Times New Roman"/>
          <w:noProof/>
          <w:color w:val="000000" w:themeColor="text1"/>
        </w:rPr>
        <w:t xml:space="preserve"> study on business procedures carried out to underpin the Single Digital Gateway impact assessment</w:t>
      </w:r>
      <w:r w:rsidR="00A75317" w:rsidRPr="00FF63D1">
        <w:rPr>
          <w:noProof/>
          <w:vertAlign w:val="superscript"/>
        </w:rPr>
        <w:footnoteReference w:id="264"/>
      </w:r>
      <w:r w:rsidR="7D1454A8" w:rsidRPr="00144455">
        <w:rPr>
          <w:rFonts w:eastAsia="Times New Roman" w:cs="Times New Roman"/>
          <w:noProof/>
          <w:color w:val="000000" w:themeColor="text1"/>
        </w:rPr>
        <w:t>. It concluded that for 9 procedures, the cost savings for all EU businesses (EU business in 2023 represented 33 million enterprises</w:t>
      </w:r>
      <w:r w:rsidR="00A75317" w:rsidRPr="1A2A8689">
        <w:rPr>
          <w:rStyle w:val="FootnoteReference"/>
          <w:rFonts w:eastAsia="Times New Roman" w:cs="Times New Roman"/>
          <w:noProof/>
          <w:color w:val="000000" w:themeColor="text1"/>
        </w:rPr>
        <w:footnoteReference w:id="265"/>
      </w:r>
      <w:r w:rsidR="7D1454A8" w:rsidRPr="00144455">
        <w:rPr>
          <w:rFonts w:eastAsia="Times New Roman" w:cs="Times New Roman"/>
          <w:noProof/>
          <w:color w:val="000000" w:themeColor="text1"/>
        </w:rPr>
        <w:t xml:space="preserve">), - if e-procedures were introduced where missing - would be in the order of magnitude of EUR 6.5 billion for domestic users (i.e. 433.3 million for </w:t>
      </w:r>
      <w:r w:rsidR="2363C598">
        <w:rPr>
          <w:rFonts w:eastAsia="Times New Roman" w:cs="Times New Roman"/>
          <w:noProof/>
          <w:color w:val="000000" w:themeColor="text1"/>
        </w:rPr>
        <w:t>the</w:t>
      </w:r>
      <w:r w:rsidR="7D1454A8" w:rsidRPr="00144455">
        <w:rPr>
          <w:rFonts w:eastAsia="Times New Roman" w:cs="Times New Roman"/>
          <w:noProof/>
          <w:color w:val="000000" w:themeColor="text1"/>
        </w:rPr>
        <w:t xml:space="preserve"> 2.2 million businesses in the manufacturing sector). Following an ad</w:t>
      </w:r>
      <w:r w:rsidR="7D1454A8" w:rsidRPr="00144455" w:rsidDel="545C8C3C">
        <w:rPr>
          <w:rFonts w:eastAsia="Times New Roman" w:cs="Times New Roman"/>
          <w:noProof/>
          <w:color w:val="000000" w:themeColor="text1"/>
        </w:rPr>
        <w:t>j</w:t>
      </w:r>
      <w:r w:rsidR="7D1454A8" w:rsidRPr="00144455">
        <w:rPr>
          <w:rFonts w:eastAsia="Times New Roman" w:cs="Times New Roman"/>
          <w:noProof/>
          <w:color w:val="000000" w:themeColor="text1"/>
        </w:rPr>
        <w:t>ustment to the EUR 6.5</w:t>
      </w:r>
      <w:r w:rsidR="449009FB">
        <w:rPr>
          <w:rFonts w:eastAsia="Times New Roman" w:cs="Times New Roman"/>
          <w:noProof/>
          <w:color w:val="000000" w:themeColor="text1"/>
        </w:rPr>
        <w:t xml:space="preserve"> </w:t>
      </w:r>
      <w:r w:rsidR="372242C3">
        <w:rPr>
          <w:rFonts w:eastAsia="Times New Roman" w:cs="Times New Roman"/>
          <w:noProof/>
          <w:color w:val="000000" w:themeColor="text1"/>
        </w:rPr>
        <w:t>billion</w:t>
      </w:r>
      <w:r w:rsidR="7D1454A8" w:rsidRPr="00144455">
        <w:rPr>
          <w:rFonts w:eastAsia="Times New Roman" w:cs="Times New Roman"/>
          <w:noProof/>
          <w:color w:val="000000" w:themeColor="text1"/>
        </w:rPr>
        <w:t xml:space="preserve"> to assume an average of 5 permit- granting procedures</w:t>
      </w:r>
      <w:r w:rsidR="5FF23DDF">
        <w:rPr>
          <w:rFonts w:eastAsia="Times New Roman" w:cs="Times New Roman"/>
          <w:noProof/>
          <w:color w:val="000000" w:themeColor="text1"/>
        </w:rPr>
        <w:t xml:space="preserve"> (average number of permits requested</w:t>
      </w:r>
      <w:r w:rsidR="63524FB5">
        <w:rPr>
          <w:rFonts w:eastAsia="Times New Roman" w:cs="Times New Roman"/>
          <w:noProof/>
          <w:color w:val="000000" w:themeColor="text1"/>
        </w:rPr>
        <w:t xml:space="preserve"> for industry)</w:t>
      </w:r>
      <w:r w:rsidR="7D1454A8" w:rsidRPr="00144455">
        <w:rPr>
          <w:rFonts w:eastAsia="Times New Roman" w:cs="Times New Roman"/>
          <w:noProof/>
          <w:color w:val="000000" w:themeColor="text1"/>
        </w:rPr>
        <w:t>, and assuming the costs for all procedures is equal, this could translate into savings of EUR 240 million specifically for the manufacturing sector for an average of 5 procedures</w:t>
      </w:r>
      <w:r w:rsidR="6C8775B6">
        <w:rPr>
          <w:rFonts w:eastAsia="Times New Roman" w:cs="Times New Roman"/>
          <w:noProof/>
          <w:color w:val="000000" w:themeColor="text1"/>
        </w:rPr>
        <w:t>.</w:t>
      </w:r>
      <w:r w:rsidR="35638E1F">
        <w:rPr>
          <w:rFonts w:eastAsia="Times New Roman" w:cs="Times New Roman"/>
          <w:noProof/>
          <w:color w:val="000000" w:themeColor="text1"/>
        </w:rPr>
        <w:t xml:space="preserve"> </w:t>
      </w:r>
    </w:p>
    <w:p w14:paraId="77296C0D" w14:textId="4B11859D" w:rsidR="00656C86" w:rsidRDefault="0A9028F2" w:rsidP="00822331">
      <w:pPr>
        <w:pStyle w:val="ListParagraph"/>
        <w:numPr>
          <w:ilvl w:val="0"/>
          <w:numId w:val="171"/>
        </w:numPr>
        <w:spacing w:after="120"/>
        <w:rPr>
          <w:rFonts w:eastAsia="Times New Roman" w:cs="Times New Roman"/>
          <w:noProof/>
          <w:color w:val="000000" w:themeColor="text1"/>
        </w:rPr>
      </w:pPr>
      <w:r>
        <w:rPr>
          <w:rFonts w:eastAsia="Times New Roman" w:cs="Times New Roman"/>
          <w:b/>
          <w:bCs/>
          <w:noProof/>
          <w:color w:val="000000" w:themeColor="text1"/>
        </w:rPr>
        <w:t>For administrations</w:t>
      </w:r>
      <w:r w:rsidR="06CF18C3">
        <w:rPr>
          <w:rFonts w:eastAsia="Times New Roman" w:cs="Times New Roman"/>
          <w:b/>
          <w:bCs/>
          <w:noProof/>
          <w:color w:val="000000" w:themeColor="text1"/>
        </w:rPr>
        <w:t>,</w:t>
      </w:r>
      <w:r w:rsidR="06CF18C3" w:rsidRPr="00A61215">
        <w:rPr>
          <w:rFonts w:eastAsia="Times New Roman" w:cs="Times New Roman"/>
          <w:noProof/>
          <w:color w:val="000000" w:themeColor="text1"/>
        </w:rPr>
        <w:t xml:space="preserve"> </w:t>
      </w:r>
      <w:r w:rsidR="7C18821D">
        <w:rPr>
          <w:rFonts w:eastAsia="Times New Roman" w:cs="Times New Roman"/>
          <w:noProof/>
          <w:color w:val="000000" w:themeColor="text1"/>
        </w:rPr>
        <w:t>b</w:t>
      </w:r>
      <w:r w:rsidR="7C18821D" w:rsidRPr="00A61215">
        <w:rPr>
          <w:rFonts w:eastAsia="Times New Roman" w:cs="Times New Roman"/>
          <w:noProof/>
          <w:color w:val="000000" w:themeColor="text1"/>
        </w:rPr>
        <w:t xml:space="preserve">enefits for national administrations from digitalising procedures proved difficult to assess, as the benefit figures </w:t>
      </w:r>
      <w:r w:rsidR="7C18821D">
        <w:rPr>
          <w:rFonts w:eastAsia="Times New Roman" w:cs="Times New Roman"/>
          <w:noProof/>
          <w:color w:val="000000" w:themeColor="text1"/>
        </w:rPr>
        <w:t xml:space="preserve">can </w:t>
      </w:r>
      <w:r w:rsidR="7C18821D" w:rsidRPr="00A61215">
        <w:rPr>
          <w:rFonts w:eastAsia="Times New Roman" w:cs="Times New Roman"/>
          <w:noProof/>
          <w:color w:val="000000" w:themeColor="text1"/>
        </w:rPr>
        <w:t>var</w:t>
      </w:r>
      <w:r w:rsidR="7C18821D">
        <w:rPr>
          <w:rFonts w:eastAsia="Times New Roman" w:cs="Times New Roman"/>
          <w:noProof/>
          <w:color w:val="000000" w:themeColor="text1"/>
        </w:rPr>
        <w:t>y</w:t>
      </w:r>
      <w:r w:rsidR="7C18821D" w:rsidRPr="00A61215">
        <w:rPr>
          <w:rFonts w:eastAsia="Times New Roman" w:cs="Times New Roman"/>
          <w:noProof/>
          <w:color w:val="000000" w:themeColor="text1"/>
        </w:rPr>
        <w:t xml:space="preserve"> a lot (see tables 6.4 and 6.5 for the savings through digitalised procedures</w:t>
      </w:r>
      <w:r w:rsidR="7C18821D">
        <w:rPr>
          <w:rFonts w:eastAsia="Times New Roman" w:cs="Times New Roman"/>
          <w:noProof/>
          <w:color w:val="000000" w:themeColor="text1"/>
        </w:rPr>
        <w:t xml:space="preserve"> in the Single Digital Gateway Impact Assessment</w:t>
      </w:r>
      <w:r w:rsidR="001E1E23">
        <w:rPr>
          <w:rStyle w:val="FootnoteReference"/>
          <w:rFonts w:eastAsia="Times New Roman" w:cs="Times New Roman"/>
          <w:noProof/>
          <w:color w:val="000000" w:themeColor="text1"/>
        </w:rPr>
        <w:footnoteReference w:id="266"/>
      </w:r>
      <w:r w:rsidR="7C18821D" w:rsidRPr="00A61215">
        <w:rPr>
          <w:rFonts w:eastAsia="Times New Roman" w:cs="Times New Roman"/>
          <w:noProof/>
          <w:color w:val="000000" w:themeColor="text1"/>
        </w:rPr>
        <w:t>).</w:t>
      </w:r>
      <w:r w:rsidR="3E637C4F" w:rsidRPr="00853C60">
        <w:rPr>
          <w:rFonts w:eastAsia="Times New Roman" w:cs="Times New Roman"/>
          <w:noProof/>
          <w:color w:val="000000" w:themeColor="text1"/>
        </w:rPr>
        <w:t>The reference values</w:t>
      </w:r>
      <w:r w:rsidR="46FF06B0" w:rsidRPr="00853C60">
        <w:rPr>
          <w:rFonts w:eastAsia="Times New Roman" w:cs="Times New Roman"/>
          <w:noProof/>
          <w:color w:val="000000" w:themeColor="text1"/>
        </w:rPr>
        <w:t xml:space="preserve"> (</w:t>
      </w:r>
      <w:r w:rsidR="107CFC2B" w:rsidRPr="00853C60">
        <w:rPr>
          <w:rFonts w:eastAsia="Times New Roman" w:cs="Times New Roman"/>
          <w:noProof/>
          <w:color w:val="000000" w:themeColor="text1"/>
        </w:rPr>
        <w:t xml:space="preserve">EUR </w:t>
      </w:r>
      <w:r w:rsidR="46FF06B0" w:rsidRPr="00853C60">
        <w:rPr>
          <w:rFonts w:eastAsia="Times New Roman" w:cs="Times New Roman"/>
          <w:noProof/>
          <w:color w:val="000000" w:themeColor="text1"/>
        </w:rPr>
        <w:t>79.4 million</w:t>
      </w:r>
      <w:r w:rsidR="0097683A" w:rsidRPr="00853C60">
        <w:rPr>
          <w:rStyle w:val="FootnoteReference"/>
          <w:rFonts w:eastAsia="Times New Roman" w:cs="Times New Roman"/>
          <w:noProof/>
          <w:color w:val="000000" w:themeColor="text1"/>
        </w:rPr>
        <w:footnoteReference w:id="267"/>
      </w:r>
      <w:r w:rsidR="46FF06B0" w:rsidRPr="00853C60">
        <w:rPr>
          <w:rFonts w:eastAsia="Times New Roman" w:cs="Times New Roman"/>
          <w:noProof/>
          <w:color w:val="000000" w:themeColor="text1"/>
        </w:rPr>
        <w:t>)</w:t>
      </w:r>
      <w:r w:rsidR="3E637C4F" w:rsidRPr="00853C60">
        <w:rPr>
          <w:rFonts w:eastAsia="Times New Roman" w:cs="Times New Roman"/>
          <w:noProof/>
          <w:color w:val="000000" w:themeColor="text1"/>
        </w:rPr>
        <w:t xml:space="preserve"> </w:t>
      </w:r>
      <w:r w:rsidR="29A8FB7F" w:rsidRPr="00853C60">
        <w:rPr>
          <w:rFonts w:eastAsia="Times New Roman" w:cs="Times New Roman"/>
          <w:noProof/>
          <w:color w:val="000000" w:themeColor="text1"/>
        </w:rPr>
        <w:t>come from The Netherlands</w:t>
      </w:r>
      <w:r w:rsidR="6E8DCCB8" w:rsidRPr="00853C60">
        <w:rPr>
          <w:rFonts w:eastAsia="Times New Roman" w:cs="Times New Roman"/>
          <w:noProof/>
          <w:color w:val="000000" w:themeColor="text1"/>
        </w:rPr>
        <w:t xml:space="preserve">, which </w:t>
      </w:r>
      <w:r w:rsidR="78BF291A" w:rsidRPr="00853C60">
        <w:rPr>
          <w:rFonts w:eastAsia="Times New Roman" w:cs="Times New Roman"/>
          <w:noProof/>
          <w:color w:val="000000" w:themeColor="text1"/>
        </w:rPr>
        <w:t xml:space="preserve">equals </w:t>
      </w:r>
      <w:r w:rsidR="6E8DCCB8" w:rsidRPr="00853C60">
        <w:rPr>
          <w:rFonts w:eastAsia="Times New Roman" w:cs="Times New Roman"/>
          <w:noProof/>
          <w:color w:val="000000" w:themeColor="text1"/>
        </w:rPr>
        <w:t>6.1%</w:t>
      </w:r>
      <w:r w:rsidR="46FF06B0" w:rsidRPr="00853C60">
        <w:rPr>
          <w:rFonts w:eastAsia="Times New Roman" w:cs="Times New Roman"/>
          <w:noProof/>
          <w:color w:val="000000" w:themeColor="text1"/>
        </w:rPr>
        <w:t xml:space="preserve"> </w:t>
      </w:r>
      <w:r w:rsidR="2C9D2A48" w:rsidRPr="00853C60">
        <w:rPr>
          <w:rFonts w:eastAsia="Times New Roman" w:cs="Times New Roman"/>
          <w:noProof/>
          <w:color w:val="000000" w:themeColor="text1"/>
        </w:rPr>
        <w:t>of</w:t>
      </w:r>
      <w:r w:rsidR="46FF06B0" w:rsidRPr="00853C60">
        <w:rPr>
          <w:rFonts w:eastAsia="Times New Roman" w:cs="Times New Roman"/>
          <w:noProof/>
          <w:color w:val="000000" w:themeColor="text1"/>
        </w:rPr>
        <w:t xml:space="preserve"> the EU’s </w:t>
      </w:r>
      <w:r w:rsidR="2C9D2A48" w:rsidRPr="00853C60">
        <w:rPr>
          <w:rFonts w:eastAsia="Times New Roman" w:cs="Times New Roman"/>
          <w:noProof/>
          <w:color w:val="000000" w:themeColor="text1"/>
        </w:rPr>
        <w:t>GDP</w:t>
      </w:r>
      <w:r w:rsidR="41161556" w:rsidRPr="00853C60">
        <w:rPr>
          <w:rFonts w:eastAsia="Times New Roman" w:cs="Times New Roman"/>
          <w:noProof/>
          <w:color w:val="000000" w:themeColor="text1"/>
        </w:rPr>
        <w:t>.</w:t>
      </w:r>
      <w:r w:rsidR="000F7913" w:rsidRPr="00853C60">
        <w:rPr>
          <w:rStyle w:val="FootnoteReference"/>
          <w:rFonts w:eastAsia="Times New Roman" w:cs="Times New Roman"/>
          <w:noProof/>
          <w:color w:val="000000" w:themeColor="text1"/>
        </w:rPr>
        <w:footnoteReference w:id="268"/>
      </w:r>
      <w:r w:rsidR="3EC25E00" w:rsidRPr="00853C60">
        <w:rPr>
          <w:rFonts w:eastAsia="Times New Roman" w:cs="Times New Roman"/>
          <w:noProof/>
          <w:color w:val="000000" w:themeColor="text1"/>
        </w:rPr>
        <w:t xml:space="preserve"> To have a more nuanced</w:t>
      </w:r>
      <w:r w:rsidR="4CB90F58" w:rsidRPr="00853C60">
        <w:rPr>
          <w:rFonts w:eastAsia="Times New Roman" w:cs="Times New Roman"/>
          <w:noProof/>
          <w:color w:val="000000" w:themeColor="text1"/>
        </w:rPr>
        <w:t xml:space="preserve"> and proportionate</w:t>
      </w:r>
      <w:r w:rsidR="3EC25E00" w:rsidRPr="00853C60">
        <w:rPr>
          <w:rFonts w:eastAsia="Times New Roman" w:cs="Times New Roman"/>
          <w:noProof/>
          <w:color w:val="000000" w:themeColor="text1"/>
        </w:rPr>
        <w:t xml:space="preserve"> representation </w:t>
      </w:r>
      <w:r w:rsidR="1C8E9098" w:rsidRPr="00853C60">
        <w:rPr>
          <w:rFonts w:eastAsia="Times New Roman" w:cs="Times New Roman"/>
          <w:noProof/>
          <w:color w:val="000000" w:themeColor="text1"/>
        </w:rPr>
        <w:t xml:space="preserve">between the different Member States and their </w:t>
      </w:r>
      <w:r w:rsidR="7ECCBEE7" w:rsidRPr="00853C60">
        <w:rPr>
          <w:rFonts w:eastAsia="Times New Roman" w:cs="Times New Roman"/>
          <w:noProof/>
          <w:color w:val="000000" w:themeColor="text1"/>
        </w:rPr>
        <w:t xml:space="preserve">economic sizes </w:t>
      </w:r>
      <w:r w:rsidR="4CB90F58" w:rsidRPr="00853C60">
        <w:rPr>
          <w:rFonts w:eastAsia="Times New Roman" w:cs="Times New Roman"/>
          <w:noProof/>
          <w:color w:val="000000" w:themeColor="text1"/>
        </w:rPr>
        <w:t>-</w:t>
      </w:r>
      <w:r w:rsidR="7ECCBEE7" w:rsidRPr="00853C60">
        <w:rPr>
          <w:rFonts w:eastAsia="Times New Roman" w:cs="Times New Roman"/>
          <w:noProof/>
          <w:color w:val="000000" w:themeColor="text1"/>
        </w:rPr>
        <w:t>as a proxy to the use of this permitting systems by companies</w:t>
      </w:r>
      <w:r w:rsidR="4CB90F58" w:rsidRPr="00853C60">
        <w:rPr>
          <w:rFonts w:eastAsia="Times New Roman" w:cs="Times New Roman"/>
          <w:noProof/>
          <w:color w:val="000000" w:themeColor="text1"/>
        </w:rPr>
        <w:t>-</w:t>
      </w:r>
      <w:r w:rsidR="4DCC0970" w:rsidRPr="00853C60">
        <w:rPr>
          <w:rFonts w:eastAsia="Times New Roman" w:cs="Times New Roman"/>
          <w:noProof/>
          <w:color w:val="000000" w:themeColor="text1"/>
        </w:rPr>
        <w:t xml:space="preserve"> a calculation based on Netherlands GDP in relation to the EU total is done (6.1% out of the EU 100</w:t>
      </w:r>
      <w:r w:rsidR="5E49DA34" w:rsidRPr="00853C60">
        <w:rPr>
          <w:rFonts w:eastAsia="Times New Roman" w:cs="Times New Roman"/>
          <w:noProof/>
          <w:color w:val="000000" w:themeColor="text1"/>
        </w:rPr>
        <w:t>%)</w:t>
      </w:r>
      <w:r w:rsidR="7ECCBEE7" w:rsidRPr="00853C60">
        <w:rPr>
          <w:rFonts w:eastAsia="Times New Roman" w:cs="Times New Roman"/>
          <w:noProof/>
          <w:color w:val="000000" w:themeColor="text1"/>
        </w:rPr>
        <w:t>.</w:t>
      </w:r>
      <w:r w:rsidR="5B29E22D" w:rsidRPr="00822331">
        <w:rPr>
          <w:rFonts w:eastAsia="Times New Roman" w:cs="Times New Roman"/>
          <w:noProof/>
          <w:color w:val="000000" w:themeColor="text1"/>
        </w:rPr>
        <w:t xml:space="preserve"> </w:t>
      </w:r>
    </w:p>
    <w:p w14:paraId="3ADD2FD5" w14:textId="4E44DB7A" w:rsidR="005909CF" w:rsidRPr="00F03F9B" w:rsidRDefault="004036A7" w:rsidP="00822331">
      <w:pPr>
        <w:pStyle w:val="ListParagraph"/>
        <w:numPr>
          <w:ilvl w:val="0"/>
          <w:numId w:val="171"/>
        </w:numPr>
        <w:spacing w:after="120"/>
        <w:rPr>
          <w:rFonts w:eastAsia="Times New Roman" w:cs="Times New Roman"/>
          <w:b/>
          <w:i/>
          <w:noProof/>
          <w:color w:val="000000" w:themeColor="text1"/>
          <w:szCs w:val="24"/>
          <w:u w:val="single"/>
          <w:lang w:val="en-IE"/>
        </w:rPr>
      </w:pPr>
      <w:r w:rsidRPr="004036A7">
        <w:rPr>
          <w:rFonts w:eastAsia="Times New Roman" w:cs="Times New Roman"/>
          <w:noProof/>
          <w:color w:val="000000" w:themeColor="text1"/>
        </w:rPr>
        <w:t>It is difficult to give a meaningful figure for replacing an existing off-line procedure by an on-line version without considering the specific context of each Member Stat</w:t>
      </w:r>
      <w:r>
        <w:rPr>
          <w:rFonts w:eastAsia="Times New Roman" w:cs="Times New Roman"/>
          <w:noProof/>
          <w:color w:val="000000" w:themeColor="text1"/>
        </w:rPr>
        <w:t>e</w:t>
      </w:r>
      <w:r w:rsidR="005909CF">
        <w:rPr>
          <w:rFonts w:eastAsia="Times New Roman" w:cs="Times New Roman"/>
          <w:noProof/>
          <w:color w:val="000000" w:themeColor="text1"/>
        </w:rPr>
        <w:t>, and their level of digitalisation</w:t>
      </w:r>
      <w:r w:rsidR="00B95103">
        <w:rPr>
          <w:rFonts w:eastAsia="Times New Roman" w:cs="Times New Roman"/>
          <w:noProof/>
          <w:color w:val="000000" w:themeColor="text1"/>
        </w:rPr>
        <w:t xml:space="preserve">. </w:t>
      </w:r>
      <w:r w:rsidR="00B95103" w:rsidRPr="00B95103">
        <w:rPr>
          <w:rFonts w:eastAsia="Times New Roman" w:cs="Times New Roman"/>
          <w:noProof/>
          <w:color w:val="000000" w:themeColor="text1"/>
        </w:rPr>
        <w:t xml:space="preserve">The costs of moving procedures online vary widely depending on the complexity of the procedure, the availability of </w:t>
      </w:r>
      <w:r w:rsidR="00234E86">
        <w:rPr>
          <w:rFonts w:eastAsia="Times New Roman" w:cs="Times New Roman"/>
          <w:noProof/>
          <w:color w:val="000000" w:themeColor="text1"/>
        </w:rPr>
        <w:t>digitalised process</w:t>
      </w:r>
      <w:r w:rsidR="00B95103" w:rsidRPr="00B95103">
        <w:rPr>
          <w:rFonts w:eastAsia="Times New Roman" w:cs="Times New Roman"/>
          <w:noProof/>
          <w:color w:val="000000" w:themeColor="text1"/>
        </w:rPr>
        <w:t xml:space="preserve"> infrastructure, </w:t>
      </w:r>
      <w:r w:rsidR="003507CF">
        <w:rPr>
          <w:rFonts w:eastAsia="Times New Roman" w:cs="Times New Roman"/>
          <w:noProof/>
          <w:color w:val="000000" w:themeColor="text1"/>
        </w:rPr>
        <w:t xml:space="preserve">and </w:t>
      </w:r>
      <w:r w:rsidR="00B95103" w:rsidRPr="00B95103">
        <w:rPr>
          <w:rFonts w:eastAsia="Times New Roman" w:cs="Times New Roman"/>
          <w:noProof/>
          <w:color w:val="000000" w:themeColor="text1"/>
        </w:rPr>
        <w:t>whether we are talking about both front end (user interface) or both front end and back office (processing of the data by the administrations involved)</w:t>
      </w:r>
      <w:r w:rsidR="004C5FD1">
        <w:rPr>
          <w:rFonts w:eastAsia="Times New Roman" w:cs="Times New Roman"/>
          <w:noProof/>
          <w:color w:val="000000" w:themeColor="text1"/>
        </w:rPr>
        <w:t>.</w:t>
      </w:r>
      <w:r w:rsidR="00822331" w:rsidRPr="00822331">
        <w:rPr>
          <w:rFonts w:eastAsia="Times New Roman" w:cs="Times New Roman"/>
          <w:noProof/>
          <w:color w:val="000000" w:themeColor="text1"/>
        </w:rPr>
        <w:t xml:space="preserve"> </w:t>
      </w:r>
    </w:p>
    <w:p w14:paraId="126910BA" w14:textId="234E8045" w:rsidR="00FB2CDD" w:rsidRPr="005F03AB" w:rsidRDefault="005909CF" w:rsidP="00144455">
      <w:pPr>
        <w:pStyle w:val="ListParagraph"/>
        <w:numPr>
          <w:ilvl w:val="0"/>
          <w:numId w:val="171"/>
        </w:numPr>
        <w:spacing w:after="120"/>
        <w:rPr>
          <w:rFonts w:eastAsia="Times New Roman" w:cs="Times New Roman"/>
          <w:b/>
          <w:i/>
          <w:noProof/>
          <w:color w:val="000000" w:themeColor="text1"/>
          <w:szCs w:val="24"/>
          <w:u w:val="single"/>
          <w:lang w:val="en-IE"/>
        </w:rPr>
      </w:pPr>
      <w:r>
        <w:rPr>
          <w:rFonts w:eastAsia="Times New Roman" w:cs="Times New Roman"/>
          <w:noProof/>
          <w:color w:val="000000" w:themeColor="text1"/>
        </w:rPr>
        <w:t>Moreover, i</w:t>
      </w:r>
      <w:r w:rsidR="00563CCC">
        <w:rPr>
          <w:rFonts w:eastAsia="Times New Roman" w:cs="Times New Roman"/>
          <w:noProof/>
          <w:color w:val="000000" w:themeColor="text1"/>
        </w:rPr>
        <w:t>n the absence of concrete data on digitalisation of industrial permitting, an approximation is taken with the digitalisation of business procedures in the framework of the Single Digital Gateway Impact Assessment</w:t>
      </w:r>
      <w:r w:rsidR="00C33138">
        <w:rPr>
          <w:rFonts w:eastAsia="Times New Roman" w:cs="Times New Roman"/>
          <w:noProof/>
          <w:color w:val="000000" w:themeColor="text1"/>
        </w:rPr>
        <w:t xml:space="preserve"> to give a </w:t>
      </w:r>
      <w:r w:rsidR="004D6929">
        <w:rPr>
          <w:rFonts w:eastAsia="Times New Roman" w:cs="Times New Roman"/>
          <w:noProof/>
          <w:color w:val="000000" w:themeColor="text1"/>
        </w:rPr>
        <w:t>range</w:t>
      </w:r>
      <w:r w:rsidR="00563CCC">
        <w:rPr>
          <w:rFonts w:eastAsia="Times New Roman" w:cs="Times New Roman"/>
          <w:noProof/>
          <w:color w:val="000000" w:themeColor="text1"/>
        </w:rPr>
        <w:t>.</w:t>
      </w:r>
    </w:p>
    <w:p w14:paraId="0904F9BF" w14:textId="77777777" w:rsidR="00C33D11" w:rsidRPr="00144455" w:rsidRDefault="00C33D11" w:rsidP="00C33D11">
      <w:pPr>
        <w:pStyle w:val="ListParagraph"/>
        <w:spacing w:after="120"/>
        <w:rPr>
          <w:rFonts w:eastAsia="Times New Roman" w:cs="Times New Roman"/>
          <w:noProof/>
          <w:color w:val="000000" w:themeColor="text1"/>
          <w:szCs w:val="24"/>
        </w:rPr>
      </w:pPr>
    </w:p>
    <w:p w14:paraId="5BEF7D7B" w14:textId="1497CC9D" w:rsidR="00DC52F0" w:rsidRPr="00616D7C" w:rsidRDefault="00DC52F0" w:rsidP="00F85380">
      <w:pPr>
        <w:spacing w:after="120"/>
        <w:rPr>
          <w:rFonts w:eastAsia="Times New Roman" w:cs="Times New Roman"/>
          <w:b/>
          <w:noProof/>
          <w:color w:val="000000" w:themeColor="text1"/>
          <w:szCs w:val="24"/>
        </w:rPr>
      </w:pPr>
      <w:r w:rsidRPr="00616D7C">
        <w:rPr>
          <w:rFonts w:eastAsia="Times New Roman" w:cs="Times New Roman"/>
          <w:b/>
          <w:noProof/>
          <w:color w:val="000000" w:themeColor="text1"/>
          <w:szCs w:val="24"/>
        </w:rPr>
        <w:t>LEAD_EII</w:t>
      </w:r>
    </w:p>
    <w:tbl>
      <w:tblPr>
        <w:tblW w:w="4992"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5"/>
        <w:gridCol w:w="2414"/>
        <w:gridCol w:w="2632"/>
        <w:gridCol w:w="2376"/>
      </w:tblGrid>
      <w:tr w:rsidR="008E1AEB" w:rsidRPr="00020844" w14:paraId="2581BDCE" w14:textId="77777777" w:rsidTr="00853C60">
        <w:trPr>
          <w:trHeight w:val="259"/>
          <w:tblHeader/>
        </w:trPr>
        <w:tc>
          <w:tcPr>
            <w:tcW w:w="1080" w:type="pct"/>
            <w:tcBorders>
              <w:top w:val="single" w:sz="6" w:space="0" w:color="auto"/>
              <w:left w:val="single" w:sz="6" w:space="0" w:color="auto"/>
              <w:bottom w:val="single" w:sz="6" w:space="0" w:color="auto"/>
              <w:right w:val="single" w:sz="6" w:space="0" w:color="auto"/>
            </w:tcBorders>
            <w:vAlign w:val="center"/>
            <w:hideMark/>
          </w:tcPr>
          <w:p w14:paraId="5CA43392" w14:textId="0FB3B9CD" w:rsidR="00AA2779" w:rsidRPr="002837F7" w:rsidRDefault="00A26B91" w:rsidP="00B8538E">
            <w:pPr>
              <w:pStyle w:val="JRCText"/>
              <w:jc w:val="center"/>
              <w:rPr>
                <w:rFonts w:ascii="Times New Roman" w:hAnsi="Times New Roman" w:cs="Times New Roman"/>
                <w:b/>
                <w:noProof/>
                <w:color w:val="000000" w:themeColor="text1"/>
                <w:sz w:val="24"/>
                <w:szCs w:val="24"/>
              </w:rPr>
            </w:pPr>
            <w:r w:rsidRPr="002837F7">
              <w:rPr>
                <w:rFonts w:ascii="Times New Roman" w:eastAsia="Times New Roman" w:hAnsi="Times New Roman" w:cs="Times New Roman"/>
                <w:b/>
                <w:noProof/>
                <w:color w:val="000000" w:themeColor="text1"/>
                <w:sz w:val="24"/>
                <w:szCs w:val="24"/>
              </w:rPr>
              <w:t>LEAD_</w:t>
            </w:r>
            <w:r w:rsidR="00AA2779" w:rsidRPr="002837F7">
              <w:rPr>
                <w:rFonts w:ascii="Times New Roman" w:eastAsia="Times New Roman" w:hAnsi="Times New Roman" w:cs="Times New Roman"/>
                <w:b/>
                <w:noProof/>
                <w:color w:val="000000" w:themeColor="text1"/>
                <w:sz w:val="24"/>
                <w:szCs w:val="24"/>
              </w:rPr>
              <w:t>EII</w:t>
            </w:r>
          </w:p>
        </w:tc>
        <w:tc>
          <w:tcPr>
            <w:tcW w:w="3920" w:type="pct"/>
            <w:gridSpan w:val="3"/>
            <w:tcBorders>
              <w:top w:val="single" w:sz="6" w:space="0" w:color="auto"/>
              <w:left w:val="single" w:sz="6" w:space="0" w:color="auto"/>
              <w:bottom w:val="single" w:sz="6" w:space="0" w:color="auto"/>
              <w:right w:val="single" w:sz="6" w:space="0" w:color="auto"/>
            </w:tcBorders>
            <w:vAlign w:val="center"/>
            <w:hideMark/>
          </w:tcPr>
          <w:p w14:paraId="225B5968" w14:textId="0FD6DDFE" w:rsidR="00AA2779" w:rsidRPr="002837F7" w:rsidRDefault="00AA2779" w:rsidP="00B8538E">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000000" w:themeColor="text1"/>
                <w:sz w:val="24"/>
                <w:szCs w:val="24"/>
              </w:rPr>
              <w:t>Difference to the baseline</w:t>
            </w:r>
          </w:p>
        </w:tc>
      </w:tr>
      <w:tr w:rsidR="008E1AEB" w:rsidRPr="00020844" w14:paraId="0628CB81" w14:textId="77777777" w:rsidTr="00853C60">
        <w:trPr>
          <w:trHeight w:val="259"/>
          <w:tblHeader/>
        </w:trPr>
        <w:tc>
          <w:tcPr>
            <w:tcW w:w="1080" w:type="pct"/>
            <w:tcBorders>
              <w:top w:val="single" w:sz="6" w:space="0" w:color="auto"/>
              <w:left w:val="single" w:sz="6" w:space="0" w:color="auto"/>
              <w:bottom w:val="single" w:sz="6" w:space="0" w:color="auto"/>
              <w:right w:val="single" w:sz="6" w:space="0" w:color="auto"/>
            </w:tcBorders>
            <w:vAlign w:val="center"/>
            <w:hideMark/>
          </w:tcPr>
          <w:p w14:paraId="7D5B4533" w14:textId="410F13F1" w:rsidR="00AA2779" w:rsidRPr="002837F7" w:rsidRDefault="00AA2779" w:rsidP="00B8538E">
            <w:pPr>
              <w:pStyle w:val="JRCText"/>
              <w:jc w:val="center"/>
              <w:rPr>
                <w:rFonts w:ascii="Times New Roman" w:hAnsi="Times New Roman" w:cs="Times New Roman"/>
                <w:b/>
                <w:noProof/>
                <w:color w:val="000000" w:themeColor="text1"/>
                <w:sz w:val="24"/>
                <w:szCs w:val="24"/>
              </w:rPr>
            </w:pPr>
          </w:p>
        </w:tc>
        <w:tc>
          <w:tcPr>
            <w:tcW w:w="1275" w:type="pct"/>
            <w:tcBorders>
              <w:top w:val="single" w:sz="6" w:space="0" w:color="auto"/>
              <w:left w:val="single" w:sz="6" w:space="0" w:color="auto"/>
              <w:bottom w:val="single" w:sz="6" w:space="0" w:color="auto"/>
              <w:right w:val="single" w:sz="6" w:space="0" w:color="auto"/>
            </w:tcBorders>
            <w:vAlign w:val="center"/>
            <w:hideMark/>
          </w:tcPr>
          <w:p w14:paraId="317AACAA" w14:textId="7A7CE701" w:rsidR="00AA2779" w:rsidRPr="002837F7" w:rsidRDefault="00AA2779" w:rsidP="00B8538E">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000000" w:themeColor="text1"/>
                <w:sz w:val="24"/>
                <w:szCs w:val="24"/>
              </w:rPr>
              <w:t>PO1</w:t>
            </w:r>
          </w:p>
        </w:tc>
        <w:tc>
          <w:tcPr>
            <w:tcW w:w="1390" w:type="pct"/>
            <w:tcBorders>
              <w:top w:val="nil"/>
              <w:left w:val="single" w:sz="6" w:space="0" w:color="auto"/>
              <w:bottom w:val="single" w:sz="6" w:space="0" w:color="auto"/>
              <w:right w:val="single" w:sz="6" w:space="0" w:color="auto"/>
            </w:tcBorders>
            <w:vAlign w:val="center"/>
            <w:hideMark/>
          </w:tcPr>
          <w:p w14:paraId="4A3EC867" w14:textId="24B70521" w:rsidR="00AA2779" w:rsidRPr="002837F7" w:rsidRDefault="00AA2779" w:rsidP="00B8538E">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000000" w:themeColor="text1"/>
                <w:sz w:val="24"/>
                <w:szCs w:val="24"/>
              </w:rPr>
              <w:t>PO2</w:t>
            </w:r>
          </w:p>
        </w:tc>
        <w:tc>
          <w:tcPr>
            <w:tcW w:w="1255" w:type="pct"/>
            <w:tcBorders>
              <w:top w:val="nil"/>
              <w:left w:val="single" w:sz="6" w:space="0" w:color="auto"/>
              <w:bottom w:val="single" w:sz="6" w:space="0" w:color="auto"/>
              <w:right w:val="single" w:sz="6" w:space="0" w:color="auto"/>
            </w:tcBorders>
            <w:vAlign w:val="center"/>
            <w:hideMark/>
          </w:tcPr>
          <w:p w14:paraId="659AFEAB" w14:textId="1C4C8EE5" w:rsidR="00AA2779" w:rsidRPr="002837F7" w:rsidRDefault="00AA2779" w:rsidP="00B8538E">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000000" w:themeColor="text1"/>
                <w:sz w:val="24"/>
                <w:szCs w:val="24"/>
              </w:rPr>
              <w:t>PO3</w:t>
            </w:r>
          </w:p>
        </w:tc>
      </w:tr>
      <w:tr w:rsidR="00A201A1" w:rsidRPr="00020844" w14:paraId="7AC69356" w14:textId="77777777" w:rsidTr="1FA04443">
        <w:trPr>
          <w:trHeight w:val="535"/>
        </w:trPr>
        <w:tc>
          <w:tcPr>
            <w:tcW w:w="1080"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613BE1F" w14:textId="5A13DF4E" w:rsidR="00AA2779" w:rsidRPr="002837F7" w:rsidRDefault="00AA2779" w:rsidP="00B8538E">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FFFFFF" w:themeColor="background1"/>
                <w:sz w:val="24"/>
                <w:szCs w:val="24"/>
              </w:rPr>
              <w:t xml:space="preserve">Member States </w:t>
            </w:r>
          </w:p>
        </w:tc>
        <w:tc>
          <w:tcPr>
            <w:tcW w:w="127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E719630" w14:textId="24C743AA" w:rsidR="00AA2779" w:rsidRPr="002837F7" w:rsidRDefault="00AA2779" w:rsidP="00F83D84">
            <w:pPr>
              <w:pStyle w:val="JRCText"/>
              <w:rPr>
                <w:rFonts w:ascii="Times New Roman" w:hAnsi="Times New Roman" w:cs="Times New Roman"/>
                <w:b/>
                <w:noProof/>
                <w:color w:val="000000" w:themeColor="text1"/>
                <w:sz w:val="24"/>
                <w:szCs w:val="24"/>
              </w:rPr>
            </w:pPr>
          </w:p>
        </w:tc>
        <w:tc>
          <w:tcPr>
            <w:tcW w:w="1390"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69B6AA2" w14:textId="0B7BA608" w:rsidR="00AA2779" w:rsidRPr="002837F7" w:rsidRDefault="00AA2779" w:rsidP="00F83D84">
            <w:pPr>
              <w:pStyle w:val="JRCText"/>
              <w:rPr>
                <w:rFonts w:ascii="Times New Roman" w:hAnsi="Times New Roman" w:cs="Times New Roman"/>
                <w:b/>
                <w:noProof/>
                <w:color w:val="000000" w:themeColor="text1"/>
                <w:sz w:val="24"/>
                <w:szCs w:val="24"/>
              </w:rPr>
            </w:pPr>
          </w:p>
        </w:tc>
        <w:tc>
          <w:tcPr>
            <w:tcW w:w="125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3568F5D" w14:textId="219D2925" w:rsidR="00AA2779" w:rsidRPr="002837F7" w:rsidRDefault="00AA2779" w:rsidP="00B8538E">
            <w:pPr>
              <w:pStyle w:val="JRCText"/>
              <w:jc w:val="center"/>
              <w:rPr>
                <w:rFonts w:ascii="Times New Roman" w:hAnsi="Times New Roman" w:cs="Times New Roman"/>
                <w:b/>
                <w:noProof/>
                <w:color w:val="000000" w:themeColor="text1"/>
                <w:sz w:val="24"/>
                <w:szCs w:val="24"/>
              </w:rPr>
            </w:pPr>
          </w:p>
        </w:tc>
      </w:tr>
      <w:tr w:rsidR="008E1AEB" w:rsidRPr="00020844" w14:paraId="7BADDD85" w14:textId="77777777" w:rsidTr="1FA04443">
        <w:trPr>
          <w:trHeight w:val="259"/>
        </w:trPr>
        <w:tc>
          <w:tcPr>
            <w:tcW w:w="1080" w:type="pct"/>
            <w:tcBorders>
              <w:top w:val="single" w:sz="6" w:space="0" w:color="auto"/>
              <w:left w:val="single" w:sz="6" w:space="0" w:color="auto"/>
              <w:bottom w:val="single" w:sz="6" w:space="0" w:color="auto"/>
              <w:right w:val="single" w:sz="6" w:space="0" w:color="auto"/>
            </w:tcBorders>
            <w:vAlign w:val="center"/>
            <w:hideMark/>
          </w:tcPr>
          <w:p w14:paraId="70B4B949" w14:textId="254038AD" w:rsidR="00AA2779" w:rsidRPr="002837F7" w:rsidRDefault="00AA2779" w:rsidP="00B8538E">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000000" w:themeColor="text1"/>
                <w:sz w:val="24"/>
                <w:szCs w:val="24"/>
              </w:rPr>
              <w:lastRenderedPageBreak/>
              <w:t>Administrative costs (recurring)</w:t>
            </w:r>
          </w:p>
        </w:tc>
        <w:tc>
          <w:tcPr>
            <w:tcW w:w="1275" w:type="pct"/>
            <w:tcBorders>
              <w:top w:val="single" w:sz="6" w:space="0" w:color="auto"/>
              <w:left w:val="single" w:sz="6" w:space="0" w:color="auto"/>
              <w:bottom w:val="single" w:sz="6" w:space="0" w:color="auto"/>
              <w:right w:val="single" w:sz="6" w:space="0" w:color="auto"/>
            </w:tcBorders>
            <w:vAlign w:val="center"/>
            <w:hideMark/>
          </w:tcPr>
          <w:p w14:paraId="52B507BF" w14:textId="4D9B3EC2" w:rsidR="008D3273" w:rsidRPr="002837F7" w:rsidRDefault="008D3273" w:rsidP="00B8538E">
            <w:pPr>
              <w:pStyle w:val="JRCText"/>
              <w:jc w:val="center"/>
              <w:rPr>
                <w:rFonts w:ascii="Times New Roman" w:hAnsi="Times New Roman" w:cs="Times New Roman"/>
                <w:i/>
                <w:noProof/>
                <w:color w:val="000000" w:themeColor="text1"/>
                <w:sz w:val="24"/>
                <w:szCs w:val="24"/>
              </w:rPr>
            </w:pPr>
            <w:r w:rsidRPr="002837F7">
              <w:rPr>
                <w:rFonts w:ascii="Times New Roman" w:hAnsi="Times New Roman" w:cs="Times New Roman"/>
                <w:i/>
                <w:noProof/>
                <w:color w:val="000000" w:themeColor="text1"/>
                <w:sz w:val="24"/>
                <w:szCs w:val="24"/>
              </w:rPr>
              <w:t xml:space="preserve">Low-carbon </w:t>
            </w:r>
            <w:r w:rsidR="00B44B59" w:rsidRPr="002837F7">
              <w:rPr>
                <w:rFonts w:ascii="Times New Roman" w:hAnsi="Times New Roman" w:cs="Times New Roman"/>
                <w:i/>
                <w:noProof/>
                <w:color w:val="000000" w:themeColor="text1"/>
                <w:sz w:val="24"/>
                <w:szCs w:val="24"/>
              </w:rPr>
              <w:t>and Made in EU requirements in public procurement:</w:t>
            </w:r>
          </w:p>
          <w:p w14:paraId="7014F179" w14:textId="0FBFFDD1" w:rsidR="00AA2779" w:rsidRPr="002837F7" w:rsidRDefault="5DF8C08D" w:rsidP="00B8538E">
            <w:pPr>
              <w:pStyle w:val="JRCText"/>
              <w:jc w:val="center"/>
              <w:rPr>
                <w:rFonts w:ascii="Times New Roman" w:hAnsi="Times New Roman" w:cs="Times New Roman"/>
                <w:noProof/>
                <w:color w:val="000000" w:themeColor="text1"/>
                <w:sz w:val="24"/>
                <w:szCs w:val="24"/>
              </w:rPr>
            </w:pPr>
            <w:r w:rsidRPr="1A2A8689">
              <w:rPr>
                <w:rFonts w:ascii="Times New Roman" w:hAnsi="Times New Roman" w:cs="Times New Roman"/>
                <w:noProof/>
                <w:color w:val="000000" w:themeColor="text1"/>
                <w:sz w:val="24"/>
                <w:szCs w:val="24"/>
              </w:rPr>
              <w:t>2 FTE (yearly)</w:t>
            </w:r>
            <w:r w:rsidR="5843E181" w:rsidRPr="1A2A8689">
              <w:rPr>
                <w:rFonts w:ascii="Times New Roman" w:eastAsia="Times New Roman" w:hAnsi="Times New Roman" w:cs="Times New Roman"/>
                <w:noProof/>
                <w:color w:val="000000" w:themeColor="text1"/>
                <w:sz w:val="24"/>
                <w:szCs w:val="24"/>
              </w:rPr>
              <w:t xml:space="preserve"> </w:t>
            </w:r>
            <w:r w:rsidR="7527F42E" w:rsidRPr="1A2A8689">
              <w:rPr>
                <w:rFonts w:ascii="Times New Roman" w:hAnsi="Times New Roman" w:cs="Times New Roman"/>
                <w:noProof/>
                <w:color w:val="000000" w:themeColor="text1"/>
                <w:sz w:val="24"/>
                <w:szCs w:val="24"/>
              </w:rPr>
              <w:t>x</w:t>
            </w:r>
            <w:r w:rsidR="35DA9CD1" w:rsidRPr="1A2A8689">
              <w:rPr>
                <w:rFonts w:ascii="Times New Roman" w:hAnsi="Times New Roman" w:cs="Times New Roman"/>
                <w:noProof/>
                <w:color w:val="000000" w:themeColor="text1"/>
                <w:sz w:val="24"/>
                <w:szCs w:val="24"/>
              </w:rPr>
              <w:t xml:space="preserve"> </w:t>
            </w:r>
            <w:r w:rsidR="7527F42E" w:rsidRPr="1A2A8689">
              <w:rPr>
                <w:rFonts w:ascii="Times New Roman" w:hAnsi="Times New Roman" w:cs="Times New Roman"/>
                <w:noProof/>
                <w:color w:val="000000" w:themeColor="text1"/>
                <w:sz w:val="24"/>
                <w:szCs w:val="24"/>
              </w:rPr>
              <w:t>27</w:t>
            </w:r>
            <w:r w:rsidR="464FF7E6" w:rsidRPr="1A2A8689">
              <w:rPr>
                <w:rFonts w:ascii="Times New Roman" w:hAnsi="Times New Roman" w:cs="Times New Roman"/>
                <w:noProof/>
                <w:color w:val="000000" w:themeColor="text1"/>
                <w:sz w:val="24"/>
                <w:szCs w:val="24"/>
              </w:rPr>
              <w:t xml:space="preserve"> Member States</w:t>
            </w:r>
          </w:p>
          <w:p w14:paraId="59622E80" w14:textId="1DA3022E" w:rsidR="00AA2779" w:rsidRPr="002837F7" w:rsidRDefault="00AA2779" w:rsidP="00B8538E">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Total cost: EUR 3.3 million</w:t>
            </w:r>
          </w:p>
          <w:p w14:paraId="34DBCB8D" w14:textId="59472554" w:rsidR="00AA2779" w:rsidRPr="002837F7" w:rsidRDefault="00AA2779" w:rsidP="00B8538E">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(Vehicle requirements include batteries and vehicle components</w:t>
            </w:r>
            <w:r w:rsidR="001C5734">
              <w:rPr>
                <w:rFonts w:ascii="Times New Roman" w:hAnsi="Times New Roman" w:cs="Times New Roman"/>
                <w:noProof/>
                <w:color w:val="000000" w:themeColor="text1"/>
                <w:sz w:val="24"/>
                <w:szCs w:val="24"/>
              </w:rPr>
              <w:t>)</w:t>
            </w:r>
            <w:r w:rsidRPr="002837F7">
              <w:rPr>
                <w:rFonts w:ascii="Times New Roman" w:hAnsi="Times New Roman" w:cs="Times New Roman"/>
                <w:noProof/>
                <w:color w:val="000000" w:themeColor="text1"/>
                <w:sz w:val="24"/>
                <w:szCs w:val="24"/>
              </w:rPr>
              <w:t xml:space="preserve"> </w:t>
            </w:r>
          </w:p>
        </w:tc>
        <w:tc>
          <w:tcPr>
            <w:tcW w:w="1390" w:type="pct"/>
            <w:tcBorders>
              <w:top w:val="single" w:sz="6" w:space="0" w:color="auto"/>
              <w:left w:val="single" w:sz="6" w:space="0" w:color="auto"/>
              <w:bottom w:val="single" w:sz="6" w:space="0" w:color="auto"/>
              <w:right w:val="single" w:sz="6" w:space="0" w:color="auto"/>
            </w:tcBorders>
            <w:vAlign w:val="center"/>
            <w:hideMark/>
          </w:tcPr>
          <w:p w14:paraId="7E1975E1" w14:textId="77777777" w:rsidR="00B44B59" w:rsidRPr="002837F7" w:rsidRDefault="00B44B59" w:rsidP="00B44B59">
            <w:pPr>
              <w:pStyle w:val="JRCText"/>
              <w:jc w:val="center"/>
              <w:rPr>
                <w:rFonts w:ascii="Times New Roman" w:hAnsi="Times New Roman" w:cs="Times New Roman"/>
                <w:i/>
                <w:noProof/>
                <w:color w:val="000000" w:themeColor="text1"/>
                <w:sz w:val="24"/>
                <w:szCs w:val="24"/>
              </w:rPr>
            </w:pPr>
            <w:r w:rsidRPr="002837F7">
              <w:rPr>
                <w:rFonts w:ascii="Times New Roman" w:hAnsi="Times New Roman" w:cs="Times New Roman"/>
                <w:i/>
                <w:noProof/>
                <w:color w:val="000000" w:themeColor="text1"/>
                <w:sz w:val="24"/>
                <w:szCs w:val="24"/>
              </w:rPr>
              <w:t>Low-carbon and Made in EU requirements in public procurement:</w:t>
            </w:r>
          </w:p>
          <w:p w14:paraId="3BC48D5D" w14:textId="2E7F61DA" w:rsidR="00AA2779" w:rsidRPr="002837F7" w:rsidRDefault="5DF8C08D" w:rsidP="00B8538E">
            <w:pPr>
              <w:pStyle w:val="JRCText"/>
              <w:jc w:val="center"/>
              <w:rPr>
                <w:rFonts w:ascii="Times New Roman" w:hAnsi="Times New Roman" w:cs="Times New Roman"/>
                <w:noProof/>
                <w:color w:val="000000" w:themeColor="text1"/>
                <w:sz w:val="24"/>
                <w:szCs w:val="24"/>
              </w:rPr>
            </w:pPr>
            <w:r w:rsidRPr="1A2A8689">
              <w:rPr>
                <w:rFonts w:ascii="Times New Roman" w:hAnsi="Times New Roman" w:cs="Times New Roman"/>
                <w:noProof/>
                <w:color w:val="000000" w:themeColor="text1"/>
                <w:sz w:val="24"/>
                <w:szCs w:val="24"/>
              </w:rPr>
              <w:t>2 FTEs (yearly)</w:t>
            </w:r>
            <w:r w:rsidR="5843E181" w:rsidRPr="1A2A8689">
              <w:rPr>
                <w:rFonts w:ascii="Times New Roman" w:eastAsia="Times New Roman" w:hAnsi="Times New Roman" w:cs="Times New Roman"/>
                <w:noProof/>
                <w:color w:val="000000" w:themeColor="text1"/>
                <w:sz w:val="24"/>
                <w:szCs w:val="24"/>
              </w:rPr>
              <w:t xml:space="preserve"> </w:t>
            </w:r>
            <w:r w:rsidR="4193C64E" w:rsidRPr="1A2A8689">
              <w:rPr>
                <w:rFonts w:ascii="Times New Roman" w:hAnsi="Times New Roman" w:cs="Times New Roman"/>
                <w:noProof/>
                <w:color w:val="000000" w:themeColor="text1"/>
                <w:sz w:val="24"/>
                <w:szCs w:val="24"/>
              </w:rPr>
              <w:t>x</w:t>
            </w:r>
            <w:r w:rsidR="35DA9CD1" w:rsidRPr="1A2A8689">
              <w:rPr>
                <w:rFonts w:ascii="Times New Roman" w:hAnsi="Times New Roman" w:cs="Times New Roman"/>
                <w:noProof/>
                <w:color w:val="000000" w:themeColor="text1"/>
                <w:sz w:val="24"/>
                <w:szCs w:val="24"/>
              </w:rPr>
              <w:t xml:space="preserve"> </w:t>
            </w:r>
            <w:r w:rsidR="4193C64E" w:rsidRPr="1A2A8689">
              <w:rPr>
                <w:rFonts w:ascii="Times New Roman" w:hAnsi="Times New Roman" w:cs="Times New Roman"/>
                <w:noProof/>
                <w:color w:val="000000" w:themeColor="text1"/>
                <w:sz w:val="24"/>
                <w:szCs w:val="24"/>
              </w:rPr>
              <w:t>27</w:t>
            </w:r>
            <w:r w:rsidR="464FF7E6" w:rsidRPr="1A2A8689">
              <w:rPr>
                <w:rFonts w:ascii="Times New Roman" w:hAnsi="Times New Roman" w:cs="Times New Roman"/>
                <w:noProof/>
                <w:color w:val="000000" w:themeColor="text1"/>
                <w:sz w:val="24"/>
                <w:szCs w:val="24"/>
              </w:rPr>
              <w:t xml:space="preserve"> Member States</w:t>
            </w:r>
          </w:p>
          <w:p w14:paraId="2B57F7D5" w14:textId="26EF1831" w:rsidR="00AA2779" w:rsidRPr="002837F7" w:rsidRDefault="00AA2779" w:rsidP="00B8538E">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Total cost: EUR 3.3 million</w:t>
            </w:r>
          </w:p>
          <w:p w14:paraId="68CB68D7" w14:textId="51E2FCA8" w:rsidR="00AA2779" w:rsidRPr="002837F7" w:rsidRDefault="00AA2779" w:rsidP="00B8538E">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(Vehicle requirements include batteries and vehicle components</w:t>
            </w:r>
            <w:r w:rsidR="00AB1DF9" w:rsidRPr="002837F7">
              <w:rPr>
                <w:rFonts w:ascii="Times New Roman" w:hAnsi="Times New Roman" w:cs="Times New Roman"/>
                <w:noProof/>
                <w:color w:val="000000" w:themeColor="text1"/>
                <w:sz w:val="24"/>
                <w:szCs w:val="24"/>
              </w:rPr>
              <w:t>)</w:t>
            </w:r>
          </w:p>
        </w:tc>
        <w:tc>
          <w:tcPr>
            <w:tcW w:w="1255" w:type="pct"/>
            <w:tcBorders>
              <w:top w:val="single" w:sz="6" w:space="0" w:color="auto"/>
              <w:left w:val="single" w:sz="6" w:space="0" w:color="auto"/>
              <w:bottom w:val="single" w:sz="6" w:space="0" w:color="auto"/>
              <w:right w:val="single" w:sz="6" w:space="0" w:color="auto"/>
            </w:tcBorders>
            <w:vAlign w:val="center"/>
            <w:hideMark/>
          </w:tcPr>
          <w:p w14:paraId="72D03A2D" w14:textId="77777777" w:rsidR="00B44B59" w:rsidRPr="002837F7" w:rsidRDefault="00B44B59" w:rsidP="00B44B59">
            <w:pPr>
              <w:pStyle w:val="JRCText"/>
              <w:jc w:val="center"/>
              <w:rPr>
                <w:rFonts w:ascii="Times New Roman" w:hAnsi="Times New Roman" w:cs="Times New Roman"/>
                <w:i/>
                <w:noProof/>
                <w:color w:val="000000" w:themeColor="text1"/>
                <w:sz w:val="24"/>
                <w:szCs w:val="24"/>
              </w:rPr>
            </w:pPr>
            <w:r w:rsidRPr="002837F7">
              <w:rPr>
                <w:rFonts w:ascii="Times New Roman" w:hAnsi="Times New Roman" w:cs="Times New Roman"/>
                <w:i/>
                <w:noProof/>
                <w:color w:val="000000" w:themeColor="text1"/>
                <w:sz w:val="24"/>
                <w:szCs w:val="24"/>
              </w:rPr>
              <w:t>Low-carbon and Made in EU requirements in public procurement:</w:t>
            </w:r>
          </w:p>
          <w:p w14:paraId="373C82F5" w14:textId="630731E8" w:rsidR="00AA2779" w:rsidRPr="002837F7" w:rsidRDefault="5DF8C08D" w:rsidP="00B8538E">
            <w:pPr>
              <w:pStyle w:val="JRCText"/>
              <w:jc w:val="center"/>
              <w:rPr>
                <w:rFonts w:ascii="Times New Roman" w:hAnsi="Times New Roman" w:cs="Times New Roman"/>
                <w:noProof/>
                <w:color w:val="000000" w:themeColor="text1"/>
                <w:sz w:val="24"/>
                <w:szCs w:val="24"/>
              </w:rPr>
            </w:pPr>
            <w:r w:rsidRPr="1A2A8689">
              <w:rPr>
                <w:rFonts w:ascii="Times New Roman" w:hAnsi="Times New Roman" w:cs="Times New Roman"/>
                <w:noProof/>
                <w:color w:val="000000" w:themeColor="text1"/>
                <w:sz w:val="24"/>
                <w:szCs w:val="24"/>
              </w:rPr>
              <w:t>2 FTEs (yearly) </w:t>
            </w:r>
            <w:r w:rsidR="35DA9CD1" w:rsidRPr="1A2A8689">
              <w:rPr>
                <w:rFonts w:ascii="Times New Roman" w:hAnsi="Times New Roman" w:cs="Times New Roman"/>
                <w:noProof/>
                <w:color w:val="000000" w:themeColor="text1"/>
                <w:sz w:val="24"/>
                <w:szCs w:val="24"/>
              </w:rPr>
              <w:t xml:space="preserve">x </w:t>
            </w:r>
            <w:r w:rsidR="4193C64E" w:rsidRPr="1A2A8689">
              <w:rPr>
                <w:rFonts w:ascii="Times New Roman" w:hAnsi="Times New Roman" w:cs="Times New Roman"/>
                <w:noProof/>
                <w:color w:val="000000" w:themeColor="text1"/>
                <w:sz w:val="24"/>
                <w:szCs w:val="24"/>
              </w:rPr>
              <w:t>27</w:t>
            </w:r>
            <w:r w:rsidR="464FF7E6" w:rsidRPr="1A2A8689">
              <w:rPr>
                <w:rFonts w:ascii="Times New Roman" w:hAnsi="Times New Roman" w:cs="Times New Roman"/>
                <w:noProof/>
                <w:color w:val="000000" w:themeColor="text1"/>
                <w:sz w:val="24"/>
                <w:szCs w:val="24"/>
              </w:rPr>
              <w:t xml:space="preserve"> Member States</w:t>
            </w:r>
          </w:p>
          <w:p w14:paraId="5E08094A" w14:textId="4F0B691E" w:rsidR="00AA2779" w:rsidRPr="002837F7" w:rsidRDefault="00AA2779" w:rsidP="00B8538E">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Total cost: EUR 3.3 million</w:t>
            </w:r>
          </w:p>
          <w:p w14:paraId="75593E09" w14:textId="0C0396EB" w:rsidR="00AA2779" w:rsidRPr="002837F7" w:rsidRDefault="00AA2779" w:rsidP="00B8538E">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(Vehicle requirements include batteries and vehicle components</w:t>
            </w:r>
            <w:r w:rsidR="00AB1DF9" w:rsidRPr="002837F7">
              <w:rPr>
                <w:rFonts w:ascii="Times New Roman" w:hAnsi="Times New Roman" w:cs="Times New Roman"/>
                <w:noProof/>
                <w:color w:val="000000" w:themeColor="text1"/>
                <w:sz w:val="24"/>
                <w:szCs w:val="24"/>
              </w:rPr>
              <w:t>)</w:t>
            </w:r>
          </w:p>
        </w:tc>
      </w:tr>
      <w:tr w:rsidR="00A201A1" w:rsidRPr="00020844" w14:paraId="1C47DC07" w14:textId="77777777" w:rsidTr="1FA04443">
        <w:trPr>
          <w:trHeight w:val="386"/>
        </w:trPr>
        <w:tc>
          <w:tcPr>
            <w:tcW w:w="1080"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35416C01" w14:textId="373250AE" w:rsidR="00AA2779" w:rsidRPr="002837F7" w:rsidRDefault="00AA2779" w:rsidP="00B8538E">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FFFFFF" w:themeColor="background1"/>
                <w:sz w:val="24"/>
                <w:szCs w:val="24"/>
              </w:rPr>
              <w:t>Businesses</w:t>
            </w:r>
          </w:p>
        </w:tc>
        <w:tc>
          <w:tcPr>
            <w:tcW w:w="127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9D931A4" w14:textId="204DF09D" w:rsidR="00AA2779" w:rsidRPr="002837F7" w:rsidRDefault="00AA2779" w:rsidP="00B8538E">
            <w:pPr>
              <w:pStyle w:val="JRCText"/>
              <w:jc w:val="center"/>
              <w:rPr>
                <w:rFonts w:ascii="Times New Roman" w:hAnsi="Times New Roman" w:cs="Times New Roman"/>
                <w:b/>
                <w:noProof/>
                <w:color w:val="000000" w:themeColor="text1"/>
                <w:sz w:val="24"/>
                <w:szCs w:val="24"/>
              </w:rPr>
            </w:pPr>
          </w:p>
        </w:tc>
        <w:tc>
          <w:tcPr>
            <w:tcW w:w="1390"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C521ACD" w14:textId="691482DC" w:rsidR="00AA2779" w:rsidRPr="002837F7" w:rsidRDefault="00AA2779" w:rsidP="00B8538E">
            <w:pPr>
              <w:pStyle w:val="JRCText"/>
              <w:jc w:val="center"/>
              <w:rPr>
                <w:rFonts w:ascii="Times New Roman" w:hAnsi="Times New Roman" w:cs="Times New Roman"/>
                <w:b/>
                <w:noProof/>
                <w:color w:val="000000" w:themeColor="text1"/>
                <w:sz w:val="24"/>
                <w:szCs w:val="24"/>
              </w:rPr>
            </w:pPr>
          </w:p>
        </w:tc>
        <w:tc>
          <w:tcPr>
            <w:tcW w:w="125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44DAE31E" w14:textId="52ED2B3B" w:rsidR="00AA2779" w:rsidRPr="002837F7" w:rsidRDefault="00AA2779" w:rsidP="00B8538E">
            <w:pPr>
              <w:pStyle w:val="JRCText"/>
              <w:jc w:val="center"/>
              <w:rPr>
                <w:rFonts w:ascii="Times New Roman" w:hAnsi="Times New Roman" w:cs="Times New Roman"/>
                <w:b/>
                <w:noProof/>
                <w:color w:val="000000" w:themeColor="text1"/>
                <w:sz w:val="24"/>
                <w:szCs w:val="24"/>
              </w:rPr>
            </w:pPr>
          </w:p>
        </w:tc>
      </w:tr>
      <w:tr w:rsidR="00434FB4" w:rsidRPr="00020844" w14:paraId="49580C1C" w14:textId="77777777" w:rsidTr="1FA04443">
        <w:trPr>
          <w:trHeight w:val="683"/>
        </w:trPr>
        <w:tc>
          <w:tcPr>
            <w:tcW w:w="1080" w:type="pct"/>
            <w:tcBorders>
              <w:top w:val="single" w:sz="6" w:space="0" w:color="auto"/>
              <w:left w:val="single" w:sz="6" w:space="0" w:color="auto"/>
              <w:bottom w:val="single" w:sz="6" w:space="0" w:color="auto"/>
              <w:right w:val="single" w:sz="6" w:space="0" w:color="auto"/>
            </w:tcBorders>
            <w:vAlign w:val="center"/>
            <w:hideMark/>
          </w:tcPr>
          <w:p w14:paraId="3064EB5D" w14:textId="6FA05331" w:rsidR="00434FB4" w:rsidRPr="002837F7" w:rsidRDefault="00434FB4" w:rsidP="00434FB4">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000000" w:themeColor="text1"/>
                <w:sz w:val="24"/>
                <w:szCs w:val="24"/>
              </w:rPr>
              <w:t>Administrative costs (recurring)</w:t>
            </w:r>
          </w:p>
        </w:tc>
        <w:tc>
          <w:tcPr>
            <w:tcW w:w="1275" w:type="pct"/>
            <w:tcBorders>
              <w:top w:val="single" w:sz="6" w:space="0" w:color="auto"/>
              <w:left w:val="single" w:sz="6" w:space="0" w:color="auto"/>
              <w:bottom w:val="single" w:sz="6" w:space="0" w:color="auto"/>
              <w:right w:val="single" w:sz="6" w:space="0" w:color="auto"/>
            </w:tcBorders>
            <w:vAlign w:val="center"/>
            <w:hideMark/>
          </w:tcPr>
          <w:p w14:paraId="231412CF" w14:textId="0C6E4C2E" w:rsidR="00905847" w:rsidRPr="001C18C3" w:rsidRDefault="264E3F50" w:rsidP="1FA04443">
            <w:pPr>
              <w:pStyle w:val="JRCText"/>
              <w:jc w:val="center"/>
              <w:rPr>
                <w:rFonts w:ascii="Times New Roman" w:eastAsia="Times New Roman" w:hAnsi="Times New Roman" w:cs="Times New Roman"/>
                <w:i/>
                <w:iCs/>
                <w:noProof/>
                <w:color w:val="000000" w:themeColor="text1"/>
                <w:sz w:val="24"/>
                <w:szCs w:val="24"/>
              </w:rPr>
            </w:pPr>
            <w:r w:rsidRPr="001C18C3">
              <w:rPr>
                <w:rFonts w:ascii="Times New Roman" w:eastAsia="Times New Roman" w:hAnsi="Times New Roman" w:cs="Times New Roman"/>
                <w:i/>
                <w:iCs/>
                <w:noProof/>
                <w:color w:val="000000" w:themeColor="text1"/>
                <w:sz w:val="24"/>
                <w:szCs w:val="24"/>
              </w:rPr>
              <w:t>Low-carbon requirements:</w:t>
            </w:r>
          </w:p>
          <w:p w14:paraId="6996DF9F" w14:textId="048B0592" w:rsidR="00434FB4" w:rsidRPr="002837F7" w:rsidRDefault="13DB6C1C" w:rsidP="00434FB4">
            <w:pPr>
              <w:pStyle w:val="JRCText"/>
              <w:jc w:val="center"/>
              <w:rPr>
                <w:rFonts w:ascii="Times New Roman" w:eastAsia="Times New Roman" w:hAnsi="Times New Roman" w:cs="Times New Roman"/>
                <w:noProof/>
                <w:color w:val="000000" w:themeColor="text1"/>
                <w:sz w:val="24"/>
                <w:szCs w:val="24"/>
                <w:u w:val="single"/>
              </w:rPr>
            </w:pPr>
            <w:r w:rsidRPr="1FA04443">
              <w:rPr>
                <w:rFonts w:ascii="Times New Roman" w:eastAsia="Times New Roman" w:hAnsi="Times New Roman" w:cs="Times New Roman"/>
                <w:noProof/>
                <w:color w:val="000000" w:themeColor="text1"/>
                <w:sz w:val="24"/>
                <w:szCs w:val="24"/>
              </w:rPr>
              <w:t>¾ week FTE for automotive</w:t>
            </w:r>
            <w:r w:rsidRPr="1FA04443">
              <w:rPr>
                <w:rFonts w:ascii="Times New Roman" w:eastAsia="Times New Roman" w:hAnsi="Times New Roman" w:cs="Times New Roman"/>
                <w:noProof/>
                <w:color w:val="000000" w:themeColor="text1"/>
                <w:sz w:val="24"/>
                <w:szCs w:val="24"/>
                <w:u w:val="single"/>
              </w:rPr>
              <w:t xml:space="preserve"> (low</w:t>
            </w:r>
            <w:r w:rsidR="00966BD0">
              <w:rPr>
                <w:rFonts w:ascii="Times New Roman" w:eastAsia="Times New Roman" w:hAnsi="Times New Roman" w:cs="Times New Roman"/>
                <w:noProof/>
                <w:color w:val="000000" w:themeColor="text1"/>
                <w:sz w:val="24"/>
                <w:szCs w:val="24"/>
                <w:u w:val="single"/>
              </w:rPr>
              <w:t>-</w:t>
            </w:r>
            <w:r w:rsidRPr="1FA04443">
              <w:rPr>
                <w:rFonts w:ascii="Times New Roman" w:eastAsia="Times New Roman" w:hAnsi="Times New Roman" w:cs="Times New Roman"/>
                <w:noProof/>
                <w:color w:val="000000" w:themeColor="text1"/>
                <w:sz w:val="24"/>
                <w:szCs w:val="24"/>
                <w:u w:val="single"/>
              </w:rPr>
              <w:t>carbon)</w:t>
            </w:r>
          </w:p>
          <w:p w14:paraId="417A09F7" w14:textId="7F3FD5D4" w:rsidR="00B9190A" w:rsidRPr="002837F7" w:rsidRDefault="0AFC90E5" w:rsidP="00056E83">
            <w:pPr>
              <w:pStyle w:val="JRCText"/>
              <w:jc w:val="center"/>
              <w:rPr>
                <w:rFonts w:ascii="Times New Roman" w:eastAsia="Times New Roman" w:hAnsi="Times New Roman" w:cs="Times New Roman"/>
                <w:noProof/>
                <w:color w:val="000000" w:themeColor="text1"/>
                <w:sz w:val="24"/>
                <w:szCs w:val="24"/>
              </w:rPr>
            </w:pPr>
            <w:r w:rsidRPr="002837F7">
              <w:rPr>
                <w:rFonts w:ascii="Times New Roman" w:eastAsia="Times New Roman" w:hAnsi="Times New Roman" w:cs="Times New Roman"/>
                <w:noProof/>
                <w:color w:val="000000" w:themeColor="text1"/>
                <w:sz w:val="24"/>
                <w:szCs w:val="24"/>
              </w:rPr>
              <w:t>N</w:t>
            </w:r>
            <w:r w:rsidR="00FA046D">
              <w:rPr>
                <w:rFonts w:ascii="Times New Roman" w:eastAsia="Times New Roman" w:hAnsi="Times New Roman" w:cs="Times New Roman"/>
                <w:noProof/>
                <w:color w:val="000000" w:themeColor="text1"/>
                <w:sz w:val="24"/>
                <w:szCs w:val="24"/>
              </w:rPr>
              <w:t>o. of</w:t>
            </w:r>
            <w:r w:rsidRPr="002837F7">
              <w:rPr>
                <w:rFonts w:ascii="Times New Roman" w:eastAsia="Times New Roman" w:hAnsi="Times New Roman" w:cs="Times New Roman"/>
                <w:noProof/>
                <w:color w:val="000000" w:themeColor="text1"/>
                <w:sz w:val="24"/>
                <w:szCs w:val="24"/>
              </w:rPr>
              <w:t xml:space="preserve"> automotive OEMs: 13 (70 OEM</w:t>
            </w:r>
            <w:r w:rsidR="000E50B2">
              <w:rPr>
                <w:rFonts w:ascii="Times New Roman" w:eastAsia="Times New Roman" w:hAnsi="Times New Roman" w:cs="Times New Roman"/>
                <w:noProof/>
                <w:color w:val="000000" w:themeColor="text1"/>
                <w:sz w:val="24"/>
                <w:szCs w:val="24"/>
              </w:rPr>
              <w:t>s</w:t>
            </w:r>
            <w:r w:rsidR="00B9190A" w:rsidRPr="002837F7">
              <w:rPr>
                <w:rStyle w:val="FootnoteReference"/>
                <w:rFonts w:ascii="Times New Roman" w:eastAsia="Times New Roman" w:hAnsi="Times New Roman" w:cs="Times New Roman"/>
                <w:noProof/>
                <w:color w:val="000000" w:themeColor="text1"/>
                <w:sz w:val="24"/>
                <w:szCs w:val="24"/>
              </w:rPr>
              <w:footnoteReference w:id="269"/>
            </w:r>
            <w:r w:rsidRPr="002837F7">
              <w:rPr>
                <w:rFonts w:ascii="Times New Roman" w:eastAsia="Times New Roman" w:hAnsi="Times New Roman" w:cs="Times New Roman"/>
                <w:noProof/>
                <w:color w:val="000000" w:themeColor="text1"/>
                <w:sz w:val="24"/>
                <w:szCs w:val="24"/>
              </w:rPr>
              <w:t xml:space="preserve"> x 18%</w:t>
            </w:r>
            <w:r w:rsidR="6B16D966" w:rsidRPr="002837F7">
              <w:rPr>
                <w:rFonts w:ascii="Times New Roman" w:eastAsia="Times New Roman" w:hAnsi="Times New Roman" w:cs="Times New Roman"/>
                <w:noProof/>
                <w:color w:val="000000" w:themeColor="text1"/>
                <w:sz w:val="24"/>
                <w:szCs w:val="24"/>
              </w:rPr>
              <w:t>)</w:t>
            </w:r>
            <w:r w:rsidRPr="002837F7">
              <w:rPr>
                <w:rFonts w:ascii="Times New Roman" w:eastAsia="Times New Roman" w:hAnsi="Times New Roman" w:cs="Times New Roman"/>
                <w:noProof/>
                <w:color w:val="000000" w:themeColor="text1"/>
                <w:sz w:val="24"/>
                <w:szCs w:val="24"/>
              </w:rPr>
              <w:t xml:space="preserve"> </w:t>
            </w:r>
          </w:p>
          <w:p w14:paraId="5C0DCE6C" w14:textId="05586376" w:rsidR="00434FB4" w:rsidRPr="002837F7" w:rsidRDefault="13DB6C1C" w:rsidP="00434FB4">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 xml:space="preserve">½ weeks FTE for construction </w:t>
            </w:r>
            <w:r w:rsidRPr="1FA04443">
              <w:rPr>
                <w:rFonts w:ascii="Times New Roman" w:eastAsia="Times New Roman" w:hAnsi="Times New Roman" w:cs="Times New Roman"/>
                <w:noProof/>
                <w:color w:val="000000" w:themeColor="text1"/>
                <w:sz w:val="24"/>
                <w:szCs w:val="24"/>
                <w:u w:val="single"/>
              </w:rPr>
              <w:t>(low</w:t>
            </w:r>
            <w:r w:rsidR="00966BD0">
              <w:rPr>
                <w:rFonts w:ascii="Times New Roman" w:eastAsia="Times New Roman" w:hAnsi="Times New Roman" w:cs="Times New Roman"/>
                <w:noProof/>
                <w:color w:val="000000" w:themeColor="text1"/>
                <w:sz w:val="24"/>
                <w:szCs w:val="24"/>
                <w:u w:val="single"/>
              </w:rPr>
              <w:t>-</w:t>
            </w:r>
            <w:r w:rsidRPr="1FA04443">
              <w:rPr>
                <w:rFonts w:ascii="Times New Roman" w:eastAsia="Times New Roman" w:hAnsi="Times New Roman" w:cs="Times New Roman"/>
                <w:noProof/>
                <w:color w:val="000000" w:themeColor="text1"/>
                <w:sz w:val="24"/>
                <w:szCs w:val="24"/>
                <w:u w:val="single"/>
              </w:rPr>
              <w:t>carbon)</w:t>
            </w:r>
          </w:p>
          <w:p w14:paraId="3BFCAF4F" w14:textId="24926837" w:rsidR="00434FB4" w:rsidRPr="002837F7" w:rsidRDefault="68967328" w:rsidP="00434FB4">
            <w:pPr>
              <w:pStyle w:val="JRCText"/>
              <w:jc w:val="center"/>
              <w:rPr>
                <w:rFonts w:ascii="Times New Roman" w:eastAsia="Times New Roman" w:hAnsi="Times New Roman" w:cs="Times New Roman"/>
                <w:noProof/>
                <w:color w:val="000000" w:themeColor="text1"/>
                <w:sz w:val="24"/>
                <w:szCs w:val="24"/>
              </w:rPr>
            </w:pPr>
            <w:r w:rsidRPr="002837F7">
              <w:rPr>
                <w:rFonts w:ascii="Times New Roman" w:eastAsia="Times New Roman" w:hAnsi="Times New Roman" w:cs="Times New Roman"/>
                <w:noProof/>
                <w:color w:val="000000" w:themeColor="text1"/>
                <w:sz w:val="24"/>
                <w:szCs w:val="24"/>
              </w:rPr>
              <w:t>N</w:t>
            </w:r>
            <w:r w:rsidR="007A483E">
              <w:rPr>
                <w:rFonts w:ascii="Times New Roman" w:eastAsia="Times New Roman" w:hAnsi="Times New Roman" w:cs="Times New Roman"/>
                <w:noProof/>
                <w:color w:val="000000" w:themeColor="text1"/>
                <w:sz w:val="24"/>
                <w:szCs w:val="24"/>
              </w:rPr>
              <w:t>o. of</w:t>
            </w:r>
            <w:r w:rsidRPr="002837F7">
              <w:rPr>
                <w:rFonts w:ascii="Times New Roman" w:eastAsia="Times New Roman" w:hAnsi="Times New Roman" w:cs="Times New Roman"/>
                <w:noProof/>
                <w:color w:val="000000" w:themeColor="text1"/>
                <w:sz w:val="24"/>
                <w:szCs w:val="24"/>
              </w:rPr>
              <w:t xml:space="preserve"> construction companies: 1</w:t>
            </w:r>
            <w:r w:rsidR="00080031">
              <w:rPr>
                <w:rFonts w:ascii="Times New Roman" w:eastAsia="Times New Roman" w:hAnsi="Times New Roman" w:cs="Times New Roman"/>
                <w:noProof/>
                <w:color w:val="000000" w:themeColor="text1"/>
                <w:sz w:val="24"/>
                <w:szCs w:val="24"/>
              </w:rPr>
              <w:t xml:space="preserve"> </w:t>
            </w:r>
            <w:r w:rsidRPr="002837F7">
              <w:rPr>
                <w:rFonts w:ascii="Times New Roman" w:eastAsia="Times New Roman" w:hAnsi="Times New Roman" w:cs="Times New Roman"/>
                <w:noProof/>
                <w:color w:val="000000" w:themeColor="text1"/>
                <w:sz w:val="24"/>
                <w:szCs w:val="24"/>
              </w:rPr>
              <w:t xml:space="preserve">121 </w:t>
            </w:r>
            <w:r w:rsidR="00080031">
              <w:rPr>
                <w:rFonts w:ascii="Times New Roman" w:eastAsia="Times New Roman" w:hAnsi="Times New Roman" w:cs="Times New Roman"/>
                <w:noProof/>
                <w:color w:val="000000" w:themeColor="text1"/>
                <w:sz w:val="24"/>
                <w:szCs w:val="24"/>
              </w:rPr>
              <w:t xml:space="preserve">        </w:t>
            </w:r>
            <w:r w:rsidRPr="002837F7">
              <w:rPr>
                <w:rFonts w:ascii="Times New Roman" w:eastAsia="Times New Roman" w:hAnsi="Times New Roman" w:cs="Times New Roman"/>
                <w:noProof/>
                <w:color w:val="000000" w:themeColor="text1"/>
                <w:sz w:val="24"/>
                <w:szCs w:val="24"/>
              </w:rPr>
              <w:t>(6</w:t>
            </w:r>
            <w:r w:rsidR="00080031">
              <w:rPr>
                <w:rFonts w:ascii="Times New Roman" w:eastAsia="Times New Roman" w:hAnsi="Times New Roman" w:cs="Times New Roman"/>
                <w:noProof/>
                <w:color w:val="000000" w:themeColor="text1"/>
                <w:sz w:val="24"/>
                <w:szCs w:val="24"/>
              </w:rPr>
              <w:t xml:space="preserve"> </w:t>
            </w:r>
            <w:r w:rsidRPr="002837F7">
              <w:rPr>
                <w:rFonts w:ascii="Times New Roman" w:eastAsia="Times New Roman" w:hAnsi="Times New Roman" w:cs="Times New Roman"/>
                <w:noProof/>
                <w:color w:val="000000" w:themeColor="text1"/>
                <w:sz w:val="24"/>
                <w:szCs w:val="24"/>
              </w:rPr>
              <w:t>229</w:t>
            </w:r>
            <w:r w:rsidR="00434FB4" w:rsidRPr="002837F7">
              <w:rPr>
                <w:rStyle w:val="FootnoteReference"/>
                <w:rFonts w:ascii="Times New Roman" w:eastAsia="Times New Roman" w:hAnsi="Times New Roman" w:cs="Times New Roman"/>
                <w:noProof/>
                <w:color w:val="000000" w:themeColor="text1"/>
                <w:sz w:val="24"/>
                <w:szCs w:val="24"/>
              </w:rPr>
              <w:footnoteReference w:id="270"/>
            </w:r>
            <w:r w:rsidRPr="002837F7">
              <w:rPr>
                <w:rFonts w:ascii="Times New Roman" w:eastAsia="Times New Roman" w:hAnsi="Times New Roman" w:cs="Times New Roman"/>
                <w:noProof/>
                <w:color w:val="000000" w:themeColor="text1"/>
                <w:sz w:val="24"/>
                <w:szCs w:val="24"/>
              </w:rPr>
              <w:t xml:space="preserve"> large and medium sized companies x 18%)</w:t>
            </w:r>
          </w:p>
          <w:p w14:paraId="0337CAF0" w14:textId="2E3C6196" w:rsidR="004711C6" w:rsidRPr="002837F7" w:rsidRDefault="73322972" w:rsidP="004711C6">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Total automotive cost: EUR 11</w:t>
            </w:r>
            <w:r w:rsidR="00D7393A" w:rsidRPr="1FA04443">
              <w:rPr>
                <w:rFonts w:ascii="Times New Roman" w:eastAsia="Times New Roman" w:hAnsi="Times New Roman" w:cs="Times New Roman"/>
                <w:noProof/>
                <w:color w:val="000000" w:themeColor="text1"/>
                <w:sz w:val="24"/>
                <w:szCs w:val="24"/>
              </w:rPr>
              <w:t xml:space="preserve"> </w:t>
            </w:r>
            <w:r w:rsidRPr="1FA04443">
              <w:rPr>
                <w:rFonts w:ascii="Times New Roman" w:eastAsia="Times New Roman" w:hAnsi="Times New Roman" w:cs="Times New Roman"/>
                <w:noProof/>
                <w:color w:val="000000" w:themeColor="text1"/>
                <w:sz w:val="24"/>
                <w:szCs w:val="24"/>
              </w:rPr>
              <w:t>113</w:t>
            </w:r>
          </w:p>
          <w:p w14:paraId="6F809B10" w14:textId="0919B22D" w:rsidR="004711C6" w:rsidRPr="002837F7" w:rsidRDefault="6BF7F5E4" w:rsidP="1FA04443">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 xml:space="preserve">Total construction cost: EUR </w:t>
            </w:r>
            <w:r w:rsidR="41627DF5" w:rsidRPr="11F3534C">
              <w:rPr>
                <w:rFonts w:ascii="Times New Roman" w:eastAsia="Times New Roman" w:hAnsi="Times New Roman" w:cs="Times New Roman"/>
                <w:noProof/>
                <w:color w:val="000000" w:themeColor="text1"/>
                <w:sz w:val="24"/>
                <w:szCs w:val="24"/>
              </w:rPr>
              <w:t>659</w:t>
            </w:r>
            <w:r w:rsidR="0E382BEE" w:rsidRPr="11F3534C">
              <w:rPr>
                <w:rFonts w:ascii="Times New Roman" w:eastAsia="Times New Roman" w:hAnsi="Times New Roman" w:cs="Times New Roman"/>
                <w:noProof/>
                <w:color w:val="000000" w:themeColor="text1"/>
                <w:sz w:val="24"/>
                <w:szCs w:val="24"/>
              </w:rPr>
              <w:t xml:space="preserve"> </w:t>
            </w:r>
            <w:r w:rsidR="41627DF5" w:rsidRPr="11F3534C">
              <w:rPr>
                <w:rFonts w:ascii="Times New Roman" w:eastAsia="Times New Roman" w:hAnsi="Times New Roman" w:cs="Times New Roman"/>
                <w:noProof/>
                <w:color w:val="000000" w:themeColor="text1"/>
                <w:sz w:val="24"/>
                <w:szCs w:val="24"/>
              </w:rPr>
              <w:t>277</w:t>
            </w:r>
          </w:p>
          <w:p w14:paraId="440E0E76" w14:textId="1158735B" w:rsidR="00BA7D69" w:rsidRPr="006576A5" w:rsidRDefault="22CF0113" w:rsidP="1FA04443">
            <w:pPr>
              <w:pStyle w:val="JRCText"/>
              <w:jc w:val="center"/>
              <w:rPr>
                <w:rFonts w:ascii="Times New Roman" w:eastAsia="Times New Roman" w:hAnsi="Times New Roman" w:cs="Times New Roman"/>
                <w:b/>
                <w:bCs/>
                <w:noProof/>
                <w:color w:val="000000" w:themeColor="text1"/>
                <w:sz w:val="24"/>
                <w:szCs w:val="24"/>
              </w:rPr>
            </w:pPr>
            <w:r w:rsidRPr="1FA04443">
              <w:rPr>
                <w:rFonts w:ascii="Times New Roman" w:eastAsia="Times New Roman" w:hAnsi="Times New Roman" w:cs="Times New Roman"/>
                <w:b/>
                <w:bCs/>
                <w:noProof/>
                <w:color w:val="000000" w:themeColor="text1"/>
                <w:sz w:val="24"/>
                <w:szCs w:val="24"/>
              </w:rPr>
              <w:t xml:space="preserve">Total cost: EUR </w:t>
            </w:r>
            <w:r w:rsidR="6BD658DE" w:rsidRPr="1FA04443">
              <w:rPr>
                <w:rFonts w:ascii="Times New Roman" w:eastAsia="Times New Roman" w:hAnsi="Times New Roman" w:cs="Times New Roman"/>
                <w:b/>
                <w:bCs/>
                <w:noProof/>
                <w:color w:val="000000" w:themeColor="text1"/>
                <w:sz w:val="24"/>
                <w:szCs w:val="24"/>
              </w:rPr>
              <w:t>670</w:t>
            </w:r>
            <w:r w:rsidR="478FEA1B" w:rsidRPr="1FA04443">
              <w:rPr>
                <w:rFonts w:ascii="Times New Roman" w:eastAsia="Times New Roman" w:hAnsi="Times New Roman" w:cs="Times New Roman"/>
                <w:b/>
                <w:bCs/>
                <w:noProof/>
                <w:color w:val="000000" w:themeColor="text1"/>
                <w:sz w:val="24"/>
                <w:szCs w:val="24"/>
              </w:rPr>
              <w:t xml:space="preserve"> </w:t>
            </w:r>
            <w:r w:rsidR="6BD658DE" w:rsidRPr="1FA04443">
              <w:rPr>
                <w:rFonts w:ascii="Times New Roman" w:eastAsia="Times New Roman" w:hAnsi="Times New Roman" w:cs="Times New Roman"/>
                <w:b/>
                <w:bCs/>
                <w:noProof/>
                <w:color w:val="000000" w:themeColor="text1"/>
                <w:sz w:val="24"/>
                <w:szCs w:val="24"/>
              </w:rPr>
              <w:t>39</w:t>
            </w:r>
            <w:r w:rsidR="00264335">
              <w:rPr>
                <w:rFonts w:ascii="Times New Roman" w:eastAsia="Times New Roman" w:hAnsi="Times New Roman" w:cs="Times New Roman"/>
                <w:b/>
                <w:bCs/>
                <w:noProof/>
                <w:color w:val="000000" w:themeColor="text1"/>
                <w:sz w:val="24"/>
                <w:szCs w:val="24"/>
              </w:rPr>
              <w:t>1</w:t>
            </w:r>
          </w:p>
          <w:p w14:paraId="69B0307E" w14:textId="04C5EADB" w:rsidR="00056E83" w:rsidRPr="003874F6" w:rsidRDefault="0ED53472" w:rsidP="1FA04443">
            <w:pPr>
              <w:pStyle w:val="JRCText"/>
              <w:jc w:val="center"/>
              <w:rPr>
                <w:rFonts w:cs="Times New Roman"/>
                <w:i/>
                <w:noProof/>
                <w:color w:val="000000" w:themeColor="text1"/>
              </w:rPr>
            </w:pPr>
            <w:r w:rsidRPr="003874F6">
              <w:rPr>
                <w:rFonts w:ascii="Times New Roman" w:hAnsi="Times New Roman" w:cs="Times New Roman"/>
                <w:i/>
                <w:noProof/>
                <w:color w:val="000000" w:themeColor="text1"/>
                <w:sz w:val="24"/>
                <w:szCs w:val="24"/>
              </w:rPr>
              <w:lastRenderedPageBreak/>
              <w:t>Low</w:t>
            </w:r>
            <w:r w:rsidR="00966BD0" w:rsidRPr="003874F6">
              <w:rPr>
                <w:rFonts w:ascii="Times New Roman" w:hAnsi="Times New Roman" w:cs="Times New Roman"/>
                <w:i/>
                <w:noProof/>
                <w:color w:val="000000" w:themeColor="text1"/>
                <w:sz w:val="24"/>
                <w:szCs w:val="24"/>
              </w:rPr>
              <w:t>-</w:t>
            </w:r>
            <w:r w:rsidR="529A9318" w:rsidRPr="003874F6">
              <w:rPr>
                <w:rFonts w:ascii="Times New Roman" w:hAnsi="Times New Roman" w:cs="Times New Roman"/>
                <w:i/>
                <w:noProof/>
                <w:color w:val="000000" w:themeColor="text1"/>
                <w:sz w:val="24"/>
                <w:szCs w:val="24"/>
              </w:rPr>
              <w:t>carbon steel label</w:t>
            </w:r>
            <w:r w:rsidR="264E3F50" w:rsidRPr="003874F6">
              <w:rPr>
                <w:rFonts w:ascii="Times New Roman" w:hAnsi="Times New Roman" w:cs="Times New Roman"/>
                <w:i/>
                <w:noProof/>
                <w:color w:val="000000" w:themeColor="text1"/>
                <w:sz w:val="24"/>
                <w:szCs w:val="24"/>
              </w:rPr>
              <w:t xml:space="preserve">: </w:t>
            </w:r>
          </w:p>
          <w:p w14:paraId="3CE88D48" w14:textId="5F6588E7" w:rsidR="00BA7D69" w:rsidRPr="00691359" w:rsidRDefault="264E3F50" w:rsidP="004711C6">
            <w:pPr>
              <w:pStyle w:val="JRCText"/>
              <w:jc w:val="center"/>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t>Certification:</w:t>
            </w:r>
            <w:r w:rsidR="529A9318" w:rsidRPr="1FA04443">
              <w:rPr>
                <w:rFonts w:ascii="Times New Roman" w:hAnsi="Times New Roman" w:cs="Times New Roman"/>
                <w:noProof/>
                <w:color w:val="000000" w:themeColor="text1"/>
                <w:sz w:val="24"/>
                <w:szCs w:val="24"/>
              </w:rPr>
              <w:t xml:space="preserve"> EUR 6</w:t>
            </w:r>
            <w:r w:rsidR="00B8591D" w:rsidRPr="1FA04443">
              <w:rPr>
                <w:rFonts w:ascii="Times New Roman" w:hAnsi="Times New Roman" w:cs="Times New Roman"/>
                <w:noProof/>
                <w:color w:val="000000" w:themeColor="text1"/>
                <w:sz w:val="24"/>
                <w:szCs w:val="24"/>
              </w:rPr>
              <w:t xml:space="preserve"> </w:t>
            </w:r>
            <w:r w:rsidR="529A9318" w:rsidRPr="1FA04443">
              <w:rPr>
                <w:rFonts w:ascii="Times New Roman" w:hAnsi="Times New Roman" w:cs="Times New Roman"/>
                <w:noProof/>
                <w:color w:val="000000" w:themeColor="text1"/>
                <w:sz w:val="24"/>
                <w:szCs w:val="24"/>
              </w:rPr>
              <w:t>700</w:t>
            </w:r>
            <w:r w:rsidRPr="1FA04443">
              <w:rPr>
                <w:rFonts w:ascii="Times New Roman" w:hAnsi="Times New Roman" w:cs="Times New Roman"/>
                <w:noProof/>
                <w:color w:val="000000" w:themeColor="text1"/>
                <w:sz w:val="24"/>
                <w:szCs w:val="24"/>
              </w:rPr>
              <w:t xml:space="preserve"> / year</w:t>
            </w:r>
          </w:p>
          <w:p w14:paraId="79FA1C23" w14:textId="147DD76A" w:rsidR="00EC5B3A" w:rsidRPr="00691359" w:rsidRDefault="39BB2517" w:rsidP="00202B06">
            <w:pPr>
              <w:pStyle w:val="JRCText"/>
              <w:jc w:val="center"/>
              <w:rPr>
                <w:rFonts w:ascii="Times New Roman" w:hAnsi="Times New Roman" w:cs="Times New Roman"/>
                <w:noProof/>
                <w:color w:val="000000" w:themeColor="text1"/>
                <w:sz w:val="24"/>
                <w:szCs w:val="24"/>
              </w:rPr>
            </w:pPr>
            <w:r w:rsidRPr="00691359">
              <w:rPr>
                <w:rFonts w:ascii="Times New Roman" w:hAnsi="Times New Roman" w:cs="Times New Roman"/>
                <w:noProof/>
                <w:color w:val="000000" w:themeColor="text1"/>
                <w:sz w:val="24"/>
                <w:szCs w:val="24"/>
              </w:rPr>
              <w:t>N</w:t>
            </w:r>
            <w:r w:rsidR="00316F7C">
              <w:rPr>
                <w:rFonts w:ascii="Times New Roman" w:hAnsi="Times New Roman" w:cs="Times New Roman"/>
                <w:noProof/>
                <w:color w:val="000000" w:themeColor="text1"/>
                <w:sz w:val="24"/>
                <w:szCs w:val="24"/>
              </w:rPr>
              <w:t>o. of</w:t>
            </w:r>
            <w:r w:rsidRPr="00691359">
              <w:rPr>
                <w:rFonts w:ascii="Times New Roman" w:hAnsi="Times New Roman" w:cs="Times New Roman"/>
                <w:noProof/>
                <w:color w:val="000000" w:themeColor="text1"/>
                <w:sz w:val="24"/>
                <w:szCs w:val="24"/>
              </w:rPr>
              <w:t xml:space="preserve"> steel </w:t>
            </w:r>
            <w:r w:rsidR="5998F72D" w:rsidRPr="00691359">
              <w:rPr>
                <w:rFonts w:ascii="Times New Roman" w:hAnsi="Times New Roman" w:cs="Times New Roman"/>
                <w:noProof/>
                <w:color w:val="000000" w:themeColor="text1"/>
                <w:sz w:val="24"/>
                <w:szCs w:val="24"/>
              </w:rPr>
              <w:t>si</w:t>
            </w:r>
            <w:r w:rsidR="00AF5968" w:rsidRPr="00691359">
              <w:rPr>
                <w:rFonts w:ascii="Times New Roman" w:hAnsi="Times New Roman" w:cs="Times New Roman"/>
                <w:noProof/>
                <w:color w:val="000000" w:themeColor="text1"/>
                <w:sz w:val="24"/>
                <w:szCs w:val="24"/>
              </w:rPr>
              <w:t>t</w:t>
            </w:r>
            <w:r w:rsidR="5998F72D" w:rsidRPr="00691359">
              <w:rPr>
                <w:rFonts w:ascii="Times New Roman" w:hAnsi="Times New Roman" w:cs="Times New Roman"/>
                <w:noProof/>
                <w:color w:val="000000" w:themeColor="text1"/>
                <w:sz w:val="24"/>
                <w:szCs w:val="24"/>
              </w:rPr>
              <w:t>es</w:t>
            </w:r>
            <w:r w:rsidRPr="00691359">
              <w:rPr>
                <w:rFonts w:ascii="Times New Roman" w:hAnsi="Times New Roman" w:cs="Times New Roman"/>
                <w:noProof/>
                <w:color w:val="000000" w:themeColor="text1"/>
                <w:sz w:val="24"/>
                <w:szCs w:val="24"/>
              </w:rPr>
              <w:t xml:space="preserve"> certified: </w:t>
            </w:r>
            <w:r w:rsidR="5B2D1869" w:rsidRPr="00691359">
              <w:rPr>
                <w:rFonts w:ascii="Times New Roman" w:hAnsi="Times New Roman" w:cs="Times New Roman"/>
                <w:noProof/>
                <w:color w:val="000000" w:themeColor="text1"/>
                <w:sz w:val="24"/>
                <w:szCs w:val="24"/>
              </w:rPr>
              <w:t>4</w:t>
            </w:r>
            <w:r w:rsidR="136E6E8D" w:rsidRPr="00691359">
              <w:rPr>
                <w:rFonts w:ascii="Times New Roman" w:hAnsi="Times New Roman" w:cs="Times New Roman"/>
                <w:noProof/>
                <w:color w:val="000000" w:themeColor="text1"/>
                <w:sz w:val="24"/>
                <w:szCs w:val="24"/>
              </w:rPr>
              <w:t xml:space="preserve"> (23 steel sites</w:t>
            </w:r>
            <w:r w:rsidR="00AD5C08" w:rsidRPr="00691359">
              <w:rPr>
                <w:rStyle w:val="FootnoteReference"/>
                <w:rFonts w:ascii="Times New Roman" w:hAnsi="Times New Roman" w:cs="Times New Roman"/>
                <w:noProof/>
                <w:color w:val="000000" w:themeColor="text1"/>
                <w:sz w:val="24"/>
                <w:szCs w:val="24"/>
              </w:rPr>
              <w:footnoteReference w:id="271"/>
            </w:r>
            <w:r w:rsidR="136E6E8D" w:rsidRPr="00691359">
              <w:rPr>
                <w:rFonts w:ascii="Times New Roman" w:hAnsi="Times New Roman" w:cs="Times New Roman"/>
                <w:noProof/>
                <w:color w:val="000000" w:themeColor="text1"/>
                <w:sz w:val="24"/>
                <w:szCs w:val="24"/>
              </w:rPr>
              <w:t xml:space="preserve"> x 18%)</w:t>
            </w:r>
          </w:p>
          <w:p w14:paraId="0ACE36ED" w14:textId="06F82405" w:rsidR="00434FB4" w:rsidRPr="006576A5" w:rsidRDefault="110B0BF4" w:rsidP="00434FB4">
            <w:pPr>
              <w:pStyle w:val="JRCText"/>
              <w:jc w:val="center"/>
              <w:rPr>
                <w:rFonts w:ascii="Times New Roman" w:hAnsi="Times New Roman" w:cs="Times New Roman"/>
                <w:b/>
                <w:bCs/>
                <w:noProof/>
                <w:color w:val="000000" w:themeColor="text1"/>
                <w:sz w:val="24"/>
                <w:szCs w:val="24"/>
              </w:rPr>
            </w:pPr>
            <w:r w:rsidRPr="1FA04443">
              <w:rPr>
                <w:rFonts w:ascii="Times New Roman" w:hAnsi="Times New Roman" w:cs="Times New Roman"/>
                <w:b/>
                <w:bCs/>
                <w:noProof/>
                <w:color w:val="000000" w:themeColor="text1"/>
                <w:sz w:val="24"/>
                <w:szCs w:val="24"/>
              </w:rPr>
              <w:t xml:space="preserve">Total cost: EUR </w:t>
            </w:r>
            <w:r w:rsidR="373DD1AE" w:rsidRPr="1FA04443">
              <w:rPr>
                <w:rFonts w:ascii="Times New Roman" w:hAnsi="Times New Roman" w:cs="Times New Roman"/>
                <w:b/>
                <w:bCs/>
                <w:noProof/>
                <w:color w:val="000000" w:themeColor="text1"/>
                <w:sz w:val="24"/>
                <w:szCs w:val="24"/>
              </w:rPr>
              <w:t>27</w:t>
            </w:r>
            <w:r w:rsidR="00B8591D" w:rsidRPr="1FA04443">
              <w:rPr>
                <w:rFonts w:ascii="Times New Roman" w:hAnsi="Times New Roman" w:cs="Times New Roman"/>
                <w:b/>
                <w:bCs/>
                <w:noProof/>
                <w:color w:val="000000" w:themeColor="text1"/>
                <w:sz w:val="24"/>
                <w:szCs w:val="24"/>
              </w:rPr>
              <w:t xml:space="preserve"> </w:t>
            </w:r>
            <w:r w:rsidR="373DD1AE" w:rsidRPr="1FA04443">
              <w:rPr>
                <w:rFonts w:ascii="Times New Roman" w:hAnsi="Times New Roman" w:cs="Times New Roman"/>
                <w:b/>
                <w:bCs/>
                <w:noProof/>
                <w:color w:val="000000" w:themeColor="text1"/>
                <w:sz w:val="24"/>
                <w:szCs w:val="24"/>
              </w:rPr>
              <w:t>738</w:t>
            </w:r>
          </w:p>
        </w:tc>
        <w:tc>
          <w:tcPr>
            <w:tcW w:w="1390" w:type="pct"/>
            <w:tcBorders>
              <w:top w:val="single" w:sz="6" w:space="0" w:color="auto"/>
              <w:left w:val="single" w:sz="6" w:space="0" w:color="auto"/>
              <w:bottom w:val="single" w:sz="6" w:space="0" w:color="auto"/>
              <w:right w:val="single" w:sz="6" w:space="0" w:color="auto"/>
            </w:tcBorders>
            <w:vAlign w:val="center"/>
            <w:hideMark/>
          </w:tcPr>
          <w:p w14:paraId="093FE725" w14:textId="0D8DF810" w:rsidR="00905847" w:rsidRPr="001C18C3" w:rsidRDefault="7E83ACEF" w:rsidP="1FA04443">
            <w:pPr>
              <w:pStyle w:val="JRCText"/>
              <w:jc w:val="center"/>
              <w:rPr>
                <w:rFonts w:ascii="Times New Roman" w:hAnsi="Times New Roman" w:cs="Times New Roman"/>
                <w:i/>
                <w:iCs/>
                <w:noProof/>
                <w:color w:val="000000" w:themeColor="text1"/>
                <w:sz w:val="24"/>
                <w:szCs w:val="24"/>
              </w:rPr>
            </w:pPr>
            <w:r w:rsidRPr="001C18C3">
              <w:rPr>
                <w:rFonts w:ascii="Times New Roman" w:hAnsi="Times New Roman" w:cs="Times New Roman"/>
                <w:i/>
                <w:iCs/>
                <w:noProof/>
                <w:color w:val="000000" w:themeColor="text1"/>
                <w:sz w:val="24"/>
                <w:szCs w:val="24"/>
              </w:rPr>
              <w:lastRenderedPageBreak/>
              <w:t>Low-carbon and Made in EU requirements:</w:t>
            </w:r>
          </w:p>
          <w:p w14:paraId="7280FDC7" w14:textId="02565417" w:rsidR="00A37DC1" w:rsidRPr="002837F7" w:rsidRDefault="45DCBAAB" w:rsidP="00A37DC1">
            <w:pPr>
              <w:pStyle w:val="JRCText"/>
              <w:jc w:val="center"/>
              <w:rPr>
                <w:rFonts w:ascii="Times New Roman" w:eastAsia="Times New Roman" w:hAnsi="Times New Roman" w:cs="Times New Roman"/>
                <w:noProof/>
                <w:color w:val="000000" w:themeColor="text1"/>
                <w:sz w:val="24"/>
                <w:szCs w:val="24"/>
                <w:u w:val="single"/>
              </w:rPr>
            </w:pPr>
            <w:r w:rsidRPr="1FA04443">
              <w:rPr>
                <w:rFonts w:ascii="Times New Roman" w:eastAsia="Times New Roman" w:hAnsi="Times New Roman" w:cs="Times New Roman"/>
                <w:noProof/>
                <w:color w:val="000000" w:themeColor="text1"/>
                <w:sz w:val="24"/>
                <w:szCs w:val="24"/>
              </w:rPr>
              <w:t>1 week FTE for automotive</w:t>
            </w:r>
            <w:r w:rsidRPr="1FA04443">
              <w:rPr>
                <w:rFonts w:ascii="Times New Roman" w:eastAsia="Times New Roman" w:hAnsi="Times New Roman" w:cs="Times New Roman"/>
                <w:noProof/>
                <w:color w:val="000000" w:themeColor="text1"/>
                <w:sz w:val="24"/>
                <w:szCs w:val="24"/>
                <w:u w:val="single"/>
              </w:rPr>
              <w:t xml:space="preserve"> (low</w:t>
            </w:r>
            <w:r w:rsidR="00966BD0">
              <w:rPr>
                <w:rFonts w:ascii="Times New Roman" w:eastAsia="Times New Roman" w:hAnsi="Times New Roman" w:cs="Times New Roman"/>
                <w:noProof/>
                <w:color w:val="000000" w:themeColor="text1"/>
                <w:sz w:val="24"/>
                <w:szCs w:val="24"/>
                <w:u w:val="single"/>
              </w:rPr>
              <w:t>-</w:t>
            </w:r>
            <w:r w:rsidRPr="1FA04443">
              <w:rPr>
                <w:rFonts w:ascii="Times New Roman" w:eastAsia="Times New Roman" w:hAnsi="Times New Roman" w:cs="Times New Roman"/>
                <w:noProof/>
                <w:color w:val="000000" w:themeColor="text1"/>
                <w:sz w:val="24"/>
                <w:szCs w:val="24"/>
                <w:u w:val="single"/>
              </w:rPr>
              <w:t xml:space="preserve">carbon + made in EU) </w:t>
            </w:r>
          </w:p>
          <w:p w14:paraId="13B7491F" w14:textId="1F252475" w:rsidR="00AD27AB" w:rsidRPr="002837F7" w:rsidRDefault="1A95EA07" w:rsidP="1FA04443">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N</w:t>
            </w:r>
            <w:r w:rsidR="00CD31F6">
              <w:rPr>
                <w:rFonts w:ascii="Times New Roman" w:eastAsia="Times New Roman" w:hAnsi="Times New Roman" w:cs="Times New Roman"/>
                <w:noProof/>
                <w:color w:val="000000" w:themeColor="text1"/>
                <w:sz w:val="24"/>
                <w:szCs w:val="24"/>
              </w:rPr>
              <w:t>o. of</w:t>
            </w:r>
            <w:r w:rsidRPr="1FA04443">
              <w:rPr>
                <w:rFonts w:ascii="Times New Roman" w:eastAsia="Times New Roman" w:hAnsi="Times New Roman" w:cs="Times New Roman"/>
                <w:noProof/>
                <w:color w:val="000000" w:themeColor="text1"/>
                <w:sz w:val="24"/>
                <w:szCs w:val="24"/>
              </w:rPr>
              <w:t xml:space="preserve"> automotive OEMs: </w:t>
            </w:r>
            <w:r w:rsidR="30295B37" w:rsidRPr="1FA04443">
              <w:rPr>
                <w:rFonts w:ascii="Times New Roman" w:eastAsia="Times New Roman" w:hAnsi="Times New Roman" w:cs="Times New Roman"/>
                <w:noProof/>
                <w:color w:val="000000" w:themeColor="text1"/>
                <w:sz w:val="24"/>
                <w:szCs w:val="24"/>
              </w:rPr>
              <w:t>13 (70 OEMS x 18%)</w:t>
            </w:r>
          </w:p>
          <w:p w14:paraId="5994BBCB" w14:textId="13A1BE90" w:rsidR="00A37DC1" w:rsidRPr="002837F7" w:rsidRDefault="45DCBAAB" w:rsidP="00A37DC1">
            <w:pPr>
              <w:pStyle w:val="JRCText"/>
              <w:jc w:val="center"/>
              <w:rPr>
                <w:rFonts w:ascii="Times New Roman" w:eastAsia="Times New Roman" w:hAnsi="Times New Roman" w:cs="Times New Roman"/>
                <w:noProof/>
                <w:color w:val="000000" w:themeColor="text1"/>
                <w:sz w:val="24"/>
                <w:szCs w:val="24"/>
                <w:u w:val="single"/>
              </w:rPr>
            </w:pPr>
            <w:r w:rsidRPr="1FA04443">
              <w:rPr>
                <w:rFonts w:ascii="Times New Roman" w:eastAsia="Times New Roman" w:hAnsi="Times New Roman" w:cs="Times New Roman"/>
                <w:noProof/>
                <w:color w:val="000000" w:themeColor="text1"/>
                <w:sz w:val="24"/>
                <w:szCs w:val="24"/>
              </w:rPr>
              <w:t>¾ weeks FTE for construction procurement</w:t>
            </w:r>
            <w:r w:rsidRPr="1FA04443">
              <w:rPr>
                <w:rFonts w:ascii="Times New Roman" w:eastAsia="Times New Roman" w:hAnsi="Times New Roman" w:cs="Times New Roman"/>
                <w:noProof/>
                <w:color w:val="000000" w:themeColor="text1"/>
                <w:sz w:val="24"/>
                <w:szCs w:val="24"/>
                <w:u w:val="single"/>
              </w:rPr>
              <w:t xml:space="preserve"> (low</w:t>
            </w:r>
            <w:r w:rsidR="00966BD0">
              <w:rPr>
                <w:rFonts w:ascii="Times New Roman" w:eastAsia="Times New Roman" w:hAnsi="Times New Roman" w:cs="Times New Roman"/>
                <w:noProof/>
                <w:color w:val="000000" w:themeColor="text1"/>
                <w:sz w:val="24"/>
                <w:szCs w:val="24"/>
                <w:u w:val="single"/>
              </w:rPr>
              <w:t>-</w:t>
            </w:r>
            <w:r w:rsidRPr="1FA04443">
              <w:rPr>
                <w:rFonts w:ascii="Times New Roman" w:eastAsia="Times New Roman" w:hAnsi="Times New Roman" w:cs="Times New Roman"/>
                <w:noProof/>
                <w:color w:val="000000" w:themeColor="text1"/>
                <w:sz w:val="24"/>
                <w:szCs w:val="24"/>
                <w:u w:val="single"/>
              </w:rPr>
              <w:t>carbon + made in EU)</w:t>
            </w:r>
          </w:p>
          <w:p w14:paraId="39F5485E" w14:textId="0CDA09AD" w:rsidR="00A37DC1" w:rsidRPr="002837F7" w:rsidRDefault="45DCBAAB" w:rsidP="00A37DC1">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For</w:t>
            </w:r>
            <w:r w:rsidRPr="1FA04443">
              <w:rPr>
                <w:rFonts w:ascii="Times New Roman" w:eastAsia="Times New Roman" w:hAnsi="Times New Roman" w:cs="Times New Roman"/>
                <w:noProof/>
                <w:color w:val="000000" w:themeColor="text1"/>
                <w:sz w:val="24"/>
                <w:szCs w:val="24"/>
                <w:u w:val="single"/>
              </w:rPr>
              <w:t xml:space="preserve"> low</w:t>
            </w:r>
            <w:r w:rsidR="00966BD0">
              <w:rPr>
                <w:rFonts w:ascii="Times New Roman" w:eastAsia="Times New Roman" w:hAnsi="Times New Roman" w:cs="Times New Roman"/>
                <w:noProof/>
                <w:color w:val="000000" w:themeColor="text1"/>
                <w:sz w:val="24"/>
                <w:szCs w:val="24"/>
                <w:u w:val="single"/>
              </w:rPr>
              <w:t>-</w:t>
            </w:r>
            <w:r w:rsidRPr="1FA04443">
              <w:rPr>
                <w:rFonts w:ascii="Times New Roman" w:eastAsia="Times New Roman" w:hAnsi="Times New Roman" w:cs="Times New Roman"/>
                <w:noProof/>
                <w:color w:val="000000" w:themeColor="text1"/>
                <w:sz w:val="24"/>
                <w:szCs w:val="24"/>
                <w:u w:val="single"/>
              </w:rPr>
              <w:t>carbon</w:t>
            </w:r>
            <w:r w:rsidRPr="1FA04443">
              <w:rPr>
                <w:rFonts w:ascii="Times New Roman" w:eastAsia="Times New Roman" w:hAnsi="Times New Roman" w:cs="Times New Roman"/>
                <w:noProof/>
                <w:color w:val="000000" w:themeColor="text1"/>
                <w:sz w:val="24"/>
                <w:szCs w:val="24"/>
              </w:rPr>
              <w:t xml:space="preserve"> reporting only, n</w:t>
            </w:r>
            <w:r w:rsidR="00FA046D">
              <w:rPr>
                <w:rFonts w:ascii="Times New Roman" w:eastAsia="Times New Roman" w:hAnsi="Times New Roman" w:cs="Times New Roman"/>
                <w:noProof/>
                <w:color w:val="000000" w:themeColor="text1"/>
                <w:sz w:val="24"/>
                <w:szCs w:val="24"/>
              </w:rPr>
              <w:t>o.</w:t>
            </w:r>
            <w:r w:rsidRPr="1FA04443">
              <w:rPr>
                <w:rFonts w:ascii="Times New Roman" w:eastAsia="Times New Roman" w:hAnsi="Times New Roman" w:cs="Times New Roman"/>
                <w:noProof/>
                <w:color w:val="000000" w:themeColor="text1"/>
                <w:sz w:val="24"/>
                <w:szCs w:val="24"/>
              </w:rPr>
              <w:t xml:space="preserve"> of FTEs as in PO1</w:t>
            </w:r>
          </w:p>
          <w:p w14:paraId="4F61280F" w14:textId="04F69461" w:rsidR="00A37DC1" w:rsidRPr="002837F7" w:rsidRDefault="1E69609F" w:rsidP="1FA04443">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N</w:t>
            </w:r>
            <w:r w:rsidR="00E03E2A">
              <w:rPr>
                <w:rFonts w:ascii="Times New Roman" w:eastAsia="Times New Roman" w:hAnsi="Times New Roman" w:cs="Times New Roman"/>
                <w:noProof/>
                <w:color w:val="000000" w:themeColor="text1"/>
                <w:sz w:val="24"/>
                <w:szCs w:val="24"/>
              </w:rPr>
              <w:t>o. of</w:t>
            </w:r>
            <w:r w:rsidRPr="1FA04443">
              <w:rPr>
                <w:rFonts w:ascii="Times New Roman" w:eastAsia="Times New Roman" w:hAnsi="Times New Roman" w:cs="Times New Roman"/>
                <w:noProof/>
                <w:color w:val="000000" w:themeColor="text1"/>
                <w:sz w:val="24"/>
                <w:szCs w:val="24"/>
              </w:rPr>
              <w:t xml:space="preserve"> construction companies: </w:t>
            </w:r>
            <w:r w:rsidR="5A5765E3" w:rsidRPr="1FA04443">
              <w:rPr>
                <w:rFonts w:ascii="Times New Roman" w:eastAsia="Times New Roman" w:hAnsi="Times New Roman" w:cs="Times New Roman"/>
                <w:noProof/>
                <w:color w:val="000000" w:themeColor="text1"/>
                <w:sz w:val="24"/>
                <w:szCs w:val="24"/>
              </w:rPr>
              <w:t>1</w:t>
            </w:r>
            <w:r w:rsidR="00E03E2A">
              <w:rPr>
                <w:rFonts w:ascii="Times New Roman" w:eastAsia="Times New Roman" w:hAnsi="Times New Roman" w:cs="Times New Roman"/>
                <w:noProof/>
                <w:color w:val="000000" w:themeColor="text1"/>
                <w:sz w:val="24"/>
                <w:szCs w:val="24"/>
              </w:rPr>
              <w:t xml:space="preserve"> </w:t>
            </w:r>
            <w:r w:rsidR="5A5765E3" w:rsidRPr="1FA04443">
              <w:rPr>
                <w:rFonts w:ascii="Times New Roman" w:eastAsia="Times New Roman" w:hAnsi="Times New Roman" w:cs="Times New Roman"/>
                <w:noProof/>
                <w:color w:val="000000" w:themeColor="text1"/>
                <w:sz w:val="24"/>
                <w:szCs w:val="24"/>
              </w:rPr>
              <w:t>121 (6</w:t>
            </w:r>
            <w:r w:rsidR="00E03E2A">
              <w:rPr>
                <w:rFonts w:ascii="Times New Roman" w:eastAsia="Times New Roman" w:hAnsi="Times New Roman" w:cs="Times New Roman"/>
                <w:noProof/>
                <w:color w:val="000000" w:themeColor="text1"/>
                <w:sz w:val="24"/>
                <w:szCs w:val="24"/>
              </w:rPr>
              <w:t xml:space="preserve"> </w:t>
            </w:r>
            <w:r w:rsidR="5A5765E3" w:rsidRPr="1FA04443">
              <w:rPr>
                <w:rFonts w:ascii="Times New Roman" w:eastAsia="Times New Roman" w:hAnsi="Times New Roman" w:cs="Times New Roman"/>
                <w:noProof/>
                <w:color w:val="000000" w:themeColor="text1"/>
                <w:sz w:val="24"/>
                <w:szCs w:val="24"/>
              </w:rPr>
              <w:t>229</w:t>
            </w:r>
            <w:r w:rsidR="008C7BE2">
              <w:rPr>
                <w:rFonts w:ascii="Times New Roman" w:eastAsia="Times New Roman" w:hAnsi="Times New Roman" w:cs="Times New Roman"/>
                <w:noProof/>
                <w:color w:val="000000" w:themeColor="text1"/>
                <w:sz w:val="24"/>
                <w:szCs w:val="24"/>
              </w:rPr>
              <w:t xml:space="preserve"> </w:t>
            </w:r>
            <w:r w:rsidR="5A5765E3" w:rsidRPr="1FA04443">
              <w:rPr>
                <w:rFonts w:ascii="Times New Roman" w:eastAsia="Times New Roman" w:hAnsi="Times New Roman" w:cs="Times New Roman"/>
                <w:noProof/>
                <w:color w:val="000000" w:themeColor="text1"/>
                <w:sz w:val="24"/>
                <w:szCs w:val="24"/>
              </w:rPr>
              <w:t>large and medium sized companies x 18%)</w:t>
            </w:r>
          </w:p>
          <w:p w14:paraId="248A8AFF" w14:textId="05DFA6BA" w:rsidR="0014210E" w:rsidRPr="002837F7" w:rsidRDefault="4093F671" w:rsidP="1FA04443">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 xml:space="preserve">Total automotive cost: </w:t>
            </w:r>
            <w:r w:rsidR="6BF7F5E4" w:rsidRPr="1FA04443">
              <w:rPr>
                <w:rFonts w:ascii="Times New Roman" w:eastAsia="Times New Roman" w:hAnsi="Times New Roman" w:cs="Times New Roman"/>
                <w:noProof/>
                <w:color w:val="000000" w:themeColor="text1"/>
                <w:sz w:val="24"/>
                <w:szCs w:val="24"/>
              </w:rPr>
              <w:t xml:space="preserve">EUR </w:t>
            </w:r>
            <w:r w:rsidR="087CB50A" w:rsidRPr="1FA04443">
              <w:rPr>
                <w:rFonts w:ascii="Times New Roman" w:eastAsia="Times New Roman" w:hAnsi="Times New Roman" w:cs="Times New Roman"/>
                <w:noProof/>
                <w:color w:val="000000" w:themeColor="text1"/>
                <w:sz w:val="24"/>
                <w:szCs w:val="24"/>
              </w:rPr>
              <w:t>14</w:t>
            </w:r>
            <w:r w:rsidR="639F5002" w:rsidRPr="1FA04443">
              <w:rPr>
                <w:rFonts w:ascii="Times New Roman" w:eastAsia="Times New Roman" w:hAnsi="Times New Roman" w:cs="Times New Roman"/>
                <w:noProof/>
                <w:color w:val="000000" w:themeColor="text1"/>
                <w:sz w:val="24"/>
                <w:szCs w:val="24"/>
              </w:rPr>
              <w:t xml:space="preserve"> </w:t>
            </w:r>
            <w:r w:rsidR="087CB50A" w:rsidRPr="1FA04443">
              <w:rPr>
                <w:rFonts w:ascii="Times New Roman" w:eastAsia="Times New Roman" w:hAnsi="Times New Roman" w:cs="Times New Roman"/>
                <w:noProof/>
                <w:color w:val="000000" w:themeColor="text1"/>
                <w:sz w:val="24"/>
                <w:szCs w:val="24"/>
              </w:rPr>
              <w:t>81</w:t>
            </w:r>
            <w:r w:rsidR="00060CFD">
              <w:rPr>
                <w:rFonts w:ascii="Times New Roman" w:eastAsia="Times New Roman" w:hAnsi="Times New Roman" w:cs="Times New Roman"/>
                <w:noProof/>
                <w:color w:val="000000" w:themeColor="text1"/>
                <w:sz w:val="24"/>
                <w:szCs w:val="24"/>
              </w:rPr>
              <w:t>8</w:t>
            </w:r>
          </w:p>
          <w:p w14:paraId="3AFA6A0B" w14:textId="7B7DA9E8" w:rsidR="0014210E" w:rsidRPr="002837F7" w:rsidRDefault="4093F671" w:rsidP="1FA04443">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 xml:space="preserve">Total construction cost: </w:t>
            </w:r>
            <w:r w:rsidR="6BF7F5E4" w:rsidRPr="1FA04443">
              <w:rPr>
                <w:rFonts w:ascii="Times New Roman" w:eastAsia="Times New Roman" w:hAnsi="Times New Roman" w:cs="Times New Roman"/>
                <w:noProof/>
                <w:color w:val="000000" w:themeColor="text1"/>
                <w:sz w:val="24"/>
                <w:szCs w:val="24"/>
              </w:rPr>
              <w:t xml:space="preserve">EUR </w:t>
            </w:r>
            <w:r w:rsidR="795EDE73" w:rsidRPr="1FA04443">
              <w:rPr>
                <w:rFonts w:ascii="Times New Roman" w:eastAsia="Times New Roman" w:hAnsi="Times New Roman" w:cs="Times New Roman"/>
                <w:noProof/>
                <w:color w:val="000000" w:themeColor="text1"/>
                <w:sz w:val="24"/>
                <w:szCs w:val="24"/>
              </w:rPr>
              <w:t>988</w:t>
            </w:r>
            <w:r w:rsidR="7FE65C88" w:rsidRPr="1FA04443">
              <w:rPr>
                <w:rFonts w:ascii="Times New Roman" w:eastAsia="Times New Roman" w:hAnsi="Times New Roman" w:cs="Times New Roman"/>
                <w:noProof/>
                <w:color w:val="000000" w:themeColor="text1"/>
                <w:sz w:val="24"/>
                <w:szCs w:val="24"/>
              </w:rPr>
              <w:t xml:space="preserve"> </w:t>
            </w:r>
            <w:r w:rsidR="795EDE73" w:rsidRPr="1FA04443">
              <w:rPr>
                <w:rFonts w:ascii="Times New Roman" w:eastAsia="Times New Roman" w:hAnsi="Times New Roman" w:cs="Times New Roman"/>
                <w:noProof/>
                <w:color w:val="000000" w:themeColor="text1"/>
                <w:sz w:val="24"/>
                <w:szCs w:val="24"/>
              </w:rPr>
              <w:t>916</w:t>
            </w:r>
          </w:p>
          <w:p w14:paraId="1170A163" w14:textId="1849A91E" w:rsidR="00434FB4" w:rsidRPr="006576A5" w:rsidRDefault="358583FB" w:rsidP="1FA04443">
            <w:pPr>
              <w:pStyle w:val="JRCText"/>
              <w:jc w:val="center"/>
              <w:rPr>
                <w:rFonts w:ascii="Times New Roman" w:eastAsia="Times New Roman" w:hAnsi="Times New Roman" w:cs="Times New Roman"/>
                <w:b/>
                <w:bCs/>
                <w:noProof/>
                <w:color w:val="000000" w:themeColor="text1"/>
                <w:sz w:val="24"/>
                <w:szCs w:val="24"/>
              </w:rPr>
            </w:pPr>
            <w:r w:rsidRPr="1FA04443">
              <w:rPr>
                <w:rFonts w:ascii="Times New Roman" w:eastAsia="Times New Roman" w:hAnsi="Times New Roman" w:cs="Times New Roman"/>
                <w:b/>
                <w:bCs/>
                <w:noProof/>
                <w:color w:val="000000" w:themeColor="text1"/>
                <w:sz w:val="24"/>
                <w:szCs w:val="24"/>
              </w:rPr>
              <w:lastRenderedPageBreak/>
              <w:t xml:space="preserve">Total cost: EUR </w:t>
            </w:r>
            <w:r w:rsidR="76A1C16F" w:rsidRPr="1FA04443">
              <w:rPr>
                <w:rFonts w:ascii="Times New Roman" w:hAnsi="Times New Roman" w:cs="Times New Roman"/>
                <w:b/>
                <w:bCs/>
                <w:noProof/>
                <w:color w:val="000000" w:themeColor="text1"/>
                <w:sz w:val="24"/>
                <w:szCs w:val="24"/>
              </w:rPr>
              <w:t>1 million</w:t>
            </w:r>
          </w:p>
          <w:p w14:paraId="60BF2638" w14:textId="0B15D062" w:rsidR="00C17924" w:rsidRPr="003874F6" w:rsidRDefault="505B5DBC" w:rsidP="1FA04443">
            <w:pPr>
              <w:pStyle w:val="JRCText"/>
              <w:jc w:val="center"/>
              <w:rPr>
                <w:rFonts w:ascii="Times New Roman" w:hAnsi="Times New Roman" w:cs="Times New Roman"/>
                <w:i/>
                <w:noProof/>
                <w:color w:val="000000" w:themeColor="text1"/>
                <w:sz w:val="24"/>
                <w:szCs w:val="24"/>
              </w:rPr>
            </w:pPr>
            <w:r w:rsidRPr="003874F6">
              <w:rPr>
                <w:rFonts w:ascii="Times New Roman" w:hAnsi="Times New Roman" w:cs="Times New Roman"/>
                <w:i/>
                <w:noProof/>
                <w:color w:val="000000" w:themeColor="text1"/>
                <w:sz w:val="24"/>
                <w:szCs w:val="24"/>
              </w:rPr>
              <w:t>Low</w:t>
            </w:r>
            <w:r w:rsidR="00966BD0" w:rsidRPr="003874F6">
              <w:rPr>
                <w:rFonts w:ascii="Times New Roman" w:hAnsi="Times New Roman" w:cs="Times New Roman"/>
                <w:i/>
                <w:noProof/>
                <w:color w:val="000000" w:themeColor="text1"/>
                <w:sz w:val="24"/>
                <w:szCs w:val="24"/>
              </w:rPr>
              <w:t>-</w:t>
            </w:r>
            <w:r w:rsidRPr="003874F6">
              <w:rPr>
                <w:rFonts w:ascii="Times New Roman" w:hAnsi="Times New Roman" w:cs="Times New Roman"/>
                <w:i/>
                <w:noProof/>
                <w:color w:val="000000" w:themeColor="text1"/>
                <w:sz w:val="24"/>
                <w:szCs w:val="24"/>
              </w:rPr>
              <w:t>carbon steel label</w:t>
            </w:r>
            <w:r w:rsidR="4AD9750A" w:rsidRPr="003874F6">
              <w:rPr>
                <w:rFonts w:ascii="Times New Roman" w:hAnsi="Times New Roman" w:cs="Times New Roman"/>
                <w:i/>
                <w:noProof/>
                <w:color w:val="000000" w:themeColor="text1"/>
                <w:sz w:val="24"/>
                <w:szCs w:val="24"/>
              </w:rPr>
              <w:t xml:space="preserve">: </w:t>
            </w:r>
          </w:p>
          <w:p w14:paraId="10F834D0" w14:textId="3720E8C7" w:rsidR="00202B06" w:rsidRPr="00691359" w:rsidRDefault="4AD9750A" w:rsidP="00202B06">
            <w:pPr>
              <w:pStyle w:val="JRCText"/>
              <w:jc w:val="center"/>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t>C</w:t>
            </w:r>
            <w:r w:rsidR="505B5DBC" w:rsidRPr="1FA04443">
              <w:rPr>
                <w:rFonts w:ascii="Times New Roman" w:hAnsi="Times New Roman" w:cs="Times New Roman"/>
                <w:noProof/>
                <w:color w:val="000000" w:themeColor="text1"/>
                <w:sz w:val="24"/>
                <w:szCs w:val="24"/>
              </w:rPr>
              <w:t>ertification</w:t>
            </w:r>
            <w:r w:rsidRPr="1FA04443">
              <w:rPr>
                <w:rFonts w:ascii="Times New Roman" w:hAnsi="Times New Roman" w:cs="Times New Roman"/>
                <w:noProof/>
                <w:color w:val="000000" w:themeColor="text1"/>
                <w:sz w:val="24"/>
                <w:szCs w:val="24"/>
              </w:rPr>
              <w:t>:</w:t>
            </w:r>
            <w:r w:rsidR="505B5DBC" w:rsidRPr="1FA04443">
              <w:rPr>
                <w:rFonts w:ascii="Times New Roman" w:hAnsi="Times New Roman" w:cs="Times New Roman"/>
                <w:noProof/>
                <w:color w:val="000000" w:themeColor="text1"/>
                <w:sz w:val="24"/>
                <w:szCs w:val="24"/>
              </w:rPr>
              <w:t xml:space="preserve"> EUR 6</w:t>
            </w:r>
            <w:r w:rsidR="00B8591D" w:rsidRPr="1FA04443">
              <w:rPr>
                <w:rFonts w:ascii="Times New Roman" w:hAnsi="Times New Roman" w:cs="Times New Roman"/>
                <w:noProof/>
                <w:color w:val="000000" w:themeColor="text1"/>
                <w:sz w:val="24"/>
                <w:szCs w:val="24"/>
              </w:rPr>
              <w:t xml:space="preserve"> </w:t>
            </w:r>
            <w:r w:rsidR="505B5DBC" w:rsidRPr="1FA04443">
              <w:rPr>
                <w:rFonts w:ascii="Times New Roman" w:hAnsi="Times New Roman" w:cs="Times New Roman"/>
                <w:noProof/>
                <w:color w:val="000000" w:themeColor="text1"/>
                <w:sz w:val="24"/>
                <w:szCs w:val="24"/>
              </w:rPr>
              <w:t>700</w:t>
            </w:r>
            <w:r w:rsidRPr="1FA04443">
              <w:rPr>
                <w:rFonts w:ascii="Times New Roman" w:hAnsi="Times New Roman" w:cs="Times New Roman"/>
                <w:noProof/>
                <w:color w:val="000000" w:themeColor="text1"/>
                <w:sz w:val="24"/>
                <w:szCs w:val="24"/>
              </w:rPr>
              <w:t xml:space="preserve"> / year</w:t>
            </w:r>
          </w:p>
          <w:p w14:paraId="5926B645" w14:textId="5451FE8F" w:rsidR="00202B06" w:rsidRPr="00691359" w:rsidRDefault="505B5DBC" w:rsidP="00202B06">
            <w:pPr>
              <w:pStyle w:val="JRCText"/>
              <w:jc w:val="center"/>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t>N</w:t>
            </w:r>
            <w:r w:rsidR="00316F7C">
              <w:rPr>
                <w:rFonts w:ascii="Times New Roman" w:hAnsi="Times New Roman" w:cs="Times New Roman"/>
                <w:noProof/>
                <w:color w:val="000000" w:themeColor="text1"/>
                <w:sz w:val="24"/>
                <w:szCs w:val="24"/>
              </w:rPr>
              <w:t>o. of</w:t>
            </w:r>
            <w:r w:rsidRPr="1FA04443">
              <w:rPr>
                <w:rFonts w:ascii="Times New Roman" w:hAnsi="Times New Roman" w:cs="Times New Roman"/>
                <w:noProof/>
                <w:color w:val="000000" w:themeColor="text1"/>
                <w:sz w:val="24"/>
                <w:szCs w:val="24"/>
              </w:rPr>
              <w:t xml:space="preserve"> steel </w:t>
            </w:r>
            <w:r w:rsidR="77304AF8" w:rsidRPr="1FA04443">
              <w:rPr>
                <w:rFonts w:ascii="Times New Roman" w:hAnsi="Times New Roman" w:cs="Times New Roman"/>
                <w:noProof/>
                <w:color w:val="000000" w:themeColor="text1"/>
                <w:sz w:val="24"/>
                <w:szCs w:val="24"/>
              </w:rPr>
              <w:t>sites</w:t>
            </w:r>
            <w:r w:rsidRPr="1FA04443">
              <w:rPr>
                <w:rFonts w:ascii="Times New Roman" w:hAnsi="Times New Roman" w:cs="Times New Roman"/>
                <w:noProof/>
                <w:color w:val="000000" w:themeColor="text1"/>
                <w:sz w:val="24"/>
                <w:szCs w:val="24"/>
              </w:rPr>
              <w:t xml:space="preserve"> certified: 23</w:t>
            </w:r>
          </w:p>
          <w:p w14:paraId="152D7A6A" w14:textId="77DFF48F" w:rsidR="00202B06" w:rsidRPr="006576A5" w:rsidRDefault="0B581C83" w:rsidP="004711C6">
            <w:pPr>
              <w:pStyle w:val="JRCText"/>
              <w:jc w:val="center"/>
              <w:rPr>
                <w:rFonts w:ascii="Times New Roman" w:hAnsi="Times New Roman" w:cs="Times New Roman"/>
                <w:b/>
                <w:bCs/>
                <w:noProof/>
                <w:color w:val="000000" w:themeColor="text1"/>
                <w:sz w:val="24"/>
                <w:szCs w:val="24"/>
              </w:rPr>
            </w:pPr>
            <w:r w:rsidRPr="1FA04443">
              <w:rPr>
                <w:rFonts w:ascii="Times New Roman" w:hAnsi="Times New Roman" w:cs="Times New Roman"/>
                <w:b/>
                <w:bCs/>
                <w:noProof/>
                <w:color w:val="000000" w:themeColor="text1"/>
                <w:sz w:val="24"/>
                <w:szCs w:val="24"/>
              </w:rPr>
              <w:t xml:space="preserve">Total cost: EUR </w:t>
            </w:r>
            <w:r w:rsidR="06250490" w:rsidRPr="1FA04443">
              <w:rPr>
                <w:rFonts w:ascii="Times New Roman" w:hAnsi="Times New Roman" w:cs="Times New Roman"/>
                <w:b/>
                <w:bCs/>
                <w:noProof/>
                <w:color w:val="000000" w:themeColor="text1"/>
                <w:sz w:val="24"/>
                <w:szCs w:val="24"/>
              </w:rPr>
              <w:t>154</w:t>
            </w:r>
            <w:r w:rsidR="35D02627" w:rsidRPr="1FA04443">
              <w:rPr>
                <w:rFonts w:ascii="Times New Roman" w:hAnsi="Times New Roman" w:cs="Times New Roman"/>
                <w:b/>
                <w:bCs/>
                <w:noProof/>
                <w:color w:val="000000" w:themeColor="text1"/>
                <w:sz w:val="24"/>
                <w:szCs w:val="24"/>
              </w:rPr>
              <w:t xml:space="preserve"> </w:t>
            </w:r>
            <w:r w:rsidR="06250490" w:rsidRPr="1FA04443">
              <w:rPr>
                <w:rFonts w:ascii="Times New Roman" w:hAnsi="Times New Roman" w:cs="Times New Roman"/>
                <w:b/>
                <w:bCs/>
                <w:noProof/>
                <w:color w:val="000000" w:themeColor="text1"/>
                <w:sz w:val="24"/>
                <w:szCs w:val="24"/>
              </w:rPr>
              <w:t>100</w:t>
            </w:r>
          </w:p>
        </w:tc>
        <w:tc>
          <w:tcPr>
            <w:tcW w:w="1255" w:type="pct"/>
            <w:tcBorders>
              <w:top w:val="single" w:sz="6" w:space="0" w:color="auto"/>
              <w:left w:val="single" w:sz="6" w:space="0" w:color="auto"/>
              <w:bottom w:val="single" w:sz="6" w:space="0" w:color="auto"/>
              <w:right w:val="single" w:sz="6" w:space="0" w:color="auto"/>
            </w:tcBorders>
            <w:vAlign w:val="center"/>
            <w:hideMark/>
          </w:tcPr>
          <w:p w14:paraId="04806EE3" w14:textId="3A3924F8" w:rsidR="00905847" w:rsidRPr="00DD7923" w:rsidRDefault="7E83ACEF" w:rsidP="1FA04443">
            <w:pPr>
              <w:pStyle w:val="JRCText"/>
              <w:jc w:val="center"/>
              <w:rPr>
                <w:rFonts w:ascii="Times New Roman" w:hAnsi="Times New Roman" w:cs="Times New Roman"/>
                <w:i/>
                <w:iCs/>
                <w:noProof/>
                <w:color w:val="000000" w:themeColor="text1"/>
                <w:sz w:val="24"/>
                <w:szCs w:val="24"/>
                <w:u w:val="single"/>
              </w:rPr>
            </w:pPr>
            <w:r w:rsidRPr="001C18C3">
              <w:rPr>
                <w:rFonts w:ascii="Times New Roman" w:hAnsi="Times New Roman" w:cs="Times New Roman"/>
                <w:i/>
                <w:iCs/>
                <w:noProof/>
                <w:color w:val="000000" w:themeColor="text1"/>
                <w:sz w:val="24"/>
                <w:szCs w:val="24"/>
              </w:rPr>
              <w:lastRenderedPageBreak/>
              <w:t>Low-carbon and Made in EU requirements:</w:t>
            </w:r>
          </w:p>
          <w:p w14:paraId="3B32E3D0" w14:textId="13EE16C6" w:rsidR="00D223F5" w:rsidRPr="001E27A0" w:rsidRDefault="0C267A0C" w:rsidP="00D223F5">
            <w:pPr>
              <w:pStyle w:val="JRCText"/>
              <w:jc w:val="center"/>
              <w:rPr>
                <w:rFonts w:ascii="Times New Roman" w:eastAsia="Times New Roman" w:hAnsi="Times New Roman" w:cs="Times New Roman"/>
                <w:noProof/>
                <w:color w:val="000000" w:themeColor="text1"/>
                <w:sz w:val="24"/>
                <w:szCs w:val="24"/>
                <w:u w:val="single"/>
              </w:rPr>
            </w:pPr>
            <w:r w:rsidRPr="1FA04443">
              <w:rPr>
                <w:rFonts w:ascii="Times New Roman" w:eastAsia="Times New Roman" w:hAnsi="Times New Roman" w:cs="Times New Roman"/>
                <w:noProof/>
                <w:color w:val="000000" w:themeColor="text1"/>
                <w:sz w:val="24"/>
                <w:szCs w:val="24"/>
              </w:rPr>
              <w:t xml:space="preserve">For </w:t>
            </w:r>
            <w:r w:rsidRPr="1FA04443">
              <w:rPr>
                <w:rFonts w:ascii="Times New Roman" w:eastAsia="Times New Roman" w:hAnsi="Times New Roman" w:cs="Times New Roman"/>
                <w:noProof/>
                <w:color w:val="000000" w:themeColor="text1"/>
                <w:sz w:val="24"/>
                <w:szCs w:val="24"/>
                <w:u w:val="single"/>
              </w:rPr>
              <w:t>low</w:t>
            </w:r>
            <w:r w:rsidR="00966BD0">
              <w:rPr>
                <w:rFonts w:ascii="Times New Roman" w:eastAsia="Times New Roman" w:hAnsi="Times New Roman" w:cs="Times New Roman"/>
                <w:noProof/>
                <w:color w:val="000000" w:themeColor="text1"/>
                <w:sz w:val="24"/>
                <w:szCs w:val="24"/>
                <w:u w:val="single"/>
              </w:rPr>
              <w:t>-</w:t>
            </w:r>
            <w:r w:rsidRPr="1FA04443">
              <w:rPr>
                <w:rFonts w:ascii="Times New Roman" w:eastAsia="Times New Roman" w:hAnsi="Times New Roman" w:cs="Times New Roman"/>
                <w:noProof/>
                <w:color w:val="000000" w:themeColor="text1"/>
                <w:sz w:val="24"/>
                <w:szCs w:val="24"/>
                <w:u w:val="single"/>
              </w:rPr>
              <w:t>carbon + made in EU</w:t>
            </w:r>
            <w:r w:rsidRPr="1FA04443">
              <w:rPr>
                <w:rFonts w:ascii="Times New Roman" w:eastAsia="Times New Roman" w:hAnsi="Times New Roman" w:cs="Times New Roman"/>
                <w:noProof/>
                <w:color w:val="000000" w:themeColor="text1"/>
                <w:sz w:val="24"/>
                <w:szCs w:val="24"/>
              </w:rPr>
              <w:t xml:space="preserve"> reporting, n</w:t>
            </w:r>
            <w:r w:rsidR="00D63C5C">
              <w:rPr>
                <w:rFonts w:ascii="Times New Roman" w:eastAsia="Times New Roman" w:hAnsi="Times New Roman" w:cs="Times New Roman"/>
                <w:noProof/>
                <w:color w:val="000000" w:themeColor="text1"/>
                <w:sz w:val="24"/>
                <w:szCs w:val="24"/>
              </w:rPr>
              <w:t>o. of</w:t>
            </w:r>
            <w:r w:rsidRPr="1FA04443">
              <w:rPr>
                <w:rFonts w:ascii="Times New Roman" w:eastAsia="Times New Roman" w:hAnsi="Times New Roman" w:cs="Times New Roman"/>
                <w:noProof/>
                <w:color w:val="000000" w:themeColor="text1"/>
                <w:sz w:val="24"/>
                <w:szCs w:val="24"/>
              </w:rPr>
              <w:t xml:space="preserve"> FTEs as in PO2</w:t>
            </w:r>
          </w:p>
          <w:p w14:paraId="6DEA3B80" w14:textId="42C0306B" w:rsidR="00D223F5" w:rsidRPr="001E27A0" w:rsidRDefault="0C267A0C" w:rsidP="00D223F5">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N</w:t>
            </w:r>
            <w:r w:rsidR="00FA046D">
              <w:rPr>
                <w:rFonts w:ascii="Times New Roman" w:eastAsia="Times New Roman" w:hAnsi="Times New Roman" w:cs="Times New Roman"/>
                <w:noProof/>
                <w:color w:val="000000" w:themeColor="text1"/>
                <w:sz w:val="24"/>
                <w:szCs w:val="24"/>
              </w:rPr>
              <w:t>o. of</w:t>
            </w:r>
            <w:r w:rsidRPr="1FA04443">
              <w:rPr>
                <w:rFonts w:ascii="Times New Roman" w:eastAsia="Times New Roman" w:hAnsi="Times New Roman" w:cs="Times New Roman"/>
                <w:noProof/>
                <w:color w:val="000000" w:themeColor="text1"/>
                <w:sz w:val="24"/>
                <w:szCs w:val="24"/>
              </w:rPr>
              <w:t xml:space="preserve"> automotive OEMs: 70</w:t>
            </w:r>
          </w:p>
          <w:p w14:paraId="4DF985E0" w14:textId="1C916611" w:rsidR="00D223F5" w:rsidRPr="00F83D84" w:rsidRDefault="0C267A0C" w:rsidP="00D223F5">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N</w:t>
            </w:r>
            <w:r w:rsidR="00FA046D">
              <w:rPr>
                <w:rFonts w:ascii="Times New Roman" w:eastAsia="Times New Roman" w:hAnsi="Times New Roman" w:cs="Times New Roman"/>
                <w:noProof/>
                <w:color w:val="000000" w:themeColor="text1"/>
                <w:sz w:val="24"/>
                <w:szCs w:val="24"/>
              </w:rPr>
              <w:t>o. of</w:t>
            </w:r>
            <w:r w:rsidRPr="1FA04443">
              <w:rPr>
                <w:rFonts w:ascii="Times New Roman" w:eastAsia="Times New Roman" w:hAnsi="Times New Roman" w:cs="Times New Roman"/>
                <w:noProof/>
                <w:color w:val="000000" w:themeColor="text1"/>
                <w:sz w:val="24"/>
                <w:szCs w:val="24"/>
              </w:rPr>
              <w:t xml:space="preserve"> construction companies: 6</w:t>
            </w:r>
            <w:r w:rsidR="003E454A">
              <w:rPr>
                <w:rFonts w:ascii="Times New Roman" w:eastAsia="Times New Roman" w:hAnsi="Times New Roman" w:cs="Times New Roman"/>
                <w:noProof/>
                <w:color w:val="000000" w:themeColor="text1"/>
                <w:sz w:val="24"/>
                <w:szCs w:val="24"/>
              </w:rPr>
              <w:t xml:space="preserve"> </w:t>
            </w:r>
            <w:r w:rsidRPr="1FA04443">
              <w:rPr>
                <w:rFonts w:ascii="Times New Roman" w:eastAsia="Times New Roman" w:hAnsi="Times New Roman" w:cs="Times New Roman"/>
                <w:noProof/>
                <w:color w:val="000000" w:themeColor="text1"/>
                <w:sz w:val="24"/>
                <w:szCs w:val="24"/>
              </w:rPr>
              <w:t>229</w:t>
            </w:r>
          </w:p>
          <w:p w14:paraId="45859E24" w14:textId="14E333EB" w:rsidR="004711C6" w:rsidRPr="002837F7" w:rsidRDefault="73322972" w:rsidP="004711C6">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Total automotive cost: EUR 82</w:t>
            </w:r>
            <w:r w:rsidR="00D7393A" w:rsidRPr="1FA04443">
              <w:rPr>
                <w:rFonts w:ascii="Times New Roman" w:eastAsia="Times New Roman" w:hAnsi="Times New Roman" w:cs="Times New Roman"/>
                <w:noProof/>
                <w:color w:val="000000" w:themeColor="text1"/>
                <w:sz w:val="24"/>
                <w:szCs w:val="24"/>
              </w:rPr>
              <w:t xml:space="preserve"> </w:t>
            </w:r>
            <w:r w:rsidRPr="1FA04443">
              <w:rPr>
                <w:rFonts w:ascii="Times New Roman" w:eastAsia="Times New Roman" w:hAnsi="Times New Roman" w:cs="Times New Roman"/>
                <w:noProof/>
                <w:color w:val="000000" w:themeColor="text1"/>
                <w:sz w:val="24"/>
                <w:szCs w:val="24"/>
              </w:rPr>
              <w:t>320</w:t>
            </w:r>
          </w:p>
          <w:p w14:paraId="03C7A219" w14:textId="0B1CC075" w:rsidR="004711C6" w:rsidRPr="002837F7" w:rsidRDefault="6BF7F5E4" w:rsidP="1FA04443">
            <w:pPr>
              <w:pStyle w:val="JRCText"/>
              <w:jc w:val="center"/>
              <w:rPr>
                <w:rFonts w:ascii="Times New Roman" w:eastAsia="Times New Roman" w:hAnsi="Times New Roman" w:cs="Times New Roman"/>
                <w:noProof/>
                <w:color w:val="000000" w:themeColor="text1"/>
                <w:sz w:val="24"/>
                <w:szCs w:val="24"/>
              </w:rPr>
            </w:pPr>
            <w:r w:rsidRPr="1FA04443">
              <w:rPr>
                <w:rFonts w:ascii="Times New Roman" w:eastAsia="Times New Roman" w:hAnsi="Times New Roman" w:cs="Times New Roman"/>
                <w:noProof/>
                <w:color w:val="000000" w:themeColor="text1"/>
                <w:sz w:val="24"/>
                <w:szCs w:val="24"/>
              </w:rPr>
              <w:t>Total construction cost: EUR 5.49 million</w:t>
            </w:r>
          </w:p>
          <w:p w14:paraId="006EFA3F" w14:textId="03F7B159" w:rsidR="007040CC" w:rsidRPr="004A466F" w:rsidRDefault="1819DA79" w:rsidP="004711C6">
            <w:pPr>
              <w:pStyle w:val="JRCText"/>
              <w:jc w:val="center"/>
              <w:rPr>
                <w:rFonts w:ascii="Times New Roman" w:eastAsia="Times New Roman" w:hAnsi="Times New Roman" w:cs="Times New Roman"/>
                <w:b/>
                <w:bCs/>
                <w:noProof/>
                <w:color w:val="000000" w:themeColor="text1"/>
                <w:sz w:val="24"/>
                <w:szCs w:val="24"/>
              </w:rPr>
            </w:pPr>
            <w:r w:rsidRPr="1FA04443">
              <w:rPr>
                <w:rFonts w:ascii="Times New Roman" w:eastAsia="Times New Roman" w:hAnsi="Times New Roman" w:cs="Times New Roman"/>
                <w:b/>
                <w:bCs/>
                <w:noProof/>
                <w:color w:val="000000" w:themeColor="text1"/>
                <w:sz w:val="24"/>
                <w:szCs w:val="24"/>
              </w:rPr>
              <w:t>Total cost: EUR 5.5</w:t>
            </w:r>
            <w:r w:rsidR="79FC93C4" w:rsidRPr="1FA04443">
              <w:rPr>
                <w:rFonts w:ascii="Times New Roman" w:eastAsia="Times New Roman" w:hAnsi="Times New Roman" w:cs="Times New Roman"/>
                <w:b/>
                <w:bCs/>
                <w:noProof/>
                <w:color w:val="000000" w:themeColor="text1"/>
                <w:sz w:val="24"/>
                <w:szCs w:val="24"/>
              </w:rPr>
              <w:t>7</w:t>
            </w:r>
            <w:r w:rsidRPr="1FA04443">
              <w:rPr>
                <w:rFonts w:ascii="Times New Roman" w:eastAsia="Times New Roman" w:hAnsi="Times New Roman" w:cs="Times New Roman"/>
                <w:b/>
                <w:bCs/>
                <w:noProof/>
                <w:color w:val="000000" w:themeColor="text1"/>
                <w:sz w:val="24"/>
                <w:szCs w:val="24"/>
              </w:rPr>
              <w:t xml:space="preserve"> million</w:t>
            </w:r>
          </w:p>
          <w:p w14:paraId="41C2837E" w14:textId="505B4400" w:rsidR="00C17924" w:rsidRPr="003874F6" w:rsidRDefault="440C6072" w:rsidP="1FA04443">
            <w:pPr>
              <w:pStyle w:val="JRCText"/>
              <w:jc w:val="center"/>
              <w:rPr>
                <w:rFonts w:ascii="Times New Roman" w:hAnsi="Times New Roman" w:cs="Times New Roman"/>
                <w:i/>
                <w:noProof/>
                <w:color w:val="000000" w:themeColor="text1"/>
                <w:sz w:val="24"/>
                <w:szCs w:val="24"/>
              </w:rPr>
            </w:pPr>
            <w:r w:rsidRPr="003874F6">
              <w:rPr>
                <w:rFonts w:ascii="Times New Roman" w:hAnsi="Times New Roman" w:cs="Times New Roman"/>
                <w:i/>
                <w:noProof/>
                <w:color w:val="000000" w:themeColor="text1"/>
                <w:sz w:val="24"/>
                <w:szCs w:val="24"/>
              </w:rPr>
              <w:t>Low</w:t>
            </w:r>
            <w:r w:rsidR="00966BD0" w:rsidRPr="003874F6">
              <w:rPr>
                <w:rFonts w:ascii="Times New Roman" w:hAnsi="Times New Roman" w:cs="Times New Roman"/>
                <w:i/>
                <w:noProof/>
                <w:color w:val="000000" w:themeColor="text1"/>
                <w:sz w:val="24"/>
                <w:szCs w:val="24"/>
              </w:rPr>
              <w:t>-</w:t>
            </w:r>
            <w:r w:rsidRPr="003874F6">
              <w:rPr>
                <w:rFonts w:ascii="Times New Roman" w:hAnsi="Times New Roman" w:cs="Times New Roman"/>
                <w:i/>
                <w:noProof/>
                <w:color w:val="000000" w:themeColor="text1"/>
                <w:sz w:val="24"/>
                <w:szCs w:val="24"/>
              </w:rPr>
              <w:t>carbon steel label</w:t>
            </w:r>
            <w:r w:rsidR="4AD9750A" w:rsidRPr="003874F6">
              <w:rPr>
                <w:rFonts w:ascii="Times New Roman" w:hAnsi="Times New Roman" w:cs="Times New Roman"/>
                <w:i/>
                <w:noProof/>
                <w:color w:val="000000" w:themeColor="text1"/>
                <w:sz w:val="24"/>
                <w:szCs w:val="24"/>
              </w:rPr>
              <w:t xml:space="preserve">: </w:t>
            </w:r>
          </w:p>
          <w:p w14:paraId="544D2B0B" w14:textId="49557841" w:rsidR="007040CC" w:rsidRPr="004C5884" w:rsidRDefault="4AD9750A" w:rsidP="007040CC">
            <w:pPr>
              <w:pStyle w:val="JRCText"/>
              <w:jc w:val="center"/>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t>C</w:t>
            </w:r>
            <w:r w:rsidR="440C6072" w:rsidRPr="1FA04443">
              <w:rPr>
                <w:rFonts w:ascii="Times New Roman" w:hAnsi="Times New Roman" w:cs="Times New Roman"/>
                <w:noProof/>
                <w:color w:val="000000" w:themeColor="text1"/>
                <w:sz w:val="24"/>
                <w:szCs w:val="24"/>
              </w:rPr>
              <w:t>ertification</w:t>
            </w:r>
            <w:r w:rsidRPr="1FA04443">
              <w:rPr>
                <w:rFonts w:ascii="Times New Roman" w:hAnsi="Times New Roman" w:cs="Times New Roman"/>
                <w:noProof/>
                <w:color w:val="000000" w:themeColor="text1"/>
                <w:sz w:val="24"/>
                <w:szCs w:val="24"/>
              </w:rPr>
              <w:t xml:space="preserve">: </w:t>
            </w:r>
            <w:r w:rsidR="440C6072" w:rsidRPr="1FA04443">
              <w:rPr>
                <w:rFonts w:ascii="Times New Roman" w:hAnsi="Times New Roman" w:cs="Times New Roman"/>
                <w:noProof/>
                <w:color w:val="000000" w:themeColor="text1"/>
                <w:sz w:val="24"/>
                <w:szCs w:val="24"/>
              </w:rPr>
              <w:t>EUR 6</w:t>
            </w:r>
            <w:r w:rsidR="00B8591D" w:rsidRPr="1FA04443">
              <w:rPr>
                <w:rFonts w:ascii="Times New Roman" w:hAnsi="Times New Roman" w:cs="Times New Roman"/>
                <w:noProof/>
                <w:color w:val="000000" w:themeColor="text1"/>
                <w:sz w:val="24"/>
                <w:szCs w:val="24"/>
              </w:rPr>
              <w:t xml:space="preserve"> </w:t>
            </w:r>
            <w:r w:rsidR="440C6072" w:rsidRPr="1FA04443">
              <w:rPr>
                <w:rFonts w:ascii="Times New Roman" w:hAnsi="Times New Roman" w:cs="Times New Roman"/>
                <w:noProof/>
                <w:color w:val="000000" w:themeColor="text1"/>
                <w:sz w:val="24"/>
                <w:szCs w:val="24"/>
              </w:rPr>
              <w:t>700</w:t>
            </w:r>
            <w:r w:rsidRPr="1FA04443">
              <w:rPr>
                <w:rFonts w:ascii="Times New Roman" w:hAnsi="Times New Roman" w:cs="Times New Roman"/>
                <w:noProof/>
                <w:color w:val="000000" w:themeColor="text1"/>
                <w:sz w:val="24"/>
                <w:szCs w:val="24"/>
              </w:rPr>
              <w:t>/year</w:t>
            </w:r>
          </w:p>
          <w:p w14:paraId="2F793265" w14:textId="73FA7C16" w:rsidR="007040CC" w:rsidRPr="004C5884" w:rsidRDefault="440C6072" w:rsidP="007040CC">
            <w:pPr>
              <w:pStyle w:val="JRCText"/>
              <w:jc w:val="center"/>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t>N</w:t>
            </w:r>
            <w:r w:rsidR="003874F6">
              <w:rPr>
                <w:rFonts w:ascii="Times New Roman" w:hAnsi="Times New Roman" w:cs="Times New Roman"/>
                <w:noProof/>
                <w:color w:val="000000" w:themeColor="text1"/>
                <w:sz w:val="24"/>
                <w:szCs w:val="24"/>
              </w:rPr>
              <w:t>o. of</w:t>
            </w:r>
            <w:r w:rsidRPr="1FA04443">
              <w:rPr>
                <w:rFonts w:ascii="Times New Roman" w:hAnsi="Times New Roman" w:cs="Times New Roman"/>
                <w:noProof/>
                <w:color w:val="000000" w:themeColor="text1"/>
                <w:sz w:val="24"/>
                <w:szCs w:val="24"/>
              </w:rPr>
              <w:t xml:space="preserve"> steel </w:t>
            </w:r>
            <w:r w:rsidR="77304AF8" w:rsidRPr="1FA04443">
              <w:rPr>
                <w:rFonts w:ascii="Times New Roman" w:hAnsi="Times New Roman" w:cs="Times New Roman"/>
                <w:noProof/>
                <w:color w:val="000000" w:themeColor="text1"/>
                <w:sz w:val="24"/>
                <w:szCs w:val="24"/>
              </w:rPr>
              <w:t>sites</w:t>
            </w:r>
            <w:r w:rsidRPr="1FA04443">
              <w:rPr>
                <w:rFonts w:ascii="Times New Roman" w:hAnsi="Times New Roman" w:cs="Times New Roman"/>
                <w:noProof/>
                <w:color w:val="000000" w:themeColor="text1"/>
                <w:sz w:val="24"/>
                <w:szCs w:val="24"/>
              </w:rPr>
              <w:t xml:space="preserve"> certified: 23</w:t>
            </w:r>
          </w:p>
          <w:p w14:paraId="1333E800" w14:textId="00651E5B" w:rsidR="00434FB4" w:rsidRPr="004A466F" w:rsidRDefault="2A46B6AF" w:rsidP="00691359">
            <w:pPr>
              <w:pStyle w:val="JRCText"/>
              <w:jc w:val="center"/>
              <w:rPr>
                <w:rFonts w:ascii="Times New Roman" w:hAnsi="Times New Roman" w:cs="Times New Roman"/>
                <w:b/>
                <w:bCs/>
                <w:noProof/>
                <w:color w:val="000000" w:themeColor="text1"/>
                <w:sz w:val="24"/>
                <w:szCs w:val="24"/>
                <w:highlight w:val="yellow"/>
              </w:rPr>
            </w:pPr>
            <w:r w:rsidRPr="1FA04443">
              <w:rPr>
                <w:rFonts w:ascii="Times New Roman" w:hAnsi="Times New Roman" w:cs="Times New Roman"/>
                <w:b/>
                <w:bCs/>
                <w:noProof/>
                <w:color w:val="000000" w:themeColor="text1"/>
                <w:sz w:val="24"/>
                <w:szCs w:val="24"/>
              </w:rPr>
              <w:lastRenderedPageBreak/>
              <w:t>Total cost: EUR 154</w:t>
            </w:r>
            <w:r w:rsidR="35D02627" w:rsidRPr="1FA04443">
              <w:rPr>
                <w:rFonts w:ascii="Times New Roman" w:hAnsi="Times New Roman" w:cs="Times New Roman"/>
                <w:b/>
                <w:bCs/>
                <w:noProof/>
                <w:color w:val="000000" w:themeColor="text1"/>
                <w:sz w:val="24"/>
                <w:szCs w:val="24"/>
              </w:rPr>
              <w:t xml:space="preserve"> </w:t>
            </w:r>
            <w:r w:rsidRPr="1FA04443">
              <w:rPr>
                <w:rFonts w:ascii="Times New Roman" w:hAnsi="Times New Roman" w:cs="Times New Roman"/>
                <w:b/>
                <w:bCs/>
                <w:noProof/>
                <w:color w:val="000000" w:themeColor="text1"/>
                <w:sz w:val="24"/>
                <w:szCs w:val="24"/>
              </w:rPr>
              <w:t>100</w:t>
            </w:r>
          </w:p>
        </w:tc>
      </w:tr>
      <w:tr w:rsidR="00A201A1" w:rsidRPr="00020844" w14:paraId="06C994DE" w14:textId="77777777" w:rsidTr="1FA04443">
        <w:trPr>
          <w:trHeight w:val="566"/>
        </w:trPr>
        <w:tc>
          <w:tcPr>
            <w:tcW w:w="1080"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7C3A087" w14:textId="18E53F75" w:rsidR="00434FB4" w:rsidRPr="002837F7" w:rsidRDefault="00434FB4" w:rsidP="00434FB4">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FFFFFF" w:themeColor="background1"/>
                <w:sz w:val="24"/>
                <w:szCs w:val="24"/>
              </w:rPr>
              <w:lastRenderedPageBreak/>
              <w:t>European Commission</w:t>
            </w:r>
          </w:p>
        </w:tc>
        <w:tc>
          <w:tcPr>
            <w:tcW w:w="127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6F24105" w14:textId="2DC03875" w:rsidR="00434FB4" w:rsidRPr="002837F7" w:rsidRDefault="00434FB4" w:rsidP="00434FB4">
            <w:pPr>
              <w:pStyle w:val="JRCText"/>
              <w:jc w:val="center"/>
              <w:rPr>
                <w:rFonts w:ascii="Times New Roman" w:hAnsi="Times New Roman" w:cs="Times New Roman"/>
                <w:b/>
                <w:noProof/>
                <w:color w:val="000000" w:themeColor="text1"/>
                <w:sz w:val="24"/>
                <w:szCs w:val="24"/>
              </w:rPr>
            </w:pPr>
          </w:p>
        </w:tc>
        <w:tc>
          <w:tcPr>
            <w:tcW w:w="1390"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6B53ED3" w14:textId="4242A8E3" w:rsidR="00434FB4" w:rsidRPr="002837F7" w:rsidRDefault="00434FB4" w:rsidP="00434FB4">
            <w:pPr>
              <w:pStyle w:val="JRCText"/>
              <w:jc w:val="center"/>
              <w:rPr>
                <w:rFonts w:ascii="Times New Roman" w:hAnsi="Times New Roman" w:cs="Times New Roman"/>
                <w:b/>
                <w:noProof/>
                <w:color w:val="000000" w:themeColor="text1"/>
                <w:sz w:val="24"/>
                <w:szCs w:val="24"/>
              </w:rPr>
            </w:pPr>
          </w:p>
        </w:tc>
        <w:tc>
          <w:tcPr>
            <w:tcW w:w="125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237EE9C" w14:textId="1255D1C7" w:rsidR="00434FB4" w:rsidRPr="002837F7" w:rsidRDefault="00434FB4" w:rsidP="00434FB4">
            <w:pPr>
              <w:pStyle w:val="JRCText"/>
              <w:jc w:val="center"/>
              <w:rPr>
                <w:rFonts w:ascii="Times New Roman" w:hAnsi="Times New Roman" w:cs="Times New Roman"/>
                <w:b/>
                <w:noProof/>
                <w:color w:val="000000" w:themeColor="text1"/>
                <w:sz w:val="24"/>
                <w:szCs w:val="24"/>
              </w:rPr>
            </w:pPr>
          </w:p>
        </w:tc>
      </w:tr>
      <w:tr w:rsidR="00A201A1" w:rsidRPr="00020844" w14:paraId="18AA0940" w14:textId="77777777" w:rsidTr="1FA04443">
        <w:trPr>
          <w:trHeight w:val="259"/>
        </w:trPr>
        <w:tc>
          <w:tcPr>
            <w:tcW w:w="1080" w:type="pct"/>
            <w:tcBorders>
              <w:top w:val="single" w:sz="6" w:space="0" w:color="auto"/>
              <w:left w:val="single" w:sz="6" w:space="0" w:color="auto"/>
              <w:bottom w:val="single" w:sz="6" w:space="0" w:color="auto"/>
              <w:right w:val="single" w:sz="6" w:space="0" w:color="auto"/>
            </w:tcBorders>
            <w:vAlign w:val="center"/>
            <w:hideMark/>
          </w:tcPr>
          <w:p w14:paraId="7E60B2FB" w14:textId="015D7372" w:rsidR="00434FB4" w:rsidRPr="002837F7" w:rsidRDefault="00434FB4" w:rsidP="00434FB4">
            <w:pPr>
              <w:pStyle w:val="JRCText"/>
              <w:jc w:val="center"/>
              <w:rPr>
                <w:rFonts w:ascii="Times New Roman" w:hAnsi="Times New Roman" w:cs="Times New Roman"/>
                <w:b/>
                <w:noProof/>
                <w:color w:val="000000" w:themeColor="text1"/>
                <w:sz w:val="24"/>
                <w:szCs w:val="24"/>
              </w:rPr>
            </w:pPr>
            <w:r w:rsidRPr="002837F7">
              <w:rPr>
                <w:rFonts w:ascii="Times New Roman" w:hAnsi="Times New Roman" w:cs="Times New Roman"/>
                <w:b/>
                <w:noProof/>
                <w:color w:val="000000" w:themeColor="text1"/>
                <w:sz w:val="24"/>
                <w:szCs w:val="24"/>
              </w:rPr>
              <w:t>Administrative costs (recurring)</w:t>
            </w:r>
          </w:p>
        </w:tc>
        <w:tc>
          <w:tcPr>
            <w:tcW w:w="1275"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8FD6B56" w14:textId="48A3C1E7" w:rsidR="00434FB4" w:rsidRPr="002837F7" w:rsidRDefault="00434FB4" w:rsidP="00434FB4">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½ month FTE</w:t>
            </w:r>
          </w:p>
          <w:p w14:paraId="245821CF" w14:textId="4FB67F9C" w:rsidR="00434FB4" w:rsidRPr="002837F7" w:rsidRDefault="4183D28B" w:rsidP="00434FB4">
            <w:pPr>
              <w:pStyle w:val="JRCText"/>
              <w:jc w:val="center"/>
              <w:rPr>
                <w:rFonts w:ascii="Times New Roman" w:hAnsi="Times New Roman" w:cs="Times New Roman"/>
                <w:noProof/>
                <w:color w:val="000000" w:themeColor="text1"/>
                <w:sz w:val="24"/>
                <w:szCs w:val="24"/>
              </w:rPr>
            </w:pPr>
            <w:r w:rsidRPr="51975683">
              <w:rPr>
                <w:rFonts w:ascii="Times New Roman" w:hAnsi="Times New Roman" w:cs="Times New Roman"/>
                <w:noProof/>
                <w:color w:val="000000" w:themeColor="text1"/>
                <w:sz w:val="24"/>
                <w:szCs w:val="24"/>
              </w:rPr>
              <w:t>Total cost: EUR</w:t>
            </w:r>
            <w:r w:rsidR="13383FC3" w:rsidRPr="51975683">
              <w:rPr>
                <w:rFonts w:ascii="Times New Roman" w:hAnsi="Times New Roman" w:cs="Times New Roman"/>
                <w:noProof/>
                <w:color w:val="000000" w:themeColor="text1"/>
                <w:sz w:val="24"/>
                <w:szCs w:val="24"/>
              </w:rPr>
              <w:t xml:space="preserve"> </w:t>
            </w:r>
            <w:r w:rsidR="002F0511">
              <w:rPr>
                <w:rFonts w:ascii="Times New Roman" w:hAnsi="Times New Roman" w:cs="Times New Roman"/>
                <w:noProof/>
                <w:color w:val="000000" w:themeColor="text1"/>
                <w:sz w:val="24"/>
                <w:szCs w:val="24"/>
              </w:rPr>
              <w:t xml:space="preserve">8 </w:t>
            </w:r>
            <w:r w:rsidR="002F2919">
              <w:rPr>
                <w:rFonts w:ascii="Times New Roman" w:hAnsi="Times New Roman" w:cs="Times New Roman"/>
                <w:noProof/>
                <w:color w:val="000000" w:themeColor="text1"/>
                <w:sz w:val="24"/>
                <w:szCs w:val="24"/>
              </w:rPr>
              <w:t>083</w:t>
            </w:r>
          </w:p>
          <w:p w14:paraId="6415BC0B" w14:textId="2A01EEB5" w:rsidR="00434FB4" w:rsidRPr="002837F7" w:rsidRDefault="00434FB4" w:rsidP="00434FB4">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(Covering all lead market provisions)</w:t>
            </w:r>
          </w:p>
        </w:tc>
        <w:tc>
          <w:tcPr>
            <w:tcW w:w="139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751369" w14:textId="4D8EAEF1" w:rsidR="00434FB4" w:rsidRPr="002837F7" w:rsidRDefault="00434FB4" w:rsidP="00434FB4">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1 month FTE</w:t>
            </w:r>
          </w:p>
          <w:p w14:paraId="09ADBE61" w14:textId="45C0BD05" w:rsidR="00434FB4" w:rsidRPr="002837F7" w:rsidRDefault="4183D28B" w:rsidP="00434FB4">
            <w:pPr>
              <w:pStyle w:val="JRCText"/>
              <w:jc w:val="center"/>
              <w:rPr>
                <w:rFonts w:ascii="Times New Roman" w:hAnsi="Times New Roman" w:cs="Times New Roman"/>
                <w:noProof/>
                <w:color w:val="000000" w:themeColor="text1"/>
                <w:sz w:val="24"/>
                <w:szCs w:val="24"/>
              </w:rPr>
            </w:pPr>
            <w:r w:rsidRPr="51975683">
              <w:rPr>
                <w:rFonts w:ascii="Times New Roman" w:hAnsi="Times New Roman" w:cs="Times New Roman"/>
                <w:noProof/>
                <w:color w:val="000000" w:themeColor="text1"/>
                <w:sz w:val="24"/>
                <w:szCs w:val="24"/>
              </w:rPr>
              <w:t xml:space="preserve">Total cost: EUR </w:t>
            </w:r>
            <w:r w:rsidR="002F2919">
              <w:rPr>
                <w:rFonts w:ascii="Times New Roman" w:hAnsi="Times New Roman" w:cs="Times New Roman"/>
                <w:noProof/>
                <w:color w:val="000000" w:themeColor="text1"/>
                <w:sz w:val="24"/>
                <w:szCs w:val="24"/>
              </w:rPr>
              <w:t>16 167</w:t>
            </w:r>
          </w:p>
          <w:p w14:paraId="696D4915" w14:textId="201C83DA" w:rsidR="00434FB4" w:rsidRPr="002837F7" w:rsidRDefault="00434FB4" w:rsidP="00434FB4">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(Covering all lead market provisions)</w:t>
            </w:r>
          </w:p>
        </w:tc>
        <w:tc>
          <w:tcPr>
            <w:tcW w:w="1255"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C93244" w14:textId="7C1B6F7B" w:rsidR="00434FB4" w:rsidRPr="002837F7" w:rsidRDefault="00434FB4" w:rsidP="00434FB4">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1.5 month FTE</w:t>
            </w:r>
          </w:p>
          <w:p w14:paraId="3626E977" w14:textId="5D121250" w:rsidR="00434FB4" w:rsidRPr="002837F7" w:rsidRDefault="4183D28B" w:rsidP="00434FB4">
            <w:pPr>
              <w:pStyle w:val="JRCText"/>
              <w:jc w:val="center"/>
              <w:rPr>
                <w:rFonts w:ascii="Times New Roman" w:hAnsi="Times New Roman" w:cs="Times New Roman"/>
                <w:noProof/>
                <w:color w:val="000000" w:themeColor="text1"/>
                <w:sz w:val="24"/>
                <w:szCs w:val="24"/>
              </w:rPr>
            </w:pPr>
            <w:r w:rsidRPr="51975683">
              <w:rPr>
                <w:rFonts w:ascii="Times New Roman" w:hAnsi="Times New Roman" w:cs="Times New Roman"/>
                <w:noProof/>
                <w:color w:val="000000" w:themeColor="text1"/>
                <w:sz w:val="24"/>
                <w:szCs w:val="24"/>
              </w:rPr>
              <w:t xml:space="preserve">Total cost: EUR </w:t>
            </w:r>
            <w:r w:rsidR="002F2919">
              <w:rPr>
                <w:rFonts w:ascii="Times New Roman" w:hAnsi="Times New Roman" w:cs="Times New Roman"/>
                <w:noProof/>
                <w:color w:val="000000" w:themeColor="text1"/>
                <w:sz w:val="24"/>
                <w:szCs w:val="24"/>
              </w:rPr>
              <w:t>24 250</w:t>
            </w:r>
          </w:p>
          <w:p w14:paraId="0DD75379" w14:textId="6F435CA8" w:rsidR="00434FB4" w:rsidRPr="002837F7" w:rsidRDefault="00434FB4" w:rsidP="00434FB4">
            <w:pPr>
              <w:pStyle w:val="JRCText"/>
              <w:jc w:val="center"/>
              <w:rPr>
                <w:rFonts w:ascii="Times New Roman" w:hAnsi="Times New Roman" w:cs="Times New Roman"/>
                <w:noProof/>
                <w:color w:val="000000" w:themeColor="text1"/>
                <w:sz w:val="24"/>
                <w:szCs w:val="24"/>
              </w:rPr>
            </w:pPr>
            <w:r w:rsidRPr="002837F7">
              <w:rPr>
                <w:rFonts w:ascii="Times New Roman" w:hAnsi="Times New Roman" w:cs="Times New Roman"/>
                <w:noProof/>
                <w:color w:val="000000" w:themeColor="text1"/>
                <w:sz w:val="24"/>
                <w:szCs w:val="24"/>
              </w:rPr>
              <w:t>(Covering all lead market provisions)</w:t>
            </w:r>
          </w:p>
        </w:tc>
      </w:tr>
    </w:tbl>
    <w:p w14:paraId="6FDDC074" w14:textId="77777777" w:rsidR="001575E7" w:rsidRDefault="001575E7">
      <w:pPr>
        <w:rPr>
          <w:noProof/>
        </w:rPr>
      </w:pPr>
    </w:p>
    <w:p w14:paraId="210E2C38" w14:textId="2A23AC16" w:rsidR="001575E7" w:rsidRPr="001575E7" w:rsidRDefault="001575E7" w:rsidP="00F85380">
      <w:pPr>
        <w:spacing w:after="120"/>
        <w:rPr>
          <w:b/>
          <w:bCs/>
          <w:noProof/>
        </w:rPr>
      </w:pPr>
      <w:r w:rsidRPr="001575E7">
        <w:rPr>
          <w:b/>
          <w:bCs/>
          <w:noProof/>
        </w:rPr>
        <w:t>LEAD_BAT</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3"/>
        <w:gridCol w:w="2323"/>
        <w:gridCol w:w="2416"/>
        <w:gridCol w:w="2420"/>
      </w:tblGrid>
      <w:tr w:rsidR="00434FB4" w:rsidRPr="00BB4F42" w14:paraId="758A42AB" w14:textId="77777777" w:rsidTr="00FD21D8">
        <w:trPr>
          <w:trHeight w:val="285"/>
          <w:tblHeader/>
        </w:trPr>
        <w:tc>
          <w:tcPr>
            <w:tcW w:w="1225" w:type="pct"/>
            <w:tcBorders>
              <w:top w:val="single" w:sz="6" w:space="0" w:color="auto"/>
              <w:left w:val="single" w:sz="6" w:space="0" w:color="auto"/>
              <w:bottom w:val="single" w:sz="6" w:space="0" w:color="auto"/>
              <w:right w:val="single" w:sz="6" w:space="0" w:color="auto"/>
            </w:tcBorders>
            <w:vAlign w:val="center"/>
            <w:hideMark/>
          </w:tcPr>
          <w:p w14:paraId="13407A81" w14:textId="768B1070"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LEAD_BAT</w:t>
            </w:r>
          </w:p>
        </w:tc>
        <w:tc>
          <w:tcPr>
            <w:tcW w:w="3775" w:type="pct"/>
            <w:gridSpan w:val="3"/>
            <w:tcBorders>
              <w:top w:val="single" w:sz="6" w:space="0" w:color="auto"/>
              <w:left w:val="single" w:sz="6" w:space="0" w:color="auto"/>
              <w:bottom w:val="single" w:sz="6" w:space="0" w:color="auto"/>
              <w:right w:val="single" w:sz="6" w:space="0" w:color="auto"/>
            </w:tcBorders>
            <w:vAlign w:val="center"/>
            <w:hideMark/>
          </w:tcPr>
          <w:p w14:paraId="2BA8607C" w14:textId="6C580AE7"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Difference to the baseline</w:t>
            </w:r>
          </w:p>
        </w:tc>
      </w:tr>
      <w:tr w:rsidR="00434FB4" w:rsidRPr="00BB4F42" w14:paraId="6BCF679C" w14:textId="77777777" w:rsidTr="00FD21D8">
        <w:trPr>
          <w:trHeight w:val="285"/>
          <w:tblHeader/>
        </w:trPr>
        <w:tc>
          <w:tcPr>
            <w:tcW w:w="1225" w:type="pct"/>
            <w:tcBorders>
              <w:top w:val="single" w:sz="6" w:space="0" w:color="auto"/>
              <w:left w:val="single" w:sz="6" w:space="0" w:color="auto"/>
              <w:bottom w:val="single" w:sz="6" w:space="0" w:color="auto"/>
              <w:right w:val="single" w:sz="6" w:space="0" w:color="auto"/>
            </w:tcBorders>
            <w:vAlign w:val="center"/>
            <w:hideMark/>
          </w:tcPr>
          <w:p w14:paraId="542CA137" w14:textId="56FDBD07" w:rsidR="00434FB4" w:rsidRPr="00E71388" w:rsidRDefault="00434FB4" w:rsidP="00434FB4">
            <w:pPr>
              <w:pStyle w:val="JRCText"/>
              <w:jc w:val="center"/>
              <w:rPr>
                <w:rFonts w:ascii="Times New Roman" w:hAnsi="Times New Roman" w:cs="Times New Roman"/>
                <w:b/>
                <w:noProof/>
                <w:color w:val="000000" w:themeColor="text1"/>
                <w:sz w:val="24"/>
                <w:szCs w:val="24"/>
              </w:rPr>
            </w:pPr>
          </w:p>
        </w:tc>
        <w:tc>
          <w:tcPr>
            <w:tcW w:w="1225" w:type="pct"/>
            <w:tcBorders>
              <w:top w:val="single" w:sz="6" w:space="0" w:color="auto"/>
              <w:left w:val="single" w:sz="6" w:space="0" w:color="auto"/>
              <w:bottom w:val="single" w:sz="6" w:space="0" w:color="auto"/>
              <w:right w:val="single" w:sz="6" w:space="0" w:color="auto"/>
            </w:tcBorders>
            <w:vAlign w:val="center"/>
            <w:hideMark/>
          </w:tcPr>
          <w:p w14:paraId="4F31A800" w14:textId="5F49981C"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PO1</w:t>
            </w:r>
          </w:p>
        </w:tc>
        <w:tc>
          <w:tcPr>
            <w:tcW w:w="1274" w:type="pct"/>
            <w:tcBorders>
              <w:top w:val="nil"/>
              <w:left w:val="single" w:sz="6" w:space="0" w:color="auto"/>
              <w:bottom w:val="single" w:sz="6" w:space="0" w:color="auto"/>
              <w:right w:val="single" w:sz="6" w:space="0" w:color="auto"/>
            </w:tcBorders>
            <w:vAlign w:val="center"/>
            <w:hideMark/>
          </w:tcPr>
          <w:p w14:paraId="3F06ECDB" w14:textId="255D552C"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PO2</w:t>
            </w:r>
          </w:p>
        </w:tc>
        <w:tc>
          <w:tcPr>
            <w:tcW w:w="1275" w:type="pct"/>
            <w:tcBorders>
              <w:top w:val="nil"/>
              <w:left w:val="single" w:sz="6" w:space="0" w:color="auto"/>
              <w:bottom w:val="single" w:sz="6" w:space="0" w:color="auto"/>
              <w:right w:val="single" w:sz="6" w:space="0" w:color="auto"/>
            </w:tcBorders>
            <w:vAlign w:val="center"/>
            <w:hideMark/>
          </w:tcPr>
          <w:p w14:paraId="07B953C5" w14:textId="08993B26"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PO3</w:t>
            </w:r>
          </w:p>
        </w:tc>
      </w:tr>
      <w:tr w:rsidR="00A201A1" w:rsidRPr="00BB4F42" w14:paraId="1D0468C3" w14:textId="77777777" w:rsidTr="3F0F1197">
        <w:trPr>
          <w:trHeight w:val="285"/>
        </w:trPr>
        <w:tc>
          <w:tcPr>
            <w:tcW w:w="12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EC6AA9C" w14:textId="50028C3A"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FFFFFF" w:themeColor="background1"/>
                <w:sz w:val="24"/>
                <w:szCs w:val="24"/>
              </w:rPr>
              <w:t xml:space="preserve">Member States </w:t>
            </w:r>
          </w:p>
        </w:tc>
        <w:tc>
          <w:tcPr>
            <w:tcW w:w="12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68BDB8A" w14:textId="13DEA618" w:rsidR="00434FB4" w:rsidRPr="00E71388" w:rsidRDefault="00434FB4" w:rsidP="00434FB4">
            <w:pPr>
              <w:pStyle w:val="JRCText"/>
              <w:jc w:val="center"/>
              <w:rPr>
                <w:rFonts w:ascii="Times New Roman" w:hAnsi="Times New Roman" w:cs="Times New Roman"/>
                <w:b/>
                <w:noProof/>
                <w:color w:val="000000" w:themeColor="text1"/>
                <w:sz w:val="24"/>
                <w:szCs w:val="24"/>
              </w:rPr>
            </w:pPr>
          </w:p>
        </w:tc>
        <w:tc>
          <w:tcPr>
            <w:tcW w:w="127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E72382A" w14:textId="5F96B1B8" w:rsidR="00434FB4" w:rsidRPr="00E71388" w:rsidRDefault="00434FB4" w:rsidP="00434FB4">
            <w:pPr>
              <w:pStyle w:val="JRCText"/>
              <w:jc w:val="center"/>
              <w:rPr>
                <w:rFonts w:ascii="Times New Roman" w:hAnsi="Times New Roman" w:cs="Times New Roman"/>
                <w:b/>
                <w:noProof/>
                <w:color w:val="000000" w:themeColor="text1"/>
                <w:sz w:val="24"/>
                <w:szCs w:val="24"/>
              </w:rPr>
            </w:pPr>
          </w:p>
        </w:tc>
        <w:tc>
          <w:tcPr>
            <w:tcW w:w="127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EE186FD" w14:textId="332CD93B" w:rsidR="00434FB4" w:rsidRPr="00E71388" w:rsidRDefault="00434FB4" w:rsidP="00434FB4">
            <w:pPr>
              <w:pStyle w:val="JRCText"/>
              <w:jc w:val="center"/>
              <w:rPr>
                <w:rFonts w:ascii="Times New Roman" w:hAnsi="Times New Roman" w:cs="Times New Roman"/>
                <w:b/>
                <w:noProof/>
                <w:color w:val="000000" w:themeColor="text1"/>
                <w:sz w:val="24"/>
                <w:szCs w:val="24"/>
              </w:rPr>
            </w:pPr>
          </w:p>
        </w:tc>
      </w:tr>
      <w:tr w:rsidR="00A201A1" w:rsidRPr="00BB4F42" w14:paraId="5C1CA330" w14:textId="77777777" w:rsidTr="3F0F1197">
        <w:trPr>
          <w:trHeight w:val="285"/>
        </w:trPr>
        <w:tc>
          <w:tcPr>
            <w:tcW w:w="1225" w:type="pct"/>
            <w:tcBorders>
              <w:top w:val="single" w:sz="6" w:space="0" w:color="auto"/>
              <w:left w:val="single" w:sz="6" w:space="0" w:color="auto"/>
              <w:bottom w:val="single" w:sz="6" w:space="0" w:color="auto"/>
              <w:right w:val="single" w:sz="6" w:space="0" w:color="000000" w:themeColor="text1"/>
            </w:tcBorders>
            <w:vAlign w:val="center"/>
            <w:hideMark/>
          </w:tcPr>
          <w:p w14:paraId="210C0661" w14:textId="5A9669CC"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(recurring)</w:t>
            </w:r>
          </w:p>
        </w:tc>
        <w:tc>
          <w:tcPr>
            <w:tcW w:w="2499" w:type="pct"/>
            <w:gridSpan w:val="2"/>
            <w:tcBorders>
              <w:top w:val="single" w:sz="6" w:space="0" w:color="auto"/>
              <w:left w:val="single" w:sz="6" w:space="0" w:color="000000" w:themeColor="text1"/>
              <w:bottom w:val="single" w:sz="6" w:space="0" w:color="000000" w:themeColor="text1"/>
              <w:right w:val="single" w:sz="6" w:space="0" w:color="000000" w:themeColor="text1"/>
            </w:tcBorders>
            <w:vAlign w:val="center"/>
            <w:hideMark/>
          </w:tcPr>
          <w:p w14:paraId="2009A547" w14:textId="791BAAE8" w:rsidR="00720100" w:rsidRPr="00E71388" w:rsidRDefault="00720100" w:rsidP="00720100">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 xml:space="preserve"> Made in EU requirements in public procurement/ auctions:</w:t>
            </w:r>
          </w:p>
          <w:p w14:paraId="4E186607" w14:textId="53A8A00D"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BESS: ¼ </w:t>
            </w:r>
            <w:r w:rsidR="00D76A07">
              <w:rPr>
                <w:rFonts w:ascii="Times New Roman" w:hAnsi="Times New Roman" w:cs="Times New Roman"/>
                <w:noProof/>
                <w:color w:val="000000" w:themeColor="text1"/>
                <w:sz w:val="24"/>
                <w:szCs w:val="24"/>
              </w:rPr>
              <w:t xml:space="preserve">year </w:t>
            </w:r>
            <w:r w:rsidRPr="00E71388">
              <w:rPr>
                <w:rFonts w:ascii="Times New Roman" w:hAnsi="Times New Roman" w:cs="Times New Roman"/>
                <w:noProof/>
                <w:color w:val="000000" w:themeColor="text1"/>
                <w:sz w:val="24"/>
                <w:szCs w:val="24"/>
              </w:rPr>
              <w:t>FTE</w:t>
            </w:r>
          </w:p>
          <w:p w14:paraId="190EFF79" w14:textId="3C0B9199"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Total cost: EUR 412</w:t>
            </w:r>
            <w:r w:rsidR="00B8591D">
              <w:rPr>
                <w:rFonts w:ascii="Times New Roman" w:hAnsi="Times New Roman" w:cs="Times New Roman"/>
                <w:noProof/>
                <w:color w:val="000000" w:themeColor="text1"/>
                <w:sz w:val="24"/>
                <w:szCs w:val="24"/>
              </w:rPr>
              <w:t xml:space="preserve"> </w:t>
            </w:r>
            <w:r w:rsidRPr="00E71388">
              <w:rPr>
                <w:rFonts w:ascii="Times New Roman" w:hAnsi="Times New Roman" w:cs="Times New Roman"/>
                <w:noProof/>
                <w:color w:val="000000" w:themeColor="text1"/>
                <w:sz w:val="24"/>
                <w:szCs w:val="24"/>
              </w:rPr>
              <w:t>776</w:t>
            </w:r>
          </w:p>
        </w:tc>
        <w:tc>
          <w:tcPr>
            <w:tcW w:w="1275" w:type="pct"/>
            <w:tcBorders>
              <w:top w:val="single" w:sz="6" w:space="0" w:color="auto"/>
              <w:left w:val="single" w:sz="6" w:space="0" w:color="000000" w:themeColor="text1"/>
              <w:bottom w:val="single" w:sz="6" w:space="0" w:color="auto"/>
              <w:right w:val="single" w:sz="6" w:space="0" w:color="auto"/>
            </w:tcBorders>
            <w:vAlign w:val="center"/>
            <w:hideMark/>
          </w:tcPr>
          <w:p w14:paraId="79E08226" w14:textId="256B3068" w:rsidR="00720100" w:rsidRPr="00E71388" w:rsidRDefault="00720100" w:rsidP="00720100">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 xml:space="preserve"> Made in EU requirements in public procurement/auctions:</w:t>
            </w:r>
          </w:p>
          <w:p w14:paraId="0CD1FFA4" w14:textId="6F473EB1"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BESS: ¼</w:t>
            </w:r>
            <w:r w:rsidR="00D76A07">
              <w:rPr>
                <w:rFonts w:ascii="Times New Roman" w:hAnsi="Times New Roman" w:cs="Times New Roman"/>
                <w:noProof/>
                <w:color w:val="000000" w:themeColor="text1"/>
                <w:sz w:val="24"/>
                <w:szCs w:val="24"/>
              </w:rPr>
              <w:t xml:space="preserve"> year</w:t>
            </w:r>
            <w:r w:rsidRPr="00E71388">
              <w:rPr>
                <w:rFonts w:ascii="Times New Roman" w:hAnsi="Times New Roman" w:cs="Times New Roman"/>
                <w:noProof/>
                <w:color w:val="000000" w:themeColor="text1"/>
                <w:sz w:val="24"/>
                <w:szCs w:val="24"/>
              </w:rPr>
              <w:t xml:space="preserve"> FTE</w:t>
            </w:r>
          </w:p>
          <w:p w14:paraId="6F48EF99" w14:textId="0514D0BD"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Total cost: EUR 412</w:t>
            </w:r>
            <w:r w:rsidR="00B8591D">
              <w:rPr>
                <w:rFonts w:ascii="Times New Roman" w:hAnsi="Times New Roman" w:cs="Times New Roman"/>
                <w:noProof/>
                <w:color w:val="000000" w:themeColor="text1"/>
                <w:sz w:val="24"/>
                <w:szCs w:val="24"/>
              </w:rPr>
              <w:t xml:space="preserve"> </w:t>
            </w:r>
            <w:r w:rsidRPr="00E71388">
              <w:rPr>
                <w:rFonts w:ascii="Times New Roman" w:hAnsi="Times New Roman" w:cs="Times New Roman"/>
                <w:noProof/>
                <w:color w:val="000000" w:themeColor="text1"/>
                <w:sz w:val="24"/>
                <w:szCs w:val="24"/>
              </w:rPr>
              <w:t>776</w:t>
            </w:r>
          </w:p>
        </w:tc>
      </w:tr>
      <w:tr w:rsidR="00A201A1" w:rsidRPr="00BB4F42" w14:paraId="385278A9" w14:textId="77777777" w:rsidTr="3F0F1197">
        <w:trPr>
          <w:trHeight w:val="285"/>
        </w:trPr>
        <w:tc>
          <w:tcPr>
            <w:tcW w:w="12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0F3BAE1" w14:textId="447570BD"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FFFFFF" w:themeColor="background1"/>
                <w:sz w:val="24"/>
                <w:szCs w:val="24"/>
              </w:rPr>
              <w:t>Businesses</w:t>
            </w:r>
          </w:p>
        </w:tc>
        <w:tc>
          <w:tcPr>
            <w:tcW w:w="12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15546F3" w14:textId="292FCA64" w:rsidR="00434FB4" w:rsidRPr="00E71388" w:rsidRDefault="00434FB4" w:rsidP="00434FB4">
            <w:pPr>
              <w:pStyle w:val="JRCText"/>
              <w:jc w:val="center"/>
              <w:rPr>
                <w:rFonts w:ascii="Times New Roman" w:hAnsi="Times New Roman" w:cs="Times New Roman"/>
                <w:b/>
                <w:noProof/>
                <w:color w:val="000000" w:themeColor="text1"/>
                <w:sz w:val="24"/>
                <w:szCs w:val="24"/>
              </w:rPr>
            </w:pPr>
          </w:p>
        </w:tc>
        <w:tc>
          <w:tcPr>
            <w:tcW w:w="127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3F8F7965" w14:textId="29741C5F" w:rsidR="00434FB4" w:rsidRPr="00E71388" w:rsidRDefault="00434FB4" w:rsidP="00434FB4">
            <w:pPr>
              <w:pStyle w:val="JRCText"/>
              <w:jc w:val="center"/>
              <w:rPr>
                <w:rFonts w:ascii="Times New Roman" w:hAnsi="Times New Roman" w:cs="Times New Roman"/>
                <w:noProof/>
                <w:color w:val="000000" w:themeColor="text1"/>
                <w:sz w:val="24"/>
                <w:szCs w:val="24"/>
              </w:rPr>
            </w:pPr>
          </w:p>
        </w:tc>
        <w:tc>
          <w:tcPr>
            <w:tcW w:w="127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E30FC78" w14:textId="66712B45" w:rsidR="00434FB4" w:rsidRPr="00E71388" w:rsidRDefault="00434FB4" w:rsidP="00434FB4">
            <w:pPr>
              <w:pStyle w:val="JRCText"/>
              <w:jc w:val="center"/>
              <w:rPr>
                <w:rFonts w:ascii="Times New Roman" w:hAnsi="Times New Roman" w:cs="Times New Roman"/>
                <w:noProof/>
                <w:color w:val="000000" w:themeColor="text1"/>
                <w:sz w:val="24"/>
                <w:szCs w:val="24"/>
              </w:rPr>
            </w:pPr>
          </w:p>
        </w:tc>
      </w:tr>
      <w:tr w:rsidR="00A201A1" w:rsidRPr="00BB4F42" w14:paraId="463CC17B" w14:textId="77777777" w:rsidTr="3F0F1197">
        <w:trPr>
          <w:trHeight w:val="285"/>
        </w:trPr>
        <w:tc>
          <w:tcPr>
            <w:tcW w:w="1225" w:type="pct"/>
            <w:tcBorders>
              <w:top w:val="single" w:sz="6" w:space="0" w:color="auto"/>
              <w:left w:val="single" w:sz="6" w:space="0" w:color="auto"/>
              <w:bottom w:val="single" w:sz="6" w:space="0" w:color="auto"/>
              <w:right w:val="single" w:sz="6" w:space="0" w:color="000000" w:themeColor="text1"/>
            </w:tcBorders>
            <w:vAlign w:val="center"/>
            <w:hideMark/>
          </w:tcPr>
          <w:p w14:paraId="1C158922" w14:textId="1E95F034" w:rsidR="00434FB4" w:rsidRPr="00E71388" w:rsidRDefault="00434FB4" w:rsidP="00434FB4">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(recurring)</w:t>
            </w:r>
          </w:p>
        </w:tc>
        <w:tc>
          <w:tcPr>
            <w:tcW w:w="2499" w:type="pct"/>
            <w:gridSpan w:val="2"/>
            <w:tcBorders>
              <w:top w:val="single" w:sz="6" w:space="0" w:color="auto"/>
              <w:left w:val="single" w:sz="6" w:space="0" w:color="000000" w:themeColor="text1"/>
              <w:bottom w:val="single" w:sz="6" w:space="0" w:color="000000" w:themeColor="text1"/>
              <w:right w:val="single" w:sz="6" w:space="0" w:color="000000" w:themeColor="text1"/>
            </w:tcBorders>
            <w:vAlign w:val="center"/>
            <w:hideMark/>
          </w:tcPr>
          <w:p w14:paraId="348D1246" w14:textId="6A4B9B5C" w:rsidR="007E175A" w:rsidRPr="00E71388" w:rsidRDefault="007E175A" w:rsidP="007E175A">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Made in EU requirements:</w:t>
            </w:r>
          </w:p>
          <w:p w14:paraId="435392D4" w14:textId="54358095"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BESS: </w:t>
            </w:r>
            <w:r w:rsidR="00BB1E8F">
              <w:rPr>
                <w:rFonts w:ascii="Times New Roman" w:hAnsi="Times New Roman" w:cs="Times New Roman"/>
                <w:noProof/>
                <w:color w:val="000000" w:themeColor="text1"/>
                <w:sz w:val="24"/>
                <w:szCs w:val="24"/>
              </w:rPr>
              <w:t xml:space="preserve">½ </w:t>
            </w:r>
            <w:r w:rsidRPr="00E71388">
              <w:rPr>
                <w:rFonts w:ascii="Times New Roman" w:hAnsi="Times New Roman" w:cs="Times New Roman"/>
                <w:noProof/>
                <w:color w:val="000000" w:themeColor="text1"/>
                <w:sz w:val="24"/>
                <w:szCs w:val="24"/>
              </w:rPr>
              <w:t>week FTE</w:t>
            </w:r>
          </w:p>
          <w:p w14:paraId="16BD5C84" w14:textId="367EC7F4" w:rsidR="00434FB4" w:rsidRPr="00E71388" w:rsidRDefault="5573106A"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lastRenderedPageBreak/>
              <w:t>N</w:t>
            </w:r>
            <w:r w:rsidR="00BB1E8F">
              <w:rPr>
                <w:rFonts w:ascii="Times New Roman" w:hAnsi="Times New Roman" w:cs="Times New Roman"/>
                <w:noProof/>
                <w:color w:val="000000" w:themeColor="text1"/>
                <w:sz w:val="24"/>
                <w:szCs w:val="24"/>
              </w:rPr>
              <w:t>o. of</w:t>
            </w:r>
            <w:r w:rsidRPr="00E71388">
              <w:rPr>
                <w:rFonts w:ascii="Times New Roman" w:hAnsi="Times New Roman" w:cs="Times New Roman"/>
                <w:noProof/>
                <w:color w:val="000000" w:themeColor="text1"/>
                <w:sz w:val="24"/>
                <w:szCs w:val="24"/>
              </w:rPr>
              <w:t xml:space="preserve"> companies affected: 4 (20</w:t>
            </w:r>
            <w:r w:rsidR="00DE12E7">
              <w:rPr>
                <w:rFonts w:ascii="Times New Roman" w:hAnsi="Times New Roman" w:cs="Times New Roman"/>
                <w:noProof/>
                <w:color w:val="000000" w:themeColor="text1"/>
                <w:sz w:val="24"/>
                <w:szCs w:val="24"/>
              </w:rPr>
              <w:t xml:space="preserve"> </w:t>
            </w:r>
            <w:r w:rsidRPr="00E71388">
              <w:rPr>
                <w:rFonts w:ascii="Times New Roman" w:hAnsi="Times New Roman" w:cs="Times New Roman"/>
                <w:noProof/>
                <w:color w:val="000000" w:themeColor="text1"/>
                <w:sz w:val="24"/>
                <w:szCs w:val="24"/>
              </w:rPr>
              <w:t>BESS manufactures</w:t>
            </w:r>
            <w:r w:rsidR="00AD5C08" w:rsidRPr="002837F7">
              <w:rPr>
                <w:rStyle w:val="FootnoteReference"/>
                <w:rFonts w:ascii="Times New Roman" w:hAnsi="Times New Roman" w:cs="Times New Roman"/>
                <w:noProof/>
                <w:color w:val="000000" w:themeColor="text1"/>
                <w:sz w:val="24"/>
                <w:szCs w:val="24"/>
              </w:rPr>
              <w:footnoteReference w:id="272"/>
            </w:r>
            <w:r w:rsidRPr="00E71388">
              <w:rPr>
                <w:rFonts w:ascii="Times New Roman" w:hAnsi="Times New Roman" w:cs="Times New Roman"/>
                <w:noProof/>
                <w:color w:val="000000" w:themeColor="text1"/>
                <w:sz w:val="24"/>
                <w:szCs w:val="24"/>
              </w:rPr>
              <w:t xml:space="preserve"> x 18%)</w:t>
            </w:r>
          </w:p>
          <w:p w14:paraId="7992FF1A" w14:textId="6B66677F"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Total cost: EUR </w:t>
            </w:r>
            <w:r w:rsidR="007C4B37" w:rsidRPr="00D11017">
              <w:rPr>
                <w:rFonts w:ascii="Times New Roman" w:eastAsia="Times New Roman" w:hAnsi="Times New Roman" w:cs="Times New Roman"/>
                <w:noProof/>
                <w:color w:val="000000" w:themeColor="text1"/>
                <w:sz w:val="24"/>
                <w:szCs w:val="24"/>
              </w:rPr>
              <w:t>2</w:t>
            </w:r>
            <w:r w:rsidR="00D7393A">
              <w:rPr>
                <w:rFonts w:ascii="Times New Roman" w:eastAsia="Times New Roman" w:hAnsi="Times New Roman" w:cs="Times New Roman"/>
                <w:noProof/>
                <w:color w:val="000000" w:themeColor="text1"/>
                <w:sz w:val="24"/>
                <w:szCs w:val="24"/>
              </w:rPr>
              <w:t xml:space="preserve"> </w:t>
            </w:r>
            <w:r w:rsidR="007C4B37" w:rsidRPr="00D11017">
              <w:rPr>
                <w:rFonts w:ascii="Times New Roman" w:eastAsia="Times New Roman" w:hAnsi="Times New Roman" w:cs="Times New Roman"/>
                <w:noProof/>
                <w:color w:val="000000" w:themeColor="text1"/>
                <w:sz w:val="24"/>
                <w:szCs w:val="24"/>
              </w:rPr>
              <w:t>117</w:t>
            </w:r>
          </w:p>
        </w:tc>
        <w:tc>
          <w:tcPr>
            <w:tcW w:w="1275" w:type="pct"/>
            <w:tcBorders>
              <w:top w:val="single" w:sz="6" w:space="0" w:color="auto"/>
              <w:left w:val="single" w:sz="6" w:space="0" w:color="000000" w:themeColor="text1"/>
              <w:bottom w:val="single" w:sz="6" w:space="0" w:color="auto"/>
              <w:right w:val="single" w:sz="6" w:space="0" w:color="auto"/>
            </w:tcBorders>
            <w:vAlign w:val="center"/>
            <w:hideMark/>
          </w:tcPr>
          <w:p w14:paraId="3051A78D" w14:textId="66A918B6" w:rsidR="007E175A" w:rsidRPr="00E71388" w:rsidRDefault="007E175A" w:rsidP="007E175A">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lastRenderedPageBreak/>
              <w:t>Made in EU requirements:</w:t>
            </w:r>
          </w:p>
          <w:p w14:paraId="2F052DD7" w14:textId="6AF5529E"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BESS: </w:t>
            </w:r>
            <w:r w:rsidR="00BB1E8F">
              <w:rPr>
                <w:rFonts w:ascii="Times New Roman" w:hAnsi="Times New Roman" w:cs="Times New Roman"/>
                <w:noProof/>
                <w:color w:val="000000" w:themeColor="text1"/>
                <w:sz w:val="24"/>
                <w:szCs w:val="24"/>
              </w:rPr>
              <w:t xml:space="preserve">½ </w:t>
            </w:r>
            <w:r w:rsidRPr="00E71388">
              <w:rPr>
                <w:rFonts w:ascii="Times New Roman" w:hAnsi="Times New Roman" w:cs="Times New Roman"/>
                <w:noProof/>
                <w:color w:val="000000" w:themeColor="text1"/>
                <w:sz w:val="24"/>
                <w:szCs w:val="24"/>
              </w:rPr>
              <w:t>week FTE</w:t>
            </w:r>
          </w:p>
          <w:p w14:paraId="7C372DE2" w14:textId="6BAAA68E"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lastRenderedPageBreak/>
              <w:t>N</w:t>
            </w:r>
            <w:r w:rsidR="00BB1E8F">
              <w:rPr>
                <w:rFonts w:ascii="Times New Roman" w:hAnsi="Times New Roman" w:cs="Times New Roman"/>
                <w:noProof/>
                <w:color w:val="000000" w:themeColor="text1"/>
                <w:sz w:val="24"/>
                <w:szCs w:val="24"/>
              </w:rPr>
              <w:t>o. of</w:t>
            </w:r>
            <w:r w:rsidRPr="00E71388">
              <w:rPr>
                <w:rFonts w:ascii="Times New Roman" w:hAnsi="Times New Roman" w:cs="Times New Roman"/>
                <w:noProof/>
                <w:color w:val="000000" w:themeColor="text1"/>
                <w:sz w:val="24"/>
                <w:szCs w:val="24"/>
              </w:rPr>
              <w:t xml:space="preserve"> companies affected: 20 BESS manufactures</w:t>
            </w:r>
          </w:p>
          <w:p w14:paraId="6BE834C1" w14:textId="55911530" w:rsidR="00434FB4" w:rsidRPr="00E71388" w:rsidRDefault="00434FB4" w:rsidP="00434FB4">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Total cost: EUR </w:t>
            </w:r>
            <w:r w:rsidR="00825C61" w:rsidRPr="00E71388">
              <w:rPr>
                <w:rFonts w:ascii="Times New Roman" w:hAnsi="Times New Roman" w:cs="Times New Roman"/>
                <w:noProof/>
                <w:color w:val="000000" w:themeColor="text1"/>
                <w:sz w:val="24"/>
                <w:szCs w:val="24"/>
              </w:rPr>
              <w:t>11</w:t>
            </w:r>
            <w:r w:rsidR="00B8591D">
              <w:rPr>
                <w:rFonts w:ascii="Times New Roman" w:hAnsi="Times New Roman" w:cs="Times New Roman"/>
                <w:noProof/>
                <w:color w:val="000000" w:themeColor="text1"/>
                <w:sz w:val="24"/>
                <w:szCs w:val="24"/>
              </w:rPr>
              <w:t xml:space="preserve"> </w:t>
            </w:r>
            <w:r w:rsidR="00825C61" w:rsidRPr="00E71388">
              <w:rPr>
                <w:rFonts w:ascii="Times New Roman" w:hAnsi="Times New Roman" w:cs="Times New Roman"/>
                <w:noProof/>
                <w:color w:val="000000" w:themeColor="text1"/>
                <w:sz w:val="24"/>
                <w:szCs w:val="24"/>
              </w:rPr>
              <w:t>760</w:t>
            </w:r>
          </w:p>
        </w:tc>
      </w:tr>
    </w:tbl>
    <w:p w14:paraId="4316FCFE" w14:textId="77777777" w:rsidR="00B03903" w:rsidRPr="00F261DB" w:rsidRDefault="00B03903" w:rsidP="00A11E4D">
      <w:pPr>
        <w:pStyle w:val="JRCText"/>
        <w:spacing w:after="0" w:line="240" w:lineRule="auto"/>
        <w:jc w:val="both"/>
        <w:rPr>
          <w:rFonts w:ascii="Times New Roman" w:eastAsia="Times New Roman" w:hAnsi="Times New Roman" w:cs="Times New Roman"/>
          <w:b/>
          <w:noProof/>
          <w:color w:val="000000" w:themeColor="text1"/>
          <w:sz w:val="24"/>
          <w:szCs w:val="24"/>
        </w:rPr>
      </w:pPr>
    </w:p>
    <w:p w14:paraId="05FACD6C" w14:textId="6227DB99" w:rsidR="00616D7C" w:rsidRPr="00616D7C" w:rsidRDefault="00616D7C" w:rsidP="00F85380">
      <w:pPr>
        <w:spacing w:after="120"/>
        <w:rPr>
          <w:rFonts w:eastAsia="Times New Roman" w:cs="Times New Roman"/>
          <w:b/>
          <w:bCs/>
          <w:noProof/>
          <w:color w:val="000000" w:themeColor="text1"/>
          <w:szCs w:val="24"/>
        </w:rPr>
      </w:pPr>
      <w:r w:rsidRPr="00616D7C">
        <w:rPr>
          <w:rFonts w:eastAsia="Times New Roman" w:cs="Times New Roman"/>
          <w:b/>
          <w:bCs/>
          <w:noProof/>
          <w:color w:val="000000" w:themeColor="text1"/>
          <w:szCs w:val="24"/>
        </w:rPr>
        <w:t>LEAD_SOL</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9"/>
        <w:gridCol w:w="2350"/>
        <w:gridCol w:w="2365"/>
        <w:gridCol w:w="2418"/>
      </w:tblGrid>
      <w:tr w:rsidR="008E1AEB" w:rsidRPr="00BB4F42" w14:paraId="4B5BF722" w14:textId="77777777" w:rsidTr="00853C60">
        <w:trPr>
          <w:trHeight w:val="218"/>
          <w:tblHeader/>
        </w:trPr>
        <w:tc>
          <w:tcPr>
            <w:tcW w:w="1239" w:type="pct"/>
            <w:tcBorders>
              <w:top w:val="single" w:sz="6" w:space="0" w:color="auto"/>
              <w:left w:val="single" w:sz="6" w:space="0" w:color="auto"/>
              <w:bottom w:val="single" w:sz="6" w:space="0" w:color="auto"/>
              <w:right w:val="single" w:sz="6" w:space="0" w:color="auto"/>
            </w:tcBorders>
            <w:vAlign w:val="center"/>
            <w:hideMark/>
          </w:tcPr>
          <w:p w14:paraId="4C8D0143" w14:textId="2847C1C3" w:rsidR="00857BD2" w:rsidRPr="00E71388" w:rsidRDefault="00A26B91"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LEAD_SOL</w:t>
            </w:r>
          </w:p>
        </w:tc>
        <w:tc>
          <w:tcPr>
            <w:tcW w:w="3761" w:type="pct"/>
            <w:gridSpan w:val="3"/>
            <w:tcBorders>
              <w:top w:val="single" w:sz="6" w:space="0" w:color="auto"/>
              <w:left w:val="single" w:sz="6" w:space="0" w:color="auto"/>
              <w:bottom w:val="single" w:sz="6" w:space="0" w:color="auto"/>
              <w:right w:val="single" w:sz="6" w:space="0" w:color="auto"/>
            </w:tcBorders>
            <w:vAlign w:val="center"/>
            <w:hideMark/>
          </w:tcPr>
          <w:p w14:paraId="58763F01" w14:textId="56C6A186" w:rsidR="00857BD2" w:rsidRPr="00E71388" w:rsidRDefault="00857BD2"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Difference to the baseline</w:t>
            </w:r>
          </w:p>
        </w:tc>
      </w:tr>
      <w:tr w:rsidR="008E1AEB" w:rsidRPr="00BB4F42" w14:paraId="77E6C0FF" w14:textId="77777777" w:rsidTr="00853C60">
        <w:trPr>
          <w:trHeight w:val="218"/>
          <w:tblHeader/>
        </w:trPr>
        <w:tc>
          <w:tcPr>
            <w:tcW w:w="1239" w:type="pct"/>
            <w:tcBorders>
              <w:top w:val="single" w:sz="6" w:space="0" w:color="auto"/>
              <w:left w:val="single" w:sz="6" w:space="0" w:color="auto"/>
              <w:bottom w:val="single" w:sz="6" w:space="0" w:color="auto"/>
              <w:right w:val="single" w:sz="6" w:space="0" w:color="auto"/>
            </w:tcBorders>
            <w:vAlign w:val="center"/>
            <w:hideMark/>
          </w:tcPr>
          <w:p w14:paraId="2224B12A" w14:textId="1D2F6DC5" w:rsidR="00857BD2" w:rsidRPr="00E71388" w:rsidRDefault="00857BD2" w:rsidP="0021683E">
            <w:pPr>
              <w:pStyle w:val="JRCText"/>
              <w:jc w:val="center"/>
              <w:rPr>
                <w:rFonts w:ascii="Times New Roman" w:hAnsi="Times New Roman" w:cs="Times New Roman"/>
                <w:b/>
                <w:noProof/>
                <w:color w:val="FFFFFF" w:themeColor="background1"/>
                <w:sz w:val="24"/>
                <w:szCs w:val="24"/>
              </w:rPr>
            </w:pPr>
          </w:p>
        </w:tc>
        <w:tc>
          <w:tcPr>
            <w:tcW w:w="1239" w:type="pct"/>
            <w:tcBorders>
              <w:top w:val="single" w:sz="6" w:space="0" w:color="auto"/>
              <w:left w:val="single" w:sz="6" w:space="0" w:color="auto"/>
              <w:bottom w:val="single" w:sz="6" w:space="0" w:color="auto"/>
              <w:right w:val="single" w:sz="6" w:space="0" w:color="auto"/>
            </w:tcBorders>
            <w:vAlign w:val="center"/>
            <w:hideMark/>
          </w:tcPr>
          <w:p w14:paraId="74AD5B9E" w14:textId="3F92DB1C" w:rsidR="00857BD2" w:rsidRPr="00E71388" w:rsidRDefault="00857BD2"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PO1</w:t>
            </w:r>
          </w:p>
        </w:tc>
        <w:tc>
          <w:tcPr>
            <w:tcW w:w="1247" w:type="pct"/>
            <w:tcBorders>
              <w:top w:val="single" w:sz="6" w:space="0" w:color="auto"/>
              <w:left w:val="single" w:sz="6" w:space="0" w:color="auto"/>
              <w:bottom w:val="single" w:sz="6" w:space="0" w:color="auto"/>
              <w:right w:val="single" w:sz="6" w:space="0" w:color="auto"/>
            </w:tcBorders>
            <w:vAlign w:val="center"/>
            <w:hideMark/>
          </w:tcPr>
          <w:p w14:paraId="39A0A18D" w14:textId="7FEC9204" w:rsidR="00857BD2" w:rsidRPr="00E71388" w:rsidRDefault="00857BD2"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PO2</w:t>
            </w:r>
          </w:p>
        </w:tc>
        <w:tc>
          <w:tcPr>
            <w:tcW w:w="1275" w:type="pct"/>
            <w:tcBorders>
              <w:top w:val="single" w:sz="6" w:space="0" w:color="auto"/>
              <w:left w:val="single" w:sz="6" w:space="0" w:color="auto"/>
              <w:bottom w:val="single" w:sz="6" w:space="0" w:color="auto"/>
              <w:right w:val="single" w:sz="6" w:space="0" w:color="auto"/>
            </w:tcBorders>
            <w:vAlign w:val="center"/>
            <w:hideMark/>
          </w:tcPr>
          <w:p w14:paraId="62628074" w14:textId="31AAA348" w:rsidR="00857BD2" w:rsidRPr="00E71388" w:rsidRDefault="00857BD2"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PO3</w:t>
            </w:r>
          </w:p>
        </w:tc>
      </w:tr>
      <w:tr w:rsidR="00A201A1" w:rsidRPr="00BB4F42" w14:paraId="45AE2350" w14:textId="77777777" w:rsidTr="3F0F1197">
        <w:trPr>
          <w:trHeight w:val="218"/>
        </w:trPr>
        <w:tc>
          <w:tcPr>
            <w:tcW w:w="1239"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A86F530" w14:textId="385FC2AD" w:rsidR="00857BD2" w:rsidRPr="00E71388" w:rsidRDefault="00857BD2" w:rsidP="515F0D75">
            <w:pPr>
              <w:pStyle w:val="JRCText"/>
              <w:jc w:val="center"/>
              <w:rPr>
                <w:rFonts w:ascii="Times New Roman" w:eastAsia="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 xml:space="preserve">Member States </w:t>
            </w:r>
          </w:p>
        </w:tc>
        <w:tc>
          <w:tcPr>
            <w:tcW w:w="1239"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6792AB2" w14:textId="0A9FC212" w:rsidR="00857BD2" w:rsidRPr="00E71388" w:rsidRDefault="00857BD2" w:rsidP="0021683E">
            <w:pPr>
              <w:pStyle w:val="JRCText"/>
              <w:jc w:val="center"/>
              <w:rPr>
                <w:rFonts w:ascii="Times New Roman" w:hAnsi="Times New Roman" w:cs="Times New Roman"/>
                <w:b/>
                <w:noProof/>
                <w:color w:val="000000" w:themeColor="text1"/>
                <w:sz w:val="24"/>
                <w:szCs w:val="24"/>
              </w:rPr>
            </w:pPr>
          </w:p>
        </w:tc>
        <w:tc>
          <w:tcPr>
            <w:tcW w:w="1247"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167DCF6" w14:textId="2DE4F0CD" w:rsidR="00857BD2" w:rsidRPr="00E71388" w:rsidRDefault="00857BD2" w:rsidP="0021683E">
            <w:pPr>
              <w:pStyle w:val="JRCText"/>
              <w:jc w:val="center"/>
              <w:rPr>
                <w:rFonts w:ascii="Times New Roman" w:hAnsi="Times New Roman" w:cs="Times New Roman"/>
                <w:b/>
                <w:noProof/>
                <w:color w:val="000000" w:themeColor="text1"/>
                <w:sz w:val="24"/>
                <w:szCs w:val="24"/>
              </w:rPr>
            </w:pPr>
          </w:p>
        </w:tc>
        <w:tc>
          <w:tcPr>
            <w:tcW w:w="127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8948B3C" w14:textId="42F6AE28" w:rsidR="00857BD2" w:rsidRPr="00E71388" w:rsidRDefault="00857BD2" w:rsidP="0021683E">
            <w:pPr>
              <w:pStyle w:val="JRCText"/>
              <w:jc w:val="center"/>
              <w:rPr>
                <w:rFonts w:ascii="Times New Roman" w:hAnsi="Times New Roman" w:cs="Times New Roman"/>
                <w:b/>
                <w:noProof/>
                <w:color w:val="000000" w:themeColor="text1"/>
                <w:sz w:val="24"/>
                <w:szCs w:val="24"/>
              </w:rPr>
            </w:pPr>
          </w:p>
        </w:tc>
      </w:tr>
      <w:tr w:rsidR="008E1AEB" w:rsidRPr="00BB4F42" w14:paraId="064DCFE8" w14:textId="77777777" w:rsidTr="3F0F1197">
        <w:trPr>
          <w:trHeight w:val="218"/>
        </w:trPr>
        <w:tc>
          <w:tcPr>
            <w:tcW w:w="1239" w:type="pct"/>
            <w:tcBorders>
              <w:top w:val="single" w:sz="6" w:space="0" w:color="auto"/>
              <w:left w:val="single" w:sz="6" w:space="0" w:color="auto"/>
              <w:bottom w:val="single" w:sz="6" w:space="0" w:color="auto"/>
              <w:right w:val="single" w:sz="6" w:space="0" w:color="auto"/>
            </w:tcBorders>
            <w:vAlign w:val="center"/>
            <w:hideMark/>
          </w:tcPr>
          <w:p w14:paraId="22613043" w14:textId="0C840B87" w:rsidR="00857BD2" w:rsidRPr="00E71388" w:rsidRDefault="00857BD2"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(recurring)</w:t>
            </w:r>
          </w:p>
        </w:tc>
        <w:tc>
          <w:tcPr>
            <w:tcW w:w="2486" w:type="pct"/>
            <w:gridSpan w:val="2"/>
            <w:tcBorders>
              <w:top w:val="single" w:sz="6" w:space="0" w:color="auto"/>
              <w:left w:val="single" w:sz="6" w:space="0" w:color="auto"/>
              <w:bottom w:val="single" w:sz="6" w:space="0" w:color="auto"/>
              <w:right w:val="single" w:sz="6" w:space="0" w:color="auto"/>
            </w:tcBorders>
            <w:vAlign w:val="center"/>
            <w:hideMark/>
          </w:tcPr>
          <w:p w14:paraId="42D784C7" w14:textId="2079B28E" w:rsidR="00D2068E" w:rsidRPr="00E71388" w:rsidRDefault="00D2068E" w:rsidP="00D2068E">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Made in EU requirements in public procurement/auctions:</w:t>
            </w:r>
          </w:p>
          <w:p w14:paraId="65C1E87A" w14:textId="357314EC" w:rsidR="00857BD2" w:rsidRPr="00E71388" w:rsidRDefault="7847A0E9" w:rsidP="0021683E">
            <w:pPr>
              <w:pStyle w:val="JRCText"/>
              <w:jc w:val="center"/>
              <w:rPr>
                <w:rFonts w:ascii="Times New Roman" w:eastAsia="Times New Roman" w:hAnsi="Times New Roman" w:cs="Times New Roman"/>
                <w:noProof/>
                <w:color w:val="000000" w:themeColor="text1"/>
                <w:sz w:val="24"/>
                <w:szCs w:val="24"/>
              </w:rPr>
            </w:pPr>
            <w:r w:rsidRPr="1A2A8689">
              <w:rPr>
                <w:rFonts w:ascii="Times New Roman" w:eastAsia="Times New Roman" w:hAnsi="Times New Roman" w:cs="Times New Roman"/>
                <w:noProof/>
                <w:color w:val="000000" w:themeColor="text1"/>
                <w:sz w:val="24"/>
                <w:szCs w:val="24"/>
              </w:rPr>
              <w:t xml:space="preserve">1/2 </w:t>
            </w:r>
            <w:r w:rsidR="003D6B08">
              <w:rPr>
                <w:rFonts w:ascii="Times New Roman" w:eastAsia="Times New Roman" w:hAnsi="Times New Roman" w:cs="Times New Roman"/>
                <w:noProof/>
                <w:color w:val="000000" w:themeColor="text1"/>
                <w:sz w:val="24"/>
                <w:szCs w:val="24"/>
              </w:rPr>
              <w:t xml:space="preserve">year </w:t>
            </w:r>
            <w:r w:rsidRPr="1A2A8689">
              <w:rPr>
                <w:rFonts w:ascii="Times New Roman" w:eastAsia="Times New Roman" w:hAnsi="Times New Roman" w:cs="Times New Roman"/>
                <w:noProof/>
                <w:color w:val="000000" w:themeColor="text1"/>
                <w:sz w:val="24"/>
                <w:szCs w:val="24"/>
              </w:rPr>
              <w:t>FTEs</w:t>
            </w:r>
            <w:r w:rsidR="04413A10" w:rsidRPr="1A2A8689">
              <w:rPr>
                <w:rFonts w:ascii="Times New Roman" w:eastAsia="Times New Roman" w:hAnsi="Times New Roman" w:cs="Times New Roman"/>
                <w:noProof/>
                <w:color w:val="000000" w:themeColor="text1"/>
                <w:sz w:val="24"/>
                <w:szCs w:val="24"/>
              </w:rPr>
              <w:t xml:space="preserve"> x</w:t>
            </w:r>
            <w:r w:rsidR="1E3F50B2" w:rsidRPr="1A2A8689">
              <w:rPr>
                <w:rFonts w:ascii="Times New Roman" w:eastAsia="Times New Roman" w:hAnsi="Times New Roman" w:cs="Times New Roman"/>
                <w:noProof/>
                <w:color w:val="000000" w:themeColor="text1"/>
                <w:sz w:val="24"/>
                <w:szCs w:val="24"/>
              </w:rPr>
              <w:t xml:space="preserve"> </w:t>
            </w:r>
            <w:r w:rsidR="04413A10" w:rsidRPr="1A2A8689">
              <w:rPr>
                <w:rFonts w:ascii="Times New Roman" w:eastAsia="Times New Roman" w:hAnsi="Times New Roman" w:cs="Times New Roman"/>
                <w:noProof/>
                <w:color w:val="000000" w:themeColor="text1"/>
                <w:sz w:val="24"/>
                <w:szCs w:val="24"/>
              </w:rPr>
              <w:t>27</w:t>
            </w:r>
            <w:r w:rsidR="464FF7E6" w:rsidRPr="1A2A8689">
              <w:rPr>
                <w:rFonts w:ascii="Times New Roman" w:eastAsia="Times New Roman" w:hAnsi="Times New Roman" w:cs="Times New Roman"/>
                <w:noProof/>
                <w:color w:val="000000" w:themeColor="text1"/>
                <w:sz w:val="24"/>
                <w:szCs w:val="24"/>
              </w:rPr>
              <w:t xml:space="preserve"> Member States</w:t>
            </w:r>
          </w:p>
          <w:p w14:paraId="5B0084E8" w14:textId="62604678" w:rsidR="00857BD2" w:rsidRPr="00E71388" w:rsidRDefault="00857BD2"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Total cost: EUR 825</w:t>
            </w:r>
            <w:r w:rsidR="00B114A4">
              <w:rPr>
                <w:rFonts w:ascii="Times New Roman" w:hAnsi="Times New Roman" w:cs="Times New Roman"/>
                <w:noProof/>
                <w:color w:val="000000" w:themeColor="text1"/>
                <w:sz w:val="24"/>
                <w:szCs w:val="24"/>
              </w:rPr>
              <w:t xml:space="preserve"> </w:t>
            </w:r>
            <w:r w:rsidRPr="00E71388">
              <w:rPr>
                <w:rFonts w:ascii="Times New Roman" w:hAnsi="Times New Roman" w:cs="Times New Roman"/>
                <w:noProof/>
                <w:color w:val="000000" w:themeColor="text1"/>
                <w:sz w:val="24"/>
                <w:szCs w:val="24"/>
              </w:rPr>
              <w:t>552</w:t>
            </w:r>
          </w:p>
        </w:tc>
        <w:tc>
          <w:tcPr>
            <w:tcW w:w="1275" w:type="pct"/>
            <w:tcBorders>
              <w:top w:val="single" w:sz="6" w:space="0" w:color="auto"/>
              <w:left w:val="single" w:sz="6" w:space="0" w:color="auto"/>
              <w:bottom w:val="single" w:sz="6" w:space="0" w:color="auto"/>
              <w:right w:val="single" w:sz="6" w:space="0" w:color="auto"/>
            </w:tcBorders>
            <w:vAlign w:val="center"/>
            <w:hideMark/>
          </w:tcPr>
          <w:p w14:paraId="77835586" w14:textId="016C241A" w:rsidR="00D2068E" w:rsidRPr="00E71388" w:rsidRDefault="00D2068E" w:rsidP="00D2068E">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Made in EU requirements in public procurement/auctions:</w:t>
            </w:r>
          </w:p>
          <w:p w14:paraId="6150D708" w14:textId="447942E5" w:rsidR="00857BD2" w:rsidRPr="00E71388" w:rsidRDefault="7847A0E9" w:rsidP="0021683E">
            <w:pPr>
              <w:pStyle w:val="JRCText"/>
              <w:jc w:val="center"/>
              <w:rPr>
                <w:rFonts w:ascii="Times New Roman" w:hAnsi="Times New Roman" w:cs="Times New Roman"/>
                <w:noProof/>
                <w:color w:val="000000" w:themeColor="text1"/>
                <w:sz w:val="24"/>
                <w:szCs w:val="24"/>
              </w:rPr>
            </w:pPr>
            <w:r w:rsidRPr="1A2A8689">
              <w:rPr>
                <w:rFonts w:ascii="Times New Roman" w:hAnsi="Times New Roman" w:cs="Times New Roman"/>
                <w:noProof/>
                <w:color w:val="000000" w:themeColor="text1"/>
                <w:sz w:val="24"/>
                <w:szCs w:val="24"/>
              </w:rPr>
              <w:t xml:space="preserve">1/2 </w:t>
            </w:r>
            <w:r w:rsidR="003D6B08">
              <w:rPr>
                <w:rFonts w:ascii="Times New Roman" w:hAnsi="Times New Roman" w:cs="Times New Roman"/>
                <w:noProof/>
                <w:color w:val="000000" w:themeColor="text1"/>
                <w:sz w:val="24"/>
                <w:szCs w:val="24"/>
              </w:rPr>
              <w:t xml:space="preserve">year </w:t>
            </w:r>
            <w:r w:rsidRPr="1A2A8689">
              <w:rPr>
                <w:rFonts w:ascii="Times New Roman" w:hAnsi="Times New Roman" w:cs="Times New Roman"/>
                <w:noProof/>
                <w:color w:val="000000" w:themeColor="text1"/>
                <w:sz w:val="24"/>
                <w:szCs w:val="24"/>
              </w:rPr>
              <w:t>FTEs</w:t>
            </w:r>
            <w:r w:rsidR="04413A10" w:rsidRPr="1A2A8689">
              <w:rPr>
                <w:rFonts w:ascii="Times New Roman" w:hAnsi="Times New Roman" w:cs="Times New Roman"/>
                <w:noProof/>
                <w:color w:val="000000" w:themeColor="text1"/>
                <w:sz w:val="24"/>
                <w:szCs w:val="24"/>
              </w:rPr>
              <w:t xml:space="preserve"> X27</w:t>
            </w:r>
            <w:r w:rsidR="464FF7E6" w:rsidRPr="1A2A8689">
              <w:rPr>
                <w:rFonts w:ascii="Times New Roman" w:hAnsi="Times New Roman" w:cs="Times New Roman"/>
                <w:noProof/>
                <w:color w:val="000000" w:themeColor="text1"/>
                <w:sz w:val="24"/>
                <w:szCs w:val="24"/>
              </w:rPr>
              <w:t xml:space="preserve"> Member States</w:t>
            </w:r>
          </w:p>
          <w:p w14:paraId="75562EC9" w14:textId="1921B23A" w:rsidR="00857BD2" w:rsidRPr="00E71388" w:rsidRDefault="00857BD2"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Total cost: EUR 825</w:t>
            </w:r>
            <w:r w:rsidR="00B114A4">
              <w:rPr>
                <w:rFonts w:ascii="Times New Roman" w:hAnsi="Times New Roman" w:cs="Times New Roman"/>
                <w:noProof/>
                <w:color w:val="000000" w:themeColor="text1"/>
                <w:sz w:val="24"/>
                <w:szCs w:val="24"/>
              </w:rPr>
              <w:t xml:space="preserve"> </w:t>
            </w:r>
            <w:r w:rsidRPr="00E71388">
              <w:rPr>
                <w:rFonts w:ascii="Times New Roman" w:hAnsi="Times New Roman" w:cs="Times New Roman"/>
                <w:noProof/>
                <w:color w:val="000000" w:themeColor="text1"/>
                <w:sz w:val="24"/>
                <w:szCs w:val="24"/>
              </w:rPr>
              <w:t>552</w:t>
            </w:r>
          </w:p>
        </w:tc>
      </w:tr>
      <w:tr w:rsidR="00A201A1" w:rsidRPr="00BB4F42" w14:paraId="78CCA0DC" w14:textId="77777777" w:rsidTr="3F0F1197">
        <w:trPr>
          <w:trHeight w:val="218"/>
        </w:trPr>
        <w:tc>
          <w:tcPr>
            <w:tcW w:w="1239"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31FFF90" w14:textId="128F1883" w:rsidR="00857BD2" w:rsidRPr="00E71388" w:rsidRDefault="00857BD2"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FFFFFF" w:themeColor="background1"/>
                <w:sz w:val="24"/>
                <w:szCs w:val="24"/>
              </w:rPr>
              <w:t>Businesses</w:t>
            </w:r>
          </w:p>
        </w:tc>
        <w:tc>
          <w:tcPr>
            <w:tcW w:w="1239"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D9C13ED" w14:textId="16AC19A8" w:rsidR="00857BD2" w:rsidRPr="00E71388" w:rsidRDefault="00857BD2" w:rsidP="0021683E">
            <w:pPr>
              <w:pStyle w:val="JRCText"/>
              <w:jc w:val="center"/>
              <w:rPr>
                <w:rFonts w:ascii="Times New Roman" w:hAnsi="Times New Roman" w:cs="Times New Roman"/>
                <w:noProof/>
                <w:color w:val="000000" w:themeColor="text1"/>
                <w:sz w:val="24"/>
                <w:szCs w:val="24"/>
              </w:rPr>
            </w:pPr>
          </w:p>
        </w:tc>
        <w:tc>
          <w:tcPr>
            <w:tcW w:w="1247"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37B5320E" w14:textId="6361011E" w:rsidR="00857BD2" w:rsidRPr="00E71388" w:rsidRDefault="00857BD2" w:rsidP="0021683E">
            <w:pPr>
              <w:pStyle w:val="JRCText"/>
              <w:jc w:val="center"/>
              <w:rPr>
                <w:rFonts w:ascii="Times New Roman" w:hAnsi="Times New Roman" w:cs="Times New Roman"/>
                <w:noProof/>
                <w:color w:val="000000" w:themeColor="text1"/>
                <w:sz w:val="24"/>
                <w:szCs w:val="24"/>
              </w:rPr>
            </w:pPr>
          </w:p>
        </w:tc>
        <w:tc>
          <w:tcPr>
            <w:tcW w:w="127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3D4E1D73" w14:textId="1B74D9DB" w:rsidR="00857BD2" w:rsidRPr="00E71388" w:rsidRDefault="00857BD2" w:rsidP="0021683E">
            <w:pPr>
              <w:pStyle w:val="JRCText"/>
              <w:jc w:val="center"/>
              <w:rPr>
                <w:rFonts w:ascii="Times New Roman" w:hAnsi="Times New Roman" w:cs="Times New Roman"/>
                <w:noProof/>
                <w:color w:val="000000" w:themeColor="text1"/>
                <w:sz w:val="24"/>
                <w:szCs w:val="24"/>
              </w:rPr>
            </w:pPr>
          </w:p>
        </w:tc>
      </w:tr>
      <w:tr w:rsidR="008E1AEB" w:rsidRPr="00BB4F42" w14:paraId="474A9145" w14:textId="77777777" w:rsidTr="3F0F1197">
        <w:trPr>
          <w:trHeight w:val="1053"/>
        </w:trPr>
        <w:tc>
          <w:tcPr>
            <w:tcW w:w="1239" w:type="pct"/>
            <w:tcBorders>
              <w:top w:val="single" w:sz="6" w:space="0" w:color="auto"/>
              <w:left w:val="single" w:sz="6" w:space="0" w:color="auto"/>
              <w:bottom w:val="single" w:sz="6" w:space="0" w:color="auto"/>
              <w:right w:val="single" w:sz="6" w:space="0" w:color="auto"/>
            </w:tcBorders>
            <w:vAlign w:val="center"/>
            <w:hideMark/>
          </w:tcPr>
          <w:p w14:paraId="60A6AC78" w14:textId="6CD666FF" w:rsidR="00857BD2" w:rsidRPr="00E71388" w:rsidRDefault="00857BD2" w:rsidP="0021683E">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(recurring)</w:t>
            </w:r>
          </w:p>
        </w:tc>
        <w:tc>
          <w:tcPr>
            <w:tcW w:w="2486" w:type="pct"/>
            <w:gridSpan w:val="2"/>
            <w:tcBorders>
              <w:top w:val="single" w:sz="6" w:space="0" w:color="auto"/>
              <w:left w:val="single" w:sz="6" w:space="0" w:color="auto"/>
              <w:bottom w:val="single" w:sz="6" w:space="0" w:color="auto"/>
              <w:right w:val="single" w:sz="6" w:space="0" w:color="auto"/>
            </w:tcBorders>
            <w:vAlign w:val="center"/>
            <w:hideMark/>
          </w:tcPr>
          <w:p w14:paraId="44EC30ED" w14:textId="07008AA9" w:rsidR="007E175A" w:rsidRPr="00E71388" w:rsidRDefault="007E175A" w:rsidP="007E175A">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Made in EU requirements:</w:t>
            </w:r>
          </w:p>
          <w:p w14:paraId="5082360F" w14:textId="45D18489" w:rsidR="00857BD2" w:rsidRPr="00E71388" w:rsidRDefault="00857BD2"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1</w:t>
            </w:r>
            <w:r w:rsidR="0099481E" w:rsidRPr="00E71388">
              <w:rPr>
                <w:rFonts w:ascii="Times New Roman" w:hAnsi="Times New Roman" w:cs="Times New Roman"/>
                <w:noProof/>
                <w:color w:val="000000" w:themeColor="text1"/>
                <w:sz w:val="24"/>
                <w:szCs w:val="24"/>
              </w:rPr>
              <w:t>/2</w:t>
            </w:r>
            <w:r w:rsidRPr="00E71388">
              <w:rPr>
                <w:rFonts w:ascii="Times New Roman" w:hAnsi="Times New Roman" w:cs="Times New Roman"/>
                <w:noProof/>
                <w:color w:val="000000" w:themeColor="text1"/>
                <w:sz w:val="24"/>
                <w:szCs w:val="24"/>
              </w:rPr>
              <w:t xml:space="preserve"> week FTE</w:t>
            </w:r>
          </w:p>
          <w:p w14:paraId="51474DD4" w14:textId="35BD41AA" w:rsidR="00857BD2" w:rsidRPr="00E71388" w:rsidRDefault="1057A174"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N</w:t>
            </w:r>
            <w:r w:rsidR="003A7ECF">
              <w:rPr>
                <w:rFonts w:ascii="Times New Roman" w:hAnsi="Times New Roman" w:cs="Times New Roman"/>
                <w:noProof/>
                <w:color w:val="000000" w:themeColor="text1"/>
                <w:sz w:val="24"/>
                <w:szCs w:val="24"/>
              </w:rPr>
              <w:t xml:space="preserve">o. of </w:t>
            </w:r>
            <w:r w:rsidR="003A7ECF" w:rsidRPr="00E71388">
              <w:rPr>
                <w:rFonts w:ascii="Times New Roman" w:hAnsi="Times New Roman" w:cs="Times New Roman"/>
                <w:noProof/>
                <w:color w:val="000000" w:themeColor="text1"/>
                <w:sz w:val="24"/>
                <w:szCs w:val="24"/>
              </w:rPr>
              <w:t>companies</w:t>
            </w:r>
            <w:r w:rsidRPr="00E71388">
              <w:rPr>
                <w:rFonts w:ascii="Times New Roman" w:hAnsi="Times New Roman" w:cs="Times New Roman"/>
                <w:noProof/>
                <w:color w:val="000000" w:themeColor="text1"/>
                <w:sz w:val="24"/>
                <w:szCs w:val="24"/>
              </w:rPr>
              <w:t xml:space="preserve"> affected: 5 (25 large utilities</w:t>
            </w:r>
            <w:r w:rsidR="00AD5C08" w:rsidRPr="002837F7">
              <w:rPr>
                <w:rStyle w:val="FootnoteReference"/>
                <w:rFonts w:ascii="Times New Roman" w:hAnsi="Times New Roman" w:cs="Times New Roman"/>
                <w:noProof/>
                <w:color w:val="000000" w:themeColor="text1"/>
                <w:sz w:val="24"/>
                <w:szCs w:val="24"/>
              </w:rPr>
              <w:footnoteReference w:id="273"/>
            </w:r>
            <w:r w:rsidRPr="00E71388">
              <w:rPr>
                <w:rFonts w:ascii="Times New Roman" w:hAnsi="Times New Roman" w:cs="Times New Roman"/>
                <w:noProof/>
                <w:color w:val="000000" w:themeColor="text1"/>
                <w:sz w:val="24"/>
                <w:szCs w:val="24"/>
              </w:rPr>
              <w:t xml:space="preserve"> x 18%)</w:t>
            </w:r>
          </w:p>
          <w:p w14:paraId="3781959C" w14:textId="07A3CDC9" w:rsidR="00857BD2" w:rsidRPr="00E71388" w:rsidRDefault="00857BD2"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Total cost: EUR </w:t>
            </w:r>
            <w:r w:rsidR="0097175C" w:rsidRPr="00E71388">
              <w:rPr>
                <w:rFonts w:ascii="Times New Roman" w:hAnsi="Times New Roman" w:cs="Times New Roman"/>
                <w:noProof/>
                <w:color w:val="000000" w:themeColor="text1"/>
                <w:sz w:val="24"/>
                <w:szCs w:val="24"/>
              </w:rPr>
              <w:t>2</w:t>
            </w:r>
            <w:r w:rsidR="00B114A4">
              <w:rPr>
                <w:rFonts w:ascii="Times New Roman" w:hAnsi="Times New Roman" w:cs="Times New Roman"/>
                <w:noProof/>
                <w:color w:val="000000" w:themeColor="text1"/>
                <w:sz w:val="24"/>
                <w:szCs w:val="24"/>
              </w:rPr>
              <w:t xml:space="preserve"> </w:t>
            </w:r>
            <w:r w:rsidR="0097175C" w:rsidRPr="00E71388">
              <w:rPr>
                <w:rFonts w:ascii="Times New Roman" w:hAnsi="Times New Roman" w:cs="Times New Roman"/>
                <w:noProof/>
                <w:color w:val="000000" w:themeColor="text1"/>
                <w:sz w:val="24"/>
                <w:szCs w:val="24"/>
              </w:rPr>
              <w:t>646</w:t>
            </w:r>
          </w:p>
        </w:tc>
        <w:tc>
          <w:tcPr>
            <w:tcW w:w="1275" w:type="pct"/>
            <w:tcBorders>
              <w:top w:val="single" w:sz="6" w:space="0" w:color="auto"/>
              <w:left w:val="single" w:sz="6" w:space="0" w:color="auto"/>
              <w:bottom w:val="single" w:sz="6" w:space="0" w:color="auto"/>
              <w:right w:val="single" w:sz="6" w:space="0" w:color="auto"/>
            </w:tcBorders>
            <w:vAlign w:val="center"/>
            <w:hideMark/>
          </w:tcPr>
          <w:p w14:paraId="4A045906" w14:textId="20B31036" w:rsidR="007E175A" w:rsidRPr="00E71388" w:rsidRDefault="007E175A" w:rsidP="007E175A">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Made in EU requirements:</w:t>
            </w:r>
          </w:p>
          <w:p w14:paraId="3ED60E1B" w14:textId="3D04759F" w:rsidR="00857BD2" w:rsidRPr="00E71388" w:rsidRDefault="00857BD2"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1</w:t>
            </w:r>
            <w:r w:rsidR="0099481E" w:rsidRPr="00E71388">
              <w:rPr>
                <w:rFonts w:ascii="Times New Roman" w:hAnsi="Times New Roman" w:cs="Times New Roman"/>
                <w:noProof/>
                <w:color w:val="000000" w:themeColor="text1"/>
                <w:sz w:val="24"/>
                <w:szCs w:val="24"/>
              </w:rPr>
              <w:t>/2</w:t>
            </w:r>
            <w:r w:rsidRPr="00E71388">
              <w:rPr>
                <w:rFonts w:ascii="Times New Roman" w:hAnsi="Times New Roman" w:cs="Times New Roman"/>
                <w:noProof/>
                <w:color w:val="000000" w:themeColor="text1"/>
                <w:sz w:val="24"/>
                <w:szCs w:val="24"/>
              </w:rPr>
              <w:t xml:space="preserve"> week FTE</w:t>
            </w:r>
          </w:p>
          <w:p w14:paraId="3F4133E3" w14:textId="1CB5DE35" w:rsidR="00857BD2" w:rsidRPr="00E71388" w:rsidRDefault="00857BD2"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N</w:t>
            </w:r>
            <w:r w:rsidR="003A7ECF">
              <w:rPr>
                <w:rFonts w:ascii="Times New Roman" w:hAnsi="Times New Roman" w:cs="Times New Roman"/>
                <w:noProof/>
                <w:color w:val="000000" w:themeColor="text1"/>
                <w:sz w:val="24"/>
                <w:szCs w:val="24"/>
              </w:rPr>
              <w:t>o. of</w:t>
            </w:r>
            <w:r w:rsidRPr="00E71388">
              <w:rPr>
                <w:rFonts w:ascii="Times New Roman" w:hAnsi="Times New Roman" w:cs="Times New Roman"/>
                <w:noProof/>
                <w:color w:val="000000" w:themeColor="text1"/>
                <w:sz w:val="24"/>
                <w:szCs w:val="24"/>
              </w:rPr>
              <w:t xml:space="preserve"> companies affected: 25 large utilities</w:t>
            </w:r>
          </w:p>
          <w:p w14:paraId="437053C5" w14:textId="37BAA2B2" w:rsidR="00857BD2" w:rsidRPr="00E71388" w:rsidRDefault="00857BD2" w:rsidP="0021683E">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Total cost: EUR </w:t>
            </w:r>
            <w:r w:rsidR="00BC5AEF" w:rsidRPr="00E71388">
              <w:rPr>
                <w:rFonts w:ascii="Times New Roman" w:hAnsi="Times New Roman" w:cs="Times New Roman"/>
                <w:noProof/>
                <w:color w:val="000000" w:themeColor="text1"/>
                <w:sz w:val="24"/>
                <w:szCs w:val="24"/>
              </w:rPr>
              <w:t>14</w:t>
            </w:r>
            <w:r w:rsidR="00B8591D">
              <w:rPr>
                <w:rFonts w:ascii="Times New Roman" w:hAnsi="Times New Roman" w:cs="Times New Roman"/>
                <w:noProof/>
                <w:color w:val="000000" w:themeColor="text1"/>
                <w:sz w:val="24"/>
                <w:szCs w:val="24"/>
              </w:rPr>
              <w:t xml:space="preserve"> </w:t>
            </w:r>
            <w:r w:rsidR="00BC5AEF" w:rsidRPr="00E71388">
              <w:rPr>
                <w:rFonts w:ascii="Times New Roman" w:hAnsi="Times New Roman" w:cs="Times New Roman"/>
                <w:noProof/>
                <w:color w:val="000000" w:themeColor="text1"/>
                <w:sz w:val="24"/>
                <w:szCs w:val="24"/>
              </w:rPr>
              <w:t>700</w:t>
            </w:r>
          </w:p>
        </w:tc>
      </w:tr>
    </w:tbl>
    <w:p w14:paraId="0363D60A" w14:textId="77777777" w:rsidR="00857BD2" w:rsidRPr="00F261DB" w:rsidRDefault="00857BD2" w:rsidP="00A11E4D">
      <w:pPr>
        <w:pStyle w:val="JRCText"/>
        <w:spacing w:after="0" w:line="240" w:lineRule="auto"/>
        <w:jc w:val="both"/>
        <w:rPr>
          <w:rFonts w:ascii="Times New Roman" w:eastAsia="Times New Roman" w:hAnsi="Times New Roman" w:cs="Times New Roman"/>
          <w:b/>
          <w:noProof/>
          <w:color w:val="000000" w:themeColor="text1"/>
          <w:sz w:val="24"/>
          <w:szCs w:val="24"/>
        </w:rPr>
      </w:pPr>
    </w:p>
    <w:p w14:paraId="25911AC5" w14:textId="1EBECCBA" w:rsidR="001575E7" w:rsidRDefault="001575E7" w:rsidP="00F85380">
      <w:pPr>
        <w:spacing w:after="120"/>
        <w:rPr>
          <w:rFonts w:eastAsia="Times New Roman" w:cs="Times New Roman"/>
          <w:b/>
          <w:bCs/>
          <w:noProof/>
          <w:color w:val="000000" w:themeColor="text1"/>
          <w:szCs w:val="24"/>
        </w:rPr>
      </w:pPr>
      <w:r>
        <w:rPr>
          <w:rFonts w:eastAsia="Times New Roman" w:cs="Times New Roman"/>
          <w:b/>
          <w:bCs/>
          <w:noProof/>
          <w:color w:val="000000" w:themeColor="text1"/>
          <w:szCs w:val="24"/>
        </w:rPr>
        <w:t>LAB</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3"/>
        <w:gridCol w:w="2363"/>
        <w:gridCol w:w="2363"/>
        <w:gridCol w:w="2393"/>
      </w:tblGrid>
      <w:tr w:rsidR="00267780" w:rsidRPr="00BB4F42" w14:paraId="218E1FF0" w14:textId="77777777" w:rsidTr="00B0755D">
        <w:trPr>
          <w:trHeight w:val="285"/>
        </w:trPr>
        <w:tc>
          <w:tcPr>
            <w:tcW w:w="1246" w:type="pct"/>
            <w:tcBorders>
              <w:top w:val="single" w:sz="6" w:space="0" w:color="auto"/>
              <w:left w:val="single" w:sz="6" w:space="0" w:color="auto"/>
              <w:bottom w:val="single" w:sz="6" w:space="0" w:color="auto"/>
              <w:right w:val="single" w:sz="6" w:space="0" w:color="auto"/>
            </w:tcBorders>
            <w:hideMark/>
          </w:tcPr>
          <w:p w14:paraId="1DCD6D6C" w14:textId="7BA7E584" w:rsidR="00267780" w:rsidRPr="00E71388" w:rsidRDefault="00267780" w:rsidP="000B7029">
            <w:pPr>
              <w:pStyle w:val="JRCText"/>
              <w:jc w:val="center"/>
              <w:rPr>
                <w:rFonts w:ascii="Times New Roman" w:hAnsi="Times New Roman" w:cs="Times New Roman"/>
                <w:b/>
                <w:i/>
                <w:noProof/>
                <w:color w:val="000000" w:themeColor="text1"/>
                <w:sz w:val="24"/>
                <w:szCs w:val="24"/>
              </w:rPr>
            </w:pPr>
            <w:r w:rsidRPr="00E71388" w:rsidDel="00267780">
              <w:rPr>
                <w:rFonts w:ascii="Times New Roman" w:eastAsia="Times New Roman" w:hAnsi="Times New Roman" w:cs="Times New Roman"/>
                <w:b/>
                <w:i/>
                <w:noProof/>
                <w:color w:val="000000" w:themeColor="text1"/>
                <w:sz w:val="24"/>
                <w:szCs w:val="24"/>
              </w:rPr>
              <w:t>L</w:t>
            </w:r>
            <w:r w:rsidR="00A26B91" w:rsidRPr="00E71388">
              <w:rPr>
                <w:rFonts w:ascii="Times New Roman" w:eastAsia="Times New Roman" w:hAnsi="Times New Roman" w:cs="Times New Roman"/>
                <w:b/>
                <w:i/>
                <w:noProof/>
                <w:color w:val="000000" w:themeColor="text1"/>
                <w:sz w:val="24"/>
                <w:szCs w:val="24"/>
              </w:rPr>
              <w:t>AB</w:t>
            </w:r>
          </w:p>
        </w:tc>
        <w:tc>
          <w:tcPr>
            <w:tcW w:w="3754" w:type="pct"/>
            <w:gridSpan w:val="3"/>
            <w:tcBorders>
              <w:top w:val="single" w:sz="6" w:space="0" w:color="auto"/>
              <w:left w:val="single" w:sz="6" w:space="0" w:color="auto"/>
              <w:bottom w:val="single" w:sz="6" w:space="0" w:color="auto"/>
              <w:right w:val="single" w:sz="6" w:space="0" w:color="auto"/>
            </w:tcBorders>
            <w:hideMark/>
          </w:tcPr>
          <w:p w14:paraId="6CEB7FAE" w14:textId="5A64EB93" w:rsidR="00267780" w:rsidRPr="00E71388" w:rsidRDefault="00267780" w:rsidP="00914E56">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Difference to the baseline</w:t>
            </w:r>
          </w:p>
        </w:tc>
      </w:tr>
      <w:tr w:rsidR="00267780" w:rsidRPr="00BB4F42" w14:paraId="72D09C92" w14:textId="77777777" w:rsidTr="00B0755D">
        <w:trPr>
          <w:trHeight w:val="285"/>
        </w:trPr>
        <w:tc>
          <w:tcPr>
            <w:tcW w:w="1246" w:type="pct"/>
            <w:tcBorders>
              <w:top w:val="single" w:sz="6" w:space="0" w:color="auto"/>
              <w:left w:val="single" w:sz="6" w:space="0" w:color="auto"/>
              <w:bottom w:val="single" w:sz="6" w:space="0" w:color="auto"/>
              <w:right w:val="single" w:sz="6" w:space="0" w:color="auto"/>
            </w:tcBorders>
            <w:hideMark/>
          </w:tcPr>
          <w:p w14:paraId="646BF90D" w14:textId="731CE97E" w:rsidR="00267780" w:rsidRPr="00E71388" w:rsidRDefault="00480BEE"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 xml:space="preserve"> </w:t>
            </w:r>
          </w:p>
        </w:tc>
        <w:tc>
          <w:tcPr>
            <w:tcW w:w="1246" w:type="pct"/>
            <w:tcBorders>
              <w:top w:val="single" w:sz="6" w:space="0" w:color="auto"/>
              <w:left w:val="single" w:sz="6" w:space="0" w:color="auto"/>
              <w:bottom w:val="single" w:sz="6" w:space="0" w:color="auto"/>
              <w:right w:val="single" w:sz="6" w:space="0" w:color="auto"/>
            </w:tcBorders>
            <w:hideMark/>
          </w:tcPr>
          <w:p w14:paraId="1D3E50C6" w14:textId="77777777" w:rsidR="00267780" w:rsidRPr="00E71388" w:rsidRDefault="00267780"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PO1 </w:t>
            </w:r>
          </w:p>
        </w:tc>
        <w:tc>
          <w:tcPr>
            <w:tcW w:w="1246" w:type="pct"/>
            <w:tcBorders>
              <w:top w:val="nil"/>
              <w:left w:val="single" w:sz="6" w:space="0" w:color="auto"/>
              <w:bottom w:val="single" w:sz="6" w:space="0" w:color="auto"/>
              <w:right w:val="single" w:sz="6" w:space="0" w:color="auto"/>
            </w:tcBorders>
            <w:hideMark/>
          </w:tcPr>
          <w:p w14:paraId="7AAD88BA" w14:textId="77777777" w:rsidR="00267780" w:rsidRPr="00E71388" w:rsidRDefault="00267780"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PO2 </w:t>
            </w:r>
          </w:p>
        </w:tc>
        <w:tc>
          <w:tcPr>
            <w:tcW w:w="1262" w:type="pct"/>
            <w:tcBorders>
              <w:top w:val="nil"/>
              <w:left w:val="single" w:sz="6" w:space="0" w:color="auto"/>
              <w:bottom w:val="single" w:sz="6" w:space="0" w:color="auto"/>
              <w:right w:val="single" w:sz="6" w:space="0" w:color="auto"/>
            </w:tcBorders>
            <w:hideMark/>
          </w:tcPr>
          <w:p w14:paraId="6E634EBD" w14:textId="77777777" w:rsidR="00267780" w:rsidRPr="00E71388" w:rsidRDefault="00267780"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PO3 </w:t>
            </w:r>
          </w:p>
        </w:tc>
      </w:tr>
      <w:tr w:rsidR="003E26B7" w:rsidRPr="00BB4F42" w14:paraId="2E8555F7" w14:textId="77777777" w:rsidTr="00B0755D">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79E95195" w14:textId="77777777" w:rsidR="00267780" w:rsidRPr="00E71388" w:rsidRDefault="00267780" w:rsidP="0097216F">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Businesses </w:t>
            </w: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06EBB3EC" w14:textId="37368062" w:rsidR="00267780" w:rsidRPr="00E71388" w:rsidRDefault="00480BEE"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 xml:space="preserve"> </w:t>
            </w: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B6222B4" w14:textId="40E801F3" w:rsidR="00267780" w:rsidRPr="00E71388" w:rsidRDefault="00480BEE"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 xml:space="preserve"> </w:t>
            </w: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EDA0F30" w14:textId="1F9F92A8" w:rsidR="00267780" w:rsidRPr="00E71388" w:rsidRDefault="00480BEE"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 xml:space="preserve"> </w:t>
            </w:r>
          </w:p>
        </w:tc>
      </w:tr>
      <w:tr w:rsidR="00267780" w:rsidRPr="00BB4F42" w14:paraId="3DA86D93" w14:textId="77777777" w:rsidTr="00B0755D">
        <w:trPr>
          <w:trHeight w:val="285"/>
        </w:trPr>
        <w:tc>
          <w:tcPr>
            <w:tcW w:w="1246" w:type="pct"/>
            <w:tcBorders>
              <w:top w:val="single" w:sz="6" w:space="0" w:color="auto"/>
              <w:left w:val="single" w:sz="6" w:space="0" w:color="auto"/>
              <w:bottom w:val="single" w:sz="6" w:space="0" w:color="auto"/>
              <w:right w:val="single" w:sz="6" w:space="0" w:color="auto"/>
            </w:tcBorders>
            <w:vAlign w:val="center"/>
            <w:hideMark/>
          </w:tcPr>
          <w:p w14:paraId="32BD3A15" w14:textId="54E977EF" w:rsidR="00267780" w:rsidRPr="00E71388" w:rsidRDefault="00267780" w:rsidP="00404098">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lastRenderedPageBreak/>
              <w:t>Administrative costs</w:t>
            </w:r>
          </w:p>
        </w:tc>
        <w:tc>
          <w:tcPr>
            <w:tcW w:w="1246" w:type="pct"/>
            <w:tcBorders>
              <w:top w:val="single" w:sz="6" w:space="0" w:color="auto"/>
              <w:left w:val="single" w:sz="6" w:space="0" w:color="auto"/>
              <w:bottom w:val="single" w:sz="6" w:space="0" w:color="auto"/>
              <w:right w:val="single" w:sz="6" w:space="0" w:color="auto"/>
            </w:tcBorders>
            <w:hideMark/>
          </w:tcPr>
          <w:p w14:paraId="206A099A" w14:textId="6EA00037" w:rsidR="00267780" w:rsidRPr="00E71388" w:rsidRDefault="00FD7360" w:rsidP="00761AE8">
            <w:pPr>
              <w:pStyle w:val="JRCText"/>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EUR 0</w:t>
            </w:r>
          </w:p>
        </w:tc>
        <w:tc>
          <w:tcPr>
            <w:tcW w:w="2508" w:type="pct"/>
            <w:gridSpan w:val="2"/>
            <w:tcBorders>
              <w:top w:val="single" w:sz="6" w:space="0" w:color="auto"/>
              <w:left w:val="single" w:sz="6" w:space="0" w:color="auto"/>
              <w:bottom w:val="single" w:sz="6" w:space="0" w:color="auto"/>
              <w:right w:val="single" w:sz="6" w:space="0" w:color="auto"/>
            </w:tcBorders>
            <w:hideMark/>
          </w:tcPr>
          <w:p w14:paraId="1EFF27D9" w14:textId="01B91486" w:rsidR="00267780" w:rsidRPr="00E71388" w:rsidRDefault="00267780" w:rsidP="00267780">
            <w:pPr>
              <w:pStyle w:val="JRCText"/>
              <w:jc w:val="both"/>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EUR </w:t>
            </w:r>
            <w:r w:rsidR="00CC192B" w:rsidRPr="00E71388">
              <w:rPr>
                <w:rFonts w:ascii="Times New Roman" w:hAnsi="Times New Roman" w:cs="Times New Roman"/>
                <w:noProof/>
                <w:color w:val="000000" w:themeColor="text1"/>
                <w:sz w:val="24"/>
                <w:szCs w:val="24"/>
              </w:rPr>
              <w:t>0</w:t>
            </w:r>
            <w:r w:rsidRPr="00E71388">
              <w:rPr>
                <w:rFonts w:ascii="Times New Roman" w:eastAsia="Times New Roman" w:hAnsi="Times New Roman" w:cs="Times New Roman"/>
                <w:noProof/>
                <w:color w:val="000000" w:themeColor="text1"/>
                <w:sz w:val="24"/>
                <w:szCs w:val="24"/>
              </w:rPr>
              <w:t xml:space="preserve"> (voluntary label</w:t>
            </w:r>
            <w:r w:rsidR="001E1AF0" w:rsidRPr="00E71388">
              <w:rPr>
                <w:rFonts w:ascii="Times New Roman" w:eastAsia="Times New Roman" w:hAnsi="Times New Roman" w:cs="Times New Roman"/>
                <w:noProof/>
                <w:color w:val="000000" w:themeColor="text1"/>
                <w:sz w:val="24"/>
                <w:szCs w:val="24"/>
              </w:rPr>
              <w:t>),</w:t>
            </w:r>
            <w:r w:rsidR="006B4314" w:rsidRPr="00E71388">
              <w:rPr>
                <w:rFonts w:ascii="Times New Roman" w:eastAsia="Times New Roman" w:hAnsi="Times New Roman" w:cs="Times New Roman"/>
                <w:noProof/>
                <w:color w:val="000000" w:themeColor="text1"/>
                <w:sz w:val="24"/>
                <w:szCs w:val="24"/>
              </w:rPr>
              <w:t xml:space="preserve"> </w:t>
            </w:r>
            <w:r w:rsidR="00727EA5" w:rsidRPr="00E71388">
              <w:rPr>
                <w:rFonts w:ascii="Times New Roman" w:eastAsia="Times New Roman" w:hAnsi="Times New Roman" w:cs="Times New Roman"/>
                <w:noProof/>
                <w:color w:val="000000" w:themeColor="text1"/>
                <w:sz w:val="24"/>
                <w:szCs w:val="24"/>
              </w:rPr>
              <w:t xml:space="preserve">however, the cost of steel label certification is included </w:t>
            </w:r>
            <w:r w:rsidR="000464E2" w:rsidRPr="00E71388">
              <w:rPr>
                <w:rFonts w:ascii="Times New Roman" w:eastAsia="Times New Roman" w:hAnsi="Times New Roman" w:cs="Times New Roman"/>
                <w:noProof/>
                <w:color w:val="000000" w:themeColor="text1"/>
                <w:sz w:val="24"/>
                <w:szCs w:val="24"/>
              </w:rPr>
              <w:t>under</w:t>
            </w:r>
            <w:r w:rsidR="00727EA5" w:rsidRPr="00E71388">
              <w:rPr>
                <w:rFonts w:ascii="Times New Roman" w:eastAsia="Times New Roman" w:hAnsi="Times New Roman" w:cs="Times New Roman"/>
                <w:noProof/>
                <w:color w:val="000000" w:themeColor="text1"/>
                <w:sz w:val="24"/>
                <w:szCs w:val="24"/>
              </w:rPr>
              <w:t xml:space="preserve"> LEAD</w:t>
            </w:r>
            <w:r w:rsidR="000464E2" w:rsidRPr="00E71388">
              <w:rPr>
                <w:rFonts w:ascii="Times New Roman" w:eastAsia="Times New Roman" w:hAnsi="Times New Roman" w:cs="Times New Roman"/>
                <w:noProof/>
                <w:color w:val="000000" w:themeColor="text1"/>
                <w:sz w:val="24"/>
                <w:szCs w:val="24"/>
              </w:rPr>
              <w:t>_</w:t>
            </w:r>
            <w:r w:rsidR="00727EA5" w:rsidRPr="00E71388">
              <w:rPr>
                <w:rFonts w:ascii="Times New Roman" w:eastAsia="Times New Roman" w:hAnsi="Times New Roman" w:cs="Times New Roman"/>
                <w:noProof/>
                <w:color w:val="000000" w:themeColor="text1"/>
                <w:sz w:val="24"/>
                <w:szCs w:val="24"/>
              </w:rPr>
              <w:t>EII administrative costs, as steel sites must obtain low</w:t>
            </w:r>
            <w:r w:rsidR="00966BD0">
              <w:rPr>
                <w:rFonts w:ascii="Times New Roman" w:eastAsia="Times New Roman" w:hAnsi="Times New Roman" w:cs="Times New Roman"/>
                <w:noProof/>
                <w:color w:val="000000" w:themeColor="text1"/>
                <w:sz w:val="24"/>
                <w:szCs w:val="24"/>
              </w:rPr>
              <w:t>-</w:t>
            </w:r>
            <w:r w:rsidR="00727EA5" w:rsidRPr="00E71388">
              <w:rPr>
                <w:rFonts w:ascii="Times New Roman" w:eastAsia="Times New Roman" w:hAnsi="Times New Roman" w:cs="Times New Roman"/>
                <w:noProof/>
                <w:color w:val="000000" w:themeColor="text1"/>
                <w:sz w:val="24"/>
                <w:szCs w:val="24"/>
              </w:rPr>
              <w:t>carbon steel certification to comply with lead market provisions</w:t>
            </w:r>
          </w:p>
        </w:tc>
      </w:tr>
      <w:tr w:rsidR="003E26B7" w:rsidRPr="00BB4F42" w14:paraId="77DA3877" w14:textId="77777777" w:rsidTr="00B0755D">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1E52D60" w14:textId="080B277C" w:rsidR="00267780" w:rsidRPr="00E71388" w:rsidRDefault="00267780" w:rsidP="00404098">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European Commission</w:t>
            </w: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600A92DD" w14:textId="44CEBC3C" w:rsidR="00267780" w:rsidRPr="00E71388" w:rsidRDefault="00480BEE" w:rsidP="00267780">
            <w:pPr>
              <w:pStyle w:val="JRCText"/>
              <w:jc w:val="both"/>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 </w:t>
            </w: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0B12412" w14:textId="4A182B34" w:rsidR="00267780" w:rsidRPr="00E71388" w:rsidRDefault="00480BEE" w:rsidP="00267780">
            <w:pPr>
              <w:pStyle w:val="JRCText"/>
              <w:jc w:val="both"/>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 </w:t>
            </w: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76C17CB6" w14:textId="1C3E48D4" w:rsidR="00267780" w:rsidRPr="00E71388" w:rsidRDefault="00480BEE" w:rsidP="00267780">
            <w:pPr>
              <w:pStyle w:val="JRCText"/>
              <w:jc w:val="both"/>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 xml:space="preserve"> </w:t>
            </w:r>
          </w:p>
        </w:tc>
      </w:tr>
      <w:tr w:rsidR="00A201A1" w:rsidRPr="00BB4F42" w14:paraId="4C55039D" w14:textId="77777777" w:rsidTr="00B0755D">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B5323B" w14:textId="2EF663A4" w:rsidR="00267780" w:rsidRPr="00E71388" w:rsidRDefault="00267780" w:rsidP="00404098">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(one off)</w:t>
            </w:r>
          </w:p>
        </w:tc>
        <w:tc>
          <w:tcPr>
            <w:tcW w:w="1246" w:type="pct"/>
            <w:tcBorders>
              <w:top w:val="single" w:sz="6" w:space="0" w:color="auto"/>
              <w:left w:val="single" w:sz="6" w:space="0" w:color="auto"/>
              <w:bottom w:val="single" w:sz="6" w:space="0" w:color="auto"/>
              <w:right w:val="single" w:sz="6" w:space="0" w:color="auto"/>
            </w:tcBorders>
            <w:shd w:val="clear" w:color="auto" w:fill="FFFFFF" w:themeFill="background1"/>
            <w:hideMark/>
          </w:tcPr>
          <w:p w14:paraId="5A0E84E6" w14:textId="7C42AA52" w:rsidR="00267780" w:rsidRPr="00E71388" w:rsidRDefault="00267780" w:rsidP="004A466F">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4 FTE</w:t>
            </w:r>
          </w:p>
          <w:p w14:paraId="33AB51BF" w14:textId="77777777" w:rsidR="004525EA" w:rsidRDefault="00267780" w:rsidP="004A466F">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Total cost</w:t>
            </w:r>
            <w:r w:rsidRPr="0009772F">
              <w:rPr>
                <w:rFonts w:ascii="Times New Roman" w:hAnsi="Times New Roman" w:cs="Times New Roman"/>
                <w:noProof/>
                <w:color w:val="000000" w:themeColor="text1"/>
                <w:sz w:val="24"/>
                <w:szCs w:val="24"/>
              </w:rPr>
              <w:t xml:space="preserve">: </w:t>
            </w:r>
          </w:p>
          <w:p w14:paraId="7A0D4DA2" w14:textId="04EA82DF" w:rsidR="00267780" w:rsidRPr="00E71388" w:rsidRDefault="00267780" w:rsidP="004A466F">
            <w:pPr>
              <w:pStyle w:val="JRCText"/>
              <w:jc w:val="center"/>
              <w:rPr>
                <w:rFonts w:ascii="Times New Roman" w:hAnsi="Times New Roman" w:cs="Times New Roman"/>
                <w:noProof/>
                <w:color w:val="000000" w:themeColor="text1"/>
                <w:sz w:val="24"/>
                <w:szCs w:val="24"/>
              </w:rPr>
            </w:pPr>
            <w:r w:rsidRPr="0009772F">
              <w:rPr>
                <w:rFonts w:ascii="Times New Roman" w:hAnsi="Times New Roman" w:cs="Times New Roman"/>
                <w:noProof/>
                <w:color w:val="000000" w:themeColor="text1"/>
                <w:sz w:val="24"/>
                <w:szCs w:val="24"/>
              </w:rPr>
              <w:t xml:space="preserve">EUR </w:t>
            </w:r>
            <w:r w:rsidR="00DE1E75">
              <w:rPr>
                <w:rFonts w:ascii="Times New Roman" w:hAnsi="Times New Roman" w:cs="Times New Roman"/>
                <w:noProof/>
                <w:color w:val="000000" w:themeColor="text1"/>
                <w:sz w:val="24"/>
                <w:szCs w:val="24"/>
              </w:rPr>
              <w:t>776 000</w:t>
            </w:r>
          </w:p>
        </w:tc>
        <w:tc>
          <w:tcPr>
            <w:tcW w:w="2508" w:type="pct"/>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18181A26" w14:textId="20AB4B1D" w:rsidR="00267780" w:rsidRPr="00E71388" w:rsidRDefault="00267780" w:rsidP="004A466F">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2 FTEs</w:t>
            </w:r>
          </w:p>
          <w:p w14:paraId="6FAFF4F3" w14:textId="1C51B070" w:rsidR="00267780" w:rsidRPr="00E71388" w:rsidRDefault="00267780" w:rsidP="004A466F">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Total cost: </w:t>
            </w:r>
            <w:r w:rsidRPr="0009772F">
              <w:rPr>
                <w:rFonts w:ascii="Times New Roman" w:hAnsi="Times New Roman" w:cs="Times New Roman"/>
                <w:noProof/>
                <w:color w:val="000000" w:themeColor="text1"/>
                <w:sz w:val="24"/>
                <w:szCs w:val="24"/>
              </w:rPr>
              <w:t xml:space="preserve">EUR </w:t>
            </w:r>
            <w:r w:rsidR="00BF2484">
              <w:rPr>
                <w:rFonts w:ascii="Times New Roman" w:hAnsi="Times New Roman" w:cs="Times New Roman"/>
                <w:noProof/>
                <w:color w:val="000000" w:themeColor="text1"/>
                <w:sz w:val="24"/>
                <w:szCs w:val="24"/>
              </w:rPr>
              <w:t>388 000</w:t>
            </w:r>
          </w:p>
        </w:tc>
      </w:tr>
    </w:tbl>
    <w:p w14:paraId="4659B227" w14:textId="77777777" w:rsidR="00857BD2" w:rsidRPr="00F261DB" w:rsidRDefault="00857BD2" w:rsidP="00A11E4D">
      <w:pPr>
        <w:pStyle w:val="JRCText"/>
        <w:spacing w:after="0" w:line="240" w:lineRule="auto"/>
        <w:jc w:val="both"/>
        <w:rPr>
          <w:rFonts w:ascii="Times New Roman" w:eastAsia="Times New Roman" w:hAnsi="Times New Roman" w:cs="Times New Roman"/>
          <w:b/>
          <w:noProof/>
          <w:color w:val="000000" w:themeColor="text1"/>
          <w:sz w:val="24"/>
          <w:szCs w:val="24"/>
        </w:rPr>
      </w:pPr>
    </w:p>
    <w:p w14:paraId="29A5A827" w14:textId="5948573B" w:rsidR="00857BD2" w:rsidRPr="00F261DB" w:rsidRDefault="001575E7" w:rsidP="00F85380">
      <w:pPr>
        <w:spacing w:after="120"/>
        <w:rPr>
          <w:rFonts w:eastAsia="Times New Roman" w:cs="Times New Roman"/>
          <w:b/>
          <w:noProof/>
          <w:color w:val="000000" w:themeColor="text1"/>
          <w:szCs w:val="24"/>
        </w:rPr>
      </w:pPr>
      <w:r>
        <w:rPr>
          <w:rFonts w:eastAsia="Times New Roman" w:cs="Times New Roman"/>
          <w:b/>
          <w:bCs/>
          <w:noProof/>
          <w:color w:val="000000" w:themeColor="text1"/>
          <w:szCs w:val="24"/>
        </w:rPr>
        <w:t>INV</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3"/>
        <w:gridCol w:w="1663"/>
        <w:gridCol w:w="3063"/>
        <w:gridCol w:w="2393"/>
      </w:tblGrid>
      <w:tr w:rsidR="001171D1" w:rsidRPr="00BB4F42" w14:paraId="759A28AA" w14:textId="77777777" w:rsidTr="00853C60">
        <w:trPr>
          <w:trHeight w:val="285"/>
          <w:tblHeader/>
        </w:trPr>
        <w:tc>
          <w:tcPr>
            <w:tcW w:w="1246" w:type="pct"/>
            <w:tcBorders>
              <w:top w:val="single" w:sz="6" w:space="0" w:color="auto"/>
              <w:left w:val="single" w:sz="6" w:space="0" w:color="auto"/>
              <w:bottom w:val="single" w:sz="6" w:space="0" w:color="auto"/>
              <w:right w:val="single" w:sz="6" w:space="0" w:color="auto"/>
            </w:tcBorders>
            <w:vAlign w:val="center"/>
            <w:hideMark/>
          </w:tcPr>
          <w:p w14:paraId="49EABFA8" w14:textId="68626A87" w:rsidR="001171D1" w:rsidRPr="00E71388" w:rsidRDefault="00A17846" w:rsidP="004050ED">
            <w:pPr>
              <w:pStyle w:val="JRCText"/>
              <w:jc w:val="center"/>
              <w:rPr>
                <w:rFonts w:ascii="Times New Roman" w:hAnsi="Times New Roman" w:cs="Times New Roman"/>
                <w:b/>
                <w:noProof/>
                <w:color w:val="000000" w:themeColor="text1"/>
                <w:sz w:val="24"/>
                <w:szCs w:val="24"/>
              </w:rPr>
            </w:pPr>
            <w:r w:rsidRPr="00E71388">
              <w:rPr>
                <w:rFonts w:ascii="Times New Roman" w:eastAsia="Times New Roman" w:hAnsi="Times New Roman" w:cs="Times New Roman"/>
                <w:b/>
                <w:i/>
                <w:noProof/>
                <w:color w:val="000000" w:themeColor="text1"/>
                <w:sz w:val="24"/>
                <w:szCs w:val="24"/>
              </w:rPr>
              <w:t>INV</w:t>
            </w:r>
          </w:p>
        </w:tc>
        <w:tc>
          <w:tcPr>
            <w:tcW w:w="3754" w:type="pct"/>
            <w:gridSpan w:val="3"/>
            <w:tcBorders>
              <w:top w:val="single" w:sz="6" w:space="0" w:color="auto"/>
              <w:left w:val="single" w:sz="6" w:space="0" w:color="auto"/>
              <w:bottom w:val="single" w:sz="6" w:space="0" w:color="auto"/>
              <w:right w:val="single" w:sz="6" w:space="0" w:color="auto"/>
            </w:tcBorders>
            <w:vAlign w:val="center"/>
            <w:hideMark/>
          </w:tcPr>
          <w:p w14:paraId="4DC765D3" w14:textId="2FAC956A"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Difference to the baseline</w:t>
            </w:r>
          </w:p>
        </w:tc>
      </w:tr>
      <w:tr w:rsidR="001171D1" w:rsidRPr="00BB4F42" w14:paraId="0C1856E3" w14:textId="77777777" w:rsidTr="00853C60">
        <w:trPr>
          <w:trHeight w:val="285"/>
          <w:tblHeader/>
        </w:trPr>
        <w:tc>
          <w:tcPr>
            <w:tcW w:w="1246" w:type="pct"/>
            <w:tcBorders>
              <w:top w:val="single" w:sz="6" w:space="0" w:color="auto"/>
              <w:left w:val="single" w:sz="6" w:space="0" w:color="auto"/>
              <w:bottom w:val="single" w:sz="6" w:space="0" w:color="auto"/>
              <w:right w:val="single" w:sz="6" w:space="0" w:color="auto"/>
            </w:tcBorders>
            <w:vAlign w:val="center"/>
            <w:hideMark/>
          </w:tcPr>
          <w:p w14:paraId="3616F9DE" w14:textId="0AECC06E" w:rsidR="001171D1" w:rsidRPr="00E71388" w:rsidRDefault="001171D1" w:rsidP="004050ED">
            <w:pPr>
              <w:pStyle w:val="JRCText"/>
              <w:jc w:val="center"/>
              <w:rPr>
                <w:rFonts w:ascii="Times New Roman" w:hAnsi="Times New Roman" w:cs="Times New Roman"/>
                <w:b/>
                <w:noProof/>
                <w:color w:val="000000" w:themeColor="text1"/>
                <w:sz w:val="24"/>
                <w:szCs w:val="24"/>
              </w:rPr>
            </w:pPr>
          </w:p>
        </w:tc>
        <w:tc>
          <w:tcPr>
            <w:tcW w:w="877" w:type="pct"/>
            <w:tcBorders>
              <w:top w:val="single" w:sz="6" w:space="0" w:color="auto"/>
              <w:left w:val="single" w:sz="6" w:space="0" w:color="auto"/>
              <w:bottom w:val="single" w:sz="6" w:space="0" w:color="auto"/>
              <w:right w:val="single" w:sz="6" w:space="0" w:color="auto"/>
            </w:tcBorders>
            <w:vAlign w:val="center"/>
            <w:hideMark/>
          </w:tcPr>
          <w:p w14:paraId="2A7C9A15" w14:textId="379EE2ED"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PO1</w:t>
            </w:r>
          </w:p>
        </w:tc>
        <w:tc>
          <w:tcPr>
            <w:tcW w:w="1615" w:type="pct"/>
            <w:tcBorders>
              <w:top w:val="nil"/>
              <w:left w:val="single" w:sz="6" w:space="0" w:color="auto"/>
              <w:bottom w:val="single" w:sz="6" w:space="0" w:color="auto"/>
              <w:right w:val="single" w:sz="6" w:space="0" w:color="auto"/>
            </w:tcBorders>
            <w:vAlign w:val="center"/>
            <w:hideMark/>
          </w:tcPr>
          <w:p w14:paraId="092FE8B4" w14:textId="657462F4"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PO2</w:t>
            </w:r>
          </w:p>
        </w:tc>
        <w:tc>
          <w:tcPr>
            <w:tcW w:w="1262" w:type="pct"/>
            <w:tcBorders>
              <w:top w:val="nil"/>
              <w:left w:val="single" w:sz="6" w:space="0" w:color="auto"/>
              <w:bottom w:val="single" w:sz="6" w:space="0" w:color="auto"/>
              <w:right w:val="single" w:sz="6" w:space="0" w:color="auto"/>
            </w:tcBorders>
            <w:vAlign w:val="center"/>
            <w:hideMark/>
          </w:tcPr>
          <w:p w14:paraId="0DFF0966" w14:textId="3D052812"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PO3</w:t>
            </w:r>
          </w:p>
        </w:tc>
      </w:tr>
      <w:tr w:rsidR="003E26B7" w:rsidRPr="00BB4F42" w14:paraId="0C38FC40" w14:textId="77777777" w:rsidTr="3F0F1197">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CCA0B39" w14:textId="09DF16EE"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FFFFFF" w:themeColor="background1"/>
                <w:sz w:val="24"/>
                <w:szCs w:val="24"/>
              </w:rPr>
              <w:t>Member States administrations</w:t>
            </w:r>
          </w:p>
        </w:tc>
        <w:tc>
          <w:tcPr>
            <w:tcW w:w="877"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E1D4B7F" w14:textId="4E7F5A83" w:rsidR="001171D1" w:rsidRPr="00E71388" w:rsidRDefault="001171D1" w:rsidP="004050ED">
            <w:pPr>
              <w:pStyle w:val="JRCText"/>
              <w:jc w:val="center"/>
              <w:rPr>
                <w:rFonts w:ascii="Times New Roman" w:hAnsi="Times New Roman" w:cs="Times New Roman"/>
                <w:noProof/>
                <w:color w:val="000000" w:themeColor="text1"/>
                <w:sz w:val="24"/>
                <w:szCs w:val="24"/>
              </w:rPr>
            </w:pPr>
          </w:p>
        </w:tc>
        <w:tc>
          <w:tcPr>
            <w:tcW w:w="161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4E60D0C" w14:textId="06C03A52" w:rsidR="001171D1" w:rsidRPr="00E71388" w:rsidRDefault="001171D1" w:rsidP="004050ED">
            <w:pPr>
              <w:pStyle w:val="JRCText"/>
              <w:jc w:val="center"/>
              <w:rPr>
                <w:rFonts w:ascii="Times New Roman" w:hAnsi="Times New Roman" w:cs="Times New Roman"/>
                <w:noProof/>
                <w:color w:val="000000" w:themeColor="text1"/>
                <w:sz w:val="24"/>
                <w:szCs w:val="24"/>
              </w:rPr>
            </w:pP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88F4AE4" w14:textId="178A1064" w:rsidR="001171D1" w:rsidRPr="00E71388" w:rsidRDefault="001171D1" w:rsidP="004050ED">
            <w:pPr>
              <w:pStyle w:val="JRCText"/>
              <w:jc w:val="center"/>
              <w:rPr>
                <w:rFonts w:ascii="Times New Roman" w:hAnsi="Times New Roman" w:cs="Times New Roman"/>
                <w:noProof/>
                <w:color w:val="000000" w:themeColor="text1"/>
                <w:sz w:val="24"/>
                <w:szCs w:val="24"/>
              </w:rPr>
            </w:pPr>
          </w:p>
        </w:tc>
      </w:tr>
      <w:tr w:rsidR="001171D1" w:rsidRPr="00BB4F42" w14:paraId="33399AC0" w14:textId="77777777" w:rsidTr="3F0F1197">
        <w:trPr>
          <w:trHeight w:val="553"/>
        </w:trPr>
        <w:tc>
          <w:tcPr>
            <w:tcW w:w="1246" w:type="pct"/>
            <w:tcBorders>
              <w:top w:val="single" w:sz="6" w:space="0" w:color="auto"/>
              <w:left w:val="single" w:sz="6" w:space="0" w:color="auto"/>
              <w:bottom w:val="single" w:sz="6" w:space="0" w:color="auto"/>
              <w:right w:val="single" w:sz="6" w:space="0" w:color="auto"/>
            </w:tcBorders>
            <w:vAlign w:val="center"/>
            <w:hideMark/>
          </w:tcPr>
          <w:p w14:paraId="01575E98" w14:textId="26A39370"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(recurring)</w:t>
            </w:r>
          </w:p>
        </w:tc>
        <w:tc>
          <w:tcPr>
            <w:tcW w:w="877" w:type="pct"/>
            <w:tcBorders>
              <w:top w:val="single" w:sz="6" w:space="0" w:color="auto"/>
              <w:left w:val="single" w:sz="6" w:space="0" w:color="auto"/>
              <w:bottom w:val="single" w:sz="6" w:space="0" w:color="auto"/>
              <w:right w:val="single" w:sz="6" w:space="0" w:color="auto"/>
            </w:tcBorders>
            <w:vAlign w:val="center"/>
            <w:hideMark/>
          </w:tcPr>
          <w:p w14:paraId="0FD4A784" w14:textId="6C5BF19F" w:rsidR="001171D1" w:rsidRPr="00E71388" w:rsidRDefault="001171D1" w:rsidP="004050ED">
            <w:pPr>
              <w:pStyle w:val="JRCText"/>
              <w:jc w:val="center"/>
              <w:rPr>
                <w:rFonts w:ascii="Times New Roman" w:hAnsi="Times New Roman" w:cs="Times New Roman"/>
                <w:noProof/>
                <w:color w:val="000000" w:themeColor="text1"/>
                <w:sz w:val="24"/>
                <w:szCs w:val="24"/>
              </w:rPr>
            </w:pPr>
          </w:p>
        </w:tc>
        <w:tc>
          <w:tcPr>
            <w:tcW w:w="2877" w:type="pct"/>
            <w:gridSpan w:val="2"/>
            <w:tcBorders>
              <w:top w:val="single" w:sz="6" w:space="0" w:color="auto"/>
              <w:left w:val="single" w:sz="6" w:space="0" w:color="auto"/>
              <w:bottom w:val="single" w:sz="6" w:space="0" w:color="auto"/>
              <w:right w:val="single" w:sz="6" w:space="0" w:color="auto"/>
            </w:tcBorders>
            <w:vAlign w:val="center"/>
            <w:hideMark/>
          </w:tcPr>
          <w:p w14:paraId="75E25FDE" w14:textId="51F55EC6" w:rsidR="00BE63A3" w:rsidRPr="00E71388" w:rsidRDefault="00BE63A3" w:rsidP="004050ED">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FDI conditionalities</w:t>
            </w:r>
          </w:p>
          <w:p w14:paraId="6C2B3291" w14:textId="4447534D" w:rsidR="001171D1" w:rsidRPr="00E71388" w:rsidRDefault="0F787E8C" w:rsidP="004050ED">
            <w:pPr>
              <w:pStyle w:val="JRCText"/>
              <w:jc w:val="center"/>
              <w:rPr>
                <w:rFonts w:ascii="Times New Roman" w:hAnsi="Times New Roman" w:cs="Times New Roman"/>
                <w:noProof/>
                <w:color w:val="000000" w:themeColor="text1"/>
                <w:sz w:val="24"/>
                <w:szCs w:val="24"/>
              </w:rPr>
            </w:pPr>
            <w:r w:rsidRPr="1A2A8689">
              <w:rPr>
                <w:rFonts w:ascii="Times New Roman" w:hAnsi="Times New Roman" w:cs="Times New Roman"/>
                <w:noProof/>
                <w:color w:val="000000" w:themeColor="text1"/>
                <w:sz w:val="24"/>
                <w:szCs w:val="24"/>
              </w:rPr>
              <w:t xml:space="preserve">1 </w:t>
            </w:r>
            <w:r w:rsidR="003E6C8D">
              <w:rPr>
                <w:rFonts w:ascii="Times New Roman" w:hAnsi="Times New Roman" w:cs="Times New Roman"/>
                <w:noProof/>
                <w:color w:val="000000" w:themeColor="text1"/>
                <w:sz w:val="24"/>
                <w:szCs w:val="24"/>
              </w:rPr>
              <w:t xml:space="preserve">year </w:t>
            </w:r>
            <w:r w:rsidRPr="1A2A8689">
              <w:rPr>
                <w:rFonts w:ascii="Times New Roman" w:hAnsi="Times New Roman" w:cs="Times New Roman"/>
                <w:noProof/>
                <w:color w:val="000000" w:themeColor="text1"/>
                <w:sz w:val="24"/>
                <w:szCs w:val="24"/>
              </w:rPr>
              <w:t>FTE</w:t>
            </w:r>
            <w:r w:rsidR="5B6B4A03" w:rsidRPr="1A2A8689">
              <w:rPr>
                <w:rFonts w:ascii="Times New Roman" w:hAnsi="Times New Roman" w:cs="Times New Roman"/>
                <w:noProof/>
                <w:color w:val="000000" w:themeColor="text1"/>
                <w:sz w:val="24"/>
                <w:szCs w:val="24"/>
              </w:rPr>
              <w:t xml:space="preserve"> x 27</w:t>
            </w:r>
            <w:r w:rsidR="464FF7E6" w:rsidRPr="1A2A8689">
              <w:rPr>
                <w:rFonts w:ascii="Times New Roman" w:hAnsi="Times New Roman" w:cs="Times New Roman"/>
                <w:noProof/>
                <w:color w:val="000000" w:themeColor="text1"/>
                <w:sz w:val="24"/>
                <w:szCs w:val="24"/>
              </w:rPr>
              <w:t xml:space="preserve"> Member States</w:t>
            </w:r>
          </w:p>
          <w:p w14:paraId="3B6F2DB7" w14:textId="75820EAA" w:rsidR="001171D1" w:rsidRPr="00E71388" w:rsidRDefault="001171D1" w:rsidP="004050ED">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Total cost: EUR 1.65 million</w:t>
            </w:r>
          </w:p>
        </w:tc>
      </w:tr>
      <w:tr w:rsidR="003E26B7" w:rsidRPr="00BB4F42" w14:paraId="04D29C82" w14:textId="77777777" w:rsidTr="3F0F1197">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4F461C0" w14:textId="67877217" w:rsidR="001171D1" w:rsidRPr="00E71388" w:rsidRDefault="001171D1" w:rsidP="004050ED">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Businesses</w:t>
            </w:r>
          </w:p>
        </w:tc>
        <w:tc>
          <w:tcPr>
            <w:tcW w:w="877"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E56E62F" w14:textId="5230DC1B" w:rsidR="001171D1" w:rsidRPr="00E71388" w:rsidRDefault="001171D1" w:rsidP="004050ED">
            <w:pPr>
              <w:pStyle w:val="JRCText"/>
              <w:jc w:val="center"/>
              <w:rPr>
                <w:rFonts w:ascii="Times New Roman" w:hAnsi="Times New Roman" w:cs="Times New Roman"/>
                <w:noProof/>
                <w:color w:val="000000" w:themeColor="text1"/>
                <w:sz w:val="24"/>
                <w:szCs w:val="24"/>
              </w:rPr>
            </w:pPr>
          </w:p>
        </w:tc>
        <w:tc>
          <w:tcPr>
            <w:tcW w:w="161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36C94DF9" w14:textId="3778EC66" w:rsidR="001171D1" w:rsidRPr="00E71388" w:rsidRDefault="001171D1" w:rsidP="004050ED">
            <w:pPr>
              <w:pStyle w:val="JRCText"/>
              <w:jc w:val="center"/>
              <w:rPr>
                <w:rFonts w:ascii="Times New Roman" w:hAnsi="Times New Roman" w:cs="Times New Roman"/>
                <w:noProof/>
                <w:color w:val="000000" w:themeColor="text1"/>
                <w:sz w:val="24"/>
                <w:szCs w:val="24"/>
              </w:rPr>
            </w:pP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3C12C6F" w14:textId="3511D0CF" w:rsidR="001171D1" w:rsidRPr="00E71388" w:rsidRDefault="001171D1" w:rsidP="004050ED">
            <w:pPr>
              <w:pStyle w:val="JRCText"/>
              <w:jc w:val="center"/>
              <w:rPr>
                <w:rFonts w:ascii="Times New Roman" w:hAnsi="Times New Roman" w:cs="Times New Roman"/>
                <w:noProof/>
                <w:color w:val="000000" w:themeColor="text1"/>
                <w:sz w:val="24"/>
                <w:szCs w:val="24"/>
              </w:rPr>
            </w:pPr>
          </w:p>
        </w:tc>
      </w:tr>
      <w:tr w:rsidR="001171D1" w:rsidRPr="00BB4F42" w14:paraId="68B95D8D" w14:textId="77777777" w:rsidTr="3F0F1197">
        <w:trPr>
          <w:trHeight w:val="285"/>
        </w:trPr>
        <w:tc>
          <w:tcPr>
            <w:tcW w:w="1246" w:type="pct"/>
            <w:tcBorders>
              <w:top w:val="single" w:sz="6" w:space="0" w:color="auto"/>
              <w:left w:val="single" w:sz="6" w:space="0" w:color="auto"/>
              <w:bottom w:val="single" w:sz="6" w:space="0" w:color="auto"/>
              <w:right w:val="single" w:sz="6" w:space="0" w:color="auto"/>
            </w:tcBorders>
            <w:vAlign w:val="center"/>
            <w:hideMark/>
          </w:tcPr>
          <w:p w14:paraId="3A24EF42" w14:textId="0784612E"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(one off)</w:t>
            </w:r>
          </w:p>
        </w:tc>
        <w:tc>
          <w:tcPr>
            <w:tcW w:w="877" w:type="pct"/>
            <w:tcBorders>
              <w:top w:val="single" w:sz="6" w:space="0" w:color="auto"/>
              <w:left w:val="single" w:sz="6" w:space="0" w:color="auto"/>
              <w:bottom w:val="single" w:sz="6" w:space="0" w:color="auto"/>
              <w:right w:val="single" w:sz="6" w:space="0" w:color="auto"/>
            </w:tcBorders>
            <w:vAlign w:val="center"/>
            <w:hideMark/>
          </w:tcPr>
          <w:p w14:paraId="106522CA" w14:textId="06EF9EF0" w:rsidR="001171D1" w:rsidRPr="00E71388" w:rsidRDefault="001171D1" w:rsidP="004050ED">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EUR 0</w:t>
            </w:r>
            <w:r w:rsidR="002B5548" w:rsidRPr="00E71388">
              <w:rPr>
                <w:rFonts w:ascii="Times New Roman" w:hAnsi="Times New Roman" w:cs="Times New Roman"/>
                <w:noProof/>
                <w:color w:val="000000" w:themeColor="text1"/>
                <w:sz w:val="24"/>
                <w:szCs w:val="24"/>
              </w:rPr>
              <w:t xml:space="preserve"> (voluntary)</w:t>
            </w:r>
          </w:p>
        </w:tc>
        <w:tc>
          <w:tcPr>
            <w:tcW w:w="2877" w:type="pct"/>
            <w:gridSpan w:val="2"/>
            <w:tcBorders>
              <w:top w:val="single" w:sz="6" w:space="0" w:color="auto"/>
              <w:left w:val="single" w:sz="6" w:space="0" w:color="auto"/>
              <w:bottom w:val="single" w:sz="6" w:space="0" w:color="auto"/>
              <w:right w:val="single" w:sz="6" w:space="0" w:color="auto"/>
            </w:tcBorders>
            <w:vAlign w:val="center"/>
            <w:hideMark/>
          </w:tcPr>
          <w:p w14:paraId="39C253C3" w14:textId="6E5BCECA" w:rsidR="002B5548" w:rsidRPr="00E71388" w:rsidRDefault="002B5548" w:rsidP="002B5548">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FDI conditionalities</w:t>
            </w:r>
          </w:p>
          <w:p w14:paraId="423E120B" w14:textId="4D13CD3C" w:rsidR="001171D1" w:rsidRPr="00E71388" w:rsidRDefault="001171D1" w:rsidP="004050ED">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1 month FTE</w:t>
            </w:r>
          </w:p>
          <w:p w14:paraId="58967C54" w14:textId="19849066" w:rsidR="001171D1" w:rsidRPr="00E71388" w:rsidRDefault="07A05D9C" w:rsidP="004050ED">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N</w:t>
            </w:r>
            <w:r w:rsidR="00C0144F">
              <w:rPr>
                <w:rFonts w:ascii="Times New Roman" w:hAnsi="Times New Roman" w:cs="Times New Roman"/>
                <w:noProof/>
                <w:color w:val="000000" w:themeColor="text1"/>
                <w:sz w:val="24"/>
                <w:szCs w:val="24"/>
              </w:rPr>
              <w:t>o. of</w:t>
            </w:r>
            <w:r w:rsidRPr="00E71388">
              <w:rPr>
                <w:rFonts w:ascii="Times New Roman" w:hAnsi="Times New Roman" w:cs="Times New Roman"/>
                <w:noProof/>
                <w:color w:val="000000" w:themeColor="text1"/>
                <w:sz w:val="24"/>
                <w:szCs w:val="24"/>
              </w:rPr>
              <w:t xml:space="preserve"> companies affected: 25</w:t>
            </w:r>
            <w:r w:rsidR="5F06E745" w:rsidRPr="00E71388">
              <w:rPr>
                <w:rFonts w:ascii="Times New Roman" w:hAnsi="Times New Roman" w:cs="Times New Roman"/>
                <w:noProof/>
                <w:color w:val="000000" w:themeColor="text1"/>
                <w:sz w:val="24"/>
                <w:szCs w:val="24"/>
              </w:rPr>
              <w:t xml:space="preserve"> </w:t>
            </w:r>
            <w:r w:rsidRPr="00E71388">
              <w:rPr>
                <w:rFonts w:ascii="Times New Roman" w:hAnsi="Times New Roman" w:cs="Times New Roman"/>
                <w:noProof/>
                <w:color w:val="000000" w:themeColor="text1"/>
                <w:sz w:val="24"/>
                <w:szCs w:val="24"/>
              </w:rPr>
              <w:t>battery companies</w:t>
            </w:r>
            <w:r w:rsidR="00FE1560" w:rsidRPr="002837F7">
              <w:rPr>
                <w:rStyle w:val="FootnoteReference"/>
                <w:rFonts w:ascii="Times New Roman" w:hAnsi="Times New Roman" w:cs="Times New Roman"/>
                <w:noProof/>
                <w:color w:val="000000" w:themeColor="text1"/>
                <w:sz w:val="24"/>
                <w:szCs w:val="24"/>
              </w:rPr>
              <w:footnoteReference w:id="274"/>
            </w:r>
            <w:r w:rsidRPr="00E71388">
              <w:rPr>
                <w:rFonts w:ascii="Times New Roman" w:hAnsi="Times New Roman" w:cs="Times New Roman"/>
                <w:noProof/>
                <w:color w:val="000000" w:themeColor="text1"/>
                <w:sz w:val="24"/>
                <w:szCs w:val="24"/>
              </w:rPr>
              <w:t xml:space="preserve"> for notification and documentation of compliance with conditionalities.</w:t>
            </w:r>
          </w:p>
          <w:p w14:paraId="202C90BD" w14:textId="4D5D11AD" w:rsidR="001171D1" w:rsidRPr="004A466F" w:rsidRDefault="001171D1" w:rsidP="004050ED">
            <w:pPr>
              <w:pStyle w:val="JRCText"/>
              <w:jc w:val="center"/>
              <w:rPr>
                <w:rFonts w:ascii="Times New Roman" w:hAnsi="Times New Roman" w:cs="Times New Roman"/>
                <w:b/>
                <w:bCs/>
                <w:noProof/>
                <w:color w:val="000000" w:themeColor="text1"/>
                <w:sz w:val="24"/>
                <w:szCs w:val="24"/>
              </w:rPr>
            </w:pPr>
            <w:r w:rsidRPr="004A466F">
              <w:rPr>
                <w:rFonts w:ascii="Times New Roman" w:hAnsi="Times New Roman" w:cs="Times New Roman"/>
                <w:b/>
                <w:bCs/>
                <w:noProof/>
                <w:color w:val="000000" w:themeColor="text1"/>
                <w:sz w:val="24"/>
                <w:szCs w:val="24"/>
              </w:rPr>
              <w:t>Total cost: EUR 117</w:t>
            </w:r>
            <w:r w:rsidR="00B114A4" w:rsidRPr="004A466F">
              <w:rPr>
                <w:rFonts w:ascii="Times New Roman" w:hAnsi="Times New Roman" w:cs="Times New Roman"/>
                <w:b/>
                <w:bCs/>
                <w:noProof/>
                <w:color w:val="000000" w:themeColor="text1"/>
                <w:sz w:val="24"/>
                <w:szCs w:val="24"/>
              </w:rPr>
              <w:t xml:space="preserve"> </w:t>
            </w:r>
            <w:r w:rsidRPr="004A466F">
              <w:rPr>
                <w:rFonts w:ascii="Times New Roman" w:hAnsi="Times New Roman" w:cs="Times New Roman"/>
                <w:b/>
                <w:bCs/>
                <w:noProof/>
                <w:color w:val="000000" w:themeColor="text1"/>
                <w:sz w:val="24"/>
                <w:szCs w:val="24"/>
              </w:rPr>
              <w:t>600</w:t>
            </w:r>
          </w:p>
        </w:tc>
      </w:tr>
      <w:tr w:rsidR="003E26B7" w:rsidRPr="00BB4F42" w14:paraId="0B2303F5" w14:textId="77777777" w:rsidTr="3F0F1197">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7649AD9" w14:textId="1B5CF91E" w:rsidR="001171D1" w:rsidRPr="00E71388" w:rsidRDefault="001171D1" w:rsidP="004050ED">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European Commission</w:t>
            </w:r>
          </w:p>
        </w:tc>
        <w:tc>
          <w:tcPr>
            <w:tcW w:w="877"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9953ADE" w14:textId="58CDB89B" w:rsidR="001171D1" w:rsidRPr="00E71388" w:rsidRDefault="001171D1" w:rsidP="004050ED">
            <w:pPr>
              <w:pStyle w:val="JRCText"/>
              <w:jc w:val="center"/>
              <w:rPr>
                <w:rFonts w:ascii="Times New Roman" w:hAnsi="Times New Roman" w:cs="Times New Roman"/>
                <w:noProof/>
                <w:color w:val="000000" w:themeColor="text1"/>
                <w:sz w:val="24"/>
                <w:szCs w:val="24"/>
              </w:rPr>
            </w:pPr>
          </w:p>
        </w:tc>
        <w:tc>
          <w:tcPr>
            <w:tcW w:w="161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4D002DCA" w14:textId="673001CD" w:rsidR="001171D1" w:rsidRPr="00E71388" w:rsidRDefault="001171D1" w:rsidP="004050ED">
            <w:pPr>
              <w:pStyle w:val="JRCText"/>
              <w:jc w:val="center"/>
              <w:rPr>
                <w:rFonts w:ascii="Times New Roman" w:hAnsi="Times New Roman" w:cs="Times New Roman"/>
                <w:noProof/>
                <w:color w:val="000000" w:themeColor="text1"/>
                <w:sz w:val="24"/>
                <w:szCs w:val="24"/>
              </w:rPr>
            </w:pP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AE981BE" w14:textId="37C1FA1A" w:rsidR="001171D1" w:rsidRPr="00E71388" w:rsidRDefault="001171D1" w:rsidP="004050ED">
            <w:pPr>
              <w:pStyle w:val="JRCText"/>
              <w:jc w:val="center"/>
              <w:rPr>
                <w:rFonts w:ascii="Times New Roman" w:hAnsi="Times New Roman" w:cs="Times New Roman"/>
                <w:noProof/>
                <w:color w:val="000000" w:themeColor="text1"/>
                <w:sz w:val="24"/>
                <w:szCs w:val="24"/>
              </w:rPr>
            </w:pPr>
          </w:p>
        </w:tc>
      </w:tr>
      <w:tr w:rsidR="00A201A1" w:rsidRPr="00BB4F42" w14:paraId="051B46E4" w14:textId="77777777" w:rsidTr="3F0F1197">
        <w:trPr>
          <w:trHeight w:val="907"/>
        </w:trPr>
        <w:tc>
          <w:tcPr>
            <w:tcW w:w="124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95B8EBE" w14:textId="27A48F1D" w:rsidR="001171D1" w:rsidRPr="00E71388" w:rsidRDefault="001171D1" w:rsidP="004050ED">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(recurring)</w:t>
            </w:r>
          </w:p>
        </w:tc>
        <w:tc>
          <w:tcPr>
            <w:tcW w:w="87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B93C18" w14:textId="5C5DAF1A" w:rsidR="001171D1" w:rsidRPr="00E71388" w:rsidRDefault="001171D1" w:rsidP="004050ED">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½ </w:t>
            </w:r>
            <w:r w:rsidR="00DF2D61">
              <w:rPr>
                <w:rFonts w:ascii="Times New Roman" w:hAnsi="Times New Roman" w:cs="Times New Roman"/>
                <w:noProof/>
                <w:color w:val="000000" w:themeColor="text1"/>
                <w:sz w:val="24"/>
                <w:szCs w:val="24"/>
              </w:rPr>
              <w:t xml:space="preserve">year </w:t>
            </w:r>
            <w:r w:rsidRPr="00E71388">
              <w:rPr>
                <w:rFonts w:ascii="Times New Roman" w:hAnsi="Times New Roman" w:cs="Times New Roman"/>
                <w:noProof/>
                <w:color w:val="000000" w:themeColor="text1"/>
                <w:sz w:val="24"/>
                <w:szCs w:val="24"/>
              </w:rPr>
              <w:t xml:space="preserve">FTE </w:t>
            </w:r>
          </w:p>
          <w:p w14:paraId="6F36696D" w14:textId="47A00021" w:rsidR="001171D1" w:rsidRPr="00E71388" w:rsidRDefault="13485EF8" w:rsidP="004050ED">
            <w:pPr>
              <w:pStyle w:val="JRCText"/>
              <w:jc w:val="center"/>
              <w:rPr>
                <w:rFonts w:ascii="Times New Roman" w:hAnsi="Times New Roman" w:cs="Times New Roman"/>
                <w:noProof/>
                <w:color w:val="000000" w:themeColor="text1"/>
                <w:sz w:val="24"/>
                <w:szCs w:val="24"/>
              </w:rPr>
            </w:pPr>
            <w:r w:rsidRPr="51975683">
              <w:rPr>
                <w:rFonts w:ascii="Times New Roman" w:hAnsi="Times New Roman" w:cs="Times New Roman"/>
                <w:noProof/>
                <w:color w:val="000000" w:themeColor="text1"/>
                <w:sz w:val="24"/>
                <w:szCs w:val="24"/>
              </w:rPr>
              <w:t xml:space="preserve">Total cost: EUR </w:t>
            </w:r>
            <w:r w:rsidR="00C85493">
              <w:rPr>
                <w:rFonts w:ascii="Times New Roman" w:hAnsi="Times New Roman" w:cs="Times New Roman"/>
                <w:noProof/>
                <w:color w:val="000000" w:themeColor="text1"/>
                <w:sz w:val="24"/>
                <w:szCs w:val="24"/>
              </w:rPr>
              <w:t>97 000</w:t>
            </w:r>
          </w:p>
        </w:tc>
        <w:tc>
          <w:tcPr>
            <w:tcW w:w="2877" w:type="pct"/>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13678AC" w14:textId="44637629" w:rsidR="001171D1" w:rsidRPr="00E71388" w:rsidRDefault="001171D1" w:rsidP="004050ED">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3/4 </w:t>
            </w:r>
            <w:r w:rsidR="00DF2D61">
              <w:rPr>
                <w:rFonts w:ascii="Times New Roman" w:hAnsi="Times New Roman" w:cs="Times New Roman"/>
                <w:noProof/>
                <w:color w:val="000000" w:themeColor="text1"/>
                <w:sz w:val="24"/>
                <w:szCs w:val="24"/>
              </w:rPr>
              <w:t xml:space="preserve">year </w:t>
            </w:r>
            <w:r w:rsidRPr="00E71388">
              <w:rPr>
                <w:rFonts w:ascii="Times New Roman" w:hAnsi="Times New Roman" w:cs="Times New Roman"/>
                <w:noProof/>
                <w:color w:val="000000" w:themeColor="text1"/>
                <w:sz w:val="24"/>
                <w:szCs w:val="24"/>
              </w:rPr>
              <w:t xml:space="preserve">FTE </w:t>
            </w:r>
          </w:p>
          <w:p w14:paraId="41C030C1" w14:textId="32794442" w:rsidR="001171D1" w:rsidRPr="00E71388" w:rsidRDefault="13485EF8" w:rsidP="004050ED">
            <w:pPr>
              <w:pStyle w:val="JRCText"/>
              <w:jc w:val="center"/>
              <w:rPr>
                <w:rFonts w:ascii="Times New Roman" w:hAnsi="Times New Roman" w:cs="Times New Roman"/>
                <w:noProof/>
                <w:color w:val="000000" w:themeColor="text1"/>
                <w:sz w:val="24"/>
                <w:szCs w:val="24"/>
              </w:rPr>
            </w:pPr>
            <w:r w:rsidRPr="51975683">
              <w:rPr>
                <w:rFonts w:ascii="Times New Roman" w:hAnsi="Times New Roman" w:cs="Times New Roman"/>
                <w:noProof/>
                <w:color w:val="000000" w:themeColor="text1"/>
                <w:sz w:val="24"/>
                <w:szCs w:val="24"/>
              </w:rPr>
              <w:t xml:space="preserve">Total cost: EUR </w:t>
            </w:r>
            <w:r w:rsidR="008112BD">
              <w:rPr>
                <w:rFonts w:ascii="Times New Roman" w:hAnsi="Times New Roman" w:cs="Times New Roman"/>
                <w:noProof/>
                <w:color w:val="000000" w:themeColor="text1"/>
                <w:sz w:val="24"/>
                <w:szCs w:val="24"/>
              </w:rPr>
              <w:t xml:space="preserve">145 </w:t>
            </w:r>
            <w:r w:rsidR="006A70D5">
              <w:rPr>
                <w:rFonts w:ascii="Times New Roman" w:hAnsi="Times New Roman" w:cs="Times New Roman"/>
                <w:noProof/>
                <w:color w:val="000000" w:themeColor="text1"/>
                <w:sz w:val="24"/>
                <w:szCs w:val="24"/>
              </w:rPr>
              <w:t>5</w:t>
            </w:r>
            <w:r w:rsidR="008112BD">
              <w:rPr>
                <w:rFonts w:ascii="Times New Roman" w:hAnsi="Times New Roman" w:cs="Times New Roman"/>
                <w:noProof/>
                <w:color w:val="000000" w:themeColor="text1"/>
                <w:sz w:val="24"/>
                <w:szCs w:val="24"/>
              </w:rPr>
              <w:t>00</w:t>
            </w:r>
          </w:p>
        </w:tc>
      </w:tr>
    </w:tbl>
    <w:p w14:paraId="04F62828" w14:textId="77777777" w:rsidR="00857BD2" w:rsidRPr="00F261DB" w:rsidRDefault="00857BD2" w:rsidP="00A11E4D">
      <w:pPr>
        <w:pStyle w:val="JRCText"/>
        <w:spacing w:after="0" w:line="240" w:lineRule="auto"/>
        <w:jc w:val="both"/>
        <w:rPr>
          <w:rFonts w:ascii="Times New Roman" w:eastAsia="Times New Roman" w:hAnsi="Times New Roman" w:cs="Times New Roman"/>
          <w:b/>
          <w:noProof/>
          <w:color w:val="000000" w:themeColor="text1"/>
          <w:sz w:val="24"/>
          <w:szCs w:val="24"/>
        </w:rPr>
      </w:pPr>
    </w:p>
    <w:p w14:paraId="105C8EBF" w14:textId="6FA509BC" w:rsidR="001575E7" w:rsidRPr="00FF63D1" w:rsidRDefault="001575E7" w:rsidP="00F85380">
      <w:pPr>
        <w:spacing w:after="120"/>
        <w:rPr>
          <w:rFonts w:eastAsia="Times New Roman" w:cs="Times New Roman"/>
          <w:b/>
          <w:bCs/>
          <w:noProof/>
          <w:color w:val="000000" w:themeColor="text1"/>
          <w:szCs w:val="24"/>
        </w:rPr>
      </w:pPr>
      <w:r w:rsidRPr="00F85380">
        <w:rPr>
          <w:rFonts w:eastAsia="Times New Roman" w:cs="Times New Roman"/>
          <w:b/>
          <w:bCs/>
          <w:noProof/>
          <w:color w:val="000000" w:themeColor="text1"/>
          <w:szCs w:val="24"/>
        </w:rPr>
        <w:lastRenderedPageBreak/>
        <w:t>PERM</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3"/>
        <w:gridCol w:w="2363"/>
        <w:gridCol w:w="2363"/>
        <w:gridCol w:w="2393"/>
      </w:tblGrid>
      <w:tr w:rsidR="004A51B9" w:rsidRPr="00BB4F42" w14:paraId="140C4826" w14:textId="77777777" w:rsidTr="00F6365C">
        <w:trPr>
          <w:trHeight w:val="285"/>
          <w:tblHeader/>
        </w:trPr>
        <w:tc>
          <w:tcPr>
            <w:tcW w:w="1246" w:type="pct"/>
            <w:tcBorders>
              <w:top w:val="single" w:sz="6" w:space="0" w:color="auto"/>
              <w:left w:val="single" w:sz="6" w:space="0" w:color="auto"/>
              <w:bottom w:val="single" w:sz="6" w:space="0" w:color="auto"/>
              <w:right w:val="single" w:sz="6" w:space="0" w:color="auto"/>
            </w:tcBorders>
            <w:vAlign w:val="center"/>
            <w:hideMark/>
          </w:tcPr>
          <w:p w14:paraId="356E60E7" w14:textId="6B7A51C4" w:rsidR="004A51B9" w:rsidRPr="00E71388" w:rsidRDefault="00B67A0F" w:rsidP="004A51B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i/>
                <w:noProof/>
                <w:color w:val="000000" w:themeColor="text1"/>
                <w:sz w:val="24"/>
                <w:szCs w:val="24"/>
              </w:rPr>
              <w:t>PERM</w:t>
            </w:r>
          </w:p>
        </w:tc>
        <w:tc>
          <w:tcPr>
            <w:tcW w:w="3754" w:type="pct"/>
            <w:gridSpan w:val="3"/>
            <w:tcBorders>
              <w:top w:val="single" w:sz="6" w:space="0" w:color="auto"/>
              <w:left w:val="single" w:sz="6" w:space="0" w:color="auto"/>
              <w:bottom w:val="single" w:sz="6" w:space="0" w:color="auto"/>
              <w:right w:val="single" w:sz="6" w:space="0" w:color="auto"/>
            </w:tcBorders>
            <w:vAlign w:val="center"/>
            <w:hideMark/>
          </w:tcPr>
          <w:p w14:paraId="66884001" w14:textId="6467E6AC" w:rsidR="004A51B9" w:rsidRPr="00E71388" w:rsidRDefault="004A51B9" w:rsidP="004A51B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Difference to the baseline</w:t>
            </w:r>
          </w:p>
        </w:tc>
      </w:tr>
      <w:tr w:rsidR="004A51B9" w:rsidRPr="00BB4F42" w14:paraId="3D89493A" w14:textId="77777777" w:rsidTr="00F6365C">
        <w:trPr>
          <w:trHeight w:val="285"/>
          <w:tblHeader/>
        </w:trPr>
        <w:tc>
          <w:tcPr>
            <w:tcW w:w="1246" w:type="pct"/>
            <w:tcBorders>
              <w:top w:val="single" w:sz="6" w:space="0" w:color="auto"/>
              <w:left w:val="single" w:sz="6" w:space="0" w:color="auto"/>
              <w:bottom w:val="single" w:sz="6" w:space="0" w:color="auto"/>
              <w:right w:val="single" w:sz="6" w:space="0" w:color="auto"/>
            </w:tcBorders>
            <w:vAlign w:val="center"/>
            <w:hideMark/>
          </w:tcPr>
          <w:p w14:paraId="36388EDB" w14:textId="01094DF3" w:rsidR="004A51B9" w:rsidRPr="00E71388" w:rsidRDefault="004A51B9" w:rsidP="004A51B9">
            <w:pPr>
              <w:pStyle w:val="JRCText"/>
              <w:jc w:val="center"/>
              <w:rPr>
                <w:rFonts w:ascii="Times New Roman" w:hAnsi="Times New Roman" w:cs="Times New Roman"/>
                <w:b/>
                <w:noProof/>
                <w:color w:val="000000" w:themeColor="text1"/>
                <w:sz w:val="24"/>
                <w:szCs w:val="24"/>
              </w:rPr>
            </w:pPr>
          </w:p>
        </w:tc>
        <w:tc>
          <w:tcPr>
            <w:tcW w:w="1246" w:type="pct"/>
            <w:tcBorders>
              <w:top w:val="single" w:sz="6" w:space="0" w:color="auto"/>
              <w:left w:val="single" w:sz="6" w:space="0" w:color="auto"/>
              <w:bottom w:val="single" w:sz="6" w:space="0" w:color="auto"/>
              <w:right w:val="single" w:sz="6" w:space="0" w:color="auto"/>
            </w:tcBorders>
            <w:vAlign w:val="center"/>
            <w:hideMark/>
          </w:tcPr>
          <w:p w14:paraId="32CD321D" w14:textId="5D00013F" w:rsidR="004A51B9" w:rsidRPr="00E71388" w:rsidRDefault="004A51B9" w:rsidP="004A51B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PO1</w:t>
            </w:r>
          </w:p>
        </w:tc>
        <w:tc>
          <w:tcPr>
            <w:tcW w:w="1246" w:type="pct"/>
            <w:tcBorders>
              <w:top w:val="nil"/>
              <w:left w:val="single" w:sz="6" w:space="0" w:color="auto"/>
              <w:bottom w:val="single" w:sz="6" w:space="0" w:color="auto"/>
              <w:right w:val="single" w:sz="6" w:space="0" w:color="auto"/>
            </w:tcBorders>
            <w:vAlign w:val="center"/>
            <w:hideMark/>
          </w:tcPr>
          <w:p w14:paraId="0508521D" w14:textId="643CC0E7" w:rsidR="004A51B9" w:rsidRPr="00E71388" w:rsidRDefault="004A51B9" w:rsidP="004A51B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PO2</w:t>
            </w:r>
          </w:p>
        </w:tc>
        <w:tc>
          <w:tcPr>
            <w:tcW w:w="1262" w:type="pct"/>
            <w:tcBorders>
              <w:top w:val="nil"/>
              <w:left w:val="single" w:sz="6" w:space="0" w:color="auto"/>
              <w:bottom w:val="single" w:sz="6" w:space="0" w:color="auto"/>
              <w:right w:val="single" w:sz="6" w:space="0" w:color="auto"/>
            </w:tcBorders>
            <w:vAlign w:val="center"/>
            <w:hideMark/>
          </w:tcPr>
          <w:p w14:paraId="2B42D244" w14:textId="09C13C42" w:rsidR="004A51B9" w:rsidRPr="00E71388" w:rsidRDefault="004A51B9" w:rsidP="004A51B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PO3</w:t>
            </w:r>
          </w:p>
        </w:tc>
      </w:tr>
      <w:tr w:rsidR="00A201A1" w:rsidRPr="00BB4F42" w14:paraId="3CBDD6D1" w14:textId="77777777" w:rsidTr="1FA04443">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6CB1DB2" w14:textId="561A16B3" w:rsidR="004A51B9" w:rsidRPr="00E71388" w:rsidRDefault="004A51B9" w:rsidP="515F0D75">
            <w:pPr>
              <w:pStyle w:val="JRCText"/>
              <w:jc w:val="center"/>
              <w:rPr>
                <w:rFonts w:ascii="Times New Roman" w:eastAsia="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 xml:space="preserve">Member States </w:t>
            </w: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493F1785" w14:textId="60F25FA2" w:rsidR="004A51B9" w:rsidRPr="00E71388" w:rsidRDefault="004A51B9" w:rsidP="004A51B9">
            <w:pPr>
              <w:pStyle w:val="JRCText"/>
              <w:jc w:val="center"/>
              <w:rPr>
                <w:rFonts w:ascii="Times New Roman" w:hAnsi="Times New Roman" w:cs="Times New Roman"/>
                <w:b/>
                <w:noProof/>
                <w:color w:val="000000" w:themeColor="text1"/>
                <w:sz w:val="24"/>
                <w:szCs w:val="24"/>
              </w:rPr>
            </w:pP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4762BB3" w14:textId="4D4BAE8E" w:rsidR="004A51B9" w:rsidRPr="00E71388" w:rsidRDefault="004A51B9" w:rsidP="004A51B9">
            <w:pPr>
              <w:pStyle w:val="JRCText"/>
              <w:jc w:val="center"/>
              <w:rPr>
                <w:rFonts w:ascii="Times New Roman" w:hAnsi="Times New Roman" w:cs="Times New Roman"/>
                <w:b/>
                <w:noProof/>
                <w:color w:val="000000" w:themeColor="text1"/>
                <w:sz w:val="24"/>
                <w:szCs w:val="24"/>
              </w:rPr>
            </w:pP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4773877" w14:textId="6B745C38" w:rsidR="004A51B9" w:rsidRPr="00E71388" w:rsidRDefault="004A51B9" w:rsidP="004A51B9">
            <w:pPr>
              <w:pStyle w:val="JRCText"/>
              <w:jc w:val="center"/>
              <w:rPr>
                <w:rFonts w:ascii="Times New Roman" w:hAnsi="Times New Roman" w:cs="Times New Roman"/>
                <w:b/>
                <w:noProof/>
                <w:color w:val="000000" w:themeColor="text1"/>
                <w:sz w:val="24"/>
                <w:szCs w:val="24"/>
              </w:rPr>
            </w:pPr>
          </w:p>
        </w:tc>
      </w:tr>
      <w:tr w:rsidR="004A51B9" w:rsidRPr="00BB4F42" w14:paraId="7A297EA1" w14:textId="77777777" w:rsidTr="1FA04443">
        <w:trPr>
          <w:trHeight w:val="285"/>
        </w:trPr>
        <w:tc>
          <w:tcPr>
            <w:tcW w:w="1246" w:type="pct"/>
            <w:tcBorders>
              <w:top w:val="single" w:sz="6" w:space="0" w:color="auto"/>
              <w:left w:val="single" w:sz="6" w:space="0" w:color="auto"/>
              <w:bottom w:val="single" w:sz="6" w:space="0" w:color="auto"/>
              <w:right w:val="single" w:sz="6" w:space="0" w:color="auto"/>
            </w:tcBorders>
            <w:vAlign w:val="center"/>
            <w:hideMark/>
          </w:tcPr>
          <w:p w14:paraId="6446F588" w14:textId="6A02B9FE" w:rsidR="004A51B9" w:rsidRPr="00E71388" w:rsidRDefault="004A51B9" w:rsidP="004A51B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costs (recurring)</w:t>
            </w:r>
          </w:p>
        </w:tc>
        <w:tc>
          <w:tcPr>
            <w:tcW w:w="3754" w:type="pct"/>
            <w:gridSpan w:val="3"/>
            <w:tcBorders>
              <w:top w:val="single" w:sz="6" w:space="0" w:color="auto"/>
              <w:left w:val="single" w:sz="6" w:space="0" w:color="auto"/>
              <w:bottom w:val="single" w:sz="6" w:space="0" w:color="auto"/>
              <w:right w:val="single" w:sz="6" w:space="0" w:color="auto"/>
            </w:tcBorders>
            <w:vAlign w:val="center"/>
            <w:hideMark/>
          </w:tcPr>
          <w:p w14:paraId="45ADBF81" w14:textId="473CE95D" w:rsidR="002B5548" w:rsidRPr="00E71388" w:rsidRDefault="002B5548" w:rsidP="004A51B9">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Single Digital Gateway:</w:t>
            </w:r>
          </w:p>
          <w:p w14:paraId="511450F1" w14:textId="48FD2BD7" w:rsidR="004A51B9" w:rsidRPr="00E71388" w:rsidRDefault="03B26A31" w:rsidP="004A51B9">
            <w:pPr>
              <w:pStyle w:val="JRCText"/>
              <w:jc w:val="center"/>
              <w:rPr>
                <w:rFonts w:ascii="Times New Roman" w:hAnsi="Times New Roman" w:cs="Times New Roman"/>
                <w:noProof/>
                <w:color w:val="000000" w:themeColor="text1"/>
                <w:sz w:val="24"/>
                <w:szCs w:val="24"/>
              </w:rPr>
            </w:pPr>
            <w:r w:rsidRPr="1A2A8689">
              <w:rPr>
                <w:rFonts w:ascii="Times New Roman" w:hAnsi="Times New Roman" w:cs="Times New Roman"/>
                <w:noProof/>
                <w:color w:val="000000" w:themeColor="text1"/>
                <w:sz w:val="24"/>
                <w:szCs w:val="24"/>
              </w:rPr>
              <w:t xml:space="preserve"> </w:t>
            </w:r>
            <w:r w:rsidR="12C5E9F4" w:rsidRPr="1A2A8689">
              <w:rPr>
                <w:rFonts w:ascii="Times New Roman" w:hAnsi="Times New Roman" w:cs="Times New Roman"/>
                <w:noProof/>
                <w:color w:val="000000" w:themeColor="text1"/>
                <w:sz w:val="24"/>
                <w:szCs w:val="24"/>
              </w:rPr>
              <w:t>U</w:t>
            </w:r>
            <w:r w:rsidRPr="1A2A8689">
              <w:rPr>
                <w:rFonts w:ascii="Times New Roman" w:hAnsi="Times New Roman" w:cs="Times New Roman"/>
                <w:noProof/>
                <w:color w:val="000000" w:themeColor="text1"/>
                <w:sz w:val="24"/>
                <w:szCs w:val="24"/>
              </w:rPr>
              <w:t>p to EUR 40</w:t>
            </w:r>
            <w:r w:rsidR="217EA473" w:rsidRPr="1A2A8689">
              <w:rPr>
                <w:rFonts w:ascii="Times New Roman" w:hAnsi="Times New Roman" w:cs="Times New Roman"/>
                <w:noProof/>
                <w:color w:val="000000" w:themeColor="text1"/>
                <w:sz w:val="24"/>
                <w:szCs w:val="24"/>
              </w:rPr>
              <w:t xml:space="preserve"> </w:t>
            </w:r>
            <w:r w:rsidRPr="1A2A8689">
              <w:rPr>
                <w:rFonts w:ascii="Times New Roman" w:hAnsi="Times New Roman" w:cs="Times New Roman"/>
                <w:noProof/>
                <w:color w:val="000000" w:themeColor="text1"/>
                <w:sz w:val="24"/>
                <w:szCs w:val="24"/>
              </w:rPr>
              <w:t>000 annually per section</w:t>
            </w:r>
            <w:r w:rsidR="04413A10" w:rsidRPr="1A2A8689">
              <w:rPr>
                <w:rFonts w:ascii="Times New Roman" w:hAnsi="Times New Roman" w:cs="Times New Roman"/>
                <w:noProof/>
                <w:color w:val="000000" w:themeColor="text1"/>
                <w:sz w:val="24"/>
                <w:szCs w:val="24"/>
              </w:rPr>
              <w:t xml:space="preserve"> x 27</w:t>
            </w:r>
            <w:r w:rsidR="464FF7E6" w:rsidRPr="1A2A8689">
              <w:rPr>
                <w:rFonts w:ascii="Times New Roman" w:hAnsi="Times New Roman" w:cs="Times New Roman"/>
                <w:noProof/>
                <w:color w:val="000000" w:themeColor="text1"/>
                <w:sz w:val="24"/>
                <w:szCs w:val="24"/>
              </w:rPr>
              <w:t xml:space="preserve"> Member States</w:t>
            </w:r>
          </w:p>
          <w:p w14:paraId="1ACE5F44" w14:textId="478EF26A" w:rsidR="004A51B9" w:rsidRPr="00E71388" w:rsidRDefault="03B26A31" w:rsidP="004A51B9">
            <w:pPr>
              <w:pStyle w:val="JRCText"/>
              <w:jc w:val="center"/>
              <w:rPr>
                <w:rFonts w:ascii="Times New Roman" w:hAnsi="Times New Roman" w:cs="Times New Roman"/>
                <w:noProof/>
                <w:color w:val="000000" w:themeColor="text1"/>
                <w:sz w:val="24"/>
                <w:szCs w:val="24"/>
              </w:rPr>
            </w:pPr>
            <w:r w:rsidRPr="1A2A8689">
              <w:rPr>
                <w:rFonts w:ascii="Times New Roman" w:hAnsi="Times New Roman" w:cs="Times New Roman"/>
                <w:noProof/>
                <w:color w:val="000000" w:themeColor="text1"/>
                <w:sz w:val="24"/>
                <w:szCs w:val="24"/>
              </w:rPr>
              <w:t>Total cost: EUR 1</w:t>
            </w:r>
            <w:r w:rsidR="217EA473" w:rsidRPr="1A2A8689">
              <w:rPr>
                <w:rFonts w:ascii="Times New Roman" w:hAnsi="Times New Roman" w:cs="Times New Roman"/>
                <w:noProof/>
                <w:color w:val="000000" w:themeColor="text1"/>
                <w:sz w:val="24"/>
                <w:szCs w:val="24"/>
              </w:rPr>
              <w:t xml:space="preserve"> </w:t>
            </w:r>
            <w:r w:rsidRPr="1A2A8689">
              <w:rPr>
                <w:rFonts w:ascii="Times New Roman" w:hAnsi="Times New Roman" w:cs="Times New Roman"/>
                <w:noProof/>
                <w:color w:val="000000" w:themeColor="text1"/>
                <w:sz w:val="24"/>
                <w:szCs w:val="24"/>
              </w:rPr>
              <w:t>080</w:t>
            </w:r>
            <w:r w:rsidR="217EA473" w:rsidRPr="1A2A8689">
              <w:rPr>
                <w:rFonts w:ascii="Times New Roman" w:hAnsi="Times New Roman" w:cs="Times New Roman"/>
                <w:noProof/>
                <w:color w:val="000000" w:themeColor="text1"/>
                <w:sz w:val="24"/>
                <w:szCs w:val="24"/>
              </w:rPr>
              <w:t xml:space="preserve"> </w:t>
            </w:r>
            <w:r w:rsidRPr="1A2A8689">
              <w:rPr>
                <w:rFonts w:ascii="Times New Roman" w:hAnsi="Times New Roman" w:cs="Times New Roman"/>
                <w:noProof/>
                <w:color w:val="000000" w:themeColor="text1"/>
                <w:sz w:val="24"/>
                <w:szCs w:val="24"/>
              </w:rPr>
              <w:t>000</w:t>
            </w:r>
            <w:r w:rsidR="5BC88D98" w:rsidRPr="1A2A8689">
              <w:rPr>
                <w:rFonts w:ascii="Times New Roman" w:hAnsi="Times New Roman" w:cs="Times New Roman"/>
                <w:noProof/>
                <w:color w:val="000000" w:themeColor="text1"/>
                <w:sz w:val="24"/>
                <w:szCs w:val="24"/>
              </w:rPr>
              <w:t xml:space="preserve"> million</w:t>
            </w:r>
          </w:p>
        </w:tc>
      </w:tr>
      <w:tr w:rsidR="004A51B9" w:rsidRPr="00BB4F42" w14:paraId="7003FF6C" w14:textId="77777777" w:rsidTr="1FA04443">
        <w:trPr>
          <w:trHeight w:val="285"/>
        </w:trPr>
        <w:tc>
          <w:tcPr>
            <w:tcW w:w="1246" w:type="pct"/>
            <w:tcBorders>
              <w:top w:val="single" w:sz="6" w:space="0" w:color="auto"/>
              <w:left w:val="single" w:sz="6" w:space="0" w:color="auto"/>
              <w:bottom w:val="single" w:sz="6" w:space="0" w:color="auto"/>
              <w:right w:val="single" w:sz="6" w:space="0" w:color="auto"/>
            </w:tcBorders>
            <w:vAlign w:val="center"/>
            <w:hideMark/>
          </w:tcPr>
          <w:p w14:paraId="24EBD8E8" w14:textId="0A5F3516" w:rsidR="004A51B9" w:rsidRPr="00E71388" w:rsidRDefault="004A51B9" w:rsidP="004A51B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Administrative savings (recurring)</w:t>
            </w:r>
          </w:p>
        </w:tc>
        <w:tc>
          <w:tcPr>
            <w:tcW w:w="3754" w:type="pct"/>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034BAE" w14:textId="77777777" w:rsidR="002B5548" w:rsidRPr="00853C60" w:rsidRDefault="002B5548" w:rsidP="004A51B9">
            <w:pPr>
              <w:pStyle w:val="JRCText"/>
              <w:jc w:val="center"/>
              <w:rPr>
                <w:rFonts w:ascii="Times New Roman" w:hAnsi="Times New Roman" w:cs="Times New Roman"/>
                <w:i/>
                <w:noProof/>
                <w:color w:val="000000" w:themeColor="text1"/>
                <w:sz w:val="24"/>
                <w:szCs w:val="24"/>
              </w:rPr>
            </w:pPr>
            <w:r w:rsidRPr="00853C60">
              <w:rPr>
                <w:rFonts w:ascii="Times New Roman" w:hAnsi="Times New Roman" w:cs="Times New Roman"/>
                <w:i/>
                <w:noProof/>
                <w:color w:val="000000" w:themeColor="text1"/>
                <w:sz w:val="24"/>
                <w:szCs w:val="24"/>
              </w:rPr>
              <w:t>Digitalisation of permitting procedures</w:t>
            </w:r>
          </w:p>
          <w:p w14:paraId="4F835360" w14:textId="51F0B456" w:rsidR="006E7675" w:rsidRPr="00853C60" w:rsidRDefault="480ED17C" w:rsidP="004A51B9">
            <w:pPr>
              <w:pStyle w:val="JRCText"/>
              <w:jc w:val="center"/>
              <w:rPr>
                <w:rFonts w:ascii="Times New Roman" w:hAnsi="Times New Roman" w:cs="Times New Roman"/>
                <w:noProof/>
                <w:color w:val="000000" w:themeColor="text1"/>
                <w:sz w:val="24"/>
                <w:szCs w:val="24"/>
              </w:rPr>
            </w:pPr>
            <w:r w:rsidRPr="00853C60">
              <w:rPr>
                <w:rFonts w:ascii="Times New Roman" w:hAnsi="Times New Roman" w:cs="Times New Roman"/>
                <w:noProof/>
                <w:color w:val="000000" w:themeColor="text1"/>
                <w:sz w:val="24"/>
                <w:szCs w:val="24"/>
              </w:rPr>
              <w:t xml:space="preserve">Up to </w:t>
            </w:r>
            <w:r w:rsidR="25027C0C" w:rsidRPr="00853C60">
              <w:rPr>
                <w:rFonts w:ascii="Times New Roman" w:hAnsi="Times New Roman" w:cs="Times New Roman"/>
                <w:noProof/>
                <w:color w:val="000000" w:themeColor="text1"/>
                <w:sz w:val="24"/>
                <w:szCs w:val="24"/>
              </w:rPr>
              <w:t>79.4 million</w:t>
            </w:r>
            <w:r w:rsidR="0097683A" w:rsidRPr="00853C60">
              <w:rPr>
                <w:rStyle w:val="FootnoteReference"/>
                <w:rFonts w:ascii="Times New Roman" w:hAnsi="Times New Roman" w:cs="Times New Roman"/>
                <w:noProof/>
                <w:color w:val="000000" w:themeColor="text1"/>
                <w:sz w:val="24"/>
                <w:szCs w:val="24"/>
              </w:rPr>
              <w:footnoteReference w:id="275"/>
            </w:r>
            <w:r w:rsidR="25027C0C" w:rsidRPr="00853C60">
              <w:rPr>
                <w:rFonts w:ascii="Times New Roman" w:hAnsi="Times New Roman" w:cs="Times New Roman"/>
                <w:noProof/>
                <w:color w:val="000000" w:themeColor="text1"/>
                <w:sz w:val="24"/>
                <w:szCs w:val="24"/>
              </w:rPr>
              <w:t xml:space="preserve"> </w:t>
            </w:r>
            <w:r w:rsidRPr="00853C60">
              <w:rPr>
                <w:rFonts w:ascii="Times New Roman" w:hAnsi="Times New Roman" w:cs="Times New Roman"/>
                <w:noProof/>
                <w:color w:val="000000" w:themeColor="text1"/>
                <w:sz w:val="24"/>
                <w:szCs w:val="24"/>
              </w:rPr>
              <w:t xml:space="preserve">for </w:t>
            </w:r>
            <w:r w:rsidR="4EF0A7D6" w:rsidRPr="00853C60">
              <w:rPr>
                <w:rFonts w:ascii="Times New Roman" w:hAnsi="Times New Roman" w:cs="Times New Roman"/>
                <w:noProof/>
                <w:color w:val="000000" w:themeColor="text1"/>
                <w:sz w:val="24"/>
                <w:szCs w:val="24"/>
              </w:rPr>
              <w:t xml:space="preserve">one </w:t>
            </w:r>
            <w:r w:rsidR="2DD70BAF" w:rsidRPr="00853C60">
              <w:rPr>
                <w:rFonts w:ascii="Times New Roman" w:hAnsi="Times New Roman" w:cs="Times New Roman"/>
                <w:noProof/>
                <w:color w:val="000000" w:themeColor="text1"/>
                <w:sz w:val="24"/>
                <w:szCs w:val="24"/>
              </w:rPr>
              <w:t xml:space="preserve">Member State </w:t>
            </w:r>
            <w:r w:rsidR="4EF0A7D6" w:rsidRPr="00853C60">
              <w:rPr>
                <w:rFonts w:ascii="Times New Roman" w:hAnsi="Times New Roman" w:cs="Times New Roman"/>
                <w:noProof/>
                <w:color w:val="000000" w:themeColor="text1"/>
                <w:sz w:val="24"/>
                <w:szCs w:val="24"/>
              </w:rPr>
              <w:t xml:space="preserve">(the </w:t>
            </w:r>
            <w:r w:rsidR="1866775C" w:rsidRPr="00853C60">
              <w:rPr>
                <w:rFonts w:ascii="Times New Roman" w:hAnsi="Times New Roman" w:cs="Times New Roman"/>
                <w:noProof/>
                <w:color w:val="000000" w:themeColor="text1"/>
                <w:sz w:val="24"/>
                <w:szCs w:val="24"/>
              </w:rPr>
              <w:t>N</w:t>
            </w:r>
            <w:r w:rsidR="4EF0A7D6" w:rsidRPr="00853C60">
              <w:rPr>
                <w:rFonts w:ascii="Times New Roman" w:hAnsi="Times New Roman" w:cs="Times New Roman"/>
                <w:noProof/>
                <w:color w:val="000000" w:themeColor="text1"/>
                <w:sz w:val="24"/>
                <w:szCs w:val="24"/>
              </w:rPr>
              <w:t>etherlands</w:t>
            </w:r>
            <w:r w:rsidR="569C4B01" w:rsidRPr="00853C60">
              <w:rPr>
                <w:rFonts w:ascii="Times New Roman" w:hAnsi="Times New Roman" w:cs="Times New Roman"/>
                <w:noProof/>
                <w:color w:val="000000" w:themeColor="text1"/>
                <w:sz w:val="24"/>
                <w:szCs w:val="24"/>
              </w:rPr>
              <w:t xml:space="preserve"> as reference</w:t>
            </w:r>
            <w:r w:rsidR="1866775C" w:rsidRPr="00853C60">
              <w:rPr>
                <w:rFonts w:ascii="Times New Roman" w:hAnsi="Times New Roman" w:cs="Times New Roman"/>
                <w:noProof/>
                <w:color w:val="000000" w:themeColor="text1"/>
                <w:sz w:val="24"/>
                <w:szCs w:val="24"/>
              </w:rPr>
              <w:t>)</w:t>
            </w:r>
            <w:r w:rsidR="3865B962" w:rsidRPr="00853C60">
              <w:rPr>
                <w:rFonts w:ascii="Times New Roman" w:hAnsi="Times New Roman" w:cs="Times New Roman"/>
                <w:noProof/>
                <w:color w:val="000000" w:themeColor="text1"/>
                <w:sz w:val="24"/>
                <w:szCs w:val="24"/>
              </w:rPr>
              <w:t xml:space="preserve">, which </w:t>
            </w:r>
            <w:r w:rsidR="728634B6" w:rsidRPr="00853C60">
              <w:rPr>
                <w:rFonts w:ascii="Times New Roman" w:hAnsi="Times New Roman" w:cs="Times New Roman"/>
                <w:noProof/>
                <w:color w:val="000000" w:themeColor="text1"/>
                <w:sz w:val="24"/>
                <w:szCs w:val="24"/>
              </w:rPr>
              <w:t>accounts for</w:t>
            </w:r>
            <w:r w:rsidR="3865B962" w:rsidRPr="00853C60">
              <w:rPr>
                <w:rFonts w:ascii="Times New Roman" w:hAnsi="Times New Roman" w:cs="Times New Roman"/>
                <w:noProof/>
                <w:color w:val="000000" w:themeColor="text1"/>
                <w:sz w:val="24"/>
                <w:szCs w:val="24"/>
              </w:rPr>
              <w:t xml:space="preserve"> </w:t>
            </w:r>
            <w:r w:rsidR="25027C0C" w:rsidRPr="00853C60">
              <w:rPr>
                <w:rFonts w:ascii="Times New Roman" w:hAnsi="Times New Roman" w:cs="Times New Roman"/>
                <w:noProof/>
                <w:color w:val="000000" w:themeColor="text1"/>
                <w:sz w:val="24"/>
                <w:szCs w:val="24"/>
              </w:rPr>
              <w:t xml:space="preserve">6.1% </w:t>
            </w:r>
            <w:r w:rsidR="144DF7F6" w:rsidRPr="00853C60">
              <w:rPr>
                <w:rFonts w:ascii="Times New Roman" w:hAnsi="Times New Roman" w:cs="Times New Roman"/>
                <w:noProof/>
                <w:color w:val="000000" w:themeColor="text1"/>
                <w:sz w:val="24"/>
                <w:szCs w:val="24"/>
              </w:rPr>
              <w:t xml:space="preserve">EU </w:t>
            </w:r>
            <w:r w:rsidR="25027C0C" w:rsidRPr="00853C60">
              <w:rPr>
                <w:rFonts w:ascii="Times New Roman" w:hAnsi="Times New Roman" w:cs="Times New Roman"/>
                <w:noProof/>
                <w:color w:val="000000" w:themeColor="text1"/>
                <w:sz w:val="24"/>
                <w:szCs w:val="24"/>
              </w:rPr>
              <w:t>GDP</w:t>
            </w:r>
            <w:r w:rsidR="00FE1560">
              <w:rPr>
                <w:rFonts w:ascii="Times New Roman" w:hAnsi="Times New Roman" w:cs="Times New Roman"/>
                <w:noProof/>
                <w:color w:val="000000" w:themeColor="text1"/>
                <w:sz w:val="24"/>
                <w:szCs w:val="24"/>
              </w:rPr>
              <w:t>.</w:t>
            </w:r>
            <w:r w:rsidR="00514646" w:rsidRPr="00853C60">
              <w:rPr>
                <w:rStyle w:val="FootnoteReference"/>
                <w:rFonts w:ascii="Times New Roman" w:hAnsi="Times New Roman" w:cs="Times New Roman"/>
                <w:noProof/>
                <w:color w:val="000000" w:themeColor="text1"/>
                <w:sz w:val="24"/>
                <w:szCs w:val="24"/>
              </w:rPr>
              <w:footnoteReference w:id="276"/>
            </w:r>
            <w:r w:rsidR="144DF7F6" w:rsidRPr="00853C60">
              <w:rPr>
                <w:rFonts w:ascii="Times New Roman" w:hAnsi="Times New Roman" w:cs="Times New Roman"/>
                <w:noProof/>
                <w:color w:val="000000" w:themeColor="text1"/>
                <w:sz w:val="24"/>
                <w:szCs w:val="24"/>
              </w:rPr>
              <w:t xml:space="preserve"> </w:t>
            </w:r>
            <w:r w:rsidR="5791142C" w:rsidRPr="00853C60">
              <w:rPr>
                <w:rFonts w:ascii="Times New Roman" w:hAnsi="Times New Roman" w:cs="Times New Roman"/>
                <w:noProof/>
                <w:color w:val="000000" w:themeColor="text1"/>
                <w:sz w:val="24"/>
                <w:szCs w:val="24"/>
              </w:rPr>
              <w:t>T</w:t>
            </w:r>
            <w:r w:rsidR="144DF7F6" w:rsidRPr="00853C60">
              <w:rPr>
                <w:rFonts w:ascii="Times New Roman" w:hAnsi="Times New Roman" w:cs="Times New Roman"/>
                <w:noProof/>
                <w:color w:val="000000" w:themeColor="text1"/>
                <w:sz w:val="24"/>
                <w:szCs w:val="24"/>
              </w:rPr>
              <w:t>herefore</w:t>
            </w:r>
            <w:r w:rsidR="2189E8BE" w:rsidRPr="00853C60">
              <w:rPr>
                <w:rFonts w:ascii="Times New Roman" w:hAnsi="Times New Roman" w:cs="Times New Roman"/>
                <w:noProof/>
                <w:color w:val="000000" w:themeColor="text1"/>
                <w:sz w:val="24"/>
                <w:szCs w:val="24"/>
              </w:rPr>
              <w:t>, for the entire EU’s GDP,</w:t>
            </w:r>
            <w:r w:rsidR="5A18FF0F" w:rsidRPr="00853C60">
              <w:rPr>
                <w:rFonts w:ascii="Times New Roman" w:hAnsi="Times New Roman" w:cs="Times New Roman"/>
                <w:noProof/>
                <w:color w:val="000000" w:themeColor="text1"/>
                <w:sz w:val="24"/>
                <w:szCs w:val="24"/>
              </w:rPr>
              <w:t xml:space="preserve"> up to</w:t>
            </w:r>
            <w:r w:rsidR="2189E8BE" w:rsidRPr="00853C60">
              <w:rPr>
                <w:rFonts w:ascii="Times New Roman" w:hAnsi="Times New Roman" w:cs="Times New Roman"/>
                <w:noProof/>
                <w:color w:val="000000" w:themeColor="text1"/>
                <w:sz w:val="24"/>
                <w:szCs w:val="24"/>
              </w:rPr>
              <w:t xml:space="preserve"> EUR</w:t>
            </w:r>
            <w:r w:rsidR="144DF7F6" w:rsidRPr="00853C60">
              <w:rPr>
                <w:rFonts w:ascii="Times New Roman" w:hAnsi="Times New Roman" w:cs="Times New Roman"/>
                <w:noProof/>
                <w:color w:val="000000" w:themeColor="text1"/>
                <w:sz w:val="24"/>
                <w:szCs w:val="24"/>
              </w:rPr>
              <w:t xml:space="preserve"> 1.</w:t>
            </w:r>
            <w:r w:rsidR="5C781878" w:rsidRPr="00853C60">
              <w:rPr>
                <w:rFonts w:ascii="Times New Roman" w:hAnsi="Times New Roman" w:cs="Times New Roman"/>
                <w:noProof/>
                <w:color w:val="000000" w:themeColor="text1"/>
                <w:sz w:val="24"/>
                <w:szCs w:val="24"/>
              </w:rPr>
              <w:t>3</w:t>
            </w:r>
            <w:r w:rsidR="144DF7F6" w:rsidRPr="00853C60">
              <w:rPr>
                <w:rFonts w:ascii="Times New Roman" w:hAnsi="Times New Roman" w:cs="Times New Roman"/>
                <w:noProof/>
                <w:color w:val="000000" w:themeColor="text1"/>
                <w:sz w:val="24"/>
                <w:szCs w:val="24"/>
              </w:rPr>
              <w:t xml:space="preserve"> billion</w:t>
            </w:r>
            <w:r w:rsidR="6919CB67" w:rsidRPr="00853C60">
              <w:rPr>
                <w:rFonts w:ascii="Times New Roman" w:hAnsi="Times New Roman" w:cs="Times New Roman"/>
                <w:noProof/>
                <w:color w:val="000000" w:themeColor="text1"/>
                <w:sz w:val="24"/>
                <w:szCs w:val="24"/>
              </w:rPr>
              <w:t xml:space="preserve"> for </w:t>
            </w:r>
            <w:r w:rsidR="464FF7E6" w:rsidRPr="00853C60">
              <w:rPr>
                <w:rFonts w:ascii="Times New Roman" w:hAnsi="Times New Roman" w:cs="Times New Roman"/>
                <w:noProof/>
                <w:color w:val="000000" w:themeColor="text1"/>
                <w:sz w:val="24"/>
                <w:szCs w:val="24"/>
              </w:rPr>
              <w:t>Member State</w:t>
            </w:r>
            <w:r w:rsidR="6919CB67" w:rsidRPr="00853C60">
              <w:rPr>
                <w:rFonts w:ascii="Times New Roman" w:hAnsi="Times New Roman" w:cs="Times New Roman"/>
                <w:noProof/>
                <w:color w:val="000000" w:themeColor="text1"/>
                <w:sz w:val="24"/>
                <w:szCs w:val="24"/>
              </w:rPr>
              <w:t xml:space="preserve"> administrations</w:t>
            </w:r>
            <w:r w:rsidR="1460D7D1" w:rsidRPr="00853C60">
              <w:rPr>
                <w:rFonts w:ascii="Times New Roman" w:hAnsi="Times New Roman" w:cs="Times New Roman"/>
                <w:noProof/>
                <w:color w:val="000000" w:themeColor="text1"/>
                <w:sz w:val="24"/>
                <w:szCs w:val="24"/>
              </w:rPr>
              <w:t>.</w:t>
            </w:r>
          </w:p>
          <w:p w14:paraId="1BDFB3DE" w14:textId="26350526" w:rsidR="004A51B9" w:rsidRPr="00E71388" w:rsidRDefault="3677BF9A" w:rsidP="004A51B9">
            <w:pPr>
              <w:pStyle w:val="JRCText"/>
              <w:jc w:val="center"/>
              <w:rPr>
                <w:rFonts w:ascii="Times New Roman" w:hAnsi="Times New Roman" w:cs="Times New Roman"/>
                <w:noProof/>
                <w:color w:val="000000" w:themeColor="text1"/>
                <w:sz w:val="24"/>
                <w:szCs w:val="24"/>
              </w:rPr>
            </w:pPr>
            <w:r w:rsidRPr="00853C60">
              <w:rPr>
                <w:rFonts w:ascii="Times New Roman" w:hAnsi="Times New Roman" w:cs="Times New Roman"/>
                <w:noProof/>
                <w:color w:val="000000" w:themeColor="text1"/>
                <w:sz w:val="24"/>
                <w:szCs w:val="24"/>
              </w:rPr>
              <w:t xml:space="preserve">Total savings: </w:t>
            </w:r>
            <w:r w:rsidR="46FF06B0" w:rsidRPr="00853C60">
              <w:rPr>
                <w:rFonts w:ascii="Times New Roman" w:hAnsi="Times New Roman" w:cs="Times New Roman"/>
                <w:noProof/>
                <w:color w:val="000000" w:themeColor="text1"/>
                <w:sz w:val="24"/>
                <w:szCs w:val="24"/>
              </w:rPr>
              <w:t xml:space="preserve">Up to </w:t>
            </w:r>
            <w:r w:rsidRPr="00853C60">
              <w:rPr>
                <w:rFonts w:ascii="Times New Roman" w:hAnsi="Times New Roman" w:cs="Times New Roman"/>
                <w:noProof/>
                <w:color w:val="000000" w:themeColor="text1"/>
                <w:sz w:val="24"/>
                <w:szCs w:val="24"/>
              </w:rPr>
              <w:t xml:space="preserve">EUR </w:t>
            </w:r>
            <w:r w:rsidR="442854CA" w:rsidRPr="00853C60">
              <w:rPr>
                <w:rFonts w:ascii="Times New Roman" w:hAnsi="Times New Roman" w:cs="Times New Roman"/>
                <w:noProof/>
                <w:color w:val="000000" w:themeColor="text1"/>
                <w:sz w:val="24"/>
                <w:szCs w:val="24"/>
              </w:rPr>
              <w:t>1.</w:t>
            </w:r>
            <w:r w:rsidR="78EDC2F9" w:rsidRPr="00853C60">
              <w:rPr>
                <w:rFonts w:ascii="Times New Roman" w:hAnsi="Times New Roman" w:cs="Times New Roman"/>
                <w:noProof/>
                <w:color w:val="000000" w:themeColor="text1"/>
                <w:sz w:val="24"/>
                <w:szCs w:val="24"/>
              </w:rPr>
              <w:t>3</w:t>
            </w:r>
            <w:r w:rsidR="442854CA" w:rsidRPr="00853C60">
              <w:rPr>
                <w:rFonts w:ascii="Times New Roman" w:hAnsi="Times New Roman" w:cs="Times New Roman"/>
                <w:noProof/>
                <w:color w:val="000000" w:themeColor="text1"/>
                <w:sz w:val="24"/>
                <w:szCs w:val="24"/>
              </w:rPr>
              <w:t xml:space="preserve"> billion</w:t>
            </w:r>
            <w:r w:rsidR="004E4956" w:rsidRPr="00853C60">
              <w:rPr>
                <w:rStyle w:val="FootnoteReference"/>
                <w:rFonts w:ascii="Times New Roman" w:hAnsi="Times New Roman" w:cs="Times New Roman"/>
                <w:noProof/>
                <w:color w:val="000000" w:themeColor="text1"/>
                <w:sz w:val="24"/>
                <w:szCs w:val="24"/>
              </w:rPr>
              <w:footnoteReference w:id="277"/>
            </w:r>
          </w:p>
        </w:tc>
      </w:tr>
      <w:tr w:rsidR="00A201A1" w:rsidRPr="00BB4F42" w14:paraId="2CB7C7D9" w14:textId="77777777" w:rsidTr="1FA04443">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tcPr>
          <w:p w14:paraId="523A32AA" w14:textId="7C929AE0" w:rsidR="008C681B" w:rsidRPr="00E71388" w:rsidRDefault="00416257" w:rsidP="004A51B9">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Businesses</w:t>
            </w: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tcPr>
          <w:p w14:paraId="1DB677C1" w14:textId="77777777" w:rsidR="008C681B" w:rsidRPr="00E71388" w:rsidRDefault="008C681B" w:rsidP="004A51B9">
            <w:pPr>
              <w:pStyle w:val="JRCText"/>
              <w:jc w:val="center"/>
              <w:rPr>
                <w:rFonts w:ascii="Times New Roman" w:hAnsi="Times New Roman" w:cs="Times New Roman"/>
                <w:noProof/>
                <w:color w:val="FFFFFF" w:themeColor="background1"/>
                <w:sz w:val="24"/>
                <w:szCs w:val="24"/>
              </w:rPr>
            </w:pP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tcPr>
          <w:p w14:paraId="7C1CF257" w14:textId="77777777" w:rsidR="008C681B" w:rsidRPr="00E71388" w:rsidRDefault="008C681B" w:rsidP="004A51B9">
            <w:pPr>
              <w:pStyle w:val="JRCText"/>
              <w:jc w:val="center"/>
              <w:rPr>
                <w:rFonts w:ascii="Times New Roman" w:hAnsi="Times New Roman" w:cs="Times New Roman"/>
                <w:noProof/>
                <w:color w:val="FFFFFF" w:themeColor="background1"/>
                <w:sz w:val="24"/>
                <w:szCs w:val="24"/>
              </w:rPr>
            </w:pP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tcPr>
          <w:p w14:paraId="7D89DB87" w14:textId="77777777" w:rsidR="008C681B" w:rsidRPr="00E71388" w:rsidRDefault="008C681B" w:rsidP="004A51B9">
            <w:pPr>
              <w:pStyle w:val="JRCText"/>
              <w:jc w:val="center"/>
              <w:rPr>
                <w:rFonts w:ascii="Times New Roman" w:hAnsi="Times New Roman" w:cs="Times New Roman"/>
                <w:noProof/>
                <w:color w:val="FFFFFF" w:themeColor="background1"/>
                <w:sz w:val="24"/>
                <w:szCs w:val="24"/>
              </w:rPr>
            </w:pPr>
          </w:p>
        </w:tc>
      </w:tr>
      <w:tr w:rsidR="00C63042" w:rsidRPr="00BB4F42" w14:paraId="29605A84" w14:textId="77777777" w:rsidTr="1FA04443">
        <w:trPr>
          <w:trHeight w:val="285"/>
        </w:trPr>
        <w:tc>
          <w:tcPr>
            <w:tcW w:w="1246" w:type="pct"/>
            <w:tcBorders>
              <w:top w:val="single" w:sz="6" w:space="0" w:color="auto"/>
              <w:left w:val="single" w:sz="6" w:space="0" w:color="auto"/>
              <w:bottom w:val="single" w:sz="6" w:space="0" w:color="auto"/>
              <w:right w:val="single" w:sz="6" w:space="0" w:color="auto"/>
            </w:tcBorders>
            <w:vAlign w:val="center"/>
          </w:tcPr>
          <w:p w14:paraId="2946DB76" w14:textId="77777777" w:rsidR="00BB5F79" w:rsidRPr="00E71388" w:rsidRDefault="00416257" w:rsidP="004A51B9">
            <w:pPr>
              <w:pStyle w:val="JRCText"/>
              <w:jc w:val="center"/>
              <w:rPr>
                <w:rFonts w:ascii="Times New Roman" w:hAnsi="Times New Roman" w:cs="Times New Roman"/>
                <w:b/>
                <w:noProof/>
                <w:sz w:val="24"/>
                <w:szCs w:val="24"/>
              </w:rPr>
            </w:pPr>
            <w:r w:rsidRPr="00E71388">
              <w:rPr>
                <w:rFonts w:ascii="Times New Roman" w:hAnsi="Times New Roman" w:cs="Times New Roman"/>
                <w:b/>
                <w:noProof/>
                <w:sz w:val="24"/>
                <w:szCs w:val="24"/>
              </w:rPr>
              <w:t>Administrative savings</w:t>
            </w:r>
          </w:p>
          <w:p w14:paraId="44173546" w14:textId="6501C5CA" w:rsidR="008C681B" w:rsidRPr="00E71388" w:rsidRDefault="00416257" w:rsidP="004A51B9">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sz w:val="24"/>
                <w:szCs w:val="24"/>
              </w:rPr>
              <w:t xml:space="preserve">(one-off) </w:t>
            </w:r>
          </w:p>
        </w:tc>
        <w:tc>
          <w:tcPr>
            <w:tcW w:w="3754" w:type="pct"/>
            <w:gridSpan w:val="3"/>
            <w:tcBorders>
              <w:top w:val="single" w:sz="6" w:space="0" w:color="auto"/>
              <w:left w:val="single" w:sz="6" w:space="0" w:color="auto"/>
              <w:bottom w:val="single" w:sz="6" w:space="0" w:color="auto"/>
              <w:right w:val="single" w:sz="6" w:space="0" w:color="auto"/>
            </w:tcBorders>
            <w:vAlign w:val="center"/>
          </w:tcPr>
          <w:p w14:paraId="66D6DA8D" w14:textId="1778687E" w:rsidR="005E5F22" w:rsidRPr="00E71388" w:rsidRDefault="005E5F22" w:rsidP="004A51B9">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Digitalisation of permitting procedures</w:t>
            </w:r>
          </w:p>
          <w:p w14:paraId="45A0155D" w14:textId="4C7A1ADB" w:rsidR="008C681B" w:rsidRPr="00E71388" w:rsidRDefault="00416257" w:rsidP="004A51B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EUR 240 million</w:t>
            </w:r>
            <w:r w:rsidR="009F7C27" w:rsidRPr="00E71388">
              <w:rPr>
                <w:rFonts w:ascii="Times New Roman" w:hAnsi="Times New Roman" w:cs="Times New Roman"/>
                <w:noProof/>
                <w:color w:val="000000" w:themeColor="text1"/>
                <w:sz w:val="24"/>
                <w:szCs w:val="24"/>
              </w:rPr>
              <w:t xml:space="preserve">, annualised at 28.14 million over a </w:t>
            </w:r>
            <w:r w:rsidR="009F7C27" w:rsidRPr="00402046">
              <w:rPr>
                <w:rFonts w:ascii="Times New Roman" w:hAnsi="Times New Roman" w:cs="Times New Roman"/>
                <w:noProof/>
                <w:color w:val="000000" w:themeColor="text1"/>
                <w:sz w:val="24"/>
                <w:szCs w:val="24"/>
              </w:rPr>
              <w:t>10</w:t>
            </w:r>
            <w:r w:rsidR="00402046" w:rsidRPr="00402046">
              <w:rPr>
                <w:rFonts w:ascii="Times New Roman" w:hAnsi="Times New Roman" w:cs="Times New Roman"/>
                <w:noProof/>
                <w:color w:val="000000" w:themeColor="text1"/>
                <w:sz w:val="24"/>
                <w:szCs w:val="24"/>
              </w:rPr>
              <w:t>-</w:t>
            </w:r>
            <w:r w:rsidR="009F7C27" w:rsidRPr="00402046">
              <w:rPr>
                <w:rFonts w:ascii="Times New Roman" w:hAnsi="Times New Roman" w:cs="Times New Roman"/>
                <w:noProof/>
                <w:color w:val="000000" w:themeColor="text1"/>
                <w:sz w:val="24"/>
                <w:szCs w:val="24"/>
              </w:rPr>
              <w:t>year</w:t>
            </w:r>
            <w:r w:rsidR="009F7C27" w:rsidRPr="00E71388">
              <w:rPr>
                <w:rFonts w:ascii="Times New Roman" w:hAnsi="Times New Roman" w:cs="Times New Roman"/>
                <w:noProof/>
                <w:color w:val="000000" w:themeColor="text1"/>
                <w:sz w:val="24"/>
                <w:szCs w:val="24"/>
              </w:rPr>
              <w:t xml:space="preserve"> period</w:t>
            </w:r>
          </w:p>
        </w:tc>
      </w:tr>
      <w:tr w:rsidR="00A201A1" w:rsidRPr="00BB4F42" w14:paraId="3B770557" w14:textId="77777777" w:rsidTr="1FA04443">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62891E1" w14:textId="11ADBD3E" w:rsidR="004A51B9" w:rsidRPr="00E71388" w:rsidRDefault="004A51B9" w:rsidP="004A51B9">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European Commission</w:t>
            </w: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D711B6F" w14:textId="5141B6CF" w:rsidR="004A51B9" w:rsidRPr="00E71388" w:rsidRDefault="004A51B9" w:rsidP="004A51B9">
            <w:pPr>
              <w:pStyle w:val="JRCText"/>
              <w:jc w:val="center"/>
              <w:rPr>
                <w:rFonts w:ascii="Times New Roman" w:hAnsi="Times New Roman" w:cs="Times New Roman"/>
                <w:noProof/>
                <w:color w:val="000000" w:themeColor="text1"/>
                <w:sz w:val="24"/>
                <w:szCs w:val="24"/>
              </w:rPr>
            </w:pPr>
          </w:p>
        </w:tc>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7366217" w14:textId="610F0162" w:rsidR="004A51B9" w:rsidRPr="00E71388" w:rsidRDefault="004A51B9" w:rsidP="004A51B9">
            <w:pPr>
              <w:pStyle w:val="JRCText"/>
              <w:jc w:val="center"/>
              <w:rPr>
                <w:rFonts w:ascii="Times New Roman" w:hAnsi="Times New Roman" w:cs="Times New Roman"/>
                <w:noProof/>
                <w:color w:val="000000" w:themeColor="text1"/>
                <w:sz w:val="24"/>
                <w:szCs w:val="24"/>
              </w:rPr>
            </w:pPr>
          </w:p>
        </w:tc>
        <w:tc>
          <w:tcPr>
            <w:tcW w:w="126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C5DF46D" w14:textId="17B4F2CE" w:rsidR="004A51B9" w:rsidRPr="00E71388" w:rsidRDefault="004A51B9" w:rsidP="004A51B9">
            <w:pPr>
              <w:pStyle w:val="JRCText"/>
              <w:jc w:val="center"/>
              <w:rPr>
                <w:rFonts w:ascii="Times New Roman" w:hAnsi="Times New Roman" w:cs="Times New Roman"/>
                <w:noProof/>
                <w:color w:val="000000" w:themeColor="text1"/>
                <w:sz w:val="24"/>
                <w:szCs w:val="24"/>
              </w:rPr>
            </w:pPr>
          </w:p>
        </w:tc>
      </w:tr>
      <w:tr w:rsidR="004A51B9" w:rsidRPr="00BB4F42" w14:paraId="4FCBB489" w14:textId="77777777" w:rsidTr="1FA04443">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14AB4D" w14:textId="561EB8B5" w:rsidR="004A51B9" w:rsidRPr="00E71388" w:rsidRDefault="004A51B9" w:rsidP="004A51B9">
            <w:pPr>
              <w:pStyle w:val="JRCText"/>
              <w:jc w:val="center"/>
              <w:rPr>
                <w:rFonts w:ascii="Times New Roman" w:eastAsia="Times New Roman" w:hAnsi="Times New Roman" w:cs="Times New Roman"/>
                <w:b/>
                <w:noProof/>
                <w:color w:val="000000" w:themeColor="text1"/>
                <w:sz w:val="24"/>
                <w:szCs w:val="24"/>
              </w:rPr>
            </w:pPr>
            <w:r w:rsidRPr="00E71388">
              <w:rPr>
                <w:rFonts w:ascii="Times New Roman" w:eastAsia="Times New Roman" w:hAnsi="Times New Roman" w:cs="Times New Roman"/>
                <w:b/>
                <w:noProof/>
                <w:color w:val="000000" w:themeColor="text1"/>
                <w:sz w:val="24"/>
                <w:szCs w:val="24"/>
              </w:rPr>
              <w:t>Administrative costs (one</w:t>
            </w:r>
            <w:r w:rsidR="00E82547">
              <w:rPr>
                <w:rFonts w:ascii="Times New Roman" w:eastAsia="Times New Roman" w:hAnsi="Times New Roman" w:cs="Times New Roman"/>
                <w:b/>
                <w:noProof/>
                <w:color w:val="000000" w:themeColor="text1"/>
                <w:sz w:val="24"/>
                <w:szCs w:val="24"/>
              </w:rPr>
              <w:t>-</w:t>
            </w:r>
            <w:r w:rsidRPr="00E71388">
              <w:rPr>
                <w:rFonts w:ascii="Times New Roman" w:eastAsia="Times New Roman" w:hAnsi="Times New Roman" w:cs="Times New Roman"/>
                <w:b/>
                <w:noProof/>
                <w:color w:val="000000" w:themeColor="text1"/>
                <w:sz w:val="24"/>
                <w:szCs w:val="24"/>
              </w:rPr>
              <w:t>off and recurring)</w:t>
            </w:r>
          </w:p>
        </w:tc>
        <w:tc>
          <w:tcPr>
            <w:tcW w:w="3754" w:type="pct"/>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A1C9135" w14:textId="03336DEA" w:rsidR="00E76027" w:rsidRPr="00E71388" w:rsidRDefault="00E76027" w:rsidP="004A51B9">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i/>
                <w:noProof/>
                <w:color w:val="000000" w:themeColor="text1"/>
                <w:sz w:val="24"/>
                <w:szCs w:val="24"/>
              </w:rPr>
              <w:t>Single Digital Gateway:</w:t>
            </w:r>
          </w:p>
          <w:p w14:paraId="5CCDEDB8" w14:textId="198263DC" w:rsidR="004A51B9" w:rsidRPr="00E71388" w:rsidRDefault="004A51B9" w:rsidP="004A51B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Investment in the back-end SDG system EUR 20</w:t>
            </w:r>
            <w:r w:rsidR="00B8591D">
              <w:rPr>
                <w:rFonts w:ascii="Times New Roman" w:hAnsi="Times New Roman" w:cs="Times New Roman"/>
                <w:noProof/>
                <w:color w:val="000000" w:themeColor="text1"/>
                <w:sz w:val="24"/>
                <w:szCs w:val="24"/>
              </w:rPr>
              <w:t xml:space="preserve"> </w:t>
            </w:r>
            <w:r w:rsidRPr="00E71388">
              <w:rPr>
                <w:rFonts w:ascii="Times New Roman" w:hAnsi="Times New Roman" w:cs="Times New Roman"/>
                <w:noProof/>
                <w:color w:val="000000" w:themeColor="text1"/>
                <w:sz w:val="24"/>
                <w:szCs w:val="24"/>
              </w:rPr>
              <w:t>000 (one –off)</w:t>
            </w:r>
          </w:p>
          <w:p w14:paraId="346EDAC0" w14:textId="34BA477D" w:rsidR="004A51B9" w:rsidRPr="00E71388" w:rsidRDefault="004A51B9" w:rsidP="004A51B9">
            <w:pPr>
              <w:pStyle w:val="JRCText"/>
              <w:jc w:val="center"/>
              <w:rPr>
                <w:rFonts w:ascii="Times New Roman" w:eastAsia="Times New Roman" w:hAnsi="Times New Roman" w:cs="Times New Roman"/>
                <w:noProof/>
                <w:color w:val="000000" w:themeColor="text1"/>
                <w:sz w:val="24"/>
                <w:szCs w:val="24"/>
              </w:rPr>
            </w:pPr>
            <w:r w:rsidRPr="00E71388">
              <w:rPr>
                <w:rFonts w:ascii="Times New Roman" w:eastAsia="Times New Roman" w:hAnsi="Times New Roman" w:cs="Times New Roman"/>
                <w:noProof/>
                <w:color w:val="000000" w:themeColor="text1"/>
                <w:sz w:val="24"/>
                <w:szCs w:val="24"/>
              </w:rPr>
              <w:t>EUR 20</w:t>
            </w:r>
            <w:r w:rsidR="00B8591D">
              <w:rPr>
                <w:rFonts w:ascii="Times New Roman" w:eastAsia="Times New Roman" w:hAnsi="Times New Roman" w:cs="Times New Roman"/>
                <w:noProof/>
                <w:color w:val="000000" w:themeColor="text1"/>
                <w:sz w:val="24"/>
                <w:szCs w:val="24"/>
              </w:rPr>
              <w:t xml:space="preserve"> </w:t>
            </w:r>
            <w:r w:rsidRPr="00E71388">
              <w:rPr>
                <w:rFonts w:ascii="Times New Roman" w:eastAsia="Times New Roman" w:hAnsi="Times New Roman" w:cs="Times New Roman"/>
                <w:noProof/>
                <w:color w:val="000000" w:themeColor="text1"/>
                <w:sz w:val="24"/>
                <w:szCs w:val="24"/>
              </w:rPr>
              <w:t xml:space="preserve">000 for expanding Annex I of the </w:t>
            </w:r>
            <w:r w:rsidR="00C87684">
              <w:rPr>
                <w:rFonts w:ascii="Times New Roman" w:eastAsia="Times New Roman" w:hAnsi="Times New Roman" w:cs="Times New Roman"/>
                <w:noProof/>
                <w:color w:val="000000" w:themeColor="text1"/>
                <w:sz w:val="24"/>
                <w:szCs w:val="24"/>
              </w:rPr>
              <w:t>SDGR</w:t>
            </w:r>
            <w:r w:rsidR="00C87684" w:rsidRPr="00E71388">
              <w:rPr>
                <w:rFonts w:ascii="Times New Roman" w:eastAsia="Times New Roman" w:hAnsi="Times New Roman" w:cs="Times New Roman"/>
                <w:noProof/>
                <w:color w:val="000000" w:themeColor="text1"/>
                <w:sz w:val="24"/>
                <w:szCs w:val="24"/>
              </w:rPr>
              <w:t xml:space="preserve"> </w:t>
            </w:r>
            <w:r w:rsidRPr="00E71388">
              <w:rPr>
                <w:rFonts w:ascii="Times New Roman" w:eastAsia="Times New Roman" w:hAnsi="Times New Roman" w:cs="Times New Roman"/>
                <w:noProof/>
                <w:color w:val="000000" w:themeColor="text1"/>
                <w:sz w:val="24"/>
                <w:szCs w:val="24"/>
              </w:rPr>
              <w:t>with permitting (Your Europe Portal – recurring)</w:t>
            </w:r>
          </w:p>
          <w:p w14:paraId="1BCAD7F6" w14:textId="17F82CB7" w:rsidR="004A51B9" w:rsidRPr="004A466F" w:rsidRDefault="004A51B9" w:rsidP="004A51B9">
            <w:pPr>
              <w:pStyle w:val="JRCText"/>
              <w:jc w:val="center"/>
              <w:rPr>
                <w:rFonts w:ascii="Times New Roman" w:hAnsi="Times New Roman" w:cs="Times New Roman"/>
                <w:b/>
                <w:bCs/>
                <w:noProof/>
                <w:color w:val="000000" w:themeColor="text1"/>
                <w:sz w:val="24"/>
                <w:szCs w:val="24"/>
              </w:rPr>
            </w:pPr>
            <w:r w:rsidRPr="004A466F">
              <w:rPr>
                <w:rFonts w:ascii="Times New Roman" w:hAnsi="Times New Roman" w:cs="Times New Roman"/>
                <w:b/>
                <w:bCs/>
                <w:noProof/>
                <w:color w:val="000000" w:themeColor="text1"/>
                <w:sz w:val="24"/>
                <w:szCs w:val="24"/>
              </w:rPr>
              <w:t>Total cost: EUR 40</w:t>
            </w:r>
            <w:r w:rsidR="00B8591D" w:rsidRPr="004A466F">
              <w:rPr>
                <w:rFonts w:ascii="Times New Roman" w:hAnsi="Times New Roman" w:cs="Times New Roman"/>
                <w:b/>
                <w:bCs/>
                <w:noProof/>
                <w:color w:val="000000" w:themeColor="text1"/>
                <w:sz w:val="24"/>
                <w:szCs w:val="24"/>
              </w:rPr>
              <w:t xml:space="preserve"> </w:t>
            </w:r>
            <w:r w:rsidRPr="004A466F">
              <w:rPr>
                <w:rFonts w:ascii="Times New Roman" w:hAnsi="Times New Roman" w:cs="Times New Roman"/>
                <w:b/>
                <w:bCs/>
                <w:noProof/>
                <w:color w:val="000000" w:themeColor="text1"/>
                <w:sz w:val="24"/>
                <w:szCs w:val="24"/>
              </w:rPr>
              <w:t>000</w:t>
            </w:r>
            <w:r w:rsidR="00CD42AD">
              <w:rPr>
                <w:rFonts w:ascii="Times New Roman" w:hAnsi="Times New Roman" w:cs="Times New Roman"/>
                <w:b/>
                <w:bCs/>
                <w:noProof/>
                <w:color w:val="000000" w:themeColor="text1"/>
                <w:sz w:val="24"/>
                <w:szCs w:val="24"/>
              </w:rPr>
              <w:t xml:space="preserve"> </w:t>
            </w:r>
          </w:p>
        </w:tc>
      </w:tr>
    </w:tbl>
    <w:p w14:paraId="5DB594E4" w14:textId="77777777" w:rsidR="00F85380" w:rsidRPr="00FF63D1" w:rsidRDefault="00F85380" w:rsidP="00A11E4D">
      <w:pPr>
        <w:pStyle w:val="JRCText"/>
        <w:spacing w:after="0" w:line="240" w:lineRule="auto"/>
        <w:jc w:val="both"/>
        <w:rPr>
          <w:rFonts w:ascii="Times New Roman" w:eastAsia="Times New Roman" w:hAnsi="Times New Roman" w:cs="Times New Roman"/>
          <w:b/>
          <w:noProof/>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65"/>
        <w:gridCol w:w="2364"/>
        <w:gridCol w:w="2364"/>
        <w:gridCol w:w="2395"/>
      </w:tblGrid>
      <w:tr w:rsidR="00F53CB8" w:rsidRPr="00BB4F42" w14:paraId="676F33E4" w14:textId="77777777" w:rsidTr="00853C60">
        <w:trPr>
          <w:trHeight w:val="285"/>
          <w:tblHeader/>
        </w:trPr>
        <w:tc>
          <w:tcPr>
            <w:tcW w:w="1246" w:type="pct"/>
            <w:vAlign w:val="center"/>
            <w:hideMark/>
          </w:tcPr>
          <w:p w14:paraId="6FDB58E4" w14:textId="6F522DDA" w:rsidR="00F53CB8" w:rsidRPr="00E71388" w:rsidRDefault="00A17846" w:rsidP="009B4917">
            <w:pPr>
              <w:pStyle w:val="JRCText"/>
              <w:rPr>
                <w:rFonts w:ascii="Times New Roman" w:hAnsi="Times New Roman" w:cs="Times New Roman"/>
                <w:b/>
                <w:noProof/>
                <w:color w:val="000000" w:themeColor="text1"/>
                <w:sz w:val="24"/>
                <w:szCs w:val="24"/>
              </w:rPr>
            </w:pPr>
            <w:r w:rsidRPr="002837F7">
              <w:rPr>
                <w:rFonts w:ascii="Times New Roman" w:eastAsia="Times New Roman" w:hAnsi="Times New Roman" w:cs="Times New Roman"/>
                <w:b/>
                <w:noProof/>
                <w:color w:val="000000" w:themeColor="text1"/>
                <w:sz w:val="24"/>
                <w:szCs w:val="24"/>
              </w:rPr>
              <w:lastRenderedPageBreak/>
              <w:t>AREA</w:t>
            </w:r>
          </w:p>
        </w:tc>
        <w:tc>
          <w:tcPr>
            <w:tcW w:w="3754" w:type="pct"/>
            <w:gridSpan w:val="3"/>
            <w:vAlign w:val="center"/>
            <w:hideMark/>
          </w:tcPr>
          <w:p w14:paraId="4CEE2787" w14:textId="6F28EA69" w:rsidR="00F53CB8" w:rsidRPr="00E71388" w:rsidRDefault="00F53CB8" w:rsidP="00F53CB8">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Difference to the baseline</w:t>
            </w:r>
          </w:p>
        </w:tc>
      </w:tr>
      <w:tr w:rsidR="00F53CB8" w:rsidRPr="00BB4F42" w14:paraId="5FF64046" w14:textId="77777777" w:rsidTr="00B1679C">
        <w:trPr>
          <w:trHeight w:val="285"/>
          <w:tblHeader/>
        </w:trPr>
        <w:tc>
          <w:tcPr>
            <w:tcW w:w="1246" w:type="pct"/>
            <w:vAlign w:val="center"/>
            <w:hideMark/>
          </w:tcPr>
          <w:p w14:paraId="3026A778" w14:textId="0FB5AC11" w:rsidR="00F53CB8" w:rsidRPr="00E71388" w:rsidRDefault="00F53CB8" w:rsidP="00F53CB8">
            <w:pPr>
              <w:pStyle w:val="JRCText"/>
              <w:jc w:val="center"/>
              <w:rPr>
                <w:rFonts w:ascii="Times New Roman" w:hAnsi="Times New Roman" w:cs="Times New Roman"/>
                <w:b/>
                <w:noProof/>
                <w:color w:val="000000" w:themeColor="text1"/>
                <w:sz w:val="24"/>
                <w:szCs w:val="24"/>
              </w:rPr>
            </w:pPr>
          </w:p>
        </w:tc>
        <w:tc>
          <w:tcPr>
            <w:tcW w:w="1246" w:type="pct"/>
            <w:vAlign w:val="center"/>
            <w:hideMark/>
          </w:tcPr>
          <w:p w14:paraId="55F360D0" w14:textId="4796CDA2" w:rsidR="00F53CB8" w:rsidRPr="00E71388" w:rsidRDefault="00F53CB8" w:rsidP="00F53CB8">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PO1</w:t>
            </w:r>
          </w:p>
        </w:tc>
        <w:tc>
          <w:tcPr>
            <w:tcW w:w="1246" w:type="pct"/>
            <w:vAlign w:val="center"/>
            <w:hideMark/>
          </w:tcPr>
          <w:p w14:paraId="74D5EA92" w14:textId="7F5BA84C" w:rsidR="00F53CB8" w:rsidRPr="00E71388" w:rsidRDefault="00F53CB8" w:rsidP="00F53CB8">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PO2</w:t>
            </w:r>
          </w:p>
        </w:tc>
        <w:tc>
          <w:tcPr>
            <w:tcW w:w="1262" w:type="pct"/>
            <w:vAlign w:val="center"/>
            <w:hideMark/>
          </w:tcPr>
          <w:p w14:paraId="4D94C92A" w14:textId="7A5473C0" w:rsidR="00F53CB8" w:rsidRPr="00E71388" w:rsidRDefault="00F53CB8" w:rsidP="00F53CB8">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PO3</w:t>
            </w:r>
          </w:p>
        </w:tc>
      </w:tr>
      <w:tr w:rsidR="00F53CB8" w:rsidRPr="00BB4F42" w14:paraId="2766A675" w14:textId="77777777" w:rsidTr="1A2A8689">
        <w:trPr>
          <w:trHeight w:val="285"/>
        </w:trPr>
        <w:tc>
          <w:tcPr>
            <w:tcW w:w="1246" w:type="pct"/>
            <w:shd w:val="clear" w:color="auto" w:fill="215E99" w:themeFill="text2" w:themeFillTint="BF"/>
            <w:vAlign w:val="center"/>
            <w:hideMark/>
          </w:tcPr>
          <w:p w14:paraId="050CAC7A" w14:textId="3923699A" w:rsidR="00F53CB8" w:rsidRPr="00E71388" w:rsidRDefault="00F53CB8" w:rsidP="515F0D75">
            <w:pPr>
              <w:pStyle w:val="JRCText"/>
              <w:jc w:val="center"/>
              <w:rPr>
                <w:rFonts w:ascii="Times New Roman" w:eastAsia="Times New Roman" w:hAnsi="Times New Roman" w:cs="Times New Roman"/>
                <w:b/>
                <w:noProof/>
                <w:color w:val="000000" w:themeColor="text1"/>
                <w:sz w:val="24"/>
                <w:szCs w:val="24"/>
              </w:rPr>
            </w:pPr>
            <w:r w:rsidRPr="00E71388">
              <w:rPr>
                <w:rFonts w:ascii="Times New Roman" w:hAnsi="Times New Roman" w:cs="Times New Roman"/>
                <w:b/>
                <w:noProof/>
                <w:color w:val="FFFFFF" w:themeColor="background1"/>
                <w:sz w:val="24"/>
                <w:szCs w:val="24"/>
              </w:rPr>
              <w:t xml:space="preserve">Member States </w:t>
            </w:r>
          </w:p>
        </w:tc>
        <w:tc>
          <w:tcPr>
            <w:tcW w:w="1246" w:type="pct"/>
            <w:shd w:val="clear" w:color="auto" w:fill="215E99" w:themeFill="text2" w:themeFillTint="BF"/>
            <w:vAlign w:val="center"/>
            <w:hideMark/>
          </w:tcPr>
          <w:p w14:paraId="52417F23" w14:textId="5F107B8A" w:rsidR="00F53CB8" w:rsidRPr="00E71388" w:rsidRDefault="00F53CB8" w:rsidP="00F53CB8">
            <w:pPr>
              <w:pStyle w:val="JRCText"/>
              <w:jc w:val="center"/>
              <w:rPr>
                <w:rFonts w:ascii="Times New Roman" w:hAnsi="Times New Roman" w:cs="Times New Roman"/>
                <w:b/>
                <w:noProof/>
                <w:color w:val="000000" w:themeColor="text1"/>
                <w:sz w:val="24"/>
                <w:szCs w:val="24"/>
              </w:rPr>
            </w:pPr>
          </w:p>
        </w:tc>
        <w:tc>
          <w:tcPr>
            <w:tcW w:w="1246" w:type="pct"/>
            <w:shd w:val="clear" w:color="auto" w:fill="215E99" w:themeFill="text2" w:themeFillTint="BF"/>
            <w:vAlign w:val="center"/>
            <w:hideMark/>
          </w:tcPr>
          <w:p w14:paraId="35B7521C" w14:textId="166055EC" w:rsidR="00F53CB8" w:rsidRPr="00E71388" w:rsidRDefault="00F53CB8" w:rsidP="00F53CB8">
            <w:pPr>
              <w:pStyle w:val="JRCText"/>
              <w:jc w:val="center"/>
              <w:rPr>
                <w:rFonts w:ascii="Times New Roman" w:hAnsi="Times New Roman" w:cs="Times New Roman"/>
                <w:b/>
                <w:noProof/>
                <w:color w:val="000000" w:themeColor="text1"/>
                <w:sz w:val="24"/>
                <w:szCs w:val="24"/>
              </w:rPr>
            </w:pPr>
          </w:p>
        </w:tc>
        <w:tc>
          <w:tcPr>
            <w:tcW w:w="1262" w:type="pct"/>
            <w:shd w:val="clear" w:color="auto" w:fill="215E99" w:themeFill="text2" w:themeFillTint="BF"/>
            <w:vAlign w:val="center"/>
            <w:hideMark/>
          </w:tcPr>
          <w:p w14:paraId="54D5C154" w14:textId="08CCEAB9" w:rsidR="00F53CB8" w:rsidRPr="00E71388" w:rsidRDefault="00F53CB8" w:rsidP="00F53CB8">
            <w:pPr>
              <w:pStyle w:val="JRCText"/>
              <w:jc w:val="center"/>
              <w:rPr>
                <w:rFonts w:ascii="Times New Roman" w:hAnsi="Times New Roman" w:cs="Times New Roman"/>
                <w:b/>
                <w:noProof/>
                <w:color w:val="000000" w:themeColor="text1"/>
                <w:sz w:val="24"/>
                <w:szCs w:val="24"/>
              </w:rPr>
            </w:pPr>
          </w:p>
        </w:tc>
      </w:tr>
      <w:tr w:rsidR="00F53CB8" w:rsidRPr="00BB4F42" w14:paraId="762C7BC9" w14:textId="77777777" w:rsidTr="1A2A8689">
        <w:trPr>
          <w:trHeight w:val="285"/>
        </w:trPr>
        <w:tc>
          <w:tcPr>
            <w:tcW w:w="1246" w:type="pct"/>
            <w:vAlign w:val="center"/>
            <w:hideMark/>
          </w:tcPr>
          <w:p w14:paraId="5C1F39E0" w14:textId="3BF58745" w:rsidR="00F53CB8" w:rsidRPr="00E71388" w:rsidRDefault="00F53CB8" w:rsidP="00F53CB8">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 xml:space="preserve">Administrative costs </w:t>
            </w:r>
            <w:r w:rsidR="003571D9" w:rsidRPr="00E71388">
              <w:rPr>
                <w:rFonts w:ascii="Times New Roman" w:hAnsi="Times New Roman" w:cs="Times New Roman"/>
                <w:b/>
                <w:noProof/>
                <w:color w:val="000000" w:themeColor="text1"/>
                <w:sz w:val="24"/>
                <w:szCs w:val="24"/>
              </w:rPr>
              <w:t>(</w:t>
            </w:r>
            <w:r w:rsidR="6C8596AD" w:rsidRPr="14FD641A">
              <w:rPr>
                <w:rFonts w:ascii="Times New Roman" w:hAnsi="Times New Roman" w:cs="Times New Roman"/>
                <w:b/>
                <w:bCs/>
                <w:noProof/>
                <w:color w:val="000000" w:themeColor="text1"/>
                <w:sz w:val="24"/>
                <w:szCs w:val="24"/>
              </w:rPr>
              <w:t>recurring</w:t>
            </w:r>
            <w:r w:rsidR="003571D9" w:rsidRPr="00E71388">
              <w:rPr>
                <w:rFonts w:ascii="Times New Roman" w:hAnsi="Times New Roman" w:cs="Times New Roman"/>
                <w:b/>
                <w:noProof/>
                <w:color w:val="000000" w:themeColor="text1"/>
                <w:sz w:val="24"/>
                <w:szCs w:val="24"/>
              </w:rPr>
              <w:t>)</w:t>
            </w:r>
          </w:p>
        </w:tc>
        <w:tc>
          <w:tcPr>
            <w:tcW w:w="1246" w:type="pct"/>
            <w:vAlign w:val="center"/>
            <w:hideMark/>
          </w:tcPr>
          <w:p w14:paraId="34FC241C" w14:textId="3E593A35" w:rsidR="00F53CB8" w:rsidRPr="00E71388" w:rsidRDefault="00F53CB8" w:rsidP="00F53CB8">
            <w:pPr>
              <w:pStyle w:val="JRCText"/>
              <w:jc w:val="center"/>
              <w:rPr>
                <w:rFonts w:ascii="Times New Roman" w:hAnsi="Times New Roman" w:cs="Times New Roman"/>
                <w:noProof/>
                <w:sz w:val="24"/>
                <w:szCs w:val="24"/>
              </w:rPr>
            </w:pPr>
            <w:r w:rsidRPr="00E71388">
              <w:rPr>
                <w:rFonts w:ascii="Times New Roman" w:hAnsi="Times New Roman" w:cs="Times New Roman"/>
                <w:noProof/>
                <w:sz w:val="24"/>
                <w:szCs w:val="24"/>
              </w:rPr>
              <w:t>EUR 0 (voluntary)</w:t>
            </w:r>
          </w:p>
        </w:tc>
        <w:tc>
          <w:tcPr>
            <w:tcW w:w="2508" w:type="pct"/>
            <w:gridSpan w:val="2"/>
            <w:vAlign w:val="center"/>
            <w:hideMark/>
          </w:tcPr>
          <w:p w14:paraId="0AA894A5" w14:textId="25415858" w:rsidR="007C36B4" w:rsidRPr="00E71388" w:rsidRDefault="007C36B4" w:rsidP="00F53CB8">
            <w:pPr>
              <w:pStyle w:val="JRCText"/>
              <w:jc w:val="center"/>
              <w:rPr>
                <w:rFonts w:ascii="Times New Roman" w:hAnsi="Times New Roman" w:cs="Times New Roman"/>
                <w:i/>
                <w:noProof/>
                <w:sz w:val="24"/>
                <w:szCs w:val="24"/>
              </w:rPr>
            </w:pPr>
            <w:r w:rsidRPr="00E71388">
              <w:rPr>
                <w:rFonts w:ascii="Times New Roman" w:hAnsi="Times New Roman" w:cs="Times New Roman"/>
                <w:i/>
                <w:noProof/>
                <w:sz w:val="24"/>
                <w:szCs w:val="24"/>
              </w:rPr>
              <w:t>Designation of industrial area</w:t>
            </w:r>
          </w:p>
          <w:p w14:paraId="15E8F560" w14:textId="2B9ACBDB" w:rsidR="00F53CB8" w:rsidRPr="00E71388" w:rsidRDefault="15478688" w:rsidP="00F53CB8">
            <w:pPr>
              <w:pStyle w:val="JRCText"/>
              <w:jc w:val="center"/>
              <w:rPr>
                <w:rFonts w:ascii="Times New Roman" w:hAnsi="Times New Roman" w:cs="Times New Roman"/>
                <w:noProof/>
                <w:sz w:val="24"/>
                <w:szCs w:val="24"/>
              </w:rPr>
            </w:pPr>
            <w:r w:rsidRPr="1A2A8689">
              <w:rPr>
                <w:rFonts w:ascii="Times New Roman" w:hAnsi="Times New Roman" w:cs="Times New Roman"/>
                <w:noProof/>
                <w:sz w:val="24"/>
                <w:szCs w:val="24"/>
              </w:rPr>
              <w:t xml:space="preserve">1 FTE </w:t>
            </w:r>
            <w:r w:rsidR="00A39F40" w:rsidRPr="1A2A8689">
              <w:rPr>
                <w:rFonts w:ascii="Times New Roman" w:hAnsi="Times New Roman" w:cs="Times New Roman"/>
                <w:noProof/>
                <w:sz w:val="24"/>
                <w:szCs w:val="24"/>
              </w:rPr>
              <w:t>x 27</w:t>
            </w:r>
            <w:r w:rsidR="464FF7E6" w:rsidRPr="1A2A8689">
              <w:rPr>
                <w:rFonts w:ascii="Times New Roman" w:hAnsi="Times New Roman" w:cs="Times New Roman"/>
                <w:noProof/>
                <w:sz w:val="24"/>
                <w:szCs w:val="24"/>
              </w:rPr>
              <w:t xml:space="preserve"> Member States</w:t>
            </w:r>
          </w:p>
          <w:p w14:paraId="251A1F38" w14:textId="13B9B65B" w:rsidR="00F53CB8" w:rsidRPr="00E71388" w:rsidRDefault="00F53CB8" w:rsidP="00F53CB8">
            <w:pPr>
              <w:pStyle w:val="JRCText"/>
              <w:jc w:val="center"/>
              <w:rPr>
                <w:rFonts w:ascii="Times New Roman" w:hAnsi="Times New Roman" w:cs="Times New Roman"/>
                <w:noProof/>
                <w:sz w:val="24"/>
                <w:szCs w:val="24"/>
              </w:rPr>
            </w:pPr>
            <w:r w:rsidRPr="00E71388">
              <w:rPr>
                <w:rFonts w:ascii="Times New Roman" w:hAnsi="Times New Roman" w:cs="Times New Roman"/>
                <w:noProof/>
                <w:sz w:val="24"/>
                <w:szCs w:val="24"/>
              </w:rPr>
              <w:t>Total cost: EUR 1.65 million</w:t>
            </w:r>
          </w:p>
        </w:tc>
      </w:tr>
    </w:tbl>
    <w:p w14:paraId="033D8184" w14:textId="26E6B59A" w:rsidR="001575E7" w:rsidRDefault="001575E7" w:rsidP="00F85380">
      <w:pPr>
        <w:pStyle w:val="JRCText"/>
        <w:rPr>
          <w:b/>
          <w:noProof/>
          <w:sz w:val="24"/>
          <w:szCs w:val="24"/>
          <w:lang w:val="en-IE"/>
        </w:rPr>
      </w:pPr>
    </w:p>
    <w:p w14:paraId="49466DB8" w14:textId="29326DAC" w:rsidR="00DE7556" w:rsidRPr="001D3556" w:rsidRDefault="00B1679C" w:rsidP="001D3556">
      <w:pPr>
        <w:pStyle w:val="JRCText"/>
        <w:jc w:val="both"/>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A</w:t>
      </w:r>
      <w:r w:rsidR="00DE7556" w:rsidRPr="1FA04443">
        <w:rPr>
          <w:rFonts w:ascii="Times New Roman" w:hAnsi="Times New Roman" w:cs="Times New Roman"/>
          <w:b/>
          <w:bCs/>
          <w:noProof/>
          <w:color w:val="000000" w:themeColor="text1"/>
          <w:sz w:val="24"/>
          <w:szCs w:val="24"/>
        </w:rPr>
        <w:t>dministrative costs</w:t>
      </w:r>
      <w:r>
        <w:rPr>
          <w:rFonts w:ascii="Times New Roman" w:hAnsi="Times New Roman" w:cs="Times New Roman"/>
          <w:b/>
          <w:bCs/>
          <w:noProof/>
          <w:color w:val="000000" w:themeColor="text1"/>
          <w:sz w:val="24"/>
          <w:szCs w:val="24"/>
        </w:rPr>
        <w:t xml:space="preserve"> total</w:t>
      </w:r>
    </w:p>
    <w:tbl>
      <w:tblPr>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13"/>
        <w:gridCol w:w="1489"/>
        <w:gridCol w:w="1356"/>
        <w:gridCol w:w="1356"/>
        <w:gridCol w:w="1449"/>
        <w:gridCol w:w="1013"/>
        <w:gridCol w:w="1206"/>
      </w:tblGrid>
      <w:tr w:rsidR="00423411" w:rsidRPr="00423411" w14:paraId="40A3234E" w14:textId="77777777" w:rsidTr="00B1679C">
        <w:trPr>
          <w:gridAfter w:val="2"/>
          <w:wAfter w:w="1170" w:type="pct"/>
          <w:trHeight w:val="300"/>
          <w:tblHeader/>
        </w:trPr>
        <w:tc>
          <w:tcPr>
            <w:tcW w:w="851" w:type="pct"/>
            <w:tcBorders>
              <w:top w:val="single" w:sz="6" w:space="0" w:color="auto"/>
              <w:left w:val="single" w:sz="6" w:space="0" w:color="auto"/>
              <w:bottom w:val="single" w:sz="6" w:space="0" w:color="auto"/>
              <w:right w:val="single" w:sz="6" w:space="0" w:color="auto"/>
            </w:tcBorders>
            <w:hideMark/>
          </w:tcPr>
          <w:p w14:paraId="3B8077B3" w14:textId="6222E08F" w:rsidR="006D4B83" w:rsidRPr="004A466F" w:rsidRDefault="006D4B83" w:rsidP="003005AF">
            <w:pPr>
              <w:spacing w:before="240" w:after="160"/>
              <w:jc w:val="center"/>
              <w:rPr>
                <w:rFonts w:cs="Times New Roman"/>
                <w:b/>
                <w:bCs/>
                <w:noProof/>
                <w:sz w:val="22"/>
                <w:szCs w:val="20"/>
              </w:rPr>
            </w:pPr>
            <w:r w:rsidRPr="004A466F">
              <w:rPr>
                <w:rFonts w:cs="Times New Roman"/>
                <w:b/>
                <w:bCs/>
                <w:noProof/>
                <w:sz w:val="22"/>
                <w:szCs w:val="20"/>
              </w:rPr>
              <w:t>TOTAL</w:t>
            </w:r>
          </w:p>
        </w:tc>
        <w:tc>
          <w:tcPr>
            <w:tcW w:w="2978" w:type="pct"/>
            <w:gridSpan w:val="4"/>
            <w:tcBorders>
              <w:top w:val="single" w:sz="6" w:space="0" w:color="auto"/>
              <w:left w:val="single" w:sz="6" w:space="0" w:color="auto"/>
              <w:bottom w:val="single" w:sz="6" w:space="0" w:color="auto"/>
            </w:tcBorders>
          </w:tcPr>
          <w:p w14:paraId="4BD49E62" w14:textId="7B529093" w:rsidR="006D4B83" w:rsidRPr="004A466F" w:rsidRDefault="006D4B83" w:rsidP="2DBFBE59">
            <w:pPr>
              <w:spacing w:before="240" w:after="160"/>
              <w:jc w:val="center"/>
              <w:rPr>
                <w:rFonts w:cs="Times New Roman"/>
                <w:b/>
                <w:bCs/>
                <w:noProof/>
                <w:sz w:val="22"/>
                <w:szCs w:val="20"/>
              </w:rPr>
            </w:pPr>
            <w:r w:rsidRPr="004A466F">
              <w:rPr>
                <w:rFonts w:cs="Times New Roman"/>
                <w:b/>
                <w:bCs/>
                <w:noProof/>
                <w:sz w:val="22"/>
                <w:szCs w:val="20"/>
              </w:rPr>
              <w:t>Difference to the baseline</w:t>
            </w:r>
          </w:p>
        </w:tc>
      </w:tr>
      <w:tr w:rsidR="00B1679C" w:rsidRPr="00423411" w14:paraId="5243825F" w14:textId="77777777" w:rsidTr="00B1679C">
        <w:trPr>
          <w:trHeight w:val="422"/>
          <w:tblHeader/>
        </w:trPr>
        <w:tc>
          <w:tcPr>
            <w:tcW w:w="851" w:type="pct"/>
            <w:tcBorders>
              <w:left w:val="single" w:sz="6" w:space="0" w:color="auto"/>
              <w:bottom w:val="single" w:sz="6" w:space="0" w:color="auto"/>
              <w:right w:val="single" w:sz="6" w:space="0" w:color="auto"/>
            </w:tcBorders>
          </w:tcPr>
          <w:p w14:paraId="37982568" w14:textId="77777777" w:rsidR="00685D60" w:rsidRPr="004A466F" w:rsidRDefault="00685D60" w:rsidP="00A977C7">
            <w:pPr>
              <w:spacing w:before="240" w:after="160"/>
              <w:rPr>
                <w:rFonts w:cs="Times New Roman"/>
                <w:noProof/>
                <w:sz w:val="22"/>
                <w:szCs w:val="20"/>
              </w:rPr>
            </w:pPr>
          </w:p>
        </w:tc>
        <w:tc>
          <w:tcPr>
            <w:tcW w:w="1500" w:type="pct"/>
            <w:gridSpan w:val="2"/>
            <w:tcBorders>
              <w:top w:val="single" w:sz="6" w:space="0" w:color="auto"/>
              <w:left w:val="single" w:sz="6" w:space="0" w:color="auto"/>
              <w:bottom w:val="single" w:sz="6" w:space="0" w:color="auto"/>
              <w:right w:val="single" w:sz="6" w:space="0" w:color="auto"/>
            </w:tcBorders>
          </w:tcPr>
          <w:p w14:paraId="36E266DA" w14:textId="77777777" w:rsidR="00685D60" w:rsidRPr="004A466F" w:rsidRDefault="00685D60" w:rsidP="000539AC">
            <w:pPr>
              <w:spacing w:before="240" w:after="160"/>
              <w:jc w:val="center"/>
              <w:rPr>
                <w:rFonts w:cs="Times New Roman"/>
                <w:b/>
                <w:noProof/>
                <w:sz w:val="22"/>
                <w:szCs w:val="20"/>
              </w:rPr>
            </w:pPr>
            <w:r w:rsidRPr="004A466F">
              <w:rPr>
                <w:rFonts w:cs="Times New Roman"/>
                <w:b/>
                <w:bCs/>
                <w:noProof/>
                <w:sz w:val="22"/>
                <w:szCs w:val="20"/>
              </w:rPr>
              <w:t>PO1</w:t>
            </w:r>
          </w:p>
        </w:tc>
        <w:tc>
          <w:tcPr>
            <w:tcW w:w="1479" w:type="pct"/>
            <w:gridSpan w:val="2"/>
            <w:tcBorders>
              <w:top w:val="single" w:sz="6" w:space="0" w:color="auto"/>
              <w:left w:val="single" w:sz="6" w:space="0" w:color="auto"/>
              <w:bottom w:val="single" w:sz="6" w:space="0" w:color="auto"/>
              <w:right w:val="single" w:sz="6" w:space="0" w:color="auto"/>
            </w:tcBorders>
          </w:tcPr>
          <w:p w14:paraId="296A8D96" w14:textId="2814A58B" w:rsidR="00685D60" w:rsidRPr="004A466F" w:rsidRDefault="00685D60" w:rsidP="003005AF">
            <w:pPr>
              <w:spacing w:before="240" w:after="160"/>
              <w:jc w:val="center"/>
              <w:rPr>
                <w:rFonts w:cs="Times New Roman"/>
                <w:noProof/>
                <w:sz w:val="22"/>
                <w:szCs w:val="20"/>
              </w:rPr>
            </w:pPr>
            <w:r w:rsidRPr="004A466F">
              <w:rPr>
                <w:rFonts w:cs="Times New Roman"/>
                <w:b/>
                <w:noProof/>
                <w:sz w:val="22"/>
                <w:szCs w:val="20"/>
              </w:rPr>
              <w:t>PO2</w:t>
            </w:r>
          </w:p>
        </w:tc>
        <w:tc>
          <w:tcPr>
            <w:tcW w:w="1170" w:type="pct"/>
            <w:gridSpan w:val="2"/>
            <w:tcBorders>
              <w:top w:val="nil"/>
              <w:left w:val="single" w:sz="6" w:space="0" w:color="auto"/>
              <w:bottom w:val="single" w:sz="6" w:space="0" w:color="auto"/>
              <w:right w:val="single" w:sz="6" w:space="0" w:color="auto"/>
            </w:tcBorders>
          </w:tcPr>
          <w:p w14:paraId="1293FC52" w14:textId="185E633A" w:rsidR="00685D60" w:rsidRPr="004A466F" w:rsidRDefault="00685D60" w:rsidP="003005AF">
            <w:pPr>
              <w:spacing w:before="240" w:after="160"/>
              <w:jc w:val="center"/>
              <w:rPr>
                <w:rFonts w:cs="Times New Roman"/>
                <w:noProof/>
                <w:sz w:val="22"/>
                <w:szCs w:val="20"/>
              </w:rPr>
            </w:pPr>
            <w:r w:rsidRPr="004A466F">
              <w:rPr>
                <w:rFonts w:cs="Times New Roman"/>
                <w:b/>
                <w:bCs/>
                <w:noProof/>
                <w:sz w:val="22"/>
                <w:szCs w:val="20"/>
              </w:rPr>
              <w:t>PO3</w:t>
            </w:r>
          </w:p>
        </w:tc>
      </w:tr>
      <w:tr w:rsidR="001274C1" w:rsidRPr="00423411" w14:paraId="5A6211D8" w14:textId="77777777" w:rsidTr="00DC4792">
        <w:trPr>
          <w:trHeight w:val="422"/>
        </w:trPr>
        <w:tc>
          <w:tcPr>
            <w:tcW w:w="851" w:type="pct"/>
            <w:tcBorders>
              <w:left w:val="single" w:sz="6" w:space="0" w:color="auto"/>
              <w:bottom w:val="single" w:sz="6" w:space="0" w:color="auto"/>
              <w:right w:val="single" w:sz="6" w:space="0" w:color="auto"/>
            </w:tcBorders>
          </w:tcPr>
          <w:p w14:paraId="558C5473" w14:textId="77777777" w:rsidR="006D4B83" w:rsidRPr="004A466F" w:rsidRDefault="006D4B83" w:rsidP="00A977C7">
            <w:pPr>
              <w:spacing w:before="240" w:after="160"/>
              <w:rPr>
                <w:rFonts w:cs="Times New Roman"/>
                <w:noProof/>
                <w:sz w:val="22"/>
                <w:szCs w:val="20"/>
              </w:rPr>
            </w:pPr>
          </w:p>
        </w:tc>
        <w:tc>
          <w:tcPr>
            <w:tcW w:w="785" w:type="pct"/>
            <w:tcBorders>
              <w:top w:val="single" w:sz="6" w:space="0" w:color="auto"/>
              <w:left w:val="single" w:sz="6" w:space="0" w:color="auto"/>
              <w:bottom w:val="single" w:sz="6" w:space="0" w:color="auto"/>
              <w:right w:val="single" w:sz="6" w:space="0" w:color="auto"/>
            </w:tcBorders>
          </w:tcPr>
          <w:p w14:paraId="2AB92EBB" w14:textId="6F0DBBCB" w:rsidR="006D4B83" w:rsidRPr="004A466F" w:rsidRDefault="006D4B83" w:rsidP="003005AF">
            <w:pPr>
              <w:spacing w:before="240" w:after="160"/>
              <w:jc w:val="center"/>
              <w:rPr>
                <w:rFonts w:cs="Times New Roman"/>
                <w:i/>
                <w:iCs/>
                <w:noProof/>
                <w:sz w:val="22"/>
                <w:szCs w:val="20"/>
              </w:rPr>
            </w:pPr>
            <w:r w:rsidRPr="004A466F">
              <w:rPr>
                <w:rFonts w:cs="Times New Roman"/>
                <w:i/>
                <w:iCs/>
                <w:noProof/>
                <w:sz w:val="22"/>
                <w:szCs w:val="20"/>
              </w:rPr>
              <w:t>One</w:t>
            </w:r>
            <w:r w:rsidR="007D54CA" w:rsidRPr="004A466F">
              <w:rPr>
                <w:rFonts w:cs="Times New Roman"/>
                <w:i/>
                <w:iCs/>
                <w:noProof/>
                <w:sz w:val="22"/>
                <w:szCs w:val="20"/>
              </w:rPr>
              <w:t xml:space="preserve"> </w:t>
            </w:r>
            <w:r w:rsidRPr="004A466F">
              <w:rPr>
                <w:rFonts w:cs="Times New Roman"/>
                <w:i/>
                <w:iCs/>
                <w:noProof/>
                <w:sz w:val="22"/>
                <w:szCs w:val="20"/>
              </w:rPr>
              <w:t>Off</w:t>
            </w:r>
          </w:p>
        </w:tc>
        <w:tc>
          <w:tcPr>
            <w:tcW w:w="715" w:type="pct"/>
            <w:tcBorders>
              <w:top w:val="single" w:sz="6" w:space="0" w:color="auto"/>
              <w:left w:val="single" w:sz="6" w:space="0" w:color="auto"/>
              <w:bottom w:val="single" w:sz="6" w:space="0" w:color="auto"/>
              <w:right w:val="single" w:sz="6" w:space="0" w:color="auto"/>
            </w:tcBorders>
          </w:tcPr>
          <w:p w14:paraId="0390B38C" w14:textId="7CEA3F85" w:rsidR="006D4B83" w:rsidRPr="004A466F" w:rsidRDefault="000539AC" w:rsidP="003005AF">
            <w:pPr>
              <w:spacing w:before="240" w:after="160"/>
              <w:jc w:val="center"/>
              <w:rPr>
                <w:rFonts w:cs="Times New Roman"/>
                <w:i/>
                <w:iCs/>
                <w:noProof/>
                <w:sz w:val="22"/>
                <w:szCs w:val="20"/>
              </w:rPr>
            </w:pPr>
            <w:r w:rsidRPr="004A466F">
              <w:rPr>
                <w:rFonts w:cs="Times New Roman"/>
                <w:i/>
                <w:iCs/>
                <w:noProof/>
                <w:sz w:val="22"/>
                <w:szCs w:val="20"/>
              </w:rPr>
              <w:t>Recurring</w:t>
            </w:r>
          </w:p>
        </w:tc>
        <w:tc>
          <w:tcPr>
            <w:tcW w:w="715" w:type="pct"/>
            <w:tcBorders>
              <w:top w:val="nil"/>
              <w:left w:val="single" w:sz="6" w:space="0" w:color="auto"/>
              <w:bottom w:val="single" w:sz="6" w:space="0" w:color="auto"/>
              <w:right w:val="single" w:sz="6" w:space="0" w:color="auto"/>
            </w:tcBorders>
          </w:tcPr>
          <w:p w14:paraId="204C1CB0" w14:textId="39590027" w:rsidR="006D4B83" w:rsidRPr="004A466F" w:rsidRDefault="006D4B83" w:rsidP="003005AF">
            <w:pPr>
              <w:spacing w:before="240" w:after="160"/>
              <w:jc w:val="center"/>
              <w:rPr>
                <w:rFonts w:cs="Times New Roman"/>
                <w:i/>
                <w:iCs/>
                <w:noProof/>
                <w:sz w:val="22"/>
                <w:szCs w:val="20"/>
              </w:rPr>
            </w:pPr>
            <w:r w:rsidRPr="004A466F">
              <w:rPr>
                <w:rFonts w:cs="Times New Roman"/>
                <w:i/>
                <w:iCs/>
                <w:noProof/>
                <w:sz w:val="22"/>
                <w:szCs w:val="20"/>
              </w:rPr>
              <w:t>One Off</w:t>
            </w:r>
          </w:p>
        </w:tc>
        <w:tc>
          <w:tcPr>
            <w:tcW w:w="764" w:type="pct"/>
            <w:tcBorders>
              <w:top w:val="nil"/>
              <w:left w:val="single" w:sz="6" w:space="0" w:color="auto"/>
              <w:bottom w:val="single" w:sz="6" w:space="0" w:color="auto"/>
              <w:right w:val="single" w:sz="6" w:space="0" w:color="auto"/>
            </w:tcBorders>
          </w:tcPr>
          <w:p w14:paraId="6144A752" w14:textId="558E9CF1" w:rsidR="006D4B83" w:rsidRPr="004A466F" w:rsidRDefault="006D4B83" w:rsidP="003005AF">
            <w:pPr>
              <w:spacing w:before="240" w:after="160"/>
              <w:jc w:val="center"/>
              <w:rPr>
                <w:rFonts w:cs="Times New Roman"/>
                <w:i/>
                <w:iCs/>
                <w:noProof/>
                <w:sz w:val="22"/>
                <w:szCs w:val="20"/>
              </w:rPr>
            </w:pPr>
            <w:r w:rsidRPr="004A466F">
              <w:rPr>
                <w:rFonts w:cs="Times New Roman"/>
                <w:i/>
                <w:iCs/>
                <w:noProof/>
                <w:sz w:val="22"/>
                <w:szCs w:val="20"/>
              </w:rPr>
              <w:t>Recurring</w:t>
            </w:r>
          </w:p>
        </w:tc>
        <w:tc>
          <w:tcPr>
            <w:tcW w:w="534" w:type="pct"/>
            <w:tcBorders>
              <w:top w:val="nil"/>
              <w:left w:val="single" w:sz="6" w:space="0" w:color="auto"/>
              <w:bottom w:val="single" w:sz="6" w:space="0" w:color="auto"/>
              <w:right w:val="single" w:sz="6" w:space="0" w:color="auto"/>
            </w:tcBorders>
          </w:tcPr>
          <w:p w14:paraId="7CDEE2D2" w14:textId="169DA973" w:rsidR="006D4B83" w:rsidRPr="004A466F" w:rsidRDefault="006D4B83" w:rsidP="003005AF">
            <w:pPr>
              <w:spacing w:before="240" w:after="160"/>
              <w:jc w:val="center"/>
              <w:rPr>
                <w:rFonts w:cs="Times New Roman"/>
                <w:i/>
                <w:iCs/>
                <w:noProof/>
                <w:sz w:val="22"/>
                <w:szCs w:val="20"/>
              </w:rPr>
            </w:pPr>
            <w:r w:rsidRPr="004A466F">
              <w:rPr>
                <w:rFonts w:cs="Times New Roman"/>
                <w:i/>
                <w:iCs/>
                <w:noProof/>
                <w:sz w:val="22"/>
                <w:szCs w:val="20"/>
              </w:rPr>
              <w:t>One Off</w:t>
            </w:r>
          </w:p>
        </w:tc>
        <w:tc>
          <w:tcPr>
            <w:tcW w:w="636" w:type="pct"/>
            <w:tcBorders>
              <w:top w:val="nil"/>
              <w:left w:val="single" w:sz="6" w:space="0" w:color="auto"/>
              <w:bottom w:val="single" w:sz="6" w:space="0" w:color="auto"/>
              <w:right w:val="single" w:sz="6" w:space="0" w:color="auto"/>
            </w:tcBorders>
          </w:tcPr>
          <w:p w14:paraId="21D3EE1A" w14:textId="663E62DF" w:rsidR="006D4B83" w:rsidRPr="004A466F" w:rsidRDefault="006D4B83" w:rsidP="003005AF">
            <w:pPr>
              <w:spacing w:before="240" w:after="160"/>
              <w:jc w:val="center"/>
              <w:rPr>
                <w:rFonts w:cs="Times New Roman"/>
                <w:i/>
                <w:iCs/>
                <w:noProof/>
                <w:sz w:val="22"/>
                <w:szCs w:val="20"/>
              </w:rPr>
            </w:pPr>
            <w:r w:rsidRPr="004A466F">
              <w:rPr>
                <w:rFonts w:cs="Times New Roman"/>
                <w:i/>
                <w:iCs/>
                <w:noProof/>
                <w:sz w:val="22"/>
                <w:szCs w:val="20"/>
              </w:rPr>
              <w:t>Recurring</w:t>
            </w:r>
          </w:p>
        </w:tc>
      </w:tr>
      <w:tr w:rsidR="00423411" w:rsidRPr="00423411" w14:paraId="4653F40B"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hideMark/>
          </w:tcPr>
          <w:p w14:paraId="6CE5FFC7" w14:textId="1ACA9AD9" w:rsidR="006D4B83" w:rsidRPr="004A466F" w:rsidRDefault="006D4B83" w:rsidP="3B111BE2">
            <w:pPr>
              <w:jc w:val="center"/>
              <w:rPr>
                <w:rFonts w:cs="Times New Roman"/>
                <w:b/>
                <w:noProof/>
                <w:sz w:val="22"/>
                <w:szCs w:val="20"/>
              </w:rPr>
            </w:pPr>
            <w:r w:rsidRPr="004A466F">
              <w:rPr>
                <w:rFonts w:cs="Times New Roman"/>
                <w:b/>
                <w:noProof/>
                <w:sz w:val="22"/>
                <w:szCs w:val="20"/>
              </w:rPr>
              <w:t xml:space="preserve"> Member States</w:t>
            </w:r>
          </w:p>
        </w:tc>
        <w:tc>
          <w:tcPr>
            <w:tcW w:w="785" w:type="pct"/>
            <w:tcBorders>
              <w:top w:val="single" w:sz="6" w:space="0" w:color="auto"/>
              <w:left w:val="single" w:sz="6" w:space="0" w:color="auto"/>
              <w:bottom w:val="single" w:sz="6" w:space="0" w:color="auto"/>
              <w:right w:val="single" w:sz="6" w:space="0" w:color="auto"/>
            </w:tcBorders>
          </w:tcPr>
          <w:p w14:paraId="280549CC" w14:textId="7A9F87AD" w:rsidR="006D4B83" w:rsidRPr="001D3556" w:rsidRDefault="006D4B83" w:rsidP="356CD2D9">
            <w:pPr>
              <w:jc w:val="center"/>
              <w:rPr>
                <w:rFonts w:cs="Times New Roman"/>
                <w:noProof/>
                <w:sz w:val="22"/>
                <w:szCs w:val="20"/>
              </w:rPr>
            </w:pPr>
            <w:r w:rsidRPr="001D3556">
              <w:rPr>
                <w:rFonts w:cs="Times New Roman"/>
                <w:noProof/>
                <w:sz w:val="22"/>
                <w:szCs w:val="20"/>
              </w:rPr>
              <w:t>EUR 0</w:t>
            </w:r>
          </w:p>
        </w:tc>
        <w:tc>
          <w:tcPr>
            <w:tcW w:w="715" w:type="pct"/>
            <w:tcBorders>
              <w:top w:val="single" w:sz="6" w:space="0" w:color="auto"/>
              <w:left w:val="single" w:sz="6" w:space="0" w:color="auto"/>
              <w:bottom w:val="single" w:sz="6" w:space="0" w:color="auto"/>
              <w:right w:val="single" w:sz="6" w:space="0" w:color="auto"/>
            </w:tcBorders>
            <w:hideMark/>
          </w:tcPr>
          <w:p w14:paraId="7FC6CA75" w14:textId="77777777" w:rsidR="006D4B83" w:rsidRPr="001D3556" w:rsidDel="0022578B" w:rsidRDefault="006D4B83" w:rsidP="356CD2D9">
            <w:pPr>
              <w:jc w:val="center"/>
              <w:rPr>
                <w:rFonts w:cs="Times New Roman"/>
                <w:noProof/>
                <w:sz w:val="22"/>
                <w:szCs w:val="20"/>
              </w:rPr>
            </w:pPr>
            <w:r w:rsidRPr="001D3556" w:rsidDel="0022578B">
              <w:rPr>
                <w:rFonts w:cs="Times New Roman"/>
                <w:noProof/>
                <w:sz w:val="22"/>
                <w:szCs w:val="20"/>
              </w:rPr>
              <w:t xml:space="preserve">EUR </w:t>
            </w:r>
          </w:p>
          <w:p w14:paraId="48772252" w14:textId="6F4679E4" w:rsidR="006D4B83" w:rsidRPr="001D3556" w:rsidRDefault="000539AC" w:rsidP="356CD2D9">
            <w:pPr>
              <w:jc w:val="center"/>
              <w:rPr>
                <w:rFonts w:cs="Times New Roman"/>
                <w:noProof/>
                <w:sz w:val="22"/>
                <w:szCs w:val="20"/>
              </w:rPr>
            </w:pPr>
            <w:r w:rsidRPr="001D3556">
              <w:rPr>
                <w:rFonts w:cs="Times New Roman"/>
                <w:noProof/>
                <w:sz w:val="22"/>
                <w:szCs w:val="20"/>
              </w:rPr>
              <w:t>5.62 million</w:t>
            </w:r>
          </w:p>
        </w:tc>
        <w:tc>
          <w:tcPr>
            <w:tcW w:w="715" w:type="pct"/>
            <w:tcBorders>
              <w:top w:val="single" w:sz="6" w:space="0" w:color="auto"/>
              <w:left w:val="single" w:sz="6" w:space="0" w:color="auto"/>
              <w:bottom w:val="single" w:sz="6" w:space="0" w:color="auto"/>
              <w:right w:val="single" w:sz="6" w:space="0" w:color="auto"/>
            </w:tcBorders>
          </w:tcPr>
          <w:p w14:paraId="740149D1" w14:textId="77777777" w:rsidR="006D4B83" w:rsidRPr="001D3556" w:rsidRDefault="006D4B83" w:rsidP="356CD2D9">
            <w:pPr>
              <w:jc w:val="center"/>
              <w:rPr>
                <w:rFonts w:cs="Times New Roman"/>
                <w:noProof/>
                <w:sz w:val="22"/>
                <w:szCs w:val="20"/>
              </w:rPr>
            </w:pPr>
            <w:r w:rsidRPr="001D3556">
              <w:rPr>
                <w:rFonts w:cs="Times New Roman"/>
                <w:noProof/>
                <w:sz w:val="22"/>
                <w:szCs w:val="20"/>
              </w:rPr>
              <w:t xml:space="preserve">EUR </w:t>
            </w:r>
          </w:p>
          <w:p w14:paraId="0AC21A93" w14:textId="6C28CB04" w:rsidR="006D4B83" w:rsidRPr="001D3556" w:rsidRDefault="006D4B83" w:rsidP="356CD2D9">
            <w:pPr>
              <w:jc w:val="center"/>
              <w:rPr>
                <w:rFonts w:cs="Times New Roman"/>
                <w:noProof/>
                <w:sz w:val="22"/>
                <w:szCs w:val="20"/>
              </w:rPr>
            </w:pPr>
            <w:r w:rsidRPr="001D3556">
              <w:rPr>
                <w:rFonts w:cs="Times New Roman"/>
                <w:noProof/>
                <w:sz w:val="22"/>
                <w:szCs w:val="20"/>
              </w:rPr>
              <w:t>0</w:t>
            </w:r>
          </w:p>
        </w:tc>
        <w:tc>
          <w:tcPr>
            <w:tcW w:w="764" w:type="pct"/>
            <w:tcBorders>
              <w:top w:val="single" w:sz="6" w:space="0" w:color="auto"/>
              <w:left w:val="single" w:sz="6" w:space="0" w:color="auto"/>
              <w:bottom w:val="single" w:sz="6" w:space="0" w:color="auto"/>
              <w:right w:val="single" w:sz="6" w:space="0" w:color="auto"/>
            </w:tcBorders>
            <w:hideMark/>
          </w:tcPr>
          <w:p w14:paraId="569F8520" w14:textId="7DBF251F" w:rsidR="006D4B83" w:rsidRPr="001D3556" w:rsidRDefault="006D4B83" w:rsidP="356CD2D9">
            <w:pPr>
              <w:jc w:val="center"/>
              <w:rPr>
                <w:rFonts w:cs="Times New Roman"/>
                <w:noProof/>
                <w:sz w:val="22"/>
                <w:szCs w:val="20"/>
              </w:rPr>
            </w:pPr>
            <w:r w:rsidRPr="001D3556">
              <w:rPr>
                <w:rFonts w:cs="Times New Roman"/>
                <w:noProof/>
                <w:sz w:val="22"/>
                <w:szCs w:val="20"/>
              </w:rPr>
              <w:t>EUR</w:t>
            </w:r>
          </w:p>
          <w:p w14:paraId="2D16DB2B" w14:textId="3F590EF4" w:rsidR="006D4B83" w:rsidRPr="001D3556" w:rsidRDefault="006D4B83" w:rsidP="356CD2D9">
            <w:pPr>
              <w:jc w:val="center"/>
              <w:rPr>
                <w:rFonts w:cs="Times New Roman"/>
                <w:noProof/>
                <w:sz w:val="22"/>
                <w:szCs w:val="20"/>
              </w:rPr>
            </w:pPr>
            <w:r w:rsidRPr="001D3556">
              <w:rPr>
                <w:rFonts w:cs="Times New Roman"/>
                <w:noProof/>
                <w:sz w:val="22"/>
                <w:szCs w:val="20"/>
              </w:rPr>
              <w:t>8.92 million</w:t>
            </w:r>
          </w:p>
        </w:tc>
        <w:tc>
          <w:tcPr>
            <w:tcW w:w="534" w:type="pct"/>
            <w:tcBorders>
              <w:top w:val="single" w:sz="6" w:space="0" w:color="auto"/>
              <w:left w:val="single" w:sz="6" w:space="0" w:color="auto"/>
              <w:bottom w:val="single" w:sz="6" w:space="0" w:color="auto"/>
              <w:right w:val="single" w:sz="6" w:space="0" w:color="auto"/>
            </w:tcBorders>
          </w:tcPr>
          <w:p w14:paraId="2B0BA16B" w14:textId="77777777" w:rsidR="006D4B83" w:rsidRPr="001D3556" w:rsidRDefault="006D4B83" w:rsidP="356CD2D9">
            <w:pPr>
              <w:jc w:val="center"/>
              <w:rPr>
                <w:rFonts w:cs="Times New Roman"/>
                <w:noProof/>
                <w:sz w:val="22"/>
                <w:szCs w:val="20"/>
              </w:rPr>
            </w:pPr>
            <w:r w:rsidRPr="001D3556">
              <w:rPr>
                <w:rFonts w:cs="Times New Roman"/>
                <w:noProof/>
                <w:sz w:val="22"/>
                <w:szCs w:val="20"/>
              </w:rPr>
              <w:t>EUR</w:t>
            </w:r>
          </w:p>
          <w:p w14:paraId="0837AE18" w14:textId="29001BDC" w:rsidR="006D4B83" w:rsidRPr="001D3556" w:rsidRDefault="006D4B83" w:rsidP="356CD2D9">
            <w:pPr>
              <w:jc w:val="center"/>
              <w:rPr>
                <w:rFonts w:cs="Times New Roman"/>
                <w:noProof/>
                <w:sz w:val="22"/>
                <w:szCs w:val="20"/>
              </w:rPr>
            </w:pPr>
            <w:r w:rsidRPr="001D3556">
              <w:rPr>
                <w:rFonts w:cs="Times New Roman"/>
                <w:noProof/>
                <w:sz w:val="22"/>
                <w:szCs w:val="20"/>
              </w:rPr>
              <w:t>0</w:t>
            </w:r>
          </w:p>
        </w:tc>
        <w:tc>
          <w:tcPr>
            <w:tcW w:w="636" w:type="pct"/>
            <w:tcBorders>
              <w:top w:val="single" w:sz="6" w:space="0" w:color="auto"/>
              <w:left w:val="single" w:sz="6" w:space="0" w:color="auto"/>
              <w:bottom w:val="single" w:sz="6" w:space="0" w:color="auto"/>
              <w:right w:val="single" w:sz="6" w:space="0" w:color="auto"/>
            </w:tcBorders>
            <w:hideMark/>
          </w:tcPr>
          <w:p w14:paraId="23FB1098" w14:textId="77777777" w:rsidR="006D4B83" w:rsidRPr="001D3556" w:rsidRDefault="006D4B83" w:rsidP="356CD2D9">
            <w:pPr>
              <w:jc w:val="center"/>
              <w:rPr>
                <w:rFonts w:cs="Times New Roman"/>
                <w:noProof/>
                <w:sz w:val="22"/>
                <w:szCs w:val="20"/>
              </w:rPr>
            </w:pPr>
            <w:r w:rsidRPr="001D3556">
              <w:rPr>
                <w:rFonts w:cs="Times New Roman"/>
                <w:noProof/>
                <w:sz w:val="22"/>
                <w:szCs w:val="20"/>
              </w:rPr>
              <w:t>EUR</w:t>
            </w:r>
          </w:p>
          <w:p w14:paraId="00300981" w14:textId="04399BAB" w:rsidR="006D4B83" w:rsidRPr="001D3556" w:rsidRDefault="006D4B83" w:rsidP="356CD2D9">
            <w:pPr>
              <w:jc w:val="center"/>
              <w:rPr>
                <w:rFonts w:cs="Times New Roman"/>
                <w:noProof/>
                <w:sz w:val="22"/>
                <w:szCs w:val="20"/>
              </w:rPr>
            </w:pPr>
            <w:r w:rsidRPr="001D3556">
              <w:rPr>
                <w:rFonts w:cs="Times New Roman"/>
                <w:noProof/>
                <w:sz w:val="22"/>
                <w:szCs w:val="20"/>
              </w:rPr>
              <w:t>8.92 million</w:t>
            </w:r>
          </w:p>
        </w:tc>
      </w:tr>
      <w:tr w:rsidR="00423411" w:rsidRPr="00423411" w14:paraId="5C481CF4"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hideMark/>
          </w:tcPr>
          <w:p w14:paraId="2AB744F5" w14:textId="725D9594" w:rsidR="006D4B83" w:rsidRPr="004A466F" w:rsidRDefault="006D4B83" w:rsidP="1868BAE2">
            <w:pPr>
              <w:jc w:val="center"/>
              <w:rPr>
                <w:rFonts w:cs="Times New Roman"/>
                <w:b/>
                <w:noProof/>
                <w:sz w:val="22"/>
                <w:szCs w:val="20"/>
              </w:rPr>
            </w:pPr>
            <w:r w:rsidRPr="004A466F">
              <w:rPr>
                <w:rFonts w:cs="Times New Roman"/>
                <w:b/>
                <w:noProof/>
                <w:sz w:val="22"/>
                <w:szCs w:val="20"/>
              </w:rPr>
              <w:t xml:space="preserve"> Businesses</w:t>
            </w:r>
          </w:p>
        </w:tc>
        <w:tc>
          <w:tcPr>
            <w:tcW w:w="785" w:type="pct"/>
            <w:tcBorders>
              <w:top w:val="single" w:sz="6" w:space="0" w:color="auto"/>
              <w:left w:val="single" w:sz="6" w:space="0" w:color="auto"/>
              <w:bottom w:val="single" w:sz="6" w:space="0" w:color="auto"/>
              <w:right w:val="single" w:sz="6" w:space="0" w:color="auto"/>
            </w:tcBorders>
          </w:tcPr>
          <w:p w14:paraId="21E23A3A" w14:textId="0CAA6534" w:rsidR="006D4B83" w:rsidRPr="001D3556" w:rsidRDefault="006D4B83" w:rsidP="356CD2D9">
            <w:pPr>
              <w:jc w:val="center"/>
              <w:rPr>
                <w:rFonts w:cs="Times New Roman"/>
                <w:noProof/>
                <w:sz w:val="22"/>
                <w:szCs w:val="20"/>
              </w:rPr>
            </w:pPr>
            <w:r w:rsidRPr="001D3556">
              <w:rPr>
                <w:rFonts w:cs="Times New Roman"/>
                <w:noProof/>
                <w:sz w:val="22"/>
                <w:szCs w:val="20"/>
              </w:rPr>
              <w:t>EUR 0</w:t>
            </w:r>
          </w:p>
        </w:tc>
        <w:tc>
          <w:tcPr>
            <w:tcW w:w="715" w:type="pct"/>
            <w:tcBorders>
              <w:top w:val="single" w:sz="6" w:space="0" w:color="auto"/>
              <w:left w:val="single" w:sz="6" w:space="0" w:color="auto"/>
              <w:bottom w:val="single" w:sz="6" w:space="0" w:color="auto"/>
              <w:right w:val="single" w:sz="6" w:space="0" w:color="auto"/>
            </w:tcBorders>
            <w:hideMark/>
          </w:tcPr>
          <w:p w14:paraId="4E4EC1C2" w14:textId="77777777" w:rsidR="006D4B83" w:rsidRPr="001D3556" w:rsidDel="0022578B" w:rsidRDefault="006D4B83" w:rsidP="356CD2D9">
            <w:pPr>
              <w:jc w:val="center"/>
              <w:rPr>
                <w:rFonts w:cs="Times New Roman"/>
                <w:noProof/>
                <w:sz w:val="22"/>
                <w:szCs w:val="20"/>
              </w:rPr>
            </w:pPr>
            <w:r w:rsidRPr="001D3556" w:rsidDel="0022578B">
              <w:rPr>
                <w:rFonts w:cs="Times New Roman"/>
                <w:noProof/>
                <w:sz w:val="22"/>
                <w:szCs w:val="20"/>
              </w:rPr>
              <w:t>EUR</w:t>
            </w:r>
          </w:p>
          <w:p w14:paraId="61AA48BF" w14:textId="55532C05" w:rsidR="006D4B83" w:rsidRPr="001D3556" w:rsidRDefault="6EC8D68A" w:rsidP="1FA04443">
            <w:pPr>
              <w:jc w:val="center"/>
              <w:rPr>
                <w:rFonts w:cs="Times New Roman"/>
                <w:noProof/>
                <w:sz w:val="22"/>
              </w:rPr>
            </w:pPr>
            <w:r w:rsidRPr="001D3556">
              <w:rPr>
                <w:rFonts w:cs="Times New Roman"/>
                <w:noProof/>
                <w:sz w:val="22"/>
              </w:rPr>
              <w:t>702 891</w:t>
            </w:r>
          </w:p>
        </w:tc>
        <w:tc>
          <w:tcPr>
            <w:tcW w:w="715" w:type="pct"/>
            <w:tcBorders>
              <w:top w:val="single" w:sz="6" w:space="0" w:color="auto"/>
              <w:left w:val="single" w:sz="6" w:space="0" w:color="auto"/>
              <w:bottom w:val="single" w:sz="6" w:space="0" w:color="auto"/>
              <w:right w:val="single" w:sz="6" w:space="0" w:color="auto"/>
            </w:tcBorders>
          </w:tcPr>
          <w:p w14:paraId="20D4A205" w14:textId="7049CA40" w:rsidR="006D4B83" w:rsidRPr="001D3556" w:rsidRDefault="3E96D9EF" w:rsidP="001D3556">
            <w:pPr>
              <w:spacing w:line="259" w:lineRule="auto"/>
              <w:jc w:val="center"/>
              <w:rPr>
                <w:rFonts w:cs="Times New Roman"/>
                <w:noProof/>
                <w:sz w:val="22"/>
              </w:rPr>
            </w:pPr>
            <w:r w:rsidRPr="001D3556">
              <w:rPr>
                <w:rFonts w:cs="Times New Roman"/>
                <w:noProof/>
                <w:sz w:val="22"/>
              </w:rPr>
              <w:t>EUR</w:t>
            </w:r>
          </w:p>
          <w:p w14:paraId="60869F1C" w14:textId="619025B0" w:rsidR="006D4B83" w:rsidRPr="001D3556" w:rsidRDefault="006D4B83" w:rsidP="356CD2D9">
            <w:pPr>
              <w:jc w:val="center"/>
              <w:rPr>
                <w:rFonts w:cs="Times New Roman"/>
                <w:noProof/>
                <w:sz w:val="22"/>
                <w:szCs w:val="20"/>
              </w:rPr>
            </w:pPr>
            <w:r w:rsidRPr="001D3556">
              <w:rPr>
                <w:rFonts w:cs="Times New Roman"/>
                <w:noProof/>
                <w:sz w:val="22"/>
                <w:szCs w:val="20"/>
              </w:rPr>
              <w:t>117 600</w:t>
            </w:r>
          </w:p>
        </w:tc>
        <w:tc>
          <w:tcPr>
            <w:tcW w:w="764" w:type="pct"/>
            <w:tcBorders>
              <w:top w:val="single" w:sz="6" w:space="0" w:color="auto"/>
              <w:left w:val="single" w:sz="6" w:space="0" w:color="auto"/>
              <w:bottom w:val="single" w:sz="6" w:space="0" w:color="auto"/>
              <w:right w:val="single" w:sz="6" w:space="0" w:color="auto"/>
            </w:tcBorders>
            <w:hideMark/>
          </w:tcPr>
          <w:p w14:paraId="044693E6" w14:textId="77777777" w:rsidR="006D4B83" w:rsidRPr="001D3556" w:rsidRDefault="006D4B83" w:rsidP="356CD2D9">
            <w:pPr>
              <w:jc w:val="center"/>
              <w:rPr>
                <w:rFonts w:cs="Times New Roman"/>
                <w:noProof/>
                <w:sz w:val="22"/>
                <w:szCs w:val="20"/>
              </w:rPr>
            </w:pPr>
            <w:r w:rsidRPr="001D3556">
              <w:rPr>
                <w:rFonts w:cs="Times New Roman"/>
                <w:noProof/>
                <w:sz w:val="22"/>
                <w:szCs w:val="20"/>
              </w:rPr>
              <w:t>EUR</w:t>
            </w:r>
          </w:p>
          <w:p w14:paraId="0DD0B3AD" w14:textId="0CA03C39" w:rsidR="006D4B83" w:rsidRPr="001D3556" w:rsidRDefault="31C1CFC1" w:rsidP="1FA04443">
            <w:pPr>
              <w:jc w:val="center"/>
              <w:rPr>
                <w:rFonts w:cs="Times New Roman"/>
                <w:noProof/>
                <w:sz w:val="22"/>
              </w:rPr>
            </w:pPr>
            <w:r w:rsidRPr="001D3556">
              <w:rPr>
                <w:rFonts w:cs="Times New Roman"/>
                <w:noProof/>
                <w:sz w:val="22"/>
              </w:rPr>
              <w:t>1.16</w:t>
            </w:r>
            <w:r w:rsidR="7C3A39E7" w:rsidRPr="001D3556">
              <w:rPr>
                <w:rFonts w:cs="Times New Roman"/>
                <w:noProof/>
                <w:sz w:val="22"/>
              </w:rPr>
              <w:t xml:space="preserve"> million</w:t>
            </w:r>
          </w:p>
        </w:tc>
        <w:tc>
          <w:tcPr>
            <w:tcW w:w="534" w:type="pct"/>
            <w:tcBorders>
              <w:top w:val="single" w:sz="6" w:space="0" w:color="auto"/>
              <w:left w:val="single" w:sz="6" w:space="0" w:color="auto"/>
              <w:bottom w:val="single" w:sz="6" w:space="0" w:color="auto"/>
              <w:right w:val="single" w:sz="6" w:space="0" w:color="auto"/>
            </w:tcBorders>
          </w:tcPr>
          <w:p w14:paraId="73B00208" w14:textId="77777777" w:rsidR="006D4B83" w:rsidRPr="001D3556" w:rsidRDefault="006D4B83" w:rsidP="1868BAE2">
            <w:pPr>
              <w:jc w:val="center"/>
              <w:rPr>
                <w:rFonts w:cs="Times New Roman"/>
                <w:noProof/>
                <w:sz w:val="22"/>
                <w:szCs w:val="20"/>
              </w:rPr>
            </w:pPr>
            <w:r w:rsidRPr="001D3556">
              <w:rPr>
                <w:rFonts w:cs="Times New Roman"/>
                <w:noProof/>
                <w:sz w:val="22"/>
                <w:szCs w:val="20"/>
              </w:rPr>
              <w:t>EUR</w:t>
            </w:r>
          </w:p>
          <w:p w14:paraId="31F440A9" w14:textId="5E67FF0E" w:rsidR="006D4B83" w:rsidRPr="001D3556" w:rsidRDefault="006D4B83" w:rsidP="1868BAE2">
            <w:pPr>
              <w:jc w:val="center"/>
              <w:rPr>
                <w:rFonts w:cs="Times New Roman"/>
                <w:noProof/>
                <w:sz w:val="22"/>
                <w:szCs w:val="20"/>
              </w:rPr>
            </w:pPr>
            <w:r w:rsidRPr="001D3556">
              <w:rPr>
                <w:rFonts w:cs="Times New Roman"/>
                <w:noProof/>
                <w:sz w:val="22"/>
                <w:szCs w:val="20"/>
              </w:rPr>
              <w:t>117 600</w:t>
            </w:r>
          </w:p>
        </w:tc>
        <w:tc>
          <w:tcPr>
            <w:tcW w:w="636" w:type="pct"/>
            <w:tcBorders>
              <w:top w:val="single" w:sz="6" w:space="0" w:color="auto"/>
              <w:left w:val="single" w:sz="6" w:space="0" w:color="auto"/>
              <w:bottom w:val="single" w:sz="6" w:space="0" w:color="auto"/>
              <w:right w:val="single" w:sz="6" w:space="0" w:color="auto"/>
            </w:tcBorders>
            <w:hideMark/>
          </w:tcPr>
          <w:p w14:paraId="3409090C" w14:textId="77777777" w:rsidR="006D4B83" w:rsidRPr="001D3556" w:rsidRDefault="006D4B83" w:rsidP="1868BAE2">
            <w:pPr>
              <w:jc w:val="center"/>
              <w:rPr>
                <w:rFonts w:cs="Times New Roman"/>
                <w:noProof/>
                <w:sz w:val="22"/>
                <w:szCs w:val="20"/>
              </w:rPr>
            </w:pPr>
            <w:r w:rsidRPr="001D3556">
              <w:rPr>
                <w:rFonts w:cs="Times New Roman"/>
                <w:noProof/>
                <w:sz w:val="22"/>
                <w:szCs w:val="20"/>
              </w:rPr>
              <w:t>EUR</w:t>
            </w:r>
          </w:p>
          <w:p w14:paraId="7052D534" w14:textId="02BFE239" w:rsidR="006D4B83" w:rsidRPr="001D3556" w:rsidRDefault="2AF8EF72" w:rsidP="1868BAE2">
            <w:pPr>
              <w:jc w:val="center"/>
              <w:rPr>
                <w:rFonts w:cs="Times New Roman"/>
                <w:noProof/>
                <w:sz w:val="22"/>
              </w:rPr>
            </w:pPr>
            <w:r w:rsidRPr="001D3556">
              <w:rPr>
                <w:rFonts w:cs="Times New Roman"/>
                <w:noProof/>
                <w:sz w:val="22"/>
              </w:rPr>
              <w:t>5.7</w:t>
            </w:r>
            <w:r w:rsidR="19069D82" w:rsidRPr="001D3556">
              <w:rPr>
                <w:rFonts w:cs="Times New Roman"/>
                <w:noProof/>
                <w:sz w:val="22"/>
              </w:rPr>
              <w:t>6</w:t>
            </w:r>
            <w:r w:rsidRPr="001D3556">
              <w:rPr>
                <w:rFonts w:cs="Times New Roman"/>
                <w:noProof/>
                <w:sz w:val="22"/>
              </w:rPr>
              <w:t xml:space="preserve"> million</w:t>
            </w:r>
          </w:p>
        </w:tc>
      </w:tr>
      <w:tr w:rsidR="00423411" w:rsidRPr="00423411" w14:paraId="7BCE7A40"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hideMark/>
          </w:tcPr>
          <w:p w14:paraId="68B48F66" w14:textId="3AE61342" w:rsidR="006D4B83" w:rsidRPr="004A466F" w:rsidRDefault="006D4B83" w:rsidP="3B111BE2">
            <w:pPr>
              <w:jc w:val="center"/>
              <w:rPr>
                <w:rFonts w:cs="Times New Roman"/>
                <w:b/>
                <w:noProof/>
                <w:sz w:val="22"/>
                <w:szCs w:val="20"/>
              </w:rPr>
            </w:pPr>
            <w:r w:rsidRPr="004A466F">
              <w:rPr>
                <w:rFonts w:cs="Times New Roman"/>
                <w:b/>
                <w:noProof/>
                <w:sz w:val="22"/>
                <w:szCs w:val="20"/>
              </w:rPr>
              <w:t>European Commission</w:t>
            </w:r>
          </w:p>
        </w:tc>
        <w:tc>
          <w:tcPr>
            <w:tcW w:w="785" w:type="pct"/>
            <w:tcBorders>
              <w:top w:val="single" w:sz="6" w:space="0" w:color="auto"/>
              <w:left w:val="single" w:sz="6" w:space="0" w:color="auto"/>
              <w:bottom w:val="single" w:sz="6" w:space="0" w:color="auto"/>
              <w:right w:val="single" w:sz="6" w:space="0" w:color="auto"/>
            </w:tcBorders>
          </w:tcPr>
          <w:p w14:paraId="5A8411AE" w14:textId="24EB698F" w:rsidR="006D4B83" w:rsidRPr="001D3556" w:rsidRDefault="006D4B83" w:rsidP="51975683">
            <w:pPr>
              <w:jc w:val="center"/>
              <w:rPr>
                <w:rFonts w:cs="Times New Roman"/>
                <w:noProof/>
                <w:sz w:val="22"/>
                <w:szCs w:val="20"/>
              </w:rPr>
            </w:pPr>
            <w:r w:rsidRPr="001D3556">
              <w:rPr>
                <w:rFonts w:cs="Times New Roman"/>
                <w:noProof/>
                <w:sz w:val="22"/>
                <w:szCs w:val="20"/>
              </w:rPr>
              <w:t xml:space="preserve">EUR </w:t>
            </w:r>
            <w:r w:rsidR="00D57162">
              <w:rPr>
                <w:rFonts w:cs="Times New Roman"/>
                <w:noProof/>
                <w:sz w:val="22"/>
                <w:szCs w:val="20"/>
              </w:rPr>
              <w:t xml:space="preserve"> 796 000</w:t>
            </w:r>
          </w:p>
        </w:tc>
        <w:tc>
          <w:tcPr>
            <w:tcW w:w="715" w:type="pct"/>
            <w:tcBorders>
              <w:top w:val="single" w:sz="6" w:space="0" w:color="auto"/>
              <w:left w:val="single" w:sz="6" w:space="0" w:color="auto"/>
              <w:bottom w:val="single" w:sz="6" w:space="0" w:color="auto"/>
              <w:right w:val="single" w:sz="6" w:space="0" w:color="auto"/>
            </w:tcBorders>
            <w:hideMark/>
          </w:tcPr>
          <w:p w14:paraId="33A07781" w14:textId="77777777" w:rsidR="000539AC" w:rsidRPr="001D3556" w:rsidRDefault="000539AC" w:rsidP="000539AC">
            <w:pPr>
              <w:jc w:val="center"/>
              <w:rPr>
                <w:rFonts w:cs="Times New Roman"/>
                <w:noProof/>
                <w:sz w:val="22"/>
                <w:szCs w:val="20"/>
              </w:rPr>
            </w:pPr>
            <w:r w:rsidRPr="001D3556">
              <w:rPr>
                <w:rFonts w:cs="Times New Roman"/>
                <w:noProof/>
                <w:sz w:val="22"/>
                <w:szCs w:val="20"/>
              </w:rPr>
              <w:t>EUR</w:t>
            </w:r>
          </w:p>
          <w:p w14:paraId="4C85C708" w14:textId="2A3918F3" w:rsidR="006D4B83" w:rsidRPr="001D3556" w:rsidRDefault="00AB004A" w:rsidP="51975683">
            <w:pPr>
              <w:jc w:val="center"/>
              <w:rPr>
                <w:rFonts w:cs="Times New Roman"/>
                <w:noProof/>
                <w:sz w:val="22"/>
                <w:szCs w:val="20"/>
              </w:rPr>
            </w:pPr>
            <w:r w:rsidRPr="001D3556">
              <w:rPr>
                <w:rFonts w:cs="Times New Roman"/>
                <w:noProof/>
                <w:sz w:val="22"/>
                <w:szCs w:val="20"/>
              </w:rPr>
              <w:t xml:space="preserve"> </w:t>
            </w:r>
            <w:r w:rsidR="00BD1FE4">
              <w:rPr>
                <w:rFonts w:cs="Times New Roman"/>
                <w:noProof/>
                <w:sz w:val="22"/>
                <w:szCs w:val="20"/>
              </w:rPr>
              <w:t>125 083</w:t>
            </w:r>
          </w:p>
        </w:tc>
        <w:tc>
          <w:tcPr>
            <w:tcW w:w="715" w:type="pct"/>
            <w:tcBorders>
              <w:top w:val="single" w:sz="6" w:space="0" w:color="auto"/>
              <w:left w:val="single" w:sz="6" w:space="0" w:color="auto"/>
              <w:bottom w:val="single" w:sz="6" w:space="0" w:color="auto"/>
              <w:right w:val="single" w:sz="6" w:space="0" w:color="auto"/>
            </w:tcBorders>
          </w:tcPr>
          <w:p w14:paraId="39E652C8" w14:textId="77777777" w:rsidR="006D4B83" w:rsidRPr="001D3556" w:rsidRDefault="006D4B83" w:rsidP="51975683">
            <w:pPr>
              <w:jc w:val="center"/>
              <w:rPr>
                <w:rFonts w:cs="Times New Roman"/>
                <w:noProof/>
                <w:sz w:val="22"/>
                <w:szCs w:val="20"/>
              </w:rPr>
            </w:pPr>
            <w:r w:rsidRPr="001D3556">
              <w:rPr>
                <w:rFonts w:cs="Times New Roman"/>
                <w:noProof/>
                <w:sz w:val="22"/>
                <w:szCs w:val="20"/>
              </w:rPr>
              <w:t>EUR</w:t>
            </w:r>
          </w:p>
          <w:p w14:paraId="25A8B7C9" w14:textId="6B7EE795" w:rsidR="006D4B83" w:rsidRPr="001D3556" w:rsidRDefault="00BD1FE4" w:rsidP="51975683">
            <w:pPr>
              <w:jc w:val="center"/>
              <w:rPr>
                <w:rFonts w:cs="Times New Roman"/>
                <w:noProof/>
                <w:sz w:val="22"/>
                <w:szCs w:val="20"/>
              </w:rPr>
            </w:pPr>
            <w:r>
              <w:rPr>
                <w:rFonts w:cs="Times New Roman"/>
                <w:noProof/>
                <w:sz w:val="22"/>
                <w:szCs w:val="20"/>
              </w:rPr>
              <w:t>408 000</w:t>
            </w:r>
          </w:p>
        </w:tc>
        <w:tc>
          <w:tcPr>
            <w:tcW w:w="764" w:type="pct"/>
            <w:tcBorders>
              <w:top w:val="single" w:sz="6" w:space="0" w:color="auto"/>
              <w:left w:val="single" w:sz="6" w:space="0" w:color="auto"/>
              <w:bottom w:val="single" w:sz="6" w:space="0" w:color="auto"/>
              <w:right w:val="single" w:sz="6" w:space="0" w:color="auto"/>
            </w:tcBorders>
            <w:hideMark/>
          </w:tcPr>
          <w:p w14:paraId="17700578" w14:textId="77777777" w:rsidR="006D4B83" w:rsidRPr="001D3556" w:rsidRDefault="006D4B83" w:rsidP="51975683">
            <w:pPr>
              <w:jc w:val="center"/>
              <w:rPr>
                <w:rFonts w:cs="Times New Roman"/>
                <w:noProof/>
                <w:sz w:val="22"/>
                <w:szCs w:val="20"/>
              </w:rPr>
            </w:pPr>
            <w:r w:rsidRPr="001D3556">
              <w:rPr>
                <w:rFonts w:cs="Times New Roman"/>
                <w:noProof/>
                <w:sz w:val="22"/>
                <w:szCs w:val="20"/>
              </w:rPr>
              <w:t>EUR</w:t>
            </w:r>
          </w:p>
          <w:p w14:paraId="5C7EE497" w14:textId="7E874001" w:rsidR="006D4B83" w:rsidRPr="001D3556" w:rsidRDefault="00211E91" w:rsidP="51975683">
            <w:pPr>
              <w:jc w:val="center"/>
              <w:rPr>
                <w:rFonts w:cs="Times New Roman"/>
                <w:noProof/>
                <w:sz w:val="22"/>
                <w:szCs w:val="20"/>
              </w:rPr>
            </w:pPr>
            <w:r w:rsidRPr="001D3556">
              <w:rPr>
                <w:rFonts w:cs="Times New Roman"/>
                <w:noProof/>
                <w:sz w:val="22"/>
                <w:szCs w:val="20"/>
              </w:rPr>
              <w:t xml:space="preserve"> </w:t>
            </w:r>
            <w:r w:rsidR="004F44DC">
              <w:rPr>
                <w:rFonts w:cs="Times New Roman"/>
                <w:noProof/>
                <w:sz w:val="22"/>
                <w:szCs w:val="20"/>
              </w:rPr>
              <w:t>181 667</w:t>
            </w:r>
          </w:p>
        </w:tc>
        <w:tc>
          <w:tcPr>
            <w:tcW w:w="534" w:type="pct"/>
            <w:tcBorders>
              <w:top w:val="single" w:sz="6" w:space="0" w:color="auto"/>
              <w:left w:val="single" w:sz="6" w:space="0" w:color="auto"/>
              <w:bottom w:val="single" w:sz="6" w:space="0" w:color="auto"/>
              <w:right w:val="single" w:sz="6" w:space="0" w:color="auto"/>
            </w:tcBorders>
          </w:tcPr>
          <w:p w14:paraId="12FEB3C2" w14:textId="77777777" w:rsidR="006D4B83" w:rsidRPr="001D3556" w:rsidRDefault="006D4B83" w:rsidP="51975683">
            <w:pPr>
              <w:jc w:val="center"/>
              <w:rPr>
                <w:rFonts w:cs="Times New Roman"/>
                <w:noProof/>
                <w:sz w:val="22"/>
                <w:szCs w:val="20"/>
              </w:rPr>
            </w:pPr>
            <w:r w:rsidRPr="001D3556">
              <w:rPr>
                <w:rFonts w:cs="Times New Roman"/>
                <w:noProof/>
                <w:sz w:val="22"/>
                <w:szCs w:val="20"/>
              </w:rPr>
              <w:t>EUR</w:t>
            </w:r>
          </w:p>
          <w:p w14:paraId="07776019" w14:textId="25AF5064" w:rsidR="006D4B83" w:rsidRPr="001D3556" w:rsidRDefault="004F44DC" w:rsidP="51975683">
            <w:pPr>
              <w:jc w:val="center"/>
              <w:rPr>
                <w:rFonts w:cs="Times New Roman"/>
                <w:noProof/>
                <w:sz w:val="22"/>
                <w:szCs w:val="20"/>
              </w:rPr>
            </w:pPr>
            <w:r>
              <w:rPr>
                <w:rFonts w:cs="Times New Roman"/>
                <w:noProof/>
                <w:sz w:val="22"/>
                <w:szCs w:val="20"/>
              </w:rPr>
              <w:t>408 000</w:t>
            </w:r>
          </w:p>
        </w:tc>
        <w:tc>
          <w:tcPr>
            <w:tcW w:w="636" w:type="pct"/>
            <w:tcBorders>
              <w:top w:val="single" w:sz="6" w:space="0" w:color="auto"/>
              <w:left w:val="single" w:sz="6" w:space="0" w:color="auto"/>
              <w:bottom w:val="single" w:sz="6" w:space="0" w:color="auto"/>
              <w:right w:val="single" w:sz="6" w:space="0" w:color="auto"/>
            </w:tcBorders>
            <w:hideMark/>
          </w:tcPr>
          <w:p w14:paraId="0C63E5CE" w14:textId="77777777" w:rsidR="006D4B83" w:rsidRPr="001D3556" w:rsidRDefault="006D4B83" w:rsidP="51975683">
            <w:pPr>
              <w:jc w:val="center"/>
              <w:rPr>
                <w:rFonts w:cs="Times New Roman"/>
                <w:noProof/>
                <w:sz w:val="22"/>
                <w:szCs w:val="20"/>
              </w:rPr>
            </w:pPr>
            <w:r w:rsidRPr="001D3556">
              <w:rPr>
                <w:rFonts w:cs="Times New Roman"/>
                <w:noProof/>
                <w:sz w:val="22"/>
                <w:szCs w:val="20"/>
              </w:rPr>
              <w:t>EUR</w:t>
            </w:r>
          </w:p>
          <w:p w14:paraId="2DC47F96" w14:textId="51ABC0B4" w:rsidR="006D4B83" w:rsidRPr="001D3556" w:rsidRDefault="006D33C5" w:rsidP="51975683">
            <w:pPr>
              <w:jc w:val="center"/>
              <w:rPr>
                <w:rFonts w:cs="Times New Roman"/>
                <w:noProof/>
                <w:sz w:val="22"/>
                <w:szCs w:val="20"/>
              </w:rPr>
            </w:pPr>
            <w:r w:rsidRPr="001D3556">
              <w:rPr>
                <w:rFonts w:cs="Times New Roman"/>
                <w:noProof/>
                <w:sz w:val="22"/>
                <w:szCs w:val="20"/>
              </w:rPr>
              <w:t xml:space="preserve"> </w:t>
            </w:r>
            <w:r w:rsidR="004F44DC">
              <w:rPr>
                <w:rFonts w:cs="Times New Roman"/>
                <w:noProof/>
                <w:sz w:val="22"/>
                <w:szCs w:val="20"/>
              </w:rPr>
              <w:t>189 750</w:t>
            </w:r>
          </w:p>
        </w:tc>
      </w:tr>
      <w:tr w:rsidR="004A466F" w:rsidRPr="00423411" w14:paraId="67F497A0"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0A7BFF6" w14:textId="114AF12F" w:rsidR="006D4B83" w:rsidRPr="004A466F" w:rsidRDefault="006D4B83" w:rsidP="00103882">
            <w:pPr>
              <w:spacing w:before="240" w:after="160"/>
              <w:jc w:val="center"/>
              <w:rPr>
                <w:rFonts w:cs="Times New Roman"/>
                <w:b/>
                <w:noProof/>
                <w:sz w:val="22"/>
                <w:szCs w:val="20"/>
              </w:rPr>
            </w:pPr>
            <w:r w:rsidRPr="004A466F">
              <w:rPr>
                <w:rFonts w:cs="Times New Roman"/>
                <w:b/>
                <w:noProof/>
                <w:sz w:val="22"/>
                <w:szCs w:val="20"/>
              </w:rPr>
              <w:t>Total Administrative Costs</w:t>
            </w:r>
          </w:p>
        </w:tc>
        <w:tc>
          <w:tcPr>
            <w:tcW w:w="78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FE01E97" w14:textId="450C91F5" w:rsidR="006D4B83" w:rsidRPr="001D3556" w:rsidRDefault="006D4B83" w:rsidP="356CD2D9">
            <w:pPr>
              <w:spacing w:before="240" w:after="160"/>
              <w:jc w:val="center"/>
              <w:rPr>
                <w:rFonts w:cs="Times New Roman"/>
                <w:noProof/>
                <w:sz w:val="22"/>
                <w:szCs w:val="20"/>
              </w:rPr>
            </w:pPr>
            <w:r w:rsidRPr="001D3556">
              <w:rPr>
                <w:rFonts w:cs="Times New Roman"/>
                <w:noProof/>
                <w:sz w:val="22"/>
                <w:szCs w:val="20"/>
              </w:rPr>
              <w:t xml:space="preserve">EUR </w:t>
            </w:r>
            <w:r w:rsidR="00E87E8D">
              <w:rPr>
                <w:rFonts w:cs="Times New Roman"/>
                <w:noProof/>
                <w:sz w:val="22"/>
                <w:szCs w:val="20"/>
              </w:rPr>
              <w:t>796 000</w:t>
            </w:r>
          </w:p>
        </w:tc>
        <w:tc>
          <w:tcPr>
            <w:tcW w:w="715"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C622D4C" w14:textId="77777777" w:rsidR="000539AC" w:rsidRPr="001D3556" w:rsidRDefault="000539AC" w:rsidP="000539AC">
            <w:pPr>
              <w:spacing w:before="240" w:after="160"/>
              <w:jc w:val="center"/>
              <w:rPr>
                <w:rFonts w:cs="Times New Roman"/>
                <w:noProof/>
                <w:sz w:val="22"/>
                <w:szCs w:val="20"/>
              </w:rPr>
            </w:pPr>
            <w:r w:rsidRPr="001D3556">
              <w:rPr>
                <w:rFonts w:cs="Times New Roman"/>
                <w:noProof/>
                <w:sz w:val="22"/>
                <w:szCs w:val="20"/>
              </w:rPr>
              <w:t>EUR</w:t>
            </w:r>
          </w:p>
          <w:p w14:paraId="4E7C30FC" w14:textId="02BEAD10" w:rsidR="006D4B83" w:rsidRPr="001D3556" w:rsidRDefault="00735A3F" w:rsidP="1FA04443">
            <w:pPr>
              <w:spacing w:before="240" w:after="160"/>
              <w:jc w:val="center"/>
              <w:rPr>
                <w:rFonts w:cs="Times New Roman"/>
                <w:noProof/>
                <w:sz w:val="22"/>
              </w:rPr>
            </w:pPr>
            <w:r>
              <w:rPr>
                <w:rFonts w:cs="Times New Roman"/>
                <w:noProof/>
                <w:sz w:val="22"/>
              </w:rPr>
              <w:t xml:space="preserve"> 6.</w:t>
            </w:r>
            <w:r w:rsidR="00CB23CB">
              <w:rPr>
                <w:rFonts w:cs="Times New Roman"/>
                <w:noProof/>
                <w:sz w:val="22"/>
              </w:rPr>
              <w:t>45</w:t>
            </w:r>
            <w:r w:rsidR="00E70CED" w:rsidRPr="001D3556">
              <w:rPr>
                <w:rFonts w:cs="Times New Roman"/>
                <w:noProof/>
                <w:sz w:val="22"/>
              </w:rPr>
              <w:t xml:space="preserve"> </w:t>
            </w:r>
            <w:r w:rsidR="3F8791D6" w:rsidRPr="001D3556">
              <w:rPr>
                <w:rFonts w:cs="Times New Roman"/>
                <w:noProof/>
                <w:sz w:val="22"/>
              </w:rPr>
              <w:t xml:space="preserve">million </w:t>
            </w:r>
          </w:p>
        </w:tc>
        <w:tc>
          <w:tcPr>
            <w:tcW w:w="71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4BB94CF" w14:textId="77777777" w:rsidR="006D4B83" w:rsidRPr="001D3556" w:rsidRDefault="006D4B83" w:rsidP="356CD2D9">
            <w:pPr>
              <w:spacing w:before="240" w:after="160"/>
              <w:jc w:val="center"/>
              <w:rPr>
                <w:rFonts w:cs="Times New Roman"/>
                <w:noProof/>
                <w:sz w:val="22"/>
                <w:szCs w:val="20"/>
              </w:rPr>
            </w:pPr>
            <w:r w:rsidRPr="001D3556">
              <w:rPr>
                <w:rFonts w:cs="Times New Roman"/>
                <w:noProof/>
                <w:sz w:val="22"/>
                <w:szCs w:val="20"/>
              </w:rPr>
              <w:t>EUR</w:t>
            </w:r>
          </w:p>
          <w:p w14:paraId="151E7B32" w14:textId="6801E04E" w:rsidR="006D4B83" w:rsidRPr="001D3556" w:rsidRDefault="00CB23CB" w:rsidP="356CD2D9">
            <w:pPr>
              <w:spacing w:before="240" w:after="160"/>
              <w:jc w:val="center"/>
              <w:rPr>
                <w:rFonts w:cs="Times New Roman"/>
                <w:noProof/>
                <w:sz w:val="22"/>
                <w:szCs w:val="20"/>
              </w:rPr>
            </w:pPr>
            <w:r>
              <w:rPr>
                <w:rFonts w:cs="Times New Roman"/>
                <w:noProof/>
                <w:sz w:val="22"/>
                <w:szCs w:val="20"/>
              </w:rPr>
              <w:t>525 600</w:t>
            </w:r>
          </w:p>
        </w:tc>
        <w:tc>
          <w:tcPr>
            <w:tcW w:w="764"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764660A" w14:textId="77777777" w:rsidR="006D4B83" w:rsidRPr="001D3556" w:rsidRDefault="006D4B83" w:rsidP="356CD2D9">
            <w:pPr>
              <w:spacing w:before="240" w:after="160"/>
              <w:jc w:val="center"/>
              <w:rPr>
                <w:rFonts w:cs="Times New Roman"/>
                <w:noProof/>
                <w:sz w:val="22"/>
                <w:szCs w:val="20"/>
              </w:rPr>
            </w:pPr>
            <w:r w:rsidRPr="001D3556">
              <w:rPr>
                <w:rFonts w:cs="Times New Roman"/>
                <w:noProof/>
                <w:sz w:val="22"/>
                <w:szCs w:val="20"/>
              </w:rPr>
              <w:t>EUR</w:t>
            </w:r>
          </w:p>
          <w:p w14:paraId="53616447" w14:textId="2B06F199" w:rsidR="006D4B83" w:rsidRPr="001D3556" w:rsidRDefault="00907B3B" w:rsidP="1FA04443">
            <w:pPr>
              <w:spacing w:before="240" w:after="160"/>
              <w:jc w:val="center"/>
              <w:rPr>
                <w:rFonts w:cs="Times New Roman"/>
                <w:noProof/>
                <w:sz w:val="22"/>
              </w:rPr>
            </w:pPr>
            <w:r w:rsidRPr="001D3556">
              <w:rPr>
                <w:rFonts w:cs="Times New Roman"/>
                <w:noProof/>
                <w:sz w:val="22"/>
              </w:rPr>
              <w:t>10.</w:t>
            </w:r>
            <w:r w:rsidR="00CB23CB">
              <w:rPr>
                <w:rFonts w:cs="Times New Roman"/>
                <w:noProof/>
                <w:sz w:val="22"/>
              </w:rPr>
              <w:t>27</w:t>
            </w:r>
            <w:r w:rsidRPr="001D3556">
              <w:rPr>
                <w:rFonts w:cs="Times New Roman"/>
                <w:noProof/>
                <w:sz w:val="22"/>
              </w:rPr>
              <w:t xml:space="preserve"> </w:t>
            </w:r>
            <w:r w:rsidR="7C3A39E7" w:rsidRPr="001D3556">
              <w:rPr>
                <w:rFonts w:cs="Times New Roman"/>
                <w:noProof/>
                <w:sz w:val="22"/>
              </w:rPr>
              <w:t>million</w:t>
            </w:r>
          </w:p>
        </w:tc>
        <w:tc>
          <w:tcPr>
            <w:tcW w:w="53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2B21091" w14:textId="77777777" w:rsidR="006D4B83" w:rsidRPr="001D3556" w:rsidRDefault="006D4B83" w:rsidP="356CD2D9">
            <w:pPr>
              <w:spacing w:before="240" w:after="160"/>
              <w:jc w:val="center"/>
              <w:rPr>
                <w:rFonts w:cs="Times New Roman"/>
                <w:noProof/>
                <w:sz w:val="22"/>
                <w:szCs w:val="20"/>
              </w:rPr>
            </w:pPr>
            <w:r w:rsidRPr="001D3556">
              <w:rPr>
                <w:rFonts w:cs="Times New Roman"/>
                <w:noProof/>
                <w:sz w:val="22"/>
                <w:szCs w:val="20"/>
              </w:rPr>
              <w:t>EUR</w:t>
            </w:r>
          </w:p>
          <w:p w14:paraId="6147079A" w14:textId="446F3C38" w:rsidR="006D4B83" w:rsidRPr="001D3556" w:rsidRDefault="00CB23CB" w:rsidP="356CD2D9">
            <w:pPr>
              <w:spacing w:before="240" w:after="160"/>
              <w:jc w:val="center"/>
              <w:rPr>
                <w:rFonts w:cs="Times New Roman"/>
                <w:noProof/>
                <w:sz w:val="22"/>
                <w:szCs w:val="20"/>
              </w:rPr>
            </w:pPr>
            <w:r>
              <w:rPr>
                <w:rFonts w:cs="Times New Roman"/>
                <w:noProof/>
                <w:sz w:val="22"/>
                <w:szCs w:val="20"/>
              </w:rPr>
              <w:t xml:space="preserve">525 </w:t>
            </w:r>
            <w:r w:rsidR="002F5043">
              <w:rPr>
                <w:rFonts w:cs="Times New Roman"/>
                <w:noProof/>
                <w:sz w:val="22"/>
                <w:szCs w:val="20"/>
              </w:rPr>
              <w:t>600</w:t>
            </w:r>
          </w:p>
        </w:tc>
        <w:tc>
          <w:tcPr>
            <w:tcW w:w="636"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C695763" w14:textId="77777777" w:rsidR="006D4B83" w:rsidRPr="001D3556" w:rsidRDefault="006D4B83" w:rsidP="356CD2D9">
            <w:pPr>
              <w:spacing w:before="240" w:after="160"/>
              <w:jc w:val="center"/>
              <w:rPr>
                <w:rFonts w:cs="Times New Roman"/>
                <w:noProof/>
                <w:sz w:val="22"/>
                <w:szCs w:val="20"/>
              </w:rPr>
            </w:pPr>
            <w:r w:rsidRPr="001D3556">
              <w:rPr>
                <w:rFonts w:cs="Times New Roman"/>
                <w:noProof/>
                <w:sz w:val="22"/>
                <w:szCs w:val="20"/>
              </w:rPr>
              <w:t>EUR</w:t>
            </w:r>
          </w:p>
          <w:p w14:paraId="5A50C724" w14:textId="7A660EAD" w:rsidR="006D4B83" w:rsidRPr="001D3556" w:rsidRDefault="002F5043" w:rsidP="356CD2D9">
            <w:pPr>
              <w:spacing w:before="240" w:after="160"/>
              <w:jc w:val="center"/>
              <w:rPr>
                <w:rFonts w:cs="Times New Roman"/>
                <w:noProof/>
                <w:sz w:val="22"/>
              </w:rPr>
            </w:pPr>
            <w:r>
              <w:rPr>
                <w:rFonts w:cs="Times New Roman"/>
                <w:noProof/>
                <w:sz w:val="22"/>
              </w:rPr>
              <w:t xml:space="preserve">14.87 </w:t>
            </w:r>
            <w:r w:rsidR="2AF8EF72" w:rsidRPr="001D3556">
              <w:rPr>
                <w:rFonts w:cs="Times New Roman"/>
                <w:noProof/>
                <w:sz w:val="22"/>
              </w:rPr>
              <w:t xml:space="preserve"> million</w:t>
            </w:r>
          </w:p>
        </w:tc>
      </w:tr>
      <w:tr w:rsidR="00423411" w:rsidRPr="00423411" w14:paraId="0F7D957C"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tcPr>
          <w:p w14:paraId="3B587765" w14:textId="77777777" w:rsidR="00603D99" w:rsidRPr="004A466F" w:rsidDel="00D60916" w:rsidRDefault="00603D99" w:rsidP="356CD2D9">
            <w:pPr>
              <w:spacing w:before="240" w:after="160"/>
              <w:jc w:val="center"/>
              <w:rPr>
                <w:rFonts w:cs="Times New Roman"/>
                <w:b/>
                <w:noProof/>
                <w:sz w:val="22"/>
                <w:szCs w:val="20"/>
              </w:rPr>
            </w:pPr>
            <w:r w:rsidRPr="004A466F">
              <w:rPr>
                <w:rFonts w:cs="Times New Roman"/>
                <w:b/>
                <w:noProof/>
                <w:sz w:val="22"/>
                <w:szCs w:val="20"/>
              </w:rPr>
              <w:t>Member states</w:t>
            </w:r>
          </w:p>
        </w:tc>
        <w:tc>
          <w:tcPr>
            <w:tcW w:w="785" w:type="pct"/>
            <w:tcBorders>
              <w:top w:val="single" w:sz="6" w:space="0" w:color="auto"/>
              <w:left w:val="single" w:sz="6" w:space="0" w:color="auto"/>
              <w:bottom w:val="single" w:sz="6" w:space="0" w:color="auto"/>
              <w:right w:val="single" w:sz="6" w:space="0" w:color="auto"/>
            </w:tcBorders>
          </w:tcPr>
          <w:p w14:paraId="53005A18" w14:textId="5F27AA88" w:rsidR="00603D99" w:rsidRPr="001D3556" w:rsidRDefault="00603D99" w:rsidP="356CD2D9">
            <w:pPr>
              <w:spacing w:before="240" w:after="160"/>
              <w:jc w:val="center"/>
              <w:rPr>
                <w:rFonts w:cs="Times New Roman"/>
                <w:noProof/>
                <w:sz w:val="22"/>
                <w:szCs w:val="20"/>
              </w:rPr>
            </w:pPr>
            <w:r w:rsidRPr="001D3556">
              <w:rPr>
                <w:rFonts w:cs="Times New Roman"/>
                <w:noProof/>
                <w:sz w:val="22"/>
                <w:szCs w:val="20"/>
              </w:rPr>
              <w:t>EUR 0</w:t>
            </w:r>
            <w:r w:rsidRPr="001D3556" w:rsidDel="00E76F3F">
              <w:rPr>
                <w:rFonts w:cs="Times New Roman"/>
                <w:noProof/>
                <w:sz w:val="22"/>
                <w:szCs w:val="20"/>
              </w:rPr>
              <w:t xml:space="preserve"> </w:t>
            </w:r>
          </w:p>
        </w:tc>
        <w:tc>
          <w:tcPr>
            <w:tcW w:w="715" w:type="pct"/>
            <w:tcBorders>
              <w:top w:val="single" w:sz="6" w:space="0" w:color="auto"/>
              <w:left w:val="single" w:sz="6" w:space="0" w:color="auto"/>
              <w:bottom w:val="single" w:sz="6" w:space="0" w:color="auto"/>
              <w:right w:val="single" w:sz="6" w:space="0" w:color="auto"/>
            </w:tcBorders>
          </w:tcPr>
          <w:p w14:paraId="73B4FFA5" w14:textId="1CC95BD5" w:rsidR="00603D99" w:rsidRPr="001D3556" w:rsidRDefault="00603D99" w:rsidP="356CD2D9">
            <w:pPr>
              <w:spacing w:before="240" w:after="160"/>
              <w:jc w:val="center"/>
              <w:rPr>
                <w:rFonts w:cs="Times New Roman"/>
                <w:noProof/>
                <w:sz w:val="22"/>
                <w:szCs w:val="20"/>
              </w:rPr>
            </w:pPr>
            <w:r w:rsidRPr="001D3556">
              <w:rPr>
                <w:rFonts w:cs="Times New Roman"/>
                <w:noProof/>
                <w:sz w:val="22"/>
                <w:szCs w:val="20"/>
              </w:rPr>
              <w:t>EUR 1.3 billion</w:t>
            </w:r>
            <w:r w:rsidRPr="001D3556" w:rsidDel="00E76F3F">
              <w:rPr>
                <w:rFonts w:cs="Times New Roman"/>
                <w:noProof/>
                <w:sz w:val="22"/>
                <w:szCs w:val="20"/>
              </w:rPr>
              <w:t xml:space="preserve"> </w:t>
            </w:r>
          </w:p>
        </w:tc>
        <w:tc>
          <w:tcPr>
            <w:tcW w:w="715" w:type="pct"/>
            <w:tcBorders>
              <w:top w:val="single" w:sz="6" w:space="0" w:color="auto"/>
              <w:left w:val="single" w:sz="6" w:space="0" w:color="auto"/>
              <w:bottom w:val="single" w:sz="6" w:space="0" w:color="auto"/>
              <w:right w:val="single" w:sz="6" w:space="0" w:color="auto"/>
            </w:tcBorders>
          </w:tcPr>
          <w:p w14:paraId="01C05C53" w14:textId="73D4B472" w:rsidR="00603D99" w:rsidRPr="001D3556" w:rsidRDefault="00603D99" w:rsidP="356CD2D9">
            <w:pPr>
              <w:spacing w:before="240" w:after="160"/>
              <w:jc w:val="center"/>
              <w:rPr>
                <w:rFonts w:cs="Times New Roman"/>
                <w:noProof/>
                <w:sz w:val="22"/>
                <w:szCs w:val="20"/>
              </w:rPr>
            </w:pPr>
            <w:r w:rsidRPr="001D3556">
              <w:rPr>
                <w:rFonts w:cs="Times New Roman"/>
                <w:noProof/>
                <w:sz w:val="22"/>
                <w:szCs w:val="20"/>
              </w:rPr>
              <w:t>EUR 0</w:t>
            </w:r>
            <w:r w:rsidRPr="001D3556" w:rsidDel="00E76F3F">
              <w:rPr>
                <w:rFonts w:cs="Times New Roman"/>
                <w:noProof/>
                <w:sz w:val="22"/>
                <w:szCs w:val="20"/>
              </w:rPr>
              <w:t xml:space="preserve"> </w:t>
            </w:r>
          </w:p>
        </w:tc>
        <w:tc>
          <w:tcPr>
            <w:tcW w:w="764" w:type="pct"/>
            <w:tcBorders>
              <w:top w:val="single" w:sz="6" w:space="0" w:color="auto"/>
              <w:left w:val="single" w:sz="6" w:space="0" w:color="auto"/>
              <w:bottom w:val="single" w:sz="6" w:space="0" w:color="auto"/>
              <w:right w:val="single" w:sz="6" w:space="0" w:color="auto"/>
            </w:tcBorders>
          </w:tcPr>
          <w:p w14:paraId="05155FA2" w14:textId="3AB8C8E9" w:rsidR="00603D99" w:rsidRPr="001D3556" w:rsidRDefault="00603D99" w:rsidP="356CD2D9">
            <w:pPr>
              <w:spacing w:before="240" w:after="160"/>
              <w:jc w:val="center"/>
              <w:rPr>
                <w:rFonts w:cs="Times New Roman"/>
                <w:noProof/>
                <w:sz w:val="22"/>
                <w:szCs w:val="20"/>
              </w:rPr>
            </w:pPr>
            <w:r w:rsidRPr="001D3556">
              <w:rPr>
                <w:rFonts w:cs="Times New Roman"/>
                <w:noProof/>
                <w:sz w:val="22"/>
                <w:szCs w:val="20"/>
              </w:rPr>
              <w:t>EUR 1.3 billion</w:t>
            </w:r>
          </w:p>
        </w:tc>
        <w:tc>
          <w:tcPr>
            <w:tcW w:w="534" w:type="pct"/>
            <w:tcBorders>
              <w:top w:val="single" w:sz="6" w:space="0" w:color="auto"/>
              <w:left w:val="single" w:sz="6" w:space="0" w:color="auto"/>
              <w:bottom w:val="single" w:sz="6" w:space="0" w:color="auto"/>
              <w:right w:val="single" w:sz="6" w:space="0" w:color="auto"/>
            </w:tcBorders>
          </w:tcPr>
          <w:p w14:paraId="2002735D" w14:textId="73550F40" w:rsidR="00603D99" w:rsidRPr="001D3556" w:rsidRDefault="00603D99" w:rsidP="356CD2D9">
            <w:pPr>
              <w:spacing w:before="240" w:after="160"/>
              <w:jc w:val="center"/>
              <w:rPr>
                <w:rFonts w:cs="Times New Roman"/>
                <w:noProof/>
                <w:sz w:val="22"/>
                <w:szCs w:val="20"/>
              </w:rPr>
            </w:pPr>
            <w:r w:rsidRPr="001D3556">
              <w:rPr>
                <w:rFonts w:cs="Times New Roman"/>
                <w:noProof/>
                <w:sz w:val="22"/>
                <w:szCs w:val="20"/>
              </w:rPr>
              <w:t>EUR 0</w:t>
            </w:r>
          </w:p>
        </w:tc>
        <w:tc>
          <w:tcPr>
            <w:tcW w:w="636" w:type="pct"/>
            <w:tcBorders>
              <w:top w:val="single" w:sz="6" w:space="0" w:color="auto"/>
              <w:left w:val="single" w:sz="6" w:space="0" w:color="auto"/>
              <w:bottom w:val="single" w:sz="6" w:space="0" w:color="auto"/>
              <w:right w:val="single" w:sz="6" w:space="0" w:color="auto"/>
            </w:tcBorders>
          </w:tcPr>
          <w:p w14:paraId="4BA28789" w14:textId="1F75C784" w:rsidR="00603D99" w:rsidRPr="001D3556" w:rsidRDefault="00603D99" w:rsidP="356CD2D9">
            <w:pPr>
              <w:spacing w:before="240" w:after="160"/>
              <w:jc w:val="center"/>
              <w:rPr>
                <w:rFonts w:cs="Times New Roman"/>
                <w:noProof/>
                <w:sz w:val="22"/>
                <w:szCs w:val="20"/>
              </w:rPr>
            </w:pPr>
            <w:r w:rsidRPr="001D3556">
              <w:rPr>
                <w:rFonts w:cs="Times New Roman"/>
                <w:noProof/>
                <w:sz w:val="22"/>
                <w:szCs w:val="20"/>
              </w:rPr>
              <w:t>EUR 1.3 billion</w:t>
            </w:r>
          </w:p>
        </w:tc>
      </w:tr>
      <w:tr w:rsidR="009253AC" w:rsidRPr="00423411" w14:paraId="259790D8"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tcPr>
          <w:p w14:paraId="47514BA6" w14:textId="571E03D2" w:rsidR="009253AC" w:rsidRPr="004A466F" w:rsidRDefault="009253AC" w:rsidP="009253AC">
            <w:pPr>
              <w:spacing w:before="240" w:after="160"/>
              <w:jc w:val="center"/>
              <w:rPr>
                <w:rFonts w:cs="Times New Roman"/>
                <w:b/>
                <w:noProof/>
                <w:sz w:val="22"/>
                <w:szCs w:val="20"/>
              </w:rPr>
            </w:pPr>
            <w:r w:rsidRPr="004A466F">
              <w:rPr>
                <w:rFonts w:cs="Times New Roman"/>
                <w:b/>
                <w:noProof/>
                <w:sz w:val="22"/>
                <w:szCs w:val="20"/>
              </w:rPr>
              <w:t>Business</w:t>
            </w:r>
          </w:p>
        </w:tc>
        <w:tc>
          <w:tcPr>
            <w:tcW w:w="785" w:type="pct"/>
            <w:tcBorders>
              <w:top w:val="single" w:sz="6" w:space="0" w:color="auto"/>
              <w:left w:val="single" w:sz="6" w:space="0" w:color="auto"/>
              <w:bottom w:val="single" w:sz="6" w:space="0" w:color="auto"/>
              <w:right w:val="single" w:sz="6" w:space="0" w:color="auto"/>
            </w:tcBorders>
          </w:tcPr>
          <w:p w14:paraId="14D00A88" w14:textId="35857591"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 xml:space="preserve">EUR 240 million </w:t>
            </w:r>
          </w:p>
        </w:tc>
        <w:tc>
          <w:tcPr>
            <w:tcW w:w="715" w:type="pct"/>
            <w:tcBorders>
              <w:top w:val="single" w:sz="6" w:space="0" w:color="auto"/>
              <w:left w:val="single" w:sz="6" w:space="0" w:color="auto"/>
              <w:bottom w:val="single" w:sz="6" w:space="0" w:color="auto"/>
              <w:right w:val="single" w:sz="6" w:space="0" w:color="auto"/>
            </w:tcBorders>
          </w:tcPr>
          <w:p w14:paraId="0C30B41D" w14:textId="5BFC1331"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c>
          <w:tcPr>
            <w:tcW w:w="715" w:type="pct"/>
            <w:tcBorders>
              <w:top w:val="single" w:sz="6" w:space="0" w:color="auto"/>
              <w:left w:val="single" w:sz="6" w:space="0" w:color="auto"/>
              <w:bottom w:val="single" w:sz="6" w:space="0" w:color="auto"/>
              <w:right w:val="single" w:sz="6" w:space="0" w:color="auto"/>
            </w:tcBorders>
          </w:tcPr>
          <w:p w14:paraId="437A728F" w14:textId="70791EA2"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240 million</w:t>
            </w:r>
          </w:p>
        </w:tc>
        <w:tc>
          <w:tcPr>
            <w:tcW w:w="764" w:type="pct"/>
            <w:tcBorders>
              <w:top w:val="single" w:sz="6" w:space="0" w:color="auto"/>
              <w:left w:val="single" w:sz="6" w:space="0" w:color="auto"/>
              <w:bottom w:val="single" w:sz="6" w:space="0" w:color="auto"/>
              <w:right w:val="single" w:sz="6" w:space="0" w:color="auto"/>
            </w:tcBorders>
          </w:tcPr>
          <w:p w14:paraId="4B89B05D" w14:textId="719912E7"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c>
          <w:tcPr>
            <w:tcW w:w="534" w:type="pct"/>
            <w:tcBorders>
              <w:top w:val="single" w:sz="6" w:space="0" w:color="auto"/>
              <w:left w:val="single" w:sz="6" w:space="0" w:color="auto"/>
              <w:bottom w:val="single" w:sz="6" w:space="0" w:color="auto"/>
              <w:right w:val="single" w:sz="6" w:space="0" w:color="auto"/>
            </w:tcBorders>
          </w:tcPr>
          <w:p w14:paraId="7C3FC682" w14:textId="1877110C"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240 million</w:t>
            </w:r>
          </w:p>
        </w:tc>
        <w:tc>
          <w:tcPr>
            <w:tcW w:w="636" w:type="pct"/>
            <w:tcBorders>
              <w:top w:val="single" w:sz="6" w:space="0" w:color="auto"/>
              <w:left w:val="single" w:sz="6" w:space="0" w:color="auto"/>
              <w:bottom w:val="single" w:sz="6" w:space="0" w:color="auto"/>
              <w:right w:val="single" w:sz="6" w:space="0" w:color="auto"/>
            </w:tcBorders>
          </w:tcPr>
          <w:p w14:paraId="35AF6A8E" w14:textId="2AD5A6D8"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r>
      <w:tr w:rsidR="009253AC" w:rsidRPr="00423411" w14:paraId="6E32E61C"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tcPr>
          <w:p w14:paraId="429C7E58" w14:textId="26EAD0B1" w:rsidR="009253AC" w:rsidRPr="004A466F" w:rsidRDefault="009253AC" w:rsidP="009253AC">
            <w:pPr>
              <w:spacing w:before="240" w:after="160"/>
              <w:jc w:val="center"/>
              <w:rPr>
                <w:rFonts w:cs="Times New Roman"/>
                <w:b/>
                <w:noProof/>
                <w:sz w:val="22"/>
                <w:szCs w:val="20"/>
              </w:rPr>
            </w:pPr>
            <w:r w:rsidRPr="004A466F">
              <w:rPr>
                <w:rFonts w:cs="Times New Roman"/>
                <w:b/>
                <w:noProof/>
                <w:sz w:val="22"/>
                <w:szCs w:val="20"/>
              </w:rPr>
              <w:t>European Commission</w:t>
            </w:r>
          </w:p>
        </w:tc>
        <w:tc>
          <w:tcPr>
            <w:tcW w:w="785" w:type="pct"/>
            <w:tcBorders>
              <w:top w:val="single" w:sz="6" w:space="0" w:color="auto"/>
              <w:left w:val="single" w:sz="6" w:space="0" w:color="auto"/>
              <w:bottom w:val="single" w:sz="6" w:space="0" w:color="auto"/>
              <w:right w:val="single" w:sz="6" w:space="0" w:color="auto"/>
            </w:tcBorders>
          </w:tcPr>
          <w:p w14:paraId="08A7C193" w14:textId="1954EF05"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c>
          <w:tcPr>
            <w:tcW w:w="715" w:type="pct"/>
            <w:tcBorders>
              <w:top w:val="single" w:sz="6" w:space="0" w:color="auto"/>
              <w:left w:val="single" w:sz="6" w:space="0" w:color="auto"/>
              <w:bottom w:val="single" w:sz="6" w:space="0" w:color="auto"/>
              <w:right w:val="single" w:sz="6" w:space="0" w:color="auto"/>
            </w:tcBorders>
          </w:tcPr>
          <w:p w14:paraId="26B9E272" w14:textId="6A6248B0"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c>
          <w:tcPr>
            <w:tcW w:w="715" w:type="pct"/>
            <w:tcBorders>
              <w:top w:val="single" w:sz="6" w:space="0" w:color="auto"/>
              <w:left w:val="single" w:sz="6" w:space="0" w:color="auto"/>
              <w:bottom w:val="single" w:sz="6" w:space="0" w:color="auto"/>
              <w:right w:val="single" w:sz="6" w:space="0" w:color="auto"/>
            </w:tcBorders>
          </w:tcPr>
          <w:p w14:paraId="4430F22D" w14:textId="578B78C7"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c>
          <w:tcPr>
            <w:tcW w:w="764" w:type="pct"/>
            <w:tcBorders>
              <w:top w:val="single" w:sz="6" w:space="0" w:color="auto"/>
              <w:left w:val="single" w:sz="6" w:space="0" w:color="auto"/>
              <w:bottom w:val="single" w:sz="6" w:space="0" w:color="auto"/>
              <w:right w:val="single" w:sz="6" w:space="0" w:color="auto"/>
            </w:tcBorders>
          </w:tcPr>
          <w:p w14:paraId="24C77C1F" w14:textId="1CA55944"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c>
          <w:tcPr>
            <w:tcW w:w="534" w:type="pct"/>
            <w:tcBorders>
              <w:top w:val="single" w:sz="6" w:space="0" w:color="auto"/>
              <w:left w:val="single" w:sz="6" w:space="0" w:color="auto"/>
              <w:bottom w:val="single" w:sz="6" w:space="0" w:color="auto"/>
              <w:right w:val="single" w:sz="6" w:space="0" w:color="auto"/>
            </w:tcBorders>
          </w:tcPr>
          <w:p w14:paraId="13F16796" w14:textId="0E5E398F"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c>
          <w:tcPr>
            <w:tcW w:w="636" w:type="pct"/>
            <w:tcBorders>
              <w:top w:val="single" w:sz="6" w:space="0" w:color="auto"/>
              <w:left w:val="single" w:sz="6" w:space="0" w:color="auto"/>
              <w:bottom w:val="single" w:sz="6" w:space="0" w:color="auto"/>
              <w:right w:val="single" w:sz="6" w:space="0" w:color="auto"/>
            </w:tcBorders>
          </w:tcPr>
          <w:p w14:paraId="2F1FB36B" w14:textId="4FD2CABC" w:rsidR="009253AC" w:rsidRPr="009253AC" w:rsidRDefault="009253AC" w:rsidP="009253AC">
            <w:pPr>
              <w:spacing w:before="240" w:after="160"/>
              <w:jc w:val="center"/>
              <w:rPr>
                <w:rFonts w:cs="Times New Roman"/>
                <w:noProof/>
                <w:sz w:val="22"/>
                <w:szCs w:val="20"/>
              </w:rPr>
            </w:pPr>
            <w:r w:rsidRPr="001D3556">
              <w:rPr>
                <w:rFonts w:cs="Times New Roman"/>
                <w:noProof/>
                <w:sz w:val="22"/>
                <w:szCs w:val="20"/>
              </w:rPr>
              <w:t>EUR 0</w:t>
            </w:r>
          </w:p>
        </w:tc>
      </w:tr>
      <w:tr w:rsidR="009253AC" w:rsidRPr="00423411" w14:paraId="6045B9E6" w14:textId="77777777" w:rsidTr="00DC4792">
        <w:trPr>
          <w:trHeight w:val="300"/>
        </w:trPr>
        <w:tc>
          <w:tcPr>
            <w:tcW w:w="851"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1B2C2FF" w14:textId="07092EF8" w:rsidR="009253AC" w:rsidRPr="004A466F" w:rsidRDefault="009253AC" w:rsidP="009253AC">
            <w:pPr>
              <w:spacing w:before="240" w:after="160"/>
              <w:jc w:val="center"/>
              <w:rPr>
                <w:rFonts w:cs="Times New Roman"/>
                <w:b/>
                <w:noProof/>
                <w:sz w:val="22"/>
                <w:szCs w:val="20"/>
              </w:rPr>
            </w:pPr>
            <w:r w:rsidRPr="004A466F">
              <w:rPr>
                <w:rFonts w:cs="Times New Roman"/>
                <w:b/>
                <w:noProof/>
                <w:sz w:val="22"/>
                <w:szCs w:val="20"/>
              </w:rPr>
              <w:t>Total Administrative Savings</w:t>
            </w:r>
          </w:p>
        </w:tc>
        <w:tc>
          <w:tcPr>
            <w:tcW w:w="78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1EF902C" w14:textId="065B9CB7" w:rsidR="009253AC" w:rsidRPr="009253AC" w:rsidRDefault="009253AC" w:rsidP="009253AC">
            <w:pPr>
              <w:spacing w:before="240" w:after="160"/>
              <w:jc w:val="center"/>
              <w:rPr>
                <w:rFonts w:cs="Times New Roman"/>
                <w:bCs/>
                <w:noProof/>
                <w:sz w:val="22"/>
                <w:szCs w:val="20"/>
              </w:rPr>
            </w:pPr>
            <w:r w:rsidRPr="001D3556">
              <w:rPr>
                <w:rFonts w:cs="Times New Roman"/>
                <w:bCs/>
                <w:noProof/>
                <w:sz w:val="22"/>
                <w:szCs w:val="20"/>
              </w:rPr>
              <w:t>EUR 240 million</w:t>
            </w:r>
          </w:p>
        </w:tc>
        <w:tc>
          <w:tcPr>
            <w:tcW w:w="71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397C9F0" w14:textId="77777777" w:rsidR="009253AC" w:rsidRPr="001D3556" w:rsidRDefault="009253AC" w:rsidP="009253AC">
            <w:pPr>
              <w:spacing w:before="240" w:after="160"/>
              <w:jc w:val="center"/>
              <w:rPr>
                <w:rFonts w:cs="Times New Roman"/>
                <w:bCs/>
                <w:noProof/>
                <w:sz w:val="22"/>
                <w:szCs w:val="20"/>
              </w:rPr>
            </w:pPr>
            <w:r w:rsidRPr="001D3556">
              <w:rPr>
                <w:rFonts w:cs="Times New Roman"/>
                <w:bCs/>
                <w:noProof/>
                <w:sz w:val="22"/>
                <w:szCs w:val="20"/>
              </w:rPr>
              <w:t>EUR</w:t>
            </w:r>
          </w:p>
          <w:p w14:paraId="4E7AB22A" w14:textId="712AAB2A" w:rsidR="009253AC" w:rsidRPr="009253AC" w:rsidRDefault="009253AC" w:rsidP="009253AC">
            <w:pPr>
              <w:spacing w:before="240" w:after="160"/>
              <w:jc w:val="center"/>
              <w:rPr>
                <w:rFonts w:cs="Times New Roman"/>
                <w:bCs/>
                <w:noProof/>
                <w:sz w:val="22"/>
                <w:szCs w:val="20"/>
              </w:rPr>
            </w:pPr>
            <w:r w:rsidRPr="001D3556">
              <w:rPr>
                <w:rFonts w:cs="Times New Roman"/>
                <w:bCs/>
                <w:noProof/>
                <w:sz w:val="22"/>
                <w:szCs w:val="20"/>
              </w:rPr>
              <w:t xml:space="preserve">1.3 billion </w:t>
            </w:r>
          </w:p>
        </w:tc>
        <w:tc>
          <w:tcPr>
            <w:tcW w:w="71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CF56631" w14:textId="77777777" w:rsidR="009253AC" w:rsidRPr="001D3556" w:rsidRDefault="009253AC" w:rsidP="009253AC">
            <w:pPr>
              <w:spacing w:before="240" w:after="160"/>
              <w:jc w:val="center"/>
              <w:rPr>
                <w:rFonts w:cs="Times New Roman"/>
                <w:bCs/>
                <w:noProof/>
                <w:sz w:val="22"/>
                <w:szCs w:val="20"/>
              </w:rPr>
            </w:pPr>
            <w:r w:rsidRPr="001D3556">
              <w:rPr>
                <w:rFonts w:cs="Times New Roman"/>
                <w:bCs/>
                <w:noProof/>
                <w:sz w:val="22"/>
                <w:szCs w:val="20"/>
              </w:rPr>
              <w:t>EUR</w:t>
            </w:r>
          </w:p>
          <w:p w14:paraId="5411C85A" w14:textId="3D5E2A10" w:rsidR="009253AC" w:rsidRPr="009253AC" w:rsidRDefault="009253AC" w:rsidP="009253AC">
            <w:pPr>
              <w:spacing w:before="240" w:after="160"/>
              <w:jc w:val="center"/>
              <w:rPr>
                <w:rFonts w:cs="Times New Roman"/>
                <w:bCs/>
                <w:noProof/>
                <w:sz w:val="22"/>
                <w:szCs w:val="20"/>
              </w:rPr>
            </w:pPr>
            <w:r w:rsidRPr="001D3556">
              <w:rPr>
                <w:rFonts w:cs="Times New Roman"/>
                <w:bCs/>
                <w:noProof/>
                <w:sz w:val="22"/>
                <w:szCs w:val="20"/>
              </w:rPr>
              <w:t>240 million</w:t>
            </w:r>
          </w:p>
        </w:tc>
        <w:tc>
          <w:tcPr>
            <w:tcW w:w="76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0806D7F" w14:textId="77777777" w:rsidR="009253AC" w:rsidRPr="001D3556" w:rsidRDefault="009253AC" w:rsidP="009253AC">
            <w:pPr>
              <w:spacing w:before="240" w:after="160"/>
              <w:jc w:val="center"/>
              <w:rPr>
                <w:rFonts w:cs="Times New Roman"/>
                <w:bCs/>
                <w:noProof/>
                <w:sz w:val="22"/>
                <w:szCs w:val="20"/>
              </w:rPr>
            </w:pPr>
            <w:r w:rsidRPr="001D3556">
              <w:rPr>
                <w:rFonts w:cs="Times New Roman"/>
                <w:bCs/>
                <w:noProof/>
                <w:sz w:val="22"/>
                <w:szCs w:val="20"/>
              </w:rPr>
              <w:t>EUR</w:t>
            </w:r>
          </w:p>
          <w:p w14:paraId="49400F65" w14:textId="39F57821" w:rsidR="009253AC" w:rsidRPr="009253AC" w:rsidRDefault="009253AC" w:rsidP="009253AC">
            <w:pPr>
              <w:spacing w:before="240" w:after="160"/>
              <w:jc w:val="center"/>
              <w:rPr>
                <w:rFonts w:cs="Times New Roman"/>
                <w:bCs/>
                <w:noProof/>
                <w:sz w:val="22"/>
                <w:szCs w:val="20"/>
              </w:rPr>
            </w:pPr>
            <w:r w:rsidRPr="001D3556">
              <w:rPr>
                <w:rFonts w:cs="Times New Roman"/>
                <w:bCs/>
                <w:noProof/>
                <w:sz w:val="22"/>
                <w:szCs w:val="20"/>
              </w:rPr>
              <w:t>1.3 billion</w:t>
            </w:r>
          </w:p>
        </w:tc>
        <w:tc>
          <w:tcPr>
            <w:tcW w:w="53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0E5F69" w14:textId="77777777" w:rsidR="009253AC" w:rsidRPr="001D3556" w:rsidRDefault="009253AC" w:rsidP="009253AC">
            <w:pPr>
              <w:spacing w:before="240" w:after="160"/>
              <w:jc w:val="center"/>
              <w:rPr>
                <w:rFonts w:cs="Times New Roman"/>
                <w:bCs/>
                <w:noProof/>
                <w:sz w:val="22"/>
                <w:szCs w:val="20"/>
              </w:rPr>
            </w:pPr>
            <w:r w:rsidRPr="001D3556">
              <w:rPr>
                <w:rFonts w:cs="Times New Roman"/>
                <w:bCs/>
                <w:noProof/>
                <w:sz w:val="22"/>
                <w:szCs w:val="20"/>
              </w:rPr>
              <w:t>EUR</w:t>
            </w:r>
          </w:p>
          <w:p w14:paraId="399B6258" w14:textId="576EF551" w:rsidR="009253AC" w:rsidRPr="009253AC" w:rsidRDefault="009253AC" w:rsidP="009253AC">
            <w:pPr>
              <w:spacing w:before="240" w:after="160"/>
              <w:jc w:val="center"/>
              <w:rPr>
                <w:rFonts w:cs="Times New Roman"/>
                <w:bCs/>
                <w:noProof/>
                <w:sz w:val="22"/>
                <w:szCs w:val="20"/>
              </w:rPr>
            </w:pPr>
            <w:r w:rsidRPr="001D3556">
              <w:rPr>
                <w:rFonts w:cs="Times New Roman"/>
                <w:bCs/>
                <w:noProof/>
                <w:sz w:val="22"/>
                <w:szCs w:val="20"/>
              </w:rPr>
              <w:t>240 million</w:t>
            </w:r>
          </w:p>
        </w:tc>
        <w:tc>
          <w:tcPr>
            <w:tcW w:w="63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6C60AC7" w14:textId="77777777" w:rsidR="009253AC" w:rsidRPr="001D3556" w:rsidRDefault="009253AC" w:rsidP="009253AC">
            <w:pPr>
              <w:spacing w:before="240" w:after="160"/>
              <w:jc w:val="center"/>
              <w:rPr>
                <w:rFonts w:cs="Times New Roman"/>
                <w:bCs/>
                <w:noProof/>
                <w:sz w:val="22"/>
                <w:szCs w:val="20"/>
              </w:rPr>
            </w:pPr>
            <w:r w:rsidRPr="001D3556">
              <w:rPr>
                <w:rFonts w:cs="Times New Roman"/>
                <w:bCs/>
                <w:noProof/>
                <w:sz w:val="22"/>
                <w:szCs w:val="20"/>
              </w:rPr>
              <w:t>EUR</w:t>
            </w:r>
          </w:p>
          <w:p w14:paraId="19189CD8" w14:textId="069852C8" w:rsidR="009253AC" w:rsidRPr="009253AC" w:rsidRDefault="009253AC" w:rsidP="009253AC">
            <w:pPr>
              <w:spacing w:before="240" w:after="160"/>
              <w:jc w:val="center"/>
              <w:rPr>
                <w:rFonts w:cs="Times New Roman"/>
                <w:bCs/>
                <w:noProof/>
                <w:sz w:val="22"/>
                <w:szCs w:val="20"/>
              </w:rPr>
            </w:pPr>
            <w:r w:rsidRPr="001D3556">
              <w:rPr>
                <w:rFonts w:cs="Times New Roman"/>
                <w:bCs/>
                <w:noProof/>
                <w:sz w:val="22"/>
                <w:szCs w:val="20"/>
              </w:rPr>
              <w:t>1.3 billion</w:t>
            </w:r>
          </w:p>
        </w:tc>
      </w:tr>
    </w:tbl>
    <w:p w14:paraId="6537D8F8" w14:textId="2CFAA756" w:rsidR="00FF2238" w:rsidRPr="009B4917" w:rsidRDefault="00BF0A46" w:rsidP="1FA04443">
      <w:pPr>
        <w:pStyle w:val="ListParagraph"/>
        <w:keepNext/>
        <w:keepLines/>
        <w:numPr>
          <w:ilvl w:val="1"/>
          <w:numId w:val="157"/>
        </w:numPr>
        <w:spacing w:before="360" w:after="80"/>
        <w:outlineLvl w:val="0"/>
        <w:rPr>
          <w:rFonts w:eastAsia="Yu Gothic Light"/>
          <w:b/>
          <w:bCs/>
          <w:noProof/>
        </w:rPr>
      </w:pPr>
      <w:bookmarkStart w:id="278" w:name="_Toc212728808"/>
      <w:bookmarkStart w:id="279" w:name="_Toc212729082"/>
      <w:bookmarkStart w:id="280" w:name="_Toc212729334"/>
      <w:bookmarkStart w:id="281" w:name="_Toc215506278"/>
      <w:bookmarkStart w:id="282" w:name="_Toc222159329"/>
      <w:bookmarkStart w:id="283" w:name="_Toc222489533"/>
      <w:bookmarkStart w:id="284" w:name="_Toc222490022"/>
      <w:r w:rsidRPr="1FA04443">
        <w:rPr>
          <w:rFonts w:eastAsia="Yu Gothic Light"/>
          <w:b/>
          <w:bCs/>
          <w:noProof/>
        </w:rPr>
        <w:lastRenderedPageBreak/>
        <w:t xml:space="preserve">Adjustment </w:t>
      </w:r>
      <w:r w:rsidR="00720D6C" w:rsidRPr="1FA04443">
        <w:rPr>
          <w:rFonts w:eastAsia="Yu Gothic Light"/>
          <w:b/>
          <w:bCs/>
          <w:noProof/>
        </w:rPr>
        <w:t>c</w:t>
      </w:r>
      <w:r w:rsidRPr="1FA04443">
        <w:rPr>
          <w:rFonts w:eastAsia="Yu Gothic Light"/>
          <w:b/>
          <w:bCs/>
          <w:noProof/>
        </w:rPr>
        <w:t>osts</w:t>
      </w:r>
      <w:bookmarkEnd w:id="278"/>
      <w:bookmarkEnd w:id="279"/>
      <w:bookmarkEnd w:id="280"/>
      <w:bookmarkEnd w:id="281"/>
      <w:bookmarkEnd w:id="282"/>
      <w:bookmarkEnd w:id="283"/>
      <w:bookmarkEnd w:id="284"/>
      <w:r w:rsidR="00720D6C" w:rsidRPr="1FA04443">
        <w:rPr>
          <w:rFonts w:eastAsia="Yu Gothic Light"/>
          <w:b/>
          <w:bCs/>
          <w:noProof/>
        </w:rPr>
        <w:t xml:space="preserve"> </w:t>
      </w:r>
    </w:p>
    <w:p w14:paraId="53F90606" w14:textId="77777777" w:rsidR="000319A6" w:rsidRDefault="000319A6" w:rsidP="006A4572">
      <w:pPr>
        <w:pStyle w:val="JRCText"/>
        <w:rPr>
          <w:rFonts w:ascii="Times New Roman" w:eastAsia="Times New Roman" w:hAnsi="Times New Roman" w:cs="Times New Roman"/>
          <w:b/>
          <w:noProof/>
          <w:color w:val="000000" w:themeColor="text1"/>
          <w:sz w:val="24"/>
          <w:szCs w:val="24"/>
        </w:rPr>
      </w:pPr>
    </w:p>
    <w:p w14:paraId="0F834715" w14:textId="10ED99ED" w:rsidR="00462162" w:rsidRPr="006A4572" w:rsidRDefault="008540FC" w:rsidP="006A4572">
      <w:pPr>
        <w:pStyle w:val="JRCText"/>
        <w:rPr>
          <w:rFonts w:ascii="Times New Roman" w:eastAsia="Times New Roman" w:hAnsi="Times New Roman" w:cs="Times New Roman"/>
          <w:b/>
          <w:bCs/>
          <w:noProof/>
          <w:color w:val="000000" w:themeColor="text1"/>
          <w:sz w:val="24"/>
          <w:szCs w:val="24"/>
        </w:rPr>
      </w:pPr>
      <w:r w:rsidRPr="006A4572">
        <w:rPr>
          <w:rFonts w:ascii="Times New Roman" w:eastAsia="Times New Roman" w:hAnsi="Times New Roman" w:cs="Times New Roman"/>
          <w:b/>
          <w:bCs/>
          <w:noProof/>
          <w:color w:val="000000" w:themeColor="text1"/>
          <w:sz w:val="24"/>
          <w:szCs w:val="24"/>
        </w:rPr>
        <w:t xml:space="preserve">LEAD_EII </w:t>
      </w:r>
    </w:p>
    <w:p w14:paraId="69E460D0" w14:textId="0D0D2C86" w:rsidR="004B0D47" w:rsidRPr="0097216F" w:rsidRDefault="002555B7" w:rsidP="002555B7">
      <w:pPr>
        <w:rPr>
          <w:noProof/>
          <w:u w:val="single"/>
        </w:rPr>
      </w:pPr>
      <w:r w:rsidRPr="00F261DB">
        <w:rPr>
          <w:noProof/>
          <w:szCs w:val="24"/>
        </w:rPr>
        <w:t xml:space="preserve">Assumptions taken for adjustment costs for </w:t>
      </w:r>
      <w:r w:rsidR="000B7549" w:rsidRPr="00F261DB">
        <w:rPr>
          <w:noProof/>
          <w:szCs w:val="24"/>
        </w:rPr>
        <w:t xml:space="preserve">the </w:t>
      </w:r>
      <w:r w:rsidRPr="00DB109C">
        <w:rPr>
          <w:b/>
          <w:bCs/>
          <w:noProof/>
          <w:szCs w:val="24"/>
        </w:rPr>
        <w:t>a</w:t>
      </w:r>
      <w:r w:rsidR="004B0D47" w:rsidRPr="00DB109C">
        <w:rPr>
          <w:rFonts w:eastAsia="Times New Roman" w:cs="Times New Roman"/>
          <w:b/>
          <w:bCs/>
          <w:noProof/>
          <w:szCs w:val="24"/>
        </w:rPr>
        <w:t>utomotive</w:t>
      </w:r>
      <w:r w:rsidR="000B7549" w:rsidRPr="00DB109C">
        <w:rPr>
          <w:rFonts w:eastAsia="Times New Roman" w:cs="Times New Roman"/>
          <w:b/>
          <w:bCs/>
          <w:noProof/>
          <w:szCs w:val="24"/>
        </w:rPr>
        <w:t xml:space="preserve"> sector</w:t>
      </w:r>
      <w:r w:rsidR="004B0D47" w:rsidRPr="0097216F">
        <w:rPr>
          <w:rFonts w:eastAsia="Times New Roman" w:cs="Times New Roman"/>
          <w:noProof/>
          <w:szCs w:val="24"/>
        </w:rPr>
        <w:t>:</w:t>
      </w:r>
      <w:r w:rsidR="004B0D47" w:rsidRPr="00E71388">
        <w:rPr>
          <w:noProof/>
          <w:u w:val="single"/>
        </w:rPr>
        <w:t xml:space="preserve"> </w:t>
      </w:r>
    </w:p>
    <w:p w14:paraId="607935C5" w14:textId="77777777" w:rsidR="007F6860" w:rsidRDefault="007F6860" w:rsidP="002555B7">
      <w:pPr>
        <w:rPr>
          <w:noProof/>
          <w:szCs w:val="24"/>
        </w:rPr>
      </w:pPr>
    </w:p>
    <w:p w14:paraId="1C9230AB" w14:textId="3F1B3CE0" w:rsidR="008E16DD" w:rsidRDefault="008E16DD" w:rsidP="002555B7">
      <w:pPr>
        <w:rPr>
          <w:i/>
          <w:iCs/>
          <w:noProof/>
          <w:szCs w:val="24"/>
        </w:rPr>
      </w:pPr>
      <w:r w:rsidRPr="00E71388">
        <w:rPr>
          <w:i/>
          <w:iCs/>
          <w:noProof/>
          <w:szCs w:val="24"/>
        </w:rPr>
        <w:t xml:space="preserve">Low-carbon provisions: </w:t>
      </w:r>
    </w:p>
    <w:p w14:paraId="2FC6DD24" w14:textId="77777777" w:rsidR="008E16DD" w:rsidRPr="00E71388" w:rsidRDefault="008E16DD" w:rsidP="002555B7">
      <w:pPr>
        <w:rPr>
          <w:i/>
          <w:iCs/>
          <w:noProof/>
          <w:szCs w:val="24"/>
        </w:rPr>
      </w:pPr>
    </w:p>
    <w:p w14:paraId="13C56BEE" w14:textId="513C97A3" w:rsidR="008E16DD" w:rsidRPr="00F261DB" w:rsidRDefault="008E16DD" w:rsidP="002555B7">
      <w:pPr>
        <w:rPr>
          <w:noProof/>
          <w:szCs w:val="24"/>
        </w:rPr>
      </w:pPr>
      <w:r>
        <w:rPr>
          <w:noProof/>
          <w:szCs w:val="24"/>
        </w:rPr>
        <w:t xml:space="preserve">Price increase: </w:t>
      </w:r>
    </w:p>
    <w:p w14:paraId="4170926A" w14:textId="7309F4D4" w:rsidR="00822696" w:rsidRPr="00E71388" w:rsidRDefault="1AE6B9D9" w:rsidP="006A4572">
      <w:pPr>
        <w:pStyle w:val="ListParagraph"/>
        <w:numPr>
          <w:ilvl w:val="0"/>
          <w:numId w:val="42"/>
        </w:numPr>
        <w:rPr>
          <w:rFonts w:eastAsia="Times New Roman" w:cs="Times New Roman"/>
          <w:noProof/>
          <w:color w:val="000000" w:themeColor="text1"/>
          <w:szCs w:val="24"/>
        </w:rPr>
      </w:pPr>
      <w:r w:rsidRPr="1A2A8689">
        <w:rPr>
          <w:rFonts w:eastAsia="Times New Roman" w:cs="Times New Roman"/>
          <w:noProof/>
          <w:color w:val="000000" w:themeColor="text1"/>
        </w:rPr>
        <w:t xml:space="preserve">The </w:t>
      </w:r>
      <w:r w:rsidR="3E7704C8" w:rsidRPr="1A2A8689">
        <w:rPr>
          <w:rFonts w:eastAsia="Times New Roman" w:cs="Times New Roman"/>
          <w:noProof/>
          <w:color w:val="000000" w:themeColor="text1"/>
        </w:rPr>
        <w:t>adjustment</w:t>
      </w:r>
      <w:r w:rsidRPr="1A2A8689">
        <w:rPr>
          <w:rFonts w:eastAsia="Times New Roman" w:cs="Times New Roman"/>
          <w:noProof/>
          <w:color w:val="000000" w:themeColor="text1"/>
        </w:rPr>
        <w:t xml:space="preserve"> cost </w:t>
      </w:r>
      <w:r w:rsidR="2FE8F907" w:rsidRPr="1A2A8689">
        <w:rPr>
          <w:rFonts w:eastAsia="Times New Roman" w:cs="Times New Roman"/>
          <w:noProof/>
          <w:color w:val="000000" w:themeColor="text1"/>
        </w:rPr>
        <w:t xml:space="preserve">for a midsize passenger vehicle is estimated to range from 0.3% to 0.7% </w:t>
      </w:r>
      <w:r w:rsidRPr="1A2A8689">
        <w:rPr>
          <w:rFonts w:eastAsia="Times New Roman" w:cs="Times New Roman"/>
          <w:noProof/>
          <w:color w:val="000000" w:themeColor="text1"/>
        </w:rPr>
        <w:t xml:space="preserve">of </w:t>
      </w:r>
      <w:r w:rsidR="2FE8F907" w:rsidRPr="1A2A8689">
        <w:rPr>
          <w:rFonts w:eastAsia="Times New Roman" w:cs="Times New Roman"/>
          <w:noProof/>
          <w:color w:val="000000" w:themeColor="text1"/>
        </w:rPr>
        <w:t>the final price</w:t>
      </w:r>
      <w:r w:rsidR="0AFA14C2" w:rsidRPr="1A2A8689">
        <w:rPr>
          <w:rFonts w:eastAsia="Times New Roman" w:cs="Times New Roman"/>
          <w:noProof/>
          <w:color w:val="000000" w:themeColor="text1"/>
        </w:rPr>
        <w:t>,</w:t>
      </w:r>
      <w:r w:rsidRPr="1A2A8689">
        <w:rPr>
          <w:rFonts w:eastAsia="Times New Roman" w:cs="Times New Roman"/>
          <w:noProof/>
          <w:color w:val="000000" w:themeColor="text1"/>
        </w:rPr>
        <w:t xml:space="preserve"> with a </w:t>
      </w:r>
      <w:r w:rsidR="2B2DC04B" w:rsidRPr="1A2A8689">
        <w:rPr>
          <w:rFonts w:eastAsia="Times New Roman" w:cs="Times New Roman"/>
          <w:noProof/>
          <w:color w:val="000000" w:themeColor="text1"/>
        </w:rPr>
        <w:t>100</w:t>
      </w:r>
      <w:r w:rsidRPr="1A2A8689">
        <w:rPr>
          <w:rFonts w:eastAsia="Times New Roman" w:cs="Times New Roman"/>
          <w:noProof/>
          <w:color w:val="000000" w:themeColor="text1"/>
        </w:rPr>
        <w:t>% low-carbon steel</w:t>
      </w:r>
      <w:r w:rsidR="64719DDE" w:rsidRPr="1A2A8689">
        <w:rPr>
          <w:rFonts w:eastAsia="Times New Roman" w:cs="Times New Roman"/>
          <w:noProof/>
          <w:color w:val="000000" w:themeColor="text1"/>
        </w:rPr>
        <w:t xml:space="preserve"> depending on the decarbonisation pathway</w:t>
      </w:r>
      <w:r w:rsidR="2B2DC04B" w:rsidRPr="1A2A8689">
        <w:rPr>
          <w:rFonts w:eastAsia="Times New Roman" w:cs="Times New Roman"/>
          <w:noProof/>
          <w:color w:val="000000" w:themeColor="text1"/>
        </w:rPr>
        <w:t>.</w:t>
      </w:r>
      <w:r w:rsidR="0043706C" w:rsidRPr="1A2A8689">
        <w:rPr>
          <w:rStyle w:val="FootnoteReference"/>
          <w:rFonts w:eastAsia="Times New Roman" w:cs="Times New Roman"/>
          <w:noProof/>
          <w:color w:val="000000" w:themeColor="text1"/>
        </w:rPr>
        <w:footnoteReference w:id="278"/>
      </w:r>
      <w:r w:rsidR="4BDDC58E" w:rsidRPr="1A2A8689">
        <w:rPr>
          <w:rFonts w:eastAsia="Times New Roman" w:cs="Times New Roman"/>
          <w:noProof/>
          <w:color w:val="000000" w:themeColor="text1"/>
        </w:rPr>
        <w:t xml:space="preserve"> A 25%</w:t>
      </w:r>
      <w:r w:rsidR="602D9486" w:rsidRPr="1A2A8689">
        <w:rPr>
          <w:rFonts w:eastAsia="Times New Roman" w:cs="Times New Roman"/>
          <w:noProof/>
          <w:color w:val="000000" w:themeColor="text1"/>
        </w:rPr>
        <w:t xml:space="preserve"> low</w:t>
      </w:r>
      <w:r w:rsidR="00966BD0">
        <w:rPr>
          <w:rFonts w:eastAsia="Times New Roman" w:cs="Times New Roman"/>
          <w:noProof/>
          <w:color w:val="000000" w:themeColor="text1"/>
        </w:rPr>
        <w:t>-</w:t>
      </w:r>
      <w:r w:rsidR="602D9486" w:rsidRPr="1A2A8689">
        <w:rPr>
          <w:rFonts w:eastAsia="Times New Roman" w:cs="Times New Roman"/>
          <w:noProof/>
          <w:color w:val="000000" w:themeColor="text1"/>
        </w:rPr>
        <w:t xml:space="preserve">carbon steel </w:t>
      </w:r>
      <w:r w:rsidR="3D2D8EC9" w:rsidRPr="1A2A8689">
        <w:rPr>
          <w:rFonts w:eastAsia="Times New Roman" w:cs="Times New Roman"/>
          <w:noProof/>
          <w:color w:val="000000" w:themeColor="text1"/>
        </w:rPr>
        <w:t xml:space="preserve">target </w:t>
      </w:r>
      <w:r w:rsidR="602D9486" w:rsidRPr="1A2A8689">
        <w:rPr>
          <w:rFonts w:eastAsia="Times New Roman" w:cs="Times New Roman"/>
          <w:noProof/>
          <w:color w:val="000000" w:themeColor="text1"/>
        </w:rPr>
        <w:t xml:space="preserve">would </w:t>
      </w:r>
      <w:r w:rsidR="4965ABE5" w:rsidRPr="1A2A8689">
        <w:rPr>
          <w:rFonts w:eastAsia="Times New Roman" w:cs="Times New Roman"/>
          <w:noProof/>
          <w:color w:val="000000" w:themeColor="text1"/>
        </w:rPr>
        <w:t xml:space="preserve">see </w:t>
      </w:r>
      <w:r w:rsidR="3D2D8EC9" w:rsidRPr="1A2A8689">
        <w:rPr>
          <w:rFonts w:eastAsia="Times New Roman" w:cs="Times New Roman"/>
          <w:noProof/>
          <w:color w:val="000000" w:themeColor="text1"/>
        </w:rPr>
        <w:t xml:space="preserve">a </w:t>
      </w:r>
      <w:r w:rsidR="0C2B2C68" w:rsidRPr="1A2A8689">
        <w:rPr>
          <w:rFonts w:eastAsia="Times New Roman" w:cs="Times New Roman"/>
          <w:noProof/>
          <w:color w:val="000000" w:themeColor="text1"/>
        </w:rPr>
        <w:t xml:space="preserve">price increase </w:t>
      </w:r>
      <w:r w:rsidR="3D2D8EC9" w:rsidRPr="1A2A8689">
        <w:rPr>
          <w:rFonts w:eastAsia="Times New Roman" w:cs="Times New Roman"/>
          <w:noProof/>
          <w:color w:val="000000" w:themeColor="text1"/>
        </w:rPr>
        <w:t xml:space="preserve">ranging </w:t>
      </w:r>
      <w:r w:rsidR="7A18A4DE" w:rsidRPr="1A2A8689">
        <w:rPr>
          <w:rFonts w:eastAsia="Times New Roman" w:cs="Times New Roman"/>
          <w:noProof/>
          <w:color w:val="000000" w:themeColor="text1"/>
        </w:rPr>
        <w:t>from 0.07</w:t>
      </w:r>
      <w:r w:rsidR="50570F7B" w:rsidRPr="1A2A8689">
        <w:rPr>
          <w:rFonts w:eastAsia="Times New Roman" w:cs="Times New Roman"/>
          <w:noProof/>
          <w:color w:val="000000" w:themeColor="text1"/>
        </w:rPr>
        <w:t>5</w:t>
      </w:r>
      <w:r w:rsidR="7A18A4DE" w:rsidRPr="1A2A8689">
        <w:rPr>
          <w:rFonts w:eastAsia="Times New Roman" w:cs="Times New Roman"/>
          <w:noProof/>
          <w:color w:val="000000" w:themeColor="text1"/>
        </w:rPr>
        <w:t>% to</w:t>
      </w:r>
      <w:r w:rsidR="3D2D8EC9" w:rsidRPr="1A2A8689">
        <w:rPr>
          <w:rFonts w:eastAsia="Times New Roman" w:cs="Times New Roman"/>
          <w:noProof/>
          <w:color w:val="000000" w:themeColor="text1"/>
        </w:rPr>
        <w:t xml:space="preserve"> 0</w:t>
      </w:r>
      <w:r w:rsidR="4965ABE5" w:rsidRPr="1A2A8689">
        <w:rPr>
          <w:rFonts w:eastAsia="Times New Roman" w:cs="Times New Roman"/>
          <w:noProof/>
          <w:color w:val="000000" w:themeColor="text1"/>
        </w:rPr>
        <w:t>.</w:t>
      </w:r>
      <w:r w:rsidR="3D2D8EC9" w:rsidRPr="1A2A8689">
        <w:rPr>
          <w:rFonts w:eastAsia="Times New Roman" w:cs="Times New Roman"/>
          <w:noProof/>
          <w:color w:val="000000" w:themeColor="text1"/>
        </w:rPr>
        <w:t>17</w:t>
      </w:r>
      <w:r w:rsidR="5FCD7A8B" w:rsidRPr="1A2A8689">
        <w:rPr>
          <w:rFonts w:eastAsia="Times New Roman" w:cs="Times New Roman"/>
          <w:noProof/>
          <w:color w:val="000000" w:themeColor="text1"/>
        </w:rPr>
        <w:t>5</w:t>
      </w:r>
      <w:r w:rsidR="3D2D8EC9" w:rsidRPr="1A2A8689">
        <w:rPr>
          <w:rFonts w:eastAsia="Times New Roman" w:cs="Times New Roman"/>
          <w:noProof/>
          <w:color w:val="000000" w:themeColor="text1"/>
        </w:rPr>
        <w:t>%</w:t>
      </w:r>
      <w:r w:rsidR="6A9FA31B" w:rsidRPr="1A2A8689">
        <w:rPr>
          <w:rFonts w:eastAsia="Times New Roman" w:cs="Times New Roman"/>
          <w:noProof/>
          <w:color w:val="000000" w:themeColor="text1"/>
        </w:rPr>
        <w:t xml:space="preserve"> (EUR</w:t>
      </w:r>
      <w:r w:rsidR="57A412DB" w:rsidRPr="1A2A8689">
        <w:rPr>
          <w:rFonts w:eastAsia="Times New Roman" w:cs="Times New Roman"/>
          <w:noProof/>
          <w:color w:val="000000" w:themeColor="text1"/>
        </w:rPr>
        <w:t xml:space="preserve"> 28 – 65 per passenger vehicle). </w:t>
      </w:r>
    </w:p>
    <w:p w14:paraId="12C36A57" w14:textId="638F2049" w:rsidR="002B5E15" w:rsidRPr="00BA6C11" w:rsidRDefault="00A96790" w:rsidP="006A4572">
      <w:pPr>
        <w:pStyle w:val="ListParagraph"/>
        <w:numPr>
          <w:ilvl w:val="0"/>
          <w:numId w:val="42"/>
        </w:numPr>
        <w:rPr>
          <w:noProof/>
          <w:color w:val="000000" w:themeColor="text1"/>
        </w:rPr>
      </w:pPr>
      <w:r w:rsidRPr="4CFD6D9B">
        <w:rPr>
          <w:rFonts w:eastAsia="Times New Roman" w:cs="Times New Roman"/>
          <w:noProof/>
          <w:color w:val="000000" w:themeColor="text1"/>
        </w:rPr>
        <w:t>Based on assumptions regarding future increases in the levelized cost of low-carbon aluminium production</w:t>
      </w:r>
      <w:r>
        <w:rPr>
          <w:rStyle w:val="FootnoteReference"/>
          <w:rFonts w:eastAsia="Times New Roman" w:cs="Times New Roman"/>
          <w:noProof/>
          <w:color w:val="000000" w:themeColor="text1"/>
          <w:szCs w:val="24"/>
        </w:rPr>
        <w:footnoteReference w:id="279"/>
      </w:r>
      <w:r w:rsidRPr="4CFD6D9B">
        <w:rPr>
          <w:rFonts w:eastAsia="Times New Roman" w:cs="Times New Roman"/>
          <w:noProof/>
          <w:color w:val="000000" w:themeColor="text1"/>
        </w:rPr>
        <w:t>, the use of 100% low-carbon aluminium is projected to increase the cost of a new EV by approximately 0.32%</w:t>
      </w:r>
      <w:r w:rsidR="00E95F66">
        <w:rPr>
          <w:rFonts w:eastAsia="Times New Roman" w:cs="Times New Roman"/>
          <w:noProof/>
          <w:color w:val="000000" w:themeColor="text1"/>
        </w:rPr>
        <w:t>.</w:t>
      </w:r>
      <w:r>
        <w:rPr>
          <w:rStyle w:val="FootnoteReference"/>
          <w:rFonts w:eastAsia="Times New Roman" w:cs="Times New Roman"/>
          <w:noProof/>
          <w:color w:val="000000" w:themeColor="text1"/>
        </w:rPr>
        <w:footnoteReference w:id="280"/>
      </w:r>
      <w:r w:rsidRPr="4CFD6D9B">
        <w:rPr>
          <w:rFonts w:eastAsia="Times New Roman" w:cs="Times New Roman"/>
          <w:noProof/>
          <w:color w:val="000000" w:themeColor="text1"/>
        </w:rPr>
        <w:t xml:space="preserve"> Accordingly, a 25% low-carbon aluminium target would be expected to result in only a 0.08% to 0.10%</w:t>
      </w:r>
      <w:r w:rsidR="0013780A" w:rsidRPr="4CFD6D9B">
        <w:rPr>
          <w:rFonts w:eastAsia="Times New Roman" w:cs="Times New Roman"/>
          <w:noProof/>
          <w:color w:val="000000" w:themeColor="text1"/>
        </w:rPr>
        <w:t xml:space="preserve"> or </w:t>
      </w:r>
      <w:r w:rsidR="008D345D" w:rsidRPr="4CFD6D9B">
        <w:rPr>
          <w:rFonts w:eastAsia="Times New Roman" w:cs="Times New Roman"/>
          <w:noProof/>
          <w:color w:val="000000" w:themeColor="text1"/>
        </w:rPr>
        <w:t>EUR 22.6</w:t>
      </w:r>
      <w:r w:rsidRPr="4CFD6D9B">
        <w:rPr>
          <w:rFonts w:eastAsia="Times New Roman" w:cs="Times New Roman"/>
          <w:noProof/>
          <w:color w:val="000000" w:themeColor="text1"/>
        </w:rPr>
        <w:t xml:space="preserve"> increase in the price of </w:t>
      </w:r>
      <w:r w:rsidR="0013780A" w:rsidRPr="4CFD6D9B">
        <w:rPr>
          <w:rFonts w:eastAsia="Times New Roman" w:cs="Times New Roman"/>
          <w:noProof/>
          <w:color w:val="000000" w:themeColor="text1"/>
        </w:rPr>
        <w:t>a</w:t>
      </w:r>
      <w:r w:rsidR="008D345D" w:rsidRPr="4CFD6D9B">
        <w:rPr>
          <w:rFonts w:eastAsia="Times New Roman" w:cs="Times New Roman"/>
          <w:noProof/>
          <w:color w:val="000000" w:themeColor="text1"/>
        </w:rPr>
        <w:t xml:space="preserve"> new</w:t>
      </w:r>
      <w:r w:rsidR="00BC0129" w:rsidRPr="4CFD6D9B">
        <w:rPr>
          <w:rFonts w:eastAsia="Times New Roman" w:cs="Times New Roman"/>
          <w:noProof/>
          <w:color w:val="000000" w:themeColor="text1"/>
        </w:rPr>
        <w:t xml:space="preserve"> light commercial</w:t>
      </w:r>
      <w:r w:rsidRPr="4CFD6D9B">
        <w:rPr>
          <w:rFonts w:eastAsia="Times New Roman" w:cs="Times New Roman"/>
          <w:noProof/>
          <w:color w:val="000000" w:themeColor="text1"/>
        </w:rPr>
        <w:t xml:space="preserve"> EV. </w:t>
      </w:r>
    </w:p>
    <w:p w14:paraId="67CD95AE" w14:textId="3724E34A" w:rsidR="008E16DD" w:rsidRDefault="28FEF590" w:rsidP="006A4572">
      <w:pPr>
        <w:pStyle w:val="ListParagraph"/>
        <w:numPr>
          <w:ilvl w:val="0"/>
          <w:numId w:val="42"/>
        </w:numPr>
        <w:rPr>
          <w:noProof/>
          <w:color w:val="000000" w:themeColor="text1"/>
        </w:rPr>
      </w:pPr>
      <w:r w:rsidRPr="743E7FF0">
        <w:rPr>
          <w:rFonts w:eastAsia="Times New Roman" w:cs="Times New Roman"/>
          <w:noProof/>
          <w:color w:val="000000" w:themeColor="text1"/>
        </w:rPr>
        <w:t xml:space="preserve">An average </w:t>
      </w:r>
      <w:r w:rsidR="69F1CE34" w:rsidRPr="743E7FF0">
        <w:rPr>
          <w:rFonts w:eastAsia="Times New Roman" w:cs="Times New Roman"/>
          <w:noProof/>
          <w:color w:val="000000" w:themeColor="text1"/>
        </w:rPr>
        <w:t>price</w:t>
      </w:r>
      <w:r w:rsidR="066660DF" w:rsidRPr="743E7FF0">
        <w:rPr>
          <w:rFonts w:eastAsia="Times New Roman" w:cs="Times New Roman"/>
          <w:noProof/>
          <w:color w:val="000000" w:themeColor="text1"/>
        </w:rPr>
        <w:t xml:space="preserve"> increase</w:t>
      </w:r>
      <w:r w:rsidR="69F1CE34" w:rsidRPr="743E7FF0">
        <w:rPr>
          <w:rFonts w:eastAsia="Times New Roman" w:cs="Times New Roman"/>
          <w:noProof/>
          <w:color w:val="000000" w:themeColor="text1"/>
        </w:rPr>
        <w:t xml:space="preserve"> </w:t>
      </w:r>
      <w:r w:rsidR="6D2E9362" w:rsidRPr="743E7FF0">
        <w:rPr>
          <w:rFonts w:eastAsia="Times New Roman" w:cs="Times New Roman"/>
          <w:noProof/>
          <w:color w:val="000000" w:themeColor="text1"/>
        </w:rPr>
        <w:t>of 0</w:t>
      </w:r>
      <w:r w:rsidR="4965ABE5" w:rsidRPr="743E7FF0">
        <w:rPr>
          <w:rFonts w:eastAsia="Times New Roman" w:cs="Times New Roman"/>
          <w:noProof/>
          <w:color w:val="000000" w:themeColor="text1"/>
        </w:rPr>
        <w:t>.</w:t>
      </w:r>
      <w:r w:rsidR="00DB06AE">
        <w:rPr>
          <w:rFonts w:eastAsia="Times New Roman" w:cs="Times New Roman"/>
          <w:noProof/>
          <w:color w:val="000000" w:themeColor="text1"/>
        </w:rPr>
        <w:t>2</w:t>
      </w:r>
      <w:r w:rsidR="6D2E9362" w:rsidRPr="743E7FF0">
        <w:rPr>
          <w:rFonts w:eastAsia="Times New Roman" w:cs="Times New Roman"/>
          <w:noProof/>
          <w:color w:val="000000" w:themeColor="text1"/>
        </w:rPr>
        <w:t xml:space="preserve">25% </w:t>
      </w:r>
      <w:r w:rsidR="69F1CE34" w:rsidRPr="743E7FF0">
        <w:rPr>
          <w:rFonts w:eastAsia="Times New Roman" w:cs="Times New Roman"/>
          <w:noProof/>
          <w:color w:val="000000" w:themeColor="text1"/>
        </w:rPr>
        <w:t>is taken for the calculation of total cost</w:t>
      </w:r>
      <w:r w:rsidR="35C5B3AA" w:rsidRPr="743E7FF0">
        <w:rPr>
          <w:rFonts w:eastAsia="Times New Roman" w:cs="Times New Roman"/>
          <w:noProof/>
          <w:color w:val="000000" w:themeColor="text1"/>
        </w:rPr>
        <w:t>s</w:t>
      </w:r>
      <w:r w:rsidR="004416DE">
        <w:rPr>
          <w:rFonts w:eastAsia="Times New Roman" w:cs="Times New Roman"/>
          <w:noProof/>
          <w:color w:val="000000" w:themeColor="text1"/>
        </w:rPr>
        <w:t xml:space="preserve"> from low-carbon steel and aluminium</w:t>
      </w:r>
      <w:r w:rsidR="136F660D" w:rsidRPr="743E7FF0">
        <w:rPr>
          <w:rFonts w:eastAsia="Times New Roman" w:cs="Times New Roman"/>
          <w:noProof/>
          <w:color w:val="000000" w:themeColor="text1"/>
        </w:rPr>
        <w:t xml:space="preserve">. </w:t>
      </w:r>
      <w:r w:rsidR="207567D6" w:rsidRPr="743E7FF0">
        <w:rPr>
          <w:rFonts w:eastAsia="Times New Roman" w:cs="Times New Roman"/>
          <w:noProof/>
          <w:color w:val="000000" w:themeColor="text1"/>
        </w:rPr>
        <w:t>Therefore</w:t>
      </w:r>
      <w:r w:rsidR="0BCD746C" w:rsidRPr="743E7FF0">
        <w:rPr>
          <w:rFonts w:eastAsia="Times New Roman" w:cs="Times New Roman"/>
          <w:noProof/>
          <w:color w:val="000000" w:themeColor="text1"/>
        </w:rPr>
        <w:t>, a</w:t>
      </w:r>
      <w:r w:rsidR="5B46B11C" w:rsidRPr="743E7FF0">
        <w:rPr>
          <w:rFonts w:eastAsia="Times New Roman" w:cs="Times New Roman"/>
          <w:noProof/>
          <w:color w:val="000000" w:themeColor="text1"/>
        </w:rPr>
        <w:t xml:space="preserve"> price increase of </w:t>
      </w:r>
      <w:r w:rsidR="5B46B11C" w:rsidRPr="002D5858">
        <w:rPr>
          <w:rFonts w:eastAsia="Times New Roman" w:cs="Times New Roman"/>
          <w:b/>
          <w:bCs/>
          <w:noProof/>
          <w:color w:val="000000" w:themeColor="text1"/>
        </w:rPr>
        <w:t>EUR</w:t>
      </w:r>
      <w:r w:rsidR="008C7BE2" w:rsidRPr="002D5858">
        <w:rPr>
          <w:rFonts w:eastAsia="Times New Roman" w:cs="Times New Roman"/>
          <w:b/>
          <w:bCs/>
          <w:noProof/>
          <w:color w:val="000000" w:themeColor="text1"/>
        </w:rPr>
        <w:t xml:space="preserve"> </w:t>
      </w:r>
      <w:r w:rsidR="004416DE" w:rsidRPr="002D5858">
        <w:rPr>
          <w:rFonts w:eastAsia="Times New Roman" w:cs="Times New Roman"/>
          <w:b/>
          <w:bCs/>
          <w:noProof/>
          <w:color w:val="000000" w:themeColor="text1"/>
        </w:rPr>
        <w:t>69.27</w:t>
      </w:r>
      <w:r w:rsidR="00E95F66">
        <w:rPr>
          <w:rFonts w:eastAsia="Times New Roman" w:cs="Times New Roman"/>
          <w:noProof/>
          <w:color w:val="000000" w:themeColor="text1"/>
        </w:rPr>
        <w:t xml:space="preserve"> </w:t>
      </w:r>
      <w:r w:rsidR="1D26624F" w:rsidRPr="743E7FF0">
        <w:rPr>
          <w:rFonts w:eastAsia="Times New Roman" w:cs="Times New Roman"/>
          <w:noProof/>
          <w:color w:val="000000" w:themeColor="text1"/>
        </w:rPr>
        <w:t xml:space="preserve">per vehicle </w:t>
      </w:r>
      <w:r w:rsidR="677C5ED6" w:rsidRPr="743E7FF0">
        <w:rPr>
          <w:rFonts w:eastAsia="Times New Roman" w:cs="Times New Roman"/>
          <w:noProof/>
          <w:color w:val="000000" w:themeColor="text1"/>
        </w:rPr>
        <w:t>can be expected</w:t>
      </w:r>
      <w:r w:rsidR="6A62D366" w:rsidRPr="743E7FF0">
        <w:rPr>
          <w:rFonts w:eastAsia="Times New Roman" w:cs="Times New Roman"/>
          <w:noProof/>
          <w:color w:val="000000" w:themeColor="text1"/>
        </w:rPr>
        <w:t xml:space="preserve"> for </w:t>
      </w:r>
      <w:r w:rsidR="2D100095" w:rsidRPr="743E7FF0">
        <w:rPr>
          <w:rFonts w:eastAsia="Times New Roman" w:cs="Times New Roman"/>
          <w:noProof/>
          <w:color w:val="000000" w:themeColor="text1"/>
        </w:rPr>
        <w:t>commercial and light commercial vehicles</w:t>
      </w:r>
      <w:r w:rsidR="004416DE">
        <w:rPr>
          <w:rFonts w:eastAsia="Times New Roman" w:cs="Times New Roman"/>
          <w:noProof/>
          <w:color w:val="000000" w:themeColor="text1"/>
        </w:rPr>
        <w:t xml:space="preserve"> for both materials</w:t>
      </w:r>
      <w:r w:rsidR="2D100095" w:rsidRPr="743E7FF0">
        <w:rPr>
          <w:rFonts w:eastAsia="Times New Roman" w:cs="Times New Roman"/>
          <w:noProof/>
          <w:color w:val="000000" w:themeColor="text1"/>
        </w:rPr>
        <w:t xml:space="preserve">. </w:t>
      </w:r>
    </w:p>
    <w:p w14:paraId="1A038949" w14:textId="5BF8B617" w:rsidR="00D2663C" w:rsidRDefault="00D2663C" w:rsidP="006A4572">
      <w:pPr>
        <w:pStyle w:val="ListParagraph"/>
        <w:numPr>
          <w:ilvl w:val="0"/>
          <w:numId w:val="42"/>
        </w:numPr>
        <w:rPr>
          <w:noProof/>
          <w:color w:val="000000" w:themeColor="text1"/>
        </w:rPr>
      </w:pPr>
      <w:r>
        <w:rPr>
          <w:rFonts w:eastAsia="Times New Roman" w:cs="Times New Roman"/>
          <w:noProof/>
          <w:color w:val="000000" w:themeColor="text1"/>
          <w:szCs w:val="24"/>
        </w:rPr>
        <w:t xml:space="preserve">Final </w:t>
      </w:r>
      <w:r w:rsidRPr="00E85AA7">
        <w:rPr>
          <w:rFonts w:eastAsia="Times New Roman" w:cs="Times New Roman"/>
          <w:noProof/>
          <w:color w:val="000000" w:themeColor="text1"/>
          <w:szCs w:val="24"/>
        </w:rPr>
        <w:t>costs</w:t>
      </w:r>
      <w:r w:rsidR="001F49D9">
        <w:rPr>
          <w:rFonts w:eastAsia="Times New Roman" w:cs="Times New Roman"/>
          <w:noProof/>
          <w:color w:val="000000" w:themeColor="text1"/>
          <w:szCs w:val="24"/>
        </w:rPr>
        <w:t>/benefits</w:t>
      </w:r>
      <w:r w:rsidRPr="00E85AA7">
        <w:rPr>
          <w:rFonts w:eastAsia="Times New Roman" w:cs="Times New Roman"/>
          <w:noProof/>
          <w:color w:val="000000" w:themeColor="text1"/>
          <w:szCs w:val="24"/>
        </w:rPr>
        <w:t xml:space="preserve"> are calculated with the percentage change estimated of different sectors’ GVA from </w:t>
      </w:r>
      <w:r w:rsidR="001F49D9">
        <w:rPr>
          <w:rFonts w:eastAsia="Times New Roman" w:cs="Times New Roman"/>
          <w:noProof/>
          <w:color w:val="000000" w:themeColor="text1"/>
          <w:szCs w:val="24"/>
        </w:rPr>
        <w:t>FIGARO data</w:t>
      </w:r>
      <w:r>
        <w:rPr>
          <w:rFonts w:eastAsia="Times New Roman" w:cs="Times New Roman"/>
          <w:noProof/>
          <w:color w:val="000000" w:themeColor="text1"/>
          <w:szCs w:val="24"/>
        </w:rPr>
        <w:t xml:space="preserve"> per Member State</w:t>
      </w:r>
      <w:r w:rsidR="00A30E21">
        <w:rPr>
          <w:rFonts w:eastAsia="Times New Roman" w:cs="Times New Roman"/>
          <w:noProof/>
          <w:color w:val="000000" w:themeColor="text1"/>
          <w:szCs w:val="24"/>
        </w:rPr>
        <w:t xml:space="preserve"> and monetised</w:t>
      </w:r>
      <w:r w:rsidRPr="00E85AA7">
        <w:rPr>
          <w:rFonts w:eastAsia="Times New Roman" w:cs="Times New Roman"/>
          <w:noProof/>
          <w:color w:val="000000" w:themeColor="text1"/>
          <w:szCs w:val="24"/>
        </w:rPr>
        <w:t>.</w:t>
      </w:r>
    </w:p>
    <w:p w14:paraId="7EC6A4E5" w14:textId="77777777" w:rsidR="008E16DD" w:rsidRPr="00E71388" w:rsidRDefault="008E16DD" w:rsidP="008E16DD">
      <w:pPr>
        <w:pStyle w:val="JRCText"/>
        <w:spacing w:after="0" w:line="240" w:lineRule="auto"/>
        <w:jc w:val="both"/>
        <w:rPr>
          <w:rFonts w:ascii="Times New Roman" w:eastAsia="Times New Roman" w:hAnsi="Times New Roman" w:cs="Times New Roman"/>
          <w:noProof/>
          <w:color w:val="000000" w:themeColor="text1"/>
          <w:sz w:val="24"/>
          <w:szCs w:val="24"/>
        </w:rPr>
      </w:pPr>
    </w:p>
    <w:p w14:paraId="6DFC9BC2" w14:textId="13DF7636" w:rsidR="008E16DD" w:rsidRPr="00E85AA7" w:rsidRDefault="008E16DD" w:rsidP="008E16DD">
      <w:pPr>
        <w:pStyle w:val="JRCText"/>
        <w:spacing w:after="0" w:line="240" w:lineRule="auto"/>
        <w:jc w:val="both"/>
        <w:rPr>
          <w:rFonts w:ascii="Times New Roman" w:eastAsia="Times New Roman" w:hAnsi="Times New Roman" w:cs="Times New Roman"/>
          <w:noProof/>
          <w:color w:val="000000" w:themeColor="text1"/>
          <w:sz w:val="24"/>
          <w:szCs w:val="24"/>
        </w:rPr>
      </w:pPr>
      <w:r w:rsidRPr="00E85AA7">
        <w:rPr>
          <w:rFonts w:ascii="Times New Roman" w:eastAsia="Times New Roman" w:hAnsi="Times New Roman" w:cs="Times New Roman"/>
          <w:i/>
          <w:noProof/>
          <w:color w:val="000000" w:themeColor="text1"/>
          <w:sz w:val="24"/>
          <w:szCs w:val="24"/>
        </w:rPr>
        <w:t xml:space="preserve">Made in EU provisions: </w:t>
      </w:r>
    </w:p>
    <w:p w14:paraId="25C65807" w14:textId="12BCC19B" w:rsidR="00AE404E" w:rsidRPr="00E85AA7" w:rsidRDefault="00AE404E" w:rsidP="00386DE5">
      <w:pPr>
        <w:pStyle w:val="ListParagraph"/>
        <w:numPr>
          <w:ilvl w:val="0"/>
          <w:numId w:val="42"/>
        </w:numPr>
        <w:rPr>
          <w:rFonts w:eastAsia="Times New Roman" w:cs="Times New Roman"/>
          <w:noProof/>
          <w:color w:val="000000" w:themeColor="text1"/>
          <w:szCs w:val="24"/>
        </w:rPr>
      </w:pPr>
      <w:r w:rsidRPr="00E85AA7">
        <w:rPr>
          <w:rFonts w:eastAsia="Times New Roman" w:cs="Times New Roman"/>
          <w:noProof/>
          <w:color w:val="000000" w:themeColor="text1"/>
          <w:szCs w:val="24"/>
        </w:rPr>
        <w:t>Made in EU</w:t>
      </w:r>
      <w:r w:rsidR="0010030B" w:rsidRPr="00E85AA7">
        <w:rPr>
          <w:rFonts w:eastAsia="Times New Roman" w:cs="Times New Roman"/>
          <w:noProof/>
          <w:color w:val="000000" w:themeColor="text1"/>
          <w:szCs w:val="24"/>
        </w:rPr>
        <w:t xml:space="preserve"> costs</w:t>
      </w:r>
      <w:r w:rsidR="0088227C">
        <w:rPr>
          <w:rFonts w:eastAsia="Times New Roman" w:cs="Times New Roman"/>
          <w:noProof/>
          <w:color w:val="000000" w:themeColor="text1"/>
          <w:szCs w:val="24"/>
        </w:rPr>
        <w:t xml:space="preserve"> </w:t>
      </w:r>
      <w:r w:rsidR="0010030B" w:rsidRPr="00E85AA7">
        <w:rPr>
          <w:rFonts w:eastAsia="Times New Roman" w:cs="Times New Roman"/>
          <w:noProof/>
          <w:color w:val="000000" w:themeColor="text1"/>
          <w:szCs w:val="24"/>
        </w:rPr>
        <w:t xml:space="preserve">are </w:t>
      </w:r>
      <w:r w:rsidR="006B1E54">
        <w:rPr>
          <w:rFonts w:eastAsia="Times New Roman" w:cs="Times New Roman"/>
          <w:noProof/>
          <w:color w:val="000000" w:themeColor="text1"/>
          <w:szCs w:val="24"/>
        </w:rPr>
        <w:t>obtained</w:t>
      </w:r>
      <w:r w:rsidR="0088227C">
        <w:rPr>
          <w:rFonts w:eastAsia="Times New Roman" w:cs="Times New Roman"/>
          <w:noProof/>
          <w:color w:val="000000" w:themeColor="text1"/>
          <w:szCs w:val="24"/>
        </w:rPr>
        <w:t xml:space="preserve"> </w:t>
      </w:r>
      <w:r w:rsidR="007C45F8">
        <w:rPr>
          <w:rFonts w:eastAsia="Times New Roman" w:cs="Times New Roman"/>
          <w:noProof/>
          <w:color w:val="000000" w:themeColor="text1"/>
          <w:szCs w:val="24"/>
        </w:rPr>
        <w:t>from the</w:t>
      </w:r>
      <w:r w:rsidR="007C45F8" w:rsidRPr="00E85AA7">
        <w:rPr>
          <w:rFonts w:eastAsia="Times New Roman" w:cs="Times New Roman"/>
          <w:noProof/>
          <w:color w:val="000000" w:themeColor="text1"/>
          <w:szCs w:val="24"/>
        </w:rPr>
        <w:t xml:space="preserve"> </w:t>
      </w:r>
      <w:r w:rsidR="00C91037">
        <w:rPr>
          <w:rFonts w:eastAsia="Times New Roman" w:cs="Times New Roman"/>
          <w:noProof/>
          <w:color w:val="000000" w:themeColor="text1"/>
          <w:szCs w:val="24"/>
        </w:rPr>
        <w:t>FIDELIO modelling results (please see Annex 4 section 1.2</w:t>
      </w:r>
      <w:r w:rsidR="00AF018F">
        <w:rPr>
          <w:rFonts w:eastAsia="Times New Roman" w:cs="Times New Roman"/>
          <w:noProof/>
          <w:color w:val="000000" w:themeColor="text1"/>
          <w:szCs w:val="24"/>
        </w:rPr>
        <w:t xml:space="preserve"> for more information on the model used</w:t>
      </w:r>
      <w:r w:rsidR="00C91037">
        <w:rPr>
          <w:rFonts w:eastAsia="Times New Roman" w:cs="Times New Roman"/>
          <w:noProof/>
          <w:color w:val="000000" w:themeColor="text1"/>
          <w:szCs w:val="24"/>
        </w:rPr>
        <w:t>)</w:t>
      </w:r>
      <w:r w:rsidR="00C91037" w:rsidRPr="00E85AA7">
        <w:rPr>
          <w:rFonts w:eastAsia="Times New Roman" w:cs="Times New Roman"/>
          <w:noProof/>
          <w:color w:val="000000" w:themeColor="text1"/>
          <w:szCs w:val="24"/>
        </w:rPr>
        <w:t xml:space="preserve"> </w:t>
      </w:r>
      <w:r w:rsidR="00CF53C8" w:rsidRPr="00E85AA7">
        <w:rPr>
          <w:rFonts w:eastAsia="Times New Roman" w:cs="Times New Roman"/>
          <w:noProof/>
          <w:color w:val="000000" w:themeColor="text1"/>
          <w:szCs w:val="24"/>
        </w:rPr>
        <w:t xml:space="preserve">of </w:t>
      </w:r>
      <w:r w:rsidR="007D4F37">
        <w:rPr>
          <w:rFonts w:eastAsia="Times New Roman" w:cs="Times New Roman"/>
          <w:noProof/>
          <w:color w:val="000000" w:themeColor="text1"/>
          <w:szCs w:val="24"/>
        </w:rPr>
        <w:t xml:space="preserve">the </w:t>
      </w:r>
      <w:r w:rsidR="00CF53C8" w:rsidRPr="00E85AA7">
        <w:rPr>
          <w:rFonts w:eastAsia="Times New Roman" w:cs="Times New Roman"/>
          <w:noProof/>
          <w:color w:val="000000" w:themeColor="text1"/>
          <w:szCs w:val="24"/>
        </w:rPr>
        <w:t xml:space="preserve">different </w:t>
      </w:r>
      <w:r w:rsidR="00ED2AD4" w:rsidRPr="00E85AA7">
        <w:rPr>
          <w:rFonts w:eastAsia="Times New Roman" w:cs="Times New Roman"/>
          <w:noProof/>
          <w:color w:val="000000" w:themeColor="text1"/>
          <w:szCs w:val="24"/>
        </w:rPr>
        <w:t>sectors’ GVA</w:t>
      </w:r>
      <w:r w:rsidR="00EA3F99">
        <w:rPr>
          <w:rFonts w:eastAsia="Times New Roman" w:cs="Times New Roman"/>
          <w:noProof/>
          <w:color w:val="000000" w:themeColor="text1"/>
          <w:szCs w:val="24"/>
        </w:rPr>
        <w:t>, which are presented both in percentage compared to baseline and monetised</w:t>
      </w:r>
      <w:r w:rsidR="007C45F8">
        <w:rPr>
          <w:rFonts w:eastAsia="Times New Roman" w:cs="Times New Roman"/>
          <w:noProof/>
          <w:color w:val="000000" w:themeColor="text1"/>
          <w:szCs w:val="24"/>
        </w:rPr>
        <w:t>.</w:t>
      </w:r>
      <w:r w:rsidR="00340C7D">
        <w:rPr>
          <w:rFonts w:eastAsia="Times New Roman" w:cs="Times New Roman"/>
          <w:noProof/>
          <w:color w:val="000000" w:themeColor="text1"/>
          <w:szCs w:val="24"/>
        </w:rPr>
        <w:t xml:space="preserve"> </w:t>
      </w:r>
    </w:p>
    <w:p w14:paraId="7E5E370E" w14:textId="77777777" w:rsidR="004B0D47" w:rsidRPr="00F261DB" w:rsidRDefault="004B0D47" w:rsidP="00072C34">
      <w:pPr>
        <w:pStyle w:val="JRCText"/>
        <w:spacing w:after="0" w:line="240" w:lineRule="auto"/>
        <w:jc w:val="both"/>
        <w:rPr>
          <w:rFonts w:ascii="Times New Roman" w:eastAsia="Times New Roman" w:hAnsi="Times New Roman" w:cs="Times New Roman"/>
          <w:noProof/>
          <w:color w:val="000000" w:themeColor="text1"/>
          <w:sz w:val="24"/>
          <w:szCs w:val="24"/>
        </w:rPr>
      </w:pPr>
    </w:p>
    <w:p w14:paraId="4BFB1906" w14:textId="5748CE00" w:rsidR="00072C34" w:rsidRDefault="002555B7" w:rsidP="00257D37">
      <w:pPr>
        <w:rPr>
          <w:rFonts w:eastAsia="Times New Roman" w:cs="Times New Roman"/>
          <w:b/>
          <w:noProof/>
          <w:color w:val="000000" w:themeColor="text1"/>
          <w:szCs w:val="24"/>
        </w:rPr>
      </w:pPr>
      <w:r w:rsidRPr="00F261DB">
        <w:rPr>
          <w:noProof/>
          <w:szCs w:val="24"/>
        </w:rPr>
        <w:t xml:space="preserve">Assumptions taken for adjustment costs in </w:t>
      </w:r>
      <w:r w:rsidR="00791D83" w:rsidRPr="00F261DB">
        <w:rPr>
          <w:rFonts w:eastAsia="Times New Roman" w:cs="Times New Roman"/>
          <w:noProof/>
          <w:color w:val="000000" w:themeColor="text1"/>
          <w:szCs w:val="24"/>
        </w:rPr>
        <w:t xml:space="preserve">the </w:t>
      </w:r>
      <w:r w:rsidRPr="00F261DB">
        <w:rPr>
          <w:rFonts w:eastAsia="Times New Roman" w:cs="Times New Roman"/>
          <w:b/>
          <w:noProof/>
          <w:color w:val="000000" w:themeColor="text1"/>
          <w:szCs w:val="24"/>
        </w:rPr>
        <w:t>c</w:t>
      </w:r>
      <w:r w:rsidR="004B0D47" w:rsidRPr="00F261DB">
        <w:rPr>
          <w:rFonts w:eastAsia="Times New Roman" w:cs="Times New Roman"/>
          <w:b/>
          <w:noProof/>
          <w:color w:val="000000" w:themeColor="text1"/>
          <w:szCs w:val="24"/>
        </w:rPr>
        <w:t>onstruction</w:t>
      </w:r>
      <w:r w:rsidR="00791D83" w:rsidRPr="00F261DB">
        <w:rPr>
          <w:rFonts w:eastAsia="Times New Roman" w:cs="Times New Roman"/>
          <w:b/>
          <w:noProof/>
          <w:color w:val="000000" w:themeColor="text1"/>
          <w:szCs w:val="24"/>
        </w:rPr>
        <w:t xml:space="preserve"> </w:t>
      </w:r>
      <w:r w:rsidR="00791D83" w:rsidRPr="00F261DB" w:rsidDel="00FF0537">
        <w:rPr>
          <w:rFonts w:eastAsia="Times New Roman" w:cs="Times New Roman"/>
          <w:b/>
          <w:noProof/>
          <w:color w:val="000000" w:themeColor="text1"/>
          <w:szCs w:val="24"/>
        </w:rPr>
        <w:t>sector</w:t>
      </w:r>
      <w:r w:rsidR="00FF0537" w:rsidRPr="00F261DB">
        <w:rPr>
          <w:rFonts w:eastAsia="Times New Roman" w:cs="Times New Roman"/>
          <w:b/>
          <w:noProof/>
          <w:color w:val="000000" w:themeColor="text1"/>
          <w:szCs w:val="24"/>
        </w:rPr>
        <w:t>:</w:t>
      </w:r>
      <w:r w:rsidR="004B0D47" w:rsidRPr="00F261DB">
        <w:rPr>
          <w:rFonts w:eastAsia="Times New Roman" w:cs="Times New Roman"/>
          <w:b/>
          <w:noProof/>
          <w:color w:val="000000" w:themeColor="text1"/>
          <w:szCs w:val="24"/>
        </w:rPr>
        <w:t xml:space="preserve"> </w:t>
      </w:r>
    </w:p>
    <w:p w14:paraId="16947D95" w14:textId="77777777" w:rsidR="008E16DD" w:rsidRDefault="008E16DD" w:rsidP="00257D37">
      <w:pPr>
        <w:rPr>
          <w:rFonts w:eastAsia="Times New Roman" w:cs="Times New Roman"/>
          <w:b/>
          <w:noProof/>
          <w:color w:val="000000" w:themeColor="text1"/>
          <w:szCs w:val="24"/>
        </w:rPr>
      </w:pPr>
    </w:p>
    <w:p w14:paraId="7FF69F37" w14:textId="7B25E7F2" w:rsidR="008E16DD" w:rsidRDefault="008E16DD" w:rsidP="00257D37">
      <w:pPr>
        <w:rPr>
          <w:rFonts w:eastAsia="Times New Roman" w:cs="Times New Roman"/>
          <w:bCs/>
          <w:i/>
          <w:iCs/>
          <w:noProof/>
          <w:color w:val="000000" w:themeColor="text1"/>
          <w:szCs w:val="24"/>
        </w:rPr>
      </w:pPr>
      <w:r w:rsidRPr="008E16DD">
        <w:rPr>
          <w:rFonts w:eastAsia="Times New Roman" w:cs="Times New Roman"/>
          <w:bCs/>
          <w:i/>
          <w:iCs/>
          <w:noProof/>
          <w:color w:val="000000" w:themeColor="text1"/>
          <w:szCs w:val="24"/>
        </w:rPr>
        <w:t>Low</w:t>
      </w:r>
      <w:r w:rsidR="00966BD0">
        <w:rPr>
          <w:rFonts w:eastAsia="Times New Roman" w:cs="Times New Roman"/>
          <w:bCs/>
          <w:i/>
          <w:iCs/>
          <w:noProof/>
          <w:color w:val="000000" w:themeColor="text1"/>
          <w:szCs w:val="24"/>
        </w:rPr>
        <w:t>-</w:t>
      </w:r>
      <w:r w:rsidRPr="008E16DD">
        <w:rPr>
          <w:rFonts w:eastAsia="Times New Roman" w:cs="Times New Roman"/>
          <w:bCs/>
          <w:i/>
          <w:iCs/>
          <w:noProof/>
          <w:color w:val="000000" w:themeColor="text1"/>
          <w:szCs w:val="24"/>
        </w:rPr>
        <w:t xml:space="preserve">carbon provisions: </w:t>
      </w:r>
    </w:p>
    <w:p w14:paraId="4BB79AB6" w14:textId="77777777" w:rsidR="008E16DD" w:rsidRDefault="008E16DD" w:rsidP="00257D37">
      <w:pPr>
        <w:rPr>
          <w:rFonts w:eastAsia="Times New Roman" w:cs="Times New Roman"/>
          <w:bCs/>
          <w:i/>
          <w:iCs/>
          <w:noProof/>
          <w:color w:val="000000" w:themeColor="text1"/>
          <w:szCs w:val="24"/>
        </w:rPr>
      </w:pPr>
    </w:p>
    <w:p w14:paraId="7806A98A" w14:textId="7BB5D093" w:rsidR="008E16DD" w:rsidRPr="008E16DD" w:rsidRDefault="008E16DD" w:rsidP="00257D37">
      <w:pPr>
        <w:rPr>
          <w:bCs/>
          <w:noProof/>
          <w:szCs w:val="24"/>
        </w:rPr>
      </w:pPr>
      <w:r w:rsidRPr="008E16DD">
        <w:rPr>
          <w:rFonts w:eastAsia="Times New Roman" w:cs="Times New Roman"/>
          <w:bCs/>
          <w:noProof/>
          <w:color w:val="000000" w:themeColor="text1"/>
          <w:szCs w:val="24"/>
        </w:rPr>
        <w:t xml:space="preserve">Price increase: </w:t>
      </w:r>
    </w:p>
    <w:p w14:paraId="6CFBEA93" w14:textId="67CADD17" w:rsidR="00FF5BE1" w:rsidRPr="00FF63D1" w:rsidRDefault="7615852E" w:rsidP="00386DE5">
      <w:pPr>
        <w:pStyle w:val="ListParagraph"/>
        <w:numPr>
          <w:ilvl w:val="0"/>
          <w:numId w:val="42"/>
        </w:numPr>
        <w:rPr>
          <w:rFonts w:eastAsia="Times New Roman" w:cs="Times New Roman"/>
          <w:noProof/>
          <w:color w:val="000000" w:themeColor="text1"/>
          <w:szCs w:val="24"/>
        </w:rPr>
      </w:pPr>
      <w:r w:rsidRPr="1A2A8689">
        <w:rPr>
          <w:rFonts w:eastAsia="Times New Roman" w:cs="Times New Roman"/>
          <w:noProof/>
          <w:color w:val="000000" w:themeColor="text1"/>
        </w:rPr>
        <w:t xml:space="preserve">Low-carbon steel estimates can </w:t>
      </w:r>
      <w:r w:rsidR="6EE38908" w:rsidRPr="1A2A8689">
        <w:rPr>
          <w:rFonts w:eastAsia="Times New Roman" w:cs="Times New Roman"/>
          <w:noProof/>
          <w:color w:val="000000" w:themeColor="text1"/>
        </w:rPr>
        <w:t xml:space="preserve">result in a price increase </w:t>
      </w:r>
      <w:r w:rsidRPr="1A2A8689">
        <w:rPr>
          <w:rFonts w:eastAsia="Times New Roman" w:cs="Times New Roman"/>
          <w:noProof/>
          <w:color w:val="000000" w:themeColor="text1"/>
        </w:rPr>
        <w:t>rang</w:t>
      </w:r>
      <w:r w:rsidR="6EE38908" w:rsidRPr="1A2A8689">
        <w:rPr>
          <w:rFonts w:eastAsia="Times New Roman" w:cs="Times New Roman"/>
          <w:noProof/>
          <w:color w:val="000000" w:themeColor="text1"/>
        </w:rPr>
        <w:t>ing</w:t>
      </w:r>
      <w:r w:rsidRPr="1A2A8689">
        <w:rPr>
          <w:rFonts w:eastAsia="Times New Roman" w:cs="Times New Roman"/>
          <w:noProof/>
          <w:color w:val="000000" w:themeColor="text1"/>
        </w:rPr>
        <w:t xml:space="preserve"> from 0.1% to 1.2%</w:t>
      </w:r>
      <w:r w:rsidR="77E29FD8" w:rsidRPr="1A2A8689">
        <w:rPr>
          <w:rFonts w:eastAsia="Times New Roman" w:cs="Times New Roman"/>
          <w:noProof/>
          <w:color w:val="000000" w:themeColor="text1"/>
        </w:rPr>
        <w:t xml:space="preserve"> </w:t>
      </w:r>
      <w:r w:rsidR="68EAC2B7" w:rsidRPr="1A2A8689">
        <w:rPr>
          <w:rFonts w:eastAsia="Times New Roman" w:cs="Times New Roman"/>
          <w:noProof/>
          <w:color w:val="000000" w:themeColor="text1"/>
        </w:rPr>
        <w:t xml:space="preserve">for public procurement works </w:t>
      </w:r>
      <w:r w:rsidR="00CDF511" w:rsidRPr="1A2A8689">
        <w:rPr>
          <w:rFonts w:eastAsia="Times New Roman" w:cs="Times New Roman"/>
          <w:noProof/>
          <w:color w:val="000000" w:themeColor="text1"/>
        </w:rPr>
        <w:t>depending on the type (office buildings or steel halls)</w:t>
      </w:r>
      <w:r w:rsidR="06CAD96C" w:rsidRPr="1A2A8689">
        <w:rPr>
          <w:rFonts w:eastAsia="Times New Roman" w:cs="Times New Roman"/>
          <w:noProof/>
          <w:color w:val="000000" w:themeColor="text1"/>
        </w:rPr>
        <w:t>,</w:t>
      </w:r>
      <w:r w:rsidRPr="1A2A8689">
        <w:rPr>
          <w:rFonts w:eastAsia="Times New Roman" w:cs="Times New Roman"/>
          <w:noProof/>
          <w:color w:val="000000" w:themeColor="text1"/>
        </w:rPr>
        <w:t xml:space="preserve"> based on 100% </w:t>
      </w:r>
      <w:r w:rsidR="3E6E34A5" w:rsidRPr="1A2A8689">
        <w:rPr>
          <w:rFonts w:eastAsia="Times New Roman" w:cs="Times New Roman"/>
          <w:noProof/>
          <w:color w:val="000000" w:themeColor="text1"/>
        </w:rPr>
        <w:t>low</w:t>
      </w:r>
      <w:r w:rsidR="62D3E0B5" w:rsidRPr="1A2A8689">
        <w:rPr>
          <w:rFonts w:eastAsia="Times New Roman" w:cs="Times New Roman"/>
          <w:noProof/>
          <w:color w:val="000000" w:themeColor="text1"/>
        </w:rPr>
        <w:t>-</w:t>
      </w:r>
      <w:r w:rsidR="3E6E34A5" w:rsidRPr="1A2A8689">
        <w:rPr>
          <w:rFonts w:eastAsia="Times New Roman" w:cs="Times New Roman"/>
          <w:noProof/>
          <w:color w:val="000000" w:themeColor="text1"/>
        </w:rPr>
        <w:t>carbon</w:t>
      </w:r>
      <w:r w:rsidR="62D3E0B5" w:rsidRPr="1A2A8689">
        <w:rPr>
          <w:rFonts w:eastAsia="Times New Roman" w:cs="Times New Roman"/>
          <w:noProof/>
          <w:color w:val="000000" w:themeColor="text1"/>
        </w:rPr>
        <w:t xml:space="preserve"> </w:t>
      </w:r>
      <w:r w:rsidRPr="1A2A8689">
        <w:rPr>
          <w:rFonts w:eastAsia="Times New Roman" w:cs="Times New Roman"/>
          <w:noProof/>
          <w:color w:val="000000" w:themeColor="text1"/>
        </w:rPr>
        <w:t>steel</w:t>
      </w:r>
      <w:r w:rsidR="0014322A">
        <w:rPr>
          <w:rFonts w:eastAsia="Times New Roman" w:cs="Times New Roman"/>
          <w:noProof/>
          <w:color w:val="000000" w:themeColor="text1"/>
        </w:rPr>
        <w:t>.</w:t>
      </w:r>
      <w:r w:rsidR="00B754E2" w:rsidRPr="1A2A8689">
        <w:rPr>
          <w:rStyle w:val="FootnoteReference"/>
          <w:rFonts w:eastAsia="Times New Roman" w:cs="Times New Roman"/>
          <w:noProof/>
          <w:color w:val="000000" w:themeColor="text1"/>
        </w:rPr>
        <w:footnoteReference w:id="281"/>
      </w:r>
    </w:p>
    <w:p w14:paraId="4D428B07" w14:textId="78402500" w:rsidR="00992CD2" w:rsidRPr="00F261DB" w:rsidRDefault="004A73A6" w:rsidP="00386DE5">
      <w:pPr>
        <w:pStyle w:val="ListParagraph"/>
        <w:numPr>
          <w:ilvl w:val="0"/>
          <w:numId w:val="42"/>
        </w:numPr>
        <w:rPr>
          <w:rFonts w:eastAsia="Times New Roman" w:cs="Times New Roman"/>
          <w:noProof/>
          <w:color w:val="000000" w:themeColor="text1"/>
          <w:szCs w:val="24"/>
        </w:rPr>
      </w:pPr>
      <w:r w:rsidRPr="00F261DB">
        <w:rPr>
          <w:rFonts w:eastAsia="Times New Roman" w:cs="Times New Roman"/>
          <w:noProof/>
          <w:color w:val="000000" w:themeColor="text1"/>
          <w:szCs w:val="24"/>
        </w:rPr>
        <w:t>An</w:t>
      </w:r>
      <w:r w:rsidR="00734553" w:rsidRPr="00F261DB">
        <w:rPr>
          <w:rFonts w:eastAsia="Times New Roman" w:cs="Times New Roman"/>
          <w:noProof/>
          <w:color w:val="000000" w:themeColor="text1"/>
          <w:szCs w:val="24"/>
        </w:rPr>
        <w:t xml:space="preserve"> assumption is taken that the premium associated with low-carbon steel in the construction sector accounts </w:t>
      </w:r>
      <w:r w:rsidR="00734553" w:rsidRPr="000D3A5E">
        <w:rPr>
          <w:rFonts w:eastAsia="Times New Roman" w:cs="Times New Roman"/>
          <w:noProof/>
          <w:color w:val="000000" w:themeColor="text1"/>
          <w:szCs w:val="24"/>
        </w:rPr>
        <w:t>for 1% of total building costs</w:t>
      </w:r>
      <w:r w:rsidR="007C38E4" w:rsidRPr="000D3A5E">
        <w:rPr>
          <w:rFonts w:eastAsia="Times New Roman" w:cs="Times New Roman"/>
          <w:noProof/>
          <w:color w:val="000000" w:themeColor="text1"/>
          <w:szCs w:val="24"/>
        </w:rPr>
        <w:t xml:space="preserve">. </w:t>
      </w:r>
      <w:r w:rsidR="001255E5" w:rsidRPr="000D3A5E">
        <w:rPr>
          <w:rFonts w:eastAsia="Times New Roman" w:cs="Times New Roman"/>
          <w:noProof/>
          <w:color w:val="000000" w:themeColor="text1"/>
          <w:szCs w:val="24"/>
        </w:rPr>
        <w:t>Therefore,</w:t>
      </w:r>
      <w:r w:rsidR="00C56EC5" w:rsidRPr="000D3A5E" w:rsidDel="002F6289">
        <w:rPr>
          <w:rFonts w:eastAsia="Times New Roman" w:cs="Times New Roman"/>
          <w:noProof/>
          <w:color w:val="000000" w:themeColor="text1"/>
          <w:szCs w:val="24"/>
        </w:rPr>
        <w:t xml:space="preserve"> </w:t>
      </w:r>
      <w:r w:rsidR="00C56EC5" w:rsidRPr="000D3A5E">
        <w:rPr>
          <w:rFonts w:eastAsia="Times New Roman" w:cs="Times New Roman"/>
          <w:noProof/>
          <w:color w:val="000000" w:themeColor="text1"/>
          <w:szCs w:val="24"/>
        </w:rPr>
        <w:t>a 25% low</w:t>
      </w:r>
      <w:r w:rsidR="00966BD0">
        <w:rPr>
          <w:rFonts w:eastAsia="Times New Roman" w:cs="Times New Roman"/>
          <w:noProof/>
          <w:color w:val="000000" w:themeColor="text1"/>
          <w:szCs w:val="24"/>
        </w:rPr>
        <w:t>-</w:t>
      </w:r>
      <w:r w:rsidR="00C56EC5" w:rsidRPr="000D3A5E">
        <w:rPr>
          <w:rFonts w:eastAsia="Times New Roman" w:cs="Times New Roman"/>
          <w:noProof/>
          <w:color w:val="000000" w:themeColor="text1"/>
          <w:szCs w:val="24"/>
        </w:rPr>
        <w:t xml:space="preserve">carbon steel target </w:t>
      </w:r>
      <w:r w:rsidR="002F6289" w:rsidRPr="000D3A5E">
        <w:rPr>
          <w:rFonts w:eastAsia="Times New Roman" w:cs="Times New Roman"/>
          <w:noProof/>
          <w:color w:val="000000" w:themeColor="text1"/>
          <w:szCs w:val="24"/>
        </w:rPr>
        <w:t xml:space="preserve">would lead to a price </w:t>
      </w:r>
      <w:r w:rsidR="00C56EC5" w:rsidRPr="000D3A5E">
        <w:rPr>
          <w:rFonts w:eastAsia="Times New Roman" w:cs="Times New Roman"/>
          <w:noProof/>
          <w:color w:val="000000" w:themeColor="text1"/>
          <w:szCs w:val="24"/>
        </w:rPr>
        <w:t xml:space="preserve">increase </w:t>
      </w:r>
      <w:r w:rsidR="003F4E53" w:rsidRPr="000D3A5E">
        <w:rPr>
          <w:rFonts w:eastAsia="Times New Roman" w:cs="Times New Roman"/>
          <w:noProof/>
          <w:color w:val="000000" w:themeColor="text1"/>
          <w:szCs w:val="24"/>
        </w:rPr>
        <w:t>of</w:t>
      </w:r>
      <w:r w:rsidR="00FD5F8D" w:rsidRPr="000D3A5E">
        <w:rPr>
          <w:rFonts w:eastAsia="Times New Roman" w:cs="Times New Roman"/>
          <w:noProof/>
          <w:color w:val="000000" w:themeColor="text1"/>
          <w:szCs w:val="24"/>
        </w:rPr>
        <w:t xml:space="preserve"> 0.25%</w:t>
      </w:r>
      <w:r w:rsidR="00FD5F8D" w:rsidRPr="00F261DB">
        <w:rPr>
          <w:rFonts w:eastAsia="Times New Roman" w:cs="Times New Roman"/>
          <w:noProof/>
          <w:color w:val="000000" w:themeColor="text1"/>
          <w:szCs w:val="24"/>
        </w:rPr>
        <w:t xml:space="preserve"> </w:t>
      </w:r>
    </w:p>
    <w:p w14:paraId="61D0BAC1" w14:textId="74449931" w:rsidR="00D10C1C" w:rsidRPr="00E710BD" w:rsidRDefault="675AD0B5" w:rsidP="00386DE5">
      <w:pPr>
        <w:pStyle w:val="ListParagraph"/>
        <w:numPr>
          <w:ilvl w:val="0"/>
          <w:numId w:val="42"/>
        </w:numPr>
        <w:rPr>
          <w:rFonts w:eastAsia="Times New Roman" w:cs="Times New Roman"/>
          <w:noProof/>
          <w:color w:val="000000" w:themeColor="text1"/>
          <w:szCs w:val="24"/>
        </w:rPr>
      </w:pPr>
      <w:r w:rsidRPr="1A2A8689">
        <w:rPr>
          <w:rFonts w:eastAsia="Times New Roman" w:cs="Times New Roman"/>
          <w:noProof/>
          <w:color w:val="000000" w:themeColor="text1"/>
        </w:rPr>
        <w:t xml:space="preserve">Assumptions for low-carbon cement or concrete on the final price of a house or construction project </w:t>
      </w:r>
      <w:r w:rsidR="21DA4EA5" w:rsidRPr="1A2A8689">
        <w:rPr>
          <w:rFonts w:eastAsia="Times New Roman" w:cs="Times New Roman"/>
          <w:noProof/>
          <w:color w:val="000000" w:themeColor="text1"/>
        </w:rPr>
        <w:t xml:space="preserve">can </w:t>
      </w:r>
      <w:r w:rsidRPr="1A2A8689">
        <w:rPr>
          <w:rFonts w:eastAsia="Times New Roman" w:cs="Times New Roman"/>
          <w:noProof/>
          <w:color w:val="000000" w:themeColor="text1"/>
        </w:rPr>
        <w:t>range from less than 1% to 3%</w:t>
      </w:r>
      <w:r w:rsidR="21DA4EA5" w:rsidRPr="1A2A8689">
        <w:rPr>
          <w:rFonts w:eastAsia="Times New Roman" w:cs="Times New Roman"/>
          <w:noProof/>
          <w:color w:val="000000" w:themeColor="text1"/>
        </w:rPr>
        <w:t xml:space="preserve"> increase</w:t>
      </w:r>
      <w:r w:rsidR="3E6E34A5" w:rsidRPr="1A2A8689">
        <w:rPr>
          <w:rFonts w:eastAsia="Times New Roman" w:cs="Times New Roman"/>
          <w:noProof/>
          <w:color w:val="000000" w:themeColor="text1"/>
        </w:rPr>
        <w:t xml:space="preserve"> for a 100% </w:t>
      </w:r>
      <w:r w:rsidR="62D3E0B5" w:rsidRPr="1A2A8689">
        <w:rPr>
          <w:rFonts w:eastAsia="Times New Roman" w:cs="Times New Roman"/>
          <w:noProof/>
          <w:color w:val="000000" w:themeColor="text1"/>
        </w:rPr>
        <w:t>low-carbon</w:t>
      </w:r>
      <w:r w:rsidR="6988A5B8" w:rsidRPr="1A2A8689">
        <w:rPr>
          <w:rFonts w:eastAsia="Times New Roman" w:cs="Times New Roman"/>
          <w:noProof/>
          <w:color w:val="000000" w:themeColor="text1"/>
        </w:rPr>
        <w:t xml:space="preserve"> </w:t>
      </w:r>
      <w:r w:rsidR="3E6E34A5" w:rsidRPr="1A2A8689">
        <w:rPr>
          <w:rFonts w:eastAsia="Times New Roman" w:cs="Times New Roman"/>
          <w:noProof/>
          <w:color w:val="000000" w:themeColor="text1"/>
        </w:rPr>
        <w:t>cement</w:t>
      </w:r>
      <w:r w:rsidR="00E8388F">
        <w:rPr>
          <w:rFonts w:eastAsia="Times New Roman" w:cs="Times New Roman"/>
          <w:noProof/>
          <w:color w:val="000000" w:themeColor="text1"/>
        </w:rPr>
        <w:t xml:space="preserve"> </w:t>
      </w:r>
      <w:r w:rsidR="00F9127D">
        <w:rPr>
          <w:rFonts w:eastAsia="Times New Roman" w:cs="Times New Roman"/>
          <w:noProof/>
          <w:color w:val="000000" w:themeColor="text1"/>
        </w:rPr>
        <w:t xml:space="preserve">or </w:t>
      </w:r>
      <w:r w:rsidR="3E6E34A5" w:rsidRPr="1A2A8689">
        <w:rPr>
          <w:rFonts w:eastAsia="Times New Roman" w:cs="Times New Roman"/>
          <w:noProof/>
          <w:color w:val="000000" w:themeColor="text1"/>
        </w:rPr>
        <w:lastRenderedPageBreak/>
        <w:t>concrete</w:t>
      </w:r>
      <w:r w:rsidR="00F126EC" w:rsidRPr="1A2A8689">
        <w:rPr>
          <w:rStyle w:val="FootnoteReference"/>
          <w:rFonts w:eastAsia="Times New Roman" w:cs="Times New Roman"/>
          <w:noProof/>
          <w:color w:val="000000" w:themeColor="text1"/>
        </w:rPr>
        <w:footnoteReference w:id="282"/>
      </w:r>
      <w:r w:rsidR="6988A5B8" w:rsidRPr="1A2A8689">
        <w:rPr>
          <w:rFonts w:eastAsia="Times New Roman" w:cs="Times New Roman"/>
          <w:noProof/>
          <w:color w:val="000000" w:themeColor="text1"/>
        </w:rPr>
        <w:t>.</w:t>
      </w:r>
      <w:r w:rsidRPr="1A2A8689">
        <w:rPr>
          <w:rFonts w:eastAsia="Times New Roman" w:cs="Times New Roman"/>
          <w:noProof/>
          <w:color w:val="000000" w:themeColor="text1"/>
        </w:rPr>
        <w:t xml:space="preserve"> </w:t>
      </w:r>
      <w:r w:rsidR="6988A5B8" w:rsidRPr="1A2A8689">
        <w:rPr>
          <w:rFonts w:eastAsia="Times New Roman" w:cs="Times New Roman"/>
          <w:noProof/>
          <w:color w:val="000000" w:themeColor="text1"/>
        </w:rPr>
        <w:t>With</w:t>
      </w:r>
      <w:r w:rsidR="76ED1AC4" w:rsidRPr="1A2A8689">
        <w:rPr>
          <w:rFonts w:eastAsia="Times New Roman" w:cs="Times New Roman"/>
          <w:noProof/>
          <w:color w:val="000000" w:themeColor="text1"/>
        </w:rPr>
        <w:t xml:space="preserve"> 2% average</w:t>
      </w:r>
      <w:r w:rsidR="21DA4EA5" w:rsidRPr="1A2A8689">
        <w:rPr>
          <w:rFonts w:eastAsia="Times New Roman" w:cs="Times New Roman"/>
          <w:noProof/>
          <w:color w:val="000000" w:themeColor="text1"/>
        </w:rPr>
        <w:t xml:space="preserve"> increase</w:t>
      </w:r>
      <w:r w:rsidR="7B91EE0F" w:rsidRPr="1A2A8689">
        <w:rPr>
          <w:rFonts w:eastAsia="Times New Roman" w:cs="Times New Roman"/>
          <w:noProof/>
          <w:color w:val="000000" w:themeColor="text1"/>
        </w:rPr>
        <w:t>, a 5% low</w:t>
      </w:r>
      <w:r w:rsidR="00966BD0">
        <w:rPr>
          <w:rFonts w:eastAsia="Times New Roman" w:cs="Times New Roman"/>
          <w:noProof/>
          <w:color w:val="000000" w:themeColor="text1"/>
        </w:rPr>
        <w:t>-</w:t>
      </w:r>
      <w:r w:rsidR="7B91EE0F" w:rsidRPr="1A2A8689">
        <w:rPr>
          <w:rFonts w:eastAsia="Times New Roman" w:cs="Times New Roman"/>
          <w:noProof/>
          <w:color w:val="000000" w:themeColor="text1"/>
        </w:rPr>
        <w:t>carbon cement target would result in a 0.</w:t>
      </w:r>
      <w:r w:rsidR="2265CCE1" w:rsidRPr="1A2A8689">
        <w:rPr>
          <w:rFonts w:eastAsia="Times New Roman" w:cs="Times New Roman"/>
          <w:noProof/>
          <w:color w:val="000000" w:themeColor="text1"/>
        </w:rPr>
        <w:t>10</w:t>
      </w:r>
      <w:r w:rsidR="7B91EE0F" w:rsidRPr="1A2A8689">
        <w:rPr>
          <w:rFonts w:eastAsia="Times New Roman" w:cs="Times New Roman"/>
          <w:noProof/>
          <w:color w:val="000000" w:themeColor="text1"/>
        </w:rPr>
        <w:t>% increase in a construction project</w:t>
      </w:r>
      <w:r w:rsidR="5079FCEC" w:rsidRPr="1A2A8689">
        <w:rPr>
          <w:rFonts w:eastAsia="Times New Roman" w:cs="Times New Roman"/>
          <w:noProof/>
          <w:color w:val="000000" w:themeColor="text1"/>
        </w:rPr>
        <w:t xml:space="preserve">. </w:t>
      </w:r>
    </w:p>
    <w:p w14:paraId="63962170" w14:textId="12C11029" w:rsidR="003C0046" w:rsidRPr="001D3556" w:rsidRDefault="00FF19B1" w:rsidP="00C27141">
      <w:pPr>
        <w:pStyle w:val="ListParagraph"/>
        <w:numPr>
          <w:ilvl w:val="0"/>
          <w:numId w:val="42"/>
        </w:numPr>
        <w:rPr>
          <w:noProof/>
          <w:color w:val="000000" w:themeColor="text1"/>
          <w:lang w:val="en-IE"/>
        </w:rPr>
      </w:pPr>
      <w:r w:rsidRPr="001D3556">
        <w:rPr>
          <w:noProof/>
          <w:color w:val="000000" w:themeColor="text1"/>
          <w:lang w:val="en-IE"/>
        </w:rPr>
        <w:t>In the absence of construction-sector-specific data, the cost increase associated with low-carbon aluminium is assumed to mirror that observed in the automotive sector. On this basis, a price increase of approximately 0.1% is projected.</w:t>
      </w:r>
    </w:p>
    <w:p w14:paraId="242576D8" w14:textId="2B17DED9" w:rsidR="00390858" w:rsidRDefault="4989CAEA" w:rsidP="00386DE5">
      <w:pPr>
        <w:pStyle w:val="ListParagraph"/>
        <w:numPr>
          <w:ilvl w:val="0"/>
          <w:numId w:val="42"/>
        </w:numPr>
        <w:rPr>
          <w:rFonts w:eastAsia="Times New Roman" w:cs="Times New Roman"/>
          <w:noProof/>
          <w:color w:val="000000" w:themeColor="text1"/>
          <w:szCs w:val="24"/>
        </w:rPr>
      </w:pPr>
      <w:r w:rsidRPr="00F261DB">
        <w:rPr>
          <w:rFonts w:eastAsia="Times New Roman" w:cs="Times New Roman"/>
          <w:noProof/>
          <w:color w:val="000000" w:themeColor="text1"/>
          <w:szCs w:val="24"/>
        </w:rPr>
        <w:t xml:space="preserve">Based on the </w:t>
      </w:r>
      <w:r w:rsidRPr="00E85AA7">
        <w:rPr>
          <w:noProof/>
          <w:color w:val="000000" w:themeColor="text1"/>
          <w:szCs w:val="24"/>
        </w:rPr>
        <w:t xml:space="preserve">low-carbon targets </w:t>
      </w:r>
      <w:r w:rsidRPr="00F261DB">
        <w:rPr>
          <w:rFonts w:eastAsia="Times New Roman" w:cs="Times New Roman"/>
          <w:noProof/>
          <w:color w:val="000000" w:themeColor="text1"/>
          <w:szCs w:val="24"/>
        </w:rPr>
        <w:t xml:space="preserve">proposed, </w:t>
      </w:r>
      <w:r w:rsidRPr="00F261DB">
        <w:rPr>
          <w:rFonts w:cs="Times New Roman"/>
          <w:noProof/>
          <w:szCs w:val="24"/>
        </w:rPr>
        <w:t>the price</w:t>
      </w:r>
      <w:r w:rsidR="66CFF0AD" w:rsidRPr="00F261DB">
        <w:rPr>
          <w:rFonts w:cs="Times New Roman"/>
          <w:noProof/>
          <w:szCs w:val="24"/>
        </w:rPr>
        <w:t xml:space="preserve"> increase</w:t>
      </w:r>
      <w:r w:rsidR="2DCCF18C" w:rsidRPr="00F261DB">
        <w:rPr>
          <w:rFonts w:cs="Times New Roman"/>
          <w:noProof/>
          <w:szCs w:val="24"/>
        </w:rPr>
        <w:t xml:space="preserve"> for </w:t>
      </w:r>
      <w:r w:rsidR="0007171D" w:rsidRPr="00F261DB">
        <w:rPr>
          <w:rFonts w:cs="Times New Roman"/>
          <w:noProof/>
          <w:szCs w:val="24"/>
        </w:rPr>
        <w:t xml:space="preserve">combining </w:t>
      </w:r>
      <w:r w:rsidR="00307BBD" w:rsidRPr="00F261DB">
        <w:rPr>
          <w:rFonts w:cs="Times New Roman"/>
          <w:noProof/>
          <w:szCs w:val="24"/>
        </w:rPr>
        <w:t xml:space="preserve">both </w:t>
      </w:r>
      <w:r w:rsidR="2DCCF18C" w:rsidRPr="00F261DB">
        <w:rPr>
          <w:rFonts w:cs="Times New Roman"/>
          <w:noProof/>
          <w:szCs w:val="24"/>
        </w:rPr>
        <w:t>low-carbon</w:t>
      </w:r>
      <w:r w:rsidR="0F40934C" w:rsidRPr="00F261DB">
        <w:rPr>
          <w:rFonts w:cs="Times New Roman"/>
          <w:noProof/>
          <w:szCs w:val="24"/>
        </w:rPr>
        <w:t xml:space="preserve"> </w:t>
      </w:r>
      <w:r w:rsidR="0F40934C" w:rsidRPr="00BB7B3F">
        <w:rPr>
          <w:noProof/>
          <w:szCs w:val="24"/>
        </w:rPr>
        <w:t>steel</w:t>
      </w:r>
      <w:r w:rsidR="00515DFB">
        <w:rPr>
          <w:noProof/>
          <w:szCs w:val="24"/>
        </w:rPr>
        <w:t xml:space="preserve">, aluminium and </w:t>
      </w:r>
      <w:r w:rsidR="0F40934C" w:rsidRPr="00BB7B3F">
        <w:rPr>
          <w:noProof/>
          <w:szCs w:val="24"/>
        </w:rPr>
        <w:t xml:space="preserve">cement is therefore projected </w:t>
      </w:r>
      <w:r w:rsidR="003F4E53" w:rsidRPr="00FF63D1">
        <w:rPr>
          <w:noProof/>
          <w:szCs w:val="24"/>
        </w:rPr>
        <w:t>at</w:t>
      </w:r>
      <w:r w:rsidR="0F40934C" w:rsidRPr="00BB7B3F">
        <w:rPr>
          <w:noProof/>
          <w:szCs w:val="24"/>
        </w:rPr>
        <w:t xml:space="preserve"> a</w:t>
      </w:r>
      <w:r w:rsidR="00601667" w:rsidRPr="00FF63D1">
        <w:rPr>
          <w:noProof/>
          <w:szCs w:val="24"/>
        </w:rPr>
        <w:t>n average</w:t>
      </w:r>
      <w:r w:rsidR="0F40934C" w:rsidRPr="00BB7B3F">
        <w:rPr>
          <w:noProof/>
          <w:szCs w:val="24"/>
        </w:rPr>
        <w:t xml:space="preserve"> </w:t>
      </w:r>
      <w:r w:rsidR="00EB2B4D" w:rsidRPr="00F261DB">
        <w:rPr>
          <w:noProof/>
          <w:szCs w:val="24"/>
        </w:rPr>
        <w:t>0.</w:t>
      </w:r>
      <w:r w:rsidR="00D84F9A">
        <w:rPr>
          <w:noProof/>
          <w:szCs w:val="24"/>
        </w:rPr>
        <w:t>4</w:t>
      </w:r>
      <w:r w:rsidR="00EB2B4D" w:rsidRPr="00F261DB">
        <w:rPr>
          <w:noProof/>
          <w:szCs w:val="24"/>
        </w:rPr>
        <w:t>5</w:t>
      </w:r>
      <w:r w:rsidR="0F40934C" w:rsidRPr="00BB7B3F">
        <w:rPr>
          <w:noProof/>
          <w:szCs w:val="24"/>
        </w:rPr>
        <w:t>%</w:t>
      </w:r>
      <w:r w:rsidR="0014322A">
        <w:rPr>
          <w:noProof/>
          <w:szCs w:val="24"/>
        </w:rPr>
        <w:t>.</w:t>
      </w:r>
    </w:p>
    <w:p w14:paraId="630FFC7D" w14:textId="77777777" w:rsidR="008E16DD" w:rsidRDefault="008E16DD" w:rsidP="008E16DD">
      <w:pPr>
        <w:pStyle w:val="JRCText"/>
        <w:spacing w:after="0" w:line="240" w:lineRule="auto"/>
        <w:ind w:left="360"/>
        <w:jc w:val="both"/>
        <w:rPr>
          <w:rFonts w:ascii="Times New Roman" w:eastAsia="Times New Roman" w:hAnsi="Times New Roman" w:cs="Times New Roman"/>
          <w:i/>
          <w:iCs/>
          <w:noProof/>
          <w:color w:val="000000" w:themeColor="text1"/>
          <w:sz w:val="24"/>
          <w:szCs w:val="24"/>
        </w:rPr>
      </w:pPr>
    </w:p>
    <w:p w14:paraId="4189D45E" w14:textId="34740C7E" w:rsidR="008E16DD" w:rsidRPr="00E85AA7" w:rsidRDefault="008E16DD" w:rsidP="00386DE5">
      <w:pPr>
        <w:pStyle w:val="JRCText"/>
        <w:spacing w:after="0" w:line="240" w:lineRule="auto"/>
        <w:jc w:val="both"/>
        <w:rPr>
          <w:rFonts w:ascii="Times New Roman" w:eastAsia="Times New Roman" w:hAnsi="Times New Roman" w:cs="Times New Roman"/>
          <w:noProof/>
          <w:color w:val="000000" w:themeColor="text1"/>
          <w:sz w:val="24"/>
          <w:szCs w:val="24"/>
        </w:rPr>
      </w:pPr>
      <w:r w:rsidRPr="00E85AA7">
        <w:rPr>
          <w:rFonts w:ascii="Times New Roman" w:eastAsia="Times New Roman" w:hAnsi="Times New Roman" w:cs="Times New Roman"/>
          <w:noProof/>
          <w:color w:val="000000" w:themeColor="text1"/>
          <w:sz w:val="24"/>
          <w:szCs w:val="24"/>
        </w:rPr>
        <w:t xml:space="preserve">Cost distribution: </w:t>
      </w:r>
    </w:p>
    <w:p w14:paraId="17056769" w14:textId="16B548ED" w:rsidR="0000520F" w:rsidRPr="00F261DB" w:rsidRDefault="0000520F" w:rsidP="00386DE5">
      <w:pPr>
        <w:pStyle w:val="ListParagraph"/>
        <w:numPr>
          <w:ilvl w:val="0"/>
          <w:numId w:val="42"/>
        </w:numPr>
        <w:rPr>
          <w:rFonts w:eastAsia="Times New Roman" w:cs="Times New Roman"/>
          <w:noProof/>
          <w:color w:val="000000" w:themeColor="text1"/>
          <w:szCs w:val="24"/>
        </w:rPr>
      </w:pPr>
      <w:r w:rsidRPr="00FF63D1">
        <w:rPr>
          <w:rFonts w:eastAsia="Times New Roman" w:cs="Times New Roman"/>
          <w:noProof/>
          <w:color w:val="000000" w:themeColor="text1"/>
          <w:szCs w:val="24"/>
        </w:rPr>
        <w:t xml:space="preserve">No available information was found on the market segment covered by public support schemes for EU construction. Therefore, cost calculations are always a hard split between public procurement </w:t>
      </w:r>
      <w:r w:rsidR="004851DE">
        <w:rPr>
          <w:rFonts w:eastAsia="Times New Roman" w:cs="Times New Roman"/>
          <w:noProof/>
          <w:color w:val="000000" w:themeColor="text1"/>
          <w:szCs w:val="24"/>
        </w:rPr>
        <w:t>(PO1/PO2)</w:t>
      </w:r>
      <w:r w:rsidRPr="00FF63D1">
        <w:rPr>
          <w:rFonts w:eastAsia="Times New Roman" w:cs="Times New Roman"/>
          <w:noProof/>
          <w:color w:val="000000" w:themeColor="text1"/>
          <w:szCs w:val="24"/>
        </w:rPr>
        <w:t xml:space="preserve"> and the </w:t>
      </w:r>
      <w:r w:rsidR="004851DE">
        <w:rPr>
          <w:rFonts w:eastAsia="Times New Roman" w:cs="Times New Roman"/>
          <w:noProof/>
          <w:color w:val="000000" w:themeColor="text1"/>
          <w:szCs w:val="24"/>
        </w:rPr>
        <w:t>full</w:t>
      </w:r>
      <w:r w:rsidRPr="00FF63D1">
        <w:rPr>
          <w:rFonts w:eastAsia="Times New Roman" w:cs="Times New Roman"/>
          <w:noProof/>
          <w:color w:val="000000" w:themeColor="text1"/>
          <w:szCs w:val="24"/>
        </w:rPr>
        <w:t xml:space="preserve"> market</w:t>
      </w:r>
      <w:r w:rsidR="004851DE">
        <w:rPr>
          <w:rFonts w:eastAsia="Times New Roman" w:cs="Times New Roman"/>
          <w:noProof/>
          <w:color w:val="000000" w:themeColor="text1"/>
          <w:szCs w:val="24"/>
        </w:rPr>
        <w:t xml:space="preserve"> (PO3)</w:t>
      </w:r>
      <w:r w:rsidRPr="00FF63D1">
        <w:rPr>
          <w:rFonts w:eastAsia="Times New Roman" w:cs="Times New Roman"/>
          <w:noProof/>
          <w:color w:val="000000" w:themeColor="text1"/>
          <w:szCs w:val="24"/>
        </w:rPr>
        <w:t xml:space="preserve">. </w:t>
      </w:r>
    </w:p>
    <w:p w14:paraId="408A3A40" w14:textId="77777777" w:rsidR="001C16CB" w:rsidRDefault="001C16CB" w:rsidP="00AB1725">
      <w:pPr>
        <w:rPr>
          <w:rFonts w:eastAsia="Times New Roman" w:cs="Times New Roman"/>
          <w:i/>
          <w:noProof/>
          <w:color w:val="000000" w:themeColor="text1"/>
          <w:szCs w:val="24"/>
        </w:rPr>
      </w:pPr>
    </w:p>
    <w:p w14:paraId="0D7CF1B1" w14:textId="0CD3D190" w:rsidR="00B0598C" w:rsidRPr="00E71388" w:rsidRDefault="00B0598C" w:rsidP="1FA04443">
      <w:pPr>
        <w:rPr>
          <w:rFonts w:eastAsia="Times New Roman" w:cs="Times New Roman"/>
          <w:i/>
          <w:iCs/>
          <w:noProof/>
          <w:color w:val="000000" w:themeColor="text1"/>
        </w:rPr>
      </w:pPr>
      <w:r w:rsidRPr="1FA04443">
        <w:rPr>
          <w:rFonts w:eastAsia="Times New Roman" w:cs="Times New Roman"/>
          <w:i/>
          <w:iCs/>
          <w:noProof/>
          <w:color w:val="000000" w:themeColor="text1"/>
        </w:rPr>
        <w:t xml:space="preserve">Made in EU provisions: </w:t>
      </w:r>
    </w:p>
    <w:p w14:paraId="68F6DE8A" w14:textId="605ABA47" w:rsidR="00D11576" w:rsidRDefault="00F0770A" w:rsidP="1FA04443">
      <w:pPr>
        <w:pStyle w:val="ListParagraph"/>
        <w:numPr>
          <w:ilvl w:val="0"/>
          <w:numId w:val="42"/>
        </w:numPr>
        <w:rPr>
          <w:rFonts w:eastAsia="Times New Roman" w:cs="Times New Roman"/>
          <w:noProof/>
          <w:color w:val="000000" w:themeColor="text1"/>
        </w:rPr>
      </w:pPr>
      <w:r w:rsidRPr="1FA04443">
        <w:rPr>
          <w:rFonts w:eastAsia="Times New Roman" w:cs="Times New Roman"/>
          <w:noProof/>
          <w:color w:val="000000" w:themeColor="text1"/>
        </w:rPr>
        <w:t xml:space="preserve">Costs linked to </w:t>
      </w:r>
      <w:r w:rsidR="00FD7E6F" w:rsidRPr="1FA04443">
        <w:rPr>
          <w:rFonts w:eastAsia="Times New Roman" w:cs="Times New Roman"/>
          <w:noProof/>
          <w:color w:val="000000" w:themeColor="text1"/>
        </w:rPr>
        <w:t xml:space="preserve">Made in EU </w:t>
      </w:r>
      <w:r w:rsidR="0039491C" w:rsidRPr="1FA04443">
        <w:rPr>
          <w:rFonts w:eastAsia="Times New Roman" w:cs="Times New Roman"/>
          <w:noProof/>
          <w:color w:val="000000" w:themeColor="text1"/>
        </w:rPr>
        <w:t xml:space="preserve">measures </w:t>
      </w:r>
      <w:r w:rsidR="00FD7E6F" w:rsidRPr="1FA04443">
        <w:rPr>
          <w:rFonts w:eastAsia="Times New Roman" w:cs="Times New Roman"/>
          <w:noProof/>
          <w:color w:val="000000" w:themeColor="text1"/>
        </w:rPr>
        <w:t xml:space="preserve">are </w:t>
      </w:r>
      <w:r w:rsidR="006B1E54">
        <w:rPr>
          <w:rFonts w:eastAsia="Times New Roman" w:cs="Times New Roman"/>
          <w:noProof/>
          <w:color w:val="000000" w:themeColor="text1"/>
          <w:szCs w:val="24"/>
        </w:rPr>
        <w:t xml:space="preserve">obtained </w:t>
      </w:r>
      <w:r w:rsidR="007C45F8">
        <w:rPr>
          <w:rFonts w:eastAsia="Times New Roman" w:cs="Times New Roman"/>
          <w:noProof/>
          <w:color w:val="000000" w:themeColor="text1"/>
          <w:szCs w:val="24"/>
        </w:rPr>
        <w:t>from the</w:t>
      </w:r>
      <w:r w:rsidR="007C45F8" w:rsidRPr="00E85AA7">
        <w:rPr>
          <w:rFonts w:eastAsia="Times New Roman" w:cs="Times New Roman"/>
          <w:noProof/>
          <w:color w:val="000000" w:themeColor="text1"/>
          <w:szCs w:val="24"/>
        </w:rPr>
        <w:t xml:space="preserve"> </w:t>
      </w:r>
      <w:r w:rsidR="006B1E54">
        <w:rPr>
          <w:rFonts w:eastAsia="Times New Roman" w:cs="Times New Roman"/>
          <w:noProof/>
          <w:color w:val="000000" w:themeColor="text1"/>
          <w:szCs w:val="24"/>
        </w:rPr>
        <w:t>FIDELIO modelling results (please see Annex 4 section 1.2 for more information on the model used)</w:t>
      </w:r>
      <w:r w:rsidR="006B1E54" w:rsidRPr="00E85AA7">
        <w:rPr>
          <w:rFonts w:eastAsia="Times New Roman" w:cs="Times New Roman"/>
          <w:noProof/>
          <w:color w:val="000000" w:themeColor="text1"/>
          <w:szCs w:val="24"/>
        </w:rPr>
        <w:t xml:space="preserve"> of </w:t>
      </w:r>
      <w:r w:rsidR="006B1E54">
        <w:rPr>
          <w:rFonts w:eastAsia="Times New Roman" w:cs="Times New Roman"/>
          <w:noProof/>
          <w:color w:val="000000" w:themeColor="text1"/>
          <w:szCs w:val="24"/>
        </w:rPr>
        <w:t xml:space="preserve">the </w:t>
      </w:r>
      <w:r w:rsidR="006B1E54" w:rsidRPr="00E85AA7">
        <w:rPr>
          <w:rFonts w:eastAsia="Times New Roman" w:cs="Times New Roman"/>
          <w:noProof/>
          <w:color w:val="000000" w:themeColor="text1"/>
          <w:szCs w:val="24"/>
        </w:rPr>
        <w:t>different sectors’ GVA</w:t>
      </w:r>
      <w:r w:rsidR="006B1E54">
        <w:rPr>
          <w:rFonts w:eastAsia="Times New Roman" w:cs="Times New Roman"/>
          <w:noProof/>
          <w:color w:val="000000" w:themeColor="text1"/>
          <w:szCs w:val="24"/>
        </w:rPr>
        <w:t>, which are presented both in percentage compared to baseline and monetised</w:t>
      </w:r>
      <w:r w:rsidR="00B561F0">
        <w:rPr>
          <w:rFonts w:eastAsia="Times New Roman" w:cs="Times New Roman"/>
          <w:noProof/>
          <w:color w:val="000000" w:themeColor="text1"/>
        </w:rPr>
        <w:t>.</w:t>
      </w:r>
    </w:p>
    <w:p w14:paraId="57505CC3" w14:textId="77777777" w:rsidR="005C1D07" w:rsidRPr="00F261DB" w:rsidRDefault="005C1D07" w:rsidP="0097216F">
      <w:pPr>
        <w:pStyle w:val="JRCText"/>
        <w:spacing w:after="0" w:line="240" w:lineRule="auto"/>
        <w:jc w:val="both"/>
        <w:rPr>
          <w:rFonts w:ascii="Times New Roman" w:eastAsia="Times New Roman" w:hAnsi="Times New Roman" w:cs="Times New Roman"/>
          <w:noProof/>
          <w:color w:val="000000" w:themeColor="text1"/>
          <w:sz w:val="24"/>
          <w:szCs w:val="24"/>
        </w:rPr>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4"/>
        <w:gridCol w:w="2293"/>
        <w:gridCol w:w="2297"/>
        <w:gridCol w:w="2421"/>
      </w:tblGrid>
      <w:tr w:rsidR="002E159B" w:rsidRPr="00F80C7E" w14:paraId="1B0F9EB2" w14:textId="77777777" w:rsidTr="001D3556">
        <w:trPr>
          <w:trHeight w:val="285"/>
          <w:tblHeader/>
        </w:trPr>
        <w:tc>
          <w:tcPr>
            <w:tcW w:w="2304" w:type="dxa"/>
            <w:tcBorders>
              <w:top w:val="single" w:sz="6" w:space="0" w:color="auto"/>
              <w:left w:val="single" w:sz="6" w:space="0" w:color="auto"/>
              <w:bottom w:val="single" w:sz="6" w:space="0" w:color="auto"/>
              <w:right w:val="single" w:sz="6" w:space="0" w:color="auto"/>
            </w:tcBorders>
            <w:hideMark/>
          </w:tcPr>
          <w:p w14:paraId="69F4AEE3" w14:textId="2B7CBAC3" w:rsidR="002E159B" w:rsidRPr="00F80C7E" w:rsidRDefault="004451D7" w:rsidP="002E159B">
            <w:pPr>
              <w:jc w:val="left"/>
              <w:textAlignment w:val="baseline"/>
              <w:rPr>
                <w:rFonts w:cs="Times New Roman"/>
                <w:i/>
                <w:noProof/>
                <w:szCs w:val="24"/>
              </w:rPr>
            </w:pPr>
            <w:r w:rsidRPr="00F80C7E">
              <w:rPr>
                <w:rFonts w:cs="Times New Roman"/>
                <w:b/>
                <w:i/>
                <w:noProof/>
                <w:szCs w:val="24"/>
              </w:rPr>
              <w:t>LEAD_EII</w:t>
            </w:r>
          </w:p>
        </w:tc>
        <w:tc>
          <w:tcPr>
            <w:tcW w:w="7011" w:type="dxa"/>
            <w:gridSpan w:val="3"/>
            <w:tcBorders>
              <w:top w:val="single" w:sz="6" w:space="0" w:color="auto"/>
              <w:left w:val="single" w:sz="6" w:space="0" w:color="auto"/>
              <w:bottom w:val="single" w:sz="6" w:space="0" w:color="auto"/>
              <w:right w:val="single" w:sz="6" w:space="0" w:color="auto"/>
            </w:tcBorders>
            <w:hideMark/>
          </w:tcPr>
          <w:p w14:paraId="6AE62B14" w14:textId="77777777" w:rsidR="002E159B" w:rsidRPr="00F80C7E" w:rsidRDefault="002E159B" w:rsidP="002E159B">
            <w:pPr>
              <w:jc w:val="left"/>
              <w:textAlignment w:val="baseline"/>
              <w:rPr>
                <w:rFonts w:cs="Times New Roman"/>
                <w:noProof/>
                <w:szCs w:val="24"/>
              </w:rPr>
            </w:pPr>
            <w:r w:rsidRPr="00F80C7E">
              <w:rPr>
                <w:rFonts w:cs="Times New Roman"/>
                <w:noProof/>
                <w:szCs w:val="24"/>
              </w:rPr>
              <w:t>Difference to the baseline </w:t>
            </w:r>
          </w:p>
        </w:tc>
      </w:tr>
      <w:tr w:rsidR="00A201A1" w:rsidRPr="00F80C7E" w14:paraId="7739216C" w14:textId="77777777" w:rsidTr="001D3556">
        <w:trPr>
          <w:trHeight w:val="285"/>
          <w:tblHeader/>
        </w:trPr>
        <w:tc>
          <w:tcPr>
            <w:tcW w:w="2304" w:type="dxa"/>
            <w:tcBorders>
              <w:top w:val="single" w:sz="6" w:space="0" w:color="auto"/>
              <w:left w:val="single" w:sz="6" w:space="0" w:color="auto"/>
              <w:bottom w:val="single" w:sz="6" w:space="0" w:color="auto"/>
              <w:right w:val="single" w:sz="6" w:space="0" w:color="auto"/>
            </w:tcBorders>
            <w:hideMark/>
          </w:tcPr>
          <w:p w14:paraId="4147D307" w14:textId="6B158C06" w:rsidR="002E159B" w:rsidRPr="00F80C7E" w:rsidRDefault="002E159B" w:rsidP="002E159B">
            <w:pPr>
              <w:jc w:val="left"/>
              <w:textAlignment w:val="baseline"/>
              <w:rPr>
                <w:rFonts w:cs="Times New Roman"/>
                <w:noProof/>
                <w:szCs w:val="24"/>
              </w:rPr>
            </w:pPr>
          </w:p>
        </w:tc>
        <w:tc>
          <w:tcPr>
            <w:tcW w:w="2293" w:type="dxa"/>
            <w:tcBorders>
              <w:top w:val="single" w:sz="6" w:space="0" w:color="auto"/>
              <w:left w:val="single" w:sz="6" w:space="0" w:color="auto"/>
              <w:bottom w:val="single" w:sz="6" w:space="0" w:color="auto"/>
              <w:right w:val="single" w:sz="4" w:space="0" w:color="auto"/>
            </w:tcBorders>
            <w:hideMark/>
          </w:tcPr>
          <w:p w14:paraId="7B778E81" w14:textId="77777777" w:rsidR="002E159B" w:rsidRPr="00F80C7E" w:rsidRDefault="002E159B" w:rsidP="002E159B">
            <w:pPr>
              <w:jc w:val="left"/>
              <w:textAlignment w:val="baseline"/>
              <w:rPr>
                <w:rFonts w:cs="Times New Roman"/>
                <w:noProof/>
                <w:szCs w:val="24"/>
              </w:rPr>
            </w:pPr>
            <w:r w:rsidRPr="00F80C7E">
              <w:rPr>
                <w:rFonts w:cs="Times New Roman"/>
                <w:b/>
                <w:noProof/>
                <w:szCs w:val="24"/>
              </w:rPr>
              <w:t>PO1</w:t>
            </w:r>
            <w:r w:rsidRPr="00F80C7E">
              <w:rPr>
                <w:rFonts w:cs="Times New Roman"/>
                <w:noProof/>
                <w:szCs w:val="24"/>
              </w:rPr>
              <w:t> </w:t>
            </w:r>
          </w:p>
        </w:tc>
        <w:tc>
          <w:tcPr>
            <w:tcW w:w="2297" w:type="dxa"/>
            <w:tcBorders>
              <w:top w:val="single" w:sz="4" w:space="0" w:color="auto"/>
              <w:left w:val="single" w:sz="4" w:space="0" w:color="auto"/>
              <w:bottom w:val="single" w:sz="4" w:space="0" w:color="auto"/>
              <w:right w:val="single" w:sz="6" w:space="0" w:color="auto"/>
            </w:tcBorders>
            <w:hideMark/>
          </w:tcPr>
          <w:p w14:paraId="34A2D856" w14:textId="77777777" w:rsidR="002E159B" w:rsidRPr="00F80C7E" w:rsidRDefault="002E159B" w:rsidP="002E159B">
            <w:pPr>
              <w:jc w:val="left"/>
              <w:textAlignment w:val="baseline"/>
              <w:rPr>
                <w:rFonts w:cs="Times New Roman"/>
                <w:noProof/>
                <w:szCs w:val="24"/>
              </w:rPr>
            </w:pPr>
            <w:r w:rsidRPr="00F80C7E">
              <w:rPr>
                <w:rFonts w:cs="Times New Roman"/>
                <w:b/>
                <w:noProof/>
                <w:szCs w:val="24"/>
              </w:rPr>
              <w:t>PO2</w:t>
            </w:r>
            <w:r w:rsidRPr="00F80C7E">
              <w:rPr>
                <w:rFonts w:cs="Times New Roman"/>
                <w:noProof/>
                <w:szCs w:val="24"/>
              </w:rPr>
              <w:t> </w:t>
            </w:r>
          </w:p>
        </w:tc>
        <w:tc>
          <w:tcPr>
            <w:tcW w:w="2421" w:type="dxa"/>
            <w:tcBorders>
              <w:top w:val="single" w:sz="4" w:space="0" w:color="auto"/>
              <w:left w:val="single" w:sz="6" w:space="0" w:color="auto"/>
              <w:bottom w:val="single" w:sz="4" w:space="0" w:color="auto"/>
              <w:right w:val="single" w:sz="4" w:space="0" w:color="auto"/>
            </w:tcBorders>
            <w:hideMark/>
          </w:tcPr>
          <w:p w14:paraId="66521D41" w14:textId="77777777" w:rsidR="002E159B" w:rsidRPr="00F80C7E" w:rsidRDefault="002E159B" w:rsidP="002E159B">
            <w:pPr>
              <w:jc w:val="left"/>
              <w:textAlignment w:val="baseline"/>
              <w:rPr>
                <w:rFonts w:cs="Times New Roman"/>
                <w:noProof/>
                <w:szCs w:val="24"/>
              </w:rPr>
            </w:pPr>
            <w:r w:rsidRPr="00F80C7E">
              <w:rPr>
                <w:rFonts w:cs="Times New Roman"/>
                <w:b/>
                <w:noProof/>
                <w:szCs w:val="24"/>
              </w:rPr>
              <w:t>PO3</w:t>
            </w:r>
            <w:r w:rsidRPr="00F80C7E">
              <w:rPr>
                <w:rFonts w:cs="Times New Roman"/>
                <w:noProof/>
                <w:szCs w:val="24"/>
              </w:rPr>
              <w:t> </w:t>
            </w:r>
          </w:p>
        </w:tc>
      </w:tr>
      <w:tr w:rsidR="00A201A1" w:rsidRPr="00F80C7E" w14:paraId="6469E661" w14:textId="77777777" w:rsidTr="1FA04443">
        <w:trPr>
          <w:trHeight w:val="285"/>
        </w:trPr>
        <w:tc>
          <w:tcPr>
            <w:tcW w:w="2304"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65C43221" w14:textId="77777777" w:rsidR="002E159B" w:rsidRPr="00F80C7E" w:rsidRDefault="002E159B" w:rsidP="002E159B">
            <w:pPr>
              <w:jc w:val="left"/>
              <w:textAlignment w:val="baseline"/>
              <w:rPr>
                <w:rFonts w:cs="Times New Roman"/>
                <w:noProof/>
                <w:szCs w:val="24"/>
              </w:rPr>
            </w:pPr>
            <w:r w:rsidRPr="00F80C7E">
              <w:rPr>
                <w:rFonts w:cs="Times New Roman"/>
                <w:noProof/>
                <w:color w:val="FFFFFF"/>
                <w:szCs w:val="24"/>
              </w:rPr>
              <w:t>Member States administrations </w:t>
            </w:r>
          </w:p>
        </w:tc>
        <w:tc>
          <w:tcPr>
            <w:tcW w:w="2293"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32C40C9B" w14:textId="34A9C36F" w:rsidR="002E159B" w:rsidRPr="00F80C7E" w:rsidRDefault="00480BEE" w:rsidP="002E159B">
            <w:pPr>
              <w:jc w:val="left"/>
              <w:textAlignment w:val="baseline"/>
              <w:rPr>
                <w:rFonts w:cs="Times New Roman"/>
                <w:noProof/>
                <w:szCs w:val="24"/>
              </w:rPr>
            </w:pPr>
            <w:r w:rsidRPr="00F80C7E">
              <w:rPr>
                <w:rFonts w:cs="Times New Roman"/>
                <w:noProof/>
                <w:color w:val="FFFFFF"/>
                <w:szCs w:val="24"/>
              </w:rPr>
              <w:t xml:space="preserve"> </w:t>
            </w:r>
          </w:p>
        </w:tc>
        <w:tc>
          <w:tcPr>
            <w:tcW w:w="2297"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26247060" w14:textId="6FBB3989" w:rsidR="002E159B" w:rsidRPr="00F80C7E" w:rsidRDefault="00480BEE" w:rsidP="002E159B">
            <w:pPr>
              <w:jc w:val="left"/>
              <w:textAlignment w:val="baseline"/>
              <w:rPr>
                <w:rFonts w:cs="Times New Roman"/>
                <w:noProof/>
                <w:szCs w:val="24"/>
              </w:rPr>
            </w:pPr>
            <w:r w:rsidRPr="00F80C7E">
              <w:rPr>
                <w:rFonts w:cs="Times New Roman"/>
                <w:noProof/>
                <w:color w:val="FFFFFF"/>
                <w:szCs w:val="24"/>
              </w:rPr>
              <w:t xml:space="preserve"> </w:t>
            </w:r>
          </w:p>
        </w:tc>
        <w:tc>
          <w:tcPr>
            <w:tcW w:w="2421"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5EF7D316" w14:textId="7C9B3028" w:rsidR="002E159B" w:rsidRPr="00F80C7E" w:rsidRDefault="00480BEE" w:rsidP="002E159B">
            <w:pPr>
              <w:jc w:val="left"/>
              <w:textAlignment w:val="baseline"/>
              <w:rPr>
                <w:rFonts w:cs="Times New Roman"/>
                <w:noProof/>
                <w:szCs w:val="24"/>
              </w:rPr>
            </w:pPr>
            <w:r w:rsidRPr="00F80C7E">
              <w:rPr>
                <w:rFonts w:cs="Times New Roman"/>
                <w:noProof/>
                <w:color w:val="FFFFFF"/>
                <w:szCs w:val="24"/>
              </w:rPr>
              <w:t xml:space="preserve"> </w:t>
            </w:r>
          </w:p>
        </w:tc>
      </w:tr>
      <w:tr w:rsidR="002E159B" w:rsidRPr="000F62A5" w14:paraId="3C79D155" w14:textId="77777777" w:rsidTr="1FA04443">
        <w:trPr>
          <w:trHeight w:val="285"/>
        </w:trPr>
        <w:tc>
          <w:tcPr>
            <w:tcW w:w="2304" w:type="dxa"/>
            <w:tcBorders>
              <w:top w:val="single" w:sz="6" w:space="0" w:color="auto"/>
              <w:left w:val="single" w:sz="6" w:space="0" w:color="auto"/>
              <w:bottom w:val="single" w:sz="6" w:space="0" w:color="auto"/>
              <w:right w:val="single" w:sz="6" w:space="0" w:color="auto"/>
            </w:tcBorders>
            <w:hideMark/>
          </w:tcPr>
          <w:p w14:paraId="4DB80CF3" w14:textId="77777777" w:rsidR="002E159B" w:rsidRPr="00F80C7E" w:rsidRDefault="002E159B" w:rsidP="002E159B">
            <w:pPr>
              <w:jc w:val="left"/>
              <w:textAlignment w:val="baseline"/>
              <w:rPr>
                <w:rFonts w:cs="Times New Roman"/>
                <w:noProof/>
                <w:szCs w:val="24"/>
              </w:rPr>
            </w:pPr>
            <w:r w:rsidRPr="00F80C7E">
              <w:rPr>
                <w:rFonts w:cs="Times New Roman"/>
                <w:noProof/>
                <w:szCs w:val="24"/>
              </w:rPr>
              <w:t>Adjustment costs (recurring) </w:t>
            </w:r>
          </w:p>
        </w:tc>
        <w:tc>
          <w:tcPr>
            <w:tcW w:w="2293" w:type="dxa"/>
            <w:tcBorders>
              <w:top w:val="single" w:sz="6" w:space="0" w:color="auto"/>
              <w:left w:val="single" w:sz="6" w:space="0" w:color="auto"/>
              <w:bottom w:val="single" w:sz="6" w:space="0" w:color="auto"/>
              <w:right w:val="single" w:sz="6" w:space="0" w:color="auto"/>
            </w:tcBorders>
            <w:hideMark/>
          </w:tcPr>
          <w:p w14:paraId="287A78E8" w14:textId="21FD8704" w:rsidR="002E159B" w:rsidRPr="00F80C7E" w:rsidRDefault="002E159B" w:rsidP="002E159B">
            <w:pPr>
              <w:jc w:val="left"/>
              <w:textAlignment w:val="baseline"/>
              <w:rPr>
                <w:rFonts w:cs="Times New Roman"/>
                <w:noProof/>
                <w:szCs w:val="24"/>
              </w:rPr>
            </w:pPr>
          </w:p>
        </w:tc>
        <w:tc>
          <w:tcPr>
            <w:tcW w:w="2297" w:type="dxa"/>
            <w:tcBorders>
              <w:top w:val="single" w:sz="6" w:space="0" w:color="auto"/>
              <w:left w:val="single" w:sz="6" w:space="0" w:color="auto"/>
              <w:bottom w:val="single" w:sz="6" w:space="0" w:color="auto"/>
              <w:right w:val="single" w:sz="6" w:space="0" w:color="auto"/>
            </w:tcBorders>
            <w:hideMark/>
          </w:tcPr>
          <w:p w14:paraId="43B8214B" w14:textId="316B3BC3" w:rsidR="002E159B" w:rsidRPr="00001B7E" w:rsidRDefault="002E159B" w:rsidP="002E159B">
            <w:pPr>
              <w:jc w:val="left"/>
              <w:textAlignment w:val="baseline"/>
              <w:rPr>
                <w:rFonts w:eastAsia="Times New Roman" w:cs="Times New Roman"/>
                <w:noProof/>
                <w:szCs w:val="24"/>
                <w:lang w:eastAsia="en-IE"/>
              </w:rPr>
            </w:pPr>
          </w:p>
        </w:tc>
        <w:tc>
          <w:tcPr>
            <w:tcW w:w="2421" w:type="dxa"/>
            <w:tcBorders>
              <w:top w:val="single" w:sz="6" w:space="0" w:color="auto"/>
              <w:left w:val="single" w:sz="6" w:space="0" w:color="auto"/>
              <w:bottom w:val="single" w:sz="6" w:space="0" w:color="auto"/>
              <w:right w:val="single" w:sz="6" w:space="0" w:color="auto"/>
            </w:tcBorders>
            <w:hideMark/>
          </w:tcPr>
          <w:p w14:paraId="4037EC87" w14:textId="77777777" w:rsidR="002E159B" w:rsidRPr="00E55536" w:rsidRDefault="002E159B" w:rsidP="002E159B">
            <w:pPr>
              <w:jc w:val="left"/>
              <w:textAlignment w:val="baseline"/>
              <w:rPr>
                <w:rFonts w:cs="Times New Roman"/>
                <w:noProof/>
                <w:szCs w:val="24"/>
                <w:lang w:val="fr-BE"/>
              </w:rPr>
            </w:pPr>
            <w:r w:rsidRPr="00E55536">
              <w:rPr>
                <w:rFonts w:cs="Times New Roman"/>
                <w:noProof/>
                <w:szCs w:val="24"/>
                <w:lang w:val="fr-BE"/>
              </w:rPr>
              <w:t> </w:t>
            </w:r>
          </w:p>
        </w:tc>
      </w:tr>
      <w:tr w:rsidR="00A201A1" w:rsidRPr="00F80C7E" w14:paraId="6BD687BA" w14:textId="77777777" w:rsidTr="1FA04443">
        <w:trPr>
          <w:trHeight w:val="285"/>
        </w:trPr>
        <w:tc>
          <w:tcPr>
            <w:tcW w:w="2304"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57A12943" w14:textId="77777777" w:rsidR="002E159B" w:rsidRPr="00F80C7E" w:rsidRDefault="002E159B" w:rsidP="002E159B">
            <w:pPr>
              <w:jc w:val="left"/>
              <w:textAlignment w:val="baseline"/>
              <w:rPr>
                <w:rFonts w:cs="Times New Roman"/>
                <w:noProof/>
                <w:szCs w:val="24"/>
              </w:rPr>
            </w:pPr>
            <w:r w:rsidRPr="00F80C7E">
              <w:rPr>
                <w:rFonts w:cs="Times New Roman"/>
                <w:noProof/>
                <w:color w:val="FFFFFF"/>
                <w:szCs w:val="24"/>
              </w:rPr>
              <w:t>Citizens/Consumer </w:t>
            </w:r>
          </w:p>
        </w:tc>
        <w:tc>
          <w:tcPr>
            <w:tcW w:w="2293"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5CB8DA43" w14:textId="6893643E" w:rsidR="002E159B" w:rsidRPr="00F80C7E" w:rsidRDefault="00480BEE" w:rsidP="002E159B">
            <w:pPr>
              <w:jc w:val="left"/>
              <w:textAlignment w:val="baseline"/>
              <w:rPr>
                <w:rFonts w:cs="Times New Roman"/>
                <w:noProof/>
                <w:szCs w:val="24"/>
              </w:rPr>
            </w:pPr>
            <w:r w:rsidRPr="00F80C7E">
              <w:rPr>
                <w:rFonts w:cs="Times New Roman"/>
                <w:noProof/>
                <w:szCs w:val="24"/>
              </w:rPr>
              <w:t xml:space="preserve"> </w:t>
            </w:r>
          </w:p>
        </w:tc>
        <w:tc>
          <w:tcPr>
            <w:tcW w:w="2297"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3A9A1DE6" w14:textId="79798625" w:rsidR="002E159B" w:rsidRPr="00F80C7E" w:rsidRDefault="00480BEE" w:rsidP="002E159B">
            <w:pPr>
              <w:jc w:val="left"/>
              <w:textAlignment w:val="baseline"/>
              <w:rPr>
                <w:rFonts w:cs="Times New Roman"/>
                <w:noProof/>
                <w:szCs w:val="24"/>
              </w:rPr>
            </w:pPr>
            <w:r w:rsidRPr="00F80C7E">
              <w:rPr>
                <w:rFonts w:cs="Times New Roman"/>
                <w:noProof/>
                <w:szCs w:val="24"/>
              </w:rPr>
              <w:t xml:space="preserve"> </w:t>
            </w:r>
          </w:p>
        </w:tc>
        <w:tc>
          <w:tcPr>
            <w:tcW w:w="2421"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4579C710" w14:textId="461C41A9" w:rsidR="002E159B" w:rsidRPr="00F80C7E" w:rsidRDefault="00480BEE" w:rsidP="002E159B">
            <w:pPr>
              <w:jc w:val="left"/>
              <w:textAlignment w:val="baseline"/>
              <w:rPr>
                <w:rFonts w:cs="Times New Roman"/>
                <w:noProof/>
                <w:szCs w:val="24"/>
              </w:rPr>
            </w:pPr>
            <w:r w:rsidRPr="00F80C7E">
              <w:rPr>
                <w:rFonts w:cs="Times New Roman"/>
                <w:noProof/>
                <w:szCs w:val="24"/>
              </w:rPr>
              <w:t xml:space="preserve"> </w:t>
            </w:r>
          </w:p>
        </w:tc>
      </w:tr>
      <w:tr w:rsidR="002E159B" w:rsidRPr="00F80C7E" w14:paraId="52D60102" w14:textId="77777777" w:rsidTr="1FA04443">
        <w:trPr>
          <w:trHeight w:val="285"/>
        </w:trPr>
        <w:tc>
          <w:tcPr>
            <w:tcW w:w="2304" w:type="dxa"/>
            <w:tcBorders>
              <w:top w:val="single" w:sz="6" w:space="0" w:color="auto"/>
              <w:left w:val="single" w:sz="6" w:space="0" w:color="auto"/>
              <w:bottom w:val="single" w:sz="6" w:space="0" w:color="auto"/>
              <w:right w:val="single" w:sz="6" w:space="0" w:color="auto"/>
            </w:tcBorders>
            <w:hideMark/>
          </w:tcPr>
          <w:p w14:paraId="2021DF63" w14:textId="749C4373" w:rsidR="002E159B" w:rsidRPr="00F80C7E" w:rsidRDefault="002E159B" w:rsidP="002E159B">
            <w:pPr>
              <w:jc w:val="left"/>
              <w:textAlignment w:val="baseline"/>
              <w:rPr>
                <w:rFonts w:cs="Times New Roman"/>
                <w:noProof/>
                <w:szCs w:val="24"/>
              </w:rPr>
            </w:pPr>
            <w:r w:rsidRPr="00F80C7E">
              <w:rPr>
                <w:rFonts w:cs="Times New Roman"/>
                <w:noProof/>
                <w:szCs w:val="24"/>
              </w:rPr>
              <w:t>Adjustment costs (</w:t>
            </w:r>
            <w:r w:rsidR="00522A60" w:rsidRPr="00F80C7E">
              <w:rPr>
                <w:rFonts w:cs="Times New Roman"/>
                <w:noProof/>
                <w:szCs w:val="24"/>
              </w:rPr>
              <w:t>recurring)</w:t>
            </w:r>
            <w:r w:rsidRPr="00F80C7E">
              <w:rPr>
                <w:rFonts w:cs="Times New Roman"/>
                <w:noProof/>
                <w:szCs w:val="24"/>
              </w:rPr>
              <w:t> </w:t>
            </w:r>
          </w:p>
        </w:tc>
        <w:tc>
          <w:tcPr>
            <w:tcW w:w="2293" w:type="dxa"/>
            <w:tcBorders>
              <w:top w:val="single" w:sz="6" w:space="0" w:color="auto"/>
              <w:left w:val="single" w:sz="6" w:space="0" w:color="auto"/>
              <w:bottom w:val="single" w:sz="6" w:space="0" w:color="auto"/>
              <w:right w:val="single" w:sz="6" w:space="0" w:color="auto"/>
            </w:tcBorders>
            <w:hideMark/>
          </w:tcPr>
          <w:p w14:paraId="386A4C8A" w14:textId="5740D96E" w:rsidR="00E451DC" w:rsidRPr="00F80C7E" w:rsidRDefault="00E451DC" w:rsidP="002E159B">
            <w:pPr>
              <w:jc w:val="left"/>
              <w:textAlignment w:val="baseline"/>
              <w:rPr>
                <w:rFonts w:cs="Times New Roman"/>
                <w:noProof/>
                <w:szCs w:val="24"/>
              </w:rPr>
            </w:pPr>
          </w:p>
        </w:tc>
        <w:tc>
          <w:tcPr>
            <w:tcW w:w="2297" w:type="dxa"/>
            <w:tcBorders>
              <w:top w:val="single" w:sz="6" w:space="0" w:color="auto"/>
              <w:left w:val="single" w:sz="6" w:space="0" w:color="auto"/>
              <w:bottom w:val="single" w:sz="6" w:space="0" w:color="auto"/>
              <w:right w:val="single" w:sz="6" w:space="0" w:color="auto"/>
            </w:tcBorders>
            <w:hideMark/>
          </w:tcPr>
          <w:p w14:paraId="61071476" w14:textId="5F2B5B75" w:rsidR="002E159B" w:rsidRPr="00F80C7E" w:rsidRDefault="00E57D2B" w:rsidP="001D3556">
            <w:pPr>
              <w:jc w:val="left"/>
              <w:rPr>
                <w:rFonts w:cs="Times New Roman"/>
                <w:noProof/>
                <w:szCs w:val="24"/>
              </w:rPr>
            </w:pPr>
            <w:r w:rsidRPr="00F80C7E">
              <w:rPr>
                <w:rFonts w:eastAsia="Times New Roman" w:cs="Times New Roman"/>
                <w:i/>
                <w:noProof/>
                <w:szCs w:val="24"/>
                <w:lang w:eastAsia="en-IE"/>
              </w:rPr>
              <w:t xml:space="preserve"> </w:t>
            </w:r>
          </w:p>
        </w:tc>
        <w:tc>
          <w:tcPr>
            <w:tcW w:w="2421" w:type="dxa"/>
            <w:tcBorders>
              <w:top w:val="single" w:sz="6" w:space="0" w:color="auto"/>
              <w:left w:val="single" w:sz="6" w:space="0" w:color="auto"/>
              <w:bottom w:val="single" w:sz="6" w:space="0" w:color="auto"/>
              <w:right w:val="single" w:sz="6" w:space="0" w:color="auto"/>
            </w:tcBorders>
            <w:hideMark/>
          </w:tcPr>
          <w:p w14:paraId="67A8D3E6" w14:textId="50C95FD6" w:rsidR="002E159B" w:rsidRPr="00F80C7E" w:rsidRDefault="002E159B" w:rsidP="002E159B">
            <w:pPr>
              <w:jc w:val="left"/>
              <w:textAlignment w:val="baseline"/>
              <w:rPr>
                <w:rFonts w:cs="Times New Roman"/>
                <w:noProof/>
                <w:szCs w:val="24"/>
              </w:rPr>
            </w:pPr>
            <w:r w:rsidRPr="00F80C7E">
              <w:rPr>
                <w:rFonts w:eastAsia="Times New Roman" w:cs="Times New Roman"/>
                <w:i/>
                <w:noProof/>
                <w:szCs w:val="24"/>
                <w:lang w:eastAsia="en-IE"/>
              </w:rPr>
              <w:t> </w:t>
            </w:r>
          </w:p>
        </w:tc>
      </w:tr>
      <w:tr w:rsidR="00A201A1" w:rsidRPr="00F80C7E" w14:paraId="2A7D70DC" w14:textId="77777777" w:rsidTr="1FA04443">
        <w:trPr>
          <w:trHeight w:val="285"/>
        </w:trPr>
        <w:tc>
          <w:tcPr>
            <w:tcW w:w="2304"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6F55ABDE" w14:textId="77777777" w:rsidR="002E159B" w:rsidRPr="00F80C7E" w:rsidRDefault="002E159B" w:rsidP="002E159B">
            <w:pPr>
              <w:jc w:val="left"/>
              <w:textAlignment w:val="baseline"/>
              <w:rPr>
                <w:rFonts w:cs="Times New Roman"/>
                <w:noProof/>
                <w:szCs w:val="24"/>
              </w:rPr>
            </w:pPr>
            <w:r w:rsidRPr="00F80C7E">
              <w:rPr>
                <w:rFonts w:cs="Times New Roman"/>
                <w:noProof/>
                <w:color w:val="FFFFFF"/>
                <w:szCs w:val="24"/>
              </w:rPr>
              <w:t>Businesses </w:t>
            </w:r>
          </w:p>
        </w:tc>
        <w:tc>
          <w:tcPr>
            <w:tcW w:w="2293"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44AF66D9" w14:textId="6F8C8D33" w:rsidR="002E159B" w:rsidRPr="00F80C7E" w:rsidRDefault="00480BEE" w:rsidP="002E159B">
            <w:pPr>
              <w:jc w:val="left"/>
              <w:textAlignment w:val="baseline"/>
              <w:rPr>
                <w:rFonts w:cs="Times New Roman"/>
                <w:noProof/>
                <w:szCs w:val="24"/>
              </w:rPr>
            </w:pPr>
            <w:r w:rsidRPr="00F80C7E">
              <w:rPr>
                <w:rFonts w:cs="Times New Roman"/>
                <w:noProof/>
                <w:color w:val="FFFFFF"/>
                <w:szCs w:val="24"/>
              </w:rPr>
              <w:t xml:space="preserve"> </w:t>
            </w:r>
          </w:p>
        </w:tc>
        <w:tc>
          <w:tcPr>
            <w:tcW w:w="2297"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8096EC6" w14:textId="7E11CBD1" w:rsidR="002E159B" w:rsidRPr="00F80C7E" w:rsidRDefault="00480BEE" w:rsidP="002E159B">
            <w:pPr>
              <w:jc w:val="left"/>
              <w:textAlignment w:val="baseline"/>
              <w:rPr>
                <w:rFonts w:cs="Times New Roman"/>
                <w:noProof/>
                <w:szCs w:val="24"/>
              </w:rPr>
            </w:pPr>
            <w:r w:rsidRPr="00F80C7E">
              <w:rPr>
                <w:rFonts w:cs="Times New Roman"/>
                <w:noProof/>
                <w:color w:val="FFFFFF"/>
                <w:szCs w:val="24"/>
              </w:rPr>
              <w:t xml:space="preserve"> </w:t>
            </w:r>
          </w:p>
        </w:tc>
        <w:tc>
          <w:tcPr>
            <w:tcW w:w="2421"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3CEB5089" w14:textId="0BC51F85" w:rsidR="002E159B" w:rsidRPr="00F80C7E" w:rsidRDefault="00480BEE" w:rsidP="002E159B">
            <w:pPr>
              <w:jc w:val="left"/>
              <w:textAlignment w:val="baseline"/>
              <w:rPr>
                <w:rFonts w:cs="Times New Roman"/>
                <w:noProof/>
                <w:szCs w:val="24"/>
              </w:rPr>
            </w:pPr>
            <w:r w:rsidRPr="00F80C7E">
              <w:rPr>
                <w:rFonts w:cs="Times New Roman"/>
                <w:noProof/>
                <w:color w:val="FFFFFF"/>
                <w:szCs w:val="24"/>
              </w:rPr>
              <w:t xml:space="preserve"> </w:t>
            </w:r>
          </w:p>
        </w:tc>
      </w:tr>
      <w:tr w:rsidR="002E159B" w:rsidRPr="00F80C7E" w14:paraId="5B924876" w14:textId="77777777" w:rsidTr="1FA04443">
        <w:trPr>
          <w:trHeight w:val="285"/>
        </w:trPr>
        <w:tc>
          <w:tcPr>
            <w:tcW w:w="2304" w:type="dxa"/>
            <w:tcBorders>
              <w:top w:val="single" w:sz="6" w:space="0" w:color="auto"/>
              <w:left w:val="single" w:sz="6" w:space="0" w:color="auto"/>
              <w:bottom w:val="single" w:sz="6" w:space="0" w:color="auto"/>
              <w:right w:val="single" w:sz="6" w:space="0" w:color="auto"/>
            </w:tcBorders>
            <w:hideMark/>
          </w:tcPr>
          <w:p w14:paraId="295F80A4" w14:textId="77777777" w:rsidR="002E159B" w:rsidRPr="00F80C7E" w:rsidRDefault="002E159B" w:rsidP="002E159B">
            <w:pPr>
              <w:jc w:val="left"/>
              <w:textAlignment w:val="baseline"/>
              <w:rPr>
                <w:rFonts w:cs="Times New Roman"/>
                <w:noProof/>
                <w:szCs w:val="24"/>
              </w:rPr>
            </w:pPr>
            <w:r w:rsidRPr="00F80C7E">
              <w:rPr>
                <w:rFonts w:cs="Times New Roman"/>
                <w:noProof/>
                <w:szCs w:val="24"/>
              </w:rPr>
              <w:t>Adjustment costs (recurring) </w:t>
            </w:r>
          </w:p>
        </w:tc>
        <w:tc>
          <w:tcPr>
            <w:tcW w:w="2293" w:type="dxa"/>
            <w:tcBorders>
              <w:top w:val="single" w:sz="6" w:space="0" w:color="auto"/>
              <w:left w:val="single" w:sz="6" w:space="0" w:color="auto"/>
              <w:bottom w:val="single" w:sz="6" w:space="0" w:color="auto"/>
              <w:right w:val="single" w:sz="6" w:space="0" w:color="auto"/>
            </w:tcBorders>
            <w:hideMark/>
          </w:tcPr>
          <w:p w14:paraId="48A7B05E" w14:textId="32FC069E" w:rsidR="00FC0CA5" w:rsidRPr="00F80C7E" w:rsidRDefault="00E54134" w:rsidP="00FC0CA5">
            <w:pPr>
              <w:jc w:val="left"/>
              <w:textAlignment w:val="baseline"/>
              <w:rPr>
                <w:rFonts w:cs="Times New Roman"/>
                <w:i/>
                <w:noProof/>
                <w:color w:val="000000"/>
                <w:szCs w:val="24"/>
              </w:rPr>
            </w:pPr>
            <w:r w:rsidRPr="00F80C7E">
              <w:rPr>
                <w:rFonts w:cs="Times New Roman"/>
                <w:i/>
                <w:noProof/>
                <w:color w:val="000000"/>
                <w:szCs w:val="24"/>
              </w:rPr>
              <w:t>Low-carbon measures</w:t>
            </w:r>
            <w:r w:rsidR="00192EEA">
              <w:rPr>
                <w:rFonts w:cs="Times New Roman"/>
                <w:i/>
                <w:noProof/>
                <w:color w:val="000000"/>
                <w:szCs w:val="24"/>
              </w:rPr>
              <w:t>:</w:t>
            </w:r>
            <w:r w:rsidRPr="00F80C7E">
              <w:rPr>
                <w:rFonts w:cs="Times New Roman"/>
                <w:i/>
                <w:noProof/>
                <w:color w:val="000000"/>
                <w:szCs w:val="24"/>
              </w:rPr>
              <w:t xml:space="preserve"> </w:t>
            </w:r>
          </w:p>
          <w:p w14:paraId="6425EC0D" w14:textId="77777777" w:rsidR="00FC0CA5" w:rsidRPr="00F80C7E" w:rsidRDefault="00FC0CA5" w:rsidP="00FC0CA5">
            <w:pPr>
              <w:jc w:val="left"/>
              <w:textAlignment w:val="baseline"/>
              <w:rPr>
                <w:rFonts w:cs="Times New Roman"/>
                <w:noProof/>
                <w:color w:val="000000"/>
                <w:szCs w:val="24"/>
              </w:rPr>
            </w:pPr>
          </w:p>
          <w:p w14:paraId="6EE5A1E4" w14:textId="77777777" w:rsidR="003D4D12" w:rsidRDefault="003D4D12" w:rsidP="002E159B">
            <w:pPr>
              <w:jc w:val="left"/>
              <w:textAlignment w:val="baseline"/>
              <w:rPr>
                <w:rFonts w:cs="Times New Roman"/>
                <w:noProof/>
                <w:szCs w:val="24"/>
              </w:rPr>
            </w:pPr>
          </w:p>
          <w:p w14:paraId="528B65D7" w14:textId="5DDC7E49" w:rsidR="00483681" w:rsidRDefault="00483681" w:rsidP="002E159B">
            <w:pPr>
              <w:jc w:val="left"/>
              <w:textAlignment w:val="baseline"/>
              <w:rPr>
                <w:rFonts w:cs="Times New Roman"/>
                <w:noProof/>
                <w:szCs w:val="24"/>
              </w:rPr>
            </w:pPr>
            <w:r>
              <w:rPr>
                <w:rFonts w:cs="Times New Roman"/>
                <w:noProof/>
                <w:szCs w:val="24"/>
              </w:rPr>
              <w:t>Automotive</w:t>
            </w:r>
          </w:p>
          <w:p w14:paraId="5BD2EA9A" w14:textId="77777777" w:rsidR="00483681" w:rsidRDefault="00483681" w:rsidP="002E159B">
            <w:pPr>
              <w:jc w:val="left"/>
              <w:textAlignment w:val="baseline"/>
              <w:rPr>
                <w:rFonts w:cs="Times New Roman"/>
                <w:noProof/>
                <w:szCs w:val="24"/>
              </w:rPr>
            </w:pPr>
          </w:p>
          <w:p w14:paraId="40E14A12" w14:textId="1A25FCEB" w:rsidR="00AE0123" w:rsidRPr="00001B7E" w:rsidRDefault="00D308C8" w:rsidP="002E159B">
            <w:pPr>
              <w:jc w:val="left"/>
              <w:textAlignment w:val="baseline"/>
              <w:rPr>
                <w:rFonts w:cs="Times New Roman"/>
                <w:noProof/>
                <w:szCs w:val="24"/>
                <w:lang w:val="fr-BE"/>
              </w:rPr>
            </w:pPr>
            <w:r w:rsidRPr="00001B7E">
              <w:rPr>
                <w:rFonts w:cs="Times New Roman"/>
                <w:noProof/>
                <w:szCs w:val="24"/>
                <w:lang w:val="fr-BE"/>
              </w:rPr>
              <w:t xml:space="preserve">EUR </w:t>
            </w:r>
            <w:r w:rsidR="002B019C" w:rsidRPr="00001B7E">
              <w:rPr>
                <w:rFonts w:cs="Times New Roman"/>
                <w:noProof/>
                <w:szCs w:val="24"/>
                <w:lang w:val="fr-BE"/>
              </w:rPr>
              <w:t>291 million</w:t>
            </w:r>
            <w:r w:rsidR="00D67E77">
              <w:rPr>
                <w:rFonts w:cs="Times New Roman"/>
                <w:noProof/>
                <w:szCs w:val="24"/>
                <w:lang w:val="fr-BE"/>
              </w:rPr>
              <w:t xml:space="preserve"> GVA</w:t>
            </w:r>
          </w:p>
          <w:p w14:paraId="43DECDED" w14:textId="77777777" w:rsidR="00AE0123" w:rsidRPr="00001B7E" w:rsidRDefault="00AE0123" w:rsidP="002E159B">
            <w:pPr>
              <w:jc w:val="left"/>
              <w:textAlignment w:val="baseline"/>
              <w:rPr>
                <w:rFonts w:cs="Times New Roman"/>
                <w:noProof/>
                <w:szCs w:val="24"/>
                <w:lang w:val="fr-BE"/>
              </w:rPr>
            </w:pPr>
          </w:p>
          <w:p w14:paraId="36F54409" w14:textId="5BDE8D0F" w:rsidR="00483681" w:rsidRPr="00001B7E" w:rsidRDefault="00483681" w:rsidP="002E159B">
            <w:pPr>
              <w:jc w:val="left"/>
              <w:textAlignment w:val="baseline"/>
              <w:rPr>
                <w:rFonts w:cs="Times New Roman"/>
                <w:noProof/>
                <w:szCs w:val="24"/>
                <w:lang w:val="fr-BE"/>
              </w:rPr>
            </w:pPr>
            <w:r w:rsidRPr="00001B7E">
              <w:rPr>
                <w:rFonts w:cs="Times New Roman"/>
                <w:noProof/>
                <w:szCs w:val="24"/>
                <w:lang w:val="fr-BE"/>
              </w:rPr>
              <w:t xml:space="preserve">Construction </w:t>
            </w:r>
          </w:p>
          <w:p w14:paraId="6FC2A5C3" w14:textId="77777777" w:rsidR="00AE0123" w:rsidRPr="00001B7E" w:rsidRDefault="00AE0123" w:rsidP="002E159B">
            <w:pPr>
              <w:jc w:val="left"/>
              <w:textAlignment w:val="baseline"/>
              <w:rPr>
                <w:rFonts w:cs="Times New Roman"/>
                <w:noProof/>
                <w:szCs w:val="24"/>
                <w:lang w:val="fr-BE"/>
              </w:rPr>
            </w:pPr>
          </w:p>
          <w:p w14:paraId="0EE9A0F4" w14:textId="7D5541AB" w:rsidR="00AE0123" w:rsidRPr="00001B7E" w:rsidRDefault="002B019C" w:rsidP="002E159B">
            <w:pPr>
              <w:jc w:val="left"/>
              <w:textAlignment w:val="baseline"/>
              <w:rPr>
                <w:rFonts w:cs="Times New Roman"/>
                <w:noProof/>
                <w:szCs w:val="24"/>
                <w:lang w:val="fr-BE"/>
              </w:rPr>
            </w:pPr>
            <w:r w:rsidRPr="00001B7E">
              <w:rPr>
                <w:rFonts w:cs="Times New Roman"/>
                <w:noProof/>
                <w:szCs w:val="24"/>
                <w:lang w:val="fr-BE"/>
              </w:rPr>
              <w:t>EUR 691 million</w:t>
            </w:r>
            <w:r w:rsidR="00D67E77">
              <w:rPr>
                <w:rFonts w:cs="Times New Roman"/>
                <w:noProof/>
                <w:szCs w:val="24"/>
                <w:lang w:val="fr-BE"/>
              </w:rPr>
              <w:t xml:space="preserve"> GVA</w:t>
            </w:r>
          </w:p>
          <w:p w14:paraId="4FD6C973" w14:textId="04132E42" w:rsidR="002E159B" w:rsidRPr="00001B7E" w:rsidRDefault="002E159B" w:rsidP="002E159B">
            <w:pPr>
              <w:jc w:val="left"/>
              <w:textAlignment w:val="baseline"/>
              <w:rPr>
                <w:rFonts w:cs="Times New Roman"/>
                <w:noProof/>
                <w:szCs w:val="24"/>
                <w:lang w:val="fr-BE"/>
              </w:rPr>
            </w:pPr>
          </w:p>
        </w:tc>
        <w:tc>
          <w:tcPr>
            <w:tcW w:w="2297" w:type="dxa"/>
            <w:tcBorders>
              <w:top w:val="single" w:sz="6" w:space="0" w:color="auto"/>
              <w:left w:val="single" w:sz="6" w:space="0" w:color="auto"/>
              <w:bottom w:val="single" w:sz="6" w:space="0" w:color="auto"/>
              <w:right w:val="single" w:sz="6" w:space="0" w:color="auto"/>
            </w:tcBorders>
            <w:hideMark/>
          </w:tcPr>
          <w:p w14:paraId="56F62AB1" w14:textId="06123B7E" w:rsidR="006E28DD" w:rsidRPr="00F80C7E" w:rsidRDefault="14B0B122" w:rsidP="00AC34D7">
            <w:pPr>
              <w:ind w:right="172"/>
              <w:jc w:val="left"/>
              <w:textAlignment w:val="baseline"/>
              <w:rPr>
                <w:rFonts w:cs="Times New Roman"/>
                <w:i/>
                <w:iCs/>
                <w:noProof/>
                <w:color w:val="000000" w:themeColor="text1"/>
              </w:rPr>
            </w:pPr>
            <w:r w:rsidRPr="1FA04443">
              <w:rPr>
                <w:rFonts w:cs="Times New Roman"/>
                <w:i/>
                <w:iCs/>
                <w:noProof/>
                <w:color w:val="000000" w:themeColor="text1"/>
              </w:rPr>
              <w:t>Low-carbon meas</w:t>
            </w:r>
            <w:r w:rsidR="31603B22" w:rsidRPr="1FA04443">
              <w:rPr>
                <w:rFonts w:cs="Times New Roman"/>
                <w:i/>
                <w:iCs/>
                <w:noProof/>
                <w:color w:val="000000" w:themeColor="text1"/>
              </w:rPr>
              <w:t>ures:</w:t>
            </w:r>
          </w:p>
          <w:p w14:paraId="07957EF3" w14:textId="19E4E434" w:rsidR="00EB7B09" w:rsidRPr="00F80C7E" w:rsidRDefault="00EB7B09" w:rsidP="0014322A">
            <w:pPr>
              <w:ind w:left="158" w:right="172"/>
              <w:jc w:val="left"/>
              <w:textAlignment w:val="baseline"/>
              <w:rPr>
                <w:rFonts w:cs="Times New Roman"/>
                <w:i/>
                <w:iCs/>
                <w:noProof/>
                <w:color w:val="000000" w:themeColor="text1"/>
              </w:rPr>
            </w:pPr>
          </w:p>
          <w:p w14:paraId="300323BD" w14:textId="77777777" w:rsidR="00483681" w:rsidRPr="00001B7E" w:rsidRDefault="00483681" w:rsidP="00483681">
            <w:pPr>
              <w:jc w:val="left"/>
              <w:textAlignment w:val="baseline"/>
              <w:rPr>
                <w:rFonts w:cs="Times New Roman"/>
                <w:noProof/>
                <w:szCs w:val="24"/>
                <w:lang w:val="fr-BE"/>
              </w:rPr>
            </w:pPr>
            <w:r w:rsidRPr="00001B7E">
              <w:rPr>
                <w:rFonts w:cs="Times New Roman"/>
                <w:noProof/>
                <w:szCs w:val="24"/>
                <w:lang w:val="fr-BE"/>
              </w:rPr>
              <w:t>Automotive</w:t>
            </w:r>
          </w:p>
          <w:p w14:paraId="32450AC2" w14:textId="77777777" w:rsidR="002B019C" w:rsidRPr="00001B7E" w:rsidRDefault="002B019C" w:rsidP="002B019C">
            <w:pPr>
              <w:jc w:val="left"/>
              <w:textAlignment w:val="baseline"/>
              <w:rPr>
                <w:rFonts w:cs="Times New Roman"/>
                <w:noProof/>
                <w:szCs w:val="24"/>
                <w:lang w:val="fr-BE"/>
              </w:rPr>
            </w:pPr>
          </w:p>
          <w:p w14:paraId="1DBA888C" w14:textId="5781DEAC" w:rsidR="002B019C" w:rsidRPr="00D75C8F" w:rsidRDefault="002B019C" w:rsidP="002B019C">
            <w:pPr>
              <w:jc w:val="left"/>
              <w:textAlignment w:val="baseline"/>
              <w:rPr>
                <w:rFonts w:cs="Times New Roman"/>
                <w:noProof/>
                <w:szCs w:val="24"/>
                <w:lang w:val="fr-BE"/>
              </w:rPr>
            </w:pPr>
            <w:r w:rsidRPr="00D75C8F">
              <w:rPr>
                <w:rFonts w:cs="Times New Roman"/>
                <w:noProof/>
                <w:szCs w:val="24"/>
                <w:lang w:val="fr-BE"/>
              </w:rPr>
              <w:t>EUR 291 million</w:t>
            </w:r>
            <w:r w:rsidR="00D67E77">
              <w:rPr>
                <w:rFonts w:cs="Times New Roman"/>
                <w:noProof/>
                <w:szCs w:val="24"/>
                <w:lang w:val="fr-BE"/>
              </w:rPr>
              <w:t xml:space="preserve"> GVA</w:t>
            </w:r>
          </w:p>
          <w:p w14:paraId="037EDE68" w14:textId="77777777" w:rsidR="00483681" w:rsidRPr="00D75C8F" w:rsidRDefault="00483681" w:rsidP="00483681">
            <w:pPr>
              <w:jc w:val="left"/>
              <w:textAlignment w:val="baseline"/>
              <w:rPr>
                <w:rFonts w:cs="Times New Roman"/>
                <w:noProof/>
                <w:szCs w:val="24"/>
                <w:lang w:val="fr-BE"/>
              </w:rPr>
            </w:pPr>
          </w:p>
          <w:p w14:paraId="3526FFF8" w14:textId="77777777" w:rsidR="00483681" w:rsidRPr="00D75C8F" w:rsidRDefault="00483681" w:rsidP="00483681">
            <w:pPr>
              <w:jc w:val="left"/>
              <w:textAlignment w:val="baseline"/>
              <w:rPr>
                <w:rFonts w:cs="Times New Roman"/>
                <w:noProof/>
                <w:szCs w:val="24"/>
                <w:lang w:val="fr-BE"/>
              </w:rPr>
            </w:pPr>
            <w:r w:rsidRPr="00D75C8F">
              <w:rPr>
                <w:rFonts w:cs="Times New Roman"/>
                <w:noProof/>
                <w:szCs w:val="24"/>
                <w:lang w:val="fr-BE"/>
              </w:rPr>
              <w:t xml:space="preserve">Construction </w:t>
            </w:r>
          </w:p>
          <w:p w14:paraId="44D02B92" w14:textId="77777777" w:rsidR="002B019C" w:rsidRPr="00D75C8F" w:rsidRDefault="002B019C" w:rsidP="002B019C">
            <w:pPr>
              <w:jc w:val="left"/>
              <w:textAlignment w:val="baseline"/>
              <w:rPr>
                <w:rFonts w:cs="Times New Roman"/>
                <w:noProof/>
                <w:szCs w:val="24"/>
                <w:lang w:val="fr-BE"/>
              </w:rPr>
            </w:pPr>
          </w:p>
          <w:p w14:paraId="01244E6B" w14:textId="5473C697" w:rsidR="002B019C" w:rsidRPr="00D75C8F" w:rsidRDefault="002B019C" w:rsidP="002B019C">
            <w:pPr>
              <w:jc w:val="left"/>
              <w:textAlignment w:val="baseline"/>
              <w:rPr>
                <w:rFonts w:cs="Times New Roman"/>
                <w:noProof/>
                <w:szCs w:val="24"/>
                <w:lang w:val="fr-BE"/>
              </w:rPr>
            </w:pPr>
            <w:r w:rsidRPr="00D75C8F">
              <w:rPr>
                <w:rFonts w:cs="Times New Roman"/>
                <w:noProof/>
                <w:szCs w:val="24"/>
                <w:lang w:val="fr-BE"/>
              </w:rPr>
              <w:t>EUR 691 million</w:t>
            </w:r>
            <w:r w:rsidR="00D67E77">
              <w:rPr>
                <w:rFonts w:cs="Times New Roman"/>
                <w:noProof/>
                <w:szCs w:val="24"/>
                <w:lang w:val="fr-BE"/>
              </w:rPr>
              <w:t xml:space="preserve"> GVA</w:t>
            </w:r>
          </w:p>
          <w:p w14:paraId="5EBF57FB" w14:textId="77777777" w:rsidR="006E28DD" w:rsidRPr="00001B7E" w:rsidRDefault="006E28DD" w:rsidP="0014322A">
            <w:pPr>
              <w:ind w:left="158" w:right="172"/>
              <w:jc w:val="left"/>
              <w:textAlignment w:val="baseline"/>
              <w:rPr>
                <w:rFonts w:cs="Times New Roman"/>
                <w:i/>
                <w:noProof/>
                <w:color w:val="000000" w:themeColor="text1"/>
                <w:lang w:val="fr-BE"/>
              </w:rPr>
            </w:pPr>
          </w:p>
          <w:p w14:paraId="516F5AE1" w14:textId="77777777" w:rsidR="00AC34D7" w:rsidRPr="005F6E93" w:rsidRDefault="00AC34D7" w:rsidP="0014322A">
            <w:pPr>
              <w:ind w:right="172"/>
              <w:jc w:val="left"/>
              <w:textAlignment w:val="baseline"/>
              <w:rPr>
                <w:rFonts w:cs="Times New Roman"/>
                <w:i/>
                <w:iCs/>
                <w:noProof/>
                <w:color w:val="000000" w:themeColor="text1"/>
                <w:lang w:val="fr-FR"/>
              </w:rPr>
            </w:pPr>
          </w:p>
          <w:p w14:paraId="564D2B7C" w14:textId="0962EA37" w:rsidR="00393FA5" w:rsidRPr="00F80C7E" w:rsidRDefault="40805A6B" w:rsidP="0014322A">
            <w:pPr>
              <w:ind w:right="172"/>
              <w:jc w:val="left"/>
              <w:textAlignment w:val="baseline"/>
              <w:rPr>
                <w:rFonts w:cs="Times New Roman"/>
                <w:i/>
                <w:iCs/>
                <w:noProof/>
                <w:color w:val="000000" w:themeColor="text1"/>
              </w:rPr>
            </w:pPr>
            <w:r w:rsidRPr="1FA04443">
              <w:rPr>
                <w:rFonts w:cs="Times New Roman"/>
                <w:i/>
                <w:iCs/>
                <w:noProof/>
                <w:color w:val="000000" w:themeColor="text1"/>
              </w:rPr>
              <w:t>Made in EU measures:</w:t>
            </w:r>
          </w:p>
          <w:p w14:paraId="43149981" w14:textId="62B8B5EF" w:rsidR="0031556C" w:rsidRPr="00AC34D7" w:rsidRDefault="00E24260" w:rsidP="0014322A">
            <w:pPr>
              <w:ind w:right="172"/>
              <w:jc w:val="left"/>
              <w:textAlignment w:val="baseline"/>
              <w:rPr>
                <w:rFonts w:cs="Times New Roman"/>
                <w:noProof/>
                <w:color w:val="000000" w:themeColor="text1"/>
              </w:rPr>
            </w:pPr>
            <w:r w:rsidRPr="00AC34D7">
              <w:rPr>
                <w:rFonts w:cs="Times New Roman"/>
                <w:noProof/>
                <w:color w:val="000000" w:themeColor="text1"/>
              </w:rPr>
              <w:t>No GVA change</w:t>
            </w:r>
            <w:r w:rsidR="002B019C" w:rsidRPr="00AC34D7">
              <w:rPr>
                <w:rStyle w:val="FootnoteReference"/>
                <w:rFonts w:cs="Times New Roman"/>
                <w:noProof/>
                <w:color w:val="000000" w:themeColor="text1"/>
              </w:rPr>
              <w:footnoteReference w:id="283"/>
            </w:r>
          </w:p>
          <w:p w14:paraId="6C3887E6" w14:textId="77777777" w:rsidR="00914D43" w:rsidRPr="00F80C7E" w:rsidRDefault="00914D43" w:rsidP="0014322A">
            <w:pPr>
              <w:ind w:right="172"/>
              <w:jc w:val="left"/>
              <w:textAlignment w:val="baseline"/>
              <w:rPr>
                <w:rFonts w:cs="Times New Roman"/>
                <w:i/>
                <w:iCs/>
                <w:noProof/>
                <w:color w:val="000000" w:themeColor="text1"/>
              </w:rPr>
            </w:pPr>
          </w:p>
          <w:p w14:paraId="52F61570" w14:textId="28B3C7A6" w:rsidR="002E159B" w:rsidRPr="00F80C7E" w:rsidRDefault="002E159B" w:rsidP="00AB73D5">
            <w:pPr>
              <w:ind w:left="158" w:right="172"/>
              <w:jc w:val="left"/>
              <w:textAlignment w:val="baseline"/>
              <w:rPr>
                <w:rFonts w:cs="Times New Roman"/>
                <w:noProof/>
                <w:color w:val="000000"/>
              </w:rPr>
            </w:pPr>
          </w:p>
        </w:tc>
        <w:tc>
          <w:tcPr>
            <w:tcW w:w="2421" w:type="dxa"/>
            <w:tcBorders>
              <w:top w:val="single" w:sz="6" w:space="0" w:color="auto"/>
              <w:left w:val="single" w:sz="6" w:space="0" w:color="auto"/>
              <w:bottom w:val="single" w:sz="6" w:space="0" w:color="auto"/>
              <w:right w:val="single" w:sz="6" w:space="0" w:color="auto"/>
            </w:tcBorders>
            <w:hideMark/>
          </w:tcPr>
          <w:p w14:paraId="6FDF8941" w14:textId="77777777" w:rsidR="007A6DA1" w:rsidRPr="00F80C7E" w:rsidRDefault="40CD2FAE" w:rsidP="0014322A">
            <w:pPr>
              <w:ind w:right="172"/>
              <w:jc w:val="left"/>
              <w:textAlignment w:val="baseline"/>
              <w:rPr>
                <w:rFonts w:cs="Times New Roman"/>
                <w:i/>
                <w:iCs/>
                <w:noProof/>
                <w:color w:val="000000" w:themeColor="text1"/>
              </w:rPr>
            </w:pPr>
            <w:r w:rsidRPr="1FA04443">
              <w:rPr>
                <w:rFonts w:cs="Times New Roman"/>
                <w:i/>
                <w:iCs/>
                <w:noProof/>
                <w:color w:val="000000" w:themeColor="text1"/>
              </w:rPr>
              <w:t>Low-carbon measures:</w:t>
            </w:r>
          </w:p>
          <w:p w14:paraId="4903FD86" w14:textId="77777777" w:rsidR="00245F63" w:rsidRPr="00F80C7E" w:rsidRDefault="00245F63" w:rsidP="0014322A">
            <w:pPr>
              <w:ind w:left="158" w:right="172"/>
              <w:jc w:val="left"/>
              <w:rPr>
                <w:rFonts w:cs="Times New Roman"/>
                <w:i/>
                <w:iCs/>
                <w:noProof/>
                <w:color w:val="000000" w:themeColor="text1"/>
              </w:rPr>
            </w:pPr>
          </w:p>
          <w:p w14:paraId="43AE5133" w14:textId="3F824C61" w:rsidR="007A6DA1" w:rsidRPr="00F80C7E" w:rsidRDefault="007A6DA1" w:rsidP="0014322A">
            <w:pPr>
              <w:jc w:val="left"/>
              <w:textAlignment w:val="baseline"/>
              <w:rPr>
                <w:rFonts w:cs="Times New Roman"/>
                <w:noProof/>
                <w:color w:val="000000" w:themeColor="text1"/>
              </w:rPr>
            </w:pPr>
          </w:p>
          <w:p w14:paraId="0809F425" w14:textId="01137207" w:rsidR="00483681" w:rsidRPr="003251CC" w:rsidRDefault="00483681" w:rsidP="00483681">
            <w:pPr>
              <w:jc w:val="left"/>
              <w:textAlignment w:val="baseline"/>
              <w:rPr>
                <w:rFonts w:cs="Times New Roman"/>
                <w:noProof/>
                <w:lang w:val="en-US"/>
              </w:rPr>
            </w:pPr>
            <w:r w:rsidRPr="003251CC">
              <w:rPr>
                <w:rFonts w:cs="Times New Roman"/>
                <w:noProof/>
                <w:lang w:val="en-US"/>
              </w:rPr>
              <w:t>Automotive</w:t>
            </w:r>
          </w:p>
          <w:p w14:paraId="2AE2AF38" w14:textId="77777777" w:rsidR="00AC34D7" w:rsidRPr="003251CC" w:rsidRDefault="00AC34D7" w:rsidP="0014322A">
            <w:pPr>
              <w:jc w:val="left"/>
              <w:textAlignment w:val="baseline"/>
              <w:rPr>
                <w:rFonts w:cs="Times New Roman"/>
                <w:noProof/>
                <w:szCs w:val="24"/>
                <w:lang w:val="en-US"/>
              </w:rPr>
            </w:pPr>
          </w:p>
          <w:p w14:paraId="23E94845" w14:textId="07423F02" w:rsidR="000028A5" w:rsidRPr="003251CC" w:rsidRDefault="000028A5" w:rsidP="00483681">
            <w:pPr>
              <w:jc w:val="left"/>
              <w:textAlignment w:val="baseline"/>
              <w:rPr>
                <w:rFonts w:cs="Times New Roman"/>
                <w:noProof/>
                <w:lang w:val="en-US"/>
              </w:rPr>
            </w:pPr>
            <w:r w:rsidRPr="003251CC">
              <w:rPr>
                <w:rFonts w:cs="Times New Roman"/>
                <w:noProof/>
                <w:szCs w:val="24"/>
                <w:lang w:val="en-US"/>
              </w:rPr>
              <w:t>EUR</w:t>
            </w:r>
            <w:r w:rsidR="00244C98" w:rsidRPr="003251CC">
              <w:rPr>
                <w:rFonts w:cs="Times New Roman"/>
                <w:noProof/>
                <w:szCs w:val="24"/>
                <w:lang w:val="en-US"/>
              </w:rPr>
              <w:t xml:space="preserve"> 396 million</w:t>
            </w:r>
            <w:r w:rsidR="00D67E77" w:rsidRPr="003251CC">
              <w:rPr>
                <w:rFonts w:cs="Times New Roman"/>
                <w:noProof/>
                <w:szCs w:val="24"/>
                <w:lang w:val="en-US"/>
              </w:rPr>
              <w:t xml:space="preserve"> GVA</w:t>
            </w:r>
          </w:p>
          <w:p w14:paraId="00E7D56F" w14:textId="77777777" w:rsidR="00483681" w:rsidRPr="003251CC" w:rsidRDefault="00483681" w:rsidP="00483681">
            <w:pPr>
              <w:jc w:val="left"/>
              <w:textAlignment w:val="baseline"/>
              <w:rPr>
                <w:rFonts w:cs="Times New Roman"/>
                <w:noProof/>
                <w:szCs w:val="24"/>
                <w:lang w:val="en-US"/>
              </w:rPr>
            </w:pPr>
          </w:p>
          <w:p w14:paraId="58F3BA52" w14:textId="77777777" w:rsidR="00483681" w:rsidRPr="003251CC" w:rsidRDefault="00483681" w:rsidP="00483681">
            <w:pPr>
              <w:jc w:val="left"/>
              <w:textAlignment w:val="baseline"/>
              <w:rPr>
                <w:rFonts w:cs="Times New Roman"/>
                <w:noProof/>
                <w:szCs w:val="24"/>
                <w:lang w:val="en-US"/>
              </w:rPr>
            </w:pPr>
            <w:r w:rsidRPr="003251CC">
              <w:rPr>
                <w:rFonts w:cs="Times New Roman"/>
                <w:noProof/>
                <w:szCs w:val="24"/>
                <w:lang w:val="en-US"/>
              </w:rPr>
              <w:t xml:space="preserve">Construction </w:t>
            </w:r>
          </w:p>
          <w:p w14:paraId="30289402" w14:textId="77777777" w:rsidR="00AC34D7" w:rsidRPr="003251CC" w:rsidRDefault="00AC34D7" w:rsidP="0014322A">
            <w:pPr>
              <w:jc w:val="left"/>
              <w:textAlignment w:val="baseline"/>
              <w:rPr>
                <w:rFonts w:cs="Times New Roman"/>
                <w:noProof/>
                <w:szCs w:val="24"/>
                <w:lang w:val="en-US"/>
              </w:rPr>
            </w:pPr>
          </w:p>
          <w:p w14:paraId="799C0933" w14:textId="7AFB9EB6" w:rsidR="00244C98" w:rsidRPr="003251CC" w:rsidRDefault="00244C98" w:rsidP="00483681">
            <w:pPr>
              <w:jc w:val="left"/>
              <w:textAlignment w:val="baseline"/>
              <w:rPr>
                <w:rFonts w:cs="Times New Roman"/>
                <w:noProof/>
                <w:szCs w:val="24"/>
                <w:lang w:val="en-US"/>
              </w:rPr>
            </w:pPr>
            <w:r w:rsidRPr="003251CC">
              <w:rPr>
                <w:rFonts w:cs="Times New Roman"/>
                <w:noProof/>
                <w:szCs w:val="24"/>
                <w:lang w:val="en-US"/>
              </w:rPr>
              <w:t>EUR 2</w:t>
            </w:r>
            <w:r w:rsidR="00217CB0" w:rsidRPr="003251CC">
              <w:rPr>
                <w:rFonts w:cs="Times New Roman"/>
                <w:noProof/>
                <w:szCs w:val="24"/>
                <w:lang w:val="en-US"/>
              </w:rPr>
              <w:t xml:space="preserve"> </w:t>
            </w:r>
            <w:r w:rsidRPr="003251CC">
              <w:rPr>
                <w:rFonts w:cs="Times New Roman"/>
                <w:noProof/>
                <w:szCs w:val="24"/>
                <w:lang w:val="en-US"/>
              </w:rPr>
              <w:t>229 million</w:t>
            </w:r>
            <w:r w:rsidR="00D67E77" w:rsidRPr="003251CC">
              <w:rPr>
                <w:rFonts w:cs="Times New Roman"/>
                <w:noProof/>
                <w:szCs w:val="24"/>
                <w:lang w:val="en-US"/>
              </w:rPr>
              <w:t xml:space="preserve"> GVA</w:t>
            </w:r>
          </w:p>
          <w:p w14:paraId="52F5C513" w14:textId="41B5D846" w:rsidR="114CF458" w:rsidRPr="003251CC" w:rsidRDefault="114CF458" w:rsidP="0014322A">
            <w:pPr>
              <w:jc w:val="left"/>
              <w:rPr>
                <w:rFonts w:cs="Times New Roman"/>
                <w:noProof/>
                <w:color w:val="000000" w:themeColor="text1"/>
                <w:lang w:val="en-US"/>
              </w:rPr>
            </w:pPr>
          </w:p>
          <w:p w14:paraId="162216D2" w14:textId="025BC7C7" w:rsidR="00393FA5" w:rsidRPr="00F80C7E" w:rsidRDefault="40805A6B" w:rsidP="0014322A">
            <w:pPr>
              <w:tabs>
                <w:tab w:val="left" w:pos="2124"/>
              </w:tabs>
              <w:ind w:right="99"/>
              <w:jc w:val="left"/>
              <w:textAlignment w:val="baseline"/>
              <w:rPr>
                <w:rFonts w:cs="Times New Roman"/>
                <w:i/>
                <w:iCs/>
                <w:noProof/>
                <w:color w:val="000000"/>
              </w:rPr>
            </w:pPr>
            <w:r w:rsidRPr="1FA04443">
              <w:rPr>
                <w:rFonts w:cs="Times New Roman"/>
                <w:i/>
                <w:iCs/>
                <w:noProof/>
                <w:color w:val="000000" w:themeColor="text1"/>
              </w:rPr>
              <w:t>Made in EU measures:</w:t>
            </w:r>
          </w:p>
          <w:p w14:paraId="15838AD4" w14:textId="77777777" w:rsidR="00393FA5" w:rsidRPr="00F80C7E" w:rsidRDefault="00393FA5" w:rsidP="0014322A">
            <w:pPr>
              <w:tabs>
                <w:tab w:val="left" w:pos="2124"/>
              </w:tabs>
              <w:ind w:left="100" w:right="99"/>
              <w:jc w:val="left"/>
              <w:textAlignment w:val="baseline"/>
              <w:rPr>
                <w:rFonts w:cs="Times New Roman"/>
                <w:noProof/>
                <w:color w:val="000000"/>
              </w:rPr>
            </w:pPr>
          </w:p>
          <w:p w14:paraId="45A13ECE" w14:textId="72A40A8C" w:rsidR="002E159B" w:rsidRPr="00337BEF" w:rsidRDefault="6028FFC8" w:rsidP="0014322A">
            <w:pPr>
              <w:tabs>
                <w:tab w:val="left" w:pos="2124"/>
              </w:tabs>
              <w:ind w:right="99"/>
              <w:jc w:val="left"/>
              <w:textAlignment w:val="baseline"/>
              <w:rPr>
                <w:rFonts w:cs="Times New Roman"/>
                <w:noProof/>
              </w:rPr>
            </w:pPr>
            <w:r w:rsidRPr="1FA04443">
              <w:rPr>
                <w:rFonts w:cs="Times New Roman"/>
                <w:noProof/>
                <w:color w:val="000000" w:themeColor="text1"/>
              </w:rPr>
              <w:t xml:space="preserve">EUR </w:t>
            </w:r>
            <w:r w:rsidR="00661C84">
              <w:rPr>
                <w:rFonts w:cs="Times New Roman"/>
                <w:noProof/>
                <w:color w:val="000000" w:themeColor="text1"/>
              </w:rPr>
              <w:t>6</w:t>
            </w:r>
            <w:r w:rsidR="00217CB0">
              <w:rPr>
                <w:rFonts w:cs="Times New Roman"/>
                <w:noProof/>
                <w:color w:val="000000" w:themeColor="text1"/>
              </w:rPr>
              <w:t xml:space="preserve"> </w:t>
            </w:r>
            <w:r w:rsidR="00661C84">
              <w:rPr>
                <w:rFonts w:cs="Times New Roman"/>
                <w:noProof/>
                <w:color w:val="000000" w:themeColor="text1"/>
              </w:rPr>
              <w:t xml:space="preserve">651 </w:t>
            </w:r>
            <w:r w:rsidR="2637DF5B" w:rsidRPr="1FA04443">
              <w:rPr>
                <w:rFonts w:cs="Times New Roman"/>
                <w:noProof/>
                <w:color w:val="000000" w:themeColor="text1"/>
              </w:rPr>
              <w:t>million</w:t>
            </w:r>
            <w:r w:rsidRPr="1FA04443">
              <w:rPr>
                <w:rFonts w:cs="Times New Roman"/>
                <w:noProof/>
                <w:color w:val="000000" w:themeColor="text1"/>
              </w:rPr>
              <w:t xml:space="preserve"> for </w:t>
            </w:r>
            <w:r w:rsidRPr="1FA04443">
              <w:rPr>
                <w:rFonts w:cs="Times New Roman"/>
                <w:i/>
                <w:iCs/>
                <w:noProof/>
                <w:color w:val="000000" w:themeColor="text1"/>
              </w:rPr>
              <w:t xml:space="preserve">automotive </w:t>
            </w:r>
            <w:r w:rsidRPr="1FA04443">
              <w:rPr>
                <w:rFonts w:cs="Times New Roman"/>
                <w:noProof/>
                <w:color w:val="000000" w:themeColor="text1"/>
              </w:rPr>
              <w:t>sector from Made in EU requirements </w:t>
            </w:r>
          </w:p>
          <w:p w14:paraId="55F34BDC" w14:textId="77777777" w:rsidR="002E159B" w:rsidRPr="00337BEF" w:rsidRDefault="6028FFC8" w:rsidP="0014322A">
            <w:pPr>
              <w:tabs>
                <w:tab w:val="left" w:pos="2124"/>
              </w:tabs>
              <w:ind w:left="100" w:right="99"/>
              <w:jc w:val="left"/>
              <w:textAlignment w:val="baseline"/>
              <w:rPr>
                <w:rFonts w:cs="Times New Roman"/>
                <w:noProof/>
              </w:rPr>
            </w:pPr>
            <w:r w:rsidRPr="1FA04443">
              <w:rPr>
                <w:rFonts w:cs="Times New Roman"/>
                <w:noProof/>
                <w:color w:val="000000" w:themeColor="text1"/>
              </w:rPr>
              <w:t> </w:t>
            </w:r>
          </w:p>
          <w:p w14:paraId="447D81CA" w14:textId="1D56D1A8" w:rsidR="002E159B" w:rsidRPr="00337BEF" w:rsidRDefault="6028FFC8" w:rsidP="0014322A">
            <w:pPr>
              <w:tabs>
                <w:tab w:val="left" w:pos="2124"/>
              </w:tabs>
              <w:ind w:right="99"/>
              <w:jc w:val="left"/>
              <w:textAlignment w:val="baseline"/>
              <w:rPr>
                <w:rFonts w:eastAsia="Times New Roman" w:cs="Times New Roman"/>
                <w:noProof/>
                <w:color w:val="000000"/>
                <w:lang w:eastAsia="en-IE"/>
              </w:rPr>
            </w:pPr>
            <w:r w:rsidRPr="1FA04443">
              <w:rPr>
                <w:rFonts w:cs="Times New Roman"/>
                <w:noProof/>
                <w:color w:val="000000" w:themeColor="text1"/>
              </w:rPr>
              <w:lastRenderedPageBreak/>
              <w:t xml:space="preserve">EUR </w:t>
            </w:r>
            <w:r w:rsidR="0038227F">
              <w:rPr>
                <w:rFonts w:cs="Times New Roman"/>
                <w:noProof/>
                <w:color w:val="000000" w:themeColor="text1"/>
              </w:rPr>
              <w:t>13</w:t>
            </w:r>
            <w:r w:rsidR="00217CB0">
              <w:rPr>
                <w:rFonts w:cs="Times New Roman"/>
                <w:noProof/>
                <w:color w:val="000000" w:themeColor="text1"/>
              </w:rPr>
              <w:t xml:space="preserve"> </w:t>
            </w:r>
            <w:r w:rsidR="0038227F">
              <w:rPr>
                <w:rFonts w:cs="Times New Roman"/>
                <w:noProof/>
                <w:color w:val="000000" w:themeColor="text1"/>
              </w:rPr>
              <w:t xml:space="preserve">996 </w:t>
            </w:r>
            <w:r w:rsidR="2637DF5B" w:rsidRPr="1FA04443">
              <w:rPr>
                <w:rFonts w:cs="Times New Roman"/>
                <w:noProof/>
                <w:color w:val="000000" w:themeColor="text1"/>
              </w:rPr>
              <w:t>million</w:t>
            </w:r>
            <w:r w:rsidRPr="1FA04443">
              <w:rPr>
                <w:rFonts w:cs="Times New Roman"/>
                <w:noProof/>
                <w:color w:val="000000" w:themeColor="text1"/>
              </w:rPr>
              <w:t xml:space="preserve"> for </w:t>
            </w:r>
            <w:r w:rsidRPr="1FA04443">
              <w:rPr>
                <w:rFonts w:cs="Times New Roman"/>
                <w:i/>
                <w:iCs/>
                <w:noProof/>
                <w:color w:val="000000" w:themeColor="text1"/>
              </w:rPr>
              <w:t>construction</w:t>
            </w:r>
            <w:r w:rsidRPr="1FA04443">
              <w:rPr>
                <w:rFonts w:cs="Times New Roman"/>
                <w:noProof/>
                <w:color w:val="000000" w:themeColor="text1"/>
              </w:rPr>
              <w:t xml:space="preserve"> sector from Made in EU requirements </w:t>
            </w:r>
          </w:p>
          <w:p w14:paraId="71B22DC1" w14:textId="0A2DAE6F" w:rsidR="002E159B" w:rsidRPr="00F80C7E" w:rsidRDefault="002E159B" w:rsidP="0014322A">
            <w:pPr>
              <w:tabs>
                <w:tab w:val="left" w:pos="2124"/>
              </w:tabs>
              <w:ind w:right="99"/>
              <w:jc w:val="left"/>
              <w:textAlignment w:val="baseline"/>
              <w:rPr>
                <w:rFonts w:cs="Times New Roman"/>
                <w:noProof/>
              </w:rPr>
            </w:pPr>
          </w:p>
        </w:tc>
      </w:tr>
    </w:tbl>
    <w:p w14:paraId="7C205862" w14:textId="77777777" w:rsidR="004C2500" w:rsidRPr="00F261DB" w:rsidRDefault="004C2500" w:rsidP="00941E57">
      <w:pPr>
        <w:rPr>
          <w:rFonts w:eastAsia="Times New Roman" w:cs="Times New Roman"/>
          <w:noProof/>
          <w:color w:val="000000" w:themeColor="text1"/>
          <w:szCs w:val="24"/>
        </w:rPr>
      </w:pPr>
    </w:p>
    <w:p w14:paraId="745780F2" w14:textId="264921BF" w:rsidR="000602EE" w:rsidRPr="00FF63D1" w:rsidRDefault="00DF2C83" w:rsidP="00AB73D5">
      <w:pPr>
        <w:pStyle w:val="JRCText"/>
        <w:rPr>
          <w:rFonts w:ascii="Times New Roman" w:hAnsi="Times New Roman"/>
          <w:i/>
          <w:noProof/>
          <w:color w:val="000000" w:themeColor="text1"/>
          <w:sz w:val="24"/>
          <w:u w:val="single"/>
        </w:rPr>
      </w:pPr>
      <w:r w:rsidRPr="00AB73D5">
        <w:rPr>
          <w:rFonts w:ascii="Times New Roman" w:eastAsia="Times New Roman" w:hAnsi="Times New Roman" w:cs="Times New Roman"/>
          <w:b/>
          <w:bCs/>
          <w:noProof/>
          <w:color w:val="000000" w:themeColor="text1"/>
          <w:sz w:val="24"/>
          <w:szCs w:val="24"/>
        </w:rPr>
        <w:t>LEAD_SOL</w:t>
      </w:r>
    </w:p>
    <w:p w14:paraId="4564EBF7" w14:textId="08ED80EB" w:rsidR="00386383" w:rsidRPr="00F261DB" w:rsidRDefault="00386383" w:rsidP="00386383">
      <w:pPr>
        <w:rPr>
          <w:noProof/>
          <w:szCs w:val="24"/>
        </w:rPr>
      </w:pPr>
      <w:r w:rsidRPr="00F261DB">
        <w:rPr>
          <w:noProof/>
          <w:szCs w:val="24"/>
        </w:rPr>
        <w:t>Assumptions</w:t>
      </w:r>
      <w:r w:rsidR="00E259C3" w:rsidRPr="00F261DB">
        <w:rPr>
          <w:noProof/>
          <w:szCs w:val="24"/>
        </w:rPr>
        <w:t xml:space="preserve"> taken for adjustment costs</w:t>
      </w:r>
      <w:r w:rsidRPr="00F261DB">
        <w:rPr>
          <w:noProof/>
          <w:szCs w:val="24"/>
        </w:rPr>
        <w:t xml:space="preserve">: </w:t>
      </w:r>
    </w:p>
    <w:p w14:paraId="4BBD4184" w14:textId="3CCE643F" w:rsidR="00386383" w:rsidRPr="00AB73D5" w:rsidRDefault="00500352" w:rsidP="00AB73D5">
      <w:pPr>
        <w:pStyle w:val="ListParagraph"/>
        <w:numPr>
          <w:ilvl w:val="0"/>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Assumptions of a d</w:t>
      </w:r>
      <w:r w:rsidR="00386383" w:rsidRPr="00AB73D5">
        <w:rPr>
          <w:rFonts w:eastAsia="Times New Roman" w:cs="Times New Roman"/>
          <w:noProof/>
          <w:color w:val="000000" w:themeColor="text1"/>
          <w:szCs w:val="24"/>
        </w:rPr>
        <w:t xml:space="preserve">eployment rate </w:t>
      </w:r>
      <w:r w:rsidR="00894EF5" w:rsidRPr="00AB73D5">
        <w:rPr>
          <w:rFonts w:eastAsia="Times New Roman" w:cs="Times New Roman"/>
          <w:noProof/>
          <w:color w:val="000000" w:themeColor="text1"/>
          <w:szCs w:val="24"/>
        </w:rPr>
        <w:t>of</w:t>
      </w:r>
      <w:r w:rsidR="00386383" w:rsidRPr="00AB73D5">
        <w:rPr>
          <w:rFonts w:eastAsia="Times New Roman" w:cs="Times New Roman"/>
          <w:noProof/>
          <w:color w:val="000000" w:themeColor="text1"/>
          <w:szCs w:val="24"/>
        </w:rPr>
        <w:t xml:space="preserve"> 65</w:t>
      </w:r>
      <w:r w:rsidR="005320BF">
        <w:rPr>
          <w:rFonts w:eastAsia="Times New Roman" w:cs="Times New Roman"/>
          <w:noProof/>
          <w:color w:val="000000" w:themeColor="text1"/>
          <w:szCs w:val="24"/>
        </w:rPr>
        <w:t xml:space="preserve"> </w:t>
      </w:r>
      <w:r w:rsidR="00386383" w:rsidRPr="00AB73D5">
        <w:rPr>
          <w:rFonts w:eastAsia="Times New Roman" w:cs="Times New Roman"/>
          <w:noProof/>
          <w:color w:val="000000" w:themeColor="text1"/>
          <w:szCs w:val="24"/>
        </w:rPr>
        <w:t>GW</w:t>
      </w:r>
      <w:r w:rsidR="001C39A0" w:rsidRPr="00AB73D5">
        <w:rPr>
          <w:rFonts w:eastAsia="Times New Roman" w:cs="Times New Roman"/>
          <w:noProof/>
          <w:color w:val="000000" w:themeColor="text1"/>
          <w:szCs w:val="24"/>
        </w:rPr>
        <w:t xml:space="preserve"> </w:t>
      </w:r>
      <w:r w:rsidR="00386383" w:rsidRPr="00AB73D5">
        <w:rPr>
          <w:rFonts w:eastAsia="Times New Roman" w:cs="Times New Roman"/>
          <w:noProof/>
          <w:color w:val="000000" w:themeColor="text1"/>
          <w:szCs w:val="24"/>
        </w:rPr>
        <w:t>by 2030</w:t>
      </w:r>
      <w:r w:rsidR="000D3F06" w:rsidRPr="00AB73D5">
        <w:rPr>
          <w:rFonts w:eastAsia="Times New Roman" w:cs="Times New Roman"/>
          <w:noProof/>
          <w:color w:val="000000" w:themeColor="text1"/>
          <w:szCs w:val="24"/>
        </w:rPr>
        <w:t xml:space="preserve">, using 2024 deployment rates which </w:t>
      </w:r>
      <w:r w:rsidR="00BB1A00" w:rsidRPr="00AB73D5">
        <w:rPr>
          <w:rFonts w:eastAsia="Times New Roman" w:cs="Times New Roman"/>
          <w:noProof/>
          <w:color w:val="000000" w:themeColor="text1"/>
          <w:szCs w:val="24"/>
        </w:rPr>
        <w:t>could</w:t>
      </w:r>
      <w:r w:rsidR="000D3F06" w:rsidRPr="00AB73D5">
        <w:rPr>
          <w:rFonts w:eastAsia="Times New Roman" w:cs="Times New Roman"/>
          <w:noProof/>
          <w:color w:val="000000" w:themeColor="text1"/>
          <w:szCs w:val="24"/>
        </w:rPr>
        <w:t xml:space="preserve"> go down, </w:t>
      </w:r>
      <w:r w:rsidR="00BB1A00" w:rsidRPr="00AB73D5">
        <w:rPr>
          <w:rFonts w:eastAsia="Times New Roman" w:cs="Times New Roman"/>
          <w:noProof/>
          <w:color w:val="000000" w:themeColor="text1"/>
          <w:szCs w:val="24"/>
        </w:rPr>
        <w:t xml:space="preserve">in which case </w:t>
      </w:r>
      <w:r w:rsidR="000D3F06" w:rsidRPr="00AB73D5">
        <w:rPr>
          <w:rFonts w:eastAsia="Times New Roman" w:cs="Times New Roman"/>
          <w:noProof/>
          <w:color w:val="000000" w:themeColor="text1"/>
          <w:szCs w:val="24"/>
        </w:rPr>
        <w:t>the costs would decrease respectively</w:t>
      </w:r>
      <w:r w:rsidR="00BB1A00" w:rsidRPr="00AB73D5">
        <w:rPr>
          <w:rFonts w:eastAsia="Times New Roman" w:cs="Times New Roman"/>
          <w:noProof/>
          <w:color w:val="000000" w:themeColor="text1"/>
          <w:szCs w:val="24"/>
        </w:rPr>
        <w:t>.</w:t>
      </w:r>
    </w:p>
    <w:p w14:paraId="3687362D" w14:textId="09DE51A0" w:rsidR="00386383" w:rsidRPr="00AB73D5" w:rsidRDefault="007455CA" w:rsidP="00AB73D5">
      <w:pPr>
        <w:pStyle w:val="ListParagraph"/>
        <w:numPr>
          <w:ilvl w:val="0"/>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The costs associated with auctions and public procurement are assigned to Member States, while citizens and consumers are attributed costs related to public support schemes and the non-supported market.</w:t>
      </w:r>
      <w:r w:rsidR="007209FF">
        <w:rPr>
          <w:rFonts w:eastAsia="Times New Roman" w:cs="Times New Roman"/>
          <w:noProof/>
          <w:color w:val="000000" w:themeColor="text1"/>
          <w:szCs w:val="24"/>
        </w:rPr>
        <w:t xml:space="preserve"> </w:t>
      </w:r>
      <w:r w:rsidR="00386383" w:rsidRPr="00AB73D5">
        <w:rPr>
          <w:rFonts w:eastAsia="Times New Roman" w:cs="Times New Roman"/>
          <w:noProof/>
          <w:color w:val="000000" w:themeColor="text1"/>
          <w:szCs w:val="24"/>
        </w:rPr>
        <w:t xml:space="preserve">By the time the provisions enter into force we could expected that the Chinese solar module price stabilises to sustainable levels of </w:t>
      </w:r>
      <w:r w:rsidR="00386383" w:rsidRPr="007209FF">
        <w:rPr>
          <w:rFonts w:eastAsia="Times New Roman" w:cs="Times New Roman"/>
          <w:noProof/>
          <w:color w:val="000000" w:themeColor="text1"/>
          <w:szCs w:val="24"/>
        </w:rPr>
        <w:t xml:space="preserve">15.9 </w:t>
      </w:r>
      <w:r w:rsidR="00E328DB" w:rsidRPr="007209FF">
        <w:rPr>
          <w:rFonts w:eastAsia="Times New Roman" w:cs="Times New Roman"/>
          <w:noProof/>
          <w:color w:val="000000" w:themeColor="text1"/>
          <w:szCs w:val="24"/>
        </w:rPr>
        <w:t>€ ct/Wₚ</w:t>
      </w:r>
      <w:r w:rsidR="00E328DB" w:rsidRPr="007209FF" w:rsidDel="001568BA">
        <w:rPr>
          <w:rFonts w:eastAsia="Times New Roman" w:cs="Times New Roman"/>
          <w:noProof/>
          <w:color w:val="000000" w:themeColor="text1"/>
          <w:szCs w:val="24"/>
        </w:rPr>
        <w:t xml:space="preserve"> </w:t>
      </w:r>
    </w:p>
    <w:p w14:paraId="7C363249" w14:textId="3F736E58" w:rsidR="00386383" w:rsidRPr="00AB73D5" w:rsidRDefault="00386383" w:rsidP="00AB73D5">
      <w:pPr>
        <w:pStyle w:val="ListParagraph"/>
        <w:numPr>
          <w:ilvl w:val="0"/>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 xml:space="preserve">Under NZIA rules diversification would kick in and we assume this would come from Southeast Asia for which prices are calculated at 16.5 </w:t>
      </w:r>
      <w:r w:rsidR="00C808DA" w:rsidRPr="00AB73D5">
        <w:rPr>
          <w:rFonts w:eastAsia="Times New Roman" w:cs="Times New Roman"/>
          <w:noProof/>
          <w:color w:val="000000" w:themeColor="text1"/>
          <w:szCs w:val="24"/>
        </w:rPr>
        <w:t>€ ct/Wₚ</w:t>
      </w:r>
      <w:r w:rsidRPr="00AB73D5">
        <w:rPr>
          <w:rFonts w:eastAsia="Times New Roman" w:cs="Times New Roman"/>
          <w:noProof/>
          <w:color w:val="000000" w:themeColor="text1"/>
          <w:szCs w:val="24"/>
        </w:rPr>
        <w:t xml:space="preserve"> for fully Southeast Asian</w:t>
      </w:r>
      <w:r w:rsidR="00363141" w:rsidRPr="00AB73D5">
        <w:rPr>
          <w:rFonts w:eastAsia="Times New Roman" w:cs="Times New Roman"/>
          <w:noProof/>
          <w:color w:val="000000" w:themeColor="text1"/>
          <w:szCs w:val="24"/>
        </w:rPr>
        <w:t xml:space="preserve"> </w:t>
      </w:r>
      <w:r w:rsidR="00C104BF" w:rsidRPr="00AB73D5">
        <w:rPr>
          <w:rFonts w:eastAsia="Times New Roman" w:cs="Times New Roman"/>
          <w:noProof/>
          <w:color w:val="000000" w:themeColor="text1"/>
          <w:szCs w:val="24"/>
        </w:rPr>
        <w:t>solar modules</w:t>
      </w:r>
      <w:r w:rsidR="009D158C" w:rsidRPr="00AB73D5">
        <w:rPr>
          <w:rFonts w:eastAsia="Times New Roman" w:cs="Times New Roman"/>
          <w:noProof/>
          <w:color w:val="000000" w:themeColor="text1"/>
          <w:szCs w:val="24"/>
        </w:rPr>
        <w:t>.</w:t>
      </w:r>
    </w:p>
    <w:p w14:paraId="463427D6" w14:textId="78A26756" w:rsidR="00AB73D5" w:rsidRDefault="0599B157" w:rsidP="00AB73D5">
      <w:pPr>
        <w:pStyle w:val="ListParagraph"/>
        <w:numPr>
          <w:ilvl w:val="0"/>
          <w:numId w:val="42"/>
        </w:numPr>
        <w:rPr>
          <w:noProof/>
        </w:rPr>
      </w:pPr>
      <w:r w:rsidRPr="1A2A8689">
        <w:rPr>
          <w:rFonts w:eastAsia="Times New Roman" w:cs="Times New Roman"/>
          <w:noProof/>
          <w:color w:val="000000" w:themeColor="text1"/>
        </w:rPr>
        <w:t xml:space="preserve">Final price of EU modules </w:t>
      </w:r>
      <w:r w:rsidR="49FBC6D1" w:rsidRPr="1A2A8689">
        <w:rPr>
          <w:rFonts w:eastAsia="Times New Roman" w:cs="Times New Roman"/>
          <w:noProof/>
          <w:color w:val="000000" w:themeColor="text1"/>
        </w:rPr>
        <w:t xml:space="preserve">will </w:t>
      </w:r>
      <w:r w:rsidRPr="1A2A8689">
        <w:rPr>
          <w:rFonts w:eastAsia="Times New Roman" w:cs="Times New Roman"/>
          <w:noProof/>
          <w:color w:val="000000" w:themeColor="text1"/>
        </w:rPr>
        <w:t xml:space="preserve">depend on the </w:t>
      </w:r>
      <w:r w:rsidR="464FF7E6" w:rsidRPr="1A2A8689">
        <w:rPr>
          <w:rFonts w:eastAsia="Times New Roman" w:cs="Times New Roman"/>
          <w:noProof/>
          <w:color w:val="000000" w:themeColor="text1"/>
        </w:rPr>
        <w:t xml:space="preserve">Member State </w:t>
      </w:r>
      <w:r w:rsidRPr="1A2A8689">
        <w:rPr>
          <w:rFonts w:eastAsia="Times New Roman" w:cs="Times New Roman"/>
          <w:noProof/>
          <w:color w:val="000000" w:themeColor="text1"/>
        </w:rPr>
        <w:t>application of the Competitiveness Fund options and CISAF</w:t>
      </w:r>
      <w:r w:rsidR="181556CD" w:rsidRPr="1A2A8689">
        <w:rPr>
          <w:rFonts w:eastAsia="Times New Roman" w:cs="Times New Roman"/>
          <w:noProof/>
          <w:color w:val="000000" w:themeColor="text1"/>
        </w:rPr>
        <w:t xml:space="preserve">, </w:t>
      </w:r>
      <w:r w:rsidRPr="1A2A8689">
        <w:rPr>
          <w:rFonts w:eastAsia="Times New Roman" w:cs="Times New Roman"/>
          <w:noProof/>
          <w:color w:val="000000" w:themeColor="text1"/>
        </w:rPr>
        <w:t>as it would impact CAPEX and OPEX of the manufacturers and thus the</w:t>
      </w:r>
      <w:r>
        <w:rPr>
          <w:noProof/>
        </w:rPr>
        <w:t xml:space="preserve"> final price. But as this is uncertain, the </w:t>
      </w:r>
      <w:r w:rsidR="00F24264">
        <w:rPr>
          <w:noProof/>
        </w:rPr>
        <w:t xml:space="preserve">SolarPower Europe and </w:t>
      </w:r>
      <w:r>
        <w:rPr>
          <w:noProof/>
        </w:rPr>
        <w:t xml:space="preserve">Fraunhofer </w:t>
      </w:r>
      <w:r w:rsidR="0068201F">
        <w:rPr>
          <w:noProof/>
        </w:rPr>
        <w:t xml:space="preserve">study </w:t>
      </w:r>
      <w:r w:rsidR="004B6A96">
        <w:rPr>
          <w:rStyle w:val="FootnoteReference"/>
          <w:noProof/>
        </w:rPr>
        <w:footnoteReference w:id="284"/>
      </w:r>
      <w:r>
        <w:rPr>
          <w:noProof/>
        </w:rPr>
        <w:t xml:space="preserve"> </w:t>
      </w:r>
      <w:r w:rsidR="446C8916">
        <w:rPr>
          <w:noProof/>
        </w:rPr>
        <w:t xml:space="preserve">offers the </w:t>
      </w:r>
      <w:r>
        <w:rPr>
          <w:noProof/>
        </w:rPr>
        <w:t xml:space="preserve">following </w:t>
      </w:r>
      <w:r w:rsidR="00CE5C12">
        <w:rPr>
          <w:noProof/>
        </w:rPr>
        <w:t xml:space="preserve">minimum </w:t>
      </w:r>
      <w:r w:rsidR="00DE3CD0">
        <w:rPr>
          <w:noProof/>
        </w:rPr>
        <w:t>sustainable price (MSP)</w:t>
      </w:r>
      <w:r>
        <w:rPr>
          <w:noProof/>
        </w:rPr>
        <w:t xml:space="preserve"> range: </w:t>
      </w:r>
    </w:p>
    <w:p w14:paraId="59E90665" w14:textId="6327174B" w:rsidR="00386383" w:rsidRDefault="00F324C9" w:rsidP="00AB73D5">
      <w:pPr>
        <w:pStyle w:val="ListParagraph"/>
        <w:numPr>
          <w:ilvl w:val="1"/>
          <w:numId w:val="42"/>
        </w:numPr>
        <w:rPr>
          <w:noProof/>
        </w:rPr>
      </w:pPr>
      <w:r w:rsidRPr="00FF63D1">
        <w:rPr>
          <w:noProof/>
        </w:rPr>
        <w:t>19</w:t>
      </w:r>
      <w:r w:rsidRPr="007209FF">
        <w:rPr>
          <w:noProof/>
        </w:rPr>
        <w:t xml:space="preserve"> € ct/W</w:t>
      </w:r>
      <w:r w:rsidR="001E7261" w:rsidRPr="007209FF">
        <w:rPr>
          <w:noProof/>
        </w:rPr>
        <w:t>ₚ</w:t>
      </w:r>
      <w:r w:rsidR="001E7261">
        <w:rPr>
          <w:noProof/>
        </w:rPr>
        <w:t>:</w:t>
      </w:r>
      <w:r w:rsidR="00C918DA">
        <w:rPr>
          <w:noProof/>
        </w:rPr>
        <w:t xml:space="preserve"> </w:t>
      </w:r>
      <w:r w:rsidR="00EA0599">
        <w:rPr>
          <w:noProof/>
        </w:rPr>
        <w:t>NZIA</w:t>
      </w:r>
      <w:r>
        <w:rPr>
          <w:noProof/>
        </w:rPr>
        <w:t xml:space="preserve"> </w:t>
      </w:r>
      <w:r w:rsidR="00386383" w:rsidRPr="00FF63D1">
        <w:rPr>
          <w:noProof/>
        </w:rPr>
        <w:t xml:space="preserve">EU </w:t>
      </w:r>
      <w:r w:rsidR="00EA0599">
        <w:rPr>
          <w:noProof/>
        </w:rPr>
        <w:t>components</w:t>
      </w:r>
      <w:r w:rsidR="00386383" w:rsidRPr="00FF63D1">
        <w:rPr>
          <w:noProof/>
        </w:rPr>
        <w:t xml:space="preserve"> with polysilicon and ingot wafer from CN</w:t>
      </w:r>
      <w:r w:rsidR="009D158C">
        <w:rPr>
          <w:noProof/>
        </w:rPr>
        <w:t>.</w:t>
      </w:r>
    </w:p>
    <w:p w14:paraId="302F71BB" w14:textId="6DB57647" w:rsidR="00F24264" w:rsidRPr="00FF63D1" w:rsidRDefault="00ED0964" w:rsidP="00F24264">
      <w:pPr>
        <w:pStyle w:val="ListParagraph"/>
        <w:numPr>
          <w:ilvl w:val="1"/>
          <w:numId w:val="42"/>
        </w:numPr>
        <w:rPr>
          <w:noProof/>
        </w:rPr>
      </w:pPr>
      <w:r>
        <w:rPr>
          <w:noProof/>
        </w:rPr>
        <w:t>13.2</w:t>
      </w:r>
      <w:r w:rsidR="00B73991">
        <w:rPr>
          <w:noProof/>
        </w:rPr>
        <w:t xml:space="preserve"> </w:t>
      </w:r>
      <w:r w:rsidR="00B73991" w:rsidRPr="007209FF">
        <w:rPr>
          <w:noProof/>
        </w:rPr>
        <w:t xml:space="preserve"> €</w:t>
      </w:r>
      <w:r>
        <w:rPr>
          <w:noProof/>
        </w:rPr>
        <w:t xml:space="preserve"> </w:t>
      </w:r>
      <w:r w:rsidRPr="007209FF">
        <w:rPr>
          <w:noProof/>
        </w:rPr>
        <w:t>ct/Wₚ</w:t>
      </w:r>
      <w:r>
        <w:rPr>
          <w:noProof/>
        </w:rPr>
        <w:t xml:space="preserve">: </w:t>
      </w:r>
      <w:r w:rsidR="00F24264">
        <w:rPr>
          <w:noProof/>
        </w:rPr>
        <w:t>S</w:t>
      </w:r>
      <w:r w:rsidR="00B250CC">
        <w:rPr>
          <w:noProof/>
        </w:rPr>
        <w:t xml:space="preserve">outh </w:t>
      </w:r>
      <w:r w:rsidR="00F24264">
        <w:rPr>
          <w:noProof/>
        </w:rPr>
        <w:t>E</w:t>
      </w:r>
      <w:r w:rsidR="00B250CC">
        <w:rPr>
          <w:noProof/>
        </w:rPr>
        <w:t xml:space="preserve">ast </w:t>
      </w:r>
      <w:r w:rsidR="00F24264">
        <w:rPr>
          <w:noProof/>
        </w:rPr>
        <w:t>A</w:t>
      </w:r>
      <w:r w:rsidR="00B250CC">
        <w:rPr>
          <w:noProof/>
        </w:rPr>
        <w:t xml:space="preserve">sia ( </w:t>
      </w:r>
      <w:r w:rsidR="00F24264">
        <w:rPr>
          <w:noProof/>
        </w:rPr>
        <w:t>SEA</w:t>
      </w:r>
      <w:r w:rsidR="00B250CC">
        <w:rPr>
          <w:noProof/>
        </w:rPr>
        <w:t xml:space="preserve">) </w:t>
      </w:r>
      <w:r w:rsidR="00F24264">
        <w:rPr>
          <w:noProof/>
        </w:rPr>
        <w:t xml:space="preserve"> cell and module with polysilicon and ingot wafer from CN</w:t>
      </w:r>
      <w:r w:rsidR="006A3E33">
        <w:rPr>
          <w:noProof/>
        </w:rPr>
        <w:t>.</w:t>
      </w:r>
    </w:p>
    <w:p w14:paraId="3A44F07B" w14:textId="105A63A3" w:rsidR="00386383" w:rsidRPr="00FF63D1" w:rsidRDefault="503E710B" w:rsidP="00AB73D5">
      <w:pPr>
        <w:pStyle w:val="ListParagraph"/>
        <w:numPr>
          <w:ilvl w:val="0"/>
          <w:numId w:val="42"/>
        </w:numPr>
        <w:rPr>
          <w:noProof/>
        </w:rPr>
      </w:pPr>
      <w:r w:rsidRPr="00FF63D1">
        <w:rPr>
          <w:noProof/>
        </w:rPr>
        <w:t>The EU solar</w:t>
      </w:r>
      <w:r w:rsidR="19662DF3" w:rsidRPr="00FF63D1">
        <w:rPr>
          <w:noProof/>
        </w:rPr>
        <w:t xml:space="preserve"> market </w:t>
      </w:r>
      <w:r w:rsidRPr="00FF63D1">
        <w:rPr>
          <w:noProof/>
        </w:rPr>
        <w:t xml:space="preserve">is assumed </w:t>
      </w:r>
      <w:r w:rsidR="7EC3BD29" w:rsidRPr="00FF63D1">
        <w:rPr>
          <w:noProof/>
        </w:rPr>
        <w:t>to be split</w:t>
      </w:r>
      <w:r w:rsidR="05A16B27" w:rsidRPr="00FF63D1">
        <w:rPr>
          <w:noProof/>
        </w:rPr>
        <w:t xml:space="preserve"> as follows</w:t>
      </w:r>
      <w:r w:rsidR="19662DF3" w:rsidRPr="00FF63D1">
        <w:rPr>
          <w:noProof/>
        </w:rPr>
        <w:t xml:space="preserve">: </w:t>
      </w:r>
    </w:p>
    <w:p w14:paraId="01CA68B8" w14:textId="24C253D6" w:rsidR="00386383" w:rsidRPr="00FF63D1" w:rsidRDefault="002678E5" w:rsidP="00386383">
      <w:pPr>
        <w:pStyle w:val="ListParagraph"/>
        <w:numPr>
          <w:ilvl w:val="1"/>
          <w:numId w:val="85"/>
        </w:numPr>
        <w:spacing w:after="160" w:line="259" w:lineRule="auto"/>
        <w:jc w:val="left"/>
        <w:rPr>
          <w:noProof/>
        </w:rPr>
      </w:pPr>
      <w:r w:rsidRPr="00F261DB">
        <w:rPr>
          <w:noProof/>
        </w:rPr>
        <w:t>P</w:t>
      </w:r>
      <w:r w:rsidR="00386383" w:rsidRPr="00FF63D1">
        <w:rPr>
          <w:noProof/>
        </w:rPr>
        <w:t>ublic procurement is assumed to account for 3% of the PV capacity deployed</w:t>
      </w:r>
      <w:r w:rsidR="009D158C">
        <w:rPr>
          <w:noProof/>
        </w:rPr>
        <w:t>.</w:t>
      </w:r>
    </w:p>
    <w:p w14:paraId="4D1FF9A4" w14:textId="53BAA4E2" w:rsidR="00386383" w:rsidRPr="00FF63D1" w:rsidRDefault="002678E5" w:rsidP="00386383">
      <w:pPr>
        <w:pStyle w:val="ListParagraph"/>
        <w:numPr>
          <w:ilvl w:val="1"/>
          <w:numId w:val="85"/>
        </w:numPr>
        <w:spacing w:after="160" w:line="259" w:lineRule="auto"/>
        <w:jc w:val="left"/>
        <w:rPr>
          <w:noProof/>
        </w:rPr>
      </w:pPr>
      <w:r w:rsidRPr="00F261DB">
        <w:rPr>
          <w:noProof/>
        </w:rPr>
        <w:t>R</w:t>
      </w:r>
      <w:r w:rsidR="00386383" w:rsidRPr="00FF63D1">
        <w:rPr>
          <w:noProof/>
        </w:rPr>
        <w:t>enewable energy auctions are assumed to account for 19% of the PV capacity deployed</w:t>
      </w:r>
      <w:r w:rsidR="009D158C">
        <w:rPr>
          <w:noProof/>
        </w:rPr>
        <w:t>.</w:t>
      </w:r>
      <w:r w:rsidR="00386383" w:rsidRPr="00FF63D1">
        <w:rPr>
          <w:noProof/>
        </w:rPr>
        <w:t xml:space="preserve"> </w:t>
      </w:r>
    </w:p>
    <w:p w14:paraId="5EB8D528" w14:textId="3A545190" w:rsidR="00386383" w:rsidRPr="00FF63D1" w:rsidRDefault="002678E5" w:rsidP="00386383">
      <w:pPr>
        <w:pStyle w:val="ListParagraph"/>
        <w:numPr>
          <w:ilvl w:val="1"/>
          <w:numId w:val="85"/>
        </w:numPr>
        <w:spacing w:after="160" w:line="259" w:lineRule="auto"/>
        <w:jc w:val="left"/>
        <w:rPr>
          <w:noProof/>
        </w:rPr>
      </w:pPr>
      <w:r w:rsidRPr="00F261DB">
        <w:rPr>
          <w:noProof/>
        </w:rPr>
        <w:t>P</w:t>
      </w:r>
      <w:r w:rsidR="00386383" w:rsidRPr="00FF63D1">
        <w:rPr>
          <w:noProof/>
        </w:rPr>
        <w:t>ublic support schemes are assumed to account for 12% of the PV capacity deployed</w:t>
      </w:r>
      <w:r w:rsidR="009D158C">
        <w:rPr>
          <w:noProof/>
        </w:rPr>
        <w:t>.</w:t>
      </w:r>
    </w:p>
    <w:p w14:paraId="515F8C18" w14:textId="5B41C9CA" w:rsidR="00776310" w:rsidRPr="00F261DB" w:rsidRDefault="00B73E6F" w:rsidP="00257D37">
      <w:pPr>
        <w:pStyle w:val="JRCText"/>
        <w:spacing w:after="0" w:line="240" w:lineRule="auto"/>
        <w:jc w:val="both"/>
        <w:rPr>
          <w:rFonts w:eastAsia="Times New Roman" w:cs="Times New Roman"/>
          <w:noProof/>
          <w:color w:val="000000" w:themeColor="text1"/>
          <w:szCs w:val="24"/>
        </w:rPr>
      </w:pPr>
      <w:r w:rsidRPr="00F261DB">
        <w:rPr>
          <w:rFonts w:ascii="Times New Roman" w:hAnsi="Times New Roman" w:cs="Times New Roman"/>
          <w:noProof/>
          <w:sz w:val="24"/>
          <w:szCs w:val="24"/>
        </w:rPr>
        <w:t>Two</w:t>
      </w:r>
      <w:r w:rsidR="00776310" w:rsidRPr="00F261DB">
        <w:rPr>
          <w:rFonts w:ascii="Times New Roman" w:hAnsi="Times New Roman" w:cs="Times New Roman"/>
          <w:noProof/>
          <w:sz w:val="24"/>
          <w:szCs w:val="24"/>
        </w:rPr>
        <w:t xml:space="preserve"> different</w:t>
      </w:r>
      <w:r w:rsidR="000C481C" w:rsidRPr="00F261DB">
        <w:rPr>
          <w:rFonts w:ascii="Times New Roman" w:hAnsi="Times New Roman" w:cs="Times New Roman"/>
          <w:noProof/>
          <w:sz w:val="24"/>
          <w:szCs w:val="24"/>
        </w:rPr>
        <w:t xml:space="preserve"> </w:t>
      </w:r>
      <w:r w:rsidR="00776310" w:rsidRPr="00F261DB">
        <w:rPr>
          <w:rFonts w:ascii="Times New Roman" w:hAnsi="Times New Roman" w:cs="Times New Roman"/>
          <w:noProof/>
          <w:sz w:val="24"/>
          <w:szCs w:val="24"/>
        </w:rPr>
        <w:t xml:space="preserve">price scenarios </w:t>
      </w:r>
      <w:r w:rsidR="00BB1A00" w:rsidRPr="00F261DB">
        <w:rPr>
          <w:rFonts w:ascii="Times New Roman" w:hAnsi="Times New Roman" w:cs="Times New Roman"/>
          <w:noProof/>
          <w:sz w:val="24"/>
          <w:szCs w:val="24"/>
        </w:rPr>
        <w:t>compare the cheapest al</w:t>
      </w:r>
      <w:r w:rsidR="00DC73F8" w:rsidRPr="00F261DB">
        <w:rPr>
          <w:rFonts w:ascii="Times New Roman" w:hAnsi="Times New Roman" w:cs="Times New Roman"/>
          <w:noProof/>
          <w:sz w:val="24"/>
          <w:szCs w:val="24"/>
        </w:rPr>
        <w:t>ternative</w:t>
      </w:r>
      <w:r w:rsidR="000C481C" w:rsidRPr="00F261DB">
        <w:rPr>
          <w:rFonts w:ascii="Times New Roman" w:hAnsi="Times New Roman" w:cs="Times New Roman"/>
          <w:noProof/>
          <w:sz w:val="24"/>
          <w:szCs w:val="24"/>
        </w:rPr>
        <w:t xml:space="preserve"> for PV</w:t>
      </w:r>
      <w:r w:rsidR="00DC73F8" w:rsidRPr="00F261DB">
        <w:rPr>
          <w:rFonts w:ascii="Times New Roman" w:hAnsi="Times New Roman" w:cs="Times New Roman"/>
          <w:noProof/>
          <w:sz w:val="24"/>
          <w:szCs w:val="24"/>
        </w:rPr>
        <w:t xml:space="preserve"> (e.g.</w:t>
      </w:r>
      <w:r w:rsidR="00776310" w:rsidRPr="00F261DB">
        <w:rPr>
          <w:rFonts w:ascii="Times New Roman" w:hAnsi="Times New Roman" w:cs="Times New Roman"/>
          <w:noProof/>
          <w:sz w:val="24"/>
          <w:szCs w:val="24"/>
        </w:rPr>
        <w:t xml:space="preserve"> Chinese imports</w:t>
      </w:r>
      <w:r w:rsidR="00DC73F8" w:rsidRPr="00F261DB">
        <w:rPr>
          <w:rFonts w:ascii="Times New Roman" w:hAnsi="Times New Roman" w:cs="Times New Roman"/>
          <w:noProof/>
          <w:sz w:val="24"/>
          <w:szCs w:val="24"/>
        </w:rPr>
        <w:t xml:space="preserve">) to a </w:t>
      </w:r>
      <w:r w:rsidR="00776310" w:rsidRPr="00F261DB">
        <w:rPr>
          <w:rFonts w:ascii="Times New Roman" w:hAnsi="Times New Roman" w:cs="Times New Roman"/>
          <w:noProof/>
          <w:sz w:val="24"/>
          <w:szCs w:val="24"/>
        </w:rPr>
        <w:t>European NZIA</w:t>
      </w:r>
      <w:r w:rsidR="00DC73F8" w:rsidRPr="00F261DB">
        <w:rPr>
          <w:rFonts w:ascii="Times New Roman" w:hAnsi="Times New Roman" w:cs="Times New Roman"/>
          <w:noProof/>
          <w:sz w:val="24"/>
          <w:szCs w:val="24"/>
        </w:rPr>
        <w:t>-</w:t>
      </w:r>
      <w:r w:rsidR="00776310" w:rsidRPr="00F261DB">
        <w:rPr>
          <w:rFonts w:ascii="Times New Roman" w:hAnsi="Times New Roman" w:cs="Times New Roman"/>
          <w:noProof/>
          <w:sz w:val="24"/>
          <w:szCs w:val="24"/>
        </w:rPr>
        <w:t xml:space="preserve">compliant </w:t>
      </w:r>
      <w:r w:rsidR="00E4241E" w:rsidRPr="00FF63D1">
        <w:rPr>
          <w:rFonts w:ascii="Times New Roman" w:hAnsi="Times New Roman" w:cs="Times New Roman"/>
          <w:noProof/>
          <w:sz w:val="24"/>
          <w:szCs w:val="24"/>
        </w:rPr>
        <w:t xml:space="preserve">PV </w:t>
      </w:r>
      <w:r w:rsidR="00776310" w:rsidRPr="00F261DB">
        <w:rPr>
          <w:rFonts w:ascii="Times New Roman" w:hAnsi="Times New Roman" w:cs="Times New Roman"/>
          <w:noProof/>
          <w:sz w:val="24"/>
          <w:szCs w:val="24"/>
        </w:rPr>
        <w:t xml:space="preserve">with polysilicon and wafers / ingots from China. </w:t>
      </w:r>
    </w:p>
    <w:p w14:paraId="598E560D" w14:textId="240BA0A8" w:rsidR="00776310" w:rsidRPr="00AB73D5" w:rsidRDefault="00776310" w:rsidP="00AB73D5">
      <w:pPr>
        <w:pStyle w:val="ListParagraph"/>
        <w:numPr>
          <w:ilvl w:val="0"/>
          <w:numId w:val="42"/>
        </w:numPr>
        <w:rPr>
          <w:rFonts w:eastAsia="Times New Roman" w:cs="Times New Roman"/>
          <w:noProof/>
          <w:color w:val="000000" w:themeColor="text1"/>
          <w:szCs w:val="24"/>
        </w:rPr>
      </w:pPr>
      <w:r w:rsidRPr="00F261DB">
        <w:rPr>
          <w:noProof/>
          <w:szCs w:val="24"/>
        </w:rPr>
        <w:t>65</w:t>
      </w:r>
      <w:r w:rsidR="005320BF">
        <w:rPr>
          <w:noProof/>
          <w:szCs w:val="24"/>
        </w:rPr>
        <w:t xml:space="preserve"> </w:t>
      </w:r>
      <w:r w:rsidRPr="00F261DB">
        <w:rPr>
          <w:noProof/>
          <w:szCs w:val="24"/>
        </w:rPr>
        <w:t xml:space="preserve">GW </w:t>
      </w:r>
      <w:r w:rsidRPr="00AB73D5">
        <w:rPr>
          <w:rFonts w:eastAsia="Times New Roman" w:cs="Times New Roman"/>
          <w:noProof/>
          <w:color w:val="000000" w:themeColor="text1"/>
          <w:szCs w:val="24"/>
        </w:rPr>
        <w:t xml:space="preserve">of Chinese modules: </w:t>
      </w:r>
      <w:r w:rsidR="00C841CC">
        <w:rPr>
          <w:rFonts w:eastAsia="Times New Roman" w:cs="Times New Roman"/>
          <w:noProof/>
          <w:color w:val="000000" w:themeColor="text1"/>
          <w:szCs w:val="24"/>
        </w:rPr>
        <w:t xml:space="preserve">EUR </w:t>
      </w:r>
      <w:r w:rsidRPr="00AB73D5">
        <w:rPr>
          <w:rFonts w:eastAsia="Times New Roman" w:cs="Times New Roman"/>
          <w:noProof/>
          <w:color w:val="000000" w:themeColor="text1"/>
          <w:szCs w:val="24"/>
        </w:rPr>
        <w:t xml:space="preserve">10.335 billion </w:t>
      </w:r>
    </w:p>
    <w:p w14:paraId="31C22B38" w14:textId="0DF53DA9" w:rsidR="00776310" w:rsidRPr="00F261DB" w:rsidRDefault="00776310" w:rsidP="00AB73D5">
      <w:pPr>
        <w:pStyle w:val="ListParagraph"/>
        <w:numPr>
          <w:ilvl w:val="0"/>
          <w:numId w:val="42"/>
        </w:numPr>
        <w:rPr>
          <w:noProof/>
          <w:szCs w:val="24"/>
        </w:rPr>
      </w:pPr>
      <w:r w:rsidRPr="00AB73D5">
        <w:rPr>
          <w:rFonts w:eastAsia="Times New Roman" w:cs="Times New Roman"/>
          <w:noProof/>
          <w:color w:val="000000" w:themeColor="text1"/>
          <w:szCs w:val="24"/>
        </w:rPr>
        <w:t>65 GW of</w:t>
      </w:r>
      <w:r w:rsidRPr="00F261DB">
        <w:rPr>
          <w:noProof/>
          <w:szCs w:val="24"/>
        </w:rPr>
        <w:t xml:space="preserve"> European </w:t>
      </w:r>
      <w:r w:rsidR="00B57506" w:rsidRPr="00FF63D1">
        <w:rPr>
          <w:noProof/>
          <w:szCs w:val="24"/>
        </w:rPr>
        <w:t>products with</w:t>
      </w:r>
      <w:r w:rsidRPr="00F261DB">
        <w:rPr>
          <w:noProof/>
          <w:szCs w:val="24"/>
        </w:rPr>
        <w:t xml:space="preserve"> poly-wafer come from </w:t>
      </w:r>
      <w:r w:rsidR="001714A6">
        <w:rPr>
          <w:noProof/>
          <w:szCs w:val="24"/>
        </w:rPr>
        <w:t>China</w:t>
      </w:r>
      <w:r w:rsidRPr="00F261DB">
        <w:rPr>
          <w:noProof/>
          <w:szCs w:val="24"/>
        </w:rPr>
        <w:t xml:space="preserve">: </w:t>
      </w:r>
      <w:r w:rsidR="00C841CC">
        <w:rPr>
          <w:noProof/>
          <w:szCs w:val="24"/>
        </w:rPr>
        <w:t xml:space="preserve">EUR </w:t>
      </w:r>
      <w:r w:rsidRPr="00F261DB">
        <w:rPr>
          <w:noProof/>
          <w:szCs w:val="24"/>
        </w:rPr>
        <w:t xml:space="preserve">12.35 billion </w:t>
      </w:r>
    </w:p>
    <w:p w14:paraId="5B371CD2" w14:textId="5D8F9209" w:rsidR="00092EA0" w:rsidRPr="00E71388" w:rsidRDefault="00AB73D5" w:rsidP="00245269">
      <w:pPr>
        <w:spacing w:after="160" w:line="259" w:lineRule="auto"/>
        <w:contextualSpacing/>
        <w:jc w:val="left"/>
        <w:rPr>
          <w:noProof/>
        </w:rPr>
      </w:pPr>
      <w:r>
        <w:rPr>
          <w:noProof/>
        </w:rPr>
        <w:br/>
      </w:r>
      <w:r w:rsidR="3F139EA3" w:rsidRPr="00E71388">
        <w:rPr>
          <w:noProof/>
        </w:rPr>
        <w:t>The</w:t>
      </w:r>
      <w:r w:rsidR="77DA91BB" w:rsidRPr="00E71388">
        <w:rPr>
          <w:noProof/>
        </w:rPr>
        <w:t xml:space="preserve"> delta </w:t>
      </w:r>
      <w:r w:rsidR="3F139EA3" w:rsidRPr="00E71388">
        <w:rPr>
          <w:noProof/>
        </w:rPr>
        <w:t>between them is</w:t>
      </w:r>
      <w:r w:rsidR="77DA91BB" w:rsidRPr="00E71388">
        <w:rPr>
          <w:noProof/>
        </w:rPr>
        <w:t xml:space="preserve"> </w:t>
      </w:r>
      <w:r w:rsidR="00C841CC">
        <w:rPr>
          <w:noProof/>
        </w:rPr>
        <w:t xml:space="preserve">EUR </w:t>
      </w:r>
      <w:r w:rsidR="77DA91BB" w:rsidRPr="00E71388">
        <w:rPr>
          <w:noProof/>
        </w:rPr>
        <w:t>2.015</w:t>
      </w:r>
      <w:r w:rsidR="77DA91BB" w:rsidRPr="00E71388">
        <w:rPr>
          <w:rFonts w:cs="Times New Roman"/>
          <w:noProof/>
        </w:rPr>
        <w:t> </w:t>
      </w:r>
      <w:r w:rsidR="77DA91BB" w:rsidRPr="00E71388">
        <w:rPr>
          <w:noProof/>
        </w:rPr>
        <w:t>billion</w:t>
      </w:r>
      <w:r w:rsidR="660006AD" w:rsidRPr="00E71388">
        <w:rPr>
          <w:noProof/>
        </w:rPr>
        <w:t xml:space="preserve"> </w:t>
      </w:r>
      <w:r w:rsidR="660006AD" w:rsidRPr="00E71388">
        <w:rPr>
          <w:rFonts w:cs="Aptos"/>
          <w:noProof/>
        </w:rPr>
        <w:t>for 65</w:t>
      </w:r>
      <w:r w:rsidR="005320BF">
        <w:rPr>
          <w:rFonts w:cs="Aptos"/>
          <w:noProof/>
        </w:rPr>
        <w:t xml:space="preserve"> </w:t>
      </w:r>
      <w:r w:rsidR="660006AD" w:rsidRPr="00E71388">
        <w:rPr>
          <w:rFonts w:cs="Aptos"/>
          <w:noProof/>
        </w:rPr>
        <w:t>GW of solar PV, which is broken down per market segment</w:t>
      </w:r>
      <w:r w:rsidR="00E763DA" w:rsidRPr="00E71388">
        <w:rPr>
          <w:rFonts w:cs="Aptos"/>
          <w:noProof/>
        </w:rPr>
        <w:t xml:space="preserve"> as follows</w:t>
      </w:r>
      <w:r w:rsidR="660006AD" w:rsidRPr="00E71388">
        <w:rPr>
          <w:rFonts w:cs="Aptos"/>
          <w:noProof/>
        </w:rPr>
        <w:t>:</w:t>
      </w:r>
    </w:p>
    <w:p w14:paraId="6C598133" w14:textId="19000AC7" w:rsidR="00092EA0" w:rsidRPr="00FF63D1" w:rsidRDefault="00092EA0" w:rsidP="00AB73D5">
      <w:pPr>
        <w:pStyle w:val="ListParagraph"/>
        <w:numPr>
          <w:ilvl w:val="0"/>
          <w:numId w:val="42"/>
        </w:numPr>
        <w:rPr>
          <w:noProof/>
        </w:rPr>
      </w:pPr>
      <w:r w:rsidRPr="00FF63D1">
        <w:rPr>
          <w:noProof/>
        </w:rPr>
        <w:t>P</w:t>
      </w:r>
      <w:r w:rsidR="002C6893" w:rsidRPr="00FF63D1">
        <w:rPr>
          <w:noProof/>
        </w:rPr>
        <w:t xml:space="preserve">ublic </w:t>
      </w:r>
      <w:r w:rsidRPr="00FF63D1">
        <w:rPr>
          <w:noProof/>
        </w:rPr>
        <w:t>p</w:t>
      </w:r>
      <w:r w:rsidR="002C6893" w:rsidRPr="00FF63D1">
        <w:rPr>
          <w:noProof/>
        </w:rPr>
        <w:t>rocurement</w:t>
      </w:r>
      <w:r w:rsidRPr="00FF63D1">
        <w:rPr>
          <w:noProof/>
        </w:rPr>
        <w:t xml:space="preserve">: 0.03 × 2.015 = </w:t>
      </w:r>
      <w:r w:rsidR="00C841CC">
        <w:rPr>
          <w:noProof/>
        </w:rPr>
        <w:t xml:space="preserve">EUR </w:t>
      </w:r>
      <w:r w:rsidRPr="00FF63D1">
        <w:rPr>
          <w:noProof/>
        </w:rPr>
        <w:t>0.06045 billion</w:t>
      </w:r>
    </w:p>
    <w:p w14:paraId="40BE645C" w14:textId="1CB34A58" w:rsidR="00092EA0" w:rsidRPr="00FF63D1" w:rsidRDefault="00092EA0" w:rsidP="00AB73D5">
      <w:pPr>
        <w:pStyle w:val="ListParagraph"/>
        <w:numPr>
          <w:ilvl w:val="0"/>
          <w:numId w:val="42"/>
        </w:numPr>
        <w:rPr>
          <w:noProof/>
        </w:rPr>
      </w:pPr>
      <w:r w:rsidRPr="00FF63D1">
        <w:rPr>
          <w:noProof/>
        </w:rPr>
        <w:t xml:space="preserve">Auctions: 0.19 × 2.015 = </w:t>
      </w:r>
      <w:r w:rsidR="00C841CC" w:rsidRPr="00C841CC">
        <w:rPr>
          <w:noProof/>
        </w:rPr>
        <w:t xml:space="preserve">EUR </w:t>
      </w:r>
      <w:r w:rsidRPr="00FF63D1">
        <w:rPr>
          <w:noProof/>
        </w:rPr>
        <w:t>0.38285 billion</w:t>
      </w:r>
    </w:p>
    <w:p w14:paraId="631CE760" w14:textId="1F7C1B91" w:rsidR="00092EA0" w:rsidRPr="00FF63D1" w:rsidRDefault="00092EA0" w:rsidP="00AB73D5">
      <w:pPr>
        <w:pStyle w:val="ListParagraph"/>
        <w:numPr>
          <w:ilvl w:val="0"/>
          <w:numId w:val="42"/>
        </w:numPr>
        <w:rPr>
          <w:noProof/>
        </w:rPr>
      </w:pPr>
      <w:r w:rsidRPr="00FF63D1">
        <w:rPr>
          <w:noProof/>
        </w:rPr>
        <w:t xml:space="preserve">Schemes: 0.12 × 2.015 = </w:t>
      </w:r>
      <w:r w:rsidR="00C841CC" w:rsidRPr="00C841CC">
        <w:rPr>
          <w:noProof/>
        </w:rPr>
        <w:t xml:space="preserve">EUR </w:t>
      </w:r>
      <w:r w:rsidRPr="00FF63D1">
        <w:rPr>
          <w:noProof/>
        </w:rPr>
        <w:t>0.2418 billion</w:t>
      </w:r>
    </w:p>
    <w:p w14:paraId="66E5326D" w14:textId="47CFF229" w:rsidR="00092EA0" w:rsidRPr="00FF63D1" w:rsidRDefault="00092EA0" w:rsidP="00AB73D5">
      <w:pPr>
        <w:pStyle w:val="ListParagraph"/>
        <w:numPr>
          <w:ilvl w:val="0"/>
          <w:numId w:val="42"/>
        </w:numPr>
        <w:rPr>
          <w:noProof/>
        </w:rPr>
      </w:pPr>
      <w:r w:rsidRPr="00FF63D1">
        <w:rPr>
          <w:noProof/>
        </w:rPr>
        <w:t xml:space="preserve">Private procurement: 0.66 × 2.015 = </w:t>
      </w:r>
      <w:r w:rsidR="00C841CC" w:rsidRPr="00C841CC">
        <w:rPr>
          <w:noProof/>
        </w:rPr>
        <w:t xml:space="preserve">EUR </w:t>
      </w:r>
      <w:r w:rsidRPr="00FF63D1">
        <w:rPr>
          <w:noProof/>
        </w:rPr>
        <w:t>1.3299 billion</w:t>
      </w:r>
    </w:p>
    <w:p w14:paraId="14D766D8" w14:textId="77777777" w:rsidR="00AB73D5" w:rsidRPr="00AB73D5" w:rsidRDefault="00AB73D5" w:rsidP="00AB73D5">
      <w:pPr>
        <w:pStyle w:val="ListParagraph"/>
        <w:rPr>
          <w:noProof/>
          <w:szCs w:val="24"/>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1636"/>
        <w:gridCol w:w="2268"/>
        <w:gridCol w:w="3101"/>
      </w:tblGrid>
      <w:tr w:rsidR="009E2D64" w:rsidRPr="00F80C7E" w14:paraId="44F02AD0" w14:textId="77777777" w:rsidTr="009E2D64">
        <w:trPr>
          <w:trHeight w:val="300"/>
        </w:trPr>
        <w:tc>
          <w:tcPr>
            <w:tcW w:w="2325" w:type="dxa"/>
            <w:tcBorders>
              <w:top w:val="single" w:sz="6" w:space="0" w:color="auto"/>
              <w:left w:val="single" w:sz="6" w:space="0" w:color="auto"/>
              <w:bottom w:val="single" w:sz="6" w:space="0" w:color="auto"/>
              <w:right w:val="single" w:sz="6" w:space="0" w:color="auto"/>
            </w:tcBorders>
            <w:hideMark/>
          </w:tcPr>
          <w:p w14:paraId="14DBEBEF" w14:textId="2D597A9E" w:rsidR="009E2D64" w:rsidRPr="00E71388" w:rsidRDefault="004451D7" w:rsidP="009E2D64">
            <w:pPr>
              <w:jc w:val="left"/>
              <w:textAlignment w:val="baseline"/>
              <w:rPr>
                <w:rFonts w:cs="Times New Roman"/>
                <w:i/>
                <w:noProof/>
                <w:szCs w:val="24"/>
              </w:rPr>
            </w:pPr>
            <w:r w:rsidRPr="00E71388">
              <w:rPr>
                <w:rFonts w:cs="Times New Roman"/>
                <w:b/>
                <w:i/>
                <w:noProof/>
                <w:szCs w:val="24"/>
              </w:rPr>
              <w:t>LEAD_SOL</w:t>
            </w:r>
            <w:r w:rsidRPr="00E71388">
              <w:rPr>
                <w:rFonts w:cs="Times New Roman"/>
                <w:i/>
                <w:noProof/>
                <w:szCs w:val="24"/>
              </w:rPr>
              <w:t> </w:t>
            </w:r>
          </w:p>
        </w:tc>
        <w:tc>
          <w:tcPr>
            <w:tcW w:w="7005" w:type="dxa"/>
            <w:gridSpan w:val="3"/>
            <w:tcBorders>
              <w:top w:val="single" w:sz="6" w:space="0" w:color="auto"/>
              <w:left w:val="single" w:sz="6" w:space="0" w:color="auto"/>
              <w:bottom w:val="single" w:sz="6" w:space="0" w:color="auto"/>
              <w:right w:val="single" w:sz="6" w:space="0" w:color="auto"/>
            </w:tcBorders>
            <w:hideMark/>
          </w:tcPr>
          <w:p w14:paraId="53F6FA61" w14:textId="77777777" w:rsidR="009E2D64" w:rsidRPr="00E71388" w:rsidRDefault="009E2D64" w:rsidP="009E2D64">
            <w:pPr>
              <w:jc w:val="left"/>
              <w:textAlignment w:val="baseline"/>
              <w:rPr>
                <w:rFonts w:cs="Times New Roman"/>
                <w:noProof/>
                <w:szCs w:val="24"/>
              </w:rPr>
            </w:pPr>
            <w:r w:rsidRPr="00E71388">
              <w:rPr>
                <w:rFonts w:cs="Times New Roman"/>
                <w:b/>
                <w:noProof/>
                <w:szCs w:val="24"/>
              </w:rPr>
              <w:t>Difference to the baseline</w:t>
            </w:r>
            <w:r w:rsidRPr="00E71388">
              <w:rPr>
                <w:rFonts w:cs="Times New Roman"/>
                <w:noProof/>
                <w:szCs w:val="24"/>
              </w:rPr>
              <w:t> </w:t>
            </w:r>
          </w:p>
        </w:tc>
      </w:tr>
      <w:tr w:rsidR="009E2D64" w:rsidRPr="00F80C7E" w14:paraId="7F95FA56" w14:textId="77777777" w:rsidTr="000F7D0A">
        <w:trPr>
          <w:trHeight w:val="300"/>
        </w:trPr>
        <w:tc>
          <w:tcPr>
            <w:tcW w:w="2325" w:type="dxa"/>
            <w:tcBorders>
              <w:top w:val="single" w:sz="6" w:space="0" w:color="auto"/>
              <w:left w:val="single" w:sz="6" w:space="0" w:color="auto"/>
              <w:bottom w:val="single" w:sz="6" w:space="0" w:color="auto"/>
              <w:right w:val="single" w:sz="6" w:space="0" w:color="auto"/>
            </w:tcBorders>
            <w:hideMark/>
          </w:tcPr>
          <w:p w14:paraId="4CA743A8" w14:textId="77777777" w:rsidR="009E2D64" w:rsidRPr="00E71388" w:rsidRDefault="009E2D64" w:rsidP="009E2D64">
            <w:pPr>
              <w:jc w:val="left"/>
              <w:textAlignment w:val="baseline"/>
              <w:rPr>
                <w:rFonts w:cs="Times New Roman"/>
                <w:noProof/>
                <w:szCs w:val="24"/>
              </w:rPr>
            </w:pPr>
            <w:r w:rsidRPr="00E71388">
              <w:rPr>
                <w:rFonts w:cs="Times New Roman"/>
                <w:noProof/>
                <w:szCs w:val="24"/>
              </w:rPr>
              <w:t> </w:t>
            </w:r>
          </w:p>
        </w:tc>
        <w:tc>
          <w:tcPr>
            <w:tcW w:w="1636" w:type="dxa"/>
            <w:tcBorders>
              <w:top w:val="single" w:sz="6" w:space="0" w:color="auto"/>
              <w:left w:val="single" w:sz="6" w:space="0" w:color="auto"/>
              <w:bottom w:val="single" w:sz="6" w:space="0" w:color="auto"/>
              <w:right w:val="single" w:sz="6" w:space="0" w:color="auto"/>
            </w:tcBorders>
            <w:hideMark/>
          </w:tcPr>
          <w:p w14:paraId="47DB528E" w14:textId="77777777" w:rsidR="009E2D64" w:rsidRPr="00E71388" w:rsidRDefault="009E2D64" w:rsidP="009E2D64">
            <w:pPr>
              <w:jc w:val="left"/>
              <w:textAlignment w:val="baseline"/>
              <w:rPr>
                <w:rFonts w:cs="Times New Roman"/>
                <w:noProof/>
                <w:szCs w:val="24"/>
              </w:rPr>
            </w:pPr>
            <w:r w:rsidRPr="00E71388">
              <w:rPr>
                <w:rFonts w:cs="Times New Roman"/>
                <w:noProof/>
                <w:szCs w:val="24"/>
              </w:rPr>
              <w:t>PO1 </w:t>
            </w:r>
          </w:p>
        </w:tc>
        <w:tc>
          <w:tcPr>
            <w:tcW w:w="2268" w:type="dxa"/>
            <w:tcBorders>
              <w:top w:val="single" w:sz="6" w:space="0" w:color="auto"/>
              <w:left w:val="single" w:sz="6" w:space="0" w:color="auto"/>
              <w:bottom w:val="single" w:sz="6" w:space="0" w:color="auto"/>
              <w:right w:val="single" w:sz="6" w:space="0" w:color="auto"/>
            </w:tcBorders>
            <w:hideMark/>
          </w:tcPr>
          <w:p w14:paraId="43FAF936" w14:textId="77777777" w:rsidR="009E2D64" w:rsidRPr="00E71388" w:rsidRDefault="009E2D64" w:rsidP="009E2D64">
            <w:pPr>
              <w:jc w:val="left"/>
              <w:textAlignment w:val="baseline"/>
              <w:rPr>
                <w:rFonts w:cs="Times New Roman"/>
                <w:noProof/>
                <w:szCs w:val="24"/>
              </w:rPr>
            </w:pPr>
            <w:r w:rsidRPr="00E71388">
              <w:rPr>
                <w:rFonts w:cs="Times New Roman"/>
                <w:noProof/>
                <w:szCs w:val="24"/>
              </w:rPr>
              <w:t>PO2 </w:t>
            </w:r>
          </w:p>
        </w:tc>
        <w:tc>
          <w:tcPr>
            <w:tcW w:w="3101" w:type="dxa"/>
            <w:tcBorders>
              <w:top w:val="single" w:sz="6" w:space="0" w:color="auto"/>
              <w:left w:val="single" w:sz="6" w:space="0" w:color="auto"/>
              <w:bottom w:val="single" w:sz="6" w:space="0" w:color="auto"/>
              <w:right w:val="single" w:sz="6" w:space="0" w:color="auto"/>
            </w:tcBorders>
            <w:hideMark/>
          </w:tcPr>
          <w:p w14:paraId="0E376E7A" w14:textId="77777777" w:rsidR="009E2D64" w:rsidRPr="00E71388" w:rsidRDefault="009E2D64" w:rsidP="009E2D64">
            <w:pPr>
              <w:jc w:val="left"/>
              <w:textAlignment w:val="baseline"/>
              <w:rPr>
                <w:rFonts w:cs="Times New Roman"/>
                <w:noProof/>
                <w:szCs w:val="24"/>
              </w:rPr>
            </w:pPr>
            <w:r w:rsidRPr="00E71388">
              <w:rPr>
                <w:rFonts w:cs="Times New Roman"/>
                <w:noProof/>
                <w:szCs w:val="24"/>
              </w:rPr>
              <w:t>PO3 </w:t>
            </w:r>
          </w:p>
        </w:tc>
      </w:tr>
      <w:tr w:rsidR="00A201A1" w:rsidRPr="00F80C7E" w14:paraId="7AF06A32" w14:textId="77777777" w:rsidTr="000F7D0A">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37B1A20A" w14:textId="6DE8B695" w:rsidR="009E2D64" w:rsidRPr="00E71388" w:rsidRDefault="009E2D64" w:rsidP="009E2D64">
            <w:pPr>
              <w:jc w:val="left"/>
              <w:textAlignment w:val="baseline"/>
              <w:rPr>
                <w:rFonts w:cs="Times New Roman"/>
                <w:noProof/>
                <w:szCs w:val="24"/>
              </w:rPr>
            </w:pPr>
            <w:r w:rsidRPr="00E71388">
              <w:rPr>
                <w:rFonts w:cs="Times New Roman"/>
                <w:noProof/>
                <w:color w:val="FFFFFF"/>
                <w:szCs w:val="24"/>
              </w:rPr>
              <w:t xml:space="preserve">Member States </w:t>
            </w:r>
          </w:p>
        </w:tc>
        <w:tc>
          <w:tcPr>
            <w:tcW w:w="1636"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34A22995" w14:textId="77777777" w:rsidR="009E2D64" w:rsidRPr="00E71388" w:rsidRDefault="009E2D64" w:rsidP="009E2D64">
            <w:pPr>
              <w:jc w:val="left"/>
              <w:textAlignment w:val="baseline"/>
              <w:rPr>
                <w:rFonts w:cs="Times New Roman"/>
                <w:noProof/>
                <w:szCs w:val="24"/>
              </w:rPr>
            </w:pPr>
            <w:r w:rsidRPr="00E71388">
              <w:rPr>
                <w:rFonts w:cs="Times New Roman"/>
                <w:noProof/>
                <w:color w:val="FFFFFF"/>
                <w:szCs w:val="24"/>
              </w:rPr>
              <w:t> </w:t>
            </w:r>
          </w:p>
        </w:tc>
        <w:tc>
          <w:tcPr>
            <w:tcW w:w="2268"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4C220BB3" w14:textId="77777777" w:rsidR="009E2D64" w:rsidRPr="00E71388" w:rsidRDefault="009E2D64" w:rsidP="009E2D64">
            <w:pPr>
              <w:jc w:val="left"/>
              <w:textAlignment w:val="baseline"/>
              <w:rPr>
                <w:rFonts w:cs="Times New Roman"/>
                <w:noProof/>
                <w:szCs w:val="24"/>
              </w:rPr>
            </w:pPr>
            <w:r w:rsidRPr="00E71388">
              <w:rPr>
                <w:rFonts w:cs="Times New Roman"/>
                <w:noProof/>
                <w:color w:val="FFFFFF"/>
                <w:szCs w:val="24"/>
              </w:rPr>
              <w:t> </w:t>
            </w:r>
          </w:p>
        </w:tc>
        <w:tc>
          <w:tcPr>
            <w:tcW w:w="3101"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5127B24F" w14:textId="77777777" w:rsidR="009E2D64" w:rsidRPr="00E71388" w:rsidRDefault="009E2D64" w:rsidP="009E2D64">
            <w:pPr>
              <w:jc w:val="left"/>
              <w:textAlignment w:val="baseline"/>
              <w:rPr>
                <w:rFonts w:cs="Times New Roman"/>
                <w:noProof/>
                <w:szCs w:val="24"/>
              </w:rPr>
            </w:pPr>
            <w:r w:rsidRPr="00E71388">
              <w:rPr>
                <w:rFonts w:cs="Times New Roman"/>
                <w:noProof/>
                <w:color w:val="FFFFFF"/>
                <w:szCs w:val="24"/>
              </w:rPr>
              <w:t> </w:t>
            </w:r>
          </w:p>
        </w:tc>
      </w:tr>
      <w:tr w:rsidR="009E2D64" w:rsidRPr="00F80C7E" w14:paraId="29B81256" w14:textId="77777777" w:rsidTr="000F7D0A">
        <w:trPr>
          <w:trHeight w:val="300"/>
        </w:trPr>
        <w:tc>
          <w:tcPr>
            <w:tcW w:w="2325" w:type="dxa"/>
            <w:tcBorders>
              <w:top w:val="single" w:sz="6" w:space="0" w:color="auto"/>
              <w:left w:val="single" w:sz="6" w:space="0" w:color="auto"/>
              <w:bottom w:val="single" w:sz="6" w:space="0" w:color="auto"/>
              <w:right w:val="single" w:sz="6" w:space="0" w:color="auto"/>
            </w:tcBorders>
            <w:hideMark/>
          </w:tcPr>
          <w:p w14:paraId="7426F6C6" w14:textId="77777777" w:rsidR="009E2D64" w:rsidRPr="00E71388" w:rsidRDefault="009E2D64" w:rsidP="009E2D64">
            <w:pPr>
              <w:jc w:val="left"/>
              <w:textAlignment w:val="baseline"/>
              <w:rPr>
                <w:rFonts w:cs="Times New Roman"/>
                <w:b/>
                <w:noProof/>
                <w:szCs w:val="24"/>
              </w:rPr>
            </w:pPr>
            <w:r w:rsidRPr="00E71388">
              <w:rPr>
                <w:rFonts w:cs="Times New Roman"/>
                <w:b/>
                <w:noProof/>
                <w:szCs w:val="24"/>
              </w:rPr>
              <w:lastRenderedPageBreak/>
              <w:t>Adjustment costs (recurring) </w:t>
            </w:r>
          </w:p>
        </w:tc>
        <w:tc>
          <w:tcPr>
            <w:tcW w:w="3904" w:type="dxa"/>
            <w:gridSpan w:val="2"/>
            <w:tcBorders>
              <w:top w:val="single" w:sz="6" w:space="0" w:color="auto"/>
              <w:left w:val="single" w:sz="6" w:space="0" w:color="auto"/>
              <w:bottom w:val="single" w:sz="6" w:space="0" w:color="auto"/>
              <w:right w:val="single" w:sz="6" w:space="0" w:color="auto"/>
            </w:tcBorders>
            <w:hideMark/>
          </w:tcPr>
          <w:p w14:paraId="15D5F874" w14:textId="17161163" w:rsidR="009E2D64" w:rsidRPr="00E71388" w:rsidRDefault="009E2D64" w:rsidP="009E2D64">
            <w:pPr>
              <w:jc w:val="left"/>
              <w:textAlignment w:val="baseline"/>
              <w:rPr>
                <w:rFonts w:cs="Times New Roman"/>
                <w:noProof/>
                <w:szCs w:val="24"/>
              </w:rPr>
            </w:pPr>
            <w:r w:rsidRPr="00E71388">
              <w:rPr>
                <w:rFonts w:cs="Times New Roman"/>
                <w:noProof/>
                <w:szCs w:val="24"/>
              </w:rPr>
              <w:t xml:space="preserve">Public </w:t>
            </w:r>
            <w:r w:rsidR="006D1C12">
              <w:rPr>
                <w:rFonts w:cs="Times New Roman"/>
                <w:noProof/>
                <w:szCs w:val="24"/>
              </w:rPr>
              <w:t>p</w:t>
            </w:r>
            <w:r w:rsidRPr="00E71388">
              <w:rPr>
                <w:rFonts w:cs="Times New Roman"/>
                <w:noProof/>
                <w:szCs w:val="24"/>
              </w:rPr>
              <w:t>rocurement:</w:t>
            </w:r>
            <w:r w:rsidR="00480BEE" w:rsidRPr="00E71388">
              <w:rPr>
                <w:rFonts w:cs="Times New Roman"/>
                <w:noProof/>
                <w:szCs w:val="24"/>
              </w:rPr>
              <w:t xml:space="preserve"> </w:t>
            </w:r>
            <w:r w:rsidRPr="00E71388">
              <w:rPr>
                <w:rFonts w:cs="Times New Roman"/>
                <w:noProof/>
                <w:szCs w:val="24"/>
              </w:rPr>
              <w:t>EUR 60.45 million </w:t>
            </w:r>
          </w:p>
          <w:p w14:paraId="4CA92A9E" w14:textId="77777777" w:rsidR="009E2D64" w:rsidRPr="00E71388" w:rsidRDefault="009E2D64" w:rsidP="009E2D64">
            <w:pPr>
              <w:jc w:val="left"/>
              <w:textAlignment w:val="baseline"/>
              <w:rPr>
                <w:rFonts w:cs="Times New Roman"/>
                <w:noProof/>
                <w:szCs w:val="24"/>
              </w:rPr>
            </w:pPr>
            <w:r w:rsidRPr="00E71388">
              <w:rPr>
                <w:rFonts w:cs="Times New Roman"/>
                <w:noProof/>
                <w:szCs w:val="24"/>
              </w:rPr>
              <w:t> </w:t>
            </w:r>
          </w:p>
          <w:p w14:paraId="5138784D" w14:textId="6CD1971F" w:rsidR="009E2D64" w:rsidRPr="00E71388" w:rsidRDefault="009E2D64" w:rsidP="009E2D64">
            <w:pPr>
              <w:jc w:val="left"/>
              <w:textAlignment w:val="baseline"/>
              <w:rPr>
                <w:rFonts w:cs="Times New Roman"/>
                <w:noProof/>
                <w:szCs w:val="24"/>
              </w:rPr>
            </w:pPr>
            <w:r w:rsidRPr="00E71388">
              <w:rPr>
                <w:rFonts w:eastAsia="Times New Roman" w:cs="Times New Roman"/>
                <w:noProof/>
                <w:szCs w:val="24"/>
                <w:lang w:eastAsia="en-IE"/>
              </w:rPr>
              <w:t>Auction margins decrease by: EUR 382.85 million </w:t>
            </w:r>
          </w:p>
        </w:tc>
        <w:tc>
          <w:tcPr>
            <w:tcW w:w="3101" w:type="dxa"/>
            <w:tcBorders>
              <w:top w:val="single" w:sz="6" w:space="0" w:color="auto"/>
              <w:left w:val="single" w:sz="6" w:space="0" w:color="auto"/>
              <w:bottom w:val="single" w:sz="6" w:space="0" w:color="auto"/>
              <w:right w:val="single" w:sz="6" w:space="0" w:color="auto"/>
            </w:tcBorders>
            <w:hideMark/>
          </w:tcPr>
          <w:p w14:paraId="7E6C0792" w14:textId="5E0C3F4C" w:rsidR="009E2D64" w:rsidRPr="00E71388" w:rsidRDefault="009E2D64" w:rsidP="009E2D64">
            <w:pPr>
              <w:jc w:val="left"/>
              <w:textAlignment w:val="baseline"/>
              <w:rPr>
                <w:rFonts w:cs="Times New Roman"/>
                <w:noProof/>
                <w:szCs w:val="24"/>
              </w:rPr>
            </w:pPr>
            <w:r w:rsidRPr="00E71388">
              <w:rPr>
                <w:rFonts w:cs="Times New Roman"/>
                <w:noProof/>
                <w:szCs w:val="24"/>
              </w:rPr>
              <w:t xml:space="preserve">Public </w:t>
            </w:r>
            <w:r w:rsidR="006D1C12">
              <w:rPr>
                <w:rFonts w:cs="Times New Roman"/>
                <w:noProof/>
                <w:szCs w:val="24"/>
              </w:rPr>
              <w:t>p</w:t>
            </w:r>
            <w:r w:rsidRPr="00E71388">
              <w:rPr>
                <w:rFonts w:cs="Times New Roman"/>
                <w:noProof/>
                <w:szCs w:val="24"/>
              </w:rPr>
              <w:t>rocurement:</w:t>
            </w:r>
            <w:r w:rsidR="00480BEE" w:rsidRPr="00E71388">
              <w:rPr>
                <w:rFonts w:cs="Times New Roman"/>
                <w:noProof/>
                <w:szCs w:val="24"/>
              </w:rPr>
              <w:t xml:space="preserve"> </w:t>
            </w:r>
            <w:r w:rsidRPr="00E71388">
              <w:rPr>
                <w:rFonts w:cs="Times New Roman"/>
                <w:noProof/>
                <w:szCs w:val="24"/>
              </w:rPr>
              <w:t>EUR 60.45 million </w:t>
            </w:r>
          </w:p>
          <w:p w14:paraId="116B77EF" w14:textId="77777777" w:rsidR="009E2D64" w:rsidRPr="00E71388" w:rsidRDefault="009E2D64" w:rsidP="009E2D64">
            <w:pPr>
              <w:jc w:val="left"/>
              <w:textAlignment w:val="baseline"/>
              <w:rPr>
                <w:rFonts w:cs="Times New Roman"/>
                <w:noProof/>
                <w:szCs w:val="24"/>
              </w:rPr>
            </w:pPr>
            <w:r w:rsidRPr="00E71388">
              <w:rPr>
                <w:rFonts w:cs="Times New Roman"/>
                <w:noProof/>
                <w:szCs w:val="24"/>
              </w:rPr>
              <w:t> </w:t>
            </w:r>
          </w:p>
          <w:p w14:paraId="7D43B65D" w14:textId="673DC8CC" w:rsidR="009E2D64" w:rsidRPr="00E71388" w:rsidRDefault="009E2D64" w:rsidP="009E2D64">
            <w:pPr>
              <w:jc w:val="left"/>
              <w:textAlignment w:val="baseline"/>
              <w:rPr>
                <w:rFonts w:cs="Times New Roman"/>
                <w:noProof/>
                <w:szCs w:val="24"/>
              </w:rPr>
            </w:pPr>
            <w:r w:rsidRPr="00E71388">
              <w:rPr>
                <w:rFonts w:eastAsia="Times New Roman" w:cs="Times New Roman"/>
                <w:noProof/>
                <w:szCs w:val="24"/>
                <w:lang w:eastAsia="en-IE"/>
              </w:rPr>
              <w:t>Auction margins decrease by: EUR 382.85 million </w:t>
            </w:r>
          </w:p>
        </w:tc>
      </w:tr>
      <w:tr w:rsidR="00A201A1" w:rsidRPr="00F80C7E" w14:paraId="40D4F8E5" w14:textId="77777777" w:rsidTr="000F7D0A">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0CFB4388" w14:textId="77777777" w:rsidR="009E2D64" w:rsidRPr="00E71388" w:rsidRDefault="009E2D64" w:rsidP="009E2D64">
            <w:pPr>
              <w:jc w:val="left"/>
              <w:textAlignment w:val="baseline"/>
              <w:rPr>
                <w:rFonts w:cs="Times New Roman"/>
                <w:noProof/>
                <w:szCs w:val="24"/>
              </w:rPr>
            </w:pPr>
            <w:r w:rsidRPr="00E71388">
              <w:rPr>
                <w:rFonts w:cs="Times New Roman"/>
                <w:noProof/>
                <w:color w:val="FFFFFF"/>
                <w:szCs w:val="24"/>
              </w:rPr>
              <w:t>Citizens/Consumer </w:t>
            </w:r>
          </w:p>
        </w:tc>
        <w:tc>
          <w:tcPr>
            <w:tcW w:w="1636"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E5A7E51" w14:textId="77777777" w:rsidR="009E2D64" w:rsidRPr="00E71388" w:rsidRDefault="009E2D64" w:rsidP="009E2D64">
            <w:pPr>
              <w:jc w:val="left"/>
              <w:textAlignment w:val="baseline"/>
              <w:rPr>
                <w:rFonts w:cs="Times New Roman"/>
                <w:noProof/>
                <w:szCs w:val="24"/>
              </w:rPr>
            </w:pPr>
            <w:r w:rsidRPr="00E71388">
              <w:rPr>
                <w:rFonts w:cs="Times New Roman"/>
                <w:noProof/>
                <w:szCs w:val="24"/>
              </w:rPr>
              <w:t> </w:t>
            </w:r>
          </w:p>
        </w:tc>
        <w:tc>
          <w:tcPr>
            <w:tcW w:w="2268"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0ACAEF6" w14:textId="77777777" w:rsidR="009E2D64" w:rsidRPr="00E71388" w:rsidRDefault="009E2D64" w:rsidP="009E2D64">
            <w:pPr>
              <w:jc w:val="left"/>
              <w:textAlignment w:val="baseline"/>
              <w:rPr>
                <w:rFonts w:cs="Times New Roman"/>
                <w:noProof/>
                <w:szCs w:val="24"/>
              </w:rPr>
            </w:pPr>
            <w:r w:rsidRPr="00E71388">
              <w:rPr>
                <w:rFonts w:cs="Times New Roman"/>
                <w:noProof/>
                <w:szCs w:val="24"/>
              </w:rPr>
              <w:t> </w:t>
            </w:r>
          </w:p>
        </w:tc>
        <w:tc>
          <w:tcPr>
            <w:tcW w:w="3101"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4BC0DC6C" w14:textId="77777777" w:rsidR="009E2D64" w:rsidRPr="00E71388" w:rsidRDefault="009E2D64" w:rsidP="009E2D64">
            <w:pPr>
              <w:jc w:val="left"/>
              <w:textAlignment w:val="baseline"/>
              <w:rPr>
                <w:rFonts w:cs="Times New Roman"/>
                <w:noProof/>
                <w:szCs w:val="24"/>
              </w:rPr>
            </w:pPr>
            <w:r w:rsidRPr="00E71388">
              <w:rPr>
                <w:rFonts w:cs="Times New Roman"/>
                <w:noProof/>
                <w:szCs w:val="24"/>
              </w:rPr>
              <w:t> </w:t>
            </w:r>
          </w:p>
        </w:tc>
      </w:tr>
      <w:tr w:rsidR="009E2D64" w:rsidRPr="00F80C7E" w14:paraId="03BFAEFC" w14:textId="77777777" w:rsidTr="000F7D0A">
        <w:trPr>
          <w:trHeight w:val="300"/>
        </w:trPr>
        <w:tc>
          <w:tcPr>
            <w:tcW w:w="2325" w:type="dxa"/>
            <w:tcBorders>
              <w:top w:val="single" w:sz="6" w:space="0" w:color="auto"/>
              <w:left w:val="single" w:sz="6" w:space="0" w:color="auto"/>
              <w:bottom w:val="single" w:sz="6" w:space="0" w:color="auto"/>
              <w:right w:val="single" w:sz="6" w:space="0" w:color="auto"/>
            </w:tcBorders>
            <w:hideMark/>
          </w:tcPr>
          <w:p w14:paraId="455D44FB" w14:textId="17FAA306" w:rsidR="009E2D64" w:rsidRPr="00E71388" w:rsidRDefault="009E2D64" w:rsidP="009E2D64">
            <w:pPr>
              <w:jc w:val="left"/>
              <w:textAlignment w:val="baseline"/>
              <w:rPr>
                <w:rFonts w:cs="Times New Roman"/>
                <w:b/>
                <w:noProof/>
                <w:szCs w:val="24"/>
              </w:rPr>
            </w:pPr>
            <w:r w:rsidRPr="00E71388">
              <w:rPr>
                <w:rFonts w:cs="Times New Roman"/>
                <w:b/>
                <w:noProof/>
                <w:szCs w:val="24"/>
              </w:rPr>
              <w:t>Adjustment costs (</w:t>
            </w:r>
            <w:r w:rsidR="00AB0695" w:rsidRPr="00E71388">
              <w:rPr>
                <w:rFonts w:cs="Times New Roman"/>
                <w:b/>
                <w:noProof/>
                <w:szCs w:val="24"/>
              </w:rPr>
              <w:t>recurring)</w:t>
            </w:r>
          </w:p>
        </w:tc>
        <w:tc>
          <w:tcPr>
            <w:tcW w:w="3904" w:type="dxa"/>
            <w:gridSpan w:val="2"/>
            <w:tcBorders>
              <w:top w:val="single" w:sz="6" w:space="0" w:color="auto"/>
              <w:left w:val="single" w:sz="6" w:space="0" w:color="auto"/>
              <w:bottom w:val="single" w:sz="6" w:space="0" w:color="auto"/>
              <w:right w:val="single" w:sz="6" w:space="0" w:color="auto"/>
            </w:tcBorders>
            <w:hideMark/>
          </w:tcPr>
          <w:p w14:paraId="262C1838" w14:textId="77777777" w:rsidR="009E2D64" w:rsidRPr="00E71388" w:rsidRDefault="009E2D64" w:rsidP="009E2D64">
            <w:pPr>
              <w:jc w:val="left"/>
              <w:textAlignment w:val="baseline"/>
              <w:rPr>
                <w:rFonts w:cs="Times New Roman"/>
                <w:noProof/>
                <w:szCs w:val="24"/>
              </w:rPr>
            </w:pPr>
            <w:r w:rsidRPr="00E71388">
              <w:rPr>
                <w:rFonts w:cs="Times New Roman"/>
                <w:noProof/>
                <w:szCs w:val="24"/>
              </w:rPr>
              <w:t>Public support schemes: EUR 241.8 million </w:t>
            </w:r>
          </w:p>
        </w:tc>
        <w:tc>
          <w:tcPr>
            <w:tcW w:w="3101" w:type="dxa"/>
            <w:tcBorders>
              <w:top w:val="single" w:sz="6" w:space="0" w:color="auto"/>
              <w:left w:val="single" w:sz="6" w:space="0" w:color="auto"/>
              <w:bottom w:val="single" w:sz="6" w:space="0" w:color="auto"/>
              <w:right w:val="single" w:sz="6" w:space="0" w:color="auto"/>
            </w:tcBorders>
            <w:hideMark/>
          </w:tcPr>
          <w:p w14:paraId="02B5F008" w14:textId="4B33CB8A" w:rsidR="009E2D64" w:rsidRPr="00F80C7E" w:rsidRDefault="009E2D64" w:rsidP="009E2D64">
            <w:pPr>
              <w:jc w:val="left"/>
              <w:textAlignment w:val="baseline"/>
              <w:rPr>
                <w:rFonts w:eastAsia="Times New Roman" w:cs="Times New Roman"/>
                <w:noProof/>
                <w:szCs w:val="24"/>
                <w:lang w:eastAsia="en-IE"/>
              </w:rPr>
            </w:pPr>
            <w:r w:rsidRPr="00E71388">
              <w:rPr>
                <w:rFonts w:eastAsia="Times New Roman" w:cs="Times New Roman"/>
                <w:noProof/>
                <w:szCs w:val="24"/>
                <w:lang w:eastAsia="en-IE"/>
              </w:rPr>
              <w:t>Public support schemes: EUR 241.8 million </w:t>
            </w:r>
          </w:p>
          <w:p w14:paraId="2CEDFBE6" w14:textId="77777777" w:rsidR="00AB73D5" w:rsidRPr="00E71388" w:rsidRDefault="00AB73D5" w:rsidP="009E2D64">
            <w:pPr>
              <w:jc w:val="left"/>
              <w:textAlignment w:val="baseline"/>
              <w:rPr>
                <w:rFonts w:eastAsia="Times New Roman" w:cs="Times New Roman"/>
                <w:noProof/>
                <w:szCs w:val="24"/>
                <w:lang w:eastAsia="en-IE"/>
              </w:rPr>
            </w:pPr>
          </w:p>
          <w:p w14:paraId="18C61FD3" w14:textId="2440E6C7" w:rsidR="009E2D64" w:rsidRPr="00E71388" w:rsidRDefault="00B5359A" w:rsidP="009E2D64">
            <w:pPr>
              <w:jc w:val="left"/>
              <w:textAlignment w:val="baseline"/>
              <w:rPr>
                <w:rFonts w:eastAsia="Times New Roman" w:cs="Times New Roman"/>
                <w:noProof/>
                <w:szCs w:val="24"/>
                <w:lang w:eastAsia="en-IE"/>
              </w:rPr>
            </w:pPr>
            <w:r w:rsidRPr="00E71388">
              <w:rPr>
                <w:rFonts w:eastAsia="Times New Roman" w:cs="Times New Roman"/>
                <w:noProof/>
                <w:szCs w:val="24"/>
                <w:lang w:eastAsia="en-IE"/>
              </w:rPr>
              <w:t xml:space="preserve">Other </w:t>
            </w:r>
            <w:r w:rsidR="00F75B49" w:rsidRPr="00E71388">
              <w:rPr>
                <w:rFonts w:eastAsia="Times New Roman" w:cs="Times New Roman"/>
                <w:noProof/>
                <w:szCs w:val="24"/>
                <w:lang w:eastAsia="en-IE"/>
              </w:rPr>
              <w:t>PV placed on the market</w:t>
            </w:r>
            <w:r w:rsidR="009E2D64" w:rsidRPr="00E71388">
              <w:rPr>
                <w:rFonts w:eastAsia="Times New Roman" w:cs="Times New Roman"/>
                <w:noProof/>
                <w:szCs w:val="24"/>
                <w:lang w:eastAsia="en-IE"/>
              </w:rPr>
              <w:t>: EUR 1.3</w:t>
            </w:r>
            <w:r w:rsidR="008204D8">
              <w:rPr>
                <w:rFonts w:eastAsia="Times New Roman" w:cs="Times New Roman"/>
                <w:noProof/>
                <w:szCs w:val="24"/>
                <w:lang w:eastAsia="en-IE"/>
              </w:rPr>
              <w:t>3</w:t>
            </w:r>
            <w:r w:rsidR="009E2D64" w:rsidRPr="00E71388">
              <w:rPr>
                <w:rFonts w:eastAsia="Times New Roman" w:cs="Times New Roman"/>
                <w:noProof/>
                <w:szCs w:val="24"/>
                <w:lang w:eastAsia="en-IE"/>
              </w:rPr>
              <w:t> billion </w:t>
            </w:r>
          </w:p>
        </w:tc>
      </w:tr>
    </w:tbl>
    <w:p w14:paraId="1DC47EAB" w14:textId="69FAE110" w:rsidR="00352D63" w:rsidRPr="00E71388" w:rsidRDefault="00352D63" w:rsidP="65B05BEC">
      <w:pPr>
        <w:pStyle w:val="JRCText"/>
        <w:spacing w:after="0" w:line="240" w:lineRule="auto"/>
        <w:jc w:val="both"/>
        <w:rPr>
          <w:rFonts w:ascii="Times New Roman" w:hAnsi="Times New Roman"/>
          <w:noProof/>
          <w:color w:val="000000" w:themeColor="text1"/>
          <w:sz w:val="24"/>
        </w:rPr>
      </w:pPr>
    </w:p>
    <w:p w14:paraId="34716F69" w14:textId="77777777" w:rsidR="007F6D9E" w:rsidRDefault="007F6D9E" w:rsidP="00AB73D5">
      <w:pPr>
        <w:pStyle w:val="JRCText"/>
        <w:rPr>
          <w:rFonts w:ascii="Times New Roman" w:eastAsia="Times New Roman" w:hAnsi="Times New Roman" w:cs="Times New Roman"/>
          <w:b/>
          <w:bCs/>
          <w:noProof/>
          <w:color w:val="000000" w:themeColor="text1"/>
          <w:sz w:val="24"/>
          <w:szCs w:val="24"/>
        </w:rPr>
      </w:pPr>
    </w:p>
    <w:p w14:paraId="3054DA4F" w14:textId="278F02F6" w:rsidR="00A4152A" w:rsidRPr="00AB73D5" w:rsidRDefault="00B95893" w:rsidP="00AB73D5">
      <w:pPr>
        <w:pStyle w:val="JRCText"/>
        <w:rPr>
          <w:rFonts w:ascii="Times New Roman" w:eastAsia="Times New Roman" w:hAnsi="Times New Roman" w:cs="Times New Roman"/>
          <w:b/>
          <w:bCs/>
          <w:noProof/>
          <w:color w:val="000000" w:themeColor="text1"/>
          <w:sz w:val="24"/>
          <w:szCs w:val="24"/>
        </w:rPr>
      </w:pPr>
      <w:r w:rsidRPr="00AB73D5">
        <w:rPr>
          <w:rFonts w:ascii="Times New Roman" w:eastAsia="Times New Roman" w:hAnsi="Times New Roman" w:cs="Times New Roman"/>
          <w:b/>
          <w:bCs/>
          <w:noProof/>
          <w:color w:val="000000" w:themeColor="text1"/>
          <w:sz w:val="24"/>
          <w:szCs w:val="24"/>
        </w:rPr>
        <w:t xml:space="preserve">LEAD_BAT </w:t>
      </w:r>
    </w:p>
    <w:p w14:paraId="78FC8698" w14:textId="197DEA7A" w:rsidR="00822EF2" w:rsidRPr="00E71388" w:rsidRDefault="00822EF2" w:rsidP="00E71388">
      <w:pPr>
        <w:rPr>
          <w:noProof/>
          <w:szCs w:val="24"/>
        </w:rPr>
      </w:pPr>
      <w:r w:rsidRPr="00F261DB">
        <w:rPr>
          <w:noProof/>
          <w:szCs w:val="24"/>
        </w:rPr>
        <w:t xml:space="preserve">Assumptions taken for adjustment costs: </w:t>
      </w:r>
    </w:p>
    <w:p w14:paraId="4F8A4A18" w14:textId="675ED789" w:rsidR="00AB73D5" w:rsidRDefault="00DE7D8B" w:rsidP="00AB73D5">
      <w:pPr>
        <w:pStyle w:val="ListParagraph"/>
        <w:numPr>
          <w:ilvl w:val="0"/>
          <w:numId w:val="42"/>
        </w:numPr>
        <w:rPr>
          <w:rFonts w:eastAsia="Times New Roman" w:cs="Times New Roman"/>
          <w:noProof/>
          <w:color w:val="000000" w:themeColor="text1"/>
          <w:szCs w:val="24"/>
        </w:rPr>
      </w:pPr>
      <w:r w:rsidRPr="00F261DB">
        <w:rPr>
          <w:rFonts w:eastAsia="Times New Roman" w:cs="Times New Roman"/>
          <w:noProof/>
          <w:color w:val="000000" w:themeColor="text1"/>
          <w:szCs w:val="24"/>
        </w:rPr>
        <w:t>The total adjustment cost</w:t>
      </w:r>
      <w:r w:rsidR="00DD7962" w:rsidRPr="00F261DB">
        <w:rPr>
          <w:rFonts w:eastAsia="Times New Roman" w:cs="Times New Roman"/>
          <w:noProof/>
          <w:color w:val="000000" w:themeColor="text1"/>
          <w:szCs w:val="24"/>
        </w:rPr>
        <w:t>s compar</w:t>
      </w:r>
      <w:r w:rsidR="00E331AC" w:rsidRPr="00F261DB">
        <w:rPr>
          <w:rFonts w:eastAsia="Times New Roman" w:cs="Times New Roman"/>
          <w:noProof/>
          <w:color w:val="000000" w:themeColor="text1"/>
          <w:szCs w:val="24"/>
        </w:rPr>
        <w:t>e</w:t>
      </w:r>
      <w:r w:rsidR="00DD7962" w:rsidRPr="00F261DB">
        <w:rPr>
          <w:rFonts w:eastAsia="Times New Roman" w:cs="Times New Roman"/>
          <w:noProof/>
          <w:color w:val="000000" w:themeColor="text1"/>
          <w:szCs w:val="24"/>
        </w:rPr>
        <w:t xml:space="preserve"> the</w:t>
      </w:r>
      <w:r w:rsidR="00490B32" w:rsidRPr="00F261DB">
        <w:rPr>
          <w:rFonts w:eastAsia="Times New Roman" w:cs="Times New Roman"/>
          <w:noProof/>
          <w:color w:val="000000" w:themeColor="text1"/>
          <w:szCs w:val="24"/>
        </w:rPr>
        <w:t xml:space="preserve"> average</w:t>
      </w:r>
      <w:r w:rsidR="00DD7962" w:rsidRPr="00F261DB">
        <w:rPr>
          <w:rFonts w:eastAsia="Times New Roman" w:cs="Times New Roman"/>
          <w:noProof/>
          <w:color w:val="000000" w:themeColor="text1"/>
          <w:szCs w:val="24"/>
        </w:rPr>
        <w:t xml:space="preserve"> </w:t>
      </w:r>
      <w:r w:rsidR="00490B32" w:rsidRPr="00F261DB">
        <w:rPr>
          <w:rFonts w:eastAsia="Times New Roman" w:cs="Times New Roman"/>
          <w:noProof/>
          <w:color w:val="000000" w:themeColor="text1"/>
          <w:szCs w:val="24"/>
        </w:rPr>
        <w:t>cost</w:t>
      </w:r>
      <w:r w:rsidR="00DD7962" w:rsidRPr="00F261DB">
        <w:rPr>
          <w:rFonts w:eastAsia="Times New Roman" w:cs="Times New Roman"/>
          <w:noProof/>
          <w:color w:val="000000" w:themeColor="text1"/>
          <w:szCs w:val="24"/>
        </w:rPr>
        <w:t xml:space="preserve"> </w:t>
      </w:r>
      <w:r w:rsidR="00CF65AB" w:rsidRPr="00F261DB">
        <w:rPr>
          <w:rFonts w:eastAsia="Times New Roman" w:cs="Times New Roman"/>
          <w:noProof/>
          <w:color w:val="000000" w:themeColor="text1"/>
          <w:szCs w:val="24"/>
        </w:rPr>
        <w:t xml:space="preserve">of manufacturing </w:t>
      </w:r>
      <w:r w:rsidR="002303F5" w:rsidRPr="00F261DB">
        <w:rPr>
          <w:rFonts w:eastAsia="Times New Roman" w:cs="Times New Roman"/>
          <w:noProof/>
          <w:color w:val="000000" w:themeColor="text1"/>
          <w:szCs w:val="24"/>
        </w:rPr>
        <w:t xml:space="preserve">the same </w:t>
      </w:r>
      <w:r w:rsidR="00CF65AB" w:rsidRPr="00F261DB">
        <w:rPr>
          <w:rFonts w:eastAsia="Times New Roman" w:cs="Times New Roman"/>
          <w:noProof/>
          <w:color w:val="000000" w:themeColor="text1"/>
          <w:szCs w:val="24"/>
        </w:rPr>
        <w:t>batter</w:t>
      </w:r>
      <w:r w:rsidR="00405FC9" w:rsidRPr="00F261DB">
        <w:rPr>
          <w:rFonts w:eastAsia="Times New Roman" w:cs="Times New Roman"/>
          <w:noProof/>
          <w:color w:val="000000" w:themeColor="text1"/>
          <w:szCs w:val="24"/>
        </w:rPr>
        <w:t xml:space="preserve">y </w:t>
      </w:r>
      <w:r w:rsidR="00405FC9" w:rsidRPr="00AB73D5">
        <w:rPr>
          <w:noProof/>
          <w:szCs w:val="24"/>
        </w:rPr>
        <w:t>chemistries</w:t>
      </w:r>
      <w:r w:rsidR="00CF65AB" w:rsidRPr="00F261DB">
        <w:rPr>
          <w:rFonts w:eastAsia="Times New Roman" w:cs="Times New Roman"/>
          <w:noProof/>
          <w:color w:val="000000" w:themeColor="text1"/>
          <w:szCs w:val="24"/>
        </w:rPr>
        <w:t xml:space="preserve"> (i.e., localised battery cells, cathodes and anodes) </w:t>
      </w:r>
      <w:r w:rsidR="00124463" w:rsidRPr="00F261DB">
        <w:rPr>
          <w:rFonts w:eastAsia="Times New Roman" w:cs="Times New Roman"/>
          <w:noProof/>
          <w:color w:val="000000" w:themeColor="text1"/>
          <w:szCs w:val="24"/>
        </w:rPr>
        <w:t xml:space="preserve">in </w:t>
      </w:r>
      <w:r w:rsidR="001C72CE" w:rsidRPr="00F261DB">
        <w:rPr>
          <w:rFonts w:eastAsia="Times New Roman" w:cs="Times New Roman"/>
          <w:noProof/>
          <w:color w:val="000000" w:themeColor="text1"/>
          <w:szCs w:val="24"/>
        </w:rPr>
        <w:t>the current cheapest market</w:t>
      </w:r>
      <w:r w:rsidR="001B3FF9" w:rsidRPr="00F261DB">
        <w:rPr>
          <w:rFonts w:eastAsia="Times New Roman" w:cs="Times New Roman"/>
          <w:noProof/>
          <w:color w:val="000000" w:themeColor="text1"/>
          <w:szCs w:val="24"/>
        </w:rPr>
        <w:t>, China,</w:t>
      </w:r>
      <w:r w:rsidR="001C72CE" w:rsidRPr="00F261DB">
        <w:rPr>
          <w:rFonts w:eastAsia="Times New Roman" w:cs="Times New Roman"/>
          <w:noProof/>
          <w:color w:val="000000" w:themeColor="text1"/>
          <w:szCs w:val="24"/>
        </w:rPr>
        <w:t xml:space="preserve"> </w:t>
      </w:r>
      <w:r w:rsidR="00E331AC" w:rsidRPr="00F261DB">
        <w:rPr>
          <w:rFonts w:eastAsia="Times New Roman" w:cs="Times New Roman"/>
          <w:noProof/>
          <w:color w:val="000000" w:themeColor="text1"/>
          <w:szCs w:val="24"/>
        </w:rPr>
        <w:t>with those manufactured in the EU</w:t>
      </w:r>
      <w:r w:rsidR="00992A10" w:rsidRPr="00F261DB">
        <w:rPr>
          <w:rFonts w:eastAsia="Times New Roman" w:cs="Times New Roman"/>
          <w:noProof/>
          <w:color w:val="000000" w:themeColor="text1"/>
          <w:szCs w:val="24"/>
        </w:rPr>
        <w:t xml:space="preserve"> with a cost differential ranging from 26% to 50%</w:t>
      </w:r>
      <w:r w:rsidR="00AA514E">
        <w:rPr>
          <w:rFonts w:eastAsia="Times New Roman" w:cs="Times New Roman"/>
          <w:noProof/>
          <w:color w:val="000000" w:themeColor="text1"/>
          <w:szCs w:val="24"/>
        </w:rPr>
        <w:t xml:space="preserve"> (see Annex 9)</w:t>
      </w:r>
      <w:r w:rsidR="00E331AC" w:rsidRPr="00F261DB">
        <w:rPr>
          <w:rFonts w:eastAsia="Times New Roman" w:cs="Times New Roman"/>
          <w:noProof/>
          <w:color w:val="000000" w:themeColor="text1"/>
          <w:szCs w:val="24"/>
        </w:rPr>
        <w:t xml:space="preserve">. </w:t>
      </w:r>
      <w:r w:rsidR="008A562C" w:rsidRPr="00FF63D1">
        <w:rPr>
          <w:rFonts w:eastAsia="Times New Roman" w:cs="Times New Roman"/>
          <w:noProof/>
          <w:color w:val="000000" w:themeColor="text1"/>
          <w:szCs w:val="24"/>
        </w:rPr>
        <w:t>Th</w:t>
      </w:r>
      <w:r w:rsidR="0078736C" w:rsidRPr="00FF63D1">
        <w:rPr>
          <w:rFonts w:eastAsia="Times New Roman" w:cs="Times New Roman"/>
          <w:noProof/>
          <w:color w:val="000000" w:themeColor="text1"/>
          <w:szCs w:val="24"/>
        </w:rPr>
        <w:t>ese</w:t>
      </w:r>
      <w:r w:rsidR="00106351" w:rsidRPr="00FF63D1">
        <w:rPr>
          <w:rFonts w:eastAsia="Times New Roman" w:cs="Times New Roman"/>
          <w:noProof/>
          <w:color w:val="000000" w:themeColor="text1"/>
          <w:szCs w:val="24"/>
        </w:rPr>
        <w:t xml:space="preserve"> costs do not take into account the phased approach</w:t>
      </w:r>
      <w:r w:rsidR="00C57406" w:rsidRPr="00FF63D1">
        <w:rPr>
          <w:rFonts w:eastAsia="Times New Roman" w:cs="Times New Roman"/>
          <w:noProof/>
          <w:color w:val="000000" w:themeColor="text1"/>
          <w:szCs w:val="24"/>
        </w:rPr>
        <w:t>, which would reduce the impact on prices during the first years of entry into force.</w:t>
      </w:r>
      <w:r w:rsidR="00106351" w:rsidRPr="00FF63D1">
        <w:rPr>
          <w:rFonts w:eastAsia="Times New Roman" w:cs="Times New Roman"/>
          <w:noProof/>
          <w:color w:val="000000" w:themeColor="text1"/>
          <w:szCs w:val="24"/>
        </w:rPr>
        <w:t xml:space="preserve"> </w:t>
      </w:r>
    </w:p>
    <w:p w14:paraId="3055B3E6" w14:textId="74F566DA" w:rsidR="00AB73D5" w:rsidRDefault="003F2B4F" w:rsidP="00AB73D5">
      <w:pPr>
        <w:pStyle w:val="ListParagraph"/>
        <w:numPr>
          <w:ilvl w:val="1"/>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 xml:space="preserve">Battery cell manufactured in </w:t>
      </w:r>
      <w:r w:rsidR="00E331AC" w:rsidRPr="00AB73D5">
        <w:rPr>
          <w:rFonts w:eastAsia="Times New Roman" w:cs="Times New Roman"/>
          <w:noProof/>
          <w:color w:val="000000" w:themeColor="text1"/>
          <w:szCs w:val="24"/>
        </w:rPr>
        <w:t xml:space="preserve">China </w:t>
      </w:r>
      <w:r w:rsidR="001C72CE" w:rsidRPr="00AB73D5">
        <w:rPr>
          <w:rFonts w:eastAsia="Times New Roman" w:cs="Times New Roman"/>
          <w:noProof/>
          <w:color w:val="000000" w:themeColor="text1"/>
          <w:szCs w:val="24"/>
        </w:rPr>
        <w:t>by Tier 1 manufacturers</w:t>
      </w:r>
      <w:r w:rsidR="001B3FF9" w:rsidRPr="00AB73D5">
        <w:rPr>
          <w:rFonts w:eastAsia="Times New Roman" w:cs="Times New Roman"/>
          <w:noProof/>
          <w:color w:val="000000" w:themeColor="text1"/>
          <w:szCs w:val="24"/>
        </w:rPr>
        <w:t xml:space="preserve"> (i.e., 60 EUR/kWh in 2024)</w:t>
      </w:r>
      <w:r w:rsidR="007F6D9E">
        <w:rPr>
          <w:rFonts w:eastAsia="Times New Roman" w:cs="Times New Roman"/>
          <w:noProof/>
          <w:color w:val="000000" w:themeColor="text1"/>
          <w:szCs w:val="24"/>
        </w:rPr>
        <w:t>.</w:t>
      </w:r>
      <w:r w:rsidR="0004672C" w:rsidRPr="00AB73D5">
        <w:rPr>
          <w:rFonts w:eastAsia="Times New Roman" w:cs="Times New Roman"/>
          <w:noProof/>
          <w:color w:val="000000" w:themeColor="text1"/>
          <w:szCs w:val="24"/>
        </w:rPr>
        <w:t xml:space="preserve"> </w:t>
      </w:r>
    </w:p>
    <w:p w14:paraId="7D31A06D" w14:textId="16F25523" w:rsidR="00992A10" w:rsidRPr="00AB73D5" w:rsidRDefault="6D064775" w:rsidP="1A2A8689">
      <w:pPr>
        <w:pStyle w:val="ListParagraph"/>
        <w:numPr>
          <w:ilvl w:val="1"/>
          <w:numId w:val="42"/>
        </w:numPr>
        <w:rPr>
          <w:rFonts w:eastAsia="Times New Roman" w:cs="Times New Roman"/>
          <w:noProof/>
          <w:color w:val="000000" w:themeColor="text1"/>
        </w:rPr>
      </w:pPr>
      <w:r w:rsidRPr="1A2A8689">
        <w:rPr>
          <w:rFonts w:eastAsia="Times New Roman" w:cs="Times New Roman"/>
          <w:noProof/>
          <w:color w:val="000000" w:themeColor="text1"/>
        </w:rPr>
        <w:t>Battery cell m</w:t>
      </w:r>
      <w:r w:rsidR="3F1F9321" w:rsidRPr="1A2A8689">
        <w:rPr>
          <w:rFonts w:eastAsia="Times New Roman" w:cs="Times New Roman"/>
          <w:noProof/>
          <w:color w:val="000000" w:themeColor="text1"/>
        </w:rPr>
        <w:t>anufactured in</w:t>
      </w:r>
      <w:r w:rsidR="71AD1504" w:rsidRPr="1A2A8689">
        <w:rPr>
          <w:rFonts w:eastAsia="Times New Roman" w:cs="Times New Roman"/>
          <w:noProof/>
          <w:color w:val="000000" w:themeColor="text1"/>
        </w:rPr>
        <w:t xml:space="preserve"> in the EU</w:t>
      </w:r>
      <w:r w:rsidRPr="1A2A8689">
        <w:rPr>
          <w:rFonts w:eastAsia="Times New Roman" w:cs="Times New Roman"/>
          <w:noProof/>
          <w:color w:val="000000" w:themeColor="text1"/>
        </w:rPr>
        <w:t xml:space="preserve"> with localised CAM</w:t>
      </w:r>
      <w:r w:rsidR="249777BE" w:rsidRPr="1A2A8689">
        <w:rPr>
          <w:rFonts w:eastAsia="Times New Roman" w:cs="Times New Roman"/>
          <w:noProof/>
          <w:color w:val="000000" w:themeColor="text1"/>
        </w:rPr>
        <w:t xml:space="preserve"> (Cathode Active Material)</w:t>
      </w:r>
      <w:r w:rsidR="008C7BE2">
        <w:rPr>
          <w:rFonts w:eastAsia="Times New Roman" w:cs="Times New Roman"/>
          <w:noProof/>
          <w:color w:val="000000" w:themeColor="text1"/>
        </w:rPr>
        <w:t xml:space="preserve"> </w:t>
      </w:r>
      <w:r w:rsidRPr="1A2A8689">
        <w:rPr>
          <w:rFonts w:eastAsia="Times New Roman" w:cs="Times New Roman"/>
          <w:noProof/>
          <w:color w:val="000000" w:themeColor="text1"/>
        </w:rPr>
        <w:t>and AMM</w:t>
      </w:r>
      <w:r w:rsidR="754E6238" w:rsidRPr="1A2A8689">
        <w:rPr>
          <w:rFonts w:eastAsia="Times New Roman" w:cs="Times New Roman"/>
          <w:noProof/>
          <w:color w:val="000000" w:themeColor="text1"/>
        </w:rPr>
        <w:t xml:space="preserve">, </w:t>
      </w:r>
      <w:r w:rsidR="1158872F" w:rsidRPr="1A2A8689">
        <w:rPr>
          <w:rFonts w:eastAsia="Times New Roman" w:cs="Times New Roman"/>
          <w:noProof/>
          <w:color w:val="000000" w:themeColor="text1"/>
        </w:rPr>
        <w:t>(</w:t>
      </w:r>
      <w:r w:rsidR="71AD1504" w:rsidRPr="1A2A8689">
        <w:rPr>
          <w:rFonts w:eastAsia="Times New Roman" w:cs="Times New Roman"/>
          <w:noProof/>
          <w:color w:val="000000" w:themeColor="text1"/>
        </w:rPr>
        <w:t xml:space="preserve">i.e., </w:t>
      </w:r>
      <w:r w:rsidR="0037C88D" w:rsidRPr="1A2A8689">
        <w:rPr>
          <w:rFonts w:eastAsia="Times New Roman" w:cs="Times New Roman"/>
          <w:noProof/>
          <w:color w:val="000000" w:themeColor="text1"/>
        </w:rPr>
        <w:t>75.6-90</w:t>
      </w:r>
      <w:r w:rsidR="71AD1504" w:rsidRPr="1A2A8689">
        <w:rPr>
          <w:rFonts w:eastAsia="Times New Roman" w:cs="Times New Roman"/>
          <w:noProof/>
          <w:color w:val="000000" w:themeColor="text1"/>
        </w:rPr>
        <w:t xml:space="preserve"> EUR/kWh)</w:t>
      </w:r>
      <w:r w:rsidR="242713EB" w:rsidRPr="1A2A8689">
        <w:rPr>
          <w:rFonts w:eastAsia="Times New Roman" w:cs="Times New Roman"/>
          <w:noProof/>
          <w:color w:val="000000" w:themeColor="text1"/>
        </w:rPr>
        <w:t xml:space="preserve">. </w:t>
      </w:r>
    </w:p>
    <w:p w14:paraId="2510F6F2" w14:textId="77777777" w:rsidR="002875BE" w:rsidRPr="00AB73D5" w:rsidRDefault="00FA0599" w:rsidP="00AB73D5">
      <w:pPr>
        <w:pStyle w:val="ListParagraph"/>
        <w:numPr>
          <w:ilvl w:val="0"/>
          <w:numId w:val="42"/>
        </w:numPr>
        <w:rPr>
          <w:noProof/>
          <w:szCs w:val="24"/>
        </w:rPr>
      </w:pPr>
      <w:r w:rsidRPr="00AB73D5">
        <w:rPr>
          <w:noProof/>
          <w:szCs w:val="24"/>
        </w:rPr>
        <w:t xml:space="preserve">Import costs of 10% over the total costs are assumed for the Chinese batteries. </w:t>
      </w:r>
    </w:p>
    <w:p w14:paraId="0E7BE4B8" w14:textId="282E0B3F" w:rsidR="00CB5A19" w:rsidRPr="00AB73D5" w:rsidRDefault="00FA0599" w:rsidP="00AB73D5">
      <w:pPr>
        <w:pStyle w:val="ListParagraph"/>
        <w:numPr>
          <w:ilvl w:val="0"/>
          <w:numId w:val="42"/>
        </w:numPr>
        <w:rPr>
          <w:noProof/>
          <w:szCs w:val="24"/>
        </w:rPr>
      </w:pPr>
      <w:r w:rsidRPr="00AB73D5">
        <w:rPr>
          <w:noProof/>
          <w:szCs w:val="24"/>
        </w:rPr>
        <w:t>Additionally, global price decreases in batteries have been accounted for, as these are expected to drop significantly in the upcoming year</w:t>
      </w:r>
      <w:r w:rsidR="002D2F32" w:rsidRPr="00AB73D5">
        <w:rPr>
          <w:noProof/>
          <w:szCs w:val="24"/>
        </w:rPr>
        <w:t xml:space="preserve">s. </w:t>
      </w:r>
      <w:r w:rsidR="00C40542" w:rsidRPr="00AB73D5">
        <w:rPr>
          <w:noProof/>
          <w:szCs w:val="24"/>
        </w:rPr>
        <w:t>As battery cell costs decline over time, the total cost differential with China is expected to decrease, ranging between 11-21 EUR/kWh in 2028, 9-17 EUR/kWh in 2030, and between 6-12 EUR/kWh in 2035.</w:t>
      </w:r>
    </w:p>
    <w:p w14:paraId="083A9E0A" w14:textId="301ACC0E" w:rsidR="00CA1400" w:rsidRPr="00AB73D5" w:rsidRDefault="00BD685D" w:rsidP="00E71388">
      <w:pPr>
        <w:pStyle w:val="ListParagraph"/>
        <w:numPr>
          <w:ilvl w:val="0"/>
          <w:numId w:val="42"/>
        </w:numPr>
        <w:rPr>
          <w:noProof/>
          <w:szCs w:val="24"/>
        </w:rPr>
      </w:pPr>
      <w:r w:rsidRPr="00AB73D5">
        <w:rPr>
          <w:noProof/>
          <w:szCs w:val="24"/>
        </w:rPr>
        <w:t>The baseline scenario assu</w:t>
      </w:r>
      <w:r w:rsidR="00DF3E1F" w:rsidRPr="00AB73D5">
        <w:rPr>
          <w:noProof/>
          <w:szCs w:val="24"/>
        </w:rPr>
        <w:t>mes</w:t>
      </w:r>
      <w:r w:rsidRPr="00AB73D5">
        <w:rPr>
          <w:noProof/>
          <w:szCs w:val="24"/>
        </w:rPr>
        <w:t xml:space="preserve"> </w:t>
      </w:r>
      <w:r w:rsidR="004A122F" w:rsidRPr="00AB73D5">
        <w:rPr>
          <w:noProof/>
          <w:szCs w:val="24"/>
        </w:rPr>
        <w:t xml:space="preserve">that </w:t>
      </w:r>
      <w:r w:rsidR="000F4B4B" w:rsidRPr="00AB73D5">
        <w:rPr>
          <w:noProof/>
          <w:szCs w:val="24"/>
        </w:rPr>
        <w:t>only currently operational facilities and their expansions are considered active by 2030</w:t>
      </w:r>
      <w:r w:rsidR="004A122F" w:rsidRPr="00AB73D5">
        <w:rPr>
          <w:noProof/>
          <w:szCs w:val="24"/>
        </w:rPr>
        <w:t xml:space="preserve"> (i.e. none of the current battery project currently under construction, announced or on-hold </w:t>
      </w:r>
      <w:r w:rsidR="002165D4" w:rsidRPr="00AB73D5">
        <w:rPr>
          <w:noProof/>
          <w:szCs w:val="24"/>
        </w:rPr>
        <w:t>are considered)</w:t>
      </w:r>
      <w:r w:rsidR="004A122F" w:rsidRPr="00AB73D5">
        <w:rPr>
          <w:noProof/>
          <w:szCs w:val="24"/>
        </w:rPr>
        <w:t xml:space="preserve">. </w:t>
      </w:r>
      <w:r w:rsidR="000F4B4B" w:rsidRPr="00AB73D5">
        <w:rPr>
          <w:noProof/>
          <w:szCs w:val="24"/>
        </w:rPr>
        <w:t>As a result, unmet demand is assumed to be covered by imports from China.</w:t>
      </w:r>
      <w:r w:rsidR="00645086" w:rsidRPr="00AB73D5">
        <w:rPr>
          <w:noProof/>
          <w:szCs w:val="24"/>
        </w:rPr>
        <w:t xml:space="preserve"> </w:t>
      </w:r>
    </w:p>
    <w:p w14:paraId="1592D67A" w14:textId="6D29C823" w:rsidR="00C17399" w:rsidRPr="00AB73D5" w:rsidRDefault="00C17399" w:rsidP="00AB73D5">
      <w:pPr>
        <w:pStyle w:val="ListParagraph"/>
        <w:numPr>
          <w:ilvl w:val="0"/>
          <w:numId w:val="42"/>
        </w:numPr>
        <w:rPr>
          <w:noProof/>
          <w:szCs w:val="24"/>
        </w:rPr>
      </w:pPr>
      <w:r w:rsidRPr="00AB73D5">
        <w:rPr>
          <w:noProof/>
          <w:szCs w:val="24"/>
        </w:rPr>
        <w:t xml:space="preserve">For BESS, </w:t>
      </w:r>
      <w:r w:rsidR="009F583F" w:rsidRPr="00AB73D5">
        <w:rPr>
          <w:noProof/>
          <w:szCs w:val="24"/>
        </w:rPr>
        <w:t>since the requirements on the battery cell will enter into force by 2030 and the EU battery production is currently focused on EV batteries, the entire demand in the baseline scenario is assumed to be met through Chinese imports, and cost comparisons are made accordingly.</w:t>
      </w:r>
    </w:p>
    <w:p w14:paraId="1560B1C3" w14:textId="77777777" w:rsidR="00C40542" w:rsidRPr="00FF63D1" w:rsidRDefault="00C40542" w:rsidP="00AB73D5">
      <w:pPr>
        <w:pStyle w:val="ListParagraph"/>
        <w:numPr>
          <w:ilvl w:val="0"/>
          <w:numId w:val="42"/>
        </w:numPr>
        <w:rPr>
          <w:rFonts w:eastAsia="Times New Roman" w:cs="Times New Roman"/>
          <w:noProof/>
          <w:color w:val="000000" w:themeColor="text1"/>
          <w:szCs w:val="24"/>
        </w:rPr>
      </w:pPr>
      <w:r w:rsidRPr="00AB73D5">
        <w:rPr>
          <w:noProof/>
          <w:szCs w:val="24"/>
        </w:rPr>
        <w:t>Adjustment costs are passed down from the downstream sectors or business to final consumers, this being</w:t>
      </w:r>
      <w:r w:rsidRPr="00FF63D1">
        <w:rPr>
          <w:rFonts w:eastAsia="Times New Roman" w:cs="Times New Roman"/>
          <w:noProof/>
          <w:color w:val="000000" w:themeColor="text1"/>
          <w:szCs w:val="24"/>
        </w:rPr>
        <w:t xml:space="preserve"> either citizens or Member States. </w:t>
      </w:r>
    </w:p>
    <w:p w14:paraId="6019DBAD" w14:textId="77777777" w:rsidR="00C40542" w:rsidRPr="00F261DB" w:rsidRDefault="00C40542" w:rsidP="00E71388">
      <w:pPr>
        <w:pStyle w:val="JRCText"/>
        <w:spacing w:after="0" w:line="240" w:lineRule="auto"/>
        <w:jc w:val="both"/>
        <w:rPr>
          <w:rFonts w:ascii="Times New Roman" w:eastAsia="Times New Roman" w:hAnsi="Times New Roman" w:cs="Times New Roman"/>
          <w:noProof/>
          <w:color w:val="000000" w:themeColor="text1"/>
          <w:sz w:val="24"/>
          <w:szCs w:val="24"/>
        </w:rPr>
      </w:pPr>
    </w:p>
    <w:p w14:paraId="78BA6F67" w14:textId="1DF4D883" w:rsidR="00956FB9" w:rsidRPr="00F261DB" w:rsidRDefault="00CA1400" w:rsidP="00956FB9">
      <w:pPr>
        <w:rPr>
          <w:noProof/>
        </w:rPr>
      </w:pPr>
      <w:r w:rsidRPr="00F261DB">
        <w:rPr>
          <w:rFonts w:eastAsia="Times New Roman" w:cs="Times New Roman"/>
          <w:noProof/>
          <w:color w:val="000000" w:themeColor="text1"/>
          <w:szCs w:val="24"/>
        </w:rPr>
        <w:t>The costs are calculated based on</w:t>
      </w:r>
      <w:r w:rsidR="00966B94" w:rsidRPr="00F261DB">
        <w:rPr>
          <w:rFonts w:eastAsia="Times New Roman" w:cs="Times New Roman"/>
          <w:noProof/>
          <w:color w:val="000000" w:themeColor="text1"/>
          <w:szCs w:val="24"/>
        </w:rPr>
        <w:t xml:space="preserve"> demand projections </w:t>
      </w:r>
      <w:r w:rsidR="00323907" w:rsidRPr="00F261DB">
        <w:rPr>
          <w:rFonts w:eastAsia="Times New Roman" w:cs="Times New Roman"/>
          <w:noProof/>
          <w:color w:val="000000" w:themeColor="text1"/>
          <w:szCs w:val="24"/>
        </w:rPr>
        <w:t xml:space="preserve">for both EVs and BESS </w:t>
      </w:r>
      <w:r w:rsidR="0066594C" w:rsidRPr="00F261DB">
        <w:rPr>
          <w:rFonts w:eastAsia="Times New Roman" w:cs="Times New Roman"/>
          <w:noProof/>
          <w:color w:val="000000" w:themeColor="text1"/>
          <w:szCs w:val="24"/>
        </w:rPr>
        <w:t xml:space="preserve">in kWh and manufacturing costs expressed in </w:t>
      </w:r>
      <w:r w:rsidRPr="00F261DB">
        <w:rPr>
          <w:rFonts w:eastAsia="Times New Roman" w:cs="Times New Roman"/>
          <w:noProof/>
          <w:color w:val="000000" w:themeColor="text1"/>
          <w:szCs w:val="24"/>
        </w:rPr>
        <w:t>EUR/kWh</w:t>
      </w:r>
      <w:r w:rsidR="00940423" w:rsidRPr="00F261DB">
        <w:rPr>
          <w:rFonts w:eastAsia="Times New Roman" w:cs="Times New Roman"/>
          <w:noProof/>
          <w:color w:val="000000" w:themeColor="text1"/>
          <w:szCs w:val="24"/>
        </w:rPr>
        <w:t xml:space="preserve">. Therefore, </w:t>
      </w:r>
      <w:r w:rsidR="00C5303E" w:rsidRPr="00F261DB">
        <w:rPr>
          <w:rFonts w:eastAsia="Times New Roman" w:cs="Times New Roman"/>
          <w:noProof/>
          <w:color w:val="000000" w:themeColor="text1"/>
          <w:szCs w:val="24"/>
        </w:rPr>
        <w:t xml:space="preserve">final impact on price can be </w:t>
      </w:r>
      <w:r w:rsidR="00862DD5" w:rsidRPr="00F261DB">
        <w:rPr>
          <w:rFonts w:eastAsia="Times New Roman" w:cs="Times New Roman"/>
          <w:noProof/>
          <w:color w:val="000000" w:themeColor="text1"/>
          <w:szCs w:val="24"/>
        </w:rPr>
        <w:t xml:space="preserve">calculated for </w:t>
      </w:r>
      <w:r w:rsidR="000D4690" w:rsidRPr="00F261DB">
        <w:rPr>
          <w:rFonts w:eastAsia="Times New Roman" w:cs="Times New Roman"/>
          <w:noProof/>
          <w:color w:val="000000" w:themeColor="text1"/>
          <w:szCs w:val="24"/>
        </w:rPr>
        <w:t xml:space="preserve">all applications by assuming the average battery power pack. </w:t>
      </w:r>
    </w:p>
    <w:p w14:paraId="2350BCEE" w14:textId="77777777" w:rsidR="00956FB9" w:rsidRPr="00F261DB" w:rsidRDefault="00956FB9" w:rsidP="00956FB9">
      <w:pPr>
        <w:rPr>
          <w:noProof/>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258"/>
        <w:gridCol w:w="1281"/>
        <w:gridCol w:w="1281"/>
        <w:gridCol w:w="1279"/>
      </w:tblGrid>
      <w:tr w:rsidR="00956FB9" w:rsidRPr="00F261DB" w14:paraId="5933B088" w14:textId="77777777" w:rsidTr="3F0F1197">
        <w:trPr>
          <w:trHeight w:val="290"/>
        </w:trPr>
        <w:tc>
          <w:tcPr>
            <w:tcW w:w="2313" w:type="pct"/>
            <w:noWrap/>
            <w:hideMark/>
          </w:tcPr>
          <w:p w14:paraId="6B6CB4E0" w14:textId="4236F3F8" w:rsidR="00956FB9" w:rsidRPr="00F261DB" w:rsidRDefault="00956FB9">
            <w:pPr>
              <w:rPr>
                <w:b/>
                <w:noProof/>
              </w:rPr>
            </w:pPr>
            <w:r w:rsidRPr="00F261DB">
              <w:rPr>
                <w:b/>
                <w:noProof/>
              </w:rPr>
              <w:t>Cost comparison 2024-2035</w:t>
            </w:r>
          </w:p>
        </w:tc>
        <w:tc>
          <w:tcPr>
            <w:tcW w:w="663" w:type="pct"/>
            <w:noWrap/>
            <w:hideMark/>
          </w:tcPr>
          <w:p w14:paraId="4463DAFA" w14:textId="77777777" w:rsidR="00956FB9" w:rsidRPr="00F261DB" w:rsidRDefault="00956FB9">
            <w:pPr>
              <w:jc w:val="center"/>
              <w:rPr>
                <w:b/>
                <w:noProof/>
              </w:rPr>
            </w:pPr>
            <w:r w:rsidRPr="00F261DB">
              <w:rPr>
                <w:b/>
                <w:noProof/>
              </w:rPr>
              <w:t>2024</w:t>
            </w:r>
          </w:p>
        </w:tc>
        <w:tc>
          <w:tcPr>
            <w:tcW w:w="675" w:type="pct"/>
            <w:noWrap/>
            <w:hideMark/>
          </w:tcPr>
          <w:p w14:paraId="45D48E59" w14:textId="77777777" w:rsidR="00956FB9" w:rsidRPr="00F261DB" w:rsidRDefault="00956FB9">
            <w:pPr>
              <w:jc w:val="center"/>
              <w:rPr>
                <w:b/>
                <w:noProof/>
              </w:rPr>
            </w:pPr>
            <w:r w:rsidRPr="00F261DB">
              <w:rPr>
                <w:b/>
                <w:noProof/>
              </w:rPr>
              <w:t>2028</w:t>
            </w:r>
          </w:p>
        </w:tc>
        <w:tc>
          <w:tcPr>
            <w:tcW w:w="675" w:type="pct"/>
            <w:noWrap/>
            <w:hideMark/>
          </w:tcPr>
          <w:p w14:paraId="0665CAE5" w14:textId="77777777" w:rsidR="00956FB9" w:rsidRPr="00F261DB" w:rsidRDefault="00956FB9">
            <w:pPr>
              <w:jc w:val="center"/>
              <w:rPr>
                <w:b/>
                <w:noProof/>
              </w:rPr>
            </w:pPr>
            <w:r w:rsidRPr="00F261DB">
              <w:rPr>
                <w:b/>
                <w:noProof/>
              </w:rPr>
              <w:t>2030</w:t>
            </w:r>
          </w:p>
        </w:tc>
        <w:tc>
          <w:tcPr>
            <w:tcW w:w="675" w:type="pct"/>
            <w:noWrap/>
            <w:hideMark/>
          </w:tcPr>
          <w:p w14:paraId="0A256F83" w14:textId="77777777" w:rsidR="00956FB9" w:rsidRPr="00F261DB" w:rsidRDefault="00956FB9">
            <w:pPr>
              <w:jc w:val="center"/>
              <w:rPr>
                <w:b/>
                <w:noProof/>
              </w:rPr>
            </w:pPr>
            <w:r w:rsidRPr="00F261DB">
              <w:rPr>
                <w:b/>
                <w:noProof/>
              </w:rPr>
              <w:t>2035</w:t>
            </w:r>
          </w:p>
        </w:tc>
      </w:tr>
      <w:tr w:rsidR="00956FB9" w:rsidRPr="00F261DB" w14:paraId="0B6A135D" w14:textId="77777777" w:rsidTr="3F0F1197">
        <w:trPr>
          <w:trHeight w:val="290"/>
        </w:trPr>
        <w:tc>
          <w:tcPr>
            <w:tcW w:w="2313" w:type="pct"/>
            <w:noWrap/>
            <w:hideMark/>
          </w:tcPr>
          <w:p w14:paraId="2F08373C" w14:textId="77777777" w:rsidR="00956FB9" w:rsidRPr="00F261DB" w:rsidRDefault="00956FB9">
            <w:pPr>
              <w:jc w:val="left"/>
              <w:rPr>
                <w:b/>
                <w:noProof/>
              </w:rPr>
            </w:pPr>
            <w:r w:rsidRPr="00F261DB">
              <w:rPr>
                <w:b/>
                <w:noProof/>
              </w:rPr>
              <w:t>Cost difference EV passenger car (average 68 kWh)</w:t>
            </w:r>
          </w:p>
        </w:tc>
        <w:tc>
          <w:tcPr>
            <w:tcW w:w="663" w:type="pct"/>
            <w:noWrap/>
            <w:hideMark/>
          </w:tcPr>
          <w:p w14:paraId="693BCCDD" w14:textId="77777777" w:rsidR="00956FB9" w:rsidRPr="00F261DB" w:rsidRDefault="00956FB9">
            <w:pPr>
              <w:jc w:val="center"/>
              <w:rPr>
                <w:noProof/>
              </w:rPr>
            </w:pPr>
            <w:r w:rsidRPr="00F261DB">
              <w:rPr>
                <w:noProof/>
              </w:rPr>
              <w:t>EUR 653-1632</w:t>
            </w:r>
          </w:p>
        </w:tc>
        <w:tc>
          <w:tcPr>
            <w:tcW w:w="675" w:type="pct"/>
            <w:noWrap/>
            <w:hideMark/>
          </w:tcPr>
          <w:p w14:paraId="362F32D8" w14:textId="77777777" w:rsidR="00956FB9" w:rsidRPr="00F261DB" w:rsidRDefault="00956FB9">
            <w:pPr>
              <w:jc w:val="center"/>
              <w:rPr>
                <w:noProof/>
              </w:rPr>
            </w:pPr>
            <w:r w:rsidRPr="00F261DB">
              <w:rPr>
                <w:noProof/>
              </w:rPr>
              <w:t>EUR 457-1142</w:t>
            </w:r>
          </w:p>
        </w:tc>
        <w:tc>
          <w:tcPr>
            <w:tcW w:w="675" w:type="pct"/>
            <w:noWrap/>
            <w:hideMark/>
          </w:tcPr>
          <w:p w14:paraId="4BBE6C46" w14:textId="77777777" w:rsidR="00956FB9" w:rsidRPr="00F261DB" w:rsidRDefault="00956FB9">
            <w:pPr>
              <w:jc w:val="center"/>
              <w:rPr>
                <w:noProof/>
              </w:rPr>
            </w:pPr>
            <w:r w:rsidRPr="00F261DB">
              <w:rPr>
                <w:noProof/>
              </w:rPr>
              <w:t>EUR 360-900</w:t>
            </w:r>
          </w:p>
        </w:tc>
        <w:tc>
          <w:tcPr>
            <w:tcW w:w="675" w:type="pct"/>
            <w:noWrap/>
            <w:hideMark/>
          </w:tcPr>
          <w:p w14:paraId="634C912B" w14:textId="77777777" w:rsidR="00956FB9" w:rsidRPr="00F261DB" w:rsidRDefault="00956FB9">
            <w:pPr>
              <w:jc w:val="center"/>
              <w:rPr>
                <w:noProof/>
              </w:rPr>
            </w:pPr>
            <w:r w:rsidRPr="00F261DB">
              <w:rPr>
                <w:noProof/>
              </w:rPr>
              <w:t>EUR 268-670</w:t>
            </w:r>
          </w:p>
        </w:tc>
      </w:tr>
      <w:tr w:rsidR="00956FB9" w:rsidRPr="00F261DB" w14:paraId="1A73A339" w14:textId="77777777" w:rsidTr="3F0F1197">
        <w:trPr>
          <w:trHeight w:val="290"/>
        </w:trPr>
        <w:tc>
          <w:tcPr>
            <w:tcW w:w="2313" w:type="pct"/>
            <w:noWrap/>
          </w:tcPr>
          <w:p w14:paraId="7F758A1C" w14:textId="77777777" w:rsidR="00956FB9" w:rsidRPr="00F261DB" w:rsidRDefault="4BB0B7B7">
            <w:pPr>
              <w:jc w:val="left"/>
              <w:rPr>
                <w:b/>
                <w:noProof/>
              </w:rPr>
            </w:pPr>
            <w:r w:rsidRPr="1A2A8689">
              <w:rPr>
                <w:b/>
                <w:bCs/>
                <w:noProof/>
              </w:rPr>
              <w:lastRenderedPageBreak/>
              <w:t>Cost difference EV truck (average 279 kWh)</w:t>
            </w:r>
            <w:r w:rsidR="00956FB9" w:rsidRPr="1A2A8689">
              <w:rPr>
                <w:rStyle w:val="FootnoteReference"/>
                <w:b/>
                <w:bCs/>
                <w:noProof/>
              </w:rPr>
              <w:footnoteReference w:id="285"/>
            </w:r>
          </w:p>
        </w:tc>
        <w:tc>
          <w:tcPr>
            <w:tcW w:w="663" w:type="pct"/>
            <w:noWrap/>
          </w:tcPr>
          <w:p w14:paraId="5B403E45" w14:textId="77777777" w:rsidR="00956FB9" w:rsidRPr="00FF63D1" w:rsidRDefault="00956FB9">
            <w:pPr>
              <w:jc w:val="center"/>
              <w:rPr>
                <w:rFonts w:ascii="Aptos Narrow" w:hAnsi="Aptos Narrow"/>
                <w:noProof/>
                <w:color w:val="000000"/>
                <w:sz w:val="22"/>
              </w:rPr>
            </w:pPr>
            <w:r w:rsidRPr="00F261DB">
              <w:rPr>
                <w:noProof/>
              </w:rPr>
              <w:t>EUR 2678-6696</w:t>
            </w:r>
          </w:p>
        </w:tc>
        <w:tc>
          <w:tcPr>
            <w:tcW w:w="675" w:type="pct"/>
            <w:noWrap/>
          </w:tcPr>
          <w:p w14:paraId="4AA1BEB3" w14:textId="77777777" w:rsidR="00956FB9" w:rsidRPr="00F261DB" w:rsidRDefault="00956FB9">
            <w:pPr>
              <w:jc w:val="center"/>
              <w:rPr>
                <w:noProof/>
              </w:rPr>
            </w:pPr>
            <w:r w:rsidRPr="00F261DB">
              <w:rPr>
                <w:noProof/>
              </w:rPr>
              <w:t>EUR 1875-4687</w:t>
            </w:r>
          </w:p>
        </w:tc>
        <w:tc>
          <w:tcPr>
            <w:tcW w:w="675" w:type="pct"/>
            <w:noWrap/>
          </w:tcPr>
          <w:p w14:paraId="3A1DA681" w14:textId="77777777" w:rsidR="00956FB9" w:rsidRPr="00F261DB" w:rsidRDefault="00956FB9">
            <w:pPr>
              <w:jc w:val="center"/>
              <w:rPr>
                <w:noProof/>
              </w:rPr>
            </w:pPr>
            <w:r w:rsidRPr="00F261DB">
              <w:rPr>
                <w:noProof/>
              </w:rPr>
              <w:t>EUR 1477-3691</w:t>
            </w:r>
          </w:p>
        </w:tc>
        <w:tc>
          <w:tcPr>
            <w:tcW w:w="675" w:type="pct"/>
            <w:noWrap/>
          </w:tcPr>
          <w:p w14:paraId="1E8975A9" w14:textId="77777777" w:rsidR="00956FB9" w:rsidRPr="00F261DB" w:rsidRDefault="00956FB9">
            <w:pPr>
              <w:jc w:val="center"/>
              <w:rPr>
                <w:noProof/>
              </w:rPr>
            </w:pPr>
            <w:r w:rsidRPr="00F261DB">
              <w:rPr>
                <w:noProof/>
              </w:rPr>
              <w:t>EUR 1099-2747</w:t>
            </w:r>
          </w:p>
        </w:tc>
      </w:tr>
      <w:tr w:rsidR="00956FB9" w:rsidRPr="00F261DB" w14:paraId="66F17579" w14:textId="77777777" w:rsidTr="3F0F1197">
        <w:trPr>
          <w:trHeight w:val="290"/>
        </w:trPr>
        <w:tc>
          <w:tcPr>
            <w:tcW w:w="2313" w:type="pct"/>
            <w:noWrap/>
            <w:hideMark/>
          </w:tcPr>
          <w:p w14:paraId="6149787A" w14:textId="77777777" w:rsidR="00956FB9" w:rsidRPr="00F261DB" w:rsidRDefault="00956FB9">
            <w:pPr>
              <w:jc w:val="left"/>
              <w:rPr>
                <w:b/>
                <w:noProof/>
              </w:rPr>
            </w:pPr>
            <w:r w:rsidRPr="00F261DB">
              <w:rPr>
                <w:b/>
                <w:noProof/>
              </w:rPr>
              <w:t>Cost difference EV bus (average 441 kWh)</w:t>
            </w:r>
          </w:p>
        </w:tc>
        <w:tc>
          <w:tcPr>
            <w:tcW w:w="663" w:type="pct"/>
            <w:noWrap/>
            <w:hideMark/>
          </w:tcPr>
          <w:p w14:paraId="5A9FD80E" w14:textId="77777777" w:rsidR="00956FB9" w:rsidRPr="00F261DB" w:rsidRDefault="00956FB9">
            <w:pPr>
              <w:jc w:val="center"/>
              <w:rPr>
                <w:noProof/>
              </w:rPr>
            </w:pPr>
            <w:r w:rsidRPr="00F261DB">
              <w:rPr>
                <w:noProof/>
              </w:rPr>
              <w:t>EUR 4233-10584</w:t>
            </w:r>
          </w:p>
        </w:tc>
        <w:tc>
          <w:tcPr>
            <w:tcW w:w="675" w:type="pct"/>
            <w:noWrap/>
            <w:hideMark/>
          </w:tcPr>
          <w:p w14:paraId="413074F7" w14:textId="77777777" w:rsidR="00956FB9" w:rsidRPr="00F261DB" w:rsidRDefault="00956FB9">
            <w:pPr>
              <w:jc w:val="center"/>
              <w:rPr>
                <w:noProof/>
              </w:rPr>
            </w:pPr>
            <w:r w:rsidRPr="00F261DB">
              <w:rPr>
                <w:noProof/>
              </w:rPr>
              <w:t>EUR 2964-7409</w:t>
            </w:r>
          </w:p>
        </w:tc>
        <w:tc>
          <w:tcPr>
            <w:tcW w:w="675" w:type="pct"/>
            <w:noWrap/>
            <w:hideMark/>
          </w:tcPr>
          <w:p w14:paraId="7B040670" w14:textId="77777777" w:rsidR="00956FB9" w:rsidRPr="00F261DB" w:rsidRDefault="00956FB9">
            <w:pPr>
              <w:jc w:val="center"/>
              <w:rPr>
                <w:noProof/>
              </w:rPr>
            </w:pPr>
            <w:r w:rsidRPr="00F261DB">
              <w:rPr>
                <w:noProof/>
              </w:rPr>
              <w:t>EUR 2334-5835</w:t>
            </w:r>
          </w:p>
        </w:tc>
        <w:tc>
          <w:tcPr>
            <w:tcW w:w="675" w:type="pct"/>
            <w:noWrap/>
            <w:hideMark/>
          </w:tcPr>
          <w:p w14:paraId="6477E74E" w14:textId="77777777" w:rsidR="00956FB9" w:rsidRPr="00F261DB" w:rsidRDefault="00956FB9">
            <w:pPr>
              <w:jc w:val="center"/>
              <w:rPr>
                <w:noProof/>
              </w:rPr>
            </w:pPr>
            <w:r w:rsidRPr="00F261DB">
              <w:rPr>
                <w:noProof/>
              </w:rPr>
              <w:t>EUR 1737-4342</w:t>
            </w:r>
          </w:p>
        </w:tc>
      </w:tr>
    </w:tbl>
    <w:p w14:paraId="3E351FF1" w14:textId="63C1B014" w:rsidR="00A7029E" w:rsidRPr="00E71388" w:rsidRDefault="00956FB9" w:rsidP="00E71388">
      <w:pPr>
        <w:rPr>
          <w:i/>
          <w:iCs/>
          <w:noProof/>
          <w:sz w:val="22"/>
          <w:szCs w:val="20"/>
        </w:rPr>
      </w:pPr>
      <w:r w:rsidRPr="00AB1DF9">
        <w:rPr>
          <w:i/>
          <w:noProof/>
          <w:sz w:val="22"/>
          <w:szCs w:val="20"/>
        </w:rPr>
        <w:t>Figure: Cost comparison for EVs equipped with batteries using EU-made battery cells with locally sourced CAM and AAM, compared to using Chinese imports.</w:t>
      </w:r>
    </w:p>
    <w:p w14:paraId="74617CAE" w14:textId="77777777" w:rsidR="007F2DAC" w:rsidRDefault="007F2DAC" w:rsidP="003E4F31">
      <w:pPr>
        <w:pStyle w:val="JRCText"/>
        <w:spacing w:after="0" w:line="240" w:lineRule="auto"/>
        <w:jc w:val="both"/>
        <w:rPr>
          <w:rFonts w:ascii="Times New Roman" w:eastAsia="Times New Roman" w:hAnsi="Times New Roman" w:cs="Times New Roman"/>
          <w:noProof/>
          <w:color w:val="000000" w:themeColor="text1"/>
          <w:sz w:val="24"/>
          <w:szCs w:val="24"/>
        </w:rPr>
      </w:pPr>
    </w:p>
    <w:p w14:paraId="643637D5" w14:textId="6FD5F212" w:rsidR="006102F0" w:rsidRPr="00F261DB" w:rsidRDefault="008970E7" w:rsidP="003E4F31">
      <w:pPr>
        <w:pStyle w:val="JRCText"/>
        <w:spacing w:after="0" w:line="240" w:lineRule="auto"/>
        <w:jc w:val="both"/>
        <w:rPr>
          <w:rFonts w:ascii="Times New Roman" w:eastAsia="Times New Roman" w:hAnsi="Times New Roman" w:cs="Times New Roman"/>
          <w:noProof/>
          <w:color w:val="000000" w:themeColor="text1"/>
          <w:sz w:val="24"/>
          <w:szCs w:val="24"/>
        </w:rPr>
      </w:pPr>
      <w:r w:rsidRPr="00FF63D1">
        <w:rPr>
          <w:rFonts w:ascii="Times New Roman" w:eastAsia="Times New Roman" w:hAnsi="Times New Roman" w:cs="Times New Roman"/>
          <w:noProof/>
          <w:color w:val="000000" w:themeColor="text1"/>
          <w:sz w:val="24"/>
          <w:szCs w:val="24"/>
        </w:rPr>
        <w:t xml:space="preserve">Total adjustment costs have been calculated based on the market </w:t>
      </w:r>
      <w:r w:rsidR="004E1E30" w:rsidRPr="00FF63D1">
        <w:rPr>
          <w:rFonts w:ascii="Times New Roman" w:eastAsia="Times New Roman" w:hAnsi="Times New Roman" w:cs="Times New Roman"/>
          <w:noProof/>
          <w:color w:val="000000" w:themeColor="text1"/>
          <w:sz w:val="24"/>
          <w:szCs w:val="24"/>
        </w:rPr>
        <w:t xml:space="preserve">distribution </w:t>
      </w:r>
      <w:r w:rsidRPr="00FF63D1">
        <w:rPr>
          <w:rFonts w:ascii="Times New Roman" w:eastAsia="Times New Roman" w:hAnsi="Times New Roman" w:cs="Times New Roman"/>
          <w:noProof/>
          <w:color w:val="000000" w:themeColor="text1"/>
          <w:sz w:val="24"/>
          <w:szCs w:val="24"/>
        </w:rPr>
        <w:t>assumptions expressed below:</w:t>
      </w:r>
    </w:p>
    <w:p w14:paraId="2F54A3CA" w14:textId="1970FC2F" w:rsidR="00AB73D5" w:rsidRDefault="00632610" w:rsidP="00AB73D5">
      <w:pPr>
        <w:pStyle w:val="ListParagraph"/>
        <w:numPr>
          <w:ilvl w:val="0"/>
          <w:numId w:val="42"/>
        </w:numPr>
        <w:rPr>
          <w:rFonts w:eastAsia="Times New Roman" w:cs="Times New Roman"/>
          <w:noProof/>
          <w:color w:val="000000" w:themeColor="text1"/>
          <w:szCs w:val="24"/>
        </w:rPr>
      </w:pPr>
      <w:r w:rsidRPr="00AB73D5">
        <w:rPr>
          <w:noProof/>
          <w:szCs w:val="24"/>
        </w:rPr>
        <w:t>Assumptions</w:t>
      </w:r>
      <w:r w:rsidRPr="00F261DB">
        <w:rPr>
          <w:rFonts w:eastAsia="Times New Roman" w:cs="Times New Roman"/>
          <w:noProof/>
          <w:color w:val="000000" w:themeColor="text1"/>
          <w:szCs w:val="24"/>
        </w:rPr>
        <w:t xml:space="preserve"> of the market distribution betwee</w:t>
      </w:r>
      <w:r w:rsidR="0027448F" w:rsidRPr="00F261DB">
        <w:rPr>
          <w:rFonts w:eastAsia="Times New Roman" w:cs="Times New Roman"/>
          <w:noProof/>
          <w:color w:val="000000" w:themeColor="text1"/>
          <w:szCs w:val="24"/>
        </w:rPr>
        <w:t>n EV</w:t>
      </w:r>
      <w:r w:rsidR="00EE1062" w:rsidRPr="00F261DB">
        <w:rPr>
          <w:rFonts w:eastAsia="Times New Roman" w:cs="Times New Roman"/>
          <w:noProof/>
          <w:color w:val="000000" w:themeColor="text1"/>
          <w:szCs w:val="24"/>
        </w:rPr>
        <w:t>s</w:t>
      </w:r>
    </w:p>
    <w:p w14:paraId="046E7995" w14:textId="0AD09113" w:rsidR="00AB73D5" w:rsidRDefault="00C20665" w:rsidP="00AB73D5">
      <w:pPr>
        <w:pStyle w:val="ListParagraph"/>
        <w:numPr>
          <w:ilvl w:val="1"/>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3.5% through public procurement</w:t>
      </w:r>
    </w:p>
    <w:p w14:paraId="50B90BA7" w14:textId="40D38877" w:rsidR="00AB73D5" w:rsidRDefault="00EE1062" w:rsidP="00AB73D5">
      <w:pPr>
        <w:pStyle w:val="ListParagraph"/>
        <w:numPr>
          <w:ilvl w:val="1"/>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8</w:t>
      </w:r>
      <w:r w:rsidR="00B22BBD" w:rsidRPr="00AB73D5">
        <w:rPr>
          <w:rFonts w:eastAsia="Times New Roman" w:cs="Times New Roman"/>
          <w:noProof/>
          <w:color w:val="000000" w:themeColor="text1"/>
          <w:szCs w:val="24"/>
        </w:rPr>
        <w:t>0</w:t>
      </w:r>
      <w:r w:rsidR="003B3CE0" w:rsidRPr="00AB73D5">
        <w:rPr>
          <w:rFonts w:eastAsia="Times New Roman" w:cs="Times New Roman"/>
          <w:noProof/>
          <w:color w:val="000000" w:themeColor="text1"/>
          <w:szCs w:val="24"/>
        </w:rPr>
        <w:t>.2</w:t>
      </w:r>
      <w:r w:rsidRPr="00AB73D5">
        <w:rPr>
          <w:rFonts w:eastAsia="Times New Roman" w:cs="Times New Roman"/>
          <w:noProof/>
          <w:color w:val="000000" w:themeColor="text1"/>
          <w:szCs w:val="24"/>
        </w:rPr>
        <w:t>% public scheme</w:t>
      </w:r>
      <w:r w:rsidR="00F612A3" w:rsidRPr="00AB73D5">
        <w:rPr>
          <w:rFonts w:eastAsia="Times New Roman" w:cs="Times New Roman"/>
          <w:noProof/>
          <w:color w:val="000000" w:themeColor="text1"/>
          <w:szCs w:val="24"/>
        </w:rPr>
        <w:t>s</w:t>
      </w:r>
      <w:r w:rsidR="00F718D6" w:rsidRPr="00AB73D5">
        <w:rPr>
          <w:rFonts w:eastAsia="Times New Roman" w:cs="Times New Roman"/>
          <w:noProof/>
          <w:color w:val="000000" w:themeColor="text1"/>
          <w:szCs w:val="24"/>
        </w:rPr>
        <w:t xml:space="preserve">, of which 60% are </w:t>
      </w:r>
      <w:r w:rsidR="00CE709E" w:rsidRPr="00AB73D5">
        <w:rPr>
          <w:rFonts w:eastAsia="Times New Roman" w:cs="Times New Roman"/>
          <w:noProof/>
          <w:color w:val="000000" w:themeColor="text1"/>
          <w:szCs w:val="24"/>
        </w:rPr>
        <w:t xml:space="preserve">for </w:t>
      </w:r>
      <w:r w:rsidR="00F718D6" w:rsidRPr="00AB73D5">
        <w:rPr>
          <w:rFonts w:eastAsia="Times New Roman" w:cs="Times New Roman"/>
          <w:noProof/>
          <w:color w:val="000000" w:themeColor="text1"/>
          <w:szCs w:val="24"/>
        </w:rPr>
        <w:t xml:space="preserve">corporate </w:t>
      </w:r>
      <w:r w:rsidR="0071090C" w:rsidRPr="00AB73D5">
        <w:rPr>
          <w:rFonts w:eastAsia="Times New Roman" w:cs="Times New Roman"/>
          <w:noProof/>
          <w:color w:val="000000" w:themeColor="text1"/>
          <w:szCs w:val="24"/>
        </w:rPr>
        <w:t>consumers</w:t>
      </w:r>
      <w:r w:rsidR="00F718D6" w:rsidRPr="00AB73D5">
        <w:rPr>
          <w:rFonts w:eastAsia="Times New Roman" w:cs="Times New Roman"/>
          <w:noProof/>
          <w:color w:val="000000" w:themeColor="text1"/>
          <w:szCs w:val="24"/>
        </w:rPr>
        <w:t xml:space="preserve"> and </w:t>
      </w:r>
      <w:r w:rsidR="00F7272A" w:rsidRPr="00AB73D5">
        <w:rPr>
          <w:rFonts w:eastAsia="Times New Roman" w:cs="Times New Roman"/>
          <w:noProof/>
          <w:color w:val="000000" w:themeColor="text1"/>
          <w:szCs w:val="24"/>
        </w:rPr>
        <w:t xml:space="preserve">20.2% </w:t>
      </w:r>
      <w:r w:rsidR="00CE709E" w:rsidRPr="00AB73D5">
        <w:rPr>
          <w:rFonts w:eastAsia="Times New Roman" w:cs="Times New Roman"/>
          <w:noProof/>
          <w:color w:val="000000" w:themeColor="text1"/>
          <w:szCs w:val="24"/>
        </w:rPr>
        <w:t xml:space="preserve">for </w:t>
      </w:r>
      <w:r w:rsidR="00F7272A" w:rsidRPr="00AB73D5">
        <w:rPr>
          <w:rFonts w:eastAsia="Times New Roman" w:cs="Times New Roman"/>
          <w:noProof/>
          <w:color w:val="000000" w:themeColor="text1"/>
          <w:szCs w:val="24"/>
        </w:rPr>
        <w:t>private consumers.</w:t>
      </w:r>
    </w:p>
    <w:p w14:paraId="2AFBB48F" w14:textId="7DB486C9" w:rsidR="00EE1062" w:rsidRPr="00AB73D5" w:rsidRDefault="0053029A" w:rsidP="00AB73D5">
      <w:pPr>
        <w:pStyle w:val="ListParagraph"/>
        <w:numPr>
          <w:ilvl w:val="1"/>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16.3% through consumers.</w:t>
      </w:r>
    </w:p>
    <w:p w14:paraId="639D694B" w14:textId="02F4D340" w:rsidR="002577E1" w:rsidRPr="00F261DB" w:rsidRDefault="003B3CE0" w:rsidP="00AB73D5">
      <w:pPr>
        <w:pStyle w:val="ListParagraph"/>
        <w:numPr>
          <w:ilvl w:val="0"/>
          <w:numId w:val="42"/>
        </w:numPr>
        <w:rPr>
          <w:rFonts w:eastAsia="Times New Roman" w:cs="Times New Roman"/>
          <w:noProof/>
          <w:color w:val="000000" w:themeColor="text1"/>
          <w:szCs w:val="24"/>
        </w:rPr>
      </w:pPr>
      <w:r w:rsidRPr="00AB73D5">
        <w:rPr>
          <w:noProof/>
          <w:szCs w:val="24"/>
        </w:rPr>
        <w:t>Assumptions</w:t>
      </w:r>
      <w:r w:rsidRPr="00F261DB">
        <w:rPr>
          <w:rFonts w:eastAsia="Times New Roman" w:cs="Times New Roman"/>
          <w:noProof/>
          <w:color w:val="000000" w:themeColor="text1"/>
          <w:szCs w:val="24"/>
        </w:rPr>
        <w:t xml:space="preserve"> of the market distribution for BESS</w:t>
      </w:r>
    </w:p>
    <w:p w14:paraId="3D363829" w14:textId="33939FAC" w:rsidR="003B3CE0" w:rsidRPr="00F261DB" w:rsidRDefault="000C50A4" w:rsidP="00AB73D5">
      <w:pPr>
        <w:pStyle w:val="ListParagraph"/>
        <w:numPr>
          <w:ilvl w:val="1"/>
          <w:numId w:val="42"/>
        </w:numPr>
        <w:rPr>
          <w:rFonts w:eastAsia="Times New Roman" w:cs="Times New Roman"/>
          <w:noProof/>
          <w:color w:val="000000" w:themeColor="text1"/>
          <w:szCs w:val="24"/>
        </w:rPr>
      </w:pPr>
      <w:r w:rsidRPr="00F261DB">
        <w:rPr>
          <w:rFonts w:eastAsia="Times New Roman" w:cs="Times New Roman"/>
          <w:noProof/>
          <w:color w:val="000000" w:themeColor="text1"/>
          <w:szCs w:val="24"/>
        </w:rPr>
        <w:t>5% through BESS auctions</w:t>
      </w:r>
    </w:p>
    <w:p w14:paraId="497B7E9F" w14:textId="1DE0150E" w:rsidR="00A942E2" w:rsidRDefault="001B1B40" w:rsidP="00AB73D5">
      <w:pPr>
        <w:pStyle w:val="ListParagraph"/>
        <w:numPr>
          <w:ilvl w:val="1"/>
          <w:numId w:val="42"/>
        </w:numPr>
        <w:rPr>
          <w:rFonts w:eastAsia="Times New Roman" w:cs="Times New Roman"/>
          <w:noProof/>
          <w:color w:val="000000" w:themeColor="text1"/>
          <w:szCs w:val="24"/>
        </w:rPr>
      </w:pPr>
      <w:r w:rsidRPr="00F261DB">
        <w:rPr>
          <w:rFonts w:eastAsia="Times New Roman" w:cs="Times New Roman"/>
          <w:noProof/>
          <w:color w:val="000000" w:themeColor="text1"/>
          <w:szCs w:val="24"/>
        </w:rPr>
        <w:t>95</w:t>
      </w:r>
      <w:r w:rsidR="002320F0" w:rsidRPr="00F261DB">
        <w:rPr>
          <w:rFonts w:eastAsia="Times New Roman" w:cs="Times New Roman"/>
          <w:noProof/>
          <w:color w:val="000000" w:themeColor="text1"/>
          <w:szCs w:val="24"/>
        </w:rPr>
        <w:t>% through</w:t>
      </w:r>
      <w:r w:rsidRPr="00F261DB">
        <w:rPr>
          <w:rFonts w:eastAsia="Times New Roman" w:cs="Times New Roman"/>
          <w:noProof/>
          <w:color w:val="000000" w:themeColor="text1"/>
          <w:szCs w:val="24"/>
        </w:rPr>
        <w:t xml:space="preserve"> </w:t>
      </w:r>
      <w:r w:rsidR="001C76DA" w:rsidRPr="00F261DB">
        <w:rPr>
          <w:rFonts w:eastAsia="Times New Roman" w:cs="Times New Roman"/>
          <w:noProof/>
          <w:color w:val="000000" w:themeColor="text1"/>
          <w:szCs w:val="24"/>
        </w:rPr>
        <w:t>consumers</w:t>
      </w:r>
      <w:r w:rsidR="0081706B" w:rsidRPr="00F261DB">
        <w:rPr>
          <w:rFonts w:eastAsia="Times New Roman" w:cs="Times New Roman"/>
          <w:noProof/>
          <w:color w:val="000000" w:themeColor="text1"/>
          <w:szCs w:val="24"/>
        </w:rPr>
        <w:t xml:space="preserve"> (57% citizens and 38% companies)</w:t>
      </w:r>
    </w:p>
    <w:p w14:paraId="35BF8AFF" w14:textId="77777777" w:rsidR="00AB73D5" w:rsidRPr="00AB73D5" w:rsidRDefault="00AB73D5" w:rsidP="00AB73D5">
      <w:pPr>
        <w:rPr>
          <w:rFonts w:eastAsia="Times New Roman" w:cs="Times New Roman"/>
          <w:noProof/>
          <w:color w:val="000000" w:themeColor="text1"/>
          <w:szCs w:val="24"/>
        </w:rPr>
      </w:pPr>
    </w:p>
    <w:p w14:paraId="7BD87190" w14:textId="3145B3F9" w:rsidR="006102F0" w:rsidRPr="00F261DB" w:rsidRDefault="00A73F9B" w:rsidP="00AB73D5">
      <w:pPr>
        <w:spacing w:after="120"/>
        <w:rPr>
          <w:rFonts w:eastAsia="Times New Roman" w:cs="Times New Roman"/>
          <w:noProof/>
          <w:color w:val="000000" w:themeColor="text1"/>
          <w:szCs w:val="24"/>
        </w:rPr>
      </w:pPr>
      <w:r w:rsidRPr="00F261DB">
        <w:rPr>
          <w:rFonts w:eastAsia="Times New Roman" w:cs="Times New Roman"/>
          <w:noProof/>
          <w:color w:val="000000" w:themeColor="text1"/>
          <w:szCs w:val="24"/>
        </w:rPr>
        <w:t xml:space="preserve">In </w:t>
      </w:r>
      <w:r w:rsidR="00627B31" w:rsidRPr="00F261DB">
        <w:rPr>
          <w:rFonts w:eastAsia="Times New Roman" w:cs="Times New Roman"/>
          <w:noProof/>
          <w:color w:val="000000" w:themeColor="text1"/>
          <w:szCs w:val="24"/>
        </w:rPr>
        <w:t>LEAD_BAT</w:t>
      </w:r>
      <w:r w:rsidR="00F03FC9">
        <w:rPr>
          <w:rFonts w:eastAsia="Times New Roman" w:cs="Times New Roman"/>
          <w:noProof/>
          <w:color w:val="000000" w:themeColor="text1"/>
          <w:szCs w:val="24"/>
        </w:rPr>
        <w:t xml:space="preserve"> </w:t>
      </w:r>
      <w:r w:rsidR="00627B31" w:rsidRPr="00F261DB">
        <w:rPr>
          <w:rFonts w:eastAsia="Times New Roman" w:cs="Times New Roman"/>
          <w:noProof/>
          <w:color w:val="000000" w:themeColor="text1"/>
          <w:szCs w:val="24"/>
        </w:rPr>
        <w:t>1</w:t>
      </w:r>
      <w:r w:rsidR="00B92291" w:rsidRPr="00F261DB">
        <w:rPr>
          <w:rFonts w:eastAsia="Times New Roman" w:cs="Times New Roman"/>
          <w:noProof/>
          <w:color w:val="000000" w:themeColor="text1"/>
          <w:szCs w:val="24"/>
        </w:rPr>
        <w:t xml:space="preserve">, </w:t>
      </w:r>
      <w:r w:rsidR="00E52818" w:rsidRPr="00FF63D1">
        <w:rPr>
          <w:rFonts w:eastAsia="Times New Roman" w:cs="Times New Roman"/>
          <w:noProof/>
          <w:color w:val="000000" w:themeColor="text1"/>
          <w:szCs w:val="24"/>
        </w:rPr>
        <w:t>f</w:t>
      </w:r>
      <w:r w:rsidR="006102F0" w:rsidRPr="00F261DB">
        <w:rPr>
          <w:rFonts w:eastAsia="Times New Roman" w:cs="Times New Roman"/>
          <w:noProof/>
          <w:color w:val="000000" w:themeColor="text1"/>
          <w:szCs w:val="24"/>
        </w:rPr>
        <w:t>or those consumers</w:t>
      </w:r>
      <w:r w:rsidR="00642CF7" w:rsidRPr="00FF63D1">
        <w:rPr>
          <w:rFonts w:eastAsia="Times New Roman" w:cs="Times New Roman"/>
          <w:noProof/>
          <w:color w:val="000000" w:themeColor="text1"/>
          <w:szCs w:val="24"/>
        </w:rPr>
        <w:t xml:space="preserve">, private or corporate, </w:t>
      </w:r>
      <w:r w:rsidR="006102F0" w:rsidRPr="00F261DB">
        <w:rPr>
          <w:rFonts w:eastAsia="Times New Roman" w:cs="Times New Roman"/>
          <w:noProof/>
          <w:color w:val="000000" w:themeColor="text1"/>
          <w:szCs w:val="24"/>
        </w:rPr>
        <w:t>choosing to buy vehicles</w:t>
      </w:r>
      <w:r w:rsidR="00094A94" w:rsidRPr="00F261DB">
        <w:rPr>
          <w:rFonts w:eastAsia="Times New Roman" w:cs="Times New Roman"/>
          <w:noProof/>
          <w:color w:val="000000" w:themeColor="text1"/>
          <w:szCs w:val="24"/>
        </w:rPr>
        <w:t xml:space="preserve"> without</w:t>
      </w:r>
      <w:r w:rsidR="00871753" w:rsidRPr="00F261DB">
        <w:rPr>
          <w:rFonts w:eastAsia="Times New Roman" w:cs="Times New Roman"/>
          <w:noProof/>
          <w:color w:val="000000" w:themeColor="text1"/>
          <w:szCs w:val="24"/>
        </w:rPr>
        <w:t xml:space="preserve"> European batteries,</w:t>
      </w:r>
      <w:r w:rsidR="006102F0" w:rsidRPr="00F261DB">
        <w:rPr>
          <w:rFonts w:eastAsia="Times New Roman" w:cs="Times New Roman"/>
          <w:noProof/>
          <w:color w:val="000000" w:themeColor="text1"/>
          <w:szCs w:val="24"/>
        </w:rPr>
        <w:t xml:space="preserve"> the price would not be impacted</w:t>
      </w:r>
      <w:r w:rsidR="004F68CA" w:rsidRPr="00F261DB">
        <w:rPr>
          <w:rFonts w:eastAsia="Times New Roman" w:cs="Times New Roman"/>
          <w:noProof/>
          <w:color w:val="000000" w:themeColor="text1"/>
          <w:szCs w:val="24"/>
        </w:rPr>
        <w:t xml:space="preserve"> but would not benefit from a public subsidy</w:t>
      </w:r>
      <w:r w:rsidR="00A1722B" w:rsidRPr="00F261DB">
        <w:rPr>
          <w:rFonts w:eastAsia="Times New Roman" w:cs="Times New Roman"/>
          <w:noProof/>
          <w:color w:val="000000" w:themeColor="text1"/>
          <w:szCs w:val="24"/>
        </w:rPr>
        <w:t xml:space="preserve"> either</w:t>
      </w:r>
      <w:r w:rsidR="006102F0" w:rsidRPr="00F261DB">
        <w:rPr>
          <w:rFonts w:eastAsia="Times New Roman" w:cs="Times New Roman"/>
          <w:noProof/>
          <w:color w:val="000000" w:themeColor="text1"/>
          <w:szCs w:val="24"/>
        </w:rPr>
        <w:t>.</w:t>
      </w:r>
      <w:r w:rsidR="00270866" w:rsidRPr="00F261DB">
        <w:rPr>
          <w:rFonts w:eastAsia="Times New Roman" w:cs="Times New Roman"/>
          <w:noProof/>
          <w:color w:val="000000" w:themeColor="text1"/>
          <w:szCs w:val="24"/>
        </w:rPr>
        <w:t xml:space="preserve"> This means that the total cost calculated for </w:t>
      </w:r>
      <w:r w:rsidR="000879C2" w:rsidRPr="00F261DB" w:rsidDel="00166E64">
        <w:rPr>
          <w:rFonts w:eastAsia="Times New Roman" w:cs="Times New Roman"/>
          <w:noProof/>
          <w:color w:val="000000" w:themeColor="text1"/>
          <w:szCs w:val="24"/>
        </w:rPr>
        <w:t>consumers</w:t>
      </w:r>
      <w:r w:rsidR="00590A32" w:rsidRPr="00F261DB" w:rsidDel="000879C2">
        <w:rPr>
          <w:rFonts w:eastAsia="Times New Roman" w:cs="Times New Roman"/>
          <w:noProof/>
          <w:color w:val="000000" w:themeColor="text1"/>
          <w:szCs w:val="24"/>
        </w:rPr>
        <w:t xml:space="preserve"> </w:t>
      </w:r>
      <w:r w:rsidR="00590A32" w:rsidRPr="00F261DB">
        <w:rPr>
          <w:rFonts w:eastAsia="Times New Roman" w:cs="Times New Roman"/>
          <w:noProof/>
          <w:color w:val="000000" w:themeColor="text1"/>
          <w:szCs w:val="24"/>
        </w:rPr>
        <w:t>is only a theoretical maximum</w:t>
      </w:r>
      <w:r w:rsidR="00A1722B" w:rsidRPr="00F261DB">
        <w:rPr>
          <w:rFonts w:eastAsia="Times New Roman" w:cs="Times New Roman"/>
          <w:noProof/>
          <w:color w:val="000000" w:themeColor="text1"/>
          <w:szCs w:val="24"/>
        </w:rPr>
        <w:t>,</w:t>
      </w:r>
      <w:r w:rsidR="00D70EAF" w:rsidRPr="00F261DB">
        <w:rPr>
          <w:rFonts w:eastAsia="Times New Roman" w:cs="Times New Roman"/>
          <w:noProof/>
          <w:color w:val="000000" w:themeColor="text1"/>
          <w:szCs w:val="24"/>
        </w:rPr>
        <w:t xml:space="preserve"> not considering consumer decisions, and</w:t>
      </w:r>
      <w:r w:rsidR="00E04029" w:rsidRPr="00F261DB">
        <w:rPr>
          <w:rFonts w:eastAsia="Times New Roman" w:cs="Times New Roman"/>
          <w:noProof/>
          <w:color w:val="000000" w:themeColor="text1"/>
          <w:szCs w:val="24"/>
        </w:rPr>
        <w:t xml:space="preserve"> based on the assumption that </w:t>
      </w:r>
      <w:r w:rsidR="005A709D" w:rsidRPr="00F261DB">
        <w:rPr>
          <w:rFonts w:eastAsia="Times New Roman" w:cs="Times New Roman"/>
          <w:noProof/>
          <w:color w:val="000000" w:themeColor="text1"/>
          <w:szCs w:val="24"/>
        </w:rPr>
        <w:t xml:space="preserve">the </w:t>
      </w:r>
      <w:r w:rsidR="00D935CF" w:rsidRPr="00F261DB">
        <w:rPr>
          <w:rFonts w:eastAsia="Times New Roman" w:cs="Times New Roman"/>
          <w:noProof/>
          <w:color w:val="000000" w:themeColor="text1"/>
          <w:szCs w:val="24"/>
        </w:rPr>
        <w:t xml:space="preserve">demand side </w:t>
      </w:r>
      <w:r w:rsidR="00DC0458" w:rsidRPr="00F261DB">
        <w:rPr>
          <w:rFonts w:eastAsia="Times New Roman" w:cs="Times New Roman"/>
          <w:noProof/>
          <w:color w:val="000000" w:themeColor="text1"/>
          <w:szCs w:val="24"/>
        </w:rPr>
        <w:t>incentives</w:t>
      </w:r>
      <w:r w:rsidR="0083110A" w:rsidRPr="00F261DB">
        <w:rPr>
          <w:rFonts w:eastAsia="Times New Roman" w:cs="Times New Roman"/>
          <w:noProof/>
          <w:color w:val="000000" w:themeColor="text1"/>
          <w:szCs w:val="24"/>
        </w:rPr>
        <w:t xml:space="preserve"> will </w:t>
      </w:r>
      <w:r w:rsidR="00D93941" w:rsidRPr="00F261DB">
        <w:rPr>
          <w:rFonts w:eastAsia="Times New Roman" w:cs="Times New Roman"/>
          <w:noProof/>
          <w:color w:val="000000" w:themeColor="text1"/>
          <w:szCs w:val="24"/>
        </w:rPr>
        <w:t xml:space="preserve">continue to </w:t>
      </w:r>
      <w:r w:rsidR="0083110A" w:rsidRPr="00F261DB">
        <w:rPr>
          <w:rFonts w:eastAsia="Times New Roman" w:cs="Times New Roman"/>
          <w:noProof/>
          <w:color w:val="000000" w:themeColor="text1"/>
          <w:szCs w:val="24"/>
        </w:rPr>
        <w:t xml:space="preserve">cover </w:t>
      </w:r>
      <w:r w:rsidR="00D93941" w:rsidRPr="00F261DB">
        <w:rPr>
          <w:rFonts w:eastAsia="Times New Roman" w:cs="Times New Roman"/>
          <w:noProof/>
          <w:color w:val="000000" w:themeColor="text1"/>
          <w:szCs w:val="24"/>
        </w:rPr>
        <w:t xml:space="preserve">part of </w:t>
      </w:r>
      <w:r w:rsidR="00D935CF" w:rsidRPr="00F261DB">
        <w:rPr>
          <w:rFonts w:eastAsia="Times New Roman" w:cs="Times New Roman"/>
          <w:noProof/>
          <w:color w:val="000000" w:themeColor="text1"/>
          <w:szCs w:val="24"/>
        </w:rPr>
        <w:t xml:space="preserve">the </w:t>
      </w:r>
      <w:r w:rsidR="00B213C5" w:rsidRPr="00F261DB">
        <w:rPr>
          <w:rFonts w:eastAsia="Times New Roman" w:cs="Times New Roman"/>
          <w:noProof/>
          <w:color w:val="000000" w:themeColor="text1"/>
          <w:szCs w:val="24"/>
        </w:rPr>
        <w:t>European</w:t>
      </w:r>
      <w:r w:rsidR="00D935CF" w:rsidRPr="00F261DB">
        <w:rPr>
          <w:rFonts w:eastAsia="Times New Roman" w:cs="Times New Roman"/>
          <w:noProof/>
          <w:color w:val="000000" w:themeColor="text1"/>
          <w:szCs w:val="24"/>
        </w:rPr>
        <w:t xml:space="preserve"> EV demand</w:t>
      </w:r>
      <w:r w:rsidR="00590A32" w:rsidRPr="00F261DB">
        <w:rPr>
          <w:rFonts w:eastAsia="Times New Roman" w:cs="Times New Roman"/>
          <w:noProof/>
          <w:color w:val="000000" w:themeColor="text1"/>
          <w:szCs w:val="24"/>
        </w:rPr>
        <w:t>.</w:t>
      </w:r>
      <w:r w:rsidR="00D01E1D" w:rsidRPr="00F261DB">
        <w:rPr>
          <w:rFonts w:eastAsia="Times New Roman" w:cs="Times New Roman"/>
          <w:noProof/>
          <w:color w:val="000000" w:themeColor="text1"/>
          <w:szCs w:val="24"/>
        </w:rPr>
        <w:t xml:space="preserv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1"/>
        <w:gridCol w:w="1565"/>
        <w:gridCol w:w="1779"/>
        <w:gridCol w:w="3707"/>
      </w:tblGrid>
      <w:tr w:rsidR="005D0D27" w:rsidRPr="00F80C7E" w14:paraId="6DDCCDE6" w14:textId="77777777" w:rsidTr="00B1679C">
        <w:trPr>
          <w:trHeight w:val="285"/>
          <w:tblHeader/>
        </w:trPr>
        <w:tc>
          <w:tcPr>
            <w:tcW w:w="1282" w:type="pct"/>
            <w:tcBorders>
              <w:top w:val="single" w:sz="6" w:space="0" w:color="auto"/>
              <w:left w:val="single" w:sz="6" w:space="0" w:color="auto"/>
              <w:bottom w:val="single" w:sz="6" w:space="0" w:color="auto"/>
              <w:right w:val="single" w:sz="6" w:space="0" w:color="auto"/>
            </w:tcBorders>
            <w:vAlign w:val="center"/>
            <w:hideMark/>
          </w:tcPr>
          <w:p w14:paraId="419CFF82" w14:textId="53A49CB9" w:rsidR="005D0D27" w:rsidRPr="00E71388" w:rsidRDefault="004451D7" w:rsidP="006233C9">
            <w:pPr>
              <w:pStyle w:val="JRCText"/>
              <w:jc w:val="center"/>
              <w:rPr>
                <w:rFonts w:ascii="Times New Roman" w:hAnsi="Times New Roman" w:cs="Times New Roman"/>
                <w:i/>
                <w:noProof/>
                <w:color w:val="000000" w:themeColor="text1"/>
                <w:sz w:val="24"/>
                <w:szCs w:val="24"/>
              </w:rPr>
            </w:pPr>
            <w:r w:rsidRPr="00E71388">
              <w:rPr>
                <w:rFonts w:ascii="Times New Roman" w:hAnsi="Times New Roman" w:cs="Times New Roman"/>
                <w:b/>
                <w:i/>
                <w:noProof/>
                <w:color w:val="000000" w:themeColor="text1"/>
                <w:sz w:val="24"/>
                <w:szCs w:val="24"/>
              </w:rPr>
              <w:t>LEAD_BAT</w:t>
            </w:r>
          </w:p>
        </w:tc>
        <w:tc>
          <w:tcPr>
            <w:tcW w:w="3718" w:type="pct"/>
            <w:gridSpan w:val="3"/>
            <w:tcBorders>
              <w:top w:val="single" w:sz="6" w:space="0" w:color="auto"/>
              <w:left w:val="single" w:sz="6" w:space="0" w:color="auto"/>
              <w:bottom w:val="single" w:sz="6" w:space="0" w:color="auto"/>
              <w:right w:val="single" w:sz="6" w:space="0" w:color="auto"/>
            </w:tcBorders>
            <w:vAlign w:val="center"/>
            <w:hideMark/>
          </w:tcPr>
          <w:p w14:paraId="3F02EA21" w14:textId="14989197"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eastAsia="Times New Roman" w:hAnsi="Times New Roman" w:cs="Times New Roman"/>
                <w:noProof/>
                <w:color w:val="000000" w:themeColor="text1"/>
                <w:sz w:val="24"/>
                <w:szCs w:val="24"/>
              </w:rPr>
              <w:t>Difference to the baseline</w:t>
            </w:r>
          </w:p>
        </w:tc>
      </w:tr>
      <w:tr w:rsidR="005D0D27" w:rsidRPr="00F80C7E" w14:paraId="3FB8C561" w14:textId="77777777" w:rsidTr="00B1679C">
        <w:trPr>
          <w:trHeight w:val="285"/>
          <w:tblHeader/>
        </w:trPr>
        <w:tc>
          <w:tcPr>
            <w:tcW w:w="1282" w:type="pct"/>
            <w:tcBorders>
              <w:top w:val="single" w:sz="6" w:space="0" w:color="auto"/>
              <w:left w:val="single" w:sz="6" w:space="0" w:color="auto"/>
              <w:bottom w:val="single" w:sz="6" w:space="0" w:color="auto"/>
              <w:right w:val="single" w:sz="6" w:space="0" w:color="auto"/>
            </w:tcBorders>
            <w:vAlign w:val="center"/>
            <w:hideMark/>
          </w:tcPr>
          <w:p w14:paraId="4AD3EF8F" w14:textId="3C99C1E5" w:rsidR="005D0D27" w:rsidRPr="00E71388" w:rsidRDefault="005D0D27" w:rsidP="006233C9">
            <w:pPr>
              <w:pStyle w:val="JRCText"/>
              <w:jc w:val="center"/>
              <w:rPr>
                <w:rFonts w:ascii="Times New Roman" w:hAnsi="Times New Roman" w:cs="Times New Roman"/>
                <w:noProof/>
                <w:color w:val="000000" w:themeColor="text1"/>
                <w:sz w:val="24"/>
                <w:szCs w:val="24"/>
              </w:rPr>
            </w:pPr>
          </w:p>
        </w:tc>
        <w:tc>
          <w:tcPr>
            <w:tcW w:w="825" w:type="pct"/>
            <w:tcBorders>
              <w:top w:val="single" w:sz="6" w:space="0" w:color="auto"/>
              <w:left w:val="single" w:sz="6" w:space="0" w:color="auto"/>
              <w:bottom w:val="single" w:sz="6" w:space="0" w:color="auto"/>
              <w:right w:val="single" w:sz="6" w:space="0" w:color="auto"/>
            </w:tcBorders>
            <w:vAlign w:val="center"/>
            <w:hideMark/>
          </w:tcPr>
          <w:p w14:paraId="3F9A164B" w14:textId="71B039C1" w:rsidR="005D0D27" w:rsidRPr="00E71388" w:rsidRDefault="005D0D27" w:rsidP="006233C9">
            <w:pPr>
              <w:pStyle w:val="JRCText"/>
              <w:ind w:right="536"/>
              <w:jc w:val="center"/>
              <w:rPr>
                <w:rFonts w:ascii="Times New Roman" w:hAnsi="Times New Roman" w:cs="Times New Roman"/>
                <w:noProof/>
                <w:color w:val="000000" w:themeColor="text1"/>
                <w:sz w:val="24"/>
                <w:szCs w:val="24"/>
              </w:rPr>
            </w:pPr>
            <w:r w:rsidRPr="00E71388">
              <w:rPr>
                <w:rFonts w:ascii="Times New Roman" w:hAnsi="Times New Roman" w:cs="Times New Roman"/>
                <w:b/>
                <w:noProof/>
                <w:color w:val="000000" w:themeColor="text1"/>
                <w:sz w:val="24"/>
                <w:szCs w:val="24"/>
              </w:rPr>
              <w:t>PO1</w:t>
            </w:r>
          </w:p>
        </w:tc>
        <w:tc>
          <w:tcPr>
            <w:tcW w:w="938" w:type="pct"/>
            <w:tcBorders>
              <w:top w:val="nil"/>
              <w:left w:val="single" w:sz="6" w:space="0" w:color="auto"/>
              <w:bottom w:val="single" w:sz="6" w:space="0" w:color="auto"/>
              <w:right w:val="single" w:sz="6" w:space="0" w:color="auto"/>
            </w:tcBorders>
            <w:vAlign w:val="center"/>
            <w:hideMark/>
          </w:tcPr>
          <w:p w14:paraId="155610D1" w14:textId="10A49541"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b/>
                <w:noProof/>
                <w:color w:val="000000" w:themeColor="text1"/>
                <w:sz w:val="24"/>
                <w:szCs w:val="24"/>
              </w:rPr>
              <w:t>PO2</w:t>
            </w:r>
          </w:p>
        </w:tc>
        <w:tc>
          <w:tcPr>
            <w:tcW w:w="1954" w:type="pct"/>
            <w:tcBorders>
              <w:top w:val="nil"/>
              <w:left w:val="single" w:sz="6" w:space="0" w:color="auto"/>
              <w:bottom w:val="single" w:sz="6" w:space="0" w:color="auto"/>
              <w:right w:val="single" w:sz="6" w:space="0" w:color="auto"/>
            </w:tcBorders>
            <w:vAlign w:val="center"/>
            <w:hideMark/>
          </w:tcPr>
          <w:p w14:paraId="21CFE60A" w14:textId="14FEA712"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b/>
                <w:noProof/>
                <w:color w:val="000000" w:themeColor="text1"/>
                <w:sz w:val="24"/>
                <w:szCs w:val="24"/>
              </w:rPr>
              <w:t>PO3</w:t>
            </w:r>
          </w:p>
        </w:tc>
      </w:tr>
      <w:tr w:rsidR="00A201A1" w:rsidRPr="00F80C7E" w14:paraId="05071178"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E78F979" w14:textId="085C29D2"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FFFFFF" w:themeColor="background1"/>
                <w:sz w:val="24"/>
                <w:szCs w:val="24"/>
              </w:rPr>
              <w:t>Member States administrations</w:t>
            </w:r>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2076BA0" w14:textId="52BD0D51" w:rsidR="005D0D27" w:rsidRPr="00E71388" w:rsidRDefault="005D0D27" w:rsidP="006233C9">
            <w:pPr>
              <w:pStyle w:val="JRCText"/>
              <w:jc w:val="center"/>
              <w:rPr>
                <w:rFonts w:ascii="Times New Roman" w:hAnsi="Times New Roman" w:cs="Times New Roman"/>
                <w:noProof/>
                <w:color w:val="000000" w:themeColor="text1"/>
                <w:sz w:val="24"/>
                <w:szCs w:val="24"/>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1B8BCB5" w14:textId="39B4C6D3" w:rsidR="005D0D27" w:rsidRPr="00E71388" w:rsidRDefault="005D0D27" w:rsidP="006233C9">
            <w:pPr>
              <w:pStyle w:val="JRCText"/>
              <w:jc w:val="center"/>
              <w:rPr>
                <w:rFonts w:ascii="Times New Roman" w:hAnsi="Times New Roman" w:cs="Times New Roman"/>
                <w:noProof/>
                <w:color w:val="000000" w:themeColor="text1"/>
                <w:sz w:val="24"/>
                <w:szCs w:val="24"/>
              </w:rPr>
            </w:pPr>
          </w:p>
        </w:tc>
        <w:tc>
          <w:tcPr>
            <w:tcW w:w="195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472C2EAA" w14:textId="673C63CB" w:rsidR="005D0D27" w:rsidRPr="00E71388" w:rsidRDefault="005D0D27" w:rsidP="006233C9">
            <w:pPr>
              <w:pStyle w:val="JRCText"/>
              <w:jc w:val="center"/>
              <w:rPr>
                <w:rFonts w:ascii="Times New Roman" w:hAnsi="Times New Roman" w:cs="Times New Roman"/>
                <w:noProof/>
                <w:color w:val="000000" w:themeColor="text1"/>
                <w:sz w:val="24"/>
                <w:szCs w:val="24"/>
              </w:rPr>
            </w:pPr>
          </w:p>
        </w:tc>
      </w:tr>
      <w:tr w:rsidR="005D0D27" w:rsidRPr="00F80C7E" w14:paraId="73A8AC3B"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7B35D6AC" w14:textId="12CD461B" w:rsidR="005D0D27" w:rsidRPr="00E71388" w:rsidRDefault="005D0D27" w:rsidP="006233C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Adjustment costs (recurring)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5E37D907" w14:textId="02921341"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eastAsia="Times New Roman" w:hAnsi="Times New Roman" w:cs="Times New Roman"/>
                <w:noProof/>
                <w:color w:val="000000" w:themeColor="text1"/>
                <w:sz w:val="24"/>
                <w:szCs w:val="24"/>
              </w:rPr>
              <w:t>Auctions for BESS (5% of total BESS demand): EUR 26 – 66 million</w:t>
            </w:r>
            <w:r w:rsidR="008E66F8" w:rsidRPr="00E71388">
              <w:rPr>
                <w:rFonts w:ascii="Times New Roman" w:eastAsia="Times New Roman" w:hAnsi="Times New Roman" w:cs="Times New Roman"/>
                <w:noProof/>
                <w:color w:val="000000" w:themeColor="text1"/>
                <w:sz w:val="24"/>
                <w:szCs w:val="24"/>
              </w:rPr>
              <w:t xml:space="preserve"> (average EUR</w:t>
            </w:r>
            <w:r w:rsidR="00D172F8" w:rsidRPr="00E71388">
              <w:rPr>
                <w:rFonts w:ascii="Times New Roman" w:eastAsia="Times New Roman" w:hAnsi="Times New Roman" w:cs="Times New Roman"/>
                <w:noProof/>
                <w:color w:val="000000" w:themeColor="text1"/>
                <w:sz w:val="24"/>
                <w:szCs w:val="24"/>
              </w:rPr>
              <w:t xml:space="preserve"> 4</w:t>
            </w:r>
            <w:r w:rsidR="00C03EEE">
              <w:rPr>
                <w:rFonts w:ascii="Times New Roman" w:eastAsia="Times New Roman" w:hAnsi="Times New Roman" w:cs="Times New Roman"/>
                <w:noProof/>
                <w:color w:val="000000" w:themeColor="text1"/>
                <w:sz w:val="24"/>
                <w:szCs w:val="24"/>
              </w:rPr>
              <w:t>6</w:t>
            </w:r>
            <w:r w:rsidR="00D172F8" w:rsidRPr="00E71388">
              <w:rPr>
                <w:rFonts w:ascii="Times New Roman" w:eastAsia="Times New Roman" w:hAnsi="Times New Roman" w:cs="Times New Roman"/>
                <w:noProof/>
                <w:color w:val="000000" w:themeColor="text1"/>
                <w:sz w:val="24"/>
                <w:szCs w:val="24"/>
              </w:rPr>
              <w:t xml:space="preserve"> million)</w:t>
            </w:r>
          </w:p>
          <w:p w14:paraId="1F8DC919" w14:textId="49282718"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Public </w:t>
            </w:r>
            <w:r w:rsidR="007344E7">
              <w:rPr>
                <w:rFonts w:ascii="Times New Roman" w:hAnsi="Times New Roman" w:cs="Times New Roman"/>
                <w:noProof/>
                <w:color w:val="000000" w:themeColor="text1"/>
                <w:sz w:val="24"/>
                <w:szCs w:val="24"/>
              </w:rPr>
              <w:t>p</w:t>
            </w:r>
            <w:r w:rsidRPr="00E71388">
              <w:rPr>
                <w:rFonts w:ascii="Times New Roman" w:hAnsi="Times New Roman" w:cs="Times New Roman"/>
                <w:noProof/>
                <w:color w:val="000000" w:themeColor="text1"/>
                <w:sz w:val="24"/>
                <w:szCs w:val="24"/>
              </w:rPr>
              <w:t xml:space="preserve">rocurement for EVs (3.5% of total EV demand): EUR </w:t>
            </w:r>
            <w:r w:rsidR="00796606" w:rsidRPr="00E71388">
              <w:rPr>
                <w:rFonts w:ascii="Times New Roman" w:eastAsia="Times New Roman" w:hAnsi="Times New Roman" w:cs="Times New Roman"/>
                <w:noProof/>
                <w:color w:val="000000" w:themeColor="text1"/>
                <w:sz w:val="24"/>
                <w:szCs w:val="24"/>
              </w:rPr>
              <w:t>132</w:t>
            </w:r>
            <w:r w:rsidRPr="00E71388">
              <w:rPr>
                <w:rFonts w:ascii="Times New Roman" w:eastAsia="Times New Roman" w:hAnsi="Times New Roman" w:cs="Times New Roman"/>
                <w:noProof/>
                <w:color w:val="000000" w:themeColor="text1"/>
                <w:sz w:val="24"/>
                <w:szCs w:val="24"/>
              </w:rPr>
              <w:t xml:space="preserve"> – </w:t>
            </w:r>
            <w:r w:rsidR="00796606" w:rsidRPr="00E71388">
              <w:rPr>
                <w:rFonts w:ascii="Times New Roman" w:eastAsia="Times New Roman" w:hAnsi="Times New Roman" w:cs="Times New Roman"/>
                <w:noProof/>
                <w:color w:val="000000" w:themeColor="text1"/>
                <w:sz w:val="24"/>
                <w:szCs w:val="24"/>
              </w:rPr>
              <w:t>331</w:t>
            </w:r>
            <w:r w:rsidRPr="00E71388">
              <w:rPr>
                <w:rFonts w:ascii="Times New Roman" w:hAnsi="Times New Roman" w:cs="Times New Roman"/>
                <w:noProof/>
                <w:color w:val="000000" w:themeColor="text1"/>
                <w:sz w:val="24"/>
                <w:szCs w:val="24"/>
              </w:rPr>
              <w:t xml:space="preserve"> million</w:t>
            </w:r>
            <w:r w:rsidR="00D172F8" w:rsidRPr="00E71388">
              <w:rPr>
                <w:rFonts w:ascii="Times New Roman" w:hAnsi="Times New Roman" w:cs="Times New Roman"/>
                <w:noProof/>
                <w:color w:val="000000" w:themeColor="text1"/>
                <w:sz w:val="24"/>
                <w:szCs w:val="24"/>
              </w:rPr>
              <w:t xml:space="preserve"> (average EUR 231.5)</w:t>
            </w:r>
          </w:p>
        </w:tc>
        <w:tc>
          <w:tcPr>
            <w:tcW w:w="1954" w:type="pct"/>
            <w:tcBorders>
              <w:top w:val="single" w:sz="6" w:space="0" w:color="auto"/>
              <w:left w:val="nil"/>
              <w:bottom w:val="single" w:sz="6" w:space="0" w:color="auto"/>
              <w:right w:val="single" w:sz="6" w:space="0" w:color="auto"/>
            </w:tcBorders>
            <w:vAlign w:val="center"/>
            <w:hideMark/>
          </w:tcPr>
          <w:p w14:paraId="4BE7B8CF" w14:textId="17630C5E"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Auctions for BESS (5% of total BESS demand): EUR 26 – 66 million</w:t>
            </w:r>
            <w:r w:rsidR="00D172F8" w:rsidRPr="00E71388">
              <w:rPr>
                <w:rFonts w:ascii="Times New Roman" w:hAnsi="Times New Roman" w:cs="Times New Roman"/>
                <w:noProof/>
                <w:color w:val="000000" w:themeColor="text1"/>
                <w:sz w:val="24"/>
                <w:szCs w:val="24"/>
              </w:rPr>
              <w:t xml:space="preserve"> </w:t>
            </w:r>
            <w:r w:rsidR="00D172F8" w:rsidRPr="00E71388">
              <w:rPr>
                <w:rFonts w:ascii="Times New Roman" w:eastAsia="Times New Roman" w:hAnsi="Times New Roman" w:cs="Times New Roman"/>
                <w:noProof/>
                <w:color w:val="000000" w:themeColor="text1"/>
                <w:sz w:val="24"/>
                <w:szCs w:val="24"/>
              </w:rPr>
              <w:t>(average EUR 4</w:t>
            </w:r>
            <w:r w:rsidR="00C03EEE">
              <w:rPr>
                <w:rFonts w:ascii="Times New Roman" w:eastAsia="Times New Roman" w:hAnsi="Times New Roman" w:cs="Times New Roman"/>
                <w:noProof/>
                <w:color w:val="000000" w:themeColor="text1"/>
                <w:sz w:val="24"/>
                <w:szCs w:val="24"/>
              </w:rPr>
              <w:t>6</w:t>
            </w:r>
            <w:r w:rsidR="00D172F8" w:rsidRPr="00E71388">
              <w:rPr>
                <w:rFonts w:ascii="Times New Roman" w:eastAsia="Times New Roman" w:hAnsi="Times New Roman" w:cs="Times New Roman"/>
                <w:noProof/>
                <w:color w:val="000000" w:themeColor="text1"/>
                <w:sz w:val="24"/>
                <w:szCs w:val="24"/>
              </w:rPr>
              <w:t xml:space="preserve"> million)</w:t>
            </w:r>
          </w:p>
          <w:p w14:paraId="13A9C9A0" w14:textId="09BD5A54" w:rsidR="005D0D27" w:rsidRPr="00E71388" w:rsidRDefault="00744FDE"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 xml:space="preserve">Public </w:t>
            </w:r>
            <w:r w:rsidR="007344E7">
              <w:rPr>
                <w:rFonts w:ascii="Times New Roman" w:hAnsi="Times New Roman" w:cs="Times New Roman"/>
                <w:noProof/>
                <w:color w:val="000000" w:themeColor="text1"/>
                <w:sz w:val="24"/>
                <w:szCs w:val="24"/>
              </w:rPr>
              <w:t>p</w:t>
            </w:r>
            <w:r w:rsidRPr="00E71388">
              <w:rPr>
                <w:rFonts w:ascii="Times New Roman" w:hAnsi="Times New Roman" w:cs="Times New Roman"/>
                <w:noProof/>
                <w:color w:val="000000" w:themeColor="text1"/>
                <w:sz w:val="24"/>
                <w:szCs w:val="24"/>
              </w:rPr>
              <w:t xml:space="preserve">rocurement for EVs (3.5% of total EV demand): EUR </w:t>
            </w:r>
            <w:r w:rsidRPr="00E71388">
              <w:rPr>
                <w:rFonts w:ascii="Times New Roman" w:eastAsia="Times New Roman" w:hAnsi="Times New Roman" w:cs="Times New Roman"/>
                <w:noProof/>
                <w:color w:val="000000" w:themeColor="text1"/>
                <w:sz w:val="24"/>
                <w:szCs w:val="24"/>
              </w:rPr>
              <w:t>132 – 331</w:t>
            </w:r>
            <w:r w:rsidRPr="00E71388">
              <w:rPr>
                <w:rFonts w:ascii="Times New Roman" w:hAnsi="Times New Roman" w:cs="Times New Roman"/>
                <w:noProof/>
                <w:color w:val="000000" w:themeColor="text1"/>
                <w:sz w:val="24"/>
                <w:szCs w:val="24"/>
              </w:rPr>
              <w:t xml:space="preserve"> million</w:t>
            </w:r>
            <w:r w:rsidR="00D172F8" w:rsidRPr="00E71388">
              <w:rPr>
                <w:rFonts w:ascii="Times New Roman" w:hAnsi="Times New Roman" w:cs="Times New Roman"/>
                <w:noProof/>
                <w:color w:val="000000" w:themeColor="text1"/>
                <w:sz w:val="24"/>
                <w:szCs w:val="24"/>
              </w:rPr>
              <w:t xml:space="preserve"> (average EUR 231.5)</w:t>
            </w:r>
          </w:p>
        </w:tc>
      </w:tr>
      <w:tr w:rsidR="00A201A1" w:rsidRPr="00F80C7E" w14:paraId="58540276"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76D2804" w14:textId="2C8D44DD"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FFFFFF" w:themeColor="background1"/>
                <w:sz w:val="24"/>
                <w:szCs w:val="24"/>
              </w:rPr>
              <w:t>Citizens/Consumer</w:t>
            </w:r>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1A4E018" w14:textId="42979067" w:rsidR="005D0D27" w:rsidRPr="00E71388" w:rsidRDefault="005D0D27" w:rsidP="006233C9">
            <w:pPr>
              <w:pStyle w:val="JRCText"/>
              <w:jc w:val="center"/>
              <w:rPr>
                <w:rFonts w:ascii="Times New Roman" w:hAnsi="Times New Roman" w:cs="Times New Roman"/>
                <w:noProof/>
                <w:color w:val="000000" w:themeColor="text1"/>
                <w:sz w:val="24"/>
                <w:szCs w:val="24"/>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4D35CCDD" w14:textId="4B8B8926" w:rsidR="005D0D27" w:rsidRPr="00E71388" w:rsidRDefault="005D0D27" w:rsidP="006233C9">
            <w:pPr>
              <w:pStyle w:val="JRCText"/>
              <w:jc w:val="center"/>
              <w:rPr>
                <w:rFonts w:ascii="Times New Roman" w:hAnsi="Times New Roman" w:cs="Times New Roman"/>
                <w:noProof/>
                <w:color w:val="000000" w:themeColor="text1"/>
                <w:sz w:val="24"/>
                <w:szCs w:val="24"/>
              </w:rPr>
            </w:pPr>
          </w:p>
        </w:tc>
        <w:tc>
          <w:tcPr>
            <w:tcW w:w="195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4011374" w14:textId="43194674" w:rsidR="005D0D27" w:rsidRPr="00E71388" w:rsidRDefault="005D0D27" w:rsidP="006233C9">
            <w:pPr>
              <w:pStyle w:val="JRCText"/>
              <w:jc w:val="center"/>
              <w:rPr>
                <w:rFonts w:ascii="Times New Roman" w:hAnsi="Times New Roman" w:cs="Times New Roman"/>
                <w:noProof/>
                <w:color w:val="000000" w:themeColor="text1"/>
                <w:sz w:val="24"/>
                <w:szCs w:val="24"/>
              </w:rPr>
            </w:pPr>
          </w:p>
        </w:tc>
      </w:tr>
      <w:tr w:rsidR="005D0D27" w:rsidRPr="00F80C7E" w14:paraId="2FAF9FB9"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29EF40FC" w14:textId="07A7FBB0" w:rsidR="005D0D27" w:rsidRPr="00E71388" w:rsidRDefault="005D0D27" w:rsidP="006233C9">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 xml:space="preserve">Adjustment costs </w:t>
            </w:r>
            <w:r w:rsidRPr="00E71388" w:rsidDel="00393DB1">
              <w:rPr>
                <w:rFonts w:ascii="Times New Roman" w:hAnsi="Times New Roman" w:cs="Times New Roman"/>
                <w:b/>
                <w:noProof/>
                <w:color w:val="000000" w:themeColor="text1"/>
                <w:sz w:val="24"/>
                <w:szCs w:val="24"/>
              </w:rPr>
              <w:t>(</w:t>
            </w:r>
            <w:r w:rsidR="00393DB1" w:rsidRPr="00E71388">
              <w:rPr>
                <w:rFonts w:ascii="Times New Roman" w:hAnsi="Times New Roman" w:cs="Times New Roman"/>
                <w:b/>
                <w:noProof/>
                <w:color w:val="000000" w:themeColor="text1"/>
                <w:sz w:val="24"/>
                <w:szCs w:val="24"/>
              </w:rPr>
              <w:t>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5A9CCE66" w14:textId="5DF42FDB" w:rsidR="005D0D27" w:rsidRPr="00E71388" w:rsidRDefault="33569B29" w:rsidP="006233C9">
            <w:pPr>
              <w:pStyle w:val="JRCText"/>
              <w:jc w:val="center"/>
              <w:rPr>
                <w:rFonts w:ascii="Times New Roman" w:eastAsia="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Public subsidy schemes for EVs</w:t>
            </w:r>
            <w:r w:rsidR="009E5F2D" w:rsidRPr="00E71388">
              <w:rPr>
                <w:rStyle w:val="FootnoteReference"/>
                <w:rFonts w:ascii="Times New Roman" w:eastAsia="Times New Roman" w:hAnsi="Times New Roman" w:cs="Times New Roman"/>
                <w:noProof/>
                <w:color w:val="000000" w:themeColor="text1"/>
                <w:sz w:val="24"/>
                <w:szCs w:val="24"/>
              </w:rPr>
              <w:footnoteReference w:id="286"/>
            </w:r>
            <w:r w:rsidRPr="00E71388">
              <w:rPr>
                <w:rFonts w:ascii="Times New Roman" w:eastAsia="Times New Roman" w:hAnsi="Times New Roman" w:cs="Times New Roman"/>
                <w:noProof/>
                <w:color w:val="000000" w:themeColor="text1"/>
                <w:sz w:val="24"/>
                <w:szCs w:val="24"/>
              </w:rPr>
              <w:t xml:space="preserve"> </w:t>
            </w:r>
            <w:r w:rsidR="626F6AE4" w:rsidRPr="00E71388">
              <w:rPr>
                <w:rFonts w:ascii="Times New Roman" w:eastAsia="Times New Roman" w:hAnsi="Times New Roman" w:cs="Times New Roman"/>
                <w:noProof/>
                <w:color w:val="000000" w:themeColor="text1"/>
                <w:sz w:val="24"/>
                <w:szCs w:val="24"/>
              </w:rPr>
              <w:t>(20.2% of total EV demand): EUR 292-730 million</w:t>
            </w:r>
            <w:r w:rsidR="7189FA58" w:rsidRPr="00E71388">
              <w:rPr>
                <w:rFonts w:ascii="Times New Roman" w:eastAsia="Times New Roman" w:hAnsi="Times New Roman" w:cs="Times New Roman"/>
                <w:noProof/>
                <w:color w:val="000000" w:themeColor="text1"/>
                <w:sz w:val="24"/>
                <w:szCs w:val="24"/>
              </w:rPr>
              <w:t xml:space="preserve"> (average </w:t>
            </w:r>
            <w:r w:rsidR="260BA89D" w:rsidRPr="00E71388">
              <w:rPr>
                <w:rFonts w:ascii="Times New Roman" w:eastAsia="Times New Roman" w:hAnsi="Times New Roman" w:cs="Times New Roman"/>
                <w:noProof/>
                <w:color w:val="000000" w:themeColor="text1"/>
                <w:sz w:val="24"/>
                <w:szCs w:val="24"/>
              </w:rPr>
              <w:t xml:space="preserve">EUR </w:t>
            </w:r>
            <w:r w:rsidR="4D963202" w:rsidRPr="00E71388">
              <w:rPr>
                <w:rFonts w:ascii="Times New Roman" w:eastAsia="Times New Roman" w:hAnsi="Times New Roman" w:cs="Times New Roman"/>
                <w:noProof/>
                <w:color w:val="000000" w:themeColor="text1"/>
                <w:sz w:val="24"/>
                <w:szCs w:val="24"/>
              </w:rPr>
              <w:t>511 million</w:t>
            </w:r>
            <w:r w:rsidR="7189FA58" w:rsidRPr="00E71388">
              <w:rPr>
                <w:rFonts w:ascii="Times New Roman" w:eastAsia="Times New Roman" w:hAnsi="Times New Roman" w:cs="Times New Roman"/>
                <w:noProof/>
                <w:color w:val="000000" w:themeColor="text1"/>
                <w:sz w:val="24"/>
                <w:szCs w:val="24"/>
              </w:rPr>
              <w:t>)</w:t>
            </w:r>
          </w:p>
        </w:tc>
        <w:tc>
          <w:tcPr>
            <w:tcW w:w="1954" w:type="pct"/>
            <w:tcBorders>
              <w:top w:val="single" w:sz="6" w:space="0" w:color="auto"/>
              <w:left w:val="nil"/>
              <w:bottom w:val="single" w:sz="6" w:space="0" w:color="auto"/>
              <w:right w:val="single" w:sz="6" w:space="0" w:color="auto"/>
            </w:tcBorders>
            <w:vAlign w:val="center"/>
            <w:hideMark/>
          </w:tcPr>
          <w:p w14:paraId="4DBC4B19" w14:textId="77777777" w:rsidR="005D0D27"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BESS (57% of total BESS demand): EUR 282-706 million</w:t>
            </w:r>
            <w:r w:rsidR="00B90A5A" w:rsidRPr="00E71388">
              <w:rPr>
                <w:rFonts w:ascii="Times New Roman" w:hAnsi="Times New Roman" w:cs="Times New Roman"/>
                <w:noProof/>
                <w:color w:val="000000" w:themeColor="text1"/>
                <w:sz w:val="24"/>
                <w:szCs w:val="24"/>
              </w:rPr>
              <w:t xml:space="preserve"> (average </w:t>
            </w:r>
            <w:r w:rsidR="00851AA2" w:rsidRPr="00E71388">
              <w:rPr>
                <w:rFonts w:ascii="Times New Roman" w:hAnsi="Times New Roman" w:cs="Times New Roman"/>
                <w:noProof/>
                <w:color w:val="000000" w:themeColor="text1"/>
                <w:sz w:val="24"/>
                <w:szCs w:val="24"/>
              </w:rPr>
              <w:t>EUR 494 million)</w:t>
            </w:r>
          </w:p>
          <w:p w14:paraId="312D3DFB" w14:textId="1BC1AC1B" w:rsidR="005D0D27" w:rsidRPr="00E71388" w:rsidRDefault="00CA4EBF"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lastRenderedPageBreak/>
              <w:t>EVs (36.5% of total EV demand): EUR 0.5 – 1.3 billion (average EUR 0.9 billion)</w:t>
            </w:r>
          </w:p>
        </w:tc>
      </w:tr>
      <w:tr w:rsidR="00A201A1" w:rsidRPr="00F80C7E" w14:paraId="1C63E833"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815D86C" w14:textId="3ABA92AA"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FFFFFF" w:themeColor="background1"/>
                <w:sz w:val="24"/>
                <w:szCs w:val="24"/>
              </w:rPr>
              <w:lastRenderedPageBreak/>
              <w:t>Businesses</w:t>
            </w:r>
            <w:hyperlink r:id="rId67" w:anchor="_ftn5" w:tgtFrame="_blank" w:history="1">
              <w:r w:rsidRPr="00E71388">
                <w:rPr>
                  <w:rStyle w:val="Hyperlink"/>
                  <w:rFonts w:ascii="Times New Roman" w:hAnsi="Times New Roman" w:cs="Times New Roman"/>
                  <w:noProof/>
                  <w:color w:val="FFFFFF" w:themeColor="background1"/>
                  <w:sz w:val="24"/>
                  <w:szCs w:val="24"/>
                  <w:vertAlign w:val="superscript"/>
                </w:rPr>
                <w:t>[5]</w:t>
              </w:r>
            </w:hyperlink>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491C4B93" w14:textId="0A189825" w:rsidR="005D0D27" w:rsidRPr="00E71388" w:rsidRDefault="005D0D27" w:rsidP="006233C9">
            <w:pPr>
              <w:pStyle w:val="JRCText"/>
              <w:jc w:val="center"/>
              <w:rPr>
                <w:rFonts w:ascii="Times New Roman" w:hAnsi="Times New Roman" w:cs="Times New Roman"/>
                <w:noProof/>
                <w:color w:val="000000" w:themeColor="text1"/>
                <w:sz w:val="24"/>
                <w:szCs w:val="24"/>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D8C23E9" w14:textId="6C917378" w:rsidR="005D0D27" w:rsidRPr="00E71388" w:rsidRDefault="005D0D27" w:rsidP="006233C9">
            <w:pPr>
              <w:pStyle w:val="JRCText"/>
              <w:jc w:val="center"/>
              <w:rPr>
                <w:rFonts w:ascii="Times New Roman" w:hAnsi="Times New Roman" w:cs="Times New Roman"/>
                <w:noProof/>
                <w:color w:val="000000" w:themeColor="text1"/>
                <w:sz w:val="24"/>
                <w:szCs w:val="24"/>
              </w:rPr>
            </w:pPr>
          </w:p>
        </w:tc>
        <w:tc>
          <w:tcPr>
            <w:tcW w:w="195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44A95DB" w14:textId="2307ACFE" w:rsidR="005D0D27" w:rsidRPr="00E71388" w:rsidRDefault="005D0D27" w:rsidP="006233C9">
            <w:pPr>
              <w:pStyle w:val="JRCText"/>
              <w:jc w:val="center"/>
              <w:rPr>
                <w:rFonts w:ascii="Times New Roman" w:hAnsi="Times New Roman" w:cs="Times New Roman"/>
                <w:noProof/>
                <w:color w:val="000000" w:themeColor="text1"/>
                <w:sz w:val="24"/>
                <w:szCs w:val="24"/>
              </w:rPr>
            </w:pPr>
          </w:p>
        </w:tc>
      </w:tr>
      <w:tr w:rsidR="005D0D27" w:rsidRPr="00F80C7E" w14:paraId="5FE355DE" w14:textId="77777777" w:rsidTr="3F0F1197">
        <w:trPr>
          <w:trHeight w:val="810"/>
        </w:trPr>
        <w:tc>
          <w:tcPr>
            <w:tcW w:w="1282" w:type="pct"/>
            <w:tcBorders>
              <w:top w:val="single" w:sz="6" w:space="0" w:color="auto"/>
              <w:left w:val="single" w:sz="6" w:space="0" w:color="auto"/>
              <w:bottom w:val="single" w:sz="6" w:space="0" w:color="auto"/>
              <w:right w:val="single" w:sz="6" w:space="0" w:color="auto"/>
            </w:tcBorders>
            <w:vAlign w:val="center"/>
            <w:hideMark/>
          </w:tcPr>
          <w:p w14:paraId="3FCFA6BF" w14:textId="651E5435" w:rsidR="005D0D27" w:rsidRPr="004A466F" w:rsidRDefault="005D0D27" w:rsidP="006233C9">
            <w:pPr>
              <w:pStyle w:val="JRCText"/>
              <w:jc w:val="center"/>
              <w:rPr>
                <w:rFonts w:ascii="Times New Roman" w:hAnsi="Times New Roman" w:cs="Times New Roman"/>
                <w:b/>
                <w:noProof/>
                <w:color w:val="000000" w:themeColor="text1"/>
                <w:sz w:val="24"/>
                <w:szCs w:val="24"/>
              </w:rPr>
            </w:pPr>
            <w:r w:rsidRPr="004A466F">
              <w:rPr>
                <w:rFonts w:ascii="Times New Roman" w:hAnsi="Times New Roman" w:cs="Times New Roman"/>
                <w:b/>
                <w:noProof/>
                <w:color w:val="000000" w:themeColor="text1"/>
                <w:sz w:val="24"/>
                <w:szCs w:val="24"/>
              </w:rPr>
              <w:t>Adjustment costs</w:t>
            </w:r>
            <w:r w:rsidR="00AB0695" w:rsidRPr="004A466F">
              <w:rPr>
                <w:rFonts w:ascii="Times New Roman" w:hAnsi="Times New Roman" w:cs="Times New Roman"/>
                <w:b/>
                <w:noProof/>
                <w:color w:val="000000" w:themeColor="text1"/>
                <w:sz w:val="24"/>
                <w:szCs w:val="24"/>
              </w:rPr>
              <w:t xml:space="preserve"> (recurring)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1C3CCC66" w14:textId="7D5A9F8B" w:rsidR="005D0D27" w:rsidRPr="00E71388" w:rsidRDefault="00395CC7" w:rsidP="00E71388">
            <w:pPr>
              <w:jc w:val="center"/>
              <w:rPr>
                <w:rFonts w:cs="Times New Roman"/>
                <w:noProof/>
                <w:color w:val="000000" w:themeColor="text1"/>
                <w:szCs w:val="24"/>
              </w:rPr>
            </w:pPr>
            <w:r w:rsidRPr="00E71388">
              <w:rPr>
                <w:rFonts w:cs="Times New Roman"/>
                <w:noProof/>
                <w:color w:val="000000" w:themeColor="text1"/>
                <w:szCs w:val="24"/>
              </w:rPr>
              <w:t xml:space="preserve">Public subsidy schemes for </w:t>
            </w:r>
            <w:r w:rsidR="00EE4101" w:rsidRPr="00E71388">
              <w:rPr>
                <w:rFonts w:cs="Times New Roman"/>
                <w:noProof/>
                <w:color w:val="000000" w:themeColor="text1"/>
                <w:szCs w:val="24"/>
              </w:rPr>
              <w:t>EVs (60% of total EV demand): EUR 0.9-2.2 billion</w:t>
            </w:r>
            <w:r w:rsidR="00E80DA9" w:rsidRPr="00E71388">
              <w:rPr>
                <w:rFonts w:cs="Times New Roman"/>
                <w:noProof/>
                <w:color w:val="000000" w:themeColor="text1"/>
                <w:szCs w:val="24"/>
              </w:rPr>
              <w:t xml:space="preserve"> (</w:t>
            </w:r>
            <w:r w:rsidR="00DF5F5E" w:rsidRPr="00E71388">
              <w:rPr>
                <w:rFonts w:cs="Times New Roman"/>
                <w:noProof/>
                <w:color w:val="000000" w:themeColor="text1"/>
                <w:szCs w:val="24"/>
              </w:rPr>
              <w:t>average EUR</w:t>
            </w:r>
            <w:r w:rsidR="00E80DA9" w:rsidRPr="00E71388">
              <w:rPr>
                <w:rFonts w:cs="Times New Roman"/>
                <w:noProof/>
                <w:color w:val="000000" w:themeColor="text1"/>
                <w:szCs w:val="24"/>
              </w:rPr>
              <w:t xml:space="preserve"> </w:t>
            </w:r>
            <w:r w:rsidR="00DF5F5E" w:rsidRPr="00E71388">
              <w:rPr>
                <w:rFonts w:cs="Times New Roman"/>
                <w:noProof/>
                <w:color w:val="000000" w:themeColor="text1"/>
                <w:szCs w:val="24"/>
              </w:rPr>
              <w:t>1.55 billion)</w:t>
            </w:r>
            <w:r w:rsidR="00E80DA9" w:rsidRPr="00E71388">
              <w:rPr>
                <w:rFonts w:cs="Times New Roman"/>
                <w:noProof/>
                <w:color w:val="000000" w:themeColor="text1"/>
                <w:szCs w:val="24"/>
              </w:rPr>
              <w:t xml:space="preserve"> </w:t>
            </w:r>
          </w:p>
        </w:tc>
        <w:tc>
          <w:tcPr>
            <w:tcW w:w="1954" w:type="pct"/>
            <w:tcBorders>
              <w:top w:val="single" w:sz="6" w:space="0" w:color="auto"/>
              <w:left w:val="nil"/>
              <w:bottom w:val="single" w:sz="6" w:space="0" w:color="auto"/>
              <w:right w:val="single" w:sz="6" w:space="0" w:color="auto"/>
            </w:tcBorders>
            <w:vAlign w:val="center"/>
            <w:hideMark/>
          </w:tcPr>
          <w:p w14:paraId="67A7AFFC" w14:textId="7C13C913" w:rsidR="005D0D27" w:rsidRPr="00E71388" w:rsidRDefault="005D0D27"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BESS (38% of total BESS demand): EUR 107-268 million</w:t>
            </w:r>
            <w:r w:rsidR="0D8612FC" w:rsidRPr="097EAD01">
              <w:rPr>
                <w:rFonts w:ascii="Times New Roman" w:hAnsi="Times New Roman" w:cs="Times New Roman"/>
                <w:noProof/>
                <w:color w:val="000000" w:themeColor="text1"/>
                <w:sz w:val="24"/>
                <w:szCs w:val="24"/>
              </w:rPr>
              <w:t xml:space="preserve"> </w:t>
            </w:r>
            <w:r w:rsidR="0D8612FC" w:rsidRPr="03ECF7C6">
              <w:rPr>
                <w:rFonts w:ascii="Times New Roman" w:hAnsi="Times New Roman" w:cs="Times New Roman"/>
                <w:noProof/>
                <w:color w:val="000000" w:themeColor="text1"/>
                <w:sz w:val="24"/>
                <w:szCs w:val="24"/>
              </w:rPr>
              <w:t>(average 187.5)</w:t>
            </w:r>
          </w:p>
          <w:p w14:paraId="637A24D1" w14:textId="37D8F16D" w:rsidR="003744CA" w:rsidRPr="00E71388" w:rsidRDefault="003744CA" w:rsidP="006233C9">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EVs (60% of total EV demand): EUR 0.9-2.2 billion</w:t>
            </w:r>
            <w:r w:rsidR="00DF5F5E" w:rsidRPr="00E71388">
              <w:rPr>
                <w:rFonts w:ascii="Times New Roman" w:hAnsi="Times New Roman" w:cs="Times New Roman"/>
                <w:noProof/>
                <w:color w:val="000000" w:themeColor="text1"/>
                <w:sz w:val="24"/>
                <w:szCs w:val="24"/>
              </w:rPr>
              <w:t xml:space="preserve"> (average EUR 1.55 billion)</w:t>
            </w:r>
          </w:p>
        </w:tc>
      </w:tr>
    </w:tbl>
    <w:p w14:paraId="1F53385E" w14:textId="77777777" w:rsidR="00E72C77" w:rsidRPr="00E71388" w:rsidRDefault="00E72C77" w:rsidP="00A11E4D">
      <w:pPr>
        <w:pStyle w:val="JRCText"/>
        <w:spacing w:after="0" w:line="240" w:lineRule="auto"/>
        <w:jc w:val="both"/>
        <w:rPr>
          <w:noProof/>
          <w:color w:val="000000" w:themeColor="text1"/>
        </w:rPr>
      </w:pPr>
    </w:p>
    <w:p w14:paraId="01298BFF" w14:textId="5ACCC095" w:rsidR="00006319" w:rsidRPr="00AB73D5" w:rsidRDefault="00006319" w:rsidP="00AB73D5">
      <w:pPr>
        <w:pStyle w:val="JRCText"/>
        <w:rPr>
          <w:rFonts w:ascii="Times New Roman" w:eastAsia="Times New Roman" w:hAnsi="Times New Roman" w:cs="Times New Roman"/>
          <w:b/>
          <w:bCs/>
          <w:noProof/>
          <w:color w:val="000000" w:themeColor="text1"/>
          <w:sz w:val="24"/>
          <w:szCs w:val="24"/>
        </w:rPr>
      </w:pPr>
      <w:r w:rsidRPr="00AB73D5">
        <w:rPr>
          <w:rFonts w:ascii="Times New Roman" w:eastAsia="Times New Roman" w:hAnsi="Times New Roman" w:cs="Times New Roman"/>
          <w:b/>
          <w:bCs/>
          <w:noProof/>
          <w:color w:val="000000" w:themeColor="text1"/>
          <w:sz w:val="24"/>
          <w:szCs w:val="24"/>
        </w:rPr>
        <w:t xml:space="preserve">LEAD_VC: </w:t>
      </w:r>
    </w:p>
    <w:p w14:paraId="5494B767" w14:textId="2F7D65C7" w:rsidR="00780BA9" w:rsidRPr="00F261DB" w:rsidRDefault="00303B69" w:rsidP="00780BA9">
      <w:pPr>
        <w:rPr>
          <w:noProof/>
        </w:rPr>
      </w:pPr>
      <w:r w:rsidRPr="00E71388">
        <w:rPr>
          <w:noProof/>
        </w:rPr>
        <w:t xml:space="preserve">The following </w:t>
      </w:r>
      <w:r w:rsidR="004A67E0" w:rsidRPr="00E71388">
        <w:rPr>
          <w:noProof/>
        </w:rPr>
        <w:t>a</w:t>
      </w:r>
      <w:r w:rsidR="00780BA9" w:rsidRPr="00E71388">
        <w:rPr>
          <w:noProof/>
        </w:rPr>
        <w:t xml:space="preserve">ssumptions </w:t>
      </w:r>
      <w:r w:rsidR="004A67E0" w:rsidRPr="00E71388">
        <w:rPr>
          <w:noProof/>
        </w:rPr>
        <w:t>have been</w:t>
      </w:r>
      <w:r w:rsidR="00780BA9" w:rsidRPr="00E71388">
        <w:rPr>
          <w:noProof/>
        </w:rPr>
        <w:t xml:space="preserve"> taken </w:t>
      </w:r>
      <w:r w:rsidR="004A67E0" w:rsidRPr="00E71388">
        <w:rPr>
          <w:noProof/>
        </w:rPr>
        <w:t>to calculate</w:t>
      </w:r>
      <w:r w:rsidR="00780BA9" w:rsidRPr="00E71388">
        <w:rPr>
          <w:noProof/>
        </w:rPr>
        <w:t xml:space="preserve"> adjustment costs:</w:t>
      </w:r>
      <w:r w:rsidR="00780BA9">
        <w:rPr>
          <w:noProof/>
        </w:rPr>
        <w:t xml:space="preserve"> </w:t>
      </w:r>
    </w:p>
    <w:p w14:paraId="684CDF87" w14:textId="3C582781" w:rsidR="00780BA9" w:rsidRPr="00F261DB" w:rsidRDefault="5B400271" w:rsidP="00AB73D5">
      <w:pPr>
        <w:pStyle w:val="ListParagraph"/>
        <w:numPr>
          <w:ilvl w:val="0"/>
          <w:numId w:val="42"/>
        </w:numPr>
        <w:rPr>
          <w:rFonts w:cs="Times New Roman"/>
          <w:noProof/>
        </w:rPr>
      </w:pPr>
      <w:r w:rsidRPr="311B850B">
        <w:rPr>
          <w:noProof/>
        </w:rPr>
        <w:t>On one hand, vehicles produced outside Europe will likely not be able to comply with the measure, given their current very low EU content (below 20%). On the other hand, vehicles produced in Europe will likely be able to comply with the measure, eventually at a cost, given their current EU content (70%). As a proxy, non-EU manufacturers will be assumed to be non-compliant, meaning that in this case, they will lose access to public procurement and the subsidies, whereas EU manufacturers will be assumed to be compliant, maintaining access to public procurement and the subsidies.</w:t>
      </w:r>
      <w:r w:rsidR="00780BA9" w:rsidRPr="311B850B">
        <w:rPr>
          <w:rStyle w:val="FootnoteReference"/>
          <w:noProof/>
        </w:rPr>
        <w:footnoteReference w:id="287"/>
      </w:r>
    </w:p>
    <w:p w14:paraId="68283A92" w14:textId="77777777" w:rsidR="00780BA9" w:rsidRPr="00F261DB" w:rsidRDefault="00780BA9" w:rsidP="00AB73D5">
      <w:pPr>
        <w:pStyle w:val="ListParagraph"/>
        <w:numPr>
          <w:ilvl w:val="0"/>
          <w:numId w:val="42"/>
        </w:numPr>
        <w:rPr>
          <w:rFonts w:cs="Times New Roman"/>
          <w:noProof/>
          <w:szCs w:val="24"/>
        </w:rPr>
      </w:pPr>
      <w:r w:rsidRPr="00FF63D1">
        <w:rPr>
          <w:noProof/>
          <w:szCs w:val="24"/>
        </w:rPr>
        <w:t xml:space="preserve">Non-EU manufacturers will face a relative price increase as a result of </w:t>
      </w:r>
      <w:r w:rsidRPr="00FF63D1">
        <w:rPr>
          <w:rFonts w:cs="Times New Roman"/>
          <w:noProof/>
          <w:szCs w:val="24"/>
        </w:rPr>
        <w:t>EU buyers losing access to public subsidies.</w:t>
      </w:r>
    </w:p>
    <w:p w14:paraId="6A5BEEE5" w14:textId="77777777" w:rsidR="00780BA9" w:rsidRPr="00F261DB" w:rsidRDefault="5B400271" w:rsidP="00292B44">
      <w:pPr>
        <w:pStyle w:val="ListParagraph"/>
        <w:numPr>
          <w:ilvl w:val="0"/>
          <w:numId w:val="119"/>
        </w:numPr>
        <w:rPr>
          <w:rFonts w:cs="Times New Roman"/>
          <w:noProof/>
        </w:rPr>
      </w:pPr>
      <w:r w:rsidRPr="311B850B">
        <w:rPr>
          <w:noProof/>
        </w:rPr>
        <w:t>T</w:t>
      </w:r>
      <w:r w:rsidRPr="311B850B">
        <w:rPr>
          <w:rFonts w:cs="Times New Roman"/>
          <w:noProof/>
        </w:rPr>
        <w:t>he public subsidies that are no longer accessible to buyers of non-EU manufactured vehicles are partially redistributed. The model assumes that 50% of this liberated amount is going to increase the available subsidies/vehicle for EU manufacturers.</w:t>
      </w:r>
      <w:r w:rsidR="00780BA9" w:rsidRPr="311B850B">
        <w:rPr>
          <w:rStyle w:val="FootnoteReference"/>
          <w:noProof/>
        </w:rPr>
        <w:footnoteReference w:id="288"/>
      </w:r>
      <w:r w:rsidRPr="311B850B">
        <w:rPr>
          <w:rFonts w:cs="Times New Roman"/>
          <w:noProof/>
        </w:rPr>
        <w:t xml:space="preserve"> </w:t>
      </w:r>
    </w:p>
    <w:p w14:paraId="63E8AAB2" w14:textId="2B6136B7" w:rsidR="00780BA9" w:rsidRPr="00F261DB" w:rsidRDefault="00780BA9" w:rsidP="00292B44">
      <w:pPr>
        <w:pStyle w:val="ListParagraph"/>
        <w:numPr>
          <w:ilvl w:val="0"/>
          <w:numId w:val="119"/>
        </w:numPr>
        <w:rPr>
          <w:noProof/>
          <w:szCs w:val="24"/>
        </w:rPr>
      </w:pPr>
      <w:r w:rsidRPr="00F261DB">
        <w:rPr>
          <w:noProof/>
          <w:szCs w:val="24"/>
        </w:rPr>
        <w:t>There is an aggregate demand effect as the measure affects average price</w:t>
      </w:r>
      <w:r w:rsidR="00151C92">
        <w:rPr>
          <w:noProof/>
          <w:szCs w:val="24"/>
        </w:rPr>
        <w:t>.</w:t>
      </w:r>
    </w:p>
    <w:p w14:paraId="64D1400C" w14:textId="366D5561" w:rsidR="00780BA9" w:rsidRPr="00FF63D1" w:rsidRDefault="00780BA9" w:rsidP="00292B44">
      <w:pPr>
        <w:pStyle w:val="ListParagraph"/>
        <w:numPr>
          <w:ilvl w:val="0"/>
          <w:numId w:val="119"/>
        </w:numPr>
        <w:rPr>
          <w:rFonts w:cs="Times New Roman"/>
          <w:noProof/>
          <w:szCs w:val="24"/>
        </w:rPr>
      </w:pPr>
      <w:r w:rsidRPr="00F261DB">
        <w:rPr>
          <w:noProof/>
          <w:szCs w:val="24"/>
        </w:rPr>
        <w:t xml:space="preserve">There is a substitution between ICE and EVs and </w:t>
      </w:r>
      <w:r w:rsidR="00D66BD3">
        <w:rPr>
          <w:noProof/>
          <w:szCs w:val="24"/>
        </w:rPr>
        <w:t>s</w:t>
      </w:r>
      <w:r w:rsidRPr="00D66BD3">
        <w:rPr>
          <w:noProof/>
          <w:szCs w:val="24"/>
        </w:rPr>
        <w:t>ubstitution</w:t>
      </w:r>
      <w:r w:rsidRPr="00FF63D1">
        <w:rPr>
          <w:noProof/>
          <w:szCs w:val="24"/>
        </w:rPr>
        <w:t xml:space="preserve"> between EU and non-EU manufacturers </w:t>
      </w:r>
    </w:p>
    <w:p w14:paraId="4A930B10" w14:textId="3B9C59CA" w:rsidR="00780BA9" w:rsidRPr="00FF63D1" w:rsidRDefault="5B400271" w:rsidP="00292B44">
      <w:pPr>
        <w:pStyle w:val="ListParagraph"/>
        <w:numPr>
          <w:ilvl w:val="0"/>
          <w:numId w:val="119"/>
        </w:numPr>
        <w:rPr>
          <w:rFonts w:cs="Times New Roman"/>
          <w:noProof/>
          <w:szCs w:val="24"/>
        </w:rPr>
      </w:pPr>
      <w:r w:rsidRPr="4EAE5FAC">
        <w:rPr>
          <w:noProof/>
        </w:rPr>
        <w:t xml:space="preserve">The presented scenarios take into account </w:t>
      </w:r>
      <w:r w:rsidR="4D2B1F26" w:rsidRPr="00F261DB">
        <w:rPr>
          <w:noProof/>
        </w:rPr>
        <w:t>obligation to sell only zero-emission</w:t>
      </w:r>
      <w:r w:rsidRPr="00F261DB">
        <w:rPr>
          <w:noProof/>
        </w:rPr>
        <w:t xml:space="preserve"> vehicles</w:t>
      </w:r>
      <w:r w:rsidRPr="4EAE5FAC">
        <w:rPr>
          <w:noProof/>
        </w:rPr>
        <w:t xml:space="preserve"> in 2035</w:t>
      </w:r>
      <w:r w:rsidR="007113B9">
        <w:rPr>
          <w:noProof/>
        </w:rPr>
        <w:t>.</w:t>
      </w:r>
      <w:r w:rsidR="00780BA9" w:rsidRPr="4EAE5FAC">
        <w:rPr>
          <w:rStyle w:val="FootnoteReference"/>
          <w:noProof/>
        </w:rPr>
        <w:footnoteReference w:id="289"/>
      </w:r>
    </w:p>
    <w:p w14:paraId="061C4493" w14:textId="0B55364A" w:rsidR="00780BA9" w:rsidRPr="00FF63D1" w:rsidRDefault="00780BA9" w:rsidP="00292B44">
      <w:pPr>
        <w:pStyle w:val="ListParagraph"/>
        <w:numPr>
          <w:ilvl w:val="0"/>
          <w:numId w:val="119"/>
        </w:numPr>
        <w:rPr>
          <w:rFonts w:cs="Times New Roman"/>
          <w:noProof/>
          <w:szCs w:val="24"/>
        </w:rPr>
      </w:pPr>
      <w:r w:rsidRPr="00F261DB">
        <w:rPr>
          <w:noProof/>
          <w:szCs w:val="24"/>
        </w:rPr>
        <w:t>W</w:t>
      </w:r>
      <w:r w:rsidRPr="00F261DB">
        <w:rPr>
          <w:rFonts w:cs="Times New Roman"/>
          <w:noProof/>
          <w:szCs w:val="24"/>
        </w:rPr>
        <w:t>e consider for this impact assessment a 30% price premium for EU-manufactured components compared to import prices.</w:t>
      </w:r>
    </w:p>
    <w:p w14:paraId="057F7421" w14:textId="703C138F" w:rsidR="00780BA9" w:rsidRPr="00FF63D1" w:rsidRDefault="00780BA9" w:rsidP="00292B44">
      <w:pPr>
        <w:pStyle w:val="ListParagraph"/>
        <w:numPr>
          <w:ilvl w:val="0"/>
          <w:numId w:val="119"/>
        </w:numPr>
        <w:rPr>
          <w:rFonts w:cs="Times New Roman"/>
          <w:noProof/>
        </w:rPr>
      </w:pPr>
      <w:r>
        <w:rPr>
          <w:noProof/>
        </w:rPr>
        <w:t xml:space="preserve">This calculation does not take into consideration the price increase as a result of </w:t>
      </w:r>
      <w:r w:rsidR="00AE7965">
        <w:rPr>
          <w:noProof/>
        </w:rPr>
        <w:t>Made in EU requirement</w:t>
      </w:r>
      <w:r>
        <w:rPr>
          <w:noProof/>
        </w:rPr>
        <w:t xml:space="preserve"> on the electric batteries set out in LEAD_</w:t>
      </w:r>
      <w:r w:rsidRPr="311B850B">
        <w:rPr>
          <w:rFonts w:cs="Times New Roman"/>
          <w:noProof/>
        </w:rPr>
        <w:t>BAT of this proposal nor in LEAD_EII.</w:t>
      </w:r>
      <w:r w:rsidR="00480BEE">
        <w:rPr>
          <w:rFonts w:cs="Times New Roman"/>
          <w:noProof/>
        </w:rPr>
        <w:t xml:space="preserve"> </w:t>
      </w:r>
    </w:p>
    <w:p w14:paraId="0596B65C" w14:textId="77777777" w:rsidR="00780BA9" w:rsidRPr="00F261DB" w:rsidRDefault="00780BA9" w:rsidP="00BE3F43">
      <w:pPr>
        <w:rPr>
          <w:noProof/>
          <w:szCs w:val="24"/>
        </w:rPr>
      </w:pPr>
    </w:p>
    <w:p w14:paraId="53A739C2" w14:textId="050DD8E5" w:rsidR="00780BA9" w:rsidRDefault="0051241F" w:rsidP="00AB73D5">
      <w:pPr>
        <w:spacing w:after="120"/>
        <w:rPr>
          <w:rFonts w:cs="Times New Roman"/>
          <w:noProof/>
          <w:szCs w:val="24"/>
        </w:rPr>
      </w:pPr>
      <w:r>
        <w:rPr>
          <w:rFonts w:cs="Times New Roman"/>
          <w:noProof/>
          <w:szCs w:val="24"/>
        </w:rPr>
        <w:t>N</w:t>
      </w:r>
      <w:r w:rsidR="00780BA9" w:rsidRPr="00F261DB">
        <w:rPr>
          <w:rFonts w:cs="Times New Roman"/>
          <w:noProof/>
          <w:szCs w:val="24"/>
        </w:rPr>
        <w:t xml:space="preserve">on-EU vehicle manufacturers will not be able to access public procurements or benefit from support schemes. In the latter case, they will not be able to cover the loss of subsidies coming from </w:t>
      </w:r>
      <w:r w:rsidR="00780BA9" w:rsidRPr="00F261DB">
        <w:rPr>
          <w:rFonts w:cs="Times New Roman"/>
          <w:noProof/>
          <w:szCs w:val="24"/>
        </w:rPr>
        <w:lastRenderedPageBreak/>
        <w:t>the support schemes and the prices of their vehicles will increase by the amount of the lost subsidies. In other words, consumers will face a price increase equalling the lost subsidies for non-EU vehicles.</w:t>
      </w:r>
    </w:p>
    <w:p w14:paraId="51E15C06" w14:textId="4DE8B8EE" w:rsidR="00780BA9" w:rsidRPr="00F261DB" w:rsidRDefault="00780BA9" w:rsidP="00AB73D5">
      <w:pPr>
        <w:spacing w:after="120"/>
        <w:rPr>
          <w:rFonts w:cs="Times New Roman"/>
          <w:noProof/>
          <w:szCs w:val="24"/>
        </w:rPr>
      </w:pPr>
      <w:r w:rsidRPr="00F261DB">
        <w:rPr>
          <w:noProof/>
          <w:szCs w:val="24"/>
        </w:rPr>
        <w:t>Calculations are made for both 202</w:t>
      </w:r>
      <w:r w:rsidRPr="00F261DB">
        <w:rPr>
          <w:rFonts w:cs="Times New Roman"/>
          <w:noProof/>
          <w:szCs w:val="24"/>
        </w:rPr>
        <w:t xml:space="preserve">7 and for 2030 – using the assumption that the share of </w:t>
      </w:r>
      <w:r w:rsidR="0051241F">
        <w:rPr>
          <w:rFonts w:cs="Times New Roman"/>
          <w:noProof/>
          <w:szCs w:val="24"/>
        </w:rPr>
        <w:t>made in</w:t>
      </w:r>
      <w:r w:rsidRPr="00F261DB">
        <w:rPr>
          <w:rFonts w:cs="Times New Roman"/>
          <w:noProof/>
          <w:szCs w:val="24"/>
        </w:rPr>
        <w:t xml:space="preserve"> </w:t>
      </w:r>
      <w:r w:rsidR="00281489">
        <w:rPr>
          <w:rFonts w:cs="Times New Roman"/>
          <w:noProof/>
          <w:szCs w:val="24"/>
        </w:rPr>
        <w:t>Made in EU</w:t>
      </w:r>
      <w:r w:rsidRPr="00F261DB">
        <w:rPr>
          <w:rFonts w:cs="Times New Roman"/>
          <w:noProof/>
          <w:szCs w:val="24"/>
        </w:rPr>
        <w:t xml:space="preserve"> would increase gradually over time from 70% in 2027 to meet the second target of 75% set out for 2030. </w:t>
      </w:r>
    </w:p>
    <w:p w14:paraId="4D944019" w14:textId="44B80725" w:rsidR="00780BA9" w:rsidRPr="00F261DB" w:rsidRDefault="5B400271" w:rsidP="00AB73D5">
      <w:pPr>
        <w:spacing w:after="120"/>
        <w:rPr>
          <w:rFonts w:cs="Times New Roman"/>
          <w:noProof/>
        </w:rPr>
      </w:pPr>
      <w:r w:rsidRPr="311B850B">
        <w:rPr>
          <w:noProof/>
        </w:rPr>
        <w:t>Under</w:t>
      </w:r>
      <w:r w:rsidRPr="311B850B">
        <w:rPr>
          <w:rFonts w:cs="Times New Roman"/>
          <w:noProof/>
        </w:rPr>
        <w:t xml:space="preserve"> LEAD_VC</w:t>
      </w:r>
      <w:r w:rsidR="410E78CB">
        <w:rPr>
          <w:rFonts w:cs="Times New Roman"/>
          <w:noProof/>
        </w:rPr>
        <w:t xml:space="preserve"> </w:t>
      </w:r>
      <w:r w:rsidRPr="311B850B">
        <w:rPr>
          <w:rFonts w:cs="Times New Roman"/>
          <w:noProof/>
        </w:rPr>
        <w:t>1, the measure focuses on vehicles that are impacted by public procurement and public subsidies. We estimate that this scenario would affect 83.7% of EVs put on the EU market, which includes all vehicles either publicly procured or supported by a public scheme in Europe</w:t>
      </w:r>
      <w:r w:rsidR="007113B9">
        <w:rPr>
          <w:rFonts w:cs="Times New Roman"/>
          <w:noProof/>
        </w:rPr>
        <w:t>.</w:t>
      </w:r>
      <w:r w:rsidR="00780BA9" w:rsidRPr="311B850B">
        <w:rPr>
          <w:rStyle w:val="FootnoteReference"/>
          <w:noProof/>
        </w:rPr>
        <w:footnoteReference w:id="290"/>
      </w:r>
    </w:p>
    <w:p w14:paraId="061CA880" w14:textId="0E6E9703" w:rsidR="00780BA9" w:rsidRPr="00F261DB" w:rsidRDefault="5B400271" w:rsidP="00AB73D5">
      <w:pPr>
        <w:spacing w:after="120"/>
        <w:rPr>
          <w:noProof/>
        </w:rPr>
      </w:pPr>
      <w:r>
        <w:rPr>
          <w:noProof/>
        </w:rPr>
        <w:t>Under LEAD_VC</w:t>
      </w:r>
      <w:r w:rsidR="410E78CB">
        <w:rPr>
          <w:noProof/>
        </w:rPr>
        <w:t xml:space="preserve"> </w:t>
      </w:r>
      <w:r>
        <w:rPr>
          <w:noProof/>
        </w:rPr>
        <w:t xml:space="preserve">2, we assume that 100% of the EVs put on the market will be impacted. </w:t>
      </w:r>
    </w:p>
    <w:p w14:paraId="7B1806EB" w14:textId="77777777" w:rsidR="0051241F" w:rsidRDefault="0051241F" w:rsidP="00BE3F43">
      <w:pPr>
        <w:rPr>
          <w:i/>
          <w:noProof/>
        </w:rPr>
      </w:pPr>
    </w:p>
    <w:p w14:paraId="7F83B8AB" w14:textId="2A1253F6" w:rsidR="00780BA9" w:rsidRDefault="5B400271" w:rsidP="00BE3F43">
      <w:pPr>
        <w:rPr>
          <w:i/>
          <w:noProof/>
        </w:rPr>
      </w:pPr>
      <w:r w:rsidRPr="3F0F1197">
        <w:rPr>
          <w:i/>
          <w:iCs/>
          <w:noProof/>
        </w:rPr>
        <w:t xml:space="preserve">Light Commercial Vehicles (LCVs): </w:t>
      </w:r>
    </w:p>
    <w:p w14:paraId="7B506C8E" w14:textId="77777777" w:rsidR="00AB73D5" w:rsidRPr="00F261DB" w:rsidRDefault="00AB73D5" w:rsidP="00BE3F43">
      <w:pPr>
        <w:rPr>
          <w:i/>
          <w:noProof/>
        </w:rPr>
      </w:pPr>
    </w:p>
    <w:p w14:paraId="57618E47" w14:textId="1C2BBD64" w:rsidR="00780BA9" w:rsidRPr="00F261DB" w:rsidRDefault="00780BA9" w:rsidP="00AB73D5">
      <w:pPr>
        <w:spacing w:after="120"/>
        <w:rPr>
          <w:rFonts w:cs="Times New Roman"/>
          <w:noProof/>
          <w:szCs w:val="24"/>
        </w:rPr>
      </w:pPr>
      <w:r w:rsidRPr="00F261DB">
        <w:rPr>
          <w:noProof/>
          <w:szCs w:val="24"/>
        </w:rPr>
        <w:t xml:space="preserve">In the case of </w:t>
      </w:r>
      <w:r w:rsidRPr="00F261DB">
        <w:rPr>
          <w:rFonts w:cs="Times New Roman"/>
          <w:noProof/>
          <w:szCs w:val="24"/>
        </w:rPr>
        <w:t>LCVs</w:t>
      </w:r>
      <w:r w:rsidR="00F8044F" w:rsidRPr="3F0F1197">
        <w:rPr>
          <w:rStyle w:val="FootnoteReference"/>
          <w:rFonts w:cs="Times New Roman"/>
          <w:i/>
          <w:iCs/>
          <w:noProof/>
        </w:rPr>
        <w:footnoteReference w:id="291"/>
      </w:r>
      <w:r w:rsidRPr="00F261DB">
        <w:rPr>
          <w:rFonts w:cs="Times New Roman"/>
          <w:noProof/>
          <w:szCs w:val="24"/>
        </w:rPr>
        <w:t xml:space="preserve">, due to the unavailability of data, for the sake of this Impact Assessment, the same assumptions apply as set out at the beginning of this </w:t>
      </w:r>
      <w:r w:rsidR="00E8682E">
        <w:rPr>
          <w:rFonts w:cs="Times New Roman"/>
          <w:noProof/>
          <w:szCs w:val="24"/>
        </w:rPr>
        <w:t>Section</w:t>
      </w:r>
      <w:r w:rsidRPr="00F261DB">
        <w:rPr>
          <w:rFonts w:cs="Times New Roman"/>
          <w:noProof/>
          <w:szCs w:val="24"/>
        </w:rPr>
        <w:t>.</w:t>
      </w:r>
    </w:p>
    <w:p w14:paraId="68DF5290" w14:textId="77777777" w:rsidR="0051241F" w:rsidRDefault="0051241F" w:rsidP="00BE3F43">
      <w:pPr>
        <w:rPr>
          <w:i/>
          <w:noProof/>
        </w:rPr>
      </w:pPr>
    </w:p>
    <w:p w14:paraId="03EBF10B" w14:textId="5D94AD88" w:rsidR="00780BA9" w:rsidRPr="00F261DB" w:rsidRDefault="5B400271" w:rsidP="00BE3F43">
      <w:pPr>
        <w:rPr>
          <w:i/>
          <w:noProof/>
        </w:rPr>
      </w:pPr>
      <w:r w:rsidRPr="3F0F1197">
        <w:rPr>
          <w:i/>
          <w:iCs/>
          <w:noProof/>
        </w:rPr>
        <w:t>Heavy Duty Vehicles</w:t>
      </w:r>
      <w:r w:rsidR="005E73CC">
        <w:rPr>
          <w:i/>
          <w:iCs/>
          <w:noProof/>
        </w:rPr>
        <w:t xml:space="preserve"> (HDV</w:t>
      </w:r>
      <w:r w:rsidR="00D77193">
        <w:rPr>
          <w:i/>
          <w:iCs/>
          <w:noProof/>
        </w:rPr>
        <w:t>s</w:t>
      </w:r>
      <w:r w:rsidR="005E73CC">
        <w:rPr>
          <w:i/>
          <w:iCs/>
          <w:noProof/>
        </w:rPr>
        <w:t>)</w:t>
      </w:r>
      <w:r w:rsidRPr="3F0F1197">
        <w:rPr>
          <w:i/>
          <w:iCs/>
          <w:noProof/>
        </w:rPr>
        <w:t>:</w:t>
      </w:r>
    </w:p>
    <w:p w14:paraId="0D8AE4D4" w14:textId="77777777" w:rsidR="00780BA9" w:rsidRPr="00F261DB" w:rsidRDefault="00780BA9" w:rsidP="00BE3F43">
      <w:pPr>
        <w:rPr>
          <w:noProof/>
          <w:szCs w:val="24"/>
        </w:rPr>
      </w:pPr>
    </w:p>
    <w:p w14:paraId="2479447A" w14:textId="06DD44E0" w:rsidR="00780BA9" w:rsidRPr="00F261DB" w:rsidRDefault="5B400271" w:rsidP="00AB73D5">
      <w:pPr>
        <w:spacing w:after="120"/>
        <w:rPr>
          <w:rFonts w:cs="Times New Roman"/>
          <w:noProof/>
          <w:szCs w:val="24"/>
        </w:rPr>
      </w:pPr>
      <w:r w:rsidRPr="4EAE5FAC">
        <w:rPr>
          <w:noProof/>
        </w:rPr>
        <w:t>In the HDV</w:t>
      </w:r>
      <w:r w:rsidR="00F8044F" w:rsidRPr="3F0F1197">
        <w:rPr>
          <w:rStyle w:val="FootnoteReference"/>
          <w:rFonts w:cs="Times New Roman"/>
          <w:i/>
          <w:iCs/>
          <w:noProof/>
        </w:rPr>
        <w:footnoteReference w:id="292"/>
      </w:r>
      <w:r w:rsidRPr="4EAE5FAC">
        <w:rPr>
          <w:noProof/>
        </w:rPr>
        <w:t xml:space="preserve"> segment, the Impact is difficult to assess due to the unavailability of data and the limitations of the applied model when it comes to estimating the current share of </w:t>
      </w:r>
      <w:r w:rsidR="23792EF5">
        <w:rPr>
          <w:noProof/>
        </w:rPr>
        <w:t>Made</w:t>
      </w:r>
      <w:r w:rsidRPr="4EAE5FAC">
        <w:rPr>
          <w:noProof/>
        </w:rPr>
        <w:t xml:space="preserve"> in </w:t>
      </w:r>
      <w:r w:rsidR="23792EF5">
        <w:rPr>
          <w:noProof/>
        </w:rPr>
        <w:t>EU</w:t>
      </w:r>
      <w:r w:rsidRPr="4EAE5FAC">
        <w:rPr>
          <w:noProof/>
        </w:rPr>
        <w:t xml:space="preserve"> in this vehicle segment. For this reason, the same assumptions are taken as for the passenger cars for the sake of this Impact Assessment.</w:t>
      </w:r>
      <w:r w:rsidR="00780BA9" w:rsidRPr="00F261DB">
        <w:rPr>
          <w:rStyle w:val="FootnoteReference"/>
          <w:noProof/>
        </w:rPr>
        <w:footnoteReference w:id="293"/>
      </w:r>
      <w:r w:rsidRPr="4EAE5FAC">
        <w:rPr>
          <w:rFonts w:cs="Times New Roman"/>
          <w:noProof/>
        </w:rPr>
        <w:t xml:space="preserve"> Anecdotal evidence suggests that the </w:t>
      </w:r>
      <w:r w:rsidR="23792EF5">
        <w:rPr>
          <w:rFonts w:cs="Times New Roman"/>
          <w:noProof/>
        </w:rPr>
        <w:t>Made in EU</w:t>
      </w:r>
      <w:r w:rsidRPr="4EAE5FAC">
        <w:rPr>
          <w:rFonts w:cs="Times New Roman"/>
          <w:noProof/>
        </w:rPr>
        <w:t xml:space="preserve"> in HDV is likely to be higher than the assumed requirements, consequently the measure may result in zero cost implications for EU HDV manufacturers, while preserving the positive effect on sales and overall competitiveness. </w:t>
      </w:r>
      <w:r w:rsidR="1C26196A" w:rsidRPr="4EAE5FAC">
        <w:rPr>
          <w:rFonts w:cs="Times New Roman"/>
          <w:noProof/>
        </w:rPr>
        <w:t>It would also act as a safeguard mechanism in case of a sudden and rapid decrease in European market shares for components.</w:t>
      </w:r>
    </w:p>
    <w:p w14:paraId="7827527D" w14:textId="376E9910" w:rsidR="00AB6196" w:rsidRDefault="00AB6196" w:rsidP="00AB6196">
      <w:pPr>
        <w:spacing w:after="120"/>
        <w:rPr>
          <w:noProof/>
          <w:szCs w:val="24"/>
        </w:rPr>
      </w:pPr>
      <w:r>
        <w:rPr>
          <w:noProof/>
          <w:szCs w:val="24"/>
        </w:rPr>
        <w:t xml:space="preserve">When measuring the impacts for LEAD_VC, </w:t>
      </w:r>
      <w:r w:rsidR="009A5012">
        <w:rPr>
          <w:noProof/>
          <w:szCs w:val="24"/>
        </w:rPr>
        <w:t>two</w:t>
      </w:r>
      <w:r>
        <w:rPr>
          <w:noProof/>
          <w:szCs w:val="24"/>
        </w:rPr>
        <w:t xml:space="preserve"> scenarios were modelled</w:t>
      </w:r>
      <w:r w:rsidR="000C0519">
        <w:rPr>
          <w:noProof/>
          <w:szCs w:val="24"/>
        </w:rPr>
        <w:t xml:space="preserve"> </w:t>
      </w:r>
      <w:bookmarkStart w:id="285" w:name="_Hlk215055360"/>
      <w:r w:rsidR="000C0519">
        <w:rPr>
          <w:noProof/>
          <w:szCs w:val="24"/>
        </w:rPr>
        <w:t>to take into account uncertainties</w:t>
      </w:r>
      <w:r w:rsidR="00A51118">
        <w:rPr>
          <w:noProof/>
          <w:szCs w:val="24"/>
        </w:rPr>
        <w:t xml:space="preserve"> </w:t>
      </w:r>
      <w:r w:rsidR="00852D82">
        <w:rPr>
          <w:noProof/>
          <w:szCs w:val="24"/>
        </w:rPr>
        <w:t xml:space="preserve">regarding </w:t>
      </w:r>
      <w:r w:rsidR="00A51118">
        <w:rPr>
          <w:noProof/>
          <w:szCs w:val="24"/>
        </w:rPr>
        <w:t>the possible reaction of non-EU manufacturers</w:t>
      </w:r>
      <w:bookmarkEnd w:id="285"/>
      <w:r>
        <w:rPr>
          <w:noProof/>
          <w:szCs w:val="24"/>
        </w:rPr>
        <w:t xml:space="preserve">: one purely based on the </w:t>
      </w:r>
      <w:r w:rsidRPr="003F4878">
        <w:rPr>
          <w:i/>
          <w:iCs/>
          <w:noProof/>
          <w:szCs w:val="24"/>
        </w:rPr>
        <w:t>“Internal market reaction</w:t>
      </w:r>
      <w:r>
        <w:rPr>
          <w:noProof/>
          <w:szCs w:val="24"/>
        </w:rPr>
        <w:t xml:space="preserve">” and an alternative scenario in which </w:t>
      </w:r>
      <w:r w:rsidRPr="003F4878">
        <w:rPr>
          <w:i/>
          <w:iCs/>
          <w:noProof/>
          <w:szCs w:val="24"/>
        </w:rPr>
        <w:t>“non-EU manufacturers absorb the price increase”.</w:t>
      </w:r>
      <w:r>
        <w:rPr>
          <w:noProof/>
          <w:szCs w:val="24"/>
        </w:rPr>
        <w:t xml:space="preserve"> The scenario based on the “</w:t>
      </w:r>
      <w:r w:rsidRPr="003F4878">
        <w:rPr>
          <w:i/>
          <w:iCs/>
          <w:noProof/>
          <w:szCs w:val="24"/>
        </w:rPr>
        <w:t>Internal market reaction</w:t>
      </w:r>
      <w:r>
        <w:rPr>
          <w:noProof/>
          <w:szCs w:val="24"/>
        </w:rPr>
        <w:t>” was used to assess impacts through the Impact Assessment and are the costs and benefits reflected for final calculations</w:t>
      </w:r>
      <w:r w:rsidR="0001155E">
        <w:rPr>
          <w:noProof/>
          <w:szCs w:val="24"/>
        </w:rPr>
        <w:t xml:space="preserve"> in the </w:t>
      </w:r>
      <w:r w:rsidR="00C03E3E">
        <w:rPr>
          <w:noProof/>
          <w:szCs w:val="24"/>
        </w:rPr>
        <w:t xml:space="preserve">adjustment costs </w:t>
      </w:r>
      <w:r w:rsidR="0001155E">
        <w:rPr>
          <w:noProof/>
          <w:szCs w:val="24"/>
        </w:rPr>
        <w:t>table</w:t>
      </w:r>
      <w:r w:rsidR="00BE5B8E">
        <w:rPr>
          <w:noProof/>
          <w:szCs w:val="24"/>
        </w:rPr>
        <w:t xml:space="preserve"> below, as well as final cost</w:t>
      </w:r>
      <w:r w:rsidR="0054147C">
        <w:rPr>
          <w:noProof/>
          <w:szCs w:val="24"/>
        </w:rPr>
        <w:t>s throughout all POs</w:t>
      </w:r>
      <w:r>
        <w:rPr>
          <w:noProof/>
          <w:szCs w:val="24"/>
        </w:rPr>
        <w:t xml:space="preserve">. However, for comparative analysis of both scenarios see Annex 14. </w:t>
      </w:r>
    </w:p>
    <w:p w14:paraId="691E2374" w14:textId="77777777" w:rsidR="001133D5" w:rsidRPr="00F261DB" w:rsidRDefault="001133D5" w:rsidP="00AB73D5">
      <w:pPr>
        <w:spacing w:after="120"/>
        <w:rPr>
          <w:rFonts w:cs="Times New Roman"/>
          <w:noProof/>
          <w:szCs w:val="24"/>
        </w:rPr>
      </w:pPr>
    </w:p>
    <w:p w14:paraId="6342A45D" w14:textId="0DD1B6C2" w:rsidR="00780BA9" w:rsidRPr="00F261DB" w:rsidRDefault="5B400271" w:rsidP="00BE3F43">
      <w:pPr>
        <w:rPr>
          <w:b/>
          <w:noProof/>
          <w:u w:val="single"/>
        </w:rPr>
      </w:pPr>
      <w:r w:rsidRPr="1A2A8689">
        <w:rPr>
          <w:b/>
          <w:bCs/>
          <w:noProof/>
          <w:u w:val="single"/>
        </w:rPr>
        <w:t>Further assumptions taken into account to build the potential scenarios</w:t>
      </w:r>
      <w:r w:rsidR="00AB6196" w:rsidRPr="1A2A8689">
        <w:rPr>
          <w:rStyle w:val="FootnoteReference"/>
          <w:b/>
          <w:bCs/>
          <w:noProof/>
          <w:u w:val="single"/>
        </w:rPr>
        <w:footnoteReference w:id="294"/>
      </w:r>
      <w:r w:rsidRPr="1A2A8689">
        <w:rPr>
          <w:b/>
          <w:bCs/>
          <w:noProof/>
          <w:u w:val="single"/>
        </w:rPr>
        <w:t xml:space="preserve">: </w:t>
      </w:r>
    </w:p>
    <w:p w14:paraId="0EA86F29" w14:textId="77777777" w:rsidR="00780BA9" w:rsidRPr="00F261DB" w:rsidRDefault="00780BA9" w:rsidP="00BE3F43">
      <w:pPr>
        <w:rPr>
          <w:noProof/>
          <w:szCs w:val="24"/>
        </w:rPr>
      </w:pPr>
    </w:p>
    <w:p w14:paraId="6EBD3688" w14:textId="77777777" w:rsidR="00780BA9" w:rsidRPr="00FF63D1" w:rsidRDefault="00780BA9" w:rsidP="00BE3F43">
      <w:pPr>
        <w:rPr>
          <w:noProof/>
          <w:szCs w:val="24"/>
        </w:rPr>
      </w:pPr>
      <w:r w:rsidRPr="00FF63D1">
        <w:rPr>
          <w:noProof/>
          <w:szCs w:val="24"/>
        </w:rPr>
        <w:t>The economic impact depends critically on three elements that reflect the reaction of the agents: </w:t>
      </w:r>
    </w:p>
    <w:p w14:paraId="6BE1F9E9" w14:textId="72A35506" w:rsidR="00780BA9" w:rsidRPr="00FF63D1" w:rsidRDefault="5B400271" w:rsidP="00AB73D5">
      <w:pPr>
        <w:pStyle w:val="ListParagraph"/>
        <w:numPr>
          <w:ilvl w:val="0"/>
          <w:numId w:val="119"/>
        </w:numPr>
        <w:rPr>
          <w:noProof/>
        </w:rPr>
      </w:pPr>
      <w:r w:rsidRPr="1A2A8689">
        <w:rPr>
          <w:b/>
          <w:bCs/>
          <w:noProof/>
        </w:rPr>
        <w:lastRenderedPageBreak/>
        <w:t>Price effect</w:t>
      </w:r>
      <w:r w:rsidR="4003DAED" w:rsidRPr="1A2A8689">
        <w:rPr>
          <w:b/>
          <w:bCs/>
          <w:noProof/>
        </w:rPr>
        <w:t>:</w:t>
      </w:r>
      <w:r w:rsidR="4003DAED" w:rsidRPr="00F261DB">
        <w:rPr>
          <w:noProof/>
        </w:rPr>
        <w:t xml:space="preserve"> </w:t>
      </w:r>
      <w:r w:rsidRPr="00F261DB">
        <w:rPr>
          <w:noProof/>
        </w:rPr>
        <w:t>Suppose</w:t>
      </w:r>
      <w:r w:rsidR="4003DAED" w:rsidRPr="00F261DB">
        <w:rPr>
          <w:noProof/>
        </w:rPr>
        <w:t>s</w:t>
      </w:r>
      <w:r w:rsidRPr="00F261DB">
        <w:rPr>
          <w:noProof/>
        </w:rPr>
        <w:t xml:space="preserve"> that car manufacturers can pass through </w:t>
      </w:r>
      <w:r w:rsidR="65A2D532" w:rsidRPr="00F261DB">
        <w:rPr>
          <w:noProof/>
        </w:rPr>
        <w:t>a potential</w:t>
      </w:r>
      <w:r w:rsidRPr="00F261DB">
        <w:rPr>
          <w:noProof/>
        </w:rPr>
        <w:t xml:space="preserve"> increase in cost to prices.</w:t>
      </w:r>
      <w:r w:rsidRPr="00F261DB">
        <w:rPr>
          <w:noProof/>
          <w:vertAlign w:val="superscript"/>
        </w:rPr>
        <w:t xml:space="preserve"> </w:t>
      </w:r>
      <w:r w:rsidRPr="00F261DB">
        <w:rPr>
          <w:noProof/>
        </w:rPr>
        <w:t>In that case, the demand for cars will reduce as the average car price increases. The price elasticity of demand captures this effect.</w:t>
      </w:r>
      <w:r w:rsidR="00780BA9" w:rsidRPr="00F261DB">
        <w:rPr>
          <w:rStyle w:val="FootnoteReference"/>
          <w:rFonts w:cs="Times New Roman"/>
          <w:noProof/>
        </w:rPr>
        <w:footnoteReference w:id="295"/>
      </w:r>
      <w:r w:rsidR="7DA4BB4A">
        <w:rPr>
          <w:noProof/>
        </w:rPr>
        <w:t xml:space="preserve"> </w:t>
      </w:r>
    </w:p>
    <w:p w14:paraId="573D5F3F" w14:textId="28E602D3" w:rsidR="00780BA9" w:rsidRPr="00FF63D1" w:rsidRDefault="00780BA9" w:rsidP="00FC25CE">
      <w:pPr>
        <w:pStyle w:val="ListParagraph"/>
        <w:numPr>
          <w:ilvl w:val="0"/>
          <w:numId w:val="117"/>
        </w:numPr>
        <w:rPr>
          <w:noProof/>
        </w:rPr>
      </w:pPr>
      <w:r w:rsidRPr="00F261DB">
        <w:rPr>
          <w:b/>
          <w:noProof/>
        </w:rPr>
        <w:t>Product substitution</w:t>
      </w:r>
      <w:r w:rsidR="00B65BEB" w:rsidRPr="00F261DB">
        <w:rPr>
          <w:b/>
          <w:noProof/>
        </w:rPr>
        <w:t>:</w:t>
      </w:r>
      <w:r w:rsidR="00B65BEB" w:rsidRPr="00F261DB">
        <w:rPr>
          <w:noProof/>
        </w:rPr>
        <w:t xml:space="preserve"> </w:t>
      </w:r>
      <w:r w:rsidRPr="00F261DB">
        <w:rPr>
          <w:noProof/>
        </w:rPr>
        <w:t>Suppose</w:t>
      </w:r>
      <w:r w:rsidR="00B65BEB" w:rsidRPr="00F261DB">
        <w:rPr>
          <w:noProof/>
        </w:rPr>
        <w:t>s</w:t>
      </w:r>
      <w:r w:rsidRPr="00F261DB">
        <w:rPr>
          <w:noProof/>
        </w:rPr>
        <w:t xml:space="preserve"> that</w:t>
      </w:r>
      <w:r w:rsidRPr="00F261DB" w:rsidDel="00B65BEB">
        <w:rPr>
          <w:noProof/>
        </w:rPr>
        <w:t xml:space="preserve"> </w:t>
      </w:r>
      <w:r w:rsidR="00B65BEB" w:rsidRPr="00F261DB">
        <w:rPr>
          <w:noProof/>
        </w:rPr>
        <w:t>a potential</w:t>
      </w:r>
      <w:r w:rsidRPr="00F261DB">
        <w:rPr>
          <w:noProof/>
        </w:rPr>
        <w:t xml:space="preserve"> price increase occurs only in the EV segment, the one directly affected by the policy measure. In that case, there could be a substitution in demand for EVs over ICEs if mitigation measures not foreseen, as ICEs become relatively cheaper after the policy is implemented. The product's cross-price elasticity of demand captures this substitution effect. The following matrix of product cross-price elasticity of demand is assumed (Leard and Wu, 2023):</w:t>
      </w:r>
      <w:r w:rsidRPr="00FF63D1">
        <w:rPr>
          <w:noProof/>
        </w:rPr>
        <w:t> </w:t>
      </w:r>
    </w:p>
    <w:p w14:paraId="687BDA9C" w14:textId="77777777" w:rsidR="00780BA9" w:rsidRPr="00FF63D1" w:rsidRDefault="00780BA9" w:rsidP="00BE3F43">
      <w:pPr>
        <w:rPr>
          <w:noProof/>
          <w:szCs w:val="24"/>
        </w:rPr>
      </w:pPr>
    </w:p>
    <w:tbl>
      <w:tblPr>
        <w:tblW w:w="3326" w:type="pct"/>
        <w:jc w:val="center"/>
        <w:tblLook w:val="04A0" w:firstRow="1" w:lastRow="0" w:firstColumn="1" w:lastColumn="0" w:noHBand="0" w:noVBand="1"/>
      </w:tblPr>
      <w:tblGrid>
        <w:gridCol w:w="792"/>
        <w:gridCol w:w="1842"/>
        <w:gridCol w:w="1842"/>
        <w:gridCol w:w="1842"/>
      </w:tblGrid>
      <w:tr w:rsidR="00780BA9" w:rsidRPr="00F261DB" w14:paraId="3580ACF7" w14:textId="77777777" w:rsidTr="00E71388">
        <w:trPr>
          <w:trHeight w:val="203"/>
          <w:jc w:val="center"/>
        </w:trPr>
        <w:tc>
          <w:tcPr>
            <w:tcW w:w="626" w:type="pct"/>
            <w:tcBorders>
              <w:top w:val="nil"/>
              <w:left w:val="nil"/>
              <w:bottom w:val="nil"/>
              <w:right w:val="nil"/>
            </w:tcBorders>
            <w:noWrap/>
            <w:vAlign w:val="bottom"/>
            <w:hideMark/>
          </w:tcPr>
          <w:p w14:paraId="727E93FF" w14:textId="77777777" w:rsidR="00780BA9" w:rsidRPr="00FF63D1" w:rsidRDefault="00780BA9" w:rsidP="00BE3F43">
            <w:pPr>
              <w:rPr>
                <w:rFonts w:eastAsia="Times New Roman"/>
                <w:noProof/>
                <w:szCs w:val="20"/>
                <w:lang w:eastAsia="en-IE"/>
              </w:rPr>
            </w:pPr>
          </w:p>
        </w:tc>
        <w:tc>
          <w:tcPr>
            <w:tcW w:w="1458" w:type="pct"/>
            <w:tcBorders>
              <w:top w:val="nil"/>
              <w:left w:val="nil"/>
              <w:bottom w:val="nil"/>
              <w:right w:val="nil"/>
            </w:tcBorders>
            <w:noWrap/>
            <w:vAlign w:val="bottom"/>
            <w:hideMark/>
          </w:tcPr>
          <w:p w14:paraId="7D008B1B" w14:textId="77777777" w:rsidR="00780BA9" w:rsidRPr="00FF63D1" w:rsidRDefault="00780BA9" w:rsidP="00BE3F43">
            <w:pPr>
              <w:rPr>
                <w:rFonts w:eastAsia="Times New Roman"/>
                <w:noProof/>
                <w:sz w:val="20"/>
                <w:szCs w:val="20"/>
                <w:lang w:eastAsia="en-IE"/>
              </w:rPr>
            </w:pPr>
          </w:p>
        </w:tc>
        <w:tc>
          <w:tcPr>
            <w:tcW w:w="2916" w:type="pct"/>
            <w:gridSpan w:val="2"/>
            <w:tcBorders>
              <w:top w:val="single" w:sz="4" w:space="0" w:color="auto"/>
              <w:left w:val="nil"/>
              <w:bottom w:val="nil"/>
              <w:right w:val="nil"/>
            </w:tcBorders>
            <w:noWrap/>
            <w:vAlign w:val="bottom"/>
            <w:hideMark/>
          </w:tcPr>
          <w:p w14:paraId="18E57330"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price</w:t>
            </w:r>
          </w:p>
        </w:tc>
      </w:tr>
      <w:tr w:rsidR="00780BA9" w:rsidRPr="00F261DB" w14:paraId="1C5E9D55" w14:textId="77777777" w:rsidTr="00E71388">
        <w:trPr>
          <w:trHeight w:val="203"/>
          <w:jc w:val="center"/>
        </w:trPr>
        <w:tc>
          <w:tcPr>
            <w:tcW w:w="626" w:type="pct"/>
            <w:tcBorders>
              <w:top w:val="nil"/>
              <w:left w:val="nil"/>
              <w:bottom w:val="nil"/>
              <w:right w:val="nil"/>
            </w:tcBorders>
            <w:noWrap/>
            <w:vAlign w:val="bottom"/>
            <w:hideMark/>
          </w:tcPr>
          <w:p w14:paraId="24783FDF" w14:textId="77777777" w:rsidR="00780BA9" w:rsidRPr="00FF63D1" w:rsidRDefault="00780BA9" w:rsidP="00BE3F43">
            <w:pPr>
              <w:rPr>
                <w:rFonts w:eastAsia="Times New Roman"/>
                <w:b/>
                <w:noProof/>
                <w:color w:val="000000"/>
                <w:sz w:val="22"/>
                <w:lang w:eastAsia="en-IE"/>
              </w:rPr>
            </w:pPr>
          </w:p>
        </w:tc>
        <w:tc>
          <w:tcPr>
            <w:tcW w:w="1458" w:type="pct"/>
            <w:tcBorders>
              <w:top w:val="nil"/>
              <w:left w:val="nil"/>
              <w:bottom w:val="single" w:sz="4" w:space="0" w:color="auto"/>
              <w:right w:val="single" w:sz="4" w:space="0" w:color="auto"/>
            </w:tcBorders>
            <w:noWrap/>
            <w:vAlign w:val="bottom"/>
            <w:hideMark/>
          </w:tcPr>
          <w:p w14:paraId="34371412"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 </w:t>
            </w:r>
          </w:p>
        </w:tc>
        <w:tc>
          <w:tcPr>
            <w:tcW w:w="1458" w:type="pct"/>
            <w:tcBorders>
              <w:top w:val="nil"/>
              <w:left w:val="nil"/>
              <w:bottom w:val="single" w:sz="4" w:space="0" w:color="auto"/>
              <w:right w:val="single" w:sz="4" w:space="0" w:color="auto"/>
            </w:tcBorders>
            <w:noWrap/>
            <w:vAlign w:val="bottom"/>
            <w:hideMark/>
          </w:tcPr>
          <w:p w14:paraId="4009CA02"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ICE</w:t>
            </w:r>
          </w:p>
        </w:tc>
        <w:tc>
          <w:tcPr>
            <w:tcW w:w="1458" w:type="pct"/>
            <w:tcBorders>
              <w:top w:val="nil"/>
              <w:left w:val="nil"/>
              <w:bottom w:val="single" w:sz="4" w:space="0" w:color="auto"/>
              <w:right w:val="nil"/>
            </w:tcBorders>
            <w:noWrap/>
            <w:vAlign w:val="bottom"/>
            <w:hideMark/>
          </w:tcPr>
          <w:p w14:paraId="529795E7"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EV</w:t>
            </w:r>
          </w:p>
        </w:tc>
      </w:tr>
      <w:tr w:rsidR="00E71388" w:rsidRPr="00F261DB" w14:paraId="4BE77D8D" w14:textId="77777777" w:rsidTr="00E71388">
        <w:trPr>
          <w:trHeight w:val="422"/>
          <w:jc w:val="center"/>
        </w:trPr>
        <w:tc>
          <w:tcPr>
            <w:tcW w:w="626" w:type="pct"/>
            <w:vMerge w:val="restart"/>
            <w:tcBorders>
              <w:top w:val="nil"/>
              <w:left w:val="nil"/>
              <w:bottom w:val="double" w:sz="6" w:space="0" w:color="000000"/>
              <w:right w:val="nil"/>
            </w:tcBorders>
            <w:noWrap/>
            <w:textDirection w:val="btLr"/>
            <w:vAlign w:val="center"/>
            <w:hideMark/>
          </w:tcPr>
          <w:p w14:paraId="74C67442"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quantities</w:t>
            </w:r>
          </w:p>
        </w:tc>
        <w:tc>
          <w:tcPr>
            <w:tcW w:w="1458" w:type="pct"/>
            <w:tcBorders>
              <w:top w:val="nil"/>
              <w:left w:val="nil"/>
              <w:bottom w:val="single" w:sz="4" w:space="0" w:color="auto"/>
              <w:right w:val="single" w:sz="4" w:space="0" w:color="auto"/>
            </w:tcBorders>
            <w:noWrap/>
            <w:vAlign w:val="center"/>
            <w:hideMark/>
          </w:tcPr>
          <w:p w14:paraId="7C66F285"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ICE</w:t>
            </w:r>
          </w:p>
        </w:tc>
        <w:tc>
          <w:tcPr>
            <w:tcW w:w="1458" w:type="pct"/>
            <w:tcBorders>
              <w:top w:val="nil"/>
              <w:left w:val="nil"/>
              <w:bottom w:val="single" w:sz="4" w:space="0" w:color="auto"/>
              <w:right w:val="single" w:sz="4" w:space="0" w:color="auto"/>
            </w:tcBorders>
            <w:noWrap/>
            <w:vAlign w:val="center"/>
            <w:hideMark/>
          </w:tcPr>
          <w:p w14:paraId="1472E3E9"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-0.58</w:t>
            </w:r>
          </w:p>
        </w:tc>
        <w:tc>
          <w:tcPr>
            <w:tcW w:w="1458" w:type="pct"/>
            <w:tcBorders>
              <w:top w:val="nil"/>
              <w:left w:val="nil"/>
              <w:bottom w:val="single" w:sz="4" w:space="0" w:color="auto"/>
              <w:right w:val="nil"/>
            </w:tcBorders>
            <w:noWrap/>
            <w:vAlign w:val="center"/>
            <w:hideMark/>
          </w:tcPr>
          <w:p w14:paraId="169E2469"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0.30</w:t>
            </w:r>
          </w:p>
        </w:tc>
      </w:tr>
      <w:tr w:rsidR="00E71388" w:rsidRPr="00F261DB" w14:paraId="141067C9" w14:textId="77777777" w:rsidTr="00E71388">
        <w:trPr>
          <w:trHeight w:val="422"/>
          <w:jc w:val="center"/>
        </w:trPr>
        <w:tc>
          <w:tcPr>
            <w:tcW w:w="626" w:type="pct"/>
            <w:vMerge/>
            <w:tcBorders>
              <w:top w:val="nil"/>
              <w:left w:val="nil"/>
              <w:bottom w:val="double" w:sz="6" w:space="0" w:color="000000"/>
              <w:right w:val="nil"/>
            </w:tcBorders>
            <w:vAlign w:val="center"/>
            <w:hideMark/>
          </w:tcPr>
          <w:p w14:paraId="0AC866EA" w14:textId="77777777" w:rsidR="00780BA9" w:rsidRPr="00FF63D1" w:rsidRDefault="00780BA9" w:rsidP="00BE3F43">
            <w:pPr>
              <w:rPr>
                <w:rFonts w:eastAsia="Times New Roman"/>
                <w:b/>
                <w:noProof/>
                <w:color w:val="000000"/>
                <w:sz w:val="22"/>
                <w:lang w:eastAsia="en-IE"/>
              </w:rPr>
            </w:pPr>
          </w:p>
        </w:tc>
        <w:tc>
          <w:tcPr>
            <w:tcW w:w="1458" w:type="pct"/>
            <w:tcBorders>
              <w:top w:val="nil"/>
              <w:left w:val="nil"/>
              <w:bottom w:val="double" w:sz="6" w:space="0" w:color="auto"/>
              <w:right w:val="single" w:sz="4" w:space="0" w:color="auto"/>
            </w:tcBorders>
            <w:noWrap/>
            <w:vAlign w:val="center"/>
            <w:hideMark/>
          </w:tcPr>
          <w:p w14:paraId="4520C692"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EV</w:t>
            </w:r>
          </w:p>
        </w:tc>
        <w:tc>
          <w:tcPr>
            <w:tcW w:w="1458" w:type="pct"/>
            <w:tcBorders>
              <w:top w:val="nil"/>
              <w:left w:val="nil"/>
              <w:bottom w:val="double" w:sz="6" w:space="0" w:color="auto"/>
              <w:right w:val="single" w:sz="4" w:space="0" w:color="auto"/>
            </w:tcBorders>
            <w:noWrap/>
            <w:vAlign w:val="center"/>
            <w:hideMark/>
          </w:tcPr>
          <w:p w14:paraId="156EA549"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0.50</w:t>
            </w:r>
          </w:p>
        </w:tc>
        <w:tc>
          <w:tcPr>
            <w:tcW w:w="1458" w:type="pct"/>
            <w:tcBorders>
              <w:top w:val="nil"/>
              <w:left w:val="nil"/>
              <w:bottom w:val="double" w:sz="6" w:space="0" w:color="auto"/>
              <w:right w:val="nil"/>
            </w:tcBorders>
            <w:noWrap/>
            <w:vAlign w:val="center"/>
            <w:hideMark/>
          </w:tcPr>
          <w:p w14:paraId="50C7979E"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-1.50</w:t>
            </w:r>
          </w:p>
        </w:tc>
      </w:tr>
    </w:tbl>
    <w:p w14:paraId="546A4643" w14:textId="77777777" w:rsidR="00780BA9" w:rsidRPr="00FF63D1" w:rsidRDefault="00780BA9" w:rsidP="00BE3F43">
      <w:pPr>
        <w:rPr>
          <w:noProof/>
          <w:szCs w:val="24"/>
        </w:rPr>
      </w:pPr>
    </w:p>
    <w:p w14:paraId="4F94FDCC" w14:textId="282E5918" w:rsidR="00780BA9" w:rsidRPr="008835F7" w:rsidRDefault="00780BA9" w:rsidP="00BE3F43">
      <w:pPr>
        <w:pStyle w:val="ListParagraph"/>
        <w:numPr>
          <w:ilvl w:val="0"/>
          <w:numId w:val="118"/>
        </w:numPr>
        <w:rPr>
          <w:noProof/>
          <w:szCs w:val="24"/>
        </w:rPr>
      </w:pPr>
      <w:r w:rsidRPr="311B850B">
        <w:rPr>
          <w:b/>
          <w:noProof/>
        </w:rPr>
        <w:t>Region substitution</w:t>
      </w:r>
      <w:r w:rsidR="00B65BEB" w:rsidRPr="311B850B">
        <w:rPr>
          <w:b/>
          <w:noProof/>
        </w:rPr>
        <w:t>:</w:t>
      </w:r>
      <w:r>
        <w:rPr>
          <w:noProof/>
        </w:rPr>
        <w:t xml:space="preserve"> Suppose</w:t>
      </w:r>
      <w:r w:rsidR="00B65BEB">
        <w:rPr>
          <w:noProof/>
        </w:rPr>
        <w:t>s</w:t>
      </w:r>
      <w:r>
        <w:rPr>
          <w:noProof/>
        </w:rPr>
        <w:t xml:space="preserve"> that vehicles produced by EU manufacturers benefit from a relative price decrease in comparison with vehicles produced by non-EU manufacturers. This is determined on one hand by the loss of </w:t>
      </w:r>
      <w:r w:rsidRPr="311B850B">
        <w:rPr>
          <w:rFonts w:cs="Times New Roman"/>
          <w:noProof/>
        </w:rPr>
        <w:t>access to public subsidies by non-EU manufacturers, and on the other hand by the expected increase of the available subsidies/vehicle for vehicles produced by EU manufacturers. The region's cross-price elasticity of demand captures this substitution effect. The region substitution within one segment, i.e., ICE or EVs, is larger than the product elasticity across the segments and assume the following matrix of region cross-price elasticity of demand (Leard and Wu, 2023):</w:t>
      </w:r>
      <w:r>
        <w:rPr>
          <w:noProof/>
        </w:rPr>
        <w:t xml:space="preserve"> </w:t>
      </w:r>
      <w:r w:rsidRPr="311B850B">
        <w:rPr>
          <w:noProof/>
          <w:vertAlign w:val="superscript"/>
        </w:rPr>
        <w:t>20</w:t>
      </w:r>
    </w:p>
    <w:p w14:paraId="21D94ECE" w14:textId="77777777" w:rsidR="00780BA9" w:rsidRPr="00FF63D1" w:rsidRDefault="00780BA9" w:rsidP="00BE3F43">
      <w:pPr>
        <w:rPr>
          <w:noProof/>
          <w:szCs w:val="24"/>
        </w:rPr>
      </w:pPr>
    </w:p>
    <w:tbl>
      <w:tblPr>
        <w:tblW w:w="3729" w:type="pct"/>
        <w:jc w:val="center"/>
        <w:tblLook w:val="04A0" w:firstRow="1" w:lastRow="0" w:firstColumn="1" w:lastColumn="0" w:noHBand="0" w:noVBand="1"/>
      </w:tblPr>
      <w:tblGrid>
        <w:gridCol w:w="888"/>
        <w:gridCol w:w="2066"/>
        <w:gridCol w:w="1693"/>
        <w:gridCol w:w="2437"/>
      </w:tblGrid>
      <w:tr w:rsidR="00780BA9" w:rsidRPr="00F261DB" w14:paraId="744B71D3" w14:textId="77777777" w:rsidTr="00E71388">
        <w:trPr>
          <w:trHeight w:val="224"/>
          <w:jc w:val="center"/>
        </w:trPr>
        <w:tc>
          <w:tcPr>
            <w:tcW w:w="627" w:type="pct"/>
            <w:tcBorders>
              <w:top w:val="nil"/>
              <w:left w:val="nil"/>
              <w:bottom w:val="nil"/>
              <w:right w:val="nil"/>
            </w:tcBorders>
            <w:noWrap/>
            <w:vAlign w:val="bottom"/>
            <w:hideMark/>
          </w:tcPr>
          <w:p w14:paraId="28B10A8E" w14:textId="77777777" w:rsidR="00780BA9" w:rsidRPr="00FF63D1" w:rsidRDefault="00780BA9" w:rsidP="00655573">
            <w:pPr>
              <w:jc w:val="center"/>
              <w:rPr>
                <w:rFonts w:eastAsia="Times New Roman"/>
                <w:noProof/>
                <w:szCs w:val="20"/>
                <w:lang w:eastAsia="en-IE"/>
              </w:rPr>
            </w:pPr>
          </w:p>
        </w:tc>
        <w:tc>
          <w:tcPr>
            <w:tcW w:w="1458" w:type="pct"/>
            <w:tcBorders>
              <w:top w:val="nil"/>
              <w:left w:val="nil"/>
              <w:bottom w:val="nil"/>
              <w:right w:val="nil"/>
            </w:tcBorders>
            <w:noWrap/>
            <w:vAlign w:val="bottom"/>
            <w:hideMark/>
          </w:tcPr>
          <w:p w14:paraId="2AEEBBA2" w14:textId="77777777" w:rsidR="00780BA9" w:rsidRPr="00FF63D1" w:rsidRDefault="00780BA9" w:rsidP="00BE3F43">
            <w:pPr>
              <w:rPr>
                <w:rFonts w:eastAsia="Times New Roman"/>
                <w:noProof/>
                <w:sz w:val="20"/>
                <w:szCs w:val="20"/>
                <w:lang w:eastAsia="en-IE"/>
              </w:rPr>
            </w:pPr>
          </w:p>
        </w:tc>
        <w:tc>
          <w:tcPr>
            <w:tcW w:w="2915" w:type="pct"/>
            <w:gridSpan w:val="2"/>
            <w:tcBorders>
              <w:top w:val="single" w:sz="4" w:space="0" w:color="auto"/>
              <w:left w:val="nil"/>
              <w:bottom w:val="nil"/>
              <w:right w:val="nil"/>
            </w:tcBorders>
            <w:noWrap/>
            <w:vAlign w:val="bottom"/>
            <w:hideMark/>
          </w:tcPr>
          <w:p w14:paraId="23A10BB9"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price</w:t>
            </w:r>
          </w:p>
        </w:tc>
      </w:tr>
      <w:tr w:rsidR="00780BA9" w:rsidRPr="00F261DB" w14:paraId="3AF69858" w14:textId="77777777" w:rsidTr="00E71388">
        <w:trPr>
          <w:trHeight w:val="224"/>
          <w:jc w:val="center"/>
        </w:trPr>
        <w:tc>
          <w:tcPr>
            <w:tcW w:w="627" w:type="pct"/>
            <w:tcBorders>
              <w:top w:val="nil"/>
              <w:left w:val="nil"/>
              <w:bottom w:val="nil"/>
              <w:right w:val="nil"/>
            </w:tcBorders>
            <w:noWrap/>
            <w:vAlign w:val="bottom"/>
            <w:hideMark/>
          </w:tcPr>
          <w:p w14:paraId="0D5A9FA5" w14:textId="77777777" w:rsidR="00780BA9" w:rsidRPr="00FF63D1" w:rsidRDefault="00780BA9" w:rsidP="00BE3F43">
            <w:pPr>
              <w:rPr>
                <w:rFonts w:eastAsia="Times New Roman"/>
                <w:b/>
                <w:noProof/>
                <w:color w:val="000000"/>
                <w:sz w:val="22"/>
                <w:lang w:eastAsia="en-IE"/>
              </w:rPr>
            </w:pPr>
          </w:p>
        </w:tc>
        <w:tc>
          <w:tcPr>
            <w:tcW w:w="1458" w:type="pct"/>
            <w:tcBorders>
              <w:top w:val="nil"/>
              <w:left w:val="nil"/>
              <w:bottom w:val="single" w:sz="4" w:space="0" w:color="auto"/>
              <w:right w:val="single" w:sz="4" w:space="0" w:color="auto"/>
            </w:tcBorders>
            <w:noWrap/>
            <w:vAlign w:val="bottom"/>
            <w:hideMark/>
          </w:tcPr>
          <w:p w14:paraId="68AB374F"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 </w:t>
            </w:r>
          </w:p>
        </w:tc>
        <w:tc>
          <w:tcPr>
            <w:tcW w:w="1195" w:type="pct"/>
            <w:tcBorders>
              <w:top w:val="nil"/>
              <w:left w:val="nil"/>
              <w:bottom w:val="single" w:sz="4" w:space="0" w:color="auto"/>
              <w:right w:val="single" w:sz="4" w:space="0" w:color="auto"/>
            </w:tcBorders>
            <w:noWrap/>
            <w:vAlign w:val="bottom"/>
            <w:hideMark/>
          </w:tcPr>
          <w:p w14:paraId="0B75BEA6"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EU</w:t>
            </w:r>
          </w:p>
        </w:tc>
        <w:tc>
          <w:tcPr>
            <w:tcW w:w="1720" w:type="pct"/>
            <w:tcBorders>
              <w:top w:val="nil"/>
              <w:left w:val="nil"/>
              <w:bottom w:val="single" w:sz="4" w:space="0" w:color="auto"/>
              <w:right w:val="nil"/>
            </w:tcBorders>
            <w:noWrap/>
            <w:vAlign w:val="bottom"/>
            <w:hideMark/>
          </w:tcPr>
          <w:p w14:paraId="3F1F9DD4"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non-EU</w:t>
            </w:r>
          </w:p>
        </w:tc>
      </w:tr>
      <w:tr w:rsidR="00071FE6" w:rsidRPr="00F261DB" w14:paraId="3E24151E" w14:textId="77777777" w:rsidTr="00A76DAC">
        <w:trPr>
          <w:trHeight w:val="465"/>
          <w:jc w:val="center"/>
        </w:trPr>
        <w:tc>
          <w:tcPr>
            <w:tcW w:w="627" w:type="pct"/>
            <w:vMerge w:val="restart"/>
            <w:tcBorders>
              <w:top w:val="nil"/>
              <w:left w:val="nil"/>
              <w:bottom w:val="double" w:sz="6" w:space="0" w:color="000000"/>
              <w:right w:val="nil"/>
            </w:tcBorders>
            <w:noWrap/>
            <w:textDirection w:val="btLr"/>
            <w:vAlign w:val="center"/>
            <w:hideMark/>
          </w:tcPr>
          <w:p w14:paraId="213F4901"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quantities</w:t>
            </w:r>
          </w:p>
        </w:tc>
        <w:tc>
          <w:tcPr>
            <w:tcW w:w="1458" w:type="pct"/>
            <w:tcBorders>
              <w:top w:val="nil"/>
              <w:left w:val="nil"/>
              <w:bottom w:val="single" w:sz="4" w:space="0" w:color="auto"/>
              <w:right w:val="single" w:sz="4" w:space="0" w:color="auto"/>
            </w:tcBorders>
            <w:noWrap/>
            <w:vAlign w:val="center"/>
            <w:hideMark/>
          </w:tcPr>
          <w:p w14:paraId="13E06775"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EU</w:t>
            </w:r>
          </w:p>
        </w:tc>
        <w:tc>
          <w:tcPr>
            <w:tcW w:w="1195" w:type="pct"/>
            <w:tcBorders>
              <w:top w:val="nil"/>
              <w:left w:val="nil"/>
              <w:bottom w:val="single" w:sz="4" w:space="0" w:color="auto"/>
              <w:right w:val="single" w:sz="4" w:space="0" w:color="auto"/>
            </w:tcBorders>
            <w:noWrap/>
            <w:vAlign w:val="center"/>
            <w:hideMark/>
          </w:tcPr>
          <w:p w14:paraId="22EDC0E8"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-1.23</w:t>
            </w:r>
          </w:p>
        </w:tc>
        <w:tc>
          <w:tcPr>
            <w:tcW w:w="1720" w:type="pct"/>
            <w:tcBorders>
              <w:top w:val="nil"/>
              <w:left w:val="nil"/>
              <w:bottom w:val="single" w:sz="4" w:space="0" w:color="auto"/>
              <w:right w:val="nil"/>
            </w:tcBorders>
            <w:noWrap/>
            <w:vAlign w:val="center"/>
            <w:hideMark/>
          </w:tcPr>
          <w:p w14:paraId="160E501D"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1.00</w:t>
            </w:r>
          </w:p>
        </w:tc>
      </w:tr>
      <w:tr w:rsidR="00071FE6" w:rsidRPr="00F261DB" w14:paraId="31A60C64" w14:textId="77777777" w:rsidTr="00A76DAC">
        <w:trPr>
          <w:trHeight w:val="558"/>
          <w:jc w:val="center"/>
        </w:trPr>
        <w:tc>
          <w:tcPr>
            <w:tcW w:w="627" w:type="pct"/>
            <w:vMerge/>
            <w:tcBorders>
              <w:top w:val="nil"/>
              <w:left w:val="nil"/>
              <w:bottom w:val="double" w:sz="6" w:space="0" w:color="000000"/>
              <w:right w:val="nil"/>
            </w:tcBorders>
            <w:vAlign w:val="center"/>
            <w:hideMark/>
          </w:tcPr>
          <w:p w14:paraId="094AFCAA" w14:textId="77777777" w:rsidR="00780BA9" w:rsidRPr="00FF63D1" w:rsidRDefault="00780BA9" w:rsidP="00BE3F43">
            <w:pPr>
              <w:rPr>
                <w:rFonts w:eastAsia="Times New Roman"/>
                <w:b/>
                <w:noProof/>
                <w:color w:val="000000"/>
                <w:sz w:val="22"/>
                <w:lang w:eastAsia="en-IE"/>
              </w:rPr>
            </w:pPr>
          </w:p>
        </w:tc>
        <w:tc>
          <w:tcPr>
            <w:tcW w:w="1458" w:type="pct"/>
            <w:tcBorders>
              <w:top w:val="nil"/>
              <w:left w:val="nil"/>
              <w:bottom w:val="double" w:sz="6" w:space="0" w:color="auto"/>
              <w:right w:val="single" w:sz="4" w:space="0" w:color="auto"/>
            </w:tcBorders>
            <w:noWrap/>
            <w:vAlign w:val="center"/>
            <w:hideMark/>
          </w:tcPr>
          <w:p w14:paraId="1CCBB44A" w14:textId="77777777" w:rsidR="00780BA9" w:rsidRPr="00FF63D1" w:rsidRDefault="00780BA9" w:rsidP="00BE3F43">
            <w:pPr>
              <w:rPr>
                <w:rFonts w:eastAsia="Times New Roman"/>
                <w:b/>
                <w:noProof/>
                <w:color w:val="000000"/>
                <w:sz w:val="22"/>
                <w:lang w:eastAsia="en-IE"/>
              </w:rPr>
            </w:pPr>
            <w:r w:rsidRPr="00FF63D1">
              <w:rPr>
                <w:rFonts w:eastAsia="Times New Roman"/>
                <w:b/>
                <w:noProof/>
                <w:color w:val="000000"/>
                <w:sz w:val="22"/>
                <w:lang w:eastAsia="en-IE"/>
              </w:rPr>
              <w:t>non-EU</w:t>
            </w:r>
          </w:p>
        </w:tc>
        <w:tc>
          <w:tcPr>
            <w:tcW w:w="1195" w:type="pct"/>
            <w:tcBorders>
              <w:top w:val="nil"/>
              <w:left w:val="nil"/>
              <w:bottom w:val="double" w:sz="6" w:space="0" w:color="auto"/>
              <w:right w:val="single" w:sz="4" w:space="0" w:color="auto"/>
            </w:tcBorders>
            <w:noWrap/>
            <w:vAlign w:val="center"/>
            <w:hideMark/>
          </w:tcPr>
          <w:p w14:paraId="4DD04D01"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1.00</w:t>
            </w:r>
          </w:p>
        </w:tc>
        <w:tc>
          <w:tcPr>
            <w:tcW w:w="1720" w:type="pct"/>
            <w:tcBorders>
              <w:top w:val="nil"/>
              <w:left w:val="nil"/>
              <w:bottom w:val="double" w:sz="6" w:space="0" w:color="auto"/>
              <w:right w:val="nil"/>
            </w:tcBorders>
            <w:noWrap/>
            <w:vAlign w:val="center"/>
            <w:hideMark/>
          </w:tcPr>
          <w:p w14:paraId="4B26FC33" w14:textId="77777777" w:rsidR="00780BA9" w:rsidRPr="00FF63D1" w:rsidRDefault="00780BA9" w:rsidP="00BE3F43">
            <w:pPr>
              <w:rPr>
                <w:rFonts w:eastAsia="Times New Roman"/>
                <w:noProof/>
                <w:color w:val="000000"/>
                <w:sz w:val="22"/>
                <w:lang w:eastAsia="en-IE"/>
              </w:rPr>
            </w:pPr>
            <w:r w:rsidRPr="00FF63D1">
              <w:rPr>
                <w:rFonts w:eastAsia="Times New Roman"/>
                <w:noProof/>
                <w:color w:val="000000"/>
                <w:sz w:val="22"/>
                <w:lang w:eastAsia="en-IE"/>
              </w:rPr>
              <w:t>-2.00</w:t>
            </w:r>
          </w:p>
        </w:tc>
      </w:tr>
    </w:tbl>
    <w:p w14:paraId="4A362654" w14:textId="6B46DC70" w:rsidR="00780BA9" w:rsidRPr="005C0D98" w:rsidRDefault="00780BA9" w:rsidP="00BE3F43">
      <w:pPr>
        <w:rPr>
          <w:rFonts w:cs="Times New Roman"/>
          <w:noProof/>
          <w:szCs w:val="24"/>
        </w:rPr>
      </w:pPr>
    </w:p>
    <w:p w14:paraId="6920A803" w14:textId="6A003722" w:rsidR="79CEAD0C" w:rsidRPr="005C0D98" w:rsidRDefault="79CEAD0C">
      <w:pPr>
        <w:rPr>
          <w:rFonts w:cs="Times New Roman"/>
          <w:noProof/>
          <w:szCs w:val="24"/>
        </w:rPr>
      </w:pPr>
      <w:r w:rsidRPr="005C0D98">
        <w:rPr>
          <w:rFonts w:cs="Times New Roman"/>
          <w:noProof/>
          <w:szCs w:val="24"/>
        </w:rPr>
        <w:t xml:space="preserve">Furthermore, the following assumptions were taken into consideration when calculating the cost pass through: </w:t>
      </w:r>
    </w:p>
    <w:p w14:paraId="76AF6AB3" w14:textId="68858033" w:rsidR="0C789CAE" w:rsidRPr="005C0D98" w:rsidRDefault="0C789CAE">
      <w:pPr>
        <w:rPr>
          <w:rFonts w:cs="Times New Roman"/>
          <w:noProof/>
          <w:szCs w:val="24"/>
        </w:rPr>
      </w:pPr>
    </w:p>
    <w:p w14:paraId="2E285574" w14:textId="07878AE8" w:rsidR="72A6D327" w:rsidRPr="00E71388" w:rsidRDefault="72A6D327" w:rsidP="00E71388">
      <w:pPr>
        <w:pStyle w:val="ListParagraph"/>
        <w:spacing w:after="160" w:line="276" w:lineRule="auto"/>
        <w:rPr>
          <w:rFonts w:eastAsia="Aptos" w:cs="Times New Roman"/>
          <w:noProof/>
          <w:szCs w:val="24"/>
        </w:rPr>
      </w:pPr>
      <w:r w:rsidRPr="00E71388">
        <w:rPr>
          <w:rFonts w:eastAsia="Aptos" w:cs="Times New Roman"/>
          <w:noProof/>
          <w:szCs w:val="24"/>
        </w:rPr>
        <w:t>In 2030, EV car sales are expected to reach the following figures:</w:t>
      </w:r>
    </w:p>
    <w:tbl>
      <w:tblPr>
        <w:tblStyle w:val="TableGrid"/>
        <w:tblW w:w="5000" w:type="pct"/>
        <w:tblInd w:w="0" w:type="dxa"/>
        <w:tblLayout w:type="fixed"/>
        <w:tblLook w:val="04A0" w:firstRow="1" w:lastRow="0" w:firstColumn="1" w:lastColumn="0" w:noHBand="0" w:noVBand="1"/>
      </w:tblPr>
      <w:tblGrid>
        <w:gridCol w:w="3159"/>
        <w:gridCol w:w="3159"/>
        <w:gridCol w:w="3160"/>
      </w:tblGrid>
      <w:tr w:rsidR="00DF24FE" w:rsidRPr="005C0D98" w14:paraId="3941491E" w14:textId="77777777" w:rsidTr="1A2A8689">
        <w:trPr>
          <w:trHeight w:val="300"/>
        </w:trPr>
        <w:tc>
          <w:tcPr>
            <w:tcW w:w="166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3D78F" w14:textId="1CCE66B6" w:rsidR="0CA3629E" w:rsidRPr="00E71388" w:rsidRDefault="0CA3629E" w:rsidP="00E71388">
            <w:pPr>
              <w:jc w:val="center"/>
              <w:rPr>
                <w:rFonts w:eastAsia="Aptos"/>
                <w:i/>
                <w:noProof/>
                <w:sz w:val="24"/>
                <w:szCs w:val="24"/>
                <w:lang w:val="en-US"/>
              </w:rPr>
            </w:pPr>
            <w:r w:rsidRPr="00E71388">
              <w:rPr>
                <w:rFonts w:eastAsia="Aptos" w:cstheme="minorBidi"/>
                <w:i/>
                <w:noProof/>
                <w:szCs w:val="24"/>
                <w:lang w:val="en-US"/>
              </w:rPr>
              <w:t>Type of car</w:t>
            </w:r>
          </w:p>
        </w:tc>
        <w:tc>
          <w:tcPr>
            <w:tcW w:w="1666" w:type="pct"/>
            <w:tcBorders>
              <w:top w:val="single" w:sz="8" w:space="0" w:color="auto"/>
              <w:left w:val="single" w:sz="8" w:space="0" w:color="auto"/>
              <w:bottom w:val="single" w:sz="8" w:space="0" w:color="auto"/>
              <w:right w:val="single" w:sz="8" w:space="0" w:color="auto"/>
            </w:tcBorders>
            <w:shd w:val="clear" w:color="auto" w:fill="215E99" w:themeFill="text2" w:themeFillTint="BF"/>
            <w:tcMar>
              <w:left w:w="108" w:type="dxa"/>
              <w:right w:w="108" w:type="dxa"/>
            </w:tcMar>
            <w:vAlign w:val="center"/>
          </w:tcPr>
          <w:p w14:paraId="5020E25C" w14:textId="74032EB8" w:rsidR="0CA3629E" w:rsidRPr="00E71388" w:rsidRDefault="0CA3629E" w:rsidP="00E71388">
            <w:pPr>
              <w:jc w:val="center"/>
              <w:rPr>
                <w:rFonts w:eastAsia="Aptos"/>
                <w:b/>
                <w:noProof/>
                <w:color w:val="FFFFFF" w:themeColor="background1"/>
                <w:sz w:val="24"/>
                <w:szCs w:val="24"/>
                <w:lang w:val="en-US"/>
              </w:rPr>
            </w:pPr>
            <w:r w:rsidRPr="00E71388">
              <w:rPr>
                <w:rFonts w:eastAsia="Aptos" w:cstheme="minorBidi"/>
                <w:b/>
                <w:noProof/>
                <w:color w:val="FFFFFF" w:themeColor="background1"/>
                <w:szCs w:val="24"/>
                <w:lang w:val="en-US"/>
              </w:rPr>
              <w:t>PO1 &amp; PO2</w:t>
            </w:r>
          </w:p>
        </w:tc>
        <w:tc>
          <w:tcPr>
            <w:tcW w:w="1667" w:type="pct"/>
            <w:tcBorders>
              <w:top w:val="single" w:sz="8" w:space="0" w:color="auto"/>
              <w:left w:val="single" w:sz="8" w:space="0" w:color="auto"/>
              <w:bottom w:val="single" w:sz="8" w:space="0" w:color="auto"/>
              <w:right w:val="single" w:sz="8" w:space="0" w:color="auto"/>
            </w:tcBorders>
            <w:shd w:val="clear" w:color="auto" w:fill="215E99" w:themeFill="text2" w:themeFillTint="BF"/>
            <w:tcMar>
              <w:left w:w="108" w:type="dxa"/>
              <w:right w:w="108" w:type="dxa"/>
            </w:tcMar>
            <w:vAlign w:val="center"/>
          </w:tcPr>
          <w:p w14:paraId="7A807630" w14:textId="1BBEFDDA" w:rsidR="0CA3629E" w:rsidRPr="00E71388" w:rsidRDefault="0CA3629E" w:rsidP="00E71388">
            <w:pPr>
              <w:jc w:val="center"/>
              <w:rPr>
                <w:rFonts w:eastAsia="Aptos"/>
                <w:b/>
                <w:noProof/>
                <w:color w:val="FFFFFF" w:themeColor="background1"/>
                <w:sz w:val="24"/>
                <w:szCs w:val="24"/>
                <w:lang w:val="en-US"/>
              </w:rPr>
            </w:pPr>
            <w:r w:rsidRPr="00E71388">
              <w:rPr>
                <w:rFonts w:eastAsia="Aptos" w:cstheme="minorBidi"/>
                <w:b/>
                <w:noProof/>
                <w:color w:val="FFFFFF" w:themeColor="background1"/>
                <w:szCs w:val="24"/>
                <w:lang w:val="en-US"/>
              </w:rPr>
              <w:t>PO3</w:t>
            </w:r>
          </w:p>
        </w:tc>
      </w:tr>
      <w:tr w:rsidR="0CA3629E" w:rsidRPr="005C0D98" w14:paraId="01ADE2E6" w14:textId="77777777" w:rsidTr="1A2A8689">
        <w:trPr>
          <w:trHeight w:val="300"/>
        </w:trPr>
        <w:tc>
          <w:tcPr>
            <w:tcW w:w="166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3DED4" w14:textId="4D5BDC9B" w:rsidR="0CA3629E" w:rsidRPr="00E71388" w:rsidRDefault="0CA3629E" w:rsidP="00E71388">
            <w:pPr>
              <w:jc w:val="center"/>
              <w:rPr>
                <w:rFonts w:eastAsia="Aptos"/>
                <w:i/>
                <w:noProof/>
                <w:sz w:val="24"/>
                <w:szCs w:val="24"/>
                <w:lang w:val="en-US"/>
              </w:rPr>
            </w:pPr>
            <w:r w:rsidRPr="00E71388">
              <w:rPr>
                <w:rFonts w:eastAsia="Aptos" w:cstheme="minorBidi"/>
                <w:i/>
                <w:noProof/>
                <w:szCs w:val="24"/>
                <w:lang w:val="en-US"/>
              </w:rPr>
              <w:t>Passenger EVs</w:t>
            </w:r>
          </w:p>
        </w:tc>
        <w:tc>
          <w:tcPr>
            <w:tcW w:w="166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905D8" w14:textId="16286D93" w:rsidR="0CA3629E" w:rsidRPr="00E71388" w:rsidRDefault="0CA3629E" w:rsidP="00E71388">
            <w:pPr>
              <w:jc w:val="center"/>
              <w:rPr>
                <w:rFonts w:eastAsia="Calibri"/>
                <w:noProof/>
                <w:color w:val="000000" w:themeColor="text1"/>
                <w:sz w:val="24"/>
                <w:szCs w:val="24"/>
              </w:rPr>
            </w:pPr>
            <w:r w:rsidRPr="00E71388">
              <w:rPr>
                <w:rFonts w:eastAsia="Calibri" w:cstheme="minorBidi"/>
                <w:noProof/>
                <w:color w:val="000000" w:themeColor="text1"/>
                <w:sz w:val="24"/>
                <w:szCs w:val="24"/>
              </w:rPr>
              <w:t>9</w:t>
            </w:r>
            <w:r w:rsidR="00B8591D">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094</w:t>
            </w:r>
            <w:r w:rsidR="00D7393A">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347</w:t>
            </w:r>
          </w:p>
        </w:tc>
        <w:tc>
          <w:tcPr>
            <w:tcW w:w="166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020D3" w14:textId="18DC48F2" w:rsidR="0CA3629E" w:rsidRPr="00E71388" w:rsidRDefault="0CA3629E" w:rsidP="00E71388">
            <w:pPr>
              <w:jc w:val="center"/>
              <w:rPr>
                <w:rFonts w:eastAsia="Calibri"/>
                <w:noProof/>
                <w:color w:val="000000" w:themeColor="text1"/>
                <w:sz w:val="24"/>
                <w:szCs w:val="24"/>
              </w:rPr>
            </w:pPr>
            <w:r w:rsidRPr="00E71388">
              <w:rPr>
                <w:rFonts w:eastAsia="Calibri" w:cstheme="minorBidi"/>
                <w:noProof/>
                <w:color w:val="000000" w:themeColor="text1"/>
                <w:sz w:val="24"/>
                <w:szCs w:val="24"/>
              </w:rPr>
              <w:t>9</w:t>
            </w:r>
            <w:r w:rsidR="00B8591D">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079</w:t>
            </w:r>
            <w:r w:rsidR="00B114A4">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484</w:t>
            </w:r>
          </w:p>
        </w:tc>
      </w:tr>
      <w:tr w:rsidR="0CA3629E" w:rsidRPr="005C0D98" w14:paraId="4E1EA0EE" w14:textId="77777777" w:rsidTr="1A2A8689">
        <w:trPr>
          <w:trHeight w:val="300"/>
        </w:trPr>
        <w:tc>
          <w:tcPr>
            <w:tcW w:w="166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5DEFE" w14:textId="4DEE5417" w:rsidR="0CA3629E" w:rsidRPr="00E71388" w:rsidRDefault="0CA3629E" w:rsidP="00E71388">
            <w:pPr>
              <w:jc w:val="center"/>
              <w:rPr>
                <w:rFonts w:eastAsia="Aptos"/>
                <w:i/>
                <w:noProof/>
                <w:sz w:val="24"/>
                <w:szCs w:val="24"/>
                <w:lang w:val="en-US"/>
              </w:rPr>
            </w:pPr>
            <w:r w:rsidRPr="00E71388">
              <w:rPr>
                <w:rFonts w:eastAsia="Aptos" w:cstheme="minorBidi"/>
                <w:i/>
                <w:noProof/>
                <w:szCs w:val="24"/>
                <w:lang w:val="en-US"/>
              </w:rPr>
              <w:t>Light commercial EVs</w:t>
            </w:r>
          </w:p>
        </w:tc>
        <w:tc>
          <w:tcPr>
            <w:tcW w:w="166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CCCA4" w14:textId="0B679F4A" w:rsidR="0CA3629E" w:rsidRPr="00E71388" w:rsidRDefault="0CA3629E" w:rsidP="00E71388">
            <w:pPr>
              <w:jc w:val="center"/>
              <w:rPr>
                <w:rFonts w:eastAsia="Calibri"/>
                <w:noProof/>
                <w:color w:val="000000" w:themeColor="text1"/>
                <w:sz w:val="24"/>
                <w:szCs w:val="24"/>
              </w:rPr>
            </w:pPr>
            <w:r w:rsidRPr="00E71388">
              <w:rPr>
                <w:rFonts w:eastAsia="Calibri" w:cstheme="minorBidi"/>
                <w:noProof/>
                <w:color w:val="000000" w:themeColor="text1"/>
                <w:sz w:val="24"/>
                <w:szCs w:val="24"/>
              </w:rPr>
              <w:t>1</w:t>
            </w:r>
            <w:r w:rsidR="00D7393A">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107</w:t>
            </w:r>
            <w:r w:rsidR="00B8591D">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046</w:t>
            </w:r>
          </w:p>
        </w:tc>
        <w:tc>
          <w:tcPr>
            <w:tcW w:w="166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A7744" w14:textId="457F3B42" w:rsidR="0CA3629E" w:rsidRPr="00E71388" w:rsidRDefault="0CA3629E" w:rsidP="00E71388">
            <w:pPr>
              <w:jc w:val="center"/>
              <w:rPr>
                <w:rFonts w:eastAsia="Calibri"/>
                <w:noProof/>
                <w:color w:val="000000" w:themeColor="text1"/>
                <w:sz w:val="24"/>
                <w:szCs w:val="24"/>
              </w:rPr>
            </w:pPr>
            <w:r w:rsidRPr="00E71388">
              <w:rPr>
                <w:rFonts w:eastAsia="Calibri" w:cstheme="minorBidi"/>
                <w:noProof/>
                <w:color w:val="000000" w:themeColor="text1"/>
                <w:sz w:val="24"/>
                <w:szCs w:val="24"/>
              </w:rPr>
              <w:t>1</w:t>
            </w:r>
            <w:r w:rsidR="00D7393A">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107</w:t>
            </w:r>
            <w:r w:rsidR="00B114A4">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463</w:t>
            </w:r>
          </w:p>
        </w:tc>
      </w:tr>
      <w:tr w:rsidR="0CA3629E" w:rsidRPr="005C0D98" w14:paraId="018E799D" w14:textId="77777777" w:rsidTr="1A2A8689">
        <w:trPr>
          <w:trHeight w:val="300"/>
        </w:trPr>
        <w:tc>
          <w:tcPr>
            <w:tcW w:w="166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7BE14" w14:textId="0F483D12" w:rsidR="0CA3629E" w:rsidRPr="00E71388" w:rsidRDefault="384B0B9F" w:rsidP="1A2A8689">
            <w:pPr>
              <w:jc w:val="center"/>
              <w:rPr>
                <w:rFonts w:eastAsia="Aptos"/>
                <w:i/>
                <w:iCs/>
                <w:noProof/>
                <w:sz w:val="24"/>
                <w:szCs w:val="24"/>
                <w:lang w:val="en-US"/>
              </w:rPr>
            </w:pPr>
            <w:r w:rsidRPr="1A2A8689">
              <w:rPr>
                <w:rFonts w:eastAsia="Aptos" w:cstheme="minorBidi"/>
                <w:i/>
                <w:iCs/>
                <w:noProof/>
                <w:lang w:val="en-US"/>
              </w:rPr>
              <w:t>Heav</w:t>
            </w:r>
            <w:r w:rsidR="67F8115B" w:rsidRPr="1A2A8689">
              <w:rPr>
                <w:rFonts w:eastAsia="Aptos" w:cstheme="minorBidi"/>
                <w:i/>
                <w:iCs/>
                <w:noProof/>
                <w:lang w:val="en-US"/>
              </w:rPr>
              <w:t>y</w:t>
            </w:r>
            <w:r w:rsidRPr="1A2A8689">
              <w:rPr>
                <w:rFonts w:eastAsia="Aptos" w:cstheme="minorBidi"/>
                <w:i/>
                <w:iCs/>
                <w:noProof/>
                <w:lang w:val="en-US"/>
              </w:rPr>
              <w:t xml:space="preserve"> duty EVs</w:t>
            </w:r>
          </w:p>
        </w:tc>
        <w:tc>
          <w:tcPr>
            <w:tcW w:w="166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F4DCA" w14:textId="4C92F31C" w:rsidR="0CA3629E" w:rsidRPr="00E71388" w:rsidRDefault="0CA3629E" w:rsidP="00E71388">
            <w:pPr>
              <w:jc w:val="center"/>
              <w:rPr>
                <w:rFonts w:eastAsia="Calibri"/>
                <w:noProof/>
                <w:color w:val="000000" w:themeColor="text1"/>
                <w:sz w:val="24"/>
                <w:szCs w:val="24"/>
              </w:rPr>
            </w:pPr>
            <w:r w:rsidRPr="00E71388">
              <w:rPr>
                <w:rFonts w:eastAsia="Calibri" w:cstheme="minorBidi"/>
                <w:noProof/>
                <w:color w:val="000000" w:themeColor="text1"/>
                <w:sz w:val="24"/>
                <w:szCs w:val="24"/>
              </w:rPr>
              <w:t>156</w:t>
            </w:r>
            <w:r w:rsidR="00D7393A">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333</w:t>
            </w:r>
          </w:p>
        </w:tc>
        <w:tc>
          <w:tcPr>
            <w:tcW w:w="166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09B9C" w14:textId="48E1C039" w:rsidR="0CA3629E" w:rsidRPr="00E71388" w:rsidRDefault="0CA3629E" w:rsidP="00E71388">
            <w:pPr>
              <w:jc w:val="center"/>
              <w:rPr>
                <w:rFonts w:eastAsia="Calibri"/>
                <w:noProof/>
                <w:color w:val="000000" w:themeColor="text1"/>
                <w:sz w:val="24"/>
                <w:szCs w:val="24"/>
              </w:rPr>
            </w:pPr>
            <w:r w:rsidRPr="00E71388">
              <w:rPr>
                <w:rFonts w:eastAsia="Calibri" w:cstheme="minorBidi"/>
                <w:noProof/>
                <w:color w:val="000000" w:themeColor="text1"/>
                <w:sz w:val="24"/>
                <w:szCs w:val="24"/>
              </w:rPr>
              <w:t>158</w:t>
            </w:r>
            <w:r w:rsidR="00B8591D">
              <w:rPr>
                <w:rFonts w:eastAsia="Calibri" w:cstheme="minorBidi"/>
                <w:noProof/>
                <w:color w:val="000000" w:themeColor="text1"/>
                <w:sz w:val="24"/>
                <w:szCs w:val="24"/>
              </w:rPr>
              <w:t xml:space="preserve"> </w:t>
            </w:r>
            <w:r w:rsidRPr="00E71388">
              <w:rPr>
                <w:rFonts w:eastAsia="Calibri" w:cstheme="minorBidi"/>
                <w:noProof/>
                <w:color w:val="000000" w:themeColor="text1"/>
                <w:sz w:val="24"/>
                <w:szCs w:val="24"/>
              </w:rPr>
              <w:t>009</w:t>
            </w:r>
          </w:p>
        </w:tc>
      </w:tr>
    </w:tbl>
    <w:p w14:paraId="0FB70B3F" w14:textId="298184D3" w:rsidR="72A6D327" w:rsidRPr="00E71388" w:rsidRDefault="72A6D327" w:rsidP="00E71388">
      <w:pPr>
        <w:spacing w:after="160" w:line="276" w:lineRule="auto"/>
        <w:rPr>
          <w:rFonts w:eastAsia="Aptos" w:cs="Times New Roman"/>
          <w:noProof/>
          <w:szCs w:val="24"/>
          <w:lang w:val="en-US"/>
        </w:rPr>
      </w:pPr>
      <w:r w:rsidRPr="00E71388">
        <w:rPr>
          <w:rFonts w:eastAsia="Aptos" w:cs="Times New Roman"/>
          <w:noProof/>
          <w:szCs w:val="24"/>
          <w:lang w:val="en-US"/>
        </w:rPr>
        <w:t xml:space="preserve"> </w:t>
      </w:r>
    </w:p>
    <w:p w14:paraId="0C8152CD" w14:textId="27C0A552" w:rsidR="72A6D327" w:rsidRPr="00E71388" w:rsidRDefault="72A6D327" w:rsidP="00E71388">
      <w:pPr>
        <w:pStyle w:val="ListParagraph"/>
        <w:spacing w:after="160" w:line="276" w:lineRule="auto"/>
        <w:rPr>
          <w:rFonts w:eastAsia="Aptos" w:cs="Times New Roman"/>
          <w:noProof/>
          <w:szCs w:val="24"/>
        </w:rPr>
      </w:pPr>
      <w:r w:rsidRPr="00E71388">
        <w:rPr>
          <w:rFonts w:eastAsia="Aptos" w:cs="Times New Roman"/>
          <w:noProof/>
          <w:szCs w:val="24"/>
        </w:rPr>
        <w:t>The projected price increases are estimated at:</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1421"/>
        <w:gridCol w:w="2311"/>
        <w:gridCol w:w="1955"/>
        <w:gridCol w:w="1808"/>
      </w:tblGrid>
      <w:tr w:rsidR="00246FD9" w:rsidRPr="005C0D98" w14:paraId="0DBCFCD6" w14:textId="77777777" w:rsidTr="003B5854">
        <w:trPr>
          <w:trHeight w:val="300"/>
        </w:trPr>
        <w:tc>
          <w:tcPr>
            <w:tcW w:w="1050" w:type="pct"/>
            <w:vMerge w:val="restart"/>
            <w:tcMar>
              <w:left w:w="108" w:type="dxa"/>
              <w:right w:w="108" w:type="dxa"/>
            </w:tcMar>
            <w:vAlign w:val="center"/>
          </w:tcPr>
          <w:p w14:paraId="35BEC4A8" w14:textId="0F2B142F" w:rsidR="0CA3629E" w:rsidRPr="00E71388" w:rsidRDefault="0CA3629E" w:rsidP="00E71388">
            <w:pPr>
              <w:jc w:val="center"/>
              <w:rPr>
                <w:rFonts w:eastAsia="Aptos"/>
                <w:i/>
                <w:noProof/>
                <w:sz w:val="24"/>
                <w:szCs w:val="24"/>
                <w:lang w:val="en-US"/>
              </w:rPr>
            </w:pPr>
            <w:r w:rsidRPr="00E71388">
              <w:rPr>
                <w:rFonts w:eastAsia="Aptos" w:cstheme="minorBidi"/>
                <w:i/>
                <w:noProof/>
                <w:szCs w:val="24"/>
                <w:lang w:val="en-US"/>
              </w:rPr>
              <w:t>Type of car</w:t>
            </w:r>
          </w:p>
        </w:tc>
        <w:tc>
          <w:tcPr>
            <w:tcW w:w="1967" w:type="pct"/>
            <w:gridSpan w:val="2"/>
            <w:shd w:val="clear" w:color="auto" w:fill="215E99" w:themeFill="text2" w:themeFillTint="BF"/>
            <w:tcMar>
              <w:left w:w="108" w:type="dxa"/>
              <w:right w:w="108" w:type="dxa"/>
            </w:tcMar>
            <w:vAlign w:val="center"/>
          </w:tcPr>
          <w:p w14:paraId="1A0BA9DF" w14:textId="2B4FE3E7" w:rsidR="0CA3629E" w:rsidRPr="00E71388" w:rsidRDefault="0CA3629E" w:rsidP="00E71388">
            <w:pPr>
              <w:jc w:val="center"/>
              <w:rPr>
                <w:rFonts w:eastAsia="Aptos"/>
                <w:noProof/>
                <w:color w:val="FFFFFF" w:themeColor="background1"/>
                <w:sz w:val="24"/>
                <w:szCs w:val="24"/>
                <w:lang w:val="en-US"/>
              </w:rPr>
            </w:pPr>
            <w:r w:rsidRPr="00E71388">
              <w:rPr>
                <w:rFonts w:eastAsia="Aptos" w:cstheme="minorBidi"/>
                <w:noProof/>
                <w:color w:val="FFFFFF" w:themeColor="background1"/>
                <w:szCs w:val="24"/>
                <w:lang w:val="en-US"/>
              </w:rPr>
              <w:t>PO1 &amp; PO2</w:t>
            </w:r>
          </w:p>
        </w:tc>
        <w:tc>
          <w:tcPr>
            <w:tcW w:w="1983" w:type="pct"/>
            <w:gridSpan w:val="2"/>
            <w:shd w:val="clear" w:color="auto" w:fill="215E99" w:themeFill="text2" w:themeFillTint="BF"/>
            <w:tcMar>
              <w:left w:w="108" w:type="dxa"/>
              <w:right w:w="108" w:type="dxa"/>
            </w:tcMar>
            <w:vAlign w:val="center"/>
          </w:tcPr>
          <w:p w14:paraId="50A3455B" w14:textId="480E6EF3" w:rsidR="0CA3629E" w:rsidRPr="00E71388" w:rsidRDefault="0CA3629E" w:rsidP="00E71388">
            <w:pPr>
              <w:jc w:val="center"/>
              <w:rPr>
                <w:rFonts w:eastAsia="Aptos"/>
                <w:noProof/>
                <w:color w:val="FFFFFF" w:themeColor="background1"/>
                <w:sz w:val="24"/>
                <w:szCs w:val="24"/>
                <w:lang w:val="en-US"/>
              </w:rPr>
            </w:pPr>
            <w:r w:rsidRPr="00E71388">
              <w:rPr>
                <w:rFonts w:eastAsia="Aptos" w:cstheme="minorBidi"/>
                <w:noProof/>
                <w:color w:val="FFFFFF" w:themeColor="background1"/>
                <w:szCs w:val="24"/>
                <w:lang w:val="en-US"/>
              </w:rPr>
              <w:t>PO3</w:t>
            </w:r>
          </w:p>
        </w:tc>
      </w:tr>
      <w:tr w:rsidR="00DF24FE" w:rsidRPr="005C0D98" w14:paraId="6570C527" w14:textId="77777777" w:rsidTr="003B5854">
        <w:trPr>
          <w:trHeight w:val="300"/>
        </w:trPr>
        <w:tc>
          <w:tcPr>
            <w:tcW w:w="1050" w:type="pct"/>
            <w:vMerge/>
            <w:vAlign w:val="center"/>
          </w:tcPr>
          <w:p w14:paraId="418DF423" w14:textId="77777777" w:rsidR="00A0673B" w:rsidRPr="00E71388" w:rsidRDefault="00A0673B" w:rsidP="00E71388">
            <w:pPr>
              <w:jc w:val="center"/>
              <w:rPr>
                <w:i/>
                <w:noProof/>
              </w:rPr>
            </w:pPr>
          </w:p>
        </w:tc>
        <w:tc>
          <w:tcPr>
            <w:tcW w:w="749" w:type="pct"/>
            <w:tcMar>
              <w:left w:w="108" w:type="dxa"/>
              <w:right w:w="108" w:type="dxa"/>
            </w:tcMar>
            <w:vAlign w:val="center"/>
          </w:tcPr>
          <w:p w14:paraId="65FA9826" w14:textId="755E7352"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 increase</w:t>
            </w:r>
          </w:p>
        </w:tc>
        <w:tc>
          <w:tcPr>
            <w:tcW w:w="1218" w:type="pct"/>
            <w:tcMar>
              <w:left w:w="108" w:type="dxa"/>
              <w:right w:w="108" w:type="dxa"/>
            </w:tcMar>
            <w:vAlign w:val="center"/>
          </w:tcPr>
          <w:p w14:paraId="03A82FD8" w14:textId="4C920932"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Total increase</w:t>
            </w:r>
          </w:p>
        </w:tc>
        <w:tc>
          <w:tcPr>
            <w:tcW w:w="1030" w:type="pct"/>
            <w:tcMar>
              <w:left w:w="108" w:type="dxa"/>
              <w:right w:w="108" w:type="dxa"/>
            </w:tcMar>
            <w:vAlign w:val="center"/>
          </w:tcPr>
          <w:p w14:paraId="717B98A3" w14:textId="2698BF6C"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 increase</w:t>
            </w:r>
          </w:p>
        </w:tc>
        <w:tc>
          <w:tcPr>
            <w:tcW w:w="953" w:type="pct"/>
            <w:tcMar>
              <w:left w:w="108" w:type="dxa"/>
              <w:right w:w="108" w:type="dxa"/>
            </w:tcMar>
            <w:vAlign w:val="center"/>
          </w:tcPr>
          <w:p w14:paraId="72AB2279" w14:textId="3ACC62E6"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Total increase</w:t>
            </w:r>
          </w:p>
        </w:tc>
      </w:tr>
      <w:tr w:rsidR="00071FE6" w:rsidRPr="005C0D98" w14:paraId="5A15674D" w14:textId="77777777" w:rsidTr="003B5854">
        <w:trPr>
          <w:trHeight w:val="300"/>
        </w:trPr>
        <w:tc>
          <w:tcPr>
            <w:tcW w:w="1050" w:type="pct"/>
            <w:tcMar>
              <w:left w:w="108" w:type="dxa"/>
              <w:right w:w="108" w:type="dxa"/>
            </w:tcMar>
            <w:vAlign w:val="center"/>
          </w:tcPr>
          <w:p w14:paraId="3F506DE9" w14:textId="3D216DBC" w:rsidR="0CA3629E" w:rsidRPr="00E71388" w:rsidRDefault="0CA3629E" w:rsidP="00E71388">
            <w:pPr>
              <w:jc w:val="center"/>
              <w:rPr>
                <w:rFonts w:eastAsia="Aptos"/>
                <w:i/>
                <w:noProof/>
                <w:sz w:val="24"/>
                <w:szCs w:val="24"/>
                <w:lang w:val="en-US"/>
              </w:rPr>
            </w:pPr>
            <w:r w:rsidRPr="00E71388">
              <w:rPr>
                <w:rFonts w:eastAsia="Aptos" w:cstheme="minorBidi"/>
                <w:i/>
                <w:noProof/>
                <w:szCs w:val="24"/>
                <w:lang w:val="en-US"/>
              </w:rPr>
              <w:t>Passenger EVs</w:t>
            </w:r>
          </w:p>
        </w:tc>
        <w:tc>
          <w:tcPr>
            <w:tcW w:w="749" w:type="pct"/>
            <w:tcMar>
              <w:left w:w="108" w:type="dxa"/>
              <w:right w:w="108" w:type="dxa"/>
            </w:tcMar>
            <w:vAlign w:val="center"/>
          </w:tcPr>
          <w:p w14:paraId="5BD56F50" w14:textId="18743679"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1.2%</w:t>
            </w:r>
          </w:p>
        </w:tc>
        <w:tc>
          <w:tcPr>
            <w:tcW w:w="1218" w:type="pct"/>
            <w:tcMar>
              <w:left w:w="108" w:type="dxa"/>
              <w:right w:w="108" w:type="dxa"/>
            </w:tcMar>
            <w:vAlign w:val="center"/>
          </w:tcPr>
          <w:p w14:paraId="608B4243" w14:textId="07781339"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EUR 343</w:t>
            </w:r>
          </w:p>
        </w:tc>
        <w:tc>
          <w:tcPr>
            <w:tcW w:w="1030" w:type="pct"/>
            <w:tcMar>
              <w:left w:w="108" w:type="dxa"/>
              <w:right w:w="108" w:type="dxa"/>
            </w:tcMar>
            <w:vAlign w:val="center"/>
          </w:tcPr>
          <w:p w14:paraId="5C43639F" w14:textId="3CD913F1"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1.4%</w:t>
            </w:r>
          </w:p>
        </w:tc>
        <w:tc>
          <w:tcPr>
            <w:tcW w:w="953" w:type="pct"/>
            <w:tcMar>
              <w:left w:w="108" w:type="dxa"/>
              <w:right w:w="108" w:type="dxa"/>
            </w:tcMar>
            <w:vAlign w:val="center"/>
          </w:tcPr>
          <w:p w14:paraId="7C140EA6" w14:textId="272EFCC0"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EUR 400</w:t>
            </w:r>
          </w:p>
        </w:tc>
      </w:tr>
      <w:tr w:rsidR="0CA3629E" w:rsidRPr="005C0D98" w14:paraId="03ECAF7A" w14:textId="77777777" w:rsidTr="003B5854">
        <w:trPr>
          <w:trHeight w:val="300"/>
        </w:trPr>
        <w:tc>
          <w:tcPr>
            <w:tcW w:w="1050" w:type="pct"/>
            <w:tcMar>
              <w:left w:w="108" w:type="dxa"/>
              <w:right w:w="108" w:type="dxa"/>
            </w:tcMar>
            <w:vAlign w:val="center"/>
          </w:tcPr>
          <w:p w14:paraId="6D90A1D4" w14:textId="0771C39C" w:rsidR="0CA3629E" w:rsidRPr="00E71388" w:rsidRDefault="0CA3629E" w:rsidP="00E71388">
            <w:pPr>
              <w:jc w:val="center"/>
              <w:rPr>
                <w:rFonts w:eastAsia="Aptos"/>
                <w:i/>
                <w:noProof/>
                <w:sz w:val="24"/>
                <w:szCs w:val="24"/>
                <w:lang w:val="en-US"/>
              </w:rPr>
            </w:pPr>
            <w:r w:rsidRPr="00E71388">
              <w:rPr>
                <w:rFonts w:eastAsia="Aptos" w:cstheme="minorBidi"/>
                <w:i/>
                <w:noProof/>
                <w:szCs w:val="24"/>
                <w:lang w:val="en-US"/>
              </w:rPr>
              <w:lastRenderedPageBreak/>
              <w:t>Light commercial EVs</w:t>
            </w:r>
          </w:p>
        </w:tc>
        <w:tc>
          <w:tcPr>
            <w:tcW w:w="749" w:type="pct"/>
            <w:tcMar>
              <w:left w:w="108" w:type="dxa"/>
              <w:right w:w="108" w:type="dxa"/>
            </w:tcMar>
            <w:vAlign w:val="center"/>
          </w:tcPr>
          <w:p w14:paraId="1E49E1F3" w14:textId="5FBCC3C8"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0.4%</w:t>
            </w:r>
          </w:p>
        </w:tc>
        <w:tc>
          <w:tcPr>
            <w:tcW w:w="1218" w:type="pct"/>
            <w:tcMar>
              <w:left w:w="108" w:type="dxa"/>
              <w:right w:w="108" w:type="dxa"/>
            </w:tcMar>
            <w:vAlign w:val="center"/>
          </w:tcPr>
          <w:p w14:paraId="212C3155" w14:textId="088B681F"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EUR 91.46</w:t>
            </w:r>
          </w:p>
        </w:tc>
        <w:tc>
          <w:tcPr>
            <w:tcW w:w="1030" w:type="pct"/>
            <w:tcMar>
              <w:left w:w="108" w:type="dxa"/>
              <w:right w:w="108" w:type="dxa"/>
            </w:tcMar>
            <w:vAlign w:val="center"/>
          </w:tcPr>
          <w:p w14:paraId="52954317" w14:textId="6F5A1F0F"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0.5%</w:t>
            </w:r>
          </w:p>
        </w:tc>
        <w:tc>
          <w:tcPr>
            <w:tcW w:w="953" w:type="pct"/>
            <w:tcMar>
              <w:left w:w="108" w:type="dxa"/>
              <w:right w:w="108" w:type="dxa"/>
            </w:tcMar>
            <w:vAlign w:val="center"/>
          </w:tcPr>
          <w:p w14:paraId="4AE3EDE8" w14:textId="6BF0D209"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EUR 114</w:t>
            </w:r>
          </w:p>
        </w:tc>
      </w:tr>
      <w:tr w:rsidR="0CA3629E" w:rsidRPr="005C0D98" w14:paraId="068BB7BF" w14:textId="77777777" w:rsidTr="003B5854">
        <w:trPr>
          <w:trHeight w:val="300"/>
        </w:trPr>
        <w:tc>
          <w:tcPr>
            <w:tcW w:w="1050" w:type="pct"/>
            <w:tcMar>
              <w:left w:w="108" w:type="dxa"/>
              <w:right w:w="108" w:type="dxa"/>
            </w:tcMar>
            <w:vAlign w:val="center"/>
          </w:tcPr>
          <w:p w14:paraId="5F40AC07" w14:textId="0429A16F" w:rsidR="0CA3629E" w:rsidRPr="00E71388" w:rsidRDefault="384B0B9F" w:rsidP="1A2A8689">
            <w:pPr>
              <w:jc w:val="center"/>
              <w:rPr>
                <w:rFonts w:eastAsia="Aptos"/>
                <w:i/>
                <w:iCs/>
                <w:noProof/>
                <w:sz w:val="24"/>
                <w:szCs w:val="24"/>
                <w:lang w:val="en-US"/>
              </w:rPr>
            </w:pPr>
            <w:r w:rsidRPr="1A2A8689">
              <w:rPr>
                <w:rFonts w:eastAsia="Aptos" w:cstheme="minorBidi"/>
                <w:i/>
                <w:iCs/>
                <w:noProof/>
                <w:lang w:val="en-US"/>
              </w:rPr>
              <w:t>Heav</w:t>
            </w:r>
            <w:r w:rsidR="67F8115B" w:rsidRPr="1A2A8689">
              <w:rPr>
                <w:rFonts w:eastAsia="Aptos" w:cstheme="minorBidi"/>
                <w:i/>
                <w:iCs/>
                <w:noProof/>
                <w:lang w:val="en-US"/>
              </w:rPr>
              <w:t>y</w:t>
            </w:r>
            <w:r w:rsidRPr="1A2A8689">
              <w:rPr>
                <w:rFonts w:eastAsia="Aptos" w:cstheme="minorBidi"/>
                <w:i/>
                <w:iCs/>
                <w:noProof/>
                <w:lang w:val="en-US"/>
              </w:rPr>
              <w:t xml:space="preserve"> duty EVs</w:t>
            </w:r>
          </w:p>
        </w:tc>
        <w:tc>
          <w:tcPr>
            <w:tcW w:w="749" w:type="pct"/>
            <w:tcMar>
              <w:left w:w="108" w:type="dxa"/>
              <w:right w:w="108" w:type="dxa"/>
            </w:tcMar>
            <w:vAlign w:val="center"/>
          </w:tcPr>
          <w:p w14:paraId="13FF5AE6" w14:textId="665A92B0"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1.2%</w:t>
            </w:r>
          </w:p>
        </w:tc>
        <w:tc>
          <w:tcPr>
            <w:tcW w:w="1218" w:type="pct"/>
            <w:tcMar>
              <w:left w:w="108" w:type="dxa"/>
              <w:right w:w="108" w:type="dxa"/>
            </w:tcMar>
            <w:vAlign w:val="center"/>
          </w:tcPr>
          <w:p w14:paraId="22863A74" w14:textId="38DD0B07"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EUR 1300</w:t>
            </w:r>
          </w:p>
        </w:tc>
        <w:tc>
          <w:tcPr>
            <w:tcW w:w="1030" w:type="pct"/>
            <w:tcMar>
              <w:left w:w="108" w:type="dxa"/>
              <w:right w:w="108" w:type="dxa"/>
            </w:tcMar>
            <w:vAlign w:val="center"/>
          </w:tcPr>
          <w:p w14:paraId="0F90DED4" w14:textId="4319B7ED"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1.4%</w:t>
            </w:r>
          </w:p>
        </w:tc>
        <w:tc>
          <w:tcPr>
            <w:tcW w:w="953" w:type="pct"/>
            <w:tcMar>
              <w:left w:w="108" w:type="dxa"/>
              <w:right w:w="108" w:type="dxa"/>
            </w:tcMar>
            <w:vAlign w:val="center"/>
          </w:tcPr>
          <w:p w14:paraId="7C7709BE" w14:textId="18AD1689" w:rsidR="0CA3629E" w:rsidRPr="00E71388" w:rsidRDefault="0CA3629E" w:rsidP="00E71388">
            <w:pPr>
              <w:jc w:val="center"/>
              <w:rPr>
                <w:rFonts w:eastAsia="Aptos"/>
                <w:noProof/>
                <w:sz w:val="24"/>
                <w:szCs w:val="24"/>
                <w:lang w:val="en-US"/>
              </w:rPr>
            </w:pPr>
            <w:r w:rsidRPr="00E71388">
              <w:rPr>
                <w:rFonts w:eastAsia="Aptos" w:cstheme="minorBidi"/>
                <w:noProof/>
                <w:szCs w:val="24"/>
                <w:lang w:val="en-US"/>
              </w:rPr>
              <w:t>EUR 1516.84</w:t>
            </w:r>
          </w:p>
        </w:tc>
      </w:tr>
    </w:tbl>
    <w:p w14:paraId="03B4BE1F" w14:textId="77777777" w:rsidR="008835F7" w:rsidRDefault="008835F7" w:rsidP="008835F7">
      <w:pPr>
        <w:spacing w:after="160" w:line="276" w:lineRule="auto"/>
        <w:rPr>
          <w:rFonts w:eastAsia="Aptos" w:cs="Times New Roman"/>
          <w:noProof/>
        </w:rPr>
      </w:pPr>
    </w:p>
    <w:p w14:paraId="2A1CCBAF" w14:textId="56BBBF1F" w:rsidR="72A6D327" w:rsidRPr="00E71388" w:rsidRDefault="72A6D327" w:rsidP="00E71388">
      <w:pPr>
        <w:spacing w:after="160" w:line="276" w:lineRule="auto"/>
        <w:rPr>
          <w:rFonts w:eastAsia="Aptos" w:cs="Times New Roman"/>
          <w:noProof/>
        </w:rPr>
      </w:pPr>
      <w:r w:rsidRPr="00E71388">
        <w:rPr>
          <w:rFonts w:eastAsia="Aptos" w:cs="Times New Roman"/>
          <w:noProof/>
        </w:rPr>
        <w:t xml:space="preserve">The cost distribution of the different market segments follows the same structure as under LEAD_EII for the automotive sector. </w:t>
      </w:r>
    </w:p>
    <w:p w14:paraId="018E7B91" w14:textId="759CADE4" w:rsidR="72A6D327" w:rsidRPr="00E71388" w:rsidRDefault="72A6D327" w:rsidP="00E71388">
      <w:pPr>
        <w:spacing w:after="160" w:line="276" w:lineRule="auto"/>
        <w:rPr>
          <w:rFonts w:eastAsia="Aptos" w:cs="Times New Roman"/>
          <w:noProof/>
        </w:rPr>
      </w:pPr>
      <w:r w:rsidRPr="00E71388">
        <w:rPr>
          <w:rFonts w:eastAsia="Aptos" w:cs="Times New Roman"/>
          <w:noProof/>
        </w:rPr>
        <w:t>To ensure consistency with the assumptions applied in LEAD_EII regarding vehicle cost impacts, the effect of subsidies has not been taken into account in the calculation below.</w:t>
      </w:r>
    </w:p>
    <w:p w14:paraId="759A3B50" w14:textId="27CC1EBF" w:rsidR="0CA3629E" w:rsidRDefault="0B2BAE31">
      <w:pPr>
        <w:rPr>
          <w:rFonts w:eastAsia="Aptos" w:cs="Times New Roman"/>
          <w:noProof/>
        </w:rPr>
      </w:pPr>
      <w:r w:rsidRPr="33E2A314">
        <w:rPr>
          <w:rFonts w:eastAsia="Aptos" w:cs="Times New Roman"/>
          <w:noProof/>
        </w:rPr>
        <w:t xml:space="preserve">For the purpose of the exercise, full cost pass through onto consumers is </w:t>
      </w:r>
      <w:r w:rsidR="140052D3" w:rsidRPr="42F7477B">
        <w:rPr>
          <w:rFonts w:eastAsia="Aptos" w:cs="Times New Roman"/>
          <w:noProof/>
        </w:rPr>
        <w:t>presumed</w:t>
      </w:r>
      <w:r w:rsidR="003F43ED">
        <w:rPr>
          <w:rFonts w:eastAsia="Aptos" w:cs="Times New Roman"/>
          <w:noProof/>
        </w:rPr>
        <w:t>.</w:t>
      </w:r>
    </w:p>
    <w:p w14:paraId="16630887" w14:textId="583D8395" w:rsidR="3E1A7859" w:rsidRDefault="3E1A7859">
      <w:pPr>
        <w:rPr>
          <w:noProof/>
        </w:rPr>
      </w:pPr>
    </w:p>
    <w:p w14:paraId="6C04FB9E" w14:textId="3EE1257B" w:rsidR="00E27F24" w:rsidRPr="00E27F24" w:rsidRDefault="00E27F24" w:rsidP="00BE3F43">
      <w:pPr>
        <w:rPr>
          <w:b/>
          <w:bCs/>
          <w:noProof/>
        </w:rPr>
      </w:pPr>
      <w:r>
        <w:rPr>
          <w:b/>
          <w:bCs/>
          <w:noProof/>
        </w:rPr>
        <w:t>LEAD_VC</w:t>
      </w:r>
    </w:p>
    <w:p w14:paraId="3E2DEFB3" w14:textId="77777777" w:rsidR="00E27F24" w:rsidRPr="00FF63D1" w:rsidRDefault="00E27F24" w:rsidP="00BE3F43">
      <w:pPr>
        <w:rPr>
          <w:noProof/>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1"/>
        <w:gridCol w:w="1565"/>
        <w:gridCol w:w="1779"/>
        <w:gridCol w:w="3707"/>
      </w:tblGrid>
      <w:tr w:rsidR="00B40D03" w:rsidRPr="00F80C7E" w14:paraId="663054EC" w14:textId="77777777" w:rsidTr="003B5854">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1811D652" w14:textId="27EF0591" w:rsidR="00B40D03" w:rsidRPr="00F80C7E" w:rsidRDefault="00B40D03" w:rsidP="00A977C7">
            <w:pPr>
              <w:pStyle w:val="JRCText"/>
              <w:jc w:val="center"/>
              <w:rPr>
                <w:rFonts w:ascii="Times New Roman" w:hAnsi="Times New Roman" w:cs="Times New Roman"/>
                <w:i/>
                <w:noProof/>
                <w:color w:val="000000" w:themeColor="text1"/>
                <w:sz w:val="24"/>
                <w:szCs w:val="24"/>
              </w:rPr>
            </w:pPr>
            <w:r w:rsidRPr="00F80C7E">
              <w:rPr>
                <w:rFonts w:ascii="Times New Roman" w:hAnsi="Times New Roman" w:cs="Times New Roman"/>
                <w:b/>
                <w:i/>
                <w:noProof/>
                <w:color w:val="000000" w:themeColor="text1"/>
                <w:sz w:val="24"/>
                <w:szCs w:val="24"/>
              </w:rPr>
              <w:t>LEAD_VC</w:t>
            </w:r>
          </w:p>
        </w:tc>
        <w:tc>
          <w:tcPr>
            <w:tcW w:w="3718" w:type="pct"/>
            <w:gridSpan w:val="3"/>
            <w:tcBorders>
              <w:top w:val="single" w:sz="6" w:space="0" w:color="auto"/>
              <w:left w:val="single" w:sz="6" w:space="0" w:color="auto"/>
              <w:bottom w:val="single" w:sz="6" w:space="0" w:color="auto"/>
              <w:right w:val="single" w:sz="6" w:space="0" w:color="auto"/>
            </w:tcBorders>
            <w:vAlign w:val="center"/>
            <w:hideMark/>
          </w:tcPr>
          <w:p w14:paraId="7F57CBBF"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r w:rsidRPr="00F80C7E">
              <w:rPr>
                <w:rFonts w:ascii="Times New Roman" w:eastAsia="Times New Roman" w:hAnsi="Times New Roman" w:cs="Times New Roman"/>
                <w:noProof/>
                <w:color w:val="000000" w:themeColor="text1"/>
                <w:sz w:val="24"/>
                <w:szCs w:val="24"/>
              </w:rPr>
              <w:t>Difference to the baseline</w:t>
            </w:r>
          </w:p>
        </w:tc>
      </w:tr>
      <w:tr w:rsidR="00B40D03" w:rsidRPr="00F80C7E" w14:paraId="30F6629B" w14:textId="77777777" w:rsidTr="003B5854">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6736C95C"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c>
          <w:tcPr>
            <w:tcW w:w="825" w:type="pct"/>
            <w:tcBorders>
              <w:top w:val="single" w:sz="6" w:space="0" w:color="auto"/>
              <w:left w:val="single" w:sz="6" w:space="0" w:color="auto"/>
              <w:bottom w:val="single" w:sz="6" w:space="0" w:color="auto"/>
              <w:right w:val="single" w:sz="6" w:space="0" w:color="auto"/>
            </w:tcBorders>
            <w:vAlign w:val="center"/>
            <w:hideMark/>
          </w:tcPr>
          <w:p w14:paraId="3BD7B047" w14:textId="77777777" w:rsidR="00B40D03" w:rsidRPr="00F80C7E" w:rsidRDefault="00B40D03" w:rsidP="00A977C7">
            <w:pPr>
              <w:pStyle w:val="JRCText"/>
              <w:ind w:right="536"/>
              <w:jc w:val="center"/>
              <w:rPr>
                <w:rFonts w:ascii="Times New Roman" w:hAnsi="Times New Roman" w:cs="Times New Roman"/>
                <w:noProof/>
                <w:color w:val="000000" w:themeColor="text1"/>
                <w:sz w:val="24"/>
                <w:szCs w:val="24"/>
              </w:rPr>
            </w:pPr>
            <w:r w:rsidRPr="00F80C7E">
              <w:rPr>
                <w:rFonts w:ascii="Times New Roman" w:hAnsi="Times New Roman" w:cs="Times New Roman"/>
                <w:b/>
                <w:noProof/>
                <w:color w:val="000000" w:themeColor="text1"/>
                <w:sz w:val="24"/>
                <w:szCs w:val="24"/>
              </w:rPr>
              <w:t>PO1</w:t>
            </w:r>
          </w:p>
        </w:tc>
        <w:tc>
          <w:tcPr>
            <w:tcW w:w="938" w:type="pct"/>
            <w:tcBorders>
              <w:top w:val="nil"/>
              <w:left w:val="single" w:sz="6" w:space="0" w:color="auto"/>
              <w:bottom w:val="single" w:sz="6" w:space="0" w:color="auto"/>
              <w:right w:val="single" w:sz="6" w:space="0" w:color="auto"/>
            </w:tcBorders>
            <w:vAlign w:val="center"/>
            <w:hideMark/>
          </w:tcPr>
          <w:p w14:paraId="5C92762C"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b/>
                <w:noProof/>
                <w:color w:val="000000" w:themeColor="text1"/>
                <w:sz w:val="24"/>
                <w:szCs w:val="24"/>
              </w:rPr>
              <w:t>PO2</w:t>
            </w:r>
          </w:p>
        </w:tc>
        <w:tc>
          <w:tcPr>
            <w:tcW w:w="1954" w:type="pct"/>
            <w:tcBorders>
              <w:top w:val="nil"/>
              <w:left w:val="single" w:sz="6" w:space="0" w:color="auto"/>
              <w:bottom w:val="single" w:sz="6" w:space="0" w:color="auto"/>
              <w:right w:val="single" w:sz="6" w:space="0" w:color="auto"/>
            </w:tcBorders>
            <w:vAlign w:val="center"/>
            <w:hideMark/>
          </w:tcPr>
          <w:p w14:paraId="79CC62C7"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b/>
                <w:noProof/>
                <w:color w:val="000000" w:themeColor="text1"/>
                <w:sz w:val="24"/>
                <w:szCs w:val="24"/>
              </w:rPr>
              <w:t>PO3</w:t>
            </w:r>
          </w:p>
        </w:tc>
      </w:tr>
      <w:tr w:rsidR="00A201A1" w:rsidRPr="00F80C7E" w14:paraId="34F0D63B" w14:textId="77777777" w:rsidTr="003B5854">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731A6F4"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noProof/>
                <w:color w:val="FFFFFF" w:themeColor="background1"/>
                <w:sz w:val="24"/>
                <w:szCs w:val="24"/>
              </w:rPr>
              <w:t>Member States administrations</w:t>
            </w:r>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46DEC5E4"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B5AA15B"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c>
          <w:tcPr>
            <w:tcW w:w="195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EECFE9F"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r>
      <w:tr w:rsidR="00B40D03" w:rsidRPr="00F80C7E" w14:paraId="6C83B5BC" w14:textId="77777777" w:rsidTr="003B5854">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16575F51" w14:textId="77777777" w:rsidR="00B40D03" w:rsidRPr="00F80C7E" w:rsidRDefault="00B40D03" w:rsidP="00A977C7">
            <w:pPr>
              <w:pStyle w:val="JRCText"/>
              <w:jc w:val="center"/>
              <w:rPr>
                <w:rFonts w:ascii="Times New Roman" w:hAnsi="Times New Roman" w:cs="Times New Roman"/>
                <w:b/>
                <w:noProof/>
                <w:color w:val="000000" w:themeColor="text1"/>
                <w:sz w:val="24"/>
                <w:szCs w:val="24"/>
              </w:rPr>
            </w:pPr>
            <w:r w:rsidRPr="00F80C7E">
              <w:rPr>
                <w:rFonts w:ascii="Times New Roman" w:hAnsi="Times New Roman" w:cs="Times New Roman"/>
                <w:b/>
                <w:noProof/>
                <w:color w:val="000000" w:themeColor="text1"/>
                <w:sz w:val="24"/>
                <w:szCs w:val="24"/>
              </w:rPr>
              <w:t>Adjustment costs (recurring)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10457E20" w14:textId="5A02BBDC" w:rsidR="00B40D03" w:rsidRPr="00F80C7E" w:rsidRDefault="00565801"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noProof/>
                <w:color w:val="000000" w:themeColor="text1"/>
                <w:sz w:val="24"/>
                <w:szCs w:val="24"/>
              </w:rPr>
              <w:t xml:space="preserve">Public </w:t>
            </w:r>
            <w:r w:rsidR="00342E8F">
              <w:rPr>
                <w:rFonts w:ascii="Times New Roman" w:hAnsi="Times New Roman" w:cs="Times New Roman"/>
                <w:noProof/>
                <w:color w:val="000000" w:themeColor="text1"/>
                <w:sz w:val="24"/>
                <w:szCs w:val="24"/>
              </w:rPr>
              <w:t>p</w:t>
            </w:r>
            <w:r w:rsidRPr="00F80C7E">
              <w:rPr>
                <w:rFonts w:ascii="Times New Roman" w:hAnsi="Times New Roman" w:cs="Times New Roman"/>
                <w:noProof/>
                <w:color w:val="000000" w:themeColor="text1"/>
                <w:sz w:val="24"/>
                <w:szCs w:val="24"/>
              </w:rPr>
              <w:t xml:space="preserve">rocurement for EVs (3.5% of total EV demand): </w:t>
            </w:r>
            <w:r w:rsidR="005B5A36" w:rsidRPr="00F80C7E">
              <w:rPr>
                <w:rFonts w:ascii="Times New Roman" w:hAnsi="Times New Roman" w:cs="Times New Roman"/>
                <w:noProof/>
                <w:color w:val="000000" w:themeColor="text1"/>
                <w:sz w:val="24"/>
                <w:szCs w:val="24"/>
              </w:rPr>
              <w:t xml:space="preserve">EUR 100.29 million </w:t>
            </w:r>
          </w:p>
        </w:tc>
        <w:tc>
          <w:tcPr>
            <w:tcW w:w="1954" w:type="pct"/>
            <w:tcBorders>
              <w:top w:val="single" w:sz="6" w:space="0" w:color="auto"/>
              <w:left w:val="nil"/>
              <w:bottom w:val="single" w:sz="6" w:space="0" w:color="auto"/>
              <w:right w:val="single" w:sz="6" w:space="0" w:color="auto"/>
            </w:tcBorders>
            <w:vAlign w:val="center"/>
            <w:hideMark/>
          </w:tcPr>
          <w:p w14:paraId="23681F41" w14:textId="11ADE968" w:rsidR="00B40D03" w:rsidRPr="00F80C7E" w:rsidRDefault="00565801"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noProof/>
                <w:color w:val="000000" w:themeColor="text1"/>
                <w:sz w:val="24"/>
                <w:szCs w:val="24"/>
              </w:rPr>
              <w:t xml:space="preserve">Public </w:t>
            </w:r>
            <w:r w:rsidR="002C1CE8">
              <w:rPr>
                <w:rFonts w:ascii="Times New Roman" w:hAnsi="Times New Roman" w:cs="Times New Roman"/>
                <w:noProof/>
                <w:color w:val="000000" w:themeColor="text1"/>
                <w:sz w:val="24"/>
                <w:szCs w:val="24"/>
              </w:rPr>
              <w:t>p</w:t>
            </w:r>
            <w:r w:rsidRPr="00F80C7E">
              <w:rPr>
                <w:rFonts w:ascii="Times New Roman" w:hAnsi="Times New Roman" w:cs="Times New Roman"/>
                <w:noProof/>
                <w:color w:val="000000" w:themeColor="text1"/>
                <w:sz w:val="24"/>
                <w:szCs w:val="24"/>
              </w:rPr>
              <w:t xml:space="preserve">rocurement for EVs (3.5% of total EV demand): </w:t>
            </w:r>
            <w:r w:rsidR="00276C47" w:rsidRPr="00F80C7E">
              <w:rPr>
                <w:rFonts w:ascii="Times New Roman" w:hAnsi="Times New Roman" w:cs="Times New Roman"/>
                <w:noProof/>
                <w:color w:val="000000" w:themeColor="text1"/>
                <w:sz w:val="24"/>
                <w:szCs w:val="24"/>
              </w:rPr>
              <w:t>EUR 139.97</w:t>
            </w:r>
          </w:p>
        </w:tc>
      </w:tr>
      <w:tr w:rsidR="00A201A1" w:rsidRPr="00F80C7E" w14:paraId="02F6523E" w14:textId="77777777" w:rsidTr="003B5854">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3DFE52F"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noProof/>
                <w:color w:val="FFFFFF" w:themeColor="background1"/>
                <w:sz w:val="24"/>
                <w:szCs w:val="24"/>
              </w:rPr>
              <w:t>Citizens/Consumer</w:t>
            </w:r>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F680788"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24F59C83"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c>
          <w:tcPr>
            <w:tcW w:w="195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D821897"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r>
      <w:tr w:rsidR="00B40D03" w:rsidRPr="00F80C7E" w14:paraId="5E1C9FD6" w14:textId="77777777" w:rsidTr="003B5854">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3EBDD1E4" w14:textId="77777777" w:rsidR="00B40D03" w:rsidRPr="00F80C7E" w:rsidRDefault="00B40D03" w:rsidP="00A977C7">
            <w:pPr>
              <w:pStyle w:val="JRCText"/>
              <w:jc w:val="center"/>
              <w:rPr>
                <w:rFonts w:ascii="Times New Roman" w:hAnsi="Times New Roman" w:cs="Times New Roman"/>
                <w:b/>
                <w:noProof/>
                <w:color w:val="000000" w:themeColor="text1"/>
                <w:sz w:val="24"/>
                <w:szCs w:val="24"/>
              </w:rPr>
            </w:pPr>
            <w:r w:rsidRPr="00F80C7E">
              <w:rPr>
                <w:rFonts w:ascii="Times New Roman" w:hAnsi="Times New Roman" w:cs="Times New Roman"/>
                <w:b/>
                <w:noProof/>
                <w:color w:val="000000" w:themeColor="text1"/>
                <w:sz w:val="24"/>
                <w:szCs w:val="24"/>
              </w:rPr>
              <w:t>Adjustment costs (recurring)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1329E89B" w14:textId="15540608" w:rsidR="00B40D03" w:rsidRPr="00F80C7E" w:rsidRDefault="00294835"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noProof/>
                <w:color w:val="000000" w:themeColor="text1"/>
                <w:sz w:val="24"/>
                <w:szCs w:val="24"/>
              </w:rPr>
              <w:t>Public subsidy schemes for EVs</w:t>
            </w:r>
            <w:r w:rsidRPr="00F80C7E">
              <w:rPr>
                <w:rFonts w:ascii="Times New Roman" w:eastAsia="Times New Roman" w:hAnsi="Times New Roman" w:cs="Times New Roman"/>
                <w:noProof/>
                <w:color w:val="000000" w:themeColor="text1"/>
                <w:sz w:val="24"/>
                <w:szCs w:val="24"/>
              </w:rPr>
              <w:t xml:space="preserve"> (20.2% of total EV demand): </w:t>
            </w:r>
            <w:r w:rsidR="00443101" w:rsidRPr="00F80C7E">
              <w:rPr>
                <w:rFonts w:ascii="Times New Roman" w:hAnsi="Times New Roman" w:cs="Times New Roman"/>
                <w:noProof/>
                <w:color w:val="000000" w:themeColor="text1"/>
                <w:sz w:val="24"/>
                <w:szCs w:val="24"/>
              </w:rPr>
              <w:t xml:space="preserve">EUR </w:t>
            </w:r>
            <w:r w:rsidR="00330A88">
              <w:rPr>
                <w:rFonts w:ascii="Times New Roman" w:hAnsi="Times New Roman" w:cs="Times New Roman"/>
                <w:noProof/>
                <w:color w:val="000000" w:themeColor="text1"/>
                <w:sz w:val="24"/>
                <w:szCs w:val="24"/>
              </w:rPr>
              <w:t>690</w:t>
            </w:r>
            <w:r w:rsidR="00443101" w:rsidRPr="00F80C7E">
              <w:rPr>
                <w:rFonts w:ascii="Times New Roman" w:hAnsi="Times New Roman" w:cs="Times New Roman"/>
                <w:noProof/>
                <w:color w:val="000000" w:themeColor="text1"/>
                <w:sz w:val="24"/>
                <w:szCs w:val="24"/>
              </w:rPr>
              <w:t xml:space="preserve"> </w:t>
            </w:r>
            <w:r w:rsidR="00330A88">
              <w:rPr>
                <w:rFonts w:ascii="Times New Roman" w:hAnsi="Times New Roman" w:cs="Times New Roman"/>
                <w:noProof/>
                <w:color w:val="000000" w:themeColor="text1"/>
                <w:sz w:val="24"/>
                <w:szCs w:val="24"/>
              </w:rPr>
              <w:t>million</w:t>
            </w:r>
          </w:p>
        </w:tc>
        <w:tc>
          <w:tcPr>
            <w:tcW w:w="1954" w:type="pct"/>
            <w:tcBorders>
              <w:top w:val="single" w:sz="6" w:space="0" w:color="auto"/>
              <w:left w:val="nil"/>
              <w:bottom w:val="single" w:sz="6" w:space="0" w:color="auto"/>
              <w:right w:val="single" w:sz="6" w:space="0" w:color="auto"/>
            </w:tcBorders>
            <w:vAlign w:val="center"/>
            <w:hideMark/>
          </w:tcPr>
          <w:p w14:paraId="62EDF6A9" w14:textId="71B65F06" w:rsidR="00B40D03" w:rsidRPr="00F80C7E" w:rsidRDefault="00294835" w:rsidP="00A977C7">
            <w:pPr>
              <w:pStyle w:val="JRCText"/>
              <w:jc w:val="center"/>
              <w:rPr>
                <w:rFonts w:ascii="Times New Roman" w:hAnsi="Times New Roman" w:cs="Times New Roman"/>
                <w:b/>
                <w:noProof/>
                <w:color w:val="000000" w:themeColor="text1"/>
                <w:sz w:val="24"/>
                <w:szCs w:val="24"/>
              </w:rPr>
            </w:pPr>
            <w:r w:rsidRPr="00F80C7E">
              <w:rPr>
                <w:rFonts w:ascii="Times New Roman" w:hAnsi="Times New Roman" w:cs="Times New Roman"/>
                <w:noProof/>
                <w:color w:val="000000" w:themeColor="text1"/>
                <w:sz w:val="24"/>
                <w:szCs w:val="24"/>
              </w:rPr>
              <w:t xml:space="preserve">EVs (36.5% of total EV demand): </w:t>
            </w:r>
            <w:r w:rsidR="00250771" w:rsidRPr="00F80C7E">
              <w:rPr>
                <w:rFonts w:ascii="Times New Roman" w:hAnsi="Times New Roman" w:cs="Times New Roman"/>
                <w:noProof/>
                <w:color w:val="000000" w:themeColor="text1"/>
                <w:sz w:val="24"/>
                <w:szCs w:val="24"/>
              </w:rPr>
              <w:t xml:space="preserve">EUR </w:t>
            </w:r>
            <w:r w:rsidR="00A97E03">
              <w:rPr>
                <w:rFonts w:ascii="Times New Roman" w:hAnsi="Times New Roman" w:cs="Times New Roman"/>
                <w:noProof/>
                <w:color w:val="000000" w:themeColor="text1"/>
                <w:sz w:val="24"/>
                <w:szCs w:val="24"/>
              </w:rPr>
              <w:t>1</w:t>
            </w:r>
            <w:r w:rsidR="00250771" w:rsidRPr="00F80C7E">
              <w:rPr>
                <w:rFonts w:ascii="Times New Roman" w:hAnsi="Times New Roman" w:cs="Times New Roman"/>
                <w:noProof/>
                <w:color w:val="000000" w:themeColor="text1"/>
                <w:sz w:val="24"/>
                <w:szCs w:val="24"/>
              </w:rPr>
              <w:t>.</w:t>
            </w:r>
            <w:r w:rsidR="00A97E03">
              <w:rPr>
                <w:rFonts w:ascii="Times New Roman" w:hAnsi="Times New Roman" w:cs="Times New Roman"/>
                <w:noProof/>
                <w:color w:val="000000" w:themeColor="text1"/>
                <w:sz w:val="24"/>
                <w:szCs w:val="24"/>
              </w:rPr>
              <w:t>37</w:t>
            </w:r>
            <w:r w:rsidR="00250771" w:rsidRPr="00F80C7E">
              <w:rPr>
                <w:rFonts w:ascii="Times New Roman" w:hAnsi="Times New Roman" w:cs="Times New Roman"/>
                <w:noProof/>
                <w:color w:val="000000" w:themeColor="text1"/>
                <w:sz w:val="24"/>
                <w:szCs w:val="24"/>
              </w:rPr>
              <w:t xml:space="preserve"> billion</w:t>
            </w:r>
          </w:p>
        </w:tc>
      </w:tr>
      <w:tr w:rsidR="00A201A1" w:rsidRPr="00F80C7E" w14:paraId="18AACAD3" w14:textId="77777777" w:rsidTr="003B5854">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B2CCAE8" w14:textId="7E650F74" w:rsidR="00B40D03" w:rsidRPr="00F80C7E" w:rsidRDefault="00B40D03" w:rsidP="00A977C7">
            <w:pPr>
              <w:pStyle w:val="JRCText"/>
              <w:jc w:val="center"/>
              <w:rPr>
                <w:rFonts w:ascii="Times New Roman" w:hAnsi="Times New Roman" w:cs="Times New Roman"/>
                <w:noProof/>
                <w:color w:val="FFFFFF" w:themeColor="background1"/>
                <w:sz w:val="24"/>
                <w:szCs w:val="24"/>
                <w:vertAlign w:val="superscript"/>
              </w:rPr>
            </w:pPr>
            <w:r w:rsidRPr="136D6BE6">
              <w:rPr>
                <w:rFonts w:ascii="Times New Roman" w:hAnsi="Times New Roman" w:cs="Times New Roman"/>
                <w:noProof/>
                <w:color w:val="FFFFFF" w:themeColor="background1"/>
                <w:sz w:val="24"/>
                <w:szCs w:val="24"/>
              </w:rPr>
              <w:t>Businesses</w:t>
            </w:r>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070EAEA"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6F0FB89"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c>
          <w:tcPr>
            <w:tcW w:w="1954"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35EE7928" w14:textId="77777777" w:rsidR="00B40D03" w:rsidRPr="00F80C7E" w:rsidRDefault="00B40D03" w:rsidP="00A977C7">
            <w:pPr>
              <w:pStyle w:val="JRCText"/>
              <w:jc w:val="center"/>
              <w:rPr>
                <w:rFonts w:ascii="Times New Roman" w:hAnsi="Times New Roman" w:cs="Times New Roman"/>
                <w:noProof/>
                <w:color w:val="000000" w:themeColor="text1"/>
                <w:sz w:val="24"/>
                <w:szCs w:val="24"/>
              </w:rPr>
            </w:pPr>
          </w:p>
        </w:tc>
      </w:tr>
      <w:tr w:rsidR="00B40D03" w:rsidRPr="00F80C7E" w14:paraId="28916107" w14:textId="77777777" w:rsidTr="003B5854">
        <w:trPr>
          <w:trHeight w:val="810"/>
        </w:trPr>
        <w:tc>
          <w:tcPr>
            <w:tcW w:w="1282" w:type="pct"/>
            <w:tcBorders>
              <w:top w:val="single" w:sz="6" w:space="0" w:color="auto"/>
              <w:left w:val="single" w:sz="6" w:space="0" w:color="auto"/>
              <w:bottom w:val="single" w:sz="6" w:space="0" w:color="auto"/>
              <w:right w:val="single" w:sz="6" w:space="0" w:color="auto"/>
            </w:tcBorders>
            <w:vAlign w:val="center"/>
            <w:hideMark/>
          </w:tcPr>
          <w:p w14:paraId="6B33CB94" w14:textId="77777777" w:rsidR="00B40D03" w:rsidRPr="00F80C7E" w:rsidRDefault="00B40D03" w:rsidP="00A977C7">
            <w:pPr>
              <w:pStyle w:val="JRCText"/>
              <w:jc w:val="center"/>
              <w:rPr>
                <w:rFonts w:ascii="Times New Roman" w:hAnsi="Times New Roman" w:cs="Times New Roman"/>
                <w:b/>
                <w:noProof/>
                <w:color w:val="000000" w:themeColor="text1"/>
                <w:sz w:val="24"/>
                <w:szCs w:val="24"/>
              </w:rPr>
            </w:pPr>
            <w:r w:rsidRPr="00F80C7E">
              <w:rPr>
                <w:rFonts w:ascii="Times New Roman" w:hAnsi="Times New Roman" w:cs="Times New Roman"/>
                <w:b/>
                <w:noProof/>
                <w:color w:val="000000" w:themeColor="text1"/>
                <w:sz w:val="24"/>
                <w:szCs w:val="24"/>
              </w:rPr>
              <w:t>Adjustment costs (recurring)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3D15DF2E" w14:textId="053ECF80" w:rsidR="00B40D03" w:rsidRPr="00F80C7E" w:rsidRDefault="00AB2744" w:rsidP="00A977C7">
            <w:pPr>
              <w:jc w:val="center"/>
              <w:rPr>
                <w:rFonts w:cs="Times New Roman"/>
                <w:noProof/>
                <w:color w:val="000000" w:themeColor="text1"/>
              </w:rPr>
            </w:pPr>
            <w:r w:rsidRPr="1F1C9270">
              <w:rPr>
                <w:rFonts w:cs="Times New Roman"/>
                <w:noProof/>
                <w:color w:val="000000" w:themeColor="text1"/>
              </w:rPr>
              <w:t xml:space="preserve">Public subsidy schemes for EVs (60% of total EV demand): EUR </w:t>
            </w:r>
            <w:r w:rsidR="318FD899" w:rsidRPr="63FC17E9">
              <w:rPr>
                <w:rFonts w:cs="Times New Roman"/>
                <w:noProof/>
                <w:color w:val="000000" w:themeColor="text1"/>
              </w:rPr>
              <w:t>1.</w:t>
            </w:r>
            <w:r w:rsidR="318FD899" w:rsidRPr="1F1C9270">
              <w:rPr>
                <w:rFonts w:cs="Times New Roman"/>
                <w:noProof/>
                <w:color w:val="000000" w:themeColor="text1"/>
              </w:rPr>
              <w:t>249 b</w:t>
            </w:r>
            <w:r w:rsidR="00E80DA9" w:rsidRPr="1F1C9270">
              <w:rPr>
                <w:rFonts w:cs="Times New Roman"/>
                <w:noProof/>
                <w:color w:val="000000" w:themeColor="text1"/>
              </w:rPr>
              <w:t>illion</w:t>
            </w:r>
          </w:p>
        </w:tc>
        <w:tc>
          <w:tcPr>
            <w:tcW w:w="1954" w:type="pct"/>
            <w:tcBorders>
              <w:top w:val="single" w:sz="6" w:space="0" w:color="auto"/>
              <w:left w:val="nil"/>
              <w:bottom w:val="single" w:sz="6" w:space="0" w:color="auto"/>
              <w:right w:val="single" w:sz="6" w:space="0" w:color="auto"/>
            </w:tcBorders>
            <w:vAlign w:val="center"/>
            <w:hideMark/>
          </w:tcPr>
          <w:p w14:paraId="5E6D7794" w14:textId="3B3262B4" w:rsidR="00B40D03" w:rsidRPr="00F80C7E" w:rsidRDefault="00AB2744" w:rsidP="00A977C7">
            <w:pPr>
              <w:pStyle w:val="JRCText"/>
              <w:jc w:val="center"/>
              <w:rPr>
                <w:rFonts w:ascii="Times New Roman" w:hAnsi="Times New Roman" w:cs="Times New Roman"/>
                <w:noProof/>
                <w:color w:val="000000" w:themeColor="text1"/>
                <w:sz w:val="24"/>
                <w:szCs w:val="24"/>
              </w:rPr>
            </w:pPr>
            <w:r w:rsidRPr="00F80C7E">
              <w:rPr>
                <w:rFonts w:ascii="Times New Roman" w:hAnsi="Times New Roman" w:cs="Times New Roman"/>
                <w:noProof/>
                <w:color w:val="000000" w:themeColor="text1"/>
                <w:sz w:val="24"/>
                <w:szCs w:val="24"/>
              </w:rPr>
              <w:t xml:space="preserve">EVs (60% of total EV demand): EUR </w:t>
            </w:r>
            <w:r w:rsidR="00BE2593">
              <w:rPr>
                <w:rFonts w:ascii="Times New Roman" w:hAnsi="Times New Roman" w:cs="Times New Roman"/>
                <w:noProof/>
                <w:color w:val="000000" w:themeColor="text1"/>
                <w:sz w:val="24"/>
                <w:szCs w:val="24"/>
              </w:rPr>
              <w:t>2</w:t>
            </w:r>
            <w:r w:rsidR="00E80DA9" w:rsidRPr="00F80C7E">
              <w:rPr>
                <w:rFonts w:ascii="Times New Roman" w:hAnsi="Times New Roman" w:cs="Times New Roman"/>
                <w:noProof/>
                <w:color w:val="000000" w:themeColor="text1"/>
                <w:sz w:val="24"/>
                <w:szCs w:val="24"/>
              </w:rPr>
              <w:t>.</w:t>
            </w:r>
            <w:r w:rsidR="00BE2593">
              <w:rPr>
                <w:rFonts w:ascii="Times New Roman" w:hAnsi="Times New Roman" w:cs="Times New Roman"/>
                <w:noProof/>
                <w:color w:val="000000" w:themeColor="text1"/>
                <w:sz w:val="24"/>
                <w:szCs w:val="24"/>
              </w:rPr>
              <w:t>49</w:t>
            </w:r>
            <w:r w:rsidR="00E80DA9" w:rsidRPr="00F80C7E">
              <w:rPr>
                <w:rFonts w:ascii="Times New Roman" w:hAnsi="Times New Roman" w:cs="Times New Roman"/>
                <w:noProof/>
                <w:color w:val="000000" w:themeColor="text1"/>
                <w:sz w:val="24"/>
                <w:szCs w:val="24"/>
              </w:rPr>
              <w:t xml:space="preserve"> billion</w:t>
            </w:r>
          </w:p>
        </w:tc>
      </w:tr>
    </w:tbl>
    <w:p w14:paraId="6E300539" w14:textId="445AD736" w:rsidR="2E9C6F77" w:rsidRDefault="2E9C6F77" w:rsidP="748F0348">
      <w:pPr>
        <w:pStyle w:val="JRCText"/>
        <w:jc w:val="both"/>
        <w:rPr>
          <w:rFonts w:ascii="Times New Roman" w:hAnsi="Times New Roman" w:cs="Times New Roman"/>
          <w:b/>
          <w:bCs/>
          <w:noProof/>
          <w:color w:val="000000" w:themeColor="text1"/>
          <w:sz w:val="24"/>
          <w:szCs w:val="24"/>
        </w:rPr>
      </w:pPr>
    </w:p>
    <w:p w14:paraId="1C7864B3" w14:textId="76E6E48E" w:rsidR="002669DC" w:rsidRDefault="00C11F95" w:rsidP="00DE7556">
      <w:pPr>
        <w:pStyle w:val="JRCText"/>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Cumulative</w:t>
      </w:r>
      <w:r w:rsidR="00A15362">
        <w:rPr>
          <w:rFonts w:ascii="Times New Roman" w:hAnsi="Times New Roman" w:cs="Times New Roman"/>
          <w:b/>
          <w:noProof/>
          <w:color w:val="000000" w:themeColor="text1"/>
          <w:sz w:val="24"/>
          <w:szCs w:val="24"/>
        </w:rPr>
        <w:t xml:space="preserve"> adjustment costs for </w:t>
      </w:r>
      <w:r>
        <w:rPr>
          <w:rFonts w:ascii="Times New Roman" w:hAnsi="Times New Roman" w:cs="Times New Roman"/>
          <w:b/>
          <w:noProof/>
          <w:color w:val="000000" w:themeColor="text1"/>
          <w:sz w:val="24"/>
          <w:szCs w:val="24"/>
        </w:rPr>
        <w:t>citizens and businesses</w:t>
      </w:r>
      <w:r w:rsidR="00BD6086">
        <w:rPr>
          <w:rFonts w:ascii="Times New Roman" w:hAnsi="Times New Roman" w:cs="Times New Roman"/>
          <w:b/>
          <w:noProof/>
          <w:color w:val="000000" w:themeColor="text1"/>
          <w:sz w:val="24"/>
          <w:szCs w:val="24"/>
        </w:rPr>
        <w:t xml:space="preserve"> </w:t>
      </w:r>
      <w:r w:rsidR="00A212EB">
        <w:rPr>
          <w:rFonts w:ascii="Times New Roman" w:hAnsi="Times New Roman" w:cs="Times New Roman"/>
          <w:b/>
          <w:noProof/>
          <w:color w:val="000000" w:themeColor="text1"/>
          <w:sz w:val="24"/>
          <w:szCs w:val="24"/>
        </w:rPr>
        <w:t>(corporate fleets)</w:t>
      </w:r>
      <w:r w:rsidR="002B3172">
        <w:rPr>
          <w:rFonts w:ascii="Times New Roman" w:hAnsi="Times New Roman" w:cs="Times New Roman"/>
          <w:b/>
          <w:noProof/>
          <w:color w:val="000000" w:themeColor="text1"/>
          <w:sz w:val="24"/>
          <w:szCs w:val="24"/>
        </w:rPr>
        <w:t xml:space="preserve"> as consumers </w:t>
      </w:r>
      <w:r w:rsidR="00D15827" w:rsidRPr="00D15827">
        <w:rPr>
          <w:rFonts w:ascii="Times New Roman" w:hAnsi="Times New Roman" w:cs="Times New Roman"/>
          <w:b/>
          <w:noProof/>
          <w:color w:val="000000" w:themeColor="text1"/>
          <w:sz w:val="24"/>
          <w:szCs w:val="24"/>
        </w:rPr>
        <w:t>(LEAD_EII, LEAD_BAT, LEAD_VC</w:t>
      </w:r>
      <w:r w:rsidR="007F08A1">
        <w:rPr>
          <w:rFonts w:ascii="Times New Roman" w:hAnsi="Times New Roman" w:cs="Times New Roman"/>
          <w:b/>
          <w:bCs/>
          <w:noProof/>
          <w:color w:val="000000" w:themeColor="text1"/>
          <w:sz w:val="24"/>
          <w:szCs w:val="24"/>
        </w:rPr>
        <w:t>, LEAD_SOL</w:t>
      </w:r>
      <w:r w:rsidR="7474175C" w:rsidRPr="2933602E">
        <w:rPr>
          <w:rFonts w:ascii="Times New Roman" w:hAnsi="Times New Roman" w:cs="Times New Roman"/>
          <w:b/>
          <w:bCs/>
          <w:noProof/>
          <w:color w:val="000000" w:themeColor="text1"/>
          <w:sz w:val="24"/>
          <w:szCs w:val="24"/>
        </w:rPr>
        <w:t>)</w:t>
      </w:r>
      <w:r w:rsidR="00A15362" w:rsidRPr="2933602E">
        <w:rPr>
          <w:rFonts w:ascii="Times New Roman" w:hAnsi="Times New Roman" w:cs="Times New Roman"/>
          <w:b/>
          <w:bCs/>
          <w:noProof/>
          <w:color w:val="000000" w:themeColor="text1"/>
          <w:sz w:val="24"/>
          <w:szCs w:val="24"/>
        </w:rPr>
        <w:t>:</w:t>
      </w:r>
      <w:r w:rsidR="00A15362">
        <w:rPr>
          <w:rFonts w:ascii="Times New Roman" w:hAnsi="Times New Roman" w:cs="Times New Roman"/>
          <w:b/>
          <w:noProof/>
          <w:color w:val="000000" w:themeColor="text1"/>
          <w:sz w:val="24"/>
          <w:szCs w:val="24"/>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5"/>
        <w:gridCol w:w="1411"/>
        <w:gridCol w:w="1849"/>
        <w:gridCol w:w="1985"/>
        <w:gridCol w:w="1843"/>
      </w:tblGrid>
      <w:tr w:rsidR="00F03F9B" w:rsidRPr="004947ED" w14:paraId="7A97D919" w14:textId="77777777" w:rsidTr="000D51C0">
        <w:trPr>
          <w:trHeight w:val="300"/>
        </w:trPr>
        <w:tc>
          <w:tcPr>
            <w:tcW w:w="2405" w:type="dxa"/>
            <w:hideMark/>
          </w:tcPr>
          <w:p w14:paraId="7B2FB074" w14:textId="6499EDE8" w:rsidR="00D1262D" w:rsidRPr="00902D70" w:rsidRDefault="00881803">
            <w:pPr>
              <w:pStyle w:val="JRCText"/>
              <w:rPr>
                <w:rFonts w:ascii="Times New Roman" w:eastAsia="Times New Roman" w:hAnsi="Times New Roman" w:cs="Times New Roman"/>
                <w:b/>
                <w:noProof/>
                <w:sz w:val="24"/>
                <w:szCs w:val="24"/>
                <w:lang w:val="en-IE"/>
              </w:rPr>
            </w:pPr>
            <w:r w:rsidRPr="00902D70">
              <w:rPr>
                <w:rFonts w:ascii="Times New Roman" w:eastAsia="Times New Roman" w:hAnsi="Times New Roman" w:cs="Times New Roman"/>
                <w:b/>
                <w:noProof/>
                <w:sz w:val="24"/>
                <w:szCs w:val="24"/>
                <w:lang w:val="en-IE"/>
              </w:rPr>
              <w:t>Sector</w:t>
            </w:r>
          </w:p>
        </w:tc>
        <w:tc>
          <w:tcPr>
            <w:tcW w:w="1411" w:type="dxa"/>
          </w:tcPr>
          <w:p w14:paraId="1C38C761" w14:textId="56CBEEE8" w:rsidR="00C11F95" w:rsidRPr="00902D70" w:rsidRDefault="00881803">
            <w:pPr>
              <w:pStyle w:val="JRCText"/>
              <w:rPr>
                <w:rFonts w:ascii="Times New Roman" w:eastAsia="Times New Roman" w:hAnsi="Times New Roman" w:cs="Times New Roman"/>
                <w:b/>
                <w:noProof/>
                <w:sz w:val="24"/>
                <w:szCs w:val="24"/>
                <w:lang w:val="en-IE"/>
              </w:rPr>
            </w:pPr>
            <w:r w:rsidRPr="00902D70">
              <w:rPr>
                <w:rFonts w:ascii="Times New Roman" w:eastAsia="Times New Roman" w:hAnsi="Times New Roman" w:cs="Times New Roman"/>
                <w:b/>
                <w:noProof/>
                <w:sz w:val="24"/>
                <w:szCs w:val="24"/>
                <w:lang w:val="en-IE"/>
              </w:rPr>
              <w:t>Impacted Stakeholders</w:t>
            </w:r>
          </w:p>
        </w:tc>
        <w:tc>
          <w:tcPr>
            <w:tcW w:w="1849" w:type="dxa"/>
            <w:shd w:val="clear" w:color="auto" w:fill="215E99" w:themeFill="text2" w:themeFillTint="BF"/>
            <w:hideMark/>
          </w:tcPr>
          <w:p w14:paraId="6F914A06" w14:textId="77777777" w:rsidR="00D1262D" w:rsidRPr="004947ED" w:rsidRDefault="00D1262D">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PO1 </w:t>
            </w:r>
          </w:p>
        </w:tc>
        <w:tc>
          <w:tcPr>
            <w:tcW w:w="1985" w:type="dxa"/>
            <w:shd w:val="clear" w:color="auto" w:fill="215E99" w:themeFill="text2" w:themeFillTint="BF"/>
            <w:hideMark/>
          </w:tcPr>
          <w:p w14:paraId="33D1B9FF" w14:textId="77777777" w:rsidR="00D1262D" w:rsidRPr="004947ED" w:rsidRDefault="00D1262D">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PO2 </w:t>
            </w:r>
          </w:p>
        </w:tc>
        <w:tc>
          <w:tcPr>
            <w:tcW w:w="1843" w:type="dxa"/>
            <w:shd w:val="clear" w:color="auto" w:fill="215E99" w:themeFill="text2" w:themeFillTint="BF"/>
            <w:hideMark/>
          </w:tcPr>
          <w:p w14:paraId="0FD9422F" w14:textId="77777777" w:rsidR="00D1262D" w:rsidRPr="004947ED" w:rsidRDefault="00D1262D">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PO3 </w:t>
            </w:r>
          </w:p>
        </w:tc>
      </w:tr>
      <w:tr w:rsidR="00D1262D" w:rsidRPr="004947ED" w14:paraId="694EEA5C" w14:textId="77777777" w:rsidTr="000D51C0">
        <w:trPr>
          <w:trHeight w:val="618"/>
        </w:trPr>
        <w:tc>
          <w:tcPr>
            <w:tcW w:w="2405" w:type="dxa"/>
            <w:hideMark/>
          </w:tcPr>
          <w:p w14:paraId="73A2F879" w14:textId="09E8BBF0" w:rsidR="00D1262D" w:rsidRPr="007A0F27" w:rsidRDefault="00881803" w:rsidP="00F03F9B">
            <w:pPr>
              <w:jc w:val="left"/>
              <w:rPr>
                <w:rFonts w:cs="Times New Roman"/>
                <w:i/>
                <w:iCs/>
                <w:noProof/>
                <w:color w:val="000000"/>
                <w:szCs w:val="24"/>
                <w:lang w:val="en-IE"/>
              </w:rPr>
            </w:pPr>
            <w:r w:rsidRPr="007A0F27">
              <w:rPr>
                <w:rFonts w:cs="Times New Roman"/>
                <w:i/>
                <w:noProof/>
                <w:color w:val="000000" w:themeColor="text1"/>
                <w:lang w:val="en-IE"/>
              </w:rPr>
              <w:t>Automotive - passenger vehicles</w:t>
            </w:r>
            <w:r w:rsidR="007A0F27" w:rsidRPr="007A0F27">
              <w:rPr>
                <w:rFonts w:cs="Times New Roman"/>
                <w:i/>
                <w:noProof/>
                <w:color w:val="000000" w:themeColor="text1"/>
                <w:lang w:val="en-IE"/>
              </w:rPr>
              <w:t xml:space="preserve"> </w:t>
            </w:r>
          </w:p>
        </w:tc>
        <w:tc>
          <w:tcPr>
            <w:tcW w:w="1411" w:type="dxa"/>
          </w:tcPr>
          <w:p w14:paraId="31E524B8" w14:textId="0FD4BB6A" w:rsidR="00C11F95" w:rsidRPr="00F03F9B" w:rsidRDefault="00F76D3E" w:rsidP="00C11F95">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Citizens</w:t>
            </w:r>
          </w:p>
        </w:tc>
        <w:tc>
          <w:tcPr>
            <w:tcW w:w="1849" w:type="dxa"/>
            <w:vAlign w:val="bottom"/>
            <w:hideMark/>
          </w:tcPr>
          <w:p w14:paraId="4E231E10" w14:textId="2C6EBACF" w:rsidR="00D1262D" w:rsidRPr="004947ED" w:rsidRDefault="00F26C8E">
            <w:pPr>
              <w:pStyle w:val="JRCText"/>
              <w:rPr>
                <w:rFonts w:ascii="Times New Roman" w:eastAsia="Times New Roman" w:hAnsi="Times New Roman" w:cs="Times New Roman"/>
                <w:bCs/>
                <w:noProof/>
                <w:color w:val="000000" w:themeColor="text1"/>
                <w:sz w:val="24"/>
                <w:szCs w:val="24"/>
                <w:lang w:val="en-IE"/>
              </w:rPr>
            </w:pPr>
            <w:r w:rsidRPr="00F03F9B">
              <w:rPr>
                <w:rFonts w:ascii="Times New Roman" w:hAnsi="Times New Roman" w:cs="Times New Roman"/>
                <w:noProof/>
                <w:color w:val="000000"/>
                <w:sz w:val="24"/>
                <w:szCs w:val="24"/>
              </w:rPr>
              <w:t xml:space="preserve">EUR </w:t>
            </w:r>
            <w:r w:rsidR="006873E9" w:rsidRPr="00F03F9B">
              <w:rPr>
                <w:rFonts w:ascii="Times New Roman" w:hAnsi="Times New Roman" w:cs="Times New Roman"/>
                <w:noProof/>
                <w:color w:val="000000"/>
                <w:sz w:val="24"/>
                <w:szCs w:val="24"/>
              </w:rPr>
              <w:t>1</w:t>
            </w:r>
            <w:r w:rsidRPr="00F03F9B">
              <w:rPr>
                <w:rFonts w:ascii="Times New Roman" w:hAnsi="Times New Roman" w:cs="Times New Roman"/>
                <w:noProof/>
                <w:color w:val="000000"/>
                <w:sz w:val="24"/>
                <w:szCs w:val="24"/>
              </w:rPr>
              <w:t>.</w:t>
            </w:r>
            <w:r w:rsidR="00EE2BBA">
              <w:rPr>
                <w:rFonts w:ascii="Times New Roman" w:hAnsi="Times New Roman" w:cs="Times New Roman"/>
                <w:noProof/>
                <w:color w:val="000000"/>
                <w:sz w:val="24"/>
                <w:szCs w:val="24"/>
              </w:rPr>
              <w:t>2</w:t>
            </w:r>
            <w:r w:rsidR="00204F3F">
              <w:rPr>
                <w:rFonts w:ascii="Times New Roman" w:hAnsi="Times New Roman" w:cs="Times New Roman"/>
                <w:noProof/>
                <w:color w:val="000000"/>
                <w:sz w:val="24"/>
                <w:szCs w:val="24"/>
              </w:rPr>
              <w:t>0</w:t>
            </w:r>
            <w:r w:rsidRPr="00F03F9B">
              <w:rPr>
                <w:rFonts w:ascii="Times New Roman" w:hAnsi="Times New Roman" w:cs="Times New Roman"/>
                <w:noProof/>
                <w:color w:val="000000"/>
                <w:sz w:val="24"/>
                <w:szCs w:val="24"/>
              </w:rPr>
              <w:t xml:space="preserve"> billion</w:t>
            </w:r>
          </w:p>
        </w:tc>
        <w:tc>
          <w:tcPr>
            <w:tcW w:w="1985" w:type="dxa"/>
            <w:vAlign w:val="bottom"/>
            <w:hideMark/>
          </w:tcPr>
          <w:p w14:paraId="34451911" w14:textId="2B39CA11" w:rsidR="00D1262D" w:rsidRPr="004947ED" w:rsidRDefault="00F26C8E">
            <w:pPr>
              <w:pStyle w:val="JRCText"/>
              <w:rPr>
                <w:rFonts w:ascii="Times New Roman" w:eastAsia="Times New Roman" w:hAnsi="Times New Roman" w:cs="Times New Roman"/>
                <w:bCs/>
                <w:noProof/>
                <w:color w:val="000000" w:themeColor="text1"/>
                <w:sz w:val="24"/>
                <w:szCs w:val="24"/>
                <w:lang w:val="en-IE"/>
              </w:rPr>
            </w:pPr>
            <w:r w:rsidRPr="0BB9F676">
              <w:rPr>
                <w:rFonts w:ascii="Times New Roman" w:hAnsi="Times New Roman" w:cs="Times New Roman"/>
                <w:noProof/>
                <w:color w:val="000000" w:themeColor="text1"/>
                <w:sz w:val="24"/>
                <w:szCs w:val="24"/>
              </w:rPr>
              <w:t>EUR 1.</w:t>
            </w:r>
            <w:r w:rsidR="00EE2BBA">
              <w:rPr>
                <w:rFonts w:ascii="Times New Roman" w:hAnsi="Times New Roman" w:cs="Times New Roman"/>
                <w:noProof/>
                <w:color w:val="000000" w:themeColor="text1"/>
                <w:sz w:val="24"/>
                <w:szCs w:val="24"/>
              </w:rPr>
              <w:t>2</w:t>
            </w:r>
            <w:r w:rsidR="000407B5">
              <w:rPr>
                <w:rFonts w:ascii="Times New Roman" w:hAnsi="Times New Roman" w:cs="Times New Roman"/>
                <w:noProof/>
                <w:color w:val="000000" w:themeColor="text1"/>
                <w:sz w:val="24"/>
                <w:szCs w:val="24"/>
              </w:rPr>
              <w:t>0</w:t>
            </w:r>
            <w:r w:rsidRPr="0BB9F676">
              <w:rPr>
                <w:rFonts w:ascii="Times New Roman" w:hAnsi="Times New Roman" w:cs="Times New Roman"/>
                <w:noProof/>
                <w:color w:val="000000" w:themeColor="text1"/>
                <w:sz w:val="24"/>
                <w:szCs w:val="24"/>
              </w:rPr>
              <w:t xml:space="preserve"> billion</w:t>
            </w:r>
          </w:p>
        </w:tc>
        <w:tc>
          <w:tcPr>
            <w:tcW w:w="1843" w:type="dxa"/>
            <w:vAlign w:val="bottom"/>
            <w:hideMark/>
          </w:tcPr>
          <w:p w14:paraId="59DF5F11" w14:textId="10FEFE75" w:rsidR="00D1262D" w:rsidRPr="004947ED" w:rsidRDefault="00F26C8E">
            <w:pPr>
              <w:pStyle w:val="JRCText"/>
              <w:rPr>
                <w:rFonts w:ascii="Times New Roman" w:eastAsia="Times New Roman" w:hAnsi="Times New Roman" w:cs="Times New Roman"/>
                <w:bCs/>
                <w:noProof/>
                <w:color w:val="000000" w:themeColor="text1"/>
                <w:sz w:val="24"/>
                <w:szCs w:val="24"/>
                <w:lang w:val="en-IE"/>
              </w:rPr>
            </w:pPr>
            <w:r w:rsidRPr="00F03F9B">
              <w:rPr>
                <w:rFonts w:ascii="Times New Roman" w:hAnsi="Times New Roman" w:cs="Times New Roman"/>
                <w:noProof/>
                <w:color w:val="000000"/>
                <w:sz w:val="24"/>
                <w:szCs w:val="24"/>
              </w:rPr>
              <w:t>EUR 2.</w:t>
            </w:r>
            <w:r w:rsidR="00EE2BBA">
              <w:rPr>
                <w:rFonts w:ascii="Times New Roman" w:hAnsi="Times New Roman" w:cs="Times New Roman"/>
                <w:noProof/>
                <w:color w:val="000000"/>
                <w:sz w:val="24"/>
                <w:szCs w:val="24"/>
              </w:rPr>
              <w:t>7</w:t>
            </w:r>
            <w:r w:rsidR="000407B5">
              <w:rPr>
                <w:rFonts w:ascii="Times New Roman" w:hAnsi="Times New Roman" w:cs="Times New Roman"/>
                <w:noProof/>
                <w:color w:val="000000"/>
                <w:sz w:val="24"/>
                <w:szCs w:val="24"/>
              </w:rPr>
              <w:t>7</w:t>
            </w:r>
            <w:r w:rsidRPr="00F03F9B">
              <w:rPr>
                <w:rFonts w:ascii="Times New Roman" w:hAnsi="Times New Roman" w:cs="Times New Roman"/>
                <w:noProof/>
                <w:color w:val="000000"/>
                <w:sz w:val="24"/>
                <w:szCs w:val="24"/>
              </w:rPr>
              <w:t xml:space="preserve"> billion </w:t>
            </w:r>
          </w:p>
        </w:tc>
      </w:tr>
      <w:tr w:rsidR="008B6FC7" w:rsidRPr="004947ED" w14:paraId="43084CB7" w14:textId="77777777" w:rsidTr="000D51C0">
        <w:trPr>
          <w:trHeight w:val="300"/>
        </w:trPr>
        <w:tc>
          <w:tcPr>
            <w:tcW w:w="2405" w:type="dxa"/>
            <w:hideMark/>
          </w:tcPr>
          <w:p w14:paraId="1381CDCD" w14:textId="2ADCFC3A" w:rsidR="007A0F27" w:rsidRPr="00961E8C" w:rsidRDefault="00DA3C49" w:rsidP="00F03F9B">
            <w:pPr>
              <w:jc w:val="left"/>
              <w:rPr>
                <w:rFonts w:cs="Times New Roman"/>
                <w:i/>
                <w:iCs/>
                <w:noProof/>
                <w:color w:val="000000"/>
                <w:szCs w:val="24"/>
                <w:lang w:val="en-IE"/>
              </w:rPr>
            </w:pPr>
            <w:r w:rsidRPr="00961E8C">
              <w:rPr>
                <w:rFonts w:cs="Times New Roman"/>
                <w:i/>
                <w:iCs/>
                <w:noProof/>
                <w:color w:val="000000"/>
                <w:szCs w:val="24"/>
              </w:rPr>
              <w:t>Automotive - corporate fleet</w:t>
            </w:r>
          </w:p>
        </w:tc>
        <w:tc>
          <w:tcPr>
            <w:tcW w:w="1411" w:type="dxa"/>
          </w:tcPr>
          <w:p w14:paraId="3B34E86B" w14:textId="07EDC1B5" w:rsidR="00C11F95" w:rsidRPr="00F03F9B" w:rsidRDefault="00F76D3E" w:rsidP="00C11F95">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Businesses</w:t>
            </w:r>
            <w:r w:rsidR="00BD6086">
              <w:rPr>
                <w:rStyle w:val="FootnoteReference"/>
                <w:rFonts w:ascii="Times New Roman" w:hAnsi="Times New Roman" w:cs="Times New Roman"/>
                <w:noProof/>
                <w:color w:val="000000"/>
                <w:sz w:val="24"/>
                <w:szCs w:val="24"/>
              </w:rPr>
              <w:footnoteReference w:id="296"/>
            </w:r>
          </w:p>
        </w:tc>
        <w:tc>
          <w:tcPr>
            <w:tcW w:w="1849" w:type="dxa"/>
            <w:vAlign w:val="bottom"/>
            <w:hideMark/>
          </w:tcPr>
          <w:p w14:paraId="75C0E70B" w14:textId="496B3CDA" w:rsidR="00D1262D" w:rsidRPr="004947ED" w:rsidRDefault="00F26C8E">
            <w:pPr>
              <w:pStyle w:val="JRCText"/>
              <w:rPr>
                <w:rFonts w:ascii="Times New Roman" w:eastAsia="Times New Roman" w:hAnsi="Times New Roman" w:cs="Times New Roman"/>
                <w:bCs/>
                <w:noProof/>
                <w:color w:val="000000" w:themeColor="text1"/>
                <w:sz w:val="24"/>
                <w:szCs w:val="24"/>
                <w:lang w:val="en-IE"/>
              </w:rPr>
            </w:pPr>
            <w:r w:rsidRPr="61D28E92">
              <w:rPr>
                <w:rFonts w:ascii="Times New Roman" w:hAnsi="Times New Roman" w:cs="Times New Roman"/>
                <w:noProof/>
                <w:color w:val="000000" w:themeColor="text1"/>
                <w:sz w:val="24"/>
                <w:szCs w:val="24"/>
              </w:rPr>
              <w:t xml:space="preserve">EUR </w:t>
            </w:r>
            <w:r w:rsidR="3B09F567" w:rsidRPr="0D4D3719">
              <w:rPr>
                <w:rFonts w:ascii="Times New Roman" w:hAnsi="Times New Roman" w:cs="Times New Roman"/>
                <w:noProof/>
                <w:color w:val="000000" w:themeColor="text1"/>
                <w:sz w:val="24"/>
                <w:szCs w:val="24"/>
              </w:rPr>
              <w:t>3.09</w:t>
            </w:r>
            <w:r w:rsidRPr="61D28E92">
              <w:rPr>
                <w:rFonts w:ascii="Times New Roman" w:hAnsi="Times New Roman" w:cs="Times New Roman"/>
                <w:noProof/>
                <w:color w:val="000000" w:themeColor="text1"/>
                <w:sz w:val="24"/>
                <w:szCs w:val="24"/>
              </w:rPr>
              <w:t xml:space="preserve"> billion </w:t>
            </w:r>
          </w:p>
        </w:tc>
        <w:tc>
          <w:tcPr>
            <w:tcW w:w="1985" w:type="dxa"/>
            <w:vAlign w:val="bottom"/>
            <w:hideMark/>
          </w:tcPr>
          <w:p w14:paraId="046C8C55" w14:textId="7AC4FAA8" w:rsidR="00D1262D" w:rsidRPr="004947ED" w:rsidRDefault="00F26C8E">
            <w:pPr>
              <w:pStyle w:val="JRCText"/>
              <w:rPr>
                <w:rFonts w:ascii="Times New Roman" w:hAnsi="Times New Roman" w:cs="Times New Roman"/>
                <w:noProof/>
                <w:color w:val="000000" w:themeColor="text1"/>
                <w:sz w:val="24"/>
                <w:szCs w:val="24"/>
                <w:lang w:val="en-IE"/>
              </w:rPr>
            </w:pPr>
            <w:r w:rsidRPr="0D4D3719">
              <w:rPr>
                <w:rFonts w:ascii="Times New Roman" w:hAnsi="Times New Roman" w:cs="Times New Roman"/>
                <w:noProof/>
                <w:color w:val="000000" w:themeColor="text1"/>
                <w:sz w:val="24"/>
                <w:szCs w:val="24"/>
              </w:rPr>
              <w:t xml:space="preserve">EUR </w:t>
            </w:r>
            <w:r w:rsidR="1F51D8CD" w:rsidRPr="0D4D3719">
              <w:rPr>
                <w:rFonts w:ascii="Times New Roman" w:hAnsi="Times New Roman" w:cs="Times New Roman"/>
                <w:noProof/>
                <w:color w:val="000000" w:themeColor="text1"/>
                <w:sz w:val="24"/>
                <w:szCs w:val="24"/>
              </w:rPr>
              <w:t>3.</w:t>
            </w:r>
            <w:r w:rsidR="173EC664" w:rsidRPr="0BB9F676">
              <w:rPr>
                <w:rFonts w:ascii="Times New Roman" w:hAnsi="Times New Roman" w:cs="Times New Roman"/>
                <w:noProof/>
                <w:color w:val="000000" w:themeColor="text1"/>
                <w:sz w:val="24"/>
                <w:szCs w:val="24"/>
              </w:rPr>
              <w:t>09</w:t>
            </w:r>
            <w:r w:rsidRPr="0D4D3719">
              <w:rPr>
                <w:rFonts w:ascii="Times New Roman" w:hAnsi="Times New Roman" w:cs="Times New Roman"/>
                <w:noProof/>
                <w:color w:val="000000" w:themeColor="text1"/>
                <w:sz w:val="24"/>
                <w:szCs w:val="24"/>
              </w:rPr>
              <w:t xml:space="preserve"> billion </w:t>
            </w:r>
          </w:p>
        </w:tc>
        <w:tc>
          <w:tcPr>
            <w:tcW w:w="1843" w:type="dxa"/>
            <w:vAlign w:val="bottom"/>
            <w:hideMark/>
          </w:tcPr>
          <w:p w14:paraId="53504BC1" w14:textId="684CB71E" w:rsidR="00D1262D" w:rsidRPr="004947ED" w:rsidRDefault="00F26C8E">
            <w:pPr>
              <w:pStyle w:val="JRCText"/>
              <w:rPr>
                <w:rFonts w:ascii="Times New Roman" w:hAnsi="Times New Roman" w:cs="Times New Roman"/>
                <w:noProof/>
                <w:color w:val="000000" w:themeColor="text1"/>
                <w:sz w:val="24"/>
                <w:szCs w:val="24"/>
                <w:lang w:val="en-IE"/>
              </w:rPr>
            </w:pPr>
            <w:r w:rsidRPr="0D4D3719">
              <w:rPr>
                <w:rFonts w:ascii="Times New Roman" w:hAnsi="Times New Roman" w:cs="Times New Roman"/>
                <w:noProof/>
                <w:color w:val="000000" w:themeColor="text1"/>
                <w:sz w:val="24"/>
                <w:szCs w:val="24"/>
              </w:rPr>
              <w:t xml:space="preserve">EUR </w:t>
            </w:r>
            <w:r w:rsidR="007B526B">
              <w:rPr>
                <w:rFonts w:ascii="Times New Roman" w:hAnsi="Times New Roman" w:cs="Times New Roman"/>
                <w:noProof/>
                <w:color w:val="000000" w:themeColor="text1"/>
                <w:sz w:val="24"/>
                <w:szCs w:val="24"/>
              </w:rPr>
              <w:t>11</w:t>
            </w:r>
            <w:r w:rsidR="00FE5677">
              <w:rPr>
                <w:rFonts w:ascii="Times New Roman" w:hAnsi="Times New Roman" w:cs="Times New Roman"/>
                <w:noProof/>
                <w:color w:val="000000" w:themeColor="text1"/>
                <w:sz w:val="24"/>
                <w:szCs w:val="24"/>
              </w:rPr>
              <w:t>.</w:t>
            </w:r>
            <w:r w:rsidR="000A74B8">
              <w:rPr>
                <w:rFonts w:ascii="Times New Roman" w:hAnsi="Times New Roman" w:cs="Times New Roman"/>
                <w:noProof/>
                <w:color w:val="000000" w:themeColor="text1"/>
                <w:sz w:val="24"/>
                <w:szCs w:val="24"/>
              </w:rPr>
              <w:t xml:space="preserve">27 </w:t>
            </w:r>
            <w:r w:rsidRPr="0D4D3719">
              <w:rPr>
                <w:rFonts w:ascii="Times New Roman" w:hAnsi="Times New Roman" w:cs="Times New Roman"/>
                <w:noProof/>
                <w:color w:val="000000" w:themeColor="text1"/>
                <w:sz w:val="24"/>
                <w:szCs w:val="24"/>
              </w:rPr>
              <w:t xml:space="preserve"> billion </w:t>
            </w:r>
          </w:p>
        </w:tc>
      </w:tr>
      <w:tr w:rsidR="00836EB1" w:rsidRPr="004947ED" w14:paraId="0709BC2D" w14:textId="2AC180FE" w:rsidTr="000D51C0">
        <w:trPr>
          <w:trHeight w:val="300"/>
        </w:trPr>
        <w:tc>
          <w:tcPr>
            <w:tcW w:w="3816" w:type="dxa"/>
            <w:gridSpan w:val="2"/>
          </w:tcPr>
          <w:p w14:paraId="2E3889BF" w14:textId="4457765A" w:rsidR="00836EB1" w:rsidRPr="00961E8C" w:rsidRDefault="00F76D3E" w:rsidP="00C11F95">
            <w:pPr>
              <w:pStyle w:val="JRCText"/>
              <w:rPr>
                <w:rFonts w:ascii="Times New Roman" w:hAnsi="Times New Roman" w:cs="Times New Roman"/>
                <w:i/>
                <w:iCs/>
                <w:noProof/>
                <w:color w:val="000000"/>
                <w:sz w:val="24"/>
                <w:szCs w:val="24"/>
              </w:rPr>
            </w:pPr>
            <w:r w:rsidRPr="00961E8C">
              <w:rPr>
                <w:rFonts w:ascii="Times New Roman" w:hAnsi="Times New Roman" w:cs="Times New Roman"/>
                <w:i/>
                <w:iCs/>
                <w:noProof/>
                <w:color w:val="000000"/>
                <w:sz w:val="24"/>
                <w:szCs w:val="24"/>
              </w:rPr>
              <w:lastRenderedPageBreak/>
              <w:t xml:space="preserve">Subtotal </w:t>
            </w:r>
            <w:r w:rsidR="00624697">
              <w:rPr>
                <w:rFonts w:ascii="Times New Roman" w:hAnsi="Times New Roman" w:cs="Times New Roman"/>
                <w:i/>
                <w:noProof/>
                <w:color w:val="000000"/>
                <w:sz w:val="24"/>
                <w:szCs w:val="24"/>
              </w:rPr>
              <w:t>–</w:t>
            </w:r>
            <w:r w:rsidRPr="00961E8C">
              <w:rPr>
                <w:rFonts w:ascii="Times New Roman" w:hAnsi="Times New Roman" w:cs="Times New Roman"/>
                <w:i/>
                <w:iCs/>
                <w:noProof/>
                <w:color w:val="000000"/>
                <w:sz w:val="24"/>
                <w:szCs w:val="24"/>
              </w:rPr>
              <w:t xml:space="preserve"> automotive</w:t>
            </w:r>
            <w:r w:rsidR="00624697">
              <w:rPr>
                <w:rFonts w:ascii="Times New Roman" w:hAnsi="Times New Roman" w:cs="Times New Roman"/>
                <w:i/>
                <w:noProof/>
                <w:color w:val="000000"/>
                <w:sz w:val="24"/>
                <w:szCs w:val="24"/>
              </w:rPr>
              <w:t xml:space="preserve"> </w:t>
            </w:r>
            <w:r w:rsidR="00624697" w:rsidRPr="000D51C0">
              <w:rPr>
                <w:rFonts w:ascii="Times New Roman" w:hAnsi="Times New Roman" w:cs="Times New Roman"/>
                <w:i/>
                <w:noProof/>
                <w:color w:val="000000"/>
                <w:sz w:val="24"/>
                <w:szCs w:val="24"/>
              </w:rPr>
              <w:t>(LEAD_EII, LEAD_VC, LEAD_BAT)</w:t>
            </w:r>
          </w:p>
        </w:tc>
        <w:tc>
          <w:tcPr>
            <w:tcW w:w="1849" w:type="dxa"/>
            <w:vAlign w:val="bottom"/>
          </w:tcPr>
          <w:p w14:paraId="4A092427" w14:textId="289879A8" w:rsidR="00836EB1" w:rsidRPr="00F03F9B" w:rsidRDefault="00F26C8E" w:rsidP="00C11F95">
            <w:pPr>
              <w:pStyle w:val="JRCText"/>
              <w:rPr>
                <w:rFonts w:ascii="Times New Roman" w:hAnsi="Times New Roman" w:cs="Times New Roman"/>
                <w:noProof/>
                <w:color w:val="000000"/>
                <w:sz w:val="24"/>
                <w:szCs w:val="24"/>
              </w:rPr>
            </w:pPr>
            <w:r w:rsidRPr="0D4D3719">
              <w:rPr>
                <w:rFonts w:ascii="Times New Roman" w:hAnsi="Times New Roman" w:cs="Times New Roman"/>
                <w:noProof/>
                <w:color w:val="000000" w:themeColor="text1"/>
                <w:sz w:val="24"/>
                <w:szCs w:val="24"/>
              </w:rPr>
              <w:t xml:space="preserve">EUR </w:t>
            </w:r>
            <w:r w:rsidR="2D79936B" w:rsidRPr="0D4D3719">
              <w:rPr>
                <w:rFonts w:ascii="Times New Roman" w:hAnsi="Times New Roman" w:cs="Times New Roman"/>
                <w:noProof/>
                <w:color w:val="000000" w:themeColor="text1"/>
                <w:sz w:val="24"/>
                <w:szCs w:val="24"/>
              </w:rPr>
              <w:t>4.</w:t>
            </w:r>
            <w:r w:rsidR="002C5F01">
              <w:rPr>
                <w:rFonts w:ascii="Times New Roman" w:hAnsi="Times New Roman" w:cs="Times New Roman"/>
                <w:noProof/>
                <w:color w:val="000000" w:themeColor="text1"/>
                <w:sz w:val="24"/>
                <w:szCs w:val="24"/>
              </w:rPr>
              <w:t>29</w:t>
            </w:r>
            <w:r w:rsidRPr="0D4D3719">
              <w:rPr>
                <w:rFonts w:ascii="Times New Roman" w:hAnsi="Times New Roman" w:cs="Times New Roman"/>
                <w:noProof/>
                <w:color w:val="000000" w:themeColor="text1"/>
                <w:sz w:val="24"/>
                <w:szCs w:val="24"/>
              </w:rPr>
              <w:t xml:space="preserve"> billion </w:t>
            </w:r>
          </w:p>
        </w:tc>
        <w:tc>
          <w:tcPr>
            <w:tcW w:w="1985" w:type="dxa"/>
            <w:vAlign w:val="bottom"/>
          </w:tcPr>
          <w:p w14:paraId="5BBCB5BF" w14:textId="7EC3403E" w:rsidR="00836EB1" w:rsidRPr="00F03F9B" w:rsidRDefault="00F26C8E" w:rsidP="00C11F95">
            <w:pPr>
              <w:pStyle w:val="JRCText"/>
              <w:rPr>
                <w:rFonts w:ascii="Times New Roman" w:hAnsi="Times New Roman" w:cs="Times New Roman"/>
                <w:noProof/>
                <w:color w:val="000000"/>
                <w:sz w:val="24"/>
                <w:szCs w:val="24"/>
              </w:rPr>
            </w:pPr>
            <w:r w:rsidRPr="0D4D3719">
              <w:rPr>
                <w:rFonts w:ascii="Times New Roman" w:hAnsi="Times New Roman" w:cs="Times New Roman"/>
                <w:noProof/>
                <w:color w:val="000000" w:themeColor="text1"/>
                <w:sz w:val="24"/>
                <w:szCs w:val="24"/>
              </w:rPr>
              <w:t xml:space="preserve">EUR </w:t>
            </w:r>
            <w:r w:rsidR="1DC4B2CF" w:rsidRPr="0D4D3719">
              <w:rPr>
                <w:rFonts w:ascii="Times New Roman" w:hAnsi="Times New Roman" w:cs="Times New Roman"/>
                <w:noProof/>
                <w:color w:val="000000" w:themeColor="text1"/>
                <w:sz w:val="24"/>
                <w:szCs w:val="24"/>
              </w:rPr>
              <w:t>4.</w:t>
            </w:r>
            <w:r w:rsidR="007C32E7">
              <w:rPr>
                <w:rFonts w:ascii="Times New Roman" w:hAnsi="Times New Roman" w:cs="Times New Roman"/>
                <w:noProof/>
                <w:color w:val="000000" w:themeColor="text1"/>
                <w:sz w:val="24"/>
                <w:szCs w:val="24"/>
              </w:rPr>
              <w:t>2</w:t>
            </w:r>
            <w:r w:rsidR="000A74B8">
              <w:rPr>
                <w:rFonts w:ascii="Times New Roman" w:hAnsi="Times New Roman" w:cs="Times New Roman"/>
                <w:noProof/>
                <w:color w:val="000000" w:themeColor="text1"/>
                <w:sz w:val="24"/>
                <w:szCs w:val="24"/>
              </w:rPr>
              <w:t>9</w:t>
            </w:r>
            <w:r w:rsidR="007C32E7">
              <w:rPr>
                <w:rFonts w:ascii="Times New Roman" w:hAnsi="Times New Roman" w:cs="Times New Roman"/>
                <w:noProof/>
                <w:color w:val="000000" w:themeColor="text1"/>
                <w:sz w:val="24"/>
                <w:szCs w:val="24"/>
              </w:rPr>
              <w:t xml:space="preserve"> </w:t>
            </w:r>
            <w:r w:rsidRPr="0D4D3719">
              <w:rPr>
                <w:rFonts w:ascii="Times New Roman" w:hAnsi="Times New Roman" w:cs="Times New Roman"/>
                <w:noProof/>
                <w:color w:val="000000" w:themeColor="text1"/>
                <w:sz w:val="24"/>
                <w:szCs w:val="24"/>
              </w:rPr>
              <w:t xml:space="preserve">billion </w:t>
            </w:r>
          </w:p>
        </w:tc>
        <w:tc>
          <w:tcPr>
            <w:tcW w:w="1843" w:type="dxa"/>
            <w:vAlign w:val="bottom"/>
          </w:tcPr>
          <w:p w14:paraId="71954876" w14:textId="2A72B916" w:rsidR="00836EB1" w:rsidRPr="00F03F9B" w:rsidRDefault="00F26C8E" w:rsidP="00C11F95">
            <w:pPr>
              <w:pStyle w:val="JRCText"/>
              <w:rPr>
                <w:rFonts w:ascii="Times New Roman" w:hAnsi="Times New Roman" w:cs="Times New Roman"/>
                <w:noProof/>
                <w:color w:val="000000"/>
                <w:sz w:val="24"/>
                <w:szCs w:val="24"/>
              </w:rPr>
            </w:pPr>
            <w:r w:rsidRPr="0D4D3719">
              <w:rPr>
                <w:rFonts w:ascii="Times New Roman" w:hAnsi="Times New Roman" w:cs="Times New Roman"/>
                <w:noProof/>
                <w:color w:val="000000" w:themeColor="text1"/>
                <w:sz w:val="24"/>
                <w:szCs w:val="24"/>
              </w:rPr>
              <w:t xml:space="preserve">EUR </w:t>
            </w:r>
            <w:r w:rsidR="00FE5677">
              <w:rPr>
                <w:rFonts w:ascii="Times New Roman" w:hAnsi="Times New Roman" w:cs="Times New Roman"/>
                <w:noProof/>
                <w:color w:val="000000" w:themeColor="text1"/>
                <w:sz w:val="24"/>
                <w:szCs w:val="24"/>
              </w:rPr>
              <w:t>14</w:t>
            </w:r>
            <w:r w:rsidR="00CA5BD9">
              <w:rPr>
                <w:rFonts w:ascii="Times New Roman" w:hAnsi="Times New Roman" w:cs="Times New Roman"/>
                <w:noProof/>
                <w:color w:val="000000" w:themeColor="text1"/>
                <w:sz w:val="24"/>
                <w:szCs w:val="24"/>
              </w:rPr>
              <w:t>.04</w:t>
            </w:r>
            <w:r w:rsidRPr="0D4D3719">
              <w:rPr>
                <w:rFonts w:ascii="Times New Roman" w:hAnsi="Times New Roman" w:cs="Times New Roman"/>
                <w:noProof/>
                <w:color w:val="000000" w:themeColor="text1"/>
                <w:sz w:val="24"/>
                <w:szCs w:val="24"/>
              </w:rPr>
              <w:t xml:space="preserve"> billion </w:t>
            </w:r>
          </w:p>
        </w:tc>
      </w:tr>
      <w:tr w:rsidR="00F26C8E" w:rsidRPr="004947ED" w14:paraId="76C094D4" w14:textId="77777777" w:rsidTr="000D51C0">
        <w:trPr>
          <w:trHeight w:val="300"/>
        </w:trPr>
        <w:tc>
          <w:tcPr>
            <w:tcW w:w="2405" w:type="dxa"/>
          </w:tcPr>
          <w:p w14:paraId="2DA98709" w14:textId="7D827337" w:rsidR="00544402" w:rsidRDefault="00544402" w:rsidP="00544402">
            <w:pPr>
              <w:pStyle w:val="JRCText"/>
              <w:rPr>
                <w:rFonts w:ascii="Times New Roman" w:eastAsia="Aptos" w:hAnsi="Times New Roman" w:cs="Times New Roman"/>
                <w:i/>
                <w:noProof/>
                <w:sz w:val="24"/>
                <w:szCs w:val="24"/>
                <w:lang w:val="en-US"/>
              </w:rPr>
            </w:pPr>
            <w:r>
              <w:rPr>
                <w:rFonts w:ascii="Times New Roman" w:eastAsia="Aptos" w:hAnsi="Times New Roman" w:cs="Times New Roman"/>
                <w:i/>
                <w:noProof/>
                <w:sz w:val="24"/>
                <w:szCs w:val="24"/>
                <w:lang w:val="en-US"/>
              </w:rPr>
              <w:t>Construction</w:t>
            </w:r>
          </w:p>
        </w:tc>
        <w:tc>
          <w:tcPr>
            <w:tcW w:w="1411" w:type="dxa"/>
          </w:tcPr>
          <w:p w14:paraId="5BAE3F62" w14:textId="759E75B3" w:rsidR="00544402" w:rsidRPr="00F03F9B" w:rsidRDefault="00544402" w:rsidP="00544402">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Citizens &amp; business</w:t>
            </w:r>
          </w:p>
        </w:tc>
        <w:tc>
          <w:tcPr>
            <w:tcW w:w="1849" w:type="dxa"/>
            <w:vAlign w:val="bottom"/>
          </w:tcPr>
          <w:p w14:paraId="46C267A5" w14:textId="19741AF7" w:rsidR="00544402" w:rsidRPr="00F03F9B" w:rsidRDefault="00F26C8E" w:rsidP="00544402">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EUR</w:t>
            </w:r>
            <w:r w:rsidR="0032424D">
              <w:rPr>
                <w:rFonts w:ascii="Times New Roman" w:hAnsi="Times New Roman" w:cs="Times New Roman"/>
                <w:noProof/>
                <w:color w:val="000000"/>
                <w:sz w:val="24"/>
                <w:szCs w:val="24"/>
              </w:rPr>
              <w:t xml:space="preserve"> </w:t>
            </w:r>
            <w:r w:rsidR="000E6506">
              <w:rPr>
                <w:rFonts w:ascii="Times New Roman" w:hAnsi="Times New Roman" w:cs="Times New Roman"/>
                <w:noProof/>
                <w:color w:val="000000"/>
                <w:sz w:val="24"/>
                <w:szCs w:val="24"/>
              </w:rPr>
              <w:t>691 million</w:t>
            </w:r>
          </w:p>
        </w:tc>
        <w:tc>
          <w:tcPr>
            <w:tcW w:w="1985" w:type="dxa"/>
            <w:vAlign w:val="bottom"/>
          </w:tcPr>
          <w:p w14:paraId="2B0F0500" w14:textId="08B2E1C8" w:rsidR="00544402" w:rsidRPr="00F03F9B" w:rsidRDefault="219C97C5" w:rsidP="00544402">
            <w:pPr>
              <w:pStyle w:val="JRCText"/>
              <w:rPr>
                <w:rFonts w:ascii="Times New Roman" w:hAnsi="Times New Roman" w:cs="Times New Roman"/>
                <w:noProof/>
                <w:color w:val="000000"/>
                <w:sz w:val="24"/>
                <w:szCs w:val="24"/>
              </w:rPr>
            </w:pPr>
            <w:r w:rsidRPr="1A2A8689">
              <w:rPr>
                <w:rFonts w:ascii="Times New Roman" w:hAnsi="Times New Roman" w:cs="Times New Roman"/>
                <w:noProof/>
                <w:color w:val="000000" w:themeColor="text1"/>
                <w:sz w:val="24"/>
                <w:szCs w:val="24"/>
              </w:rPr>
              <w:t>EUR</w:t>
            </w:r>
            <w:r w:rsidR="008C7BE2">
              <w:rPr>
                <w:rFonts w:ascii="Times New Roman" w:hAnsi="Times New Roman" w:cs="Times New Roman"/>
                <w:noProof/>
                <w:color w:val="000000" w:themeColor="text1"/>
                <w:sz w:val="24"/>
                <w:szCs w:val="24"/>
              </w:rPr>
              <w:t xml:space="preserve"> </w:t>
            </w:r>
            <w:r w:rsidR="000E6506">
              <w:rPr>
                <w:rFonts w:ascii="Times New Roman" w:hAnsi="Times New Roman" w:cs="Times New Roman"/>
                <w:noProof/>
                <w:color w:val="000000" w:themeColor="text1"/>
                <w:sz w:val="24"/>
                <w:szCs w:val="24"/>
              </w:rPr>
              <w:t xml:space="preserve">691 million </w:t>
            </w:r>
          </w:p>
        </w:tc>
        <w:tc>
          <w:tcPr>
            <w:tcW w:w="1843" w:type="dxa"/>
            <w:vAlign w:val="bottom"/>
          </w:tcPr>
          <w:p w14:paraId="7A3FA597" w14:textId="3EF6E7E9" w:rsidR="00544402" w:rsidRPr="00F03F9B" w:rsidRDefault="00F26C8E" w:rsidP="00544402">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 xml:space="preserve">EUR </w:t>
            </w:r>
            <w:r w:rsidR="00152B40">
              <w:rPr>
                <w:rFonts w:ascii="Times New Roman" w:hAnsi="Times New Roman" w:cs="Times New Roman"/>
                <w:noProof/>
                <w:color w:val="000000"/>
                <w:sz w:val="24"/>
                <w:szCs w:val="24"/>
              </w:rPr>
              <w:t>16</w:t>
            </w:r>
            <w:r w:rsidR="00CA5BD9">
              <w:rPr>
                <w:rFonts w:ascii="Times New Roman" w:hAnsi="Times New Roman" w:cs="Times New Roman"/>
                <w:noProof/>
                <w:color w:val="000000"/>
                <w:sz w:val="24"/>
                <w:szCs w:val="24"/>
              </w:rPr>
              <w:t>.2</w:t>
            </w:r>
            <w:r w:rsidR="00361DA4">
              <w:rPr>
                <w:rFonts w:ascii="Times New Roman" w:hAnsi="Times New Roman" w:cs="Times New Roman"/>
                <w:noProof/>
                <w:color w:val="000000"/>
                <w:sz w:val="24"/>
                <w:szCs w:val="24"/>
              </w:rPr>
              <w:t>3</w:t>
            </w:r>
            <w:r w:rsidR="00152B40">
              <w:rPr>
                <w:rFonts w:ascii="Times New Roman" w:hAnsi="Times New Roman" w:cs="Times New Roman"/>
                <w:noProof/>
                <w:color w:val="000000"/>
                <w:sz w:val="24"/>
                <w:szCs w:val="24"/>
              </w:rPr>
              <w:t xml:space="preserve"> </w:t>
            </w:r>
            <w:r w:rsidRPr="00F03F9B">
              <w:rPr>
                <w:rFonts w:ascii="Times New Roman" w:hAnsi="Times New Roman" w:cs="Times New Roman"/>
                <w:noProof/>
                <w:color w:val="000000"/>
                <w:sz w:val="24"/>
                <w:szCs w:val="24"/>
              </w:rPr>
              <w:t xml:space="preserve">billion </w:t>
            </w:r>
          </w:p>
        </w:tc>
      </w:tr>
      <w:tr w:rsidR="006E5A1B" w:rsidRPr="004947ED" w14:paraId="05D93EB2" w14:textId="77777777" w:rsidTr="000D51C0">
        <w:trPr>
          <w:trHeight w:val="300"/>
        </w:trPr>
        <w:tc>
          <w:tcPr>
            <w:tcW w:w="2405" w:type="dxa"/>
          </w:tcPr>
          <w:p w14:paraId="0AC8B01B" w14:textId="11FD96C9" w:rsidR="006E5A1B" w:rsidRDefault="00F53403" w:rsidP="00544402">
            <w:pPr>
              <w:pStyle w:val="JRCText"/>
              <w:rPr>
                <w:rFonts w:ascii="Times New Roman" w:eastAsia="Aptos" w:hAnsi="Times New Roman" w:cs="Times New Roman"/>
                <w:i/>
                <w:noProof/>
                <w:sz w:val="24"/>
                <w:szCs w:val="24"/>
                <w:lang w:val="en-US"/>
              </w:rPr>
            </w:pPr>
            <w:r>
              <w:rPr>
                <w:rFonts w:ascii="Times New Roman" w:eastAsia="Aptos" w:hAnsi="Times New Roman" w:cs="Times New Roman"/>
                <w:i/>
                <w:noProof/>
                <w:sz w:val="24"/>
                <w:szCs w:val="24"/>
                <w:lang w:val="en-US"/>
              </w:rPr>
              <w:t>Electricity</w:t>
            </w:r>
          </w:p>
        </w:tc>
        <w:tc>
          <w:tcPr>
            <w:tcW w:w="1411" w:type="dxa"/>
          </w:tcPr>
          <w:p w14:paraId="5018B9EC" w14:textId="66F27400" w:rsidR="006E5A1B" w:rsidRPr="00F03F9B" w:rsidRDefault="0000552C" w:rsidP="00544402">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Citizens</w:t>
            </w:r>
          </w:p>
        </w:tc>
        <w:tc>
          <w:tcPr>
            <w:tcW w:w="1849" w:type="dxa"/>
            <w:vAlign w:val="bottom"/>
          </w:tcPr>
          <w:p w14:paraId="5FA182D3" w14:textId="3DA4F92A" w:rsidR="006E5A1B" w:rsidRPr="00F03F9B" w:rsidRDefault="00690FF3" w:rsidP="00544402">
            <w:pPr>
              <w:pStyle w:val="JRCText"/>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EUR </w:t>
            </w:r>
            <w:r w:rsidR="00FC7743">
              <w:rPr>
                <w:rFonts w:ascii="Times New Roman" w:hAnsi="Times New Roman" w:cs="Times New Roman"/>
                <w:noProof/>
                <w:color w:val="000000"/>
                <w:sz w:val="24"/>
                <w:szCs w:val="24"/>
              </w:rPr>
              <w:t xml:space="preserve">242 </w:t>
            </w:r>
            <w:r w:rsidR="007D469B">
              <w:rPr>
                <w:rFonts w:ascii="Times New Roman" w:hAnsi="Times New Roman" w:cs="Times New Roman"/>
                <w:noProof/>
                <w:color w:val="000000"/>
                <w:sz w:val="24"/>
                <w:szCs w:val="24"/>
              </w:rPr>
              <w:t>million</w:t>
            </w:r>
          </w:p>
        </w:tc>
        <w:tc>
          <w:tcPr>
            <w:tcW w:w="1985" w:type="dxa"/>
            <w:vAlign w:val="bottom"/>
          </w:tcPr>
          <w:p w14:paraId="5224CEAA" w14:textId="321C282F" w:rsidR="006E5A1B" w:rsidRPr="00F03F9B" w:rsidRDefault="007D469B" w:rsidP="00544402">
            <w:pPr>
              <w:pStyle w:val="JRCText"/>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EUR </w:t>
            </w:r>
            <w:r w:rsidR="00FC7743">
              <w:rPr>
                <w:rFonts w:ascii="Times New Roman" w:hAnsi="Times New Roman" w:cs="Times New Roman"/>
                <w:noProof/>
                <w:color w:val="000000"/>
                <w:sz w:val="24"/>
                <w:szCs w:val="24"/>
              </w:rPr>
              <w:t xml:space="preserve"> 242 </w:t>
            </w:r>
            <w:r w:rsidRPr="000D51C0">
              <w:rPr>
                <w:rFonts w:ascii="Times New Roman" w:hAnsi="Times New Roman" w:cs="Times New Roman"/>
                <w:noProof/>
                <w:color w:val="000000" w:themeColor="text1"/>
                <w:sz w:val="24"/>
                <w:szCs w:val="24"/>
              </w:rPr>
              <w:t>million</w:t>
            </w:r>
          </w:p>
        </w:tc>
        <w:tc>
          <w:tcPr>
            <w:tcW w:w="1843" w:type="dxa"/>
            <w:vAlign w:val="bottom"/>
          </w:tcPr>
          <w:p w14:paraId="69192CD1" w14:textId="7A65BC97" w:rsidR="006E5A1B" w:rsidRPr="00F03F9B" w:rsidRDefault="007D469B" w:rsidP="00544402">
            <w:pPr>
              <w:pStyle w:val="JRCText"/>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EUR </w:t>
            </w:r>
            <w:r w:rsidR="00F0567B">
              <w:rPr>
                <w:rFonts w:ascii="Times New Roman" w:hAnsi="Times New Roman" w:cs="Times New Roman"/>
                <w:noProof/>
                <w:color w:val="000000"/>
                <w:sz w:val="24"/>
                <w:szCs w:val="24"/>
              </w:rPr>
              <w:t>1.57</w:t>
            </w:r>
            <w:r>
              <w:rPr>
                <w:rFonts w:ascii="Times New Roman" w:hAnsi="Times New Roman" w:cs="Times New Roman"/>
                <w:noProof/>
                <w:color w:val="000000"/>
                <w:sz w:val="24"/>
                <w:szCs w:val="24"/>
              </w:rPr>
              <w:t xml:space="preserve"> </w:t>
            </w:r>
            <w:r w:rsidR="00F0567B">
              <w:rPr>
                <w:rFonts w:ascii="Times New Roman" w:hAnsi="Times New Roman" w:cs="Times New Roman"/>
                <w:noProof/>
                <w:color w:val="000000"/>
                <w:sz w:val="24"/>
                <w:szCs w:val="24"/>
              </w:rPr>
              <w:t>b</w:t>
            </w:r>
            <w:r>
              <w:rPr>
                <w:rFonts w:ascii="Times New Roman" w:hAnsi="Times New Roman" w:cs="Times New Roman"/>
                <w:noProof/>
                <w:color w:val="000000"/>
                <w:sz w:val="24"/>
                <w:szCs w:val="24"/>
              </w:rPr>
              <w:t>illion</w:t>
            </w:r>
          </w:p>
        </w:tc>
      </w:tr>
    </w:tbl>
    <w:p w14:paraId="0E8AE6C6" w14:textId="77777777" w:rsidR="00A75B7E" w:rsidRDefault="00A75B7E" w:rsidP="00A75B7E">
      <w:pPr>
        <w:pStyle w:val="JRCText"/>
        <w:jc w:val="both"/>
        <w:rPr>
          <w:rFonts w:ascii="Times New Roman" w:hAnsi="Times New Roman" w:cs="Times New Roman"/>
          <w:b/>
          <w:noProof/>
          <w:color w:val="000000" w:themeColor="text1"/>
          <w:sz w:val="24"/>
          <w:szCs w:val="24"/>
        </w:rPr>
      </w:pPr>
    </w:p>
    <w:p w14:paraId="01C402FD" w14:textId="488E6121" w:rsidR="00A75B7E" w:rsidRDefault="6CF5E724" w:rsidP="00A75B7E">
      <w:pPr>
        <w:pStyle w:val="JRCText"/>
        <w:jc w:val="both"/>
        <w:rPr>
          <w:rFonts w:ascii="Times New Roman" w:hAnsi="Times New Roman" w:cs="Times New Roman"/>
          <w:b/>
          <w:noProof/>
          <w:color w:val="000000" w:themeColor="text1"/>
          <w:sz w:val="24"/>
          <w:szCs w:val="24"/>
        </w:rPr>
      </w:pPr>
      <w:r w:rsidRPr="3F0F1197">
        <w:rPr>
          <w:rFonts w:ascii="Times New Roman" w:hAnsi="Times New Roman" w:cs="Times New Roman"/>
          <w:b/>
          <w:bCs/>
          <w:noProof/>
          <w:color w:val="000000" w:themeColor="text1"/>
          <w:sz w:val="24"/>
          <w:szCs w:val="24"/>
        </w:rPr>
        <w:t>Cumulative adjustment costs for downstream sector</w:t>
      </w:r>
      <w:r w:rsidR="00A75B7E">
        <w:rPr>
          <w:rStyle w:val="FootnoteReference"/>
          <w:rFonts w:ascii="Times New Roman" w:hAnsi="Times New Roman" w:cs="Times New Roman"/>
          <w:b/>
          <w:noProof/>
          <w:color w:val="000000" w:themeColor="text1"/>
          <w:sz w:val="24"/>
          <w:szCs w:val="24"/>
        </w:rPr>
        <w:footnoteReference w:id="297"/>
      </w:r>
      <w:r w:rsidRPr="3F0F1197">
        <w:rPr>
          <w:rFonts w:ascii="Times New Roman" w:hAnsi="Times New Roman" w:cs="Times New Roman"/>
          <w:b/>
          <w:bCs/>
          <w:noProof/>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3"/>
        <w:gridCol w:w="2093"/>
        <w:gridCol w:w="2391"/>
        <w:gridCol w:w="2621"/>
      </w:tblGrid>
      <w:tr w:rsidR="00AB5A91" w:rsidRPr="004947ED" w14:paraId="58435FC6" w14:textId="77777777" w:rsidTr="003B5854">
        <w:trPr>
          <w:trHeight w:val="300"/>
        </w:trPr>
        <w:tc>
          <w:tcPr>
            <w:tcW w:w="1256" w:type="pct"/>
            <w:tcBorders>
              <w:bottom w:val="single" w:sz="4" w:space="0" w:color="auto"/>
            </w:tcBorders>
            <w:hideMark/>
          </w:tcPr>
          <w:p w14:paraId="57B35B35" w14:textId="77777777" w:rsidR="00A75B7E" w:rsidRPr="004947ED" w:rsidRDefault="00A75B7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i/>
                <w:iCs/>
                <w:noProof/>
                <w:color w:val="000000" w:themeColor="text1"/>
                <w:sz w:val="24"/>
                <w:szCs w:val="24"/>
                <w:lang w:val="en-IE"/>
              </w:rPr>
              <w:t>Downstream sector</w:t>
            </w:r>
            <w:r w:rsidRPr="004947ED">
              <w:rPr>
                <w:rFonts w:ascii="Times New Roman" w:eastAsia="Times New Roman" w:hAnsi="Times New Roman" w:cs="Times New Roman"/>
                <w:bCs/>
                <w:noProof/>
                <w:color w:val="000000" w:themeColor="text1"/>
                <w:sz w:val="24"/>
                <w:szCs w:val="24"/>
                <w:lang w:val="en-IE"/>
              </w:rPr>
              <w:t> </w:t>
            </w:r>
          </w:p>
        </w:tc>
        <w:tc>
          <w:tcPr>
            <w:tcW w:w="1103" w:type="pct"/>
            <w:tcBorders>
              <w:bottom w:val="single" w:sz="4" w:space="0" w:color="auto"/>
            </w:tcBorders>
            <w:shd w:val="clear" w:color="auto" w:fill="215E99" w:themeFill="text2" w:themeFillTint="BF"/>
            <w:hideMark/>
          </w:tcPr>
          <w:p w14:paraId="16BEDC0C" w14:textId="77777777" w:rsidR="00A75B7E" w:rsidRPr="004947ED" w:rsidRDefault="00A75B7E">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PO1 </w:t>
            </w:r>
          </w:p>
        </w:tc>
        <w:tc>
          <w:tcPr>
            <w:tcW w:w="1260" w:type="pct"/>
            <w:tcBorders>
              <w:bottom w:val="single" w:sz="4" w:space="0" w:color="auto"/>
            </w:tcBorders>
            <w:shd w:val="clear" w:color="auto" w:fill="215E99" w:themeFill="text2" w:themeFillTint="BF"/>
            <w:hideMark/>
          </w:tcPr>
          <w:p w14:paraId="330C7008" w14:textId="77777777" w:rsidR="00A75B7E" w:rsidRPr="004947ED" w:rsidRDefault="00A75B7E">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PO2 </w:t>
            </w:r>
          </w:p>
        </w:tc>
        <w:tc>
          <w:tcPr>
            <w:tcW w:w="1382" w:type="pct"/>
            <w:tcBorders>
              <w:bottom w:val="single" w:sz="4" w:space="0" w:color="auto"/>
            </w:tcBorders>
            <w:shd w:val="clear" w:color="auto" w:fill="215E99" w:themeFill="text2" w:themeFillTint="BF"/>
            <w:hideMark/>
          </w:tcPr>
          <w:p w14:paraId="7F32BB2B" w14:textId="77777777" w:rsidR="00A75B7E" w:rsidRPr="004947ED" w:rsidRDefault="00A75B7E">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PO3 </w:t>
            </w:r>
          </w:p>
        </w:tc>
      </w:tr>
      <w:tr w:rsidR="00AB5A91" w:rsidRPr="004947ED" w14:paraId="024ABB07" w14:textId="77777777" w:rsidTr="003B5854">
        <w:trPr>
          <w:trHeight w:val="618"/>
        </w:trPr>
        <w:tc>
          <w:tcPr>
            <w:tcW w:w="1256" w:type="pct"/>
            <w:tcBorders>
              <w:top w:val="single" w:sz="4" w:space="0" w:color="auto"/>
              <w:bottom w:val="single" w:sz="4" w:space="0" w:color="auto"/>
              <w:right w:val="single" w:sz="4" w:space="0" w:color="auto"/>
            </w:tcBorders>
            <w:hideMark/>
          </w:tcPr>
          <w:p w14:paraId="2BBE1236" w14:textId="3ECAE5E8" w:rsidR="00A75B7E" w:rsidRPr="00F03F9B" w:rsidRDefault="00A75B7E">
            <w:pPr>
              <w:pStyle w:val="JRCText"/>
              <w:rPr>
                <w:rFonts w:ascii="Times New Roman" w:eastAsia="Times New Roman" w:hAnsi="Times New Roman" w:cs="Times New Roman"/>
                <w:bCs/>
                <w:i/>
                <w:noProof/>
                <w:color w:val="000000" w:themeColor="text1"/>
                <w:sz w:val="24"/>
                <w:szCs w:val="24"/>
                <w:lang w:val="en-IE"/>
              </w:rPr>
            </w:pPr>
            <w:r w:rsidRPr="00F03F9B">
              <w:rPr>
                <w:rFonts w:ascii="Times New Roman" w:eastAsia="Aptos" w:hAnsi="Times New Roman" w:cs="Times New Roman"/>
                <w:i/>
                <w:noProof/>
                <w:sz w:val="24"/>
                <w:szCs w:val="24"/>
                <w:lang w:val="en-US"/>
              </w:rPr>
              <w:t>Automotive</w:t>
            </w:r>
            <w:r w:rsidR="008D269E">
              <w:rPr>
                <w:rFonts w:ascii="Times New Roman" w:eastAsia="Aptos" w:hAnsi="Times New Roman" w:cs="Times New Roman"/>
                <w:i/>
                <w:noProof/>
                <w:sz w:val="24"/>
                <w:szCs w:val="24"/>
                <w:lang w:val="en-US"/>
              </w:rPr>
              <w:t xml:space="preserve"> (</w:t>
            </w:r>
            <w:r w:rsidR="008D269E" w:rsidRPr="008D269E">
              <w:rPr>
                <w:rFonts w:ascii="Times New Roman" w:eastAsia="Aptos" w:hAnsi="Times New Roman" w:cs="Times New Roman"/>
                <w:i/>
                <w:noProof/>
                <w:sz w:val="24"/>
                <w:szCs w:val="24"/>
                <w:lang w:val="en-US"/>
              </w:rPr>
              <w:t>LEAD_EII, LEAD_VC, LEAD_BAT</w:t>
            </w:r>
            <w:r w:rsidR="008D269E">
              <w:rPr>
                <w:rFonts w:ascii="Times New Roman" w:eastAsia="Aptos" w:hAnsi="Times New Roman" w:cs="Times New Roman"/>
                <w:i/>
                <w:noProof/>
                <w:sz w:val="24"/>
                <w:szCs w:val="24"/>
                <w:lang w:val="en-US"/>
              </w:rPr>
              <w:t>)</w:t>
            </w:r>
          </w:p>
        </w:tc>
        <w:tc>
          <w:tcPr>
            <w:tcW w:w="1103" w:type="pct"/>
            <w:tcBorders>
              <w:top w:val="single" w:sz="4" w:space="0" w:color="auto"/>
              <w:left w:val="single" w:sz="4" w:space="0" w:color="auto"/>
              <w:bottom w:val="single" w:sz="4" w:space="0" w:color="auto"/>
              <w:right w:val="single" w:sz="4" w:space="0" w:color="auto"/>
            </w:tcBorders>
            <w:vAlign w:val="bottom"/>
            <w:hideMark/>
          </w:tcPr>
          <w:p w14:paraId="35CD6EF2" w14:textId="11ADCD39" w:rsidR="00A75B7E" w:rsidRPr="00F03F9B" w:rsidRDefault="00A75B7E">
            <w:pPr>
              <w:pStyle w:val="JRCText"/>
              <w:rPr>
                <w:rFonts w:ascii="Times New Roman" w:hAnsi="Times New Roman" w:cs="Times New Roman"/>
                <w:noProof/>
                <w:color w:val="000000" w:themeColor="text1"/>
                <w:sz w:val="24"/>
                <w:szCs w:val="24"/>
                <w:lang w:val="en-IE"/>
              </w:rPr>
            </w:pPr>
            <w:r w:rsidRPr="1FA04443">
              <w:rPr>
                <w:rFonts w:ascii="Times New Roman" w:hAnsi="Times New Roman" w:cs="Times New Roman"/>
                <w:noProof/>
                <w:color w:val="000000" w:themeColor="text1"/>
                <w:sz w:val="24"/>
                <w:szCs w:val="24"/>
              </w:rPr>
              <w:t>EUR 4.</w:t>
            </w:r>
            <w:r w:rsidR="00FF200D">
              <w:rPr>
                <w:rFonts w:ascii="Times New Roman" w:hAnsi="Times New Roman" w:cs="Times New Roman"/>
                <w:noProof/>
                <w:color w:val="000000" w:themeColor="text1"/>
                <w:sz w:val="24"/>
                <w:szCs w:val="24"/>
              </w:rPr>
              <w:t>4</w:t>
            </w:r>
            <w:r w:rsidR="00B67591">
              <w:rPr>
                <w:rFonts w:ascii="Times New Roman" w:hAnsi="Times New Roman" w:cs="Times New Roman"/>
                <w:noProof/>
                <w:color w:val="000000" w:themeColor="text1"/>
                <w:sz w:val="24"/>
                <w:szCs w:val="24"/>
              </w:rPr>
              <w:t>1</w:t>
            </w:r>
            <w:r w:rsidR="00DB2BC3">
              <w:rPr>
                <w:rFonts w:ascii="Times New Roman" w:hAnsi="Times New Roman" w:cs="Times New Roman"/>
                <w:noProof/>
                <w:color w:val="000000" w:themeColor="text1"/>
                <w:sz w:val="24"/>
                <w:szCs w:val="24"/>
              </w:rPr>
              <w:t xml:space="preserve"> </w:t>
            </w:r>
            <w:r w:rsidRPr="1FA04443">
              <w:rPr>
                <w:rFonts w:ascii="Times New Roman" w:hAnsi="Times New Roman" w:cs="Times New Roman"/>
                <w:noProof/>
                <w:color w:val="000000" w:themeColor="text1"/>
                <w:sz w:val="24"/>
                <w:szCs w:val="24"/>
              </w:rPr>
              <w:t xml:space="preserve">billion </w:t>
            </w:r>
          </w:p>
        </w:tc>
        <w:tc>
          <w:tcPr>
            <w:tcW w:w="1260" w:type="pct"/>
            <w:tcBorders>
              <w:top w:val="single" w:sz="4" w:space="0" w:color="auto"/>
              <w:left w:val="single" w:sz="4" w:space="0" w:color="auto"/>
              <w:bottom w:val="single" w:sz="4" w:space="0" w:color="auto"/>
              <w:right w:val="single" w:sz="4" w:space="0" w:color="auto"/>
            </w:tcBorders>
            <w:vAlign w:val="bottom"/>
            <w:hideMark/>
          </w:tcPr>
          <w:p w14:paraId="2525FEC6" w14:textId="063A3071" w:rsidR="00A75B7E" w:rsidRPr="00337BEF" w:rsidRDefault="00A75B7E" w:rsidP="1FA04443">
            <w:pPr>
              <w:pStyle w:val="JRCText"/>
              <w:rPr>
                <w:rFonts w:ascii="Times New Roman" w:eastAsia="Times New Roman" w:hAnsi="Times New Roman" w:cs="Times New Roman"/>
                <w:noProof/>
                <w:color w:val="000000" w:themeColor="text1"/>
                <w:sz w:val="24"/>
                <w:szCs w:val="24"/>
                <w:lang w:val="en-IE"/>
              </w:rPr>
            </w:pPr>
            <w:r w:rsidRPr="1FA04443">
              <w:rPr>
                <w:rFonts w:ascii="Times New Roman" w:hAnsi="Times New Roman" w:cs="Times New Roman"/>
                <w:noProof/>
                <w:color w:val="000000" w:themeColor="text1"/>
                <w:sz w:val="24"/>
                <w:szCs w:val="24"/>
              </w:rPr>
              <w:t xml:space="preserve">EUR </w:t>
            </w:r>
            <w:r w:rsidR="613234AD" w:rsidRPr="52D9A133">
              <w:rPr>
                <w:rFonts w:ascii="Times New Roman" w:hAnsi="Times New Roman" w:cs="Times New Roman"/>
                <w:noProof/>
                <w:color w:val="000000" w:themeColor="text1"/>
                <w:sz w:val="24"/>
                <w:szCs w:val="24"/>
              </w:rPr>
              <w:t>4.</w:t>
            </w:r>
            <w:r w:rsidR="00D07974">
              <w:rPr>
                <w:rFonts w:ascii="Times New Roman" w:hAnsi="Times New Roman" w:cs="Times New Roman"/>
                <w:noProof/>
                <w:color w:val="000000" w:themeColor="text1"/>
                <w:sz w:val="24"/>
                <w:szCs w:val="24"/>
              </w:rPr>
              <w:t>4</w:t>
            </w:r>
            <w:r w:rsidR="00B67591">
              <w:rPr>
                <w:rFonts w:ascii="Times New Roman" w:hAnsi="Times New Roman" w:cs="Times New Roman"/>
                <w:noProof/>
                <w:color w:val="000000" w:themeColor="text1"/>
                <w:sz w:val="24"/>
                <w:szCs w:val="24"/>
              </w:rPr>
              <w:t>1</w:t>
            </w:r>
            <w:r w:rsidR="00D07974">
              <w:rPr>
                <w:rFonts w:ascii="Times New Roman" w:hAnsi="Times New Roman" w:cs="Times New Roman"/>
                <w:noProof/>
                <w:color w:val="000000" w:themeColor="text1"/>
                <w:sz w:val="24"/>
                <w:szCs w:val="24"/>
              </w:rPr>
              <w:t xml:space="preserve"> </w:t>
            </w:r>
            <w:r w:rsidRPr="1FA04443">
              <w:rPr>
                <w:rFonts w:ascii="Times New Roman" w:hAnsi="Times New Roman" w:cs="Times New Roman"/>
                <w:noProof/>
                <w:color w:val="000000" w:themeColor="text1"/>
                <w:sz w:val="24"/>
                <w:szCs w:val="24"/>
              </w:rPr>
              <w:t xml:space="preserve">billion </w:t>
            </w:r>
          </w:p>
        </w:tc>
        <w:tc>
          <w:tcPr>
            <w:tcW w:w="1382" w:type="pct"/>
            <w:tcBorders>
              <w:top w:val="single" w:sz="4" w:space="0" w:color="auto"/>
              <w:left w:val="single" w:sz="4" w:space="0" w:color="auto"/>
              <w:bottom w:val="single" w:sz="4" w:space="0" w:color="auto"/>
              <w:right w:val="single" w:sz="4" w:space="0" w:color="auto"/>
            </w:tcBorders>
            <w:vAlign w:val="bottom"/>
            <w:hideMark/>
          </w:tcPr>
          <w:p w14:paraId="3DABC8FF" w14:textId="0DFCC5DF" w:rsidR="00A75B7E" w:rsidRPr="00F03F9B" w:rsidRDefault="00A75B7E" w:rsidP="1FA04443">
            <w:pPr>
              <w:pStyle w:val="JRCText"/>
              <w:rPr>
                <w:rFonts w:ascii="Times New Roman" w:hAnsi="Times New Roman" w:cs="Times New Roman"/>
                <w:noProof/>
                <w:color w:val="000000" w:themeColor="text1"/>
                <w:sz w:val="24"/>
                <w:szCs w:val="24"/>
                <w:lang w:val="en-IE"/>
              </w:rPr>
            </w:pPr>
            <w:r w:rsidRPr="1FA04443">
              <w:rPr>
                <w:rFonts w:ascii="Times New Roman" w:hAnsi="Times New Roman" w:cs="Times New Roman"/>
                <w:noProof/>
                <w:color w:val="000000" w:themeColor="text1"/>
                <w:sz w:val="24"/>
                <w:szCs w:val="24"/>
              </w:rPr>
              <w:t xml:space="preserve">EUR </w:t>
            </w:r>
            <w:r w:rsidR="00833771">
              <w:rPr>
                <w:rFonts w:ascii="Times New Roman" w:hAnsi="Times New Roman" w:cs="Times New Roman"/>
                <w:noProof/>
                <w:color w:val="000000" w:themeColor="text1"/>
                <w:sz w:val="24"/>
                <w:szCs w:val="24"/>
              </w:rPr>
              <w:t>14</w:t>
            </w:r>
            <w:r w:rsidR="000F1D26">
              <w:rPr>
                <w:rFonts w:ascii="Times New Roman" w:hAnsi="Times New Roman" w:cs="Times New Roman"/>
                <w:noProof/>
                <w:color w:val="000000" w:themeColor="text1"/>
                <w:sz w:val="24"/>
                <w:szCs w:val="24"/>
              </w:rPr>
              <w:t>.2</w:t>
            </w:r>
            <w:r w:rsidR="00B67591">
              <w:rPr>
                <w:rFonts w:ascii="Times New Roman" w:hAnsi="Times New Roman" w:cs="Times New Roman"/>
                <w:noProof/>
                <w:color w:val="000000" w:themeColor="text1"/>
                <w:sz w:val="24"/>
                <w:szCs w:val="24"/>
              </w:rPr>
              <w:t>0</w:t>
            </w:r>
            <w:r w:rsidR="00833771">
              <w:rPr>
                <w:rFonts w:ascii="Times New Roman" w:hAnsi="Times New Roman" w:cs="Times New Roman"/>
                <w:noProof/>
                <w:color w:val="000000" w:themeColor="text1"/>
                <w:sz w:val="24"/>
                <w:szCs w:val="24"/>
              </w:rPr>
              <w:t xml:space="preserve"> billion</w:t>
            </w:r>
            <w:r w:rsidR="00C36BBF">
              <w:rPr>
                <w:rFonts w:ascii="Times New Roman" w:hAnsi="Times New Roman" w:cs="Times New Roman"/>
                <w:noProof/>
                <w:color w:val="000000" w:themeColor="text1"/>
                <w:sz w:val="24"/>
                <w:szCs w:val="24"/>
              </w:rPr>
              <w:t xml:space="preserve"> </w:t>
            </w:r>
          </w:p>
        </w:tc>
      </w:tr>
      <w:tr w:rsidR="00AB5A91" w:rsidRPr="004947ED" w14:paraId="072D33F7" w14:textId="77777777" w:rsidTr="003B5854">
        <w:trPr>
          <w:trHeight w:val="300"/>
        </w:trPr>
        <w:tc>
          <w:tcPr>
            <w:tcW w:w="1256" w:type="pct"/>
            <w:tcBorders>
              <w:top w:val="single" w:sz="4" w:space="0" w:color="auto"/>
              <w:bottom w:val="single" w:sz="4" w:space="0" w:color="auto"/>
              <w:right w:val="single" w:sz="4" w:space="0" w:color="auto"/>
            </w:tcBorders>
            <w:hideMark/>
          </w:tcPr>
          <w:p w14:paraId="07F5AD99" w14:textId="599561D3" w:rsidR="00A75B7E" w:rsidRPr="00F03F9B" w:rsidRDefault="00A75B7E">
            <w:pPr>
              <w:pStyle w:val="JRCText"/>
              <w:rPr>
                <w:rFonts w:ascii="Times New Roman" w:eastAsia="Times New Roman" w:hAnsi="Times New Roman" w:cs="Times New Roman"/>
                <w:bCs/>
                <w:i/>
                <w:noProof/>
                <w:color w:val="000000" w:themeColor="text1"/>
                <w:sz w:val="24"/>
                <w:szCs w:val="24"/>
                <w:lang w:val="en-IE"/>
              </w:rPr>
            </w:pPr>
            <w:r w:rsidRPr="00F03F9B">
              <w:rPr>
                <w:rFonts w:ascii="Times New Roman" w:eastAsia="Aptos" w:hAnsi="Times New Roman" w:cs="Times New Roman"/>
                <w:i/>
                <w:noProof/>
                <w:sz w:val="24"/>
                <w:szCs w:val="24"/>
                <w:lang w:val="en-US"/>
              </w:rPr>
              <w:t>Construction</w:t>
            </w:r>
            <w:r w:rsidR="00CA0BC3">
              <w:rPr>
                <w:rFonts w:ascii="Times New Roman" w:eastAsia="Aptos" w:hAnsi="Times New Roman" w:cs="Times New Roman"/>
                <w:i/>
                <w:noProof/>
                <w:sz w:val="24"/>
                <w:szCs w:val="24"/>
                <w:lang w:val="en-US"/>
              </w:rPr>
              <w:t xml:space="preserve"> (LEAD_EII)</w:t>
            </w:r>
          </w:p>
        </w:tc>
        <w:tc>
          <w:tcPr>
            <w:tcW w:w="1103" w:type="pct"/>
            <w:tcBorders>
              <w:top w:val="single" w:sz="4" w:space="0" w:color="auto"/>
              <w:left w:val="single" w:sz="4" w:space="0" w:color="auto"/>
              <w:bottom w:val="single" w:sz="4" w:space="0" w:color="auto"/>
              <w:right w:val="single" w:sz="4" w:space="0" w:color="auto"/>
            </w:tcBorders>
            <w:vAlign w:val="bottom"/>
            <w:hideMark/>
          </w:tcPr>
          <w:p w14:paraId="771186F2" w14:textId="0E557EE3" w:rsidR="00A75B7E" w:rsidRPr="00F03F9B" w:rsidRDefault="00A75B7E" w:rsidP="1FA04443">
            <w:pPr>
              <w:pStyle w:val="JRCText"/>
              <w:rPr>
                <w:rFonts w:ascii="Times New Roman" w:eastAsia="Times New Roman" w:hAnsi="Times New Roman" w:cs="Times New Roman"/>
                <w:noProof/>
                <w:color w:val="000000" w:themeColor="text1"/>
                <w:sz w:val="24"/>
                <w:szCs w:val="24"/>
                <w:lang w:val="en-IE"/>
              </w:rPr>
            </w:pPr>
            <w:r w:rsidRPr="1FA04443">
              <w:rPr>
                <w:rFonts w:ascii="Times New Roman" w:hAnsi="Times New Roman" w:cs="Times New Roman"/>
                <w:noProof/>
                <w:color w:val="000000" w:themeColor="text1"/>
                <w:sz w:val="24"/>
                <w:szCs w:val="24"/>
              </w:rPr>
              <w:t xml:space="preserve">EUR </w:t>
            </w:r>
            <w:r w:rsidR="00676E3E">
              <w:rPr>
                <w:rFonts w:ascii="Times New Roman" w:hAnsi="Times New Roman" w:cs="Times New Roman"/>
                <w:noProof/>
                <w:color w:val="000000" w:themeColor="text1"/>
                <w:sz w:val="24"/>
                <w:szCs w:val="24"/>
              </w:rPr>
              <w:t>691 million</w:t>
            </w:r>
          </w:p>
        </w:tc>
        <w:tc>
          <w:tcPr>
            <w:tcW w:w="1260" w:type="pct"/>
            <w:tcBorders>
              <w:top w:val="single" w:sz="4" w:space="0" w:color="auto"/>
              <w:left w:val="single" w:sz="4" w:space="0" w:color="auto"/>
              <w:bottom w:val="single" w:sz="4" w:space="0" w:color="auto"/>
              <w:right w:val="single" w:sz="4" w:space="0" w:color="auto"/>
            </w:tcBorders>
            <w:vAlign w:val="bottom"/>
            <w:hideMark/>
          </w:tcPr>
          <w:p w14:paraId="7672E3DE" w14:textId="2E9930B1" w:rsidR="00A75B7E" w:rsidRPr="00337BEF" w:rsidRDefault="00A75B7E" w:rsidP="1FA04443">
            <w:pPr>
              <w:pStyle w:val="JRCText"/>
              <w:rPr>
                <w:rFonts w:ascii="Times New Roman" w:eastAsia="Times New Roman" w:hAnsi="Times New Roman" w:cs="Times New Roman"/>
                <w:noProof/>
                <w:color w:val="000000" w:themeColor="text1"/>
                <w:sz w:val="24"/>
                <w:szCs w:val="24"/>
                <w:lang w:val="en-IE"/>
              </w:rPr>
            </w:pPr>
            <w:r w:rsidRPr="1FA04443">
              <w:rPr>
                <w:rFonts w:ascii="Times New Roman" w:hAnsi="Times New Roman" w:cs="Times New Roman"/>
                <w:noProof/>
                <w:color w:val="000000" w:themeColor="text1"/>
                <w:sz w:val="24"/>
                <w:szCs w:val="24"/>
              </w:rPr>
              <w:t xml:space="preserve">EUR </w:t>
            </w:r>
            <w:r w:rsidR="00D07974">
              <w:rPr>
                <w:rFonts w:ascii="Times New Roman" w:hAnsi="Times New Roman" w:cs="Times New Roman"/>
                <w:noProof/>
                <w:color w:val="000000" w:themeColor="text1"/>
                <w:sz w:val="24"/>
                <w:szCs w:val="24"/>
              </w:rPr>
              <w:t>691 million</w:t>
            </w:r>
          </w:p>
        </w:tc>
        <w:tc>
          <w:tcPr>
            <w:tcW w:w="1382" w:type="pct"/>
            <w:tcBorders>
              <w:top w:val="single" w:sz="4" w:space="0" w:color="auto"/>
              <w:left w:val="single" w:sz="4" w:space="0" w:color="auto"/>
              <w:bottom w:val="single" w:sz="4" w:space="0" w:color="auto"/>
              <w:right w:val="single" w:sz="4" w:space="0" w:color="auto"/>
            </w:tcBorders>
            <w:vAlign w:val="bottom"/>
            <w:hideMark/>
          </w:tcPr>
          <w:p w14:paraId="309CB735" w14:textId="38020782" w:rsidR="00A75B7E" w:rsidRPr="00337BEF" w:rsidRDefault="00A75B7E" w:rsidP="1FA04443">
            <w:pPr>
              <w:pStyle w:val="JRCText"/>
              <w:rPr>
                <w:rFonts w:ascii="Times New Roman" w:eastAsia="Times New Roman" w:hAnsi="Times New Roman" w:cs="Times New Roman"/>
                <w:noProof/>
                <w:color w:val="000000" w:themeColor="text1"/>
                <w:sz w:val="24"/>
                <w:szCs w:val="24"/>
                <w:lang w:val="en-IE"/>
              </w:rPr>
            </w:pPr>
            <w:r w:rsidRPr="1FA04443">
              <w:rPr>
                <w:rFonts w:ascii="Times New Roman" w:hAnsi="Times New Roman" w:cs="Times New Roman"/>
                <w:noProof/>
                <w:color w:val="000000" w:themeColor="text1"/>
                <w:sz w:val="24"/>
                <w:szCs w:val="24"/>
              </w:rPr>
              <w:t>EUR 1</w:t>
            </w:r>
            <w:r w:rsidR="00AC2AD4">
              <w:rPr>
                <w:rFonts w:ascii="Times New Roman" w:hAnsi="Times New Roman" w:cs="Times New Roman"/>
                <w:noProof/>
                <w:color w:val="000000" w:themeColor="text1"/>
                <w:sz w:val="24"/>
                <w:szCs w:val="24"/>
              </w:rPr>
              <w:t>6</w:t>
            </w:r>
            <w:r w:rsidR="00691A96">
              <w:rPr>
                <w:rFonts w:ascii="Times New Roman" w:hAnsi="Times New Roman" w:cs="Times New Roman"/>
                <w:noProof/>
                <w:color w:val="000000" w:themeColor="text1"/>
                <w:sz w:val="24"/>
                <w:szCs w:val="24"/>
              </w:rPr>
              <w:t>.23</w:t>
            </w:r>
            <w:r w:rsidR="00C36BBF">
              <w:rPr>
                <w:rFonts w:ascii="Times New Roman" w:hAnsi="Times New Roman" w:cs="Times New Roman"/>
                <w:noProof/>
                <w:color w:val="000000" w:themeColor="text1"/>
                <w:sz w:val="24"/>
                <w:szCs w:val="24"/>
              </w:rPr>
              <w:t xml:space="preserve"> </w:t>
            </w:r>
            <w:r w:rsidRPr="1FA04443">
              <w:rPr>
                <w:rFonts w:ascii="Times New Roman" w:hAnsi="Times New Roman" w:cs="Times New Roman"/>
                <w:noProof/>
                <w:color w:val="000000" w:themeColor="text1"/>
                <w:sz w:val="24"/>
                <w:szCs w:val="24"/>
              </w:rPr>
              <w:t xml:space="preserve">billion </w:t>
            </w:r>
          </w:p>
        </w:tc>
      </w:tr>
      <w:tr w:rsidR="00AB5A91" w:rsidRPr="004947ED" w14:paraId="7BAAA3C1" w14:textId="77777777" w:rsidTr="003B5854">
        <w:trPr>
          <w:trHeight w:val="300"/>
        </w:trPr>
        <w:tc>
          <w:tcPr>
            <w:tcW w:w="1256" w:type="pct"/>
            <w:tcBorders>
              <w:top w:val="single" w:sz="4" w:space="0" w:color="auto"/>
              <w:bottom w:val="single" w:sz="4" w:space="0" w:color="auto"/>
              <w:right w:val="single" w:sz="4" w:space="0" w:color="auto"/>
            </w:tcBorders>
          </w:tcPr>
          <w:p w14:paraId="6C2F37AF" w14:textId="0141ECEA" w:rsidR="00A75B7E" w:rsidRPr="00F03F9B" w:rsidRDefault="00A75B7E">
            <w:pPr>
              <w:pStyle w:val="JRCText"/>
              <w:rPr>
                <w:rFonts w:ascii="Times New Roman" w:eastAsia="Aptos" w:hAnsi="Times New Roman" w:cs="Times New Roman"/>
                <w:i/>
                <w:noProof/>
                <w:sz w:val="24"/>
                <w:szCs w:val="24"/>
                <w:lang w:val="en-US"/>
              </w:rPr>
            </w:pPr>
            <w:r w:rsidRPr="00F03F9B">
              <w:rPr>
                <w:rFonts w:ascii="Times New Roman" w:eastAsia="Aptos" w:hAnsi="Times New Roman" w:cs="Times New Roman"/>
                <w:i/>
                <w:iCs/>
                <w:noProof/>
                <w:sz w:val="24"/>
                <w:szCs w:val="24"/>
                <w:lang w:val="en-US"/>
              </w:rPr>
              <w:t>Electricity</w:t>
            </w:r>
            <w:r w:rsidR="00CA0BC3">
              <w:rPr>
                <w:rFonts w:ascii="Times New Roman" w:eastAsia="Aptos" w:hAnsi="Times New Roman" w:cs="Times New Roman"/>
                <w:i/>
                <w:iCs/>
                <w:noProof/>
                <w:sz w:val="24"/>
                <w:szCs w:val="24"/>
                <w:lang w:val="en-US"/>
              </w:rPr>
              <w:t xml:space="preserve"> </w:t>
            </w:r>
            <w:r w:rsidR="00DB5660">
              <w:rPr>
                <w:rFonts w:ascii="Times New Roman" w:eastAsia="Aptos" w:hAnsi="Times New Roman" w:cs="Times New Roman"/>
                <w:i/>
                <w:iCs/>
                <w:noProof/>
                <w:sz w:val="24"/>
                <w:szCs w:val="24"/>
                <w:lang w:val="en-US"/>
              </w:rPr>
              <w:t xml:space="preserve">utilities </w:t>
            </w:r>
            <w:r w:rsidR="00CA0BC3">
              <w:rPr>
                <w:rFonts w:ascii="Times New Roman" w:eastAsia="Aptos" w:hAnsi="Times New Roman" w:cs="Times New Roman"/>
                <w:i/>
                <w:iCs/>
                <w:noProof/>
                <w:sz w:val="24"/>
                <w:szCs w:val="24"/>
                <w:lang w:val="en-US"/>
              </w:rPr>
              <w:t>(LEAD_SOL</w:t>
            </w:r>
            <w:r w:rsidR="009F4CC6">
              <w:rPr>
                <w:rFonts w:ascii="Times New Roman" w:eastAsia="Aptos" w:hAnsi="Times New Roman" w:cs="Times New Roman"/>
                <w:i/>
                <w:iCs/>
                <w:noProof/>
                <w:sz w:val="24"/>
                <w:szCs w:val="24"/>
                <w:lang w:val="en-US"/>
              </w:rPr>
              <w:t>, LEAD_BAT</w:t>
            </w:r>
            <w:r w:rsidR="00CA0BC3">
              <w:rPr>
                <w:rFonts w:ascii="Times New Roman" w:eastAsia="Aptos" w:hAnsi="Times New Roman" w:cs="Times New Roman"/>
                <w:i/>
                <w:iCs/>
                <w:noProof/>
                <w:sz w:val="24"/>
                <w:szCs w:val="24"/>
                <w:lang w:val="en-US"/>
              </w:rPr>
              <w:t>)</w:t>
            </w:r>
          </w:p>
        </w:tc>
        <w:tc>
          <w:tcPr>
            <w:tcW w:w="1103" w:type="pct"/>
            <w:tcBorders>
              <w:top w:val="single" w:sz="4" w:space="0" w:color="auto"/>
              <w:left w:val="single" w:sz="4" w:space="0" w:color="auto"/>
              <w:bottom w:val="single" w:sz="4" w:space="0" w:color="auto"/>
              <w:right w:val="single" w:sz="4" w:space="0" w:color="auto"/>
            </w:tcBorders>
            <w:vAlign w:val="bottom"/>
          </w:tcPr>
          <w:p w14:paraId="6A78342D" w14:textId="2C3496E0" w:rsidR="00A75B7E" w:rsidRPr="00F03F9B" w:rsidRDefault="00A75B7E">
            <w:pPr>
              <w:pStyle w:val="JRCText"/>
              <w:rPr>
                <w:rFonts w:ascii="Times New Roman" w:hAnsi="Times New Roman" w:cs="Times New Roman"/>
                <w:noProof/>
                <w:color w:val="000000" w:themeColor="text1"/>
                <w:szCs w:val="24"/>
              </w:rPr>
            </w:pPr>
            <w:r w:rsidRPr="00F03F9B">
              <w:rPr>
                <w:rFonts w:ascii="Times New Roman" w:hAnsi="Times New Roman" w:cs="Times New Roman"/>
                <w:noProof/>
                <w:color w:val="000000" w:themeColor="text1"/>
                <w:sz w:val="24"/>
                <w:szCs w:val="24"/>
              </w:rPr>
              <w:t>EUR 729 million</w:t>
            </w:r>
          </w:p>
        </w:tc>
        <w:tc>
          <w:tcPr>
            <w:tcW w:w="1260" w:type="pct"/>
            <w:tcBorders>
              <w:top w:val="single" w:sz="4" w:space="0" w:color="auto"/>
              <w:left w:val="single" w:sz="4" w:space="0" w:color="auto"/>
              <w:bottom w:val="single" w:sz="4" w:space="0" w:color="auto"/>
              <w:right w:val="single" w:sz="4" w:space="0" w:color="auto"/>
            </w:tcBorders>
            <w:vAlign w:val="bottom"/>
          </w:tcPr>
          <w:p w14:paraId="20768914" w14:textId="54E86400" w:rsidR="00A75B7E" w:rsidRPr="00F03F9B" w:rsidRDefault="00A75B7E">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EUR 729 million</w:t>
            </w:r>
          </w:p>
        </w:tc>
        <w:tc>
          <w:tcPr>
            <w:tcW w:w="1382" w:type="pct"/>
            <w:tcBorders>
              <w:top w:val="single" w:sz="4" w:space="0" w:color="auto"/>
              <w:left w:val="single" w:sz="4" w:space="0" w:color="auto"/>
              <w:bottom w:val="single" w:sz="4" w:space="0" w:color="auto"/>
              <w:right w:val="single" w:sz="4" w:space="0" w:color="auto"/>
            </w:tcBorders>
            <w:vAlign w:val="bottom"/>
          </w:tcPr>
          <w:p w14:paraId="7E7578DD" w14:textId="77777777" w:rsidR="00A75B7E" w:rsidRPr="00F03F9B" w:rsidRDefault="00A75B7E">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EUR 2.91 billion</w:t>
            </w:r>
          </w:p>
        </w:tc>
      </w:tr>
    </w:tbl>
    <w:p w14:paraId="13D0B6ED" w14:textId="77777777" w:rsidR="00A15362" w:rsidRDefault="00A15362" w:rsidP="00DE7556">
      <w:pPr>
        <w:pStyle w:val="JRCText"/>
        <w:jc w:val="both"/>
        <w:rPr>
          <w:rFonts w:ascii="Times New Roman" w:hAnsi="Times New Roman" w:cs="Times New Roman"/>
          <w:b/>
          <w:noProof/>
          <w:color w:val="000000" w:themeColor="text1"/>
          <w:sz w:val="24"/>
          <w:szCs w:val="24"/>
        </w:rPr>
      </w:pPr>
    </w:p>
    <w:p w14:paraId="572D5356" w14:textId="279F3001" w:rsidR="00A15362" w:rsidRDefault="00A15362" w:rsidP="00DE7556">
      <w:pPr>
        <w:pStyle w:val="JRCText"/>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Cost increase per type of vehicle</w:t>
      </w:r>
      <w:r w:rsidR="00A75B7E">
        <w:rPr>
          <w:rFonts w:ascii="Times New Roman" w:hAnsi="Times New Roman" w:cs="Times New Roman"/>
          <w:b/>
          <w:noProof/>
          <w:color w:val="000000" w:themeColor="text1"/>
          <w:sz w:val="24"/>
          <w:szCs w:val="24"/>
        </w:rPr>
        <w:t xml:space="preserve"> (LEAD_EII, LEAD_BAT, LEAD_VC)</w:t>
      </w:r>
      <w:r>
        <w:rPr>
          <w:rFonts w:ascii="Times New Roman" w:hAnsi="Times New Roman" w:cs="Times New Roman"/>
          <w:b/>
          <w:noProof/>
          <w:color w:val="000000" w:themeColor="text1"/>
          <w:sz w:val="24"/>
          <w:szCs w:val="24"/>
        </w:rPr>
        <w:t xml:space="preserv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3"/>
        <w:gridCol w:w="1643"/>
        <w:gridCol w:w="1792"/>
        <w:gridCol w:w="1724"/>
      </w:tblGrid>
      <w:tr w:rsidR="00A15362" w:rsidRPr="003C57E8" w14:paraId="09808F58" w14:textId="77777777" w:rsidTr="003B5854">
        <w:trPr>
          <w:trHeight w:val="300"/>
        </w:trPr>
        <w:tc>
          <w:tcPr>
            <w:tcW w:w="2279" w:type="pct"/>
            <w:tcBorders>
              <w:top w:val="single" w:sz="6" w:space="0" w:color="auto"/>
              <w:left w:val="single" w:sz="6" w:space="0" w:color="auto"/>
              <w:bottom w:val="single" w:sz="6" w:space="0" w:color="auto"/>
              <w:right w:val="single" w:sz="6" w:space="0" w:color="auto"/>
            </w:tcBorders>
            <w:hideMark/>
          </w:tcPr>
          <w:p w14:paraId="63ADFF4F" w14:textId="77777777" w:rsidR="00A15362" w:rsidRPr="004947ED" w:rsidRDefault="00A15362">
            <w:pPr>
              <w:pStyle w:val="JRCText"/>
              <w:rPr>
                <w:rFonts w:ascii="Times New Roman" w:eastAsia="Times New Roman" w:hAnsi="Times New Roman" w:cs="Times New Roman"/>
                <w:bCs/>
                <w:noProof/>
                <w:color w:val="000000" w:themeColor="text1"/>
                <w:sz w:val="24"/>
                <w:szCs w:val="24"/>
                <w:lang w:val="en-IE"/>
              </w:rPr>
            </w:pPr>
            <w:r w:rsidRPr="004947ED">
              <w:rPr>
                <w:rFonts w:ascii="Times New Roman" w:eastAsia="Times New Roman" w:hAnsi="Times New Roman" w:cs="Times New Roman"/>
                <w:bCs/>
                <w:i/>
                <w:iCs/>
                <w:noProof/>
                <w:color w:val="000000" w:themeColor="text1"/>
                <w:sz w:val="24"/>
                <w:szCs w:val="24"/>
                <w:lang w:val="en-IE"/>
              </w:rPr>
              <w:t>Type of car</w:t>
            </w:r>
            <w:r w:rsidRPr="004947ED">
              <w:rPr>
                <w:rFonts w:ascii="Times New Roman" w:eastAsia="Times New Roman" w:hAnsi="Times New Roman" w:cs="Times New Roman"/>
                <w:bCs/>
                <w:noProof/>
                <w:color w:val="000000" w:themeColor="text1"/>
                <w:sz w:val="24"/>
                <w:szCs w:val="24"/>
                <w:lang w:val="en-IE"/>
              </w:rPr>
              <w:t> </w:t>
            </w:r>
          </w:p>
        </w:tc>
        <w:tc>
          <w:tcPr>
            <w:tcW w:w="866"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25285A35" w14:textId="77777777" w:rsidR="00A15362" w:rsidRPr="004947ED" w:rsidRDefault="00A15362">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PO1 </w:t>
            </w:r>
          </w:p>
        </w:tc>
        <w:tc>
          <w:tcPr>
            <w:tcW w:w="945"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8197B4C" w14:textId="77777777" w:rsidR="00A15362" w:rsidRPr="004947ED" w:rsidRDefault="00A15362">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PO2 </w:t>
            </w:r>
          </w:p>
        </w:tc>
        <w:tc>
          <w:tcPr>
            <w:tcW w:w="909" w:type="pct"/>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249BD67F" w14:textId="77777777" w:rsidR="00A15362" w:rsidRPr="004947ED" w:rsidRDefault="00A15362">
            <w:pPr>
              <w:pStyle w:val="JRCText"/>
              <w:rPr>
                <w:rFonts w:ascii="Times New Roman" w:eastAsia="Times New Roman" w:hAnsi="Times New Roman" w:cs="Times New Roman"/>
                <w:b/>
                <w:noProof/>
                <w:color w:val="FFFFFF" w:themeColor="background1"/>
                <w:sz w:val="24"/>
                <w:szCs w:val="24"/>
                <w:lang w:val="en-IE"/>
              </w:rPr>
            </w:pPr>
            <w:r w:rsidRPr="004947ED">
              <w:rPr>
                <w:rFonts w:ascii="Times New Roman" w:eastAsia="Times New Roman" w:hAnsi="Times New Roman" w:cs="Times New Roman"/>
                <w:b/>
                <w:noProof/>
                <w:color w:val="FFFFFF" w:themeColor="background1"/>
                <w:sz w:val="24"/>
                <w:szCs w:val="24"/>
                <w:lang w:val="en-IE"/>
              </w:rPr>
              <w:t>PO3 </w:t>
            </w:r>
          </w:p>
        </w:tc>
      </w:tr>
      <w:tr w:rsidR="00A15362" w:rsidRPr="003C57E8" w14:paraId="0C29A239" w14:textId="77777777" w:rsidTr="003B5854">
        <w:trPr>
          <w:trHeight w:val="300"/>
        </w:trPr>
        <w:tc>
          <w:tcPr>
            <w:tcW w:w="2279" w:type="pct"/>
            <w:tcBorders>
              <w:top w:val="single" w:sz="6" w:space="0" w:color="auto"/>
              <w:left w:val="single" w:sz="6" w:space="0" w:color="auto"/>
              <w:bottom w:val="single" w:sz="6" w:space="0" w:color="auto"/>
              <w:right w:val="single" w:sz="6" w:space="0" w:color="auto"/>
            </w:tcBorders>
            <w:hideMark/>
          </w:tcPr>
          <w:p w14:paraId="2407E834" w14:textId="4603072C" w:rsidR="00A15362" w:rsidRPr="004947ED" w:rsidRDefault="00A15362">
            <w:pPr>
              <w:pStyle w:val="JRCText"/>
              <w:rPr>
                <w:rFonts w:ascii="Times New Roman" w:eastAsia="Times New Roman" w:hAnsi="Times New Roman" w:cs="Times New Roman"/>
                <w:bCs/>
                <w:i/>
                <w:noProof/>
                <w:color w:val="000000" w:themeColor="text1"/>
                <w:sz w:val="24"/>
                <w:szCs w:val="24"/>
                <w:lang w:val="en-IE"/>
              </w:rPr>
            </w:pPr>
            <w:r w:rsidRPr="004947ED">
              <w:rPr>
                <w:rFonts w:ascii="Times New Roman" w:eastAsia="Aptos" w:hAnsi="Times New Roman" w:cs="Times New Roman"/>
                <w:i/>
                <w:noProof/>
                <w:sz w:val="24"/>
                <w:szCs w:val="24"/>
                <w:lang w:val="en-US"/>
              </w:rPr>
              <w:t>Passenger EVs</w:t>
            </w:r>
            <w:r w:rsidR="002D405D">
              <w:rPr>
                <w:rFonts w:ascii="Times New Roman" w:eastAsia="Aptos" w:hAnsi="Times New Roman" w:cs="Times New Roman"/>
                <w:i/>
                <w:noProof/>
                <w:sz w:val="24"/>
                <w:szCs w:val="24"/>
                <w:lang w:val="en-US"/>
              </w:rPr>
              <w:t xml:space="preserve"> (LEAD_EII , LEAD_BAT</w:t>
            </w:r>
            <w:r w:rsidR="006B7F62">
              <w:rPr>
                <w:rFonts w:ascii="Times New Roman" w:eastAsia="Aptos" w:hAnsi="Times New Roman" w:cs="Times New Roman"/>
                <w:i/>
                <w:noProof/>
                <w:sz w:val="24"/>
                <w:szCs w:val="24"/>
                <w:lang w:val="en-US"/>
              </w:rPr>
              <w:t xml:space="preserve"> and LEAD_VC)</w:t>
            </w:r>
          </w:p>
        </w:tc>
        <w:tc>
          <w:tcPr>
            <w:tcW w:w="866" w:type="pct"/>
            <w:tcBorders>
              <w:top w:val="single" w:sz="6" w:space="0" w:color="auto"/>
              <w:left w:val="single" w:sz="6" w:space="0" w:color="auto"/>
              <w:bottom w:val="single" w:sz="6" w:space="0" w:color="auto"/>
              <w:right w:val="single" w:sz="6" w:space="0" w:color="auto"/>
            </w:tcBorders>
            <w:hideMark/>
          </w:tcPr>
          <w:p w14:paraId="5E63E66F" w14:textId="5A792F32"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104B5A">
              <w:rPr>
                <w:rFonts w:ascii="Times New Roman" w:eastAsia="Times New Roman" w:hAnsi="Times New Roman" w:cs="Times New Roman"/>
                <w:bCs/>
                <w:noProof/>
                <w:color w:val="000000" w:themeColor="text1"/>
                <w:sz w:val="24"/>
                <w:szCs w:val="24"/>
                <w:lang w:val="en-IE"/>
              </w:rPr>
              <w:t>1 0</w:t>
            </w:r>
            <w:r w:rsidR="003A23F5">
              <w:rPr>
                <w:rFonts w:ascii="Times New Roman" w:eastAsia="Times New Roman" w:hAnsi="Times New Roman" w:cs="Times New Roman"/>
                <w:bCs/>
                <w:noProof/>
                <w:color w:val="000000" w:themeColor="text1"/>
                <w:sz w:val="24"/>
                <w:szCs w:val="24"/>
                <w:lang w:val="en-IE"/>
              </w:rPr>
              <w:t>42.2</w:t>
            </w:r>
            <w:r w:rsidR="00652C64">
              <w:rPr>
                <w:rFonts w:ascii="Times New Roman" w:eastAsia="Times New Roman" w:hAnsi="Times New Roman" w:cs="Times New Roman"/>
                <w:bCs/>
                <w:noProof/>
                <w:color w:val="000000" w:themeColor="text1"/>
                <w:sz w:val="24"/>
                <w:szCs w:val="24"/>
                <w:lang w:val="en-IE"/>
              </w:rPr>
              <w:t>8</w:t>
            </w:r>
          </w:p>
        </w:tc>
        <w:tc>
          <w:tcPr>
            <w:tcW w:w="945" w:type="pct"/>
            <w:tcBorders>
              <w:top w:val="single" w:sz="6" w:space="0" w:color="auto"/>
              <w:left w:val="single" w:sz="6" w:space="0" w:color="auto"/>
              <w:bottom w:val="single" w:sz="6" w:space="0" w:color="auto"/>
              <w:right w:val="single" w:sz="6" w:space="0" w:color="auto"/>
            </w:tcBorders>
            <w:hideMark/>
          </w:tcPr>
          <w:p w14:paraId="398C1E78" w14:textId="079C1F93"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3A23F5">
              <w:rPr>
                <w:rFonts w:ascii="Times New Roman" w:eastAsia="Times New Roman" w:hAnsi="Times New Roman" w:cs="Times New Roman"/>
                <w:bCs/>
                <w:noProof/>
                <w:color w:val="000000" w:themeColor="text1"/>
                <w:sz w:val="24"/>
                <w:szCs w:val="24"/>
                <w:lang w:val="en-IE"/>
              </w:rPr>
              <w:t>1 042.2</w:t>
            </w:r>
            <w:r w:rsidR="00652C64">
              <w:rPr>
                <w:rFonts w:ascii="Times New Roman" w:eastAsia="Times New Roman" w:hAnsi="Times New Roman" w:cs="Times New Roman"/>
                <w:bCs/>
                <w:noProof/>
                <w:color w:val="000000" w:themeColor="text1"/>
                <w:sz w:val="24"/>
                <w:szCs w:val="24"/>
                <w:lang w:val="en-IE"/>
              </w:rPr>
              <w:t>8</w:t>
            </w:r>
          </w:p>
        </w:tc>
        <w:tc>
          <w:tcPr>
            <w:tcW w:w="909" w:type="pct"/>
            <w:tcBorders>
              <w:top w:val="single" w:sz="6" w:space="0" w:color="auto"/>
              <w:left w:val="single" w:sz="6" w:space="0" w:color="auto"/>
              <w:bottom w:val="single" w:sz="6" w:space="0" w:color="auto"/>
              <w:right w:val="single" w:sz="6" w:space="0" w:color="auto"/>
            </w:tcBorders>
            <w:hideMark/>
          </w:tcPr>
          <w:p w14:paraId="4F79BBE2" w14:textId="19925CB9"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CB1F7A">
              <w:rPr>
                <w:rFonts w:ascii="Times New Roman" w:eastAsia="Times New Roman" w:hAnsi="Times New Roman" w:cs="Times New Roman"/>
                <w:bCs/>
                <w:noProof/>
                <w:color w:val="000000" w:themeColor="text1"/>
                <w:sz w:val="24"/>
                <w:szCs w:val="24"/>
                <w:lang w:val="en-IE"/>
              </w:rPr>
              <w:t>1 099.</w:t>
            </w:r>
            <w:r w:rsidR="001B6659">
              <w:rPr>
                <w:rFonts w:ascii="Times New Roman" w:eastAsia="Times New Roman" w:hAnsi="Times New Roman" w:cs="Times New Roman"/>
                <w:bCs/>
                <w:noProof/>
                <w:color w:val="000000" w:themeColor="text1"/>
                <w:sz w:val="24"/>
                <w:szCs w:val="24"/>
                <w:lang w:val="en-IE"/>
              </w:rPr>
              <w:t>44</w:t>
            </w:r>
          </w:p>
        </w:tc>
      </w:tr>
      <w:tr w:rsidR="00A15362" w:rsidRPr="003C57E8" w14:paraId="0E280704" w14:textId="77777777" w:rsidTr="003B5854">
        <w:trPr>
          <w:trHeight w:val="300"/>
        </w:trPr>
        <w:tc>
          <w:tcPr>
            <w:tcW w:w="2279" w:type="pct"/>
            <w:tcBorders>
              <w:top w:val="single" w:sz="6" w:space="0" w:color="auto"/>
              <w:left w:val="single" w:sz="6" w:space="0" w:color="auto"/>
              <w:bottom w:val="single" w:sz="6" w:space="0" w:color="auto"/>
              <w:right w:val="single" w:sz="6" w:space="0" w:color="auto"/>
            </w:tcBorders>
            <w:hideMark/>
          </w:tcPr>
          <w:p w14:paraId="3441255F" w14:textId="01A51D65" w:rsidR="00A15362" w:rsidRPr="004947ED" w:rsidRDefault="00A15362">
            <w:pPr>
              <w:pStyle w:val="JRCText"/>
              <w:rPr>
                <w:rFonts w:ascii="Times New Roman" w:eastAsia="Times New Roman" w:hAnsi="Times New Roman" w:cs="Times New Roman"/>
                <w:bCs/>
                <w:i/>
                <w:noProof/>
                <w:color w:val="000000" w:themeColor="text1"/>
                <w:sz w:val="24"/>
                <w:szCs w:val="24"/>
                <w:lang w:val="en-IE"/>
              </w:rPr>
            </w:pPr>
            <w:r w:rsidRPr="004947ED">
              <w:rPr>
                <w:rFonts w:ascii="Times New Roman" w:eastAsia="Aptos" w:hAnsi="Times New Roman" w:cs="Times New Roman"/>
                <w:i/>
                <w:noProof/>
                <w:sz w:val="24"/>
                <w:szCs w:val="24"/>
                <w:lang w:val="en-US"/>
              </w:rPr>
              <w:t>Heav</w:t>
            </w:r>
            <w:r w:rsidR="00D05C2A">
              <w:rPr>
                <w:rFonts w:ascii="Times New Roman" w:eastAsia="Aptos" w:hAnsi="Times New Roman" w:cs="Times New Roman"/>
                <w:i/>
                <w:noProof/>
                <w:sz w:val="24"/>
                <w:szCs w:val="24"/>
                <w:lang w:val="en-US"/>
              </w:rPr>
              <w:t>y</w:t>
            </w:r>
            <w:r w:rsidRPr="004947ED">
              <w:rPr>
                <w:rFonts w:ascii="Times New Roman" w:eastAsia="Aptos" w:hAnsi="Times New Roman" w:cs="Times New Roman"/>
                <w:i/>
                <w:noProof/>
                <w:sz w:val="24"/>
                <w:szCs w:val="24"/>
                <w:lang w:val="en-US"/>
              </w:rPr>
              <w:t xml:space="preserve"> duty EVs</w:t>
            </w:r>
            <w:r w:rsidR="006B7F62">
              <w:rPr>
                <w:rFonts w:ascii="Times New Roman" w:eastAsia="Aptos" w:hAnsi="Times New Roman" w:cs="Times New Roman"/>
                <w:i/>
                <w:noProof/>
                <w:sz w:val="24"/>
                <w:szCs w:val="24"/>
                <w:lang w:val="en-US"/>
              </w:rPr>
              <w:t xml:space="preserve"> (LEAD_EII , LEAD_BAT and LEAD_VC)</w:t>
            </w:r>
          </w:p>
        </w:tc>
        <w:tc>
          <w:tcPr>
            <w:tcW w:w="866" w:type="pct"/>
            <w:tcBorders>
              <w:top w:val="single" w:sz="6" w:space="0" w:color="auto"/>
              <w:left w:val="single" w:sz="6" w:space="0" w:color="auto"/>
              <w:bottom w:val="single" w:sz="6" w:space="0" w:color="auto"/>
              <w:right w:val="single" w:sz="6" w:space="0" w:color="auto"/>
            </w:tcBorders>
            <w:hideMark/>
          </w:tcPr>
          <w:p w14:paraId="42437DFC" w14:textId="17B29795"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EA6070">
              <w:rPr>
                <w:rFonts w:ascii="Times New Roman" w:eastAsia="Times New Roman" w:hAnsi="Times New Roman" w:cs="Times New Roman"/>
                <w:bCs/>
                <w:noProof/>
                <w:color w:val="000000" w:themeColor="text1"/>
                <w:sz w:val="24"/>
                <w:szCs w:val="24"/>
                <w:lang w:val="en-IE"/>
              </w:rPr>
              <w:t>4 353.</w:t>
            </w:r>
            <w:r w:rsidR="001B6659">
              <w:rPr>
                <w:rFonts w:ascii="Times New Roman" w:eastAsia="Times New Roman" w:hAnsi="Times New Roman" w:cs="Times New Roman"/>
                <w:bCs/>
                <w:noProof/>
                <w:color w:val="000000" w:themeColor="text1"/>
                <w:sz w:val="24"/>
                <w:szCs w:val="24"/>
                <w:lang w:val="en-IE"/>
              </w:rPr>
              <w:t>38</w:t>
            </w:r>
          </w:p>
        </w:tc>
        <w:tc>
          <w:tcPr>
            <w:tcW w:w="945" w:type="pct"/>
            <w:tcBorders>
              <w:top w:val="single" w:sz="6" w:space="0" w:color="auto"/>
              <w:left w:val="single" w:sz="6" w:space="0" w:color="auto"/>
              <w:bottom w:val="single" w:sz="6" w:space="0" w:color="auto"/>
              <w:right w:val="single" w:sz="6" w:space="0" w:color="auto"/>
            </w:tcBorders>
            <w:hideMark/>
          </w:tcPr>
          <w:p w14:paraId="32450989" w14:textId="4081ABFF"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EA6070">
              <w:rPr>
                <w:rFonts w:ascii="Times New Roman" w:eastAsia="Times New Roman" w:hAnsi="Times New Roman" w:cs="Times New Roman"/>
                <w:bCs/>
                <w:noProof/>
                <w:color w:val="000000" w:themeColor="text1"/>
                <w:sz w:val="24"/>
                <w:szCs w:val="24"/>
                <w:lang w:val="en-IE"/>
              </w:rPr>
              <w:t>4 353.</w:t>
            </w:r>
            <w:r w:rsidR="001B6659">
              <w:rPr>
                <w:rFonts w:ascii="Times New Roman" w:eastAsia="Times New Roman" w:hAnsi="Times New Roman" w:cs="Times New Roman"/>
                <w:bCs/>
                <w:noProof/>
                <w:color w:val="000000" w:themeColor="text1"/>
                <w:sz w:val="24"/>
                <w:szCs w:val="24"/>
                <w:lang w:val="en-IE"/>
              </w:rPr>
              <w:t>38</w:t>
            </w:r>
          </w:p>
        </w:tc>
        <w:tc>
          <w:tcPr>
            <w:tcW w:w="909" w:type="pct"/>
            <w:tcBorders>
              <w:top w:val="single" w:sz="6" w:space="0" w:color="auto"/>
              <w:left w:val="single" w:sz="6" w:space="0" w:color="auto"/>
              <w:bottom w:val="single" w:sz="6" w:space="0" w:color="auto"/>
              <w:right w:val="single" w:sz="6" w:space="0" w:color="auto"/>
            </w:tcBorders>
            <w:hideMark/>
          </w:tcPr>
          <w:p w14:paraId="1D8B9035" w14:textId="62C86AF3"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62087E">
              <w:rPr>
                <w:rFonts w:ascii="Times New Roman" w:eastAsia="Times New Roman" w:hAnsi="Times New Roman" w:cs="Times New Roman"/>
                <w:bCs/>
                <w:noProof/>
                <w:color w:val="000000" w:themeColor="text1"/>
                <w:sz w:val="24"/>
                <w:szCs w:val="24"/>
                <w:lang w:val="en-IE"/>
              </w:rPr>
              <w:t>4 5</w:t>
            </w:r>
            <w:r w:rsidR="001B6659">
              <w:rPr>
                <w:rFonts w:ascii="Times New Roman" w:eastAsia="Times New Roman" w:hAnsi="Times New Roman" w:cs="Times New Roman"/>
                <w:bCs/>
                <w:noProof/>
                <w:color w:val="000000" w:themeColor="text1"/>
                <w:sz w:val="24"/>
                <w:szCs w:val="24"/>
                <w:lang w:val="en-IE"/>
              </w:rPr>
              <w:t>70.</w:t>
            </w:r>
            <w:r w:rsidR="009C71CF">
              <w:rPr>
                <w:rFonts w:ascii="Times New Roman" w:eastAsia="Times New Roman" w:hAnsi="Times New Roman" w:cs="Times New Roman"/>
                <w:bCs/>
                <w:noProof/>
                <w:color w:val="000000" w:themeColor="text1"/>
                <w:sz w:val="24"/>
                <w:szCs w:val="24"/>
                <w:lang w:val="en-IE"/>
              </w:rPr>
              <w:t>07</w:t>
            </w:r>
          </w:p>
        </w:tc>
      </w:tr>
      <w:tr w:rsidR="00A15362" w:rsidRPr="003C57E8" w14:paraId="23A49F60" w14:textId="77777777" w:rsidTr="003B5854">
        <w:trPr>
          <w:trHeight w:val="300"/>
        </w:trPr>
        <w:tc>
          <w:tcPr>
            <w:tcW w:w="2279" w:type="pct"/>
            <w:tcBorders>
              <w:top w:val="single" w:sz="6" w:space="0" w:color="auto"/>
              <w:left w:val="single" w:sz="6" w:space="0" w:color="auto"/>
              <w:bottom w:val="single" w:sz="6" w:space="0" w:color="auto"/>
              <w:right w:val="single" w:sz="6" w:space="0" w:color="auto"/>
            </w:tcBorders>
            <w:hideMark/>
          </w:tcPr>
          <w:p w14:paraId="30A1DC0D" w14:textId="77257D65" w:rsidR="00A15362" w:rsidRPr="004947ED" w:rsidRDefault="00A15362">
            <w:pPr>
              <w:pStyle w:val="JRCText"/>
              <w:rPr>
                <w:rFonts w:ascii="Times New Roman" w:eastAsia="Times New Roman" w:hAnsi="Times New Roman" w:cs="Times New Roman"/>
                <w:bCs/>
                <w:i/>
                <w:noProof/>
                <w:color w:val="000000" w:themeColor="text1"/>
                <w:sz w:val="24"/>
                <w:szCs w:val="24"/>
                <w:lang w:val="en-IE"/>
              </w:rPr>
            </w:pPr>
            <w:r w:rsidRPr="004947ED">
              <w:rPr>
                <w:rFonts w:ascii="Times New Roman" w:eastAsia="Times New Roman" w:hAnsi="Times New Roman" w:cs="Times New Roman"/>
                <w:bCs/>
                <w:i/>
                <w:noProof/>
                <w:color w:val="000000" w:themeColor="text1"/>
                <w:sz w:val="24"/>
                <w:szCs w:val="24"/>
                <w:lang w:val="en-IE"/>
              </w:rPr>
              <w:t>Passenger ICEs </w:t>
            </w:r>
            <w:r w:rsidR="002D405D">
              <w:rPr>
                <w:rFonts w:ascii="Times New Roman" w:eastAsia="Times New Roman" w:hAnsi="Times New Roman" w:cs="Times New Roman"/>
                <w:bCs/>
                <w:i/>
                <w:noProof/>
                <w:color w:val="000000" w:themeColor="text1"/>
                <w:sz w:val="24"/>
                <w:szCs w:val="24"/>
                <w:lang w:val="en-IE"/>
              </w:rPr>
              <w:t>(LEAD_EII)</w:t>
            </w:r>
          </w:p>
        </w:tc>
        <w:tc>
          <w:tcPr>
            <w:tcW w:w="866" w:type="pct"/>
            <w:tcBorders>
              <w:top w:val="single" w:sz="6" w:space="0" w:color="auto"/>
              <w:left w:val="single" w:sz="6" w:space="0" w:color="auto"/>
              <w:bottom w:val="single" w:sz="6" w:space="0" w:color="auto"/>
              <w:right w:val="single" w:sz="6" w:space="0" w:color="auto"/>
            </w:tcBorders>
            <w:hideMark/>
          </w:tcPr>
          <w:p w14:paraId="4C83B005" w14:textId="687D799B"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871AFE">
              <w:rPr>
                <w:rFonts w:ascii="Times New Roman" w:eastAsia="Times New Roman" w:hAnsi="Times New Roman" w:cs="Times New Roman"/>
                <w:bCs/>
                <w:noProof/>
                <w:color w:val="000000" w:themeColor="text1"/>
                <w:sz w:val="24"/>
                <w:szCs w:val="24"/>
                <w:lang w:val="en-IE"/>
              </w:rPr>
              <w:t>59.</w:t>
            </w:r>
            <w:r w:rsidR="00F82720">
              <w:rPr>
                <w:rFonts w:ascii="Times New Roman" w:eastAsia="Times New Roman" w:hAnsi="Times New Roman" w:cs="Times New Roman"/>
                <w:bCs/>
                <w:noProof/>
                <w:color w:val="000000" w:themeColor="text1"/>
                <w:sz w:val="24"/>
                <w:szCs w:val="24"/>
                <w:lang w:val="en-IE"/>
              </w:rPr>
              <w:t>52</w:t>
            </w:r>
          </w:p>
        </w:tc>
        <w:tc>
          <w:tcPr>
            <w:tcW w:w="945" w:type="pct"/>
            <w:tcBorders>
              <w:top w:val="single" w:sz="6" w:space="0" w:color="auto"/>
              <w:left w:val="single" w:sz="6" w:space="0" w:color="auto"/>
              <w:bottom w:val="single" w:sz="6" w:space="0" w:color="auto"/>
              <w:right w:val="single" w:sz="6" w:space="0" w:color="auto"/>
            </w:tcBorders>
            <w:hideMark/>
          </w:tcPr>
          <w:p w14:paraId="73048CBA" w14:textId="19658E76"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871AFE">
              <w:rPr>
                <w:rFonts w:ascii="Times New Roman" w:eastAsia="Times New Roman" w:hAnsi="Times New Roman" w:cs="Times New Roman"/>
                <w:bCs/>
                <w:noProof/>
                <w:color w:val="000000" w:themeColor="text1"/>
                <w:sz w:val="24"/>
                <w:szCs w:val="24"/>
                <w:lang w:val="en-IE"/>
              </w:rPr>
              <w:t>59.45</w:t>
            </w:r>
            <w:r w:rsidR="00871AFE" w:rsidRPr="004947ED">
              <w:rPr>
                <w:rFonts w:ascii="Times New Roman" w:eastAsia="Times New Roman" w:hAnsi="Times New Roman" w:cs="Times New Roman"/>
                <w:bCs/>
                <w:noProof/>
                <w:color w:val="000000" w:themeColor="text1"/>
                <w:sz w:val="24"/>
                <w:szCs w:val="24"/>
                <w:lang w:val="en-IE"/>
              </w:rPr>
              <w:t> </w:t>
            </w:r>
          </w:p>
        </w:tc>
        <w:tc>
          <w:tcPr>
            <w:tcW w:w="909" w:type="pct"/>
            <w:tcBorders>
              <w:top w:val="single" w:sz="6" w:space="0" w:color="auto"/>
              <w:left w:val="single" w:sz="6" w:space="0" w:color="auto"/>
              <w:bottom w:val="single" w:sz="6" w:space="0" w:color="auto"/>
              <w:right w:val="single" w:sz="6" w:space="0" w:color="auto"/>
            </w:tcBorders>
            <w:hideMark/>
          </w:tcPr>
          <w:p w14:paraId="10979E67" w14:textId="68171689"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871AFE">
              <w:rPr>
                <w:rFonts w:ascii="Times New Roman" w:eastAsia="Times New Roman" w:hAnsi="Times New Roman" w:cs="Times New Roman"/>
                <w:bCs/>
                <w:noProof/>
                <w:color w:val="000000" w:themeColor="text1"/>
                <w:sz w:val="24"/>
                <w:szCs w:val="24"/>
                <w:lang w:val="en-IE"/>
              </w:rPr>
              <w:t>59.45</w:t>
            </w:r>
            <w:r w:rsidR="00871AFE" w:rsidRPr="004947ED">
              <w:rPr>
                <w:rFonts w:ascii="Times New Roman" w:eastAsia="Times New Roman" w:hAnsi="Times New Roman" w:cs="Times New Roman"/>
                <w:bCs/>
                <w:noProof/>
                <w:color w:val="000000" w:themeColor="text1"/>
                <w:sz w:val="24"/>
                <w:szCs w:val="24"/>
                <w:lang w:val="en-IE"/>
              </w:rPr>
              <w:t> </w:t>
            </w:r>
          </w:p>
        </w:tc>
      </w:tr>
      <w:tr w:rsidR="00A15362" w:rsidRPr="003C57E8" w14:paraId="27F9AED6" w14:textId="77777777" w:rsidTr="003B5854">
        <w:trPr>
          <w:trHeight w:val="300"/>
        </w:trPr>
        <w:tc>
          <w:tcPr>
            <w:tcW w:w="2279" w:type="pct"/>
            <w:tcBorders>
              <w:top w:val="single" w:sz="6" w:space="0" w:color="auto"/>
              <w:left w:val="single" w:sz="6" w:space="0" w:color="auto"/>
              <w:bottom w:val="single" w:sz="6" w:space="0" w:color="auto"/>
              <w:right w:val="single" w:sz="6" w:space="0" w:color="auto"/>
            </w:tcBorders>
            <w:hideMark/>
          </w:tcPr>
          <w:p w14:paraId="7D82E410" w14:textId="0528C607" w:rsidR="00A15362" w:rsidRPr="004947ED" w:rsidRDefault="00A15362">
            <w:pPr>
              <w:pStyle w:val="JRCText"/>
              <w:rPr>
                <w:rFonts w:ascii="Times New Roman" w:eastAsia="Times New Roman" w:hAnsi="Times New Roman" w:cs="Times New Roman"/>
                <w:bCs/>
                <w:i/>
                <w:noProof/>
                <w:color w:val="000000" w:themeColor="text1"/>
                <w:sz w:val="24"/>
                <w:szCs w:val="24"/>
                <w:lang w:val="en-IE"/>
              </w:rPr>
            </w:pPr>
            <w:r w:rsidRPr="00711A04">
              <w:rPr>
                <w:rFonts w:ascii="Times New Roman" w:eastAsia="Times New Roman" w:hAnsi="Times New Roman" w:cs="Times New Roman"/>
                <w:bCs/>
                <w:i/>
                <w:noProof/>
                <w:color w:val="000000" w:themeColor="text1"/>
                <w:sz w:val="24"/>
                <w:szCs w:val="24"/>
                <w:lang w:val="en-IE"/>
              </w:rPr>
              <w:t>Heavy duty ICEs</w:t>
            </w:r>
            <w:r w:rsidRPr="004947ED">
              <w:rPr>
                <w:rFonts w:ascii="Times New Roman" w:eastAsia="Times New Roman" w:hAnsi="Times New Roman" w:cs="Times New Roman"/>
                <w:bCs/>
                <w:i/>
                <w:noProof/>
                <w:color w:val="000000" w:themeColor="text1"/>
                <w:sz w:val="24"/>
                <w:szCs w:val="24"/>
                <w:lang w:val="en-IE"/>
              </w:rPr>
              <w:t> </w:t>
            </w:r>
            <w:r w:rsidR="002D405D">
              <w:rPr>
                <w:rFonts w:ascii="Times New Roman" w:eastAsia="Times New Roman" w:hAnsi="Times New Roman" w:cs="Times New Roman"/>
                <w:bCs/>
                <w:i/>
                <w:noProof/>
                <w:color w:val="000000" w:themeColor="text1"/>
                <w:sz w:val="24"/>
                <w:szCs w:val="24"/>
                <w:lang w:val="en-IE"/>
              </w:rPr>
              <w:t>(LEAD_EII</w:t>
            </w:r>
            <w:r w:rsidR="009C71CF">
              <w:rPr>
                <w:rFonts w:ascii="Times New Roman" w:eastAsia="Times New Roman" w:hAnsi="Times New Roman" w:cs="Times New Roman"/>
                <w:bCs/>
                <w:i/>
                <w:noProof/>
                <w:color w:val="000000" w:themeColor="text1"/>
                <w:sz w:val="24"/>
                <w:szCs w:val="24"/>
                <w:lang w:val="en-IE"/>
              </w:rPr>
              <w:t xml:space="preserve"> </w:t>
            </w:r>
            <w:r w:rsidR="002D405D">
              <w:rPr>
                <w:rFonts w:ascii="Times New Roman" w:eastAsia="Times New Roman" w:hAnsi="Times New Roman" w:cs="Times New Roman"/>
                <w:bCs/>
                <w:i/>
                <w:noProof/>
                <w:color w:val="000000" w:themeColor="text1"/>
                <w:sz w:val="24"/>
                <w:szCs w:val="24"/>
                <w:lang w:val="en-IE"/>
              </w:rPr>
              <w:t>)</w:t>
            </w:r>
          </w:p>
        </w:tc>
        <w:tc>
          <w:tcPr>
            <w:tcW w:w="866" w:type="pct"/>
            <w:tcBorders>
              <w:top w:val="single" w:sz="6" w:space="0" w:color="auto"/>
              <w:left w:val="single" w:sz="6" w:space="0" w:color="auto"/>
              <w:bottom w:val="single" w:sz="6" w:space="0" w:color="auto"/>
              <w:right w:val="single" w:sz="6" w:space="0" w:color="auto"/>
            </w:tcBorders>
            <w:hideMark/>
          </w:tcPr>
          <w:p w14:paraId="217430E0" w14:textId="6CF1FD78"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720085">
              <w:rPr>
                <w:rFonts w:ascii="Times New Roman" w:eastAsia="Times New Roman" w:hAnsi="Times New Roman" w:cs="Times New Roman"/>
                <w:bCs/>
                <w:noProof/>
                <w:color w:val="000000" w:themeColor="text1"/>
                <w:sz w:val="24"/>
                <w:szCs w:val="24"/>
                <w:lang w:val="en-IE"/>
              </w:rPr>
              <w:t>277.</w:t>
            </w:r>
            <w:r w:rsidR="00791733">
              <w:rPr>
                <w:rFonts w:ascii="Times New Roman" w:eastAsia="Times New Roman" w:hAnsi="Times New Roman" w:cs="Times New Roman"/>
                <w:bCs/>
                <w:noProof/>
                <w:color w:val="000000" w:themeColor="text1"/>
                <w:sz w:val="24"/>
                <w:szCs w:val="24"/>
                <w:lang w:val="en-IE"/>
              </w:rPr>
              <w:t>96</w:t>
            </w:r>
            <w:r w:rsidR="00A15362" w:rsidRPr="004947ED">
              <w:rPr>
                <w:rFonts w:ascii="Times New Roman" w:eastAsia="Times New Roman" w:hAnsi="Times New Roman" w:cs="Times New Roman"/>
                <w:bCs/>
                <w:noProof/>
                <w:color w:val="000000" w:themeColor="text1"/>
                <w:sz w:val="24"/>
                <w:szCs w:val="24"/>
                <w:lang w:val="en-IE"/>
              </w:rPr>
              <w:t> </w:t>
            </w:r>
          </w:p>
        </w:tc>
        <w:tc>
          <w:tcPr>
            <w:tcW w:w="945" w:type="pct"/>
            <w:tcBorders>
              <w:top w:val="single" w:sz="6" w:space="0" w:color="auto"/>
              <w:left w:val="single" w:sz="6" w:space="0" w:color="auto"/>
              <w:bottom w:val="single" w:sz="6" w:space="0" w:color="auto"/>
              <w:right w:val="single" w:sz="6" w:space="0" w:color="auto"/>
            </w:tcBorders>
            <w:hideMark/>
          </w:tcPr>
          <w:p w14:paraId="0183CCFB" w14:textId="3E7993EC"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720085">
              <w:rPr>
                <w:rFonts w:ascii="Times New Roman" w:eastAsia="Times New Roman" w:hAnsi="Times New Roman" w:cs="Times New Roman"/>
                <w:bCs/>
                <w:noProof/>
                <w:color w:val="000000" w:themeColor="text1"/>
                <w:sz w:val="24"/>
                <w:szCs w:val="24"/>
                <w:lang w:val="en-IE"/>
              </w:rPr>
              <w:t>277.</w:t>
            </w:r>
            <w:r w:rsidR="00791733">
              <w:rPr>
                <w:rFonts w:ascii="Times New Roman" w:eastAsia="Times New Roman" w:hAnsi="Times New Roman" w:cs="Times New Roman"/>
                <w:bCs/>
                <w:noProof/>
                <w:color w:val="000000" w:themeColor="text1"/>
                <w:sz w:val="24"/>
                <w:szCs w:val="24"/>
                <w:lang w:val="en-IE"/>
              </w:rPr>
              <w:t>96</w:t>
            </w:r>
            <w:r w:rsidR="00720085" w:rsidRPr="004947ED">
              <w:rPr>
                <w:rFonts w:ascii="Times New Roman" w:eastAsia="Times New Roman" w:hAnsi="Times New Roman" w:cs="Times New Roman"/>
                <w:bCs/>
                <w:noProof/>
                <w:color w:val="000000" w:themeColor="text1"/>
                <w:sz w:val="24"/>
                <w:szCs w:val="24"/>
                <w:lang w:val="en-IE"/>
              </w:rPr>
              <w:t> </w:t>
            </w:r>
          </w:p>
        </w:tc>
        <w:tc>
          <w:tcPr>
            <w:tcW w:w="909" w:type="pct"/>
            <w:tcBorders>
              <w:top w:val="single" w:sz="6" w:space="0" w:color="auto"/>
              <w:left w:val="single" w:sz="6" w:space="0" w:color="auto"/>
              <w:bottom w:val="single" w:sz="6" w:space="0" w:color="auto"/>
              <w:right w:val="single" w:sz="6" w:space="0" w:color="auto"/>
            </w:tcBorders>
            <w:hideMark/>
          </w:tcPr>
          <w:p w14:paraId="385B773A" w14:textId="491E2649" w:rsidR="00A15362" w:rsidRPr="004947ED" w:rsidRDefault="00F26C8E">
            <w:pPr>
              <w:pStyle w:val="JRCText"/>
              <w:rPr>
                <w:rFonts w:ascii="Times New Roman" w:eastAsia="Times New Roman" w:hAnsi="Times New Roman" w:cs="Times New Roman"/>
                <w:bCs/>
                <w:noProof/>
                <w:color w:val="000000" w:themeColor="text1"/>
                <w:sz w:val="24"/>
                <w:szCs w:val="24"/>
                <w:lang w:val="en-IE"/>
              </w:rPr>
            </w:pPr>
            <w:r>
              <w:rPr>
                <w:rFonts w:ascii="Times New Roman" w:eastAsia="Times New Roman" w:hAnsi="Times New Roman" w:cs="Times New Roman"/>
                <w:bCs/>
                <w:noProof/>
                <w:color w:val="000000" w:themeColor="text1"/>
                <w:sz w:val="24"/>
                <w:szCs w:val="24"/>
                <w:lang w:val="en-IE"/>
              </w:rPr>
              <w:t xml:space="preserve">EUR </w:t>
            </w:r>
            <w:r w:rsidR="00720085">
              <w:rPr>
                <w:rFonts w:ascii="Times New Roman" w:eastAsia="Times New Roman" w:hAnsi="Times New Roman" w:cs="Times New Roman"/>
                <w:bCs/>
                <w:noProof/>
                <w:color w:val="000000" w:themeColor="text1"/>
                <w:sz w:val="24"/>
                <w:szCs w:val="24"/>
                <w:lang w:val="en-IE"/>
              </w:rPr>
              <w:t>277.</w:t>
            </w:r>
            <w:r w:rsidR="00791733">
              <w:rPr>
                <w:rFonts w:ascii="Times New Roman" w:eastAsia="Times New Roman" w:hAnsi="Times New Roman" w:cs="Times New Roman"/>
                <w:bCs/>
                <w:noProof/>
                <w:color w:val="000000" w:themeColor="text1"/>
                <w:sz w:val="24"/>
                <w:szCs w:val="24"/>
                <w:lang w:val="en-IE"/>
              </w:rPr>
              <w:t>96</w:t>
            </w:r>
          </w:p>
        </w:tc>
      </w:tr>
    </w:tbl>
    <w:p w14:paraId="6D53D47B" w14:textId="48A74DCE" w:rsidR="00544402" w:rsidRDefault="00544402" w:rsidP="00DE7556">
      <w:pPr>
        <w:pStyle w:val="JRCText"/>
        <w:jc w:val="both"/>
        <w:rPr>
          <w:rFonts w:ascii="Times New Roman" w:hAnsi="Times New Roman" w:cs="Times New Roman"/>
          <w:noProof/>
          <w:color w:val="000000" w:themeColor="text1"/>
          <w:sz w:val="24"/>
          <w:szCs w:val="24"/>
        </w:rPr>
      </w:pPr>
    </w:p>
    <w:p w14:paraId="3279B294" w14:textId="5560B891" w:rsidR="009324D7" w:rsidRDefault="009324D7" w:rsidP="00DE7556">
      <w:pPr>
        <w:pStyle w:val="JRCText"/>
        <w:jc w:val="both"/>
        <w:rPr>
          <w:rFonts w:ascii="Times New Roman" w:hAnsi="Times New Roman" w:cs="Times New Roman"/>
          <w:b/>
          <w:noProof/>
          <w:color w:val="000000" w:themeColor="text1"/>
          <w:sz w:val="24"/>
          <w:szCs w:val="24"/>
        </w:rPr>
      </w:pPr>
      <w:r w:rsidRPr="000D51C0">
        <w:rPr>
          <w:rFonts w:ascii="Times New Roman" w:hAnsi="Times New Roman" w:cs="Times New Roman"/>
          <w:b/>
          <w:noProof/>
          <w:color w:val="000000" w:themeColor="text1"/>
          <w:sz w:val="24"/>
          <w:szCs w:val="24"/>
        </w:rPr>
        <w:t>Cumulative administrative and adjustment costs, and benefits for Member States</w:t>
      </w:r>
      <w:r w:rsidRPr="00F03F9B">
        <w:rPr>
          <w:rFonts w:ascii="Times New Roman" w:hAnsi="Times New Roman" w:cs="Times New Roman"/>
          <w:b/>
          <w:noProof/>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3"/>
        <w:gridCol w:w="2093"/>
        <w:gridCol w:w="2391"/>
        <w:gridCol w:w="2621"/>
      </w:tblGrid>
      <w:tr w:rsidR="00F03F9B" w:rsidRPr="004947ED" w14:paraId="0B3F6C4A" w14:textId="77777777" w:rsidTr="000D51C0">
        <w:trPr>
          <w:trHeight w:val="300"/>
          <w:tblHeader/>
        </w:trPr>
        <w:tc>
          <w:tcPr>
            <w:tcW w:w="1256" w:type="pct"/>
            <w:tcBorders>
              <w:bottom w:val="single" w:sz="4" w:space="0" w:color="auto"/>
            </w:tcBorders>
            <w:hideMark/>
          </w:tcPr>
          <w:p w14:paraId="5C4EDF3C" w14:textId="63C2EEFE" w:rsidR="009324D7" w:rsidRPr="00B22652" w:rsidRDefault="009324D7" w:rsidP="000D51C0">
            <w:pPr>
              <w:pStyle w:val="JRCText"/>
              <w:jc w:val="center"/>
              <w:rPr>
                <w:rFonts w:ascii="Times New Roman" w:eastAsia="Times New Roman" w:hAnsi="Times New Roman" w:cs="Times New Roman"/>
                <w:noProof/>
                <w:color w:val="000000" w:themeColor="text1"/>
                <w:sz w:val="24"/>
                <w:szCs w:val="24"/>
                <w:lang w:val="en-IE"/>
              </w:rPr>
            </w:pPr>
            <w:r w:rsidRPr="000D51C0">
              <w:rPr>
                <w:rFonts w:ascii="Times New Roman" w:eastAsia="Times New Roman" w:hAnsi="Times New Roman" w:cs="Times New Roman"/>
                <w:bCs/>
                <w:noProof/>
                <w:color w:val="000000" w:themeColor="text1"/>
                <w:sz w:val="24"/>
                <w:szCs w:val="24"/>
                <w:lang w:val="en-IE"/>
              </w:rPr>
              <w:t>Member States</w:t>
            </w:r>
          </w:p>
        </w:tc>
        <w:tc>
          <w:tcPr>
            <w:tcW w:w="1103" w:type="pct"/>
            <w:tcBorders>
              <w:bottom w:val="single" w:sz="4" w:space="0" w:color="auto"/>
            </w:tcBorders>
            <w:shd w:val="clear" w:color="auto" w:fill="215E99" w:themeFill="text2" w:themeFillTint="BF"/>
            <w:hideMark/>
          </w:tcPr>
          <w:p w14:paraId="58D6EDAB" w14:textId="77777777" w:rsidR="009324D7" w:rsidRPr="00593807" w:rsidRDefault="009324D7">
            <w:pPr>
              <w:pStyle w:val="JRCText"/>
              <w:rPr>
                <w:rFonts w:ascii="Times New Roman" w:eastAsia="Times New Roman" w:hAnsi="Times New Roman" w:cs="Times New Roman"/>
                <w:b/>
                <w:noProof/>
                <w:color w:val="FFFFFF" w:themeColor="background1"/>
                <w:sz w:val="24"/>
                <w:szCs w:val="24"/>
                <w:lang w:val="en-IE"/>
              </w:rPr>
            </w:pPr>
            <w:r w:rsidRPr="00593807">
              <w:rPr>
                <w:rFonts w:ascii="Times New Roman" w:eastAsia="Times New Roman" w:hAnsi="Times New Roman" w:cs="Times New Roman"/>
                <w:b/>
                <w:noProof/>
                <w:color w:val="FFFFFF" w:themeColor="background1"/>
                <w:sz w:val="24"/>
                <w:szCs w:val="24"/>
                <w:lang w:val="en-IE"/>
              </w:rPr>
              <w:t>PO1 </w:t>
            </w:r>
          </w:p>
        </w:tc>
        <w:tc>
          <w:tcPr>
            <w:tcW w:w="1260" w:type="pct"/>
            <w:tcBorders>
              <w:bottom w:val="single" w:sz="4" w:space="0" w:color="auto"/>
            </w:tcBorders>
            <w:shd w:val="clear" w:color="auto" w:fill="215E99" w:themeFill="text2" w:themeFillTint="BF"/>
            <w:hideMark/>
          </w:tcPr>
          <w:p w14:paraId="4868900A" w14:textId="77777777" w:rsidR="009324D7" w:rsidRPr="00593807" w:rsidRDefault="009324D7">
            <w:pPr>
              <w:pStyle w:val="JRCText"/>
              <w:rPr>
                <w:rFonts w:ascii="Times New Roman" w:eastAsia="Times New Roman" w:hAnsi="Times New Roman" w:cs="Times New Roman"/>
                <w:b/>
                <w:noProof/>
                <w:color w:val="FFFFFF" w:themeColor="background1"/>
                <w:sz w:val="24"/>
                <w:szCs w:val="24"/>
                <w:lang w:val="en-IE"/>
              </w:rPr>
            </w:pPr>
            <w:r w:rsidRPr="00593807">
              <w:rPr>
                <w:rFonts w:ascii="Times New Roman" w:eastAsia="Times New Roman" w:hAnsi="Times New Roman" w:cs="Times New Roman"/>
                <w:b/>
                <w:noProof/>
                <w:color w:val="FFFFFF" w:themeColor="background1"/>
                <w:sz w:val="24"/>
                <w:szCs w:val="24"/>
                <w:lang w:val="en-IE"/>
              </w:rPr>
              <w:t>PO2 </w:t>
            </w:r>
          </w:p>
        </w:tc>
        <w:tc>
          <w:tcPr>
            <w:tcW w:w="1382" w:type="pct"/>
            <w:tcBorders>
              <w:bottom w:val="single" w:sz="4" w:space="0" w:color="auto"/>
            </w:tcBorders>
            <w:shd w:val="clear" w:color="auto" w:fill="215E99" w:themeFill="text2" w:themeFillTint="BF"/>
            <w:hideMark/>
          </w:tcPr>
          <w:p w14:paraId="6E6A9E15" w14:textId="77777777" w:rsidR="009324D7" w:rsidRPr="00593807" w:rsidRDefault="009324D7">
            <w:pPr>
              <w:pStyle w:val="JRCText"/>
              <w:rPr>
                <w:rFonts w:ascii="Times New Roman" w:eastAsia="Times New Roman" w:hAnsi="Times New Roman" w:cs="Times New Roman"/>
                <w:b/>
                <w:noProof/>
                <w:color w:val="FFFFFF" w:themeColor="background1"/>
                <w:sz w:val="24"/>
                <w:szCs w:val="24"/>
                <w:lang w:val="en-IE"/>
              </w:rPr>
            </w:pPr>
            <w:r w:rsidRPr="00593807">
              <w:rPr>
                <w:rFonts w:ascii="Times New Roman" w:eastAsia="Times New Roman" w:hAnsi="Times New Roman" w:cs="Times New Roman"/>
                <w:b/>
                <w:noProof/>
                <w:color w:val="FFFFFF" w:themeColor="background1"/>
                <w:sz w:val="24"/>
                <w:szCs w:val="24"/>
                <w:lang w:val="en-IE"/>
              </w:rPr>
              <w:t>PO3 </w:t>
            </w:r>
          </w:p>
        </w:tc>
      </w:tr>
      <w:tr w:rsidR="009324D7" w:rsidRPr="004947ED" w14:paraId="0EBC7C53" w14:textId="77777777" w:rsidTr="003B5854">
        <w:trPr>
          <w:trHeight w:val="618"/>
        </w:trPr>
        <w:tc>
          <w:tcPr>
            <w:tcW w:w="1256" w:type="pct"/>
            <w:tcBorders>
              <w:top w:val="single" w:sz="4" w:space="0" w:color="auto"/>
              <w:bottom w:val="single" w:sz="4" w:space="0" w:color="auto"/>
              <w:right w:val="single" w:sz="4" w:space="0" w:color="auto"/>
            </w:tcBorders>
            <w:hideMark/>
          </w:tcPr>
          <w:p w14:paraId="1B2A12A6" w14:textId="7CAA033A" w:rsidR="009324D7" w:rsidRPr="00593807" w:rsidRDefault="005F69B1">
            <w:pPr>
              <w:pStyle w:val="JRCText"/>
              <w:rPr>
                <w:rFonts w:ascii="Times New Roman" w:eastAsia="Times New Roman" w:hAnsi="Times New Roman" w:cs="Times New Roman"/>
                <w:i/>
                <w:noProof/>
                <w:color w:val="000000" w:themeColor="text1"/>
                <w:sz w:val="24"/>
                <w:szCs w:val="24"/>
                <w:lang w:val="en-IE"/>
              </w:rPr>
            </w:pPr>
            <w:r>
              <w:rPr>
                <w:rFonts w:ascii="Times New Roman" w:eastAsia="Aptos" w:hAnsi="Times New Roman" w:cs="Times New Roman"/>
                <w:i/>
                <w:noProof/>
                <w:sz w:val="24"/>
                <w:szCs w:val="24"/>
                <w:lang w:val="en-US"/>
              </w:rPr>
              <w:t>Adjustment</w:t>
            </w:r>
            <w:r w:rsidR="009324D7" w:rsidRPr="00593807">
              <w:rPr>
                <w:rFonts w:ascii="Times New Roman" w:eastAsia="Aptos" w:hAnsi="Times New Roman" w:cs="Times New Roman"/>
                <w:i/>
                <w:noProof/>
                <w:sz w:val="24"/>
                <w:szCs w:val="24"/>
                <w:lang w:val="en-US"/>
              </w:rPr>
              <w:t xml:space="preserve"> Costs</w:t>
            </w:r>
          </w:p>
        </w:tc>
        <w:tc>
          <w:tcPr>
            <w:tcW w:w="1103" w:type="pct"/>
            <w:tcBorders>
              <w:top w:val="single" w:sz="4" w:space="0" w:color="auto"/>
              <w:left w:val="single" w:sz="4" w:space="0" w:color="auto"/>
              <w:bottom w:val="single" w:sz="4" w:space="0" w:color="auto"/>
              <w:right w:val="single" w:sz="4" w:space="0" w:color="auto"/>
            </w:tcBorders>
            <w:vAlign w:val="bottom"/>
            <w:hideMark/>
          </w:tcPr>
          <w:p w14:paraId="7CBDF48C" w14:textId="48E3AEB5" w:rsidR="009324D7" w:rsidRDefault="009324D7" w:rsidP="1FA04443">
            <w:pPr>
              <w:pStyle w:val="JRCText"/>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t xml:space="preserve">EUR </w:t>
            </w:r>
            <w:r w:rsidR="55FC697A" w:rsidRPr="1FA04443">
              <w:rPr>
                <w:rFonts w:ascii="Times New Roman" w:hAnsi="Times New Roman" w:cs="Times New Roman"/>
                <w:noProof/>
                <w:color w:val="000000" w:themeColor="text1"/>
                <w:sz w:val="24"/>
                <w:szCs w:val="24"/>
              </w:rPr>
              <w:t>3</w:t>
            </w:r>
            <w:r w:rsidRPr="1FA04443">
              <w:rPr>
                <w:rFonts w:ascii="Times New Roman" w:hAnsi="Times New Roman" w:cs="Times New Roman"/>
                <w:noProof/>
                <w:color w:val="000000" w:themeColor="text1"/>
                <w:sz w:val="24"/>
                <w:szCs w:val="24"/>
              </w:rPr>
              <w:t xml:space="preserve"> </w:t>
            </w:r>
          </w:p>
          <w:p w14:paraId="381A33E3" w14:textId="262243CA" w:rsidR="009324D7" w:rsidRPr="004947ED" w:rsidRDefault="00D628BF" w:rsidP="1FA04443">
            <w:pPr>
              <w:pStyle w:val="JRCText"/>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lastRenderedPageBreak/>
              <w:t>821 million</w:t>
            </w:r>
          </w:p>
        </w:tc>
        <w:tc>
          <w:tcPr>
            <w:tcW w:w="1260" w:type="pct"/>
            <w:tcBorders>
              <w:top w:val="single" w:sz="4" w:space="0" w:color="auto"/>
              <w:left w:val="single" w:sz="4" w:space="0" w:color="auto"/>
              <w:bottom w:val="single" w:sz="4" w:space="0" w:color="auto"/>
              <w:right w:val="single" w:sz="4" w:space="0" w:color="auto"/>
            </w:tcBorders>
            <w:vAlign w:val="bottom"/>
            <w:hideMark/>
          </w:tcPr>
          <w:p w14:paraId="1F920711" w14:textId="3D761FE4" w:rsidR="009324D7" w:rsidRDefault="009324D7" w:rsidP="1FA04443">
            <w:pPr>
              <w:pStyle w:val="JRCText"/>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lastRenderedPageBreak/>
              <w:t xml:space="preserve">EUR  </w:t>
            </w:r>
          </w:p>
          <w:p w14:paraId="60454D2D" w14:textId="526DD8DE" w:rsidR="009324D7" w:rsidRPr="004947ED" w:rsidRDefault="00D628BF" w:rsidP="1FA04443">
            <w:pPr>
              <w:pStyle w:val="JRCText"/>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lastRenderedPageBreak/>
              <w:t>821 million</w:t>
            </w:r>
          </w:p>
        </w:tc>
        <w:tc>
          <w:tcPr>
            <w:tcW w:w="1382" w:type="pct"/>
            <w:tcBorders>
              <w:top w:val="single" w:sz="4" w:space="0" w:color="auto"/>
              <w:left w:val="single" w:sz="4" w:space="0" w:color="auto"/>
              <w:bottom w:val="single" w:sz="4" w:space="0" w:color="auto"/>
              <w:right w:val="single" w:sz="4" w:space="0" w:color="auto"/>
            </w:tcBorders>
            <w:vAlign w:val="bottom"/>
            <w:hideMark/>
          </w:tcPr>
          <w:p w14:paraId="3BF07987" w14:textId="6C1CF78B" w:rsidR="009324D7" w:rsidRDefault="009324D7" w:rsidP="1FA04443">
            <w:pPr>
              <w:pStyle w:val="JRCText"/>
              <w:rPr>
                <w:rFonts w:ascii="Times New Roman" w:hAnsi="Times New Roman" w:cs="Times New Roman"/>
                <w:noProof/>
                <w:color w:val="000000" w:themeColor="text1"/>
                <w:sz w:val="24"/>
                <w:szCs w:val="24"/>
              </w:rPr>
            </w:pPr>
            <w:r w:rsidRPr="1FA04443">
              <w:rPr>
                <w:rFonts w:ascii="Times New Roman" w:hAnsi="Times New Roman" w:cs="Times New Roman"/>
                <w:noProof/>
                <w:color w:val="000000" w:themeColor="text1"/>
                <w:sz w:val="24"/>
                <w:szCs w:val="24"/>
              </w:rPr>
              <w:lastRenderedPageBreak/>
              <w:t xml:space="preserve">EUR </w:t>
            </w:r>
          </w:p>
          <w:p w14:paraId="5DAE9CA6" w14:textId="398BE815" w:rsidR="009324D7" w:rsidRPr="004947ED" w:rsidRDefault="00662AAA" w:rsidP="1FA04443">
            <w:pPr>
              <w:pStyle w:val="JRCText"/>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lastRenderedPageBreak/>
              <w:t>860 million</w:t>
            </w:r>
          </w:p>
        </w:tc>
      </w:tr>
      <w:tr w:rsidR="009324D7" w:rsidRPr="004947ED" w14:paraId="53765753" w14:textId="77777777" w:rsidTr="003B5854">
        <w:trPr>
          <w:trHeight w:val="300"/>
        </w:trPr>
        <w:tc>
          <w:tcPr>
            <w:tcW w:w="1256" w:type="pct"/>
            <w:tcBorders>
              <w:top w:val="single" w:sz="4" w:space="0" w:color="auto"/>
              <w:bottom w:val="single" w:sz="4" w:space="0" w:color="auto"/>
              <w:right w:val="single" w:sz="4" w:space="0" w:color="auto"/>
            </w:tcBorders>
            <w:hideMark/>
          </w:tcPr>
          <w:p w14:paraId="6FFA44D5" w14:textId="0C97C8AB" w:rsidR="009324D7" w:rsidRPr="00593807" w:rsidRDefault="005F69B1">
            <w:pPr>
              <w:pStyle w:val="JRCText"/>
              <w:rPr>
                <w:rFonts w:ascii="Times New Roman" w:eastAsia="Times New Roman" w:hAnsi="Times New Roman" w:cs="Times New Roman"/>
                <w:i/>
                <w:noProof/>
                <w:color w:val="000000" w:themeColor="text1"/>
                <w:sz w:val="24"/>
                <w:szCs w:val="24"/>
                <w:lang w:val="en-IE"/>
              </w:rPr>
            </w:pPr>
            <w:r>
              <w:rPr>
                <w:rFonts w:ascii="Times New Roman" w:eastAsia="Aptos" w:hAnsi="Times New Roman" w:cs="Times New Roman"/>
                <w:i/>
                <w:noProof/>
                <w:sz w:val="24"/>
                <w:szCs w:val="24"/>
                <w:lang w:val="en-US"/>
              </w:rPr>
              <w:lastRenderedPageBreak/>
              <w:t>Administrative</w:t>
            </w:r>
            <w:r w:rsidR="009324D7" w:rsidRPr="00593807">
              <w:rPr>
                <w:rFonts w:ascii="Times New Roman" w:eastAsia="Aptos" w:hAnsi="Times New Roman" w:cs="Times New Roman"/>
                <w:i/>
                <w:noProof/>
                <w:sz w:val="24"/>
                <w:szCs w:val="24"/>
                <w:lang w:val="en-US"/>
              </w:rPr>
              <w:t xml:space="preserve"> Costs</w:t>
            </w:r>
          </w:p>
        </w:tc>
        <w:tc>
          <w:tcPr>
            <w:tcW w:w="1103" w:type="pct"/>
            <w:tcBorders>
              <w:top w:val="single" w:sz="4" w:space="0" w:color="auto"/>
              <w:left w:val="single" w:sz="4" w:space="0" w:color="auto"/>
              <w:bottom w:val="single" w:sz="4" w:space="0" w:color="auto"/>
              <w:right w:val="single" w:sz="4" w:space="0" w:color="auto"/>
            </w:tcBorders>
            <w:vAlign w:val="bottom"/>
            <w:hideMark/>
          </w:tcPr>
          <w:p w14:paraId="6F2F808F" w14:textId="553406F4" w:rsidR="009324D7" w:rsidRPr="004947ED" w:rsidRDefault="009324D7">
            <w:pPr>
              <w:pStyle w:val="JRCText"/>
              <w:rPr>
                <w:rFonts w:ascii="Times New Roman" w:eastAsia="Times New Roman" w:hAnsi="Times New Roman" w:cs="Times New Roman"/>
                <w:bCs/>
                <w:noProof/>
                <w:color w:val="000000" w:themeColor="text1"/>
                <w:sz w:val="24"/>
                <w:szCs w:val="24"/>
                <w:lang w:val="en-IE"/>
              </w:rPr>
            </w:pPr>
            <w:r w:rsidRPr="00F03F9B">
              <w:rPr>
                <w:rFonts w:ascii="Times New Roman" w:hAnsi="Times New Roman" w:cs="Times New Roman"/>
                <w:noProof/>
                <w:color w:val="000000"/>
                <w:sz w:val="24"/>
                <w:szCs w:val="24"/>
              </w:rPr>
              <w:t xml:space="preserve">EUR </w:t>
            </w:r>
            <w:r w:rsidR="00034E24" w:rsidRPr="00F03F9B">
              <w:rPr>
                <w:rFonts w:ascii="Times New Roman" w:hAnsi="Times New Roman" w:cs="Times New Roman"/>
                <w:noProof/>
                <w:color w:val="000000"/>
                <w:sz w:val="24"/>
                <w:szCs w:val="24"/>
              </w:rPr>
              <w:t>5.62 million</w:t>
            </w:r>
          </w:p>
        </w:tc>
        <w:tc>
          <w:tcPr>
            <w:tcW w:w="1260" w:type="pct"/>
            <w:tcBorders>
              <w:top w:val="single" w:sz="4" w:space="0" w:color="auto"/>
              <w:left w:val="single" w:sz="4" w:space="0" w:color="auto"/>
              <w:bottom w:val="single" w:sz="4" w:space="0" w:color="auto"/>
              <w:right w:val="single" w:sz="4" w:space="0" w:color="auto"/>
            </w:tcBorders>
            <w:vAlign w:val="bottom"/>
            <w:hideMark/>
          </w:tcPr>
          <w:p w14:paraId="0C63DE6C" w14:textId="79ABDBCE" w:rsidR="009324D7" w:rsidRPr="004947ED" w:rsidRDefault="009324D7">
            <w:pPr>
              <w:pStyle w:val="JRCText"/>
              <w:rPr>
                <w:rFonts w:ascii="Times New Roman" w:eastAsia="Times New Roman" w:hAnsi="Times New Roman" w:cs="Times New Roman"/>
                <w:bCs/>
                <w:noProof/>
                <w:color w:val="000000" w:themeColor="text1"/>
                <w:sz w:val="24"/>
                <w:szCs w:val="24"/>
                <w:lang w:val="en-IE"/>
              </w:rPr>
            </w:pPr>
            <w:r w:rsidRPr="00F03F9B">
              <w:rPr>
                <w:rFonts w:ascii="Times New Roman" w:hAnsi="Times New Roman" w:cs="Times New Roman"/>
                <w:noProof/>
                <w:color w:val="000000"/>
                <w:sz w:val="24"/>
                <w:szCs w:val="24"/>
              </w:rPr>
              <w:t xml:space="preserve">EUR </w:t>
            </w:r>
            <w:r w:rsidR="00034E24" w:rsidRPr="00F03F9B">
              <w:rPr>
                <w:rFonts w:ascii="Times New Roman" w:hAnsi="Times New Roman" w:cs="Times New Roman"/>
                <w:noProof/>
                <w:color w:val="000000"/>
                <w:sz w:val="24"/>
                <w:szCs w:val="24"/>
              </w:rPr>
              <w:t>8.92 million</w:t>
            </w:r>
          </w:p>
        </w:tc>
        <w:tc>
          <w:tcPr>
            <w:tcW w:w="1382" w:type="pct"/>
            <w:tcBorders>
              <w:top w:val="single" w:sz="4" w:space="0" w:color="auto"/>
              <w:left w:val="single" w:sz="4" w:space="0" w:color="auto"/>
              <w:bottom w:val="single" w:sz="4" w:space="0" w:color="auto"/>
              <w:right w:val="single" w:sz="4" w:space="0" w:color="auto"/>
            </w:tcBorders>
            <w:vAlign w:val="bottom"/>
            <w:hideMark/>
          </w:tcPr>
          <w:p w14:paraId="6E587B12" w14:textId="336FB3B2" w:rsidR="009324D7" w:rsidRPr="004947ED" w:rsidRDefault="009324D7">
            <w:pPr>
              <w:pStyle w:val="JRCText"/>
              <w:rPr>
                <w:rFonts w:ascii="Times New Roman" w:eastAsia="Times New Roman" w:hAnsi="Times New Roman" w:cs="Times New Roman"/>
                <w:bCs/>
                <w:noProof/>
                <w:color w:val="000000" w:themeColor="text1"/>
                <w:sz w:val="24"/>
                <w:szCs w:val="24"/>
                <w:lang w:val="en-IE"/>
              </w:rPr>
            </w:pPr>
            <w:r w:rsidRPr="00F03F9B">
              <w:rPr>
                <w:rFonts w:ascii="Times New Roman" w:hAnsi="Times New Roman" w:cs="Times New Roman"/>
                <w:noProof/>
                <w:color w:val="000000"/>
                <w:sz w:val="24"/>
                <w:szCs w:val="24"/>
              </w:rPr>
              <w:t xml:space="preserve">EUR </w:t>
            </w:r>
            <w:r w:rsidR="00034E24" w:rsidRPr="00F03F9B">
              <w:rPr>
                <w:rFonts w:ascii="Times New Roman" w:hAnsi="Times New Roman" w:cs="Times New Roman"/>
                <w:noProof/>
                <w:color w:val="000000"/>
                <w:sz w:val="24"/>
                <w:szCs w:val="24"/>
              </w:rPr>
              <w:t>8.92 million</w:t>
            </w:r>
            <w:r w:rsidRPr="00F03F9B">
              <w:rPr>
                <w:rFonts w:ascii="Times New Roman" w:hAnsi="Times New Roman" w:cs="Times New Roman"/>
                <w:noProof/>
                <w:color w:val="000000"/>
                <w:sz w:val="24"/>
                <w:szCs w:val="24"/>
              </w:rPr>
              <w:t xml:space="preserve"> </w:t>
            </w:r>
          </w:p>
        </w:tc>
      </w:tr>
      <w:tr w:rsidR="009324D7" w:rsidRPr="004947ED" w14:paraId="71249363" w14:textId="77777777" w:rsidTr="003B5854">
        <w:trPr>
          <w:trHeight w:val="300"/>
        </w:trPr>
        <w:tc>
          <w:tcPr>
            <w:tcW w:w="1256" w:type="pct"/>
            <w:tcBorders>
              <w:top w:val="single" w:sz="4" w:space="0" w:color="auto"/>
              <w:bottom w:val="single" w:sz="4" w:space="0" w:color="auto"/>
              <w:right w:val="single" w:sz="4" w:space="0" w:color="auto"/>
            </w:tcBorders>
          </w:tcPr>
          <w:p w14:paraId="72E477B5" w14:textId="75550C6D" w:rsidR="009324D7" w:rsidRPr="00593807" w:rsidRDefault="009324D7">
            <w:pPr>
              <w:pStyle w:val="JRCText"/>
              <w:rPr>
                <w:rFonts w:ascii="Times New Roman" w:eastAsia="Aptos" w:hAnsi="Times New Roman" w:cs="Times New Roman"/>
                <w:i/>
                <w:noProof/>
                <w:sz w:val="24"/>
                <w:szCs w:val="24"/>
                <w:lang w:val="en-US"/>
              </w:rPr>
            </w:pPr>
            <w:r>
              <w:rPr>
                <w:rFonts w:ascii="Times New Roman" w:eastAsia="Aptos" w:hAnsi="Times New Roman" w:cs="Times New Roman"/>
                <w:i/>
                <w:noProof/>
                <w:sz w:val="24"/>
                <w:szCs w:val="24"/>
                <w:lang w:val="en-US"/>
              </w:rPr>
              <w:t>Benefi</w:t>
            </w:r>
            <w:r w:rsidRPr="00593807">
              <w:rPr>
                <w:rFonts w:ascii="Times New Roman" w:eastAsia="Aptos" w:hAnsi="Times New Roman" w:cs="Times New Roman"/>
                <w:i/>
                <w:noProof/>
                <w:sz w:val="24"/>
                <w:szCs w:val="24"/>
                <w:lang w:val="en-US"/>
              </w:rPr>
              <w:t>ts</w:t>
            </w:r>
          </w:p>
        </w:tc>
        <w:tc>
          <w:tcPr>
            <w:tcW w:w="1103" w:type="pct"/>
            <w:tcBorders>
              <w:top w:val="single" w:sz="4" w:space="0" w:color="auto"/>
              <w:left w:val="single" w:sz="4" w:space="0" w:color="auto"/>
              <w:bottom w:val="single" w:sz="4" w:space="0" w:color="auto"/>
              <w:right w:val="single" w:sz="4" w:space="0" w:color="auto"/>
            </w:tcBorders>
            <w:vAlign w:val="bottom"/>
          </w:tcPr>
          <w:p w14:paraId="41D142FB" w14:textId="2E51722E" w:rsidR="009324D7" w:rsidRPr="00F03F9B" w:rsidRDefault="00034E24">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 xml:space="preserve">EUR </w:t>
            </w:r>
            <w:r w:rsidR="00244818">
              <w:rPr>
                <w:rFonts w:ascii="Times New Roman" w:hAnsi="Times New Roman" w:cs="Times New Roman"/>
                <w:noProof/>
                <w:color w:val="000000"/>
                <w:sz w:val="24"/>
                <w:szCs w:val="24"/>
              </w:rPr>
              <w:t>1.3</w:t>
            </w:r>
            <w:r w:rsidR="008563DD">
              <w:rPr>
                <w:rFonts w:ascii="Times New Roman" w:hAnsi="Times New Roman" w:cs="Times New Roman"/>
                <w:noProof/>
                <w:color w:val="000000"/>
                <w:sz w:val="24"/>
                <w:szCs w:val="24"/>
              </w:rPr>
              <w:t xml:space="preserve"> </w:t>
            </w:r>
            <w:r w:rsidR="00C43286" w:rsidRPr="00F03F9B">
              <w:rPr>
                <w:rFonts w:ascii="Times New Roman" w:hAnsi="Times New Roman" w:cs="Times New Roman"/>
                <w:noProof/>
                <w:color w:val="000000"/>
                <w:sz w:val="24"/>
                <w:szCs w:val="24"/>
              </w:rPr>
              <w:t>billion</w:t>
            </w:r>
          </w:p>
        </w:tc>
        <w:tc>
          <w:tcPr>
            <w:tcW w:w="1260" w:type="pct"/>
            <w:tcBorders>
              <w:top w:val="single" w:sz="4" w:space="0" w:color="auto"/>
              <w:left w:val="single" w:sz="4" w:space="0" w:color="auto"/>
              <w:bottom w:val="single" w:sz="4" w:space="0" w:color="auto"/>
              <w:right w:val="single" w:sz="4" w:space="0" w:color="auto"/>
            </w:tcBorders>
            <w:vAlign w:val="bottom"/>
          </w:tcPr>
          <w:p w14:paraId="14036423" w14:textId="05960ABB" w:rsidR="009324D7" w:rsidRPr="00F03F9B" w:rsidRDefault="00C43286">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 xml:space="preserve">EUR </w:t>
            </w:r>
            <w:r w:rsidR="00244818">
              <w:rPr>
                <w:rFonts w:ascii="Times New Roman" w:hAnsi="Times New Roman" w:cs="Times New Roman"/>
                <w:noProof/>
                <w:color w:val="000000"/>
                <w:sz w:val="24"/>
                <w:szCs w:val="24"/>
              </w:rPr>
              <w:t xml:space="preserve">1.3 </w:t>
            </w:r>
            <w:r w:rsidRPr="00F03F9B">
              <w:rPr>
                <w:rFonts w:ascii="Times New Roman" w:hAnsi="Times New Roman" w:cs="Times New Roman"/>
                <w:noProof/>
                <w:color w:val="000000"/>
                <w:sz w:val="24"/>
                <w:szCs w:val="24"/>
              </w:rPr>
              <w:t>billion</w:t>
            </w:r>
          </w:p>
        </w:tc>
        <w:tc>
          <w:tcPr>
            <w:tcW w:w="1382" w:type="pct"/>
            <w:tcBorders>
              <w:top w:val="single" w:sz="4" w:space="0" w:color="auto"/>
              <w:left w:val="single" w:sz="4" w:space="0" w:color="auto"/>
              <w:bottom w:val="single" w:sz="4" w:space="0" w:color="auto"/>
              <w:right w:val="single" w:sz="4" w:space="0" w:color="auto"/>
            </w:tcBorders>
            <w:vAlign w:val="bottom"/>
          </w:tcPr>
          <w:p w14:paraId="61255B18" w14:textId="1AF8FE1B" w:rsidR="009324D7" w:rsidRPr="00F03F9B" w:rsidRDefault="00C43286">
            <w:pPr>
              <w:pStyle w:val="JRCText"/>
              <w:rPr>
                <w:rFonts w:ascii="Times New Roman" w:hAnsi="Times New Roman" w:cs="Times New Roman"/>
                <w:noProof/>
                <w:color w:val="000000"/>
                <w:sz w:val="24"/>
                <w:szCs w:val="24"/>
              </w:rPr>
            </w:pPr>
            <w:r w:rsidRPr="00F03F9B">
              <w:rPr>
                <w:rFonts w:ascii="Times New Roman" w:hAnsi="Times New Roman" w:cs="Times New Roman"/>
                <w:noProof/>
                <w:color w:val="000000"/>
                <w:sz w:val="24"/>
                <w:szCs w:val="24"/>
              </w:rPr>
              <w:t xml:space="preserve">EUR </w:t>
            </w:r>
            <w:r w:rsidR="00244818">
              <w:rPr>
                <w:rFonts w:ascii="Times New Roman" w:hAnsi="Times New Roman" w:cs="Times New Roman"/>
                <w:noProof/>
                <w:color w:val="000000"/>
                <w:sz w:val="24"/>
                <w:szCs w:val="24"/>
              </w:rPr>
              <w:t xml:space="preserve">1.3 </w:t>
            </w:r>
            <w:r w:rsidRPr="00F03F9B">
              <w:rPr>
                <w:rFonts w:ascii="Times New Roman" w:hAnsi="Times New Roman" w:cs="Times New Roman"/>
                <w:noProof/>
                <w:color w:val="000000"/>
                <w:sz w:val="24"/>
                <w:szCs w:val="24"/>
              </w:rPr>
              <w:t>billion</w:t>
            </w:r>
          </w:p>
        </w:tc>
      </w:tr>
      <w:tr w:rsidR="009324D7" w:rsidRPr="004947ED" w14:paraId="0110B454" w14:textId="77777777" w:rsidTr="003B5854">
        <w:trPr>
          <w:trHeight w:val="300"/>
        </w:trPr>
        <w:tc>
          <w:tcPr>
            <w:tcW w:w="1256" w:type="pct"/>
            <w:tcBorders>
              <w:top w:val="single" w:sz="4" w:space="0" w:color="auto"/>
              <w:bottom w:val="single" w:sz="4" w:space="0" w:color="auto"/>
              <w:right w:val="single" w:sz="4" w:space="0" w:color="auto"/>
            </w:tcBorders>
            <w:shd w:val="clear" w:color="auto" w:fill="DAE9F7" w:themeFill="text2" w:themeFillTint="1A"/>
          </w:tcPr>
          <w:p w14:paraId="69AF2CAA" w14:textId="68266E5D" w:rsidR="009324D7" w:rsidRPr="00C52454" w:rsidRDefault="009324D7">
            <w:pPr>
              <w:pStyle w:val="JRCText"/>
              <w:rPr>
                <w:rFonts w:ascii="Times New Roman" w:eastAsia="Aptos" w:hAnsi="Times New Roman" w:cs="Times New Roman"/>
                <w:b/>
                <w:bCs/>
                <w:i/>
                <w:noProof/>
                <w:sz w:val="24"/>
                <w:szCs w:val="24"/>
                <w:lang w:val="en-US"/>
              </w:rPr>
            </w:pPr>
            <w:r w:rsidRPr="00C52454">
              <w:rPr>
                <w:rFonts w:ascii="Times New Roman" w:eastAsia="Aptos" w:hAnsi="Times New Roman" w:cs="Times New Roman"/>
                <w:b/>
                <w:bCs/>
                <w:i/>
                <w:noProof/>
                <w:sz w:val="24"/>
                <w:szCs w:val="24"/>
                <w:lang w:val="en-US"/>
              </w:rPr>
              <w:t xml:space="preserve">Net </w:t>
            </w:r>
            <w:r w:rsidR="007C608B">
              <w:rPr>
                <w:rFonts w:ascii="Times New Roman" w:eastAsia="Aptos" w:hAnsi="Times New Roman" w:cs="Times New Roman"/>
                <w:b/>
                <w:bCs/>
                <w:i/>
                <w:noProof/>
                <w:sz w:val="24"/>
                <w:szCs w:val="24"/>
                <w:lang w:val="en-US"/>
              </w:rPr>
              <w:t xml:space="preserve">benefits </w:t>
            </w:r>
          </w:p>
        </w:tc>
        <w:tc>
          <w:tcPr>
            <w:tcW w:w="1103"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bottom"/>
          </w:tcPr>
          <w:p w14:paraId="0E7C3E0C" w14:textId="6E5A8A4B" w:rsidR="00662AAA" w:rsidRDefault="047178FF">
            <w:pPr>
              <w:pStyle w:val="JRCText"/>
              <w:rPr>
                <w:rFonts w:ascii="Times New Roman" w:hAnsi="Times New Roman" w:cs="Times New Roman"/>
                <w:b/>
                <w:bCs/>
                <w:noProof/>
                <w:color w:val="000000" w:themeColor="text1"/>
                <w:sz w:val="24"/>
                <w:szCs w:val="24"/>
              </w:rPr>
            </w:pPr>
            <w:r w:rsidRPr="00C52454">
              <w:rPr>
                <w:rFonts w:ascii="Times New Roman" w:hAnsi="Times New Roman" w:cs="Times New Roman"/>
                <w:b/>
                <w:bCs/>
                <w:noProof/>
                <w:color w:val="000000" w:themeColor="text1"/>
                <w:sz w:val="24"/>
                <w:szCs w:val="24"/>
              </w:rPr>
              <w:t xml:space="preserve">EUR </w:t>
            </w:r>
            <w:r w:rsidR="00F66280">
              <w:rPr>
                <w:rFonts w:ascii="Times New Roman" w:hAnsi="Times New Roman" w:cs="Times New Roman"/>
                <w:b/>
                <w:bCs/>
                <w:noProof/>
                <w:color w:val="000000" w:themeColor="text1"/>
                <w:sz w:val="24"/>
                <w:szCs w:val="24"/>
              </w:rPr>
              <w:t>473 million</w:t>
            </w:r>
          </w:p>
          <w:p w14:paraId="00516EC5" w14:textId="5C4D4FF3" w:rsidR="009324D7" w:rsidRPr="00C52454" w:rsidRDefault="009324D7">
            <w:pPr>
              <w:pStyle w:val="JRCText"/>
              <w:rPr>
                <w:rFonts w:ascii="Times New Roman" w:hAnsi="Times New Roman" w:cs="Times New Roman"/>
                <w:b/>
                <w:bCs/>
                <w:noProof/>
                <w:color w:val="000000"/>
                <w:sz w:val="24"/>
                <w:szCs w:val="24"/>
              </w:rPr>
            </w:pPr>
          </w:p>
        </w:tc>
        <w:tc>
          <w:tcPr>
            <w:tcW w:w="1260"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bottom"/>
          </w:tcPr>
          <w:p w14:paraId="1EDA5C66" w14:textId="22B371BA" w:rsidR="00662AAA" w:rsidRDefault="047178FF">
            <w:pPr>
              <w:pStyle w:val="JRCText"/>
              <w:rPr>
                <w:rFonts w:ascii="Times New Roman" w:hAnsi="Times New Roman" w:cs="Times New Roman"/>
                <w:b/>
                <w:bCs/>
                <w:noProof/>
                <w:color w:val="000000" w:themeColor="text1"/>
                <w:sz w:val="24"/>
                <w:szCs w:val="24"/>
              </w:rPr>
            </w:pPr>
            <w:r w:rsidRPr="00C52454">
              <w:rPr>
                <w:rFonts w:ascii="Times New Roman" w:hAnsi="Times New Roman" w:cs="Times New Roman"/>
                <w:b/>
                <w:bCs/>
                <w:noProof/>
                <w:color w:val="000000" w:themeColor="text1"/>
                <w:sz w:val="24"/>
                <w:szCs w:val="24"/>
              </w:rPr>
              <w:t>EUR</w:t>
            </w:r>
            <w:r w:rsidR="3B1A6791" w:rsidRPr="00C52454">
              <w:rPr>
                <w:rFonts w:ascii="Times New Roman" w:hAnsi="Times New Roman" w:cs="Times New Roman"/>
                <w:b/>
                <w:bCs/>
                <w:noProof/>
                <w:color w:val="000000" w:themeColor="text1"/>
                <w:sz w:val="24"/>
                <w:szCs w:val="24"/>
              </w:rPr>
              <w:t xml:space="preserve"> </w:t>
            </w:r>
            <w:r w:rsidR="000113A9">
              <w:rPr>
                <w:rFonts w:ascii="Times New Roman" w:hAnsi="Times New Roman" w:cs="Times New Roman"/>
                <w:b/>
                <w:bCs/>
                <w:noProof/>
                <w:color w:val="000000" w:themeColor="text1"/>
                <w:sz w:val="24"/>
                <w:szCs w:val="24"/>
              </w:rPr>
              <w:t>469 million</w:t>
            </w:r>
          </w:p>
          <w:p w14:paraId="4F133C74" w14:textId="6F48F990" w:rsidR="009324D7" w:rsidRPr="00C52454" w:rsidRDefault="009324D7">
            <w:pPr>
              <w:pStyle w:val="JRCText"/>
              <w:rPr>
                <w:rFonts w:ascii="Times New Roman" w:hAnsi="Times New Roman" w:cs="Times New Roman"/>
                <w:b/>
                <w:bCs/>
                <w:noProof/>
                <w:color w:val="000000"/>
                <w:sz w:val="24"/>
                <w:szCs w:val="24"/>
              </w:rPr>
            </w:pPr>
          </w:p>
        </w:tc>
        <w:tc>
          <w:tcPr>
            <w:tcW w:w="138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bottom"/>
          </w:tcPr>
          <w:p w14:paraId="5C1F6F2B" w14:textId="4B95E07A" w:rsidR="00662AAA" w:rsidRDefault="047178FF">
            <w:pPr>
              <w:pStyle w:val="JRCText"/>
              <w:rPr>
                <w:rFonts w:ascii="Times New Roman" w:hAnsi="Times New Roman" w:cs="Times New Roman"/>
                <w:b/>
                <w:bCs/>
                <w:noProof/>
                <w:color w:val="000000" w:themeColor="text1"/>
                <w:sz w:val="24"/>
                <w:szCs w:val="24"/>
              </w:rPr>
            </w:pPr>
            <w:r w:rsidRPr="00C52454">
              <w:rPr>
                <w:rFonts w:ascii="Times New Roman" w:hAnsi="Times New Roman" w:cs="Times New Roman"/>
                <w:b/>
                <w:bCs/>
                <w:noProof/>
                <w:color w:val="000000" w:themeColor="text1"/>
                <w:sz w:val="24"/>
                <w:szCs w:val="24"/>
              </w:rPr>
              <w:t xml:space="preserve">EUR </w:t>
            </w:r>
            <w:r w:rsidR="000113A9">
              <w:rPr>
                <w:rFonts w:ascii="Times New Roman" w:hAnsi="Times New Roman" w:cs="Times New Roman"/>
                <w:b/>
                <w:bCs/>
                <w:noProof/>
                <w:color w:val="000000" w:themeColor="text1"/>
                <w:sz w:val="24"/>
                <w:szCs w:val="24"/>
              </w:rPr>
              <w:t>4</w:t>
            </w:r>
            <w:r w:rsidR="007910CB">
              <w:rPr>
                <w:rFonts w:ascii="Times New Roman" w:hAnsi="Times New Roman" w:cs="Times New Roman"/>
                <w:b/>
                <w:bCs/>
                <w:noProof/>
                <w:color w:val="000000" w:themeColor="text1"/>
                <w:sz w:val="24"/>
                <w:szCs w:val="24"/>
              </w:rPr>
              <w:t>30 million</w:t>
            </w:r>
          </w:p>
          <w:p w14:paraId="30031385" w14:textId="103A6A76" w:rsidR="009324D7" w:rsidRPr="00C52454" w:rsidRDefault="009324D7">
            <w:pPr>
              <w:pStyle w:val="JRCText"/>
              <w:rPr>
                <w:rFonts w:ascii="Times New Roman" w:hAnsi="Times New Roman" w:cs="Times New Roman"/>
                <w:b/>
                <w:bCs/>
                <w:noProof/>
                <w:color w:val="000000"/>
                <w:sz w:val="24"/>
                <w:szCs w:val="24"/>
              </w:rPr>
            </w:pPr>
          </w:p>
        </w:tc>
      </w:tr>
    </w:tbl>
    <w:p w14:paraId="008983EE" w14:textId="77777777" w:rsidR="009324D7" w:rsidRPr="009324D7" w:rsidRDefault="009324D7" w:rsidP="00DE7556">
      <w:pPr>
        <w:pStyle w:val="JRCText"/>
        <w:jc w:val="both"/>
        <w:rPr>
          <w:rFonts w:ascii="Times New Roman" w:hAnsi="Times New Roman" w:cs="Times New Roman"/>
          <w:b/>
          <w:noProof/>
          <w:color w:val="000000" w:themeColor="text1"/>
          <w:sz w:val="24"/>
          <w:szCs w:val="24"/>
        </w:rPr>
      </w:pPr>
    </w:p>
    <w:p w14:paraId="36F8DFC8" w14:textId="537B8EEE" w:rsidR="007E4832" w:rsidRPr="00B573E4" w:rsidRDefault="00DE7556" w:rsidP="00DE7556">
      <w:pPr>
        <w:pStyle w:val="JRCText"/>
        <w:jc w:val="both"/>
        <w:rPr>
          <w:rFonts w:ascii="Times New Roman" w:hAnsi="Times New Roman" w:cs="Times New Roman"/>
          <w:b/>
          <w:noProof/>
          <w:color w:val="000000" w:themeColor="text1"/>
          <w:sz w:val="24"/>
          <w:szCs w:val="24"/>
        </w:rPr>
      </w:pPr>
      <w:r w:rsidRPr="00B573E4">
        <w:rPr>
          <w:rFonts w:ascii="Times New Roman" w:hAnsi="Times New Roman" w:cs="Times New Roman"/>
          <w:b/>
          <w:noProof/>
          <w:color w:val="000000" w:themeColor="text1"/>
          <w:sz w:val="24"/>
          <w:szCs w:val="24"/>
        </w:rPr>
        <w:t>Adjustment costs total</w:t>
      </w:r>
      <w:r>
        <w:rPr>
          <w:rFonts w:ascii="Times New Roman" w:hAnsi="Times New Roman" w:cs="Times New Roman"/>
          <w:b/>
          <w:iCs/>
          <w:noProof/>
          <w:color w:val="000000" w:themeColor="text1"/>
          <w:sz w:val="24"/>
          <w:szCs w:val="24"/>
        </w:rPr>
        <w:t xml:space="preserv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6"/>
        <w:gridCol w:w="2367"/>
        <w:gridCol w:w="2367"/>
        <w:gridCol w:w="2382"/>
      </w:tblGrid>
      <w:tr w:rsidR="00A71F7C" w:rsidRPr="00F80C7E" w14:paraId="37A9E3CB" w14:textId="77777777" w:rsidTr="7ECD02B7">
        <w:trPr>
          <w:trHeight w:val="300"/>
        </w:trPr>
        <w:tc>
          <w:tcPr>
            <w:tcW w:w="5000" w:type="pct"/>
            <w:gridSpan w:val="4"/>
            <w:tcBorders>
              <w:top w:val="single" w:sz="6" w:space="0" w:color="auto"/>
              <w:left w:val="single" w:sz="6" w:space="0" w:color="auto"/>
              <w:bottom w:val="single" w:sz="6" w:space="0" w:color="auto"/>
              <w:right w:val="single" w:sz="6" w:space="0" w:color="auto"/>
            </w:tcBorders>
            <w:hideMark/>
          </w:tcPr>
          <w:p w14:paraId="22231A05" w14:textId="06C9BC87" w:rsidR="00A71F7C" w:rsidRPr="00E71388" w:rsidRDefault="00A71F7C" w:rsidP="00E71388">
            <w:pPr>
              <w:spacing w:before="240" w:after="160"/>
              <w:jc w:val="center"/>
              <w:rPr>
                <w:rFonts w:cs="Times New Roman"/>
                <w:b/>
                <w:noProof/>
                <w:szCs w:val="24"/>
              </w:rPr>
            </w:pPr>
            <w:r w:rsidRPr="00E71388">
              <w:rPr>
                <w:rFonts w:cs="Times New Roman"/>
                <w:b/>
                <w:noProof/>
                <w:szCs w:val="24"/>
              </w:rPr>
              <w:t>Difference to the baseline</w:t>
            </w:r>
          </w:p>
        </w:tc>
      </w:tr>
      <w:tr w:rsidR="00A71F7C" w:rsidRPr="00F80C7E" w14:paraId="6605154F" w14:textId="77777777" w:rsidTr="7ECD02B7">
        <w:trPr>
          <w:trHeight w:val="300"/>
        </w:trPr>
        <w:tc>
          <w:tcPr>
            <w:tcW w:w="1248" w:type="pct"/>
            <w:tcBorders>
              <w:top w:val="single" w:sz="6" w:space="0" w:color="auto"/>
              <w:left w:val="single" w:sz="6" w:space="0" w:color="auto"/>
              <w:bottom w:val="single" w:sz="6" w:space="0" w:color="auto"/>
              <w:right w:val="single" w:sz="6" w:space="0" w:color="auto"/>
            </w:tcBorders>
            <w:hideMark/>
          </w:tcPr>
          <w:p w14:paraId="0B94C282" w14:textId="04524084" w:rsidR="00A71F7C" w:rsidRPr="00E71388" w:rsidRDefault="00A71F7C" w:rsidP="00E71388">
            <w:pPr>
              <w:spacing w:before="240" w:after="160"/>
              <w:jc w:val="center"/>
              <w:rPr>
                <w:rFonts w:cs="Times New Roman"/>
                <w:b/>
                <w:noProof/>
                <w:szCs w:val="24"/>
              </w:rPr>
            </w:pPr>
          </w:p>
        </w:tc>
        <w:tc>
          <w:tcPr>
            <w:tcW w:w="1248" w:type="pct"/>
            <w:tcBorders>
              <w:top w:val="single" w:sz="6" w:space="0" w:color="auto"/>
              <w:left w:val="single" w:sz="6" w:space="0" w:color="auto"/>
              <w:bottom w:val="single" w:sz="6" w:space="0" w:color="auto"/>
              <w:right w:val="single" w:sz="6" w:space="0" w:color="auto"/>
            </w:tcBorders>
            <w:hideMark/>
          </w:tcPr>
          <w:p w14:paraId="64F6ADF2" w14:textId="6281C7A4" w:rsidR="00A71F7C" w:rsidRPr="00E71388" w:rsidRDefault="00A71F7C" w:rsidP="00E71388">
            <w:pPr>
              <w:spacing w:before="240" w:after="160"/>
              <w:jc w:val="center"/>
              <w:rPr>
                <w:rFonts w:cs="Times New Roman"/>
                <w:noProof/>
                <w:szCs w:val="24"/>
              </w:rPr>
            </w:pPr>
            <w:r w:rsidRPr="00E71388">
              <w:rPr>
                <w:rFonts w:cs="Times New Roman"/>
                <w:b/>
                <w:noProof/>
                <w:szCs w:val="24"/>
              </w:rPr>
              <w:t>PO1</w:t>
            </w:r>
          </w:p>
        </w:tc>
        <w:tc>
          <w:tcPr>
            <w:tcW w:w="1248" w:type="pct"/>
            <w:tcBorders>
              <w:top w:val="nil"/>
              <w:left w:val="single" w:sz="6" w:space="0" w:color="auto"/>
              <w:bottom w:val="single" w:sz="6" w:space="0" w:color="auto"/>
              <w:right w:val="single" w:sz="6" w:space="0" w:color="auto"/>
            </w:tcBorders>
            <w:hideMark/>
          </w:tcPr>
          <w:p w14:paraId="667C0A02" w14:textId="27D4C78E" w:rsidR="00A71F7C" w:rsidRPr="00E71388" w:rsidRDefault="00A71F7C" w:rsidP="00E71388">
            <w:pPr>
              <w:spacing w:before="240" w:after="160"/>
              <w:jc w:val="center"/>
              <w:rPr>
                <w:rFonts w:cs="Times New Roman"/>
                <w:noProof/>
                <w:szCs w:val="24"/>
              </w:rPr>
            </w:pPr>
            <w:r w:rsidRPr="00E71388">
              <w:rPr>
                <w:rFonts w:cs="Times New Roman"/>
                <w:b/>
                <w:noProof/>
                <w:szCs w:val="24"/>
              </w:rPr>
              <w:t>PO2</w:t>
            </w:r>
          </w:p>
        </w:tc>
        <w:tc>
          <w:tcPr>
            <w:tcW w:w="1256" w:type="pct"/>
            <w:tcBorders>
              <w:top w:val="nil"/>
              <w:left w:val="single" w:sz="6" w:space="0" w:color="auto"/>
              <w:bottom w:val="single" w:sz="6" w:space="0" w:color="auto"/>
              <w:right w:val="single" w:sz="6" w:space="0" w:color="auto"/>
            </w:tcBorders>
            <w:hideMark/>
          </w:tcPr>
          <w:p w14:paraId="3F98DA8C" w14:textId="28F8586C" w:rsidR="00A71F7C" w:rsidRPr="00E71388" w:rsidRDefault="00A71F7C" w:rsidP="00E71388">
            <w:pPr>
              <w:spacing w:before="240" w:after="160"/>
              <w:jc w:val="center"/>
              <w:rPr>
                <w:rFonts w:cs="Times New Roman"/>
                <w:noProof/>
                <w:szCs w:val="24"/>
              </w:rPr>
            </w:pPr>
            <w:r w:rsidRPr="00E71388">
              <w:rPr>
                <w:rFonts w:cs="Times New Roman"/>
                <w:b/>
                <w:noProof/>
                <w:szCs w:val="24"/>
              </w:rPr>
              <w:t>PO3</w:t>
            </w:r>
          </w:p>
        </w:tc>
      </w:tr>
      <w:tr w:rsidR="00331C9F" w:rsidRPr="00F80C7E" w14:paraId="69C933A0" w14:textId="77777777" w:rsidTr="7ECD02B7">
        <w:trPr>
          <w:trHeight w:val="300"/>
        </w:trPr>
        <w:tc>
          <w:tcPr>
            <w:tcW w:w="1248" w:type="pct"/>
            <w:tcBorders>
              <w:top w:val="single" w:sz="6" w:space="0" w:color="auto"/>
              <w:left w:val="single" w:sz="6" w:space="0" w:color="auto"/>
              <w:bottom w:val="single" w:sz="6" w:space="0" w:color="auto"/>
              <w:right w:val="single" w:sz="6" w:space="0" w:color="auto"/>
            </w:tcBorders>
            <w:shd w:val="clear" w:color="auto" w:fill="215E99" w:themeFill="text2" w:themeFillTint="BF"/>
          </w:tcPr>
          <w:p w14:paraId="2A93A2F8" w14:textId="101A5B89" w:rsidR="00331C9F" w:rsidRPr="00E71388" w:rsidRDefault="00950B05" w:rsidP="0054474F">
            <w:pPr>
              <w:spacing w:before="240" w:after="160"/>
              <w:jc w:val="center"/>
              <w:rPr>
                <w:rFonts w:cs="Times New Roman"/>
                <w:b/>
                <w:noProof/>
                <w:color w:val="FFFFFF" w:themeColor="background1"/>
                <w:szCs w:val="24"/>
              </w:rPr>
            </w:pPr>
            <w:r w:rsidRPr="00E71388">
              <w:rPr>
                <w:rFonts w:cs="Times New Roman"/>
                <w:b/>
                <w:noProof/>
                <w:color w:val="FFFFFF" w:themeColor="background1"/>
                <w:szCs w:val="24"/>
              </w:rPr>
              <w:t>Member States</w:t>
            </w:r>
          </w:p>
        </w:tc>
        <w:tc>
          <w:tcPr>
            <w:tcW w:w="1248" w:type="pct"/>
            <w:tcBorders>
              <w:top w:val="single" w:sz="6" w:space="0" w:color="auto"/>
              <w:left w:val="single" w:sz="6" w:space="0" w:color="auto"/>
              <w:bottom w:val="single" w:sz="6" w:space="0" w:color="auto"/>
              <w:right w:val="single" w:sz="6" w:space="0" w:color="auto"/>
            </w:tcBorders>
          </w:tcPr>
          <w:p w14:paraId="7CDFD011" w14:textId="4B4667DE" w:rsidR="00331C9F" w:rsidRPr="00E71388" w:rsidRDefault="00950B05" w:rsidP="0054474F">
            <w:pPr>
              <w:spacing w:before="240" w:after="160"/>
              <w:jc w:val="center"/>
              <w:rPr>
                <w:rFonts w:cs="Times New Roman"/>
                <w:noProof/>
                <w:szCs w:val="24"/>
              </w:rPr>
            </w:pPr>
            <w:r w:rsidRPr="00E71388">
              <w:rPr>
                <w:rFonts w:cs="Times New Roman"/>
                <w:noProof/>
                <w:szCs w:val="24"/>
              </w:rPr>
              <w:t>EUR</w:t>
            </w:r>
            <w:r w:rsidR="009E01E3">
              <w:rPr>
                <w:rFonts w:cs="Times New Roman"/>
                <w:noProof/>
                <w:szCs w:val="24"/>
              </w:rPr>
              <w:t xml:space="preserve"> 821 million</w:t>
            </w:r>
          </w:p>
        </w:tc>
        <w:tc>
          <w:tcPr>
            <w:tcW w:w="1248" w:type="pct"/>
            <w:tcBorders>
              <w:top w:val="single" w:sz="6" w:space="0" w:color="auto"/>
              <w:left w:val="single" w:sz="6" w:space="0" w:color="auto"/>
              <w:bottom w:val="single" w:sz="6" w:space="0" w:color="auto"/>
              <w:right w:val="single" w:sz="6" w:space="0" w:color="auto"/>
            </w:tcBorders>
          </w:tcPr>
          <w:p w14:paraId="313E236C" w14:textId="670B818B" w:rsidR="00331C9F" w:rsidRPr="00E71388" w:rsidRDefault="00950B05" w:rsidP="0054474F">
            <w:pPr>
              <w:spacing w:before="240" w:after="160"/>
              <w:jc w:val="center"/>
              <w:rPr>
                <w:rFonts w:cs="Times New Roman"/>
                <w:noProof/>
                <w:szCs w:val="24"/>
              </w:rPr>
            </w:pPr>
            <w:r w:rsidRPr="00E71388">
              <w:rPr>
                <w:rFonts w:cs="Times New Roman"/>
                <w:noProof/>
                <w:szCs w:val="24"/>
              </w:rPr>
              <w:t xml:space="preserve">EUR </w:t>
            </w:r>
            <w:r w:rsidR="009E01E3">
              <w:rPr>
                <w:rFonts w:cs="Times New Roman"/>
                <w:noProof/>
                <w:szCs w:val="24"/>
              </w:rPr>
              <w:t xml:space="preserve">821 million </w:t>
            </w:r>
          </w:p>
        </w:tc>
        <w:tc>
          <w:tcPr>
            <w:tcW w:w="1256" w:type="pct"/>
            <w:tcBorders>
              <w:top w:val="single" w:sz="6" w:space="0" w:color="auto"/>
              <w:left w:val="single" w:sz="6" w:space="0" w:color="auto"/>
              <w:bottom w:val="single" w:sz="6" w:space="0" w:color="auto"/>
              <w:right w:val="single" w:sz="6" w:space="0" w:color="auto"/>
            </w:tcBorders>
          </w:tcPr>
          <w:p w14:paraId="37E1BAD4" w14:textId="4C97ABA2" w:rsidR="00331C9F" w:rsidRPr="00E71388" w:rsidRDefault="00950B05" w:rsidP="0054474F">
            <w:pPr>
              <w:spacing w:before="240" w:after="160"/>
              <w:jc w:val="center"/>
              <w:rPr>
                <w:rFonts w:cs="Times New Roman"/>
                <w:noProof/>
                <w:szCs w:val="24"/>
              </w:rPr>
            </w:pPr>
            <w:r w:rsidRPr="00E71388">
              <w:rPr>
                <w:rFonts w:cs="Times New Roman"/>
                <w:noProof/>
                <w:szCs w:val="24"/>
              </w:rPr>
              <w:t xml:space="preserve">EUR </w:t>
            </w:r>
            <w:r w:rsidR="009E01E3">
              <w:rPr>
                <w:rFonts w:cs="Times New Roman"/>
                <w:noProof/>
                <w:szCs w:val="24"/>
              </w:rPr>
              <w:t xml:space="preserve">860 million </w:t>
            </w:r>
          </w:p>
        </w:tc>
      </w:tr>
      <w:tr w:rsidR="00331C9F" w:rsidRPr="00F80C7E" w14:paraId="59752DB8" w14:textId="77777777" w:rsidTr="7ECD02B7">
        <w:trPr>
          <w:trHeight w:val="300"/>
        </w:trPr>
        <w:tc>
          <w:tcPr>
            <w:tcW w:w="1248" w:type="pct"/>
            <w:tcBorders>
              <w:top w:val="single" w:sz="6" w:space="0" w:color="auto"/>
              <w:left w:val="single" w:sz="6" w:space="0" w:color="auto"/>
              <w:bottom w:val="single" w:sz="6" w:space="0" w:color="auto"/>
              <w:right w:val="single" w:sz="6" w:space="0" w:color="auto"/>
            </w:tcBorders>
            <w:shd w:val="clear" w:color="auto" w:fill="215E99" w:themeFill="text2" w:themeFillTint="BF"/>
          </w:tcPr>
          <w:p w14:paraId="471F1511" w14:textId="72DF7DA4" w:rsidR="00331C9F" w:rsidRPr="00E71388" w:rsidRDefault="00950B05" w:rsidP="0054474F">
            <w:pPr>
              <w:spacing w:before="240" w:after="160"/>
              <w:jc w:val="center"/>
              <w:rPr>
                <w:rFonts w:cs="Times New Roman"/>
                <w:b/>
                <w:noProof/>
                <w:color w:val="FFFFFF" w:themeColor="background1"/>
                <w:szCs w:val="24"/>
              </w:rPr>
            </w:pPr>
            <w:r w:rsidRPr="00E71388">
              <w:rPr>
                <w:rFonts w:cs="Times New Roman"/>
                <w:b/>
                <w:noProof/>
                <w:color w:val="FFFFFF" w:themeColor="background1"/>
                <w:szCs w:val="24"/>
              </w:rPr>
              <w:t>Businesses</w:t>
            </w:r>
          </w:p>
        </w:tc>
        <w:tc>
          <w:tcPr>
            <w:tcW w:w="1248" w:type="pct"/>
            <w:tcBorders>
              <w:top w:val="single" w:sz="6" w:space="0" w:color="auto"/>
              <w:left w:val="single" w:sz="6" w:space="0" w:color="auto"/>
              <w:bottom w:val="single" w:sz="6" w:space="0" w:color="auto"/>
              <w:right w:val="single" w:sz="6" w:space="0" w:color="auto"/>
            </w:tcBorders>
          </w:tcPr>
          <w:p w14:paraId="0E781867" w14:textId="2F027515" w:rsidR="00331C9F" w:rsidRPr="00E71388" w:rsidRDefault="00950B05" w:rsidP="0054474F">
            <w:pPr>
              <w:spacing w:before="240" w:after="160"/>
              <w:jc w:val="center"/>
              <w:rPr>
                <w:rFonts w:cs="Times New Roman"/>
                <w:noProof/>
              </w:rPr>
            </w:pPr>
            <w:r w:rsidRPr="14FD1855">
              <w:rPr>
                <w:rFonts w:cs="Times New Roman"/>
                <w:noProof/>
              </w:rPr>
              <w:t xml:space="preserve">EUR </w:t>
            </w:r>
            <w:r w:rsidR="615136F2" w:rsidRPr="0273C954">
              <w:rPr>
                <w:rFonts w:cs="Times New Roman"/>
                <w:noProof/>
              </w:rPr>
              <w:t>3.</w:t>
            </w:r>
            <w:r w:rsidR="007334E8">
              <w:rPr>
                <w:rFonts w:cs="Times New Roman"/>
                <w:noProof/>
              </w:rPr>
              <w:t>7</w:t>
            </w:r>
            <w:r w:rsidR="00F64E81" w:rsidRPr="14FD1855">
              <w:rPr>
                <w:rFonts w:cs="Times New Roman"/>
                <w:noProof/>
              </w:rPr>
              <w:t xml:space="preserve"> billion</w:t>
            </w:r>
          </w:p>
        </w:tc>
        <w:tc>
          <w:tcPr>
            <w:tcW w:w="1248" w:type="pct"/>
            <w:tcBorders>
              <w:top w:val="single" w:sz="6" w:space="0" w:color="auto"/>
              <w:left w:val="single" w:sz="6" w:space="0" w:color="auto"/>
              <w:bottom w:val="single" w:sz="6" w:space="0" w:color="auto"/>
              <w:right w:val="single" w:sz="6" w:space="0" w:color="auto"/>
            </w:tcBorders>
          </w:tcPr>
          <w:p w14:paraId="304CD81F" w14:textId="514E6D56" w:rsidR="00331C9F" w:rsidRPr="00E71388" w:rsidRDefault="3B8874A4" w:rsidP="0054474F">
            <w:pPr>
              <w:spacing w:before="240" w:after="160"/>
              <w:jc w:val="center"/>
              <w:rPr>
                <w:rFonts w:cs="Times New Roman"/>
                <w:noProof/>
              </w:rPr>
            </w:pPr>
            <w:r w:rsidRPr="7ECD02B7">
              <w:rPr>
                <w:rFonts w:cs="Times New Roman"/>
                <w:noProof/>
              </w:rPr>
              <w:t xml:space="preserve">EUR </w:t>
            </w:r>
            <w:r w:rsidR="3EF1FBF0" w:rsidRPr="7ECD02B7">
              <w:rPr>
                <w:rFonts w:cs="Times New Roman"/>
                <w:noProof/>
              </w:rPr>
              <w:t>3.</w:t>
            </w:r>
            <w:r w:rsidR="007334E8" w:rsidRPr="7ECD02B7">
              <w:rPr>
                <w:rFonts w:cs="Times New Roman"/>
                <w:noProof/>
              </w:rPr>
              <w:t>7</w:t>
            </w:r>
            <w:r w:rsidRPr="7ECD02B7">
              <w:rPr>
                <w:rFonts w:cs="Times New Roman"/>
                <w:noProof/>
              </w:rPr>
              <w:t xml:space="preserve"> billion</w:t>
            </w:r>
          </w:p>
        </w:tc>
        <w:tc>
          <w:tcPr>
            <w:tcW w:w="1256" w:type="pct"/>
            <w:tcBorders>
              <w:top w:val="single" w:sz="6" w:space="0" w:color="auto"/>
              <w:left w:val="single" w:sz="6" w:space="0" w:color="auto"/>
              <w:bottom w:val="single" w:sz="6" w:space="0" w:color="auto"/>
              <w:right w:val="single" w:sz="6" w:space="0" w:color="auto"/>
            </w:tcBorders>
          </w:tcPr>
          <w:p w14:paraId="0F0BF9A7" w14:textId="5921CBA8" w:rsidR="00331C9F" w:rsidRPr="00E71388" w:rsidRDefault="3B8874A4" w:rsidP="0054474F">
            <w:pPr>
              <w:spacing w:before="240" w:after="160"/>
              <w:jc w:val="center"/>
              <w:rPr>
                <w:rFonts w:cs="Times New Roman"/>
                <w:noProof/>
              </w:rPr>
            </w:pPr>
            <w:r w:rsidRPr="7ECD02B7">
              <w:rPr>
                <w:rFonts w:cs="Times New Roman"/>
                <w:noProof/>
              </w:rPr>
              <w:t xml:space="preserve">EUR </w:t>
            </w:r>
            <w:r w:rsidR="007334E8" w:rsidRPr="7ECD02B7">
              <w:rPr>
                <w:rFonts w:cs="Times New Roman"/>
                <w:noProof/>
              </w:rPr>
              <w:t xml:space="preserve">27 </w:t>
            </w:r>
            <w:r w:rsidR="100DF6CE" w:rsidRPr="7ECD02B7">
              <w:rPr>
                <w:rFonts w:cs="Times New Roman"/>
                <w:noProof/>
              </w:rPr>
              <w:t>8</w:t>
            </w:r>
            <w:r w:rsidRPr="7ECD02B7">
              <w:rPr>
                <w:rFonts w:cs="Times New Roman"/>
                <w:noProof/>
              </w:rPr>
              <w:t xml:space="preserve"> billion</w:t>
            </w:r>
          </w:p>
        </w:tc>
      </w:tr>
      <w:tr w:rsidR="00331C9F" w:rsidRPr="00F80C7E" w14:paraId="22CC6D0E" w14:textId="77777777" w:rsidTr="7ECD02B7">
        <w:trPr>
          <w:trHeight w:val="300"/>
        </w:trPr>
        <w:tc>
          <w:tcPr>
            <w:tcW w:w="1248" w:type="pct"/>
            <w:tcBorders>
              <w:top w:val="single" w:sz="6" w:space="0" w:color="auto"/>
              <w:left w:val="single" w:sz="6" w:space="0" w:color="auto"/>
              <w:bottom w:val="single" w:sz="6" w:space="0" w:color="auto"/>
              <w:right w:val="single" w:sz="6" w:space="0" w:color="auto"/>
            </w:tcBorders>
            <w:shd w:val="clear" w:color="auto" w:fill="215E99" w:themeFill="text2" w:themeFillTint="BF"/>
          </w:tcPr>
          <w:p w14:paraId="3C13AF7B" w14:textId="6ABF3060" w:rsidR="00331C9F" w:rsidRPr="00E71388" w:rsidRDefault="00950B05" w:rsidP="0054474F">
            <w:pPr>
              <w:spacing w:before="240" w:after="160"/>
              <w:jc w:val="center"/>
              <w:rPr>
                <w:rFonts w:cs="Times New Roman"/>
                <w:b/>
                <w:noProof/>
                <w:color w:val="FFFFFF" w:themeColor="background1"/>
                <w:szCs w:val="24"/>
              </w:rPr>
            </w:pPr>
            <w:r w:rsidRPr="00E71388">
              <w:rPr>
                <w:rFonts w:cs="Times New Roman"/>
                <w:b/>
                <w:noProof/>
                <w:color w:val="FFFFFF" w:themeColor="background1"/>
                <w:szCs w:val="24"/>
              </w:rPr>
              <w:t>Citizens</w:t>
            </w:r>
          </w:p>
        </w:tc>
        <w:tc>
          <w:tcPr>
            <w:tcW w:w="1248" w:type="pct"/>
            <w:tcBorders>
              <w:top w:val="single" w:sz="6" w:space="0" w:color="auto"/>
              <w:left w:val="single" w:sz="6" w:space="0" w:color="auto"/>
              <w:bottom w:val="single" w:sz="6" w:space="0" w:color="auto"/>
              <w:right w:val="single" w:sz="6" w:space="0" w:color="auto"/>
            </w:tcBorders>
          </w:tcPr>
          <w:p w14:paraId="5A3FC6C4" w14:textId="0A80EDAA" w:rsidR="00331C9F" w:rsidRPr="00E71388" w:rsidRDefault="00F7722B" w:rsidP="0054474F">
            <w:pPr>
              <w:spacing w:before="240" w:after="160"/>
              <w:jc w:val="center"/>
              <w:rPr>
                <w:rFonts w:cs="Times New Roman"/>
                <w:noProof/>
                <w:szCs w:val="24"/>
              </w:rPr>
            </w:pPr>
            <w:r w:rsidRPr="00E71388">
              <w:rPr>
                <w:rFonts w:cs="Times New Roman"/>
                <w:noProof/>
                <w:szCs w:val="24"/>
              </w:rPr>
              <w:t xml:space="preserve">EUR </w:t>
            </w:r>
            <w:r w:rsidR="007E5C7D" w:rsidRPr="00E71388">
              <w:rPr>
                <w:rFonts w:cs="Times New Roman"/>
                <w:noProof/>
                <w:szCs w:val="24"/>
              </w:rPr>
              <w:t>1.</w:t>
            </w:r>
            <w:r w:rsidR="008C282A">
              <w:rPr>
                <w:rFonts w:cs="Times New Roman"/>
                <w:noProof/>
                <w:szCs w:val="24"/>
              </w:rPr>
              <w:t>4</w:t>
            </w:r>
            <w:r w:rsidR="006F24F0">
              <w:rPr>
                <w:rFonts w:cs="Times New Roman"/>
                <w:noProof/>
                <w:szCs w:val="24"/>
              </w:rPr>
              <w:t xml:space="preserve"> </w:t>
            </w:r>
            <w:r w:rsidR="007E5C7D" w:rsidRPr="00E71388">
              <w:rPr>
                <w:rFonts w:cs="Times New Roman"/>
                <w:noProof/>
                <w:szCs w:val="24"/>
              </w:rPr>
              <w:t>billion</w:t>
            </w:r>
          </w:p>
        </w:tc>
        <w:tc>
          <w:tcPr>
            <w:tcW w:w="1248" w:type="pct"/>
            <w:tcBorders>
              <w:top w:val="single" w:sz="6" w:space="0" w:color="auto"/>
              <w:left w:val="single" w:sz="6" w:space="0" w:color="auto"/>
              <w:bottom w:val="single" w:sz="6" w:space="0" w:color="auto"/>
              <w:right w:val="single" w:sz="6" w:space="0" w:color="auto"/>
            </w:tcBorders>
          </w:tcPr>
          <w:p w14:paraId="5BB9392C" w14:textId="63C5572F" w:rsidR="00331C9F" w:rsidRPr="00E71388" w:rsidRDefault="007E5C7D" w:rsidP="0054474F">
            <w:pPr>
              <w:spacing w:before="240" w:after="160"/>
              <w:jc w:val="center"/>
              <w:rPr>
                <w:rFonts w:cs="Times New Roman"/>
                <w:noProof/>
              </w:rPr>
            </w:pPr>
            <w:r w:rsidRPr="4DB5677A">
              <w:rPr>
                <w:rFonts w:cs="Times New Roman"/>
                <w:noProof/>
              </w:rPr>
              <w:t xml:space="preserve">EUR </w:t>
            </w:r>
            <w:r w:rsidR="008C282A">
              <w:rPr>
                <w:rFonts w:cs="Times New Roman"/>
                <w:noProof/>
              </w:rPr>
              <w:t xml:space="preserve">1.4 </w:t>
            </w:r>
            <w:r w:rsidRPr="4DB5677A">
              <w:rPr>
                <w:rFonts w:cs="Times New Roman"/>
                <w:noProof/>
              </w:rPr>
              <w:t xml:space="preserve"> billion</w:t>
            </w:r>
          </w:p>
        </w:tc>
        <w:tc>
          <w:tcPr>
            <w:tcW w:w="1256" w:type="pct"/>
            <w:tcBorders>
              <w:top w:val="single" w:sz="6" w:space="0" w:color="auto"/>
              <w:left w:val="single" w:sz="6" w:space="0" w:color="auto"/>
              <w:bottom w:val="single" w:sz="6" w:space="0" w:color="auto"/>
              <w:right w:val="single" w:sz="6" w:space="0" w:color="auto"/>
            </w:tcBorders>
          </w:tcPr>
          <w:p w14:paraId="6BD3435E" w14:textId="24AE9B44" w:rsidR="00331C9F" w:rsidRPr="00E71388" w:rsidRDefault="007E5C7D" w:rsidP="0054474F">
            <w:pPr>
              <w:spacing w:before="240" w:after="160"/>
              <w:jc w:val="center"/>
              <w:rPr>
                <w:rFonts w:cs="Times New Roman"/>
                <w:noProof/>
                <w:szCs w:val="24"/>
              </w:rPr>
            </w:pPr>
            <w:r w:rsidRPr="00E71388">
              <w:rPr>
                <w:rFonts w:cs="Times New Roman"/>
                <w:noProof/>
                <w:szCs w:val="24"/>
              </w:rPr>
              <w:t xml:space="preserve">EUR </w:t>
            </w:r>
            <w:r w:rsidR="002541A2">
              <w:rPr>
                <w:rFonts w:cs="Times New Roman"/>
                <w:noProof/>
                <w:szCs w:val="24"/>
              </w:rPr>
              <w:t>4.3</w:t>
            </w:r>
            <w:r w:rsidR="006F24F0">
              <w:rPr>
                <w:rFonts w:cs="Times New Roman"/>
                <w:noProof/>
                <w:szCs w:val="24"/>
              </w:rPr>
              <w:t xml:space="preserve"> </w:t>
            </w:r>
            <w:r w:rsidRPr="00E71388">
              <w:rPr>
                <w:rFonts w:cs="Times New Roman"/>
                <w:noProof/>
                <w:szCs w:val="24"/>
              </w:rPr>
              <w:t>billion</w:t>
            </w:r>
          </w:p>
        </w:tc>
      </w:tr>
      <w:tr w:rsidR="00A71F7C" w:rsidRPr="00F80C7E" w14:paraId="663A2988" w14:textId="77777777" w:rsidTr="7ECD02B7">
        <w:trPr>
          <w:trHeight w:val="300"/>
        </w:trPr>
        <w:tc>
          <w:tcPr>
            <w:tcW w:w="1248"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78F7DEC" w14:textId="5723DAEF" w:rsidR="00A71F7C" w:rsidRPr="00E71388" w:rsidRDefault="003C3834" w:rsidP="00E71388">
            <w:pPr>
              <w:spacing w:before="240" w:after="160"/>
              <w:jc w:val="center"/>
              <w:rPr>
                <w:rFonts w:cs="Times New Roman"/>
                <w:b/>
                <w:noProof/>
                <w:szCs w:val="24"/>
              </w:rPr>
            </w:pPr>
            <w:r w:rsidRPr="00E71388">
              <w:rPr>
                <w:rFonts w:cs="Times New Roman"/>
                <w:b/>
                <w:noProof/>
                <w:szCs w:val="24"/>
              </w:rPr>
              <w:t>Total Adjustment Costs</w:t>
            </w:r>
            <w:r w:rsidR="055E6CF2" w:rsidRPr="00E71388">
              <w:rPr>
                <w:rFonts w:cs="Times New Roman"/>
                <w:b/>
                <w:noProof/>
                <w:szCs w:val="24"/>
              </w:rPr>
              <w:t xml:space="preserve"> </w:t>
            </w:r>
          </w:p>
        </w:tc>
        <w:tc>
          <w:tcPr>
            <w:tcW w:w="1248"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936F30F" w14:textId="7B30E52D" w:rsidR="00A71F7C" w:rsidRPr="00E71388" w:rsidRDefault="7A4D25F0" w:rsidP="00E71388">
            <w:pPr>
              <w:spacing w:before="240" w:after="160"/>
              <w:jc w:val="center"/>
              <w:rPr>
                <w:rFonts w:cs="Times New Roman"/>
                <w:noProof/>
              </w:rPr>
            </w:pPr>
            <w:r w:rsidRPr="1FA04443">
              <w:rPr>
                <w:rFonts w:cs="Times New Roman"/>
                <w:noProof/>
              </w:rPr>
              <w:t xml:space="preserve">EUR </w:t>
            </w:r>
            <w:r w:rsidR="006E0B7B">
              <w:rPr>
                <w:rFonts w:cs="Times New Roman"/>
                <w:noProof/>
              </w:rPr>
              <w:t xml:space="preserve">6 billion </w:t>
            </w:r>
          </w:p>
        </w:tc>
        <w:tc>
          <w:tcPr>
            <w:tcW w:w="1248"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9DBDCED" w14:textId="701B8F2D" w:rsidR="00A71F7C" w:rsidRPr="00E71388" w:rsidRDefault="7A4D25F0" w:rsidP="00E71388">
            <w:pPr>
              <w:spacing w:before="240" w:after="160"/>
              <w:jc w:val="center"/>
              <w:rPr>
                <w:rFonts w:cs="Times New Roman"/>
                <w:noProof/>
              </w:rPr>
            </w:pPr>
            <w:r w:rsidRPr="7ECD02B7">
              <w:rPr>
                <w:rFonts w:cs="Times New Roman"/>
                <w:noProof/>
              </w:rPr>
              <w:t>EUR</w:t>
            </w:r>
            <w:r w:rsidR="008C7BE2">
              <w:rPr>
                <w:rFonts w:cs="Times New Roman"/>
                <w:noProof/>
              </w:rPr>
              <w:t xml:space="preserve"> </w:t>
            </w:r>
            <w:r w:rsidR="006E0B7B" w:rsidRPr="7ECD02B7">
              <w:rPr>
                <w:rFonts w:cs="Times New Roman"/>
                <w:noProof/>
              </w:rPr>
              <w:t>6 billion</w:t>
            </w:r>
          </w:p>
        </w:tc>
        <w:tc>
          <w:tcPr>
            <w:tcW w:w="1256"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2F759BC" w14:textId="59B4F609" w:rsidR="00A71F7C" w:rsidRPr="00E71388" w:rsidRDefault="7A4D25F0" w:rsidP="00E71388">
            <w:pPr>
              <w:spacing w:before="240" w:after="160"/>
              <w:jc w:val="center"/>
              <w:rPr>
                <w:rFonts w:cs="Times New Roman"/>
                <w:noProof/>
              </w:rPr>
            </w:pPr>
            <w:r w:rsidRPr="7ECD02B7">
              <w:rPr>
                <w:rFonts w:cs="Times New Roman"/>
                <w:noProof/>
              </w:rPr>
              <w:t xml:space="preserve">EUR </w:t>
            </w:r>
            <w:r w:rsidR="44E33DCF" w:rsidRPr="7ECD02B7">
              <w:rPr>
                <w:rFonts w:cs="Times New Roman"/>
                <w:noProof/>
              </w:rPr>
              <w:t>3</w:t>
            </w:r>
            <w:r w:rsidR="005E6222" w:rsidRPr="7ECD02B7">
              <w:rPr>
                <w:rFonts w:cs="Times New Roman"/>
                <w:noProof/>
              </w:rPr>
              <w:t>2</w:t>
            </w:r>
            <w:r w:rsidRPr="7ECD02B7">
              <w:rPr>
                <w:rFonts w:cs="Times New Roman"/>
                <w:noProof/>
              </w:rPr>
              <w:t xml:space="preserve"> billion</w:t>
            </w:r>
          </w:p>
        </w:tc>
      </w:tr>
    </w:tbl>
    <w:p w14:paraId="30CB167F" w14:textId="77777777" w:rsidR="00711A04" w:rsidRPr="00F03F9B" w:rsidRDefault="00711A04" w:rsidP="00A11E4D">
      <w:pPr>
        <w:pStyle w:val="JRCText"/>
        <w:spacing w:after="0" w:line="240" w:lineRule="auto"/>
        <w:jc w:val="both"/>
        <w:rPr>
          <w:rFonts w:ascii="Times New Roman" w:eastAsia="Times New Roman" w:hAnsi="Times New Roman" w:cs="Times New Roman"/>
          <w:noProof/>
          <w:color w:val="000000" w:themeColor="text1"/>
          <w:sz w:val="24"/>
          <w:szCs w:val="24"/>
        </w:rPr>
      </w:pPr>
    </w:p>
    <w:p w14:paraId="1914A639" w14:textId="635008CF" w:rsidR="0069228D" w:rsidRPr="002E4395" w:rsidRDefault="00020031" w:rsidP="002703E8">
      <w:pPr>
        <w:pStyle w:val="ListParagraph"/>
        <w:keepNext/>
        <w:keepLines/>
        <w:numPr>
          <w:ilvl w:val="1"/>
          <w:numId w:val="157"/>
        </w:numPr>
        <w:spacing w:before="360" w:after="80"/>
        <w:outlineLvl w:val="0"/>
        <w:rPr>
          <w:rFonts w:eastAsia="Yu Gothic Light"/>
          <w:b/>
          <w:noProof/>
        </w:rPr>
      </w:pPr>
      <w:bookmarkStart w:id="286" w:name="_Toc212728809"/>
      <w:bookmarkStart w:id="287" w:name="_Toc212729083"/>
      <w:bookmarkStart w:id="288" w:name="_Toc212729335"/>
      <w:bookmarkStart w:id="289" w:name="_Toc215506279"/>
      <w:bookmarkStart w:id="290" w:name="_Toc222159330"/>
      <w:bookmarkStart w:id="291" w:name="_Toc222489534"/>
      <w:bookmarkStart w:id="292" w:name="_Toc222490023"/>
      <w:r w:rsidRPr="002E4395" w:rsidDel="00465893">
        <w:rPr>
          <w:rFonts w:eastAsia="Yu Gothic Light"/>
          <w:b/>
          <w:noProof/>
        </w:rPr>
        <w:t>Benefits</w:t>
      </w:r>
      <w:r w:rsidR="004C229D" w:rsidRPr="002E4395">
        <w:rPr>
          <w:rFonts w:eastAsia="Yu Gothic Light"/>
          <w:b/>
          <w:noProof/>
        </w:rPr>
        <w:t>: environmental</w:t>
      </w:r>
      <w:bookmarkEnd w:id="286"/>
      <w:bookmarkEnd w:id="287"/>
      <w:bookmarkEnd w:id="288"/>
      <w:bookmarkEnd w:id="289"/>
      <w:bookmarkEnd w:id="290"/>
      <w:bookmarkEnd w:id="291"/>
      <w:bookmarkEnd w:id="292"/>
    </w:p>
    <w:p w14:paraId="1731A133" w14:textId="60C1B179" w:rsidR="00B80806" w:rsidRPr="00F261DB" w:rsidRDefault="00B80806" w:rsidP="00A11E4D">
      <w:pPr>
        <w:pStyle w:val="JRCText"/>
        <w:spacing w:after="0" w:line="240" w:lineRule="auto"/>
        <w:jc w:val="both"/>
        <w:rPr>
          <w:rFonts w:ascii="Times New Roman" w:eastAsia="Times New Roman" w:hAnsi="Times New Roman" w:cs="Times New Roman"/>
          <w:noProof/>
          <w:color w:val="000000" w:themeColor="text1"/>
          <w:sz w:val="24"/>
          <w:szCs w:val="24"/>
        </w:rPr>
      </w:pPr>
    </w:p>
    <w:p w14:paraId="4823A148" w14:textId="132629D4" w:rsidR="0005249D" w:rsidRPr="00F261DB" w:rsidDel="0055007B" w:rsidRDefault="1A795087" w:rsidP="0005249D">
      <w:pPr>
        <w:rPr>
          <w:rFonts w:cs="Times New Roman"/>
          <w:noProof/>
          <w:szCs w:val="24"/>
        </w:rPr>
      </w:pPr>
      <w:r w:rsidRPr="0005249D" w:rsidDel="0055007B">
        <w:rPr>
          <w:b/>
          <w:bCs/>
          <w:noProof/>
        </w:rPr>
        <w:t>LEAD_EII</w:t>
      </w:r>
      <w:r w:rsidR="472C8E45" w:rsidRPr="3F0F1197" w:rsidDel="0055007B">
        <w:rPr>
          <w:rFonts w:eastAsia="Aptos" w:cs="Times New Roman"/>
          <w:b/>
          <w:bCs/>
          <w:i/>
          <w:iCs/>
          <w:noProof/>
        </w:rPr>
        <w:t xml:space="preserve">, </w:t>
      </w:r>
      <w:r w:rsidR="3BC15EB6" w:rsidRPr="3F0F1197" w:rsidDel="0055007B">
        <w:rPr>
          <w:rFonts w:eastAsia="Aptos" w:cs="Times New Roman"/>
          <w:b/>
          <w:bCs/>
          <w:i/>
          <w:iCs/>
          <w:noProof/>
        </w:rPr>
        <w:t>LEAD_BAT</w:t>
      </w:r>
      <w:r w:rsidR="15170D0A" w:rsidRPr="3F0F1197" w:rsidDel="0055007B">
        <w:rPr>
          <w:rFonts w:eastAsia="Aptos" w:cs="Times New Roman"/>
          <w:b/>
          <w:bCs/>
          <w:i/>
          <w:iCs/>
          <w:noProof/>
        </w:rPr>
        <w:t>, LEAD</w:t>
      </w:r>
      <w:r w:rsidR="6C6AD737" w:rsidRPr="3F0F1197">
        <w:rPr>
          <w:rFonts w:eastAsia="Aptos" w:cs="Times New Roman"/>
          <w:b/>
          <w:bCs/>
          <w:i/>
          <w:iCs/>
          <w:noProof/>
        </w:rPr>
        <w:t>_</w:t>
      </w:r>
      <w:r w:rsidR="15170D0A" w:rsidRPr="3F0F1197">
        <w:rPr>
          <w:rFonts w:eastAsia="Aptos" w:cs="Times New Roman"/>
          <w:b/>
          <w:bCs/>
          <w:i/>
          <w:iCs/>
          <w:noProof/>
        </w:rPr>
        <w:t>SOL</w:t>
      </w:r>
      <w:r w:rsidR="6450F9C8" w:rsidRPr="3F0F1197">
        <w:rPr>
          <w:rFonts w:eastAsia="Aptos" w:cs="Times New Roman"/>
          <w:b/>
          <w:bCs/>
          <w:i/>
          <w:iCs/>
          <w:noProof/>
        </w:rPr>
        <w:t xml:space="preserve"> </w:t>
      </w:r>
      <w:r w:rsidR="3BC15EB6" w:rsidRPr="3F0F1197">
        <w:rPr>
          <w:rFonts w:eastAsia="Aptos" w:cs="Times New Roman"/>
          <w:b/>
          <w:bCs/>
          <w:i/>
          <w:iCs/>
          <w:noProof/>
        </w:rPr>
        <w:t>and</w:t>
      </w:r>
      <w:r w:rsidR="3BC15EB6" w:rsidRPr="3F0F1197" w:rsidDel="0055007B">
        <w:rPr>
          <w:rFonts w:eastAsia="Aptos" w:cs="Times New Roman"/>
          <w:b/>
          <w:bCs/>
          <w:i/>
          <w:iCs/>
          <w:noProof/>
        </w:rPr>
        <w:t xml:space="preserve"> LEAD</w:t>
      </w:r>
      <w:r w:rsidR="6C6AD737" w:rsidRPr="3F0F1197">
        <w:rPr>
          <w:rFonts w:eastAsia="Aptos" w:cs="Times New Roman"/>
          <w:b/>
          <w:bCs/>
          <w:i/>
          <w:iCs/>
          <w:noProof/>
        </w:rPr>
        <w:t>_</w:t>
      </w:r>
      <w:r w:rsidR="572470F0" w:rsidRPr="3F0F1197">
        <w:rPr>
          <w:rFonts w:eastAsia="Aptos" w:cs="Times New Roman"/>
          <w:b/>
          <w:bCs/>
          <w:i/>
          <w:iCs/>
          <w:noProof/>
        </w:rPr>
        <w:t>VC</w:t>
      </w:r>
      <w:r w:rsidRPr="3F0F1197" w:rsidDel="0055007B">
        <w:rPr>
          <w:rFonts w:eastAsia="Aptos" w:cs="Times New Roman"/>
          <w:b/>
          <w:bCs/>
          <w:i/>
          <w:iCs/>
          <w:noProof/>
        </w:rPr>
        <w:t xml:space="preserve">: </w:t>
      </w:r>
      <w:r w:rsidR="3BC15EB6" w:rsidRPr="00434F9E" w:rsidDel="0055007B">
        <w:rPr>
          <w:rFonts w:cs="Times New Roman"/>
          <w:noProof/>
        </w:rPr>
        <w:t xml:space="preserve">In relation to the monetisation of </w:t>
      </w:r>
      <w:r w:rsidR="7705A946">
        <w:rPr>
          <w:rFonts w:cs="Times New Roman"/>
          <w:noProof/>
        </w:rPr>
        <w:t>GHG</w:t>
      </w:r>
      <w:r w:rsidR="3BC15EB6" w:rsidRPr="00434F9E" w:rsidDel="0055007B">
        <w:rPr>
          <w:rFonts w:cs="Times New Roman"/>
          <w:noProof/>
        </w:rPr>
        <w:t xml:space="preserve"> emissions, a cost of carbon is used</w:t>
      </w:r>
      <w:r w:rsidR="003B5854">
        <w:rPr>
          <w:rFonts w:cs="Times New Roman"/>
          <w:noProof/>
        </w:rPr>
        <w:t>.</w:t>
      </w:r>
      <w:r w:rsidR="00124896" w:rsidRPr="00434F9E" w:rsidDel="0055007B">
        <w:rPr>
          <w:rStyle w:val="FootnoteReference"/>
          <w:rFonts w:cs="Times New Roman"/>
          <w:noProof/>
        </w:rPr>
        <w:footnoteReference w:id="298"/>
      </w:r>
      <w:r w:rsidR="3BC15EB6" w:rsidRPr="00434F9E" w:rsidDel="0055007B">
        <w:rPr>
          <w:rFonts w:cs="Times New Roman"/>
          <w:noProof/>
        </w:rPr>
        <w:t xml:space="preserve"> Figures underpinning the analysis are below, with the central value used (as most consistent with the climate commitments) and the 2030 value used of 100 EUR per tCO</w:t>
      </w:r>
      <w:r w:rsidR="3BC15EB6" w:rsidRPr="3F0F1197" w:rsidDel="0055007B">
        <w:rPr>
          <w:rFonts w:asciiTheme="minorHAnsi" w:hAnsiTheme="minorHAnsi" w:cs="Times New Roman"/>
          <w:noProof/>
          <w:sz w:val="22"/>
          <w:vertAlign w:val="subscript"/>
        </w:rPr>
        <w:t>2</w:t>
      </w:r>
      <w:r w:rsidR="3BC15EB6" w:rsidRPr="00434F9E" w:rsidDel="0055007B">
        <w:rPr>
          <w:rFonts w:cs="Times New Roman"/>
          <w:noProof/>
        </w:rPr>
        <w:t xml:space="preserve">eq. This is an approximation, and no variation is made to reflect the time profile of when emissions will occur. </w:t>
      </w:r>
    </w:p>
    <w:p w14:paraId="19EF20C6" w14:textId="175353C0" w:rsidR="00124896" w:rsidRPr="0005249D" w:rsidDel="0055007B" w:rsidRDefault="00124896" w:rsidP="0005249D">
      <w:pPr>
        <w:rPr>
          <w:b/>
          <w:bCs/>
          <w:noProof/>
        </w:rPr>
      </w:pPr>
    </w:p>
    <w:p w14:paraId="05C908B3" w14:textId="5FE4D654" w:rsidR="00124896" w:rsidRDefault="00124896" w:rsidP="0005249D">
      <w:pPr>
        <w:rPr>
          <w:rFonts w:eastAsia="Times New Roman" w:cs="Times New Roman"/>
          <w:b/>
          <w:noProof/>
          <w:color w:val="000000" w:themeColor="text1"/>
        </w:rPr>
      </w:pPr>
      <w:r w:rsidRPr="0005249D" w:rsidDel="0055007B">
        <w:rPr>
          <w:b/>
          <w:bCs/>
          <w:noProof/>
        </w:rPr>
        <w:t xml:space="preserve">Values in current </w:t>
      </w:r>
      <w:r w:rsidR="008A354D" w:rsidRPr="008A354D">
        <w:rPr>
          <w:b/>
          <w:bCs/>
          <w:noProof/>
        </w:rPr>
        <w:t xml:space="preserve">EUR </w:t>
      </w:r>
      <w:r w:rsidRPr="0005249D" w:rsidDel="0055007B">
        <w:rPr>
          <w:b/>
          <w:bCs/>
          <w:noProof/>
        </w:rPr>
        <w:t xml:space="preserve">per </w:t>
      </w:r>
      <w:r w:rsidRPr="0005249D" w:rsidDel="0055007B">
        <w:rPr>
          <w:b/>
          <w:noProof/>
        </w:rPr>
        <w:t>tCO</w:t>
      </w:r>
      <w:r w:rsidR="00DE47FB" w:rsidRPr="00F03F9B">
        <w:rPr>
          <w:rFonts w:eastAsia="Times New Roman" w:cs="Times New Roman"/>
          <w:b/>
          <w:noProof/>
          <w:color w:val="000000" w:themeColor="text1"/>
          <w:vertAlign w:val="subscript"/>
        </w:rPr>
        <w:t>2</w:t>
      </w:r>
    </w:p>
    <w:p w14:paraId="26E0141A" w14:textId="72228B75" w:rsidR="00D153AA" w:rsidRPr="00F261DB" w:rsidRDefault="00D153AA" w:rsidP="00124896">
      <w:pPr>
        <w:pStyle w:val="JRCText"/>
        <w:spacing w:after="0" w:line="240" w:lineRule="auto"/>
        <w:jc w:val="both"/>
        <w:rPr>
          <w:rFonts w:ascii="Times New Roman" w:eastAsia="Times New Roman" w:hAnsi="Times New Roman" w:cs="Times New Roman"/>
          <w:b/>
          <w:noProof/>
          <w:color w:val="000000" w:themeColor="text1"/>
          <w:sz w:val="24"/>
          <w:szCs w:val="24"/>
        </w:rPr>
      </w:pPr>
    </w:p>
    <w:tbl>
      <w:tblPr>
        <w:tblStyle w:val="TableGrid"/>
        <w:tblW w:w="5000" w:type="pct"/>
        <w:jc w:val="center"/>
        <w:tblInd w:w="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67"/>
        <w:gridCol w:w="2367"/>
        <w:gridCol w:w="2367"/>
        <w:gridCol w:w="2367"/>
      </w:tblGrid>
      <w:tr w:rsidR="00124896" w:rsidRPr="00F261DB" w14:paraId="663930C2" w14:textId="25C14A1F" w:rsidTr="000D51C0">
        <w:trPr>
          <w:jc w:val="center"/>
        </w:trPr>
        <w:tc>
          <w:tcPr>
            <w:tcW w:w="1250" w:type="pct"/>
          </w:tcPr>
          <w:p w14:paraId="0C5F7A6C" w14:textId="3EEF38DD" w:rsidR="00124896" w:rsidRPr="00F261DB" w:rsidRDefault="00124896">
            <w:pPr>
              <w:pStyle w:val="JRCText"/>
              <w:spacing w:after="0" w:line="240" w:lineRule="auto"/>
              <w:jc w:val="both"/>
              <w:rPr>
                <w:rFonts w:ascii="Times New Roman" w:hAnsi="Times New Roman"/>
                <w:noProof/>
                <w:color w:val="000000" w:themeColor="text1"/>
                <w:sz w:val="24"/>
                <w:szCs w:val="24"/>
              </w:rPr>
            </w:pPr>
          </w:p>
        </w:tc>
        <w:tc>
          <w:tcPr>
            <w:tcW w:w="1250" w:type="pct"/>
          </w:tcPr>
          <w:p w14:paraId="45E827F9" w14:textId="18CBAF50"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Low</w:t>
            </w:r>
          </w:p>
        </w:tc>
        <w:tc>
          <w:tcPr>
            <w:tcW w:w="1250" w:type="pct"/>
          </w:tcPr>
          <w:p w14:paraId="765251C5" w14:textId="07BD46C6"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Central</w:t>
            </w:r>
          </w:p>
        </w:tc>
        <w:tc>
          <w:tcPr>
            <w:tcW w:w="1250" w:type="pct"/>
          </w:tcPr>
          <w:p w14:paraId="4F17FC5C" w14:textId="4BFC3670"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High</w:t>
            </w:r>
          </w:p>
        </w:tc>
      </w:tr>
      <w:tr w:rsidR="00124896" w:rsidRPr="00F261DB" w14:paraId="4989328C" w14:textId="17B5334E" w:rsidTr="000D51C0">
        <w:trPr>
          <w:jc w:val="center"/>
        </w:trPr>
        <w:tc>
          <w:tcPr>
            <w:tcW w:w="1250" w:type="pct"/>
          </w:tcPr>
          <w:p w14:paraId="3B106C6D" w14:textId="15944C2D"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Up to 2030</w:t>
            </w:r>
          </w:p>
        </w:tc>
        <w:tc>
          <w:tcPr>
            <w:tcW w:w="1250" w:type="pct"/>
          </w:tcPr>
          <w:p w14:paraId="001C654C" w14:textId="75604265"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60</w:t>
            </w:r>
          </w:p>
        </w:tc>
        <w:tc>
          <w:tcPr>
            <w:tcW w:w="1250" w:type="pct"/>
          </w:tcPr>
          <w:p w14:paraId="5C66C3F6" w14:textId="15B931DC"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100</w:t>
            </w:r>
          </w:p>
        </w:tc>
        <w:tc>
          <w:tcPr>
            <w:tcW w:w="1250" w:type="pct"/>
          </w:tcPr>
          <w:p w14:paraId="6D78ACC7" w14:textId="19A98738"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189</w:t>
            </w:r>
          </w:p>
        </w:tc>
      </w:tr>
      <w:tr w:rsidR="00124896" w:rsidRPr="00F261DB" w14:paraId="70B31736" w14:textId="2E4DD90D" w:rsidTr="000D51C0">
        <w:trPr>
          <w:jc w:val="center"/>
        </w:trPr>
        <w:tc>
          <w:tcPr>
            <w:tcW w:w="1250" w:type="pct"/>
          </w:tcPr>
          <w:p w14:paraId="2F650033" w14:textId="06F2EDB5"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Post 2030</w:t>
            </w:r>
          </w:p>
        </w:tc>
        <w:tc>
          <w:tcPr>
            <w:tcW w:w="1250" w:type="pct"/>
          </w:tcPr>
          <w:p w14:paraId="50C5681D" w14:textId="01B14F54"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156</w:t>
            </w:r>
          </w:p>
        </w:tc>
        <w:tc>
          <w:tcPr>
            <w:tcW w:w="1250" w:type="pct"/>
          </w:tcPr>
          <w:p w14:paraId="4037F43B" w14:textId="5DBD30BC"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269</w:t>
            </w:r>
          </w:p>
        </w:tc>
        <w:tc>
          <w:tcPr>
            <w:tcW w:w="1250" w:type="pct"/>
          </w:tcPr>
          <w:p w14:paraId="3DA15127" w14:textId="28A0724E" w:rsidR="00124896" w:rsidRPr="00F261DB" w:rsidRDefault="00124896">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498</w:t>
            </w:r>
          </w:p>
        </w:tc>
      </w:tr>
    </w:tbl>
    <w:p w14:paraId="56AE523A" w14:textId="7B8CA2D5" w:rsidR="00124896" w:rsidRPr="00F261DB" w:rsidRDefault="00124896" w:rsidP="0082026C">
      <w:pPr>
        <w:pStyle w:val="JRCText"/>
        <w:jc w:val="both"/>
        <w:rPr>
          <w:rFonts w:ascii="Times New Roman" w:hAnsi="Times New Roman" w:cs="Times New Roman"/>
          <w:b/>
          <w:i/>
          <w:noProof/>
          <w:sz w:val="24"/>
          <w:szCs w:val="24"/>
          <w:highlight w:val="yellow"/>
        </w:rPr>
      </w:pPr>
    </w:p>
    <w:p w14:paraId="651E0343" w14:textId="77777777" w:rsidR="00A02406" w:rsidRPr="00FF63D1" w:rsidRDefault="00A02406" w:rsidP="00A02406">
      <w:pPr>
        <w:pStyle w:val="JRCText"/>
        <w:jc w:val="both"/>
        <w:rPr>
          <w:rFonts w:ascii="Times New Roman" w:hAnsi="Times New Roman" w:cs="Times New Roman"/>
          <w:i/>
          <w:noProof/>
          <w:sz w:val="24"/>
          <w:szCs w:val="24"/>
        </w:rPr>
      </w:pPr>
      <w:r w:rsidRPr="00FF63D1">
        <w:rPr>
          <w:rFonts w:ascii="Times New Roman" w:hAnsi="Times New Roman" w:cs="Times New Roman"/>
          <w:i/>
          <w:noProof/>
          <w:sz w:val="24"/>
          <w:szCs w:val="24"/>
        </w:rPr>
        <w:lastRenderedPageBreak/>
        <w:t>Summary of LEAD benefits: monetisation of GHG saved</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411"/>
        <w:gridCol w:w="2268"/>
        <w:gridCol w:w="2404"/>
      </w:tblGrid>
      <w:tr w:rsidR="00F44963" w:rsidRPr="00434F9E" w14:paraId="4E89D5C7" w14:textId="77777777" w:rsidTr="000D51C0">
        <w:trPr>
          <w:tblHeader/>
        </w:trPr>
        <w:tc>
          <w:tcPr>
            <w:tcW w:w="1267" w:type="pct"/>
          </w:tcPr>
          <w:p w14:paraId="4B7008E4" w14:textId="77777777" w:rsidR="00A02406" w:rsidRPr="00E71388" w:rsidRDefault="00A02406">
            <w:pPr>
              <w:pStyle w:val="JRCText"/>
              <w:jc w:val="both"/>
              <w:rPr>
                <w:rFonts w:ascii="Times New Roman" w:hAnsi="Times New Roman"/>
                <w:noProof/>
                <w:sz w:val="24"/>
                <w:szCs w:val="24"/>
              </w:rPr>
            </w:pPr>
          </w:p>
        </w:tc>
        <w:tc>
          <w:tcPr>
            <w:tcW w:w="1270" w:type="pct"/>
            <w:shd w:val="clear" w:color="auto" w:fill="0070C0"/>
            <w:vAlign w:val="center"/>
          </w:tcPr>
          <w:p w14:paraId="2411EDB8" w14:textId="77777777" w:rsidR="00A02406" w:rsidRPr="00E71388" w:rsidRDefault="00A02406">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PO1</w:t>
            </w:r>
          </w:p>
        </w:tc>
        <w:tc>
          <w:tcPr>
            <w:tcW w:w="1195" w:type="pct"/>
            <w:shd w:val="clear" w:color="auto" w:fill="0070C0"/>
            <w:vAlign w:val="center"/>
          </w:tcPr>
          <w:p w14:paraId="5ED96BFB" w14:textId="77777777" w:rsidR="00A02406" w:rsidRPr="00E71388" w:rsidRDefault="00A02406">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PO2</w:t>
            </w:r>
          </w:p>
        </w:tc>
        <w:tc>
          <w:tcPr>
            <w:tcW w:w="1267" w:type="pct"/>
            <w:shd w:val="clear" w:color="auto" w:fill="0070C0"/>
            <w:vAlign w:val="center"/>
          </w:tcPr>
          <w:p w14:paraId="5610689B" w14:textId="68B5F3E7" w:rsidR="00A02406" w:rsidRPr="00E71388" w:rsidRDefault="00A02406">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PO3</w:t>
            </w:r>
          </w:p>
        </w:tc>
      </w:tr>
      <w:tr w:rsidR="000F390A" w:rsidRPr="00830047" w14:paraId="57D6D6E0" w14:textId="77777777" w:rsidTr="003B5854">
        <w:tc>
          <w:tcPr>
            <w:tcW w:w="1267" w:type="pct"/>
            <w:vAlign w:val="center"/>
          </w:tcPr>
          <w:p w14:paraId="18DB1A79" w14:textId="6A257465" w:rsidR="00A02406" w:rsidRPr="00E71388" w:rsidRDefault="00A02406" w:rsidP="006970F6">
            <w:pPr>
              <w:pStyle w:val="JRCText"/>
              <w:jc w:val="center"/>
              <w:rPr>
                <w:rFonts w:ascii="Times New Roman" w:hAnsi="Times New Roman"/>
                <w:i/>
                <w:noProof/>
                <w:sz w:val="24"/>
                <w:szCs w:val="24"/>
              </w:rPr>
            </w:pPr>
            <w:r w:rsidRPr="00E71388">
              <w:rPr>
                <w:rFonts w:ascii="Times New Roman" w:hAnsi="Times New Roman"/>
                <w:i/>
                <w:noProof/>
                <w:sz w:val="24"/>
                <w:szCs w:val="24"/>
              </w:rPr>
              <w:t>LEAD_EII (low-carbon steel</w:t>
            </w:r>
            <w:r w:rsidR="0058409E">
              <w:rPr>
                <w:rFonts w:ascii="Times New Roman" w:hAnsi="Times New Roman"/>
                <w:i/>
                <w:noProof/>
                <w:sz w:val="24"/>
                <w:szCs w:val="24"/>
              </w:rPr>
              <w:t xml:space="preserve">, </w:t>
            </w:r>
            <w:r w:rsidRPr="00E71388">
              <w:rPr>
                <w:rFonts w:ascii="Times New Roman" w:hAnsi="Times New Roman"/>
                <w:i/>
                <w:noProof/>
                <w:sz w:val="24"/>
                <w:szCs w:val="24"/>
              </w:rPr>
              <w:t>cement</w:t>
            </w:r>
            <w:r w:rsidR="006B7AA7">
              <w:rPr>
                <w:rFonts w:ascii="Times New Roman" w:hAnsi="Times New Roman"/>
                <w:i/>
                <w:noProof/>
                <w:sz w:val="24"/>
                <w:szCs w:val="24"/>
              </w:rPr>
              <w:t xml:space="preserve"> and aluminium</w:t>
            </w:r>
            <w:r w:rsidRPr="00E71388">
              <w:rPr>
                <w:rFonts w:ascii="Times New Roman" w:hAnsi="Times New Roman"/>
                <w:i/>
                <w:noProof/>
                <w:sz w:val="24"/>
                <w:szCs w:val="24"/>
              </w:rPr>
              <w:t>)</w:t>
            </w:r>
          </w:p>
        </w:tc>
        <w:tc>
          <w:tcPr>
            <w:tcW w:w="1270" w:type="pct"/>
            <w:vAlign w:val="center"/>
          </w:tcPr>
          <w:p w14:paraId="1C0D17B1" w14:textId="3C489B02" w:rsidR="00100E04" w:rsidRPr="00830047" w:rsidRDefault="2A0A65BB" w:rsidP="00100E04">
            <w:pPr>
              <w:pStyle w:val="JRCText"/>
              <w:jc w:val="center"/>
              <w:rPr>
                <w:rFonts w:ascii="Times New Roman" w:hAnsi="Times New Roman"/>
                <w:noProof/>
                <w:lang w:val="fr-BE"/>
              </w:rPr>
            </w:pPr>
            <w:r w:rsidRPr="00830047">
              <w:rPr>
                <w:rFonts w:ascii="Times New Roman" w:hAnsi="Times New Roman"/>
                <w:noProof/>
                <w:lang w:val="fr-BE"/>
              </w:rPr>
              <w:t xml:space="preserve">Steel: </w:t>
            </w:r>
            <w:r w:rsidR="077393E0" w:rsidRPr="00830047">
              <w:rPr>
                <w:rFonts w:ascii="Times New Roman" w:hAnsi="Times New Roman"/>
                <w:noProof/>
                <w:lang w:val="fr-BE"/>
              </w:rPr>
              <w:t>3</w:t>
            </w:r>
            <w:r w:rsidR="174BC6EB" w:rsidRPr="00830047">
              <w:rPr>
                <w:rFonts w:ascii="Times New Roman" w:hAnsi="Times New Roman"/>
                <w:noProof/>
                <w:lang w:val="fr-BE"/>
              </w:rPr>
              <w:t>.3</w:t>
            </w:r>
            <w:r w:rsidR="0075C0B2" w:rsidRPr="00830047">
              <w:rPr>
                <w:rFonts w:ascii="Times New Roman" w:hAnsi="Times New Roman"/>
                <w:noProof/>
                <w:lang w:val="fr-BE"/>
              </w:rPr>
              <w:t>7</w:t>
            </w:r>
            <w:r w:rsidR="005B2189" w:rsidRPr="00830047">
              <w:rPr>
                <w:rFonts w:ascii="Times New Roman" w:hAnsi="Times New Roman"/>
                <w:noProof/>
                <w:lang w:val="fr-BE"/>
              </w:rPr>
              <w:t xml:space="preserve"> </w:t>
            </w:r>
            <w:r w:rsidR="1AC6F867" w:rsidRPr="00830047">
              <w:rPr>
                <w:rFonts w:ascii="Times New Roman" w:hAnsi="Times New Roman"/>
                <w:noProof/>
                <w:lang w:val="fr-BE"/>
              </w:rPr>
              <w:t>Mtonne</w:t>
            </w:r>
            <w:r w:rsidR="005B2189" w:rsidRPr="00830047">
              <w:rPr>
                <w:rFonts w:ascii="Times New Roman" w:hAnsi="Times New Roman"/>
                <w:noProof/>
                <w:lang w:val="fr-BE"/>
              </w:rPr>
              <w:t xml:space="preserve">s </w:t>
            </w:r>
            <w:r w:rsidRPr="00830047">
              <w:rPr>
                <w:rFonts w:ascii="Times New Roman" w:hAnsi="Times New Roman"/>
                <w:noProof/>
                <w:lang w:val="fr-BE"/>
              </w:rPr>
              <w:t xml:space="preserve">CO2 (EUR </w:t>
            </w:r>
            <w:r w:rsidR="3EA1F81B" w:rsidRPr="00830047">
              <w:rPr>
                <w:rFonts w:ascii="Times New Roman" w:hAnsi="Times New Roman"/>
                <w:noProof/>
                <w:lang w:val="fr-BE"/>
              </w:rPr>
              <w:t>337</w:t>
            </w:r>
            <w:r w:rsidR="000916F4" w:rsidRPr="00830047">
              <w:rPr>
                <w:rFonts w:ascii="Times New Roman" w:hAnsi="Times New Roman"/>
                <w:noProof/>
                <w:lang w:val="fr-BE"/>
              </w:rPr>
              <w:t xml:space="preserve"> </w:t>
            </w:r>
            <w:r w:rsidRPr="00830047">
              <w:rPr>
                <w:rFonts w:ascii="Times New Roman" w:hAnsi="Times New Roman"/>
                <w:noProof/>
                <w:lang w:val="fr-BE"/>
              </w:rPr>
              <w:t>million)</w:t>
            </w:r>
            <w:r w:rsidR="3E169E14" w:rsidRPr="00830047">
              <w:rPr>
                <w:rFonts w:ascii="Times New Roman" w:hAnsi="Times New Roman"/>
                <w:noProof/>
                <w:lang w:val="fr-BE"/>
              </w:rPr>
              <w:t xml:space="preserve"> </w:t>
            </w:r>
          </w:p>
          <w:p w14:paraId="35D7971C" w14:textId="486F8094" w:rsidR="00A02406" w:rsidRDefault="2BE630CD" w:rsidP="1A2A8689">
            <w:pPr>
              <w:pStyle w:val="JRCText"/>
              <w:jc w:val="center"/>
              <w:rPr>
                <w:rFonts w:ascii="Times New Roman" w:hAnsi="Times New Roman"/>
                <w:noProof/>
                <w:lang w:val="fr-BE"/>
              </w:rPr>
            </w:pPr>
            <w:r w:rsidRPr="000D51C0">
              <w:rPr>
                <w:rFonts w:ascii="Times New Roman" w:hAnsi="Times New Roman"/>
                <w:noProof/>
                <w:lang w:val="fr-BE"/>
              </w:rPr>
              <w:t>Cement: 0.69</w:t>
            </w:r>
            <w:r w:rsidR="1AC6F867" w:rsidRPr="1A2A8689">
              <w:rPr>
                <w:rFonts w:ascii="Times New Roman" w:hAnsi="Times New Roman"/>
                <w:noProof/>
                <w:lang w:val="fr-BE"/>
              </w:rPr>
              <w:t xml:space="preserve"> Mtonnes</w:t>
            </w:r>
            <w:r w:rsidR="1AC6F867" w:rsidRPr="000D51C0">
              <w:rPr>
                <w:rFonts w:ascii="Times New Roman" w:hAnsi="Times New Roman"/>
                <w:noProof/>
                <w:lang w:val="fr-BE"/>
              </w:rPr>
              <w:t xml:space="preserve"> </w:t>
            </w:r>
            <w:r w:rsidRPr="000D51C0">
              <w:rPr>
                <w:rFonts w:ascii="Times New Roman" w:hAnsi="Times New Roman"/>
                <w:noProof/>
                <w:lang w:val="fr-BE"/>
              </w:rPr>
              <w:t>CO2 (EUR 68 million)</w:t>
            </w:r>
          </w:p>
          <w:p w14:paraId="2A99A8D9" w14:textId="2E0CDF5D" w:rsidR="006B7AA7" w:rsidRPr="000D51C0" w:rsidRDefault="006B7AA7" w:rsidP="1A2A8689">
            <w:pPr>
              <w:pStyle w:val="JRCText"/>
              <w:jc w:val="center"/>
              <w:rPr>
                <w:rFonts w:ascii="Times New Roman" w:hAnsi="Times New Roman"/>
                <w:noProof/>
                <w:lang w:val="fr-BE"/>
              </w:rPr>
            </w:pPr>
            <w:r>
              <w:rPr>
                <w:rFonts w:ascii="Times New Roman" w:hAnsi="Times New Roman"/>
                <w:noProof/>
                <w:lang w:val="fr-BE"/>
              </w:rPr>
              <w:t>Aluminium:</w:t>
            </w:r>
            <w:r w:rsidR="00A51441" w:rsidRPr="00E66DF4">
              <w:rPr>
                <w:rFonts w:ascii="Times New Roman" w:hAnsi="Times New Roman"/>
                <w:noProof/>
                <w:lang w:val="fr-BE"/>
              </w:rPr>
              <w:t xml:space="preserve"> 0.</w:t>
            </w:r>
            <w:r w:rsidR="00A51441">
              <w:rPr>
                <w:rFonts w:ascii="Times New Roman" w:hAnsi="Times New Roman"/>
                <w:noProof/>
                <w:lang w:val="fr-BE"/>
              </w:rPr>
              <w:t>22</w:t>
            </w:r>
            <w:r w:rsidR="00A51441" w:rsidRPr="1A2A8689">
              <w:rPr>
                <w:rFonts w:ascii="Times New Roman" w:hAnsi="Times New Roman"/>
                <w:noProof/>
                <w:lang w:val="fr-BE"/>
              </w:rPr>
              <w:t xml:space="preserve"> Mtonnes</w:t>
            </w:r>
            <w:r w:rsidR="00A51441" w:rsidRPr="00E66DF4">
              <w:rPr>
                <w:rFonts w:ascii="Times New Roman" w:hAnsi="Times New Roman"/>
                <w:noProof/>
                <w:lang w:val="fr-BE"/>
              </w:rPr>
              <w:t xml:space="preserve"> CO2 (EUR </w:t>
            </w:r>
            <w:r w:rsidR="00D606D4">
              <w:rPr>
                <w:rFonts w:ascii="Times New Roman" w:hAnsi="Times New Roman"/>
                <w:noProof/>
                <w:lang w:val="fr-BE"/>
              </w:rPr>
              <w:t>22</w:t>
            </w:r>
            <w:r w:rsidR="00A51441" w:rsidRPr="00E66DF4">
              <w:rPr>
                <w:rFonts w:ascii="Times New Roman" w:hAnsi="Times New Roman"/>
                <w:noProof/>
                <w:lang w:val="fr-BE"/>
              </w:rPr>
              <w:t xml:space="preserve"> million</w:t>
            </w:r>
            <w:r w:rsidR="00A51441">
              <w:rPr>
                <w:rFonts w:ascii="Times New Roman" w:hAnsi="Times New Roman"/>
                <w:noProof/>
                <w:lang w:val="fr-BE"/>
              </w:rPr>
              <w:t>)</w:t>
            </w:r>
          </w:p>
          <w:p w14:paraId="2ACCD15C" w14:textId="6B88DD3D" w:rsidR="00A02406" w:rsidRPr="000D51C0" w:rsidRDefault="2BE630CD" w:rsidP="1A2A8689">
            <w:pPr>
              <w:pStyle w:val="JRCText"/>
              <w:jc w:val="center"/>
              <w:rPr>
                <w:rFonts w:ascii="Times New Roman" w:hAnsi="Times New Roman"/>
                <w:noProof/>
                <w:lang w:val="fr-BE"/>
              </w:rPr>
            </w:pPr>
            <w:r w:rsidRPr="000D51C0">
              <w:rPr>
                <w:rFonts w:ascii="Times New Roman" w:hAnsi="Times New Roman"/>
                <w:noProof/>
                <w:lang w:val="fr-BE"/>
              </w:rPr>
              <w:t xml:space="preserve">Total: </w:t>
            </w:r>
            <w:r w:rsidR="008F3E62">
              <w:rPr>
                <w:rFonts w:ascii="Times New Roman" w:hAnsi="Times New Roman"/>
                <w:noProof/>
                <w:lang w:val="fr-BE"/>
              </w:rPr>
              <w:t>4</w:t>
            </w:r>
            <w:r w:rsidR="00B55C73">
              <w:rPr>
                <w:rFonts w:ascii="Times New Roman" w:hAnsi="Times New Roman"/>
                <w:noProof/>
                <w:lang w:val="fr-BE"/>
              </w:rPr>
              <w:t xml:space="preserve">.28 </w:t>
            </w:r>
            <w:r w:rsidR="1AC6F867" w:rsidRPr="1A2A8689">
              <w:rPr>
                <w:rFonts w:ascii="Times New Roman" w:hAnsi="Times New Roman"/>
                <w:noProof/>
                <w:lang w:val="fr-BE"/>
              </w:rPr>
              <w:t>Mtonnes</w:t>
            </w:r>
            <w:r w:rsidR="1AC6F867" w:rsidRPr="000D51C0">
              <w:rPr>
                <w:rFonts w:ascii="Times New Roman" w:hAnsi="Times New Roman"/>
                <w:noProof/>
                <w:lang w:val="fr-BE"/>
              </w:rPr>
              <w:t xml:space="preserve"> </w:t>
            </w:r>
            <w:r w:rsidRPr="000D51C0">
              <w:rPr>
                <w:rFonts w:ascii="Times New Roman" w:hAnsi="Times New Roman"/>
                <w:noProof/>
                <w:lang w:val="fr-BE"/>
              </w:rPr>
              <w:t xml:space="preserve">CO2 (EUR </w:t>
            </w:r>
            <w:r w:rsidR="000A59A0">
              <w:rPr>
                <w:rFonts w:ascii="Times New Roman" w:hAnsi="Times New Roman"/>
                <w:noProof/>
                <w:lang w:val="fr-BE"/>
              </w:rPr>
              <w:t xml:space="preserve">428 </w:t>
            </w:r>
            <w:r w:rsidRPr="000D51C0">
              <w:rPr>
                <w:rFonts w:ascii="Times New Roman" w:hAnsi="Times New Roman"/>
                <w:noProof/>
                <w:lang w:val="fr-BE"/>
              </w:rPr>
              <w:t>million)</w:t>
            </w:r>
          </w:p>
        </w:tc>
        <w:tc>
          <w:tcPr>
            <w:tcW w:w="1195" w:type="pct"/>
            <w:vAlign w:val="center"/>
          </w:tcPr>
          <w:p w14:paraId="0E887524" w14:textId="5C93B929" w:rsidR="00A02406" w:rsidRPr="00830047" w:rsidRDefault="2BE630CD" w:rsidP="00991D33">
            <w:pPr>
              <w:pStyle w:val="JRCText"/>
              <w:jc w:val="center"/>
              <w:rPr>
                <w:rFonts w:ascii="Times New Roman" w:hAnsi="Times New Roman"/>
                <w:noProof/>
                <w:lang w:val="fr-BE"/>
              </w:rPr>
            </w:pPr>
            <w:r w:rsidRPr="00830047">
              <w:rPr>
                <w:rFonts w:ascii="Times New Roman" w:hAnsi="Times New Roman"/>
                <w:noProof/>
                <w:lang w:val="fr-BE"/>
              </w:rPr>
              <w:t xml:space="preserve">Steel: </w:t>
            </w:r>
            <w:r w:rsidR="003E7043" w:rsidRPr="00830047">
              <w:rPr>
                <w:rFonts w:ascii="Times New Roman" w:hAnsi="Times New Roman"/>
                <w:noProof/>
                <w:lang w:val="fr-BE"/>
              </w:rPr>
              <w:t>3.</w:t>
            </w:r>
            <w:r w:rsidR="00D01D1F" w:rsidRPr="00830047">
              <w:rPr>
                <w:rFonts w:ascii="Times New Roman" w:hAnsi="Times New Roman"/>
                <w:noProof/>
                <w:lang w:val="fr-BE"/>
              </w:rPr>
              <w:t>37</w:t>
            </w:r>
            <w:r w:rsidR="1AC6F867" w:rsidRPr="00830047">
              <w:rPr>
                <w:rFonts w:ascii="Times New Roman" w:hAnsi="Times New Roman"/>
                <w:noProof/>
                <w:lang w:val="fr-BE"/>
              </w:rPr>
              <w:t xml:space="preserve"> Mtonnes </w:t>
            </w:r>
            <w:r w:rsidRPr="00830047">
              <w:rPr>
                <w:rFonts w:ascii="Times New Roman" w:hAnsi="Times New Roman"/>
                <w:noProof/>
                <w:lang w:val="fr-BE"/>
              </w:rPr>
              <w:t>CO</w:t>
            </w:r>
            <w:r w:rsidRPr="00830047">
              <w:rPr>
                <w:rFonts w:ascii="Times New Roman" w:hAnsi="Times New Roman"/>
                <w:noProof/>
                <w:vertAlign w:val="subscript"/>
                <w:lang w:val="fr-BE"/>
              </w:rPr>
              <w:t>2</w:t>
            </w:r>
            <w:r w:rsidRPr="00830047">
              <w:rPr>
                <w:rFonts w:ascii="Times New Roman" w:hAnsi="Times New Roman"/>
                <w:noProof/>
                <w:lang w:val="fr-BE"/>
              </w:rPr>
              <w:t xml:space="preserve"> (EUR </w:t>
            </w:r>
            <w:r w:rsidR="002C010B" w:rsidRPr="00830047">
              <w:rPr>
                <w:rFonts w:ascii="Times New Roman" w:hAnsi="Times New Roman"/>
                <w:noProof/>
                <w:lang w:val="fr-BE"/>
              </w:rPr>
              <w:t>337</w:t>
            </w:r>
            <w:r w:rsidR="005B2189" w:rsidRPr="00830047">
              <w:rPr>
                <w:rFonts w:ascii="Times New Roman" w:hAnsi="Times New Roman"/>
                <w:noProof/>
                <w:lang w:val="fr-BE"/>
              </w:rPr>
              <w:t xml:space="preserve"> </w:t>
            </w:r>
            <w:r w:rsidRPr="00830047">
              <w:rPr>
                <w:rFonts w:ascii="Times New Roman" w:hAnsi="Times New Roman"/>
                <w:noProof/>
                <w:lang w:val="fr-BE"/>
              </w:rPr>
              <w:t>million)</w:t>
            </w:r>
          </w:p>
          <w:p w14:paraId="24029AD4" w14:textId="14006BCE" w:rsidR="00A02406" w:rsidRDefault="2BE630CD" w:rsidP="1A2A8689">
            <w:pPr>
              <w:pStyle w:val="JRCText"/>
              <w:jc w:val="center"/>
              <w:rPr>
                <w:rFonts w:ascii="Times New Roman" w:hAnsi="Times New Roman"/>
                <w:noProof/>
                <w:lang w:val="fr-BE"/>
              </w:rPr>
            </w:pPr>
            <w:r w:rsidRPr="000D51C0">
              <w:rPr>
                <w:rFonts w:ascii="Times New Roman" w:hAnsi="Times New Roman"/>
                <w:noProof/>
                <w:lang w:val="fr-BE"/>
              </w:rPr>
              <w:t xml:space="preserve">Cement: </w:t>
            </w:r>
            <w:r w:rsidR="192DFAF1" w:rsidRPr="1A2A8689">
              <w:rPr>
                <w:rFonts w:ascii="Times New Roman" w:hAnsi="Times New Roman"/>
                <w:noProof/>
                <w:lang w:val="fr-BE"/>
              </w:rPr>
              <w:t>0.69</w:t>
            </w:r>
            <w:r w:rsidR="1AC6F867" w:rsidRPr="1A2A8689">
              <w:rPr>
                <w:rFonts w:ascii="Times New Roman" w:hAnsi="Times New Roman"/>
                <w:noProof/>
                <w:lang w:val="fr-BE"/>
              </w:rPr>
              <w:t xml:space="preserve"> Mtonnes</w:t>
            </w:r>
            <w:r w:rsidR="1AC6F867" w:rsidRPr="000D51C0">
              <w:rPr>
                <w:rFonts w:ascii="Times New Roman" w:hAnsi="Times New Roman"/>
                <w:noProof/>
                <w:lang w:val="fr-BE"/>
              </w:rPr>
              <w:t xml:space="preserve"> </w:t>
            </w:r>
            <w:r w:rsidRPr="000D51C0">
              <w:rPr>
                <w:rFonts w:ascii="Times New Roman" w:hAnsi="Times New Roman"/>
                <w:noProof/>
                <w:lang w:val="fr-BE"/>
              </w:rPr>
              <w:t>CO</w:t>
            </w:r>
            <w:r w:rsidRPr="000D51C0">
              <w:rPr>
                <w:rFonts w:ascii="Times New Roman" w:hAnsi="Times New Roman"/>
                <w:noProof/>
                <w:vertAlign w:val="subscript"/>
                <w:lang w:val="fr-BE"/>
              </w:rPr>
              <w:t xml:space="preserve">2 </w:t>
            </w:r>
            <w:r w:rsidRPr="000D51C0">
              <w:rPr>
                <w:rFonts w:ascii="Times New Roman" w:hAnsi="Times New Roman"/>
                <w:noProof/>
                <w:lang w:val="fr-BE"/>
              </w:rPr>
              <w:t xml:space="preserve">(EUR </w:t>
            </w:r>
            <w:r w:rsidR="482400FE" w:rsidRPr="1A2A8689">
              <w:rPr>
                <w:rFonts w:ascii="Times New Roman" w:hAnsi="Times New Roman"/>
                <w:noProof/>
                <w:lang w:val="fr-BE"/>
              </w:rPr>
              <w:t>68</w:t>
            </w:r>
            <w:r w:rsidRPr="000D51C0">
              <w:rPr>
                <w:rFonts w:ascii="Times New Roman" w:hAnsi="Times New Roman"/>
                <w:noProof/>
                <w:lang w:val="fr-BE"/>
              </w:rPr>
              <w:t xml:space="preserve"> million)</w:t>
            </w:r>
          </w:p>
          <w:p w14:paraId="7D8674BC" w14:textId="0FB2BAA6" w:rsidR="006B7AA7" w:rsidRPr="000D51C0" w:rsidRDefault="006B7AA7" w:rsidP="1A2A8689">
            <w:pPr>
              <w:pStyle w:val="JRCText"/>
              <w:jc w:val="center"/>
              <w:rPr>
                <w:rFonts w:ascii="Times New Roman" w:hAnsi="Times New Roman"/>
                <w:noProof/>
                <w:lang w:val="fr-BE"/>
              </w:rPr>
            </w:pPr>
            <w:r>
              <w:rPr>
                <w:rFonts w:ascii="Times New Roman" w:hAnsi="Times New Roman"/>
                <w:noProof/>
                <w:lang w:val="fr-BE"/>
              </w:rPr>
              <w:t>Aluminium:</w:t>
            </w:r>
            <w:r w:rsidR="00A51441" w:rsidRPr="00E66DF4">
              <w:rPr>
                <w:rFonts w:ascii="Times New Roman" w:hAnsi="Times New Roman"/>
                <w:noProof/>
                <w:lang w:val="fr-BE"/>
              </w:rPr>
              <w:t xml:space="preserve"> 0.</w:t>
            </w:r>
            <w:r w:rsidR="00A51441">
              <w:rPr>
                <w:rFonts w:ascii="Times New Roman" w:hAnsi="Times New Roman"/>
                <w:noProof/>
                <w:lang w:val="fr-BE"/>
              </w:rPr>
              <w:t>22</w:t>
            </w:r>
            <w:r w:rsidR="00A51441" w:rsidRPr="1A2A8689">
              <w:rPr>
                <w:rFonts w:ascii="Times New Roman" w:hAnsi="Times New Roman"/>
                <w:noProof/>
                <w:lang w:val="fr-BE"/>
              </w:rPr>
              <w:t xml:space="preserve"> Mtonnes</w:t>
            </w:r>
            <w:r w:rsidR="00A51441" w:rsidRPr="00E66DF4">
              <w:rPr>
                <w:rFonts w:ascii="Times New Roman" w:hAnsi="Times New Roman"/>
                <w:noProof/>
                <w:lang w:val="fr-BE"/>
              </w:rPr>
              <w:t xml:space="preserve"> CO2 (EUR </w:t>
            </w:r>
            <w:r w:rsidR="00D606D4">
              <w:rPr>
                <w:rFonts w:ascii="Times New Roman" w:hAnsi="Times New Roman"/>
                <w:noProof/>
                <w:lang w:val="fr-BE"/>
              </w:rPr>
              <w:t>22</w:t>
            </w:r>
            <w:r w:rsidR="00A51441" w:rsidRPr="00E66DF4">
              <w:rPr>
                <w:rFonts w:ascii="Times New Roman" w:hAnsi="Times New Roman"/>
                <w:noProof/>
                <w:lang w:val="fr-BE"/>
              </w:rPr>
              <w:t xml:space="preserve"> million</w:t>
            </w:r>
            <w:r w:rsidR="00A51441">
              <w:rPr>
                <w:rFonts w:ascii="Times New Roman" w:hAnsi="Times New Roman"/>
                <w:noProof/>
                <w:lang w:val="fr-BE"/>
              </w:rPr>
              <w:t>)</w:t>
            </w:r>
          </w:p>
          <w:p w14:paraId="12FA8C10" w14:textId="566FF549" w:rsidR="00A02406" w:rsidRPr="003204F6" w:rsidRDefault="2BE630CD" w:rsidP="00991D33">
            <w:pPr>
              <w:pStyle w:val="JRCText"/>
              <w:jc w:val="center"/>
              <w:rPr>
                <w:rFonts w:ascii="Times New Roman" w:hAnsi="Times New Roman"/>
                <w:noProof/>
                <w:lang w:val="fr-BE"/>
              </w:rPr>
            </w:pPr>
            <w:r w:rsidRPr="1A2A8689">
              <w:rPr>
                <w:rFonts w:ascii="Times New Roman" w:hAnsi="Times New Roman"/>
                <w:noProof/>
                <w:lang w:val="fr-BE"/>
              </w:rPr>
              <w:t xml:space="preserve">Total: </w:t>
            </w:r>
            <w:r w:rsidR="00B55C73">
              <w:rPr>
                <w:rFonts w:ascii="Times New Roman" w:hAnsi="Times New Roman"/>
                <w:noProof/>
                <w:lang w:val="fr-BE"/>
              </w:rPr>
              <w:t xml:space="preserve">4.28 </w:t>
            </w:r>
            <w:r w:rsidR="1AC6F867" w:rsidRPr="1A2A8689">
              <w:rPr>
                <w:rFonts w:ascii="Times New Roman" w:hAnsi="Times New Roman"/>
                <w:noProof/>
                <w:lang w:val="fr-BE"/>
              </w:rPr>
              <w:t xml:space="preserve">Mtonnes </w:t>
            </w:r>
            <w:r w:rsidRPr="1A2A8689">
              <w:rPr>
                <w:rFonts w:ascii="Times New Roman" w:hAnsi="Times New Roman"/>
                <w:noProof/>
                <w:lang w:val="fr-BE"/>
              </w:rPr>
              <w:t>CO</w:t>
            </w:r>
            <w:r w:rsidRPr="1A2A8689">
              <w:rPr>
                <w:rFonts w:ascii="Times New Roman" w:hAnsi="Times New Roman"/>
                <w:noProof/>
                <w:vertAlign w:val="subscript"/>
                <w:lang w:val="fr-BE"/>
              </w:rPr>
              <w:t>2</w:t>
            </w:r>
            <w:r w:rsidRPr="1A2A8689">
              <w:rPr>
                <w:rFonts w:ascii="Times New Roman" w:hAnsi="Times New Roman"/>
                <w:noProof/>
                <w:lang w:val="fr-BE"/>
              </w:rPr>
              <w:t xml:space="preserve"> (EUR </w:t>
            </w:r>
            <w:r w:rsidR="000A59A0">
              <w:rPr>
                <w:rFonts w:ascii="Times New Roman" w:hAnsi="Times New Roman"/>
                <w:noProof/>
                <w:lang w:val="fr-BE"/>
              </w:rPr>
              <w:t>428</w:t>
            </w:r>
            <w:r w:rsidR="1DCC3C80" w:rsidRPr="1A2A8689">
              <w:rPr>
                <w:rFonts w:ascii="Times New Roman" w:hAnsi="Times New Roman"/>
                <w:noProof/>
                <w:lang w:val="fr-BE"/>
              </w:rPr>
              <w:t xml:space="preserve"> million</w:t>
            </w:r>
            <w:r w:rsidRPr="1A2A8689">
              <w:rPr>
                <w:rFonts w:ascii="Times New Roman" w:hAnsi="Times New Roman"/>
                <w:noProof/>
                <w:lang w:val="fr-BE"/>
              </w:rPr>
              <w:t>)</w:t>
            </w:r>
          </w:p>
        </w:tc>
        <w:tc>
          <w:tcPr>
            <w:tcW w:w="1267" w:type="pct"/>
            <w:vAlign w:val="center"/>
          </w:tcPr>
          <w:p w14:paraId="30DBFB82" w14:textId="4F16D46A" w:rsidR="00A02406" w:rsidRPr="00830047" w:rsidRDefault="2BE630CD" w:rsidP="00991D33">
            <w:pPr>
              <w:pStyle w:val="JRCText"/>
              <w:jc w:val="center"/>
              <w:rPr>
                <w:rFonts w:ascii="Times New Roman" w:hAnsi="Times New Roman"/>
                <w:noProof/>
                <w:lang w:val="fr-BE"/>
              </w:rPr>
            </w:pPr>
            <w:r w:rsidRPr="00830047">
              <w:rPr>
                <w:rFonts w:ascii="Times New Roman" w:hAnsi="Times New Roman"/>
                <w:noProof/>
                <w:lang w:val="fr-BE"/>
              </w:rPr>
              <w:t xml:space="preserve">Steel: </w:t>
            </w:r>
            <w:r w:rsidR="055D9034" w:rsidRPr="00830047">
              <w:rPr>
                <w:rFonts w:ascii="Times New Roman" w:hAnsi="Times New Roman"/>
                <w:noProof/>
                <w:lang w:val="fr-BE"/>
              </w:rPr>
              <w:t>10.26</w:t>
            </w:r>
            <w:r w:rsidR="1AC6F867" w:rsidRPr="00830047">
              <w:rPr>
                <w:rFonts w:ascii="Times New Roman" w:hAnsi="Times New Roman"/>
                <w:noProof/>
                <w:lang w:val="fr-BE"/>
              </w:rPr>
              <w:t xml:space="preserve"> Mtonnes </w:t>
            </w:r>
            <w:r w:rsidRPr="00830047">
              <w:rPr>
                <w:rFonts w:ascii="Times New Roman" w:hAnsi="Times New Roman"/>
                <w:noProof/>
                <w:lang w:val="fr-BE"/>
              </w:rPr>
              <w:t>CO</w:t>
            </w:r>
            <w:r w:rsidRPr="00830047">
              <w:rPr>
                <w:rFonts w:ascii="Times New Roman" w:hAnsi="Times New Roman"/>
                <w:noProof/>
                <w:vertAlign w:val="subscript"/>
                <w:lang w:val="fr-BE"/>
              </w:rPr>
              <w:t>2</w:t>
            </w:r>
            <w:r w:rsidRPr="00830047">
              <w:rPr>
                <w:rFonts w:ascii="Times New Roman" w:hAnsi="Times New Roman"/>
                <w:noProof/>
                <w:lang w:val="fr-BE"/>
              </w:rPr>
              <w:t xml:space="preserve"> (EUR </w:t>
            </w:r>
            <w:r w:rsidR="722509C3" w:rsidRPr="00830047">
              <w:rPr>
                <w:rFonts w:ascii="Times New Roman" w:hAnsi="Times New Roman"/>
                <w:noProof/>
                <w:lang w:val="fr-BE"/>
              </w:rPr>
              <w:t>1</w:t>
            </w:r>
            <w:r w:rsidR="000916F4" w:rsidRPr="00830047">
              <w:rPr>
                <w:rFonts w:ascii="Times New Roman" w:hAnsi="Times New Roman"/>
                <w:noProof/>
                <w:lang w:val="fr-BE"/>
              </w:rPr>
              <w:t xml:space="preserve"> </w:t>
            </w:r>
            <w:r w:rsidR="722509C3" w:rsidRPr="00830047">
              <w:rPr>
                <w:rFonts w:ascii="Times New Roman" w:hAnsi="Times New Roman"/>
                <w:noProof/>
                <w:lang w:val="fr-BE"/>
              </w:rPr>
              <w:t>0</w:t>
            </w:r>
            <w:r w:rsidR="00577ABE" w:rsidRPr="00830047">
              <w:rPr>
                <w:rFonts w:ascii="Times New Roman" w:hAnsi="Times New Roman"/>
                <w:noProof/>
                <w:lang w:val="fr-BE"/>
              </w:rPr>
              <w:t>25</w:t>
            </w:r>
            <w:r w:rsidR="722509C3" w:rsidRPr="00830047">
              <w:rPr>
                <w:rFonts w:ascii="Times New Roman" w:hAnsi="Times New Roman"/>
                <w:noProof/>
                <w:lang w:val="fr-BE"/>
              </w:rPr>
              <w:t xml:space="preserve"> </w:t>
            </w:r>
            <w:r w:rsidR="009C2CD1" w:rsidRPr="00830047">
              <w:rPr>
                <w:rFonts w:ascii="Times New Roman" w:hAnsi="Times New Roman"/>
                <w:noProof/>
                <w:lang w:val="fr-BE"/>
              </w:rPr>
              <w:t>million</w:t>
            </w:r>
            <w:r w:rsidRPr="00830047">
              <w:rPr>
                <w:rFonts w:ascii="Times New Roman" w:hAnsi="Times New Roman"/>
                <w:noProof/>
                <w:lang w:val="fr-BE"/>
              </w:rPr>
              <w:t>)</w:t>
            </w:r>
          </w:p>
          <w:p w14:paraId="024C7ED3" w14:textId="5A136EC9" w:rsidR="00A02406" w:rsidRDefault="2BE630CD" w:rsidP="1A2A8689">
            <w:pPr>
              <w:pStyle w:val="JRCText"/>
              <w:jc w:val="center"/>
              <w:rPr>
                <w:rFonts w:ascii="Times New Roman" w:hAnsi="Times New Roman"/>
                <w:noProof/>
                <w:lang w:val="fr-BE"/>
              </w:rPr>
            </w:pPr>
            <w:r w:rsidRPr="000D51C0">
              <w:rPr>
                <w:rFonts w:ascii="Times New Roman" w:hAnsi="Times New Roman"/>
                <w:noProof/>
                <w:lang w:val="fr-BE"/>
              </w:rPr>
              <w:t>Cement: 2.22</w:t>
            </w:r>
            <w:r w:rsidR="1AC6F867" w:rsidRPr="1A2A8689">
              <w:rPr>
                <w:rFonts w:ascii="Times New Roman" w:hAnsi="Times New Roman"/>
                <w:noProof/>
                <w:lang w:val="fr-BE"/>
              </w:rPr>
              <w:t xml:space="preserve"> Mtonnes</w:t>
            </w:r>
            <w:r w:rsidR="1AC6F867" w:rsidRPr="000D51C0">
              <w:rPr>
                <w:rFonts w:ascii="Times New Roman" w:hAnsi="Times New Roman"/>
                <w:noProof/>
                <w:lang w:val="fr-BE"/>
              </w:rPr>
              <w:t xml:space="preserve"> </w:t>
            </w:r>
            <w:r w:rsidRPr="000D51C0">
              <w:rPr>
                <w:rFonts w:ascii="Times New Roman" w:hAnsi="Times New Roman"/>
                <w:noProof/>
                <w:lang w:val="fr-BE"/>
              </w:rPr>
              <w:t>CO</w:t>
            </w:r>
            <w:r w:rsidRPr="000D51C0">
              <w:rPr>
                <w:rFonts w:ascii="Times New Roman" w:hAnsi="Times New Roman"/>
                <w:noProof/>
                <w:vertAlign w:val="subscript"/>
                <w:lang w:val="fr-BE"/>
              </w:rPr>
              <w:t>2</w:t>
            </w:r>
            <w:r w:rsidRPr="000D51C0">
              <w:rPr>
                <w:rFonts w:ascii="Times New Roman" w:hAnsi="Times New Roman"/>
                <w:noProof/>
                <w:lang w:val="fr-BE"/>
              </w:rPr>
              <w:t xml:space="preserve"> (EUR 222 million)</w:t>
            </w:r>
          </w:p>
          <w:p w14:paraId="16991FD9" w14:textId="40484DEF" w:rsidR="006B7AA7" w:rsidRPr="000D51C0" w:rsidRDefault="006B7AA7" w:rsidP="1A2A8689">
            <w:pPr>
              <w:pStyle w:val="JRCText"/>
              <w:jc w:val="center"/>
              <w:rPr>
                <w:rFonts w:ascii="Times New Roman" w:hAnsi="Times New Roman"/>
                <w:noProof/>
                <w:lang w:val="fr-BE"/>
              </w:rPr>
            </w:pPr>
            <w:r>
              <w:rPr>
                <w:rFonts w:ascii="Times New Roman" w:hAnsi="Times New Roman"/>
                <w:noProof/>
                <w:lang w:val="fr-BE"/>
              </w:rPr>
              <w:t>Aluminium:</w:t>
            </w:r>
            <w:r w:rsidR="00A51441" w:rsidRPr="00E66DF4">
              <w:rPr>
                <w:rFonts w:ascii="Times New Roman" w:hAnsi="Times New Roman"/>
                <w:noProof/>
                <w:lang w:val="fr-BE"/>
              </w:rPr>
              <w:t xml:space="preserve"> </w:t>
            </w:r>
            <w:r w:rsidR="00A51441">
              <w:rPr>
                <w:rFonts w:ascii="Times New Roman" w:hAnsi="Times New Roman"/>
                <w:noProof/>
                <w:lang w:val="fr-BE"/>
              </w:rPr>
              <w:t>1</w:t>
            </w:r>
            <w:r w:rsidR="00A51441" w:rsidRPr="00E66DF4">
              <w:rPr>
                <w:rFonts w:ascii="Times New Roman" w:hAnsi="Times New Roman"/>
                <w:noProof/>
                <w:lang w:val="fr-BE"/>
              </w:rPr>
              <w:t>.</w:t>
            </w:r>
            <w:r w:rsidR="00A51441">
              <w:rPr>
                <w:rFonts w:ascii="Times New Roman" w:hAnsi="Times New Roman"/>
                <w:noProof/>
                <w:lang w:val="fr-BE"/>
              </w:rPr>
              <w:t>1</w:t>
            </w:r>
            <w:r w:rsidR="00A51441" w:rsidRPr="1A2A8689">
              <w:rPr>
                <w:rFonts w:ascii="Times New Roman" w:hAnsi="Times New Roman"/>
                <w:noProof/>
                <w:lang w:val="fr-BE"/>
              </w:rPr>
              <w:t xml:space="preserve"> Mtonnes</w:t>
            </w:r>
            <w:r w:rsidR="00A51441" w:rsidRPr="00E66DF4">
              <w:rPr>
                <w:rFonts w:ascii="Times New Roman" w:hAnsi="Times New Roman"/>
                <w:noProof/>
                <w:lang w:val="fr-BE"/>
              </w:rPr>
              <w:t xml:space="preserve"> CO2 (EUR </w:t>
            </w:r>
            <w:r w:rsidR="00D606D4">
              <w:rPr>
                <w:rFonts w:ascii="Times New Roman" w:hAnsi="Times New Roman"/>
                <w:noProof/>
                <w:lang w:val="fr-BE"/>
              </w:rPr>
              <w:t>110</w:t>
            </w:r>
            <w:r w:rsidR="00A51441" w:rsidRPr="00E66DF4">
              <w:rPr>
                <w:rFonts w:ascii="Times New Roman" w:hAnsi="Times New Roman"/>
                <w:noProof/>
                <w:lang w:val="fr-BE"/>
              </w:rPr>
              <w:t xml:space="preserve"> million</w:t>
            </w:r>
            <w:r w:rsidR="00A51441">
              <w:rPr>
                <w:rFonts w:ascii="Times New Roman" w:hAnsi="Times New Roman"/>
                <w:noProof/>
                <w:lang w:val="fr-BE"/>
              </w:rPr>
              <w:t>)</w:t>
            </w:r>
          </w:p>
          <w:p w14:paraId="4BAA1AE6" w14:textId="3A063ECD" w:rsidR="00A02406" w:rsidRPr="00B267DD" w:rsidRDefault="2A0A65BB" w:rsidP="00991D33">
            <w:pPr>
              <w:pStyle w:val="JRCText"/>
              <w:jc w:val="center"/>
              <w:rPr>
                <w:rFonts w:ascii="Times New Roman" w:hAnsi="Times New Roman"/>
                <w:noProof/>
                <w:lang w:val="fr-BE"/>
              </w:rPr>
            </w:pPr>
            <w:r w:rsidRPr="7ECD02B7">
              <w:rPr>
                <w:rFonts w:ascii="Times New Roman" w:hAnsi="Times New Roman"/>
                <w:noProof/>
                <w:lang w:val="fr-BE"/>
              </w:rPr>
              <w:t xml:space="preserve">Total: </w:t>
            </w:r>
            <w:r w:rsidR="1A0DE0EB" w:rsidRPr="7ECD02B7">
              <w:rPr>
                <w:rFonts w:ascii="Times New Roman" w:hAnsi="Times New Roman"/>
                <w:noProof/>
                <w:lang w:val="fr-BE"/>
              </w:rPr>
              <w:t>13.58</w:t>
            </w:r>
            <w:r w:rsidR="1AC6F867" w:rsidRPr="7ECD02B7">
              <w:rPr>
                <w:rFonts w:ascii="Times New Roman" w:hAnsi="Times New Roman"/>
                <w:noProof/>
                <w:lang w:val="fr-BE"/>
              </w:rPr>
              <w:t xml:space="preserve"> Mtonnes </w:t>
            </w:r>
            <w:r w:rsidRPr="7ECD02B7">
              <w:rPr>
                <w:rFonts w:ascii="Times New Roman" w:hAnsi="Times New Roman"/>
                <w:noProof/>
                <w:lang w:val="fr-BE"/>
              </w:rPr>
              <w:t>CO</w:t>
            </w:r>
            <w:r w:rsidRPr="7ECD02B7">
              <w:rPr>
                <w:rFonts w:ascii="Times New Roman" w:hAnsi="Times New Roman"/>
                <w:noProof/>
                <w:vertAlign w:val="subscript"/>
                <w:lang w:val="fr-BE"/>
              </w:rPr>
              <w:t>2</w:t>
            </w:r>
            <w:r w:rsidRPr="7ECD02B7">
              <w:rPr>
                <w:rFonts w:ascii="Times New Roman" w:hAnsi="Times New Roman"/>
                <w:noProof/>
                <w:lang w:val="fr-BE"/>
              </w:rPr>
              <w:t xml:space="preserve"> (EUR </w:t>
            </w:r>
            <w:r w:rsidR="0374DE5A" w:rsidRPr="7ECD02B7">
              <w:rPr>
                <w:rFonts w:ascii="Times New Roman" w:hAnsi="Times New Roman"/>
                <w:noProof/>
                <w:lang w:val="fr-BE"/>
              </w:rPr>
              <w:t>1</w:t>
            </w:r>
            <w:r w:rsidR="000916F4">
              <w:rPr>
                <w:rFonts w:ascii="Times New Roman" w:hAnsi="Times New Roman"/>
                <w:noProof/>
                <w:lang w:val="fr-BE"/>
              </w:rPr>
              <w:t xml:space="preserve"> </w:t>
            </w:r>
            <w:r w:rsidR="0374DE5A" w:rsidRPr="7ECD02B7">
              <w:rPr>
                <w:rFonts w:ascii="Times New Roman" w:hAnsi="Times New Roman"/>
                <w:noProof/>
                <w:lang w:val="fr-BE"/>
              </w:rPr>
              <w:t>358</w:t>
            </w:r>
            <w:r w:rsidRPr="7ECD02B7">
              <w:rPr>
                <w:rFonts w:ascii="Times New Roman" w:hAnsi="Times New Roman"/>
                <w:noProof/>
                <w:lang w:val="fr-BE"/>
              </w:rPr>
              <w:t xml:space="preserve"> </w:t>
            </w:r>
            <w:r w:rsidR="11F9B0BA" w:rsidRPr="7ECD02B7">
              <w:rPr>
                <w:rFonts w:ascii="Times New Roman" w:hAnsi="Times New Roman"/>
                <w:noProof/>
                <w:lang w:val="fr-BE"/>
              </w:rPr>
              <w:t>million</w:t>
            </w:r>
            <w:r w:rsidRPr="7ECD02B7">
              <w:rPr>
                <w:rFonts w:ascii="Times New Roman" w:hAnsi="Times New Roman"/>
                <w:noProof/>
                <w:lang w:val="fr-BE"/>
              </w:rPr>
              <w:t>)</w:t>
            </w:r>
          </w:p>
        </w:tc>
      </w:tr>
      <w:tr w:rsidR="00A51441" w:rsidRPr="00434F9E" w14:paraId="55113F77" w14:textId="77777777" w:rsidTr="000D51C0">
        <w:tc>
          <w:tcPr>
            <w:tcW w:w="1267" w:type="pct"/>
            <w:vAlign w:val="center"/>
          </w:tcPr>
          <w:p w14:paraId="67FE40BD" w14:textId="77777777" w:rsidR="00A02406" w:rsidRPr="00E71388" w:rsidRDefault="00A02406" w:rsidP="006970F6">
            <w:pPr>
              <w:pStyle w:val="JRCText"/>
              <w:jc w:val="center"/>
              <w:rPr>
                <w:rFonts w:ascii="Times New Roman" w:hAnsi="Times New Roman"/>
                <w:i/>
                <w:noProof/>
                <w:sz w:val="24"/>
                <w:szCs w:val="24"/>
              </w:rPr>
            </w:pPr>
            <w:r w:rsidRPr="00E71388">
              <w:rPr>
                <w:rFonts w:ascii="Times New Roman" w:hAnsi="Times New Roman"/>
                <w:i/>
                <w:noProof/>
                <w:sz w:val="24"/>
                <w:szCs w:val="24"/>
              </w:rPr>
              <w:t>LEAD_BAT</w:t>
            </w:r>
          </w:p>
        </w:tc>
        <w:tc>
          <w:tcPr>
            <w:tcW w:w="1270" w:type="pct"/>
            <w:vAlign w:val="center"/>
          </w:tcPr>
          <w:p w14:paraId="20068C0C" w14:textId="32432A9A" w:rsidR="00A02406" w:rsidRPr="00D31B04" w:rsidRDefault="1B750715" w:rsidP="000916F4">
            <w:pPr>
              <w:pStyle w:val="JRCText"/>
              <w:jc w:val="center"/>
              <w:rPr>
                <w:rFonts w:ascii="Times New Roman" w:hAnsi="Times New Roman"/>
                <w:noProof/>
                <w:lang w:val="fr-BE"/>
              </w:rPr>
            </w:pPr>
            <w:r w:rsidRPr="00D31B04">
              <w:rPr>
                <w:rFonts w:ascii="Times New Roman" w:hAnsi="Times New Roman"/>
                <w:noProof/>
                <w:color w:val="000000" w:themeColor="text1"/>
                <w:lang w:val="fr-BE"/>
              </w:rPr>
              <w:t>25.6</w:t>
            </w:r>
            <w:r w:rsidR="00284425" w:rsidRPr="00D31B04">
              <w:rPr>
                <w:rFonts w:ascii="Times New Roman" w:hAnsi="Times New Roman"/>
                <w:noProof/>
                <w:color w:val="000000" w:themeColor="text1"/>
                <w:lang w:val="fr-BE"/>
              </w:rPr>
              <w:t xml:space="preserve"> Mtonnes </w:t>
            </w:r>
            <w:r w:rsidR="00A02406" w:rsidRPr="00D31B04">
              <w:rPr>
                <w:rFonts w:ascii="Times New Roman" w:hAnsi="Times New Roman"/>
                <w:noProof/>
                <w:lang w:val="fr-BE"/>
              </w:rPr>
              <w:t>CO</w:t>
            </w:r>
            <w:r w:rsidR="00A02406" w:rsidRPr="00D31B04">
              <w:rPr>
                <w:rFonts w:ascii="Times New Roman" w:hAnsi="Times New Roman"/>
                <w:noProof/>
                <w:vertAlign w:val="subscript"/>
                <w:lang w:val="fr-BE"/>
              </w:rPr>
              <w:t>2</w:t>
            </w:r>
            <w:r w:rsidR="00A02406" w:rsidRPr="00D31B04">
              <w:rPr>
                <w:rFonts w:ascii="Times New Roman" w:hAnsi="Times New Roman"/>
                <w:noProof/>
                <w:lang w:val="fr-BE"/>
              </w:rPr>
              <w:t xml:space="preserve"> (EUR</w:t>
            </w:r>
            <w:r w:rsidR="008C7BE2" w:rsidRPr="00D31B04">
              <w:rPr>
                <w:rFonts w:ascii="Times New Roman" w:hAnsi="Times New Roman"/>
                <w:noProof/>
                <w:lang w:val="fr-BE"/>
              </w:rPr>
              <w:t xml:space="preserve"> </w:t>
            </w:r>
            <w:r w:rsidR="3C84A801" w:rsidRPr="00D31B04">
              <w:rPr>
                <w:rFonts w:ascii="Times New Roman" w:hAnsi="Times New Roman"/>
                <w:noProof/>
                <w:lang w:val="fr-BE"/>
              </w:rPr>
              <w:t>2</w:t>
            </w:r>
            <w:r w:rsidR="000916F4" w:rsidRPr="00D31B04">
              <w:rPr>
                <w:rFonts w:ascii="Times New Roman" w:hAnsi="Times New Roman"/>
                <w:noProof/>
                <w:lang w:val="fr-BE"/>
              </w:rPr>
              <w:t xml:space="preserve"> </w:t>
            </w:r>
            <w:r w:rsidR="3C84A801" w:rsidRPr="00D31B04">
              <w:rPr>
                <w:rFonts w:ascii="Times New Roman" w:hAnsi="Times New Roman"/>
                <w:noProof/>
                <w:lang w:val="fr-BE"/>
              </w:rPr>
              <w:t>56</w:t>
            </w:r>
            <w:r w:rsidR="000916F4" w:rsidRPr="00D31B04">
              <w:rPr>
                <w:rFonts w:ascii="Times New Roman" w:hAnsi="Times New Roman"/>
                <w:noProof/>
                <w:lang w:val="fr-BE"/>
              </w:rPr>
              <w:t>0 m</w:t>
            </w:r>
            <w:r w:rsidR="00A02406" w:rsidRPr="00D31B04">
              <w:rPr>
                <w:rFonts w:ascii="Times New Roman" w:hAnsi="Times New Roman"/>
                <w:noProof/>
                <w:lang w:val="fr-BE"/>
              </w:rPr>
              <w:t>illion)</w:t>
            </w:r>
          </w:p>
        </w:tc>
        <w:tc>
          <w:tcPr>
            <w:tcW w:w="1195" w:type="pct"/>
            <w:vAlign w:val="center"/>
          </w:tcPr>
          <w:p w14:paraId="363765BA" w14:textId="2D2CFA53" w:rsidR="00A02406" w:rsidRPr="00E71388" w:rsidRDefault="3C84A801" w:rsidP="38BBBED6">
            <w:pPr>
              <w:pStyle w:val="JRCText"/>
              <w:jc w:val="center"/>
              <w:rPr>
                <w:rFonts w:ascii="Times New Roman" w:hAnsi="Times New Roman"/>
                <w:noProof/>
              </w:rPr>
            </w:pPr>
            <w:r w:rsidRPr="38BBBED6">
              <w:rPr>
                <w:rFonts w:ascii="Times New Roman" w:hAnsi="Times New Roman"/>
                <w:noProof/>
              </w:rPr>
              <w:t>25.6</w:t>
            </w:r>
            <w:r w:rsidR="00284425" w:rsidRPr="38BBBED6">
              <w:rPr>
                <w:rFonts w:ascii="Times New Roman" w:hAnsi="Times New Roman"/>
                <w:noProof/>
              </w:rPr>
              <w:t xml:space="preserve"> Mtonnes </w:t>
            </w:r>
            <w:r w:rsidR="00A02406" w:rsidRPr="38BBBED6">
              <w:rPr>
                <w:rFonts w:ascii="Times New Roman" w:hAnsi="Times New Roman"/>
                <w:noProof/>
              </w:rPr>
              <w:t>CO</w:t>
            </w:r>
            <w:r w:rsidR="00A02406" w:rsidRPr="38BBBED6">
              <w:rPr>
                <w:rFonts w:ascii="Times New Roman" w:hAnsi="Times New Roman"/>
                <w:noProof/>
                <w:vertAlign w:val="subscript"/>
              </w:rPr>
              <w:t>2</w:t>
            </w:r>
            <w:r w:rsidR="00A02406" w:rsidRPr="38BBBED6">
              <w:rPr>
                <w:rFonts w:ascii="Times New Roman" w:hAnsi="Times New Roman"/>
                <w:noProof/>
              </w:rPr>
              <w:t xml:space="preserve"> (EUR </w:t>
            </w:r>
            <w:r w:rsidRPr="38BBBED6">
              <w:rPr>
                <w:rFonts w:ascii="Times New Roman" w:hAnsi="Times New Roman"/>
                <w:noProof/>
              </w:rPr>
              <w:t>2</w:t>
            </w:r>
            <w:r w:rsidR="000916F4">
              <w:rPr>
                <w:rFonts w:ascii="Times New Roman" w:hAnsi="Times New Roman"/>
                <w:noProof/>
              </w:rPr>
              <w:t xml:space="preserve"> </w:t>
            </w:r>
            <w:r w:rsidRPr="38BBBED6">
              <w:rPr>
                <w:rFonts w:ascii="Times New Roman" w:hAnsi="Times New Roman"/>
                <w:noProof/>
              </w:rPr>
              <w:t>56</w:t>
            </w:r>
            <w:r w:rsidR="000916F4">
              <w:rPr>
                <w:rFonts w:ascii="Times New Roman" w:hAnsi="Times New Roman"/>
                <w:noProof/>
              </w:rPr>
              <w:t>0</w:t>
            </w:r>
            <w:r w:rsidR="00A02406" w:rsidRPr="38BBBED6">
              <w:rPr>
                <w:rFonts w:ascii="Times New Roman" w:hAnsi="Times New Roman"/>
                <w:noProof/>
              </w:rPr>
              <w:t xml:space="preserve"> </w:t>
            </w:r>
            <w:r w:rsidR="000916F4">
              <w:rPr>
                <w:rFonts w:ascii="Times New Roman" w:hAnsi="Times New Roman"/>
                <w:noProof/>
              </w:rPr>
              <w:t>m</w:t>
            </w:r>
            <w:r w:rsidR="00A02406" w:rsidRPr="38BBBED6">
              <w:rPr>
                <w:rFonts w:ascii="Times New Roman" w:hAnsi="Times New Roman"/>
                <w:noProof/>
              </w:rPr>
              <w:t>illion)</w:t>
            </w:r>
          </w:p>
        </w:tc>
        <w:tc>
          <w:tcPr>
            <w:tcW w:w="1267" w:type="pct"/>
            <w:vAlign w:val="center"/>
          </w:tcPr>
          <w:p w14:paraId="06466159" w14:textId="65E15F0A" w:rsidR="00A02406" w:rsidRPr="00E71388" w:rsidRDefault="00A02406" w:rsidP="38BBBED6">
            <w:pPr>
              <w:pStyle w:val="JRCText"/>
              <w:jc w:val="center"/>
              <w:rPr>
                <w:rFonts w:ascii="Times New Roman" w:hAnsi="Times New Roman"/>
                <w:noProof/>
              </w:rPr>
            </w:pPr>
            <w:r w:rsidRPr="38BBBED6">
              <w:rPr>
                <w:rFonts w:ascii="Times New Roman" w:hAnsi="Times New Roman"/>
                <w:noProof/>
              </w:rPr>
              <w:t>34.17</w:t>
            </w:r>
            <w:r w:rsidR="00284425" w:rsidRPr="38BBBED6">
              <w:rPr>
                <w:rFonts w:ascii="Times New Roman" w:hAnsi="Times New Roman"/>
                <w:noProof/>
              </w:rPr>
              <w:t xml:space="preserve"> Mtonnes </w:t>
            </w:r>
            <w:r w:rsidRPr="38BBBED6">
              <w:rPr>
                <w:rFonts w:ascii="Times New Roman" w:hAnsi="Times New Roman"/>
                <w:noProof/>
              </w:rPr>
              <w:t>CO</w:t>
            </w:r>
            <w:r w:rsidRPr="38BBBED6">
              <w:rPr>
                <w:rFonts w:ascii="Times New Roman" w:hAnsi="Times New Roman"/>
                <w:noProof/>
                <w:vertAlign w:val="subscript"/>
              </w:rPr>
              <w:t>2</w:t>
            </w:r>
            <w:r w:rsidRPr="38BBBED6">
              <w:rPr>
                <w:rFonts w:ascii="Times New Roman" w:hAnsi="Times New Roman"/>
                <w:noProof/>
              </w:rPr>
              <w:t xml:space="preserve"> (EUR 3</w:t>
            </w:r>
            <w:r w:rsidR="000916F4">
              <w:rPr>
                <w:rFonts w:ascii="Times New Roman" w:hAnsi="Times New Roman"/>
                <w:noProof/>
              </w:rPr>
              <w:t xml:space="preserve"> </w:t>
            </w:r>
            <w:r w:rsidRPr="38BBBED6">
              <w:rPr>
                <w:rFonts w:ascii="Times New Roman" w:hAnsi="Times New Roman"/>
                <w:noProof/>
              </w:rPr>
              <w:t>4</w:t>
            </w:r>
            <w:r w:rsidR="000916F4">
              <w:rPr>
                <w:rFonts w:ascii="Times New Roman" w:hAnsi="Times New Roman"/>
                <w:noProof/>
              </w:rPr>
              <w:t>17</w:t>
            </w:r>
            <w:r w:rsidRPr="38BBBED6">
              <w:rPr>
                <w:rFonts w:ascii="Times New Roman" w:hAnsi="Times New Roman"/>
                <w:noProof/>
              </w:rPr>
              <w:t xml:space="preserve"> </w:t>
            </w:r>
            <w:r w:rsidR="000916F4">
              <w:rPr>
                <w:rFonts w:ascii="Times New Roman" w:hAnsi="Times New Roman"/>
                <w:noProof/>
              </w:rPr>
              <w:t>m</w:t>
            </w:r>
            <w:r w:rsidRPr="38BBBED6">
              <w:rPr>
                <w:rFonts w:ascii="Times New Roman" w:hAnsi="Times New Roman"/>
                <w:noProof/>
              </w:rPr>
              <w:t>illion)</w:t>
            </w:r>
          </w:p>
        </w:tc>
      </w:tr>
      <w:tr w:rsidR="00A51441" w:rsidRPr="00434F9E" w14:paraId="46E6E9CF" w14:textId="77777777" w:rsidTr="000D51C0">
        <w:tc>
          <w:tcPr>
            <w:tcW w:w="1267" w:type="pct"/>
            <w:vAlign w:val="center"/>
          </w:tcPr>
          <w:p w14:paraId="11BC918C" w14:textId="77777777" w:rsidR="00A02406" w:rsidRPr="00E71388" w:rsidRDefault="00A02406" w:rsidP="006970F6">
            <w:pPr>
              <w:pStyle w:val="JRCText"/>
              <w:jc w:val="center"/>
              <w:rPr>
                <w:rFonts w:ascii="Times New Roman" w:hAnsi="Times New Roman"/>
                <w:i/>
                <w:noProof/>
                <w:sz w:val="24"/>
                <w:szCs w:val="24"/>
              </w:rPr>
            </w:pPr>
            <w:r w:rsidRPr="00E71388">
              <w:rPr>
                <w:rFonts w:ascii="Times New Roman" w:hAnsi="Times New Roman"/>
                <w:i/>
                <w:noProof/>
                <w:sz w:val="24"/>
                <w:szCs w:val="24"/>
              </w:rPr>
              <w:t>LEAD_VC</w:t>
            </w:r>
          </w:p>
        </w:tc>
        <w:tc>
          <w:tcPr>
            <w:tcW w:w="1270" w:type="pct"/>
            <w:vAlign w:val="center"/>
          </w:tcPr>
          <w:p w14:paraId="0A286F1F" w14:textId="3781F79E" w:rsidR="00A02406" w:rsidRPr="00E71388" w:rsidRDefault="4850C202" w:rsidP="38BBBED6">
            <w:pPr>
              <w:pStyle w:val="JRCText"/>
              <w:jc w:val="center"/>
              <w:rPr>
                <w:rFonts w:ascii="Times New Roman" w:hAnsi="Times New Roman"/>
                <w:noProof/>
              </w:rPr>
            </w:pPr>
            <w:r w:rsidRPr="38BBBED6">
              <w:rPr>
                <w:rFonts w:ascii="Times New Roman" w:hAnsi="Times New Roman"/>
                <w:noProof/>
              </w:rPr>
              <w:t>0.7</w:t>
            </w:r>
            <w:r w:rsidR="00284425" w:rsidRPr="38BBBED6">
              <w:rPr>
                <w:rFonts w:ascii="Times New Roman" w:hAnsi="Times New Roman"/>
                <w:noProof/>
              </w:rPr>
              <w:t xml:space="preserve"> Mtonnes </w:t>
            </w:r>
            <w:r w:rsidRPr="38BBBED6">
              <w:rPr>
                <w:rFonts w:ascii="Times New Roman" w:hAnsi="Times New Roman"/>
                <w:noProof/>
              </w:rPr>
              <w:t>CO</w:t>
            </w:r>
            <w:r w:rsidRPr="38BBBED6">
              <w:rPr>
                <w:rFonts w:ascii="Times New Roman" w:hAnsi="Times New Roman"/>
                <w:noProof/>
                <w:vertAlign w:val="subscript"/>
              </w:rPr>
              <w:t xml:space="preserve">2 </w:t>
            </w:r>
            <w:r w:rsidRPr="38BBBED6">
              <w:rPr>
                <w:rFonts w:ascii="Times New Roman" w:hAnsi="Times New Roman"/>
                <w:noProof/>
              </w:rPr>
              <w:t xml:space="preserve">(EUR </w:t>
            </w:r>
            <w:r w:rsidR="4F71D906" w:rsidRPr="38BBBED6">
              <w:rPr>
                <w:rFonts w:ascii="Times New Roman" w:hAnsi="Times New Roman"/>
                <w:noProof/>
              </w:rPr>
              <w:t>70 million)</w:t>
            </w:r>
          </w:p>
        </w:tc>
        <w:tc>
          <w:tcPr>
            <w:tcW w:w="1195" w:type="pct"/>
            <w:vAlign w:val="center"/>
          </w:tcPr>
          <w:p w14:paraId="4C3BA1C6" w14:textId="7B5CA879" w:rsidR="00A02406" w:rsidRPr="00E71388" w:rsidRDefault="4F71D906" w:rsidP="38BBBED6">
            <w:pPr>
              <w:pStyle w:val="JRCText"/>
              <w:jc w:val="center"/>
              <w:rPr>
                <w:rFonts w:ascii="Times New Roman" w:hAnsi="Times New Roman"/>
                <w:noProof/>
              </w:rPr>
            </w:pPr>
            <w:r w:rsidRPr="38BBBED6">
              <w:rPr>
                <w:rFonts w:ascii="Times New Roman" w:hAnsi="Times New Roman"/>
                <w:noProof/>
              </w:rPr>
              <w:t>0.7</w:t>
            </w:r>
            <w:r w:rsidR="00284425" w:rsidRPr="38BBBED6">
              <w:rPr>
                <w:rFonts w:ascii="Times New Roman" w:hAnsi="Times New Roman"/>
                <w:noProof/>
              </w:rPr>
              <w:t xml:space="preserve"> Mtonnes </w:t>
            </w:r>
            <w:r w:rsidRPr="38BBBED6">
              <w:rPr>
                <w:rFonts w:ascii="Times New Roman" w:hAnsi="Times New Roman"/>
                <w:noProof/>
              </w:rPr>
              <w:t>CO</w:t>
            </w:r>
            <w:r w:rsidRPr="38BBBED6">
              <w:rPr>
                <w:rFonts w:ascii="Times New Roman" w:hAnsi="Times New Roman"/>
                <w:noProof/>
                <w:vertAlign w:val="subscript"/>
              </w:rPr>
              <w:t>2</w:t>
            </w:r>
            <w:r w:rsidRPr="38BBBED6">
              <w:rPr>
                <w:rFonts w:ascii="Times New Roman" w:hAnsi="Times New Roman"/>
                <w:noProof/>
              </w:rPr>
              <w:t xml:space="preserve"> (EUR 70 million)</w:t>
            </w:r>
          </w:p>
        </w:tc>
        <w:tc>
          <w:tcPr>
            <w:tcW w:w="1267" w:type="pct"/>
            <w:vAlign w:val="center"/>
          </w:tcPr>
          <w:p w14:paraId="26B9F489" w14:textId="539C26B9" w:rsidR="00A02406" w:rsidRPr="00E71388" w:rsidRDefault="4F71D906" w:rsidP="38BBBED6">
            <w:pPr>
              <w:pStyle w:val="JRCText"/>
              <w:jc w:val="center"/>
              <w:rPr>
                <w:rFonts w:ascii="Times New Roman" w:hAnsi="Times New Roman"/>
                <w:noProof/>
              </w:rPr>
            </w:pPr>
            <w:r w:rsidRPr="38BBBED6">
              <w:rPr>
                <w:rFonts w:ascii="Times New Roman" w:hAnsi="Times New Roman"/>
                <w:noProof/>
              </w:rPr>
              <w:t>0.9</w:t>
            </w:r>
            <w:r w:rsidR="00284425" w:rsidRPr="38BBBED6">
              <w:rPr>
                <w:rFonts w:ascii="Times New Roman" w:hAnsi="Times New Roman"/>
                <w:noProof/>
              </w:rPr>
              <w:t xml:space="preserve"> Mtonnes </w:t>
            </w:r>
            <w:r w:rsidRPr="38BBBED6">
              <w:rPr>
                <w:rFonts w:ascii="Times New Roman" w:hAnsi="Times New Roman"/>
                <w:noProof/>
              </w:rPr>
              <w:t>CO</w:t>
            </w:r>
            <w:r w:rsidRPr="38BBBED6">
              <w:rPr>
                <w:rFonts w:ascii="Times New Roman" w:hAnsi="Times New Roman"/>
                <w:noProof/>
                <w:vertAlign w:val="subscript"/>
              </w:rPr>
              <w:t>2</w:t>
            </w:r>
            <w:r w:rsidRPr="38BBBED6">
              <w:rPr>
                <w:rFonts w:ascii="Times New Roman" w:hAnsi="Times New Roman"/>
                <w:noProof/>
              </w:rPr>
              <w:t xml:space="preserve"> (EUR 90 million)</w:t>
            </w:r>
          </w:p>
        </w:tc>
      </w:tr>
      <w:tr w:rsidR="00F44963" w:rsidRPr="00434F9E" w14:paraId="00FF8F5F" w14:textId="77777777" w:rsidTr="003B5854">
        <w:trPr>
          <w:trHeight w:val="531"/>
        </w:trPr>
        <w:tc>
          <w:tcPr>
            <w:tcW w:w="1267" w:type="pct"/>
            <w:shd w:val="clear" w:color="auto" w:fill="F2F2F2" w:themeFill="background1" w:themeFillShade="F2"/>
            <w:vAlign w:val="center"/>
          </w:tcPr>
          <w:p w14:paraId="076CD486" w14:textId="227A7BF4" w:rsidR="30BE4E1B" w:rsidRPr="00E71388" w:rsidRDefault="1FCEE2AA" w:rsidP="00E71388">
            <w:pPr>
              <w:pStyle w:val="JRCText"/>
              <w:jc w:val="center"/>
              <w:rPr>
                <w:b/>
                <w:i/>
                <w:noProof/>
                <w:sz w:val="24"/>
                <w:szCs w:val="24"/>
              </w:rPr>
            </w:pPr>
            <w:r w:rsidRPr="00E71388">
              <w:rPr>
                <w:rFonts w:ascii="Times New Roman" w:hAnsi="Times New Roman"/>
                <w:b/>
                <w:i/>
                <w:noProof/>
                <w:sz w:val="24"/>
                <w:szCs w:val="24"/>
              </w:rPr>
              <w:t>TOTAL</w:t>
            </w:r>
          </w:p>
        </w:tc>
        <w:tc>
          <w:tcPr>
            <w:tcW w:w="1270" w:type="pct"/>
            <w:shd w:val="clear" w:color="auto" w:fill="F2F2F2" w:themeFill="background1" w:themeFillShade="F2"/>
            <w:vAlign w:val="center"/>
          </w:tcPr>
          <w:p w14:paraId="78AFA9E6" w14:textId="46F3ABEF" w:rsidR="00991D33" w:rsidRDefault="004449DA" w:rsidP="00991D33">
            <w:pPr>
              <w:pStyle w:val="JRCText"/>
              <w:jc w:val="center"/>
              <w:rPr>
                <w:rFonts w:ascii="Times New Roman" w:hAnsi="Times New Roman"/>
                <w:b/>
                <w:noProof/>
              </w:rPr>
            </w:pPr>
            <w:r>
              <w:rPr>
                <w:rFonts w:ascii="Times New Roman" w:hAnsi="Times New Roman"/>
                <w:b/>
                <w:noProof/>
              </w:rPr>
              <w:t>30.58</w:t>
            </w:r>
            <w:r>
              <w:rPr>
                <w:rFonts w:ascii="Times New Roman" w:hAnsi="Times New Roman"/>
                <w:b/>
                <w:bCs/>
                <w:noProof/>
              </w:rPr>
              <w:t xml:space="preserve"> </w:t>
            </w:r>
            <w:r w:rsidR="00284425" w:rsidRPr="0BB9F676">
              <w:rPr>
                <w:rFonts w:ascii="Times New Roman" w:hAnsi="Times New Roman"/>
                <w:b/>
                <w:noProof/>
              </w:rPr>
              <w:t xml:space="preserve">Mtonnes </w:t>
            </w:r>
            <w:r w:rsidR="00574642" w:rsidRPr="0BB9F676">
              <w:rPr>
                <w:rFonts w:ascii="Times New Roman" w:hAnsi="Times New Roman"/>
                <w:b/>
                <w:noProof/>
              </w:rPr>
              <w:t>CO</w:t>
            </w:r>
            <w:r w:rsidR="00574642" w:rsidRPr="0BB9F676">
              <w:rPr>
                <w:rFonts w:ascii="Times New Roman" w:hAnsi="Times New Roman"/>
                <w:b/>
                <w:noProof/>
                <w:vertAlign w:val="subscript"/>
              </w:rPr>
              <w:t xml:space="preserve">2 </w:t>
            </w:r>
          </w:p>
          <w:p w14:paraId="4DB1CE7A" w14:textId="6BD8B1D1" w:rsidR="30BE4E1B" w:rsidRPr="00E71388" w:rsidRDefault="00574642" w:rsidP="00991D33">
            <w:pPr>
              <w:pStyle w:val="JRCText"/>
              <w:jc w:val="center"/>
              <w:rPr>
                <w:b/>
                <w:noProof/>
              </w:rPr>
            </w:pPr>
            <w:r w:rsidRPr="0BB9F676">
              <w:rPr>
                <w:rFonts w:ascii="Times New Roman" w:hAnsi="Times New Roman"/>
                <w:b/>
                <w:noProof/>
              </w:rPr>
              <w:t>(EUR</w:t>
            </w:r>
            <w:r w:rsidR="006970F6" w:rsidRPr="0BB9F676">
              <w:rPr>
                <w:rFonts w:ascii="Times New Roman" w:hAnsi="Times New Roman"/>
                <w:b/>
                <w:noProof/>
              </w:rPr>
              <w:t xml:space="preserve"> </w:t>
            </w:r>
            <w:r w:rsidR="00BF1066">
              <w:rPr>
                <w:rFonts w:ascii="Times New Roman" w:hAnsi="Times New Roman"/>
                <w:b/>
                <w:noProof/>
              </w:rPr>
              <w:t>3</w:t>
            </w:r>
            <w:r w:rsidR="000916F4">
              <w:rPr>
                <w:rFonts w:ascii="Times New Roman" w:hAnsi="Times New Roman"/>
                <w:b/>
                <w:noProof/>
              </w:rPr>
              <w:t xml:space="preserve"> </w:t>
            </w:r>
            <w:r w:rsidR="00F6563A">
              <w:rPr>
                <w:rFonts w:ascii="Times New Roman" w:hAnsi="Times New Roman"/>
                <w:b/>
                <w:noProof/>
              </w:rPr>
              <w:t>058</w:t>
            </w:r>
            <w:r w:rsidRPr="0BB9F676">
              <w:rPr>
                <w:rFonts w:ascii="Times New Roman" w:hAnsi="Times New Roman"/>
                <w:b/>
                <w:noProof/>
              </w:rPr>
              <w:t xml:space="preserve"> billion)</w:t>
            </w:r>
          </w:p>
        </w:tc>
        <w:tc>
          <w:tcPr>
            <w:tcW w:w="1195" w:type="pct"/>
            <w:shd w:val="clear" w:color="auto" w:fill="F2F2F2" w:themeFill="background1" w:themeFillShade="F2"/>
            <w:vAlign w:val="center"/>
          </w:tcPr>
          <w:p w14:paraId="10020D62" w14:textId="5484B74C" w:rsidR="00991D33" w:rsidRDefault="004449DA" w:rsidP="00991D33">
            <w:pPr>
              <w:pStyle w:val="JRCText"/>
              <w:jc w:val="center"/>
              <w:rPr>
                <w:rFonts w:ascii="Times New Roman" w:hAnsi="Times New Roman"/>
                <w:b/>
                <w:noProof/>
              </w:rPr>
            </w:pPr>
            <w:r>
              <w:rPr>
                <w:rFonts w:ascii="Times New Roman" w:hAnsi="Times New Roman"/>
                <w:b/>
                <w:bCs/>
                <w:noProof/>
              </w:rPr>
              <w:t>30.58</w:t>
            </w:r>
            <w:r w:rsidR="00284425" w:rsidRPr="0BB9F676">
              <w:rPr>
                <w:rFonts w:ascii="Times New Roman" w:hAnsi="Times New Roman"/>
                <w:b/>
                <w:noProof/>
              </w:rPr>
              <w:t xml:space="preserve"> Mtonnes </w:t>
            </w:r>
            <w:r w:rsidR="00574642" w:rsidRPr="0BB9F676">
              <w:rPr>
                <w:rFonts w:ascii="Times New Roman" w:hAnsi="Times New Roman"/>
                <w:b/>
                <w:noProof/>
              </w:rPr>
              <w:t>CO</w:t>
            </w:r>
            <w:r w:rsidR="00574642" w:rsidRPr="0BB9F676">
              <w:rPr>
                <w:rFonts w:ascii="Times New Roman" w:hAnsi="Times New Roman"/>
                <w:b/>
                <w:noProof/>
                <w:vertAlign w:val="subscript"/>
              </w:rPr>
              <w:t xml:space="preserve">2 </w:t>
            </w:r>
          </w:p>
          <w:p w14:paraId="0BDF2176" w14:textId="246C6137" w:rsidR="30BE4E1B" w:rsidRPr="00E71388" w:rsidRDefault="00574642" w:rsidP="00991D33">
            <w:pPr>
              <w:pStyle w:val="JRCText"/>
              <w:jc w:val="center"/>
              <w:rPr>
                <w:b/>
                <w:noProof/>
              </w:rPr>
            </w:pPr>
            <w:r w:rsidRPr="0BB9F676">
              <w:rPr>
                <w:rFonts w:ascii="Times New Roman" w:hAnsi="Times New Roman"/>
                <w:b/>
                <w:noProof/>
              </w:rPr>
              <w:t xml:space="preserve">(EUR </w:t>
            </w:r>
            <w:r w:rsidR="00D72513">
              <w:rPr>
                <w:rFonts w:ascii="Times New Roman" w:hAnsi="Times New Roman"/>
                <w:b/>
                <w:bCs/>
                <w:noProof/>
              </w:rPr>
              <w:t>3</w:t>
            </w:r>
            <w:r w:rsidR="000916F4">
              <w:rPr>
                <w:rFonts w:ascii="Times New Roman" w:hAnsi="Times New Roman"/>
                <w:b/>
                <w:bCs/>
                <w:noProof/>
              </w:rPr>
              <w:t xml:space="preserve"> </w:t>
            </w:r>
            <w:r w:rsidR="00D72513">
              <w:rPr>
                <w:rFonts w:ascii="Times New Roman" w:hAnsi="Times New Roman"/>
                <w:b/>
                <w:bCs/>
                <w:noProof/>
              </w:rPr>
              <w:t>058</w:t>
            </w:r>
            <w:r w:rsidRPr="0BB9F676">
              <w:rPr>
                <w:rFonts w:ascii="Times New Roman" w:hAnsi="Times New Roman"/>
                <w:b/>
                <w:noProof/>
              </w:rPr>
              <w:t xml:space="preserve"> billion)</w:t>
            </w:r>
          </w:p>
        </w:tc>
        <w:tc>
          <w:tcPr>
            <w:tcW w:w="1267" w:type="pct"/>
            <w:shd w:val="clear" w:color="auto" w:fill="F2F2F2" w:themeFill="background1" w:themeFillShade="F2"/>
            <w:vAlign w:val="center"/>
          </w:tcPr>
          <w:p w14:paraId="4BCD69BE" w14:textId="4AFD02DD" w:rsidR="00991D33" w:rsidRDefault="00BF1066" w:rsidP="00991D33">
            <w:pPr>
              <w:pStyle w:val="JRCText"/>
              <w:jc w:val="center"/>
              <w:rPr>
                <w:rFonts w:ascii="Times New Roman" w:hAnsi="Times New Roman"/>
                <w:b/>
                <w:noProof/>
              </w:rPr>
            </w:pPr>
            <w:r>
              <w:rPr>
                <w:rFonts w:ascii="Times New Roman" w:hAnsi="Times New Roman"/>
                <w:b/>
                <w:bCs/>
                <w:noProof/>
              </w:rPr>
              <w:t>48.65</w:t>
            </w:r>
            <w:r w:rsidR="00284425" w:rsidRPr="0BB9F676">
              <w:rPr>
                <w:rFonts w:ascii="Times New Roman" w:hAnsi="Times New Roman"/>
                <w:b/>
                <w:noProof/>
              </w:rPr>
              <w:t xml:space="preserve"> Mtonnes </w:t>
            </w:r>
            <w:r w:rsidR="009C3F04" w:rsidRPr="0BB9F676">
              <w:rPr>
                <w:rFonts w:ascii="Times New Roman" w:hAnsi="Times New Roman"/>
                <w:b/>
                <w:noProof/>
              </w:rPr>
              <w:t>CO</w:t>
            </w:r>
            <w:r w:rsidR="009C3F04" w:rsidRPr="0BB9F676">
              <w:rPr>
                <w:rFonts w:ascii="Times New Roman" w:hAnsi="Times New Roman"/>
                <w:b/>
                <w:noProof/>
                <w:vertAlign w:val="subscript"/>
              </w:rPr>
              <w:t>2</w:t>
            </w:r>
            <w:r w:rsidR="009C3F04" w:rsidRPr="0BB9F676">
              <w:rPr>
                <w:rFonts w:ascii="Times New Roman" w:hAnsi="Times New Roman"/>
                <w:b/>
                <w:noProof/>
              </w:rPr>
              <w:t xml:space="preserve"> </w:t>
            </w:r>
          </w:p>
          <w:p w14:paraId="3FE065D5" w14:textId="29C95AC8" w:rsidR="30BE4E1B" w:rsidRPr="00E71388" w:rsidRDefault="009C3F04" w:rsidP="00991D33">
            <w:pPr>
              <w:pStyle w:val="JRCText"/>
              <w:jc w:val="center"/>
              <w:rPr>
                <w:b/>
                <w:noProof/>
              </w:rPr>
            </w:pPr>
            <w:r w:rsidRPr="0BB9F676">
              <w:rPr>
                <w:rFonts w:ascii="Times New Roman" w:hAnsi="Times New Roman"/>
                <w:b/>
                <w:noProof/>
              </w:rPr>
              <w:t xml:space="preserve">(EUR </w:t>
            </w:r>
            <w:r w:rsidR="00D72513">
              <w:rPr>
                <w:rFonts w:ascii="Times New Roman" w:hAnsi="Times New Roman"/>
                <w:b/>
                <w:noProof/>
              </w:rPr>
              <w:t>4</w:t>
            </w:r>
            <w:r w:rsidR="000916F4">
              <w:rPr>
                <w:rFonts w:ascii="Times New Roman" w:hAnsi="Times New Roman"/>
                <w:b/>
                <w:noProof/>
              </w:rPr>
              <w:t xml:space="preserve"> </w:t>
            </w:r>
            <w:r w:rsidR="00D72513">
              <w:rPr>
                <w:rFonts w:ascii="Times New Roman" w:hAnsi="Times New Roman"/>
                <w:b/>
                <w:noProof/>
              </w:rPr>
              <w:t>8</w:t>
            </w:r>
            <w:r w:rsidR="00F44963">
              <w:rPr>
                <w:rFonts w:ascii="Times New Roman" w:hAnsi="Times New Roman"/>
                <w:b/>
                <w:noProof/>
              </w:rPr>
              <w:t>65</w:t>
            </w:r>
            <w:r w:rsidRPr="0BB9F676">
              <w:rPr>
                <w:rFonts w:ascii="Times New Roman" w:hAnsi="Times New Roman"/>
                <w:b/>
                <w:noProof/>
              </w:rPr>
              <w:t xml:space="preserve"> billion)</w:t>
            </w:r>
          </w:p>
        </w:tc>
      </w:tr>
    </w:tbl>
    <w:p w14:paraId="64934ECF" w14:textId="77777777" w:rsidR="0005249D" w:rsidRDefault="0005249D" w:rsidP="00DD17D3">
      <w:pPr>
        <w:pStyle w:val="JRCText"/>
        <w:jc w:val="both"/>
        <w:rPr>
          <w:rFonts w:ascii="Times New Roman" w:hAnsi="Times New Roman" w:cs="Times New Roman"/>
          <w:b/>
          <w:noProof/>
          <w:sz w:val="24"/>
          <w:szCs w:val="24"/>
        </w:rPr>
      </w:pPr>
    </w:p>
    <w:p w14:paraId="11E4A7C4" w14:textId="57409B51" w:rsidR="00DD17D3" w:rsidRPr="00F261DB" w:rsidRDefault="00DD17D3" w:rsidP="00DD17D3">
      <w:pPr>
        <w:pStyle w:val="JRCText"/>
        <w:jc w:val="both"/>
        <w:rPr>
          <w:rFonts w:ascii="Times New Roman" w:hAnsi="Times New Roman" w:cs="Times New Roman"/>
          <w:b/>
          <w:noProof/>
          <w:sz w:val="24"/>
          <w:szCs w:val="24"/>
        </w:rPr>
      </w:pPr>
      <w:r w:rsidRPr="00F261DB">
        <w:rPr>
          <w:rFonts w:ascii="Times New Roman" w:hAnsi="Times New Roman" w:cs="Times New Roman"/>
          <w:b/>
          <w:noProof/>
          <w:sz w:val="24"/>
          <w:szCs w:val="24"/>
        </w:rPr>
        <w:t>LEAD_EII</w:t>
      </w:r>
    </w:p>
    <w:p w14:paraId="0C04C8EC" w14:textId="77777777" w:rsidR="00DD17D3" w:rsidRPr="004C119B" w:rsidRDefault="00DD17D3" w:rsidP="0005249D">
      <w:pPr>
        <w:rPr>
          <w:rFonts w:cs="Times New Roman"/>
          <w:i/>
          <w:iCs/>
          <w:noProof/>
          <w:szCs w:val="24"/>
        </w:rPr>
      </w:pPr>
      <w:r w:rsidRPr="004C119B">
        <w:rPr>
          <w:rFonts w:cs="Times New Roman"/>
          <w:i/>
          <w:iCs/>
          <w:noProof/>
          <w:szCs w:val="24"/>
        </w:rPr>
        <w:t xml:space="preserve">Emission savings from low-carbon </w:t>
      </w:r>
      <w:r w:rsidRPr="004C119B">
        <w:rPr>
          <w:rFonts w:cs="Times New Roman"/>
          <w:b/>
          <w:bCs/>
          <w:i/>
          <w:iCs/>
          <w:noProof/>
          <w:szCs w:val="24"/>
        </w:rPr>
        <w:t>steel</w:t>
      </w:r>
      <w:r w:rsidRPr="004C119B">
        <w:rPr>
          <w:rFonts w:cs="Times New Roman"/>
          <w:i/>
          <w:iCs/>
          <w:noProof/>
          <w:szCs w:val="24"/>
        </w:rPr>
        <w:t xml:space="preserve">: </w:t>
      </w:r>
    </w:p>
    <w:p w14:paraId="2E9CBA7C" w14:textId="0D289F38" w:rsidR="0005249D" w:rsidRDefault="3D3F2919" w:rsidP="0005249D">
      <w:pPr>
        <w:pStyle w:val="ListParagraph"/>
        <w:numPr>
          <w:ilvl w:val="0"/>
          <w:numId w:val="42"/>
        </w:numPr>
        <w:rPr>
          <w:rFonts w:cs="Times New Roman"/>
          <w:noProof/>
        </w:rPr>
      </w:pPr>
      <w:r w:rsidRPr="7ECD02B7">
        <w:rPr>
          <w:rFonts w:cs="Times New Roman"/>
          <w:noProof/>
        </w:rPr>
        <w:t>Low</w:t>
      </w:r>
      <w:r w:rsidR="00966BD0" w:rsidRPr="7ECD02B7">
        <w:rPr>
          <w:rFonts w:cs="Times New Roman"/>
          <w:noProof/>
        </w:rPr>
        <w:t>-</w:t>
      </w:r>
      <w:r w:rsidRPr="7ECD02B7">
        <w:rPr>
          <w:rFonts w:cs="Times New Roman"/>
          <w:noProof/>
        </w:rPr>
        <w:t>carbon steel calculated at 0.</w:t>
      </w:r>
      <w:r w:rsidR="6ABFD110" w:rsidRPr="7ECD02B7">
        <w:rPr>
          <w:rFonts w:cs="Times New Roman"/>
          <w:noProof/>
        </w:rPr>
        <w:t>575</w:t>
      </w:r>
      <w:r w:rsidRPr="7ECD02B7">
        <w:rPr>
          <w:rFonts w:cs="Times New Roman"/>
          <w:noProof/>
        </w:rPr>
        <w:t xml:space="preserve"> t CO</w:t>
      </w:r>
      <w:r w:rsidRPr="7ECD02B7">
        <w:rPr>
          <w:rFonts w:cs="Times New Roman"/>
          <w:noProof/>
          <w:vertAlign w:val="subscript"/>
        </w:rPr>
        <w:t>2</w:t>
      </w:r>
      <w:r w:rsidRPr="7ECD02B7">
        <w:rPr>
          <w:rFonts w:cs="Times New Roman"/>
          <w:noProof/>
        </w:rPr>
        <w:t xml:space="preserve"> / t steel</w:t>
      </w:r>
      <w:r w:rsidR="1385CCD4" w:rsidRPr="7ECD02B7">
        <w:rPr>
          <w:rFonts w:cs="Times New Roman"/>
          <w:noProof/>
        </w:rPr>
        <w:t xml:space="preserve"> based on the Steel label methodology</w:t>
      </w:r>
      <w:r w:rsidR="22D2613A" w:rsidRPr="7ECD02B7">
        <w:rPr>
          <w:rFonts w:cs="Times New Roman"/>
          <w:noProof/>
        </w:rPr>
        <w:t>.</w:t>
      </w:r>
    </w:p>
    <w:p w14:paraId="4DAAFC17" w14:textId="3F2F60E6" w:rsidR="00DD17D3" w:rsidRPr="0005249D" w:rsidRDefault="00DD17D3" w:rsidP="0005249D">
      <w:pPr>
        <w:pStyle w:val="ListParagraph"/>
        <w:numPr>
          <w:ilvl w:val="1"/>
          <w:numId w:val="42"/>
        </w:numPr>
        <w:rPr>
          <w:rFonts w:cs="Times New Roman"/>
          <w:noProof/>
          <w:szCs w:val="24"/>
        </w:rPr>
      </w:pPr>
      <w:r w:rsidRPr="0005249D">
        <w:rPr>
          <w:rFonts w:cs="Times New Roman"/>
          <w:noProof/>
          <w:szCs w:val="24"/>
        </w:rPr>
        <w:t xml:space="preserve">Based on the assumption that 50% of steel in 2030 will be </w:t>
      </w:r>
      <w:r w:rsidR="0065603B">
        <w:rPr>
          <w:rFonts w:cs="Times New Roman"/>
          <w:noProof/>
          <w:szCs w:val="24"/>
        </w:rPr>
        <w:t>produce</w:t>
      </w:r>
      <w:r w:rsidR="00967EB1">
        <w:rPr>
          <w:rFonts w:cs="Times New Roman"/>
          <w:noProof/>
          <w:szCs w:val="24"/>
        </w:rPr>
        <w:t xml:space="preserve">d </w:t>
      </w:r>
      <w:r w:rsidR="006E1AD5">
        <w:rPr>
          <w:rFonts w:cs="Times New Roman"/>
          <w:noProof/>
          <w:szCs w:val="24"/>
        </w:rPr>
        <w:t>via</w:t>
      </w:r>
      <w:r w:rsidR="0065603B" w:rsidRPr="0005249D">
        <w:rPr>
          <w:rFonts w:cs="Times New Roman"/>
          <w:noProof/>
          <w:szCs w:val="24"/>
        </w:rPr>
        <w:t xml:space="preserve"> </w:t>
      </w:r>
      <w:r w:rsidRPr="0005249D">
        <w:rPr>
          <w:rFonts w:cs="Times New Roman"/>
          <w:noProof/>
          <w:szCs w:val="24"/>
        </w:rPr>
        <w:t xml:space="preserve">the primary route, and 50% </w:t>
      </w:r>
      <w:r w:rsidR="006E1AD5">
        <w:rPr>
          <w:rFonts w:cs="Times New Roman"/>
          <w:noProof/>
          <w:szCs w:val="24"/>
        </w:rPr>
        <w:t>via</w:t>
      </w:r>
      <w:r w:rsidR="00967EB1" w:rsidRPr="0005249D">
        <w:rPr>
          <w:rFonts w:cs="Times New Roman"/>
          <w:noProof/>
          <w:szCs w:val="24"/>
        </w:rPr>
        <w:t xml:space="preserve"> </w:t>
      </w:r>
      <w:r w:rsidRPr="0005249D">
        <w:rPr>
          <w:rFonts w:cs="Times New Roman"/>
          <w:noProof/>
          <w:szCs w:val="24"/>
        </w:rPr>
        <w:t>the secondary</w:t>
      </w:r>
      <w:r w:rsidR="007E3858">
        <w:rPr>
          <w:rFonts w:cs="Times New Roman"/>
          <w:noProof/>
          <w:szCs w:val="24"/>
        </w:rPr>
        <w:t xml:space="preserve"> route</w:t>
      </w:r>
      <w:r w:rsidR="00967EB1">
        <w:rPr>
          <w:rFonts w:cs="Times New Roman"/>
          <w:noProof/>
          <w:szCs w:val="24"/>
        </w:rPr>
        <w:t>.</w:t>
      </w:r>
    </w:p>
    <w:p w14:paraId="3395DE6A" w14:textId="6E0B1E4A" w:rsidR="00DD17D3" w:rsidRPr="00F261DB" w:rsidRDefault="3D3F2919" w:rsidP="0005249D">
      <w:pPr>
        <w:pStyle w:val="ListParagraph"/>
        <w:numPr>
          <w:ilvl w:val="1"/>
          <w:numId w:val="42"/>
        </w:numPr>
        <w:rPr>
          <w:rFonts w:cs="Times New Roman"/>
          <w:noProof/>
        </w:rPr>
      </w:pPr>
      <w:r w:rsidRPr="7ECD02B7">
        <w:rPr>
          <w:rFonts w:cs="Times New Roman"/>
          <w:noProof/>
        </w:rPr>
        <w:t>Based on low</w:t>
      </w:r>
      <w:r w:rsidR="00966BD0" w:rsidRPr="7ECD02B7">
        <w:rPr>
          <w:rFonts w:cs="Times New Roman"/>
          <w:noProof/>
        </w:rPr>
        <w:t>-</w:t>
      </w:r>
      <w:r w:rsidRPr="7ECD02B7">
        <w:rPr>
          <w:rFonts w:cs="Times New Roman"/>
          <w:noProof/>
        </w:rPr>
        <w:t>carbon steel label developed through the act, with the average primary steel emission factor at 0.9 t CO</w:t>
      </w:r>
      <w:r w:rsidRPr="7ECD02B7">
        <w:rPr>
          <w:rFonts w:cs="Times New Roman"/>
          <w:noProof/>
          <w:vertAlign w:val="subscript"/>
        </w:rPr>
        <w:t>2</w:t>
      </w:r>
      <w:r w:rsidRPr="7ECD02B7">
        <w:rPr>
          <w:rFonts w:cs="Times New Roman"/>
          <w:noProof/>
        </w:rPr>
        <w:t xml:space="preserve"> / t steel and secondary steel at 0.</w:t>
      </w:r>
      <w:r w:rsidR="5E448F32" w:rsidRPr="7ECD02B7">
        <w:rPr>
          <w:rFonts w:cs="Times New Roman"/>
          <w:noProof/>
        </w:rPr>
        <w:t>25</w:t>
      </w:r>
      <w:r w:rsidRPr="7ECD02B7">
        <w:rPr>
          <w:rFonts w:cs="Times New Roman"/>
          <w:noProof/>
        </w:rPr>
        <w:t xml:space="preserve"> t CO</w:t>
      </w:r>
      <w:r w:rsidRPr="7ECD02B7">
        <w:rPr>
          <w:rFonts w:cs="Times New Roman"/>
          <w:noProof/>
          <w:vertAlign w:val="subscript"/>
        </w:rPr>
        <w:t>2</w:t>
      </w:r>
      <w:r w:rsidRPr="7ECD02B7">
        <w:rPr>
          <w:rFonts w:cs="Times New Roman"/>
          <w:noProof/>
        </w:rPr>
        <w:t xml:space="preserve"> / t steel</w:t>
      </w:r>
      <w:r w:rsidR="00B5725C">
        <w:rPr>
          <w:rFonts w:cs="Times New Roman"/>
          <w:noProof/>
        </w:rPr>
        <w:t>.</w:t>
      </w:r>
    </w:p>
    <w:p w14:paraId="17825D1B" w14:textId="7E5CF5FD" w:rsidR="00DD17D3" w:rsidRPr="00F261DB" w:rsidRDefault="00DD17D3" w:rsidP="0005249D">
      <w:pPr>
        <w:pStyle w:val="ListParagraph"/>
        <w:numPr>
          <w:ilvl w:val="0"/>
          <w:numId w:val="42"/>
        </w:numPr>
        <w:rPr>
          <w:rFonts w:cs="Times New Roman"/>
          <w:noProof/>
          <w:szCs w:val="24"/>
        </w:rPr>
      </w:pPr>
      <w:r w:rsidRPr="0005249D">
        <w:rPr>
          <w:rFonts w:eastAsia="Times New Roman" w:cs="Times New Roman"/>
          <w:noProof/>
          <w:color w:val="000000" w:themeColor="text1"/>
          <w:szCs w:val="24"/>
        </w:rPr>
        <w:t>Fossil</w:t>
      </w:r>
      <w:r w:rsidRPr="00F261DB">
        <w:rPr>
          <w:rFonts w:cs="Times New Roman"/>
          <w:noProof/>
          <w:szCs w:val="24"/>
        </w:rPr>
        <w:t xml:space="preserve"> </w:t>
      </w:r>
      <w:r w:rsidR="006D66B2" w:rsidRPr="00F261DB">
        <w:rPr>
          <w:rFonts w:cs="Times New Roman"/>
          <w:noProof/>
          <w:szCs w:val="24"/>
        </w:rPr>
        <w:t>fuel-based</w:t>
      </w:r>
      <w:r w:rsidRPr="00F261DB">
        <w:rPr>
          <w:rFonts w:cs="Times New Roman"/>
          <w:noProof/>
          <w:szCs w:val="24"/>
        </w:rPr>
        <w:t xml:space="preserve"> steel calculated at 1.06 t CO</w:t>
      </w:r>
      <w:r w:rsidRPr="00F03F9B">
        <w:rPr>
          <w:rFonts w:cs="Times New Roman"/>
          <w:noProof/>
          <w:szCs w:val="24"/>
          <w:vertAlign w:val="subscript"/>
        </w:rPr>
        <w:t xml:space="preserve">2 </w:t>
      </w:r>
      <w:r w:rsidRPr="00F261DB">
        <w:rPr>
          <w:rFonts w:cs="Times New Roman"/>
          <w:noProof/>
          <w:szCs w:val="24"/>
        </w:rPr>
        <w:t>/ t steel</w:t>
      </w:r>
      <w:r w:rsidR="009E21EA">
        <w:rPr>
          <w:rFonts w:cs="Times New Roman"/>
          <w:noProof/>
          <w:szCs w:val="24"/>
        </w:rPr>
        <w:t xml:space="preserve"> based on the Steel label methodology</w:t>
      </w:r>
      <w:r w:rsidR="00107346">
        <w:rPr>
          <w:rFonts w:cs="Times New Roman"/>
          <w:noProof/>
          <w:szCs w:val="24"/>
        </w:rPr>
        <w:t>.</w:t>
      </w:r>
    </w:p>
    <w:p w14:paraId="7F3A8B0E" w14:textId="2A02CF05" w:rsidR="00DD17D3" w:rsidRPr="00F261DB" w:rsidRDefault="00DD17D3" w:rsidP="0005249D">
      <w:pPr>
        <w:pStyle w:val="ListParagraph"/>
        <w:numPr>
          <w:ilvl w:val="1"/>
          <w:numId w:val="42"/>
        </w:numPr>
        <w:rPr>
          <w:rFonts w:cs="Times New Roman"/>
          <w:noProof/>
          <w:szCs w:val="24"/>
        </w:rPr>
      </w:pPr>
      <w:r w:rsidRPr="00F261DB">
        <w:rPr>
          <w:rFonts w:cs="Times New Roman"/>
          <w:noProof/>
          <w:szCs w:val="24"/>
        </w:rPr>
        <w:t xml:space="preserve">Based on the assumption that 50% of steel in 2030 will be </w:t>
      </w:r>
      <w:r w:rsidR="00F42508">
        <w:rPr>
          <w:rFonts w:cs="Times New Roman"/>
          <w:noProof/>
          <w:szCs w:val="24"/>
        </w:rPr>
        <w:t>produced via</w:t>
      </w:r>
      <w:r w:rsidR="00F42508" w:rsidRPr="00F261DB">
        <w:rPr>
          <w:rFonts w:cs="Times New Roman"/>
          <w:noProof/>
          <w:szCs w:val="24"/>
        </w:rPr>
        <w:t xml:space="preserve"> </w:t>
      </w:r>
      <w:r w:rsidRPr="00F261DB">
        <w:rPr>
          <w:rFonts w:cs="Times New Roman"/>
          <w:noProof/>
          <w:szCs w:val="24"/>
        </w:rPr>
        <w:t xml:space="preserve">the primary route, and 50% </w:t>
      </w:r>
      <w:r w:rsidR="00F42508">
        <w:rPr>
          <w:rFonts w:cs="Times New Roman"/>
          <w:noProof/>
          <w:szCs w:val="24"/>
        </w:rPr>
        <w:t>via</w:t>
      </w:r>
      <w:r w:rsidR="00F42508" w:rsidRPr="00F261DB">
        <w:rPr>
          <w:rFonts w:cs="Times New Roman"/>
          <w:noProof/>
          <w:szCs w:val="24"/>
        </w:rPr>
        <w:t xml:space="preserve"> </w:t>
      </w:r>
      <w:r w:rsidRPr="00F261DB">
        <w:rPr>
          <w:rFonts w:cs="Times New Roman"/>
          <w:noProof/>
          <w:szCs w:val="24"/>
        </w:rPr>
        <w:t>the secondary</w:t>
      </w:r>
      <w:r w:rsidR="00F42508">
        <w:rPr>
          <w:rFonts w:cs="Times New Roman"/>
          <w:noProof/>
          <w:szCs w:val="24"/>
        </w:rPr>
        <w:t xml:space="preserve"> route</w:t>
      </w:r>
      <w:r w:rsidR="002F689F">
        <w:rPr>
          <w:rFonts w:cs="Times New Roman"/>
          <w:noProof/>
          <w:szCs w:val="24"/>
        </w:rPr>
        <w:t>.</w:t>
      </w:r>
    </w:p>
    <w:p w14:paraId="03F58569" w14:textId="141CE172" w:rsidR="00DD17D3" w:rsidRPr="00F261DB" w:rsidRDefault="3D3F2919" w:rsidP="0005249D">
      <w:pPr>
        <w:pStyle w:val="ListParagraph"/>
        <w:numPr>
          <w:ilvl w:val="1"/>
          <w:numId w:val="42"/>
        </w:numPr>
        <w:rPr>
          <w:rFonts w:cs="Times New Roman"/>
          <w:noProof/>
          <w:szCs w:val="24"/>
        </w:rPr>
      </w:pPr>
      <w:r w:rsidRPr="1A2A8689">
        <w:rPr>
          <w:rFonts w:cs="Times New Roman"/>
          <w:noProof/>
        </w:rPr>
        <w:t>Based on 2019 data of average primary steel emission factor at 1.8 t CO</w:t>
      </w:r>
      <w:r w:rsidRPr="1A2A8689">
        <w:rPr>
          <w:rFonts w:cs="Times New Roman"/>
          <w:noProof/>
          <w:vertAlign w:val="subscript"/>
        </w:rPr>
        <w:t>2</w:t>
      </w:r>
      <w:r w:rsidRPr="1A2A8689">
        <w:rPr>
          <w:rFonts w:cs="Times New Roman"/>
          <w:noProof/>
        </w:rPr>
        <w:t xml:space="preserve"> / t steel and secondary at 0.32 t CO</w:t>
      </w:r>
      <w:r w:rsidRPr="1A2A8689">
        <w:rPr>
          <w:rFonts w:cs="Times New Roman"/>
          <w:noProof/>
          <w:vertAlign w:val="subscript"/>
        </w:rPr>
        <w:t>2</w:t>
      </w:r>
      <w:r w:rsidRPr="1A2A8689">
        <w:rPr>
          <w:rFonts w:cs="Times New Roman"/>
          <w:noProof/>
        </w:rPr>
        <w:t xml:space="preserve"> / t steel</w:t>
      </w:r>
      <w:r w:rsidR="002F689F">
        <w:rPr>
          <w:rFonts w:cs="Times New Roman"/>
          <w:noProof/>
        </w:rPr>
        <w:t>.</w:t>
      </w:r>
      <w:r w:rsidR="00DD17D3" w:rsidRPr="1A2A8689">
        <w:rPr>
          <w:rStyle w:val="FootnoteReference"/>
          <w:rFonts w:cs="Times New Roman"/>
          <w:noProof/>
        </w:rPr>
        <w:footnoteReference w:id="299"/>
      </w:r>
    </w:p>
    <w:p w14:paraId="7D0BC137" w14:textId="77777777" w:rsidR="00DD17D3" w:rsidRPr="00F167C3" w:rsidRDefault="00DD17D3" w:rsidP="00C20E80">
      <w:pPr>
        <w:pStyle w:val="ListParagraph"/>
        <w:numPr>
          <w:ilvl w:val="0"/>
          <w:numId w:val="42"/>
        </w:numPr>
        <w:rPr>
          <w:rFonts w:cs="Times New Roman"/>
          <w:noProof/>
          <w:szCs w:val="24"/>
        </w:rPr>
      </w:pPr>
      <w:r w:rsidRPr="00F167C3">
        <w:rPr>
          <w:rFonts w:eastAsia="Times New Roman" w:cs="Times New Roman"/>
          <w:noProof/>
          <w:color w:val="000000" w:themeColor="text1"/>
          <w:szCs w:val="24"/>
        </w:rPr>
        <w:t>Demand</w:t>
      </w:r>
      <w:r w:rsidRPr="00F167C3">
        <w:rPr>
          <w:rFonts w:cs="Times New Roman"/>
          <w:noProof/>
          <w:szCs w:val="24"/>
        </w:rPr>
        <w:t xml:space="preserve"> assumptions for 2030: </w:t>
      </w:r>
    </w:p>
    <w:p w14:paraId="60B5B7B0" w14:textId="60428693" w:rsidR="004A6F49" w:rsidRPr="00A56964" w:rsidRDefault="00216820" w:rsidP="00A56964">
      <w:pPr>
        <w:pStyle w:val="ListParagraph"/>
        <w:numPr>
          <w:ilvl w:val="1"/>
          <w:numId w:val="42"/>
        </w:numPr>
        <w:rPr>
          <w:rFonts w:cs="Times New Roman"/>
          <w:noProof/>
          <w:szCs w:val="24"/>
        </w:rPr>
      </w:pPr>
      <w:r>
        <w:rPr>
          <w:rFonts w:cs="Times New Roman"/>
          <w:noProof/>
        </w:rPr>
        <w:t>37</w:t>
      </w:r>
      <w:r w:rsidR="3D3F2919" w:rsidRPr="1A2A8689">
        <w:rPr>
          <w:rFonts w:cs="Times New Roman"/>
          <w:noProof/>
        </w:rPr>
        <w:t xml:space="preserve">% </w:t>
      </w:r>
      <w:r w:rsidR="00DD035A">
        <w:rPr>
          <w:rFonts w:cs="Times New Roman"/>
          <w:noProof/>
        </w:rPr>
        <w:t xml:space="preserve">of </w:t>
      </w:r>
      <w:r w:rsidR="007921FF">
        <w:rPr>
          <w:rFonts w:cs="Times New Roman"/>
          <w:noProof/>
        </w:rPr>
        <w:t>steel</w:t>
      </w:r>
      <w:r w:rsidR="00F100A8" w:rsidRPr="1A2A8689">
        <w:rPr>
          <w:rFonts w:cs="Times New Roman"/>
          <w:noProof/>
        </w:rPr>
        <w:t xml:space="preserve"> </w:t>
      </w:r>
      <w:r w:rsidR="3D3F2919" w:rsidRPr="1A2A8689">
        <w:rPr>
          <w:rFonts w:cs="Times New Roman"/>
          <w:noProof/>
        </w:rPr>
        <w:t>demand coming from construction</w:t>
      </w:r>
      <w:r w:rsidR="00DD17D3" w:rsidRPr="1A2A8689">
        <w:rPr>
          <w:rStyle w:val="FootnoteReference"/>
          <w:rFonts w:cs="Times New Roman"/>
          <w:noProof/>
        </w:rPr>
        <w:footnoteReference w:id="300"/>
      </w:r>
      <w:r w:rsidR="00A56964">
        <w:rPr>
          <w:rFonts w:cs="Times New Roman"/>
          <w:noProof/>
        </w:rPr>
        <w:t xml:space="preserve">, of which </w:t>
      </w:r>
      <w:r w:rsidR="007921FF">
        <w:rPr>
          <w:rFonts w:cs="Times New Roman"/>
          <w:noProof/>
        </w:rPr>
        <w:t>11</w:t>
      </w:r>
      <w:r w:rsidR="00A56964" w:rsidRPr="00A56964">
        <w:rPr>
          <w:rFonts w:cs="Times New Roman"/>
          <w:noProof/>
        </w:rPr>
        <w:t>%</w:t>
      </w:r>
      <w:r w:rsidR="00A56964">
        <w:rPr>
          <w:rFonts w:cs="Times New Roman"/>
          <w:noProof/>
        </w:rPr>
        <w:t xml:space="preserve"> can be </w:t>
      </w:r>
      <w:r w:rsidR="008747EA">
        <w:rPr>
          <w:rFonts w:cs="Times New Roman"/>
          <w:noProof/>
        </w:rPr>
        <w:t>attributed to public procurement</w:t>
      </w:r>
      <w:r w:rsidR="009234A7">
        <w:rPr>
          <w:rFonts w:cs="Times New Roman"/>
          <w:noProof/>
        </w:rPr>
        <w:t>.</w:t>
      </w:r>
      <w:r w:rsidR="001F5277">
        <w:rPr>
          <w:rStyle w:val="FootnoteReference"/>
          <w:rFonts w:cs="Times New Roman"/>
          <w:noProof/>
        </w:rPr>
        <w:footnoteReference w:id="301"/>
      </w:r>
    </w:p>
    <w:p w14:paraId="75187BFC" w14:textId="0B500C88" w:rsidR="00DD17D3" w:rsidRPr="001F5277" w:rsidRDefault="3D3F2919" w:rsidP="001F5277">
      <w:pPr>
        <w:pStyle w:val="ListParagraph"/>
        <w:numPr>
          <w:ilvl w:val="1"/>
          <w:numId w:val="42"/>
        </w:numPr>
        <w:rPr>
          <w:rFonts w:cs="Times New Roman"/>
          <w:noProof/>
          <w:szCs w:val="24"/>
        </w:rPr>
      </w:pPr>
      <w:r w:rsidRPr="1A2A8689">
        <w:rPr>
          <w:rFonts w:cs="Times New Roman"/>
          <w:noProof/>
        </w:rPr>
        <w:lastRenderedPageBreak/>
        <w:t xml:space="preserve">20% </w:t>
      </w:r>
      <w:r w:rsidR="00DD035A">
        <w:rPr>
          <w:rFonts w:cs="Times New Roman"/>
          <w:noProof/>
        </w:rPr>
        <w:t xml:space="preserve">of </w:t>
      </w:r>
      <w:r w:rsidR="007921FF">
        <w:rPr>
          <w:rFonts w:cs="Times New Roman"/>
          <w:noProof/>
        </w:rPr>
        <w:t>steel</w:t>
      </w:r>
      <w:r w:rsidR="00F100A8" w:rsidRPr="1A2A8689">
        <w:rPr>
          <w:rFonts w:cs="Times New Roman"/>
          <w:noProof/>
        </w:rPr>
        <w:t xml:space="preserve"> </w:t>
      </w:r>
      <w:r w:rsidRPr="1A2A8689">
        <w:rPr>
          <w:rFonts w:cs="Times New Roman"/>
          <w:noProof/>
        </w:rPr>
        <w:t>demand coming from automotive</w:t>
      </w:r>
      <w:r w:rsidR="00DD17D3" w:rsidRPr="1A2A8689">
        <w:rPr>
          <w:rStyle w:val="FootnoteReference"/>
          <w:rFonts w:cs="Times New Roman"/>
          <w:noProof/>
        </w:rPr>
        <w:footnoteReference w:id="302"/>
      </w:r>
      <w:r w:rsidR="001F5277">
        <w:rPr>
          <w:rFonts w:cs="Times New Roman"/>
          <w:noProof/>
        </w:rPr>
        <w:t xml:space="preserve">, of which </w:t>
      </w:r>
      <w:r w:rsidR="00784CA5">
        <w:rPr>
          <w:rFonts w:cs="Times New Roman"/>
          <w:noProof/>
        </w:rPr>
        <w:t>73</w:t>
      </w:r>
      <w:r w:rsidR="00BD576A">
        <w:rPr>
          <w:rFonts w:cs="Times New Roman"/>
          <w:noProof/>
        </w:rPr>
        <w:t>.</w:t>
      </w:r>
      <w:r w:rsidR="00784CA5">
        <w:rPr>
          <w:rFonts w:cs="Times New Roman"/>
          <w:noProof/>
        </w:rPr>
        <w:t>6</w:t>
      </w:r>
      <w:r w:rsidR="001F5277" w:rsidRPr="00A56964">
        <w:rPr>
          <w:rFonts w:cs="Times New Roman"/>
          <w:noProof/>
        </w:rPr>
        <w:t>%</w:t>
      </w:r>
      <w:r w:rsidR="001F5277">
        <w:rPr>
          <w:rFonts w:cs="Times New Roman"/>
          <w:noProof/>
        </w:rPr>
        <w:t xml:space="preserve"> can be attributed to public procurement</w:t>
      </w:r>
      <w:r w:rsidR="00B074FD">
        <w:rPr>
          <w:rFonts w:cs="Times New Roman"/>
          <w:noProof/>
        </w:rPr>
        <w:t xml:space="preserve"> and subsidy schemes</w:t>
      </w:r>
      <w:r w:rsidR="001F08F2">
        <w:rPr>
          <w:rFonts w:cs="Times New Roman"/>
          <w:noProof/>
        </w:rPr>
        <w:t>.</w:t>
      </w:r>
      <w:r w:rsidR="001F5277">
        <w:rPr>
          <w:rStyle w:val="FootnoteReference"/>
          <w:rFonts w:cs="Times New Roman"/>
          <w:noProof/>
        </w:rPr>
        <w:footnoteReference w:id="303"/>
      </w:r>
    </w:p>
    <w:p w14:paraId="47597812" w14:textId="30D621AA" w:rsidR="00DD17D3" w:rsidRPr="004A6F49" w:rsidRDefault="3D3F2919" w:rsidP="0005249D">
      <w:pPr>
        <w:pStyle w:val="ListParagraph"/>
        <w:numPr>
          <w:ilvl w:val="1"/>
          <w:numId w:val="42"/>
        </w:numPr>
        <w:rPr>
          <w:rFonts w:cs="Times New Roman"/>
          <w:noProof/>
          <w:szCs w:val="24"/>
        </w:rPr>
      </w:pPr>
      <w:r w:rsidRPr="1A2A8689">
        <w:rPr>
          <w:rFonts w:cs="Times New Roman"/>
          <w:noProof/>
        </w:rPr>
        <w:t xml:space="preserve">Total EU </w:t>
      </w:r>
      <w:r w:rsidR="00A45463">
        <w:rPr>
          <w:rFonts w:cs="Times New Roman"/>
          <w:noProof/>
        </w:rPr>
        <w:t xml:space="preserve">steel </w:t>
      </w:r>
      <w:r w:rsidRPr="1A2A8689">
        <w:rPr>
          <w:rFonts w:cs="Times New Roman"/>
          <w:noProof/>
        </w:rPr>
        <w:t xml:space="preserve">demand in 2030 </w:t>
      </w:r>
      <w:r w:rsidR="00A45463">
        <w:rPr>
          <w:rFonts w:cs="Times New Roman"/>
          <w:noProof/>
        </w:rPr>
        <w:t xml:space="preserve">estimated </w:t>
      </w:r>
      <w:r w:rsidRPr="1A2A8689">
        <w:rPr>
          <w:rFonts w:cs="Times New Roman"/>
          <w:noProof/>
        </w:rPr>
        <w:t>at 150 Mt</w:t>
      </w:r>
      <w:r w:rsidR="00BD576A">
        <w:rPr>
          <w:rFonts w:cs="Times New Roman"/>
          <w:noProof/>
        </w:rPr>
        <w:t>onnes</w:t>
      </w:r>
      <w:r w:rsidR="006C6917">
        <w:rPr>
          <w:rFonts w:cs="Times New Roman"/>
          <w:noProof/>
        </w:rPr>
        <w:t>.</w:t>
      </w:r>
      <w:r w:rsidR="00DD17D3" w:rsidRPr="1A2A8689">
        <w:rPr>
          <w:rStyle w:val="FootnoteReference"/>
          <w:rFonts w:cs="Times New Roman"/>
          <w:noProof/>
        </w:rPr>
        <w:footnoteReference w:id="304"/>
      </w:r>
    </w:p>
    <w:p w14:paraId="1846BC43" w14:textId="77777777" w:rsidR="007D2D19" w:rsidRDefault="007D2D19" w:rsidP="0005249D">
      <w:pPr>
        <w:rPr>
          <w:noProof/>
        </w:rPr>
      </w:pPr>
    </w:p>
    <w:p w14:paraId="1E5F94CD" w14:textId="77777777" w:rsidR="004E1145" w:rsidRPr="00EE0447" w:rsidRDefault="004E1145" w:rsidP="004E1145">
      <w:pPr>
        <w:rPr>
          <w:rFonts w:cs="Times New Roman"/>
          <w:i/>
          <w:iCs/>
          <w:noProof/>
          <w:szCs w:val="24"/>
        </w:rPr>
      </w:pPr>
      <w:r w:rsidRPr="00EE0447">
        <w:rPr>
          <w:rFonts w:cs="Times New Roman"/>
          <w:i/>
          <w:iCs/>
          <w:noProof/>
          <w:szCs w:val="24"/>
        </w:rPr>
        <w:t xml:space="preserve">Emission savings from low-carbon </w:t>
      </w:r>
      <w:r w:rsidRPr="004E1145">
        <w:rPr>
          <w:rFonts w:cs="Times New Roman"/>
          <w:b/>
          <w:bCs/>
          <w:i/>
          <w:iCs/>
          <w:noProof/>
          <w:szCs w:val="24"/>
        </w:rPr>
        <w:t>aluminium</w:t>
      </w:r>
      <w:r w:rsidRPr="00EE0447">
        <w:rPr>
          <w:rFonts w:cs="Times New Roman"/>
          <w:i/>
          <w:iCs/>
          <w:noProof/>
          <w:szCs w:val="24"/>
        </w:rPr>
        <w:t xml:space="preserve">: </w:t>
      </w:r>
    </w:p>
    <w:p w14:paraId="53DC3C76" w14:textId="1FE3C3B4" w:rsidR="004E1145" w:rsidRPr="004A2976" w:rsidRDefault="004E1145" w:rsidP="004E1145">
      <w:pPr>
        <w:pStyle w:val="ListParagraph"/>
        <w:numPr>
          <w:ilvl w:val="0"/>
          <w:numId w:val="198"/>
        </w:numPr>
        <w:rPr>
          <w:rFonts w:cs="Times New Roman"/>
          <w:noProof/>
          <w:szCs w:val="24"/>
        </w:rPr>
      </w:pPr>
      <w:r>
        <w:rPr>
          <w:rFonts w:cs="Times New Roman"/>
          <w:noProof/>
        </w:rPr>
        <w:t xml:space="preserve">Based on the assumption that </w:t>
      </w:r>
      <w:r w:rsidR="001439ED">
        <w:rPr>
          <w:rFonts w:cs="Times New Roman"/>
          <w:noProof/>
        </w:rPr>
        <w:t xml:space="preserve">CO2 emissions from </w:t>
      </w:r>
      <w:r>
        <w:rPr>
          <w:rFonts w:cs="Times New Roman"/>
          <w:noProof/>
        </w:rPr>
        <w:t xml:space="preserve">European primary aluminium production will </w:t>
      </w:r>
      <w:r w:rsidR="001439ED">
        <w:rPr>
          <w:rFonts w:cs="Times New Roman"/>
          <w:noProof/>
        </w:rPr>
        <w:t xml:space="preserve">decline </w:t>
      </w:r>
      <w:r w:rsidR="00200900">
        <w:rPr>
          <w:rFonts w:cs="Times New Roman"/>
          <w:noProof/>
        </w:rPr>
        <w:t>by</w:t>
      </w:r>
      <w:r>
        <w:rPr>
          <w:rFonts w:cs="Times New Roman"/>
          <w:noProof/>
        </w:rPr>
        <w:t xml:space="preserve"> 36.9% </w:t>
      </w:r>
      <w:r w:rsidR="007665A0">
        <w:rPr>
          <w:rFonts w:cs="Times New Roman"/>
          <w:noProof/>
        </w:rPr>
        <w:t xml:space="preserve">of </w:t>
      </w:r>
      <w:r>
        <w:rPr>
          <w:rFonts w:cs="Times New Roman"/>
          <w:noProof/>
        </w:rPr>
        <w:t>by 2030</w:t>
      </w:r>
      <w:r>
        <w:rPr>
          <w:rStyle w:val="FootnoteReference"/>
          <w:rFonts w:cs="Times New Roman"/>
          <w:noProof/>
        </w:rPr>
        <w:footnoteReference w:id="305"/>
      </w:r>
      <w:r w:rsidR="001B760B">
        <w:rPr>
          <w:rFonts w:cs="Times New Roman"/>
          <w:noProof/>
        </w:rPr>
        <w:t xml:space="preserve"> compared to the 2021 baseline</w:t>
      </w:r>
      <w:r>
        <w:rPr>
          <w:rFonts w:cs="Times New Roman"/>
          <w:noProof/>
        </w:rPr>
        <w:t xml:space="preserve">, </w:t>
      </w:r>
      <w:r w:rsidR="007665A0">
        <w:rPr>
          <w:rFonts w:cs="Times New Roman"/>
          <w:noProof/>
        </w:rPr>
        <w:t>result</w:t>
      </w:r>
      <w:r w:rsidR="001439ED">
        <w:rPr>
          <w:rFonts w:cs="Times New Roman"/>
          <w:noProof/>
        </w:rPr>
        <w:t>ing</w:t>
      </w:r>
      <w:r>
        <w:rPr>
          <w:rFonts w:cs="Times New Roman"/>
          <w:noProof/>
        </w:rPr>
        <w:t xml:space="preserve"> in </w:t>
      </w:r>
      <w:r w:rsidR="00866F3A">
        <w:rPr>
          <w:rFonts w:cs="Times New Roman"/>
          <w:noProof/>
        </w:rPr>
        <w:t xml:space="preserve">a </w:t>
      </w:r>
      <w:r w:rsidR="001B760B">
        <w:rPr>
          <w:rFonts w:cs="Times New Roman"/>
          <w:noProof/>
        </w:rPr>
        <w:t xml:space="preserve">cumulative </w:t>
      </w:r>
      <w:r>
        <w:rPr>
          <w:rFonts w:cs="Times New Roman"/>
          <w:noProof/>
        </w:rPr>
        <w:t>reduction of 11 Mtonnes of CO</w:t>
      </w:r>
      <w:r w:rsidRPr="00EE0447">
        <w:rPr>
          <w:rFonts w:cs="Times New Roman"/>
          <w:noProof/>
          <w:vertAlign w:val="subscript"/>
        </w:rPr>
        <w:t>2</w:t>
      </w:r>
      <w:r>
        <w:rPr>
          <w:rFonts w:cs="Times New Roman"/>
          <w:noProof/>
        </w:rPr>
        <w:t xml:space="preserve"> </w:t>
      </w:r>
      <w:r w:rsidR="001B760B">
        <w:rPr>
          <w:rFonts w:cs="Times New Roman"/>
          <w:noProof/>
        </w:rPr>
        <w:t>between</w:t>
      </w:r>
      <w:r>
        <w:rPr>
          <w:rFonts w:cs="Times New Roman"/>
          <w:noProof/>
        </w:rPr>
        <w:t xml:space="preserve"> 2021 </w:t>
      </w:r>
      <w:r w:rsidR="001B760B">
        <w:rPr>
          <w:rFonts w:cs="Times New Roman"/>
          <w:noProof/>
        </w:rPr>
        <w:t>and 2030</w:t>
      </w:r>
      <w:r>
        <w:rPr>
          <w:rFonts w:cs="Times New Roman"/>
          <w:noProof/>
        </w:rPr>
        <w:t xml:space="preserve">. </w:t>
      </w:r>
    </w:p>
    <w:p w14:paraId="4308595A" w14:textId="4254F589" w:rsidR="004E1145" w:rsidRPr="004A2976" w:rsidRDefault="004102CA" w:rsidP="004E1145">
      <w:pPr>
        <w:pStyle w:val="ListParagraph"/>
        <w:numPr>
          <w:ilvl w:val="0"/>
          <w:numId w:val="198"/>
        </w:numPr>
        <w:rPr>
          <w:rFonts w:cs="Times New Roman"/>
          <w:noProof/>
          <w:szCs w:val="24"/>
        </w:rPr>
      </w:pPr>
      <w:r>
        <w:rPr>
          <w:rFonts w:cs="Times New Roman"/>
          <w:noProof/>
        </w:rPr>
        <w:t>Considering the</w:t>
      </w:r>
      <w:r w:rsidR="00146E9A">
        <w:rPr>
          <w:rFonts w:cs="Times New Roman"/>
          <w:noProof/>
        </w:rPr>
        <w:t xml:space="preserve"> cumulative </w:t>
      </w:r>
      <w:r w:rsidR="004E1145">
        <w:rPr>
          <w:rFonts w:cs="Times New Roman"/>
          <w:noProof/>
        </w:rPr>
        <w:t>11 Mtonnes CO</w:t>
      </w:r>
      <w:r w:rsidR="004E1145" w:rsidRPr="00EE0447">
        <w:rPr>
          <w:rFonts w:cs="Times New Roman"/>
          <w:noProof/>
          <w:vertAlign w:val="subscript"/>
        </w:rPr>
        <w:t>2</w:t>
      </w:r>
      <w:r w:rsidR="004E1145">
        <w:rPr>
          <w:rFonts w:cs="Times New Roman"/>
          <w:noProof/>
          <w:vertAlign w:val="subscript"/>
        </w:rPr>
        <w:t xml:space="preserve"> </w:t>
      </w:r>
      <w:r w:rsidR="004E1145">
        <w:rPr>
          <w:rFonts w:cs="Times New Roman"/>
          <w:noProof/>
        </w:rPr>
        <w:t>reduction</w:t>
      </w:r>
      <w:r w:rsidR="00146E9A">
        <w:rPr>
          <w:rFonts w:cs="Times New Roman"/>
          <w:noProof/>
        </w:rPr>
        <w:t xml:space="preserve"> from 2021 to 2030</w:t>
      </w:r>
      <w:r w:rsidR="004E1145">
        <w:rPr>
          <w:rFonts w:cs="Times New Roman"/>
          <w:noProof/>
        </w:rPr>
        <w:t xml:space="preserve">, the yearly absolute emissions reduction </w:t>
      </w:r>
      <w:r w:rsidR="006D3812">
        <w:rPr>
          <w:rFonts w:cs="Times New Roman"/>
          <w:noProof/>
        </w:rPr>
        <w:t>is</w:t>
      </w:r>
      <w:r w:rsidR="004E1145">
        <w:rPr>
          <w:rFonts w:cs="Times New Roman"/>
          <w:noProof/>
        </w:rPr>
        <w:t xml:space="preserve"> 1.22 Mtonnes CO</w:t>
      </w:r>
      <w:r w:rsidR="004E1145">
        <w:rPr>
          <w:rFonts w:cs="Times New Roman"/>
          <w:noProof/>
          <w:vertAlign w:val="subscript"/>
        </w:rPr>
        <w:t>2</w:t>
      </w:r>
      <w:r w:rsidR="004E1145">
        <w:rPr>
          <w:rFonts w:cs="Times New Roman"/>
          <w:noProof/>
        </w:rPr>
        <w:t xml:space="preserve">. </w:t>
      </w:r>
    </w:p>
    <w:p w14:paraId="3258AD69" w14:textId="77777777" w:rsidR="004E1145" w:rsidRPr="00F167C3" w:rsidRDefault="004E1145" w:rsidP="00123FFF">
      <w:pPr>
        <w:pStyle w:val="ListParagraph"/>
        <w:numPr>
          <w:ilvl w:val="0"/>
          <w:numId w:val="198"/>
        </w:numPr>
        <w:rPr>
          <w:rFonts w:cs="Times New Roman"/>
          <w:noProof/>
          <w:szCs w:val="24"/>
        </w:rPr>
      </w:pPr>
      <w:r w:rsidRPr="00F167C3">
        <w:rPr>
          <w:rFonts w:eastAsia="Times New Roman" w:cs="Times New Roman"/>
          <w:noProof/>
          <w:color w:val="000000" w:themeColor="text1"/>
          <w:szCs w:val="24"/>
        </w:rPr>
        <w:t>Demand</w:t>
      </w:r>
      <w:r w:rsidRPr="00F167C3">
        <w:rPr>
          <w:rFonts w:cs="Times New Roman"/>
          <w:noProof/>
          <w:szCs w:val="24"/>
        </w:rPr>
        <w:t xml:space="preserve"> assumptions for 2030: </w:t>
      </w:r>
    </w:p>
    <w:p w14:paraId="0F015536" w14:textId="5221B3F1" w:rsidR="004E1145" w:rsidRPr="00A56964" w:rsidRDefault="004E1145" w:rsidP="004E1145">
      <w:pPr>
        <w:pStyle w:val="ListParagraph"/>
        <w:numPr>
          <w:ilvl w:val="1"/>
          <w:numId w:val="198"/>
        </w:numPr>
        <w:rPr>
          <w:rFonts w:cs="Times New Roman"/>
          <w:noProof/>
          <w:szCs w:val="24"/>
        </w:rPr>
      </w:pPr>
      <w:r>
        <w:rPr>
          <w:rFonts w:cs="Times New Roman"/>
          <w:noProof/>
        </w:rPr>
        <w:t>18</w:t>
      </w:r>
      <w:r w:rsidRPr="1A2A8689">
        <w:rPr>
          <w:rFonts w:cs="Times New Roman"/>
          <w:noProof/>
        </w:rPr>
        <w:t xml:space="preserve">% </w:t>
      </w:r>
      <w:r w:rsidR="00DD035A">
        <w:rPr>
          <w:rFonts w:cs="Times New Roman"/>
          <w:noProof/>
        </w:rPr>
        <w:t xml:space="preserve">of </w:t>
      </w:r>
      <w:r>
        <w:rPr>
          <w:rFonts w:cs="Times New Roman"/>
          <w:noProof/>
        </w:rPr>
        <w:t>aluminium</w:t>
      </w:r>
      <w:r w:rsidRPr="1A2A8689">
        <w:rPr>
          <w:rFonts w:cs="Times New Roman"/>
          <w:noProof/>
        </w:rPr>
        <w:t xml:space="preserve"> demand coming from construction</w:t>
      </w:r>
      <w:r w:rsidRPr="1A2A8689">
        <w:rPr>
          <w:rStyle w:val="FootnoteReference"/>
          <w:rFonts w:cs="Times New Roman"/>
          <w:noProof/>
        </w:rPr>
        <w:footnoteReference w:id="306"/>
      </w:r>
      <w:r>
        <w:rPr>
          <w:rFonts w:cs="Times New Roman"/>
          <w:noProof/>
        </w:rPr>
        <w:t>, of which 30</w:t>
      </w:r>
      <w:r w:rsidR="004756B2">
        <w:rPr>
          <w:rFonts w:cs="Times New Roman"/>
          <w:noProof/>
        </w:rPr>
        <w:t>.</w:t>
      </w:r>
      <w:r>
        <w:rPr>
          <w:rFonts w:cs="Times New Roman"/>
          <w:noProof/>
        </w:rPr>
        <w:t>2</w:t>
      </w:r>
      <w:r w:rsidRPr="00A56964">
        <w:rPr>
          <w:rFonts w:cs="Times New Roman"/>
          <w:noProof/>
        </w:rPr>
        <w:t>%</w:t>
      </w:r>
      <w:r>
        <w:rPr>
          <w:rFonts w:cs="Times New Roman"/>
          <w:noProof/>
        </w:rPr>
        <w:t xml:space="preserve"> can be attributed to public procurement.</w:t>
      </w:r>
      <w:r>
        <w:rPr>
          <w:rStyle w:val="FootnoteReference"/>
          <w:rFonts w:cs="Times New Roman"/>
          <w:noProof/>
        </w:rPr>
        <w:footnoteReference w:id="307"/>
      </w:r>
    </w:p>
    <w:p w14:paraId="412EB7B5" w14:textId="4F49FACD" w:rsidR="004E1145" w:rsidRPr="001F5277" w:rsidRDefault="004E1145" w:rsidP="004E1145">
      <w:pPr>
        <w:pStyle w:val="ListParagraph"/>
        <w:numPr>
          <w:ilvl w:val="1"/>
          <w:numId w:val="198"/>
        </w:numPr>
        <w:rPr>
          <w:rFonts w:cs="Times New Roman"/>
          <w:noProof/>
          <w:szCs w:val="24"/>
        </w:rPr>
      </w:pPr>
      <w:r w:rsidRPr="1A2A8689">
        <w:rPr>
          <w:rFonts w:cs="Times New Roman"/>
          <w:noProof/>
        </w:rPr>
        <w:t xml:space="preserve">20% </w:t>
      </w:r>
      <w:r w:rsidR="00F42AAD">
        <w:rPr>
          <w:rFonts w:cs="Times New Roman"/>
          <w:noProof/>
        </w:rPr>
        <w:t xml:space="preserve">of </w:t>
      </w:r>
      <w:r>
        <w:rPr>
          <w:rFonts w:cs="Times New Roman"/>
          <w:noProof/>
        </w:rPr>
        <w:t>aluminium</w:t>
      </w:r>
      <w:r w:rsidRPr="1A2A8689">
        <w:rPr>
          <w:rFonts w:cs="Times New Roman"/>
          <w:noProof/>
        </w:rPr>
        <w:t xml:space="preserve"> demand coming from automotive</w:t>
      </w:r>
      <w:r w:rsidRPr="1A2A8689">
        <w:rPr>
          <w:rStyle w:val="FootnoteReference"/>
          <w:rFonts w:cs="Times New Roman"/>
          <w:noProof/>
        </w:rPr>
        <w:footnoteReference w:id="308"/>
      </w:r>
      <w:r>
        <w:rPr>
          <w:rFonts w:cs="Times New Roman"/>
          <w:noProof/>
        </w:rPr>
        <w:t>, of which 73</w:t>
      </w:r>
      <w:r w:rsidR="00F42AAD">
        <w:rPr>
          <w:rFonts w:cs="Times New Roman"/>
          <w:noProof/>
        </w:rPr>
        <w:t>.</w:t>
      </w:r>
      <w:r>
        <w:rPr>
          <w:rFonts w:cs="Times New Roman"/>
          <w:noProof/>
        </w:rPr>
        <w:t>6</w:t>
      </w:r>
      <w:r w:rsidRPr="00A56964">
        <w:rPr>
          <w:rFonts w:cs="Times New Roman"/>
          <w:noProof/>
        </w:rPr>
        <w:t>%</w:t>
      </w:r>
      <w:r>
        <w:rPr>
          <w:rFonts w:cs="Times New Roman"/>
          <w:noProof/>
        </w:rPr>
        <w:t xml:space="preserve"> can be attributed to public procurement and subsidy schemes.</w:t>
      </w:r>
      <w:r>
        <w:rPr>
          <w:rStyle w:val="FootnoteReference"/>
          <w:rFonts w:cs="Times New Roman"/>
          <w:noProof/>
        </w:rPr>
        <w:footnoteReference w:id="309"/>
      </w:r>
    </w:p>
    <w:p w14:paraId="384A7259" w14:textId="1F84B5A5" w:rsidR="004E1145" w:rsidRPr="001552CD" w:rsidRDefault="0092473A" w:rsidP="001552CD">
      <w:pPr>
        <w:pStyle w:val="ListParagraph"/>
        <w:numPr>
          <w:ilvl w:val="1"/>
          <w:numId w:val="198"/>
        </w:numPr>
        <w:rPr>
          <w:rFonts w:cs="Times New Roman"/>
          <w:noProof/>
          <w:szCs w:val="24"/>
        </w:rPr>
      </w:pPr>
      <w:r w:rsidRPr="001552CD">
        <w:rPr>
          <w:rFonts w:cs="Times New Roman"/>
          <w:noProof/>
          <w:szCs w:val="24"/>
        </w:rPr>
        <w:t xml:space="preserve">Demand for primary aluminium is assumed to be equal to supply, due to lack of granular data. </w:t>
      </w:r>
      <w:r w:rsidR="001552CD">
        <w:rPr>
          <w:rFonts w:cs="Times New Roman"/>
          <w:noProof/>
        </w:rPr>
        <w:t>P</w:t>
      </w:r>
      <w:r w:rsidR="004E1145" w:rsidRPr="001552CD">
        <w:rPr>
          <w:rFonts w:cs="Times New Roman"/>
          <w:noProof/>
        </w:rPr>
        <w:t xml:space="preserve">rimary supply </w:t>
      </w:r>
      <w:r w:rsidR="00A45463" w:rsidRPr="001552CD">
        <w:rPr>
          <w:rFonts w:cs="Times New Roman"/>
          <w:noProof/>
        </w:rPr>
        <w:t xml:space="preserve">of </w:t>
      </w:r>
      <w:r w:rsidR="004E1145" w:rsidRPr="001552CD">
        <w:rPr>
          <w:rFonts w:cs="Times New Roman"/>
          <w:noProof/>
        </w:rPr>
        <w:t xml:space="preserve">aluminium in 2030 </w:t>
      </w:r>
      <w:r w:rsidR="00A45463" w:rsidRPr="001552CD">
        <w:rPr>
          <w:rFonts w:cs="Times New Roman"/>
          <w:noProof/>
        </w:rPr>
        <w:t xml:space="preserve">estimated </w:t>
      </w:r>
      <w:r w:rsidR="004E1145" w:rsidRPr="001552CD">
        <w:rPr>
          <w:rFonts w:cs="Times New Roman"/>
          <w:noProof/>
        </w:rPr>
        <w:t>at 3.6 Mt</w:t>
      </w:r>
      <w:r w:rsidR="00BD576A" w:rsidRPr="001552CD">
        <w:rPr>
          <w:rFonts w:cs="Times New Roman"/>
          <w:noProof/>
        </w:rPr>
        <w:t>onnes</w:t>
      </w:r>
      <w:r w:rsidR="001552CD">
        <w:rPr>
          <w:rFonts w:cs="Times New Roman"/>
          <w:noProof/>
        </w:rPr>
        <w:t>,</w:t>
      </w:r>
      <w:r w:rsidR="0078457C">
        <w:rPr>
          <w:rStyle w:val="FootnoteReference"/>
          <w:rFonts w:cs="Times New Roman"/>
          <w:noProof/>
        </w:rPr>
        <w:footnoteReference w:id="310"/>
      </w:r>
      <w:r w:rsidR="001552CD">
        <w:rPr>
          <w:rFonts w:cs="Times New Roman"/>
          <w:noProof/>
        </w:rPr>
        <w:t xml:space="preserve"> </w:t>
      </w:r>
      <w:r w:rsidR="000E1E04" w:rsidRPr="001552CD">
        <w:rPr>
          <w:rFonts w:cs="Times New Roman"/>
          <w:noProof/>
        </w:rPr>
        <w:t>assuming no growth from the 20</w:t>
      </w:r>
      <w:r w:rsidR="000B034C" w:rsidRPr="001552CD">
        <w:rPr>
          <w:rFonts w:cs="Times New Roman"/>
          <w:noProof/>
        </w:rPr>
        <w:t>21 levels</w:t>
      </w:r>
      <w:r w:rsidR="006E5F75" w:rsidRPr="001552CD">
        <w:rPr>
          <w:rFonts w:cs="Times New Roman"/>
          <w:noProof/>
        </w:rPr>
        <w:t>.</w:t>
      </w:r>
      <w:r w:rsidR="004E1145" w:rsidRPr="1A2A8689">
        <w:rPr>
          <w:rStyle w:val="FootnoteReference"/>
          <w:rFonts w:cs="Times New Roman"/>
          <w:noProof/>
        </w:rPr>
        <w:footnoteReference w:id="311"/>
      </w:r>
    </w:p>
    <w:p w14:paraId="1B1180C6" w14:textId="6893727C" w:rsidR="004E1145" w:rsidRPr="00F261DB" w:rsidRDefault="004E1145" w:rsidP="004E1145">
      <w:pPr>
        <w:rPr>
          <w:noProof/>
        </w:rPr>
      </w:pPr>
    </w:p>
    <w:p w14:paraId="4E601864" w14:textId="541299A1" w:rsidR="00DD17D3" w:rsidRPr="00432EDC" w:rsidRDefault="00DD17D3" w:rsidP="0005249D">
      <w:pPr>
        <w:rPr>
          <w:rFonts w:cs="Times New Roman"/>
          <w:i/>
          <w:iCs/>
          <w:noProof/>
          <w:szCs w:val="24"/>
        </w:rPr>
      </w:pPr>
      <w:r w:rsidRPr="00432EDC">
        <w:rPr>
          <w:i/>
          <w:iCs/>
          <w:noProof/>
        </w:rPr>
        <w:t xml:space="preserve">Emission savings from low-carbon </w:t>
      </w:r>
      <w:r w:rsidRPr="004C119B">
        <w:rPr>
          <w:b/>
          <w:bCs/>
          <w:i/>
          <w:iCs/>
          <w:noProof/>
        </w:rPr>
        <w:t>cement</w:t>
      </w:r>
      <w:r w:rsidRPr="00432EDC">
        <w:rPr>
          <w:i/>
          <w:iCs/>
          <w:noProof/>
        </w:rPr>
        <w:t>:</w:t>
      </w:r>
    </w:p>
    <w:p w14:paraId="5C503E29" w14:textId="5BA8F785" w:rsidR="00472C82" w:rsidRDefault="3D3F2919" w:rsidP="1A2A8689">
      <w:pPr>
        <w:pStyle w:val="ListParagraph"/>
        <w:numPr>
          <w:ilvl w:val="0"/>
          <w:numId w:val="42"/>
        </w:numPr>
        <w:rPr>
          <w:rFonts w:cs="Times New Roman"/>
          <w:noProof/>
        </w:rPr>
      </w:pPr>
      <w:r w:rsidRPr="1A2A8689">
        <w:rPr>
          <w:rFonts w:cs="Times New Roman"/>
          <w:noProof/>
        </w:rPr>
        <w:t>Internal analysis showed 44.47</w:t>
      </w:r>
      <w:r w:rsidR="1AC6F867" w:rsidRPr="1A2A8689">
        <w:rPr>
          <w:rFonts w:cs="Times New Roman"/>
          <w:noProof/>
        </w:rPr>
        <w:t xml:space="preserve"> Mtonnes </w:t>
      </w:r>
      <w:r w:rsidRPr="1A2A8689">
        <w:rPr>
          <w:rFonts w:cs="Times New Roman"/>
          <w:noProof/>
        </w:rPr>
        <w:t>CO</w:t>
      </w:r>
      <w:r w:rsidRPr="1A2A8689">
        <w:rPr>
          <w:rFonts w:cs="Times New Roman"/>
          <w:noProof/>
          <w:vertAlign w:val="subscript"/>
        </w:rPr>
        <w:t>2</w:t>
      </w:r>
      <w:r w:rsidRPr="1A2A8689">
        <w:rPr>
          <w:rFonts w:cs="Times New Roman"/>
          <w:noProof/>
        </w:rPr>
        <w:t xml:space="preserve"> of emissions for 100% low</w:t>
      </w:r>
      <w:r w:rsidR="00966BD0">
        <w:rPr>
          <w:rFonts w:cs="Times New Roman"/>
          <w:noProof/>
        </w:rPr>
        <w:t>-</w:t>
      </w:r>
      <w:r w:rsidRPr="1A2A8689">
        <w:rPr>
          <w:rFonts w:cs="Times New Roman"/>
          <w:noProof/>
        </w:rPr>
        <w:t>carbon cement used in construction in 2030</w:t>
      </w:r>
      <w:r w:rsidR="60E8B172" w:rsidRPr="1A2A8689">
        <w:rPr>
          <w:rFonts w:cs="Times New Roman"/>
          <w:noProof/>
        </w:rPr>
        <w:t>.</w:t>
      </w:r>
      <w:r w:rsidR="38851FFC" w:rsidRPr="1A2A8689">
        <w:rPr>
          <w:rFonts w:cs="Times New Roman"/>
          <w:noProof/>
        </w:rPr>
        <w:t xml:space="preserve"> </w:t>
      </w:r>
    </w:p>
    <w:p w14:paraId="119C761E" w14:textId="77777777" w:rsidR="008A1BD9" w:rsidRPr="007D008A" w:rsidRDefault="00893965" w:rsidP="00A63DCC">
      <w:pPr>
        <w:pStyle w:val="ListParagraph"/>
        <w:numPr>
          <w:ilvl w:val="0"/>
          <w:numId w:val="42"/>
        </w:numPr>
        <w:rPr>
          <w:rFonts w:cs="Times New Roman"/>
          <w:noProof/>
          <w:szCs w:val="24"/>
        </w:rPr>
      </w:pPr>
      <w:r w:rsidRPr="007D008A">
        <w:rPr>
          <w:rFonts w:cs="Times New Roman"/>
          <w:noProof/>
          <w:szCs w:val="24"/>
        </w:rPr>
        <w:t>Demand assumptions for 2030</w:t>
      </w:r>
      <w:r w:rsidR="008A1BD9" w:rsidRPr="007D008A">
        <w:rPr>
          <w:rFonts w:cs="Times New Roman"/>
          <w:noProof/>
          <w:szCs w:val="24"/>
        </w:rPr>
        <w:t>:</w:t>
      </w:r>
    </w:p>
    <w:p w14:paraId="42D1116B" w14:textId="1C9AE811" w:rsidR="00BF126E" w:rsidRDefault="11065664" w:rsidP="00A63DCC">
      <w:pPr>
        <w:pStyle w:val="ListParagraph"/>
        <w:numPr>
          <w:ilvl w:val="1"/>
          <w:numId w:val="118"/>
        </w:numPr>
        <w:rPr>
          <w:rFonts w:cs="Times New Roman"/>
          <w:noProof/>
        </w:rPr>
      </w:pPr>
      <w:r w:rsidRPr="1A2A8689">
        <w:rPr>
          <w:rFonts w:cs="Times New Roman"/>
          <w:noProof/>
        </w:rPr>
        <w:t xml:space="preserve">Total EU demand for cement </w:t>
      </w:r>
      <w:r w:rsidR="00865C6D">
        <w:rPr>
          <w:rFonts w:cs="Times New Roman"/>
          <w:noProof/>
        </w:rPr>
        <w:t xml:space="preserve">in construction </w:t>
      </w:r>
      <w:r w:rsidRPr="1A2A8689">
        <w:rPr>
          <w:rFonts w:cs="Times New Roman"/>
          <w:noProof/>
        </w:rPr>
        <w:t xml:space="preserve">in 2030 </w:t>
      </w:r>
      <w:r w:rsidR="00865C6D">
        <w:rPr>
          <w:rFonts w:cs="Times New Roman"/>
          <w:noProof/>
        </w:rPr>
        <w:t xml:space="preserve">estimated </w:t>
      </w:r>
      <w:r w:rsidRPr="1A2A8689">
        <w:rPr>
          <w:rFonts w:cs="Times New Roman"/>
          <w:noProof/>
        </w:rPr>
        <w:t>at 160.7</w:t>
      </w:r>
      <w:r w:rsidR="1AC6F867" w:rsidRPr="1A2A8689">
        <w:rPr>
          <w:rFonts w:cs="Times New Roman"/>
          <w:noProof/>
        </w:rPr>
        <w:t xml:space="preserve"> Mtonnes</w:t>
      </w:r>
      <w:r w:rsidR="00865C6D">
        <w:rPr>
          <w:rFonts w:cs="Times New Roman"/>
          <w:noProof/>
        </w:rPr>
        <w:t>.</w:t>
      </w:r>
      <w:r w:rsidR="00BF126E" w:rsidRPr="1A2A8689">
        <w:rPr>
          <w:rStyle w:val="FootnoteReference"/>
          <w:rFonts w:cs="Times New Roman"/>
          <w:noProof/>
        </w:rPr>
        <w:footnoteReference w:id="312"/>
      </w:r>
      <w:r w:rsidRPr="1A2A8689">
        <w:rPr>
          <w:rFonts w:cs="Times New Roman"/>
          <w:noProof/>
        </w:rPr>
        <w:t xml:space="preserve"> </w:t>
      </w:r>
    </w:p>
    <w:p w14:paraId="1FCDBB8D" w14:textId="6B334F2B" w:rsidR="00EF2E60" w:rsidRDefault="3D3F2919" w:rsidP="002F0B22">
      <w:pPr>
        <w:pStyle w:val="ListParagraph"/>
        <w:numPr>
          <w:ilvl w:val="1"/>
          <w:numId w:val="118"/>
        </w:numPr>
        <w:rPr>
          <w:rFonts w:cs="Times New Roman"/>
          <w:noProof/>
          <w:szCs w:val="24"/>
        </w:rPr>
      </w:pPr>
      <w:r w:rsidRPr="1A2A8689">
        <w:rPr>
          <w:rFonts w:cs="Times New Roman"/>
          <w:noProof/>
        </w:rPr>
        <w:t>31% of cement used in construction is attributed to public procurement projects</w:t>
      </w:r>
      <w:r w:rsidR="00FD2AEB">
        <w:rPr>
          <w:rFonts w:cs="Times New Roman"/>
          <w:noProof/>
        </w:rPr>
        <w:t>.</w:t>
      </w:r>
      <w:r w:rsidR="00DD17D3" w:rsidRPr="1A2A8689">
        <w:rPr>
          <w:rStyle w:val="FootnoteReference"/>
          <w:rFonts w:cs="Times New Roman"/>
          <w:noProof/>
        </w:rPr>
        <w:footnoteReference w:id="313"/>
      </w:r>
    </w:p>
    <w:p w14:paraId="4B4ED582" w14:textId="77777777" w:rsidR="004E1145" w:rsidRDefault="004E1145" w:rsidP="00EF2E60">
      <w:pPr>
        <w:rPr>
          <w:rFonts w:cs="Times New Roman"/>
          <w:noProof/>
          <w:szCs w:val="24"/>
        </w:rPr>
      </w:pPr>
    </w:p>
    <w:p w14:paraId="3083F1D3" w14:textId="77777777" w:rsidR="005E0BF7" w:rsidRPr="00FF63D1" w:rsidRDefault="000733DB">
      <w:pPr>
        <w:pStyle w:val="JRCText"/>
        <w:jc w:val="both"/>
        <w:rPr>
          <w:rFonts w:ascii="Times New Roman" w:hAnsi="Times New Roman" w:cs="Times New Roman"/>
          <w:noProof/>
          <w:sz w:val="24"/>
          <w:szCs w:val="24"/>
        </w:rPr>
      </w:pPr>
      <w:r w:rsidRPr="00E71388">
        <w:rPr>
          <w:rFonts w:ascii="Times New Roman" w:hAnsi="Times New Roman"/>
          <w:b/>
          <w:noProof/>
          <w:sz w:val="24"/>
        </w:rPr>
        <w:t>LEAD_BAT</w:t>
      </w:r>
      <w:r w:rsidRPr="00F261DB">
        <w:rPr>
          <w:rFonts w:ascii="Times New Roman" w:hAnsi="Times New Roman" w:cs="Times New Roman"/>
          <w:noProof/>
          <w:sz w:val="24"/>
          <w:szCs w:val="24"/>
        </w:rPr>
        <w:t xml:space="preserve"> </w:t>
      </w:r>
    </w:p>
    <w:p w14:paraId="29C4A018" w14:textId="17357FA9" w:rsidR="00654899" w:rsidRPr="00FF63D1" w:rsidRDefault="1A795087" w:rsidP="1A2A8689">
      <w:pPr>
        <w:rPr>
          <w:rFonts w:cs="Times New Roman"/>
          <w:noProof/>
        </w:rPr>
      </w:pPr>
      <w:r w:rsidRPr="1A2A8689">
        <w:rPr>
          <w:rFonts w:cs="Times New Roman"/>
          <w:noProof/>
        </w:rPr>
        <w:t xml:space="preserve">Emissions for 2030 are estimated by calculating the projected share of battery demand in GWh for that year within the 2024–2030 period and applying it to the total aggregated CO₂ emissions savings compared to China for the same period, which amount to a total 133 </w:t>
      </w:r>
      <w:r w:rsidR="51E518DF" w:rsidRPr="1A2A8689">
        <w:rPr>
          <w:rFonts w:cs="Times New Roman"/>
          <w:noProof/>
        </w:rPr>
        <w:t>Mtonnes</w:t>
      </w:r>
      <w:r w:rsidRPr="1A2A8689">
        <w:rPr>
          <w:rFonts w:cs="Times New Roman"/>
          <w:noProof/>
        </w:rPr>
        <w:t xml:space="preserve"> of CO₂.</w:t>
      </w:r>
      <w:r w:rsidR="007A4721">
        <w:rPr>
          <w:rStyle w:val="FootnoteReference"/>
          <w:rFonts w:cs="Times New Roman"/>
          <w:noProof/>
        </w:rPr>
        <w:footnoteReference w:id="314"/>
      </w:r>
      <w:r w:rsidR="4197E2D1" w:rsidRPr="1A2A8689">
        <w:rPr>
          <w:rFonts w:cs="Times New Roman"/>
          <w:noProof/>
        </w:rPr>
        <w:t xml:space="preserve"> </w:t>
      </w:r>
    </w:p>
    <w:p w14:paraId="79E003FE" w14:textId="4BD4D6F2" w:rsidR="00654899" w:rsidRPr="00FF63D1" w:rsidRDefault="3CB14FF7" w:rsidP="1A2A8689">
      <w:pPr>
        <w:pStyle w:val="ListParagraph"/>
        <w:numPr>
          <w:ilvl w:val="0"/>
          <w:numId w:val="42"/>
        </w:numPr>
        <w:rPr>
          <w:rFonts w:cs="Times New Roman"/>
          <w:noProof/>
        </w:rPr>
      </w:pPr>
      <w:r w:rsidRPr="1A2A8689">
        <w:rPr>
          <w:rFonts w:cs="Times New Roman"/>
          <w:noProof/>
        </w:rPr>
        <w:t xml:space="preserve">For </w:t>
      </w:r>
      <w:r w:rsidR="05488DAA" w:rsidRPr="1A2A8689">
        <w:rPr>
          <w:rFonts w:cs="Times New Roman"/>
          <w:noProof/>
        </w:rPr>
        <w:t>PO1</w:t>
      </w:r>
      <w:r w:rsidR="1DB41765" w:rsidRPr="1A2A8689">
        <w:rPr>
          <w:rFonts w:cs="Times New Roman"/>
          <w:noProof/>
        </w:rPr>
        <w:t>/PO2</w:t>
      </w:r>
      <w:r w:rsidR="05488DAA" w:rsidRPr="1A2A8689">
        <w:rPr>
          <w:rFonts w:cs="Times New Roman"/>
          <w:noProof/>
        </w:rPr>
        <w:t xml:space="preserve"> emission savings would account to 25.6</w:t>
      </w:r>
      <w:r w:rsidR="1AC6F867" w:rsidRPr="1A2A8689">
        <w:rPr>
          <w:rFonts w:cs="Times New Roman"/>
          <w:noProof/>
        </w:rPr>
        <w:t xml:space="preserve"> Mtonnes </w:t>
      </w:r>
      <w:r w:rsidR="05488DAA" w:rsidRPr="1A2A8689">
        <w:rPr>
          <w:rFonts w:cs="Times New Roman"/>
          <w:noProof/>
        </w:rPr>
        <w:t>CO</w:t>
      </w:r>
      <w:r w:rsidR="05488DAA" w:rsidRPr="1A2A8689">
        <w:rPr>
          <w:rFonts w:cs="Times New Roman"/>
          <w:noProof/>
          <w:vertAlign w:val="subscript"/>
        </w:rPr>
        <w:t>2</w:t>
      </w:r>
      <w:r w:rsidR="05488DAA" w:rsidRPr="1A2A8689">
        <w:rPr>
          <w:rFonts w:cs="Times New Roman"/>
          <w:noProof/>
        </w:rPr>
        <w:t xml:space="preserve"> savings or </w:t>
      </w:r>
      <w:r w:rsidR="2CF0BB50" w:rsidRPr="1A2A8689">
        <w:rPr>
          <w:rFonts w:cs="Times New Roman"/>
          <w:noProof/>
        </w:rPr>
        <w:t>EUR 2.5 billion</w:t>
      </w:r>
      <w:r w:rsidR="008606FE">
        <w:rPr>
          <w:rFonts w:cs="Times New Roman"/>
          <w:noProof/>
        </w:rPr>
        <w:t>.</w:t>
      </w:r>
    </w:p>
    <w:p w14:paraId="0308581B" w14:textId="70C2C7B0" w:rsidR="0082026C" w:rsidRDefault="2CF0BB50" w:rsidP="1A2A8689">
      <w:pPr>
        <w:pStyle w:val="ListParagraph"/>
        <w:numPr>
          <w:ilvl w:val="0"/>
          <w:numId w:val="42"/>
        </w:numPr>
        <w:rPr>
          <w:rFonts w:cs="Times New Roman"/>
          <w:noProof/>
        </w:rPr>
      </w:pPr>
      <w:r w:rsidRPr="1A2A8689">
        <w:rPr>
          <w:rFonts w:cs="Times New Roman"/>
          <w:noProof/>
        </w:rPr>
        <w:t>PO</w:t>
      </w:r>
      <w:r w:rsidR="7C6FD3F9" w:rsidRPr="1A2A8689">
        <w:rPr>
          <w:rFonts w:cs="Times New Roman"/>
          <w:noProof/>
        </w:rPr>
        <w:t>3</w:t>
      </w:r>
      <w:r w:rsidRPr="1A2A8689">
        <w:rPr>
          <w:rFonts w:cs="Times New Roman"/>
          <w:noProof/>
        </w:rPr>
        <w:t xml:space="preserve"> </w:t>
      </w:r>
      <w:r w:rsidR="29EB5F85" w:rsidRPr="1A2A8689">
        <w:rPr>
          <w:rFonts w:cs="Times New Roman"/>
          <w:noProof/>
        </w:rPr>
        <w:t>it would amount to 34.17</w:t>
      </w:r>
      <w:r w:rsidR="1AC6F867" w:rsidRPr="1A2A8689">
        <w:rPr>
          <w:rFonts w:cs="Times New Roman"/>
          <w:noProof/>
        </w:rPr>
        <w:t xml:space="preserve"> Mtonnes </w:t>
      </w:r>
      <w:r w:rsidR="29EB5F85" w:rsidRPr="1A2A8689">
        <w:rPr>
          <w:rFonts w:cs="Times New Roman"/>
          <w:noProof/>
        </w:rPr>
        <w:t>CO</w:t>
      </w:r>
      <w:r w:rsidR="29EB5F85" w:rsidRPr="1A2A8689">
        <w:rPr>
          <w:rFonts w:cs="Times New Roman"/>
          <w:noProof/>
          <w:vertAlign w:val="subscript"/>
        </w:rPr>
        <w:t xml:space="preserve">2 </w:t>
      </w:r>
      <w:r w:rsidR="29EB5F85" w:rsidRPr="1A2A8689">
        <w:rPr>
          <w:rFonts w:cs="Times New Roman"/>
          <w:noProof/>
        </w:rPr>
        <w:t>savings or EUR 3.4 billion.</w:t>
      </w:r>
    </w:p>
    <w:p w14:paraId="0C742F7B" w14:textId="77777777" w:rsidR="0005249D" w:rsidRPr="0005249D" w:rsidRDefault="0005249D" w:rsidP="0005249D">
      <w:pPr>
        <w:rPr>
          <w:rFonts w:cs="Times New Roman"/>
          <w:noProof/>
          <w:szCs w:val="24"/>
        </w:rPr>
      </w:pPr>
    </w:p>
    <w:p w14:paraId="7547E973" w14:textId="0EAF394D" w:rsidR="0005249D" w:rsidRPr="00FF63D1" w:rsidRDefault="000769C6" w:rsidP="00654899">
      <w:pPr>
        <w:pStyle w:val="JRCText"/>
        <w:jc w:val="both"/>
        <w:rPr>
          <w:rFonts w:ascii="Times New Roman" w:hAnsi="Times New Roman" w:cs="Times New Roman"/>
          <w:b/>
          <w:noProof/>
          <w:sz w:val="24"/>
          <w:szCs w:val="24"/>
        </w:rPr>
      </w:pPr>
      <w:r w:rsidRPr="00F261DB">
        <w:rPr>
          <w:rFonts w:ascii="Times New Roman" w:hAnsi="Times New Roman" w:cs="Times New Roman"/>
          <w:b/>
          <w:noProof/>
          <w:sz w:val="24"/>
          <w:szCs w:val="24"/>
        </w:rPr>
        <w:t>LEAD_VC</w:t>
      </w:r>
    </w:p>
    <w:p w14:paraId="46CF2FDE" w14:textId="30DC03EB" w:rsidR="003D15DC" w:rsidRPr="00F261DB" w:rsidRDefault="003D15DC" w:rsidP="008818C2">
      <w:pPr>
        <w:spacing w:after="120"/>
        <w:rPr>
          <w:noProof/>
        </w:rPr>
      </w:pPr>
      <w:r w:rsidRPr="00F261DB">
        <w:rPr>
          <w:noProof/>
        </w:rPr>
        <w:t xml:space="preserve">Changes in </w:t>
      </w:r>
      <w:r w:rsidR="008A5A3D">
        <w:rPr>
          <w:noProof/>
        </w:rPr>
        <w:t>GHG</w:t>
      </w:r>
      <w:r w:rsidRPr="00F261DB">
        <w:rPr>
          <w:noProof/>
        </w:rPr>
        <w:t xml:space="preserve"> emissions due to the policy options come from three aspects. First</w:t>
      </w:r>
      <w:r w:rsidR="00A713E2">
        <w:rPr>
          <w:noProof/>
        </w:rPr>
        <w:t>ly</w:t>
      </w:r>
      <w:r w:rsidRPr="00F261DB">
        <w:rPr>
          <w:noProof/>
        </w:rPr>
        <w:t>, emissions during the manufacturing process influenced in both the EU and non-EU regions; reductions in emissions are driven by cleaner manufacturing in the EU compared to vehicle production outside the EU. Second</w:t>
      </w:r>
      <w:r w:rsidR="00A713E2">
        <w:rPr>
          <w:noProof/>
        </w:rPr>
        <w:t>ly</w:t>
      </w:r>
      <w:r w:rsidRPr="00F261DB">
        <w:rPr>
          <w:noProof/>
        </w:rPr>
        <w:t xml:space="preserve">, emissions from international transport emissions are influenced as EU imports </w:t>
      </w:r>
      <w:r w:rsidRPr="00F261DB">
        <w:rPr>
          <w:noProof/>
        </w:rPr>
        <w:lastRenderedPageBreak/>
        <w:t>are affected. Finally, emissions during the use phase of vehicles are affected as the number of ICEs and EVs in EU sales is influenced; considering the higher fuel use emissions of ICEs compared to EVs.</w:t>
      </w:r>
      <w:r w:rsidRPr="00F261DB" w:rsidDel="00575938">
        <w:rPr>
          <w:noProof/>
        </w:rPr>
        <w:t xml:space="preserve"> </w:t>
      </w:r>
    </w:p>
    <w:p w14:paraId="633D5AE7" w14:textId="703A7256" w:rsidR="002B1A9C" w:rsidRPr="00F261DB" w:rsidRDefault="002B1A9C" w:rsidP="008818C2">
      <w:pPr>
        <w:spacing w:after="120"/>
        <w:rPr>
          <w:noProof/>
        </w:rPr>
      </w:pPr>
      <w:r w:rsidRPr="00F261DB">
        <w:rPr>
          <w:noProof/>
        </w:rPr>
        <w:t>The impacts depend mostly on the reaction of foreign producers (</w:t>
      </w:r>
      <w:r w:rsidR="008A5A3D" w:rsidRPr="007D72DD">
        <w:rPr>
          <w:noProof/>
          <w:szCs w:val="24"/>
        </w:rPr>
        <w:fldChar w:fldCharType="begin"/>
      </w:r>
      <w:r w:rsidR="008A5A3D" w:rsidRPr="007D72DD">
        <w:rPr>
          <w:noProof/>
          <w:szCs w:val="24"/>
        </w:rPr>
        <w:instrText xml:space="preserve"> REF _Ref212641468 \h </w:instrText>
      </w:r>
      <w:r w:rsidR="007D72DD">
        <w:rPr>
          <w:noProof/>
          <w:szCs w:val="24"/>
        </w:rPr>
        <w:instrText xml:space="preserve"> \* MERGEFORMAT </w:instrText>
      </w:r>
      <w:r w:rsidR="008A5A3D" w:rsidRPr="007D72DD">
        <w:rPr>
          <w:noProof/>
          <w:szCs w:val="24"/>
        </w:rPr>
      </w:r>
      <w:r w:rsidR="008A5A3D" w:rsidRPr="007D72DD">
        <w:rPr>
          <w:noProof/>
          <w:szCs w:val="24"/>
        </w:rPr>
        <w:fldChar w:fldCharType="separate"/>
      </w:r>
      <w:r w:rsidR="00622D1D" w:rsidRPr="00BF3C24">
        <w:rPr>
          <w:noProof/>
          <w:szCs w:val="24"/>
        </w:rPr>
        <w:t>Table 7</w:t>
      </w:r>
      <w:r w:rsidR="008A5A3D" w:rsidRPr="007D72DD">
        <w:rPr>
          <w:noProof/>
          <w:szCs w:val="24"/>
        </w:rPr>
        <w:fldChar w:fldCharType="end"/>
      </w:r>
      <w:r w:rsidRPr="00F261DB">
        <w:rPr>
          <w:noProof/>
        </w:rPr>
        <w:t xml:space="preserve">). </w:t>
      </w:r>
    </w:p>
    <w:p w14:paraId="61ACCD12" w14:textId="1F2D3361" w:rsidR="002B1A9C" w:rsidRPr="00F261DB" w:rsidRDefault="002B1A9C" w:rsidP="002B1A9C">
      <w:pPr>
        <w:rPr>
          <w:noProof/>
        </w:rPr>
      </w:pPr>
    </w:p>
    <w:p w14:paraId="41A7CF3C" w14:textId="6B52B788" w:rsidR="008A5A3D" w:rsidRPr="00E71388" w:rsidRDefault="008A5A3D" w:rsidP="008A5A3D">
      <w:pPr>
        <w:rPr>
          <w:noProof/>
          <w:sz w:val="20"/>
          <w:szCs w:val="18"/>
        </w:rPr>
      </w:pPr>
      <w:bookmarkStart w:id="297" w:name="_Ref212641468"/>
      <w:r w:rsidRPr="00E71388">
        <w:rPr>
          <w:noProof/>
          <w:sz w:val="20"/>
          <w:szCs w:val="18"/>
        </w:rPr>
        <w:t xml:space="preserve">Table </w:t>
      </w:r>
      <w:r w:rsidRPr="00E71388">
        <w:rPr>
          <w:noProof/>
          <w:sz w:val="20"/>
          <w:szCs w:val="18"/>
        </w:rPr>
        <w:fldChar w:fldCharType="begin"/>
      </w:r>
      <w:r w:rsidRPr="00E71388">
        <w:rPr>
          <w:noProof/>
          <w:sz w:val="20"/>
          <w:szCs w:val="18"/>
        </w:rPr>
        <w:instrText xml:space="preserve"> SEQ Table \* ARABIC </w:instrText>
      </w:r>
      <w:r w:rsidRPr="00E71388">
        <w:rPr>
          <w:noProof/>
          <w:sz w:val="20"/>
          <w:szCs w:val="18"/>
        </w:rPr>
        <w:fldChar w:fldCharType="separate"/>
      </w:r>
      <w:r w:rsidR="00E16D65">
        <w:rPr>
          <w:noProof/>
          <w:sz w:val="20"/>
          <w:szCs w:val="18"/>
        </w:rPr>
        <w:t>7</w:t>
      </w:r>
      <w:r w:rsidRPr="00E71388">
        <w:rPr>
          <w:noProof/>
          <w:sz w:val="20"/>
          <w:szCs w:val="18"/>
        </w:rPr>
        <w:fldChar w:fldCharType="end"/>
      </w:r>
      <w:bookmarkEnd w:id="297"/>
      <w:r w:rsidRPr="00E71388">
        <w:rPr>
          <w:noProof/>
          <w:sz w:val="20"/>
          <w:szCs w:val="18"/>
        </w:rPr>
        <w:t>: Changes in global greenhouse gas emissions (Mt CO</w:t>
      </w:r>
      <w:r w:rsidRPr="00F03F9B">
        <w:rPr>
          <w:noProof/>
          <w:sz w:val="20"/>
          <w:szCs w:val="18"/>
          <w:vertAlign w:val="subscript"/>
        </w:rPr>
        <w:t>2</w:t>
      </w:r>
      <w:r w:rsidRPr="00E71388">
        <w:rPr>
          <w:noProof/>
          <w:sz w:val="20"/>
          <w:szCs w:val="18"/>
        </w:rPr>
        <w:t>e)</w:t>
      </w:r>
      <w:r w:rsidRPr="005C0D98">
        <w:rPr>
          <w:rFonts w:cs="Times New Roman"/>
          <w:noProof/>
          <w:sz w:val="20"/>
          <w:szCs w:val="18"/>
        </w:rPr>
        <w:t>, JRC calculations based on emission projections from the JRC-GEM-E3 model.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6"/>
        <w:gridCol w:w="1814"/>
        <w:gridCol w:w="1852"/>
        <w:gridCol w:w="1099"/>
        <w:gridCol w:w="1097"/>
      </w:tblGrid>
      <w:tr w:rsidR="00E71388" w:rsidRPr="00520724" w14:paraId="7885126B" w14:textId="77777777" w:rsidTr="003E2FF3">
        <w:trPr>
          <w:trHeight w:val="309"/>
        </w:trPr>
        <w:tc>
          <w:tcPr>
            <w:tcW w:w="1911" w:type="pct"/>
            <w:vMerge w:val="restart"/>
            <w:noWrap/>
            <w:vAlign w:val="center"/>
            <w:hideMark/>
          </w:tcPr>
          <w:p w14:paraId="3D441E7B" w14:textId="77777777" w:rsidR="002B1A9C" w:rsidRPr="00F261DB" w:rsidRDefault="002B1A9C" w:rsidP="00633089">
            <w:pPr>
              <w:jc w:val="center"/>
              <w:rPr>
                <w:rFonts w:eastAsia="Times New Roman" w:cs="Times New Roman"/>
                <w:noProof/>
              </w:rPr>
            </w:pPr>
          </w:p>
        </w:tc>
        <w:tc>
          <w:tcPr>
            <w:tcW w:w="3089" w:type="pct"/>
            <w:gridSpan w:val="4"/>
            <w:noWrap/>
            <w:vAlign w:val="center"/>
            <w:hideMark/>
          </w:tcPr>
          <w:p w14:paraId="79522095" w14:textId="3151F756" w:rsidR="002B1A9C" w:rsidRPr="00E71388" w:rsidRDefault="00490FAB">
            <w:pPr>
              <w:jc w:val="center"/>
              <w:rPr>
                <w:rFonts w:eastAsia="Times New Roman" w:cs="Times New Roman"/>
                <w:noProof/>
                <w:color w:val="000000"/>
                <w:szCs w:val="24"/>
              </w:rPr>
            </w:pPr>
            <w:r w:rsidRPr="00E71388">
              <w:rPr>
                <w:rFonts w:eastAsia="Times New Roman" w:cs="Times New Roman"/>
                <w:bCs/>
                <w:i/>
                <w:iCs/>
                <w:noProof/>
                <w:color w:val="000000"/>
                <w:szCs w:val="24"/>
              </w:rPr>
              <w:t xml:space="preserve">Internal market </w:t>
            </w:r>
            <w:r w:rsidR="002B1A9C" w:rsidRPr="00E71388">
              <w:rPr>
                <w:rFonts w:eastAsia="Times New Roman" w:cs="Times New Roman"/>
                <w:i/>
                <w:noProof/>
                <w:color w:val="000000"/>
                <w:szCs w:val="24"/>
              </w:rPr>
              <w:t>reaction</w:t>
            </w:r>
          </w:p>
        </w:tc>
      </w:tr>
      <w:tr w:rsidR="00E71388" w:rsidRPr="005C0D98" w14:paraId="5253CF0A" w14:textId="77777777" w:rsidTr="003E2FF3">
        <w:trPr>
          <w:trHeight w:val="309"/>
        </w:trPr>
        <w:tc>
          <w:tcPr>
            <w:tcW w:w="1911" w:type="pct"/>
            <w:vMerge/>
            <w:noWrap/>
            <w:vAlign w:val="center"/>
            <w:hideMark/>
          </w:tcPr>
          <w:p w14:paraId="24208E81" w14:textId="77777777" w:rsidR="002B1A9C" w:rsidRPr="00E71388" w:rsidRDefault="002B1A9C">
            <w:pPr>
              <w:jc w:val="center"/>
              <w:rPr>
                <w:rFonts w:eastAsia="Times New Roman" w:cs="Times New Roman"/>
                <w:noProof/>
                <w:color w:val="000000"/>
                <w:szCs w:val="24"/>
                <w:lang w:val="en-IE"/>
              </w:rPr>
            </w:pPr>
          </w:p>
        </w:tc>
        <w:tc>
          <w:tcPr>
            <w:tcW w:w="1932" w:type="pct"/>
            <w:gridSpan w:val="2"/>
            <w:noWrap/>
            <w:vAlign w:val="center"/>
            <w:hideMark/>
          </w:tcPr>
          <w:p w14:paraId="1007B99E" w14:textId="1F754EE3" w:rsidR="002B1A9C" w:rsidRPr="00E71388" w:rsidRDefault="002B1A9C">
            <w:pPr>
              <w:jc w:val="center"/>
              <w:rPr>
                <w:rFonts w:eastAsia="Times New Roman" w:cs="Times New Roman"/>
                <w:noProof/>
                <w:color w:val="000000"/>
                <w:szCs w:val="24"/>
              </w:rPr>
            </w:pPr>
            <w:r w:rsidRPr="00E71388">
              <w:rPr>
                <w:rFonts w:eastAsia="Times New Roman" w:cs="Times New Roman"/>
                <w:noProof/>
                <w:color w:val="000000"/>
                <w:szCs w:val="24"/>
              </w:rPr>
              <w:t>LEAD_VC</w:t>
            </w:r>
            <w:r w:rsidR="0034088F">
              <w:rPr>
                <w:rFonts w:eastAsia="Times New Roman" w:cs="Times New Roman"/>
                <w:noProof/>
                <w:color w:val="000000"/>
                <w:szCs w:val="24"/>
              </w:rPr>
              <w:t xml:space="preserve"> </w:t>
            </w:r>
            <w:r w:rsidRPr="00E71388">
              <w:rPr>
                <w:rFonts w:eastAsia="Times New Roman" w:cs="Times New Roman"/>
                <w:noProof/>
                <w:color w:val="000000"/>
                <w:szCs w:val="24"/>
              </w:rPr>
              <w:t>1</w:t>
            </w:r>
          </w:p>
        </w:tc>
        <w:tc>
          <w:tcPr>
            <w:tcW w:w="1157" w:type="pct"/>
            <w:gridSpan w:val="2"/>
            <w:noWrap/>
            <w:vAlign w:val="center"/>
            <w:hideMark/>
          </w:tcPr>
          <w:p w14:paraId="13689235" w14:textId="4D99F3A7" w:rsidR="002B1A9C" w:rsidRPr="00E71388" w:rsidRDefault="002B1A9C">
            <w:pPr>
              <w:jc w:val="center"/>
              <w:rPr>
                <w:rFonts w:eastAsia="Times New Roman" w:cs="Times New Roman"/>
                <w:noProof/>
                <w:color w:val="000000"/>
                <w:szCs w:val="24"/>
              </w:rPr>
            </w:pPr>
            <w:r w:rsidRPr="00E71388">
              <w:rPr>
                <w:rFonts w:eastAsia="Times New Roman" w:cs="Times New Roman"/>
                <w:noProof/>
                <w:color w:val="000000"/>
                <w:szCs w:val="24"/>
              </w:rPr>
              <w:t>LEAD_VC</w:t>
            </w:r>
            <w:r w:rsidR="0034088F">
              <w:rPr>
                <w:rFonts w:eastAsia="Times New Roman" w:cs="Times New Roman"/>
                <w:noProof/>
                <w:color w:val="000000"/>
                <w:szCs w:val="24"/>
              </w:rPr>
              <w:t xml:space="preserve"> </w:t>
            </w:r>
            <w:r w:rsidRPr="00E71388">
              <w:rPr>
                <w:rFonts w:eastAsia="Times New Roman" w:cs="Times New Roman"/>
                <w:noProof/>
                <w:color w:val="000000"/>
                <w:szCs w:val="24"/>
              </w:rPr>
              <w:t>2</w:t>
            </w:r>
          </w:p>
        </w:tc>
      </w:tr>
      <w:tr w:rsidR="00541E5E" w:rsidRPr="005C0D98" w14:paraId="34A5F49C" w14:textId="77777777" w:rsidTr="003E2FF3">
        <w:trPr>
          <w:trHeight w:val="309"/>
        </w:trPr>
        <w:tc>
          <w:tcPr>
            <w:tcW w:w="1911" w:type="pct"/>
            <w:vMerge/>
            <w:noWrap/>
            <w:vAlign w:val="center"/>
            <w:hideMark/>
          </w:tcPr>
          <w:p w14:paraId="743A917D" w14:textId="77777777" w:rsidR="002B1A9C" w:rsidRPr="00E71388" w:rsidRDefault="002B1A9C" w:rsidP="00633089">
            <w:pPr>
              <w:jc w:val="center"/>
              <w:rPr>
                <w:rFonts w:eastAsia="Times New Roman" w:cs="Times New Roman"/>
                <w:noProof/>
                <w:color w:val="000000"/>
                <w:szCs w:val="24"/>
              </w:rPr>
            </w:pPr>
          </w:p>
        </w:tc>
        <w:tc>
          <w:tcPr>
            <w:tcW w:w="956" w:type="pct"/>
            <w:noWrap/>
            <w:vAlign w:val="center"/>
            <w:hideMark/>
          </w:tcPr>
          <w:p w14:paraId="05EC66F8"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2027</w:t>
            </w:r>
          </w:p>
        </w:tc>
        <w:tc>
          <w:tcPr>
            <w:tcW w:w="976" w:type="pct"/>
            <w:noWrap/>
            <w:vAlign w:val="center"/>
            <w:hideMark/>
          </w:tcPr>
          <w:p w14:paraId="5936E3A0"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2030</w:t>
            </w:r>
          </w:p>
        </w:tc>
        <w:tc>
          <w:tcPr>
            <w:tcW w:w="579" w:type="pct"/>
            <w:noWrap/>
            <w:vAlign w:val="center"/>
            <w:hideMark/>
          </w:tcPr>
          <w:p w14:paraId="29C75F6C"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2027</w:t>
            </w:r>
          </w:p>
        </w:tc>
        <w:tc>
          <w:tcPr>
            <w:tcW w:w="578" w:type="pct"/>
            <w:noWrap/>
            <w:vAlign w:val="center"/>
            <w:hideMark/>
          </w:tcPr>
          <w:p w14:paraId="60A47418"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2030</w:t>
            </w:r>
          </w:p>
        </w:tc>
      </w:tr>
      <w:tr w:rsidR="00541E5E" w:rsidRPr="005C0D98" w14:paraId="5FE9878F" w14:textId="77777777" w:rsidTr="003E2FF3">
        <w:trPr>
          <w:trHeight w:val="309"/>
        </w:trPr>
        <w:tc>
          <w:tcPr>
            <w:tcW w:w="1911" w:type="pct"/>
            <w:noWrap/>
            <w:vAlign w:val="center"/>
            <w:hideMark/>
          </w:tcPr>
          <w:p w14:paraId="5DA5D48B"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Production</w:t>
            </w:r>
          </w:p>
        </w:tc>
        <w:tc>
          <w:tcPr>
            <w:tcW w:w="956" w:type="pct"/>
            <w:noWrap/>
            <w:vAlign w:val="center"/>
            <w:hideMark/>
          </w:tcPr>
          <w:p w14:paraId="3DD7CA76"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-0.5</w:t>
            </w:r>
          </w:p>
        </w:tc>
        <w:tc>
          <w:tcPr>
            <w:tcW w:w="976" w:type="pct"/>
            <w:noWrap/>
            <w:vAlign w:val="center"/>
            <w:hideMark/>
          </w:tcPr>
          <w:p w14:paraId="1A7EF546"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-0.6</w:t>
            </w:r>
          </w:p>
        </w:tc>
        <w:tc>
          <w:tcPr>
            <w:tcW w:w="579" w:type="pct"/>
            <w:noWrap/>
            <w:vAlign w:val="center"/>
            <w:hideMark/>
          </w:tcPr>
          <w:p w14:paraId="13944132"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-0.9</w:t>
            </w:r>
          </w:p>
        </w:tc>
        <w:tc>
          <w:tcPr>
            <w:tcW w:w="578" w:type="pct"/>
            <w:noWrap/>
            <w:vAlign w:val="center"/>
            <w:hideMark/>
          </w:tcPr>
          <w:p w14:paraId="3995C892"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-0.7</w:t>
            </w:r>
          </w:p>
        </w:tc>
      </w:tr>
      <w:tr w:rsidR="00541E5E" w:rsidRPr="005C0D98" w14:paraId="30BE67D0" w14:textId="77777777" w:rsidTr="003E2FF3">
        <w:trPr>
          <w:trHeight w:val="309"/>
        </w:trPr>
        <w:tc>
          <w:tcPr>
            <w:tcW w:w="1911" w:type="pct"/>
            <w:noWrap/>
            <w:vAlign w:val="center"/>
            <w:hideMark/>
          </w:tcPr>
          <w:p w14:paraId="1D02697E"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Intl. transport</w:t>
            </w:r>
          </w:p>
        </w:tc>
        <w:tc>
          <w:tcPr>
            <w:tcW w:w="956" w:type="pct"/>
            <w:noWrap/>
            <w:vAlign w:val="center"/>
            <w:hideMark/>
          </w:tcPr>
          <w:p w14:paraId="0095D9E0"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-0.1</w:t>
            </w:r>
          </w:p>
        </w:tc>
        <w:tc>
          <w:tcPr>
            <w:tcW w:w="976" w:type="pct"/>
            <w:noWrap/>
            <w:vAlign w:val="center"/>
            <w:hideMark/>
          </w:tcPr>
          <w:p w14:paraId="0FD40459"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-0.1</w:t>
            </w:r>
          </w:p>
        </w:tc>
        <w:tc>
          <w:tcPr>
            <w:tcW w:w="579" w:type="pct"/>
            <w:noWrap/>
            <w:vAlign w:val="center"/>
            <w:hideMark/>
          </w:tcPr>
          <w:p w14:paraId="53B796FC"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-0.2</w:t>
            </w:r>
          </w:p>
        </w:tc>
        <w:tc>
          <w:tcPr>
            <w:tcW w:w="578" w:type="pct"/>
            <w:noWrap/>
            <w:vAlign w:val="center"/>
            <w:hideMark/>
          </w:tcPr>
          <w:p w14:paraId="45281FEB"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-0.1</w:t>
            </w:r>
          </w:p>
        </w:tc>
      </w:tr>
      <w:tr w:rsidR="00541E5E" w:rsidRPr="005C0D98" w14:paraId="76260825" w14:textId="77777777" w:rsidTr="003E2FF3">
        <w:trPr>
          <w:trHeight w:val="309"/>
        </w:trPr>
        <w:tc>
          <w:tcPr>
            <w:tcW w:w="1911" w:type="pct"/>
            <w:noWrap/>
            <w:vAlign w:val="center"/>
            <w:hideMark/>
          </w:tcPr>
          <w:p w14:paraId="13A16CCF" w14:textId="0D174194" w:rsidR="002B1A9C" w:rsidRPr="00E71388" w:rsidRDefault="00E225ED" w:rsidP="00633089">
            <w:pPr>
              <w:jc w:val="center"/>
              <w:rPr>
                <w:rFonts w:eastAsia="Times New Roman" w:cs="Times New Roman"/>
                <w:noProof/>
                <w:color w:val="000000"/>
                <w:szCs w:val="24"/>
              </w:rPr>
            </w:pPr>
            <w:r>
              <w:rPr>
                <w:rFonts w:eastAsia="Times New Roman" w:cs="Times New Roman"/>
                <w:noProof/>
                <w:color w:val="000000"/>
                <w:szCs w:val="24"/>
              </w:rPr>
              <w:t>Usage</w:t>
            </w:r>
            <w:r w:rsidR="002B1A9C" w:rsidRPr="00E71388">
              <w:rPr>
                <w:rFonts w:eastAsia="Times New Roman" w:cs="Times New Roman"/>
                <w:noProof/>
                <w:color w:val="000000"/>
                <w:szCs w:val="24"/>
              </w:rPr>
              <w:t xml:space="preserve"> (passenger vehicles only)</w:t>
            </w:r>
          </w:p>
        </w:tc>
        <w:tc>
          <w:tcPr>
            <w:tcW w:w="956" w:type="pct"/>
            <w:noWrap/>
            <w:vAlign w:val="center"/>
            <w:hideMark/>
          </w:tcPr>
          <w:p w14:paraId="32D7F74C"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0.8</w:t>
            </w:r>
          </w:p>
        </w:tc>
        <w:tc>
          <w:tcPr>
            <w:tcW w:w="976" w:type="pct"/>
            <w:noWrap/>
            <w:vAlign w:val="center"/>
            <w:hideMark/>
          </w:tcPr>
          <w:p w14:paraId="2236FDFF"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0.1</w:t>
            </w:r>
          </w:p>
        </w:tc>
        <w:tc>
          <w:tcPr>
            <w:tcW w:w="579" w:type="pct"/>
            <w:noWrap/>
            <w:vAlign w:val="center"/>
            <w:hideMark/>
          </w:tcPr>
          <w:p w14:paraId="32BADBE1"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1.0</w:t>
            </w:r>
          </w:p>
        </w:tc>
        <w:tc>
          <w:tcPr>
            <w:tcW w:w="578" w:type="pct"/>
            <w:noWrap/>
            <w:vAlign w:val="center"/>
            <w:hideMark/>
          </w:tcPr>
          <w:p w14:paraId="45922213" w14:textId="77777777" w:rsidR="002B1A9C" w:rsidRPr="00E71388" w:rsidRDefault="002B1A9C" w:rsidP="00633089">
            <w:pPr>
              <w:jc w:val="center"/>
              <w:rPr>
                <w:rFonts w:eastAsia="Times New Roman" w:cs="Times New Roman"/>
                <w:noProof/>
                <w:color w:val="000000"/>
                <w:szCs w:val="24"/>
              </w:rPr>
            </w:pPr>
            <w:r w:rsidRPr="00E71388">
              <w:rPr>
                <w:rFonts w:eastAsia="Times New Roman" w:cs="Times New Roman"/>
                <w:noProof/>
                <w:color w:val="000000"/>
                <w:szCs w:val="24"/>
              </w:rPr>
              <w:t>0.1</w:t>
            </w:r>
          </w:p>
        </w:tc>
      </w:tr>
      <w:tr w:rsidR="00541E5E" w:rsidRPr="005C0D98" w14:paraId="66DDD59E" w14:textId="77777777" w:rsidTr="003E2FF3">
        <w:trPr>
          <w:trHeight w:val="309"/>
        </w:trPr>
        <w:tc>
          <w:tcPr>
            <w:tcW w:w="1911" w:type="pct"/>
            <w:shd w:val="clear" w:color="auto" w:fill="DAE9F7" w:themeFill="text2" w:themeFillTint="1A"/>
            <w:noWrap/>
            <w:vAlign w:val="center"/>
            <w:hideMark/>
          </w:tcPr>
          <w:p w14:paraId="2C1379F0" w14:textId="77777777" w:rsidR="002B1A9C" w:rsidRPr="00E71388" w:rsidRDefault="002B1A9C" w:rsidP="00633089">
            <w:pPr>
              <w:jc w:val="center"/>
              <w:rPr>
                <w:rFonts w:eastAsia="Times New Roman" w:cs="Times New Roman"/>
                <w:b/>
                <w:noProof/>
                <w:color w:val="000000"/>
                <w:szCs w:val="24"/>
              </w:rPr>
            </w:pPr>
            <w:r w:rsidRPr="00E71388">
              <w:rPr>
                <w:rFonts w:eastAsia="Times New Roman" w:cs="Times New Roman"/>
                <w:b/>
                <w:noProof/>
                <w:color w:val="000000"/>
                <w:szCs w:val="24"/>
              </w:rPr>
              <w:t>Total</w:t>
            </w:r>
          </w:p>
        </w:tc>
        <w:tc>
          <w:tcPr>
            <w:tcW w:w="956" w:type="pct"/>
            <w:shd w:val="clear" w:color="auto" w:fill="DAE9F7" w:themeFill="text2" w:themeFillTint="1A"/>
            <w:noWrap/>
            <w:vAlign w:val="center"/>
            <w:hideMark/>
          </w:tcPr>
          <w:p w14:paraId="0239C7D4" w14:textId="77777777" w:rsidR="002B1A9C" w:rsidRPr="00AE2A03" w:rsidRDefault="002B1A9C" w:rsidP="00633089">
            <w:pPr>
              <w:jc w:val="center"/>
              <w:rPr>
                <w:rFonts w:eastAsia="Times New Roman" w:cs="Times New Roman"/>
                <w:b/>
                <w:bCs/>
                <w:noProof/>
                <w:color w:val="000000"/>
                <w:szCs w:val="24"/>
              </w:rPr>
            </w:pPr>
            <w:r w:rsidRPr="00AE2A03">
              <w:rPr>
                <w:rFonts w:eastAsia="Times New Roman" w:cs="Times New Roman"/>
                <w:b/>
                <w:bCs/>
                <w:noProof/>
                <w:color w:val="000000"/>
                <w:szCs w:val="24"/>
              </w:rPr>
              <w:t>0.2</w:t>
            </w:r>
          </w:p>
        </w:tc>
        <w:tc>
          <w:tcPr>
            <w:tcW w:w="976" w:type="pct"/>
            <w:shd w:val="clear" w:color="auto" w:fill="DAE9F7" w:themeFill="text2" w:themeFillTint="1A"/>
            <w:noWrap/>
            <w:vAlign w:val="center"/>
            <w:hideMark/>
          </w:tcPr>
          <w:p w14:paraId="7DB3C91C" w14:textId="77777777" w:rsidR="002B1A9C" w:rsidRPr="00AE2A03" w:rsidRDefault="002B1A9C" w:rsidP="00633089">
            <w:pPr>
              <w:jc w:val="center"/>
              <w:rPr>
                <w:rFonts w:eastAsia="Times New Roman" w:cs="Times New Roman"/>
                <w:b/>
                <w:bCs/>
                <w:noProof/>
                <w:color w:val="000000"/>
                <w:szCs w:val="24"/>
              </w:rPr>
            </w:pPr>
            <w:r w:rsidRPr="00AE2A03">
              <w:rPr>
                <w:rFonts w:eastAsia="Times New Roman" w:cs="Times New Roman"/>
                <w:b/>
                <w:bCs/>
                <w:noProof/>
                <w:color w:val="000000"/>
                <w:szCs w:val="24"/>
              </w:rPr>
              <w:t>-0.7</w:t>
            </w:r>
          </w:p>
        </w:tc>
        <w:tc>
          <w:tcPr>
            <w:tcW w:w="579" w:type="pct"/>
            <w:shd w:val="clear" w:color="auto" w:fill="DAE9F7" w:themeFill="text2" w:themeFillTint="1A"/>
            <w:noWrap/>
            <w:vAlign w:val="center"/>
            <w:hideMark/>
          </w:tcPr>
          <w:p w14:paraId="753720BF" w14:textId="77777777" w:rsidR="002B1A9C" w:rsidRPr="00AE2A03" w:rsidRDefault="002B1A9C" w:rsidP="00633089">
            <w:pPr>
              <w:jc w:val="center"/>
              <w:rPr>
                <w:rFonts w:eastAsia="Times New Roman" w:cs="Times New Roman"/>
                <w:b/>
                <w:bCs/>
                <w:noProof/>
                <w:color w:val="000000"/>
                <w:szCs w:val="24"/>
              </w:rPr>
            </w:pPr>
            <w:r w:rsidRPr="00AE2A03">
              <w:rPr>
                <w:rFonts w:eastAsia="Times New Roman" w:cs="Times New Roman"/>
                <w:b/>
                <w:bCs/>
                <w:noProof/>
                <w:color w:val="000000"/>
                <w:szCs w:val="24"/>
              </w:rPr>
              <w:t>-0.1</w:t>
            </w:r>
          </w:p>
        </w:tc>
        <w:tc>
          <w:tcPr>
            <w:tcW w:w="578" w:type="pct"/>
            <w:shd w:val="clear" w:color="auto" w:fill="DAE9F7" w:themeFill="text2" w:themeFillTint="1A"/>
            <w:noWrap/>
            <w:vAlign w:val="center"/>
            <w:hideMark/>
          </w:tcPr>
          <w:p w14:paraId="5EF02D9B" w14:textId="77777777" w:rsidR="002B1A9C" w:rsidRPr="00AE2A03" w:rsidRDefault="002B1A9C" w:rsidP="00633089">
            <w:pPr>
              <w:jc w:val="center"/>
              <w:rPr>
                <w:rFonts w:eastAsia="Times New Roman" w:cs="Times New Roman"/>
                <w:b/>
                <w:bCs/>
                <w:noProof/>
                <w:color w:val="000000"/>
                <w:szCs w:val="24"/>
              </w:rPr>
            </w:pPr>
            <w:r w:rsidRPr="00AE2A03">
              <w:rPr>
                <w:rFonts w:eastAsia="Times New Roman" w:cs="Times New Roman"/>
                <w:b/>
                <w:bCs/>
                <w:noProof/>
                <w:color w:val="000000"/>
                <w:szCs w:val="24"/>
              </w:rPr>
              <w:t>-0.8</w:t>
            </w:r>
          </w:p>
        </w:tc>
      </w:tr>
    </w:tbl>
    <w:p w14:paraId="5E2A8045" w14:textId="79B7869F" w:rsidR="002B1A9C" w:rsidRPr="00F261DB" w:rsidRDefault="002B1A9C" w:rsidP="002B1A9C">
      <w:pPr>
        <w:rPr>
          <w:noProof/>
        </w:rPr>
      </w:pPr>
    </w:p>
    <w:p w14:paraId="38858D4F" w14:textId="7E34E9A9" w:rsidR="002B1A9C" w:rsidRPr="00F261DB" w:rsidRDefault="5F26E93E" w:rsidP="1A2A8689">
      <w:pPr>
        <w:spacing w:after="120"/>
        <w:rPr>
          <w:b/>
          <w:bCs/>
          <w:noProof/>
        </w:rPr>
      </w:pPr>
      <w:r>
        <w:rPr>
          <w:noProof/>
        </w:rPr>
        <w:t>The JRC-GEM-E3 reference scenario is in line with the trade projections used for analysis of policy options. International transport emissions due to all EU imports of “Manufacture of motor vehicles, trailers and semi-trailers” are calculated to be about 0.8</w:t>
      </w:r>
      <w:r w:rsidR="1AC6F867">
        <w:rPr>
          <w:noProof/>
        </w:rPr>
        <w:t xml:space="preserve"> Mtonnes </w:t>
      </w:r>
      <w:r>
        <w:rPr>
          <w:noProof/>
        </w:rPr>
        <w:t>CO</w:t>
      </w:r>
      <w:r w:rsidRPr="1A2A8689">
        <w:rPr>
          <w:noProof/>
          <w:vertAlign w:val="subscript"/>
        </w:rPr>
        <w:t>2</w:t>
      </w:r>
      <w:r>
        <w:rPr>
          <w:noProof/>
        </w:rPr>
        <w:t xml:space="preserve"> in 2025 and 2030. This is used to calculate the emission reduction in international transport, assuming reduced imports translate to emission reductions proportionally.</w:t>
      </w:r>
    </w:p>
    <w:p w14:paraId="45ECA819" w14:textId="756C0A82" w:rsidR="00CC2E31" w:rsidRPr="006A12A4" w:rsidRDefault="5F26E93E" w:rsidP="00501312">
      <w:pPr>
        <w:spacing w:after="120"/>
        <w:rPr>
          <w:b/>
          <w:noProof/>
        </w:rPr>
      </w:pPr>
      <w:r w:rsidRPr="00F261DB">
        <w:rPr>
          <w:noProof/>
        </w:rPr>
        <w:t>For the utili</w:t>
      </w:r>
      <w:r w:rsidR="74D7DE92">
        <w:rPr>
          <w:noProof/>
        </w:rPr>
        <w:t>sation</w:t>
      </w:r>
      <w:r w:rsidRPr="00F261DB">
        <w:rPr>
          <w:noProof/>
        </w:rPr>
        <w:t xml:space="preserve"> phase, different lifetime emissions from fuel use for ICEs, PHEVs and ICEs are derived and multiplied with EU sales.</w:t>
      </w:r>
      <w:r w:rsidR="002B1A9C" w:rsidRPr="00F261DB">
        <w:rPr>
          <w:rStyle w:val="FootnoteReference"/>
          <w:noProof/>
        </w:rPr>
        <w:footnoteReference w:id="315"/>
      </w:r>
      <w:r w:rsidRPr="00F261DB">
        <w:rPr>
          <w:noProof/>
        </w:rPr>
        <w:t xml:space="preserve"> Emissions attributed to the substitution of vehicles are accounted in the year when vehicles are purchased. An increasing share of EVs in the fuel mix is considered in line with the CO</w:t>
      </w:r>
      <w:r w:rsidRPr="00F03F9B">
        <w:rPr>
          <w:noProof/>
          <w:vertAlign w:val="subscript"/>
        </w:rPr>
        <w:t>2</w:t>
      </w:r>
      <w:r w:rsidRPr="00F261DB">
        <w:rPr>
          <w:noProof/>
        </w:rPr>
        <w:t xml:space="preserve"> standards for cars, implying a reduced impact in 2030 as substitution to ICE cars is increasingly limited.</w:t>
      </w:r>
      <w:r w:rsidR="7DA4BB4A">
        <w:rPr>
          <w:noProof/>
        </w:rPr>
        <w:t xml:space="preserve"> </w:t>
      </w:r>
    </w:p>
    <w:p w14:paraId="16C5BDBC" w14:textId="7CBF18A1" w:rsidR="005A3996" w:rsidRPr="00BA6C11" w:rsidRDefault="004C229D" w:rsidP="008A5A3D">
      <w:pPr>
        <w:pStyle w:val="ListParagraph"/>
        <w:keepNext/>
        <w:keepLines/>
        <w:numPr>
          <w:ilvl w:val="1"/>
          <w:numId w:val="157"/>
        </w:numPr>
        <w:spacing w:before="360" w:after="80"/>
        <w:outlineLvl w:val="0"/>
        <w:rPr>
          <w:rFonts w:eastAsia="Yu Gothic Light"/>
          <w:b/>
          <w:noProof/>
        </w:rPr>
      </w:pPr>
      <w:bookmarkStart w:id="298" w:name="_Toc212728810"/>
      <w:bookmarkStart w:id="299" w:name="_Toc212729084"/>
      <w:bookmarkStart w:id="300" w:name="_Toc212729336"/>
      <w:bookmarkStart w:id="301" w:name="_Toc215506280"/>
      <w:bookmarkStart w:id="302" w:name="_Toc222159331"/>
      <w:bookmarkStart w:id="303" w:name="_Toc222489535"/>
      <w:bookmarkStart w:id="304" w:name="_Toc222490024"/>
      <w:r w:rsidRPr="00E07DC2" w:rsidDel="00465893">
        <w:rPr>
          <w:rFonts w:eastAsia="Yu Gothic Light"/>
          <w:b/>
          <w:noProof/>
        </w:rPr>
        <w:t>Benefits</w:t>
      </w:r>
      <w:r w:rsidRPr="00E07DC2">
        <w:rPr>
          <w:rFonts w:eastAsia="Yu Gothic Light"/>
          <w:b/>
          <w:noProof/>
        </w:rPr>
        <w:t xml:space="preserve">: </w:t>
      </w:r>
      <w:r w:rsidR="00FF44A7" w:rsidRPr="00E07DC2">
        <w:rPr>
          <w:rFonts w:eastAsia="Yu Gothic Light"/>
          <w:b/>
          <w:noProof/>
        </w:rPr>
        <w:t xml:space="preserve">gross value added and </w:t>
      </w:r>
      <w:r w:rsidR="0069304C" w:rsidRPr="00E07DC2">
        <w:rPr>
          <w:rFonts w:eastAsia="Yu Gothic Light"/>
          <w:b/>
          <w:noProof/>
        </w:rPr>
        <w:t>employment</w:t>
      </w:r>
      <w:bookmarkEnd w:id="298"/>
      <w:bookmarkEnd w:id="299"/>
      <w:bookmarkEnd w:id="300"/>
      <w:bookmarkEnd w:id="301"/>
      <w:bookmarkEnd w:id="302"/>
      <w:bookmarkEnd w:id="303"/>
      <w:bookmarkEnd w:id="304"/>
    </w:p>
    <w:p w14:paraId="6C82BDB6" w14:textId="674680BD" w:rsidR="008A5A3D" w:rsidRPr="005A3996" w:rsidRDefault="005A3996" w:rsidP="008A5A3D">
      <w:pPr>
        <w:pStyle w:val="JRCText"/>
        <w:jc w:val="both"/>
        <w:rPr>
          <w:rFonts w:ascii="Times New Roman" w:hAnsi="Times New Roman" w:cs="Times New Roman"/>
          <w:b/>
          <w:noProof/>
          <w:sz w:val="24"/>
          <w:szCs w:val="20"/>
        </w:rPr>
      </w:pPr>
      <w:r w:rsidRPr="005A3996">
        <w:rPr>
          <w:rFonts w:ascii="Times New Roman" w:hAnsi="Times New Roman" w:cs="Times New Roman"/>
          <w:b/>
          <w:bCs/>
          <w:noProof/>
          <w:sz w:val="24"/>
          <w:szCs w:val="20"/>
        </w:rPr>
        <w:t>Employment</w:t>
      </w:r>
    </w:p>
    <w:p w14:paraId="6951E81C" w14:textId="214AA0C2" w:rsidR="008A5A3D" w:rsidRDefault="008A5A3D" w:rsidP="00E052E7">
      <w:pPr>
        <w:pStyle w:val="Caption"/>
        <w:keepNext/>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sidR="00E16D65">
        <w:rPr>
          <w:noProof/>
        </w:rPr>
        <w:t>8</w:t>
      </w:r>
      <w:r>
        <w:rPr>
          <w:noProof/>
        </w:rPr>
        <w:fldChar w:fldCharType="end"/>
      </w:r>
      <w:r>
        <w:rPr>
          <w:noProof/>
        </w:rPr>
        <w:t xml:space="preserve">: </w:t>
      </w:r>
      <w:r w:rsidRPr="617D0D8B">
        <w:rPr>
          <w:i w:val="0"/>
          <w:noProof/>
        </w:rPr>
        <w:t>Summary of LEAD benefits: jobs gained or preserved</w:t>
      </w:r>
    </w:p>
    <w:p w14:paraId="4ACC80CC" w14:textId="7230B044" w:rsidR="005C0D98" w:rsidRPr="005C0D98" w:rsidRDefault="005C0D98" w:rsidP="00E71388">
      <w:pPr>
        <w:rPr>
          <w:noProof/>
        </w:rPr>
      </w:pPr>
    </w:p>
    <w:tbl>
      <w:tblPr>
        <w:tblStyle w:val="TableGrid"/>
        <w:tblW w:w="94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3"/>
        <w:gridCol w:w="2366"/>
        <w:gridCol w:w="2373"/>
        <w:gridCol w:w="2369"/>
      </w:tblGrid>
      <w:tr w:rsidR="00DF24FE" w:rsidRPr="006A12A4" w14:paraId="559D9C09" w14:textId="77777777" w:rsidTr="000D51C0">
        <w:trPr>
          <w:trHeight w:val="300"/>
          <w:tblHeader/>
        </w:trPr>
        <w:tc>
          <w:tcPr>
            <w:tcW w:w="2374" w:type="dxa"/>
            <w:vAlign w:val="center"/>
          </w:tcPr>
          <w:p w14:paraId="53E9796E" w14:textId="77777777" w:rsidR="009B67A8" w:rsidRPr="00E71388" w:rsidRDefault="009B67A8" w:rsidP="00E71388">
            <w:pPr>
              <w:pStyle w:val="JRCText"/>
              <w:jc w:val="center"/>
              <w:rPr>
                <w:rFonts w:ascii="Times New Roman" w:hAnsi="Times New Roman"/>
                <w:noProof/>
                <w:sz w:val="24"/>
                <w:szCs w:val="24"/>
              </w:rPr>
            </w:pPr>
          </w:p>
        </w:tc>
        <w:tc>
          <w:tcPr>
            <w:tcW w:w="2363" w:type="dxa"/>
            <w:shd w:val="clear" w:color="auto" w:fill="0070C0"/>
            <w:vAlign w:val="center"/>
          </w:tcPr>
          <w:p w14:paraId="3EE44BB3" w14:textId="77777777" w:rsidR="009B67A8" w:rsidRPr="00E71388" w:rsidRDefault="009B67A8">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PO1</w:t>
            </w:r>
          </w:p>
        </w:tc>
        <w:tc>
          <w:tcPr>
            <w:tcW w:w="2374" w:type="dxa"/>
            <w:shd w:val="clear" w:color="auto" w:fill="0070C0"/>
            <w:vAlign w:val="center"/>
          </w:tcPr>
          <w:p w14:paraId="5738EA97" w14:textId="77777777" w:rsidR="009B67A8" w:rsidRPr="00E71388" w:rsidRDefault="009B67A8">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PO2</w:t>
            </w:r>
          </w:p>
        </w:tc>
        <w:tc>
          <w:tcPr>
            <w:tcW w:w="2370" w:type="dxa"/>
            <w:shd w:val="clear" w:color="auto" w:fill="0070C0"/>
            <w:vAlign w:val="center"/>
          </w:tcPr>
          <w:p w14:paraId="3D8C9785" w14:textId="17AA8793" w:rsidR="009B67A8" w:rsidRPr="00E71388" w:rsidRDefault="009B67A8">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PO3</w:t>
            </w:r>
          </w:p>
        </w:tc>
      </w:tr>
      <w:tr w:rsidR="009B67A8" w:rsidRPr="006A12A4" w14:paraId="23C3F2FE" w14:textId="77777777" w:rsidTr="000D51C0">
        <w:trPr>
          <w:trHeight w:val="300"/>
        </w:trPr>
        <w:tc>
          <w:tcPr>
            <w:tcW w:w="2374" w:type="dxa"/>
            <w:vAlign w:val="center"/>
          </w:tcPr>
          <w:p w14:paraId="1A77F37E" w14:textId="76F16E38" w:rsidR="009B67A8" w:rsidRPr="00E71388" w:rsidRDefault="009B67A8" w:rsidP="00E71388">
            <w:pPr>
              <w:pStyle w:val="JRCText"/>
              <w:jc w:val="center"/>
              <w:rPr>
                <w:rFonts w:ascii="Times New Roman" w:hAnsi="Times New Roman"/>
                <w:i/>
                <w:noProof/>
                <w:sz w:val="24"/>
                <w:szCs w:val="24"/>
              </w:rPr>
            </w:pPr>
            <w:r w:rsidRPr="00E71388">
              <w:rPr>
                <w:rFonts w:ascii="Times New Roman" w:hAnsi="Times New Roman"/>
                <w:i/>
                <w:noProof/>
                <w:sz w:val="24"/>
                <w:szCs w:val="24"/>
              </w:rPr>
              <w:t>LEAD_EII</w:t>
            </w:r>
          </w:p>
        </w:tc>
        <w:tc>
          <w:tcPr>
            <w:tcW w:w="2363" w:type="dxa"/>
            <w:vAlign w:val="center"/>
          </w:tcPr>
          <w:p w14:paraId="35FBAE4D" w14:textId="271E4CFC" w:rsidR="009B67A8" w:rsidRPr="00E71388" w:rsidRDefault="009B67A8" w:rsidP="00E71388">
            <w:pPr>
              <w:pStyle w:val="JRCText"/>
              <w:jc w:val="center"/>
              <w:rPr>
                <w:rFonts w:ascii="Times New Roman" w:hAnsi="Times New Roman"/>
                <w:noProof/>
                <w:sz w:val="24"/>
                <w:szCs w:val="24"/>
              </w:rPr>
            </w:pPr>
          </w:p>
        </w:tc>
        <w:tc>
          <w:tcPr>
            <w:tcW w:w="2374" w:type="dxa"/>
            <w:vAlign w:val="center"/>
          </w:tcPr>
          <w:p w14:paraId="5002D888" w14:textId="7663EC30" w:rsidR="2AA52E90" w:rsidRPr="00E71388" w:rsidRDefault="6B9F0C91" w:rsidP="0E594760">
            <w:pPr>
              <w:pStyle w:val="JRCText"/>
              <w:jc w:val="center"/>
              <w:rPr>
                <w:rFonts w:ascii="Times New Roman" w:hAnsi="Times New Roman"/>
                <w:noProof/>
                <w:sz w:val="24"/>
                <w:szCs w:val="24"/>
              </w:rPr>
            </w:pPr>
            <w:r w:rsidRPr="7ECD02B7">
              <w:rPr>
                <w:rFonts w:ascii="Times New Roman" w:hAnsi="Times New Roman"/>
                <w:noProof/>
                <w:sz w:val="24"/>
                <w:szCs w:val="24"/>
              </w:rPr>
              <w:t>Low</w:t>
            </w:r>
            <w:r w:rsidR="00966BD0" w:rsidRPr="7ECD02B7">
              <w:rPr>
                <w:rFonts w:ascii="Times New Roman" w:hAnsi="Times New Roman"/>
                <w:noProof/>
                <w:sz w:val="24"/>
                <w:szCs w:val="24"/>
              </w:rPr>
              <w:t>-</w:t>
            </w:r>
            <w:r w:rsidRPr="7ECD02B7">
              <w:rPr>
                <w:rFonts w:ascii="Times New Roman" w:hAnsi="Times New Roman"/>
                <w:noProof/>
                <w:sz w:val="24"/>
                <w:szCs w:val="24"/>
              </w:rPr>
              <w:t xml:space="preserve">carbon steel: </w:t>
            </w:r>
          </w:p>
          <w:p w14:paraId="53604109" w14:textId="1BE2446F" w:rsidR="2AA52E90" w:rsidRPr="00E71388" w:rsidRDefault="7BA5117B" w:rsidP="1A2A8689">
            <w:pPr>
              <w:pStyle w:val="JRCText"/>
              <w:jc w:val="center"/>
              <w:rPr>
                <w:rFonts w:ascii="Times New Roman" w:hAnsi="Times New Roman"/>
                <w:noProof/>
                <w:sz w:val="24"/>
                <w:szCs w:val="24"/>
              </w:rPr>
            </w:pPr>
            <w:r w:rsidRPr="1FA04443">
              <w:rPr>
                <w:rFonts w:ascii="Times New Roman" w:hAnsi="Times New Roman"/>
                <w:noProof/>
                <w:sz w:val="24"/>
                <w:szCs w:val="24"/>
              </w:rPr>
              <w:t xml:space="preserve">Up to </w:t>
            </w:r>
            <w:r w:rsidR="16B29151" w:rsidRPr="1A2A8689">
              <w:rPr>
                <w:rFonts w:ascii="Times New Roman" w:hAnsi="Times New Roman"/>
                <w:noProof/>
                <w:sz w:val="24"/>
                <w:szCs w:val="24"/>
              </w:rPr>
              <w:t>4</w:t>
            </w:r>
            <w:r w:rsidR="45E14CE0" w:rsidRPr="1A2A8689">
              <w:rPr>
                <w:rFonts w:ascii="Times New Roman" w:hAnsi="Times New Roman"/>
                <w:noProof/>
                <w:sz w:val="24"/>
                <w:szCs w:val="24"/>
              </w:rPr>
              <w:t xml:space="preserve"> </w:t>
            </w:r>
            <w:r w:rsidR="16B29151" w:rsidRPr="1A2A8689">
              <w:rPr>
                <w:rFonts w:ascii="Times New Roman" w:hAnsi="Times New Roman"/>
                <w:noProof/>
                <w:sz w:val="24"/>
                <w:szCs w:val="24"/>
              </w:rPr>
              <w:t>500 jobs</w:t>
            </w:r>
            <w:r w:rsidR="00A5293C">
              <w:rPr>
                <w:rFonts w:ascii="Times New Roman" w:hAnsi="Times New Roman"/>
                <w:noProof/>
                <w:sz w:val="24"/>
                <w:szCs w:val="24"/>
              </w:rPr>
              <w:t xml:space="preserve"> (preserved)</w:t>
            </w:r>
            <w:r w:rsidR="616EC989" w:rsidRPr="1A2A8689">
              <w:rPr>
                <w:rFonts w:ascii="Times New Roman" w:hAnsi="Times New Roman"/>
                <w:noProof/>
                <w:sz w:val="24"/>
                <w:szCs w:val="24"/>
              </w:rPr>
              <w:t xml:space="preserve"> </w:t>
            </w:r>
            <w:r w:rsidR="00C331D7" w:rsidRPr="1A2A8689">
              <w:rPr>
                <w:rStyle w:val="FootnoteReference"/>
                <w:rFonts w:ascii="Times New Roman" w:hAnsi="Times New Roman"/>
                <w:noProof/>
                <w:sz w:val="24"/>
                <w:szCs w:val="24"/>
              </w:rPr>
              <w:footnoteReference w:id="316"/>
            </w:r>
          </w:p>
          <w:p w14:paraId="2666BBFF" w14:textId="57F92C62" w:rsidR="009B67A8" w:rsidRPr="00E71388" w:rsidRDefault="0EA86E75" w:rsidP="00E71388">
            <w:pPr>
              <w:pStyle w:val="JRCText"/>
              <w:jc w:val="center"/>
              <w:rPr>
                <w:rFonts w:ascii="Times New Roman" w:hAnsi="Times New Roman"/>
                <w:noProof/>
                <w:sz w:val="24"/>
                <w:szCs w:val="24"/>
              </w:rPr>
            </w:pPr>
            <w:r w:rsidRPr="1FA04443">
              <w:rPr>
                <w:rFonts w:ascii="Times New Roman" w:hAnsi="Times New Roman"/>
                <w:noProof/>
                <w:sz w:val="24"/>
                <w:szCs w:val="24"/>
              </w:rPr>
              <w:t xml:space="preserve">Total: </w:t>
            </w:r>
            <w:r w:rsidR="3273D201" w:rsidRPr="1FA04443">
              <w:rPr>
                <w:rFonts w:ascii="Times New Roman" w:hAnsi="Times New Roman"/>
                <w:noProof/>
                <w:sz w:val="24"/>
                <w:szCs w:val="24"/>
              </w:rPr>
              <w:t>up to</w:t>
            </w:r>
            <w:r w:rsidR="008C7BE2">
              <w:rPr>
                <w:rFonts w:ascii="Times New Roman" w:hAnsi="Times New Roman"/>
                <w:noProof/>
                <w:sz w:val="24"/>
                <w:szCs w:val="24"/>
              </w:rPr>
              <w:t xml:space="preserve"> </w:t>
            </w:r>
            <w:r w:rsidR="00F5107F">
              <w:rPr>
                <w:rFonts w:ascii="Times New Roman" w:hAnsi="Times New Roman"/>
                <w:noProof/>
                <w:sz w:val="24"/>
                <w:szCs w:val="24"/>
              </w:rPr>
              <w:t>4 500</w:t>
            </w:r>
            <w:r w:rsidR="7A70123A" w:rsidRPr="00C84BC0">
              <w:rPr>
                <w:rFonts w:ascii="Times New Roman" w:hAnsi="Times New Roman"/>
                <w:noProof/>
                <w:sz w:val="24"/>
                <w:szCs w:val="24"/>
              </w:rPr>
              <w:t xml:space="preserve"> jo</w:t>
            </w:r>
            <w:r w:rsidR="7A70123A" w:rsidRPr="1FA04443">
              <w:rPr>
                <w:rFonts w:ascii="Times New Roman" w:hAnsi="Times New Roman"/>
                <w:noProof/>
                <w:sz w:val="24"/>
                <w:szCs w:val="24"/>
              </w:rPr>
              <w:t>bs</w:t>
            </w:r>
          </w:p>
        </w:tc>
        <w:tc>
          <w:tcPr>
            <w:tcW w:w="2370" w:type="dxa"/>
            <w:vAlign w:val="center"/>
          </w:tcPr>
          <w:p w14:paraId="5DE66294" w14:textId="77840575" w:rsidR="004C3422" w:rsidRPr="00E71388" w:rsidRDefault="46DD6C78" w:rsidP="11E737B6">
            <w:pPr>
              <w:pStyle w:val="JRCText"/>
              <w:jc w:val="center"/>
              <w:rPr>
                <w:rFonts w:ascii="Times New Roman" w:hAnsi="Times New Roman"/>
                <w:noProof/>
                <w:sz w:val="24"/>
                <w:szCs w:val="24"/>
              </w:rPr>
            </w:pPr>
            <w:r w:rsidRPr="1FA04443">
              <w:rPr>
                <w:rFonts w:ascii="Times New Roman" w:hAnsi="Times New Roman"/>
                <w:noProof/>
                <w:sz w:val="24"/>
                <w:szCs w:val="24"/>
              </w:rPr>
              <w:t>Made in EU cement</w:t>
            </w:r>
            <w:r w:rsidR="4B48A079" w:rsidRPr="1FA04443">
              <w:rPr>
                <w:rFonts w:ascii="Times New Roman" w:hAnsi="Times New Roman"/>
                <w:noProof/>
                <w:sz w:val="24"/>
                <w:szCs w:val="24"/>
              </w:rPr>
              <w:t xml:space="preserve">: </w:t>
            </w:r>
          </w:p>
          <w:p w14:paraId="22837C8E" w14:textId="7B88EBA2" w:rsidR="004C3422" w:rsidRPr="00C84BC0" w:rsidRDefault="4B48A079" w:rsidP="1FA04443">
            <w:pPr>
              <w:pStyle w:val="JRCText"/>
              <w:jc w:val="center"/>
              <w:rPr>
                <w:rFonts w:ascii="Times New Roman" w:hAnsi="Times New Roman"/>
                <w:noProof/>
                <w:sz w:val="24"/>
                <w:szCs w:val="24"/>
              </w:rPr>
            </w:pPr>
            <w:r w:rsidRPr="00C84BC0">
              <w:rPr>
                <w:rFonts w:ascii="Times New Roman" w:hAnsi="Times New Roman"/>
                <w:noProof/>
                <w:sz w:val="24"/>
                <w:szCs w:val="24"/>
              </w:rPr>
              <w:t>4</w:t>
            </w:r>
            <w:r w:rsidR="35D02627" w:rsidRPr="00C84BC0">
              <w:rPr>
                <w:rFonts w:ascii="Times New Roman" w:hAnsi="Times New Roman"/>
                <w:noProof/>
                <w:sz w:val="24"/>
                <w:szCs w:val="24"/>
              </w:rPr>
              <w:t xml:space="preserve"> </w:t>
            </w:r>
            <w:r w:rsidRPr="00C84BC0">
              <w:rPr>
                <w:rFonts w:ascii="Times New Roman" w:hAnsi="Times New Roman"/>
                <w:noProof/>
                <w:sz w:val="24"/>
                <w:szCs w:val="24"/>
              </w:rPr>
              <w:t>272 jobs</w:t>
            </w:r>
            <w:r w:rsidR="001538E5">
              <w:rPr>
                <w:rFonts w:ascii="Times New Roman" w:hAnsi="Times New Roman"/>
                <w:noProof/>
                <w:sz w:val="24"/>
                <w:szCs w:val="24"/>
              </w:rPr>
              <w:t xml:space="preserve"> (preserved)</w:t>
            </w:r>
          </w:p>
          <w:p w14:paraId="03477D13" w14:textId="6A1C7FC9" w:rsidR="002D73EC" w:rsidRPr="00E71388" w:rsidRDefault="7A63F7E8" w:rsidP="00E71388">
            <w:pPr>
              <w:pStyle w:val="JRCText"/>
              <w:jc w:val="center"/>
              <w:rPr>
                <w:rFonts w:ascii="Times New Roman" w:hAnsi="Times New Roman"/>
                <w:noProof/>
                <w:sz w:val="24"/>
                <w:szCs w:val="24"/>
              </w:rPr>
            </w:pPr>
            <w:r w:rsidRPr="1FA04443">
              <w:rPr>
                <w:rFonts w:ascii="Times New Roman" w:hAnsi="Times New Roman"/>
                <w:noProof/>
                <w:sz w:val="24"/>
                <w:szCs w:val="24"/>
              </w:rPr>
              <w:t xml:space="preserve">Made in EU steel and aluminium: </w:t>
            </w:r>
            <w:r w:rsidRPr="00C84BC0">
              <w:rPr>
                <w:rFonts w:ascii="Times New Roman" w:hAnsi="Times New Roman"/>
                <w:noProof/>
                <w:sz w:val="24"/>
                <w:szCs w:val="24"/>
              </w:rPr>
              <w:t>3</w:t>
            </w:r>
            <w:r w:rsidR="217EA473" w:rsidRPr="00C84BC0">
              <w:rPr>
                <w:rFonts w:ascii="Times New Roman" w:hAnsi="Times New Roman"/>
                <w:noProof/>
                <w:sz w:val="24"/>
                <w:szCs w:val="24"/>
              </w:rPr>
              <w:t xml:space="preserve"> </w:t>
            </w:r>
            <w:r w:rsidRPr="1FA04443">
              <w:rPr>
                <w:rFonts w:ascii="Times New Roman" w:hAnsi="Times New Roman"/>
                <w:noProof/>
                <w:sz w:val="24"/>
                <w:szCs w:val="24"/>
              </w:rPr>
              <w:t>762 jobs</w:t>
            </w:r>
            <w:r w:rsidR="001538E5">
              <w:rPr>
                <w:rFonts w:ascii="Times New Roman" w:hAnsi="Times New Roman"/>
                <w:noProof/>
                <w:sz w:val="24"/>
                <w:szCs w:val="24"/>
              </w:rPr>
              <w:t xml:space="preserve"> (preserved)</w:t>
            </w:r>
          </w:p>
          <w:p w14:paraId="0EF64BDC" w14:textId="6516D0A0" w:rsidR="00840B5A" w:rsidRPr="00E71388" w:rsidRDefault="7E2E1DA8" w:rsidP="1F2DAD87">
            <w:pPr>
              <w:pStyle w:val="JRCText"/>
              <w:jc w:val="center"/>
              <w:rPr>
                <w:rFonts w:ascii="Times New Roman" w:hAnsi="Times New Roman"/>
                <w:noProof/>
                <w:sz w:val="24"/>
                <w:szCs w:val="24"/>
              </w:rPr>
            </w:pPr>
            <w:r w:rsidRPr="1FA04443">
              <w:rPr>
                <w:rFonts w:ascii="Times New Roman" w:hAnsi="Times New Roman"/>
                <w:noProof/>
                <w:sz w:val="24"/>
                <w:szCs w:val="24"/>
              </w:rPr>
              <w:t>Low</w:t>
            </w:r>
            <w:r w:rsidR="00966BD0">
              <w:rPr>
                <w:rFonts w:ascii="Times New Roman" w:hAnsi="Times New Roman"/>
                <w:noProof/>
                <w:sz w:val="24"/>
                <w:szCs w:val="24"/>
              </w:rPr>
              <w:t>-</w:t>
            </w:r>
            <w:r w:rsidRPr="1FA04443">
              <w:rPr>
                <w:rFonts w:ascii="Times New Roman" w:hAnsi="Times New Roman"/>
                <w:noProof/>
                <w:sz w:val="24"/>
                <w:szCs w:val="24"/>
              </w:rPr>
              <w:t xml:space="preserve">carbon steel: </w:t>
            </w:r>
          </w:p>
          <w:p w14:paraId="40A7B88D" w14:textId="6EE6E456" w:rsidR="00840B5A" w:rsidRPr="00E71388" w:rsidRDefault="438CEC15" w:rsidP="1A2A8689">
            <w:pPr>
              <w:pStyle w:val="JRCText"/>
              <w:jc w:val="center"/>
              <w:rPr>
                <w:rFonts w:ascii="Times New Roman" w:hAnsi="Times New Roman"/>
                <w:noProof/>
                <w:sz w:val="24"/>
                <w:szCs w:val="24"/>
              </w:rPr>
            </w:pPr>
            <w:r w:rsidRPr="1FA04443">
              <w:rPr>
                <w:rFonts w:ascii="Times New Roman" w:hAnsi="Times New Roman"/>
                <w:noProof/>
                <w:sz w:val="24"/>
                <w:szCs w:val="24"/>
              </w:rPr>
              <w:t xml:space="preserve">up to </w:t>
            </w:r>
            <w:r w:rsidR="7E2E1DA8" w:rsidRPr="1FA04443">
              <w:rPr>
                <w:rFonts w:ascii="Times New Roman" w:hAnsi="Times New Roman"/>
                <w:noProof/>
                <w:sz w:val="24"/>
                <w:szCs w:val="24"/>
              </w:rPr>
              <w:t>4</w:t>
            </w:r>
            <w:r w:rsidR="45E14CE0" w:rsidRPr="1FA04443">
              <w:rPr>
                <w:rFonts w:ascii="Times New Roman" w:hAnsi="Times New Roman"/>
                <w:noProof/>
                <w:sz w:val="24"/>
                <w:szCs w:val="24"/>
              </w:rPr>
              <w:t xml:space="preserve"> </w:t>
            </w:r>
            <w:r w:rsidR="7E2E1DA8" w:rsidRPr="1FA04443">
              <w:rPr>
                <w:rFonts w:ascii="Times New Roman" w:hAnsi="Times New Roman"/>
                <w:noProof/>
                <w:sz w:val="24"/>
                <w:szCs w:val="24"/>
              </w:rPr>
              <w:t>500 jobs</w:t>
            </w:r>
            <w:r w:rsidR="00A5293C">
              <w:rPr>
                <w:rFonts w:ascii="Times New Roman" w:hAnsi="Times New Roman"/>
                <w:noProof/>
                <w:sz w:val="24"/>
                <w:szCs w:val="24"/>
              </w:rPr>
              <w:t xml:space="preserve"> (preserved)</w:t>
            </w:r>
          </w:p>
          <w:p w14:paraId="07DC26AA" w14:textId="3D7EC924" w:rsidR="009B67A8" w:rsidRPr="00E71388" w:rsidRDefault="272862E2" w:rsidP="00E71388">
            <w:pPr>
              <w:pStyle w:val="JRCText"/>
              <w:jc w:val="center"/>
              <w:rPr>
                <w:rFonts w:ascii="Times New Roman" w:hAnsi="Times New Roman"/>
                <w:noProof/>
                <w:sz w:val="24"/>
                <w:szCs w:val="24"/>
              </w:rPr>
            </w:pPr>
            <w:r w:rsidRPr="7ECD02B7">
              <w:rPr>
                <w:rFonts w:ascii="Times New Roman" w:hAnsi="Times New Roman"/>
                <w:noProof/>
                <w:sz w:val="24"/>
                <w:szCs w:val="24"/>
              </w:rPr>
              <w:lastRenderedPageBreak/>
              <w:t>Total</w:t>
            </w:r>
            <w:r w:rsidR="34611B9C" w:rsidRPr="7ECD02B7">
              <w:rPr>
                <w:rFonts w:ascii="Times New Roman" w:hAnsi="Times New Roman"/>
                <w:noProof/>
                <w:sz w:val="24"/>
                <w:szCs w:val="24"/>
              </w:rPr>
              <w:t xml:space="preserve">: </w:t>
            </w:r>
            <w:r w:rsidR="3B64AEA3" w:rsidRPr="7ECD02B7">
              <w:rPr>
                <w:rFonts w:ascii="Times New Roman" w:hAnsi="Times New Roman"/>
                <w:noProof/>
                <w:sz w:val="24"/>
                <w:szCs w:val="24"/>
              </w:rPr>
              <w:t xml:space="preserve">up to </w:t>
            </w:r>
            <w:r w:rsidR="18AF2F0B" w:rsidRPr="7ECD02B7">
              <w:rPr>
                <w:rFonts w:ascii="Times New Roman" w:hAnsi="Times New Roman"/>
                <w:noProof/>
                <w:sz w:val="24"/>
                <w:szCs w:val="24"/>
              </w:rPr>
              <w:t>12</w:t>
            </w:r>
            <w:r w:rsidR="45E14CE0" w:rsidRPr="7ECD02B7">
              <w:rPr>
                <w:rFonts w:ascii="Times New Roman" w:hAnsi="Times New Roman"/>
                <w:noProof/>
                <w:sz w:val="24"/>
                <w:szCs w:val="24"/>
              </w:rPr>
              <w:t xml:space="preserve"> </w:t>
            </w:r>
            <w:r w:rsidR="18AF2F0B" w:rsidRPr="7ECD02B7">
              <w:rPr>
                <w:rFonts w:ascii="Times New Roman" w:hAnsi="Times New Roman"/>
                <w:noProof/>
                <w:sz w:val="24"/>
                <w:szCs w:val="24"/>
              </w:rPr>
              <w:t>534</w:t>
            </w:r>
            <w:r w:rsidR="7C69045D" w:rsidRPr="7ECD02B7">
              <w:rPr>
                <w:rFonts w:ascii="Times New Roman" w:hAnsi="Times New Roman"/>
                <w:noProof/>
                <w:sz w:val="24"/>
                <w:szCs w:val="24"/>
              </w:rPr>
              <w:t xml:space="preserve"> jobs</w:t>
            </w:r>
          </w:p>
        </w:tc>
      </w:tr>
      <w:tr w:rsidR="009B67A8" w:rsidRPr="006A12A4" w14:paraId="4922DBD8" w14:textId="77777777" w:rsidTr="000D51C0">
        <w:trPr>
          <w:trHeight w:val="300"/>
        </w:trPr>
        <w:tc>
          <w:tcPr>
            <w:tcW w:w="2374" w:type="dxa"/>
            <w:vAlign w:val="center"/>
          </w:tcPr>
          <w:p w14:paraId="2F4DCCB2" w14:textId="77777777" w:rsidR="009B67A8" w:rsidRPr="00E71388" w:rsidRDefault="009B67A8" w:rsidP="00E71388">
            <w:pPr>
              <w:pStyle w:val="JRCText"/>
              <w:jc w:val="center"/>
              <w:rPr>
                <w:rFonts w:ascii="Times New Roman" w:hAnsi="Times New Roman"/>
                <w:i/>
                <w:noProof/>
                <w:sz w:val="24"/>
                <w:szCs w:val="24"/>
              </w:rPr>
            </w:pPr>
            <w:r w:rsidRPr="00E71388">
              <w:rPr>
                <w:rFonts w:ascii="Times New Roman" w:hAnsi="Times New Roman"/>
                <w:i/>
                <w:noProof/>
                <w:sz w:val="24"/>
                <w:szCs w:val="24"/>
              </w:rPr>
              <w:lastRenderedPageBreak/>
              <w:t>LEAD_BAT</w:t>
            </w:r>
          </w:p>
        </w:tc>
        <w:tc>
          <w:tcPr>
            <w:tcW w:w="4737" w:type="dxa"/>
            <w:gridSpan w:val="2"/>
            <w:vAlign w:val="center"/>
          </w:tcPr>
          <w:p w14:paraId="1CF18D78" w14:textId="5EDA88D6" w:rsidR="009B67A8" w:rsidRPr="00E71388" w:rsidRDefault="00B12D75" w:rsidP="00E71388">
            <w:pPr>
              <w:pStyle w:val="JRCText"/>
              <w:jc w:val="center"/>
              <w:rPr>
                <w:rFonts w:ascii="Times New Roman" w:hAnsi="Times New Roman"/>
                <w:noProof/>
                <w:sz w:val="24"/>
                <w:szCs w:val="24"/>
              </w:rPr>
            </w:pPr>
            <w:r w:rsidRPr="00E71388">
              <w:rPr>
                <w:rFonts w:ascii="Times New Roman" w:hAnsi="Times New Roman"/>
                <w:noProof/>
                <w:sz w:val="24"/>
                <w:szCs w:val="24"/>
              </w:rPr>
              <w:t>85</w:t>
            </w:r>
            <w:r w:rsidR="00B8591D">
              <w:rPr>
                <w:rFonts w:ascii="Times New Roman" w:hAnsi="Times New Roman"/>
                <w:noProof/>
                <w:sz w:val="24"/>
                <w:szCs w:val="24"/>
              </w:rPr>
              <w:t xml:space="preserve"> </w:t>
            </w:r>
            <w:r w:rsidRPr="00E71388">
              <w:rPr>
                <w:rFonts w:ascii="Times New Roman" w:hAnsi="Times New Roman"/>
                <w:noProof/>
                <w:sz w:val="24"/>
                <w:szCs w:val="24"/>
              </w:rPr>
              <w:t>000 jobs</w:t>
            </w:r>
            <w:r w:rsidR="00A5293C">
              <w:rPr>
                <w:rFonts w:ascii="Times New Roman" w:hAnsi="Times New Roman"/>
                <w:noProof/>
                <w:sz w:val="24"/>
                <w:szCs w:val="24"/>
              </w:rPr>
              <w:t xml:space="preserve"> (new)</w:t>
            </w:r>
          </w:p>
        </w:tc>
        <w:tc>
          <w:tcPr>
            <w:tcW w:w="2370" w:type="dxa"/>
            <w:vAlign w:val="center"/>
          </w:tcPr>
          <w:p w14:paraId="78AB623C" w14:textId="5B9EC5E6" w:rsidR="00B12D75" w:rsidRPr="00E71388" w:rsidRDefault="24855613" w:rsidP="00E71388">
            <w:pPr>
              <w:pStyle w:val="JRCText"/>
              <w:jc w:val="center"/>
              <w:rPr>
                <w:rFonts w:ascii="Times New Roman" w:hAnsi="Times New Roman"/>
                <w:noProof/>
                <w:sz w:val="24"/>
                <w:szCs w:val="24"/>
              </w:rPr>
            </w:pPr>
            <w:r w:rsidRPr="38BBBED6">
              <w:rPr>
                <w:rFonts w:ascii="Times New Roman" w:hAnsi="Times New Roman"/>
                <w:noProof/>
                <w:sz w:val="24"/>
                <w:szCs w:val="24"/>
              </w:rPr>
              <w:t>85</w:t>
            </w:r>
            <w:r w:rsidR="00B8591D" w:rsidRPr="38BBBED6">
              <w:rPr>
                <w:rFonts w:ascii="Times New Roman" w:hAnsi="Times New Roman"/>
                <w:noProof/>
                <w:sz w:val="24"/>
                <w:szCs w:val="24"/>
              </w:rPr>
              <w:t xml:space="preserve"> </w:t>
            </w:r>
            <w:r w:rsidRPr="38BBBED6">
              <w:rPr>
                <w:rFonts w:ascii="Times New Roman" w:hAnsi="Times New Roman"/>
                <w:noProof/>
                <w:sz w:val="24"/>
                <w:szCs w:val="24"/>
              </w:rPr>
              <w:t>000</w:t>
            </w:r>
            <w:r w:rsidR="43603A77" w:rsidRPr="38BBBED6">
              <w:rPr>
                <w:rFonts w:ascii="Times New Roman" w:hAnsi="Times New Roman"/>
                <w:noProof/>
                <w:sz w:val="24"/>
                <w:szCs w:val="24"/>
              </w:rPr>
              <w:t xml:space="preserve"> jobs</w:t>
            </w:r>
            <w:r w:rsidR="00A5293C">
              <w:rPr>
                <w:rFonts w:ascii="Times New Roman" w:hAnsi="Times New Roman"/>
                <w:noProof/>
                <w:sz w:val="24"/>
                <w:szCs w:val="24"/>
              </w:rPr>
              <w:t xml:space="preserve"> (new)</w:t>
            </w:r>
          </w:p>
          <w:p w14:paraId="79CD0417" w14:textId="7982EAA9" w:rsidR="009B67A8" w:rsidRPr="00E71388" w:rsidRDefault="001A2DD9" w:rsidP="00E71388">
            <w:pPr>
              <w:pStyle w:val="JRCText"/>
              <w:jc w:val="center"/>
              <w:rPr>
                <w:rFonts w:ascii="Times New Roman" w:hAnsi="Times New Roman"/>
                <w:noProof/>
                <w:sz w:val="24"/>
                <w:szCs w:val="24"/>
              </w:rPr>
            </w:pPr>
            <w:r w:rsidRPr="00E71388">
              <w:rPr>
                <w:rFonts w:ascii="Times New Roman" w:hAnsi="Times New Roman"/>
                <w:noProof/>
                <w:sz w:val="24"/>
                <w:szCs w:val="24"/>
              </w:rPr>
              <w:t>(More jobs expected but cannot be quantified)</w:t>
            </w:r>
          </w:p>
        </w:tc>
      </w:tr>
      <w:tr w:rsidR="009B67A8" w:rsidRPr="006A12A4" w14:paraId="470F0BC5" w14:textId="77777777" w:rsidTr="000D51C0">
        <w:trPr>
          <w:trHeight w:val="1957"/>
        </w:trPr>
        <w:tc>
          <w:tcPr>
            <w:tcW w:w="2374" w:type="dxa"/>
            <w:vAlign w:val="center"/>
          </w:tcPr>
          <w:p w14:paraId="5958C01D" w14:textId="1FCA0781" w:rsidR="009B67A8" w:rsidRPr="00E71388" w:rsidRDefault="009B67A8" w:rsidP="00E71388">
            <w:pPr>
              <w:pStyle w:val="JRCText"/>
              <w:jc w:val="center"/>
              <w:rPr>
                <w:rFonts w:ascii="Times New Roman" w:hAnsi="Times New Roman"/>
                <w:i/>
                <w:noProof/>
                <w:sz w:val="24"/>
                <w:szCs w:val="24"/>
              </w:rPr>
            </w:pPr>
            <w:r w:rsidRPr="00E71388">
              <w:rPr>
                <w:rFonts w:ascii="Times New Roman" w:hAnsi="Times New Roman"/>
                <w:i/>
                <w:noProof/>
                <w:sz w:val="24"/>
                <w:szCs w:val="24"/>
              </w:rPr>
              <w:t>LEAD_</w:t>
            </w:r>
            <w:r w:rsidR="00A244E5" w:rsidRPr="00E71388">
              <w:rPr>
                <w:rFonts w:ascii="Times New Roman" w:hAnsi="Times New Roman"/>
                <w:i/>
                <w:noProof/>
                <w:sz w:val="24"/>
                <w:szCs w:val="24"/>
              </w:rPr>
              <w:t>SOL</w:t>
            </w:r>
          </w:p>
        </w:tc>
        <w:tc>
          <w:tcPr>
            <w:tcW w:w="4737" w:type="dxa"/>
            <w:gridSpan w:val="2"/>
            <w:vAlign w:val="center"/>
          </w:tcPr>
          <w:p w14:paraId="7B933382" w14:textId="769D7C12" w:rsidR="00EA2D7A" w:rsidRDefault="35B2FE34" w:rsidP="00E71388">
            <w:pPr>
              <w:pStyle w:val="JRCText"/>
              <w:jc w:val="center"/>
              <w:rPr>
                <w:rFonts w:ascii="Times New Roman" w:hAnsi="Times New Roman"/>
                <w:noProof/>
                <w:sz w:val="24"/>
                <w:szCs w:val="24"/>
              </w:rPr>
            </w:pPr>
            <w:r w:rsidRPr="38BBBED6">
              <w:rPr>
                <w:rFonts w:ascii="Times New Roman" w:hAnsi="Times New Roman"/>
                <w:noProof/>
                <w:sz w:val="24"/>
                <w:szCs w:val="24"/>
              </w:rPr>
              <w:t>Public</w:t>
            </w:r>
            <w:r w:rsidR="46B569DF" w:rsidRPr="38BBBED6">
              <w:rPr>
                <w:rFonts w:ascii="Times New Roman" w:hAnsi="Times New Roman"/>
                <w:noProof/>
                <w:sz w:val="24"/>
                <w:szCs w:val="24"/>
              </w:rPr>
              <w:t xml:space="preserve"> </w:t>
            </w:r>
            <w:r w:rsidR="019A3A88" w:rsidRPr="38BBBED6">
              <w:rPr>
                <w:rFonts w:ascii="Times New Roman" w:hAnsi="Times New Roman"/>
                <w:noProof/>
                <w:sz w:val="24"/>
                <w:szCs w:val="24"/>
              </w:rPr>
              <w:t>procurement</w:t>
            </w:r>
            <w:r w:rsidRPr="38BBBED6">
              <w:rPr>
                <w:rFonts w:ascii="Times New Roman" w:hAnsi="Times New Roman"/>
                <w:noProof/>
                <w:sz w:val="24"/>
                <w:szCs w:val="24"/>
              </w:rPr>
              <w:t xml:space="preserve">: </w:t>
            </w:r>
            <w:r w:rsidR="33651190" w:rsidRPr="38BBBED6">
              <w:rPr>
                <w:rFonts w:ascii="Times New Roman" w:hAnsi="Times New Roman"/>
                <w:noProof/>
                <w:sz w:val="24"/>
                <w:szCs w:val="24"/>
              </w:rPr>
              <w:t>5</w:t>
            </w:r>
            <w:r w:rsidR="00D7393A" w:rsidRPr="38BBBED6">
              <w:rPr>
                <w:rFonts w:ascii="Times New Roman" w:hAnsi="Times New Roman"/>
                <w:noProof/>
                <w:sz w:val="24"/>
                <w:szCs w:val="24"/>
              </w:rPr>
              <w:t xml:space="preserve"> </w:t>
            </w:r>
            <w:r w:rsidR="019A3A88" w:rsidRPr="38BBBED6">
              <w:rPr>
                <w:rFonts w:ascii="Times New Roman" w:hAnsi="Times New Roman"/>
                <w:noProof/>
                <w:sz w:val="24"/>
                <w:szCs w:val="24"/>
              </w:rPr>
              <w:t>19</w:t>
            </w:r>
            <w:r w:rsidR="6FFE3A2F" w:rsidRPr="38BBBED6">
              <w:rPr>
                <w:rFonts w:ascii="Times New Roman" w:hAnsi="Times New Roman"/>
                <w:noProof/>
                <w:sz w:val="24"/>
                <w:szCs w:val="24"/>
              </w:rPr>
              <w:t>3</w:t>
            </w:r>
            <w:r w:rsidR="019A3A88" w:rsidRPr="38BBBED6">
              <w:rPr>
                <w:rFonts w:ascii="Times New Roman" w:hAnsi="Times New Roman"/>
                <w:noProof/>
                <w:sz w:val="24"/>
                <w:szCs w:val="24"/>
              </w:rPr>
              <w:t xml:space="preserve"> </w:t>
            </w:r>
            <w:r w:rsidR="042A3E34" w:rsidRPr="38BBBED6">
              <w:rPr>
                <w:rFonts w:ascii="Times New Roman" w:hAnsi="Times New Roman"/>
                <w:noProof/>
                <w:sz w:val="24"/>
                <w:szCs w:val="24"/>
              </w:rPr>
              <w:t>jobs</w:t>
            </w:r>
            <w:r w:rsidR="00B96EFF">
              <w:rPr>
                <w:rFonts w:ascii="Times New Roman" w:hAnsi="Times New Roman"/>
                <w:noProof/>
                <w:sz w:val="24"/>
                <w:szCs w:val="24"/>
              </w:rPr>
              <w:t xml:space="preserve"> </w:t>
            </w:r>
            <w:r w:rsidR="005F41B0">
              <w:rPr>
                <w:rFonts w:ascii="Times New Roman" w:hAnsi="Times New Roman"/>
                <w:noProof/>
                <w:sz w:val="24"/>
                <w:szCs w:val="24"/>
              </w:rPr>
              <w:t>(new)</w:t>
            </w:r>
          </w:p>
          <w:p w14:paraId="021BD76A" w14:textId="27FC8CBF" w:rsidR="00EA2D7A" w:rsidRDefault="35B2FE34" w:rsidP="00E71388">
            <w:pPr>
              <w:pStyle w:val="JRCText"/>
              <w:jc w:val="center"/>
              <w:rPr>
                <w:rFonts w:ascii="Times New Roman" w:hAnsi="Times New Roman"/>
                <w:noProof/>
                <w:sz w:val="24"/>
                <w:szCs w:val="24"/>
              </w:rPr>
            </w:pPr>
            <w:r w:rsidRPr="38BBBED6">
              <w:rPr>
                <w:rFonts w:ascii="Times New Roman" w:hAnsi="Times New Roman"/>
                <w:noProof/>
                <w:sz w:val="24"/>
                <w:szCs w:val="24"/>
              </w:rPr>
              <w:t xml:space="preserve">Auctions: </w:t>
            </w:r>
            <w:r w:rsidR="019A3A88" w:rsidRPr="38BBBED6">
              <w:rPr>
                <w:rFonts w:ascii="Times New Roman" w:hAnsi="Times New Roman"/>
                <w:noProof/>
                <w:sz w:val="24"/>
                <w:szCs w:val="24"/>
              </w:rPr>
              <w:t>32</w:t>
            </w:r>
            <w:r w:rsidR="00B8591D" w:rsidRPr="38BBBED6">
              <w:rPr>
                <w:rFonts w:ascii="Times New Roman" w:hAnsi="Times New Roman"/>
                <w:noProof/>
                <w:sz w:val="24"/>
                <w:szCs w:val="24"/>
              </w:rPr>
              <w:t xml:space="preserve"> </w:t>
            </w:r>
            <w:r w:rsidR="019A3A88" w:rsidRPr="38BBBED6">
              <w:rPr>
                <w:rFonts w:ascii="Times New Roman" w:hAnsi="Times New Roman"/>
                <w:noProof/>
                <w:sz w:val="24"/>
                <w:szCs w:val="24"/>
              </w:rPr>
              <w:t>888 jobs</w:t>
            </w:r>
            <w:r w:rsidR="005F41B0">
              <w:rPr>
                <w:rFonts w:ascii="Times New Roman" w:hAnsi="Times New Roman"/>
                <w:noProof/>
                <w:sz w:val="24"/>
                <w:szCs w:val="24"/>
              </w:rPr>
              <w:t xml:space="preserve"> (new)</w:t>
            </w:r>
          </w:p>
          <w:p w14:paraId="3AFBFC04" w14:textId="3AF7FBC4" w:rsidR="009B67A8" w:rsidRPr="00E71388" w:rsidRDefault="35B2FE34" w:rsidP="00E71388">
            <w:pPr>
              <w:pStyle w:val="JRCText"/>
              <w:jc w:val="center"/>
              <w:rPr>
                <w:rFonts w:ascii="Times New Roman" w:hAnsi="Times New Roman"/>
                <w:noProof/>
                <w:sz w:val="24"/>
                <w:szCs w:val="24"/>
              </w:rPr>
            </w:pPr>
            <w:r w:rsidRPr="38BBBED6">
              <w:rPr>
                <w:rFonts w:ascii="Times New Roman" w:hAnsi="Times New Roman"/>
                <w:noProof/>
                <w:sz w:val="24"/>
                <w:szCs w:val="24"/>
              </w:rPr>
              <w:t xml:space="preserve">Public support schemes </w:t>
            </w:r>
            <w:r w:rsidR="019A3A88" w:rsidRPr="38BBBED6">
              <w:rPr>
                <w:rFonts w:ascii="Times New Roman" w:hAnsi="Times New Roman"/>
                <w:noProof/>
                <w:sz w:val="24"/>
                <w:szCs w:val="24"/>
              </w:rPr>
              <w:t>20</w:t>
            </w:r>
            <w:r w:rsidR="00B8591D" w:rsidRPr="38BBBED6">
              <w:rPr>
                <w:rFonts w:ascii="Times New Roman" w:hAnsi="Times New Roman"/>
                <w:noProof/>
                <w:sz w:val="24"/>
                <w:szCs w:val="24"/>
              </w:rPr>
              <w:t xml:space="preserve"> </w:t>
            </w:r>
            <w:r w:rsidR="019A3A88" w:rsidRPr="38BBBED6">
              <w:rPr>
                <w:rFonts w:ascii="Times New Roman" w:hAnsi="Times New Roman"/>
                <w:noProof/>
                <w:sz w:val="24"/>
                <w:szCs w:val="24"/>
              </w:rPr>
              <w:t>771 jobs</w:t>
            </w:r>
            <w:r w:rsidR="005F41B0">
              <w:rPr>
                <w:rFonts w:ascii="Times New Roman" w:hAnsi="Times New Roman"/>
                <w:noProof/>
                <w:sz w:val="24"/>
                <w:szCs w:val="24"/>
              </w:rPr>
              <w:t xml:space="preserve"> (new)</w:t>
            </w:r>
            <w:r w:rsidR="25C8DC6E" w:rsidRPr="38BBBED6">
              <w:rPr>
                <w:rFonts w:ascii="Times New Roman" w:hAnsi="Times New Roman"/>
                <w:noProof/>
                <w:sz w:val="24"/>
                <w:szCs w:val="24"/>
              </w:rPr>
              <w:t xml:space="preserve"> </w:t>
            </w:r>
          </w:p>
          <w:p w14:paraId="6C37A765" w14:textId="63B30BE6" w:rsidR="009B67A8" w:rsidRPr="00E71388" w:rsidRDefault="0AF6ADF6" w:rsidP="00E71388">
            <w:pPr>
              <w:pStyle w:val="JRCText"/>
              <w:jc w:val="center"/>
              <w:rPr>
                <w:rFonts w:ascii="Times New Roman" w:hAnsi="Times New Roman"/>
                <w:noProof/>
                <w:sz w:val="24"/>
                <w:szCs w:val="24"/>
              </w:rPr>
            </w:pPr>
            <w:r w:rsidRPr="38BBBED6">
              <w:rPr>
                <w:rFonts w:ascii="Times New Roman" w:hAnsi="Times New Roman"/>
                <w:noProof/>
                <w:sz w:val="24"/>
                <w:szCs w:val="24"/>
              </w:rPr>
              <w:t>Total: 5</w:t>
            </w:r>
            <w:r w:rsidR="2EAAFEEF" w:rsidRPr="38BBBED6">
              <w:rPr>
                <w:rFonts w:ascii="Times New Roman" w:hAnsi="Times New Roman"/>
                <w:noProof/>
                <w:sz w:val="24"/>
                <w:szCs w:val="24"/>
              </w:rPr>
              <w:t>8</w:t>
            </w:r>
            <w:r w:rsidR="00B8591D" w:rsidRPr="38BBBED6">
              <w:rPr>
                <w:rFonts w:ascii="Times New Roman" w:hAnsi="Times New Roman"/>
                <w:noProof/>
                <w:sz w:val="24"/>
                <w:szCs w:val="24"/>
              </w:rPr>
              <w:t xml:space="preserve"> </w:t>
            </w:r>
            <w:r w:rsidRPr="38BBBED6">
              <w:rPr>
                <w:rFonts w:ascii="Times New Roman" w:hAnsi="Times New Roman"/>
                <w:noProof/>
                <w:sz w:val="24"/>
                <w:szCs w:val="24"/>
              </w:rPr>
              <w:t>852</w:t>
            </w:r>
          </w:p>
        </w:tc>
        <w:tc>
          <w:tcPr>
            <w:tcW w:w="2370" w:type="dxa"/>
            <w:vAlign w:val="center"/>
          </w:tcPr>
          <w:p w14:paraId="631A9BF4" w14:textId="180E0F4C" w:rsidR="00440A8D" w:rsidRDefault="43603A77" w:rsidP="50D6ECBB">
            <w:pPr>
              <w:pStyle w:val="JRCText"/>
              <w:jc w:val="center"/>
              <w:rPr>
                <w:rFonts w:ascii="Times New Roman" w:hAnsi="Times New Roman"/>
                <w:noProof/>
                <w:sz w:val="24"/>
                <w:szCs w:val="24"/>
              </w:rPr>
            </w:pPr>
            <w:r w:rsidRPr="38BBBED6">
              <w:rPr>
                <w:rFonts w:ascii="Times New Roman" w:hAnsi="Times New Roman"/>
                <w:noProof/>
                <w:sz w:val="24"/>
                <w:szCs w:val="24"/>
              </w:rPr>
              <w:t xml:space="preserve">Public procurement: </w:t>
            </w:r>
          </w:p>
          <w:p w14:paraId="3B77AB11" w14:textId="6D1DC9E7" w:rsidR="00440A8D" w:rsidRDefault="43603A77" w:rsidP="00440A8D">
            <w:pPr>
              <w:pStyle w:val="JRCText"/>
              <w:jc w:val="center"/>
              <w:rPr>
                <w:rFonts w:ascii="Times New Roman" w:hAnsi="Times New Roman"/>
                <w:noProof/>
                <w:sz w:val="24"/>
                <w:szCs w:val="24"/>
              </w:rPr>
            </w:pPr>
            <w:r w:rsidRPr="38BBBED6">
              <w:rPr>
                <w:rFonts w:ascii="Times New Roman" w:hAnsi="Times New Roman"/>
                <w:noProof/>
                <w:sz w:val="24"/>
                <w:szCs w:val="24"/>
              </w:rPr>
              <w:t>5 193 jobs</w:t>
            </w:r>
            <w:r w:rsidR="005F41B0">
              <w:rPr>
                <w:rFonts w:ascii="Times New Roman" w:hAnsi="Times New Roman"/>
                <w:noProof/>
                <w:sz w:val="24"/>
                <w:szCs w:val="24"/>
              </w:rPr>
              <w:t xml:space="preserve"> (new)</w:t>
            </w:r>
          </w:p>
          <w:p w14:paraId="50C81D2D" w14:textId="5CEB5B13" w:rsidR="00440A8D" w:rsidRPr="00440A8D" w:rsidRDefault="43603A77" w:rsidP="00440A8D">
            <w:pPr>
              <w:pStyle w:val="JRCText"/>
              <w:jc w:val="center"/>
              <w:rPr>
                <w:rFonts w:ascii="Times New Roman" w:hAnsi="Times New Roman"/>
                <w:noProof/>
                <w:sz w:val="24"/>
                <w:szCs w:val="24"/>
              </w:rPr>
            </w:pPr>
            <w:r w:rsidRPr="38BBBED6">
              <w:rPr>
                <w:rFonts w:ascii="Times New Roman" w:hAnsi="Times New Roman"/>
                <w:noProof/>
                <w:sz w:val="24"/>
                <w:szCs w:val="24"/>
              </w:rPr>
              <w:t>Private procurement 114 243 jobs</w:t>
            </w:r>
            <w:r w:rsidR="005F41B0">
              <w:rPr>
                <w:rFonts w:ascii="Times New Roman" w:hAnsi="Times New Roman"/>
                <w:noProof/>
                <w:sz w:val="24"/>
                <w:szCs w:val="24"/>
              </w:rPr>
              <w:t xml:space="preserve"> (new)</w:t>
            </w:r>
          </w:p>
          <w:p w14:paraId="78EA7C8B" w14:textId="204ABA0D" w:rsidR="00440A8D" w:rsidRPr="00440A8D" w:rsidRDefault="43603A77" w:rsidP="00440A8D">
            <w:pPr>
              <w:pStyle w:val="JRCText"/>
              <w:jc w:val="center"/>
              <w:rPr>
                <w:rFonts w:ascii="Times New Roman" w:hAnsi="Times New Roman"/>
                <w:noProof/>
                <w:sz w:val="24"/>
                <w:szCs w:val="24"/>
              </w:rPr>
            </w:pPr>
            <w:r w:rsidRPr="38BBBED6">
              <w:rPr>
                <w:rFonts w:ascii="Times New Roman" w:hAnsi="Times New Roman"/>
                <w:noProof/>
                <w:sz w:val="24"/>
                <w:szCs w:val="24"/>
              </w:rPr>
              <w:t>Auctions: 32 888 jobs</w:t>
            </w:r>
            <w:r w:rsidR="005F41B0">
              <w:rPr>
                <w:rFonts w:ascii="Times New Roman" w:hAnsi="Times New Roman"/>
                <w:noProof/>
                <w:sz w:val="24"/>
                <w:szCs w:val="24"/>
              </w:rPr>
              <w:t xml:space="preserve"> (new)</w:t>
            </w:r>
          </w:p>
          <w:p w14:paraId="4C69076D" w14:textId="401F5928" w:rsidR="00440A8D" w:rsidRDefault="43603A77" w:rsidP="00440A8D">
            <w:pPr>
              <w:pStyle w:val="JRCText"/>
              <w:jc w:val="center"/>
              <w:rPr>
                <w:rFonts w:ascii="Times New Roman" w:hAnsi="Times New Roman"/>
                <w:noProof/>
                <w:sz w:val="24"/>
                <w:szCs w:val="24"/>
              </w:rPr>
            </w:pPr>
            <w:r w:rsidRPr="38BBBED6">
              <w:rPr>
                <w:rFonts w:ascii="Times New Roman" w:hAnsi="Times New Roman"/>
                <w:noProof/>
                <w:sz w:val="24"/>
                <w:szCs w:val="24"/>
              </w:rPr>
              <w:t>Public support schemes 20 771 jobs</w:t>
            </w:r>
            <w:r w:rsidR="005F41B0">
              <w:rPr>
                <w:rFonts w:ascii="Times New Roman" w:hAnsi="Times New Roman"/>
                <w:noProof/>
                <w:sz w:val="24"/>
                <w:szCs w:val="24"/>
              </w:rPr>
              <w:t xml:space="preserve"> (new)</w:t>
            </w:r>
          </w:p>
          <w:p w14:paraId="2E1DC4AE" w14:textId="77571A44" w:rsidR="009B67A8" w:rsidRPr="00E71388" w:rsidRDefault="2BEFFFB1" w:rsidP="00E71388">
            <w:pPr>
              <w:pStyle w:val="JRCText"/>
              <w:jc w:val="center"/>
              <w:rPr>
                <w:rFonts w:ascii="Times New Roman" w:hAnsi="Times New Roman"/>
                <w:noProof/>
                <w:sz w:val="24"/>
                <w:szCs w:val="24"/>
              </w:rPr>
            </w:pPr>
            <w:r w:rsidRPr="38BBBED6">
              <w:rPr>
                <w:rFonts w:ascii="Times New Roman" w:hAnsi="Times New Roman"/>
                <w:noProof/>
                <w:sz w:val="24"/>
                <w:szCs w:val="24"/>
              </w:rPr>
              <w:t>Total: 173</w:t>
            </w:r>
            <w:r w:rsidR="00B8591D" w:rsidRPr="38BBBED6">
              <w:rPr>
                <w:rFonts w:ascii="Times New Roman" w:hAnsi="Times New Roman"/>
                <w:noProof/>
                <w:sz w:val="24"/>
                <w:szCs w:val="24"/>
              </w:rPr>
              <w:t xml:space="preserve"> </w:t>
            </w:r>
            <w:r w:rsidRPr="38BBBED6">
              <w:rPr>
                <w:rFonts w:ascii="Times New Roman" w:hAnsi="Times New Roman"/>
                <w:noProof/>
                <w:sz w:val="24"/>
                <w:szCs w:val="24"/>
              </w:rPr>
              <w:t>095</w:t>
            </w:r>
          </w:p>
        </w:tc>
      </w:tr>
      <w:tr w:rsidR="000000DF" w:rsidRPr="006A12A4" w14:paraId="14F617AE" w14:textId="77777777">
        <w:trPr>
          <w:trHeight w:val="300"/>
        </w:trPr>
        <w:tc>
          <w:tcPr>
            <w:tcW w:w="2374" w:type="dxa"/>
            <w:shd w:val="clear" w:color="auto" w:fill="DAE9F7" w:themeFill="text2" w:themeFillTint="1A"/>
            <w:vAlign w:val="center"/>
          </w:tcPr>
          <w:p w14:paraId="71E53273" w14:textId="54EAE99C" w:rsidR="000000DF" w:rsidRPr="00A61215" w:rsidRDefault="000000DF" w:rsidP="00E71388">
            <w:pPr>
              <w:pStyle w:val="JRCText"/>
              <w:jc w:val="center"/>
              <w:rPr>
                <w:rFonts w:ascii="Times New Roman" w:hAnsi="Times New Roman"/>
                <w:b/>
                <w:i/>
                <w:noProof/>
                <w:sz w:val="24"/>
                <w:szCs w:val="24"/>
              </w:rPr>
            </w:pPr>
            <w:r w:rsidRPr="00A61215">
              <w:rPr>
                <w:rFonts w:ascii="Times New Roman" w:hAnsi="Times New Roman"/>
                <w:b/>
                <w:i/>
                <w:noProof/>
                <w:sz w:val="24"/>
                <w:szCs w:val="24"/>
              </w:rPr>
              <w:t>TOTAL</w:t>
            </w:r>
          </w:p>
        </w:tc>
        <w:tc>
          <w:tcPr>
            <w:tcW w:w="2368" w:type="dxa"/>
            <w:shd w:val="clear" w:color="auto" w:fill="DAE9F7" w:themeFill="text2" w:themeFillTint="1A"/>
            <w:vAlign w:val="center"/>
          </w:tcPr>
          <w:p w14:paraId="3E68F418" w14:textId="3BC90317" w:rsidR="000000DF" w:rsidRPr="00337BEF" w:rsidRDefault="0045584B" w:rsidP="1FA04443">
            <w:pPr>
              <w:pStyle w:val="JRCText"/>
              <w:jc w:val="center"/>
              <w:rPr>
                <w:rFonts w:ascii="Times New Roman" w:hAnsi="Times New Roman"/>
                <w:b/>
                <w:bCs/>
                <w:noProof/>
                <w:sz w:val="24"/>
                <w:szCs w:val="24"/>
              </w:rPr>
            </w:pPr>
            <w:r>
              <w:rPr>
                <w:rFonts w:ascii="Times New Roman" w:hAnsi="Times New Roman"/>
                <w:b/>
                <w:bCs/>
                <w:noProof/>
                <w:sz w:val="24"/>
                <w:szCs w:val="24"/>
              </w:rPr>
              <w:t>143 852</w:t>
            </w:r>
          </w:p>
        </w:tc>
        <w:tc>
          <w:tcPr>
            <w:tcW w:w="2369" w:type="dxa"/>
            <w:shd w:val="clear" w:color="auto" w:fill="DAE9F7" w:themeFill="text2" w:themeFillTint="1A"/>
            <w:vAlign w:val="center"/>
          </w:tcPr>
          <w:p w14:paraId="3493875B" w14:textId="01ADC7BF" w:rsidR="000000DF" w:rsidRPr="00337BEF" w:rsidRDefault="0045584B" w:rsidP="1FA04443">
            <w:pPr>
              <w:pStyle w:val="JRCText"/>
              <w:jc w:val="center"/>
              <w:rPr>
                <w:rFonts w:ascii="Times New Roman" w:hAnsi="Times New Roman"/>
                <w:b/>
                <w:bCs/>
                <w:noProof/>
                <w:sz w:val="24"/>
                <w:szCs w:val="24"/>
              </w:rPr>
            </w:pPr>
            <w:r w:rsidRPr="0045584B">
              <w:rPr>
                <w:rFonts w:ascii="Times New Roman" w:hAnsi="Times New Roman"/>
                <w:b/>
                <w:bCs/>
                <w:noProof/>
                <w:sz w:val="24"/>
                <w:szCs w:val="24"/>
              </w:rPr>
              <w:t>148</w:t>
            </w:r>
            <w:r>
              <w:rPr>
                <w:rFonts w:ascii="Times New Roman" w:hAnsi="Times New Roman"/>
                <w:b/>
                <w:bCs/>
                <w:noProof/>
                <w:sz w:val="24"/>
                <w:szCs w:val="24"/>
              </w:rPr>
              <w:t xml:space="preserve"> </w:t>
            </w:r>
            <w:r w:rsidRPr="0045584B">
              <w:rPr>
                <w:rFonts w:ascii="Times New Roman" w:hAnsi="Times New Roman"/>
                <w:b/>
                <w:bCs/>
                <w:noProof/>
                <w:sz w:val="24"/>
                <w:szCs w:val="24"/>
              </w:rPr>
              <w:t>352</w:t>
            </w:r>
          </w:p>
        </w:tc>
        <w:tc>
          <w:tcPr>
            <w:tcW w:w="2370" w:type="dxa"/>
            <w:shd w:val="clear" w:color="auto" w:fill="DAE9F7" w:themeFill="text2" w:themeFillTint="1A"/>
            <w:vAlign w:val="center"/>
          </w:tcPr>
          <w:p w14:paraId="2733400F" w14:textId="769E1564" w:rsidR="000000DF" w:rsidRPr="00337BEF" w:rsidRDefault="000000DF" w:rsidP="1FA04443">
            <w:pPr>
              <w:pStyle w:val="JRCText"/>
              <w:jc w:val="center"/>
              <w:rPr>
                <w:rFonts w:ascii="Times New Roman" w:hAnsi="Times New Roman"/>
                <w:b/>
                <w:bCs/>
                <w:noProof/>
                <w:sz w:val="24"/>
                <w:szCs w:val="24"/>
              </w:rPr>
            </w:pPr>
            <w:r w:rsidRPr="1FA04443" w:rsidDel="00646B77">
              <w:rPr>
                <w:rFonts w:ascii="Times New Roman" w:hAnsi="Times New Roman"/>
                <w:b/>
                <w:bCs/>
                <w:noProof/>
                <w:sz w:val="24"/>
                <w:szCs w:val="24"/>
              </w:rPr>
              <w:t>270 629</w:t>
            </w:r>
          </w:p>
        </w:tc>
      </w:tr>
    </w:tbl>
    <w:p w14:paraId="4F2143E2" w14:textId="77777777" w:rsidR="009A5E5C" w:rsidRPr="00B103C8" w:rsidRDefault="009A5E5C" w:rsidP="0082026C">
      <w:pPr>
        <w:pStyle w:val="JRCText"/>
        <w:jc w:val="both"/>
        <w:rPr>
          <w:rFonts w:ascii="Times New Roman" w:hAnsi="Times New Roman" w:cs="Times New Roman"/>
          <w:b/>
          <w:i/>
          <w:noProof/>
          <w:color w:val="000000" w:themeColor="text1"/>
        </w:rPr>
      </w:pPr>
    </w:p>
    <w:p w14:paraId="2A7814BE" w14:textId="77777777" w:rsidR="006063A4" w:rsidRPr="00B103C8" w:rsidRDefault="006063A4" w:rsidP="006063A4">
      <w:pPr>
        <w:pStyle w:val="JRCText"/>
        <w:jc w:val="both"/>
        <w:rPr>
          <w:rFonts w:ascii="Times New Roman" w:hAnsi="Times New Roman" w:cs="Times New Roman"/>
          <w:b/>
          <w:noProof/>
          <w:sz w:val="24"/>
          <w:szCs w:val="24"/>
        </w:rPr>
      </w:pPr>
      <w:r w:rsidRPr="00B103C8">
        <w:rPr>
          <w:rFonts w:ascii="Times New Roman" w:hAnsi="Times New Roman" w:cs="Times New Roman"/>
          <w:b/>
          <w:noProof/>
          <w:sz w:val="24"/>
          <w:szCs w:val="24"/>
        </w:rPr>
        <w:t xml:space="preserve">LEAD_EII: </w:t>
      </w:r>
    </w:p>
    <w:p w14:paraId="5BC08BC6" w14:textId="7B743791" w:rsidR="006063A4" w:rsidRPr="00B103C8" w:rsidRDefault="006063A4" w:rsidP="00B103C8">
      <w:pPr>
        <w:pStyle w:val="JRCText"/>
        <w:jc w:val="both"/>
        <w:rPr>
          <w:rFonts w:ascii="Times New Roman" w:hAnsi="Times New Roman" w:cs="Times New Roman"/>
          <w:noProof/>
          <w:sz w:val="24"/>
          <w:szCs w:val="22"/>
        </w:rPr>
      </w:pPr>
      <w:r w:rsidRPr="00BA6C11">
        <w:rPr>
          <w:rFonts w:ascii="Times New Roman" w:hAnsi="Times New Roman" w:cs="Times New Roman"/>
          <w:noProof/>
          <w:sz w:val="24"/>
          <w:szCs w:val="24"/>
        </w:rPr>
        <w:t xml:space="preserve">Employment benefits linked to Made in EU requirements for </w:t>
      </w:r>
      <w:r w:rsidRPr="00BA6C11">
        <w:rPr>
          <w:rFonts w:ascii="Times New Roman" w:hAnsi="Times New Roman" w:cs="Times New Roman"/>
          <w:noProof/>
          <w:color w:val="000000" w:themeColor="text1"/>
          <w:sz w:val="24"/>
          <w:szCs w:val="24"/>
        </w:rPr>
        <w:t xml:space="preserve">steel, aluminium and cement sectors are calculated based on the number of workers </w:t>
      </w:r>
      <w:r w:rsidR="00F04BE2" w:rsidRPr="00F04BE2">
        <w:rPr>
          <w:rFonts w:ascii="Times New Roman" w:hAnsi="Times New Roman" w:cs="Times New Roman"/>
          <w:noProof/>
          <w:color w:val="000000" w:themeColor="text1"/>
          <w:sz w:val="24"/>
          <w:szCs w:val="24"/>
        </w:rPr>
        <w:t>below and</w:t>
      </w:r>
      <w:r w:rsidRPr="00B63AFD">
        <w:rPr>
          <w:rFonts w:ascii="Times New Roman" w:hAnsi="Times New Roman" w:cs="Times New Roman"/>
          <w:noProof/>
          <w:color w:val="000000" w:themeColor="text1"/>
          <w:sz w:val="24"/>
          <w:szCs w:val="24"/>
        </w:rPr>
        <w:t xml:space="preserve"> multiplied </w:t>
      </w:r>
      <w:r w:rsidRPr="00BA6C11">
        <w:rPr>
          <w:rFonts w:ascii="Times New Roman" w:hAnsi="Times New Roman" w:cs="Times New Roman"/>
          <w:noProof/>
          <w:color w:val="000000" w:themeColor="text1"/>
          <w:sz w:val="24"/>
          <w:szCs w:val="24"/>
        </w:rPr>
        <w:t xml:space="preserve">for each % of GVA gained </w:t>
      </w:r>
      <w:r w:rsidRPr="00B103C8">
        <w:rPr>
          <w:rFonts w:ascii="Times New Roman" w:hAnsi="Times New Roman" w:cs="Times New Roman"/>
          <w:noProof/>
          <w:sz w:val="24"/>
          <w:szCs w:val="22"/>
        </w:rPr>
        <w:t xml:space="preserve">from the made in EU measures outlined in </w:t>
      </w:r>
      <w:r w:rsidR="00E8682E">
        <w:rPr>
          <w:rFonts w:ascii="Times New Roman" w:hAnsi="Times New Roman" w:cs="Times New Roman"/>
          <w:noProof/>
          <w:sz w:val="24"/>
          <w:szCs w:val="22"/>
        </w:rPr>
        <w:t>Section</w:t>
      </w:r>
      <w:r w:rsidRPr="00B103C8">
        <w:rPr>
          <w:rFonts w:ascii="Times New Roman" w:hAnsi="Times New Roman" w:cs="Times New Roman"/>
          <w:noProof/>
          <w:sz w:val="24"/>
          <w:szCs w:val="22"/>
        </w:rPr>
        <w:t xml:space="preserve"> 2.2 of this Annex. </w:t>
      </w:r>
    </w:p>
    <w:p w14:paraId="04BF011A" w14:textId="115AFE63" w:rsidR="006063A4" w:rsidRPr="00BA6C11" w:rsidRDefault="000A1D98" w:rsidP="006063A4">
      <w:pPr>
        <w:pStyle w:val="JRCText"/>
        <w:jc w:val="both"/>
        <w:rPr>
          <w:rFonts w:ascii="Times New Roman" w:hAnsi="Times New Roman" w:cs="Times New Roman"/>
          <w:noProof/>
          <w:color w:val="000000" w:themeColor="text1"/>
          <w:sz w:val="24"/>
          <w:szCs w:val="24"/>
        </w:rPr>
      </w:pPr>
      <w:r w:rsidRPr="00B103C8">
        <w:rPr>
          <w:rFonts w:ascii="Times New Roman" w:hAnsi="Times New Roman" w:cs="Times New Roman"/>
          <w:noProof/>
          <w:sz w:val="24"/>
          <w:szCs w:val="24"/>
        </w:rPr>
        <w:fldChar w:fldCharType="begin"/>
      </w:r>
      <w:r w:rsidRPr="00B103C8">
        <w:rPr>
          <w:rFonts w:ascii="Times New Roman" w:hAnsi="Times New Roman" w:cs="Times New Roman"/>
          <w:noProof/>
          <w:sz w:val="24"/>
          <w:szCs w:val="24"/>
        </w:rPr>
        <w:instrText xml:space="preserve"> REF _Ref212722210 \h  \* MERGEFORMAT </w:instrText>
      </w:r>
      <w:r w:rsidRPr="00B103C8">
        <w:rPr>
          <w:rFonts w:ascii="Times New Roman" w:hAnsi="Times New Roman" w:cs="Times New Roman"/>
          <w:noProof/>
          <w:sz w:val="24"/>
          <w:szCs w:val="24"/>
        </w:rPr>
      </w:r>
      <w:r w:rsidRPr="00B103C8">
        <w:rPr>
          <w:rFonts w:ascii="Times New Roman" w:hAnsi="Times New Roman" w:cs="Times New Roman"/>
          <w:noProof/>
          <w:sz w:val="24"/>
          <w:szCs w:val="24"/>
        </w:rPr>
        <w:fldChar w:fldCharType="separate"/>
      </w:r>
      <w:r w:rsidRPr="00E16D65">
        <w:rPr>
          <w:rFonts w:ascii="Times New Roman" w:hAnsi="Times New Roman" w:cs="Times New Roman"/>
          <w:noProof/>
          <w:sz w:val="24"/>
          <w:szCs w:val="24"/>
        </w:rPr>
        <w:t>Table 9</w:t>
      </w:r>
      <w:r w:rsidRPr="00B103C8">
        <w:rPr>
          <w:rFonts w:ascii="Times New Roman" w:hAnsi="Times New Roman" w:cs="Times New Roman"/>
          <w:noProof/>
          <w:sz w:val="24"/>
          <w:szCs w:val="24"/>
        </w:rPr>
        <w:fldChar w:fldCharType="end"/>
      </w:r>
      <w:r w:rsidRPr="00B103C8">
        <w:rPr>
          <w:rFonts w:ascii="Times New Roman" w:hAnsi="Times New Roman" w:cs="Times New Roman"/>
          <w:noProof/>
          <w:sz w:val="24"/>
          <w:szCs w:val="24"/>
        </w:rPr>
        <w:t xml:space="preserve"> </w:t>
      </w:r>
      <w:r w:rsidRPr="00A407F1">
        <w:rPr>
          <w:rFonts w:ascii="Times New Roman" w:hAnsi="Times New Roman"/>
          <w:noProof/>
          <w:sz w:val="24"/>
          <w:szCs w:val="24"/>
        </w:rPr>
        <w:t xml:space="preserve">shows impacts on employment, </w:t>
      </w:r>
      <w:r w:rsidRPr="00A407F1" w:rsidDel="000A1D98">
        <w:rPr>
          <w:rFonts w:ascii="Times New Roman" w:hAnsi="Times New Roman"/>
          <w:noProof/>
          <w:sz w:val="24"/>
          <w:szCs w:val="24"/>
        </w:rPr>
        <w:t xml:space="preserve"> </w:t>
      </w:r>
      <w:r w:rsidR="179368C9" w:rsidRPr="00A407F1">
        <w:rPr>
          <w:rFonts w:ascii="Times New Roman" w:hAnsi="Times New Roman"/>
          <w:noProof/>
          <w:sz w:val="24"/>
          <w:szCs w:val="24"/>
        </w:rPr>
        <w:t>value added and output on energy-intensive industries for each</w:t>
      </w:r>
      <w:r w:rsidR="179368C9" w:rsidRPr="00BA6C11">
        <w:rPr>
          <w:rFonts w:ascii="Times New Roman" w:hAnsi="Times New Roman" w:cs="Times New Roman"/>
          <w:noProof/>
          <w:sz w:val="24"/>
          <w:szCs w:val="24"/>
        </w:rPr>
        <w:t xml:space="preserve"> 1</w:t>
      </w:r>
      <w:r w:rsidR="179368C9" w:rsidRPr="00A407F1">
        <w:rPr>
          <w:rFonts w:ascii="Times New Roman" w:hAnsi="Times New Roman"/>
          <w:noProof/>
          <w:sz w:val="24"/>
          <w:szCs w:val="24"/>
        </w:rPr>
        <w:t>%</w:t>
      </w:r>
      <w:r w:rsidR="006063A4" w:rsidRPr="00F04BE2">
        <w:rPr>
          <w:rStyle w:val="FootnoteReference"/>
          <w:rFonts w:ascii="Times New Roman" w:eastAsia="Calibri" w:hAnsi="Times New Roman" w:cs="Times New Roman"/>
          <w:noProof/>
          <w:sz w:val="24"/>
          <w:szCs w:val="24"/>
        </w:rPr>
        <w:footnoteReference w:id="317"/>
      </w:r>
      <w:r w:rsidR="179368C9" w:rsidRPr="00BA6C11">
        <w:rPr>
          <w:rFonts w:ascii="Times New Roman" w:hAnsi="Times New Roman" w:cs="Times New Roman"/>
          <w:noProof/>
          <w:sz w:val="24"/>
          <w:szCs w:val="24"/>
        </w:rPr>
        <w:t xml:space="preserve"> </w:t>
      </w:r>
      <w:r w:rsidR="179368C9" w:rsidRPr="00A407F1">
        <w:rPr>
          <w:rFonts w:ascii="Times New Roman" w:hAnsi="Times New Roman"/>
          <w:noProof/>
          <w:sz w:val="24"/>
          <w:szCs w:val="24"/>
        </w:rPr>
        <w:t>of their global final demand.</w:t>
      </w:r>
      <w:r w:rsidR="179368C9" w:rsidRPr="00BA6C11">
        <w:rPr>
          <w:rFonts w:ascii="Times New Roman" w:hAnsi="Times New Roman" w:cs="Times New Roman"/>
          <w:noProof/>
          <w:sz w:val="24"/>
          <w:szCs w:val="24"/>
        </w:rPr>
        <w:t xml:space="preserve"> </w:t>
      </w:r>
    </w:p>
    <w:p w14:paraId="2E99F194" w14:textId="6ABC2B30" w:rsidR="006063A4" w:rsidRPr="00366CBE" w:rsidRDefault="006063A4" w:rsidP="006063A4">
      <w:pPr>
        <w:pStyle w:val="Caption"/>
        <w:keepNext/>
        <w:rPr>
          <w:noProof/>
          <w:sz w:val="32"/>
          <w:szCs w:val="22"/>
        </w:rPr>
      </w:pPr>
      <w:bookmarkStart w:id="305" w:name="_Ref212722210"/>
      <w:r w:rsidRPr="00366CBE">
        <w:rPr>
          <w:noProof/>
        </w:rPr>
        <w:t xml:space="preserve">Table </w:t>
      </w:r>
      <w:r w:rsidRPr="00366CBE">
        <w:rPr>
          <w:noProof/>
        </w:rPr>
        <w:fldChar w:fldCharType="begin"/>
      </w:r>
      <w:r w:rsidRPr="00366CBE">
        <w:rPr>
          <w:noProof/>
        </w:rPr>
        <w:instrText xml:space="preserve"> SEQ Table \* ARABIC </w:instrText>
      </w:r>
      <w:r w:rsidRPr="00366CBE">
        <w:rPr>
          <w:noProof/>
        </w:rPr>
        <w:fldChar w:fldCharType="separate"/>
      </w:r>
      <w:r w:rsidR="00E16D65" w:rsidRPr="00366CBE">
        <w:rPr>
          <w:noProof/>
        </w:rPr>
        <w:t>9</w:t>
      </w:r>
      <w:r w:rsidRPr="00366CBE">
        <w:rPr>
          <w:noProof/>
        </w:rPr>
        <w:fldChar w:fldCharType="end"/>
      </w:r>
      <w:bookmarkEnd w:id="305"/>
      <w:r w:rsidRPr="00366CBE">
        <w:rPr>
          <w:noProof/>
        </w:rPr>
        <w:t>:</w:t>
      </w:r>
      <w:r w:rsidRPr="00366CBE">
        <w:rPr>
          <w:noProof/>
          <w:sz w:val="20"/>
          <w:szCs w:val="20"/>
        </w:rPr>
        <w:t xml:space="preserve"> </w:t>
      </w:r>
      <w:r w:rsidRPr="00366CBE">
        <w:rPr>
          <w:noProof/>
          <w:szCs w:val="24"/>
        </w:rPr>
        <w:t>Top potential impacts for each 1% of global final demand in energy-intensive industries, JRC elaboration based on CARMEN results</w:t>
      </w:r>
    </w:p>
    <w:tbl>
      <w:tblPr>
        <w:tblStyle w:val="JRCTableBasic"/>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403"/>
        <w:gridCol w:w="2361"/>
        <w:gridCol w:w="2363"/>
        <w:gridCol w:w="2361"/>
      </w:tblGrid>
      <w:tr w:rsidR="006063A4" w:rsidRPr="004D0D9D" w14:paraId="3DBAC7EA" w14:textId="77777777" w:rsidTr="00366CBE">
        <w:trPr>
          <w:cnfStyle w:val="100000000000" w:firstRow="1" w:lastRow="0" w:firstColumn="0" w:lastColumn="0" w:oddVBand="0" w:evenVBand="0" w:oddHBand="0" w:evenHBand="0" w:firstRowFirstColumn="0" w:firstRowLastColumn="0" w:lastRowFirstColumn="0" w:lastRowLastColumn="0"/>
          <w:trHeight w:val="559"/>
          <w:tblHeader/>
        </w:trPr>
        <w:tc>
          <w:tcPr>
            <w:tcW w:w="1266" w:type="pct"/>
            <w:vAlign w:val="center"/>
            <w:hideMark/>
          </w:tcPr>
          <w:p w14:paraId="62D577E8" w14:textId="77777777" w:rsidR="006063A4" w:rsidRPr="00BA6C11" w:rsidRDefault="006063A4" w:rsidP="00AE4107">
            <w:pPr>
              <w:rPr>
                <w:noProof/>
              </w:rPr>
            </w:pPr>
            <w:bookmarkStart w:id="306" w:name="_Toc212728811"/>
            <w:bookmarkStart w:id="307" w:name="_Toc212729085"/>
            <w:bookmarkStart w:id="308" w:name="_Toc212729337"/>
            <w:bookmarkStart w:id="309" w:name="_Toc215506281"/>
            <w:bookmarkStart w:id="310" w:name="_Toc222159332"/>
            <w:r w:rsidRPr="00BA6C11">
              <w:rPr>
                <w:noProof/>
              </w:rPr>
              <w:t>Industry impacted</w:t>
            </w:r>
            <w:bookmarkEnd w:id="306"/>
            <w:bookmarkEnd w:id="307"/>
            <w:bookmarkEnd w:id="308"/>
            <w:bookmarkEnd w:id="309"/>
            <w:bookmarkEnd w:id="310"/>
          </w:p>
        </w:tc>
        <w:tc>
          <w:tcPr>
            <w:tcW w:w="1244" w:type="pct"/>
            <w:vAlign w:val="center"/>
            <w:hideMark/>
          </w:tcPr>
          <w:p w14:paraId="3265E183" w14:textId="77777777" w:rsidR="006063A4" w:rsidRPr="00BA6C11" w:rsidRDefault="006063A4" w:rsidP="00AE4107">
            <w:pPr>
              <w:rPr>
                <w:noProof/>
              </w:rPr>
            </w:pPr>
            <w:bookmarkStart w:id="311" w:name="_Toc212728812"/>
            <w:bookmarkStart w:id="312" w:name="_Toc212729086"/>
            <w:bookmarkStart w:id="313" w:name="_Toc212729338"/>
            <w:bookmarkStart w:id="314" w:name="_Toc215506282"/>
            <w:bookmarkStart w:id="315" w:name="_Toc222159333"/>
            <w:r w:rsidRPr="00BA6C11">
              <w:rPr>
                <w:noProof/>
              </w:rPr>
              <w:t xml:space="preserve">Employment </w:t>
            </w:r>
            <w:r w:rsidRPr="00BA6C11">
              <w:rPr>
                <w:noProof/>
              </w:rPr>
              <w:br/>
              <w:t>(# workers)</w:t>
            </w:r>
            <w:bookmarkEnd w:id="311"/>
            <w:bookmarkEnd w:id="312"/>
            <w:bookmarkEnd w:id="313"/>
            <w:bookmarkEnd w:id="314"/>
            <w:bookmarkEnd w:id="315"/>
          </w:p>
        </w:tc>
        <w:tc>
          <w:tcPr>
            <w:tcW w:w="1245" w:type="pct"/>
            <w:vAlign w:val="center"/>
            <w:hideMark/>
          </w:tcPr>
          <w:p w14:paraId="09893D74" w14:textId="32020A11" w:rsidR="006063A4" w:rsidRPr="00BA6C11" w:rsidRDefault="006063A4" w:rsidP="00AE4107">
            <w:pPr>
              <w:rPr>
                <w:noProof/>
              </w:rPr>
            </w:pPr>
            <w:bookmarkStart w:id="316" w:name="_Toc212728813"/>
            <w:bookmarkStart w:id="317" w:name="_Toc212729087"/>
            <w:bookmarkStart w:id="318" w:name="_Toc212729339"/>
            <w:bookmarkStart w:id="319" w:name="_Toc215506283"/>
            <w:bookmarkStart w:id="320" w:name="_Toc222159334"/>
            <w:r w:rsidRPr="00BA6C11">
              <w:rPr>
                <w:noProof/>
              </w:rPr>
              <w:t xml:space="preserve">Value Added </w:t>
            </w:r>
            <w:r w:rsidR="00C841CC" w:rsidRPr="00BA6C11">
              <w:rPr>
                <w:noProof/>
              </w:rPr>
              <w:t>in EUR million</w:t>
            </w:r>
            <w:bookmarkEnd w:id="316"/>
            <w:bookmarkEnd w:id="317"/>
            <w:bookmarkEnd w:id="318"/>
            <w:bookmarkEnd w:id="319"/>
            <w:bookmarkEnd w:id="320"/>
          </w:p>
        </w:tc>
        <w:tc>
          <w:tcPr>
            <w:tcW w:w="1244" w:type="pct"/>
            <w:vAlign w:val="center"/>
            <w:hideMark/>
          </w:tcPr>
          <w:p w14:paraId="71073CF7" w14:textId="7E364F32" w:rsidR="006063A4" w:rsidRPr="00BA6C11" w:rsidRDefault="006063A4" w:rsidP="00AE4107">
            <w:pPr>
              <w:rPr>
                <w:noProof/>
              </w:rPr>
            </w:pPr>
            <w:bookmarkStart w:id="321" w:name="_Toc212728814"/>
            <w:bookmarkStart w:id="322" w:name="_Toc212729088"/>
            <w:bookmarkStart w:id="323" w:name="_Toc212729340"/>
            <w:bookmarkStart w:id="324" w:name="_Toc215506284"/>
            <w:bookmarkStart w:id="325" w:name="_Toc222159335"/>
            <w:r w:rsidRPr="00BA6C11">
              <w:rPr>
                <w:noProof/>
              </w:rPr>
              <w:t xml:space="preserve">Output </w:t>
            </w:r>
            <w:r w:rsidR="00C841CC" w:rsidRPr="00BA6C11">
              <w:rPr>
                <w:noProof/>
              </w:rPr>
              <w:t>in EUR million</w:t>
            </w:r>
            <w:bookmarkEnd w:id="321"/>
            <w:bookmarkEnd w:id="322"/>
            <w:bookmarkEnd w:id="323"/>
            <w:bookmarkEnd w:id="324"/>
            <w:bookmarkEnd w:id="325"/>
          </w:p>
        </w:tc>
      </w:tr>
      <w:tr w:rsidR="006063A4" w:rsidRPr="004D0D9D" w14:paraId="74B8E225" w14:textId="77777777">
        <w:trPr>
          <w:trHeight w:val="340"/>
        </w:trPr>
        <w:tc>
          <w:tcPr>
            <w:tcW w:w="1266" w:type="pct"/>
            <w:vAlign w:val="center"/>
            <w:hideMark/>
          </w:tcPr>
          <w:p w14:paraId="41944356" w14:textId="77777777" w:rsidR="006063A4" w:rsidRPr="00BA6C11" w:rsidRDefault="006063A4" w:rsidP="00AE4107">
            <w:pPr>
              <w:rPr>
                <w:noProof/>
              </w:rPr>
            </w:pPr>
            <w:bookmarkStart w:id="326" w:name="_Toc212728815"/>
            <w:bookmarkStart w:id="327" w:name="_Toc212729089"/>
            <w:bookmarkStart w:id="328" w:name="_Toc212729341"/>
            <w:bookmarkStart w:id="329" w:name="_Toc215506285"/>
            <w:bookmarkStart w:id="330" w:name="_Toc222159336"/>
            <w:r w:rsidRPr="00BA6C11">
              <w:rPr>
                <w:noProof/>
              </w:rPr>
              <w:t>Paper and paper products</w:t>
            </w:r>
            <w:bookmarkEnd w:id="326"/>
            <w:bookmarkEnd w:id="327"/>
            <w:bookmarkEnd w:id="328"/>
            <w:bookmarkEnd w:id="329"/>
            <w:bookmarkEnd w:id="330"/>
          </w:p>
        </w:tc>
        <w:tc>
          <w:tcPr>
            <w:tcW w:w="1244" w:type="pct"/>
            <w:vAlign w:val="center"/>
            <w:hideMark/>
          </w:tcPr>
          <w:p w14:paraId="6FE80039" w14:textId="1911CFA3" w:rsidR="006063A4" w:rsidRPr="00BA6C11" w:rsidRDefault="006063A4" w:rsidP="00AE4107">
            <w:pPr>
              <w:rPr>
                <w:noProof/>
              </w:rPr>
            </w:pPr>
            <w:bookmarkStart w:id="331" w:name="_Toc212728816"/>
            <w:bookmarkStart w:id="332" w:name="_Toc212729090"/>
            <w:bookmarkStart w:id="333" w:name="_Toc212729342"/>
            <w:bookmarkStart w:id="334" w:name="_Toc215506286"/>
            <w:bookmarkStart w:id="335" w:name="_Toc222159337"/>
            <w:r w:rsidRPr="00BA6C11">
              <w:rPr>
                <w:noProof/>
              </w:rPr>
              <w:t>3</w:t>
            </w:r>
            <w:r w:rsidR="00E81C4E" w:rsidRPr="00BA6C11">
              <w:rPr>
                <w:noProof/>
              </w:rPr>
              <w:t xml:space="preserve"> </w:t>
            </w:r>
            <w:r w:rsidRPr="00BA6C11">
              <w:rPr>
                <w:noProof/>
              </w:rPr>
              <w:t>849</w:t>
            </w:r>
            <w:bookmarkEnd w:id="331"/>
            <w:bookmarkEnd w:id="332"/>
            <w:bookmarkEnd w:id="333"/>
            <w:bookmarkEnd w:id="334"/>
            <w:bookmarkEnd w:id="335"/>
          </w:p>
        </w:tc>
        <w:tc>
          <w:tcPr>
            <w:tcW w:w="1245" w:type="pct"/>
            <w:vAlign w:val="center"/>
            <w:hideMark/>
          </w:tcPr>
          <w:p w14:paraId="325D7D93" w14:textId="77777777" w:rsidR="006063A4" w:rsidRPr="00BA6C11" w:rsidRDefault="006063A4" w:rsidP="00AE4107">
            <w:pPr>
              <w:rPr>
                <w:noProof/>
              </w:rPr>
            </w:pPr>
            <w:bookmarkStart w:id="336" w:name="_Toc212728817"/>
            <w:bookmarkStart w:id="337" w:name="_Toc212729091"/>
            <w:bookmarkStart w:id="338" w:name="_Toc212729343"/>
            <w:bookmarkStart w:id="339" w:name="_Toc215506287"/>
            <w:bookmarkStart w:id="340" w:name="_Toc222159338"/>
            <w:r w:rsidRPr="00BA6C11">
              <w:rPr>
                <w:noProof/>
              </w:rPr>
              <w:t>243</w:t>
            </w:r>
            <w:bookmarkEnd w:id="336"/>
            <w:bookmarkEnd w:id="337"/>
            <w:bookmarkEnd w:id="338"/>
            <w:bookmarkEnd w:id="339"/>
            <w:bookmarkEnd w:id="340"/>
          </w:p>
        </w:tc>
        <w:tc>
          <w:tcPr>
            <w:tcW w:w="1244" w:type="pct"/>
            <w:vAlign w:val="center"/>
            <w:hideMark/>
          </w:tcPr>
          <w:p w14:paraId="47A73569" w14:textId="77777777" w:rsidR="006063A4" w:rsidRPr="00BA6C11" w:rsidRDefault="006063A4" w:rsidP="00AE4107">
            <w:pPr>
              <w:rPr>
                <w:noProof/>
              </w:rPr>
            </w:pPr>
            <w:bookmarkStart w:id="341" w:name="_Toc212728818"/>
            <w:bookmarkStart w:id="342" w:name="_Toc212729092"/>
            <w:bookmarkStart w:id="343" w:name="_Toc212729344"/>
            <w:bookmarkStart w:id="344" w:name="_Toc215506288"/>
            <w:bookmarkStart w:id="345" w:name="_Toc222159339"/>
            <w:r w:rsidRPr="00BA6C11">
              <w:rPr>
                <w:noProof/>
              </w:rPr>
              <w:t>730</w:t>
            </w:r>
            <w:bookmarkEnd w:id="341"/>
            <w:bookmarkEnd w:id="342"/>
            <w:bookmarkEnd w:id="343"/>
            <w:bookmarkEnd w:id="344"/>
            <w:bookmarkEnd w:id="345"/>
          </w:p>
        </w:tc>
      </w:tr>
      <w:tr w:rsidR="006063A4" w:rsidRPr="004D0D9D" w14:paraId="5ABE9766" w14:textId="77777777">
        <w:trPr>
          <w:trHeight w:val="340"/>
        </w:trPr>
        <w:tc>
          <w:tcPr>
            <w:tcW w:w="1266" w:type="pct"/>
            <w:vAlign w:val="center"/>
            <w:hideMark/>
          </w:tcPr>
          <w:p w14:paraId="73C89FF2" w14:textId="77777777" w:rsidR="006063A4" w:rsidRPr="00BA6C11" w:rsidRDefault="006063A4" w:rsidP="00AE4107">
            <w:pPr>
              <w:rPr>
                <w:noProof/>
              </w:rPr>
            </w:pPr>
            <w:bookmarkStart w:id="346" w:name="_Toc212728819"/>
            <w:bookmarkStart w:id="347" w:name="_Toc212729093"/>
            <w:bookmarkStart w:id="348" w:name="_Toc212729345"/>
            <w:bookmarkStart w:id="349" w:name="_Toc215506289"/>
            <w:bookmarkStart w:id="350" w:name="_Toc222159340"/>
            <w:r w:rsidRPr="00BA6C11">
              <w:rPr>
                <w:noProof/>
              </w:rPr>
              <w:t>Refineries</w:t>
            </w:r>
            <w:bookmarkEnd w:id="346"/>
            <w:bookmarkEnd w:id="347"/>
            <w:bookmarkEnd w:id="348"/>
            <w:bookmarkEnd w:id="349"/>
            <w:bookmarkEnd w:id="350"/>
          </w:p>
        </w:tc>
        <w:tc>
          <w:tcPr>
            <w:tcW w:w="1244" w:type="pct"/>
            <w:vAlign w:val="center"/>
            <w:hideMark/>
          </w:tcPr>
          <w:p w14:paraId="72AD0684" w14:textId="1CBB88FF" w:rsidR="006063A4" w:rsidRPr="00BA6C11" w:rsidRDefault="006063A4" w:rsidP="00AE4107">
            <w:pPr>
              <w:rPr>
                <w:noProof/>
              </w:rPr>
            </w:pPr>
            <w:bookmarkStart w:id="351" w:name="_Toc212728820"/>
            <w:bookmarkStart w:id="352" w:name="_Toc212729094"/>
            <w:bookmarkStart w:id="353" w:name="_Toc212729346"/>
            <w:bookmarkStart w:id="354" w:name="_Toc215506290"/>
            <w:bookmarkStart w:id="355" w:name="_Toc222159341"/>
            <w:r w:rsidRPr="00BA6C11">
              <w:rPr>
                <w:noProof/>
              </w:rPr>
              <w:t>7</w:t>
            </w:r>
            <w:r w:rsidR="00E81C4E" w:rsidRPr="00BA6C11">
              <w:rPr>
                <w:noProof/>
              </w:rPr>
              <w:t xml:space="preserve"> </w:t>
            </w:r>
            <w:r w:rsidRPr="00BA6C11">
              <w:rPr>
                <w:noProof/>
              </w:rPr>
              <w:t>216</w:t>
            </w:r>
            <w:bookmarkEnd w:id="351"/>
            <w:bookmarkEnd w:id="352"/>
            <w:bookmarkEnd w:id="353"/>
            <w:bookmarkEnd w:id="354"/>
            <w:bookmarkEnd w:id="355"/>
          </w:p>
        </w:tc>
        <w:tc>
          <w:tcPr>
            <w:tcW w:w="1245" w:type="pct"/>
            <w:vAlign w:val="center"/>
            <w:hideMark/>
          </w:tcPr>
          <w:p w14:paraId="72DFDCAD" w14:textId="77777777" w:rsidR="006063A4" w:rsidRPr="00BA6C11" w:rsidRDefault="006063A4" w:rsidP="00AE4107">
            <w:pPr>
              <w:rPr>
                <w:noProof/>
              </w:rPr>
            </w:pPr>
            <w:bookmarkStart w:id="356" w:name="_Toc212728821"/>
            <w:bookmarkStart w:id="357" w:name="_Toc212729095"/>
            <w:bookmarkStart w:id="358" w:name="_Toc212729347"/>
            <w:bookmarkStart w:id="359" w:name="_Toc215506291"/>
            <w:bookmarkStart w:id="360" w:name="_Toc222159342"/>
            <w:r w:rsidRPr="00BA6C11">
              <w:rPr>
                <w:noProof/>
              </w:rPr>
              <w:t>585</w:t>
            </w:r>
            <w:bookmarkEnd w:id="356"/>
            <w:bookmarkEnd w:id="357"/>
            <w:bookmarkEnd w:id="358"/>
            <w:bookmarkEnd w:id="359"/>
            <w:bookmarkEnd w:id="360"/>
          </w:p>
        </w:tc>
        <w:tc>
          <w:tcPr>
            <w:tcW w:w="1244" w:type="pct"/>
            <w:vAlign w:val="center"/>
            <w:hideMark/>
          </w:tcPr>
          <w:p w14:paraId="1121DA41" w14:textId="1C87487F" w:rsidR="006063A4" w:rsidRPr="00BA6C11" w:rsidRDefault="006063A4" w:rsidP="00AE4107">
            <w:pPr>
              <w:rPr>
                <w:noProof/>
              </w:rPr>
            </w:pPr>
            <w:bookmarkStart w:id="361" w:name="_Toc212728822"/>
            <w:bookmarkStart w:id="362" w:name="_Toc212729096"/>
            <w:bookmarkStart w:id="363" w:name="_Toc212729348"/>
            <w:bookmarkStart w:id="364" w:name="_Toc215506292"/>
            <w:bookmarkStart w:id="365" w:name="_Toc222159343"/>
            <w:r w:rsidRPr="00BA6C11">
              <w:rPr>
                <w:noProof/>
              </w:rPr>
              <w:t>2</w:t>
            </w:r>
            <w:r w:rsidR="004D0D9D">
              <w:rPr>
                <w:noProof/>
              </w:rPr>
              <w:t xml:space="preserve"> </w:t>
            </w:r>
            <w:r w:rsidRPr="00BA6C11">
              <w:rPr>
                <w:noProof/>
              </w:rPr>
              <w:t>161</w:t>
            </w:r>
            <w:bookmarkEnd w:id="361"/>
            <w:bookmarkEnd w:id="362"/>
            <w:bookmarkEnd w:id="363"/>
            <w:bookmarkEnd w:id="364"/>
            <w:bookmarkEnd w:id="365"/>
          </w:p>
        </w:tc>
      </w:tr>
      <w:tr w:rsidR="006063A4" w:rsidRPr="004D0D9D" w14:paraId="71EF0FE4" w14:textId="77777777">
        <w:trPr>
          <w:trHeight w:val="340"/>
        </w:trPr>
        <w:tc>
          <w:tcPr>
            <w:tcW w:w="1266" w:type="pct"/>
            <w:vAlign w:val="center"/>
            <w:hideMark/>
          </w:tcPr>
          <w:p w14:paraId="5CC30F33" w14:textId="77777777" w:rsidR="006063A4" w:rsidRPr="00BA6C11" w:rsidRDefault="006063A4" w:rsidP="00AE4107">
            <w:pPr>
              <w:rPr>
                <w:noProof/>
              </w:rPr>
            </w:pPr>
            <w:bookmarkStart w:id="366" w:name="_Toc212728823"/>
            <w:bookmarkStart w:id="367" w:name="_Toc212729097"/>
            <w:bookmarkStart w:id="368" w:name="_Toc212729349"/>
            <w:bookmarkStart w:id="369" w:name="_Toc215506293"/>
            <w:bookmarkStart w:id="370" w:name="_Toc222159344"/>
            <w:r w:rsidRPr="00BA6C11">
              <w:rPr>
                <w:noProof/>
              </w:rPr>
              <w:t>Chemicals</w:t>
            </w:r>
            <w:bookmarkEnd w:id="366"/>
            <w:bookmarkEnd w:id="367"/>
            <w:bookmarkEnd w:id="368"/>
            <w:bookmarkEnd w:id="369"/>
            <w:bookmarkEnd w:id="370"/>
          </w:p>
        </w:tc>
        <w:tc>
          <w:tcPr>
            <w:tcW w:w="1244" w:type="pct"/>
            <w:vAlign w:val="center"/>
            <w:hideMark/>
          </w:tcPr>
          <w:p w14:paraId="422B0DFD" w14:textId="22B88879" w:rsidR="006063A4" w:rsidRPr="00BA6C11" w:rsidRDefault="006063A4" w:rsidP="00AE4107">
            <w:pPr>
              <w:rPr>
                <w:noProof/>
              </w:rPr>
            </w:pPr>
            <w:bookmarkStart w:id="371" w:name="_Toc212728824"/>
            <w:bookmarkStart w:id="372" w:name="_Toc212729098"/>
            <w:bookmarkStart w:id="373" w:name="_Toc212729350"/>
            <w:bookmarkStart w:id="374" w:name="_Toc215506294"/>
            <w:bookmarkStart w:id="375" w:name="_Toc222159345"/>
            <w:r w:rsidRPr="00BA6C11">
              <w:rPr>
                <w:noProof/>
              </w:rPr>
              <w:t>8</w:t>
            </w:r>
            <w:r w:rsidR="00E81C4E" w:rsidRPr="00BA6C11">
              <w:rPr>
                <w:noProof/>
              </w:rPr>
              <w:t xml:space="preserve"> </w:t>
            </w:r>
            <w:r w:rsidRPr="00BA6C11">
              <w:rPr>
                <w:noProof/>
              </w:rPr>
              <w:t>370</w:t>
            </w:r>
            <w:bookmarkEnd w:id="371"/>
            <w:bookmarkEnd w:id="372"/>
            <w:bookmarkEnd w:id="373"/>
            <w:bookmarkEnd w:id="374"/>
            <w:bookmarkEnd w:id="375"/>
          </w:p>
        </w:tc>
        <w:tc>
          <w:tcPr>
            <w:tcW w:w="1245" w:type="pct"/>
            <w:vAlign w:val="center"/>
            <w:hideMark/>
          </w:tcPr>
          <w:p w14:paraId="08C4836C" w14:textId="77777777" w:rsidR="006063A4" w:rsidRPr="00BA6C11" w:rsidRDefault="006063A4" w:rsidP="00AE4107">
            <w:pPr>
              <w:rPr>
                <w:noProof/>
              </w:rPr>
            </w:pPr>
            <w:bookmarkStart w:id="376" w:name="_Toc212728825"/>
            <w:bookmarkStart w:id="377" w:name="_Toc212729099"/>
            <w:bookmarkStart w:id="378" w:name="_Toc212729351"/>
            <w:bookmarkStart w:id="379" w:name="_Toc215506295"/>
            <w:bookmarkStart w:id="380" w:name="_Toc222159346"/>
            <w:r w:rsidRPr="00BA6C11">
              <w:rPr>
                <w:noProof/>
              </w:rPr>
              <w:t>702</w:t>
            </w:r>
            <w:bookmarkEnd w:id="376"/>
            <w:bookmarkEnd w:id="377"/>
            <w:bookmarkEnd w:id="378"/>
            <w:bookmarkEnd w:id="379"/>
            <w:bookmarkEnd w:id="380"/>
          </w:p>
        </w:tc>
        <w:tc>
          <w:tcPr>
            <w:tcW w:w="1244" w:type="pct"/>
            <w:vAlign w:val="center"/>
            <w:hideMark/>
          </w:tcPr>
          <w:p w14:paraId="75F277E9" w14:textId="7302905E" w:rsidR="006063A4" w:rsidRPr="00BA6C11" w:rsidRDefault="006063A4" w:rsidP="00AE4107">
            <w:pPr>
              <w:rPr>
                <w:noProof/>
              </w:rPr>
            </w:pPr>
            <w:bookmarkStart w:id="381" w:name="_Toc212728826"/>
            <w:bookmarkStart w:id="382" w:name="_Toc212729100"/>
            <w:bookmarkStart w:id="383" w:name="_Toc212729352"/>
            <w:bookmarkStart w:id="384" w:name="_Toc215506296"/>
            <w:bookmarkStart w:id="385" w:name="_Toc222159347"/>
            <w:r w:rsidRPr="00BA6C11">
              <w:rPr>
                <w:noProof/>
              </w:rPr>
              <w:t>1</w:t>
            </w:r>
            <w:r w:rsidR="004D0D9D">
              <w:rPr>
                <w:noProof/>
              </w:rPr>
              <w:t xml:space="preserve"> </w:t>
            </w:r>
            <w:r w:rsidRPr="00BA6C11">
              <w:rPr>
                <w:noProof/>
              </w:rPr>
              <w:t>935</w:t>
            </w:r>
            <w:bookmarkEnd w:id="381"/>
            <w:bookmarkEnd w:id="382"/>
            <w:bookmarkEnd w:id="383"/>
            <w:bookmarkEnd w:id="384"/>
            <w:bookmarkEnd w:id="385"/>
          </w:p>
        </w:tc>
      </w:tr>
      <w:tr w:rsidR="006063A4" w:rsidRPr="004D0D9D" w14:paraId="6BD53024" w14:textId="77777777">
        <w:trPr>
          <w:trHeight w:val="340"/>
        </w:trPr>
        <w:tc>
          <w:tcPr>
            <w:tcW w:w="1266" w:type="pct"/>
            <w:vAlign w:val="center"/>
            <w:hideMark/>
          </w:tcPr>
          <w:p w14:paraId="7B418D8B" w14:textId="77777777" w:rsidR="006063A4" w:rsidRPr="00BA6C11" w:rsidRDefault="006063A4" w:rsidP="00AE4107">
            <w:pPr>
              <w:rPr>
                <w:noProof/>
              </w:rPr>
            </w:pPr>
            <w:bookmarkStart w:id="386" w:name="_Toc212728827"/>
            <w:bookmarkStart w:id="387" w:name="_Toc212729101"/>
            <w:bookmarkStart w:id="388" w:name="_Toc212729353"/>
            <w:bookmarkStart w:id="389" w:name="_Toc215506297"/>
            <w:bookmarkStart w:id="390" w:name="_Toc222159348"/>
            <w:r w:rsidRPr="00BA6C11">
              <w:rPr>
                <w:noProof/>
              </w:rPr>
              <w:t>Non-metallic mineral products (Total)</w:t>
            </w:r>
            <w:bookmarkEnd w:id="386"/>
            <w:bookmarkEnd w:id="387"/>
            <w:bookmarkEnd w:id="388"/>
            <w:bookmarkEnd w:id="389"/>
            <w:bookmarkEnd w:id="390"/>
          </w:p>
        </w:tc>
        <w:tc>
          <w:tcPr>
            <w:tcW w:w="1244" w:type="pct"/>
            <w:vAlign w:val="center"/>
            <w:hideMark/>
          </w:tcPr>
          <w:p w14:paraId="1CE0071B" w14:textId="676BAD32" w:rsidR="006063A4" w:rsidRPr="00BA6C11" w:rsidRDefault="006063A4" w:rsidP="00AE4107">
            <w:pPr>
              <w:rPr>
                <w:noProof/>
              </w:rPr>
            </w:pPr>
            <w:bookmarkStart w:id="391" w:name="_Toc212728828"/>
            <w:bookmarkStart w:id="392" w:name="_Toc212729102"/>
            <w:bookmarkStart w:id="393" w:name="_Toc212729354"/>
            <w:bookmarkStart w:id="394" w:name="_Toc215506298"/>
            <w:bookmarkStart w:id="395" w:name="_Toc222159349"/>
            <w:r w:rsidRPr="00BA6C11">
              <w:rPr>
                <w:noProof/>
              </w:rPr>
              <w:t>3</w:t>
            </w:r>
            <w:r w:rsidR="00E81C4E" w:rsidRPr="00BA6C11">
              <w:rPr>
                <w:noProof/>
              </w:rPr>
              <w:t xml:space="preserve"> </w:t>
            </w:r>
            <w:r w:rsidRPr="00BA6C11">
              <w:rPr>
                <w:noProof/>
              </w:rPr>
              <w:t>729</w:t>
            </w:r>
            <w:bookmarkEnd w:id="391"/>
            <w:bookmarkEnd w:id="392"/>
            <w:bookmarkEnd w:id="393"/>
            <w:bookmarkEnd w:id="394"/>
            <w:bookmarkEnd w:id="395"/>
          </w:p>
        </w:tc>
        <w:tc>
          <w:tcPr>
            <w:tcW w:w="1245" w:type="pct"/>
            <w:vAlign w:val="center"/>
            <w:hideMark/>
          </w:tcPr>
          <w:p w14:paraId="597D6927" w14:textId="77777777" w:rsidR="006063A4" w:rsidRPr="00BA6C11" w:rsidRDefault="006063A4" w:rsidP="00AE4107">
            <w:pPr>
              <w:rPr>
                <w:noProof/>
              </w:rPr>
            </w:pPr>
            <w:bookmarkStart w:id="396" w:name="_Toc212728829"/>
            <w:bookmarkStart w:id="397" w:name="_Toc212729103"/>
            <w:bookmarkStart w:id="398" w:name="_Toc212729355"/>
            <w:bookmarkStart w:id="399" w:name="_Toc215506299"/>
            <w:bookmarkStart w:id="400" w:name="_Toc222159350"/>
            <w:r w:rsidRPr="00BA6C11">
              <w:rPr>
                <w:noProof/>
              </w:rPr>
              <w:t>199</w:t>
            </w:r>
            <w:bookmarkEnd w:id="396"/>
            <w:bookmarkEnd w:id="397"/>
            <w:bookmarkEnd w:id="398"/>
            <w:bookmarkEnd w:id="399"/>
            <w:bookmarkEnd w:id="400"/>
          </w:p>
        </w:tc>
        <w:tc>
          <w:tcPr>
            <w:tcW w:w="1244" w:type="pct"/>
            <w:vAlign w:val="center"/>
            <w:hideMark/>
          </w:tcPr>
          <w:p w14:paraId="3B37EEE9" w14:textId="77777777" w:rsidR="006063A4" w:rsidRPr="00BA6C11" w:rsidRDefault="006063A4" w:rsidP="00AE4107">
            <w:pPr>
              <w:rPr>
                <w:noProof/>
              </w:rPr>
            </w:pPr>
            <w:bookmarkStart w:id="401" w:name="_Toc212728830"/>
            <w:bookmarkStart w:id="402" w:name="_Toc212729104"/>
            <w:bookmarkStart w:id="403" w:name="_Toc212729356"/>
            <w:bookmarkStart w:id="404" w:name="_Toc215506300"/>
            <w:bookmarkStart w:id="405" w:name="_Toc222159351"/>
            <w:r w:rsidRPr="00BA6C11">
              <w:rPr>
                <w:noProof/>
              </w:rPr>
              <w:t>542</w:t>
            </w:r>
            <w:bookmarkEnd w:id="401"/>
            <w:bookmarkEnd w:id="402"/>
            <w:bookmarkEnd w:id="403"/>
            <w:bookmarkEnd w:id="404"/>
            <w:bookmarkEnd w:id="405"/>
          </w:p>
        </w:tc>
      </w:tr>
      <w:tr w:rsidR="006063A4" w:rsidRPr="004D0D9D" w14:paraId="6C24829A" w14:textId="77777777">
        <w:trPr>
          <w:trHeight w:val="340"/>
        </w:trPr>
        <w:tc>
          <w:tcPr>
            <w:tcW w:w="1266" w:type="pct"/>
            <w:vAlign w:val="center"/>
            <w:hideMark/>
          </w:tcPr>
          <w:p w14:paraId="6CA4CA90" w14:textId="77777777" w:rsidR="006063A4" w:rsidRPr="00BA6C11" w:rsidRDefault="006063A4" w:rsidP="00AE4107">
            <w:pPr>
              <w:rPr>
                <w:noProof/>
              </w:rPr>
            </w:pPr>
            <w:bookmarkStart w:id="406" w:name="_Toc212728831"/>
            <w:bookmarkStart w:id="407" w:name="_Toc212729105"/>
            <w:bookmarkStart w:id="408" w:name="_Toc212729357"/>
            <w:bookmarkStart w:id="409" w:name="_Toc215506301"/>
            <w:bookmarkStart w:id="410" w:name="_Toc222159352"/>
            <w:r w:rsidRPr="00BA6C11">
              <w:rPr>
                <w:noProof/>
              </w:rPr>
              <w:t>Non-metallic mineral products (Cement)</w:t>
            </w:r>
            <w:bookmarkEnd w:id="406"/>
            <w:bookmarkEnd w:id="407"/>
            <w:bookmarkEnd w:id="408"/>
            <w:bookmarkEnd w:id="409"/>
            <w:bookmarkEnd w:id="410"/>
          </w:p>
        </w:tc>
        <w:tc>
          <w:tcPr>
            <w:tcW w:w="1244" w:type="pct"/>
            <w:vAlign w:val="center"/>
            <w:hideMark/>
          </w:tcPr>
          <w:p w14:paraId="08FBEF53" w14:textId="14F1B185" w:rsidR="006063A4" w:rsidRPr="00BA6C11" w:rsidRDefault="006063A4" w:rsidP="00AE4107">
            <w:pPr>
              <w:rPr>
                <w:noProof/>
              </w:rPr>
            </w:pPr>
            <w:bookmarkStart w:id="411" w:name="_Toc212728832"/>
            <w:bookmarkStart w:id="412" w:name="_Toc212729106"/>
            <w:bookmarkStart w:id="413" w:name="_Toc212729358"/>
            <w:bookmarkStart w:id="414" w:name="_Toc215506302"/>
            <w:bookmarkStart w:id="415" w:name="_Toc222159353"/>
            <w:r w:rsidRPr="00BA6C11">
              <w:rPr>
                <w:noProof/>
              </w:rPr>
              <w:t>1</w:t>
            </w:r>
            <w:r w:rsidR="00E81C4E" w:rsidRPr="00BA6C11">
              <w:rPr>
                <w:noProof/>
              </w:rPr>
              <w:t xml:space="preserve"> </w:t>
            </w:r>
            <w:r w:rsidRPr="00BA6C11">
              <w:rPr>
                <w:noProof/>
              </w:rPr>
              <w:t>780</w:t>
            </w:r>
            <w:bookmarkEnd w:id="411"/>
            <w:bookmarkEnd w:id="412"/>
            <w:bookmarkEnd w:id="413"/>
            <w:bookmarkEnd w:id="414"/>
            <w:bookmarkEnd w:id="415"/>
          </w:p>
        </w:tc>
        <w:tc>
          <w:tcPr>
            <w:tcW w:w="1245" w:type="pct"/>
            <w:vAlign w:val="center"/>
            <w:hideMark/>
          </w:tcPr>
          <w:p w14:paraId="4419041E" w14:textId="77777777" w:rsidR="006063A4" w:rsidRPr="00BA6C11" w:rsidRDefault="006063A4" w:rsidP="00AE4107">
            <w:pPr>
              <w:rPr>
                <w:noProof/>
              </w:rPr>
            </w:pPr>
            <w:bookmarkStart w:id="416" w:name="_Toc212728833"/>
            <w:bookmarkStart w:id="417" w:name="_Toc212729107"/>
            <w:bookmarkStart w:id="418" w:name="_Toc212729359"/>
            <w:bookmarkStart w:id="419" w:name="_Toc215506303"/>
            <w:bookmarkStart w:id="420" w:name="_Toc222159354"/>
            <w:r w:rsidRPr="00BA6C11">
              <w:rPr>
                <w:noProof/>
              </w:rPr>
              <w:t>110</w:t>
            </w:r>
            <w:bookmarkEnd w:id="416"/>
            <w:bookmarkEnd w:id="417"/>
            <w:bookmarkEnd w:id="418"/>
            <w:bookmarkEnd w:id="419"/>
            <w:bookmarkEnd w:id="420"/>
          </w:p>
        </w:tc>
        <w:tc>
          <w:tcPr>
            <w:tcW w:w="1244" w:type="pct"/>
            <w:vAlign w:val="center"/>
            <w:hideMark/>
          </w:tcPr>
          <w:p w14:paraId="0EBFB8E3" w14:textId="77777777" w:rsidR="006063A4" w:rsidRPr="00BA6C11" w:rsidRDefault="006063A4" w:rsidP="00AE4107">
            <w:pPr>
              <w:rPr>
                <w:noProof/>
              </w:rPr>
            </w:pPr>
            <w:bookmarkStart w:id="421" w:name="_Toc212728834"/>
            <w:bookmarkStart w:id="422" w:name="_Toc212729108"/>
            <w:bookmarkStart w:id="423" w:name="_Toc212729360"/>
            <w:bookmarkStart w:id="424" w:name="_Toc215506304"/>
            <w:bookmarkStart w:id="425" w:name="_Toc222159355"/>
            <w:r w:rsidRPr="00BA6C11">
              <w:rPr>
                <w:noProof/>
              </w:rPr>
              <w:t>300</w:t>
            </w:r>
            <w:bookmarkEnd w:id="421"/>
            <w:bookmarkEnd w:id="422"/>
            <w:bookmarkEnd w:id="423"/>
            <w:bookmarkEnd w:id="424"/>
            <w:bookmarkEnd w:id="425"/>
          </w:p>
        </w:tc>
      </w:tr>
      <w:tr w:rsidR="006063A4" w:rsidRPr="004D0D9D" w14:paraId="049DADC7" w14:textId="77777777">
        <w:trPr>
          <w:trHeight w:val="340"/>
        </w:trPr>
        <w:tc>
          <w:tcPr>
            <w:tcW w:w="1266" w:type="pct"/>
            <w:vAlign w:val="center"/>
            <w:hideMark/>
          </w:tcPr>
          <w:p w14:paraId="4FB3393E" w14:textId="77777777" w:rsidR="006063A4" w:rsidRPr="00BA6C11" w:rsidRDefault="006063A4" w:rsidP="00AE4107">
            <w:pPr>
              <w:rPr>
                <w:noProof/>
              </w:rPr>
            </w:pPr>
            <w:bookmarkStart w:id="426" w:name="_Toc212728835"/>
            <w:bookmarkStart w:id="427" w:name="_Toc212729109"/>
            <w:bookmarkStart w:id="428" w:name="_Toc212729361"/>
            <w:bookmarkStart w:id="429" w:name="_Toc215506305"/>
            <w:bookmarkStart w:id="430" w:name="_Toc222159356"/>
            <w:r w:rsidRPr="00BA6C11">
              <w:rPr>
                <w:noProof/>
              </w:rPr>
              <w:lastRenderedPageBreak/>
              <w:t>Basic metals (Total)</w:t>
            </w:r>
            <w:bookmarkEnd w:id="426"/>
            <w:bookmarkEnd w:id="427"/>
            <w:bookmarkEnd w:id="428"/>
            <w:bookmarkEnd w:id="429"/>
            <w:bookmarkEnd w:id="430"/>
          </w:p>
        </w:tc>
        <w:tc>
          <w:tcPr>
            <w:tcW w:w="1244" w:type="pct"/>
            <w:vAlign w:val="center"/>
            <w:hideMark/>
          </w:tcPr>
          <w:p w14:paraId="29A7DD8F" w14:textId="3F9226FA" w:rsidR="006063A4" w:rsidRPr="00BA6C11" w:rsidRDefault="006063A4" w:rsidP="00AE4107">
            <w:pPr>
              <w:rPr>
                <w:noProof/>
              </w:rPr>
            </w:pPr>
            <w:bookmarkStart w:id="431" w:name="_Toc212728836"/>
            <w:bookmarkStart w:id="432" w:name="_Toc212729110"/>
            <w:bookmarkStart w:id="433" w:name="_Toc212729362"/>
            <w:bookmarkStart w:id="434" w:name="_Toc215506306"/>
            <w:bookmarkStart w:id="435" w:name="_Toc222159357"/>
            <w:r w:rsidRPr="00BA6C11">
              <w:rPr>
                <w:noProof/>
              </w:rPr>
              <w:t>1</w:t>
            </w:r>
            <w:r w:rsidR="00E81C4E" w:rsidRPr="00BA6C11">
              <w:rPr>
                <w:noProof/>
              </w:rPr>
              <w:t xml:space="preserve"> </w:t>
            </w:r>
            <w:r w:rsidRPr="00BA6C11">
              <w:rPr>
                <w:noProof/>
              </w:rPr>
              <w:t>945</w:t>
            </w:r>
            <w:bookmarkEnd w:id="431"/>
            <w:bookmarkEnd w:id="432"/>
            <w:bookmarkEnd w:id="433"/>
            <w:bookmarkEnd w:id="434"/>
            <w:bookmarkEnd w:id="435"/>
          </w:p>
        </w:tc>
        <w:tc>
          <w:tcPr>
            <w:tcW w:w="1245" w:type="pct"/>
            <w:vAlign w:val="center"/>
            <w:hideMark/>
          </w:tcPr>
          <w:p w14:paraId="27EB8F37" w14:textId="77777777" w:rsidR="006063A4" w:rsidRPr="00BA6C11" w:rsidRDefault="006063A4" w:rsidP="00AE4107">
            <w:pPr>
              <w:rPr>
                <w:noProof/>
              </w:rPr>
            </w:pPr>
            <w:bookmarkStart w:id="436" w:name="_Toc212728837"/>
            <w:bookmarkStart w:id="437" w:name="_Toc212729111"/>
            <w:bookmarkStart w:id="438" w:name="_Toc212729363"/>
            <w:bookmarkStart w:id="439" w:name="_Toc215506307"/>
            <w:bookmarkStart w:id="440" w:name="_Toc222159358"/>
            <w:r w:rsidRPr="00BA6C11">
              <w:rPr>
                <w:noProof/>
              </w:rPr>
              <w:t>101</w:t>
            </w:r>
            <w:bookmarkEnd w:id="436"/>
            <w:bookmarkEnd w:id="437"/>
            <w:bookmarkEnd w:id="438"/>
            <w:bookmarkEnd w:id="439"/>
            <w:bookmarkEnd w:id="440"/>
          </w:p>
        </w:tc>
        <w:tc>
          <w:tcPr>
            <w:tcW w:w="1244" w:type="pct"/>
            <w:vAlign w:val="center"/>
            <w:hideMark/>
          </w:tcPr>
          <w:p w14:paraId="12E209C6" w14:textId="77777777" w:rsidR="006063A4" w:rsidRPr="00BA6C11" w:rsidRDefault="006063A4" w:rsidP="00AE4107">
            <w:pPr>
              <w:rPr>
                <w:noProof/>
              </w:rPr>
            </w:pPr>
            <w:bookmarkStart w:id="441" w:name="_Toc212728838"/>
            <w:bookmarkStart w:id="442" w:name="_Toc212729112"/>
            <w:bookmarkStart w:id="443" w:name="_Toc212729364"/>
            <w:bookmarkStart w:id="444" w:name="_Toc215506308"/>
            <w:bookmarkStart w:id="445" w:name="_Toc222159359"/>
            <w:r w:rsidRPr="00BA6C11">
              <w:rPr>
                <w:noProof/>
              </w:rPr>
              <w:t>410</w:t>
            </w:r>
            <w:bookmarkEnd w:id="441"/>
            <w:bookmarkEnd w:id="442"/>
            <w:bookmarkEnd w:id="443"/>
            <w:bookmarkEnd w:id="444"/>
            <w:bookmarkEnd w:id="445"/>
          </w:p>
        </w:tc>
      </w:tr>
      <w:tr w:rsidR="006063A4" w:rsidRPr="004D0D9D" w14:paraId="68A83497" w14:textId="77777777">
        <w:trPr>
          <w:trHeight w:val="340"/>
        </w:trPr>
        <w:tc>
          <w:tcPr>
            <w:tcW w:w="1266" w:type="pct"/>
            <w:vAlign w:val="center"/>
            <w:hideMark/>
          </w:tcPr>
          <w:p w14:paraId="30204B4A" w14:textId="77777777" w:rsidR="006063A4" w:rsidRPr="00BA6C11" w:rsidRDefault="006063A4" w:rsidP="00AE4107">
            <w:pPr>
              <w:rPr>
                <w:noProof/>
              </w:rPr>
            </w:pPr>
            <w:bookmarkStart w:id="446" w:name="_Toc212728839"/>
            <w:bookmarkStart w:id="447" w:name="_Toc212729113"/>
            <w:bookmarkStart w:id="448" w:name="_Toc212729365"/>
            <w:bookmarkStart w:id="449" w:name="_Toc215506309"/>
            <w:bookmarkStart w:id="450" w:name="_Toc222159360"/>
            <w:r w:rsidRPr="00BA6C11">
              <w:rPr>
                <w:noProof/>
              </w:rPr>
              <w:t>Basic metals (Steel Upper Value Chain)</w:t>
            </w:r>
            <w:bookmarkEnd w:id="446"/>
            <w:bookmarkEnd w:id="447"/>
            <w:bookmarkEnd w:id="448"/>
            <w:bookmarkEnd w:id="449"/>
            <w:bookmarkEnd w:id="450"/>
          </w:p>
        </w:tc>
        <w:tc>
          <w:tcPr>
            <w:tcW w:w="1244" w:type="pct"/>
            <w:vAlign w:val="center"/>
            <w:hideMark/>
          </w:tcPr>
          <w:p w14:paraId="61F51EDC" w14:textId="77777777" w:rsidR="006063A4" w:rsidRPr="00BA6C11" w:rsidRDefault="006063A4" w:rsidP="00AE4107">
            <w:pPr>
              <w:rPr>
                <w:noProof/>
              </w:rPr>
            </w:pPr>
            <w:bookmarkStart w:id="451" w:name="_Toc212728840"/>
            <w:bookmarkStart w:id="452" w:name="_Toc212729114"/>
            <w:bookmarkStart w:id="453" w:name="_Toc212729366"/>
            <w:bookmarkStart w:id="454" w:name="_Toc215506310"/>
            <w:bookmarkStart w:id="455" w:name="_Toc222159361"/>
            <w:r w:rsidRPr="00BA6C11">
              <w:rPr>
                <w:noProof/>
              </w:rPr>
              <w:t>714</w:t>
            </w:r>
            <w:bookmarkEnd w:id="451"/>
            <w:bookmarkEnd w:id="452"/>
            <w:bookmarkEnd w:id="453"/>
            <w:bookmarkEnd w:id="454"/>
            <w:bookmarkEnd w:id="455"/>
          </w:p>
        </w:tc>
        <w:tc>
          <w:tcPr>
            <w:tcW w:w="1245" w:type="pct"/>
            <w:vAlign w:val="center"/>
            <w:hideMark/>
          </w:tcPr>
          <w:p w14:paraId="13ADDAFB" w14:textId="77777777" w:rsidR="006063A4" w:rsidRPr="00BA6C11" w:rsidRDefault="006063A4" w:rsidP="00AE4107">
            <w:pPr>
              <w:rPr>
                <w:noProof/>
              </w:rPr>
            </w:pPr>
            <w:bookmarkStart w:id="456" w:name="_Toc212728841"/>
            <w:bookmarkStart w:id="457" w:name="_Toc212729115"/>
            <w:bookmarkStart w:id="458" w:name="_Toc212729367"/>
            <w:bookmarkStart w:id="459" w:name="_Toc215506311"/>
            <w:bookmarkStart w:id="460" w:name="_Toc222159362"/>
            <w:r w:rsidRPr="00BA6C11">
              <w:rPr>
                <w:noProof/>
              </w:rPr>
              <w:t>38</w:t>
            </w:r>
            <w:bookmarkEnd w:id="456"/>
            <w:bookmarkEnd w:id="457"/>
            <w:bookmarkEnd w:id="458"/>
            <w:bookmarkEnd w:id="459"/>
            <w:bookmarkEnd w:id="460"/>
          </w:p>
        </w:tc>
        <w:tc>
          <w:tcPr>
            <w:tcW w:w="1244" w:type="pct"/>
            <w:vAlign w:val="center"/>
            <w:hideMark/>
          </w:tcPr>
          <w:p w14:paraId="0FB688BB" w14:textId="77777777" w:rsidR="006063A4" w:rsidRPr="00BA6C11" w:rsidRDefault="006063A4" w:rsidP="00AE4107">
            <w:pPr>
              <w:rPr>
                <w:noProof/>
              </w:rPr>
            </w:pPr>
            <w:bookmarkStart w:id="461" w:name="_Toc212728842"/>
            <w:bookmarkStart w:id="462" w:name="_Toc212729116"/>
            <w:bookmarkStart w:id="463" w:name="_Toc212729368"/>
            <w:bookmarkStart w:id="464" w:name="_Toc215506312"/>
            <w:bookmarkStart w:id="465" w:name="_Toc222159363"/>
            <w:r w:rsidRPr="00BA6C11">
              <w:rPr>
                <w:noProof/>
              </w:rPr>
              <w:t>188</w:t>
            </w:r>
            <w:bookmarkEnd w:id="461"/>
            <w:bookmarkEnd w:id="462"/>
            <w:bookmarkEnd w:id="463"/>
            <w:bookmarkEnd w:id="464"/>
            <w:bookmarkEnd w:id="465"/>
          </w:p>
        </w:tc>
      </w:tr>
      <w:tr w:rsidR="006063A4" w:rsidRPr="004D0D9D" w14:paraId="7E2CE755" w14:textId="77777777">
        <w:trPr>
          <w:trHeight w:val="340"/>
        </w:trPr>
        <w:tc>
          <w:tcPr>
            <w:tcW w:w="1266" w:type="pct"/>
            <w:vAlign w:val="center"/>
            <w:hideMark/>
          </w:tcPr>
          <w:p w14:paraId="17F669B6" w14:textId="77777777" w:rsidR="006063A4" w:rsidRPr="00BA6C11" w:rsidRDefault="006063A4" w:rsidP="00AE4107">
            <w:pPr>
              <w:rPr>
                <w:noProof/>
              </w:rPr>
            </w:pPr>
            <w:bookmarkStart w:id="466" w:name="_Toc212728843"/>
            <w:bookmarkStart w:id="467" w:name="_Toc212729117"/>
            <w:bookmarkStart w:id="468" w:name="_Toc212729369"/>
            <w:bookmarkStart w:id="469" w:name="_Toc215506313"/>
            <w:bookmarkStart w:id="470" w:name="_Toc222159364"/>
            <w:r w:rsidRPr="00BA6C11">
              <w:rPr>
                <w:noProof/>
              </w:rPr>
              <w:t>Basic metals (Aluminium)</w:t>
            </w:r>
            <w:bookmarkEnd w:id="466"/>
            <w:bookmarkEnd w:id="467"/>
            <w:bookmarkEnd w:id="468"/>
            <w:bookmarkEnd w:id="469"/>
            <w:bookmarkEnd w:id="470"/>
          </w:p>
        </w:tc>
        <w:tc>
          <w:tcPr>
            <w:tcW w:w="1244" w:type="pct"/>
            <w:vAlign w:val="center"/>
            <w:hideMark/>
          </w:tcPr>
          <w:p w14:paraId="63423153" w14:textId="77777777" w:rsidR="006063A4" w:rsidRPr="00BA6C11" w:rsidRDefault="006063A4" w:rsidP="00AE4107">
            <w:pPr>
              <w:rPr>
                <w:noProof/>
              </w:rPr>
            </w:pPr>
            <w:bookmarkStart w:id="471" w:name="_Toc212728844"/>
            <w:bookmarkStart w:id="472" w:name="_Toc212729118"/>
            <w:bookmarkStart w:id="473" w:name="_Toc212729370"/>
            <w:bookmarkStart w:id="474" w:name="_Toc215506314"/>
            <w:bookmarkStart w:id="475" w:name="_Toc222159365"/>
            <w:r w:rsidRPr="00BA6C11">
              <w:rPr>
                <w:noProof/>
              </w:rPr>
              <w:t>458</w:t>
            </w:r>
            <w:bookmarkEnd w:id="471"/>
            <w:bookmarkEnd w:id="472"/>
            <w:bookmarkEnd w:id="473"/>
            <w:bookmarkEnd w:id="474"/>
            <w:bookmarkEnd w:id="475"/>
          </w:p>
        </w:tc>
        <w:tc>
          <w:tcPr>
            <w:tcW w:w="1245" w:type="pct"/>
            <w:vAlign w:val="center"/>
            <w:hideMark/>
          </w:tcPr>
          <w:p w14:paraId="7D6B1E8E" w14:textId="77777777" w:rsidR="006063A4" w:rsidRPr="00BA6C11" w:rsidRDefault="006063A4" w:rsidP="00AE4107">
            <w:pPr>
              <w:rPr>
                <w:noProof/>
              </w:rPr>
            </w:pPr>
            <w:bookmarkStart w:id="476" w:name="_Toc212728845"/>
            <w:bookmarkStart w:id="477" w:name="_Toc212729119"/>
            <w:bookmarkStart w:id="478" w:name="_Toc212729371"/>
            <w:bookmarkStart w:id="479" w:name="_Toc215506315"/>
            <w:bookmarkStart w:id="480" w:name="_Toc222159366"/>
            <w:r w:rsidRPr="00BA6C11">
              <w:rPr>
                <w:noProof/>
              </w:rPr>
              <w:t>20</w:t>
            </w:r>
            <w:bookmarkEnd w:id="476"/>
            <w:bookmarkEnd w:id="477"/>
            <w:bookmarkEnd w:id="478"/>
            <w:bookmarkEnd w:id="479"/>
            <w:bookmarkEnd w:id="480"/>
          </w:p>
        </w:tc>
        <w:tc>
          <w:tcPr>
            <w:tcW w:w="1244" w:type="pct"/>
            <w:vAlign w:val="center"/>
            <w:hideMark/>
          </w:tcPr>
          <w:p w14:paraId="118032E3" w14:textId="77777777" w:rsidR="006063A4" w:rsidRPr="00BA6C11" w:rsidRDefault="006063A4" w:rsidP="00AE4107">
            <w:pPr>
              <w:rPr>
                <w:noProof/>
              </w:rPr>
            </w:pPr>
            <w:bookmarkStart w:id="481" w:name="_Toc212728846"/>
            <w:bookmarkStart w:id="482" w:name="_Toc212729120"/>
            <w:bookmarkStart w:id="483" w:name="_Toc212729372"/>
            <w:bookmarkStart w:id="484" w:name="_Toc215506316"/>
            <w:bookmarkStart w:id="485" w:name="_Toc222159367"/>
            <w:r w:rsidRPr="00BA6C11">
              <w:rPr>
                <w:noProof/>
              </w:rPr>
              <w:t>131</w:t>
            </w:r>
            <w:bookmarkEnd w:id="481"/>
            <w:bookmarkEnd w:id="482"/>
            <w:bookmarkEnd w:id="483"/>
            <w:bookmarkEnd w:id="484"/>
            <w:bookmarkEnd w:id="485"/>
          </w:p>
        </w:tc>
      </w:tr>
    </w:tbl>
    <w:p w14:paraId="1BB3A2EA" w14:textId="77777777" w:rsidR="006063A4" w:rsidRPr="00FF63D1" w:rsidRDefault="006063A4" w:rsidP="006063A4">
      <w:pPr>
        <w:pStyle w:val="JRCText"/>
        <w:ind w:left="360"/>
        <w:rPr>
          <w:rFonts w:ascii="Times New Roman" w:hAnsi="Times New Roman" w:cs="Times New Roman"/>
          <w:b/>
          <w:i/>
          <w:noProof/>
          <w:color w:val="000000" w:themeColor="text1"/>
        </w:rPr>
      </w:pPr>
    </w:p>
    <w:p w14:paraId="00CEDF1B" w14:textId="5B7DDD5F" w:rsidR="00586BD4" w:rsidRPr="00501312" w:rsidDel="00EB19D8" w:rsidRDefault="00586BD4" w:rsidP="00CF0E7B">
      <w:pPr>
        <w:pStyle w:val="JRCText"/>
        <w:ind w:firstLine="360"/>
        <w:jc w:val="both"/>
        <w:rPr>
          <w:rFonts w:ascii="Times New Roman" w:hAnsi="Times New Roman" w:cs="Times New Roman"/>
          <w:b/>
          <w:noProof/>
          <w:sz w:val="24"/>
          <w:szCs w:val="24"/>
        </w:rPr>
      </w:pPr>
      <w:r w:rsidRPr="00501312" w:rsidDel="00EB19D8">
        <w:rPr>
          <w:rFonts w:ascii="Times New Roman" w:hAnsi="Times New Roman" w:cs="Times New Roman"/>
          <w:b/>
          <w:noProof/>
          <w:sz w:val="24"/>
          <w:szCs w:val="24"/>
        </w:rPr>
        <w:t xml:space="preserve">LEAD_SOL </w:t>
      </w:r>
    </w:p>
    <w:p w14:paraId="2E735E75" w14:textId="4BB8060E" w:rsidR="0092573D" w:rsidRPr="00F261DB" w:rsidRDefault="00712753" w:rsidP="00501312">
      <w:pPr>
        <w:pStyle w:val="ListParagraph"/>
        <w:numPr>
          <w:ilvl w:val="0"/>
          <w:numId w:val="42"/>
        </w:numPr>
        <w:rPr>
          <w:rFonts w:cs="Times New Roman"/>
          <w:noProof/>
          <w:szCs w:val="24"/>
        </w:rPr>
      </w:pPr>
      <w:r w:rsidRPr="00F261DB">
        <w:rPr>
          <w:rFonts w:cs="Times New Roman"/>
          <w:noProof/>
          <w:szCs w:val="24"/>
        </w:rPr>
        <w:t xml:space="preserve">At full GW-scale production, each gigawatt of solar PV manufacturing capacity is estimated to generate around </w:t>
      </w:r>
      <w:r w:rsidRPr="00E71388">
        <w:rPr>
          <w:rFonts w:cs="Times New Roman"/>
          <w:noProof/>
          <w:szCs w:val="24"/>
        </w:rPr>
        <w:t>1</w:t>
      </w:r>
      <w:r w:rsidR="00B8591D">
        <w:rPr>
          <w:rFonts w:cs="Times New Roman"/>
          <w:noProof/>
          <w:szCs w:val="24"/>
        </w:rPr>
        <w:t xml:space="preserve"> </w:t>
      </w:r>
      <w:r w:rsidRPr="00E71388">
        <w:rPr>
          <w:rFonts w:cs="Times New Roman"/>
          <w:noProof/>
          <w:szCs w:val="24"/>
        </w:rPr>
        <w:t>065 direct full-time jobs</w:t>
      </w:r>
      <w:r w:rsidRPr="00F261DB">
        <w:rPr>
          <w:rFonts w:cs="Times New Roman"/>
          <w:noProof/>
          <w:szCs w:val="24"/>
        </w:rPr>
        <w:t xml:space="preserve">, including approximately </w:t>
      </w:r>
      <w:r w:rsidRPr="00E71388">
        <w:rPr>
          <w:rFonts w:cs="Times New Roman"/>
          <w:noProof/>
          <w:szCs w:val="24"/>
        </w:rPr>
        <w:t>70 in polysilicon</w:t>
      </w:r>
      <w:r w:rsidRPr="00F261DB">
        <w:rPr>
          <w:rFonts w:cs="Times New Roman"/>
          <w:noProof/>
          <w:szCs w:val="24"/>
        </w:rPr>
        <w:t xml:space="preserve">, </w:t>
      </w:r>
      <w:r w:rsidRPr="00E71388">
        <w:rPr>
          <w:rFonts w:cs="Times New Roman"/>
          <w:noProof/>
          <w:szCs w:val="24"/>
        </w:rPr>
        <w:t>75 in ingot production</w:t>
      </w:r>
      <w:r w:rsidRPr="00F261DB">
        <w:rPr>
          <w:rFonts w:cs="Times New Roman"/>
          <w:noProof/>
          <w:szCs w:val="24"/>
        </w:rPr>
        <w:t xml:space="preserve">, </w:t>
      </w:r>
      <w:r w:rsidRPr="00E71388">
        <w:rPr>
          <w:rFonts w:cs="Times New Roman"/>
          <w:noProof/>
          <w:szCs w:val="24"/>
        </w:rPr>
        <w:t>75 in wafering</w:t>
      </w:r>
      <w:r w:rsidRPr="00F261DB">
        <w:rPr>
          <w:rFonts w:cs="Times New Roman"/>
          <w:noProof/>
          <w:szCs w:val="24"/>
        </w:rPr>
        <w:t xml:space="preserve">, </w:t>
      </w:r>
      <w:r w:rsidRPr="00E71388">
        <w:rPr>
          <w:rFonts w:cs="Times New Roman"/>
          <w:noProof/>
          <w:szCs w:val="24"/>
        </w:rPr>
        <w:t>200 in cell manufacturing</w:t>
      </w:r>
      <w:r w:rsidRPr="00F261DB">
        <w:rPr>
          <w:rFonts w:cs="Times New Roman"/>
          <w:noProof/>
          <w:szCs w:val="24"/>
        </w:rPr>
        <w:t xml:space="preserve">, </w:t>
      </w:r>
      <w:r w:rsidRPr="00E71388">
        <w:rPr>
          <w:rFonts w:cs="Times New Roman"/>
          <w:noProof/>
          <w:szCs w:val="24"/>
        </w:rPr>
        <w:t>85 in solar glass</w:t>
      </w:r>
      <w:r w:rsidRPr="00F261DB">
        <w:rPr>
          <w:rFonts w:cs="Times New Roman"/>
          <w:noProof/>
          <w:szCs w:val="24"/>
        </w:rPr>
        <w:t xml:space="preserve">, </w:t>
      </w:r>
      <w:r w:rsidRPr="00E71388">
        <w:rPr>
          <w:rFonts w:cs="Times New Roman"/>
          <w:noProof/>
          <w:szCs w:val="24"/>
        </w:rPr>
        <w:t>200 in module assembly</w:t>
      </w:r>
      <w:r w:rsidRPr="00F261DB">
        <w:rPr>
          <w:rFonts w:cs="Times New Roman"/>
          <w:noProof/>
          <w:szCs w:val="24"/>
        </w:rPr>
        <w:t xml:space="preserve">, and </w:t>
      </w:r>
      <w:r w:rsidRPr="00E71388">
        <w:rPr>
          <w:rFonts w:cs="Times New Roman"/>
          <w:noProof/>
          <w:szCs w:val="24"/>
        </w:rPr>
        <w:t>360 in inverter production</w:t>
      </w:r>
      <w:r w:rsidRPr="00F261DB">
        <w:rPr>
          <w:rFonts w:cs="Times New Roman"/>
          <w:noProof/>
          <w:szCs w:val="24"/>
        </w:rPr>
        <w:t xml:space="preserve">. Applying an </w:t>
      </w:r>
      <w:r w:rsidRPr="00E71388">
        <w:rPr>
          <w:rFonts w:cs="Times New Roman"/>
          <w:noProof/>
          <w:szCs w:val="24"/>
        </w:rPr>
        <w:t>indirect jobs multiplier of 1.5</w:t>
      </w:r>
      <w:r w:rsidRPr="00F261DB">
        <w:rPr>
          <w:rFonts w:cs="Times New Roman"/>
          <w:noProof/>
          <w:szCs w:val="24"/>
        </w:rPr>
        <w:t xml:space="preserve">, this results in an additional </w:t>
      </w:r>
      <w:r w:rsidRPr="00E71388">
        <w:rPr>
          <w:rFonts w:cs="Times New Roman"/>
          <w:noProof/>
          <w:szCs w:val="24"/>
        </w:rPr>
        <w:t>1</w:t>
      </w:r>
      <w:r w:rsidR="00B114A4">
        <w:rPr>
          <w:rFonts w:cs="Times New Roman"/>
          <w:noProof/>
          <w:szCs w:val="24"/>
        </w:rPr>
        <w:t xml:space="preserve"> </w:t>
      </w:r>
      <w:r w:rsidRPr="00E71388">
        <w:rPr>
          <w:rFonts w:cs="Times New Roman"/>
          <w:noProof/>
          <w:szCs w:val="24"/>
        </w:rPr>
        <w:t>598 indirect jobs</w:t>
      </w:r>
      <w:r w:rsidRPr="00F261DB">
        <w:rPr>
          <w:rFonts w:cs="Times New Roman"/>
          <w:noProof/>
          <w:szCs w:val="24"/>
        </w:rPr>
        <w:t xml:space="preserve">, bringing the </w:t>
      </w:r>
      <w:r w:rsidRPr="00E71388">
        <w:rPr>
          <w:rFonts w:cs="Times New Roman"/>
          <w:noProof/>
          <w:szCs w:val="24"/>
        </w:rPr>
        <w:t>total employment impact to roughly 2</w:t>
      </w:r>
      <w:r w:rsidR="00B114A4">
        <w:rPr>
          <w:rFonts w:cs="Times New Roman"/>
          <w:noProof/>
          <w:szCs w:val="24"/>
        </w:rPr>
        <w:t xml:space="preserve"> </w:t>
      </w:r>
      <w:r w:rsidRPr="00E71388">
        <w:rPr>
          <w:rFonts w:cs="Times New Roman"/>
          <w:noProof/>
          <w:szCs w:val="24"/>
        </w:rPr>
        <w:t>663 jobs per GW</w:t>
      </w:r>
      <w:r w:rsidRPr="00F261DB">
        <w:rPr>
          <w:rFonts w:cs="Times New Roman"/>
          <w:noProof/>
          <w:szCs w:val="24"/>
        </w:rPr>
        <w:t>.</w:t>
      </w:r>
      <w:r w:rsidR="000D39F1" w:rsidRPr="00F261DB">
        <w:rPr>
          <w:rFonts w:cs="Times New Roman"/>
          <w:noProof/>
          <w:szCs w:val="24"/>
        </w:rPr>
        <w:t xml:space="preserve"> </w:t>
      </w:r>
    </w:p>
    <w:p w14:paraId="5ADFCEB8" w14:textId="6FC8A909" w:rsidR="007A16A0" w:rsidRDefault="004F1E53" w:rsidP="00501312">
      <w:pPr>
        <w:pStyle w:val="ListParagraph"/>
        <w:numPr>
          <w:ilvl w:val="0"/>
          <w:numId w:val="42"/>
        </w:numPr>
        <w:rPr>
          <w:rFonts w:cs="Times New Roman"/>
          <w:noProof/>
          <w:szCs w:val="24"/>
        </w:rPr>
      </w:pPr>
      <w:r w:rsidRPr="00FF63D1">
        <w:rPr>
          <w:rFonts w:cs="Times New Roman"/>
          <w:noProof/>
          <w:szCs w:val="24"/>
        </w:rPr>
        <w:t xml:space="preserve">For private procurement, targeting the remaining market, </w:t>
      </w:r>
      <w:r w:rsidRPr="00E71388">
        <w:rPr>
          <w:rFonts w:cs="Times New Roman"/>
          <w:noProof/>
          <w:szCs w:val="24"/>
        </w:rPr>
        <w:t>114</w:t>
      </w:r>
      <w:r w:rsidR="00D7393A">
        <w:rPr>
          <w:rFonts w:cs="Times New Roman"/>
          <w:noProof/>
          <w:szCs w:val="24"/>
        </w:rPr>
        <w:t xml:space="preserve"> </w:t>
      </w:r>
      <w:r w:rsidRPr="00E71388">
        <w:rPr>
          <w:rFonts w:cs="Times New Roman"/>
          <w:noProof/>
          <w:szCs w:val="24"/>
        </w:rPr>
        <w:t xml:space="preserve">243 jobs </w:t>
      </w:r>
      <w:r w:rsidR="0017456A" w:rsidRPr="00E71388">
        <w:rPr>
          <w:rFonts w:cs="Times New Roman"/>
          <w:noProof/>
          <w:szCs w:val="24"/>
        </w:rPr>
        <w:t xml:space="preserve">could be created (should it apply to </w:t>
      </w:r>
      <w:r w:rsidR="005D20CF" w:rsidRPr="00E71388">
        <w:rPr>
          <w:rFonts w:cs="Times New Roman"/>
          <w:noProof/>
          <w:szCs w:val="24"/>
        </w:rPr>
        <w:t>over 40GW).</w:t>
      </w:r>
      <w:r w:rsidR="005D20CF" w:rsidRPr="00F261DB">
        <w:rPr>
          <w:rFonts w:cs="Times New Roman"/>
          <w:noProof/>
          <w:szCs w:val="24"/>
        </w:rPr>
        <w:t xml:space="preserve"> </w:t>
      </w:r>
    </w:p>
    <w:p w14:paraId="70C2E300" w14:textId="77777777" w:rsidR="005A3996" w:rsidRDefault="005A3996" w:rsidP="005A3996">
      <w:pPr>
        <w:rPr>
          <w:rFonts w:cs="Times New Roman"/>
          <w:noProof/>
          <w:szCs w:val="24"/>
        </w:rPr>
      </w:pPr>
    </w:p>
    <w:p w14:paraId="6C17C498" w14:textId="77777777" w:rsidR="00CF0E7B" w:rsidRDefault="00CF0E7B" w:rsidP="005A3996">
      <w:pPr>
        <w:rPr>
          <w:rFonts w:cs="Times New Roman"/>
          <w:b/>
          <w:bCs/>
          <w:noProof/>
          <w:szCs w:val="24"/>
        </w:rPr>
      </w:pPr>
    </w:p>
    <w:p w14:paraId="5B6B4BC4" w14:textId="395424E2" w:rsidR="005A3996" w:rsidRPr="005A3996" w:rsidRDefault="005A3996" w:rsidP="005A3996">
      <w:pPr>
        <w:rPr>
          <w:rFonts w:cs="Times New Roman"/>
          <w:b/>
          <w:bCs/>
          <w:noProof/>
          <w:szCs w:val="24"/>
        </w:rPr>
      </w:pPr>
      <w:r w:rsidRPr="005A3996">
        <w:rPr>
          <w:rFonts w:cs="Times New Roman"/>
          <w:b/>
          <w:bCs/>
          <w:noProof/>
          <w:szCs w:val="24"/>
        </w:rPr>
        <w:t>Value added</w:t>
      </w:r>
    </w:p>
    <w:p w14:paraId="1CB20594" w14:textId="732377F7" w:rsidR="00501312" w:rsidRPr="00FF63D1" w:rsidRDefault="00501312" w:rsidP="7ECD02B7">
      <w:pPr>
        <w:rPr>
          <w:rFonts w:cs="Times New Roman"/>
          <w:noProof/>
        </w:rPr>
      </w:pPr>
    </w:p>
    <w:p w14:paraId="065D2042" w14:textId="00C1AC89" w:rsidR="008A5A3D" w:rsidRPr="00366CBE" w:rsidRDefault="008A5A3D" w:rsidP="00E052E7">
      <w:pPr>
        <w:pStyle w:val="Caption"/>
        <w:keepNext/>
        <w:rPr>
          <w:noProof/>
        </w:rPr>
      </w:pPr>
      <w:r w:rsidRPr="00366CBE">
        <w:rPr>
          <w:noProof/>
        </w:rPr>
        <w:t xml:space="preserve">Table </w:t>
      </w:r>
      <w:r w:rsidRPr="00366CBE">
        <w:rPr>
          <w:noProof/>
        </w:rPr>
        <w:fldChar w:fldCharType="begin"/>
      </w:r>
      <w:r w:rsidRPr="00366CBE">
        <w:rPr>
          <w:noProof/>
        </w:rPr>
        <w:instrText xml:space="preserve"> SEQ Table \* ARABIC </w:instrText>
      </w:r>
      <w:r w:rsidRPr="00366CBE">
        <w:rPr>
          <w:noProof/>
        </w:rPr>
        <w:fldChar w:fldCharType="separate"/>
      </w:r>
      <w:r w:rsidR="00E16D65" w:rsidRPr="00366CBE">
        <w:rPr>
          <w:noProof/>
        </w:rPr>
        <w:t>10</w:t>
      </w:r>
      <w:r w:rsidRPr="00366CBE">
        <w:rPr>
          <w:noProof/>
        </w:rPr>
        <w:fldChar w:fldCharType="end"/>
      </w:r>
      <w:r w:rsidRPr="00366CBE">
        <w:rPr>
          <w:noProof/>
        </w:rPr>
        <w:t>: Summary of LEAD benefits</w:t>
      </w:r>
      <w:r w:rsidR="00792F98" w:rsidRPr="00366CBE">
        <w:rPr>
          <w:noProof/>
        </w:rPr>
        <w:t xml:space="preserve"> in 2030</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2"/>
        <w:gridCol w:w="2654"/>
        <w:gridCol w:w="2798"/>
        <w:gridCol w:w="2908"/>
      </w:tblGrid>
      <w:tr w:rsidR="00C225E2" w:rsidRPr="006A12A4" w14:paraId="4227C3C7" w14:textId="77777777" w:rsidTr="1FA04443">
        <w:trPr>
          <w:trHeight w:val="285"/>
        </w:trPr>
        <w:tc>
          <w:tcPr>
            <w:tcW w:w="470" w:type="pct"/>
            <w:tcBorders>
              <w:top w:val="single" w:sz="6" w:space="0" w:color="auto"/>
              <w:left w:val="single" w:sz="6" w:space="0" w:color="auto"/>
              <w:bottom w:val="single" w:sz="6" w:space="0" w:color="auto"/>
              <w:right w:val="single" w:sz="6" w:space="0" w:color="auto"/>
            </w:tcBorders>
          </w:tcPr>
          <w:p w14:paraId="78162A13" w14:textId="7713F70B" w:rsidR="00126366" w:rsidRDefault="00126366">
            <w:pPr>
              <w:jc w:val="left"/>
              <w:textAlignment w:val="baseline"/>
              <w:rPr>
                <w:rFonts w:eastAsia="Times New Roman" w:cs="Times New Roman"/>
                <w:noProof/>
                <w:szCs w:val="24"/>
                <w:lang w:eastAsia="en-IE"/>
              </w:rPr>
            </w:pPr>
          </w:p>
          <w:p w14:paraId="37750B48" w14:textId="7C97813A" w:rsidR="00C225E2" w:rsidRPr="00126366" w:rsidRDefault="00126366">
            <w:pPr>
              <w:jc w:val="left"/>
              <w:textAlignment w:val="baseline"/>
              <w:rPr>
                <w:rFonts w:eastAsia="Times New Roman" w:cs="Times New Roman"/>
                <w:noProof/>
                <w:szCs w:val="24"/>
                <w:lang w:eastAsia="en-IE"/>
              </w:rPr>
            </w:pPr>
            <w:r>
              <w:rPr>
                <w:rFonts w:eastAsia="Times New Roman" w:cs="Times New Roman"/>
                <w:noProof/>
                <w:szCs w:val="24"/>
                <w:lang w:eastAsia="en-IE"/>
              </w:rPr>
              <w:t>LEAD</w:t>
            </w:r>
          </w:p>
        </w:tc>
        <w:tc>
          <w:tcPr>
            <w:tcW w:w="1440" w:type="pct"/>
            <w:tcBorders>
              <w:top w:val="single" w:sz="6" w:space="0" w:color="auto"/>
              <w:left w:val="single" w:sz="6" w:space="0" w:color="auto"/>
              <w:bottom w:val="single" w:sz="6" w:space="0" w:color="auto"/>
              <w:right w:val="single" w:sz="6" w:space="0" w:color="auto"/>
            </w:tcBorders>
            <w:shd w:val="clear" w:color="auto" w:fill="0070C0"/>
            <w:vAlign w:val="center"/>
          </w:tcPr>
          <w:p w14:paraId="203E9D87" w14:textId="3575CB4B" w:rsidR="00C225E2" w:rsidRPr="00BD013B" w:rsidRDefault="00C225E2" w:rsidP="00126366">
            <w:pPr>
              <w:jc w:val="center"/>
              <w:textAlignment w:val="baseline"/>
              <w:rPr>
                <w:rFonts w:eastAsia="Times New Roman" w:cs="Times New Roman"/>
                <w:b/>
                <w:noProof/>
                <w:color w:val="FFFFFF" w:themeColor="background1"/>
                <w:szCs w:val="24"/>
                <w:lang w:eastAsia="en-IE"/>
              </w:rPr>
            </w:pPr>
            <w:r w:rsidRPr="00BD013B">
              <w:rPr>
                <w:rFonts w:eastAsia="Times New Roman" w:cs="Times New Roman"/>
                <w:b/>
                <w:noProof/>
                <w:color w:val="FFFFFF" w:themeColor="background1"/>
                <w:szCs w:val="24"/>
                <w:lang w:eastAsia="en-IE"/>
              </w:rPr>
              <w:t>PO1</w:t>
            </w:r>
          </w:p>
        </w:tc>
        <w:tc>
          <w:tcPr>
            <w:tcW w:w="1516" w:type="pct"/>
            <w:tcBorders>
              <w:top w:val="single" w:sz="6" w:space="0" w:color="auto"/>
              <w:left w:val="single" w:sz="6" w:space="0" w:color="auto"/>
              <w:bottom w:val="single" w:sz="6" w:space="0" w:color="auto"/>
              <w:right w:val="single" w:sz="6" w:space="0" w:color="auto"/>
            </w:tcBorders>
            <w:shd w:val="clear" w:color="auto" w:fill="0070C0"/>
            <w:vAlign w:val="center"/>
          </w:tcPr>
          <w:p w14:paraId="1D2E0BC0" w14:textId="26C69329" w:rsidR="00C225E2" w:rsidRPr="00BD013B" w:rsidRDefault="00C225E2" w:rsidP="00126366">
            <w:pPr>
              <w:ind w:left="158" w:right="172"/>
              <w:jc w:val="center"/>
              <w:textAlignment w:val="baseline"/>
              <w:rPr>
                <w:rFonts w:cs="Times New Roman"/>
                <w:b/>
                <w:noProof/>
                <w:color w:val="FFFFFF" w:themeColor="background1"/>
                <w:szCs w:val="24"/>
              </w:rPr>
            </w:pPr>
            <w:r w:rsidRPr="00BD013B">
              <w:rPr>
                <w:rFonts w:cs="Times New Roman"/>
                <w:b/>
                <w:noProof/>
                <w:color w:val="FFFFFF" w:themeColor="background1"/>
                <w:szCs w:val="24"/>
              </w:rPr>
              <w:t>PO2</w:t>
            </w:r>
          </w:p>
        </w:tc>
        <w:tc>
          <w:tcPr>
            <w:tcW w:w="1574" w:type="pct"/>
            <w:tcBorders>
              <w:top w:val="single" w:sz="6" w:space="0" w:color="auto"/>
              <w:left w:val="single" w:sz="6" w:space="0" w:color="auto"/>
              <w:bottom w:val="single" w:sz="6" w:space="0" w:color="auto"/>
              <w:right w:val="single" w:sz="6" w:space="0" w:color="auto"/>
            </w:tcBorders>
            <w:shd w:val="clear" w:color="auto" w:fill="0070C0"/>
            <w:vAlign w:val="center"/>
          </w:tcPr>
          <w:p w14:paraId="0A859813" w14:textId="641D179E" w:rsidR="00C225E2" w:rsidRPr="00BD013B" w:rsidRDefault="00C225E2" w:rsidP="00126366">
            <w:pPr>
              <w:ind w:left="158" w:right="172"/>
              <w:jc w:val="center"/>
              <w:textAlignment w:val="baseline"/>
              <w:rPr>
                <w:rFonts w:cs="Times New Roman"/>
                <w:b/>
                <w:noProof/>
                <w:color w:val="FFFFFF" w:themeColor="background1"/>
                <w:szCs w:val="24"/>
              </w:rPr>
            </w:pPr>
            <w:r w:rsidRPr="00BD013B">
              <w:rPr>
                <w:rFonts w:cs="Times New Roman"/>
                <w:b/>
                <w:noProof/>
                <w:color w:val="FFFFFF" w:themeColor="background1"/>
                <w:szCs w:val="24"/>
              </w:rPr>
              <w:t>PO3</w:t>
            </w:r>
          </w:p>
        </w:tc>
      </w:tr>
      <w:tr w:rsidR="00D17D44" w:rsidRPr="006A12A4" w14:paraId="2B1284F9" w14:textId="77777777" w:rsidTr="1FA04443">
        <w:trPr>
          <w:trHeight w:val="285"/>
        </w:trPr>
        <w:tc>
          <w:tcPr>
            <w:tcW w:w="470" w:type="pct"/>
            <w:tcBorders>
              <w:top w:val="single" w:sz="6" w:space="0" w:color="auto"/>
              <w:left w:val="single" w:sz="6" w:space="0" w:color="auto"/>
              <w:bottom w:val="single" w:sz="6" w:space="0" w:color="auto"/>
              <w:right w:val="single" w:sz="6" w:space="0" w:color="auto"/>
            </w:tcBorders>
          </w:tcPr>
          <w:p w14:paraId="08C90614" w14:textId="6819E21E" w:rsidR="00D17D44" w:rsidRPr="00BD013B" w:rsidRDefault="00C225E2">
            <w:pPr>
              <w:jc w:val="left"/>
              <w:textAlignment w:val="baseline"/>
              <w:rPr>
                <w:rFonts w:eastAsia="Times New Roman" w:cs="Times New Roman"/>
                <w:i/>
                <w:iCs/>
                <w:noProof/>
                <w:szCs w:val="24"/>
                <w:lang w:eastAsia="en-IE"/>
              </w:rPr>
            </w:pPr>
            <w:r w:rsidRPr="00BD013B">
              <w:rPr>
                <w:rFonts w:eastAsia="Times New Roman" w:cs="Times New Roman"/>
                <w:i/>
                <w:iCs/>
                <w:noProof/>
                <w:szCs w:val="24"/>
                <w:lang w:eastAsia="en-IE"/>
              </w:rPr>
              <w:t>LEAD_EIII</w:t>
            </w:r>
          </w:p>
        </w:tc>
        <w:tc>
          <w:tcPr>
            <w:tcW w:w="1440" w:type="pct"/>
            <w:tcBorders>
              <w:top w:val="single" w:sz="6" w:space="0" w:color="auto"/>
              <w:left w:val="single" w:sz="6" w:space="0" w:color="auto"/>
              <w:bottom w:val="single" w:sz="6" w:space="0" w:color="auto"/>
              <w:right w:val="single" w:sz="6" w:space="0" w:color="auto"/>
            </w:tcBorders>
          </w:tcPr>
          <w:p w14:paraId="0C4858D4" w14:textId="41175803" w:rsidR="00D17D44" w:rsidRPr="00192EEA" w:rsidRDefault="00891E47">
            <w:pPr>
              <w:jc w:val="left"/>
              <w:textAlignment w:val="baseline"/>
              <w:rPr>
                <w:rFonts w:eastAsia="Times New Roman" w:cs="Times New Roman"/>
                <w:i/>
                <w:iCs/>
                <w:noProof/>
                <w:color w:val="000000"/>
                <w:szCs w:val="24"/>
                <w:lang w:eastAsia="en-IE"/>
              </w:rPr>
            </w:pPr>
            <w:r w:rsidRPr="00192EEA">
              <w:rPr>
                <w:rFonts w:eastAsia="Times New Roman" w:cs="Times New Roman"/>
                <w:i/>
                <w:iCs/>
                <w:noProof/>
                <w:color w:val="000000"/>
                <w:szCs w:val="24"/>
                <w:lang w:eastAsia="en-IE"/>
              </w:rPr>
              <w:t>Low-carbon</w:t>
            </w:r>
            <w:r w:rsidR="00CF58FC" w:rsidRPr="00192EEA">
              <w:rPr>
                <w:rFonts w:eastAsia="Times New Roman" w:cs="Times New Roman"/>
                <w:i/>
                <w:iCs/>
                <w:noProof/>
                <w:color w:val="000000"/>
                <w:szCs w:val="24"/>
                <w:lang w:eastAsia="en-IE"/>
              </w:rPr>
              <w:t xml:space="preserve"> measures</w:t>
            </w:r>
            <w:r w:rsidR="00192EEA">
              <w:rPr>
                <w:rFonts w:eastAsia="Times New Roman" w:cs="Times New Roman"/>
                <w:i/>
                <w:iCs/>
                <w:noProof/>
                <w:color w:val="000000"/>
                <w:szCs w:val="24"/>
                <w:lang w:eastAsia="en-IE"/>
              </w:rPr>
              <w:t>:</w:t>
            </w:r>
          </w:p>
          <w:p w14:paraId="64179CBB" w14:textId="39D35176" w:rsidR="00CF58FC" w:rsidRDefault="00CF58FC">
            <w:pPr>
              <w:jc w:val="left"/>
              <w:textAlignment w:val="baseline"/>
              <w:rPr>
                <w:rFonts w:eastAsia="Times New Roman" w:cs="Times New Roman"/>
                <w:noProof/>
                <w:color w:val="000000"/>
                <w:szCs w:val="24"/>
                <w:lang w:eastAsia="en-IE"/>
              </w:rPr>
            </w:pPr>
            <w:r>
              <w:rPr>
                <w:rFonts w:eastAsia="Times New Roman" w:cs="Times New Roman"/>
                <w:noProof/>
                <w:color w:val="000000"/>
                <w:szCs w:val="24"/>
                <w:lang w:eastAsia="en-IE"/>
              </w:rPr>
              <w:t>GVA EUR</w:t>
            </w:r>
            <w:r w:rsidR="008C7BE2">
              <w:rPr>
                <w:rFonts w:eastAsia="Times New Roman" w:cs="Times New Roman"/>
                <w:noProof/>
                <w:color w:val="000000"/>
                <w:szCs w:val="24"/>
                <w:lang w:eastAsia="en-IE"/>
              </w:rPr>
              <w:t xml:space="preserve"> </w:t>
            </w:r>
            <w:r>
              <w:rPr>
                <w:rFonts w:eastAsia="Times New Roman" w:cs="Times New Roman"/>
                <w:noProof/>
                <w:color w:val="000000"/>
                <w:szCs w:val="24"/>
                <w:lang w:eastAsia="en-IE"/>
              </w:rPr>
              <w:t>241 million for the steel and aluminium sectors</w:t>
            </w:r>
          </w:p>
          <w:p w14:paraId="4A748D82" w14:textId="77777777" w:rsidR="00CF58FC" w:rsidRDefault="00CF58FC">
            <w:pPr>
              <w:jc w:val="left"/>
              <w:textAlignment w:val="baseline"/>
              <w:rPr>
                <w:rFonts w:eastAsia="Times New Roman" w:cs="Times New Roman"/>
                <w:noProof/>
                <w:color w:val="000000"/>
                <w:szCs w:val="24"/>
                <w:lang w:eastAsia="en-IE"/>
              </w:rPr>
            </w:pPr>
          </w:p>
          <w:p w14:paraId="22FAEE9B" w14:textId="6D1D6683" w:rsidR="00D17D44" w:rsidRPr="00126366" w:rsidRDefault="00CF58FC">
            <w:pPr>
              <w:jc w:val="left"/>
              <w:textAlignment w:val="baseline"/>
              <w:rPr>
                <w:rFonts w:eastAsia="Times New Roman" w:cs="Times New Roman"/>
                <w:noProof/>
                <w:color w:val="000000"/>
                <w:szCs w:val="24"/>
                <w:lang w:eastAsia="en-IE"/>
              </w:rPr>
            </w:pPr>
            <w:r>
              <w:rPr>
                <w:rFonts w:eastAsia="Times New Roman" w:cs="Times New Roman"/>
                <w:noProof/>
                <w:color w:val="000000"/>
                <w:szCs w:val="24"/>
                <w:lang w:eastAsia="en-IE"/>
              </w:rPr>
              <w:t xml:space="preserve">GVA EUR </w:t>
            </w:r>
            <w:r w:rsidR="003A2477">
              <w:rPr>
                <w:rFonts w:eastAsia="Times New Roman" w:cs="Times New Roman"/>
                <w:noProof/>
                <w:color w:val="000000"/>
                <w:szCs w:val="24"/>
                <w:lang w:eastAsia="en-IE"/>
              </w:rPr>
              <w:t>445 million for the cement sector</w:t>
            </w:r>
          </w:p>
        </w:tc>
        <w:tc>
          <w:tcPr>
            <w:tcW w:w="1516" w:type="pct"/>
            <w:tcBorders>
              <w:top w:val="single" w:sz="6" w:space="0" w:color="auto"/>
              <w:left w:val="single" w:sz="6" w:space="0" w:color="auto"/>
              <w:bottom w:val="single" w:sz="6" w:space="0" w:color="auto"/>
              <w:right w:val="single" w:sz="6" w:space="0" w:color="auto"/>
            </w:tcBorders>
          </w:tcPr>
          <w:p w14:paraId="4F3558E4" w14:textId="2404603C" w:rsidR="003A2477" w:rsidRPr="00192EEA" w:rsidRDefault="003A2477" w:rsidP="003A2477">
            <w:pPr>
              <w:jc w:val="left"/>
              <w:textAlignment w:val="baseline"/>
              <w:rPr>
                <w:rFonts w:eastAsia="Times New Roman" w:cs="Times New Roman"/>
                <w:i/>
                <w:iCs/>
                <w:noProof/>
                <w:color w:val="000000"/>
                <w:szCs w:val="24"/>
                <w:lang w:eastAsia="en-IE"/>
              </w:rPr>
            </w:pPr>
            <w:r w:rsidRPr="00192EEA">
              <w:rPr>
                <w:rFonts w:eastAsia="Times New Roman" w:cs="Times New Roman"/>
                <w:i/>
                <w:iCs/>
                <w:noProof/>
                <w:color w:val="000000"/>
                <w:szCs w:val="24"/>
                <w:lang w:eastAsia="en-IE"/>
              </w:rPr>
              <w:t>Low-carbon measures</w:t>
            </w:r>
            <w:r w:rsidR="00192EEA">
              <w:rPr>
                <w:rFonts w:eastAsia="Times New Roman" w:cs="Times New Roman"/>
                <w:i/>
                <w:iCs/>
                <w:noProof/>
                <w:color w:val="000000"/>
                <w:szCs w:val="24"/>
                <w:lang w:eastAsia="en-IE"/>
              </w:rPr>
              <w:t>:</w:t>
            </w:r>
          </w:p>
          <w:p w14:paraId="4CA001C3" w14:textId="1C7605ED" w:rsidR="003A2477" w:rsidRDefault="003A2477" w:rsidP="003A2477">
            <w:pPr>
              <w:jc w:val="left"/>
              <w:textAlignment w:val="baseline"/>
              <w:rPr>
                <w:rFonts w:eastAsia="Times New Roman" w:cs="Times New Roman"/>
                <w:noProof/>
                <w:color w:val="000000"/>
                <w:szCs w:val="24"/>
                <w:lang w:eastAsia="en-IE"/>
              </w:rPr>
            </w:pPr>
            <w:r>
              <w:rPr>
                <w:rFonts w:eastAsia="Times New Roman" w:cs="Times New Roman"/>
                <w:noProof/>
                <w:color w:val="000000"/>
                <w:szCs w:val="24"/>
                <w:lang w:eastAsia="en-IE"/>
              </w:rPr>
              <w:t>GVA EUR</w:t>
            </w:r>
            <w:r w:rsidR="008C7BE2">
              <w:rPr>
                <w:rFonts w:eastAsia="Times New Roman" w:cs="Times New Roman"/>
                <w:noProof/>
                <w:color w:val="000000"/>
                <w:szCs w:val="24"/>
                <w:lang w:eastAsia="en-IE"/>
              </w:rPr>
              <w:t xml:space="preserve"> </w:t>
            </w:r>
            <w:r>
              <w:rPr>
                <w:rFonts w:eastAsia="Times New Roman" w:cs="Times New Roman"/>
                <w:noProof/>
                <w:color w:val="000000"/>
                <w:szCs w:val="24"/>
                <w:lang w:eastAsia="en-IE"/>
              </w:rPr>
              <w:t>241 million for the steel and aluminium sectors</w:t>
            </w:r>
          </w:p>
          <w:p w14:paraId="31707500" w14:textId="77777777" w:rsidR="003A2477" w:rsidRDefault="003A2477" w:rsidP="003A2477">
            <w:pPr>
              <w:jc w:val="left"/>
              <w:textAlignment w:val="baseline"/>
              <w:rPr>
                <w:rFonts w:eastAsia="Times New Roman" w:cs="Times New Roman"/>
                <w:noProof/>
                <w:color w:val="000000"/>
                <w:szCs w:val="24"/>
                <w:lang w:eastAsia="en-IE"/>
              </w:rPr>
            </w:pPr>
          </w:p>
          <w:p w14:paraId="318EB055" w14:textId="77777777" w:rsidR="003A2477" w:rsidRDefault="003A2477" w:rsidP="00192EEA">
            <w:pPr>
              <w:ind w:right="172"/>
              <w:textAlignment w:val="baseline"/>
              <w:rPr>
                <w:rFonts w:eastAsia="Times New Roman" w:cs="Times New Roman"/>
                <w:noProof/>
                <w:color w:val="000000"/>
                <w:szCs w:val="24"/>
                <w:lang w:eastAsia="en-IE"/>
              </w:rPr>
            </w:pPr>
            <w:r>
              <w:rPr>
                <w:rFonts w:eastAsia="Times New Roman" w:cs="Times New Roman"/>
                <w:noProof/>
                <w:color w:val="000000"/>
                <w:szCs w:val="24"/>
                <w:lang w:eastAsia="en-IE"/>
              </w:rPr>
              <w:t>GVA EUR 445 million for the cement sector</w:t>
            </w:r>
          </w:p>
          <w:p w14:paraId="611D58FC" w14:textId="77777777" w:rsidR="00232052" w:rsidRDefault="00232052" w:rsidP="003A2477">
            <w:pPr>
              <w:ind w:left="158" w:right="172"/>
              <w:textAlignment w:val="baseline"/>
              <w:rPr>
                <w:rFonts w:eastAsia="Times New Roman" w:cs="Times New Roman"/>
                <w:noProof/>
                <w:color w:val="000000"/>
                <w:lang w:eastAsia="en-IE"/>
              </w:rPr>
            </w:pPr>
          </w:p>
          <w:p w14:paraId="2A747E02" w14:textId="03F5D850" w:rsidR="00232052" w:rsidRPr="00192EEA" w:rsidRDefault="00232052" w:rsidP="00192EEA">
            <w:pPr>
              <w:ind w:right="172"/>
              <w:textAlignment w:val="baseline"/>
              <w:rPr>
                <w:rFonts w:eastAsia="Times New Roman" w:cs="Times New Roman"/>
                <w:i/>
                <w:iCs/>
                <w:noProof/>
                <w:color w:val="000000"/>
                <w:lang w:eastAsia="en-IE"/>
              </w:rPr>
            </w:pPr>
            <w:r w:rsidRPr="00192EEA">
              <w:rPr>
                <w:rFonts w:eastAsia="Times New Roman" w:cs="Times New Roman"/>
                <w:i/>
                <w:iCs/>
                <w:noProof/>
                <w:color w:val="000000"/>
                <w:lang w:eastAsia="en-IE"/>
              </w:rPr>
              <w:t>Made in EU measures</w:t>
            </w:r>
            <w:r w:rsidR="00192EEA">
              <w:rPr>
                <w:rFonts w:eastAsia="Times New Roman" w:cs="Times New Roman"/>
                <w:i/>
                <w:iCs/>
                <w:noProof/>
                <w:color w:val="000000"/>
                <w:lang w:eastAsia="en-IE"/>
              </w:rPr>
              <w:t>:</w:t>
            </w:r>
          </w:p>
          <w:p w14:paraId="09A23761" w14:textId="074475E4" w:rsidR="00D17D44" w:rsidRPr="00337BEF" w:rsidRDefault="00630BCA" w:rsidP="1FA04443">
            <w:pPr>
              <w:ind w:left="158" w:right="172"/>
              <w:textAlignment w:val="baseline"/>
              <w:rPr>
                <w:rFonts w:eastAsia="Times New Roman" w:cs="Times New Roman"/>
                <w:noProof/>
                <w:color w:val="000000"/>
                <w:lang w:eastAsia="en-IE"/>
              </w:rPr>
            </w:pPr>
            <w:r>
              <w:rPr>
                <w:rFonts w:eastAsia="Times New Roman" w:cs="Times New Roman"/>
                <w:noProof/>
                <w:color w:val="000000"/>
                <w:lang w:eastAsia="en-IE"/>
              </w:rPr>
              <w:t>No GVA added</w:t>
            </w:r>
          </w:p>
        </w:tc>
        <w:tc>
          <w:tcPr>
            <w:tcW w:w="1574" w:type="pct"/>
            <w:tcBorders>
              <w:top w:val="single" w:sz="6" w:space="0" w:color="auto"/>
              <w:left w:val="single" w:sz="6" w:space="0" w:color="auto"/>
              <w:bottom w:val="single" w:sz="6" w:space="0" w:color="auto"/>
              <w:right w:val="single" w:sz="6" w:space="0" w:color="auto"/>
            </w:tcBorders>
          </w:tcPr>
          <w:p w14:paraId="42E38D52" w14:textId="260A4657" w:rsidR="003A2477" w:rsidRPr="00192EEA" w:rsidRDefault="003A2477" w:rsidP="003A2477">
            <w:pPr>
              <w:jc w:val="left"/>
              <w:textAlignment w:val="baseline"/>
              <w:rPr>
                <w:rFonts w:eastAsia="Times New Roman" w:cs="Times New Roman"/>
                <w:i/>
                <w:iCs/>
                <w:noProof/>
                <w:color w:val="000000"/>
                <w:szCs w:val="24"/>
                <w:lang w:eastAsia="en-IE"/>
              </w:rPr>
            </w:pPr>
            <w:r w:rsidRPr="00192EEA">
              <w:rPr>
                <w:rFonts w:eastAsia="Times New Roman" w:cs="Times New Roman"/>
                <w:i/>
                <w:iCs/>
                <w:noProof/>
                <w:color w:val="000000"/>
                <w:szCs w:val="24"/>
                <w:lang w:eastAsia="en-IE"/>
              </w:rPr>
              <w:t>Low-carbon measures</w:t>
            </w:r>
            <w:r w:rsidR="00192EEA">
              <w:rPr>
                <w:rFonts w:eastAsia="Times New Roman" w:cs="Times New Roman"/>
                <w:i/>
                <w:iCs/>
                <w:noProof/>
                <w:color w:val="000000"/>
                <w:szCs w:val="24"/>
                <w:lang w:eastAsia="en-IE"/>
              </w:rPr>
              <w:t>:</w:t>
            </w:r>
          </w:p>
          <w:p w14:paraId="2EB15BBB" w14:textId="76CE2172" w:rsidR="003A2477" w:rsidRDefault="003A2477" w:rsidP="003A2477">
            <w:pPr>
              <w:jc w:val="left"/>
              <w:textAlignment w:val="baseline"/>
              <w:rPr>
                <w:rFonts w:eastAsia="Times New Roman" w:cs="Times New Roman"/>
                <w:noProof/>
                <w:color w:val="000000"/>
                <w:szCs w:val="24"/>
                <w:lang w:eastAsia="en-IE"/>
              </w:rPr>
            </w:pPr>
            <w:r>
              <w:rPr>
                <w:rFonts w:eastAsia="Times New Roman" w:cs="Times New Roman"/>
                <w:noProof/>
                <w:color w:val="000000"/>
                <w:szCs w:val="24"/>
                <w:lang w:eastAsia="en-IE"/>
              </w:rPr>
              <w:t>GVA EUR</w:t>
            </w:r>
            <w:r w:rsidR="008C7BE2">
              <w:rPr>
                <w:rFonts w:eastAsia="Times New Roman" w:cs="Times New Roman"/>
                <w:noProof/>
                <w:color w:val="000000"/>
                <w:szCs w:val="24"/>
                <w:lang w:eastAsia="en-IE"/>
              </w:rPr>
              <w:t xml:space="preserve"> </w:t>
            </w:r>
            <w:r>
              <w:rPr>
                <w:rFonts w:eastAsia="Times New Roman" w:cs="Times New Roman"/>
                <w:noProof/>
                <w:color w:val="000000"/>
                <w:szCs w:val="24"/>
                <w:lang w:eastAsia="en-IE"/>
              </w:rPr>
              <w:t>327 million for the steel and aluminium sectors</w:t>
            </w:r>
          </w:p>
          <w:p w14:paraId="6518DFB6" w14:textId="77777777" w:rsidR="003A2477" w:rsidRDefault="003A2477" w:rsidP="003A2477">
            <w:pPr>
              <w:jc w:val="left"/>
              <w:textAlignment w:val="baseline"/>
              <w:rPr>
                <w:rFonts w:eastAsia="Times New Roman" w:cs="Times New Roman"/>
                <w:noProof/>
                <w:color w:val="000000"/>
                <w:szCs w:val="24"/>
                <w:lang w:eastAsia="en-IE"/>
              </w:rPr>
            </w:pPr>
          </w:p>
          <w:p w14:paraId="4E55E224" w14:textId="37983785" w:rsidR="003A2477" w:rsidRDefault="003A2477" w:rsidP="00192EEA">
            <w:pPr>
              <w:ind w:right="172"/>
              <w:textAlignment w:val="baseline"/>
              <w:rPr>
                <w:rFonts w:cs="Times New Roman"/>
                <w:i/>
                <w:iCs/>
                <w:noProof/>
                <w:color w:val="000000" w:themeColor="text1"/>
              </w:rPr>
            </w:pPr>
            <w:r>
              <w:rPr>
                <w:rFonts w:eastAsia="Times New Roman" w:cs="Times New Roman"/>
                <w:noProof/>
                <w:color w:val="000000"/>
                <w:szCs w:val="24"/>
                <w:lang w:eastAsia="en-IE"/>
              </w:rPr>
              <w:t>GVA EUR 1</w:t>
            </w:r>
            <w:r w:rsidR="00192EEA">
              <w:rPr>
                <w:rFonts w:eastAsia="Times New Roman" w:cs="Times New Roman"/>
                <w:noProof/>
                <w:color w:val="000000"/>
                <w:szCs w:val="24"/>
                <w:lang w:eastAsia="en-IE"/>
              </w:rPr>
              <w:t xml:space="preserve"> </w:t>
            </w:r>
            <w:r>
              <w:rPr>
                <w:rFonts w:eastAsia="Times New Roman" w:cs="Times New Roman"/>
                <w:noProof/>
                <w:color w:val="000000"/>
                <w:szCs w:val="24"/>
                <w:lang w:eastAsia="en-IE"/>
              </w:rPr>
              <w:t>509 million for the cement sector</w:t>
            </w:r>
            <w:r w:rsidRPr="1FA04443">
              <w:rPr>
                <w:rFonts w:cs="Times New Roman"/>
                <w:i/>
                <w:iCs/>
                <w:noProof/>
                <w:color w:val="000000" w:themeColor="text1"/>
              </w:rPr>
              <w:t xml:space="preserve"> </w:t>
            </w:r>
          </w:p>
          <w:p w14:paraId="32AD3387" w14:textId="77777777" w:rsidR="003A2477" w:rsidRDefault="003A2477" w:rsidP="003A2477">
            <w:pPr>
              <w:ind w:left="158" w:right="172"/>
              <w:textAlignment w:val="baseline"/>
              <w:rPr>
                <w:rFonts w:cs="Times New Roman"/>
                <w:i/>
                <w:iCs/>
                <w:noProof/>
                <w:color w:val="000000" w:themeColor="text1"/>
              </w:rPr>
            </w:pPr>
          </w:p>
          <w:p w14:paraId="2F3335C4" w14:textId="589A4DF2" w:rsidR="00D17D44" w:rsidRPr="00337BEF" w:rsidRDefault="03949F7E" w:rsidP="00192EEA">
            <w:pPr>
              <w:ind w:right="172"/>
              <w:textAlignment w:val="baseline"/>
              <w:rPr>
                <w:rFonts w:cs="Times New Roman"/>
                <w:i/>
                <w:iCs/>
                <w:noProof/>
                <w:color w:val="000000" w:themeColor="text1"/>
              </w:rPr>
            </w:pPr>
            <w:r w:rsidRPr="1FA04443">
              <w:rPr>
                <w:rFonts w:cs="Times New Roman"/>
                <w:i/>
                <w:iCs/>
                <w:noProof/>
                <w:color w:val="000000" w:themeColor="text1"/>
              </w:rPr>
              <w:t>Made in EU measures:</w:t>
            </w:r>
          </w:p>
          <w:p w14:paraId="797A5E12" w14:textId="77777777" w:rsidR="00D17D44" w:rsidRDefault="03949F7E" w:rsidP="1FA04443">
            <w:pPr>
              <w:tabs>
                <w:tab w:val="left" w:pos="2124"/>
              </w:tabs>
              <w:ind w:left="100" w:right="99"/>
              <w:textAlignment w:val="baseline"/>
              <w:rPr>
                <w:rFonts w:eastAsia="Times New Roman" w:cs="Times New Roman"/>
                <w:noProof/>
                <w:color w:val="000000" w:themeColor="text1"/>
                <w:lang w:eastAsia="en-IE"/>
              </w:rPr>
            </w:pPr>
            <w:r w:rsidRPr="1FA04443">
              <w:rPr>
                <w:rFonts w:eastAsia="Times New Roman" w:cs="Times New Roman"/>
                <w:noProof/>
                <w:color w:val="000000" w:themeColor="text1"/>
                <w:lang w:eastAsia="en-IE"/>
              </w:rPr>
              <w:t xml:space="preserve">GVA EUR </w:t>
            </w:r>
            <w:r w:rsidR="00293B16">
              <w:rPr>
                <w:rFonts w:eastAsia="Times New Roman" w:cs="Times New Roman"/>
                <w:noProof/>
                <w:color w:val="000000" w:themeColor="text1"/>
                <w:lang w:eastAsia="en-IE"/>
              </w:rPr>
              <w:t xml:space="preserve">2 </w:t>
            </w:r>
            <w:r w:rsidRPr="1FA04443">
              <w:rPr>
                <w:rFonts w:eastAsia="Times New Roman" w:cs="Times New Roman"/>
                <w:noProof/>
                <w:color w:val="000000" w:themeColor="text1"/>
                <w:lang w:eastAsia="en-IE"/>
              </w:rPr>
              <w:t>8</w:t>
            </w:r>
            <w:r w:rsidR="00293B16">
              <w:rPr>
                <w:rFonts w:eastAsia="Times New Roman" w:cs="Times New Roman"/>
                <w:noProof/>
                <w:color w:val="000000" w:themeColor="text1"/>
                <w:lang w:eastAsia="en-IE"/>
              </w:rPr>
              <w:t>83</w:t>
            </w:r>
            <w:r w:rsidRPr="1FA04443">
              <w:rPr>
                <w:rFonts w:eastAsia="Times New Roman" w:cs="Times New Roman"/>
                <w:noProof/>
                <w:color w:val="000000" w:themeColor="text1"/>
                <w:lang w:eastAsia="en-IE"/>
              </w:rPr>
              <w:t xml:space="preserve"> million for the </w:t>
            </w:r>
            <w:r w:rsidRPr="1FA04443">
              <w:rPr>
                <w:rFonts w:eastAsia="Times New Roman" w:cs="Times New Roman"/>
                <w:i/>
                <w:iCs/>
                <w:noProof/>
                <w:color w:val="000000" w:themeColor="text1"/>
                <w:lang w:eastAsia="en-IE"/>
              </w:rPr>
              <w:t>steel and aluminium</w:t>
            </w:r>
            <w:r w:rsidRPr="1FA04443">
              <w:rPr>
                <w:rFonts w:eastAsia="Times New Roman" w:cs="Times New Roman"/>
                <w:noProof/>
                <w:color w:val="000000" w:themeColor="text1"/>
                <w:lang w:eastAsia="en-IE"/>
              </w:rPr>
              <w:t xml:space="preserve"> sector from made in EU requirements</w:t>
            </w:r>
          </w:p>
          <w:p w14:paraId="645194E7" w14:textId="77777777" w:rsidR="002E3AE7" w:rsidRDefault="002E3AE7" w:rsidP="1FA04443">
            <w:pPr>
              <w:tabs>
                <w:tab w:val="left" w:pos="2124"/>
              </w:tabs>
              <w:ind w:left="100" w:right="99"/>
              <w:textAlignment w:val="baseline"/>
              <w:rPr>
                <w:rFonts w:eastAsia="Times New Roman" w:cs="Times New Roman"/>
                <w:noProof/>
                <w:color w:val="000000" w:themeColor="text1"/>
                <w:lang w:eastAsia="en-IE"/>
              </w:rPr>
            </w:pPr>
          </w:p>
          <w:p w14:paraId="27B021EF" w14:textId="1C223756" w:rsidR="002E3AE7" w:rsidRPr="00337BEF" w:rsidRDefault="002E3AE7" w:rsidP="002E3AE7">
            <w:pPr>
              <w:tabs>
                <w:tab w:val="left" w:pos="2124"/>
              </w:tabs>
              <w:ind w:left="100" w:right="99"/>
              <w:textAlignment w:val="baseline"/>
              <w:rPr>
                <w:rFonts w:eastAsia="Times New Roman" w:cs="Times New Roman"/>
                <w:noProof/>
                <w:color w:val="000000"/>
                <w:lang w:eastAsia="en-IE"/>
              </w:rPr>
            </w:pPr>
            <w:r w:rsidRPr="1FA04443">
              <w:rPr>
                <w:rFonts w:eastAsia="Times New Roman" w:cs="Times New Roman"/>
                <w:noProof/>
                <w:color w:val="000000" w:themeColor="text1"/>
                <w:lang w:eastAsia="en-IE"/>
              </w:rPr>
              <w:t xml:space="preserve">GVA EUR </w:t>
            </w:r>
            <w:r>
              <w:rPr>
                <w:rFonts w:eastAsia="Times New Roman" w:cs="Times New Roman"/>
                <w:noProof/>
                <w:color w:val="000000" w:themeColor="text1"/>
                <w:lang w:eastAsia="en-IE"/>
              </w:rPr>
              <w:t xml:space="preserve">2 079 </w:t>
            </w:r>
            <w:r w:rsidRPr="1FA04443">
              <w:rPr>
                <w:rFonts w:eastAsia="Times New Roman" w:cs="Times New Roman"/>
                <w:noProof/>
                <w:color w:val="000000" w:themeColor="text1"/>
                <w:lang w:eastAsia="en-IE"/>
              </w:rPr>
              <w:t xml:space="preserve">million for the </w:t>
            </w:r>
            <w:r w:rsidRPr="1FA04443">
              <w:rPr>
                <w:rFonts w:eastAsia="Times New Roman" w:cs="Times New Roman"/>
                <w:i/>
                <w:iCs/>
                <w:noProof/>
                <w:color w:val="000000" w:themeColor="text1"/>
                <w:lang w:eastAsia="en-IE"/>
              </w:rPr>
              <w:t>cement</w:t>
            </w:r>
            <w:r w:rsidRPr="1FA04443">
              <w:rPr>
                <w:rFonts w:eastAsia="Times New Roman" w:cs="Times New Roman"/>
                <w:noProof/>
                <w:color w:val="000000" w:themeColor="text1"/>
                <w:lang w:eastAsia="en-IE"/>
              </w:rPr>
              <w:t xml:space="preserve"> sector from made in EU requirements</w:t>
            </w:r>
          </w:p>
        </w:tc>
      </w:tr>
      <w:tr w:rsidR="009B2C9C" w:rsidRPr="006A12A4" w14:paraId="5CBA5A31" w14:textId="77777777" w:rsidTr="1FA04443">
        <w:trPr>
          <w:trHeight w:val="285"/>
        </w:trPr>
        <w:tc>
          <w:tcPr>
            <w:tcW w:w="470" w:type="pct"/>
            <w:tcBorders>
              <w:top w:val="single" w:sz="6" w:space="0" w:color="auto"/>
              <w:left w:val="single" w:sz="6" w:space="0" w:color="auto"/>
              <w:bottom w:val="single" w:sz="6" w:space="0" w:color="auto"/>
              <w:right w:val="single" w:sz="6" w:space="0" w:color="auto"/>
            </w:tcBorders>
          </w:tcPr>
          <w:p w14:paraId="2EAF55E9" w14:textId="3CA936BB" w:rsidR="009B2C9C" w:rsidRPr="00BD013B" w:rsidRDefault="009B2C9C" w:rsidP="009B2C9C">
            <w:pPr>
              <w:jc w:val="left"/>
              <w:textAlignment w:val="baseline"/>
              <w:rPr>
                <w:rFonts w:eastAsia="Times New Roman" w:cs="Times New Roman"/>
                <w:i/>
                <w:iCs/>
                <w:noProof/>
                <w:szCs w:val="24"/>
                <w:lang w:eastAsia="en-IE"/>
              </w:rPr>
            </w:pPr>
            <w:r w:rsidRPr="00BD013B">
              <w:rPr>
                <w:rFonts w:eastAsia="Times New Roman" w:cs="Times New Roman"/>
                <w:i/>
                <w:iCs/>
                <w:noProof/>
                <w:szCs w:val="24"/>
                <w:lang w:eastAsia="en-IE"/>
              </w:rPr>
              <w:t>LEAD_VC</w:t>
            </w:r>
          </w:p>
        </w:tc>
        <w:tc>
          <w:tcPr>
            <w:tcW w:w="1440" w:type="pct"/>
            <w:tcBorders>
              <w:top w:val="single" w:sz="6" w:space="0" w:color="auto"/>
              <w:left w:val="single" w:sz="6" w:space="0" w:color="auto"/>
              <w:bottom w:val="single" w:sz="6" w:space="0" w:color="auto"/>
              <w:right w:val="single" w:sz="6" w:space="0" w:color="auto"/>
            </w:tcBorders>
          </w:tcPr>
          <w:p w14:paraId="177F8F02" w14:textId="793A8412" w:rsidR="009B2C9C" w:rsidRPr="00126366" w:rsidRDefault="00FB5B73" w:rsidP="009B2C9C">
            <w:pPr>
              <w:jc w:val="left"/>
              <w:textAlignment w:val="baseline"/>
              <w:rPr>
                <w:rFonts w:eastAsia="Times New Roman" w:cs="Times New Roman"/>
                <w:noProof/>
                <w:color w:val="000000"/>
                <w:lang w:eastAsia="en-IE"/>
              </w:rPr>
            </w:pPr>
            <w:r>
              <w:rPr>
                <w:rFonts w:eastAsia="Times New Roman" w:cs="Times New Roman"/>
                <w:noProof/>
                <w:color w:val="000000"/>
                <w:lang w:eastAsia="en-IE"/>
              </w:rPr>
              <w:t xml:space="preserve">EUR </w:t>
            </w:r>
            <w:r w:rsidR="001A37E6">
              <w:rPr>
                <w:rFonts w:eastAsia="Times New Roman" w:cs="Times New Roman"/>
                <w:noProof/>
                <w:color w:val="000000"/>
                <w:lang w:eastAsia="en-IE"/>
              </w:rPr>
              <w:t>9.7 billion in Value Added</w:t>
            </w:r>
          </w:p>
        </w:tc>
        <w:tc>
          <w:tcPr>
            <w:tcW w:w="1516" w:type="pct"/>
            <w:tcBorders>
              <w:top w:val="single" w:sz="6" w:space="0" w:color="auto"/>
              <w:left w:val="single" w:sz="6" w:space="0" w:color="auto"/>
              <w:bottom w:val="single" w:sz="6" w:space="0" w:color="auto"/>
              <w:right w:val="single" w:sz="6" w:space="0" w:color="auto"/>
            </w:tcBorders>
          </w:tcPr>
          <w:p w14:paraId="139DFE85" w14:textId="1DCA37EF" w:rsidR="009B2C9C" w:rsidRPr="00126366" w:rsidRDefault="001A37E6" w:rsidP="009B2C9C">
            <w:pPr>
              <w:ind w:left="158" w:right="172"/>
              <w:textAlignment w:val="baseline"/>
              <w:rPr>
                <w:rFonts w:eastAsia="Times New Roman" w:cs="Times New Roman"/>
                <w:noProof/>
                <w:color w:val="000000" w:themeColor="text1"/>
                <w:lang w:eastAsia="en-IE"/>
              </w:rPr>
            </w:pPr>
            <w:r>
              <w:rPr>
                <w:rFonts w:eastAsia="Times New Roman" w:cs="Times New Roman"/>
                <w:noProof/>
                <w:color w:val="000000" w:themeColor="text1"/>
                <w:lang w:eastAsia="en-IE"/>
              </w:rPr>
              <w:t>EUR 9.7 billion in Value Added</w:t>
            </w:r>
            <w:r w:rsidR="00BD013B">
              <w:rPr>
                <w:rFonts w:eastAsia="Times New Roman" w:cs="Times New Roman"/>
                <w:noProof/>
                <w:color w:val="000000" w:themeColor="text1"/>
                <w:lang w:eastAsia="en-IE"/>
              </w:rPr>
              <w:t xml:space="preserve"> </w:t>
            </w:r>
            <w:r w:rsidR="00B3779D">
              <w:rPr>
                <w:rFonts w:eastAsia="Times New Roman" w:cs="Times New Roman"/>
                <w:noProof/>
                <w:color w:val="000000" w:themeColor="text1"/>
                <w:lang w:eastAsia="en-IE"/>
              </w:rPr>
              <w:t>(</w:t>
            </w:r>
            <w:r w:rsidR="002679D9">
              <w:rPr>
                <w:rFonts w:eastAsia="Times New Roman" w:cs="Times New Roman"/>
                <w:noProof/>
                <w:color w:val="000000" w:themeColor="text1"/>
                <w:lang w:eastAsia="en-IE"/>
              </w:rPr>
              <w:t>value chain</w:t>
            </w:r>
            <w:r w:rsidR="00B3779D">
              <w:rPr>
                <w:rFonts w:eastAsia="Times New Roman" w:cs="Times New Roman"/>
                <w:noProof/>
                <w:color w:val="000000" w:themeColor="text1"/>
                <w:lang w:eastAsia="en-IE"/>
              </w:rPr>
              <w:t xml:space="preserve"> </w:t>
            </w:r>
            <w:r w:rsidR="00B3779D" w:rsidRPr="00B3779D">
              <w:rPr>
                <w:rFonts w:eastAsia="Times New Roman" w:cs="Times New Roman"/>
                <w:noProof/>
                <w:color w:val="000000" w:themeColor="text1"/>
                <w:lang w:eastAsia="en-IE"/>
              </w:rPr>
              <w:t>for intermediate inputs</w:t>
            </w:r>
            <w:r w:rsidR="00B3779D">
              <w:rPr>
                <w:rFonts w:eastAsia="Times New Roman" w:cs="Times New Roman"/>
                <w:noProof/>
                <w:color w:val="000000" w:themeColor="text1"/>
                <w:lang w:eastAsia="en-IE"/>
              </w:rPr>
              <w:t>)</w:t>
            </w:r>
          </w:p>
        </w:tc>
        <w:tc>
          <w:tcPr>
            <w:tcW w:w="1574" w:type="pct"/>
            <w:tcBorders>
              <w:top w:val="single" w:sz="6" w:space="0" w:color="auto"/>
              <w:left w:val="single" w:sz="6" w:space="0" w:color="auto"/>
              <w:bottom w:val="single" w:sz="6" w:space="0" w:color="auto"/>
              <w:right w:val="single" w:sz="6" w:space="0" w:color="auto"/>
            </w:tcBorders>
          </w:tcPr>
          <w:p w14:paraId="2F39F009" w14:textId="6A50F4DF" w:rsidR="009B2C9C" w:rsidRPr="00126366" w:rsidRDefault="001A37E6" w:rsidP="009B2C9C">
            <w:pPr>
              <w:ind w:left="158" w:right="172"/>
              <w:textAlignment w:val="baseline"/>
              <w:rPr>
                <w:rFonts w:cs="Times New Roman"/>
                <w:i/>
                <w:noProof/>
                <w:color w:val="000000" w:themeColor="text1"/>
              </w:rPr>
            </w:pPr>
            <w:r>
              <w:rPr>
                <w:rFonts w:eastAsia="Times New Roman" w:cs="Times New Roman"/>
                <w:noProof/>
                <w:color w:val="000000" w:themeColor="text1"/>
                <w:lang w:eastAsia="en-IE"/>
              </w:rPr>
              <w:t xml:space="preserve">EUR </w:t>
            </w:r>
            <w:r w:rsidR="00797DD5">
              <w:rPr>
                <w:rFonts w:eastAsia="Times New Roman" w:cs="Times New Roman"/>
                <w:noProof/>
                <w:color w:val="000000" w:themeColor="text1"/>
                <w:lang w:eastAsia="en-IE"/>
              </w:rPr>
              <w:t>11.5 billion in Value Added</w:t>
            </w:r>
            <w:r w:rsidR="00F87364">
              <w:rPr>
                <w:rFonts w:eastAsia="Times New Roman" w:cs="Times New Roman"/>
                <w:noProof/>
                <w:color w:val="000000" w:themeColor="text1"/>
                <w:lang w:eastAsia="en-IE"/>
              </w:rPr>
              <w:t xml:space="preserve"> </w:t>
            </w:r>
            <w:r w:rsidR="00B3779D">
              <w:rPr>
                <w:rFonts w:eastAsia="Times New Roman" w:cs="Times New Roman"/>
                <w:noProof/>
                <w:color w:val="000000" w:themeColor="text1"/>
                <w:lang w:eastAsia="en-IE"/>
              </w:rPr>
              <w:t>(</w:t>
            </w:r>
            <w:r w:rsidR="00F87364">
              <w:rPr>
                <w:rFonts w:eastAsia="Times New Roman" w:cs="Times New Roman"/>
                <w:noProof/>
                <w:color w:val="000000" w:themeColor="text1"/>
                <w:lang w:eastAsia="en-IE"/>
              </w:rPr>
              <w:t>value chain</w:t>
            </w:r>
            <w:r w:rsidR="00B3779D">
              <w:rPr>
                <w:rFonts w:eastAsia="Times New Roman" w:cs="Times New Roman"/>
                <w:noProof/>
                <w:color w:val="000000" w:themeColor="text1"/>
                <w:lang w:eastAsia="en-IE"/>
              </w:rPr>
              <w:t xml:space="preserve"> </w:t>
            </w:r>
            <w:r w:rsidR="00B3779D" w:rsidRPr="00B3779D">
              <w:rPr>
                <w:rFonts w:eastAsia="Times New Roman" w:cs="Times New Roman"/>
                <w:noProof/>
                <w:color w:val="000000" w:themeColor="text1"/>
                <w:lang w:eastAsia="en-IE"/>
              </w:rPr>
              <w:t>for intermediate inputs</w:t>
            </w:r>
            <w:r w:rsidR="00B3779D">
              <w:rPr>
                <w:rFonts w:eastAsia="Times New Roman" w:cs="Times New Roman"/>
                <w:noProof/>
                <w:color w:val="000000" w:themeColor="text1"/>
                <w:lang w:eastAsia="en-IE"/>
              </w:rPr>
              <w:t>)</w:t>
            </w:r>
          </w:p>
        </w:tc>
      </w:tr>
      <w:tr w:rsidR="00A47E92" w:rsidRPr="006A12A4" w14:paraId="2F4752B8" w14:textId="77777777" w:rsidTr="1FA04443">
        <w:trPr>
          <w:trHeight w:val="285"/>
        </w:trPr>
        <w:tc>
          <w:tcPr>
            <w:tcW w:w="47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08B817A" w14:textId="4B385AB6" w:rsidR="00A47E92" w:rsidRPr="00E2315B" w:rsidRDefault="00A47E92" w:rsidP="009B2C9C">
            <w:pPr>
              <w:jc w:val="left"/>
              <w:textAlignment w:val="baseline"/>
              <w:rPr>
                <w:rFonts w:eastAsia="Times New Roman" w:cs="Times New Roman"/>
                <w:b/>
                <w:noProof/>
                <w:szCs w:val="24"/>
                <w:lang w:eastAsia="en-IE"/>
              </w:rPr>
            </w:pPr>
            <w:r w:rsidRPr="00E2315B">
              <w:rPr>
                <w:rFonts w:eastAsia="Times New Roman" w:cs="Times New Roman"/>
                <w:b/>
                <w:noProof/>
                <w:szCs w:val="24"/>
                <w:lang w:eastAsia="en-IE"/>
              </w:rPr>
              <w:t>TOTAL</w:t>
            </w:r>
          </w:p>
        </w:tc>
        <w:tc>
          <w:tcPr>
            <w:tcW w:w="144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2F2D700" w14:textId="5993467B" w:rsidR="00A47E92" w:rsidRPr="00E2315B" w:rsidRDefault="00A47E92" w:rsidP="009B2C9C">
            <w:pPr>
              <w:jc w:val="left"/>
              <w:textAlignment w:val="baseline"/>
              <w:rPr>
                <w:rFonts w:eastAsia="Times New Roman" w:cs="Times New Roman"/>
                <w:b/>
                <w:noProof/>
                <w:color w:val="000000"/>
                <w:lang w:eastAsia="en-IE"/>
              </w:rPr>
            </w:pPr>
            <w:r w:rsidRPr="00E2315B">
              <w:rPr>
                <w:rFonts w:eastAsia="Times New Roman" w:cs="Times New Roman"/>
                <w:b/>
                <w:noProof/>
                <w:color w:val="000000"/>
                <w:lang w:eastAsia="en-IE"/>
              </w:rPr>
              <w:t xml:space="preserve">EUR </w:t>
            </w:r>
            <w:r w:rsidR="00886C3B" w:rsidRPr="00E2315B">
              <w:rPr>
                <w:rFonts w:eastAsia="Times New Roman" w:cs="Times New Roman"/>
                <w:b/>
                <w:noProof/>
                <w:color w:val="000000"/>
                <w:lang w:eastAsia="en-IE"/>
              </w:rPr>
              <w:t>9.7 billion</w:t>
            </w:r>
          </w:p>
        </w:tc>
        <w:tc>
          <w:tcPr>
            <w:tcW w:w="1516"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92EDEE2" w14:textId="25D9A0B4" w:rsidR="00A47E92" w:rsidRPr="00E2315B" w:rsidRDefault="00886C3B" w:rsidP="009B2C9C">
            <w:pPr>
              <w:ind w:left="158" w:right="172"/>
              <w:textAlignment w:val="baseline"/>
              <w:rPr>
                <w:rFonts w:eastAsia="Times New Roman" w:cs="Times New Roman"/>
                <w:b/>
                <w:noProof/>
                <w:color w:val="000000" w:themeColor="text1"/>
                <w:lang w:eastAsia="en-IE"/>
              </w:rPr>
            </w:pPr>
            <w:r w:rsidRPr="00E2315B">
              <w:rPr>
                <w:rFonts w:eastAsia="Times New Roman" w:cs="Times New Roman"/>
                <w:b/>
                <w:noProof/>
                <w:color w:val="000000" w:themeColor="text1"/>
                <w:lang w:eastAsia="en-IE"/>
              </w:rPr>
              <w:t>EUR</w:t>
            </w:r>
            <w:r w:rsidR="00A50256" w:rsidRPr="00E2315B">
              <w:rPr>
                <w:rFonts w:eastAsia="Times New Roman" w:cs="Times New Roman"/>
                <w:b/>
                <w:noProof/>
                <w:color w:val="000000" w:themeColor="text1"/>
                <w:lang w:eastAsia="en-IE"/>
              </w:rPr>
              <w:t xml:space="preserve"> 10.41 billion</w:t>
            </w:r>
          </w:p>
        </w:tc>
        <w:tc>
          <w:tcPr>
            <w:tcW w:w="1574"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62973AB" w14:textId="3F662CA3" w:rsidR="00A47E92" w:rsidRPr="00E2315B" w:rsidRDefault="00A50256" w:rsidP="009B2C9C">
            <w:pPr>
              <w:ind w:left="158" w:right="172"/>
              <w:textAlignment w:val="baseline"/>
              <w:rPr>
                <w:rFonts w:eastAsia="Times New Roman" w:cs="Times New Roman"/>
                <w:b/>
                <w:noProof/>
                <w:color w:val="000000" w:themeColor="text1"/>
                <w:lang w:eastAsia="en-IE"/>
              </w:rPr>
            </w:pPr>
            <w:r w:rsidRPr="00E2315B">
              <w:rPr>
                <w:rFonts w:eastAsia="Times New Roman" w:cs="Times New Roman"/>
                <w:b/>
                <w:noProof/>
                <w:color w:val="000000" w:themeColor="text1"/>
                <w:lang w:eastAsia="en-IE"/>
              </w:rPr>
              <w:t>EUR 12.57 billion</w:t>
            </w:r>
          </w:p>
        </w:tc>
      </w:tr>
    </w:tbl>
    <w:p w14:paraId="582634AF" w14:textId="4ABBEC1A" w:rsidR="00D17D44" w:rsidRPr="00F03F9B" w:rsidRDefault="00D17D44" w:rsidP="0082026C">
      <w:pPr>
        <w:pStyle w:val="JRCText"/>
        <w:jc w:val="both"/>
        <w:rPr>
          <w:rFonts w:ascii="Times New Roman" w:hAnsi="Times New Roman" w:cs="Times New Roman"/>
          <w:b/>
          <w:noProof/>
          <w:color w:val="000000" w:themeColor="text1"/>
        </w:rPr>
      </w:pPr>
    </w:p>
    <w:p w14:paraId="00325FDC" w14:textId="5B4576D2" w:rsidR="009569D8" w:rsidRPr="000677B8" w:rsidRDefault="001A461C" w:rsidP="0082026C">
      <w:pPr>
        <w:pStyle w:val="JRCText"/>
        <w:jc w:val="both"/>
        <w:rPr>
          <w:rFonts w:ascii="Times New Roman" w:hAnsi="Times New Roman" w:cs="Times New Roman"/>
          <w:b/>
          <w:noProof/>
          <w:color w:val="000000" w:themeColor="text1"/>
          <w:sz w:val="24"/>
          <w:szCs w:val="24"/>
        </w:rPr>
      </w:pPr>
      <w:r w:rsidRPr="000677B8">
        <w:rPr>
          <w:rFonts w:ascii="Times New Roman" w:hAnsi="Times New Roman" w:cs="Times New Roman"/>
          <w:b/>
          <w:noProof/>
          <w:color w:val="000000" w:themeColor="text1"/>
          <w:sz w:val="24"/>
          <w:szCs w:val="24"/>
        </w:rPr>
        <w:t xml:space="preserve">Environmental and </w:t>
      </w:r>
      <w:r w:rsidR="00F04BE2" w:rsidRPr="000677B8">
        <w:rPr>
          <w:rFonts w:ascii="Times New Roman" w:hAnsi="Times New Roman" w:cs="Times New Roman"/>
          <w:b/>
          <w:noProof/>
          <w:color w:val="000000" w:themeColor="text1"/>
          <w:sz w:val="24"/>
          <w:szCs w:val="24"/>
        </w:rPr>
        <w:t>value-added</w:t>
      </w:r>
      <w:r w:rsidRPr="000677B8">
        <w:rPr>
          <w:rFonts w:ascii="Times New Roman" w:hAnsi="Times New Roman" w:cs="Times New Roman"/>
          <w:b/>
          <w:noProof/>
          <w:color w:val="000000" w:themeColor="text1"/>
          <w:sz w:val="24"/>
          <w:szCs w:val="24"/>
        </w:rPr>
        <w:t xml:space="preserve"> b</w:t>
      </w:r>
      <w:r w:rsidR="0091685C" w:rsidRPr="000677B8">
        <w:rPr>
          <w:rFonts w:ascii="Times New Roman" w:hAnsi="Times New Roman" w:cs="Times New Roman"/>
          <w:b/>
          <w:noProof/>
          <w:color w:val="000000" w:themeColor="text1"/>
          <w:sz w:val="24"/>
          <w:szCs w:val="24"/>
        </w:rPr>
        <w:t>enefits</w:t>
      </w:r>
      <w:r w:rsidR="002106C1">
        <w:rPr>
          <w:rFonts w:ascii="Times New Roman" w:hAnsi="Times New Roman" w:cs="Times New Roman"/>
          <w:b/>
          <w:iCs/>
          <w:noProof/>
          <w:color w:val="000000" w:themeColor="text1"/>
          <w:sz w:val="24"/>
          <w:szCs w:val="24"/>
        </w:rPr>
        <w:t xml:space="preserve"> total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6"/>
        <w:gridCol w:w="2367"/>
        <w:gridCol w:w="2367"/>
        <w:gridCol w:w="2382"/>
      </w:tblGrid>
      <w:tr w:rsidR="00860ABF" w:rsidRPr="006A12A4" w14:paraId="236A5891" w14:textId="77777777" w:rsidTr="00A407F1">
        <w:trPr>
          <w:trHeight w:val="300"/>
        </w:trPr>
        <w:tc>
          <w:tcPr>
            <w:tcW w:w="1248" w:type="pct"/>
            <w:tcBorders>
              <w:top w:val="single" w:sz="6" w:space="0" w:color="auto"/>
              <w:left w:val="single" w:sz="6" w:space="0" w:color="auto"/>
              <w:bottom w:val="single" w:sz="6" w:space="0" w:color="auto"/>
              <w:right w:val="single" w:sz="6" w:space="0" w:color="auto"/>
            </w:tcBorders>
            <w:hideMark/>
          </w:tcPr>
          <w:p w14:paraId="66B8D69C" w14:textId="7E992B6D" w:rsidR="00860ABF" w:rsidRPr="00E71388" w:rsidRDefault="7C598748" w:rsidP="00A977C7">
            <w:pPr>
              <w:spacing w:before="240" w:after="160"/>
              <w:jc w:val="center"/>
              <w:rPr>
                <w:rFonts w:cs="Times New Roman"/>
                <w:b/>
                <w:noProof/>
              </w:rPr>
            </w:pPr>
            <w:r w:rsidRPr="00E71388">
              <w:rPr>
                <w:rFonts w:cs="Times New Roman"/>
                <w:b/>
                <w:noProof/>
              </w:rPr>
              <w:lastRenderedPageBreak/>
              <w:t xml:space="preserve">TOTAL </w:t>
            </w:r>
          </w:p>
        </w:tc>
        <w:tc>
          <w:tcPr>
            <w:tcW w:w="3752" w:type="pct"/>
            <w:gridSpan w:val="3"/>
            <w:tcBorders>
              <w:top w:val="single" w:sz="6" w:space="0" w:color="auto"/>
              <w:left w:val="single" w:sz="6" w:space="0" w:color="auto"/>
              <w:bottom w:val="single" w:sz="6" w:space="0" w:color="auto"/>
              <w:right w:val="single" w:sz="6" w:space="0" w:color="auto"/>
            </w:tcBorders>
            <w:hideMark/>
          </w:tcPr>
          <w:p w14:paraId="5C0E15E2" w14:textId="77777777" w:rsidR="00860ABF" w:rsidRPr="00E71388" w:rsidRDefault="00860ABF" w:rsidP="00A977C7">
            <w:pPr>
              <w:spacing w:before="240" w:after="160"/>
              <w:jc w:val="center"/>
              <w:rPr>
                <w:rFonts w:cs="Times New Roman"/>
                <w:b/>
                <w:noProof/>
                <w:szCs w:val="24"/>
              </w:rPr>
            </w:pPr>
            <w:r w:rsidRPr="00E71388">
              <w:rPr>
                <w:rFonts w:cs="Times New Roman"/>
                <w:b/>
                <w:noProof/>
                <w:szCs w:val="24"/>
              </w:rPr>
              <w:t>Difference to the baseline</w:t>
            </w:r>
          </w:p>
        </w:tc>
      </w:tr>
      <w:tr w:rsidR="00860ABF" w:rsidRPr="006A12A4" w14:paraId="7AEFF995" w14:textId="77777777" w:rsidTr="00A407F1">
        <w:trPr>
          <w:trHeight w:val="300"/>
        </w:trPr>
        <w:tc>
          <w:tcPr>
            <w:tcW w:w="1248" w:type="pct"/>
            <w:tcBorders>
              <w:top w:val="single" w:sz="6" w:space="0" w:color="auto"/>
              <w:left w:val="single" w:sz="6" w:space="0" w:color="auto"/>
              <w:bottom w:val="single" w:sz="6" w:space="0" w:color="auto"/>
              <w:right w:val="single" w:sz="6" w:space="0" w:color="auto"/>
            </w:tcBorders>
            <w:hideMark/>
          </w:tcPr>
          <w:p w14:paraId="41D487DF" w14:textId="77777777" w:rsidR="00860ABF" w:rsidRPr="00E71388" w:rsidRDefault="00860ABF" w:rsidP="00A977C7">
            <w:pPr>
              <w:spacing w:before="240" w:after="160"/>
              <w:jc w:val="center"/>
              <w:rPr>
                <w:rFonts w:cs="Times New Roman"/>
                <w:b/>
                <w:noProof/>
                <w:szCs w:val="24"/>
              </w:rPr>
            </w:pPr>
          </w:p>
        </w:tc>
        <w:tc>
          <w:tcPr>
            <w:tcW w:w="1248" w:type="pct"/>
            <w:tcBorders>
              <w:top w:val="single" w:sz="6" w:space="0" w:color="auto"/>
              <w:left w:val="single" w:sz="6" w:space="0" w:color="auto"/>
              <w:bottom w:val="single" w:sz="6" w:space="0" w:color="auto"/>
              <w:right w:val="single" w:sz="6" w:space="0" w:color="auto"/>
            </w:tcBorders>
            <w:hideMark/>
          </w:tcPr>
          <w:p w14:paraId="116D3DA5" w14:textId="77777777" w:rsidR="00860ABF" w:rsidRPr="00E71388" w:rsidRDefault="00860ABF" w:rsidP="00A977C7">
            <w:pPr>
              <w:spacing w:before="240" w:after="160"/>
              <w:jc w:val="center"/>
              <w:rPr>
                <w:rFonts w:cs="Times New Roman"/>
                <w:noProof/>
                <w:szCs w:val="24"/>
              </w:rPr>
            </w:pPr>
            <w:r w:rsidRPr="00E71388">
              <w:rPr>
                <w:rFonts w:cs="Times New Roman"/>
                <w:b/>
                <w:noProof/>
                <w:szCs w:val="24"/>
              </w:rPr>
              <w:t>PO1</w:t>
            </w:r>
          </w:p>
        </w:tc>
        <w:tc>
          <w:tcPr>
            <w:tcW w:w="1248" w:type="pct"/>
            <w:tcBorders>
              <w:top w:val="nil"/>
              <w:left w:val="single" w:sz="6" w:space="0" w:color="auto"/>
              <w:bottom w:val="single" w:sz="6" w:space="0" w:color="auto"/>
              <w:right w:val="single" w:sz="6" w:space="0" w:color="auto"/>
            </w:tcBorders>
            <w:hideMark/>
          </w:tcPr>
          <w:p w14:paraId="26E2AF4C" w14:textId="77777777" w:rsidR="00860ABF" w:rsidRPr="00E71388" w:rsidRDefault="00860ABF" w:rsidP="00A977C7">
            <w:pPr>
              <w:spacing w:before="240" w:after="160"/>
              <w:jc w:val="center"/>
              <w:rPr>
                <w:rFonts w:cs="Times New Roman"/>
                <w:noProof/>
                <w:szCs w:val="24"/>
              </w:rPr>
            </w:pPr>
            <w:r w:rsidRPr="00E71388">
              <w:rPr>
                <w:rFonts w:cs="Times New Roman"/>
                <w:b/>
                <w:noProof/>
                <w:szCs w:val="24"/>
              </w:rPr>
              <w:t>PO2</w:t>
            </w:r>
          </w:p>
        </w:tc>
        <w:tc>
          <w:tcPr>
            <w:tcW w:w="1256" w:type="pct"/>
            <w:tcBorders>
              <w:top w:val="nil"/>
              <w:left w:val="single" w:sz="6" w:space="0" w:color="auto"/>
              <w:bottom w:val="single" w:sz="6" w:space="0" w:color="auto"/>
              <w:right w:val="single" w:sz="6" w:space="0" w:color="auto"/>
            </w:tcBorders>
            <w:hideMark/>
          </w:tcPr>
          <w:p w14:paraId="616BAD9B" w14:textId="77777777" w:rsidR="00860ABF" w:rsidRPr="00E71388" w:rsidRDefault="00860ABF" w:rsidP="00A977C7">
            <w:pPr>
              <w:spacing w:before="240" w:after="160"/>
              <w:jc w:val="center"/>
              <w:rPr>
                <w:rFonts w:cs="Times New Roman"/>
                <w:noProof/>
                <w:szCs w:val="24"/>
              </w:rPr>
            </w:pPr>
            <w:r w:rsidRPr="00E71388">
              <w:rPr>
                <w:rFonts w:cs="Times New Roman"/>
                <w:b/>
                <w:noProof/>
                <w:szCs w:val="24"/>
              </w:rPr>
              <w:t>PO3</w:t>
            </w:r>
          </w:p>
        </w:tc>
      </w:tr>
      <w:tr w:rsidR="00860ABF" w:rsidRPr="006A12A4" w14:paraId="4EF77CC2" w14:textId="77777777" w:rsidTr="002C400C">
        <w:trPr>
          <w:trHeight w:val="300"/>
        </w:trPr>
        <w:tc>
          <w:tcPr>
            <w:tcW w:w="1248" w:type="pct"/>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6346C702" w14:textId="12EC2DBC" w:rsidR="00860ABF" w:rsidRPr="002C400C" w:rsidRDefault="00860ABF" w:rsidP="00A977C7">
            <w:pPr>
              <w:spacing w:before="240" w:after="160"/>
              <w:jc w:val="center"/>
              <w:rPr>
                <w:rFonts w:cs="Times New Roman"/>
                <w:b/>
                <w:noProof/>
                <w:szCs w:val="24"/>
              </w:rPr>
            </w:pPr>
            <w:r w:rsidRPr="002C400C">
              <w:rPr>
                <w:rFonts w:cs="Times New Roman"/>
                <w:b/>
                <w:noProof/>
                <w:szCs w:val="24"/>
              </w:rPr>
              <w:t xml:space="preserve">Total </w:t>
            </w:r>
            <w:r w:rsidR="00FA2447" w:rsidRPr="002C400C">
              <w:rPr>
                <w:rFonts w:cs="Times New Roman"/>
                <w:b/>
                <w:noProof/>
                <w:szCs w:val="24"/>
              </w:rPr>
              <w:t>Moneti</w:t>
            </w:r>
            <w:r w:rsidR="00463B04" w:rsidRPr="002C400C">
              <w:rPr>
                <w:rFonts w:cs="Times New Roman"/>
                <w:b/>
                <w:noProof/>
                <w:szCs w:val="24"/>
              </w:rPr>
              <w:t>s</w:t>
            </w:r>
            <w:r w:rsidR="00FA2447" w:rsidRPr="002C400C">
              <w:rPr>
                <w:rFonts w:cs="Times New Roman"/>
                <w:b/>
                <w:noProof/>
                <w:szCs w:val="24"/>
              </w:rPr>
              <w:t xml:space="preserve">ed </w:t>
            </w:r>
            <w:r w:rsidRPr="002C400C">
              <w:rPr>
                <w:rFonts w:cs="Times New Roman"/>
                <w:b/>
                <w:noProof/>
                <w:szCs w:val="24"/>
              </w:rPr>
              <w:t>Benefits</w:t>
            </w:r>
            <w:r w:rsidR="7B64C237" w:rsidRPr="002C400C">
              <w:rPr>
                <w:rFonts w:cs="Times New Roman"/>
                <w:b/>
                <w:noProof/>
                <w:szCs w:val="24"/>
              </w:rPr>
              <w:t xml:space="preserve"> </w:t>
            </w:r>
            <w:r w:rsidR="00D349E6" w:rsidRPr="00D349E6">
              <w:rPr>
                <w:rFonts w:cs="Times New Roman"/>
                <w:bCs/>
                <w:i/>
                <w:iCs/>
                <w:noProof/>
                <w:szCs w:val="24"/>
              </w:rPr>
              <w:t>(not including admin savings</w:t>
            </w:r>
            <w:r w:rsidR="00D349E6">
              <w:rPr>
                <w:rFonts w:cs="Times New Roman"/>
                <w:bCs/>
                <w:i/>
                <w:iCs/>
                <w:noProof/>
                <w:szCs w:val="24"/>
              </w:rPr>
              <w:t xml:space="preserve"> in </w:t>
            </w:r>
            <w:r w:rsidR="00D072F7">
              <w:rPr>
                <w:rFonts w:cs="Times New Roman"/>
                <w:bCs/>
                <w:i/>
                <w:iCs/>
                <w:noProof/>
                <w:szCs w:val="24"/>
              </w:rPr>
              <w:t>S</w:t>
            </w:r>
            <w:r w:rsidR="00D349E6">
              <w:rPr>
                <w:rFonts w:cs="Times New Roman"/>
                <w:bCs/>
                <w:i/>
                <w:iCs/>
                <w:noProof/>
                <w:szCs w:val="24"/>
              </w:rPr>
              <w:t>ection 2.1</w:t>
            </w:r>
            <w:r w:rsidR="00CF5035">
              <w:rPr>
                <w:rFonts w:cs="Times New Roman"/>
                <w:bCs/>
                <w:i/>
                <w:iCs/>
                <w:noProof/>
                <w:szCs w:val="24"/>
              </w:rPr>
              <w:t xml:space="preserve"> of this same Annex</w:t>
            </w:r>
            <w:r w:rsidR="00D349E6" w:rsidRPr="00D349E6">
              <w:rPr>
                <w:rFonts w:cs="Times New Roman"/>
                <w:bCs/>
                <w:i/>
                <w:iCs/>
                <w:noProof/>
                <w:szCs w:val="24"/>
              </w:rPr>
              <w:t>)</w:t>
            </w:r>
          </w:p>
        </w:tc>
        <w:tc>
          <w:tcPr>
            <w:tcW w:w="1248" w:type="pct"/>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2D4D7790" w14:textId="5E5C99FF" w:rsidR="00860ABF" w:rsidRPr="00B573E4" w:rsidRDefault="00925F3C" w:rsidP="00A977C7">
            <w:pPr>
              <w:spacing w:before="240" w:after="160"/>
              <w:jc w:val="center"/>
              <w:rPr>
                <w:rFonts w:cs="Times New Roman"/>
                <w:b/>
                <w:noProof/>
              </w:rPr>
            </w:pPr>
            <w:r w:rsidRPr="00B573E4">
              <w:rPr>
                <w:rFonts w:cs="Times New Roman"/>
                <w:b/>
                <w:noProof/>
              </w:rPr>
              <w:t xml:space="preserve">EUR </w:t>
            </w:r>
            <w:r w:rsidR="00F47AFD" w:rsidRPr="00B573E4">
              <w:rPr>
                <w:rFonts w:cs="Times New Roman"/>
                <w:b/>
                <w:noProof/>
              </w:rPr>
              <w:t>12.47</w:t>
            </w:r>
            <w:r w:rsidRPr="00B573E4">
              <w:rPr>
                <w:rFonts w:cs="Times New Roman"/>
                <w:b/>
                <w:noProof/>
              </w:rPr>
              <w:t xml:space="preserve"> billion</w:t>
            </w:r>
          </w:p>
        </w:tc>
        <w:tc>
          <w:tcPr>
            <w:tcW w:w="1248" w:type="pct"/>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27C5CBA8" w14:textId="4CEDDBCD" w:rsidR="00860ABF" w:rsidRPr="00B573E4" w:rsidRDefault="00925F3C" w:rsidP="00A977C7">
            <w:pPr>
              <w:spacing w:before="240" w:after="160"/>
              <w:jc w:val="center"/>
              <w:rPr>
                <w:rFonts w:cs="Times New Roman"/>
                <w:b/>
                <w:noProof/>
              </w:rPr>
            </w:pPr>
            <w:r w:rsidRPr="00B573E4">
              <w:rPr>
                <w:rFonts w:cs="Times New Roman"/>
                <w:b/>
                <w:noProof/>
              </w:rPr>
              <w:t xml:space="preserve">EUR </w:t>
            </w:r>
            <w:r w:rsidR="00782C00" w:rsidRPr="00B573E4">
              <w:rPr>
                <w:rFonts w:cs="Times New Roman"/>
                <w:b/>
                <w:noProof/>
              </w:rPr>
              <w:t>14.13 billion</w:t>
            </w:r>
          </w:p>
        </w:tc>
        <w:tc>
          <w:tcPr>
            <w:tcW w:w="1256" w:type="pct"/>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6A22AA98" w14:textId="20FE1899" w:rsidR="00860ABF" w:rsidRPr="00B573E4" w:rsidRDefault="00F60F7C" w:rsidP="00A977C7">
            <w:pPr>
              <w:spacing w:before="240" w:after="160"/>
              <w:jc w:val="center"/>
              <w:rPr>
                <w:rFonts w:cs="Times New Roman"/>
                <w:b/>
                <w:noProof/>
              </w:rPr>
            </w:pPr>
            <w:r w:rsidRPr="00B573E4">
              <w:rPr>
                <w:rFonts w:cs="Times New Roman"/>
                <w:b/>
                <w:noProof/>
              </w:rPr>
              <w:t xml:space="preserve">EUR </w:t>
            </w:r>
            <w:r w:rsidR="00782C00" w:rsidRPr="00B573E4">
              <w:rPr>
                <w:rFonts w:cs="Times New Roman"/>
                <w:b/>
                <w:noProof/>
              </w:rPr>
              <w:t>17.17</w:t>
            </w:r>
            <w:r w:rsidR="006A12A4" w:rsidRPr="00B573E4">
              <w:rPr>
                <w:rFonts w:cs="Times New Roman"/>
                <w:b/>
                <w:noProof/>
              </w:rPr>
              <w:t xml:space="preserve"> billion</w:t>
            </w:r>
          </w:p>
        </w:tc>
      </w:tr>
    </w:tbl>
    <w:p w14:paraId="362F3EDD" w14:textId="77777777" w:rsidR="0093392A" w:rsidRDefault="0093392A" w:rsidP="000677B8">
      <w:pPr>
        <w:rPr>
          <w:noProof/>
        </w:rPr>
        <w:sectPr w:rsidR="0093392A" w:rsidSect="00D414F2">
          <w:headerReference w:type="even" r:id="rId68"/>
          <w:headerReference w:type="default" r:id="rId69"/>
          <w:footerReference w:type="default" r:id="rId70"/>
          <w:headerReference w:type="first" r:id="rId71"/>
          <w:footerReference w:type="first" r:id="rId72"/>
          <w:pgSz w:w="11906" w:h="16838"/>
          <w:pgMar w:top="1020" w:right="707" w:bottom="1020" w:left="1701" w:header="601" w:footer="1077" w:gutter="0"/>
          <w:cols w:space="720"/>
          <w:titlePg/>
        </w:sectPr>
      </w:pPr>
    </w:p>
    <w:p w14:paraId="582AD7A9" w14:textId="671864F9" w:rsidR="00086294" w:rsidRPr="00B573E4" w:rsidRDefault="00086294" w:rsidP="7ECD02B7">
      <w:pPr>
        <w:pStyle w:val="ListParagraph"/>
        <w:keepNext/>
        <w:keepLines/>
        <w:numPr>
          <w:ilvl w:val="1"/>
          <w:numId w:val="157"/>
        </w:numPr>
        <w:spacing w:before="360" w:after="80"/>
        <w:outlineLvl w:val="0"/>
        <w:rPr>
          <w:rFonts w:cstheme="majorBidi"/>
          <w:i/>
          <w:noProof/>
        </w:rPr>
      </w:pPr>
      <w:bookmarkStart w:id="486" w:name="_Toc212728847"/>
      <w:bookmarkStart w:id="487" w:name="_Toc212729121"/>
      <w:bookmarkStart w:id="488" w:name="_Toc212729373"/>
      <w:bookmarkStart w:id="489" w:name="_Toc215506317"/>
      <w:bookmarkStart w:id="490" w:name="_Toc222159368"/>
      <w:bookmarkStart w:id="491" w:name="_Toc222489536"/>
      <w:bookmarkStart w:id="492" w:name="_Toc222490025"/>
      <w:r w:rsidRPr="00B573E4">
        <w:rPr>
          <w:rFonts w:eastAsia="Yu Gothic Light"/>
          <w:b/>
          <w:noProof/>
        </w:rPr>
        <w:lastRenderedPageBreak/>
        <w:t>Final costs and benefits</w:t>
      </w:r>
      <w:bookmarkEnd w:id="486"/>
      <w:bookmarkEnd w:id="487"/>
      <w:bookmarkEnd w:id="488"/>
      <w:bookmarkEnd w:id="489"/>
      <w:bookmarkEnd w:id="490"/>
      <w:bookmarkEnd w:id="491"/>
      <w:bookmarkEnd w:id="492"/>
    </w:p>
    <w:p w14:paraId="310B7500" w14:textId="57156E31" w:rsidR="00E07DC2" w:rsidRPr="00E07DC2" w:rsidRDefault="008A5A3D" w:rsidP="005754F4">
      <w:pPr>
        <w:pStyle w:val="Caption"/>
        <w:keepNext/>
        <w:rPr>
          <w:noProof/>
        </w:rPr>
      </w:pPr>
      <w:r w:rsidRPr="005E486C">
        <w:rPr>
          <w:noProof/>
        </w:rPr>
        <w:t xml:space="preserve">Table </w:t>
      </w:r>
      <w:r w:rsidRPr="005E486C">
        <w:rPr>
          <w:noProof/>
        </w:rPr>
        <w:fldChar w:fldCharType="begin"/>
      </w:r>
      <w:r w:rsidRPr="005E486C">
        <w:rPr>
          <w:noProof/>
        </w:rPr>
        <w:instrText xml:space="preserve"> SEQ Table \* ARABIC </w:instrText>
      </w:r>
      <w:r w:rsidRPr="005E486C">
        <w:rPr>
          <w:noProof/>
        </w:rPr>
        <w:fldChar w:fldCharType="separate"/>
      </w:r>
      <w:r w:rsidR="00E16D65" w:rsidRPr="005E486C">
        <w:rPr>
          <w:noProof/>
        </w:rPr>
        <w:t>11</w:t>
      </w:r>
      <w:r w:rsidRPr="005E486C">
        <w:rPr>
          <w:noProof/>
        </w:rPr>
        <w:fldChar w:fldCharType="end"/>
      </w:r>
      <w:r w:rsidRPr="005E486C">
        <w:rPr>
          <w:noProof/>
        </w:rPr>
        <w:t>:</w:t>
      </w:r>
      <w:r w:rsidR="000C3A21" w:rsidRPr="005E486C">
        <w:rPr>
          <w:noProof/>
        </w:rPr>
        <w:t xml:space="preserve"> Aggregated overview of costs and benefits</w:t>
      </w:r>
      <w:r w:rsidR="000C3A21">
        <w:rPr>
          <w:noProof/>
        </w:rPr>
        <w:t xml:space="preserve"> </w:t>
      </w:r>
    </w:p>
    <w:tbl>
      <w:tblPr>
        <w:tblW w:w="5000" w:type="pct"/>
        <w:tblLook w:val="04A0" w:firstRow="1" w:lastRow="0" w:firstColumn="1" w:lastColumn="0" w:noHBand="0" w:noVBand="1"/>
      </w:tblPr>
      <w:tblGrid>
        <w:gridCol w:w="4141"/>
        <w:gridCol w:w="1459"/>
        <w:gridCol w:w="2027"/>
        <w:gridCol w:w="1456"/>
        <w:gridCol w:w="2027"/>
        <w:gridCol w:w="1456"/>
        <w:gridCol w:w="2232"/>
      </w:tblGrid>
      <w:tr w:rsidR="00CA5119" w:rsidRPr="00CA5119" w14:paraId="5F4F78E3" w14:textId="77777777" w:rsidTr="00DB531C">
        <w:trPr>
          <w:trHeight w:val="290"/>
        </w:trPr>
        <w:tc>
          <w:tcPr>
            <w:tcW w:w="1399" w:type="pct"/>
            <w:tcBorders>
              <w:top w:val="nil"/>
              <w:left w:val="nil"/>
              <w:bottom w:val="nil"/>
              <w:right w:val="nil"/>
            </w:tcBorders>
            <w:shd w:val="clear" w:color="auto" w:fill="DAE9F8"/>
            <w:noWrap/>
            <w:vAlign w:val="bottom"/>
            <w:hideMark/>
          </w:tcPr>
          <w:p w14:paraId="6C874C79"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 </w:t>
            </w:r>
          </w:p>
        </w:tc>
        <w:tc>
          <w:tcPr>
            <w:tcW w:w="3601" w:type="pct"/>
            <w:gridSpan w:val="6"/>
            <w:tcBorders>
              <w:top w:val="nil"/>
              <w:left w:val="nil"/>
              <w:bottom w:val="nil"/>
              <w:right w:val="nil"/>
            </w:tcBorders>
            <w:shd w:val="clear" w:color="auto" w:fill="DAE9F8"/>
            <w:noWrap/>
            <w:vAlign w:val="bottom"/>
            <w:hideMark/>
          </w:tcPr>
          <w:p w14:paraId="1D8DADC1" w14:textId="77777777" w:rsidR="00CA5119" w:rsidRPr="00CA5119" w:rsidRDefault="00CA5119" w:rsidP="7ECD02B7">
            <w:pPr>
              <w:jc w:val="center"/>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Difference to the baseline</w:t>
            </w:r>
          </w:p>
        </w:tc>
      </w:tr>
      <w:tr w:rsidR="00CA5119" w:rsidRPr="00CA5119" w14:paraId="6CAD829A" w14:textId="77777777" w:rsidTr="00DB531C">
        <w:trPr>
          <w:trHeight w:val="290"/>
        </w:trPr>
        <w:tc>
          <w:tcPr>
            <w:tcW w:w="1399" w:type="pct"/>
            <w:tcBorders>
              <w:top w:val="nil"/>
              <w:left w:val="nil"/>
              <w:bottom w:val="nil"/>
              <w:right w:val="nil"/>
            </w:tcBorders>
            <w:shd w:val="clear" w:color="auto" w:fill="DAE9F8"/>
            <w:noWrap/>
            <w:vAlign w:val="bottom"/>
            <w:hideMark/>
          </w:tcPr>
          <w:p w14:paraId="06DD8A04"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EUR in millions</w:t>
            </w:r>
          </w:p>
        </w:tc>
        <w:tc>
          <w:tcPr>
            <w:tcW w:w="493" w:type="pct"/>
            <w:tcBorders>
              <w:top w:val="nil"/>
              <w:left w:val="nil"/>
              <w:bottom w:val="nil"/>
              <w:right w:val="nil"/>
            </w:tcBorders>
            <w:shd w:val="clear" w:color="auto" w:fill="DAE9F8"/>
            <w:noWrap/>
            <w:vAlign w:val="bottom"/>
            <w:hideMark/>
          </w:tcPr>
          <w:p w14:paraId="7C045DFE" w14:textId="77777777" w:rsidR="00CA5119" w:rsidRPr="00CA5119" w:rsidRDefault="00CA5119" w:rsidP="7ECD02B7">
            <w:pPr>
              <w:jc w:val="center"/>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PO1</w:t>
            </w:r>
          </w:p>
        </w:tc>
        <w:tc>
          <w:tcPr>
            <w:tcW w:w="685" w:type="pct"/>
            <w:tcBorders>
              <w:top w:val="nil"/>
              <w:left w:val="nil"/>
              <w:bottom w:val="nil"/>
              <w:right w:val="nil"/>
            </w:tcBorders>
            <w:shd w:val="clear" w:color="auto" w:fill="DAE9F8"/>
            <w:noWrap/>
            <w:vAlign w:val="bottom"/>
            <w:hideMark/>
          </w:tcPr>
          <w:p w14:paraId="4E96CF5C" w14:textId="77777777" w:rsidR="00CA5119" w:rsidRPr="00CA5119" w:rsidRDefault="00CA5119" w:rsidP="7ECD02B7">
            <w:pPr>
              <w:jc w:val="center"/>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0A9DE074" w14:textId="77777777" w:rsidR="00CA5119" w:rsidRPr="00CA5119" w:rsidRDefault="00CA5119" w:rsidP="7ECD02B7">
            <w:pPr>
              <w:jc w:val="center"/>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PO2</w:t>
            </w:r>
          </w:p>
        </w:tc>
        <w:tc>
          <w:tcPr>
            <w:tcW w:w="685" w:type="pct"/>
            <w:tcBorders>
              <w:top w:val="nil"/>
              <w:left w:val="nil"/>
              <w:bottom w:val="nil"/>
              <w:right w:val="nil"/>
            </w:tcBorders>
            <w:shd w:val="clear" w:color="auto" w:fill="DAE9F8"/>
            <w:noWrap/>
            <w:vAlign w:val="bottom"/>
            <w:hideMark/>
          </w:tcPr>
          <w:p w14:paraId="65B8886C" w14:textId="77777777" w:rsidR="00CA5119" w:rsidRPr="00CA5119" w:rsidRDefault="00CA5119" w:rsidP="7ECD02B7">
            <w:pPr>
              <w:jc w:val="center"/>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73567F9B" w14:textId="77777777" w:rsidR="00CA5119" w:rsidRPr="00CA5119" w:rsidRDefault="00CA5119" w:rsidP="7ECD02B7">
            <w:pPr>
              <w:jc w:val="center"/>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PO3</w:t>
            </w:r>
          </w:p>
        </w:tc>
        <w:tc>
          <w:tcPr>
            <w:tcW w:w="753" w:type="pct"/>
            <w:tcBorders>
              <w:top w:val="nil"/>
              <w:left w:val="nil"/>
              <w:bottom w:val="nil"/>
              <w:right w:val="nil"/>
            </w:tcBorders>
            <w:shd w:val="clear" w:color="auto" w:fill="DAE9F8"/>
            <w:noWrap/>
            <w:vAlign w:val="bottom"/>
            <w:hideMark/>
          </w:tcPr>
          <w:p w14:paraId="586A5E7C" w14:textId="77777777" w:rsidR="00CA5119" w:rsidRPr="00CA5119" w:rsidRDefault="00CA5119" w:rsidP="7ECD02B7">
            <w:pPr>
              <w:jc w:val="center"/>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 </w:t>
            </w:r>
          </w:p>
        </w:tc>
      </w:tr>
      <w:tr w:rsidR="00CA5119" w:rsidRPr="00CA5119" w14:paraId="100B2C36" w14:textId="77777777" w:rsidTr="00DB531C">
        <w:trPr>
          <w:trHeight w:val="290"/>
        </w:trPr>
        <w:tc>
          <w:tcPr>
            <w:tcW w:w="1399" w:type="pct"/>
            <w:tcBorders>
              <w:top w:val="nil"/>
              <w:left w:val="nil"/>
              <w:bottom w:val="nil"/>
              <w:right w:val="nil"/>
            </w:tcBorders>
            <w:shd w:val="clear" w:color="auto" w:fill="DAE9F8"/>
            <w:noWrap/>
            <w:vAlign w:val="bottom"/>
            <w:hideMark/>
          </w:tcPr>
          <w:p w14:paraId="35B2104F"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 </w:t>
            </w:r>
          </w:p>
        </w:tc>
        <w:tc>
          <w:tcPr>
            <w:tcW w:w="493" w:type="pct"/>
            <w:tcBorders>
              <w:top w:val="nil"/>
              <w:left w:val="nil"/>
              <w:bottom w:val="nil"/>
              <w:right w:val="nil"/>
            </w:tcBorders>
            <w:shd w:val="clear" w:color="auto" w:fill="DAE9F8"/>
            <w:noWrap/>
            <w:vAlign w:val="bottom"/>
            <w:hideMark/>
          </w:tcPr>
          <w:p w14:paraId="0B2879CC"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One Off</w:t>
            </w:r>
          </w:p>
        </w:tc>
        <w:tc>
          <w:tcPr>
            <w:tcW w:w="685" w:type="pct"/>
            <w:tcBorders>
              <w:top w:val="nil"/>
              <w:left w:val="nil"/>
              <w:bottom w:val="nil"/>
              <w:right w:val="nil"/>
            </w:tcBorders>
            <w:shd w:val="clear" w:color="auto" w:fill="DAE9F8"/>
            <w:noWrap/>
            <w:vAlign w:val="bottom"/>
            <w:hideMark/>
          </w:tcPr>
          <w:p w14:paraId="2AD54B72"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Recurring</w:t>
            </w:r>
          </w:p>
        </w:tc>
        <w:tc>
          <w:tcPr>
            <w:tcW w:w="492" w:type="pct"/>
            <w:tcBorders>
              <w:top w:val="nil"/>
              <w:left w:val="nil"/>
              <w:bottom w:val="nil"/>
              <w:right w:val="nil"/>
            </w:tcBorders>
            <w:shd w:val="clear" w:color="auto" w:fill="DAE9F8"/>
            <w:noWrap/>
            <w:vAlign w:val="bottom"/>
            <w:hideMark/>
          </w:tcPr>
          <w:p w14:paraId="53BC2111"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One Off</w:t>
            </w:r>
          </w:p>
        </w:tc>
        <w:tc>
          <w:tcPr>
            <w:tcW w:w="685" w:type="pct"/>
            <w:tcBorders>
              <w:top w:val="nil"/>
              <w:left w:val="nil"/>
              <w:bottom w:val="nil"/>
              <w:right w:val="nil"/>
            </w:tcBorders>
            <w:shd w:val="clear" w:color="auto" w:fill="DAE9F8"/>
            <w:noWrap/>
            <w:vAlign w:val="bottom"/>
            <w:hideMark/>
          </w:tcPr>
          <w:p w14:paraId="734D5C0B"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Recurring</w:t>
            </w:r>
          </w:p>
        </w:tc>
        <w:tc>
          <w:tcPr>
            <w:tcW w:w="492" w:type="pct"/>
            <w:tcBorders>
              <w:top w:val="nil"/>
              <w:left w:val="nil"/>
              <w:bottom w:val="nil"/>
              <w:right w:val="nil"/>
            </w:tcBorders>
            <w:shd w:val="clear" w:color="auto" w:fill="DAE9F8"/>
            <w:noWrap/>
            <w:vAlign w:val="bottom"/>
            <w:hideMark/>
          </w:tcPr>
          <w:p w14:paraId="79D10E26"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One Off</w:t>
            </w:r>
          </w:p>
        </w:tc>
        <w:tc>
          <w:tcPr>
            <w:tcW w:w="753" w:type="pct"/>
            <w:tcBorders>
              <w:top w:val="nil"/>
              <w:left w:val="nil"/>
              <w:bottom w:val="nil"/>
              <w:right w:val="nil"/>
            </w:tcBorders>
            <w:shd w:val="clear" w:color="auto" w:fill="DAE9F8"/>
            <w:noWrap/>
            <w:vAlign w:val="bottom"/>
            <w:hideMark/>
          </w:tcPr>
          <w:p w14:paraId="6418C741"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Recurring</w:t>
            </w:r>
          </w:p>
        </w:tc>
      </w:tr>
      <w:tr w:rsidR="00CA5119" w:rsidRPr="00CA5119" w14:paraId="215AD7F5" w14:textId="77777777" w:rsidTr="00DB531C">
        <w:trPr>
          <w:trHeight w:val="290"/>
        </w:trPr>
        <w:tc>
          <w:tcPr>
            <w:tcW w:w="1399" w:type="pct"/>
            <w:tcBorders>
              <w:top w:val="nil"/>
              <w:left w:val="nil"/>
              <w:bottom w:val="nil"/>
              <w:right w:val="nil"/>
            </w:tcBorders>
            <w:shd w:val="clear" w:color="auto" w:fill="F7C7AC"/>
            <w:noWrap/>
            <w:vAlign w:val="bottom"/>
            <w:hideMark/>
          </w:tcPr>
          <w:p w14:paraId="2DB3CD69"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Costs and benefits</w:t>
            </w:r>
          </w:p>
        </w:tc>
        <w:tc>
          <w:tcPr>
            <w:tcW w:w="493" w:type="pct"/>
            <w:tcBorders>
              <w:top w:val="nil"/>
              <w:left w:val="nil"/>
              <w:bottom w:val="nil"/>
              <w:right w:val="nil"/>
            </w:tcBorders>
            <w:shd w:val="clear" w:color="auto" w:fill="F7C7AC"/>
            <w:noWrap/>
            <w:vAlign w:val="bottom"/>
            <w:hideMark/>
          </w:tcPr>
          <w:p w14:paraId="65DBFB80"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685" w:type="pct"/>
            <w:tcBorders>
              <w:top w:val="nil"/>
              <w:left w:val="nil"/>
              <w:bottom w:val="nil"/>
              <w:right w:val="nil"/>
            </w:tcBorders>
            <w:shd w:val="clear" w:color="auto" w:fill="F7C7AC"/>
            <w:noWrap/>
            <w:vAlign w:val="bottom"/>
            <w:hideMark/>
          </w:tcPr>
          <w:p w14:paraId="434C4CD8"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492" w:type="pct"/>
            <w:tcBorders>
              <w:top w:val="nil"/>
              <w:left w:val="nil"/>
              <w:bottom w:val="nil"/>
              <w:right w:val="nil"/>
            </w:tcBorders>
            <w:shd w:val="clear" w:color="auto" w:fill="F7C7AC"/>
            <w:noWrap/>
            <w:vAlign w:val="bottom"/>
            <w:hideMark/>
          </w:tcPr>
          <w:p w14:paraId="612CD129"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685" w:type="pct"/>
            <w:tcBorders>
              <w:top w:val="nil"/>
              <w:left w:val="nil"/>
              <w:bottom w:val="nil"/>
              <w:right w:val="nil"/>
            </w:tcBorders>
            <w:shd w:val="clear" w:color="auto" w:fill="F7C7AC"/>
            <w:noWrap/>
            <w:vAlign w:val="bottom"/>
            <w:hideMark/>
          </w:tcPr>
          <w:p w14:paraId="0F60F1CE"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492" w:type="pct"/>
            <w:tcBorders>
              <w:top w:val="nil"/>
              <w:left w:val="nil"/>
              <w:bottom w:val="nil"/>
              <w:right w:val="nil"/>
            </w:tcBorders>
            <w:shd w:val="clear" w:color="auto" w:fill="F7C7AC"/>
            <w:noWrap/>
            <w:vAlign w:val="bottom"/>
            <w:hideMark/>
          </w:tcPr>
          <w:p w14:paraId="1529327F"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753" w:type="pct"/>
            <w:tcBorders>
              <w:top w:val="nil"/>
              <w:left w:val="nil"/>
              <w:bottom w:val="nil"/>
              <w:right w:val="nil"/>
            </w:tcBorders>
            <w:shd w:val="clear" w:color="auto" w:fill="F7C7AC"/>
            <w:noWrap/>
            <w:vAlign w:val="bottom"/>
            <w:hideMark/>
          </w:tcPr>
          <w:p w14:paraId="6882F0A0"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r>
      <w:tr w:rsidR="00CA5119" w:rsidRPr="00CA5119" w14:paraId="6DB1045F" w14:textId="77777777" w:rsidTr="00DB531C">
        <w:trPr>
          <w:trHeight w:val="290"/>
        </w:trPr>
        <w:tc>
          <w:tcPr>
            <w:tcW w:w="1399" w:type="pct"/>
            <w:tcBorders>
              <w:top w:val="nil"/>
              <w:left w:val="nil"/>
              <w:bottom w:val="nil"/>
              <w:right w:val="nil"/>
            </w:tcBorders>
            <w:shd w:val="clear" w:color="auto" w:fill="DAE9F8"/>
            <w:noWrap/>
            <w:vAlign w:val="bottom"/>
            <w:hideMark/>
          </w:tcPr>
          <w:p w14:paraId="3BB18C12"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Member States</w:t>
            </w:r>
          </w:p>
        </w:tc>
        <w:tc>
          <w:tcPr>
            <w:tcW w:w="493" w:type="pct"/>
            <w:tcBorders>
              <w:top w:val="nil"/>
              <w:left w:val="nil"/>
              <w:bottom w:val="nil"/>
              <w:right w:val="nil"/>
            </w:tcBorders>
            <w:shd w:val="clear" w:color="auto" w:fill="DAE9F8"/>
            <w:noWrap/>
            <w:vAlign w:val="bottom"/>
            <w:hideMark/>
          </w:tcPr>
          <w:p w14:paraId="25576D7A"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260FB11F"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430AB6E5"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0D1757B8"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538CF03B"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753" w:type="pct"/>
            <w:tcBorders>
              <w:top w:val="nil"/>
              <w:left w:val="nil"/>
              <w:bottom w:val="nil"/>
              <w:right w:val="nil"/>
            </w:tcBorders>
            <w:shd w:val="clear" w:color="auto" w:fill="DAE9F8"/>
            <w:noWrap/>
            <w:vAlign w:val="bottom"/>
            <w:hideMark/>
          </w:tcPr>
          <w:p w14:paraId="60E8DEB9"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 </w:t>
            </w:r>
          </w:p>
        </w:tc>
      </w:tr>
      <w:tr w:rsidR="00CA5119" w:rsidRPr="00CA5119" w14:paraId="3AE6BBB1" w14:textId="77777777" w:rsidTr="00DB531C">
        <w:trPr>
          <w:trHeight w:val="290"/>
        </w:trPr>
        <w:tc>
          <w:tcPr>
            <w:tcW w:w="1399" w:type="pct"/>
            <w:tcBorders>
              <w:top w:val="nil"/>
              <w:left w:val="nil"/>
              <w:bottom w:val="nil"/>
              <w:right w:val="nil"/>
            </w:tcBorders>
            <w:noWrap/>
            <w:vAlign w:val="bottom"/>
            <w:hideMark/>
          </w:tcPr>
          <w:p w14:paraId="26DE0A8E"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Adjustment costs</w:t>
            </w:r>
          </w:p>
        </w:tc>
        <w:tc>
          <w:tcPr>
            <w:tcW w:w="493" w:type="pct"/>
            <w:tcBorders>
              <w:top w:val="nil"/>
              <w:left w:val="nil"/>
              <w:bottom w:val="nil"/>
              <w:right w:val="nil"/>
            </w:tcBorders>
            <w:noWrap/>
            <w:vAlign w:val="bottom"/>
            <w:hideMark/>
          </w:tcPr>
          <w:p w14:paraId="2F47AB13"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6B7AC84C"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€821,09</w:t>
            </w:r>
          </w:p>
        </w:tc>
        <w:tc>
          <w:tcPr>
            <w:tcW w:w="492" w:type="pct"/>
            <w:tcBorders>
              <w:top w:val="nil"/>
              <w:left w:val="nil"/>
              <w:bottom w:val="nil"/>
              <w:right w:val="nil"/>
            </w:tcBorders>
            <w:noWrap/>
            <w:vAlign w:val="bottom"/>
            <w:hideMark/>
          </w:tcPr>
          <w:p w14:paraId="606307FD"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523662D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€821,09</w:t>
            </w:r>
          </w:p>
        </w:tc>
        <w:tc>
          <w:tcPr>
            <w:tcW w:w="492" w:type="pct"/>
            <w:tcBorders>
              <w:top w:val="nil"/>
              <w:left w:val="nil"/>
              <w:bottom w:val="nil"/>
              <w:right w:val="nil"/>
            </w:tcBorders>
            <w:noWrap/>
            <w:vAlign w:val="bottom"/>
            <w:hideMark/>
          </w:tcPr>
          <w:p w14:paraId="0B7A4AC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6D92FC52"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€860,78</w:t>
            </w:r>
          </w:p>
        </w:tc>
      </w:tr>
      <w:tr w:rsidR="00CA5119" w:rsidRPr="00CA5119" w14:paraId="04556D80" w14:textId="77777777" w:rsidTr="00DB531C">
        <w:trPr>
          <w:trHeight w:val="290"/>
        </w:trPr>
        <w:tc>
          <w:tcPr>
            <w:tcW w:w="1399" w:type="pct"/>
            <w:tcBorders>
              <w:top w:val="nil"/>
              <w:left w:val="nil"/>
              <w:bottom w:val="nil"/>
              <w:right w:val="nil"/>
            </w:tcBorders>
            <w:noWrap/>
            <w:vAlign w:val="bottom"/>
            <w:hideMark/>
          </w:tcPr>
          <w:p w14:paraId="40BB5057"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Administrative costs</w:t>
            </w:r>
          </w:p>
        </w:tc>
        <w:tc>
          <w:tcPr>
            <w:tcW w:w="493" w:type="pct"/>
            <w:tcBorders>
              <w:top w:val="nil"/>
              <w:left w:val="nil"/>
              <w:bottom w:val="nil"/>
              <w:right w:val="nil"/>
            </w:tcBorders>
            <w:noWrap/>
            <w:vAlign w:val="bottom"/>
            <w:hideMark/>
          </w:tcPr>
          <w:p w14:paraId="6D05E7AE"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1695E265"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€5,62</w:t>
            </w:r>
          </w:p>
        </w:tc>
        <w:tc>
          <w:tcPr>
            <w:tcW w:w="492" w:type="pct"/>
            <w:tcBorders>
              <w:top w:val="nil"/>
              <w:left w:val="nil"/>
              <w:bottom w:val="nil"/>
              <w:right w:val="nil"/>
            </w:tcBorders>
            <w:noWrap/>
            <w:vAlign w:val="bottom"/>
            <w:hideMark/>
          </w:tcPr>
          <w:p w14:paraId="0F1AEAA0"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16A7BCDE"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€8,92</w:t>
            </w:r>
          </w:p>
        </w:tc>
        <w:tc>
          <w:tcPr>
            <w:tcW w:w="492" w:type="pct"/>
            <w:tcBorders>
              <w:top w:val="nil"/>
              <w:left w:val="nil"/>
              <w:bottom w:val="nil"/>
              <w:right w:val="nil"/>
            </w:tcBorders>
            <w:noWrap/>
            <w:vAlign w:val="bottom"/>
            <w:hideMark/>
          </w:tcPr>
          <w:p w14:paraId="3C0541BA"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30B75570"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€8,92</w:t>
            </w:r>
          </w:p>
        </w:tc>
      </w:tr>
      <w:tr w:rsidR="00CA5119" w:rsidRPr="00CA5119" w14:paraId="744D2A80" w14:textId="77777777" w:rsidTr="00DB531C">
        <w:trPr>
          <w:trHeight w:val="290"/>
        </w:trPr>
        <w:tc>
          <w:tcPr>
            <w:tcW w:w="1399" w:type="pct"/>
            <w:tcBorders>
              <w:top w:val="nil"/>
              <w:left w:val="nil"/>
              <w:bottom w:val="nil"/>
              <w:right w:val="nil"/>
            </w:tcBorders>
            <w:noWrap/>
            <w:vAlign w:val="bottom"/>
            <w:hideMark/>
          </w:tcPr>
          <w:p w14:paraId="5C5689BC"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Administrative savings</w:t>
            </w:r>
          </w:p>
        </w:tc>
        <w:tc>
          <w:tcPr>
            <w:tcW w:w="493" w:type="pct"/>
            <w:tcBorders>
              <w:top w:val="nil"/>
              <w:left w:val="nil"/>
              <w:bottom w:val="nil"/>
              <w:right w:val="nil"/>
            </w:tcBorders>
            <w:noWrap/>
            <w:vAlign w:val="bottom"/>
            <w:hideMark/>
          </w:tcPr>
          <w:p w14:paraId="7EEEE103"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2D3B29A0"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€1.300,00</w:t>
            </w:r>
          </w:p>
        </w:tc>
        <w:tc>
          <w:tcPr>
            <w:tcW w:w="492" w:type="pct"/>
            <w:tcBorders>
              <w:top w:val="nil"/>
              <w:left w:val="nil"/>
              <w:bottom w:val="nil"/>
              <w:right w:val="nil"/>
            </w:tcBorders>
            <w:noWrap/>
            <w:vAlign w:val="bottom"/>
            <w:hideMark/>
          </w:tcPr>
          <w:p w14:paraId="51B8AA9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3474C63C"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€1.300,00</w:t>
            </w:r>
          </w:p>
        </w:tc>
        <w:tc>
          <w:tcPr>
            <w:tcW w:w="492" w:type="pct"/>
            <w:tcBorders>
              <w:top w:val="nil"/>
              <w:left w:val="nil"/>
              <w:bottom w:val="nil"/>
              <w:right w:val="nil"/>
            </w:tcBorders>
            <w:noWrap/>
            <w:vAlign w:val="bottom"/>
            <w:hideMark/>
          </w:tcPr>
          <w:p w14:paraId="7EE5B6CC"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4DA2A97E"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€1.300,00</w:t>
            </w:r>
          </w:p>
        </w:tc>
      </w:tr>
      <w:tr w:rsidR="00CA5119" w:rsidRPr="00CA5119" w14:paraId="3C5F69A9" w14:textId="77777777" w:rsidTr="00DB531C">
        <w:trPr>
          <w:trHeight w:val="290"/>
        </w:trPr>
        <w:tc>
          <w:tcPr>
            <w:tcW w:w="1399" w:type="pct"/>
            <w:tcBorders>
              <w:top w:val="nil"/>
              <w:left w:val="nil"/>
              <w:bottom w:val="nil"/>
              <w:right w:val="nil"/>
            </w:tcBorders>
            <w:shd w:val="clear" w:color="auto" w:fill="DAE9F8"/>
            <w:noWrap/>
            <w:vAlign w:val="bottom"/>
            <w:hideMark/>
          </w:tcPr>
          <w:p w14:paraId="4F6467A3"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EU Commission</w:t>
            </w:r>
          </w:p>
        </w:tc>
        <w:tc>
          <w:tcPr>
            <w:tcW w:w="493" w:type="pct"/>
            <w:tcBorders>
              <w:top w:val="nil"/>
              <w:left w:val="nil"/>
              <w:bottom w:val="nil"/>
              <w:right w:val="nil"/>
            </w:tcBorders>
            <w:shd w:val="clear" w:color="auto" w:fill="DAE9F8"/>
            <w:noWrap/>
            <w:vAlign w:val="bottom"/>
            <w:hideMark/>
          </w:tcPr>
          <w:p w14:paraId="59E8AADC"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4DEFA12C"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7D06FA5C"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0FBF9269"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43608AB4"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753" w:type="pct"/>
            <w:tcBorders>
              <w:top w:val="nil"/>
              <w:left w:val="nil"/>
              <w:bottom w:val="nil"/>
              <w:right w:val="nil"/>
            </w:tcBorders>
            <w:shd w:val="clear" w:color="auto" w:fill="DAE9F8"/>
            <w:noWrap/>
            <w:vAlign w:val="bottom"/>
            <w:hideMark/>
          </w:tcPr>
          <w:p w14:paraId="69B5FCF2"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r>
      <w:tr w:rsidR="00BC2AFF" w:rsidRPr="00CA5119" w14:paraId="5BCA5F9A" w14:textId="77777777" w:rsidTr="00DB531C">
        <w:trPr>
          <w:trHeight w:val="290"/>
        </w:trPr>
        <w:tc>
          <w:tcPr>
            <w:tcW w:w="1399" w:type="pct"/>
            <w:tcBorders>
              <w:top w:val="nil"/>
              <w:left w:val="nil"/>
              <w:bottom w:val="nil"/>
              <w:right w:val="nil"/>
            </w:tcBorders>
            <w:noWrap/>
            <w:vAlign w:val="bottom"/>
            <w:hideMark/>
          </w:tcPr>
          <w:p w14:paraId="281841F0" w14:textId="77777777" w:rsidR="00BC2AFF" w:rsidRPr="00CA5119" w:rsidRDefault="00BC2AFF" w:rsidP="00BC2AFF">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Administrative costs</w:t>
            </w:r>
          </w:p>
        </w:tc>
        <w:tc>
          <w:tcPr>
            <w:tcW w:w="493" w:type="pct"/>
            <w:tcBorders>
              <w:top w:val="nil"/>
              <w:left w:val="nil"/>
              <w:bottom w:val="nil"/>
              <w:right w:val="nil"/>
            </w:tcBorders>
            <w:shd w:val="clear" w:color="auto" w:fill="FFFFFF" w:themeFill="background1"/>
            <w:noWrap/>
            <w:vAlign w:val="bottom"/>
            <w:hideMark/>
          </w:tcPr>
          <w:p w14:paraId="45A662A3" w14:textId="13D0E5B5" w:rsidR="00BC2AFF" w:rsidRPr="00CA5119" w:rsidRDefault="00BC2AFF" w:rsidP="00BC2AFF">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€0.80</w:t>
            </w:r>
          </w:p>
        </w:tc>
        <w:tc>
          <w:tcPr>
            <w:tcW w:w="685" w:type="pct"/>
            <w:tcBorders>
              <w:top w:val="nil"/>
              <w:left w:val="nil"/>
              <w:bottom w:val="nil"/>
              <w:right w:val="nil"/>
            </w:tcBorders>
            <w:noWrap/>
            <w:vAlign w:val="bottom"/>
            <w:hideMark/>
          </w:tcPr>
          <w:p w14:paraId="1B22E7E0" w14:textId="500904C1" w:rsidR="00BC2AFF" w:rsidRPr="00CA5119" w:rsidRDefault="00BC2AFF" w:rsidP="00BC2AFF">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€0.13</w:t>
            </w:r>
          </w:p>
        </w:tc>
        <w:tc>
          <w:tcPr>
            <w:tcW w:w="492" w:type="pct"/>
            <w:tcBorders>
              <w:top w:val="nil"/>
              <w:left w:val="nil"/>
              <w:bottom w:val="nil"/>
              <w:right w:val="nil"/>
            </w:tcBorders>
            <w:shd w:val="clear" w:color="auto" w:fill="FFFFFF" w:themeFill="background1"/>
            <w:noWrap/>
            <w:vAlign w:val="bottom"/>
            <w:hideMark/>
          </w:tcPr>
          <w:p w14:paraId="25263BFE" w14:textId="05083C34" w:rsidR="00BC2AFF" w:rsidRPr="00CA5119" w:rsidRDefault="00BC2AFF" w:rsidP="00BC2AFF">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€0.41</w:t>
            </w:r>
          </w:p>
        </w:tc>
        <w:tc>
          <w:tcPr>
            <w:tcW w:w="685" w:type="pct"/>
            <w:tcBorders>
              <w:top w:val="nil"/>
              <w:left w:val="nil"/>
              <w:bottom w:val="nil"/>
              <w:right w:val="nil"/>
            </w:tcBorders>
            <w:noWrap/>
            <w:vAlign w:val="bottom"/>
            <w:hideMark/>
          </w:tcPr>
          <w:p w14:paraId="46D83AEB" w14:textId="27FA536F" w:rsidR="00BC2AFF" w:rsidRPr="00CA5119" w:rsidRDefault="00BC2AFF" w:rsidP="00BC2AFF">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€0.18</w:t>
            </w:r>
          </w:p>
        </w:tc>
        <w:tc>
          <w:tcPr>
            <w:tcW w:w="492" w:type="pct"/>
            <w:tcBorders>
              <w:top w:val="nil"/>
              <w:left w:val="nil"/>
              <w:bottom w:val="nil"/>
              <w:right w:val="nil"/>
            </w:tcBorders>
            <w:shd w:val="clear" w:color="auto" w:fill="FFFFFF" w:themeFill="background1"/>
            <w:noWrap/>
            <w:vAlign w:val="bottom"/>
            <w:hideMark/>
          </w:tcPr>
          <w:p w14:paraId="70591353" w14:textId="495F9A2C" w:rsidR="00BC2AFF" w:rsidRPr="00CA5119" w:rsidRDefault="00BC2AFF" w:rsidP="00BC2AFF">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€0.41</w:t>
            </w:r>
          </w:p>
        </w:tc>
        <w:tc>
          <w:tcPr>
            <w:tcW w:w="753" w:type="pct"/>
            <w:tcBorders>
              <w:top w:val="nil"/>
              <w:left w:val="nil"/>
              <w:bottom w:val="nil"/>
              <w:right w:val="nil"/>
            </w:tcBorders>
            <w:noWrap/>
            <w:vAlign w:val="bottom"/>
            <w:hideMark/>
          </w:tcPr>
          <w:p w14:paraId="24473BB5" w14:textId="73AA6372" w:rsidR="00BC2AFF" w:rsidRPr="00CA5119" w:rsidRDefault="00BC2AFF" w:rsidP="00BC2AFF">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€0.19</w:t>
            </w:r>
          </w:p>
        </w:tc>
      </w:tr>
      <w:tr w:rsidR="00CA5119" w:rsidRPr="00CA5119" w14:paraId="1C6AD709" w14:textId="77777777" w:rsidTr="00DB531C">
        <w:trPr>
          <w:trHeight w:val="290"/>
        </w:trPr>
        <w:tc>
          <w:tcPr>
            <w:tcW w:w="1399" w:type="pct"/>
            <w:tcBorders>
              <w:top w:val="nil"/>
              <w:left w:val="nil"/>
              <w:bottom w:val="nil"/>
              <w:right w:val="nil"/>
            </w:tcBorders>
            <w:shd w:val="clear" w:color="auto" w:fill="DAE9F8"/>
            <w:noWrap/>
            <w:vAlign w:val="bottom"/>
            <w:hideMark/>
          </w:tcPr>
          <w:p w14:paraId="7DC27068"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Citizens</w:t>
            </w:r>
          </w:p>
        </w:tc>
        <w:tc>
          <w:tcPr>
            <w:tcW w:w="493" w:type="pct"/>
            <w:tcBorders>
              <w:top w:val="nil"/>
              <w:left w:val="nil"/>
              <w:bottom w:val="nil"/>
              <w:right w:val="nil"/>
            </w:tcBorders>
            <w:shd w:val="clear" w:color="auto" w:fill="DAE9F8"/>
            <w:noWrap/>
            <w:vAlign w:val="bottom"/>
            <w:hideMark/>
          </w:tcPr>
          <w:p w14:paraId="275F4157"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0C5A6E51"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0446C663"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2A3576D8"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601CFCC1"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753" w:type="pct"/>
            <w:tcBorders>
              <w:top w:val="nil"/>
              <w:left w:val="nil"/>
              <w:bottom w:val="nil"/>
              <w:right w:val="nil"/>
            </w:tcBorders>
            <w:shd w:val="clear" w:color="auto" w:fill="DAE9F8"/>
            <w:noWrap/>
            <w:vAlign w:val="bottom"/>
            <w:hideMark/>
          </w:tcPr>
          <w:p w14:paraId="53197278"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r>
      <w:tr w:rsidR="00CA5119" w:rsidRPr="00CA5119" w14:paraId="6540DF25" w14:textId="77777777" w:rsidTr="00DB531C">
        <w:trPr>
          <w:trHeight w:val="290"/>
        </w:trPr>
        <w:tc>
          <w:tcPr>
            <w:tcW w:w="1399" w:type="pct"/>
            <w:tcBorders>
              <w:top w:val="nil"/>
              <w:left w:val="nil"/>
              <w:bottom w:val="nil"/>
              <w:right w:val="nil"/>
            </w:tcBorders>
            <w:noWrap/>
            <w:vAlign w:val="bottom"/>
            <w:hideMark/>
          </w:tcPr>
          <w:p w14:paraId="22A28E00"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Adjustment costs</w:t>
            </w:r>
          </w:p>
        </w:tc>
        <w:tc>
          <w:tcPr>
            <w:tcW w:w="493" w:type="pct"/>
            <w:tcBorders>
              <w:top w:val="nil"/>
              <w:left w:val="nil"/>
              <w:bottom w:val="nil"/>
              <w:right w:val="nil"/>
            </w:tcBorders>
            <w:noWrap/>
            <w:vAlign w:val="bottom"/>
            <w:hideMark/>
          </w:tcPr>
          <w:p w14:paraId="512E6D5E"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7D26810B"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€1.442,47</w:t>
            </w:r>
          </w:p>
        </w:tc>
        <w:tc>
          <w:tcPr>
            <w:tcW w:w="492" w:type="pct"/>
            <w:tcBorders>
              <w:top w:val="nil"/>
              <w:left w:val="nil"/>
              <w:bottom w:val="nil"/>
              <w:right w:val="nil"/>
            </w:tcBorders>
            <w:noWrap/>
            <w:vAlign w:val="bottom"/>
            <w:hideMark/>
          </w:tcPr>
          <w:p w14:paraId="4931714A"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08D40C1D"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€1.442,47</w:t>
            </w:r>
          </w:p>
        </w:tc>
        <w:tc>
          <w:tcPr>
            <w:tcW w:w="492" w:type="pct"/>
            <w:tcBorders>
              <w:top w:val="nil"/>
              <w:left w:val="nil"/>
              <w:bottom w:val="nil"/>
              <w:right w:val="nil"/>
            </w:tcBorders>
            <w:noWrap/>
            <w:vAlign w:val="bottom"/>
            <w:hideMark/>
          </w:tcPr>
          <w:p w14:paraId="49E15B0C"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656EC322"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€4.337,96</w:t>
            </w:r>
          </w:p>
        </w:tc>
      </w:tr>
      <w:tr w:rsidR="00CA5119" w:rsidRPr="00CA5119" w14:paraId="0F877E60" w14:textId="77777777" w:rsidTr="00DB531C">
        <w:trPr>
          <w:trHeight w:val="290"/>
        </w:trPr>
        <w:tc>
          <w:tcPr>
            <w:tcW w:w="1399" w:type="pct"/>
            <w:tcBorders>
              <w:top w:val="nil"/>
              <w:left w:val="nil"/>
              <w:bottom w:val="nil"/>
              <w:right w:val="nil"/>
            </w:tcBorders>
            <w:noWrap/>
            <w:vAlign w:val="bottom"/>
            <w:hideMark/>
          </w:tcPr>
          <w:p w14:paraId="04BD6896"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Administrative costs</w:t>
            </w:r>
          </w:p>
        </w:tc>
        <w:tc>
          <w:tcPr>
            <w:tcW w:w="493" w:type="pct"/>
            <w:tcBorders>
              <w:top w:val="nil"/>
              <w:left w:val="nil"/>
              <w:bottom w:val="nil"/>
              <w:right w:val="nil"/>
            </w:tcBorders>
            <w:noWrap/>
            <w:vAlign w:val="bottom"/>
            <w:hideMark/>
          </w:tcPr>
          <w:p w14:paraId="7161E34F"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535A3CF8"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492" w:type="pct"/>
            <w:tcBorders>
              <w:top w:val="nil"/>
              <w:left w:val="nil"/>
              <w:bottom w:val="nil"/>
              <w:right w:val="nil"/>
            </w:tcBorders>
            <w:noWrap/>
            <w:vAlign w:val="bottom"/>
            <w:hideMark/>
          </w:tcPr>
          <w:p w14:paraId="47E1C5E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3B71A6D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492" w:type="pct"/>
            <w:tcBorders>
              <w:top w:val="nil"/>
              <w:left w:val="nil"/>
              <w:bottom w:val="nil"/>
              <w:right w:val="nil"/>
            </w:tcBorders>
            <w:noWrap/>
            <w:vAlign w:val="bottom"/>
            <w:hideMark/>
          </w:tcPr>
          <w:p w14:paraId="1219D52E"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0414081A"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r>
      <w:tr w:rsidR="00CA5119" w:rsidRPr="00CA5119" w14:paraId="51790029" w14:textId="77777777" w:rsidTr="00DB531C">
        <w:trPr>
          <w:trHeight w:val="290"/>
        </w:trPr>
        <w:tc>
          <w:tcPr>
            <w:tcW w:w="1399" w:type="pct"/>
            <w:tcBorders>
              <w:top w:val="nil"/>
              <w:left w:val="nil"/>
              <w:bottom w:val="nil"/>
              <w:right w:val="nil"/>
            </w:tcBorders>
            <w:shd w:val="clear" w:color="auto" w:fill="DAE9F8"/>
            <w:noWrap/>
            <w:vAlign w:val="bottom"/>
            <w:hideMark/>
          </w:tcPr>
          <w:p w14:paraId="5C07F3CD"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Businesses</w:t>
            </w:r>
          </w:p>
        </w:tc>
        <w:tc>
          <w:tcPr>
            <w:tcW w:w="493" w:type="pct"/>
            <w:tcBorders>
              <w:top w:val="nil"/>
              <w:left w:val="nil"/>
              <w:bottom w:val="nil"/>
              <w:right w:val="nil"/>
            </w:tcBorders>
            <w:shd w:val="clear" w:color="auto" w:fill="DAE9F8"/>
            <w:noWrap/>
            <w:vAlign w:val="bottom"/>
            <w:hideMark/>
          </w:tcPr>
          <w:p w14:paraId="3820F1E4"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62EC7950"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24F6E8D3"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685" w:type="pct"/>
            <w:tcBorders>
              <w:top w:val="nil"/>
              <w:left w:val="nil"/>
              <w:bottom w:val="nil"/>
              <w:right w:val="nil"/>
            </w:tcBorders>
            <w:shd w:val="clear" w:color="auto" w:fill="DAE9F8"/>
            <w:noWrap/>
            <w:vAlign w:val="bottom"/>
            <w:hideMark/>
          </w:tcPr>
          <w:p w14:paraId="2F4EBCAC"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492" w:type="pct"/>
            <w:tcBorders>
              <w:top w:val="nil"/>
              <w:left w:val="nil"/>
              <w:bottom w:val="nil"/>
              <w:right w:val="nil"/>
            </w:tcBorders>
            <w:shd w:val="clear" w:color="auto" w:fill="DAE9F8"/>
            <w:noWrap/>
            <w:vAlign w:val="bottom"/>
            <w:hideMark/>
          </w:tcPr>
          <w:p w14:paraId="7AA8DA0A"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c>
          <w:tcPr>
            <w:tcW w:w="753" w:type="pct"/>
            <w:tcBorders>
              <w:top w:val="nil"/>
              <w:left w:val="nil"/>
              <w:bottom w:val="nil"/>
              <w:right w:val="nil"/>
            </w:tcBorders>
            <w:shd w:val="clear" w:color="auto" w:fill="DAE9F8"/>
            <w:noWrap/>
            <w:vAlign w:val="bottom"/>
            <w:hideMark/>
          </w:tcPr>
          <w:p w14:paraId="3AC19D61"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 </w:t>
            </w:r>
          </w:p>
        </w:tc>
      </w:tr>
      <w:tr w:rsidR="00CA5119" w:rsidRPr="00CA5119" w14:paraId="7E4FF7F9" w14:textId="77777777" w:rsidTr="00DB531C">
        <w:trPr>
          <w:trHeight w:val="290"/>
        </w:trPr>
        <w:tc>
          <w:tcPr>
            <w:tcW w:w="1399" w:type="pct"/>
            <w:tcBorders>
              <w:top w:val="nil"/>
              <w:left w:val="nil"/>
              <w:bottom w:val="nil"/>
              <w:right w:val="nil"/>
            </w:tcBorders>
            <w:noWrap/>
            <w:vAlign w:val="bottom"/>
            <w:hideMark/>
          </w:tcPr>
          <w:p w14:paraId="3BCCFF7D"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Adjustment costs</w:t>
            </w:r>
          </w:p>
        </w:tc>
        <w:tc>
          <w:tcPr>
            <w:tcW w:w="493" w:type="pct"/>
            <w:tcBorders>
              <w:top w:val="nil"/>
              <w:left w:val="nil"/>
              <w:bottom w:val="nil"/>
              <w:right w:val="nil"/>
            </w:tcBorders>
            <w:noWrap/>
            <w:vAlign w:val="bottom"/>
            <w:hideMark/>
          </w:tcPr>
          <w:p w14:paraId="42723135"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31D68D1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€3.782,05</w:t>
            </w:r>
          </w:p>
        </w:tc>
        <w:tc>
          <w:tcPr>
            <w:tcW w:w="492" w:type="pct"/>
            <w:tcBorders>
              <w:top w:val="nil"/>
              <w:left w:val="nil"/>
              <w:bottom w:val="nil"/>
              <w:right w:val="nil"/>
            </w:tcBorders>
            <w:noWrap/>
            <w:vAlign w:val="bottom"/>
            <w:hideMark/>
          </w:tcPr>
          <w:p w14:paraId="0EEF1568"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0514E1CB"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€3.782,05</w:t>
            </w:r>
          </w:p>
        </w:tc>
        <w:tc>
          <w:tcPr>
            <w:tcW w:w="492" w:type="pct"/>
            <w:tcBorders>
              <w:top w:val="nil"/>
              <w:left w:val="nil"/>
              <w:bottom w:val="nil"/>
              <w:right w:val="nil"/>
            </w:tcBorders>
            <w:noWrap/>
            <w:vAlign w:val="bottom"/>
            <w:hideMark/>
          </w:tcPr>
          <w:p w14:paraId="0D26E64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285C770D" w14:textId="46C70BDB" w:rsidR="00CA5119" w:rsidRPr="00CA5119" w:rsidRDefault="004E477B" w:rsidP="7ECD02B7">
            <w:pPr>
              <w:jc w:val="right"/>
              <w:rPr>
                <w:rFonts w:ascii="Aptos Narrow" w:eastAsia="Times New Roman" w:hAnsi="Aptos Narrow" w:cs="Times New Roman"/>
                <w:noProof/>
                <w:color w:val="000000"/>
                <w:sz w:val="22"/>
                <w:lang w:val="en-IE" w:eastAsia="en-IE"/>
              </w:rPr>
            </w:pPr>
            <w:r>
              <w:rPr>
                <w:noProof/>
              </w:rPr>
              <w:t xml:space="preserve"> </w:t>
            </w:r>
            <w:r w:rsidRPr="004E477B">
              <w:rPr>
                <w:rFonts w:ascii="Aptos Narrow" w:eastAsia="Times New Roman" w:hAnsi="Aptos Narrow" w:cs="Times New Roman"/>
                <w:noProof/>
                <w:color w:val="000000" w:themeColor="text1"/>
                <w:sz w:val="22"/>
                <w:lang w:val="en-IE" w:eastAsia="en-IE"/>
              </w:rPr>
              <w:t>€27,498.35</w:t>
            </w:r>
          </w:p>
        </w:tc>
      </w:tr>
      <w:tr w:rsidR="00CA5119" w:rsidRPr="00CA5119" w14:paraId="2DC45EF5" w14:textId="77777777" w:rsidTr="00DB531C">
        <w:trPr>
          <w:trHeight w:val="290"/>
        </w:trPr>
        <w:tc>
          <w:tcPr>
            <w:tcW w:w="1399" w:type="pct"/>
            <w:tcBorders>
              <w:top w:val="nil"/>
              <w:left w:val="nil"/>
              <w:bottom w:val="nil"/>
              <w:right w:val="nil"/>
            </w:tcBorders>
            <w:noWrap/>
            <w:vAlign w:val="bottom"/>
            <w:hideMark/>
          </w:tcPr>
          <w:p w14:paraId="5CE90BE2"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Administrative costs</w:t>
            </w:r>
          </w:p>
        </w:tc>
        <w:tc>
          <w:tcPr>
            <w:tcW w:w="493" w:type="pct"/>
            <w:tcBorders>
              <w:top w:val="nil"/>
              <w:left w:val="nil"/>
              <w:bottom w:val="nil"/>
              <w:right w:val="nil"/>
            </w:tcBorders>
            <w:noWrap/>
            <w:vAlign w:val="bottom"/>
            <w:hideMark/>
          </w:tcPr>
          <w:p w14:paraId="7379C3D3"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215A76FB"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€0,70</w:t>
            </w:r>
          </w:p>
        </w:tc>
        <w:tc>
          <w:tcPr>
            <w:tcW w:w="492" w:type="pct"/>
            <w:tcBorders>
              <w:top w:val="nil"/>
              <w:left w:val="nil"/>
              <w:bottom w:val="nil"/>
              <w:right w:val="nil"/>
            </w:tcBorders>
            <w:noWrap/>
            <w:vAlign w:val="bottom"/>
            <w:hideMark/>
          </w:tcPr>
          <w:p w14:paraId="26934271"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€0,12</w:t>
            </w:r>
          </w:p>
        </w:tc>
        <w:tc>
          <w:tcPr>
            <w:tcW w:w="685" w:type="pct"/>
            <w:tcBorders>
              <w:top w:val="nil"/>
              <w:left w:val="nil"/>
              <w:bottom w:val="nil"/>
              <w:right w:val="nil"/>
            </w:tcBorders>
            <w:noWrap/>
            <w:vAlign w:val="bottom"/>
            <w:hideMark/>
          </w:tcPr>
          <w:p w14:paraId="7A68B8EC"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€1,16</w:t>
            </w:r>
          </w:p>
        </w:tc>
        <w:tc>
          <w:tcPr>
            <w:tcW w:w="492" w:type="pct"/>
            <w:tcBorders>
              <w:top w:val="nil"/>
              <w:left w:val="nil"/>
              <w:bottom w:val="nil"/>
              <w:right w:val="nil"/>
            </w:tcBorders>
            <w:noWrap/>
            <w:vAlign w:val="bottom"/>
            <w:hideMark/>
          </w:tcPr>
          <w:p w14:paraId="1E8B27B4"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€0,12</w:t>
            </w:r>
          </w:p>
        </w:tc>
        <w:tc>
          <w:tcPr>
            <w:tcW w:w="753" w:type="pct"/>
            <w:tcBorders>
              <w:top w:val="nil"/>
              <w:left w:val="nil"/>
              <w:bottom w:val="nil"/>
              <w:right w:val="nil"/>
            </w:tcBorders>
            <w:noWrap/>
            <w:vAlign w:val="bottom"/>
            <w:hideMark/>
          </w:tcPr>
          <w:p w14:paraId="5B7EE281"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€5,76</w:t>
            </w:r>
          </w:p>
        </w:tc>
      </w:tr>
      <w:tr w:rsidR="00CA5119" w:rsidRPr="00CA5119" w14:paraId="18784159" w14:textId="77777777" w:rsidTr="00DB531C">
        <w:trPr>
          <w:trHeight w:val="290"/>
        </w:trPr>
        <w:tc>
          <w:tcPr>
            <w:tcW w:w="1399" w:type="pct"/>
            <w:tcBorders>
              <w:top w:val="nil"/>
              <w:left w:val="nil"/>
              <w:bottom w:val="nil"/>
              <w:right w:val="nil"/>
            </w:tcBorders>
            <w:noWrap/>
            <w:vAlign w:val="bottom"/>
            <w:hideMark/>
          </w:tcPr>
          <w:p w14:paraId="617BACA7"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Administrative savings</w:t>
            </w:r>
          </w:p>
        </w:tc>
        <w:tc>
          <w:tcPr>
            <w:tcW w:w="493" w:type="pct"/>
            <w:tcBorders>
              <w:top w:val="nil"/>
              <w:left w:val="nil"/>
              <w:bottom w:val="nil"/>
              <w:right w:val="nil"/>
            </w:tcBorders>
            <w:noWrap/>
            <w:vAlign w:val="bottom"/>
            <w:hideMark/>
          </w:tcPr>
          <w:p w14:paraId="609B5FBA"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€240,00</w:t>
            </w:r>
          </w:p>
        </w:tc>
        <w:tc>
          <w:tcPr>
            <w:tcW w:w="685" w:type="pct"/>
            <w:tcBorders>
              <w:top w:val="nil"/>
              <w:left w:val="nil"/>
              <w:bottom w:val="nil"/>
              <w:right w:val="nil"/>
            </w:tcBorders>
            <w:noWrap/>
            <w:vAlign w:val="bottom"/>
            <w:hideMark/>
          </w:tcPr>
          <w:p w14:paraId="43B45356"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492" w:type="pct"/>
            <w:tcBorders>
              <w:top w:val="nil"/>
              <w:left w:val="nil"/>
              <w:bottom w:val="nil"/>
              <w:right w:val="nil"/>
            </w:tcBorders>
            <w:noWrap/>
            <w:vAlign w:val="bottom"/>
            <w:hideMark/>
          </w:tcPr>
          <w:p w14:paraId="77EDF23D"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€240,00</w:t>
            </w:r>
          </w:p>
        </w:tc>
        <w:tc>
          <w:tcPr>
            <w:tcW w:w="685" w:type="pct"/>
            <w:tcBorders>
              <w:top w:val="nil"/>
              <w:left w:val="nil"/>
              <w:bottom w:val="nil"/>
              <w:right w:val="nil"/>
            </w:tcBorders>
            <w:noWrap/>
            <w:vAlign w:val="bottom"/>
            <w:hideMark/>
          </w:tcPr>
          <w:p w14:paraId="7E7312DB"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492" w:type="pct"/>
            <w:tcBorders>
              <w:top w:val="nil"/>
              <w:left w:val="nil"/>
              <w:bottom w:val="nil"/>
              <w:right w:val="nil"/>
            </w:tcBorders>
            <w:noWrap/>
            <w:vAlign w:val="bottom"/>
            <w:hideMark/>
          </w:tcPr>
          <w:p w14:paraId="1FA74FC6"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€240,00</w:t>
            </w:r>
          </w:p>
        </w:tc>
        <w:tc>
          <w:tcPr>
            <w:tcW w:w="753" w:type="pct"/>
            <w:tcBorders>
              <w:top w:val="nil"/>
              <w:left w:val="nil"/>
              <w:bottom w:val="nil"/>
              <w:right w:val="nil"/>
            </w:tcBorders>
            <w:noWrap/>
            <w:vAlign w:val="bottom"/>
            <w:hideMark/>
          </w:tcPr>
          <w:p w14:paraId="70AC2E47"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r>
      <w:tr w:rsidR="00CA5119" w:rsidRPr="00CA5119" w14:paraId="4F0D8C28" w14:textId="77777777" w:rsidTr="00DB531C">
        <w:trPr>
          <w:trHeight w:val="290"/>
        </w:trPr>
        <w:tc>
          <w:tcPr>
            <w:tcW w:w="1399" w:type="pct"/>
            <w:tcBorders>
              <w:top w:val="nil"/>
              <w:left w:val="nil"/>
              <w:bottom w:val="nil"/>
              <w:right w:val="nil"/>
            </w:tcBorders>
            <w:noWrap/>
            <w:vAlign w:val="bottom"/>
            <w:hideMark/>
          </w:tcPr>
          <w:p w14:paraId="586FA801"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Increase in GVA/VA</w:t>
            </w:r>
          </w:p>
        </w:tc>
        <w:tc>
          <w:tcPr>
            <w:tcW w:w="493" w:type="pct"/>
            <w:tcBorders>
              <w:top w:val="nil"/>
              <w:left w:val="nil"/>
              <w:bottom w:val="nil"/>
              <w:right w:val="nil"/>
            </w:tcBorders>
            <w:noWrap/>
            <w:vAlign w:val="bottom"/>
            <w:hideMark/>
          </w:tcPr>
          <w:p w14:paraId="4E8D22CD"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177CF6A8"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€10.386,92</w:t>
            </w:r>
          </w:p>
        </w:tc>
        <w:tc>
          <w:tcPr>
            <w:tcW w:w="492" w:type="pct"/>
            <w:tcBorders>
              <w:top w:val="nil"/>
              <w:left w:val="nil"/>
              <w:bottom w:val="nil"/>
              <w:right w:val="nil"/>
            </w:tcBorders>
            <w:noWrap/>
            <w:vAlign w:val="bottom"/>
            <w:hideMark/>
          </w:tcPr>
          <w:p w14:paraId="300F38E3"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53063C99"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€10.386,92</w:t>
            </w:r>
          </w:p>
        </w:tc>
        <w:tc>
          <w:tcPr>
            <w:tcW w:w="492" w:type="pct"/>
            <w:tcBorders>
              <w:top w:val="nil"/>
              <w:left w:val="nil"/>
              <w:bottom w:val="nil"/>
              <w:right w:val="nil"/>
            </w:tcBorders>
            <w:noWrap/>
            <w:vAlign w:val="bottom"/>
            <w:hideMark/>
          </w:tcPr>
          <w:p w14:paraId="314F9525"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551984EE" w14:textId="534B17E4"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€18.299,</w:t>
            </w:r>
            <w:r w:rsidR="00842175">
              <w:rPr>
                <w:rFonts w:ascii="Aptos Narrow" w:eastAsia="Times New Roman" w:hAnsi="Aptos Narrow" w:cs="Times New Roman"/>
                <w:noProof/>
                <w:color w:val="000000" w:themeColor="text1"/>
                <w:sz w:val="22"/>
                <w:lang w:val="en-IE" w:eastAsia="en-IE"/>
              </w:rPr>
              <w:t>67</w:t>
            </w:r>
          </w:p>
        </w:tc>
      </w:tr>
      <w:tr w:rsidR="00CA5119" w:rsidRPr="00CA5119" w14:paraId="639A67DE" w14:textId="77777777" w:rsidTr="00DB531C">
        <w:trPr>
          <w:trHeight w:val="290"/>
        </w:trPr>
        <w:tc>
          <w:tcPr>
            <w:tcW w:w="1399" w:type="pct"/>
            <w:tcBorders>
              <w:top w:val="nil"/>
              <w:left w:val="nil"/>
              <w:bottom w:val="nil"/>
              <w:right w:val="nil"/>
            </w:tcBorders>
            <w:shd w:val="clear" w:color="auto" w:fill="F7C7AC"/>
            <w:noWrap/>
            <w:vAlign w:val="bottom"/>
            <w:hideMark/>
          </w:tcPr>
          <w:p w14:paraId="55C6B15F"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Other benefits</w:t>
            </w:r>
          </w:p>
        </w:tc>
        <w:tc>
          <w:tcPr>
            <w:tcW w:w="493" w:type="pct"/>
            <w:tcBorders>
              <w:top w:val="nil"/>
              <w:left w:val="nil"/>
              <w:bottom w:val="nil"/>
              <w:right w:val="nil"/>
            </w:tcBorders>
            <w:shd w:val="clear" w:color="auto" w:fill="F7C7AC"/>
            <w:noWrap/>
            <w:vAlign w:val="bottom"/>
            <w:hideMark/>
          </w:tcPr>
          <w:p w14:paraId="428F775B"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685" w:type="pct"/>
            <w:tcBorders>
              <w:top w:val="nil"/>
              <w:left w:val="nil"/>
              <w:bottom w:val="nil"/>
              <w:right w:val="nil"/>
            </w:tcBorders>
            <w:shd w:val="clear" w:color="auto" w:fill="F7C7AC"/>
            <w:noWrap/>
            <w:vAlign w:val="bottom"/>
            <w:hideMark/>
          </w:tcPr>
          <w:p w14:paraId="14E2C2D7"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492" w:type="pct"/>
            <w:tcBorders>
              <w:top w:val="nil"/>
              <w:left w:val="nil"/>
              <w:bottom w:val="nil"/>
              <w:right w:val="nil"/>
            </w:tcBorders>
            <w:shd w:val="clear" w:color="auto" w:fill="F7C7AC"/>
            <w:noWrap/>
            <w:vAlign w:val="bottom"/>
            <w:hideMark/>
          </w:tcPr>
          <w:p w14:paraId="5A597158"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685" w:type="pct"/>
            <w:tcBorders>
              <w:top w:val="nil"/>
              <w:left w:val="nil"/>
              <w:bottom w:val="nil"/>
              <w:right w:val="nil"/>
            </w:tcBorders>
            <w:shd w:val="clear" w:color="auto" w:fill="F7C7AC"/>
            <w:noWrap/>
            <w:vAlign w:val="bottom"/>
            <w:hideMark/>
          </w:tcPr>
          <w:p w14:paraId="345E227F"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492" w:type="pct"/>
            <w:tcBorders>
              <w:top w:val="nil"/>
              <w:left w:val="nil"/>
              <w:bottom w:val="nil"/>
              <w:right w:val="nil"/>
            </w:tcBorders>
            <w:shd w:val="clear" w:color="auto" w:fill="F7C7AC"/>
            <w:noWrap/>
            <w:vAlign w:val="bottom"/>
            <w:hideMark/>
          </w:tcPr>
          <w:p w14:paraId="1A5E40B3"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c>
          <w:tcPr>
            <w:tcW w:w="753" w:type="pct"/>
            <w:tcBorders>
              <w:top w:val="nil"/>
              <w:left w:val="nil"/>
              <w:bottom w:val="nil"/>
              <w:right w:val="nil"/>
            </w:tcBorders>
            <w:shd w:val="clear" w:color="auto" w:fill="F7C7AC"/>
            <w:noWrap/>
            <w:vAlign w:val="bottom"/>
            <w:hideMark/>
          </w:tcPr>
          <w:p w14:paraId="2CE4CF59" w14:textId="77777777" w:rsidR="00CA5119" w:rsidRPr="00CA5119" w:rsidRDefault="00CA5119" w:rsidP="7ECD02B7">
            <w:pPr>
              <w:jc w:val="left"/>
              <w:rPr>
                <w:rFonts w:ascii="Aptos Narrow" w:eastAsia="Times New Roman" w:hAnsi="Aptos Narrow" w:cs="Times New Roman"/>
                <w:i/>
                <w:iCs/>
                <w:noProof/>
                <w:color w:val="000000"/>
                <w:sz w:val="22"/>
                <w:lang w:val="en-IE" w:eastAsia="en-IE"/>
              </w:rPr>
            </w:pPr>
            <w:r w:rsidRPr="7ECD02B7">
              <w:rPr>
                <w:rFonts w:ascii="Aptos Narrow" w:eastAsia="Times New Roman" w:hAnsi="Aptos Narrow" w:cs="Times New Roman"/>
                <w:i/>
                <w:iCs/>
                <w:noProof/>
                <w:color w:val="000000" w:themeColor="text1"/>
                <w:sz w:val="22"/>
                <w:lang w:val="en-IE" w:eastAsia="en-IE"/>
              </w:rPr>
              <w:t> </w:t>
            </w:r>
          </w:p>
        </w:tc>
      </w:tr>
      <w:tr w:rsidR="00CA5119" w:rsidRPr="00CA5119" w14:paraId="1760E957" w14:textId="77777777" w:rsidTr="00DB531C">
        <w:trPr>
          <w:trHeight w:val="290"/>
        </w:trPr>
        <w:tc>
          <w:tcPr>
            <w:tcW w:w="1399" w:type="pct"/>
            <w:tcBorders>
              <w:top w:val="nil"/>
              <w:left w:val="nil"/>
              <w:bottom w:val="nil"/>
              <w:right w:val="nil"/>
            </w:tcBorders>
            <w:noWrap/>
            <w:vAlign w:val="bottom"/>
            <w:hideMark/>
          </w:tcPr>
          <w:p w14:paraId="6FB57441"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GHG emission reduction savings</w:t>
            </w:r>
          </w:p>
        </w:tc>
        <w:tc>
          <w:tcPr>
            <w:tcW w:w="493" w:type="pct"/>
            <w:tcBorders>
              <w:top w:val="nil"/>
              <w:left w:val="nil"/>
              <w:bottom w:val="nil"/>
              <w:right w:val="nil"/>
            </w:tcBorders>
            <w:noWrap/>
            <w:vAlign w:val="bottom"/>
            <w:hideMark/>
          </w:tcPr>
          <w:p w14:paraId="1F39DC0C"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09BB8AB6"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€3.058,23</w:t>
            </w:r>
          </w:p>
        </w:tc>
        <w:tc>
          <w:tcPr>
            <w:tcW w:w="492" w:type="pct"/>
            <w:tcBorders>
              <w:top w:val="nil"/>
              <w:left w:val="nil"/>
              <w:bottom w:val="nil"/>
              <w:right w:val="nil"/>
            </w:tcBorders>
            <w:noWrap/>
            <w:vAlign w:val="bottom"/>
            <w:hideMark/>
          </w:tcPr>
          <w:p w14:paraId="7AC50D21"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685" w:type="pct"/>
            <w:tcBorders>
              <w:top w:val="nil"/>
              <w:left w:val="nil"/>
              <w:bottom w:val="nil"/>
              <w:right w:val="nil"/>
            </w:tcBorders>
            <w:noWrap/>
            <w:vAlign w:val="bottom"/>
            <w:hideMark/>
          </w:tcPr>
          <w:p w14:paraId="7495A0D9"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€3.058,23</w:t>
            </w:r>
          </w:p>
        </w:tc>
        <w:tc>
          <w:tcPr>
            <w:tcW w:w="492" w:type="pct"/>
            <w:tcBorders>
              <w:top w:val="nil"/>
              <w:left w:val="nil"/>
              <w:bottom w:val="nil"/>
              <w:right w:val="nil"/>
            </w:tcBorders>
            <w:noWrap/>
            <w:vAlign w:val="bottom"/>
            <w:hideMark/>
          </w:tcPr>
          <w:p w14:paraId="2B489A65"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€0,00</w:t>
            </w:r>
          </w:p>
        </w:tc>
        <w:tc>
          <w:tcPr>
            <w:tcW w:w="753" w:type="pct"/>
            <w:tcBorders>
              <w:top w:val="nil"/>
              <w:left w:val="nil"/>
              <w:bottom w:val="nil"/>
              <w:right w:val="nil"/>
            </w:tcBorders>
            <w:noWrap/>
            <w:vAlign w:val="bottom"/>
            <w:hideMark/>
          </w:tcPr>
          <w:p w14:paraId="1B57EE62"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€4.865,13</w:t>
            </w:r>
          </w:p>
        </w:tc>
      </w:tr>
      <w:tr w:rsidR="00CA5119" w:rsidRPr="00CA5119" w14:paraId="749B79F1" w14:textId="77777777" w:rsidTr="00DB531C">
        <w:trPr>
          <w:trHeight w:val="290"/>
        </w:trPr>
        <w:tc>
          <w:tcPr>
            <w:tcW w:w="1399" w:type="pct"/>
            <w:tcBorders>
              <w:top w:val="nil"/>
              <w:left w:val="nil"/>
              <w:bottom w:val="nil"/>
              <w:right w:val="nil"/>
            </w:tcBorders>
            <w:noWrap/>
            <w:vAlign w:val="bottom"/>
            <w:hideMark/>
          </w:tcPr>
          <w:p w14:paraId="7BE469DF" w14:textId="77777777" w:rsidR="00CA5119" w:rsidRPr="00CA5119" w:rsidRDefault="00CA5119" w:rsidP="7ECD02B7">
            <w:pPr>
              <w:jc w:val="lef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Increase in jobs (not monetised)</w:t>
            </w:r>
          </w:p>
        </w:tc>
        <w:tc>
          <w:tcPr>
            <w:tcW w:w="493" w:type="pct"/>
            <w:tcBorders>
              <w:top w:val="nil"/>
              <w:left w:val="nil"/>
              <w:bottom w:val="nil"/>
              <w:right w:val="nil"/>
            </w:tcBorders>
            <w:noWrap/>
            <w:vAlign w:val="bottom"/>
            <w:hideMark/>
          </w:tcPr>
          <w:p w14:paraId="04BE83DB" w14:textId="77777777" w:rsidR="00CA5119" w:rsidRPr="00CA5119" w:rsidRDefault="00CA5119" w:rsidP="7ECD02B7">
            <w:pPr>
              <w:jc w:val="left"/>
              <w:rPr>
                <w:rFonts w:ascii="Aptos Narrow" w:eastAsia="Times New Roman" w:hAnsi="Aptos Narrow" w:cs="Times New Roman"/>
                <w:noProof/>
                <w:color w:val="000000"/>
                <w:sz w:val="22"/>
                <w:lang w:val="en-IE" w:eastAsia="en-IE"/>
              </w:rPr>
            </w:pPr>
          </w:p>
        </w:tc>
        <w:tc>
          <w:tcPr>
            <w:tcW w:w="685" w:type="pct"/>
            <w:tcBorders>
              <w:top w:val="nil"/>
              <w:left w:val="nil"/>
              <w:bottom w:val="nil"/>
              <w:right w:val="nil"/>
            </w:tcBorders>
            <w:noWrap/>
            <w:vAlign w:val="bottom"/>
            <w:hideMark/>
          </w:tcPr>
          <w:p w14:paraId="1BD51525" w14:textId="7B72B00E"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143</w:t>
            </w:r>
            <w:r w:rsidR="00CE7975">
              <w:rPr>
                <w:rFonts w:ascii="Aptos Narrow" w:eastAsia="Times New Roman" w:hAnsi="Aptos Narrow" w:cs="Times New Roman"/>
                <w:noProof/>
                <w:color w:val="000000" w:themeColor="text1"/>
                <w:sz w:val="22"/>
                <w:lang w:val="en-IE" w:eastAsia="en-IE"/>
              </w:rPr>
              <w:t>.</w:t>
            </w:r>
            <w:r w:rsidRPr="7ECD02B7">
              <w:rPr>
                <w:rFonts w:ascii="Aptos Narrow" w:eastAsia="Times New Roman" w:hAnsi="Aptos Narrow" w:cs="Times New Roman"/>
                <w:noProof/>
                <w:color w:val="000000" w:themeColor="text1"/>
                <w:sz w:val="22"/>
                <w:lang w:val="en-IE" w:eastAsia="en-IE"/>
              </w:rPr>
              <w:t>852</w:t>
            </w:r>
          </w:p>
        </w:tc>
        <w:tc>
          <w:tcPr>
            <w:tcW w:w="492" w:type="pct"/>
            <w:tcBorders>
              <w:top w:val="nil"/>
              <w:left w:val="nil"/>
              <w:bottom w:val="nil"/>
              <w:right w:val="nil"/>
            </w:tcBorders>
            <w:noWrap/>
            <w:vAlign w:val="bottom"/>
            <w:hideMark/>
          </w:tcPr>
          <w:p w14:paraId="5898E2D7"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p>
        </w:tc>
        <w:tc>
          <w:tcPr>
            <w:tcW w:w="685" w:type="pct"/>
            <w:tcBorders>
              <w:top w:val="nil"/>
              <w:left w:val="nil"/>
              <w:bottom w:val="nil"/>
              <w:right w:val="nil"/>
            </w:tcBorders>
            <w:noWrap/>
            <w:vAlign w:val="bottom"/>
            <w:hideMark/>
          </w:tcPr>
          <w:p w14:paraId="7C4326FF" w14:textId="2DAC50C4"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148</w:t>
            </w:r>
            <w:r w:rsidR="00CE7975">
              <w:rPr>
                <w:rFonts w:ascii="Aptos Narrow" w:eastAsia="Times New Roman" w:hAnsi="Aptos Narrow" w:cs="Times New Roman"/>
                <w:noProof/>
                <w:color w:val="000000" w:themeColor="text1"/>
                <w:sz w:val="22"/>
                <w:lang w:val="en-IE" w:eastAsia="en-IE"/>
              </w:rPr>
              <w:t>.</w:t>
            </w:r>
            <w:r w:rsidRPr="7ECD02B7">
              <w:rPr>
                <w:rFonts w:ascii="Aptos Narrow" w:eastAsia="Times New Roman" w:hAnsi="Aptos Narrow" w:cs="Times New Roman"/>
                <w:noProof/>
                <w:color w:val="000000" w:themeColor="text1"/>
                <w:sz w:val="22"/>
                <w:lang w:val="en-IE" w:eastAsia="en-IE"/>
              </w:rPr>
              <w:t>352</w:t>
            </w:r>
          </w:p>
        </w:tc>
        <w:tc>
          <w:tcPr>
            <w:tcW w:w="492" w:type="pct"/>
            <w:tcBorders>
              <w:top w:val="nil"/>
              <w:left w:val="nil"/>
              <w:bottom w:val="nil"/>
              <w:right w:val="nil"/>
            </w:tcBorders>
            <w:noWrap/>
            <w:vAlign w:val="bottom"/>
            <w:hideMark/>
          </w:tcPr>
          <w:p w14:paraId="373BFD1F"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p>
        </w:tc>
        <w:tc>
          <w:tcPr>
            <w:tcW w:w="753" w:type="pct"/>
            <w:tcBorders>
              <w:top w:val="nil"/>
              <w:left w:val="nil"/>
              <w:bottom w:val="nil"/>
              <w:right w:val="nil"/>
            </w:tcBorders>
            <w:noWrap/>
            <w:vAlign w:val="bottom"/>
            <w:hideMark/>
          </w:tcPr>
          <w:p w14:paraId="136A6B1A" w14:textId="6A39A144" w:rsidR="00CA5119" w:rsidRPr="00CA5119" w:rsidRDefault="00433148" w:rsidP="7ECD02B7">
            <w:pPr>
              <w:jc w:val="right"/>
              <w:rPr>
                <w:rFonts w:ascii="Aptos Narrow" w:eastAsia="Times New Roman" w:hAnsi="Aptos Narrow" w:cs="Times New Roman"/>
                <w:noProof/>
                <w:color w:val="000000"/>
                <w:sz w:val="22"/>
                <w:lang w:val="en-IE" w:eastAsia="en-IE"/>
              </w:rPr>
            </w:pPr>
            <w:r>
              <w:rPr>
                <w:rFonts w:ascii="Aptos Narrow" w:eastAsia="Times New Roman" w:hAnsi="Aptos Narrow" w:cs="Times New Roman"/>
                <w:noProof/>
                <w:color w:val="000000" w:themeColor="text1"/>
                <w:sz w:val="22"/>
                <w:lang w:val="en-IE" w:eastAsia="en-IE"/>
              </w:rPr>
              <w:t>27</w:t>
            </w:r>
            <w:r w:rsidR="00CE7975">
              <w:rPr>
                <w:rFonts w:ascii="Aptos Narrow" w:eastAsia="Times New Roman" w:hAnsi="Aptos Narrow" w:cs="Times New Roman"/>
                <w:noProof/>
                <w:color w:val="000000" w:themeColor="text1"/>
                <w:sz w:val="22"/>
                <w:lang w:val="en-IE" w:eastAsia="en-IE"/>
              </w:rPr>
              <w:t>0.</w:t>
            </w:r>
            <w:r>
              <w:rPr>
                <w:rFonts w:ascii="Aptos Narrow" w:eastAsia="Times New Roman" w:hAnsi="Aptos Narrow" w:cs="Times New Roman"/>
                <w:noProof/>
                <w:color w:val="000000" w:themeColor="text1"/>
                <w:sz w:val="22"/>
                <w:lang w:val="en-IE" w:eastAsia="en-IE"/>
              </w:rPr>
              <w:t>629</w:t>
            </w:r>
          </w:p>
        </w:tc>
      </w:tr>
      <w:tr w:rsidR="006A247A" w:rsidRPr="00CA5119" w14:paraId="23920999" w14:textId="77777777" w:rsidTr="00DB531C">
        <w:trPr>
          <w:trHeight w:val="290"/>
        </w:trPr>
        <w:tc>
          <w:tcPr>
            <w:tcW w:w="1399" w:type="pct"/>
            <w:tcBorders>
              <w:top w:val="nil"/>
              <w:left w:val="nil"/>
              <w:bottom w:val="nil"/>
              <w:right w:val="nil"/>
            </w:tcBorders>
            <w:shd w:val="clear" w:color="auto" w:fill="F2F2F2" w:themeFill="background1" w:themeFillShade="F2"/>
            <w:noWrap/>
            <w:vAlign w:val="bottom"/>
            <w:hideMark/>
          </w:tcPr>
          <w:p w14:paraId="0BA206EB" w14:textId="77777777" w:rsidR="006A247A" w:rsidRPr="00CA5119" w:rsidRDefault="006A247A" w:rsidP="006A247A">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Total costs</w:t>
            </w:r>
          </w:p>
        </w:tc>
        <w:tc>
          <w:tcPr>
            <w:tcW w:w="493" w:type="pct"/>
            <w:tcBorders>
              <w:top w:val="nil"/>
              <w:left w:val="nil"/>
              <w:bottom w:val="nil"/>
              <w:right w:val="nil"/>
            </w:tcBorders>
            <w:shd w:val="clear" w:color="auto" w:fill="F2F2F2" w:themeFill="background1" w:themeFillShade="F2"/>
            <w:noWrap/>
            <w:vAlign w:val="bottom"/>
            <w:hideMark/>
          </w:tcPr>
          <w:p w14:paraId="61F01C4B" w14:textId="6AB607F8" w:rsidR="006A247A" w:rsidRPr="00CA5119" w:rsidRDefault="006A247A" w:rsidP="006A247A">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€0.80</w:t>
            </w:r>
          </w:p>
        </w:tc>
        <w:tc>
          <w:tcPr>
            <w:tcW w:w="685" w:type="pct"/>
            <w:tcBorders>
              <w:top w:val="nil"/>
              <w:left w:val="nil"/>
              <w:bottom w:val="nil"/>
              <w:right w:val="nil"/>
            </w:tcBorders>
            <w:shd w:val="clear" w:color="auto" w:fill="F2F2F2" w:themeFill="background1" w:themeFillShade="F2"/>
            <w:noWrap/>
            <w:vAlign w:val="bottom"/>
            <w:hideMark/>
          </w:tcPr>
          <w:p w14:paraId="537A488E" w14:textId="645CA329" w:rsidR="006A247A" w:rsidRPr="00CA5119" w:rsidRDefault="006A247A" w:rsidP="006A247A">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€6,052.06</w:t>
            </w:r>
          </w:p>
        </w:tc>
        <w:tc>
          <w:tcPr>
            <w:tcW w:w="492" w:type="pct"/>
            <w:tcBorders>
              <w:top w:val="nil"/>
              <w:left w:val="nil"/>
              <w:bottom w:val="nil"/>
              <w:right w:val="nil"/>
            </w:tcBorders>
            <w:shd w:val="clear" w:color="auto" w:fill="F2F2F2" w:themeFill="background1" w:themeFillShade="F2"/>
            <w:noWrap/>
            <w:vAlign w:val="bottom"/>
            <w:hideMark/>
          </w:tcPr>
          <w:p w14:paraId="153E4B3A" w14:textId="50EC5594" w:rsidR="006A247A" w:rsidRPr="00CA5119" w:rsidRDefault="006A247A" w:rsidP="006A247A">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€0.53</w:t>
            </w:r>
          </w:p>
        </w:tc>
        <w:tc>
          <w:tcPr>
            <w:tcW w:w="685" w:type="pct"/>
            <w:tcBorders>
              <w:top w:val="nil"/>
              <w:left w:val="nil"/>
              <w:bottom w:val="nil"/>
              <w:right w:val="nil"/>
            </w:tcBorders>
            <w:shd w:val="clear" w:color="auto" w:fill="F2F2F2" w:themeFill="background1" w:themeFillShade="F2"/>
            <w:noWrap/>
            <w:vAlign w:val="bottom"/>
            <w:hideMark/>
          </w:tcPr>
          <w:p w14:paraId="11D8A92B" w14:textId="159BE802" w:rsidR="006A247A" w:rsidRPr="00CA5119" w:rsidRDefault="006A247A" w:rsidP="006A247A">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€6,055.88</w:t>
            </w:r>
          </w:p>
        </w:tc>
        <w:tc>
          <w:tcPr>
            <w:tcW w:w="492" w:type="pct"/>
            <w:tcBorders>
              <w:top w:val="nil"/>
              <w:left w:val="nil"/>
              <w:bottom w:val="nil"/>
              <w:right w:val="nil"/>
            </w:tcBorders>
            <w:shd w:val="clear" w:color="auto" w:fill="F2F2F2" w:themeFill="background1" w:themeFillShade="F2"/>
            <w:noWrap/>
            <w:vAlign w:val="bottom"/>
            <w:hideMark/>
          </w:tcPr>
          <w:p w14:paraId="3FDE99D5" w14:textId="19205505" w:rsidR="006A247A" w:rsidRPr="00CA5119" w:rsidRDefault="006A247A" w:rsidP="006A247A">
            <w:pPr>
              <w:jc w:val="right"/>
              <w:rPr>
                <w:rFonts w:ascii="Aptos Narrow" w:eastAsia="Times New Roman" w:hAnsi="Aptos Narrow" w:cs="Times New Roman"/>
                <w:noProof/>
                <w:color w:val="000000"/>
                <w:sz w:val="22"/>
                <w:lang w:val="en-IE" w:eastAsia="en-IE"/>
              </w:rPr>
            </w:pPr>
            <w:r>
              <w:rPr>
                <w:rFonts w:ascii="Aptos Narrow" w:hAnsi="Aptos Narrow"/>
                <w:noProof/>
                <w:color w:val="000000"/>
                <w:sz w:val="22"/>
              </w:rPr>
              <w:t>€0.53</w:t>
            </w:r>
          </w:p>
        </w:tc>
        <w:tc>
          <w:tcPr>
            <w:tcW w:w="753" w:type="pct"/>
            <w:tcBorders>
              <w:top w:val="nil"/>
              <w:left w:val="nil"/>
              <w:bottom w:val="nil"/>
              <w:right w:val="nil"/>
            </w:tcBorders>
            <w:shd w:val="clear" w:color="auto" w:fill="F2F2F2" w:themeFill="background1" w:themeFillShade="F2"/>
            <w:noWrap/>
            <w:vAlign w:val="bottom"/>
            <w:hideMark/>
          </w:tcPr>
          <w:p w14:paraId="59C05798" w14:textId="23BE1B8D" w:rsidR="006A247A" w:rsidRPr="00CA5119" w:rsidRDefault="00CD2110" w:rsidP="006A247A">
            <w:pPr>
              <w:jc w:val="right"/>
              <w:rPr>
                <w:rFonts w:ascii="Aptos Narrow" w:eastAsia="Times New Roman" w:hAnsi="Aptos Narrow" w:cs="Times New Roman"/>
                <w:noProof/>
                <w:color w:val="000000"/>
                <w:sz w:val="22"/>
                <w:lang w:val="en-IE" w:eastAsia="en-IE"/>
              </w:rPr>
            </w:pPr>
            <w:r>
              <w:rPr>
                <w:noProof/>
              </w:rPr>
              <w:t xml:space="preserve"> </w:t>
            </w:r>
            <w:r w:rsidRPr="00CD2110">
              <w:rPr>
                <w:rFonts w:ascii="Aptos Narrow" w:hAnsi="Aptos Narrow"/>
                <w:noProof/>
                <w:color w:val="000000"/>
                <w:sz w:val="22"/>
              </w:rPr>
              <w:t>€32,711.96</w:t>
            </w:r>
          </w:p>
        </w:tc>
      </w:tr>
      <w:tr w:rsidR="00511796" w:rsidRPr="00CA5119" w14:paraId="255189F5" w14:textId="77777777" w:rsidTr="00DB531C">
        <w:trPr>
          <w:trHeight w:val="290"/>
        </w:trPr>
        <w:tc>
          <w:tcPr>
            <w:tcW w:w="1399" w:type="pct"/>
            <w:tcBorders>
              <w:top w:val="nil"/>
              <w:left w:val="nil"/>
              <w:bottom w:val="nil"/>
              <w:right w:val="nil"/>
            </w:tcBorders>
            <w:shd w:val="clear" w:color="auto" w:fill="F2F2F2" w:themeFill="background1" w:themeFillShade="F2"/>
            <w:noWrap/>
            <w:vAlign w:val="bottom"/>
            <w:hideMark/>
          </w:tcPr>
          <w:p w14:paraId="249E40AC" w14:textId="77777777" w:rsidR="00CA5119" w:rsidRPr="00CA5119" w:rsidRDefault="00CA5119" w:rsidP="7ECD02B7">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Total benefits</w:t>
            </w:r>
          </w:p>
        </w:tc>
        <w:tc>
          <w:tcPr>
            <w:tcW w:w="493" w:type="pct"/>
            <w:tcBorders>
              <w:top w:val="nil"/>
              <w:left w:val="nil"/>
              <w:bottom w:val="nil"/>
              <w:right w:val="nil"/>
            </w:tcBorders>
            <w:shd w:val="clear" w:color="auto" w:fill="F2F2F2" w:themeFill="background1" w:themeFillShade="F2"/>
            <w:noWrap/>
            <w:vAlign w:val="bottom"/>
            <w:hideMark/>
          </w:tcPr>
          <w:p w14:paraId="6623C798"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€240,00</w:t>
            </w:r>
          </w:p>
        </w:tc>
        <w:tc>
          <w:tcPr>
            <w:tcW w:w="685" w:type="pct"/>
            <w:tcBorders>
              <w:top w:val="nil"/>
              <w:left w:val="nil"/>
              <w:bottom w:val="nil"/>
              <w:right w:val="nil"/>
            </w:tcBorders>
            <w:shd w:val="clear" w:color="auto" w:fill="F2F2F2" w:themeFill="background1" w:themeFillShade="F2"/>
            <w:noWrap/>
            <w:vAlign w:val="bottom"/>
            <w:hideMark/>
          </w:tcPr>
          <w:p w14:paraId="05AD0C81"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€14.745,15</w:t>
            </w:r>
          </w:p>
        </w:tc>
        <w:tc>
          <w:tcPr>
            <w:tcW w:w="492" w:type="pct"/>
            <w:tcBorders>
              <w:top w:val="nil"/>
              <w:left w:val="nil"/>
              <w:bottom w:val="nil"/>
              <w:right w:val="nil"/>
            </w:tcBorders>
            <w:shd w:val="clear" w:color="auto" w:fill="F2F2F2" w:themeFill="background1" w:themeFillShade="F2"/>
            <w:noWrap/>
            <w:vAlign w:val="bottom"/>
            <w:hideMark/>
          </w:tcPr>
          <w:p w14:paraId="5AC5751F"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€240,00</w:t>
            </w:r>
          </w:p>
        </w:tc>
        <w:tc>
          <w:tcPr>
            <w:tcW w:w="685" w:type="pct"/>
            <w:tcBorders>
              <w:top w:val="nil"/>
              <w:left w:val="nil"/>
              <w:bottom w:val="nil"/>
              <w:right w:val="nil"/>
            </w:tcBorders>
            <w:shd w:val="clear" w:color="auto" w:fill="F2F2F2" w:themeFill="background1" w:themeFillShade="F2"/>
            <w:noWrap/>
            <w:vAlign w:val="bottom"/>
            <w:hideMark/>
          </w:tcPr>
          <w:p w14:paraId="642B124E"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€14.745,15</w:t>
            </w:r>
          </w:p>
        </w:tc>
        <w:tc>
          <w:tcPr>
            <w:tcW w:w="492" w:type="pct"/>
            <w:tcBorders>
              <w:top w:val="nil"/>
              <w:left w:val="nil"/>
              <w:bottom w:val="nil"/>
              <w:right w:val="nil"/>
            </w:tcBorders>
            <w:shd w:val="clear" w:color="auto" w:fill="F2F2F2" w:themeFill="background1" w:themeFillShade="F2"/>
            <w:noWrap/>
            <w:vAlign w:val="bottom"/>
            <w:hideMark/>
          </w:tcPr>
          <w:p w14:paraId="636A37B0" w14:textId="77777777"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€240,00</w:t>
            </w:r>
          </w:p>
        </w:tc>
        <w:tc>
          <w:tcPr>
            <w:tcW w:w="753" w:type="pct"/>
            <w:tcBorders>
              <w:top w:val="nil"/>
              <w:left w:val="nil"/>
              <w:bottom w:val="nil"/>
              <w:right w:val="nil"/>
            </w:tcBorders>
            <w:shd w:val="clear" w:color="auto" w:fill="F2F2F2" w:themeFill="background1" w:themeFillShade="F2"/>
            <w:noWrap/>
            <w:vAlign w:val="bottom"/>
            <w:hideMark/>
          </w:tcPr>
          <w:p w14:paraId="7CE756B7" w14:textId="7E9129A0" w:rsidR="00CA5119" w:rsidRPr="00CA5119" w:rsidRDefault="00CA5119" w:rsidP="7ECD02B7">
            <w:pPr>
              <w:jc w:val="right"/>
              <w:rPr>
                <w:rFonts w:ascii="Aptos Narrow" w:eastAsia="Times New Roman" w:hAnsi="Aptos Narrow" w:cs="Times New Roman"/>
                <w:noProof/>
                <w:color w:val="000000"/>
                <w:sz w:val="22"/>
                <w:lang w:val="en-IE" w:eastAsia="en-IE"/>
              </w:rPr>
            </w:pPr>
            <w:r w:rsidRPr="7ECD02B7">
              <w:rPr>
                <w:rFonts w:ascii="Aptos Narrow" w:eastAsia="Times New Roman" w:hAnsi="Aptos Narrow" w:cs="Times New Roman"/>
                <w:noProof/>
                <w:color w:val="000000" w:themeColor="text1"/>
                <w:sz w:val="22"/>
                <w:lang w:val="en-IE" w:eastAsia="en-IE"/>
              </w:rPr>
              <w:t>€24.464,</w:t>
            </w:r>
            <w:r w:rsidR="004610F8">
              <w:rPr>
                <w:rFonts w:ascii="Aptos Narrow" w:eastAsia="Times New Roman" w:hAnsi="Aptos Narrow" w:cs="Times New Roman"/>
                <w:noProof/>
                <w:color w:val="000000" w:themeColor="text1"/>
                <w:sz w:val="22"/>
                <w:lang w:val="en-IE" w:eastAsia="en-IE"/>
              </w:rPr>
              <w:t>80</w:t>
            </w:r>
          </w:p>
        </w:tc>
      </w:tr>
      <w:tr w:rsidR="00DB531C" w:rsidRPr="00CA5119" w14:paraId="7DD12EE3" w14:textId="77777777" w:rsidTr="00DB531C">
        <w:trPr>
          <w:trHeight w:val="290"/>
        </w:trPr>
        <w:tc>
          <w:tcPr>
            <w:tcW w:w="1399" w:type="pct"/>
            <w:tcBorders>
              <w:top w:val="nil"/>
              <w:left w:val="nil"/>
              <w:bottom w:val="nil"/>
              <w:right w:val="nil"/>
            </w:tcBorders>
            <w:shd w:val="clear" w:color="auto" w:fill="F2F2F2" w:themeFill="background1" w:themeFillShade="F2"/>
            <w:noWrap/>
            <w:vAlign w:val="bottom"/>
            <w:hideMark/>
          </w:tcPr>
          <w:p w14:paraId="7F6648A9" w14:textId="77777777" w:rsidR="00DB531C" w:rsidRPr="00CA5119" w:rsidRDefault="00DB531C" w:rsidP="00DB531C">
            <w:pPr>
              <w:jc w:val="left"/>
              <w:rPr>
                <w:rFonts w:ascii="Aptos Narrow" w:eastAsia="Times New Roman" w:hAnsi="Aptos Narrow" w:cs="Times New Roman"/>
                <w:b/>
                <w:bCs/>
                <w:noProof/>
                <w:color w:val="000000"/>
                <w:sz w:val="22"/>
                <w:lang w:val="en-IE" w:eastAsia="en-IE"/>
              </w:rPr>
            </w:pPr>
            <w:r w:rsidRPr="7ECD02B7">
              <w:rPr>
                <w:rFonts w:ascii="Aptos Narrow" w:eastAsia="Times New Roman" w:hAnsi="Aptos Narrow" w:cs="Times New Roman"/>
                <w:b/>
                <w:bCs/>
                <w:noProof/>
                <w:color w:val="000000" w:themeColor="text1"/>
                <w:sz w:val="22"/>
                <w:lang w:val="en-IE" w:eastAsia="en-IE"/>
              </w:rPr>
              <w:t>Net benefits</w:t>
            </w:r>
          </w:p>
        </w:tc>
        <w:tc>
          <w:tcPr>
            <w:tcW w:w="493" w:type="pct"/>
            <w:tcBorders>
              <w:top w:val="nil"/>
              <w:left w:val="nil"/>
              <w:bottom w:val="nil"/>
              <w:right w:val="nil"/>
            </w:tcBorders>
            <w:shd w:val="clear" w:color="auto" w:fill="F2F2F2" w:themeFill="background1" w:themeFillShade="F2"/>
            <w:noWrap/>
            <w:vAlign w:val="bottom"/>
            <w:hideMark/>
          </w:tcPr>
          <w:p w14:paraId="11FE8737" w14:textId="71505D01" w:rsidR="00DB531C" w:rsidRPr="00CA5119" w:rsidRDefault="00DB531C" w:rsidP="00DB531C">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€239.20</w:t>
            </w:r>
          </w:p>
        </w:tc>
        <w:tc>
          <w:tcPr>
            <w:tcW w:w="685" w:type="pct"/>
            <w:tcBorders>
              <w:top w:val="nil"/>
              <w:left w:val="nil"/>
              <w:bottom w:val="nil"/>
              <w:right w:val="nil"/>
            </w:tcBorders>
            <w:shd w:val="clear" w:color="auto" w:fill="F2F2F2" w:themeFill="background1" w:themeFillShade="F2"/>
            <w:noWrap/>
            <w:vAlign w:val="bottom"/>
            <w:hideMark/>
          </w:tcPr>
          <w:p w14:paraId="6C95FA5B" w14:textId="330CD74A" w:rsidR="00DB531C" w:rsidRPr="00CA5119" w:rsidRDefault="00DB531C" w:rsidP="00DB531C">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€8,693.08</w:t>
            </w:r>
          </w:p>
        </w:tc>
        <w:tc>
          <w:tcPr>
            <w:tcW w:w="492" w:type="pct"/>
            <w:tcBorders>
              <w:top w:val="nil"/>
              <w:left w:val="nil"/>
              <w:bottom w:val="nil"/>
              <w:right w:val="nil"/>
            </w:tcBorders>
            <w:shd w:val="clear" w:color="auto" w:fill="F2F2F2" w:themeFill="background1" w:themeFillShade="F2"/>
            <w:noWrap/>
            <w:vAlign w:val="bottom"/>
            <w:hideMark/>
          </w:tcPr>
          <w:p w14:paraId="50B269CC" w14:textId="0EAC0954" w:rsidR="00DB531C" w:rsidRPr="00CA5119" w:rsidRDefault="00DB531C" w:rsidP="00DB531C">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€239.47</w:t>
            </w:r>
          </w:p>
        </w:tc>
        <w:tc>
          <w:tcPr>
            <w:tcW w:w="685" w:type="pct"/>
            <w:tcBorders>
              <w:top w:val="nil"/>
              <w:left w:val="nil"/>
              <w:bottom w:val="nil"/>
              <w:right w:val="nil"/>
            </w:tcBorders>
            <w:shd w:val="clear" w:color="auto" w:fill="F2F2F2" w:themeFill="background1" w:themeFillShade="F2"/>
            <w:noWrap/>
            <w:vAlign w:val="bottom"/>
            <w:hideMark/>
          </w:tcPr>
          <w:p w14:paraId="679190F2" w14:textId="78EE8E04" w:rsidR="00DB531C" w:rsidRPr="00CA5119" w:rsidRDefault="00DB531C" w:rsidP="00DB531C">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€8,689.27</w:t>
            </w:r>
          </w:p>
        </w:tc>
        <w:tc>
          <w:tcPr>
            <w:tcW w:w="492" w:type="pct"/>
            <w:tcBorders>
              <w:top w:val="nil"/>
              <w:left w:val="nil"/>
              <w:bottom w:val="nil"/>
              <w:right w:val="nil"/>
            </w:tcBorders>
            <w:shd w:val="clear" w:color="auto" w:fill="F2F2F2" w:themeFill="background1" w:themeFillShade="F2"/>
            <w:noWrap/>
            <w:vAlign w:val="bottom"/>
            <w:hideMark/>
          </w:tcPr>
          <w:p w14:paraId="56728BF3" w14:textId="72CB19A0" w:rsidR="00DB531C" w:rsidRPr="00CA5119" w:rsidRDefault="00DB531C" w:rsidP="00DB531C">
            <w:pPr>
              <w:jc w:val="right"/>
              <w:rPr>
                <w:rFonts w:ascii="Aptos Narrow" w:eastAsia="Times New Roman" w:hAnsi="Aptos Narrow" w:cs="Times New Roman"/>
                <w:b/>
                <w:bCs/>
                <w:noProof/>
                <w:color w:val="000000"/>
                <w:sz w:val="22"/>
                <w:lang w:val="en-IE" w:eastAsia="en-IE"/>
              </w:rPr>
            </w:pPr>
            <w:r>
              <w:rPr>
                <w:rFonts w:ascii="Aptos Narrow" w:hAnsi="Aptos Narrow"/>
                <w:b/>
                <w:bCs/>
                <w:noProof/>
                <w:color w:val="000000"/>
                <w:sz w:val="22"/>
              </w:rPr>
              <w:t>€239.47</w:t>
            </w:r>
          </w:p>
        </w:tc>
        <w:tc>
          <w:tcPr>
            <w:tcW w:w="753" w:type="pct"/>
            <w:tcBorders>
              <w:top w:val="nil"/>
              <w:left w:val="nil"/>
              <w:bottom w:val="nil"/>
              <w:right w:val="nil"/>
            </w:tcBorders>
            <w:shd w:val="clear" w:color="auto" w:fill="F2F2F2" w:themeFill="background1" w:themeFillShade="F2"/>
            <w:noWrap/>
            <w:vAlign w:val="bottom"/>
            <w:hideMark/>
          </w:tcPr>
          <w:p w14:paraId="036FC2AC" w14:textId="5E53CDDB" w:rsidR="00DB531C" w:rsidRPr="00CA5119" w:rsidRDefault="00AB163C" w:rsidP="00DB531C">
            <w:pPr>
              <w:jc w:val="right"/>
              <w:rPr>
                <w:rFonts w:ascii="Aptos Narrow" w:eastAsia="Times New Roman" w:hAnsi="Aptos Narrow" w:cs="Times New Roman"/>
                <w:b/>
                <w:bCs/>
                <w:noProof/>
                <w:color w:val="000000"/>
                <w:sz w:val="22"/>
                <w:lang w:val="en-IE" w:eastAsia="en-IE"/>
              </w:rPr>
            </w:pPr>
            <w:r>
              <w:rPr>
                <w:noProof/>
              </w:rPr>
              <w:t xml:space="preserve"> </w:t>
            </w:r>
            <w:r w:rsidRPr="00AB163C">
              <w:rPr>
                <w:rFonts w:ascii="Aptos Narrow" w:hAnsi="Aptos Narrow"/>
                <w:b/>
                <w:bCs/>
                <w:noProof/>
                <w:color w:val="000000"/>
                <w:sz w:val="22"/>
              </w:rPr>
              <w:t>-€8,247.16</w:t>
            </w:r>
          </w:p>
        </w:tc>
      </w:tr>
    </w:tbl>
    <w:p w14:paraId="036E6A0A" w14:textId="6757548D" w:rsidR="00AA03F0" w:rsidRPr="00E71388" w:rsidDel="00EB19D8" w:rsidRDefault="00AA03F0" w:rsidP="0011788E">
      <w:pPr>
        <w:pStyle w:val="JRCText"/>
        <w:spacing w:after="0" w:line="240" w:lineRule="auto"/>
        <w:jc w:val="both"/>
        <w:rPr>
          <w:rFonts w:ascii="Times New Roman" w:hAnsi="Times New Roman"/>
          <w:noProof/>
          <w:color w:val="000000" w:themeColor="text1"/>
          <w:sz w:val="24"/>
        </w:rPr>
        <w:sectPr w:rsidR="00AA03F0" w:rsidRPr="00E71388" w:rsidDel="00EB19D8" w:rsidSect="002106C1">
          <w:headerReference w:type="even" r:id="rId73"/>
          <w:headerReference w:type="default" r:id="rId74"/>
          <w:footerReference w:type="default" r:id="rId75"/>
          <w:headerReference w:type="first" r:id="rId76"/>
          <w:footerReference w:type="first" r:id="rId77"/>
          <w:pgSz w:w="16838" w:h="11906" w:orient="landscape"/>
          <w:pgMar w:top="1560" w:right="1020" w:bottom="707" w:left="1020" w:header="601" w:footer="1077" w:gutter="0"/>
          <w:cols w:space="720"/>
          <w:titlePg/>
          <w:docGrid w:linePitch="326"/>
        </w:sectPr>
      </w:pPr>
      <w:bookmarkStart w:id="493" w:name="_Toc195528731"/>
      <w:bookmarkStart w:id="494" w:name="_Toc207192548"/>
    </w:p>
    <w:p w14:paraId="3F78B859" w14:textId="77777777" w:rsidR="00020031" w:rsidRPr="00F261DB" w:rsidRDefault="00020031" w:rsidP="00D614EB">
      <w:pPr>
        <w:pStyle w:val="Heading1"/>
        <w:numPr>
          <w:ilvl w:val="0"/>
          <w:numId w:val="0"/>
        </w:numPr>
        <w:spacing w:before="0" w:after="0"/>
        <w:rPr>
          <w:rFonts w:ascii="Times" w:hAnsi="Times" w:cs="Times"/>
          <w:b/>
          <w:noProof/>
          <w:color w:val="auto"/>
          <w:sz w:val="28"/>
          <w:szCs w:val="28"/>
        </w:rPr>
      </w:pPr>
      <w:bookmarkStart w:id="495" w:name="_Toc222159369"/>
      <w:bookmarkStart w:id="496" w:name="_Toc222490026"/>
      <w:r w:rsidRPr="00F261DB">
        <w:rPr>
          <w:rFonts w:ascii="Times" w:hAnsi="Times" w:cs="Times"/>
          <w:b/>
          <w:noProof/>
          <w:color w:val="auto"/>
          <w:sz w:val="28"/>
          <w:szCs w:val="28"/>
        </w:rPr>
        <w:lastRenderedPageBreak/>
        <w:t>Annex 5: Competitiveness check</w:t>
      </w:r>
      <w:bookmarkEnd w:id="493"/>
      <w:bookmarkEnd w:id="494"/>
      <w:bookmarkEnd w:id="495"/>
      <w:bookmarkEnd w:id="496"/>
      <w:r w:rsidRPr="00F261DB">
        <w:rPr>
          <w:rFonts w:ascii="Times" w:hAnsi="Times" w:cs="Times"/>
          <w:b/>
          <w:noProof/>
          <w:color w:val="auto"/>
          <w:sz w:val="28"/>
          <w:szCs w:val="28"/>
        </w:rPr>
        <w:t xml:space="preserve"> </w:t>
      </w:r>
    </w:p>
    <w:p w14:paraId="1544F3F1" w14:textId="3CCC159B" w:rsidR="00020031" w:rsidRPr="00D614EB" w:rsidRDefault="00020031" w:rsidP="00925C80">
      <w:pPr>
        <w:pStyle w:val="ListParagraph"/>
        <w:keepNext/>
        <w:keepLines/>
        <w:numPr>
          <w:ilvl w:val="0"/>
          <w:numId w:val="162"/>
        </w:numPr>
        <w:spacing w:before="360" w:after="80"/>
        <w:outlineLvl w:val="0"/>
        <w:rPr>
          <w:rFonts w:eastAsia="Yu Gothic Light"/>
          <w:b/>
          <w:noProof/>
        </w:rPr>
      </w:pPr>
      <w:bookmarkStart w:id="497" w:name="_Toc195528732"/>
      <w:bookmarkStart w:id="498" w:name="_Toc207192549"/>
      <w:bookmarkStart w:id="499" w:name="_Toc212728849"/>
      <w:bookmarkStart w:id="500" w:name="_Toc212729123"/>
      <w:bookmarkStart w:id="501" w:name="_Toc212729375"/>
      <w:bookmarkStart w:id="502" w:name="_Toc215506319"/>
      <w:bookmarkStart w:id="503" w:name="_Toc222159370"/>
      <w:bookmarkStart w:id="504" w:name="_Toc222489538"/>
      <w:bookmarkStart w:id="505" w:name="_Toc222490027"/>
      <w:r w:rsidRPr="00D614EB">
        <w:rPr>
          <w:rFonts w:eastAsia="Yu Gothic Light"/>
          <w:b/>
          <w:noProof/>
        </w:rPr>
        <w:t>Overview of impacts on competitiveness</w:t>
      </w:r>
      <w:bookmarkEnd w:id="497"/>
      <w:bookmarkEnd w:id="498"/>
      <w:bookmarkEnd w:id="499"/>
      <w:bookmarkEnd w:id="500"/>
      <w:bookmarkEnd w:id="501"/>
      <w:bookmarkEnd w:id="502"/>
      <w:bookmarkEnd w:id="503"/>
      <w:bookmarkEnd w:id="504"/>
      <w:bookmarkEnd w:id="505"/>
      <w:r w:rsidRPr="00D614EB">
        <w:rPr>
          <w:rFonts w:eastAsia="Yu Gothic Light"/>
          <w:b/>
          <w:noProof/>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405"/>
        <w:gridCol w:w="3619"/>
      </w:tblGrid>
      <w:tr w:rsidR="00020031" w:rsidRPr="00F261DB" w14:paraId="1E524501" w14:textId="77777777" w:rsidTr="00020C03">
        <w:tc>
          <w:tcPr>
            <w:tcW w:w="1659" w:type="pct"/>
            <w:vAlign w:val="center"/>
          </w:tcPr>
          <w:p w14:paraId="114F3494" w14:textId="77777777" w:rsidR="00020031" w:rsidRPr="00F261DB" w:rsidRDefault="00020031">
            <w:pPr>
              <w:spacing w:before="60" w:after="60"/>
              <w:jc w:val="center"/>
              <w:rPr>
                <w:rFonts w:eastAsia="Aptos"/>
                <w:b/>
                <w:noProof/>
              </w:rPr>
            </w:pPr>
            <w:r w:rsidRPr="00F261DB">
              <w:rPr>
                <w:rFonts w:eastAsia="Aptos"/>
                <w:b/>
                <w:noProof/>
              </w:rPr>
              <w:t>Dimensions of Competitiveness</w:t>
            </w:r>
          </w:p>
        </w:tc>
        <w:tc>
          <w:tcPr>
            <w:tcW w:w="1334" w:type="pct"/>
            <w:vAlign w:val="center"/>
          </w:tcPr>
          <w:p w14:paraId="26A0C4F2" w14:textId="77777777" w:rsidR="00020031" w:rsidRPr="00F261DB" w:rsidRDefault="00020031">
            <w:pPr>
              <w:spacing w:before="60" w:after="60"/>
              <w:jc w:val="center"/>
              <w:rPr>
                <w:rFonts w:eastAsia="Aptos"/>
                <w:b/>
                <w:noProof/>
              </w:rPr>
            </w:pPr>
            <w:r w:rsidRPr="00F261DB">
              <w:rPr>
                <w:rFonts w:eastAsia="Aptos"/>
                <w:b/>
                <w:noProof/>
              </w:rPr>
              <w:t>Impact of the initiative</w:t>
            </w:r>
          </w:p>
          <w:p w14:paraId="00B02DB7" w14:textId="4179A1F7" w:rsidR="00020031" w:rsidRPr="00F261DB" w:rsidRDefault="00020031">
            <w:pPr>
              <w:spacing w:before="60" w:after="60"/>
              <w:jc w:val="center"/>
              <w:rPr>
                <w:rFonts w:eastAsia="Aptos"/>
                <w:b/>
                <w:noProof/>
              </w:rPr>
            </w:pPr>
            <w:r w:rsidRPr="00F261DB">
              <w:rPr>
                <w:rFonts w:eastAsia="Aptos"/>
                <w:b/>
                <w:noProof/>
              </w:rPr>
              <w:t xml:space="preserve">(++ / + / 0 / - / -- / </w:t>
            </w:r>
            <w:r w:rsidR="00F32331">
              <w:rPr>
                <w:rFonts w:eastAsia="Aptos"/>
                <w:b/>
                <w:noProof/>
              </w:rPr>
              <w:t xml:space="preserve">Not </w:t>
            </w:r>
            <w:r w:rsidR="00F32331" w:rsidRPr="49606F36">
              <w:rPr>
                <w:rFonts w:eastAsia="Aptos"/>
                <w:b/>
                <w:bCs/>
                <w:noProof/>
              </w:rPr>
              <w:t>available</w:t>
            </w:r>
            <w:r w:rsidRPr="49606F36">
              <w:rPr>
                <w:rFonts w:eastAsia="Aptos"/>
                <w:b/>
                <w:bCs/>
                <w:noProof/>
              </w:rPr>
              <w:t>)</w:t>
            </w:r>
          </w:p>
        </w:tc>
        <w:tc>
          <w:tcPr>
            <w:tcW w:w="2007" w:type="pct"/>
            <w:vAlign w:val="center"/>
          </w:tcPr>
          <w:p w14:paraId="01D688FF" w14:textId="77777777" w:rsidR="00020031" w:rsidRPr="00F261DB" w:rsidRDefault="00020031">
            <w:pPr>
              <w:spacing w:before="60" w:after="60"/>
              <w:jc w:val="center"/>
              <w:rPr>
                <w:rFonts w:eastAsia="Aptos"/>
                <w:b/>
                <w:noProof/>
              </w:rPr>
            </w:pPr>
            <w:r w:rsidRPr="00F261DB">
              <w:rPr>
                <w:rFonts w:eastAsia="Aptos"/>
                <w:b/>
                <w:noProof/>
              </w:rPr>
              <w:t>References to sub-sections of the main report or annexes</w:t>
            </w:r>
          </w:p>
        </w:tc>
      </w:tr>
      <w:tr w:rsidR="00020031" w:rsidRPr="00F261DB" w14:paraId="7E92546C" w14:textId="77777777" w:rsidTr="00020C03">
        <w:tc>
          <w:tcPr>
            <w:tcW w:w="1659" w:type="pct"/>
            <w:vAlign w:val="center"/>
          </w:tcPr>
          <w:p w14:paraId="552DF656" w14:textId="77777777" w:rsidR="00020031" w:rsidRPr="00F261DB" w:rsidRDefault="00020031">
            <w:pPr>
              <w:spacing w:before="60" w:after="60"/>
              <w:rPr>
                <w:rFonts w:eastAsia="Aptos"/>
                <w:noProof/>
              </w:rPr>
            </w:pPr>
            <w:r w:rsidRPr="00F261DB">
              <w:rPr>
                <w:rFonts w:eastAsia="Aptos"/>
                <w:noProof/>
              </w:rPr>
              <w:t>Cost and price competitiveness</w:t>
            </w:r>
          </w:p>
        </w:tc>
        <w:tc>
          <w:tcPr>
            <w:tcW w:w="1334" w:type="pct"/>
            <w:vAlign w:val="center"/>
          </w:tcPr>
          <w:p w14:paraId="5F5030EC" w14:textId="77777777" w:rsidR="00020031" w:rsidRPr="00F261DB" w:rsidRDefault="00020031">
            <w:pPr>
              <w:spacing w:before="60" w:after="60"/>
              <w:jc w:val="center"/>
              <w:rPr>
                <w:rFonts w:eastAsia="Aptos"/>
                <w:noProof/>
              </w:rPr>
            </w:pPr>
            <w:r w:rsidRPr="00F261DB">
              <w:rPr>
                <w:rFonts w:eastAsia="Aptos"/>
                <w:noProof/>
              </w:rPr>
              <w:t>0</w:t>
            </w:r>
          </w:p>
        </w:tc>
        <w:tc>
          <w:tcPr>
            <w:tcW w:w="2007" w:type="pct"/>
            <w:vAlign w:val="center"/>
          </w:tcPr>
          <w:p w14:paraId="2271B0A4" w14:textId="77777777" w:rsidR="00020031" w:rsidRPr="00F261DB" w:rsidRDefault="00020031">
            <w:pPr>
              <w:spacing w:before="60" w:after="60"/>
              <w:rPr>
                <w:rFonts w:eastAsia="Aptos"/>
                <w:noProof/>
              </w:rPr>
            </w:pPr>
            <w:r w:rsidRPr="00F261DB">
              <w:rPr>
                <w:rFonts w:eastAsia="Aptos"/>
                <w:noProof/>
              </w:rPr>
              <w:t>6.1.1.1; 6.1.1.2; 6.1.1.3; 6.2.1.1; 6.2.1.2; 6.2.1.3.</w:t>
            </w:r>
          </w:p>
        </w:tc>
      </w:tr>
      <w:tr w:rsidR="00020031" w:rsidRPr="00F261DB" w14:paraId="05707F8F" w14:textId="77777777" w:rsidTr="00020C03">
        <w:tc>
          <w:tcPr>
            <w:tcW w:w="1659" w:type="pct"/>
            <w:vAlign w:val="center"/>
          </w:tcPr>
          <w:p w14:paraId="4EBDB310" w14:textId="77777777" w:rsidR="00020031" w:rsidRPr="00F261DB" w:rsidRDefault="00020031">
            <w:pPr>
              <w:spacing w:before="60" w:after="60"/>
              <w:rPr>
                <w:rFonts w:eastAsia="Aptos"/>
                <w:noProof/>
              </w:rPr>
            </w:pPr>
            <w:r w:rsidRPr="00F261DB">
              <w:rPr>
                <w:rFonts w:eastAsia="Aptos"/>
                <w:noProof/>
              </w:rPr>
              <w:t xml:space="preserve">International competitiveness </w:t>
            </w:r>
          </w:p>
        </w:tc>
        <w:tc>
          <w:tcPr>
            <w:tcW w:w="1334" w:type="pct"/>
            <w:vAlign w:val="center"/>
          </w:tcPr>
          <w:p w14:paraId="5E8B4227" w14:textId="6F7DA7E8" w:rsidR="00020031" w:rsidRPr="00F261DB" w:rsidRDefault="00020031">
            <w:pPr>
              <w:spacing w:before="60" w:after="60"/>
              <w:jc w:val="center"/>
              <w:rPr>
                <w:rFonts w:eastAsia="Aptos"/>
                <w:b/>
                <w:noProof/>
              </w:rPr>
            </w:pPr>
            <w:r w:rsidRPr="00F261DB">
              <w:rPr>
                <w:rFonts w:eastAsia="Aptos"/>
                <w:b/>
                <w:noProof/>
              </w:rPr>
              <w:t>+</w:t>
            </w:r>
          </w:p>
        </w:tc>
        <w:tc>
          <w:tcPr>
            <w:tcW w:w="2007" w:type="pct"/>
            <w:vAlign w:val="center"/>
          </w:tcPr>
          <w:p w14:paraId="1F75CE1A" w14:textId="77777777" w:rsidR="00020031" w:rsidRPr="00F261DB" w:rsidRDefault="00020031">
            <w:pPr>
              <w:spacing w:before="60" w:after="60"/>
              <w:rPr>
                <w:rFonts w:eastAsia="Aptos"/>
                <w:noProof/>
              </w:rPr>
            </w:pPr>
            <w:r w:rsidRPr="00F261DB">
              <w:rPr>
                <w:rFonts w:eastAsia="Aptos"/>
                <w:noProof/>
              </w:rPr>
              <w:t>6.1.1.1; 6.1.1.6; 6.2.1.6; 6.2.1.8.</w:t>
            </w:r>
          </w:p>
        </w:tc>
      </w:tr>
      <w:tr w:rsidR="00020031" w:rsidRPr="00F261DB" w14:paraId="00BA954A" w14:textId="77777777" w:rsidTr="00020C03">
        <w:tc>
          <w:tcPr>
            <w:tcW w:w="1659" w:type="pct"/>
            <w:vAlign w:val="center"/>
          </w:tcPr>
          <w:p w14:paraId="47DA48B2" w14:textId="77777777" w:rsidR="00020031" w:rsidRPr="00F261DB" w:rsidRDefault="00020031">
            <w:pPr>
              <w:spacing w:before="60" w:after="60"/>
              <w:rPr>
                <w:rFonts w:eastAsia="Aptos"/>
                <w:noProof/>
              </w:rPr>
            </w:pPr>
            <w:r w:rsidRPr="00F261DB">
              <w:rPr>
                <w:rFonts w:eastAsia="Aptos"/>
                <w:noProof/>
              </w:rPr>
              <w:t>Capacity to innovate</w:t>
            </w:r>
          </w:p>
        </w:tc>
        <w:tc>
          <w:tcPr>
            <w:tcW w:w="1334" w:type="pct"/>
            <w:vAlign w:val="center"/>
          </w:tcPr>
          <w:p w14:paraId="1C23B3E7" w14:textId="77777777" w:rsidR="00020031" w:rsidRPr="00F261DB" w:rsidRDefault="00020031">
            <w:pPr>
              <w:spacing w:before="60" w:after="60"/>
              <w:jc w:val="center"/>
              <w:rPr>
                <w:rFonts w:eastAsia="Aptos"/>
                <w:b/>
                <w:noProof/>
              </w:rPr>
            </w:pPr>
            <w:r w:rsidRPr="00F261DB">
              <w:rPr>
                <w:rFonts w:eastAsia="Aptos"/>
                <w:b/>
                <w:noProof/>
              </w:rPr>
              <w:t>+</w:t>
            </w:r>
          </w:p>
        </w:tc>
        <w:tc>
          <w:tcPr>
            <w:tcW w:w="2007" w:type="pct"/>
            <w:vAlign w:val="center"/>
          </w:tcPr>
          <w:p w14:paraId="20B9533A" w14:textId="77777777" w:rsidR="00020031" w:rsidRPr="00F261DB" w:rsidRDefault="00020031">
            <w:pPr>
              <w:spacing w:before="60" w:after="60"/>
              <w:rPr>
                <w:rFonts w:eastAsia="Aptos"/>
                <w:noProof/>
              </w:rPr>
            </w:pPr>
            <w:r w:rsidRPr="00F261DB">
              <w:rPr>
                <w:rFonts w:eastAsia="Aptos"/>
                <w:noProof/>
              </w:rPr>
              <w:t>5.2; 6.1.1.1; 6.1.1.7; 6.1.1.2.</w:t>
            </w:r>
          </w:p>
        </w:tc>
      </w:tr>
      <w:tr w:rsidR="00020031" w:rsidRPr="00F261DB" w14:paraId="7DAC2A26" w14:textId="77777777" w:rsidTr="00020C03">
        <w:tc>
          <w:tcPr>
            <w:tcW w:w="1659" w:type="pct"/>
            <w:vAlign w:val="center"/>
          </w:tcPr>
          <w:p w14:paraId="10FDFAB9" w14:textId="77777777" w:rsidR="00020031" w:rsidRPr="00F261DB" w:rsidRDefault="00020031">
            <w:pPr>
              <w:spacing w:before="60" w:after="60"/>
              <w:rPr>
                <w:rFonts w:eastAsia="Aptos"/>
                <w:noProof/>
              </w:rPr>
            </w:pPr>
            <w:r w:rsidRPr="00F261DB">
              <w:rPr>
                <w:rFonts w:eastAsia="Aptos"/>
                <w:noProof/>
              </w:rPr>
              <w:t>SME competitiveness</w:t>
            </w:r>
          </w:p>
        </w:tc>
        <w:tc>
          <w:tcPr>
            <w:tcW w:w="1334" w:type="pct"/>
            <w:vAlign w:val="center"/>
          </w:tcPr>
          <w:p w14:paraId="7A883F94" w14:textId="77777777" w:rsidR="00020031" w:rsidRPr="00F261DB" w:rsidRDefault="00020031">
            <w:pPr>
              <w:spacing w:before="60" w:after="60"/>
              <w:jc w:val="center"/>
              <w:rPr>
                <w:rFonts w:eastAsia="Aptos"/>
                <w:b/>
                <w:noProof/>
              </w:rPr>
            </w:pPr>
            <w:r w:rsidRPr="00F261DB">
              <w:rPr>
                <w:rFonts w:eastAsia="Aptos"/>
                <w:b/>
                <w:noProof/>
              </w:rPr>
              <w:t>+</w:t>
            </w:r>
          </w:p>
        </w:tc>
        <w:tc>
          <w:tcPr>
            <w:tcW w:w="2007" w:type="pct"/>
            <w:vAlign w:val="center"/>
          </w:tcPr>
          <w:p w14:paraId="57FC1B32" w14:textId="77777777" w:rsidR="00020031" w:rsidRPr="00F261DB" w:rsidRDefault="00020031">
            <w:pPr>
              <w:spacing w:before="60" w:after="60"/>
              <w:rPr>
                <w:rFonts w:eastAsia="Aptos"/>
                <w:noProof/>
              </w:rPr>
            </w:pPr>
            <w:r w:rsidRPr="00F261DB">
              <w:rPr>
                <w:rFonts w:eastAsia="Aptos"/>
                <w:noProof/>
              </w:rPr>
              <w:t>6.1.1.4; 6.2.1.4.</w:t>
            </w:r>
          </w:p>
        </w:tc>
      </w:tr>
    </w:tbl>
    <w:p w14:paraId="50D9DD9A" w14:textId="77777777" w:rsidR="00020031" w:rsidRPr="00F261DB" w:rsidRDefault="00020031">
      <w:pPr>
        <w:pStyle w:val="JRCText"/>
        <w:jc w:val="both"/>
        <w:rPr>
          <w:rFonts w:ascii="Times New Roman" w:hAnsi="Times New Roman" w:cs="Times New Roman"/>
          <w:noProof/>
          <w:sz w:val="24"/>
          <w:szCs w:val="24"/>
        </w:rPr>
      </w:pPr>
      <w:bookmarkStart w:id="506" w:name="_Toc195528733"/>
    </w:p>
    <w:p w14:paraId="51174911" w14:textId="77777777" w:rsidR="00020031" w:rsidRPr="00F261DB" w:rsidRDefault="00020031" w:rsidP="00A11E4D">
      <w:pPr>
        <w:pStyle w:val="JRCText"/>
        <w:spacing w:after="0" w:line="240" w:lineRule="auto"/>
        <w:jc w:val="both"/>
        <w:rPr>
          <w:rFonts w:ascii="Times New Roman" w:hAnsi="Times New Roman" w:cs="Times New Roman"/>
          <w:b/>
          <w:i/>
          <w:noProof/>
          <w:sz w:val="24"/>
          <w:szCs w:val="24"/>
        </w:rPr>
      </w:pPr>
      <w:r w:rsidRPr="00F261DB">
        <w:rPr>
          <w:rFonts w:ascii="Times New Roman" w:hAnsi="Times New Roman" w:cs="Times New Roman"/>
          <w:b/>
          <w:i/>
          <w:noProof/>
          <w:sz w:val="24"/>
          <w:szCs w:val="24"/>
        </w:rPr>
        <w:t>Synthetic assessment</w:t>
      </w:r>
      <w:bookmarkEnd w:id="506"/>
      <w:r w:rsidRPr="00F261DB">
        <w:rPr>
          <w:rFonts w:ascii="Times New Roman" w:hAnsi="Times New Roman" w:cs="Times New Roman"/>
          <w:b/>
          <w:i/>
          <w:noProof/>
          <w:sz w:val="24"/>
          <w:szCs w:val="24"/>
        </w:rPr>
        <w:t xml:space="preserve"> </w:t>
      </w:r>
    </w:p>
    <w:p w14:paraId="58FC7A01" w14:textId="77777777" w:rsidR="00A11E4D" w:rsidRPr="00F261DB" w:rsidRDefault="00A11E4D" w:rsidP="00A11E4D">
      <w:pPr>
        <w:pStyle w:val="JRCText"/>
        <w:spacing w:after="0" w:line="240" w:lineRule="auto"/>
        <w:jc w:val="both"/>
        <w:rPr>
          <w:rFonts w:ascii="Times New Roman" w:hAnsi="Times New Roman" w:cs="Times New Roman"/>
          <w:b/>
          <w:i/>
          <w:noProof/>
          <w:sz w:val="24"/>
          <w:szCs w:val="24"/>
        </w:rPr>
      </w:pPr>
    </w:p>
    <w:p w14:paraId="055AEF24" w14:textId="77777777" w:rsidR="00020031" w:rsidRPr="00F261DB" w:rsidRDefault="00020031" w:rsidP="00A11E4D">
      <w:pPr>
        <w:pStyle w:val="JRCText"/>
        <w:spacing w:after="0" w:line="240" w:lineRule="auto"/>
        <w:jc w:val="both"/>
        <w:rPr>
          <w:rFonts w:ascii="Times New Roman" w:hAnsi="Times New Roman" w:cs="Times New Roman"/>
          <w:noProof/>
          <w:sz w:val="24"/>
          <w:szCs w:val="24"/>
          <w:u w:val="single"/>
        </w:rPr>
      </w:pPr>
      <w:r w:rsidRPr="00F261DB">
        <w:rPr>
          <w:rFonts w:ascii="Times New Roman" w:hAnsi="Times New Roman" w:cs="Times New Roman"/>
          <w:noProof/>
          <w:sz w:val="24"/>
          <w:szCs w:val="24"/>
          <w:u w:val="single"/>
        </w:rPr>
        <w:t>Cost and price competitiveness</w:t>
      </w:r>
    </w:p>
    <w:p w14:paraId="0C94E304" w14:textId="77777777" w:rsidR="00020031" w:rsidRPr="00F261DB" w:rsidRDefault="00020031" w:rsidP="00A11E4D">
      <w:pPr>
        <w:pStyle w:val="JRCText"/>
        <w:spacing w:after="0" w:line="240" w:lineRule="auto"/>
        <w:jc w:val="both"/>
        <w:rPr>
          <w:rFonts w:ascii="Times New Roman" w:hAnsi="Times New Roman" w:cs="Times New Roman"/>
          <w:noProof/>
          <w:sz w:val="24"/>
          <w:szCs w:val="24"/>
          <w:u w:val="single"/>
        </w:rPr>
      </w:pPr>
    </w:p>
    <w:p w14:paraId="46D5C700" w14:textId="77777777" w:rsidR="00020031" w:rsidRPr="00F261DB" w:rsidRDefault="00020031" w:rsidP="00925C80">
      <w:pPr>
        <w:spacing w:after="120"/>
        <w:rPr>
          <w:rFonts w:cs="Times New Roman"/>
          <w:noProof/>
          <w:szCs w:val="24"/>
        </w:rPr>
      </w:pPr>
      <w:r w:rsidRPr="00F261DB">
        <w:rPr>
          <w:rFonts w:cs="Times New Roman"/>
          <w:noProof/>
          <w:szCs w:val="24"/>
        </w:rPr>
        <w:t>The impacts on cost and price competitiveness primarily arise from the creation of lead markets (</w:t>
      </w:r>
      <w:r w:rsidRPr="00F261DB">
        <w:rPr>
          <w:rFonts w:cs="Times New Roman"/>
          <w:b/>
          <w:noProof/>
          <w:szCs w:val="24"/>
        </w:rPr>
        <w:t>SO2</w:t>
      </w:r>
      <w:r w:rsidRPr="00F261DB">
        <w:rPr>
          <w:rFonts w:cs="Times New Roman"/>
          <w:noProof/>
          <w:szCs w:val="24"/>
        </w:rPr>
        <w:t xml:space="preserve">) and </w:t>
      </w:r>
      <w:r w:rsidRPr="00925C80">
        <w:rPr>
          <w:rFonts w:eastAsia="Times New Roman" w:cs="Times New Roman"/>
          <w:noProof/>
        </w:rPr>
        <w:t>maximising</w:t>
      </w:r>
      <w:r w:rsidRPr="00F261DB">
        <w:rPr>
          <w:rFonts w:cs="Times New Roman"/>
          <w:noProof/>
          <w:szCs w:val="24"/>
        </w:rPr>
        <w:t xml:space="preserve"> benefits of foreign investments in the EU (</w:t>
      </w:r>
      <w:r w:rsidRPr="00F261DB">
        <w:rPr>
          <w:rFonts w:cs="Times New Roman"/>
          <w:b/>
          <w:noProof/>
          <w:szCs w:val="24"/>
        </w:rPr>
        <w:t>SO3</w:t>
      </w:r>
      <w:r w:rsidRPr="00F261DB">
        <w:rPr>
          <w:rFonts w:cs="Times New Roman"/>
          <w:noProof/>
          <w:szCs w:val="24"/>
        </w:rPr>
        <w:t xml:space="preserve">). </w:t>
      </w:r>
    </w:p>
    <w:p w14:paraId="432B0E42" w14:textId="01AA8EE7" w:rsidR="00020031" w:rsidRPr="00F261DB" w:rsidRDefault="00020031" w:rsidP="00925C80">
      <w:pPr>
        <w:spacing w:after="120"/>
        <w:rPr>
          <w:rFonts w:cs="Times New Roman"/>
          <w:noProof/>
          <w:szCs w:val="24"/>
        </w:rPr>
      </w:pPr>
      <w:r w:rsidRPr="00F261DB">
        <w:rPr>
          <w:rFonts w:eastAsia="Yu Gothic Light" w:cs="Times New Roman"/>
          <w:noProof/>
          <w:szCs w:val="24"/>
        </w:rPr>
        <w:t xml:space="preserve">In terms of lead market development, </w:t>
      </w:r>
      <w:r w:rsidRPr="00F261DB">
        <w:rPr>
          <w:rFonts w:eastAsia="Yu Gothic Light" w:cs="Times New Roman"/>
          <w:b/>
          <w:noProof/>
          <w:szCs w:val="24"/>
        </w:rPr>
        <w:t>low-carbon requirements for EIIs</w:t>
      </w:r>
      <w:r w:rsidRPr="00F261DB">
        <w:rPr>
          <w:rFonts w:eastAsia="Yu Gothic Light" w:cs="Times New Roman"/>
          <w:noProof/>
          <w:szCs w:val="24"/>
        </w:rPr>
        <w:t xml:space="preserve"> for products put on the market </w:t>
      </w:r>
      <w:r w:rsidRPr="00925C80">
        <w:rPr>
          <w:rFonts w:cs="Times New Roman"/>
          <w:noProof/>
          <w:szCs w:val="24"/>
        </w:rPr>
        <w:t>will</w:t>
      </w:r>
      <w:r w:rsidRPr="00F261DB">
        <w:rPr>
          <w:rFonts w:eastAsia="Yu Gothic Light" w:cs="Times New Roman"/>
          <w:noProof/>
          <w:szCs w:val="24"/>
        </w:rPr>
        <w:t xml:space="preserve"> affect product prices across various downstream sectors. However, as outlined in </w:t>
      </w:r>
      <w:r w:rsidR="00E8682E">
        <w:rPr>
          <w:rFonts w:eastAsia="Yu Gothic Light" w:cs="Times New Roman"/>
          <w:noProof/>
          <w:szCs w:val="24"/>
        </w:rPr>
        <w:t>Section</w:t>
      </w:r>
      <w:r w:rsidRPr="00F261DB">
        <w:rPr>
          <w:rFonts w:eastAsia="Yu Gothic Light" w:cs="Times New Roman"/>
          <w:noProof/>
          <w:szCs w:val="24"/>
        </w:rPr>
        <w:t xml:space="preserve"> 6, available estimates suggest these impacts are expected to remain limited:</w:t>
      </w:r>
    </w:p>
    <w:p w14:paraId="4B308422" w14:textId="723C00E6" w:rsidR="00020031" w:rsidRPr="00FF63D1" w:rsidRDefault="00535A02" w:rsidP="00925C80">
      <w:pPr>
        <w:pStyle w:val="ListParagraph"/>
        <w:numPr>
          <w:ilvl w:val="0"/>
          <w:numId w:val="42"/>
        </w:numPr>
        <w:rPr>
          <w:rFonts w:cs="Times New Roman"/>
          <w:noProof/>
          <w:szCs w:val="24"/>
        </w:rPr>
      </w:pPr>
      <w:r w:rsidRPr="00020C03">
        <w:rPr>
          <w:rFonts w:eastAsia="Yu Gothic Light" w:cs="Times New Roman"/>
          <w:noProof/>
          <w:szCs w:val="24"/>
        </w:rPr>
        <w:t>0.</w:t>
      </w:r>
      <w:r w:rsidR="00CA5119">
        <w:rPr>
          <w:rFonts w:eastAsia="Yu Gothic Light" w:cs="Times New Roman"/>
          <w:noProof/>
          <w:szCs w:val="24"/>
        </w:rPr>
        <w:t>2</w:t>
      </w:r>
      <w:r w:rsidRPr="00020C03">
        <w:rPr>
          <w:rFonts w:eastAsia="Yu Gothic Light" w:cs="Times New Roman"/>
          <w:noProof/>
          <w:szCs w:val="24"/>
        </w:rPr>
        <w:t>25</w:t>
      </w:r>
      <w:r w:rsidRPr="00925C80">
        <w:rPr>
          <w:rFonts w:cs="Times New Roman"/>
          <w:noProof/>
          <w:szCs w:val="24"/>
        </w:rPr>
        <w:t xml:space="preserve">% increase in price increase in the </w:t>
      </w:r>
      <w:r w:rsidR="00020031" w:rsidRPr="00925C80">
        <w:rPr>
          <w:rFonts w:cs="Times New Roman"/>
          <w:noProof/>
          <w:szCs w:val="24"/>
        </w:rPr>
        <w:t>cost of passenger vehicles</w:t>
      </w:r>
      <w:r w:rsidR="0078029E" w:rsidRPr="00FF63D1">
        <w:rPr>
          <w:rFonts w:cs="Times New Roman"/>
          <w:noProof/>
          <w:szCs w:val="24"/>
        </w:rPr>
        <w:t xml:space="preserve"> from low-carbon steel</w:t>
      </w:r>
      <w:r w:rsidR="00EA5CF7">
        <w:rPr>
          <w:rFonts w:cs="Times New Roman"/>
          <w:noProof/>
          <w:szCs w:val="24"/>
        </w:rPr>
        <w:t xml:space="preserve"> and aluminium</w:t>
      </w:r>
      <w:r w:rsidR="00013B4A" w:rsidRPr="00925C80">
        <w:rPr>
          <w:rFonts w:cs="Times New Roman"/>
          <w:noProof/>
          <w:szCs w:val="24"/>
        </w:rPr>
        <w:t>.</w:t>
      </w:r>
      <w:r w:rsidR="00020031" w:rsidRPr="00925C80">
        <w:rPr>
          <w:rFonts w:cs="Times New Roman"/>
          <w:noProof/>
          <w:szCs w:val="24"/>
        </w:rPr>
        <w:t xml:space="preserve"> </w:t>
      </w:r>
    </w:p>
    <w:p w14:paraId="1F49D782" w14:textId="6A4ECD05" w:rsidR="00020031" w:rsidRPr="00F261DB" w:rsidRDefault="0078029E" w:rsidP="00925C80">
      <w:pPr>
        <w:pStyle w:val="ListParagraph"/>
        <w:numPr>
          <w:ilvl w:val="0"/>
          <w:numId w:val="42"/>
        </w:numPr>
        <w:rPr>
          <w:rFonts w:cs="Times New Roman"/>
          <w:noProof/>
          <w:szCs w:val="24"/>
        </w:rPr>
      </w:pPr>
      <w:r w:rsidRPr="00FF63D1">
        <w:rPr>
          <w:rFonts w:cs="Times New Roman"/>
          <w:noProof/>
          <w:szCs w:val="24"/>
        </w:rPr>
        <w:t>0.</w:t>
      </w:r>
      <w:r w:rsidR="00CA5119">
        <w:rPr>
          <w:rFonts w:cs="Times New Roman"/>
          <w:noProof/>
          <w:szCs w:val="24"/>
        </w:rPr>
        <w:t>4</w:t>
      </w:r>
      <w:r w:rsidRPr="00FF63D1">
        <w:rPr>
          <w:rFonts w:cs="Times New Roman"/>
          <w:noProof/>
          <w:szCs w:val="24"/>
        </w:rPr>
        <w:t xml:space="preserve">5% </w:t>
      </w:r>
      <w:r w:rsidR="00101F2E" w:rsidRPr="00FF63D1">
        <w:rPr>
          <w:rFonts w:cs="Times New Roman"/>
          <w:noProof/>
          <w:szCs w:val="24"/>
        </w:rPr>
        <w:t>total increase price construction</w:t>
      </w:r>
      <w:r w:rsidRPr="00FF63D1">
        <w:rPr>
          <w:rFonts w:cs="Times New Roman"/>
          <w:noProof/>
          <w:szCs w:val="24"/>
        </w:rPr>
        <w:t xml:space="preserve"> project from low-carbon steel</w:t>
      </w:r>
      <w:r w:rsidR="00EA5CF7">
        <w:rPr>
          <w:rFonts w:cs="Times New Roman"/>
          <w:noProof/>
          <w:szCs w:val="24"/>
        </w:rPr>
        <w:t>,</w:t>
      </w:r>
      <w:r w:rsidRPr="00FF63D1">
        <w:rPr>
          <w:rFonts w:cs="Times New Roman"/>
          <w:noProof/>
          <w:szCs w:val="24"/>
        </w:rPr>
        <w:t xml:space="preserve"> </w:t>
      </w:r>
      <w:r w:rsidR="00C4171B">
        <w:rPr>
          <w:rFonts w:cs="Times New Roman"/>
          <w:noProof/>
          <w:szCs w:val="24"/>
        </w:rPr>
        <w:t>aluminium</w:t>
      </w:r>
      <w:r w:rsidRPr="00FF63D1">
        <w:rPr>
          <w:rFonts w:cs="Times New Roman"/>
          <w:noProof/>
          <w:szCs w:val="24"/>
        </w:rPr>
        <w:t xml:space="preserve"> and cement</w:t>
      </w:r>
      <w:r w:rsidR="00101F2E" w:rsidRPr="00FF63D1">
        <w:rPr>
          <w:rFonts w:cs="Times New Roman"/>
          <w:noProof/>
          <w:szCs w:val="24"/>
        </w:rPr>
        <w:t xml:space="preserve">: </w:t>
      </w:r>
    </w:p>
    <w:p w14:paraId="6EDD50D1" w14:textId="77777777" w:rsidR="00020031" w:rsidRPr="00F261DB" w:rsidRDefault="00020031" w:rsidP="00C22E53">
      <w:pPr>
        <w:pStyle w:val="JRCText"/>
        <w:spacing w:after="0" w:line="240" w:lineRule="auto"/>
        <w:jc w:val="both"/>
        <w:rPr>
          <w:rFonts w:ascii="Times New Roman" w:eastAsia="Yu Gothic Light" w:hAnsi="Times New Roman" w:cs="Times New Roman"/>
          <w:noProof/>
          <w:sz w:val="24"/>
          <w:szCs w:val="24"/>
        </w:rPr>
      </w:pPr>
    </w:p>
    <w:p w14:paraId="3B7263C7" w14:textId="77777777" w:rsidR="00020031" w:rsidRPr="00F261DB" w:rsidRDefault="404A2814" w:rsidP="00925C80">
      <w:pPr>
        <w:spacing w:after="120"/>
        <w:rPr>
          <w:rFonts w:eastAsia="Yu Gothic Light" w:cs="Times New Roman"/>
          <w:noProof/>
          <w:szCs w:val="24"/>
        </w:rPr>
      </w:pPr>
      <w:r w:rsidRPr="1A2A8689">
        <w:rPr>
          <w:rFonts w:eastAsia="Yu Gothic Light" w:cs="Times New Roman"/>
          <w:noProof/>
        </w:rPr>
        <w:t>Over time, the cost premium associated with low-carbon materials is expected to decline</w:t>
      </w:r>
      <w:r w:rsidR="00020031" w:rsidRPr="1A2A8689">
        <w:rPr>
          <w:rStyle w:val="FootnoteReference"/>
          <w:rFonts w:eastAsia="Yu Gothic Light" w:cs="Times New Roman"/>
          <w:noProof/>
        </w:rPr>
        <w:footnoteReference w:id="318"/>
      </w:r>
      <w:r w:rsidRPr="1A2A8689">
        <w:rPr>
          <w:rFonts w:eastAsia="Yu Gothic Light" w:cs="Times New Roman"/>
          <w:noProof/>
        </w:rPr>
        <w:t>, while carbon-intensive production methods will likely become more expensive due to rising CO₂ prices – gradually narrowing the cost gap between conventional and low-carbon alternatives. Therefore, the impact on costs and prices will be visible in the short term, while in the long term it will tend to neutralise, helping companies to improve their competitiveness.</w:t>
      </w:r>
    </w:p>
    <w:p w14:paraId="4AC4EF40" w14:textId="0FE7B9D4" w:rsidR="00020031" w:rsidRPr="00F261DB" w:rsidRDefault="00020031" w:rsidP="00925C80">
      <w:pPr>
        <w:spacing w:after="120"/>
        <w:rPr>
          <w:noProof/>
        </w:rPr>
      </w:pPr>
      <w:r w:rsidRPr="00F261DB">
        <w:rPr>
          <w:rFonts w:eastAsia="Yu Gothic Light"/>
          <w:noProof/>
        </w:rPr>
        <w:t xml:space="preserve">Introducing </w:t>
      </w:r>
      <w:r w:rsidR="00281489">
        <w:rPr>
          <w:rFonts w:eastAsia="Yu Gothic Light"/>
          <w:b/>
          <w:noProof/>
        </w:rPr>
        <w:t>Made in EU</w:t>
      </w:r>
      <w:r w:rsidRPr="00F261DB">
        <w:rPr>
          <w:rFonts w:eastAsia="Yu Gothic Light"/>
          <w:b/>
          <w:noProof/>
        </w:rPr>
        <w:t xml:space="preserve"> requirements in EIIs, batteries</w:t>
      </w:r>
      <w:r w:rsidRPr="00F261DB">
        <w:rPr>
          <w:rFonts w:eastAsia="Yu Gothic Light"/>
          <w:noProof/>
        </w:rPr>
        <w:t xml:space="preserve"> </w:t>
      </w:r>
      <w:r w:rsidRPr="00995886">
        <w:rPr>
          <w:rFonts w:eastAsia="Yu Gothic Light"/>
          <w:b/>
          <w:noProof/>
        </w:rPr>
        <w:t>and solar</w:t>
      </w:r>
      <w:r>
        <w:rPr>
          <w:rFonts w:eastAsia="Yu Gothic Light"/>
          <w:b/>
          <w:noProof/>
        </w:rPr>
        <w:t xml:space="preserve"> </w:t>
      </w:r>
      <w:r w:rsidR="00B05C30">
        <w:rPr>
          <w:rFonts w:eastAsia="Yu Gothic Light"/>
          <w:b/>
          <w:bCs/>
          <w:noProof/>
        </w:rPr>
        <w:t>panels</w:t>
      </w:r>
      <w:r w:rsidRPr="00F261DB">
        <w:rPr>
          <w:rFonts w:eastAsia="Yu Gothic Light"/>
          <w:noProof/>
        </w:rPr>
        <w:t xml:space="preserve"> for public procurement, auctions and public support schemes will also have cost implications – although the phased approach </w:t>
      </w:r>
      <w:r w:rsidRPr="00F261DB">
        <w:rPr>
          <w:noProof/>
        </w:rPr>
        <w:t>would ensure that the costs of the final product are not significantly increased.</w:t>
      </w:r>
    </w:p>
    <w:p w14:paraId="2FF084F6" w14:textId="006AEEB2" w:rsidR="00020031" w:rsidRPr="00F261DB" w:rsidRDefault="545C8C3C" w:rsidP="00925C80">
      <w:pPr>
        <w:pStyle w:val="ListParagraph"/>
        <w:numPr>
          <w:ilvl w:val="0"/>
          <w:numId w:val="42"/>
        </w:numPr>
        <w:rPr>
          <w:noProof/>
        </w:rPr>
      </w:pPr>
      <w:r w:rsidRPr="00F261DB">
        <w:rPr>
          <w:noProof/>
        </w:rPr>
        <w:t xml:space="preserve">Using EU made battery cells </w:t>
      </w:r>
      <w:r w:rsidR="000464AC" w:rsidRPr="00F261DB">
        <w:rPr>
          <w:noProof/>
        </w:rPr>
        <w:t xml:space="preserve">with both local cathode and anode active materials </w:t>
      </w:r>
      <w:r w:rsidRPr="00F261DB">
        <w:rPr>
          <w:noProof/>
        </w:rPr>
        <w:t>would increase total downstream product</w:t>
      </w:r>
      <w:r w:rsidR="00B429DC" w:rsidRPr="00F261DB">
        <w:rPr>
          <w:noProof/>
        </w:rPr>
        <w:t>s costs if compared with China</w:t>
      </w:r>
      <w:r w:rsidRPr="00F261DB">
        <w:rPr>
          <w:noProof/>
        </w:rPr>
        <w:t xml:space="preserve"> by approximately </w:t>
      </w:r>
      <w:r w:rsidR="00C17EB4" w:rsidRPr="00F261DB">
        <w:rPr>
          <w:noProof/>
        </w:rPr>
        <w:t>16-30 EUR/kWh. However, due</w:t>
      </w:r>
      <w:r w:rsidRPr="00F261DB">
        <w:rPr>
          <w:noProof/>
        </w:rPr>
        <w:t xml:space="preserve"> to </w:t>
      </w:r>
      <w:r w:rsidR="00C17EB4" w:rsidRPr="00F261DB">
        <w:rPr>
          <w:noProof/>
        </w:rPr>
        <w:t>projected price decreases in battery cells</w:t>
      </w:r>
      <w:r w:rsidR="003D6F2C" w:rsidRPr="00F261DB">
        <w:rPr>
          <w:noProof/>
        </w:rPr>
        <w:t xml:space="preserve"> </w:t>
      </w:r>
      <w:r w:rsidR="00B429DC" w:rsidRPr="00F261DB">
        <w:rPr>
          <w:noProof/>
        </w:rPr>
        <w:t xml:space="preserve">the total cost differential with China is expected </w:t>
      </w:r>
      <w:r w:rsidRPr="00F261DB">
        <w:rPr>
          <w:noProof/>
        </w:rPr>
        <w:t xml:space="preserve">to </w:t>
      </w:r>
      <w:r w:rsidR="00B429DC" w:rsidRPr="00F261DB">
        <w:rPr>
          <w:noProof/>
        </w:rPr>
        <w:t>decrease, ranging between 11-21 EUR/kWh in 2028, 9-17 EUR/kWh in 2030</w:t>
      </w:r>
      <w:r w:rsidRPr="00F261DB">
        <w:rPr>
          <w:noProof/>
        </w:rPr>
        <w:t xml:space="preserve">, and </w:t>
      </w:r>
      <w:r w:rsidR="00B429DC" w:rsidRPr="00F261DB">
        <w:rPr>
          <w:noProof/>
        </w:rPr>
        <w:t>between 6-12 EUR/kWh in 2035.</w:t>
      </w:r>
    </w:p>
    <w:p w14:paraId="3929A0DE" w14:textId="77777777" w:rsidR="00020031" w:rsidRPr="00F261DB" w:rsidRDefault="00020031" w:rsidP="00020C03">
      <w:pPr>
        <w:rPr>
          <w:noProof/>
        </w:rPr>
      </w:pPr>
    </w:p>
    <w:p w14:paraId="0D0D422A" w14:textId="47D0B403" w:rsidR="00020031" w:rsidRPr="00F261DB" w:rsidRDefault="00020031" w:rsidP="00925C80">
      <w:pPr>
        <w:spacing w:after="120"/>
        <w:rPr>
          <w:noProof/>
        </w:rPr>
      </w:pPr>
      <w:r w:rsidRPr="00F261DB">
        <w:rPr>
          <w:noProof/>
        </w:rPr>
        <w:t xml:space="preserve">Similarly, </w:t>
      </w:r>
      <w:r w:rsidR="00281489">
        <w:rPr>
          <w:noProof/>
        </w:rPr>
        <w:t>Made in EU</w:t>
      </w:r>
      <w:r w:rsidRPr="00F261DB">
        <w:rPr>
          <w:noProof/>
        </w:rPr>
        <w:t xml:space="preserve"> requirements for solar </w:t>
      </w:r>
      <w:r w:rsidR="0030662E" w:rsidRPr="00F261DB">
        <w:rPr>
          <w:noProof/>
        </w:rPr>
        <w:t>PV</w:t>
      </w:r>
      <w:r w:rsidR="00851182" w:rsidRPr="00F261DB">
        <w:rPr>
          <w:noProof/>
        </w:rPr>
        <w:t xml:space="preserve"> </w:t>
      </w:r>
      <w:r w:rsidRPr="00F261DB">
        <w:rPr>
          <w:rFonts w:eastAsia="Times New Roman"/>
          <w:noProof/>
        </w:rPr>
        <w:t xml:space="preserve">would </w:t>
      </w:r>
      <w:r w:rsidRPr="00F261DB">
        <w:rPr>
          <w:noProof/>
        </w:rPr>
        <w:t>modestly increase the overall cost of a PV module in public procurement</w:t>
      </w:r>
      <w:r w:rsidR="0030662E" w:rsidRPr="00F261DB">
        <w:rPr>
          <w:noProof/>
        </w:rPr>
        <w:t>, public support schemes</w:t>
      </w:r>
      <w:r w:rsidRPr="00F261DB">
        <w:rPr>
          <w:noProof/>
        </w:rPr>
        <w:t xml:space="preserve"> and auction</w:t>
      </w:r>
      <w:r w:rsidR="006E5538" w:rsidRPr="00F261DB">
        <w:rPr>
          <w:noProof/>
        </w:rPr>
        <w:t>s</w:t>
      </w:r>
      <w:r w:rsidRPr="00F261DB">
        <w:rPr>
          <w:noProof/>
        </w:rPr>
        <w:t xml:space="preserve">. </w:t>
      </w:r>
    </w:p>
    <w:p w14:paraId="332233AB" w14:textId="3651658B" w:rsidR="00C2611A" w:rsidRDefault="00FB3E5E" w:rsidP="00925C80">
      <w:pPr>
        <w:pStyle w:val="ListParagraph"/>
        <w:numPr>
          <w:ilvl w:val="0"/>
          <w:numId w:val="42"/>
        </w:numPr>
        <w:rPr>
          <w:noProof/>
        </w:rPr>
      </w:pPr>
      <w:r w:rsidRPr="00F261DB">
        <w:rPr>
          <w:noProof/>
        </w:rPr>
        <w:lastRenderedPageBreak/>
        <w:t xml:space="preserve">Chinese solar modules are currently offered in Europe at approximately 8.7 €ct/Wp, which is significantly below their estimated sustainable production cost of 15.9 €ct/Wp in China and 16.5 €ct/Wp in Southeast Asia. By comparison, a module manufactured in the </w:t>
      </w:r>
      <w:r w:rsidR="003C6DB5">
        <w:rPr>
          <w:noProof/>
        </w:rPr>
        <w:t xml:space="preserve">EU </w:t>
      </w:r>
      <w:r w:rsidR="00E23D7D" w:rsidRPr="00F261DB">
        <w:rPr>
          <w:noProof/>
        </w:rPr>
        <w:t xml:space="preserve">compliant with the </w:t>
      </w:r>
      <w:r w:rsidRPr="00F261DB">
        <w:rPr>
          <w:noProof/>
        </w:rPr>
        <w:t xml:space="preserve">Policy Option 1 </w:t>
      </w:r>
      <w:r w:rsidR="00E23D7D" w:rsidRPr="00F261DB">
        <w:rPr>
          <w:noProof/>
        </w:rPr>
        <w:t xml:space="preserve">and 2 </w:t>
      </w:r>
      <w:r w:rsidR="00D765BF" w:rsidRPr="00F261DB">
        <w:rPr>
          <w:noProof/>
        </w:rPr>
        <w:t>(ie combining EU manufacturing of inverters, cells and modules with Chinese polysilicon, ingot and wafers)</w:t>
      </w:r>
      <w:r w:rsidR="00E23D7D" w:rsidRPr="00F261DB">
        <w:rPr>
          <w:noProof/>
        </w:rPr>
        <w:t xml:space="preserve"> </w:t>
      </w:r>
      <w:r w:rsidRPr="00F261DB">
        <w:rPr>
          <w:noProof/>
        </w:rPr>
        <w:t>is estimated to cost around 19 €ct/Wp. Once Chinese market prices return to their sustainable level, the price differential between EU-made and imported modules would therefore be moderate rather than disproportionate.</w:t>
      </w:r>
    </w:p>
    <w:p w14:paraId="3522FDAB" w14:textId="77777777" w:rsidR="00925C80" w:rsidRPr="00F261DB" w:rsidRDefault="00925C80" w:rsidP="00925C80">
      <w:pPr>
        <w:pStyle w:val="ListParagraph"/>
        <w:rPr>
          <w:noProof/>
        </w:rPr>
      </w:pPr>
    </w:p>
    <w:p w14:paraId="3E0B6925" w14:textId="77777777" w:rsidR="00020031" w:rsidRPr="00F261DB" w:rsidRDefault="00020031" w:rsidP="00925C80">
      <w:pPr>
        <w:spacing w:after="120"/>
        <w:rPr>
          <w:noProof/>
        </w:rPr>
      </w:pPr>
      <w:r w:rsidRPr="00F261DB">
        <w:rPr>
          <w:noProof/>
        </w:rPr>
        <w:t>While a price gap with non-EU imports may initially persist, this is expected to narrow as European manufacturers scale up, vertically integrate and improve cost competitiveness.</w:t>
      </w:r>
    </w:p>
    <w:p w14:paraId="37E17F27" w14:textId="29C6B523" w:rsidR="00020031" w:rsidRPr="00F261DB" w:rsidRDefault="00020031" w:rsidP="00925C80">
      <w:pPr>
        <w:spacing w:after="120"/>
        <w:rPr>
          <w:noProof/>
        </w:rPr>
      </w:pPr>
      <w:r w:rsidRPr="00F261DB">
        <w:rPr>
          <w:noProof/>
        </w:rPr>
        <w:t>Regarding</w:t>
      </w:r>
      <w:r w:rsidRPr="00F261DB">
        <w:rPr>
          <w:b/>
          <w:noProof/>
        </w:rPr>
        <w:t xml:space="preserve"> </w:t>
      </w:r>
      <w:r w:rsidR="00CF73C5">
        <w:rPr>
          <w:b/>
          <w:noProof/>
        </w:rPr>
        <w:t>FDI</w:t>
      </w:r>
      <w:r w:rsidRPr="00F261DB">
        <w:rPr>
          <w:b/>
          <w:noProof/>
        </w:rPr>
        <w:t xml:space="preserve"> conditionalities</w:t>
      </w:r>
      <w:r w:rsidRPr="00F261DB">
        <w:rPr>
          <w:noProof/>
        </w:rPr>
        <w:t>, measures that may restrict supply based on value-added production or securing critical value chains may raise the price of certain products, particularly in the short term, as local supply chains adjust to new FDI-driven demand. However, a more harmonised and predictable investment framework is expected to yield longer-term benefits for industry, including on their competitiveness in strategic supply chains, outweighing the operational costs of complying with such conditionalities.</w:t>
      </w:r>
      <w:r w:rsidR="004D7FB5" w:rsidRPr="00FF63D1">
        <w:rPr>
          <w:noProof/>
        </w:rPr>
        <w:t xml:space="preserve"> </w:t>
      </w:r>
      <w:r w:rsidRPr="00F261DB">
        <w:rPr>
          <w:b/>
          <w:noProof/>
        </w:rPr>
        <w:t xml:space="preserve">Streamlined permitting provisions </w:t>
      </w:r>
      <w:r w:rsidRPr="00F261DB">
        <w:rPr>
          <w:noProof/>
        </w:rPr>
        <w:t>will also accelerate decarbonisation investments across industrial manufacturing sectors, facilitating compliance with EU climate objectives and increasing the shift towards a low</w:t>
      </w:r>
      <w:r w:rsidR="00C02FCB">
        <w:rPr>
          <w:noProof/>
        </w:rPr>
        <w:t>-</w:t>
      </w:r>
      <w:r w:rsidRPr="00F261DB">
        <w:rPr>
          <w:noProof/>
        </w:rPr>
        <w:t xml:space="preserve">carbon economy. </w:t>
      </w:r>
    </w:p>
    <w:p w14:paraId="722F28FF" w14:textId="77777777" w:rsidR="00020031" w:rsidRPr="00F261DB" w:rsidRDefault="00020031" w:rsidP="00925C80">
      <w:pPr>
        <w:spacing w:after="120"/>
        <w:rPr>
          <w:noProof/>
        </w:rPr>
      </w:pPr>
      <w:r w:rsidRPr="00F261DB">
        <w:rPr>
          <w:noProof/>
        </w:rPr>
        <w:t>The preferred policy option is expected to significantly strengthen the competitiveness of EU EIIs and clean tech manufacturers (batteries and solar cells) by securing demand and supporting investment within EU value chains (</w:t>
      </w:r>
      <w:r w:rsidRPr="00F261DB">
        <w:rPr>
          <w:b/>
          <w:noProof/>
        </w:rPr>
        <w:t>SO2</w:t>
      </w:r>
      <w:r w:rsidRPr="00F261DB">
        <w:rPr>
          <w:noProof/>
        </w:rPr>
        <w:t>).</w:t>
      </w:r>
    </w:p>
    <w:p w14:paraId="645D46D1" w14:textId="77777777" w:rsidR="00020031" w:rsidRPr="00F261DB" w:rsidRDefault="00020031" w:rsidP="00925C80">
      <w:pPr>
        <w:spacing w:after="120"/>
        <w:rPr>
          <w:noProof/>
        </w:rPr>
      </w:pPr>
      <w:r w:rsidRPr="00F261DB">
        <w:rPr>
          <w:noProof/>
        </w:rPr>
        <w:t>Low-carbon requirements for EIIs would send strong market signals to drive investment in low-carbon technologies by creating stable demand. Nevertheless, less stringent requirements in other regions could create export disadvantages for EU companies.</w:t>
      </w:r>
    </w:p>
    <w:p w14:paraId="6E9B4DB0" w14:textId="4561DDF1" w:rsidR="00020031" w:rsidRPr="00F261DB" w:rsidRDefault="00281489" w:rsidP="00925C80">
      <w:pPr>
        <w:spacing w:after="120"/>
        <w:rPr>
          <w:noProof/>
        </w:rPr>
      </w:pPr>
      <w:r>
        <w:rPr>
          <w:noProof/>
        </w:rPr>
        <w:t>Made in EU</w:t>
      </w:r>
      <w:r w:rsidR="00020031" w:rsidRPr="00F261DB">
        <w:rPr>
          <w:noProof/>
        </w:rPr>
        <w:t xml:space="preserve"> requirements for EIIs in public procurement and support schemes will redirect demand toward EU producers,</w:t>
      </w:r>
      <w:r w:rsidR="002E1838">
        <w:rPr>
          <w:noProof/>
        </w:rPr>
        <w:t xml:space="preserve"> reduce reliance on imports</w:t>
      </w:r>
      <w:r w:rsidR="00020031" w:rsidRPr="00F261DB">
        <w:rPr>
          <w:noProof/>
        </w:rPr>
        <w:t xml:space="preserve"> </w:t>
      </w:r>
      <w:r w:rsidR="00DC66F4" w:rsidRPr="003513DE">
        <w:rPr>
          <w:strike/>
          <w:noProof/>
        </w:rPr>
        <w:t>support import substitution</w:t>
      </w:r>
      <w:r w:rsidR="00020031" w:rsidRPr="00F261DB">
        <w:rPr>
          <w:noProof/>
        </w:rPr>
        <w:t xml:space="preserve"> and help shield EU EIIs from unfair competition, in combination with existing trade defence instruments. While these measures are expected to boost job creation and regional growth, they may not fully prevent resource shuffling, given the global role of some partner countries.</w:t>
      </w:r>
    </w:p>
    <w:p w14:paraId="42D5F259" w14:textId="36E8D5AB" w:rsidR="00020031" w:rsidRPr="00F261DB" w:rsidRDefault="00020031" w:rsidP="00925C80">
      <w:pPr>
        <w:spacing w:after="120"/>
        <w:rPr>
          <w:noProof/>
        </w:rPr>
      </w:pPr>
      <w:r w:rsidRPr="00F261DB">
        <w:rPr>
          <w:noProof/>
        </w:rPr>
        <w:t xml:space="preserve">Regarding </w:t>
      </w:r>
      <w:r w:rsidR="00281489">
        <w:rPr>
          <w:noProof/>
        </w:rPr>
        <w:t>Made in EU</w:t>
      </w:r>
      <w:r w:rsidRPr="00F261DB">
        <w:rPr>
          <w:noProof/>
        </w:rPr>
        <w:t xml:space="preserve"> requirements in batteries, these measures would boost demand for EU-made batteries, helping to secure ongoing projects and attract future investments in the sector, fostering a more vertically integrated value chain and reducing strategic dependencies on third countries.</w:t>
      </w:r>
    </w:p>
    <w:p w14:paraId="534E66C4" w14:textId="471FBF8E" w:rsidR="004D7FB5" w:rsidRPr="00F261DB" w:rsidRDefault="00020031" w:rsidP="00925C80">
      <w:pPr>
        <w:spacing w:after="120"/>
        <w:rPr>
          <w:noProof/>
        </w:rPr>
      </w:pPr>
      <w:r w:rsidRPr="00F261DB">
        <w:rPr>
          <w:noProof/>
        </w:rPr>
        <w:t xml:space="preserve">In solar manufacturing, </w:t>
      </w:r>
      <w:r w:rsidR="00281489">
        <w:rPr>
          <w:noProof/>
        </w:rPr>
        <w:t>Made in EU</w:t>
      </w:r>
      <w:r w:rsidRPr="00F261DB">
        <w:rPr>
          <w:noProof/>
        </w:rPr>
        <w:t xml:space="preserve"> requirements are expected to drive scale-up and lower costs through large-scale manufacturing, vertical integration and innovation, and foster a resilient industrial ecosystem. Applying such requirements in public tenders would incentivise EU-based investment and improve supply chain security, in line with broader industrial policy objectives. Overall, </w:t>
      </w:r>
      <w:r w:rsidR="00281489">
        <w:rPr>
          <w:noProof/>
        </w:rPr>
        <w:t>Made in EU</w:t>
      </w:r>
      <w:r w:rsidRPr="00F261DB">
        <w:rPr>
          <w:noProof/>
        </w:rPr>
        <w:t xml:space="preserve"> requirements, by creating strong and predictable demand, help ensure that the EU builds competitive supply chains, contributing to its resilience and strategic autonomy.</w:t>
      </w:r>
      <w:r w:rsidR="00925C80">
        <w:rPr>
          <w:noProof/>
        </w:rPr>
        <w:t xml:space="preserve"> </w:t>
      </w:r>
      <w:r w:rsidR="00F04DD7" w:rsidRPr="00F261DB">
        <w:rPr>
          <w:noProof/>
        </w:rPr>
        <w:t xml:space="preserve">Should trading partners impose countervailing measures, this could however negatively impact the EU industry’s competitiveness on global markets. </w:t>
      </w:r>
      <w:r w:rsidR="00CF73C5">
        <w:rPr>
          <w:noProof/>
        </w:rPr>
        <w:t>FDI</w:t>
      </w:r>
      <w:r w:rsidRPr="00F261DB">
        <w:rPr>
          <w:noProof/>
        </w:rPr>
        <w:t xml:space="preserve"> conditions (</w:t>
      </w:r>
      <w:r w:rsidRPr="00F261DB">
        <w:rPr>
          <w:b/>
          <w:noProof/>
        </w:rPr>
        <w:t>SO3</w:t>
      </w:r>
      <w:r w:rsidRPr="00F261DB">
        <w:rPr>
          <w:noProof/>
        </w:rPr>
        <w:t xml:space="preserve">) are also expected to strengthen the long-term competitiveness of the European industries by securing access to critical technologies and intellectual property, offering immediate market advantages and improve their position within key value chains. Ownership and joint venture requirements would support the development of strategic value chain segments in the EU. </w:t>
      </w:r>
      <w:r w:rsidRPr="00F261DB">
        <w:rPr>
          <w:noProof/>
        </w:rPr>
        <w:lastRenderedPageBreak/>
        <w:t>Combined with value added production and securing technological advancements, these measures can deliver lasting, structural benefits for EU industrial competitiveness.</w:t>
      </w:r>
      <w:r w:rsidR="004D7FB5" w:rsidRPr="00FF63D1">
        <w:rPr>
          <w:noProof/>
        </w:rPr>
        <w:t xml:space="preserve"> </w:t>
      </w:r>
      <w:r w:rsidRPr="00F261DB">
        <w:rPr>
          <w:noProof/>
        </w:rPr>
        <w:t>Permitting measures</w:t>
      </w:r>
      <w:r w:rsidRPr="00F261DB">
        <w:rPr>
          <w:b/>
          <w:noProof/>
        </w:rPr>
        <w:t xml:space="preserve"> </w:t>
      </w:r>
      <w:r w:rsidRPr="00F261DB">
        <w:rPr>
          <w:noProof/>
        </w:rPr>
        <w:t>(</w:t>
      </w:r>
      <w:r w:rsidRPr="00F261DB">
        <w:rPr>
          <w:b/>
          <w:noProof/>
        </w:rPr>
        <w:t>SO4</w:t>
      </w:r>
      <w:r w:rsidRPr="00F261DB">
        <w:rPr>
          <w:noProof/>
        </w:rPr>
        <w:t>) will reduce regulatory uncertainty and enable economies of scale for next-generation low</w:t>
      </w:r>
      <w:r w:rsidR="00C02FCB">
        <w:rPr>
          <w:noProof/>
        </w:rPr>
        <w:t>-</w:t>
      </w:r>
      <w:r w:rsidRPr="00F261DB">
        <w:rPr>
          <w:noProof/>
        </w:rPr>
        <w:t>carbon manufacturing, further improving EU industrial competitiveness.</w:t>
      </w:r>
    </w:p>
    <w:p w14:paraId="779FB94F" w14:textId="51DF9AB3" w:rsidR="00A11E4D" w:rsidRPr="00F261DB" w:rsidRDefault="00020031" w:rsidP="004D7FB5">
      <w:pPr>
        <w:pStyle w:val="Text2"/>
        <w:ind w:left="0"/>
        <w:rPr>
          <w:rFonts w:eastAsia="Yu Gothic Light"/>
          <w:noProof/>
        </w:rPr>
      </w:pPr>
      <w:r w:rsidRPr="00F261DB">
        <w:rPr>
          <w:rFonts w:eastAsia="Yu Gothic Light"/>
          <w:noProof/>
          <w:u w:val="single"/>
        </w:rPr>
        <w:t>Capacity to innovate</w:t>
      </w:r>
    </w:p>
    <w:p w14:paraId="6DDAB4E2" w14:textId="77777777" w:rsidR="00020031" w:rsidRPr="00F261DB" w:rsidRDefault="00020031" w:rsidP="00925C80">
      <w:pPr>
        <w:spacing w:after="120"/>
        <w:rPr>
          <w:noProof/>
        </w:rPr>
      </w:pPr>
      <w:r w:rsidRPr="00F261DB">
        <w:rPr>
          <w:noProof/>
        </w:rPr>
        <w:t xml:space="preserve">Developing a common EU label on the carbon intensity of steel </w:t>
      </w:r>
      <w:r w:rsidRPr="00F261DB">
        <w:rPr>
          <w:b/>
          <w:noProof/>
        </w:rPr>
        <w:t>(SO1)</w:t>
      </w:r>
      <w:r w:rsidRPr="00F261DB">
        <w:rPr>
          <w:noProof/>
        </w:rPr>
        <w:t xml:space="preserve"> will increase customer awareness and preference for low-carbon steel, driving demand for these products. This will, in turn, encourage companies to invest in cleaner production technologies, fostering innovation in the industry. </w:t>
      </w:r>
    </w:p>
    <w:p w14:paraId="6F812C30" w14:textId="7B174E5D" w:rsidR="00020031" w:rsidRPr="00F261DB" w:rsidRDefault="00020031" w:rsidP="00925C80">
      <w:pPr>
        <w:spacing w:after="120"/>
        <w:rPr>
          <w:noProof/>
        </w:rPr>
      </w:pPr>
      <w:r w:rsidRPr="00F261DB">
        <w:rPr>
          <w:noProof/>
        </w:rPr>
        <w:t>(</w:t>
      </w:r>
      <w:r w:rsidRPr="00F261DB">
        <w:rPr>
          <w:b/>
          <w:noProof/>
        </w:rPr>
        <w:t>SO2</w:t>
      </w:r>
      <w:r w:rsidRPr="00F261DB">
        <w:rPr>
          <w:noProof/>
        </w:rPr>
        <w:t xml:space="preserve">) By anchoring guaranteed offtake, low-carbon and </w:t>
      </w:r>
      <w:r w:rsidR="00281489">
        <w:rPr>
          <w:noProof/>
        </w:rPr>
        <w:t>Made in EU</w:t>
      </w:r>
      <w:r w:rsidRPr="00F261DB">
        <w:rPr>
          <w:noProof/>
        </w:rPr>
        <w:t xml:space="preserve"> requirements in EIIs and clean tech manufacturing can serve as catalyst of domestic investment and manufacturing expansion - laying the foundation for sustained innovation. As European industrial ecosystems grow, companies are better equipped to develop, commercialise, and scale innovative solutions.</w:t>
      </w:r>
    </w:p>
    <w:p w14:paraId="2F6C3588" w14:textId="48264BAF" w:rsidR="00020031" w:rsidRPr="00F261DB" w:rsidRDefault="00CF73C5" w:rsidP="00925C80">
      <w:pPr>
        <w:spacing w:after="120"/>
        <w:rPr>
          <w:rFonts w:eastAsia="Yu Gothic Light"/>
          <w:noProof/>
        </w:rPr>
      </w:pPr>
      <w:r>
        <w:rPr>
          <w:rFonts w:eastAsia="Yu Gothic Light"/>
          <w:noProof/>
        </w:rPr>
        <w:t>FDI</w:t>
      </w:r>
      <w:r w:rsidR="00020031" w:rsidRPr="00F261DB">
        <w:rPr>
          <w:rFonts w:eastAsia="Yu Gothic Light"/>
          <w:noProof/>
        </w:rPr>
        <w:t xml:space="preserve"> conditions (</w:t>
      </w:r>
      <w:r w:rsidR="00020031" w:rsidRPr="00F261DB">
        <w:rPr>
          <w:rFonts w:eastAsia="Yu Gothic Light"/>
          <w:b/>
          <w:noProof/>
        </w:rPr>
        <w:t>SO3</w:t>
      </w:r>
      <w:r w:rsidR="00020031" w:rsidRPr="00F261DB">
        <w:rPr>
          <w:rFonts w:eastAsia="Yu Gothic Light"/>
          <w:noProof/>
        </w:rPr>
        <w:t>) are expected to strengthen the EU’s capacity to innovate by securing access to critical technologies, IP, and value chains. While they may place some limits on business models, these measures would promote value retention in the Single Market and give European companies greater access to advanced technologies and know-how - key drivers of long-term innovation and competitiveness.</w:t>
      </w:r>
    </w:p>
    <w:p w14:paraId="0E3AF77C" w14:textId="5292D98D" w:rsidR="00020031" w:rsidRPr="00F261DB" w:rsidRDefault="00020031" w:rsidP="00925C80">
      <w:pPr>
        <w:spacing w:after="120"/>
        <w:rPr>
          <w:rFonts w:eastAsia="Yu Gothic Light"/>
          <w:noProof/>
        </w:rPr>
      </w:pPr>
      <w:r w:rsidRPr="00F261DB">
        <w:rPr>
          <w:rFonts w:eastAsia="Yu Gothic Light"/>
          <w:noProof/>
        </w:rPr>
        <w:t>(</w:t>
      </w:r>
      <w:r w:rsidRPr="00F261DB">
        <w:rPr>
          <w:rFonts w:eastAsia="Yu Gothic Light"/>
          <w:b/>
          <w:noProof/>
        </w:rPr>
        <w:t>SO4</w:t>
      </w:r>
      <w:r w:rsidRPr="00F261DB">
        <w:rPr>
          <w:rFonts w:eastAsia="Yu Gothic Light"/>
          <w:noProof/>
        </w:rPr>
        <w:t xml:space="preserve">) </w:t>
      </w:r>
      <w:r w:rsidRPr="00F261DB">
        <w:rPr>
          <w:noProof/>
        </w:rPr>
        <w:t>Permitting measures will support innovation by relying on technical assistance by the European Commission to Member States for first-of-a-ki</w:t>
      </w:r>
      <w:r w:rsidR="00BE3175" w:rsidRPr="00F261DB">
        <w:rPr>
          <w:noProof/>
        </w:rPr>
        <w:t>n</w:t>
      </w:r>
      <w:r w:rsidRPr="00F261DB">
        <w:rPr>
          <w:noProof/>
        </w:rPr>
        <w:t xml:space="preserve">d decarbonisation projects, as currently the case through INCITE, or the Technical Support Instrument, helping to streamline approvals and accelerate deployment. Additionally, regulatory sandboxes for innovative technologies (such as renewable hydrogen production) </w:t>
      </w:r>
      <w:r w:rsidR="00576F7C" w:rsidRPr="00FF63D1">
        <w:rPr>
          <w:noProof/>
        </w:rPr>
        <w:t>could</w:t>
      </w:r>
      <w:r w:rsidRPr="00F261DB">
        <w:rPr>
          <w:noProof/>
        </w:rPr>
        <w:t xml:space="preserve"> ensure these innovations are future-proof while maintaining regulatory safeguards. </w:t>
      </w:r>
    </w:p>
    <w:p w14:paraId="073512E3" w14:textId="77777777" w:rsidR="00020031" w:rsidRPr="00F261DB" w:rsidRDefault="00020031" w:rsidP="00925C80">
      <w:pPr>
        <w:pStyle w:val="Text2"/>
        <w:ind w:left="0"/>
        <w:rPr>
          <w:rFonts w:eastAsia="Yu Gothic Light"/>
          <w:noProof/>
        </w:rPr>
      </w:pPr>
      <w:r w:rsidRPr="00F261DB">
        <w:rPr>
          <w:rFonts w:eastAsia="Yu Gothic Light"/>
          <w:noProof/>
          <w:u w:val="single"/>
        </w:rPr>
        <w:t>SME competitiveness</w:t>
      </w:r>
      <w:r w:rsidRPr="00F261DB">
        <w:rPr>
          <w:rFonts w:eastAsia="Yu Gothic Light"/>
          <w:noProof/>
        </w:rPr>
        <w:t xml:space="preserve"> </w:t>
      </w:r>
    </w:p>
    <w:p w14:paraId="1A2242D8" w14:textId="003242D5" w:rsidR="00020031" w:rsidRPr="00F261DB" w:rsidRDefault="00281489" w:rsidP="00925C80">
      <w:pPr>
        <w:spacing w:after="120"/>
        <w:rPr>
          <w:rFonts w:eastAsia="Yu Gothic Light"/>
          <w:noProof/>
        </w:rPr>
      </w:pPr>
      <w:r>
        <w:rPr>
          <w:rFonts w:eastAsia="Yu Gothic Light"/>
          <w:noProof/>
        </w:rPr>
        <w:t>Made in EU</w:t>
      </w:r>
      <w:r w:rsidR="00020031" w:rsidRPr="00F261DB">
        <w:rPr>
          <w:rFonts w:eastAsia="Yu Gothic Light"/>
          <w:noProof/>
        </w:rPr>
        <w:t xml:space="preserve"> requirements in public support schemes and procurement will encourage localisation and partnerships with EU suppliers, opening up new market opportunities - particularly in batteries and solar, where SMEs play a major role. While low-carbon requirements may impose higher costs on SMEs compared to larger firms, these impacts are expected to be limited (</w:t>
      </w:r>
      <w:r w:rsidR="00020031" w:rsidRPr="00F261DB">
        <w:rPr>
          <w:rFonts w:eastAsia="Yu Gothic Light"/>
          <w:b/>
          <w:noProof/>
        </w:rPr>
        <w:t>SO2</w:t>
      </w:r>
      <w:r w:rsidR="00020031" w:rsidRPr="00F261DB">
        <w:rPr>
          <w:rFonts w:eastAsia="Yu Gothic Light"/>
          <w:noProof/>
        </w:rPr>
        <w:t>).</w:t>
      </w:r>
    </w:p>
    <w:p w14:paraId="2670527B" w14:textId="1FE6CDE4" w:rsidR="00A11E4D" w:rsidRPr="00F261DB" w:rsidRDefault="00020031" w:rsidP="006A4AEC">
      <w:pPr>
        <w:spacing w:after="120"/>
        <w:rPr>
          <w:rFonts w:eastAsia="Yu Gothic Light"/>
          <w:noProof/>
        </w:rPr>
      </w:pPr>
      <w:r w:rsidRPr="00F261DB">
        <w:rPr>
          <w:rFonts w:eastAsia="Yu Gothic Light"/>
          <w:noProof/>
        </w:rPr>
        <w:t>FDI conditionalities will largely affect larger enterprises, but SMEs could benefit indirectly through increased activity in value chains (</w:t>
      </w:r>
      <w:r w:rsidRPr="00F261DB">
        <w:rPr>
          <w:rFonts w:eastAsia="Yu Gothic Light"/>
          <w:b/>
          <w:noProof/>
        </w:rPr>
        <w:t>SO3</w:t>
      </w:r>
      <w:r w:rsidRPr="00F261DB">
        <w:rPr>
          <w:rFonts w:eastAsia="Yu Gothic Light"/>
          <w:noProof/>
        </w:rPr>
        <w:t>). Permitting reforms, including digitalisation and streamlined procedures, will reduce administrative burden and improve cross-border access, supporting SME competitiveness across the Single Market (</w:t>
      </w:r>
      <w:r w:rsidRPr="00F261DB">
        <w:rPr>
          <w:rFonts w:eastAsia="Yu Gothic Light"/>
          <w:b/>
          <w:noProof/>
        </w:rPr>
        <w:t>SO4</w:t>
      </w:r>
      <w:r w:rsidRPr="00F261DB">
        <w:rPr>
          <w:rFonts w:eastAsia="Yu Gothic Light"/>
          <w:noProof/>
        </w:rPr>
        <w:t>).</w:t>
      </w:r>
    </w:p>
    <w:p w14:paraId="388536C9" w14:textId="0FB3665D" w:rsidR="00020031" w:rsidRPr="00925C80" w:rsidRDefault="00020031" w:rsidP="00925C80">
      <w:pPr>
        <w:pStyle w:val="ListParagraph"/>
        <w:keepNext/>
        <w:keepLines/>
        <w:numPr>
          <w:ilvl w:val="0"/>
          <w:numId w:val="162"/>
        </w:numPr>
        <w:spacing w:before="360" w:after="80"/>
        <w:outlineLvl w:val="0"/>
        <w:rPr>
          <w:rFonts w:eastAsia="Yu Gothic Light"/>
          <w:b/>
          <w:noProof/>
        </w:rPr>
      </w:pPr>
      <w:bookmarkStart w:id="507" w:name="_Toc195101114"/>
      <w:bookmarkStart w:id="508" w:name="_Toc207192550"/>
      <w:bookmarkStart w:id="509" w:name="_Toc212728850"/>
      <w:bookmarkStart w:id="510" w:name="_Toc212729124"/>
      <w:bookmarkStart w:id="511" w:name="_Toc212729376"/>
      <w:bookmarkStart w:id="512" w:name="_Toc215506320"/>
      <w:bookmarkStart w:id="513" w:name="_Toc222159371"/>
      <w:bookmarkStart w:id="514" w:name="_Toc222489539"/>
      <w:bookmarkStart w:id="515" w:name="_Toc222490028"/>
      <w:r w:rsidRPr="00925C80">
        <w:rPr>
          <w:rFonts w:eastAsia="Yu Gothic Light"/>
          <w:b/>
          <w:noProof/>
        </w:rPr>
        <w:t>Competitive position of the most affected sectors</w:t>
      </w:r>
      <w:bookmarkEnd w:id="507"/>
      <w:bookmarkEnd w:id="508"/>
      <w:bookmarkEnd w:id="509"/>
      <w:bookmarkEnd w:id="510"/>
      <w:bookmarkEnd w:id="511"/>
      <w:bookmarkEnd w:id="512"/>
      <w:bookmarkEnd w:id="513"/>
      <w:bookmarkEnd w:id="514"/>
      <w:bookmarkEnd w:id="515"/>
    </w:p>
    <w:p w14:paraId="69938FBD" w14:textId="77777777" w:rsidR="00020031" w:rsidRPr="00F261DB" w:rsidRDefault="00020031">
      <w:pPr>
        <w:rPr>
          <w:rFonts w:eastAsia="Times New Roman"/>
          <w:noProof/>
          <w:szCs w:val="20"/>
        </w:rPr>
      </w:pPr>
    </w:p>
    <w:p w14:paraId="5CFE33E1" w14:textId="77777777" w:rsidR="00020031" w:rsidRPr="00F261DB" w:rsidRDefault="00020031" w:rsidP="00787E9A">
      <w:pPr>
        <w:pStyle w:val="Text2"/>
        <w:ind w:left="0"/>
        <w:rPr>
          <w:noProof/>
          <w:u w:val="single"/>
        </w:rPr>
      </w:pPr>
      <w:r w:rsidRPr="00F261DB">
        <w:rPr>
          <w:noProof/>
          <w:u w:val="single"/>
        </w:rPr>
        <w:t>Energy intensive industries</w:t>
      </w:r>
    </w:p>
    <w:p w14:paraId="227E1FB5" w14:textId="5A7FF55C" w:rsidR="009C6BA6" w:rsidRPr="00F261DB" w:rsidRDefault="404A2814" w:rsidP="00787E9A">
      <w:pPr>
        <w:spacing w:after="120"/>
        <w:rPr>
          <w:rFonts w:eastAsia="Times New Roman"/>
          <w:noProof/>
        </w:rPr>
      </w:pPr>
      <w:r w:rsidRPr="00F261DB">
        <w:rPr>
          <w:rFonts w:eastAsia="Times New Roman"/>
          <w:noProof/>
        </w:rPr>
        <w:t>Annex 7 provides an overview of the competitive position of EIIs. As outlined in the problem section</w:t>
      </w:r>
      <w:r w:rsidR="00020031" w:rsidRPr="00FF63D1">
        <w:rPr>
          <w:rStyle w:val="FootnoteReference"/>
          <w:rFonts w:eastAsia="Times New Roman"/>
          <w:noProof/>
        </w:rPr>
        <w:footnoteReference w:id="319"/>
      </w:r>
      <w:r w:rsidRPr="00F261DB">
        <w:rPr>
          <w:rFonts w:eastAsia="Times New Roman"/>
          <w:noProof/>
        </w:rPr>
        <w:t xml:space="preserve">, the competitiveness challenges facing EU EIIs are driven by a combination of economic and geopolitical factors - most notably high energy costs, global non-market overcapacity, and unfair competition. Production declines have been observed in several sectors, including refineries, glass, ceramics, with the most severe impacts in steel, chemicals, </w:t>
      </w:r>
      <w:r w:rsidRPr="00F261DB">
        <w:rPr>
          <w:rFonts w:eastAsia="Times New Roman"/>
          <w:noProof/>
        </w:rPr>
        <w:lastRenderedPageBreak/>
        <w:t xml:space="preserve">and aluminium. Risks related to global overcapacity are particularly evident in steel, refineries, and aluminium; they are also present at a regional level in cement and </w:t>
      </w:r>
      <w:r w:rsidRPr="3F0F1197" w:rsidDel="545C8C3C">
        <w:rPr>
          <w:rFonts w:eastAsia="Times New Roman"/>
          <w:noProof/>
        </w:rPr>
        <w:t>ceramics</w:t>
      </w:r>
      <w:r w:rsidR="32EC1540" w:rsidRPr="3F0F1197">
        <w:rPr>
          <w:rFonts w:eastAsia="Times New Roman"/>
          <w:noProof/>
        </w:rPr>
        <w:t xml:space="preserve"> and</w:t>
      </w:r>
      <w:r w:rsidRPr="00F261DB">
        <w:rPr>
          <w:rFonts w:eastAsia="Times New Roman"/>
          <w:noProof/>
        </w:rPr>
        <w:t xml:space="preserve"> are growing in the chemicals sector.</w:t>
      </w:r>
    </w:p>
    <w:p w14:paraId="4FBDB02E" w14:textId="56CC230C" w:rsidR="00B53CE8" w:rsidRPr="00F261DB" w:rsidRDefault="7ABFEC01" w:rsidP="00787E9A">
      <w:pPr>
        <w:spacing w:after="120"/>
        <w:rPr>
          <w:rFonts w:eastAsia="Times New Roman"/>
          <w:noProof/>
        </w:rPr>
      </w:pPr>
      <w:r w:rsidRPr="00F261DB">
        <w:rPr>
          <w:rFonts w:eastAsia="Times New Roman"/>
          <w:noProof/>
        </w:rPr>
        <w:t xml:space="preserve">The impact of declining production in energy-intensive industries is unevenly distributed across the Union. </w:t>
      </w:r>
      <w:r w:rsidR="445F441F" w:rsidRPr="00F261DB">
        <w:rPr>
          <w:rFonts w:eastAsia="Times New Roman"/>
          <w:noProof/>
        </w:rPr>
        <w:t>Analyses</w:t>
      </w:r>
      <w:r w:rsidRPr="00F261DB">
        <w:rPr>
          <w:rFonts w:eastAsia="Times New Roman"/>
          <w:noProof/>
        </w:rPr>
        <w:t xml:space="preserve"> show that manufacturing employment in EIIs is regionally concentrated</w:t>
      </w:r>
      <w:r w:rsidR="00D567F5" w:rsidRPr="00FF63D1">
        <w:rPr>
          <w:rStyle w:val="FootnoteReference"/>
          <w:rFonts w:eastAsia="Times New Roman"/>
          <w:noProof/>
        </w:rPr>
        <w:footnoteReference w:id="320"/>
      </w:r>
      <w:r w:rsidRPr="00F261DB">
        <w:rPr>
          <w:rFonts w:eastAsia="Times New Roman"/>
          <w:noProof/>
        </w:rPr>
        <w:t>, with certain NUTS-2 regions highly exposed to further industrial decline. In regions where basic metals, chemicals, or non-metallic minerals account for a large share of manufacturing employment, additional closures could translate directly into local job losses and widening regional disparities.</w:t>
      </w:r>
    </w:p>
    <w:tbl>
      <w:tblPr>
        <w:tblStyle w:val="TableGrid"/>
        <w:tblW w:w="5000" w:type="pct"/>
        <w:tblInd w:w="0" w:type="dxa"/>
        <w:tblLook w:val="04A0" w:firstRow="1" w:lastRow="0" w:firstColumn="1" w:lastColumn="0" w:noHBand="0" w:noVBand="1"/>
      </w:tblPr>
      <w:tblGrid>
        <w:gridCol w:w="4569"/>
        <w:gridCol w:w="4457"/>
      </w:tblGrid>
      <w:tr w:rsidR="006F6DB5" w14:paraId="4E96454D" w14:textId="77777777" w:rsidTr="00772BE3">
        <w:tc>
          <w:tcPr>
            <w:tcW w:w="2531" w:type="pct"/>
          </w:tcPr>
          <w:p w14:paraId="54170DD2" w14:textId="6965A1EC" w:rsidR="006F6DB5" w:rsidRDefault="006F6DB5" w:rsidP="00A11E4D">
            <w:pPr>
              <w:rPr>
                <w:noProof/>
              </w:rPr>
            </w:pPr>
            <w:r w:rsidRPr="00826A85">
              <w:rPr>
                <w:noProof/>
              </w:rPr>
              <w:drawing>
                <wp:inline distT="0" distB="0" distL="0" distR="0" wp14:anchorId="7B01DBE8" wp14:editId="73C28577">
                  <wp:extent cx="2801722" cy="2037193"/>
                  <wp:effectExtent l="0" t="0" r="0" b="1270"/>
                  <wp:docPr id="627250931" name="Picture 1" descr="A map of europe with different color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3759" name="Picture 1" descr="A map of europe with different colored states&#10;&#10;AI-generated content may be incorrect."/>
                          <pic:cNvPicPr/>
                        </pic:nvPicPr>
                        <pic:blipFill>
                          <a:blip r:embed="rId78"/>
                          <a:stretch>
                            <a:fillRect/>
                          </a:stretch>
                        </pic:blipFill>
                        <pic:spPr>
                          <a:xfrm>
                            <a:off x="0" y="0"/>
                            <a:ext cx="2824459" cy="2053726"/>
                          </a:xfrm>
                          <a:prstGeom prst="rect">
                            <a:avLst/>
                          </a:prstGeom>
                        </pic:spPr>
                      </pic:pic>
                    </a:graphicData>
                  </a:graphic>
                </wp:inline>
              </w:drawing>
            </w:r>
          </w:p>
        </w:tc>
        <w:tc>
          <w:tcPr>
            <w:tcW w:w="2469" w:type="pct"/>
          </w:tcPr>
          <w:p w14:paraId="137A1C24" w14:textId="5DD1FB46" w:rsidR="006F6DB5" w:rsidRDefault="006F6DB5" w:rsidP="00A11E4D">
            <w:pPr>
              <w:rPr>
                <w:noProof/>
              </w:rPr>
            </w:pPr>
            <w:r w:rsidRPr="00826A85">
              <w:rPr>
                <w:noProof/>
              </w:rPr>
              <w:drawing>
                <wp:inline distT="0" distB="0" distL="0" distR="0" wp14:anchorId="5BA19CBF" wp14:editId="333199DB">
                  <wp:extent cx="2729997" cy="1905191"/>
                  <wp:effectExtent l="0" t="0" r="0" b="0"/>
                  <wp:docPr id="1508912524" name="Picture 1" descr="A map of europe with different color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06501" name="Picture 1" descr="A map of europe with different colored states&#10;&#10;AI-generated content may be incorrect."/>
                          <pic:cNvPicPr/>
                        </pic:nvPicPr>
                        <pic:blipFill>
                          <a:blip r:embed="rId79"/>
                          <a:stretch>
                            <a:fillRect/>
                          </a:stretch>
                        </pic:blipFill>
                        <pic:spPr>
                          <a:xfrm>
                            <a:off x="0" y="0"/>
                            <a:ext cx="2757323" cy="1924261"/>
                          </a:xfrm>
                          <a:prstGeom prst="rect">
                            <a:avLst/>
                          </a:prstGeom>
                        </pic:spPr>
                      </pic:pic>
                    </a:graphicData>
                  </a:graphic>
                </wp:inline>
              </w:drawing>
            </w:r>
          </w:p>
        </w:tc>
      </w:tr>
      <w:tr w:rsidR="006F6DB5" w14:paraId="15441647" w14:textId="77777777" w:rsidTr="006F6DB5">
        <w:tc>
          <w:tcPr>
            <w:tcW w:w="5000" w:type="pct"/>
            <w:gridSpan w:val="2"/>
          </w:tcPr>
          <w:p w14:paraId="14EE4E72" w14:textId="23C37025" w:rsidR="006F6DB5" w:rsidRDefault="006F6DB5" w:rsidP="00E71388">
            <w:pPr>
              <w:pStyle w:val="Caption"/>
              <w:jc w:val="center"/>
              <w:rPr>
                <w:noProof/>
              </w:rPr>
            </w:pPr>
            <w:r w:rsidRPr="00F261DB">
              <w:rPr>
                <w:noProof/>
              </w:rPr>
              <w:t xml:space="preserve">Figure </w:t>
            </w:r>
            <w:r w:rsidRPr="00F261DB">
              <w:rPr>
                <w:noProof/>
              </w:rPr>
              <w:fldChar w:fldCharType="begin"/>
            </w:r>
            <w:r w:rsidRPr="00F261DB">
              <w:rPr>
                <w:noProof/>
              </w:rPr>
              <w:instrText xml:space="preserve"> SEQ Figure \* ARABIC </w:instrText>
            </w:r>
            <w:r w:rsidRPr="00F261DB">
              <w:rPr>
                <w:noProof/>
              </w:rPr>
              <w:fldChar w:fldCharType="separate"/>
            </w:r>
            <w:r w:rsidR="00E16D65">
              <w:rPr>
                <w:noProof/>
              </w:rPr>
              <w:t>11</w:t>
            </w:r>
            <w:r w:rsidRPr="00F261DB">
              <w:rPr>
                <w:noProof/>
              </w:rPr>
              <w:fldChar w:fldCharType="end"/>
            </w:r>
            <w:r w:rsidRPr="00F261DB">
              <w:rPr>
                <w:noProof/>
              </w:rPr>
              <w:t xml:space="preserve"> Regional manufacturing employment share: manufacturing of chemicals and chemical products</w:t>
            </w:r>
            <w:r>
              <w:rPr>
                <w:noProof/>
              </w:rPr>
              <w:t xml:space="preserve"> (left) and </w:t>
            </w:r>
            <w:r w:rsidRPr="00F261DB">
              <w:rPr>
                <w:noProof/>
              </w:rPr>
              <w:t>basic metals</w:t>
            </w:r>
            <w:r>
              <w:rPr>
                <w:noProof/>
              </w:rPr>
              <w:t xml:space="preserve"> (right)</w:t>
            </w:r>
          </w:p>
        </w:tc>
      </w:tr>
    </w:tbl>
    <w:p w14:paraId="27551041" w14:textId="77777777" w:rsidR="00020031" w:rsidRPr="00F261DB" w:rsidRDefault="00020031" w:rsidP="00787E9A">
      <w:pPr>
        <w:pStyle w:val="Text2"/>
        <w:ind w:left="0"/>
        <w:rPr>
          <w:noProof/>
          <w:u w:val="single"/>
        </w:rPr>
      </w:pPr>
      <w:r w:rsidRPr="00F261DB">
        <w:rPr>
          <w:noProof/>
          <w:u w:val="single"/>
        </w:rPr>
        <w:t>Solar</w:t>
      </w:r>
    </w:p>
    <w:p w14:paraId="3A884D49" w14:textId="543B6BC9" w:rsidR="000D39F1" w:rsidRPr="00FF63D1" w:rsidRDefault="00020031" w:rsidP="00787E9A">
      <w:pPr>
        <w:spacing w:after="120"/>
        <w:rPr>
          <w:noProof/>
        </w:rPr>
      </w:pPr>
      <w:r w:rsidRPr="00F261DB">
        <w:rPr>
          <w:noProof/>
        </w:rPr>
        <w:t xml:space="preserve">The EU’s competitive position in the solar sector is increasingly weakening, as it struggles to compete with Chinese manufacturers who dominate global production and drive prices below cost through overcapacity. Between 2021 and 2023, the EU imported nearly 190 GW of PV modules, almost double what was installed, leaving massive stockpiles and pushing local producers out of the market. Meanwhile, Chinese firms are expanding production in countries like Vietnam and Malaysia to avoid U.S. trade barriers, further intensifying global competition. </w:t>
      </w:r>
    </w:p>
    <w:p w14:paraId="1AE1C0C8" w14:textId="4B835E21" w:rsidR="00020031" w:rsidRPr="00F261DB" w:rsidRDefault="00020031" w:rsidP="00787E9A">
      <w:pPr>
        <w:pStyle w:val="Text2"/>
        <w:ind w:left="0"/>
        <w:rPr>
          <w:noProof/>
        </w:rPr>
      </w:pPr>
      <w:r w:rsidRPr="00F261DB">
        <w:rPr>
          <w:noProof/>
          <w:u w:val="single"/>
        </w:rPr>
        <w:t>Batteries</w:t>
      </w:r>
    </w:p>
    <w:p w14:paraId="7FEB4B05" w14:textId="1A3BD3C3" w:rsidR="102E221E" w:rsidRPr="00F261DB" w:rsidRDefault="00020031" w:rsidP="00787E9A">
      <w:pPr>
        <w:spacing w:after="120"/>
        <w:rPr>
          <w:rFonts w:eastAsia="Times New Roman"/>
          <w:noProof/>
        </w:rPr>
      </w:pPr>
      <w:r w:rsidRPr="00F261DB">
        <w:rPr>
          <w:rFonts w:eastAsia="Times New Roman"/>
          <w:noProof/>
        </w:rPr>
        <w:t>The EU’s battery sector is losing ground when it comes to competitiveness, as it faces intense pressure from overseas manufacturers who dominate global production. Massive overcapacities in China have led to a surge of cheap imports into Europe, undermining local producers and distorting market dynamics. Additionally, competitors in Asia benefit from vertically integrated value chains, enabling them to scale rapidly and reduce costs across production stages. In contrast, many European battery projects have been delayed or cancelled due to deteriorating market conditions and uncertain policy support. As the Act aims to create lead markets for the above</w:t>
      </w:r>
      <w:r w:rsidR="007D0092" w:rsidRPr="00F261DB">
        <w:rPr>
          <w:rFonts w:eastAsia="Times New Roman"/>
          <w:noProof/>
        </w:rPr>
        <w:t>-</w:t>
      </w:r>
      <w:r w:rsidRPr="00F261DB">
        <w:rPr>
          <w:rFonts w:eastAsia="Times New Roman"/>
          <w:noProof/>
        </w:rPr>
        <w:t xml:space="preserve">mentioned sectors, their competitiveness will be positively affected. </w:t>
      </w:r>
    </w:p>
    <w:p w14:paraId="6728FDFD" w14:textId="77777777" w:rsidR="00020031" w:rsidRPr="00F261DB" w:rsidRDefault="00020031">
      <w:pPr>
        <w:rPr>
          <w:noProof/>
        </w:rPr>
      </w:pPr>
      <w:r w:rsidRPr="00F261DB">
        <w:rPr>
          <w:noProof/>
        </w:rPr>
        <w:br w:type="page"/>
      </w:r>
    </w:p>
    <w:p w14:paraId="2AA4BCEF" w14:textId="77777777" w:rsidR="00020031" w:rsidRPr="00F261DB" w:rsidRDefault="00020031" w:rsidP="002B52D0">
      <w:pPr>
        <w:pStyle w:val="Heading1"/>
        <w:numPr>
          <w:ilvl w:val="0"/>
          <w:numId w:val="0"/>
        </w:numPr>
        <w:spacing w:before="0" w:after="0"/>
        <w:rPr>
          <w:rFonts w:ascii="Times" w:hAnsi="Times" w:cs="Times"/>
          <w:b/>
          <w:noProof/>
          <w:color w:val="auto"/>
          <w:sz w:val="28"/>
          <w:szCs w:val="28"/>
        </w:rPr>
      </w:pPr>
      <w:bookmarkStart w:id="516" w:name="_Toc207192551"/>
      <w:bookmarkStart w:id="517" w:name="_Toc222159372"/>
      <w:bookmarkStart w:id="518" w:name="_Toc222490029"/>
      <w:r w:rsidRPr="00F261DB">
        <w:rPr>
          <w:rFonts w:ascii="Times" w:hAnsi="Times" w:cs="Times"/>
          <w:b/>
          <w:noProof/>
          <w:color w:val="auto"/>
          <w:sz w:val="28"/>
          <w:szCs w:val="28"/>
        </w:rPr>
        <w:lastRenderedPageBreak/>
        <w:t>Annex 6: SME Check</w:t>
      </w:r>
      <w:bookmarkEnd w:id="516"/>
      <w:bookmarkEnd w:id="517"/>
      <w:bookmarkEnd w:id="518"/>
    </w:p>
    <w:p w14:paraId="4E4FE6A9" w14:textId="77777777" w:rsidR="002B52D0" w:rsidRPr="00F261DB" w:rsidRDefault="002B52D0" w:rsidP="002B52D0">
      <w:pPr>
        <w:rPr>
          <w:rFonts w:eastAsia="Times New Roman"/>
          <w:b/>
          <w:smallCaps/>
          <w:noProof/>
          <w:color w:val="000000"/>
        </w:rPr>
      </w:pPr>
    </w:p>
    <w:p w14:paraId="0CF0F77E" w14:textId="77777777" w:rsidR="00020031" w:rsidRPr="00F261DB" w:rsidRDefault="00020031" w:rsidP="002B52D0">
      <w:pPr>
        <w:rPr>
          <w:rFonts w:eastAsia="Times New Roman"/>
          <w:b/>
          <w:smallCaps/>
          <w:noProof/>
          <w:color w:val="000000"/>
        </w:rPr>
      </w:pPr>
      <w:r w:rsidRPr="00F261DB">
        <w:rPr>
          <w:rFonts w:eastAsia="Times New Roman"/>
          <w:b/>
          <w:smallCaps/>
          <w:noProof/>
          <w:color w:val="000000"/>
        </w:rPr>
        <w:t>Overview of impacts on SMEs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20031" w:rsidRPr="00343C51" w14:paraId="7CFE4725" w14:textId="77777777" w:rsidTr="00E71388">
        <w:tc>
          <w:tcPr>
            <w:tcW w:w="5000" w:type="pct"/>
          </w:tcPr>
          <w:p w14:paraId="13534803" w14:textId="77777777" w:rsidR="00020031" w:rsidRPr="00343C51" w:rsidRDefault="00020031" w:rsidP="002B52D0">
            <w:pPr>
              <w:contextualSpacing/>
              <w:rPr>
                <w:rFonts w:eastAsia="Aptos"/>
                <w:b/>
                <w:noProof/>
                <w:color w:val="000000"/>
                <w:sz w:val="22"/>
              </w:rPr>
            </w:pPr>
            <w:r w:rsidRPr="00343C51">
              <w:rPr>
                <w:rFonts w:eastAsia="Aptos"/>
                <w:b/>
                <w:noProof/>
                <w:color w:val="000000"/>
                <w:sz w:val="22"/>
              </w:rPr>
              <w:t xml:space="preserve">Relevance for SMEs </w:t>
            </w:r>
          </w:p>
        </w:tc>
      </w:tr>
      <w:tr w:rsidR="00020031" w:rsidRPr="00343C51" w14:paraId="11CB9DB6" w14:textId="77777777" w:rsidTr="00E71388">
        <w:tc>
          <w:tcPr>
            <w:tcW w:w="5000" w:type="pct"/>
          </w:tcPr>
          <w:p w14:paraId="41FC4F27" w14:textId="77777777" w:rsidR="00020031" w:rsidRPr="00343C51" w:rsidRDefault="00020031" w:rsidP="002B52D0">
            <w:pPr>
              <w:contextualSpacing/>
              <w:rPr>
                <w:rFonts w:eastAsia="Aptos"/>
                <w:i/>
                <w:noProof/>
                <w:color w:val="000000"/>
                <w:sz w:val="22"/>
              </w:rPr>
            </w:pPr>
          </w:p>
          <w:p w14:paraId="0E41EA71" w14:textId="33065A84" w:rsidR="00020031" w:rsidRPr="00343C51" w:rsidRDefault="00020031" w:rsidP="002B52D0">
            <w:pPr>
              <w:contextualSpacing/>
              <w:rPr>
                <w:rFonts w:eastAsia="Aptos"/>
                <w:noProof/>
                <w:color w:val="000000"/>
                <w:sz w:val="22"/>
              </w:rPr>
            </w:pPr>
            <w:r w:rsidRPr="00343C51">
              <w:rPr>
                <w:rFonts w:eastAsia="Aptos"/>
                <w:noProof/>
                <w:color w:val="000000" w:themeColor="text1"/>
                <w:sz w:val="22"/>
              </w:rPr>
              <w:t>Based on SME filter and the ISSG discussion, this initiative is relevant for SMEs, as they represent up to 99% of companies from the manufacturing and EII sectors, as well as for clean tech (solar and batteries) and automotive (vehicle components).</w:t>
            </w:r>
          </w:p>
        </w:tc>
      </w:tr>
    </w:tbl>
    <w:p w14:paraId="009F5607" w14:textId="15A96BD5" w:rsidR="000C3A21" w:rsidRDefault="000C3A21" w:rsidP="00E71388">
      <w:pPr>
        <w:pStyle w:val="Caption"/>
        <w:keepNext/>
        <w:rPr>
          <w:noProof/>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20031" w:rsidRPr="00343C51" w14:paraId="57E1C1D2" w14:textId="77777777" w:rsidTr="3F0F1197">
        <w:tc>
          <w:tcPr>
            <w:tcW w:w="5000" w:type="pct"/>
          </w:tcPr>
          <w:p w14:paraId="4B6E0C7C" w14:textId="77777777" w:rsidR="00020031" w:rsidRPr="00343C51" w:rsidRDefault="00020031" w:rsidP="003F3451">
            <w:pPr>
              <w:pStyle w:val="ListParagraph"/>
              <w:numPr>
                <w:ilvl w:val="0"/>
                <w:numId w:val="49"/>
              </w:numPr>
              <w:spacing w:after="240"/>
              <w:rPr>
                <w:rFonts w:eastAsia="Aptos"/>
                <w:b/>
                <w:noProof/>
                <w:color w:val="000000"/>
                <w:sz w:val="22"/>
              </w:rPr>
            </w:pPr>
            <w:r w:rsidRPr="00343C51">
              <w:rPr>
                <w:rFonts w:eastAsia="Aptos"/>
                <w:b/>
                <w:smallCaps/>
                <w:noProof/>
                <w:color w:val="000000" w:themeColor="text1"/>
                <w:sz w:val="22"/>
              </w:rPr>
              <w:t>Identification of affected businesses and assessment of relevance</w:t>
            </w:r>
          </w:p>
        </w:tc>
      </w:tr>
      <w:tr w:rsidR="00020031" w:rsidRPr="00343C51" w14:paraId="37FB6356" w14:textId="77777777" w:rsidTr="3F0F1197">
        <w:tc>
          <w:tcPr>
            <w:tcW w:w="5000" w:type="pct"/>
          </w:tcPr>
          <w:p w14:paraId="0AD567CA" w14:textId="77777777" w:rsidR="00020031" w:rsidRPr="00732327" w:rsidRDefault="00020031">
            <w:pPr>
              <w:contextualSpacing/>
              <w:rPr>
                <w:rFonts w:eastAsia="Aptos"/>
                <w:b/>
                <w:noProof/>
                <w:color w:val="000000"/>
                <w:sz w:val="22"/>
              </w:rPr>
            </w:pPr>
            <w:r w:rsidRPr="00732327">
              <w:rPr>
                <w:rFonts w:eastAsia="Aptos"/>
                <w:b/>
                <w:noProof/>
                <w:color w:val="000000" w:themeColor="text1"/>
                <w:sz w:val="22"/>
              </w:rPr>
              <w:t>Are SMEs directly affected?</w:t>
            </w:r>
            <w:r w:rsidRPr="00732327">
              <w:rPr>
                <w:rFonts w:eastAsia="Aptos"/>
                <w:noProof/>
                <w:color w:val="000000" w:themeColor="text1"/>
                <w:sz w:val="22"/>
              </w:rPr>
              <w:t xml:space="preserve"> </w:t>
            </w:r>
            <w:r w:rsidRPr="00732327">
              <w:rPr>
                <w:rFonts w:eastAsia="Aptos"/>
                <w:b/>
                <w:noProof/>
                <w:color w:val="000000" w:themeColor="text1"/>
                <w:sz w:val="22"/>
              </w:rPr>
              <w:t>In which sectors?</w:t>
            </w:r>
          </w:p>
        </w:tc>
      </w:tr>
      <w:tr w:rsidR="00020031" w:rsidRPr="00343C51" w14:paraId="383D47A6" w14:textId="77777777" w:rsidTr="3F0F1197">
        <w:tc>
          <w:tcPr>
            <w:tcW w:w="5000" w:type="pct"/>
          </w:tcPr>
          <w:p w14:paraId="421EA180" w14:textId="77777777" w:rsidR="00020031" w:rsidRPr="00732327" w:rsidRDefault="00020031">
            <w:pPr>
              <w:pStyle w:val="Text2"/>
              <w:ind w:left="0"/>
              <w:contextualSpacing/>
              <w:rPr>
                <w:rFonts w:eastAsia="Aptos"/>
                <w:i/>
                <w:noProof/>
                <w:color w:val="000000" w:themeColor="text1"/>
                <w:sz w:val="22"/>
                <w:szCs w:val="22"/>
              </w:rPr>
            </w:pPr>
            <w:r w:rsidRPr="00732327">
              <w:rPr>
                <w:noProof/>
                <w:sz w:val="22"/>
                <w:szCs w:val="22"/>
              </w:rPr>
              <w:t>Yes, SMEs are directly affected by the preferred policy option.</w:t>
            </w:r>
          </w:p>
          <w:p w14:paraId="2C267B60" w14:textId="233A9915" w:rsidR="00020031" w:rsidRPr="00732327" w:rsidRDefault="00020031">
            <w:pPr>
              <w:rPr>
                <w:rFonts w:eastAsia="Aptos"/>
                <w:noProof/>
                <w:sz w:val="22"/>
              </w:rPr>
            </w:pPr>
            <w:r w:rsidRPr="00732327">
              <w:rPr>
                <w:rFonts w:eastAsia="Aptos"/>
                <w:noProof/>
                <w:sz w:val="22"/>
              </w:rPr>
              <w:t xml:space="preserve">All SME manufacturing industries will benefit from the permitting measures for decarbonisation projects. This would impact notably those companies in the manufacture of wood and of products of wood and cork (except furniture), manufacture of wearing apparel and textiles, repair and installation of machinery and equipment or manufacture of fabricated metal products (except machinery and equipment), where the share of SMEs in the sector is the highest in the EU. </w:t>
            </w:r>
          </w:p>
          <w:p w14:paraId="5B57DD7A" w14:textId="77777777" w:rsidR="00020031" w:rsidRPr="00732327" w:rsidRDefault="00020031">
            <w:pPr>
              <w:rPr>
                <w:rFonts w:eastAsia="Aptos"/>
                <w:noProof/>
                <w:sz w:val="22"/>
              </w:rPr>
            </w:pPr>
            <w:r w:rsidRPr="00732327">
              <w:rPr>
                <w:rFonts w:eastAsia="Aptos"/>
                <w:noProof/>
                <w:sz w:val="22"/>
              </w:rPr>
              <w:t>For measures impacting energy intensive industries, such as the creation of lead markets, SMEs represent 99% of companies active in the entire EIIs ecosystem and account for 51% of employees, 31% of the EIIs ecosystem turnover and 37% of value added.</w:t>
            </w:r>
          </w:p>
          <w:p w14:paraId="54D875B9" w14:textId="1A0F7AD9" w:rsidR="00020031" w:rsidRPr="00732327" w:rsidRDefault="00281489">
            <w:pPr>
              <w:rPr>
                <w:rFonts w:eastAsia="Aptos"/>
                <w:noProof/>
                <w:sz w:val="22"/>
              </w:rPr>
            </w:pPr>
            <w:r>
              <w:rPr>
                <w:rFonts w:eastAsia="Aptos"/>
                <w:noProof/>
                <w:sz w:val="22"/>
              </w:rPr>
              <w:t>Made in EU</w:t>
            </w:r>
            <w:r w:rsidR="00020031" w:rsidRPr="00732327">
              <w:rPr>
                <w:rFonts w:eastAsia="Aptos"/>
                <w:noProof/>
                <w:sz w:val="22"/>
              </w:rPr>
              <w:t xml:space="preserve"> requirements in solar, batteries and key vehicle components will also impact SMEs, where they represent 80% of solar and 99% key vehicle components sector respectively.</w:t>
            </w:r>
          </w:p>
          <w:p w14:paraId="0F292356" w14:textId="5EE88BE1" w:rsidR="00020031" w:rsidRPr="00732327" w:rsidRDefault="00020031">
            <w:pPr>
              <w:contextualSpacing/>
              <w:rPr>
                <w:rFonts w:eastAsia="Aptos"/>
                <w:noProof/>
                <w:color w:val="000000" w:themeColor="text1"/>
                <w:sz w:val="22"/>
              </w:rPr>
            </w:pPr>
            <w:r w:rsidRPr="00732327">
              <w:rPr>
                <w:rFonts w:eastAsia="Aptos"/>
                <w:noProof/>
                <w:color w:val="000000" w:themeColor="text1"/>
                <w:sz w:val="22"/>
              </w:rPr>
              <w:t xml:space="preserve">The introduction of low-carbon and </w:t>
            </w:r>
            <w:r w:rsidR="00281489">
              <w:rPr>
                <w:rFonts w:eastAsia="Aptos"/>
                <w:noProof/>
                <w:color w:val="000000" w:themeColor="text1"/>
                <w:sz w:val="22"/>
              </w:rPr>
              <w:t>Made in EU</w:t>
            </w:r>
            <w:r w:rsidRPr="00732327">
              <w:rPr>
                <w:rFonts w:eastAsia="Aptos"/>
                <w:noProof/>
                <w:color w:val="000000" w:themeColor="text1"/>
                <w:sz w:val="22"/>
              </w:rPr>
              <w:t xml:space="preserve"> requirements (</w:t>
            </w:r>
            <w:r w:rsidRPr="00732327">
              <w:rPr>
                <w:rFonts w:eastAsia="Aptos"/>
                <w:b/>
                <w:noProof/>
                <w:color w:val="000000" w:themeColor="text1"/>
                <w:sz w:val="22"/>
              </w:rPr>
              <w:t>SO2</w:t>
            </w:r>
            <w:r w:rsidRPr="00732327">
              <w:rPr>
                <w:rFonts w:eastAsia="Aptos"/>
                <w:noProof/>
                <w:color w:val="000000" w:themeColor="text1"/>
                <w:sz w:val="22"/>
              </w:rPr>
              <w:t xml:space="preserve">) in EIIs, batteries, solar cells, and key vehicle components will affect SMEs in downstream sectors, most notably in the construction, automotive and potentially wind energy. </w:t>
            </w:r>
          </w:p>
        </w:tc>
      </w:tr>
      <w:tr w:rsidR="00020031" w:rsidRPr="00343C51" w14:paraId="7057E932" w14:textId="77777777" w:rsidTr="3F0F1197">
        <w:tc>
          <w:tcPr>
            <w:tcW w:w="5000" w:type="pct"/>
          </w:tcPr>
          <w:p w14:paraId="21F287FE" w14:textId="77777777" w:rsidR="00020031" w:rsidRPr="00732327" w:rsidRDefault="00020031">
            <w:pPr>
              <w:contextualSpacing/>
              <w:rPr>
                <w:rFonts w:eastAsia="Aptos"/>
                <w:b/>
                <w:noProof/>
                <w:color w:val="000000"/>
                <w:sz w:val="22"/>
              </w:rPr>
            </w:pPr>
            <w:r w:rsidRPr="00732327">
              <w:rPr>
                <w:rFonts w:eastAsia="Aptos"/>
                <w:b/>
                <w:noProof/>
                <w:color w:val="000000"/>
                <w:sz w:val="22"/>
              </w:rPr>
              <w:t>Estimated number of directly affected SMEs</w:t>
            </w:r>
          </w:p>
        </w:tc>
      </w:tr>
      <w:tr w:rsidR="00020031" w:rsidRPr="00343C51" w14:paraId="2AB23B1B" w14:textId="77777777" w:rsidTr="3F0F1197">
        <w:tc>
          <w:tcPr>
            <w:tcW w:w="5000" w:type="pct"/>
          </w:tcPr>
          <w:p w14:paraId="779A1FC4" w14:textId="49799C48" w:rsidR="00020031" w:rsidRPr="00732327" w:rsidRDefault="404A2814">
            <w:pPr>
              <w:contextualSpacing/>
              <w:rPr>
                <w:rFonts w:eastAsia="Yu Mincho"/>
                <w:noProof/>
                <w:color w:val="000000" w:themeColor="text1"/>
                <w:sz w:val="22"/>
              </w:rPr>
            </w:pPr>
            <w:r w:rsidRPr="3F0F1197">
              <w:rPr>
                <w:rFonts w:eastAsia="Yu Mincho"/>
                <w:noProof/>
                <w:color w:val="000000" w:themeColor="text1"/>
                <w:sz w:val="22"/>
                <w:u w:val="single"/>
              </w:rPr>
              <w:t>Manufacturing sector:</w:t>
            </w:r>
            <w:r w:rsidRPr="3F0F1197">
              <w:rPr>
                <w:rFonts w:eastAsia="Yu Mincho"/>
                <w:noProof/>
                <w:color w:val="000000" w:themeColor="text1"/>
                <w:sz w:val="22"/>
              </w:rPr>
              <w:t xml:space="preserve"> The potential number of impacted SMEs within the scope of the permitting provisions would be more than 2 million, corresponding to the broad number of SMEs active in the manufacturing sector.</w:t>
            </w:r>
            <w:r w:rsidR="00020031" w:rsidRPr="3F0F1197">
              <w:rPr>
                <w:rStyle w:val="FootnoteReference"/>
                <w:rFonts w:eastAsia="Yu Mincho"/>
                <w:noProof/>
                <w:color w:val="000000" w:themeColor="text1"/>
                <w:sz w:val="22"/>
              </w:rPr>
              <w:footnoteReference w:id="321"/>
            </w:r>
          </w:p>
          <w:p w14:paraId="6EC1A51A" w14:textId="77777777" w:rsidR="00020031" w:rsidRPr="00732327" w:rsidRDefault="00020031">
            <w:pPr>
              <w:contextualSpacing/>
              <w:rPr>
                <w:rFonts w:eastAsia="Yu Mincho"/>
                <w:noProof/>
                <w:color w:val="000000" w:themeColor="text1"/>
                <w:sz w:val="22"/>
              </w:rPr>
            </w:pPr>
          </w:p>
          <w:p w14:paraId="15E7BCE0" w14:textId="5D421B7C" w:rsidR="00020031" w:rsidRPr="00732327" w:rsidRDefault="00020031" w:rsidP="00020C03">
            <w:pPr>
              <w:contextualSpacing/>
              <w:jc w:val="center"/>
              <w:rPr>
                <w:rFonts w:eastAsia="Aptos"/>
                <w:noProof/>
                <w:sz w:val="22"/>
              </w:rPr>
            </w:pPr>
            <w:r w:rsidRPr="00732327">
              <w:rPr>
                <w:noProof/>
                <w:sz w:val="22"/>
              </w:rPr>
              <w:drawing>
                <wp:inline distT="0" distB="0" distL="0" distR="0" wp14:anchorId="3F9235FC" wp14:editId="68405616">
                  <wp:extent cx="5538801" cy="2073348"/>
                  <wp:effectExtent l="0" t="0" r="5080" b="3175"/>
                  <wp:docPr id="676308396" name="drawing"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42313" name="drawing" descr="A screenshot of a report&#10;&#10;AI-generated content may be incorrect."/>
                          <pic:cNvPicPr/>
                        </pic:nvPicPr>
                        <pic:blipFill>
                          <a:blip r:embed="rId80">
                            <a:extLst>
                              <a:ext uri="{28A0092B-C50C-407E-A947-70E740481C1C}">
                                <a14:useLocalDpi xmlns:a14="http://schemas.microsoft.com/office/drawing/2010/main"/>
                              </a:ext>
                            </a:extLst>
                          </a:blip>
                          <a:stretch>
                            <a:fillRect/>
                          </a:stretch>
                        </pic:blipFill>
                        <pic:spPr>
                          <a:xfrm>
                            <a:off x="0" y="0"/>
                            <a:ext cx="5547915" cy="2076759"/>
                          </a:xfrm>
                          <a:prstGeom prst="rect">
                            <a:avLst/>
                          </a:prstGeom>
                        </pic:spPr>
                      </pic:pic>
                    </a:graphicData>
                  </a:graphic>
                </wp:inline>
              </w:drawing>
            </w:r>
          </w:p>
          <w:p w14:paraId="2E2A94AC" w14:textId="25752B9D" w:rsidR="00546843" w:rsidRPr="00732327" w:rsidRDefault="404A2814">
            <w:pPr>
              <w:spacing w:after="160"/>
              <w:rPr>
                <w:noProof/>
                <w:sz w:val="22"/>
              </w:rPr>
            </w:pPr>
            <w:r w:rsidRPr="3F0F1197">
              <w:rPr>
                <w:noProof/>
                <w:sz w:val="22"/>
                <w:u w:val="single"/>
              </w:rPr>
              <w:t>Energy intensive industries:</w:t>
            </w:r>
            <w:r w:rsidRPr="3F0F1197">
              <w:rPr>
                <w:noProof/>
                <w:sz w:val="22"/>
              </w:rPr>
              <w:t xml:space="preserve"> In 2022, the estimated number of SMEs in EIIs was </w:t>
            </w:r>
            <w:r w:rsidRPr="3F0F1197">
              <w:rPr>
                <w:rFonts w:eastAsia="Aptos"/>
                <w:noProof/>
                <w:sz w:val="22"/>
              </w:rPr>
              <w:t>577</w:t>
            </w:r>
            <w:r w:rsidR="217EA473" w:rsidRPr="3F0F1197">
              <w:rPr>
                <w:rFonts w:eastAsia="Aptos"/>
                <w:noProof/>
                <w:sz w:val="22"/>
              </w:rPr>
              <w:t xml:space="preserve"> </w:t>
            </w:r>
            <w:r w:rsidRPr="3F0F1197">
              <w:rPr>
                <w:rFonts w:eastAsia="Aptos"/>
                <w:noProof/>
                <w:sz w:val="22"/>
              </w:rPr>
              <w:t>796</w:t>
            </w:r>
            <w:r w:rsidRPr="3F0F1197">
              <w:rPr>
                <w:noProof/>
                <w:sz w:val="22"/>
              </w:rPr>
              <w:t>.</w:t>
            </w:r>
            <w:r w:rsidR="00020031" w:rsidRPr="3F0F1197">
              <w:rPr>
                <w:noProof/>
                <w:sz w:val="22"/>
                <w:vertAlign w:val="superscript"/>
              </w:rPr>
              <w:footnoteReference w:id="322"/>
            </w:r>
          </w:p>
          <w:p w14:paraId="15F2C122" w14:textId="77777777" w:rsidR="00020031" w:rsidRPr="00732327" w:rsidRDefault="404A2814" w:rsidP="00020C03">
            <w:pPr>
              <w:spacing w:after="160"/>
              <w:rPr>
                <w:rStyle w:val="FootnoteReference"/>
                <w:rFonts w:eastAsiaTheme="minorHAnsi"/>
                <w:noProof/>
                <w:sz w:val="22"/>
              </w:rPr>
            </w:pPr>
            <w:r w:rsidRPr="3F0F1197">
              <w:rPr>
                <w:rFonts w:eastAsia="Aptos"/>
                <w:noProof/>
                <w:color w:val="000000" w:themeColor="text1"/>
                <w:sz w:val="22"/>
                <w:u w:val="single"/>
              </w:rPr>
              <w:t>Solar manufacturing:</w:t>
            </w:r>
            <w:r w:rsidRPr="3F0F1197">
              <w:rPr>
                <w:rFonts w:eastAsia="Aptos"/>
                <w:noProof/>
                <w:color w:val="000000" w:themeColor="text1"/>
                <w:sz w:val="22"/>
              </w:rPr>
              <w:t xml:space="preserve"> </w:t>
            </w:r>
            <w:r w:rsidRPr="3F0F1197">
              <w:rPr>
                <w:noProof/>
                <w:sz w:val="22"/>
              </w:rPr>
              <w:t>SMEs represent 80% of the membership in ESIA.</w:t>
            </w:r>
            <w:r w:rsidR="00020031" w:rsidRPr="3F0F1197">
              <w:rPr>
                <w:rStyle w:val="FootnoteReference"/>
                <w:noProof/>
                <w:sz w:val="22"/>
              </w:rPr>
              <w:footnoteReference w:id="323"/>
            </w:r>
            <w:r w:rsidRPr="3F0F1197">
              <w:rPr>
                <w:noProof/>
                <w:sz w:val="22"/>
              </w:rPr>
              <w:t xml:space="preserve"> The majority of the EU manufacturing segment and projected projects consist of SMEs. The installation sector is also largely made up of SMEs (rooftop and small commercial segments). </w:t>
            </w:r>
          </w:p>
          <w:p w14:paraId="1CE7FF3C" w14:textId="77777777" w:rsidR="00020031" w:rsidRPr="00732327" w:rsidRDefault="00020031">
            <w:pPr>
              <w:rPr>
                <w:noProof/>
                <w:sz w:val="22"/>
              </w:rPr>
            </w:pPr>
            <w:r w:rsidRPr="00732327">
              <w:rPr>
                <w:noProof/>
                <w:sz w:val="22"/>
                <w:u w:val="single"/>
              </w:rPr>
              <w:lastRenderedPageBreak/>
              <w:t>Batteries</w:t>
            </w:r>
            <w:r w:rsidRPr="00732327">
              <w:rPr>
                <w:noProof/>
                <w:sz w:val="22"/>
              </w:rPr>
              <w:t xml:space="preserve">: SMEs accounted for 43% of respondents in the targeted battery survey. </w:t>
            </w:r>
          </w:p>
          <w:p w14:paraId="0B375806" w14:textId="55253B66" w:rsidR="00020031" w:rsidRPr="00732327" w:rsidRDefault="404A2814" w:rsidP="00020C03">
            <w:pPr>
              <w:spacing w:after="160"/>
              <w:rPr>
                <w:rFonts w:eastAsia="Aptos"/>
                <w:noProof/>
                <w:color w:val="000000" w:themeColor="text1"/>
                <w:sz w:val="22"/>
              </w:rPr>
            </w:pPr>
            <w:r w:rsidRPr="3F0F1197">
              <w:rPr>
                <w:rFonts w:eastAsia="Aptos"/>
                <w:noProof/>
                <w:color w:val="000000" w:themeColor="text1"/>
                <w:sz w:val="22"/>
                <w:u w:val="single"/>
              </w:rPr>
              <w:t>Automotive:</w:t>
            </w:r>
            <w:r w:rsidRPr="3F0F1197">
              <w:rPr>
                <w:rFonts w:eastAsia="Aptos"/>
                <w:noProof/>
                <w:color w:val="000000" w:themeColor="text1"/>
                <w:sz w:val="22"/>
              </w:rPr>
              <w:t xml:space="preserve"> SMEs represent around 99% of all companies (i.e. 1</w:t>
            </w:r>
            <w:r w:rsidR="3A670CEF" w:rsidRPr="3F0F1197">
              <w:rPr>
                <w:rFonts w:eastAsia="Aptos"/>
                <w:noProof/>
                <w:color w:val="000000" w:themeColor="text1"/>
                <w:sz w:val="22"/>
              </w:rPr>
              <w:t>.</w:t>
            </w:r>
            <w:r w:rsidRPr="3F0F1197">
              <w:rPr>
                <w:rFonts w:eastAsia="Aptos"/>
                <w:noProof/>
                <w:color w:val="000000" w:themeColor="text1"/>
                <w:sz w:val="22"/>
              </w:rPr>
              <w:t>8 million companies) operating in the automotive sector and are responsible for 26% of the value added.</w:t>
            </w:r>
            <w:r w:rsidR="00020031" w:rsidRPr="3F0F1197">
              <w:rPr>
                <w:rStyle w:val="FootnoteReference"/>
                <w:noProof/>
                <w:color w:val="000000" w:themeColor="text1"/>
                <w:sz w:val="22"/>
              </w:rPr>
              <w:footnoteReference w:id="324"/>
            </w:r>
            <w:r w:rsidR="20008CB9" w:rsidRPr="3F0F1197">
              <w:rPr>
                <w:rFonts w:eastAsia="Aptos"/>
                <w:noProof/>
                <w:color w:val="000000" w:themeColor="text1"/>
                <w:sz w:val="22"/>
              </w:rPr>
              <w:t xml:space="preserve"> They are however not expected to be directly affected as </w:t>
            </w:r>
            <w:r w:rsidR="4E9C57F3" w:rsidRPr="3F0F1197">
              <w:rPr>
                <w:rFonts w:eastAsia="Aptos"/>
                <w:noProof/>
                <w:color w:val="000000" w:themeColor="text1"/>
                <w:sz w:val="22"/>
              </w:rPr>
              <w:t xml:space="preserve">lead market </w:t>
            </w:r>
            <w:r w:rsidR="20008CB9" w:rsidRPr="3F0F1197">
              <w:rPr>
                <w:rFonts w:eastAsia="Aptos"/>
                <w:noProof/>
                <w:color w:val="000000" w:themeColor="text1"/>
                <w:sz w:val="22"/>
              </w:rPr>
              <w:t xml:space="preserve">provisions </w:t>
            </w:r>
            <w:r w:rsidR="20008CB9" w:rsidRPr="3F0F1197">
              <w:rPr>
                <w:rFonts w:eastAsia="Aptos"/>
                <w:noProof/>
                <w:sz w:val="22"/>
              </w:rPr>
              <w:t>would</w:t>
            </w:r>
            <w:r w:rsidR="20008CB9" w:rsidRPr="3F0F1197">
              <w:rPr>
                <w:rFonts w:eastAsia="Aptos"/>
                <w:noProof/>
                <w:color w:val="000000" w:themeColor="text1"/>
                <w:sz w:val="22"/>
              </w:rPr>
              <w:t xml:space="preserve"> apply to </w:t>
            </w:r>
            <w:r w:rsidR="4E9C57F3" w:rsidRPr="3F0F1197">
              <w:rPr>
                <w:rFonts w:eastAsia="Aptos"/>
                <w:noProof/>
                <w:color w:val="000000" w:themeColor="text1"/>
                <w:sz w:val="22"/>
              </w:rPr>
              <w:t xml:space="preserve">original equipment manufacturers. </w:t>
            </w:r>
          </w:p>
          <w:p w14:paraId="4578145E" w14:textId="337C2164" w:rsidR="00020031" w:rsidRPr="00732327" w:rsidRDefault="404A2814">
            <w:pPr>
              <w:rPr>
                <w:rFonts w:eastAsia="Aptos"/>
                <w:noProof/>
                <w:color w:val="000000" w:themeColor="text1"/>
                <w:sz w:val="22"/>
              </w:rPr>
            </w:pPr>
            <w:r w:rsidRPr="3F0F1197">
              <w:rPr>
                <w:rFonts w:eastAsia="Aptos"/>
                <w:noProof/>
                <w:color w:val="000000" w:themeColor="text1"/>
                <w:sz w:val="22"/>
                <w:u w:val="single"/>
              </w:rPr>
              <w:t>Construction:</w:t>
            </w:r>
            <w:r w:rsidRPr="3F0F1197">
              <w:rPr>
                <w:rFonts w:eastAsia="Aptos"/>
                <w:noProof/>
                <w:color w:val="000000" w:themeColor="text1"/>
                <w:sz w:val="22"/>
              </w:rPr>
              <w:t xml:space="preserve"> 99% of construction companies are SMEs (i.e. 5.29 million companies)</w:t>
            </w:r>
            <w:r w:rsidR="4BD4D6F4" w:rsidRPr="3F0F1197">
              <w:rPr>
                <w:rFonts w:eastAsia="Aptos"/>
                <w:noProof/>
                <w:color w:val="000000" w:themeColor="text1"/>
                <w:sz w:val="22"/>
              </w:rPr>
              <w:t>.</w:t>
            </w:r>
            <w:r w:rsidR="00020031" w:rsidRPr="3F0F1197">
              <w:rPr>
                <w:rStyle w:val="FootnoteReference"/>
                <w:rFonts w:eastAsia="Aptos"/>
                <w:noProof/>
                <w:color w:val="000000" w:themeColor="text1"/>
                <w:sz w:val="22"/>
              </w:rPr>
              <w:footnoteReference w:id="325"/>
            </w:r>
            <w:r w:rsidR="7B448758" w:rsidRPr="3F0F1197">
              <w:rPr>
                <w:rFonts w:eastAsia="Aptos"/>
                <w:noProof/>
                <w:color w:val="000000" w:themeColor="text1"/>
                <w:sz w:val="22"/>
              </w:rPr>
              <w:t xml:space="preserve"> However, only a subset of companies would be affected by the lead market provisions, the ones in the lead on new building or infrastructure projects</w:t>
            </w:r>
            <w:r w:rsidR="3BEA195A" w:rsidRPr="3F0F1197">
              <w:rPr>
                <w:rFonts w:eastAsia="Aptos"/>
                <w:noProof/>
                <w:color w:val="000000" w:themeColor="text1"/>
                <w:sz w:val="22"/>
              </w:rPr>
              <w:t>.</w:t>
            </w:r>
          </w:p>
        </w:tc>
      </w:tr>
      <w:tr w:rsidR="00020031" w:rsidRPr="00343C51" w14:paraId="13057322" w14:textId="77777777" w:rsidTr="3F0F1197">
        <w:tc>
          <w:tcPr>
            <w:tcW w:w="5000" w:type="pct"/>
          </w:tcPr>
          <w:p w14:paraId="1292564D" w14:textId="77777777" w:rsidR="00020031" w:rsidRPr="00732327" w:rsidRDefault="00020031">
            <w:pPr>
              <w:contextualSpacing/>
              <w:rPr>
                <w:rFonts w:eastAsia="Aptos"/>
                <w:b/>
                <w:noProof/>
                <w:color w:val="000000"/>
                <w:sz w:val="22"/>
              </w:rPr>
            </w:pPr>
            <w:r w:rsidRPr="00732327">
              <w:rPr>
                <w:rFonts w:eastAsia="Aptos"/>
                <w:b/>
                <w:noProof/>
                <w:color w:val="000000"/>
                <w:sz w:val="22"/>
              </w:rPr>
              <w:lastRenderedPageBreak/>
              <w:t>Estimated number of employees in directly affected SMEs</w:t>
            </w:r>
          </w:p>
        </w:tc>
      </w:tr>
      <w:tr w:rsidR="00020031" w:rsidRPr="00343C51" w14:paraId="3AA03615" w14:textId="77777777" w:rsidTr="3F0F1197">
        <w:tc>
          <w:tcPr>
            <w:tcW w:w="5000" w:type="pct"/>
          </w:tcPr>
          <w:p w14:paraId="531EAACE" w14:textId="57FAF75B" w:rsidR="00020031" w:rsidRPr="00732327" w:rsidRDefault="404A2814" w:rsidP="004D4511">
            <w:pPr>
              <w:contextualSpacing/>
              <w:rPr>
                <w:rFonts w:eastAsia="Yu Mincho"/>
                <w:noProof/>
                <w:color w:val="000000"/>
                <w:sz w:val="22"/>
              </w:rPr>
            </w:pPr>
            <w:r w:rsidRPr="3F0F1197">
              <w:rPr>
                <w:rFonts w:eastAsia="Yu Mincho"/>
                <w:noProof/>
                <w:color w:val="000000" w:themeColor="text1"/>
                <w:sz w:val="22"/>
                <w:u w:val="single"/>
              </w:rPr>
              <w:t>Manufacturing sector:</w:t>
            </w:r>
            <w:r w:rsidRPr="3F0F1197">
              <w:rPr>
                <w:rFonts w:eastAsia="Yu Mincho"/>
                <w:noProof/>
                <w:color w:val="000000" w:themeColor="text1"/>
                <w:sz w:val="22"/>
              </w:rPr>
              <w:t xml:space="preserve"> Estimated number of employees in these SMEs would be more than </w:t>
            </w:r>
            <w:r w:rsidRPr="3F0F1197">
              <w:rPr>
                <w:rFonts w:eastAsia="Yu Mincho"/>
                <w:noProof/>
                <w:sz w:val="22"/>
              </w:rPr>
              <w:t>15 million</w:t>
            </w:r>
            <w:r w:rsidRPr="3F0F1197">
              <w:rPr>
                <w:rFonts w:eastAsia="Yu Mincho"/>
                <w:noProof/>
                <w:color w:val="000000" w:themeColor="text1"/>
                <w:sz w:val="22"/>
              </w:rPr>
              <w:t>, roughly half of the employment of the manufacturing</w:t>
            </w:r>
            <w:r w:rsidR="00020031" w:rsidRPr="3F0F1197">
              <w:rPr>
                <w:rStyle w:val="FootnoteReference"/>
                <w:rFonts w:eastAsia="Yu Mincho"/>
                <w:noProof/>
                <w:color w:val="000000" w:themeColor="text1"/>
                <w:sz w:val="22"/>
              </w:rPr>
              <w:footnoteReference w:id="326"/>
            </w:r>
          </w:p>
          <w:p w14:paraId="336CB657" w14:textId="77777777" w:rsidR="00020031" w:rsidRPr="00732327" w:rsidRDefault="404A2814" w:rsidP="004D4511">
            <w:pPr>
              <w:rPr>
                <w:noProof/>
                <w:color w:val="000000"/>
                <w:sz w:val="22"/>
              </w:rPr>
            </w:pPr>
            <w:r w:rsidRPr="3F0F1197">
              <w:rPr>
                <w:noProof/>
                <w:color w:val="000000"/>
                <w:sz w:val="22"/>
                <w:u w:val="single"/>
              </w:rPr>
              <w:t>EIIs:</w:t>
            </w:r>
            <w:r w:rsidRPr="3F0F1197">
              <w:rPr>
                <w:noProof/>
                <w:color w:val="000000"/>
                <w:sz w:val="22"/>
              </w:rPr>
              <w:t xml:space="preserve"> In 2022, SMEs </w:t>
            </w:r>
            <w:r w:rsidRPr="3F0F1197">
              <w:rPr>
                <w:rFonts w:eastAsia="Aptos"/>
                <w:noProof/>
                <w:color w:val="000000" w:themeColor="text1"/>
                <w:sz w:val="22"/>
              </w:rPr>
              <w:t>were</w:t>
            </w:r>
            <w:r w:rsidRPr="3F0F1197">
              <w:rPr>
                <w:noProof/>
                <w:color w:val="000000"/>
                <w:sz w:val="22"/>
              </w:rPr>
              <w:t xml:space="preserve"> estimated to employ approximately 3.91 million people, accounting for 50.5% of total employment in EIIs.</w:t>
            </w:r>
            <w:r w:rsidR="00020031" w:rsidRPr="3F0F1197">
              <w:rPr>
                <w:noProof/>
                <w:color w:val="000000"/>
                <w:sz w:val="22"/>
                <w:vertAlign w:val="superscript"/>
              </w:rPr>
              <w:footnoteReference w:id="327"/>
            </w:r>
            <w:r w:rsidRPr="3F0F1197">
              <w:rPr>
                <w:noProof/>
                <w:color w:val="000000"/>
                <w:sz w:val="22"/>
              </w:rPr>
              <w:t xml:space="preserve"> </w:t>
            </w:r>
          </w:p>
          <w:p w14:paraId="6C9BFAA0" w14:textId="014B812E" w:rsidR="00020031" w:rsidRPr="00732327" w:rsidRDefault="404A2814" w:rsidP="004D4511">
            <w:pPr>
              <w:rPr>
                <w:noProof/>
                <w:sz w:val="22"/>
              </w:rPr>
            </w:pPr>
            <w:r w:rsidRPr="3F0F1197">
              <w:rPr>
                <w:noProof/>
                <w:color w:val="000000" w:themeColor="text1"/>
                <w:sz w:val="22"/>
                <w:u w:val="single"/>
              </w:rPr>
              <w:t>Solar:</w:t>
            </w:r>
            <w:r w:rsidRPr="3F0F1197">
              <w:rPr>
                <w:noProof/>
                <w:color w:val="000000" w:themeColor="text1"/>
                <w:sz w:val="22"/>
              </w:rPr>
              <w:t xml:space="preserve"> Although SME-specific data is</w:t>
            </w:r>
            <w:r w:rsidR="4BD4D6F4" w:rsidRPr="3F0F1197">
              <w:rPr>
                <w:noProof/>
                <w:color w:val="000000" w:themeColor="text1"/>
                <w:sz w:val="22"/>
              </w:rPr>
              <w:t xml:space="preserve"> </w:t>
            </w:r>
            <w:r w:rsidRPr="3F0F1197">
              <w:rPr>
                <w:noProof/>
                <w:sz w:val="22"/>
              </w:rPr>
              <w:t>not available, the solar sector employed 648</w:t>
            </w:r>
            <w:r w:rsidR="217EA473" w:rsidRPr="3F0F1197">
              <w:rPr>
                <w:noProof/>
                <w:sz w:val="22"/>
              </w:rPr>
              <w:t xml:space="preserve"> </w:t>
            </w:r>
            <w:r w:rsidRPr="3F0F1197">
              <w:rPr>
                <w:noProof/>
                <w:sz w:val="22"/>
              </w:rPr>
              <w:t>000 people in 2022.</w:t>
            </w:r>
            <w:r w:rsidR="00020031" w:rsidRPr="3F0F1197">
              <w:rPr>
                <w:rStyle w:val="FootnoteReference"/>
                <w:noProof/>
                <w:sz w:val="22"/>
              </w:rPr>
              <w:footnoteReference w:id="328"/>
            </w:r>
          </w:p>
          <w:p w14:paraId="6EF548F3" w14:textId="77777777" w:rsidR="004D4511" w:rsidRPr="00732327" w:rsidRDefault="545C8C3C" w:rsidP="004D4511">
            <w:pPr>
              <w:rPr>
                <w:noProof/>
                <w:sz w:val="22"/>
              </w:rPr>
            </w:pPr>
            <w:r w:rsidRPr="00732327">
              <w:rPr>
                <w:noProof/>
                <w:sz w:val="22"/>
                <w:u w:val="single"/>
              </w:rPr>
              <w:t>Batteries sector:</w:t>
            </w:r>
            <w:r w:rsidRPr="00732327">
              <w:rPr>
                <w:noProof/>
                <w:sz w:val="22"/>
              </w:rPr>
              <w:t xml:space="preserve"> Data currently not available.</w:t>
            </w:r>
            <w:r w:rsidR="0020628F" w:rsidRPr="00732327">
              <w:rPr>
                <w:noProof/>
                <w:sz w:val="22"/>
              </w:rPr>
              <w:t xml:space="preserve"> </w:t>
            </w:r>
          </w:p>
          <w:p w14:paraId="36EAAFDB" w14:textId="3EC5C7D8" w:rsidR="00020031" w:rsidRPr="00732327" w:rsidRDefault="404A2814" w:rsidP="004D4511">
            <w:pPr>
              <w:rPr>
                <w:noProof/>
                <w:sz w:val="22"/>
              </w:rPr>
            </w:pPr>
            <w:r w:rsidRPr="3F0F1197">
              <w:rPr>
                <w:noProof/>
                <w:color w:val="000000" w:themeColor="text1"/>
                <w:sz w:val="22"/>
                <w:u w:val="single"/>
              </w:rPr>
              <w:t>Automotive:</w:t>
            </w:r>
            <w:r w:rsidRPr="3F0F1197">
              <w:rPr>
                <w:noProof/>
                <w:color w:val="000000" w:themeColor="text1"/>
                <w:sz w:val="22"/>
              </w:rPr>
              <w:t xml:space="preserve"> SMEs </w:t>
            </w:r>
            <w:r w:rsidRPr="3F0F1197">
              <w:rPr>
                <w:noProof/>
                <w:color w:val="000000"/>
                <w:sz w:val="22"/>
              </w:rPr>
              <w:t>employ</w:t>
            </w:r>
            <w:r w:rsidRPr="3F0F1197">
              <w:rPr>
                <w:noProof/>
                <w:color w:val="000000" w:themeColor="text1"/>
                <w:sz w:val="22"/>
              </w:rPr>
              <w:t xml:space="preserve"> around 1.5-2 million people in direct car manufacturing (roughly 60-70% of the total direct employment in the sector), and an additional 6-8 million jobs in related industries, such as automotive services, trade, and distribution.</w:t>
            </w:r>
            <w:r w:rsidR="00020031" w:rsidRPr="3F0F1197">
              <w:rPr>
                <w:rStyle w:val="FootnoteReference"/>
                <w:noProof/>
                <w:color w:val="000000" w:themeColor="text1"/>
                <w:sz w:val="22"/>
              </w:rPr>
              <w:footnoteReference w:id="329"/>
            </w:r>
          </w:p>
          <w:p w14:paraId="64693568" w14:textId="5D8D60A1" w:rsidR="00020031" w:rsidRPr="00732327" w:rsidRDefault="404A2814" w:rsidP="004D4511">
            <w:pPr>
              <w:rPr>
                <w:noProof/>
                <w:color w:val="000000" w:themeColor="text1"/>
                <w:sz w:val="22"/>
              </w:rPr>
            </w:pPr>
            <w:r w:rsidRPr="3F0F1197">
              <w:rPr>
                <w:noProof/>
                <w:color w:val="000000" w:themeColor="text1"/>
                <w:sz w:val="22"/>
                <w:u w:val="single"/>
              </w:rPr>
              <w:t>Wind energy:</w:t>
            </w:r>
            <w:r w:rsidRPr="3F0F1197">
              <w:rPr>
                <w:noProof/>
                <w:color w:val="000000" w:themeColor="text1"/>
                <w:sz w:val="22"/>
              </w:rPr>
              <w:t xml:space="preserve"> </w:t>
            </w:r>
            <w:r w:rsidRPr="3F0F1197">
              <w:rPr>
                <w:noProof/>
                <w:color w:val="000000"/>
                <w:sz w:val="22"/>
              </w:rPr>
              <w:t xml:space="preserve">The exact number of jobs related to wind power in SMEs is not known. However, </w:t>
            </w:r>
            <w:r w:rsidRPr="3F0F1197" w:rsidDel="545C8C3C">
              <w:rPr>
                <w:noProof/>
                <w:color w:val="000000" w:themeColor="text1"/>
                <w:sz w:val="22"/>
              </w:rPr>
              <w:t>overall</w:t>
            </w:r>
            <w:r w:rsidR="10810E8C" w:rsidRPr="3F0F1197">
              <w:rPr>
                <w:noProof/>
                <w:color w:val="000000" w:themeColor="text1"/>
                <w:sz w:val="22"/>
              </w:rPr>
              <w:t>,</w:t>
            </w:r>
            <w:r w:rsidRPr="3F0F1197">
              <w:rPr>
                <w:noProof/>
                <w:color w:val="000000" w:themeColor="text1"/>
                <w:sz w:val="22"/>
              </w:rPr>
              <w:t xml:space="preserve"> in 2022, wind energy sustained 300</w:t>
            </w:r>
            <w:r w:rsidR="217EA473" w:rsidRPr="3F0F1197">
              <w:rPr>
                <w:noProof/>
                <w:color w:val="000000" w:themeColor="text1"/>
                <w:sz w:val="22"/>
              </w:rPr>
              <w:t xml:space="preserve"> </w:t>
            </w:r>
            <w:r w:rsidRPr="3F0F1197">
              <w:rPr>
                <w:noProof/>
                <w:color w:val="000000" w:themeColor="text1"/>
                <w:sz w:val="22"/>
              </w:rPr>
              <w:t>000 jobs in the EU.</w:t>
            </w:r>
            <w:r w:rsidR="00020031" w:rsidRPr="3F0F1197">
              <w:rPr>
                <w:rStyle w:val="FootnoteReference"/>
                <w:noProof/>
                <w:color w:val="000000" w:themeColor="text1"/>
                <w:sz w:val="22"/>
              </w:rPr>
              <w:footnoteReference w:id="330"/>
            </w:r>
          </w:p>
          <w:p w14:paraId="3332B03F" w14:textId="52FC93FA" w:rsidR="00020031" w:rsidRPr="00732327" w:rsidRDefault="404A2814" w:rsidP="004D4511">
            <w:pPr>
              <w:contextualSpacing/>
              <w:rPr>
                <w:noProof/>
                <w:color w:val="000000"/>
                <w:sz w:val="22"/>
              </w:rPr>
            </w:pPr>
            <w:r w:rsidRPr="3F0F1197">
              <w:rPr>
                <w:rFonts w:eastAsia="Yu Mincho"/>
                <w:noProof/>
                <w:color w:val="000000" w:themeColor="text1"/>
                <w:sz w:val="22"/>
                <w:u w:val="single"/>
              </w:rPr>
              <w:t>Construction</w:t>
            </w:r>
            <w:r w:rsidRPr="3F0F1197">
              <w:rPr>
                <w:rFonts w:eastAsia="Yu Mincho"/>
                <w:noProof/>
                <w:color w:val="000000" w:themeColor="text1"/>
                <w:sz w:val="22"/>
              </w:rPr>
              <w:t>:</w:t>
            </w:r>
            <w:r w:rsidRPr="3F0F1197">
              <w:rPr>
                <w:rFonts w:eastAsia="Yu Mincho"/>
                <w:i/>
                <w:iCs/>
                <w:noProof/>
                <w:color w:val="000000" w:themeColor="text1"/>
                <w:sz w:val="22"/>
              </w:rPr>
              <w:t xml:space="preserve"> </w:t>
            </w:r>
            <w:r w:rsidRPr="3F0F1197">
              <w:rPr>
                <w:rFonts w:eastAsia="Aptos"/>
                <w:noProof/>
                <w:color w:val="000000" w:themeColor="text1"/>
                <w:sz w:val="22"/>
              </w:rPr>
              <w:t>SMEs employed 20.6 million people in 2022, representing 76.5% of the employment in the construction sector.</w:t>
            </w:r>
            <w:r w:rsidR="00020031" w:rsidRPr="3F0F1197">
              <w:rPr>
                <w:noProof/>
                <w:color w:val="000000" w:themeColor="text1"/>
                <w:sz w:val="22"/>
                <w:vertAlign w:val="superscript"/>
              </w:rPr>
              <w:footnoteReference w:id="331"/>
            </w:r>
          </w:p>
        </w:tc>
      </w:tr>
      <w:tr w:rsidR="00020031" w:rsidRPr="00343C51" w14:paraId="66B655B1" w14:textId="77777777" w:rsidTr="3F0F1197">
        <w:tc>
          <w:tcPr>
            <w:tcW w:w="5000" w:type="pct"/>
          </w:tcPr>
          <w:p w14:paraId="2F478B43" w14:textId="77777777" w:rsidR="00020031" w:rsidRPr="00732327" w:rsidRDefault="00020031">
            <w:pPr>
              <w:contextualSpacing/>
              <w:rPr>
                <w:rFonts w:eastAsia="Aptos"/>
                <w:b/>
                <w:noProof/>
                <w:color w:val="000000"/>
                <w:sz w:val="22"/>
              </w:rPr>
            </w:pPr>
            <w:r w:rsidRPr="00732327">
              <w:rPr>
                <w:rFonts w:eastAsia="Aptos"/>
                <w:b/>
                <w:noProof/>
                <w:color w:val="000000"/>
                <w:sz w:val="22"/>
              </w:rPr>
              <w:t>Are SMEs indirectly affected? In which sectors? What is the estimated number of indirectly affected SMEs and employees?</w:t>
            </w:r>
          </w:p>
        </w:tc>
      </w:tr>
      <w:tr w:rsidR="00020031" w:rsidRPr="00343C51" w14:paraId="7E10EDAB" w14:textId="77777777" w:rsidTr="3F0F1197">
        <w:trPr>
          <w:trHeight w:val="300"/>
        </w:trPr>
        <w:tc>
          <w:tcPr>
            <w:tcW w:w="5000" w:type="pct"/>
          </w:tcPr>
          <w:p w14:paraId="7C0244A8" w14:textId="17031ACA" w:rsidR="00020031" w:rsidRPr="00732327" w:rsidRDefault="00020031">
            <w:pPr>
              <w:contextualSpacing/>
              <w:rPr>
                <w:rFonts w:eastAsia="Aptos"/>
                <w:noProof/>
                <w:color w:val="000000"/>
                <w:sz w:val="22"/>
              </w:rPr>
            </w:pPr>
            <w:r w:rsidRPr="00732327">
              <w:rPr>
                <w:rFonts w:eastAsia="Aptos"/>
                <w:noProof/>
                <w:color w:val="000000" w:themeColor="text1"/>
                <w:sz w:val="22"/>
              </w:rPr>
              <w:t>This initiative is expected to indirectly affect SMEs in the value chain of EII and clean tech manufacturing, especially in the downstream part, such as the finishing steps of the production process</w:t>
            </w:r>
            <w:r w:rsidR="00F923DC" w:rsidRPr="00732327">
              <w:rPr>
                <w:rFonts w:eastAsia="Aptos"/>
                <w:noProof/>
                <w:color w:val="000000" w:themeColor="text1"/>
                <w:sz w:val="22"/>
              </w:rPr>
              <w:t xml:space="preserve"> or road transport</w:t>
            </w:r>
            <w:r w:rsidRPr="00732327">
              <w:rPr>
                <w:rFonts w:eastAsia="Aptos"/>
                <w:noProof/>
                <w:color w:val="000000" w:themeColor="text1"/>
                <w:sz w:val="22"/>
              </w:rPr>
              <w:t xml:space="preserve">. It is not possible to estimate the number of indirectly affected SMEs and employees, since these span across a wide number of downstream sector players. </w:t>
            </w:r>
          </w:p>
        </w:tc>
      </w:tr>
    </w:tbl>
    <w:p w14:paraId="6A7AB713" w14:textId="77777777" w:rsidR="00020031" w:rsidRPr="00F261DB" w:rsidRDefault="00020031">
      <w:pPr>
        <w:contextualSpacing/>
        <w:rPr>
          <w:rFonts w:eastAsia="Times New Roman"/>
          <w:b/>
          <w:smallCaps/>
          <w:noProof/>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20031" w:rsidRPr="00343C51" w14:paraId="02B1CD32" w14:textId="77777777" w:rsidTr="00E71388">
        <w:trPr>
          <w:trHeight w:val="300"/>
        </w:trPr>
        <w:tc>
          <w:tcPr>
            <w:tcW w:w="5000" w:type="pct"/>
          </w:tcPr>
          <w:p w14:paraId="00CE3AC8" w14:textId="77777777" w:rsidR="00020031" w:rsidRPr="00343C51" w:rsidRDefault="00020031" w:rsidP="003F3451">
            <w:pPr>
              <w:numPr>
                <w:ilvl w:val="0"/>
                <w:numId w:val="16"/>
              </w:numPr>
              <w:contextualSpacing/>
              <w:rPr>
                <w:rFonts w:eastAsia="Aptos"/>
                <w:smallCaps/>
                <w:noProof/>
                <w:color w:val="000000"/>
                <w:sz w:val="22"/>
              </w:rPr>
            </w:pPr>
            <w:r w:rsidRPr="00343C51">
              <w:rPr>
                <w:rFonts w:eastAsia="Aptos"/>
                <w:b/>
                <w:smallCaps/>
                <w:noProof/>
                <w:color w:val="000000"/>
                <w:sz w:val="22"/>
              </w:rPr>
              <w:t>Consultation of SME stakeholders</w:t>
            </w:r>
          </w:p>
        </w:tc>
      </w:tr>
      <w:tr w:rsidR="00020031" w:rsidRPr="00343C51" w14:paraId="71045CF9" w14:textId="77777777" w:rsidTr="00E71388">
        <w:trPr>
          <w:trHeight w:val="300"/>
        </w:trPr>
        <w:tc>
          <w:tcPr>
            <w:tcW w:w="5000" w:type="pct"/>
          </w:tcPr>
          <w:p w14:paraId="7A19B607" w14:textId="77777777" w:rsidR="00020031" w:rsidRPr="00732327" w:rsidRDefault="00020031">
            <w:pPr>
              <w:contextualSpacing/>
              <w:rPr>
                <w:rFonts w:eastAsia="Times New Roman"/>
                <w:noProof/>
                <w:color w:val="000000" w:themeColor="text1"/>
                <w:sz w:val="22"/>
                <w:highlight w:val="green"/>
              </w:rPr>
            </w:pPr>
          </w:p>
          <w:p w14:paraId="47691F17" w14:textId="2F2DFF62" w:rsidR="00020031" w:rsidRPr="00732327" w:rsidRDefault="00020031" w:rsidP="00A11E4D">
            <w:pPr>
              <w:contextualSpacing/>
              <w:rPr>
                <w:rFonts w:eastAsia="Times New Roman"/>
                <w:b/>
                <w:noProof/>
                <w:color w:val="000000" w:themeColor="text1"/>
                <w:sz w:val="22"/>
              </w:rPr>
            </w:pPr>
            <w:r w:rsidRPr="00732327">
              <w:rPr>
                <w:rFonts w:eastAsia="Times New Roman"/>
                <w:b/>
                <w:noProof/>
                <w:color w:val="000000" w:themeColor="text1"/>
                <w:sz w:val="22"/>
              </w:rPr>
              <w:t xml:space="preserve">How has the input from the SME community been taken into consideration? </w:t>
            </w:r>
          </w:p>
          <w:p w14:paraId="26DAA048" w14:textId="77777777" w:rsidR="00020031" w:rsidRPr="00732327" w:rsidRDefault="00020031" w:rsidP="00A11E4D">
            <w:pPr>
              <w:contextualSpacing/>
              <w:rPr>
                <w:rFonts w:eastAsia="Times New Roman"/>
                <w:b/>
                <w:noProof/>
                <w:color w:val="000000" w:themeColor="text1"/>
                <w:sz w:val="22"/>
              </w:rPr>
            </w:pPr>
          </w:p>
          <w:p w14:paraId="2C43A55A" w14:textId="77777777" w:rsidR="00020031" w:rsidRPr="00732327" w:rsidRDefault="00020031" w:rsidP="00A11E4D">
            <w:pPr>
              <w:contextualSpacing/>
              <w:rPr>
                <w:rFonts w:eastAsia="Times New Roman"/>
                <w:b/>
                <w:noProof/>
                <w:color w:val="000000" w:themeColor="text1"/>
                <w:sz w:val="22"/>
              </w:rPr>
            </w:pPr>
            <w:r w:rsidRPr="00732327">
              <w:rPr>
                <w:rFonts w:eastAsia="Times New Roman"/>
                <w:b/>
                <w:noProof/>
                <w:color w:val="000000" w:themeColor="text1"/>
                <w:sz w:val="22"/>
              </w:rPr>
              <w:t xml:space="preserve">Are SMEs’ views different from those of large businesses? (Yes/No) </w:t>
            </w:r>
          </w:p>
          <w:p w14:paraId="3A2B3434" w14:textId="77777777" w:rsidR="00020031" w:rsidRPr="00732327" w:rsidRDefault="00020031" w:rsidP="00A11E4D">
            <w:pPr>
              <w:contextualSpacing/>
              <w:rPr>
                <w:rFonts w:eastAsia="Times New Roman"/>
                <w:b/>
                <w:noProof/>
                <w:color w:val="000000" w:themeColor="text1"/>
                <w:sz w:val="22"/>
              </w:rPr>
            </w:pPr>
          </w:p>
          <w:p w14:paraId="267E85CF" w14:textId="77777777" w:rsidR="00020031" w:rsidRPr="00732327" w:rsidRDefault="00020031" w:rsidP="004D4511">
            <w:pPr>
              <w:contextualSpacing/>
              <w:rPr>
                <w:rFonts w:eastAsia="Times New Roman"/>
                <w:noProof/>
                <w:color w:val="000000" w:themeColor="text1"/>
                <w:sz w:val="22"/>
              </w:rPr>
            </w:pPr>
            <w:r w:rsidRPr="00732327">
              <w:rPr>
                <w:rFonts w:eastAsia="Times New Roman"/>
                <w:noProof/>
                <w:color w:val="000000" w:themeColor="text1"/>
                <w:sz w:val="22"/>
              </w:rPr>
              <w:t xml:space="preserve">The </w:t>
            </w:r>
            <w:r w:rsidRPr="00732327">
              <w:rPr>
                <w:rFonts w:eastAsia="Times New Roman"/>
                <w:b/>
                <w:noProof/>
                <w:color w:val="000000" w:themeColor="text1"/>
                <w:sz w:val="22"/>
              </w:rPr>
              <w:t>Open Public Consultation</w:t>
            </w:r>
            <w:r w:rsidRPr="00732327">
              <w:rPr>
                <w:rFonts w:eastAsia="Times New Roman"/>
                <w:noProof/>
                <w:color w:val="000000" w:themeColor="text1"/>
                <w:sz w:val="22"/>
              </w:rPr>
              <w:t xml:space="preserve"> (OPC) received 176 answers from SMEs, out of a total of 314 (56%). </w:t>
            </w:r>
          </w:p>
          <w:p w14:paraId="7C9B9B0D" w14:textId="77777777" w:rsidR="00A11E4D" w:rsidRPr="00732327" w:rsidRDefault="00A11E4D" w:rsidP="004D4511">
            <w:pPr>
              <w:contextualSpacing/>
              <w:rPr>
                <w:rFonts w:eastAsia="Times New Roman"/>
                <w:noProof/>
                <w:color w:val="000000" w:themeColor="text1"/>
                <w:sz w:val="22"/>
              </w:rPr>
            </w:pPr>
          </w:p>
          <w:p w14:paraId="5EE024A6" w14:textId="3AE709E8" w:rsidR="00020031" w:rsidRPr="00732327" w:rsidRDefault="00020031" w:rsidP="004D4511">
            <w:pPr>
              <w:contextualSpacing/>
              <w:rPr>
                <w:rFonts w:eastAsia="Times New Roman"/>
                <w:noProof/>
                <w:color w:val="000000" w:themeColor="text1"/>
                <w:sz w:val="22"/>
              </w:rPr>
            </w:pPr>
            <w:r w:rsidRPr="00732327">
              <w:rPr>
                <w:rFonts w:eastAsia="Times New Roman"/>
                <w:noProof/>
                <w:color w:val="000000" w:themeColor="text1"/>
                <w:sz w:val="22"/>
              </w:rPr>
              <w:t xml:space="preserve">When analysed alongside large companies’ responses, there was </w:t>
            </w:r>
            <w:r w:rsidRPr="00732327">
              <w:rPr>
                <w:rFonts w:eastAsia="Times New Roman"/>
                <w:b/>
                <w:noProof/>
                <w:color w:val="000000" w:themeColor="text1"/>
                <w:sz w:val="22"/>
              </w:rPr>
              <w:t>substantial alignment</w:t>
            </w:r>
            <w:r w:rsidRPr="00732327">
              <w:rPr>
                <w:rFonts w:eastAsia="Times New Roman"/>
                <w:noProof/>
                <w:color w:val="000000" w:themeColor="text1"/>
                <w:sz w:val="22"/>
              </w:rPr>
              <w:t xml:space="preserve">, indicating that both small and large companies face similar decarbonisation challenges. This coherence also applies to the solutions considered by the </w:t>
            </w:r>
            <w:r w:rsidR="00646A42" w:rsidRPr="00732327">
              <w:rPr>
                <w:rFonts w:eastAsia="Times New Roman"/>
                <w:noProof/>
                <w:color w:val="000000" w:themeColor="text1"/>
                <w:sz w:val="22"/>
              </w:rPr>
              <w:t>IAA</w:t>
            </w:r>
            <w:r w:rsidRPr="00732327">
              <w:rPr>
                <w:rFonts w:eastAsia="Times New Roman"/>
                <w:noProof/>
                <w:color w:val="000000" w:themeColor="text1"/>
                <w:sz w:val="22"/>
              </w:rPr>
              <w:t>, which would seemingly benefit both SMEs and large enterprises. While the level of support varied slightly throughout the consultation, alignment remained on most points detailed in the OPC analysis set out in Annex 2.</w:t>
            </w:r>
          </w:p>
          <w:p w14:paraId="57EAD4F6" w14:textId="77777777" w:rsidR="00020031" w:rsidRPr="00732327" w:rsidRDefault="00020031" w:rsidP="004D4511">
            <w:pPr>
              <w:contextualSpacing/>
              <w:rPr>
                <w:rFonts w:eastAsia="Times New Roman"/>
                <w:noProof/>
                <w:color w:val="000000" w:themeColor="text1"/>
                <w:sz w:val="22"/>
              </w:rPr>
            </w:pPr>
          </w:p>
          <w:p w14:paraId="66F8C758" w14:textId="427B33F9" w:rsidR="00020031" w:rsidRPr="00732327" w:rsidRDefault="00020031" w:rsidP="004D4511">
            <w:pPr>
              <w:contextualSpacing/>
              <w:rPr>
                <w:rFonts w:eastAsia="Times New Roman"/>
                <w:noProof/>
                <w:color w:val="000000"/>
                <w:sz w:val="22"/>
              </w:rPr>
            </w:pPr>
            <w:r w:rsidRPr="00732327">
              <w:rPr>
                <w:rFonts w:eastAsia="Times New Roman"/>
                <w:noProof/>
                <w:color w:val="000000" w:themeColor="text1"/>
                <w:sz w:val="22"/>
              </w:rPr>
              <w:t xml:space="preserve">Some differences were however observed, especially in the context of permitting, </w:t>
            </w:r>
            <w:r w:rsidRPr="00732327">
              <w:rPr>
                <w:noProof/>
                <w:sz w:val="22"/>
              </w:rPr>
              <w:t xml:space="preserve">with </w:t>
            </w:r>
            <w:r w:rsidRPr="00732327">
              <w:rPr>
                <w:rFonts w:eastAsia="Times New Roman"/>
                <w:noProof/>
                <w:color w:val="000000" w:themeColor="text1"/>
                <w:sz w:val="22"/>
              </w:rPr>
              <w:t xml:space="preserve">a higher percentage of </w:t>
            </w:r>
            <w:r w:rsidRPr="00732327">
              <w:rPr>
                <w:rFonts w:eastAsia="Times New Roman"/>
                <w:noProof/>
                <w:sz w:val="22"/>
              </w:rPr>
              <w:t>SMEs res</w:t>
            </w:r>
            <w:r w:rsidR="00BE3175" w:rsidRPr="00732327">
              <w:rPr>
                <w:rFonts w:eastAsia="Times New Roman"/>
                <w:noProof/>
                <w:sz w:val="22"/>
              </w:rPr>
              <w:t>p</w:t>
            </w:r>
            <w:r w:rsidRPr="00732327">
              <w:rPr>
                <w:rFonts w:eastAsia="Times New Roman"/>
                <w:noProof/>
                <w:sz w:val="22"/>
              </w:rPr>
              <w:t xml:space="preserve">onding to the </w:t>
            </w:r>
            <w:r w:rsidRPr="00732327">
              <w:rPr>
                <w:rFonts w:eastAsia="Times New Roman"/>
                <w:noProof/>
                <w:color w:val="000000" w:themeColor="text1"/>
                <w:sz w:val="22"/>
              </w:rPr>
              <w:t xml:space="preserve">permitting </w:t>
            </w:r>
            <w:r w:rsidRPr="00732327">
              <w:rPr>
                <w:rFonts w:eastAsia="Times New Roman"/>
                <w:noProof/>
                <w:sz w:val="22"/>
              </w:rPr>
              <w:t xml:space="preserve">questions and showing a stronger support for the </w:t>
            </w:r>
            <w:r w:rsidRPr="00732327">
              <w:rPr>
                <w:rFonts w:eastAsia="Times New Roman"/>
                <w:noProof/>
                <w:sz w:val="22"/>
              </w:rPr>
              <w:lastRenderedPageBreak/>
              <w:t xml:space="preserve">proposed solutions. </w:t>
            </w:r>
            <w:r w:rsidRPr="00732327">
              <w:rPr>
                <w:rFonts w:eastAsia="Times New Roman"/>
                <w:noProof/>
                <w:color w:val="000000" w:themeColor="text1"/>
                <w:sz w:val="22"/>
              </w:rPr>
              <w:t xml:space="preserve">This is further supported by the results of the </w:t>
            </w:r>
            <w:r w:rsidRPr="00732327">
              <w:rPr>
                <w:rFonts w:eastAsia="Times New Roman"/>
                <w:b/>
                <w:noProof/>
                <w:color w:val="000000" w:themeColor="text1"/>
                <w:sz w:val="22"/>
              </w:rPr>
              <w:t>targeted consultation</w:t>
            </w:r>
            <w:r w:rsidRPr="00732327">
              <w:rPr>
                <w:rFonts w:eastAsia="Times New Roman"/>
                <w:noProof/>
                <w:color w:val="000000" w:themeColor="text1"/>
                <w:sz w:val="22"/>
              </w:rPr>
              <w:t xml:space="preserve">, where respondents highlighted that SMEs typically have fewer resources to manage the administrative workload and costs associated with the permitting processes. Furthermore, in the section on identifying and promoting industrial decarbonisation priority projects, most SMEs (90, 96%) favour improved access to funding - an option that ranked lower among general respondents. This is followed by support for faster permit-granting procedures (85, 90%) and priority status for administrative procedures (81, 86%). In comparison, only 50% of large companies selected faster permitting, suggesting again that permitting is a more pressing issue for SMEs. </w:t>
            </w:r>
          </w:p>
        </w:tc>
      </w:tr>
    </w:tbl>
    <w:p w14:paraId="6FA2A19D" w14:textId="77777777" w:rsidR="00020031" w:rsidRPr="00F261DB" w:rsidRDefault="00020031">
      <w:pPr>
        <w:rPr>
          <w:rFonts w:eastAsia="Times New Roman"/>
          <w:b/>
          <w:noProof/>
          <w:color w:val="000000"/>
        </w:rPr>
      </w:pPr>
    </w:p>
    <w:tbl>
      <w:tblPr>
        <w:tblStyle w:val="TableGridLight"/>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52FB" w:rsidRPr="00343C51" w14:paraId="372F49B9" w14:textId="77777777" w:rsidTr="7AB4815A">
        <w:trPr>
          <w:trHeight w:val="300"/>
        </w:trPr>
        <w:tc>
          <w:tcPr>
            <w:tcW w:w="5000" w:type="pct"/>
          </w:tcPr>
          <w:p w14:paraId="4D1EF1CE" w14:textId="77777777" w:rsidR="00020031" w:rsidRPr="00343C51" w:rsidRDefault="404A2814" w:rsidP="003F3451">
            <w:pPr>
              <w:numPr>
                <w:ilvl w:val="0"/>
                <w:numId w:val="16"/>
              </w:numPr>
              <w:contextualSpacing/>
              <w:jc w:val="left"/>
              <w:rPr>
                <w:rFonts w:eastAsia="Times New Roman"/>
                <w:b/>
                <w:smallCaps/>
                <w:noProof/>
                <w:color w:val="000000"/>
              </w:rPr>
            </w:pPr>
            <w:r w:rsidRPr="1A2A8689">
              <w:rPr>
                <w:rFonts w:eastAsia="Times New Roman"/>
                <w:b/>
                <w:bCs/>
                <w:smallCaps/>
                <w:noProof/>
                <w:color w:val="000000"/>
              </w:rPr>
              <w:t>Assessment of impacts on SMEs</w:t>
            </w:r>
            <w:r w:rsidR="00020031" w:rsidRPr="1A2A8689">
              <w:rPr>
                <w:rFonts w:eastAsia="Times New Roman"/>
                <w:b/>
                <w:bCs/>
                <w:smallCaps/>
                <w:noProof/>
                <w:color w:val="000000"/>
                <w:vertAlign w:val="superscript"/>
              </w:rPr>
              <w:footnoteReference w:id="332"/>
            </w:r>
          </w:p>
        </w:tc>
      </w:tr>
      <w:tr w:rsidR="004752FB" w:rsidRPr="00343C51" w14:paraId="305050CE" w14:textId="77777777" w:rsidTr="7AB4815A">
        <w:trPr>
          <w:trHeight w:val="300"/>
        </w:trPr>
        <w:tc>
          <w:tcPr>
            <w:tcW w:w="5000" w:type="pct"/>
          </w:tcPr>
          <w:p w14:paraId="2C2C088A" w14:textId="77777777" w:rsidR="00020031" w:rsidRPr="00343C51" w:rsidRDefault="00020031" w:rsidP="00A11E4D">
            <w:pPr>
              <w:rPr>
                <w:rFonts w:eastAsia="Times New Roman"/>
                <w:i/>
                <w:noProof/>
                <w:color w:val="000000"/>
              </w:rPr>
            </w:pPr>
            <w:r w:rsidRPr="00F261DB">
              <w:rPr>
                <w:rFonts w:eastAsia="Times New Roman"/>
                <w:b/>
                <w:noProof/>
                <w:color w:val="000000" w:themeColor="text1"/>
                <w:szCs w:val="24"/>
              </w:rPr>
              <w:t>What are the estimated direct costs for SMEs of the preferred policy option</w:t>
            </w:r>
            <w:r w:rsidRPr="00F261DB">
              <w:rPr>
                <w:rFonts w:eastAsia="Times New Roman"/>
                <w:b/>
                <w:i/>
                <w:noProof/>
                <w:color w:val="000000" w:themeColor="text1"/>
                <w:szCs w:val="24"/>
              </w:rPr>
              <w:t>?</w:t>
            </w:r>
            <w:r w:rsidRPr="00F261DB">
              <w:rPr>
                <w:rFonts w:eastAsia="Times New Roman"/>
                <w:noProof/>
                <w:color w:val="000000" w:themeColor="text1"/>
                <w:szCs w:val="24"/>
              </w:rPr>
              <w:t xml:space="preserve"> </w:t>
            </w:r>
          </w:p>
        </w:tc>
      </w:tr>
      <w:tr w:rsidR="004752FB" w:rsidRPr="00343C51" w14:paraId="5D0239DC" w14:textId="77777777" w:rsidTr="7AB4815A">
        <w:trPr>
          <w:trHeight w:val="300"/>
        </w:trPr>
        <w:tc>
          <w:tcPr>
            <w:tcW w:w="5000" w:type="pct"/>
          </w:tcPr>
          <w:p w14:paraId="1438AAEE" w14:textId="77777777" w:rsidR="00020031" w:rsidRPr="00343C51" w:rsidRDefault="00020031" w:rsidP="00A11E4D">
            <w:pPr>
              <w:rPr>
                <w:rFonts w:eastAsia="Times New Roman"/>
                <w:i/>
                <w:noProof/>
                <w:color w:val="000000"/>
              </w:rPr>
            </w:pPr>
            <w:bookmarkStart w:id="519" w:name="_Hlk189835363"/>
            <w:r w:rsidRPr="00F261DB">
              <w:rPr>
                <w:rFonts w:eastAsia="Times New Roman"/>
                <w:b/>
                <w:i/>
                <w:noProof/>
                <w:color w:val="000000"/>
                <w:szCs w:val="24"/>
              </w:rPr>
              <w:t>Qualitative assessment</w:t>
            </w:r>
          </w:p>
        </w:tc>
      </w:tr>
      <w:tr w:rsidR="004752FB" w:rsidRPr="00343C51" w14:paraId="554D0775" w14:textId="77777777" w:rsidTr="7AB4815A">
        <w:trPr>
          <w:trHeight w:val="300"/>
        </w:trPr>
        <w:tc>
          <w:tcPr>
            <w:tcW w:w="5000" w:type="pct"/>
          </w:tcPr>
          <w:p w14:paraId="39729F1D" w14:textId="77777777" w:rsidR="00020031" w:rsidRPr="00732327" w:rsidRDefault="00020031" w:rsidP="00A11E4D">
            <w:pPr>
              <w:pStyle w:val="Text2"/>
              <w:tabs>
                <w:tab w:val="clear" w:pos="2302"/>
              </w:tabs>
              <w:ind w:left="0"/>
              <w:rPr>
                <w:noProof/>
                <w:szCs w:val="22"/>
              </w:rPr>
            </w:pPr>
            <w:r w:rsidRPr="00F261DB">
              <w:rPr>
                <w:noProof/>
                <w:szCs w:val="24"/>
              </w:rPr>
              <w:t>Assuming the low-carbon steel label (</w:t>
            </w:r>
            <w:r w:rsidRPr="00F261DB">
              <w:rPr>
                <w:b/>
                <w:noProof/>
                <w:szCs w:val="24"/>
              </w:rPr>
              <w:t>SO1</w:t>
            </w:r>
            <w:r w:rsidRPr="00F261DB">
              <w:rPr>
                <w:noProof/>
                <w:szCs w:val="24"/>
              </w:rPr>
              <w:t>) applies to the most energy-intensive stages of steel production, it is likely to affect primarily the largest steel producers, which typically are not SMEs. Costs impact for SMEs is thus expected to be marginal.</w:t>
            </w:r>
          </w:p>
          <w:p w14:paraId="7D4EEE7A" w14:textId="79124D53" w:rsidR="00020031" w:rsidRPr="00732327" w:rsidRDefault="00020031" w:rsidP="00A11E4D">
            <w:pPr>
              <w:pStyle w:val="Text2"/>
              <w:tabs>
                <w:tab w:val="clear" w:pos="2302"/>
              </w:tabs>
              <w:ind w:left="0"/>
              <w:rPr>
                <w:noProof/>
                <w:szCs w:val="22"/>
              </w:rPr>
            </w:pPr>
            <w:r w:rsidRPr="00F261DB">
              <w:rPr>
                <w:noProof/>
                <w:szCs w:val="24"/>
              </w:rPr>
              <w:t xml:space="preserve">Low-carbon and </w:t>
            </w:r>
            <w:r w:rsidR="00281489">
              <w:rPr>
                <w:noProof/>
                <w:szCs w:val="24"/>
              </w:rPr>
              <w:t>Made in EU</w:t>
            </w:r>
            <w:r w:rsidRPr="00F261DB">
              <w:rPr>
                <w:noProof/>
                <w:szCs w:val="24"/>
              </w:rPr>
              <w:t xml:space="preserve"> requirements (</w:t>
            </w:r>
            <w:r w:rsidRPr="00F261DB">
              <w:rPr>
                <w:b/>
                <w:noProof/>
                <w:szCs w:val="24"/>
              </w:rPr>
              <w:t>SO2</w:t>
            </w:r>
            <w:r w:rsidRPr="00F261DB">
              <w:rPr>
                <w:noProof/>
                <w:szCs w:val="24"/>
              </w:rPr>
              <w:t xml:space="preserve">) will however imply costs for SMEs, </w:t>
            </w:r>
            <w:r w:rsidR="00433205" w:rsidRPr="00F261DB">
              <w:rPr>
                <w:noProof/>
                <w:szCs w:val="24"/>
              </w:rPr>
              <w:t xml:space="preserve">when </w:t>
            </w:r>
            <w:r w:rsidRPr="00F261DB">
              <w:rPr>
                <w:noProof/>
                <w:szCs w:val="24"/>
              </w:rPr>
              <w:t>procuring low-carbon and EU-made products. However</w:t>
            </w:r>
            <w:r w:rsidR="00066763" w:rsidRPr="00F261DB">
              <w:rPr>
                <w:noProof/>
                <w:szCs w:val="24"/>
              </w:rPr>
              <w:t>,</w:t>
            </w:r>
            <w:r w:rsidRPr="00F261DB">
              <w:rPr>
                <w:noProof/>
                <w:szCs w:val="24"/>
              </w:rPr>
              <w:t xml:space="preserve"> these costs are expected to be distributed across the value chain and leading only to a limited increase in the final price. These costs are expected to be passed on to consumers or absorbed by economic operat</w:t>
            </w:r>
            <w:r w:rsidR="002250E9" w:rsidRPr="00F261DB">
              <w:rPr>
                <w:noProof/>
                <w:szCs w:val="24"/>
              </w:rPr>
              <w:t>ors or public authorities</w:t>
            </w:r>
            <w:r w:rsidRPr="00F261DB">
              <w:rPr>
                <w:noProof/>
                <w:szCs w:val="24"/>
              </w:rPr>
              <w:t xml:space="preserve"> – though SMEs may be less able to do so than larger firms. </w:t>
            </w:r>
          </w:p>
          <w:p w14:paraId="581FC172" w14:textId="4E2D5772" w:rsidR="00020031" w:rsidRPr="00343C51" w:rsidRDefault="00281489" w:rsidP="00B35FCD">
            <w:pPr>
              <w:rPr>
                <w:noProof/>
              </w:rPr>
            </w:pPr>
            <w:r>
              <w:rPr>
                <w:noProof/>
                <w:szCs w:val="24"/>
              </w:rPr>
              <w:t>Made in EU</w:t>
            </w:r>
            <w:r w:rsidR="00020031" w:rsidRPr="00F261DB">
              <w:rPr>
                <w:noProof/>
                <w:szCs w:val="24"/>
              </w:rPr>
              <w:t xml:space="preserve"> requirements in solar cells (</w:t>
            </w:r>
            <w:r w:rsidR="00020031" w:rsidRPr="00F261DB">
              <w:rPr>
                <w:b/>
                <w:noProof/>
                <w:szCs w:val="24"/>
              </w:rPr>
              <w:t>SO2</w:t>
            </w:r>
            <w:r w:rsidR="00020031" w:rsidRPr="00F261DB">
              <w:rPr>
                <w:noProof/>
                <w:szCs w:val="24"/>
              </w:rPr>
              <w:t xml:space="preserve">) may lead to a temporary slowdown in solar panel installations by SMEs. This impact is expected to be limited and manageable, as Europe’s commitment to ambitious PV deployment targets remains firm and unchanged. Conversely, it will support the establishment of </w:t>
            </w:r>
            <w:r w:rsidR="00020031" w:rsidRPr="00B35FCD">
              <w:rPr>
                <w:rFonts w:eastAsia="Times New Roman"/>
                <w:noProof/>
                <w:color w:val="000000" w:themeColor="text1"/>
                <w:szCs w:val="24"/>
              </w:rPr>
              <w:t>manufacturing</w:t>
            </w:r>
            <w:r w:rsidR="00020031" w:rsidRPr="00F261DB">
              <w:rPr>
                <w:noProof/>
                <w:szCs w:val="24"/>
              </w:rPr>
              <w:t xml:space="preserve"> SMEs.</w:t>
            </w:r>
          </w:p>
        </w:tc>
      </w:tr>
      <w:tr w:rsidR="004752FB" w:rsidRPr="00343C51" w14:paraId="0943AFE9" w14:textId="77777777" w:rsidTr="7AB4815A">
        <w:trPr>
          <w:trHeight w:val="300"/>
        </w:trPr>
        <w:tc>
          <w:tcPr>
            <w:tcW w:w="5000" w:type="pct"/>
          </w:tcPr>
          <w:p w14:paraId="0723F391" w14:textId="77777777" w:rsidR="00020031" w:rsidRPr="00343C51" w:rsidRDefault="00020031" w:rsidP="00A11E4D">
            <w:pPr>
              <w:rPr>
                <w:rFonts w:eastAsia="Times New Roman"/>
                <w:b/>
                <w:noProof/>
                <w:color w:val="000000"/>
              </w:rPr>
            </w:pPr>
            <w:r w:rsidRPr="00F261DB">
              <w:rPr>
                <w:rFonts w:eastAsia="Times New Roman"/>
                <w:b/>
                <w:noProof/>
                <w:color w:val="000000" w:themeColor="text1"/>
                <w:szCs w:val="24"/>
              </w:rPr>
              <w:t>Quantitative assessment</w:t>
            </w:r>
            <w:bookmarkEnd w:id="519"/>
          </w:p>
        </w:tc>
      </w:tr>
      <w:tr w:rsidR="004752FB" w:rsidRPr="00343C51" w14:paraId="7EE300B4" w14:textId="77777777" w:rsidTr="7AB4815A">
        <w:trPr>
          <w:trHeight w:val="300"/>
        </w:trPr>
        <w:tc>
          <w:tcPr>
            <w:tcW w:w="5000" w:type="pct"/>
          </w:tcPr>
          <w:p w14:paraId="264D4F2C" w14:textId="205D12BD" w:rsidR="00020031" w:rsidRPr="00343C51" w:rsidRDefault="00020031" w:rsidP="00732327">
            <w:pPr>
              <w:rPr>
                <w:rFonts w:eastAsia="Times New Roman"/>
                <w:noProof/>
                <w:color w:val="000000" w:themeColor="text1"/>
              </w:rPr>
            </w:pPr>
            <w:r w:rsidRPr="00F261DB">
              <w:rPr>
                <w:rFonts w:eastAsia="Times New Roman"/>
                <w:noProof/>
                <w:color w:val="000000" w:themeColor="text1"/>
                <w:szCs w:val="24"/>
              </w:rPr>
              <w:t xml:space="preserve">There is no available data on price increases specific to SMEs, however, the financial impacts of the policy measures, as outlined in Annex 3, are expected to apply to SMEs to a similar extent as to other (large) companies. </w:t>
            </w:r>
          </w:p>
        </w:tc>
      </w:tr>
      <w:tr w:rsidR="004752FB" w:rsidRPr="00343C51" w14:paraId="2035DE3F" w14:textId="77777777" w:rsidTr="7AB4815A">
        <w:trPr>
          <w:trHeight w:val="300"/>
        </w:trPr>
        <w:tc>
          <w:tcPr>
            <w:tcW w:w="5000" w:type="pct"/>
          </w:tcPr>
          <w:p w14:paraId="659F02A8" w14:textId="77777777" w:rsidR="00020031" w:rsidRPr="00343C51" w:rsidRDefault="00020031" w:rsidP="00A11E4D">
            <w:pPr>
              <w:rPr>
                <w:rFonts w:eastAsia="Times New Roman"/>
                <w:b/>
                <w:noProof/>
                <w:color w:val="000000"/>
              </w:rPr>
            </w:pPr>
            <w:r w:rsidRPr="00F261DB">
              <w:rPr>
                <w:rFonts w:eastAsia="Times New Roman"/>
                <w:b/>
                <w:noProof/>
                <w:color w:val="000000"/>
                <w:szCs w:val="24"/>
              </w:rPr>
              <w:t>What are the estimated direct benefits/cost savings for SMEs of the preferred policy option?</w:t>
            </w:r>
          </w:p>
        </w:tc>
      </w:tr>
      <w:tr w:rsidR="004752FB" w:rsidRPr="00343C51" w14:paraId="6CA0C41A" w14:textId="77777777" w:rsidTr="7AB4815A">
        <w:trPr>
          <w:trHeight w:val="300"/>
        </w:trPr>
        <w:tc>
          <w:tcPr>
            <w:tcW w:w="5000" w:type="pct"/>
          </w:tcPr>
          <w:p w14:paraId="4D9BC9FD" w14:textId="77777777" w:rsidR="00020031" w:rsidRPr="00343C51" w:rsidRDefault="00020031" w:rsidP="00A11E4D">
            <w:pPr>
              <w:rPr>
                <w:rFonts w:eastAsia="Times New Roman"/>
                <w:noProof/>
                <w:color w:val="000000"/>
              </w:rPr>
            </w:pPr>
            <w:r w:rsidRPr="00F261DB">
              <w:rPr>
                <w:rFonts w:eastAsia="Times New Roman"/>
                <w:b/>
                <w:noProof/>
                <w:color w:val="000000"/>
                <w:szCs w:val="24"/>
              </w:rPr>
              <w:t>Qualitative assessment</w:t>
            </w:r>
          </w:p>
        </w:tc>
      </w:tr>
      <w:tr w:rsidR="004752FB" w:rsidRPr="00343C51" w14:paraId="5D6C2A70" w14:textId="77777777" w:rsidTr="7AB4815A">
        <w:trPr>
          <w:trHeight w:val="300"/>
        </w:trPr>
        <w:tc>
          <w:tcPr>
            <w:tcW w:w="5000" w:type="pct"/>
          </w:tcPr>
          <w:p w14:paraId="6E900770" w14:textId="2380907E" w:rsidR="00020031" w:rsidRPr="00343C51" w:rsidRDefault="545C8C3C" w:rsidP="00A11E4D">
            <w:pPr>
              <w:rPr>
                <w:rFonts w:eastAsia="Times New Roman"/>
                <w:noProof/>
              </w:rPr>
            </w:pPr>
            <w:r w:rsidRPr="00F261DB">
              <w:rPr>
                <w:rFonts w:eastAsia="Times New Roman"/>
                <w:noProof/>
                <w:szCs w:val="24"/>
              </w:rPr>
              <w:t xml:space="preserve">SMEs are expected to benefit directly from an expanded market for their </w:t>
            </w:r>
            <w:r w:rsidR="5EA002EE" w:rsidRPr="00F261DB">
              <w:rPr>
                <w:rFonts w:eastAsia="Times New Roman"/>
                <w:noProof/>
                <w:szCs w:val="24"/>
              </w:rPr>
              <w:t xml:space="preserve">European, </w:t>
            </w:r>
            <w:r w:rsidRPr="00F261DB">
              <w:rPr>
                <w:rFonts w:eastAsia="Times New Roman"/>
                <w:noProof/>
                <w:szCs w:val="24"/>
              </w:rPr>
              <w:t>low-carbon products, and indirectly through their role in the supply chains of larger companies. As outlined in Annex 3, these benefits—excluding those related to FDIs—are anticipated to apply to SMEs in the same way as to (large) companies.</w:t>
            </w:r>
          </w:p>
          <w:p w14:paraId="267A4668" w14:textId="1F60220D" w:rsidR="00020031" w:rsidRPr="00343C51" w:rsidRDefault="00020031" w:rsidP="00A11E4D">
            <w:pPr>
              <w:rPr>
                <w:rFonts w:eastAsia="Times New Roman"/>
                <w:noProof/>
                <w:color w:val="000000"/>
              </w:rPr>
            </w:pPr>
            <w:r w:rsidRPr="00020C03">
              <w:rPr>
                <w:noProof/>
                <w:color w:val="000000" w:themeColor="text1"/>
              </w:rPr>
              <w:t>Permitting measures are expected to deliver significant cost savings and benefits for SMEs (</w:t>
            </w:r>
            <w:r w:rsidRPr="00020C03">
              <w:rPr>
                <w:b/>
                <w:noProof/>
                <w:color w:val="000000" w:themeColor="text1"/>
              </w:rPr>
              <w:t>SO4</w:t>
            </w:r>
            <w:r w:rsidRPr="00020C03">
              <w:rPr>
                <w:noProof/>
                <w:color w:val="000000" w:themeColor="text1"/>
              </w:rPr>
              <w:t xml:space="preserve">), by speeding-up and facilitating the administrative process (see, also below on administrative burden reduction), while also creating legal certainty. </w:t>
            </w:r>
          </w:p>
          <w:p w14:paraId="3BEBBADB" w14:textId="03140455" w:rsidR="00020031" w:rsidRPr="00343C51" w:rsidRDefault="00020031" w:rsidP="00A11E4D">
            <w:pPr>
              <w:rPr>
                <w:rFonts w:eastAsia="Times New Roman"/>
                <w:noProof/>
                <w:color w:val="000000"/>
              </w:rPr>
            </w:pPr>
            <w:r w:rsidRPr="00F261DB">
              <w:rPr>
                <w:rFonts w:eastAsia="Times New Roman"/>
                <w:noProof/>
                <w:color w:val="000000"/>
                <w:szCs w:val="24"/>
              </w:rPr>
              <w:t>The definition of criteria for priority projects (</w:t>
            </w:r>
            <w:r w:rsidRPr="00F261DB">
              <w:rPr>
                <w:rFonts w:eastAsia="Times New Roman"/>
                <w:b/>
                <w:noProof/>
                <w:color w:val="000000"/>
                <w:szCs w:val="24"/>
              </w:rPr>
              <w:t>SO5</w:t>
            </w:r>
            <w:r w:rsidRPr="00F261DB">
              <w:rPr>
                <w:rFonts w:eastAsia="Times New Roman"/>
                <w:noProof/>
                <w:color w:val="000000"/>
                <w:szCs w:val="24"/>
              </w:rPr>
              <w:t xml:space="preserve">) is expected to facilitate access to funding for decarbonisation projects, including those led by SMEs. This is likely to accelerate investment decisions and facilitate the participation of SMEs in industrial decarbonisation efforts across the EU. </w:t>
            </w:r>
          </w:p>
        </w:tc>
      </w:tr>
      <w:tr w:rsidR="004752FB" w:rsidRPr="00343C51" w14:paraId="6AA8699F" w14:textId="77777777" w:rsidTr="7AB4815A">
        <w:trPr>
          <w:trHeight w:val="300"/>
        </w:trPr>
        <w:tc>
          <w:tcPr>
            <w:tcW w:w="5000" w:type="pct"/>
          </w:tcPr>
          <w:p w14:paraId="19A50473" w14:textId="77777777" w:rsidR="00020031" w:rsidRPr="00343C51" w:rsidRDefault="00020031" w:rsidP="00A11E4D">
            <w:pPr>
              <w:rPr>
                <w:rFonts w:eastAsia="Times New Roman"/>
                <w:noProof/>
                <w:color w:val="000000"/>
              </w:rPr>
            </w:pPr>
            <w:r w:rsidRPr="00F261DB">
              <w:rPr>
                <w:rFonts w:eastAsia="Times New Roman"/>
                <w:b/>
                <w:noProof/>
                <w:color w:val="000000" w:themeColor="text1"/>
                <w:szCs w:val="24"/>
              </w:rPr>
              <w:t>Quantitative assessment</w:t>
            </w:r>
          </w:p>
        </w:tc>
      </w:tr>
      <w:tr w:rsidR="004752FB" w:rsidRPr="00343C51" w14:paraId="5531A09D" w14:textId="77777777" w:rsidTr="7AB4815A">
        <w:trPr>
          <w:trHeight w:val="300"/>
        </w:trPr>
        <w:tc>
          <w:tcPr>
            <w:tcW w:w="5000" w:type="pct"/>
          </w:tcPr>
          <w:p w14:paraId="59E8DB4B" w14:textId="3C8098A4" w:rsidR="00020031" w:rsidRPr="00343C51" w:rsidRDefault="00020031" w:rsidP="00A11E4D">
            <w:pPr>
              <w:rPr>
                <w:rFonts w:eastAsia="Times New Roman"/>
                <w:noProof/>
                <w:color w:val="000000"/>
                <w:highlight w:val="yellow"/>
              </w:rPr>
            </w:pPr>
            <w:r w:rsidRPr="00F261DB">
              <w:rPr>
                <w:rFonts w:eastAsia="Times New Roman"/>
                <w:noProof/>
                <w:szCs w:val="24"/>
              </w:rPr>
              <w:t>Provisions on permitting will apply to all manufacturing and EII SMEs, which stand to benefit from administrative cost savings, as detailed in Annex 3 and reflected in the 3</w:t>
            </w:r>
            <w:r w:rsidR="00E37C68">
              <w:rPr>
                <w:rFonts w:eastAsia="Times New Roman"/>
                <w:noProof/>
                <w:szCs w:val="24"/>
              </w:rPr>
              <w:t>5%</w:t>
            </w:r>
            <w:r w:rsidRPr="00F261DB">
              <w:rPr>
                <w:rFonts w:eastAsia="Times New Roman"/>
                <w:noProof/>
                <w:szCs w:val="24"/>
              </w:rPr>
              <w:t xml:space="preserve"> burden reduction target outlined below.</w:t>
            </w:r>
          </w:p>
        </w:tc>
      </w:tr>
      <w:tr w:rsidR="004752FB" w:rsidRPr="00343C51" w14:paraId="47C40021" w14:textId="77777777" w:rsidTr="7AB4815A">
        <w:trPr>
          <w:trHeight w:val="300"/>
        </w:trPr>
        <w:tc>
          <w:tcPr>
            <w:tcW w:w="5000" w:type="pct"/>
          </w:tcPr>
          <w:p w14:paraId="6BEB951A" w14:textId="77777777" w:rsidR="00020031" w:rsidRPr="00343C51" w:rsidRDefault="00020031" w:rsidP="00A11E4D">
            <w:pPr>
              <w:rPr>
                <w:rFonts w:eastAsia="Times New Roman"/>
                <w:i/>
                <w:noProof/>
                <w:color w:val="000000"/>
              </w:rPr>
            </w:pPr>
            <w:r w:rsidRPr="00F261DB">
              <w:rPr>
                <w:rFonts w:eastAsia="Times New Roman"/>
                <w:b/>
                <w:noProof/>
                <w:color w:val="000000" w:themeColor="text1"/>
                <w:szCs w:val="24"/>
              </w:rPr>
              <w:t>What are the indirect impacts of this initiative on SMEs?</w:t>
            </w:r>
          </w:p>
        </w:tc>
      </w:tr>
      <w:tr w:rsidR="004752FB" w:rsidRPr="00343C51" w14:paraId="219256B9" w14:textId="77777777" w:rsidTr="7AB4815A">
        <w:trPr>
          <w:trHeight w:val="300"/>
        </w:trPr>
        <w:tc>
          <w:tcPr>
            <w:tcW w:w="5000" w:type="pct"/>
          </w:tcPr>
          <w:p w14:paraId="4545CB3A" w14:textId="77777777" w:rsidR="00020031" w:rsidRPr="00343C51" w:rsidRDefault="00020031" w:rsidP="00A11E4D">
            <w:pPr>
              <w:rPr>
                <w:rFonts w:eastAsia="Times New Roman"/>
                <w:noProof/>
                <w:color w:val="000000"/>
              </w:rPr>
            </w:pPr>
            <w:r w:rsidRPr="00F261DB">
              <w:rPr>
                <w:rFonts w:eastAsia="Times New Roman"/>
                <w:noProof/>
                <w:color w:val="000000"/>
                <w:szCs w:val="24"/>
              </w:rPr>
              <w:t xml:space="preserve">By improving the competitiveness of EIIs and clean tech ecosystems, which are largely composed of SMEs, this initiative is expected to generate positive spillover effects for SMEs operating across </w:t>
            </w:r>
            <w:r w:rsidRPr="00F261DB">
              <w:rPr>
                <w:rFonts w:eastAsia="Times New Roman"/>
                <w:noProof/>
                <w:color w:val="000000"/>
                <w:szCs w:val="24"/>
              </w:rPr>
              <w:lastRenderedPageBreak/>
              <w:t>related value chains. Improved market conditions, increased demand, and enhanced innovation capacity will help SMEs grow, scale, and better integrate into domestic and international markets.</w:t>
            </w:r>
          </w:p>
        </w:tc>
      </w:tr>
    </w:tbl>
    <w:p w14:paraId="0615CB35" w14:textId="77777777" w:rsidR="00020031" w:rsidRPr="00F261DB" w:rsidRDefault="00020031">
      <w:pPr>
        <w:rPr>
          <w:rFonts w:eastAsia="Times New Roman"/>
          <w:b/>
          <w:noProof/>
          <w:color w:val="000000"/>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20031" w:rsidRPr="00343C51" w14:paraId="52CB47D3" w14:textId="77777777" w:rsidTr="1FA04443">
        <w:tc>
          <w:tcPr>
            <w:tcW w:w="9288" w:type="dxa"/>
          </w:tcPr>
          <w:p w14:paraId="0D21551F" w14:textId="77777777" w:rsidR="00020031" w:rsidRPr="00732327" w:rsidRDefault="00020031" w:rsidP="003F3451">
            <w:pPr>
              <w:numPr>
                <w:ilvl w:val="0"/>
                <w:numId w:val="16"/>
              </w:numPr>
              <w:contextualSpacing/>
              <w:jc w:val="left"/>
              <w:rPr>
                <w:rFonts w:eastAsia="Aptos"/>
                <w:b/>
                <w:smallCaps/>
                <w:noProof/>
                <w:color w:val="000000"/>
                <w:sz w:val="22"/>
              </w:rPr>
            </w:pPr>
            <w:r w:rsidRPr="00732327">
              <w:rPr>
                <w:rFonts w:eastAsia="Aptos"/>
                <w:b/>
                <w:smallCaps/>
                <w:noProof/>
                <w:color w:val="000000"/>
                <w:sz w:val="22"/>
              </w:rPr>
              <w:t>Minimising negative impacts on SMEs</w:t>
            </w:r>
          </w:p>
        </w:tc>
      </w:tr>
      <w:tr w:rsidR="00020031" w:rsidRPr="00343C51" w14:paraId="28B7A65F" w14:textId="77777777" w:rsidTr="1FA04443">
        <w:tc>
          <w:tcPr>
            <w:tcW w:w="9288" w:type="dxa"/>
          </w:tcPr>
          <w:p w14:paraId="5B8F4104" w14:textId="77777777" w:rsidR="00020031" w:rsidRPr="00732327" w:rsidRDefault="00020031">
            <w:pPr>
              <w:rPr>
                <w:rFonts w:eastAsia="Aptos"/>
                <w:noProof/>
                <w:color w:val="000000" w:themeColor="text1"/>
                <w:sz w:val="22"/>
              </w:rPr>
            </w:pPr>
            <w:r w:rsidRPr="00732327">
              <w:rPr>
                <w:rFonts w:eastAsia="Aptos"/>
                <w:b/>
                <w:noProof/>
                <w:color w:val="000000" w:themeColor="text1"/>
                <w:sz w:val="22"/>
              </w:rPr>
              <w:t xml:space="preserve">Are SMEs disproportionately affected compared to large companies? </w:t>
            </w:r>
          </w:p>
          <w:p w14:paraId="21BE2EB7" w14:textId="77777777" w:rsidR="00020031" w:rsidRPr="00732327" w:rsidRDefault="00020031">
            <w:pPr>
              <w:rPr>
                <w:rFonts w:eastAsia="Aptos"/>
                <w:i/>
                <w:noProof/>
                <w:color w:val="000000"/>
                <w:sz w:val="22"/>
              </w:rPr>
            </w:pPr>
            <w:r w:rsidRPr="00732327">
              <w:rPr>
                <w:rFonts w:eastAsia="Aptos"/>
                <w:noProof/>
                <w:color w:val="000000" w:themeColor="text1"/>
                <w:sz w:val="22"/>
              </w:rPr>
              <w:t>No</w:t>
            </w:r>
          </w:p>
          <w:p w14:paraId="1812EA6A" w14:textId="77777777" w:rsidR="00020031" w:rsidRPr="00732327" w:rsidRDefault="00020031">
            <w:pPr>
              <w:rPr>
                <w:rFonts w:eastAsia="Aptos"/>
                <w:b/>
                <w:noProof/>
                <w:color w:val="000000"/>
                <w:sz w:val="22"/>
              </w:rPr>
            </w:pPr>
            <w:r w:rsidRPr="00732327">
              <w:rPr>
                <w:rFonts w:eastAsia="Aptos"/>
                <w:b/>
                <w:noProof/>
                <w:color w:val="000000"/>
                <w:sz w:val="22"/>
              </w:rPr>
              <w:t>If yes, are there any specific subgroups</w:t>
            </w:r>
            <w:r w:rsidRPr="00732327">
              <w:rPr>
                <w:rFonts w:eastAsia="Aptos"/>
                <w:noProof/>
                <w:sz w:val="22"/>
              </w:rPr>
              <w:t xml:space="preserve"> </w:t>
            </w:r>
            <w:r w:rsidRPr="00732327">
              <w:rPr>
                <w:rFonts w:eastAsia="Aptos"/>
                <w:b/>
                <w:noProof/>
                <w:color w:val="000000"/>
                <w:sz w:val="22"/>
              </w:rPr>
              <w:t>of SMEs more exposed than others?</w:t>
            </w:r>
          </w:p>
        </w:tc>
      </w:tr>
      <w:tr w:rsidR="00020031" w:rsidRPr="00FD0753" w14:paraId="5F0358BD" w14:textId="77777777" w:rsidTr="1FA04443">
        <w:tc>
          <w:tcPr>
            <w:tcW w:w="9288" w:type="dxa"/>
          </w:tcPr>
          <w:p w14:paraId="1FF44027" w14:textId="448CA4B4" w:rsidR="00020031" w:rsidRPr="00FD0753" w:rsidRDefault="59C42ADF" w:rsidP="00343C51">
            <w:pPr>
              <w:rPr>
                <w:rFonts w:eastAsia="Aptos"/>
                <w:noProof/>
                <w:sz w:val="22"/>
              </w:rPr>
            </w:pPr>
            <w:r w:rsidRPr="00FD0753">
              <w:rPr>
                <w:rFonts w:eastAsia="Aptos" w:cstheme="minorBidi"/>
                <w:noProof/>
                <w:sz w:val="22"/>
              </w:rPr>
              <w:t xml:space="preserve">This </w:t>
            </w:r>
            <w:r w:rsidR="00B167BF" w:rsidRPr="00FD0753">
              <w:rPr>
                <w:rFonts w:eastAsia="Aptos" w:cstheme="minorBidi"/>
                <w:noProof/>
                <w:sz w:val="22"/>
              </w:rPr>
              <w:t>initiative</w:t>
            </w:r>
            <w:r w:rsidRPr="00FD0753">
              <w:rPr>
                <w:rFonts w:eastAsia="Aptos" w:cstheme="minorBidi"/>
                <w:noProof/>
                <w:sz w:val="22"/>
              </w:rPr>
              <w:t xml:space="preserve"> is expected to lead to additional administrative </w:t>
            </w:r>
            <w:r w:rsidR="7B4C11CB" w:rsidRPr="00FD0753">
              <w:rPr>
                <w:rFonts w:eastAsia="Aptos" w:cstheme="minorBidi"/>
                <w:noProof/>
                <w:sz w:val="22"/>
              </w:rPr>
              <w:t xml:space="preserve">costs </w:t>
            </w:r>
            <w:r w:rsidRPr="00FD0753">
              <w:rPr>
                <w:rFonts w:eastAsia="Aptos" w:cstheme="minorBidi"/>
                <w:noProof/>
                <w:sz w:val="22"/>
              </w:rPr>
              <w:t>for companies</w:t>
            </w:r>
            <w:r w:rsidR="5EEE9A30" w:rsidRPr="00FD0753">
              <w:rPr>
                <w:rFonts w:eastAsiaTheme="minorHAnsi" w:cstheme="minorBidi"/>
                <w:noProof/>
                <w:sz w:val="22"/>
              </w:rPr>
              <w:t>, particularly</w:t>
            </w:r>
            <w:r w:rsidRPr="00FD0753">
              <w:rPr>
                <w:rFonts w:eastAsia="Aptos" w:cstheme="minorBidi"/>
                <w:noProof/>
                <w:sz w:val="22"/>
              </w:rPr>
              <w:t xml:space="preserve"> within </w:t>
            </w:r>
            <w:r w:rsidR="060CCCD8" w:rsidRPr="00FD0753">
              <w:rPr>
                <w:rFonts w:eastAsia="Aptos" w:cstheme="minorBidi"/>
                <w:noProof/>
                <w:sz w:val="22"/>
              </w:rPr>
              <w:t xml:space="preserve">downstream </w:t>
            </w:r>
            <w:r w:rsidRPr="00FD0753">
              <w:rPr>
                <w:rFonts w:eastAsia="Aptos" w:cstheme="minorBidi"/>
                <w:noProof/>
                <w:sz w:val="22"/>
              </w:rPr>
              <w:t xml:space="preserve">sectors </w:t>
            </w:r>
            <w:r w:rsidR="5EEE9A30" w:rsidRPr="00FD0753">
              <w:rPr>
                <w:rFonts w:eastAsiaTheme="minorHAnsi" w:cstheme="minorBidi"/>
                <w:noProof/>
                <w:sz w:val="22"/>
              </w:rPr>
              <w:t xml:space="preserve">such as </w:t>
            </w:r>
            <w:r w:rsidR="5CCC4640" w:rsidRPr="00FD0753">
              <w:rPr>
                <w:rFonts w:eastAsia="Aptos" w:cstheme="minorBidi"/>
                <w:noProof/>
                <w:sz w:val="22"/>
              </w:rPr>
              <w:t>automotive and construction</w:t>
            </w:r>
            <w:r w:rsidR="5EEE9A30" w:rsidRPr="00FD0753">
              <w:rPr>
                <w:rFonts w:eastAsiaTheme="minorHAnsi" w:cstheme="minorBidi"/>
                <w:noProof/>
                <w:sz w:val="22"/>
              </w:rPr>
              <w:t xml:space="preserve">, which will be required </w:t>
            </w:r>
            <w:r w:rsidR="00CB1065" w:rsidRPr="00FD0753">
              <w:rPr>
                <w:rFonts w:eastAsiaTheme="minorHAnsi" w:cstheme="minorBidi"/>
                <w:noProof/>
                <w:sz w:val="22"/>
              </w:rPr>
              <w:t xml:space="preserve">to </w:t>
            </w:r>
            <w:r w:rsidR="2F302FCC" w:rsidRPr="00FD0753">
              <w:rPr>
                <w:rFonts w:eastAsiaTheme="minorEastAsia" w:cstheme="minorBidi"/>
                <w:noProof/>
                <w:sz w:val="22"/>
              </w:rPr>
              <w:t>demonstrate</w:t>
            </w:r>
            <w:r w:rsidR="6FE78F78" w:rsidRPr="00FD0753">
              <w:rPr>
                <w:rFonts w:eastAsiaTheme="minorEastAsia" w:cstheme="minorBidi"/>
                <w:noProof/>
                <w:sz w:val="22"/>
              </w:rPr>
              <w:t xml:space="preserve"> </w:t>
            </w:r>
            <w:r w:rsidR="5EEE9A30" w:rsidRPr="00FD0753">
              <w:rPr>
                <w:rFonts w:eastAsiaTheme="minorHAnsi" w:cstheme="minorBidi"/>
                <w:noProof/>
                <w:sz w:val="22"/>
              </w:rPr>
              <w:t xml:space="preserve">compliance under lead market provisions (LEAD) and notify authorities under FDI conditionalities (INV). As can be seen from the table above, the majority of companies operating in the manufacturing sector are SMEs. </w:t>
            </w:r>
          </w:p>
          <w:p w14:paraId="27EFF725" w14:textId="629757CB" w:rsidR="00020031" w:rsidRPr="00FD0753" w:rsidRDefault="6E40765C" w:rsidP="00343C51">
            <w:pPr>
              <w:rPr>
                <w:rFonts w:eastAsiaTheme="minorEastAsia" w:cstheme="minorBidi"/>
                <w:noProof/>
                <w:sz w:val="22"/>
              </w:rPr>
            </w:pPr>
            <w:r w:rsidRPr="00FD0753">
              <w:rPr>
                <w:rFonts w:eastAsiaTheme="minorEastAsia" w:cstheme="minorBidi"/>
                <w:noProof/>
                <w:sz w:val="22"/>
              </w:rPr>
              <w:t xml:space="preserve">For PO2, </w:t>
            </w:r>
            <w:r w:rsidR="3C01C7A3" w:rsidRPr="00FD0753">
              <w:rPr>
                <w:rFonts w:eastAsiaTheme="minorEastAsia" w:cstheme="minorBidi"/>
                <w:noProof/>
                <w:sz w:val="22"/>
              </w:rPr>
              <w:t>under LEAD_EII measures,</w:t>
            </w:r>
            <w:r w:rsidRPr="00FD0753">
              <w:rPr>
                <w:rFonts w:eastAsiaTheme="minorEastAsia" w:cstheme="minorBidi"/>
                <w:noProof/>
                <w:sz w:val="22"/>
              </w:rPr>
              <w:t xml:space="preserve"> SMEs will face some administrative costs due to </w:t>
            </w:r>
            <w:r w:rsidR="3265B337" w:rsidRPr="00FD0753">
              <w:rPr>
                <w:rFonts w:eastAsiaTheme="minorEastAsia" w:cstheme="minorBidi"/>
                <w:noProof/>
                <w:sz w:val="22"/>
              </w:rPr>
              <w:t xml:space="preserve">demonstrate </w:t>
            </w:r>
            <w:r w:rsidRPr="00FD0753">
              <w:rPr>
                <w:rFonts w:eastAsiaTheme="minorEastAsia" w:cstheme="minorBidi"/>
                <w:noProof/>
                <w:sz w:val="22"/>
              </w:rPr>
              <w:t>compliance reporting. In the construction sector, where the Act may impact up to 921</w:t>
            </w:r>
            <w:r w:rsidR="00B8591D" w:rsidRPr="00FD0753">
              <w:rPr>
                <w:rFonts w:eastAsiaTheme="minorEastAsia" w:cstheme="minorBidi"/>
                <w:noProof/>
                <w:sz w:val="22"/>
              </w:rPr>
              <w:t xml:space="preserve"> </w:t>
            </w:r>
            <w:r w:rsidRPr="00FD0753">
              <w:rPr>
                <w:rFonts w:eastAsiaTheme="minorEastAsia" w:cstheme="minorBidi"/>
                <w:noProof/>
                <w:sz w:val="22"/>
              </w:rPr>
              <w:t xml:space="preserve">948 companies, </w:t>
            </w:r>
            <w:r w:rsidR="6F7E5F9D" w:rsidRPr="00FD0753">
              <w:rPr>
                <w:rFonts w:eastAsiaTheme="minorEastAsia" w:cstheme="minorBidi"/>
                <w:noProof/>
                <w:sz w:val="22"/>
              </w:rPr>
              <w:t>only large and medium-</w:t>
            </w:r>
            <w:r w:rsidR="6F7E5F9D" w:rsidRPr="00FD0753">
              <w:rPr>
                <w:rFonts w:eastAsiaTheme="minorHAnsi" w:cstheme="minorBidi"/>
                <w:noProof/>
                <w:sz w:val="22"/>
              </w:rPr>
              <w:t>sized</w:t>
            </w:r>
            <w:r w:rsidR="6F7E5F9D" w:rsidRPr="00FD0753">
              <w:rPr>
                <w:rFonts w:eastAsiaTheme="minorEastAsia" w:cstheme="minorBidi"/>
                <w:noProof/>
                <w:sz w:val="22"/>
              </w:rPr>
              <w:t xml:space="preserve"> companies are proposed required to demonstrate compliance, excluding small and micro companies (totalling 915 729). This aims to reduce the administrative and financial burden on SMEs.</w:t>
            </w:r>
            <w:r w:rsidRPr="00FD0753">
              <w:rPr>
                <w:rFonts w:eastAsiaTheme="minorEastAsia" w:cstheme="minorBidi"/>
                <w:noProof/>
                <w:sz w:val="22"/>
              </w:rPr>
              <w:t xml:space="preserve"> In other sectors such as automotive and energy, most companies complying with the </w:t>
            </w:r>
            <w:r w:rsidR="7D347C4F" w:rsidRPr="00FD0753">
              <w:rPr>
                <w:rFonts w:eastAsiaTheme="minorEastAsia" w:cstheme="minorBidi"/>
                <w:noProof/>
                <w:sz w:val="22"/>
              </w:rPr>
              <w:t>measures</w:t>
            </w:r>
            <w:r w:rsidRPr="00FD0753">
              <w:rPr>
                <w:rFonts w:eastAsiaTheme="minorEastAsia" w:cstheme="minorBidi"/>
                <w:noProof/>
                <w:sz w:val="22"/>
              </w:rPr>
              <w:t xml:space="preserve"> are expected to be large organi</w:t>
            </w:r>
            <w:r w:rsidR="00C93E5C" w:rsidRPr="00FD0753">
              <w:rPr>
                <w:rFonts w:eastAsiaTheme="minorEastAsia" w:cstheme="minorBidi"/>
                <w:noProof/>
                <w:sz w:val="22"/>
              </w:rPr>
              <w:t>sation</w:t>
            </w:r>
            <w:r w:rsidRPr="00FD0753">
              <w:rPr>
                <w:rFonts w:eastAsiaTheme="minorEastAsia" w:cstheme="minorBidi"/>
                <w:noProof/>
                <w:sz w:val="22"/>
              </w:rPr>
              <w:t xml:space="preserve">s, as outlined in the company size breakdown in Annex 3. </w:t>
            </w:r>
            <w:r w:rsidR="5DD44DCD" w:rsidRPr="00FD0753">
              <w:rPr>
                <w:rFonts w:eastAsiaTheme="minorEastAsia" w:cstheme="minorBidi"/>
                <w:noProof/>
                <w:sz w:val="22"/>
              </w:rPr>
              <w:t>The administrative cost per company remains minimal, at EUR 882 per year for construction companies, and EUR 1176 per year for automotive.</w:t>
            </w:r>
          </w:p>
          <w:p w14:paraId="005CF786" w14:textId="3E00CDFC" w:rsidR="00020031" w:rsidRPr="00FD0753" w:rsidRDefault="6E40765C" w:rsidP="00343C51">
            <w:pPr>
              <w:rPr>
                <w:rFonts w:eastAsiaTheme="minorEastAsia" w:cstheme="minorBidi"/>
                <w:noProof/>
                <w:sz w:val="22"/>
              </w:rPr>
            </w:pPr>
            <w:r w:rsidRPr="00FD0753">
              <w:rPr>
                <w:rFonts w:eastAsiaTheme="minorEastAsia" w:cstheme="minorBidi"/>
                <w:noProof/>
                <w:sz w:val="22"/>
              </w:rPr>
              <w:t>These total administrative costs</w:t>
            </w:r>
            <w:r w:rsidR="00759260" w:rsidRPr="00FD0753">
              <w:rPr>
                <w:rFonts w:eastAsiaTheme="minorEastAsia" w:cstheme="minorBidi"/>
                <w:noProof/>
                <w:sz w:val="22"/>
              </w:rPr>
              <w:t xml:space="preserve"> for SMEs</w:t>
            </w:r>
            <w:r w:rsidRPr="00FD0753">
              <w:rPr>
                <w:rFonts w:eastAsiaTheme="minorEastAsia" w:cstheme="minorBidi"/>
                <w:noProof/>
                <w:sz w:val="22"/>
              </w:rPr>
              <w:t xml:space="preserve">, calculated at EUR </w:t>
            </w:r>
            <w:r w:rsidR="26769B8E" w:rsidRPr="00FD0753">
              <w:rPr>
                <w:rFonts w:eastAsiaTheme="minorEastAsia" w:cstheme="minorBidi"/>
                <w:noProof/>
                <w:sz w:val="22"/>
              </w:rPr>
              <w:t>982 191</w:t>
            </w:r>
            <w:r w:rsidRPr="00FD0753">
              <w:rPr>
                <w:rFonts w:eastAsiaTheme="minorEastAsia" w:cstheme="minorBidi"/>
                <w:noProof/>
                <w:sz w:val="22"/>
              </w:rPr>
              <w:t xml:space="preserve"> annually, will be </w:t>
            </w:r>
            <w:r w:rsidR="6F7E5F9D" w:rsidRPr="00FD0753">
              <w:rPr>
                <w:rFonts w:eastAsiaTheme="minorEastAsia" w:cstheme="minorBidi"/>
                <w:noProof/>
                <w:sz w:val="22"/>
              </w:rPr>
              <w:t>outweighed by</w:t>
            </w:r>
            <w:r w:rsidRPr="00FD0753">
              <w:rPr>
                <w:rFonts w:eastAsiaTheme="minorEastAsia" w:cstheme="minorBidi"/>
                <w:noProof/>
                <w:sz w:val="22"/>
              </w:rPr>
              <w:t xml:space="preserve"> permitting savings, calculated at EUR 27.85 million annually</w:t>
            </w:r>
            <w:r w:rsidR="6F7E5F9D" w:rsidRPr="00FD0753">
              <w:rPr>
                <w:rFonts w:eastAsiaTheme="minorEastAsia" w:cstheme="minorBidi"/>
                <w:noProof/>
                <w:sz w:val="22"/>
              </w:rPr>
              <w:t xml:space="preserve">, leading to total net savings in administrative costs for SMEs of EUR </w:t>
            </w:r>
            <w:r w:rsidR="6AE7FF49" w:rsidRPr="00FD0753">
              <w:rPr>
                <w:rFonts w:eastAsiaTheme="minorEastAsia" w:cstheme="minorBidi"/>
                <w:noProof/>
                <w:sz w:val="22"/>
              </w:rPr>
              <w:t>26.86</w:t>
            </w:r>
            <w:r w:rsidR="6F7E5F9D" w:rsidRPr="00FD0753">
              <w:rPr>
                <w:rFonts w:eastAsiaTheme="minorEastAsia" w:cstheme="minorBidi"/>
                <w:noProof/>
                <w:sz w:val="22"/>
              </w:rPr>
              <w:t xml:space="preserve"> million.</w:t>
            </w:r>
          </w:p>
          <w:p w14:paraId="28765764" w14:textId="766C2A57" w:rsidR="00020031" w:rsidRPr="00FD0753" w:rsidRDefault="6F7E5F9D" w:rsidP="00343C51">
            <w:pPr>
              <w:rPr>
                <w:rFonts w:ascii="Aptos" w:eastAsia="Aptos" w:hAnsi="Aptos" w:cs="Aptos"/>
                <w:noProof/>
                <w:sz w:val="22"/>
              </w:rPr>
            </w:pPr>
            <w:r w:rsidRPr="00FD0753">
              <w:rPr>
                <w:rFonts w:eastAsiaTheme="minorEastAsia" w:cstheme="minorBidi"/>
                <w:noProof/>
                <w:sz w:val="22"/>
              </w:rPr>
              <w:t xml:space="preserve">PO1 </w:t>
            </w:r>
            <w:r w:rsidR="6F7ACA80" w:rsidRPr="00FD0753">
              <w:rPr>
                <w:rFonts w:eastAsiaTheme="minorEastAsia" w:cstheme="minorBidi"/>
                <w:noProof/>
                <w:sz w:val="22"/>
              </w:rPr>
              <w:t xml:space="preserve">and PO2 </w:t>
            </w:r>
            <w:r w:rsidRPr="00FD0753">
              <w:rPr>
                <w:rFonts w:eastAsiaTheme="minorEastAsia" w:cstheme="minorBidi"/>
                <w:noProof/>
                <w:sz w:val="22"/>
              </w:rPr>
              <w:t>will result in lower administrative costs for SMEs, as lead market provisions are limited to public procurement and public support schemes. Meanwhile, i</w:t>
            </w:r>
            <w:r w:rsidR="6E40765C" w:rsidRPr="00FD0753">
              <w:rPr>
                <w:rFonts w:eastAsiaTheme="minorEastAsia" w:cstheme="minorBidi"/>
                <w:noProof/>
                <w:sz w:val="22"/>
              </w:rPr>
              <w:t xml:space="preserve">n PO3, </w:t>
            </w:r>
            <w:r w:rsidRPr="00FD0753">
              <w:rPr>
                <w:rFonts w:eastAsiaTheme="minorEastAsia" w:cstheme="minorBidi"/>
                <w:noProof/>
                <w:sz w:val="22"/>
              </w:rPr>
              <w:t xml:space="preserve">those </w:t>
            </w:r>
            <w:r w:rsidR="6E40765C" w:rsidRPr="00FD0753">
              <w:rPr>
                <w:rFonts w:eastAsiaTheme="minorEastAsia" w:cstheme="minorBidi"/>
                <w:noProof/>
                <w:sz w:val="22"/>
              </w:rPr>
              <w:t>costs would increase, as lead market provisions expand to products placed on the market.</w:t>
            </w:r>
          </w:p>
        </w:tc>
      </w:tr>
      <w:tr w:rsidR="00020031" w:rsidRPr="00FD0753" w14:paraId="527F4E47" w14:textId="77777777" w:rsidTr="1FA04443">
        <w:tc>
          <w:tcPr>
            <w:tcW w:w="9288" w:type="dxa"/>
          </w:tcPr>
          <w:p w14:paraId="1E703A75" w14:textId="77777777" w:rsidR="00020031" w:rsidRPr="00FD0753" w:rsidRDefault="00020031">
            <w:pPr>
              <w:rPr>
                <w:rFonts w:eastAsia="Aptos"/>
                <w:b/>
                <w:noProof/>
                <w:color w:val="000000" w:themeColor="text1"/>
                <w:sz w:val="22"/>
              </w:rPr>
            </w:pPr>
            <w:r w:rsidRPr="00FD0753">
              <w:rPr>
                <w:rFonts w:eastAsia="Aptos"/>
                <w:b/>
                <w:noProof/>
                <w:color w:val="000000" w:themeColor="text1"/>
                <w:sz w:val="22"/>
              </w:rPr>
              <w:t xml:space="preserve">Have mitigating measures been included in the preferred option/proposal? </w:t>
            </w:r>
            <w:r w:rsidRPr="00FD0753">
              <w:rPr>
                <w:rFonts w:eastAsia="Aptos"/>
                <w:noProof/>
                <w:color w:val="000000" w:themeColor="text1"/>
                <w:sz w:val="22"/>
              </w:rPr>
              <w:t xml:space="preserve">(Yes/No) </w:t>
            </w:r>
          </w:p>
        </w:tc>
      </w:tr>
      <w:tr w:rsidR="00020031" w:rsidRPr="00FD0753" w14:paraId="66B9BD82" w14:textId="77777777" w:rsidTr="1FA04443">
        <w:tc>
          <w:tcPr>
            <w:tcW w:w="9288" w:type="dxa"/>
          </w:tcPr>
          <w:p w14:paraId="78EAE756" w14:textId="362BC3A4" w:rsidR="00020031" w:rsidRPr="00FD0753" w:rsidRDefault="2D742FA5" w:rsidP="2F3F57A4">
            <w:pPr>
              <w:spacing w:after="160" w:line="276" w:lineRule="auto"/>
              <w:rPr>
                <w:rFonts w:eastAsia="Aptos"/>
                <w:noProof/>
                <w:sz w:val="22"/>
                <w:lang w:val="en-US"/>
              </w:rPr>
            </w:pPr>
            <w:r w:rsidRPr="00FD0753">
              <w:rPr>
                <w:rFonts w:eastAsia="Aptos" w:cstheme="minorBidi"/>
                <w:noProof/>
                <w:sz w:val="22"/>
                <w:lang w:val="en-US"/>
              </w:rPr>
              <w:t xml:space="preserve">Yes, </w:t>
            </w:r>
            <w:r w:rsidR="3B052B55" w:rsidRPr="00FD0753">
              <w:rPr>
                <w:rFonts w:eastAsia="Aptos" w:cstheme="minorBidi"/>
                <w:noProof/>
                <w:sz w:val="22"/>
                <w:lang w:val="en-US"/>
              </w:rPr>
              <w:t xml:space="preserve">some </w:t>
            </w:r>
            <w:r w:rsidR="220A5CB3" w:rsidRPr="00FD0753">
              <w:rPr>
                <w:rFonts w:eastAsia="Aptos" w:cstheme="minorBidi"/>
                <w:noProof/>
                <w:sz w:val="22"/>
                <w:lang w:val="en-US"/>
              </w:rPr>
              <w:t>SMEs</w:t>
            </w:r>
            <w:r w:rsidR="3B052B55" w:rsidRPr="00FD0753">
              <w:rPr>
                <w:rFonts w:eastAsia="Aptos" w:cstheme="minorBidi"/>
                <w:noProof/>
                <w:sz w:val="22"/>
                <w:lang w:val="en-US"/>
              </w:rPr>
              <w:t xml:space="preserve">, such as the small and micro companies operating in the construction sector, </w:t>
            </w:r>
            <w:r w:rsidR="2BDFC703" w:rsidRPr="00FD0753">
              <w:rPr>
                <w:rFonts w:eastAsia="Aptos" w:cstheme="minorBidi"/>
                <w:noProof/>
                <w:sz w:val="22"/>
                <w:lang w:val="en-US"/>
              </w:rPr>
              <w:t xml:space="preserve">could </w:t>
            </w:r>
            <w:r w:rsidR="28FF749A" w:rsidRPr="00FD0753">
              <w:rPr>
                <w:rFonts w:eastAsia="Aptos" w:cstheme="minorBidi"/>
                <w:noProof/>
                <w:sz w:val="22"/>
                <w:lang w:val="en-US"/>
              </w:rPr>
              <w:t xml:space="preserve">use </w:t>
            </w:r>
            <w:r w:rsidR="6350CCA0" w:rsidRPr="00FD0753">
              <w:rPr>
                <w:rFonts w:eastAsia="Aptos" w:cstheme="minorBidi"/>
                <w:noProof/>
                <w:sz w:val="22"/>
                <w:lang w:val="en-US"/>
              </w:rPr>
              <w:t>self-declaration</w:t>
            </w:r>
            <w:r w:rsidR="28FF749A" w:rsidRPr="00FD0753">
              <w:rPr>
                <w:rFonts w:eastAsia="Aptos" w:cstheme="minorBidi"/>
                <w:noProof/>
                <w:sz w:val="22"/>
                <w:lang w:val="en-US"/>
              </w:rPr>
              <w:t xml:space="preserve"> to demonstrate </w:t>
            </w:r>
            <w:r w:rsidR="220A5CB3" w:rsidRPr="00FD0753">
              <w:rPr>
                <w:rFonts w:eastAsia="Aptos" w:cstheme="minorBidi"/>
                <w:noProof/>
                <w:sz w:val="22"/>
                <w:lang w:val="en-US"/>
              </w:rPr>
              <w:t>compliance with low</w:t>
            </w:r>
            <w:r w:rsidR="00E41BFE" w:rsidRPr="00FD0753">
              <w:rPr>
                <w:rFonts w:eastAsia="Aptos" w:cstheme="minorBidi"/>
                <w:noProof/>
                <w:sz w:val="22"/>
                <w:lang w:val="en-US"/>
              </w:rPr>
              <w:t>-</w:t>
            </w:r>
            <w:r w:rsidR="220A5CB3" w:rsidRPr="00FD0753">
              <w:rPr>
                <w:rFonts w:eastAsia="Aptos" w:cstheme="minorBidi"/>
                <w:noProof/>
                <w:sz w:val="22"/>
                <w:lang w:val="en-US"/>
              </w:rPr>
              <w:t xml:space="preserve">carbon and </w:t>
            </w:r>
            <w:r w:rsidR="00281489" w:rsidRPr="00FD0753">
              <w:rPr>
                <w:rFonts w:eastAsia="Aptos" w:cstheme="minorBidi"/>
                <w:noProof/>
                <w:sz w:val="22"/>
                <w:lang w:val="en-US"/>
              </w:rPr>
              <w:t>M</w:t>
            </w:r>
            <w:r w:rsidR="220A5CB3" w:rsidRPr="00FD0753">
              <w:rPr>
                <w:rFonts w:eastAsia="Aptos" w:cstheme="minorBidi"/>
                <w:noProof/>
                <w:sz w:val="22"/>
                <w:lang w:val="en-US"/>
              </w:rPr>
              <w:t>ade in EU requirements.</w:t>
            </w:r>
          </w:p>
        </w:tc>
      </w:tr>
    </w:tbl>
    <w:p w14:paraId="7EA81A63" w14:textId="77777777" w:rsidR="00020031" w:rsidRPr="00732327" w:rsidRDefault="00020031">
      <w:pPr>
        <w:rPr>
          <w:rFonts w:eastAsia="Times New Roman"/>
          <w:b/>
          <w:smallCaps/>
          <w:noProof/>
          <w:color w:val="000000"/>
          <w:sz w:val="22"/>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180"/>
      </w:tblGrid>
      <w:tr w:rsidR="00020031" w:rsidRPr="00732327" w14:paraId="05F4EFE5" w14:textId="77777777" w:rsidTr="00E71388">
        <w:trPr>
          <w:trHeight w:val="300"/>
        </w:trPr>
        <w:tc>
          <w:tcPr>
            <w:tcW w:w="9180" w:type="dxa"/>
          </w:tcPr>
          <w:p w14:paraId="120932F7" w14:textId="77777777" w:rsidR="00020031" w:rsidRPr="00732327" w:rsidRDefault="00020031">
            <w:pPr>
              <w:rPr>
                <w:rFonts w:eastAsia="Aptos"/>
                <w:b/>
                <w:smallCaps/>
                <w:noProof/>
                <w:color w:val="000000"/>
                <w:sz w:val="22"/>
              </w:rPr>
            </w:pPr>
            <w:r w:rsidRPr="00732327">
              <w:rPr>
                <w:rFonts w:eastAsia="Aptos"/>
                <w:b/>
                <w:smallCaps/>
                <w:noProof/>
                <w:color w:val="000000"/>
                <w:sz w:val="22"/>
              </w:rPr>
              <w:t>Contribution to the 35% burden reduction target for SMEs</w:t>
            </w:r>
          </w:p>
        </w:tc>
      </w:tr>
      <w:tr w:rsidR="00020031" w:rsidRPr="00732327" w14:paraId="4AD1930F" w14:textId="77777777" w:rsidTr="00E71388">
        <w:trPr>
          <w:trHeight w:val="300"/>
        </w:trPr>
        <w:tc>
          <w:tcPr>
            <w:tcW w:w="9180" w:type="dxa"/>
          </w:tcPr>
          <w:p w14:paraId="20A3E695" w14:textId="77777777" w:rsidR="00020031" w:rsidRPr="00732327" w:rsidRDefault="00020031">
            <w:pPr>
              <w:rPr>
                <w:rFonts w:eastAsia="Aptos"/>
                <w:b/>
                <w:noProof/>
                <w:color w:val="000000"/>
                <w:sz w:val="22"/>
              </w:rPr>
            </w:pPr>
            <w:r w:rsidRPr="00732327">
              <w:rPr>
                <w:rFonts w:eastAsia="Aptos"/>
                <w:b/>
                <w:noProof/>
                <w:color w:val="000000"/>
                <w:sz w:val="22"/>
              </w:rPr>
              <w:t>Are there any administrative cost savings relevant for the 35% burden reduction target for SMEs?</w:t>
            </w:r>
          </w:p>
        </w:tc>
      </w:tr>
      <w:tr w:rsidR="00020031" w:rsidRPr="00732327" w14:paraId="302434B2" w14:textId="77777777" w:rsidTr="00E71388">
        <w:trPr>
          <w:trHeight w:val="300"/>
        </w:trPr>
        <w:tc>
          <w:tcPr>
            <w:tcW w:w="9180" w:type="dxa"/>
          </w:tcPr>
          <w:p w14:paraId="65037160" w14:textId="77777777" w:rsidR="00020031" w:rsidRPr="00732327" w:rsidRDefault="00020031">
            <w:pPr>
              <w:rPr>
                <w:noProof/>
                <w:sz w:val="22"/>
              </w:rPr>
            </w:pPr>
            <w:r w:rsidRPr="00732327">
              <w:rPr>
                <w:noProof/>
                <w:sz w:val="22"/>
              </w:rPr>
              <w:t xml:space="preserve">Permitting measures under the preferred policy option (SO4) are expected to deliver administrative cost savings relevant for the 35% burden reduction targets for SMEs. </w:t>
            </w:r>
          </w:p>
          <w:p w14:paraId="5021624A" w14:textId="080CEDC3" w:rsidR="00020031" w:rsidRPr="00732327" w:rsidRDefault="00020031">
            <w:pPr>
              <w:rPr>
                <w:noProof/>
                <w:sz w:val="22"/>
              </w:rPr>
            </w:pPr>
            <w:r w:rsidRPr="00732327">
              <w:rPr>
                <w:noProof/>
                <w:sz w:val="22"/>
              </w:rPr>
              <w:t>SMEs consistently cite red tape as a major barrier to offering services across borders. Streamlining procedures - particularly through the digitalisation of permit-granting processes under the SDG - can significantly ease this burden.</w:t>
            </w:r>
          </w:p>
          <w:p w14:paraId="2BC498BC" w14:textId="68750DC9" w:rsidR="00020031" w:rsidRPr="00732327" w:rsidRDefault="545C8C3C">
            <w:pPr>
              <w:rPr>
                <w:rFonts w:eastAsia="Aptos"/>
                <w:noProof/>
                <w:color w:val="4EA72E" w:themeColor="accent6"/>
                <w:sz w:val="22"/>
              </w:rPr>
            </w:pPr>
            <w:r w:rsidRPr="00732327">
              <w:rPr>
                <w:noProof/>
                <w:sz w:val="22"/>
              </w:rPr>
              <w:t>Moreover, by providing access to clear information on rules and procedures, the SDG can help SMEs—who often lack the resources of larger firms</w:t>
            </w:r>
            <w:r w:rsidR="00F244BC">
              <w:rPr>
                <w:noProof/>
                <w:sz w:val="22"/>
              </w:rPr>
              <w:t xml:space="preserve"> - </w:t>
            </w:r>
            <w:r w:rsidRPr="00732327">
              <w:rPr>
                <w:noProof/>
                <w:sz w:val="22"/>
              </w:rPr>
              <w:t>better navigate and seize opportunities in the Single Market.</w:t>
            </w:r>
            <w:r w:rsidRPr="00732327">
              <w:rPr>
                <w:rStyle w:val="FootnoteReference"/>
                <w:noProof/>
                <w:sz w:val="22"/>
              </w:rPr>
              <w:t xml:space="preserve"> </w:t>
            </w:r>
          </w:p>
        </w:tc>
      </w:tr>
    </w:tbl>
    <w:p w14:paraId="289E0F22" w14:textId="77777777" w:rsidR="00020031" w:rsidRPr="00732327" w:rsidRDefault="00020031">
      <w:pPr>
        <w:rPr>
          <w:noProof/>
          <w:sz w:val="22"/>
        </w:rPr>
      </w:pPr>
    </w:p>
    <w:p w14:paraId="2AA1033D" w14:textId="77777777" w:rsidR="002D20B2" w:rsidRPr="00732327" w:rsidRDefault="002D20B2">
      <w:pPr>
        <w:spacing w:after="160" w:line="278" w:lineRule="auto"/>
        <w:jc w:val="left"/>
        <w:rPr>
          <w:rFonts w:ascii="Times" w:eastAsiaTheme="majorEastAsia" w:hAnsi="Times" w:cs="Times"/>
          <w:b/>
          <w:noProof/>
          <w:sz w:val="22"/>
        </w:rPr>
      </w:pPr>
      <w:r w:rsidRPr="00732327">
        <w:rPr>
          <w:rFonts w:ascii="Times" w:hAnsi="Times" w:cs="Times"/>
          <w:b/>
          <w:noProof/>
          <w:sz w:val="22"/>
        </w:rPr>
        <w:br w:type="page"/>
      </w:r>
    </w:p>
    <w:p w14:paraId="26B06924" w14:textId="77777777" w:rsidR="00020031" w:rsidRPr="00F261DB" w:rsidRDefault="00020031" w:rsidP="00565F1E">
      <w:pPr>
        <w:pStyle w:val="Heading1"/>
        <w:numPr>
          <w:ilvl w:val="0"/>
          <w:numId w:val="0"/>
        </w:numPr>
        <w:spacing w:before="0" w:after="0"/>
        <w:rPr>
          <w:rFonts w:ascii="Times" w:hAnsi="Times" w:cs="Times"/>
          <w:b/>
          <w:noProof/>
          <w:color w:val="auto"/>
          <w:sz w:val="28"/>
          <w:szCs w:val="28"/>
        </w:rPr>
      </w:pPr>
      <w:bookmarkStart w:id="520" w:name="_Toc207192552"/>
      <w:bookmarkStart w:id="521" w:name="_Toc222159373"/>
      <w:bookmarkStart w:id="522" w:name="_Toc222490030"/>
      <w:r w:rsidRPr="00F261DB">
        <w:rPr>
          <w:rFonts w:ascii="Times" w:hAnsi="Times" w:cs="Times"/>
          <w:b/>
          <w:noProof/>
          <w:color w:val="auto"/>
          <w:sz w:val="28"/>
          <w:szCs w:val="28"/>
        </w:rPr>
        <w:lastRenderedPageBreak/>
        <w:t>Annex 7: Sectoral analyses</w:t>
      </w:r>
      <w:bookmarkEnd w:id="520"/>
      <w:bookmarkEnd w:id="521"/>
      <w:bookmarkEnd w:id="522"/>
    </w:p>
    <w:p w14:paraId="07DDC97A" w14:textId="77777777" w:rsidR="002315CD" w:rsidRDefault="002315CD" w:rsidP="002315CD">
      <w:pPr>
        <w:rPr>
          <w:noProof/>
        </w:rPr>
      </w:pPr>
    </w:p>
    <w:p w14:paraId="3C92F949" w14:textId="30CB4945" w:rsidR="002315CD" w:rsidRPr="007142D1" w:rsidRDefault="6EB1567D" w:rsidP="00565F1E">
      <w:pPr>
        <w:spacing w:after="120"/>
        <w:rPr>
          <w:noProof/>
          <w:highlight w:val="yellow"/>
        </w:rPr>
      </w:pPr>
      <w:r w:rsidRPr="002315CD">
        <w:rPr>
          <w:noProof/>
        </w:rPr>
        <w:t xml:space="preserve">The following subsection outlines </w:t>
      </w:r>
      <w:r>
        <w:rPr>
          <w:noProof/>
        </w:rPr>
        <w:t xml:space="preserve">a sectorial analysis and, where possible, the </w:t>
      </w:r>
      <w:r w:rsidRPr="002315CD">
        <w:rPr>
          <w:noProof/>
        </w:rPr>
        <w:t xml:space="preserve">readiness and cost evolution of industrial technologies utilised to decarbonise energy intensive industries processes. According to </w:t>
      </w:r>
      <w:r w:rsidR="00142E16">
        <w:rPr>
          <w:noProof/>
        </w:rPr>
        <w:t>an internal</w:t>
      </w:r>
      <w:r w:rsidR="00142E16" w:rsidRPr="002315CD">
        <w:rPr>
          <w:noProof/>
        </w:rPr>
        <w:t xml:space="preserve"> </w:t>
      </w:r>
      <w:r w:rsidRPr="002315CD">
        <w:rPr>
          <w:noProof/>
        </w:rPr>
        <w:t xml:space="preserve">JRC analysis, a common dominator across all the EIIs considered is that the promising decarbonisation technologies are either not cost competitive in the current scenario or have not reached sufficient technology readiness levels (TRLs). Furthermore, the analysis clearly outlines the need for future large-scale investment to transition these sectors and its industrial applications. </w:t>
      </w:r>
      <w:r w:rsidRPr="000A29C5">
        <w:rPr>
          <w:noProof/>
        </w:rPr>
        <w:t xml:space="preserve">For the </w:t>
      </w:r>
      <w:r w:rsidR="00EB11D7">
        <w:rPr>
          <w:noProof/>
        </w:rPr>
        <w:t>iron and</w:t>
      </w:r>
      <w:r w:rsidRPr="000A29C5">
        <w:rPr>
          <w:noProof/>
        </w:rPr>
        <w:t xml:space="preserve"> steel sector only, </w:t>
      </w:r>
      <w:r w:rsidR="00EB11D7">
        <w:rPr>
          <w:noProof/>
        </w:rPr>
        <w:t xml:space="preserve">the impact assessment </w:t>
      </w:r>
      <w:r w:rsidR="008F01F6">
        <w:rPr>
          <w:noProof/>
        </w:rPr>
        <w:t>for</w:t>
      </w:r>
      <w:r w:rsidR="00EB11D7">
        <w:rPr>
          <w:noProof/>
        </w:rPr>
        <w:t xml:space="preserve"> the 2040 </w:t>
      </w:r>
      <w:r w:rsidR="003513DE">
        <w:rPr>
          <w:noProof/>
        </w:rPr>
        <w:t>C</w:t>
      </w:r>
      <w:r w:rsidR="00EB11D7">
        <w:rPr>
          <w:noProof/>
        </w:rPr>
        <w:t xml:space="preserve">limate </w:t>
      </w:r>
      <w:r w:rsidR="003B48A5">
        <w:rPr>
          <w:noProof/>
        </w:rPr>
        <w:t xml:space="preserve">Target plan </w:t>
      </w:r>
      <w:r w:rsidR="10810E8C" w:rsidRPr="000A29C5">
        <w:rPr>
          <w:noProof/>
        </w:rPr>
        <w:t>an</w:t>
      </w:r>
      <w:r w:rsidR="700A5F91" w:rsidRPr="000A29C5">
        <w:rPr>
          <w:noProof/>
        </w:rPr>
        <w:t xml:space="preserve"> </w:t>
      </w:r>
      <w:r w:rsidRPr="000A29C5">
        <w:rPr>
          <w:noProof/>
        </w:rPr>
        <w:t xml:space="preserve">investment need of </w:t>
      </w:r>
      <w:r w:rsidR="69374392" w:rsidRPr="000A29C5">
        <w:rPr>
          <w:noProof/>
        </w:rPr>
        <w:t xml:space="preserve">EUR </w:t>
      </w:r>
      <w:r w:rsidR="00CE0D79">
        <w:rPr>
          <w:noProof/>
        </w:rPr>
        <w:t>80</w:t>
      </w:r>
      <w:r w:rsidR="00CE0D79" w:rsidRPr="000A29C5">
        <w:rPr>
          <w:noProof/>
        </w:rPr>
        <w:t xml:space="preserve"> </w:t>
      </w:r>
      <w:r w:rsidRPr="000A29C5">
        <w:rPr>
          <w:noProof/>
        </w:rPr>
        <w:t xml:space="preserve">billion </w:t>
      </w:r>
      <w:r w:rsidR="7D2ED3C0" w:rsidRPr="000A29C5">
        <w:rPr>
          <w:noProof/>
        </w:rPr>
        <w:t>between 2031 and 2040</w:t>
      </w:r>
      <w:r w:rsidR="00CE0D79">
        <w:rPr>
          <w:noProof/>
        </w:rPr>
        <w:t xml:space="preserve"> and EUR 100 billion</w:t>
      </w:r>
      <w:r w:rsidR="00D607D3">
        <w:rPr>
          <w:noProof/>
        </w:rPr>
        <w:t xml:space="preserve"> between 2031 and 2050</w:t>
      </w:r>
      <w:r w:rsidR="00D15740" w:rsidRPr="003A6409">
        <w:rPr>
          <w:bCs/>
          <w:noProof/>
        </w:rPr>
        <w:t>.</w:t>
      </w:r>
      <w:r w:rsidR="00E6269E" w:rsidRPr="00E6269E">
        <w:rPr>
          <w:rStyle w:val="FootnoteReference"/>
          <w:bCs/>
          <w:noProof/>
        </w:rPr>
        <w:t xml:space="preserve"> </w:t>
      </w:r>
      <w:r w:rsidR="00E6269E">
        <w:rPr>
          <w:rStyle w:val="FootnoteReference"/>
          <w:bCs/>
          <w:noProof/>
        </w:rPr>
        <w:footnoteReference w:id="333"/>
      </w:r>
      <w:r w:rsidR="00E6269E" w:rsidRPr="003513DE">
        <w:rPr>
          <w:bCs/>
          <w:noProof/>
          <w:vertAlign w:val="superscript"/>
        </w:rPr>
        <w:t>,</w:t>
      </w:r>
      <w:r w:rsidR="00E6269E">
        <w:rPr>
          <w:bCs/>
          <w:noProof/>
        </w:rPr>
        <w:t xml:space="preserve"> </w:t>
      </w:r>
      <w:r w:rsidR="00327FE6" w:rsidRPr="000A29C5">
        <w:rPr>
          <w:rStyle w:val="FootnoteReference"/>
          <w:noProof/>
        </w:rPr>
        <w:footnoteReference w:id="334"/>
      </w:r>
      <w:r w:rsidR="00D15740">
        <w:rPr>
          <w:bCs/>
          <w:noProof/>
        </w:rPr>
        <w:t xml:space="preserve"> </w:t>
      </w:r>
      <w:r w:rsidR="00D15740" w:rsidRPr="003A6409">
        <w:rPr>
          <w:bCs/>
          <w:noProof/>
        </w:rPr>
        <w:t xml:space="preserve"> </w:t>
      </w:r>
      <w:r w:rsidRPr="002315CD">
        <w:rPr>
          <w:noProof/>
        </w:rPr>
        <w:t>No clear indication can be derived from the projections on to when the various decarbonisation technologies are reaching cost parity with the conventional technologies, as these depends on many parameters, varying according to the specific technology pathway. However, according to the analysis, there is a correlation between the attractiveness of these CAPEX intensive investments and a sufficient high ETS price in 2030.</w:t>
      </w:r>
    </w:p>
    <w:p w14:paraId="58BE54A1" w14:textId="73CC9D9D" w:rsidR="00020031" w:rsidRPr="00AB1DF9" w:rsidRDefault="00020031" w:rsidP="00893F8C">
      <w:pPr>
        <w:pStyle w:val="ListParagraph"/>
        <w:keepNext/>
        <w:keepLines/>
        <w:numPr>
          <w:ilvl w:val="0"/>
          <w:numId w:val="165"/>
        </w:numPr>
        <w:spacing w:before="360" w:after="80"/>
        <w:outlineLvl w:val="0"/>
        <w:rPr>
          <w:rFonts w:ascii="Times" w:hAnsi="Times" w:cs="Times"/>
          <w:b/>
          <w:noProof/>
        </w:rPr>
      </w:pPr>
      <w:bookmarkStart w:id="525" w:name="_Toc207192553"/>
      <w:bookmarkStart w:id="526" w:name="_Toc212728853"/>
      <w:bookmarkStart w:id="527" w:name="_Toc212729127"/>
      <w:bookmarkStart w:id="528" w:name="_Toc212729379"/>
      <w:bookmarkStart w:id="529" w:name="_Toc215506323"/>
      <w:bookmarkStart w:id="530" w:name="_Toc222159374"/>
      <w:bookmarkStart w:id="531" w:name="_Toc222489542"/>
      <w:bookmarkStart w:id="532" w:name="_Toc222490031"/>
      <w:r w:rsidRPr="00893F8C">
        <w:rPr>
          <w:rFonts w:eastAsia="Yu Gothic Light"/>
          <w:b/>
          <w:noProof/>
        </w:rPr>
        <w:t>Energy intensive industries</w:t>
      </w:r>
      <w:bookmarkEnd w:id="525"/>
      <w:bookmarkEnd w:id="526"/>
      <w:bookmarkEnd w:id="527"/>
      <w:bookmarkEnd w:id="528"/>
      <w:bookmarkEnd w:id="529"/>
      <w:bookmarkEnd w:id="530"/>
      <w:bookmarkEnd w:id="531"/>
      <w:bookmarkEnd w:id="532"/>
    </w:p>
    <w:p w14:paraId="18C19A6E" w14:textId="016846E9" w:rsidR="00020031" w:rsidRPr="00F261DB" w:rsidRDefault="404A2814">
      <w:pPr>
        <w:spacing w:after="120"/>
        <w:rPr>
          <w:rFonts w:eastAsia="Times New Roman"/>
          <w:noProof/>
        </w:rPr>
      </w:pPr>
      <w:r w:rsidRPr="00F261DB">
        <w:rPr>
          <w:noProof/>
        </w:rPr>
        <w:t xml:space="preserve">For the purposes of this impact assessment, we consider the following energy-intensive industrial sectors and their related products: </w:t>
      </w:r>
      <w:r w:rsidRPr="00F261DB">
        <w:rPr>
          <w:rFonts w:eastAsia="Times New Roman"/>
          <w:noProof/>
        </w:rPr>
        <w:t xml:space="preserve">chemicals, steel, pulp and paper, </w:t>
      </w:r>
      <w:r w:rsidR="00BB277C">
        <w:rPr>
          <w:rFonts w:eastAsia="Times New Roman"/>
          <w:noProof/>
        </w:rPr>
        <w:t xml:space="preserve">plastics, </w:t>
      </w:r>
      <w:r w:rsidRPr="00F261DB">
        <w:rPr>
          <w:rFonts w:eastAsia="Times New Roman"/>
          <w:noProof/>
        </w:rPr>
        <w:t xml:space="preserve">oil and gas refining, cement, non-ferrous metals, glass, and ceramics. Their production process is characterised by the highest energy consumption and emissions intensity, accounting for a significant share of the EU’s industrial GHG emissions. </w:t>
      </w:r>
      <w:r w:rsidR="00E54F90" w:rsidRPr="00F261DB">
        <w:rPr>
          <w:rFonts w:eastAsia="Times New Roman"/>
          <w:noProof/>
        </w:rPr>
        <w:t>These sectors hold strategic importance for EU value chains and autonomy, providing input materials to downstream sectors and key net-zero technologies.</w:t>
      </w:r>
      <w:r w:rsidRPr="00F261DB">
        <w:rPr>
          <w:rFonts w:eastAsia="Times New Roman"/>
          <w:noProof/>
        </w:rPr>
        <w:t xml:space="preserve"> They involve</w:t>
      </w:r>
      <w:r w:rsidR="003E2057">
        <w:rPr>
          <w:rFonts w:eastAsia="Times New Roman"/>
          <w:noProof/>
        </w:rPr>
        <w:t xml:space="preserve"> processes with</w:t>
      </w:r>
      <w:r w:rsidRPr="00F261DB">
        <w:rPr>
          <w:rFonts w:eastAsia="Times New Roman"/>
          <w:noProof/>
        </w:rPr>
        <w:t xml:space="preserve"> hard-to-abate </w:t>
      </w:r>
      <w:r w:rsidR="00E34223">
        <w:rPr>
          <w:rFonts w:eastAsia="Times New Roman"/>
          <w:noProof/>
        </w:rPr>
        <w:t>emissions</w:t>
      </w:r>
      <w:r w:rsidR="00E34223" w:rsidRPr="00F261DB">
        <w:rPr>
          <w:rFonts w:eastAsia="Times New Roman"/>
          <w:noProof/>
        </w:rPr>
        <w:t xml:space="preserve"> </w:t>
      </w:r>
      <w:r w:rsidRPr="00F261DB">
        <w:rPr>
          <w:rFonts w:eastAsia="Times New Roman"/>
          <w:noProof/>
        </w:rPr>
        <w:t xml:space="preserve">that make decarbonisation costly and </w:t>
      </w:r>
      <w:r w:rsidR="10810E8C" w:rsidRPr="3F0F1197">
        <w:rPr>
          <w:rFonts w:eastAsia="Times New Roman"/>
          <w:noProof/>
        </w:rPr>
        <w:t>challenging and</w:t>
      </w:r>
      <w:r w:rsidRPr="00F261DB">
        <w:rPr>
          <w:rFonts w:eastAsia="Times New Roman"/>
          <w:noProof/>
        </w:rPr>
        <w:t xml:space="preserve"> contribute substantially to economic activity and employment.</w:t>
      </w:r>
      <w:r w:rsidR="00020031" w:rsidRPr="00FF63D1">
        <w:rPr>
          <w:rStyle w:val="FootnoteReference"/>
          <w:rFonts w:eastAsia="Times New Roman"/>
          <w:noProof/>
        </w:rPr>
        <w:footnoteReference w:id="335"/>
      </w:r>
    </w:p>
    <w:p w14:paraId="564E1DB0" w14:textId="77777777" w:rsidR="00020031" w:rsidRPr="00F261DB" w:rsidRDefault="404A2814">
      <w:pPr>
        <w:spacing w:after="120"/>
        <w:rPr>
          <w:noProof/>
        </w:rPr>
      </w:pPr>
      <w:r w:rsidRPr="00F261DB">
        <w:rPr>
          <w:noProof/>
        </w:rPr>
        <w:t>In 2021, energy intensive industries (EIIs) contributed EUR 549 billion in added value (corresponding to 4.55% of EU value added) and employ 7.8 million people in Europe.</w:t>
      </w:r>
      <w:r w:rsidR="00020031" w:rsidRPr="00FF63D1">
        <w:rPr>
          <w:rStyle w:val="FootnoteReference"/>
          <w:noProof/>
        </w:rPr>
        <w:footnoteReference w:id="336"/>
      </w:r>
      <w:r w:rsidRPr="00F261DB">
        <w:rPr>
          <w:noProof/>
        </w:rPr>
        <w:t xml:space="preserve"> </w:t>
      </w:r>
      <w:r w:rsidRPr="00FF63D1">
        <w:rPr>
          <w:noProof/>
        </w:rPr>
        <w:t>The map below shows that EIIs are present throughout Europe:</w:t>
      </w:r>
      <w:r w:rsidR="00020031" w:rsidRPr="00FF63D1">
        <w:rPr>
          <w:rStyle w:val="FootnoteReference"/>
          <w:noProof/>
        </w:rPr>
        <w:footnoteReference w:id="337"/>
      </w:r>
    </w:p>
    <w:p w14:paraId="0DD5DDD4" w14:textId="77777777" w:rsidR="00020031" w:rsidRPr="00F261DB" w:rsidRDefault="00020031">
      <w:pPr>
        <w:keepNext/>
        <w:spacing w:after="120"/>
        <w:jc w:val="center"/>
        <w:rPr>
          <w:noProof/>
        </w:rPr>
      </w:pPr>
      <w:r w:rsidRPr="00826A85">
        <w:rPr>
          <w:noProof/>
          <w:lang w:eastAsia="en-GB"/>
        </w:rPr>
        <w:lastRenderedPageBreak/>
        <w:drawing>
          <wp:inline distT="0" distB="0" distL="0" distR="0" wp14:anchorId="69DEB6C4" wp14:editId="15CABF37">
            <wp:extent cx="3060700" cy="2650831"/>
            <wp:effectExtent l="0" t="0" r="6350" b="0"/>
            <wp:docPr id="1237122905" name="Picture 1237122905" descr="A map of europe with many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22905" name="Picture 1237122905" descr="A map of europe with many colored dots&#10;&#10;AI-generated content may be incorrect."/>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091115" cy="2677173"/>
                    </a:xfrm>
                    <a:prstGeom prst="rect">
                      <a:avLst/>
                    </a:prstGeom>
                  </pic:spPr>
                </pic:pic>
              </a:graphicData>
            </a:graphic>
          </wp:inline>
        </w:drawing>
      </w:r>
    </w:p>
    <w:p w14:paraId="4F2A7493" w14:textId="28693223" w:rsidR="00066763" w:rsidRPr="00F261DB" w:rsidRDefault="00020031" w:rsidP="00E71388">
      <w:pPr>
        <w:pStyle w:val="Caption"/>
        <w:jc w:val="center"/>
        <w:rPr>
          <w:noProof/>
        </w:rPr>
      </w:pPr>
      <w:r w:rsidRPr="00F261DB">
        <w:rPr>
          <w:noProof/>
          <w:sz w:val="20"/>
          <w:szCs w:val="20"/>
        </w:rPr>
        <w:t xml:space="preserve">Figure </w:t>
      </w:r>
      <w:r w:rsidRPr="00F261DB">
        <w:rPr>
          <w:noProof/>
          <w:sz w:val="20"/>
          <w:szCs w:val="20"/>
        </w:rPr>
        <w:fldChar w:fldCharType="begin"/>
      </w:r>
      <w:r w:rsidRPr="00F261DB">
        <w:rPr>
          <w:noProof/>
          <w:sz w:val="20"/>
          <w:szCs w:val="20"/>
        </w:rPr>
        <w:instrText xml:space="preserve"> SEQ Figure \* ARABIC </w:instrText>
      </w:r>
      <w:r w:rsidRPr="00F261DB">
        <w:rPr>
          <w:noProof/>
          <w:sz w:val="20"/>
          <w:szCs w:val="20"/>
        </w:rPr>
        <w:fldChar w:fldCharType="separate"/>
      </w:r>
      <w:r w:rsidR="00E16D65">
        <w:rPr>
          <w:noProof/>
          <w:sz w:val="20"/>
          <w:szCs w:val="20"/>
        </w:rPr>
        <w:t>12</w:t>
      </w:r>
      <w:r w:rsidRPr="00F261DB">
        <w:rPr>
          <w:noProof/>
          <w:sz w:val="20"/>
          <w:szCs w:val="20"/>
        </w:rPr>
        <w:fldChar w:fldCharType="end"/>
      </w:r>
      <w:r w:rsidRPr="00F261DB">
        <w:rPr>
          <w:noProof/>
          <w:sz w:val="20"/>
          <w:szCs w:val="20"/>
        </w:rPr>
        <w:t xml:space="preserve"> – Facilities of Energy-intensive industries in the EU, JRC/EIGL, 2025</w:t>
      </w:r>
    </w:p>
    <w:p w14:paraId="20279AB0" w14:textId="77777777" w:rsidR="00020031" w:rsidRPr="00020C03" w:rsidRDefault="00020031" w:rsidP="00893F8C">
      <w:pPr>
        <w:pStyle w:val="ListParagraph"/>
        <w:keepNext/>
        <w:keepLines/>
        <w:numPr>
          <w:ilvl w:val="1"/>
          <w:numId w:val="166"/>
        </w:numPr>
        <w:spacing w:before="360" w:after="80"/>
        <w:outlineLvl w:val="0"/>
        <w:rPr>
          <w:b/>
          <w:noProof/>
        </w:rPr>
      </w:pPr>
      <w:bookmarkStart w:id="535" w:name="_Toc212728854"/>
      <w:bookmarkStart w:id="536" w:name="_Toc212729128"/>
      <w:bookmarkStart w:id="537" w:name="_Toc212729380"/>
      <w:bookmarkStart w:id="538" w:name="_Toc215506324"/>
      <w:bookmarkStart w:id="539" w:name="_Toc222159375"/>
      <w:bookmarkStart w:id="540" w:name="_Toc222489543"/>
      <w:bookmarkStart w:id="541" w:name="_Toc222490032"/>
      <w:r w:rsidRPr="00020C03">
        <w:rPr>
          <w:b/>
          <w:noProof/>
        </w:rPr>
        <w:t>Aluminium</w:t>
      </w:r>
      <w:bookmarkEnd w:id="535"/>
      <w:bookmarkEnd w:id="536"/>
      <w:bookmarkEnd w:id="537"/>
      <w:bookmarkEnd w:id="538"/>
      <w:bookmarkEnd w:id="539"/>
      <w:bookmarkEnd w:id="540"/>
      <w:bookmarkEnd w:id="541"/>
    </w:p>
    <w:p w14:paraId="7B8CBEDF" w14:textId="77777777" w:rsidR="00893F8C" w:rsidRPr="00893F8C" w:rsidRDefault="545C8C3C" w:rsidP="00893F8C">
      <w:pPr>
        <w:spacing w:after="120"/>
        <w:rPr>
          <w:rFonts w:eastAsia="Times New Roman"/>
          <w:b/>
          <w:bCs/>
          <w:noProof/>
          <w:color w:val="000000" w:themeColor="text1"/>
        </w:rPr>
      </w:pPr>
      <w:r w:rsidRPr="00893F8C">
        <w:rPr>
          <w:rFonts w:eastAsia="Times New Roman"/>
          <w:b/>
          <w:bCs/>
          <w:noProof/>
          <w:color w:val="000000" w:themeColor="text1"/>
        </w:rPr>
        <w:t>Key facts</w:t>
      </w:r>
    </w:p>
    <w:p w14:paraId="29C1C476" w14:textId="20CE7529" w:rsidR="00020031" w:rsidRPr="00F261DB" w:rsidRDefault="404A2814" w:rsidP="00893F8C">
      <w:pPr>
        <w:spacing w:after="120"/>
        <w:rPr>
          <w:rFonts w:eastAsia="Times New Roman"/>
          <w:noProof/>
        </w:rPr>
      </w:pPr>
      <w:r w:rsidRPr="00F261DB">
        <w:rPr>
          <w:rFonts w:eastAsia="Times New Roman"/>
          <w:noProof/>
        </w:rPr>
        <w:t xml:space="preserve">EU aluminium market: valued at EUR </w:t>
      </w:r>
      <w:r w:rsidR="48F93CB0" w:rsidRPr="3F0F1197">
        <w:rPr>
          <w:rFonts w:eastAsia="Times New Roman"/>
          <w:noProof/>
        </w:rPr>
        <w:t xml:space="preserve">40 </w:t>
      </w:r>
      <w:r w:rsidRPr="00F261DB">
        <w:rPr>
          <w:rFonts w:eastAsia="Times New Roman"/>
          <w:noProof/>
        </w:rPr>
        <w:t>billion,</w:t>
      </w:r>
      <w:r w:rsidR="008607C6">
        <w:rPr>
          <w:rStyle w:val="FootnoteReference"/>
          <w:rFonts w:eastAsia="Times New Roman"/>
          <w:noProof/>
        </w:rPr>
        <w:footnoteReference w:id="338"/>
      </w:r>
      <w:r w:rsidRPr="00F261DB">
        <w:rPr>
          <w:rFonts w:eastAsia="Times New Roman"/>
          <w:noProof/>
        </w:rPr>
        <w:t xml:space="preserve"> 1 million direct and indirect jobs.</w:t>
      </w:r>
      <w:r w:rsidR="00020031" w:rsidRPr="00FF63D1">
        <w:rPr>
          <w:rStyle w:val="FootnoteReference"/>
          <w:rFonts w:eastAsia="Times New Roman"/>
          <w:noProof/>
        </w:rPr>
        <w:footnoteReference w:id="339"/>
      </w:r>
      <w:r w:rsidRPr="00F261DB">
        <w:rPr>
          <w:rFonts w:eastAsia="Times New Roman"/>
          <w:noProof/>
        </w:rPr>
        <w:t xml:space="preserve"> In 2023, the EU </w:t>
      </w:r>
      <w:r w:rsidRPr="3E45D101">
        <w:rPr>
          <w:rFonts w:cs="Times New Roman"/>
          <w:noProof/>
        </w:rPr>
        <w:t>produced</w:t>
      </w:r>
      <w:r w:rsidRPr="00F261DB">
        <w:rPr>
          <w:rFonts w:eastAsia="Times New Roman"/>
          <w:noProof/>
        </w:rPr>
        <w:t xml:space="preserve"> </w:t>
      </w:r>
      <w:r w:rsidR="0095438D">
        <w:rPr>
          <w:rFonts w:eastAsia="Times New Roman"/>
          <w:noProof/>
        </w:rPr>
        <w:t>0.</w:t>
      </w:r>
      <w:r w:rsidR="002D436F">
        <w:rPr>
          <w:rFonts w:eastAsia="Times New Roman"/>
          <w:noProof/>
        </w:rPr>
        <w:t>9</w:t>
      </w:r>
      <w:r w:rsidR="008A613B">
        <w:rPr>
          <w:rFonts w:eastAsia="Times New Roman"/>
          <w:noProof/>
        </w:rPr>
        <w:t>25</w:t>
      </w:r>
      <w:r w:rsidR="0095438D">
        <w:rPr>
          <w:rFonts w:eastAsia="Times New Roman"/>
          <w:noProof/>
        </w:rPr>
        <w:t xml:space="preserve"> </w:t>
      </w:r>
      <w:r w:rsidR="51E518DF" w:rsidRPr="3F0F1197" w:rsidDel="008A613B">
        <w:rPr>
          <w:rFonts w:eastAsia="Times New Roman"/>
          <w:noProof/>
        </w:rPr>
        <w:t>M</w:t>
      </w:r>
      <w:r w:rsidRPr="00F261DB">
        <w:rPr>
          <w:rFonts w:eastAsia="Times New Roman"/>
          <w:noProof/>
        </w:rPr>
        <w:t>tonne</w:t>
      </w:r>
      <w:r w:rsidR="008A613B">
        <w:rPr>
          <w:rFonts w:eastAsia="Times New Roman"/>
          <w:noProof/>
        </w:rPr>
        <w:t>s</w:t>
      </w:r>
      <w:r w:rsidRPr="00F261DB">
        <w:rPr>
          <w:rFonts w:eastAsia="Times New Roman"/>
          <w:noProof/>
        </w:rPr>
        <w:t xml:space="preserve"> of primary</w:t>
      </w:r>
      <w:r w:rsidR="00020031" w:rsidRPr="00FF63D1">
        <w:rPr>
          <w:rStyle w:val="FootnoteReference"/>
          <w:rFonts w:eastAsia="Times New Roman"/>
          <w:noProof/>
        </w:rPr>
        <w:footnoteReference w:id="340"/>
      </w:r>
      <w:r w:rsidR="00677D4A">
        <w:rPr>
          <w:rFonts w:eastAsia="Times New Roman"/>
          <w:noProof/>
        </w:rPr>
        <w:t>.</w:t>
      </w:r>
      <w:r w:rsidR="1C4FCA12">
        <w:rPr>
          <w:rFonts w:eastAsia="Times New Roman"/>
          <w:noProof/>
        </w:rPr>
        <w:t xml:space="preserve"> </w:t>
      </w:r>
      <w:r w:rsidRPr="003C2BF4">
        <w:rPr>
          <w:noProof/>
          <w:lang w:val="en-IE"/>
        </w:rPr>
        <w:t xml:space="preserve">EU aluminium exports in 2024: EUR 18.4 billion, imports: EUR 29.5 billion. </w:t>
      </w:r>
      <w:r w:rsidRPr="25B808CD">
        <w:rPr>
          <w:rFonts w:eastAsia="Times New Roman"/>
          <w:noProof/>
        </w:rPr>
        <w:t>Major trading partners: UK, USA, Switzerland and China.</w:t>
      </w:r>
      <w:r w:rsidR="00020031" w:rsidRPr="25B808CD">
        <w:rPr>
          <w:rStyle w:val="FootnoteReference"/>
          <w:rFonts w:eastAsia="Times New Roman"/>
          <w:noProof/>
        </w:rPr>
        <w:footnoteReference w:id="341"/>
      </w:r>
      <w:r w:rsidRPr="25B808CD">
        <w:rPr>
          <w:rFonts w:eastAsia="Times New Roman"/>
          <w:noProof/>
        </w:rPr>
        <w:t xml:space="preserve"> </w:t>
      </w:r>
    </w:p>
    <w:p w14:paraId="0F4BF226" w14:textId="4D03FADB" w:rsidR="00893F8C" w:rsidRDefault="00020031" w:rsidP="001C3B8E">
      <w:pPr>
        <w:spacing w:after="120"/>
        <w:rPr>
          <w:rFonts w:eastAsia="Times New Roman"/>
          <w:noProof/>
        </w:rPr>
      </w:pPr>
      <w:r w:rsidRPr="00893F8C">
        <w:rPr>
          <w:rFonts w:eastAsia="Times New Roman"/>
          <w:b/>
          <w:bCs/>
          <w:noProof/>
          <w:color w:val="000000" w:themeColor="text1"/>
        </w:rPr>
        <w:t>Key challenges</w:t>
      </w:r>
    </w:p>
    <w:p w14:paraId="099AB571" w14:textId="7F785409" w:rsidR="00020031" w:rsidRPr="00F261DB" w:rsidRDefault="001C3B8E" w:rsidP="00893F8C">
      <w:pPr>
        <w:spacing w:after="120"/>
        <w:rPr>
          <w:rFonts w:eastAsia="Times New Roman"/>
          <w:noProof/>
        </w:rPr>
      </w:pPr>
      <w:r>
        <w:rPr>
          <w:rFonts w:eastAsia="Times New Roman"/>
          <w:noProof/>
        </w:rPr>
        <w:t>H</w:t>
      </w:r>
      <w:r w:rsidR="00020031" w:rsidRPr="00F261DB">
        <w:rPr>
          <w:rFonts w:eastAsia="Times New Roman"/>
          <w:noProof/>
        </w:rPr>
        <w:t>igh e</w:t>
      </w:r>
      <w:r w:rsidR="00020031" w:rsidRPr="00F261DB">
        <w:rPr>
          <w:rFonts w:eastAsia="Times New Roman"/>
          <w:noProof/>
          <w:color w:val="000000" w:themeColor="text1"/>
        </w:rPr>
        <w:t xml:space="preserve">nergy costs, </w:t>
      </w:r>
      <w:r w:rsidR="00020031" w:rsidRPr="00F261DB">
        <w:rPr>
          <w:rFonts w:eastAsia="Times New Roman"/>
          <w:noProof/>
        </w:rPr>
        <w:t xml:space="preserve">unfair global competition, including market-distorting tariffs and persistent overcapacity in some producing countries. </w:t>
      </w:r>
    </w:p>
    <w:p w14:paraId="0F2F69F9" w14:textId="2A2B53E1" w:rsidR="00020031" w:rsidRPr="00F261DB" w:rsidRDefault="404A2814" w:rsidP="001C3B8E">
      <w:pPr>
        <w:spacing w:after="120"/>
        <w:rPr>
          <w:rFonts w:eastAsia="Times New Roman"/>
          <w:noProof/>
        </w:rPr>
      </w:pPr>
      <w:r w:rsidRPr="00F261DB">
        <w:rPr>
          <w:rFonts w:eastAsia="Times New Roman"/>
          <w:noProof/>
        </w:rPr>
        <w:t>Aluminium production has decreased with jobs being lost, and permanent loss of production capacity - with 50% of primary production capacity being idled since 2021.</w:t>
      </w:r>
      <w:r w:rsidR="00020031" w:rsidRPr="00FF63D1">
        <w:rPr>
          <w:rStyle w:val="FootnoteReference"/>
          <w:rFonts w:eastAsia="Times New Roman"/>
          <w:noProof/>
        </w:rPr>
        <w:footnoteReference w:id="342"/>
      </w:r>
      <w:r w:rsidRPr="00F261DB">
        <w:rPr>
          <w:rFonts w:eastAsia="Times New Roman"/>
          <w:noProof/>
        </w:rPr>
        <w:t xml:space="preserve"> EU share of </w:t>
      </w:r>
      <w:r w:rsidRPr="001C3B8E">
        <w:rPr>
          <w:rFonts w:eastAsia="Times New Roman"/>
          <w:noProof/>
          <w:color w:val="000000" w:themeColor="text1"/>
        </w:rPr>
        <w:t>global</w:t>
      </w:r>
      <w:r w:rsidRPr="00F261DB">
        <w:rPr>
          <w:rFonts w:eastAsia="Times New Roman"/>
          <w:noProof/>
        </w:rPr>
        <w:t xml:space="preserve"> primary aluminium production only represents 3.8%.</w:t>
      </w:r>
      <w:r w:rsidR="00020031" w:rsidRPr="00FF63D1">
        <w:rPr>
          <w:rStyle w:val="FootnoteReference"/>
          <w:rFonts w:eastAsia="Times New Roman"/>
          <w:noProof/>
        </w:rPr>
        <w:footnoteReference w:id="343"/>
      </w:r>
      <w:r w:rsidRPr="00F261DB">
        <w:rPr>
          <w:rFonts w:eastAsia="Times New Roman"/>
          <w:noProof/>
        </w:rPr>
        <w:t xml:space="preserve"> EUs primary and secondary aluminium production covers 46% of the region’s domestic demand</w:t>
      </w:r>
      <w:r w:rsidR="00020031" w:rsidRPr="00FF63D1">
        <w:rPr>
          <w:rStyle w:val="FootnoteReference"/>
          <w:rFonts w:eastAsia="Times New Roman"/>
          <w:noProof/>
        </w:rPr>
        <w:footnoteReference w:id="344"/>
      </w:r>
      <w:r w:rsidRPr="00F261DB">
        <w:rPr>
          <w:rFonts w:eastAsia="Times New Roman"/>
          <w:noProof/>
        </w:rPr>
        <w:t xml:space="preserve"> whereas a demand growth until 2050 is expected by 33%.</w:t>
      </w:r>
      <w:r w:rsidR="00020031" w:rsidRPr="00FF63D1">
        <w:rPr>
          <w:rStyle w:val="FootnoteReference"/>
          <w:rFonts w:eastAsia="Times New Roman"/>
          <w:noProof/>
        </w:rPr>
        <w:footnoteReference w:id="345"/>
      </w:r>
      <w:r w:rsidRPr="00F261DB">
        <w:rPr>
          <w:rFonts w:eastAsia="Times New Roman"/>
          <w:noProof/>
        </w:rPr>
        <w:t xml:space="preserve"> </w:t>
      </w:r>
    </w:p>
    <w:p w14:paraId="4D4C64B2" w14:textId="3EBCF40D" w:rsidR="004D4511" w:rsidRPr="00F261DB" w:rsidRDefault="404A2814" w:rsidP="001C3B8E">
      <w:pPr>
        <w:spacing w:after="120"/>
        <w:rPr>
          <w:rFonts w:eastAsia="Times New Roman"/>
          <w:noProof/>
        </w:rPr>
      </w:pPr>
      <w:r w:rsidRPr="00F261DB">
        <w:rPr>
          <w:rFonts w:eastAsia="Times New Roman"/>
          <w:noProof/>
        </w:rPr>
        <w:t>In 2023, the EU aluminium industry emitted approximately 6.6</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of CO₂</w:t>
      </w:r>
      <w:r w:rsidR="00020031" w:rsidRPr="00FF63D1">
        <w:rPr>
          <w:rStyle w:val="FootnoteReference"/>
          <w:rFonts w:eastAsia="Times New Roman"/>
          <w:noProof/>
        </w:rPr>
        <w:footnoteReference w:id="346"/>
      </w:r>
      <w:r w:rsidRPr="00F261DB">
        <w:rPr>
          <w:rFonts w:eastAsia="Times New Roman"/>
          <w:noProof/>
        </w:rPr>
        <w:t xml:space="preserve"> in the production of primary aluminium. In line with EU climate goals, the aluminium industry is shifting toward cleaner production through different decarbonisation pathways, including increasing recycling rates and improving energy efficiency.</w:t>
      </w:r>
      <w:r w:rsidR="004144F2">
        <w:rPr>
          <w:rStyle w:val="FootnoteReference"/>
          <w:rFonts w:eastAsia="Times New Roman"/>
          <w:noProof/>
        </w:rPr>
        <w:footnoteReference w:id="347"/>
      </w:r>
      <w:r w:rsidR="004144F2">
        <w:rPr>
          <w:rFonts w:eastAsia="Times New Roman"/>
          <w:noProof/>
        </w:rPr>
        <w:t>.</w:t>
      </w:r>
      <w:r w:rsidRPr="00F261DB">
        <w:rPr>
          <w:rFonts w:eastAsia="Times New Roman"/>
          <w:noProof/>
        </w:rPr>
        <w:t xml:space="preserve"> To deploy further decarbonisation technologies, an investment of EUR 33 billion and additional </w:t>
      </w:r>
      <w:r w:rsidRPr="00F261DB" w:rsidDel="00787D54">
        <w:rPr>
          <w:rFonts w:eastAsia="Times New Roman"/>
          <w:noProof/>
        </w:rPr>
        <w:t>R&amp;</w:t>
      </w:r>
      <w:r w:rsidR="10D04FBF" w:rsidRPr="00F261DB">
        <w:rPr>
          <w:rFonts w:eastAsia="Times New Roman"/>
          <w:noProof/>
        </w:rPr>
        <w:t>I</w:t>
      </w:r>
      <w:r w:rsidRPr="00F261DB">
        <w:rPr>
          <w:rFonts w:eastAsia="Times New Roman"/>
          <w:noProof/>
        </w:rPr>
        <w:t xml:space="preserve"> efforts are required</w:t>
      </w:r>
      <w:r w:rsidR="00020031" w:rsidRPr="00FF63D1">
        <w:rPr>
          <w:rStyle w:val="FootnoteReference"/>
          <w:rFonts w:eastAsia="Times New Roman"/>
          <w:noProof/>
        </w:rPr>
        <w:footnoteReference w:id="348"/>
      </w:r>
      <w:r w:rsidRPr="00F261DB">
        <w:rPr>
          <w:rFonts w:eastAsia="Times New Roman"/>
          <w:noProof/>
        </w:rPr>
        <w:t>. Since 1990, the aluminium industry reduced its CO</w:t>
      </w:r>
      <w:r w:rsidRPr="00F261DB">
        <w:rPr>
          <w:rFonts w:eastAsia="Times New Roman"/>
          <w:noProof/>
          <w:vertAlign w:val="subscript"/>
        </w:rPr>
        <w:t xml:space="preserve">2 </w:t>
      </w:r>
      <w:r w:rsidRPr="00F261DB">
        <w:rPr>
          <w:rFonts w:eastAsia="Times New Roman"/>
          <w:noProof/>
        </w:rPr>
        <w:t>emissions by 53%.</w:t>
      </w:r>
      <w:r w:rsidR="00020031" w:rsidRPr="00FF63D1">
        <w:rPr>
          <w:rStyle w:val="FootnoteReference"/>
          <w:rFonts w:eastAsia="Times New Roman"/>
          <w:noProof/>
        </w:rPr>
        <w:footnoteReference w:id="349"/>
      </w:r>
    </w:p>
    <w:p w14:paraId="0BBC30D5" w14:textId="4862A45C" w:rsidR="00661AB2" w:rsidRDefault="00661AB2" w:rsidP="001C3B8E">
      <w:pPr>
        <w:spacing w:after="120"/>
        <w:rPr>
          <w:rFonts w:eastAsia="Times New Roman"/>
          <w:b/>
          <w:bCs/>
          <w:noProof/>
        </w:rPr>
      </w:pPr>
      <w:r w:rsidRPr="00020C03">
        <w:rPr>
          <w:rFonts w:eastAsia="Times New Roman"/>
          <w:b/>
          <w:noProof/>
        </w:rPr>
        <w:lastRenderedPageBreak/>
        <w:t xml:space="preserve">Cost </w:t>
      </w:r>
      <w:r w:rsidRPr="001C3B8E">
        <w:rPr>
          <w:rFonts w:eastAsia="Times New Roman"/>
          <w:b/>
          <w:bCs/>
          <w:noProof/>
          <w:color w:val="000000" w:themeColor="text1"/>
        </w:rPr>
        <w:t>evolution</w:t>
      </w:r>
    </w:p>
    <w:p w14:paraId="1071907C" w14:textId="377EA2DF" w:rsidR="00622D1D" w:rsidRPr="00FF63D1" w:rsidRDefault="00506625" w:rsidP="001C3B8E">
      <w:pPr>
        <w:spacing w:after="120"/>
        <w:rPr>
          <w:rFonts w:cs="Times New Roman"/>
          <w:noProof/>
          <w:color w:val="000000"/>
          <w:szCs w:val="24"/>
        </w:rPr>
      </w:pPr>
      <w:r>
        <w:rPr>
          <w:noProof/>
          <w:szCs w:val="24"/>
        </w:rPr>
        <w:fldChar w:fldCharType="begin"/>
      </w:r>
      <w:r>
        <w:rPr>
          <w:noProof/>
          <w:szCs w:val="24"/>
        </w:rPr>
        <w:instrText xml:space="preserve"> REF _Ref212722331 \h </w:instrText>
      </w:r>
      <w:r>
        <w:rPr>
          <w:noProof/>
          <w:szCs w:val="24"/>
        </w:rPr>
      </w:r>
      <w:r>
        <w:rPr>
          <w:noProof/>
          <w:szCs w:val="24"/>
        </w:rPr>
        <w:fldChar w:fldCharType="separate"/>
      </w:r>
    </w:p>
    <w:p w14:paraId="215B698B" w14:textId="146F4AA6" w:rsidR="00661AB2" w:rsidRPr="00FF63D1" w:rsidRDefault="00E16D65" w:rsidP="001C3B8E">
      <w:pPr>
        <w:spacing w:after="120"/>
        <w:rPr>
          <w:rFonts w:cs="Times New Roman"/>
          <w:noProof/>
          <w:color w:val="000000"/>
          <w:szCs w:val="24"/>
        </w:rPr>
      </w:pPr>
      <w:r w:rsidRPr="00FF63D1">
        <w:rPr>
          <w:noProof/>
        </w:rPr>
        <w:t xml:space="preserve">Table </w:t>
      </w:r>
      <w:r>
        <w:rPr>
          <w:noProof/>
        </w:rPr>
        <w:t>12</w:t>
      </w:r>
      <w:r w:rsidR="00506625">
        <w:rPr>
          <w:noProof/>
          <w:szCs w:val="24"/>
        </w:rPr>
        <w:fldChar w:fldCharType="end"/>
      </w:r>
      <w:r w:rsidR="00506625">
        <w:rPr>
          <w:noProof/>
          <w:szCs w:val="24"/>
        </w:rPr>
        <w:t xml:space="preserve"> </w:t>
      </w:r>
      <w:r w:rsidR="00661AB2">
        <w:rPr>
          <w:noProof/>
          <w:szCs w:val="24"/>
        </w:rPr>
        <w:t>below</w:t>
      </w:r>
      <w:r w:rsidR="00506625">
        <w:rPr>
          <w:noProof/>
          <w:szCs w:val="24"/>
        </w:rPr>
        <w:t xml:space="preserve"> d</w:t>
      </w:r>
      <w:r w:rsidR="00661AB2" w:rsidRPr="00FF63D1">
        <w:rPr>
          <w:noProof/>
          <w:szCs w:val="24"/>
        </w:rPr>
        <w:t>isplays</w:t>
      </w:r>
      <w:r w:rsidR="00661AB2" w:rsidRPr="00FF63D1">
        <w:rPr>
          <w:noProof/>
        </w:rPr>
        <w:t xml:space="preserve"> </w:t>
      </w:r>
      <w:r w:rsidR="00661AB2" w:rsidRPr="00FF63D1">
        <w:rPr>
          <w:rFonts w:cs="Times New Roman"/>
          <w:noProof/>
          <w:color w:val="000000"/>
          <w:szCs w:val="24"/>
        </w:rPr>
        <w:t>the decarboni</w:t>
      </w:r>
      <w:r w:rsidR="00C93E5C">
        <w:rPr>
          <w:rFonts w:cs="Times New Roman"/>
          <w:noProof/>
          <w:color w:val="000000"/>
          <w:szCs w:val="24"/>
        </w:rPr>
        <w:t>sation</w:t>
      </w:r>
      <w:r w:rsidR="00661AB2" w:rsidRPr="00FF63D1">
        <w:rPr>
          <w:rFonts w:cs="Times New Roman"/>
          <w:noProof/>
          <w:color w:val="000000"/>
          <w:szCs w:val="24"/>
        </w:rPr>
        <w:t xml:space="preserve"> pathways for the EU aluminium industry, which primarily focuses on switching to low-carbon electricity, adopting inert anodes in smelting, and transitioning high-temperature thermal processes (refining, casting, recycling) from fossil fuels to electric or hydrogen-based systems. The CAPEX estimates are primarily sourced from techno-</w:t>
      </w:r>
      <w:r w:rsidR="00661AB2" w:rsidRPr="001C3B8E">
        <w:rPr>
          <w:rFonts w:eastAsia="Times New Roman"/>
          <w:noProof/>
        </w:rPr>
        <w:t>economic</w:t>
      </w:r>
      <w:r w:rsidR="00661AB2" w:rsidRPr="00FF63D1">
        <w:rPr>
          <w:rFonts w:cs="Times New Roman"/>
          <w:noProof/>
          <w:color w:val="000000"/>
          <w:szCs w:val="24"/>
        </w:rPr>
        <w:t xml:space="preserve"> models, converted to cost per tonne of annual aluminium (Al) or alumina capacity, with costs generally referenced to </w:t>
      </w:r>
      <w:r w:rsidR="004A67B0">
        <w:rPr>
          <w:rFonts w:cs="Times New Roman"/>
          <w:noProof/>
          <w:color w:val="000000"/>
          <w:szCs w:val="24"/>
        </w:rPr>
        <w:t xml:space="preserve">EUR </w:t>
      </w:r>
      <w:r w:rsidR="00661AB2" w:rsidRPr="00FF63D1">
        <w:rPr>
          <w:rFonts w:cs="Times New Roman"/>
          <w:noProof/>
          <w:color w:val="000000"/>
          <w:szCs w:val="24"/>
        </w:rPr>
        <w:t xml:space="preserve">2022 prices. </w:t>
      </w:r>
    </w:p>
    <w:p w14:paraId="4AECAFBE" w14:textId="78AFB581" w:rsidR="00661AB2" w:rsidRPr="00FF63D1" w:rsidRDefault="2CDC5222" w:rsidP="001C3B8E">
      <w:pPr>
        <w:spacing w:after="120"/>
        <w:rPr>
          <w:rFonts w:cs="Times New Roman"/>
          <w:noProof/>
          <w:color w:val="000000"/>
          <w:szCs w:val="24"/>
        </w:rPr>
      </w:pPr>
      <w:bookmarkStart w:id="546" w:name="_Ref212722331"/>
      <w:r w:rsidRPr="00FF63D1">
        <w:rPr>
          <w:rFonts w:cs="Times New Roman"/>
          <w:noProof/>
          <w:color w:val="000000" w:themeColor="text1"/>
        </w:rPr>
        <w:t xml:space="preserve">In detail, the CAPEX figures for smelters (Inert Anodes, CCS) are based on greenfield </w:t>
      </w:r>
      <w:r w:rsidRPr="001C3B8E">
        <w:rPr>
          <w:rFonts w:eastAsia="Times New Roman"/>
          <w:noProof/>
        </w:rPr>
        <w:t>investments</w:t>
      </w:r>
      <w:r w:rsidRPr="00FF63D1">
        <w:rPr>
          <w:rFonts w:cs="Times New Roman"/>
          <w:noProof/>
          <w:color w:val="000000" w:themeColor="text1"/>
        </w:rPr>
        <w:t>. Conversely, CAPEX for alumina refining (Boilers, MVR, Electric Furnaces) is calculated assuming brownfield investments (retrofitting existing facilities). CAPEX estimates for downstream segments like semi-fabrication and recycling are explicitly noted as approximations based on thermal energy share relative to calcination, reflecting a lack of publicly available data.</w:t>
      </w:r>
      <w:r w:rsidR="00661AB2" w:rsidRPr="00FF63D1">
        <w:rPr>
          <w:rStyle w:val="FootnoteReference"/>
          <w:rFonts w:cs="Times New Roman"/>
          <w:noProof/>
          <w:color w:val="000000" w:themeColor="text1"/>
        </w:rPr>
        <w:footnoteReference w:id="350"/>
      </w:r>
    </w:p>
    <w:p w14:paraId="40507F55" w14:textId="041CF1DA" w:rsidR="00661AB2" w:rsidRPr="00FF63D1" w:rsidRDefault="00661AB2" w:rsidP="00661AB2">
      <w:pPr>
        <w:pStyle w:val="Caption"/>
        <w:keepNext/>
        <w:rPr>
          <w:noProof/>
        </w:rPr>
      </w:pPr>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separate"/>
      </w:r>
      <w:r w:rsidR="00E16D65">
        <w:rPr>
          <w:noProof/>
        </w:rPr>
        <w:t>12</w:t>
      </w:r>
      <w:r w:rsidRPr="00FF63D1">
        <w:rPr>
          <w:noProof/>
        </w:rPr>
        <w:fldChar w:fldCharType="end"/>
      </w:r>
      <w:bookmarkEnd w:id="546"/>
      <w:r w:rsidRPr="00FF63D1">
        <w:rPr>
          <w:noProof/>
        </w:rPr>
        <w:t xml:space="preserve">: CAPEX estimates for the aluminium industry </w:t>
      </w:r>
      <w:r w:rsidRPr="00FF63D1">
        <w:rPr>
          <w:noProof/>
          <w:szCs w:val="24"/>
        </w:rPr>
        <w:t>compiled by the JRC, 2025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6"/>
        <w:gridCol w:w="2019"/>
        <w:gridCol w:w="1963"/>
        <w:gridCol w:w="1654"/>
        <w:gridCol w:w="1654"/>
      </w:tblGrid>
      <w:tr w:rsidR="00661AB2" w:rsidRPr="00F469CA" w14:paraId="137F6BA7" w14:textId="77777777" w:rsidTr="006D1D14">
        <w:trPr>
          <w:trHeight w:val="510"/>
          <w:tblHeader/>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B31BC1D" w14:textId="77777777" w:rsidR="00661AB2" w:rsidRPr="00FF63D1" w:rsidRDefault="00661AB2">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Technology Pathway</w:t>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0A9560" w14:textId="77777777" w:rsidR="00661AB2" w:rsidRPr="00FF63D1" w:rsidRDefault="00661AB2">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Current Value/Reference CAPEX (per tonne capacity)</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1172FF" w14:textId="77777777" w:rsidR="00661AB2" w:rsidRPr="008F1181" w:rsidRDefault="00661AB2">
            <w:pPr>
              <w:widowControl w:val="0"/>
              <w:pBdr>
                <w:top w:val="nil"/>
                <w:left w:val="nil"/>
                <w:bottom w:val="nil"/>
                <w:right w:val="nil"/>
                <w:between w:val="nil"/>
              </w:pBdr>
              <w:jc w:val="center"/>
              <w:rPr>
                <w:b/>
                <w:noProof/>
                <w:color w:val="000000"/>
                <w:sz w:val="22"/>
                <w:lang w:val="it-IT"/>
              </w:rPr>
            </w:pPr>
            <w:r w:rsidRPr="008F1181">
              <w:rPr>
                <w:b/>
                <w:noProof/>
                <w:color w:val="000000"/>
                <w:sz w:val="22"/>
                <w:lang w:val="it-IT"/>
              </w:rPr>
              <w:t>CAPEX in 2030 (per tonne capacity)</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75627F" w14:textId="77777777" w:rsidR="00661AB2" w:rsidRPr="008F1181" w:rsidRDefault="00661AB2">
            <w:pPr>
              <w:widowControl w:val="0"/>
              <w:pBdr>
                <w:top w:val="nil"/>
                <w:left w:val="nil"/>
                <w:bottom w:val="nil"/>
                <w:right w:val="nil"/>
                <w:between w:val="nil"/>
              </w:pBdr>
              <w:jc w:val="center"/>
              <w:rPr>
                <w:b/>
                <w:noProof/>
                <w:color w:val="000000"/>
                <w:sz w:val="22"/>
                <w:lang w:val="it-IT"/>
              </w:rPr>
            </w:pPr>
            <w:r w:rsidRPr="008F1181">
              <w:rPr>
                <w:b/>
                <w:noProof/>
                <w:color w:val="000000"/>
                <w:sz w:val="22"/>
                <w:lang w:val="it-IT"/>
              </w:rPr>
              <w:t>CAPEX in 2040 (per tonne capacity)</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509561" w14:textId="77777777" w:rsidR="00661AB2" w:rsidRPr="008F1181" w:rsidRDefault="00661AB2">
            <w:pPr>
              <w:widowControl w:val="0"/>
              <w:pBdr>
                <w:top w:val="nil"/>
                <w:left w:val="nil"/>
                <w:bottom w:val="nil"/>
                <w:right w:val="nil"/>
                <w:between w:val="nil"/>
              </w:pBdr>
              <w:jc w:val="center"/>
              <w:rPr>
                <w:b/>
                <w:noProof/>
                <w:color w:val="000000"/>
                <w:sz w:val="22"/>
                <w:lang w:val="it-IT"/>
              </w:rPr>
            </w:pPr>
            <w:r w:rsidRPr="008F1181">
              <w:rPr>
                <w:b/>
                <w:noProof/>
                <w:color w:val="000000"/>
                <w:sz w:val="22"/>
                <w:lang w:val="it-IT"/>
              </w:rPr>
              <w:t>CAPEX in 2050 (per tonne capacity)</w:t>
            </w:r>
          </w:p>
        </w:tc>
      </w:tr>
      <w:tr w:rsidR="00661AB2" w:rsidRPr="00FF63D1" w14:paraId="00915BB8" w14:textId="77777777" w:rsidTr="3F0F1197">
        <w:trPr>
          <w:trHeight w:val="1900"/>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51AF1A" w14:textId="77777777" w:rsidR="00661AB2" w:rsidRPr="00FF63D1" w:rsidRDefault="2CDC5222">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Primary Smelting: Inert Anodes (IA)</w:t>
            </w:r>
            <w:r w:rsidR="00661AB2" w:rsidRPr="3F0F1197">
              <w:rPr>
                <w:rStyle w:val="FootnoteReference"/>
                <w:rFonts w:cs="Times New Roman"/>
                <w:noProof/>
                <w:color w:val="000000"/>
                <w:sz w:val="22"/>
              </w:rPr>
              <w:footnoteReference w:id="351"/>
            </w:r>
            <w:r w:rsidRPr="3F0F1197">
              <w:rPr>
                <w:rFonts w:cs="Times New Roman"/>
                <w:noProof/>
                <w:color w:val="000000" w:themeColor="text1"/>
                <w:sz w:val="22"/>
                <w:vertAlign w:val="superscript"/>
              </w:rPr>
              <w:t xml:space="preserve">, </w:t>
            </w:r>
            <w:r w:rsidR="00661AB2" w:rsidRPr="3F0F1197">
              <w:rPr>
                <w:rStyle w:val="FootnoteReference"/>
                <w:rFonts w:cs="Times New Roman"/>
                <w:noProof/>
                <w:color w:val="000000"/>
                <w:sz w:val="22"/>
              </w:rPr>
              <w:footnoteReference w:id="352"/>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AB72C38" w14:textId="2D30E6F9"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themeColor="text1"/>
                <w:sz w:val="22"/>
              </w:rPr>
              <w:t xml:space="preserve">EUR </w:t>
            </w:r>
            <w:r w:rsidR="00661AB2" w:rsidRPr="00FF63D1">
              <w:rPr>
                <w:rFonts w:cs="Times New Roman"/>
                <w:noProof/>
                <w:color w:val="000000" w:themeColor="text1"/>
                <w:sz w:val="22"/>
              </w:rPr>
              <w:t>6</w:t>
            </w:r>
            <w:r w:rsidR="00D7393A">
              <w:rPr>
                <w:rFonts w:cs="Times New Roman"/>
                <w:noProof/>
                <w:color w:val="000000" w:themeColor="text1"/>
                <w:sz w:val="22"/>
              </w:rPr>
              <w:t xml:space="preserve"> </w:t>
            </w:r>
            <w:r w:rsidR="00661AB2" w:rsidRPr="00FF63D1">
              <w:rPr>
                <w:rFonts w:cs="Times New Roman"/>
                <w:noProof/>
                <w:color w:val="000000" w:themeColor="text1"/>
                <w:sz w:val="22"/>
              </w:rPr>
              <w:t>309.1/t Al (Greenfield investment, 2022 prices). TRL 7.</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0284DE3" w14:textId="7B549FEF"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6</w:t>
            </w:r>
            <w:r w:rsidR="00D7393A">
              <w:rPr>
                <w:rFonts w:cs="Times New Roman"/>
                <w:noProof/>
                <w:color w:val="000000"/>
                <w:sz w:val="22"/>
              </w:rPr>
              <w:t xml:space="preserve"> </w:t>
            </w:r>
            <w:r w:rsidR="00661AB2" w:rsidRPr="00FF63D1">
              <w:rPr>
                <w:rFonts w:cs="Times New Roman"/>
                <w:noProof/>
                <w:color w:val="000000"/>
                <w:sz w:val="22"/>
              </w:rPr>
              <w:t>309.1/t Al (Mass deployment expected to begin around 2035).</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40ECBB" w14:textId="7888869C" w:rsidR="00661AB2" w:rsidRPr="00FF63D1" w:rsidRDefault="00661AB2">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Costs expected to remain stable after full commerciali</w:t>
            </w:r>
            <w:r w:rsidR="00C93E5C">
              <w:rPr>
                <w:rFonts w:cs="Times New Roman"/>
                <w:noProof/>
                <w:color w:val="000000"/>
                <w:sz w:val="22"/>
              </w:rPr>
              <w:t>sation</w:t>
            </w:r>
            <w:r w:rsidRPr="00FF63D1">
              <w:rPr>
                <w:rFonts w:cs="Times New Roman"/>
                <w:noProof/>
                <w:color w:val="000000"/>
                <w:sz w:val="22"/>
              </w:rPr>
              <w:t>. Full market coverage expected 2040–2045.</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C6B819" w14:textId="28A1195E" w:rsidR="00661AB2" w:rsidRPr="00FF63D1" w:rsidRDefault="00661AB2">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Costs expected to remain stable after full commerciali</w:t>
            </w:r>
            <w:r w:rsidR="00C93E5C">
              <w:rPr>
                <w:rFonts w:cs="Times New Roman"/>
                <w:noProof/>
                <w:color w:val="000000"/>
                <w:sz w:val="22"/>
              </w:rPr>
              <w:t>sation</w:t>
            </w:r>
            <w:r w:rsidRPr="00FF63D1">
              <w:rPr>
                <w:rFonts w:cs="Times New Roman"/>
                <w:noProof/>
                <w:color w:val="000000"/>
                <w:sz w:val="22"/>
              </w:rPr>
              <w:t>.</w:t>
            </w:r>
          </w:p>
        </w:tc>
      </w:tr>
      <w:tr w:rsidR="00661AB2" w:rsidRPr="00FF63D1" w14:paraId="0911328E" w14:textId="77777777" w:rsidTr="3F0F1197">
        <w:trPr>
          <w:trHeight w:val="1580"/>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786401" w14:textId="77777777" w:rsidR="00661AB2" w:rsidRPr="00FF63D1" w:rsidRDefault="2CDC5222">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Primary Smelting: Carbon Anode + CCS</w:t>
            </w:r>
            <w:r w:rsidR="00661AB2" w:rsidRPr="3F0F1197">
              <w:rPr>
                <w:rStyle w:val="FootnoteReference"/>
                <w:rFonts w:cs="Times New Roman"/>
                <w:noProof/>
                <w:color w:val="000000"/>
                <w:sz w:val="22"/>
              </w:rPr>
              <w:footnoteReference w:id="353"/>
            </w:r>
            <w:r w:rsidRPr="3F0F1197">
              <w:rPr>
                <w:rFonts w:cs="Times New Roman"/>
                <w:noProof/>
                <w:color w:val="000000" w:themeColor="text1"/>
                <w:sz w:val="22"/>
                <w:vertAlign w:val="superscript"/>
              </w:rPr>
              <w:t xml:space="preserve">, </w:t>
            </w:r>
            <w:r w:rsidR="00661AB2" w:rsidRPr="3F0F1197">
              <w:rPr>
                <w:rStyle w:val="FootnoteReference"/>
                <w:rFonts w:cs="Times New Roman"/>
                <w:noProof/>
                <w:color w:val="000000"/>
                <w:sz w:val="22"/>
              </w:rPr>
              <w:footnoteReference w:id="354"/>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A1631E" w14:textId="77777777" w:rsidR="00661AB2" w:rsidRPr="00FF63D1" w:rsidRDefault="00661AB2">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TRL 9 (CCS component) / TRL 3-4 (Smelter integration).</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664324A" w14:textId="080FAB83"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6</w:t>
            </w:r>
            <w:r w:rsidR="00B114A4">
              <w:rPr>
                <w:rFonts w:cs="Times New Roman"/>
                <w:noProof/>
                <w:color w:val="000000"/>
                <w:sz w:val="22"/>
              </w:rPr>
              <w:t xml:space="preserve"> </w:t>
            </w:r>
            <w:r w:rsidR="00661AB2" w:rsidRPr="00FF63D1">
              <w:rPr>
                <w:rFonts w:cs="Times New Roman"/>
                <w:noProof/>
                <w:color w:val="000000"/>
                <w:sz w:val="22"/>
              </w:rPr>
              <w:t>688.6/t Al (Greenfield investment, 2022 prices) Commercial readiness expected by 2035.</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EA2A27" w14:textId="2BF79144"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6</w:t>
            </w:r>
            <w:r w:rsidR="00B114A4">
              <w:rPr>
                <w:rFonts w:cs="Times New Roman"/>
                <w:noProof/>
                <w:color w:val="000000"/>
                <w:sz w:val="22"/>
              </w:rPr>
              <w:t xml:space="preserve"> </w:t>
            </w:r>
            <w:r w:rsidR="00661AB2" w:rsidRPr="00FF63D1">
              <w:rPr>
                <w:rFonts w:cs="Times New Roman"/>
                <w:noProof/>
                <w:color w:val="000000"/>
                <w:sz w:val="22"/>
              </w:rPr>
              <w:t>688.6/t Al.</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602250" w14:textId="343C811C"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6</w:t>
            </w:r>
            <w:r w:rsidR="00B114A4">
              <w:rPr>
                <w:rFonts w:cs="Times New Roman"/>
                <w:noProof/>
                <w:color w:val="000000"/>
                <w:sz w:val="22"/>
              </w:rPr>
              <w:t xml:space="preserve"> </w:t>
            </w:r>
            <w:r w:rsidR="00661AB2" w:rsidRPr="00FF63D1">
              <w:rPr>
                <w:rFonts w:cs="Times New Roman"/>
                <w:noProof/>
                <w:color w:val="000000"/>
                <w:sz w:val="22"/>
              </w:rPr>
              <w:t>688.6/t Al.</w:t>
            </w:r>
          </w:p>
        </w:tc>
      </w:tr>
      <w:tr w:rsidR="00661AB2" w:rsidRPr="00FF63D1" w14:paraId="52EA2D08" w14:textId="77777777" w:rsidTr="3F0F1197">
        <w:trPr>
          <w:trHeight w:val="1083"/>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CD1CBE" w14:textId="77777777" w:rsidR="00661AB2" w:rsidRPr="00FF63D1" w:rsidRDefault="2CDC5222">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Alumina Refining: Electric Boiler (Digestion)</w:t>
            </w:r>
            <w:r w:rsidR="00661AB2" w:rsidRPr="3F0F1197">
              <w:rPr>
                <w:rStyle w:val="FootnoteReference"/>
                <w:rFonts w:cs="Times New Roman"/>
                <w:noProof/>
                <w:color w:val="000000"/>
                <w:sz w:val="22"/>
              </w:rPr>
              <w:footnoteReference w:id="355"/>
            </w:r>
            <w:r w:rsidRPr="3F0F1197">
              <w:rPr>
                <w:rFonts w:cs="Times New Roman"/>
                <w:noProof/>
                <w:color w:val="000000" w:themeColor="text1"/>
                <w:sz w:val="22"/>
                <w:vertAlign w:val="superscript"/>
              </w:rPr>
              <w:t>,</w:t>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D496D8" w14:textId="634106BB"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30.7/t Al (Brownfield retrofit, 2022 prices). TRL 9 (Mature).</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AB8CA5" w14:textId="50AC0FB8"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30.7/t Al.</w:t>
            </w:r>
          </w:p>
          <w:p w14:paraId="3C3F8E47" w14:textId="77777777" w:rsidR="00661AB2" w:rsidRPr="00FF63D1" w:rsidRDefault="00661AB2">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Deployment expected from 2025.</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4208B1" w14:textId="73E3F33C"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30.7/t Al.</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9545268" w14:textId="0AF74C7F"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30.7/t Al.</w:t>
            </w:r>
          </w:p>
        </w:tc>
      </w:tr>
      <w:tr w:rsidR="00661AB2" w:rsidRPr="00FF63D1" w14:paraId="74CD0F06" w14:textId="77777777" w:rsidTr="3F0F1197">
        <w:trPr>
          <w:trHeight w:val="1850"/>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CE7028" w14:textId="77777777" w:rsidR="00661AB2" w:rsidRPr="00FF63D1" w:rsidRDefault="2CDC5222">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lastRenderedPageBreak/>
              <w:t>Alumina Refining: MVR (Digestion)</w:t>
            </w:r>
            <w:r w:rsidRPr="3F0F1197">
              <w:rPr>
                <w:rStyle w:val="FootnoteReference"/>
                <w:rFonts w:cs="Times New Roman"/>
                <w:noProof/>
                <w:color w:val="000000" w:themeColor="text1"/>
                <w:sz w:val="22"/>
              </w:rPr>
              <w:t xml:space="preserve"> </w:t>
            </w:r>
            <w:r w:rsidR="00661AB2" w:rsidRPr="3F0F1197">
              <w:rPr>
                <w:rStyle w:val="FootnoteReference"/>
                <w:rFonts w:cs="Times New Roman"/>
                <w:noProof/>
                <w:color w:val="000000"/>
                <w:sz w:val="22"/>
              </w:rPr>
              <w:footnoteReference w:id="356"/>
            </w:r>
            <w:r w:rsidRPr="3F0F1197">
              <w:rPr>
                <w:rFonts w:cs="Times New Roman"/>
                <w:noProof/>
                <w:color w:val="000000" w:themeColor="text1"/>
                <w:sz w:val="22"/>
                <w:vertAlign w:val="superscript"/>
              </w:rPr>
              <w:t xml:space="preserve">, </w:t>
            </w:r>
            <w:r w:rsidR="00661AB2" w:rsidRPr="3F0F1197">
              <w:rPr>
                <w:rStyle w:val="FootnoteReference"/>
                <w:rFonts w:cs="Times New Roman"/>
                <w:noProof/>
                <w:color w:val="000000"/>
                <w:sz w:val="22"/>
              </w:rPr>
              <w:footnoteReference w:id="357"/>
            </w:r>
            <w:r w:rsidRPr="3F0F1197">
              <w:rPr>
                <w:rFonts w:cs="Times New Roman"/>
                <w:noProof/>
                <w:color w:val="000000" w:themeColor="text1"/>
                <w:sz w:val="22"/>
                <w:vertAlign w:val="superscript"/>
              </w:rPr>
              <w:t xml:space="preserve">, </w:t>
            </w:r>
            <w:r w:rsidR="00661AB2" w:rsidRPr="3F0F1197">
              <w:rPr>
                <w:rStyle w:val="FootnoteReference"/>
                <w:rFonts w:cs="Times New Roman"/>
                <w:noProof/>
                <w:color w:val="000000"/>
                <w:sz w:val="22"/>
              </w:rPr>
              <w:footnoteReference w:id="358"/>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B1B016" w14:textId="0E6EF6D0"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76.9/t Al (Brownfield retrofit, 2022 prices). TRL 7–8.</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BCF1B7" w14:textId="51FF52C4"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76.9/t Al (Commercial readiness 2027). Deployment grows significantly towards 2030.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91DC63" w14:textId="4B1714CD"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76.9/t Al MVR systems play a dominant role in digestion by 2050.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C092D1" w14:textId="4F85D004"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76.9/t Al.</w:t>
            </w:r>
          </w:p>
        </w:tc>
      </w:tr>
      <w:tr w:rsidR="00661AB2" w:rsidRPr="00FF63D1" w14:paraId="6765A01A" w14:textId="77777777" w:rsidTr="3F0F1197">
        <w:trPr>
          <w:trHeight w:val="447"/>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C654BC" w14:textId="77777777" w:rsidR="00661AB2" w:rsidRPr="00FF63D1" w:rsidRDefault="2CDC5222">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Alumina Refining: Electric Furnace (Calcination)</w:t>
            </w:r>
            <w:r w:rsidR="00661AB2" w:rsidRPr="3F0F1197">
              <w:rPr>
                <w:rStyle w:val="FootnoteReference"/>
                <w:rFonts w:cs="Times New Roman"/>
                <w:noProof/>
                <w:color w:val="000000"/>
                <w:sz w:val="22"/>
              </w:rPr>
              <w:footnoteReference w:id="359"/>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AD9E5E" w14:textId="77777777" w:rsidR="00661AB2" w:rsidRPr="00FF63D1" w:rsidRDefault="00661AB2">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TRL 4–5 (In trial phase).</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A14F8B" w14:textId="5BB822DF"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155.6/t Al (Brownfield retrofit, 2022 prices). Commercial readiness expected 2030.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7567B5" w14:textId="421E9A21"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155.6/t Al (Full market penetration expected by 2040).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1846EC" w14:textId="2B0BCB04"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155.6/t Al.</w:t>
            </w:r>
          </w:p>
        </w:tc>
      </w:tr>
      <w:tr w:rsidR="00661AB2" w:rsidRPr="00FF63D1" w14:paraId="6BBBD853" w14:textId="77777777" w:rsidTr="3F0F1197">
        <w:trPr>
          <w:trHeight w:val="1850"/>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BBF384" w14:textId="3784D54F" w:rsidR="00661AB2" w:rsidRPr="00FF63D1" w:rsidRDefault="2CDC5222">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General High Temp: Electric Furnace (e.g., Remelting/Cast House)</w:t>
            </w:r>
            <w:r w:rsidR="00DB3A83" w:rsidRPr="00B37A92">
              <w:rPr>
                <w:rStyle w:val="FootnoteReference"/>
                <w:rFonts w:cs="Times New Roman"/>
                <w:noProof/>
                <w:color w:val="000000" w:themeColor="text1"/>
                <w:sz w:val="22"/>
              </w:rPr>
              <w:footnoteReference w:id="360"/>
            </w:r>
            <w:r w:rsidR="00DB3A83" w:rsidRPr="00B37A92">
              <w:rPr>
                <w:rFonts w:cs="Times New Roman"/>
                <w:noProof/>
                <w:color w:val="000000" w:themeColor="text1"/>
                <w:sz w:val="22"/>
                <w:vertAlign w:val="superscript"/>
              </w:rPr>
              <w:t xml:space="preserve">, </w:t>
            </w:r>
            <w:r w:rsidR="00661AB2" w:rsidRPr="3F0F1197">
              <w:rPr>
                <w:rStyle w:val="FootnoteReference"/>
                <w:rFonts w:cs="Times New Roman"/>
                <w:noProof/>
                <w:color w:val="000000"/>
                <w:sz w:val="22"/>
              </w:rPr>
              <w:footnoteReference w:id="361"/>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579E247" w14:textId="77777777" w:rsidR="00661AB2" w:rsidRPr="00FF63D1" w:rsidRDefault="00661AB2">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 xml:space="preserve">TRL 9 (Heating technologies exist) </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EA70AC" w14:textId="03E8B482"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31.3–</w:t>
            </w:r>
            <w:r>
              <w:rPr>
                <w:rFonts w:cs="Times New Roman"/>
                <w:noProof/>
                <w:color w:val="000000"/>
                <w:sz w:val="22"/>
              </w:rPr>
              <w:t xml:space="preserve">EUR </w:t>
            </w:r>
            <w:r w:rsidR="00661AB2" w:rsidRPr="00FF63D1">
              <w:rPr>
                <w:rFonts w:cs="Times New Roman"/>
                <w:noProof/>
                <w:color w:val="000000"/>
                <w:sz w:val="22"/>
              </w:rPr>
              <w:t>38.3/t Al (Brownfield estimate for Cast House/Anode Paste, 2022 prices). Commercial readiness 2030.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F136C6" w14:textId="654ECBB1"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31.3–</w:t>
            </w:r>
            <w:r>
              <w:rPr>
                <w:rFonts w:cs="Times New Roman"/>
                <w:noProof/>
                <w:color w:val="000000"/>
                <w:sz w:val="22"/>
              </w:rPr>
              <w:t xml:space="preserve">EUR </w:t>
            </w:r>
            <w:r w:rsidR="00661AB2" w:rsidRPr="00FF63D1">
              <w:rPr>
                <w:rFonts w:cs="Times New Roman"/>
                <w:noProof/>
                <w:color w:val="000000"/>
                <w:sz w:val="22"/>
              </w:rPr>
              <w:t>38.3/t Al.</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CF1DEC" w14:textId="08DD3906"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31.3–</w:t>
            </w:r>
            <w:r>
              <w:rPr>
                <w:rFonts w:cs="Times New Roman"/>
                <w:noProof/>
                <w:color w:val="000000"/>
                <w:sz w:val="22"/>
              </w:rPr>
              <w:t xml:space="preserve">EUR </w:t>
            </w:r>
            <w:r w:rsidR="00661AB2" w:rsidRPr="00FF63D1">
              <w:rPr>
                <w:rFonts w:cs="Times New Roman"/>
                <w:noProof/>
                <w:color w:val="000000"/>
                <w:sz w:val="22"/>
              </w:rPr>
              <w:t>38.3/t Al.</w:t>
            </w:r>
          </w:p>
        </w:tc>
      </w:tr>
      <w:tr w:rsidR="00661AB2" w:rsidRPr="00FF63D1" w14:paraId="5D520EEE" w14:textId="77777777" w:rsidTr="3F0F1197">
        <w:trPr>
          <w:trHeight w:val="1850"/>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66D015" w14:textId="28E80191" w:rsidR="00661AB2" w:rsidRPr="00FF63D1" w:rsidRDefault="2CDC5222">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General High Temp: Hydrogen Furnace (e.g., Remelting/Cast House)</w:t>
            </w:r>
            <w:r w:rsidR="00661AB2" w:rsidRPr="3F0F1197">
              <w:rPr>
                <w:rStyle w:val="FootnoteReference"/>
                <w:rFonts w:cs="Times New Roman"/>
                <w:noProof/>
                <w:color w:val="000000"/>
                <w:sz w:val="22"/>
              </w:rPr>
              <w:footnoteReference w:id="362"/>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4966B6" w14:textId="77777777" w:rsidR="00661AB2" w:rsidRPr="00FF63D1" w:rsidRDefault="00661AB2">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TRL 8 (High maturity in other sectors).</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F6069E" w14:textId="747B4F39"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15.1–</w:t>
            </w:r>
            <w:r>
              <w:rPr>
                <w:rFonts w:cs="Times New Roman"/>
                <w:noProof/>
                <w:color w:val="000000"/>
                <w:sz w:val="22"/>
              </w:rPr>
              <w:t xml:space="preserve">EUR </w:t>
            </w:r>
            <w:r w:rsidR="00661AB2" w:rsidRPr="00FF63D1">
              <w:rPr>
                <w:rFonts w:cs="Times New Roman"/>
                <w:noProof/>
                <w:color w:val="000000"/>
                <w:sz w:val="22"/>
              </w:rPr>
              <w:t>18.4/t Al (Brownfield estimate for Cast House/Anode Paste, 2022 prices). Commercial readiness 2035.</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68C592" w14:textId="036C79C4"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15.1–</w:t>
            </w:r>
            <w:r>
              <w:rPr>
                <w:rFonts w:cs="Times New Roman"/>
                <w:noProof/>
                <w:color w:val="000000"/>
                <w:sz w:val="22"/>
              </w:rPr>
              <w:t xml:space="preserve">EUR </w:t>
            </w:r>
            <w:r w:rsidR="00661AB2" w:rsidRPr="00FF63D1">
              <w:rPr>
                <w:rFonts w:cs="Times New Roman"/>
                <w:noProof/>
                <w:color w:val="000000"/>
                <w:sz w:val="22"/>
              </w:rPr>
              <w:t>18.4/t Al.</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705AA3" w14:textId="456D5D70" w:rsidR="00661AB2"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 xml:space="preserve">EUR </w:t>
            </w:r>
            <w:r w:rsidR="00661AB2" w:rsidRPr="00FF63D1">
              <w:rPr>
                <w:rFonts w:cs="Times New Roman"/>
                <w:noProof/>
                <w:color w:val="000000"/>
                <w:sz w:val="22"/>
              </w:rPr>
              <w:t>15.1–</w:t>
            </w:r>
            <w:r>
              <w:rPr>
                <w:rFonts w:cs="Times New Roman"/>
                <w:noProof/>
                <w:color w:val="000000"/>
                <w:sz w:val="22"/>
              </w:rPr>
              <w:t xml:space="preserve">EUR </w:t>
            </w:r>
            <w:r w:rsidR="00661AB2" w:rsidRPr="00FF63D1">
              <w:rPr>
                <w:rFonts w:cs="Times New Roman"/>
                <w:noProof/>
                <w:color w:val="000000"/>
                <w:sz w:val="22"/>
              </w:rPr>
              <w:t>18.4/t Al.</w:t>
            </w:r>
          </w:p>
        </w:tc>
      </w:tr>
    </w:tbl>
    <w:p w14:paraId="7FDECEEE" w14:textId="77777777" w:rsidR="00133511" w:rsidRDefault="00133511" w:rsidP="00133511">
      <w:pPr>
        <w:spacing w:after="120"/>
        <w:rPr>
          <w:rFonts w:eastAsia="Times New Roman"/>
          <w:b/>
          <w:bCs/>
          <w:noProof/>
          <w:color w:val="000000" w:themeColor="text1"/>
        </w:rPr>
      </w:pPr>
    </w:p>
    <w:p w14:paraId="3013B9FF" w14:textId="77777777" w:rsidR="00661AB2" w:rsidRPr="00133511" w:rsidRDefault="00661AB2" w:rsidP="00133511">
      <w:pPr>
        <w:spacing w:after="120"/>
        <w:rPr>
          <w:rFonts w:eastAsia="Times New Roman"/>
          <w:b/>
          <w:bCs/>
          <w:noProof/>
          <w:color w:val="000000" w:themeColor="text1"/>
        </w:rPr>
      </w:pPr>
      <w:r w:rsidRPr="00133511">
        <w:rPr>
          <w:rFonts w:eastAsia="Times New Roman"/>
          <w:b/>
          <w:bCs/>
          <w:noProof/>
          <w:color w:val="000000" w:themeColor="text1"/>
        </w:rPr>
        <w:t>Total Investment Needs (TCI) for EU Transition</w:t>
      </w:r>
    </w:p>
    <w:p w14:paraId="66BCA8E2" w14:textId="2ED56C38" w:rsidR="00661AB2" w:rsidRPr="00133511" w:rsidRDefault="00661AB2" w:rsidP="00133511">
      <w:pPr>
        <w:spacing w:after="120"/>
        <w:rPr>
          <w:noProof/>
        </w:rPr>
      </w:pPr>
      <w:r w:rsidRPr="00FF63D1">
        <w:rPr>
          <w:noProof/>
        </w:rPr>
        <w:t xml:space="preserve">The EU aluminium industry will need approximately </w:t>
      </w:r>
      <w:r w:rsidR="004A67B0">
        <w:rPr>
          <w:rFonts w:cs="Times New Roman"/>
          <w:noProof/>
          <w:color w:val="000000"/>
          <w:szCs w:val="24"/>
        </w:rPr>
        <w:t xml:space="preserve">EUR </w:t>
      </w:r>
      <w:r w:rsidRPr="00FF63D1">
        <w:rPr>
          <w:noProof/>
        </w:rPr>
        <w:t xml:space="preserve">33 billion in cumulative investments for new technology deployment between 2021 and 2050 to meet the 1.5°C scenario, with about </w:t>
      </w:r>
      <w:r w:rsidR="004A67B0">
        <w:rPr>
          <w:rFonts w:cs="Times New Roman"/>
          <w:noProof/>
          <w:color w:val="000000"/>
          <w:szCs w:val="24"/>
        </w:rPr>
        <w:t xml:space="preserve">EUR </w:t>
      </w:r>
      <w:r w:rsidRPr="00FF63D1">
        <w:rPr>
          <w:noProof/>
        </w:rPr>
        <w:t xml:space="preserve">22 billion (67% of </w:t>
      </w:r>
      <w:r w:rsidRPr="00133511">
        <w:rPr>
          <w:rFonts w:cs="Times New Roman"/>
          <w:noProof/>
          <w:color w:val="000000"/>
          <w:szCs w:val="24"/>
        </w:rPr>
        <w:t>the</w:t>
      </w:r>
      <w:r w:rsidRPr="00FF63D1">
        <w:rPr>
          <w:noProof/>
        </w:rPr>
        <w:t xml:space="preserve"> total) expected between 2031–2040. This investment peak is primarily directed towards greenfield smelter facilities with inert anode technology. These figures exclude </w:t>
      </w:r>
      <w:r w:rsidRPr="00FF63D1" w:rsidDel="00787D54">
        <w:rPr>
          <w:noProof/>
        </w:rPr>
        <w:t>R</w:t>
      </w:r>
      <w:r w:rsidRPr="00FF63D1">
        <w:rPr>
          <w:noProof/>
        </w:rPr>
        <w:t>&amp;I costs and necessary energy system developments, such as grid upgrades and new renewable capacity, which will also drive up the overall cost.</w:t>
      </w:r>
    </w:p>
    <w:p w14:paraId="2EE4EF78" w14:textId="77777777" w:rsidR="00020031" w:rsidRPr="00020C03" w:rsidRDefault="00020031" w:rsidP="00E71388">
      <w:pPr>
        <w:pStyle w:val="ListParagraph"/>
        <w:keepNext/>
        <w:keepLines/>
        <w:numPr>
          <w:ilvl w:val="1"/>
          <w:numId w:val="166"/>
        </w:numPr>
        <w:spacing w:before="360" w:after="80"/>
        <w:outlineLvl w:val="0"/>
        <w:rPr>
          <w:b/>
          <w:noProof/>
        </w:rPr>
      </w:pPr>
      <w:bookmarkStart w:id="547" w:name="_Toc212728855"/>
      <w:bookmarkStart w:id="548" w:name="_Toc212729129"/>
      <w:bookmarkStart w:id="549" w:name="_Toc212729381"/>
      <w:bookmarkStart w:id="550" w:name="_Toc215506325"/>
      <w:bookmarkStart w:id="551" w:name="_Toc222159376"/>
      <w:bookmarkStart w:id="552" w:name="_Toc222489544"/>
      <w:bookmarkStart w:id="553" w:name="_Toc222490033"/>
      <w:r w:rsidRPr="00020C03">
        <w:rPr>
          <w:b/>
          <w:noProof/>
        </w:rPr>
        <w:lastRenderedPageBreak/>
        <w:t>Cement</w:t>
      </w:r>
      <w:bookmarkEnd w:id="547"/>
      <w:bookmarkEnd w:id="548"/>
      <w:bookmarkEnd w:id="549"/>
      <w:bookmarkEnd w:id="550"/>
      <w:bookmarkEnd w:id="551"/>
      <w:bookmarkEnd w:id="552"/>
      <w:bookmarkEnd w:id="553"/>
    </w:p>
    <w:p w14:paraId="1231ED45" w14:textId="77777777" w:rsidR="00133511" w:rsidRDefault="545C8C3C" w:rsidP="00133511">
      <w:pPr>
        <w:spacing w:after="120"/>
        <w:rPr>
          <w:rFonts w:eastAsia="Times New Roman"/>
          <w:b/>
          <w:noProof/>
          <w:color w:val="000000" w:themeColor="text1"/>
        </w:rPr>
      </w:pPr>
      <w:r w:rsidRPr="00133511">
        <w:rPr>
          <w:rFonts w:eastAsia="Times New Roman"/>
          <w:b/>
          <w:bCs/>
          <w:noProof/>
          <w:color w:val="000000" w:themeColor="text1"/>
        </w:rPr>
        <w:t>Key</w:t>
      </w:r>
      <w:r w:rsidRPr="00F261DB">
        <w:rPr>
          <w:rFonts w:eastAsia="Times New Roman"/>
          <w:b/>
          <w:noProof/>
          <w:color w:val="000000" w:themeColor="text1"/>
        </w:rPr>
        <w:t xml:space="preserve"> facts</w:t>
      </w:r>
    </w:p>
    <w:p w14:paraId="2D783AA6" w14:textId="37654E9D" w:rsidR="00020031" w:rsidRPr="00133511" w:rsidRDefault="404A2814" w:rsidP="00133511">
      <w:pPr>
        <w:spacing w:after="120"/>
        <w:rPr>
          <w:rFonts w:eastAsia="Times New Roman"/>
          <w:noProof/>
        </w:rPr>
      </w:pPr>
      <w:r w:rsidRPr="00F261DB">
        <w:rPr>
          <w:rFonts w:eastAsia="Times New Roman"/>
          <w:noProof/>
        </w:rPr>
        <w:t xml:space="preserve">EUR </w:t>
      </w:r>
      <w:r w:rsidR="3A6DF358">
        <w:rPr>
          <w:rFonts w:eastAsia="Times New Roman"/>
          <w:noProof/>
        </w:rPr>
        <w:t>25.8</w:t>
      </w:r>
      <w:r w:rsidRPr="00F261DB">
        <w:rPr>
          <w:rFonts w:eastAsia="Times New Roman"/>
          <w:noProof/>
        </w:rPr>
        <w:t xml:space="preserve"> billion sales</w:t>
      </w:r>
      <w:r w:rsidR="20EA9701">
        <w:rPr>
          <w:rFonts w:eastAsia="Times New Roman"/>
          <w:noProof/>
        </w:rPr>
        <w:t xml:space="preserve"> and </w:t>
      </w:r>
      <w:r w:rsidR="54F01683">
        <w:rPr>
          <w:rFonts w:eastAsia="Times New Roman"/>
          <w:noProof/>
        </w:rPr>
        <w:t xml:space="preserve">EUR </w:t>
      </w:r>
      <w:r w:rsidR="4BB3DC73">
        <w:rPr>
          <w:rFonts w:eastAsia="Times New Roman"/>
          <w:noProof/>
        </w:rPr>
        <w:t>8.5 billion Gross Value Added</w:t>
      </w:r>
      <w:r w:rsidR="20EA9701">
        <w:rPr>
          <w:rFonts w:eastAsia="Times New Roman"/>
          <w:noProof/>
        </w:rPr>
        <w:t xml:space="preserve"> </w:t>
      </w:r>
      <w:r w:rsidR="614823A4">
        <w:rPr>
          <w:rFonts w:eastAsia="Times New Roman"/>
          <w:noProof/>
        </w:rPr>
        <w:t>(cement and clinker)</w:t>
      </w:r>
      <w:r w:rsidR="701067D3">
        <w:rPr>
          <w:rFonts w:eastAsia="Times New Roman"/>
          <w:noProof/>
        </w:rPr>
        <w:t xml:space="preserve"> in 2022</w:t>
      </w:r>
      <w:r w:rsidR="4BB3DC73">
        <w:rPr>
          <w:rFonts w:eastAsia="Times New Roman"/>
          <w:noProof/>
        </w:rPr>
        <w:t>,</w:t>
      </w:r>
      <w:r w:rsidRPr="00F261DB">
        <w:rPr>
          <w:rFonts w:eastAsia="Times New Roman"/>
          <w:noProof/>
        </w:rPr>
        <w:t xml:space="preserve"> 40</w:t>
      </w:r>
      <w:r w:rsidR="0CB72DD9">
        <w:rPr>
          <w:rFonts w:eastAsia="Times New Roman"/>
          <w:noProof/>
        </w:rPr>
        <w:t>.</w:t>
      </w:r>
      <w:r w:rsidRPr="00F261DB">
        <w:rPr>
          <w:rFonts w:eastAsia="Times New Roman"/>
          <w:noProof/>
        </w:rPr>
        <w:t xml:space="preserve">3 thousand direct jobs in 2023, plus 14.5 million in </w:t>
      </w:r>
      <w:r w:rsidRPr="00133511">
        <w:rPr>
          <w:noProof/>
        </w:rPr>
        <w:t>construction</w:t>
      </w:r>
      <w:r w:rsidRPr="00F261DB">
        <w:rPr>
          <w:rFonts w:eastAsia="Times New Roman"/>
          <w:noProof/>
        </w:rPr>
        <w:t xml:space="preserve">, 161.1 </w:t>
      </w:r>
      <w:r w:rsidR="51E518DF" w:rsidRPr="3F0F1197">
        <w:rPr>
          <w:rFonts w:eastAsia="Times New Roman"/>
          <w:noProof/>
        </w:rPr>
        <w:t>Mtonnes</w:t>
      </w:r>
      <w:r w:rsidRPr="3F0F1197" w:rsidDel="545C8C3C">
        <w:rPr>
          <w:rFonts w:eastAsia="Times New Roman"/>
          <w:noProof/>
        </w:rPr>
        <w:t xml:space="preserve"> </w:t>
      </w:r>
      <w:r w:rsidRPr="00F261DB">
        <w:rPr>
          <w:rFonts w:eastAsia="Times New Roman"/>
          <w:noProof/>
        </w:rPr>
        <w:t>production in 2023</w:t>
      </w:r>
      <w:r w:rsidR="009F1F30" w:rsidRPr="00FF63D1">
        <w:rPr>
          <w:rStyle w:val="FootnoteReference"/>
          <w:rFonts w:eastAsia="Times New Roman"/>
          <w:noProof/>
        </w:rPr>
        <w:footnoteReference w:id="363"/>
      </w:r>
      <w:r w:rsidRPr="00F261DB">
        <w:rPr>
          <w:rFonts w:eastAsia="Times New Roman"/>
          <w:noProof/>
        </w:rPr>
        <w:t>, main EU producers: Germany, Italy, France, and Spain.</w:t>
      </w:r>
      <w:r w:rsidR="00020031" w:rsidRPr="00FF63D1">
        <w:rPr>
          <w:rStyle w:val="FootnoteReference"/>
          <w:rFonts w:eastAsia="Times New Roman"/>
          <w:noProof/>
        </w:rPr>
        <w:footnoteReference w:id="364"/>
      </w:r>
      <w:r w:rsidR="66BF30CA">
        <w:rPr>
          <w:rFonts w:eastAsia="Times New Roman"/>
          <w:noProof/>
        </w:rPr>
        <w:t xml:space="preserve"> </w:t>
      </w:r>
      <w:r w:rsidRPr="000D3198">
        <w:rPr>
          <w:noProof/>
          <w:lang w:val="en-IE"/>
        </w:rPr>
        <w:t xml:space="preserve">EU exports in 2022: EUR 1.1 billion, imports: EUR 0.7 billion. </w:t>
      </w:r>
      <w:r w:rsidRPr="00020C03">
        <w:rPr>
          <w:rFonts w:eastAsia="Times New Roman"/>
          <w:noProof/>
          <w:lang w:val="en-IE"/>
        </w:rPr>
        <w:t xml:space="preserve">Major trading partners: </w:t>
      </w:r>
      <w:r w:rsidR="41C07C5D" w:rsidRPr="00815C94">
        <w:rPr>
          <w:rFonts w:eastAsia="Times New Roman"/>
          <w:noProof/>
          <w:lang w:val="en-IE"/>
        </w:rPr>
        <w:t>Türkiye</w:t>
      </w:r>
      <w:r w:rsidRPr="00020C03">
        <w:rPr>
          <w:rFonts w:eastAsia="Times New Roman"/>
          <w:noProof/>
          <w:lang w:val="en-IE"/>
        </w:rPr>
        <w:t>, Egypt, China, and Ukraine.</w:t>
      </w:r>
      <w:r w:rsidR="00020031" w:rsidRPr="311B850B">
        <w:rPr>
          <w:rStyle w:val="FootnoteReference"/>
          <w:rFonts w:eastAsia="Times New Roman"/>
          <w:noProof/>
          <w:lang w:val="fr-BE"/>
        </w:rPr>
        <w:footnoteReference w:id="365"/>
      </w:r>
    </w:p>
    <w:p w14:paraId="1CC47188" w14:textId="77777777" w:rsidR="00133511" w:rsidRDefault="00020031" w:rsidP="00133511">
      <w:pPr>
        <w:spacing w:after="120"/>
        <w:rPr>
          <w:rFonts w:eastAsia="Times New Roman"/>
          <w:b/>
          <w:noProof/>
        </w:rPr>
      </w:pPr>
      <w:r w:rsidRPr="00F261DB">
        <w:rPr>
          <w:rFonts w:eastAsia="Times New Roman"/>
          <w:b/>
          <w:noProof/>
        </w:rPr>
        <w:t xml:space="preserve">Key </w:t>
      </w:r>
      <w:r w:rsidRPr="00133511">
        <w:rPr>
          <w:rFonts w:eastAsia="Times New Roman"/>
          <w:b/>
          <w:noProof/>
          <w:color w:val="000000" w:themeColor="text1"/>
        </w:rPr>
        <w:t>challenges</w:t>
      </w:r>
    </w:p>
    <w:p w14:paraId="786EB6F0" w14:textId="01E8E8E6" w:rsidR="00020031" w:rsidRPr="00F261DB" w:rsidRDefault="00133511" w:rsidP="00133511">
      <w:pPr>
        <w:spacing w:after="120"/>
        <w:rPr>
          <w:rFonts w:eastAsia="Times New Roman"/>
          <w:noProof/>
        </w:rPr>
      </w:pPr>
      <w:r>
        <w:rPr>
          <w:rFonts w:eastAsia="Times New Roman"/>
          <w:noProof/>
        </w:rPr>
        <w:t>H</w:t>
      </w:r>
      <w:r w:rsidR="00020031" w:rsidRPr="00F261DB">
        <w:rPr>
          <w:rFonts w:eastAsia="Times New Roman"/>
          <w:noProof/>
        </w:rPr>
        <w:t xml:space="preserve">igh energy costs, tightening environmental regulations, and declining construction demand. Production volumes decreased by 3.3% between 2022 and 2023. </w:t>
      </w:r>
    </w:p>
    <w:p w14:paraId="15A0CB3C" w14:textId="7A90FF07" w:rsidR="004D4511" w:rsidRPr="000C3A21" w:rsidRDefault="404A2814" w:rsidP="00133511">
      <w:pPr>
        <w:spacing w:after="120"/>
        <w:rPr>
          <w:rFonts w:eastAsia="Times New Roman"/>
          <w:noProof/>
        </w:rPr>
      </w:pPr>
      <w:r w:rsidRPr="00F261DB">
        <w:rPr>
          <w:rFonts w:eastAsia="Times New Roman"/>
          <w:noProof/>
        </w:rPr>
        <w:t>The EU cement industry emits over 120</w:t>
      </w:r>
      <w:r w:rsidR="1AC6F867" w:rsidRPr="3F0F1197">
        <w:rPr>
          <w:rFonts w:eastAsia="Times New Roman"/>
          <w:noProof/>
        </w:rPr>
        <w:t xml:space="preserve"> Mtonnes</w:t>
      </w:r>
      <w:r w:rsidRPr="3F0F1197">
        <w:rPr>
          <w:rFonts w:eastAsia="Times New Roman"/>
          <w:noProof/>
        </w:rPr>
        <w:t xml:space="preserve"> </w:t>
      </w:r>
      <w:r w:rsidRPr="00F261DB">
        <w:rPr>
          <w:rFonts w:eastAsia="Times New Roman"/>
          <w:noProof/>
        </w:rPr>
        <w:t>of CO₂ annually.</w:t>
      </w:r>
      <w:r w:rsidR="00020031" w:rsidRPr="00FF63D1">
        <w:rPr>
          <w:rStyle w:val="FootnoteReference"/>
          <w:rFonts w:eastAsia="Times New Roman"/>
          <w:noProof/>
        </w:rPr>
        <w:footnoteReference w:id="366"/>
      </w:r>
      <w:r w:rsidRPr="00F261DB">
        <w:rPr>
          <w:rFonts w:eastAsia="Times New Roman"/>
          <w:noProof/>
        </w:rPr>
        <w:t xml:space="preserve"> In line with EU climate objectives, the industry is moving toward cleaner production through several decarbonisation pathways</w:t>
      </w:r>
      <w:r w:rsidR="00B37A92">
        <w:rPr>
          <w:rFonts w:eastAsia="Times New Roman"/>
          <w:noProof/>
        </w:rPr>
        <w:t>,</w:t>
      </w:r>
      <w:r w:rsidR="00923834">
        <w:rPr>
          <w:rStyle w:val="FootnoteReference"/>
          <w:rFonts w:eastAsia="Times New Roman"/>
          <w:noProof/>
        </w:rPr>
        <w:footnoteReference w:id="367"/>
      </w:r>
      <w:r w:rsidRPr="00F261DB">
        <w:rPr>
          <w:rFonts w:eastAsia="Times New Roman"/>
          <w:noProof/>
        </w:rPr>
        <w:t xml:space="preserve"> including the use of alternative fuels, process electrification, deployment of carbon capture, utilisation and storage </w:t>
      </w:r>
      <w:r w:rsidR="004901C3" w:rsidRPr="00F261DB">
        <w:rPr>
          <w:rFonts w:eastAsia="Times New Roman"/>
          <w:noProof/>
        </w:rPr>
        <w:t>(CCUS)</w:t>
      </w:r>
      <w:r w:rsidR="004901C3">
        <w:rPr>
          <w:rStyle w:val="FootnoteReference"/>
          <w:rFonts w:eastAsia="Times New Roman"/>
          <w:noProof/>
        </w:rPr>
        <w:footnoteReference w:id="368"/>
      </w:r>
      <w:r w:rsidR="004901C3" w:rsidRPr="00F261DB">
        <w:rPr>
          <w:rFonts w:eastAsia="Times New Roman"/>
          <w:noProof/>
        </w:rPr>
        <w:t>,</w:t>
      </w:r>
      <w:r w:rsidRPr="00F261DB">
        <w:rPr>
          <w:rFonts w:eastAsia="Times New Roman"/>
          <w:noProof/>
        </w:rPr>
        <w:t xml:space="preserve"> and clinker substitution with low-carbon materials.</w:t>
      </w:r>
      <w:r w:rsidR="00020031" w:rsidRPr="00FF63D1">
        <w:rPr>
          <w:rStyle w:val="FootnoteReference"/>
          <w:rFonts w:eastAsia="Times New Roman"/>
          <w:noProof/>
        </w:rPr>
        <w:footnoteReference w:id="369"/>
      </w:r>
      <w:r w:rsidRPr="00F261DB">
        <w:rPr>
          <w:rFonts w:eastAsia="Times New Roman"/>
          <w:noProof/>
        </w:rPr>
        <w:t xml:space="preserve"> These approaches aim to cut emissions across key production stages, from raw material processing to downstream applications in construction. The investment need is estimated at EUR 94.4 billion by 2050. Key challenges to achieve decarbonisation include limited availability of proven low-carbon alternatives at scale, insufficient CO₂ transport and storage infrastructure, and the technical difficulty of reducing process-related emissions from clinker production.</w:t>
      </w:r>
    </w:p>
    <w:p w14:paraId="0FF4A763" w14:textId="774E2D3B" w:rsidR="00661AB2" w:rsidRDefault="00661AB2" w:rsidP="00133511">
      <w:pPr>
        <w:spacing w:after="120"/>
        <w:rPr>
          <w:rFonts w:eastAsia="Times New Roman"/>
          <w:b/>
          <w:bCs/>
          <w:noProof/>
        </w:rPr>
      </w:pPr>
      <w:r w:rsidRPr="00020C03">
        <w:rPr>
          <w:rFonts w:eastAsia="Times New Roman"/>
          <w:b/>
          <w:noProof/>
        </w:rPr>
        <w:t xml:space="preserve">Cost </w:t>
      </w:r>
      <w:r w:rsidRPr="00133511">
        <w:rPr>
          <w:rFonts w:eastAsia="Times New Roman"/>
          <w:b/>
          <w:noProof/>
          <w:color w:val="000000" w:themeColor="text1"/>
        </w:rPr>
        <w:t>evolution</w:t>
      </w:r>
    </w:p>
    <w:p w14:paraId="0FE48C2C" w14:textId="1FE57F91" w:rsidR="00661AB2" w:rsidRPr="00FF63D1" w:rsidRDefault="00506625" w:rsidP="00133511">
      <w:pPr>
        <w:spacing w:after="120"/>
        <w:rPr>
          <w:rFonts w:cs="Times New Roman"/>
          <w:noProof/>
          <w:color w:val="000000"/>
          <w:sz w:val="20"/>
          <w:szCs w:val="20"/>
        </w:rPr>
      </w:pPr>
      <w:r>
        <w:rPr>
          <w:rFonts w:cs="Times New Roman"/>
          <w:noProof/>
          <w:color w:val="000000" w:themeColor="text1"/>
        </w:rPr>
        <w:fldChar w:fldCharType="begin"/>
      </w:r>
      <w:r>
        <w:rPr>
          <w:rFonts w:cs="Times New Roman"/>
          <w:noProof/>
          <w:color w:val="000000" w:themeColor="text1"/>
        </w:rPr>
        <w:instrText xml:space="preserve"> REF _Ref212722358 \h </w:instrText>
      </w:r>
      <w:r>
        <w:rPr>
          <w:rFonts w:cs="Times New Roman"/>
          <w:noProof/>
          <w:color w:val="000000" w:themeColor="text1"/>
        </w:rPr>
      </w:r>
      <w:r>
        <w:rPr>
          <w:rFonts w:cs="Times New Roman"/>
          <w:noProof/>
          <w:color w:val="000000" w:themeColor="text1"/>
        </w:rPr>
        <w:fldChar w:fldCharType="separate"/>
      </w:r>
      <w:r w:rsidR="07FDC849" w:rsidRPr="00FF63D1">
        <w:rPr>
          <w:noProof/>
        </w:rPr>
        <w:t xml:space="preserve">Table </w:t>
      </w:r>
      <w:r w:rsidR="07FDC849">
        <w:rPr>
          <w:noProof/>
        </w:rPr>
        <w:t>13</w:t>
      </w:r>
      <w:r>
        <w:rPr>
          <w:rFonts w:cs="Times New Roman"/>
          <w:noProof/>
          <w:color w:val="000000" w:themeColor="text1"/>
        </w:rPr>
        <w:fldChar w:fldCharType="end"/>
      </w:r>
      <w:r w:rsidR="11AEF7DA">
        <w:rPr>
          <w:rFonts w:cs="Times New Roman"/>
          <w:noProof/>
          <w:color w:val="000000" w:themeColor="text1"/>
        </w:rPr>
        <w:t xml:space="preserve"> </w:t>
      </w:r>
      <w:r w:rsidR="2CDC5222">
        <w:rPr>
          <w:rFonts w:cs="Times New Roman"/>
          <w:noProof/>
          <w:color w:val="000000" w:themeColor="text1"/>
        </w:rPr>
        <w:t>below</w:t>
      </w:r>
      <w:r w:rsidR="2CDC5222" w:rsidRPr="00FF63D1">
        <w:rPr>
          <w:rFonts w:cs="Times New Roman"/>
          <w:noProof/>
          <w:color w:val="000000" w:themeColor="text1"/>
        </w:rPr>
        <w:t xml:space="preserve"> synthesizes these CAPEX estimates for main decarboni</w:t>
      </w:r>
      <w:r w:rsidR="74D7DE92">
        <w:rPr>
          <w:rFonts w:cs="Times New Roman"/>
          <w:noProof/>
          <w:color w:val="000000" w:themeColor="text1"/>
        </w:rPr>
        <w:t>sation</w:t>
      </w:r>
      <w:r w:rsidR="2CDC5222" w:rsidRPr="00FF63D1">
        <w:rPr>
          <w:rFonts w:cs="Times New Roman"/>
          <w:noProof/>
          <w:color w:val="000000" w:themeColor="text1"/>
        </w:rPr>
        <w:t xml:space="preserve"> pathways in the EU cement industry. Unless otherwise specified, the specific CAPEX values for capture technologies are </w:t>
      </w:r>
      <w:r w:rsidR="2CDC5222" w:rsidRPr="00133511">
        <w:rPr>
          <w:rFonts w:eastAsia="Times New Roman"/>
          <w:noProof/>
        </w:rPr>
        <w:t>derived</w:t>
      </w:r>
      <w:r w:rsidR="2CDC5222" w:rsidRPr="00FF63D1">
        <w:rPr>
          <w:rFonts w:cs="Times New Roman"/>
          <w:noProof/>
          <w:color w:val="000000" w:themeColor="text1"/>
        </w:rPr>
        <w:t xml:space="preserve"> from techno-economic assessments based on a 1</w:t>
      </w:r>
      <w:r w:rsidRPr="3F0F1197" w:rsidDel="00506625">
        <w:rPr>
          <w:rFonts w:cs="Times New Roman"/>
          <w:noProof/>
          <w:color w:val="000000" w:themeColor="text1"/>
        </w:rPr>
        <w:t xml:space="preserve"> </w:t>
      </w:r>
      <w:r w:rsidR="1AC6F867" w:rsidRPr="3F0F1197">
        <w:rPr>
          <w:rFonts w:cs="Times New Roman"/>
          <w:noProof/>
          <w:color w:val="000000" w:themeColor="text1"/>
        </w:rPr>
        <w:t xml:space="preserve">Mtonne </w:t>
      </w:r>
      <w:r w:rsidR="2CDC5222" w:rsidRPr="00FF63D1">
        <w:rPr>
          <w:rFonts w:cs="Times New Roman"/>
          <w:noProof/>
          <w:color w:val="000000" w:themeColor="text1"/>
        </w:rPr>
        <w:t xml:space="preserve">clinker/year reference plant capacity, with base costs set to </w:t>
      </w:r>
      <w:r w:rsidR="0313675F" w:rsidRPr="1A2A8689">
        <w:rPr>
          <w:rFonts w:cs="Times New Roman"/>
          <w:noProof/>
          <w:color w:val="000000"/>
        </w:rPr>
        <w:t xml:space="preserve">EUR </w:t>
      </w:r>
      <w:r w:rsidR="2CDC5222" w:rsidRPr="00FF63D1">
        <w:rPr>
          <w:rFonts w:cs="Times New Roman"/>
          <w:noProof/>
          <w:color w:val="000000" w:themeColor="text1"/>
        </w:rPr>
        <w:t>2014</w:t>
      </w:r>
      <w:r w:rsidR="2CDC5222" w:rsidRPr="00FF63D1">
        <w:rPr>
          <w:rFonts w:cs="Times New Roman"/>
          <w:noProof/>
          <w:color w:val="000000" w:themeColor="text1"/>
          <w:sz w:val="20"/>
          <w:szCs w:val="20"/>
        </w:rPr>
        <w:t>.</w:t>
      </w:r>
      <w:r w:rsidR="00661AB2" w:rsidRPr="00FF63D1">
        <w:rPr>
          <w:rStyle w:val="FootnoteReference"/>
          <w:rFonts w:cs="Times New Roman"/>
          <w:noProof/>
          <w:color w:val="000000"/>
          <w:sz w:val="20"/>
          <w:szCs w:val="20"/>
        </w:rPr>
        <w:footnoteReference w:id="370"/>
      </w:r>
    </w:p>
    <w:p w14:paraId="7A04D508" w14:textId="53A199FF" w:rsidR="00661AB2" w:rsidRPr="00FF63D1" w:rsidRDefault="00661AB2" w:rsidP="00661AB2">
      <w:pPr>
        <w:pStyle w:val="Caption"/>
        <w:keepNext/>
        <w:rPr>
          <w:noProof/>
        </w:rPr>
      </w:pPr>
      <w:bookmarkStart w:id="554" w:name="_Ref212722358"/>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separate"/>
      </w:r>
      <w:r w:rsidR="00E16D65">
        <w:rPr>
          <w:noProof/>
        </w:rPr>
        <w:t>13</w:t>
      </w:r>
      <w:r w:rsidRPr="00FF63D1">
        <w:rPr>
          <w:noProof/>
        </w:rPr>
        <w:fldChar w:fldCharType="end"/>
      </w:r>
      <w:bookmarkEnd w:id="554"/>
      <w:r w:rsidRPr="00FF63D1">
        <w:rPr>
          <w:noProof/>
        </w:rPr>
        <w:t xml:space="preserve">: CAPEX estimates for the cement industry </w:t>
      </w:r>
      <w:r w:rsidRPr="00FF63D1">
        <w:rPr>
          <w:noProof/>
          <w:szCs w:val="24"/>
        </w:rPr>
        <w:t>compiled by the JRC,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19"/>
        <w:gridCol w:w="2104"/>
        <w:gridCol w:w="1883"/>
        <w:gridCol w:w="1655"/>
        <w:gridCol w:w="1655"/>
      </w:tblGrid>
      <w:tr w:rsidR="00661AB2" w:rsidRPr="00FF63D1" w14:paraId="33F61405" w14:textId="77777777" w:rsidTr="006D1D14">
        <w:trPr>
          <w:trHeight w:val="510"/>
          <w:tblHeader/>
        </w:trPr>
        <w:tc>
          <w:tcPr>
            <w:tcW w:w="953" w:type="pct"/>
            <w:tcMar>
              <w:top w:w="100" w:type="dxa"/>
              <w:left w:w="100" w:type="dxa"/>
              <w:bottom w:w="100" w:type="dxa"/>
              <w:right w:w="100" w:type="dxa"/>
            </w:tcMar>
          </w:tcPr>
          <w:p w14:paraId="266D9F80" w14:textId="77777777" w:rsidR="00661AB2" w:rsidRPr="00FF63D1" w:rsidRDefault="00661AB2">
            <w:pPr>
              <w:jc w:val="center"/>
              <w:rPr>
                <w:rFonts w:cs="Times New Roman"/>
                <w:b/>
                <w:noProof/>
                <w:sz w:val="22"/>
              </w:rPr>
            </w:pPr>
            <w:r w:rsidRPr="00FF63D1">
              <w:rPr>
                <w:rFonts w:cs="Times New Roman"/>
                <w:b/>
                <w:noProof/>
                <w:sz w:val="22"/>
              </w:rPr>
              <w:t>Technology Pathway</w:t>
            </w:r>
          </w:p>
        </w:tc>
        <w:tc>
          <w:tcPr>
            <w:tcW w:w="1167" w:type="pct"/>
            <w:tcMar>
              <w:top w:w="100" w:type="dxa"/>
              <w:left w:w="100" w:type="dxa"/>
              <w:bottom w:w="100" w:type="dxa"/>
              <w:right w:w="100" w:type="dxa"/>
            </w:tcMar>
          </w:tcPr>
          <w:p w14:paraId="568CB443" w14:textId="77777777" w:rsidR="00661AB2" w:rsidRPr="00FF63D1" w:rsidRDefault="00661AB2">
            <w:pPr>
              <w:jc w:val="center"/>
              <w:rPr>
                <w:rFonts w:cs="Times New Roman"/>
                <w:b/>
                <w:noProof/>
                <w:sz w:val="22"/>
              </w:rPr>
            </w:pPr>
            <w:r w:rsidRPr="00FF63D1">
              <w:rPr>
                <w:rFonts w:cs="Times New Roman"/>
                <w:b/>
                <w:noProof/>
                <w:sz w:val="22"/>
              </w:rPr>
              <w:t>Current Value (per tonne clinker capacity)</w:t>
            </w:r>
          </w:p>
        </w:tc>
        <w:tc>
          <w:tcPr>
            <w:tcW w:w="1044" w:type="pct"/>
            <w:tcMar>
              <w:top w:w="100" w:type="dxa"/>
              <w:left w:w="100" w:type="dxa"/>
              <w:bottom w:w="100" w:type="dxa"/>
              <w:right w:w="100" w:type="dxa"/>
            </w:tcMar>
          </w:tcPr>
          <w:p w14:paraId="6EEC421B" w14:textId="77777777" w:rsidR="00661AB2" w:rsidRPr="00FF63D1" w:rsidRDefault="00661AB2">
            <w:pPr>
              <w:jc w:val="center"/>
              <w:rPr>
                <w:rFonts w:cs="Times New Roman"/>
                <w:b/>
                <w:noProof/>
                <w:sz w:val="22"/>
              </w:rPr>
            </w:pPr>
            <w:r w:rsidRPr="00FF63D1">
              <w:rPr>
                <w:rFonts w:cs="Times New Roman"/>
                <w:b/>
                <w:noProof/>
                <w:sz w:val="22"/>
              </w:rPr>
              <w:t>CAPEX in 2030 (per tonne clinker capacity)</w:t>
            </w:r>
          </w:p>
        </w:tc>
        <w:tc>
          <w:tcPr>
            <w:tcW w:w="918" w:type="pct"/>
            <w:tcMar>
              <w:top w:w="100" w:type="dxa"/>
              <w:left w:w="100" w:type="dxa"/>
              <w:bottom w:w="100" w:type="dxa"/>
              <w:right w:w="100" w:type="dxa"/>
            </w:tcMar>
          </w:tcPr>
          <w:p w14:paraId="78B108DB" w14:textId="77777777" w:rsidR="00661AB2" w:rsidRPr="00FF63D1" w:rsidRDefault="00661AB2">
            <w:pPr>
              <w:jc w:val="center"/>
              <w:rPr>
                <w:rFonts w:cs="Times New Roman"/>
                <w:b/>
                <w:noProof/>
                <w:sz w:val="22"/>
              </w:rPr>
            </w:pPr>
            <w:r w:rsidRPr="00FF63D1">
              <w:rPr>
                <w:rFonts w:cs="Times New Roman"/>
                <w:b/>
                <w:noProof/>
                <w:sz w:val="22"/>
              </w:rPr>
              <w:t>CAPEX in 2040 (per tonne clinker capacity)</w:t>
            </w:r>
          </w:p>
        </w:tc>
        <w:tc>
          <w:tcPr>
            <w:tcW w:w="918" w:type="pct"/>
            <w:tcMar>
              <w:top w:w="100" w:type="dxa"/>
              <w:left w:w="100" w:type="dxa"/>
              <w:bottom w:w="100" w:type="dxa"/>
              <w:right w:w="100" w:type="dxa"/>
            </w:tcMar>
          </w:tcPr>
          <w:p w14:paraId="3AADADEC" w14:textId="77777777" w:rsidR="00661AB2" w:rsidRPr="00FF63D1" w:rsidRDefault="00661AB2">
            <w:pPr>
              <w:jc w:val="center"/>
              <w:rPr>
                <w:rFonts w:cs="Times New Roman"/>
                <w:b/>
                <w:noProof/>
                <w:sz w:val="22"/>
              </w:rPr>
            </w:pPr>
            <w:r w:rsidRPr="00FF63D1">
              <w:rPr>
                <w:rFonts w:cs="Times New Roman"/>
                <w:b/>
                <w:noProof/>
                <w:sz w:val="22"/>
              </w:rPr>
              <w:t>CAPEX in 2050 (per tonne clinker capacity)</w:t>
            </w:r>
          </w:p>
        </w:tc>
      </w:tr>
      <w:tr w:rsidR="00661AB2" w:rsidRPr="00FF63D1" w14:paraId="48DC9A24" w14:textId="77777777" w:rsidTr="3F0F1197">
        <w:trPr>
          <w:trHeight w:val="1166"/>
        </w:trPr>
        <w:tc>
          <w:tcPr>
            <w:tcW w:w="953"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26AE321" w14:textId="77777777" w:rsidR="00661AB2" w:rsidRPr="00FF63D1" w:rsidRDefault="2CDC5222">
            <w:pPr>
              <w:jc w:val="center"/>
              <w:rPr>
                <w:rFonts w:cs="Times New Roman"/>
                <w:b/>
                <w:noProof/>
                <w:sz w:val="22"/>
              </w:rPr>
            </w:pPr>
            <w:r w:rsidRPr="3F0F1197">
              <w:rPr>
                <w:rFonts w:cs="Times New Roman"/>
                <w:b/>
                <w:bCs/>
                <w:noProof/>
                <w:sz w:val="22"/>
              </w:rPr>
              <w:t>Post-Combustion Capture (MEA)</w:t>
            </w:r>
            <w:r w:rsidRPr="3F0F1197">
              <w:rPr>
                <w:rStyle w:val="FootnoteReference"/>
                <w:rFonts w:cs="Times New Roman"/>
                <w:noProof/>
                <w:sz w:val="22"/>
              </w:rPr>
              <w:t xml:space="preserve"> </w:t>
            </w:r>
            <w:r w:rsidR="00661AB2" w:rsidRPr="3F0F1197">
              <w:rPr>
                <w:rStyle w:val="FootnoteReference"/>
                <w:rFonts w:cs="Times New Roman"/>
                <w:noProof/>
                <w:sz w:val="22"/>
              </w:rPr>
              <w:footnoteReference w:id="371"/>
            </w:r>
            <w:r w:rsidRPr="3F0F1197">
              <w:rPr>
                <w:rStyle w:val="FootnoteReference"/>
                <w:rFonts w:cs="Times New Roman"/>
                <w:noProof/>
                <w:sz w:val="22"/>
              </w:rPr>
              <w:t>,</w:t>
            </w:r>
            <w:r w:rsidRPr="3F0F1197">
              <w:rPr>
                <w:rFonts w:cs="Times New Roman"/>
                <w:noProof/>
                <w:sz w:val="22"/>
              </w:rPr>
              <w:t xml:space="preserve"> </w:t>
            </w:r>
            <w:r w:rsidR="00661AB2" w:rsidRPr="3F0F1197">
              <w:rPr>
                <w:rStyle w:val="FootnoteReference"/>
                <w:rFonts w:cs="Times New Roman"/>
                <w:noProof/>
                <w:sz w:val="22"/>
              </w:rPr>
              <w:footnoteReference w:id="372"/>
            </w:r>
          </w:p>
        </w:tc>
        <w:tc>
          <w:tcPr>
            <w:tcW w:w="1167"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981E43" w14:textId="6AC61B06"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28.6/t clinker (Base Case, 2014). TRL 8–9.</w:t>
            </w:r>
          </w:p>
        </w:tc>
        <w:tc>
          <w:tcPr>
            <w:tcW w:w="10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CDCFCD" w14:textId="77777777" w:rsidR="00661AB2" w:rsidRPr="00FF63D1" w:rsidRDefault="00661AB2">
            <w:pPr>
              <w:jc w:val="center"/>
              <w:rPr>
                <w:rFonts w:cs="Times New Roman"/>
                <w:noProof/>
                <w:sz w:val="22"/>
              </w:rPr>
            </w:pPr>
            <w:r w:rsidRPr="00FF63D1">
              <w:rPr>
                <w:rFonts w:cs="Times New Roman"/>
                <w:noProof/>
                <w:sz w:val="22"/>
              </w:rPr>
              <w:t xml:space="preserve">Expected to remain stable or decrease slightly after initial deployment and learning curves. </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A9C5AF" w14:textId="77777777" w:rsidR="00661AB2" w:rsidRPr="00FF63D1" w:rsidRDefault="00661AB2">
            <w:pPr>
              <w:jc w:val="center"/>
              <w:rPr>
                <w:rFonts w:cs="Times New Roman"/>
                <w:noProof/>
                <w:sz w:val="22"/>
              </w:rPr>
            </w:pPr>
            <w:r w:rsidRPr="00FF63D1">
              <w:rPr>
                <w:rFonts w:cs="Times New Roman"/>
                <w:noProof/>
                <w:sz w:val="22"/>
              </w:rPr>
              <w:t>Expected to remain stable/mature.</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1BF16" w14:textId="77777777" w:rsidR="00661AB2" w:rsidRPr="00FF63D1" w:rsidRDefault="00661AB2">
            <w:pPr>
              <w:jc w:val="center"/>
              <w:rPr>
                <w:rFonts w:cs="Times New Roman"/>
                <w:noProof/>
                <w:sz w:val="22"/>
              </w:rPr>
            </w:pPr>
            <w:r w:rsidRPr="00FF63D1">
              <w:rPr>
                <w:rFonts w:cs="Times New Roman"/>
                <w:noProof/>
                <w:sz w:val="22"/>
              </w:rPr>
              <w:t>Expected to remain stable/mature.</w:t>
            </w:r>
          </w:p>
        </w:tc>
      </w:tr>
      <w:tr w:rsidR="00661AB2" w:rsidRPr="00FF63D1" w14:paraId="5AEBD8BA" w14:textId="77777777" w:rsidTr="3F0F1197">
        <w:trPr>
          <w:trHeight w:val="832"/>
        </w:trPr>
        <w:tc>
          <w:tcPr>
            <w:tcW w:w="953"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212272D" w14:textId="77777777" w:rsidR="00661AB2" w:rsidRPr="00FF63D1" w:rsidRDefault="2CDC5222">
            <w:pPr>
              <w:jc w:val="center"/>
              <w:rPr>
                <w:rFonts w:cs="Times New Roman"/>
                <w:b/>
                <w:noProof/>
                <w:sz w:val="22"/>
              </w:rPr>
            </w:pPr>
            <w:r w:rsidRPr="3F0F1197">
              <w:rPr>
                <w:rFonts w:cs="Times New Roman"/>
                <w:b/>
                <w:bCs/>
                <w:noProof/>
                <w:sz w:val="22"/>
              </w:rPr>
              <w:lastRenderedPageBreak/>
              <w:t>Chilled Ammonia Process (CAP)</w:t>
            </w:r>
            <w:r w:rsidRPr="3F0F1197">
              <w:rPr>
                <w:rStyle w:val="FootnoteReference"/>
                <w:rFonts w:cs="Times New Roman"/>
                <w:noProof/>
                <w:sz w:val="22"/>
              </w:rPr>
              <w:t xml:space="preserve"> </w:t>
            </w:r>
            <w:r w:rsidR="00661AB2" w:rsidRPr="3F0F1197">
              <w:rPr>
                <w:rStyle w:val="FootnoteReference"/>
                <w:rFonts w:cs="Times New Roman"/>
                <w:noProof/>
                <w:sz w:val="22"/>
              </w:rPr>
              <w:footnoteReference w:id="373"/>
            </w:r>
            <w:r w:rsidRPr="3F0F1197">
              <w:rPr>
                <w:rStyle w:val="FootnoteReference"/>
                <w:rFonts w:cs="Times New Roman"/>
                <w:noProof/>
                <w:sz w:val="22"/>
              </w:rPr>
              <w:t>,</w:t>
            </w:r>
            <w:r w:rsidRPr="3F0F1197">
              <w:rPr>
                <w:rFonts w:cs="Times New Roman"/>
                <w:noProof/>
                <w:sz w:val="22"/>
              </w:rPr>
              <w:t xml:space="preserve"> </w:t>
            </w:r>
            <w:r w:rsidR="00661AB2" w:rsidRPr="3F0F1197">
              <w:rPr>
                <w:rStyle w:val="FootnoteReference"/>
                <w:rFonts w:cs="Times New Roman"/>
                <w:noProof/>
                <w:sz w:val="22"/>
              </w:rPr>
              <w:footnoteReference w:id="374"/>
            </w:r>
            <w:r w:rsidRPr="3F0F1197">
              <w:rPr>
                <w:rFonts w:cs="Times New Roman"/>
                <w:noProof/>
                <w:sz w:val="22"/>
                <w:vertAlign w:val="superscript"/>
              </w:rPr>
              <w:t xml:space="preserve">, </w:t>
            </w:r>
            <w:r w:rsidR="00661AB2" w:rsidRPr="3F0F1197">
              <w:rPr>
                <w:rStyle w:val="FootnoteReference"/>
                <w:rFonts w:cs="Times New Roman"/>
                <w:noProof/>
                <w:sz w:val="22"/>
              </w:rPr>
              <w:footnoteReference w:id="375"/>
            </w:r>
          </w:p>
        </w:tc>
        <w:tc>
          <w:tcPr>
            <w:tcW w:w="1167"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75C9DC" w14:textId="395C3E14" w:rsidR="00661AB2" w:rsidRPr="00FF63D1" w:rsidRDefault="0062431D">
            <w:pPr>
              <w:jc w:val="center"/>
              <w:rPr>
                <w:rFonts w:cs="Times New Roman"/>
                <w:noProof/>
                <w:sz w:val="22"/>
                <w:vertAlign w:val="superscript"/>
              </w:rPr>
            </w:pPr>
            <w:r>
              <w:rPr>
                <w:rFonts w:cs="Times New Roman"/>
                <w:noProof/>
                <w:sz w:val="22"/>
              </w:rPr>
              <w:t xml:space="preserve">EUR </w:t>
            </w:r>
            <w:r w:rsidR="00661AB2" w:rsidRPr="00FF63D1">
              <w:rPr>
                <w:rFonts w:cs="Times New Roman"/>
                <w:noProof/>
                <w:sz w:val="22"/>
              </w:rPr>
              <w:t>36.4/t clinker (Base Case, 2014). TRL 7–8.</w:t>
            </w:r>
          </w:p>
        </w:tc>
        <w:tc>
          <w:tcPr>
            <w:tcW w:w="10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ACDAE99" w14:textId="77777777" w:rsidR="00661AB2" w:rsidRPr="00FF63D1" w:rsidRDefault="00661AB2">
            <w:pPr>
              <w:jc w:val="center"/>
              <w:rPr>
                <w:rFonts w:cs="Times New Roman"/>
                <w:noProof/>
                <w:sz w:val="22"/>
              </w:rPr>
            </w:pPr>
            <w:r w:rsidRPr="00FF63D1">
              <w:rPr>
                <w:rFonts w:cs="Times New Roman"/>
                <w:noProof/>
                <w:sz w:val="22"/>
              </w:rPr>
              <w:t>Expected to decrease due to learning curve assumption of 1% per year up to 2030.</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B00DD4" w14:textId="77777777" w:rsidR="00661AB2" w:rsidRPr="00FF63D1" w:rsidRDefault="00661AB2">
            <w:pPr>
              <w:jc w:val="center"/>
              <w:rPr>
                <w:rFonts w:cs="Times New Roman"/>
                <w:noProof/>
                <w:sz w:val="22"/>
              </w:rPr>
            </w:pPr>
            <w:r w:rsidRPr="00FF63D1">
              <w:rPr>
                <w:rFonts w:cs="Times New Roman"/>
                <w:noProof/>
                <w:sz w:val="22"/>
              </w:rPr>
              <w:t>N/A (Deployment expected post-2025/2030).</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0F6D96" w14:textId="77777777" w:rsidR="00661AB2" w:rsidRPr="00FF63D1" w:rsidRDefault="00661AB2">
            <w:pPr>
              <w:jc w:val="center"/>
              <w:rPr>
                <w:rFonts w:cs="Times New Roman"/>
                <w:noProof/>
                <w:sz w:val="22"/>
              </w:rPr>
            </w:pPr>
            <w:r w:rsidRPr="00FF63D1">
              <w:rPr>
                <w:rFonts w:cs="Times New Roman"/>
                <w:noProof/>
                <w:sz w:val="22"/>
              </w:rPr>
              <w:t>N/A</w:t>
            </w:r>
          </w:p>
        </w:tc>
      </w:tr>
      <w:tr w:rsidR="00661AB2" w:rsidRPr="00FF63D1" w14:paraId="0F90DB26" w14:textId="77777777" w:rsidTr="3F0F1197">
        <w:trPr>
          <w:trHeight w:val="1618"/>
        </w:trPr>
        <w:tc>
          <w:tcPr>
            <w:tcW w:w="953"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4E62B1E" w14:textId="2B025426" w:rsidR="00661AB2" w:rsidRPr="00FF63D1" w:rsidRDefault="2CDC5222">
            <w:pPr>
              <w:jc w:val="center"/>
              <w:rPr>
                <w:rFonts w:cs="Times New Roman"/>
                <w:b/>
                <w:noProof/>
                <w:sz w:val="22"/>
              </w:rPr>
            </w:pPr>
            <w:r w:rsidRPr="3F0F1197">
              <w:rPr>
                <w:rFonts w:cs="Times New Roman"/>
                <w:b/>
                <w:bCs/>
                <w:noProof/>
                <w:sz w:val="22"/>
              </w:rPr>
              <w:t>Membrane-Assisted Liquefaction (MAL)</w:t>
            </w:r>
            <w:r w:rsidR="00661AB2" w:rsidRPr="3F0F1197">
              <w:rPr>
                <w:rStyle w:val="FootnoteReference"/>
                <w:rFonts w:cs="Times New Roman"/>
                <w:noProof/>
                <w:sz w:val="22"/>
              </w:rPr>
              <w:footnoteReference w:id="376"/>
            </w:r>
            <w:r w:rsidR="001F3CC3" w:rsidRPr="00B37A92">
              <w:rPr>
                <w:rFonts w:cs="Times New Roman"/>
                <w:noProof/>
                <w:sz w:val="22"/>
                <w:vertAlign w:val="superscript"/>
              </w:rPr>
              <w:t>,</w:t>
            </w:r>
            <w:r w:rsidR="001F3CC3" w:rsidRPr="00B37A92">
              <w:rPr>
                <w:rFonts w:cs="Times New Roman"/>
                <w:noProof/>
                <w:sz w:val="22"/>
              </w:rPr>
              <w:t xml:space="preserve"> </w:t>
            </w:r>
            <w:r w:rsidR="001F3CC3" w:rsidRPr="00B37A92">
              <w:rPr>
                <w:rStyle w:val="FootnoteReference"/>
                <w:rFonts w:cs="Times New Roman"/>
                <w:noProof/>
                <w:sz w:val="22"/>
              </w:rPr>
              <w:footnoteReference w:id="377"/>
            </w:r>
          </w:p>
        </w:tc>
        <w:tc>
          <w:tcPr>
            <w:tcW w:w="1167"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10E5AE" w14:textId="2FB6FAEC"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46.7/t clinker (Base Case, 2014). TRL 4–5.</w:t>
            </w:r>
          </w:p>
        </w:tc>
        <w:tc>
          <w:tcPr>
            <w:tcW w:w="10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C481E7F" w14:textId="77777777" w:rsidR="00661AB2" w:rsidRPr="00FF63D1" w:rsidRDefault="00661AB2">
            <w:pPr>
              <w:jc w:val="center"/>
              <w:rPr>
                <w:rFonts w:cs="Times New Roman"/>
                <w:noProof/>
                <w:sz w:val="22"/>
                <w:vertAlign w:val="superscript"/>
              </w:rPr>
            </w:pPr>
            <w:r w:rsidRPr="00FF63D1">
              <w:rPr>
                <w:rFonts w:cs="Times New Roman"/>
                <w:noProof/>
                <w:sz w:val="22"/>
              </w:rPr>
              <w:t>Projected costs highly sensitive to maturity and demonstration efforts. TRL &gt;8 expected 2030–2040.</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5C6E99E" w14:textId="77777777" w:rsidR="00661AB2" w:rsidRPr="00FF63D1" w:rsidRDefault="00661AB2">
            <w:pPr>
              <w:jc w:val="center"/>
              <w:rPr>
                <w:rFonts w:cs="Times New Roman"/>
                <w:noProof/>
                <w:sz w:val="22"/>
              </w:rPr>
            </w:pPr>
            <w:r w:rsidRPr="00FF63D1">
              <w:rPr>
                <w:rFonts w:cs="Times New Roman"/>
                <w:noProof/>
                <w:sz w:val="22"/>
              </w:rPr>
              <w:t>Potential for maturity by 2040.</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FD396C" w14:textId="77777777" w:rsidR="00661AB2" w:rsidRPr="00FF63D1" w:rsidRDefault="00661AB2">
            <w:pPr>
              <w:jc w:val="center"/>
              <w:rPr>
                <w:rFonts w:cs="Times New Roman"/>
                <w:noProof/>
                <w:sz w:val="22"/>
              </w:rPr>
            </w:pPr>
            <w:r w:rsidRPr="00FF63D1">
              <w:rPr>
                <w:rFonts w:cs="Times New Roman"/>
                <w:noProof/>
                <w:sz w:val="22"/>
              </w:rPr>
              <w:t>N/A</w:t>
            </w:r>
          </w:p>
        </w:tc>
      </w:tr>
      <w:tr w:rsidR="00661AB2" w:rsidRPr="00FF63D1" w14:paraId="031D86F1" w14:textId="77777777" w:rsidTr="3F0F1197">
        <w:trPr>
          <w:trHeight w:val="316"/>
        </w:trPr>
        <w:tc>
          <w:tcPr>
            <w:tcW w:w="953"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333FE79" w14:textId="77777777" w:rsidR="00661AB2" w:rsidRPr="00FF63D1" w:rsidRDefault="2CDC5222">
            <w:pPr>
              <w:jc w:val="center"/>
              <w:rPr>
                <w:rFonts w:cs="Times New Roman"/>
                <w:b/>
                <w:noProof/>
                <w:sz w:val="22"/>
              </w:rPr>
            </w:pPr>
            <w:r w:rsidRPr="3F0F1197">
              <w:rPr>
                <w:rFonts w:cs="Times New Roman"/>
                <w:b/>
                <w:bCs/>
                <w:noProof/>
                <w:sz w:val="22"/>
              </w:rPr>
              <w:t>Oxyfuel Technology</w:t>
            </w:r>
            <w:r w:rsidR="00661AB2" w:rsidRPr="3F0F1197">
              <w:rPr>
                <w:rStyle w:val="FootnoteReference"/>
                <w:rFonts w:cs="Times New Roman"/>
                <w:noProof/>
                <w:sz w:val="22"/>
              </w:rPr>
              <w:footnoteReference w:id="378"/>
            </w:r>
            <w:r w:rsidRPr="3F0F1197">
              <w:rPr>
                <w:rStyle w:val="FootnoteReference"/>
                <w:rFonts w:cs="Times New Roman"/>
                <w:noProof/>
                <w:sz w:val="22"/>
              </w:rPr>
              <w:t>,</w:t>
            </w:r>
            <w:r w:rsidRPr="3F0F1197">
              <w:rPr>
                <w:rFonts w:cs="Times New Roman"/>
                <w:noProof/>
                <w:sz w:val="22"/>
              </w:rPr>
              <w:t xml:space="preserve"> </w:t>
            </w:r>
            <w:r w:rsidR="00661AB2" w:rsidRPr="3F0F1197">
              <w:rPr>
                <w:rStyle w:val="FootnoteReference"/>
                <w:rFonts w:cs="Times New Roman"/>
                <w:noProof/>
                <w:sz w:val="22"/>
              </w:rPr>
              <w:footnoteReference w:id="379"/>
            </w:r>
          </w:p>
        </w:tc>
        <w:tc>
          <w:tcPr>
            <w:tcW w:w="1167"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B62E3E" w14:textId="6A6FFD9B"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35.0/t clinker (Base Case, 2014). TRL 6.</w:t>
            </w:r>
          </w:p>
        </w:tc>
        <w:tc>
          <w:tcPr>
            <w:tcW w:w="10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18C289" w14:textId="6EC72B8D" w:rsidR="00661AB2" w:rsidRPr="00FB41A5" w:rsidRDefault="0075531F">
            <w:pPr>
              <w:jc w:val="center"/>
              <w:rPr>
                <w:rFonts w:cs="Times New Roman"/>
                <w:noProof/>
                <w:sz w:val="22"/>
                <w:lang w:val="fr-BE"/>
              </w:rPr>
            </w:pPr>
            <w:r w:rsidRPr="00FB41A5">
              <w:rPr>
                <w:rFonts w:cs="Times New Roman"/>
                <w:noProof/>
                <w:sz w:val="22"/>
                <w:lang w:val="fr-BE"/>
              </w:rPr>
              <w:t xml:space="preserve">EUR 220-EUR 250 </w:t>
            </w:r>
            <w:r w:rsidRPr="00FB41A5">
              <w:rPr>
                <w:noProof/>
                <w:lang w:val="fr-BE"/>
              </w:rPr>
              <w:t xml:space="preserve">million </w:t>
            </w:r>
            <w:r w:rsidRPr="00FB41A5">
              <w:rPr>
                <w:rFonts w:cs="Times New Roman"/>
                <w:noProof/>
                <w:sz w:val="22"/>
                <w:lang w:val="fr-BE"/>
              </w:rPr>
              <w:t>(Total Investment, 2 Mt</w:t>
            </w:r>
            <w:r w:rsidR="007A1CA1" w:rsidRPr="00FB41A5">
              <w:rPr>
                <w:rFonts w:cs="Times New Roman"/>
                <w:noProof/>
                <w:sz w:val="22"/>
                <w:lang w:val="fr-BE"/>
              </w:rPr>
              <w:t>onnes</w:t>
            </w:r>
            <w:r w:rsidRPr="00FB41A5">
              <w:rPr>
                <w:rFonts w:cs="Times New Roman"/>
                <w:noProof/>
                <w:sz w:val="22"/>
                <w:lang w:val="fr-BE"/>
              </w:rPr>
              <w:t xml:space="preserve"> clinker/y)</w:t>
            </w:r>
            <w:r w:rsidR="007A1CA1" w:rsidRPr="00FB41A5">
              <w:rPr>
                <w:rFonts w:cs="Times New Roman"/>
                <w:noProof/>
                <w:sz w:val="22"/>
                <w:lang w:val="fr-BE"/>
              </w:rPr>
              <w:t>.</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EBDC95" w14:textId="652B4895" w:rsidR="00661AB2" w:rsidRPr="00FF63D1" w:rsidRDefault="00A71E72">
            <w:pPr>
              <w:jc w:val="center"/>
              <w:rPr>
                <w:rFonts w:cs="Times New Roman"/>
                <w:noProof/>
                <w:sz w:val="22"/>
              </w:rPr>
            </w:pPr>
            <w:r>
              <w:rPr>
                <w:rFonts w:cs="Times New Roman"/>
                <w:noProof/>
                <w:sz w:val="22"/>
              </w:rPr>
              <w:t xml:space="preserve">EUR 200-EUR 230 </w:t>
            </w:r>
            <w:r>
              <w:rPr>
                <w:noProof/>
              </w:rPr>
              <w:t xml:space="preserve">million </w:t>
            </w:r>
            <w:r w:rsidRPr="00FF63D1">
              <w:rPr>
                <w:rFonts w:cs="Times New Roman"/>
                <w:noProof/>
                <w:sz w:val="22"/>
              </w:rPr>
              <w:t xml:space="preserve">(Total Investment, </w:t>
            </w:r>
            <w:r>
              <w:rPr>
                <w:rFonts w:cs="Times New Roman"/>
                <w:noProof/>
                <w:sz w:val="22"/>
              </w:rPr>
              <w:t>2</w:t>
            </w:r>
            <w:r w:rsidRPr="00FF63D1">
              <w:rPr>
                <w:rFonts w:cs="Times New Roman"/>
                <w:noProof/>
                <w:sz w:val="22"/>
              </w:rPr>
              <w:t xml:space="preserve"> </w:t>
            </w:r>
            <w:r>
              <w:rPr>
                <w:rFonts w:cs="Times New Roman"/>
                <w:noProof/>
                <w:sz w:val="22"/>
              </w:rPr>
              <w:t>Mt</w:t>
            </w:r>
            <w:r w:rsidR="007A1CA1">
              <w:rPr>
                <w:rFonts w:cs="Times New Roman"/>
                <w:noProof/>
                <w:sz w:val="22"/>
              </w:rPr>
              <w:t>onnes</w:t>
            </w:r>
            <w:r>
              <w:rPr>
                <w:rFonts w:cs="Times New Roman"/>
                <w:noProof/>
                <w:sz w:val="22"/>
              </w:rPr>
              <w:t>/y capacity)</w:t>
            </w:r>
            <w:r w:rsidR="007A1CA1">
              <w:rPr>
                <w:rFonts w:cs="Times New Roman"/>
                <w:noProof/>
                <w:sz w:val="22"/>
              </w:rPr>
              <w:t>.</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7A1FA9" w14:textId="41B044CF" w:rsidR="00661AB2" w:rsidRPr="00FF63D1" w:rsidRDefault="00753037">
            <w:pPr>
              <w:jc w:val="center"/>
              <w:rPr>
                <w:rFonts w:cs="Times New Roman"/>
                <w:noProof/>
                <w:sz w:val="22"/>
              </w:rPr>
            </w:pPr>
            <w:r>
              <w:rPr>
                <w:rFonts w:cs="Times New Roman"/>
                <w:noProof/>
                <w:sz w:val="22"/>
              </w:rPr>
              <w:t xml:space="preserve">EUR 200-EUR 230 </w:t>
            </w:r>
            <w:r>
              <w:rPr>
                <w:noProof/>
              </w:rPr>
              <w:t xml:space="preserve">million </w:t>
            </w:r>
            <w:r w:rsidRPr="00FF63D1">
              <w:rPr>
                <w:rFonts w:cs="Times New Roman"/>
                <w:noProof/>
                <w:sz w:val="22"/>
              </w:rPr>
              <w:t xml:space="preserve">(Total Investment, </w:t>
            </w:r>
            <w:r>
              <w:rPr>
                <w:rFonts w:cs="Times New Roman"/>
                <w:noProof/>
                <w:sz w:val="22"/>
              </w:rPr>
              <w:t>2</w:t>
            </w:r>
            <w:r w:rsidRPr="00FF63D1">
              <w:rPr>
                <w:rFonts w:cs="Times New Roman"/>
                <w:noProof/>
                <w:sz w:val="22"/>
              </w:rPr>
              <w:t xml:space="preserve"> </w:t>
            </w:r>
            <w:r>
              <w:rPr>
                <w:rFonts w:cs="Times New Roman"/>
                <w:noProof/>
                <w:sz w:val="22"/>
              </w:rPr>
              <w:t>Mt</w:t>
            </w:r>
            <w:r w:rsidR="007A1CA1">
              <w:rPr>
                <w:rFonts w:cs="Times New Roman"/>
                <w:noProof/>
                <w:sz w:val="22"/>
              </w:rPr>
              <w:t>onnes</w:t>
            </w:r>
            <w:r>
              <w:rPr>
                <w:rFonts w:cs="Times New Roman"/>
                <w:noProof/>
                <w:sz w:val="22"/>
              </w:rPr>
              <w:t>/y capacity)</w:t>
            </w:r>
            <w:r w:rsidR="007A1CA1">
              <w:rPr>
                <w:rFonts w:cs="Times New Roman"/>
                <w:noProof/>
                <w:sz w:val="22"/>
              </w:rPr>
              <w:t>.</w:t>
            </w:r>
          </w:p>
        </w:tc>
      </w:tr>
      <w:tr w:rsidR="00661AB2" w:rsidRPr="00FF63D1" w14:paraId="02B02EF1" w14:textId="77777777" w:rsidTr="3F0F1197">
        <w:trPr>
          <w:trHeight w:val="1166"/>
        </w:trPr>
        <w:tc>
          <w:tcPr>
            <w:tcW w:w="953" w:type="pct"/>
            <w:tcMar>
              <w:top w:w="100" w:type="dxa"/>
              <w:left w:w="100" w:type="dxa"/>
              <w:bottom w:w="100" w:type="dxa"/>
              <w:right w:w="100" w:type="dxa"/>
            </w:tcMar>
          </w:tcPr>
          <w:p w14:paraId="1ECE7849" w14:textId="77777777" w:rsidR="00661AB2" w:rsidRPr="00FF63D1" w:rsidRDefault="2CDC5222">
            <w:pPr>
              <w:jc w:val="center"/>
              <w:rPr>
                <w:rFonts w:cs="Times New Roman"/>
                <w:b/>
                <w:noProof/>
                <w:sz w:val="22"/>
              </w:rPr>
            </w:pPr>
            <w:r w:rsidRPr="3F0F1197">
              <w:rPr>
                <w:rFonts w:cs="Times New Roman"/>
                <w:b/>
                <w:bCs/>
                <w:noProof/>
                <w:sz w:val="22"/>
              </w:rPr>
              <w:t>Calcium Looping (CaL) - Tail-End</w:t>
            </w:r>
            <w:r w:rsidR="00661AB2" w:rsidRPr="3F0F1197">
              <w:rPr>
                <w:rStyle w:val="FootnoteReference"/>
                <w:rFonts w:cs="Times New Roman"/>
                <w:noProof/>
                <w:sz w:val="22"/>
              </w:rPr>
              <w:footnoteReference w:id="380"/>
            </w:r>
          </w:p>
        </w:tc>
        <w:tc>
          <w:tcPr>
            <w:tcW w:w="1167" w:type="pct"/>
            <w:tcMar>
              <w:top w:w="100" w:type="dxa"/>
              <w:left w:w="100" w:type="dxa"/>
              <w:bottom w:w="100" w:type="dxa"/>
              <w:right w:w="100" w:type="dxa"/>
            </w:tcMar>
          </w:tcPr>
          <w:p w14:paraId="71E94CDB" w14:textId="40CCBCA9"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330–</w:t>
            </w:r>
            <w:r>
              <w:rPr>
                <w:rFonts w:cs="Times New Roman"/>
                <w:noProof/>
                <w:sz w:val="22"/>
              </w:rPr>
              <w:t xml:space="preserve">EUR </w:t>
            </w:r>
            <w:r w:rsidR="00661AB2" w:rsidRPr="00FF63D1">
              <w:rPr>
                <w:rFonts w:cs="Times New Roman"/>
                <w:noProof/>
                <w:sz w:val="22"/>
              </w:rPr>
              <w:t xml:space="preserve">495 million (Total Investment, 2 </w:t>
            </w:r>
            <w:r w:rsidR="00284425">
              <w:rPr>
                <w:rFonts w:cs="Times New Roman"/>
                <w:noProof/>
                <w:sz w:val="22"/>
              </w:rPr>
              <w:t xml:space="preserve">Mtonnes </w:t>
            </w:r>
            <w:r w:rsidR="00661AB2" w:rsidRPr="00FF63D1">
              <w:rPr>
                <w:rFonts w:cs="Times New Roman"/>
                <w:noProof/>
                <w:sz w:val="22"/>
              </w:rPr>
              <w:t>clinker/y, 2020</w:t>
            </w:r>
            <w:r>
              <w:rPr>
                <w:noProof/>
              </w:rPr>
              <w:t xml:space="preserve"> </w:t>
            </w:r>
            <w:r w:rsidRPr="0062431D">
              <w:rPr>
                <w:rFonts w:cs="Times New Roman"/>
                <w:noProof/>
                <w:sz w:val="22"/>
              </w:rPr>
              <w:t>prices</w:t>
            </w:r>
            <w:r w:rsidR="00661AB2" w:rsidRPr="00FF63D1">
              <w:rPr>
                <w:rFonts w:cs="Times New Roman"/>
                <w:noProof/>
                <w:sz w:val="22"/>
              </w:rPr>
              <w:t>). TRL 7–8.</w:t>
            </w:r>
          </w:p>
        </w:tc>
        <w:tc>
          <w:tcPr>
            <w:tcW w:w="1044" w:type="pct"/>
            <w:tcMar>
              <w:top w:w="100" w:type="dxa"/>
              <w:left w:w="100" w:type="dxa"/>
              <w:bottom w:w="100" w:type="dxa"/>
              <w:right w:w="100" w:type="dxa"/>
            </w:tcMar>
          </w:tcPr>
          <w:p w14:paraId="1E365137" w14:textId="48FAC598" w:rsidR="00661AB2" w:rsidRPr="00FF63D1" w:rsidRDefault="0062431D">
            <w:pPr>
              <w:jc w:val="center"/>
              <w:rPr>
                <w:rFonts w:cs="Times New Roman"/>
                <w:noProof/>
                <w:sz w:val="22"/>
              </w:rPr>
            </w:pPr>
            <w:r>
              <w:rPr>
                <w:rFonts w:cs="Times New Roman"/>
                <w:noProof/>
                <w:sz w:val="22"/>
              </w:rPr>
              <w:t xml:space="preserve">EUR </w:t>
            </w:r>
            <w:r w:rsidR="00A13A3C" w:rsidRPr="00FF63D1">
              <w:rPr>
                <w:rFonts w:cs="Times New Roman"/>
                <w:noProof/>
                <w:sz w:val="22"/>
              </w:rPr>
              <w:t>3</w:t>
            </w:r>
            <w:r w:rsidR="00A13A3C">
              <w:rPr>
                <w:rFonts w:cs="Times New Roman"/>
                <w:noProof/>
                <w:sz w:val="22"/>
              </w:rPr>
              <w:t>3</w:t>
            </w:r>
            <w:r w:rsidR="00A13A3C" w:rsidRPr="00FF63D1">
              <w:rPr>
                <w:rFonts w:cs="Times New Roman"/>
                <w:noProof/>
                <w:sz w:val="22"/>
              </w:rPr>
              <w:t>0</w:t>
            </w:r>
            <w:r w:rsidR="00661AB2" w:rsidRPr="00FF63D1">
              <w:rPr>
                <w:rFonts w:cs="Times New Roman"/>
                <w:noProof/>
                <w:sz w:val="22"/>
              </w:rPr>
              <w:t>–</w:t>
            </w:r>
            <w:r>
              <w:rPr>
                <w:rFonts w:cs="Times New Roman"/>
                <w:noProof/>
                <w:sz w:val="22"/>
              </w:rPr>
              <w:t xml:space="preserve">EUR </w:t>
            </w:r>
            <w:r w:rsidR="00661AB2" w:rsidRPr="00FF63D1">
              <w:rPr>
                <w:rFonts w:cs="Times New Roman"/>
                <w:noProof/>
                <w:sz w:val="22"/>
              </w:rPr>
              <w:t xml:space="preserve">450 million (Total Investment, 2 </w:t>
            </w:r>
            <w:r w:rsidR="00284425">
              <w:rPr>
                <w:rFonts w:cs="Times New Roman"/>
                <w:noProof/>
                <w:sz w:val="22"/>
              </w:rPr>
              <w:t xml:space="preserve">Mtonnes </w:t>
            </w:r>
            <w:r w:rsidR="00661AB2" w:rsidRPr="00FF63D1">
              <w:rPr>
                <w:rFonts w:cs="Times New Roman"/>
                <w:noProof/>
                <w:sz w:val="22"/>
              </w:rPr>
              <w:t>clinker/y, 2020</w:t>
            </w:r>
            <w:r>
              <w:rPr>
                <w:noProof/>
              </w:rPr>
              <w:t xml:space="preserve"> </w:t>
            </w:r>
            <w:r w:rsidRPr="0062431D">
              <w:rPr>
                <w:rFonts w:cs="Times New Roman"/>
                <w:noProof/>
                <w:sz w:val="22"/>
              </w:rPr>
              <w:t>prices</w:t>
            </w:r>
            <w:r w:rsidR="00661AB2" w:rsidRPr="00FF63D1">
              <w:rPr>
                <w:rFonts w:cs="Times New Roman"/>
                <w:noProof/>
                <w:sz w:val="22"/>
              </w:rPr>
              <w:t>). TRL &gt;8 expected 2025.</w:t>
            </w:r>
          </w:p>
        </w:tc>
        <w:tc>
          <w:tcPr>
            <w:tcW w:w="918" w:type="pct"/>
            <w:tcMar>
              <w:top w:w="100" w:type="dxa"/>
              <w:left w:w="100" w:type="dxa"/>
              <w:bottom w:w="100" w:type="dxa"/>
              <w:right w:w="100" w:type="dxa"/>
            </w:tcMar>
          </w:tcPr>
          <w:p w14:paraId="24D674F0" w14:textId="07D1FC54" w:rsidR="00661AB2" w:rsidRPr="00FF63D1" w:rsidRDefault="0062431D">
            <w:pPr>
              <w:jc w:val="center"/>
              <w:rPr>
                <w:rFonts w:cs="Times New Roman"/>
                <w:noProof/>
                <w:sz w:val="22"/>
              </w:rPr>
            </w:pPr>
            <w:r>
              <w:rPr>
                <w:rFonts w:cs="Times New Roman"/>
                <w:noProof/>
                <w:sz w:val="22"/>
              </w:rPr>
              <w:t xml:space="preserve">EUR </w:t>
            </w:r>
            <w:r w:rsidR="00FD3652" w:rsidRPr="00FF63D1">
              <w:rPr>
                <w:rFonts w:cs="Times New Roman"/>
                <w:noProof/>
                <w:sz w:val="22"/>
              </w:rPr>
              <w:t>3</w:t>
            </w:r>
            <w:r w:rsidR="00FD3652">
              <w:rPr>
                <w:rFonts w:cs="Times New Roman"/>
                <w:noProof/>
                <w:sz w:val="22"/>
              </w:rPr>
              <w:t>3</w:t>
            </w:r>
            <w:r w:rsidR="00FD3652" w:rsidRPr="00FF63D1">
              <w:rPr>
                <w:rFonts w:cs="Times New Roman"/>
                <w:noProof/>
                <w:sz w:val="22"/>
              </w:rPr>
              <w:t>0</w:t>
            </w:r>
            <w:r w:rsidR="00661AB2" w:rsidRPr="00FF63D1">
              <w:rPr>
                <w:rFonts w:cs="Times New Roman"/>
                <w:noProof/>
                <w:sz w:val="22"/>
              </w:rPr>
              <w:t>–</w:t>
            </w:r>
            <w:r>
              <w:rPr>
                <w:rFonts w:cs="Times New Roman"/>
                <w:noProof/>
                <w:sz w:val="22"/>
              </w:rPr>
              <w:t xml:space="preserve">EUR </w:t>
            </w:r>
            <w:r w:rsidR="00661AB2" w:rsidRPr="00FF63D1">
              <w:rPr>
                <w:rFonts w:cs="Times New Roman"/>
                <w:noProof/>
                <w:sz w:val="22"/>
              </w:rPr>
              <w:t xml:space="preserve">450 million (Total Investment, 2 </w:t>
            </w:r>
            <w:r w:rsidR="00284425">
              <w:rPr>
                <w:rFonts w:cs="Times New Roman"/>
                <w:noProof/>
                <w:sz w:val="22"/>
              </w:rPr>
              <w:t xml:space="preserve">Mtonnes </w:t>
            </w:r>
            <w:r w:rsidR="00661AB2" w:rsidRPr="00FF63D1">
              <w:rPr>
                <w:rFonts w:cs="Times New Roman"/>
                <w:noProof/>
                <w:sz w:val="22"/>
              </w:rPr>
              <w:t>clinker/y, 2020</w:t>
            </w:r>
            <w:r>
              <w:rPr>
                <w:noProof/>
              </w:rPr>
              <w:t xml:space="preserve"> </w:t>
            </w:r>
            <w:r w:rsidRPr="0062431D">
              <w:rPr>
                <w:rFonts w:cs="Times New Roman"/>
                <w:noProof/>
                <w:sz w:val="22"/>
              </w:rPr>
              <w:t>prices</w:t>
            </w:r>
            <w:r w:rsidR="00661AB2" w:rsidRPr="00FF63D1">
              <w:rPr>
                <w:rFonts w:cs="Times New Roman"/>
                <w:noProof/>
                <w:sz w:val="22"/>
              </w:rPr>
              <w:t>).</w:t>
            </w:r>
          </w:p>
        </w:tc>
        <w:tc>
          <w:tcPr>
            <w:tcW w:w="918" w:type="pct"/>
            <w:tcMar>
              <w:top w:w="100" w:type="dxa"/>
              <w:left w:w="100" w:type="dxa"/>
              <w:bottom w:w="100" w:type="dxa"/>
              <w:right w:w="100" w:type="dxa"/>
            </w:tcMar>
          </w:tcPr>
          <w:p w14:paraId="5250D961" w14:textId="66DFF4F6" w:rsidR="00661AB2" w:rsidRPr="00FF63D1" w:rsidRDefault="0062431D">
            <w:pPr>
              <w:jc w:val="center"/>
              <w:rPr>
                <w:rFonts w:cs="Times New Roman"/>
                <w:noProof/>
                <w:sz w:val="22"/>
              </w:rPr>
            </w:pPr>
            <w:r>
              <w:rPr>
                <w:rFonts w:cs="Times New Roman"/>
                <w:noProof/>
                <w:sz w:val="22"/>
              </w:rPr>
              <w:t xml:space="preserve">EUR </w:t>
            </w:r>
            <w:r w:rsidR="00542702" w:rsidRPr="00FF63D1">
              <w:rPr>
                <w:rFonts w:cs="Times New Roman"/>
                <w:noProof/>
                <w:sz w:val="22"/>
              </w:rPr>
              <w:t>3</w:t>
            </w:r>
            <w:r w:rsidR="00542702">
              <w:rPr>
                <w:rFonts w:cs="Times New Roman"/>
                <w:noProof/>
                <w:sz w:val="22"/>
              </w:rPr>
              <w:t>3</w:t>
            </w:r>
            <w:r w:rsidR="00542702" w:rsidRPr="00FF63D1">
              <w:rPr>
                <w:rFonts w:cs="Times New Roman"/>
                <w:noProof/>
                <w:sz w:val="22"/>
              </w:rPr>
              <w:t>0</w:t>
            </w:r>
            <w:r w:rsidR="00661AB2" w:rsidRPr="00FF63D1">
              <w:rPr>
                <w:rFonts w:cs="Times New Roman"/>
                <w:noProof/>
                <w:sz w:val="22"/>
              </w:rPr>
              <w:t>–</w:t>
            </w:r>
            <w:r>
              <w:rPr>
                <w:rFonts w:cs="Times New Roman"/>
                <w:noProof/>
                <w:sz w:val="22"/>
              </w:rPr>
              <w:t xml:space="preserve">EUR </w:t>
            </w:r>
            <w:r w:rsidR="00661AB2" w:rsidRPr="00FF63D1">
              <w:rPr>
                <w:rFonts w:cs="Times New Roman"/>
                <w:noProof/>
                <w:sz w:val="22"/>
              </w:rPr>
              <w:t xml:space="preserve">450 million (Total Investment, 2 </w:t>
            </w:r>
            <w:r w:rsidR="00284425">
              <w:rPr>
                <w:rFonts w:cs="Times New Roman"/>
                <w:noProof/>
                <w:sz w:val="22"/>
              </w:rPr>
              <w:t xml:space="preserve">Mtonnes </w:t>
            </w:r>
            <w:r w:rsidR="00661AB2" w:rsidRPr="00FF63D1">
              <w:rPr>
                <w:rFonts w:cs="Times New Roman"/>
                <w:noProof/>
                <w:sz w:val="22"/>
              </w:rPr>
              <w:t>clinker/y, 2020</w:t>
            </w:r>
            <w:r>
              <w:rPr>
                <w:noProof/>
              </w:rPr>
              <w:t xml:space="preserve"> </w:t>
            </w:r>
            <w:r w:rsidRPr="0062431D">
              <w:rPr>
                <w:rFonts w:cs="Times New Roman"/>
                <w:noProof/>
                <w:sz w:val="22"/>
              </w:rPr>
              <w:t>prices</w:t>
            </w:r>
            <w:r w:rsidR="00661AB2" w:rsidRPr="00FF63D1">
              <w:rPr>
                <w:rFonts w:cs="Times New Roman"/>
                <w:noProof/>
                <w:sz w:val="22"/>
              </w:rPr>
              <w:t>).</w:t>
            </w:r>
          </w:p>
        </w:tc>
      </w:tr>
      <w:tr w:rsidR="00661AB2" w:rsidRPr="00FF63D1" w14:paraId="7B9D5D9A" w14:textId="77777777" w:rsidTr="3F0F1197">
        <w:trPr>
          <w:trHeight w:val="1258"/>
        </w:trPr>
        <w:tc>
          <w:tcPr>
            <w:tcW w:w="953" w:type="pct"/>
            <w:tcMar>
              <w:top w:w="100" w:type="dxa"/>
              <w:left w:w="100" w:type="dxa"/>
              <w:bottom w:w="100" w:type="dxa"/>
              <w:right w:w="100" w:type="dxa"/>
            </w:tcMar>
          </w:tcPr>
          <w:p w14:paraId="3C0578B7" w14:textId="77777777" w:rsidR="00661AB2" w:rsidRPr="00FF63D1" w:rsidRDefault="2CDC5222">
            <w:pPr>
              <w:jc w:val="center"/>
              <w:rPr>
                <w:rFonts w:cs="Times New Roman"/>
                <w:b/>
                <w:noProof/>
                <w:sz w:val="22"/>
              </w:rPr>
            </w:pPr>
            <w:r w:rsidRPr="3F0F1197">
              <w:rPr>
                <w:rFonts w:cs="Times New Roman"/>
                <w:b/>
                <w:bCs/>
                <w:noProof/>
                <w:sz w:val="22"/>
              </w:rPr>
              <w:t>Calcium Looping (CaL) - Integrated</w:t>
            </w:r>
            <w:r w:rsidR="00661AB2" w:rsidRPr="3F0F1197">
              <w:rPr>
                <w:rStyle w:val="FootnoteReference"/>
                <w:rFonts w:cs="Times New Roman"/>
                <w:noProof/>
                <w:sz w:val="22"/>
              </w:rPr>
              <w:footnoteReference w:id="381"/>
            </w:r>
          </w:p>
        </w:tc>
        <w:tc>
          <w:tcPr>
            <w:tcW w:w="1167" w:type="pct"/>
            <w:tcMar>
              <w:top w:w="100" w:type="dxa"/>
              <w:left w:w="100" w:type="dxa"/>
              <w:bottom w:w="100" w:type="dxa"/>
              <w:right w:w="100" w:type="dxa"/>
            </w:tcMar>
          </w:tcPr>
          <w:p w14:paraId="38F4E1EB" w14:textId="643FB9FC"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44.9/t clinker (Base Case, 2014</w:t>
            </w:r>
            <w:r>
              <w:rPr>
                <w:rFonts w:cs="Times New Roman"/>
                <w:noProof/>
                <w:sz w:val="22"/>
              </w:rPr>
              <w:t xml:space="preserve"> prices</w:t>
            </w:r>
            <w:r w:rsidR="00661AB2" w:rsidRPr="00FF63D1">
              <w:rPr>
                <w:rFonts w:cs="Times New Roman"/>
                <w:noProof/>
                <w:sz w:val="22"/>
              </w:rPr>
              <w:t>). TRL 6–7.</w:t>
            </w:r>
          </w:p>
        </w:tc>
        <w:tc>
          <w:tcPr>
            <w:tcW w:w="1044" w:type="pct"/>
            <w:tcMar>
              <w:top w:w="100" w:type="dxa"/>
              <w:left w:w="100" w:type="dxa"/>
              <w:bottom w:w="100" w:type="dxa"/>
              <w:right w:w="100" w:type="dxa"/>
            </w:tcMar>
          </w:tcPr>
          <w:p w14:paraId="258BD242" w14:textId="381C086B" w:rsidR="00661AB2" w:rsidRPr="00FF63D1" w:rsidRDefault="00661AB2">
            <w:pPr>
              <w:jc w:val="center"/>
              <w:rPr>
                <w:rFonts w:cs="Times New Roman"/>
                <w:noProof/>
                <w:sz w:val="22"/>
              </w:rPr>
            </w:pPr>
            <w:r w:rsidRPr="00FF63D1">
              <w:rPr>
                <w:rFonts w:cs="Times New Roman"/>
                <w:noProof/>
                <w:sz w:val="22"/>
              </w:rPr>
              <w:t>TRL &gt;8 expected 2030. Investment ranges (New Install., 2</w:t>
            </w:r>
            <w:r w:rsidR="00284425">
              <w:rPr>
                <w:rFonts w:cs="Times New Roman"/>
                <w:noProof/>
                <w:sz w:val="22"/>
              </w:rPr>
              <w:t xml:space="preserve"> Mtonnes </w:t>
            </w:r>
            <w:r w:rsidRPr="00FF63D1">
              <w:rPr>
                <w:rFonts w:cs="Times New Roman"/>
                <w:noProof/>
                <w:sz w:val="22"/>
              </w:rPr>
              <w:t>clinker/y, 2020</w:t>
            </w:r>
            <w:r w:rsidR="0062431D">
              <w:rPr>
                <w:rFonts w:cs="Times New Roman"/>
                <w:noProof/>
                <w:sz w:val="22"/>
              </w:rPr>
              <w:t xml:space="preserve"> </w:t>
            </w:r>
            <w:r w:rsidR="0062431D" w:rsidRPr="0062431D">
              <w:rPr>
                <w:rFonts w:cs="Times New Roman"/>
                <w:noProof/>
                <w:sz w:val="22"/>
              </w:rPr>
              <w:t>prices</w:t>
            </w:r>
            <w:r w:rsidRPr="00FF63D1">
              <w:rPr>
                <w:rFonts w:cs="Times New Roman"/>
                <w:noProof/>
                <w:sz w:val="22"/>
              </w:rPr>
              <w:t xml:space="preserve">): </w:t>
            </w:r>
            <w:r w:rsidR="0062431D">
              <w:rPr>
                <w:rFonts w:cs="Times New Roman"/>
                <w:noProof/>
                <w:sz w:val="22"/>
              </w:rPr>
              <w:t xml:space="preserve">EUR </w:t>
            </w:r>
            <w:r w:rsidRPr="00FF63D1">
              <w:rPr>
                <w:rFonts w:cs="Times New Roman"/>
                <w:noProof/>
                <w:sz w:val="22"/>
              </w:rPr>
              <w:t>300–</w:t>
            </w:r>
            <w:r w:rsidR="0062431D">
              <w:rPr>
                <w:rFonts w:cs="Times New Roman"/>
                <w:noProof/>
                <w:sz w:val="22"/>
              </w:rPr>
              <w:t xml:space="preserve">EUR </w:t>
            </w:r>
            <w:r w:rsidRPr="00FF63D1">
              <w:rPr>
                <w:rFonts w:cs="Times New Roman"/>
                <w:noProof/>
                <w:sz w:val="22"/>
              </w:rPr>
              <w:t>425 million.</w:t>
            </w:r>
          </w:p>
        </w:tc>
        <w:tc>
          <w:tcPr>
            <w:tcW w:w="918" w:type="pct"/>
            <w:tcMar>
              <w:top w:w="100" w:type="dxa"/>
              <w:left w:w="100" w:type="dxa"/>
              <w:bottom w:w="100" w:type="dxa"/>
              <w:right w:w="100" w:type="dxa"/>
            </w:tcMar>
          </w:tcPr>
          <w:p w14:paraId="000DF84F" w14:textId="77777777" w:rsidR="00661AB2" w:rsidRPr="00FF63D1" w:rsidRDefault="00661AB2">
            <w:pPr>
              <w:jc w:val="center"/>
              <w:rPr>
                <w:rFonts w:cs="Times New Roman"/>
                <w:noProof/>
                <w:sz w:val="22"/>
              </w:rPr>
            </w:pPr>
            <w:r w:rsidRPr="00FF63D1">
              <w:rPr>
                <w:rFonts w:cs="Times New Roman"/>
                <w:noProof/>
                <w:sz w:val="22"/>
              </w:rPr>
              <w:t>Expected stability/maturity post-2030.</w:t>
            </w:r>
          </w:p>
        </w:tc>
        <w:tc>
          <w:tcPr>
            <w:tcW w:w="918" w:type="pct"/>
            <w:tcMar>
              <w:top w:w="100" w:type="dxa"/>
              <w:left w:w="100" w:type="dxa"/>
              <w:bottom w:w="100" w:type="dxa"/>
              <w:right w:w="100" w:type="dxa"/>
            </w:tcMar>
          </w:tcPr>
          <w:p w14:paraId="32FBA95F" w14:textId="77777777" w:rsidR="00661AB2" w:rsidRPr="00FF63D1" w:rsidRDefault="00661AB2">
            <w:pPr>
              <w:jc w:val="center"/>
              <w:rPr>
                <w:rFonts w:cs="Times New Roman"/>
                <w:noProof/>
                <w:sz w:val="22"/>
              </w:rPr>
            </w:pPr>
            <w:r w:rsidRPr="00FF63D1">
              <w:rPr>
                <w:rFonts w:cs="Times New Roman"/>
                <w:noProof/>
                <w:sz w:val="22"/>
              </w:rPr>
              <w:t>Expected stability/maturity post-2030.</w:t>
            </w:r>
          </w:p>
        </w:tc>
      </w:tr>
      <w:tr w:rsidR="00661AB2" w:rsidRPr="00FF63D1" w14:paraId="7CE552C8" w14:textId="77777777" w:rsidTr="3F0F1197">
        <w:trPr>
          <w:trHeight w:val="1500"/>
        </w:trPr>
        <w:tc>
          <w:tcPr>
            <w:tcW w:w="953" w:type="pct"/>
            <w:tcMar>
              <w:top w:w="100" w:type="dxa"/>
              <w:left w:w="100" w:type="dxa"/>
              <w:bottom w:w="100" w:type="dxa"/>
              <w:right w:w="100" w:type="dxa"/>
            </w:tcMar>
          </w:tcPr>
          <w:p w14:paraId="5F1CDE58" w14:textId="77777777" w:rsidR="00661AB2" w:rsidRPr="00FF63D1" w:rsidRDefault="2CDC5222">
            <w:pPr>
              <w:jc w:val="center"/>
              <w:rPr>
                <w:rFonts w:cs="Times New Roman"/>
                <w:b/>
                <w:noProof/>
                <w:sz w:val="22"/>
                <w:vertAlign w:val="superscript"/>
              </w:rPr>
            </w:pPr>
            <w:r w:rsidRPr="3F0F1197">
              <w:rPr>
                <w:rFonts w:cs="Times New Roman"/>
                <w:b/>
                <w:bCs/>
                <w:noProof/>
                <w:sz w:val="22"/>
              </w:rPr>
              <w:lastRenderedPageBreak/>
              <w:t>Indirect Calcination (e.g., LEILAC)</w:t>
            </w:r>
            <w:r w:rsidRPr="3F0F1197">
              <w:rPr>
                <w:rStyle w:val="FootnoteReference"/>
                <w:rFonts w:cs="Times New Roman"/>
                <w:noProof/>
                <w:sz w:val="22"/>
              </w:rPr>
              <w:t xml:space="preserve"> </w:t>
            </w:r>
            <w:r w:rsidR="00661AB2" w:rsidRPr="3F0F1197">
              <w:rPr>
                <w:rStyle w:val="FootnoteReference"/>
                <w:rFonts w:cs="Times New Roman"/>
                <w:noProof/>
                <w:sz w:val="22"/>
              </w:rPr>
              <w:footnoteReference w:id="382"/>
            </w:r>
            <w:r w:rsidRPr="3F0F1197">
              <w:rPr>
                <w:rFonts w:cs="Times New Roman"/>
                <w:noProof/>
                <w:sz w:val="22"/>
                <w:vertAlign w:val="superscript"/>
              </w:rPr>
              <w:t xml:space="preserve">, </w:t>
            </w:r>
            <w:r w:rsidR="00661AB2" w:rsidRPr="3F0F1197">
              <w:rPr>
                <w:rStyle w:val="FootnoteReference"/>
                <w:rFonts w:cs="Times New Roman"/>
                <w:noProof/>
                <w:sz w:val="22"/>
              </w:rPr>
              <w:footnoteReference w:id="383"/>
            </w:r>
          </w:p>
        </w:tc>
        <w:tc>
          <w:tcPr>
            <w:tcW w:w="1167" w:type="pct"/>
            <w:tcMar>
              <w:top w:w="100" w:type="dxa"/>
              <w:left w:w="100" w:type="dxa"/>
              <w:bottom w:w="100" w:type="dxa"/>
              <w:right w:w="100" w:type="dxa"/>
            </w:tcMar>
          </w:tcPr>
          <w:p w14:paraId="718ACA7B" w14:textId="426CA387" w:rsidR="00661AB2" w:rsidRPr="00FF63D1" w:rsidRDefault="00661AB2">
            <w:pPr>
              <w:jc w:val="center"/>
              <w:rPr>
                <w:rFonts w:cs="Times New Roman"/>
                <w:noProof/>
                <w:sz w:val="22"/>
              </w:rPr>
            </w:pPr>
            <w:r w:rsidRPr="00022883">
              <w:rPr>
                <w:rFonts w:cs="Times New Roman"/>
                <w:noProof/>
                <w:sz w:val="22"/>
                <w:lang w:val="fr-BE"/>
              </w:rPr>
              <w:t xml:space="preserve">CAPEX range: </w:t>
            </w:r>
            <w:r w:rsidR="0062431D" w:rsidRPr="00022883">
              <w:rPr>
                <w:rFonts w:cs="Times New Roman"/>
                <w:noProof/>
                <w:sz w:val="22"/>
                <w:lang w:val="fr-BE"/>
              </w:rPr>
              <w:t xml:space="preserve">EUR </w:t>
            </w:r>
            <w:r w:rsidRPr="00022883">
              <w:rPr>
                <w:rFonts w:cs="Times New Roman"/>
                <w:noProof/>
                <w:sz w:val="22"/>
                <w:lang w:val="fr-BE"/>
              </w:rPr>
              <w:t>90–</w:t>
            </w:r>
            <w:r w:rsidR="0062431D" w:rsidRPr="00022883">
              <w:rPr>
                <w:rFonts w:cs="Times New Roman"/>
                <w:noProof/>
                <w:sz w:val="22"/>
                <w:lang w:val="fr-BE"/>
              </w:rPr>
              <w:t xml:space="preserve">EUR </w:t>
            </w:r>
            <w:r w:rsidRPr="00022883">
              <w:rPr>
                <w:rFonts w:cs="Times New Roman"/>
                <w:noProof/>
                <w:sz w:val="22"/>
                <w:lang w:val="fr-BE"/>
              </w:rPr>
              <w:t xml:space="preserve">135 million (Leilac unit only, 1.2 </w:t>
            </w:r>
            <w:r w:rsidR="00284425" w:rsidRPr="005F6E93">
              <w:rPr>
                <w:rFonts w:cs="Times New Roman"/>
                <w:noProof/>
                <w:color w:val="000000" w:themeColor="text1"/>
                <w:sz w:val="22"/>
                <w:lang w:val="fr-FR"/>
              </w:rPr>
              <w:t xml:space="preserve">Mtonnes </w:t>
            </w:r>
            <w:r w:rsidRPr="00022883">
              <w:rPr>
                <w:rFonts w:cs="Times New Roman"/>
                <w:noProof/>
                <w:sz w:val="22"/>
                <w:lang w:val="fr-BE"/>
              </w:rPr>
              <w:t xml:space="preserve">clinker/y). </w:t>
            </w:r>
            <w:r w:rsidRPr="00FF63D1">
              <w:rPr>
                <w:rFonts w:cs="Times New Roman"/>
                <w:noProof/>
                <w:sz w:val="22"/>
              </w:rPr>
              <w:t>TRL 6–7.</w:t>
            </w:r>
          </w:p>
        </w:tc>
        <w:tc>
          <w:tcPr>
            <w:tcW w:w="1044" w:type="pct"/>
            <w:tcMar>
              <w:top w:w="100" w:type="dxa"/>
              <w:left w:w="100" w:type="dxa"/>
              <w:bottom w:w="100" w:type="dxa"/>
              <w:right w:w="100" w:type="dxa"/>
            </w:tcMar>
          </w:tcPr>
          <w:p w14:paraId="7486BBD4" w14:textId="3802628C"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220–</w:t>
            </w:r>
            <w:r>
              <w:rPr>
                <w:rFonts w:cs="Times New Roman"/>
                <w:noProof/>
                <w:sz w:val="22"/>
              </w:rPr>
              <w:t xml:space="preserve">EUR </w:t>
            </w:r>
            <w:r w:rsidR="00661AB2" w:rsidRPr="00FF63D1">
              <w:rPr>
                <w:rFonts w:cs="Times New Roman"/>
                <w:noProof/>
                <w:sz w:val="22"/>
              </w:rPr>
              <w:t xml:space="preserve">290 million (Total Investment New Install., 2 </w:t>
            </w:r>
            <w:r w:rsidR="00284425">
              <w:rPr>
                <w:rFonts w:cs="Times New Roman"/>
                <w:noProof/>
                <w:sz w:val="22"/>
              </w:rPr>
              <w:t xml:space="preserve">Mtonnes </w:t>
            </w:r>
            <w:r w:rsidR="00661AB2" w:rsidRPr="00FF63D1">
              <w:rPr>
                <w:rFonts w:cs="Times New Roman"/>
                <w:noProof/>
                <w:sz w:val="22"/>
              </w:rPr>
              <w:t>clinker/y, 2020</w:t>
            </w:r>
            <w:r>
              <w:rPr>
                <w:rFonts w:cs="Times New Roman"/>
                <w:noProof/>
                <w:sz w:val="22"/>
              </w:rPr>
              <w:t xml:space="preserve"> prices</w:t>
            </w:r>
            <w:r w:rsidR="00661AB2" w:rsidRPr="00FF63D1">
              <w:rPr>
                <w:rFonts w:cs="Times New Roman"/>
                <w:noProof/>
                <w:sz w:val="22"/>
              </w:rPr>
              <w:t>). TRL &gt;8 expected 2025.</w:t>
            </w:r>
          </w:p>
        </w:tc>
        <w:tc>
          <w:tcPr>
            <w:tcW w:w="918" w:type="pct"/>
            <w:tcMar>
              <w:top w:w="100" w:type="dxa"/>
              <w:left w:w="100" w:type="dxa"/>
              <w:bottom w:w="100" w:type="dxa"/>
              <w:right w:w="100" w:type="dxa"/>
            </w:tcMar>
          </w:tcPr>
          <w:p w14:paraId="6FE0AAA0" w14:textId="4AF12C94" w:rsidR="00661AB2" w:rsidRPr="00FF63D1" w:rsidRDefault="00661AB2">
            <w:pPr>
              <w:jc w:val="center"/>
              <w:rPr>
                <w:rFonts w:cs="Times New Roman"/>
                <w:noProof/>
                <w:sz w:val="22"/>
              </w:rPr>
            </w:pPr>
            <w:r w:rsidRPr="00FF63D1">
              <w:rPr>
                <w:rFonts w:cs="Times New Roman"/>
                <w:noProof/>
                <w:sz w:val="22"/>
              </w:rPr>
              <w:t>Expected stability after commerciali</w:t>
            </w:r>
            <w:r w:rsidR="00C93E5C">
              <w:rPr>
                <w:rFonts w:cs="Times New Roman"/>
                <w:noProof/>
                <w:sz w:val="22"/>
              </w:rPr>
              <w:t>sation</w:t>
            </w:r>
            <w:r w:rsidRPr="00FF63D1">
              <w:rPr>
                <w:rFonts w:cs="Times New Roman"/>
                <w:noProof/>
                <w:sz w:val="22"/>
              </w:rPr>
              <w:t>.</w:t>
            </w:r>
          </w:p>
        </w:tc>
        <w:tc>
          <w:tcPr>
            <w:tcW w:w="918" w:type="pct"/>
            <w:tcMar>
              <w:top w:w="100" w:type="dxa"/>
              <w:left w:w="100" w:type="dxa"/>
              <w:bottom w:w="100" w:type="dxa"/>
              <w:right w:w="100" w:type="dxa"/>
            </w:tcMar>
          </w:tcPr>
          <w:p w14:paraId="18FEAAA6" w14:textId="2148131E" w:rsidR="00661AB2" w:rsidRPr="00FF63D1" w:rsidRDefault="00661AB2">
            <w:pPr>
              <w:jc w:val="center"/>
              <w:rPr>
                <w:rFonts w:cs="Times New Roman"/>
                <w:noProof/>
                <w:sz w:val="22"/>
              </w:rPr>
            </w:pPr>
            <w:r w:rsidRPr="00FF63D1">
              <w:rPr>
                <w:rFonts w:cs="Times New Roman"/>
                <w:noProof/>
                <w:sz w:val="22"/>
              </w:rPr>
              <w:t>Expected stability after commerciali</w:t>
            </w:r>
            <w:r w:rsidR="00C93E5C">
              <w:rPr>
                <w:rFonts w:cs="Times New Roman"/>
                <w:noProof/>
                <w:sz w:val="22"/>
              </w:rPr>
              <w:t>sation</w:t>
            </w:r>
            <w:r w:rsidRPr="00FF63D1">
              <w:rPr>
                <w:rFonts w:cs="Times New Roman"/>
                <w:noProof/>
                <w:sz w:val="22"/>
              </w:rPr>
              <w:t>.</w:t>
            </w:r>
          </w:p>
        </w:tc>
      </w:tr>
      <w:tr w:rsidR="00661AB2" w:rsidRPr="00FF63D1" w14:paraId="76D69CD6" w14:textId="77777777" w:rsidTr="3F0F1197">
        <w:trPr>
          <w:trHeight w:val="1057"/>
        </w:trPr>
        <w:tc>
          <w:tcPr>
            <w:tcW w:w="953" w:type="pct"/>
            <w:tcMar>
              <w:top w:w="100" w:type="dxa"/>
              <w:left w:w="100" w:type="dxa"/>
              <w:bottom w:w="100" w:type="dxa"/>
              <w:right w:w="100" w:type="dxa"/>
            </w:tcMar>
          </w:tcPr>
          <w:p w14:paraId="04A5B081" w14:textId="77777777" w:rsidR="00661AB2" w:rsidRPr="00FF63D1" w:rsidRDefault="2CDC5222">
            <w:pPr>
              <w:jc w:val="center"/>
              <w:rPr>
                <w:rFonts w:cs="Times New Roman"/>
                <w:b/>
                <w:noProof/>
                <w:sz w:val="22"/>
              </w:rPr>
            </w:pPr>
            <w:r w:rsidRPr="3F0F1197">
              <w:rPr>
                <w:rFonts w:cs="Times New Roman"/>
                <w:b/>
                <w:bCs/>
                <w:noProof/>
                <w:sz w:val="22"/>
              </w:rPr>
              <w:t>Alternative Cements: LC3 (Limestone Calcined Clay Cement)</w:t>
            </w:r>
            <w:r w:rsidRPr="3F0F1197">
              <w:rPr>
                <w:rStyle w:val="FootnoteReference"/>
                <w:rFonts w:cs="Times New Roman"/>
                <w:noProof/>
                <w:sz w:val="22"/>
              </w:rPr>
              <w:t xml:space="preserve"> </w:t>
            </w:r>
            <w:r w:rsidR="00661AB2" w:rsidRPr="3F0F1197">
              <w:rPr>
                <w:rStyle w:val="FootnoteReference"/>
                <w:rFonts w:cs="Times New Roman"/>
                <w:noProof/>
                <w:sz w:val="22"/>
              </w:rPr>
              <w:footnoteReference w:id="384"/>
            </w:r>
          </w:p>
        </w:tc>
        <w:tc>
          <w:tcPr>
            <w:tcW w:w="1167" w:type="pct"/>
            <w:tcMar>
              <w:top w:w="100" w:type="dxa"/>
              <w:left w:w="100" w:type="dxa"/>
              <w:bottom w:w="100" w:type="dxa"/>
              <w:right w:w="100" w:type="dxa"/>
            </w:tcMar>
          </w:tcPr>
          <w:p w14:paraId="6371036D" w14:textId="6925A3AC" w:rsidR="00661AB2" w:rsidRPr="00FF63D1" w:rsidRDefault="00661AB2">
            <w:pPr>
              <w:jc w:val="center"/>
              <w:rPr>
                <w:rFonts w:cs="Times New Roman"/>
                <w:noProof/>
                <w:sz w:val="22"/>
              </w:rPr>
            </w:pPr>
            <w:r w:rsidRPr="00FF63D1">
              <w:rPr>
                <w:rFonts w:cs="Times New Roman"/>
                <w:noProof/>
                <w:sz w:val="22"/>
              </w:rPr>
              <w:t xml:space="preserve">Investment for calcined clay unit (New Install., 2 </w:t>
            </w:r>
            <w:r w:rsidR="00284425">
              <w:rPr>
                <w:rFonts w:cs="Times New Roman"/>
                <w:noProof/>
                <w:sz w:val="22"/>
              </w:rPr>
              <w:t xml:space="preserve">Mtonnes </w:t>
            </w:r>
            <w:r w:rsidRPr="00FF63D1">
              <w:rPr>
                <w:rFonts w:cs="Times New Roman"/>
                <w:noProof/>
                <w:sz w:val="22"/>
              </w:rPr>
              <w:t>clinker/y, 2020</w:t>
            </w:r>
            <w:r w:rsidR="0062431D">
              <w:rPr>
                <w:rFonts w:cs="Times New Roman"/>
                <w:noProof/>
                <w:sz w:val="22"/>
              </w:rPr>
              <w:t xml:space="preserve"> prices</w:t>
            </w:r>
            <w:r w:rsidRPr="00FF63D1">
              <w:rPr>
                <w:rFonts w:cs="Times New Roman"/>
                <w:noProof/>
                <w:sz w:val="22"/>
              </w:rPr>
              <w:t xml:space="preserve">): </w:t>
            </w:r>
            <w:r w:rsidR="0062431D">
              <w:rPr>
                <w:rFonts w:cs="Times New Roman"/>
                <w:noProof/>
                <w:sz w:val="22"/>
              </w:rPr>
              <w:t xml:space="preserve">EUR </w:t>
            </w:r>
            <w:r w:rsidRPr="00FF63D1">
              <w:rPr>
                <w:rFonts w:cs="Times New Roman"/>
                <w:noProof/>
                <w:sz w:val="22"/>
              </w:rPr>
              <w:t>20–</w:t>
            </w:r>
            <w:r w:rsidR="0062431D">
              <w:rPr>
                <w:rFonts w:cs="Times New Roman"/>
                <w:noProof/>
                <w:sz w:val="22"/>
              </w:rPr>
              <w:t xml:space="preserve">EUR </w:t>
            </w:r>
            <w:r w:rsidRPr="00FF63D1">
              <w:rPr>
                <w:rFonts w:cs="Times New Roman"/>
                <w:noProof/>
                <w:sz w:val="22"/>
              </w:rPr>
              <w:t xml:space="preserve">40 million </w:t>
            </w:r>
          </w:p>
        </w:tc>
        <w:tc>
          <w:tcPr>
            <w:tcW w:w="1044" w:type="pct"/>
            <w:tcMar>
              <w:top w:w="100" w:type="dxa"/>
              <w:left w:w="100" w:type="dxa"/>
              <w:bottom w:w="100" w:type="dxa"/>
              <w:right w:w="100" w:type="dxa"/>
            </w:tcMar>
          </w:tcPr>
          <w:p w14:paraId="019D6024" w14:textId="68B73922"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20–</w:t>
            </w:r>
            <w:r>
              <w:rPr>
                <w:rFonts w:cs="Times New Roman"/>
                <w:noProof/>
                <w:sz w:val="22"/>
              </w:rPr>
              <w:t xml:space="preserve">EUR </w:t>
            </w:r>
            <w:r w:rsidR="00661AB2" w:rsidRPr="00FF63D1">
              <w:rPr>
                <w:rFonts w:cs="Times New Roman"/>
                <w:noProof/>
                <w:sz w:val="22"/>
              </w:rPr>
              <w:t>40 million.</w:t>
            </w:r>
          </w:p>
        </w:tc>
        <w:tc>
          <w:tcPr>
            <w:tcW w:w="918" w:type="pct"/>
            <w:tcMar>
              <w:top w:w="100" w:type="dxa"/>
              <w:left w:w="100" w:type="dxa"/>
              <w:bottom w:w="100" w:type="dxa"/>
              <w:right w:w="100" w:type="dxa"/>
            </w:tcMar>
          </w:tcPr>
          <w:p w14:paraId="0D7DFC01" w14:textId="20222135"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20–</w:t>
            </w:r>
            <w:r>
              <w:rPr>
                <w:rFonts w:cs="Times New Roman"/>
                <w:noProof/>
                <w:sz w:val="22"/>
              </w:rPr>
              <w:t xml:space="preserve">EUR </w:t>
            </w:r>
            <w:r w:rsidR="00661AB2" w:rsidRPr="00FF63D1">
              <w:rPr>
                <w:rFonts w:cs="Times New Roman"/>
                <w:noProof/>
                <w:sz w:val="22"/>
              </w:rPr>
              <w:t>40 million.</w:t>
            </w:r>
          </w:p>
        </w:tc>
        <w:tc>
          <w:tcPr>
            <w:tcW w:w="918" w:type="pct"/>
            <w:tcMar>
              <w:top w:w="100" w:type="dxa"/>
              <w:left w:w="100" w:type="dxa"/>
              <w:bottom w:w="100" w:type="dxa"/>
              <w:right w:w="100" w:type="dxa"/>
            </w:tcMar>
          </w:tcPr>
          <w:p w14:paraId="35396B50" w14:textId="0E0F75C6"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20–</w:t>
            </w:r>
            <w:r>
              <w:rPr>
                <w:rFonts w:cs="Times New Roman"/>
                <w:noProof/>
                <w:sz w:val="22"/>
              </w:rPr>
              <w:t xml:space="preserve">EUR </w:t>
            </w:r>
            <w:r w:rsidR="00661AB2" w:rsidRPr="00FF63D1">
              <w:rPr>
                <w:rFonts w:cs="Times New Roman"/>
                <w:noProof/>
                <w:sz w:val="22"/>
              </w:rPr>
              <w:t>40 million.</w:t>
            </w:r>
          </w:p>
        </w:tc>
      </w:tr>
      <w:tr w:rsidR="00661AB2" w:rsidRPr="00FF63D1" w14:paraId="004CD3D4" w14:textId="77777777" w:rsidTr="3F0F1197">
        <w:trPr>
          <w:trHeight w:val="852"/>
        </w:trPr>
        <w:tc>
          <w:tcPr>
            <w:tcW w:w="953"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4BABDA" w14:textId="77777777" w:rsidR="00661AB2" w:rsidRPr="00FF63D1" w:rsidRDefault="2CDC5222">
            <w:pPr>
              <w:jc w:val="center"/>
              <w:rPr>
                <w:rFonts w:cs="Times New Roman"/>
                <w:b/>
                <w:noProof/>
                <w:sz w:val="22"/>
                <w:vertAlign w:val="superscript"/>
              </w:rPr>
            </w:pPr>
            <w:r w:rsidRPr="3F0F1197">
              <w:rPr>
                <w:rFonts w:cs="Times New Roman"/>
                <w:b/>
                <w:bCs/>
                <w:noProof/>
                <w:sz w:val="22"/>
              </w:rPr>
              <w:t>Waste Heat Recovery (WHR)</w:t>
            </w:r>
            <w:r w:rsidRPr="3F0F1197">
              <w:rPr>
                <w:rStyle w:val="FootnoteReference"/>
                <w:rFonts w:cs="Times New Roman"/>
                <w:noProof/>
                <w:sz w:val="22"/>
              </w:rPr>
              <w:t xml:space="preserve"> </w:t>
            </w:r>
            <w:r w:rsidR="00661AB2" w:rsidRPr="3F0F1197">
              <w:rPr>
                <w:rStyle w:val="FootnoteReference"/>
                <w:rFonts w:cs="Times New Roman"/>
                <w:noProof/>
                <w:sz w:val="22"/>
              </w:rPr>
              <w:footnoteReference w:id="385"/>
            </w:r>
            <w:r w:rsidRPr="3F0F1197">
              <w:rPr>
                <w:rFonts w:cs="Times New Roman"/>
                <w:noProof/>
                <w:sz w:val="22"/>
                <w:vertAlign w:val="superscript"/>
              </w:rPr>
              <w:t xml:space="preserve">, </w:t>
            </w:r>
            <w:r w:rsidR="00661AB2" w:rsidRPr="3F0F1197">
              <w:rPr>
                <w:rStyle w:val="FootnoteReference"/>
                <w:rFonts w:cs="Times New Roman"/>
                <w:noProof/>
                <w:sz w:val="22"/>
              </w:rPr>
              <w:footnoteReference w:id="386"/>
            </w:r>
          </w:p>
        </w:tc>
        <w:tc>
          <w:tcPr>
            <w:tcW w:w="1167"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0C8DDB" w14:textId="01DCAA6F"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15–</w:t>
            </w:r>
            <w:r>
              <w:rPr>
                <w:rFonts w:cs="Times New Roman"/>
                <w:noProof/>
                <w:sz w:val="22"/>
              </w:rPr>
              <w:t xml:space="preserve">EUR </w:t>
            </w:r>
            <w:r w:rsidR="00661AB2" w:rsidRPr="00FF63D1">
              <w:rPr>
                <w:rFonts w:cs="Times New Roman"/>
                <w:noProof/>
                <w:sz w:val="22"/>
              </w:rPr>
              <w:t>30 million (Installation Cost, constant price from 2015 to 2050). TRL 9.</w:t>
            </w:r>
          </w:p>
        </w:tc>
        <w:tc>
          <w:tcPr>
            <w:tcW w:w="10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AAE539" w14:textId="0218BFF8"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15–</w:t>
            </w:r>
            <w:r>
              <w:rPr>
                <w:rFonts w:cs="Times New Roman"/>
                <w:noProof/>
                <w:sz w:val="22"/>
              </w:rPr>
              <w:t xml:space="preserve">EUR </w:t>
            </w:r>
            <w:r w:rsidR="00661AB2" w:rsidRPr="00FF63D1">
              <w:rPr>
                <w:rFonts w:cs="Times New Roman"/>
                <w:noProof/>
                <w:sz w:val="22"/>
              </w:rPr>
              <w:t>30 million.</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288D4D" w14:textId="5045D63F"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15–</w:t>
            </w:r>
            <w:r>
              <w:rPr>
                <w:rFonts w:cs="Times New Roman"/>
                <w:noProof/>
                <w:sz w:val="22"/>
              </w:rPr>
              <w:t xml:space="preserve">EUR </w:t>
            </w:r>
            <w:r w:rsidR="00661AB2" w:rsidRPr="00FF63D1">
              <w:rPr>
                <w:rFonts w:cs="Times New Roman"/>
                <w:noProof/>
                <w:sz w:val="22"/>
              </w:rPr>
              <w:t>30 million.</w:t>
            </w:r>
          </w:p>
        </w:tc>
        <w:tc>
          <w:tcPr>
            <w:tcW w:w="9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1C1BBC3" w14:textId="03023EE2" w:rsidR="00661AB2" w:rsidRPr="00FF63D1" w:rsidRDefault="0062431D">
            <w:pPr>
              <w:jc w:val="center"/>
              <w:rPr>
                <w:rFonts w:cs="Times New Roman"/>
                <w:noProof/>
                <w:sz w:val="22"/>
              </w:rPr>
            </w:pPr>
            <w:r>
              <w:rPr>
                <w:rFonts w:cs="Times New Roman"/>
                <w:noProof/>
                <w:sz w:val="22"/>
              </w:rPr>
              <w:t xml:space="preserve">EUR </w:t>
            </w:r>
            <w:r w:rsidR="00661AB2" w:rsidRPr="00FF63D1">
              <w:rPr>
                <w:rFonts w:cs="Times New Roman"/>
                <w:noProof/>
                <w:sz w:val="22"/>
              </w:rPr>
              <w:t>15–</w:t>
            </w:r>
            <w:r>
              <w:rPr>
                <w:rFonts w:cs="Times New Roman"/>
                <w:noProof/>
                <w:sz w:val="22"/>
              </w:rPr>
              <w:t xml:space="preserve">EUR </w:t>
            </w:r>
            <w:r w:rsidR="00661AB2" w:rsidRPr="00FF63D1">
              <w:rPr>
                <w:rFonts w:cs="Times New Roman"/>
                <w:noProof/>
                <w:sz w:val="22"/>
              </w:rPr>
              <w:t>30 million.</w:t>
            </w:r>
          </w:p>
        </w:tc>
      </w:tr>
    </w:tbl>
    <w:p w14:paraId="1E671109" w14:textId="77777777" w:rsidR="00661AB2" w:rsidRPr="00FF63D1" w:rsidRDefault="00661AB2" w:rsidP="00661AB2">
      <w:pPr>
        <w:rPr>
          <w:noProof/>
        </w:rPr>
      </w:pPr>
    </w:p>
    <w:p w14:paraId="73054666" w14:textId="77777777" w:rsidR="00661AB2" w:rsidRPr="00FF63D1" w:rsidRDefault="00661AB2" w:rsidP="00661AB2">
      <w:pPr>
        <w:keepNext/>
        <w:jc w:val="center"/>
        <w:rPr>
          <w:noProof/>
        </w:rPr>
      </w:pPr>
      <w:r w:rsidRPr="00FF63D1">
        <w:rPr>
          <w:noProof/>
          <w:lang w:eastAsia="en-GB"/>
        </w:rPr>
        <w:drawing>
          <wp:inline distT="0" distB="0" distL="0" distR="0" wp14:anchorId="2D4E04E5" wp14:editId="494E062E">
            <wp:extent cx="5183304" cy="2264897"/>
            <wp:effectExtent l="0" t="0" r="0" b="2540"/>
            <wp:docPr id="1573113790"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05202" name="Picture 1" descr="A graph of different colored bars&#10;&#10;AI-generated content may be incorrect."/>
                    <pic:cNvPicPr/>
                  </pic:nvPicPr>
                  <pic:blipFill>
                    <a:blip r:embed="rId82"/>
                    <a:stretch>
                      <a:fillRect/>
                    </a:stretch>
                  </pic:blipFill>
                  <pic:spPr>
                    <a:xfrm>
                      <a:off x="0" y="0"/>
                      <a:ext cx="5208829" cy="2276050"/>
                    </a:xfrm>
                    <a:prstGeom prst="rect">
                      <a:avLst/>
                    </a:prstGeom>
                  </pic:spPr>
                </pic:pic>
              </a:graphicData>
            </a:graphic>
          </wp:inline>
        </w:drawing>
      </w:r>
    </w:p>
    <w:p w14:paraId="2C6AB995" w14:textId="729231E5" w:rsidR="00661AB2" w:rsidRPr="00C035B3" w:rsidRDefault="2CDC5222" w:rsidP="00661AB2">
      <w:pPr>
        <w:jc w:val="center"/>
        <w:rPr>
          <w:i/>
          <w:noProof/>
        </w:rPr>
      </w:pPr>
      <w:r w:rsidRPr="3F0F1197">
        <w:rPr>
          <w:i/>
          <w:iCs/>
          <w:noProof/>
          <w:sz w:val="20"/>
          <w:szCs w:val="20"/>
        </w:rPr>
        <w:t xml:space="preserve">Figure </w:t>
      </w:r>
      <w:r w:rsidR="00661AB2" w:rsidRPr="3F0F1197">
        <w:rPr>
          <w:i/>
          <w:iCs/>
          <w:noProof/>
          <w:sz w:val="20"/>
          <w:szCs w:val="20"/>
        </w:rPr>
        <w:fldChar w:fldCharType="begin"/>
      </w:r>
      <w:r w:rsidR="00661AB2" w:rsidRPr="3F0F1197">
        <w:rPr>
          <w:i/>
          <w:iCs/>
          <w:noProof/>
          <w:sz w:val="20"/>
          <w:szCs w:val="20"/>
        </w:rPr>
        <w:instrText xml:space="preserve"> SEQ Figure \* ARABIC </w:instrText>
      </w:r>
      <w:r w:rsidR="00661AB2" w:rsidRPr="3F0F1197">
        <w:rPr>
          <w:i/>
          <w:iCs/>
          <w:noProof/>
          <w:sz w:val="20"/>
          <w:szCs w:val="20"/>
        </w:rPr>
        <w:fldChar w:fldCharType="separate"/>
      </w:r>
      <w:r w:rsidR="07FDC849" w:rsidRPr="3F0F1197">
        <w:rPr>
          <w:i/>
          <w:iCs/>
          <w:noProof/>
          <w:sz w:val="20"/>
          <w:szCs w:val="20"/>
        </w:rPr>
        <w:t>13</w:t>
      </w:r>
      <w:r w:rsidR="00661AB2" w:rsidRPr="3F0F1197">
        <w:rPr>
          <w:i/>
          <w:iCs/>
          <w:noProof/>
          <w:sz w:val="20"/>
          <w:szCs w:val="20"/>
        </w:rPr>
        <w:fldChar w:fldCharType="end"/>
      </w:r>
      <w:r w:rsidRPr="3F0F1197">
        <w:rPr>
          <w:i/>
          <w:iCs/>
          <w:noProof/>
          <w:sz w:val="20"/>
          <w:szCs w:val="20"/>
        </w:rPr>
        <w:t>: Evolution of CCS and non-CCS based cement production costs in Europe under different CO</w:t>
      </w:r>
      <w:r w:rsidRPr="3F0F1197">
        <w:rPr>
          <w:i/>
          <w:iCs/>
          <w:noProof/>
          <w:sz w:val="20"/>
          <w:szCs w:val="20"/>
          <w:vertAlign w:val="subscript"/>
        </w:rPr>
        <w:t>2</w:t>
      </w:r>
      <w:r w:rsidRPr="3F0F1197">
        <w:rPr>
          <w:i/>
          <w:iCs/>
          <w:noProof/>
          <w:sz w:val="20"/>
          <w:szCs w:val="20"/>
        </w:rPr>
        <w:t xml:space="preserve"> price scenarios</w:t>
      </w:r>
      <w:r w:rsidR="00661AB2" w:rsidRPr="3F0F1197">
        <w:rPr>
          <w:rStyle w:val="FootnoteReference"/>
          <w:i/>
          <w:iCs/>
          <w:noProof/>
        </w:rPr>
        <w:footnoteReference w:id="387"/>
      </w:r>
    </w:p>
    <w:p w14:paraId="155E4CCB" w14:textId="77777777" w:rsidR="00661AB2" w:rsidRPr="00FF63D1" w:rsidRDefault="00661AB2" w:rsidP="00661AB2">
      <w:pPr>
        <w:pStyle w:val="Caption"/>
        <w:jc w:val="center"/>
        <w:rPr>
          <w:noProof/>
        </w:rPr>
      </w:pPr>
    </w:p>
    <w:p w14:paraId="5DB4BC0B" w14:textId="77777777" w:rsidR="00661AB2" w:rsidRPr="0006190F" w:rsidRDefault="00661AB2" w:rsidP="0006190F">
      <w:pPr>
        <w:spacing w:after="120"/>
        <w:rPr>
          <w:rFonts w:eastAsia="Times New Roman"/>
          <w:b/>
          <w:noProof/>
          <w:color w:val="000000" w:themeColor="text1"/>
        </w:rPr>
      </w:pPr>
      <w:r w:rsidRPr="0006190F">
        <w:rPr>
          <w:rFonts w:eastAsia="Times New Roman"/>
          <w:b/>
          <w:noProof/>
          <w:color w:val="000000" w:themeColor="text1"/>
        </w:rPr>
        <w:t>Total Investment Needs (TCI) for EU Transition</w:t>
      </w:r>
    </w:p>
    <w:p w14:paraId="799EE9F4" w14:textId="08332930" w:rsidR="00661AB2" w:rsidRPr="00FF63D1" w:rsidRDefault="2CDC5222" w:rsidP="000A1D65">
      <w:pPr>
        <w:spacing w:after="120"/>
        <w:rPr>
          <w:rFonts w:cs="Times New Roman"/>
          <w:noProof/>
          <w:color w:val="000000" w:themeColor="text1"/>
        </w:rPr>
      </w:pPr>
      <w:r w:rsidRPr="00FF63D1">
        <w:rPr>
          <w:rFonts w:cs="Times New Roman"/>
          <w:noProof/>
          <w:color w:val="000000" w:themeColor="text1"/>
        </w:rPr>
        <w:t xml:space="preserve">Initial investments in the 2020s are crucial for scaling up these technologies and achieving cost reductions through learning-by-doing. Early initiatives are focused predominantly on CO₂ capture and associated infrastructure, while higher estimates include broader technological </w:t>
      </w:r>
      <w:r w:rsidRPr="00FF63D1">
        <w:rPr>
          <w:rFonts w:cs="Times New Roman"/>
          <w:noProof/>
          <w:color w:val="000000" w:themeColor="text1"/>
        </w:rPr>
        <w:lastRenderedPageBreak/>
        <w:t xml:space="preserve">transformations such as alternative raw materials, fuel changes, and process electrification. The corresponding estimation are a TCI of </w:t>
      </w:r>
      <w:r w:rsidR="0313675F" w:rsidRPr="1A2A8689">
        <w:rPr>
          <w:rFonts w:cs="Times New Roman"/>
          <w:noProof/>
          <w:color w:val="000000"/>
        </w:rPr>
        <w:t xml:space="preserve">EUR </w:t>
      </w:r>
      <w:r w:rsidRPr="00FF63D1">
        <w:rPr>
          <w:rFonts w:cs="Times New Roman"/>
          <w:noProof/>
          <w:color w:val="000000" w:themeColor="text1"/>
        </w:rPr>
        <w:t>16-22 billion</w:t>
      </w:r>
      <w:r w:rsidR="00661AB2" w:rsidRPr="00FF63D1">
        <w:rPr>
          <w:rStyle w:val="FootnoteReference"/>
          <w:rFonts w:cs="Times New Roman"/>
          <w:noProof/>
          <w:color w:val="000000"/>
        </w:rPr>
        <w:footnoteReference w:id="388"/>
      </w:r>
      <w:r w:rsidRPr="00FF63D1">
        <w:rPr>
          <w:rFonts w:cs="Times New Roman"/>
          <w:noProof/>
          <w:color w:val="000000" w:themeColor="text1"/>
        </w:rPr>
        <w:t xml:space="preserve"> on the low estimate and </w:t>
      </w:r>
      <w:r w:rsidR="0313675F" w:rsidRPr="1A2A8689">
        <w:rPr>
          <w:rFonts w:cs="Times New Roman"/>
          <w:noProof/>
          <w:color w:val="000000"/>
        </w:rPr>
        <w:t xml:space="preserve">EUR </w:t>
      </w:r>
      <w:r w:rsidRPr="00FF63D1">
        <w:rPr>
          <w:rFonts w:cs="Times New Roman"/>
          <w:noProof/>
          <w:color w:val="000000" w:themeColor="text1"/>
        </w:rPr>
        <w:t>40-80 billion</w:t>
      </w:r>
      <w:r w:rsidR="00661AB2" w:rsidRPr="00FF63D1">
        <w:rPr>
          <w:rStyle w:val="FootnoteReference"/>
          <w:rFonts w:cs="Times New Roman"/>
          <w:noProof/>
          <w:color w:val="000000"/>
        </w:rPr>
        <w:footnoteReference w:id="389"/>
      </w:r>
      <w:r w:rsidRPr="00FF63D1">
        <w:rPr>
          <w:rFonts w:cs="Times New Roman"/>
          <w:noProof/>
          <w:color w:val="000000" w:themeColor="text1"/>
        </w:rPr>
        <w:t xml:space="preserve"> on the more holistic view. Between 2030 and 2040, the cement industry is anticipated to invest heavily in deep decarboni</w:t>
      </w:r>
      <w:r w:rsidR="74D7DE92">
        <w:rPr>
          <w:rFonts w:cs="Times New Roman"/>
          <w:noProof/>
          <w:color w:val="000000" w:themeColor="text1"/>
        </w:rPr>
        <w:t>sation</w:t>
      </w:r>
      <w:r w:rsidRPr="00FF63D1">
        <w:rPr>
          <w:rFonts w:cs="Times New Roman"/>
          <w:noProof/>
          <w:color w:val="000000" w:themeColor="text1"/>
        </w:rPr>
        <w:t xml:space="preserve"> technologies.</w:t>
      </w:r>
    </w:p>
    <w:p w14:paraId="60822E6C" w14:textId="4F6C1C3A" w:rsidR="00661AB2" w:rsidRPr="00FF63D1" w:rsidRDefault="00661AB2" w:rsidP="000A1D65">
      <w:pPr>
        <w:spacing w:after="120"/>
        <w:rPr>
          <w:rFonts w:cs="Times New Roman"/>
          <w:b/>
          <w:i/>
          <w:noProof/>
          <w:szCs w:val="24"/>
        </w:rPr>
      </w:pPr>
      <w:r w:rsidRPr="00FF63D1">
        <w:rPr>
          <w:rFonts w:cs="Times New Roman"/>
          <w:noProof/>
          <w:color w:val="000000" w:themeColor="text1"/>
        </w:rPr>
        <w:t>The materiali</w:t>
      </w:r>
      <w:r w:rsidR="00C93E5C">
        <w:rPr>
          <w:rFonts w:cs="Times New Roman"/>
          <w:noProof/>
          <w:color w:val="000000" w:themeColor="text1"/>
        </w:rPr>
        <w:t>sation</w:t>
      </w:r>
      <w:r w:rsidRPr="00FF63D1">
        <w:rPr>
          <w:rFonts w:cs="Times New Roman"/>
          <w:noProof/>
          <w:color w:val="000000" w:themeColor="text1"/>
        </w:rPr>
        <w:t xml:space="preserve"> and attractiveness of these CAPEX intensive investments is heavily linked to constant EU ETS price of </w:t>
      </w:r>
      <w:r w:rsidR="00131426">
        <w:rPr>
          <w:rFonts w:cs="Times New Roman"/>
          <w:noProof/>
          <w:color w:val="000000"/>
          <w:szCs w:val="24"/>
        </w:rPr>
        <w:t xml:space="preserve">EUR </w:t>
      </w:r>
      <w:r w:rsidRPr="00FF63D1">
        <w:rPr>
          <w:rFonts w:cs="Times New Roman"/>
          <w:noProof/>
          <w:color w:val="000000" w:themeColor="text1"/>
        </w:rPr>
        <w:t>100-150/tCO₂ from 2030. These carbon price levels have often been cited as a critical enabler.</w:t>
      </w:r>
    </w:p>
    <w:p w14:paraId="7CBE584A" w14:textId="0183B304" w:rsidR="00661AB2" w:rsidRPr="00FF63D1" w:rsidRDefault="00661AB2" w:rsidP="000A1D65">
      <w:pPr>
        <w:spacing w:after="120"/>
        <w:rPr>
          <w:rFonts w:cs="Times New Roman"/>
          <w:noProof/>
          <w:color w:val="000000"/>
        </w:rPr>
      </w:pPr>
      <w:r w:rsidRPr="00FF63D1">
        <w:rPr>
          <w:rFonts w:cs="Times New Roman"/>
          <w:noProof/>
          <w:color w:val="000000"/>
          <w:szCs w:val="24"/>
        </w:rPr>
        <w:t>Mature CO₂ capture technologies have stable costs, while newer ones like Calcium Looping may see CAPEX reductions over time. However, the sheer scale of investment required to retrofit or replace existing capacity may offset these savings. Beyond plant-level CAPEX, significant investments are needed for shared CO₂ transport and storage infrastructure, as well as new energy infrastructure (e.g., hydrogen pipelines, renewable electricity grids) to support decarboni</w:t>
      </w:r>
      <w:r w:rsidR="00463B04">
        <w:rPr>
          <w:rFonts w:cs="Times New Roman"/>
          <w:noProof/>
          <w:color w:val="000000"/>
          <w:szCs w:val="24"/>
        </w:rPr>
        <w:t>s</w:t>
      </w:r>
      <w:r w:rsidRPr="00FF63D1">
        <w:rPr>
          <w:rFonts w:cs="Times New Roman"/>
          <w:noProof/>
          <w:color w:val="000000"/>
          <w:szCs w:val="24"/>
        </w:rPr>
        <w:t>ed cement plants.</w:t>
      </w:r>
    </w:p>
    <w:p w14:paraId="524E17F1" w14:textId="77777777" w:rsidR="00020031" w:rsidRPr="00020C03" w:rsidRDefault="00020031" w:rsidP="00E71388">
      <w:pPr>
        <w:pStyle w:val="ListParagraph"/>
        <w:keepNext/>
        <w:keepLines/>
        <w:numPr>
          <w:ilvl w:val="1"/>
          <w:numId w:val="166"/>
        </w:numPr>
        <w:spacing w:before="360" w:after="80"/>
        <w:outlineLvl w:val="0"/>
        <w:rPr>
          <w:b/>
          <w:noProof/>
        </w:rPr>
      </w:pPr>
      <w:bookmarkStart w:id="555" w:name="_Toc212728856"/>
      <w:bookmarkStart w:id="556" w:name="_Toc212729130"/>
      <w:bookmarkStart w:id="557" w:name="_Toc212729382"/>
      <w:bookmarkStart w:id="558" w:name="_Toc215506326"/>
      <w:bookmarkStart w:id="559" w:name="_Toc222159377"/>
      <w:bookmarkStart w:id="560" w:name="_Toc222489545"/>
      <w:bookmarkStart w:id="561" w:name="_Toc222490034"/>
      <w:r w:rsidRPr="00020C03">
        <w:rPr>
          <w:b/>
          <w:noProof/>
        </w:rPr>
        <w:t>Ceramics</w:t>
      </w:r>
      <w:bookmarkEnd w:id="555"/>
      <w:bookmarkEnd w:id="556"/>
      <w:bookmarkEnd w:id="557"/>
      <w:bookmarkEnd w:id="558"/>
      <w:bookmarkEnd w:id="559"/>
      <w:bookmarkEnd w:id="560"/>
      <w:bookmarkEnd w:id="561"/>
    </w:p>
    <w:p w14:paraId="5A225509" w14:textId="13088D47" w:rsidR="000A1D65" w:rsidRDefault="545C8C3C" w:rsidP="000A1D65">
      <w:pPr>
        <w:spacing w:after="120"/>
        <w:rPr>
          <w:rFonts w:eastAsia="Times New Roman"/>
          <w:b/>
          <w:noProof/>
        </w:rPr>
      </w:pPr>
      <w:r w:rsidRPr="00F261DB">
        <w:rPr>
          <w:rFonts w:eastAsia="Times New Roman"/>
          <w:b/>
          <w:noProof/>
        </w:rPr>
        <w:t xml:space="preserve">Key </w:t>
      </w:r>
      <w:r w:rsidRPr="000A1D65">
        <w:rPr>
          <w:rFonts w:eastAsia="Times New Roman"/>
          <w:b/>
          <w:noProof/>
          <w:color w:val="000000" w:themeColor="text1"/>
        </w:rPr>
        <w:t>facts</w:t>
      </w:r>
    </w:p>
    <w:p w14:paraId="3084305F" w14:textId="00656D00" w:rsidR="00020031" w:rsidRPr="00F261DB" w:rsidRDefault="404A2814" w:rsidP="000A1D65">
      <w:pPr>
        <w:spacing w:after="120"/>
        <w:rPr>
          <w:rFonts w:eastAsia="Times New Roman"/>
          <w:noProof/>
        </w:rPr>
      </w:pPr>
      <w:r w:rsidRPr="00F261DB">
        <w:rPr>
          <w:rFonts w:eastAsia="Times New Roman"/>
          <w:noProof/>
        </w:rPr>
        <w:t xml:space="preserve">EUR 25.5 billion revenue in 2022 employing 338 </w:t>
      </w:r>
      <w:r w:rsidR="000A63F6">
        <w:rPr>
          <w:rFonts w:eastAsia="Times New Roman"/>
          <w:noProof/>
        </w:rPr>
        <w:t>thousand</w:t>
      </w:r>
      <w:r w:rsidR="000A63F6" w:rsidRPr="00F261DB">
        <w:rPr>
          <w:rFonts w:eastAsia="Times New Roman"/>
          <w:noProof/>
        </w:rPr>
        <w:t xml:space="preserve"> </w:t>
      </w:r>
      <w:r w:rsidRPr="00F261DB">
        <w:rPr>
          <w:rFonts w:eastAsia="Times New Roman"/>
          <w:noProof/>
        </w:rPr>
        <w:t>direct jobs</w:t>
      </w:r>
      <w:r w:rsidR="00BB1C77">
        <w:rPr>
          <w:rFonts w:eastAsia="Times New Roman"/>
          <w:noProof/>
        </w:rPr>
        <w:t>,</w:t>
      </w:r>
      <w:r w:rsidR="00020031" w:rsidRPr="00FF63D1">
        <w:rPr>
          <w:rStyle w:val="FootnoteReference"/>
          <w:rFonts w:eastAsia="Times New Roman"/>
          <w:noProof/>
        </w:rPr>
        <w:footnoteReference w:id="390"/>
      </w:r>
      <w:r w:rsidRPr="00F261DB">
        <w:rPr>
          <w:rFonts w:eastAsia="Times New Roman"/>
          <w:noProof/>
        </w:rPr>
        <w:t xml:space="preserve"> 172</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 xml:space="preserve">production in 2023, main </w:t>
      </w:r>
      <w:r w:rsidRPr="1A2A8689">
        <w:rPr>
          <w:rFonts w:cs="Times New Roman"/>
          <w:noProof/>
          <w:color w:val="000000"/>
        </w:rPr>
        <w:t>EU</w:t>
      </w:r>
      <w:r w:rsidRPr="00F261DB">
        <w:rPr>
          <w:rFonts w:eastAsia="Times New Roman"/>
          <w:noProof/>
        </w:rPr>
        <w:t xml:space="preserve"> producers: Italy, Germany, France, and Spain.</w:t>
      </w:r>
      <w:r w:rsidR="00020031" w:rsidRPr="00FF63D1">
        <w:rPr>
          <w:rStyle w:val="FootnoteReference"/>
          <w:rFonts w:eastAsia="Times New Roman"/>
          <w:noProof/>
        </w:rPr>
        <w:footnoteReference w:id="391"/>
      </w:r>
      <w:r w:rsidRPr="00F261DB">
        <w:rPr>
          <w:rFonts w:eastAsia="Times New Roman"/>
          <w:noProof/>
        </w:rPr>
        <w:t xml:space="preserve"> </w:t>
      </w:r>
      <w:r w:rsidRPr="007D3B1D">
        <w:rPr>
          <w:noProof/>
          <w:lang w:val="en-IE"/>
        </w:rPr>
        <w:t xml:space="preserve">EU exports in 2022: EUR 10.2 billion, imports: EUR 4.4 billion. </w:t>
      </w:r>
      <w:r w:rsidRPr="25B808CD">
        <w:rPr>
          <w:rFonts w:eastAsia="Times New Roman"/>
          <w:noProof/>
        </w:rPr>
        <w:t xml:space="preserve">Major trading partners: USA, Switzerland, UK and </w:t>
      </w:r>
      <w:r w:rsidR="41C07C5D" w:rsidRPr="25B808CD">
        <w:rPr>
          <w:rFonts w:eastAsia="Times New Roman"/>
          <w:noProof/>
        </w:rPr>
        <w:t>Türkiye</w:t>
      </w:r>
      <w:r w:rsidRPr="25B808CD">
        <w:rPr>
          <w:rFonts w:eastAsia="Times New Roman"/>
          <w:noProof/>
        </w:rPr>
        <w:t>.</w:t>
      </w:r>
      <w:r w:rsidR="00020031" w:rsidRPr="25B808CD">
        <w:rPr>
          <w:rStyle w:val="FootnoteReference"/>
          <w:rFonts w:eastAsia="Times New Roman"/>
          <w:noProof/>
        </w:rPr>
        <w:footnoteReference w:id="392"/>
      </w:r>
    </w:p>
    <w:p w14:paraId="619D18EE" w14:textId="6994FC5C" w:rsidR="000A1D65" w:rsidRDefault="545C8C3C" w:rsidP="000A1D65">
      <w:pPr>
        <w:spacing w:after="120"/>
        <w:rPr>
          <w:rFonts w:eastAsia="Times New Roman"/>
          <w:noProof/>
        </w:rPr>
      </w:pPr>
      <w:r w:rsidRPr="00F261DB">
        <w:rPr>
          <w:rFonts w:eastAsia="Times New Roman"/>
          <w:b/>
          <w:noProof/>
        </w:rPr>
        <w:t xml:space="preserve">Key </w:t>
      </w:r>
      <w:r w:rsidRPr="000A1D65">
        <w:rPr>
          <w:rFonts w:eastAsia="Times New Roman"/>
          <w:b/>
          <w:noProof/>
          <w:color w:val="000000" w:themeColor="text1"/>
        </w:rPr>
        <w:t>challenges</w:t>
      </w:r>
    </w:p>
    <w:p w14:paraId="5A4078F0" w14:textId="62D25687" w:rsidR="00020031" w:rsidRPr="00F261DB" w:rsidRDefault="71784942" w:rsidP="000A1D65">
      <w:pPr>
        <w:spacing w:after="120"/>
        <w:rPr>
          <w:rFonts w:eastAsia="Times New Roman"/>
          <w:noProof/>
        </w:rPr>
      </w:pPr>
      <w:r>
        <w:rPr>
          <w:rFonts w:eastAsia="Times New Roman"/>
          <w:noProof/>
        </w:rPr>
        <w:t>H</w:t>
      </w:r>
      <w:r w:rsidR="404A2814" w:rsidRPr="00F261DB">
        <w:rPr>
          <w:rFonts w:eastAsia="Times New Roman"/>
          <w:noProof/>
        </w:rPr>
        <w:t>igh energy costs, competition from low-cost producers in emerging economies, supply chain disruptions, and stringent environmental regulations. Production volumes decreased by 2–3% between 2022 and 2023.</w:t>
      </w:r>
      <w:r w:rsidR="00020031" w:rsidRPr="00FF63D1">
        <w:rPr>
          <w:rStyle w:val="FootnoteReference"/>
          <w:rFonts w:eastAsia="Times New Roman"/>
          <w:noProof/>
        </w:rPr>
        <w:footnoteReference w:id="393"/>
      </w:r>
    </w:p>
    <w:p w14:paraId="528D85E2" w14:textId="51D99EAD" w:rsidR="004D4511" w:rsidRPr="00F261DB" w:rsidRDefault="404A2814" w:rsidP="000A1D65">
      <w:pPr>
        <w:spacing w:after="120"/>
        <w:rPr>
          <w:rFonts w:eastAsia="Times New Roman"/>
          <w:noProof/>
        </w:rPr>
      </w:pPr>
      <w:r w:rsidRPr="00F261DB">
        <w:rPr>
          <w:rFonts w:eastAsia="Times New Roman"/>
          <w:noProof/>
        </w:rPr>
        <w:t>The EU ceramic industry emits over 20</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of CO₂ annually.</w:t>
      </w:r>
      <w:r w:rsidR="00020031" w:rsidRPr="00FF63D1">
        <w:rPr>
          <w:rStyle w:val="FootnoteReference"/>
          <w:rFonts w:eastAsia="Times New Roman"/>
          <w:noProof/>
        </w:rPr>
        <w:footnoteReference w:id="394"/>
      </w:r>
      <w:r w:rsidRPr="00F261DB">
        <w:rPr>
          <w:rFonts w:eastAsia="Times New Roman"/>
          <w:noProof/>
        </w:rPr>
        <w:t xml:space="preserve"> In line with EU climate goals, the sector is transitioning toward more sustainable production through </w:t>
      </w:r>
      <w:r w:rsidR="00CE14AC">
        <w:rPr>
          <w:rFonts w:eastAsia="Times New Roman"/>
          <w:noProof/>
        </w:rPr>
        <w:t>trajectories</w:t>
      </w:r>
      <w:r w:rsidR="00CE14AC" w:rsidRPr="00F261DB">
        <w:rPr>
          <w:rFonts w:eastAsia="Times New Roman"/>
          <w:noProof/>
        </w:rPr>
        <w:t xml:space="preserve"> </w:t>
      </w:r>
      <w:r w:rsidRPr="00F261DB">
        <w:rPr>
          <w:rFonts w:eastAsia="Times New Roman"/>
          <w:noProof/>
        </w:rPr>
        <w:t>such as electrification of kilns, fuel switching to low-carbon gases or hydrogen, implementation of energy efficiency measures, and the integration of circular raw materials and recycling practices.</w:t>
      </w:r>
      <w:r w:rsidR="0015182F">
        <w:rPr>
          <w:rStyle w:val="FootnoteReference"/>
          <w:rFonts w:eastAsia="Times New Roman"/>
          <w:noProof/>
        </w:rPr>
        <w:footnoteReference w:id="395"/>
      </w:r>
      <w:r w:rsidRPr="00F261DB">
        <w:rPr>
          <w:rFonts w:eastAsia="Times New Roman"/>
          <w:noProof/>
        </w:rPr>
        <w:t xml:space="preserve"> These measures aim to reduce greenhouse gas emissions across manufacturing processes and product life cycles. Main decarbonisation challenges include high investment needs to retrofit existing facilities, limited technological readiness of electric and hydrogen kilns at industrial scale, insufficient infrastructure for clean energy supply, and the technical complexity of maintaining product quality under altered processing conditions.</w:t>
      </w:r>
    </w:p>
    <w:p w14:paraId="35BE04CD" w14:textId="77777777" w:rsidR="00020031" w:rsidRPr="00020C03" w:rsidRDefault="00020031" w:rsidP="00E71388">
      <w:pPr>
        <w:pStyle w:val="ListParagraph"/>
        <w:keepNext/>
        <w:keepLines/>
        <w:numPr>
          <w:ilvl w:val="1"/>
          <w:numId w:val="166"/>
        </w:numPr>
        <w:spacing w:before="360" w:after="80"/>
        <w:outlineLvl w:val="0"/>
        <w:rPr>
          <w:b/>
          <w:noProof/>
        </w:rPr>
      </w:pPr>
      <w:bookmarkStart w:id="562" w:name="_Toc212728857"/>
      <w:bookmarkStart w:id="563" w:name="_Toc212729131"/>
      <w:bookmarkStart w:id="564" w:name="_Toc212729383"/>
      <w:bookmarkStart w:id="565" w:name="_Toc215506327"/>
      <w:bookmarkStart w:id="566" w:name="_Toc222159378"/>
      <w:bookmarkStart w:id="567" w:name="_Toc222489546"/>
      <w:bookmarkStart w:id="568" w:name="_Toc222490035"/>
      <w:r w:rsidRPr="00020C03">
        <w:rPr>
          <w:b/>
          <w:noProof/>
        </w:rPr>
        <w:t>Chemicals</w:t>
      </w:r>
      <w:bookmarkEnd w:id="562"/>
      <w:bookmarkEnd w:id="563"/>
      <w:bookmarkEnd w:id="564"/>
      <w:bookmarkEnd w:id="565"/>
      <w:bookmarkEnd w:id="566"/>
      <w:bookmarkEnd w:id="567"/>
      <w:bookmarkEnd w:id="568"/>
    </w:p>
    <w:p w14:paraId="3C5C2E3F" w14:textId="77777777" w:rsidR="000A1D65" w:rsidRDefault="545C8C3C" w:rsidP="000A1D65">
      <w:pPr>
        <w:spacing w:after="120"/>
        <w:rPr>
          <w:rFonts w:eastAsia="Times New Roman"/>
          <w:b/>
          <w:noProof/>
        </w:rPr>
      </w:pPr>
      <w:r w:rsidRPr="00F261DB">
        <w:rPr>
          <w:rFonts w:eastAsia="Times New Roman"/>
          <w:b/>
          <w:noProof/>
        </w:rPr>
        <w:t>Key facts</w:t>
      </w:r>
    </w:p>
    <w:p w14:paraId="0ADF5CDE" w14:textId="08767EB4" w:rsidR="00020031" w:rsidRPr="000A1D65" w:rsidRDefault="404A2814" w:rsidP="000A1D65">
      <w:pPr>
        <w:spacing w:after="120"/>
        <w:rPr>
          <w:rFonts w:eastAsia="Times New Roman"/>
          <w:noProof/>
        </w:rPr>
      </w:pPr>
      <w:r w:rsidRPr="00F261DB">
        <w:rPr>
          <w:rFonts w:eastAsia="Times New Roman"/>
          <w:noProof/>
        </w:rPr>
        <w:t>EUR 655 billion sales in 2023</w:t>
      </w:r>
      <w:r w:rsidR="00020031" w:rsidRPr="00FF63D1">
        <w:rPr>
          <w:rStyle w:val="FootnoteReference"/>
          <w:rFonts w:eastAsia="Times New Roman"/>
          <w:noProof/>
        </w:rPr>
        <w:footnoteReference w:id="396"/>
      </w:r>
      <w:r w:rsidRPr="00F261DB">
        <w:rPr>
          <w:rFonts w:eastAsia="Times New Roman"/>
          <w:noProof/>
        </w:rPr>
        <w:t>, 1.2 million direct jobs.</w:t>
      </w:r>
      <w:r w:rsidR="00020031" w:rsidRPr="00FF63D1">
        <w:rPr>
          <w:rStyle w:val="FootnoteReference"/>
          <w:rFonts w:eastAsia="Times New Roman"/>
          <w:noProof/>
        </w:rPr>
        <w:footnoteReference w:id="397"/>
      </w:r>
      <w:r w:rsidR="4DD86DAB" w:rsidRPr="3F0F1197">
        <w:rPr>
          <w:rFonts w:eastAsia="Times New Roman"/>
          <w:noProof/>
        </w:rPr>
        <w:t xml:space="preserve"> </w:t>
      </w:r>
      <w:r w:rsidRPr="00F261DB">
        <w:rPr>
          <w:rFonts w:eastAsia="Times New Roman"/>
          <w:noProof/>
        </w:rPr>
        <w:t>218</w:t>
      </w:r>
      <w:r w:rsidR="1AC6F867" w:rsidRPr="3F0F1197">
        <w:rPr>
          <w:rFonts w:eastAsia="Times New Roman"/>
          <w:noProof/>
        </w:rPr>
        <w:t xml:space="preserve"> Mtonnes</w:t>
      </w:r>
      <w:r w:rsidRPr="3F0F1197">
        <w:rPr>
          <w:rFonts w:eastAsia="Times New Roman"/>
          <w:noProof/>
        </w:rPr>
        <w:t xml:space="preserve"> </w:t>
      </w:r>
      <w:r w:rsidRPr="00F261DB">
        <w:rPr>
          <w:rFonts w:eastAsia="Times New Roman"/>
          <w:noProof/>
        </w:rPr>
        <w:t xml:space="preserve">production of industrial chemicals in 2023, main producers: Germany, France, The Netherlands, Italy and </w:t>
      </w:r>
      <w:r w:rsidRPr="00F261DB">
        <w:rPr>
          <w:rFonts w:eastAsia="Times New Roman"/>
          <w:noProof/>
        </w:rPr>
        <w:lastRenderedPageBreak/>
        <w:t>Belgium.</w:t>
      </w:r>
      <w:r w:rsidR="71784942">
        <w:rPr>
          <w:rFonts w:eastAsia="Times New Roman"/>
          <w:noProof/>
        </w:rPr>
        <w:t xml:space="preserve"> </w:t>
      </w:r>
      <w:r w:rsidRPr="000D3198">
        <w:rPr>
          <w:noProof/>
          <w:lang w:val="en-IE"/>
        </w:rPr>
        <w:t>EU exports in 2023: EU 523 billion, import</w:t>
      </w:r>
      <w:r w:rsidR="5D1BB2F9">
        <w:rPr>
          <w:noProof/>
          <w:lang w:val="en-IE"/>
        </w:rPr>
        <w:t>s</w:t>
      </w:r>
      <w:r w:rsidRPr="000D3198">
        <w:rPr>
          <w:noProof/>
          <w:lang w:val="en-IE"/>
        </w:rPr>
        <w:t xml:space="preserve">: EUR 325 billion. </w:t>
      </w:r>
      <w:r w:rsidRPr="00020C03">
        <w:rPr>
          <w:rFonts w:eastAsia="Times New Roman"/>
          <w:noProof/>
          <w:lang w:val="en-IE"/>
        </w:rPr>
        <w:t>Major trading partners: USA, Switzerland, UK, and China.</w:t>
      </w:r>
      <w:r w:rsidR="00020031" w:rsidRPr="311B850B">
        <w:rPr>
          <w:rStyle w:val="FootnoteReference"/>
          <w:rFonts w:eastAsia="Times New Roman"/>
          <w:noProof/>
          <w:lang w:val="fr-BE"/>
        </w:rPr>
        <w:footnoteReference w:id="398"/>
      </w:r>
    </w:p>
    <w:p w14:paraId="5B353614" w14:textId="77777777" w:rsidR="000A1D65" w:rsidRPr="00BD0735" w:rsidRDefault="545C8C3C" w:rsidP="000A1D65">
      <w:pPr>
        <w:spacing w:after="120"/>
        <w:rPr>
          <w:rFonts w:eastAsia="Times New Roman"/>
          <w:b/>
          <w:noProof/>
          <w:color w:val="000000" w:themeColor="text1"/>
        </w:rPr>
      </w:pPr>
      <w:r w:rsidRPr="00BD0735">
        <w:rPr>
          <w:rFonts w:eastAsia="Times New Roman"/>
          <w:b/>
          <w:noProof/>
          <w:color w:val="000000" w:themeColor="text1"/>
        </w:rPr>
        <w:t xml:space="preserve">Key challenges </w:t>
      </w:r>
    </w:p>
    <w:p w14:paraId="35FA79DB" w14:textId="62D2AC80" w:rsidR="00020031" w:rsidRPr="00F261DB" w:rsidRDefault="71784942" w:rsidP="000A1D65">
      <w:pPr>
        <w:spacing w:after="120"/>
        <w:rPr>
          <w:rFonts w:eastAsia="Times New Roman"/>
          <w:noProof/>
        </w:rPr>
      </w:pPr>
      <w:r>
        <w:rPr>
          <w:rFonts w:eastAsia="Times New Roman"/>
          <w:noProof/>
        </w:rPr>
        <w:t>H</w:t>
      </w:r>
      <w:r w:rsidR="404A2814" w:rsidRPr="00F261DB">
        <w:rPr>
          <w:rFonts w:eastAsia="Times New Roman"/>
          <w:noProof/>
        </w:rPr>
        <w:t>igh energy costs, weak demand, increased regulatory pressure, and global competition. Production volumes have decreased by 14% between 2021 and 2023 putting at risk up to 200</w:t>
      </w:r>
      <w:r w:rsidR="217EA473">
        <w:rPr>
          <w:rFonts w:eastAsia="Times New Roman"/>
          <w:noProof/>
        </w:rPr>
        <w:t xml:space="preserve"> </w:t>
      </w:r>
      <w:r w:rsidR="404A2814" w:rsidRPr="00F261DB">
        <w:rPr>
          <w:rFonts w:eastAsia="Times New Roman"/>
          <w:noProof/>
        </w:rPr>
        <w:t>000 jobs.</w:t>
      </w:r>
      <w:r w:rsidR="00020031" w:rsidRPr="00FF63D1">
        <w:rPr>
          <w:rStyle w:val="FootnoteReference"/>
          <w:rFonts w:eastAsia="Times New Roman"/>
          <w:noProof/>
        </w:rPr>
        <w:footnoteReference w:id="399"/>
      </w:r>
    </w:p>
    <w:p w14:paraId="207B8643" w14:textId="354DF4F2" w:rsidR="00D23DFD" w:rsidRDefault="404A2814" w:rsidP="000A1D65">
      <w:pPr>
        <w:spacing w:after="120"/>
        <w:rPr>
          <w:rFonts w:eastAsia="Times New Roman"/>
          <w:noProof/>
        </w:rPr>
      </w:pPr>
      <w:r w:rsidRPr="00F261DB">
        <w:rPr>
          <w:rFonts w:eastAsia="Times New Roman"/>
          <w:noProof/>
        </w:rPr>
        <w:t>The chemical industry is the third-largest source of global CO₂ emissions, after the cement and steel sectors. In 2022, the EU chemical industry emitted 104</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CO</w:t>
      </w:r>
      <w:r w:rsidRPr="00F261DB">
        <w:rPr>
          <w:rFonts w:eastAsia="Times New Roman"/>
          <w:noProof/>
          <w:vertAlign w:val="subscript"/>
        </w:rPr>
        <w:t>2</w:t>
      </w:r>
      <w:r w:rsidRPr="00F261DB">
        <w:rPr>
          <w:rFonts w:eastAsia="Times New Roman"/>
          <w:noProof/>
        </w:rPr>
        <w:t xml:space="preserve"> equivalent. In line with EU climate goals, the sector is shifting toward cleaner production through different decarbonisation pathways, including electrification of processes, deployment of low-carbon hydrogen, implementation of carbon capture, utilisation and storage </w:t>
      </w:r>
      <w:r w:rsidR="00931F96" w:rsidRPr="00F261DB">
        <w:rPr>
          <w:rFonts w:eastAsia="Times New Roman"/>
          <w:noProof/>
        </w:rPr>
        <w:t>(CCUS)</w:t>
      </w:r>
      <w:r w:rsidR="009D0610">
        <w:rPr>
          <w:rFonts w:eastAsia="Times New Roman"/>
          <w:noProof/>
        </w:rPr>
        <w:t>,</w:t>
      </w:r>
      <w:r w:rsidR="00931F96">
        <w:rPr>
          <w:rStyle w:val="FootnoteReference"/>
          <w:rFonts w:eastAsia="Times New Roman"/>
          <w:noProof/>
        </w:rPr>
        <w:footnoteReference w:id="400"/>
      </w:r>
      <w:r w:rsidR="00931F96" w:rsidRPr="00F261DB">
        <w:rPr>
          <w:rFonts w:eastAsia="Times New Roman"/>
          <w:noProof/>
        </w:rPr>
        <w:t xml:space="preserve"> </w:t>
      </w:r>
      <w:r w:rsidRPr="00F261DB">
        <w:rPr>
          <w:rFonts w:eastAsia="Times New Roman"/>
          <w:noProof/>
        </w:rPr>
        <w:t>and increased use of circular feedstocks and recycling.</w:t>
      </w:r>
      <w:r w:rsidR="00020031" w:rsidRPr="00FF63D1">
        <w:rPr>
          <w:rStyle w:val="FootnoteReference"/>
          <w:rFonts w:eastAsia="Times New Roman"/>
          <w:noProof/>
        </w:rPr>
        <w:footnoteReference w:id="401"/>
      </w:r>
      <w:r w:rsidRPr="00F261DB">
        <w:rPr>
          <w:rFonts w:eastAsia="Times New Roman"/>
          <w:noProof/>
        </w:rPr>
        <w:t xml:space="preserve"> These approaches aim to reduce greenhouse gas emissions across core chemical production processes, interconnected value chains, and end-use applications. The main barrier to decarbonising is the high investment requirement</w:t>
      </w:r>
      <w:r w:rsidR="004C6A8F">
        <w:rPr>
          <w:rFonts w:eastAsia="Times New Roman"/>
          <w:noProof/>
        </w:rPr>
        <w:t>. In the i</w:t>
      </w:r>
      <w:r w:rsidR="004C6A8F" w:rsidRPr="002436CB">
        <w:rPr>
          <w:rFonts w:eastAsia="Times New Roman"/>
          <w:noProof/>
        </w:rPr>
        <w:t xml:space="preserve">mpact </w:t>
      </w:r>
      <w:r w:rsidR="004C6A8F">
        <w:rPr>
          <w:rFonts w:eastAsia="Times New Roman"/>
          <w:noProof/>
        </w:rPr>
        <w:t>a</w:t>
      </w:r>
      <w:r w:rsidR="004C6A8F" w:rsidRPr="002436CB">
        <w:rPr>
          <w:rFonts w:eastAsia="Times New Roman"/>
          <w:noProof/>
        </w:rPr>
        <w:t>ssessment</w:t>
      </w:r>
      <w:r w:rsidR="004C6A8F">
        <w:rPr>
          <w:rFonts w:eastAsia="Times New Roman"/>
          <w:noProof/>
        </w:rPr>
        <w:t xml:space="preserve"> for the 2040 climate target, </w:t>
      </w:r>
      <w:r w:rsidR="003C15F4">
        <w:rPr>
          <w:rFonts w:eastAsia="Times New Roman"/>
          <w:noProof/>
        </w:rPr>
        <w:t xml:space="preserve">the </w:t>
      </w:r>
      <w:r w:rsidR="004C6A8F" w:rsidRPr="002436CB">
        <w:rPr>
          <w:rFonts w:eastAsia="Times New Roman"/>
          <w:noProof/>
        </w:rPr>
        <w:t>estimated investment needs for decarbonisation in the chemical sector average EUR 13 billion per year for the 20 year period of 2031-2050, s</w:t>
      </w:r>
      <w:r w:rsidR="004C6A8F">
        <w:rPr>
          <w:rFonts w:eastAsia="Times New Roman"/>
          <w:noProof/>
        </w:rPr>
        <w:t>umming to</w:t>
      </w:r>
      <w:r w:rsidR="004C6A8F" w:rsidRPr="002436CB">
        <w:rPr>
          <w:rFonts w:eastAsia="Times New Roman"/>
          <w:noProof/>
        </w:rPr>
        <w:t xml:space="preserve"> around EUR 260 billion </w:t>
      </w:r>
      <w:r w:rsidR="004C6A8F">
        <w:rPr>
          <w:rFonts w:eastAsia="Times New Roman"/>
          <w:noProof/>
        </w:rPr>
        <w:t xml:space="preserve">by </w:t>
      </w:r>
      <w:r w:rsidR="004C6A8F" w:rsidRPr="002436CB">
        <w:rPr>
          <w:rFonts w:eastAsia="Times New Roman"/>
          <w:noProof/>
        </w:rPr>
        <w:t>2050.</w:t>
      </w:r>
      <w:r w:rsidR="00020031" w:rsidRPr="00FF63D1">
        <w:rPr>
          <w:rStyle w:val="FootnoteReference"/>
          <w:rFonts w:eastAsia="Times New Roman"/>
          <w:noProof/>
        </w:rPr>
        <w:footnoteReference w:id="402"/>
      </w:r>
      <w:r w:rsidRPr="00F261DB">
        <w:rPr>
          <w:rFonts w:eastAsia="Times New Roman"/>
          <w:noProof/>
        </w:rPr>
        <w:t xml:space="preserve"> Additional challenges include limited availability and scalability of low-carbon technologies, insufficient infrastructure for clean energy supply, and the complexity of electrifying high-temperature chemical processes.</w:t>
      </w:r>
    </w:p>
    <w:p w14:paraId="13E2D622" w14:textId="2A37F0D7" w:rsidR="002315CD" w:rsidRDefault="002315CD" w:rsidP="000A1D65">
      <w:pPr>
        <w:spacing w:after="120"/>
        <w:rPr>
          <w:rFonts w:eastAsia="Times New Roman"/>
          <w:b/>
          <w:bCs/>
          <w:noProof/>
        </w:rPr>
      </w:pPr>
      <w:r>
        <w:rPr>
          <w:rFonts w:eastAsia="Times New Roman"/>
          <w:b/>
          <w:bCs/>
          <w:noProof/>
        </w:rPr>
        <w:t xml:space="preserve">Cost </w:t>
      </w:r>
      <w:r w:rsidRPr="000A1D65">
        <w:rPr>
          <w:rFonts w:eastAsia="Times New Roman"/>
          <w:b/>
          <w:noProof/>
        </w:rPr>
        <w:t>evolution</w:t>
      </w:r>
    </w:p>
    <w:p w14:paraId="336F91C9" w14:textId="6399F8F0" w:rsidR="002315CD" w:rsidRPr="00FF63D1" w:rsidRDefault="00506625" w:rsidP="000A1D65">
      <w:pPr>
        <w:spacing w:after="120"/>
        <w:rPr>
          <w:noProof/>
        </w:rPr>
      </w:pPr>
      <w:r>
        <w:rPr>
          <w:noProof/>
        </w:rPr>
        <w:fldChar w:fldCharType="begin"/>
      </w:r>
      <w:r>
        <w:rPr>
          <w:noProof/>
        </w:rPr>
        <w:instrText xml:space="preserve"> REF _Ref212722381 \h </w:instrText>
      </w:r>
      <w:r>
        <w:rPr>
          <w:noProof/>
        </w:rPr>
      </w:r>
      <w:r>
        <w:rPr>
          <w:noProof/>
        </w:rPr>
        <w:fldChar w:fldCharType="separate"/>
      </w:r>
      <w:r w:rsidR="00E16D65" w:rsidRPr="00FF63D1">
        <w:rPr>
          <w:noProof/>
        </w:rPr>
        <w:t xml:space="preserve">Table </w:t>
      </w:r>
      <w:r w:rsidR="00E16D65">
        <w:rPr>
          <w:noProof/>
        </w:rPr>
        <w:t>14</w:t>
      </w:r>
      <w:r>
        <w:rPr>
          <w:noProof/>
        </w:rPr>
        <w:fldChar w:fldCharType="end"/>
      </w:r>
      <w:r>
        <w:rPr>
          <w:noProof/>
        </w:rPr>
        <w:t xml:space="preserve"> b</w:t>
      </w:r>
      <w:r w:rsidR="002315CD">
        <w:rPr>
          <w:noProof/>
        </w:rPr>
        <w:t>elow</w:t>
      </w:r>
      <w:r w:rsidR="002315CD" w:rsidRPr="00FF63D1">
        <w:rPr>
          <w:noProof/>
        </w:rPr>
        <w:t xml:space="preserve"> </w:t>
      </w:r>
      <w:r w:rsidR="002315CD" w:rsidRPr="00FF63D1">
        <w:rPr>
          <w:rFonts w:cs="Times New Roman"/>
          <w:noProof/>
          <w:color w:val="000000"/>
          <w:szCs w:val="24"/>
        </w:rPr>
        <w:t>synthesizes the available CAPEX data for key chemical industry decarboni</w:t>
      </w:r>
      <w:r w:rsidR="00C93E5C">
        <w:rPr>
          <w:rFonts w:cs="Times New Roman"/>
          <w:noProof/>
          <w:color w:val="000000"/>
          <w:szCs w:val="24"/>
        </w:rPr>
        <w:t>sation</w:t>
      </w:r>
      <w:r w:rsidR="002315CD" w:rsidRPr="00FF63D1">
        <w:rPr>
          <w:rFonts w:cs="Times New Roman"/>
          <w:noProof/>
          <w:color w:val="000000"/>
          <w:szCs w:val="24"/>
        </w:rPr>
        <w:t xml:space="preserve"> pathways, primarily derived from techno-economic modelling assumptions hydrogen cost projections. However, </w:t>
      </w:r>
      <w:r w:rsidR="002315CD" w:rsidRPr="00FF63D1">
        <w:rPr>
          <w:noProof/>
        </w:rPr>
        <w:t>t</w:t>
      </w:r>
      <w:r w:rsidR="002315CD" w:rsidRPr="00FF63D1">
        <w:rPr>
          <w:rFonts w:cs="Times New Roman"/>
          <w:noProof/>
          <w:color w:val="000000"/>
          <w:szCs w:val="24"/>
        </w:rPr>
        <w:t>he estimated CAPEX for decarboni</w:t>
      </w:r>
      <w:r w:rsidR="00C93E5C">
        <w:rPr>
          <w:rFonts w:cs="Times New Roman"/>
          <w:noProof/>
          <w:color w:val="000000"/>
          <w:szCs w:val="24"/>
        </w:rPr>
        <w:t>sation</w:t>
      </w:r>
      <w:r w:rsidR="002315CD" w:rsidRPr="00FF63D1">
        <w:rPr>
          <w:rFonts w:cs="Times New Roman"/>
          <w:noProof/>
          <w:color w:val="000000"/>
          <w:szCs w:val="24"/>
        </w:rPr>
        <w:t xml:space="preserve"> technologies in the EU chemical industry vary widely depending on the technology's maturity, the reference year used for the cost calculation, and whether the costs refer to process equipment (PCE), total installed cost (CAPEX), or costs per unit of capacity (</w:t>
      </w:r>
      <w:r w:rsidR="0062431D">
        <w:rPr>
          <w:rFonts w:cs="Times New Roman"/>
          <w:noProof/>
          <w:color w:val="000000"/>
          <w:szCs w:val="24"/>
        </w:rPr>
        <w:t>EUR</w:t>
      </w:r>
      <w:r w:rsidR="002315CD" w:rsidRPr="00FF63D1">
        <w:rPr>
          <w:rFonts w:cs="Times New Roman"/>
          <w:noProof/>
          <w:color w:val="000000"/>
          <w:szCs w:val="24"/>
        </w:rPr>
        <w:t>/Mton</w:t>
      </w:r>
      <w:r w:rsidR="00E544E4">
        <w:rPr>
          <w:rFonts w:cs="Times New Roman"/>
          <w:noProof/>
          <w:color w:val="000000"/>
          <w:szCs w:val="24"/>
        </w:rPr>
        <w:t>ne</w:t>
      </w:r>
      <w:r w:rsidR="002315CD" w:rsidRPr="00FF63D1">
        <w:rPr>
          <w:rFonts w:cs="Times New Roman"/>
          <w:noProof/>
          <w:color w:val="000000"/>
          <w:szCs w:val="24"/>
        </w:rPr>
        <w:t xml:space="preserve"> product or </w:t>
      </w:r>
      <w:r w:rsidR="0062431D">
        <w:rPr>
          <w:rFonts w:cs="Times New Roman"/>
          <w:noProof/>
          <w:color w:val="000000"/>
          <w:szCs w:val="24"/>
        </w:rPr>
        <w:t>EUR</w:t>
      </w:r>
      <w:r w:rsidR="002315CD" w:rsidRPr="00FF63D1">
        <w:rPr>
          <w:rFonts w:cs="Times New Roman"/>
          <w:noProof/>
          <w:color w:val="000000"/>
          <w:szCs w:val="24"/>
        </w:rPr>
        <w:t>/kW power).</w:t>
      </w:r>
    </w:p>
    <w:p w14:paraId="5A3888A3" w14:textId="77777777" w:rsidR="002315CD" w:rsidRPr="00FF63D1" w:rsidRDefault="002315CD" w:rsidP="002315CD">
      <w:pPr>
        <w:rPr>
          <w:noProof/>
        </w:rPr>
      </w:pPr>
    </w:p>
    <w:p w14:paraId="45DEAD08" w14:textId="12BB8927" w:rsidR="002315CD" w:rsidRPr="00FF63D1" w:rsidRDefault="002315CD" w:rsidP="002315CD">
      <w:pPr>
        <w:pStyle w:val="Caption"/>
        <w:keepNext/>
        <w:rPr>
          <w:noProof/>
        </w:rPr>
      </w:pPr>
      <w:bookmarkStart w:id="569" w:name="_Ref212722381"/>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separate"/>
      </w:r>
      <w:r w:rsidR="00E16D65">
        <w:rPr>
          <w:noProof/>
        </w:rPr>
        <w:t>14</w:t>
      </w:r>
      <w:r w:rsidRPr="00FF63D1">
        <w:rPr>
          <w:noProof/>
        </w:rPr>
        <w:fldChar w:fldCharType="end"/>
      </w:r>
      <w:bookmarkEnd w:id="569"/>
      <w:r w:rsidRPr="00FF63D1">
        <w:rPr>
          <w:noProof/>
        </w:rPr>
        <w:t xml:space="preserve">: CAPEX </w:t>
      </w:r>
      <w:r w:rsidR="008F7377">
        <w:rPr>
          <w:noProof/>
        </w:rPr>
        <w:t xml:space="preserve">and PCE </w:t>
      </w:r>
      <w:r w:rsidRPr="00FF63D1">
        <w:rPr>
          <w:noProof/>
        </w:rPr>
        <w:t xml:space="preserve">for the chemical industry </w:t>
      </w:r>
      <w:r w:rsidRPr="00FF63D1">
        <w:rPr>
          <w:noProof/>
          <w:szCs w:val="24"/>
        </w:rPr>
        <w:t>compiled by the JRC, 2025</w:t>
      </w:r>
    </w:p>
    <w:tbl>
      <w:tblPr>
        <w:tblW w:w="9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35"/>
        <w:gridCol w:w="2041"/>
        <w:gridCol w:w="1984"/>
        <w:gridCol w:w="1672"/>
        <w:gridCol w:w="1672"/>
      </w:tblGrid>
      <w:tr w:rsidR="002315CD" w:rsidRPr="00FF63D1" w14:paraId="0BE33C72" w14:textId="77777777" w:rsidTr="000A29C5">
        <w:trPr>
          <w:trHeight w:val="510"/>
          <w:tblHeader/>
        </w:trPr>
        <w:tc>
          <w:tcPr>
            <w:tcW w:w="1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A0E141" w14:textId="77777777"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Technology Pathway</w:t>
            </w:r>
          </w:p>
        </w:tc>
        <w:tc>
          <w:tcPr>
            <w:tcW w:w="20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EE29D1" w14:textId="77777777"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Current Value (Reference Year)</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C72166" w14:textId="4E9F2FB2"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CAPEX</w:t>
            </w:r>
            <w:r w:rsidR="004F07BC">
              <w:rPr>
                <w:rFonts w:cs="Times New Roman"/>
                <w:b/>
                <w:noProof/>
                <w:color w:val="000000"/>
                <w:sz w:val="22"/>
              </w:rPr>
              <w:t>/PCE</w:t>
            </w:r>
            <w:r w:rsidRPr="00FF63D1">
              <w:rPr>
                <w:rFonts w:cs="Times New Roman"/>
                <w:b/>
                <w:noProof/>
                <w:color w:val="000000"/>
                <w:sz w:val="22"/>
              </w:rPr>
              <w:t xml:space="preserve"> in 2030</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59242A" w14:textId="4E64DB73"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CAPEX</w:t>
            </w:r>
            <w:r w:rsidR="00E710FE">
              <w:rPr>
                <w:rFonts w:cs="Times New Roman"/>
                <w:b/>
                <w:noProof/>
                <w:color w:val="000000"/>
                <w:sz w:val="22"/>
              </w:rPr>
              <w:t>/PCE</w:t>
            </w:r>
            <w:r w:rsidRPr="00FF63D1">
              <w:rPr>
                <w:rFonts w:cs="Times New Roman"/>
                <w:b/>
                <w:noProof/>
                <w:color w:val="000000"/>
                <w:sz w:val="22"/>
              </w:rPr>
              <w:t xml:space="preserve"> in 2040</w:t>
            </w:r>
          </w:p>
        </w:tc>
        <w:tc>
          <w:tcPr>
            <w:tcW w:w="1672" w:type="dxa"/>
          </w:tcPr>
          <w:p w14:paraId="7BCD3E7D" w14:textId="6C9CFC89"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CAPEX</w:t>
            </w:r>
            <w:r w:rsidR="00AD43EA">
              <w:rPr>
                <w:rFonts w:cs="Times New Roman"/>
                <w:b/>
                <w:noProof/>
                <w:color w:val="000000"/>
                <w:sz w:val="22"/>
              </w:rPr>
              <w:t>/PCE</w:t>
            </w:r>
            <w:r w:rsidRPr="00FF63D1">
              <w:rPr>
                <w:rFonts w:cs="Times New Roman"/>
                <w:b/>
                <w:noProof/>
                <w:color w:val="000000"/>
                <w:sz w:val="22"/>
              </w:rPr>
              <w:t xml:space="preserve"> in 2050</w:t>
            </w:r>
          </w:p>
        </w:tc>
      </w:tr>
      <w:tr w:rsidR="002315CD" w:rsidRPr="00FF63D1" w14:paraId="1119BBBC" w14:textId="77777777" w:rsidTr="3F0F1197">
        <w:trPr>
          <w:trHeight w:val="1580"/>
        </w:trPr>
        <w:tc>
          <w:tcPr>
            <w:tcW w:w="1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929EC8" w14:textId="77777777" w:rsidR="002315CD" w:rsidRPr="00FF63D1" w:rsidRDefault="6EB1567D">
            <w:pPr>
              <w:widowControl w:val="0"/>
              <w:pBdr>
                <w:top w:val="nil"/>
                <w:left w:val="nil"/>
                <w:bottom w:val="nil"/>
                <w:right w:val="nil"/>
                <w:between w:val="nil"/>
              </w:pBdr>
              <w:jc w:val="center"/>
              <w:rPr>
                <w:rFonts w:cs="Times New Roman"/>
                <w:b/>
                <w:noProof/>
                <w:color w:val="000000"/>
                <w:sz w:val="22"/>
                <w:vertAlign w:val="superscript"/>
              </w:rPr>
            </w:pPr>
            <w:r w:rsidRPr="3F0F1197">
              <w:rPr>
                <w:rFonts w:cs="Times New Roman"/>
                <w:b/>
                <w:bCs/>
                <w:noProof/>
                <w:color w:val="000000" w:themeColor="text1"/>
                <w:sz w:val="22"/>
              </w:rPr>
              <w:t>Electrolyser Systems (Installed CAPEX, per kWel)</w:t>
            </w:r>
            <w:r w:rsidR="002315CD" w:rsidRPr="3F0F1197">
              <w:rPr>
                <w:rStyle w:val="FootnoteReference"/>
                <w:rFonts w:cs="Times New Roman"/>
                <w:noProof/>
                <w:color w:val="000000"/>
                <w:sz w:val="22"/>
              </w:rPr>
              <w:footnoteReference w:id="403"/>
            </w:r>
            <w:r w:rsidRPr="3F0F1197">
              <w:rPr>
                <w:rFonts w:cs="Times New Roman"/>
                <w:noProof/>
                <w:color w:val="000000" w:themeColor="text1"/>
                <w:sz w:val="22"/>
                <w:vertAlign w:val="superscript"/>
              </w:rPr>
              <w:t>,</w:t>
            </w:r>
            <w:r w:rsidR="002315CD" w:rsidRPr="3F0F1197">
              <w:rPr>
                <w:rStyle w:val="FootnoteReference"/>
                <w:rFonts w:cs="Times New Roman"/>
                <w:noProof/>
                <w:color w:val="000000"/>
                <w:sz w:val="22"/>
              </w:rPr>
              <w:footnoteReference w:id="404"/>
            </w:r>
          </w:p>
        </w:tc>
        <w:tc>
          <w:tcPr>
            <w:tcW w:w="20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E22F6E" w14:textId="310C8D64" w:rsidR="002315CD"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themeColor="text1"/>
                <w:sz w:val="22"/>
              </w:rPr>
              <w:t xml:space="preserve">EUR </w:t>
            </w:r>
            <w:r w:rsidR="002315CD" w:rsidRPr="00FF63D1">
              <w:rPr>
                <w:rFonts w:cs="Times New Roman"/>
                <w:noProof/>
                <w:color w:val="000000" w:themeColor="text1"/>
                <w:sz w:val="22"/>
              </w:rPr>
              <w:t>2</w:t>
            </w:r>
            <w:r w:rsidR="00D7393A">
              <w:rPr>
                <w:rFonts w:cs="Times New Roman"/>
                <w:noProof/>
                <w:color w:val="000000" w:themeColor="text1"/>
                <w:sz w:val="22"/>
              </w:rPr>
              <w:t xml:space="preserve"> </w:t>
            </w:r>
            <w:r w:rsidR="002315CD" w:rsidRPr="00FF63D1">
              <w:rPr>
                <w:rFonts w:cs="Times New Roman"/>
                <w:noProof/>
                <w:color w:val="000000" w:themeColor="text1"/>
                <w:sz w:val="22"/>
              </w:rPr>
              <w:t xml:space="preserve">250/kW (Low-Temp, 2024 estimate, typical project). </w:t>
            </w:r>
            <w:r>
              <w:rPr>
                <w:rFonts w:cs="Times New Roman"/>
                <w:noProof/>
                <w:color w:val="000000" w:themeColor="text1"/>
                <w:sz w:val="22"/>
              </w:rPr>
              <w:t xml:space="preserve">EUR </w:t>
            </w:r>
            <w:r w:rsidR="002315CD" w:rsidRPr="00FF63D1">
              <w:rPr>
                <w:rFonts w:cs="Times New Roman"/>
                <w:noProof/>
                <w:color w:val="000000" w:themeColor="text1"/>
                <w:sz w:val="22"/>
              </w:rPr>
              <w:t>5</w:t>
            </w:r>
            <w:r w:rsidR="00B114A4">
              <w:rPr>
                <w:rFonts w:cs="Times New Roman"/>
                <w:noProof/>
                <w:color w:val="000000" w:themeColor="text1"/>
                <w:sz w:val="22"/>
              </w:rPr>
              <w:t xml:space="preserve"> </w:t>
            </w:r>
            <w:r w:rsidR="002315CD" w:rsidRPr="00FF63D1">
              <w:rPr>
                <w:rFonts w:cs="Times New Roman"/>
                <w:noProof/>
                <w:color w:val="000000" w:themeColor="text1"/>
                <w:sz w:val="22"/>
              </w:rPr>
              <w:t>400/kW (High-Temp SOEC, 2024 estimate).</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426176" w14:textId="6674CE74" w:rsidR="002315CD" w:rsidRPr="00FF63D1" w:rsidRDefault="0062431D">
            <w:pPr>
              <w:widowControl w:val="0"/>
              <w:pBdr>
                <w:top w:val="nil"/>
                <w:left w:val="nil"/>
                <w:bottom w:val="nil"/>
                <w:right w:val="nil"/>
                <w:between w:val="nil"/>
              </w:pBdr>
              <w:jc w:val="center"/>
              <w:rPr>
                <w:rFonts w:cs="Times New Roman"/>
                <w:noProof/>
                <w:color w:val="000000"/>
                <w:sz w:val="22"/>
              </w:rPr>
            </w:pPr>
            <w:r>
              <w:rPr>
                <w:rFonts w:cs="Times New Roman"/>
                <w:noProof/>
                <w:color w:val="000000" w:themeColor="text1"/>
                <w:sz w:val="22"/>
              </w:rPr>
              <w:t xml:space="preserve">EUR </w:t>
            </w:r>
            <w:r w:rsidR="002315CD" w:rsidRPr="00FF63D1">
              <w:rPr>
                <w:rFonts w:cs="Times New Roman"/>
                <w:noProof/>
                <w:color w:val="000000" w:themeColor="text1"/>
                <w:sz w:val="22"/>
              </w:rPr>
              <w:t>600–</w:t>
            </w:r>
            <w:r>
              <w:rPr>
                <w:rFonts w:cs="Times New Roman"/>
                <w:noProof/>
                <w:color w:val="000000" w:themeColor="text1"/>
                <w:sz w:val="22"/>
              </w:rPr>
              <w:t xml:space="preserve">EUR </w:t>
            </w:r>
            <w:r w:rsidR="002315CD" w:rsidRPr="00FF63D1">
              <w:rPr>
                <w:rFonts w:cs="Times New Roman"/>
                <w:noProof/>
                <w:color w:val="000000" w:themeColor="text1"/>
                <w:sz w:val="22"/>
              </w:rPr>
              <w:t xml:space="preserve">800/kW (System Cost, projection). Conventional parts should be below </w:t>
            </w:r>
            <w:r>
              <w:rPr>
                <w:rFonts w:cs="Times New Roman"/>
                <w:noProof/>
                <w:color w:val="000000" w:themeColor="text1"/>
                <w:sz w:val="22"/>
              </w:rPr>
              <w:t xml:space="preserve">EUR </w:t>
            </w:r>
            <w:r w:rsidR="002315CD" w:rsidRPr="00FF63D1">
              <w:rPr>
                <w:rFonts w:cs="Times New Roman"/>
                <w:noProof/>
                <w:color w:val="000000" w:themeColor="text1"/>
                <w:sz w:val="22"/>
              </w:rPr>
              <w:t>1</w:t>
            </w:r>
            <w:r w:rsidR="00B8591D">
              <w:rPr>
                <w:rFonts w:cs="Times New Roman"/>
                <w:noProof/>
                <w:color w:val="000000" w:themeColor="text1"/>
                <w:sz w:val="22"/>
              </w:rPr>
              <w:t xml:space="preserve"> </w:t>
            </w:r>
            <w:r w:rsidR="002315CD" w:rsidRPr="00FF63D1">
              <w:rPr>
                <w:rFonts w:cs="Times New Roman"/>
                <w:noProof/>
                <w:color w:val="000000" w:themeColor="text1"/>
                <w:sz w:val="22"/>
              </w:rPr>
              <w:t xml:space="preserve">000/kW (Alkaline) and </w:t>
            </w:r>
            <w:r>
              <w:rPr>
                <w:rFonts w:cs="Times New Roman"/>
                <w:noProof/>
                <w:color w:val="000000" w:themeColor="text1"/>
                <w:sz w:val="22"/>
              </w:rPr>
              <w:t xml:space="preserve">EUR </w:t>
            </w:r>
            <w:r w:rsidR="002315CD" w:rsidRPr="00FF63D1">
              <w:rPr>
                <w:rFonts w:cs="Times New Roman"/>
                <w:noProof/>
                <w:color w:val="000000" w:themeColor="text1"/>
                <w:sz w:val="22"/>
              </w:rPr>
              <w:lastRenderedPageBreak/>
              <w:t>1</w:t>
            </w:r>
            <w:r w:rsidR="00B114A4">
              <w:rPr>
                <w:rFonts w:cs="Times New Roman"/>
                <w:noProof/>
                <w:color w:val="000000" w:themeColor="text1"/>
                <w:sz w:val="22"/>
              </w:rPr>
              <w:t xml:space="preserve"> </w:t>
            </w:r>
            <w:r w:rsidR="002315CD" w:rsidRPr="00FF63D1">
              <w:rPr>
                <w:rFonts w:cs="Times New Roman"/>
                <w:noProof/>
                <w:color w:val="000000" w:themeColor="text1"/>
                <w:sz w:val="22"/>
              </w:rPr>
              <w:t xml:space="preserve">500/kW (PEM). </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A19ED2"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lastRenderedPageBreak/>
              <w:t xml:space="preserve">Expected continued decline due to mass manufacturing. </w:t>
            </w:r>
          </w:p>
        </w:tc>
        <w:tc>
          <w:tcPr>
            <w:tcW w:w="1672" w:type="dxa"/>
          </w:tcPr>
          <w:p w14:paraId="4256A58C" w14:textId="52A47161"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Expected convergence around </w:t>
            </w:r>
            <w:r w:rsidR="0062431D">
              <w:rPr>
                <w:rFonts w:cs="Times New Roman"/>
                <w:noProof/>
                <w:color w:val="000000"/>
                <w:sz w:val="22"/>
              </w:rPr>
              <w:t xml:space="preserve">EUR </w:t>
            </w:r>
            <w:r w:rsidRPr="00FF63D1">
              <w:rPr>
                <w:rFonts w:cs="Times New Roman"/>
                <w:noProof/>
                <w:color w:val="000000"/>
                <w:sz w:val="22"/>
              </w:rPr>
              <w:t>500/kW(ALK/PEM) to </w:t>
            </w:r>
            <w:r w:rsidR="0062431D">
              <w:rPr>
                <w:rFonts w:cs="Times New Roman"/>
                <w:noProof/>
                <w:color w:val="000000"/>
                <w:sz w:val="22"/>
              </w:rPr>
              <w:t xml:space="preserve">EUR </w:t>
            </w:r>
            <w:r w:rsidRPr="00FF63D1">
              <w:rPr>
                <w:rFonts w:cs="Times New Roman"/>
                <w:noProof/>
                <w:color w:val="000000"/>
                <w:sz w:val="22"/>
              </w:rPr>
              <w:t>600/kW(SOE).</w:t>
            </w:r>
          </w:p>
        </w:tc>
      </w:tr>
      <w:tr w:rsidR="002315CD" w:rsidRPr="00830047" w14:paraId="1E793BF2" w14:textId="77777777" w:rsidTr="3F0F1197">
        <w:trPr>
          <w:trHeight w:val="1850"/>
        </w:trPr>
        <w:tc>
          <w:tcPr>
            <w:tcW w:w="1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43E6E7" w14:textId="3F188054" w:rsidR="002315CD" w:rsidRPr="00FF63D1" w:rsidRDefault="6EB1567D">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Partial Electrified Steam Cracking (High Value Chemicals, PCE/Mton</w:t>
            </w:r>
            <w:r w:rsidR="0CDB3C32" w:rsidRPr="3F0F1197">
              <w:rPr>
                <w:rFonts w:cs="Times New Roman"/>
                <w:b/>
                <w:bCs/>
                <w:noProof/>
                <w:color w:val="000000" w:themeColor="text1"/>
                <w:sz w:val="22"/>
              </w:rPr>
              <w:t>nes</w:t>
            </w:r>
            <w:r w:rsidRPr="3F0F1197">
              <w:rPr>
                <w:rFonts w:cs="Times New Roman"/>
                <w:b/>
                <w:bCs/>
                <w:noProof/>
                <w:color w:val="000000" w:themeColor="text1"/>
                <w:sz w:val="22"/>
              </w:rPr>
              <w:t xml:space="preserve"> capacity)</w:t>
            </w:r>
            <w:r w:rsidR="002315CD" w:rsidRPr="3F0F1197">
              <w:rPr>
                <w:rStyle w:val="FootnoteReference"/>
                <w:rFonts w:cs="Times New Roman"/>
                <w:noProof/>
                <w:color w:val="000000"/>
                <w:sz w:val="22"/>
              </w:rPr>
              <w:footnoteReference w:id="405"/>
            </w:r>
          </w:p>
        </w:tc>
        <w:tc>
          <w:tcPr>
            <w:tcW w:w="20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FDE9F5" w14:textId="42962FBC"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themeColor="text1"/>
                <w:sz w:val="22"/>
                <w:lang w:val="fr-BE"/>
              </w:rPr>
              <w:t xml:space="preserve">EUR </w:t>
            </w:r>
            <w:r w:rsidR="000C625A">
              <w:rPr>
                <w:rFonts w:cs="Times New Roman"/>
                <w:noProof/>
                <w:color w:val="000000" w:themeColor="text1"/>
                <w:sz w:val="22"/>
                <w:lang w:val="fr-BE"/>
              </w:rPr>
              <w:t>265</w:t>
            </w:r>
            <w:r w:rsidR="002315CD" w:rsidRPr="0036649F">
              <w:rPr>
                <w:rFonts w:cs="Times New Roman"/>
                <w:noProof/>
                <w:color w:val="000000" w:themeColor="text1"/>
                <w:sz w:val="22"/>
                <w:lang w:val="fr-BE"/>
              </w:rPr>
              <w:t>/Mton</w:t>
            </w:r>
            <w:r w:rsidR="002D7E3D" w:rsidRPr="009009B4">
              <w:rPr>
                <w:rFonts w:cs="Times New Roman"/>
                <w:noProof/>
                <w:color w:val="000000" w:themeColor="text1"/>
                <w:sz w:val="22"/>
                <w:lang w:val="fr-BE"/>
              </w:rPr>
              <w:t>nes</w:t>
            </w:r>
            <w:r w:rsidR="002315CD" w:rsidRPr="0036649F">
              <w:rPr>
                <w:rFonts w:cs="Times New Roman"/>
                <w:noProof/>
                <w:color w:val="000000" w:themeColor="text1"/>
                <w:sz w:val="22"/>
                <w:lang w:val="fr-BE"/>
              </w:rPr>
              <w:t xml:space="preserve"> (PCE, Million 2019</w:t>
            </w:r>
            <w:r w:rsidRPr="0036649F">
              <w:rPr>
                <w:rFonts w:cs="Times New Roman"/>
                <w:noProof/>
                <w:color w:val="000000" w:themeColor="text1"/>
                <w:sz w:val="22"/>
                <w:lang w:val="fr-BE"/>
              </w:rPr>
              <w:t xml:space="preserve"> prices</w:t>
            </w:r>
            <w:r w:rsidR="002315CD" w:rsidRPr="0036649F">
              <w:rPr>
                <w:rFonts w:cs="Times New Roman"/>
                <w:noProof/>
                <w:color w:val="000000" w:themeColor="text1"/>
                <w:sz w:val="22"/>
                <w:lang w:val="fr-BE"/>
              </w:rPr>
              <w:t>).</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054520" w14:textId="6EDCF2F6"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9A04E5">
              <w:rPr>
                <w:rFonts w:cs="Times New Roman"/>
                <w:noProof/>
                <w:color w:val="000000"/>
                <w:sz w:val="22"/>
                <w:lang w:val="fr-BE"/>
              </w:rPr>
              <w:t>265</w:t>
            </w:r>
            <w:r w:rsidR="002315CD" w:rsidRPr="0036649F">
              <w:rPr>
                <w:rFonts w:cs="Times New Roman"/>
                <w:noProof/>
                <w:color w:val="000000"/>
                <w:sz w:val="22"/>
                <w:lang w:val="fr-BE"/>
              </w:rPr>
              <w:t>/Mton</w:t>
            </w:r>
            <w:r w:rsidR="002D7E3D"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noProof/>
                <w:lang w:val="fr-BE"/>
              </w:rPr>
              <w:t xml:space="preserve"> </w:t>
            </w:r>
            <w:r w:rsidRPr="0036649F">
              <w:rPr>
                <w:rFonts w:cs="Times New Roman"/>
                <w:noProof/>
                <w:color w:val="000000"/>
                <w:sz w:val="22"/>
                <w:lang w:val="fr-BE"/>
              </w:rPr>
              <w:t>prices</w:t>
            </w:r>
            <w:r w:rsidR="002315CD" w:rsidRPr="0036649F">
              <w:rPr>
                <w:rFonts w:cs="Times New Roman"/>
                <w:noProof/>
                <w:color w:val="000000"/>
                <w:sz w:val="22"/>
                <w:lang w:val="fr-BE"/>
              </w:rPr>
              <w:t>).</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39D6D5" w14:textId="67E1E860"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752103">
              <w:rPr>
                <w:rFonts w:cs="Times New Roman"/>
                <w:noProof/>
                <w:color w:val="000000"/>
                <w:sz w:val="22"/>
                <w:lang w:val="fr-BE"/>
              </w:rPr>
              <w:t>265</w:t>
            </w:r>
            <w:r w:rsidR="00752103" w:rsidRPr="0036649F">
              <w:rPr>
                <w:rFonts w:cs="Times New Roman"/>
                <w:noProof/>
                <w:color w:val="000000"/>
                <w:sz w:val="22"/>
                <w:lang w:val="fr-BE"/>
              </w:rPr>
              <w:t>/</w:t>
            </w:r>
            <w:r w:rsidR="002315CD" w:rsidRPr="0036649F">
              <w:rPr>
                <w:rFonts w:cs="Times New Roman"/>
                <w:noProof/>
                <w:color w:val="000000"/>
                <w:sz w:val="22"/>
                <w:lang w:val="fr-BE"/>
              </w:rPr>
              <w:t>/Mton</w:t>
            </w:r>
            <w:r w:rsidR="002D7E3D"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noProof/>
                <w:lang w:val="fr-BE"/>
              </w:rPr>
              <w:t xml:space="preserve"> </w:t>
            </w:r>
            <w:r w:rsidRPr="0036649F">
              <w:rPr>
                <w:rFonts w:cs="Times New Roman"/>
                <w:noProof/>
                <w:color w:val="000000"/>
                <w:sz w:val="22"/>
                <w:lang w:val="fr-BE"/>
              </w:rPr>
              <w:t>prices</w:t>
            </w:r>
            <w:r w:rsidR="002315CD" w:rsidRPr="0036649F">
              <w:rPr>
                <w:rFonts w:cs="Times New Roman"/>
                <w:noProof/>
                <w:color w:val="000000"/>
                <w:sz w:val="22"/>
                <w:lang w:val="fr-BE"/>
              </w:rPr>
              <w:t>).</w:t>
            </w:r>
          </w:p>
        </w:tc>
        <w:tc>
          <w:tcPr>
            <w:tcW w:w="1672" w:type="dxa"/>
          </w:tcPr>
          <w:p w14:paraId="54F38D1C" w14:textId="6D4DC689"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BD01F1">
              <w:rPr>
                <w:rFonts w:cs="Times New Roman"/>
                <w:noProof/>
                <w:color w:val="000000"/>
                <w:sz w:val="22"/>
                <w:lang w:val="fr-BE"/>
              </w:rPr>
              <w:t>265</w:t>
            </w:r>
            <w:r w:rsidR="002315CD" w:rsidRPr="0036649F">
              <w:rPr>
                <w:rFonts w:cs="Times New Roman"/>
                <w:noProof/>
                <w:color w:val="000000"/>
                <w:sz w:val="22"/>
                <w:lang w:val="fr-BE"/>
              </w:rPr>
              <w:t>/Mton</w:t>
            </w:r>
            <w:r w:rsidR="002D7E3D" w:rsidRPr="009009B4">
              <w:rPr>
                <w:rFonts w:cs="Times New Roman"/>
                <w:noProof/>
                <w:color w:val="000000"/>
                <w:sz w:val="22"/>
                <w:lang w:val="fr-BE"/>
              </w:rPr>
              <w:t xml:space="preserve">nes </w:t>
            </w:r>
            <w:r w:rsidR="002315CD" w:rsidRPr="0036649F">
              <w:rPr>
                <w:rFonts w:cs="Times New Roman"/>
                <w:noProof/>
                <w:color w:val="000000"/>
                <w:sz w:val="22"/>
                <w:lang w:val="fr-BE"/>
              </w:rPr>
              <w:t>(PCE, Million 2019</w:t>
            </w:r>
            <w:r w:rsidRPr="0036649F">
              <w:rPr>
                <w:noProof/>
                <w:lang w:val="fr-BE"/>
              </w:rPr>
              <w:t xml:space="preserve"> </w:t>
            </w:r>
            <w:r w:rsidRPr="0036649F">
              <w:rPr>
                <w:rFonts w:cs="Times New Roman"/>
                <w:noProof/>
                <w:color w:val="000000"/>
                <w:sz w:val="22"/>
                <w:lang w:val="fr-BE"/>
              </w:rPr>
              <w:t>prices</w:t>
            </w:r>
            <w:r w:rsidR="002315CD" w:rsidRPr="0036649F">
              <w:rPr>
                <w:rFonts w:cs="Times New Roman"/>
                <w:noProof/>
                <w:color w:val="000000"/>
                <w:sz w:val="22"/>
                <w:lang w:val="fr-BE"/>
              </w:rPr>
              <w:t>).</w:t>
            </w:r>
          </w:p>
        </w:tc>
      </w:tr>
      <w:tr w:rsidR="002315CD" w:rsidRPr="00830047" w14:paraId="3F7D62D9" w14:textId="77777777" w:rsidTr="3F0F1197">
        <w:trPr>
          <w:trHeight w:val="1557"/>
        </w:trPr>
        <w:tc>
          <w:tcPr>
            <w:tcW w:w="1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FD8569" w14:textId="016AD821" w:rsidR="002315CD" w:rsidRPr="00FF63D1" w:rsidRDefault="6EB1567D">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Fully Electrified Steam Cracking (High Value Chemicals, PCE/Mton</w:t>
            </w:r>
            <w:r w:rsidR="0CDB3C32" w:rsidRPr="3F0F1197">
              <w:rPr>
                <w:rFonts w:cs="Times New Roman"/>
                <w:b/>
                <w:bCs/>
                <w:noProof/>
                <w:color w:val="000000" w:themeColor="text1"/>
                <w:sz w:val="22"/>
              </w:rPr>
              <w:t>nes</w:t>
            </w:r>
            <w:r w:rsidRPr="3F0F1197">
              <w:rPr>
                <w:rFonts w:cs="Times New Roman"/>
                <w:b/>
                <w:bCs/>
                <w:noProof/>
                <w:color w:val="000000" w:themeColor="text1"/>
                <w:sz w:val="22"/>
              </w:rPr>
              <w:t xml:space="preserve"> capacity)</w:t>
            </w:r>
            <w:r w:rsidR="002315CD" w:rsidRPr="3F0F1197">
              <w:rPr>
                <w:rStyle w:val="FootnoteReference"/>
                <w:rFonts w:cs="Times New Roman"/>
                <w:noProof/>
                <w:color w:val="000000"/>
                <w:sz w:val="22"/>
              </w:rPr>
              <w:footnoteReference w:id="406"/>
            </w:r>
          </w:p>
        </w:tc>
        <w:tc>
          <w:tcPr>
            <w:tcW w:w="20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F3E676"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Not yet commercially mature (TRL expected 2035).</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DD0420" w14:textId="6F803052"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 xml:space="preserve">Not widely available or </w:t>
            </w:r>
            <w:r w:rsidR="00877054" w:rsidRPr="00617FDB">
              <w:rPr>
                <w:rFonts w:cs="Times New Roman"/>
                <w:noProof/>
                <w:color w:val="000000"/>
                <w:sz w:val="22"/>
              </w:rPr>
              <w:t>modelled</w:t>
            </w:r>
            <w:r w:rsidRPr="00FF63D1">
              <w:rPr>
                <w:rFonts w:cs="Times New Roman"/>
                <w:noProof/>
                <w:color w:val="000000"/>
                <w:sz w:val="22"/>
              </w:rPr>
              <w:t xml:space="preserve"> at cost/capacity until post-2035.</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3F40F80" w14:textId="0A8F0AF1"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20847">
              <w:rPr>
                <w:rFonts w:cs="Times New Roman"/>
                <w:noProof/>
                <w:color w:val="000000"/>
                <w:sz w:val="22"/>
                <w:lang w:val="fr-BE"/>
              </w:rPr>
              <w:t>522</w:t>
            </w:r>
            <w:r w:rsidR="002315CD" w:rsidRPr="0036649F">
              <w:rPr>
                <w:rFonts w:cs="Times New Roman"/>
                <w:noProof/>
                <w:color w:val="000000"/>
                <w:sz w:val="22"/>
                <w:lang w:val="fr-BE"/>
              </w:rPr>
              <w:t>/Mton</w:t>
            </w:r>
            <w:r w:rsidR="00F531AF"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w:t>
            </w:r>
          </w:p>
        </w:tc>
        <w:tc>
          <w:tcPr>
            <w:tcW w:w="1672" w:type="dxa"/>
          </w:tcPr>
          <w:p w14:paraId="15036D1B" w14:textId="6F5C0921"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34A17" w:rsidRPr="0036649F">
              <w:rPr>
                <w:rFonts w:cs="Times New Roman"/>
                <w:noProof/>
                <w:color w:val="000000"/>
                <w:sz w:val="22"/>
                <w:lang w:val="fr-BE"/>
              </w:rPr>
              <w:t>5</w:t>
            </w:r>
            <w:r w:rsidR="00234A17">
              <w:rPr>
                <w:rFonts w:cs="Times New Roman"/>
                <w:noProof/>
                <w:color w:val="000000"/>
                <w:sz w:val="22"/>
                <w:lang w:val="fr-BE"/>
              </w:rPr>
              <w:t>22</w:t>
            </w:r>
            <w:r w:rsidR="002315CD" w:rsidRPr="0036649F">
              <w:rPr>
                <w:rFonts w:cs="Times New Roman"/>
                <w:noProof/>
                <w:color w:val="000000"/>
                <w:sz w:val="22"/>
                <w:lang w:val="fr-BE"/>
              </w:rPr>
              <w:t>/Mton</w:t>
            </w:r>
            <w:r w:rsidR="00F531AF" w:rsidRPr="009009B4">
              <w:rPr>
                <w:rFonts w:cs="Times New Roman"/>
                <w:noProof/>
                <w:color w:val="000000"/>
                <w:sz w:val="22"/>
                <w:lang w:val="fr-BE"/>
              </w:rPr>
              <w:t xml:space="preserve">nes </w:t>
            </w:r>
            <w:r w:rsidR="002315CD" w:rsidRPr="0036649F">
              <w:rPr>
                <w:rFonts w:cs="Times New Roman"/>
                <w:noProof/>
                <w:color w:val="000000"/>
                <w:sz w:val="22"/>
                <w:lang w:val="fr-BE"/>
              </w:rPr>
              <w:t>(PCE,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w:t>
            </w:r>
          </w:p>
        </w:tc>
      </w:tr>
      <w:tr w:rsidR="002315CD" w:rsidRPr="00830047" w14:paraId="0B26E429" w14:textId="77777777" w:rsidTr="3F0F1197">
        <w:trPr>
          <w:trHeight w:val="1341"/>
        </w:trPr>
        <w:tc>
          <w:tcPr>
            <w:tcW w:w="1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4607F5" w14:textId="5C40918B" w:rsidR="002315CD" w:rsidRPr="00FF63D1" w:rsidRDefault="6EB1567D">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CO₂ Hydrogenation to Methanol (CCU route, PCE/Mton</w:t>
            </w:r>
            <w:r w:rsidR="0CDB3C32" w:rsidRPr="3F0F1197">
              <w:rPr>
                <w:rFonts w:cs="Times New Roman"/>
                <w:b/>
                <w:bCs/>
                <w:noProof/>
                <w:color w:val="000000" w:themeColor="text1"/>
                <w:sz w:val="22"/>
              </w:rPr>
              <w:t>nes</w:t>
            </w:r>
            <w:r w:rsidRPr="3F0F1197">
              <w:rPr>
                <w:rFonts w:cs="Times New Roman"/>
                <w:b/>
                <w:bCs/>
                <w:noProof/>
                <w:color w:val="000000" w:themeColor="text1"/>
                <w:sz w:val="22"/>
              </w:rPr>
              <w:t xml:space="preserve"> capacity)</w:t>
            </w:r>
            <w:r w:rsidR="002315CD" w:rsidRPr="3F0F1197">
              <w:rPr>
                <w:rStyle w:val="FootnoteReference"/>
                <w:rFonts w:cs="Times New Roman"/>
                <w:noProof/>
                <w:color w:val="000000"/>
                <w:sz w:val="22"/>
              </w:rPr>
              <w:footnoteReference w:id="407"/>
            </w:r>
          </w:p>
        </w:tc>
        <w:tc>
          <w:tcPr>
            <w:tcW w:w="20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AC15C6" w14:textId="79DF19CF"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611126">
              <w:rPr>
                <w:rFonts w:cs="Times New Roman"/>
                <w:noProof/>
                <w:color w:val="000000"/>
                <w:sz w:val="22"/>
                <w:lang w:val="fr-BE"/>
              </w:rPr>
              <w:t>289</w:t>
            </w:r>
            <w:r w:rsidR="002315CD" w:rsidRPr="0036649F">
              <w:rPr>
                <w:rFonts w:cs="Times New Roman"/>
                <w:noProof/>
                <w:color w:val="000000"/>
                <w:sz w:val="22"/>
                <w:lang w:val="fr-BE"/>
              </w:rPr>
              <w:t>/Mton</w:t>
            </w:r>
            <w:r w:rsidR="002D7E3D"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1CC299F" w14:textId="7876CDFC"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6A78B0">
              <w:rPr>
                <w:rFonts w:cs="Times New Roman"/>
                <w:noProof/>
                <w:color w:val="000000"/>
                <w:sz w:val="22"/>
                <w:lang w:val="fr-BE"/>
              </w:rPr>
              <w:t>287</w:t>
            </w:r>
            <w:r w:rsidR="006A78B0" w:rsidRPr="0036649F">
              <w:rPr>
                <w:rFonts w:cs="Times New Roman"/>
                <w:noProof/>
                <w:color w:val="000000"/>
                <w:sz w:val="22"/>
                <w:lang w:val="fr-BE"/>
              </w:rPr>
              <w:t>/</w:t>
            </w:r>
            <w:r w:rsidR="002315CD" w:rsidRPr="0036649F">
              <w:rPr>
                <w:rFonts w:cs="Times New Roman"/>
                <w:noProof/>
                <w:color w:val="000000"/>
                <w:sz w:val="22"/>
                <w:lang w:val="fr-BE"/>
              </w:rPr>
              <w:t>/Mton</w:t>
            </w:r>
            <w:r w:rsidR="00F531AF"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656054" w14:textId="51F7E6C8"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383C34">
              <w:rPr>
                <w:rFonts w:cs="Times New Roman"/>
                <w:noProof/>
                <w:color w:val="000000"/>
                <w:sz w:val="22"/>
                <w:lang w:val="fr-BE"/>
              </w:rPr>
              <w:t>282</w:t>
            </w:r>
            <w:r w:rsidR="002315CD" w:rsidRPr="0036649F">
              <w:rPr>
                <w:rFonts w:cs="Times New Roman"/>
                <w:noProof/>
                <w:color w:val="000000"/>
                <w:sz w:val="22"/>
                <w:lang w:val="fr-BE"/>
              </w:rPr>
              <w:t>/Mton</w:t>
            </w:r>
            <w:r w:rsidR="00F531AF"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w:t>
            </w:r>
          </w:p>
        </w:tc>
        <w:tc>
          <w:tcPr>
            <w:tcW w:w="1672" w:type="dxa"/>
          </w:tcPr>
          <w:p w14:paraId="1C2D2666" w14:textId="53145BC4"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A6AB3">
              <w:rPr>
                <w:rFonts w:cs="Times New Roman"/>
                <w:noProof/>
                <w:color w:val="000000"/>
                <w:sz w:val="22"/>
                <w:lang w:val="fr-BE"/>
              </w:rPr>
              <w:t>277</w:t>
            </w:r>
            <w:r w:rsidR="002315CD" w:rsidRPr="0036649F">
              <w:rPr>
                <w:rFonts w:cs="Times New Roman"/>
                <w:noProof/>
                <w:color w:val="000000"/>
                <w:sz w:val="22"/>
                <w:lang w:val="fr-BE"/>
              </w:rPr>
              <w:t>/Mton</w:t>
            </w:r>
            <w:r w:rsidR="00F531AF" w:rsidRPr="009009B4">
              <w:rPr>
                <w:rFonts w:cs="Times New Roman"/>
                <w:noProof/>
                <w:color w:val="000000"/>
                <w:sz w:val="22"/>
                <w:lang w:val="fr-BE"/>
              </w:rPr>
              <w:t xml:space="preserve">nes </w:t>
            </w:r>
            <w:r w:rsidR="002315CD" w:rsidRPr="0036649F">
              <w:rPr>
                <w:rFonts w:cs="Times New Roman"/>
                <w:noProof/>
                <w:color w:val="000000"/>
                <w:sz w:val="22"/>
                <w:lang w:val="fr-BE"/>
              </w:rPr>
              <w:t>(PCE,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w:t>
            </w:r>
          </w:p>
        </w:tc>
      </w:tr>
      <w:tr w:rsidR="002315CD" w:rsidRPr="00830047" w14:paraId="50D8548E" w14:textId="77777777" w:rsidTr="3F0F1197">
        <w:trPr>
          <w:trHeight w:val="1580"/>
        </w:trPr>
        <w:tc>
          <w:tcPr>
            <w:tcW w:w="1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0BA8D9" w14:textId="71CA23B2" w:rsidR="002315CD" w:rsidRPr="00FF63D1" w:rsidRDefault="6EB1567D">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Chemical Recycling (Plastic Waste Pyrolysis, PCE/Mton</w:t>
            </w:r>
            <w:r w:rsidR="0CDB3C32" w:rsidRPr="3F0F1197">
              <w:rPr>
                <w:rFonts w:cs="Times New Roman"/>
                <w:b/>
                <w:bCs/>
                <w:noProof/>
                <w:color w:val="000000" w:themeColor="text1"/>
                <w:sz w:val="22"/>
              </w:rPr>
              <w:t>nes</w:t>
            </w:r>
            <w:r w:rsidRPr="3F0F1197">
              <w:rPr>
                <w:rFonts w:cs="Times New Roman"/>
                <w:b/>
                <w:bCs/>
                <w:noProof/>
                <w:color w:val="000000" w:themeColor="text1"/>
                <w:sz w:val="22"/>
              </w:rPr>
              <w:t xml:space="preserve"> capacity)</w:t>
            </w:r>
            <w:r w:rsidR="002315CD" w:rsidRPr="3F0F1197">
              <w:rPr>
                <w:rStyle w:val="FootnoteReference"/>
                <w:rFonts w:cs="Times New Roman"/>
                <w:noProof/>
                <w:color w:val="000000"/>
                <w:sz w:val="22"/>
              </w:rPr>
              <w:footnoteReference w:id="408"/>
            </w:r>
          </w:p>
        </w:tc>
        <w:tc>
          <w:tcPr>
            <w:tcW w:w="20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597043" w14:textId="6B56D1C8"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315CD" w:rsidRPr="0036649F">
              <w:rPr>
                <w:rFonts w:cs="Times New Roman"/>
                <w:noProof/>
                <w:color w:val="000000"/>
                <w:sz w:val="22"/>
                <w:lang w:val="fr-BE"/>
              </w:rPr>
              <w:t>1</w:t>
            </w:r>
            <w:r w:rsidR="00B114A4" w:rsidRPr="0036649F">
              <w:rPr>
                <w:rFonts w:cs="Times New Roman"/>
                <w:noProof/>
                <w:color w:val="000000"/>
                <w:sz w:val="22"/>
                <w:lang w:val="fr-BE"/>
              </w:rPr>
              <w:t xml:space="preserve"> </w:t>
            </w:r>
            <w:r w:rsidR="002315CD" w:rsidRPr="0036649F">
              <w:rPr>
                <w:rFonts w:cs="Times New Roman"/>
                <w:noProof/>
                <w:color w:val="000000"/>
                <w:sz w:val="22"/>
                <w:lang w:val="fr-BE"/>
              </w:rPr>
              <w:t>453/Mton</w:t>
            </w:r>
            <w:r w:rsidR="002D7E3D"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noProof/>
                <w:lang w:val="fr-BE"/>
              </w:rPr>
              <w:t xml:space="preserve"> </w:t>
            </w:r>
            <w:r w:rsidRPr="0036649F">
              <w:rPr>
                <w:rFonts w:cs="Times New Roman"/>
                <w:noProof/>
                <w:color w:val="000000"/>
                <w:sz w:val="22"/>
                <w:lang w:val="fr-BE"/>
              </w:rPr>
              <w:t>prices</w:t>
            </w:r>
            <w:r w:rsidR="002315CD" w:rsidRPr="0036649F">
              <w:rPr>
                <w:rFonts w:cs="Times New Roman"/>
                <w:noProof/>
                <w:color w:val="000000"/>
                <w:sz w:val="22"/>
                <w:lang w:val="fr-BE"/>
              </w:rPr>
              <w:t>).</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3495AE" w14:textId="74411BF4"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315CD" w:rsidRPr="0036649F">
              <w:rPr>
                <w:rFonts w:cs="Times New Roman"/>
                <w:noProof/>
                <w:color w:val="000000"/>
                <w:sz w:val="22"/>
                <w:lang w:val="fr-BE"/>
              </w:rPr>
              <w:t>1</w:t>
            </w:r>
            <w:r w:rsidR="00D7393A" w:rsidRPr="0036649F">
              <w:rPr>
                <w:rFonts w:cs="Times New Roman"/>
                <w:noProof/>
                <w:color w:val="000000"/>
                <w:sz w:val="22"/>
                <w:lang w:val="fr-BE"/>
              </w:rPr>
              <w:t xml:space="preserve"> </w:t>
            </w:r>
            <w:r w:rsidR="002315CD" w:rsidRPr="0036649F">
              <w:rPr>
                <w:rFonts w:cs="Times New Roman"/>
                <w:noProof/>
                <w:color w:val="000000"/>
                <w:sz w:val="22"/>
                <w:lang w:val="fr-BE"/>
              </w:rPr>
              <w:t>180/Mton</w:t>
            </w:r>
            <w:r w:rsidR="00F531AF"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noProof/>
                <w:lang w:val="fr-BE"/>
              </w:rPr>
              <w:t xml:space="preserve"> </w:t>
            </w:r>
            <w:r w:rsidRPr="0036649F">
              <w:rPr>
                <w:rFonts w:cs="Times New Roman"/>
                <w:noProof/>
                <w:color w:val="000000"/>
                <w:sz w:val="22"/>
                <w:lang w:val="fr-BE"/>
              </w:rPr>
              <w:t>prices</w:t>
            </w:r>
            <w:r w:rsidR="002315CD" w:rsidRPr="0036649F">
              <w:rPr>
                <w:rFonts w:cs="Times New Roman"/>
                <w:noProof/>
                <w:color w:val="000000"/>
                <w:sz w:val="22"/>
                <w:lang w:val="fr-BE"/>
              </w:rPr>
              <w:t>).</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5EF7CD" w14:textId="5B54AFDB"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315CD" w:rsidRPr="0036649F">
              <w:rPr>
                <w:rFonts w:cs="Times New Roman"/>
                <w:noProof/>
                <w:color w:val="000000"/>
                <w:sz w:val="22"/>
                <w:lang w:val="fr-BE"/>
              </w:rPr>
              <w:t>958/Mton</w:t>
            </w:r>
            <w:r w:rsidR="00F531AF" w:rsidRPr="009009B4">
              <w:rPr>
                <w:rFonts w:cs="Times New Roman"/>
                <w:noProof/>
                <w:color w:val="000000"/>
                <w:sz w:val="22"/>
                <w:lang w:val="fr-BE"/>
              </w:rPr>
              <w:t>nes</w:t>
            </w:r>
            <w:r w:rsidR="002315CD" w:rsidRPr="0036649F">
              <w:rPr>
                <w:rFonts w:cs="Times New Roman"/>
                <w:noProof/>
                <w:color w:val="000000"/>
                <w:sz w:val="22"/>
                <w:lang w:val="fr-BE"/>
              </w:rPr>
              <w:t xml:space="preserve"> (PCE, Million 2019</w:t>
            </w:r>
            <w:r w:rsidRPr="0036649F">
              <w:rPr>
                <w:noProof/>
                <w:lang w:val="fr-BE"/>
              </w:rPr>
              <w:t xml:space="preserve"> </w:t>
            </w:r>
            <w:r w:rsidRPr="0036649F">
              <w:rPr>
                <w:rFonts w:cs="Times New Roman"/>
                <w:noProof/>
                <w:color w:val="000000"/>
                <w:sz w:val="22"/>
                <w:lang w:val="fr-BE"/>
              </w:rPr>
              <w:t>prices</w:t>
            </w:r>
            <w:r w:rsidR="002315CD" w:rsidRPr="0036649F">
              <w:rPr>
                <w:rFonts w:cs="Times New Roman"/>
                <w:noProof/>
                <w:color w:val="000000"/>
                <w:sz w:val="22"/>
                <w:lang w:val="fr-BE"/>
              </w:rPr>
              <w:t>).</w:t>
            </w:r>
          </w:p>
        </w:tc>
        <w:tc>
          <w:tcPr>
            <w:tcW w:w="1672" w:type="dxa"/>
          </w:tcPr>
          <w:p w14:paraId="045520CF" w14:textId="7FAECCDB"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315CD" w:rsidRPr="0036649F">
              <w:rPr>
                <w:rFonts w:cs="Times New Roman"/>
                <w:noProof/>
                <w:color w:val="000000"/>
                <w:sz w:val="22"/>
                <w:lang w:val="fr-BE"/>
              </w:rPr>
              <w:t>958/Mton</w:t>
            </w:r>
            <w:r w:rsidR="00F531AF" w:rsidRPr="009009B4">
              <w:rPr>
                <w:rFonts w:cs="Times New Roman"/>
                <w:noProof/>
                <w:color w:val="000000"/>
                <w:sz w:val="22"/>
                <w:lang w:val="fr-BE"/>
              </w:rPr>
              <w:t xml:space="preserve">nes </w:t>
            </w:r>
            <w:r w:rsidR="002315CD" w:rsidRPr="0036649F">
              <w:rPr>
                <w:rFonts w:cs="Times New Roman"/>
                <w:noProof/>
                <w:color w:val="000000"/>
                <w:sz w:val="22"/>
                <w:lang w:val="fr-BE"/>
              </w:rPr>
              <w:t>(PCE, Million 2019</w:t>
            </w:r>
            <w:r w:rsidRPr="0036649F">
              <w:rPr>
                <w:noProof/>
                <w:lang w:val="fr-BE"/>
              </w:rPr>
              <w:t xml:space="preserve"> </w:t>
            </w:r>
            <w:r w:rsidRPr="0036649F">
              <w:rPr>
                <w:rFonts w:cs="Times New Roman"/>
                <w:noProof/>
                <w:color w:val="000000"/>
                <w:sz w:val="22"/>
                <w:lang w:val="fr-BE"/>
              </w:rPr>
              <w:t>prices</w:t>
            </w:r>
            <w:r w:rsidR="002315CD" w:rsidRPr="0036649F">
              <w:rPr>
                <w:rFonts w:cs="Times New Roman"/>
                <w:noProof/>
                <w:color w:val="000000"/>
                <w:sz w:val="22"/>
                <w:lang w:val="fr-BE"/>
              </w:rPr>
              <w:t>).</w:t>
            </w:r>
          </w:p>
        </w:tc>
      </w:tr>
      <w:tr w:rsidR="002315CD" w:rsidRPr="00FF63D1" w14:paraId="556BF8A5" w14:textId="77777777" w:rsidTr="3F0F1197">
        <w:trPr>
          <w:trHeight w:val="1595"/>
        </w:trPr>
        <w:tc>
          <w:tcPr>
            <w:tcW w:w="1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309DA3" w14:textId="5E8C8A70" w:rsidR="002315CD" w:rsidRPr="0036649F" w:rsidRDefault="6EB1567D">
            <w:pPr>
              <w:widowControl w:val="0"/>
              <w:pBdr>
                <w:top w:val="nil"/>
                <w:left w:val="nil"/>
                <w:bottom w:val="nil"/>
                <w:right w:val="nil"/>
                <w:between w:val="nil"/>
              </w:pBdr>
              <w:jc w:val="center"/>
              <w:rPr>
                <w:rFonts w:cs="Times New Roman"/>
                <w:b/>
                <w:noProof/>
                <w:color w:val="000000"/>
                <w:sz w:val="22"/>
                <w:vertAlign w:val="superscript"/>
                <w:lang w:val="fr-BE"/>
              </w:rPr>
            </w:pPr>
            <w:r w:rsidRPr="3F0F1197">
              <w:rPr>
                <w:rFonts w:cs="Times New Roman"/>
                <w:b/>
                <w:bCs/>
                <w:noProof/>
                <w:color w:val="000000" w:themeColor="text1"/>
                <w:sz w:val="22"/>
                <w:lang w:val="fr-BE"/>
              </w:rPr>
              <w:t>Carbon Capture (Amine Capture) (PCE/Mton</w:t>
            </w:r>
            <w:r w:rsidR="0CDB3C32" w:rsidRPr="009009B4">
              <w:rPr>
                <w:rFonts w:cs="Times New Roman"/>
                <w:b/>
                <w:bCs/>
                <w:noProof/>
                <w:color w:val="000000" w:themeColor="text1"/>
                <w:sz w:val="22"/>
                <w:lang w:val="fr-BE"/>
              </w:rPr>
              <w:t>nes</w:t>
            </w:r>
            <w:r w:rsidRPr="3F0F1197">
              <w:rPr>
                <w:rFonts w:cs="Times New Roman"/>
                <w:b/>
                <w:bCs/>
                <w:noProof/>
                <w:color w:val="000000" w:themeColor="text1"/>
                <w:sz w:val="22"/>
                <w:lang w:val="fr-BE"/>
              </w:rPr>
              <w:t xml:space="preserve"> CO₂ capacity)</w:t>
            </w:r>
            <w:r w:rsidRPr="3F0F1197">
              <w:rPr>
                <w:rStyle w:val="FootnoteReference"/>
                <w:rFonts w:cs="Times New Roman"/>
                <w:noProof/>
                <w:color w:val="000000" w:themeColor="text1"/>
                <w:sz w:val="22"/>
                <w:lang w:val="fr-BE"/>
              </w:rPr>
              <w:t xml:space="preserve"> </w:t>
            </w:r>
            <w:r w:rsidR="002315CD" w:rsidRPr="3F0F1197">
              <w:rPr>
                <w:rStyle w:val="FootnoteReference"/>
                <w:noProof/>
                <w:color w:val="000000"/>
                <w:sz w:val="22"/>
              </w:rPr>
              <w:footnoteReference w:id="409"/>
            </w:r>
            <w:r w:rsidRPr="3F0F1197">
              <w:rPr>
                <w:rStyle w:val="FootnoteReference"/>
                <w:rFonts w:cs="Times New Roman"/>
                <w:noProof/>
                <w:color w:val="000000" w:themeColor="text1"/>
                <w:sz w:val="22"/>
                <w:lang w:val="fr-BE"/>
              </w:rPr>
              <w:t xml:space="preserve">, </w:t>
            </w:r>
            <w:r w:rsidR="002315CD" w:rsidRPr="3F0F1197">
              <w:rPr>
                <w:rStyle w:val="FootnoteReference"/>
                <w:noProof/>
                <w:color w:val="000000"/>
                <w:sz w:val="22"/>
              </w:rPr>
              <w:footnoteReference w:id="410"/>
            </w:r>
          </w:p>
        </w:tc>
        <w:tc>
          <w:tcPr>
            <w:tcW w:w="20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1C25B8" w14:textId="1FA9F9FF" w:rsidR="002315CD" w:rsidRPr="0036649F" w:rsidRDefault="0062431D">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315CD" w:rsidRPr="0036649F">
              <w:rPr>
                <w:rFonts w:cs="Times New Roman"/>
                <w:noProof/>
                <w:color w:val="000000"/>
                <w:sz w:val="22"/>
                <w:lang w:val="fr-BE"/>
              </w:rPr>
              <w:t>292/Mton</w:t>
            </w:r>
            <w:r w:rsidR="002D7E3D" w:rsidRPr="009009B4">
              <w:rPr>
                <w:rFonts w:cs="Times New Roman"/>
                <w:noProof/>
                <w:color w:val="000000"/>
                <w:sz w:val="22"/>
                <w:lang w:val="fr-BE"/>
              </w:rPr>
              <w:t>nes</w:t>
            </w:r>
            <w:r w:rsidR="002315CD" w:rsidRPr="0036649F">
              <w:rPr>
                <w:rFonts w:cs="Times New Roman"/>
                <w:noProof/>
                <w:color w:val="000000"/>
                <w:sz w:val="22"/>
                <w:lang w:val="fr-BE"/>
              </w:rPr>
              <w:t xml:space="preserve"> CO₂ (PCE,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DFE3D3" w14:textId="15F54355" w:rsidR="002315CD" w:rsidRPr="00FF63D1" w:rsidRDefault="00CA248E">
            <w:pPr>
              <w:widowControl w:val="0"/>
              <w:pBdr>
                <w:top w:val="nil"/>
                <w:left w:val="nil"/>
                <w:bottom w:val="nil"/>
                <w:right w:val="nil"/>
                <w:between w:val="nil"/>
              </w:pBdr>
              <w:jc w:val="center"/>
              <w:rPr>
                <w:rFonts w:cs="Times New Roman"/>
                <w:noProof/>
                <w:color w:val="000000"/>
                <w:sz w:val="22"/>
              </w:rPr>
            </w:pPr>
            <w:r w:rsidRPr="0036649F">
              <w:rPr>
                <w:rFonts w:cs="Times New Roman"/>
                <w:noProof/>
                <w:color w:val="000000" w:themeColor="text1"/>
                <w:sz w:val="22"/>
                <w:lang w:val="fr-BE"/>
              </w:rPr>
              <w:t xml:space="preserve">EUR </w:t>
            </w:r>
            <w:r w:rsidR="002315CD" w:rsidRPr="0036649F">
              <w:rPr>
                <w:rFonts w:cs="Times New Roman"/>
                <w:noProof/>
                <w:color w:val="000000" w:themeColor="text1"/>
                <w:sz w:val="22"/>
                <w:lang w:val="fr-BE"/>
              </w:rPr>
              <w:t>287/Mton</w:t>
            </w:r>
            <w:r w:rsidR="00F531AF" w:rsidRPr="009009B4">
              <w:rPr>
                <w:rFonts w:cs="Times New Roman"/>
                <w:noProof/>
                <w:color w:val="000000" w:themeColor="text1"/>
                <w:sz w:val="22"/>
                <w:lang w:val="fr-BE"/>
              </w:rPr>
              <w:t>nes</w:t>
            </w:r>
            <w:r w:rsidR="002315CD" w:rsidRPr="0036649F">
              <w:rPr>
                <w:rFonts w:cs="Times New Roman"/>
                <w:noProof/>
                <w:color w:val="000000" w:themeColor="text1"/>
                <w:sz w:val="22"/>
                <w:lang w:val="fr-BE"/>
              </w:rPr>
              <w:t xml:space="preserve"> CO₂ (PCE, Million 2019</w:t>
            </w:r>
            <w:r w:rsidR="0062431D" w:rsidRPr="0036649F">
              <w:rPr>
                <w:rFonts w:cs="Times New Roman"/>
                <w:noProof/>
                <w:color w:val="000000" w:themeColor="text1"/>
                <w:sz w:val="22"/>
                <w:lang w:val="fr-BE"/>
              </w:rPr>
              <w:t xml:space="preserve"> prices</w:t>
            </w:r>
            <w:r w:rsidR="002315CD" w:rsidRPr="0036649F">
              <w:rPr>
                <w:rFonts w:cs="Times New Roman"/>
                <w:noProof/>
                <w:color w:val="000000" w:themeColor="text1"/>
                <w:sz w:val="22"/>
                <w:lang w:val="fr-BE"/>
              </w:rPr>
              <w:t xml:space="preserve">). </w:t>
            </w:r>
            <w:r w:rsidR="002315CD" w:rsidRPr="00FF63D1">
              <w:rPr>
                <w:rFonts w:cs="Times New Roman"/>
                <w:noProof/>
                <w:color w:val="000000" w:themeColor="text1"/>
                <w:sz w:val="22"/>
              </w:rPr>
              <w:t>(Targeted CAPEX reduction: 20%). Expected further reduction based on innovation targets.</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3409A4" w14:textId="3F8D0CD9" w:rsidR="002315CD" w:rsidRPr="0036649F" w:rsidRDefault="00CA248E">
            <w:pPr>
              <w:widowControl w:val="0"/>
              <w:pBdr>
                <w:top w:val="nil"/>
                <w:left w:val="nil"/>
                <w:bottom w:val="nil"/>
                <w:right w:val="nil"/>
                <w:between w:val="nil"/>
              </w:pBdr>
              <w:jc w:val="center"/>
              <w:rPr>
                <w:rFonts w:cs="Times New Roman"/>
                <w:noProof/>
                <w:color w:val="000000"/>
                <w:sz w:val="22"/>
                <w:lang w:val="fr-BE"/>
              </w:rPr>
            </w:pPr>
            <w:r w:rsidRPr="0036649F">
              <w:rPr>
                <w:rFonts w:cs="Times New Roman"/>
                <w:noProof/>
                <w:color w:val="000000"/>
                <w:sz w:val="22"/>
                <w:lang w:val="fr-BE"/>
              </w:rPr>
              <w:t xml:space="preserve">EUR </w:t>
            </w:r>
            <w:r w:rsidR="002315CD" w:rsidRPr="0036649F">
              <w:rPr>
                <w:rFonts w:cs="Times New Roman"/>
                <w:noProof/>
                <w:color w:val="000000"/>
                <w:sz w:val="22"/>
                <w:lang w:val="fr-BE"/>
              </w:rPr>
              <w:t>278/Mton</w:t>
            </w:r>
            <w:r w:rsidR="00F531AF" w:rsidRPr="009009B4">
              <w:rPr>
                <w:rFonts w:cs="Times New Roman"/>
                <w:noProof/>
                <w:color w:val="000000"/>
                <w:sz w:val="22"/>
                <w:lang w:val="fr-BE"/>
              </w:rPr>
              <w:t>nes</w:t>
            </w:r>
            <w:r w:rsidR="002315CD" w:rsidRPr="0036649F">
              <w:rPr>
                <w:rFonts w:cs="Times New Roman"/>
                <w:noProof/>
                <w:color w:val="000000"/>
                <w:sz w:val="22"/>
                <w:lang w:val="fr-BE"/>
              </w:rPr>
              <w:t xml:space="preserve"> CO₂ (PCE, Million 20</w:t>
            </w:r>
            <w:r w:rsidRPr="0036649F">
              <w:rPr>
                <w:rFonts w:cs="Times New Roman"/>
                <w:noProof/>
                <w:color w:val="000000"/>
                <w:sz w:val="22"/>
                <w:lang w:val="fr-BE"/>
              </w:rPr>
              <w:t>19 prices</w:t>
            </w:r>
            <w:r w:rsidR="002315CD" w:rsidRPr="0036649F">
              <w:rPr>
                <w:rFonts w:cs="Times New Roman"/>
                <w:noProof/>
                <w:color w:val="000000"/>
                <w:sz w:val="22"/>
                <w:lang w:val="fr-BE"/>
              </w:rPr>
              <w:t>).</w:t>
            </w:r>
          </w:p>
        </w:tc>
        <w:tc>
          <w:tcPr>
            <w:tcW w:w="1672" w:type="dxa"/>
          </w:tcPr>
          <w:p w14:paraId="3B62B950" w14:textId="504AD0F6" w:rsidR="002315CD" w:rsidRPr="00FF63D1" w:rsidRDefault="00CA248E">
            <w:pPr>
              <w:widowControl w:val="0"/>
              <w:pBdr>
                <w:top w:val="nil"/>
                <w:left w:val="nil"/>
                <w:bottom w:val="nil"/>
                <w:right w:val="nil"/>
                <w:between w:val="nil"/>
              </w:pBdr>
              <w:jc w:val="center"/>
              <w:rPr>
                <w:rFonts w:cs="Times New Roman"/>
                <w:noProof/>
                <w:color w:val="000000"/>
                <w:sz w:val="22"/>
              </w:rPr>
            </w:pPr>
            <w:r w:rsidRPr="0036649F">
              <w:rPr>
                <w:rFonts w:cs="Times New Roman"/>
                <w:noProof/>
                <w:color w:val="000000"/>
                <w:sz w:val="22"/>
                <w:lang w:val="fr-BE"/>
              </w:rPr>
              <w:t xml:space="preserve">EUR </w:t>
            </w:r>
            <w:r w:rsidR="002315CD" w:rsidRPr="0036649F">
              <w:rPr>
                <w:rFonts w:cs="Times New Roman"/>
                <w:noProof/>
                <w:color w:val="000000"/>
                <w:sz w:val="22"/>
                <w:lang w:val="fr-BE"/>
              </w:rPr>
              <w:t>278/Mton</w:t>
            </w:r>
            <w:r w:rsidR="00F531AF" w:rsidRPr="009009B4">
              <w:rPr>
                <w:rFonts w:cs="Times New Roman"/>
                <w:noProof/>
                <w:color w:val="000000"/>
                <w:sz w:val="22"/>
                <w:lang w:val="fr-BE"/>
              </w:rPr>
              <w:t>nes</w:t>
            </w:r>
            <w:r w:rsidR="002315CD" w:rsidRPr="0036649F">
              <w:rPr>
                <w:rFonts w:cs="Times New Roman"/>
                <w:noProof/>
                <w:color w:val="000000"/>
                <w:sz w:val="22"/>
                <w:lang w:val="fr-BE"/>
              </w:rPr>
              <w:t xml:space="preserve"> CO₂ (PCE, Million 2019</w:t>
            </w:r>
            <w:r w:rsidRPr="0036649F">
              <w:rPr>
                <w:rFonts w:cs="Times New Roman"/>
                <w:noProof/>
                <w:color w:val="000000"/>
                <w:sz w:val="22"/>
                <w:lang w:val="fr-BE"/>
              </w:rPr>
              <w:t xml:space="preserve"> prices</w:t>
            </w:r>
            <w:r w:rsidR="002315CD" w:rsidRPr="0036649F">
              <w:rPr>
                <w:rFonts w:cs="Times New Roman"/>
                <w:noProof/>
                <w:color w:val="000000"/>
                <w:sz w:val="22"/>
                <w:lang w:val="fr-BE"/>
              </w:rPr>
              <w:t xml:space="preserve">). </w:t>
            </w:r>
            <w:r w:rsidR="002315CD" w:rsidRPr="00FF63D1">
              <w:rPr>
                <w:rFonts w:cs="Times New Roman"/>
                <w:noProof/>
                <w:color w:val="000000"/>
                <w:sz w:val="22"/>
              </w:rPr>
              <w:t>(Targeted CAPEX reduction: 50%).</w:t>
            </w:r>
          </w:p>
        </w:tc>
      </w:tr>
    </w:tbl>
    <w:p w14:paraId="34B00A11" w14:textId="77777777" w:rsidR="008F36CB" w:rsidRDefault="008F36CB" w:rsidP="008F36CB">
      <w:pPr>
        <w:spacing w:after="120"/>
        <w:rPr>
          <w:rFonts w:eastAsia="Times New Roman"/>
          <w:b/>
          <w:noProof/>
        </w:rPr>
      </w:pPr>
    </w:p>
    <w:p w14:paraId="2A2EAFD4" w14:textId="77777777" w:rsidR="002315CD" w:rsidRPr="008F36CB" w:rsidRDefault="002315CD" w:rsidP="008F36CB">
      <w:pPr>
        <w:spacing w:after="120"/>
        <w:rPr>
          <w:rFonts w:eastAsia="Times New Roman"/>
          <w:b/>
          <w:noProof/>
        </w:rPr>
      </w:pPr>
      <w:r w:rsidRPr="008F36CB">
        <w:rPr>
          <w:rFonts w:eastAsia="Times New Roman"/>
          <w:b/>
          <w:noProof/>
        </w:rPr>
        <w:t>Total Investment Needs (TCI) for EU Transition</w:t>
      </w:r>
    </w:p>
    <w:p w14:paraId="5C1C2258" w14:textId="024E763F" w:rsidR="002315CD" w:rsidRPr="00FF63D1" w:rsidRDefault="002315CD" w:rsidP="008F36CB">
      <w:pPr>
        <w:spacing w:after="120"/>
        <w:rPr>
          <w:rFonts w:cs="Times New Roman"/>
          <w:noProof/>
          <w:szCs w:val="24"/>
        </w:rPr>
      </w:pPr>
      <w:r w:rsidRPr="00FF63D1">
        <w:rPr>
          <w:rFonts w:cs="Times New Roman"/>
          <w:noProof/>
          <w:szCs w:val="24"/>
        </w:rPr>
        <w:t xml:space="preserve">To facilitate the transition to a low-carbon future, the primary chemicals sector globally requires over $6.5 trillion in additional cumulative investments by 2050, with the majority directed towards green ammonia (60%) and green methanol (27%). </w:t>
      </w:r>
      <w:r w:rsidR="00C304D9">
        <w:rPr>
          <w:rFonts w:cs="Times New Roman"/>
          <w:noProof/>
          <w:szCs w:val="24"/>
        </w:rPr>
        <w:t xml:space="preserve">This split can be justified </w:t>
      </w:r>
      <w:r w:rsidR="00C304D9" w:rsidRPr="00511998">
        <w:rPr>
          <w:rFonts w:cs="Times New Roman"/>
          <w:noProof/>
          <w:szCs w:val="24"/>
        </w:rPr>
        <w:t xml:space="preserve">by </w:t>
      </w:r>
      <w:r w:rsidR="00C304D9">
        <w:rPr>
          <w:rFonts w:cs="Times New Roman"/>
          <w:noProof/>
          <w:szCs w:val="24"/>
        </w:rPr>
        <w:t xml:space="preserve">the </w:t>
      </w:r>
      <w:r w:rsidR="00C304D9" w:rsidRPr="00173C06">
        <w:rPr>
          <w:rFonts w:cs="Times New Roman"/>
          <w:noProof/>
          <w:szCs w:val="24"/>
        </w:rPr>
        <w:t>fact</w:t>
      </w:r>
      <w:r w:rsidR="00C304D9" w:rsidRPr="007E5DAD">
        <w:rPr>
          <w:rFonts w:cs="Times New Roman"/>
          <w:noProof/>
          <w:szCs w:val="24"/>
        </w:rPr>
        <w:t xml:space="preserve"> that ammonia </w:t>
      </w:r>
      <w:r w:rsidR="00C304D9" w:rsidRPr="00173C06">
        <w:rPr>
          <w:rFonts w:cs="Times New Roman"/>
          <w:noProof/>
          <w:szCs w:val="24"/>
        </w:rPr>
        <w:t xml:space="preserve">is expected to </w:t>
      </w:r>
      <w:r w:rsidR="00C304D9" w:rsidRPr="007E5DAD">
        <w:rPr>
          <w:rFonts w:cs="Times New Roman"/>
          <w:noProof/>
          <w:szCs w:val="24"/>
        </w:rPr>
        <w:t xml:space="preserve">be the </w:t>
      </w:r>
      <w:r w:rsidR="00C304D9" w:rsidRPr="00173C06">
        <w:rPr>
          <w:rFonts w:cs="Times New Roman"/>
          <w:noProof/>
          <w:szCs w:val="24"/>
        </w:rPr>
        <w:t>world’s</w:t>
      </w:r>
      <w:r w:rsidR="00C304D9" w:rsidRPr="007E5DAD">
        <w:rPr>
          <w:rFonts w:cs="Times New Roman"/>
          <w:noProof/>
          <w:szCs w:val="24"/>
        </w:rPr>
        <w:t xml:space="preserve"> most produced chemical by 2030</w:t>
      </w:r>
      <w:r w:rsidR="00C304D9">
        <w:rPr>
          <w:rFonts w:cs="Times New Roman"/>
          <w:noProof/>
          <w:szCs w:val="24"/>
        </w:rPr>
        <w:t>.</w:t>
      </w:r>
      <w:r w:rsidR="00C304D9" w:rsidRPr="00455B83">
        <w:rPr>
          <w:rStyle w:val="FootnoteReference"/>
          <w:rFonts w:cs="Times New Roman"/>
          <w:noProof/>
          <w:sz w:val="22"/>
        </w:rPr>
        <w:footnoteReference w:id="411"/>
      </w:r>
      <w:r w:rsidR="00C304D9" w:rsidRPr="00FF63D1">
        <w:rPr>
          <w:rFonts w:cs="Times New Roman"/>
          <w:noProof/>
          <w:szCs w:val="24"/>
        </w:rPr>
        <w:t xml:space="preserve"> </w:t>
      </w:r>
      <w:r w:rsidRPr="00FF63D1">
        <w:rPr>
          <w:rFonts w:cs="Times New Roman"/>
          <w:noProof/>
          <w:szCs w:val="24"/>
        </w:rPr>
        <w:t xml:space="preserve">In Europe, the chemical sector alone will need </w:t>
      </w:r>
      <w:r w:rsidR="00131426">
        <w:rPr>
          <w:rFonts w:cs="Times New Roman"/>
          <w:noProof/>
          <w:color w:val="000000"/>
          <w:szCs w:val="24"/>
        </w:rPr>
        <w:t xml:space="preserve">EUR </w:t>
      </w:r>
      <w:r w:rsidRPr="00FF63D1">
        <w:rPr>
          <w:rFonts w:cs="Times New Roman"/>
          <w:noProof/>
          <w:szCs w:val="24"/>
        </w:rPr>
        <w:t xml:space="preserve">318 billion </w:t>
      </w:r>
      <w:r w:rsidRPr="00FF63D1">
        <w:rPr>
          <w:rFonts w:cs="Times New Roman"/>
          <w:noProof/>
          <w:color w:val="000000"/>
          <w:szCs w:val="24"/>
        </w:rPr>
        <w:t xml:space="preserve">referenced to </w:t>
      </w:r>
      <w:r w:rsidR="00131426">
        <w:rPr>
          <w:rFonts w:cs="Times New Roman"/>
          <w:noProof/>
          <w:color w:val="000000"/>
          <w:szCs w:val="24"/>
        </w:rPr>
        <w:t xml:space="preserve">EUR </w:t>
      </w:r>
      <w:r w:rsidRPr="00FF63D1">
        <w:rPr>
          <w:rFonts w:cs="Times New Roman"/>
          <w:noProof/>
          <w:szCs w:val="24"/>
        </w:rPr>
        <w:t>2019 in cumulative discounted capital investments (CAPEX) between 2019 and 2050, under a "Base Case" scenario.</w:t>
      </w:r>
    </w:p>
    <w:p w14:paraId="3E5E6B00" w14:textId="77777777" w:rsidR="002315CD" w:rsidRPr="00FF63D1" w:rsidRDefault="002315CD" w:rsidP="008F36CB">
      <w:pPr>
        <w:spacing w:after="120"/>
        <w:rPr>
          <w:noProof/>
        </w:rPr>
      </w:pPr>
      <w:r w:rsidRPr="01945C46">
        <w:rPr>
          <w:rFonts w:cs="Times New Roman"/>
          <w:noProof/>
        </w:rPr>
        <w:t>Investment urgency in Europe is critical, as 58% of the continent's primary production capacity needs reinvestment by 2035, risking fossil fuel lock-ins. Consequently, the majority of significant investments in abatement solutions are anticipated to occur between 2030 and 2040.</w:t>
      </w:r>
    </w:p>
    <w:p w14:paraId="3F77BFB5" w14:textId="1A42F594" w:rsidR="01945C46" w:rsidRDefault="01945C46" w:rsidP="01945C46">
      <w:pPr>
        <w:spacing w:after="120"/>
        <w:rPr>
          <w:rFonts w:cs="Times New Roman"/>
          <w:noProof/>
        </w:rPr>
      </w:pPr>
    </w:p>
    <w:p w14:paraId="1BE34F0B" w14:textId="06951517" w:rsidR="08CB89C0" w:rsidRPr="002F0B22" w:rsidRDefault="08CB89C0">
      <w:pPr>
        <w:pStyle w:val="ListParagraph"/>
        <w:keepNext/>
        <w:keepLines/>
        <w:numPr>
          <w:ilvl w:val="1"/>
          <w:numId w:val="166"/>
        </w:numPr>
        <w:spacing w:before="360" w:after="80" w:line="259" w:lineRule="auto"/>
        <w:rPr>
          <w:b/>
          <w:bCs/>
          <w:noProof/>
        </w:rPr>
      </w:pPr>
      <w:r w:rsidRPr="002F0B22">
        <w:rPr>
          <w:b/>
          <w:noProof/>
        </w:rPr>
        <w:t>Plastics</w:t>
      </w:r>
      <w:r w:rsidRPr="002F0B22">
        <w:rPr>
          <w:b/>
          <w:bCs/>
          <w:noProof/>
        </w:rPr>
        <w:t xml:space="preserve"> </w:t>
      </w:r>
    </w:p>
    <w:p w14:paraId="25270394" w14:textId="19A4B0F5" w:rsidR="3C91C120" w:rsidRPr="00337FE3" w:rsidRDefault="08CB89C0" w:rsidP="00874E90">
      <w:pPr>
        <w:spacing w:after="120"/>
        <w:rPr>
          <w:rFonts w:eastAsia="Times New Roman"/>
          <w:b/>
          <w:noProof/>
          <w:color w:val="000000" w:themeColor="text1"/>
        </w:rPr>
      </w:pPr>
      <w:r w:rsidRPr="00337FE3">
        <w:rPr>
          <w:rFonts w:eastAsia="Times New Roman"/>
          <w:b/>
          <w:noProof/>
          <w:color w:val="000000" w:themeColor="text1"/>
        </w:rPr>
        <w:t xml:space="preserve">Key facts </w:t>
      </w:r>
    </w:p>
    <w:p w14:paraId="5BC3474C" w14:textId="5E256711" w:rsidR="00214A5D" w:rsidRPr="00874E90" w:rsidRDefault="00214A5D" w:rsidP="00874E90">
      <w:pPr>
        <w:spacing w:after="120"/>
        <w:rPr>
          <w:rFonts w:eastAsia="Times New Roman"/>
          <w:noProof/>
          <w:color w:val="000000" w:themeColor="text1"/>
        </w:rPr>
      </w:pPr>
      <w:r w:rsidRPr="00874E90">
        <w:rPr>
          <w:rFonts w:eastAsia="Times New Roman"/>
          <w:noProof/>
          <w:color w:val="000000" w:themeColor="text1"/>
        </w:rPr>
        <w:t>EU plastics production in 2024 was 54.6Mt</w:t>
      </w:r>
      <w:r w:rsidR="00DE6AEF">
        <w:rPr>
          <w:rFonts w:eastAsia="Times New Roman"/>
          <w:noProof/>
          <w:color w:val="000000" w:themeColor="text1"/>
        </w:rPr>
        <w:t>onnes</w:t>
      </w:r>
      <w:r w:rsidRPr="00874E90">
        <w:rPr>
          <w:rFonts w:eastAsia="Times New Roman"/>
          <w:noProof/>
          <w:color w:val="000000" w:themeColor="text1"/>
        </w:rPr>
        <w:t xml:space="preserve">, with a turnover of €398 billion, 1,5 million direct jobs in over 50.000 companies and </w:t>
      </w:r>
      <w:r w:rsidR="0003718B">
        <w:rPr>
          <w:rFonts w:eastAsia="Times New Roman"/>
          <w:noProof/>
          <w:color w:val="000000" w:themeColor="text1"/>
        </w:rPr>
        <w:t xml:space="preserve">a </w:t>
      </w:r>
      <w:r w:rsidRPr="00874E90">
        <w:rPr>
          <w:rFonts w:eastAsia="Times New Roman"/>
          <w:noProof/>
          <w:color w:val="000000" w:themeColor="text1"/>
        </w:rPr>
        <w:t>trade deficit of 1,6Mt</w:t>
      </w:r>
      <w:r w:rsidR="0003718B">
        <w:rPr>
          <w:rFonts w:eastAsia="Times New Roman"/>
          <w:noProof/>
          <w:color w:val="000000" w:themeColor="text1"/>
        </w:rPr>
        <w:t>onnes,</w:t>
      </w:r>
      <w:r w:rsidRPr="00874E90">
        <w:rPr>
          <w:rFonts w:eastAsia="Times New Roman"/>
          <w:noProof/>
          <w:color w:val="000000" w:themeColor="text1"/>
        </w:rPr>
        <w:t xml:space="preserve"> with 19.5Mt</w:t>
      </w:r>
      <w:r w:rsidR="0003718B">
        <w:rPr>
          <w:rFonts w:eastAsia="Times New Roman"/>
          <w:noProof/>
          <w:color w:val="000000" w:themeColor="text1"/>
        </w:rPr>
        <w:t>onnes</w:t>
      </w:r>
      <w:r w:rsidRPr="00874E90">
        <w:rPr>
          <w:rFonts w:eastAsia="Times New Roman"/>
          <w:noProof/>
          <w:color w:val="000000" w:themeColor="text1"/>
        </w:rPr>
        <w:t xml:space="preserve"> exported and 21.1Mt</w:t>
      </w:r>
      <w:r w:rsidR="0003718B">
        <w:rPr>
          <w:rFonts w:eastAsia="Times New Roman"/>
          <w:noProof/>
          <w:color w:val="000000" w:themeColor="text1"/>
        </w:rPr>
        <w:t>onnes</w:t>
      </w:r>
      <w:r w:rsidRPr="00874E90">
        <w:rPr>
          <w:rFonts w:eastAsia="Times New Roman"/>
          <w:noProof/>
          <w:color w:val="000000" w:themeColor="text1"/>
        </w:rPr>
        <w:t xml:space="preserve"> imported.   </w:t>
      </w:r>
    </w:p>
    <w:p w14:paraId="1D322174" w14:textId="77777777" w:rsidR="00214A5D" w:rsidRPr="00337FE3" w:rsidRDefault="00214A5D" w:rsidP="00874E90">
      <w:pPr>
        <w:spacing w:after="120"/>
        <w:rPr>
          <w:rFonts w:eastAsia="Times New Roman"/>
          <w:b/>
          <w:noProof/>
          <w:color w:val="000000" w:themeColor="text1"/>
        </w:rPr>
      </w:pPr>
      <w:r w:rsidRPr="00337FE3">
        <w:rPr>
          <w:rFonts w:eastAsia="Times New Roman"/>
          <w:b/>
          <w:noProof/>
          <w:color w:val="000000" w:themeColor="text1"/>
        </w:rPr>
        <w:t>Key challenges</w:t>
      </w:r>
    </w:p>
    <w:p w14:paraId="2FE33189" w14:textId="43FE49D6" w:rsidR="77C802D6" w:rsidRPr="00874E90" w:rsidRDefault="77C802D6" w:rsidP="00874E90">
      <w:pPr>
        <w:spacing w:after="120"/>
        <w:rPr>
          <w:rFonts w:eastAsia="Times New Roman"/>
          <w:noProof/>
          <w:color w:val="000000" w:themeColor="text1"/>
        </w:rPr>
      </w:pPr>
      <w:r w:rsidRPr="00874E90">
        <w:rPr>
          <w:rFonts w:eastAsia="Times New Roman"/>
          <w:noProof/>
          <w:color w:val="000000" w:themeColor="text1"/>
        </w:rPr>
        <w:t>EU plastics production has experienced a sustained decline, falling from 62.3 Mt</w:t>
      </w:r>
      <w:r w:rsidR="0003718B">
        <w:rPr>
          <w:rFonts w:eastAsia="Times New Roman"/>
          <w:noProof/>
          <w:color w:val="000000" w:themeColor="text1"/>
        </w:rPr>
        <w:t>onnes</w:t>
      </w:r>
      <w:r w:rsidRPr="00874E90">
        <w:rPr>
          <w:rFonts w:eastAsia="Times New Roman"/>
          <w:noProof/>
          <w:color w:val="000000" w:themeColor="text1"/>
        </w:rPr>
        <w:t xml:space="preserve"> in 2018 to 54.6 Mt</w:t>
      </w:r>
      <w:r w:rsidR="0003718B">
        <w:rPr>
          <w:rFonts w:eastAsia="Times New Roman"/>
          <w:noProof/>
          <w:color w:val="000000" w:themeColor="text1"/>
        </w:rPr>
        <w:t>onnes</w:t>
      </w:r>
      <w:r w:rsidRPr="00874E90">
        <w:rPr>
          <w:rFonts w:eastAsia="Times New Roman"/>
          <w:noProof/>
          <w:color w:val="000000" w:themeColor="text1"/>
        </w:rPr>
        <w:t xml:space="preserve"> in 2024. This trajectory includes a 13% reduction in output over the past two years alone, without any increase in recycling capacity. Europe's share of global plastics production has contracted from 22% in 2006 to 12% in 2024, and the EU has transitioned to a net importer </w:t>
      </w:r>
      <w:r w:rsidR="7542D573" w:rsidRPr="09FBF276">
        <w:rPr>
          <w:rFonts w:eastAsia="Times New Roman"/>
          <w:noProof/>
          <w:color w:val="000000" w:themeColor="text1"/>
        </w:rPr>
        <w:t>of</w:t>
      </w:r>
      <w:r w:rsidRPr="00874E90">
        <w:rPr>
          <w:rFonts w:eastAsia="Times New Roman"/>
          <w:noProof/>
          <w:color w:val="000000" w:themeColor="text1"/>
        </w:rPr>
        <w:t xml:space="preserve"> both plastics resins and finished goods.</w:t>
      </w:r>
    </w:p>
    <w:p w14:paraId="427C32AA" w14:textId="24902E7E" w:rsidR="77C802D6" w:rsidRPr="00874E90" w:rsidRDefault="77C802D6" w:rsidP="00874E90">
      <w:pPr>
        <w:spacing w:after="120"/>
        <w:rPr>
          <w:rFonts w:eastAsia="Times New Roman"/>
          <w:noProof/>
          <w:color w:val="000000" w:themeColor="text1"/>
        </w:rPr>
      </w:pPr>
      <w:r w:rsidRPr="00874E90">
        <w:rPr>
          <w:rFonts w:eastAsia="Times New Roman"/>
          <w:noProof/>
          <w:color w:val="000000" w:themeColor="text1"/>
        </w:rPr>
        <w:t xml:space="preserve">These market dynamics affect </w:t>
      </w:r>
      <w:r w:rsidR="5F68DCFD" w:rsidRPr="09FBF276">
        <w:rPr>
          <w:rFonts w:eastAsia="Times New Roman"/>
          <w:noProof/>
          <w:color w:val="000000" w:themeColor="text1"/>
        </w:rPr>
        <w:t xml:space="preserve">and challenge </w:t>
      </w:r>
      <w:r w:rsidRPr="00874E90">
        <w:rPr>
          <w:rFonts w:eastAsia="Times New Roman"/>
          <w:noProof/>
          <w:color w:val="000000" w:themeColor="text1"/>
        </w:rPr>
        <w:t>the entire plastics value chain</w:t>
      </w:r>
      <w:r w:rsidR="49BCB858" w:rsidRPr="09FBF276">
        <w:rPr>
          <w:rFonts w:eastAsia="Times New Roman"/>
          <w:noProof/>
          <w:color w:val="000000" w:themeColor="text1"/>
        </w:rPr>
        <w:t xml:space="preserve"> in </w:t>
      </w:r>
      <w:r w:rsidR="5EBB260E" w:rsidRPr="09FBF276">
        <w:rPr>
          <w:rFonts w:eastAsia="Times New Roman"/>
          <w:noProof/>
          <w:color w:val="000000" w:themeColor="text1"/>
        </w:rPr>
        <w:t xml:space="preserve">the </w:t>
      </w:r>
      <w:r w:rsidR="49BCB858" w:rsidRPr="09FBF276">
        <w:rPr>
          <w:rFonts w:eastAsia="Times New Roman"/>
          <w:noProof/>
          <w:color w:val="000000" w:themeColor="text1"/>
        </w:rPr>
        <w:t>EU</w:t>
      </w:r>
      <w:r w:rsidRPr="00874E90">
        <w:rPr>
          <w:rFonts w:eastAsia="Times New Roman"/>
          <w:noProof/>
          <w:color w:val="000000" w:themeColor="text1"/>
        </w:rPr>
        <w:t>, including primary manufacturers, compounders, processors, and recyclers, thereby creating risks for established industrial supply networks within the EU.</w:t>
      </w:r>
    </w:p>
    <w:p w14:paraId="5BD17712" w14:textId="04C21D45" w:rsidR="3C163B9F" w:rsidRPr="00337FE3" w:rsidRDefault="3C163B9F" w:rsidP="00874E90">
      <w:pPr>
        <w:spacing w:after="120"/>
        <w:rPr>
          <w:rFonts w:eastAsia="Times New Roman"/>
          <w:b/>
          <w:noProof/>
          <w:color w:val="000000" w:themeColor="text1"/>
        </w:rPr>
      </w:pPr>
      <w:r w:rsidRPr="00337FE3">
        <w:rPr>
          <w:rFonts w:eastAsia="Times New Roman"/>
          <w:b/>
          <w:noProof/>
          <w:color w:val="000000" w:themeColor="text1"/>
        </w:rPr>
        <w:t>Cost of low-carbon plastics</w:t>
      </w:r>
    </w:p>
    <w:p w14:paraId="55095CCE" w14:textId="00B8C50E" w:rsidR="4983829E" w:rsidRPr="00874E90" w:rsidRDefault="0CAD1033" w:rsidP="00874E90">
      <w:pPr>
        <w:spacing w:after="120"/>
        <w:rPr>
          <w:rFonts w:eastAsia="Times New Roman"/>
          <w:noProof/>
          <w:color w:val="000000" w:themeColor="text1"/>
        </w:rPr>
      </w:pPr>
      <w:r w:rsidRPr="00874E90">
        <w:rPr>
          <w:rFonts w:eastAsia="Times New Roman"/>
          <w:noProof/>
          <w:color w:val="000000" w:themeColor="text1"/>
        </w:rPr>
        <w:t>L</w:t>
      </w:r>
      <w:r w:rsidR="3C163B9F" w:rsidRPr="00874E90">
        <w:rPr>
          <w:rFonts w:eastAsia="Times New Roman"/>
          <w:noProof/>
          <w:color w:val="000000" w:themeColor="text1"/>
        </w:rPr>
        <w:t>ow-carbon plastics carry a cost premium relative to fossil-based virgin alternatives. Mechanically recycled plastics, the lowest-cost low-carbon option, exhibit a premium of 10-15% when destined for specification-grade applications.</w:t>
      </w:r>
      <w:r w:rsidR="145649E7" w:rsidRPr="00874E90">
        <w:rPr>
          <w:rFonts w:eastAsia="Times New Roman"/>
          <w:noProof/>
          <w:color w:val="000000" w:themeColor="text1"/>
        </w:rPr>
        <w:t xml:space="preserve"> </w:t>
      </w:r>
      <w:r w:rsidR="4983829E" w:rsidRPr="00337FE3">
        <w:rPr>
          <w:rFonts w:eastAsia="Times New Roman"/>
          <w:noProof/>
          <w:color w:val="000000" w:themeColor="text1"/>
          <w:vertAlign w:val="superscript"/>
        </w:rPr>
        <w:footnoteReference w:id="412"/>
      </w:r>
      <w:r w:rsidR="574B88A2" w:rsidRPr="00874E90">
        <w:rPr>
          <w:rFonts w:eastAsia="Times New Roman"/>
          <w:noProof/>
          <w:color w:val="000000" w:themeColor="text1"/>
        </w:rPr>
        <w:t xml:space="preserve"> </w:t>
      </w:r>
      <w:r w:rsidR="4FA1E54A" w:rsidRPr="00874E90">
        <w:rPr>
          <w:rFonts w:eastAsia="Times New Roman"/>
          <w:noProof/>
          <w:color w:val="000000" w:themeColor="text1"/>
        </w:rPr>
        <w:t xml:space="preserve">However, </w:t>
      </w:r>
      <w:r w:rsidR="570A7A0B" w:rsidRPr="00874E90">
        <w:rPr>
          <w:rFonts w:eastAsia="Times New Roman"/>
          <w:noProof/>
          <w:color w:val="000000" w:themeColor="text1"/>
        </w:rPr>
        <w:t xml:space="preserve">market prices </w:t>
      </w:r>
      <w:r w:rsidR="3C163B9F" w:rsidRPr="00874E90">
        <w:rPr>
          <w:rFonts w:eastAsia="Times New Roman"/>
          <w:noProof/>
          <w:color w:val="000000" w:themeColor="text1"/>
        </w:rPr>
        <w:t xml:space="preserve">for certain mechanically recycled plastics are </w:t>
      </w:r>
      <w:r w:rsidR="7B47DB47" w:rsidRPr="00874E90">
        <w:rPr>
          <w:rFonts w:eastAsia="Times New Roman"/>
          <w:noProof/>
          <w:color w:val="000000" w:themeColor="text1"/>
        </w:rPr>
        <w:t xml:space="preserve">currently </w:t>
      </w:r>
      <w:r w:rsidR="3C163B9F" w:rsidRPr="00874E90">
        <w:rPr>
          <w:rFonts w:eastAsia="Times New Roman"/>
          <w:noProof/>
          <w:color w:val="000000" w:themeColor="text1"/>
        </w:rPr>
        <w:t xml:space="preserve">lower than for virgin alternatives </w:t>
      </w:r>
      <w:r w:rsidR="6BA7A755" w:rsidRPr="00874E90">
        <w:rPr>
          <w:rFonts w:eastAsia="Times New Roman"/>
          <w:noProof/>
          <w:color w:val="000000" w:themeColor="text1"/>
        </w:rPr>
        <w:t xml:space="preserve">but </w:t>
      </w:r>
      <w:r w:rsidR="3C163B9F" w:rsidRPr="00874E90">
        <w:rPr>
          <w:rFonts w:eastAsia="Times New Roman"/>
          <w:noProof/>
          <w:color w:val="000000" w:themeColor="text1"/>
        </w:rPr>
        <w:t xml:space="preserve">the total cost to end-users </w:t>
      </w:r>
      <w:r w:rsidR="01A03F9A" w:rsidRPr="00874E90">
        <w:rPr>
          <w:rFonts w:eastAsia="Times New Roman"/>
          <w:noProof/>
          <w:color w:val="000000" w:themeColor="text1"/>
        </w:rPr>
        <w:t xml:space="preserve">tend to be at </w:t>
      </w:r>
      <w:r w:rsidR="3C163B9F" w:rsidRPr="00874E90">
        <w:rPr>
          <w:rFonts w:eastAsia="Times New Roman"/>
          <w:noProof/>
          <w:color w:val="000000" w:themeColor="text1"/>
        </w:rPr>
        <w:t>parity or exceeds virgin plastic prices due to additional requirements including certification, quality assurance protocols, and audit procedures.</w:t>
      </w:r>
      <w:r w:rsidR="58AD336A" w:rsidRPr="00874E90">
        <w:rPr>
          <w:rFonts w:eastAsia="Times New Roman"/>
          <w:noProof/>
          <w:color w:val="000000" w:themeColor="text1"/>
        </w:rPr>
        <w:t xml:space="preserve"> </w:t>
      </w:r>
      <w:r w:rsidR="4983829E" w:rsidRPr="00337FE3">
        <w:rPr>
          <w:rFonts w:eastAsia="Times New Roman"/>
          <w:noProof/>
          <w:color w:val="000000" w:themeColor="text1"/>
          <w:vertAlign w:val="superscript"/>
        </w:rPr>
        <w:footnoteReference w:id="413"/>
      </w:r>
      <w:r w:rsidR="7F68793B" w:rsidRPr="00337FE3">
        <w:rPr>
          <w:rFonts w:eastAsia="Times New Roman"/>
          <w:noProof/>
          <w:color w:val="000000" w:themeColor="text1"/>
          <w:vertAlign w:val="superscript"/>
        </w:rPr>
        <w:t xml:space="preserve"> </w:t>
      </w:r>
      <w:r w:rsidR="4983829E" w:rsidRPr="00337FE3">
        <w:rPr>
          <w:rFonts w:eastAsia="Times New Roman"/>
          <w:noProof/>
          <w:color w:val="000000" w:themeColor="text1"/>
          <w:vertAlign w:val="superscript"/>
        </w:rPr>
        <w:footnoteReference w:id="414"/>
      </w:r>
      <w:r w:rsidR="54F51C74" w:rsidRPr="00874E90">
        <w:rPr>
          <w:rFonts w:eastAsia="Times New Roman"/>
          <w:noProof/>
          <w:color w:val="000000" w:themeColor="text1"/>
        </w:rPr>
        <w:t xml:space="preserve"> Current</w:t>
      </w:r>
      <w:r w:rsidR="01D07653" w:rsidRPr="00874E90">
        <w:rPr>
          <w:rFonts w:eastAsia="Times New Roman"/>
          <w:noProof/>
          <w:color w:val="000000" w:themeColor="text1"/>
        </w:rPr>
        <w:t xml:space="preserve"> price levels </w:t>
      </w:r>
      <w:r w:rsidR="1DB7063F" w:rsidRPr="00874E90">
        <w:rPr>
          <w:rFonts w:eastAsia="Times New Roman"/>
          <w:noProof/>
          <w:color w:val="000000" w:themeColor="text1"/>
        </w:rPr>
        <w:t xml:space="preserve">are to be </w:t>
      </w:r>
      <w:r w:rsidR="01D07653" w:rsidRPr="00874E90">
        <w:rPr>
          <w:rFonts w:eastAsia="Times New Roman"/>
          <w:noProof/>
          <w:color w:val="000000" w:themeColor="text1"/>
        </w:rPr>
        <w:t>considered with caution, as g</w:t>
      </w:r>
      <w:r w:rsidR="3B6DC213" w:rsidRPr="00874E90">
        <w:rPr>
          <w:rFonts w:eastAsia="Times New Roman"/>
          <w:noProof/>
          <w:color w:val="000000" w:themeColor="text1"/>
        </w:rPr>
        <w:t xml:space="preserve">lobal over-supply and market disturbances have introduced significant market volatility for both </w:t>
      </w:r>
      <w:r w:rsidR="3C163B9F" w:rsidRPr="00874E90">
        <w:rPr>
          <w:rFonts w:eastAsia="Times New Roman"/>
          <w:noProof/>
          <w:color w:val="000000" w:themeColor="text1"/>
        </w:rPr>
        <w:t>recycled and virgin materials</w:t>
      </w:r>
      <w:r w:rsidR="07B9CDA5" w:rsidRPr="00874E90">
        <w:rPr>
          <w:rFonts w:eastAsia="Times New Roman"/>
          <w:noProof/>
          <w:color w:val="000000" w:themeColor="text1"/>
        </w:rPr>
        <w:t xml:space="preserve">, </w:t>
      </w:r>
      <w:r w:rsidR="7851CB87" w:rsidRPr="00874E90">
        <w:rPr>
          <w:rFonts w:eastAsia="Times New Roman"/>
          <w:noProof/>
          <w:color w:val="000000" w:themeColor="text1"/>
        </w:rPr>
        <w:t xml:space="preserve">reducing </w:t>
      </w:r>
      <w:r w:rsidR="217F68E2" w:rsidRPr="00874E90">
        <w:rPr>
          <w:rFonts w:eastAsia="Times New Roman"/>
          <w:noProof/>
          <w:color w:val="000000" w:themeColor="text1"/>
        </w:rPr>
        <w:t xml:space="preserve">also </w:t>
      </w:r>
      <w:r w:rsidR="4C330E5B" w:rsidRPr="00874E90">
        <w:rPr>
          <w:rFonts w:eastAsia="Times New Roman"/>
          <w:noProof/>
          <w:color w:val="000000" w:themeColor="text1"/>
        </w:rPr>
        <w:t xml:space="preserve">transparency </w:t>
      </w:r>
      <w:r w:rsidR="3EF0CE75" w:rsidRPr="00874E90">
        <w:rPr>
          <w:rFonts w:eastAsia="Times New Roman"/>
          <w:noProof/>
          <w:color w:val="000000" w:themeColor="text1"/>
        </w:rPr>
        <w:t xml:space="preserve">of </w:t>
      </w:r>
      <w:r w:rsidR="4C330E5B" w:rsidRPr="00874E90">
        <w:rPr>
          <w:rFonts w:eastAsia="Times New Roman"/>
          <w:noProof/>
          <w:color w:val="000000" w:themeColor="text1"/>
        </w:rPr>
        <w:t xml:space="preserve">future cost trajectories. </w:t>
      </w:r>
    </w:p>
    <w:p w14:paraId="798AC114" w14:textId="1304204C" w:rsidR="37694C14" w:rsidRPr="00874E90" w:rsidRDefault="37694C14" w:rsidP="00874E90">
      <w:pPr>
        <w:spacing w:after="120"/>
        <w:rPr>
          <w:rFonts w:eastAsia="Times New Roman"/>
          <w:noProof/>
          <w:color w:val="000000" w:themeColor="text1"/>
        </w:rPr>
      </w:pPr>
      <w:r w:rsidRPr="00874E90">
        <w:rPr>
          <w:rFonts w:eastAsia="Times New Roman"/>
          <w:noProof/>
          <w:color w:val="000000" w:themeColor="text1"/>
        </w:rPr>
        <w:t xml:space="preserve">Mechanical recycling is projected to achieve cost parity with virgin fossil plastics by 2035, contingent upon increasing costs for CO2 emissions and fossil fuel inputs. The timeline for </w:t>
      </w:r>
      <w:r w:rsidRPr="00874E90">
        <w:rPr>
          <w:rFonts w:eastAsia="Times New Roman"/>
          <w:noProof/>
          <w:color w:val="000000" w:themeColor="text1"/>
        </w:rPr>
        <w:lastRenderedPageBreak/>
        <w:t xml:space="preserve">chemical recycling is longer; competitive positioning could be achieved once cumulative global volume reaches </w:t>
      </w:r>
      <w:r w:rsidR="1EAEBCC7" w:rsidRPr="00874E90">
        <w:rPr>
          <w:rFonts w:eastAsia="Times New Roman"/>
          <w:noProof/>
          <w:color w:val="000000" w:themeColor="text1"/>
        </w:rPr>
        <w:t>650</w:t>
      </w:r>
      <w:r w:rsidR="0770099E" w:rsidRPr="09FBF276">
        <w:rPr>
          <w:rFonts w:eastAsia="Times New Roman"/>
          <w:noProof/>
          <w:color w:val="000000" w:themeColor="text1"/>
        </w:rPr>
        <w:t>Mtonnes</w:t>
      </w:r>
      <w:r w:rsidRPr="00874E90">
        <w:rPr>
          <w:rFonts w:eastAsia="Times New Roman"/>
          <w:noProof/>
          <w:color w:val="000000" w:themeColor="text1"/>
        </w:rPr>
        <w:t xml:space="preserve"> of polyolefins recycled through pyrolysis</w:t>
      </w:r>
      <w:r w:rsidRPr="00337FE3">
        <w:rPr>
          <w:rFonts w:eastAsia="Times New Roman"/>
          <w:noProof/>
          <w:color w:val="000000" w:themeColor="text1"/>
          <w:vertAlign w:val="superscript"/>
        </w:rPr>
        <w:footnoteReference w:id="415"/>
      </w:r>
      <w:r w:rsidR="167FDE71" w:rsidRPr="00874E90">
        <w:rPr>
          <w:rFonts w:eastAsia="Times New Roman"/>
          <w:noProof/>
          <w:color w:val="000000" w:themeColor="text1"/>
        </w:rPr>
        <w:t xml:space="preserve">, </w:t>
      </w:r>
      <w:r w:rsidRPr="00874E90">
        <w:rPr>
          <w:rFonts w:eastAsia="Times New Roman"/>
          <w:noProof/>
          <w:color w:val="000000" w:themeColor="text1"/>
        </w:rPr>
        <w:t>calling for policy incentives to accelera</w:t>
      </w:r>
      <w:r w:rsidR="0D6957E5" w:rsidRPr="00874E90">
        <w:rPr>
          <w:rFonts w:eastAsia="Times New Roman"/>
          <w:noProof/>
          <w:color w:val="000000" w:themeColor="text1"/>
        </w:rPr>
        <w:t xml:space="preserve">te the </w:t>
      </w:r>
      <w:r w:rsidR="6420EDCA" w:rsidRPr="00874E90">
        <w:rPr>
          <w:rFonts w:eastAsia="Times New Roman"/>
          <w:noProof/>
          <w:color w:val="000000" w:themeColor="text1"/>
        </w:rPr>
        <w:t xml:space="preserve">cost convergence with fossil counterpart. </w:t>
      </w:r>
      <w:r w:rsidR="4F51F622" w:rsidRPr="00874E90">
        <w:rPr>
          <w:rFonts w:eastAsia="Times New Roman"/>
          <w:noProof/>
          <w:color w:val="000000" w:themeColor="text1"/>
        </w:rPr>
        <w:t xml:space="preserve">Bio-based plastics carry </w:t>
      </w:r>
      <w:r w:rsidR="349B4F8F" w:rsidRPr="00874E90">
        <w:rPr>
          <w:rFonts w:eastAsia="Times New Roman"/>
          <w:noProof/>
          <w:color w:val="000000" w:themeColor="text1"/>
        </w:rPr>
        <w:t xml:space="preserve">currently </w:t>
      </w:r>
      <w:r w:rsidR="4F51F622" w:rsidRPr="00874E90">
        <w:rPr>
          <w:rFonts w:eastAsia="Times New Roman"/>
          <w:noProof/>
          <w:color w:val="000000" w:themeColor="text1"/>
        </w:rPr>
        <w:t xml:space="preserve">a premium </w:t>
      </w:r>
      <w:r w:rsidR="2CEF66DA" w:rsidRPr="00874E90">
        <w:rPr>
          <w:rFonts w:eastAsia="Times New Roman"/>
          <w:noProof/>
          <w:color w:val="000000" w:themeColor="text1"/>
        </w:rPr>
        <w:t xml:space="preserve">of </w:t>
      </w:r>
      <w:r w:rsidR="2113A0A2" w:rsidRPr="00874E90">
        <w:rPr>
          <w:rFonts w:eastAsia="Times New Roman"/>
          <w:noProof/>
          <w:color w:val="000000" w:themeColor="text1"/>
        </w:rPr>
        <w:t>20-50</w:t>
      </w:r>
      <w:r w:rsidR="2CEF66DA" w:rsidRPr="00874E90">
        <w:rPr>
          <w:rFonts w:eastAsia="Times New Roman"/>
          <w:noProof/>
          <w:color w:val="000000" w:themeColor="text1"/>
        </w:rPr>
        <w:t>% but are alread</w:t>
      </w:r>
      <w:r w:rsidR="6D42B1B5" w:rsidRPr="00874E90">
        <w:rPr>
          <w:rFonts w:eastAsia="Times New Roman"/>
          <w:noProof/>
          <w:color w:val="000000" w:themeColor="text1"/>
        </w:rPr>
        <w:t>y</w:t>
      </w:r>
      <w:r w:rsidR="2CEF66DA" w:rsidRPr="00874E90">
        <w:rPr>
          <w:rFonts w:eastAsia="Times New Roman"/>
          <w:noProof/>
          <w:color w:val="000000" w:themeColor="text1"/>
        </w:rPr>
        <w:t xml:space="preserve"> established on markets. </w:t>
      </w:r>
    </w:p>
    <w:p w14:paraId="01E71A82" w14:textId="5C0FD6C8" w:rsidR="068B9D96" w:rsidRPr="00337FE3" w:rsidRDefault="068B9D96" w:rsidP="00874E90">
      <w:pPr>
        <w:spacing w:after="120"/>
        <w:rPr>
          <w:rFonts w:eastAsia="Times New Roman"/>
          <w:b/>
          <w:noProof/>
          <w:color w:val="000000" w:themeColor="text1"/>
        </w:rPr>
      </w:pPr>
      <w:r w:rsidRPr="00337FE3">
        <w:rPr>
          <w:rFonts w:eastAsia="Times New Roman"/>
          <w:b/>
          <w:noProof/>
          <w:color w:val="000000" w:themeColor="text1"/>
        </w:rPr>
        <w:t>The proposed measures</w:t>
      </w:r>
    </w:p>
    <w:p w14:paraId="049FEB43" w14:textId="535C9511" w:rsidR="068B9D96" w:rsidRPr="00874E90" w:rsidRDefault="068B9D96" w:rsidP="00874E90">
      <w:pPr>
        <w:spacing w:after="120"/>
        <w:rPr>
          <w:rFonts w:eastAsia="Times New Roman"/>
          <w:noProof/>
          <w:color w:val="000000" w:themeColor="text1"/>
        </w:rPr>
      </w:pPr>
      <w:r w:rsidRPr="00874E90">
        <w:rPr>
          <w:rFonts w:eastAsia="Times New Roman"/>
          <w:noProof/>
          <w:color w:val="000000" w:themeColor="text1"/>
        </w:rPr>
        <w:t>To support decarbonisation of the EU plastics sector and ensure sustained production capacity</w:t>
      </w:r>
      <w:r w:rsidR="03C49A4C" w:rsidRPr="00874E90">
        <w:rPr>
          <w:rFonts w:eastAsia="Times New Roman"/>
          <w:noProof/>
          <w:color w:val="000000" w:themeColor="text1"/>
        </w:rPr>
        <w:t xml:space="preserve"> in EU</w:t>
      </w:r>
      <w:r w:rsidRPr="00874E90">
        <w:rPr>
          <w:rFonts w:eastAsia="Times New Roman"/>
          <w:noProof/>
          <w:color w:val="000000" w:themeColor="text1"/>
        </w:rPr>
        <w:t xml:space="preserve">, </w:t>
      </w:r>
      <w:r w:rsidR="008F02A3">
        <w:rPr>
          <w:rFonts w:eastAsia="Times New Roman"/>
          <w:noProof/>
          <w:color w:val="000000" w:themeColor="text1"/>
        </w:rPr>
        <w:t>“</w:t>
      </w:r>
      <w:r w:rsidR="006D38CC">
        <w:rPr>
          <w:rFonts w:eastAsia="Times New Roman"/>
          <w:noProof/>
          <w:color w:val="000000" w:themeColor="text1"/>
        </w:rPr>
        <w:t>Made in EU</w:t>
      </w:r>
      <w:r w:rsidR="008F02A3">
        <w:rPr>
          <w:rFonts w:eastAsia="Times New Roman"/>
          <w:noProof/>
          <w:color w:val="000000" w:themeColor="text1"/>
        </w:rPr>
        <w:t>”</w:t>
      </w:r>
      <w:r w:rsidR="006D38CC">
        <w:rPr>
          <w:rFonts w:eastAsia="Times New Roman"/>
          <w:noProof/>
          <w:color w:val="000000" w:themeColor="text1"/>
        </w:rPr>
        <w:t xml:space="preserve"> and low-carbon requirements</w:t>
      </w:r>
      <w:r w:rsidR="006D38CC" w:rsidRPr="00874E90">
        <w:rPr>
          <w:rFonts w:eastAsia="Times New Roman"/>
          <w:noProof/>
          <w:color w:val="000000" w:themeColor="text1"/>
        </w:rPr>
        <w:t xml:space="preserve"> </w:t>
      </w:r>
      <w:r w:rsidR="006D38CC">
        <w:rPr>
          <w:rFonts w:eastAsia="Times New Roman"/>
          <w:noProof/>
          <w:color w:val="000000" w:themeColor="text1"/>
        </w:rPr>
        <w:t>could be proposed</w:t>
      </w:r>
      <w:r w:rsidR="0003718B">
        <w:rPr>
          <w:rFonts w:eastAsia="Times New Roman"/>
          <w:noProof/>
          <w:color w:val="000000" w:themeColor="text1"/>
        </w:rPr>
        <w:t xml:space="preserve"> </w:t>
      </w:r>
      <w:r w:rsidR="006D38CC">
        <w:rPr>
          <w:rFonts w:eastAsia="Times New Roman"/>
          <w:noProof/>
          <w:color w:val="000000" w:themeColor="text1"/>
        </w:rPr>
        <w:t xml:space="preserve">with </w:t>
      </w:r>
      <w:r w:rsidR="0003718B">
        <w:rPr>
          <w:rFonts w:eastAsia="Times New Roman"/>
          <w:noProof/>
          <w:color w:val="000000" w:themeColor="text1"/>
        </w:rPr>
        <w:t>the</w:t>
      </w:r>
      <w:r w:rsidRPr="00874E90">
        <w:rPr>
          <w:rFonts w:eastAsia="Times New Roman"/>
          <w:noProof/>
          <w:color w:val="000000" w:themeColor="text1"/>
        </w:rPr>
        <w:t xml:space="preserve"> aim to create demand </w:t>
      </w:r>
      <w:r w:rsidR="09EBBDB4" w:rsidRPr="00874E90">
        <w:rPr>
          <w:rFonts w:eastAsia="Times New Roman"/>
          <w:noProof/>
          <w:color w:val="000000" w:themeColor="text1"/>
        </w:rPr>
        <w:t xml:space="preserve">for low-carbon plastics </w:t>
      </w:r>
      <w:r w:rsidRPr="00874E90">
        <w:rPr>
          <w:rFonts w:eastAsia="Times New Roman"/>
          <w:noProof/>
          <w:color w:val="000000" w:themeColor="text1"/>
        </w:rPr>
        <w:t>that incentivise industrial investment and subsequent cost reductions.</w:t>
      </w:r>
      <w:r w:rsidR="6F1D8F5A" w:rsidRPr="00874E90">
        <w:rPr>
          <w:rFonts w:eastAsia="Times New Roman"/>
          <w:noProof/>
          <w:color w:val="000000" w:themeColor="text1"/>
        </w:rPr>
        <w:t xml:space="preserve"> The </w:t>
      </w:r>
      <w:r w:rsidR="006D38CC">
        <w:rPr>
          <w:rFonts w:eastAsia="Times New Roman"/>
          <w:noProof/>
          <w:color w:val="000000" w:themeColor="text1"/>
        </w:rPr>
        <w:t xml:space="preserve">plastics </w:t>
      </w:r>
      <w:r w:rsidR="6F1D8F5A" w:rsidRPr="00874E90">
        <w:rPr>
          <w:rFonts w:eastAsia="Times New Roman"/>
          <w:noProof/>
          <w:color w:val="000000" w:themeColor="text1"/>
        </w:rPr>
        <w:t>products co</w:t>
      </w:r>
      <w:r w:rsidR="006D38CC">
        <w:rPr>
          <w:rFonts w:eastAsia="Times New Roman"/>
          <w:noProof/>
          <w:color w:val="000000" w:themeColor="text1"/>
        </w:rPr>
        <w:t>nsidered in this analysis</w:t>
      </w:r>
      <w:r w:rsidR="4A9F30DF" w:rsidRPr="00874E90">
        <w:rPr>
          <w:rFonts w:eastAsia="Times New Roman"/>
          <w:noProof/>
          <w:color w:val="000000" w:themeColor="text1"/>
        </w:rPr>
        <w:t xml:space="preserve"> are within the construction sector, which is the second-largest plastics consumer in Europe using 20% of plastics production (10-</w:t>
      </w:r>
      <w:r w:rsidR="4A9F30DF" w:rsidRPr="09FBF276">
        <w:rPr>
          <w:rFonts w:eastAsia="Times New Roman"/>
          <w:noProof/>
          <w:color w:val="000000" w:themeColor="text1"/>
        </w:rPr>
        <w:t>11</w:t>
      </w:r>
      <w:r w:rsidR="30DA2178" w:rsidRPr="09FBF276">
        <w:rPr>
          <w:rFonts w:eastAsia="Times New Roman"/>
          <w:noProof/>
          <w:color w:val="000000" w:themeColor="text1"/>
        </w:rPr>
        <w:t>Mtonnes</w:t>
      </w:r>
      <w:r w:rsidR="4A9F30DF" w:rsidRPr="00874E90">
        <w:rPr>
          <w:rFonts w:eastAsia="Times New Roman"/>
          <w:noProof/>
          <w:color w:val="000000" w:themeColor="text1"/>
        </w:rPr>
        <w:t xml:space="preserve"> annually).</w:t>
      </w:r>
      <w:r w:rsidR="27FBADC1" w:rsidRPr="00874E90">
        <w:rPr>
          <w:rFonts w:eastAsia="Times New Roman"/>
          <w:noProof/>
          <w:color w:val="000000" w:themeColor="text1"/>
        </w:rPr>
        <w:t xml:space="preserve"> P</w:t>
      </w:r>
      <w:r w:rsidR="6F1D8F5A" w:rsidRPr="00874E90">
        <w:rPr>
          <w:rFonts w:eastAsia="Times New Roman"/>
          <w:noProof/>
          <w:color w:val="000000" w:themeColor="text1"/>
        </w:rPr>
        <w:t xml:space="preserve">lastic pipes, insulation materials, and window/door frames account for 60% of plastics consumption in the construction sector. These products can be effectively addressed with proportionate administrative complexity and </w:t>
      </w:r>
      <w:r w:rsidR="5A5CA556" w:rsidRPr="00874E90">
        <w:rPr>
          <w:rFonts w:eastAsia="Times New Roman"/>
          <w:noProof/>
          <w:color w:val="000000" w:themeColor="text1"/>
        </w:rPr>
        <w:t xml:space="preserve">deliver a </w:t>
      </w:r>
      <w:r w:rsidR="16DDA6F4" w:rsidRPr="00874E90">
        <w:rPr>
          <w:rFonts w:eastAsia="Times New Roman"/>
          <w:noProof/>
          <w:color w:val="000000" w:themeColor="text1"/>
        </w:rPr>
        <w:t xml:space="preserve">meaningful impact for </w:t>
      </w:r>
      <w:r w:rsidR="0E5F571C" w:rsidRPr="00874E90">
        <w:rPr>
          <w:rFonts w:eastAsia="Times New Roman"/>
          <w:noProof/>
          <w:color w:val="000000" w:themeColor="text1"/>
        </w:rPr>
        <w:t xml:space="preserve">the </w:t>
      </w:r>
      <w:r w:rsidR="16DDA6F4" w:rsidRPr="00874E90">
        <w:rPr>
          <w:rFonts w:eastAsia="Times New Roman"/>
          <w:noProof/>
          <w:color w:val="000000" w:themeColor="text1"/>
        </w:rPr>
        <w:t>plastics supply chain</w:t>
      </w:r>
      <w:r w:rsidR="6F1D8F5A" w:rsidRPr="00874E90">
        <w:rPr>
          <w:rFonts w:eastAsia="Times New Roman"/>
          <w:noProof/>
          <w:color w:val="000000" w:themeColor="text1"/>
        </w:rPr>
        <w:t>.</w:t>
      </w:r>
      <w:r w:rsidR="128DC286" w:rsidRPr="00874E90">
        <w:rPr>
          <w:rFonts w:eastAsia="Times New Roman"/>
          <w:noProof/>
          <w:color w:val="000000" w:themeColor="text1"/>
        </w:rPr>
        <w:t xml:space="preserve"> These are also long-lived applications, </w:t>
      </w:r>
      <w:r w:rsidR="4AD222C9" w:rsidRPr="00874E90">
        <w:rPr>
          <w:rFonts w:eastAsia="Times New Roman"/>
          <w:noProof/>
          <w:color w:val="000000" w:themeColor="text1"/>
        </w:rPr>
        <w:t xml:space="preserve">likely to result in permanent emission reductions. </w:t>
      </w:r>
    </w:p>
    <w:p w14:paraId="1668CE87" w14:textId="5358F765" w:rsidR="11D842CF" w:rsidRPr="00874E90" w:rsidRDefault="11D842CF" w:rsidP="00874E90">
      <w:pPr>
        <w:spacing w:after="120"/>
        <w:rPr>
          <w:rFonts w:eastAsia="Times New Roman"/>
          <w:noProof/>
          <w:color w:val="000000" w:themeColor="text1"/>
        </w:rPr>
      </w:pPr>
      <w:r w:rsidRPr="00874E90">
        <w:rPr>
          <w:rFonts w:eastAsia="Times New Roman"/>
          <w:noProof/>
          <w:color w:val="000000" w:themeColor="text1"/>
        </w:rPr>
        <w:t>Public procurement and works represent approximately 40% of the addressed market</w:t>
      </w:r>
      <w:r w:rsidR="00E04762">
        <w:rPr>
          <w:rFonts w:eastAsia="Times New Roman"/>
          <w:noProof/>
          <w:color w:val="000000" w:themeColor="text1"/>
        </w:rPr>
        <w:t xml:space="preserve"> (</w:t>
      </w:r>
      <w:r w:rsidR="006D38CC">
        <w:rPr>
          <w:rFonts w:eastAsia="Times New Roman"/>
          <w:noProof/>
          <w:color w:val="000000" w:themeColor="text1"/>
        </w:rPr>
        <w:t xml:space="preserve">i.e. </w:t>
      </w:r>
      <w:r w:rsidR="00E04762">
        <w:rPr>
          <w:rFonts w:eastAsia="Times New Roman"/>
          <w:noProof/>
          <w:color w:val="000000" w:themeColor="text1"/>
        </w:rPr>
        <w:t>plastics in construction)</w:t>
      </w:r>
      <w:r w:rsidRPr="00874E90">
        <w:rPr>
          <w:rFonts w:eastAsia="Times New Roman"/>
          <w:noProof/>
          <w:color w:val="000000" w:themeColor="text1"/>
        </w:rPr>
        <w:t xml:space="preserve">. Application of the 30% </w:t>
      </w:r>
      <w:r w:rsidR="006D38CC">
        <w:rPr>
          <w:rFonts w:eastAsia="Times New Roman"/>
          <w:noProof/>
          <w:color w:val="000000" w:themeColor="text1"/>
        </w:rPr>
        <w:t xml:space="preserve">European </w:t>
      </w:r>
      <w:r w:rsidRPr="00874E90">
        <w:rPr>
          <w:rFonts w:eastAsia="Times New Roman"/>
          <w:noProof/>
          <w:color w:val="000000" w:themeColor="text1"/>
        </w:rPr>
        <w:t xml:space="preserve">low-carbon content </w:t>
      </w:r>
      <w:r w:rsidR="006D38CC">
        <w:rPr>
          <w:rFonts w:eastAsia="Times New Roman"/>
          <w:noProof/>
          <w:color w:val="000000" w:themeColor="text1"/>
        </w:rPr>
        <w:t>requirement</w:t>
      </w:r>
      <w:r w:rsidRPr="00874E90">
        <w:rPr>
          <w:rFonts w:eastAsia="Times New Roman"/>
          <w:noProof/>
          <w:color w:val="000000" w:themeColor="text1"/>
        </w:rPr>
        <w:t xml:space="preserve"> is projected to generate EU-made low-carbon plastics demand of approximately 0.8 </w:t>
      </w:r>
      <w:r w:rsidR="746C3935" w:rsidRPr="09FBF276">
        <w:rPr>
          <w:rFonts w:eastAsia="Times New Roman"/>
          <w:noProof/>
          <w:color w:val="000000" w:themeColor="text1"/>
        </w:rPr>
        <w:t>Mtonnes</w:t>
      </w:r>
      <w:r w:rsidRPr="00874E90">
        <w:rPr>
          <w:rFonts w:eastAsia="Times New Roman"/>
          <w:noProof/>
          <w:color w:val="000000" w:themeColor="text1"/>
        </w:rPr>
        <w:t xml:space="preserve"> annually</w:t>
      </w:r>
      <w:r w:rsidRPr="00337FE3">
        <w:rPr>
          <w:rFonts w:eastAsia="Times New Roman"/>
          <w:noProof/>
          <w:color w:val="000000" w:themeColor="text1"/>
          <w:vertAlign w:val="superscript"/>
        </w:rPr>
        <w:footnoteReference w:id="416"/>
      </w:r>
      <w:r w:rsidRPr="00874E90">
        <w:rPr>
          <w:rFonts w:eastAsia="Times New Roman"/>
          <w:noProof/>
          <w:color w:val="000000" w:themeColor="text1"/>
        </w:rPr>
        <w:t xml:space="preserve">. </w:t>
      </w:r>
    </w:p>
    <w:p w14:paraId="07458F41" w14:textId="40F09300" w:rsidR="273510B1" w:rsidRPr="00874E90" w:rsidRDefault="273510B1" w:rsidP="00874E90">
      <w:pPr>
        <w:spacing w:after="120"/>
        <w:rPr>
          <w:rFonts w:eastAsia="Times New Roman"/>
          <w:noProof/>
          <w:color w:val="000000" w:themeColor="text1"/>
        </w:rPr>
      </w:pPr>
      <w:r w:rsidRPr="00874E90">
        <w:rPr>
          <w:rFonts w:eastAsia="Times New Roman"/>
          <w:noProof/>
          <w:color w:val="000000" w:themeColor="text1"/>
        </w:rPr>
        <w:t>Projects receiving public subsidies will create additional demand</w:t>
      </w:r>
      <w:r w:rsidR="515407E8" w:rsidRPr="00874E90">
        <w:rPr>
          <w:rFonts w:eastAsia="Times New Roman"/>
          <w:noProof/>
          <w:color w:val="000000" w:themeColor="text1"/>
        </w:rPr>
        <w:t xml:space="preserve">, but an estimation of volumes </w:t>
      </w:r>
      <w:r w:rsidR="67B36971" w:rsidRPr="00874E90">
        <w:rPr>
          <w:rFonts w:eastAsia="Times New Roman"/>
          <w:noProof/>
          <w:color w:val="000000" w:themeColor="text1"/>
        </w:rPr>
        <w:t xml:space="preserve">contain </w:t>
      </w:r>
      <w:r w:rsidR="515407E8" w:rsidRPr="00874E90">
        <w:rPr>
          <w:rFonts w:eastAsia="Times New Roman"/>
          <w:noProof/>
          <w:color w:val="000000" w:themeColor="text1"/>
        </w:rPr>
        <w:t xml:space="preserve">significant </w:t>
      </w:r>
      <w:r w:rsidRPr="00874E90">
        <w:rPr>
          <w:rFonts w:eastAsia="Times New Roman"/>
          <w:noProof/>
          <w:color w:val="000000" w:themeColor="text1"/>
        </w:rPr>
        <w:t xml:space="preserve">uncertainty regarding leverage ratios and </w:t>
      </w:r>
      <w:r w:rsidR="2D682AAD" w:rsidRPr="00874E90">
        <w:rPr>
          <w:rFonts w:eastAsia="Times New Roman"/>
          <w:noProof/>
          <w:color w:val="000000" w:themeColor="text1"/>
        </w:rPr>
        <w:t xml:space="preserve">supported </w:t>
      </w:r>
      <w:r w:rsidRPr="00874E90">
        <w:rPr>
          <w:rFonts w:eastAsia="Times New Roman"/>
          <w:noProof/>
          <w:color w:val="000000" w:themeColor="text1"/>
        </w:rPr>
        <w:t>project typologies</w:t>
      </w:r>
      <w:r w:rsidR="2D27C857" w:rsidRPr="00874E90">
        <w:rPr>
          <w:rFonts w:eastAsia="Times New Roman"/>
          <w:noProof/>
          <w:color w:val="000000" w:themeColor="text1"/>
        </w:rPr>
        <w:t xml:space="preserve"> post-2030</w:t>
      </w:r>
      <w:r w:rsidR="4C19FA2A" w:rsidRPr="00874E90">
        <w:rPr>
          <w:rFonts w:eastAsia="Times New Roman"/>
          <w:noProof/>
          <w:color w:val="000000" w:themeColor="text1"/>
        </w:rPr>
        <w:t>. A</w:t>
      </w:r>
      <w:r w:rsidRPr="00874E90">
        <w:rPr>
          <w:rFonts w:eastAsia="Times New Roman"/>
          <w:noProof/>
          <w:color w:val="000000" w:themeColor="text1"/>
        </w:rPr>
        <w:t xml:space="preserve"> </w:t>
      </w:r>
      <w:r w:rsidR="1E18D9BD" w:rsidRPr="00874E90">
        <w:rPr>
          <w:rFonts w:eastAsia="Times New Roman"/>
          <w:noProof/>
          <w:color w:val="000000" w:themeColor="text1"/>
        </w:rPr>
        <w:t>very approximative</w:t>
      </w:r>
      <w:r w:rsidRPr="00874E90">
        <w:rPr>
          <w:rFonts w:eastAsia="Times New Roman"/>
          <w:noProof/>
          <w:color w:val="000000" w:themeColor="text1"/>
        </w:rPr>
        <w:t xml:space="preserve"> estimate </w:t>
      </w:r>
      <w:r w:rsidR="6CA4C709" w:rsidRPr="00874E90">
        <w:rPr>
          <w:rFonts w:eastAsia="Times New Roman"/>
          <w:noProof/>
          <w:color w:val="000000" w:themeColor="text1"/>
        </w:rPr>
        <w:t>of this additional demand</w:t>
      </w:r>
      <w:r w:rsidR="292A5770" w:rsidRPr="00874E90">
        <w:rPr>
          <w:rFonts w:eastAsia="Times New Roman"/>
          <w:noProof/>
          <w:color w:val="000000" w:themeColor="text1"/>
        </w:rPr>
        <w:t>,</w:t>
      </w:r>
      <w:r w:rsidRPr="00874E90">
        <w:rPr>
          <w:rFonts w:eastAsia="Times New Roman"/>
          <w:noProof/>
          <w:color w:val="000000" w:themeColor="text1"/>
        </w:rPr>
        <w:t xml:space="preserve"> </w:t>
      </w:r>
      <w:r w:rsidR="292A5770" w:rsidRPr="00874E90">
        <w:rPr>
          <w:rFonts w:eastAsia="Times New Roman"/>
          <w:noProof/>
          <w:color w:val="000000" w:themeColor="text1"/>
        </w:rPr>
        <w:t>assuming focus</w:t>
      </w:r>
      <w:r w:rsidR="0853DA16" w:rsidRPr="00874E90">
        <w:rPr>
          <w:rFonts w:eastAsia="Times New Roman"/>
          <w:noProof/>
          <w:color w:val="000000" w:themeColor="text1"/>
        </w:rPr>
        <w:t xml:space="preserve"> </w:t>
      </w:r>
      <w:r w:rsidRPr="00874E90">
        <w:rPr>
          <w:rFonts w:eastAsia="Times New Roman"/>
          <w:noProof/>
          <w:color w:val="000000" w:themeColor="text1"/>
        </w:rPr>
        <w:t>on renovation</w:t>
      </w:r>
      <w:r w:rsidR="7A3F1223" w:rsidRPr="00874E90">
        <w:rPr>
          <w:rFonts w:eastAsia="Times New Roman"/>
          <w:noProof/>
          <w:color w:val="000000" w:themeColor="text1"/>
        </w:rPr>
        <w:t xml:space="preserve"> and </w:t>
      </w:r>
      <w:r w:rsidRPr="00874E90">
        <w:rPr>
          <w:rFonts w:eastAsia="Times New Roman"/>
          <w:noProof/>
          <w:color w:val="000000" w:themeColor="text1"/>
        </w:rPr>
        <w:t>large</w:t>
      </w:r>
      <w:r w:rsidR="5D48573B" w:rsidRPr="00874E90">
        <w:rPr>
          <w:rFonts w:eastAsia="Times New Roman"/>
          <w:noProof/>
          <w:color w:val="000000" w:themeColor="text1"/>
        </w:rPr>
        <w:t>r</w:t>
      </w:r>
      <w:r w:rsidRPr="00874E90">
        <w:rPr>
          <w:rFonts w:eastAsia="Times New Roman"/>
          <w:noProof/>
          <w:color w:val="000000" w:themeColor="text1"/>
        </w:rPr>
        <w:t xml:space="preserve"> share of thermal insulation</w:t>
      </w:r>
      <w:r w:rsidR="4F76EF7B" w:rsidRPr="00874E90">
        <w:rPr>
          <w:rFonts w:eastAsia="Times New Roman"/>
          <w:noProof/>
          <w:color w:val="000000" w:themeColor="text1"/>
        </w:rPr>
        <w:t xml:space="preserve"> compared to piping and frames</w:t>
      </w:r>
      <w:r w:rsidR="065C1948" w:rsidRPr="00874E90">
        <w:rPr>
          <w:rFonts w:eastAsia="Times New Roman"/>
          <w:noProof/>
          <w:color w:val="000000" w:themeColor="text1"/>
        </w:rPr>
        <w:t xml:space="preserve">, </w:t>
      </w:r>
      <w:r w:rsidR="576DB879" w:rsidRPr="00874E90">
        <w:rPr>
          <w:rFonts w:eastAsia="Times New Roman"/>
          <w:noProof/>
          <w:color w:val="000000" w:themeColor="text1"/>
        </w:rPr>
        <w:t>is</w:t>
      </w:r>
      <w:r w:rsidR="5AC491CD" w:rsidRPr="00874E90">
        <w:rPr>
          <w:rFonts w:eastAsia="Times New Roman"/>
          <w:noProof/>
          <w:color w:val="000000" w:themeColor="text1"/>
        </w:rPr>
        <w:t xml:space="preserve"> a range of </w:t>
      </w:r>
      <w:r w:rsidRPr="00874E90">
        <w:rPr>
          <w:rFonts w:eastAsia="Times New Roman"/>
          <w:noProof/>
          <w:color w:val="000000" w:themeColor="text1"/>
        </w:rPr>
        <w:t>0.3-0.9 Mt of low-carbon plastics</w:t>
      </w:r>
      <w:r w:rsidR="69052AD2" w:rsidRPr="00874E90">
        <w:rPr>
          <w:rFonts w:eastAsia="Times New Roman"/>
          <w:noProof/>
          <w:color w:val="000000" w:themeColor="text1"/>
        </w:rPr>
        <w:t xml:space="preserve"> demand</w:t>
      </w:r>
      <w:r w:rsidRPr="00337FE3">
        <w:rPr>
          <w:rFonts w:eastAsia="Times New Roman"/>
          <w:noProof/>
          <w:color w:val="000000" w:themeColor="text1"/>
          <w:vertAlign w:val="superscript"/>
        </w:rPr>
        <w:footnoteReference w:id="417"/>
      </w:r>
      <w:r w:rsidRPr="00874E90">
        <w:rPr>
          <w:rFonts w:eastAsia="Times New Roman"/>
          <w:noProof/>
          <w:color w:val="000000" w:themeColor="text1"/>
        </w:rPr>
        <w:t>.</w:t>
      </w:r>
      <w:r w:rsidR="2C64F6C2" w:rsidRPr="00874E90">
        <w:rPr>
          <w:rFonts w:eastAsia="Times New Roman"/>
          <w:noProof/>
          <w:color w:val="000000" w:themeColor="text1"/>
        </w:rPr>
        <w:t xml:space="preserve"> </w:t>
      </w:r>
      <w:r w:rsidR="4C78586E" w:rsidRPr="00874E90">
        <w:rPr>
          <w:rFonts w:eastAsia="Times New Roman"/>
          <w:noProof/>
          <w:color w:val="000000" w:themeColor="text1"/>
        </w:rPr>
        <w:t>The design of p</w:t>
      </w:r>
      <w:r w:rsidR="2C64F6C2" w:rsidRPr="00874E90">
        <w:rPr>
          <w:rFonts w:eastAsia="Times New Roman"/>
          <w:noProof/>
          <w:color w:val="000000" w:themeColor="text1"/>
        </w:rPr>
        <w:t xml:space="preserve">ublic support measures will </w:t>
      </w:r>
      <w:r w:rsidR="3E2BCB61" w:rsidRPr="00874E90">
        <w:rPr>
          <w:rFonts w:eastAsia="Times New Roman"/>
          <w:noProof/>
          <w:color w:val="000000" w:themeColor="text1"/>
        </w:rPr>
        <w:t xml:space="preserve">impact </w:t>
      </w:r>
      <w:r w:rsidR="2C64F6C2" w:rsidRPr="00874E90">
        <w:rPr>
          <w:rFonts w:eastAsia="Times New Roman"/>
          <w:noProof/>
          <w:color w:val="000000" w:themeColor="text1"/>
        </w:rPr>
        <w:t xml:space="preserve">this </w:t>
      </w:r>
      <w:r w:rsidR="378EBCFF" w:rsidRPr="00874E90">
        <w:rPr>
          <w:rFonts w:eastAsia="Times New Roman"/>
          <w:noProof/>
          <w:color w:val="000000" w:themeColor="text1"/>
        </w:rPr>
        <w:t>estimate</w:t>
      </w:r>
      <w:r w:rsidR="2C64F6C2" w:rsidRPr="00874E90">
        <w:rPr>
          <w:rFonts w:eastAsia="Times New Roman"/>
          <w:noProof/>
          <w:color w:val="000000" w:themeColor="text1"/>
        </w:rPr>
        <w:t xml:space="preserve"> significantly, </w:t>
      </w:r>
      <w:r w:rsidR="27E26317" w:rsidRPr="00874E90">
        <w:rPr>
          <w:rFonts w:eastAsia="Times New Roman"/>
          <w:noProof/>
          <w:color w:val="000000" w:themeColor="text1"/>
        </w:rPr>
        <w:t xml:space="preserve">driving </w:t>
      </w:r>
      <w:r w:rsidR="4BBC6FC3" w:rsidRPr="00874E90">
        <w:rPr>
          <w:rFonts w:eastAsia="Times New Roman"/>
          <w:noProof/>
          <w:color w:val="000000" w:themeColor="text1"/>
        </w:rPr>
        <w:t>investments</w:t>
      </w:r>
      <w:r w:rsidR="22A089C8" w:rsidRPr="00874E90">
        <w:rPr>
          <w:rFonts w:eastAsia="Times New Roman"/>
          <w:noProof/>
          <w:color w:val="000000" w:themeColor="text1"/>
        </w:rPr>
        <w:t xml:space="preserve"> </w:t>
      </w:r>
      <w:r w:rsidR="326E552E" w:rsidRPr="00874E90">
        <w:rPr>
          <w:rFonts w:eastAsia="Times New Roman"/>
          <w:noProof/>
          <w:color w:val="000000" w:themeColor="text1"/>
        </w:rPr>
        <w:t xml:space="preserve">to </w:t>
      </w:r>
      <w:r w:rsidR="2F847433" w:rsidRPr="00874E90">
        <w:rPr>
          <w:rFonts w:eastAsia="Times New Roman"/>
          <w:noProof/>
          <w:color w:val="000000" w:themeColor="text1"/>
        </w:rPr>
        <w:t>any</w:t>
      </w:r>
      <w:r w:rsidR="27E26317" w:rsidRPr="00874E90">
        <w:rPr>
          <w:rFonts w:eastAsia="Times New Roman"/>
          <w:noProof/>
          <w:color w:val="000000" w:themeColor="text1"/>
        </w:rPr>
        <w:t xml:space="preserve"> </w:t>
      </w:r>
      <w:r w:rsidR="2F847433" w:rsidRPr="00874E90">
        <w:rPr>
          <w:rFonts w:eastAsia="Times New Roman"/>
          <w:noProof/>
          <w:color w:val="000000" w:themeColor="text1"/>
        </w:rPr>
        <w:t>combination of, for example,</w:t>
      </w:r>
      <w:r w:rsidR="27E26317" w:rsidRPr="00874E90">
        <w:rPr>
          <w:rFonts w:eastAsia="Times New Roman"/>
          <w:noProof/>
          <w:color w:val="000000" w:themeColor="text1"/>
        </w:rPr>
        <w:t xml:space="preserve"> insulation, heating</w:t>
      </w:r>
      <w:r w:rsidR="6936E44B" w:rsidRPr="00874E90">
        <w:rPr>
          <w:rFonts w:eastAsia="Times New Roman"/>
          <w:noProof/>
          <w:color w:val="000000" w:themeColor="text1"/>
        </w:rPr>
        <w:t>,</w:t>
      </w:r>
      <w:r w:rsidR="27E26317" w:rsidRPr="00874E90">
        <w:rPr>
          <w:rFonts w:eastAsia="Times New Roman"/>
          <w:noProof/>
          <w:color w:val="000000" w:themeColor="text1"/>
        </w:rPr>
        <w:t xml:space="preserve"> </w:t>
      </w:r>
      <w:r w:rsidR="47DA3279" w:rsidRPr="00874E90">
        <w:rPr>
          <w:rFonts w:eastAsia="Times New Roman"/>
          <w:noProof/>
          <w:color w:val="000000" w:themeColor="text1"/>
        </w:rPr>
        <w:t>ventilation</w:t>
      </w:r>
      <w:r w:rsidR="27E26317" w:rsidRPr="00874E90">
        <w:rPr>
          <w:rFonts w:eastAsia="Times New Roman"/>
          <w:noProof/>
          <w:color w:val="000000" w:themeColor="text1"/>
        </w:rPr>
        <w:t xml:space="preserve">, </w:t>
      </w:r>
      <w:r w:rsidR="6E1D9B61" w:rsidRPr="00874E90">
        <w:rPr>
          <w:rFonts w:eastAsia="Times New Roman"/>
          <w:noProof/>
          <w:color w:val="000000" w:themeColor="text1"/>
        </w:rPr>
        <w:t>renewable</w:t>
      </w:r>
      <w:r w:rsidR="27E26317" w:rsidRPr="00874E90">
        <w:rPr>
          <w:rFonts w:eastAsia="Times New Roman"/>
          <w:noProof/>
          <w:color w:val="000000" w:themeColor="text1"/>
        </w:rPr>
        <w:t xml:space="preserve"> </w:t>
      </w:r>
      <w:r w:rsidR="0AFE8A2B" w:rsidRPr="00874E90">
        <w:rPr>
          <w:rFonts w:eastAsia="Times New Roman"/>
          <w:noProof/>
          <w:color w:val="000000" w:themeColor="text1"/>
        </w:rPr>
        <w:t>installations</w:t>
      </w:r>
      <w:r w:rsidR="27E26317" w:rsidRPr="00874E90">
        <w:rPr>
          <w:rFonts w:eastAsia="Times New Roman"/>
          <w:noProof/>
          <w:color w:val="000000" w:themeColor="text1"/>
        </w:rPr>
        <w:t xml:space="preserve">, </w:t>
      </w:r>
      <w:r w:rsidR="3CCDCB6B" w:rsidRPr="00874E90">
        <w:rPr>
          <w:rFonts w:eastAsia="Times New Roman"/>
          <w:noProof/>
          <w:color w:val="000000" w:themeColor="text1"/>
        </w:rPr>
        <w:t>and</w:t>
      </w:r>
      <w:r w:rsidR="27E26317" w:rsidRPr="00874E90">
        <w:rPr>
          <w:rFonts w:eastAsia="Times New Roman"/>
          <w:noProof/>
          <w:color w:val="000000" w:themeColor="text1"/>
        </w:rPr>
        <w:t xml:space="preserve"> holistic renovation </w:t>
      </w:r>
      <w:r w:rsidR="4BEAE0F4" w:rsidRPr="00874E90">
        <w:rPr>
          <w:rFonts w:eastAsia="Times New Roman"/>
          <w:noProof/>
          <w:color w:val="000000" w:themeColor="text1"/>
        </w:rPr>
        <w:t>of the building envelope.</w:t>
      </w:r>
      <w:r w:rsidR="27E26317" w:rsidRPr="00874E90">
        <w:rPr>
          <w:rFonts w:eastAsia="Times New Roman"/>
          <w:noProof/>
          <w:color w:val="000000" w:themeColor="text1"/>
        </w:rPr>
        <w:t xml:space="preserve"> </w:t>
      </w:r>
    </w:p>
    <w:p w14:paraId="444F1117" w14:textId="10CFC21D" w:rsidR="4BCB7A59" w:rsidRPr="00874E90" w:rsidRDefault="4BCB7A59" w:rsidP="00874E90">
      <w:pPr>
        <w:spacing w:after="120"/>
        <w:rPr>
          <w:rFonts w:eastAsia="Times New Roman"/>
          <w:noProof/>
          <w:color w:val="000000" w:themeColor="text1"/>
        </w:rPr>
      </w:pPr>
      <w:r w:rsidRPr="00874E90">
        <w:rPr>
          <w:rFonts w:eastAsia="Times New Roman"/>
          <w:noProof/>
          <w:color w:val="000000" w:themeColor="text1"/>
        </w:rPr>
        <w:t>In total, t</w:t>
      </w:r>
      <w:r w:rsidR="6C6B5490" w:rsidRPr="00874E90">
        <w:rPr>
          <w:rFonts w:eastAsia="Times New Roman"/>
          <w:noProof/>
          <w:color w:val="000000" w:themeColor="text1"/>
        </w:rPr>
        <w:t xml:space="preserve">his </w:t>
      </w:r>
      <w:r w:rsidR="008F6DFC">
        <w:rPr>
          <w:rFonts w:eastAsia="Times New Roman"/>
          <w:noProof/>
          <w:color w:val="000000" w:themeColor="text1"/>
        </w:rPr>
        <w:t>measure</w:t>
      </w:r>
      <w:r w:rsidR="6C6B5490" w:rsidRPr="00874E90">
        <w:rPr>
          <w:rFonts w:eastAsia="Times New Roman"/>
          <w:noProof/>
          <w:color w:val="000000" w:themeColor="text1"/>
        </w:rPr>
        <w:t xml:space="preserve"> </w:t>
      </w:r>
      <w:r w:rsidR="006D38CC">
        <w:rPr>
          <w:rFonts w:eastAsia="Times New Roman"/>
          <w:noProof/>
          <w:color w:val="000000" w:themeColor="text1"/>
        </w:rPr>
        <w:t>could</w:t>
      </w:r>
      <w:r w:rsidR="6C6B5490" w:rsidRPr="00874E90">
        <w:rPr>
          <w:rFonts w:eastAsia="Times New Roman"/>
          <w:noProof/>
          <w:color w:val="000000" w:themeColor="text1"/>
        </w:rPr>
        <w:t xml:space="preserve"> generate additional demand of 1.1-1.7 Mt for EU-made low-carbon plastics. While this represents 11-17% of current recycling volumes (10.6 Mt in 2024), it provides a meaningful incentive to maintain and expand the low-carbon plastics supply chain within the EU. Such supply chain development is also expected to stimulate </w:t>
      </w:r>
      <w:r w:rsidR="511F58F1" w:rsidRPr="00874E90">
        <w:rPr>
          <w:rFonts w:eastAsia="Times New Roman"/>
          <w:noProof/>
          <w:color w:val="000000" w:themeColor="text1"/>
        </w:rPr>
        <w:t xml:space="preserve">additional </w:t>
      </w:r>
      <w:r w:rsidR="6C6B5490" w:rsidRPr="00874E90">
        <w:rPr>
          <w:rFonts w:eastAsia="Times New Roman"/>
          <w:noProof/>
          <w:color w:val="000000" w:themeColor="text1"/>
        </w:rPr>
        <w:t>voluntary demand for low-carbon plastics from private sector actors.</w:t>
      </w:r>
    </w:p>
    <w:p w14:paraId="45197375" w14:textId="69479E48" w:rsidR="15A3C78F" w:rsidRPr="00874E90" w:rsidRDefault="15A3C78F" w:rsidP="00874E90">
      <w:pPr>
        <w:spacing w:after="120"/>
        <w:rPr>
          <w:rFonts w:eastAsia="Times New Roman"/>
          <w:noProof/>
          <w:color w:val="000000" w:themeColor="text1"/>
        </w:rPr>
      </w:pPr>
      <w:r w:rsidRPr="00874E90">
        <w:rPr>
          <w:rFonts w:eastAsia="Times New Roman"/>
          <w:noProof/>
          <w:color w:val="000000" w:themeColor="text1"/>
        </w:rPr>
        <w:t xml:space="preserve">The projected additional demand requires </w:t>
      </w:r>
      <w:r w:rsidR="00A816A5" w:rsidRPr="00874E90">
        <w:rPr>
          <w:rFonts w:eastAsia="Times New Roman"/>
          <w:noProof/>
          <w:color w:val="000000" w:themeColor="text1"/>
        </w:rPr>
        <w:t>investments</w:t>
      </w:r>
      <w:r w:rsidRPr="00874E90">
        <w:rPr>
          <w:rFonts w:eastAsia="Times New Roman"/>
          <w:noProof/>
          <w:color w:val="000000" w:themeColor="text1"/>
        </w:rPr>
        <w:t xml:space="preserve"> of at least </w:t>
      </w:r>
      <w:r w:rsidR="7C53B9E7" w:rsidRPr="00874E90">
        <w:rPr>
          <w:rFonts w:eastAsia="Times New Roman"/>
          <w:noProof/>
          <w:color w:val="000000" w:themeColor="text1"/>
        </w:rPr>
        <w:t xml:space="preserve">€1.5-2.6 billion into production capacity, based on </w:t>
      </w:r>
      <w:r w:rsidRPr="00874E90">
        <w:rPr>
          <w:rFonts w:eastAsia="Times New Roman"/>
          <w:noProof/>
          <w:color w:val="000000" w:themeColor="text1"/>
        </w:rPr>
        <w:t>established investment parameters for mechanically recycled plastics</w:t>
      </w:r>
      <w:r w:rsidR="4241E4A1" w:rsidRPr="00874E90">
        <w:rPr>
          <w:rFonts w:eastAsia="Times New Roman"/>
          <w:noProof/>
          <w:color w:val="000000" w:themeColor="text1"/>
        </w:rPr>
        <w:t>. The annual trade balance is expected to improve with €1.1-1.7 billion, a</w:t>
      </w:r>
      <w:r w:rsidRPr="00874E90">
        <w:rPr>
          <w:rFonts w:eastAsia="Times New Roman"/>
          <w:noProof/>
          <w:color w:val="000000" w:themeColor="text1"/>
        </w:rPr>
        <w:t>ssuming substitution of virgin imports at €1,000 per tonne.</w:t>
      </w:r>
    </w:p>
    <w:p w14:paraId="350D8925" w14:textId="7B2C5B3F" w:rsidR="0CD26BEC" w:rsidRPr="00337FE3" w:rsidRDefault="0CD26BEC" w:rsidP="002A16D5">
      <w:pPr>
        <w:spacing w:after="120"/>
        <w:rPr>
          <w:rFonts w:eastAsia="Times New Roman"/>
          <w:b/>
          <w:noProof/>
          <w:color w:val="000000" w:themeColor="text1"/>
        </w:rPr>
      </w:pPr>
      <w:r w:rsidRPr="00337FE3">
        <w:rPr>
          <w:rFonts w:eastAsia="Times New Roman"/>
          <w:b/>
          <w:noProof/>
          <w:color w:val="000000" w:themeColor="text1"/>
        </w:rPr>
        <w:t>Cost of measures</w:t>
      </w:r>
    </w:p>
    <w:p w14:paraId="6839E8CE" w14:textId="582D481C" w:rsidR="0CD26BEC" w:rsidRPr="002A16D5" w:rsidRDefault="0CD26BEC" w:rsidP="002A16D5">
      <w:pPr>
        <w:spacing w:after="120"/>
        <w:rPr>
          <w:rFonts w:eastAsia="Times New Roman"/>
          <w:noProof/>
          <w:color w:val="000000" w:themeColor="text1"/>
        </w:rPr>
      </w:pPr>
      <w:r w:rsidRPr="002A16D5">
        <w:rPr>
          <w:rFonts w:eastAsia="Times New Roman"/>
          <w:noProof/>
          <w:color w:val="000000" w:themeColor="text1"/>
        </w:rPr>
        <w:lastRenderedPageBreak/>
        <w:t>The cost impact on the covered construction activity is limited, as plastics represent only 2-4% of total building costs</w:t>
      </w:r>
      <w:r w:rsidRPr="64D3EC15">
        <w:rPr>
          <w:rFonts w:eastAsia="Times New Roman"/>
          <w:noProof/>
          <w:color w:val="000000" w:themeColor="text1"/>
          <w:vertAlign w:val="superscript"/>
        </w:rPr>
        <w:footnoteReference w:id="418"/>
      </w:r>
      <w:r w:rsidRPr="64D3EC15">
        <w:rPr>
          <w:rFonts w:eastAsia="Times New Roman"/>
          <w:noProof/>
          <w:color w:val="000000" w:themeColor="text1"/>
        </w:rPr>
        <w:t xml:space="preserve">, </w:t>
      </w:r>
      <w:r w:rsidRPr="002A16D5">
        <w:rPr>
          <w:rFonts w:eastAsia="Times New Roman"/>
          <w:noProof/>
          <w:color w:val="000000" w:themeColor="text1"/>
        </w:rPr>
        <w:t xml:space="preserve">the proposed </w:t>
      </w:r>
      <w:r w:rsidR="6865B30E" w:rsidRPr="64D3EC15">
        <w:rPr>
          <w:rFonts w:eastAsia="Times New Roman"/>
          <w:noProof/>
          <w:color w:val="000000" w:themeColor="text1"/>
        </w:rPr>
        <w:t xml:space="preserve">three products cover 60% of plastics and analysed </w:t>
      </w:r>
      <w:r w:rsidRPr="002A16D5">
        <w:rPr>
          <w:rFonts w:eastAsia="Times New Roman"/>
          <w:noProof/>
          <w:color w:val="000000" w:themeColor="text1"/>
        </w:rPr>
        <w:t xml:space="preserve">targets apply to 30% of </w:t>
      </w:r>
      <w:r w:rsidR="4A025ABF" w:rsidRPr="64D3EC15">
        <w:rPr>
          <w:rFonts w:eastAsia="Times New Roman"/>
          <w:noProof/>
          <w:color w:val="000000" w:themeColor="text1"/>
        </w:rPr>
        <w:t>that plastic.</w:t>
      </w:r>
      <w:r w:rsidR="28CC048B" w:rsidRPr="002A16D5">
        <w:rPr>
          <w:rFonts w:eastAsia="Times New Roman"/>
          <w:noProof/>
          <w:color w:val="000000" w:themeColor="text1"/>
        </w:rPr>
        <w:t xml:space="preserve"> </w:t>
      </w:r>
      <w:r w:rsidR="1E087598" w:rsidRPr="002A16D5">
        <w:rPr>
          <w:rFonts w:eastAsia="Times New Roman"/>
          <w:noProof/>
          <w:color w:val="000000" w:themeColor="text1"/>
        </w:rPr>
        <w:t xml:space="preserve">In </w:t>
      </w:r>
      <w:r w:rsidR="402D7D5E" w:rsidRPr="002A16D5">
        <w:rPr>
          <w:rFonts w:eastAsia="Times New Roman"/>
          <w:noProof/>
          <w:color w:val="000000" w:themeColor="text1"/>
        </w:rPr>
        <w:t>favourable</w:t>
      </w:r>
      <w:r w:rsidR="28CC048B" w:rsidRPr="002A16D5">
        <w:rPr>
          <w:rFonts w:eastAsia="Times New Roman"/>
          <w:noProof/>
          <w:color w:val="000000" w:themeColor="text1"/>
        </w:rPr>
        <w:t xml:space="preserve"> market conditions the </w:t>
      </w:r>
      <w:r w:rsidRPr="002A16D5">
        <w:rPr>
          <w:rFonts w:eastAsia="Times New Roman"/>
          <w:noProof/>
          <w:color w:val="000000" w:themeColor="text1"/>
        </w:rPr>
        <w:t xml:space="preserve">costs for low-carbon plastics could approach parity with conventional alternatives. However, </w:t>
      </w:r>
      <w:r w:rsidR="1A7141CF" w:rsidRPr="002A16D5">
        <w:rPr>
          <w:rFonts w:eastAsia="Times New Roman"/>
          <w:noProof/>
          <w:color w:val="000000" w:themeColor="text1"/>
        </w:rPr>
        <w:t xml:space="preserve">in the </w:t>
      </w:r>
      <w:r w:rsidRPr="002A16D5">
        <w:rPr>
          <w:rFonts w:eastAsia="Times New Roman"/>
          <w:noProof/>
          <w:color w:val="000000" w:themeColor="text1"/>
        </w:rPr>
        <w:t xml:space="preserve">initial </w:t>
      </w:r>
      <w:r w:rsidR="55DEEA5D" w:rsidRPr="002A16D5">
        <w:rPr>
          <w:rFonts w:eastAsia="Times New Roman"/>
          <w:noProof/>
          <w:color w:val="000000" w:themeColor="text1"/>
        </w:rPr>
        <w:t xml:space="preserve">years of </w:t>
      </w:r>
      <w:r w:rsidRPr="002A16D5">
        <w:rPr>
          <w:rFonts w:eastAsia="Times New Roman"/>
          <w:noProof/>
          <w:color w:val="000000" w:themeColor="text1"/>
        </w:rPr>
        <w:t>implementation a 10-20% premium</w:t>
      </w:r>
      <w:r w:rsidR="22E9036D" w:rsidRPr="002A16D5">
        <w:rPr>
          <w:rFonts w:eastAsia="Times New Roman"/>
          <w:noProof/>
          <w:color w:val="000000" w:themeColor="text1"/>
        </w:rPr>
        <w:t xml:space="preserve"> is likely</w:t>
      </w:r>
      <w:r w:rsidRPr="002A16D5">
        <w:rPr>
          <w:rFonts w:eastAsia="Times New Roman"/>
          <w:noProof/>
          <w:color w:val="000000" w:themeColor="text1"/>
        </w:rPr>
        <w:t xml:space="preserve">, </w:t>
      </w:r>
      <w:r w:rsidR="2836C53E" w:rsidRPr="002A16D5">
        <w:rPr>
          <w:rFonts w:eastAsia="Times New Roman"/>
          <w:noProof/>
          <w:color w:val="000000" w:themeColor="text1"/>
        </w:rPr>
        <w:t xml:space="preserve">set by mechanical recycling cost levels, </w:t>
      </w:r>
      <w:r w:rsidRPr="002A16D5">
        <w:rPr>
          <w:rFonts w:eastAsia="Times New Roman"/>
          <w:noProof/>
          <w:color w:val="000000" w:themeColor="text1"/>
        </w:rPr>
        <w:t xml:space="preserve">which when applied to total construction costs implies an </w:t>
      </w:r>
      <w:r w:rsidR="77A0F8D2" w:rsidRPr="64D3EC15">
        <w:rPr>
          <w:rFonts w:eastAsia="Times New Roman"/>
          <w:noProof/>
          <w:color w:val="000000" w:themeColor="text1"/>
        </w:rPr>
        <w:t xml:space="preserve">overall </w:t>
      </w:r>
      <w:r w:rsidRPr="002A16D5">
        <w:rPr>
          <w:rFonts w:eastAsia="Times New Roman"/>
          <w:noProof/>
          <w:color w:val="000000" w:themeColor="text1"/>
        </w:rPr>
        <w:t>increase of 0.</w:t>
      </w:r>
      <w:r w:rsidR="716F5CB1" w:rsidRPr="64D3EC15">
        <w:rPr>
          <w:rFonts w:eastAsia="Times New Roman"/>
          <w:noProof/>
          <w:color w:val="000000" w:themeColor="text1"/>
        </w:rPr>
        <w:t>0</w:t>
      </w:r>
      <w:r w:rsidRPr="64D3EC15">
        <w:rPr>
          <w:rFonts w:eastAsia="Times New Roman"/>
          <w:noProof/>
          <w:color w:val="000000" w:themeColor="text1"/>
        </w:rPr>
        <w:t>36</w:t>
      </w:r>
      <w:r w:rsidRPr="002A16D5">
        <w:rPr>
          <w:rFonts w:eastAsia="Times New Roman"/>
          <w:noProof/>
          <w:color w:val="000000" w:themeColor="text1"/>
        </w:rPr>
        <w:t>-0.</w:t>
      </w:r>
      <w:r w:rsidR="57F73805" w:rsidRPr="64D3EC15">
        <w:rPr>
          <w:rFonts w:eastAsia="Times New Roman"/>
          <w:noProof/>
          <w:color w:val="000000" w:themeColor="text1"/>
        </w:rPr>
        <w:t>14</w:t>
      </w:r>
      <w:r w:rsidR="1C996836" w:rsidRPr="64D3EC15">
        <w:rPr>
          <w:rFonts w:eastAsia="Times New Roman"/>
          <w:noProof/>
          <w:color w:val="000000" w:themeColor="text1"/>
        </w:rPr>
        <w:t>%</w:t>
      </w:r>
      <w:r w:rsidR="6A9FE4E0" w:rsidRPr="64D3EC15">
        <w:rPr>
          <w:rFonts w:eastAsia="Times New Roman"/>
          <w:noProof/>
          <w:color w:val="000000" w:themeColor="text1"/>
        </w:rPr>
        <w:t xml:space="preserve"> </w:t>
      </w:r>
      <w:r w:rsidRPr="64D3EC15">
        <w:rPr>
          <w:rFonts w:eastAsia="Times New Roman"/>
          <w:noProof/>
          <w:color w:val="000000" w:themeColor="text1"/>
          <w:vertAlign w:val="superscript"/>
        </w:rPr>
        <w:footnoteReference w:id="419"/>
      </w:r>
      <w:r w:rsidR="23C5EF06" w:rsidRPr="64D3EC15">
        <w:rPr>
          <w:rFonts w:eastAsia="Times New Roman"/>
          <w:noProof/>
          <w:color w:val="000000" w:themeColor="text1"/>
        </w:rPr>
        <w:t>.</w:t>
      </w:r>
    </w:p>
    <w:p w14:paraId="77B7AE7D" w14:textId="38F593CB" w:rsidR="3D161965" w:rsidRPr="00337FE3" w:rsidRDefault="3D161965" w:rsidP="002A16D5">
      <w:pPr>
        <w:spacing w:after="120"/>
        <w:rPr>
          <w:rFonts w:eastAsia="Times New Roman"/>
          <w:b/>
          <w:noProof/>
          <w:color w:val="000000" w:themeColor="text1"/>
        </w:rPr>
      </w:pPr>
      <w:r w:rsidRPr="00337FE3">
        <w:rPr>
          <w:rFonts w:eastAsia="Times New Roman"/>
          <w:b/>
          <w:noProof/>
          <w:color w:val="000000" w:themeColor="text1"/>
        </w:rPr>
        <w:t>Benefits of measures</w:t>
      </w:r>
    </w:p>
    <w:p w14:paraId="7482D837" w14:textId="33A35AF6" w:rsidR="3957DA7D" w:rsidRPr="002A16D5" w:rsidRDefault="3957DA7D" w:rsidP="002A16D5">
      <w:pPr>
        <w:spacing w:after="120"/>
        <w:rPr>
          <w:rFonts w:eastAsia="Times New Roman"/>
          <w:noProof/>
          <w:color w:val="000000" w:themeColor="text1"/>
        </w:rPr>
      </w:pPr>
      <w:r w:rsidRPr="002A16D5">
        <w:rPr>
          <w:rFonts w:eastAsia="Times New Roman"/>
          <w:noProof/>
          <w:color w:val="000000" w:themeColor="text1"/>
        </w:rPr>
        <w:t xml:space="preserve">The societal benefits, including employment creation, emissions reductions, and reduced waste disposal costs, are expected to generate a positive economic case at the societal level well before cost parity is achieved at production plant level. </w:t>
      </w:r>
    </w:p>
    <w:p w14:paraId="65022964" w14:textId="75C21D73" w:rsidR="3957DA7D" w:rsidRPr="002A16D5" w:rsidRDefault="3957DA7D" w:rsidP="002A16D5">
      <w:pPr>
        <w:spacing w:after="120"/>
        <w:rPr>
          <w:rFonts w:eastAsia="Times New Roman"/>
          <w:noProof/>
          <w:color w:val="000000" w:themeColor="text1"/>
        </w:rPr>
      </w:pPr>
      <w:r w:rsidRPr="002A16D5">
        <w:rPr>
          <w:rFonts w:eastAsia="Times New Roman"/>
          <w:noProof/>
          <w:color w:val="000000" w:themeColor="text1"/>
        </w:rPr>
        <w:t>T</w:t>
      </w:r>
      <w:r w:rsidR="3D161965" w:rsidRPr="002A16D5">
        <w:rPr>
          <w:rFonts w:eastAsia="Times New Roman"/>
          <w:noProof/>
          <w:color w:val="000000" w:themeColor="text1"/>
        </w:rPr>
        <w:t>he measures contribute t</w:t>
      </w:r>
      <w:r w:rsidR="127286E0" w:rsidRPr="002A16D5">
        <w:rPr>
          <w:rFonts w:eastAsia="Times New Roman"/>
          <w:noProof/>
          <w:color w:val="000000" w:themeColor="text1"/>
        </w:rPr>
        <w:t>o</w:t>
      </w:r>
      <w:r w:rsidR="3D161965" w:rsidRPr="002A16D5">
        <w:rPr>
          <w:rFonts w:eastAsia="Times New Roman"/>
          <w:noProof/>
          <w:color w:val="000000" w:themeColor="text1"/>
        </w:rPr>
        <w:t xml:space="preserve"> robust industrial supply chains and reduced dependencies on fossil inputs, </w:t>
      </w:r>
      <w:r w:rsidR="10AFF4C2" w:rsidRPr="002A16D5">
        <w:rPr>
          <w:rFonts w:eastAsia="Times New Roman"/>
          <w:noProof/>
          <w:color w:val="000000" w:themeColor="text1"/>
        </w:rPr>
        <w:t xml:space="preserve">the </w:t>
      </w:r>
      <w:r w:rsidR="7555E6C8" w:rsidRPr="002A16D5">
        <w:rPr>
          <w:rFonts w:eastAsia="Times New Roman"/>
          <w:noProof/>
          <w:color w:val="000000" w:themeColor="text1"/>
        </w:rPr>
        <w:t xml:space="preserve">main intended </w:t>
      </w:r>
      <w:r w:rsidR="45C99F2B" w:rsidRPr="002A16D5">
        <w:rPr>
          <w:rFonts w:eastAsia="Times New Roman"/>
          <w:noProof/>
          <w:color w:val="000000" w:themeColor="text1"/>
        </w:rPr>
        <w:t xml:space="preserve">impacts. But these are </w:t>
      </w:r>
      <w:r w:rsidR="7555E6C8" w:rsidRPr="002A16D5">
        <w:rPr>
          <w:rFonts w:eastAsia="Times New Roman"/>
          <w:noProof/>
          <w:color w:val="000000" w:themeColor="text1"/>
        </w:rPr>
        <w:t xml:space="preserve">joined by several other benefits. </w:t>
      </w:r>
      <w:r w:rsidR="3D161965" w:rsidRPr="002A16D5">
        <w:rPr>
          <w:rFonts w:eastAsia="Times New Roman"/>
          <w:noProof/>
          <w:color w:val="000000" w:themeColor="text1"/>
        </w:rPr>
        <w:t xml:space="preserve">The impact on direct employment is </w:t>
      </w:r>
      <w:r w:rsidR="5E6D6AF8" w:rsidRPr="002A16D5">
        <w:rPr>
          <w:rFonts w:eastAsia="Times New Roman"/>
          <w:noProof/>
          <w:color w:val="000000" w:themeColor="text1"/>
        </w:rPr>
        <w:t xml:space="preserve">significant, with </w:t>
      </w:r>
      <w:r w:rsidR="3D161965" w:rsidRPr="002A16D5">
        <w:rPr>
          <w:rFonts w:eastAsia="Times New Roman"/>
          <w:noProof/>
          <w:color w:val="000000" w:themeColor="text1"/>
        </w:rPr>
        <w:t>projected job creation of</w:t>
      </w:r>
      <w:r w:rsidR="7738544A" w:rsidRPr="002A16D5">
        <w:rPr>
          <w:rFonts w:eastAsia="Times New Roman"/>
          <w:noProof/>
          <w:color w:val="000000" w:themeColor="text1"/>
        </w:rPr>
        <w:t xml:space="preserve"> </w:t>
      </w:r>
      <w:r w:rsidR="3D161965" w:rsidRPr="002A16D5">
        <w:rPr>
          <w:rFonts w:eastAsia="Times New Roman"/>
          <w:noProof/>
          <w:color w:val="000000" w:themeColor="text1"/>
        </w:rPr>
        <w:t>29</w:t>
      </w:r>
      <w:r w:rsidR="008D03EE">
        <w:rPr>
          <w:rFonts w:eastAsia="Times New Roman"/>
          <w:noProof/>
          <w:color w:val="000000" w:themeColor="text1"/>
        </w:rPr>
        <w:t xml:space="preserve"> </w:t>
      </w:r>
      <w:r w:rsidR="3D161965" w:rsidRPr="002A16D5">
        <w:rPr>
          <w:rFonts w:eastAsia="Times New Roman"/>
          <w:noProof/>
          <w:color w:val="000000" w:themeColor="text1"/>
        </w:rPr>
        <w:t>000-45</w:t>
      </w:r>
      <w:r w:rsidR="006D38CC">
        <w:rPr>
          <w:rFonts w:eastAsia="Times New Roman"/>
          <w:noProof/>
          <w:color w:val="000000" w:themeColor="text1"/>
        </w:rPr>
        <w:t xml:space="preserve"> </w:t>
      </w:r>
      <w:r w:rsidR="3D161965" w:rsidRPr="002A16D5">
        <w:rPr>
          <w:rFonts w:eastAsia="Times New Roman"/>
          <w:noProof/>
          <w:color w:val="000000" w:themeColor="text1"/>
        </w:rPr>
        <w:t>000 positions</w:t>
      </w:r>
      <w:r w:rsidR="3F654FF0" w:rsidRPr="002A16D5">
        <w:rPr>
          <w:rFonts w:eastAsia="Times New Roman"/>
          <w:noProof/>
          <w:color w:val="000000" w:themeColor="text1"/>
        </w:rPr>
        <w:t xml:space="preserve">, </w:t>
      </w:r>
      <w:r w:rsidR="3D161965" w:rsidRPr="002A16D5">
        <w:rPr>
          <w:rFonts w:eastAsia="Times New Roman"/>
          <w:noProof/>
          <w:color w:val="000000" w:themeColor="text1"/>
        </w:rPr>
        <w:t>applying the sector average employment ratio per unit capacity.</w:t>
      </w:r>
      <w:r w:rsidR="55A6C16B" w:rsidRPr="002A16D5">
        <w:rPr>
          <w:rFonts w:eastAsia="Times New Roman"/>
          <w:noProof/>
          <w:color w:val="000000" w:themeColor="text1"/>
        </w:rPr>
        <w:t xml:space="preserve"> The substitution of </w:t>
      </w:r>
      <w:r w:rsidR="2035005E" w:rsidRPr="002A16D5">
        <w:rPr>
          <w:rFonts w:eastAsia="Times New Roman"/>
          <w:noProof/>
          <w:color w:val="000000" w:themeColor="text1"/>
        </w:rPr>
        <w:t>fossil-based</w:t>
      </w:r>
      <w:r w:rsidR="55A6C16B" w:rsidRPr="002A16D5">
        <w:rPr>
          <w:rFonts w:eastAsia="Times New Roman"/>
          <w:noProof/>
          <w:color w:val="000000" w:themeColor="text1"/>
        </w:rPr>
        <w:t xml:space="preserve"> plastic will </w:t>
      </w:r>
      <w:r w:rsidR="035A014A" w:rsidRPr="002A16D5">
        <w:rPr>
          <w:rFonts w:eastAsia="Times New Roman"/>
          <w:noProof/>
          <w:color w:val="000000" w:themeColor="text1"/>
        </w:rPr>
        <w:t>reduce annual CO2 emissions with 3-4,8</w:t>
      </w:r>
      <w:r w:rsidR="12AD0109" w:rsidRPr="002A16D5">
        <w:rPr>
          <w:rFonts w:eastAsia="Times New Roman"/>
          <w:noProof/>
          <w:color w:val="000000" w:themeColor="text1"/>
        </w:rPr>
        <w:t>Mt</w:t>
      </w:r>
      <w:r w:rsidRPr="00337FE3">
        <w:rPr>
          <w:rFonts w:eastAsia="Times New Roman"/>
          <w:noProof/>
          <w:color w:val="000000" w:themeColor="text1"/>
          <w:vertAlign w:val="superscript"/>
        </w:rPr>
        <w:footnoteReference w:id="420"/>
      </w:r>
      <w:r w:rsidR="31913DB9" w:rsidRPr="002A16D5">
        <w:rPr>
          <w:rFonts w:eastAsia="Times New Roman"/>
          <w:noProof/>
          <w:color w:val="000000" w:themeColor="text1"/>
        </w:rPr>
        <w:t xml:space="preserve">. </w:t>
      </w:r>
    </w:p>
    <w:p w14:paraId="31580E2C" w14:textId="75E32A53" w:rsidR="229E2DE2" w:rsidRPr="002A16D5" w:rsidRDefault="229E2DE2" w:rsidP="002A16D5">
      <w:pPr>
        <w:spacing w:after="120"/>
        <w:rPr>
          <w:rFonts w:eastAsia="Times New Roman"/>
          <w:noProof/>
          <w:color w:val="000000" w:themeColor="text1"/>
        </w:rPr>
      </w:pPr>
      <w:r w:rsidRPr="002A16D5">
        <w:rPr>
          <w:rFonts w:eastAsia="Times New Roman"/>
          <w:noProof/>
          <w:color w:val="000000" w:themeColor="text1"/>
        </w:rPr>
        <w:t xml:space="preserve">The increase in procurement costs </w:t>
      </w:r>
      <w:r w:rsidR="00DB2FB8">
        <w:rPr>
          <w:rFonts w:eastAsia="Times New Roman"/>
          <w:noProof/>
          <w:color w:val="000000" w:themeColor="text1"/>
        </w:rPr>
        <w:t xml:space="preserve">is to a </w:t>
      </w:r>
      <w:r w:rsidR="00412F76">
        <w:rPr>
          <w:rFonts w:eastAsia="Times New Roman"/>
          <w:noProof/>
          <w:color w:val="000000" w:themeColor="text1"/>
        </w:rPr>
        <w:t>large share</w:t>
      </w:r>
      <w:r w:rsidRPr="002A16D5">
        <w:rPr>
          <w:rFonts w:eastAsia="Times New Roman"/>
          <w:noProof/>
          <w:color w:val="000000" w:themeColor="text1"/>
        </w:rPr>
        <w:t xml:space="preserve"> borne by the contracting or supporting public authorities. These authorities will in most cases benefit from several meaningful positive effects within their jurisdictions:</w:t>
      </w:r>
    </w:p>
    <w:p w14:paraId="6A54B17C" w14:textId="18CC9FD7" w:rsidR="229E2DE2" w:rsidRPr="002A16D5" w:rsidRDefault="229E2DE2" w:rsidP="00337FE3">
      <w:pPr>
        <w:pStyle w:val="ListParagraph"/>
        <w:numPr>
          <w:ilvl w:val="0"/>
          <w:numId w:val="264"/>
        </w:numPr>
        <w:spacing w:after="120"/>
        <w:rPr>
          <w:rFonts w:eastAsia="Times New Roman"/>
          <w:noProof/>
          <w:color w:val="000000" w:themeColor="text1"/>
        </w:rPr>
      </w:pPr>
      <w:r w:rsidRPr="002A16D5">
        <w:rPr>
          <w:rFonts w:eastAsia="Times New Roman"/>
          <w:noProof/>
          <w:color w:val="000000" w:themeColor="text1"/>
        </w:rPr>
        <w:t xml:space="preserve">Economic development: </w:t>
      </w:r>
      <w:r w:rsidR="6A1FC3DB" w:rsidRPr="002A16D5">
        <w:rPr>
          <w:rFonts w:eastAsia="Times New Roman"/>
          <w:noProof/>
          <w:color w:val="000000" w:themeColor="text1"/>
        </w:rPr>
        <w:t>A</w:t>
      </w:r>
      <w:r w:rsidRPr="002A16D5">
        <w:rPr>
          <w:rFonts w:eastAsia="Times New Roman"/>
          <w:noProof/>
          <w:color w:val="000000" w:themeColor="text1"/>
        </w:rPr>
        <w:t>ctivities linked to the low-carbon plastics supply chain are generating economic value, employment, and tax revenues.</w:t>
      </w:r>
    </w:p>
    <w:p w14:paraId="15387D39" w14:textId="14D9F781" w:rsidR="229E2DE2" w:rsidRPr="002A16D5" w:rsidRDefault="229E2DE2" w:rsidP="00337FE3">
      <w:pPr>
        <w:pStyle w:val="ListParagraph"/>
        <w:numPr>
          <w:ilvl w:val="0"/>
          <w:numId w:val="264"/>
        </w:numPr>
        <w:spacing w:after="120"/>
        <w:rPr>
          <w:rFonts w:eastAsia="Times New Roman"/>
          <w:noProof/>
          <w:color w:val="000000" w:themeColor="text1"/>
        </w:rPr>
      </w:pPr>
      <w:r w:rsidRPr="002A16D5">
        <w:rPr>
          <w:rFonts w:eastAsia="Times New Roman"/>
          <w:noProof/>
          <w:color w:val="000000" w:themeColor="text1"/>
        </w:rPr>
        <w:t xml:space="preserve">Climate action: The </w:t>
      </w:r>
      <w:r w:rsidRPr="00B064CC">
        <w:rPr>
          <w:rFonts w:eastAsia="Times New Roman"/>
          <w:bCs/>
          <w:noProof/>
          <w:color w:val="000000" w:themeColor="text1"/>
        </w:rPr>
        <w:t>emission</w:t>
      </w:r>
      <w:r w:rsidRPr="002A16D5">
        <w:rPr>
          <w:rFonts w:eastAsia="Times New Roman"/>
          <w:noProof/>
          <w:color w:val="000000" w:themeColor="text1"/>
        </w:rPr>
        <w:t xml:space="preserve"> reductions contribute to voluntary or mandatory climate targets through more sustainable building stock.</w:t>
      </w:r>
    </w:p>
    <w:p w14:paraId="783138D2" w14:textId="131115A0" w:rsidR="229E2DE2" w:rsidRPr="0098735A" w:rsidRDefault="229E2DE2" w:rsidP="00337FE3">
      <w:pPr>
        <w:pStyle w:val="ListParagraph"/>
        <w:numPr>
          <w:ilvl w:val="0"/>
          <w:numId w:val="264"/>
        </w:numPr>
        <w:spacing w:after="120"/>
        <w:rPr>
          <w:rFonts w:eastAsia="Times New Roman"/>
          <w:noProof/>
          <w:color w:val="000000" w:themeColor="text1"/>
        </w:rPr>
      </w:pPr>
      <w:r w:rsidRPr="002A16D5">
        <w:rPr>
          <w:rFonts w:eastAsia="Times New Roman"/>
          <w:noProof/>
          <w:color w:val="000000" w:themeColor="text1"/>
        </w:rPr>
        <w:t xml:space="preserve">Waste management: Enhanced recycling addresses plastic disposal challenges and reduces </w:t>
      </w:r>
      <w:r w:rsidRPr="0098735A">
        <w:rPr>
          <w:rFonts w:eastAsia="Times New Roman"/>
          <w:noProof/>
          <w:color w:val="000000" w:themeColor="text1"/>
        </w:rPr>
        <w:t>associated waste management costs.</w:t>
      </w:r>
    </w:p>
    <w:p w14:paraId="5C1EFCC4" w14:textId="7B21FAE3" w:rsidR="7A326836" w:rsidRPr="00337FE3" w:rsidRDefault="7A326836" w:rsidP="002A16D5">
      <w:pPr>
        <w:spacing w:after="120"/>
        <w:rPr>
          <w:rFonts w:eastAsia="Times New Roman"/>
          <w:b/>
          <w:noProof/>
          <w:color w:val="000000" w:themeColor="text1"/>
        </w:rPr>
      </w:pPr>
      <w:r w:rsidRPr="00337FE3">
        <w:rPr>
          <w:rFonts w:eastAsia="Times New Roman"/>
          <w:b/>
          <w:noProof/>
          <w:color w:val="000000" w:themeColor="text1"/>
        </w:rPr>
        <w:t xml:space="preserve">Administrative burden </w:t>
      </w:r>
    </w:p>
    <w:p w14:paraId="06E464CB" w14:textId="210EE738" w:rsidR="7A326836" w:rsidRPr="002A16D5" w:rsidRDefault="7A326836" w:rsidP="002A16D5">
      <w:pPr>
        <w:spacing w:after="120"/>
        <w:rPr>
          <w:rFonts w:eastAsia="Times New Roman"/>
          <w:noProof/>
          <w:color w:val="000000" w:themeColor="text1"/>
        </w:rPr>
      </w:pPr>
      <w:r w:rsidRPr="002A16D5">
        <w:rPr>
          <w:rFonts w:eastAsia="Times New Roman"/>
          <w:noProof/>
          <w:color w:val="000000" w:themeColor="text1"/>
        </w:rPr>
        <w:t>Manufacturer compliance costs wil</w:t>
      </w:r>
      <w:r w:rsidR="5518707A" w:rsidRPr="002A16D5">
        <w:rPr>
          <w:rFonts w:eastAsia="Times New Roman"/>
          <w:noProof/>
          <w:color w:val="000000" w:themeColor="text1"/>
        </w:rPr>
        <w:t>l</w:t>
      </w:r>
      <w:r w:rsidRPr="002A16D5">
        <w:rPr>
          <w:rFonts w:eastAsia="Times New Roman"/>
          <w:noProof/>
          <w:color w:val="000000" w:themeColor="text1"/>
        </w:rPr>
        <w:t xml:space="preserve"> remain limited, primarily because Regulation (EU) 2024/3110 (Construction Products Regulation) already mandates the underlying product information infrastructure, including Digital Product Passports (DPP) and environmental declarations.</w:t>
      </w:r>
    </w:p>
    <w:p w14:paraId="65D4F968" w14:textId="398D6524" w:rsidR="7A326836" w:rsidRPr="002A16D5" w:rsidRDefault="7A326836" w:rsidP="002A16D5">
      <w:pPr>
        <w:spacing w:after="120"/>
        <w:rPr>
          <w:rFonts w:eastAsia="Times New Roman"/>
          <w:noProof/>
          <w:color w:val="000000" w:themeColor="text1"/>
        </w:rPr>
      </w:pPr>
      <w:r w:rsidRPr="002A16D5">
        <w:rPr>
          <w:rFonts w:eastAsia="Times New Roman"/>
          <w:noProof/>
          <w:color w:val="000000" w:themeColor="text1"/>
        </w:rPr>
        <w:t>Certification and verification requirements at manufacturer level will have minimal impact on product costs</w:t>
      </w:r>
      <w:r w:rsidR="5E35860F" w:rsidRPr="002A16D5">
        <w:rPr>
          <w:rFonts w:eastAsia="Times New Roman"/>
          <w:noProof/>
          <w:color w:val="000000" w:themeColor="text1"/>
        </w:rPr>
        <w:t xml:space="preserve">, with a likely range of 0,02-0,05% </w:t>
      </w:r>
      <w:r w:rsidR="16A5812B" w:rsidRPr="002A16D5">
        <w:rPr>
          <w:rFonts w:eastAsia="Times New Roman"/>
          <w:noProof/>
          <w:color w:val="000000" w:themeColor="text1"/>
        </w:rPr>
        <w:t xml:space="preserve">additional </w:t>
      </w:r>
      <w:r w:rsidR="5E35860F" w:rsidRPr="002A16D5">
        <w:rPr>
          <w:rFonts w:eastAsia="Times New Roman"/>
          <w:noProof/>
          <w:color w:val="000000" w:themeColor="text1"/>
        </w:rPr>
        <w:t>cost</w:t>
      </w:r>
      <w:r w:rsidRPr="00874E90">
        <w:rPr>
          <w:rStyle w:val="FootnoteReference"/>
          <w:noProof/>
        </w:rPr>
        <w:footnoteReference w:id="421"/>
      </w:r>
      <w:r w:rsidR="5E35860F" w:rsidRPr="002A16D5">
        <w:rPr>
          <w:rFonts w:eastAsia="Times New Roman"/>
          <w:noProof/>
          <w:color w:val="000000" w:themeColor="text1"/>
        </w:rPr>
        <w:t xml:space="preserve">. </w:t>
      </w:r>
    </w:p>
    <w:p w14:paraId="270B3F08" w14:textId="118B8502" w:rsidR="20F7D804" w:rsidRPr="002A16D5" w:rsidRDefault="20F7D804" w:rsidP="002A16D5">
      <w:pPr>
        <w:spacing w:after="120"/>
        <w:rPr>
          <w:rFonts w:eastAsia="Times New Roman"/>
          <w:noProof/>
          <w:color w:val="000000" w:themeColor="text1"/>
        </w:rPr>
      </w:pPr>
      <w:r w:rsidRPr="002A16D5">
        <w:rPr>
          <w:rFonts w:eastAsia="Times New Roman"/>
          <w:noProof/>
          <w:color w:val="000000" w:themeColor="text1"/>
        </w:rPr>
        <w:t xml:space="preserve">Additional </w:t>
      </w:r>
      <w:r w:rsidR="76570196" w:rsidRPr="002A16D5">
        <w:rPr>
          <w:rFonts w:eastAsia="Times New Roman"/>
          <w:noProof/>
          <w:color w:val="000000" w:themeColor="text1"/>
        </w:rPr>
        <w:t>administrative cost for the public authorities</w:t>
      </w:r>
      <w:r w:rsidR="2525B1E1" w:rsidRPr="002A16D5">
        <w:rPr>
          <w:rFonts w:eastAsia="Times New Roman"/>
          <w:noProof/>
          <w:color w:val="000000" w:themeColor="text1"/>
        </w:rPr>
        <w:t xml:space="preserve"> will be generated from </w:t>
      </w:r>
      <w:r w:rsidR="243F184F" w:rsidRPr="002A16D5">
        <w:rPr>
          <w:rFonts w:eastAsia="Times New Roman"/>
          <w:noProof/>
          <w:color w:val="000000" w:themeColor="text1"/>
        </w:rPr>
        <w:t>costs for procurement staff training, tender specification updates, bid evaluation and monitoring for compliance</w:t>
      </w:r>
      <w:r w:rsidR="3DE2E872" w:rsidRPr="002A16D5">
        <w:rPr>
          <w:rFonts w:eastAsia="Times New Roman"/>
          <w:noProof/>
          <w:color w:val="000000" w:themeColor="text1"/>
        </w:rPr>
        <w:t xml:space="preserve">, but </w:t>
      </w:r>
      <w:r w:rsidR="073278F3" w:rsidRPr="002A16D5">
        <w:rPr>
          <w:rFonts w:eastAsia="Times New Roman"/>
          <w:noProof/>
          <w:color w:val="000000" w:themeColor="text1"/>
        </w:rPr>
        <w:t xml:space="preserve">these costs are </w:t>
      </w:r>
      <w:r w:rsidR="3DE2E872" w:rsidRPr="002A16D5">
        <w:rPr>
          <w:rFonts w:eastAsia="Times New Roman"/>
          <w:noProof/>
          <w:color w:val="000000" w:themeColor="text1"/>
        </w:rPr>
        <w:t xml:space="preserve">very limited as this regulation add </w:t>
      </w:r>
      <w:r w:rsidR="03DAE3D6" w:rsidRPr="002A16D5">
        <w:rPr>
          <w:rFonts w:eastAsia="Times New Roman"/>
          <w:noProof/>
          <w:color w:val="000000" w:themeColor="text1"/>
        </w:rPr>
        <w:t xml:space="preserve">only one </w:t>
      </w:r>
      <w:r w:rsidR="6947624F" w:rsidRPr="002A16D5">
        <w:rPr>
          <w:rFonts w:eastAsia="Times New Roman"/>
          <w:noProof/>
          <w:color w:val="000000" w:themeColor="text1"/>
        </w:rPr>
        <w:t xml:space="preserve">element </w:t>
      </w:r>
      <w:r w:rsidR="3DE2E872" w:rsidRPr="002A16D5">
        <w:rPr>
          <w:rFonts w:eastAsia="Times New Roman"/>
          <w:noProof/>
          <w:color w:val="000000" w:themeColor="text1"/>
        </w:rPr>
        <w:t>into a</w:t>
      </w:r>
      <w:r w:rsidR="412DAF0B" w:rsidRPr="002A16D5">
        <w:rPr>
          <w:rFonts w:eastAsia="Times New Roman"/>
          <w:noProof/>
          <w:color w:val="000000" w:themeColor="text1"/>
        </w:rPr>
        <w:t>n</w:t>
      </w:r>
      <w:r w:rsidR="3DE2E872" w:rsidRPr="002A16D5">
        <w:rPr>
          <w:rFonts w:eastAsia="Times New Roman"/>
          <w:noProof/>
          <w:color w:val="000000" w:themeColor="text1"/>
        </w:rPr>
        <w:t xml:space="preserve"> exis</w:t>
      </w:r>
      <w:r w:rsidR="6C3E1979" w:rsidRPr="002A16D5">
        <w:rPr>
          <w:rFonts w:eastAsia="Times New Roman"/>
          <w:noProof/>
          <w:color w:val="000000" w:themeColor="text1"/>
        </w:rPr>
        <w:t>t</w:t>
      </w:r>
      <w:r w:rsidR="3DE2E872" w:rsidRPr="002A16D5">
        <w:rPr>
          <w:rFonts w:eastAsia="Times New Roman"/>
          <w:noProof/>
          <w:color w:val="000000" w:themeColor="text1"/>
        </w:rPr>
        <w:t xml:space="preserve">ing set of requirements </w:t>
      </w:r>
      <w:r w:rsidR="3F30C131" w:rsidRPr="002A16D5">
        <w:rPr>
          <w:rFonts w:eastAsia="Times New Roman"/>
          <w:noProof/>
          <w:color w:val="000000" w:themeColor="text1"/>
        </w:rPr>
        <w:t xml:space="preserve">and does not necessitate introduction of new systems or </w:t>
      </w:r>
      <w:r w:rsidR="158CF93B" w:rsidRPr="002A16D5">
        <w:rPr>
          <w:rFonts w:eastAsia="Times New Roman"/>
          <w:noProof/>
          <w:color w:val="000000" w:themeColor="text1"/>
        </w:rPr>
        <w:t xml:space="preserve">major </w:t>
      </w:r>
      <w:r w:rsidR="3F30C131" w:rsidRPr="002A16D5">
        <w:rPr>
          <w:rFonts w:eastAsia="Times New Roman"/>
          <w:noProof/>
          <w:color w:val="000000" w:themeColor="text1"/>
        </w:rPr>
        <w:t xml:space="preserve">procedures. </w:t>
      </w:r>
    </w:p>
    <w:p w14:paraId="6D5B0DEB" w14:textId="77777777" w:rsidR="00020031" w:rsidRPr="00020C03" w:rsidRDefault="00020031" w:rsidP="00E71388">
      <w:pPr>
        <w:pStyle w:val="ListParagraph"/>
        <w:keepNext/>
        <w:keepLines/>
        <w:numPr>
          <w:ilvl w:val="1"/>
          <w:numId w:val="166"/>
        </w:numPr>
        <w:spacing w:before="360" w:after="80"/>
        <w:outlineLvl w:val="0"/>
        <w:rPr>
          <w:b/>
          <w:noProof/>
        </w:rPr>
      </w:pPr>
      <w:bookmarkStart w:id="570" w:name="_Toc212728858"/>
      <w:bookmarkStart w:id="571" w:name="_Toc212729132"/>
      <w:bookmarkStart w:id="572" w:name="_Toc212729384"/>
      <w:bookmarkStart w:id="573" w:name="_Toc215506328"/>
      <w:bookmarkStart w:id="574" w:name="_Toc222159379"/>
      <w:bookmarkStart w:id="575" w:name="_Toc222489547"/>
      <w:bookmarkStart w:id="576" w:name="_Toc222490036"/>
      <w:r w:rsidRPr="00020C03">
        <w:rPr>
          <w:b/>
          <w:noProof/>
        </w:rPr>
        <w:lastRenderedPageBreak/>
        <w:t>Glass</w:t>
      </w:r>
      <w:bookmarkEnd w:id="570"/>
      <w:bookmarkEnd w:id="571"/>
      <w:bookmarkEnd w:id="572"/>
      <w:bookmarkEnd w:id="573"/>
      <w:bookmarkEnd w:id="574"/>
      <w:bookmarkEnd w:id="575"/>
      <w:bookmarkEnd w:id="576"/>
      <w:r w:rsidRPr="00020C03">
        <w:rPr>
          <w:b/>
          <w:noProof/>
        </w:rPr>
        <w:t xml:space="preserve"> </w:t>
      </w:r>
    </w:p>
    <w:p w14:paraId="32544293" w14:textId="658ACB0E" w:rsidR="008F36CB" w:rsidRDefault="545C8C3C" w:rsidP="00BD0735">
      <w:pPr>
        <w:spacing w:after="120"/>
        <w:rPr>
          <w:rFonts w:eastAsia="Times New Roman"/>
          <w:b/>
          <w:noProof/>
        </w:rPr>
      </w:pPr>
      <w:r w:rsidRPr="00F261DB">
        <w:rPr>
          <w:rFonts w:eastAsia="Times New Roman"/>
          <w:b/>
          <w:noProof/>
        </w:rPr>
        <w:t xml:space="preserve">Key facts </w:t>
      </w:r>
    </w:p>
    <w:p w14:paraId="688B8FBE" w14:textId="17A2F096" w:rsidR="00020031" w:rsidRPr="00F261DB" w:rsidRDefault="404A2814" w:rsidP="00BD0735">
      <w:pPr>
        <w:spacing w:after="120"/>
        <w:rPr>
          <w:rFonts w:eastAsia="Times New Roman"/>
          <w:noProof/>
        </w:rPr>
      </w:pPr>
      <w:r w:rsidRPr="00F261DB">
        <w:rPr>
          <w:rFonts w:eastAsia="Times New Roman"/>
          <w:noProof/>
        </w:rPr>
        <w:t>EUR 6.3 billion in glass sales in 2021</w:t>
      </w:r>
      <w:r w:rsidR="00020031" w:rsidRPr="00874E90">
        <w:rPr>
          <w:rStyle w:val="FootnoteReference"/>
          <w:rFonts w:eastAsia="Times New Roman"/>
          <w:noProof/>
        </w:rPr>
        <w:footnoteReference w:id="422"/>
      </w:r>
      <w:r w:rsidRPr="00F261DB">
        <w:rPr>
          <w:rFonts w:eastAsia="Times New Roman"/>
          <w:noProof/>
        </w:rPr>
        <w:t>, 178</w:t>
      </w:r>
      <w:r w:rsidR="45E14CE0">
        <w:rPr>
          <w:rFonts w:eastAsia="Times New Roman"/>
          <w:noProof/>
        </w:rPr>
        <w:t xml:space="preserve"> </w:t>
      </w:r>
      <w:r w:rsidRPr="00F261DB">
        <w:rPr>
          <w:rFonts w:eastAsia="Times New Roman"/>
          <w:noProof/>
        </w:rPr>
        <w:t>500 direct jobs</w:t>
      </w:r>
      <w:r w:rsidR="00020031" w:rsidRPr="00FF63D1">
        <w:rPr>
          <w:rStyle w:val="FootnoteReference"/>
          <w:rFonts w:eastAsia="Times New Roman"/>
          <w:noProof/>
        </w:rPr>
        <w:footnoteReference w:id="423"/>
      </w:r>
      <w:r w:rsidRPr="00F261DB">
        <w:rPr>
          <w:rFonts w:eastAsia="Times New Roman"/>
          <w:noProof/>
        </w:rPr>
        <w:t xml:space="preserve">, 37 </w:t>
      </w:r>
      <w:r w:rsidR="51E518DF" w:rsidRPr="3F0F1197">
        <w:rPr>
          <w:rFonts w:eastAsia="Times New Roman"/>
          <w:noProof/>
        </w:rPr>
        <w:t>Mtonnes</w:t>
      </w:r>
      <w:r w:rsidRPr="3F0F1197" w:rsidDel="545C8C3C">
        <w:rPr>
          <w:rFonts w:eastAsia="Times New Roman"/>
          <w:noProof/>
        </w:rPr>
        <w:t xml:space="preserve"> </w:t>
      </w:r>
      <w:r w:rsidRPr="00F261DB">
        <w:rPr>
          <w:rFonts w:eastAsia="Times New Roman"/>
          <w:noProof/>
        </w:rPr>
        <w:t>production in 2023</w:t>
      </w:r>
      <w:r w:rsidR="00020031" w:rsidRPr="00FF63D1">
        <w:rPr>
          <w:rStyle w:val="FootnoteReference"/>
          <w:rFonts w:eastAsia="Times New Roman"/>
          <w:noProof/>
        </w:rPr>
        <w:footnoteReference w:id="424"/>
      </w:r>
      <w:r w:rsidRPr="00F261DB">
        <w:rPr>
          <w:rFonts w:eastAsia="Times New Roman"/>
          <w:noProof/>
        </w:rPr>
        <w:t>, main EU producers: Germany, France, Italy and Poland.</w:t>
      </w:r>
      <w:r w:rsidR="00020031" w:rsidRPr="00FF63D1">
        <w:rPr>
          <w:rStyle w:val="FootnoteReference"/>
          <w:rFonts w:eastAsia="Times New Roman"/>
          <w:noProof/>
        </w:rPr>
        <w:footnoteReference w:id="425"/>
      </w:r>
      <w:r w:rsidR="0FEF2BDF">
        <w:rPr>
          <w:rFonts w:eastAsia="Times New Roman"/>
          <w:noProof/>
        </w:rPr>
        <w:t xml:space="preserve"> </w:t>
      </w:r>
      <w:r w:rsidRPr="00F261DB">
        <w:rPr>
          <w:rFonts w:eastAsia="Times New Roman"/>
          <w:noProof/>
        </w:rPr>
        <w:t>EU exports in 2023: 3.4 Mt</w:t>
      </w:r>
      <w:r w:rsidR="7A649D91" w:rsidRPr="3F0F1197">
        <w:rPr>
          <w:rFonts w:eastAsia="Times New Roman"/>
          <w:noProof/>
        </w:rPr>
        <w:t>onnes</w:t>
      </w:r>
      <w:r w:rsidRPr="00F261DB">
        <w:rPr>
          <w:rFonts w:eastAsia="Times New Roman"/>
          <w:noProof/>
        </w:rPr>
        <w:t>, imports: 4.9 Mt</w:t>
      </w:r>
      <w:r w:rsidR="02BDC430" w:rsidRPr="3F0F1197">
        <w:rPr>
          <w:rFonts w:eastAsia="Times New Roman"/>
          <w:noProof/>
        </w:rPr>
        <w:t>onnes</w:t>
      </w:r>
      <w:r w:rsidRPr="00F261DB">
        <w:rPr>
          <w:rFonts w:eastAsia="Times New Roman"/>
          <w:noProof/>
        </w:rPr>
        <w:t>. Major trading partners: China, UK and Switzerland.</w:t>
      </w:r>
      <w:r w:rsidR="00020031" w:rsidRPr="00FF63D1">
        <w:rPr>
          <w:rStyle w:val="FootnoteReference"/>
          <w:rFonts w:eastAsia="Times New Roman"/>
          <w:noProof/>
        </w:rPr>
        <w:footnoteReference w:id="426"/>
      </w:r>
    </w:p>
    <w:p w14:paraId="2D36D725" w14:textId="77777777" w:rsidR="008F36CB" w:rsidRDefault="545C8C3C" w:rsidP="00BD0735">
      <w:pPr>
        <w:spacing w:after="120"/>
        <w:rPr>
          <w:rFonts w:eastAsia="Times New Roman"/>
          <w:b/>
          <w:noProof/>
        </w:rPr>
      </w:pPr>
      <w:r w:rsidRPr="00F261DB">
        <w:rPr>
          <w:rFonts w:eastAsia="Times New Roman"/>
          <w:b/>
          <w:noProof/>
        </w:rPr>
        <w:t>Key challenges</w:t>
      </w:r>
    </w:p>
    <w:p w14:paraId="4D1649FC" w14:textId="0C8C1583" w:rsidR="00020031" w:rsidRPr="00F261DB" w:rsidRDefault="4DB91ED5" w:rsidP="00BD0735">
      <w:pPr>
        <w:spacing w:after="120"/>
        <w:rPr>
          <w:rFonts w:eastAsia="Times New Roman"/>
          <w:noProof/>
        </w:rPr>
      </w:pPr>
      <w:r>
        <w:rPr>
          <w:rFonts w:eastAsia="Times New Roman"/>
          <w:noProof/>
        </w:rPr>
        <w:t>H</w:t>
      </w:r>
      <w:r w:rsidR="404A2814" w:rsidRPr="00F261DB">
        <w:rPr>
          <w:rFonts w:eastAsia="Times New Roman"/>
          <w:noProof/>
        </w:rPr>
        <w:t>igh energy costs and intense international competition. As a result, production volumes decreased by 18% since 2022, with a steady decline in employment since 2019.</w:t>
      </w:r>
      <w:r w:rsidR="00020031" w:rsidRPr="00FF63D1">
        <w:rPr>
          <w:rStyle w:val="FootnoteReference"/>
          <w:rFonts w:eastAsia="Times New Roman"/>
          <w:noProof/>
        </w:rPr>
        <w:footnoteReference w:id="427"/>
      </w:r>
    </w:p>
    <w:p w14:paraId="24CD0DB4" w14:textId="7310786B" w:rsidR="00D23DFD" w:rsidRPr="00F261DB" w:rsidRDefault="404A2814" w:rsidP="00BD0735">
      <w:pPr>
        <w:spacing w:after="120"/>
        <w:rPr>
          <w:rFonts w:eastAsia="Times New Roman"/>
          <w:noProof/>
        </w:rPr>
      </w:pPr>
      <w:r w:rsidRPr="00F261DB">
        <w:rPr>
          <w:rFonts w:eastAsia="Times New Roman"/>
          <w:noProof/>
        </w:rPr>
        <w:t>The EU glass industry emits approximately 22</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of CO₂</w:t>
      </w:r>
      <w:r w:rsidR="00020031" w:rsidRPr="00FF63D1">
        <w:rPr>
          <w:rStyle w:val="FootnoteReference"/>
          <w:rFonts w:eastAsia="Times New Roman"/>
          <w:noProof/>
        </w:rPr>
        <w:footnoteReference w:id="428"/>
      </w:r>
      <w:r w:rsidRPr="00F261DB">
        <w:rPr>
          <w:rFonts w:eastAsia="Times New Roman"/>
          <w:noProof/>
        </w:rPr>
        <w:t>. In line with EU climate goals, it is shifting towards cleaner production through different decarbonisation pathways, including shifting to electric and hybrid furnaces, greater use of renewable energy, improved recycling systems, and innovation in glass design to support circularity.</w:t>
      </w:r>
      <w:r w:rsidR="00020031" w:rsidRPr="00FF63D1">
        <w:rPr>
          <w:rStyle w:val="FootnoteReference"/>
          <w:rFonts w:eastAsia="Times New Roman"/>
          <w:noProof/>
        </w:rPr>
        <w:footnoteReference w:id="429"/>
      </w:r>
      <w:r w:rsidRPr="00F261DB">
        <w:rPr>
          <w:rFonts w:eastAsia="Times New Roman"/>
          <w:noProof/>
        </w:rPr>
        <w:t xml:space="preserve"> This industry faces significant barriers in implementing these measures, including high capital and operational expenditure and complex EU regulatory requirements.</w:t>
      </w:r>
      <w:r w:rsidR="00020031" w:rsidRPr="00FF63D1">
        <w:rPr>
          <w:rStyle w:val="FootnoteReference"/>
          <w:rFonts w:eastAsia="Times New Roman"/>
          <w:noProof/>
        </w:rPr>
        <w:footnoteReference w:id="430"/>
      </w:r>
    </w:p>
    <w:p w14:paraId="6FE95061" w14:textId="77777777" w:rsidR="00D23DFD" w:rsidRPr="00020C03" w:rsidRDefault="00020031" w:rsidP="00E71388">
      <w:pPr>
        <w:pStyle w:val="ListParagraph"/>
        <w:keepNext/>
        <w:keepLines/>
        <w:numPr>
          <w:ilvl w:val="1"/>
          <w:numId w:val="166"/>
        </w:numPr>
        <w:spacing w:before="360" w:after="80"/>
        <w:outlineLvl w:val="0"/>
        <w:rPr>
          <w:b/>
          <w:noProof/>
        </w:rPr>
      </w:pPr>
      <w:bookmarkStart w:id="578" w:name="_Toc212728859"/>
      <w:bookmarkStart w:id="579" w:name="_Toc212729133"/>
      <w:bookmarkStart w:id="580" w:name="_Toc212729385"/>
      <w:bookmarkStart w:id="581" w:name="_Toc215506329"/>
      <w:bookmarkStart w:id="582" w:name="_Toc222159380"/>
      <w:bookmarkStart w:id="583" w:name="_Toc222489548"/>
      <w:bookmarkStart w:id="584" w:name="_Toc222490037"/>
      <w:r w:rsidRPr="00020C03">
        <w:rPr>
          <w:b/>
          <w:noProof/>
        </w:rPr>
        <w:t>Pulp and paper</w:t>
      </w:r>
      <w:bookmarkEnd w:id="578"/>
      <w:bookmarkEnd w:id="579"/>
      <w:bookmarkEnd w:id="580"/>
      <w:bookmarkEnd w:id="581"/>
      <w:bookmarkEnd w:id="582"/>
      <w:bookmarkEnd w:id="583"/>
      <w:bookmarkEnd w:id="584"/>
      <w:r w:rsidRPr="00020C03">
        <w:rPr>
          <w:b/>
          <w:noProof/>
        </w:rPr>
        <w:t xml:space="preserve"> </w:t>
      </w:r>
    </w:p>
    <w:p w14:paraId="1BAE90B7" w14:textId="77777777" w:rsidR="00BD0735" w:rsidRDefault="545C8C3C" w:rsidP="00BD0735">
      <w:pPr>
        <w:spacing w:after="120"/>
        <w:rPr>
          <w:rFonts w:eastAsia="Times New Roman"/>
          <w:b/>
          <w:noProof/>
        </w:rPr>
      </w:pPr>
      <w:r w:rsidRPr="00F261DB">
        <w:rPr>
          <w:rFonts w:eastAsia="Times New Roman"/>
          <w:b/>
          <w:noProof/>
        </w:rPr>
        <w:t>Key facts</w:t>
      </w:r>
    </w:p>
    <w:p w14:paraId="544D887E" w14:textId="2174D751" w:rsidR="00020031" w:rsidRPr="00F261DB" w:rsidRDefault="404A2814" w:rsidP="00BD0735">
      <w:pPr>
        <w:spacing w:after="120"/>
        <w:rPr>
          <w:rFonts w:eastAsia="Times New Roman"/>
          <w:noProof/>
        </w:rPr>
      </w:pPr>
      <w:r w:rsidRPr="00F261DB">
        <w:rPr>
          <w:rFonts w:eastAsia="Times New Roman"/>
          <w:noProof/>
        </w:rPr>
        <w:t>EUR 100 billion sales</w:t>
      </w:r>
      <w:r w:rsidR="00436131" w:rsidRPr="00FF63D1">
        <w:rPr>
          <w:rStyle w:val="FootnoteReference"/>
          <w:rFonts w:eastAsia="Times New Roman"/>
          <w:noProof/>
        </w:rPr>
        <w:footnoteReference w:id="431"/>
      </w:r>
      <w:r w:rsidRPr="00F261DB">
        <w:rPr>
          <w:rFonts w:eastAsia="Times New Roman"/>
          <w:noProof/>
        </w:rPr>
        <w:t xml:space="preserve"> in 2023, 180</w:t>
      </w:r>
      <w:r w:rsidR="217EA473">
        <w:rPr>
          <w:rFonts w:eastAsia="Times New Roman"/>
          <w:noProof/>
        </w:rPr>
        <w:t xml:space="preserve"> </w:t>
      </w:r>
      <w:r w:rsidRPr="00F261DB">
        <w:rPr>
          <w:rFonts w:eastAsia="Times New Roman"/>
          <w:noProof/>
        </w:rPr>
        <w:t>000 direct jobs</w:t>
      </w:r>
      <w:r w:rsidR="002926BB">
        <w:rPr>
          <w:rStyle w:val="FootnoteReference"/>
          <w:rFonts w:eastAsia="Times New Roman"/>
          <w:noProof/>
        </w:rPr>
        <w:footnoteReference w:id="432"/>
      </w:r>
      <w:r w:rsidRPr="00F261DB">
        <w:rPr>
          <w:rFonts w:eastAsia="Times New Roman"/>
          <w:noProof/>
        </w:rPr>
        <w:t>, 47</w:t>
      </w:r>
      <w:r w:rsidR="3A670CEF">
        <w:rPr>
          <w:rFonts w:eastAsia="Times New Roman"/>
          <w:noProof/>
        </w:rPr>
        <w:t>.</w:t>
      </w:r>
      <w:r w:rsidRPr="00F261DB">
        <w:rPr>
          <w:rFonts w:eastAsia="Times New Roman"/>
          <w:noProof/>
        </w:rPr>
        <w:t>6</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production</w:t>
      </w:r>
      <w:r w:rsidR="00436131" w:rsidRPr="00FF63D1">
        <w:rPr>
          <w:rStyle w:val="FootnoteReference"/>
          <w:rFonts w:eastAsia="Times New Roman"/>
          <w:noProof/>
        </w:rPr>
        <w:footnoteReference w:id="433"/>
      </w:r>
      <w:r w:rsidRPr="00F261DB">
        <w:rPr>
          <w:rFonts w:eastAsia="Times New Roman"/>
          <w:noProof/>
        </w:rPr>
        <w:t xml:space="preserve"> in 2023, roughly 22% of global paper production</w:t>
      </w:r>
      <w:r w:rsidR="00020031" w:rsidRPr="00FF63D1">
        <w:rPr>
          <w:rStyle w:val="FootnoteReference"/>
          <w:rFonts w:eastAsia="Times New Roman"/>
          <w:noProof/>
        </w:rPr>
        <w:footnoteReference w:id="434"/>
      </w:r>
      <w:r w:rsidRPr="00F261DB">
        <w:rPr>
          <w:rFonts w:eastAsia="Times New Roman"/>
          <w:noProof/>
        </w:rPr>
        <w:t>, main EU producers: Sweden, Finland, Portugal and Germany.</w:t>
      </w:r>
      <w:r w:rsidR="00020031" w:rsidRPr="00FF63D1">
        <w:rPr>
          <w:rStyle w:val="FootnoteReference"/>
          <w:rFonts w:eastAsia="Times New Roman"/>
          <w:noProof/>
        </w:rPr>
        <w:footnoteReference w:id="435"/>
      </w:r>
      <w:r w:rsidR="0FEF2BDF">
        <w:rPr>
          <w:rFonts w:eastAsia="Times New Roman"/>
          <w:noProof/>
        </w:rPr>
        <w:t xml:space="preserve"> </w:t>
      </w:r>
      <w:r w:rsidRPr="00F261DB">
        <w:rPr>
          <w:rFonts w:eastAsia="Times New Roman"/>
          <w:noProof/>
        </w:rPr>
        <w:t>EU exports in 2023: 23.2 Mt</w:t>
      </w:r>
      <w:r w:rsidR="7A649D91" w:rsidRPr="3F0F1197">
        <w:rPr>
          <w:rFonts w:eastAsia="Times New Roman"/>
          <w:noProof/>
        </w:rPr>
        <w:t>onnes</w:t>
      </w:r>
      <w:r w:rsidRPr="00F261DB">
        <w:rPr>
          <w:rFonts w:eastAsia="Times New Roman"/>
          <w:noProof/>
        </w:rPr>
        <w:t>, imports 10.7 Mt</w:t>
      </w:r>
      <w:r w:rsidR="02BDC430" w:rsidRPr="3F0F1197">
        <w:rPr>
          <w:rFonts w:eastAsia="Times New Roman"/>
          <w:noProof/>
        </w:rPr>
        <w:t>onnes</w:t>
      </w:r>
      <w:r w:rsidRPr="00F261DB">
        <w:rPr>
          <w:rFonts w:eastAsia="Times New Roman"/>
          <w:noProof/>
        </w:rPr>
        <w:t>. Major trading partners: other European countries, Asia and Latin America.</w:t>
      </w:r>
      <w:r w:rsidR="00020031" w:rsidRPr="00FF63D1">
        <w:rPr>
          <w:rStyle w:val="FootnoteReference"/>
          <w:rFonts w:eastAsia="Times New Roman"/>
          <w:noProof/>
        </w:rPr>
        <w:footnoteReference w:id="436"/>
      </w:r>
    </w:p>
    <w:p w14:paraId="47A07772" w14:textId="77777777" w:rsidR="00BD0735" w:rsidRDefault="545C8C3C" w:rsidP="00BD0735">
      <w:pPr>
        <w:spacing w:after="120"/>
        <w:rPr>
          <w:rFonts w:eastAsia="Times New Roman"/>
          <w:noProof/>
        </w:rPr>
      </w:pPr>
      <w:r w:rsidRPr="00F261DB">
        <w:rPr>
          <w:rFonts w:eastAsia="Times New Roman"/>
          <w:b/>
          <w:noProof/>
        </w:rPr>
        <w:t>Key challenges</w:t>
      </w:r>
    </w:p>
    <w:p w14:paraId="3D7A2E54" w14:textId="72132215" w:rsidR="00020031" w:rsidRPr="00F261DB" w:rsidRDefault="0FEF2BDF" w:rsidP="00BD0735">
      <w:pPr>
        <w:spacing w:after="120"/>
        <w:rPr>
          <w:rFonts w:eastAsia="Times New Roman"/>
          <w:noProof/>
        </w:rPr>
      </w:pPr>
      <w:r>
        <w:rPr>
          <w:rFonts w:eastAsia="Times New Roman"/>
          <w:noProof/>
        </w:rPr>
        <w:t>H</w:t>
      </w:r>
      <w:r w:rsidR="404A2814" w:rsidRPr="00F261DB">
        <w:rPr>
          <w:rFonts w:eastAsia="Times New Roman"/>
          <w:noProof/>
        </w:rPr>
        <w:t>igh energy costs and geopolitical instability potentially affecting trade and supply chains.</w:t>
      </w:r>
      <w:r w:rsidR="00020031" w:rsidRPr="00FF63D1">
        <w:rPr>
          <w:rStyle w:val="FootnoteReference"/>
          <w:rFonts w:eastAsia="Times New Roman"/>
          <w:noProof/>
        </w:rPr>
        <w:footnoteReference w:id="437"/>
      </w:r>
      <w:r w:rsidR="404A2814" w:rsidRPr="00F261DB">
        <w:rPr>
          <w:rFonts w:eastAsia="Times New Roman"/>
          <w:noProof/>
        </w:rPr>
        <w:t xml:space="preserve"> Although paper and board output declined in 2022-23 due to weakened demand, production increased by 5.2% in 2024.</w:t>
      </w:r>
      <w:r w:rsidR="00020031" w:rsidRPr="00FF63D1">
        <w:rPr>
          <w:rStyle w:val="FootnoteReference"/>
          <w:rFonts w:eastAsia="Times New Roman"/>
          <w:noProof/>
        </w:rPr>
        <w:footnoteReference w:id="438"/>
      </w:r>
    </w:p>
    <w:p w14:paraId="3E82AF8C" w14:textId="48C79AFC" w:rsidR="00D23DFD" w:rsidRDefault="404A2814" w:rsidP="00BD0735">
      <w:pPr>
        <w:spacing w:after="120"/>
        <w:rPr>
          <w:rFonts w:eastAsia="Times New Roman"/>
          <w:noProof/>
        </w:rPr>
      </w:pPr>
      <w:r w:rsidRPr="00F261DB">
        <w:rPr>
          <w:rFonts w:eastAsia="Times New Roman"/>
          <w:noProof/>
        </w:rPr>
        <w:t>In 2023, the EU pulp and paper industry emitted approximately 33</w:t>
      </w:r>
      <w:r w:rsidR="1AC6F867" w:rsidRPr="3F0F1197">
        <w:rPr>
          <w:rFonts w:eastAsia="Times New Roman"/>
          <w:noProof/>
        </w:rPr>
        <w:t xml:space="preserve"> Mtonnes </w:t>
      </w:r>
      <w:r w:rsidRPr="00F261DB">
        <w:rPr>
          <w:rFonts w:eastAsia="Times New Roman"/>
          <w:noProof/>
        </w:rPr>
        <w:t>of CO₂.</w:t>
      </w:r>
      <w:r w:rsidR="00020031" w:rsidRPr="00FF63D1">
        <w:rPr>
          <w:rStyle w:val="FootnoteReference"/>
          <w:rFonts w:eastAsia="Times New Roman"/>
          <w:noProof/>
        </w:rPr>
        <w:footnoteReference w:id="439"/>
      </w:r>
      <w:r w:rsidRPr="00F261DB">
        <w:rPr>
          <w:rFonts w:eastAsia="Times New Roman"/>
          <w:noProof/>
        </w:rPr>
        <w:t xml:space="preserve"> In line with EU climate goals, the sector is shifting toward cleaner production through different decarbonisation pathways, including deployment of heat pumps, electrification, energy efficiency improvements</w:t>
      </w:r>
      <w:r w:rsidR="00020031" w:rsidRPr="00FF63D1">
        <w:rPr>
          <w:rStyle w:val="FootnoteReference"/>
          <w:rFonts w:eastAsia="Times New Roman"/>
          <w:noProof/>
        </w:rPr>
        <w:footnoteReference w:id="440"/>
      </w:r>
      <w:r w:rsidRPr="00F261DB">
        <w:rPr>
          <w:rFonts w:eastAsia="Times New Roman"/>
          <w:noProof/>
        </w:rPr>
        <w:t>, carbon capture and storage (CCS), and a switch to renewable energy.</w:t>
      </w:r>
      <w:r w:rsidR="00020031" w:rsidRPr="00FF63D1">
        <w:rPr>
          <w:rStyle w:val="FootnoteReference"/>
          <w:rFonts w:eastAsia="Times New Roman"/>
          <w:noProof/>
        </w:rPr>
        <w:footnoteReference w:id="441"/>
      </w:r>
      <w:r w:rsidRPr="00F261DB">
        <w:rPr>
          <w:rFonts w:eastAsia="Times New Roman"/>
          <w:noProof/>
        </w:rPr>
        <w:t xml:space="preserve"> However, significant implementation challenges exist. Key barriers include capital </w:t>
      </w:r>
      <w:r w:rsidRPr="00F261DB">
        <w:rPr>
          <w:rFonts w:eastAsia="Times New Roman"/>
          <w:noProof/>
        </w:rPr>
        <w:lastRenderedPageBreak/>
        <w:t>intensive infrastructure and high upfront costs for new technologies, as well as legal uncertainty and complexity.</w:t>
      </w:r>
      <w:r w:rsidR="00020031" w:rsidRPr="00FF63D1">
        <w:rPr>
          <w:rStyle w:val="FootnoteReference"/>
          <w:rFonts w:eastAsia="Times New Roman"/>
          <w:noProof/>
        </w:rPr>
        <w:footnoteReference w:id="442"/>
      </w:r>
      <w:r w:rsidRPr="00F261DB">
        <w:rPr>
          <w:rFonts w:eastAsia="Times New Roman"/>
          <w:noProof/>
        </w:rPr>
        <w:t xml:space="preserve"> So far, the sector reduced its CO₂ emissions by 46% since 2005.</w:t>
      </w:r>
      <w:r w:rsidR="00020031" w:rsidRPr="00FF63D1">
        <w:rPr>
          <w:rStyle w:val="FootnoteReference"/>
          <w:rFonts w:eastAsia="Times New Roman"/>
          <w:noProof/>
        </w:rPr>
        <w:footnoteReference w:id="443"/>
      </w:r>
    </w:p>
    <w:p w14:paraId="3077E33D" w14:textId="4ED23625" w:rsidR="002315CD" w:rsidRDefault="002315CD" w:rsidP="00BD0735">
      <w:pPr>
        <w:spacing w:after="120"/>
        <w:rPr>
          <w:rFonts w:eastAsia="Times New Roman"/>
          <w:b/>
          <w:bCs/>
          <w:noProof/>
        </w:rPr>
      </w:pPr>
      <w:r>
        <w:rPr>
          <w:rFonts w:eastAsia="Times New Roman"/>
          <w:b/>
          <w:bCs/>
          <w:noProof/>
        </w:rPr>
        <w:t xml:space="preserve">Cost </w:t>
      </w:r>
      <w:r w:rsidRPr="00BD0735">
        <w:rPr>
          <w:rFonts w:eastAsia="Times New Roman"/>
          <w:b/>
          <w:noProof/>
        </w:rPr>
        <w:t>evolution</w:t>
      </w:r>
    </w:p>
    <w:p w14:paraId="2437386F" w14:textId="62A0F49D" w:rsidR="002315CD" w:rsidRPr="00FF63D1" w:rsidRDefault="00506625" w:rsidP="00BD0735">
      <w:pPr>
        <w:spacing w:after="120"/>
        <w:rPr>
          <w:rFonts w:cs="Times New Roman"/>
          <w:noProof/>
        </w:rPr>
      </w:pPr>
      <w:r>
        <w:rPr>
          <w:rFonts w:cs="Times New Roman"/>
          <w:noProof/>
          <w:szCs w:val="24"/>
        </w:rPr>
        <w:fldChar w:fldCharType="begin"/>
      </w:r>
      <w:r>
        <w:rPr>
          <w:rFonts w:cs="Times New Roman"/>
          <w:noProof/>
          <w:szCs w:val="24"/>
        </w:rPr>
        <w:instrText xml:space="preserve"> REF _Ref212722449 \h </w:instrText>
      </w:r>
      <w:r>
        <w:rPr>
          <w:rFonts w:cs="Times New Roman"/>
          <w:noProof/>
          <w:szCs w:val="24"/>
        </w:rPr>
      </w:r>
      <w:r>
        <w:rPr>
          <w:rFonts w:cs="Times New Roman"/>
          <w:noProof/>
          <w:szCs w:val="24"/>
        </w:rPr>
        <w:fldChar w:fldCharType="separate"/>
      </w:r>
      <w:r w:rsidR="00E16D65" w:rsidRPr="00FF63D1">
        <w:rPr>
          <w:noProof/>
        </w:rPr>
        <w:t xml:space="preserve">Table </w:t>
      </w:r>
      <w:r w:rsidR="00E16D65">
        <w:rPr>
          <w:noProof/>
        </w:rPr>
        <w:t>15</w:t>
      </w:r>
      <w:r>
        <w:rPr>
          <w:rFonts w:cs="Times New Roman"/>
          <w:noProof/>
          <w:szCs w:val="24"/>
        </w:rPr>
        <w:fldChar w:fldCharType="end"/>
      </w:r>
      <w:r>
        <w:rPr>
          <w:rFonts w:cs="Times New Roman"/>
          <w:noProof/>
          <w:szCs w:val="24"/>
        </w:rPr>
        <w:t xml:space="preserve"> </w:t>
      </w:r>
      <w:r w:rsidR="002315CD">
        <w:rPr>
          <w:rFonts w:cs="Times New Roman"/>
          <w:noProof/>
          <w:szCs w:val="24"/>
        </w:rPr>
        <w:t>below</w:t>
      </w:r>
      <w:r w:rsidR="002315CD" w:rsidRPr="00FF63D1">
        <w:rPr>
          <w:rFonts w:cs="Times New Roman"/>
          <w:noProof/>
          <w:szCs w:val="24"/>
        </w:rPr>
        <w:t xml:space="preserve"> includes the Capital Expenditure cost estimates for the key decarboni</w:t>
      </w:r>
      <w:r w:rsidR="00C93E5C">
        <w:rPr>
          <w:rFonts w:cs="Times New Roman"/>
          <w:noProof/>
          <w:szCs w:val="24"/>
        </w:rPr>
        <w:t>sation</w:t>
      </w:r>
      <w:r w:rsidR="002315CD" w:rsidRPr="00FF63D1">
        <w:rPr>
          <w:rFonts w:cs="Times New Roman"/>
          <w:noProof/>
          <w:szCs w:val="24"/>
        </w:rPr>
        <w:t xml:space="preserve"> technologies applicable to the EU pulp and paper industry. Since the sector prioritizes process heat, energy efficiency, and Carbon Capture and Storage (CCS), most cost estimates are given as unit costs for essential equipment (e.g., boilers or heat pumps) or as inputs for determining the total capture cost (Total Capital Requirements (TCR) or Nth-of-a-Kind (NOAK) estimates.</w:t>
      </w:r>
    </w:p>
    <w:p w14:paraId="4E0721E8" w14:textId="6674E848" w:rsidR="002315CD" w:rsidRPr="00FF63D1" w:rsidRDefault="002315CD" w:rsidP="002315CD">
      <w:pPr>
        <w:pStyle w:val="Caption"/>
        <w:keepNext/>
        <w:rPr>
          <w:noProof/>
        </w:rPr>
      </w:pPr>
      <w:bookmarkStart w:id="585" w:name="_Ref212722449"/>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separate"/>
      </w:r>
      <w:r w:rsidR="00E16D65">
        <w:rPr>
          <w:noProof/>
        </w:rPr>
        <w:t>15</w:t>
      </w:r>
      <w:r w:rsidRPr="00FF63D1">
        <w:rPr>
          <w:noProof/>
        </w:rPr>
        <w:fldChar w:fldCharType="end"/>
      </w:r>
      <w:bookmarkEnd w:id="585"/>
      <w:r w:rsidRPr="00FF63D1">
        <w:rPr>
          <w:noProof/>
        </w:rPr>
        <w:t xml:space="preserve">: </w:t>
      </w:r>
      <w:bookmarkStart w:id="586" w:name="_Ref212722430"/>
      <w:r w:rsidRPr="00FF63D1">
        <w:rPr>
          <w:noProof/>
        </w:rPr>
        <w:t xml:space="preserve">CAPEX for the pulp and paper industry </w:t>
      </w:r>
      <w:r w:rsidRPr="00FF63D1">
        <w:rPr>
          <w:noProof/>
          <w:szCs w:val="24"/>
        </w:rPr>
        <w:t>compiled by the JRC, 2025</w:t>
      </w:r>
      <w:bookmarkEnd w:id="58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960"/>
        <w:gridCol w:w="1958"/>
        <w:gridCol w:w="1902"/>
        <w:gridCol w:w="1593"/>
        <w:gridCol w:w="1593"/>
      </w:tblGrid>
      <w:tr w:rsidR="002315CD" w:rsidRPr="00FF63D1" w14:paraId="13E08ACE" w14:textId="77777777" w:rsidTr="00D53A95">
        <w:trPr>
          <w:trHeight w:val="567"/>
          <w:tblHeader/>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ACA9CF" w14:textId="77777777"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Technology Pathway</w:t>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FB2C96" w14:textId="77777777"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Current Value/Reference CAPEX</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EA4DCA" w14:textId="77777777"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CAPEX in 2030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1B6F9F4" w14:textId="77777777"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CAPEX in 2040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9FC8A1" w14:textId="77777777" w:rsidR="002315CD" w:rsidRPr="00FF63D1" w:rsidRDefault="002315CD">
            <w:pPr>
              <w:widowControl w:val="0"/>
              <w:pBdr>
                <w:top w:val="nil"/>
                <w:left w:val="nil"/>
                <w:bottom w:val="nil"/>
                <w:right w:val="nil"/>
                <w:between w:val="nil"/>
              </w:pBdr>
              <w:jc w:val="center"/>
              <w:rPr>
                <w:rFonts w:cs="Times New Roman"/>
                <w:b/>
                <w:noProof/>
                <w:color w:val="000000"/>
                <w:sz w:val="22"/>
              </w:rPr>
            </w:pPr>
            <w:r w:rsidRPr="00FF63D1">
              <w:rPr>
                <w:rFonts w:cs="Times New Roman"/>
                <w:b/>
                <w:noProof/>
                <w:color w:val="000000"/>
                <w:sz w:val="22"/>
              </w:rPr>
              <w:t>CAPEX in 2050</w:t>
            </w:r>
          </w:p>
        </w:tc>
      </w:tr>
      <w:tr w:rsidR="002315CD" w:rsidRPr="00FF63D1" w14:paraId="6ED771F2" w14:textId="77777777" w:rsidTr="00D53A95">
        <w:trPr>
          <w:trHeight w:val="20"/>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39AACC" w14:textId="77777777" w:rsidR="002315CD" w:rsidRPr="00FF63D1" w:rsidRDefault="6EB1567D">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Biomass Boiler (New Installation)</w:t>
            </w:r>
            <w:r w:rsidR="002315CD" w:rsidRPr="3F0F1197">
              <w:rPr>
                <w:rStyle w:val="FootnoteReference"/>
                <w:rFonts w:cs="Times New Roman"/>
                <w:noProof/>
                <w:color w:val="000000"/>
                <w:sz w:val="22"/>
              </w:rPr>
              <w:footnoteReference w:id="444"/>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5A2329"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themeColor="text1"/>
                <w:sz w:val="22"/>
              </w:rPr>
              <w:t>850 EUR/kWth (Reference cost for boiler).</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03A792"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850 EUR/kWth (Costs for mature, deployed technology typically considered stable).</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407769"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850 EUR/kWth.</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31DC27"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850 EUR/kWth.</w:t>
            </w:r>
          </w:p>
        </w:tc>
      </w:tr>
      <w:tr w:rsidR="002315CD" w:rsidRPr="00FF63D1" w14:paraId="37E56A5C" w14:textId="77777777" w:rsidTr="00D53A95">
        <w:trPr>
          <w:trHeight w:val="2382"/>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3B5071" w14:textId="77777777" w:rsidR="002315CD" w:rsidRPr="00FF63D1" w:rsidRDefault="6EB1567D">
            <w:pPr>
              <w:widowControl w:val="0"/>
              <w:pBdr>
                <w:top w:val="nil"/>
                <w:left w:val="nil"/>
                <w:bottom w:val="nil"/>
                <w:right w:val="nil"/>
                <w:between w:val="nil"/>
              </w:pBdr>
              <w:jc w:val="center"/>
              <w:rPr>
                <w:rFonts w:cs="Times New Roman"/>
                <w:b/>
                <w:noProof/>
                <w:color w:val="000000"/>
                <w:sz w:val="22"/>
                <w:vertAlign w:val="superscript"/>
              </w:rPr>
            </w:pPr>
            <w:r w:rsidRPr="3F0F1197">
              <w:rPr>
                <w:rFonts w:cs="Times New Roman"/>
                <w:b/>
                <w:bCs/>
                <w:noProof/>
                <w:color w:val="000000" w:themeColor="text1"/>
                <w:sz w:val="22"/>
              </w:rPr>
              <w:t>High-Temperature Heat Pumps (HTHP)</w:t>
            </w:r>
            <w:r w:rsidR="002315CD" w:rsidRPr="3F0F1197">
              <w:rPr>
                <w:rStyle w:val="FootnoteReference"/>
                <w:rFonts w:cs="Times New Roman"/>
                <w:noProof/>
                <w:color w:val="000000"/>
                <w:sz w:val="22"/>
              </w:rPr>
              <w:footnoteReference w:id="445"/>
            </w:r>
            <w:r w:rsidRPr="3F0F1197">
              <w:rPr>
                <w:rFonts w:cs="Times New Roman"/>
                <w:noProof/>
                <w:color w:val="000000" w:themeColor="text1"/>
                <w:sz w:val="22"/>
                <w:vertAlign w:val="superscript"/>
              </w:rPr>
              <w:t xml:space="preserve">, </w:t>
            </w:r>
            <w:r w:rsidR="002315CD" w:rsidRPr="3F0F1197">
              <w:rPr>
                <w:rStyle w:val="FootnoteReference"/>
                <w:rFonts w:cs="Times New Roman"/>
                <w:noProof/>
                <w:color w:val="000000"/>
                <w:sz w:val="22"/>
              </w:rPr>
              <w:footnoteReference w:id="446"/>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89DEE3" w14:textId="4AA068C9" w:rsidR="002315CD" w:rsidRPr="00FF63D1" w:rsidRDefault="00CA248E">
            <w:pPr>
              <w:widowControl w:val="0"/>
              <w:pBdr>
                <w:top w:val="nil"/>
                <w:left w:val="nil"/>
                <w:bottom w:val="nil"/>
                <w:right w:val="nil"/>
                <w:between w:val="nil"/>
              </w:pBdr>
              <w:jc w:val="center"/>
              <w:rPr>
                <w:rFonts w:cs="Times New Roman"/>
                <w:noProof/>
                <w:color w:val="000000"/>
                <w:sz w:val="22"/>
              </w:rPr>
            </w:pPr>
            <w:r>
              <w:rPr>
                <w:rFonts w:cs="Times New Roman"/>
                <w:noProof/>
                <w:color w:val="000000" w:themeColor="text1"/>
                <w:sz w:val="22"/>
              </w:rPr>
              <w:t xml:space="preserve">EUR </w:t>
            </w:r>
            <w:r w:rsidR="002315CD" w:rsidRPr="00FF63D1">
              <w:rPr>
                <w:rFonts w:cs="Times New Roman"/>
                <w:noProof/>
                <w:color w:val="000000" w:themeColor="text1"/>
                <w:sz w:val="22"/>
              </w:rPr>
              <w:t>300–</w:t>
            </w:r>
            <w:r>
              <w:rPr>
                <w:rFonts w:cs="Times New Roman"/>
                <w:noProof/>
                <w:color w:val="000000" w:themeColor="text1"/>
                <w:sz w:val="22"/>
              </w:rPr>
              <w:t xml:space="preserve">EUR </w:t>
            </w:r>
            <w:r w:rsidR="002315CD" w:rsidRPr="00FF63D1">
              <w:rPr>
                <w:rFonts w:cs="Times New Roman"/>
                <w:noProof/>
                <w:color w:val="000000" w:themeColor="text1"/>
                <w:sz w:val="22"/>
              </w:rPr>
              <w:t>1</w:t>
            </w:r>
            <w:r w:rsidR="00B8591D">
              <w:rPr>
                <w:rFonts w:cs="Times New Roman"/>
                <w:noProof/>
                <w:color w:val="000000" w:themeColor="text1"/>
                <w:sz w:val="22"/>
              </w:rPr>
              <w:t xml:space="preserve"> </w:t>
            </w:r>
            <w:r w:rsidR="002315CD" w:rsidRPr="00FF63D1">
              <w:rPr>
                <w:rFonts w:cs="Times New Roman"/>
                <w:noProof/>
                <w:color w:val="000000" w:themeColor="text1"/>
                <w:sz w:val="22"/>
              </w:rPr>
              <w:t>000/kWth (Estimates for systems like reverse-Rankine cycle, typical project range).</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386A28" w14:textId="76061898"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Maximum acceptable specific CAPEX threshold for economic viability in Sweden is up to EUR 1</w:t>
            </w:r>
            <w:r w:rsidR="00B114A4">
              <w:rPr>
                <w:rFonts w:cs="Times New Roman"/>
                <w:noProof/>
                <w:color w:val="000000"/>
                <w:sz w:val="22"/>
              </w:rPr>
              <w:t xml:space="preserve"> </w:t>
            </w:r>
            <w:r w:rsidRPr="00FF63D1">
              <w:rPr>
                <w:rFonts w:cs="Times New Roman"/>
                <w:noProof/>
                <w:color w:val="000000"/>
                <w:sz w:val="22"/>
              </w:rPr>
              <w:t>600/kW. Broad deployment requires significant cost reductions.</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4D4324" w14:textId="62EA6A4A"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Expected stability after deployment and cost optimi</w:t>
            </w:r>
            <w:r w:rsidR="00C93E5C">
              <w:rPr>
                <w:rFonts w:cs="Times New Roman"/>
                <w:noProof/>
                <w:color w:val="000000"/>
                <w:sz w:val="22"/>
              </w:rPr>
              <w:t>sation</w:t>
            </w:r>
            <w:r w:rsidRPr="00FF63D1">
              <w:rPr>
                <w:rFonts w:cs="Times New Roman"/>
                <w:noProof/>
                <w:color w:val="000000"/>
                <w:sz w:val="22"/>
              </w:rPr>
              <w:t>.</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615A846"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Expected stability after full technological maturity.</w:t>
            </w:r>
          </w:p>
        </w:tc>
      </w:tr>
      <w:tr w:rsidR="002315CD" w:rsidRPr="00FF63D1" w14:paraId="70786027" w14:textId="77777777" w:rsidTr="00D53A95">
        <w:trPr>
          <w:trHeight w:val="1850"/>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2E18AB" w14:textId="77777777" w:rsidR="002315CD" w:rsidRPr="00FF63D1" w:rsidRDefault="6EB1567D">
            <w:pPr>
              <w:widowControl w:val="0"/>
              <w:pBdr>
                <w:top w:val="nil"/>
                <w:left w:val="nil"/>
                <w:bottom w:val="nil"/>
                <w:right w:val="nil"/>
                <w:between w:val="nil"/>
              </w:pBdr>
              <w:jc w:val="center"/>
              <w:rPr>
                <w:rFonts w:cs="Times New Roman"/>
                <w:b/>
                <w:noProof/>
                <w:color w:val="000000"/>
                <w:sz w:val="22"/>
              </w:rPr>
            </w:pPr>
            <w:r w:rsidRPr="3F0F1197">
              <w:rPr>
                <w:rFonts w:cs="Times New Roman"/>
                <w:b/>
                <w:bCs/>
                <w:noProof/>
                <w:color w:val="000000" w:themeColor="text1"/>
                <w:sz w:val="22"/>
              </w:rPr>
              <w:t>Electric Boiler (Direct Electrification)</w:t>
            </w:r>
            <w:r w:rsidRPr="3F0F1197">
              <w:rPr>
                <w:rStyle w:val="FootnoteReference"/>
                <w:rFonts w:cs="Times New Roman"/>
                <w:noProof/>
                <w:color w:val="000000" w:themeColor="text1"/>
                <w:sz w:val="22"/>
              </w:rPr>
              <w:t xml:space="preserve"> </w:t>
            </w:r>
            <w:r w:rsidR="002315CD" w:rsidRPr="3F0F1197">
              <w:rPr>
                <w:rStyle w:val="FootnoteReference"/>
                <w:rFonts w:cs="Times New Roman"/>
                <w:noProof/>
                <w:color w:val="000000"/>
                <w:sz w:val="22"/>
              </w:rPr>
              <w:footnoteReference w:id="447"/>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7562BD" w14:textId="6E64C02B" w:rsidR="002315CD" w:rsidRPr="00FF63D1" w:rsidRDefault="00FD5FD5">
            <w:pPr>
              <w:widowControl w:val="0"/>
              <w:pBdr>
                <w:top w:val="nil"/>
                <w:left w:val="nil"/>
                <w:bottom w:val="nil"/>
                <w:right w:val="nil"/>
                <w:between w:val="nil"/>
              </w:pBdr>
              <w:jc w:val="center"/>
              <w:rPr>
                <w:rFonts w:cs="Times New Roman"/>
                <w:noProof/>
                <w:color w:val="000000"/>
                <w:sz w:val="22"/>
              </w:rPr>
            </w:pPr>
            <w:r>
              <w:rPr>
                <w:rFonts w:cs="Times New Roman"/>
                <w:noProof/>
                <w:color w:val="000000"/>
                <w:sz w:val="22"/>
              </w:rPr>
              <w:t>R</w:t>
            </w:r>
            <w:r w:rsidRPr="00FF63D1">
              <w:rPr>
                <w:rFonts w:cs="Times New Roman"/>
                <w:noProof/>
                <w:color w:val="000000"/>
                <w:sz w:val="22"/>
              </w:rPr>
              <w:t>equires significant investments in electricity grid connections,</w:t>
            </w:r>
            <w:r w:rsidRPr="00FF63D1" w:rsidDel="00FF57CF">
              <w:rPr>
                <w:rFonts w:cs="Times New Roman"/>
                <w:noProof/>
                <w:color w:val="000000"/>
                <w:sz w:val="22"/>
              </w:rPr>
              <w:t xml:space="preserve"> </w:t>
            </w:r>
            <w:r w:rsidRPr="00FF63D1">
              <w:rPr>
                <w:rFonts w:cs="Times New Roman"/>
                <w:noProof/>
                <w:color w:val="000000"/>
                <w:sz w:val="22"/>
              </w:rPr>
              <w:t>which acts as a barrier.</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859C800"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Cost remains largely dependent on required grid upgrades.</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5A6B95"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Cost remains largely dependent on required grid upgrades.</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DE2D31"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Cost remains largely dependent on required grid upgrades.</w:t>
            </w:r>
          </w:p>
        </w:tc>
      </w:tr>
      <w:tr w:rsidR="002315CD" w:rsidRPr="00FF63D1" w14:paraId="3B1D120E" w14:textId="77777777" w:rsidTr="00D53A95">
        <w:trPr>
          <w:trHeight w:val="2533"/>
        </w:trPr>
        <w:tc>
          <w:tcPr>
            <w:tcW w:w="95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0DB094" w14:textId="77777777" w:rsidR="002315CD" w:rsidRPr="00B163F3" w:rsidRDefault="6EB1567D">
            <w:pPr>
              <w:widowControl w:val="0"/>
              <w:pBdr>
                <w:top w:val="nil"/>
                <w:left w:val="nil"/>
                <w:bottom w:val="nil"/>
                <w:right w:val="nil"/>
                <w:between w:val="nil"/>
              </w:pBdr>
              <w:jc w:val="center"/>
              <w:rPr>
                <w:b/>
                <w:noProof/>
                <w:color w:val="000000"/>
                <w:sz w:val="22"/>
                <w:vertAlign w:val="superscript"/>
                <w:lang w:val="fr-BE"/>
              </w:rPr>
            </w:pPr>
            <w:r w:rsidRPr="3F0F1197">
              <w:rPr>
                <w:b/>
                <w:bCs/>
                <w:noProof/>
                <w:color w:val="000000" w:themeColor="text1"/>
                <w:sz w:val="22"/>
                <w:lang w:val="fr-BE"/>
              </w:rPr>
              <w:lastRenderedPageBreak/>
              <w:t>Carbon Capture (PCC - Amine/Carbonate)</w:t>
            </w:r>
            <w:r w:rsidRPr="3F0F1197">
              <w:rPr>
                <w:rStyle w:val="FootnoteReference"/>
                <w:noProof/>
                <w:color w:val="000000" w:themeColor="text1"/>
                <w:sz w:val="22"/>
                <w:lang w:val="fr-BE"/>
              </w:rPr>
              <w:t xml:space="preserve"> </w:t>
            </w:r>
            <w:r w:rsidR="002315CD" w:rsidRPr="3F0F1197">
              <w:rPr>
                <w:rStyle w:val="FootnoteReference"/>
                <w:rFonts w:cs="Times New Roman"/>
                <w:noProof/>
                <w:color w:val="000000"/>
                <w:sz w:val="22"/>
              </w:rPr>
              <w:footnoteReference w:id="448"/>
            </w:r>
            <w:r w:rsidRPr="3F0F1197">
              <w:rPr>
                <w:noProof/>
                <w:color w:val="000000" w:themeColor="text1"/>
                <w:sz w:val="22"/>
                <w:vertAlign w:val="superscript"/>
                <w:lang w:val="fr-BE"/>
              </w:rPr>
              <w:t xml:space="preserve">, </w:t>
            </w:r>
            <w:r w:rsidR="002315CD" w:rsidRPr="3F0F1197">
              <w:rPr>
                <w:rStyle w:val="FootnoteReference"/>
                <w:rFonts w:cs="Times New Roman"/>
                <w:noProof/>
                <w:color w:val="000000"/>
                <w:sz w:val="22"/>
              </w:rPr>
              <w:footnoteReference w:id="449"/>
            </w:r>
          </w:p>
        </w:tc>
        <w:tc>
          <w:tcPr>
            <w:tcW w:w="112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3BF3B6"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themeColor="text1"/>
                <w:sz w:val="22"/>
              </w:rPr>
              <w:t>CAPEX calculated using Nth-of-a-Kind (NOAK) factors, meaning current costs are likely higher than estimates.</w:t>
            </w:r>
          </w:p>
        </w:tc>
        <w:tc>
          <w:tcPr>
            <w:tcW w:w="109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014DB4"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themeColor="text1"/>
                <w:sz w:val="22"/>
              </w:rPr>
              <w:t>NOAK costs are assumed, reflecting a high level of maturity where technology is expected to be deployed.</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0EE242"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Expected CAPEX stability, as major cost reductions (learning curve of 1%) are primarily assumed only until TRL 8 is reached, typically before 2030.</w:t>
            </w:r>
          </w:p>
        </w:tc>
        <w:tc>
          <w:tcPr>
            <w:tcW w:w="9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0ADF16" w14:textId="77777777" w:rsidR="002315CD" w:rsidRPr="00FF63D1" w:rsidRDefault="002315CD">
            <w:pPr>
              <w:widowControl w:val="0"/>
              <w:pBdr>
                <w:top w:val="nil"/>
                <w:left w:val="nil"/>
                <w:bottom w:val="nil"/>
                <w:right w:val="nil"/>
                <w:between w:val="nil"/>
              </w:pBdr>
              <w:jc w:val="center"/>
              <w:rPr>
                <w:rFonts w:cs="Times New Roman"/>
                <w:noProof/>
                <w:color w:val="000000"/>
                <w:sz w:val="22"/>
              </w:rPr>
            </w:pPr>
            <w:r w:rsidRPr="00FF63D1">
              <w:rPr>
                <w:rFonts w:cs="Times New Roman"/>
                <w:noProof/>
                <w:color w:val="000000"/>
                <w:sz w:val="22"/>
              </w:rPr>
              <w:t>Expected CAPEX stability.</w:t>
            </w:r>
          </w:p>
        </w:tc>
      </w:tr>
    </w:tbl>
    <w:p w14:paraId="654A6C5D" w14:textId="77777777" w:rsidR="002315CD" w:rsidRPr="00FF63D1" w:rsidRDefault="002315CD" w:rsidP="002315CD">
      <w:pPr>
        <w:rPr>
          <w:noProof/>
        </w:rPr>
      </w:pPr>
    </w:p>
    <w:p w14:paraId="732C1E59" w14:textId="77777777" w:rsidR="002315CD" w:rsidRPr="00BD0735" w:rsidRDefault="002315CD" w:rsidP="00BD0735">
      <w:pPr>
        <w:spacing w:after="120"/>
        <w:rPr>
          <w:rFonts w:eastAsia="Times New Roman"/>
          <w:b/>
          <w:noProof/>
        </w:rPr>
      </w:pPr>
      <w:r w:rsidRPr="00BD0735">
        <w:rPr>
          <w:rFonts w:eastAsia="Times New Roman"/>
          <w:b/>
          <w:noProof/>
        </w:rPr>
        <w:t>Total Investment Needs (TCI) for EU Transition</w:t>
      </w:r>
    </w:p>
    <w:p w14:paraId="2A790565" w14:textId="2A6DE5E1" w:rsidR="002315CD" w:rsidRPr="00020C03" w:rsidRDefault="005F3121" w:rsidP="00BD0735">
      <w:pPr>
        <w:spacing w:after="120"/>
        <w:rPr>
          <w:noProof/>
        </w:rPr>
      </w:pPr>
      <w:r w:rsidRPr="00FF63D1">
        <w:rPr>
          <w:noProof/>
        </w:rPr>
        <w:t>To</w:t>
      </w:r>
      <w:r w:rsidR="002315CD" w:rsidRPr="00FF63D1">
        <w:rPr>
          <w:noProof/>
        </w:rPr>
        <w:t xml:space="preserve"> achieve its GHG emission reduction targets by 2030 the European pulp and paper industry estimates a TCI of </w:t>
      </w:r>
      <w:r w:rsidR="00715112">
        <w:rPr>
          <w:rFonts w:cs="Times New Roman"/>
          <w:noProof/>
          <w:color w:val="000000"/>
          <w:szCs w:val="24"/>
        </w:rPr>
        <w:t xml:space="preserve">EUR </w:t>
      </w:r>
      <w:r w:rsidR="002315CD" w:rsidRPr="00FF63D1">
        <w:rPr>
          <w:noProof/>
        </w:rPr>
        <w:t xml:space="preserve">24 billion is needed throughout the 2020s. Of this amount, </w:t>
      </w:r>
      <w:r w:rsidR="00CA248E">
        <w:rPr>
          <w:noProof/>
        </w:rPr>
        <w:t xml:space="preserve">EUR </w:t>
      </w:r>
      <w:r w:rsidR="002315CD" w:rsidRPr="00FF63D1">
        <w:rPr>
          <w:noProof/>
        </w:rPr>
        <w:t xml:space="preserve">6 billion is allocated to immediate emission reduction measures, while </w:t>
      </w:r>
      <w:r w:rsidR="00F12F93">
        <w:rPr>
          <w:rFonts w:cs="Times New Roman"/>
          <w:noProof/>
          <w:color w:val="000000"/>
          <w:szCs w:val="24"/>
        </w:rPr>
        <w:t xml:space="preserve">EUR </w:t>
      </w:r>
      <w:r w:rsidR="002315CD" w:rsidRPr="00FF63D1">
        <w:rPr>
          <w:noProof/>
        </w:rPr>
        <w:t>18 billion is earmarked for further technological advancements and infrastructure upgrades. A significant portion of these investments will target advanced CO</w:t>
      </w:r>
      <w:r w:rsidR="002315CD" w:rsidRPr="00206DD6">
        <w:rPr>
          <w:noProof/>
          <w:vertAlign w:val="subscript"/>
        </w:rPr>
        <w:t>2</w:t>
      </w:r>
      <w:r w:rsidR="002315CD" w:rsidRPr="00FF63D1">
        <w:rPr>
          <w:noProof/>
        </w:rPr>
        <w:t xml:space="preserve"> capture technologies. However, these estimates are considered optimistic compared to near-term implementation</w:t>
      </w:r>
      <w:r w:rsidR="00E52F17">
        <w:rPr>
          <w:noProof/>
        </w:rPr>
        <w:t>,</w:t>
      </w:r>
      <w:r w:rsidR="002315CD" w:rsidRPr="00FF63D1">
        <w:rPr>
          <w:noProof/>
        </w:rPr>
        <w:t xml:space="preserve"> because the current estimates assume a more mature technology base than likely to be available in the short term.</w:t>
      </w:r>
    </w:p>
    <w:p w14:paraId="037D9283" w14:textId="77777777" w:rsidR="00020031" w:rsidRPr="00020C03" w:rsidRDefault="00020031" w:rsidP="00E71388">
      <w:pPr>
        <w:pStyle w:val="ListParagraph"/>
        <w:keepNext/>
        <w:keepLines/>
        <w:numPr>
          <w:ilvl w:val="1"/>
          <w:numId w:val="166"/>
        </w:numPr>
        <w:spacing w:before="360" w:after="80"/>
        <w:outlineLvl w:val="0"/>
        <w:rPr>
          <w:b/>
          <w:noProof/>
        </w:rPr>
      </w:pPr>
      <w:bookmarkStart w:id="587" w:name="_Toc212728860"/>
      <w:bookmarkStart w:id="588" w:name="_Toc212729134"/>
      <w:bookmarkStart w:id="589" w:name="_Toc212729386"/>
      <w:bookmarkStart w:id="590" w:name="_Toc215506330"/>
      <w:bookmarkStart w:id="591" w:name="_Toc222159381"/>
      <w:bookmarkStart w:id="592" w:name="_Toc222489549"/>
      <w:bookmarkStart w:id="593" w:name="_Toc222490038"/>
      <w:r w:rsidRPr="00020C03">
        <w:rPr>
          <w:b/>
          <w:noProof/>
        </w:rPr>
        <w:t>Refining</w:t>
      </w:r>
      <w:bookmarkEnd w:id="587"/>
      <w:bookmarkEnd w:id="588"/>
      <w:bookmarkEnd w:id="589"/>
      <w:bookmarkEnd w:id="590"/>
      <w:bookmarkEnd w:id="591"/>
      <w:bookmarkEnd w:id="592"/>
      <w:bookmarkEnd w:id="593"/>
    </w:p>
    <w:p w14:paraId="078427E4" w14:textId="77777777" w:rsidR="00BD0735" w:rsidRDefault="545C8C3C" w:rsidP="00BD0735">
      <w:pPr>
        <w:spacing w:after="120"/>
        <w:rPr>
          <w:rFonts w:eastAsia="Times New Roman"/>
          <w:b/>
          <w:noProof/>
        </w:rPr>
      </w:pPr>
      <w:r w:rsidRPr="00F261DB">
        <w:rPr>
          <w:rFonts w:eastAsia="Times New Roman"/>
          <w:b/>
          <w:noProof/>
        </w:rPr>
        <w:t>Key facts</w:t>
      </w:r>
    </w:p>
    <w:p w14:paraId="6036B816" w14:textId="032AFC42" w:rsidR="00D23DFD" w:rsidRPr="00BD0735" w:rsidRDefault="404A2814" w:rsidP="00BD0735">
      <w:pPr>
        <w:spacing w:after="120"/>
        <w:rPr>
          <w:rStyle w:val="FootnoteReference"/>
          <w:rFonts w:eastAsia="Times New Roman"/>
          <w:noProof/>
          <w:vertAlign w:val="baseline"/>
        </w:rPr>
      </w:pPr>
      <w:r w:rsidRPr="00F261DB">
        <w:rPr>
          <w:rFonts w:eastAsia="Times New Roman"/>
          <w:noProof/>
        </w:rPr>
        <w:t>EUR 487 billion sales in 2022</w:t>
      </w:r>
      <w:r w:rsidR="00020031" w:rsidRPr="00FF63D1">
        <w:rPr>
          <w:rStyle w:val="FootnoteReference"/>
          <w:rFonts w:eastAsia="Times New Roman"/>
          <w:noProof/>
        </w:rPr>
        <w:footnoteReference w:id="450"/>
      </w:r>
      <w:r w:rsidRPr="00F261DB">
        <w:rPr>
          <w:rFonts w:eastAsia="Times New Roman"/>
          <w:noProof/>
        </w:rPr>
        <w:t xml:space="preserve"> 130</w:t>
      </w:r>
      <w:r w:rsidR="217EA473">
        <w:rPr>
          <w:rFonts w:eastAsia="Times New Roman"/>
          <w:noProof/>
        </w:rPr>
        <w:t xml:space="preserve"> </w:t>
      </w:r>
      <w:r w:rsidRPr="00F261DB">
        <w:rPr>
          <w:rFonts w:eastAsia="Times New Roman"/>
          <w:noProof/>
        </w:rPr>
        <w:t>000 direct jobs, 602.8</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production of refined petroleum products in 2022, Germany, Italy, the Netherlands, and Spain.</w:t>
      </w:r>
      <w:r w:rsidR="00020031" w:rsidRPr="00FF63D1">
        <w:rPr>
          <w:rStyle w:val="FootnoteReference"/>
          <w:rFonts w:eastAsia="Times New Roman"/>
          <w:noProof/>
        </w:rPr>
        <w:footnoteReference w:id="451"/>
      </w:r>
      <w:r w:rsidR="0FEF2BDF">
        <w:rPr>
          <w:rFonts w:eastAsia="Times New Roman"/>
          <w:noProof/>
        </w:rPr>
        <w:t xml:space="preserve"> </w:t>
      </w:r>
      <w:r w:rsidRPr="00893965">
        <w:rPr>
          <w:noProof/>
          <w:lang w:val="en-IE"/>
        </w:rPr>
        <w:t>EU exports in 2021: EUR 186 billion, imports: EUR</w:t>
      </w:r>
      <w:r w:rsidR="001A1955">
        <w:rPr>
          <w:noProof/>
          <w:lang w:val="en-IE"/>
        </w:rPr>
        <w:t xml:space="preserve"> </w:t>
      </w:r>
      <w:r w:rsidRPr="00893965">
        <w:rPr>
          <w:noProof/>
          <w:lang w:val="en-IE"/>
        </w:rPr>
        <w:t xml:space="preserve">150 billion. </w:t>
      </w:r>
      <w:r w:rsidRPr="25B808CD">
        <w:rPr>
          <w:rFonts w:eastAsia="Times New Roman"/>
          <w:noProof/>
        </w:rPr>
        <w:t>Major trading partners: USA, Norway, Middle East and Russia.</w:t>
      </w:r>
      <w:r w:rsidR="00020031" w:rsidRPr="25B808CD">
        <w:rPr>
          <w:rStyle w:val="FootnoteReference"/>
          <w:rFonts w:eastAsia="Times New Roman"/>
          <w:noProof/>
        </w:rPr>
        <w:footnoteReference w:id="452"/>
      </w:r>
    </w:p>
    <w:p w14:paraId="7D2D6DAA" w14:textId="77777777" w:rsidR="00BD0735" w:rsidRDefault="545C8C3C" w:rsidP="00BD0735">
      <w:pPr>
        <w:spacing w:after="120"/>
        <w:rPr>
          <w:rFonts w:eastAsia="Times New Roman"/>
          <w:b/>
          <w:noProof/>
        </w:rPr>
      </w:pPr>
      <w:r w:rsidRPr="00020C03">
        <w:rPr>
          <w:rFonts w:eastAsia="Times New Roman"/>
          <w:b/>
          <w:noProof/>
        </w:rPr>
        <w:t>Key challenges</w:t>
      </w:r>
    </w:p>
    <w:p w14:paraId="7C6B98F8" w14:textId="5AE8926F" w:rsidR="00020031" w:rsidRPr="00F261DB" w:rsidRDefault="0FEF2BDF" w:rsidP="00BD0735">
      <w:pPr>
        <w:spacing w:after="120"/>
        <w:rPr>
          <w:rFonts w:eastAsia="Times New Roman"/>
          <w:noProof/>
        </w:rPr>
      </w:pPr>
      <w:r w:rsidRPr="1A2A8689">
        <w:rPr>
          <w:rFonts w:eastAsia="Times New Roman"/>
          <w:noProof/>
        </w:rPr>
        <w:t>D</w:t>
      </w:r>
      <w:r w:rsidR="404A2814" w:rsidRPr="00F261DB">
        <w:rPr>
          <w:rFonts w:eastAsia="Times New Roman"/>
          <w:noProof/>
        </w:rPr>
        <w:t>ependency on crude oil imports, exposure to global price volatility, and increasing regulatory pressure to decarbonise. Production volumes have decreased by 8% between 2022 and 2023.</w:t>
      </w:r>
      <w:r w:rsidR="00020031" w:rsidRPr="00FF63D1">
        <w:rPr>
          <w:rStyle w:val="FootnoteReference"/>
          <w:rFonts w:eastAsia="Times New Roman"/>
          <w:noProof/>
        </w:rPr>
        <w:footnoteReference w:id="453"/>
      </w:r>
    </w:p>
    <w:p w14:paraId="4AD35BE2" w14:textId="14538DC1" w:rsidR="00D23DFD" w:rsidRPr="00F261DB" w:rsidRDefault="404A2814" w:rsidP="00BD0735">
      <w:pPr>
        <w:spacing w:after="120"/>
        <w:rPr>
          <w:rFonts w:eastAsia="Times New Roman"/>
          <w:noProof/>
        </w:rPr>
      </w:pPr>
      <w:r w:rsidRPr="00F261DB">
        <w:rPr>
          <w:rFonts w:eastAsia="Times New Roman"/>
          <w:noProof/>
        </w:rPr>
        <w:t>EU refineries emit approximately between 150 and 200</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of CO₂ per year.</w:t>
      </w:r>
      <w:r w:rsidR="00020031" w:rsidRPr="00FF63D1">
        <w:rPr>
          <w:rStyle w:val="FootnoteReference"/>
          <w:rFonts w:eastAsia="Times New Roman"/>
          <w:noProof/>
        </w:rPr>
        <w:footnoteReference w:id="454"/>
      </w:r>
      <w:r w:rsidRPr="00F261DB">
        <w:rPr>
          <w:rFonts w:eastAsia="Times New Roman"/>
          <w:noProof/>
        </w:rPr>
        <w:t xml:space="preserve"> In line with EU climate goals, refineries are transitioning toward cleaner production and de-fossilisation of their products through several decarbonisation pathways, including fuel switching to low-carbon hydrogen, electrification of heat processes, deployment of carbon capture, utilisation and storage (CCUS), and increased production of advanced biofuels and synthetic fuels. The estimated investment requirement is EUR 650 billion by 2050. Main decarbonisation challenges include the limited availability of low-carbon technologies at scale, underdeveloped infrastructure for clean hydrogen and CO₂ transport and storage, and the complexity of adapting current assets to new energy systems.</w:t>
      </w:r>
    </w:p>
    <w:p w14:paraId="77342449" w14:textId="77777777" w:rsidR="00020031" w:rsidRPr="00020C03" w:rsidRDefault="00020031" w:rsidP="00BD0735">
      <w:pPr>
        <w:pStyle w:val="ListParagraph"/>
        <w:keepNext/>
        <w:keepLines/>
        <w:numPr>
          <w:ilvl w:val="1"/>
          <w:numId w:val="166"/>
        </w:numPr>
        <w:spacing w:before="360" w:after="80"/>
        <w:outlineLvl w:val="0"/>
        <w:rPr>
          <w:b/>
          <w:noProof/>
        </w:rPr>
      </w:pPr>
      <w:bookmarkStart w:id="594" w:name="_Toc212728861"/>
      <w:bookmarkStart w:id="595" w:name="_Toc212729135"/>
      <w:bookmarkStart w:id="596" w:name="_Toc212729387"/>
      <w:bookmarkStart w:id="597" w:name="_Toc215506331"/>
      <w:bookmarkStart w:id="598" w:name="_Toc222159382"/>
      <w:bookmarkStart w:id="599" w:name="_Toc222489550"/>
      <w:bookmarkStart w:id="600" w:name="_Toc222490039"/>
      <w:r w:rsidRPr="00020C03">
        <w:rPr>
          <w:b/>
          <w:noProof/>
        </w:rPr>
        <w:t>Steel</w:t>
      </w:r>
      <w:bookmarkEnd w:id="594"/>
      <w:bookmarkEnd w:id="595"/>
      <w:bookmarkEnd w:id="596"/>
      <w:bookmarkEnd w:id="597"/>
      <w:bookmarkEnd w:id="598"/>
      <w:bookmarkEnd w:id="599"/>
      <w:bookmarkEnd w:id="600"/>
      <w:r w:rsidRPr="00020C03">
        <w:rPr>
          <w:b/>
          <w:noProof/>
        </w:rPr>
        <w:t xml:space="preserve"> </w:t>
      </w:r>
    </w:p>
    <w:p w14:paraId="6E2EBA27" w14:textId="77777777" w:rsidR="00BD0735" w:rsidRDefault="545C8C3C" w:rsidP="00BD0735">
      <w:pPr>
        <w:spacing w:after="120"/>
        <w:rPr>
          <w:rFonts w:eastAsia="Times New Roman"/>
          <w:b/>
          <w:noProof/>
        </w:rPr>
      </w:pPr>
      <w:r w:rsidRPr="00F261DB">
        <w:rPr>
          <w:rFonts w:eastAsia="Times New Roman"/>
          <w:b/>
          <w:noProof/>
        </w:rPr>
        <w:t>Key facts</w:t>
      </w:r>
    </w:p>
    <w:p w14:paraId="639CE93C" w14:textId="4E086611" w:rsidR="00D23DFD" w:rsidRPr="00F261DB" w:rsidRDefault="404A2814" w:rsidP="00BD0735">
      <w:pPr>
        <w:spacing w:after="120"/>
        <w:rPr>
          <w:rFonts w:eastAsia="Times New Roman"/>
          <w:noProof/>
        </w:rPr>
      </w:pPr>
      <w:r w:rsidRPr="00F261DB">
        <w:rPr>
          <w:rFonts w:eastAsia="Times New Roman"/>
          <w:noProof/>
        </w:rPr>
        <w:t xml:space="preserve">Third-largest global steel producer (7-8% of global production) after China and India </w:t>
      </w:r>
      <w:r w:rsidR="00020031" w:rsidRPr="00FF63D1">
        <w:rPr>
          <w:rStyle w:val="FootnoteReference"/>
          <w:rFonts w:eastAsia="Times New Roman"/>
          <w:noProof/>
        </w:rPr>
        <w:footnoteReference w:id="455"/>
      </w:r>
      <w:r w:rsidRPr="00F261DB">
        <w:rPr>
          <w:rFonts w:eastAsia="Times New Roman"/>
          <w:noProof/>
        </w:rPr>
        <w:t>, EUR 177 billion of Gross Value Added in 2024, 298</w:t>
      </w:r>
      <w:r w:rsidR="217EA473">
        <w:rPr>
          <w:rFonts w:eastAsia="Times New Roman"/>
          <w:noProof/>
        </w:rPr>
        <w:t xml:space="preserve"> </w:t>
      </w:r>
      <w:r w:rsidRPr="00F261DB">
        <w:rPr>
          <w:rFonts w:eastAsia="Times New Roman"/>
          <w:noProof/>
        </w:rPr>
        <w:t>000 direct and 1</w:t>
      </w:r>
      <w:r w:rsidR="45E14CE0">
        <w:rPr>
          <w:rFonts w:eastAsia="Times New Roman"/>
          <w:noProof/>
        </w:rPr>
        <w:t xml:space="preserve"> </w:t>
      </w:r>
      <w:r w:rsidRPr="00F261DB">
        <w:rPr>
          <w:rFonts w:eastAsia="Times New Roman"/>
          <w:noProof/>
        </w:rPr>
        <w:t>550</w:t>
      </w:r>
      <w:r w:rsidR="217EA473">
        <w:rPr>
          <w:rFonts w:eastAsia="Times New Roman"/>
          <w:noProof/>
        </w:rPr>
        <w:t xml:space="preserve"> </w:t>
      </w:r>
      <w:r w:rsidRPr="00F261DB">
        <w:rPr>
          <w:rFonts w:eastAsia="Times New Roman"/>
          <w:noProof/>
        </w:rPr>
        <w:t xml:space="preserve">000 indirect jobs, 130 </w:t>
      </w:r>
      <w:r w:rsidR="51E518DF" w:rsidRPr="3F0F1197">
        <w:rPr>
          <w:rFonts w:eastAsia="Times New Roman"/>
          <w:noProof/>
        </w:rPr>
        <w:t>Mtonnes</w:t>
      </w:r>
      <w:r w:rsidRPr="00F261DB">
        <w:rPr>
          <w:rFonts w:eastAsia="Times New Roman"/>
          <w:noProof/>
        </w:rPr>
        <w:t xml:space="preserve"> production, main EU producers: Germany, Italy, Spain and France.</w:t>
      </w:r>
      <w:r w:rsidR="00020031" w:rsidRPr="00FF63D1">
        <w:rPr>
          <w:rStyle w:val="FootnoteReference"/>
          <w:rFonts w:eastAsia="Times New Roman"/>
          <w:noProof/>
        </w:rPr>
        <w:footnoteReference w:id="456"/>
      </w:r>
      <w:r w:rsidR="0FEF2BDF">
        <w:rPr>
          <w:rFonts w:eastAsia="Times New Roman"/>
          <w:noProof/>
        </w:rPr>
        <w:t xml:space="preserve"> </w:t>
      </w:r>
      <w:r w:rsidRPr="00F261DB">
        <w:rPr>
          <w:rFonts w:eastAsia="Times New Roman"/>
          <w:noProof/>
        </w:rPr>
        <w:t>EU exports in 2024: 16.7 Mt</w:t>
      </w:r>
      <w:r w:rsidR="7A649D91" w:rsidRPr="3F0F1197">
        <w:rPr>
          <w:rFonts w:eastAsia="Times New Roman"/>
          <w:noProof/>
        </w:rPr>
        <w:t>onnes</w:t>
      </w:r>
      <w:r w:rsidRPr="00F261DB">
        <w:rPr>
          <w:rFonts w:eastAsia="Times New Roman"/>
          <w:noProof/>
        </w:rPr>
        <w:t>, and imports: 27.4</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 xml:space="preserve">of finished steel products Türkiye, South Korea, India, Vietnam, China, Taiwan) for imports, and USA, </w:t>
      </w:r>
      <w:r w:rsidR="41C07C5D" w:rsidRPr="00FF63D1">
        <w:rPr>
          <w:rFonts w:eastAsia="Times New Roman"/>
          <w:noProof/>
        </w:rPr>
        <w:t>Türkiye</w:t>
      </w:r>
      <w:r w:rsidRPr="00FF63D1">
        <w:rPr>
          <w:rFonts w:eastAsia="Times New Roman"/>
          <w:noProof/>
        </w:rPr>
        <w:t xml:space="preserve"> </w:t>
      </w:r>
      <w:r w:rsidRPr="00F261DB">
        <w:rPr>
          <w:rFonts w:eastAsia="Times New Roman"/>
          <w:noProof/>
        </w:rPr>
        <w:t>and Switzerland for exports.</w:t>
      </w:r>
      <w:r w:rsidR="00020031" w:rsidRPr="00FF63D1">
        <w:rPr>
          <w:rStyle w:val="FootnoteReference"/>
          <w:rFonts w:eastAsia="Times New Roman"/>
          <w:noProof/>
        </w:rPr>
        <w:footnoteReference w:id="457"/>
      </w:r>
    </w:p>
    <w:p w14:paraId="6184C481" w14:textId="77777777" w:rsidR="00BD0735" w:rsidRDefault="545C8C3C" w:rsidP="00BD0735">
      <w:pPr>
        <w:spacing w:after="120"/>
        <w:rPr>
          <w:rFonts w:eastAsia="Times New Roman"/>
          <w:b/>
          <w:noProof/>
        </w:rPr>
      </w:pPr>
      <w:r w:rsidRPr="00F261DB">
        <w:rPr>
          <w:rFonts w:eastAsia="Times New Roman"/>
          <w:b/>
          <w:noProof/>
        </w:rPr>
        <w:t>Key challenges</w:t>
      </w:r>
    </w:p>
    <w:p w14:paraId="3213D31F" w14:textId="39AF3FCF" w:rsidR="004A50E1" w:rsidRPr="00BD0735" w:rsidRDefault="0FEF2BDF" w:rsidP="00BD0735">
      <w:pPr>
        <w:spacing w:after="120"/>
        <w:rPr>
          <w:rFonts w:eastAsia="Times New Roman"/>
          <w:noProof/>
          <w:color w:val="0000FF"/>
          <w:u w:val="single"/>
          <w:vertAlign w:val="superscript"/>
        </w:rPr>
      </w:pPr>
      <w:r w:rsidRPr="1A2A8689">
        <w:rPr>
          <w:rFonts w:eastAsia="Times New Roman"/>
          <w:noProof/>
        </w:rPr>
        <w:t>Hi</w:t>
      </w:r>
      <w:r w:rsidR="404A2814" w:rsidRPr="00F261DB">
        <w:rPr>
          <w:rFonts w:eastAsia="Times New Roman"/>
          <w:noProof/>
        </w:rPr>
        <w:t>gh energy costs, unfair competition, increased import pressure resulting from global overcapacity and low demand for green steel.</w:t>
      </w:r>
      <w:r w:rsidR="00020031" w:rsidRPr="00FF63D1">
        <w:rPr>
          <w:rStyle w:val="FootnoteReference"/>
          <w:rFonts w:eastAsia="Times New Roman"/>
          <w:noProof/>
        </w:rPr>
        <w:footnoteReference w:id="458"/>
      </w:r>
      <w:r w:rsidR="404A2814" w:rsidRPr="00F261DB">
        <w:rPr>
          <w:rFonts w:eastAsia="Times New Roman"/>
          <w:noProof/>
        </w:rPr>
        <w:t xml:space="preserve"> As a result, production volumes have decreased by 34</w:t>
      </w:r>
      <w:r w:rsidRPr="3F0F1197" w:rsidDel="00BD0735">
        <w:rPr>
          <w:rFonts w:eastAsia="Times New Roman"/>
          <w:noProof/>
        </w:rPr>
        <w:t xml:space="preserve"> </w:t>
      </w:r>
      <w:r w:rsidR="1AC6F867" w:rsidRPr="3F0F1197">
        <w:rPr>
          <w:rFonts w:eastAsia="Times New Roman"/>
          <w:noProof/>
        </w:rPr>
        <w:t xml:space="preserve">Mtonnes </w:t>
      </w:r>
      <w:r w:rsidR="404A2814" w:rsidRPr="00F261DB">
        <w:rPr>
          <w:rFonts w:eastAsia="Times New Roman"/>
          <w:noProof/>
        </w:rPr>
        <w:t>since 2018, and nearly 100</w:t>
      </w:r>
      <w:r w:rsidR="217EA473">
        <w:rPr>
          <w:rFonts w:eastAsia="Times New Roman"/>
          <w:noProof/>
        </w:rPr>
        <w:t xml:space="preserve"> </w:t>
      </w:r>
      <w:r w:rsidR="404A2814" w:rsidRPr="00F261DB">
        <w:rPr>
          <w:rFonts w:eastAsia="Times New Roman"/>
          <w:noProof/>
        </w:rPr>
        <w:t>000 jobs have been lost over the past 15 years.</w:t>
      </w:r>
      <w:r w:rsidR="00020031" w:rsidRPr="00FF63D1">
        <w:rPr>
          <w:rStyle w:val="FootnoteReference"/>
          <w:rFonts w:eastAsia="Times New Roman"/>
          <w:noProof/>
        </w:rPr>
        <w:footnoteReference w:id="459"/>
      </w:r>
      <w:r w:rsidR="404A2814" w:rsidRPr="00F261DB">
        <w:rPr>
          <w:rFonts w:eastAsia="Times New Roman"/>
          <w:noProof/>
        </w:rPr>
        <w:t xml:space="preserve"> Capacity utilisation has dropped to an unsustainable level of around</w:t>
      </w:r>
      <w:r w:rsidR="00602983">
        <w:rPr>
          <w:rFonts w:eastAsia="Times New Roman"/>
          <w:noProof/>
        </w:rPr>
        <w:t xml:space="preserve"> 65%</w:t>
      </w:r>
      <w:r w:rsidR="404A2814" w:rsidRPr="00F261DB">
        <w:rPr>
          <w:rFonts w:eastAsia="Times New Roman"/>
          <w:noProof/>
        </w:rPr>
        <w:t xml:space="preserve"> </w:t>
      </w:r>
      <w:r w:rsidR="00020031" w:rsidRPr="00FF63D1">
        <w:rPr>
          <w:rStyle w:val="FootnoteReference"/>
          <w:rFonts w:eastAsia="Times New Roman"/>
          <w:noProof/>
        </w:rPr>
        <w:footnoteReference w:id="460"/>
      </w:r>
      <w:r w:rsidR="404A2814" w:rsidRPr="00F261DB">
        <w:rPr>
          <w:rFonts w:eastAsia="Times New Roman"/>
          <w:noProof/>
        </w:rPr>
        <w:t xml:space="preserve"> compared to the minimum 85% to remain competitive under market conditions. While Europe was a net exporter of steel in 2012, by 2022 imports had surged to </w:t>
      </w:r>
      <w:r w:rsidR="5CC92EB2" w:rsidRPr="00F261DB">
        <w:rPr>
          <w:rFonts w:eastAsia="Times New Roman"/>
          <w:noProof/>
        </w:rPr>
        <w:t xml:space="preserve">EUR </w:t>
      </w:r>
      <w:r w:rsidR="404A2814" w:rsidRPr="00F261DB">
        <w:rPr>
          <w:rFonts w:eastAsia="Times New Roman"/>
          <w:noProof/>
        </w:rPr>
        <w:t>20</w:t>
      </w:r>
      <w:r w:rsidR="4CF4B1EC">
        <w:rPr>
          <w:rFonts w:eastAsia="Times New Roman"/>
          <w:noProof/>
        </w:rPr>
        <w:t xml:space="preserve"> </w:t>
      </w:r>
      <w:r w:rsidR="404A2814" w:rsidRPr="00F261DB">
        <w:rPr>
          <w:rFonts w:eastAsia="Times New Roman"/>
          <w:noProof/>
        </w:rPr>
        <w:t>billion</w:t>
      </w:r>
      <w:r w:rsidR="00A3377E">
        <w:rPr>
          <w:rFonts w:eastAsia="Times New Roman"/>
          <w:noProof/>
        </w:rPr>
        <w:t xml:space="preserve"> - </w:t>
      </w:r>
      <w:r w:rsidR="404A2814" w:rsidRPr="00F261DB">
        <w:rPr>
          <w:rFonts w:eastAsia="Times New Roman"/>
          <w:noProof/>
        </w:rPr>
        <w:t>an increase of 640%.</w:t>
      </w:r>
      <w:r w:rsidR="00020031" w:rsidRPr="00FF63D1">
        <w:rPr>
          <w:rStyle w:val="FootnoteReference"/>
          <w:rFonts w:eastAsia="Times New Roman"/>
          <w:noProof/>
        </w:rPr>
        <w:footnoteReference w:id="461"/>
      </w:r>
    </w:p>
    <w:p w14:paraId="6CD08EF1" w14:textId="01BDCD3E" w:rsidR="00020031" w:rsidRPr="00F261DB" w:rsidRDefault="404A2814" w:rsidP="00BD0735">
      <w:pPr>
        <w:spacing w:after="120"/>
        <w:rPr>
          <w:rFonts w:eastAsia="Times New Roman"/>
          <w:noProof/>
        </w:rPr>
      </w:pPr>
      <w:r w:rsidRPr="00F261DB">
        <w:rPr>
          <w:rFonts w:eastAsia="Times New Roman"/>
          <w:noProof/>
        </w:rPr>
        <w:t>In 2023, the EU steel industry emitted approximately 49.15</w:t>
      </w:r>
      <w:r w:rsidRPr="3F0F1197" w:rsidDel="545C8C3C">
        <w:rPr>
          <w:rFonts w:eastAsia="Times New Roman"/>
          <w:noProof/>
        </w:rPr>
        <w:t xml:space="preserve"> </w:t>
      </w:r>
      <w:r w:rsidR="1AC6F867" w:rsidRPr="3F0F1197">
        <w:rPr>
          <w:rFonts w:eastAsia="Times New Roman"/>
          <w:noProof/>
        </w:rPr>
        <w:t xml:space="preserve">Mtonnes </w:t>
      </w:r>
      <w:r w:rsidRPr="00F261DB">
        <w:rPr>
          <w:rFonts w:eastAsia="Times New Roman"/>
          <w:noProof/>
        </w:rPr>
        <w:t>of CO₂.</w:t>
      </w:r>
      <w:r w:rsidR="00020031" w:rsidRPr="00FF63D1">
        <w:rPr>
          <w:rStyle w:val="FootnoteReference"/>
          <w:rFonts w:eastAsia="Times New Roman"/>
          <w:noProof/>
        </w:rPr>
        <w:footnoteReference w:id="462"/>
      </w:r>
      <w:r w:rsidRPr="00F261DB">
        <w:rPr>
          <w:rFonts w:eastAsia="Times New Roman"/>
          <w:noProof/>
        </w:rPr>
        <w:t xml:space="preserve"> In line with EU climate goals, the steel industry is shifting toward cleaner production through different decarbonisation pathways, including electric furnaces, such as direct reduced iron (DRI) and electric arc furnaces (EAF), as well as the implementation of carbon capture and storage </w:t>
      </w:r>
      <w:r w:rsidR="00CC1E24" w:rsidRPr="00F261DB">
        <w:rPr>
          <w:rFonts w:eastAsia="Times New Roman"/>
          <w:noProof/>
        </w:rPr>
        <w:t>(CCS)</w:t>
      </w:r>
      <w:r w:rsidR="009D44FE">
        <w:rPr>
          <w:rFonts w:eastAsia="Times New Roman"/>
          <w:noProof/>
        </w:rPr>
        <w:t>.</w:t>
      </w:r>
      <w:r w:rsidR="00CC1E24" w:rsidRPr="00EE6715">
        <w:rPr>
          <w:rStyle w:val="FootnoteReference"/>
          <w:rFonts w:eastAsia="Times New Roman"/>
          <w:noProof/>
        </w:rPr>
        <w:t xml:space="preserve"> </w:t>
      </w:r>
      <w:r w:rsidR="00CC1E24">
        <w:rPr>
          <w:rStyle w:val="FootnoteReference"/>
          <w:rFonts w:eastAsia="Times New Roman"/>
          <w:noProof/>
        </w:rPr>
        <w:footnoteReference w:id="463"/>
      </w:r>
      <w:r w:rsidR="00CC1E24" w:rsidRPr="00A3377E">
        <w:rPr>
          <w:rFonts w:eastAsia="Times New Roman"/>
          <w:noProof/>
          <w:vertAlign w:val="superscript"/>
        </w:rPr>
        <w:t>,</w:t>
      </w:r>
      <w:r w:rsidR="00A3377E">
        <w:rPr>
          <w:rFonts w:eastAsia="Times New Roman"/>
          <w:noProof/>
          <w:vertAlign w:val="superscript"/>
        </w:rPr>
        <w:t xml:space="preserve"> </w:t>
      </w:r>
      <w:r w:rsidR="00CC1E24">
        <w:rPr>
          <w:rStyle w:val="FootnoteReference"/>
          <w:rFonts w:eastAsia="Times New Roman"/>
          <w:noProof/>
        </w:rPr>
        <w:footnoteReference w:id="464"/>
      </w:r>
      <w:r w:rsidR="00382C4E">
        <w:rPr>
          <w:rFonts w:eastAsia="Times New Roman"/>
          <w:noProof/>
          <w:vertAlign w:val="superscript"/>
        </w:rPr>
        <w:t xml:space="preserve">, </w:t>
      </w:r>
      <w:r w:rsidR="00CC1E24" w:rsidRPr="00FF63D1">
        <w:rPr>
          <w:rStyle w:val="FootnoteReference"/>
          <w:rFonts w:eastAsia="Times New Roman"/>
          <w:noProof/>
        </w:rPr>
        <w:footnoteReference w:id="465"/>
      </w:r>
      <w:r w:rsidRPr="00F261DB">
        <w:rPr>
          <w:rFonts w:eastAsia="Times New Roman"/>
          <w:noProof/>
        </w:rPr>
        <w:t xml:space="preserve"> These technologies aim to reduce greenhouse gas emissions across the production processes, as 95% of emissions come from the steelmaking, finishing and distribution. The main barriers to decarbonisation include limited availability of green infrastructure, the need for capital investment </w:t>
      </w:r>
      <w:r w:rsidR="009B2C06">
        <w:rPr>
          <w:rFonts w:eastAsia="Times New Roman"/>
          <w:noProof/>
        </w:rPr>
        <w:t xml:space="preserve">until 2030 </w:t>
      </w:r>
      <w:r w:rsidRPr="00F261DB">
        <w:rPr>
          <w:rFonts w:eastAsia="Times New Roman"/>
          <w:noProof/>
        </w:rPr>
        <w:t xml:space="preserve">estimated at over EUR </w:t>
      </w:r>
      <w:r w:rsidR="00274CD9">
        <w:rPr>
          <w:rFonts w:eastAsia="Times New Roman"/>
          <w:noProof/>
        </w:rPr>
        <w:t>31</w:t>
      </w:r>
      <w:r w:rsidR="00274CD9" w:rsidRPr="00F261DB">
        <w:rPr>
          <w:rFonts w:eastAsia="Times New Roman"/>
          <w:noProof/>
        </w:rPr>
        <w:t xml:space="preserve"> </w:t>
      </w:r>
      <w:r w:rsidRPr="00F261DB">
        <w:rPr>
          <w:rFonts w:eastAsia="Times New Roman"/>
          <w:noProof/>
        </w:rPr>
        <w:t>billion</w:t>
      </w:r>
      <w:r w:rsidR="001D02B0">
        <w:rPr>
          <w:rFonts w:eastAsia="Times New Roman"/>
          <w:noProof/>
        </w:rPr>
        <w:t xml:space="preserve"> and EUR 54 billion for operating expenditure (OPEX)</w:t>
      </w:r>
      <w:r w:rsidR="009D44FE">
        <w:rPr>
          <w:rFonts w:eastAsia="Times New Roman"/>
          <w:noProof/>
        </w:rPr>
        <w:t>,</w:t>
      </w:r>
      <w:r w:rsidR="001D02B0">
        <w:rPr>
          <w:rStyle w:val="FootnoteReference"/>
          <w:rFonts w:eastAsia="Times New Roman"/>
          <w:noProof/>
        </w:rPr>
        <w:footnoteReference w:id="466"/>
      </w:r>
      <w:r w:rsidRPr="00F261DB">
        <w:rPr>
          <w:rFonts w:eastAsia="Times New Roman"/>
          <w:noProof/>
        </w:rPr>
        <w:t xml:space="preserve"> lack of market demand for premium-priced green steel, varying maturity levels of decarbonisation technologies, and regulatory uncertainty, particularly regarding the ongoing </w:t>
      </w:r>
      <w:r w:rsidRPr="00F261DB" w:rsidDel="0069720E">
        <w:rPr>
          <w:rFonts w:eastAsia="Times New Roman"/>
          <w:noProof/>
        </w:rPr>
        <w:t>CBAM/ETS implementation</w:t>
      </w:r>
      <w:r w:rsidRPr="00F261DB">
        <w:rPr>
          <w:rFonts w:eastAsia="Times New Roman"/>
          <w:noProof/>
        </w:rPr>
        <w:t xml:space="preserve"> standards.</w:t>
      </w:r>
      <w:r w:rsidR="00020031" w:rsidRPr="00FF63D1">
        <w:rPr>
          <w:rStyle w:val="FootnoteReference"/>
          <w:rFonts w:eastAsia="Times New Roman"/>
          <w:noProof/>
        </w:rPr>
        <w:footnoteReference w:id="467"/>
      </w:r>
    </w:p>
    <w:p w14:paraId="02D498BE" w14:textId="78D61C16" w:rsidR="00661AB2" w:rsidRPr="00020C03" w:rsidRDefault="00661AB2" w:rsidP="00BD0735">
      <w:pPr>
        <w:spacing w:after="120"/>
        <w:rPr>
          <w:rFonts w:eastAsia="Times New Roman"/>
          <w:b/>
          <w:noProof/>
        </w:rPr>
      </w:pPr>
      <w:r w:rsidRPr="00020C03">
        <w:rPr>
          <w:rFonts w:eastAsia="Times New Roman"/>
          <w:b/>
          <w:noProof/>
        </w:rPr>
        <w:t>Cost evolution</w:t>
      </w:r>
    </w:p>
    <w:bookmarkStart w:id="603" w:name="_Toc207192554"/>
    <w:p w14:paraId="19A9BAAF" w14:textId="09C17114" w:rsidR="00661AB2" w:rsidRDefault="00506625" w:rsidP="00661AB2">
      <w:pPr>
        <w:rPr>
          <w:rFonts w:cs="Times New Roman"/>
          <w:noProof/>
          <w:szCs w:val="24"/>
        </w:rPr>
      </w:pPr>
      <w:r w:rsidRPr="00506625">
        <w:rPr>
          <w:noProof/>
        </w:rPr>
        <w:fldChar w:fldCharType="begin"/>
      </w:r>
      <w:r w:rsidRPr="00506625">
        <w:rPr>
          <w:noProof/>
        </w:rPr>
        <w:instrText xml:space="preserve"> REF _Ref212722471 \h  \* MERGEFORMAT </w:instrText>
      </w:r>
      <w:r w:rsidRPr="00506625">
        <w:rPr>
          <w:noProof/>
        </w:rPr>
      </w:r>
      <w:r w:rsidRPr="00506625">
        <w:rPr>
          <w:noProof/>
        </w:rPr>
        <w:fldChar w:fldCharType="separate"/>
      </w:r>
      <w:r w:rsidR="00E16D65" w:rsidRPr="00E16D65">
        <w:rPr>
          <w:noProof/>
          <w:szCs w:val="24"/>
        </w:rPr>
        <w:t>Table 16</w:t>
      </w:r>
      <w:r w:rsidRPr="00506625">
        <w:rPr>
          <w:noProof/>
        </w:rPr>
        <w:fldChar w:fldCharType="end"/>
      </w:r>
      <w:r>
        <w:rPr>
          <w:noProof/>
        </w:rPr>
        <w:t xml:space="preserve"> </w:t>
      </w:r>
      <w:r w:rsidR="00661AB2" w:rsidRPr="00506625">
        <w:rPr>
          <w:noProof/>
        </w:rPr>
        <w:t>below</w:t>
      </w:r>
      <w:r w:rsidR="00661AB2">
        <w:rPr>
          <w:noProof/>
        </w:rPr>
        <w:t xml:space="preserve"> </w:t>
      </w:r>
      <w:r w:rsidR="00661AB2" w:rsidRPr="00FF63D1">
        <w:rPr>
          <w:noProof/>
        </w:rPr>
        <w:t xml:space="preserve">and its subsequent data presents </w:t>
      </w:r>
      <w:r w:rsidR="00661AB2" w:rsidRPr="00FF63D1">
        <w:rPr>
          <w:rFonts w:cs="Times New Roman"/>
          <w:noProof/>
          <w:szCs w:val="24"/>
        </w:rPr>
        <w:t>CAPEX as (1) the specific CAPEX per tonne of annual crude steel capacity, adjusted for inflation to the base year (</w:t>
      </w:r>
      <w:r w:rsidR="00F12F93">
        <w:rPr>
          <w:rFonts w:cs="Times New Roman"/>
          <w:noProof/>
          <w:color w:val="000000"/>
          <w:szCs w:val="24"/>
        </w:rPr>
        <w:t xml:space="preserve">EUR </w:t>
      </w:r>
      <w:r w:rsidR="00661AB2" w:rsidRPr="00FF63D1">
        <w:rPr>
          <w:rFonts w:cs="Times New Roman"/>
          <w:noProof/>
          <w:szCs w:val="24"/>
        </w:rPr>
        <w:t>2022 or USD/</w:t>
      </w:r>
      <w:r w:rsidR="00CA248E">
        <w:rPr>
          <w:rFonts w:cs="Times New Roman"/>
          <w:noProof/>
          <w:szCs w:val="24"/>
        </w:rPr>
        <w:t xml:space="preserve">EUR </w:t>
      </w:r>
      <w:r w:rsidR="00661AB2" w:rsidRPr="00FF63D1">
        <w:rPr>
          <w:rFonts w:cs="Times New Roman"/>
          <w:noProof/>
          <w:szCs w:val="24"/>
        </w:rPr>
        <w:t>2023), and (2) the projected specific capital costs associated with future technology maturity by 2030, 2040 and 2050. Certain decarbonisation technologies within the steel industry like DRI in combination with EAF have been around for decades, however the utili</w:t>
      </w:r>
      <w:r w:rsidR="00C93E5C">
        <w:rPr>
          <w:rFonts w:cs="Times New Roman"/>
          <w:noProof/>
          <w:szCs w:val="24"/>
        </w:rPr>
        <w:t>sation</w:t>
      </w:r>
      <w:r w:rsidR="00661AB2" w:rsidRPr="00FF63D1">
        <w:rPr>
          <w:rFonts w:cs="Times New Roman"/>
          <w:noProof/>
          <w:szCs w:val="24"/>
        </w:rPr>
        <w:t xml:space="preserve"> of hydrogen has yet to be seen on an industrial scale. In comparison, certain CCS and electrolysis technology pathways are currently projected to not reach necessary industrial scale before the beginning of the 2030s, which is reflected in the high prognosed CAPEX. </w:t>
      </w:r>
    </w:p>
    <w:p w14:paraId="50179BE4" w14:textId="77777777" w:rsidR="00506625" w:rsidRPr="00FF63D1" w:rsidRDefault="00506625" w:rsidP="00661AB2">
      <w:pPr>
        <w:rPr>
          <w:b/>
          <w:noProof/>
        </w:rPr>
      </w:pPr>
    </w:p>
    <w:p w14:paraId="1F6B8A71" w14:textId="1F8DEE72" w:rsidR="00661AB2" w:rsidRPr="00FF63D1" w:rsidRDefault="00661AB2" w:rsidP="00661AB2">
      <w:pPr>
        <w:rPr>
          <w:rFonts w:cs="Times New Roman"/>
          <w:i/>
          <w:noProof/>
          <w:szCs w:val="24"/>
        </w:rPr>
      </w:pPr>
      <w:bookmarkStart w:id="604" w:name="_Ref212722471"/>
      <w:r w:rsidRPr="00FF63D1">
        <w:rPr>
          <w:i/>
          <w:noProof/>
          <w:szCs w:val="24"/>
        </w:rPr>
        <w:t xml:space="preserve">Table </w:t>
      </w:r>
      <w:r w:rsidRPr="00FF63D1">
        <w:rPr>
          <w:i/>
          <w:noProof/>
          <w:szCs w:val="24"/>
        </w:rPr>
        <w:fldChar w:fldCharType="begin"/>
      </w:r>
      <w:r w:rsidRPr="00FF63D1">
        <w:rPr>
          <w:i/>
          <w:noProof/>
          <w:szCs w:val="24"/>
        </w:rPr>
        <w:instrText xml:space="preserve"> SEQ Table \* ARABIC </w:instrText>
      </w:r>
      <w:r w:rsidRPr="00FF63D1">
        <w:rPr>
          <w:i/>
          <w:noProof/>
          <w:szCs w:val="24"/>
        </w:rPr>
        <w:fldChar w:fldCharType="separate"/>
      </w:r>
      <w:r w:rsidR="00E16D65">
        <w:rPr>
          <w:i/>
          <w:noProof/>
          <w:szCs w:val="24"/>
        </w:rPr>
        <w:t>16</w:t>
      </w:r>
      <w:r w:rsidRPr="00FF63D1">
        <w:rPr>
          <w:i/>
          <w:noProof/>
          <w:szCs w:val="24"/>
        </w:rPr>
        <w:fldChar w:fldCharType="end"/>
      </w:r>
      <w:bookmarkEnd w:id="604"/>
      <w:r w:rsidRPr="00FF63D1">
        <w:rPr>
          <w:i/>
          <w:noProof/>
          <w:szCs w:val="24"/>
        </w:rPr>
        <w:t xml:space="preserve">: </w:t>
      </w:r>
      <w:r w:rsidRPr="00FF63D1">
        <w:rPr>
          <w:rFonts w:cs="Times New Roman"/>
          <w:i/>
          <w:noProof/>
          <w:szCs w:val="24"/>
        </w:rPr>
        <w:t>CAPEX estimates for the steel industry compiled by the JRC, 2025</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944"/>
        <w:gridCol w:w="2023"/>
        <w:gridCol w:w="1965"/>
        <w:gridCol w:w="1571"/>
        <w:gridCol w:w="1513"/>
      </w:tblGrid>
      <w:tr w:rsidR="00661AB2" w:rsidRPr="00FF63D1" w14:paraId="09EC6833" w14:textId="77777777" w:rsidTr="00A035B0">
        <w:trPr>
          <w:tblHeader/>
        </w:trPr>
        <w:tc>
          <w:tcPr>
            <w:tcW w:w="1078" w:type="pct"/>
          </w:tcPr>
          <w:p w14:paraId="7BAAD3BC" w14:textId="77777777" w:rsidR="00661AB2" w:rsidRPr="00FF63D1" w:rsidRDefault="00661AB2">
            <w:pPr>
              <w:jc w:val="center"/>
              <w:rPr>
                <w:b/>
                <w:noProof/>
                <w:sz w:val="22"/>
              </w:rPr>
            </w:pPr>
            <w:r w:rsidRPr="00FF63D1">
              <w:rPr>
                <w:b/>
                <w:noProof/>
                <w:sz w:val="22"/>
              </w:rPr>
              <w:t>Technology Pathway</w:t>
            </w:r>
          </w:p>
        </w:tc>
        <w:tc>
          <w:tcPr>
            <w:tcW w:w="1122" w:type="pct"/>
          </w:tcPr>
          <w:p w14:paraId="6389C676" w14:textId="77777777" w:rsidR="00661AB2" w:rsidRPr="00FF63D1" w:rsidRDefault="00661AB2">
            <w:pPr>
              <w:jc w:val="center"/>
              <w:rPr>
                <w:b/>
                <w:noProof/>
                <w:sz w:val="22"/>
              </w:rPr>
            </w:pPr>
            <w:r w:rsidRPr="00FF63D1">
              <w:rPr>
                <w:b/>
                <w:noProof/>
                <w:sz w:val="22"/>
              </w:rPr>
              <w:t>CAPEX (Current Value/Reference)</w:t>
            </w:r>
          </w:p>
        </w:tc>
        <w:tc>
          <w:tcPr>
            <w:tcW w:w="1090" w:type="pct"/>
          </w:tcPr>
          <w:p w14:paraId="378F7DC0" w14:textId="77777777" w:rsidR="00661AB2" w:rsidRPr="00FF63D1" w:rsidRDefault="00661AB2">
            <w:pPr>
              <w:jc w:val="center"/>
              <w:rPr>
                <w:b/>
                <w:noProof/>
                <w:sz w:val="22"/>
              </w:rPr>
            </w:pPr>
            <w:r w:rsidRPr="00FF63D1">
              <w:rPr>
                <w:b/>
                <w:noProof/>
                <w:sz w:val="22"/>
              </w:rPr>
              <w:t>CAPEX (2030)</w:t>
            </w:r>
          </w:p>
        </w:tc>
        <w:tc>
          <w:tcPr>
            <w:tcW w:w="871" w:type="pct"/>
          </w:tcPr>
          <w:p w14:paraId="16D80346" w14:textId="77777777" w:rsidR="00661AB2" w:rsidRPr="00FF63D1" w:rsidRDefault="00661AB2">
            <w:pPr>
              <w:jc w:val="center"/>
              <w:rPr>
                <w:b/>
                <w:noProof/>
                <w:sz w:val="22"/>
              </w:rPr>
            </w:pPr>
            <w:r w:rsidRPr="00FF63D1">
              <w:rPr>
                <w:b/>
                <w:noProof/>
                <w:sz w:val="22"/>
              </w:rPr>
              <w:t>CAPEX (2040)</w:t>
            </w:r>
          </w:p>
        </w:tc>
        <w:tc>
          <w:tcPr>
            <w:tcW w:w="839" w:type="pct"/>
          </w:tcPr>
          <w:p w14:paraId="780243B5" w14:textId="77777777" w:rsidR="00661AB2" w:rsidRPr="00FF63D1" w:rsidRDefault="00661AB2">
            <w:pPr>
              <w:jc w:val="center"/>
              <w:rPr>
                <w:b/>
                <w:noProof/>
                <w:sz w:val="22"/>
              </w:rPr>
            </w:pPr>
            <w:r w:rsidRPr="00FF63D1">
              <w:rPr>
                <w:b/>
                <w:noProof/>
                <w:sz w:val="22"/>
              </w:rPr>
              <w:t>CAPEX (2050)</w:t>
            </w:r>
          </w:p>
        </w:tc>
      </w:tr>
      <w:tr w:rsidR="00661AB2" w:rsidRPr="00FF63D1" w14:paraId="27AF5D8F" w14:textId="77777777" w:rsidTr="00A035B0">
        <w:trPr>
          <w:trHeight w:val="953"/>
        </w:trPr>
        <w:tc>
          <w:tcPr>
            <w:tcW w:w="1078" w:type="pct"/>
          </w:tcPr>
          <w:p w14:paraId="4D66204D" w14:textId="77777777" w:rsidR="00661AB2" w:rsidRPr="00FF63D1" w:rsidRDefault="2CDC5222">
            <w:pPr>
              <w:rPr>
                <w:b/>
                <w:noProof/>
                <w:sz w:val="22"/>
              </w:rPr>
            </w:pPr>
            <w:r w:rsidRPr="3F0F1197">
              <w:rPr>
                <w:b/>
                <w:bCs/>
                <w:noProof/>
                <w:sz w:val="22"/>
              </w:rPr>
              <w:t>H-DRI-EAF (Integrated DRP + EAF) (Excluding Electrolyser)</w:t>
            </w:r>
            <w:r w:rsidR="00661AB2" w:rsidRPr="3F0F1197">
              <w:rPr>
                <w:rStyle w:val="FootnoteReference"/>
                <w:noProof/>
                <w:sz w:val="22"/>
              </w:rPr>
              <w:footnoteReference w:id="468"/>
            </w:r>
            <w:r w:rsidRPr="3F0F1197">
              <w:rPr>
                <w:rStyle w:val="FootnoteReference"/>
                <w:noProof/>
                <w:sz w:val="22"/>
              </w:rPr>
              <w:t xml:space="preserve">, </w:t>
            </w:r>
            <w:r w:rsidR="00661AB2" w:rsidRPr="3F0F1197">
              <w:rPr>
                <w:rStyle w:val="FootnoteReference"/>
                <w:noProof/>
                <w:sz w:val="22"/>
              </w:rPr>
              <w:footnoteReference w:id="469"/>
            </w:r>
          </w:p>
        </w:tc>
        <w:tc>
          <w:tcPr>
            <w:tcW w:w="1122" w:type="pct"/>
          </w:tcPr>
          <w:p w14:paraId="61F21784" w14:textId="3EE95C88" w:rsidR="00661AB2" w:rsidRPr="00FF63D1" w:rsidRDefault="00CA248E">
            <w:pPr>
              <w:jc w:val="center"/>
              <w:rPr>
                <w:noProof/>
                <w:sz w:val="22"/>
              </w:rPr>
            </w:pPr>
            <w:r>
              <w:rPr>
                <w:noProof/>
                <w:sz w:val="22"/>
              </w:rPr>
              <w:t xml:space="preserve">EUR </w:t>
            </w:r>
            <w:r w:rsidR="00661AB2" w:rsidRPr="00FF63D1">
              <w:rPr>
                <w:noProof/>
                <w:sz w:val="22"/>
              </w:rPr>
              <w:t>592/t (Literature Median, 2022</w:t>
            </w:r>
            <w:r w:rsidR="00FF6302">
              <w:rPr>
                <w:noProof/>
                <w:sz w:val="22"/>
              </w:rPr>
              <w:t xml:space="preserve"> prices</w:t>
            </w:r>
            <w:r w:rsidR="00661AB2" w:rsidRPr="00FF63D1">
              <w:rPr>
                <w:noProof/>
                <w:sz w:val="22"/>
              </w:rPr>
              <w:t xml:space="preserve">) </w:t>
            </w:r>
            <w:r w:rsidR="00760CE8">
              <w:rPr>
                <w:noProof/>
                <w:sz w:val="22"/>
              </w:rPr>
              <w:t xml:space="preserve">EUR </w:t>
            </w:r>
            <w:r w:rsidR="00661AB2" w:rsidRPr="00FF63D1">
              <w:rPr>
                <w:noProof/>
                <w:sz w:val="22"/>
              </w:rPr>
              <w:t>751/t (Announced Projects Median, 2022</w:t>
            </w:r>
            <w:r w:rsidR="00FF6302" w:rsidRPr="00FF6302">
              <w:rPr>
                <w:noProof/>
                <w:sz w:val="22"/>
              </w:rPr>
              <w:t xml:space="preserve"> prices</w:t>
            </w:r>
            <w:r w:rsidR="00661AB2" w:rsidRPr="00FF63D1">
              <w:rPr>
                <w:noProof/>
                <w:sz w:val="22"/>
              </w:rPr>
              <w:t>)</w:t>
            </w:r>
          </w:p>
        </w:tc>
        <w:tc>
          <w:tcPr>
            <w:tcW w:w="1090" w:type="pct"/>
          </w:tcPr>
          <w:p w14:paraId="1F7D1239" w14:textId="77777777" w:rsidR="00661AB2" w:rsidRPr="00FF63D1" w:rsidRDefault="00661AB2">
            <w:pPr>
              <w:jc w:val="center"/>
              <w:rPr>
                <w:noProof/>
                <w:sz w:val="22"/>
              </w:rPr>
            </w:pPr>
            <w:r w:rsidRPr="00FF63D1">
              <w:rPr>
                <w:noProof/>
                <w:sz w:val="22"/>
              </w:rPr>
              <w:t>$75 – $85/t (Crude steel capacity, specific capital costs for facilities)</w:t>
            </w:r>
          </w:p>
        </w:tc>
        <w:tc>
          <w:tcPr>
            <w:tcW w:w="871" w:type="pct"/>
          </w:tcPr>
          <w:p w14:paraId="1C30E46F" w14:textId="77777777" w:rsidR="00661AB2" w:rsidRPr="00FF63D1" w:rsidRDefault="00661AB2">
            <w:pPr>
              <w:jc w:val="center"/>
              <w:rPr>
                <w:noProof/>
                <w:sz w:val="22"/>
              </w:rPr>
            </w:pPr>
            <w:r w:rsidRPr="00FF63D1">
              <w:rPr>
                <w:noProof/>
                <w:sz w:val="22"/>
              </w:rPr>
              <w:t>N/A</w:t>
            </w:r>
          </w:p>
        </w:tc>
        <w:tc>
          <w:tcPr>
            <w:tcW w:w="839" w:type="pct"/>
          </w:tcPr>
          <w:p w14:paraId="1AB833FE" w14:textId="77777777" w:rsidR="00661AB2" w:rsidRPr="00FF63D1" w:rsidRDefault="00661AB2">
            <w:pPr>
              <w:jc w:val="center"/>
              <w:rPr>
                <w:noProof/>
                <w:sz w:val="22"/>
              </w:rPr>
            </w:pPr>
            <w:r w:rsidRPr="00FF63D1">
              <w:rPr>
                <w:noProof/>
                <w:sz w:val="22"/>
              </w:rPr>
              <w:t>N/A</w:t>
            </w:r>
          </w:p>
        </w:tc>
      </w:tr>
      <w:tr w:rsidR="00661AB2" w:rsidRPr="00FF63D1" w14:paraId="7BC5BBC3" w14:textId="77777777" w:rsidTr="00A035B0">
        <w:tc>
          <w:tcPr>
            <w:tcW w:w="1078" w:type="pct"/>
          </w:tcPr>
          <w:p w14:paraId="0DA4F8F7" w14:textId="77777777" w:rsidR="00661AB2" w:rsidRPr="00FF63D1" w:rsidRDefault="2CDC5222">
            <w:pPr>
              <w:rPr>
                <w:b/>
                <w:noProof/>
                <w:sz w:val="22"/>
              </w:rPr>
            </w:pPr>
            <w:r w:rsidRPr="3F0F1197">
              <w:rPr>
                <w:b/>
                <w:bCs/>
                <w:noProof/>
                <w:sz w:val="22"/>
              </w:rPr>
              <w:t>H-DRI-EAF (Including Integrated Electrolyser)</w:t>
            </w:r>
            <w:r w:rsidR="00661AB2" w:rsidRPr="3F0F1197">
              <w:rPr>
                <w:rStyle w:val="FootnoteReference"/>
                <w:noProof/>
                <w:sz w:val="22"/>
              </w:rPr>
              <w:footnoteReference w:id="470"/>
            </w:r>
            <w:r w:rsidRPr="3F0F1197">
              <w:rPr>
                <w:rStyle w:val="FootnoteReference"/>
                <w:noProof/>
                <w:sz w:val="22"/>
              </w:rPr>
              <w:t xml:space="preserve">, </w:t>
            </w:r>
            <w:r w:rsidR="00661AB2" w:rsidRPr="3F0F1197">
              <w:rPr>
                <w:rStyle w:val="FootnoteReference"/>
                <w:noProof/>
                <w:sz w:val="22"/>
              </w:rPr>
              <w:footnoteReference w:id="471"/>
            </w:r>
          </w:p>
        </w:tc>
        <w:tc>
          <w:tcPr>
            <w:tcW w:w="1122" w:type="pct"/>
          </w:tcPr>
          <w:p w14:paraId="0CEFD02F" w14:textId="7B945415" w:rsidR="00661AB2" w:rsidRPr="00FF63D1" w:rsidRDefault="00760CE8">
            <w:pPr>
              <w:jc w:val="center"/>
              <w:rPr>
                <w:noProof/>
                <w:sz w:val="22"/>
                <w:vertAlign w:val="superscript"/>
              </w:rPr>
            </w:pPr>
            <w:r>
              <w:rPr>
                <w:noProof/>
                <w:sz w:val="22"/>
              </w:rPr>
              <w:t xml:space="preserve">EUR </w:t>
            </w:r>
            <w:r w:rsidR="00661AB2" w:rsidRPr="00FF63D1">
              <w:rPr>
                <w:noProof/>
                <w:sz w:val="22"/>
              </w:rPr>
              <w:t>886/t (Literature Median, 2022</w:t>
            </w:r>
            <w:r w:rsidR="00FF6302">
              <w:rPr>
                <w:noProof/>
                <w:sz w:val="22"/>
              </w:rPr>
              <w:t xml:space="preserve"> prices</w:t>
            </w:r>
            <w:r w:rsidR="00661AB2" w:rsidRPr="00FF63D1">
              <w:rPr>
                <w:noProof/>
                <w:sz w:val="22"/>
              </w:rPr>
              <w:t xml:space="preserve">) </w:t>
            </w:r>
            <w:r>
              <w:rPr>
                <w:noProof/>
                <w:sz w:val="22"/>
              </w:rPr>
              <w:t xml:space="preserve">EUR </w:t>
            </w:r>
            <w:r w:rsidR="00661AB2" w:rsidRPr="00FF63D1">
              <w:rPr>
                <w:noProof/>
                <w:sz w:val="22"/>
              </w:rPr>
              <w:t>1</w:t>
            </w:r>
            <w:r w:rsidR="00B114A4">
              <w:rPr>
                <w:noProof/>
                <w:sz w:val="22"/>
              </w:rPr>
              <w:t xml:space="preserve"> </w:t>
            </w:r>
            <w:r w:rsidR="00661AB2" w:rsidRPr="00FF63D1">
              <w:rPr>
                <w:noProof/>
                <w:sz w:val="22"/>
              </w:rPr>
              <w:t>600/t (Announced Projects Median, 2023</w:t>
            </w:r>
            <w:r w:rsidR="00FF6302">
              <w:rPr>
                <w:noProof/>
                <w:sz w:val="22"/>
              </w:rPr>
              <w:t xml:space="preserve"> prices</w:t>
            </w:r>
            <w:r w:rsidR="00661AB2" w:rsidRPr="00FF63D1">
              <w:rPr>
                <w:noProof/>
                <w:sz w:val="22"/>
              </w:rPr>
              <w:t>)</w:t>
            </w:r>
          </w:p>
        </w:tc>
        <w:tc>
          <w:tcPr>
            <w:tcW w:w="1090" w:type="pct"/>
          </w:tcPr>
          <w:p w14:paraId="6712543E" w14:textId="451F8610" w:rsidR="00661AB2" w:rsidRPr="00FF63D1" w:rsidRDefault="00661AB2">
            <w:pPr>
              <w:jc w:val="center"/>
              <w:rPr>
                <w:noProof/>
                <w:sz w:val="22"/>
                <w:vertAlign w:val="superscript"/>
              </w:rPr>
            </w:pPr>
            <w:r w:rsidRPr="00FF63D1">
              <w:rPr>
                <w:noProof/>
                <w:sz w:val="22"/>
              </w:rPr>
              <w:t xml:space="preserve">Up to </w:t>
            </w:r>
            <w:r w:rsidR="00760CE8">
              <w:rPr>
                <w:noProof/>
                <w:sz w:val="22"/>
              </w:rPr>
              <w:t xml:space="preserve">EUR </w:t>
            </w:r>
            <w:r w:rsidRPr="00FF63D1">
              <w:rPr>
                <w:noProof/>
                <w:sz w:val="22"/>
              </w:rPr>
              <w:t>1</w:t>
            </w:r>
            <w:r w:rsidR="00B8591D">
              <w:rPr>
                <w:noProof/>
                <w:sz w:val="22"/>
              </w:rPr>
              <w:t xml:space="preserve"> </w:t>
            </w:r>
            <w:r w:rsidRPr="00FF63D1">
              <w:rPr>
                <w:noProof/>
                <w:sz w:val="22"/>
              </w:rPr>
              <w:t>000/t (Upper bound scenario estimate, including electrolysis unit)</w:t>
            </w:r>
          </w:p>
        </w:tc>
        <w:tc>
          <w:tcPr>
            <w:tcW w:w="871" w:type="pct"/>
          </w:tcPr>
          <w:p w14:paraId="4536BF11" w14:textId="77777777" w:rsidR="00661AB2" w:rsidRPr="00FF63D1" w:rsidRDefault="00661AB2">
            <w:pPr>
              <w:jc w:val="center"/>
              <w:rPr>
                <w:noProof/>
                <w:sz w:val="22"/>
                <w:vertAlign w:val="superscript"/>
              </w:rPr>
            </w:pPr>
            <w:r w:rsidRPr="00FF63D1">
              <w:rPr>
                <w:noProof/>
                <w:sz w:val="22"/>
              </w:rPr>
              <w:t>Expected to decrease due to anticipated electrolyser cost reduction</w:t>
            </w:r>
          </w:p>
        </w:tc>
        <w:tc>
          <w:tcPr>
            <w:tcW w:w="839" w:type="pct"/>
          </w:tcPr>
          <w:p w14:paraId="604CC245" w14:textId="77777777" w:rsidR="00661AB2" w:rsidRPr="00FF63D1" w:rsidRDefault="00661AB2">
            <w:pPr>
              <w:jc w:val="center"/>
              <w:rPr>
                <w:noProof/>
                <w:sz w:val="22"/>
                <w:vertAlign w:val="superscript"/>
              </w:rPr>
            </w:pPr>
            <w:r w:rsidRPr="00FF63D1">
              <w:rPr>
                <w:noProof/>
                <w:sz w:val="22"/>
              </w:rPr>
              <w:t>Expected to decrease due to anticipated electrolyser cost reduction</w:t>
            </w:r>
          </w:p>
        </w:tc>
      </w:tr>
      <w:tr w:rsidR="00661AB2" w:rsidRPr="00FF63D1" w14:paraId="3EAF433A" w14:textId="77777777" w:rsidTr="00A035B0">
        <w:tc>
          <w:tcPr>
            <w:tcW w:w="1078" w:type="pct"/>
          </w:tcPr>
          <w:p w14:paraId="6BC11ADA" w14:textId="77777777" w:rsidR="00661AB2" w:rsidRPr="00FF63D1" w:rsidRDefault="2CDC5222">
            <w:pPr>
              <w:rPr>
                <w:b/>
                <w:noProof/>
                <w:sz w:val="22"/>
              </w:rPr>
            </w:pPr>
            <w:r w:rsidRPr="3F0F1197">
              <w:rPr>
                <w:b/>
                <w:bCs/>
                <w:noProof/>
                <w:sz w:val="22"/>
              </w:rPr>
              <w:t>BF-BOF + CCS (73% Capture)</w:t>
            </w:r>
            <w:r w:rsidR="00661AB2" w:rsidRPr="3F0F1197">
              <w:rPr>
                <w:rStyle w:val="FootnoteReference"/>
                <w:noProof/>
                <w:sz w:val="22"/>
              </w:rPr>
              <w:footnoteReference w:id="472"/>
            </w:r>
          </w:p>
        </w:tc>
        <w:tc>
          <w:tcPr>
            <w:tcW w:w="1122" w:type="pct"/>
          </w:tcPr>
          <w:p w14:paraId="6A301681" w14:textId="77777777" w:rsidR="00661AB2" w:rsidRPr="00FF63D1" w:rsidRDefault="00661AB2">
            <w:pPr>
              <w:jc w:val="center"/>
              <w:rPr>
                <w:noProof/>
                <w:sz w:val="22"/>
              </w:rPr>
            </w:pPr>
            <w:r w:rsidRPr="00FF63D1">
              <w:rPr>
                <w:noProof/>
                <w:sz w:val="22"/>
              </w:rPr>
              <w:t>TRL 3–4 (Pilot stage)</w:t>
            </w:r>
          </w:p>
        </w:tc>
        <w:tc>
          <w:tcPr>
            <w:tcW w:w="1090" w:type="pct"/>
          </w:tcPr>
          <w:p w14:paraId="51DC2FB3" w14:textId="0DB94BFB" w:rsidR="00661AB2" w:rsidRPr="00FF63D1" w:rsidRDefault="006520F2">
            <w:pPr>
              <w:jc w:val="center"/>
              <w:rPr>
                <w:noProof/>
                <w:sz w:val="22"/>
              </w:rPr>
            </w:pPr>
            <w:r w:rsidRPr="00FF63D1">
              <w:rPr>
                <w:noProof/>
                <w:sz w:val="22"/>
              </w:rPr>
              <w:t>$</w:t>
            </w:r>
            <w:r>
              <w:rPr>
                <w:noProof/>
                <w:sz w:val="22"/>
              </w:rPr>
              <w:t>34</w:t>
            </w:r>
            <w:r w:rsidRPr="00FF63D1">
              <w:rPr>
                <w:noProof/>
                <w:sz w:val="22"/>
              </w:rPr>
              <w:t xml:space="preserve"> – $</w:t>
            </w:r>
            <w:r>
              <w:rPr>
                <w:noProof/>
                <w:sz w:val="22"/>
              </w:rPr>
              <w:t>66</w:t>
            </w:r>
            <w:r w:rsidRPr="00FF63D1">
              <w:rPr>
                <w:noProof/>
                <w:sz w:val="22"/>
              </w:rPr>
              <w:t>/t (Crude steel capacity, specific capital costs) (Expected Readiness: 2030–2035)</w:t>
            </w:r>
          </w:p>
        </w:tc>
        <w:tc>
          <w:tcPr>
            <w:tcW w:w="871" w:type="pct"/>
          </w:tcPr>
          <w:p w14:paraId="071EC1E5" w14:textId="77777777" w:rsidR="00661AB2" w:rsidRPr="00FF63D1" w:rsidRDefault="00661AB2">
            <w:pPr>
              <w:jc w:val="center"/>
              <w:rPr>
                <w:noProof/>
                <w:sz w:val="22"/>
              </w:rPr>
            </w:pPr>
            <w:r w:rsidRPr="00FF63D1">
              <w:rPr>
                <w:noProof/>
                <w:sz w:val="22"/>
              </w:rPr>
              <w:t>N/A</w:t>
            </w:r>
          </w:p>
        </w:tc>
        <w:tc>
          <w:tcPr>
            <w:tcW w:w="839" w:type="pct"/>
          </w:tcPr>
          <w:p w14:paraId="420115D4" w14:textId="77777777" w:rsidR="00661AB2" w:rsidRPr="00FF63D1" w:rsidRDefault="00661AB2">
            <w:pPr>
              <w:jc w:val="center"/>
              <w:rPr>
                <w:noProof/>
                <w:sz w:val="22"/>
              </w:rPr>
            </w:pPr>
            <w:r w:rsidRPr="00FF63D1">
              <w:rPr>
                <w:noProof/>
                <w:sz w:val="22"/>
              </w:rPr>
              <w:t>N/A</w:t>
            </w:r>
          </w:p>
        </w:tc>
      </w:tr>
      <w:tr w:rsidR="00661AB2" w:rsidRPr="00FF63D1" w14:paraId="023EFBA9" w14:textId="77777777" w:rsidTr="00A035B0">
        <w:tc>
          <w:tcPr>
            <w:tcW w:w="1078" w:type="pct"/>
          </w:tcPr>
          <w:p w14:paraId="64B2E069" w14:textId="77777777" w:rsidR="00661AB2" w:rsidRPr="00FF63D1" w:rsidRDefault="2CDC5222">
            <w:pPr>
              <w:rPr>
                <w:b/>
                <w:noProof/>
                <w:sz w:val="22"/>
              </w:rPr>
            </w:pPr>
            <w:r w:rsidRPr="3F0F1197">
              <w:rPr>
                <w:b/>
                <w:bCs/>
                <w:noProof/>
                <w:sz w:val="22"/>
              </w:rPr>
              <w:t>HIsarna + BOF + CCS (93% Capture)</w:t>
            </w:r>
            <w:r w:rsidR="00661AB2" w:rsidRPr="3F0F1197">
              <w:rPr>
                <w:rStyle w:val="FootnoteReference"/>
                <w:noProof/>
                <w:sz w:val="22"/>
              </w:rPr>
              <w:footnoteReference w:id="473"/>
            </w:r>
          </w:p>
        </w:tc>
        <w:tc>
          <w:tcPr>
            <w:tcW w:w="1122" w:type="pct"/>
          </w:tcPr>
          <w:p w14:paraId="3D57FBE7" w14:textId="77777777" w:rsidR="00661AB2" w:rsidRPr="00FF63D1" w:rsidRDefault="00661AB2">
            <w:pPr>
              <w:jc w:val="center"/>
              <w:rPr>
                <w:noProof/>
                <w:sz w:val="22"/>
              </w:rPr>
            </w:pPr>
            <w:r w:rsidRPr="00FF63D1">
              <w:rPr>
                <w:noProof/>
                <w:sz w:val="22"/>
              </w:rPr>
              <w:t>TRL 5–6 (Pilot plant status, development unclear)</w:t>
            </w:r>
          </w:p>
        </w:tc>
        <w:tc>
          <w:tcPr>
            <w:tcW w:w="1090" w:type="pct"/>
          </w:tcPr>
          <w:p w14:paraId="7367AC00" w14:textId="77777777" w:rsidR="00661AB2" w:rsidRPr="00FF63D1" w:rsidRDefault="00661AB2">
            <w:pPr>
              <w:jc w:val="center"/>
              <w:rPr>
                <w:noProof/>
                <w:sz w:val="22"/>
              </w:rPr>
            </w:pPr>
            <w:r w:rsidRPr="00FF63D1">
              <w:rPr>
                <w:noProof/>
                <w:sz w:val="22"/>
              </w:rPr>
              <w:t>$41 – $85/t (Crude steel capacity, specific capital costs) (Expected Readiness: 2030–2035)</w:t>
            </w:r>
          </w:p>
        </w:tc>
        <w:tc>
          <w:tcPr>
            <w:tcW w:w="871" w:type="pct"/>
          </w:tcPr>
          <w:p w14:paraId="6B3E6918" w14:textId="77777777" w:rsidR="00661AB2" w:rsidRPr="00FF63D1" w:rsidRDefault="00661AB2">
            <w:pPr>
              <w:jc w:val="center"/>
              <w:rPr>
                <w:noProof/>
                <w:sz w:val="22"/>
              </w:rPr>
            </w:pPr>
            <w:r w:rsidRPr="00FF63D1">
              <w:rPr>
                <w:noProof/>
                <w:sz w:val="22"/>
              </w:rPr>
              <w:t>N/A</w:t>
            </w:r>
          </w:p>
        </w:tc>
        <w:tc>
          <w:tcPr>
            <w:tcW w:w="839" w:type="pct"/>
          </w:tcPr>
          <w:p w14:paraId="5452A98A" w14:textId="77777777" w:rsidR="00661AB2" w:rsidRPr="00FF63D1" w:rsidRDefault="00661AB2">
            <w:pPr>
              <w:jc w:val="center"/>
              <w:rPr>
                <w:noProof/>
                <w:sz w:val="22"/>
              </w:rPr>
            </w:pPr>
            <w:r w:rsidRPr="00FF63D1">
              <w:rPr>
                <w:noProof/>
                <w:sz w:val="22"/>
              </w:rPr>
              <w:t>N/A</w:t>
            </w:r>
          </w:p>
        </w:tc>
      </w:tr>
      <w:tr w:rsidR="00661AB2" w:rsidRPr="00FF63D1" w14:paraId="3E46C916" w14:textId="77777777" w:rsidTr="00A035B0">
        <w:tc>
          <w:tcPr>
            <w:tcW w:w="1078" w:type="pct"/>
          </w:tcPr>
          <w:p w14:paraId="454944C8" w14:textId="77777777" w:rsidR="00661AB2" w:rsidRPr="00FF63D1" w:rsidRDefault="2CDC5222">
            <w:pPr>
              <w:rPr>
                <w:b/>
                <w:noProof/>
                <w:sz w:val="22"/>
              </w:rPr>
            </w:pPr>
            <w:r w:rsidRPr="3F0F1197">
              <w:rPr>
                <w:b/>
                <w:bCs/>
                <w:noProof/>
                <w:sz w:val="22"/>
              </w:rPr>
              <w:t>NG-DRI-EAF + CCS</w:t>
            </w:r>
            <w:r w:rsidR="00661AB2" w:rsidRPr="3F0F1197">
              <w:rPr>
                <w:rStyle w:val="FootnoteReference"/>
                <w:noProof/>
                <w:sz w:val="22"/>
              </w:rPr>
              <w:footnoteReference w:id="474"/>
            </w:r>
            <w:r w:rsidRPr="3F0F1197">
              <w:rPr>
                <w:b/>
                <w:bCs/>
                <w:noProof/>
                <w:sz w:val="22"/>
                <w:vertAlign w:val="superscript"/>
              </w:rPr>
              <w:t xml:space="preserve">, </w:t>
            </w:r>
            <w:r w:rsidR="00661AB2" w:rsidRPr="3F0F1197">
              <w:rPr>
                <w:rStyle w:val="FootnoteReference"/>
                <w:noProof/>
                <w:sz w:val="22"/>
              </w:rPr>
              <w:footnoteReference w:id="475"/>
            </w:r>
          </w:p>
        </w:tc>
        <w:tc>
          <w:tcPr>
            <w:tcW w:w="1122" w:type="pct"/>
          </w:tcPr>
          <w:p w14:paraId="26E083F4" w14:textId="77777777" w:rsidR="00661AB2" w:rsidRPr="00FF63D1" w:rsidRDefault="00661AB2">
            <w:pPr>
              <w:jc w:val="center"/>
              <w:rPr>
                <w:noProof/>
                <w:sz w:val="22"/>
              </w:rPr>
            </w:pPr>
            <w:r w:rsidRPr="00FF63D1">
              <w:rPr>
                <w:noProof/>
                <w:sz w:val="22"/>
              </w:rPr>
              <w:t>N/A (TRL 8–9)</w:t>
            </w:r>
          </w:p>
        </w:tc>
        <w:tc>
          <w:tcPr>
            <w:tcW w:w="1090" w:type="pct"/>
          </w:tcPr>
          <w:p w14:paraId="0E32E336" w14:textId="2D31AEAD" w:rsidR="00661AB2" w:rsidRPr="00FF63D1" w:rsidRDefault="00661AB2">
            <w:pPr>
              <w:jc w:val="center"/>
              <w:rPr>
                <w:noProof/>
                <w:sz w:val="22"/>
              </w:rPr>
            </w:pPr>
            <w:r w:rsidRPr="00FF63D1">
              <w:rPr>
                <w:noProof/>
                <w:sz w:val="22"/>
              </w:rPr>
              <w:t>$77 – $90/t (Crude steel capacity, specific capital costs for facilities)</w:t>
            </w:r>
          </w:p>
        </w:tc>
        <w:tc>
          <w:tcPr>
            <w:tcW w:w="871" w:type="pct"/>
          </w:tcPr>
          <w:p w14:paraId="5143519A" w14:textId="77777777" w:rsidR="00661AB2" w:rsidRPr="00FF63D1" w:rsidRDefault="00661AB2">
            <w:pPr>
              <w:jc w:val="center"/>
              <w:rPr>
                <w:noProof/>
                <w:sz w:val="22"/>
              </w:rPr>
            </w:pPr>
            <w:r w:rsidRPr="00FF63D1">
              <w:rPr>
                <w:noProof/>
                <w:sz w:val="22"/>
              </w:rPr>
              <w:t>N/A</w:t>
            </w:r>
          </w:p>
        </w:tc>
        <w:tc>
          <w:tcPr>
            <w:tcW w:w="839" w:type="pct"/>
          </w:tcPr>
          <w:p w14:paraId="1E9E699F" w14:textId="77777777" w:rsidR="00661AB2" w:rsidRPr="00FF63D1" w:rsidRDefault="00661AB2">
            <w:pPr>
              <w:jc w:val="center"/>
              <w:rPr>
                <w:noProof/>
                <w:sz w:val="22"/>
              </w:rPr>
            </w:pPr>
            <w:r w:rsidRPr="00FF63D1">
              <w:rPr>
                <w:noProof/>
                <w:sz w:val="22"/>
              </w:rPr>
              <w:t>N/A</w:t>
            </w:r>
          </w:p>
        </w:tc>
      </w:tr>
      <w:tr w:rsidR="00661AB2" w:rsidRPr="00FF63D1" w14:paraId="4CD7CF8F" w14:textId="77777777" w:rsidTr="00A035B0">
        <w:tc>
          <w:tcPr>
            <w:tcW w:w="1078" w:type="pct"/>
          </w:tcPr>
          <w:p w14:paraId="3C9D200B" w14:textId="77777777" w:rsidR="00661AB2" w:rsidRPr="00FF63D1" w:rsidRDefault="2CDC5222">
            <w:pPr>
              <w:rPr>
                <w:b/>
                <w:noProof/>
                <w:sz w:val="22"/>
              </w:rPr>
            </w:pPr>
            <w:r w:rsidRPr="3F0F1197">
              <w:rPr>
                <w:b/>
                <w:bCs/>
                <w:noProof/>
                <w:sz w:val="22"/>
              </w:rPr>
              <w:t>Near-Zero Emissions Scrap EAF</w:t>
            </w:r>
            <w:r w:rsidR="00661AB2" w:rsidRPr="3F0F1197">
              <w:rPr>
                <w:rStyle w:val="FootnoteReference"/>
                <w:noProof/>
                <w:sz w:val="22"/>
              </w:rPr>
              <w:footnoteReference w:id="476"/>
            </w:r>
          </w:p>
        </w:tc>
        <w:tc>
          <w:tcPr>
            <w:tcW w:w="1122" w:type="pct"/>
          </w:tcPr>
          <w:p w14:paraId="72E311AC" w14:textId="42C4A4E9" w:rsidR="00661AB2" w:rsidRPr="00FF63D1" w:rsidRDefault="00661AB2">
            <w:pPr>
              <w:jc w:val="center"/>
              <w:rPr>
                <w:noProof/>
                <w:sz w:val="22"/>
              </w:rPr>
            </w:pPr>
            <w:r w:rsidRPr="00FF63D1">
              <w:rPr>
                <w:noProof/>
                <w:sz w:val="22"/>
              </w:rPr>
              <w:t>TRL 9 (Ready)</w:t>
            </w:r>
          </w:p>
        </w:tc>
        <w:tc>
          <w:tcPr>
            <w:tcW w:w="1090" w:type="pct"/>
          </w:tcPr>
          <w:p w14:paraId="0C29DEDC" w14:textId="188FB664" w:rsidR="00661AB2" w:rsidRPr="00FF63D1" w:rsidRDefault="00661AB2">
            <w:pPr>
              <w:jc w:val="center"/>
              <w:rPr>
                <w:noProof/>
                <w:sz w:val="22"/>
              </w:rPr>
            </w:pPr>
            <w:r w:rsidRPr="00FF63D1">
              <w:rPr>
                <w:noProof/>
                <w:sz w:val="22"/>
              </w:rPr>
              <w:t>$22/t (Crude steel capacity, specific capital costs)</w:t>
            </w:r>
          </w:p>
        </w:tc>
        <w:tc>
          <w:tcPr>
            <w:tcW w:w="871" w:type="pct"/>
          </w:tcPr>
          <w:p w14:paraId="3D575CA3" w14:textId="77777777" w:rsidR="00661AB2" w:rsidRPr="00FF63D1" w:rsidRDefault="00661AB2">
            <w:pPr>
              <w:jc w:val="center"/>
              <w:rPr>
                <w:noProof/>
                <w:sz w:val="22"/>
              </w:rPr>
            </w:pPr>
            <w:r w:rsidRPr="00FF63D1">
              <w:rPr>
                <w:noProof/>
                <w:sz w:val="22"/>
              </w:rPr>
              <w:t>N/A</w:t>
            </w:r>
          </w:p>
        </w:tc>
        <w:tc>
          <w:tcPr>
            <w:tcW w:w="839" w:type="pct"/>
          </w:tcPr>
          <w:p w14:paraId="5B89B454" w14:textId="77777777" w:rsidR="00661AB2" w:rsidRPr="00FF63D1" w:rsidRDefault="00661AB2">
            <w:pPr>
              <w:jc w:val="center"/>
              <w:rPr>
                <w:noProof/>
                <w:sz w:val="22"/>
              </w:rPr>
            </w:pPr>
            <w:r w:rsidRPr="00FF63D1">
              <w:rPr>
                <w:noProof/>
                <w:sz w:val="22"/>
              </w:rPr>
              <w:t>N/A</w:t>
            </w:r>
          </w:p>
        </w:tc>
      </w:tr>
      <w:tr w:rsidR="00661AB2" w:rsidRPr="00FF63D1" w14:paraId="1B8A8B1F" w14:textId="77777777" w:rsidTr="00A035B0">
        <w:tc>
          <w:tcPr>
            <w:tcW w:w="1078" w:type="pct"/>
          </w:tcPr>
          <w:p w14:paraId="0E428103" w14:textId="77777777" w:rsidR="00661AB2" w:rsidRPr="00FF63D1" w:rsidRDefault="2CDC5222">
            <w:pPr>
              <w:rPr>
                <w:b/>
                <w:noProof/>
                <w:sz w:val="22"/>
              </w:rPr>
            </w:pPr>
            <w:r w:rsidRPr="3F0F1197">
              <w:rPr>
                <w:b/>
                <w:bCs/>
                <w:noProof/>
                <w:sz w:val="22"/>
              </w:rPr>
              <w:t>Molten Oxide Electrolysis (MOE)</w:t>
            </w:r>
            <w:r w:rsidRPr="3F0F1197">
              <w:rPr>
                <w:rStyle w:val="FootnoteReference"/>
                <w:noProof/>
                <w:sz w:val="22"/>
              </w:rPr>
              <w:t xml:space="preserve"> </w:t>
            </w:r>
            <w:r w:rsidR="00661AB2" w:rsidRPr="3F0F1197">
              <w:rPr>
                <w:rStyle w:val="FootnoteReference"/>
                <w:noProof/>
                <w:sz w:val="22"/>
              </w:rPr>
              <w:footnoteReference w:id="477"/>
            </w:r>
          </w:p>
        </w:tc>
        <w:tc>
          <w:tcPr>
            <w:tcW w:w="1122" w:type="pct"/>
          </w:tcPr>
          <w:p w14:paraId="285BFE53" w14:textId="77777777" w:rsidR="00661AB2" w:rsidRPr="00FF63D1" w:rsidRDefault="00661AB2">
            <w:pPr>
              <w:jc w:val="center"/>
              <w:rPr>
                <w:noProof/>
                <w:sz w:val="22"/>
              </w:rPr>
            </w:pPr>
            <w:r w:rsidRPr="00FF63D1">
              <w:rPr>
                <w:noProof/>
                <w:sz w:val="22"/>
              </w:rPr>
              <w:t>TRL 3–4 (Pilot Plant)</w:t>
            </w:r>
          </w:p>
        </w:tc>
        <w:tc>
          <w:tcPr>
            <w:tcW w:w="1090" w:type="pct"/>
          </w:tcPr>
          <w:p w14:paraId="6C386C66" w14:textId="77777777" w:rsidR="00661AB2" w:rsidRPr="00FF63D1" w:rsidRDefault="00661AB2">
            <w:pPr>
              <w:jc w:val="center"/>
              <w:rPr>
                <w:noProof/>
                <w:sz w:val="22"/>
              </w:rPr>
            </w:pPr>
            <w:r w:rsidRPr="00FF63D1">
              <w:rPr>
                <w:noProof/>
                <w:sz w:val="22"/>
              </w:rPr>
              <w:t>Not applicable (Not available at necessary scale before 2030)</w:t>
            </w:r>
          </w:p>
        </w:tc>
        <w:tc>
          <w:tcPr>
            <w:tcW w:w="871" w:type="pct"/>
          </w:tcPr>
          <w:p w14:paraId="4BA37260" w14:textId="58362A1B" w:rsidR="00661AB2" w:rsidRPr="00FF63D1" w:rsidRDefault="00661AB2">
            <w:pPr>
              <w:jc w:val="center"/>
              <w:rPr>
                <w:noProof/>
                <w:sz w:val="22"/>
              </w:rPr>
            </w:pPr>
            <w:r w:rsidRPr="00FF63D1">
              <w:rPr>
                <w:noProof/>
                <w:sz w:val="22"/>
              </w:rPr>
              <w:t>Expected Readiness: 2035–2040</w:t>
            </w:r>
          </w:p>
        </w:tc>
        <w:tc>
          <w:tcPr>
            <w:tcW w:w="839" w:type="pct"/>
          </w:tcPr>
          <w:p w14:paraId="5867A750" w14:textId="08203869" w:rsidR="00661AB2" w:rsidRPr="00FF63D1" w:rsidRDefault="00661AB2">
            <w:pPr>
              <w:jc w:val="center"/>
              <w:rPr>
                <w:noProof/>
                <w:sz w:val="22"/>
              </w:rPr>
            </w:pPr>
            <w:r w:rsidRPr="00FF63D1">
              <w:rPr>
                <w:noProof/>
                <w:sz w:val="22"/>
              </w:rPr>
              <w:t>$60 – $122/t (Crude steel capacity, specific capital costs)</w:t>
            </w:r>
          </w:p>
        </w:tc>
      </w:tr>
      <w:tr w:rsidR="00661AB2" w:rsidRPr="00FF63D1" w14:paraId="19E0BACE" w14:textId="77777777" w:rsidTr="00A035B0">
        <w:tc>
          <w:tcPr>
            <w:tcW w:w="1078" w:type="pct"/>
          </w:tcPr>
          <w:p w14:paraId="2D07DCAF" w14:textId="77777777" w:rsidR="00661AB2" w:rsidRPr="00FF63D1" w:rsidRDefault="2CDC5222">
            <w:pPr>
              <w:rPr>
                <w:b/>
                <w:noProof/>
                <w:sz w:val="22"/>
              </w:rPr>
            </w:pPr>
            <w:r w:rsidRPr="3F0F1197">
              <w:rPr>
                <w:b/>
                <w:bCs/>
                <w:noProof/>
                <w:sz w:val="22"/>
              </w:rPr>
              <w:t>Alkaline Electrolysis (AEL-EAF)</w:t>
            </w:r>
            <w:r w:rsidRPr="3F0F1197">
              <w:rPr>
                <w:rStyle w:val="FootnoteReference"/>
                <w:noProof/>
                <w:sz w:val="22"/>
              </w:rPr>
              <w:t xml:space="preserve"> </w:t>
            </w:r>
            <w:r w:rsidR="00661AB2" w:rsidRPr="3F0F1197">
              <w:rPr>
                <w:rStyle w:val="FootnoteReference"/>
                <w:noProof/>
                <w:sz w:val="22"/>
              </w:rPr>
              <w:footnoteReference w:id="478"/>
            </w:r>
          </w:p>
        </w:tc>
        <w:tc>
          <w:tcPr>
            <w:tcW w:w="1122" w:type="pct"/>
          </w:tcPr>
          <w:p w14:paraId="21A9F6CC" w14:textId="77777777" w:rsidR="00661AB2" w:rsidRPr="00FF63D1" w:rsidRDefault="00661AB2">
            <w:pPr>
              <w:jc w:val="center"/>
              <w:rPr>
                <w:noProof/>
                <w:sz w:val="22"/>
              </w:rPr>
            </w:pPr>
            <w:r w:rsidRPr="00FF63D1">
              <w:rPr>
                <w:noProof/>
                <w:sz w:val="22"/>
              </w:rPr>
              <w:t xml:space="preserve">TRL 4 (Moving to TRL 6 with support) </w:t>
            </w:r>
          </w:p>
        </w:tc>
        <w:tc>
          <w:tcPr>
            <w:tcW w:w="1090" w:type="pct"/>
          </w:tcPr>
          <w:p w14:paraId="106DC60E" w14:textId="77777777" w:rsidR="00661AB2" w:rsidRPr="00FF63D1" w:rsidRDefault="00661AB2">
            <w:pPr>
              <w:jc w:val="center"/>
              <w:rPr>
                <w:noProof/>
                <w:sz w:val="22"/>
              </w:rPr>
            </w:pPr>
            <w:r w:rsidRPr="00FF63D1">
              <w:rPr>
                <w:noProof/>
                <w:sz w:val="22"/>
              </w:rPr>
              <w:t xml:space="preserve">TRL 7 aimed by 2030 (Medium scale pilot plant) </w:t>
            </w:r>
          </w:p>
        </w:tc>
        <w:tc>
          <w:tcPr>
            <w:tcW w:w="871" w:type="pct"/>
          </w:tcPr>
          <w:p w14:paraId="5E53C7AC" w14:textId="77777777" w:rsidR="00661AB2" w:rsidRPr="00FF63D1" w:rsidRDefault="00661AB2">
            <w:pPr>
              <w:jc w:val="center"/>
              <w:rPr>
                <w:noProof/>
                <w:sz w:val="22"/>
              </w:rPr>
            </w:pPr>
            <w:r w:rsidRPr="00FF63D1">
              <w:rPr>
                <w:noProof/>
                <w:sz w:val="22"/>
              </w:rPr>
              <w:t>Commercial readiness (TRL 9) expected by 2040</w:t>
            </w:r>
          </w:p>
        </w:tc>
        <w:tc>
          <w:tcPr>
            <w:tcW w:w="839" w:type="pct"/>
          </w:tcPr>
          <w:p w14:paraId="4F20015A" w14:textId="77777777" w:rsidR="00661AB2" w:rsidRPr="00FF63D1" w:rsidRDefault="00661AB2">
            <w:pPr>
              <w:jc w:val="center"/>
              <w:rPr>
                <w:noProof/>
                <w:sz w:val="22"/>
              </w:rPr>
            </w:pPr>
            <w:r w:rsidRPr="00FF63D1">
              <w:rPr>
                <w:noProof/>
                <w:sz w:val="22"/>
              </w:rPr>
              <w:t>$75 – $152/t (Crude steel capacity, specific capital costs)</w:t>
            </w:r>
          </w:p>
        </w:tc>
      </w:tr>
    </w:tbl>
    <w:p w14:paraId="5D6B33E5" w14:textId="77777777" w:rsidR="00661AB2" w:rsidRPr="00FF63D1" w:rsidRDefault="00661AB2" w:rsidP="00661AB2">
      <w:pPr>
        <w:rPr>
          <w:rFonts w:cs="Times New Roman"/>
          <w:b/>
          <w:i/>
          <w:noProof/>
          <w:szCs w:val="24"/>
        </w:rPr>
      </w:pPr>
    </w:p>
    <w:p w14:paraId="74B2C7D5" w14:textId="77777777" w:rsidR="00661AB2" w:rsidRPr="00FF63D1" w:rsidRDefault="00661AB2" w:rsidP="00661AB2">
      <w:pPr>
        <w:jc w:val="center"/>
        <w:rPr>
          <w:rFonts w:cs="Times New Roman"/>
          <w:b/>
          <w:i/>
          <w:noProof/>
          <w:szCs w:val="24"/>
        </w:rPr>
      </w:pPr>
      <w:r w:rsidRPr="00C035B3">
        <w:rPr>
          <w:noProof/>
          <w:lang w:eastAsia="en-GB"/>
        </w:rPr>
        <mc:AlternateContent>
          <mc:Choice Requires="wps">
            <w:drawing>
              <wp:anchor distT="0" distB="0" distL="114300" distR="114300" simplePos="0" relativeHeight="251658240" behindDoc="0" locked="0" layoutInCell="1" allowOverlap="1" wp14:anchorId="221C52A7" wp14:editId="339B87BE">
                <wp:simplePos x="0" y="0"/>
                <wp:positionH relativeFrom="column">
                  <wp:posOffset>482600</wp:posOffset>
                </wp:positionH>
                <wp:positionV relativeFrom="paragraph">
                  <wp:posOffset>3006090</wp:posOffset>
                </wp:positionV>
                <wp:extent cx="4572000" cy="635"/>
                <wp:effectExtent l="0" t="0" r="0" b="0"/>
                <wp:wrapTopAndBottom/>
                <wp:docPr id="230958446" name="Text Box 1"/>
                <wp:cNvGraphicFramePr/>
                <a:graphic xmlns:a="http://schemas.openxmlformats.org/drawingml/2006/main">
                  <a:graphicData uri="http://schemas.microsoft.com/office/word/2010/wordprocessingShape">
                    <wps:wsp>
                      <wps:cNvSpPr txBox="1"/>
                      <wps:spPr>
                        <a:xfrm>
                          <a:off x="0" y="0"/>
                          <a:ext cx="4572000" cy="635"/>
                        </a:xfrm>
                        <a:prstGeom prst="rect">
                          <a:avLst/>
                        </a:prstGeom>
                        <a:solidFill>
                          <a:prstClr val="white"/>
                        </a:solidFill>
                        <a:ln>
                          <a:noFill/>
                        </a:ln>
                      </wps:spPr>
                      <wps:txbx>
                        <w:txbxContent>
                          <w:p w14:paraId="3C3C3785" w14:textId="68715B83" w:rsidR="00661AB2" w:rsidRPr="000341C3" w:rsidRDefault="00661AB2" w:rsidP="000341C3">
                            <w:pPr>
                              <w:jc w:val="center"/>
                              <w:rPr>
                                <w:i/>
                                <w:sz w:val="20"/>
                                <w:szCs w:val="20"/>
                              </w:rPr>
                            </w:pPr>
                            <w:r w:rsidRPr="000341C3">
                              <w:rPr>
                                <w:i/>
                                <w:sz w:val="20"/>
                                <w:szCs w:val="20"/>
                              </w:rPr>
                              <w:t xml:space="preserve">Figure </w:t>
                            </w:r>
                            <w:r w:rsidRPr="000341C3">
                              <w:rPr>
                                <w:i/>
                                <w:sz w:val="20"/>
                                <w:szCs w:val="20"/>
                              </w:rPr>
                              <w:fldChar w:fldCharType="begin"/>
                            </w:r>
                            <w:r w:rsidRPr="000341C3">
                              <w:rPr>
                                <w:i/>
                                <w:sz w:val="20"/>
                                <w:szCs w:val="20"/>
                              </w:rPr>
                              <w:instrText xml:space="preserve"> SEQ Figure \* ARABIC </w:instrText>
                            </w:r>
                            <w:r w:rsidRPr="000341C3">
                              <w:rPr>
                                <w:i/>
                                <w:sz w:val="20"/>
                                <w:szCs w:val="20"/>
                              </w:rPr>
                              <w:fldChar w:fldCharType="separate"/>
                            </w:r>
                            <w:r w:rsidR="005754F4">
                              <w:rPr>
                                <w:i/>
                                <w:noProof/>
                                <w:sz w:val="20"/>
                                <w:szCs w:val="20"/>
                              </w:rPr>
                              <w:t>14</w:t>
                            </w:r>
                            <w:r w:rsidRPr="000341C3">
                              <w:rPr>
                                <w:i/>
                                <w:sz w:val="20"/>
                                <w:szCs w:val="20"/>
                              </w:rPr>
                              <w:fldChar w:fldCharType="end"/>
                            </w:r>
                            <w:r w:rsidRPr="000341C3">
                              <w:rPr>
                                <w:i/>
                                <w:sz w:val="20"/>
                                <w:szCs w:val="20"/>
                              </w:rPr>
                              <w:t>: Levelized cost of net-zero and unabated materials in the EU, including the carbon price</w:t>
                            </w:r>
                            <w:r w:rsidR="000341C3" w:rsidRPr="000341C3">
                              <w:rPr>
                                <w:i/>
                                <w:sz w:val="20"/>
                                <w:szCs w:val="20"/>
                              </w:rPr>
                              <w:t xml:space="preserve">, </w:t>
                            </w:r>
                            <w:r w:rsidRPr="000341C3">
                              <w:rPr>
                                <w:rFonts w:ascii="Times" w:hAnsi="Times" w:cs="Times"/>
                                <w:i/>
                                <w:sz w:val="20"/>
                                <w:szCs w:val="20"/>
                              </w:rPr>
                              <w:t>2024 Levelized Cost of Net-Zero Materials (BNEF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21C52A7" id="_x0000_t202" coordsize="21600,21600" o:spt="202" path="m,l,21600r21600,l21600,xe">
                <v:stroke joinstyle="miter"/>
                <v:path gradientshapeok="t" o:connecttype="rect"/>
              </v:shapetype>
              <v:shape id="Text Box 1" o:spid="_x0000_s1026" type="#_x0000_t202" style="position:absolute;left:0;text-align:left;margin-left:38pt;margin-top:236.7pt;width:5in;height:.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" stroked="f">
                <v:textbox style="mso-fit-shape-to-text:t" inset="0,0,0,0">
                  <w:txbxContent>
                    <w:p w14:paraId="3C3C3785" w14:textId="68715B83" w:rsidR="00661AB2" w:rsidRPr="000341C3" w:rsidRDefault="00661AB2" w:rsidP="000341C3">
                      <w:pPr>
                        <w:jc w:val="center"/>
                        <w:rPr>
                          <w:i/>
                          <w:sz w:val="20"/>
                          <w:szCs w:val="20"/>
                        </w:rPr>
                      </w:pPr>
                      <w:r w:rsidRPr="000341C3">
                        <w:rPr>
                          <w:i/>
                          <w:sz w:val="20"/>
                          <w:szCs w:val="20"/>
                        </w:rPr>
                        <w:t xml:space="preserve">Figure </w:t>
                      </w:r>
                      <w:r w:rsidRPr="000341C3">
                        <w:rPr>
                          <w:i/>
                          <w:sz w:val="20"/>
                          <w:szCs w:val="20"/>
                        </w:rPr>
                        <w:fldChar w:fldCharType="begin"/>
                      </w:r>
                      <w:r w:rsidRPr="000341C3">
                        <w:rPr>
                          <w:i/>
                          <w:sz w:val="20"/>
                          <w:szCs w:val="20"/>
                        </w:rPr>
                        <w:instrText xml:space="preserve"> SEQ Figure \* ARABIC </w:instrText>
                      </w:r>
                      <w:r w:rsidRPr="000341C3">
                        <w:rPr>
                          <w:i/>
                          <w:sz w:val="20"/>
                          <w:szCs w:val="20"/>
                        </w:rPr>
                        <w:fldChar w:fldCharType="separate"/>
                      </w:r>
                      <w:r w:rsidR="005754F4">
                        <w:rPr>
                          <w:i/>
                          <w:noProof/>
                          <w:sz w:val="20"/>
                          <w:szCs w:val="20"/>
                        </w:rPr>
                        <w:t>14</w:t>
                      </w:r>
                      <w:r w:rsidRPr="000341C3">
                        <w:rPr>
                          <w:i/>
                          <w:sz w:val="20"/>
                          <w:szCs w:val="20"/>
                        </w:rPr>
                        <w:fldChar w:fldCharType="end"/>
                      </w:r>
                      <w:r w:rsidRPr="000341C3">
                        <w:rPr>
                          <w:i/>
                          <w:sz w:val="20"/>
                          <w:szCs w:val="20"/>
                        </w:rPr>
                        <w:t>: Levelized cost of net-zero and unabated materials in the EU, including the carbon price</w:t>
                      </w:r>
                      <w:r w:rsidR="000341C3" w:rsidRPr="000341C3">
                        <w:rPr>
                          <w:i/>
                          <w:sz w:val="20"/>
                          <w:szCs w:val="20"/>
                        </w:rPr>
                        <w:t xml:space="preserve">, </w:t>
                      </w:r>
                      <w:r w:rsidRPr="000341C3">
                        <w:rPr>
                          <w:rFonts w:ascii="Times" w:hAnsi="Times" w:cs="Times"/>
                          <w:i/>
                          <w:sz w:val="20"/>
                          <w:szCs w:val="20"/>
                        </w:rPr>
                        <w:t>2024 Levelized Cost of Net-Zero Materials (BNEF 2024)</w:t>
                      </w:r>
                    </w:p>
                  </w:txbxContent>
                </v:textbox>
                <w10:wrap type="topAndBottom"/>
              </v:shape>
            </w:pict>
          </mc:Fallback>
        </mc:AlternateContent>
      </w:r>
      <w:r w:rsidRPr="00E9618C">
        <w:rPr>
          <w:noProof/>
          <w:lang w:eastAsia="en-GB"/>
        </w:rPr>
        <w:drawing>
          <wp:inline distT="0" distB="0" distL="0" distR="0" wp14:anchorId="70B34AE7" wp14:editId="294D79AE">
            <wp:extent cx="4572000" cy="2891155"/>
            <wp:effectExtent l="0" t="0" r="0" b="4445"/>
            <wp:docPr id="581150064" name="Picture 2" descr="Graph of crude steel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39210" name="Picture 2" descr="Graph of crude steel with different colored lines&#10;&#10;AI-generated content may be incorrect."/>
                    <pic:cNvPicPr/>
                  </pic:nvPicPr>
                  <pic:blipFill>
                    <a:blip r:embed="rId83">
                      <a:extLst>
                        <a:ext uri="{28A0092B-C50C-407E-A947-70E740481C1C}">
                          <a14:useLocalDpi xmlns:a14="http://schemas.microsoft.com/office/drawing/2010/main" val="0"/>
                        </a:ext>
                      </a:extLst>
                    </a:blip>
                    <a:stretch>
                      <a:fillRect/>
                    </a:stretch>
                  </pic:blipFill>
                  <pic:spPr>
                    <a:xfrm>
                      <a:off x="0" y="0"/>
                      <a:ext cx="4572000" cy="2891155"/>
                    </a:xfrm>
                    <a:prstGeom prst="rect">
                      <a:avLst/>
                    </a:prstGeom>
                  </pic:spPr>
                </pic:pic>
              </a:graphicData>
            </a:graphic>
          </wp:inline>
        </w:drawing>
      </w:r>
    </w:p>
    <w:p w14:paraId="09A928F3" w14:textId="77777777" w:rsidR="00661AB2" w:rsidRPr="005754F4" w:rsidRDefault="00661AB2" w:rsidP="00661AB2">
      <w:pPr>
        <w:keepNext/>
        <w:jc w:val="center"/>
        <w:rPr>
          <w:noProof/>
          <w:sz w:val="20"/>
          <w:szCs w:val="18"/>
        </w:rPr>
      </w:pPr>
      <w:r w:rsidRPr="005754F4">
        <w:rPr>
          <w:rFonts w:cs="Times New Roman"/>
          <w:b/>
          <w:i/>
          <w:noProof/>
          <w:sz w:val="20"/>
          <w:szCs w:val="20"/>
          <w:lang w:eastAsia="en-GB"/>
        </w:rPr>
        <w:drawing>
          <wp:inline distT="0" distB="0" distL="0" distR="0" wp14:anchorId="1C41C222" wp14:editId="21C1557D">
            <wp:extent cx="5731510" cy="2506980"/>
            <wp:effectExtent l="0" t="0" r="2540" b="7620"/>
            <wp:docPr id="1176360716"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83806" name="Picture 1" descr="A graph of different colored bars&#10;&#10;AI-generated content may be incorrect."/>
                    <pic:cNvPicPr/>
                  </pic:nvPicPr>
                  <pic:blipFill>
                    <a:blip r:embed="rId84"/>
                    <a:stretch>
                      <a:fillRect/>
                    </a:stretch>
                  </pic:blipFill>
                  <pic:spPr>
                    <a:xfrm>
                      <a:off x="0" y="0"/>
                      <a:ext cx="5731510" cy="2506980"/>
                    </a:xfrm>
                    <a:prstGeom prst="rect">
                      <a:avLst/>
                    </a:prstGeom>
                  </pic:spPr>
                </pic:pic>
              </a:graphicData>
            </a:graphic>
          </wp:inline>
        </w:drawing>
      </w:r>
    </w:p>
    <w:p w14:paraId="39949B6A" w14:textId="3A6942A5" w:rsidR="00661AB2" w:rsidRPr="005754F4" w:rsidRDefault="2CDC5222" w:rsidP="00661AB2">
      <w:pPr>
        <w:pStyle w:val="Caption"/>
        <w:jc w:val="center"/>
        <w:rPr>
          <w:noProof/>
          <w:sz w:val="20"/>
          <w:szCs w:val="14"/>
        </w:rPr>
      </w:pPr>
      <w:r w:rsidRPr="005754F4">
        <w:rPr>
          <w:noProof/>
          <w:sz w:val="20"/>
          <w:szCs w:val="20"/>
        </w:rPr>
        <w:t xml:space="preserve">Figure </w:t>
      </w:r>
      <w:r w:rsidR="00661AB2" w:rsidRPr="005754F4">
        <w:rPr>
          <w:noProof/>
          <w:sz w:val="20"/>
          <w:szCs w:val="20"/>
        </w:rPr>
        <w:fldChar w:fldCharType="begin"/>
      </w:r>
      <w:r w:rsidR="00661AB2" w:rsidRPr="005754F4">
        <w:rPr>
          <w:noProof/>
          <w:sz w:val="20"/>
          <w:szCs w:val="20"/>
        </w:rPr>
        <w:instrText xml:space="preserve"> SEQ Figure \* ARABIC </w:instrText>
      </w:r>
      <w:r w:rsidR="00661AB2" w:rsidRPr="005754F4">
        <w:rPr>
          <w:noProof/>
          <w:sz w:val="20"/>
          <w:szCs w:val="20"/>
        </w:rPr>
        <w:fldChar w:fldCharType="separate"/>
      </w:r>
      <w:r w:rsidR="07FDC849">
        <w:rPr>
          <w:noProof/>
          <w:sz w:val="20"/>
          <w:szCs w:val="20"/>
        </w:rPr>
        <w:t>15</w:t>
      </w:r>
      <w:r w:rsidR="00661AB2" w:rsidRPr="005754F4">
        <w:rPr>
          <w:noProof/>
          <w:sz w:val="20"/>
          <w:szCs w:val="20"/>
        </w:rPr>
        <w:fldChar w:fldCharType="end"/>
      </w:r>
      <w:r w:rsidRPr="005754F4">
        <w:rPr>
          <w:noProof/>
          <w:sz w:val="20"/>
          <w:szCs w:val="20"/>
        </w:rPr>
        <w:t>: Evolution of green and grey steel production costs in Europe under different CO2 price scenarios</w:t>
      </w:r>
      <w:r w:rsidR="00661AB2" w:rsidRPr="005754F4">
        <w:rPr>
          <w:rStyle w:val="FootnoteReference"/>
          <w:noProof/>
          <w:sz w:val="20"/>
          <w:szCs w:val="20"/>
        </w:rPr>
        <w:footnoteReference w:id="479"/>
      </w:r>
    </w:p>
    <w:p w14:paraId="151B00A3" w14:textId="77777777" w:rsidR="00661AB2" w:rsidRPr="00FF63D1" w:rsidRDefault="00661AB2" w:rsidP="00661AB2">
      <w:pPr>
        <w:rPr>
          <w:rFonts w:cs="Times New Roman"/>
          <w:b/>
          <w:i/>
          <w:noProof/>
          <w:szCs w:val="24"/>
        </w:rPr>
      </w:pPr>
    </w:p>
    <w:p w14:paraId="47F4197F" w14:textId="77777777" w:rsidR="00661AB2" w:rsidRPr="00BD0735" w:rsidRDefault="00661AB2" w:rsidP="00BD0735">
      <w:pPr>
        <w:spacing w:after="120"/>
        <w:rPr>
          <w:rFonts w:eastAsia="Times New Roman"/>
          <w:b/>
          <w:noProof/>
        </w:rPr>
      </w:pPr>
      <w:r w:rsidRPr="00BD0735">
        <w:rPr>
          <w:rFonts w:eastAsia="Times New Roman"/>
          <w:b/>
          <w:noProof/>
        </w:rPr>
        <w:t>Total Investment Needs (TCI) for EU Transition</w:t>
      </w:r>
    </w:p>
    <w:p w14:paraId="6AFE01FC" w14:textId="26668B8B" w:rsidR="00661AB2" w:rsidRPr="00F261DB" w:rsidRDefault="2CDC5222" w:rsidP="00F12F93">
      <w:pPr>
        <w:spacing w:after="120"/>
        <w:rPr>
          <w:rFonts w:eastAsia="Times New Roman"/>
          <w:noProof/>
        </w:rPr>
      </w:pPr>
      <w:r w:rsidRPr="00FF63D1">
        <w:rPr>
          <w:rFonts w:cs="Times New Roman"/>
          <w:noProof/>
        </w:rPr>
        <w:t xml:space="preserve">Based on the analysis above as well as other projections, the total investment (TCI) for transitioning the European steel industry would require enormous scale. In order to convert 30% of listed European steelmakers' production capacity to the (H-)DRI-EAF route by 2030 it would require </w:t>
      </w:r>
      <w:r w:rsidRPr="00F12F93">
        <w:rPr>
          <w:rFonts w:cs="Times New Roman"/>
          <w:noProof/>
        </w:rPr>
        <w:t xml:space="preserve">between </w:t>
      </w:r>
      <w:r w:rsidR="4CF4B1EC" w:rsidRPr="000A29C5">
        <w:rPr>
          <w:rFonts w:cs="Times New Roman"/>
          <w:noProof/>
          <w:color w:val="000000"/>
        </w:rPr>
        <w:t xml:space="preserve">EUR </w:t>
      </w:r>
      <w:r w:rsidRPr="000A29C5">
        <w:rPr>
          <w:rFonts w:cs="Times New Roman"/>
          <w:noProof/>
        </w:rPr>
        <w:t xml:space="preserve">12.1 billion and </w:t>
      </w:r>
      <w:r w:rsidR="4CF4B1EC" w:rsidRPr="000A29C5">
        <w:rPr>
          <w:rFonts w:cs="Times New Roman"/>
          <w:noProof/>
          <w:color w:val="000000"/>
        </w:rPr>
        <w:t xml:space="preserve">EUR </w:t>
      </w:r>
      <w:r w:rsidRPr="000A29C5">
        <w:rPr>
          <w:rFonts w:cs="Times New Roman"/>
          <w:noProof/>
        </w:rPr>
        <w:t>20.2 billion TCI, depending on whether electrolysis capacity is included.</w:t>
      </w:r>
      <w:r w:rsidR="00661AB2" w:rsidRPr="000A29C5">
        <w:rPr>
          <w:rStyle w:val="FootnoteReference"/>
          <w:rFonts w:cs="Times New Roman"/>
          <w:noProof/>
        </w:rPr>
        <w:footnoteReference w:id="480"/>
      </w:r>
      <w:r w:rsidRPr="000A29C5">
        <w:rPr>
          <w:rFonts w:cs="Times New Roman"/>
          <w:noProof/>
        </w:rPr>
        <w:t xml:space="preserve"> By 2050, the projected cumulative TCI required to </w:t>
      </w:r>
      <w:r w:rsidR="7A93C804" w:rsidRPr="000A29C5">
        <w:rPr>
          <w:rFonts w:cs="Times New Roman"/>
          <w:noProof/>
        </w:rPr>
        <w:t xml:space="preserve">commercialise </w:t>
      </w:r>
      <w:r w:rsidR="17B68B96" w:rsidRPr="000A29C5">
        <w:rPr>
          <w:rFonts w:cs="Times New Roman"/>
          <w:noProof/>
        </w:rPr>
        <w:t xml:space="preserve">low-carbon steel technologies </w:t>
      </w:r>
      <w:r w:rsidR="4F0E768B" w:rsidRPr="000A29C5">
        <w:rPr>
          <w:rFonts w:cs="Times New Roman"/>
          <w:noProof/>
        </w:rPr>
        <w:t>and replace</w:t>
      </w:r>
      <w:r w:rsidRPr="000A29C5">
        <w:rPr>
          <w:rFonts w:cs="Times New Roman"/>
          <w:noProof/>
        </w:rPr>
        <w:t xml:space="preserve"> existing </w:t>
      </w:r>
      <w:r w:rsidR="44225EDE" w:rsidRPr="000A29C5">
        <w:rPr>
          <w:rFonts w:cs="Times New Roman"/>
          <w:noProof/>
        </w:rPr>
        <w:t>plants</w:t>
      </w:r>
      <w:r w:rsidRPr="000A29C5">
        <w:rPr>
          <w:rFonts w:cs="Times New Roman"/>
          <w:noProof/>
        </w:rPr>
        <w:t xml:space="preserve"> is estimated to be between EUR 70 billion and EUR 100 billion.</w:t>
      </w:r>
      <w:r w:rsidR="00661AB2" w:rsidRPr="000A29C5">
        <w:rPr>
          <w:rStyle w:val="FootnoteReference"/>
          <w:rFonts w:cs="Times New Roman"/>
          <w:noProof/>
        </w:rPr>
        <w:footnoteReference w:id="481"/>
      </w:r>
    </w:p>
    <w:p w14:paraId="16D9CBA1" w14:textId="09E54F64" w:rsidR="007203B5" w:rsidRPr="00BD0735" w:rsidRDefault="00703250" w:rsidP="00BD0735">
      <w:pPr>
        <w:pStyle w:val="ListParagraph"/>
        <w:keepNext/>
        <w:keepLines/>
        <w:numPr>
          <w:ilvl w:val="0"/>
          <w:numId w:val="165"/>
        </w:numPr>
        <w:spacing w:before="360" w:after="80"/>
        <w:outlineLvl w:val="0"/>
        <w:rPr>
          <w:rFonts w:eastAsia="Yu Gothic Light"/>
          <w:b/>
          <w:noProof/>
        </w:rPr>
      </w:pPr>
      <w:bookmarkStart w:id="609" w:name="_Toc212728862"/>
      <w:bookmarkStart w:id="610" w:name="_Toc212729136"/>
      <w:bookmarkStart w:id="611" w:name="_Toc212729388"/>
      <w:bookmarkStart w:id="612" w:name="_Toc215506332"/>
      <w:bookmarkStart w:id="613" w:name="_Toc222159383"/>
      <w:bookmarkStart w:id="614" w:name="_Toc222489551"/>
      <w:bookmarkStart w:id="615" w:name="_Toc222490040"/>
      <w:r w:rsidRPr="00BD0735">
        <w:rPr>
          <w:rFonts w:eastAsia="Yu Gothic Light"/>
          <w:b/>
          <w:noProof/>
        </w:rPr>
        <w:t>Automotive industry</w:t>
      </w:r>
      <w:bookmarkEnd w:id="609"/>
      <w:bookmarkEnd w:id="610"/>
      <w:bookmarkEnd w:id="611"/>
      <w:bookmarkEnd w:id="612"/>
      <w:bookmarkEnd w:id="613"/>
      <w:bookmarkEnd w:id="614"/>
      <w:bookmarkEnd w:id="615"/>
    </w:p>
    <w:p w14:paraId="6A1546C5" w14:textId="3D236ECB" w:rsidR="00BD0735" w:rsidRDefault="00511110" w:rsidP="00BD0735">
      <w:pPr>
        <w:spacing w:after="120"/>
        <w:rPr>
          <w:rFonts w:eastAsia="Times New Roman"/>
          <w:b/>
          <w:noProof/>
        </w:rPr>
      </w:pPr>
      <w:r w:rsidRPr="00FF63D1">
        <w:rPr>
          <w:rFonts w:eastAsia="Times New Roman"/>
          <w:b/>
          <w:noProof/>
        </w:rPr>
        <w:t>Key facts</w:t>
      </w:r>
    </w:p>
    <w:p w14:paraId="11AAB156" w14:textId="1CBC716F" w:rsidR="0042512C" w:rsidRPr="00F261DB" w:rsidRDefault="22C234C5" w:rsidP="00BD0735">
      <w:pPr>
        <w:spacing w:after="120"/>
        <w:rPr>
          <w:rFonts w:eastAsia="Times New Roman"/>
          <w:noProof/>
        </w:rPr>
      </w:pPr>
      <w:r w:rsidRPr="00F261DB">
        <w:rPr>
          <w:rFonts w:eastAsia="Times New Roman"/>
          <w:noProof/>
        </w:rPr>
        <w:t>The automotive industry has traditionally been a cornerstone of the European economy. It serves as a major employer (accounting for 6.1% of total EU employment, directly impacting around 1.7 million people), and it contributes significantly to value added (accounting for 8% of the total manufacturing value added within the EU) and is a net exporter of vehicles and car parts (with a EUR 117 billion surplus in extra-EU trade).</w:t>
      </w:r>
      <w:r w:rsidR="0042512C" w:rsidRPr="00F261DB">
        <w:rPr>
          <w:rFonts w:eastAsia="Times New Roman"/>
          <w:noProof/>
          <w:vertAlign w:val="superscript"/>
        </w:rPr>
        <w:footnoteReference w:id="482"/>
      </w:r>
      <w:r w:rsidRPr="00F261DB">
        <w:rPr>
          <w:rFonts w:eastAsia="Times New Roman"/>
          <w:noProof/>
        </w:rPr>
        <w:t xml:space="preserve"> Moreover, the EU automotive industry is a global leader in R&amp;I investment, making up 36.5% of the EU's corporate investment.</w:t>
      </w:r>
      <w:r w:rsidR="0042512C" w:rsidRPr="00F261DB">
        <w:rPr>
          <w:rFonts w:eastAsia="Times New Roman"/>
          <w:noProof/>
          <w:vertAlign w:val="superscript"/>
        </w:rPr>
        <w:footnoteReference w:id="483"/>
      </w:r>
      <w:r w:rsidRPr="00F261DB">
        <w:rPr>
          <w:rFonts w:eastAsia="Times New Roman"/>
          <w:noProof/>
        </w:rPr>
        <w:t xml:space="preserve"> The EU automotive supply industry has combined sales of EUR 250 billion with a manufacturing presence in most Member States, and more than EUR 50 billion exports.</w:t>
      </w:r>
    </w:p>
    <w:p w14:paraId="5C61E30B" w14:textId="5B8A3DFB" w:rsidR="0042512C" w:rsidRPr="00F261DB" w:rsidRDefault="22C234C5" w:rsidP="00BD0735">
      <w:pPr>
        <w:spacing w:after="120"/>
        <w:rPr>
          <w:rFonts w:eastAsia="Times New Roman"/>
          <w:noProof/>
        </w:rPr>
      </w:pPr>
      <w:r w:rsidRPr="00F261DB">
        <w:rPr>
          <w:rFonts w:eastAsia="Times New Roman"/>
          <w:noProof/>
        </w:rPr>
        <w:t>Over the past years, the European automotive industry has been investing in the development of cleaner vehicles and innovative automotive components that are key to improve the environmental performance of such vehicles (through, e.g. increased range, better energy efficiency, or higher usage of sustainable material and processes).</w:t>
      </w:r>
      <w:r w:rsidR="0042512C" w:rsidRPr="00F261DB">
        <w:rPr>
          <w:rStyle w:val="FootnoteReference"/>
          <w:rFonts w:eastAsia="Times New Roman"/>
          <w:noProof/>
        </w:rPr>
        <w:footnoteReference w:id="484"/>
      </w:r>
      <w:r w:rsidRPr="00F261DB">
        <w:rPr>
          <w:rFonts w:eastAsia="Times New Roman"/>
          <w:noProof/>
        </w:rPr>
        <w:t xml:space="preserve"> These components have the potential to contribute to decarbonisation by enabling optimi</w:t>
      </w:r>
      <w:r w:rsidR="0FCCF1B2">
        <w:rPr>
          <w:rFonts w:eastAsia="Times New Roman"/>
          <w:noProof/>
        </w:rPr>
        <w:t>s</w:t>
      </w:r>
      <w:r w:rsidRPr="00F261DB">
        <w:rPr>
          <w:rFonts w:eastAsia="Times New Roman"/>
          <w:noProof/>
        </w:rPr>
        <w:t>ed routing and optimi</w:t>
      </w:r>
      <w:r w:rsidR="0FCCF1B2">
        <w:rPr>
          <w:rFonts w:eastAsia="Times New Roman"/>
          <w:noProof/>
        </w:rPr>
        <w:t>s</w:t>
      </w:r>
      <w:r w:rsidRPr="00F261DB">
        <w:rPr>
          <w:rFonts w:eastAsia="Times New Roman"/>
          <w:noProof/>
        </w:rPr>
        <w:t>ed traffic flow, reducing congestion and lowering emissions, improving energy efficiency through optimi</w:t>
      </w:r>
      <w:r w:rsidR="0FCCF1B2">
        <w:rPr>
          <w:rFonts w:eastAsia="Times New Roman"/>
          <w:noProof/>
        </w:rPr>
        <w:t>s</w:t>
      </w:r>
      <w:r w:rsidRPr="00F261DB">
        <w:rPr>
          <w:rFonts w:eastAsia="Times New Roman"/>
          <w:noProof/>
        </w:rPr>
        <w:t>ed speed, acceleration, and braking, facilitating the adoption of electric and hybrid vehicles through optimi</w:t>
      </w:r>
      <w:r w:rsidR="0FCCF1B2">
        <w:rPr>
          <w:rFonts w:eastAsia="Times New Roman"/>
          <w:noProof/>
        </w:rPr>
        <w:t>s</w:t>
      </w:r>
      <w:r w:rsidRPr="00F261DB">
        <w:rPr>
          <w:rFonts w:eastAsia="Times New Roman"/>
          <w:noProof/>
        </w:rPr>
        <w:t xml:space="preserve">ed charging strategies and energy management. </w:t>
      </w:r>
    </w:p>
    <w:p w14:paraId="419D7754" w14:textId="6178AE68" w:rsidR="0042512C" w:rsidRPr="00F261DB" w:rsidRDefault="22C234C5" w:rsidP="00BD0735">
      <w:pPr>
        <w:spacing w:after="120"/>
        <w:rPr>
          <w:noProof/>
        </w:rPr>
      </w:pPr>
      <w:r w:rsidRPr="00F261DB">
        <w:rPr>
          <w:rFonts w:eastAsia="Times New Roman"/>
          <w:noProof/>
        </w:rPr>
        <w:t>However, the transition to zero-emission vehicles and the increasing role of software and electronics also change value chain patterns and provide opportunities for new players from third countries calling into question historical industry patterns, including the appeal of supply chain regionali</w:t>
      </w:r>
      <w:r w:rsidR="74D7DE92">
        <w:rPr>
          <w:rFonts w:eastAsia="Times New Roman"/>
          <w:noProof/>
        </w:rPr>
        <w:t>sation</w:t>
      </w:r>
      <w:r w:rsidR="0042512C" w:rsidRPr="00F261DB">
        <w:rPr>
          <w:rStyle w:val="FootnoteReference"/>
          <w:rFonts w:eastAsia="Times New Roman"/>
          <w:noProof/>
        </w:rPr>
        <w:footnoteReference w:id="485"/>
      </w:r>
      <w:r w:rsidRPr="00F261DB">
        <w:rPr>
          <w:rFonts w:eastAsia="Times New Roman"/>
          <w:noProof/>
        </w:rPr>
        <w:t>.</w:t>
      </w:r>
    </w:p>
    <w:p w14:paraId="4636AD98" w14:textId="06D89DA0" w:rsidR="0042512C" w:rsidRPr="00F261DB" w:rsidRDefault="0042512C" w:rsidP="00BD0735">
      <w:pPr>
        <w:spacing w:after="120"/>
        <w:rPr>
          <w:rFonts w:eastAsia="Times New Roman"/>
          <w:noProof/>
        </w:rPr>
      </w:pPr>
      <w:r w:rsidRPr="00F261DB">
        <w:rPr>
          <w:rFonts w:eastAsia="Times New Roman"/>
          <w:noProof/>
        </w:rPr>
        <w:t>As a consequence, traditional European leadership in the global automotive market is being diminished, as shown in</w:t>
      </w:r>
      <w:r w:rsidR="00C145CD" w:rsidRPr="00F261DB">
        <w:rPr>
          <w:rFonts w:eastAsia="Times New Roman"/>
          <w:noProof/>
        </w:rPr>
        <w:t xml:space="preserve"> </w:t>
      </w:r>
      <w:r w:rsidR="00C145CD" w:rsidRPr="00C145CD">
        <w:rPr>
          <w:rFonts w:eastAsia="Times New Roman"/>
          <w:noProof/>
          <w:szCs w:val="24"/>
        </w:rPr>
        <w:fldChar w:fldCharType="begin"/>
      </w:r>
      <w:r w:rsidR="00C145CD" w:rsidRPr="00C145CD">
        <w:rPr>
          <w:rFonts w:eastAsia="Times New Roman"/>
          <w:noProof/>
          <w:szCs w:val="24"/>
        </w:rPr>
        <w:instrText xml:space="preserve"> REF _Ref212638283 \h </w:instrText>
      </w:r>
      <w:r w:rsidR="00C145CD">
        <w:rPr>
          <w:rFonts w:eastAsia="Times New Roman"/>
          <w:noProof/>
          <w:szCs w:val="24"/>
        </w:rPr>
        <w:instrText xml:space="preserve"> \* MERGEFORMAT </w:instrText>
      </w:r>
      <w:r w:rsidR="00C145CD" w:rsidRPr="00C145CD">
        <w:rPr>
          <w:rFonts w:eastAsia="Times New Roman"/>
          <w:noProof/>
          <w:szCs w:val="24"/>
        </w:rPr>
      </w:r>
      <w:r w:rsidR="00C145CD" w:rsidRPr="00C145CD">
        <w:rPr>
          <w:rFonts w:eastAsia="Times New Roman"/>
          <w:noProof/>
          <w:szCs w:val="24"/>
        </w:rPr>
        <w:fldChar w:fldCharType="separate"/>
      </w:r>
      <w:r w:rsidR="00E16D65" w:rsidRPr="00E16D65">
        <w:rPr>
          <w:noProof/>
          <w:szCs w:val="24"/>
        </w:rPr>
        <w:t>Figure 16</w:t>
      </w:r>
      <w:r w:rsidR="00C145CD" w:rsidRPr="00C145CD">
        <w:rPr>
          <w:rFonts w:eastAsia="Times New Roman"/>
          <w:noProof/>
          <w:szCs w:val="24"/>
        </w:rPr>
        <w:fldChar w:fldCharType="end"/>
      </w:r>
      <w:r w:rsidRPr="003C3FBE">
        <w:rPr>
          <w:rFonts w:eastAsia="Times New Roman"/>
          <w:noProof/>
        </w:rPr>
        <w:t>.</w:t>
      </w:r>
      <w:r w:rsidRPr="00F261DB">
        <w:rPr>
          <w:rFonts w:eastAsia="Times New Roman"/>
          <w:noProof/>
        </w:rPr>
        <w:t xml:space="preserve"> The EU's share of the global automotive market has declined from 24% in 2010-14 to 22% in 2022. Meanwhile, China has increased its influence and surpassed Europe to become the world's largest car producer and a key supplier of critical components for electric vehicles (EVs), such as batteries. China's market share grew from 20% in the 2010-14 period to 26% in 2022. The United States has also seen a slight increase in its market share. Conversely, other countries, notably Japan (included in the Rest of the World category), have experienced losses, with Japan's market share dropping from 12% to 7% during the same timeframe.</w:t>
      </w:r>
    </w:p>
    <w:p w14:paraId="249C7AC7" w14:textId="77777777" w:rsidR="005F74AA" w:rsidRDefault="0042512C" w:rsidP="005F74AA">
      <w:pPr>
        <w:keepNext/>
        <w:jc w:val="center"/>
        <w:rPr>
          <w:noProof/>
        </w:rPr>
      </w:pPr>
      <w:r w:rsidRPr="00E9618C">
        <w:rPr>
          <w:noProof/>
          <w:lang w:eastAsia="en-GB"/>
        </w:rPr>
        <w:drawing>
          <wp:inline distT="0" distB="0" distL="0" distR="0" wp14:anchorId="5416BB84" wp14:editId="072494FE">
            <wp:extent cx="3432346" cy="1780186"/>
            <wp:effectExtent l="0" t="0" r="0" b="0"/>
            <wp:docPr id="303338356" name="drawing"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67157" name="drawing" descr="A graph of different colored squares&#10;&#10;AI-generated content may be incorrect."/>
                    <pic:cNvPicPr/>
                  </pic:nvPicPr>
                  <pic:blipFill>
                    <a:blip r:embed="rId85">
                      <a:extLst>
                        <a:ext uri="{28A0092B-C50C-407E-A947-70E740481C1C}">
                          <a14:useLocalDpi xmlns:a14="http://schemas.microsoft.com/office/drawing/2010/main" val="0"/>
                        </a:ext>
                      </a:extLst>
                    </a:blip>
                    <a:stretch>
                      <a:fillRect/>
                    </a:stretch>
                  </pic:blipFill>
                  <pic:spPr>
                    <a:xfrm>
                      <a:off x="0" y="0"/>
                      <a:ext cx="3432346" cy="1780186"/>
                    </a:xfrm>
                    <a:prstGeom prst="rect">
                      <a:avLst/>
                    </a:prstGeom>
                  </pic:spPr>
                </pic:pic>
              </a:graphicData>
            </a:graphic>
          </wp:inline>
        </w:drawing>
      </w:r>
    </w:p>
    <w:p w14:paraId="53B08F31" w14:textId="59145361" w:rsidR="0042512C" w:rsidRPr="00020C03" w:rsidRDefault="144F9D24" w:rsidP="00020C03">
      <w:pPr>
        <w:pStyle w:val="Caption"/>
        <w:jc w:val="center"/>
        <w:rPr>
          <w:noProof/>
          <w:sz w:val="20"/>
          <w:szCs w:val="20"/>
        </w:rPr>
      </w:pPr>
      <w:bookmarkStart w:id="616" w:name="_Ref212638283"/>
      <w:bookmarkStart w:id="617" w:name="_Ref212638276"/>
      <w:r w:rsidRPr="00506565">
        <w:rPr>
          <w:noProof/>
          <w:sz w:val="20"/>
          <w:szCs w:val="20"/>
        </w:rPr>
        <w:t xml:space="preserve">Figure </w:t>
      </w:r>
      <w:r w:rsidR="005F74AA" w:rsidRPr="00506565">
        <w:rPr>
          <w:noProof/>
          <w:sz w:val="20"/>
          <w:szCs w:val="20"/>
        </w:rPr>
        <w:fldChar w:fldCharType="begin"/>
      </w:r>
      <w:r w:rsidR="005F74AA" w:rsidRPr="002B47EE">
        <w:rPr>
          <w:noProof/>
          <w:sz w:val="20"/>
          <w:szCs w:val="20"/>
          <w:lang w:val="en-IE"/>
        </w:rPr>
        <w:instrText xml:space="preserve"> SEQ Figure \* ARABIC </w:instrText>
      </w:r>
      <w:r w:rsidR="005F74AA" w:rsidRPr="00506565">
        <w:rPr>
          <w:noProof/>
          <w:sz w:val="20"/>
          <w:szCs w:val="20"/>
        </w:rPr>
        <w:fldChar w:fldCharType="separate"/>
      </w:r>
      <w:r w:rsidR="07FDC849">
        <w:rPr>
          <w:noProof/>
          <w:sz w:val="20"/>
          <w:szCs w:val="20"/>
          <w:lang w:val="en-IE"/>
        </w:rPr>
        <w:t>16</w:t>
      </w:r>
      <w:r w:rsidR="005F74AA" w:rsidRPr="00506565">
        <w:rPr>
          <w:noProof/>
          <w:sz w:val="20"/>
          <w:szCs w:val="20"/>
        </w:rPr>
        <w:fldChar w:fldCharType="end"/>
      </w:r>
      <w:bookmarkEnd w:id="616"/>
      <w:r w:rsidRPr="00020C03">
        <w:rPr>
          <w:noProof/>
          <w:sz w:val="20"/>
          <w:szCs w:val="20"/>
        </w:rPr>
        <w:t>:</w:t>
      </w:r>
      <w:r w:rsidR="60ABE352" w:rsidRPr="005F74AA">
        <w:rPr>
          <w:noProof/>
          <w:sz w:val="20"/>
          <w:szCs w:val="20"/>
        </w:rPr>
        <w:t xml:space="preserve"> </w:t>
      </w:r>
      <w:r w:rsidR="22C234C5" w:rsidRPr="005F74AA">
        <w:rPr>
          <w:noProof/>
          <w:sz w:val="20"/>
          <w:szCs w:val="20"/>
        </w:rPr>
        <w:t>Global automotive market in value</w:t>
      </w:r>
      <w:r w:rsidR="22C234C5" w:rsidRPr="00020C03">
        <w:rPr>
          <w:noProof/>
          <w:sz w:val="20"/>
          <w:szCs w:val="20"/>
        </w:rPr>
        <w:t xml:space="preserve"> JRC calculations based on Eurostat's FIGARO data</w:t>
      </w:r>
      <w:r w:rsidR="0042512C" w:rsidRPr="005F74AA">
        <w:rPr>
          <w:noProof/>
          <w:sz w:val="20"/>
          <w:szCs w:val="20"/>
          <w:vertAlign w:val="superscript"/>
        </w:rPr>
        <w:footnoteReference w:id="486"/>
      </w:r>
      <w:bookmarkEnd w:id="617"/>
    </w:p>
    <w:p w14:paraId="377226F7" w14:textId="77777777" w:rsidR="0042512C" w:rsidRPr="00F261DB" w:rsidRDefault="0042512C" w:rsidP="0042512C">
      <w:pPr>
        <w:rPr>
          <w:noProof/>
        </w:rPr>
      </w:pPr>
    </w:p>
    <w:p w14:paraId="314D953E" w14:textId="7B220123" w:rsidR="0042512C" w:rsidRPr="00F261DB" w:rsidRDefault="22C234C5" w:rsidP="00BD0735">
      <w:pPr>
        <w:spacing w:after="120"/>
        <w:rPr>
          <w:rFonts w:eastAsia="Times New Roman"/>
          <w:noProof/>
        </w:rPr>
      </w:pPr>
      <w:r w:rsidRPr="00F261DB">
        <w:rPr>
          <w:noProof/>
        </w:rPr>
        <w:t xml:space="preserve">The JRC analysed the EU value content in </w:t>
      </w:r>
      <w:r w:rsidRPr="00F261DB">
        <w:rPr>
          <w:rFonts w:eastAsia="Times New Roman"/>
          <w:noProof/>
        </w:rPr>
        <w:t xml:space="preserve">the EU automotive production. The left panel of </w:t>
      </w:r>
      <w:r w:rsidR="5A33FA32" w:rsidRPr="1A2A8689">
        <w:rPr>
          <w:rFonts w:eastAsia="Times New Roman"/>
          <w:noProof/>
        </w:rPr>
        <w:t>figure</w:t>
      </w:r>
      <w:r w:rsidRPr="1A2A8689">
        <w:rPr>
          <w:rFonts w:eastAsia="Times New Roman"/>
          <w:noProof/>
        </w:rPr>
        <w:t xml:space="preserve"> </w:t>
      </w:r>
      <w:r w:rsidR="00A1272E" w:rsidRPr="1A2A8689">
        <w:rPr>
          <w:rFonts w:eastAsia="Times New Roman"/>
          <w:noProof/>
        </w:rPr>
        <w:fldChar w:fldCharType="begin"/>
      </w:r>
      <w:r w:rsidR="00A1272E" w:rsidRPr="1A2A8689">
        <w:rPr>
          <w:rFonts w:eastAsia="Times New Roman"/>
          <w:noProof/>
        </w:rPr>
        <w:instrText xml:space="preserve"> REF _Ref212638589 \h </w:instrText>
      </w:r>
      <w:r w:rsidR="003C3FBE" w:rsidRPr="1A2A8689">
        <w:rPr>
          <w:rFonts w:eastAsia="Times New Roman"/>
          <w:noProof/>
        </w:rPr>
        <w:instrText xml:space="preserve"> \* MERGEFORMAT </w:instrText>
      </w:r>
      <w:r w:rsidR="00A1272E" w:rsidRPr="1A2A8689">
        <w:rPr>
          <w:rFonts w:eastAsia="Times New Roman"/>
          <w:noProof/>
        </w:rPr>
      </w:r>
      <w:r w:rsidR="00A1272E" w:rsidRPr="1A2A8689">
        <w:rPr>
          <w:rFonts w:eastAsia="Times New Roman"/>
          <w:noProof/>
        </w:rPr>
        <w:fldChar w:fldCharType="separate"/>
      </w:r>
      <w:r w:rsidR="07FDC849" w:rsidRPr="1A2A8689">
        <w:rPr>
          <w:noProof/>
        </w:rPr>
        <w:t>17</w:t>
      </w:r>
      <w:r w:rsidR="00A1272E" w:rsidRPr="1A2A8689">
        <w:rPr>
          <w:rFonts w:eastAsia="Times New Roman"/>
          <w:noProof/>
        </w:rPr>
        <w:fldChar w:fldCharType="end"/>
      </w:r>
      <w:r w:rsidR="5A33FA32">
        <w:rPr>
          <w:rFonts w:eastAsia="Times New Roman"/>
          <w:noProof/>
        </w:rPr>
        <w:t xml:space="preserve"> </w:t>
      </w:r>
      <w:r w:rsidRPr="00F261DB">
        <w:rPr>
          <w:rFonts w:eastAsia="Times New Roman"/>
          <w:noProof/>
        </w:rPr>
        <w:t>shows the evolution of the origin of the inputs used by the industry (excluding batteries) between 2010 and 2022, broken down by country of origin. While the European automotive industry still primarily relies on EU-manufactured inputs, this proportion has decreased, reducing the EU value content of the automotive sector from 89% in 2010 to 85% in 2022. This trend indicates a growing reliance on production inputs from non-EU countries, particularly from China, where sourcing has almost doubled (increased by 1.9 times) during that period. When zooming in on the EU production of motor vehicles only, it appears that 85% of the components of an EU-made internal combustion engine (ICE) car comes from the EU, while it is only 70% for an EU-made EV (right hand side</w:t>
      </w:r>
      <w:r w:rsidR="149F2955">
        <w:rPr>
          <w:rFonts w:eastAsia="Times New Roman"/>
          <w:noProof/>
        </w:rPr>
        <w:t xml:space="preserve"> </w:t>
      </w:r>
      <w:r w:rsidR="006145CC" w:rsidRPr="4EAE5FAC">
        <w:rPr>
          <w:rFonts w:eastAsia="Times New Roman"/>
          <w:noProof/>
        </w:rPr>
        <w:fldChar w:fldCharType="begin"/>
      </w:r>
      <w:r w:rsidR="006145CC" w:rsidRPr="4EAE5FAC">
        <w:rPr>
          <w:rFonts w:eastAsia="Times New Roman"/>
          <w:noProof/>
        </w:rPr>
        <w:instrText xml:space="preserve"> REF _Ref212642582 \h  \* MERGEFORMAT </w:instrText>
      </w:r>
      <w:r w:rsidR="006145CC" w:rsidRPr="4EAE5FAC">
        <w:rPr>
          <w:rFonts w:eastAsia="Times New Roman"/>
          <w:noProof/>
        </w:rPr>
      </w:r>
      <w:r w:rsidR="006145CC" w:rsidRPr="4EAE5FAC">
        <w:rPr>
          <w:rFonts w:eastAsia="Times New Roman"/>
          <w:noProof/>
        </w:rPr>
        <w:fldChar w:fldCharType="separate"/>
      </w:r>
      <w:r w:rsidR="07FDC849" w:rsidRPr="00E16D65">
        <w:rPr>
          <w:rFonts w:cs="Times New Roman"/>
          <w:noProof/>
        </w:rPr>
        <w:t>Figure 17</w:t>
      </w:r>
      <w:r w:rsidR="006145CC" w:rsidRPr="4EAE5FAC">
        <w:rPr>
          <w:rFonts w:eastAsia="Times New Roman"/>
          <w:noProof/>
        </w:rPr>
        <w:fldChar w:fldCharType="end"/>
      </w:r>
      <w:r w:rsidRPr="00F261DB">
        <w:rPr>
          <w:rFonts w:eastAsia="Times New Roman"/>
          <w:noProof/>
        </w:rPr>
        <w:t>).</w:t>
      </w:r>
      <w:r w:rsidR="0042512C" w:rsidRPr="00F261DB">
        <w:rPr>
          <w:rFonts w:eastAsia="Times New Roman"/>
          <w:noProof/>
          <w:vertAlign w:val="superscript"/>
        </w:rPr>
        <w:footnoteReference w:id="487"/>
      </w:r>
      <w:r w:rsidRPr="00F261DB">
        <w:rPr>
          <w:rFonts w:eastAsia="Times New Roman"/>
          <w:noProof/>
        </w:rPr>
        <w:t xml:space="preserve"> We can note in particular the increased dependency on China (4.2 times) in EVs production compared to conventional ICE vehicles.</w:t>
      </w:r>
    </w:p>
    <w:p w14:paraId="08633841" w14:textId="77777777" w:rsidR="0042512C" w:rsidRPr="00F261DB" w:rsidRDefault="0042512C" w:rsidP="0042512C">
      <w:pPr>
        <w:rPr>
          <w:rFonts w:eastAsia="Times New Roman"/>
          <w:noProof/>
        </w:rPr>
      </w:pPr>
    </w:p>
    <w:p w14:paraId="353A8170" w14:textId="77777777" w:rsidR="00A1272E" w:rsidRDefault="0042512C" w:rsidP="00A1272E">
      <w:pPr>
        <w:keepNext/>
        <w:jc w:val="center"/>
        <w:rPr>
          <w:noProof/>
        </w:rPr>
      </w:pPr>
      <w:r w:rsidRPr="00E9618C">
        <w:rPr>
          <w:noProof/>
          <w:lang w:eastAsia="en-GB"/>
        </w:rPr>
        <w:drawing>
          <wp:inline distT="0" distB="0" distL="0" distR="0" wp14:anchorId="2174862E" wp14:editId="0E4C4524">
            <wp:extent cx="3762000" cy="2487600"/>
            <wp:effectExtent l="0" t="0" r="0" b="8255"/>
            <wp:docPr id="1945403378" name="Picture 2"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03378" name="Picture 2" descr="A graph of different colored bars&#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762000" cy="2487600"/>
                    </a:xfrm>
                    <a:prstGeom prst="rect">
                      <a:avLst/>
                    </a:prstGeom>
                    <a:noFill/>
                  </pic:spPr>
                </pic:pic>
              </a:graphicData>
            </a:graphic>
          </wp:inline>
        </w:drawing>
      </w:r>
    </w:p>
    <w:p w14:paraId="6171C916" w14:textId="5A184BFF" w:rsidR="00C145CD" w:rsidRPr="00020C03" w:rsidRDefault="17364319" w:rsidP="00020C03">
      <w:pPr>
        <w:pStyle w:val="Caption"/>
        <w:jc w:val="center"/>
        <w:rPr>
          <w:noProof/>
          <w:sz w:val="20"/>
          <w:szCs w:val="20"/>
        </w:rPr>
      </w:pPr>
      <w:bookmarkStart w:id="618" w:name="_Ref212642582"/>
      <w:r w:rsidRPr="00020C03">
        <w:rPr>
          <w:noProof/>
          <w:sz w:val="20"/>
          <w:szCs w:val="20"/>
        </w:rPr>
        <w:t xml:space="preserve">Figure </w:t>
      </w:r>
      <w:bookmarkStart w:id="619" w:name="_Ref212638589"/>
      <w:r w:rsidR="00A1272E" w:rsidRPr="4EAE5FAC">
        <w:rPr>
          <w:noProof/>
          <w:sz w:val="20"/>
          <w:szCs w:val="20"/>
        </w:rPr>
        <w:fldChar w:fldCharType="begin"/>
      </w:r>
      <w:r w:rsidR="00A1272E" w:rsidRPr="4EAE5FAC">
        <w:rPr>
          <w:noProof/>
          <w:sz w:val="20"/>
          <w:szCs w:val="20"/>
        </w:rPr>
        <w:instrText xml:space="preserve"> SEQ Figure \* ARABIC </w:instrText>
      </w:r>
      <w:r w:rsidR="00A1272E" w:rsidRPr="4EAE5FAC">
        <w:rPr>
          <w:noProof/>
          <w:sz w:val="20"/>
          <w:szCs w:val="20"/>
        </w:rPr>
        <w:fldChar w:fldCharType="separate"/>
      </w:r>
      <w:r w:rsidR="07FDC849">
        <w:rPr>
          <w:noProof/>
          <w:sz w:val="20"/>
          <w:szCs w:val="20"/>
        </w:rPr>
        <w:t>17</w:t>
      </w:r>
      <w:r w:rsidR="00A1272E" w:rsidRPr="4EAE5FAC">
        <w:rPr>
          <w:noProof/>
          <w:sz w:val="20"/>
          <w:szCs w:val="20"/>
        </w:rPr>
        <w:fldChar w:fldCharType="end"/>
      </w:r>
      <w:bookmarkEnd w:id="618"/>
      <w:bookmarkEnd w:id="619"/>
      <w:r w:rsidRPr="00A1272E">
        <w:rPr>
          <w:noProof/>
          <w:sz w:val="20"/>
          <w:szCs w:val="20"/>
        </w:rPr>
        <w:t>: Origin of the EU car components used in the manufacturing industry: over time (left) and by type of vehicle (right)-JRC estimates based on Eurostat's FIGARO data</w:t>
      </w:r>
      <w:r w:rsidR="00A1272E" w:rsidRPr="00A1272E">
        <w:rPr>
          <w:noProof/>
          <w:sz w:val="20"/>
          <w:szCs w:val="20"/>
          <w:vertAlign w:val="superscript"/>
        </w:rPr>
        <w:footnoteReference w:id="488"/>
      </w:r>
    </w:p>
    <w:p w14:paraId="33890483" w14:textId="77777777" w:rsidR="001C4B9E" w:rsidRPr="00020C03" w:rsidRDefault="001C4B9E" w:rsidP="0039596D">
      <w:pPr>
        <w:rPr>
          <w:rFonts w:eastAsia="Times New Roman"/>
          <w:noProof/>
          <w:sz w:val="20"/>
          <w:szCs w:val="20"/>
        </w:rPr>
      </w:pPr>
    </w:p>
    <w:p w14:paraId="67E48941" w14:textId="351EC016" w:rsidR="0039596D" w:rsidRPr="00F261DB" w:rsidRDefault="0039596D" w:rsidP="00BD0735">
      <w:pPr>
        <w:spacing w:after="120"/>
        <w:rPr>
          <w:rFonts w:eastAsia="Times New Roman"/>
          <w:noProof/>
        </w:rPr>
      </w:pPr>
      <w:r w:rsidRPr="00F261DB">
        <w:rPr>
          <w:rFonts w:eastAsia="Times New Roman"/>
          <w:noProof/>
        </w:rPr>
        <w:t xml:space="preserve">EVs have a greater dependence on third countries for any segment or component (inputs) compared to ICE cars </w:t>
      </w:r>
      <w:r w:rsidR="0042512C" w:rsidRPr="003C3FBE">
        <w:rPr>
          <w:rFonts w:eastAsia="Times New Roman"/>
          <w:noProof/>
        </w:rPr>
        <w:t>(See:</w:t>
      </w:r>
      <w:r w:rsidR="003C3FBE">
        <w:rPr>
          <w:rFonts w:eastAsia="Times New Roman"/>
          <w:noProof/>
        </w:rPr>
        <w:t xml:space="preserve"> </w:t>
      </w:r>
      <w:r w:rsidR="00A1272E" w:rsidRPr="003C3FBE">
        <w:rPr>
          <w:rFonts w:eastAsia="Times New Roman"/>
          <w:noProof/>
          <w:sz w:val="32"/>
          <w:szCs w:val="28"/>
        </w:rPr>
        <w:fldChar w:fldCharType="begin"/>
      </w:r>
      <w:r w:rsidR="00A1272E" w:rsidRPr="00E71388">
        <w:rPr>
          <w:rFonts w:eastAsia="Times New Roman"/>
          <w:noProof/>
          <w:sz w:val="32"/>
          <w:szCs w:val="28"/>
          <w:highlight w:val="yellow"/>
        </w:rPr>
        <w:instrText xml:space="preserve"> REF _Ref212638758 \h  \* MERGEF</w:instrText>
      </w:r>
      <w:r w:rsidR="00A1272E" w:rsidRPr="003D1348">
        <w:rPr>
          <w:rFonts w:eastAsia="Times New Roman"/>
          <w:noProof/>
          <w:sz w:val="32"/>
          <w:szCs w:val="28"/>
          <w:highlight w:val="yellow"/>
        </w:rPr>
        <w:instrText xml:space="preserve">ORMAT </w:instrText>
      </w:r>
      <w:r w:rsidR="00A1272E" w:rsidRPr="003C3FBE">
        <w:rPr>
          <w:rFonts w:eastAsia="Times New Roman"/>
          <w:noProof/>
          <w:sz w:val="32"/>
          <w:szCs w:val="28"/>
        </w:rPr>
      </w:r>
      <w:r w:rsidR="00A1272E" w:rsidRPr="003C3FBE">
        <w:rPr>
          <w:rFonts w:eastAsia="Times New Roman"/>
          <w:noProof/>
          <w:sz w:val="32"/>
          <w:szCs w:val="28"/>
        </w:rPr>
        <w:fldChar w:fldCharType="separate"/>
      </w:r>
      <w:r w:rsidR="00E16D65" w:rsidRPr="00E16D65">
        <w:rPr>
          <w:noProof/>
          <w:szCs w:val="24"/>
        </w:rPr>
        <w:t>Figure 18</w:t>
      </w:r>
      <w:r w:rsidR="00A1272E" w:rsidRPr="003C3FBE">
        <w:rPr>
          <w:rFonts w:eastAsia="Times New Roman"/>
          <w:noProof/>
          <w:sz w:val="32"/>
          <w:szCs w:val="28"/>
        </w:rPr>
        <w:fldChar w:fldCharType="end"/>
      </w:r>
      <w:r w:rsidR="0042512C" w:rsidRPr="003C3FBE">
        <w:rPr>
          <w:rFonts w:eastAsia="Times New Roman"/>
          <w:noProof/>
        </w:rPr>
        <w:t>).</w:t>
      </w:r>
    </w:p>
    <w:p w14:paraId="0F60FDDC" w14:textId="77777777" w:rsidR="001C4B9E" w:rsidRPr="00F261DB" w:rsidRDefault="001C4B9E" w:rsidP="0039596D">
      <w:pPr>
        <w:rPr>
          <w:rFonts w:eastAsia="Times New Roman"/>
          <w:noProof/>
        </w:rPr>
      </w:pPr>
    </w:p>
    <w:p w14:paraId="1E1A2F30" w14:textId="77777777" w:rsidR="00A1272E" w:rsidRPr="00F261DB" w:rsidRDefault="0042512C" w:rsidP="00020C03">
      <w:pPr>
        <w:keepNext/>
        <w:jc w:val="center"/>
        <w:rPr>
          <w:rFonts w:eastAsia="Times New Roman"/>
          <w:noProof/>
        </w:rPr>
      </w:pPr>
      <w:r w:rsidRPr="00E9618C">
        <w:rPr>
          <w:rFonts w:eastAsia="Times New Roman"/>
          <w:noProof/>
          <w:lang w:eastAsia="en-GB"/>
        </w:rPr>
        <w:drawing>
          <wp:inline distT="0" distB="0" distL="0" distR="0" wp14:anchorId="1F0532EC" wp14:editId="257F4E18">
            <wp:extent cx="4878000" cy="2210400"/>
            <wp:effectExtent l="0" t="0" r="0" b="0"/>
            <wp:docPr id="602664199" name="Picture 1" descr="A graph with blu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64199" name="Picture 1" descr="A graph with blue and green dots&#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878000" cy="2210400"/>
                    </a:xfrm>
                    <a:prstGeom prst="rect">
                      <a:avLst/>
                    </a:prstGeom>
                    <a:noFill/>
                  </pic:spPr>
                </pic:pic>
              </a:graphicData>
            </a:graphic>
          </wp:inline>
        </w:drawing>
      </w:r>
    </w:p>
    <w:p w14:paraId="1C71B098" w14:textId="3F0D7D09" w:rsidR="0039596D" w:rsidRPr="00020C03" w:rsidRDefault="17364319" w:rsidP="00020C03">
      <w:pPr>
        <w:pStyle w:val="Caption"/>
        <w:jc w:val="center"/>
        <w:rPr>
          <w:rFonts w:eastAsia="Times New Roman"/>
          <w:noProof/>
          <w:sz w:val="20"/>
          <w:szCs w:val="20"/>
          <w:vertAlign w:val="superscript"/>
        </w:rPr>
      </w:pPr>
      <w:bookmarkStart w:id="620" w:name="_Ref212638758"/>
      <w:r w:rsidRPr="4EAE5FAC">
        <w:rPr>
          <w:noProof/>
          <w:sz w:val="20"/>
          <w:szCs w:val="20"/>
        </w:rPr>
        <w:t xml:space="preserve">Figure </w:t>
      </w:r>
      <w:r w:rsidR="00A1272E" w:rsidRPr="002C4F66">
        <w:rPr>
          <w:noProof/>
          <w:sz w:val="20"/>
          <w:szCs w:val="20"/>
        </w:rPr>
        <w:fldChar w:fldCharType="begin"/>
      </w:r>
      <w:r w:rsidR="00A1272E" w:rsidRPr="002B47EE">
        <w:rPr>
          <w:noProof/>
          <w:sz w:val="20"/>
          <w:szCs w:val="20"/>
          <w:lang w:val="en-IE"/>
        </w:rPr>
        <w:instrText xml:space="preserve"> SEQ Figure \* ARABIC </w:instrText>
      </w:r>
      <w:r w:rsidR="00A1272E" w:rsidRPr="002C4F66">
        <w:rPr>
          <w:noProof/>
          <w:sz w:val="20"/>
          <w:szCs w:val="20"/>
        </w:rPr>
        <w:fldChar w:fldCharType="separate"/>
      </w:r>
      <w:r w:rsidR="07FDC849">
        <w:rPr>
          <w:noProof/>
          <w:sz w:val="20"/>
          <w:szCs w:val="20"/>
          <w:lang w:val="en-IE"/>
        </w:rPr>
        <w:t>18</w:t>
      </w:r>
      <w:r w:rsidR="00A1272E" w:rsidRPr="002C4F66">
        <w:rPr>
          <w:noProof/>
          <w:sz w:val="20"/>
          <w:szCs w:val="20"/>
        </w:rPr>
        <w:fldChar w:fldCharType="end"/>
      </w:r>
      <w:bookmarkEnd w:id="620"/>
      <w:r w:rsidR="536E470D" w:rsidRPr="00A1272E">
        <w:rPr>
          <w:noProof/>
          <w:sz w:val="20"/>
          <w:szCs w:val="20"/>
        </w:rPr>
        <w:t>: Foreign input reliance by sector</w:t>
      </w:r>
      <w:r w:rsidR="3B3838BF">
        <w:rPr>
          <w:noProof/>
          <w:sz w:val="20"/>
          <w:szCs w:val="20"/>
        </w:rPr>
        <w:t xml:space="preserve">, </w:t>
      </w:r>
      <w:r w:rsidR="536E470D" w:rsidRPr="00A1272E">
        <w:rPr>
          <w:rFonts w:eastAsia="Times New Roman"/>
          <w:noProof/>
          <w:sz w:val="20"/>
          <w:szCs w:val="20"/>
        </w:rPr>
        <w:t>JRC estimates based on Eurostat's FIGARO data</w:t>
      </w:r>
      <w:r w:rsidR="0039596D" w:rsidRPr="00A1272E">
        <w:rPr>
          <w:rFonts w:eastAsia="Times New Roman"/>
          <w:noProof/>
          <w:sz w:val="20"/>
          <w:szCs w:val="20"/>
          <w:vertAlign w:val="superscript"/>
        </w:rPr>
        <w:footnoteReference w:id="489"/>
      </w:r>
    </w:p>
    <w:p w14:paraId="2E4543F8" w14:textId="77777777" w:rsidR="001C4B9E" w:rsidRPr="00F261DB" w:rsidRDefault="001C4B9E" w:rsidP="0039596D">
      <w:pPr>
        <w:rPr>
          <w:rFonts w:eastAsia="Times New Roman"/>
          <w:noProof/>
        </w:rPr>
      </w:pPr>
    </w:p>
    <w:p w14:paraId="7E46AA27" w14:textId="77777777" w:rsidR="0042512C" w:rsidRPr="00F261DB" w:rsidRDefault="0042512C" w:rsidP="00BD0735">
      <w:pPr>
        <w:spacing w:after="120"/>
        <w:rPr>
          <w:rFonts w:eastAsia="Times New Roman"/>
          <w:noProof/>
        </w:rPr>
      </w:pPr>
      <w:r w:rsidRPr="00F261DB">
        <w:rPr>
          <w:rFonts w:eastAsia="Times New Roman"/>
          <w:noProof/>
        </w:rPr>
        <w:t xml:space="preserve">The increased dependence on non-EU manufactured inputs in the production of EVs may originate from two reasons: </w:t>
      </w:r>
    </w:p>
    <w:p w14:paraId="5EFC5FDA" w14:textId="3A1825DA" w:rsidR="00BD0735" w:rsidRDefault="00F0059C" w:rsidP="0042512C">
      <w:pPr>
        <w:pStyle w:val="ListParagraph"/>
        <w:numPr>
          <w:ilvl w:val="0"/>
          <w:numId w:val="118"/>
        </w:numPr>
        <w:spacing w:after="120"/>
        <w:rPr>
          <w:rFonts w:eastAsia="Times New Roman"/>
          <w:noProof/>
        </w:rPr>
      </w:pPr>
      <w:r>
        <w:rPr>
          <w:rFonts w:eastAsia="Times New Roman"/>
          <w:noProof/>
        </w:rPr>
        <w:t>A</w:t>
      </w:r>
      <w:r w:rsidR="0042512C" w:rsidRPr="00BD0735">
        <w:rPr>
          <w:rFonts w:eastAsia="Times New Roman"/>
          <w:noProof/>
        </w:rPr>
        <w:t xml:space="preserve"> technological shift as the production of EVs may depend, further than ICE vehicles, on industries or technologies where the EU has a comparative disadvantage; and </w:t>
      </w:r>
    </w:p>
    <w:p w14:paraId="43C3DF43" w14:textId="45C13E48" w:rsidR="00A35716" w:rsidRDefault="00F0059C" w:rsidP="0042512C">
      <w:pPr>
        <w:pStyle w:val="ListParagraph"/>
        <w:numPr>
          <w:ilvl w:val="0"/>
          <w:numId w:val="118"/>
        </w:numPr>
        <w:spacing w:after="120"/>
        <w:rPr>
          <w:rFonts w:eastAsia="Times New Roman"/>
          <w:noProof/>
        </w:rPr>
      </w:pPr>
      <w:r>
        <w:rPr>
          <w:rFonts w:eastAsia="Times New Roman"/>
          <w:noProof/>
        </w:rPr>
        <w:t>A</w:t>
      </w:r>
      <w:r w:rsidR="0042512C" w:rsidRPr="00BD0735">
        <w:rPr>
          <w:rFonts w:eastAsia="Times New Roman"/>
          <w:noProof/>
        </w:rPr>
        <w:t xml:space="preserve"> value chain shift as the production of EVs may have come with a shift of EU manufacturing value chain in favour of non-EU inputs. The JRC has shown through a counterfactual analysis of EU-manufactured EVs (where the EU content of the EV inputs would be the same as that of ICE inputs, except for batteries and electric components) that the primary reason for the reduction of EU content in the manufacturing of EVs inside the EU is due to a shift in the value chain in favour of vehicle components coming from outside of the EU. </w:t>
      </w:r>
    </w:p>
    <w:p w14:paraId="2248C95E" w14:textId="53E999F3" w:rsidR="0042512C" w:rsidRPr="00A35716" w:rsidRDefault="0042512C" w:rsidP="00A35716">
      <w:pPr>
        <w:spacing w:after="120"/>
        <w:rPr>
          <w:rFonts w:eastAsia="Times New Roman"/>
          <w:noProof/>
        </w:rPr>
      </w:pPr>
      <w:r w:rsidRPr="00A35716">
        <w:rPr>
          <w:rFonts w:eastAsia="Times New Roman"/>
          <w:noProof/>
        </w:rPr>
        <w:t>These findings highlight an outsourcing trend that affects the entire EV value chain, which goes far beyond battery and electric component production.</w:t>
      </w:r>
    </w:p>
    <w:p w14:paraId="3EE5D5EA" w14:textId="762E41C6" w:rsidR="0042512C" w:rsidRPr="00F261DB" w:rsidRDefault="0042512C" w:rsidP="00A35716">
      <w:pPr>
        <w:spacing w:after="120"/>
        <w:rPr>
          <w:rFonts w:eastAsia="Times New Roman" w:cs="Times New Roman"/>
          <w:noProof/>
          <w:szCs w:val="24"/>
        </w:rPr>
      </w:pPr>
      <w:r w:rsidRPr="00F261DB">
        <w:rPr>
          <w:rFonts w:eastAsia="Times New Roman"/>
          <w:noProof/>
        </w:rPr>
        <w:t xml:space="preserve">Over the past years, </w:t>
      </w:r>
      <w:r w:rsidRPr="00F261DB">
        <w:rPr>
          <w:rFonts w:eastAsia="Times New Roman" w:cs="Times New Roman"/>
          <w:noProof/>
          <w:szCs w:val="24"/>
        </w:rPr>
        <w:t>import of automotive parts from China increased by around EUR 4 billion, affecting all vehicle component sub-sectors, but some are much more impacted than others (it is in these sub-sectors that most of the restructuring underway since 2024 is concentrated): +300% for gearboxes, +270% for bumpers, +195% for tyres and transmissions and +60% for shock absorbers and airbags</w:t>
      </w:r>
      <w:r w:rsidRPr="00F261DB">
        <w:rPr>
          <w:rFonts w:eastAsia="Times New Roman" w:cs="Times New Roman"/>
          <w:b/>
          <w:noProof/>
          <w:szCs w:val="24"/>
        </w:rPr>
        <w:t xml:space="preserve">. </w:t>
      </w:r>
      <w:r w:rsidRPr="00F261DB">
        <w:rPr>
          <w:rFonts w:eastAsia="Times New Roman" w:cs="Times New Roman"/>
          <w:noProof/>
          <w:szCs w:val="24"/>
        </w:rPr>
        <w:t>Consequently</w:t>
      </w:r>
      <w:r w:rsidRPr="00F261DB">
        <w:rPr>
          <w:noProof/>
        </w:rPr>
        <w:t xml:space="preserve">, </w:t>
      </w:r>
      <w:r w:rsidRPr="00F261DB">
        <w:rPr>
          <w:rFonts w:eastAsia="Times New Roman" w:cs="Times New Roman"/>
          <w:noProof/>
          <w:szCs w:val="24"/>
        </w:rPr>
        <w:t xml:space="preserve">the trade balance for automotive components is deteriorating very rapidly: from a surplus of </w:t>
      </w:r>
      <w:r w:rsidR="000E465D">
        <w:rPr>
          <w:rFonts w:cs="Times New Roman"/>
          <w:noProof/>
          <w:color w:val="000000"/>
          <w:szCs w:val="24"/>
        </w:rPr>
        <w:t xml:space="preserve">EUR </w:t>
      </w:r>
      <w:r w:rsidRPr="00F261DB">
        <w:rPr>
          <w:rFonts w:eastAsia="Times New Roman" w:cs="Times New Roman"/>
          <w:noProof/>
          <w:szCs w:val="24"/>
        </w:rPr>
        <w:t xml:space="preserve">4.6 billion in 2019 to a deficit of around </w:t>
      </w:r>
      <w:r w:rsidR="000E465D">
        <w:rPr>
          <w:rFonts w:cs="Times New Roman"/>
          <w:noProof/>
          <w:color w:val="000000"/>
          <w:szCs w:val="24"/>
        </w:rPr>
        <w:t xml:space="preserve">EUR </w:t>
      </w:r>
      <w:r w:rsidRPr="00F261DB">
        <w:rPr>
          <w:rFonts w:eastAsia="Times New Roman" w:cs="Times New Roman"/>
          <w:noProof/>
          <w:szCs w:val="24"/>
        </w:rPr>
        <w:t xml:space="preserve">4.9 billion in 2025. All sub-sectors are now in deficit. </w:t>
      </w:r>
    </w:p>
    <w:p w14:paraId="124C524B" w14:textId="77777777" w:rsidR="0042512C" w:rsidRPr="00F261DB" w:rsidRDefault="0042512C" w:rsidP="00A35716">
      <w:pPr>
        <w:spacing w:after="120"/>
        <w:rPr>
          <w:rFonts w:eastAsia="Times New Roman"/>
          <w:noProof/>
        </w:rPr>
      </w:pPr>
      <w:r w:rsidRPr="00F261DB">
        <w:rPr>
          <w:rFonts w:eastAsia="Times New Roman"/>
          <w:noProof/>
        </w:rPr>
        <w:t xml:space="preserve">At the same time, weaker than expected demand for EVs has created overcapacities for EV components and led to a sharp reduction in investment, hampering the long-term industrial capacities, and Chinese export restrictions on rare earths have created huge supply chain risks, while </w:t>
      </w:r>
      <w:r w:rsidRPr="00F261DB">
        <w:rPr>
          <w:rFonts w:eastAsia="Times New Roman" w:cs="Times New Roman"/>
          <w:noProof/>
          <w:szCs w:val="24"/>
        </w:rPr>
        <w:t>there is an increasing trend of non-EU manufacturers opening assembly plants within the EU, where they produce vehicles with an initial EU content of less than 30%.</w:t>
      </w:r>
    </w:p>
    <w:p w14:paraId="265B4648" w14:textId="77777777" w:rsidR="00A35716" w:rsidRDefault="00DD6E06" w:rsidP="00A35716">
      <w:pPr>
        <w:spacing w:after="120"/>
        <w:rPr>
          <w:rFonts w:eastAsia="Times New Roman"/>
          <w:b/>
          <w:noProof/>
        </w:rPr>
      </w:pPr>
      <w:r w:rsidRPr="00FF63D1">
        <w:rPr>
          <w:rFonts w:eastAsia="Times New Roman"/>
          <w:b/>
          <w:noProof/>
        </w:rPr>
        <w:t>Key challenge</w:t>
      </w:r>
      <w:r w:rsidR="00A35716">
        <w:rPr>
          <w:rFonts w:eastAsia="Times New Roman"/>
          <w:b/>
          <w:noProof/>
        </w:rPr>
        <w:t>s</w:t>
      </w:r>
    </w:p>
    <w:p w14:paraId="186A3047" w14:textId="20EFB0B8" w:rsidR="0042512C" w:rsidRPr="00F261DB" w:rsidRDefault="0042512C" w:rsidP="00A35716">
      <w:pPr>
        <w:spacing w:after="120"/>
        <w:rPr>
          <w:noProof/>
        </w:rPr>
      </w:pPr>
      <w:r w:rsidRPr="00F261DB">
        <w:rPr>
          <w:rFonts w:eastAsia="Times New Roman"/>
          <w:noProof/>
        </w:rPr>
        <w:t>EU vehicle components manufacturers face increasing cost competitiveness challenges compared to low-cost locations in the European neighbourhood or in Asia and stagnating or decreasing sales volumes in the EU. In addition, due to the pressure to reduce prices, vehicle manufacturers increasingly import cheaper components from overseas suppliers. This increasing reliance on foreign components points towards significant risks to EU technology sovereignty and the urgent need for targeted policy intervention to safeguard the industry alongside decarbonisation efforts.</w:t>
      </w:r>
    </w:p>
    <w:p w14:paraId="4E8A02DA" w14:textId="77777777" w:rsidR="0042512C" w:rsidRPr="00A35716" w:rsidRDefault="0042512C" w:rsidP="00A35716">
      <w:pPr>
        <w:spacing w:after="120"/>
        <w:rPr>
          <w:rFonts w:eastAsia="Times New Roman"/>
          <w:b/>
          <w:noProof/>
        </w:rPr>
      </w:pPr>
      <w:r w:rsidRPr="00020C03">
        <w:rPr>
          <w:b/>
          <w:noProof/>
        </w:rPr>
        <w:t>Vehicle components: the example of tyres</w:t>
      </w:r>
    </w:p>
    <w:p w14:paraId="4A5E7498" w14:textId="2C6AEA7D" w:rsidR="0042512C" w:rsidRPr="00F261DB" w:rsidRDefault="0042512C" w:rsidP="00A35716">
      <w:pPr>
        <w:spacing w:after="120"/>
        <w:rPr>
          <w:rFonts w:eastAsia="Times New Roman"/>
          <w:noProof/>
        </w:rPr>
      </w:pPr>
      <w:r w:rsidRPr="00F261DB">
        <w:rPr>
          <w:rFonts w:eastAsia="Times New Roman"/>
          <w:noProof/>
        </w:rPr>
        <w:t>Tyres are a key automotive component, not only for vehicle control, safety and comfort, but also for (environmental) performance and efficiency. EU tyre production is recognised globally for its high standards of safety, performance, and technological advancements. As shown on</w:t>
      </w:r>
      <w:r w:rsidR="003C3FBE">
        <w:rPr>
          <w:rFonts w:eastAsia="Times New Roman"/>
          <w:noProof/>
        </w:rPr>
        <w:t xml:space="preserve"> </w:t>
      </w:r>
      <w:r w:rsidR="003C3FBE" w:rsidRPr="003C3FBE">
        <w:rPr>
          <w:rFonts w:eastAsia="Times New Roman"/>
          <w:noProof/>
          <w:szCs w:val="24"/>
        </w:rPr>
        <w:fldChar w:fldCharType="begin"/>
      </w:r>
      <w:r w:rsidR="003C3FBE" w:rsidRPr="003C3FBE">
        <w:rPr>
          <w:rFonts w:eastAsia="Times New Roman"/>
          <w:noProof/>
          <w:szCs w:val="24"/>
        </w:rPr>
        <w:instrText xml:space="preserve"> REF _Ref212727267 \h  \* MERGEFORMAT </w:instrText>
      </w:r>
      <w:r w:rsidR="003C3FBE" w:rsidRPr="003C3FBE">
        <w:rPr>
          <w:rFonts w:eastAsia="Times New Roman"/>
          <w:noProof/>
          <w:szCs w:val="24"/>
        </w:rPr>
      </w:r>
      <w:r w:rsidR="003C3FBE" w:rsidRPr="003C3FBE">
        <w:rPr>
          <w:rFonts w:eastAsia="Times New Roman"/>
          <w:noProof/>
          <w:szCs w:val="24"/>
        </w:rPr>
        <w:fldChar w:fldCharType="separate"/>
      </w:r>
      <w:r w:rsidR="00E16D65" w:rsidRPr="00E16D65">
        <w:rPr>
          <w:noProof/>
          <w:szCs w:val="24"/>
        </w:rPr>
        <w:t>Figure 19</w:t>
      </w:r>
      <w:r w:rsidR="003C3FBE" w:rsidRPr="003C3FBE">
        <w:rPr>
          <w:rFonts w:eastAsia="Times New Roman"/>
          <w:noProof/>
          <w:szCs w:val="24"/>
        </w:rPr>
        <w:fldChar w:fldCharType="end"/>
      </w:r>
      <w:r w:rsidRPr="00F261DB">
        <w:rPr>
          <w:rFonts w:eastAsia="Times New Roman"/>
          <w:noProof/>
        </w:rPr>
        <w:t xml:space="preserve"> (left hand side), which displays trade data as a percentage of production sold (in value), the EU's share of tyre imports from outside the EU is larger than its exports, and the gap between these two figures has been increasing over time. Imports from outside the EU rose significantly from EUR 881 million in 2010 to EUR 1.360 million in 2024, while the dependence on Chinese tyres notably increased from 29% in 2010 to 58% in 2024 (</w:t>
      </w:r>
      <w:r w:rsidR="003C3FBE" w:rsidRPr="003C3FBE">
        <w:rPr>
          <w:rFonts w:eastAsia="Times New Roman"/>
          <w:noProof/>
          <w:szCs w:val="24"/>
        </w:rPr>
        <w:fldChar w:fldCharType="begin"/>
      </w:r>
      <w:r w:rsidR="003C3FBE" w:rsidRPr="003C3FBE">
        <w:rPr>
          <w:rFonts w:eastAsia="Times New Roman"/>
          <w:noProof/>
          <w:szCs w:val="24"/>
        </w:rPr>
        <w:instrText xml:space="preserve"> REF _Ref212727267 \h </w:instrText>
      </w:r>
      <w:r w:rsidR="003C3FBE">
        <w:rPr>
          <w:rFonts w:eastAsia="Times New Roman"/>
          <w:noProof/>
          <w:szCs w:val="24"/>
        </w:rPr>
        <w:instrText xml:space="preserve"> \* MERGEFORMAT </w:instrText>
      </w:r>
      <w:r w:rsidR="003C3FBE" w:rsidRPr="003C3FBE">
        <w:rPr>
          <w:rFonts w:eastAsia="Times New Roman"/>
          <w:noProof/>
          <w:szCs w:val="24"/>
        </w:rPr>
      </w:r>
      <w:r w:rsidR="003C3FBE" w:rsidRPr="003C3FBE">
        <w:rPr>
          <w:rFonts w:eastAsia="Times New Roman"/>
          <w:noProof/>
          <w:szCs w:val="24"/>
        </w:rPr>
        <w:fldChar w:fldCharType="separate"/>
      </w:r>
      <w:r w:rsidR="00E16D65" w:rsidRPr="00E16D65">
        <w:rPr>
          <w:noProof/>
          <w:szCs w:val="24"/>
        </w:rPr>
        <w:t>Figure 19</w:t>
      </w:r>
      <w:r w:rsidR="003C3FBE" w:rsidRPr="003C3FBE">
        <w:rPr>
          <w:rFonts w:eastAsia="Times New Roman"/>
          <w:noProof/>
          <w:szCs w:val="24"/>
        </w:rPr>
        <w:fldChar w:fldCharType="end"/>
      </w:r>
      <w:r w:rsidRPr="00F261DB">
        <w:rPr>
          <w:rFonts w:eastAsia="Times New Roman"/>
          <w:noProof/>
        </w:rPr>
        <w:t>, right hand side).</w:t>
      </w:r>
    </w:p>
    <w:p w14:paraId="6C51E684" w14:textId="77777777" w:rsidR="004E41DA" w:rsidRDefault="0042512C" w:rsidP="004E41DA">
      <w:pPr>
        <w:keepNext/>
        <w:jc w:val="center"/>
        <w:rPr>
          <w:noProof/>
        </w:rPr>
      </w:pPr>
      <w:r w:rsidRPr="00E9618C">
        <w:rPr>
          <w:noProof/>
          <w:lang w:eastAsia="en-GB"/>
        </w:rPr>
        <w:drawing>
          <wp:inline distT="0" distB="0" distL="0" distR="0" wp14:anchorId="0C8C86C1" wp14:editId="5D33DE57">
            <wp:extent cx="4484375" cy="1406769"/>
            <wp:effectExtent l="0" t="0" r="0" b="3175"/>
            <wp:docPr id="244326034" name="drawing" descr="A graph and a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26034" name="drawing" descr="A graph and a pie chart&#10;&#10;AI-generated content may be incorrect."/>
                    <pic:cNvPicPr/>
                  </pic:nvPicPr>
                  <pic:blipFill>
                    <a:blip r:embed="rId88">
                      <a:extLst>
                        <a:ext uri="{28A0092B-C50C-407E-A947-70E740481C1C}">
                          <a14:useLocalDpi xmlns:a14="http://schemas.microsoft.com/office/drawing/2010/main" val="0"/>
                        </a:ext>
                      </a:extLst>
                    </a:blip>
                    <a:stretch>
                      <a:fillRect/>
                    </a:stretch>
                  </pic:blipFill>
                  <pic:spPr>
                    <a:xfrm>
                      <a:off x="0" y="0"/>
                      <a:ext cx="4493446" cy="1409614"/>
                    </a:xfrm>
                    <a:prstGeom prst="rect">
                      <a:avLst/>
                    </a:prstGeom>
                  </pic:spPr>
                </pic:pic>
              </a:graphicData>
            </a:graphic>
          </wp:inline>
        </w:drawing>
      </w:r>
    </w:p>
    <w:p w14:paraId="62392D32" w14:textId="0151598C" w:rsidR="00391528" w:rsidRPr="00020C03" w:rsidRDefault="2797A332" w:rsidP="00020C03">
      <w:pPr>
        <w:pStyle w:val="Caption"/>
        <w:jc w:val="center"/>
        <w:rPr>
          <w:noProof/>
          <w:sz w:val="20"/>
          <w:szCs w:val="20"/>
          <w:vertAlign w:val="superscript"/>
        </w:rPr>
      </w:pPr>
      <w:bookmarkStart w:id="621" w:name="_Ref212727267"/>
      <w:r w:rsidRPr="002C4F66">
        <w:rPr>
          <w:noProof/>
          <w:sz w:val="20"/>
          <w:szCs w:val="20"/>
        </w:rPr>
        <w:t xml:space="preserve">Figure </w:t>
      </w:r>
      <w:r w:rsidR="004E41DA" w:rsidRPr="002C4F66">
        <w:rPr>
          <w:noProof/>
          <w:sz w:val="20"/>
          <w:szCs w:val="20"/>
        </w:rPr>
        <w:fldChar w:fldCharType="begin"/>
      </w:r>
      <w:r w:rsidR="004E41DA" w:rsidRPr="002C4F66">
        <w:rPr>
          <w:noProof/>
          <w:sz w:val="20"/>
          <w:szCs w:val="20"/>
        </w:rPr>
        <w:instrText xml:space="preserve"> SEQ Figure \* ARABIC </w:instrText>
      </w:r>
      <w:r w:rsidR="004E41DA" w:rsidRPr="002C4F66">
        <w:rPr>
          <w:noProof/>
          <w:sz w:val="20"/>
          <w:szCs w:val="20"/>
        </w:rPr>
        <w:fldChar w:fldCharType="separate"/>
      </w:r>
      <w:r w:rsidR="07FDC849">
        <w:rPr>
          <w:noProof/>
          <w:sz w:val="20"/>
          <w:szCs w:val="20"/>
        </w:rPr>
        <w:t>19</w:t>
      </w:r>
      <w:r w:rsidR="004E41DA" w:rsidRPr="002C4F66">
        <w:rPr>
          <w:noProof/>
          <w:sz w:val="20"/>
          <w:szCs w:val="20"/>
        </w:rPr>
        <w:fldChar w:fldCharType="end"/>
      </w:r>
      <w:bookmarkEnd w:id="621"/>
      <w:r w:rsidR="27B24989">
        <w:rPr>
          <w:noProof/>
          <w:sz w:val="20"/>
          <w:szCs w:val="20"/>
        </w:rPr>
        <w:t>:</w:t>
      </w:r>
      <w:r w:rsidR="57AFD646" w:rsidRPr="004E41DA">
        <w:rPr>
          <w:noProof/>
          <w:sz w:val="20"/>
          <w:szCs w:val="20"/>
        </w:rPr>
        <w:t xml:space="preserve"> Tyres trade relative to production sold (left) and extra-EU imports composition in 2010 and 2024 (right)</w:t>
      </w:r>
      <w:r w:rsidRPr="004E41DA">
        <w:rPr>
          <w:noProof/>
          <w:sz w:val="20"/>
          <w:szCs w:val="20"/>
        </w:rPr>
        <w:t>,</w:t>
      </w:r>
      <w:r w:rsidRPr="00020C03">
        <w:rPr>
          <w:noProof/>
          <w:sz w:val="20"/>
          <w:szCs w:val="20"/>
        </w:rPr>
        <w:t xml:space="preserve"> </w:t>
      </w:r>
      <w:r w:rsidR="57AFD646" w:rsidRPr="00020C03">
        <w:rPr>
          <w:noProof/>
          <w:sz w:val="20"/>
          <w:szCs w:val="20"/>
        </w:rPr>
        <w:t>JRC estimates based on PRODCOM</w:t>
      </w:r>
      <w:r w:rsidR="00391528" w:rsidRPr="004E41DA">
        <w:rPr>
          <w:noProof/>
          <w:sz w:val="20"/>
          <w:szCs w:val="20"/>
        </w:rPr>
        <w:footnoteReference w:id="490"/>
      </w:r>
      <w:r w:rsidR="57AFD646" w:rsidRPr="00020C03">
        <w:rPr>
          <w:noProof/>
          <w:sz w:val="20"/>
          <w:szCs w:val="20"/>
        </w:rPr>
        <w:t xml:space="preserve"> and (left) and COMEXT</w:t>
      </w:r>
      <w:r w:rsidR="00391528" w:rsidRPr="004E41DA">
        <w:rPr>
          <w:noProof/>
          <w:sz w:val="20"/>
          <w:szCs w:val="20"/>
          <w:vertAlign w:val="superscript"/>
        </w:rPr>
        <w:footnoteReference w:id="491"/>
      </w:r>
      <w:r w:rsidR="57AFD646" w:rsidRPr="00020C03">
        <w:rPr>
          <w:noProof/>
          <w:sz w:val="20"/>
          <w:szCs w:val="20"/>
        </w:rPr>
        <w:t xml:space="preserve"> (right) data</w:t>
      </w:r>
    </w:p>
    <w:p w14:paraId="4687C682" w14:textId="77777777" w:rsidR="00391528" w:rsidRPr="00F261DB" w:rsidRDefault="00391528" w:rsidP="00391528">
      <w:pPr>
        <w:rPr>
          <w:rFonts w:eastAsia="Times New Roman"/>
          <w:noProof/>
        </w:rPr>
      </w:pPr>
    </w:p>
    <w:p w14:paraId="61D73FEB" w14:textId="26EA7531" w:rsidR="00391528" w:rsidRPr="00F261DB" w:rsidRDefault="00391528" w:rsidP="00A35716">
      <w:pPr>
        <w:spacing w:after="120"/>
        <w:rPr>
          <w:rFonts w:eastAsia="Times New Roman"/>
          <w:noProof/>
        </w:rPr>
      </w:pPr>
      <w:r w:rsidRPr="00F261DB">
        <w:rPr>
          <w:rFonts w:eastAsia="Times New Roman"/>
          <w:noProof/>
        </w:rPr>
        <w:t xml:space="preserve">The rise in imports compared to the production sold can be attributed to price differences between domestic production and international trade. The increasing production price differential indicates that the cost of production in the EU has risen more quickly than the cost of imports </w:t>
      </w:r>
      <w:r w:rsidR="0042512C" w:rsidRPr="003C3FBE">
        <w:rPr>
          <w:rFonts w:eastAsia="Times New Roman"/>
          <w:noProof/>
          <w:szCs w:val="24"/>
        </w:rPr>
        <w:t>(</w:t>
      </w:r>
      <w:r w:rsidR="0042512C" w:rsidRPr="003C3FBE">
        <w:rPr>
          <w:rFonts w:eastAsia="Times New Roman"/>
          <w:noProof/>
          <w:szCs w:val="24"/>
        </w:rPr>
        <w:fldChar w:fldCharType="begin"/>
      </w:r>
      <w:r w:rsidR="0042512C" w:rsidRPr="003C3FBE">
        <w:rPr>
          <w:rFonts w:eastAsia="Times New Roman"/>
          <w:noProof/>
          <w:szCs w:val="24"/>
        </w:rPr>
        <w:instrText xml:space="preserve"> REF _Ref210756313 \h  \* MERGEFORMAT </w:instrText>
      </w:r>
      <w:r w:rsidR="0042512C" w:rsidRPr="003C3FBE">
        <w:rPr>
          <w:rFonts w:eastAsia="Times New Roman"/>
          <w:noProof/>
          <w:szCs w:val="24"/>
        </w:rPr>
      </w:r>
      <w:r w:rsidR="0042512C" w:rsidRPr="003C3FBE">
        <w:rPr>
          <w:rFonts w:eastAsia="Times New Roman"/>
          <w:noProof/>
          <w:szCs w:val="24"/>
        </w:rPr>
        <w:fldChar w:fldCharType="separate"/>
      </w:r>
      <w:r w:rsidR="00E16D65" w:rsidRPr="00E16D65">
        <w:rPr>
          <w:noProof/>
          <w:szCs w:val="24"/>
        </w:rPr>
        <w:t xml:space="preserve">Figure </w:t>
      </w:r>
      <w:r w:rsidR="00E16D65" w:rsidRPr="00E16D65">
        <w:rPr>
          <w:noProof/>
          <w:szCs w:val="24"/>
          <w:lang w:val="en-IE"/>
        </w:rPr>
        <w:t>20</w:t>
      </w:r>
      <w:r w:rsidR="0042512C" w:rsidRPr="003C3FBE">
        <w:rPr>
          <w:rFonts w:eastAsia="Times New Roman"/>
          <w:noProof/>
          <w:szCs w:val="24"/>
        </w:rPr>
        <w:fldChar w:fldCharType="end"/>
      </w:r>
      <w:r w:rsidR="0042512C" w:rsidRPr="003C3FBE">
        <w:rPr>
          <w:rFonts w:eastAsia="Times New Roman"/>
          <w:noProof/>
          <w:szCs w:val="24"/>
        </w:rPr>
        <w:t>).</w:t>
      </w:r>
      <w:r w:rsidRPr="00F261DB">
        <w:rPr>
          <w:rFonts w:eastAsia="Times New Roman"/>
          <w:noProof/>
        </w:rPr>
        <w:t xml:space="preserve"> This trend has resulted in the EU losing its competitive edge. Similarly, while the cost of exports has increased at a faster rate than the cost of imports, the price difference is even more significant. These data suggest that tyres produced in the EU are more expensive than those from foreign manufacturers (in the range of 20-50% in the last decade).</w:t>
      </w:r>
    </w:p>
    <w:p w14:paraId="19BBFA48" w14:textId="77777777" w:rsidR="00391528" w:rsidRPr="00F261DB" w:rsidRDefault="00391528" w:rsidP="00391528">
      <w:pPr>
        <w:rPr>
          <w:rFonts w:eastAsia="Times New Roman"/>
          <w:noProof/>
        </w:rPr>
      </w:pPr>
    </w:p>
    <w:p w14:paraId="376FAC67" w14:textId="77777777" w:rsidR="00391528" w:rsidRPr="00F261DB" w:rsidRDefault="0042512C" w:rsidP="00391528">
      <w:pPr>
        <w:keepNext/>
        <w:jc w:val="center"/>
        <w:rPr>
          <w:noProof/>
        </w:rPr>
      </w:pPr>
      <w:r w:rsidRPr="00E9618C">
        <w:rPr>
          <w:noProof/>
          <w:lang w:eastAsia="en-GB"/>
        </w:rPr>
        <w:drawing>
          <wp:inline distT="0" distB="0" distL="0" distR="0" wp14:anchorId="3CFF4A6C" wp14:editId="42795154">
            <wp:extent cx="2780214" cy="1667021"/>
            <wp:effectExtent l="0" t="0" r="1270" b="9525"/>
            <wp:docPr id="568799648" name="drawing" descr="A graph of growth of the y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778276" name="drawing" descr="A graph of growth of the year&#10;&#10;AI-generated content may be incorrect."/>
                    <pic:cNvPicPr/>
                  </pic:nvPicPr>
                  <pic:blipFill>
                    <a:blip r:embed="rId89">
                      <a:extLst>
                        <a:ext uri="{28A0092B-C50C-407E-A947-70E740481C1C}">
                          <a14:useLocalDpi xmlns:a14="http://schemas.microsoft.com/office/drawing/2010/main" val="0"/>
                        </a:ext>
                      </a:extLst>
                    </a:blip>
                    <a:stretch>
                      <a:fillRect/>
                    </a:stretch>
                  </pic:blipFill>
                  <pic:spPr>
                    <a:xfrm>
                      <a:off x="0" y="0"/>
                      <a:ext cx="2781974" cy="1668076"/>
                    </a:xfrm>
                    <a:prstGeom prst="rect">
                      <a:avLst/>
                    </a:prstGeom>
                  </pic:spPr>
                </pic:pic>
              </a:graphicData>
            </a:graphic>
          </wp:inline>
        </w:drawing>
      </w:r>
    </w:p>
    <w:p w14:paraId="7286D255" w14:textId="4DD1FBEF" w:rsidR="00391528" w:rsidRPr="00F261DB" w:rsidRDefault="00391528" w:rsidP="00020C03">
      <w:pPr>
        <w:pStyle w:val="Caption"/>
        <w:jc w:val="center"/>
        <w:rPr>
          <w:noProof/>
        </w:rPr>
      </w:pPr>
      <w:bookmarkStart w:id="622" w:name="_Ref210756313"/>
      <w:r w:rsidRPr="005754F4">
        <w:rPr>
          <w:noProof/>
          <w:sz w:val="20"/>
          <w:szCs w:val="20"/>
        </w:rPr>
        <w:t xml:space="preserve">Figure </w:t>
      </w:r>
      <w:r w:rsidRPr="005754F4">
        <w:rPr>
          <w:noProof/>
          <w:sz w:val="20"/>
          <w:szCs w:val="20"/>
        </w:rPr>
        <w:fldChar w:fldCharType="begin"/>
      </w:r>
      <w:r w:rsidRPr="005754F4">
        <w:rPr>
          <w:noProof/>
          <w:sz w:val="20"/>
          <w:szCs w:val="20"/>
          <w:lang w:val="en-IE"/>
        </w:rPr>
        <w:instrText xml:space="preserve"> SEQ Figure \* ARABIC </w:instrText>
      </w:r>
      <w:r w:rsidRPr="005754F4">
        <w:rPr>
          <w:noProof/>
          <w:sz w:val="20"/>
          <w:szCs w:val="20"/>
        </w:rPr>
        <w:fldChar w:fldCharType="separate"/>
      </w:r>
      <w:r w:rsidR="00E16D65">
        <w:rPr>
          <w:noProof/>
          <w:sz w:val="20"/>
          <w:szCs w:val="20"/>
          <w:lang w:val="en-IE"/>
        </w:rPr>
        <w:t>20</w:t>
      </w:r>
      <w:r w:rsidRPr="005754F4">
        <w:rPr>
          <w:noProof/>
          <w:sz w:val="20"/>
          <w:szCs w:val="20"/>
        </w:rPr>
        <w:fldChar w:fldCharType="end"/>
      </w:r>
      <w:bookmarkEnd w:id="622"/>
      <w:r w:rsidRPr="005754F4">
        <w:rPr>
          <w:noProof/>
          <w:sz w:val="20"/>
          <w:szCs w:val="20"/>
        </w:rPr>
        <w:t>: Tyres</w:t>
      </w:r>
      <w:r w:rsidRPr="00F261DB">
        <w:rPr>
          <w:noProof/>
          <w:sz w:val="20"/>
          <w:szCs w:val="20"/>
        </w:rPr>
        <w:t xml:space="preserve"> </w:t>
      </w:r>
      <w:r w:rsidRPr="00B11B30">
        <w:rPr>
          <w:noProof/>
          <w:sz w:val="20"/>
          <w:szCs w:val="20"/>
        </w:rPr>
        <w:t>EU price differentials relative to import</w:t>
      </w:r>
      <w:r w:rsidR="00B11B30" w:rsidRPr="00B11B30">
        <w:rPr>
          <w:noProof/>
          <w:sz w:val="20"/>
          <w:szCs w:val="20"/>
        </w:rPr>
        <w:t xml:space="preserve">s, </w:t>
      </w:r>
      <w:r w:rsidRPr="00020C03">
        <w:rPr>
          <w:noProof/>
          <w:sz w:val="20"/>
          <w:szCs w:val="20"/>
        </w:rPr>
        <w:t>JRC estimates based on PRODCOM data</w:t>
      </w:r>
    </w:p>
    <w:p w14:paraId="18089EA0" w14:textId="6D377247" w:rsidR="00020031" w:rsidRPr="00A35716" w:rsidRDefault="00020031" w:rsidP="00A35716">
      <w:pPr>
        <w:pStyle w:val="ListParagraph"/>
        <w:keepNext/>
        <w:keepLines/>
        <w:numPr>
          <w:ilvl w:val="0"/>
          <w:numId w:val="165"/>
        </w:numPr>
        <w:spacing w:before="360" w:after="80"/>
        <w:outlineLvl w:val="0"/>
        <w:rPr>
          <w:rFonts w:eastAsia="Yu Gothic Light"/>
          <w:b/>
          <w:noProof/>
        </w:rPr>
      </w:pPr>
      <w:bookmarkStart w:id="623" w:name="_Toc212728863"/>
      <w:bookmarkStart w:id="624" w:name="_Toc212729137"/>
      <w:bookmarkStart w:id="625" w:name="_Toc212729389"/>
      <w:bookmarkStart w:id="626" w:name="_Toc215506333"/>
      <w:bookmarkStart w:id="627" w:name="_Toc222159384"/>
      <w:bookmarkStart w:id="628" w:name="_Toc222489552"/>
      <w:bookmarkStart w:id="629" w:name="_Toc222490041"/>
      <w:r w:rsidRPr="00A35716">
        <w:rPr>
          <w:rFonts w:eastAsia="Yu Gothic Light"/>
          <w:b/>
          <w:noProof/>
        </w:rPr>
        <w:t>Clean energy technologies</w:t>
      </w:r>
      <w:bookmarkEnd w:id="603"/>
      <w:bookmarkEnd w:id="623"/>
      <w:bookmarkEnd w:id="624"/>
      <w:bookmarkEnd w:id="625"/>
      <w:bookmarkEnd w:id="626"/>
      <w:bookmarkEnd w:id="627"/>
      <w:bookmarkEnd w:id="628"/>
      <w:bookmarkEnd w:id="629"/>
    </w:p>
    <w:p w14:paraId="22F86380" w14:textId="04AADBD3" w:rsidR="00D23DFD" w:rsidRPr="00F261DB" w:rsidRDefault="404A2814" w:rsidP="00A35716">
      <w:pPr>
        <w:spacing w:after="120"/>
        <w:rPr>
          <w:rFonts w:eastAsia="Times New Roman"/>
          <w:noProof/>
          <w:color w:val="000000" w:themeColor="text1"/>
          <w:vertAlign w:val="superscript"/>
        </w:rPr>
      </w:pPr>
      <w:r w:rsidRPr="00F261DB">
        <w:rPr>
          <w:rFonts w:eastAsia="Times New Roman"/>
          <w:noProof/>
        </w:rPr>
        <w:t xml:space="preserve">According to the IEA, </w:t>
      </w:r>
      <w:r w:rsidR="721CB4DB" w:rsidRPr="00F261DB">
        <w:rPr>
          <w:rFonts w:eastAsia="Times New Roman"/>
          <w:noProof/>
        </w:rPr>
        <w:t xml:space="preserve">the global market for </w:t>
      </w:r>
      <w:r w:rsidR="4C5EB5C8" w:rsidRPr="00F261DB">
        <w:rPr>
          <w:rFonts w:eastAsia="Times New Roman"/>
          <w:noProof/>
        </w:rPr>
        <w:t>key</w:t>
      </w:r>
      <w:r w:rsidRPr="00F261DB">
        <w:rPr>
          <w:rFonts w:eastAsia="Times New Roman"/>
          <w:noProof/>
        </w:rPr>
        <w:t xml:space="preserve"> clean energy technologies like solar PV, batteries, as well as wind and electrolyser, are projected to triple in the next decade.</w:t>
      </w:r>
      <w:r w:rsidR="00020031" w:rsidRPr="3F0F1197">
        <w:rPr>
          <w:rFonts w:eastAsia="Times New Roman"/>
          <w:noProof/>
          <w:sz w:val="22"/>
          <w:vertAlign w:val="superscript"/>
        </w:rPr>
        <w:footnoteReference w:id="492"/>
      </w:r>
      <w:r w:rsidRPr="00F261DB" w:rsidDel="075EC832">
        <w:rPr>
          <w:rFonts w:eastAsia="Times New Roman"/>
          <w:noProof/>
        </w:rPr>
        <w:t xml:space="preserve"> </w:t>
      </w:r>
      <w:r w:rsidRPr="00F261DB">
        <w:rPr>
          <w:rFonts w:eastAsia="Times New Roman"/>
          <w:noProof/>
        </w:rPr>
        <w:t xml:space="preserve">While these technology all face similar competitiveness challenges, </w:t>
      </w:r>
      <w:r w:rsidRPr="00F261DB">
        <w:rPr>
          <w:rFonts w:eastAsia="Times New Roman"/>
          <w:noProof/>
          <w:color w:val="000000" w:themeColor="text1"/>
        </w:rPr>
        <w:t xml:space="preserve">this assessment is focuses on </w:t>
      </w:r>
      <w:r w:rsidRPr="00F261DB">
        <w:rPr>
          <w:rFonts w:eastAsia="Times New Roman"/>
          <w:noProof/>
        </w:rPr>
        <w:t xml:space="preserve">solar PV and batteries because </w:t>
      </w:r>
      <w:r w:rsidRPr="00F261DB">
        <w:rPr>
          <w:rFonts w:eastAsia="Times New Roman"/>
          <w:noProof/>
          <w:color w:val="000000" w:themeColor="text1"/>
        </w:rPr>
        <w:t xml:space="preserve">the combination of high global overcapacities, being commoditised products, and high dependencies of the EU’s consumption on one single sources of supply is </w:t>
      </w:r>
      <w:r w:rsidRPr="1A2A8689">
        <w:rPr>
          <w:rFonts w:eastAsia="Times New Roman"/>
          <w:b/>
          <w:bCs/>
          <w:noProof/>
          <w:color w:val="000000" w:themeColor="text1"/>
        </w:rPr>
        <w:t>unique to these technologies.</w:t>
      </w:r>
      <w:r w:rsidRPr="00F261DB">
        <w:rPr>
          <w:rFonts w:eastAsia="Times New Roman"/>
          <w:noProof/>
          <w:color w:val="000000" w:themeColor="text1"/>
        </w:rPr>
        <w:t xml:space="preserve"> This level of concentration poses significant risks to the secure supply of PV modules and has widened the price gap between EU and Chinese producers. </w:t>
      </w:r>
      <w:r w:rsidR="00020031" w:rsidRPr="00FF63D1">
        <w:rPr>
          <w:rFonts w:eastAsia="Times New Roman"/>
          <w:noProof/>
          <w:color w:val="000000" w:themeColor="text1"/>
          <w:vertAlign w:val="superscript"/>
        </w:rPr>
        <w:footnoteReference w:id="493"/>
      </w:r>
    </w:p>
    <w:p w14:paraId="09D0671E" w14:textId="363F4FD1" w:rsidR="00020031" w:rsidRPr="00020C03" w:rsidRDefault="00020031" w:rsidP="00E71388">
      <w:pPr>
        <w:pStyle w:val="ListParagraph"/>
        <w:keepNext/>
        <w:keepLines/>
        <w:numPr>
          <w:ilvl w:val="1"/>
          <w:numId w:val="165"/>
        </w:numPr>
        <w:spacing w:before="360" w:after="80"/>
        <w:outlineLvl w:val="0"/>
        <w:rPr>
          <w:b/>
          <w:noProof/>
        </w:rPr>
      </w:pPr>
      <w:bookmarkStart w:id="631" w:name="_Toc212728864"/>
      <w:bookmarkStart w:id="632" w:name="_Toc212729138"/>
      <w:bookmarkStart w:id="633" w:name="_Toc212729390"/>
      <w:bookmarkStart w:id="634" w:name="_Toc215506334"/>
      <w:bookmarkStart w:id="635" w:name="_Toc222159385"/>
      <w:bookmarkStart w:id="636" w:name="_Toc222489553"/>
      <w:bookmarkStart w:id="637" w:name="_Toc222490042"/>
      <w:r w:rsidRPr="00020C03">
        <w:rPr>
          <w:b/>
          <w:noProof/>
        </w:rPr>
        <w:t>Batteries</w:t>
      </w:r>
      <w:bookmarkEnd w:id="631"/>
      <w:bookmarkEnd w:id="632"/>
      <w:bookmarkEnd w:id="633"/>
      <w:bookmarkEnd w:id="634"/>
      <w:bookmarkEnd w:id="635"/>
      <w:bookmarkEnd w:id="636"/>
      <w:bookmarkEnd w:id="637"/>
    </w:p>
    <w:p w14:paraId="5E8BE111" w14:textId="77777777" w:rsidR="00F805F3" w:rsidRPr="00F805F3" w:rsidRDefault="545C8C3C" w:rsidP="00F805F3">
      <w:pPr>
        <w:spacing w:after="120"/>
        <w:rPr>
          <w:b/>
          <w:noProof/>
        </w:rPr>
      </w:pPr>
      <w:r w:rsidRPr="00F261DB">
        <w:rPr>
          <w:rFonts w:eastAsia="Times New Roman"/>
          <w:b/>
          <w:noProof/>
        </w:rPr>
        <w:t>Key facts</w:t>
      </w:r>
    </w:p>
    <w:p w14:paraId="6680C868" w14:textId="5C5F7C6C" w:rsidR="00020031" w:rsidRPr="00F261DB" w:rsidRDefault="404A2814" w:rsidP="00F805F3">
      <w:pPr>
        <w:spacing w:after="120"/>
        <w:rPr>
          <w:rFonts w:eastAsia="Times New Roman"/>
          <w:noProof/>
        </w:rPr>
      </w:pPr>
      <w:r w:rsidRPr="00F261DB">
        <w:rPr>
          <w:rFonts w:eastAsia="Times New Roman"/>
          <w:noProof/>
        </w:rPr>
        <w:t>In 202</w:t>
      </w:r>
      <w:r w:rsidR="3E1AEE09" w:rsidRPr="00FF63D1">
        <w:rPr>
          <w:rFonts w:eastAsia="Times New Roman"/>
          <w:noProof/>
        </w:rPr>
        <w:t>4</w:t>
      </w:r>
      <w:r w:rsidRPr="00F261DB">
        <w:rPr>
          <w:rFonts w:eastAsia="Times New Roman"/>
          <w:noProof/>
        </w:rPr>
        <w:t xml:space="preserve">, the </w:t>
      </w:r>
      <w:r w:rsidR="7CBD00FE">
        <w:rPr>
          <w:rFonts w:eastAsia="Times New Roman"/>
          <w:noProof/>
        </w:rPr>
        <w:t>EU</w:t>
      </w:r>
      <w:r w:rsidRPr="00F261DB">
        <w:rPr>
          <w:rFonts w:eastAsia="Times New Roman"/>
          <w:noProof/>
        </w:rPr>
        <w:t xml:space="preserve"> imported approximately EUR 2</w:t>
      </w:r>
      <w:r w:rsidR="2505D6F9" w:rsidRPr="00FF63D1">
        <w:rPr>
          <w:rFonts w:eastAsia="Times New Roman"/>
          <w:noProof/>
        </w:rPr>
        <w:t>8</w:t>
      </w:r>
      <w:r w:rsidRPr="00F261DB">
        <w:rPr>
          <w:rFonts w:eastAsia="Times New Roman"/>
          <w:noProof/>
        </w:rPr>
        <w:t xml:space="preserve"> billion worth of batteries, with </w:t>
      </w:r>
      <w:r w:rsidR="7EEFDD01" w:rsidRPr="00FF63D1">
        <w:rPr>
          <w:rFonts w:eastAsia="Times New Roman"/>
          <w:noProof/>
        </w:rPr>
        <w:t>79</w:t>
      </w:r>
      <w:r w:rsidRPr="00F261DB">
        <w:rPr>
          <w:rFonts w:eastAsia="Times New Roman"/>
          <w:noProof/>
        </w:rPr>
        <w:t xml:space="preserve">% coming from China and </w:t>
      </w:r>
      <w:r w:rsidR="47FC6088" w:rsidRPr="00FF63D1">
        <w:rPr>
          <w:rFonts w:eastAsia="Times New Roman"/>
          <w:noProof/>
        </w:rPr>
        <w:t xml:space="preserve">5% from South Korea as the second </w:t>
      </w:r>
      <w:r w:rsidR="1076AFAE" w:rsidRPr="00FF63D1">
        <w:rPr>
          <w:rFonts w:eastAsia="Times New Roman"/>
          <w:noProof/>
        </w:rPr>
        <w:t>biggest battery exporter</w:t>
      </w:r>
      <w:r w:rsidRPr="00F261DB">
        <w:rPr>
          <w:rFonts w:eastAsia="Times New Roman"/>
          <w:noProof/>
        </w:rPr>
        <w:t>.</w:t>
      </w:r>
      <w:r w:rsidR="00020031" w:rsidRPr="00FF63D1">
        <w:rPr>
          <w:rStyle w:val="FootnoteReference"/>
          <w:rFonts w:eastAsia="Times New Roman"/>
          <w:noProof/>
        </w:rPr>
        <w:footnoteReference w:id="494"/>
      </w:r>
      <w:r w:rsidRPr="00F261DB">
        <w:rPr>
          <w:rFonts w:eastAsia="Times New Roman"/>
          <w:noProof/>
        </w:rPr>
        <w:t xml:space="preserve"> The value of European battery production was EUR 24 billion.</w:t>
      </w:r>
      <w:r w:rsidR="00020031" w:rsidRPr="00FF63D1">
        <w:rPr>
          <w:rStyle w:val="FootnoteReference"/>
          <w:rFonts w:eastAsia="Times New Roman"/>
          <w:noProof/>
        </w:rPr>
        <w:footnoteReference w:id="495"/>
      </w:r>
      <w:r w:rsidRPr="00F261DB">
        <w:rPr>
          <w:rFonts w:eastAsia="Times New Roman"/>
          <w:noProof/>
        </w:rPr>
        <w:t xml:space="preserve"> </w:t>
      </w:r>
      <w:r w:rsidR="62CCF884" w:rsidRPr="00F261DB">
        <w:rPr>
          <w:rFonts w:eastAsia="Times New Roman"/>
          <w:noProof/>
        </w:rPr>
        <w:t>Batteries accounted for 91% of new clean tech investment in Europe in 2024</w:t>
      </w:r>
      <w:r w:rsidR="00104A58" w:rsidRPr="00FF63D1">
        <w:rPr>
          <w:rStyle w:val="FootnoteReference"/>
          <w:rFonts w:eastAsia="Times New Roman"/>
          <w:noProof/>
        </w:rPr>
        <w:footnoteReference w:id="496"/>
      </w:r>
      <w:r w:rsidR="62CCF884" w:rsidRPr="00F261DB">
        <w:rPr>
          <w:rFonts w:eastAsia="Times New Roman"/>
          <w:noProof/>
        </w:rPr>
        <w:t xml:space="preserve">. </w:t>
      </w:r>
      <w:r w:rsidRPr="00F261DB">
        <w:rPr>
          <w:rFonts w:eastAsia="Times New Roman"/>
          <w:noProof/>
        </w:rPr>
        <w:t xml:space="preserve">The EU currently has </w:t>
      </w:r>
      <w:r w:rsidR="1F7367CC" w:rsidRPr="00F261DB">
        <w:rPr>
          <w:rFonts w:eastAsia="Times New Roman"/>
          <w:noProof/>
        </w:rPr>
        <w:t>34</w:t>
      </w:r>
      <w:r w:rsidRPr="00F261DB">
        <w:rPr>
          <w:rFonts w:eastAsia="Times New Roman"/>
          <w:noProof/>
        </w:rPr>
        <w:t xml:space="preserve"> lithium-ion battery cell manufacturing projects across operational, under construction, and announced</w:t>
      </w:r>
      <w:r w:rsidR="00E52419">
        <w:rPr>
          <w:rFonts w:eastAsia="Times New Roman"/>
          <w:noProof/>
        </w:rPr>
        <w:t>.</w:t>
      </w:r>
      <w:r w:rsidR="00020031" w:rsidRPr="00FF63D1">
        <w:rPr>
          <w:rStyle w:val="FootnoteReference"/>
          <w:rFonts w:eastAsia="Times New Roman"/>
          <w:noProof/>
        </w:rPr>
        <w:footnoteReference w:id="497"/>
      </w:r>
      <w:r w:rsidR="7DA4BB4A">
        <w:rPr>
          <w:rFonts w:eastAsia="Times New Roman"/>
          <w:noProof/>
        </w:rPr>
        <w:t xml:space="preserve"> </w:t>
      </w:r>
      <w:r w:rsidRPr="00F261DB">
        <w:rPr>
          <w:rFonts w:eastAsia="Times New Roman"/>
          <w:noProof/>
        </w:rPr>
        <w:t xml:space="preserve">However, only 27% of the announced manufacturing capacity is considered low risk. Although the EU reached 188 GWh of installed battery cell capacity in 2024, </w:t>
      </w:r>
      <w:r w:rsidR="7214DED0" w:rsidRPr="00F261DB">
        <w:rPr>
          <w:rFonts w:eastAsia="Times New Roman"/>
          <w:noProof/>
        </w:rPr>
        <w:t xml:space="preserve">and has </w:t>
      </w:r>
      <w:r w:rsidR="7214DED0" w:rsidRPr="00F261DB">
        <w:rPr>
          <w:noProof/>
        </w:rPr>
        <w:t xml:space="preserve">over 750 GWh in the pipeline, </w:t>
      </w:r>
      <w:r w:rsidRPr="00F261DB">
        <w:rPr>
          <w:rFonts w:eastAsia="Times New Roman"/>
          <w:noProof/>
        </w:rPr>
        <w:t>238 GWh worth of planned projects have been cancelled or delayed. The battery cell sector supports around 128</w:t>
      </w:r>
      <w:r w:rsidR="217EA473">
        <w:rPr>
          <w:rFonts w:eastAsia="Times New Roman"/>
          <w:noProof/>
        </w:rPr>
        <w:t xml:space="preserve"> </w:t>
      </w:r>
      <w:r w:rsidRPr="00F261DB">
        <w:rPr>
          <w:rFonts w:eastAsia="Times New Roman"/>
          <w:noProof/>
        </w:rPr>
        <w:t>000 jobs, of which 66% are at medium or high risk.</w:t>
      </w:r>
      <w:r w:rsidR="00020031" w:rsidRPr="00FF63D1">
        <w:rPr>
          <w:rStyle w:val="FootnoteReference"/>
          <w:rFonts w:eastAsia="Times New Roman"/>
          <w:noProof/>
        </w:rPr>
        <w:footnoteReference w:id="498"/>
      </w:r>
      <w:r w:rsidRPr="00F261DB">
        <w:rPr>
          <w:rFonts w:eastAsia="Times New Roman"/>
          <w:noProof/>
        </w:rPr>
        <w:t xml:space="preserve"> Upstream the value chain, battery key components face the same problems.</w:t>
      </w:r>
    </w:p>
    <w:p w14:paraId="75953E6E" w14:textId="07F3DBB7" w:rsidR="00020031" w:rsidRPr="00F261DB" w:rsidRDefault="404A2814" w:rsidP="00F805F3">
      <w:pPr>
        <w:spacing w:after="120"/>
        <w:rPr>
          <w:rFonts w:eastAsia="Times New Roman"/>
          <w:noProof/>
        </w:rPr>
      </w:pPr>
      <w:r w:rsidRPr="00F261DB">
        <w:rPr>
          <w:rFonts w:eastAsia="Times New Roman"/>
          <w:noProof/>
        </w:rPr>
        <w:t>When comparing EV and battery subsidies across the three major battery manufacturing regions (China, Europe, and the US) clear strategic differences emerge. Between 2018 and 2024, China led with an average of USD 22.4 billion annually in subsidies, followed by Europe with USD 13.8 billion, and the US with USD 6.1 billion</w:t>
      </w:r>
      <w:r w:rsidR="00020031" w:rsidRPr="00FF63D1">
        <w:rPr>
          <w:rStyle w:val="FootnoteReference"/>
          <w:rFonts w:eastAsia="Times New Roman"/>
          <w:noProof/>
        </w:rPr>
        <w:footnoteReference w:id="499"/>
      </w:r>
      <w:r w:rsidRPr="00F261DB">
        <w:rPr>
          <w:rFonts w:eastAsia="Times New Roman"/>
          <w:noProof/>
        </w:rPr>
        <w:t xml:space="preserve">. However, while China and the US increasingly directed their support toward manufacturing by allocating over 50% of their subsidies to industrial development, the EU </w:t>
      </w:r>
      <w:r w:rsidR="2367AAF0" w:rsidRPr="00FF63D1">
        <w:rPr>
          <w:rFonts w:eastAsia="Times New Roman"/>
          <w:noProof/>
        </w:rPr>
        <w:t xml:space="preserve">and its Member States </w:t>
      </w:r>
      <w:r w:rsidRPr="00F261DB">
        <w:rPr>
          <w:rFonts w:eastAsia="Times New Roman"/>
          <w:noProof/>
        </w:rPr>
        <w:t>ha</w:t>
      </w:r>
      <w:r w:rsidR="2367AAF0" w:rsidRPr="00FF63D1">
        <w:rPr>
          <w:rFonts w:eastAsia="Times New Roman"/>
          <w:noProof/>
        </w:rPr>
        <w:t>ve</w:t>
      </w:r>
      <w:r w:rsidRPr="00F261DB">
        <w:rPr>
          <w:rFonts w:eastAsia="Times New Roman"/>
          <w:noProof/>
        </w:rPr>
        <w:t xml:space="preserve"> focused on demand-side measures, with 89% of its subsidies going to EV purchase incentives. In 2024, the EU spent USD 18 billion on EV purchases but only USD 2.5 billion on manufacturing, both for EVs and batteries. In contrast, China invested USD 17.5 billion in manufacturing, including USD 7.3 billion specifically for batteries, and the US allocated USD 8.6 billion to battery production alone. These targeted manufacturing subsidies have enabled Chinese and American manufacturers to attract bigger investments than the EU, scale up production, reduce costs, and strengthen their positions in global supply chains.</w:t>
      </w:r>
    </w:p>
    <w:p w14:paraId="7988FD71" w14:textId="4895C450" w:rsidR="00020031" w:rsidRPr="00F261DB" w:rsidRDefault="00020031" w:rsidP="00F805F3">
      <w:pPr>
        <w:spacing w:after="120"/>
        <w:rPr>
          <w:rFonts w:eastAsia="Times New Roman"/>
          <w:noProof/>
        </w:rPr>
      </w:pPr>
      <w:r w:rsidRPr="00F261DB">
        <w:rPr>
          <w:rFonts w:eastAsia="Times New Roman"/>
          <w:noProof/>
        </w:rPr>
        <w:t xml:space="preserve">Meanwhile, Europe is spending significant amounts on EV and battery subsidies, but with less strategic impact on its own manufacturing base. The EU’s focus on purchase subsidies inadvertently benefits non-EU manufacturers, who can offer lower prices and capture EU-funded demand, while European manufacturers struggle to compete on costs and scale. Without </w:t>
      </w:r>
      <w:r w:rsidR="00281489">
        <w:rPr>
          <w:rFonts w:eastAsia="Times New Roman"/>
          <w:noProof/>
        </w:rPr>
        <w:t>Made in EU</w:t>
      </w:r>
      <w:r w:rsidRPr="00F261DB">
        <w:rPr>
          <w:rFonts w:eastAsia="Times New Roman"/>
          <w:noProof/>
        </w:rPr>
        <w:t xml:space="preserve"> requirements, public funds risk flowing abroad, undermining the EU’s industrial competitiveness and long-term strategic autonomy.</w:t>
      </w:r>
    </w:p>
    <w:p w14:paraId="3CA77247" w14:textId="77777777" w:rsidR="00F805F3" w:rsidRPr="00F805F3" w:rsidRDefault="545C8C3C" w:rsidP="00F805F3">
      <w:pPr>
        <w:spacing w:after="120"/>
        <w:rPr>
          <w:b/>
          <w:noProof/>
        </w:rPr>
      </w:pPr>
      <w:r w:rsidRPr="00F261DB">
        <w:rPr>
          <w:rFonts w:eastAsia="Times New Roman"/>
          <w:b/>
          <w:noProof/>
        </w:rPr>
        <w:t>Key challenges</w:t>
      </w:r>
    </w:p>
    <w:p w14:paraId="0CC1E8C7" w14:textId="7099F6B0" w:rsidR="00D23DFD" w:rsidRPr="00F261DB" w:rsidRDefault="404A2814" w:rsidP="00F805F3">
      <w:pPr>
        <w:spacing w:after="120"/>
        <w:rPr>
          <w:rFonts w:eastAsia="Times New Roman"/>
          <w:noProof/>
        </w:rPr>
      </w:pPr>
      <w:r w:rsidRPr="00F261DB">
        <w:rPr>
          <w:rFonts w:eastAsia="Times New Roman"/>
          <w:noProof/>
        </w:rPr>
        <w:t>Europe’s battery sector faces deep structural</w:t>
      </w:r>
      <w:r w:rsidR="3D028C89" w:rsidRPr="00F261DB">
        <w:rPr>
          <w:rFonts w:eastAsia="Times New Roman"/>
          <w:noProof/>
        </w:rPr>
        <w:t xml:space="preserve"> </w:t>
      </w:r>
      <w:r w:rsidRPr="00F261DB">
        <w:rPr>
          <w:rFonts w:eastAsia="Times New Roman"/>
          <w:noProof/>
        </w:rPr>
        <w:t xml:space="preserve">challenges. Technological development within the EU’s battery ecosystem is not progressing rapidly enough to secure strategic autonomy, increasing the risk of long-term dependency on imports. Despite efforts to scale up domestic production, EU manufacturers struggle to compete with aggressive pricing from third-country producers, particularly </w:t>
      </w:r>
      <w:r w:rsidR="16AD593C" w:rsidRPr="00F261DB">
        <w:rPr>
          <w:rFonts w:eastAsia="Times New Roman"/>
          <w:noProof/>
        </w:rPr>
        <w:t xml:space="preserve">from </w:t>
      </w:r>
      <w:r w:rsidRPr="00F261DB">
        <w:rPr>
          <w:rFonts w:eastAsia="Times New Roman"/>
          <w:noProof/>
        </w:rPr>
        <w:t xml:space="preserve">China, which benefit from bigger subsidies, significant manufacturing overcapacities, lower energy and material costs, and vertically integrated supply chains. China currently dominates global battery manufacturing, accounting for 85% of installed </w:t>
      </w:r>
      <w:r w:rsidR="6E502012" w:rsidRPr="00F261DB">
        <w:rPr>
          <w:rFonts w:eastAsia="Times New Roman"/>
          <w:noProof/>
        </w:rPr>
        <w:t xml:space="preserve">production </w:t>
      </w:r>
      <w:r w:rsidRPr="00F261DB">
        <w:rPr>
          <w:rFonts w:eastAsia="Times New Roman"/>
          <w:noProof/>
        </w:rPr>
        <w:t>capacity (4</w:t>
      </w:r>
      <w:r w:rsidR="45E14CE0">
        <w:rPr>
          <w:rFonts w:eastAsia="Times New Roman"/>
          <w:noProof/>
        </w:rPr>
        <w:t xml:space="preserve"> </w:t>
      </w:r>
      <w:r w:rsidRPr="00F261DB">
        <w:rPr>
          <w:rFonts w:eastAsia="Times New Roman"/>
          <w:noProof/>
        </w:rPr>
        <w:t>534 GWh)</w:t>
      </w:r>
      <w:r w:rsidR="00020031" w:rsidRPr="00FF63D1">
        <w:rPr>
          <w:rStyle w:val="FootnoteReference"/>
          <w:rFonts w:eastAsia="Times New Roman"/>
          <w:noProof/>
        </w:rPr>
        <w:footnoteReference w:id="500"/>
      </w:r>
      <w:r w:rsidRPr="00F261DB">
        <w:rPr>
          <w:rFonts w:eastAsia="Times New Roman"/>
          <w:noProof/>
        </w:rPr>
        <w:t>, despite having an end use demand of only 850 GWh</w:t>
      </w:r>
      <w:r w:rsidR="3D028C89" w:rsidRPr="00F261DB">
        <w:rPr>
          <w:rFonts w:eastAsia="Times New Roman"/>
          <w:noProof/>
        </w:rPr>
        <w:t>.</w:t>
      </w:r>
      <w:r w:rsidR="00020031" w:rsidRPr="00FF63D1">
        <w:rPr>
          <w:rStyle w:val="FootnoteReference"/>
          <w:rFonts w:eastAsia="Times New Roman"/>
          <w:noProof/>
        </w:rPr>
        <w:footnoteReference w:id="501"/>
      </w:r>
    </w:p>
    <w:p w14:paraId="350232D1" w14:textId="77777777" w:rsidR="00020031" w:rsidRPr="00020C03" w:rsidRDefault="00020031" w:rsidP="00E71388">
      <w:pPr>
        <w:pStyle w:val="ListParagraph"/>
        <w:keepNext/>
        <w:keepLines/>
        <w:numPr>
          <w:ilvl w:val="1"/>
          <w:numId w:val="165"/>
        </w:numPr>
        <w:spacing w:before="360" w:after="80"/>
        <w:outlineLvl w:val="0"/>
        <w:rPr>
          <w:b/>
          <w:noProof/>
        </w:rPr>
      </w:pPr>
      <w:bookmarkStart w:id="638" w:name="_Toc212728865"/>
      <w:bookmarkStart w:id="639" w:name="_Toc212729139"/>
      <w:bookmarkStart w:id="640" w:name="_Toc212729391"/>
      <w:bookmarkStart w:id="641" w:name="_Toc215506335"/>
      <w:bookmarkStart w:id="642" w:name="_Toc222159386"/>
      <w:bookmarkStart w:id="643" w:name="_Toc222489554"/>
      <w:bookmarkStart w:id="644" w:name="_Toc222490043"/>
      <w:r w:rsidRPr="00020C03">
        <w:rPr>
          <w:b/>
          <w:noProof/>
        </w:rPr>
        <w:t>Solar</w:t>
      </w:r>
      <w:bookmarkEnd w:id="638"/>
      <w:bookmarkEnd w:id="639"/>
      <w:bookmarkEnd w:id="640"/>
      <w:bookmarkEnd w:id="641"/>
      <w:bookmarkEnd w:id="642"/>
      <w:bookmarkEnd w:id="643"/>
      <w:bookmarkEnd w:id="644"/>
    </w:p>
    <w:p w14:paraId="0863FBB1" w14:textId="77777777" w:rsidR="00F805F3" w:rsidRDefault="545C8C3C" w:rsidP="00F805F3">
      <w:pPr>
        <w:spacing w:after="120"/>
        <w:rPr>
          <w:b/>
          <w:noProof/>
        </w:rPr>
      </w:pPr>
      <w:r w:rsidRPr="00F261DB">
        <w:rPr>
          <w:b/>
          <w:noProof/>
        </w:rPr>
        <w:t>Key facts</w:t>
      </w:r>
    </w:p>
    <w:p w14:paraId="5377A6FC" w14:textId="2E5B83AD" w:rsidR="00020031" w:rsidRPr="00F261DB" w:rsidRDefault="404A2814" w:rsidP="00F805F3">
      <w:pPr>
        <w:spacing w:after="120"/>
        <w:rPr>
          <w:noProof/>
        </w:rPr>
      </w:pPr>
      <w:r w:rsidRPr="00FF63D1">
        <w:rPr>
          <w:noProof/>
        </w:rPr>
        <w:t xml:space="preserve">Between 2020 and 2022, rapid capacity expansion in the solar PV sector created severe global oversupply, with crystalline silicon module manufacturing capacity reaching over 1.4 TW in 2024, twice the forecast demand for 2025, driving module prices down by 50% in 2023. China controls over 80% of global PV manufacturing across all segments, with the top nine producers, seven of them </w:t>
      </w:r>
      <w:r w:rsidRPr="00F805F3">
        <w:rPr>
          <w:rFonts w:eastAsia="Times New Roman"/>
          <w:noProof/>
        </w:rPr>
        <w:t>Chinese</w:t>
      </w:r>
      <w:r w:rsidRPr="00FF63D1">
        <w:rPr>
          <w:noProof/>
        </w:rPr>
        <w:t xml:space="preserve"> supplying more than 60% of modules worldwide. Since 2012, US trade policy has excluded solar products made in China, prompting Chinese manufacturers to establish module and cell factories in Southeast Asia to serve the US market. However, following 2025 investigations, the US imposed duties of 70% to 700% on imports from four Southeast Asian countries. In response, Chinese firms are considering manufacturing bases in the Middle East and North Africa, though direct US investments remain limited. This dominance, combined with intense price competition, has triggered financial losses, mass layoffs, and factory closures globally, with 2025-2026 expected to remain difficult. The EU is particularly exposed, importing 94% of its PV modules and cells, 79% of wafers, and 50% of inverters from China, and faces higher energy, labour, and capital costs, smaller-scale production, and limited supply chain integration. </w:t>
      </w:r>
      <w:r w:rsidR="30C2E5D2" w:rsidRPr="00F20F87">
        <w:rPr>
          <w:noProof/>
        </w:rPr>
        <w:t>Although the EU projects by 2030 to expand PV ingots from almost nothing today to 25 GW, PV wafer capacity from almost nothing today to 34 GW, PV cells from 2 GW to over 30 GW, and PV modules from 12 GW to more than 40 GW, achieving supply security will require accelerating this build-out, securing vertical integration, and developing large-scale factories to withstand continued Chinese price pressure</w:t>
      </w:r>
      <w:r w:rsidR="30C2E5D2" w:rsidRPr="3F0F1197">
        <w:rPr>
          <w:i/>
          <w:iCs/>
          <w:noProof/>
        </w:rPr>
        <w:t>.</w:t>
      </w:r>
      <w:r w:rsidRPr="00F261DB">
        <w:rPr>
          <w:rStyle w:val="FootnoteReference"/>
          <w:noProof/>
        </w:rPr>
        <w:t xml:space="preserve">. </w:t>
      </w:r>
      <w:r w:rsidRPr="00F261DB">
        <w:rPr>
          <w:noProof/>
        </w:rPr>
        <w:t>The solar energy has experienced remarkable growth in recent years, driven by technological advancements and decreasing costs, positioning solar energy as a pivotal component in the global shift towards renewable energy sources.</w:t>
      </w:r>
      <w:r w:rsidR="00020031" w:rsidRPr="00FF63D1">
        <w:rPr>
          <w:noProof/>
          <w:vertAlign w:val="superscript"/>
        </w:rPr>
        <w:footnoteReference w:id="502"/>
      </w:r>
      <w:r w:rsidRPr="00F261DB">
        <w:rPr>
          <w:noProof/>
        </w:rPr>
        <w:t xml:space="preserve"> Thanks to technological improvements and falling costs, solar energy is becoming increasingly competitive, making it one of the most appealing options in the global energy landscape.</w:t>
      </w:r>
      <w:r w:rsidR="00020031" w:rsidRPr="00FF63D1">
        <w:rPr>
          <w:noProof/>
          <w:vertAlign w:val="superscript"/>
        </w:rPr>
        <w:footnoteReference w:id="503"/>
      </w:r>
    </w:p>
    <w:p w14:paraId="7CCC23F1" w14:textId="77777777" w:rsidR="00F805F3" w:rsidRPr="00F805F3" w:rsidRDefault="545C8C3C" w:rsidP="00F805F3">
      <w:pPr>
        <w:spacing w:after="120"/>
        <w:rPr>
          <w:b/>
          <w:noProof/>
        </w:rPr>
      </w:pPr>
      <w:r w:rsidRPr="00F805F3">
        <w:rPr>
          <w:b/>
          <w:noProof/>
        </w:rPr>
        <w:t>Key challenges</w:t>
      </w:r>
    </w:p>
    <w:p w14:paraId="2DAC1C85" w14:textId="1090C7BB" w:rsidR="00D00EFC" w:rsidRPr="00F261DB" w:rsidRDefault="404A2814" w:rsidP="00F805F3">
      <w:pPr>
        <w:spacing w:after="120"/>
        <w:rPr>
          <w:noProof/>
        </w:rPr>
      </w:pPr>
      <w:r w:rsidRPr="00FF63D1">
        <w:rPr>
          <w:noProof/>
        </w:rPr>
        <w:t>Chinese manufacturers have sharply</w:t>
      </w:r>
      <w:r w:rsidRPr="00FF63D1" w:rsidDel="545C8C3C">
        <w:rPr>
          <w:noProof/>
        </w:rPr>
        <w:t xml:space="preserve"> </w:t>
      </w:r>
      <w:r w:rsidR="11F51E5A" w:rsidRPr="00FF63D1">
        <w:rPr>
          <w:noProof/>
        </w:rPr>
        <w:t>decreased</w:t>
      </w:r>
      <w:r w:rsidRPr="00FF63D1">
        <w:rPr>
          <w:noProof/>
        </w:rPr>
        <w:t xml:space="preserve"> the prices to reach unprecedented low levels </w:t>
      </w:r>
      <w:r w:rsidRPr="00F261DB">
        <w:rPr>
          <w:noProof/>
        </w:rPr>
        <w:t xml:space="preserve">of </w:t>
      </w:r>
      <w:r w:rsidR="5CC92EB2" w:rsidRPr="00F261DB">
        <w:rPr>
          <w:noProof/>
        </w:rPr>
        <w:t xml:space="preserve">EUR </w:t>
      </w:r>
      <w:r w:rsidRPr="00F261DB">
        <w:rPr>
          <w:noProof/>
        </w:rPr>
        <w:t>0.06/W in Europe by the end of 2024.</w:t>
      </w:r>
      <w:r w:rsidR="00020031" w:rsidRPr="00FF63D1">
        <w:rPr>
          <w:rStyle w:val="FootnoteReference"/>
          <w:noProof/>
        </w:rPr>
        <w:footnoteReference w:id="504"/>
      </w:r>
      <w:r w:rsidRPr="00F261DB">
        <w:rPr>
          <w:noProof/>
        </w:rPr>
        <w:t xml:space="preserve"> Given this is reported to be below manufacturing costs, as a result, t</w:t>
      </w:r>
      <w:r w:rsidRPr="00F261DB" w:rsidDel="00D907E3">
        <w:rPr>
          <w:noProof/>
        </w:rPr>
        <w:t>he</w:t>
      </w:r>
      <w:r w:rsidRPr="00F261DB">
        <w:rPr>
          <w:noProof/>
        </w:rPr>
        <w:t xml:space="preserve"> profit margins of the largest Chinese solar manufacturers have sharply declined, as firms compete on price to defend their market share. Willingness of consumers to carry the price difference between EU and Chinese production is lacking. </w:t>
      </w:r>
      <w:r w:rsidRPr="00FF63D1">
        <w:rPr>
          <w:noProof/>
        </w:rPr>
        <w:t>Although the planned expansion of PV manufacturing capacity in the EU is encouraging</w:t>
      </w:r>
      <w:r w:rsidR="00020031" w:rsidRPr="00FF63D1">
        <w:rPr>
          <w:rStyle w:val="FootnoteReference"/>
          <w:noProof/>
        </w:rPr>
        <w:footnoteReference w:id="505"/>
      </w:r>
      <w:r w:rsidRPr="00FF63D1">
        <w:rPr>
          <w:noProof/>
        </w:rPr>
        <w:t>, it must accelerate and secure full vertical integration as well as creation of large-scale factories to withstand continued Chinese price dumping</w:t>
      </w:r>
      <w:r w:rsidRPr="00F261DB">
        <w:rPr>
          <w:rStyle w:val="CommentReference"/>
          <w:noProof/>
        </w:rPr>
        <w:t xml:space="preserve">. </w:t>
      </w:r>
      <w:r w:rsidRPr="00F261DB">
        <w:rPr>
          <w:noProof/>
        </w:rPr>
        <w:t xml:space="preserve">An expansion of the supply chain will result in decreased price levels of European producers, so that a price level in the long-term can be reached which consumers would be willing to pay. </w:t>
      </w:r>
      <w:bookmarkStart w:id="645" w:name="_Toc207192555"/>
    </w:p>
    <w:p w14:paraId="796B1048" w14:textId="77777777" w:rsidR="00386601" w:rsidRDefault="00386601">
      <w:pPr>
        <w:rPr>
          <w:rFonts w:ascii="Times" w:eastAsiaTheme="majorEastAsia" w:hAnsi="Times" w:cs="Times"/>
          <w:b/>
          <w:noProof/>
          <w:sz w:val="28"/>
          <w:szCs w:val="28"/>
        </w:rPr>
      </w:pPr>
      <w:r>
        <w:rPr>
          <w:rFonts w:ascii="Times" w:hAnsi="Times" w:cs="Times"/>
          <w:b/>
          <w:noProof/>
          <w:sz w:val="28"/>
          <w:szCs w:val="28"/>
        </w:rPr>
        <w:br w:type="page"/>
      </w:r>
    </w:p>
    <w:p w14:paraId="68428C32" w14:textId="0811CB2C" w:rsidR="00020031" w:rsidRPr="00F261DB" w:rsidRDefault="00020031" w:rsidP="002B52D0">
      <w:pPr>
        <w:pStyle w:val="Heading1"/>
        <w:numPr>
          <w:ilvl w:val="0"/>
          <w:numId w:val="0"/>
        </w:numPr>
        <w:rPr>
          <w:rFonts w:ascii="Times" w:hAnsi="Times" w:cs="Times"/>
          <w:b/>
          <w:noProof/>
          <w:color w:val="auto"/>
          <w:sz w:val="28"/>
          <w:szCs w:val="28"/>
        </w:rPr>
      </w:pPr>
      <w:bookmarkStart w:id="646" w:name="_Toc222159387"/>
      <w:bookmarkStart w:id="647" w:name="_Toc222490044"/>
      <w:r w:rsidRPr="00F261DB">
        <w:rPr>
          <w:rFonts w:ascii="Times" w:hAnsi="Times" w:cs="Times"/>
          <w:b/>
          <w:noProof/>
          <w:color w:val="auto"/>
          <w:sz w:val="28"/>
          <w:szCs w:val="28"/>
        </w:rPr>
        <w:t>Annex 8: Interplay with other legislation and policies</w:t>
      </w:r>
      <w:r w:rsidR="00332E0D" w:rsidRPr="00F261DB">
        <w:rPr>
          <w:rFonts w:ascii="Times" w:hAnsi="Times" w:cs="Times"/>
          <w:b/>
          <w:noProof/>
          <w:color w:val="auto"/>
          <w:sz w:val="28"/>
          <w:szCs w:val="28"/>
        </w:rPr>
        <w:t xml:space="preserve"> and baseline scenario</w:t>
      </w:r>
      <w:bookmarkEnd w:id="645"/>
      <w:bookmarkEnd w:id="646"/>
      <w:bookmarkEnd w:id="647"/>
    </w:p>
    <w:p w14:paraId="4B31987C" w14:textId="7B40AE5D" w:rsidR="00332E0D" w:rsidRPr="00AB1DF9" w:rsidRDefault="00A45F86" w:rsidP="003F3451">
      <w:pPr>
        <w:pStyle w:val="Heading2"/>
        <w:numPr>
          <w:ilvl w:val="0"/>
          <w:numId w:val="59"/>
        </w:numPr>
        <w:rPr>
          <w:b w:val="0"/>
        </w:rPr>
      </w:pPr>
      <w:bookmarkStart w:id="648" w:name="_Toc207192556"/>
      <w:bookmarkStart w:id="649" w:name="_Toc212728867"/>
      <w:bookmarkStart w:id="650" w:name="_Toc212729141"/>
      <w:bookmarkStart w:id="651" w:name="_Toc212729393"/>
      <w:bookmarkStart w:id="652" w:name="_Toc215506337"/>
      <w:bookmarkStart w:id="653" w:name="_Toc222490045"/>
      <w:r w:rsidRPr="00AB1DF9">
        <w:t>Interplay with existing initiatives</w:t>
      </w:r>
      <w:bookmarkEnd w:id="648"/>
      <w:bookmarkEnd w:id="649"/>
      <w:bookmarkEnd w:id="650"/>
      <w:bookmarkEnd w:id="651"/>
      <w:bookmarkEnd w:id="652"/>
      <w:bookmarkEnd w:id="653"/>
    </w:p>
    <w:p w14:paraId="4BB3E13D" w14:textId="6C2A5C51" w:rsidR="00A2546A" w:rsidRPr="00F261DB" w:rsidRDefault="00A2546A">
      <w:pPr>
        <w:rPr>
          <w:rFonts w:eastAsia="Times New Roman"/>
          <w:b/>
          <w:noProof/>
        </w:rPr>
      </w:pPr>
      <w:r w:rsidRPr="00F261DB">
        <w:rPr>
          <w:rFonts w:eastAsia="Times New Roman"/>
          <w:noProof/>
        </w:rPr>
        <w:t>T</w:t>
      </w:r>
      <w:r w:rsidR="005463E2" w:rsidRPr="00F261DB">
        <w:rPr>
          <w:rFonts w:eastAsia="Times New Roman"/>
          <w:noProof/>
        </w:rPr>
        <w:t xml:space="preserve">he two tables below summarise the main instruments with which this initiative interplays. The detailed interactions are subsequently presented. </w:t>
      </w:r>
    </w:p>
    <w:p w14:paraId="07156E0D" w14:textId="1F15351F" w:rsidR="00E15762" w:rsidRPr="00020C03" w:rsidRDefault="00E15762" w:rsidP="00E71388">
      <w:pPr>
        <w:pStyle w:val="Caption"/>
        <w:keepNext/>
        <w:spacing w:before="240"/>
        <w:rPr>
          <w:noProof/>
          <w:sz w:val="20"/>
          <w:szCs w:val="20"/>
        </w:rPr>
      </w:pPr>
      <w:r w:rsidRPr="00020C03">
        <w:rPr>
          <w:noProof/>
          <w:sz w:val="20"/>
          <w:szCs w:val="20"/>
        </w:rPr>
        <w:t xml:space="preserve">Table </w:t>
      </w:r>
      <w:r w:rsidRPr="00020C03">
        <w:rPr>
          <w:noProof/>
          <w:sz w:val="20"/>
          <w:szCs w:val="20"/>
        </w:rPr>
        <w:fldChar w:fldCharType="begin"/>
      </w:r>
      <w:r w:rsidRPr="00020C03">
        <w:rPr>
          <w:noProof/>
          <w:sz w:val="20"/>
          <w:szCs w:val="20"/>
        </w:rPr>
        <w:instrText xml:space="preserve"> SEQ Table \* ARABIC </w:instrText>
      </w:r>
      <w:r w:rsidRPr="00020C03">
        <w:rPr>
          <w:noProof/>
          <w:sz w:val="20"/>
          <w:szCs w:val="20"/>
        </w:rPr>
        <w:fldChar w:fldCharType="separate"/>
      </w:r>
      <w:r w:rsidR="00E16D65">
        <w:rPr>
          <w:noProof/>
          <w:sz w:val="20"/>
          <w:szCs w:val="20"/>
        </w:rPr>
        <w:t>17</w:t>
      </w:r>
      <w:r w:rsidRPr="00020C03">
        <w:rPr>
          <w:noProof/>
          <w:sz w:val="20"/>
          <w:szCs w:val="20"/>
        </w:rPr>
        <w:fldChar w:fldCharType="end"/>
      </w:r>
      <w:r w:rsidRPr="00020C03">
        <w:rPr>
          <w:noProof/>
          <w:sz w:val="20"/>
          <w:szCs w:val="20"/>
        </w:rPr>
        <w:t>: Interplay with existing EU instruments</w:t>
      </w:r>
    </w:p>
    <w:tbl>
      <w:tblPr>
        <w:tblStyle w:val="TableGrid"/>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7267"/>
      </w:tblGrid>
      <w:tr w:rsidR="00E15762" w:rsidRPr="00F261DB" w14:paraId="071D546F" w14:textId="77777777" w:rsidTr="00020C03">
        <w:trPr>
          <w:jc w:val="center"/>
        </w:trPr>
        <w:tc>
          <w:tcPr>
            <w:tcW w:w="970" w:type="pct"/>
          </w:tcPr>
          <w:p w14:paraId="5C2B9A79" w14:textId="77777777" w:rsidR="00E15762" w:rsidRPr="00FF63D1" w:rsidRDefault="00E15762">
            <w:pPr>
              <w:rPr>
                <w:b/>
                <w:noProof/>
              </w:rPr>
            </w:pPr>
            <w:r w:rsidRPr="00FF63D1">
              <w:rPr>
                <w:b/>
                <w:noProof/>
              </w:rPr>
              <w:t>Climate</w:t>
            </w:r>
          </w:p>
        </w:tc>
        <w:tc>
          <w:tcPr>
            <w:tcW w:w="4030" w:type="pct"/>
          </w:tcPr>
          <w:p w14:paraId="0FD2052D" w14:textId="3CB74BB3" w:rsidR="00E15762" w:rsidRPr="00F261DB" w:rsidRDefault="00E15762">
            <w:pPr>
              <w:rPr>
                <w:noProof/>
                <w:szCs w:val="20"/>
              </w:rPr>
            </w:pPr>
            <w:r w:rsidRPr="00FF63D1">
              <w:rPr>
                <w:noProof/>
              </w:rPr>
              <w:t>Climate Law, EU Emission Trading System,</w:t>
            </w:r>
            <w:r w:rsidRPr="00F261DB">
              <w:rPr>
                <w:rStyle w:val="normaltextrun"/>
                <w:noProof/>
              </w:rPr>
              <w:t xml:space="preserve"> </w:t>
            </w:r>
            <w:r w:rsidRPr="00FF63D1">
              <w:rPr>
                <w:noProof/>
              </w:rPr>
              <w:t>Industrial Emissions Directive, Carbon Border Adjustment Mechanism.</w:t>
            </w:r>
          </w:p>
        </w:tc>
      </w:tr>
      <w:tr w:rsidR="00E15762" w:rsidRPr="00F261DB" w14:paraId="54EB015F" w14:textId="77777777" w:rsidTr="00020C03">
        <w:trPr>
          <w:jc w:val="center"/>
        </w:trPr>
        <w:tc>
          <w:tcPr>
            <w:tcW w:w="970" w:type="pct"/>
          </w:tcPr>
          <w:p w14:paraId="0B3CEBF0" w14:textId="77777777" w:rsidR="00E15762" w:rsidRPr="00FF63D1" w:rsidRDefault="00E15762">
            <w:pPr>
              <w:rPr>
                <w:b/>
                <w:noProof/>
              </w:rPr>
            </w:pPr>
            <w:r w:rsidRPr="00FF63D1">
              <w:rPr>
                <w:b/>
                <w:noProof/>
              </w:rPr>
              <w:t>Energy</w:t>
            </w:r>
          </w:p>
        </w:tc>
        <w:tc>
          <w:tcPr>
            <w:tcW w:w="4030" w:type="pct"/>
          </w:tcPr>
          <w:p w14:paraId="3B33FFD9" w14:textId="453AE4FE" w:rsidR="00E15762" w:rsidRPr="00F261DB" w:rsidRDefault="16EC4CCC">
            <w:pPr>
              <w:rPr>
                <w:noProof/>
              </w:rPr>
            </w:pPr>
            <w:r w:rsidRPr="00FF63D1">
              <w:rPr>
                <w:noProof/>
              </w:rPr>
              <w:t xml:space="preserve">Electricity and gas Market Regulations and Directives, the Renewable Energy Directive, the Energy Efficiency Directive, </w:t>
            </w:r>
            <w:r w:rsidRPr="00FF63D1">
              <w:rPr>
                <w:rFonts w:eastAsiaTheme="minorEastAsia"/>
                <w:noProof/>
              </w:rPr>
              <w:t>the Energy Performance of Buildings Directive,</w:t>
            </w:r>
            <w:r w:rsidRPr="00FF63D1">
              <w:rPr>
                <w:noProof/>
              </w:rPr>
              <w:t xml:space="preserve"> the Gas </w:t>
            </w:r>
            <w:r w:rsidRPr="00FF63D1" w:rsidDel="00A919A2">
              <w:rPr>
                <w:noProof/>
              </w:rPr>
              <w:t>and Hydrogen Decarbonisation Package</w:t>
            </w:r>
            <w:r w:rsidRPr="00FF63D1">
              <w:rPr>
                <w:noProof/>
              </w:rPr>
              <w:t xml:space="preserve">, </w:t>
            </w:r>
            <w:r w:rsidR="4340FA0C" w:rsidRPr="00FF63D1">
              <w:rPr>
                <w:noProof/>
              </w:rPr>
              <w:t>Electricity Market Design,</w:t>
            </w:r>
            <w:r w:rsidR="63FD43BD" w:rsidRPr="00FF63D1">
              <w:rPr>
                <w:noProof/>
              </w:rPr>
              <w:t xml:space="preserve"> </w:t>
            </w:r>
            <w:r w:rsidRPr="00F261DB">
              <w:rPr>
                <w:noProof/>
              </w:rPr>
              <w:t>Action Plan for Affordable Energy</w:t>
            </w:r>
            <w:r w:rsidRPr="00F261DB">
              <w:rPr>
                <w:noProof/>
                <w:szCs w:val="20"/>
              </w:rPr>
              <w:t>.</w:t>
            </w:r>
          </w:p>
        </w:tc>
      </w:tr>
      <w:tr w:rsidR="00E15762" w:rsidRPr="00F261DB" w14:paraId="7BA56325" w14:textId="77777777" w:rsidTr="00020C03">
        <w:trPr>
          <w:jc w:val="center"/>
        </w:trPr>
        <w:tc>
          <w:tcPr>
            <w:tcW w:w="970" w:type="pct"/>
          </w:tcPr>
          <w:p w14:paraId="56A075AC" w14:textId="77777777" w:rsidR="00E15762" w:rsidRPr="00FF63D1" w:rsidRDefault="00E15762">
            <w:pPr>
              <w:rPr>
                <w:b/>
                <w:noProof/>
              </w:rPr>
            </w:pPr>
            <w:r w:rsidRPr="00FF63D1">
              <w:rPr>
                <w:b/>
                <w:noProof/>
              </w:rPr>
              <w:t>Permitting</w:t>
            </w:r>
          </w:p>
        </w:tc>
        <w:tc>
          <w:tcPr>
            <w:tcW w:w="4030" w:type="pct"/>
          </w:tcPr>
          <w:p w14:paraId="64CF315B" w14:textId="0D773C63" w:rsidR="00E15762" w:rsidRPr="00FF63D1" w:rsidRDefault="00E15762">
            <w:pPr>
              <w:rPr>
                <w:noProof/>
              </w:rPr>
            </w:pPr>
            <w:r w:rsidRPr="00FF63D1">
              <w:rPr>
                <w:noProof/>
              </w:rPr>
              <w:t>Strategic Environmental Assessment Directive, Environmental Impact Assessment Directive, Industrial and Livestock Rearing Emissions Directive, Habitats and Birds Directives, Water Framework Directive, Net Zero Industry Act</w:t>
            </w:r>
            <w:r w:rsidRPr="00F261DB">
              <w:rPr>
                <w:rStyle w:val="normaltextrun"/>
                <w:noProof/>
              </w:rPr>
              <w:t xml:space="preserve">, </w:t>
            </w:r>
            <w:r w:rsidRPr="00F261DB">
              <w:rPr>
                <w:rFonts w:eastAsiaTheme="minorEastAsia"/>
                <w:noProof/>
              </w:rPr>
              <w:t>Critical Raw Materials Act</w:t>
            </w:r>
            <w:r w:rsidR="00075822">
              <w:rPr>
                <w:rFonts w:eastAsiaTheme="minorEastAsia"/>
                <w:noProof/>
              </w:rPr>
              <w:t>, Grids Package</w:t>
            </w:r>
          </w:p>
        </w:tc>
      </w:tr>
      <w:tr w:rsidR="00E15762" w:rsidRPr="00F261DB" w14:paraId="6A2DD14B" w14:textId="77777777" w:rsidTr="00020C03">
        <w:trPr>
          <w:jc w:val="center"/>
        </w:trPr>
        <w:tc>
          <w:tcPr>
            <w:tcW w:w="970" w:type="pct"/>
          </w:tcPr>
          <w:p w14:paraId="12D982A6" w14:textId="77777777" w:rsidR="00E15762" w:rsidRPr="00FF63D1" w:rsidRDefault="00E15762">
            <w:pPr>
              <w:rPr>
                <w:b/>
                <w:noProof/>
              </w:rPr>
            </w:pPr>
            <w:r w:rsidRPr="00FF63D1">
              <w:rPr>
                <w:b/>
                <w:noProof/>
              </w:rPr>
              <w:t>Product</w:t>
            </w:r>
          </w:p>
        </w:tc>
        <w:tc>
          <w:tcPr>
            <w:tcW w:w="4030" w:type="pct"/>
          </w:tcPr>
          <w:p w14:paraId="3D75C5B0" w14:textId="6C92C638" w:rsidR="00E15762" w:rsidRPr="00FF63D1" w:rsidRDefault="00E15762">
            <w:pPr>
              <w:rPr>
                <w:b/>
                <w:noProof/>
              </w:rPr>
            </w:pPr>
            <w:r w:rsidRPr="00F261DB">
              <w:rPr>
                <w:noProof/>
              </w:rPr>
              <w:t>Construction Product Regulation (CPR), Energy Performance of Buildings Directive</w:t>
            </w:r>
            <w:r w:rsidRPr="00F261DB">
              <w:rPr>
                <w:noProof/>
                <w:szCs w:val="20"/>
              </w:rPr>
              <w:t>,</w:t>
            </w:r>
            <w:r w:rsidRPr="00F261DB">
              <w:rPr>
                <w:noProof/>
                <w:vertAlign w:val="superscript"/>
              </w:rPr>
              <w:t xml:space="preserve"> </w:t>
            </w:r>
            <w:r w:rsidRPr="00FF63D1">
              <w:rPr>
                <w:noProof/>
              </w:rPr>
              <w:t>Batteries Regulation, Ecodesign for Sustainable Products Regulation.</w:t>
            </w:r>
          </w:p>
        </w:tc>
      </w:tr>
      <w:tr w:rsidR="00E15762" w:rsidRPr="00F261DB" w14:paraId="4471EB21" w14:textId="77777777" w:rsidTr="00020C03">
        <w:trPr>
          <w:jc w:val="center"/>
        </w:trPr>
        <w:tc>
          <w:tcPr>
            <w:tcW w:w="970" w:type="pct"/>
          </w:tcPr>
          <w:p w14:paraId="7AC31AB6" w14:textId="77777777" w:rsidR="00E15762" w:rsidRPr="00FF63D1" w:rsidRDefault="00E15762">
            <w:pPr>
              <w:rPr>
                <w:b/>
                <w:noProof/>
              </w:rPr>
            </w:pPr>
            <w:r w:rsidRPr="00FF63D1">
              <w:rPr>
                <w:b/>
                <w:noProof/>
              </w:rPr>
              <w:t>Competition</w:t>
            </w:r>
          </w:p>
        </w:tc>
        <w:tc>
          <w:tcPr>
            <w:tcW w:w="4030" w:type="pct"/>
          </w:tcPr>
          <w:p w14:paraId="29E4AA9C" w14:textId="53FF7741" w:rsidR="00E15762" w:rsidRPr="00F261DB" w:rsidRDefault="16EC4CCC">
            <w:pPr>
              <w:rPr>
                <w:b/>
                <w:noProof/>
              </w:rPr>
            </w:pPr>
            <w:r w:rsidRPr="00F261DB">
              <w:rPr>
                <w:noProof/>
              </w:rPr>
              <w:t>Clean Industrial Deal State Aid Framework, Climate, Energy and Environmental Aid Guidelines, Important Projects of Common European Interest (IPCEI)</w:t>
            </w:r>
            <w:r w:rsidR="7B9D859B" w:rsidRPr="00F261DB">
              <w:rPr>
                <w:noProof/>
              </w:rPr>
              <w:t>, Competition rules and enforcement</w:t>
            </w:r>
            <w:r w:rsidRPr="00F261DB">
              <w:rPr>
                <w:noProof/>
              </w:rPr>
              <w:t>.</w:t>
            </w:r>
          </w:p>
        </w:tc>
      </w:tr>
      <w:tr w:rsidR="00E15762" w:rsidRPr="00EE2D45" w14:paraId="007DD31F" w14:textId="77777777" w:rsidTr="00020C03">
        <w:trPr>
          <w:jc w:val="center"/>
        </w:trPr>
        <w:tc>
          <w:tcPr>
            <w:tcW w:w="970" w:type="pct"/>
          </w:tcPr>
          <w:p w14:paraId="61561D43" w14:textId="77777777" w:rsidR="00E15762" w:rsidRPr="00FF63D1" w:rsidRDefault="00E15762">
            <w:pPr>
              <w:rPr>
                <w:b/>
                <w:noProof/>
              </w:rPr>
            </w:pPr>
            <w:r w:rsidRPr="00FF63D1">
              <w:rPr>
                <w:b/>
                <w:noProof/>
              </w:rPr>
              <w:t>Transport</w:t>
            </w:r>
          </w:p>
        </w:tc>
        <w:tc>
          <w:tcPr>
            <w:tcW w:w="4030" w:type="pct"/>
          </w:tcPr>
          <w:p w14:paraId="3FAD9019" w14:textId="48F5A030" w:rsidR="00E15762" w:rsidRPr="00FB3C15" w:rsidDel="00751D88" w:rsidRDefault="00E15762">
            <w:pPr>
              <w:rPr>
                <w:noProof/>
                <w:lang w:val="en-IE"/>
              </w:rPr>
            </w:pPr>
            <w:r w:rsidRPr="000B2C4C">
              <w:rPr>
                <w:noProof/>
                <w:lang w:val="en-IE"/>
              </w:rPr>
              <w:t>Alternative Fuels Infrastructure Regulation, ReFuelEU Aviation, FuelEU Maritime</w:t>
            </w:r>
            <w:r w:rsidR="00910962" w:rsidRPr="000B2C4C">
              <w:rPr>
                <w:noProof/>
                <w:lang w:val="en-IE"/>
              </w:rPr>
              <w:t>, CO</w:t>
            </w:r>
            <w:r w:rsidR="00910962" w:rsidRPr="00FB3C15">
              <w:rPr>
                <w:noProof/>
                <w:vertAlign w:val="subscript"/>
                <w:lang w:val="en-IE"/>
              </w:rPr>
              <w:t>2</w:t>
            </w:r>
            <w:r w:rsidR="00910962" w:rsidRPr="00FB3C15">
              <w:rPr>
                <w:noProof/>
                <w:lang w:val="en-IE"/>
              </w:rPr>
              <w:t xml:space="preserve"> Standar</w:t>
            </w:r>
            <w:r w:rsidR="001063A1" w:rsidRPr="00FB3C15">
              <w:rPr>
                <w:noProof/>
                <w:lang w:val="en-IE"/>
              </w:rPr>
              <w:t xml:space="preserve">ds for </w:t>
            </w:r>
            <w:r w:rsidR="00871FE8">
              <w:rPr>
                <w:noProof/>
                <w:lang w:val="en-IE"/>
              </w:rPr>
              <w:t>C</w:t>
            </w:r>
            <w:r w:rsidR="001063A1" w:rsidRPr="00FB3C15">
              <w:rPr>
                <w:noProof/>
                <w:lang w:val="en-IE"/>
              </w:rPr>
              <w:t xml:space="preserve">ars and </w:t>
            </w:r>
            <w:r w:rsidR="00871FE8">
              <w:rPr>
                <w:noProof/>
                <w:lang w:val="en-IE"/>
              </w:rPr>
              <w:t>L</w:t>
            </w:r>
            <w:r w:rsidR="0013686E">
              <w:rPr>
                <w:noProof/>
                <w:lang w:val="en-IE"/>
              </w:rPr>
              <w:t xml:space="preserve">ight </w:t>
            </w:r>
            <w:r w:rsidR="008B569F">
              <w:rPr>
                <w:noProof/>
                <w:lang w:val="en-IE"/>
              </w:rPr>
              <w:t>C</w:t>
            </w:r>
            <w:r w:rsidR="0013686E">
              <w:rPr>
                <w:noProof/>
                <w:lang w:val="en-IE"/>
              </w:rPr>
              <w:t>om</w:t>
            </w:r>
            <w:r w:rsidR="00871FE8">
              <w:rPr>
                <w:noProof/>
                <w:lang w:val="en-IE"/>
              </w:rPr>
              <w:t xml:space="preserve">mercial </w:t>
            </w:r>
            <w:r w:rsidR="008B569F">
              <w:rPr>
                <w:noProof/>
                <w:lang w:val="en-IE"/>
              </w:rPr>
              <w:t>V</w:t>
            </w:r>
            <w:r w:rsidR="00871FE8">
              <w:rPr>
                <w:noProof/>
                <w:lang w:val="en-IE"/>
              </w:rPr>
              <w:t>ehicles</w:t>
            </w:r>
            <w:r w:rsidR="00FD4D80">
              <w:rPr>
                <w:noProof/>
                <w:lang w:val="en-IE"/>
              </w:rPr>
              <w:t xml:space="preserve"> Regulation</w:t>
            </w:r>
            <w:r w:rsidR="001063A1" w:rsidRPr="00FB3C15">
              <w:rPr>
                <w:noProof/>
                <w:lang w:val="en-IE"/>
              </w:rPr>
              <w:t>, Cooperate Clean Fleet</w:t>
            </w:r>
            <w:r w:rsidR="00FD4D80">
              <w:rPr>
                <w:noProof/>
                <w:lang w:val="en-IE"/>
              </w:rPr>
              <w:t xml:space="preserve"> Regulation</w:t>
            </w:r>
            <w:r w:rsidR="001063A1">
              <w:rPr>
                <w:noProof/>
                <w:lang w:val="en-IE"/>
              </w:rPr>
              <w:t>,</w:t>
            </w:r>
            <w:r w:rsidR="00FD4D80">
              <w:rPr>
                <w:noProof/>
                <w:lang w:val="en-IE"/>
              </w:rPr>
              <w:t xml:space="preserve"> Battery Booster</w:t>
            </w:r>
            <w:r w:rsidDel="00910962">
              <w:rPr>
                <w:noProof/>
                <w:lang w:val="en-IE"/>
              </w:rPr>
              <w:t>.</w:t>
            </w:r>
          </w:p>
        </w:tc>
      </w:tr>
      <w:tr w:rsidR="00E15762" w:rsidRPr="00F261DB" w14:paraId="016008BF" w14:textId="77777777" w:rsidTr="00020C03">
        <w:trPr>
          <w:jc w:val="center"/>
        </w:trPr>
        <w:tc>
          <w:tcPr>
            <w:tcW w:w="970" w:type="pct"/>
          </w:tcPr>
          <w:p w14:paraId="7618FD09" w14:textId="77777777" w:rsidR="00E15762" w:rsidRPr="00FF63D1" w:rsidRDefault="00E15762">
            <w:pPr>
              <w:rPr>
                <w:b/>
                <w:noProof/>
              </w:rPr>
            </w:pPr>
            <w:r w:rsidRPr="00FF63D1">
              <w:rPr>
                <w:b/>
                <w:noProof/>
              </w:rPr>
              <w:t>Trade</w:t>
            </w:r>
          </w:p>
        </w:tc>
        <w:tc>
          <w:tcPr>
            <w:tcW w:w="4030" w:type="pct"/>
          </w:tcPr>
          <w:p w14:paraId="37B04BFD" w14:textId="592EBA33" w:rsidR="00E15762" w:rsidRPr="00FF63D1" w:rsidRDefault="00E15762">
            <w:pPr>
              <w:rPr>
                <w:noProof/>
              </w:rPr>
            </w:pPr>
            <w:r w:rsidRPr="00F261DB">
              <w:rPr>
                <w:rStyle w:val="normaltextrun"/>
                <w:noProof/>
              </w:rPr>
              <w:t>Trade Defence Instruments, Steel and Metals Action Plan, Foreign Direct Investment Regulation</w:t>
            </w:r>
            <w:r w:rsidRPr="00F261DB">
              <w:rPr>
                <w:noProof/>
              </w:rPr>
              <w:t>.</w:t>
            </w:r>
          </w:p>
        </w:tc>
      </w:tr>
      <w:tr w:rsidR="00E15762" w:rsidRPr="00F261DB" w14:paraId="2B4C6509" w14:textId="77777777" w:rsidTr="00020C03">
        <w:trPr>
          <w:jc w:val="center"/>
        </w:trPr>
        <w:tc>
          <w:tcPr>
            <w:tcW w:w="970" w:type="pct"/>
          </w:tcPr>
          <w:p w14:paraId="5C3C4713" w14:textId="77777777" w:rsidR="00E15762" w:rsidRPr="00FF63D1" w:rsidRDefault="00E15762">
            <w:pPr>
              <w:rPr>
                <w:b/>
                <w:noProof/>
              </w:rPr>
            </w:pPr>
            <w:r w:rsidRPr="00FF63D1">
              <w:rPr>
                <w:b/>
                <w:noProof/>
              </w:rPr>
              <w:t>Funding</w:t>
            </w:r>
          </w:p>
        </w:tc>
        <w:tc>
          <w:tcPr>
            <w:tcW w:w="4030" w:type="pct"/>
          </w:tcPr>
          <w:p w14:paraId="0F7F8CE2" w14:textId="44C128F3" w:rsidR="00E15762" w:rsidRPr="00FF63D1" w:rsidRDefault="00E15762">
            <w:pPr>
              <w:rPr>
                <w:noProof/>
                <w:highlight w:val="yellow"/>
              </w:rPr>
            </w:pPr>
            <w:r w:rsidRPr="00F261DB">
              <w:rPr>
                <w:noProof/>
                <w:szCs w:val="20"/>
              </w:rPr>
              <w:t xml:space="preserve">Current multiannual financial framework, </w:t>
            </w:r>
            <w:r w:rsidRPr="00FF63D1">
              <w:rPr>
                <w:noProof/>
              </w:rPr>
              <w:t>Industrial Decarbonisation Bank, Horizon Europe, Research Fund for Coal and Steel, Innovation Fund, Recovery and Resilience Facility,</w:t>
            </w:r>
            <w:r w:rsidRPr="00F261DB">
              <w:rPr>
                <w:noProof/>
                <w:szCs w:val="20"/>
              </w:rPr>
              <w:t xml:space="preserve"> post-2027 MFF, European Competitiveness Fund</w:t>
            </w:r>
            <w:r w:rsidRPr="00FF63D1">
              <w:rPr>
                <w:noProof/>
              </w:rPr>
              <w:t>.</w:t>
            </w:r>
          </w:p>
        </w:tc>
      </w:tr>
    </w:tbl>
    <w:p w14:paraId="2CCCE72F" w14:textId="77777777" w:rsidR="00E15762" w:rsidRPr="00FF63D1" w:rsidRDefault="00E15762" w:rsidP="00E15762">
      <w:pPr>
        <w:spacing w:after="120"/>
        <w:rPr>
          <w:b/>
          <w:i/>
          <w:noProof/>
        </w:rPr>
      </w:pPr>
    </w:p>
    <w:p w14:paraId="4BCDB28A" w14:textId="3C7100A9" w:rsidR="00E15762" w:rsidRPr="00020C03" w:rsidRDefault="00E15762" w:rsidP="00E15762">
      <w:pPr>
        <w:pStyle w:val="Caption"/>
        <w:keepNext/>
        <w:rPr>
          <w:noProof/>
          <w:sz w:val="20"/>
          <w:szCs w:val="14"/>
        </w:rPr>
      </w:pPr>
      <w:r w:rsidRPr="00020C03">
        <w:rPr>
          <w:noProof/>
          <w:sz w:val="20"/>
          <w:szCs w:val="14"/>
        </w:rPr>
        <w:t xml:space="preserve">Table </w:t>
      </w:r>
      <w:r w:rsidRPr="00020C03">
        <w:rPr>
          <w:noProof/>
          <w:sz w:val="20"/>
          <w:szCs w:val="14"/>
        </w:rPr>
        <w:fldChar w:fldCharType="begin"/>
      </w:r>
      <w:r w:rsidRPr="00020C03">
        <w:rPr>
          <w:noProof/>
          <w:sz w:val="20"/>
          <w:szCs w:val="14"/>
        </w:rPr>
        <w:instrText xml:space="preserve"> SEQ Table \* ARABIC </w:instrText>
      </w:r>
      <w:r w:rsidRPr="00020C03">
        <w:rPr>
          <w:noProof/>
          <w:sz w:val="20"/>
          <w:szCs w:val="14"/>
        </w:rPr>
        <w:fldChar w:fldCharType="separate"/>
      </w:r>
      <w:r w:rsidR="00E16D65">
        <w:rPr>
          <w:noProof/>
          <w:sz w:val="20"/>
          <w:szCs w:val="14"/>
        </w:rPr>
        <w:t>18</w:t>
      </w:r>
      <w:r w:rsidRPr="00020C03">
        <w:rPr>
          <w:noProof/>
          <w:sz w:val="20"/>
          <w:szCs w:val="14"/>
        </w:rPr>
        <w:fldChar w:fldCharType="end"/>
      </w:r>
      <w:r w:rsidRPr="00020C03">
        <w:rPr>
          <w:noProof/>
          <w:sz w:val="20"/>
          <w:szCs w:val="14"/>
        </w:rPr>
        <w:t>: Interplay with ongoing and announced initiatives</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1287"/>
        <w:gridCol w:w="2292"/>
        <w:gridCol w:w="1421"/>
        <w:gridCol w:w="1349"/>
        <w:gridCol w:w="1654"/>
      </w:tblGrid>
      <w:tr w:rsidR="00E71388" w:rsidRPr="00F261DB" w14:paraId="13FAA7BF" w14:textId="77777777" w:rsidTr="00020C03">
        <w:trPr>
          <w:trHeight w:val="300"/>
        </w:trPr>
        <w:tc>
          <w:tcPr>
            <w:tcW w:w="562" w:type="pct"/>
          </w:tcPr>
          <w:p w14:paraId="2D474860" w14:textId="77777777" w:rsidR="00E15762" w:rsidRPr="00FF63D1" w:rsidRDefault="00E15762">
            <w:pPr>
              <w:rPr>
                <w:b/>
                <w:noProof/>
              </w:rPr>
            </w:pPr>
            <w:r w:rsidRPr="00FF63D1">
              <w:rPr>
                <w:b/>
                <w:noProof/>
              </w:rPr>
              <w:t>Ongoing</w:t>
            </w:r>
          </w:p>
        </w:tc>
        <w:tc>
          <w:tcPr>
            <w:tcW w:w="714" w:type="pct"/>
          </w:tcPr>
          <w:p w14:paraId="64A44BAF" w14:textId="44802CCE" w:rsidR="00E15762" w:rsidRPr="00FF63D1" w:rsidRDefault="00E15762">
            <w:pPr>
              <w:rPr>
                <w:rFonts w:eastAsia="Calibri"/>
                <w:noProof/>
              </w:rPr>
            </w:pPr>
            <w:r w:rsidRPr="00F261DB">
              <w:rPr>
                <w:rFonts w:eastAsia="Calibri"/>
                <w:noProof/>
                <w:szCs w:val="20"/>
              </w:rPr>
              <w:t>Proposal for a Regulation on the End-of-Life Vehicles</w:t>
            </w:r>
          </w:p>
        </w:tc>
        <w:tc>
          <w:tcPr>
            <w:tcW w:w="1271" w:type="pct"/>
          </w:tcPr>
          <w:p w14:paraId="0DF86A18" w14:textId="409C9658" w:rsidR="00E15762" w:rsidRPr="00FF63D1" w:rsidRDefault="00E15762">
            <w:pPr>
              <w:rPr>
                <w:noProof/>
              </w:rPr>
            </w:pPr>
          </w:p>
        </w:tc>
        <w:tc>
          <w:tcPr>
            <w:tcW w:w="788" w:type="pct"/>
          </w:tcPr>
          <w:p w14:paraId="0E0AD551" w14:textId="0A5E3AEA" w:rsidR="00E15762" w:rsidRPr="00F261DB" w:rsidRDefault="00E15762">
            <w:pPr>
              <w:rPr>
                <w:noProof/>
                <w:szCs w:val="20"/>
              </w:rPr>
            </w:pPr>
            <w:r w:rsidRPr="00F261DB">
              <w:rPr>
                <w:noProof/>
              </w:rPr>
              <w:t>Proposal for Ecodesign and Energy Labelling rules for PV modules</w:t>
            </w:r>
          </w:p>
        </w:tc>
        <w:tc>
          <w:tcPr>
            <w:tcW w:w="748" w:type="pct"/>
          </w:tcPr>
          <w:p w14:paraId="68AB05DE" w14:textId="5D99B080" w:rsidR="009650A1" w:rsidRPr="00020C03" w:rsidRDefault="009650A1">
            <w:pPr>
              <w:rPr>
                <w:noProof/>
              </w:rPr>
            </w:pPr>
            <w:r w:rsidRPr="00020C03">
              <w:rPr>
                <w:noProof/>
              </w:rPr>
              <w:t>New harmoni</w:t>
            </w:r>
            <w:r w:rsidR="00463B04">
              <w:rPr>
                <w:noProof/>
              </w:rPr>
              <w:t>s</w:t>
            </w:r>
            <w:r w:rsidRPr="00020C03">
              <w:rPr>
                <w:noProof/>
              </w:rPr>
              <w:t>ed standard on cement GHG emissions</w:t>
            </w:r>
          </w:p>
        </w:tc>
        <w:tc>
          <w:tcPr>
            <w:tcW w:w="917" w:type="pct"/>
          </w:tcPr>
          <w:p w14:paraId="50A6398D" w14:textId="11A11284" w:rsidR="00E15762" w:rsidRPr="00020C03" w:rsidRDefault="00E15762">
            <w:pPr>
              <w:rPr>
                <w:noProof/>
              </w:rPr>
            </w:pPr>
          </w:p>
        </w:tc>
      </w:tr>
      <w:tr w:rsidR="00E15762" w:rsidRPr="00F261DB" w14:paraId="3E432E52" w14:textId="77777777">
        <w:trPr>
          <w:trHeight w:val="300"/>
        </w:trPr>
        <w:tc>
          <w:tcPr>
            <w:tcW w:w="562" w:type="pct"/>
            <w:vMerge w:val="restart"/>
          </w:tcPr>
          <w:p w14:paraId="0F168B16" w14:textId="77777777" w:rsidR="00E15762" w:rsidRPr="00FF63D1" w:rsidRDefault="00E15762">
            <w:pPr>
              <w:rPr>
                <w:b/>
                <w:noProof/>
              </w:rPr>
            </w:pPr>
            <w:r w:rsidRPr="00FF63D1">
              <w:rPr>
                <w:b/>
                <w:noProof/>
              </w:rPr>
              <w:t>To be adopted in 2026</w:t>
            </w:r>
          </w:p>
        </w:tc>
        <w:tc>
          <w:tcPr>
            <w:tcW w:w="714" w:type="pct"/>
          </w:tcPr>
          <w:p w14:paraId="6EE2752D" w14:textId="77777777" w:rsidR="00E15762" w:rsidRPr="00FF63D1" w:rsidRDefault="00E15762">
            <w:pPr>
              <w:rPr>
                <w:noProof/>
              </w:rPr>
            </w:pPr>
            <w:r w:rsidRPr="00FF63D1">
              <w:rPr>
                <w:noProof/>
              </w:rPr>
              <w:t>Circular Economy Act</w:t>
            </w:r>
          </w:p>
        </w:tc>
        <w:tc>
          <w:tcPr>
            <w:tcW w:w="1271" w:type="pct"/>
          </w:tcPr>
          <w:p w14:paraId="00B6234E" w14:textId="77777777" w:rsidR="00E15762" w:rsidRPr="00F261DB" w:rsidRDefault="00E15762">
            <w:pPr>
              <w:rPr>
                <w:noProof/>
                <w:szCs w:val="20"/>
              </w:rPr>
            </w:pPr>
            <w:r w:rsidRPr="00F261DB">
              <w:rPr>
                <w:noProof/>
                <w:szCs w:val="20"/>
              </w:rPr>
              <w:t xml:space="preserve">Electrification Action Plan </w:t>
            </w:r>
          </w:p>
          <w:p w14:paraId="75DF31EB" w14:textId="3EA91702" w:rsidR="00CF1F1D" w:rsidRPr="00F261DB" w:rsidRDefault="00CF1F1D">
            <w:pPr>
              <w:rPr>
                <w:noProof/>
                <w:szCs w:val="20"/>
              </w:rPr>
            </w:pPr>
            <w:r w:rsidRPr="00FF63D1">
              <w:rPr>
                <w:noProof/>
              </w:rPr>
              <w:t>Strategic Roadmap for digitalisation and AI in the energy sector</w:t>
            </w:r>
          </w:p>
          <w:p w14:paraId="667526CC" w14:textId="77777777" w:rsidR="00E15762" w:rsidRPr="00F261DB" w:rsidRDefault="00E15762">
            <w:pPr>
              <w:rPr>
                <w:noProof/>
                <w:szCs w:val="20"/>
              </w:rPr>
            </w:pPr>
          </w:p>
        </w:tc>
        <w:tc>
          <w:tcPr>
            <w:tcW w:w="788" w:type="pct"/>
          </w:tcPr>
          <w:p w14:paraId="38C2794A" w14:textId="602CC9C7" w:rsidR="79612F1B" w:rsidRPr="00F261DB" w:rsidRDefault="79612F1B" w:rsidP="60A619C0">
            <w:pPr>
              <w:rPr>
                <w:noProof/>
              </w:rPr>
            </w:pPr>
            <w:r w:rsidRPr="00F261DB">
              <w:rPr>
                <w:noProof/>
              </w:rPr>
              <w:t>Automotive Action Plan</w:t>
            </w:r>
          </w:p>
        </w:tc>
        <w:tc>
          <w:tcPr>
            <w:tcW w:w="748" w:type="pct"/>
          </w:tcPr>
          <w:p w14:paraId="375E5A8B" w14:textId="77777777" w:rsidR="00E15762" w:rsidRPr="00FF63D1" w:rsidRDefault="00E15762">
            <w:pPr>
              <w:rPr>
                <w:noProof/>
              </w:rPr>
            </w:pPr>
            <w:r w:rsidRPr="00F261DB">
              <w:rPr>
                <w:noProof/>
                <w:szCs w:val="20"/>
              </w:rPr>
              <w:t>Strategy on Heating and Cooling</w:t>
            </w:r>
            <w:r w:rsidRPr="00FF63D1">
              <w:rPr>
                <w:noProof/>
              </w:rPr>
              <w:t xml:space="preserve"> </w:t>
            </w:r>
          </w:p>
        </w:tc>
        <w:tc>
          <w:tcPr>
            <w:tcW w:w="917" w:type="pct"/>
          </w:tcPr>
          <w:p w14:paraId="39C46428" w14:textId="77777777" w:rsidR="00E15762" w:rsidRPr="00FF63D1" w:rsidRDefault="00E15762">
            <w:pPr>
              <w:rPr>
                <w:noProof/>
              </w:rPr>
            </w:pPr>
            <w:r w:rsidRPr="00FF63D1">
              <w:rPr>
                <w:noProof/>
              </w:rPr>
              <w:t>Revision of the Public Procurement Framework</w:t>
            </w:r>
          </w:p>
        </w:tc>
      </w:tr>
      <w:tr w:rsidR="00C15CBC" w:rsidRPr="00F261DB" w14:paraId="0D3A477B" w14:textId="77777777" w:rsidTr="00C15CBC">
        <w:trPr>
          <w:trHeight w:val="300"/>
        </w:trPr>
        <w:tc>
          <w:tcPr>
            <w:tcW w:w="562" w:type="pct"/>
            <w:vMerge/>
          </w:tcPr>
          <w:p w14:paraId="620BE9BF" w14:textId="77777777" w:rsidR="00C15CBC" w:rsidRPr="00FF63D1" w:rsidRDefault="00C15CBC">
            <w:pPr>
              <w:rPr>
                <w:b/>
                <w:noProof/>
              </w:rPr>
            </w:pPr>
          </w:p>
        </w:tc>
        <w:tc>
          <w:tcPr>
            <w:tcW w:w="4438" w:type="pct"/>
            <w:gridSpan w:val="5"/>
          </w:tcPr>
          <w:p w14:paraId="099DFE87" w14:textId="4358746D" w:rsidR="00C15CBC" w:rsidRPr="00FF63D1" w:rsidRDefault="00C15CBC">
            <w:pPr>
              <w:rPr>
                <w:noProof/>
              </w:rPr>
            </w:pPr>
            <w:r w:rsidRPr="00F261DB">
              <w:rPr>
                <w:noProof/>
                <w:szCs w:val="20"/>
              </w:rPr>
              <w:t>Cloud and AI Development Act</w:t>
            </w:r>
          </w:p>
        </w:tc>
      </w:tr>
    </w:tbl>
    <w:p w14:paraId="3254C6D2" w14:textId="77777777" w:rsidR="00E15762" w:rsidRPr="00FF63D1" w:rsidRDefault="00E15762" w:rsidP="00E15762">
      <w:pPr>
        <w:spacing w:after="120"/>
        <w:rPr>
          <w:noProof/>
        </w:rPr>
      </w:pPr>
    </w:p>
    <w:p w14:paraId="6B363857" w14:textId="42A20EF5" w:rsidR="00020031" w:rsidRPr="00E419A7" w:rsidRDefault="00492F72" w:rsidP="00020C03">
      <w:pPr>
        <w:pStyle w:val="Heading3"/>
        <w:numPr>
          <w:ilvl w:val="0"/>
          <w:numId w:val="0"/>
        </w:numPr>
        <w:ind w:left="720" w:hanging="720"/>
        <w:rPr>
          <w:b/>
          <w:lang w:val="en-IE"/>
        </w:rPr>
      </w:pPr>
      <w:r w:rsidRPr="00815C94">
        <w:rPr>
          <w:b/>
        </w:rPr>
        <w:t>Non-exhaustive o</w:t>
      </w:r>
      <w:r w:rsidR="00020031" w:rsidRPr="00E419A7">
        <w:rPr>
          <w:b/>
          <w:i w:val="0"/>
          <w:lang w:val="en-IE"/>
        </w:rPr>
        <w:t>verview of existing instruments</w:t>
      </w:r>
    </w:p>
    <w:p w14:paraId="1A1C487C" w14:textId="77777777" w:rsidR="00020031" w:rsidRPr="00FF63D1" w:rsidRDefault="00020031">
      <w:pPr>
        <w:rPr>
          <w:b/>
          <w:i/>
          <w:noProof/>
        </w:rPr>
      </w:pPr>
    </w:p>
    <w:p w14:paraId="4A157FA8" w14:textId="77777777" w:rsidR="00020031" w:rsidRPr="00FF63D1" w:rsidRDefault="00020031" w:rsidP="00310741">
      <w:pPr>
        <w:spacing w:after="120"/>
        <w:rPr>
          <w:noProof/>
        </w:rPr>
      </w:pPr>
      <w:r w:rsidRPr="00FF63D1">
        <w:rPr>
          <w:noProof/>
        </w:rPr>
        <w:t>This initiative is one of the key deliverables of the Clean Industrial Deal, aiming to complement and build upon existing legislation and policy framework relevant to EIIs:</w:t>
      </w:r>
    </w:p>
    <w:p w14:paraId="35CF3C3B" w14:textId="2287ADCE" w:rsidR="00020031" w:rsidRPr="00F261DB" w:rsidRDefault="719AC623" w:rsidP="00257D37">
      <w:pPr>
        <w:pStyle w:val="ListParagraph"/>
        <w:numPr>
          <w:ilvl w:val="0"/>
          <w:numId w:val="20"/>
        </w:numPr>
        <w:spacing w:after="240"/>
        <w:rPr>
          <w:rFonts w:eastAsia="Calibri"/>
          <w:noProof/>
        </w:rPr>
      </w:pPr>
      <w:r w:rsidRPr="00F261DB">
        <w:rPr>
          <w:rFonts w:eastAsia="Calibri"/>
          <w:noProof/>
        </w:rPr>
        <w:t xml:space="preserve">The European </w:t>
      </w:r>
      <w:r w:rsidRPr="1A2A8689">
        <w:rPr>
          <w:rFonts w:eastAsia="Calibri"/>
          <w:b/>
          <w:bCs/>
          <w:noProof/>
        </w:rPr>
        <w:t>Climate Law</w:t>
      </w:r>
      <w:r w:rsidR="0091471B" w:rsidRPr="00FF63D1">
        <w:rPr>
          <w:rStyle w:val="FootnoteReference"/>
          <w:rFonts w:eastAsia="Calibri"/>
          <w:noProof/>
        </w:rPr>
        <w:footnoteReference w:id="506"/>
      </w:r>
      <w:r w:rsidRPr="00F261DB">
        <w:rPr>
          <w:rFonts w:eastAsia="Calibri"/>
          <w:noProof/>
        </w:rPr>
        <w:t xml:space="preserve"> enshrines in legislation the EU’s commitment to reach climate neutrality by 2050 and the intermediate target of at least 55% net GHG emissions reduction by 2030, compared to 1990 levels. In July 2025, the Commission </w:t>
      </w:r>
      <w:r w:rsidR="00E50645">
        <w:rPr>
          <w:rFonts w:eastAsia="Calibri"/>
          <w:noProof/>
        </w:rPr>
        <w:t xml:space="preserve">proposed an amendment to the European Climate Law (ECL) introducing </w:t>
      </w:r>
      <w:r w:rsidRPr="00F261DB">
        <w:rPr>
          <w:rFonts w:eastAsia="Calibri"/>
          <w:noProof/>
        </w:rPr>
        <w:t>a 2040 EU climate target of 90% reduction in GHG emissions, compared to 1990 levels.</w:t>
      </w:r>
      <w:r w:rsidR="0080692A">
        <w:rPr>
          <w:rFonts w:eastAsia="Calibri"/>
          <w:noProof/>
        </w:rPr>
        <w:t xml:space="preserve"> In December 2025,</w:t>
      </w:r>
      <w:r w:rsidR="0080692A" w:rsidRPr="001563E0">
        <w:rPr>
          <w:noProof/>
        </w:rPr>
        <w:t xml:space="preserve"> </w:t>
      </w:r>
      <w:r w:rsidR="0080692A">
        <w:rPr>
          <w:rFonts w:eastAsia="Calibri"/>
          <w:noProof/>
        </w:rPr>
        <w:t>t</w:t>
      </w:r>
      <w:r w:rsidR="0080692A" w:rsidRPr="001563E0">
        <w:rPr>
          <w:rFonts w:eastAsia="Calibri"/>
          <w:noProof/>
        </w:rPr>
        <w:t xml:space="preserve">he Council presidency and the European Parliament’s representatives reached a provisional agreement on </w:t>
      </w:r>
      <w:r w:rsidR="0080692A">
        <w:rPr>
          <w:rFonts w:eastAsia="Calibri"/>
          <w:noProof/>
        </w:rPr>
        <w:t>the amendment.</w:t>
      </w:r>
      <w:r w:rsidR="0080692A" w:rsidRPr="00F261DB">
        <w:rPr>
          <w:rFonts w:eastAsia="Calibri"/>
          <w:noProof/>
        </w:rPr>
        <w:t xml:space="preserve"> </w:t>
      </w:r>
      <w:r w:rsidRPr="00F261DB">
        <w:rPr>
          <w:rFonts w:eastAsia="Calibri"/>
          <w:noProof/>
        </w:rPr>
        <w:t xml:space="preserve"> </w:t>
      </w:r>
      <w:r w:rsidRPr="3F0F1197">
        <w:rPr>
          <w:rFonts w:ascii="Wingdings" w:eastAsia="Wingdings" w:hAnsi="Wingdings" w:cs="Wingdings"/>
          <w:i/>
          <w:iCs/>
          <w:noProof/>
        </w:rPr>
        <w:t></w:t>
      </w:r>
      <w:r w:rsidRPr="3F0F1197">
        <w:rPr>
          <w:rFonts w:eastAsia="Calibri"/>
          <w:i/>
          <w:iCs/>
          <w:noProof/>
        </w:rPr>
        <w:t xml:space="preserve"> </w:t>
      </w:r>
      <w:r w:rsidR="2AFE1C82" w:rsidRPr="3F0F1197">
        <w:rPr>
          <w:rFonts w:eastAsia="Calibri"/>
          <w:i/>
          <w:iCs/>
          <w:noProof/>
        </w:rPr>
        <w:t>IAA</w:t>
      </w:r>
      <w:r w:rsidRPr="3F0F1197">
        <w:rPr>
          <w:rFonts w:eastAsia="Calibri"/>
          <w:i/>
          <w:iCs/>
          <w:noProof/>
        </w:rPr>
        <w:t xml:space="preserve"> aims to contribute to achieving the Climate Law’s commitment by supporting decarbonisation investment in industry.</w:t>
      </w:r>
      <w:r w:rsidRPr="00F261DB">
        <w:rPr>
          <w:rFonts w:eastAsia="Calibri"/>
          <w:noProof/>
        </w:rPr>
        <w:t xml:space="preserve"> </w:t>
      </w:r>
    </w:p>
    <w:p w14:paraId="218094E1" w14:textId="77777777" w:rsidR="00AB2912" w:rsidRPr="00F261DB" w:rsidRDefault="00AB2912">
      <w:pPr>
        <w:pStyle w:val="ListParagraph"/>
        <w:ind w:left="0"/>
        <w:rPr>
          <w:rFonts w:eastAsia="Calibri"/>
          <w:noProof/>
        </w:rPr>
      </w:pPr>
    </w:p>
    <w:p w14:paraId="292A672E" w14:textId="7CF82582" w:rsidR="00020031" w:rsidRPr="00FF63D1" w:rsidRDefault="719AC623" w:rsidP="00257D37">
      <w:pPr>
        <w:pStyle w:val="ListParagraph"/>
        <w:numPr>
          <w:ilvl w:val="0"/>
          <w:numId w:val="20"/>
        </w:numPr>
        <w:spacing w:after="240"/>
        <w:rPr>
          <w:noProof/>
        </w:rPr>
      </w:pPr>
      <w:r w:rsidRPr="00F261DB">
        <w:rPr>
          <w:noProof/>
        </w:rPr>
        <w:t xml:space="preserve">The </w:t>
      </w:r>
      <w:r w:rsidRPr="1A2A8689">
        <w:rPr>
          <w:b/>
          <w:bCs/>
          <w:noProof/>
        </w:rPr>
        <w:t>EU E</w:t>
      </w:r>
      <w:r w:rsidR="500F41DE" w:rsidRPr="1A2A8689">
        <w:rPr>
          <w:b/>
          <w:bCs/>
          <w:noProof/>
        </w:rPr>
        <w:t xml:space="preserve">mission </w:t>
      </w:r>
      <w:r w:rsidRPr="1A2A8689">
        <w:rPr>
          <w:b/>
          <w:bCs/>
          <w:noProof/>
        </w:rPr>
        <w:t>T</w:t>
      </w:r>
      <w:r w:rsidR="500F41DE" w:rsidRPr="1A2A8689">
        <w:rPr>
          <w:b/>
          <w:bCs/>
          <w:noProof/>
        </w:rPr>
        <w:t xml:space="preserve">rading </w:t>
      </w:r>
      <w:r w:rsidRPr="1A2A8689">
        <w:rPr>
          <w:b/>
          <w:bCs/>
          <w:noProof/>
        </w:rPr>
        <w:t>S</w:t>
      </w:r>
      <w:r w:rsidR="500F41DE" w:rsidRPr="1A2A8689">
        <w:rPr>
          <w:b/>
          <w:bCs/>
          <w:noProof/>
        </w:rPr>
        <w:t>ystem</w:t>
      </w:r>
      <w:r w:rsidR="00372C5B" w:rsidRPr="00FF63D1">
        <w:rPr>
          <w:rStyle w:val="FootnoteReference"/>
          <w:noProof/>
        </w:rPr>
        <w:footnoteReference w:id="507"/>
      </w:r>
      <w:r w:rsidRPr="00F261DB">
        <w:rPr>
          <w:noProof/>
        </w:rPr>
        <w:t xml:space="preserve"> </w:t>
      </w:r>
      <w:r w:rsidR="500F41DE" w:rsidRPr="00F261DB">
        <w:rPr>
          <w:noProof/>
        </w:rPr>
        <w:t xml:space="preserve">(EU ETS) </w:t>
      </w:r>
      <w:r w:rsidRPr="00F261DB">
        <w:rPr>
          <w:noProof/>
        </w:rPr>
        <w:t xml:space="preserve">is the main climate policy instrument to reduce GHG emissions in </w:t>
      </w:r>
      <w:r w:rsidR="00B431FF">
        <w:rPr>
          <w:noProof/>
        </w:rPr>
        <w:t xml:space="preserve">the power sector and </w:t>
      </w:r>
      <w:r w:rsidRPr="00F261DB">
        <w:rPr>
          <w:noProof/>
        </w:rPr>
        <w:t>energy intensive industries operating in Europe. While the EU ETS remains an important cornerstone for reducing industrial emissions cost-effectively, it is not sufficient on its own to create a market for low-carbon products and address the broader structural challenges faced by EIIs, for instance due to these sectors’ exposure to international competition and limited capacity to pass carbon costs through to the consumer</w:t>
      </w:r>
      <w:r w:rsidR="0014320C" w:rsidRPr="3F0F1197">
        <w:rPr>
          <w:i/>
          <w:iCs/>
          <w:noProof/>
        </w:rPr>
        <w:t>.</w:t>
      </w:r>
      <w:r w:rsidR="0014320C" w:rsidRPr="00FF63D1">
        <w:rPr>
          <w:noProof/>
        </w:rPr>
        <w:t xml:space="preserve"> </w:t>
      </w:r>
      <w:r w:rsidRPr="3F0F1197">
        <w:rPr>
          <w:rFonts w:ascii="Wingdings" w:eastAsia="Wingdings" w:hAnsi="Wingdings" w:cs="Wingdings"/>
          <w:i/>
          <w:iCs/>
          <w:noProof/>
        </w:rPr>
        <w:t></w:t>
      </w:r>
      <w:r w:rsidRPr="3F0F1197">
        <w:rPr>
          <w:i/>
          <w:iCs/>
          <w:noProof/>
        </w:rPr>
        <w:t xml:space="preserve"> </w:t>
      </w:r>
      <w:r w:rsidR="2AFE1C82" w:rsidRPr="3F0F1197">
        <w:rPr>
          <w:i/>
          <w:iCs/>
          <w:noProof/>
        </w:rPr>
        <w:t>IAA</w:t>
      </w:r>
      <w:r w:rsidRPr="3F0F1197">
        <w:rPr>
          <w:i/>
          <w:iCs/>
          <w:noProof/>
        </w:rPr>
        <w:t>’s measures, notably on lead markets, complement the price signal provided by the EU ETS. The EU ETS MRV system is used to verify data under the label on steel.</w:t>
      </w:r>
      <w:r w:rsidRPr="00F261DB">
        <w:rPr>
          <w:noProof/>
        </w:rPr>
        <w:t xml:space="preserve"> </w:t>
      </w:r>
    </w:p>
    <w:p w14:paraId="5AC506A2" w14:textId="77777777" w:rsidR="00020031" w:rsidRPr="00FF63D1" w:rsidRDefault="00020031">
      <w:pPr>
        <w:pStyle w:val="ListParagraph"/>
        <w:ind w:left="0"/>
        <w:rPr>
          <w:noProof/>
        </w:rPr>
      </w:pPr>
    </w:p>
    <w:p w14:paraId="539C5429" w14:textId="0439D597" w:rsidR="00310741" w:rsidRDefault="404A2814" w:rsidP="00310741">
      <w:pPr>
        <w:pStyle w:val="ListParagraph"/>
        <w:numPr>
          <w:ilvl w:val="0"/>
          <w:numId w:val="20"/>
        </w:numPr>
        <w:spacing w:after="240"/>
        <w:rPr>
          <w:noProof/>
        </w:rPr>
      </w:pPr>
      <w:r w:rsidRPr="00F261DB">
        <w:rPr>
          <w:noProof/>
        </w:rPr>
        <w:t xml:space="preserve">In 2023, the </w:t>
      </w:r>
      <w:r w:rsidRPr="1A2A8689">
        <w:rPr>
          <w:b/>
          <w:bCs/>
          <w:noProof/>
        </w:rPr>
        <w:t>C</w:t>
      </w:r>
      <w:r w:rsidR="500F41DE" w:rsidRPr="1A2A8689">
        <w:rPr>
          <w:b/>
          <w:bCs/>
          <w:noProof/>
        </w:rPr>
        <w:t xml:space="preserve">arbon </w:t>
      </w:r>
      <w:r w:rsidRPr="1A2A8689">
        <w:rPr>
          <w:b/>
          <w:bCs/>
          <w:noProof/>
        </w:rPr>
        <w:t>B</w:t>
      </w:r>
      <w:r w:rsidR="500F41DE" w:rsidRPr="1A2A8689">
        <w:rPr>
          <w:b/>
          <w:bCs/>
          <w:noProof/>
        </w:rPr>
        <w:t xml:space="preserve">order </w:t>
      </w:r>
      <w:r w:rsidRPr="1A2A8689">
        <w:rPr>
          <w:b/>
          <w:bCs/>
          <w:noProof/>
        </w:rPr>
        <w:t>A</w:t>
      </w:r>
      <w:r w:rsidR="500F41DE" w:rsidRPr="1A2A8689">
        <w:rPr>
          <w:b/>
          <w:bCs/>
          <w:noProof/>
        </w:rPr>
        <w:t xml:space="preserve">djustment </w:t>
      </w:r>
      <w:r w:rsidRPr="1A2A8689">
        <w:rPr>
          <w:b/>
          <w:bCs/>
          <w:noProof/>
        </w:rPr>
        <w:t>M</w:t>
      </w:r>
      <w:r w:rsidR="500F41DE" w:rsidRPr="1A2A8689">
        <w:rPr>
          <w:b/>
          <w:bCs/>
          <w:noProof/>
        </w:rPr>
        <w:t>echanism</w:t>
      </w:r>
      <w:r w:rsidRPr="00F261DB">
        <w:rPr>
          <w:noProof/>
        </w:rPr>
        <w:t xml:space="preserve"> </w:t>
      </w:r>
      <w:r w:rsidRPr="1A2A8689">
        <w:rPr>
          <w:b/>
          <w:bCs/>
          <w:noProof/>
        </w:rPr>
        <w:t>Regulation</w:t>
      </w:r>
      <w:r w:rsidR="00020031" w:rsidRPr="00FF63D1">
        <w:rPr>
          <w:rStyle w:val="FootnoteReference"/>
          <w:noProof/>
        </w:rPr>
        <w:footnoteReference w:id="508"/>
      </w:r>
      <w:r w:rsidRPr="00F261DB">
        <w:rPr>
          <w:noProof/>
        </w:rPr>
        <w:t xml:space="preserve"> </w:t>
      </w:r>
      <w:r w:rsidR="500F41DE" w:rsidRPr="00F261DB">
        <w:rPr>
          <w:noProof/>
        </w:rPr>
        <w:t xml:space="preserve">(CBAM) </w:t>
      </w:r>
      <w:r w:rsidRPr="00F261DB">
        <w:rPr>
          <w:noProof/>
        </w:rPr>
        <w:t xml:space="preserve">entered into force in its transitional phase with the aim of subjecting the import of certain </w:t>
      </w:r>
      <w:r w:rsidRPr="00F261DB" w:rsidDel="545C8C3C">
        <w:rPr>
          <w:noProof/>
        </w:rPr>
        <w:t>carbon</w:t>
      </w:r>
      <w:r w:rsidR="5680C509" w:rsidRPr="00F261DB">
        <w:rPr>
          <w:noProof/>
        </w:rPr>
        <w:t>-</w:t>
      </w:r>
      <w:r w:rsidRPr="00F261DB">
        <w:rPr>
          <w:noProof/>
        </w:rPr>
        <w:t xml:space="preserve">intensive products from third countries to a financial adjustment equivalent to the carbon price paid under the EU ETS for the production of these products. The CBAM covers the following energy-intensive sectors: iron and steel, cement, fertilisers, aluminium, and hydrogen. It will start having financial implications in its definitive phase as of 2026. The CBAM financial adjustment for imports will be phased in gradually until 2034, in parallel to the gradual phasing out of ETS free allowances for the sectors covered. </w:t>
      </w:r>
      <w:r w:rsidRPr="00F261DB">
        <w:rPr>
          <w:rFonts w:ascii="Wingdings" w:eastAsia="Wingdings" w:hAnsi="Wingdings" w:cs="Wingdings"/>
          <w:noProof/>
        </w:rPr>
        <w:t></w:t>
      </w:r>
      <w:r w:rsidRPr="00F261DB">
        <w:rPr>
          <w:noProof/>
        </w:rPr>
        <w:t xml:space="preserve"> </w:t>
      </w:r>
      <w:r w:rsidRPr="3F0F1197">
        <w:rPr>
          <w:i/>
          <w:iCs/>
          <w:noProof/>
        </w:rPr>
        <w:t xml:space="preserve">The CBAM MRV approach is used to allow importers to comply with the label on steel. </w:t>
      </w:r>
    </w:p>
    <w:p w14:paraId="465A223E" w14:textId="6FB1EED9" w:rsidR="00310741" w:rsidRPr="00F261DB" w:rsidRDefault="00310741" w:rsidP="00310741">
      <w:pPr>
        <w:pStyle w:val="ListParagraph"/>
        <w:spacing w:after="240"/>
        <w:rPr>
          <w:noProof/>
        </w:rPr>
      </w:pPr>
    </w:p>
    <w:p w14:paraId="7ECA34DD" w14:textId="446B774A" w:rsidR="00020031" w:rsidRPr="00F261DB" w:rsidRDefault="404A2814" w:rsidP="00257D37">
      <w:pPr>
        <w:pStyle w:val="ListParagraph"/>
        <w:numPr>
          <w:ilvl w:val="0"/>
          <w:numId w:val="20"/>
        </w:numPr>
        <w:spacing w:after="240"/>
        <w:rPr>
          <w:rFonts w:eastAsia="Times New Roman"/>
          <w:noProof/>
        </w:rPr>
      </w:pPr>
      <w:r w:rsidRPr="00FF63D1">
        <w:rPr>
          <w:noProof/>
        </w:rPr>
        <w:t xml:space="preserve">The </w:t>
      </w:r>
      <w:r w:rsidRPr="1A2A8689">
        <w:rPr>
          <w:b/>
          <w:bCs/>
          <w:noProof/>
        </w:rPr>
        <w:t>Industrial and Livestock Rearing Emissions Directive</w:t>
      </w:r>
      <w:r w:rsidR="00020031" w:rsidRPr="00FF63D1">
        <w:rPr>
          <w:rStyle w:val="FootnoteReference"/>
          <w:noProof/>
        </w:rPr>
        <w:footnoteReference w:id="509"/>
      </w:r>
      <w:r w:rsidRPr="00F261DB">
        <w:rPr>
          <w:noProof/>
        </w:rPr>
        <w:t xml:space="preserve"> </w:t>
      </w:r>
      <w:r w:rsidR="4ED008D1" w:rsidRPr="00FF63D1">
        <w:rPr>
          <w:noProof/>
        </w:rPr>
        <w:t xml:space="preserve">(IED) </w:t>
      </w:r>
      <w:r w:rsidRPr="00FF63D1">
        <w:rPr>
          <w:noProof/>
        </w:rPr>
        <w:t xml:space="preserve">lays down rules </w:t>
      </w:r>
      <w:r w:rsidRPr="00F261DB">
        <w:rPr>
          <w:noProof/>
        </w:rPr>
        <w:t>on integrated prevention and control of pollution arising from industrial activities</w:t>
      </w:r>
      <w:r w:rsidRPr="00FF63D1">
        <w:rPr>
          <w:noProof/>
        </w:rPr>
        <w:t xml:space="preserve"> and designed to prevent or, where that is not practicable, to continuously reduce emissions into air, water and land, to prevent the generation of waste, improve resource efficiency, and to promote the circular economy and decarbonisation, in order to achieve a high level of protection of human health and the environment taken as a whole. It applies to the </w:t>
      </w:r>
      <w:r w:rsidRPr="00F261DB">
        <w:rPr>
          <w:noProof/>
        </w:rPr>
        <w:t>industrial activities giving rise to pollution referred to in its Annexes I and Ia, notably to EII.</w:t>
      </w:r>
      <w:r w:rsidR="75061F60" w:rsidRPr="00F261DB">
        <w:rPr>
          <w:noProof/>
        </w:rPr>
        <w:t xml:space="preserve"> </w:t>
      </w:r>
      <w:r w:rsidRPr="00F261DB">
        <w:rPr>
          <w:rFonts w:eastAsia="Times New Roman"/>
          <w:noProof/>
        </w:rPr>
        <w:t>Approximately 37</w:t>
      </w:r>
      <w:r w:rsidR="217EA473">
        <w:rPr>
          <w:rFonts w:eastAsia="Times New Roman"/>
          <w:noProof/>
        </w:rPr>
        <w:t xml:space="preserve"> </w:t>
      </w:r>
      <w:r w:rsidRPr="00F261DB">
        <w:rPr>
          <w:rFonts w:eastAsia="Times New Roman"/>
          <w:noProof/>
        </w:rPr>
        <w:t>000 industrial installations are subject to permitting requirements under the Directive. In a 2024 revision to the Directive a new Innovation Centre for Industrial Transformation and Emissions (INCITE) will gather information on innovative pollution control solutions and transformative technologies, helping to speed up their development</w:t>
      </w:r>
      <w:r w:rsidR="75061F60" w:rsidRPr="00F261DB">
        <w:rPr>
          <w:rFonts w:eastAsia="Times New Roman"/>
          <w:noProof/>
        </w:rPr>
        <w:t xml:space="preserve">. </w:t>
      </w:r>
      <w:r w:rsidRPr="00F261DB">
        <w:rPr>
          <w:rFonts w:eastAsia="Times New Roman"/>
          <w:noProof/>
        </w:rPr>
        <w:t xml:space="preserve">Additionally, new flexibilities in permitting will allow frontrunners to test and deploy emerging techniques and will facilitate deep industrial transformation, including EII. The IED requires Member States to make the operation of an installation subject to obtaining a permit containing conditions set in accordance with the principles and provisions of the IED. The permit conditions should take into account the environmental performance of an installation, including emissions to air, water and soil. In that regard, the permit should include emission limit values. </w:t>
      </w:r>
      <w:r w:rsidRPr="3F0F1197">
        <w:rPr>
          <w:rFonts w:ascii="Wingdings" w:eastAsia="Wingdings" w:hAnsi="Wingdings" w:cs="Wingdings"/>
          <w:i/>
          <w:iCs/>
          <w:noProof/>
        </w:rPr>
        <w:t></w:t>
      </w:r>
      <w:r w:rsidRPr="3F0F1197">
        <w:rPr>
          <w:rFonts w:eastAsia="Times New Roman"/>
          <w:i/>
          <w:iCs/>
          <w:noProof/>
        </w:rPr>
        <w:t xml:space="preserve"> </w:t>
      </w:r>
      <w:r w:rsidR="2AFE1C82" w:rsidRPr="3F0F1197">
        <w:rPr>
          <w:rFonts w:eastAsia="Times New Roman"/>
          <w:i/>
          <w:iCs/>
          <w:noProof/>
        </w:rPr>
        <w:t>IAA</w:t>
      </w:r>
      <w:r w:rsidRPr="3F0F1197" w:rsidDel="002B6329">
        <w:rPr>
          <w:rFonts w:eastAsia="Times New Roman"/>
          <w:i/>
          <w:iCs/>
          <w:noProof/>
        </w:rPr>
        <w:t xml:space="preserve"> </w:t>
      </w:r>
      <w:r w:rsidR="74C9C5EE" w:rsidRPr="3F0F1197">
        <w:rPr>
          <w:rFonts w:eastAsia="Times New Roman"/>
          <w:i/>
          <w:iCs/>
          <w:noProof/>
        </w:rPr>
        <w:t>suggests</w:t>
      </w:r>
      <w:r w:rsidRPr="3F0F1197">
        <w:rPr>
          <w:rFonts w:eastAsia="Times New Roman"/>
          <w:i/>
          <w:iCs/>
          <w:noProof/>
        </w:rPr>
        <w:t xml:space="preserve"> INCITE to provide assistance for innovative projects. </w:t>
      </w:r>
      <w:r w:rsidR="2AFE1C82" w:rsidRPr="3F0F1197">
        <w:rPr>
          <w:rFonts w:eastAsia="Times New Roman"/>
          <w:i/>
          <w:iCs/>
          <w:noProof/>
        </w:rPr>
        <w:t>IAA</w:t>
      </w:r>
      <w:r w:rsidRPr="3F0F1197">
        <w:rPr>
          <w:rFonts w:eastAsia="Times New Roman"/>
          <w:i/>
          <w:iCs/>
          <w:noProof/>
        </w:rPr>
        <w:t xml:space="preserve"> provisions on permitting could help streamline the implementation of the IED.</w:t>
      </w:r>
      <w:r w:rsidRPr="00F261DB">
        <w:rPr>
          <w:rFonts w:eastAsia="Times New Roman"/>
          <w:noProof/>
        </w:rPr>
        <w:t xml:space="preserve"> </w:t>
      </w:r>
    </w:p>
    <w:p w14:paraId="2E5AEBDC" w14:textId="77777777" w:rsidR="00020031" w:rsidRPr="00F261DB" w:rsidRDefault="00020031">
      <w:pPr>
        <w:pStyle w:val="ListParagraph"/>
        <w:ind w:left="0"/>
        <w:rPr>
          <w:rFonts w:eastAsia="Times New Roman"/>
          <w:noProof/>
        </w:rPr>
      </w:pPr>
    </w:p>
    <w:p w14:paraId="71172E36" w14:textId="69CC3935" w:rsidR="00020031" w:rsidRPr="00FF63D1" w:rsidRDefault="719AC623" w:rsidP="00257D37">
      <w:pPr>
        <w:pStyle w:val="ListParagraph"/>
        <w:numPr>
          <w:ilvl w:val="0"/>
          <w:numId w:val="20"/>
        </w:numPr>
        <w:spacing w:after="240"/>
        <w:rPr>
          <w:noProof/>
        </w:rPr>
      </w:pPr>
      <w:r w:rsidRPr="1A2A8689">
        <w:rPr>
          <w:rFonts w:eastAsia="Times New Roman"/>
          <w:b/>
          <w:bCs/>
          <w:noProof/>
        </w:rPr>
        <w:t>The Strategic Environmental Assessment Directive</w:t>
      </w:r>
      <w:r w:rsidR="004A3285" w:rsidRPr="00FF63D1">
        <w:rPr>
          <w:rStyle w:val="FootnoteReference"/>
          <w:rFonts w:eastAsia="Times New Roman"/>
          <w:noProof/>
        </w:rPr>
        <w:footnoteReference w:id="510"/>
      </w:r>
      <w:r w:rsidR="4ED008D1" w:rsidRPr="00F261DB">
        <w:rPr>
          <w:rFonts w:eastAsia="Times New Roman"/>
          <w:noProof/>
        </w:rPr>
        <w:t xml:space="preserve"> </w:t>
      </w:r>
      <w:r w:rsidRPr="00F261DB">
        <w:rPr>
          <w:rFonts w:eastAsia="Times New Roman"/>
          <w:noProof/>
        </w:rPr>
        <w:t>(SEA)</w:t>
      </w:r>
      <w:r w:rsidRPr="1A2A8689">
        <w:rPr>
          <w:rFonts w:eastAsia="Times New Roman"/>
          <w:b/>
          <w:bCs/>
          <w:noProof/>
          <w:vertAlign w:val="superscript"/>
        </w:rPr>
        <w:t xml:space="preserve"> </w:t>
      </w:r>
      <w:r w:rsidRPr="00F261DB">
        <w:rPr>
          <w:rFonts w:eastAsia="Times New Roman"/>
          <w:noProof/>
        </w:rPr>
        <w:t>provides a set of procedural rules to integrate environmental considerations into their preparation, adoption and implementation of public plans and programmes by national authorities, including for land-use. For example, national authorities have to examine reasonable alternatives and take account effects on the environment including biodiversity, soil, water, air.</w:t>
      </w:r>
      <w:r w:rsidRPr="00FF63D1">
        <w:rPr>
          <w:noProof/>
        </w:rPr>
        <w:t> </w:t>
      </w:r>
    </w:p>
    <w:p w14:paraId="2154BEE9" w14:textId="77777777" w:rsidR="00020031" w:rsidRPr="00FF63D1" w:rsidRDefault="00020031">
      <w:pPr>
        <w:pStyle w:val="ListParagraph"/>
        <w:ind w:left="0"/>
        <w:rPr>
          <w:noProof/>
        </w:rPr>
      </w:pPr>
    </w:p>
    <w:p w14:paraId="4B2CBCB2" w14:textId="45898750" w:rsidR="00020031" w:rsidRPr="00FF63D1" w:rsidRDefault="719AC623" w:rsidP="00257D37">
      <w:pPr>
        <w:pStyle w:val="ListParagraph"/>
        <w:numPr>
          <w:ilvl w:val="0"/>
          <w:numId w:val="20"/>
        </w:numPr>
        <w:spacing w:after="240"/>
        <w:rPr>
          <w:noProof/>
        </w:rPr>
      </w:pPr>
      <w:r w:rsidRPr="1A2A8689">
        <w:rPr>
          <w:rFonts w:eastAsia="Times New Roman"/>
          <w:b/>
          <w:bCs/>
          <w:noProof/>
        </w:rPr>
        <w:t>The Environmental Impact Assessment Directive</w:t>
      </w:r>
      <w:r w:rsidR="00B834EA" w:rsidRPr="00FF63D1">
        <w:rPr>
          <w:rStyle w:val="FootnoteReference"/>
          <w:rFonts w:eastAsia="Times New Roman"/>
          <w:noProof/>
        </w:rPr>
        <w:footnoteReference w:id="511"/>
      </w:r>
      <w:r w:rsidRPr="1A2A8689">
        <w:rPr>
          <w:rFonts w:eastAsia="Times New Roman"/>
          <w:b/>
          <w:bCs/>
          <w:noProof/>
        </w:rPr>
        <w:t xml:space="preserve"> </w:t>
      </w:r>
      <w:r w:rsidRPr="00F261DB">
        <w:rPr>
          <w:rFonts w:eastAsia="Times New Roman"/>
          <w:noProof/>
        </w:rPr>
        <w:t>(EIA)</w:t>
      </w:r>
      <w:r w:rsidRPr="00F261DB">
        <w:rPr>
          <w:rFonts w:eastAsia="Times New Roman"/>
          <w:noProof/>
          <w:vertAlign w:val="superscript"/>
        </w:rPr>
        <w:t xml:space="preserve"> </w:t>
      </w:r>
      <w:r w:rsidRPr="00F261DB">
        <w:rPr>
          <w:rFonts w:eastAsia="Times New Roman"/>
          <w:noProof/>
        </w:rPr>
        <w:t xml:space="preserve">requires Member States to make projects likely to have significant effects on the environment, because of their nature, size or location, subject to consent and an assessment by a competent national authority (i.e. a permit). To get a permit, the EIA Directive requires e.g. the preparation of an environmental impact assessment report and the carrying out of consultation of the authorities, the public and, where relevant, other Member States affected by the project. Under the EIA Directive a depending on their likely significant impact on the environment, certain projects are subject to a mandatory assessment while for others a determination by a competent authority is required to decide if the project shall be subject to an assessment. </w:t>
      </w:r>
      <w:r w:rsidRPr="3F0F1197" w:rsidDel="00020031">
        <w:rPr>
          <w:rFonts w:ascii="Wingdings" w:eastAsia="Wingdings" w:hAnsi="Wingdings" w:cs="Wingdings"/>
          <w:i/>
          <w:iCs/>
          <w:noProof/>
        </w:rPr>
        <w:t></w:t>
      </w:r>
      <w:r w:rsidRPr="3F0F1197" w:rsidDel="00020031">
        <w:rPr>
          <w:rFonts w:eastAsia="Times New Roman"/>
          <w:i/>
          <w:iCs/>
          <w:noProof/>
        </w:rPr>
        <w:t xml:space="preserve"> the IEA directive is at the core of the permitting provisions </w:t>
      </w:r>
      <w:r w:rsidRPr="3F0F1197" w:rsidDel="00646A42">
        <w:rPr>
          <w:rFonts w:eastAsia="Times New Roman"/>
          <w:i/>
          <w:iCs/>
          <w:noProof/>
        </w:rPr>
        <w:t>IAA</w:t>
      </w:r>
      <w:r w:rsidRPr="3F0F1197" w:rsidDel="00020031">
        <w:rPr>
          <w:rFonts w:eastAsia="Times New Roman"/>
          <w:i/>
          <w:iCs/>
          <w:noProof/>
        </w:rPr>
        <w:t xml:space="preserve"> aims to streamline, notably through digitalisation provisions, and to be able to reuse data sets. </w:t>
      </w:r>
    </w:p>
    <w:p w14:paraId="0E4FE085" w14:textId="77777777" w:rsidR="00020031" w:rsidRPr="00F261DB" w:rsidRDefault="00020031">
      <w:pPr>
        <w:pStyle w:val="ListParagraph"/>
        <w:rPr>
          <w:rFonts w:eastAsia="Times New Roman"/>
          <w:b/>
          <w:noProof/>
          <w:u w:val="single"/>
        </w:rPr>
      </w:pPr>
    </w:p>
    <w:p w14:paraId="2964F85A" w14:textId="5ABB9299" w:rsidR="00020031" w:rsidRPr="00FF63D1" w:rsidRDefault="719AC623" w:rsidP="00257D37">
      <w:pPr>
        <w:pStyle w:val="ListParagraph"/>
        <w:numPr>
          <w:ilvl w:val="0"/>
          <w:numId w:val="20"/>
        </w:numPr>
        <w:spacing w:after="240"/>
        <w:rPr>
          <w:noProof/>
        </w:rPr>
      </w:pPr>
      <w:r w:rsidRPr="1A2A8689">
        <w:rPr>
          <w:rFonts w:eastAsia="Times New Roman"/>
          <w:b/>
          <w:bCs/>
          <w:noProof/>
        </w:rPr>
        <w:t xml:space="preserve">The </w:t>
      </w:r>
      <w:r w:rsidRPr="1A2A8689">
        <w:rPr>
          <w:b/>
          <w:bCs/>
          <w:noProof/>
        </w:rPr>
        <w:t>Habitats</w:t>
      </w:r>
      <w:r w:rsidR="001779A5" w:rsidRPr="00FF63D1">
        <w:rPr>
          <w:rStyle w:val="FootnoteReference"/>
          <w:noProof/>
        </w:rPr>
        <w:footnoteReference w:id="512"/>
      </w:r>
      <w:r w:rsidR="169DBE4F" w:rsidRPr="00FF63D1">
        <w:rPr>
          <w:noProof/>
        </w:rPr>
        <w:t xml:space="preserve"> </w:t>
      </w:r>
      <w:r w:rsidR="169DBE4F" w:rsidRPr="1A2A8689">
        <w:rPr>
          <w:b/>
          <w:bCs/>
          <w:noProof/>
        </w:rPr>
        <w:t>and Birds</w:t>
      </w:r>
      <w:r w:rsidR="001779A5" w:rsidRPr="00FF63D1">
        <w:rPr>
          <w:rStyle w:val="FootnoteReference"/>
          <w:noProof/>
        </w:rPr>
        <w:footnoteReference w:id="513"/>
      </w:r>
      <w:r w:rsidR="169DBE4F" w:rsidRPr="00FF63D1">
        <w:rPr>
          <w:noProof/>
        </w:rPr>
        <w:t xml:space="preserve"> </w:t>
      </w:r>
      <w:r w:rsidRPr="1A2A8689">
        <w:rPr>
          <w:rFonts w:eastAsia="Times New Roman"/>
          <w:b/>
          <w:bCs/>
          <w:noProof/>
        </w:rPr>
        <w:t>Directives</w:t>
      </w:r>
      <w:r w:rsidRPr="00F261DB">
        <w:rPr>
          <w:rFonts w:eastAsia="Times New Roman"/>
          <w:noProof/>
        </w:rPr>
        <w:t xml:space="preserve"> require Member States to prevent significant negative effects on protected species and habitats in Natura 2000 sites (there are also some species protection obligations applicable also outside the sites). To that end, industrial related projects that are likely to have a significant effect on such a site, must be subject to an appropriate assessment. The competent national authorities can, based on the assessment, agree to the project it is does not adversely affect the integrity of the site concerned. In exceptional cases, developments that could have an adverse effect on a protected site can still go ahead under certain conditions</w:t>
      </w:r>
      <w:r w:rsidR="75061F60" w:rsidRPr="00F261DB">
        <w:rPr>
          <w:rFonts w:eastAsia="Times New Roman"/>
          <w:noProof/>
        </w:rPr>
        <w:t xml:space="preserve">, </w:t>
      </w:r>
      <w:r w:rsidRPr="00F261DB">
        <w:rPr>
          <w:rFonts w:eastAsia="Times New Roman"/>
          <w:noProof/>
        </w:rPr>
        <w:t>i.e</w:t>
      </w:r>
      <w:r w:rsidR="02B2CC4A" w:rsidRPr="00F261DB">
        <w:rPr>
          <w:rFonts w:eastAsia="Times New Roman"/>
          <w:noProof/>
        </w:rPr>
        <w:t xml:space="preserve">., </w:t>
      </w:r>
      <w:r w:rsidRPr="00F261DB">
        <w:rPr>
          <w:rFonts w:eastAsia="Times New Roman"/>
          <w:noProof/>
        </w:rPr>
        <w:t>lack of alternatives, justification by imperative reasons of overriding public int</w:t>
      </w:r>
      <w:r w:rsidR="75061F60" w:rsidRPr="00F261DB">
        <w:rPr>
          <w:rFonts w:eastAsia="Times New Roman"/>
          <w:noProof/>
        </w:rPr>
        <w:t>e</w:t>
      </w:r>
      <w:r w:rsidRPr="00F261DB">
        <w:rPr>
          <w:rFonts w:eastAsia="Times New Roman"/>
          <w:noProof/>
        </w:rPr>
        <w:t>rest and compensatory measures; in certain cases</w:t>
      </w:r>
      <w:r w:rsidR="02B2CC4A" w:rsidRPr="00F261DB">
        <w:rPr>
          <w:rFonts w:eastAsia="Times New Roman"/>
          <w:noProof/>
        </w:rPr>
        <w:t>,</w:t>
      </w:r>
      <w:r w:rsidRPr="00F261DB">
        <w:rPr>
          <w:rFonts w:eastAsia="Times New Roman"/>
          <w:noProof/>
        </w:rPr>
        <w:t xml:space="preserve"> an opinion of the Commission prior to the authorisation by the Member State’s authorities may be required. The assessment of impacts on Natura 2000 can be carried out in a coordinated procedure or jointly with the environmental assessment under the EIA Directive. </w:t>
      </w:r>
      <w:r w:rsidRPr="3F0F1197" w:rsidDel="00020031">
        <w:rPr>
          <w:rFonts w:ascii="Wingdings" w:eastAsia="Wingdings" w:hAnsi="Wingdings" w:cs="Wingdings"/>
          <w:i/>
          <w:iCs/>
          <w:noProof/>
        </w:rPr>
        <w:t></w:t>
      </w:r>
      <w:r w:rsidRPr="3F0F1197" w:rsidDel="00020031">
        <w:rPr>
          <w:rFonts w:eastAsia="Times New Roman"/>
          <w:i/>
          <w:iCs/>
          <w:noProof/>
        </w:rPr>
        <w:t xml:space="preserve"> provisions on overriding public interest under </w:t>
      </w:r>
      <w:r w:rsidRPr="3F0F1197" w:rsidDel="00646A42">
        <w:rPr>
          <w:rFonts w:eastAsia="Times New Roman"/>
          <w:i/>
          <w:iCs/>
          <w:noProof/>
        </w:rPr>
        <w:t>IAA</w:t>
      </w:r>
      <w:r w:rsidRPr="3F0F1197" w:rsidDel="00020031">
        <w:rPr>
          <w:rFonts w:eastAsia="Times New Roman"/>
          <w:i/>
          <w:iCs/>
          <w:noProof/>
        </w:rPr>
        <w:t xml:space="preserve"> would put such projects under the specific requirements </w:t>
      </w:r>
      <w:r w:rsidR="0B867D7F" w:rsidRPr="3F0F1197">
        <w:rPr>
          <w:rFonts w:eastAsia="Times New Roman"/>
          <w:i/>
          <w:iCs/>
          <w:noProof/>
        </w:rPr>
        <w:t xml:space="preserve">for </w:t>
      </w:r>
      <w:r w:rsidRPr="3F0F1197" w:rsidDel="00020031">
        <w:rPr>
          <w:rFonts w:eastAsia="Times New Roman"/>
          <w:i/>
          <w:iCs/>
          <w:noProof/>
        </w:rPr>
        <w:t>the presumption of overriding public interest.</w:t>
      </w:r>
    </w:p>
    <w:p w14:paraId="21986AB7" w14:textId="77777777" w:rsidR="00020031" w:rsidRPr="00FF63D1" w:rsidRDefault="00020031">
      <w:pPr>
        <w:pStyle w:val="ListParagraph"/>
        <w:ind w:left="0"/>
        <w:rPr>
          <w:noProof/>
        </w:rPr>
      </w:pPr>
    </w:p>
    <w:p w14:paraId="6F42B609" w14:textId="7C5D3B12" w:rsidR="00020031" w:rsidRPr="00FF63D1" w:rsidRDefault="719AC623" w:rsidP="09D33E3B">
      <w:pPr>
        <w:pStyle w:val="ListParagraph"/>
        <w:numPr>
          <w:ilvl w:val="0"/>
          <w:numId w:val="20"/>
        </w:numPr>
        <w:spacing w:after="240"/>
        <w:rPr>
          <w:rFonts w:eastAsia="Times New Roman"/>
          <w:noProof/>
        </w:rPr>
      </w:pPr>
      <w:r w:rsidRPr="00F261DB">
        <w:rPr>
          <w:noProof/>
        </w:rPr>
        <w:t xml:space="preserve">The </w:t>
      </w:r>
      <w:r w:rsidRPr="1A2A8689">
        <w:rPr>
          <w:b/>
          <w:bCs/>
          <w:noProof/>
        </w:rPr>
        <w:t>Water Framework Directive</w:t>
      </w:r>
      <w:r w:rsidR="0091471B" w:rsidRPr="00FF63D1">
        <w:rPr>
          <w:rStyle w:val="FootnoteReference"/>
          <w:noProof/>
        </w:rPr>
        <w:footnoteReference w:id="514"/>
      </w:r>
      <w:r w:rsidRPr="00F261DB">
        <w:rPr>
          <w:noProof/>
        </w:rPr>
        <w:t xml:space="preserve"> provides that the deterioration of the ecological status of a body of water is only allowed where justified by overriding public interests or societal benefits, where no feasible environmental alternatives exist, and where mitigation measures are taken. In light of this requirement, projects potentially affecting bodies of water, including raw materials projects, need to be subject to assessment and permitting procedures (which may be integrated with the EIA procedure set out above).</w:t>
      </w:r>
      <w:r w:rsidRPr="00FF63D1">
        <w:rPr>
          <w:rFonts w:eastAsia="Times New Roman"/>
          <w:noProof/>
        </w:rPr>
        <w:t> </w:t>
      </w:r>
      <w:r w:rsidRPr="3F0F1197">
        <w:rPr>
          <w:rFonts w:ascii="Wingdings" w:eastAsia="Wingdings" w:hAnsi="Wingdings" w:cs="Wingdings"/>
          <w:i/>
          <w:iCs/>
          <w:noProof/>
        </w:rPr>
        <w:t></w:t>
      </w:r>
      <w:r w:rsidRPr="3F0F1197">
        <w:rPr>
          <w:rFonts w:eastAsia="Times New Roman"/>
          <w:i/>
          <w:iCs/>
          <w:noProof/>
        </w:rPr>
        <w:t xml:space="preserve"> relevant in </w:t>
      </w:r>
      <w:r w:rsidR="459B330D" w:rsidRPr="3F0F1197">
        <w:rPr>
          <w:rFonts w:eastAsia="Times New Roman"/>
          <w:i/>
          <w:iCs/>
          <w:noProof/>
        </w:rPr>
        <w:t>IAA</w:t>
      </w:r>
      <w:r w:rsidRPr="3F0F1197">
        <w:rPr>
          <w:rFonts w:eastAsia="Times New Roman"/>
          <w:i/>
          <w:iCs/>
          <w:noProof/>
        </w:rPr>
        <w:t xml:space="preserve"> context for projects subject to the WFD with respect to permitting provisions.</w:t>
      </w:r>
      <w:r w:rsidRPr="00FF63D1">
        <w:rPr>
          <w:rFonts w:eastAsia="Times New Roman"/>
          <w:noProof/>
        </w:rPr>
        <w:t xml:space="preserve"> </w:t>
      </w:r>
    </w:p>
    <w:p w14:paraId="6D4E6304" w14:textId="39D177F2" w:rsidR="00020031" w:rsidRPr="00F261DB" w:rsidRDefault="00020031">
      <w:pPr>
        <w:pStyle w:val="ListParagraph"/>
        <w:rPr>
          <w:noProof/>
        </w:rPr>
      </w:pPr>
    </w:p>
    <w:p w14:paraId="73397215" w14:textId="1FB0227E" w:rsidR="00020031" w:rsidRPr="00F261DB" w:rsidRDefault="404A2814" w:rsidP="09D33E3B">
      <w:pPr>
        <w:pStyle w:val="ListParagraph"/>
        <w:numPr>
          <w:ilvl w:val="0"/>
          <w:numId w:val="20"/>
        </w:numPr>
        <w:textAlignment w:val="baseline"/>
        <w:rPr>
          <w:rStyle w:val="normaltextrun"/>
          <w:noProof/>
        </w:rPr>
      </w:pPr>
      <w:r w:rsidRPr="00FF63D1">
        <w:rPr>
          <w:noProof/>
        </w:rPr>
        <w:t xml:space="preserve">The main energy frameworks relevant for EIIs include the </w:t>
      </w:r>
      <w:r w:rsidRPr="1A2A8689">
        <w:rPr>
          <w:b/>
          <w:bCs/>
          <w:noProof/>
        </w:rPr>
        <w:t xml:space="preserve">Electricity and gas Market </w:t>
      </w:r>
      <w:r w:rsidRPr="00FF63D1">
        <w:rPr>
          <w:noProof/>
        </w:rPr>
        <w:t>Regulations and Directives</w:t>
      </w:r>
      <w:r w:rsidR="0091471B" w:rsidRPr="00FF63D1">
        <w:rPr>
          <w:rStyle w:val="FootnoteReference"/>
          <w:noProof/>
        </w:rPr>
        <w:footnoteReference w:id="515"/>
      </w:r>
      <w:r w:rsidRPr="00FF63D1">
        <w:rPr>
          <w:noProof/>
        </w:rPr>
        <w:t xml:space="preserve">, the </w:t>
      </w:r>
      <w:r w:rsidRPr="1A2A8689">
        <w:rPr>
          <w:b/>
          <w:bCs/>
          <w:noProof/>
        </w:rPr>
        <w:t>Renewable Energy Directive</w:t>
      </w:r>
      <w:r w:rsidR="00020031" w:rsidRPr="00FF63D1">
        <w:rPr>
          <w:rStyle w:val="FootnoteReference"/>
          <w:noProof/>
        </w:rPr>
        <w:footnoteReference w:id="516"/>
      </w:r>
      <w:r w:rsidRPr="00FF63D1">
        <w:rPr>
          <w:noProof/>
        </w:rPr>
        <w:t>, the</w:t>
      </w:r>
      <w:r w:rsidRPr="1A2A8689">
        <w:rPr>
          <w:b/>
          <w:bCs/>
          <w:noProof/>
        </w:rPr>
        <w:t xml:space="preserve"> Energy Efficiency Directive</w:t>
      </w:r>
      <w:r w:rsidR="00020031" w:rsidRPr="00FF63D1">
        <w:rPr>
          <w:rStyle w:val="FootnoteReference"/>
          <w:noProof/>
        </w:rPr>
        <w:footnoteReference w:id="517"/>
      </w:r>
      <w:r w:rsidRPr="00FF63D1">
        <w:rPr>
          <w:noProof/>
        </w:rPr>
        <w:t xml:space="preserve"> the </w:t>
      </w:r>
      <w:r w:rsidRPr="1A2A8689">
        <w:rPr>
          <w:b/>
          <w:bCs/>
          <w:noProof/>
        </w:rPr>
        <w:t xml:space="preserve">Gas </w:t>
      </w:r>
      <w:r w:rsidRPr="1A2A8689" w:rsidDel="00A919A2">
        <w:rPr>
          <w:b/>
          <w:bCs/>
          <w:noProof/>
        </w:rPr>
        <w:t>and Hydrogen Decarbonisation Package</w:t>
      </w:r>
      <w:r w:rsidRPr="00FF63D1">
        <w:rPr>
          <w:noProof/>
        </w:rPr>
        <w:t>.</w:t>
      </w:r>
      <w:r w:rsidR="00020031" w:rsidRPr="00FF63D1">
        <w:rPr>
          <w:rStyle w:val="FootnoteReference"/>
          <w:noProof/>
        </w:rPr>
        <w:footnoteReference w:id="518"/>
      </w:r>
      <w:r w:rsidRPr="1A2A8689">
        <w:rPr>
          <w:b/>
          <w:bCs/>
          <w:noProof/>
        </w:rPr>
        <w:t xml:space="preserve"> </w:t>
      </w:r>
      <w:r w:rsidRPr="00F261DB">
        <w:rPr>
          <w:rStyle w:val="normaltextrun"/>
          <w:noProof/>
        </w:rPr>
        <w:t xml:space="preserve">The third revision of the </w:t>
      </w:r>
      <w:r w:rsidRPr="1A2A8689">
        <w:rPr>
          <w:rStyle w:val="normaltextrun"/>
          <w:b/>
          <w:bCs/>
          <w:noProof/>
        </w:rPr>
        <w:t>Renewable Energy Directive</w:t>
      </w:r>
      <w:r w:rsidR="00BE382D" w:rsidRPr="00FF63D1">
        <w:rPr>
          <w:rStyle w:val="FootnoteReference"/>
          <w:noProof/>
        </w:rPr>
        <w:footnoteReference w:id="519"/>
      </w:r>
      <w:r w:rsidRPr="1A2A8689">
        <w:rPr>
          <w:rStyle w:val="normaltextrun"/>
          <w:b/>
          <w:bCs/>
          <w:noProof/>
        </w:rPr>
        <w:t xml:space="preserve"> </w:t>
      </w:r>
      <w:r w:rsidRPr="00F261DB">
        <w:rPr>
          <w:rStyle w:val="normaltextrun"/>
          <w:noProof/>
        </w:rPr>
        <w:t>(RED III) set the EU ambitious target to achieve a share of 42.5% of renewables in final energy consumption. By 31 December 2027, the European Commission is entitled to table an amendment proposal covering the post-2030 period, taking into account the latest and relevant scientific data, and touching on National Energy and Climate Plans, the effects of the implementation of GHG and sustainability criteria on renewable fuels of non-biological origin (RFNBOs) and recycled carbon fuels, and technology developments. By virtue of art. 22a, industrial sectors are included in the scope of the RED III. Accordingly, Member States shall strive to increase the share of renewables in final industrial energy consumption by an annual average of 1.6% for the periods 2021-2025 and 2026-2030. At a more granular level, national governments will have to attain a share of RFNBOs – such as renewable hydrogen - from the total industrial hydrogen consumption of 42% in 2030 and 60% in 2035. This obligation applies to government and not to industries as such. Member States are now in the process of implementing these provisions. </w:t>
      </w:r>
      <w:r w:rsidR="572A5DE3" w:rsidRPr="3F0F1197">
        <w:rPr>
          <w:rFonts w:ascii="Wingdings" w:eastAsia="Wingdings" w:hAnsi="Wingdings" w:cs="Wingdings"/>
          <w:i/>
          <w:iCs/>
          <w:noProof/>
        </w:rPr>
        <w:t></w:t>
      </w:r>
      <w:r w:rsidR="572A5DE3" w:rsidRPr="3F0F1197">
        <w:rPr>
          <w:i/>
          <w:iCs/>
          <w:noProof/>
        </w:rPr>
        <w:t xml:space="preserve"> </w:t>
      </w:r>
      <w:r w:rsidR="459B330D" w:rsidRPr="3F0F1197">
        <w:rPr>
          <w:i/>
          <w:iCs/>
          <w:noProof/>
        </w:rPr>
        <w:t>IAA</w:t>
      </w:r>
      <w:r w:rsidR="572A5DE3" w:rsidRPr="3F0F1197">
        <w:rPr>
          <w:i/>
          <w:iCs/>
          <w:noProof/>
        </w:rPr>
        <w:t>’s</w:t>
      </w:r>
      <w:r w:rsidRPr="3F0F1197">
        <w:rPr>
          <w:i/>
          <w:iCs/>
          <w:noProof/>
        </w:rPr>
        <w:t xml:space="preserve"> provisions on regulatory sandboxes would interact with the hydrogen package and renewable energy directive, since derogation to the application of the two delegated acts on hydrogen would be envisaged.</w:t>
      </w:r>
      <w:r w:rsidRPr="00FF63D1">
        <w:rPr>
          <w:noProof/>
        </w:rPr>
        <w:t xml:space="preserve"> </w:t>
      </w:r>
    </w:p>
    <w:p w14:paraId="7DDA838A" w14:textId="77777777" w:rsidR="00020031" w:rsidRPr="00F261DB" w:rsidRDefault="00020031">
      <w:pPr>
        <w:pStyle w:val="ListParagraph"/>
        <w:ind w:left="0"/>
        <w:rPr>
          <w:rStyle w:val="normaltextrun"/>
          <w:rFonts w:eastAsiaTheme="majorEastAsia"/>
          <w:noProof/>
        </w:rPr>
      </w:pPr>
    </w:p>
    <w:p w14:paraId="42F54556" w14:textId="38149F4E" w:rsidR="00020031" w:rsidRPr="00FF63D1" w:rsidRDefault="719AC623" w:rsidP="00257D37">
      <w:pPr>
        <w:pStyle w:val="ListParagraph"/>
        <w:numPr>
          <w:ilvl w:val="0"/>
          <w:numId w:val="20"/>
        </w:numPr>
        <w:spacing w:after="240"/>
        <w:rPr>
          <w:b/>
          <w:noProof/>
        </w:rPr>
      </w:pPr>
      <w:r w:rsidRPr="00F261DB">
        <w:rPr>
          <w:rFonts w:eastAsia="Times New Roman"/>
          <w:noProof/>
        </w:rPr>
        <w:t xml:space="preserve">The </w:t>
      </w:r>
      <w:r w:rsidRPr="1A2A8689">
        <w:rPr>
          <w:rFonts w:eastAsia="Times New Roman"/>
          <w:b/>
          <w:bCs/>
          <w:noProof/>
        </w:rPr>
        <w:t>Electricity Market Design</w:t>
      </w:r>
      <w:r w:rsidR="00E06236" w:rsidRPr="00FF63D1">
        <w:rPr>
          <w:rStyle w:val="FootnoteReference"/>
          <w:rFonts w:eastAsia="Times New Roman"/>
          <w:noProof/>
        </w:rPr>
        <w:footnoteReference w:id="520"/>
      </w:r>
      <w:r w:rsidRPr="00F261DB">
        <w:rPr>
          <w:rFonts w:eastAsia="Times New Roman"/>
          <w:noProof/>
        </w:rPr>
        <w:t xml:space="preserve"> is the main instrument to regulate electricity market functioning. As such, it influences the price paid and conditions for access to electricity for energy intensive industries as well as for other energy users. </w:t>
      </w:r>
      <w:r w:rsidR="4F2C0280" w:rsidRPr="00F261DB">
        <w:rPr>
          <w:noProof/>
        </w:rPr>
        <w:t>The 2024 Electricity Market Design Reform brought new requirements setting clear deadlines for replies to a grid connection request, within 3 months, as well as on transparency regarding available grid capacities. The reform followed up on existing requirements in the legal framework guaranteeing open and non-discriminatory access to the electricity grid.</w:t>
      </w:r>
    </w:p>
    <w:p w14:paraId="5671C5FD" w14:textId="77777777" w:rsidR="00020031" w:rsidRPr="00F261DB" w:rsidRDefault="00020031">
      <w:pPr>
        <w:pStyle w:val="ListParagraph"/>
        <w:rPr>
          <w:noProof/>
        </w:rPr>
      </w:pPr>
    </w:p>
    <w:p w14:paraId="65C55B44" w14:textId="58E37DDB" w:rsidR="00020031" w:rsidRPr="00F261DB" w:rsidRDefault="404A2814" w:rsidP="00257D37">
      <w:pPr>
        <w:pStyle w:val="ListParagraph"/>
        <w:numPr>
          <w:ilvl w:val="0"/>
          <w:numId w:val="20"/>
        </w:numPr>
        <w:textAlignment w:val="baseline"/>
        <w:rPr>
          <w:rFonts w:eastAsia="Times New Roman"/>
          <w:noProof/>
        </w:rPr>
      </w:pPr>
      <w:r w:rsidRPr="00F261DB">
        <w:rPr>
          <w:rFonts w:eastAsia="Times New Roman"/>
          <w:noProof/>
        </w:rPr>
        <w:t xml:space="preserve">The </w:t>
      </w:r>
      <w:r w:rsidRPr="1A2A8689">
        <w:rPr>
          <w:rFonts w:eastAsia="Times New Roman"/>
          <w:b/>
          <w:bCs/>
          <w:noProof/>
        </w:rPr>
        <w:t>Action Plan for Affordable Energy</w:t>
      </w:r>
      <w:r w:rsidR="00020031" w:rsidRPr="00FF63D1">
        <w:rPr>
          <w:rStyle w:val="FootnoteReference"/>
          <w:rFonts w:eastAsia="Times New Roman"/>
          <w:noProof/>
        </w:rPr>
        <w:footnoteReference w:id="521"/>
      </w:r>
      <w:r w:rsidRPr="00F261DB">
        <w:rPr>
          <w:rFonts w:eastAsia="Times New Roman"/>
          <w:noProof/>
        </w:rPr>
        <w:t xml:space="preserve">, adopted in February 2025, includes three flagship measures that are particularly relevant to industry: (1) lowering energy bills, (2) accelerating the roll-out of clean energy and electrification, with completed interconnections and grids, as well as clean manufacturing, and (3) ensuring well-functioning gas markets. </w:t>
      </w:r>
    </w:p>
    <w:p w14:paraId="5F4B302B" w14:textId="77777777" w:rsidR="00020031" w:rsidRPr="00FF63D1" w:rsidRDefault="00020031">
      <w:pPr>
        <w:pStyle w:val="ListParagraph"/>
        <w:rPr>
          <w:noProof/>
        </w:rPr>
      </w:pPr>
    </w:p>
    <w:p w14:paraId="6283D41C" w14:textId="718D53D4" w:rsidR="00020031" w:rsidRPr="00FF63D1" w:rsidRDefault="404A2814" w:rsidP="09D33E3B">
      <w:pPr>
        <w:pStyle w:val="ListParagraph"/>
        <w:numPr>
          <w:ilvl w:val="0"/>
          <w:numId w:val="20"/>
        </w:numPr>
        <w:textAlignment w:val="baseline"/>
        <w:rPr>
          <w:rFonts w:eastAsia="Times New Roman"/>
          <w:noProof/>
        </w:rPr>
      </w:pPr>
      <w:r w:rsidRPr="00FF63D1">
        <w:rPr>
          <w:noProof/>
        </w:rPr>
        <w:t xml:space="preserve">The </w:t>
      </w:r>
      <w:r w:rsidRPr="1A2A8689">
        <w:rPr>
          <w:b/>
          <w:bCs/>
          <w:noProof/>
        </w:rPr>
        <w:t>Ecodesign for Sustainable Products Regulation</w:t>
      </w:r>
      <w:r w:rsidR="00020031" w:rsidRPr="00FF63D1">
        <w:rPr>
          <w:rStyle w:val="FootnoteReference"/>
          <w:noProof/>
        </w:rPr>
        <w:footnoteReference w:id="522"/>
      </w:r>
      <w:r w:rsidRPr="00FF63D1">
        <w:rPr>
          <w:noProof/>
        </w:rPr>
        <w:t xml:space="preserve"> </w:t>
      </w:r>
      <w:r w:rsidRPr="00FF63D1">
        <w:rPr>
          <w:rFonts w:eastAsia="Times New Roman"/>
          <w:noProof/>
        </w:rPr>
        <w:t>(ESPR)</w:t>
      </w:r>
      <w:r w:rsidRPr="00FF63D1">
        <w:rPr>
          <w:noProof/>
        </w:rPr>
        <w:t xml:space="preserve"> establishes </w:t>
      </w:r>
      <w:r w:rsidRPr="00FF63D1">
        <w:rPr>
          <w:rFonts w:eastAsia="Times New Roman"/>
          <w:noProof/>
        </w:rPr>
        <w:t xml:space="preserve">a framework for </w:t>
      </w:r>
      <w:r w:rsidRPr="00F261DB">
        <w:rPr>
          <w:noProof/>
        </w:rPr>
        <w:t>setting</w:t>
      </w:r>
      <w:r w:rsidRPr="00FF63D1">
        <w:rPr>
          <w:noProof/>
        </w:rPr>
        <w:t xml:space="preserve"> performance and/or information requirements to improve the environmental sustainability and circularity of products placed on the EU market, with the aim, inter alia, of extending their lifetime, increasing recyclability, and recycled content. ESPR also aims at making information relevant to life cycle sustainability of products available along value chains to businesses, consumers and authorities through Digital Product Passports and/or through the introduction of labels</w:t>
      </w:r>
      <w:r w:rsidRPr="00FF63D1" w:rsidDel="008B0DB2">
        <w:rPr>
          <w:noProof/>
        </w:rPr>
        <w:t>.</w:t>
      </w:r>
      <w:r w:rsidRPr="00FF63D1">
        <w:rPr>
          <w:noProof/>
        </w:rPr>
        <w:t xml:space="preserve"> The ESPR facilitates consumer choice and encourages the take-up of more sustainable and energy-efficient products. Iron and steel as well as aluminium fall under the ESPR scope as ‘intermediate products’ and have been included in the </w:t>
      </w:r>
      <w:r w:rsidRPr="00FF63D1">
        <w:rPr>
          <w:rFonts w:eastAsia="Calibri"/>
          <w:noProof/>
        </w:rPr>
        <w:t>ESPR and Energy Labelling Working Plan 2025-30, adopted in April 2025, with a tentative timeline of 2026.</w:t>
      </w:r>
      <w:r w:rsidR="00020031" w:rsidRPr="00FF63D1">
        <w:rPr>
          <w:rFonts w:eastAsia="Calibri"/>
          <w:noProof/>
          <w:vertAlign w:val="superscript"/>
        </w:rPr>
        <w:footnoteReference w:id="523"/>
      </w:r>
      <w:r w:rsidRPr="00FF63D1">
        <w:rPr>
          <w:noProof/>
        </w:rPr>
        <w:t xml:space="preserve"> </w:t>
      </w:r>
      <w:r w:rsidRPr="00FF63D1">
        <w:rPr>
          <w:rFonts w:eastAsia="Times New Roman"/>
          <w:noProof/>
        </w:rPr>
        <w:t xml:space="preserve">For some of the products to be covered by a delegated act as mentioned above, implementing acts will also be adopted to set public procurement criteria to create lead markets. </w:t>
      </w:r>
      <w:r w:rsidR="572A5DE3" w:rsidRPr="00FF63D1" w:rsidDel="0661ABE4">
        <w:rPr>
          <w:rFonts w:ascii="Wingdings" w:eastAsia="Wingdings" w:hAnsi="Wingdings" w:cs="Wingdings"/>
          <w:noProof/>
        </w:rPr>
        <w:t></w:t>
      </w:r>
      <w:r w:rsidR="572A5DE3" w:rsidRPr="00FF63D1">
        <w:rPr>
          <w:rFonts w:eastAsia="Times New Roman"/>
          <w:noProof/>
        </w:rPr>
        <w:t xml:space="preserve"> </w:t>
      </w:r>
      <w:r w:rsidR="459B330D" w:rsidRPr="3F0F1197">
        <w:rPr>
          <w:rFonts w:eastAsia="Times New Roman"/>
          <w:i/>
          <w:iCs/>
          <w:noProof/>
        </w:rPr>
        <w:t>IAA</w:t>
      </w:r>
      <w:r w:rsidR="572A5DE3" w:rsidRPr="3F0F1197">
        <w:rPr>
          <w:rFonts w:eastAsia="Times New Roman"/>
          <w:i/>
          <w:iCs/>
          <w:noProof/>
        </w:rPr>
        <w:t>’s</w:t>
      </w:r>
      <w:r w:rsidRPr="3F0F1197">
        <w:rPr>
          <w:rFonts w:eastAsia="Times New Roman"/>
          <w:i/>
          <w:iCs/>
          <w:noProof/>
        </w:rPr>
        <w:t xml:space="preserve"> provisions on the steel label risk overlapping in timeline with the development of a delegated act on steel under ESPR. However, the preferred policy option on the steel label is built so as to be an important) building block of the broader methodology underpinning the ESPR requirements on steel. As such, it is coherent to start with a label with the emission boundaries envisaged under </w:t>
      </w:r>
      <w:r w:rsidR="459B330D" w:rsidRPr="3F0F1197">
        <w:rPr>
          <w:rFonts w:eastAsia="Times New Roman"/>
          <w:i/>
          <w:iCs/>
          <w:noProof/>
        </w:rPr>
        <w:t>IAA</w:t>
      </w:r>
      <w:r w:rsidRPr="3F0F1197">
        <w:rPr>
          <w:rFonts w:eastAsia="Times New Roman"/>
          <w:i/>
          <w:iCs/>
          <w:noProof/>
        </w:rPr>
        <w:t xml:space="preserve"> to be further developed and complemented by additional elements under the ESPR</w:t>
      </w:r>
      <w:r w:rsidRPr="00FF63D1">
        <w:rPr>
          <w:rFonts w:eastAsia="Times New Roman"/>
          <w:noProof/>
        </w:rPr>
        <w:t>. (</w:t>
      </w:r>
      <w:r w:rsidRPr="3F0F1197">
        <w:rPr>
          <w:rFonts w:eastAsia="Times New Roman"/>
          <w:i/>
          <w:iCs/>
          <w:noProof/>
        </w:rPr>
        <w:t>See par. on ‘Interplay with existing initiatives’ below for more details).</w:t>
      </w:r>
    </w:p>
    <w:p w14:paraId="766D24FD" w14:textId="77777777" w:rsidR="00020031" w:rsidRPr="00F261DB" w:rsidRDefault="00020031">
      <w:pPr>
        <w:pStyle w:val="ListParagraph"/>
        <w:rPr>
          <w:noProof/>
        </w:rPr>
      </w:pPr>
    </w:p>
    <w:p w14:paraId="5430F08D" w14:textId="55D5E03A" w:rsidR="00020031" w:rsidRPr="00F261DB" w:rsidRDefault="404A2814" w:rsidP="00257D37">
      <w:pPr>
        <w:pStyle w:val="ListParagraph"/>
        <w:numPr>
          <w:ilvl w:val="0"/>
          <w:numId w:val="20"/>
        </w:numPr>
        <w:textAlignment w:val="baseline"/>
        <w:rPr>
          <w:noProof/>
        </w:rPr>
      </w:pPr>
      <w:r w:rsidRPr="00F261DB">
        <w:rPr>
          <w:noProof/>
        </w:rPr>
        <w:t xml:space="preserve">The </w:t>
      </w:r>
      <w:r w:rsidRPr="1A2A8689">
        <w:rPr>
          <w:b/>
          <w:bCs/>
          <w:noProof/>
        </w:rPr>
        <w:t>Construction Product Regulation</w:t>
      </w:r>
      <w:r w:rsidR="00020031" w:rsidRPr="00FF63D1">
        <w:rPr>
          <w:rStyle w:val="FootnoteReference"/>
          <w:noProof/>
        </w:rPr>
        <w:footnoteReference w:id="524"/>
      </w:r>
      <w:r w:rsidRPr="00F261DB">
        <w:rPr>
          <w:noProof/>
        </w:rPr>
        <w:t xml:space="preserve"> </w:t>
      </w:r>
      <w:r w:rsidR="7A84F8FE" w:rsidRPr="00F261DB">
        <w:rPr>
          <w:noProof/>
        </w:rPr>
        <w:t xml:space="preserve">(CPR) </w:t>
      </w:r>
      <w:r w:rsidRPr="00F261DB">
        <w:rPr>
          <w:noProof/>
        </w:rPr>
        <w:t xml:space="preserve">lays down harmonised rules for the marketing of construction products in the EU. It ensures the smooth functioning of the single market of construction products. It is the regulatory tool to address the environmental sustainability of construction products with the same ambition as the ESPR. Manufacturers are obliged to declare the GHG emissions of their products and will make them available to professionals, consumers and authorities through Digital Product Passports. The GHG emissions of construction products are used for the life-cycle calculations at building level required by the Energy Performance of Buildings Directive. </w:t>
      </w:r>
      <w:r w:rsidRPr="3F0F1197">
        <w:rPr>
          <w:rFonts w:ascii="Wingdings" w:eastAsia="Wingdings" w:hAnsi="Wingdings" w:cs="Wingdings"/>
          <w:i/>
          <w:iCs/>
          <w:noProof/>
        </w:rPr>
        <w:t></w:t>
      </w:r>
      <w:r w:rsidRPr="3F0F1197">
        <w:rPr>
          <w:i/>
          <w:iCs/>
          <w:noProof/>
        </w:rPr>
        <w:t xml:space="preserve"> Lead market provisions for construction under </w:t>
      </w:r>
      <w:r w:rsidR="2AFE1C82" w:rsidRPr="3F0F1197">
        <w:rPr>
          <w:i/>
          <w:iCs/>
          <w:noProof/>
        </w:rPr>
        <w:t>IAA</w:t>
      </w:r>
      <w:r w:rsidRPr="3F0F1197">
        <w:rPr>
          <w:i/>
          <w:iCs/>
          <w:noProof/>
        </w:rPr>
        <w:t xml:space="preserve"> will align with initiatives under the Construction Product Regulation, in particular the harmonised standard on GHG emissions. See below for more details. </w:t>
      </w:r>
    </w:p>
    <w:p w14:paraId="748927C3" w14:textId="77777777" w:rsidR="00020031" w:rsidRPr="00F261DB" w:rsidRDefault="00020031">
      <w:pPr>
        <w:pStyle w:val="ListParagraph"/>
        <w:rPr>
          <w:noProof/>
        </w:rPr>
      </w:pPr>
    </w:p>
    <w:p w14:paraId="4CC75C2D" w14:textId="2C918400" w:rsidR="00020031" w:rsidRPr="00F261DB" w:rsidRDefault="404A2814" w:rsidP="00257D37">
      <w:pPr>
        <w:pStyle w:val="ListParagraph"/>
        <w:numPr>
          <w:ilvl w:val="0"/>
          <w:numId w:val="20"/>
        </w:numPr>
        <w:textAlignment w:val="baseline"/>
        <w:rPr>
          <w:noProof/>
        </w:rPr>
      </w:pPr>
      <w:r w:rsidRPr="00F261DB">
        <w:rPr>
          <w:noProof/>
        </w:rPr>
        <w:t xml:space="preserve">The </w:t>
      </w:r>
      <w:r w:rsidRPr="1A2A8689">
        <w:rPr>
          <w:b/>
          <w:bCs/>
          <w:noProof/>
        </w:rPr>
        <w:t>Energy Performance of Buildings Directive</w:t>
      </w:r>
      <w:r w:rsidR="00E06236" w:rsidRPr="00FF63D1">
        <w:rPr>
          <w:rStyle w:val="FootnoteReference"/>
          <w:noProof/>
        </w:rPr>
        <w:footnoteReference w:id="525"/>
      </w:r>
      <w:r w:rsidRPr="00F261DB">
        <w:rPr>
          <w:noProof/>
        </w:rPr>
        <w:t xml:space="preserve"> </w:t>
      </w:r>
      <w:r w:rsidR="269C8925" w:rsidRPr="00F261DB">
        <w:rPr>
          <w:noProof/>
        </w:rPr>
        <w:t>(EPBD)</w:t>
      </w:r>
      <w:r w:rsidRPr="00F261DB">
        <w:rPr>
          <w:noProof/>
        </w:rPr>
        <w:t xml:space="preserve"> recognises that buildings are responsible for greenhouse gas has introduced life cycle GWP of building, indicating the building’s overall contribution to emissions</w:t>
      </w:r>
      <w:r w:rsidRPr="00F261DB">
        <w:rPr>
          <w:noProof/>
          <w:u w:val="single"/>
        </w:rPr>
        <w:t xml:space="preserve"> </w:t>
      </w:r>
      <w:r w:rsidRPr="00F261DB">
        <w:rPr>
          <w:noProof/>
        </w:rPr>
        <w:t xml:space="preserve">before, during, and after their operational lifetime. The directive will decarbonise the building stock, going beyond that lead to climate change, including the focus on building operational greenhouse gas emissions, by introducing as well as the consideration of the life-cycle global warming potential (GWP) of buildings. Life-cycle GWP takes into account the greenhouse gas emissions embodied in construction products and encourages exemplary design options and choices of materials. The directive introduces mandatory calculation and disclosure of. The revised EPBD includes information obligation, meaning it requires the life-cycle GWP of new buildings. In addition, Member States are required to draw up national roadmaps by to be calculated and disclosed in the energy performance certificate (EPC) of the building: a) from 1 January 2027 on the introduction of limit values on the life-cycle GWP of 2028, for all new buildings from with a useful floor area larger than 1 000 m2; (b) from 1 January 2030, for all new buildings. </w:t>
      </w:r>
      <w:r w:rsidRPr="3F0F1197">
        <w:rPr>
          <w:rFonts w:ascii="Wingdings" w:eastAsia="Wingdings" w:hAnsi="Wingdings" w:cs="Wingdings"/>
          <w:i/>
          <w:iCs/>
          <w:noProof/>
        </w:rPr>
        <w:t></w:t>
      </w:r>
      <w:r w:rsidRPr="3F0F1197">
        <w:rPr>
          <w:i/>
          <w:iCs/>
          <w:noProof/>
        </w:rPr>
        <w:t xml:space="preserve"> Achieving the</w:t>
      </w:r>
      <w:r w:rsidRPr="00F261DB">
        <w:rPr>
          <w:noProof/>
        </w:rPr>
        <w:t xml:space="preserve"> </w:t>
      </w:r>
      <w:r w:rsidRPr="3F0F1197">
        <w:rPr>
          <w:i/>
          <w:iCs/>
          <w:noProof/>
        </w:rPr>
        <w:t xml:space="preserve">limit values on the GWP will benefit from </w:t>
      </w:r>
      <w:r w:rsidR="2AFE1C82" w:rsidRPr="3F0F1197">
        <w:rPr>
          <w:i/>
          <w:iCs/>
          <w:noProof/>
        </w:rPr>
        <w:t>IAA</w:t>
      </w:r>
      <w:r w:rsidRPr="3F0F1197">
        <w:rPr>
          <w:i/>
          <w:iCs/>
          <w:noProof/>
        </w:rPr>
        <w:t>’s provisions on low</w:t>
      </w:r>
      <w:r w:rsidR="00E41BFE">
        <w:rPr>
          <w:i/>
          <w:iCs/>
          <w:noProof/>
        </w:rPr>
        <w:t>-</w:t>
      </w:r>
      <w:r w:rsidRPr="3F0F1197">
        <w:rPr>
          <w:i/>
          <w:iCs/>
          <w:noProof/>
        </w:rPr>
        <w:t xml:space="preserve">carbon requirements for products in construction sector. See below for more details. </w:t>
      </w:r>
    </w:p>
    <w:p w14:paraId="1727F966" w14:textId="77777777" w:rsidR="00020031" w:rsidRPr="00F261DB" w:rsidRDefault="00020031">
      <w:pPr>
        <w:pStyle w:val="ListParagraph"/>
        <w:ind w:left="0"/>
        <w:rPr>
          <w:noProof/>
        </w:rPr>
      </w:pPr>
      <w:r w:rsidRPr="00F261DB">
        <w:rPr>
          <w:noProof/>
        </w:rPr>
        <w:t xml:space="preserve"> </w:t>
      </w:r>
    </w:p>
    <w:p w14:paraId="739789BB" w14:textId="707602B5" w:rsidR="00020031" w:rsidRPr="00FF63D1" w:rsidRDefault="404A2814" w:rsidP="00257D37">
      <w:pPr>
        <w:pStyle w:val="ListParagraph"/>
        <w:numPr>
          <w:ilvl w:val="0"/>
          <w:numId w:val="20"/>
        </w:numPr>
        <w:textAlignment w:val="baseline"/>
        <w:rPr>
          <w:noProof/>
        </w:rPr>
      </w:pPr>
      <w:r w:rsidRPr="00FF63D1">
        <w:rPr>
          <w:noProof/>
        </w:rPr>
        <w:t xml:space="preserve">The </w:t>
      </w:r>
      <w:r w:rsidRPr="1A2A8689">
        <w:rPr>
          <w:b/>
          <w:bCs/>
          <w:noProof/>
        </w:rPr>
        <w:t>Batteries Regulation</w:t>
      </w:r>
      <w:r w:rsidR="00020031" w:rsidRPr="00FF63D1">
        <w:rPr>
          <w:rStyle w:val="FootnoteReference"/>
          <w:noProof/>
        </w:rPr>
        <w:footnoteReference w:id="526"/>
      </w:r>
      <w:r w:rsidRPr="00FF63D1">
        <w:rPr>
          <w:noProof/>
        </w:rPr>
        <w:t xml:space="preserve"> takes a </w:t>
      </w:r>
      <w:r w:rsidRPr="00F261DB">
        <w:rPr>
          <w:noProof/>
        </w:rPr>
        <w:t>comprehensive</w:t>
      </w:r>
      <w:r w:rsidRPr="00FF63D1">
        <w:rPr>
          <w:noProof/>
        </w:rPr>
        <w:t xml:space="preserve"> life-cycle approach addressing the entire value chain of batteries, encompassing sourcing, manufacturing, use, and recycling. It gradually </w:t>
      </w:r>
      <w:r w:rsidRPr="00F261DB">
        <w:rPr>
          <w:noProof/>
        </w:rPr>
        <w:t>introduces</w:t>
      </w:r>
      <w:r w:rsidRPr="00FF63D1">
        <w:rPr>
          <w:noProof/>
        </w:rPr>
        <w:t xml:space="preserve"> product requirements, including restrictions on hazardous substances, minimum recycled content, carbon footprint, performance and durability standards, and labelling. It also obliges the use of responsibly sourced raw materials. Additionally, the Regulation establishes specific collection, recovery, and recycling targets for different types of batteries. Furthermore, it ensures access to crucial data across the value chain through the Digital Battery Passport, fostering efficient and circular battery use. </w:t>
      </w:r>
      <w:r w:rsidRPr="00FF63D1">
        <w:rPr>
          <w:rFonts w:ascii="Wingdings" w:hAnsi="Wingdings"/>
          <w:noProof/>
        </w:rPr>
        <w:t></w:t>
      </w:r>
      <w:r w:rsidRPr="00FF63D1">
        <w:rPr>
          <w:noProof/>
        </w:rPr>
        <w:t xml:space="preserve"> </w:t>
      </w:r>
      <w:r w:rsidRPr="3F0F1197">
        <w:rPr>
          <w:i/>
          <w:iCs/>
          <w:noProof/>
        </w:rPr>
        <w:t xml:space="preserve">The Batteries Regulation provides for the framework to set the environmental ambition for EU battery manufacturing, allowing lead market provisions under </w:t>
      </w:r>
      <w:r w:rsidR="2AFE1C82" w:rsidRPr="3F0F1197">
        <w:rPr>
          <w:i/>
          <w:iCs/>
          <w:noProof/>
        </w:rPr>
        <w:t>IAA</w:t>
      </w:r>
      <w:r w:rsidRPr="3F0F1197">
        <w:rPr>
          <w:i/>
          <w:iCs/>
          <w:noProof/>
        </w:rPr>
        <w:t xml:space="preserve"> to focus on </w:t>
      </w:r>
      <w:r w:rsidR="23792EF5" w:rsidRPr="3F0F1197">
        <w:rPr>
          <w:i/>
          <w:iCs/>
          <w:noProof/>
        </w:rPr>
        <w:t xml:space="preserve">Made in EU </w:t>
      </w:r>
      <w:r w:rsidRPr="3F0F1197">
        <w:rPr>
          <w:i/>
          <w:iCs/>
          <w:noProof/>
        </w:rPr>
        <w:t xml:space="preserve">requirements, when justified. </w:t>
      </w:r>
    </w:p>
    <w:p w14:paraId="178BB64F" w14:textId="77777777" w:rsidR="00020031" w:rsidRPr="00FF63D1" w:rsidRDefault="00020031">
      <w:pPr>
        <w:pStyle w:val="ListParagraph"/>
        <w:ind w:left="0"/>
        <w:rPr>
          <w:noProof/>
        </w:rPr>
      </w:pPr>
    </w:p>
    <w:p w14:paraId="65DDB36A" w14:textId="02022C63" w:rsidR="00020031" w:rsidRPr="00F261DB" w:rsidRDefault="719AC623" w:rsidP="00257D37">
      <w:pPr>
        <w:pStyle w:val="ListParagraph"/>
        <w:numPr>
          <w:ilvl w:val="0"/>
          <w:numId w:val="20"/>
        </w:numPr>
        <w:textAlignment w:val="baseline"/>
        <w:rPr>
          <w:rFonts w:eastAsia="Times New Roman"/>
          <w:noProof/>
        </w:rPr>
      </w:pPr>
      <w:r w:rsidRPr="00F261DB">
        <w:rPr>
          <w:rFonts w:eastAsia="Times New Roman"/>
          <w:noProof/>
        </w:rPr>
        <w:t xml:space="preserve">The </w:t>
      </w:r>
      <w:r w:rsidRPr="1A2A8689">
        <w:rPr>
          <w:rFonts w:eastAsia="Times New Roman"/>
          <w:b/>
          <w:bCs/>
          <w:noProof/>
        </w:rPr>
        <w:t>Critical Raw Materials Act</w:t>
      </w:r>
      <w:r w:rsidR="00962389" w:rsidRPr="00FF63D1">
        <w:rPr>
          <w:rStyle w:val="FootnoteReference"/>
          <w:rFonts w:eastAsia="Times New Roman"/>
          <w:noProof/>
        </w:rPr>
        <w:footnoteReference w:id="527"/>
      </w:r>
      <w:r w:rsidRPr="00F261DB">
        <w:rPr>
          <w:rFonts w:eastAsia="Times New Roman"/>
          <w:noProof/>
        </w:rPr>
        <w:t xml:space="preserve"> (CRMA) ensures EU access to a secure and sustainable supply of critical raw materials, strengthening all stages of the European value chain, diversify the EU’s imports to reduce strategic dependencies, improve EU capacity to </w:t>
      </w:r>
      <w:r w:rsidRPr="00FF63D1">
        <w:rPr>
          <w:noProof/>
        </w:rPr>
        <w:t>monitor</w:t>
      </w:r>
      <w:r w:rsidRPr="00F261DB">
        <w:rPr>
          <w:rFonts w:eastAsia="Times New Roman"/>
          <w:noProof/>
        </w:rPr>
        <w:t xml:space="preserve"> and mitigate </w:t>
      </w:r>
      <w:r w:rsidRPr="00F261DB">
        <w:rPr>
          <w:noProof/>
        </w:rPr>
        <w:t>risks</w:t>
      </w:r>
      <w:r w:rsidRPr="00F261DB">
        <w:rPr>
          <w:rFonts w:eastAsia="Times New Roman"/>
          <w:noProof/>
        </w:rPr>
        <w:t xml:space="preserve"> of disruptions to the supply of critical raw materials, and improve circularity and sustainability. The CRMA includes within scope several energy-intensive sectors, namely copper, aluminium and silicon metal. It establishes simplified permitting procedures and sets selection criteria for designating strategic projects.</w:t>
      </w:r>
    </w:p>
    <w:p w14:paraId="0538C4A0" w14:textId="77777777" w:rsidR="00020031" w:rsidRPr="00F261DB" w:rsidRDefault="00020031">
      <w:pPr>
        <w:pStyle w:val="ListParagraph"/>
        <w:ind w:left="0"/>
        <w:rPr>
          <w:rFonts w:eastAsia="Times New Roman"/>
          <w:noProof/>
        </w:rPr>
      </w:pPr>
    </w:p>
    <w:p w14:paraId="6DDBDCCE" w14:textId="5984CB1C" w:rsidR="00020031" w:rsidRPr="00F261DB" w:rsidRDefault="719AC623" w:rsidP="00257D37">
      <w:pPr>
        <w:pStyle w:val="ListParagraph"/>
        <w:numPr>
          <w:ilvl w:val="0"/>
          <w:numId w:val="20"/>
        </w:numPr>
        <w:textAlignment w:val="baseline"/>
        <w:rPr>
          <w:rFonts w:eastAsia="Times New Roman"/>
          <w:noProof/>
        </w:rPr>
      </w:pPr>
      <w:r w:rsidRPr="00F261DB">
        <w:rPr>
          <w:rFonts w:eastAsia="Times New Roman"/>
          <w:noProof/>
        </w:rPr>
        <w:t xml:space="preserve">The </w:t>
      </w:r>
      <w:r w:rsidRPr="1A2A8689">
        <w:rPr>
          <w:rFonts w:eastAsia="Times New Roman"/>
          <w:b/>
          <w:bCs/>
          <w:noProof/>
        </w:rPr>
        <w:t>Alternative Fuels Infrastructure Regulation</w:t>
      </w:r>
      <w:r w:rsidR="00962389" w:rsidRPr="00FF63D1">
        <w:rPr>
          <w:rStyle w:val="FootnoteReference"/>
          <w:rFonts w:eastAsia="Times New Roman"/>
          <w:noProof/>
        </w:rPr>
        <w:footnoteReference w:id="528"/>
      </w:r>
      <w:r w:rsidRPr="00F261DB">
        <w:rPr>
          <w:rFonts w:eastAsia="Times New Roman"/>
          <w:noProof/>
        </w:rPr>
        <w:t xml:space="preserve"> (AFIR) is aimed at expanding and standardising the infrastructure for alternative fuels across the EU. It seeks to ensure the availability of essential infrastructure, such as </w:t>
      </w:r>
      <w:r w:rsidR="71EA5691">
        <w:rPr>
          <w:rFonts w:eastAsia="Times New Roman"/>
          <w:noProof/>
        </w:rPr>
        <w:t>EV</w:t>
      </w:r>
      <w:r w:rsidR="39EE4AD2">
        <w:rPr>
          <w:rFonts w:eastAsia="Times New Roman"/>
          <w:noProof/>
        </w:rPr>
        <w:t xml:space="preserve"> </w:t>
      </w:r>
      <w:r w:rsidRPr="00F261DB">
        <w:rPr>
          <w:rFonts w:eastAsia="Times New Roman"/>
          <w:noProof/>
        </w:rPr>
        <w:t xml:space="preserve">recharging pools and hydrogen refuelling points, along the main transport corridors and other strategic locations. </w:t>
      </w:r>
    </w:p>
    <w:p w14:paraId="26B2AAE5" w14:textId="77777777" w:rsidR="00020031" w:rsidRPr="00F261DB" w:rsidRDefault="00020031">
      <w:pPr>
        <w:pStyle w:val="ListParagraph"/>
        <w:rPr>
          <w:rFonts w:eastAsia="Times New Roman"/>
          <w:b/>
          <w:noProof/>
        </w:rPr>
      </w:pPr>
    </w:p>
    <w:p w14:paraId="2F52E7F0" w14:textId="423FABB5" w:rsidR="00020031" w:rsidRPr="00F261DB" w:rsidRDefault="719AC623" w:rsidP="00257D37">
      <w:pPr>
        <w:pStyle w:val="ListParagraph"/>
        <w:numPr>
          <w:ilvl w:val="0"/>
          <w:numId w:val="20"/>
        </w:numPr>
        <w:textAlignment w:val="baseline"/>
        <w:rPr>
          <w:rFonts w:eastAsia="Times New Roman"/>
          <w:noProof/>
        </w:rPr>
      </w:pPr>
      <w:r w:rsidRPr="1A2A8689">
        <w:rPr>
          <w:rFonts w:eastAsia="Times New Roman"/>
          <w:b/>
          <w:bCs/>
          <w:noProof/>
        </w:rPr>
        <w:t>ReFuelEU Aviation</w:t>
      </w:r>
      <w:r w:rsidR="5796300D" w:rsidRPr="1A2A8689">
        <w:rPr>
          <w:rFonts w:eastAsia="Times New Roman"/>
          <w:b/>
          <w:bCs/>
          <w:noProof/>
        </w:rPr>
        <w:t xml:space="preserve"> Regulation</w:t>
      </w:r>
      <w:r w:rsidR="003234C9" w:rsidRPr="00FF63D1">
        <w:rPr>
          <w:rStyle w:val="FootnoteReference"/>
          <w:rFonts w:eastAsia="Times New Roman"/>
          <w:noProof/>
        </w:rPr>
        <w:footnoteReference w:id="529"/>
      </w:r>
      <w:r w:rsidRPr="00F261DB">
        <w:rPr>
          <w:rFonts w:eastAsia="Times New Roman"/>
          <w:noProof/>
        </w:rPr>
        <w:t xml:space="preserve"> sets out mandates to increase the production and supply of sustainable aviation fuels (SAF) within the aviation sector in refineries in the EU. The Regulation mandates the blending of SAF with conventional jet fuels which will reduce the carbon footprint of aviation fuels and of air travel by more than 60% by 2050. The regulation establishes the Flight Emissions Label (FEL)</w:t>
      </w:r>
      <w:r w:rsidRPr="00F261DB">
        <w:rPr>
          <w:rFonts w:eastAsia="Times New Roman"/>
          <w:noProof/>
          <w:vertAlign w:val="superscript"/>
        </w:rPr>
        <w:t>39</w:t>
      </w:r>
      <w:r w:rsidRPr="00F261DB">
        <w:rPr>
          <w:rFonts w:eastAsia="Times New Roman"/>
          <w:noProof/>
        </w:rPr>
        <w:t xml:space="preserve"> which regulates the accounting and display of flight emissions and will allow airlines showcase their purchases of SAF produced in refineries and other production sites. </w:t>
      </w:r>
    </w:p>
    <w:p w14:paraId="1A98A660" w14:textId="77777777" w:rsidR="00020031" w:rsidRPr="00F261DB" w:rsidRDefault="00020031">
      <w:pPr>
        <w:pStyle w:val="ListParagraph"/>
        <w:rPr>
          <w:rFonts w:eastAsia="Times New Roman"/>
          <w:noProof/>
        </w:rPr>
      </w:pPr>
    </w:p>
    <w:p w14:paraId="42ACD523" w14:textId="6581AE4B" w:rsidR="00020031" w:rsidRPr="00F261DB" w:rsidRDefault="719AC623" w:rsidP="00257D37">
      <w:pPr>
        <w:pStyle w:val="ListParagraph"/>
        <w:numPr>
          <w:ilvl w:val="0"/>
          <w:numId w:val="20"/>
        </w:numPr>
        <w:textAlignment w:val="baseline"/>
        <w:rPr>
          <w:i/>
          <w:noProof/>
        </w:rPr>
      </w:pPr>
      <w:r w:rsidRPr="00F261DB">
        <w:rPr>
          <w:rFonts w:eastAsia="Times New Roman"/>
          <w:noProof/>
        </w:rPr>
        <w:t xml:space="preserve">The </w:t>
      </w:r>
      <w:r w:rsidRPr="1A2A8689">
        <w:rPr>
          <w:rFonts w:eastAsia="Times New Roman"/>
          <w:b/>
          <w:bCs/>
          <w:noProof/>
        </w:rPr>
        <w:t>FuelEU Maritime</w:t>
      </w:r>
      <w:r w:rsidR="5796300D" w:rsidRPr="1A2A8689">
        <w:rPr>
          <w:rFonts w:eastAsia="Times New Roman"/>
          <w:b/>
          <w:bCs/>
          <w:noProof/>
        </w:rPr>
        <w:t xml:space="preserve"> Regulation</w:t>
      </w:r>
      <w:r w:rsidR="00891A1C" w:rsidRPr="00FF63D1">
        <w:rPr>
          <w:rStyle w:val="FootnoteReference"/>
          <w:rFonts w:eastAsia="Times New Roman"/>
          <w:noProof/>
        </w:rPr>
        <w:footnoteReference w:id="530"/>
      </w:r>
      <w:r w:rsidRPr="00F261DB" w:rsidDel="00FE0F53">
        <w:rPr>
          <w:rFonts w:eastAsia="Times New Roman"/>
          <w:noProof/>
        </w:rPr>
        <w:t xml:space="preserve"> </w:t>
      </w:r>
      <w:r w:rsidRPr="00F261DB">
        <w:rPr>
          <w:rFonts w:eastAsia="Times New Roman"/>
          <w:noProof/>
        </w:rPr>
        <w:t>targets the maritime sector, promoting the use of cleaner energy and curbing greenhouse gas emissions from ships. It sets stricter limits on the carbon intensity of the energy used by ships, encouraging the transition to alternative fuels such as biofuels, hydrogen, and ammonia. FuelEU Maritime is designed to align the shipping industry with the EU’s climate goals, ensuring maritime transport contributes to reducing overall carbon emissions.</w:t>
      </w:r>
      <w:r w:rsidRPr="00FF63D1">
        <w:rPr>
          <w:noProof/>
        </w:rPr>
        <w:t xml:space="preserve"> </w:t>
      </w:r>
      <w:r w:rsidR="50E589C6" w:rsidRPr="3F0F1197">
        <w:rPr>
          <w:rFonts w:ascii="Wingdings" w:eastAsia="Wingdings" w:hAnsi="Wingdings" w:cs="Wingdings"/>
          <w:i/>
          <w:iCs/>
          <w:noProof/>
        </w:rPr>
        <w:t></w:t>
      </w:r>
      <w:r w:rsidR="50E589C6" w:rsidRPr="3F0F1197">
        <w:rPr>
          <w:rFonts w:ascii="Wingdings" w:eastAsia="Wingdings" w:hAnsi="Wingdings" w:cs="Wingdings"/>
          <w:i/>
          <w:iCs/>
          <w:noProof/>
        </w:rPr>
        <w:t></w:t>
      </w:r>
      <w:r w:rsidRPr="3F0F1197">
        <w:rPr>
          <w:i/>
          <w:iCs/>
          <w:noProof/>
        </w:rPr>
        <w:t xml:space="preserve">The above three legislations directly affect the EU refineries sector in terms of lead market provisions and justify why </w:t>
      </w:r>
      <w:r w:rsidR="2AFE1C82" w:rsidRPr="3F0F1197">
        <w:rPr>
          <w:i/>
          <w:iCs/>
          <w:noProof/>
        </w:rPr>
        <w:t>IAA</w:t>
      </w:r>
      <w:r w:rsidRPr="3F0F1197">
        <w:rPr>
          <w:i/>
          <w:iCs/>
          <w:noProof/>
        </w:rPr>
        <w:t xml:space="preserve"> does not include low</w:t>
      </w:r>
      <w:r w:rsidR="00E41BFE">
        <w:rPr>
          <w:i/>
          <w:iCs/>
          <w:noProof/>
        </w:rPr>
        <w:t>-</w:t>
      </w:r>
      <w:r w:rsidRPr="3F0F1197">
        <w:rPr>
          <w:i/>
          <w:iCs/>
          <w:noProof/>
        </w:rPr>
        <w:t xml:space="preserve">carbon obligations for refined fuels. </w:t>
      </w:r>
    </w:p>
    <w:p w14:paraId="7B797FC5" w14:textId="77777777" w:rsidR="00020031" w:rsidRPr="00F261DB" w:rsidRDefault="00020031">
      <w:pPr>
        <w:pStyle w:val="ListParagraph"/>
        <w:ind w:left="0"/>
        <w:rPr>
          <w:rFonts w:eastAsia="Times New Roman"/>
          <w:noProof/>
        </w:rPr>
      </w:pPr>
    </w:p>
    <w:p w14:paraId="7F27A385" w14:textId="1FAB18E5" w:rsidR="00020031" w:rsidRPr="00F261DB" w:rsidRDefault="719AC623" w:rsidP="00257D37">
      <w:pPr>
        <w:pStyle w:val="ListParagraph"/>
        <w:numPr>
          <w:ilvl w:val="0"/>
          <w:numId w:val="20"/>
        </w:numPr>
        <w:textAlignment w:val="baseline"/>
        <w:rPr>
          <w:noProof/>
        </w:rPr>
      </w:pPr>
      <w:r w:rsidRPr="00F261DB">
        <w:rPr>
          <w:noProof/>
        </w:rPr>
        <w:t xml:space="preserve">The </w:t>
      </w:r>
      <w:r w:rsidRPr="1A2A8689">
        <w:rPr>
          <w:b/>
          <w:bCs/>
          <w:noProof/>
        </w:rPr>
        <w:t>current multiannual financial framework</w:t>
      </w:r>
      <w:r w:rsidR="00D73EC4" w:rsidRPr="1A2A8689">
        <w:rPr>
          <w:rStyle w:val="FootnoteReference"/>
          <w:b/>
          <w:bCs/>
          <w:noProof/>
        </w:rPr>
        <w:footnoteReference w:id="531"/>
      </w:r>
      <w:r w:rsidR="269C8925" w:rsidRPr="00F261DB">
        <w:rPr>
          <w:noProof/>
        </w:rPr>
        <w:t xml:space="preserve"> </w:t>
      </w:r>
      <w:r w:rsidRPr="00F261DB">
        <w:rPr>
          <w:noProof/>
        </w:rPr>
        <w:t xml:space="preserve">(MFF), the EU's long-term budget, leverages the financial capacity of the Union and runs until the end of 2027. The broader financial architecture of EU spending programmes includes loans, guarantees and financial instruments backed by the EU budget, mobilises co-financing from Member States and beneficiaries and unlocks private investments. </w:t>
      </w:r>
      <w:bookmarkStart w:id="654" w:name="_Hlk199861168"/>
      <w:r w:rsidRPr="00F261DB">
        <w:rPr>
          <w:noProof/>
        </w:rPr>
        <w:t>With the Strategic Technologies for Europe Platform</w:t>
      </w:r>
      <w:r w:rsidR="00476FB0" w:rsidRPr="00FF63D1">
        <w:rPr>
          <w:rStyle w:val="FootnoteReference"/>
          <w:noProof/>
        </w:rPr>
        <w:footnoteReference w:id="532"/>
      </w:r>
      <w:r w:rsidRPr="00F261DB">
        <w:rPr>
          <w:noProof/>
        </w:rPr>
        <w:t xml:space="preserve"> (STEP) Regulation, the EU </w:t>
      </w:r>
      <w:r w:rsidR="3886F6D5" w:rsidRPr="00F261DB">
        <w:rPr>
          <w:noProof/>
        </w:rPr>
        <w:t>is</w:t>
      </w:r>
      <w:r w:rsidRPr="00F261DB">
        <w:rPr>
          <w:noProof/>
        </w:rPr>
        <w:t xml:space="preserve"> redirecting funding from 11 different financing programmes towards industrial projects across three critical technologies: digital technologies and deep-tech innovation; clean and resource-efficient technologies; and biotechnologies.</w:t>
      </w:r>
      <w:bookmarkEnd w:id="654"/>
      <w:r w:rsidRPr="00F261DB">
        <w:rPr>
          <w:noProof/>
        </w:rPr>
        <w:t xml:space="preserve"> </w:t>
      </w:r>
    </w:p>
    <w:p w14:paraId="2EB9285E" w14:textId="77777777" w:rsidR="00020031" w:rsidRPr="00F261DB" w:rsidRDefault="00020031">
      <w:pPr>
        <w:pStyle w:val="ListParagraph"/>
        <w:ind w:left="0"/>
        <w:rPr>
          <w:noProof/>
        </w:rPr>
      </w:pPr>
    </w:p>
    <w:p w14:paraId="104E6C27" w14:textId="0A5D550A" w:rsidR="00020031" w:rsidRPr="00F261DB" w:rsidRDefault="719AC623" w:rsidP="00257D37">
      <w:pPr>
        <w:pStyle w:val="ListParagraph"/>
        <w:numPr>
          <w:ilvl w:val="0"/>
          <w:numId w:val="20"/>
        </w:numPr>
        <w:textAlignment w:val="baseline"/>
        <w:rPr>
          <w:noProof/>
        </w:rPr>
      </w:pPr>
      <w:r w:rsidRPr="00F261DB">
        <w:rPr>
          <w:noProof/>
        </w:rPr>
        <w:t xml:space="preserve">The objective of the EU’s </w:t>
      </w:r>
      <w:r w:rsidRPr="1A2A8689">
        <w:rPr>
          <w:b/>
          <w:bCs/>
          <w:noProof/>
        </w:rPr>
        <w:t>Foreign Direct Investment Regulation</w:t>
      </w:r>
      <w:r w:rsidR="00962389" w:rsidRPr="00FF63D1">
        <w:rPr>
          <w:rStyle w:val="FootnoteReference"/>
          <w:noProof/>
        </w:rPr>
        <w:footnoteReference w:id="533"/>
      </w:r>
      <w:r w:rsidRPr="00F261DB">
        <w:rPr>
          <w:noProof/>
        </w:rPr>
        <w:t xml:space="preserve"> </w:t>
      </w:r>
      <w:r w:rsidR="269C8925" w:rsidRPr="00F261DB">
        <w:rPr>
          <w:noProof/>
        </w:rPr>
        <w:t>(FDI)</w:t>
      </w:r>
      <w:r w:rsidRPr="1A2A8689">
        <w:rPr>
          <w:b/>
          <w:bCs/>
          <w:noProof/>
        </w:rPr>
        <w:t xml:space="preserve"> </w:t>
      </w:r>
      <w:r w:rsidRPr="00F261DB">
        <w:rPr>
          <w:noProof/>
        </w:rPr>
        <w:t>is to make sure that the EU is better equipped to identify, assess and mitigate potential risks to security or public order, while remaining among the world’s most open</w:t>
      </w:r>
      <w:r w:rsidR="50FD5BA1" w:rsidRPr="00F261DB">
        <w:rPr>
          <w:noProof/>
        </w:rPr>
        <w:t xml:space="preserve"> </w:t>
      </w:r>
      <w:r w:rsidR="31360A6F" w:rsidRPr="00F261DB">
        <w:rPr>
          <w:noProof/>
        </w:rPr>
        <w:t>investment</w:t>
      </w:r>
      <w:r w:rsidR="50FD5BA1" w:rsidRPr="00F261DB">
        <w:rPr>
          <w:noProof/>
        </w:rPr>
        <w:t xml:space="preserve"> </w:t>
      </w:r>
      <w:r w:rsidRPr="00F261DB">
        <w:rPr>
          <w:noProof/>
        </w:rPr>
        <w:t xml:space="preserve">areas. It creates a cooperation mechanism where Member States and the Commission </w:t>
      </w:r>
      <w:r w:rsidR="22DA6D2A" w:rsidRPr="00F261DB">
        <w:rPr>
          <w:noProof/>
        </w:rPr>
        <w:t xml:space="preserve">can </w:t>
      </w:r>
      <w:r w:rsidRPr="00F261DB">
        <w:rPr>
          <w:noProof/>
        </w:rPr>
        <w:t xml:space="preserve">change information and raise concerns to specific investments; allows the Commission to issue opinions when an investment threatens the security or public order of more than one Member State; and sets certain requirements for Member States that wish to maintain or adopt a screening mechanism at national level. </w:t>
      </w:r>
      <w:hyperlink r:id="rId90">
        <w:r w:rsidRPr="00F261DB">
          <w:rPr>
            <w:noProof/>
          </w:rPr>
          <w:t>It fully applies since 11 October 2020</w:t>
        </w:r>
      </w:hyperlink>
      <w:r w:rsidRPr="00F261DB">
        <w:rPr>
          <w:noProof/>
        </w:rPr>
        <w:t xml:space="preserve">. </w:t>
      </w:r>
      <w:r w:rsidRPr="00F261DB">
        <w:rPr>
          <w:rFonts w:ascii="Wingdings" w:eastAsia="Wingdings" w:hAnsi="Wingdings" w:cs="Wingdings"/>
          <w:noProof/>
        </w:rPr>
        <w:t></w:t>
      </w:r>
      <w:r w:rsidRPr="00F261DB">
        <w:rPr>
          <w:noProof/>
        </w:rPr>
        <w:t xml:space="preserve"> </w:t>
      </w:r>
      <w:r w:rsidRPr="3F0F1197">
        <w:rPr>
          <w:i/>
          <w:iCs/>
          <w:noProof/>
        </w:rPr>
        <w:t xml:space="preserve">Under </w:t>
      </w:r>
      <w:r w:rsidR="2AFE1C82" w:rsidRPr="3F0F1197">
        <w:rPr>
          <w:i/>
          <w:iCs/>
          <w:noProof/>
        </w:rPr>
        <w:t>IAA</w:t>
      </w:r>
      <w:r w:rsidRPr="3F0F1197">
        <w:rPr>
          <w:i/>
          <w:iCs/>
          <w:noProof/>
        </w:rPr>
        <w:t xml:space="preserve">, possible conditions for foreign investments are related but not overlapping with the FDI regulation, as the policy objective is significantly different: national security and public order for the FDI Regulation, and single market functioning for </w:t>
      </w:r>
      <w:r w:rsidR="2AFE1C82" w:rsidRPr="3F0F1197">
        <w:rPr>
          <w:i/>
          <w:iCs/>
          <w:noProof/>
        </w:rPr>
        <w:t>IAA</w:t>
      </w:r>
      <w:r w:rsidRPr="3F0F1197">
        <w:rPr>
          <w:i/>
          <w:iCs/>
          <w:noProof/>
        </w:rPr>
        <w:t xml:space="preserve">. see below for additional elements. </w:t>
      </w:r>
    </w:p>
    <w:p w14:paraId="2B97CB04" w14:textId="77777777" w:rsidR="00020031" w:rsidRPr="00F261DB" w:rsidRDefault="00020031">
      <w:pPr>
        <w:pStyle w:val="ListParagraph"/>
        <w:ind w:left="0"/>
        <w:rPr>
          <w:noProof/>
        </w:rPr>
      </w:pPr>
    </w:p>
    <w:p w14:paraId="3B4AC1C4" w14:textId="58215682" w:rsidR="004F3AB5" w:rsidRPr="00FF63D1" w:rsidRDefault="719AC623" w:rsidP="09D33E3B">
      <w:pPr>
        <w:pStyle w:val="ListParagraph"/>
        <w:numPr>
          <w:ilvl w:val="0"/>
          <w:numId w:val="20"/>
        </w:numPr>
        <w:textAlignment w:val="baseline"/>
        <w:rPr>
          <w:noProof/>
        </w:rPr>
      </w:pPr>
      <w:r w:rsidRPr="00F261DB">
        <w:rPr>
          <w:noProof/>
        </w:rPr>
        <w:t xml:space="preserve">In July 2025, the Commission put forward comprehensive proposals for the </w:t>
      </w:r>
      <w:r w:rsidRPr="1A2A8689">
        <w:rPr>
          <w:b/>
          <w:bCs/>
          <w:noProof/>
        </w:rPr>
        <w:t>post-2027 MFF</w:t>
      </w:r>
      <w:r w:rsidR="00F23A96" w:rsidRPr="00DF75C4">
        <w:rPr>
          <w:rStyle w:val="FootnoteReference"/>
          <w:noProof/>
        </w:rPr>
        <w:footnoteReference w:id="534"/>
      </w:r>
      <w:r w:rsidRPr="00F261DB">
        <w:rPr>
          <w:noProof/>
        </w:rPr>
        <w:t xml:space="preserve"> and for the next generation of financial programmes. As announced in President von der Leyen's Political Guidelines, the Commission has notably proposed a </w:t>
      </w:r>
      <w:r w:rsidRPr="1A2A8689">
        <w:rPr>
          <w:b/>
          <w:bCs/>
          <w:noProof/>
        </w:rPr>
        <w:t>European Competitiveness Fund</w:t>
      </w:r>
      <w:r w:rsidRPr="00F261DB">
        <w:rPr>
          <w:noProof/>
        </w:rPr>
        <w:t xml:space="preserve"> with a total envelope of EUR 409 billion will boost support to research, innovation, development and deployment. It will draw together EU investment to accelerate the scaling-up, manufacturing and deployment of strategic technologies in Europe. It aims to bolster the competitiveness of European companies and strengthen the EU’s industrial base, by supporting </w:t>
      </w:r>
      <w:r w:rsidR="6C1FA38E">
        <w:rPr>
          <w:noProof/>
        </w:rPr>
        <w:t>M</w:t>
      </w:r>
      <w:r w:rsidRPr="00F261DB">
        <w:rPr>
          <w:noProof/>
        </w:rPr>
        <w:t>ade in E</w:t>
      </w:r>
      <w:r w:rsidR="6C1FA38E">
        <w:rPr>
          <w:noProof/>
        </w:rPr>
        <w:t>U</w:t>
      </w:r>
      <w:r w:rsidRPr="00F261DB">
        <w:rPr>
          <w:noProof/>
        </w:rPr>
        <w:t xml:space="preserve"> technologies, products and services. The Fund, operating under one rulebook, will offer a single gateway to funding applicants, will simplify and accelerate EU funding and catalyse private and public investment. </w:t>
      </w:r>
    </w:p>
    <w:p w14:paraId="3DF85478" w14:textId="77777777" w:rsidR="004F3AB5" w:rsidRPr="00FF63D1" w:rsidRDefault="004F3AB5" w:rsidP="00020C03">
      <w:pPr>
        <w:pStyle w:val="ListParagraph"/>
        <w:rPr>
          <w:noProof/>
        </w:rPr>
      </w:pPr>
    </w:p>
    <w:p w14:paraId="795430CA" w14:textId="1234B763" w:rsidR="00020031" w:rsidRPr="00FF63D1" w:rsidRDefault="00020031" w:rsidP="09D33E3B">
      <w:pPr>
        <w:pStyle w:val="ListParagraph"/>
        <w:numPr>
          <w:ilvl w:val="0"/>
          <w:numId w:val="20"/>
        </w:numPr>
        <w:textAlignment w:val="baseline"/>
        <w:rPr>
          <w:noProof/>
        </w:rPr>
      </w:pPr>
      <w:r w:rsidRPr="00FF63D1">
        <w:rPr>
          <w:noProof/>
        </w:rPr>
        <w:t xml:space="preserve">The new proposal for an </w:t>
      </w:r>
      <w:r w:rsidRPr="00FF63D1">
        <w:rPr>
          <w:b/>
          <w:noProof/>
        </w:rPr>
        <w:t>Industrial Decarbonisation Bank</w:t>
      </w:r>
      <w:r w:rsidRPr="00FF63D1">
        <w:rPr>
          <w:noProof/>
        </w:rPr>
        <w:t xml:space="preserve"> will be based on the Innovation Fund, additional revenues resulting from parts of the ETS as well as InvestEU. The bank will aim at supporting projects with carbon emission reduction as a metric to enable technology-neutral support across industrial sectors, including through carbon contracts for difference.</w:t>
      </w:r>
      <w:r w:rsidR="233E4157" w:rsidRPr="00FF63D1">
        <w:rPr>
          <w:noProof/>
        </w:rPr>
        <w:t xml:space="preserve"> As announced in the Clean Industrial Deal, it will be integrated in the governance of the ECF. </w:t>
      </w:r>
    </w:p>
    <w:p w14:paraId="2DE0BB82" w14:textId="77777777" w:rsidR="00020031" w:rsidRPr="00F261DB" w:rsidRDefault="00020031">
      <w:pPr>
        <w:pStyle w:val="ListParagraph"/>
        <w:ind w:left="0"/>
        <w:rPr>
          <w:noProof/>
        </w:rPr>
      </w:pPr>
    </w:p>
    <w:p w14:paraId="0F5AA594" w14:textId="77777777" w:rsidR="008802BB" w:rsidRDefault="00020031" w:rsidP="00257D37">
      <w:pPr>
        <w:pStyle w:val="ListParagraph"/>
        <w:numPr>
          <w:ilvl w:val="0"/>
          <w:numId w:val="20"/>
        </w:numPr>
        <w:textAlignment w:val="baseline"/>
        <w:rPr>
          <w:noProof/>
        </w:rPr>
      </w:pPr>
      <w:r w:rsidRPr="00F261DB">
        <w:rPr>
          <w:b/>
          <w:noProof/>
        </w:rPr>
        <w:t>Competition rules and enforcement</w:t>
      </w:r>
      <w:r w:rsidRPr="00F261DB">
        <w:rPr>
          <w:noProof/>
        </w:rPr>
        <w:t xml:space="preserve"> protect fair competition in the Single Market and incentivise companies to innovate and become more efficient. The Clean Industrial Deal State Aid Framework (CISAF) adopted on 25 June enables necessary and proportionate State aid that crowds in private investment for projects contributing to the objectives of the Clean Industrial Deal, while </w:t>
      </w:r>
      <w:r w:rsidRPr="00F261DB">
        <w:rPr>
          <w:rFonts w:eastAsia="Times New Roman"/>
          <w:noProof/>
        </w:rPr>
        <w:t>preserving</w:t>
      </w:r>
      <w:r w:rsidRPr="00F261DB">
        <w:rPr>
          <w:noProof/>
        </w:rPr>
        <w:t xml:space="preserve"> the level playing field and European cohesion. In particular, the CISAF simplifies State aid rules in five main areas: (i) the roll-out of renewable energy and low-carbon fuels;(ii) temporary electricity price relief for energy-intensive users to ensure the transition to low-cost clean electricity; (iii) decarbonisation of existing production facilities; (iv) the development of clean tech manufacturing capacity in the EU, and; (v) the de-risking of investments in clean energy, decarbonisation, clean tech, energy infrastructure projects and projects supporting the circular economy. Furthermore, the State Aid Guidelines for Climate, Energy and Environmental protection (CEEAG) remain an important instrument to assess the compatibility of aid in the field of industrial decarbonisation.</w:t>
      </w:r>
    </w:p>
    <w:p w14:paraId="38E2492C" w14:textId="77777777" w:rsidR="008802BB" w:rsidRDefault="008802BB" w:rsidP="008802BB">
      <w:pPr>
        <w:pStyle w:val="ListParagraph"/>
        <w:textAlignment w:val="baseline"/>
        <w:rPr>
          <w:noProof/>
        </w:rPr>
      </w:pPr>
    </w:p>
    <w:p w14:paraId="02CAEF53" w14:textId="0182407B" w:rsidR="00020031" w:rsidRPr="00F261DB" w:rsidRDefault="719AC623" w:rsidP="00257D37">
      <w:pPr>
        <w:pStyle w:val="ListParagraph"/>
        <w:numPr>
          <w:ilvl w:val="0"/>
          <w:numId w:val="20"/>
        </w:numPr>
        <w:textAlignment w:val="baseline"/>
        <w:rPr>
          <w:noProof/>
        </w:rPr>
      </w:pPr>
      <w:r w:rsidRPr="1A2A8689">
        <w:rPr>
          <w:rFonts w:eastAsia="Calibri"/>
          <w:b/>
          <w:bCs/>
          <w:noProof/>
        </w:rPr>
        <w:t>Trade defence instruments</w:t>
      </w:r>
      <w:r w:rsidRPr="00F261DB">
        <w:rPr>
          <w:rFonts w:eastAsia="Calibri"/>
          <w:noProof/>
        </w:rPr>
        <w:t xml:space="preserve"> such as anti-dumping and anti-subsidy measures as well as existing steel safeguard are primarily applied for the products produced by the energy-intensive industries such as steel, non-ferrous metals, ceramics and others. In the Steel and Metals Action Plan (SMAP)</w:t>
      </w:r>
      <w:r w:rsidR="00FE0A54" w:rsidRPr="00FF63D1">
        <w:rPr>
          <w:rStyle w:val="FootnoteReference"/>
          <w:rFonts w:eastAsia="Calibri"/>
          <w:noProof/>
        </w:rPr>
        <w:footnoteReference w:id="535"/>
      </w:r>
      <w:r w:rsidRPr="00F261DB">
        <w:rPr>
          <w:rFonts w:eastAsia="Calibri"/>
          <w:noProof/>
        </w:rPr>
        <w:t xml:space="preserve">, the Commission committed to propose, a measure replacing the steel safeguards (which expires on 30 June 2026). </w:t>
      </w:r>
      <w:r w:rsidR="2A16393C" w:rsidRPr="00F261DB">
        <w:rPr>
          <w:noProof/>
        </w:rPr>
        <w:t>The Commission has now adopted this proposal</w:t>
      </w:r>
      <w:r w:rsidR="51C3F076" w:rsidRPr="00F261DB">
        <w:rPr>
          <w:rFonts w:eastAsia="Calibri"/>
          <w:noProof/>
        </w:rPr>
        <w:t xml:space="preserve"> addressing</w:t>
      </w:r>
      <w:r w:rsidR="4856E1AE" w:rsidRPr="00F261DB">
        <w:rPr>
          <w:rFonts w:eastAsia="Calibri"/>
          <w:noProof/>
        </w:rPr>
        <w:t xml:space="preserve"> the</w:t>
      </w:r>
      <w:r w:rsidR="51C3F076" w:rsidRPr="00F261DB">
        <w:rPr>
          <w:rFonts w:eastAsia="Calibri"/>
          <w:noProof/>
        </w:rPr>
        <w:t xml:space="preserve"> negative trade-related effects </w:t>
      </w:r>
      <w:r w:rsidR="4856E1AE" w:rsidRPr="00F261DB">
        <w:rPr>
          <w:rFonts w:eastAsia="Calibri"/>
          <w:noProof/>
        </w:rPr>
        <w:t>of</w:t>
      </w:r>
      <w:r w:rsidR="51C3F076" w:rsidRPr="00F261DB">
        <w:rPr>
          <w:rFonts w:eastAsia="Calibri"/>
          <w:noProof/>
        </w:rPr>
        <w:t xml:space="preserve"> global overcapacities</w:t>
      </w:r>
      <w:r w:rsidR="4856E1AE" w:rsidRPr="00F261DB">
        <w:rPr>
          <w:rFonts w:eastAsia="Calibri"/>
          <w:noProof/>
        </w:rPr>
        <w:t xml:space="preserve"> on the Union steel market</w:t>
      </w:r>
      <w:r w:rsidR="005C701D" w:rsidRPr="00FF63D1">
        <w:rPr>
          <w:rStyle w:val="FootnoteReference"/>
          <w:rFonts w:eastAsia="Calibri"/>
          <w:noProof/>
        </w:rPr>
        <w:footnoteReference w:id="536"/>
      </w:r>
      <w:r w:rsidR="2A16393C" w:rsidRPr="00F261DB">
        <w:rPr>
          <w:noProof/>
        </w:rPr>
        <w:t xml:space="preserve">, which is under consideration by the co-legislators. It maintains tariff-rate quotas (TRQs) for a wide range of steel products, introduces a “melt and pour” </w:t>
      </w:r>
      <w:r w:rsidR="009C7E61">
        <w:rPr>
          <w:noProof/>
        </w:rPr>
        <w:t>information</w:t>
      </w:r>
      <w:r w:rsidR="009C7E61" w:rsidRPr="00F261DB">
        <w:rPr>
          <w:noProof/>
        </w:rPr>
        <w:t xml:space="preserve"> </w:t>
      </w:r>
      <w:r w:rsidR="2A16393C" w:rsidRPr="00F261DB">
        <w:rPr>
          <w:noProof/>
        </w:rPr>
        <w:t>requirement and caps TRQ volumes at the average level of 2013 imports to prevent structural increases in import penetration. These provisions strengthen the safeguard’s effectiveness against trade diversion and circumvention while preserving predictability for downstream users.</w:t>
      </w:r>
      <w:r w:rsidR="0A42065E" w:rsidRPr="00F261DB">
        <w:rPr>
          <w:noProof/>
        </w:rPr>
        <w:t xml:space="preserve"> </w:t>
      </w:r>
      <w:r w:rsidR="0A42065E" w:rsidRPr="00F261DB">
        <w:rPr>
          <w:rFonts w:ascii="Wingdings" w:eastAsia="Wingdings" w:hAnsi="Wingdings" w:cs="Wingdings"/>
          <w:noProof/>
        </w:rPr>
        <w:t></w:t>
      </w:r>
      <w:r w:rsidR="0A42065E" w:rsidRPr="00F261DB">
        <w:rPr>
          <w:noProof/>
        </w:rPr>
        <w:t xml:space="preserve"> </w:t>
      </w:r>
      <w:r w:rsidR="2A16393C" w:rsidRPr="3F0F1197">
        <w:rPr>
          <w:i/>
          <w:iCs/>
          <w:noProof/>
        </w:rPr>
        <w:t>The IAA’s lead market measures complement the safeguard by steering market demand towards low-carbon and EU-produced steel, ensuring that trade protection and decarbonisation objectives reinforce each other rather than act in isolation.</w:t>
      </w:r>
    </w:p>
    <w:p w14:paraId="1DD2FEB8" w14:textId="77777777" w:rsidR="00020031" w:rsidRPr="00F261DB" w:rsidRDefault="00020031">
      <w:pPr>
        <w:pStyle w:val="ListParagraph"/>
        <w:rPr>
          <w:noProof/>
        </w:rPr>
      </w:pPr>
    </w:p>
    <w:p w14:paraId="42828D38" w14:textId="3BFCBA81" w:rsidR="008B569F" w:rsidRPr="00AE0123" w:rsidRDefault="00020031" w:rsidP="008B569F">
      <w:pPr>
        <w:pStyle w:val="ListParagraph"/>
        <w:numPr>
          <w:ilvl w:val="0"/>
          <w:numId w:val="20"/>
        </w:numPr>
        <w:textAlignment w:val="baseline"/>
        <w:rPr>
          <w:rFonts w:eastAsia="Calibri"/>
          <w:noProof/>
        </w:rPr>
      </w:pPr>
      <w:r w:rsidRPr="00F261DB">
        <w:rPr>
          <w:rFonts w:eastAsia="Calibri"/>
          <w:noProof/>
        </w:rPr>
        <w:t xml:space="preserve">Under its </w:t>
      </w:r>
      <w:r w:rsidRPr="00F261DB">
        <w:rPr>
          <w:rFonts w:eastAsia="Calibri"/>
          <w:b/>
          <w:noProof/>
        </w:rPr>
        <w:t xml:space="preserve">free trade agreements </w:t>
      </w:r>
      <w:r w:rsidRPr="00F261DB">
        <w:rPr>
          <w:rFonts w:eastAsia="Calibri"/>
          <w:noProof/>
        </w:rPr>
        <w:t xml:space="preserve">(FTAs), the EU generally commits to investment liberalisation in the manufacturing and energy sectors, granting foreign investors broad market access and national treatment. In manufacturing, the EU typically ensures full liberalisation across virtually all subsectors, meaning foreign investors can establish and operate businesses under conditions no less favourable than domestic firms, with minimal reservations. In the energy sector, the EU’s commitments are more nuanced (including a chapter on energy and raw materials) where it maintains certain reservations linked to public services, nuclear energy, and security of supply. Across both sectors, the EU’s approach in FTAs is to lock in an open and predictable investment regime while retaining the right to regulate in sensitive areas, particularly regarding environmental protection, public safety, and strategic resources. Moreover, the EU is bound by its international commitments on investment under WTO law, in particular under GATS and TRIMs. </w:t>
      </w:r>
      <w:r w:rsidR="00D3185E" w:rsidRPr="00F261DB">
        <w:rPr>
          <w:rFonts w:eastAsia="Calibri"/>
          <w:noProof/>
        </w:rPr>
        <w:t>In addition, most modern EU FTAs include a dedicated chapter on public procurement, granting partner countries access to public contracts at central and sub-central levels under transparent and non-discriminatory conditions, in line with the WTO Government Procurement Agreement (GPA) principles. These commitments ensure that suppliers from FTA partner countries can participate in EU public tenders on equal footing with EU operators for the covered entities and contract types, effectively opening a portion of the EU procurement market to foreign competition while maintaining the possibility to exclude non-covered sectors or apply exceptions linked to security and public policy.</w:t>
      </w:r>
      <w:r w:rsidRPr="00F261DB">
        <w:rPr>
          <w:rFonts w:ascii="Wingdings" w:eastAsia="Wingdings" w:hAnsi="Wingdings" w:cs="Wingdings"/>
          <w:noProof/>
        </w:rPr>
        <w:t></w:t>
      </w:r>
      <w:r w:rsidRPr="00F261DB">
        <w:rPr>
          <w:rFonts w:eastAsia="Calibri"/>
          <w:noProof/>
        </w:rPr>
        <w:t xml:space="preserve"> </w:t>
      </w:r>
      <w:r w:rsidR="00646A42" w:rsidRPr="00F261DB">
        <w:rPr>
          <w:rFonts w:eastAsia="Calibri"/>
          <w:i/>
          <w:noProof/>
        </w:rPr>
        <w:t>IAA</w:t>
      </w:r>
      <w:r w:rsidRPr="00F261DB">
        <w:rPr>
          <w:rFonts w:eastAsia="Calibri"/>
          <w:i/>
          <w:noProof/>
        </w:rPr>
        <w:t>’s measures are framed so as to exclude countries with which the EU has free trade agreements (FDI provisions) or to benefit from exemptions under the EU’s international obligations (</w:t>
      </w:r>
      <w:r w:rsidR="00281489">
        <w:rPr>
          <w:rFonts w:eastAsia="Calibri"/>
          <w:i/>
          <w:noProof/>
        </w:rPr>
        <w:t>Made in EU requirement</w:t>
      </w:r>
      <w:r w:rsidRPr="00F261DB">
        <w:rPr>
          <w:rFonts w:eastAsia="Calibri"/>
          <w:i/>
          <w:noProof/>
        </w:rPr>
        <w:t>s)</w:t>
      </w:r>
    </w:p>
    <w:p w14:paraId="27A4F8CD" w14:textId="77777777" w:rsidR="00013ACD" w:rsidRPr="00AD5C08" w:rsidRDefault="00013ACD" w:rsidP="00013ACD">
      <w:pPr>
        <w:pStyle w:val="ListParagraph"/>
        <w:ind w:left="927"/>
        <w:textAlignment w:val="baseline"/>
        <w:rPr>
          <w:rFonts w:eastAsia="Calibri"/>
          <w:noProof/>
        </w:rPr>
      </w:pPr>
    </w:p>
    <w:p w14:paraId="40C19200" w14:textId="2F2517BB" w:rsidR="008B569F" w:rsidRPr="005E30D0" w:rsidRDefault="008B569F" w:rsidP="00DF75C4">
      <w:pPr>
        <w:pStyle w:val="ListParagraph"/>
        <w:numPr>
          <w:ilvl w:val="0"/>
          <w:numId w:val="20"/>
        </w:numPr>
        <w:textAlignment w:val="baseline"/>
        <w:rPr>
          <w:i/>
          <w:noProof/>
        </w:rPr>
      </w:pPr>
      <w:r w:rsidRPr="00162996">
        <w:rPr>
          <w:noProof/>
        </w:rPr>
        <w:t xml:space="preserve">The </w:t>
      </w:r>
      <w:r w:rsidR="00D83180" w:rsidRPr="00162996">
        <w:rPr>
          <w:noProof/>
        </w:rPr>
        <w:t xml:space="preserve">proposal for a </w:t>
      </w:r>
      <w:r w:rsidRPr="00162996">
        <w:rPr>
          <w:b/>
          <w:noProof/>
        </w:rPr>
        <w:t>Corporate</w:t>
      </w:r>
      <w:r w:rsidR="00286F71" w:rsidRPr="00162996">
        <w:rPr>
          <w:b/>
          <w:noProof/>
        </w:rPr>
        <w:t xml:space="preserve"> Clean</w:t>
      </w:r>
      <w:r w:rsidRPr="00162996">
        <w:rPr>
          <w:b/>
          <w:noProof/>
        </w:rPr>
        <w:t xml:space="preserve"> Fleet</w:t>
      </w:r>
      <w:r w:rsidRPr="00162996">
        <w:rPr>
          <w:rStyle w:val="FootnoteReference"/>
          <w:noProof/>
        </w:rPr>
        <w:footnoteReference w:id="537"/>
      </w:r>
      <w:r w:rsidRPr="00162996">
        <w:rPr>
          <w:noProof/>
        </w:rPr>
        <w:t xml:space="preserve"> </w:t>
      </w:r>
      <w:r w:rsidR="00D83180" w:rsidRPr="00162996">
        <w:rPr>
          <w:noProof/>
        </w:rPr>
        <w:t>Regulation</w:t>
      </w:r>
      <w:r w:rsidRPr="00162996">
        <w:rPr>
          <w:noProof/>
        </w:rPr>
        <w:t xml:space="preserve">, adopted </w:t>
      </w:r>
      <w:r w:rsidR="00DF5395" w:rsidRPr="00162996">
        <w:rPr>
          <w:noProof/>
        </w:rPr>
        <w:t>in December</w:t>
      </w:r>
      <w:r w:rsidRPr="00162996">
        <w:rPr>
          <w:noProof/>
        </w:rPr>
        <w:t xml:space="preserve"> 2025,</w:t>
      </w:r>
      <w:r w:rsidRPr="00162996">
        <w:rPr>
          <w:rFonts w:ascii="Arial" w:eastAsia="Times New Roman" w:hAnsi="Arial" w:cs="Arial"/>
          <w:noProof/>
          <w:color w:val="1036A0"/>
          <w:sz w:val="20"/>
          <w:szCs w:val="20"/>
          <w:lang w:eastAsia="en-GB"/>
        </w:rPr>
        <w:t xml:space="preserve"> </w:t>
      </w:r>
      <w:r w:rsidRPr="00162996">
        <w:rPr>
          <w:noProof/>
        </w:rPr>
        <w:t xml:space="preserve">aims at supporting the decarbonisation of the road transport sector by accelerating the shift to zero-emission vehicles in corporate fleets stimulating the market uptake of zero-emission vehicles and safeguarding the competitiveness and sustainability of the European road transport sector. </w:t>
      </w:r>
      <w:r w:rsidR="00B16CAF" w:rsidRPr="00162996">
        <w:rPr>
          <w:noProof/>
        </w:rPr>
        <w:t>In this context, the introduction of a sustainability and Made in EU requirement is currently under consideration</w:t>
      </w:r>
      <w:r w:rsidRPr="00162996">
        <w:rPr>
          <w:rFonts w:ascii="Wingdings" w:eastAsia="Wingdings" w:hAnsi="Wingdings" w:cs="Wingdings"/>
          <w:noProof/>
        </w:rPr>
        <w:t></w:t>
      </w:r>
      <w:r w:rsidRPr="00162996">
        <w:rPr>
          <w:noProof/>
        </w:rPr>
        <w:t xml:space="preserve"> </w:t>
      </w:r>
      <w:r w:rsidR="005E30D0" w:rsidRPr="005E30D0">
        <w:rPr>
          <w:i/>
          <w:noProof/>
        </w:rPr>
        <w:t xml:space="preserve">In order to be in a position to align requirements on strengthening domestic value chains in the automotive sector with the </w:t>
      </w:r>
      <w:r w:rsidR="005E30D0">
        <w:rPr>
          <w:i/>
          <w:noProof/>
        </w:rPr>
        <w:t>IAA</w:t>
      </w:r>
      <w:r w:rsidR="005E30D0" w:rsidRPr="005E30D0">
        <w:rPr>
          <w:i/>
          <w:noProof/>
        </w:rPr>
        <w:t>, the Commission will rely on delegated acts to set up a methodology for determining the criteria for a car or van to be considered made in EU.</w:t>
      </w:r>
    </w:p>
    <w:p w14:paraId="5D382B78" w14:textId="77777777" w:rsidR="00013ACD" w:rsidRPr="00013ACD" w:rsidRDefault="00013ACD" w:rsidP="00013ACD">
      <w:pPr>
        <w:textAlignment w:val="baseline"/>
        <w:rPr>
          <w:i/>
          <w:noProof/>
        </w:rPr>
      </w:pPr>
    </w:p>
    <w:p w14:paraId="1256200B" w14:textId="00007E1E" w:rsidR="008B569F" w:rsidRPr="00A4291C" w:rsidRDefault="008B569F" w:rsidP="008B569F">
      <w:pPr>
        <w:pStyle w:val="ListParagraph"/>
        <w:numPr>
          <w:ilvl w:val="0"/>
          <w:numId w:val="20"/>
        </w:numPr>
        <w:spacing w:after="240"/>
        <w:rPr>
          <w:rFonts w:cs="Times New Roman"/>
          <w:i/>
          <w:noProof/>
        </w:rPr>
      </w:pPr>
      <w:r w:rsidRPr="00F261DB">
        <w:rPr>
          <w:noProof/>
        </w:rPr>
        <w:t xml:space="preserve">As set out in Article 7a of the </w:t>
      </w:r>
      <w:r w:rsidRPr="00F261DB">
        <w:rPr>
          <w:noProof/>
          <w:color w:val="000000" w:themeColor="text1"/>
        </w:rPr>
        <w:t>CO</w:t>
      </w:r>
      <w:r w:rsidRPr="00F261DB">
        <w:rPr>
          <w:noProof/>
          <w:color w:val="000000" w:themeColor="text1"/>
          <w:vertAlign w:val="subscript"/>
        </w:rPr>
        <w:t>2</w:t>
      </w:r>
      <w:r w:rsidRPr="00F261DB">
        <w:rPr>
          <w:noProof/>
        </w:rPr>
        <w:t xml:space="preserve"> standards for light-duty vehicles Regulation, the </w:t>
      </w:r>
      <w:r w:rsidRPr="00F261DB">
        <w:rPr>
          <w:rFonts w:ascii="Times" w:hAnsi="Times" w:cs="Times"/>
          <w:noProof/>
        </w:rPr>
        <w:t>Commission</w:t>
      </w:r>
      <w:r w:rsidRPr="00F261DB">
        <w:rPr>
          <w:noProof/>
        </w:rPr>
        <w:t xml:space="preserve"> </w:t>
      </w:r>
      <w:r w:rsidRPr="00F261DB" w:rsidDel="00830ECD">
        <w:rPr>
          <w:noProof/>
        </w:rPr>
        <w:t xml:space="preserve">is </w:t>
      </w:r>
      <w:r w:rsidRPr="00F261DB">
        <w:rPr>
          <w:noProof/>
        </w:rPr>
        <w:t xml:space="preserve">developing a harmonised methodology for the assessment and the consistent data reporting of the full </w:t>
      </w:r>
      <w:r w:rsidRPr="1A2A8689">
        <w:rPr>
          <w:b/>
          <w:bCs/>
          <w:noProof/>
        </w:rPr>
        <w:t xml:space="preserve">life-cycle </w:t>
      </w:r>
      <w:r w:rsidRPr="1A2A8689">
        <w:rPr>
          <w:b/>
          <w:bCs/>
          <w:noProof/>
          <w:color w:val="000000" w:themeColor="text1"/>
        </w:rPr>
        <w:t>CO</w:t>
      </w:r>
      <w:r w:rsidRPr="1A2A8689">
        <w:rPr>
          <w:b/>
          <w:bCs/>
          <w:noProof/>
          <w:color w:val="000000" w:themeColor="text1"/>
          <w:vertAlign w:val="subscript"/>
        </w:rPr>
        <w:t>2</w:t>
      </w:r>
      <w:r w:rsidRPr="1A2A8689">
        <w:rPr>
          <w:b/>
          <w:bCs/>
          <w:noProof/>
        </w:rPr>
        <w:t xml:space="preserve"> emissions of passenger cars and light commercial vehicles</w:t>
      </w:r>
      <w:r w:rsidRPr="00FF63D1">
        <w:rPr>
          <w:rStyle w:val="FootnoteReference"/>
          <w:noProof/>
        </w:rPr>
        <w:footnoteReference w:id="538"/>
      </w:r>
      <w:r w:rsidRPr="00F261DB">
        <w:rPr>
          <w:noProof/>
        </w:rPr>
        <w:t>, so that manufacturers may voluntarily report on such emissions.</w:t>
      </w:r>
      <w:r w:rsidR="00830ECD">
        <w:rPr>
          <w:noProof/>
        </w:rPr>
        <w:t xml:space="preserve"> Furthermore</w:t>
      </w:r>
      <w:r w:rsidR="00A253FD">
        <w:rPr>
          <w:noProof/>
        </w:rPr>
        <w:t xml:space="preserve"> Article 5</w:t>
      </w:r>
      <w:r w:rsidR="00830ECD">
        <w:rPr>
          <w:noProof/>
        </w:rPr>
        <w:t xml:space="preserve"> of the regulations</w:t>
      </w:r>
      <w:r w:rsidR="00A253FD">
        <w:rPr>
          <w:noProof/>
        </w:rPr>
        <w:t xml:space="preserve"> introduces measures to booster </w:t>
      </w:r>
      <w:r w:rsidR="007623ED">
        <w:rPr>
          <w:noProof/>
        </w:rPr>
        <w:t>the new car category called ‘</w:t>
      </w:r>
      <w:r w:rsidR="00A253FD">
        <w:rPr>
          <w:noProof/>
        </w:rPr>
        <w:t>small zero-emissions vehicles</w:t>
      </w:r>
      <w:r w:rsidR="007623ED">
        <w:rPr>
          <w:noProof/>
        </w:rPr>
        <w:t>’</w:t>
      </w:r>
      <w:r w:rsidR="00830ECD">
        <w:rPr>
          <w:noProof/>
        </w:rPr>
        <w:t xml:space="preserve"> </w:t>
      </w:r>
      <w:r w:rsidR="007623ED">
        <w:rPr>
          <w:noProof/>
        </w:rPr>
        <w:t xml:space="preserve">which </w:t>
      </w:r>
      <w:r w:rsidR="00E45542">
        <w:rPr>
          <w:noProof/>
        </w:rPr>
        <w:t>may</w:t>
      </w:r>
      <w:r w:rsidR="007623ED">
        <w:rPr>
          <w:noProof/>
        </w:rPr>
        <w:t xml:space="preserve"> receive </w:t>
      </w:r>
      <w:r w:rsidR="00E45542">
        <w:rPr>
          <w:noProof/>
        </w:rPr>
        <w:t>additional CO</w:t>
      </w:r>
      <w:r w:rsidR="00E45542" w:rsidRPr="00850740">
        <w:rPr>
          <w:noProof/>
          <w:vertAlign w:val="subscript"/>
        </w:rPr>
        <w:t>2</w:t>
      </w:r>
      <w:r w:rsidR="00E45542">
        <w:rPr>
          <w:noProof/>
          <w:vertAlign w:val="subscript"/>
        </w:rPr>
        <w:t xml:space="preserve"> </w:t>
      </w:r>
      <w:r w:rsidR="00E45542">
        <w:rPr>
          <w:noProof/>
        </w:rPr>
        <w:t>credits if made in the EU</w:t>
      </w:r>
      <w:r w:rsidR="00006C3B">
        <w:rPr>
          <w:noProof/>
        </w:rPr>
        <w:t xml:space="preserve">. Additionally </w:t>
      </w:r>
      <w:r w:rsidR="00BD7C68">
        <w:rPr>
          <w:noProof/>
        </w:rPr>
        <w:t>announced</w:t>
      </w:r>
      <w:r w:rsidR="00006C3B">
        <w:rPr>
          <w:noProof/>
        </w:rPr>
        <w:t xml:space="preserve"> </w:t>
      </w:r>
      <w:r w:rsidR="00DA0020">
        <w:rPr>
          <w:noProof/>
        </w:rPr>
        <w:t>was the</w:t>
      </w:r>
      <w:r w:rsidR="00BD7C68">
        <w:rPr>
          <w:noProof/>
        </w:rPr>
        <w:t xml:space="preserve"> to creat</w:t>
      </w:r>
      <w:r w:rsidR="00DA0020">
        <w:rPr>
          <w:noProof/>
        </w:rPr>
        <w:t>ion of</w:t>
      </w:r>
      <w:r w:rsidR="00006C3B">
        <w:rPr>
          <w:noProof/>
        </w:rPr>
        <w:t xml:space="preserve"> uptake </w:t>
      </w:r>
      <w:r w:rsidR="005E3ACE">
        <w:rPr>
          <w:noProof/>
        </w:rPr>
        <w:t xml:space="preserve">for </w:t>
      </w:r>
      <w:r w:rsidR="00DA0020">
        <w:rPr>
          <w:noProof/>
        </w:rPr>
        <w:t xml:space="preserve">made in the EU and </w:t>
      </w:r>
      <w:r w:rsidR="00006C3B">
        <w:rPr>
          <w:noProof/>
        </w:rPr>
        <w:t>low</w:t>
      </w:r>
      <w:r w:rsidR="00BD7C68">
        <w:rPr>
          <w:noProof/>
        </w:rPr>
        <w:t>-</w:t>
      </w:r>
      <w:r w:rsidR="00006C3B">
        <w:rPr>
          <w:noProof/>
        </w:rPr>
        <w:t>carbon steel</w:t>
      </w:r>
      <w:r w:rsidR="005E3ACE">
        <w:rPr>
          <w:noProof/>
        </w:rPr>
        <w:t xml:space="preserve"> through an additional crediting system.</w:t>
      </w:r>
      <w:r w:rsidR="005E3ACE" w:rsidRPr="00C639F6">
        <w:rPr>
          <w:rFonts w:ascii="Wingdings" w:eastAsia="Wingdings" w:hAnsi="Wingdings" w:cs="Wingdings"/>
          <w:noProof/>
        </w:rPr>
        <w:t></w:t>
      </w:r>
      <w:r w:rsidR="009A32B6" w:rsidRPr="009A32B6">
        <w:rPr>
          <w:rFonts w:ascii="Calibri" w:eastAsia="Times New Roman" w:hAnsi="Calibri" w:cs="Calibri"/>
          <w:noProof/>
          <w:sz w:val="22"/>
        </w:rPr>
        <w:t xml:space="preserve"> </w:t>
      </w:r>
      <w:r w:rsidR="009A32B6" w:rsidRPr="00A4291C">
        <w:rPr>
          <w:rFonts w:eastAsia="Wingdings" w:cs="Times New Roman"/>
          <w:i/>
          <w:noProof/>
        </w:rPr>
        <w:t xml:space="preserve">The Industrial Accelerator Act is also expected to develop a label on the carbon intensity of industrial products, starting with steel, as well as parameters for </w:t>
      </w:r>
      <w:r w:rsidR="0070602C">
        <w:rPr>
          <w:rFonts w:eastAsia="Wingdings" w:cs="Times New Roman"/>
          <w:i/>
          <w:noProof/>
        </w:rPr>
        <w:t>M</w:t>
      </w:r>
      <w:r w:rsidR="009A32B6" w:rsidRPr="00A4291C">
        <w:rPr>
          <w:rFonts w:eastAsia="Wingdings" w:cs="Times New Roman"/>
          <w:i/>
          <w:noProof/>
        </w:rPr>
        <w:t xml:space="preserve">ade in the EU”. This will be relevant to rely on these developments as appropriate, to ensure consistency of the methodologies. It is equally valid for the reference to </w:t>
      </w:r>
      <w:r w:rsidR="0070602C">
        <w:rPr>
          <w:rFonts w:eastAsia="Wingdings" w:cs="Times New Roman"/>
          <w:i/>
          <w:noProof/>
        </w:rPr>
        <w:t>M</w:t>
      </w:r>
      <w:r w:rsidR="009A32B6" w:rsidRPr="00A4291C">
        <w:rPr>
          <w:rFonts w:eastAsia="Wingdings" w:cs="Times New Roman"/>
          <w:i/>
          <w:noProof/>
        </w:rPr>
        <w:t>ade in the EU” for small electric cars.</w:t>
      </w:r>
    </w:p>
    <w:p w14:paraId="7C0658A6" w14:textId="795C445A" w:rsidR="008B569F" w:rsidRPr="00FF63D1" w:rsidRDefault="008B569F" w:rsidP="008B569F">
      <w:pPr>
        <w:pStyle w:val="ListParagraph"/>
        <w:numPr>
          <w:ilvl w:val="0"/>
          <w:numId w:val="20"/>
        </w:numPr>
        <w:spacing w:after="240"/>
        <w:rPr>
          <w:rFonts w:ascii="Times" w:hAnsi="Times"/>
          <w:noProof/>
        </w:rPr>
      </w:pPr>
      <w:r w:rsidRPr="00F261DB">
        <w:rPr>
          <w:rFonts w:ascii="Times" w:hAnsi="Times" w:cs="Times"/>
          <w:noProof/>
        </w:rPr>
        <w:t xml:space="preserve">The Commission also put forward an </w:t>
      </w:r>
      <w:r w:rsidRPr="1A2A8689">
        <w:rPr>
          <w:rFonts w:ascii="Times" w:hAnsi="Times" w:cs="Times"/>
          <w:b/>
          <w:bCs/>
          <w:noProof/>
        </w:rPr>
        <w:t>Action Plan for the chemical sector</w:t>
      </w:r>
      <w:r w:rsidRPr="00FF63D1">
        <w:rPr>
          <w:rStyle w:val="FootnoteReference"/>
          <w:rFonts w:ascii="Times" w:hAnsi="Times" w:cs="Times"/>
          <w:noProof/>
        </w:rPr>
        <w:footnoteReference w:id="539"/>
      </w:r>
      <w:r w:rsidRPr="00F261DB">
        <w:rPr>
          <w:rFonts w:ascii="Times" w:hAnsi="Times" w:cs="Times"/>
          <w:noProof/>
        </w:rPr>
        <w:t xml:space="preserve">, a </w:t>
      </w:r>
      <w:r w:rsidRPr="1A2A8689">
        <w:rPr>
          <w:rFonts w:ascii="Times" w:hAnsi="Times" w:cs="Times"/>
          <w:b/>
          <w:bCs/>
          <w:noProof/>
        </w:rPr>
        <w:t>sector-specific Omnibus</w:t>
      </w:r>
      <w:r w:rsidRPr="00F261DB">
        <w:rPr>
          <w:rFonts w:ascii="Times" w:hAnsi="Times" w:cs="Times"/>
          <w:noProof/>
        </w:rPr>
        <w:t xml:space="preserve">, as well as a </w:t>
      </w:r>
      <w:r w:rsidRPr="1A2A8689">
        <w:rPr>
          <w:rFonts w:ascii="Times" w:hAnsi="Times" w:cs="Times"/>
          <w:b/>
          <w:bCs/>
          <w:noProof/>
        </w:rPr>
        <w:t>Chemicals Industry Package</w:t>
      </w:r>
      <w:r w:rsidRPr="00F261DB">
        <w:rPr>
          <w:rFonts w:ascii="Times" w:hAnsi="Times" w:cs="Times"/>
          <w:noProof/>
        </w:rPr>
        <w:t xml:space="preserve"> </w:t>
      </w:r>
      <w:r w:rsidR="009A32B6">
        <w:rPr>
          <w:rFonts w:ascii="Times" w:hAnsi="Times" w:cs="Times"/>
          <w:noProof/>
        </w:rPr>
        <w:t>ad</w:t>
      </w:r>
      <w:r w:rsidR="00067098">
        <w:rPr>
          <w:rFonts w:ascii="Times" w:hAnsi="Times" w:cs="Times"/>
          <w:noProof/>
        </w:rPr>
        <w:t>opted</w:t>
      </w:r>
      <w:r w:rsidRPr="00F261DB">
        <w:rPr>
          <w:rFonts w:ascii="Times" w:hAnsi="Times" w:cs="Times"/>
          <w:noProof/>
        </w:rPr>
        <w:t xml:space="preserve"> end of 2025, as part of the Clean Industrial Deal, with the aim to maintain critical production capacities in Europe and boost investments for the modernisation and competitive transition to net-zero. </w:t>
      </w:r>
      <w:r w:rsidRPr="00F261DB">
        <w:rPr>
          <w:rFonts w:ascii="Wingdings" w:eastAsia="Wingdings" w:hAnsi="Wingdings" w:cs="Wingdings"/>
          <w:noProof/>
        </w:rPr>
        <w:t></w:t>
      </w:r>
      <w:r w:rsidRPr="00F261DB">
        <w:rPr>
          <w:rFonts w:ascii="Times" w:hAnsi="Times" w:cs="Times"/>
          <w:noProof/>
        </w:rPr>
        <w:t xml:space="preserve"> </w:t>
      </w:r>
      <w:r w:rsidRPr="3F0F1197">
        <w:rPr>
          <w:rFonts w:ascii="Times" w:hAnsi="Times" w:cs="Times"/>
          <w:i/>
          <w:iCs/>
          <w:noProof/>
        </w:rPr>
        <w:t>IAA therefore does not include targeted measures for the chemicals sector, which will be implemented more directly under the forthcoming package.</w:t>
      </w:r>
    </w:p>
    <w:p w14:paraId="03A6C0FC" w14:textId="77777777" w:rsidR="00013ACD" w:rsidRPr="00FF63D1" w:rsidRDefault="00013ACD" w:rsidP="00013ACD">
      <w:pPr>
        <w:pStyle w:val="ListParagraph"/>
        <w:spacing w:after="240"/>
        <w:ind w:left="927"/>
        <w:rPr>
          <w:rFonts w:ascii="Times" w:hAnsi="Times"/>
          <w:noProof/>
        </w:rPr>
      </w:pPr>
    </w:p>
    <w:p w14:paraId="347621C6" w14:textId="4C80BE07" w:rsidR="004D166D" w:rsidRDefault="004D166D" w:rsidP="004D166D">
      <w:pPr>
        <w:pStyle w:val="ListParagraph"/>
        <w:numPr>
          <w:ilvl w:val="0"/>
          <w:numId w:val="20"/>
        </w:numPr>
        <w:spacing w:after="240"/>
        <w:rPr>
          <w:noProof/>
        </w:rPr>
      </w:pPr>
      <w:r w:rsidRPr="00FF63D1">
        <w:rPr>
          <w:rFonts w:ascii="Times" w:hAnsi="Times" w:cs="Times"/>
          <w:noProof/>
        </w:rPr>
        <w:t xml:space="preserve">In the </w:t>
      </w:r>
      <w:r w:rsidRPr="1A2A8689">
        <w:rPr>
          <w:rFonts w:ascii="Times" w:hAnsi="Times" w:cs="Times"/>
          <w:b/>
          <w:bCs/>
          <w:noProof/>
        </w:rPr>
        <w:t>Automotive Action Plan</w:t>
      </w:r>
      <w:r w:rsidRPr="00FF63D1">
        <w:rPr>
          <w:rStyle w:val="FootnoteReference"/>
          <w:rFonts w:ascii="Times" w:hAnsi="Times" w:cs="Times"/>
          <w:noProof/>
        </w:rPr>
        <w:footnoteReference w:id="540"/>
      </w:r>
      <w:r w:rsidRPr="00FF63D1">
        <w:rPr>
          <w:rFonts w:ascii="Times" w:hAnsi="Times" w:cs="Times"/>
          <w:noProof/>
        </w:rPr>
        <w:t xml:space="preserve">, </w:t>
      </w:r>
      <w:r w:rsidRPr="00FF63D1">
        <w:rPr>
          <w:noProof/>
        </w:rPr>
        <w:t xml:space="preserve">the Commission announced </w:t>
      </w:r>
      <w:r w:rsidR="00067098">
        <w:rPr>
          <w:noProof/>
        </w:rPr>
        <w:t>that</w:t>
      </w:r>
      <w:r w:rsidRPr="00FF63D1">
        <w:rPr>
          <w:noProof/>
        </w:rPr>
        <w:t>, in cooperation with Member States and the industry, conditions for inbound foreign investments in the automotive sector to further increase their added value for the EU. This will likely include conditions with respect to EV batteries. The Commission further announced E</w:t>
      </w:r>
      <w:r>
        <w:rPr>
          <w:noProof/>
        </w:rPr>
        <w:t>uropean</w:t>
      </w:r>
      <w:r w:rsidRPr="00FF63D1">
        <w:rPr>
          <w:noProof/>
        </w:rPr>
        <w:t xml:space="preserve"> content requirements for batteries and other vehicles components to boost the global competitiveness of the sector. </w:t>
      </w:r>
      <w:r w:rsidRPr="00FF63D1">
        <w:rPr>
          <w:rFonts w:ascii="Wingdings" w:eastAsia="Wingdings" w:hAnsi="Wingdings" w:cs="Wingdings"/>
          <w:noProof/>
        </w:rPr>
        <w:t></w:t>
      </w:r>
      <w:r w:rsidRPr="00FF63D1">
        <w:rPr>
          <w:noProof/>
        </w:rPr>
        <w:t xml:space="preserve"> </w:t>
      </w:r>
      <w:r w:rsidRPr="3F0F1197">
        <w:rPr>
          <w:i/>
          <w:iCs/>
          <w:noProof/>
        </w:rPr>
        <w:t>The legislative arm of this initiative, in relation to batteries, addressed under IAA, according to the preferred policy option put forward in this impact assessment.</w:t>
      </w:r>
      <w:r w:rsidRPr="00FF63D1">
        <w:rPr>
          <w:noProof/>
        </w:rPr>
        <w:t xml:space="preserve"> </w:t>
      </w:r>
    </w:p>
    <w:p w14:paraId="064CC871" w14:textId="77777777" w:rsidR="00013ACD" w:rsidRPr="00013ACD" w:rsidRDefault="00013ACD" w:rsidP="00013ACD">
      <w:pPr>
        <w:pStyle w:val="ListParagraph"/>
        <w:ind w:left="927"/>
        <w:textAlignment w:val="baseline"/>
        <w:rPr>
          <w:rFonts w:eastAsia="Calibri"/>
          <w:noProof/>
        </w:rPr>
      </w:pPr>
    </w:p>
    <w:p w14:paraId="111D2158" w14:textId="3AA55ADA" w:rsidR="008B569F" w:rsidRPr="001002D0" w:rsidRDefault="004D166D" w:rsidP="004D166D">
      <w:pPr>
        <w:pStyle w:val="ListParagraph"/>
        <w:numPr>
          <w:ilvl w:val="0"/>
          <w:numId w:val="20"/>
        </w:numPr>
        <w:textAlignment w:val="baseline"/>
        <w:rPr>
          <w:rFonts w:eastAsia="Calibri"/>
          <w:noProof/>
        </w:rPr>
      </w:pPr>
      <w:r w:rsidRPr="00FF63D1">
        <w:rPr>
          <w:rFonts w:ascii="Times" w:hAnsi="Times" w:cs="Times"/>
          <w:noProof/>
        </w:rPr>
        <w:t xml:space="preserve">The </w:t>
      </w:r>
      <w:r w:rsidRPr="1A2A8689">
        <w:rPr>
          <w:rFonts w:ascii="Times" w:hAnsi="Times" w:cs="Times"/>
          <w:b/>
          <w:bCs/>
          <w:noProof/>
        </w:rPr>
        <w:t>Grids Package</w:t>
      </w:r>
      <w:r w:rsidRPr="00FF63D1">
        <w:rPr>
          <w:rFonts w:ascii="Times" w:hAnsi="Times" w:cs="Times"/>
          <w:noProof/>
        </w:rPr>
        <w:t xml:space="preserve"> announced as part of the Clean Industrial Deal will </w:t>
      </w:r>
      <w:r w:rsidRPr="00FF63D1">
        <w:rPr>
          <w:rFonts w:ascii="Times" w:eastAsia="Times New Roman" w:hAnsi="Times" w:cs="Times"/>
          <w:noProof/>
        </w:rPr>
        <w:t xml:space="preserve">ensure cross-border integrated planning and delivery of projects, especially on interconnectors, and </w:t>
      </w:r>
      <w:r w:rsidRPr="00FF63D1">
        <w:rPr>
          <w:rFonts w:ascii="Times" w:hAnsi="Times" w:cs="Times"/>
          <w:noProof/>
        </w:rPr>
        <w:t>facilitate access to affordable, secure and clean energy. It</w:t>
      </w:r>
      <w:r w:rsidRPr="00FF63D1" w:rsidDel="00F65CA7">
        <w:rPr>
          <w:rFonts w:ascii="Times" w:hAnsi="Times" w:cs="Times"/>
          <w:noProof/>
        </w:rPr>
        <w:t xml:space="preserve"> </w:t>
      </w:r>
      <w:r w:rsidRPr="00FF63D1">
        <w:rPr>
          <w:rFonts w:ascii="Times" w:hAnsi="Times" w:cs="Times"/>
          <w:noProof/>
        </w:rPr>
        <w:t>propose</w:t>
      </w:r>
      <w:r w:rsidR="00F65CA7">
        <w:rPr>
          <w:rFonts w:ascii="Times" w:hAnsi="Times" w:cs="Times"/>
          <w:noProof/>
        </w:rPr>
        <w:t>s</w:t>
      </w:r>
      <w:r w:rsidRPr="00FF63D1">
        <w:rPr>
          <w:rFonts w:ascii="Times" w:hAnsi="Times" w:cs="Times"/>
          <w:noProof/>
        </w:rPr>
        <w:t xml:space="preserve"> measures to accelerate the upgrading, digitalisation and expansion of the European grid infrastructure. It</w:t>
      </w:r>
      <w:r w:rsidRPr="00FF63D1" w:rsidDel="00F65CA7">
        <w:rPr>
          <w:rFonts w:ascii="Times" w:hAnsi="Times" w:cs="Times"/>
          <w:noProof/>
        </w:rPr>
        <w:t xml:space="preserve"> </w:t>
      </w:r>
      <w:r w:rsidRPr="00FF63D1">
        <w:rPr>
          <w:rFonts w:ascii="Times" w:hAnsi="Times" w:cs="Times"/>
          <w:noProof/>
        </w:rPr>
        <w:t>remove</w:t>
      </w:r>
      <w:r w:rsidR="00F65CA7">
        <w:rPr>
          <w:rFonts w:ascii="Times" w:hAnsi="Times" w:cs="Times"/>
          <w:noProof/>
        </w:rPr>
        <w:t>s</w:t>
      </w:r>
      <w:r w:rsidRPr="00FF63D1">
        <w:rPr>
          <w:rFonts w:ascii="Times" w:hAnsi="Times" w:cs="Times"/>
          <w:noProof/>
        </w:rPr>
        <w:t xml:space="preserve"> grid bottlenecks, accelerate permitting for grids, renewables and storage, and increase</w:t>
      </w:r>
      <w:r w:rsidR="00F65CA7">
        <w:rPr>
          <w:rFonts w:ascii="Times" w:hAnsi="Times" w:cs="Times"/>
          <w:noProof/>
        </w:rPr>
        <w:t>s</w:t>
      </w:r>
      <w:r w:rsidRPr="00FF63D1">
        <w:rPr>
          <w:rFonts w:ascii="Times" w:hAnsi="Times" w:cs="Times"/>
          <w:noProof/>
        </w:rPr>
        <w:t xml:space="preserve"> overall efficiency, while promoting more robust interconnections. With its main focus on electricity, it also cover</w:t>
      </w:r>
      <w:r w:rsidR="002C7F70">
        <w:rPr>
          <w:rFonts w:ascii="Times" w:hAnsi="Times" w:cs="Times"/>
          <w:noProof/>
        </w:rPr>
        <w:t>s</w:t>
      </w:r>
      <w:r w:rsidRPr="00FF63D1">
        <w:rPr>
          <w:rFonts w:ascii="Times" w:hAnsi="Times" w:cs="Times"/>
          <w:noProof/>
        </w:rPr>
        <w:t xml:space="preserve"> hydrogen and other infrastructure categories included in the framework for trans-European energy networks (TEN-E). Moreover</w:t>
      </w:r>
      <w:r w:rsidRPr="00F261DB">
        <w:rPr>
          <w:rFonts w:ascii="Times" w:hAnsi="Times"/>
          <w:noProof/>
        </w:rPr>
        <w:t xml:space="preserve">, to tackle increasing grid connection queues in several EU countries, Guidance on grid connections </w:t>
      </w:r>
      <w:r w:rsidR="002C7F70">
        <w:rPr>
          <w:rFonts w:ascii="Times" w:hAnsi="Times"/>
          <w:noProof/>
        </w:rPr>
        <w:t>is</w:t>
      </w:r>
      <w:r w:rsidRPr="00F261DB" w:rsidDel="002C7F70">
        <w:rPr>
          <w:rFonts w:ascii="Times" w:hAnsi="Times"/>
          <w:noProof/>
        </w:rPr>
        <w:t xml:space="preserve"> </w:t>
      </w:r>
      <w:r w:rsidRPr="00F261DB">
        <w:rPr>
          <w:rFonts w:ascii="Times" w:hAnsi="Times"/>
          <w:noProof/>
        </w:rPr>
        <w:t>part of the Grids package, to provide best practice</w:t>
      </w:r>
      <w:r w:rsidR="002C7F70">
        <w:rPr>
          <w:rFonts w:ascii="Times" w:hAnsi="Times"/>
          <w:noProof/>
        </w:rPr>
        <w:t>s</w:t>
      </w:r>
      <w:r w:rsidRPr="00F261DB">
        <w:rPr>
          <w:rFonts w:ascii="Times" w:hAnsi="Times"/>
          <w:noProof/>
        </w:rPr>
        <w:t xml:space="preserve"> on how to ensure accelerated grid connection for demand as well as generation and storage.</w:t>
      </w:r>
      <w:r w:rsidRPr="00FF63D1">
        <w:rPr>
          <w:rFonts w:ascii="Times" w:hAnsi="Times"/>
          <w:noProof/>
        </w:rPr>
        <w:t xml:space="preserve"> </w:t>
      </w:r>
      <w:r w:rsidRPr="00F261DB">
        <w:rPr>
          <w:noProof/>
        </w:rPr>
        <w:t>To support existing legal requirements, the Commission published a guidance on anticipatory investments in grid infrastructure, addressing also access of industry in time and in capacity requested.</w:t>
      </w:r>
      <w:r w:rsidRPr="3F0F1197">
        <w:rPr>
          <w:rFonts w:ascii="Wingdings" w:hAnsi="Wingdings"/>
          <w:i/>
          <w:iCs/>
          <w:noProof/>
        </w:rPr>
        <w:t></w:t>
      </w:r>
      <w:r w:rsidRPr="3F0F1197">
        <w:rPr>
          <w:i/>
          <w:iCs/>
          <w:noProof/>
        </w:rPr>
        <w:t xml:space="preserve"> The European Grids Package address</w:t>
      </w:r>
      <w:r w:rsidR="00F65CA7">
        <w:rPr>
          <w:i/>
          <w:iCs/>
          <w:noProof/>
        </w:rPr>
        <w:t>es</w:t>
      </w:r>
      <w:r w:rsidRPr="3F0F1197">
        <w:rPr>
          <w:i/>
          <w:iCs/>
          <w:noProof/>
        </w:rPr>
        <w:t xml:space="preserve"> issues related to access to grid infrastructure for industrial decarbonisation projects. Interactions exist with a policy measure discussed under PO3 on permitting for IAA, since they could be better addressed under the grids package</w:t>
      </w:r>
      <w:r w:rsidR="00F65CA7">
        <w:rPr>
          <w:i/>
          <w:iCs/>
          <w:noProof/>
        </w:rPr>
        <w:t>.</w:t>
      </w:r>
    </w:p>
    <w:p w14:paraId="083F6D92" w14:textId="77777777" w:rsidR="00C03BF4" w:rsidRPr="00013ACD" w:rsidRDefault="00C03BF4" w:rsidP="00013ACD">
      <w:pPr>
        <w:pStyle w:val="ListParagraph"/>
        <w:ind w:left="927"/>
        <w:textAlignment w:val="baseline"/>
        <w:rPr>
          <w:rFonts w:eastAsia="Calibri"/>
          <w:noProof/>
        </w:rPr>
      </w:pPr>
    </w:p>
    <w:p w14:paraId="2852A30D" w14:textId="4E467C2F" w:rsidR="004D166D" w:rsidRPr="00C03BF4" w:rsidRDefault="004D166D" w:rsidP="00013ACD">
      <w:pPr>
        <w:pStyle w:val="ListParagraph"/>
        <w:numPr>
          <w:ilvl w:val="0"/>
          <w:numId w:val="20"/>
        </w:numPr>
        <w:textAlignment w:val="baseline"/>
        <w:rPr>
          <w:rFonts w:eastAsia="Calibri"/>
          <w:noProof/>
        </w:rPr>
      </w:pPr>
      <w:r w:rsidRPr="00FF63D1">
        <w:rPr>
          <w:rFonts w:eastAsia="Times New Roman"/>
          <w:b/>
          <w:noProof/>
        </w:rPr>
        <w:t>Simplification of administrative burdens in environmental legislation (Environmental Omnibus</w:t>
      </w:r>
      <w:r w:rsidRPr="00FF63D1">
        <w:rPr>
          <w:rFonts w:eastAsia="Times New Roman"/>
          <w:noProof/>
        </w:rPr>
        <w:t xml:space="preserve">): </w:t>
      </w:r>
      <w:r w:rsidRPr="00FF63D1">
        <w:rPr>
          <w:noProof/>
        </w:rPr>
        <w:t>th</w:t>
      </w:r>
      <w:r w:rsidRPr="00FF63D1">
        <w:rPr>
          <w:rFonts w:eastAsia="Times New Roman"/>
          <w:noProof/>
        </w:rPr>
        <w:t xml:space="preserve">e Commission </w:t>
      </w:r>
      <w:r w:rsidR="00511386">
        <w:rPr>
          <w:rFonts w:eastAsia="Times New Roman"/>
          <w:noProof/>
        </w:rPr>
        <w:t>adopted</w:t>
      </w:r>
      <w:r w:rsidRPr="00FF63D1">
        <w:rPr>
          <w:rFonts w:eastAsia="Times New Roman"/>
          <w:noProof/>
        </w:rPr>
        <w:t xml:space="preserve"> an Omnibus package in the environmental sector </w:t>
      </w:r>
      <w:r w:rsidR="00511386">
        <w:rPr>
          <w:rFonts w:eastAsia="Times New Roman"/>
          <w:noProof/>
        </w:rPr>
        <w:t>in December</w:t>
      </w:r>
      <w:r w:rsidRPr="00FF63D1">
        <w:rPr>
          <w:rFonts w:eastAsia="Times New Roman"/>
          <w:noProof/>
        </w:rPr>
        <w:t xml:space="preserve"> 2025, which include</w:t>
      </w:r>
      <w:r w:rsidR="00511386">
        <w:rPr>
          <w:rFonts w:eastAsia="Times New Roman"/>
          <w:noProof/>
        </w:rPr>
        <w:t>s</w:t>
      </w:r>
      <w:r w:rsidRPr="00FF63D1">
        <w:rPr>
          <w:rFonts w:eastAsia="Times New Roman"/>
          <w:noProof/>
        </w:rPr>
        <w:t xml:space="preserve"> provisions to simplify and accelerate environmental permitting and environmental assessments provisions.</w:t>
      </w:r>
    </w:p>
    <w:p w14:paraId="4783CBA2" w14:textId="7862686A" w:rsidR="00020031" w:rsidRPr="00FF63D1" w:rsidRDefault="00020031" w:rsidP="00020C03">
      <w:pPr>
        <w:pStyle w:val="Heading3"/>
        <w:numPr>
          <w:ilvl w:val="0"/>
          <w:numId w:val="0"/>
        </w:numPr>
        <w:ind w:left="720" w:hanging="720"/>
        <w:rPr>
          <w:rFonts w:ascii="Times" w:hAnsi="Times"/>
          <w:b/>
        </w:rPr>
      </w:pPr>
      <w:r w:rsidRPr="00020C03">
        <w:rPr>
          <w:b/>
        </w:rPr>
        <w:t>Overview ongoing initiatives</w:t>
      </w:r>
    </w:p>
    <w:p w14:paraId="2627F413" w14:textId="63DF2710" w:rsidR="00020031" w:rsidRPr="00FF63D1" w:rsidRDefault="00020031">
      <w:pPr>
        <w:rPr>
          <w:rFonts w:ascii="Times" w:hAnsi="Times"/>
          <w:noProof/>
        </w:rPr>
      </w:pPr>
      <w:r w:rsidRPr="00FF63D1">
        <w:rPr>
          <w:rFonts w:ascii="Times" w:hAnsi="Times"/>
          <w:noProof/>
        </w:rPr>
        <w:t xml:space="preserve">The </w:t>
      </w:r>
      <w:r w:rsidR="00646A42" w:rsidRPr="00FF63D1">
        <w:rPr>
          <w:rFonts w:ascii="Times" w:hAnsi="Times"/>
          <w:noProof/>
        </w:rPr>
        <w:t>IAA</w:t>
      </w:r>
      <w:r w:rsidRPr="00FF63D1">
        <w:rPr>
          <w:rFonts w:ascii="Times" w:hAnsi="Times"/>
          <w:noProof/>
        </w:rPr>
        <w:t xml:space="preserve"> needs to ensure consistency with upcoming related initiatives, notably:</w:t>
      </w:r>
    </w:p>
    <w:p w14:paraId="65CB37CB" w14:textId="77777777" w:rsidR="00020031" w:rsidRPr="00FF63D1" w:rsidRDefault="00020031">
      <w:pPr>
        <w:rPr>
          <w:rFonts w:ascii="Times" w:hAnsi="Times"/>
          <w:noProof/>
        </w:rPr>
      </w:pPr>
    </w:p>
    <w:p w14:paraId="67AF1935" w14:textId="61B9F17E" w:rsidR="00020031" w:rsidRPr="00BE6F5F" w:rsidRDefault="00020031" w:rsidP="003F3451">
      <w:pPr>
        <w:pStyle w:val="ListParagraph"/>
        <w:numPr>
          <w:ilvl w:val="0"/>
          <w:numId w:val="31"/>
        </w:numPr>
        <w:spacing w:after="240"/>
        <w:ind w:left="426"/>
        <w:rPr>
          <w:rFonts w:ascii="Times" w:hAnsi="Times" w:cs="Times"/>
          <w:noProof/>
        </w:rPr>
      </w:pPr>
      <w:r w:rsidRPr="00F261DB">
        <w:rPr>
          <w:rFonts w:ascii="Times" w:eastAsia="Times New Roman" w:hAnsi="Times" w:cs="Times"/>
          <w:noProof/>
        </w:rPr>
        <w:t xml:space="preserve">The proposal for a </w:t>
      </w:r>
      <w:r w:rsidRPr="00F261DB">
        <w:rPr>
          <w:rFonts w:ascii="Times" w:eastAsia="Times New Roman" w:hAnsi="Times" w:cs="Times"/>
          <w:b/>
          <w:noProof/>
        </w:rPr>
        <w:t xml:space="preserve">Circular </w:t>
      </w:r>
      <w:r w:rsidRPr="00F261DB">
        <w:rPr>
          <w:rFonts w:ascii="Times" w:hAnsi="Times" w:cs="Times"/>
          <w:b/>
          <w:noProof/>
        </w:rPr>
        <w:t>Economy</w:t>
      </w:r>
      <w:r w:rsidRPr="00F261DB">
        <w:rPr>
          <w:rFonts w:ascii="Times" w:eastAsia="Times New Roman" w:hAnsi="Times" w:cs="Times"/>
          <w:b/>
          <w:noProof/>
        </w:rPr>
        <w:t xml:space="preserve"> Act</w:t>
      </w:r>
      <w:r w:rsidRPr="00F261DB">
        <w:rPr>
          <w:rFonts w:ascii="Times" w:eastAsia="Times New Roman" w:hAnsi="Times" w:cs="Times"/>
          <w:noProof/>
        </w:rPr>
        <w:t xml:space="preserve">, scheduled for adoption in 2026, will create demand for secondary materials and a single market for waste, notably in relation to critical raw materials. It will address supply and demand side measures. On the demand side, it might include mandatory, targeted, impactful and implementable requirements for public procurement of circular goods, services and works that can stimulate EU demand. </w:t>
      </w:r>
      <w:r w:rsidRPr="00F261DB">
        <w:rPr>
          <w:rFonts w:ascii="Wingdings" w:eastAsia="Wingdings" w:hAnsi="Wingdings" w:cs="Wingdings"/>
          <w:noProof/>
        </w:rPr>
        <w:t></w:t>
      </w:r>
      <w:r w:rsidRPr="00F261DB">
        <w:rPr>
          <w:rFonts w:ascii="Times" w:eastAsia="Times New Roman" w:hAnsi="Times" w:cs="Times"/>
          <w:noProof/>
        </w:rPr>
        <w:t xml:space="preserve"> </w:t>
      </w:r>
      <w:r w:rsidRPr="00F261DB">
        <w:rPr>
          <w:rFonts w:ascii="Times" w:eastAsia="Times New Roman" w:hAnsi="Times" w:cs="Times"/>
          <w:i/>
          <w:noProof/>
        </w:rPr>
        <w:t xml:space="preserve">The circular economy act may promote the recycling of EII products, creating synergies with the decarbonisation efforts put forward by </w:t>
      </w:r>
      <w:r w:rsidR="00646A42" w:rsidRPr="00F261DB">
        <w:rPr>
          <w:rFonts w:ascii="Times" w:eastAsia="Times New Roman" w:hAnsi="Times" w:cs="Times"/>
          <w:i/>
          <w:noProof/>
        </w:rPr>
        <w:t>IAA</w:t>
      </w:r>
    </w:p>
    <w:p w14:paraId="4366F992" w14:textId="6164E2DD" w:rsidR="00020031" w:rsidRPr="00F261DB" w:rsidDel="008B569F" w:rsidRDefault="719AC623" w:rsidP="003F3451">
      <w:pPr>
        <w:pStyle w:val="ListParagraph"/>
        <w:numPr>
          <w:ilvl w:val="0"/>
          <w:numId w:val="31"/>
        </w:numPr>
        <w:spacing w:after="240"/>
        <w:ind w:left="426"/>
        <w:rPr>
          <w:noProof/>
        </w:rPr>
      </w:pPr>
      <w:r w:rsidRPr="00F261DB" w:rsidDel="008B569F">
        <w:rPr>
          <w:noProof/>
        </w:rPr>
        <w:t xml:space="preserve">As set out in Article 7a of the </w:t>
      </w:r>
      <w:r w:rsidR="4310434E" w:rsidRPr="00F261DB" w:rsidDel="008B569F">
        <w:rPr>
          <w:noProof/>
          <w:color w:val="000000" w:themeColor="text1"/>
        </w:rPr>
        <w:t>CO</w:t>
      </w:r>
      <w:r w:rsidR="4310434E" w:rsidRPr="00F261DB" w:rsidDel="008B569F">
        <w:rPr>
          <w:noProof/>
          <w:color w:val="000000" w:themeColor="text1"/>
          <w:vertAlign w:val="subscript"/>
        </w:rPr>
        <w:t>2</w:t>
      </w:r>
      <w:r w:rsidRPr="00F261DB" w:rsidDel="008B569F">
        <w:rPr>
          <w:noProof/>
        </w:rPr>
        <w:t xml:space="preserve"> standards for light-duty vehicles Regulation, the </w:t>
      </w:r>
      <w:r w:rsidRPr="00F261DB" w:rsidDel="008B569F">
        <w:rPr>
          <w:rFonts w:ascii="Times" w:hAnsi="Times" w:cs="Times"/>
          <w:noProof/>
        </w:rPr>
        <w:t>Commission</w:t>
      </w:r>
      <w:r w:rsidRPr="00F261DB" w:rsidDel="008B569F">
        <w:rPr>
          <w:noProof/>
        </w:rPr>
        <w:t xml:space="preserve"> is developing a harmonised methodology for the assessment and the consistent data reporting of the full </w:t>
      </w:r>
      <w:r w:rsidRPr="1A2A8689" w:rsidDel="008B569F">
        <w:rPr>
          <w:b/>
          <w:bCs/>
          <w:noProof/>
        </w:rPr>
        <w:t xml:space="preserve">life-cycle </w:t>
      </w:r>
      <w:r w:rsidR="4310434E" w:rsidRPr="1A2A8689" w:rsidDel="008B569F">
        <w:rPr>
          <w:b/>
          <w:bCs/>
          <w:noProof/>
          <w:color w:val="000000" w:themeColor="text1"/>
        </w:rPr>
        <w:t>CO</w:t>
      </w:r>
      <w:r w:rsidR="4310434E" w:rsidRPr="1A2A8689" w:rsidDel="008B569F">
        <w:rPr>
          <w:b/>
          <w:bCs/>
          <w:noProof/>
          <w:color w:val="000000" w:themeColor="text1"/>
          <w:vertAlign w:val="subscript"/>
        </w:rPr>
        <w:t>2</w:t>
      </w:r>
      <w:r w:rsidRPr="1A2A8689" w:rsidDel="008B569F">
        <w:rPr>
          <w:b/>
          <w:bCs/>
          <w:noProof/>
        </w:rPr>
        <w:t xml:space="preserve"> emissions of passenger cars and light commercial vehicles</w:t>
      </w:r>
      <w:r w:rsidR="0033384A" w:rsidRPr="00EF6F51">
        <w:rPr>
          <w:noProof/>
        </w:rPr>
        <w:t>,</w:t>
      </w:r>
      <w:r w:rsidR="0033384A" w:rsidRPr="0033384A" w:rsidDel="008B569F">
        <w:rPr>
          <w:rStyle w:val="FootnoteReference"/>
          <w:noProof/>
        </w:rPr>
        <w:t xml:space="preserve"> </w:t>
      </w:r>
      <w:r w:rsidR="0033384A" w:rsidRPr="00FF63D1" w:rsidDel="008B569F">
        <w:rPr>
          <w:rStyle w:val="FootnoteReference"/>
          <w:noProof/>
        </w:rPr>
        <w:footnoteReference w:id="541"/>
      </w:r>
      <w:r w:rsidRPr="00F261DB" w:rsidDel="008B569F">
        <w:rPr>
          <w:noProof/>
        </w:rPr>
        <w:t xml:space="preserve"> so that manufacturers may voluntarily report on such emissions.</w:t>
      </w:r>
    </w:p>
    <w:p w14:paraId="60811E6B" w14:textId="23FD2F7A" w:rsidR="00020031" w:rsidRPr="00F261DB" w:rsidRDefault="404A2814" w:rsidP="003F3451">
      <w:pPr>
        <w:pStyle w:val="ListParagraph"/>
        <w:numPr>
          <w:ilvl w:val="0"/>
          <w:numId w:val="31"/>
        </w:numPr>
        <w:spacing w:after="240"/>
        <w:ind w:left="426"/>
        <w:rPr>
          <w:rFonts w:ascii="Times" w:hAnsi="Times" w:cs="Times"/>
          <w:noProof/>
        </w:rPr>
      </w:pPr>
      <w:r w:rsidRPr="00F261DB">
        <w:rPr>
          <w:rFonts w:ascii="Times" w:hAnsi="Times" w:cs="Times"/>
          <w:noProof/>
        </w:rPr>
        <w:t xml:space="preserve">The Commission plans to propose </w:t>
      </w:r>
      <w:r w:rsidRPr="1A2A8689">
        <w:rPr>
          <w:rFonts w:ascii="Times" w:hAnsi="Times" w:cs="Times"/>
          <w:b/>
          <w:bCs/>
          <w:noProof/>
        </w:rPr>
        <w:t>Ecodesign</w:t>
      </w:r>
      <w:r w:rsidR="006C6864" w:rsidRPr="00402D89">
        <w:rPr>
          <w:rStyle w:val="FootnoteReference"/>
          <w:rFonts w:ascii="Times" w:hAnsi="Times" w:cs="Times"/>
          <w:noProof/>
        </w:rPr>
        <w:footnoteReference w:id="542"/>
      </w:r>
      <w:r w:rsidR="00B70588" w:rsidRPr="00402D89">
        <w:rPr>
          <w:rFonts w:ascii="Times" w:hAnsi="Times" w:cs="Times"/>
          <w:noProof/>
        </w:rPr>
        <w:t xml:space="preserve"> </w:t>
      </w:r>
      <w:r w:rsidRPr="1A2A8689">
        <w:rPr>
          <w:rFonts w:ascii="Times" w:hAnsi="Times" w:cs="Times"/>
          <w:b/>
          <w:bCs/>
          <w:noProof/>
        </w:rPr>
        <w:t>and Energy Labelling</w:t>
      </w:r>
      <w:r w:rsidR="00E76944" w:rsidRPr="00E76944">
        <w:rPr>
          <w:rStyle w:val="FootnoteReference"/>
          <w:rFonts w:ascii="Times" w:hAnsi="Times" w:cs="Times"/>
          <w:noProof/>
        </w:rPr>
        <w:footnoteReference w:id="543"/>
      </w:r>
      <w:r w:rsidR="00E76944">
        <w:rPr>
          <w:rStyle w:val="FootnoteReference"/>
          <w:rFonts w:ascii="Times" w:hAnsi="Times" w:cs="Times"/>
          <w:noProof/>
        </w:rPr>
        <w:t xml:space="preserve"> </w:t>
      </w:r>
      <w:r w:rsidRPr="1A2A8689">
        <w:rPr>
          <w:rFonts w:ascii="Times" w:hAnsi="Times" w:cs="Times"/>
          <w:b/>
          <w:bCs/>
          <w:noProof/>
        </w:rPr>
        <w:t>rules for PV modules</w:t>
      </w:r>
      <w:r w:rsidRPr="00F261DB">
        <w:rPr>
          <w:rFonts w:ascii="Times" w:hAnsi="Times" w:cs="Times"/>
          <w:noProof/>
        </w:rPr>
        <w:t xml:space="preserve"> and inverters sold in the </w:t>
      </w:r>
      <w:r w:rsidRPr="00FF63D1">
        <w:rPr>
          <w:rFonts w:ascii="Times" w:hAnsi="Times"/>
          <w:noProof/>
        </w:rPr>
        <w:t xml:space="preserve">EU. </w:t>
      </w:r>
      <w:r w:rsidRPr="00F261DB">
        <w:rPr>
          <w:rFonts w:ascii="Times" w:hAnsi="Times" w:cs="Times"/>
          <w:noProof/>
        </w:rPr>
        <w:t xml:space="preserve">These measures would concern the efficiency, durability, </w:t>
      </w:r>
      <w:r w:rsidRPr="3F0F1197">
        <w:rPr>
          <w:rFonts w:ascii="Times" w:eastAsiaTheme="minorEastAsia" w:hAnsi="Times" w:cs="Times"/>
          <w:noProof/>
        </w:rPr>
        <w:t>reparability and recyclability of products,</w:t>
      </w:r>
      <w:r w:rsidRPr="00FF63D1">
        <w:rPr>
          <w:rFonts w:ascii="Times" w:hAnsi="Times"/>
          <w:noProof/>
        </w:rPr>
        <w:t xml:space="preserve"> to </w:t>
      </w:r>
      <w:r w:rsidRPr="3F0F1197">
        <w:rPr>
          <w:rFonts w:ascii="Times" w:eastAsiaTheme="minorEastAsia" w:hAnsi="Times" w:cs="Times"/>
          <w:noProof/>
        </w:rPr>
        <w:t xml:space="preserve">ensure that the devices deployed are environmentally sustainable. Requirements on the carbon footprint of PV modules are also being prepared. However, such requirements would not look at the origin of the products, nor include any mandate to support European manufacturing. </w:t>
      </w:r>
      <w:r w:rsidRPr="3F0F1197">
        <w:rPr>
          <w:rFonts w:ascii="Wingdings" w:eastAsiaTheme="minorEastAsia" w:hAnsi="Wingdings" w:cs="Wingdings"/>
          <w:noProof/>
        </w:rPr>
        <w:t></w:t>
      </w:r>
      <w:r w:rsidRPr="3F0F1197">
        <w:rPr>
          <w:rFonts w:ascii="Times" w:eastAsiaTheme="minorEastAsia" w:hAnsi="Times" w:cs="Times"/>
          <w:noProof/>
        </w:rPr>
        <w:t xml:space="preserve"> </w:t>
      </w:r>
      <w:r w:rsidRPr="3F0F1197">
        <w:rPr>
          <w:rFonts w:ascii="Times" w:eastAsiaTheme="minorEastAsia" w:hAnsi="Times" w:cs="Times"/>
          <w:i/>
          <w:iCs/>
          <w:noProof/>
        </w:rPr>
        <w:t xml:space="preserve">Like for batteries, this initiative will address the environmental performance of PV modules, while </w:t>
      </w:r>
      <w:r w:rsidR="2AFE1C82" w:rsidRPr="3F0F1197">
        <w:rPr>
          <w:rFonts w:ascii="Times" w:eastAsiaTheme="minorEastAsia" w:hAnsi="Times" w:cs="Times"/>
          <w:i/>
          <w:iCs/>
          <w:noProof/>
        </w:rPr>
        <w:t>IAA</w:t>
      </w:r>
      <w:r w:rsidRPr="3F0F1197">
        <w:rPr>
          <w:rFonts w:ascii="Times" w:eastAsiaTheme="minorEastAsia" w:hAnsi="Times" w:cs="Times"/>
          <w:i/>
          <w:iCs/>
          <w:noProof/>
        </w:rPr>
        <w:t xml:space="preserve"> focuses on </w:t>
      </w:r>
      <w:r w:rsidR="6C1FA38E" w:rsidRPr="3F0F1197">
        <w:rPr>
          <w:rFonts w:ascii="Times" w:eastAsiaTheme="minorEastAsia" w:hAnsi="Times" w:cs="Times"/>
          <w:i/>
          <w:iCs/>
          <w:noProof/>
        </w:rPr>
        <w:t>M</w:t>
      </w:r>
      <w:r w:rsidRPr="3F0F1197">
        <w:rPr>
          <w:rFonts w:ascii="Times" w:eastAsiaTheme="minorEastAsia" w:hAnsi="Times" w:cs="Times"/>
          <w:i/>
          <w:iCs/>
          <w:noProof/>
        </w:rPr>
        <w:t>ade in E</w:t>
      </w:r>
      <w:r w:rsidR="6C1FA38E" w:rsidRPr="3F0F1197">
        <w:rPr>
          <w:rFonts w:ascii="Times" w:eastAsiaTheme="minorEastAsia" w:hAnsi="Times" w:cs="Times"/>
          <w:i/>
          <w:iCs/>
          <w:noProof/>
        </w:rPr>
        <w:t>U</w:t>
      </w:r>
      <w:r w:rsidRPr="3F0F1197">
        <w:rPr>
          <w:rFonts w:ascii="Times" w:eastAsiaTheme="minorEastAsia" w:hAnsi="Times" w:cs="Times"/>
          <w:i/>
          <w:iCs/>
          <w:noProof/>
        </w:rPr>
        <w:t xml:space="preserve"> aspects.</w:t>
      </w:r>
    </w:p>
    <w:p w14:paraId="5478DA8B" w14:textId="4DB06C3C" w:rsidR="00020031" w:rsidRPr="00FF63D1" w:rsidDel="008B569F" w:rsidRDefault="719AC623" w:rsidP="003F3451">
      <w:pPr>
        <w:pStyle w:val="ListParagraph"/>
        <w:numPr>
          <w:ilvl w:val="0"/>
          <w:numId w:val="31"/>
        </w:numPr>
        <w:spacing w:after="240"/>
        <w:ind w:left="426"/>
        <w:rPr>
          <w:rFonts w:ascii="Times" w:hAnsi="Times"/>
          <w:noProof/>
        </w:rPr>
      </w:pPr>
      <w:r w:rsidRPr="00F261DB" w:rsidDel="008B569F">
        <w:rPr>
          <w:rFonts w:ascii="Times" w:hAnsi="Times" w:cs="Times"/>
          <w:noProof/>
        </w:rPr>
        <w:t xml:space="preserve">The Commission also put forward an </w:t>
      </w:r>
      <w:r w:rsidRPr="1A2A8689" w:rsidDel="008B569F">
        <w:rPr>
          <w:rFonts w:ascii="Times" w:hAnsi="Times" w:cs="Times"/>
          <w:b/>
          <w:bCs/>
          <w:noProof/>
        </w:rPr>
        <w:t>Action Plan for the chemical sector</w:t>
      </w:r>
      <w:r w:rsidR="005375BF" w:rsidRPr="00FF63D1" w:rsidDel="008B569F">
        <w:rPr>
          <w:rStyle w:val="FootnoteReference"/>
          <w:rFonts w:ascii="Times" w:hAnsi="Times" w:cs="Times"/>
          <w:noProof/>
        </w:rPr>
        <w:footnoteReference w:id="544"/>
      </w:r>
      <w:r w:rsidRPr="00F261DB" w:rsidDel="008B569F">
        <w:rPr>
          <w:rFonts w:ascii="Times" w:hAnsi="Times" w:cs="Times"/>
          <w:noProof/>
        </w:rPr>
        <w:t xml:space="preserve">, a </w:t>
      </w:r>
      <w:r w:rsidRPr="1A2A8689" w:rsidDel="008B569F">
        <w:rPr>
          <w:rFonts w:ascii="Times" w:hAnsi="Times" w:cs="Times"/>
          <w:b/>
          <w:bCs/>
          <w:noProof/>
        </w:rPr>
        <w:t>sector-specific Omnibus</w:t>
      </w:r>
      <w:r w:rsidRPr="00F261DB" w:rsidDel="008B569F">
        <w:rPr>
          <w:rFonts w:ascii="Times" w:hAnsi="Times" w:cs="Times"/>
          <w:noProof/>
        </w:rPr>
        <w:t xml:space="preserve">, as well as a </w:t>
      </w:r>
      <w:r w:rsidRPr="1A2A8689" w:rsidDel="008B569F">
        <w:rPr>
          <w:rFonts w:ascii="Times" w:hAnsi="Times" w:cs="Times"/>
          <w:b/>
          <w:bCs/>
          <w:noProof/>
        </w:rPr>
        <w:t>Chemicals Industry Package</w:t>
      </w:r>
      <w:r w:rsidRPr="00F261DB" w:rsidDel="008B569F">
        <w:rPr>
          <w:rFonts w:ascii="Times" w:hAnsi="Times" w:cs="Times"/>
          <w:noProof/>
        </w:rPr>
        <w:t xml:space="preserve"> by the end of 2025, as part of the Clean Industrial Deal, with the aim to maintain critical production capacities in Europe and boost investments for the modernisation and competitive transition to net-zero. </w:t>
      </w:r>
      <w:r w:rsidRPr="00F261DB" w:rsidDel="008B569F">
        <w:rPr>
          <w:rFonts w:ascii="Wingdings" w:eastAsia="Wingdings" w:hAnsi="Wingdings" w:cs="Wingdings"/>
          <w:noProof/>
        </w:rPr>
        <w:t></w:t>
      </w:r>
      <w:r w:rsidRPr="00F261DB" w:rsidDel="008B569F">
        <w:rPr>
          <w:rFonts w:ascii="Times" w:hAnsi="Times" w:cs="Times"/>
          <w:noProof/>
        </w:rPr>
        <w:t xml:space="preserve"> </w:t>
      </w:r>
      <w:r w:rsidR="2AFE1C82" w:rsidRPr="3F0F1197" w:rsidDel="008B569F">
        <w:rPr>
          <w:rFonts w:ascii="Times" w:hAnsi="Times" w:cs="Times"/>
          <w:i/>
          <w:iCs/>
          <w:noProof/>
        </w:rPr>
        <w:t>IAA</w:t>
      </w:r>
      <w:r w:rsidRPr="3F0F1197" w:rsidDel="008B569F">
        <w:rPr>
          <w:rFonts w:ascii="Times" w:hAnsi="Times" w:cs="Times"/>
          <w:i/>
          <w:iCs/>
          <w:noProof/>
        </w:rPr>
        <w:t xml:space="preserve"> therefore does not include targeted measures for the chemicals sector, which will be implemented more directly under the forthcoming package.</w:t>
      </w:r>
    </w:p>
    <w:p w14:paraId="3B64E103" w14:textId="77777777" w:rsidR="00020031" w:rsidRPr="00FF63D1" w:rsidRDefault="00020031" w:rsidP="003F3451">
      <w:pPr>
        <w:pStyle w:val="ListParagraph"/>
        <w:numPr>
          <w:ilvl w:val="0"/>
          <w:numId w:val="31"/>
        </w:numPr>
        <w:spacing w:after="240"/>
        <w:ind w:left="426"/>
        <w:rPr>
          <w:rFonts w:ascii="Times" w:hAnsi="Times"/>
          <w:noProof/>
        </w:rPr>
      </w:pPr>
      <w:r w:rsidRPr="00F261DB">
        <w:rPr>
          <w:rFonts w:ascii="Times" w:hAnsi="Times" w:cs="Times"/>
          <w:noProof/>
        </w:rPr>
        <w:t xml:space="preserve">Expected for Q1 2026, the </w:t>
      </w:r>
      <w:r w:rsidRPr="00F261DB">
        <w:rPr>
          <w:rFonts w:ascii="Times" w:hAnsi="Times" w:cs="Times"/>
          <w:b/>
          <w:noProof/>
        </w:rPr>
        <w:t xml:space="preserve">Electrification Action Plan </w:t>
      </w:r>
      <w:r w:rsidRPr="00F261DB">
        <w:rPr>
          <w:rFonts w:ascii="Times" w:hAnsi="Times" w:cs="Times"/>
          <w:noProof/>
        </w:rPr>
        <w:t>will address system-level challenges and focus on barriers and incentives in different sectors: industry, transport and buildings. It will put forward measures targeted at these sectors based on their electrification potential. The Plan will also set out the necessary conditions on the generation side to achieve its objective, with growing and diversified renewable electricity matching demand.</w:t>
      </w:r>
    </w:p>
    <w:p w14:paraId="604BE769" w14:textId="06DF2754" w:rsidR="00020031" w:rsidRPr="00BD5CD2" w:rsidRDefault="404A2814" w:rsidP="00BD5CD2">
      <w:pPr>
        <w:pStyle w:val="ListParagraph"/>
        <w:numPr>
          <w:ilvl w:val="0"/>
          <w:numId w:val="31"/>
        </w:numPr>
        <w:spacing w:after="240"/>
        <w:ind w:left="426"/>
        <w:rPr>
          <w:noProof/>
        </w:rPr>
      </w:pPr>
      <w:r w:rsidRPr="00FF63D1" w:rsidDel="004D166D">
        <w:rPr>
          <w:rFonts w:ascii="Times" w:hAnsi="Times" w:cs="Times"/>
          <w:noProof/>
        </w:rPr>
        <w:t xml:space="preserve">In the </w:t>
      </w:r>
      <w:r w:rsidRPr="1A2A8689" w:rsidDel="004D166D">
        <w:rPr>
          <w:rFonts w:ascii="Times" w:hAnsi="Times" w:cs="Times"/>
          <w:b/>
          <w:bCs/>
          <w:noProof/>
        </w:rPr>
        <w:t>Automotive Action Plan</w:t>
      </w:r>
      <w:r w:rsidR="005375BF" w:rsidRPr="00FF63D1" w:rsidDel="004D166D">
        <w:rPr>
          <w:rStyle w:val="FootnoteReference"/>
          <w:rFonts w:ascii="Times" w:hAnsi="Times" w:cs="Times"/>
          <w:noProof/>
        </w:rPr>
        <w:footnoteReference w:id="545"/>
      </w:r>
      <w:r w:rsidRPr="00FF63D1" w:rsidDel="004D166D">
        <w:rPr>
          <w:rFonts w:ascii="Times" w:hAnsi="Times" w:cs="Times"/>
          <w:noProof/>
        </w:rPr>
        <w:t xml:space="preserve">, </w:t>
      </w:r>
      <w:r w:rsidRPr="00FF63D1" w:rsidDel="004D166D">
        <w:rPr>
          <w:noProof/>
        </w:rPr>
        <w:t>the Commission announced it will propose, in cooperation with Member States and the industry, conditions for inbound foreign investments in the automotive sector to further increase their added value for the EU. This will likely include conditions with respect to EV batteries.</w:t>
      </w:r>
      <w:r w:rsidR="3AACC639" w:rsidRPr="00FF63D1" w:rsidDel="004D166D">
        <w:rPr>
          <w:noProof/>
        </w:rPr>
        <w:t xml:space="preserve"> The Commission further announced E</w:t>
      </w:r>
      <w:r w:rsidR="3B67FBF3" w:rsidDel="004D166D">
        <w:rPr>
          <w:noProof/>
        </w:rPr>
        <w:t>uropean</w:t>
      </w:r>
      <w:r w:rsidR="3AACC639" w:rsidRPr="00FF63D1" w:rsidDel="004D166D">
        <w:rPr>
          <w:noProof/>
        </w:rPr>
        <w:t xml:space="preserve"> content requirements for batteries and other vehicles components to boost</w:t>
      </w:r>
      <w:r w:rsidR="30E6CB61" w:rsidRPr="00FF63D1" w:rsidDel="004D166D">
        <w:rPr>
          <w:noProof/>
        </w:rPr>
        <w:t xml:space="preserve"> the</w:t>
      </w:r>
      <w:r w:rsidR="3AACC639" w:rsidRPr="00FF63D1" w:rsidDel="004D166D">
        <w:rPr>
          <w:noProof/>
        </w:rPr>
        <w:t xml:space="preserve"> global competitiveness of the sector.</w:t>
      </w:r>
      <w:r w:rsidRPr="00FF63D1" w:rsidDel="004D166D">
        <w:rPr>
          <w:noProof/>
        </w:rPr>
        <w:t xml:space="preserve"> </w:t>
      </w:r>
      <w:r w:rsidRPr="00FF63D1" w:rsidDel="004D166D">
        <w:rPr>
          <w:rFonts w:ascii="Wingdings" w:eastAsia="Wingdings" w:hAnsi="Wingdings" w:cs="Wingdings"/>
          <w:noProof/>
        </w:rPr>
        <w:t></w:t>
      </w:r>
      <w:r w:rsidRPr="00FF63D1" w:rsidDel="004D166D">
        <w:rPr>
          <w:noProof/>
        </w:rPr>
        <w:t xml:space="preserve"> </w:t>
      </w:r>
      <w:r w:rsidRPr="3F0F1197" w:rsidDel="004D166D">
        <w:rPr>
          <w:i/>
          <w:iCs/>
          <w:noProof/>
        </w:rPr>
        <w:t xml:space="preserve">The legislative arm of this initiative, in relation to batteries, would be addressed under </w:t>
      </w:r>
      <w:r w:rsidR="459B330D" w:rsidRPr="3F0F1197" w:rsidDel="004D166D">
        <w:rPr>
          <w:i/>
          <w:iCs/>
          <w:noProof/>
        </w:rPr>
        <w:t>IAA</w:t>
      </w:r>
      <w:r w:rsidRPr="3F0F1197" w:rsidDel="004D166D">
        <w:rPr>
          <w:i/>
          <w:iCs/>
          <w:noProof/>
        </w:rPr>
        <w:t>, according to the preferred policy option put forward in this impact assessment.</w:t>
      </w:r>
      <w:r w:rsidRPr="00FF63D1" w:rsidDel="004D166D">
        <w:rPr>
          <w:noProof/>
        </w:rPr>
        <w:t xml:space="preserve"> </w:t>
      </w:r>
      <w:r w:rsidR="719AC623" w:rsidRPr="00FF63D1" w:rsidDel="004D166D">
        <w:rPr>
          <w:rFonts w:ascii="Times" w:hAnsi="Times" w:cs="Times"/>
          <w:noProof/>
        </w:rPr>
        <w:t xml:space="preserve">The </w:t>
      </w:r>
      <w:r w:rsidR="719AC623" w:rsidRPr="1A2A8689" w:rsidDel="004D166D">
        <w:rPr>
          <w:rFonts w:ascii="Times" w:hAnsi="Times" w:cs="Times"/>
          <w:b/>
          <w:bCs/>
          <w:noProof/>
        </w:rPr>
        <w:t>Grids Package</w:t>
      </w:r>
      <w:r w:rsidR="719AC623" w:rsidRPr="00FF63D1" w:rsidDel="004D166D">
        <w:rPr>
          <w:rFonts w:ascii="Times" w:hAnsi="Times" w:cs="Times"/>
          <w:noProof/>
        </w:rPr>
        <w:t xml:space="preserve"> announced as part of the Clean Industrial Deal will </w:t>
      </w:r>
      <w:r w:rsidR="719AC623" w:rsidRPr="00FF63D1" w:rsidDel="004D166D">
        <w:rPr>
          <w:rFonts w:ascii="Times" w:eastAsia="Times New Roman" w:hAnsi="Times" w:cs="Times"/>
          <w:noProof/>
        </w:rPr>
        <w:t>ensure cross-border integrated p</w:t>
      </w:r>
      <w:r w:rsidR="349884B2" w:rsidRPr="00FF63D1" w:rsidDel="004D166D">
        <w:rPr>
          <w:rFonts w:ascii="Times" w:eastAsia="Times New Roman" w:hAnsi="Times" w:cs="Times"/>
          <w:noProof/>
        </w:rPr>
        <w:t>l</w:t>
      </w:r>
      <w:r w:rsidR="719AC623" w:rsidRPr="00FF63D1" w:rsidDel="004D166D">
        <w:rPr>
          <w:rFonts w:ascii="Times" w:eastAsia="Times New Roman" w:hAnsi="Times" w:cs="Times"/>
          <w:noProof/>
        </w:rPr>
        <w:t xml:space="preserve">anning and delivery of projects, especially on interconnectors, and </w:t>
      </w:r>
      <w:r w:rsidR="719AC623" w:rsidRPr="00FF63D1" w:rsidDel="004D166D">
        <w:rPr>
          <w:rFonts w:ascii="Times" w:hAnsi="Times" w:cs="Times"/>
          <w:noProof/>
        </w:rPr>
        <w:t xml:space="preserve">facilitate access to affordable, secure and clean energy. It will propose measures to accelerate the upgrading, digitalisation and expansion of the European grid infrastructure. It will remove grid bottlenecks, accelerate permitting for grids, renewables and storage, and increase overall efficiency, while promoting more robust interconnections. With </w:t>
      </w:r>
      <w:r w:rsidR="4432EE40" w:rsidRPr="00FF63D1" w:rsidDel="004D166D">
        <w:rPr>
          <w:rFonts w:ascii="Times" w:hAnsi="Times" w:cs="Times"/>
          <w:noProof/>
        </w:rPr>
        <w:t>its main</w:t>
      </w:r>
      <w:r w:rsidR="719AC623" w:rsidRPr="00FF63D1" w:rsidDel="004D166D">
        <w:rPr>
          <w:rFonts w:ascii="Times" w:hAnsi="Times" w:cs="Times"/>
          <w:noProof/>
        </w:rPr>
        <w:t xml:space="preserve"> focus on electricity, it will also cover hydrogen and other infrastructure categories included in the framework for trans-European energy networks (TEN-E). Moreover</w:t>
      </w:r>
      <w:r w:rsidR="719AC623" w:rsidRPr="00F261DB" w:rsidDel="004D166D">
        <w:rPr>
          <w:rFonts w:ascii="Times" w:hAnsi="Times"/>
          <w:noProof/>
        </w:rPr>
        <w:t>, to tackle increasing grid connection queues in several EU countries, Guidance on grid connections will be part of the Grids package, to provide for best practice on how to ensure accelerated grid connection for demand as well as generation and storage.</w:t>
      </w:r>
      <w:r w:rsidR="33814A19" w:rsidRPr="00FF63D1" w:rsidDel="004D166D">
        <w:rPr>
          <w:rFonts w:ascii="Times" w:hAnsi="Times"/>
          <w:noProof/>
        </w:rPr>
        <w:t xml:space="preserve"> </w:t>
      </w:r>
      <w:r w:rsidR="6629A1BB" w:rsidRPr="00F261DB" w:rsidDel="004D166D">
        <w:rPr>
          <w:noProof/>
        </w:rPr>
        <w:t>To support existing legal requirements, the Commission published a guidance on anticipatory investments in grid infrastructure, addressing also access of industry in time and in capacity requested.</w:t>
      </w:r>
      <w:r w:rsidR="719AC623" w:rsidRPr="3F0F1197" w:rsidDel="004D166D">
        <w:rPr>
          <w:rFonts w:ascii="Wingdings" w:hAnsi="Wingdings"/>
          <w:i/>
          <w:iCs/>
          <w:noProof/>
        </w:rPr>
        <w:t></w:t>
      </w:r>
      <w:r w:rsidR="719AC623" w:rsidRPr="3F0F1197" w:rsidDel="004D166D">
        <w:rPr>
          <w:i/>
          <w:iCs/>
          <w:noProof/>
        </w:rPr>
        <w:t xml:space="preserve"> The European Grids Package is expected to address issues related to access to grid infrastructure for industrial decarbonisation projects. Interactions exist with </w:t>
      </w:r>
      <w:r w:rsidR="18C5AFD6" w:rsidRPr="3F0F1197" w:rsidDel="004D166D">
        <w:rPr>
          <w:i/>
          <w:iCs/>
          <w:noProof/>
        </w:rPr>
        <w:t>a</w:t>
      </w:r>
      <w:r w:rsidR="719AC623" w:rsidRPr="3F0F1197" w:rsidDel="004D166D">
        <w:rPr>
          <w:i/>
          <w:iCs/>
          <w:noProof/>
        </w:rPr>
        <w:t xml:space="preserve"> policy measure discussed under PO3 on permitting for </w:t>
      </w:r>
      <w:r w:rsidR="459B330D" w:rsidRPr="3F0F1197" w:rsidDel="004D166D">
        <w:rPr>
          <w:i/>
          <w:iCs/>
          <w:noProof/>
        </w:rPr>
        <w:t>IAA</w:t>
      </w:r>
      <w:r w:rsidR="719AC623" w:rsidRPr="3F0F1197" w:rsidDel="004D166D">
        <w:rPr>
          <w:i/>
          <w:iCs/>
          <w:noProof/>
        </w:rPr>
        <w:t xml:space="preserve">, </w:t>
      </w:r>
      <w:r w:rsidR="18C5AFD6" w:rsidRPr="3F0F1197" w:rsidDel="004D166D">
        <w:rPr>
          <w:i/>
          <w:iCs/>
          <w:noProof/>
        </w:rPr>
        <w:t xml:space="preserve">since they </w:t>
      </w:r>
      <w:r w:rsidR="719AC623" w:rsidRPr="3F0F1197" w:rsidDel="004D166D">
        <w:rPr>
          <w:i/>
          <w:iCs/>
          <w:noProof/>
        </w:rPr>
        <w:t>could be better addressed under the grids package</w:t>
      </w:r>
      <w:r w:rsidR="719AC623" w:rsidRPr="3F0F1197">
        <w:rPr>
          <w:i/>
          <w:iCs/>
          <w:noProof/>
        </w:rPr>
        <w:t>.</w:t>
      </w:r>
    </w:p>
    <w:p w14:paraId="5AF99F1A" w14:textId="4E05BA11" w:rsidR="00020031" w:rsidRPr="00FF63D1" w:rsidRDefault="00020031" w:rsidP="003F3451">
      <w:pPr>
        <w:pStyle w:val="ListParagraph"/>
        <w:numPr>
          <w:ilvl w:val="0"/>
          <w:numId w:val="31"/>
        </w:numPr>
        <w:spacing w:after="240"/>
        <w:ind w:left="426"/>
        <w:rPr>
          <w:rFonts w:ascii="Times" w:hAnsi="Times" w:cs="Times"/>
          <w:noProof/>
        </w:rPr>
      </w:pPr>
      <w:r w:rsidRPr="00FF63D1">
        <w:rPr>
          <w:rFonts w:ascii="Times" w:hAnsi="Times" w:cs="Times"/>
          <w:noProof/>
        </w:rPr>
        <w:t xml:space="preserve">The upcoming </w:t>
      </w:r>
      <w:r w:rsidRPr="00FF63D1">
        <w:rPr>
          <w:rFonts w:ascii="Times" w:hAnsi="Times" w:cs="Times"/>
          <w:b/>
          <w:noProof/>
        </w:rPr>
        <w:t>revision of the Public Procurement Framework</w:t>
      </w:r>
      <w:r w:rsidRPr="00FF63D1">
        <w:rPr>
          <w:rFonts w:ascii="Times" w:hAnsi="Times" w:cs="Times"/>
          <w:noProof/>
        </w:rPr>
        <w:t xml:space="preserve"> in 2026 will review the possibilities to use </w:t>
      </w:r>
      <w:r w:rsidRPr="00F261DB">
        <w:rPr>
          <w:rFonts w:ascii="Times" w:hAnsi="Times"/>
          <w:noProof/>
        </w:rPr>
        <w:t>criteria for sustainability, resilience and European preference in EU public procurement for strategic sectors.</w:t>
      </w:r>
      <w:r w:rsidRPr="00FF63D1">
        <w:rPr>
          <w:rFonts w:ascii="Times" w:hAnsi="Times" w:cs="Times"/>
          <w:noProof/>
        </w:rPr>
        <w:t xml:space="preserve"> The revision will assess, consolidate and clarify the interactions between public procurement provisions across different pieces of legislation, to simplify application by contracting authorities. </w:t>
      </w:r>
      <w:r w:rsidRPr="00FF63D1">
        <w:rPr>
          <w:rFonts w:ascii="Wingdings" w:eastAsia="Wingdings" w:hAnsi="Wingdings" w:cs="Wingdings"/>
          <w:noProof/>
        </w:rPr>
        <w:t></w:t>
      </w:r>
      <w:r w:rsidRPr="00FF63D1">
        <w:rPr>
          <w:rFonts w:ascii="Times" w:hAnsi="Times" w:cs="Times"/>
          <w:noProof/>
        </w:rPr>
        <w:t xml:space="preserve"> </w:t>
      </w:r>
      <w:r w:rsidRPr="00F261DB">
        <w:rPr>
          <w:rFonts w:ascii="Times" w:hAnsi="Times"/>
          <w:i/>
          <w:noProof/>
        </w:rPr>
        <w:t xml:space="preserve">Consistency between the sectorial measures set out in the </w:t>
      </w:r>
      <w:r w:rsidR="011E6329" w:rsidRPr="00F261DB">
        <w:rPr>
          <w:rFonts w:ascii="Times" w:hAnsi="Times"/>
          <w:i/>
          <w:noProof/>
        </w:rPr>
        <w:t>IAA</w:t>
      </w:r>
      <w:r w:rsidRPr="00F261DB">
        <w:rPr>
          <w:rFonts w:ascii="Times" w:hAnsi="Times"/>
          <w:i/>
          <w:noProof/>
        </w:rPr>
        <w:t xml:space="preserve"> on what to buy and the overarching framework will have to be ensured.</w:t>
      </w:r>
      <w:r w:rsidRPr="00FF63D1">
        <w:rPr>
          <w:rFonts w:ascii="Times" w:hAnsi="Times"/>
          <w:i/>
          <w:noProof/>
        </w:rPr>
        <w:t xml:space="preserve"> </w:t>
      </w:r>
    </w:p>
    <w:p w14:paraId="3559A13B" w14:textId="77777777" w:rsidR="00020031" w:rsidRPr="00FF63D1" w:rsidRDefault="00020031" w:rsidP="003F3451">
      <w:pPr>
        <w:pStyle w:val="ListParagraph"/>
        <w:numPr>
          <w:ilvl w:val="0"/>
          <w:numId w:val="31"/>
        </w:numPr>
        <w:spacing w:after="240"/>
        <w:ind w:left="426"/>
        <w:rPr>
          <w:rFonts w:eastAsia="Calibri"/>
          <w:noProof/>
        </w:rPr>
      </w:pPr>
      <w:r w:rsidRPr="00FF63D1">
        <w:rPr>
          <w:noProof/>
        </w:rPr>
        <w:t xml:space="preserve">The </w:t>
      </w:r>
      <w:r w:rsidRPr="00FF63D1">
        <w:rPr>
          <w:rFonts w:ascii="Times" w:hAnsi="Times"/>
          <w:noProof/>
        </w:rPr>
        <w:t>proposed</w:t>
      </w:r>
      <w:r w:rsidRPr="00FF63D1">
        <w:rPr>
          <w:rFonts w:eastAsia="Calibri"/>
          <w:noProof/>
        </w:rPr>
        <w:t xml:space="preserve"> new </w:t>
      </w:r>
      <w:r w:rsidRPr="00FF63D1">
        <w:rPr>
          <w:rFonts w:eastAsia="Calibri"/>
          <w:b/>
          <w:noProof/>
        </w:rPr>
        <w:t>End-of-Life Vehicles (ELV) Regulation</w:t>
      </w:r>
      <w:r w:rsidRPr="00FF63D1">
        <w:rPr>
          <w:noProof/>
        </w:rPr>
        <w:t xml:space="preserve"> will </w:t>
      </w:r>
      <w:r w:rsidRPr="00FF63D1">
        <w:rPr>
          <w:rFonts w:eastAsia="Calibri"/>
          <w:noProof/>
        </w:rPr>
        <w:t>require manufacturers to use a certain percentage of recycled plastic when designing</w:t>
      </w:r>
      <w:r w:rsidRPr="00FF63D1">
        <w:rPr>
          <w:noProof/>
        </w:rPr>
        <w:t xml:space="preserve"> and </w:t>
      </w:r>
      <w:r w:rsidRPr="00FF63D1">
        <w:rPr>
          <w:rFonts w:eastAsia="Calibri"/>
          <w:noProof/>
        </w:rPr>
        <w:t>constructing new vehicles. Minimum requirements for</w:t>
      </w:r>
      <w:r w:rsidRPr="00FF63D1">
        <w:rPr>
          <w:noProof/>
        </w:rPr>
        <w:t xml:space="preserve"> the </w:t>
      </w:r>
      <w:r w:rsidRPr="00FF63D1">
        <w:rPr>
          <w:rFonts w:eastAsia="Calibri"/>
          <w:noProof/>
        </w:rPr>
        <w:t>use of recycled steel and aluminium may be introduced at a later date, thereby reducing the carbon footprint of new vehicles.</w:t>
      </w:r>
    </w:p>
    <w:p w14:paraId="4A8B26C8" w14:textId="54A805E5" w:rsidR="00020031" w:rsidRPr="00FF63D1" w:rsidRDefault="00020031" w:rsidP="003F3451">
      <w:pPr>
        <w:pStyle w:val="ListParagraph"/>
        <w:numPr>
          <w:ilvl w:val="0"/>
          <w:numId w:val="31"/>
        </w:numPr>
        <w:spacing w:after="240"/>
        <w:ind w:left="426"/>
        <w:rPr>
          <w:rFonts w:ascii="Times" w:hAnsi="Times"/>
          <w:noProof/>
        </w:rPr>
      </w:pPr>
      <w:r w:rsidRPr="00FF63D1">
        <w:rPr>
          <w:noProof/>
        </w:rPr>
        <w:t xml:space="preserve">By the end of 2025, the Commission will </w:t>
      </w:r>
      <w:r w:rsidRPr="00FF63D1">
        <w:rPr>
          <w:rFonts w:eastAsia="Times"/>
          <w:noProof/>
        </w:rPr>
        <w:t xml:space="preserve">conduct a </w:t>
      </w:r>
      <w:r w:rsidRPr="00FF63D1">
        <w:rPr>
          <w:rFonts w:eastAsia="Times"/>
          <w:b/>
          <w:noProof/>
        </w:rPr>
        <w:t xml:space="preserve">comprehensive review of CBAM, </w:t>
      </w:r>
      <w:r w:rsidRPr="00FF63D1">
        <w:rPr>
          <w:rFonts w:eastAsia="Times"/>
          <w:noProof/>
        </w:rPr>
        <w:t xml:space="preserve">accompanied by an anti-circumvention strategy. It will also present a legislative proposal on extending the scope to certain downstream products </w:t>
      </w:r>
      <w:r w:rsidR="009719EF" w:rsidRPr="00FF63D1">
        <w:rPr>
          <w:rFonts w:eastAsia="Times"/>
          <w:noProof/>
        </w:rPr>
        <w:t xml:space="preserve">in the steel and aluminium sectors </w:t>
      </w:r>
      <w:r w:rsidRPr="00FF63D1">
        <w:rPr>
          <w:rFonts w:eastAsia="Times"/>
          <w:noProof/>
        </w:rPr>
        <w:t>that contain a significant share of at least one of the goods within the scope of the CBAM and to strengthen anti-circumvention measures</w:t>
      </w:r>
      <w:r w:rsidRPr="00FF63D1">
        <w:rPr>
          <w:noProof/>
        </w:rPr>
        <w:t xml:space="preserve">. </w:t>
      </w:r>
      <w:r w:rsidR="00155249" w:rsidRPr="00FF63D1">
        <w:rPr>
          <w:noProof/>
        </w:rPr>
        <w:t xml:space="preserve">Moreover, </w:t>
      </w:r>
      <w:r w:rsidRPr="00FF63D1">
        <w:rPr>
          <w:noProof/>
        </w:rPr>
        <w:t xml:space="preserve">the Commission </w:t>
      </w:r>
      <w:r w:rsidR="005630D8" w:rsidRPr="00FF63D1">
        <w:rPr>
          <w:noProof/>
        </w:rPr>
        <w:t xml:space="preserve">announced </w:t>
      </w:r>
      <w:r w:rsidRPr="00FF63D1">
        <w:rPr>
          <w:noProof/>
        </w:rPr>
        <w:t xml:space="preserve">in July 2025 to propose </w:t>
      </w:r>
      <w:r w:rsidR="005630D8" w:rsidRPr="00FF63D1">
        <w:rPr>
          <w:noProof/>
        </w:rPr>
        <w:t xml:space="preserve">a measure </w:t>
      </w:r>
      <w:r w:rsidRPr="00FF63D1">
        <w:rPr>
          <w:noProof/>
        </w:rPr>
        <w:t xml:space="preserve">by the end of the year to address the problem of carbon leakage for CBAM goods that are exported. </w:t>
      </w:r>
    </w:p>
    <w:p w14:paraId="2143D093" w14:textId="70120F0C" w:rsidR="007F70DC" w:rsidRPr="00FF63D1" w:rsidRDefault="007F70DC" w:rsidP="003F3451">
      <w:pPr>
        <w:pStyle w:val="ListParagraph"/>
        <w:numPr>
          <w:ilvl w:val="0"/>
          <w:numId w:val="31"/>
        </w:numPr>
        <w:spacing w:after="240"/>
        <w:ind w:left="426"/>
        <w:rPr>
          <w:rFonts w:eastAsia="Times New Roman"/>
          <w:noProof/>
        </w:rPr>
      </w:pPr>
      <w:r w:rsidRPr="00FF63D1">
        <w:rPr>
          <w:rFonts w:eastAsia="Times New Roman"/>
          <w:noProof/>
        </w:rPr>
        <w:t xml:space="preserve">The </w:t>
      </w:r>
      <w:r w:rsidRPr="00FF63D1">
        <w:rPr>
          <w:rFonts w:eastAsia="Times New Roman"/>
          <w:b/>
          <w:noProof/>
        </w:rPr>
        <w:t>Strategic Roadmap for digitalisation and AI in the energy sector</w:t>
      </w:r>
      <w:r w:rsidRPr="00FF63D1">
        <w:rPr>
          <w:rFonts w:eastAsia="Times New Roman"/>
          <w:noProof/>
        </w:rPr>
        <w:t xml:space="preserve"> (announced for Q1 </w:t>
      </w:r>
      <w:r w:rsidRPr="00FF63D1">
        <w:rPr>
          <w:rFonts w:eastAsia="Times"/>
          <w:noProof/>
        </w:rPr>
        <w:t>2026</w:t>
      </w:r>
      <w:r w:rsidRPr="00FF63D1">
        <w:rPr>
          <w:rFonts w:eastAsia="Times New Roman"/>
          <w:noProof/>
        </w:rPr>
        <w:t>) is a key deliverable of the Action Plan for Affordable Energy. It will leverage AI-driven solutions to offer secure, clean and competitively priced energy to all consumers. Smart integration of energy storage and demand side flexibility will bring substantial system benefits and reduce consumer bills. Data-driven services and analytics will optimise energy generation, transmission and consumption, while AI-powered digital twins will be at the core of system operations and maintenance.</w:t>
      </w:r>
    </w:p>
    <w:p w14:paraId="6EFE32C4" w14:textId="0EC83299" w:rsidR="00020031" w:rsidRPr="00BD5CD2" w:rsidRDefault="00020031" w:rsidP="00020C03">
      <w:pPr>
        <w:pStyle w:val="Heading3"/>
        <w:numPr>
          <w:ilvl w:val="0"/>
          <w:numId w:val="0"/>
        </w:numPr>
        <w:ind w:left="720" w:hanging="720"/>
        <w:rPr>
          <w:b/>
        </w:rPr>
      </w:pPr>
      <w:r w:rsidRPr="00020C03">
        <w:rPr>
          <w:b/>
        </w:rPr>
        <w:t xml:space="preserve">Interplay between </w:t>
      </w:r>
      <w:r w:rsidR="00646A42" w:rsidRPr="00BD5CD2">
        <w:rPr>
          <w:b/>
        </w:rPr>
        <w:t>IAA</w:t>
      </w:r>
      <w:r w:rsidRPr="00BD5CD2">
        <w:rPr>
          <w:b/>
        </w:rPr>
        <w:t xml:space="preserve"> and the NZIA</w:t>
      </w:r>
    </w:p>
    <w:p w14:paraId="339F59F6" w14:textId="77777777" w:rsidR="00643BA0" w:rsidRPr="00FF63D1" w:rsidRDefault="00643BA0" w:rsidP="00643BA0">
      <w:pPr>
        <w:rPr>
          <w:i/>
          <w:noProof/>
        </w:rPr>
      </w:pPr>
    </w:p>
    <w:p w14:paraId="28EE7EB1" w14:textId="319FEE08" w:rsidR="00020031" w:rsidRPr="00FF63D1" w:rsidRDefault="404A2814" w:rsidP="00BD5CD2">
      <w:pPr>
        <w:spacing w:after="120"/>
        <w:rPr>
          <w:noProof/>
        </w:rPr>
      </w:pPr>
      <w:r w:rsidRPr="1A2A8689">
        <w:rPr>
          <w:b/>
          <w:bCs/>
          <w:noProof/>
        </w:rPr>
        <w:t>The Net Zero Industry Act</w:t>
      </w:r>
      <w:r w:rsidR="00020031" w:rsidRPr="00FF63D1">
        <w:rPr>
          <w:rStyle w:val="FootnoteReference"/>
          <w:noProof/>
        </w:rPr>
        <w:footnoteReference w:id="546"/>
      </w:r>
      <w:r w:rsidRPr="00FF63D1">
        <w:rPr>
          <w:noProof/>
        </w:rPr>
        <w:t xml:space="preserve"> </w:t>
      </w:r>
      <w:r w:rsidR="7A84F8FE" w:rsidRPr="00FF63D1">
        <w:rPr>
          <w:noProof/>
        </w:rPr>
        <w:t xml:space="preserve">(NZIA) </w:t>
      </w:r>
      <w:r w:rsidRPr="00FF63D1">
        <w:rPr>
          <w:noProof/>
        </w:rPr>
        <w:t>sets out measures to stimulate investment in net-zero emissions technologies, including provisions for energy-intensive industry transformative projects – projects that deliver significant and lasting reductions in greenhouse gas emissions. It offers benefits such as accelerated permitting procedures and the designation of strategic project status. Furthermore, the NZIA sets the goal for net-zero technologies manufacturing capacity, including batteries and solar, to reach at least 40% of EU annual deployment needs by 2030.</w:t>
      </w:r>
    </w:p>
    <w:p w14:paraId="607F1EF2" w14:textId="77777777" w:rsidR="00BD5CD2" w:rsidRDefault="00020031" w:rsidP="00BD5CD2">
      <w:pPr>
        <w:spacing w:after="120"/>
        <w:rPr>
          <w:rFonts w:eastAsia="Times New Roman"/>
          <w:noProof/>
        </w:rPr>
      </w:pPr>
      <w:r w:rsidRPr="00FF63D1">
        <w:rPr>
          <w:rFonts w:eastAsia="Times New Roman"/>
          <w:noProof/>
        </w:rPr>
        <w:t>The construction or conversion of certain energy -intensive plants in the steel, aluminium, non-ferrous metals, chemicals, cement, lime, glass, ceramics, fertilisers, pulp and paper sectors are also in the scope of the NZIA. However, they need to meet two cumulative criteria to qualify:</w:t>
      </w:r>
    </w:p>
    <w:p w14:paraId="07D3112B" w14:textId="77777777" w:rsidR="00BD5CD2" w:rsidRDefault="00020031" w:rsidP="00BD5CD2">
      <w:pPr>
        <w:pStyle w:val="ListParagraph"/>
        <w:numPr>
          <w:ilvl w:val="0"/>
          <w:numId w:val="168"/>
        </w:numPr>
        <w:spacing w:after="120"/>
        <w:rPr>
          <w:rFonts w:eastAsia="Times New Roman"/>
          <w:noProof/>
        </w:rPr>
      </w:pPr>
      <w:r w:rsidRPr="00BD5CD2">
        <w:rPr>
          <w:rFonts w:eastAsia="Times New Roman"/>
          <w:noProof/>
        </w:rPr>
        <w:t xml:space="preserve">The future production of the energy intensive industry decarbonisation project facility is a priori relevant for net-zero technologies (e.g. steel is used for wind towers.) </w:t>
      </w:r>
    </w:p>
    <w:p w14:paraId="47465DA3" w14:textId="4DED99D6" w:rsidR="00020031" w:rsidRPr="00BD5CD2" w:rsidRDefault="00020031" w:rsidP="00BD5CD2">
      <w:pPr>
        <w:pStyle w:val="ListParagraph"/>
        <w:numPr>
          <w:ilvl w:val="0"/>
          <w:numId w:val="168"/>
        </w:numPr>
        <w:spacing w:after="120"/>
        <w:rPr>
          <w:rFonts w:eastAsia="Times New Roman"/>
          <w:noProof/>
        </w:rPr>
      </w:pPr>
      <w:r w:rsidRPr="00BD5CD2">
        <w:rPr>
          <w:rFonts w:eastAsia="Times New Roman"/>
          <w:noProof/>
        </w:rPr>
        <w:t xml:space="preserve">The project needs to have significant and permanent reduction of </w:t>
      </w:r>
      <w:r w:rsidR="00273206" w:rsidRPr="00BD5CD2">
        <w:rPr>
          <w:noProof/>
          <w:color w:val="000000" w:themeColor="text1"/>
        </w:rPr>
        <w:t>CO</w:t>
      </w:r>
      <w:r w:rsidR="00273206" w:rsidRPr="00BD5CD2">
        <w:rPr>
          <w:noProof/>
          <w:color w:val="000000" w:themeColor="text1"/>
          <w:vertAlign w:val="subscript"/>
        </w:rPr>
        <w:t>2</w:t>
      </w:r>
      <w:r w:rsidRPr="00BD5CD2">
        <w:rPr>
          <w:rFonts w:eastAsia="Times New Roman"/>
          <w:noProof/>
        </w:rPr>
        <w:t xml:space="preserve"> emissions that is technically feasible. </w:t>
      </w:r>
    </w:p>
    <w:p w14:paraId="718306D6" w14:textId="087F4CDC" w:rsidR="00020031" w:rsidRPr="00FF63D1" w:rsidRDefault="00020031" w:rsidP="00BD5CD2">
      <w:pPr>
        <w:spacing w:after="120"/>
        <w:rPr>
          <w:rFonts w:eastAsia="Times New Roman"/>
          <w:noProof/>
        </w:rPr>
      </w:pPr>
      <w:r w:rsidRPr="00FF63D1">
        <w:rPr>
          <w:rFonts w:eastAsia="Times New Roman"/>
          <w:noProof/>
        </w:rPr>
        <w:t xml:space="preserve">Amongst others, the regulation covers several permitting measures that energy-intensive industry decarbonisation projects can benefit from: </w:t>
      </w:r>
    </w:p>
    <w:p w14:paraId="4AAA2AAA" w14:textId="77777777" w:rsidR="00BD5CD2" w:rsidRDefault="00020031" w:rsidP="00BD5CD2">
      <w:pPr>
        <w:pStyle w:val="ListParagraph"/>
        <w:numPr>
          <w:ilvl w:val="0"/>
          <w:numId w:val="168"/>
        </w:numPr>
        <w:spacing w:after="120"/>
        <w:rPr>
          <w:rFonts w:eastAsia="Times New Roman"/>
          <w:noProof/>
        </w:rPr>
      </w:pPr>
      <w:r w:rsidRPr="00FF63D1">
        <w:rPr>
          <w:rFonts w:eastAsia="Times New Roman"/>
          <w:noProof/>
        </w:rPr>
        <w:t>Single Point of Contact as coordination point for all permitting processes.</w:t>
      </w:r>
    </w:p>
    <w:p w14:paraId="7D339D63" w14:textId="77777777" w:rsidR="00020031" w:rsidRPr="00BD5CD2" w:rsidRDefault="00020031" w:rsidP="00BD5CD2">
      <w:pPr>
        <w:pStyle w:val="ListParagraph"/>
        <w:numPr>
          <w:ilvl w:val="0"/>
          <w:numId w:val="168"/>
        </w:numPr>
        <w:spacing w:after="120"/>
        <w:rPr>
          <w:rFonts w:eastAsia="Times New Roman"/>
          <w:noProof/>
        </w:rPr>
      </w:pPr>
      <w:r w:rsidRPr="00BD5CD2">
        <w:rPr>
          <w:rFonts w:eastAsia="Times New Roman"/>
          <w:noProof/>
        </w:rPr>
        <w:t>Timelines for permit-granting process depending on production volume (if GW) of the plant</w:t>
      </w:r>
    </w:p>
    <w:p w14:paraId="4029D2CE" w14:textId="77777777" w:rsidR="00BD5CD2" w:rsidRDefault="00020031" w:rsidP="00BD5CD2">
      <w:pPr>
        <w:pStyle w:val="ListParagraph"/>
        <w:numPr>
          <w:ilvl w:val="0"/>
          <w:numId w:val="168"/>
        </w:numPr>
        <w:spacing w:after="120"/>
        <w:rPr>
          <w:rFonts w:eastAsia="Times New Roman"/>
          <w:noProof/>
        </w:rPr>
      </w:pPr>
      <w:r w:rsidRPr="00FF63D1">
        <w:rPr>
          <w:rFonts w:eastAsia="Times New Roman"/>
          <w:noProof/>
        </w:rPr>
        <w:t>Bundling or coordination of environmental assessments whenever several assessments are required.</w:t>
      </w:r>
    </w:p>
    <w:p w14:paraId="1F88FBC9" w14:textId="2F3382E8" w:rsidR="00020031" w:rsidRPr="00BD5CD2" w:rsidRDefault="00020031" w:rsidP="00BD5CD2">
      <w:pPr>
        <w:pStyle w:val="ListParagraph"/>
        <w:numPr>
          <w:ilvl w:val="0"/>
          <w:numId w:val="168"/>
        </w:numPr>
        <w:spacing w:after="120"/>
        <w:rPr>
          <w:rFonts w:eastAsia="Times New Roman"/>
          <w:noProof/>
        </w:rPr>
      </w:pPr>
      <w:r w:rsidRPr="00BD5CD2">
        <w:rPr>
          <w:rFonts w:eastAsia="Times New Roman"/>
          <w:noProof/>
        </w:rPr>
        <w:t xml:space="preserve">Strategic project status for some projects, which in turn grants them shorter timelines, automatic consideration of highest national importance and public interest, and when relevant may be considered as well as being of Overriding public interest (OPI). </w:t>
      </w:r>
    </w:p>
    <w:p w14:paraId="6530046A" w14:textId="77777777" w:rsidR="00020031" w:rsidRPr="00FF63D1" w:rsidRDefault="00020031" w:rsidP="00BD5CD2">
      <w:pPr>
        <w:pStyle w:val="ListParagraph"/>
        <w:numPr>
          <w:ilvl w:val="0"/>
          <w:numId w:val="168"/>
        </w:numPr>
        <w:spacing w:after="120"/>
        <w:rPr>
          <w:rFonts w:eastAsia="Times New Roman"/>
          <w:noProof/>
        </w:rPr>
      </w:pPr>
      <w:r w:rsidRPr="00FF63D1">
        <w:rPr>
          <w:rFonts w:eastAsia="Times New Roman"/>
          <w:noProof/>
        </w:rPr>
        <w:t xml:space="preserve">Authorities to consider NZIA potential for zoning planning provisions. </w:t>
      </w:r>
    </w:p>
    <w:p w14:paraId="7E2651C3" w14:textId="77777777" w:rsidR="00020031" w:rsidRPr="00FF63D1" w:rsidRDefault="00020031" w:rsidP="00BD5CD2">
      <w:pPr>
        <w:spacing w:after="120"/>
        <w:rPr>
          <w:rFonts w:eastAsia="Times New Roman"/>
          <w:noProof/>
        </w:rPr>
      </w:pPr>
      <w:r w:rsidRPr="00FF63D1">
        <w:rPr>
          <w:rFonts w:eastAsia="Times New Roman"/>
          <w:noProof/>
        </w:rPr>
        <w:t>Moreover, whenever Member States decide to do so, they can designate Net Zero Acceleration Valleys: obligation to perform a Strategic environmental assessment for the area, consideration of projects to be in the public interest and may be considered to be of overriding public interest, as well as dedicated single points of contact.</w:t>
      </w:r>
    </w:p>
    <w:p w14:paraId="1F1B9E54" w14:textId="3149D852" w:rsidR="00020031" w:rsidRPr="00FF63D1" w:rsidRDefault="00020031" w:rsidP="00BD5CD2">
      <w:pPr>
        <w:spacing w:after="120"/>
        <w:rPr>
          <w:rFonts w:eastAsia="Times New Roman"/>
          <w:noProof/>
        </w:rPr>
      </w:pPr>
      <w:r w:rsidRPr="00FF63D1">
        <w:rPr>
          <w:rFonts w:eastAsia="Times New Roman"/>
          <w:noProof/>
        </w:rPr>
        <w:t xml:space="preserve">Importantly, the NZIA regulation also introduces its “Access to Markets” chapter. This chapter introduces the mandatory use of non-price criteria for the public procurement of net-zero technologies, for renewable energy auctions, and for other forms of public intervention aiming to support the purchase of net-zero technology final products. One of the non-price criteria is resilience; where there is a high dependency from a single source of supply for a certain net-zero technology or component, contributing to resilience means to diversify away from that dominant source of supply. Hence, any potential interplay with </w:t>
      </w:r>
      <w:r w:rsidR="00646A42" w:rsidRPr="00FF63D1">
        <w:rPr>
          <w:rFonts w:eastAsia="Times New Roman"/>
          <w:noProof/>
        </w:rPr>
        <w:t>IAA</w:t>
      </w:r>
      <w:r w:rsidRPr="00FF63D1">
        <w:rPr>
          <w:rFonts w:eastAsia="Times New Roman"/>
          <w:noProof/>
        </w:rPr>
        <w:t xml:space="preserve"> provisions on sourcing components and technologies needs to be taken into account. At the same time, while NZIA provisions strengthen resilience in reducing the dependency from a single source of supply, they do not directly support manufacturing in the EU – which is needed as argued earlier in this impact assessment. Other non-price criteria include, depending on the context, cyber security, environmental sustainability, and innovation.</w:t>
      </w:r>
    </w:p>
    <w:p w14:paraId="0195B2FE" w14:textId="77777777" w:rsidR="00020031" w:rsidRPr="00020C03" w:rsidRDefault="00020031" w:rsidP="00020C03">
      <w:pPr>
        <w:pStyle w:val="Heading3"/>
        <w:numPr>
          <w:ilvl w:val="0"/>
          <w:numId w:val="0"/>
        </w:numPr>
        <w:ind w:left="720" w:hanging="720"/>
        <w:rPr>
          <w:lang w:val="en-IE"/>
        </w:rPr>
      </w:pPr>
      <w:r w:rsidRPr="00020C03">
        <w:rPr>
          <w:b/>
        </w:rPr>
        <w:t>Interplay of the preferred policy option (PO2) with existing and upcoming initiatives</w:t>
      </w:r>
    </w:p>
    <w:p w14:paraId="67006FC5" w14:textId="77777777" w:rsidR="00020031" w:rsidRPr="00FF63D1" w:rsidRDefault="00020031">
      <w:pPr>
        <w:rPr>
          <w:rFonts w:eastAsia="Times New Roman"/>
          <w:noProof/>
        </w:rPr>
      </w:pPr>
      <w:r w:rsidRPr="00FF63D1">
        <w:rPr>
          <w:rFonts w:eastAsia="Times New Roman"/>
          <w:noProof/>
        </w:rPr>
        <w:t xml:space="preserve">The measures that are part of the preferred policy option (PO2) fit with the existing and upcoming initiatives in the following way: </w:t>
      </w:r>
    </w:p>
    <w:p w14:paraId="16CCCCEF" w14:textId="6631C1CA" w:rsidR="00020031" w:rsidRPr="00FF63D1" w:rsidRDefault="00020031" w:rsidP="00BD5CD2">
      <w:pPr>
        <w:pStyle w:val="ListParagraph"/>
        <w:numPr>
          <w:ilvl w:val="0"/>
          <w:numId w:val="168"/>
        </w:numPr>
        <w:spacing w:after="120"/>
        <w:rPr>
          <w:rFonts w:eastAsia="Times New Roman"/>
          <w:noProof/>
        </w:rPr>
      </w:pPr>
      <w:r w:rsidRPr="00FF63D1">
        <w:rPr>
          <w:rFonts w:eastAsia="Times New Roman"/>
          <w:noProof/>
        </w:rPr>
        <w:t xml:space="preserve">As far as SO1 is concerned, the development of a </w:t>
      </w:r>
      <w:r w:rsidRPr="00FF63D1">
        <w:rPr>
          <w:rFonts w:eastAsia="Times New Roman"/>
          <w:b/>
          <w:noProof/>
        </w:rPr>
        <w:t>label on the carbon intensity of steel</w:t>
      </w:r>
      <w:r w:rsidRPr="00FF63D1">
        <w:rPr>
          <w:rFonts w:eastAsia="Times New Roman"/>
          <w:noProof/>
        </w:rPr>
        <w:t xml:space="preserve"> will provide a first, voluntary and EU certification to disclose the carbon footprint of steel products, covering scope 1, scope 2 and other emissions (hydrogen use, heat) up until the level of the hot rolling production step, as explained in Annex12. This will send an important signal to the market, aiming at accelerating investment decisions. The methodology developed under </w:t>
      </w:r>
      <w:r w:rsidR="00646A42" w:rsidRPr="00FF63D1">
        <w:rPr>
          <w:rFonts w:eastAsia="Times New Roman"/>
          <w:noProof/>
        </w:rPr>
        <w:t>IAA</w:t>
      </w:r>
      <w:r w:rsidRPr="00FF63D1">
        <w:rPr>
          <w:rFonts w:eastAsia="Times New Roman"/>
          <w:noProof/>
        </w:rPr>
        <w:t xml:space="preserve"> will constitute a building block of the upcoming full </w:t>
      </w:r>
      <w:r w:rsidR="00FD5291" w:rsidRPr="2FD6D526">
        <w:rPr>
          <w:rFonts w:eastAsia="Times New Roman"/>
          <w:noProof/>
        </w:rPr>
        <w:t>LCA</w:t>
      </w:r>
      <w:r w:rsidRPr="00FF63D1">
        <w:rPr>
          <w:rFonts w:eastAsia="Times New Roman"/>
          <w:noProof/>
        </w:rPr>
        <w:t xml:space="preserve"> methodology currently being developed under the ESPR, in view of the Delegated Act setting information and/or performance requirements of the environmental footprint of steel products. Once the mandatory ESPR requirements will be adopted, the voluntary steel label will feed into the ESPR criteria, becoming an integral part of the methodology, so that producers will not have to face two different carbon footprint calculation methods. Furthermore, the ESPR requirements will go beyond carbon </w:t>
      </w:r>
      <w:r w:rsidR="001B22C3" w:rsidRPr="00FF63D1">
        <w:rPr>
          <w:rFonts w:eastAsia="Times New Roman"/>
          <w:noProof/>
        </w:rPr>
        <w:t xml:space="preserve">emissions </w:t>
      </w:r>
      <w:r w:rsidRPr="00FF63D1">
        <w:rPr>
          <w:rFonts w:eastAsia="Times New Roman"/>
          <w:noProof/>
        </w:rPr>
        <w:t xml:space="preserve">including other relevant environmental impacts (i.e. recycled content, substances of concern). </w:t>
      </w:r>
      <w:r w:rsidRPr="00FF63D1">
        <w:rPr>
          <w:noProof/>
        </w:rPr>
        <w:t>allowing consumers to see the comprehensive product environmental footprint.</w:t>
      </w:r>
    </w:p>
    <w:p w14:paraId="49DEAF23" w14:textId="4B876F9B" w:rsidR="00020031" w:rsidRPr="00FF63D1" w:rsidRDefault="00020031" w:rsidP="00BD5CD2">
      <w:pPr>
        <w:pStyle w:val="ListParagraph"/>
        <w:numPr>
          <w:ilvl w:val="0"/>
          <w:numId w:val="168"/>
        </w:numPr>
        <w:spacing w:after="120"/>
        <w:rPr>
          <w:rFonts w:eastAsia="Times New Roman"/>
          <w:noProof/>
        </w:rPr>
      </w:pPr>
      <w:r w:rsidRPr="00FF63D1">
        <w:rPr>
          <w:rFonts w:eastAsia="Times New Roman"/>
          <w:noProof/>
        </w:rPr>
        <w:t xml:space="preserve">For SO2, the measures introducing </w:t>
      </w:r>
      <w:r w:rsidRPr="00FF63D1">
        <w:rPr>
          <w:rFonts w:eastAsia="Times New Roman"/>
          <w:b/>
          <w:noProof/>
        </w:rPr>
        <w:t xml:space="preserve">low-carbon and </w:t>
      </w:r>
      <w:r w:rsidR="000B3C9C">
        <w:rPr>
          <w:rFonts w:eastAsia="Times New Roman"/>
          <w:b/>
          <w:noProof/>
        </w:rPr>
        <w:t xml:space="preserve">Made in EU </w:t>
      </w:r>
      <w:r w:rsidRPr="00FF63D1">
        <w:rPr>
          <w:rFonts w:eastAsia="Times New Roman"/>
          <w:b/>
          <w:noProof/>
        </w:rPr>
        <w:t>requirements for some energy-intensive materials</w:t>
      </w:r>
      <w:r w:rsidRPr="00FF63D1">
        <w:rPr>
          <w:rFonts w:eastAsia="Times New Roman"/>
          <w:noProof/>
        </w:rPr>
        <w:t xml:space="preserve"> in targeted downstream sectors, as well as </w:t>
      </w:r>
      <w:r w:rsidR="000B3C9C">
        <w:rPr>
          <w:rFonts w:eastAsia="Times New Roman"/>
          <w:noProof/>
        </w:rPr>
        <w:t>Made in EU</w:t>
      </w:r>
      <w:r w:rsidRPr="00FF63D1">
        <w:rPr>
          <w:rFonts w:eastAsia="Times New Roman"/>
          <w:noProof/>
        </w:rPr>
        <w:t xml:space="preserve"> requirements for </w:t>
      </w:r>
      <w:r w:rsidRPr="00FF63D1">
        <w:rPr>
          <w:rFonts w:eastAsia="Times New Roman"/>
          <w:b/>
          <w:noProof/>
        </w:rPr>
        <w:t>batteries, solar PV and vehicle components</w:t>
      </w:r>
      <w:r w:rsidRPr="00FF63D1">
        <w:rPr>
          <w:rFonts w:eastAsia="Times New Roman"/>
          <w:noProof/>
        </w:rPr>
        <w:t xml:space="preserve"> in the public procurement market will anticipate the use of sustainability and resilience/ EU preference criteria that will be streamlined as part of the upcoming revision of the Public Procurement Framework. The revision will clarify the interaction between sectorial provisions across different pieces of legislation, ensuring a common approach and to simplify application by authorities. Concerning the introduction of low-carbon content requirements for the steel and cement placed on the market, these measures will be complemented by the downstream sectors specific regulations. Specifically, in the building and construction sector, the </w:t>
      </w:r>
      <w:r w:rsidR="00646A42" w:rsidRPr="00FF63D1">
        <w:rPr>
          <w:rFonts w:eastAsia="Times New Roman"/>
          <w:noProof/>
        </w:rPr>
        <w:t>IAA</w:t>
      </w:r>
      <w:r w:rsidRPr="00FF63D1">
        <w:rPr>
          <w:rFonts w:eastAsia="Times New Roman"/>
          <w:noProof/>
        </w:rPr>
        <w:t xml:space="preserve"> measures will be complemented by the CPR obligations to disclose the environmental footprint of construction products, as well as the EPBD provisions requiring Member States to develop national roadmaps introducing limit values on the life-cycle Global Warming Potential (GWP) of buildings, which will benefit from the </w:t>
      </w:r>
      <w:r w:rsidR="00646A42" w:rsidRPr="00FF63D1">
        <w:rPr>
          <w:rFonts w:eastAsia="Times New Roman"/>
          <w:noProof/>
        </w:rPr>
        <w:t>IAA</w:t>
      </w:r>
      <w:r w:rsidRPr="00FF63D1">
        <w:rPr>
          <w:rFonts w:eastAsia="Times New Roman"/>
          <w:noProof/>
        </w:rPr>
        <w:t xml:space="preserve"> provisions introducing lead markets on low-carbon steel and cement. Finally, the achievement of the low-carbon target will also be influenced by the effects of the ETS on the decarbonisation technologies, as well as the effective implementation of CBAM to mitigate the risk of carbon leakage. </w:t>
      </w:r>
    </w:p>
    <w:p w14:paraId="7EF1A209" w14:textId="74E0C6FF" w:rsidR="00020031" w:rsidRPr="00FF63D1" w:rsidRDefault="00020031" w:rsidP="00BD5CD2">
      <w:pPr>
        <w:pStyle w:val="ListParagraph"/>
        <w:numPr>
          <w:ilvl w:val="0"/>
          <w:numId w:val="168"/>
        </w:numPr>
        <w:spacing w:after="120"/>
        <w:rPr>
          <w:rFonts w:eastAsia="Times New Roman"/>
          <w:noProof/>
        </w:rPr>
      </w:pPr>
      <w:r w:rsidRPr="00FF63D1">
        <w:rPr>
          <w:rFonts w:eastAsia="Times New Roman"/>
          <w:noProof/>
        </w:rPr>
        <w:t xml:space="preserve">For SO3, the proposed investment conditionalities under </w:t>
      </w:r>
      <w:r w:rsidR="00646A42" w:rsidRPr="00FF63D1">
        <w:rPr>
          <w:rFonts w:eastAsia="Times New Roman"/>
          <w:noProof/>
        </w:rPr>
        <w:t>IAA</w:t>
      </w:r>
      <w:r w:rsidRPr="00FF63D1">
        <w:rPr>
          <w:rFonts w:eastAsia="Times New Roman"/>
          <w:noProof/>
        </w:rPr>
        <w:t xml:space="preserve"> would apply in addition to the </w:t>
      </w:r>
      <w:r w:rsidRPr="00FF63D1">
        <w:rPr>
          <w:rFonts w:eastAsia="Times New Roman"/>
          <w:b/>
          <w:noProof/>
        </w:rPr>
        <w:t xml:space="preserve">existing FDI framework, </w:t>
      </w:r>
      <w:r w:rsidRPr="00FF63D1">
        <w:rPr>
          <w:rFonts w:eastAsia="Times New Roman"/>
          <w:noProof/>
        </w:rPr>
        <w:t xml:space="preserve">with a specific sectoral scope and Single Market considerations. Moreover, countries that the Union have existing FTAs with would be excluded from the conditionalities to comply with the provisions set therein. Compliance with further international obligations will also be considered. </w:t>
      </w:r>
    </w:p>
    <w:p w14:paraId="16E228AF" w14:textId="5B6992E4" w:rsidR="00020031" w:rsidRPr="00FF63D1" w:rsidRDefault="00020031" w:rsidP="00BD5CD2">
      <w:pPr>
        <w:pStyle w:val="ListParagraph"/>
        <w:numPr>
          <w:ilvl w:val="0"/>
          <w:numId w:val="168"/>
        </w:numPr>
        <w:spacing w:after="120"/>
        <w:rPr>
          <w:rFonts w:eastAsia="Times New Roman"/>
          <w:noProof/>
        </w:rPr>
      </w:pPr>
      <w:r w:rsidRPr="00FF63D1">
        <w:rPr>
          <w:rFonts w:eastAsia="Times New Roman"/>
          <w:noProof/>
        </w:rPr>
        <w:t xml:space="preserve">For SO4, the </w:t>
      </w:r>
      <w:r w:rsidRPr="00FF63D1">
        <w:rPr>
          <w:rFonts w:eastAsia="Times New Roman"/>
          <w:b/>
          <w:noProof/>
        </w:rPr>
        <w:t>simplification of permitting</w:t>
      </w:r>
      <w:r w:rsidRPr="00FF63D1">
        <w:rPr>
          <w:rFonts w:eastAsia="Times New Roman"/>
          <w:noProof/>
        </w:rPr>
        <w:t xml:space="preserve"> provisions</w:t>
      </w:r>
      <w:r w:rsidRPr="00FF63D1" w:rsidDel="00C9046B">
        <w:rPr>
          <w:rFonts w:eastAsia="Times New Roman"/>
          <w:noProof/>
        </w:rPr>
        <w:t xml:space="preserve"> </w:t>
      </w:r>
      <w:r w:rsidRPr="00FF63D1">
        <w:rPr>
          <w:rFonts w:eastAsia="Times New Roman"/>
          <w:noProof/>
        </w:rPr>
        <w:t xml:space="preserve">align </w:t>
      </w:r>
      <w:r w:rsidR="00F775CC">
        <w:rPr>
          <w:rFonts w:eastAsia="Times New Roman"/>
          <w:noProof/>
        </w:rPr>
        <w:t>with</w:t>
      </w:r>
      <w:r w:rsidRPr="00FF63D1">
        <w:rPr>
          <w:rFonts w:eastAsia="Times New Roman"/>
          <w:noProof/>
        </w:rPr>
        <w:t xml:space="preserve"> the Environmental Omnibus package which the Commission </w:t>
      </w:r>
      <w:r w:rsidR="00F775CC">
        <w:rPr>
          <w:rFonts w:eastAsia="Times New Roman"/>
          <w:noProof/>
        </w:rPr>
        <w:t>adopted</w:t>
      </w:r>
      <w:r w:rsidRPr="00FF63D1">
        <w:rPr>
          <w:rFonts w:eastAsia="Times New Roman"/>
          <w:noProof/>
        </w:rPr>
        <w:t xml:space="preserve"> in Q4 2025.</w:t>
      </w:r>
    </w:p>
    <w:p w14:paraId="31141C10" w14:textId="30AF7990" w:rsidR="00A45F86" w:rsidRPr="00BD5CD2" w:rsidRDefault="00020031" w:rsidP="00F552F0">
      <w:pPr>
        <w:pStyle w:val="ListParagraph"/>
        <w:numPr>
          <w:ilvl w:val="0"/>
          <w:numId w:val="168"/>
        </w:numPr>
        <w:spacing w:after="120"/>
        <w:rPr>
          <w:rFonts w:eastAsia="Times New Roman"/>
          <w:b/>
          <w:noProof/>
        </w:rPr>
      </w:pPr>
      <w:r w:rsidRPr="00FF63D1">
        <w:rPr>
          <w:rFonts w:eastAsia="Times New Roman"/>
          <w:noProof/>
        </w:rPr>
        <w:t xml:space="preserve">For SO5, introducing a set of </w:t>
      </w:r>
      <w:r w:rsidRPr="00FF63D1">
        <w:rPr>
          <w:rFonts w:eastAsia="Times New Roman"/>
          <w:b/>
          <w:noProof/>
        </w:rPr>
        <w:t xml:space="preserve">criteria for identifying priority industrial </w:t>
      </w:r>
      <w:r w:rsidR="001E775D" w:rsidRPr="00FF63D1">
        <w:rPr>
          <w:rFonts w:eastAsia="Times New Roman"/>
          <w:b/>
          <w:noProof/>
        </w:rPr>
        <w:t>areas</w:t>
      </w:r>
      <w:r w:rsidRPr="00FF63D1">
        <w:rPr>
          <w:rFonts w:eastAsia="Times New Roman"/>
          <w:noProof/>
        </w:rPr>
        <w:t xml:space="preserve"> would help Member States identify relevant projects and create synergies with existing funding programmes, to facilitate access to public funding, without prejudice to the State aid regime nor to the specific eligibility criteria of each funding programme. At EU level, the Commission would consider these criteria </w:t>
      </w:r>
      <w:r w:rsidRPr="00FF63D1">
        <w:rPr>
          <w:noProof/>
        </w:rPr>
        <w:t>for the revision of t</w:t>
      </w:r>
      <w:r w:rsidRPr="00FF63D1">
        <w:rPr>
          <w:rFonts w:eastAsia="Times New Roman"/>
          <w:noProof/>
        </w:rPr>
        <w:t xml:space="preserve">he Innovation Fund calls and the upcoming Decarbonisation Bank. A link would be established between the </w:t>
      </w:r>
      <w:r w:rsidR="00646A42" w:rsidRPr="00FF63D1">
        <w:rPr>
          <w:rFonts w:eastAsia="Times New Roman"/>
          <w:noProof/>
        </w:rPr>
        <w:t>IAA</w:t>
      </w:r>
      <w:r w:rsidRPr="00FF63D1">
        <w:rPr>
          <w:rFonts w:eastAsia="Times New Roman"/>
          <w:noProof/>
        </w:rPr>
        <w:t xml:space="preserve"> criteria and the Competitiveness Seal of the </w:t>
      </w:r>
      <w:r w:rsidRPr="00FF63D1">
        <w:rPr>
          <w:rFonts w:eastAsia="Times New Roman"/>
          <w:b/>
          <w:noProof/>
        </w:rPr>
        <w:t>European Competitiveness Fund</w:t>
      </w:r>
      <w:r w:rsidRPr="00FF63D1">
        <w:rPr>
          <w:rFonts w:eastAsia="Times New Roman"/>
          <w:noProof/>
        </w:rPr>
        <w:t>, presented as part of the MFF legislative proposal.</w:t>
      </w:r>
    </w:p>
    <w:p w14:paraId="0DEADE8D" w14:textId="6AE3635C" w:rsidR="009E24FA" w:rsidRPr="00AB1DF9" w:rsidRDefault="00C37616" w:rsidP="00020C03">
      <w:pPr>
        <w:pStyle w:val="Heading2"/>
        <w:numPr>
          <w:ilvl w:val="0"/>
          <w:numId w:val="59"/>
        </w:numPr>
      </w:pPr>
      <w:bookmarkStart w:id="655" w:name="_Toc207192557"/>
      <w:bookmarkStart w:id="656" w:name="_Toc212728868"/>
      <w:bookmarkStart w:id="657" w:name="_Toc212729142"/>
      <w:bookmarkStart w:id="658" w:name="_Toc212729394"/>
      <w:bookmarkStart w:id="659" w:name="_Toc215506338"/>
      <w:bookmarkStart w:id="660" w:name="_Toc222490046"/>
      <w:r w:rsidRPr="00AB1DF9">
        <w:t>What is the baseline? Detailed description</w:t>
      </w:r>
      <w:bookmarkEnd w:id="655"/>
      <w:bookmarkEnd w:id="656"/>
      <w:bookmarkEnd w:id="657"/>
      <w:bookmarkEnd w:id="658"/>
      <w:bookmarkEnd w:id="659"/>
      <w:bookmarkEnd w:id="660"/>
    </w:p>
    <w:p w14:paraId="15B8944A" w14:textId="4445DBA3" w:rsidR="00C936D5" w:rsidRPr="00FF63D1" w:rsidRDefault="00AB6188" w:rsidP="00BD5CD2">
      <w:pPr>
        <w:spacing w:after="120"/>
        <w:rPr>
          <w:noProof/>
        </w:rPr>
      </w:pPr>
      <w:r w:rsidRPr="00FF63D1">
        <w:rPr>
          <w:noProof/>
        </w:rPr>
        <w:t>EIIs such as steel, aluminium, cement and chemicals form the backbone of the European economy. They are indispensable for the green and digital transitions and thus for Europe’s long-term competitiveness and economic security. Strengthening these sectors contributes directly to the “Promote” pillar of the European Economic Security Strategy, which aims to reinforce the EU’s capacity to innovate, invest, and maintain leadership in strategic value chains.</w:t>
      </w:r>
    </w:p>
    <w:p w14:paraId="350548A4" w14:textId="2F2892F4" w:rsidR="00C936D5" w:rsidRPr="00FF63D1" w:rsidRDefault="00C936D5" w:rsidP="00BD5CD2">
      <w:pPr>
        <w:spacing w:after="120"/>
        <w:rPr>
          <w:noProof/>
        </w:rPr>
      </w:pPr>
      <w:r w:rsidRPr="00FF63D1">
        <w:rPr>
          <w:noProof/>
        </w:rPr>
        <w:t>However, over the past two decades, EIIs have faced persistent competitive pressures: high energy costs, global overcapacity, and delayed investment in low-carbon technologies. These conditions have resulted in a contraction of EU industrial production, rising import dependence, and limited technological renewal. The outcome is not only a decarbonisation gap, but also an economic-security gap</w:t>
      </w:r>
      <w:r w:rsidR="00CF3BB3" w:rsidRPr="00FF63D1">
        <w:rPr>
          <w:noProof/>
        </w:rPr>
        <w:t>,</w:t>
      </w:r>
      <w:r w:rsidRPr="00FF63D1">
        <w:rPr>
          <w:noProof/>
        </w:rPr>
        <w:t xml:space="preserve"> a growing divergence between the EU’s industrial trajectory and the level of domestic capacity needed to sustain secure, climate-compatible and competitive supply chains.</w:t>
      </w:r>
    </w:p>
    <w:p w14:paraId="2CE3E970" w14:textId="731E2311" w:rsidR="007808DC" w:rsidRDefault="51302296" w:rsidP="007808DC">
      <w:pPr>
        <w:spacing w:after="120"/>
        <w:rPr>
          <w:noProof/>
        </w:rPr>
      </w:pPr>
      <w:r>
        <w:rPr>
          <w:noProof/>
        </w:rPr>
        <w:t>To better understand the immediate</w:t>
      </w:r>
      <w:r w:rsidRPr="00C3218F">
        <w:rPr>
          <w:noProof/>
        </w:rPr>
        <w:t xml:space="preserve"> competitiveness </w:t>
      </w:r>
      <w:r>
        <w:rPr>
          <w:noProof/>
        </w:rPr>
        <w:t xml:space="preserve">challenges, </w:t>
      </w:r>
      <w:r w:rsidR="007808DC">
        <w:rPr>
          <w:noProof/>
        </w:rPr>
        <w:fldChar w:fldCharType="begin"/>
      </w:r>
      <w:r w:rsidR="007808DC">
        <w:rPr>
          <w:noProof/>
        </w:rPr>
        <w:instrText xml:space="preserve"> REF _Ref211946458 \h  \* MERGEFORMAT </w:instrText>
      </w:r>
      <w:r w:rsidR="007808DC">
        <w:rPr>
          <w:noProof/>
        </w:rPr>
      </w:r>
      <w:r w:rsidR="007808DC">
        <w:rPr>
          <w:noProof/>
        </w:rPr>
        <w:fldChar w:fldCharType="separate"/>
      </w:r>
      <w:r w:rsidR="07FDC849" w:rsidRPr="007401A6">
        <w:rPr>
          <w:noProof/>
        </w:rPr>
        <w:t xml:space="preserve">Figure </w:t>
      </w:r>
      <w:r w:rsidR="07FDC849">
        <w:rPr>
          <w:noProof/>
          <w:sz w:val="20"/>
          <w:szCs w:val="20"/>
        </w:rPr>
        <w:t>21</w:t>
      </w:r>
      <w:r w:rsidR="007808DC">
        <w:rPr>
          <w:noProof/>
        </w:rPr>
        <w:fldChar w:fldCharType="end"/>
      </w:r>
      <w:r>
        <w:rPr>
          <w:noProof/>
        </w:rPr>
        <w:t xml:space="preserve"> zooms in on recent years (2019-2024) and</w:t>
      </w:r>
      <w:r w:rsidRPr="00C3218F">
        <w:rPr>
          <w:noProof/>
        </w:rPr>
        <w:t xml:space="preserve"> compar</w:t>
      </w:r>
      <w:r>
        <w:rPr>
          <w:noProof/>
        </w:rPr>
        <w:t>es</w:t>
      </w:r>
      <w:r w:rsidRPr="00C3218F">
        <w:rPr>
          <w:noProof/>
        </w:rPr>
        <w:t xml:space="preserve"> production trends of </w:t>
      </w:r>
      <w:r>
        <w:rPr>
          <w:noProof/>
        </w:rPr>
        <w:t>EIIs</w:t>
      </w:r>
      <w:r w:rsidRPr="00C3218F">
        <w:rPr>
          <w:noProof/>
        </w:rPr>
        <w:t xml:space="preserve"> with those of the wider manufacturing sector</w:t>
      </w:r>
      <w:r>
        <w:rPr>
          <w:noProof/>
        </w:rPr>
        <w:t>. While broader manufacturing has returned to its pre-crisis production levels, EIIs have declined.</w:t>
      </w:r>
      <w:r w:rsidRPr="00C3218F">
        <w:rPr>
          <w:noProof/>
        </w:rPr>
        <w:t xml:space="preserve"> </w:t>
      </w:r>
      <w:r w:rsidRPr="008D152D">
        <w:rPr>
          <w:noProof/>
        </w:rPr>
        <w:t>Since 2022, high energy prices, weaker demand and stronger global competition have driven a sharper contraction in EII output, which now stands well below its pre-pandemic level.</w:t>
      </w:r>
      <w:r w:rsidR="007808DC">
        <w:rPr>
          <w:rStyle w:val="FootnoteReference"/>
          <w:noProof/>
        </w:rPr>
        <w:footnoteReference w:id="547"/>
      </w:r>
    </w:p>
    <w:p w14:paraId="3E7F291B" w14:textId="77777777" w:rsidR="007808DC" w:rsidRDefault="007808DC" w:rsidP="00BD5CD2">
      <w:pPr>
        <w:spacing w:after="120"/>
        <w:rPr>
          <w:noProof/>
        </w:rPr>
      </w:pPr>
      <w:r w:rsidRPr="00162E0C">
        <w:rPr>
          <w:noProof/>
        </w:rPr>
        <w:t xml:space="preserve">The transition will entail higher adjustment costs for </w:t>
      </w:r>
      <w:r>
        <w:rPr>
          <w:noProof/>
        </w:rPr>
        <w:t>EIIs</w:t>
      </w:r>
      <w:r w:rsidRPr="00162E0C">
        <w:rPr>
          <w:noProof/>
        </w:rPr>
        <w:t xml:space="preserve"> in the short term, as production processes, energy inputs and supply chains adapt to stricter carbon pricing and new regulatory standards. Yet delaying this transition would result in much higher costs in the medium term—through stranded assets, lost technological leadership, and deepened reliance on foreign clean-tech suppliers. In line with the Clean Industrial Deal, the baseline thus reflects a credible but demanding pathway in which European industry follows through on the 2040 and 2050 emission-reduction commitments, recognising that this is the only sustainable route to competitiveness and climate neutrality.</w:t>
      </w:r>
    </w:p>
    <w:p w14:paraId="2F58CC39" w14:textId="77777777" w:rsidR="007808DC" w:rsidRDefault="007808DC" w:rsidP="007808DC">
      <w:pPr>
        <w:keepNext/>
        <w:jc w:val="center"/>
        <w:rPr>
          <w:noProof/>
        </w:rPr>
      </w:pPr>
      <w:r w:rsidRPr="000539C0">
        <w:rPr>
          <w:noProof/>
          <w:lang w:eastAsia="en-GB"/>
        </w:rPr>
        <w:drawing>
          <wp:inline distT="0" distB="0" distL="0" distR="0" wp14:anchorId="0BC8E6EB" wp14:editId="2DD0DCE7">
            <wp:extent cx="3763925" cy="2193469"/>
            <wp:effectExtent l="0" t="0" r="8255" b="0"/>
            <wp:docPr id="472850538"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0538" name="Picture 1" descr="A graph with red and blue lines&#10;&#10;AI-generated content may be incorrect."/>
                    <pic:cNvPicPr/>
                  </pic:nvPicPr>
                  <pic:blipFill>
                    <a:blip r:embed="rId91"/>
                    <a:stretch>
                      <a:fillRect/>
                    </a:stretch>
                  </pic:blipFill>
                  <pic:spPr>
                    <a:xfrm>
                      <a:off x="0" y="0"/>
                      <a:ext cx="3799747" cy="2214345"/>
                    </a:xfrm>
                    <a:prstGeom prst="rect">
                      <a:avLst/>
                    </a:prstGeom>
                  </pic:spPr>
                </pic:pic>
              </a:graphicData>
            </a:graphic>
          </wp:inline>
        </w:drawing>
      </w:r>
    </w:p>
    <w:p w14:paraId="7C9F7142" w14:textId="5455A16C" w:rsidR="007808DC" w:rsidRPr="000272AD" w:rsidRDefault="007808DC" w:rsidP="007808DC">
      <w:pPr>
        <w:pStyle w:val="Caption"/>
        <w:jc w:val="center"/>
        <w:rPr>
          <w:noProof/>
        </w:rPr>
      </w:pPr>
      <w:bookmarkStart w:id="661" w:name="_Ref211946458"/>
      <w:r w:rsidRPr="00EB6B04">
        <w:rPr>
          <w:noProof/>
          <w:sz w:val="20"/>
          <w:szCs w:val="20"/>
        </w:rPr>
        <w:t xml:space="preserve">Figure </w:t>
      </w:r>
      <w:r w:rsidRPr="00EB6B04">
        <w:rPr>
          <w:noProof/>
          <w:sz w:val="20"/>
          <w:szCs w:val="20"/>
        </w:rPr>
        <w:fldChar w:fldCharType="begin"/>
      </w:r>
      <w:r w:rsidRPr="00EB6B04">
        <w:rPr>
          <w:noProof/>
          <w:sz w:val="20"/>
          <w:szCs w:val="20"/>
        </w:rPr>
        <w:instrText xml:space="preserve"> SEQ Figure \* ARABIC </w:instrText>
      </w:r>
      <w:r w:rsidRPr="00EB6B04">
        <w:rPr>
          <w:noProof/>
          <w:sz w:val="20"/>
          <w:szCs w:val="20"/>
        </w:rPr>
        <w:fldChar w:fldCharType="separate"/>
      </w:r>
      <w:r w:rsidR="00E16D65">
        <w:rPr>
          <w:noProof/>
          <w:sz w:val="20"/>
          <w:szCs w:val="20"/>
        </w:rPr>
        <w:t>21</w:t>
      </w:r>
      <w:r w:rsidRPr="00EB6B04">
        <w:rPr>
          <w:noProof/>
          <w:sz w:val="20"/>
          <w:szCs w:val="20"/>
        </w:rPr>
        <w:fldChar w:fldCharType="end"/>
      </w:r>
      <w:bookmarkEnd w:id="661"/>
      <w:r w:rsidRPr="00EB6B04">
        <w:rPr>
          <w:noProof/>
          <w:sz w:val="20"/>
          <w:szCs w:val="20"/>
        </w:rPr>
        <w:t xml:space="preserve">: Production volume index for </w:t>
      </w:r>
      <w:r>
        <w:rPr>
          <w:noProof/>
          <w:sz w:val="20"/>
          <w:szCs w:val="20"/>
        </w:rPr>
        <w:t>EIIs</w:t>
      </w:r>
      <w:r w:rsidRPr="00EB6B04">
        <w:rPr>
          <w:noProof/>
          <w:sz w:val="20"/>
          <w:szCs w:val="20"/>
        </w:rPr>
        <w:t xml:space="preserve"> and other manufacturing</w:t>
      </w:r>
      <w:r>
        <w:rPr>
          <w:noProof/>
          <w:sz w:val="20"/>
          <w:szCs w:val="20"/>
        </w:rPr>
        <w:t>, European Commission internal analysis</w:t>
      </w:r>
    </w:p>
    <w:p w14:paraId="3A6B3D1E" w14:textId="77777777" w:rsidR="007C513D" w:rsidRPr="00FF63D1" w:rsidRDefault="007C513D" w:rsidP="00F552F0">
      <w:pPr>
        <w:rPr>
          <w:noProof/>
        </w:rPr>
      </w:pPr>
    </w:p>
    <w:p w14:paraId="5AE0FBFD" w14:textId="1B74DF5F" w:rsidR="00F10FB9" w:rsidRDefault="2C11B82A" w:rsidP="00BD5CD2">
      <w:pPr>
        <w:spacing w:after="120"/>
        <w:rPr>
          <w:noProof/>
        </w:rPr>
      </w:pPr>
      <w:r w:rsidRPr="00FF63D1">
        <w:rPr>
          <w:noProof/>
        </w:rPr>
        <w:t>The main text of the impact assessment</w:t>
      </w:r>
      <w:r w:rsidR="67DAE1D5" w:rsidRPr="00FF63D1">
        <w:rPr>
          <w:noProof/>
        </w:rPr>
        <w:t xml:space="preserve"> presented the dynamic baseline and decarbonisation gap for </w:t>
      </w:r>
      <w:r w:rsidR="0170B3E4" w:rsidRPr="00FF63D1">
        <w:rPr>
          <w:noProof/>
        </w:rPr>
        <w:t xml:space="preserve">all EIIs, illustrated by </w:t>
      </w:r>
      <w:r w:rsidR="67DAE1D5" w:rsidRPr="00FF63D1">
        <w:rPr>
          <w:noProof/>
        </w:rPr>
        <w:t>the iron and steel sector</w:t>
      </w:r>
      <w:r w:rsidR="00D25B40" w:rsidRPr="00FF63D1">
        <w:rPr>
          <w:rStyle w:val="FootnoteReference"/>
          <w:noProof/>
        </w:rPr>
        <w:footnoteReference w:id="548"/>
      </w:r>
      <w:r w:rsidR="67DAE1D5" w:rsidRPr="00FF63D1">
        <w:rPr>
          <w:noProof/>
        </w:rPr>
        <w:t xml:space="preserve">. </w:t>
      </w:r>
      <w:r w:rsidR="00F10FB9">
        <w:rPr>
          <w:noProof/>
        </w:rPr>
        <w:fldChar w:fldCharType="begin"/>
      </w:r>
      <w:r w:rsidR="00F10FB9">
        <w:rPr>
          <w:noProof/>
        </w:rPr>
        <w:instrText xml:space="preserve"> REF _Ref211937126 \h  \* MERGEFORMAT </w:instrText>
      </w:r>
      <w:r w:rsidR="00F10FB9">
        <w:rPr>
          <w:noProof/>
        </w:rPr>
      </w:r>
      <w:r w:rsidR="00F10FB9">
        <w:rPr>
          <w:noProof/>
        </w:rPr>
        <w:fldChar w:fldCharType="end"/>
      </w:r>
      <w:r w:rsidR="7BA7247A">
        <w:rPr>
          <w:noProof/>
        </w:rPr>
        <w:t xml:space="preserve"> below shows </w:t>
      </w:r>
      <w:r w:rsidR="7BA7247A" w:rsidRPr="00A11DF2">
        <w:rPr>
          <w:noProof/>
        </w:rPr>
        <w:t>a</w:t>
      </w:r>
      <w:r w:rsidR="7BA7247A" w:rsidRPr="00A474B0">
        <w:rPr>
          <w:noProof/>
        </w:rPr>
        <w:t xml:space="preserve"> clear slowdown since 2023</w:t>
      </w:r>
      <w:r w:rsidR="00F10FB9">
        <w:rPr>
          <w:rStyle w:val="FootnoteReference"/>
          <w:noProof/>
        </w:rPr>
        <w:footnoteReference w:id="549"/>
      </w:r>
      <w:r w:rsidR="7BA7247A" w:rsidRPr="00A474B0">
        <w:rPr>
          <w:noProof/>
        </w:rPr>
        <w:t xml:space="preserve">, with the number of new </w:t>
      </w:r>
      <w:r w:rsidR="7BA7247A">
        <w:rPr>
          <w:noProof/>
        </w:rPr>
        <w:t>final investment decisions (</w:t>
      </w:r>
      <w:r w:rsidR="7BA7247A" w:rsidRPr="00A474B0">
        <w:rPr>
          <w:noProof/>
        </w:rPr>
        <w:t>FIDs</w:t>
      </w:r>
      <w:r w:rsidR="7BA7247A">
        <w:rPr>
          <w:noProof/>
        </w:rPr>
        <w:t>)</w:t>
      </w:r>
      <w:r w:rsidR="7BA7247A" w:rsidRPr="00A474B0">
        <w:rPr>
          <w:noProof/>
        </w:rPr>
        <w:t xml:space="preserve"> and projects entering construction falling by roughly 40% compared with 2022–2023 levels. This confirms that while the decarbonisation pipeline is expanding, actual delivery of low-carbon steel capacity has stagnated.</w:t>
      </w:r>
    </w:p>
    <w:p w14:paraId="0430063C" w14:textId="2E3A75C1" w:rsidR="00F10FB9" w:rsidRDefault="00F10FB9" w:rsidP="00D17ADE">
      <w:pPr>
        <w:spacing w:after="120"/>
        <w:rPr>
          <w:noProof/>
        </w:rPr>
      </w:pPr>
      <w:r w:rsidRPr="004C0C4E">
        <w:rPr>
          <w:noProof/>
          <w:lang w:eastAsia="en-GB"/>
        </w:rPr>
        <w:drawing>
          <wp:anchor distT="0" distB="0" distL="114300" distR="114300" simplePos="0" relativeHeight="251658241" behindDoc="0" locked="0" layoutInCell="1" allowOverlap="1" wp14:anchorId="62757132" wp14:editId="6B25CD82">
            <wp:simplePos x="0" y="0"/>
            <wp:positionH relativeFrom="column">
              <wp:posOffset>611505</wp:posOffset>
            </wp:positionH>
            <wp:positionV relativeFrom="paragraph">
              <wp:posOffset>175260</wp:posOffset>
            </wp:positionV>
            <wp:extent cx="3636010" cy="2152650"/>
            <wp:effectExtent l="0" t="0" r="2540" b="0"/>
            <wp:wrapTopAndBottom/>
            <wp:docPr id="58791992" name="Picture 3" descr="A graph of a construction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83247" name="Picture 3" descr="A graph of a construction project&#10;&#10;AI-generated content may be incorrec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636010" cy="2152650"/>
                    </a:xfrm>
                    <a:prstGeom prst="rect">
                      <a:avLst/>
                    </a:prstGeom>
                    <a:noFill/>
                    <a:ln>
                      <a:noFill/>
                    </a:ln>
                  </pic:spPr>
                </pic:pic>
              </a:graphicData>
            </a:graphic>
          </wp:anchor>
        </w:drawing>
      </w:r>
    </w:p>
    <w:p w14:paraId="416BDFCC" w14:textId="107A4233" w:rsidR="00F10FB9" w:rsidRPr="00EB6B04" w:rsidRDefault="00F10FB9" w:rsidP="00F10FB9">
      <w:pPr>
        <w:pStyle w:val="Caption"/>
        <w:jc w:val="center"/>
        <w:rPr>
          <w:noProof/>
          <w:sz w:val="20"/>
          <w:szCs w:val="14"/>
        </w:rPr>
      </w:pPr>
      <w:bookmarkStart w:id="662" w:name="_Ref211937126"/>
      <w:r w:rsidRPr="00AC4113">
        <w:rPr>
          <w:noProof/>
          <w:sz w:val="20"/>
          <w:szCs w:val="20"/>
        </w:rPr>
        <w:t xml:space="preserve">Figure </w:t>
      </w:r>
      <w:r w:rsidRPr="00AC4113">
        <w:rPr>
          <w:noProof/>
          <w:sz w:val="20"/>
          <w:szCs w:val="20"/>
        </w:rPr>
        <w:fldChar w:fldCharType="begin"/>
      </w:r>
      <w:r w:rsidRPr="00E05406">
        <w:rPr>
          <w:noProof/>
          <w:sz w:val="20"/>
          <w:szCs w:val="20"/>
        </w:rPr>
        <w:instrText xml:space="preserve"> SEQ Figure \* ARABIC </w:instrText>
      </w:r>
      <w:r w:rsidRPr="00AC4113">
        <w:rPr>
          <w:noProof/>
          <w:sz w:val="20"/>
          <w:szCs w:val="20"/>
        </w:rPr>
        <w:fldChar w:fldCharType="separate"/>
      </w:r>
      <w:r w:rsidR="00E16D65">
        <w:rPr>
          <w:noProof/>
          <w:sz w:val="20"/>
          <w:szCs w:val="20"/>
        </w:rPr>
        <w:t>22</w:t>
      </w:r>
      <w:r w:rsidRPr="00AC4113">
        <w:rPr>
          <w:noProof/>
          <w:sz w:val="20"/>
          <w:szCs w:val="20"/>
        </w:rPr>
        <w:fldChar w:fldCharType="end"/>
      </w:r>
      <w:bookmarkEnd w:id="662"/>
      <w:r w:rsidRPr="00AC4113">
        <w:rPr>
          <w:noProof/>
          <w:sz w:val="20"/>
          <w:szCs w:val="20"/>
        </w:rPr>
        <w:t>:</w:t>
      </w:r>
      <w:r w:rsidRPr="00EB6B04">
        <w:rPr>
          <w:noProof/>
          <w:sz w:val="20"/>
          <w:szCs w:val="14"/>
        </w:rPr>
        <w:t xml:space="preserve"> </w:t>
      </w:r>
      <w:r>
        <w:rPr>
          <w:noProof/>
          <w:sz w:val="20"/>
          <w:szCs w:val="14"/>
        </w:rPr>
        <w:t>Annual a</w:t>
      </w:r>
      <w:r w:rsidRPr="00EB6B04">
        <w:rPr>
          <w:noProof/>
          <w:sz w:val="20"/>
          <w:szCs w:val="14"/>
        </w:rPr>
        <w:t>nnouncements vs FIDs in EU steel projects (BNE</w:t>
      </w:r>
      <w:r w:rsidR="00BD5CD2">
        <w:rPr>
          <w:noProof/>
          <w:sz w:val="20"/>
          <w:szCs w:val="14"/>
        </w:rPr>
        <w:t>F</w:t>
      </w:r>
      <w:r w:rsidRPr="00EB6B04">
        <w:rPr>
          <w:noProof/>
          <w:sz w:val="20"/>
          <w:szCs w:val="14"/>
        </w:rPr>
        <w:t>, 2025)</w:t>
      </w:r>
    </w:p>
    <w:p w14:paraId="26BE86DC" w14:textId="33DFC88D" w:rsidR="00A316D9" w:rsidRPr="00FF63D1" w:rsidRDefault="686CBBA7" w:rsidP="00D17ADE">
      <w:pPr>
        <w:spacing w:before="240" w:after="120"/>
        <w:rPr>
          <w:noProof/>
        </w:rPr>
      </w:pPr>
      <w:r>
        <w:rPr>
          <w:noProof/>
        </w:rPr>
        <w:t>The remainder of this</w:t>
      </w:r>
      <w:r w:rsidR="67DAE1D5" w:rsidRPr="00FF63D1">
        <w:rPr>
          <w:noProof/>
        </w:rPr>
        <w:t xml:space="preserve"> </w:t>
      </w:r>
      <w:r w:rsidR="7B921800" w:rsidRPr="00FF63D1">
        <w:rPr>
          <w:noProof/>
        </w:rPr>
        <w:t>A</w:t>
      </w:r>
      <w:r w:rsidR="67DAE1D5" w:rsidRPr="00FF63D1">
        <w:rPr>
          <w:noProof/>
        </w:rPr>
        <w:t xml:space="preserve">nnex </w:t>
      </w:r>
      <w:r w:rsidR="0170B3E4" w:rsidRPr="00FF63D1">
        <w:rPr>
          <w:noProof/>
        </w:rPr>
        <w:t xml:space="preserve">provides </w:t>
      </w:r>
      <w:r w:rsidR="6BDC7B79" w:rsidRPr="00FF63D1">
        <w:rPr>
          <w:noProof/>
        </w:rPr>
        <w:t xml:space="preserve">the same methodology </w:t>
      </w:r>
      <w:r w:rsidR="0170B3E4" w:rsidRPr="00FF63D1">
        <w:rPr>
          <w:noProof/>
        </w:rPr>
        <w:t>more details</w:t>
      </w:r>
      <w:r w:rsidR="30A39269" w:rsidRPr="00FF63D1">
        <w:rPr>
          <w:noProof/>
        </w:rPr>
        <w:t xml:space="preserve"> for</w:t>
      </w:r>
      <w:r w:rsidR="67DAE1D5" w:rsidRPr="00FF63D1">
        <w:rPr>
          <w:noProof/>
        </w:rPr>
        <w:t xml:space="preserve"> aluminium, cement, and chemicals.</w:t>
      </w:r>
      <w:r w:rsidR="6BDC7B79" w:rsidRPr="00FF63D1">
        <w:rPr>
          <w:noProof/>
        </w:rPr>
        <w:t xml:space="preserve"> For each sector</w:t>
      </w:r>
      <w:r w:rsidR="2AE6CE37" w:rsidRPr="00FF63D1">
        <w:rPr>
          <w:noProof/>
        </w:rPr>
        <w:t xml:space="preserve">, the historical data (2005-2023) on production and emissions were compiled. Then, a linear extrapolation was performed on production, anchored in the 2023 value, using the slope </w:t>
      </w:r>
      <w:r w:rsidR="18252C70" w:rsidRPr="00FF63D1">
        <w:rPr>
          <w:noProof/>
        </w:rPr>
        <w:t>derived</w:t>
      </w:r>
      <w:r w:rsidR="2AE6CE37" w:rsidRPr="00FF63D1">
        <w:rPr>
          <w:noProof/>
        </w:rPr>
        <w:t xml:space="preserve"> from the historical regression. </w:t>
      </w:r>
      <w:r w:rsidR="6BDB24BB" w:rsidRPr="00FF63D1">
        <w:rPr>
          <w:noProof/>
        </w:rPr>
        <w:t>Emissions are not extrapolated, but taken directly from JRC model projections</w:t>
      </w:r>
      <w:r w:rsidR="00FC7EF1" w:rsidRPr="00FF63D1">
        <w:rPr>
          <w:rStyle w:val="FootnoteReference"/>
          <w:noProof/>
        </w:rPr>
        <w:footnoteReference w:id="550"/>
      </w:r>
      <w:r w:rsidR="6BDB24BB" w:rsidRPr="00FF63D1">
        <w:rPr>
          <w:noProof/>
        </w:rPr>
        <w:t>, which already capture technological assumptions and EU climate-policy consistency</w:t>
      </w:r>
      <w:r w:rsidR="2F406D1C" w:rsidRPr="00FF63D1">
        <w:rPr>
          <w:noProof/>
        </w:rPr>
        <w:t>. The</w:t>
      </w:r>
      <w:r w:rsidR="3BB511FE" w:rsidRPr="00FF63D1">
        <w:rPr>
          <w:noProof/>
        </w:rPr>
        <w:t>se are aligned with EU-wide climate-policy assumptions and the decarbonisation trajectory consistent with the EU Green Deal.</w:t>
      </w:r>
    </w:p>
    <w:p w14:paraId="6EB11619" w14:textId="159701A3" w:rsidR="001D309A" w:rsidRPr="00FF63D1" w:rsidRDefault="001D309A" w:rsidP="00BD5CD2">
      <w:pPr>
        <w:spacing w:after="120"/>
        <w:rPr>
          <w:noProof/>
        </w:rPr>
      </w:pPr>
      <w:r w:rsidRPr="00FF63D1">
        <w:rPr>
          <w:noProof/>
        </w:rPr>
        <w:t>This methodology ensures analytical consistency: extrapolated production trends capture the economic reality of EU industries under current investment conditions, while JRC projections provide the climate-policy reference for emission reductions. The resulting combination highlights the gap between policy-driven decarbonisation assumptions and market-driven industrial decline.</w:t>
      </w:r>
    </w:p>
    <w:p w14:paraId="38955F24" w14:textId="3090CE2C" w:rsidR="00DD12F6" w:rsidRPr="00020C03" w:rsidRDefault="00DD12F6" w:rsidP="00020C03">
      <w:pPr>
        <w:pStyle w:val="Heading3"/>
        <w:numPr>
          <w:ilvl w:val="0"/>
          <w:numId w:val="0"/>
        </w:numPr>
        <w:ind w:left="720"/>
        <w:rPr>
          <w:lang w:val="en-IE"/>
        </w:rPr>
      </w:pPr>
      <w:r w:rsidRPr="00020C03">
        <w:rPr>
          <w:b/>
        </w:rPr>
        <w:t>Aluminium</w:t>
      </w:r>
    </w:p>
    <w:p w14:paraId="14FF4337" w14:textId="1CE43DA5" w:rsidR="00462898" w:rsidRPr="00FF63D1" w:rsidRDefault="009430F4" w:rsidP="00AA73AD">
      <w:pPr>
        <w:spacing w:after="120"/>
        <w:rPr>
          <w:noProof/>
        </w:rPr>
      </w:pPr>
      <w:r w:rsidRPr="00FF63D1">
        <w:rPr>
          <w:noProof/>
        </w:rPr>
        <w:t xml:space="preserve">As shown in </w:t>
      </w:r>
      <w:r w:rsidR="00921155" w:rsidRPr="00DD2C61">
        <w:rPr>
          <w:noProof/>
          <w:szCs w:val="24"/>
        </w:rPr>
        <w:fldChar w:fldCharType="begin"/>
      </w:r>
      <w:r w:rsidR="00921155" w:rsidRPr="00DD2C61">
        <w:rPr>
          <w:noProof/>
          <w:szCs w:val="24"/>
        </w:rPr>
        <w:instrText xml:space="preserve"> REF _Ref211927157 \h </w:instrText>
      </w:r>
      <w:r w:rsidR="00DD2C61" w:rsidRPr="00DD2C61">
        <w:rPr>
          <w:noProof/>
          <w:szCs w:val="24"/>
        </w:rPr>
        <w:instrText xml:space="preserve"> \* MERGEFORMAT </w:instrText>
      </w:r>
      <w:r w:rsidR="00921155" w:rsidRPr="00DD2C61">
        <w:rPr>
          <w:noProof/>
          <w:szCs w:val="24"/>
        </w:rPr>
      </w:r>
      <w:r w:rsidR="00921155" w:rsidRPr="00DD2C61">
        <w:rPr>
          <w:noProof/>
          <w:szCs w:val="24"/>
        </w:rPr>
        <w:fldChar w:fldCharType="separate"/>
      </w:r>
      <w:r w:rsidR="00E16D65" w:rsidRPr="00E16D65">
        <w:rPr>
          <w:noProof/>
          <w:szCs w:val="24"/>
        </w:rPr>
        <w:t>Figure 23</w:t>
      </w:r>
      <w:r w:rsidR="00921155" w:rsidRPr="00DD2C61">
        <w:rPr>
          <w:noProof/>
          <w:szCs w:val="24"/>
        </w:rPr>
        <w:fldChar w:fldCharType="end"/>
      </w:r>
      <w:r w:rsidRPr="00FF63D1">
        <w:rPr>
          <w:noProof/>
        </w:rPr>
        <w:t xml:space="preserve">, EU primary aluminium production has fallen sharply, particularly since 2022, due to high electricity prices and limited access to affordable renewable energy. </w:t>
      </w:r>
      <w:r w:rsidR="001C12A5" w:rsidRPr="00FF63D1">
        <w:rPr>
          <w:noProof/>
        </w:rPr>
        <w:t xml:space="preserve"> </w:t>
      </w:r>
      <w:r w:rsidR="00F845FA">
        <w:rPr>
          <w:noProof/>
        </w:rPr>
        <w:t>I</w:t>
      </w:r>
      <w:r w:rsidR="001C12A5" w:rsidRPr="00FF63D1">
        <w:rPr>
          <w:noProof/>
        </w:rPr>
        <w:t xml:space="preserve">f </w:t>
      </w:r>
      <w:r w:rsidR="008E7852" w:rsidRPr="00FF63D1">
        <w:rPr>
          <w:noProof/>
        </w:rPr>
        <w:t>the current</w:t>
      </w:r>
      <w:r w:rsidR="001C12A5" w:rsidRPr="00FF63D1">
        <w:rPr>
          <w:noProof/>
        </w:rPr>
        <w:t xml:space="preserve"> </w:t>
      </w:r>
      <w:r w:rsidR="00A42559" w:rsidRPr="00FF63D1">
        <w:rPr>
          <w:noProof/>
        </w:rPr>
        <w:t xml:space="preserve">trend </w:t>
      </w:r>
      <w:r w:rsidR="00CB4412">
        <w:rPr>
          <w:noProof/>
        </w:rPr>
        <w:t>c</w:t>
      </w:r>
      <w:r w:rsidR="00036130">
        <w:rPr>
          <w:noProof/>
        </w:rPr>
        <w:t>ontinues</w:t>
      </w:r>
      <w:r w:rsidR="00CB4412">
        <w:rPr>
          <w:noProof/>
        </w:rPr>
        <w:t xml:space="preserve"> </w:t>
      </w:r>
      <w:r w:rsidR="00DA2BFE">
        <w:rPr>
          <w:noProof/>
        </w:rPr>
        <w:t>at the same</w:t>
      </w:r>
      <w:r w:rsidR="00B361C2">
        <w:rPr>
          <w:noProof/>
        </w:rPr>
        <w:t xml:space="preserve"> historical</w:t>
      </w:r>
      <w:r w:rsidR="00DA2BFE">
        <w:rPr>
          <w:noProof/>
        </w:rPr>
        <w:t xml:space="preserve"> rate</w:t>
      </w:r>
      <w:r w:rsidR="008E7852" w:rsidRPr="00FF63D1">
        <w:rPr>
          <w:noProof/>
        </w:rPr>
        <w:t>,</w:t>
      </w:r>
      <w:r w:rsidR="009B2CE9">
        <w:rPr>
          <w:noProof/>
        </w:rPr>
        <w:t xml:space="preserve"> marked by </w:t>
      </w:r>
      <w:r w:rsidR="00CE4BE4">
        <w:rPr>
          <w:noProof/>
        </w:rPr>
        <w:t>sustained cost pressures and no major new primary smelting capacity,</w:t>
      </w:r>
      <w:r w:rsidR="000C70B4" w:rsidRPr="00FF63D1">
        <w:rPr>
          <w:noProof/>
        </w:rPr>
        <w:t xml:space="preserve"> </w:t>
      </w:r>
      <w:r w:rsidR="001C12A5" w:rsidRPr="00FF63D1">
        <w:rPr>
          <w:noProof/>
        </w:rPr>
        <w:t xml:space="preserve">Europe </w:t>
      </w:r>
      <w:r w:rsidR="00480C61">
        <w:rPr>
          <w:noProof/>
        </w:rPr>
        <w:t>would</w:t>
      </w:r>
      <w:r w:rsidR="00A42559" w:rsidRPr="00FF63D1">
        <w:rPr>
          <w:noProof/>
        </w:rPr>
        <w:t xml:space="preserve"> </w:t>
      </w:r>
      <w:r w:rsidR="00541BFE" w:rsidRPr="00FF63D1">
        <w:rPr>
          <w:noProof/>
        </w:rPr>
        <w:t xml:space="preserve">lose </w:t>
      </w:r>
      <w:r w:rsidR="008E7852" w:rsidRPr="00FF63D1">
        <w:rPr>
          <w:noProof/>
        </w:rPr>
        <w:t>approximately 42%</w:t>
      </w:r>
      <w:r w:rsidR="00A42559" w:rsidRPr="00FF63D1">
        <w:rPr>
          <w:noProof/>
        </w:rPr>
        <w:t xml:space="preserve"> </w:t>
      </w:r>
      <w:r w:rsidR="00541BFE" w:rsidRPr="00FF63D1">
        <w:rPr>
          <w:noProof/>
        </w:rPr>
        <w:t>of</w:t>
      </w:r>
      <w:r w:rsidR="00A42559" w:rsidRPr="00FF63D1">
        <w:rPr>
          <w:noProof/>
        </w:rPr>
        <w:t xml:space="preserve"> its </w:t>
      </w:r>
      <w:r w:rsidR="00541BFE" w:rsidRPr="00FF63D1">
        <w:rPr>
          <w:noProof/>
        </w:rPr>
        <w:t xml:space="preserve">aluminium production </w:t>
      </w:r>
      <w:r w:rsidR="00466510" w:rsidRPr="00FF63D1">
        <w:rPr>
          <w:noProof/>
        </w:rPr>
        <w:t>by 2050</w:t>
      </w:r>
      <w:r w:rsidR="00541BFE" w:rsidRPr="00FF63D1">
        <w:rPr>
          <w:noProof/>
        </w:rPr>
        <w:t xml:space="preserve">. </w:t>
      </w:r>
      <w:r w:rsidRPr="00FF63D1">
        <w:rPr>
          <w:noProof/>
        </w:rPr>
        <w:t>The JRC emission pathway shows a more pronounced reduction, driven by assumed electrification and efficiency improvements. The resulting gap indicates that, without further support, EU aluminium may decarbonise statistically only because production declines, not because cleaner processes are deployed.</w:t>
      </w:r>
    </w:p>
    <w:p w14:paraId="35624BAA" w14:textId="0688C180" w:rsidR="00462898" w:rsidRPr="00FF63D1" w:rsidRDefault="00462898" w:rsidP="008A0BFF">
      <w:pPr>
        <w:keepNext/>
        <w:rPr>
          <w:noProof/>
        </w:rPr>
      </w:pPr>
    </w:p>
    <w:p w14:paraId="2AA0FB44" w14:textId="0577F522" w:rsidR="00F45695" w:rsidRPr="00FF63D1" w:rsidRDefault="00F45695" w:rsidP="00020C03">
      <w:pPr>
        <w:keepNext/>
        <w:jc w:val="center"/>
        <w:rPr>
          <w:noProof/>
        </w:rPr>
      </w:pPr>
      <w:r w:rsidRPr="0054474F">
        <w:rPr>
          <w:noProof/>
          <w:lang w:eastAsia="en-GB"/>
        </w:rPr>
        <w:drawing>
          <wp:inline distT="0" distB="0" distL="0" distR="0" wp14:anchorId="5EE78C62" wp14:editId="6167EE17">
            <wp:extent cx="5708015" cy="2817861"/>
            <wp:effectExtent l="0" t="0" r="6985" b="1905"/>
            <wp:docPr id="1174255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39475" cy="2833392"/>
                    </a:xfrm>
                    <a:prstGeom prst="rect">
                      <a:avLst/>
                    </a:prstGeom>
                    <a:noFill/>
                  </pic:spPr>
                </pic:pic>
              </a:graphicData>
            </a:graphic>
          </wp:inline>
        </w:drawing>
      </w:r>
    </w:p>
    <w:p w14:paraId="63412DEE" w14:textId="1A7E50CE" w:rsidR="00DD12F6" w:rsidRPr="005754F4" w:rsidRDefault="00462898" w:rsidP="00AA6B32">
      <w:pPr>
        <w:pStyle w:val="Caption"/>
        <w:jc w:val="center"/>
        <w:rPr>
          <w:noProof/>
          <w:sz w:val="20"/>
          <w:szCs w:val="14"/>
        </w:rPr>
      </w:pPr>
      <w:bookmarkStart w:id="663" w:name="_Ref211927157"/>
      <w:r w:rsidRPr="005754F4">
        <w:rPr>
          <w:noProof/>
          <w:sz w:val="20"/>
          <w:szCs w:val="14"/>
        </w:rPr>
        <w:t xml:space="preserve">Figure </w:t>
      </w:r>
      <w:r w:rsidRPr="005754F4">
        <w:rPr>
          <w:noProof/>
          <w:sz w:val="20"/>
          <w:szCs w:val="14"/>
        </w:rPr>
        <w:fldChar w:fldCharType="begin"/>
      </w:r>
      <w:r w:rsidRPr="005754F4">
        <w:rPr>
          <w:noProof/>
          <w:sz w:val="20"/>
          <w:szCs w:val="14"/>
        </w:rPr>
        <w:instrText xml:space="preserve"> SEQ Figure \* ARABIC </w:instrText>
      </w:r>
      <w:r w:rsidRPr="005754F4">
        <w:rPr>
          <w:noProof/>
          <w:sz w:val="20"/>
          <w:szCs w:val="14"/>
        </w:rPr>
        <w:fldChar w:fldCharType="separate"/>
      </w:r>
      <w:r w:rsidR="00E16D65">
        <w:rPr>
          <w:noProof/>
          <w:sz w:val="20"/>
          <w:szCs w:val="14"/>
        </w:rPr>
        <w:t>23</w:t>
      </w:r>
      <w:r w:rsidRPr="005754F4">
        <w:rPr>
          <w:noProof/>
          <w:sz w:val="20"/>
          <w:szCs w:val="14"/>
        </w:rPr>
        <w:fldChar w:fldCharType="end"/>
      </w:r>
      <w:bookmarkEnd w:id="663"/>
      <w:r w:rsidR="00DD2C61">
        <w:rPr>
          <w:noProof/>
          <w:sz w:val="20"/>
          <w:szCs w:val="14"/>
        </w:rPr>
        <w:t>:</w:t>
      </w:r>
      <w:r w:rsidRPr="005754F4">
        <w:rPr>
          <w:noProof/>
          <w:sz w:val="20"/>
          <w:szCs w:val="14"/>
        </w:rPr>
        <w:t xml:space="preserve"> </w:t>
      </w:r>
      <w:bookmarkStart w:id="664" w:name="_Hlk211690007"/>
      <w:r w:rsidRPr="005754F4">
        <w:rPr>
          <w:noProof/>
          <w:sz w:val="20"/>
          <w:szCs w:val="14"/>
        </w:rPr>
        <w:t>Aluminium: production and CO₂ emissions including projection pathways</w:t>
      </w:r>
      <w:bookmarkEnd w:id="664"/>
      <w:r w:rsidR="00AA6B32">
        <w:rPr>
          <w:noProof/>
          <w:sz w:val="20"/>
          <w:szCs w:val="14"/>
        </w:rPr>
        <w:t>. JRC analysis, based on IDEES and JRC CETO 2025</w:t>
      </w:r>
    </w:p>
    <w:p w14:paraId="5DDBEC12" w14:textId="77777777" w:rsidR="00462898" w:rsidRPr="00FF63D1" w:rsidRDefault="00462898" w:rsidP="00462898">
      <w:pPr>
        <w:rPr>
          <w:noProof/>
        </w:rPr>
      </w:pPr>
    </w:p>
    <w:p w14:paraId="31FD0B85" w14:textId="21E67179" w:rsidR="00B22AEE" w:rsidRPr="00D17ADE" w:rsidRDefault="00B22AEE" w:rsidP="00D17ADE">
      <w:pPr>
        <w:pStyle w:val="Heading3"/>
        <w:numPr>
          <w:ilvl w:val="0"/>
          <w:numId w:val="0"/>
        </w:numPr>
        <w:ind w:firstLine="720"/>
        <w:rPr>
          <w:lang w:val="en-IE"/>
        </w:rPr>
      </w:pPr>
      <w:r w:rsidRPr="00020C03">
        <w:rPr>
          <w:b/>
        </w:rPr>
        <w:t>Cement</w:t>
      </w:r>
    </w:p>
    <w:p w14:paraId="5DFC7B22" w14:textId="23D0AC4B" w:rsidR="007611F8" w:rsidRPr="00FF63D1" w:rsidRDefault="00F607AE" w:rsidP="00E6737B">
      <w:pPr>
        <w:spacing w:after="120"/>
        <w:rPr>
          <w:noProof/>
        </w:rPr>
      </w:pPr>
      <w:r w:rsidRPr="00FF63D1">
        <w:rPr>
          <w:noProof/>
        </w:rPr>
        <w:t xml:space="preserve">As shown in </w:t>
      </w:r>
      <w:r w:rsidR="00921155" w:rsidRPr="00DD2C61">
        <w:rPr>
          <w:noProof/>
          <w:szCs w:val="24"/>
        </w:rPr>
        <w:fldChar w:fldCharType="begin"/>
      </w:r>
      <w:r w:rsidR="00921155" w:rsidRPr="00DD2C61">
        <w:rPr>
          <w:noProof/>
          <w:szCs w:val="24"/>
        </w:rPr>
        <w:instrText xml:space="preserve"> REF _Ref211927132 \h </w:instrText>
      </w:r>
      <w:r w:rsidR="00DD2C61">
        <w:rPr>
          <w:noProof/>
          <w:szCs w:val="24"/>
        </w:rPr>
        <w:instrText xml:space="preserve"> \* MERGEFORMAT </w:instrText>
      </w:r>
      <w:r w:rsidR="00921155" w:rsidRPr="00DD2C61">
        <w:rPr>
          <w:noProof/>
          <w:szCs w:val="24"/>
        </w:rPr>
      </w:r>
      <w:r w:rsidR="00921155" w:rsidRPr="00DD2C61">
        <w:rPr>
          <w:noProof/>
          <w:szCs w:val="24"/>
        </w:rPr>
        <w:fldChar w:fldCharType="separate"/>
      </w:r>
      <w:r w:rsidR="00E16D65" w:rsidRPr="00370250">
        <w:rPr>
          <w:noProof/>
          <w:szCs w:val="24"/>
        </w:rPr>
        <w:t xml:space="preserve">Figure </w:t>
      </w:r>
      <w:r w:rsidR="00E16D65" w:rsidRPr="00E6737B">
        <w:rPr>
          <w:noProof/>
          <w:szCs w:val="24"/>
        </w:rPr>
        <w:t>24</w:t>
      </w:r>
      <w:r w:rsidR="00921155" w:rsidRPr="00DD2C61">
        <w:rPr>
          <w:noProof/>
          <w:szCs w:val="24"/>
        </w:rPr>
        <w:fldChar w:fldCharType="end"/>
      </w:r>
      <w:r w:rsidRPr="00FF63D1">
        <w:rPr>
          <w:noProof/>
        </w:rPr>
        <w:t xml:space="preserve">, cement production and emissions have historically evolved together, with modest efficiency improvements but limited process innovation. </w:t>
      </w:r>
      <w:r w:rsidR="00F06820">
        <w:rPr>
          <w:noProof/>
        </w:rPr>
        <w:t>If the trend continues</w:t>
      </w:r>
      <w:r w:rsidR="00846F19">
        <w:rPr>
          <w:noProof/>
        </w:rPr>
        <w:t xml:space="preserve">, </w:t>
      </w:r>
      <w:r w:rsidR="00C11BF6">
        <w:rPr>
          <w:noProof/>
        </w:rPr>
        <w:t>the</w:t>
      </w:r>
      <w:r w:rsidRPr="00FF63D1">
        <w:rPr>
          <w:noProof/>
        </w:rPr>
        <w:t xml:space="preserve"> </w:t>
      </w:r>
      <w:r w:rsidR="00F06820">
        <w:rPr>
          <w:noProof/>
        </w:rPr>
        <w:t xml:space="preserve">production projection, </w:t>
      </w:r>
      <w:r w:rsidRPr="00FF63D1">
        <w:rPr>
          <w:noProof/>
        </w:rPr>
        <w:t xml:space="preserve">extrapolated </w:t>
      </w:r>
      <w:r w:rsidR="00F06820">
        <w:rPr>
          <w:noProof/>
        </w:rPr>
        <w:t>from historical data,</w:t>
      </w:r>
      <w:r w:rsidRPr="00FF63D1">
        <w:rPr>
          <w:noProof/>
        </w:rPr>
        <w:t xml:space="preserve"> </w:t>
      </w:r>
      <w:r w:rsidR="00176868" w:rsidRPr="00FF63D1">
        <w:rPr>
          <w:noProof/>
        </w:rPr>
        <w:t>suggests</w:t>
      </w:r>
      <w:r w:rsidR="007611F8" w:rsidRPr="00FF63D1">
        <w:rPr>
          <w:noProof/>
        </w:rPr>
        <w:t xml:space="preserve"> a </w:t>
      </w:r>
      <w:r w:rsidR="00176868" w:rsidRPr="00FF63D1">
        <w:rPr>
          <w:noProof/>
        </w:rPr>
        <w:t xml:space="preserve">substantial 73% by 2050 compared </w:t>
      </w:r>
      <w:r w:rsidR="00687987" w:rsidRPr="00FF63D1">
        <w:rPr>
          <w:noProof/>
        </w:rPr>
        <w:t xml:space="preserve">to </w:t>
      </w:r>
      <w:r w:rsidR="00F019C5" w:rsidRPr="00FF63D1">
        <w:rPr>
          <w:noProof/>
        </w:rPr>
        <w:t>the 2023</w:t>
      </w:r>
      <w:r w:rsidR="005532EC" w:rsidRPr="00FF63D1">
        <w:rPr>
          <w:noProof/>
        </w:rPr>
        <w:t xml:space="preserve"> baseline</w:t>
      </w:r>
      <w:r w:rsidR="00176868" w:rsidRPr="00FF63D1">
        <w:rPr>
          <w:noProof/>
        </w:rPr>
        <w:t>.</w:t>
      </w:r>
    </w:p>
    <w:p w14:paraId="32074924" w14:textId="3816CE7E" w:rsidR="009F4335" w:rsidRPr="00FF63D1" w:rsidRDefault="00F607AE" w:rsidP="00B22AEE">
      <w:pPr>
        <w:rPr>
          <w:noProof/>
        </w:rPr>
      </w:pPr>
      <w:r w:rsidRPr="00FF63D1">
        <w:rPr>
          <w:noProof/>
        </w:rPr>
        <w:t>In contrast, the JRC emission projection assumes wider fuel substitution and gradual introduction of carbon capture, leading to a faster decline. This highlights the growing gap between modelled decarbonisation potential and the sector’s limited investment reality.</w:t>
      </w:r>
    </w:p>
    <w:p w14:paraId="47CFD9EE" w14:textId="39C9CF14" w:rsidR="00384849" w:rsidRPr="00FF63D1" w:rsidRDefault="00384849" w:rsidP="008A0BFF">
      <w:pPr>
        <w:keepNext/>
        <w:rPr>
          <w:noProof/>
        </w:rPr>
      </w:pPr>
    </w:p>
    <w:p w14:paraId="1D38A846" w14:textId="1CA5CF2C" w:rsidR="00174FB7" w:rsidRPr="00FF63D1" w:rsidRDefault="007463BA" w:rsidP="00020C03">
      <w:pPr>
        <w:keepNext/>
        <w:jc w:val="center"/>
        <w:rPr>
          <w:noProof/>
        </w:rPr>
      </w:pPr>
      <w:r w:rsidRPr="0054474F">
        <w:rPr>
          <w:noProof/>
          <w:lang w:eastAsia="en-GB"/>
        </w:rPr>
        <w:drawing>
          <wp:inline distT="0" distB="0" distL="0" distR="0" wp14:anchorId="18902A4D" wp14:editId="389DC6BA">
            <wp:extent cx="5454650" cy="3040952"/>
            <wp:effectExtent l="0" t="0" r="0" b="7620"/>
            <wp:docPr id="1597802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468726" cy="3048799"/>
                    </a:xfrm>
                    <a:prstGeom prst="rect">
                      <a:avLst/>
                    </a:prstGeom>
                    <a:noFill/>
                  </pic:spPr>
                </pic:pic>
              </a:graphicData>
            </a:graphic>
          </wp:inline>
        </w:drawing>
      </w:r>
    </w:p>
    <w:p w14:paraId="31D26A32" w14:textId="442AF840" w:rsidR="009F4335" w:rsidRPr="005754F4" w:rsidRDefault="00174FB7" w:rsidP="008A0BFF">
      <w:pPr>
        <w:pStyle w:val="Caption"/>
        <w:jc w:val="center"/>
        <w:rPr>
          <w:noProof/>
          <w:sz w:val="20"/>
          <w:szCs w:val="14"/>
        </w:rPr>
      </w:pPr>
      <w:bookmarkStart w:id="665" w:name="_Ref211927132"/>
      <w:bookmarkStart w:id="666" w:name="_Ref212569952"/>
      <w:r w:rsidRPr="005754F4">
        <w:rPr>
          <w:noProof/>
          <w:sz w:val="20"/>
          <w:szCs w:val="14"/>
        </w:rPr>
        <w:t xml:space="preserve">Figure </w:t>
      </w:r>
      <w:r w:rsidRPr="005754F4">
        <w:rPr>
          <w:noProof/>
          <w:sz w:val="20"/>
          <w:szCs w:val="14"/>
        </w:rPr>
        <w:fldChar w:fldCharType="begin"/>
      </w:r>
      <w:r w:rsidRPr="005754F4">
        <w:rPr>
          <w:noProof/>
          <w:sz w:val="20"/>
          <w:szCs w:val="14"/>
        </w:rPr>
        <w:instrText xml:space="preserve"> SEQ Figure \* ARABIC </w:instrText>
      </w:r>
      <w:r w:rsidRPr="005754F4">
        <w:rPr>
          <w:noProof/>
          <w:sz w:val="20"/>
          <w:szCs w:val="14"/>
        </w:rPr>
        <w:fldChar w:fldCharType="separate"/>
      </w:r>
      <w:r w:rsidR="00E16D65">
        <w:rPr>
          <w:noProof/>
          <w:sz w:val="20"/>
          <w:szCs w:val="14"/>
        </w:rPr>
        <w:t>24</w:t>
      </w:r>
      <w:r w:rsidRPr="005754F4">
        <w:rPr>
          <w:noProof/>
          <w:sz w:val="20"/>
          <w:szCs w:val="14"/>
        </w:rPr>
        <w:fldChar w:fldCharType="end"/>
      </w:r>
      <w:bookmarkEnd w:id="665"/>
      <w:r w:rsidR="00DD2C61">
        <w:rPr>
          <w:noProof/>
          <w:sz w:val="20"/>
          <w:szCs w:val="14"/>
        </w:rPr>
        <w:t>:</w:t>
      </w:r>
      <w:r w:rsidRPr="005754F4">
        <w:rPr>
          <w:noProof/>
          <w:sz w:val="20"/>
          <w:szCs w:val="14"/>
        </w:rPr>
        <w:t xml:space="preserve"> Cement: production and CO₂ emissions including projection pathways</w:t>
      </w:r>
      <w:bookmarkEnd w:id="666"/>
    </w:p>
    <w:p w14:paraId="1B3013E6" w14:textId="77777777" w:rsidR="00662039" w:rsidRPr="00FF63D1" w:rsidRDefault="00662039" w:rsidP="00A316D9">
      <w:pPr>
        <w:rPr>
          <w:noProof/>
        </w:rPr>
      </w:pPr>
    </w:p>
    <w:p w14:paraId="15B16CD3" w14:textId="0D48ABF0" w:rsidR="00FC60F2" w:rsidRPr="00D17ADE" w:rsidRDefault="00FC60F2" w:rsidP="00D17ADE">
      <w:pPr>
        <w:pStyle w:val="Heading3"/>
        <w:numPr>
          <w:ilvl w:val="0"/>
          <w:numId w:val="0"/>
        </w:numPr>
        <w:ind w:left="720"/>
        <w:rPr>
          <w:lang w:val="en-IE"/>
        </w:rPr>
      </w:pPr>
      <w:r w:rsidRPr="00020C03">
        <w:rPr>
          <w:b/>
        </w:rPr>
        <w:t>Chemicals</w:t>
      </w:r>
    </w:p>
    <w:p w14:paraId="24A684EE" w14:textId="480F55B8" w:rsidR="00F70919" w:rsidRPr="00FF63D1" w:rsidRDefault="00490DF8" w:rsidP="00490DF8">
      <w:pPr>
        <w:keepNext/>
        <w:rPr>
          <w:noProof/>
        </w:rPr>
      </w:pPr>
      <w:r w:rsidRPr="00FF63D1">
        <w:rPr>
          <w:noProof/>
        </w:rPr>
        <w:t xml:space="preserve">As shown in </w:t>
      </w:r>
      <w:r w:rsidR="00566260" w:rsidRPr="00FF63D1">
        <w:rPr>
          <w:noProof/>
        </w:rPr>
        <w:fldChar w:fldCharType="begin"/>
      </w:r>
      <w:r w:rsidR="00566260" w:rsidRPr="00FF63D1">
        <w:rPr>
          <w:noProof/>
        </w:rPr>
        <w:instrText xml:space="preserve"> REF _Ref211927096 \h </w:instrText>
      </w:r>
      <w:r w:rsidR="00566260" w:rsidRPr="00FF63D1">
        <w:rPr>
          <w:noProof/>
        </w:rPr>
      </w:r>
      <w:r w:rsidR="00566260" w:rsidRPr="00FF63D1">
        <w:rPr>
          <w:noProof/>
        </w:rPr>
        <w:fldChar w:fldCharType="separate"/>
      </w:r>
      <w:r w:rsidR="00E16D65" w:rsidRPr="005754F4">
        <w:rPr>
          <w:noProof/>
          <w:sz w:val="20"/>
          <w:szCs w:val="14"/>
        </w:rPr>
        <w:t xml:space="preserve">Figure </w:t>
      </w:r>
      <w:r w:rsidR="00E16D65">
        <w:rPr>
          <w:noProof/>
          <w:sz w:val="20"/>
          <w:szCs w:val="14"/>
        </w:rPr>
        <w:t>25</w:t>
      </w:r>
      <w:r w:rsidR="00566260" w:rsidRPr="00FF63D1">
        <w:rPr>
          <w:noProof/>
        </w:rPr>
        <w:fldChar w:fldCharType="end"/>
      </w:r>
      <w:r w:rsidRPr="00FF63D1">
        <w:rPr>
          <w:noProof/>
        </w:rPr>
        <w:t>, the chemical sector presents a mixed picture. While aggregate output has remained broadly stable since 2005, this masks a structural shift within the sector. Production of basic chemicals has declined or relocated outside the EU, driven by high energy and gas prices, limited feedstock availability and stronger global competition. At the same time, specialty and downstream chemical segments have remained relatively resilient but account for a much smaller share of total energy use and emissions.</w:t>
      </w:r>
      <w:r w:rsidR="003D1CD3">
        <w:rPr>
          <w:noProof/>
        </w:rPr>
        <w:t xml:space="preserve"> </w:t>
      </w:r>
      <w:r w:rsidRPr="00FF63D1">
        <w:rPr>
          <w:noProof/>
        </w:rPr>
        <w:t>The extrapolated projection therefore assumes a continuation of this dual trend: gradual contraction of energy-intensive base chemicals combined with modest growth in lower-emission, higher-value segments. As a result, overall industrial output decreases slowly, and aggregate emissions decline only moderately.</w:t>
      </w:r>
      <w:r w:rsidR="00135BA0">
        <w:rPr>
          <w:noProof/>
        </w:rPr>
        <w:t xml:space="preserve"> </w:t>
      </w:r>
      <w:r w:rsidRPr="00FF63D1">
        <w:rPr>
          <w:noProof/>
        </w:rPr>
        <w:t>By contrast, the JRC emission projection reflects a policy-consistent decarbonisation path, assuming large-scale electrification of process heat, adoption of alternative feedstocks (such as green hydrogen), and wider deployment of carbon-management technologies. The divergence between the extrapolated and modelled trends highlights the sector’s core challenge: under current conditions, emission reductions are achieved mainly by reducing production of basic chemicals, not by transforming production technologies at scale.</w:t>
      </w:r>
    </w:p>
    <w:p w14:paraId="664FC5E8" w14:textId="77777777" w:rsidR="00CA62E8" w:rsidRPr="00FF63D1" w:rsidRDefault="00CA62E8" w:rsidP="00490DF8">
      <w:pPr>
        <w:keepNext/>
        <w:rPr>
          <w:noProof/>
        </w:rPr>
      </w:pPr>
    </w:p>
    <w:p w14:paraId="7FB3C253" w14:textId="6F03446D" w:rsidR="00051E96" w:rsidRPr="00FF63D1" w:rsidRDefault="00051E96" w:rsidP="00020C03">
      <w:pPr>
        <w:keepNext/>
        <w:jc w:val="center"/>
        <w:rPr>
          <w:noProof/>
        </w:rPr>
      </w:pPr>
      <w:r w:rsidRPr="0054474F">
        <w:rPr>
          <w:noProof/>
          <w:lang w:eastAsia="en-GB"/>
        </w:rPr>
        <w:drawing>
          <wp:inline distT="0" distB="0" distL="0" distR="0" wp14:anchorId="4DB43BD6" wp14:editId="1C11E0A5">
            <wp:extent cx="5756910" cy="3164443"/>
            <wp:effectExtent l="0" t="0" r="0" b="0"/>
            <wp:docPr id="21003551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79971" cy="3177119"/>
                    </a:xfrm>
                    <a:prstGeom prst="rect">
                      <a:avLst/>
                    </a:prstGeom>
                    <a:noFill/>
                  </pic:spPr>
                </pic:pic>
              </a:graphicData>
            </a:graphic>
          </wp:inline>
        </w:drawing>
      </w:r>
    </w:p>
    <w:p w14:paraId="08D476A7" w14:textId="470B3EF4" w:rsidR="00F70919" w:rsidRPr="005754F4" w:rsidRDefault="00F70919" w:rsidP="008A0BFF">
      <w:pPr>
        <w:pStyle w:val="Caption"/>
        <w:jc w:val="center"/>
        <w:rPr>
          <w:noProof/>
          <w:sz w:val="20"/>
          <w:szCs w:val="14"/>
        </w:rPr>
      </w:pPr>
      <w:bookmarkStart w:id="667" w:name="_Ref211927096"/>
      <w:r w:rsidRPr="005754F4">
        <w:rPr>
          <w:noProof/>
          <w:sz w:val="20"/>
          <w:szCs w:val="14"/>
        </w:rPr>
        <w:t xml:space="preserve">Figure </w:t>
      </w:r>
      <w:r w:rsidRPr="005754F4">
        <w:rPr>
          <w:noProof/>
          <w:sz w:val="20"/>
          <w:szCs w:val="14"/>
        </w:rPr>
        <w:fldChar w:fldCharType="begin"/>
      </w:r>
      <w:r w:rsidRPr="005754F4">
        <w:rPr>
          <w:noProof/>
          <w:sz w:val="20"/>
          <w:szCs w:val="14"/>
        </w:rPr>
        <w:instrText xml:space="preserve"> SEQ Figure \* ARABIC </w:instrText>
      </w:r>
      <w:r w:rsidRPr="005754F4">
        <w:rPr>
          <w:noProof/>
          <w:sz w:val="20"/>
          <w:szCs w:val="14"/>
        </w:rPr>
        <w:fldChar w:fldCharType="separate"/>
      </w:r>
      <w:r w:rsidR="00E16D65">
        <w:rPr>
          <w:noProof/>
          <w:sz w:val="20"/>
          <w:szCs w:val="14"/>
        </w:rPr>
        <w:t>25</w:t>
      </w:r>
      <w:r w:rsidRPr="005754F4">
        <w:rPr>
          <w:noProof/>
          <w:sz w:val="20"/>
          <w:szCs w:val="14"/>
        </w:rPr>
        <w:fldChar w:fldCharType="end"/>
      </w:r>
      <w:bookmarkEnd w:id="667"/>
      <w:r w:rsidRPr="005754F4">
        <w:rPr>
          <w:noProof/>
          <w:sz w:val="20"/>
          <w:szCs w:val="14"/>
        </w:rPr>
        <w:t xml:space="preserve"> Chemicals production and CO₂ emissions including projection pathways</w:t>
      </w:r>
      <w:r w:rsidR="00EE5011">
        <w:rPr>
          <w:noProof/>
          <w:sz w:val="20"/>
          <w:szCs w:val="14"/>
        </w:rPr>
        <w:t>. JRC analysis, based on IDEES and JRC CETO 2025</w:t>
      </w:r>
    </w:p>
    <w:p w14:paraId="591530FC" w14:textId="77777777" w:rsidR="00DA1211" w:rsidRPr="00FF63D1" w:rsidRDefault="00DA1211" w:rsidP="00F552F0">
      <w:pPr>
        <w:rPr>
          <w:b/>
          <w:noProof/>
        </w:rPr>
      </w:pPr>
    </w:p>
    <w:p w14:paraId="71B8DC64" w14:textId="26ABFC09" w:rsidR="009E24FA" w:rsidRPr="00FF63D1" w:rsidRDefault="00531890" w:rsidP="00F552F0">
      <w:pPr>
        <w:rPr>
          <w:noProof/>
        </w:rPr>
      </w:pPr>
      <w:r w:rsidRPr="00FF63D1">
        <w:rPr>
          <w:b/>
          <w:noProof/>
        </w:rPr>
        <w:t>Driver 1/</w:t>
      </w:r>
      <w:r w:rsidR="00FF06EE" w:rsidRPr="00FF63D1">
        <w:rPr>
          <w:b/>
          <w:noProof/>
        </w:rPr>
        <w:t>SP1/</w:t>
      </w:r>
      <w:r w:rsidR="009E24FA" w:rsidRPr="00FF63D1">
        <w:rPr>
          <w:b/>
          <w:noProof/>
        </w:rPr>
        <w:t xml:space="preserve">SO1: </w:t>
      </w:r>
      <w:r w:rsidR="00C356D7" w:rsidRPr="00FF63D1">
        <w:rPr>
          <w:b/>
          <w:noProof/>
        </w:rPr>
        <w:t>Challenges in distinguishing low-carbon industrial products from high-carbon alternatives</w:t>
      </w:r>
      <w:r w:rsidR="009E24FA" w:rsidRPr="00FF63D1">
        <w:rPr>
          <w:b/>
          <w:noProof/>
        </w:rPr>
        <w:t xml:space="preserve">: </w:t>
      </w:r>
      <w:r w:rsidR="009E24FA" w:rsidRPr="00FF63D1">
        <w:rPr>
          <w:noProof/>
        </w:rPr>
        <w:t xml:space="preserve">The baseline scenario would result in no common definition, methodologies or minimum threshold for low-carbon industrial products. Under the </w:t>
      </w:r>
      <w:r w:rsidR="009E24FA" w:rsidRPr="00FF63D1">
        <w:rPr>
          <w:rFonts w:eastAsia="Times New Roman"/>
          <w:noProof/>
        </w:rPr>
        <w:t>ESPR</w:t>
      </w:r>
      <w:r w:rsidR="009E24FA" w:rsidRPr="00FF63D1">
        <w:rPr>
          <w:noProof/>
        </w:rPr>
        <w:t xml:space="preserve">, there is a mandate to set specific performance and/or information requirements e.g., on the environmental and/or carbon footprint of a product from a life-cycle perspective, as conditions to place products on the market. These mandatory requirements, when in place, will certainly help to provide comprehensive information to customers and, potentially, performance at products level, e.g. steel containing products. Regarding the specific case of cement, </w:t>
      </w:r>
      <w:r w:rsidR="009E24FA" w:rsidRPr="00FF63D1">
        <w:rPr>
          <w:rFonts w:eastAsia="Times New Roman"/>
          <w:noProof/>
        </w:rPr>
        <w:t xml:space="preserve">as announced in the Clean Industrial Deal, the CPR will introduce </w:t>
      </w:r>
      <w:r w:rsidR="009E24FA" w:rsidRPr="00FF63D1">
        <w:rPr>
          <w:noProof/>
        </w:rPr>
        <w:t xml:space="preserve">a label for cement in 2027 when the new – to be developed – harmonised standard will be made mandatory. However, </w:t>
      </w:r>
      <w:r w:rsidR="009E24FA" w:rsidRPr="00FF63D1">
        <w:rPr>
          <w:rFonts w:eastAsia="Times New Roman"/>
          <w:noProof/>
        </w:rPr>
        <w:t>current rules do not have specific obligation on the public procurement side,</w:t>
      </w:r>
      <w:r w:rsidR="009E24FA" w:rsidRPr="00FF63D1">
        <w:rPr>
          <w:noProof/>
        </w:rPr>
        <w:t xml:space="preserve"> nor introduce minimum performance requirements.</w:t>
      </w:r>
    </w:p>
    <w:p w14:paraId="5BEBE3A9" w14:textId="77777777" w:rsidR="009E24FA" w:rsidRPr="00FF63D1" w:rsidRDefault="009E24FA" w:rsidP="00EF4C6C">
      <w:pPr>
        <w:rPr>
          <w:b/>
          <w:noProof/>
        </w:rPr>
      </w:pPr>
    </w:p>
    <w:p w14:paraId="0389A3A3" w14:textId="00B57F96" w:rsidR="009E24FA" w:rsidRPr="00FF63D1" w:rsidRDefault="74346C64" w:rsidP="00EF4C6C">
      <w:pPr>
        <w:spacing w:after="120"/>
        <w:rPr>
          <w:noProof/>
        </w:rPr>
      </w:pPr>
      <w:r w:rsidRPr="1A2A8689">
        <w:rPr>
          <w:b/>
          <w:bCs/>
          <w:noProof/>
        </w:rPr>
        <w:t>Driver 2/SP1/</w:t>
      </w:r>
      <w:r w:rsidR="5D34DE17" w:rsidRPr="1A2A8689">
        <w:rPr>
          <w:b/>
          <w:bCs/>
          <w:noProof/>
        </w:rPr>
        <w:t xml:space="preserve">SO2: </w:t>
      </w:r>
      <w:r w:rsidR="708BF5F2" w:rsidRPr="1A2A8689">
        <w:rPr>
          <w:b/>
          <w:bCs/>
          <w:noProof/>
        </w:rPr>
        <w:t>Limited willingness to pay a premium for low-carbon industrial products</w:t>
      </w:r>
      <w:r w:rsidR="280C1E3E" w:rsidRPr="1A2A8689">
        <w:rPr>
          <w:b/>
          <w:bCs/>
          <w:noProof/>
        </w:rPr>
        <w:t>:</w:t>
      </w:r>
      <w:r w:rsidR="5D34DE17" w:rsidRPr="00FF63D1">
        <w:rPr>
          <w:noProof/>
        </w:rPr>
        <w:t xml:space="preserve"> While existing public procurement rules establish </w:t>
      </w:r>
      <w:r w:rsidR="5D34DE17" w:rsidRPr="3F0F1197">
        <w:rPr>
          <w:i/>
          <w:iCs/>
          <w:noProof/>
        </w:rPr>
        <w:t>how</w:t>
      </w:r>
      <w:r w:rsidR="5D34DE17" w:rsidRPr="00FF63D1">
        <w:rPr>
          <w:noProof/>
        </w:rPr>
        <w:t xml:space="preserve"> to buy, they fall short of addressing </w:t>
      </w:r>
      <w:r w:rsidR="5D34DE17" w:rsidRPr="3F0F1197">
        <w:rPr>
          <w:i/>
          <w:iCs/>
          <w:noProof/>
        </w:rPr>
        <w:t>what</w:t>
      </w:r>
      <w:r w:rsidR="5D34DE17" w:rsidRPr="00FF63D1">
        <w:rPr>
          <w:noProof/>
        </w:rPr>
        <w:t xml:space="preserve"> to buy in terms of low-carbon criteria. Current green public procurement practices remain largely voluntary, fragmented, and inconsistently applied across Member States. Only a few national or local authorities systematically integrate non price low-carbon criteria into procurement processes for construction products or infrastructure projects.</w:t>
      </w:r>
      <w:r w:rsidR="009E24FA" w:rsidRPr="00FF63D1">
        <w:rPr>
          <w:rStyle w:val="FootnoteReference"/>
          <w:noProof/>
        </w:rPr>
        <w:footnoteReference w:id="551"/>
      </w:r>
      <w:r w:rsidR="5D34DE17" w:rsidRPr="00FF63D1">
        <w:rPr>
          <w:noProof/>
        </w:rPr>
        <w:t xml:space="preserve"> Resilience criteria are even less considered in the current procurement procedures, as they are relatively new. Furthermore, in the NZIA, resilience criteria refer to components, not specifically to the energy-intensive materials used. As the Commission is expected to propose a revision of the Public Procurement Framework in the last quarter of 2026, consistency between the sectorial measures set out in the </w:t>
      </w:r>
      <w:r w:rsidR="2AFE1C82" w:rsidRPr="00FF63D1">
        <w:rPr>
          <w:noProof/>
        </w:rPr>
        <w:t>IAA</w:t>
      </w:r>
      <w:r w:rsidR="5D34DE17" w:rsidRPr="00FF63D1">
        <w:rPr>
          <w:noProof/>
        </w:rPr>
        <w:t xml:space="preserve"> on what to buy and the overarching framework will have to be ensured. The revised EPBD</w:t>
      </w:r>
      <w:r w:rsidR="009E24FA" w:rsidRPr="00FF63D1">
        <w:rPr>
          <w:rStyle w:val="FootnoteReference"/>
          <w:noProof/>
        </w:rPr>
        <w:footnoteReference w:id="552"/>
      </w:r>
      <w:r w:rsidR="5D34DE17" w:rsidRPr="00FF63D1">
        <w:rPr>
          <w:noProof/>
        </w:rPr>
        <w:t xml:space="preserve"> has introduced an obligation to calculate and provide information on the life cycle GWP of buildings, including the emissions embodied in construction products. It will be important to ensure consistency between measures proposed for low-carbon construction materials in </w:t>
      </w:r>
      <w:r w:rsidR="2AFE1C82" w:rsidRPr="00FF63D1">
        <w:rPr>
          <w:noProof/>
        </w:rPr>
        <w:t>IAA</w:t>
      </w:r>
      <w:r w:rsidR="5D34DE17" w:rsidRPr="00FF63D1">
        <w:rPr>
          <w:noProof/>
        </w:rPr>
        <w:t xml:space="preserve"> and the obligation under the EPBD. When it comes to vehicles, the proposed End-of-Life Vehicles (ELV) Regulation includes the possibility to establish requirements for vehicle manufacturers to use recycled steel and aluminium.</w:t>
      </w:r>
      <w:r w:rsidR="009E24FA" w:rsidRPr="00FF63D1">
        <w:rPr>
          <w:rStyle w:val="FootnoteReference"/>
          <w:noProof/>
        </w:rPr>
        <w:footnoteReference w:id="553"/>
      </w:r>
      <w:r w:rsidR="5D34DE17" w:rsidRPr="00FF63D1">
        <w:rPr>
          <w:noProof/>
        </w:rPr>
        <w:t xml:space="preserve"> However, due to their timing and/or voluntary nature, none of the mentioned initiatives can be expected to produce tangible effects in terms of increased demand of green steel and aluminium in the short term. </w:t>
      </w:r>
    </w:p>
    <w:p w14:paraId="52576481" w14:textId="0516C36B" w:rsidR="009E24FA" w:rsidRPr="00FF63D1" w:rsidRDefault="5D34DE17" w:rsidP="00EF4C6C">
      <w:pPr>
        <w:spacing w:after="120"/>
        <w:rPr>
          <w:noProof/>
          <w:highlight w:val="cyan"/>
        </w:rPr>
      </w:pPr>
      <w:r w:rsidRPr="1A2A8689">
        <w:rPr>
          <w:b/>
          <w:bCs/>
          <w:noProof/>
        </w:rPr>
        <w:t>Driver 3/</w:t>
      </w:r>
      <w:r w:rsidR="74346C64" w:rsidRPr="1A2A8689">
        <w:rPr>
          <w:b/>
          <w:bCs/>
          <w:noProof/>
        </w:rPr>
        <w:t>SP2/</w:t>
      </w:r>
      <w:r w:rsidRPr="1A2A8689">
        <w:rPr>
          <w:b/>
          <w:bCs/>
          <w:noProof/>
        </w:rPr>
        <w:t>SO2</w:t>
      </w:r>
      <w:r w:rsidRPr="3F0F1197">
        <w:rPr>
          <w:rFonts w:eastAsiaTheme="minorEastAsia"/>
          <w:b/>
          <w:bCs/>
          <w:noProof/>
        </w:rPr>
        <w:t xml:space="preserve">: European </w:t>
      </w:r>
      <w:r w:rsidR="5EE7A8D3" w:rsidRPr="3F0F1197">
        <w:rPr>
          <w:rFonts w:eastAsiaTheme="minorEastAsia"/>
          <w:b/>
          <w:bCs/>
          <w:noProof/>
        </w:rPr>
        <w:t>industry loss of competitiveness due to fierce global competition and value chain dependencies:</w:t>
      </w:r>
      <w:r w:rsidRPr="3F0F1197">
        <w:rPr>
          <w:rFonts w:eastAsiaTheme="minorEastAsia"/>
          <w:b/>
          <w:bCs/>
          <w:noProof/>
        </w:rPr>
        <w:t xml:space="preserve"> </w:t>
      </w:r>
      <w:r w:rsidRPr="00FF63D1">
        <w:rPr>
          <w:noProof/>
        </w:rPr>
        <w:t xml:space="preserve">The viability and competitiveness of European projects across the entire upstream value chain are undermined by the economic pressures outlined above, resulting in a widened technological gap vis-à-vis non-EU manufacturers. While the Battery Regulation and the NZIA, including the Implementing Act on actions and draft Implementing Act on sustainability in public procurement, as well as the </w:t>
      </w:r>
      <w:r w:rsidRPr="00FF63D1">
        <w:rPr>
          <w:rFonts w:eastAsia="Times New Roman" w:cs="Times New Roman"/>
          <w:noProof/>
        </w:rPr>
        <w:t>Ecodesign and Energy labelling requirements for photovoltaic modules and inverters</w:t>
      </w:r>
      <w:r w:rsidRPr="00FF63D1">
        <w:rPr>
          <w:noProof/>
        </w:rPr>
        <w:t xml:space="preserve"> establish important frameworks for environmental standards and for reducing strategic dependencies on single countries, they do not sufficiently address the economic pressure faced by domestic battery and solar PV producers. This is because the NZIA resilience criterion may lead to increased imports from Asian countries such as Vietnam, Malaysia, Thailand and Cambodia – whose PV projects pipeline is largely owned and controlled by Chinese manufacturers..￼</w:t>
      </w:r>
      <w:r w:rsidR="009E24FA" w:rsidRPr="00FF63D1">
        <w:rPr>
          <w:rStyle w:val="FootnoteReference"/>
          <w:noProof/>
        </w:rPr>
        <w:footnoteReference w:id="554"/>
      </w:r>
      <w:r w:rsidRPr="00FF63D1">
        <w:rPr>
          <w:noProof/>
        </w:rPr>
        <w:t xml:space="preserve">Furthermore, the NZIA framework does not cover the entire spectrum of vehicle components that can contribute to the decarbonisation of road transport not only in terms of reduced vehicle’s emissions, but also in terms of optimised traffic flows￼. </w:t>
      </w:r>
    </w:p>
    <w:p w14:paraId="334E44F0" w14:textId="6C639A80" w:rsidR="50358D0B" w:rsidRPr="00020C03" w:rsidRDefault="5D34DE17" w:rsidP="50358D0B">
      <w:pPr>
        <w:spacing w:after="120"/>
        <w:rPr>
          <w:noProof/>
        </w:rPr>
      </w:pPr>
      <w:r w:rsidRPr="1A2A8689">
        <w:rPr>
          <w:b/>
          <w:bCs/>
          <w:noProof/>
        </w:rPr>
        <w:t xml:space="preserve">Driver </w:t>
      </w:r>
      <w:r w:rsidR="74346C64" w:rsidRPr="1A2A8689">
        <w:rPr>
          <w:b/>
          <w:bCs/>
          <w:noProof/>
        </w:rPr>
        <w:t>4</w:t>
      </w:r>
      <w:r w:rsidRPr="1A2A8689">
        <w:rPr>
          <w:b/>
          <w:bCs/>
          <w:noProof/>
        </w:rPr>
        <w:t>/</w:t>
      </w:r>
      <w:r w:rsidR="5CE1CA3B" w:rsidRPr="1A2A8689">
        <w:rPr>
          <w:b/>
          <w:bCs/>
          <w:noProof/>
        </w:rPr>
        <w:t>SP</w:t>
      </w:r>
      <w:r w:rsidR="3304BB63" w:rsidRPr="1A2A8689">
        <w:rPr>
          <w:b/>
          <w:bCs/>
          <w:noProof/>
        </w:rPr>
        <w:t>2</w:t>
      </w:r>
      <w:r w:rsidRPr="1A2A8689">
        <w:rPr>
          <w:b/>
          <w:bCs/>
          <w:noProof/>
        </w:rPr>
        <w:t xml:space="preserve">/SO3: </w:t>
      </w:r>
      <w:r w:rsidR="42DA4443" w:rsidRPr="1A2A8689">
        <w:rPr>
          <w:b/>
          <w:bCs/>
          <w:noProof/>
        </w:rPr>
        <w:t>A fragmented EU approach</w:t>
      </w:r>
      <w:r w:rsidR="78520C63" w:rsidRPr="1A2A8689">
        <w:rPr>
          <w:b/>
          <w:bCs/>
          <w:noProof/>
        </w:rPr>
        <w:t xml:space="preserve"> towards foreign investments</w:t>
      </w:r>
      <w:r w:rsidRPr="1A2A8689">
        <w:rPr>
          <w:b/>
          <w:bCs/>
          <w:noProof/>
        </w:rPr>
        <w:t xml:space="preserve">: </w:t>
      </w:r>
      <w:r w:rsidRPr="00020C03">
        <w:rPr>
          <w:noProof/>
        </w:rPr>
        <w:t xml:space="preserve">under the baseline scenario, </w:t>
      </w:r>
      <w:r w:rsidRPr="00FF63D1">
        <w:rPr>
          <w:noProof/>
        </w:rPr>
        <w:t>the EU risks continued fragmentation of the Single Market due to non-harmonised investment conditions, potentially only attracting low value-added activities in sectors where the EU faces a significant technological gap.</w:t>
      </w:r>
      <w:r w:rsidRPr="00020C03">
        <w:rPr>
          <w:noProof/>
        </w:rPr>
        <w:t xml:space="preserve"> </w:t>
      </w:r>
      <w:r w:rsidR="5B1033E0" w:rsidRPr="00020C03">
        <w:rPr>
          <w:noProof/>
          <w:color w:val="000000" w:themeColor="text1"/>
        </w:rPr>
        <w:t>Under the current framework, Member States with an FDI screening mechanism may screen FDI</w:t>
      </w:r>
      <w:r w:rsidR="006C2E7A" w:rsidRPr="00FF63D1">
        <w:rPr>
          <w:rStyle w:val="FootnoteReference"/>
          <w:noProof/>
          <w:color w:val="000000" w:themeColor="text1"/>
        </w:rPr>
        <w:footnoteReference w:id="555"/>
      </w:r>
      <w:r w:rsidR="5B1033E0" w:rsidRPr="00020C03">
        <w:rPr>
          <w:noProof/>
          <w:color w:val="000000" w:themeColor="text1"/>
        </w:rPr>
        <w:t xml:space="preserve"> under the FDI Screening Regulation (EU) 2019/452, but only on grounds of security or public order. This mechanism enables the EU to block or condition transactions that raise national security concerns. In 2023, only 18 Member States had screening mechanisms in place. France, Germany, Italy and Spain together made up nearly 70% of all cases. These larger Member States not only screen the </w:t>
      </w:r>
      <w:r w:rsidRPr="00020C03" w:rsidDel="303945BD">
        <w:rPr>
          <w:rFonts w:eastAsia="Times New Roman" w:cs="Times New Roman"/>
          <w:noProof/>
          <w:color w:val="000000" w:themeColor="text1"/>
        </w:rPr>
        <w:t>most</w:t>
      </w:r>
      <w:r w:rsidR="5B1033E0" w:rsidRPr="00020C03">
        <w:rPr>
          <w:noProof/>
          <w:color w:val="000000" w:themeColor="text1"/>
        </w:rPr>
        <w:t xml:space="preserve"> but are also the most active in imposing mitigating conditions where risks are identified</w:t>
      </w:r>
      <w:r w:rsidR="54727090" w:rsidRPr="00020C03">
        <w:rPr>
          <w:noProof/>
          <w:color w:val="000000" w:themeColor="text1"/>
        </w:rPr>
        <w:t>.</w:t>
      </w:r>
      <w:r w:rsidR="006C2E7A" w:rsidRPr="00FF63D1">
        <w:rPr>
          <w:rStyle w:val="FootnoteReference"/>
          <w:noProof/>
          <w:color w:val="000000" w:themeColor="text1"/>
        </w:rPr>
        <w:footnoteReference w:id="556"/>
      </w:r>
      <w:r w:rsidR="230EEC78" w:rsidRPr="00020C03">
        <w:rPr>
          <w:noProof/>
          <w:color w:val="000000" w:themeColor="text1"/>
        </w:rPr>
        <w:t xml:space="preserve"> </w:t>
      </w:r>
      <w:r w:rsidR="5B1033E0" w:rsidRPr="00020C03">
        <w:rPr>
          <w:noProof/>
          <w:color w:val="000000" w:themeColor="text1"/>
        </w:rPr>
        <w:t xml:space="preserve">What it does not provide for is a tool to shape the quality of FDI, among others: systemically </w:t>
      </w:r>
      <w:r w:rsidR="3F7D68DA" w:rsidRPr="00FF63D1">
        <w:rPr>
          <w:rFonts w:eastAsia="Times New Roman" w:cs="Times New Roman"/>
          <w:noProof/>
          <w:color w:val="000000" w:themeColor="text1"/>
        </w:rPr>
        <w:t>incentivizing</w:t>
      </w:r>
      <w:r w:rsidR="5B1033E0" w:rsidRPr="00020C03">
        <w:rPr>
          <w:noProof/>
          <w:color w:val="000000" w:themeColor="text1"/>
        </w:rPr>
        <w:t xml:space="preserve"> knowledge transfer, technology diffusion, or local value chain creation in the Single Market. </w:t>
      </w:r>
    </w:p>
    <w:p w14:paraId="033DCF27" w14:textId="05A009DC" w:rsidR="009E24FA" w:rsidRPr="00FF63D1" w:rsidRDefault="009E24FA" w:rsidP="00EF4C6C">
      <w:pPr>
        <w:spacing w:after="120"/>
        <w:rPr>
          <w:noProof/>
        </w:rPr>
      </w:pPr>
      <w:r w:rsidRPr="00FF63D1">
        <w:rPr>
          <w:b/>
          <w:noProof/>
        </w:rPr>
        <w:t xml:space="preserve">Driver </w:t>
      </w:r>
      <w:r w:rsidR="0024704B" w:rsidRPr="00FF63D1">
        <w:rPr>
          <w:b/>
          <w:noProof/>
        </w:rPr>
        <w:t>5/</w:t>
      </w:r>
      <w:r w:rsidR="00102EAF" w:rsidRPr="00FF63D1">
        <w:rPr>
          <w:b/>
          <w:noProof/>
        </w:rPr>
        <w:t>SP3</w:t>
      </w:r>
      <w:r w:rsidRPr="00FF63D1">
        <w:rPr>
          <w:b/>
          <w:noProof/>
        </w:rPr>
        <w:t xml:space="preserve">/SO4: </w:t>
      </w:r>
      <w:r w:rsidRPr="00FF63D1">
        <w:rPr>
          <w:rFonts w:eastAsiaTheme="minorEastAsia"/>
          <w:b/>
          <w:noProof/>
        </w:rPr>
        <w:t xml:space="preserve">Lengthy, fragmented and uncertain permitting procedures </w:t>
      </w:r>
      <w:r w:rsidR="003411F8" w:rsidRPr="00FF63D1">
        <w:rPr>
          <w:b/>
          <w:noProof/>
        </w:rPr>
        <w:t>for decarbonisation projects</w:t>
      </w:r>
      <w:r w:rsidRPr="00FF63D1">
        <w:rPr>
          <w:rFonts w:eastAsiaTheme="minorEastAsia"/>
          <w:b/>
          <w:noProof/>
        </w:rPr>
        <w:t xml:space="preserve">. </w:t>
      </w:r>
      <w:r w:rsidRPr="00FF63D1">
        <w:rPr>
          <w:rFonts w:eastAsiaTheme="minorEastAsia"/>
          <w:noProof/>
        </w:rPr>
        <w:t>While th</w:t>
      </w:r>
      <w:r w:rsidRPr="00FF63D1">
        <w:rPr>
          <w:noProof/>
        </w:rPr>
        <w:t>e efficiency of the permit granting procedures for some energy intensive industry decarbonisation projects</w:t>
      </w:r>
      <w:r w:rsidRPr="00FF63D1">
        <w:rPr>
          <w:b/>
          <w:noProof/>
        </w:rPr>
        <w:t xml:space="preserve"> </w:t>
      </w:r>
      <w:r w:rsidRPr="00FF63D1">
        <w:rPr>
          <w:noProof/>
        </w:rPr>
        <w:t>is expected to improve</w:t>
      </w:r>
      <w:r w:rsidRPr="00FF63D1" w:rsidDel="00463E7E">
        <w:rPr>
          <w:noProof/>
        </w:rPr>
        <w:t xml:space="preserve"> </w:t>
      </w:r>
      <w:r w:rsidRPr="00FF63D1">
        <w:rPr>
          <w:noProof/>
        </w:rPr>
        <w:t xml:space="preserve">following the implementation of the NZIA, most manufacturing industries are not covered under existing frameworks and can continue to face complex and lengthy permitting procedures, since no initiative has so far addressed horizontally the permitting problem at large. </w:t>
      </w:r>
    </w:p>
    <w:p w14:paraId="777C3327" w14:textId="77777777" w:rsidR="009E24FA" w:rsidRPr="00FF63D1" w:rsidRDefault="009E24FA" w:rsidP="00EF4C6C">
      <w:pPr>
        <w:spacing w:after="120"/>
        <w:rPr>
          <w:noProof/>
        </w:rPr>
      </w:pPr>
      <w:r w:rsidRPr="00FF63D1">
        <w:rPr>
          <w:b/>
          <w:noProof/>
        </w:rPr>
        <w:t xml:space="preserve">Driver </w:t>
      </w:r>
      <w:r w:rsidR="00102EAF" w:rsidRPr="00FF63D1">
        <w:rPr>
          <w:b/>
          <w:noProof/>
        </w:rPr>
        <w:t>6/</w:t>
      </w:r>
      <w:r w:rsidR="001D72C1" w:rsidRPr="00FF63D1">
        <w:rPr>
          <w:b/>
          <w:noProof/>
        </w:rPr>
        <w:t>SP3</w:t>
      </w:r>
      <w:r w:rsidRPr="00FF63D1">
        <w:rPr>
          <w:b/>
          <w:noProof/>
        </w:rPr>
        <w:t xml:space="preserve">/SO5: </w:t>
      </w:r>
      <w:r w:rsidR="00513AFE" w:rsidRPr="00FF63D1">
        <w:rPr>
          <w:b/>
          <w:noProof/>
        </w:rPr>
        <w:t xml:space="preserve">Difficulty to access resources (e.g. inputs and funding) </w:t>
      </w:r>
      <w:r w:rsidRPr="00FF63D1">
        <w:rPr>
          <w:noProof/>
        </w:rPr>
        <w:t xml:space="preserve">would remain in the baseline scenario. While several initiatives aim at identifying key projects that could benefit from EU support, introducing criteria for identifying priority industrial decarbonisation projects could help Member States identify relevant projects and focus their attention on creating better framework conditions to facilitate access to public funding, without prejudice to the State aid regime nor to the specific eligibility criteria of each funding programme. </w:t>
      </w:r>
    </w:p>
    <w:p w14:paraId="7332A16E" w14:textId="2BB12D1E" w:rsidR="00D00EFC" w:rsidRPr="00FF63D1" w:rsidRDefault="5D34DE17" w:rsidP="00152E50">
      <w:pPr>
        <w:rPr>
          <w:noProof/>
        </w:rPr>
      </w:pPr>
      <w:r w:rsidRPr="00FF63D1">
        <w:rPr>
          <w:noProof/>
        </w:rPr>
        <w:t>Against this baseline, we can conclude that the competitiveness of all manufacturing industries, notably energy intensive industries and some clean energy technologies, is likely not to improve in the coming years without further actions, with significant economic, social and environmental implications. The JRC</w:t>
      </w:r>
      <w:r w:rsidR="74B27915">
        <w:rPr>
          <w:noProof/>
        </w:rPr>
        <w:t xml:space="preserve"> </w:t>
      </w:r>
      <w:r w:rsidRPr="00FF63D1">
        <w:rPr>
          <w:noProof/>
        </w:rPr>
        <w:t>has estimated that for each 1% loss of global final demand in energy-intensive industries, the potential impacts on employment would be losing 28</w:t>
      </w:r>
      <w:r w:rsidR="217EA473">
        <w:rPr>
          <w:noProof/>
        </w:rPr>
        <w:t xml:space="preserve"> </w:t>
      </w:r>
      <w:r w:rsidRPr="00FF63D1">
        <w:rPr>
          <w:noProof/>
        </w:rPr>
        <w:t xml:space="preserve">000 jobs, </w:t>
      </w:r>
      <w:r w:rsidR="18D84F5B" w:rsidRPr="008A354D">
        <w:rPr>
          <w:noProof/>
        </w:rPr>
        <w:t xml:space="preserve">EUR </w:t>
      </w:r>
      <w:r w:rsidRPr="00FF63D1">
        <w:rPr>
          <w:noProof/>
        </w:rPr>
        <w:t xml:space="preserve">2 billion in value added and </w:t>
      </w:r>
      <w:r w:rsidR="18D84F5B" w:rsidRPr="008A354D">
        <w:rPr>
          <w:noProof/>
        </w:rPr>
        <w:t xml:space="preserve">EUR </w:t>
      </w:r>
      <w:r w:rsidRPr="00FF63D1">
        <w:rPr>
          <w:noProof/>
        </w:rPr>
        <w:t>6</w:t>
      </w:r>
      <w:r w:rsidR="18D84F5B">
        <w:rPr>
          <w:noProof/>
        </w:rPr>
        <w:t>.</w:t>
      </w:r>
      <w:r w:rsidRPr="00FF63D1">
        <w:rPr>
          <w:noProof/>
        </w:rPr>
        <w:t>4 billion in turnover.</w:t>
      </w:r>
      <w:r w:rsidR="009E24FA" w:rsidRPr="00FF63D1">
        <w:rPr>
          <w:rStyle w:val="FootnoteReference"/>
          <w:rFonts w:eastAsia="Calibri"/>
          <w:noProof/>
        </w:rPr>
        <w:footnoteReference w:id="557"/>
      </w:r>
      <w:r w:rsidR="52A11653" w:rsidRPr="00FF63D1">
        <w:rPr>
          <w:noProof/>
        </w:rPr>
        <w:t xml:space="preserve"> </w:t>
      </w:r>
      <w:r w:rsidRPr="00FF63D1">
        <w:rPr>
          <w:noProof/>
        </w:rPr>
        <w:t>Further competitiveness losses would prevent investment</w:t>
      </w:r>
      <w:r w:rsidR="7A84F8FE" w:rsidRPr="00FF63D1">
        <w:rPr>
          <w:noProof/>
        </w:rPr>
        <w:t xml:space="preserve"> </w:t>
      </w:r>
      <w:r w:rsidRPr="00FF63D1">
        <w:rPr>
          <w:noProof/>
        </w:rPr>
        <w:t>in decarbonisation, affecting the EU’s ability to achieve its climate objectives</w:t>
      </w:r>
      <w:r w:rsidR="14B4F411" w:rsidRPr="00FF63D1">
        <w:rPr>
          <w:noProof/>
        </w:rPr>
        <w:t>.</w:t>
      </w:r>
    </w:p>
    <w:p w14:paraId="7D3F8D53" w14:textId="25A62DAA" w:rsidR="00020031" w:rsidRPr="00FF63D1" w:rsidRDefault="00020031" w:rsidP="00152E50">
      <w:pPr>
        <w:rPr>
          <w:b/>
          <w:noProof/>
        </w:rPr>
      </w:pPr>
      <w:r w:rsidRPr="00FF63D1">
        <w:rPr>
          <w:b/>
          <w:noProof/>
        </w:rPr>
        <w:br w:type="page"/>
      </w:r>
    </w:p>
    <w:p w14:paraId="0A1D9B7F" w14:textId="77777777" w:rsidR="00020031" w:rsidRPr="00FF63D1" w:rsidRDefault="00020031" w:rsidP="008A30EF">
      <w:pPr>
        <w:pStyle w:val="Heading1"/>
        <w:numPr>
          <w:ilvl w:val="0"/>
          <w:numId w:val="0"/>
        </w:numPr>
        <w:rPr>
          <w:rFonts w:ascii="Times" w:hAnsi="Times" w:cs="Times"/>
          <w:b/>
          <w:noProof/>
          <w:color w:val="auto"/>
          <w:sz w:val="28"/>
          <w:szCs w:val="28"/>
        </w:rPr>
      </w:pPr>
      <w:bookmarkStart w:id="668" w:name="_Toc207192558"/>
      <w:bookmarkStart w:id="669" w:name="_Toc222159388"/>
      <w:bookmarkStart w:id="670" w:name="_Toc222490047"/>
      <w:r w:rsidRPr="00FF63D1">
        <w:rPr>
          <w:rFonts w:ascii="Times" w:hAnsi="Times" w:cs="Times"/>
          <w:b/>
          <w:noProof/>
          <w:color w:val="auto"/>
          <w:sz w:val="28"/>
          <w:szCs w:val="28"/>
        </w:rPr>
        <w:t>Annex 9: Overview of policy measures</w:t>
      </w:r>
      <w:bookmarkEnd w:id="668"/>
      <w:bookmarkEnd w:id="669"/>
      <w:bookmarkEnd w:id="670"/>
    </w:p>
    <w:p w14:paraId="1E2EEE4B" w14:textId="417568CE" w:rsidR="00020031" w:rsidRPr="00AB1DF9" w:rsidRDefault="00020031">
      <w:pPr>
        <w:pStyle w:val="Heading3"/>
        <w:numPr>
          <w:ilvl w:val="0"/>
          <w:numId w:val="0"/>
        </w:numPr>
        <w:rPr>
          <w:rFonts w:ascii="Times" w:hAnsi="Times" w:cs="Times"/>
          <w:b/>
          <w:u w:val="single"/>
          <w:lang w:eastAsia="en-GB"/>
        </w:rPr>
      </w:pPr>
      <w:r w:rsidRPr="00AB1DF9">
        <w:rPr>
          <w:rFonts w:ascii="Times" w:hAnsi="Times" w:cs="Times"/>
          <w:b/>
          <w:u w:val="single"/>
          <w:lang w:eastAsia="en-GB"/>
        </w:rPr>
        <w:t>SO1:</w:t>
      </w:r>
      <w:r w:rsidRPr="00AB1DF9" w:rsidDel="00C355C0">
        <w:rPr>
          <w:rFonts w:ascii="Times" w:hAnsi="Times" w:cs="Times"/>
          <w:b/>
          <w:u w:val="single"/>
        </w:rPr>
        <w:t xml:space="preserve"> </w:t>
      </w:r>
      <w:r w:rsidR="00C355C0" w:rsidRPr="00AB1DF9">
        <w:rPr>
          <w:rFonts w:ascii="Times" w:hAnsi="Times" w:cs="Times"/>
          <w:b/>
          <w:u w:val="single"/>
        </w:rPr>
        <w:t>Enable differentiation for low-carbon industrial products to increase their value and marketability</w:t>
      </w:r>
      <w:r w:rsidRPr="00AB1DF9">
        <w:rPr>
          <w:rFonts w:ascii="Times" w:hAnsi="Times" w:cs="Times"/>
          <w:b/>
          <w:u w:val="single"/>
        </w:rPr>
        <w:t xml:space="preserve"> </w:t>
      </w:r>
    </w:p>
    <w:p w14:paraId="097880A7" w14:textId="77777777" w:rsidR="00020031" w:rsidRPr="00FF63D1" w:rsidRDefault="404A2814" w:rsidP="00364E03">
      <w:pPr>
        <w:spacing w:after="120"/>
        <w:rPr>
          <w:noProof/>
        </w:rPr>
      </w:pPr>
      <w:r w:rsidRPr="00FF63D1">
        <w:rPr>
          <w:noProof/>
        </w:rPr>
        <w:t>Establishing a low-carbon product labelling system would allow for the differentiation of low-carbon industrial products from high-carbon ones to increase their value and marketability.</w:t>
      </w:r>
      <w:r w:rsidR="00020031" w:rsidRPr="00FF63D1">
        <w:rPr>
          <w:rStyle w:val="FootnoteReference"/>
          <w:noProof/>
        </w:rPr>
        <w:footnoteReference w:id="558"/>
      </w:r>
      <w:r w:rsidRPr="00FF63D1">
        <w:rPr>
          <w:noProof/>
        </w:rPr>
        <w:t xml:space="preserve"> This measure would develop a labelling system that attributes GHG emissions emitted during the various stages of the manufacturing process to the industrial products, resulting in a clear GHG intensity per product, based on a harmonised and transparent methodology. </w:t>
      </w:r>
    </w:p>
    <w:p w14:paraId="6EEC2C21" w14:textId="77777777" w:rsidR="00020031" w:rsidRPr="00FF63D1" w:rsidRDefault="00020031" w:rsidP="00364E03">
      <w:pPr>
        <w:spacing w:after="120"/>
        <w:rPr>
          <w:noProof/>
        </w:rPr>
      </w:pPr>
      <w:r w:rsidRPr="00FF63D1">
        <w:rPr>
          <w:noProof/>
        </w:rPr>
        <w:t xml:space="preserve">Various design elements need to be considered. In addition to this GHG-intensity metric, the assessment will include other elements, such as the categorisation of the product’s GHG-intensity according to a predefined classification system (e.g. establishment of classes of performance) or the inclusion of further elements such as the share of recycled materials used in the production process. </w:t>
      </w:r>
    </w:p>
    <w:p w14:paraId="7565E74B" w14:textId="356C0DC4" w:rsidR="00020031" w:rsidRPr="00FF63D1" w:rsidRDefault="00020031" w:rsidP="00364E03">
      <w:pPr>
        <w:spacing w:after="120"/>
        <w:rPr>
          <w:noProof/>
        </w:rPr>
      </w:pPr>
      <w:r w:rsidRPr="00FF63D1">
        <w:rPr>
          <w:noProof/>
        </w:rPr>
        <w:t>To establish the label, the Commission will set up rules for determining the GHG-intensity, including system boundaries and calculation methodologies, as well as rules for ensuring high-data quality via verification and certification. For their development, maximum use will be made of existing detailed GHG reporting rules, such as the ones included under the ETS framework or the related CBAM methodology. To avoid any discrimination, labelling should not result in a treatment of imported products less favourable than that accorded to domestic products.</w:t>
      </w:r>
    </w:p>
    <w:p w14:paraId="61672B72" w14:textId="1BA48240" w:rsidR="00020031" w:rsidRPr="00FF63D1" w:rsidRDefault="00020031" w:rsidP="00020C03">
      <w:pPr>
        <w:spacing w:before="240" w:after="240"/>
        <w:rPr>
          <w:b/>
          <w:noProof/>
        </w:rPr>
      </w:pPr>
      <w:r w:rsidRPr="00FF63D1">
        <w:rPr>
          <w:b/>
          <w:noProof/>
        </w:rPr>
        <w:t xml:space="preserve">LAB 1 - Development of </w:t>
      </w:r>
      <w:r w:rsidR="0022786D" w:rsidRPr="00FF63D1">
        <w:rPr>
          <w:b/>
          <w:noProof/>
        </w:rPr>
        <w:t xml:space="preserve">a low-carbon product label for all </w:t>
      </w:r>
      <w:r w:rsidRPr="00FF63D1">
        <w:rPr>
          <w:b/>
          <w:noProof/>
        </w:rPr>
        <w:t>EII</w:t>
      </w:r>
    </w:p>
    <w:p w14:paraId="4DFA905A" w14:textId="77777777" w:rsidR="00020031" w:rsidRPr="00FF63D1" w:rsidRDefault="00020031" w:rsidP="00364E03">
      <w:pPr>
        <w:spacing w:after="120"/>
        <w:rPr>
          <w:rFonts w:eastAsia="Times New Roman"/>
          <w:noProof/>
        </w:rPr>
      </w:pPr>
      <w:r w:rsidRPr="00FF63D1">
        <w:rPr>
          <w:noProof/>
        </w:rPr>
        <w:t xml:space="preserve">Given the diversity and high complexity of the manufacturing industry, a wide range of product labels could be envisaged. This measure would establish several product-specific and reliable labels that would cater for the specificities of each of the EIIs and attribute GHG emissions from the manufacturing phase to industrial products. Given the broad scope of sectors and related products, this option would have a horizontal approach, establishing in the legislation only the broad principles of the labelling systems, including elements on GHG certification methodologies, the rules on verification and certification and, when possible, the rules for setting up the classification systems. As a next step, product specific rules and values would be developed only in a second stage, via </w:t>
      </w:r>
      <w:r w:rsidRPr="00FF63D1">
        <w:rPr>
          <w:rFonts w:eastAsia="Times New Roman"/>
          <w:noProof/>
        </w:rPr>
        <w:t>implementing and delegated acts</w:t>
      </w:r>
      <w:r w:rsidRPr="00FF63D1">
        <w:rPr>
          <w:noProof/>
        </w:rPr>
        <w:t xml:space="preserve"> or a review of the basic act</w:t>
      </w:r>
      <w:r w:rsidRPr="00FF63D1">
        <w:rPr>
          <w:rFonts w:eastAsia="Times New Roman"/>
          <w:noProof/>
        </w:rPr>
        <w:t>.</w:t>
      </w:r>
    </w:p>
    <w:p w14:paraId="2080A1AB" w14:textId="67F71E84" w:rsidR="00020031" w:rsidRPr="00FF63D1" w:rsidRDefault="00020031" w:rsidP="00020C03">
      <w:pPr>
        <w:spacing w:before="240" w:after="240"/>
        <w:rPr>
          <w:b/>
          <w:noProof/>
        </w:rPr>
      </w:pPr>
      <w:r w:rsidRPr="00FF63D1">
        <w:rPr>
          <w:b/>
          <w:noProof/>
        </w:rPr>
        <w:t xml:space="preserve">LAB 2 - Development of a </w:t>
      </w:r>
      <w:r w:rsidR="00632E89" w:rsidRPr="00FF63D1">
        <w:rPr>
          <w:b/>
          <w:noProof/>
        </w:rPr>
        <w:t xml:space="preserve">low-carbon product label for steel </w:t>
      </w:r>
    </w:p>
    <w:p w14:paraId="27D0EE1A" w14:textId="717DF9C8" w:rsidR="00020031" w:rsidRPr="00FF63D1" w:rsidRDefault="00020031" w:rsidP="00364E03">
      <w:pPr>
        <w:spacing w:after="120"/>
        <w:rPr>
          <w:noProof/>
        </w:rPr>
      </w:pPr>
      <w:r w:rsidRPr="00FF63D1">
        <w:rPr>
          <w:noProof/>
        </w:rPr>
        <w:t>This measure would develop the general principles of a low-carbon labelling system and operationalise such principles to develop a low</w:t>
      </w:r>
      <w:r w:rsidR="00E41BFE">
        <w:rPr>
          <w:noProof/>
        </w:rPr>
        <w:t>-</w:t>
      </w:r>
      <w:r w:rsidRPr="00FF63D1">
        <w:rPr>
          <w:noProof/>
        </w:rPr>
        <w:t>carbon product label for the intermediate product of steel, covering production steps up to hot-rolling steel. Compared to LAB 1, this measure would have a narrower scope, but a more in-depth approach, as all elements relating to the determination of the GHG-intensity of steel products, the verification and certification rules, and the possible classification system for steel would be frontloaded and included in the legislative initiative. This initial focus on steel is justified by the fact that the steel industry is one of the most emission-intensive industrial sectors, representing almost 20% of the industrial GHG emissions in the EU. Furthermore, most of the GHG emissions of the sector (up to 60-80%) can be attributed to the industrial production stages covering up to hot-rolling steel, which most products have to go through regardless of whether the production route is</w:t>
      </w:r>
      <w:r w:rsidR="00182656" w:rsidRPr="00FF63D1">
        <w:rPr>
          <w:noProof/>
        </w:rPr>
        <w:t xml:space="preserve"> </w:t>
      </w:r>
      <w:r w:rsidRPr="00FF63D1">
        <w:rPr>
          <w:noProof/>
        </w:rPr>
        <w:t>based on iron ore input, or as steel scrap input. The table below shows the design elements that will be analysed in Annex 12 to develop a low-carbon product label for steel, based on three main aspects:</w:t>
      </w:r>
    </w:p>
    <w:p w14:paraId="2F9D3B4D" w14:textId="3AD2BF2A" w:rsidR="005C61A7" w:rsidRPr="00020C03" w:rsidRDefault="005C61A7" w:rsidP="00816089">
      <w:pPr>
        <w:pStyle w:val="Caption"/>
        <w:keepNext/>
        <w:spacing w:before="240"/>
        <w:rPr>
          <w:noProof/>
          <w:sz w:val="20"/>
          <w:szCs w:val="20"/>
        </w:rPr>
      </w:pPr>
      <w:r w:rsidRPr="00816089">
        <w:rPr>
          <w:noProof/>
          <w:sz w:val="20"/>
          <w:szCs w:val="20"/>
        </w:rPr>
        <w:t xml:space="preserve">Table </w:t>
      </w:r>
      <w:r w:rsidRPr="00816089">
        <w:rPr>
          <w:noProof/>
          <w:sz w:val="20"/>
          <w:szCs w:val="20"/>
        </w:rPr>
        <w:fldChar w:fldCharType="begin"/>
      </w:r>
      <w:r w:rsidRPr="00816089">
        <w:rPr>
          <w:noProof/>
          <w:sz w:val="20"/>
          <w:szCs w:val="20"/>
        </w:rPr>
        <w:instrText xml:space="preserve"> SEQ Table \* ARABIC </w:instrText>
      </w:r>
      <w:r w:rsidRPr="00816089">
        <w:rPr>
          <w:noProof/>
          <w:sz w:val="20"/>
          <w:szCs w:val="20"/>
        </w:rPr>
        <w:fldChar w:fldCharType="separate"/>
      </w:r>
      <w:r w:rsidR="00E16D65">
        <w:rPr>
          <w:noProof/>
          <w:sz w:val="20"/>
          <w:szCs w:val="20"/>
        </w:rPr>
        <w:t>19</w:t>
      </w:r>
      <w:r w:rsidRPr="00816089">
        <w:rPr>
          <w:noProof/>
          <w:sz w:val="20"/>
          <w:szCs w:val="20"/>
        </w:rPr>
        <w:fldChar w:fldCharType="end"/>
      </w:r>
      <w:r w:rsidRPr="00816089">
        <w:rPr>
          <w:b/>
          <w:bCs/>
          <w:noProof/>
          <w:sz w:val="20"/>
          <w:szCs w:val="20"/>
          <w:lang w:val="en-IE"/>
        </w:rPr>
        <w:t xml:space="preserve"> </w:t>
      </w:r>
      <w:r w:rsidRPr="00020C03">
        <w:rPr>
          <w:noProof/>
          <w:sz w:val="20"/>
          <w:szCs w:val="20"/>
          <w:lang w:val="en-IE"/>
        </w:rPr>
        <w:t>Development of low-carbon product GHG label for steel</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602"/>
      </w:tblGrid>
      <w:tr w:rsidR="00020031" w:rsidRPr="00FF63D1" w14:paraId="45AC7A0C" w14:textId="77777777" w:rsidTr="00E71388">
        <w:trPr>
          <w:trHeight w:val="1186"/>
        </w:trPr>
        <w:tc>
          <w:tcPr>
            <w:tcW w:w="784" w:type="pct"/>
          </w:tcPr>
          <w:p w14:paraId="1697482A" w14:textId="522FF291" w:rsidR="005A5618" w:rsidRPr="00020C03" w:rsidRDefault="00020031" w:rsidP="007F2EFD">
            <w:pPr>
              <w:pStyle w:val="Body"/>
              <w:spacing w:after="0" w:line="240" w:lineRule="auto"/>
              <w:rPr>
                <w:noProof/>
                <w:lang w:val="en-IE"/>
              </w:rPr>
            </w:pPr>
            <w:r w:rsidRPr="00020C03">
              <w:rPr>
                <w:b/>
                <w:noProof/>
                <w:lang w:val="en-IE"/>
              </w:rPr>
              <w:t>LAB 2.1</w:t>
            </w:r>
            <w:r w:rsidRPr="00020C03">
              <w:rPr>
                <w:noProof/>
                <w:lang w:val="en-IE"/>
              </w:rPr>
              <w:t xml:space="preserve"> </w:t>
            </w:r>
            <w:r w:rsidR="005A5618" w:rsidRPr="00020C03">
              <w:rPr>
                <w:noProof/>
                <w:lang w:val="en-IE"/>
              </w:rPr>
              <w:t>–</w:t>
            </w:r>
          </w:p>
          <w:p w14:paraId="0F0BCE06" w14:textId="14797D3E" w:rsidR="00020031" w:rsidRPr="00020C03" w:rsidRDefault="00020031" w:rsidP="007F2EFD">
            <w:pPr>
              <w:pStyle w:val="Body"/>
              <w:spacing w:after="0" w:line="240" w:lineRule="auto"/>
              <w:rPr>
                <w:noProof/>
                <w:lang w:val="en-IE"/>
              </w:rPr>
            </w:pPr>
            <w:r w:rsidRPr="00020C03">
              <w:rPr>
                <w:noProof/>
                <w:lang w:val="en-IE"/>
              </w:rPr>
              <w:t>Determination GHG-intensity and system boundaries</w:t>
            </w:r>
          </w:p>
        </w:tc>
        <w:tc>
          <w:tcPr>
            <w:tcW w:w="4216" w:type="pct"/>
          </w:tcPr>
          <w:p w14:paraId="52EB63E4" w14:textId="0F26A7D0" w:rsidR="00020031" w:rsidRPr="00020C03" w:rsidRDefault="00020031" w:rsidP="007F2EFD">
            <w:pPr>
              <w:pStyle w:val="Body"/>
              <w:spacing w:after="0" w:line="240" w:lineRule="auto"/>
              <w:rPr>
                <w:noProof/>
                <w:lang w:val="en-IE"/>
              </w:rPr>
            </w:pPr>
            <w:r w:rsidRPr="00020C03">
              <w:rPr>
                <w:b/>
                <w:noProof/>
                <w:lang w:val="en-IE"/>
              </w:rPr>
              <w:t xml:space="preserve">CALC1 </w:t>
            </w:r>
            <w:r w:rsidRPr="00020C03">
              <w:rPr>
                <w:noProof/>
                <w:lang w:val="en-IE"/>
              </w:rPr>
              <w:t>System boundaries and calculation methodologies in line with free allocation rules under ETS and embedded emissions under CBAM methodology</w:t>
            </w:r>
          </w:p>
          <w:p w14:paraId="2B640602" w14:textId="77777777" w:rsidR="00020031" w:rsidRPr="00020C03" w:rsidRDefault="00020031" w:rsidP="007F2EFD">
            <w:pPr>
              <w:pStyle w:val="Body"/>
              <w:spacing w:after="0" w:line="240" w:lineRule="auto"/>
              <w:rPr>
                <w:noProof/>
                <w:lang w:val="en-IE"/>
              </w:rPr>
            </w:pPr>
            <w:r w:rsidRPr="00020C03">
              <w:rPr>
                <w:b/>
                <w:noProof/>
                <w:lang w:val="en-IE"/>
              </w:rPr>
              <w:t>CALC2</w:t>
            </w:r>
            <w:r w:rsidRPr="00020C03">
              <w:rPr>
                <w:noProof/>
                <w:lang w:val="en-IE"/>
              </w:rPr>
              <w:t xml:space="preserve"> System boundaries in line with ETS scope, limited nr. of key indirect emissions</w:t>
            </w:r>
          </w:p>
          <w:p w14:paraId="37474EF2" w14:textId="38DBCD14" w:rsidR="007F2EFD" w:rsidRPr="00020C03" w:rsidRDefault="00020031" w:rsidP="007F2EFD">
            <w:pPr>
              <w:pStyle w:val="Body"/>
              <w:spacing w:after="0" w:line="240" w:lineRule="auto"/>
              <w:rPr>
                <w:noProof/>
                <w:lang w:val="en-IE"/>
              </w:rPr>
            </w:pPr>
            <w:r w:rsidRPr="00020C03">
              <w:rPr>
                <w:b/>
                <w:noProof/>
                <w:lang w:val="en-IE"/>
              </w:rPr>
              <w:t>CALC3</w:t>
            </w:r>
            <w:r w:rsidRPr="00020C03">
              <w:rPr>
                <w:noProof/>
                <w:lang w:val="en-IE"/>
              </w:rPr>
              <w:t xml:space="preserve"> Wider life cycle system boundaries included in scope, in line with draft Product Carbon Footprint (PCF) method developed by JRC under ESPR</w:t>
            </w:r>
          </w:p>
        </w:tc>
      </w:tr>
      <w:tr w:rsidR="00020031" w:rsidRPr="00FF63D1" w14:paraId="69CE12F0" w14:textId="77777777" w:rsidTr="00E71388">
        <w:trPr>
          <w:trHeight w:val="1186"/>
        </w:trPr>
        <w:tc>
          <w:tcPr>
            <w:tcW w:w="784" w:type="pct"/>
          </w:tcPr>
          <w:p w14:paraId="15B2F45B" w14:textId="77777777" w:rsidR="005A5618" w:rsidRPr="00020C03" w:rsidRDefault="00020031" w:rsidP="007F2EFD">
            <w:pPr>
              <w:pStyle w:val="Body"/>
              <w:spacing w:after="0" w:line="240" w:lineRule="auto"/>
              <w:rPr>
                <w:noProof/>
                <w:lang w:val="en-IE"/>
              </w:rPr>
            </w:pPr>
            <w:r w:rsidRPr="00020C03">
              <w:rPr>
                <w:b/>
                <w:noProof/>
                <w:lang w:val="en-IE"/>
              </w:rPr>
              <w:t>LAB 2.2</w:t>
            </w:r>
            <w:r w:rsidRPr="00020C03">
              <w:rPr>
                <w:noProof/>
                <w:lang w:val="en-IE"/>
              </w:rPr>
              <w:t xml:space="preserve"> –</w:t>
            </w:r>
          </w:p>
          <w:p w14:paraId="04D2F9ED" w14:textId="4714C7E1" w:rsidR="00020031" w:rsidRPr="00020C03" w:rsidRDefault="00020031" w:rsidP="007F2EFD">
            <w:pPr>
              <w:pStyle w:val="Body"/>
              <w:spacing w:after="0" w:line="240" w:lineRule="auto"/>
              <w:rPr>
                <w:noProof/>
                <w:lang w:val="en-IE"/>
              </w:rPr>
            </w:pPr>
            <w:r w:rsidRPr="00020C03">
              <w:rPr>
                <w:noProof/>
                <w:lang w:val="en-IE"/>
              </w:rPr>
              <w:t>Classification</w:t>
            </w:r>
          </w:p>
        </w:tc>
        <w:tc>
          <w:tcPr>
            <w:tcW w:w="4216" w:type="pct"/>
          </w:tcPr>
          <w:p w14:paraId="2CCAAB3A" w14:textId="77777777" w:rsidR="00020031" w:rsidRPr="00020C03" w:rsidRDefault="00020031" w:rsidP="007F2EFD">
            <w:pPr>
              <w:pStyle w:val="Body"/>
              <w:spacing w:after="0" w:line="240" w:lineRule="auto"/>
              <w:rPr>
                <w:noProof/>
                <w:lang w:val="en-IE"/>
              </w:rPr>
            </w:pPr>
            <w:r w:rsidRPr="00020C03">
              <w:rPr>
                <w:b/>
                <w:noProof/>
                <w:lang w:val="en-IE"/>
              </w:rPr>
              <w:t xml:space="preserve">CLAS1 </w:t>
            </w:r>
            <w:r w:rsidRPr="00020C03">
              <w:rPr>
                <w:noProof/>
                <w:lang w:val="en-IE"/>
              </w:rPr>
              <w:t>No classification</w:t>
            </w:r>
          </w:p>
          <w:p w14:paraId="76179766" w14:textId="77777777" w:rsidR="00020031" w:rsidRPr="00020C03" w:rsidRDefault="00020031" w:rsidP="007F2EFD">
            <w:pPr>
              <w:pStyle w:val="Body"/>
              <w:spacing w:after="0" w:line="240" w:lineRule="auto"/>
              <w:rPr>
                <w:noProof/>
                <w:lang w:val="en-IE"/>
              </w:rPr>
            </w:pPr>
            <w:r w:rsidRPr="00020C03">
              <w:rPr>
                <w:b/>
                <w:noProof/>
                <w:lang w:val="en-IE"/>
              </w:rPr>
              <w:t xml:space="preserve">CLAS2 </w:t>
            </w:r>
            <w:r w:rsidRPr="00020C03">
              <w:rPr>
                <w:noProof/>
                <w:lang w:val="en-IE"/>
              </w:rPr>
              <w:t>One classification system without (CLAS2.a) or with (CLAS2.b) a sliding scale</w:t>
            </w:r>
          </w:p>
          <w:p w14:paraId="02182144" w14:textId="77777777" w:rsidR="00020031" w:rsidRPr="00020C03" w:rsidRDefault="00020031" w:rsidP="007F2EFD">
            <w:pPr>
              <w:pStyle w:val="Body"/>
              <w:spacing w:after="0" w:line="240" w:lineRule="auto"/>
              <w:rPr>
                <w:noProof/>
                <w:lang w:val="en-IE"/>
              </w:rPr>
            </w:pPr>
            <w:r w:rsidRPr="00020C03">
              <w:rPr>
                <w:b/>
                <w:noProof/>
                <w:lang w:val="en-IE"/>
              </w:rPr>
              <w:t xml:space="preserve">CLAS3 </w:t>
            </w:r>
            <w:r w:rsidRPr="00020C03">
              <w:rPr>
                <w:noProof/>
                <w:lang w:val="en-IE"/>
              </w:rPr>
              <w:t>Two different classification systems per steel production route</w:t>
            </w:r>
          </w:p>
          <w:p w14:paraId="72C0CEE5" w14:textId="0D67AB25" w:rsidR="007F2EFD" w:rsidRPr="00020C03" w:rsidRDefault="00020031" w:rsidP="007F2EFD">
            <w:pPr>
              <w:pStyle w:val="Body"/>
              <w:spacing w:after="0" w:line="240" w:lineRule="auto"/>
              <w:rPr>
                <w:noProof/>
                <w:lang w:val="en-IE"/>
              </w:rPr>
            </w:pPr>
            <w:r w:rsidRPr="00020C03">
              <w:rPr>
                <w:b/>
                <w:noProof/>
                <w:lang w:val="en-IE"/>
              </w:rPr>
              <w:t>CLAS4</w:t>
            </w:r>
            <w:r w:rsidRPr="00020C03">
              <w:rPr>
                <w:noProof/>
                <w:lang w:val="en-IE"/>
              </w:rPr>
              <w:t xml:space="preserve"> Classification system based on steel quality</w:t>
            </w:r>
          </w:p>
        </w:tc>
      </w:tr>
      <w:tr w:rsidR="00020031" w:rsidRPr="00FF63D1" w14:paraId="66405DB3" w14:textId="77777777" w:rsidTr="00E71388">
        <w:trPr>
          <w:trHeight w:val="474"/>
        </w:trPr>
        <w:tc>
          <w:tcPr>
            <w:tcW w:w="784" w:type="pct"/>
          </w:tcPr>
          <w:p w14:paraId="76E9BD87" w14:textId="379247B2" w:rsidR="005A5618" w:rsidRPr="00020C03" w:rsidRDefault="00020031" w:rsidP="007F2EFD">
            <w:pPr>
              <w:pStyle w:val="Body"/>
              <w:spacing w:after="0" w:line="240" w:lineRule="auto"/>
              <w:rPr>
                <w:noProof/>
                <w:lang w:val="en-IE"/>
              </w:rPr>
            </w:pPr>
            <w:r w:rsidRPr="00020C03">
              <w:rPr>
                <w:b/>
                <w:noProof/>
                <w:lang w:val="en-IE"/>
              </w:rPr>
              <w:t>LAB 2.3</w:t>
            </w:r>
            <w:r w:rsidRPr="00020C03">
              <w:rPr>
                <w:noProof/>
                <w:lang w:val="en-IE"/>
              </w:rPr>
              <w:t xml:space="preserve"> </w:t>
            </w:r>
            <w:r w:rsidR="005A5618" w:rsidRPr="00020C03">
              <w:rPr>
                <w:noProof/>
                <w:lang w:val="en-IE"/>
              </w:rPr>
              <w:t>–</w:t>
            </w:r>
          </w:p>
          <w:p w14:paraId="21B979C0" w14:textId="66EB9616" w:rsidR="00020031" w:rsidRPr="00020C03" w:rsidRDefault="00020031" w:rsidP="007F2EFD">
            <w:pPr>
              <w:pStyle w:val="Body"/>
              <w:spacing w:after="0" w:line="240" w:lineRule="auto"/>
              <w:rPr>
                <w:noProof/>
                <w:lang w:val="en-IE"/>
              </w:rPr>
            </w:pPr>
            <w:r w:rsidRPr="00020C03">
              <w:rPr>
                <w:noProof/>
                <w:lang w:val="en-IE"/>
              </w:rPr>
              <w:t>Ensuring data quality</w:t>
            </w:r>
          </w:p>
        </w:tc>
        <w:tc>
          <w:tcPr>
            <w:tcW w:w="4216" w:type="pct"/>
          </w:tcPr>
          <w:p w14:paraId="63807830" w14:textId="77777777" w:rsidR="00020031" w:rsidRPr="00020C03" w:rsidRDefault="00020031" w:rsidP="007F2EFD">
            <w:pPr>
              <w:pStyle w:val="Body"/>
              <w:spacing w:after="0" w:line="240" w:lineRule="auto"/>
              <w:rPr>
                <w:noProof/>
                <w:lang w:val="en-IE"/>
              </w:rPr>
            </w:pPr>
            <w:r w:rsidRPr="00020C03">
              <w:rPr>
                <w:b/>
                <w:noProof/>
                <w:lang w:val="en-IE"/>
              </w:rPr>
              <w:t xml:space="preserve">DATA1 </w:t>
            </w:r>
            <w:r w:rsidRPr="00020C03">
              <w:rPr>
                <w:noProof/>
                <w:lang w:val="en-IE"/>
              </w:rPr>
              <w:t>Label for EU steel producers only, based on self-declared emissions and production volumes</w:t>
            </w:r>
          </w:p>
          <w:p w14:paraId="528FC78A" w14:textId="630F662D" w:rsidR="00020031" w:rsidRPr="00020C03" w:rsidRDefault="00020031" w:rsidP="007F2EFD">
            <w:pPr>
              <w:pStyle w:val="Body"/>
              <w:spacing w:after="0" w:line="240" w:lineRule="auto"/>
              <w:rPr>
                <w:noProof/>
                <w:lang w:val="en-IE"/>
              </w:rPr>
            </w:pPr>
            <w:r w:rsidRPr="00020C03">
              <w:rPr>
                <w:b/>
                <w:noProof/>
                <w:lang w:val="en-IE"/>
              </w:rPr>
              <w:t xml:space="preserve">DATA2 </w:t>
            </w:r>
            <w:r w:rsidRPr="00020C03">
              <w:rPr>
                <w:noProof/>
                <w:lang w:val="en-IE"/>
              </w:rPr>
              <w:t>Label for EU steel producers only, with third-party verification and certification</w:t>
            </w:r>
          </w:p>
          <w:p w14:paraId="70E6EDDE" w14:textId="552547A2" w:rsidR="007F2EFD" w:rsidRPr="00020C03" w:rsidRDefault="00020031" w:rsidP="007F2EFD">
            <w:pPr>
              <w:pStyle w:val="Body"/>
              <w:spacing w:after="0" w:line="240" w:lineRule="auto"/>
              <w:rPr>
                <w:noProof/>
                <w:lang w:val="en-IE"/>
              </w:rPr>
            </w:pPr>
            <w:r w:rsidRPr="00020C03">
              <w:rPr>
                <w:b/>
                <w:noProof/>
                <w:lang w:val="en-IE"/>
              </w:rPr>
              <w:t xml:space="preserve">DATA3 </w:t>
            </w:r>
            <w:r w:rsidRPr="00020C03">
              <w:rPr>
                <w:noProof/>
                <w:lang w:val="en-IE"/>
              </w:rPr>
              <w:t>Label for EU steel producers and importers, with third-party verification and certification</w:t>
            </w:r>
          </w:p>
        </w:tc>
      </w:tr>
    </w:tbl>
    <w:p w14:paraId="4E578633" w14:textId="77777777" w:rsidR="00020031" w:rsidRPr="00FF63D1" w:rsidRDefault="00020031">
      <w:pPr>
        <w:rPr>
          <w:b/>
          <w:noProof/>
        </w:rPr>
      </w:pPr>
    </w:p>
    <w:p w14:paraId="0EC43B21" w14:textId="4304642F" w:rsidR="00020031" w:rsidRPr="00AB1DF9" w:rsidRDefault="00020031" w:rsidP="00020C03">
      <w:pPr>
        <w:pStyle w:val="Heading3"/>
        <w:numPr>
          <w:ilvl w:val="0"/>
          <w:numId w:val="0"/>
        </w:numPr>
        <w:spacing w:before="0"/>
        <w:ind w:left="720" w:hanging="720"/>
        <w:rPr>
          <w:u w:val="single"/>
        </w:rPr>
      </w:pPr>
      <w:r w:rsidRPr="00AB1DF9">
        <w:rPr>
          <w:b/>
          <w:u w:val="single"/>
        </w:rPr>
        <w:t xml:space="preserve">SO2: </w:t>
      </w:r>
      <w:r w:rsidRPr="00AB1DF9">
        <w:rPr>
          <w:rFonts w:cs="Times New Roman"/>
          <w:b/>
          <w:color w:val="000000" w:themeColor="text1"/>
          <w:u w:val="single"/>
        </w:rPr>
        <w:t>Boost demand for European low-carbon products and clean tech</w:t>
      </w:r>
    </w:p>
    <w:p w14:paraId="7B0C92EB" w14:textId="46105F6B" w:rsidR="29318F25" w:rsidRPr="00FF63D1" w:rsidRDefault="29318F25" w:rsidP="00364E03">
      <w:pPr>
        <w:spacing w:after="120"/>
        <w:rPr>
          <w:rFonts w:eastAsia="Times New Roman" w:cs="Times New Roman"/>
          <w:noProof/>
          <w:szCs w:val="24"/>
        </w:rPr>
      </w:pPr>
      <w:r w:rsidRPr="00FF63D1">
        <w:rPr>
          <w:rFonts w:eastAsia="Times New Roman" w:cs="Times New Roman"/>
          <w:noProof/>
        </w:rPr>
        <w:t xml:space="preserve">As established in the problem section, low-carbon </w:t>
      </w:r>
      <w:r w:rsidR="001E7004">
        <w:rPr>
          <w:rFonts w:eastAsia="Times New Roman" w:cs="Times New Roman"/>
          <w:noProof/>
        </w:rPr>
        <w:t xml:space="preserve">industrial </w:t>
      </w:r>
      <w:r w:rsidRPr="00FF63D1">
        <w:rPr>
          <w:rFonts w:eastAsia="Times New Roman" w:cs="Times New Roman"/>
          <w:noProof/>
        </w:rPr>
        <w:t>products are not yet produced at the necessary scale t</w:t>
      </w:r>
      <w:r w:rsidR="6F2BA467" w:rsidRPr="00FF63D1">
        <w:rPr>
          <w:rFonts w:eastAsia="Times New Roman" w:cs="Times New Roman"/>
          <w:noProof/>
        </w:rPr>
        <w:t>o</w:t>
      </w:r>
      <w:r w:rsidRPr="00FF63D1">
        <w:rPr>
          <w:rFonts w:eastAsia="Times New Roman" w:cs="Times New Roman"/>
          <w:noProof/>
        </w:rPr>
        <w:t xml:space="preserve"> compete with conventional </w:t>
      </w:r>
      <w:r w:rsidR="55EDBEC8" w:rsidRPr="00FF63D1">
        <w:rPr>
          <w:rFonts w:eastAsia="Times New Roman" w:cs="Times New Roman"/>
          <w:noProof/>
        </w:rPr>
        <w:t>products</w:t>
      </w:r>
      <w:r w:rsidRPr="00FF63D1">
        <w:rPr>
          <w:rFonts w:eastAsia="Times New Roman" w:cs="Times New Roman"/>
          <w:noProof/>
        </w:rPr>
        <w:t xml:space="preserve">. </w:t>
      </w:r>
      <w:r w:rsidR="00FF5909">
        <w:rPr>
          <w:rFonts w:eastAsia="Times New Roman" w:cs="Times New Roman"/>
          <w:noProof/>
        </w:rPr>
        <w:t>T</w:t>
      </w:r>
      <w:r w:rsidR="3E7BA9C0" w:rsidRPr="00FF63D1">
        <w:rPr>
          <w:rFonts w:eastAsia="Times New Roman" w:cs="Times New Roman"/>
          <w:noProof/>
        </w:rPr>
        <w:t xml:space="preserve">he </w:t>
      </w:r>
      <w:r w:rsidRPr="00FF63D1">
        <w:rPr>
          <w:rFonts w:eastAsia="Times New Roman" w:cs="Times New Roman"/>
          <w:noProof/>
        </w:rPr>
        <w:t>demand and willingness to pay for such materials remain uncertain, making producers hesitant to invest in scaling up their production.</w:t>
      </w:r>
      <w:r w:rsidR="6DC68540" w:rsidRPr="00FF63D1">
        <w:rPr>
          <w:rFonts w:eastAsia="Times New Roman" w:cs="Times New Roman"/>
          <w:noProof/>
        </w:rPr>
        <w:t xml:space="preserve"> Demand-side measures can break the chicken and egg problem. </w:t>
      </w:r>
      <w:r w:rsidR="440D0D56" w:rsidRPr="00FF63D1">
        <w:rPr>
          <w:rFonts w:eastAsia="Times New Roman" w:cs="Times New Roman"/>
          <w:noProof/>
          <w:szCs w:val="24"/>
        </w:rPr>
        <w:t>Lead market initiatives have been introduced around the world to incentivise cleaner alternatives by ensuring</w:t>
      </w:r>
      <w:r w:rsidR="7FD47EE5" w:rsidRPr="00FF63D1">
        <w:rPr>
          <w:rFonts w:eastAsia="Times New Roman" w:cs="Times New Roman"/>
          <w:noProof/>
          <w:szCs w:val="24"/>
        </w:rPr>
        <w:t xml:space="preserve"> </w:t>
      </w:r>
      <w:r w:rsidR="37D936DF" w:rsidRPr="00FF63D1">
        <w:rPr>
          <w:rFonts w:eastAsia="Times New Roman" w:cs="Times New Roman"/>
          <w:noProof/>
          <w:szCs w:val="24"/>
        </w:rPr>
        <w:t xml:space="preserve">a demand, notably through </w:t>
      </w:r>
      <w:r w:rsidR="0C142D1C" w:rsidRPr="00FF63D1">
        <w:rPr>
          <w:rFonts w:eastAsia="Times New Roman" w:cs="Times New Roman"/>
          <w:noProof/>
          <w:szCs w:val="24"/>
        </w:rPr>
        <w:t xml:space="preserve">green </w:t>
      </w:r>
      <w:r w:rsidR="37D936DF" w:rsidRPr="00FF63D1">
        <w:rPr>
          <w:rFonts w:eastAsia="Times New Roman" w:cs="Times New Roman"/>
          <w:noProof/>
          <w:szCs w:val="24"/>
        </w:rPr>
        <w:t>public procurement</w:t>
      </w:r>
      <w:r w:rsidR="078BDD18" w:rsidRPr="00FF63D1">
        <w:rPr>
          <w:rFonts w:eastAsia="Times New Roman" w:cs="Times New Roman"/>
          <w:noProof/>
          <w:szCs w:val="24"/>
        </w:rPr>
        <w:t xml:space="preserve"> policies</w:t>
      </w:r>
      <w:r w:rsidR="37D936DF" w:rsidRPr="00FF63D1">
        <w:rPr>
          <w:rFonts w:eastAsia="Times New Roman" w:cs="Times New Roman"/>
          <w:noProof/>
          <w:szCs w:val="24"/>
        </w:rPr>
        <w:t xml:space="preserve">. </w:t>
      </w:r>
      <w:r w:rsidR="00BA5D9B">
        <w:rPr>
          <w:rFonts w:eastAsia="Times New Roman" w:cs="Times New Roman"/>
          <w:noProof/>
          <w:szCs w:val="24"/>
        </w:rPr>
        <w:t>S</w:t>
      </w:r>
      <w:r w:rsidR="37D936DF" w:rsidRPr="00FF63D1">
        <w:rPr>
          <w:rFonts w:eastAsia="Times New Roman" w:cs="Times New Roman"/>
          <w:noProof/>
          <w:szCs w:val="24"/>
        </w:rPr>
        <w:t>ee Annex 1</w:t>
      </w:r>
      <w:r w:rsidR="00CB6A63">
        <w:rPr>
          <w:rFonts w:eastAsia="Times New Roman" w:cs="Times New Roman"/>
          <w:noProof/>
          <w:szCs w:val="24"/>
        </w:rPr>
        <w:t>0</w:t>
      </w:r>
      <w:r w:rsidR="00FF5909">
        <w:rPr>
          <w:rFonts w:eastAsia="Times New Roman" w:cs="Times New Roman"/>
          <w:noProof/>
          <w:szCs w:val="24"/>
        </w:rPr>
        <w:t xml:space="preserve"> for more information</w:t>
      </w:r>
      <w:r w:rsidR="37D936DF" w:rsidRPr="00FF63D1">
        <w:rPr>
          <w:rFonts w:eastAsia="Times New Roman" w:cs="Times New Roman"/>
          <w:noProof/>
          <w:szCs w:val="24"/>
        </w:rPr>
        <w:t xml:space="preserve">. </w:t>
      </w:r>
    </w:p>
    <w:p w14:paraId="3BB96DB6" w14:textId="5B18070D" w:rsidR="00F60944" w:rsidRPr="00FF63D1" w:rsidRDefault="00F60944" w:rsidP="00364E03">
      <w:pPr>
        <w:spacing w:after="120"/>
        <w:rPr>
          <w:rFonts w:eastAsia="Times New Roman" w:cs="Times New Roman"/>
          <w:noProof/>
          <w:szCs w:val="24"/>
        </w:rPr>
      </w:pPr>
      <w:r w:rsidRPr="00FF63D1">
        <w:rPr>
          <w:rFonts w:eastAsia="Times New Roman" w:cs="Times New Roman"/>
          <w:noProof/>
          <w:szCs w:val="24"/>
        </w:rPr>
        <w:t>It mus</w:t>
      </w:r>
      <w:r w:rsidR="00B70F01" w:rsidRPr="00FF63D1">
        <w:rPr>
          <w:rFonts w:eastAsia="Times New Roman" w:cs="Times New Roman"/>
          <w:noProof/>
          <w:szCs w:val="24"/>
        </w:rPr>
        <w:t xml:space="preserve">t be recalled that all measures considered under SO2 would be subject to a review clause about 5 years after entry into force of this legislation, </w:t>
      </w:r>
      <w:r w:rsidR="005F3121" w:rsidRPr="00FF63D1">
        <w:rPr>
          <w:rFonts w:eastAsia="Times New Roman" w:cs="Times New Roman"/>
          <w:noProof/>
          <w:szCs w:val="24"/>
        </w:rPr>
        <w:t>to</w:t>
      </w:r>
      <w:r w:rsidR="00B70F01" w:rsidRPr="00FF63D1">
        <w:rPr>
          <w:rFonts w:eastAsia="Times New Roman" w:cs="Times New Roman"/>
          <w:noProof/>
          <w:szCs w:val="24"/>
        </w:rPr>
        <w:t xml:space="preserve"> ensure whether such measures remain necessary to achieve the policy objectives of this initiative. </w:t>
      </w:r>
    </w:p>
    <w:p w14:paraId="0A19A3AB" w14:textId="089ADC5F" w:rsidR="001F3255" w:rsidRPr="00FF63D1" w:rsidRDefault="001F3255" w:rsidP="00F72A1D">
      <w:pPr>
        <w:spacing w:before="240" w:after="240"/>
        <w:rPr>
          <w:b/>
          <w:noProof/>
          <w:u w:val="single"/>
        </w:rPr>
      </w:pPr>
      <w:r w:rsidRPr="00FF63D1">
        <w:rPr>
          <w:b/>
          <w:noProof/>
          <w:u w:val="single"/>
        </w:rPr>
        <w:t>Energy intensive industries</w:t>
      </w:r>
    </w:p>
    <w:p w14:paraId="5EA3D5F9" w14:textId="55676A27" w:rsidR="00463C9D" w:rsidRPr="00FF63D1" w:rsidRDefault="00463C9D" w:rsidP="006B12C9">
      <w:pPr>
        <w:jc w:val="left"/>
        <w:rPr>
          <w:i/>
          <w:noProof/>
        </w:rPr>
      </w:pPr>
      <w:r w:rsidRPr="00FF63D1">
        <w:rPr>
          <w:i/>
          <w:noProof/>
        </w:rPr>
        <w:t>Scope considerations for LEAD_EII 1, LEAD_EII 2 and LEAD_EII 3</w:t>
      </w:r>
    </w:p>
    <w:p w14:paraId="67978795" w14:textId="77777777" w:rsidR="008727EE" w:rsidRPr="00FF63D1" w:rsidRDefault="008727EE" w:rsidP="005F02B3">
      <w:pPr>
        <w:rPr>
          <w:rFonts w:eastAsia="Times New Roman"/>
          <w:noProof/>
        </w:rPr>
      </w:pPr>
    </w:p>
    <w:p w14:paraId="1B85707F" w14:textId="1244770A" w:rsidR="001F3255" w:rsidRPr="00FF63D1" w:rsidRDefault="00463C9D" w:rsidP="00766605">
      <w:pPr>
        <w:spacing w:after="120"/>
        <w:rPr>
          <w:rFonts w:eastAsia="Times New Roman"/>
          <w:noProof/>
        </w:rPr>
      </w:pPr>
      <w:r w:rsidRPr="00FF63D1">
        <w:rPr>
          <w:rFonts w:eastAsia="Times New Roman"/>
          <w:noProof/>
        </w:rPr>
        <w:t xml:space="preserve">The most energy- and carbon-intensive sectors include steel, non-metallic minerals and chemicals (and their derivatives such as plastics and fertilisers). Steel and cement alone account for more than 6% of the EU’s annual GHG emissions, and as such are considered in priority in the development of lead markets for low-carbon products. </w:t>
      </w:r>
    </w:p>
    <w:p w14:paraId="22F08B70" w14:textId="279DEF9B" w:rsidR="001F3255" w:rsidRPr="006D38CC" w:rsidRDefault="05AD613A" w:rsidP="006B12C9">
      <w:pPr>
        <w:rPr>
          <w:rFonts w:eastAsia="Times New Roman"/>
          <w:noProof/>
        </w:rPr>
      </w:pPr>
      <w:r w:rsidRPr="00FF63D1">
        <w:rPr>
          <w:rFonts w:eastAsia="Times New Roman"/>
          <w:noProof/>
        </w:rPr>
        <w:t>In addition, aluminium should also be included in the scope consideration given its recognition as a strategic material in the Critical Raw Material Act, its demand increase driven by the green transition needs, as well as its emission intensity.</w:t>
      </w:r>
      <w:r w:rsidR="00463C9D" w:rsidRPr="00FF63D1">
        <w:rPr>
          <w:rStyle w:val="FootnoteReference"/>
          <w:rFonts w:eastAsia="Times New Roman"/>
          <w:noProof/>
        </w:rPr>
        <w:footnoteReference w:id="559"/>
      </w:r>
      <w:r w:rsidRPr="00FF63D1">
        <w:rPr>
          <w:rFonts w:eastAsia="Times New Roman"/>
          <w:noProof/>
        </w:rPr>
        <w:t xml:space="preserve"> </w:t>
      </w:r>
      <w:r w:rsidRPr="00FF63D1">
        <w:rPr>
          <w:rFonts w:eastAsia="Times New Roman"/>
          <w:noProof/>
          <w:lang w:eastAsia="en-GB"/>
        </w:rPr>
        <w:t>W</w:t>
      </w:r>
      <w:r w:rsidRPr="006D38CC">
        <w:rPr>
          <w:rFonts w:eastAsia="Times New Roman"/>
          <w:noProof/>
          <w:lang w:eastAsia="en-GB"/>
        </w:rPr>
        <w:t xml:space="preserve">hile the chemicals industry is </w:t>
      </w:r>
      <w:r w:rsidR="68C9B1C8" w:rsidRPr="006D38CC">
        <w:rPr>
          <w:rFonts w:eastAsia="Times New Roman"/>
          <w:noProof/>
          <w:lang w:eastAsia="en-GB"/>
        </w:rPr>
        <w:t xml:space="preserve">the </w:t>
      </w:r>
      <w:r w:rsidR="006D38CC" w:rsidRPr="006D38CC">
        <w:rPr>
          <w:rFonts w:eastAsia="Times New Roman"/>
          <w:noProof/>
          <w:lang w:eastAsia="en-GB"/>
        </w:rPr>
        <w:t>third</w:t>
      </w:r>
      <w:r w:rsidR="68C9B1C8" w:rsidRPr="006D38CC">
        <w:rPr>
          <w:rFonts w:eastAsia="Times New Roman"/>
          <w:noProof/>
          <w:lang w:eastAsia="en-GB"/>
        </w:rPr>
        <w:t xml:space="preserve"> largest industrial </w:t>
      </w:r>
      <w:r w:rsidRPr="006D38CC">
        <w:rPr>
          <w:rFonts w:eastAsia="Times New Roman"/>
          <w:noProof/>
          <w:lang w:eastAsia="en-GB"/>
        </w:rPr>
        <w:t>contributor to GHG emissions,</w:t>
      </w:r>
      <w:r w:rsidRPr="006D38CC">
        <w:rPr>
          <w:rFonts w:eastAsia="Times New Roman"/>
          <w:noProof/>
        </w:rPr>
        <w:t xml:space="preserve"> the development of robust specific low-carbon criteria for chemicals and derived products (e.g. plastics) presents significant challenges, in particular due to the heterogeneity of the sector and its outputs, which may require a more tailored approach</w:t>
      </w:r>
      <w:r w:rsidR="3EED19BA" w:rsidRPr="006D38CC">
        <w:rPr>
          <w:rFonts w:eastAsia="Times New Roman"/>
          <w:noProof/>
        </w:rPr>
        <w:t xml:space="preserve">, targeted to specific </w:t>
      </w:r>
      <w:r w:rsidR="0A5B4F95" w:rsidRPr="006D38CC">
        <w:rPr>
          <w:rFonts w:eastAsia="Times New Roman"/>
          <w:noProof/>
        </w:rPr>
        <w:t>market</w:t>
      </w:r>
      <w:r w:rsidR="3EED19BA" w:rsidRPr="006D38CC">
        <w:rPr>
          <w:rFonts w:eastAsia="Times New Roman"/>
          <w:noProof/>
        </w:rPr>
        <w:t xml:space="preserve"> segments, such as pla</w:t>
      </w:r>
      <w:r w:rsidR="52E91BBD" w:rsidRPr="006D38CC">
        <w:rPr>
          <w:rFonts w:eastAsia="Times New Roman"/>
          <w:noProof/>
        </w:rPr>
        <w:t xml:space="preserve">stic products used in </w:t>
      </w:r>
      <w:r w:rsidR="3EED19BA" w:rsidRPr="006D38CC">
        <w:rPr>
          <w:rFonts w:eastAsia="Times New Roman"/>
          <w:noProof/>
        </w:rPr>
        <w:t xml:space="preserve">construction. </w:t>
      </w:r>
    </w:p>
    <w:p w14:paraId="56238C99" w14:textId="3CD2A55C" w:rsidR="00020031" w:rsidRPr="00FF63D1" w:rsidRDefault="00463C9D" w:rsidP="00F103DE">
      <w:pPr>
        <w:spacing w:after="120"/>
        <w:rPr>
          <w:rFonts w:eastAsia="Times New Roman"/>
          <w:noProof/>
        </w:rPr>
      </w:pPr>
      <w:r w:rsidRPr="00FF63D1">
        <w:rPr>
          <w:rFonts w:eastAsia="Times New Roman"/>
          <w:noProof/>
        </w:rPr>
        <w:t xml:space="preserve">Other energy intensive sectors should be considered as appropriate. For these energy intensive materials, the relevant downstream sectors should be identified to support the creation of lead markets. </w:t>
      </w:r>
    </w:p>
    <w:p w14:paraId="2CD59BDB" w14:textId="59FEB43C" w:rsidR="00020031" w:rsidRPr="00FF63D1" w:rsidRDefault="770637A8" w:rsidP="00766605">
      <w:pPr>
        <w:spacing w:after="120"/>
        <w:rPr>
          <w:rStyle w:val="normaltextrun"/>
          <w:rFonts w:eastAsia="Times New Roman"/>
          <w:noProof/>
        </w:rPr>
      </w:pPr>
      <w:r w:rsidRPr="00FF63D1">
        <w:rPr>
          <w:rStyle w:val="normaltextrun"/>
          <w:rFonts w:eastAsia="Times New Roman"/>
          <w:noProof/>
        </w:rPr>
        <w:t>Suitable lead markets</w:t>
      </w:r>
      <w:r w:rsidR="404A2814" w:rsidRPr="00FF63D1">
        <w:rPr>
          <w:rStyle w:val="normaltextrun"/>
          <w:rFonts w:eastAsia="Times New Roman"/>
          <w:noProof/>
        </w:rPr>
        <w:t xml:space="preserve"> </w:t>
      </w:r>
      <w:r w:rsidRPr="00FF63D1">
        <w:rPr>
          <w:rStyle w:val="normaltextrun"/>
          <w:rFonts w:eastAsia="Times New Roman"/>
          <w:noProof/>
        </w:rPr>
        <w:t xml:space="preserve">to </w:t>
      </w:r>
      <w:r w:rsidR="5700DB1E" w:rsidRPr="00FF63D1">
        <w:rPr>
          <w:rStyle w:val="normaltextrun"/>
          <w:rFonts w:eastAsia="Times New Roman"/>
          <w:noProof/>
        </w:rPr>
        <w:t>stimulate</w:t>
      </w:r>
      <w:r w:rsidRPr="00FF63D1">
        <w:rPr>
          <w:rStyle w:val="normaltextrun"/>
          <w:rFonts w:eastAsia="Times New Roman"/>
          <w:noProof/>
        </w:rPr>
        <w:t xml:space="preserve"> demand for low-carbon materials </w:t>
      </w:r>
      <w:r w:rsidR="404A2814" w:rsidRPr="00FF63D1">
        <w:rPr>
          <w:rStyle w:val="normaltextrun"/>
          <w:rFonts w:eastAsia="Times New Roman"/>
          <w:noProof/>
        </w:rPr>
        <w:t xml:space="preserve">are generally downstream industries </w:t>
      </w:r>
      <w:r w:rsidR="4714C530" w:rsidRPr="00FF63D1">
        <w:rPr>
          <w:rStyle w:val="normaltextrun"/>
          <w:rFonts w:eastAsia="Times New Roman"/>
          <w:noProof/>
        </w:rPr>
        <w:t xml:space="preserve">where the </w:t>
      </w:r>
      <w:r w:rsidR="4714C530" w:rsidRPr="00766605">
        <w:rPr>
          <w:noProof/>
        </w:rPr>
        <w:t>share</w:t>
      </w:r>
      <w:r w:rsidR="4714C530" w:rsidRPr="00FF63D1">
        <w:rPr>
          <w:rStyle w:val="normaltextrun"/>
          <w:rFonts w:eastAsia="Times New Roman"/>
          <w:noProof/>
        </w:rPr>
        <w:t xml:space="preserve"> of</w:t>
      </w:r>
      <w:r w:rsidR="404A2814" w:rsidRPr="00FF63D1">
        <w:rPr>
          <w:rStyle w:val="normaltextrun"/>
          <w:rFonts w:eastAsia="Times New Roman"/>
          <w:noProof/>
        </w:rPr>
        <w:t xml:space="preserve"> </w:t>
      </w:r>
      <w:r w:rsidR="4714C530" w:rsidRPr="00FF63D1">
        <w:rPr>
          <w:rStyle w:val="normaltextrun"/>
          <w:rFonts w:eastAsia="Times New Roman"/>
          <w:noProof/>
        </w:rPr>
        <w:t xml:space="preserve">energy-intensive </w:t>
      </w:r>
      <w:r w:rsidR="404A2814" w:rsidRPr="00FF63D1">
        <w:rPr>
          <w:rStyle w:val="normaltextrun"/>
          <w:rFonts w:eastAsia="Times New Roman"/>
          <w:noProof/>
        </w:rPr>
        <w:t xml:space="preserve">input in total production value is relatively small (thus reducing the impact of any price premium) </w:t>
      </w:r>
      <w:r w:rsidR="4714C530" w:rsidRPr="00FF63D1">
        <w:rPr>
          <w:rStyle w:val="normaltextrun"/>
          <w:rFonts w:eastAsia="Times New Roman"/>
          <w:noProof/>
        </w:rPr>
        <w:t xml:space="preserve">while </w:t>
      </w:r>
      <w:r w:rsidR="404A2814" w:rsidRPr="00FF63D1">
        <w:rPr>
          <w:rStyle w:val="normaltextrun"/>
          <w:rFonts w:eastAsia="Times New Roman"/>
          <w:noProof/>
        </w:rPr>
        <w:t xml:space="preserve">output volumes </w:t>
      </w:r>
      <w:r w:rsidR="4714C530" w:rsidRPr="00FF63D1">
        <w:rPr>
          <w:rStyle w:val="normaltextrun"/>
          <w:rFonts w:eastAsia="Times New Roman"/>
          <w:noProof/>
        </w:rPr>
        <w:t xml:space="preserve">are sufficiently large </w:t>
      </w:r>
      <w:r w:rsidR="404A2814" w:rsidRPr="00FF63D1">
        <w:rPr>
          <w:rStyle w:val="normaltextrun"/>
          <w:rFonts w:eastAsia="Times New Roman"/>
          <w:noProof/>
        </w:rPr>
        <w:t>to support the scaling</w:t>
      </w:r>
      <w:r w:rsidR="0A36CDE7" w:rsidRPr="00FF63D1">
        <w:rPr>
          <w:rStyle w:val="normaltextrun"/>
          <w:rFonts w:eastAsia="Times New Roman"/>
          <w:noProof/>
        </w:rPr>
        <w:t>-</w:t>
      </w:r>
      <w:r w:rsidR="404A2814" w:rsidRPr="00FF63D1">
        <w:rPr>
          <w:rStyle w:val="normaltextrun"/>
          <w:rFonts w:eastAsia="Times New Roman"/>
          <w:noProof/>
        </w:rPr>
        <w:t>up of low-carbon production.</w:t>
      </w:r>
      <w:r w:rsidR="00020031" w:rsidRPr="00FF63D1">
        <w:rPr>
          <w:rStyle w:val="FootnoteReference"/>
          <w:rFonts w:eastAsia="Times New Roman"/>
          <w:noProof/>
        </w:rPr>
        <w:footnoteReference w:id="560"/>
      </w:r>
      <w:r w:rsidR="00CD01D3">
        <w:rPr>
          <w:rStyle w:val="normaltextrun"/>
          <w:rFonts w:eastAsia="Times New Roman"/>
          <w:noProof/>
        </w:rPr>
        <w:t xml:space="preserve"> </w:t>
      </w:r>
    </w:p>
    <w:p w14:paraId="19C8E4F9" w14:textId="2C0E439D" w:rsidR="00020031" w:rsidRPr="00FF63D1" w:rsidRDefault="00020031" w:rsidP="00DD411F">
      <w:pPr>
        <w:keepNext/>
        <w:jc w:val="center"/>
        <w:rPr>
          <w:noProof/>
        </w:rPr>
      </w:pPr>
      <w:r w:rsidRPr="0054474F">
        <w:rPr>
          <w:noProof/>
          <w:lang w:eastAsia="en-GB"/>
        </w:rPr>
        <w:drawing>
          <wp:inline distT="0" distB="0" distL="0" distR="0" wp14:anchorId="00F92354" wp14:editId="4935ADC7">
            <wp:extent cx="5794097" cy="1892595"/>
            <wp:effectExtent l="0" t="0" r="0" b="0"/>
            <wp:docPr id="1061976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807227" cy="1896884"/>
                    </a:xfrm>
                    <a:prstGeom prst="rect">
                      <a:avLst/>
                    </a:prstGeom>
                    <a:noFill/>
                    <a:ln>
                      <a:noFill/>
                    </a:ln>
                  </pic:spPr>
                </pic:pic>
              </a:graphicData>
            </a:graphic>
          </wp:inline>
        </w:drawing>
      </w:r>
    </w:p>
    <w:p w14:paraId="4B04D1B7" w14:textId="1E22C1F4" w:rsidR="00020031" w:rsidRPr="005754F4" w:rsidRDefault="404A2814" w:rsidP="00DD411F">
      <w:pPr>
        <w:pStyle w:val="Caption"/>
        <w:jc w:val="center"/>
        <w:rPr>
          <w:rStyle w:val="normaltextrun"/>
          <w:noProof/>
          <w:sz w:val="20"/>
          <w:szCs w:val="14"/>
        </w:rPr>
      </w:pPr>
      <w:r w:rsidRPr="005754F4">
        <w:rPr>
          <w:noProof/>
          <w:sz w:val="20"/>
          <w:szCs w:val="20"/>
        </w:rPr>
        <w:t xml:space="preserve">Figure </w:t>
      </w:r>
      <w:r w:rsidR="00020031" w:rsidRPr="005754F4">
        <w:rPr>
          <w:noProof/>
          <w:sz w:val="20"/>
          <w:szCs w:val="20"/>
        </w:rPr>
        <w:fldChar w:fldCharType="begin"/>
      </w:r>
      <w:r w:rsidR="00020031" w:rsidRPr="005754F4">
        <w:rPr>
          <w:noProof/>
          <w:sz w:val="20"/>
          <w:szCs w:val="20"/>
          <w:lang w:val="en-IE"/>
        </w:rPr>
        <w:instrText xml:space="preserve"> SEQ Figure \* ARABIC </w:instrText>
      </w:r>
      <w:r w:rsidR="00020031" w:rsidRPr="005754F4">
        <w:rPr>
          <w:noProof/>
          <w:sz w:val="20"/>
          <w:szCs w:val="20"/>
        </w:rPr>
        <w:fldChar w:fldCharType="separate"/>
      </w:r>
      <w:r w:rsidR="07FDC849">
        <w:rPr>
          <w:noProof/>
          <w:sz w:val="20"/>
          <w:szCs w:val="20"/>
          <w:lang w:val="en-IE"/>
        </w:rPr>
        <w:t>26</w:t>
      </w:r>
      <w:r w:rsidR="00020031" w:rsidRPr="005754F4">
        <w:rPr>
          <w:noProof/>
          <w:sz w:val="20"/>
          <w:szCs w:val="20"/>
        </w:rPr>
        <w:fldChar w:fldCharType="end"/>
      </w:r>
      <w:r w:rsidR="27866EBC" w:rsidRPr="005754F4">
        <w:rPr>
          <w:noProof/>
          <w:sz w:val="20"/>
          <w:szCs w:val="20"/>
        </w:rPr>
        <w:t>:</w:t>
      </w:r>
      <w:r w:rsidRPr="005754F4">
        <w:rPr>
          <w:noProof/>
          <w:sz w:val="20"/>
          <w:szCs w:val="20"/>
        </w:rPr>
        <w:t xml:space="preserve"> Breakdown of energy intensive materials (steel, cement and aluminium) use in downstream sectors</w:t>
      </w:r>
      <w:r w:rsidR="00020031" w:rsidRPr="005754F4">
        <w:rPr>
          <w:rStyle w:val="FootnoteReference"/>
          <w:rFonts w:eastAsia="Times New Roman"/>
          <w:noProof/>
          <w:sz w:val="20"/>
          <w:szCs w:val="20"/>
        </w:rPr>
        <w:footnoteReference w:id="561"/>
      </w:r>
    </w:p>
    <w:p w14:paraId="1DB6BE3D" w14:textId="77777777" w:rsidR="007F2EFD" w:rsidRPr="00FF63D1" w:rsidRDefault="007F2EFD" w:rsidP="007F2EFD">
      <w:pPr>
        <w:rPr>
          <w:rFonts w:eastAsia="Times New Roman"/>
          <w:noProof/>
        </w:rPr>
      </w:pPr>
    </w:p>
    <w:p w14:paraId="12EE283C" w14:textId="1F713201" w:rsidR="00020031" w:rsidRPr="00FF63D1" w:rsidRDefault="00020031" w:rsidP="00766605">
      <w:pPr>
        <w:spacing w:after="120"/>
        <w:rPr>
          <w:rFonts w:eastAsia="Times New Roman"/>
          <w:noProof/>
          <w:lang w:eastAsia="en-GB"/>
        </w:rPr>
      </w:pPr>
      <w:r w:rsidRPr="00FF63D1">
        <w:rPr>
          <w:rFonts w:eastAsia="Times New Roman"/>
          <w:noProof/>
        </w:rPr>
        <w:t xml:space="preserve">Based on </w:t>
      </w:r>
      <w:r w:rsidRPr="00766605">
        <w:rPr>
          <w:rStyle w:val="normaltextrun"/>
          <w:noProof/>
        </w:rPr>
        <w:t>the</w:t>
      </w:r>
      <w:r w:rsidRPr="00FF63D1">
        <w:rPr>
          <w:rFonts w:eastAsia="Times New Roman"/>
          <w:noProof/>
        </w:rPr>
        <w:t xml:space="preserve"> figure above, </w:t>
      </w:r>
      <w:r w:rsidRPr="00FF63D1">
        <w:rPr>
          <w:rFonts w:eastAsia="Times New Roman"/>
          <w:b/>
          <w:noProof/>
        </w:rPr>
        <w:t xml:space="preserve">the automotive and construction sectors, </w:t>
      </w:r>
      <w:r w:rsidRPr="00FF63D1">
        <w:rPr>
          <w:rFonts w:eastAsia="Times New Roman"/>
          <w:noProof/>
        </w:rPr>
        <w:t>major consumers of</w:t>
      </w:r>
      <w:r w:rsidRPr="00FF63D1">
        <w:rPr>
          <w:rFonts w:eastAsia="Times New Roman"/>
          <w:b/>
          <w:noProof/>
        </w:rPr>
        <w:t xml:space="preserve"> cement, aluminium and steel</w:t>
      </w:r>
      <w:r w:rsidRPr="00FF63D1">
        <w:rPr>
          <w:rFonts w:eastAsia="Times New Roman"/>
          <w:noProof/>
        </w:rPr>
        <w:t>, can play a key role in driving decarbonisation across these industries</w:t>
      </w:r>
      <w:r w:rsidR="00F013F4">
        <w:rPr>
          <w:rFonts w:eastAsia="Times New Roman"/>
          <w:noProof/>
        </w:rPr>
        <w:t xml:space="preserve"> since t</w:t>
      </w:r>
      <w:r w:rsidR="00F013F4" w:rsidRPr="00CD01D3">
        <w:rPr>
          <w:rFonts w:eastAsia="Times New Roman"/>
          <w:noProof/>
        </w:rPr>
        <w:t>he cost</w:t>
      </w:r>
      <w:r w:rsidR="00F013F4">
        <w:rPr>
          <w:rFonts w:eastAsia="Times New Roman"/>
          <w:noProof/>
        </w:rPr>
        <w:t>s of their end products</w:t>
      </w:r>
      <w:r w:rsidR="00F013F4" w:rsidRPr="00CD01D3">
        <w:rPr>
          <w:rFonts w:eastAsia="Times New Roman"/>
          <w:noProof/>
        </w:rPr>
        <w:t xml:space="preserve"> is </w:t>
      </w:r>
      <w:r w:rsidR="00F8173E">
        <w:rPr>
          <w:rFonts w:eastAsia="Times New Roman"/>
          <w:noProof/>
        </w:rPr>
        <w:t>minimally</w:t>
      </w:r>
      <w:r w:rsidR="002B588A">
        <w:rPr>
          <w:rFonts w:eastAsia="Times New Roman"/>
          <w:noProof/>
        </w:rPr>
        <w:t xml:space="preserve"> driven by</w:t>
      </w:r>
      <w:r w:rsidR="00F013F4" w:rsidRPr="00CD01D3">
        <w:rPr>
          <w:rFonts w:eastAsia="Times New Roman"/>
          <w:noProof/>
        </w:rPr>
        <w:t xml:space="preserve"> the </w:t>
      </w:r>
      <w:r w:rsidR="00186235">
        <w:rPr>
          <w:rFonts w:eastAsia="Times New Roman"/>
          <w:noProof/>
        </w:rPr>
        <w:t>shares</w:t>
      </w:r>
      <w:r w:rsidR="00F013F4" w:rsidRPr="00CD01D3">
        <w:rPr>
          <w:rFonts w:eastAsia="Times New Roman"/>
          <w:noProof/>
        </w:rPr>
        <w:t xml:space="preserve"> of </w:t>
      </w:r>
      <w:r w:rsidR="00C87A7C">
        <w:rPr>
          <w:rFonts w:eastAsia="Times New Roman"/>
          <w:noProof/>
        </w:rPr>
        <w:t>the material</w:t>
      </w:r>
      <w:r w:rsidR="00F013F4" w:rsidRPr="00CD01D3">
        <w:rPr>
          <w:rFonts w:eastAsia="Times New Roman"/>
          <w:noProof/>
        </w:rPr>
        <w:t xml:space="preserve">, but rather </w:t>
      </w:r>
      <w:r w:rsidR="00186235">
        <w:rPr>
          <w:rFonts w:eastAsia="Times New Roman"/>
          <w:noProof/>
        </w:rPr>
        <w:t>from other</w:t>
      </w:r>
      <w:r w:rsidR="00F013F4" w:rsidRPr="00CD01D3">
        <w:rPr>
          <w:rFonts w:eastAsia="Times New Roman"/>
          <w:noProof/>
        </w:rPr>
        <w:t xml:space="preserve"> value-added activities related to how </w:t>
      </w:r>
      <w:r w:rsidR="00C87A7C">
        <w:rPr>
          <w:rFonts w:eastAsia="Times New Roman"/>
          <w:noProof/>
        </w:rPr>
        <w:t>these products</w:t>
      </w:r>
      <w:r w:rsidR="00F013F4" w:rsidRPr="00CD01D3">
        <w:rPr>
          <w:rFonts w:eastAsia="Times New Roman"/>
          <w:noProof/>
        </w:rPr>
        <w:t xml:space="preserve"> </w:t>
      </w:r>
      <w:r w:rsidR="00C87A7C">
        <w:rPr>
          <w:rFonts w:eastAsia="Times New Roman"/>
          <w:noProof/>
        </w:rPr>
        <w:t>are</w:t>
      </w:r>
      <w:r w:rsidR="00F013F4" w:rsidRPr="00CD01D3">
        <w:rPr>
          <w:rFonts w:eastAsia="Times New Roman"/>
          <w:noProof/>
        </w:rPr>
        <w:t xml:space="preserve"> designed and manufactured</w:t>
      </w:r>
      <w:r w:rsidR="001A70E0">
        <w:rPr>
          <w:rFonts w:eastAsia="Times New Roman"/>
          <w:noProof/>
        </w:rPr>
        <w:t>.</w:t>
      </w:r>
      <w:r w:rsidR="00E32A53">
        <w:rPr>
          <w:rStyle w:val="FootnoteReference"/>
          <w:rFonts w:eastAsia="Times New Roman"/>
          <w:noProof/>
        </w:rPr>
        <w:footnoteReference w:id="562"/>
      </w:r>
    </w:p>
    <w:p w14:paraId="0C658F30" w14:textId="2C4B01B1" w:rsidR="00D510B4" w:rsidRPr="00FF63D1" w:rsidRDefault="00D510B4" w:rsidP="00766605">
      <w:pPr>
        <w:spacing w:after="120"/>
        <w:rPr>
          <w:rFonts w:eastAsia="Times New Roman"/>
          <w:noProof/>
        </w:rPr>
      </w:pPr>
      <w:r w:rsidRPr="00FF63D1">
        <w:rPr>
          <w:rFonts w:eastAsia="Times New Roman"/>
          <w:noProof/>
          <w:lang w:eastAsia="en-GB"/>
        </w:rPr>
        <w:t xml:space="preserve">In the </w:t>
      </w:r>
      <w:r w:rsidRPr="00766605">
        <w:rPr>
          <w:rStyle w:val="normaltextrun"/>
          <w:noProof/>
        </w:rPr>
        <w:t>automotive</w:t>
      </w:r>
      <w:r w:rsidRPr="00FF63D1">
        <w:rPr>
          <w:rFonts w:eastAsia="Times New Roman"/>
          <w:noProof/>
          <w:lang w:eastAsia="en-GB"/>
        </w:rPr>
        <w:t xml:space="preserve"> and construction sectors, low-carbon requirements could be introduced through different intervention areas, depending on the level of ambition pursued:</w:t>
      </w:r>
      <w:r w:rsidRPr="00FF63D1">
        <w:rPr>
          <w:rFonts w:eastAsia="Times New Roman"/>
          <w:noProof/>
        </w:rPr>
        <w:t xml:space="preserve"> </w:t>
      </w:r>
    </w:p>
    <w:p w14:paraId="2F32CF13" w14:textId="77777777" w:rsidR="00D510B4" w:rsidRPr="00FF63D1" w:rsidRDefault="00D510B4" w:rsidP="00D510B4">
      <w:pPr>
        <w:pStyle w:val="ListParagraph"/>
        <w:numPr>
          <w:ilvl w:val="0"/>
          <w:numId w:val="22"/>
        </w:numPr>
        <w:spacing w:after="240"/>
        <w:ind w:left="426"/>
        <w:rPr>
          <w:rFonts w:eastAsia="Times New Roman"/>
          <w:noProof/>
        </w:rPr>
      </w:pPr>
      <w:r w:rsidRPr="00FF63D1">
        <w:rPr>
          <w:rFonts w:eastAsia="Times New Roman"/>
          <w:i/>
          <w:noProof/>
        </w:rPr>
        <w:t>Public procurement</w:t>
      </w:r>
      <w:r w:rsidRPr="00FF63D1">
        <w:rPr>
          <w:rFonts w:eastAsia="Times New Roman"/>
          <w:noProof/>
        </w:rPr>
        <w:t xml:space="preserve">: requiring contracting authorities to incorporate low-carbon criteria (as a technical requirement or award criteria) into public procurement procedures related to the use of energy intensive materials in certain selected downstream sectors. </w:t>
      </w:r>
    </w:p>
    <w:p w14:paraId="4B3ECCF1" w14:textId="31D70A15" w:rsidR="00D510B4" w:rsidRPr="00FF63D1" w:rsidRDefault="00D510B4" w:rsidP="00D510B4">
      <w:pPr>
        <w:pStyle w:val="ListParagraph"/>
        <w:numPr>
          <w:ilvl w:val="0"/>
          <w:numId w:val="22"/>
        </w:numPr>
        <w:spacing w:after="240"/>
        <w:ind w:left="426"/>
        <w:rPr>
          <w:rFonts w:eastAsia="Times New Roman"/>
          <w:noProof/>
        </w:rPr>
      </w:pPr>
      <w:r w:rsidRPr="00FF63D1">
        <w:rPr>
          <w:rFonts w:eastAsia="Times New Roman"/>
          <w:i/>
          <w:noProof/>
        </w:rPr>
        <w:t>All public support schemes</w:t>
      </w:r>
      <w:r w:rsidRPr="00FF63D1">
        <w:rPr>
          <w:rFonts w:eastAsia="Times New Roman"/>
          <w:noProof/>
        </w:rPr>
        <w:t xml:space="preserve"> (incentives, grants, subsidies, tax benefits): requiring Member States to integrate low-carbon criteria concerning the use of a minimum share of energy intensive materials (e.g. steel) in selected downstream sectors, subject to public support schemes (e.g. tax incentives for purchasing an </w:t>
      </w:r>
      <w:r w:rsidR="003D0422">
        <w:rPr>
          <w:rFonts w:eastAsia="Times New Roman"/>
          <w:noProof/>
        </w:rPr>
        <w:t>EV</w:t>
      </w:r>
      <w:r w:rsidRPr="00FF63D1">
        <w:rPr>
          <w:rFonts w:eastAsia="Times New Roman"/>
          <w:noProof/>
        </w:rPr>
        <w:t xml:space="preserve">), without prejudice to State aid rules. </w:t>
      </w:r>
    </w:p>
    <w:p w14:paraId="43490681" w14:textId="77777777" w:rsidR="00D510B4" w:rsidRPr="00FF63D1" w:rsidRDefault="00D510B4" w:rsidP="00D510B4">
      <w:pPr>
        <w:pStyle w:val="ListParagraph"/>
        <w:numPr>
          <w:ilvl w:val="0"/>
          <w:numId w:val="22"/>
        </w:numPr>
        <w:spacing w:after="240"/>
        <w:ind w:left="426"/>
        <w:rPr>
          <w:rFonts w:eastAsia="Times New Roman"/>
          <w:noProof/>
        </w:rPr>
      </w:pPr>
      <w:r w:rsidRPr="00FF63D1">
        <w:rPr>
          <w:rFonts w:eastAsia="Times New Roman"/>
          <w:i/>
          <w:noProof/>
        </w:rPr>
        <w:t>Products placed on the market</w:t>
      </w:r>
      <w:r w:rsidRPr="00FF63D1">
        <w:rPr>
          <w:rFonts w:eastAsia="Times New Roman"/>
          <w:noProof/>
        </w:rPr>
        <w:t xml:space="preserve"> (product regulation/internal market rules): establishing minimum mandatory low-carbon requirements for energy intensive materials (e.g. steel) used in products (e.g. vehicles) placed on the EU market – which manufacturers must comply with. </w:t>
      </w:r>
    </w:p>
    <w:p w14:paraId="44E68E7B" w14:textId="255E1FAE" w:rsidR="00BB08EA" w:rsidRPr="00FF63D1" w:rsidRDefault="00BB08EA" w:rsidP="00766605">
      <w:pPr>
        <w:spacing w:after="120"/>
        <w:rPr>
          <w:rFonts w:eastAsia="Times New Roman"/>
          <w:noProof/>
          <w:lang w:eastAsia="en-GB"/>
        </w:rPr>
      </w:pPr>
      <w:r w:rsidRPr="00FF63D1">
        <w:rPr>
          <w:rFonts w:eastAsia="Times New Roman"/>
          <w:noProof/>
        </w:rPr>
        <w:t xml:space="preserve">Other </w:t>
      </w:r>
      <w:r w:rsidRPr="00766605">
        <w:rPr>
          <w:rStyle w:val="normaltextrun"/>
          <w:noProof/>
        </w:rPr>
        <w:t>sectors</w:t>
      </w:r>
      <w:r w:rsidRPr="00FF63D1">
        <w:rPr>
          <w:rFonts w:eastAsia="Times New Roman"/>
          <w:noProof/>
        </w:rPr>
        <w:t xml:space="preserve"> </w:t>
      </w:r>
      <w:r w:rsidR="00D510B4" w:rsidRPr="00FF63D1">
        <w:rPr>
          <w:rFonts w:eastAsia="Times New Roman"/>
          <w:noProof/>
        </w:rPr>
        <w:t xml:space="preserve">were identified </w:t>
      </w:r>
      <w:r w:rsidR="006C5BA0" w:rsidRPr="00FF63D1">
        <w:rPr>
          <w:rFonts w:eastAsia="Times New Roman"/>
          <w:noProof/>
        </w:rPr>
        <w:t xml:space="preserve">due to </w:t>
      </w:r>
      <w:r w:rsidR="00D510B4" w:rsidRPr="00FF63D1">
        <w:rPr>
          <w:rFonts w:eastAsia="Times New Roman"/>
          <w:noProof/>
        </w:rPr>
        <w:t xml:space="preserve">their </w:t>
      </w:r>
      <w:r w:rsidR="006C5BA0" w:rsidRPr="00FF63D1">
        <w:rPr>
          <w:rFonts w:eastAsia="Times New Roman"/>
          <w:noProof/>
        </w:rPr>
        <w:t xml:space="preserve">potential </w:t>
      </w:r>
      <w:r w:rsidR="00D510B4" w:rsidRPr="00FF63D1">
        <w:rPr>
          <w:rFonts w:eastAsia="Times New Roman"/>
          <w:noProof/>
        </w:rPr>
        <w:t>relevance</w:t>
      </w:r>
      <w:r w:rsidR="009E64B5" w:rsidRPr="00FF63D1">
        <w:rPr>
          <w:rFonts w:eastAsia="Times New Roman"/>
          <w:noProof/>
        </w:rPr>
        <w:t>, but not considered for measures at this stage</w:t>
      </w:r>
      <w:r w:rsidRPr="00FF63D1">
        <w:rPr>
          <w:rFonts w:eastAsia="Times New Roman"/>
          <w:noProof/>
        </w:rPr>
        <w:t xml:space="preserve">: </w:t>
      </w:r>
    </w:p>
    <w:p w14:paraId="698157AC" w14:textId="45235461" w:rsidR="007F2EFD" w:rsidRPr="00FF63D1" w:rsidRDefault="00020031" w:rsidP="00766605">
      <w:pPr>
        <w:spacing w:after="120"/>
        <w:rPr>
          <w:rFonts w:eastAsia="Times New Roman"/>
          <w:noProof/>
        </w:rPr>
      </w:pPr>
      <w:r w:rsidRPr="00FF63D1" w:rsidDel="00C272CD">
        <w:rPr>
          <w:rFonts w:eastAsia="Times New Roman" w:cs="Times New Roman"/>
          <w:noProof/>
          <w:szCs w:val="24"/>
        </w:rPr>
        <w:t>T</w:t>
      </w:r>
      <w:r w:rsidRPr="00FF63D1">
        <w:rPr>
          <w:rFonts w:eastAsia="Times New Roman" w:cs="Times New Roman"/>
          <w:noProof/>
          <w:szCs w:val="24"/>
        </w:rPr>
        <w:t xml:space="preserve">he </w:t>
      </w:r>
      <w:r w:rsidRPr="00FF63D1">
        <w:rPr>
          <w:rFonts w:eastAsia="Times New Roman" w:cs="Times New Roman"/>
          <w:b/>
          <w:noProof/>
          <w:szCs w:val="24"/>
        </w:rPr>
        <w:t>wind energy</w:t>
      </w:r>
      <w:r w:rsidRPr="00FF63D1">
        <w:rPr>
          <w:rFonts w:eastAsia="Times New Roman" w:cs="Times New Roman"/>
          <w:noProof/>
          <w:szCs w:val="24"/>
        </w:rPr>
        <w:t xml:space="preserve"> sector also emerges as a relevant downstream sector</w:t>
      </w:r>
      <w:r w:rsidR="00523369" w:rsidRPr="00FF63D1">
        <w:rPr>
          <w:rFonts w:eastAsia="Times New Roman" w:cs="Times New Roman"/>
          <w:noProof/>
          <w:szCs w:val="24"/>
        </w:rPr>
        <w:t xml:space="preserve"> for energy intensive industries and in particular steel. The</w:t>
      </w:r>
      <w:r w:rsidRPr="00FF63D1">
        <w:rPr>
          <w:rFonts w:eastAsia="Times New Roman" w:cs="Times New Roman"/>
          <w:noProof/>
          <w:szCs w:val="24"/>
        </w:rPr>
        <w:t xml:space="preserve"> EU plans a significant expansion of wind energy capacity to meet its climate objectives</w:t>
      </w:r>
      <w:r w:rsidR="00523369" w:rsidRPr="00FF63D1">
        <w:rPr>
          <w:rFonts w:eastAsia="Times New Roman" w:cs="Times New Roman"/>
          <w:noProof/>
          <w:szCs w:val="24"/>
        </w:rPr>
        <w:t xml:space="preserve"> and wind</w:t>
      </w:r>
      <w:r w:rsidRPr="00FF63D1">
        <w:rPr>
          <w:rFonts w:eastAsia="Times New Roman" w:cs="Times New Roman"/>
          <w:noProof/>
          <w:szCs w:val="24"/>
        </w:rPr>
        <w:t xml:space="preserve"> turbines are highly steel-intensive, with steel requirements estimated at 107-132 tonnes per MW, making it a relevant sector for decarbonisation</w:t>
      </w:r>
      <w:r w:rsidR="00523369" w:rsidRPr="00FF63D1">
        <w:rPr>
          <w:rFonts w:eastAsia="Times New Roman" w:cs="Times New Roman"/>
          <w:noProof/>
          <w:szCs w:val="24"/>
        </w:rPr>
        <w:t xml:space="preserve">, beyond its direct contribution as a clean energy technology. At the same time, also the impact of potential measures on the competitiveness of the sector </w:t>
      </w:r>
      <w:r w:rsidR="008A5109">
        <w:rPr>
          <w:rFonts w:eastAsia="Times New Roman" w:cs="Times New Roman"/>
          <w:noProof/>
          <w:szCs w:val="24"/>
        </w:rPr>
        <w:t xml:space="preserve">would </w:t>
      </w:r>
      <w:r w:rsidR="00523369" w:rsidRPr="00FF63D1">
        <w:rPr>
          <w:rFonts w:eastAsia="Times New Roman" w:cs="Times New Roman"/>
          <w:noProof/>
          <w:szCs w:val="24"/>
        </w:rPr>
        <w:t>need to be assessed</w:t>
      </w:r>
      <w:r w:rsidR="008A5109">
        <w:rPr>
          <w:rFonts w:eastAsia="Times New Roman" w:cs="Times New Roman"/>
          <w:noProof/>
          <w:szCs w:val="24"/>
        </w:rPr>
        <w:t>.</w:t>
      </w:r>
    </w:p>
    <w:p w14:paraId="32372A71" w14:textId="77777777" w:rsidR="00020031" w:rsidRPr="00FF63D1" w:rsidRDefault="00020031" w:rsidP="007F2EFD">
      <w:pPr>
        <w:rPr>
          <w:rFonts w:eastAsia="Times New Roman"/>
          <w:noProof/>
        </w:rPr>
      </w:pPr>
      <w:r w:rsidRPr="00FF63D1">
        <w:rPr>
          <w:rFonts w:eastAsia="Times New Roman"/>
          <w:noProof/>
        </w:rPr>
        <w:t xml:space="preserve">Similarly, the European </w:t>
      </w:r>
      <w:r w:rsidRPr="00FF63D1">
        <w:rPr>
          <w:rFonts w:eastAsia="Times New Roman"/>
          <w:b/>
          <w:noProof/>
        </w:rPr>
        <w:t>defence industry</w:t>
      </w:r>
      <w:r w:rsidRPr="00FF63D1">
        <w:rPr>
          <w:rFonts w:eastAsia="Times New Roman"/>
          <w:noProof/>
        </w:rPr>
        <w:t xml:space="preserve"> is expected to grow substantially in the coming year, driven by increased government spending and a focus on strengthening defence capabilities.</w:t>
      </w:r>
    </w:p>
    <w:p w14:paraId="0963EE32" w14:textId="29D29EA8" w:rsidR="00020031" w:rsidRPr="00FF63D1" w:rsidRDefault="13A04228" w:rsidP="00766605">
      <w:pPr>
        <w:spacing w:after="120"/>
        <w:rPr>
          <w:rFonts w:eastAsia="Times New Roman"/>
          <w:noProof/>
          <w:lang w:eastAsia="en-GB"/>
        </w:rPr>
      </w:pPr>
      <w:r w:rsidRPr="00FF63D1">
        <w:rPr>
          <w:noProof/>
        </w:rPr>
        <w:t>In the defence sector, the cost impact of using low-carbon steel and aluminium in a military tank is estimated to remain below 1% by 2030.</w:t>
      </w:r>
      <w:r w:rsidR="004A5722" w:rsidRPr="00FF63D1">
        <w:rPr>
          <w:rStyle w:val="FootnoteReference"/>
          <w:noProof/>
        </w:rPr>
        <w:footnoteReference w:id="563"/>
      </w:r>
    </w:p>
    <w:p w14:paraId="735B91C8" w14:textId="77777777" w:rsidR="007F2EFD" w:rsidRPr="00FF63D1" w:rsidRDefault="007F2EFD" w:rsidP="007F2EFD">
      <w:pPr>
        <w:rPr>
          <w:rFonts w:eastAsia="Times New Roman"/>
          <w:noProof/>
          <w:lang w:eastAsia="en-GB"/>
        </w:rPr>
      </w:pPr>
    </w:p>
    <w:p w14:paraId="59B5B008" w14:textId="77777777" w:rsidR="00020031" w:rsidRPr="00FF63D1" w:rsidRDefault="00020031" w:rsidP="00020C03">
      <w:pPr>
        <w:pBdr>
          <w:top w:val="single" w:sz="4" w:space="1" w:color="auto"/>
          <w:left w:val="single" w:sz="4" w:space="0" w:color="auto"/>
          <w:bottom w:val="single" w:sz="4" w:space="1" w:color="auto"/>
          <w:right w:val="single" w:sz="4" w:space="4" w:color="auto"/>
        </w:pBdr>
        <w:rPr>
          <w:rFonts w:ascii="Times" w:eastAsia="Times" w:hAnsi="Times" w:cs="Times"/>
          <w:noProof/>
          <w:sz w:val="20"/>
          <w:szCs w:val="20"/>
        </w:rPr>
      </w:pPr>
      <w:r w:rsidRPr="00FF63D1">
        <w:rPr>
          <w:rStyle w:val="normaltextrun"/>
          <w:rFonts w:ascii="Times" w:eastAsia="Times" w:hAnsi="Times" w:cs="Times"/>
          <w:noProof/>
          <w:sz w:val="20"/>
          <w:szCs w:val="20"/>
        </w:rPr>
        <w:t xml:space="preserve">Based on the </w:t>
      </w:r>
      <w:r w:rsidRPr="00FF63D1">
        <w:rPr>
          <w:rStyle w:val="normaltextrun"/>
          <w:rFonts w:ascii="Times" w:eastAsia="Times" w:hAnsi="Times" w:cs="Times"/>
          <w:b/>
          <w:noProof/>
          <w:sz w:val="20"/>
          <w:szCs w:val="20"/>
        </w:rPr>
        <w:t>Open Public Consultation</w:t>
      </w:r>
      <w:r w:rsidRPr="00FF63D1">
        <w:rPr>
          <w:rStyle w:val="normaltextrun"/>
          <w:rFonts w:ascii="Times" w:eastAsia="Times" w:hAnsi="Times" w:cs="Times"/>
          <w:noProof/>
          <w:sz w:val="20"/>
          <w:szCs w:val="20"/>
        </w:rPr>
        <w:t xml:space="preserve">, the most important downstream sectors supporting the uptake of clean energy-intensive materials were identified as construction and infrastructure (218, 70%), automotive (196, 62%), defence (92, 30%), machinery (40 respondents), electrical and electronic equipment (136, 43%), and clean energy technologies (186, 60%). </w:t>
      </w:r>
    </w:p>
    <w:p w14:paraId="13D9DD5B" w14:textId="628A6D9E" w:rsidR="00020031" w:rsidRPr="00FF63D1" w:rsidRDefault="00020031" w:rsidP="00020C03">
      <w:pPr>
        <w:spacing w:before="240"/>
        <w:rPr>
          <w:rFonts w:eastAsia="Times New Roman"/>
          <w:b/>
          <w:noProof/>
          <w:lang w:eastAsia="en-GB"/>
        </w:rPr>
      </w:pPr>
      <w:r w:rsidRPr="00FF63D1">
        <w:rPr>
          <w:b/>
          <w:noProof/>
        </w:rPr>
        <w:t xml:space="preserve">LEAD_EII 1 - </w:t>
      </w:r>
      <w:r w:rsidR="00047BEF" w:rsidRPr="00FF63D1">
        <w:rPr>
          <w:rFonts w:eastAsia="Times New Roman"/>
          <w:b/>
          <w:noProof/>
          <w:lang w:eastAsia="en-GB"/>
        </w:rPr>
        <w:t xml:space="preserve">Low-carbon requirements for EIIs outputs in public procurement and support schemes (no </w:t>
      </w:r>
      <w:r w:rsidR="000B3C9C">
        <w:rPr>
          <w:rFonts w:eastAsia="Times New Roman"/>
          <w:b/>
          <w:noProof/>
          <w:lang w:eastAsia="en-GB"/>
        </w:rPr>
        <w:t xml:space="preserve">Made in EU </w:t>
      </w:r>
      <w:r w:rsidR="00047BEF" w:rsidRPr="00FF63D1">
        <w:rPr>
          <w:rFonts w:eastAsia="Times New Roman"/>
          <w:b/>
          <w:noProof/>
          <w:lang w:eastAsia="en-GB"/>
        </w:rPr>
        <w:t>requirements)</w:t>
      </w:r>
    </w:p>
    <w:p w14:paraId="02121592" w14:textId="77777777" w:rsidR="007F2EFD" w:rsidRPr="00FF63D1" w:rsidRDefault="007F2EFD" w:rsidP="007F2EFD">
      <w:pPr>
        <w:rPr>
          <w:rFonts w:eastAsia="Times New Roman"/>
          <w:b/>
          <w:noProof/>
          <w:lang w:eastAsia="en-GB"/>
        </w:rPr>
      </w:pPr>
    </w:p>
    <w:p w14:paraId="2DA9E98E" w14:textId="6B11AF24" w:rsidR="002F66F0" w:rsidRPr="00FF63D1" w:rsidRDefault="002F66F0" w:rsidP="00766605">
      <w:pPr>
        <w:spacing w:after="120"/>
        <w:rPr>
          <w:rFonts w:eastAsia="Times New Roman"/>
          <w:noProof/>
        </w:rPr>
      </w:pPr>
      <w:r w:rsidRPr="00FF63D1">
        <w:rPr>
          <w:rFonts w:eastAsia="Times New Roman"/>
          <w:noProof/>
        </w:rPr>
        <w:t>This policy measure introduces low-carbon requirements in public procurement and support schemes for steel</w:t>
      </w:r>
      <w:r w:rsidR="009D624B">
        <w:rPr>
          <w:rFonts w:eastAsia="Times New Roman"/>
          <w:noProof/>
        </w:rPr>
        <w:t>,</w:t>
      </w:r>
      <w:r w:rsidRPr="00FF63D1">
        <w:rPr>
          <w:rFonts w:eastAsia="Times New Roman"/>
          <w:noProof/>
        </w:rPr>
        <w:t xml:space="preserve"> cement </w:t>
      </w:r>
      <w:r w:rsidR="25A23555" w:rsidRPr="79AAC367">
        <w:rPr>
          <w:rFonts w:eastAsia="Times New Roman"/>
          <w:noProof/>
        </w:rPr>
        <w:t xml:space="preserve">and aluminium </w:t>
      </w:r>
      <w:r w:rsidRPr="79AAC367">
        <w:rPr>
          <w:rFonts w:eastAsia="Times New Roman"/>
          <w:noProof/>
        </w:rPr>
        <w:t>used</w:t>
      </w:r>
      <w:r w:rsidRPr="00FF63D1">
        <w:rPr>
          <w:rFonts w:eastAsia="Times New Roman"/>
          <w:noProof/>
        </w:rPr>
        <w:t xml:space="preserve"> in selected downstream sectors.</w:t>
      </w:r>
    </w:p>
    <w:p w14:paraId="75F1BFC0" w14:textId="4B27C808" w:rsidR="001A3FCA" w:rsidRPr="00FF63D1" w:rsidRDefault="001A3FCA" w:rsidP="001A3FCA">
      <w:pPr>
        <w:spacing w:after="120"/>
        <w:rPr>
          <w:i/>
          <w:noProof/>
        </w:rPr>
      </w:pPr>
      <w:r w:rsidRPr="00FF63D1">
        <w:rPr>
          <w:rFonts w:eastAsia="Times New Roman"/>
          <w:i/>
          <w:noProof/>
        </w:rPr>
        <w:t>Targets</w:t>
      </w:r>
      <w:r>
        <w:rPr>
          <w:rFonts w:eastAsia="Times New Roman"/>
          <w:i/>
          <w:noProof/>
        </w:rPr>
        <w:t xml:space="preserve"> setting </w:t>
      </w:r>
    </w:p>
    <w:p w14:paraId="26947AC7" w14:textId="7BD38F36" w:rsidR="002F66F0" w:rsidRPr="00FF63D1" w:rsidRDefault="002F66F0" w:rsidP="00766605">
      <w:pPr>
        <w:spacing w:after="120"/>
        <w:rPr>
          <w:rFonts w:eastAsia="Times New Roman"/>
          <w:noProof/>
        </w:rPr>
      </w:pPr>
      <w:r w:rsidRPr="00FF63D1">
        <w:rPr>
          <w:rFonts w:eastAsia="Times New Roman"/>
          <w:noProof/>
        </w:rPr>
        <w:t xml:space="preserve">The 2030 low-carbon (LC) target </w:t>
      </w:r>
      <w:r w:rsidR="439E3EBF" w:rsidRPr="79AAC367">
        <w:rPr>
          <w:rFonts w:eastAsia="Times New Roman"/>
          <w:noProof/>
        </w:rPr>
        <w:t xml:space="preserve">for steel </w:t>
      </w:r>
      <w:r w:rsidRPr="00FF63D1">
        <w:rPr>
          <w:rFonts w:eastAsia="Times New Roman"/>
          <w:noProof/>
        </w:rPr>
        <w:t>is calculated as the ratio between the expected LC production capacity that is committed or under construction and the projected total production in 2030 for the relevant sector. This ensures that the target reflects the credible supply base likely to be available by 2030 and excludes projects still at the announcement or feasibility stage.</w:t>
      </w:r>
    </w:p>
    <w:p w14:paraId="280DB890" w14:textId="5BF8117A" w:rsidR="00020031" w:rsidRPr="00FF63D1" w:rsidRDefault="002F66F0" w:rsidP="00766605">
      <w:pPr>
        <w:spacing w:after="120"/>
        <w:rPr>
          <w:rFonts w:eastAsia="Times New Roman"/>
          <w:noProof/>
        </w:rPr>
      </w:pPr>
      <w:r w:rsidRPr="00FF63D1">
        <w:rPr>
          <w:rFonts w:eastAsia="Times New Roman"/>
          <w:noProof/>
        </w:rPr>
        <w:t>Under this measure, a specified share of materials used in publicly financed projects or supported activities must come from low-carbon production routes, as defined in LAB 2.2. The share would increase progressively over time through a review clause, in line with climate targets and the expected ramp-up of LC capacity.</w:t>
      </w:r>
    </w:p>
    <w:p w14:paraId="3C5EC0F4" w14:textId="137E6F2D" w:rsidR="00020031" w:rsidRPr="00FF63D1" w:rsidRDefault="00032ABC" w:rsidP="00766605">
      <w:pPr>
        <w:spacing w:after="120"/>
        <w:rPr>
          <w:rFonts w:eastAsia="Times New Roman"/>
          <w:noProof/>
        </w:rPr>
      </w:pPr>
      <w:r w:rsidRPr="00FF63D1">
        <w:rPr>
          <w:rFonts w:eastAsia="Times New Roman"/>
          <w:noProof/>
        </w:rPr>
        <w:t>The objective of this measure</w:t>
      </w:r>
      <w:r w:rsidR="00020031" w:rsidRPr="00FF63D1">
        <w:rPr>
          <w:rFonts w:eastAsia="Times New Roman"/>
          <w:noProof/>
        </w:rPr>
        <w:t xml:space="preserve"> </w:t>
      </w:r>
      <w:r w:rsidR="00324386" w:rsidRPr="00FF63D1">
        <w:rPr>
          <w:rFonts w:eastAsia="Times New Roman"/>
          <w:noProof/>
        </w:rPr>
        <w:t xml:space="preserve">is to stimulate demand for </w:t>
      </w:r>
      <w:r w:rsidR="00195B43" w:rsidRPr="00FF63D1">
        <w:rPr>
          <w:rFonts w:eastAsia="Times New Roman"/>
          <w:noProof/>
        </w:rPr>
        <w:t>low-carbon steel</w:t>
      </w:r>
      <w:r w:rsidR="00AE306D" w:rsidRPr="00FF63D1">
        <w:rPr>
          <w:rFonts w:eastAsia="Times New Roman"/>
          <w:noProof/>
        </w:rPr>
        <w:t xml:space="preserve">, providing a market signal that </w:t>
      </w:r>
      <w:r w:rsidR="00AC3DF3" w:rsidRPr="00FF63D1">
        <w:rPr>
          <w:rFonts w:eastAsia="Times New Roman"/>
          <w:noProof/>
        </w:rPr>
        <w:t xml:space="preserve">justifies continued investment in industrial decarbonisation </w:t>
      </w:r>
      <w:r w:rsidR="00064D60" w:rsidRPr="00FF63D1">
        <w:rPr>
          <w:rFonts w:eastAsia="Times New Roman"/>
          <w:noProof/>
        </w:rPr>
        <w:t xml:space="preserve">while remaining </w:t>
      </w:r>
      <w:r w:rsidR="00020031" w:rsidRPr="00FF63D1">
        <w:rPr>
          <w:noProof/>
        </w:rPr>
        <w:t xml:space="preserve">manageable </w:t>
      </w:r>
      <w:r w:rsidR="00B15CFB" w:rsidRPr="00FF63D1">
        <w:rPr>
          <w:noProof/>
        </w:rPr>
        <w:t xml:space="preserve">given current supply constraints and </w:t>
      </w:r>
      <w:r w:rsidR="00020031" w:rsidRPr="00FF63D1">
        <w:rPr>
          <w:noProof/>
        </w:rPr>
        <w:t xml:space="preserve">costs </w:t>
      </w:r>
      <w:r w:rsidR="00C11942" w:rsidRPr="00FF63D1">
        <w:rPr>
          <w:noProof/>
        </w:rPr>
        <w:t>differentials.</w:t>
      </w:r>
      <w:r w:rsidR="00020031" w:rsidRPr="00FF63D1">
        <w:rPr>
          <w:noProof/>
        </w:rPr>
        <w:t xml:space="preserve"> </w:t>
      </w:r>
    </w:p>
    <w:p w14:paraId="48579F5E" w14:textId="171EF3D0" w:rsidR="00010025" w:rsidRPr="00FF63D1" w:rsidRDefault="00412B35" w:rsidP="00766605">
      <w:pPr>
        <w:spacing w:after="120"/>
        <w:rPr>
          <w:rFonts w:eastAsia="Times New Roman"/>
          <w:noProof/>
        </w:rPr>
      </w:pPr>
      <w:r w:rsidRPr="00FF63D1">
        <w:rPr>
          <w:rFonts w:eastAsia="Times New Roman"/>
          <w:noProof/>
        </w:rPr>
        <w:t>BloombergNEF</w:t>
      </w:r>
      <w:r w:rsidR="52FA0B52" w:rsidRPr="00FF63D1">
        <w:rPr>
          <w:rFonts w:eastAsia="Times New Roman"/>
          <w:noProof/>
        </w:rPr>
        <w:t xml:space="preserve"> </w:t>
      </w:r>
      <w:r w:rsidR="2B73A0AE" w:rsidRPr="00FF63D1">
        <w:rPr>
          <w:rFonts w:eastAsia="Times New Roman"/>
          <w:noProof/>
        </w:rPr>
        <w:t>data</w:t>
      </w:r>
      <w:r w:rsidR="00010025" w:rsidRPr="00FF63D1">
        <w:rPr>
          <w:rStyle w:val="FootnoteReference"/>
          <w:rFonts w:eastAsia="Times New Roman"/>
          <w:noProof/>
        </w:rPr>
        <w:footnoteReference w:id="564"/>
      </w:r>
      <w:r w:rsidR="2B73A0AE" w:rsidRPr="00FF63D1">
        <w:rPr>
          <w:rFonts w:eastAsia="Times New Roman"/>
          <w:noProof/>
        </w:rPr>
        <w:t xml:space="preserve"> shows that</w:t>
      </w:r>
      <w:r w:rsidRPr="00FF63D1">
        <w:rPr>
          <w:rFonts w:eastAsia="Times New Roman"/>
          <w:noProof/>
        </w:rPr>
        <w:t xml:space="preserve"> 61 </w:t>
      </w:r>
      <w:r w:rsidR="588905DF" w:rsidRPr="00FF63D1">
        <w:rPr>
          <w:rFonts w:eastAsia="Times New Roman"/>
          <w:noProof/>
        </w:rPr>
        <w:t xml:space="preserve">new </w:t>
      </w:r>
      <w:r w:rsidR="6B210AB5" w:rsidRPr="00FF63D1">
        <w:rPr>
          <w:rFonts w:eastAsia="Times New Roman"/>
          <w:noProof/>
        </w:rPr>
        <w:t xml:space="preserve">European </w:t>
      </w:r>
      <w:r w:rsidRPr="00FF63D1">
        <w:rPr>
          <w:rFonts w:eastAsia="Times New Roman"/>
          <w:noProof/>
        </w:rPr>
        <w:t xml:space="preserve">low-carbon steel projects </w:t>
      </w:r>
      <w:r w:rsidR="6B210AB5" w:rsidRPr="00FF63D1">
        <w:rPr>
          <w:rFonts w:eastAsia="Times New Roman"/>
          <w:noProof/>
        </w:rPr>
        <w:t>are currently ongoing and</w:t>
      </w:r>
      <w:r w:rsidRPr="00FF63D1">
        <w:rPr>
          <w:rFonts w:eastAsia="Times New Roman"/>
          <w:noProof/>
        </w:rPr>
        <w:t xml:space="preserve"> </w:t>
      </w:r>
      <w:r w:rsidR="588905DF" w:rsidRPr="00FF63D1">
        <w:rPr>
          <w:rFonts w:eastAsia="Times New Roman"/>
          <w:noProof/>
        </w:rPr>
        <w:t>can be classified between L</w:t>
      </w:r>
      <w:r w:rsidRPr="00FF63D1">
        <w:rPr>
          <w:rFonts w:eastAsia="Times New Roman"/>
          <w:noProof/>
        </w:rPr>
        <w:t>abel A–C</w:t>
      </w:r>
      <w:r w:rsidR="588905DF" w:rsidRPr="00FF63D1">
        <w:rPr>
          <w:rFonts w:eastAsia="Times New Roman"/>
          <w:noProof/>
        </w:rPr>
        <w:t>,</w:t>
      </w:r>
      <w:r w:rsidRPr="00FF63D1">
        <w:rPr>
          <w:rFonts w:eastAsia="Times New Roman"/>
          <w:noProof/>
        </w:rPr>
        <w:t xml:space="preserve"> </w:t>
      </w:r>
      <w:r w:rsidR="006C1ADE">
        <w:rPr>
          <w:rFonts w:eastAsia="Times New Roman"/>
          <w:noProof/>
        </w:rPr>
        <w:t xml:space="preserve">following the classification system proposed in Annex 12, </w:t>
      </w:r>
      <w:r w:rsidRPr="00FF63D1">
        <w:rPr>
          <w:rFonts w:eastAsia="Times New Roman"/>
          <w:noProof/>
        </w:rPr>
        <w:t xml:space="preserve">with a material capacity amounting to 75.4 Mtonnes per year. </w:t>
      </w:r>
      <w:r w:rsidR="6270BCEA" w:rsidRPr="00FF63D1">
        <w:rPr>
          <w:rFonts w:eastAsia="Times New Roman"/>
          <w:noProof/>
        </w:rPr>
        <w:t xml:space="preserve">However, only 23 of these projects, equivalent to 29.7 </w:t>
      </w:r>
      <w:r w:rsidR="51E518DF">
        <w:rPr>
          <w:rFonts w:eastAsia="Times New Roman"/>
          <w:noProof/>
        </w:rPr>
        <w:t>Mtonnes</w:t>
      </w:r>
      <w:r w:rsidR="6270BCEA" w:rsidRPr="00FF63D1">
        <w:rPr>
          <w:rFonts w:eastAsia="Times New Roman"/>
          <w:noProof/>
        </w:rPr>
        <w:t xml:space="preserve"> per year, have reached a committed or under-construction stage. These are the projects most likely to be operational by 2030. </w:t>
      </w:r>
      <w:r w:rsidR="3C6F7347" w:rsidRPr="00FF63D1">
        <w:rPr>
          <w:rFonts w:eastAsia="Times New Roman"/>
          <w:noProof/>
        </w:rPr>
        <w:t xml:space="preserve">Around </w:t>
      </w:r>
      <w:r w:rsidR="6270BCEA" w:rsidRPr="00FF63D1">
        <w:rPr>
          <w:rFonts w:eastAsia="Times New Roman"/>
          <w:noProof/>
        </w:rPr>
        <w:t>4</w:t>
      </w:r>
      <w:r w:rsidR="4C243265" w:rsidRPr="00FF63D1">
        <w:rPr>
          <w:rFonts w:eastAsia="Times New Roman"/>
          <w:noProof/>
        </w:rPr>
        <w:t>1</w:t>
      </w:r>
      <w:r w:rsidR="6270BCEA" w:rsidRPr="00FF63D1">
        <w:rPr>
          <w:rFonts w:eastAsia="Times New Roman"/>
          <w:noProof/>
        </w:rPr>
        <w:t>.</w:t>
      </w:r>
      <w:r w:rsidR="4C243265" w:rsidRPr="00FF63D1">
        <w:rPr>
          <w:rFonts w:eastAsia="Times New Roman"/>
          <w:noProof/>
        </w:rPr>
        <w:t>4</w:t>
      </w:r>
      <w:r w:rsidR="6270BCEA" w:rsidRPr="00FF63D1">
        <w:rPr>
          <w:rFonts w:eastAsia="Times New Roman"/>
          <w:noProof/>
        </w:rPr>
        <w:t xml:space="preserve"> </w:t>
      </w:r>
      <w:r w:rsidR="51E518DF">
        <w:rPr>
          <w:rFonts w:eastAsia="Times New Roman"/>
          <w:noProof/>
        </w:rPr>
        <w:t>Mtonnes</w:t>
      </w:r>
      <w:r w:rsidR="6270BCEA" w:rsidRPr="00FF63D1">
        <w:rPr>
          <w:rFonts w:eastAsia="Times New Roman"/>
          <w:noProof/>
        </w:rPr>
        <w:t xml:space="preserve"> of potential capacity remain in earlier planning or feasibility stages and are at risk of delay or non-realisation.</w:t>
      </w:r>
    </w:p>
    <w:p w14:paraId="1A1D20AB" w14:textId="77777777" w:rsidR="00020031" w:rsidRPr="00FF63D1" w:rsidRDefault="00020031" w:rsidP="00766605">
      <w:pPr>
        <w:spacing w:after="120"/>
        <w:rPr>
          <w:i/>
          <w:noProof/>
        </w:rPr>
      </w:pPr>
      <w:r w:rsidRPr="00FF63D1">
        <w:rPr>
          <w:rFonts w:eastAsia="Times New Roman"/>
          <w:i/>
          <w:noProof/>
        </w:rPr>
        <w:t>Targets</w:t>
      </w:r>
    </w:p>
    <w:p w14:paraId="070A7720" w14:textId="5FA331D2" w:rsidR="00A93DF5" w:rsidRPr="00FF63D1" w:rsidRDefault="5191A3C4" w:rsidP="00766605">
      <w:pPr>
        <w:spacing w:after="120"/>
        <w:rPr>
          <w:noProof/>
        </w:rPr>
      </w:pPr>
      <w:r w:rsidRPr="00FF63D1">
        <w:rPr>
          <w:noProof/>
        </w:rPr>
        <w:t xml:space="preserve">Regarding </w:t>
      </w:r>
      <w:r w:rsidRPr="1A2A8689">
        <w:rPr>
          <w:b/>
          <w:bCs/>
          <w:noProof/>
        </w:rPr>
        <w:t>steel</w:t>
      </w:r>
      <w:r w:rsidRPr="00FF63D1">
        <w:rPr>
          <w:noProof/>
        </w:rPr>
        <w:t xml:space="preserve">, the target is calculated by dividing the committed low-carbon capacity of 29.7 </w:t>
      </w:r>
      <w:r w:rsidR="51E518DF">
        <w:rPr>
          <w:noProof/>
        </w:rPr>
        <w:t>Mtonnes</w:t>
      </w:r>
      <w:r w:rsidRPr="00FF63D1">
        <w:rPr>
          <w:noProof/>
        </w:rPr>
        <w:t xml:space="preserve"> by the projected total EU-27 steel production of 1</w:t>
      </w:r>
      <w:r w:rsidR="730E7754" w:rsidRPr="00FF63D1">
        <w:rPr>
          <w:noProof/>
        </w:rPr>
        <w:t>34</w:t>
      </w:r>
      <w:r w:rsidRPr="00FF63D1">
        <w:rPr>
          <w:noProof/>
        </w:rPr>
        <w:t xml:space="preserve"> </w:t>
      </w:r>
      <w:r w:rsidR="51E518DF">
        <w:rPr>
          <w:noProof/>
        </w:rPr>
        <w:t>Mtonnes</w:t>
      </w:r>
      <w:r w:rsidRPr="00FF63D1">
        <w:rPr>
          <w:noProof/>
        </w:rPr>
        <w:t xml:space="preserve"> in 2030 (based on the OECD Steel Outlook 2025</w:t>
      </w:r>
      <w:r w:rsidR="00D0100E" w:rsidRPr="00FF63D1">
        <w:rPr>
          <w:rStyle w:val="FootnoteReference"/>
          <w:noProof/>
        </w:rPr>
        <w:footnoteReference w:id="565"/>
      </w:r>
      <w:r w:rsidRPr="00FF63D1">
        <w:rPr>
          <w:noProof/>
        </w:rPr>
        <w:t xml:space="preserve">, excluding the United Kingdom’s 4 </w:t>
      </w:r>
      <w:r w:rsidR="51E518DF">
        <w:rPr>
          <w:noProof/>
        </w:rPr>
        <w:t>Mtonnes</w:t>
      </w:r>
      <w:r w:rsidRPr="00FF63D1">
        <w:rPr>
          <w:noProof/>
        </w:rPr>
        <w:t xml:space="preserve"> of output reported in World Steel in Figures 2025</w:t>
      </w:r>
      <w:r w:rsidR="009C742B" w:rsidRPr="00FF63D1">
        <w:rPr>
          <w:rStyle w:val="FootnoteReference"/>
          <w:noProof/>
        </w:rPr>
        <w:footnoteReference w:id="566"/>
      </w:r>
      <w:r w:rsidR="764E0BE3" w:rsidRPr="00FF63D1">
        <w:rPr>
          <w:noProof/>
        </w:rPr>
        <w:t xml:space="preserve">, and </w:t>
      </w:r>
      <w:r w:rsidR="060E06B6" w:rsidRPr="00FF63D1">
        <w:rPr>
          <w:noProof/>
        </w:rPr>
        <w:t>not taking into account</w:t>
      </w:r>
      <w:r w:rsidR="764E0BE3" w:rsidRPr="00FF63D1">
        <w:rPr>
          <w:noProof/>
        </w:rPr>
        <w:t xml:space="preserve"> possible </w:t>
      </w:r>
      <w:r w:rsidR="47A49E6F" w:rsidRPr="00FF63D1">
        <w:rPr>
          <w:noProof/>
        </w:rPr>
        <w:t xml:space="preserve">effects from the </w:t>
      </w:r>
      <w:r w:rsidR="060E06B6" w:rsidRPr="00FF63D1">
        <w:rPr>
          <w:noProof/>
        </w:rPr>
        <w:t>proposal for a Regulation addressing the negative trade-related effects of global overcapacity on the Union steel market</w:t>
      </w:r>
      <w:r w:rsidR="00680C26" w:rsidRPr="00FF63D1">
        <w:rPr>
          <w:rStyle w:val="FootnoteReference"/>
          <w:noProof/>
        </w:rPr>
        <w:footnoteReference w:id="567"/>
      </w:r>
      <w:r w:rsidRPr="00FF63D1">
        <w:rPr>
          <w:noProof/>
        </w:rPr>
        <w:t>). This results in an estimated low-carbon share of about 2</w:t>
      </w:r>
      <w:r w:rsidR="77B94FED" w:rsidRPr="00FF63D1">
        <w:rPr>
          <w:noProof/>
        </w:rPr>
        <w:t>2</w:t>
      </w:r>
      <w:r w:rsidRPr="00FF63D1">
        <w:rPr>
          <w:noProof/>
        </w:rPr>
        <w:t>% of total EU production in 2030. On</w:t>
      </w:r>
      <w:r w:rsidR="1CEBB5F7" w:rsidRPr="00FF63D1">
        <w:rPr>
          <w:noProof/>
        </w:rPr>
        <w:t xml:space="preserve"> this </w:t>
      </w:r>
      <w:r w:rsidRPr="00FF63D1">
        <w:rPr>
          <w:noProof/>
        </w:rPr>
        <w:t>basis</w:t>
      </w:r>
      <w:r w:rsidR="1CEBB5F7" w:rsidRPr="00FF63D1">
        <w:rPr>
          <w:noProof/>
        </w:rPr>
        <w:t xml:space="preserve">, a </w:t>
      </w:r>
      <w:r w:rsidR="1CEBB5F7" w:rsidRPr="1A2A8689">
        <w:rPr>
          <w:b/>
          <w:bCs/>
          <w:noProof/>
        </w:rPr>
        <w:t>low-carbon requirement of 25%</w:t>
      </w:r>
      <w:r w:rsidR="1CEBB5F7" w:rsidRPr="00FF63D1">
        <w:rPr>
          <w:noProof/>
        </w:rPr>
        <w:t xml:space="preserve"> </w:t>
      </w:r>
      <w:r w:rsidRPr="00FF63D1">
        <w:rPr>
          <w:noProof/>
        </w:rPr>
        <w:t xml:space="preserve">by 2030 is proposed </w:t>
      </w:r>
      <w:r w:rsidR="1CEBB5F7" w:rsidRPr="00FF63D1">
        <w:rPr>
          <w:noProof/>
        </w:rPr>
        <w:t>for public procurement and support schemes</w:t>
      </w:r>
      <w:r w:rsidRPr="00FF63D1">
        <w:rPr>
          <w:noProof/>
        </w:rPr>
        <w:t>, ensuring an ambitious yet achievable target that reflects expected</w:t>
      </w:r>
      <w:r w:rsidR="1CEBB5F7" w:rsidRPr="00FF63D1">
        <w:rPr>
          <w:noProof/>
        </w:rPr>
        <w:t xml:space="preserve"> industrial </w:t>
      </w:r>
      <w:r w:rsidRPr="00FF63D1">
        <w:rPr>
          <w:noProof/>
        </w:rPr>
        <w:t>deployment while stimulating</w:t>
      </w:r>
      <w:r w:rsidR="1CEBB5F7" w:rsidRPr="00FF63D1">
        <w:rPr>
          <w:noProof/>
        </w:rPr>
        <w:t xml:space="preserve"> early </w:t>
      </w:r>
      <w:r w:rsidRPr="00FF63D1">
        <w:rPr>
          <w:noProof/>
        </w:rPr>
        <w:t xml:space="preserve">market </w:t>
      </w:r>
      <w:r w:rsidR="1CEBB5F7" w:rsidRPr="00FF63D1">
        <w:rPr>
          <w:noProof/>
        </w:rPr>
        <w:t>demand.</w:t>
      </w:r>
    </w:p>
    <w:p w14:paraId="39431D71" w14:textId="50A5187F" w:rsidR="00020031" w:rsidRPr="00FF63D1" w:rsidRDefault="719AC623" w:rsidP="00766605">
      <w:pPr>
        <w:spacing w:after="120"/>
        <w:rPr>
          <w:noProof/>
        </w:rPr>
      </w:pPr>
      <w:r w:rsidRPr="00FF63D1">
        <w:rPr>
          <w:noProof/>
        </w:rPr>
        <w:t xml:space="preserve">Regarding </w:t>
      </w:r>
      <w:r w:rsidRPr="1A2A8689">
        <w:rPr>
          <w:b/>
          <w:bCs/>
          <w:noProof/>
        </w:rPr>
        <w:t>cement</w:t>
      </w:r>
      <w:r w:rsidRPr="00FF63D1">
        <w:rPr>
          <w:noProof/>
        </w:rPr>
        <w:t>, FID projects for low-carbon cement are estimated to produce 2.3</w:t>
      </w:r>
      <w:r w:rsidR="1AC6F867">
        <w:rPr>
          <w:noProof/>
        </w:rPr>
        <w:t xml:space="preserve"> Mtonnes </w:t>
      </w:r>
      <w:r w:rsidRPr="00FF63D1">
        <w:rPr>
          <w:noProof/>
        </w:rPr>
        <w:t>in 2030</w:t>
      </w:r>
      <w:r w:rsidR="00454CCC">
        <w:rPr>
          <w:rStyle w:val="FootnoteReference"/>
          <w:noProof/>
        </w:rPr>
        <w:footnoteReference w:id="568"/>
      </w:r>
      <w:r w:rsidRPr="00FF63D1">
        <w:rPr>
          <w:noProof/>
        </w:rPr>
        <w:t>, which is equivalent to a 1% of EU overall production. A more ambitious target, also considering the size of the construction market, could make some of the announced capacity materialise earlier. Therefore</w:t>
      </w:r>
      <w:r w:rsidR="06928BE4" w:rsidRPr="00FF63D1">
        <w:rPr>
          <w:noProof/>
        </w:rPr>
        <w:t>,</w:t>
      </w:r>
      <w:r w:rsidRPr="00FF63D1">
        <w:rPr>
          <w:noProof/>
        </w:rPr>
        <w:t xml:space="preserve"> a</w:t>
      </w:r>
      <w:r w:rsidR="138945E9" w:rsidRPr="00FF63D1">
        <w:rPr>
          <w:noProof/>
        </w:rPr>
        <w:t xml:space="preserve"> </w:t>
      </w:r>
      <w:r w:rsidR="138945E9" w:rsidRPr="1A2A8689">
        <w:rPr>
          <w:b/>
          <w:bCs/>
          <w:noProof/>
        </w:rPr>
        <w:t>low</w:t>
      </w:r>
      <w:r w:rsidR="00E41BFE">
        <w:rPr>
          <w:b/>
          <w:bCs/>
          <w:noProof/>
        </w:rPr>
        <w:t>-</w:t>
      </w:r>
      <w:r w:rsidR="138945E9" w:rsidRPr="1A2A8689">
        <w:rPr>
          <w:b/>
          <w:bCs/>
          <w:noProof/>
        </w:rPr>
        <w:t xml:space="preserve">carbon requirement of </w:t>
      </w:r>
      <w:r w:rsidRPr="1A2A8689">
        <w:rPr>
          <w:b/>
          <w:bCs/>
          <w:noProof/>
        </w:rPr>
        <w:t>5% cement target in 2030</w:t>
      </w:r>
      <w:r w:rsidRPr="00FF63D1">
        <w:rPr>
          <w:noProof/>
        </w:rPr>
        <w:t xml:space="preserve"> seems opportune. </w:t>
      </w:r>
      <w:r w:rsidR="3D91A15A" w:rsidRPr="00FF63D1">
        <w:rPr>
          <w:noProof/>
        </w:rPr>
        <w:t xml:space="preserve">Such target will be subject to review overtime, based on the pace at which low-carbon capacity comes online. </w:t>
      </w:r>
    </w:p>
    <w:p w14:paraId="61D00F83" w14:textId="2ACED27D" w:rsidR="00A6427C" w:rsidRPr="00AD5C08" w:rsidRDefault="00A6427C" w:rsidP="00A6427C">
      <w:pPr>
        <w:spacing w:after="120"/>
        <w:rPr>
          <w:noProof/>
        </w:rPr>
      </w:pPr>
      <w:r>
        <w:rPr>
          <w:noProof/>
        </w:rPr>
        <w:t xml:space="preserve">Regarding </w:t>
      </w:r>
      <w:r w:rsidRPr="008824C4">
        <w:rPr>
          <w:b/>
          <w:noProof/>
        </w:rPr>
        <w:t>aluminium</w:t>
      </w:r>
      <w:r>
        <w:rPr>
          <w:noProof/>
        </w:rPr>
        <w:t xml:space="preserve">, the target is </w:t>
      </w:r>
      <w:r w:rsidR="00ED5B36" w:rsidRPr="00B573E4">
        <w:rPr>
          <w:noProof/>
        </w:rPr>
        <w:t xml:space="preserve">based on primary production and </w:t>
      </w:r>
      <w:r w:rsidRPr="00AD5C08">
        <w:rPr>
          <w:noProof/>
        </w:rPr>
        <w:t>derived from the following assumptions. First, European primary aluminium supply in 2030, including production in the UK, Norway, and Iceland, is assumed to remain constant</w:t>
      </w:r>
      <w:r w:rsidR="00B1261C" w:rsidRPr="00B573E4">
        <w:rPr>
          <w:rStyle w:val="FootnoteReference"/>
          <w:rFonts w:cs="Times New Roman"/>
          <w:noProof/>
        </w:rPr>
        <w:footnoteReference w:id="569"/>
      </w:r>
      <w:r w:rsidRPr="00B573E4">
        <w:rPr>
          <w:noProof/>
        </w:rPr>
        <w:t xml:space="preserve"> at current capacity levels of approximately 3.6 Mt</w:t>
      </w:r>
      <w:r w:rsidR="00B1261C" w:rsidRPr="00B573E4">
        <w:rPr>
          <w:rStyle w:val="FootnoteReference"/>
          <w:rFonts w:cs="Times New Roman"/>
          <w:noProof/>
        </w:rPr>
        <w:footnoteReference w:id="570"/>
      </w:r>
      <w:r w:rsidRPr="00B573E4">
        <w:rPr>
          <w:noProof/>
        </w:rPr>
        <w:t xml:space="preserve">. </w:t>
      </w:r>
      <w:r w:rsidR="00B1261C" w:rsidRPr="00B573E4">
        <w:rPr>
          <w:noProof/>
        </w:rPr>
        <w:t>Furthermore</w:t>
      </w:r>
      <w:r w:rsidR="00B1261C" w:rsidRPr="00AD5C08">
        <w:rPr>
          <w:rFonts w:cs="Times New Roman"/>
          <w:noProof/>
        </w:rPr>
        <w:t>,</w:t>
      </w:r>
      <w:r w:rsidR="00684F58" w:rsidRPr="00AD5C08">
        <w:rPr>
          <w:noProof/>
        </w:rPr>
        <w:t xml:space="preserve"> a</w:t>
      </w:r>
      <w:r w:rsidR="00E25D8C" w:rsidRPr="00AD5C08">
        <w:rPr>
          <w:noProof/>
        </w:rPr>
        <w:t xml:space="preserve"> recent </w:t>
      </w:r>
      <w:r w:rsidR="00E25D8C" w:rsidRPr="00AD5C08" w:rsidDel="005B2189">
        <w:rPr>
          <w:noProof/>
        </w:rPr>
        <w:t xml:space="preserve">industry </w:t>
      </w:r>
      <w:r w:rsidR="005B2189" w:rsidRPr="00AD5C08">
        <w:rPr>
          <w:noProof/>
        </w:rPr>
        <w:t>analysis</w:t>
      </w:r>
      <w:r w:rsidRPr="00AD5C08">
        <w:rPr>
          <w:noProof/>
        </w:rPr>
        <w:t xml:space="preserve"> of decarbonisation pathways for European </w:t>
      </w:r>
      <w:r w:rsidR="00B1261C" w:rsidRPr="00AD5C08">
        <w:rPr>
          <w:rFonts w:cs="Times New Roman"/>
          <w:noProof/>
        </w:rPr>
        <w:t xml:space="preserve">primary </w:t>
      </w:r>
      <w:r w:rsidRPr="00AD5C08">
        <w:rPr>
          <w:noProof/>
        </w:rPr>
        <w:t xml:space="preserve">aluminium production estimates total emissions </w:t>
      </w:r>
      <w:r w:rsidR="000A5AD0" w:rsidRPr="00AD5C08">
        <w:rPr>
          <w:noProof/>
        </w:rPr>
        <w:t xml:space="preserve">reduction for primary </w:t>
      </w:r>
      <w:r w:rsidR="005D2C15" w:rsidRPr="00AD5C08">
        <w:rPr>
          <w:noProof/>
        </w:rPr>
        <w:t xml:space="preserve">aluminium </w:t>
      </w:r>
      <w:r w:rsidR="000A5AD0" w:rsidRPr="00AD5C08">
        <w:rPr>
          <w:noProof/>
        </w:rPr>
        <w:t>by approximately 36</w:t>
      </w:r>
      <w:r w:rsidR="005D2C15" w:rsidRPr="00AD5C08">
        <w:rPr>
          <w:noProof/>
        </w:rPr>
        <w:t>.9% in 2030 compared with baseline 2021</w:t>
      </w:r>
      <w:r w:rsidRPr="00AD5C08">
        <w:rPr>
          <w:noProof/>
        </w:rPr>
        <w:t>.</w:t>
      </w:r>
      <w:r w:rsidR="00FC473A" w:rsidRPr="00B573E4">
        <w:rPr>
          <w:rStyle w:val="FootnoteReference"/>
          <w:noProof/>
        </w:rPr>
        <w:footnoteReference w:id="571"/>
      </w:r>
      <w:r w:rsidRPr="00B573E4">
        <w:rPr>
          <w:noProof/>
        </w:rPr>
        <w:t xml:space="preserve"> This corresponds to </w:t>
      </w:r>
      <w:r w:rsidR="001A31F0" w:rsidRPr="00B573E4">
        <w:rPr>
          <w:noProof/>
        </w:rPr>
        <w:t xml:space="preserve">around 11 </w:t>
      </w:r>
      <w:r w:rsidR="001A31F0" w:rsidRPr="00B573E4">
        <w:rPr>
          <w:rFonts w:cs="Times New Roman"/>
          <w:noProof/>
        </w:rPr>
        <w:t>MtCO</w:t>
      </w:r>
      <w:r w:rsidR="001A31F0" w:rsidRPr="00B573E4">
        <w:rPr>
          <w:rFonts w:cs="Times New Roman"/>
          <w:noProof/>
          <w:vertAlign w:val="subscript"/>
        </w:rPr>
        <w:t>2</w:t>
      </w:r>
      <w:r w:rsidR="001A31F0" w:rsidRPr="00B573E4">
        <w:rPr>
          <w:rFonts w:cs="Times New Roman"/>
          <w:noProof/>
        </w:rPr>
        <w:t>e</w:t>
      </w:r>
      <w:r w:rsidR="001A31F0" w:rsidRPr="00AD5C08" w:rsidDel="007A662F">
        <w:rPr>
          <w:rFonts w:cs="Times New Roman"/>
          <w:noProof/>
        </w:rPr>
        <w:t xml:space="preserve"> </w:t>
      </w:r>
      <w:r w:rsidRPr="00AD5C08">
        <w:rPr>
          <w:noProof/>
        </w:rPr>
        <w:t xml:space="preserve">emissions </w:t>
      </w:r>
      <w:r w:rsidR="00FC473A" w:rsidRPr="00AD5C08">
        <w:rPr>
          <w:noProof/>
        </w:rPr>
        <w:t xml:space="preserve">in </w:t>
      </w:r>
      <w:r w:rsidR="001A31F0" w:rsidRPr="00AD5C08">
        <w:rPr>
          <w:rFonts w:cs="Times New Roman"/>
          <w:noProof/>
        </w:rPr>
        <w:t>2030.</w:t>
      </w:r>
      <w:r w:rsidRPr="00AD5C08">
        <w:rPr>
          <w:noProof/>
        </w:rPr>
        <w:t xml:space="preserve"> On this basis, the average </w:t>
      </w:r>
      <w:r w:rsidR="003D265C" w:rsidRPr="00AD5C08">
        <w:rPr>
          <w:noProof/>
        </w:rPr>
        <w:t>CO</w:t>
      </w:r>
      <w:r w:rsidR="009E6E2A" w:rsidRPr="008824C4">
        <w:rPr>
          <w:noProof/>
          <w:vertAlign w:val="subscript"/>
        </w:rPr>
        <w:t>2</w:t>
      </w:r>
      <w:r w:rsidR="009E6E2A" w:rsidRPr="00B573E4">
        <w:rPr>
          <w:noProof/>
        </w:rPr>
        <w:t xml:space="preserve"> </w:t>
      </w:r>
      <w:r w:rsidRPr="00B573E4">
        <w:rPr>
          <w:noProof/>
        </w:rPr>
        <w:t xml:space="preserve">emission intensity of European primary aluminium in 2030 is assumed to be </w:t>
      </w:r>
      <w:r w:rsidR="00E1537E" w:rsidRPr="00B573E4">
        <w:rPr>
          <w:noProof/>
        </w:rPr>
        <w:t xml:space="preserve">3.27 </w:t>
      </w:r>
      <w:r w:rsidR="00E1537E" w:rsidRPr="00AD5C08">
        <w:rPr>
          <w:rFonts w:cs="Times New Roman"/>
          <w:noProof/>
        </w:rPr>
        <w:t>tCO</w:t>
      </w:r>
      <w:r w:rsidR="00E1537E" w:rsidRPr="008824C4">
        <w:rPr>
          <w:rFonts w:cs="Times New Roman"/>
          <w:noProof/>
          <w:vertAlign w:val="subscript"/>
        </w:rPr>
        <w:t>2</w:t>
      </w:r>
      <w:r w:rsidR="00E1537E" w:rsidRPr="00B573E4">
        <w:rPr>
          <w:rFonts w:cs="Times New Roman"/>
          <w:noProof/>
        </w:rPr>
        <w:t xml:space="preserve">e. </w:t>
      </w:r>
      <w:r w:rsidRPr="00B573E4">
        <w:rPr>
          <w:noProof/>
        </w:rPr>
        <w:t>per tonne</w:t>
      </w:r>
      <w:r w:rsidR="009E6E2A" w:rsidRPr="00B573E4">
        <w:rPr>
          <w:noProof/>
        </w:rPr>
        <w:t xml:space="preserve"> of primary aluminium</w:t>
      </w:r>
      <w:r w:rsidRPr="00B573E4">
        <w:rPr>
          <w:noProof/>
        </w:rPr>
        <w:t>.</w:t>
      </w:r>
    </w:p>
    <w:p w14:paraId="54EC8259" w14:textId="08256188" w:rsidR="0092697E" w:rsidRPr="008824C4" w:rsidRDefault="00A6427C" w:rsidP="2E1089CB">
      <w:pPr>
        <w:spacing w:after="120"/>
        <w:rPr>
          <w:noProof/>
          <w:lang w:val="en-IE"/>
        </w:rPr>
      </w:pPr>
      <w:r w:rsidRPr="00AD5C08">
        <w:rPr>
          <w:noProof/>
        </w:rPr>
        <w:t xml:space="preserve">While </w:t>
      </w:r>
      <w:r w:rsidR="00FC473A" w:rsidRPr="00AD5C08">
        <w:rPr>
          <w:noProof/>
        </w:rPr>
        <w:t xml:space="preserve">European </w:t>
      </w:r>
      <w:r w:rsidRPr="00AD5C08">
        <w:rPr>
          <w:noProof/>
        </w:rPr>
        <w:t xml:space="preserve">primary aluminium supply is </w:t>
      </w:r>
      <w:r w:rsidR="00F51ADA" w:rsidRPr="00761A26">
        <w:rPr>
          <w:noProof/>
        </w:rPr>
        <w:t>considered</w:t>
      </w:r>
      <w:r w:rsidRPr="00761A26">
        <w:rPr>
          <w:noProof/>
        </w:rPr>
        <w:t xml:space="preserve"> </w:t>
      </w:r>
      <w:r w:rsidRPr="00AD5C08">
        <w:rPr>
          <w:noProof/>
        </w:rPr>
        <w:t xml:space="preserve">to remain </w:t>
      </w:r>
      <w:r w:rsidR="00FC473A" w:rsidRPr="00761A26">
        <w:rPr>
          <w:noProof/>
        </w:rPr>
        <w:t>stable</w:t>
      </w:r>
      <w:r w:rsidRPr="00761A26">
        <w:rPr>
          <w:noProof/>
        </w:rPr>
        <w:t>,</w:t>
      </w:r>
      <w:r w:rsidRPr="00AD5C08">
        <w:rPr>
          <w:noProof/>
        </w:rPr>
        <w:t xml:space="preserve"> aluminium demand </w:t>
      </w:r>
      <w:r w:rsidR="00FA1AE8" w:rsidRPr="00AD5C08">
        <w:rPr>
          <w:noProof/>
        </w:rPr>
        <w:t xml:space="preserve">in Europe </w:t>
      </w:r>
      <w:r w:rsidRPr="00AD5C08">
        <w:rPr>
          <w:noProof/>
        </w:rPr>
        <w:t>is projected to increase to around 16 Mt by 2030</w:t>
      </w:r>
      <w:r w:rsidR="00BC08E1" w:rsidRPr="00AD5C08">
        <w:rPr>
          <w:noProof/>
        </w:rPr>
        <w:t xml:space="preserve">, </w:t>
      </w:r>
      <w:r w:rsidR="00A240CB" w:rsidRPr="00AD5C08">
        <w:rPr>
          <w:noProof/>
        </w:rPr>
        <w:t>with some of the predicted growth to be generated by aluminium replacing other materials</w:t>
      </w:r>
      <w:r w:rsidR="00E1537E" w:rsidRPr="00B573E4">
        <w:rPr>
          <w:rStyle w:val="FootnoteReference"/>
          <w:rFonts w:cs="Times New Roman"/>
          <w:noProof/>
        </w:rPr>
        <w:footnoteReference w:id="572"/>
      </w:r>
      <w:r w:rsidRPr="00B573E4">
        <w:rPr>
          <w:noProof/>
        </w:rPr>
        <w:t>. Under these assumptions, low-carbon aluminium produced via the primary route could supply approximately 22.5% of total European demand in 2030</w:t>
      </w:r>
      <w:r w:rsidR="00A240CB" w:rsidRPr="00B573E4">
        <w:rPr>
          <w:rStyle w:val="FootnoteReference"/>
          <w:noProof/>
        </w:rPr>
        <w:footnoteReference w:id="573"/>
      </w:r>
      <w:r w:rsidRPr="00B573E4">
        <w:rPr>
          <w:noProof/>
        </w:rPr>
        <w:t xml:space="preserve">. Accordingly, </w:t>
      </w:r>
      <w:r w:rsidRPr="008824C4">
        <w:rPr>
          <w:rFonts w:cs="Times New Roman"/>
          <w:b/>
          <w:noProof/>
        </w:rPr>
        <w:t>a target of 25%</w:t>
      </w:r>
      <w:r w:rsidR="00E1537E" w:rsidRPr="00B573E4">
        <w:rPr>
          <w:rFonts w:cs="Times New Roman"/>
          <w:b/>
          <w:noProof/>
        </w:rPr>
        <w:t xml:space="preserve"> in 2030</w:t>
      </w:r>
      <w:r w:rsidRPr="008824C4">
        <w:rPr>
          <w:rFonts w:cs="Times New Roman"/>
          <w:b/>
          <w:noProof/>
        </w:rPr>
        <w:t xml:space="preserve"> </w:t>
      </w:r>
      <w:r w:rsidRPr="62B1D042">
        <w:rPr>
          <w:rFonts w:cs="Times New Roman"/>
          <w:noProof/>
        </w:rPr>
        <w:t>is considered both</w:t>
      </w:r>
      <w:r w:rsidRPr="00B573E4">
        <w:rPr>
          <w:noProof/>
        </w:rPr>
        <w:t xml:space="preserve"> appropriate and achievable, as it is closely aligned with the projected availability of low-carbon primary aluminium.</w:t>
      </w:r>
    </w:p>
    <w:p w14:paraId="6C4706F9" w14:textId="77777777" w:rsidR="001A3FCA" w:rsidRPr="008824C4" w:rsidRDefault="001A3FCA" w:rsidP="00994FE9">
      <w:pPr>
        <w:spacing w:after="120"/>
        <w:rPr>
          <w:rFonts w:eastAsia="Times New Roman" w:cs="Times New Roman"/>
          <w:i/>
          <w:noProof/>
        </w:rPr>
      </w:pPr>
      <w:r w:rsidRPr="008824C4">
        <w:rPr>
          <w:rFonts w:eastAsia="Times New Roman" w:cs="Times New Roman"/>
          <w:i/>
          <w:noProof/>
        </w:rPr>
        <w:t xml:space="preserve">Proposed measure under EII_1 </w:t>
      </w:r>
    </w:p>
    <w:p w14:paraId="4CECDE7A" w14:textId="3B085939" w:rsidR="00994FE9" w:rsidRPr="00FF63D1" w:rsidRDefault="00994FE9" w:rsidP="00994FE9">
      <w:pPr>
        <w:spacing w:after="120"/>
        <w:rPr>
          <w:rFonts w:eastAsia="Times New Roman" w:cs="Times New Roman"/>
          <w:noProof/>
        </w:rPr>
      </w:pPr>
      <w:r w:rsidRPr="617D0D8B">
        <w:rPr>
          <w:rFonts w:eastAsia="Times New Roman" w:cs="Times New Roman"/>
          <w:noProof/>
        </w:rPr>
        <w:t>This measure proposes a low-carbon content target of 25% for steel publicly procured in the selected downstream sectors in 2030, where low-carbon steel is considered compliant with classes A to C of the voluntary label designed in LAB.2. A review clause will be included for after 2030, based on projected supply of low</w:t>
      </w:r>
      <w:r w:rsidR="00E41BFE">
        <w:rPr>
          <w:rFonts w:eastAsia="Times New Roman" w:cs="Times New Roman"/>
          <w:noProof/>
        </w:rPr>
        <w:t>-</w:t>
      </w:r>
      <w:r w:rsidRPr="617D0D8B">
        <w:rPr>
          <w:rFonts w:eastAsia="Times New Roman" w:cs="Times New Roman"/>
          <w:noProof/>
        </w:rPr>
        <w:t>carbon steel, projects that have reached final investment decisions, and the general imports share. Participants in public tenders would be asked to demonstrate compliance with the low-carbon requirement by using the steel label (or, potentially, an equivalent certification).</w:t>
      </w:r>
    </w:p>
    <w:p w14:paraId="361FD114" w14:textId="30E5184E" w:rsidR="00994FE9" w:rsidRDefault="00994FE9" w:rsidP="617D0D8B">
      <w:pPr>
        <w:spacing w:after="120"/>
        <w:rPr>
          <w:rFonts w:eastAsia="Times New Roman" w:cs="Times New Roman"/>
          <w:noProof/>
        </w:rPr>
      </w:pPr>
      <w:r w:rsidRPr="617D0D8B">
        <w:rPr>
          <w:rFonts w:eastAsia="Times New Roman" w:cs="Times New Roman"/>
          <w:noProof/>
        </w:rPr>
        <w:t>For cement, this measure proposes a low-carbon content target of 5% for cement/concrete publicly procured in construction in 2030. As for steel, a review clause will be introduced to review the target level after 2030, depending on market developments. This target is based on current final investment decision projects for low-carbon cement, estimated to produce 2.3</w:t>
      </w:r>
      <w:r w:rsidR="00284425">
        <w:rPr>
          <w:rFonts w:eastAsia="Times New Roman" w:cs="Times New Roman"/>
          <w:noProof/>
        </w:rPr>
        <w:t xml:space="preserve"> Mtonnes </w:t>
      </w:r>
      <w:r w:rsidRPr="617D0D8B">
        <w:rPr>
          <w:rFonts w:eastAsia="Times New Roman" w:cs="Times New Roman"/>
          <w:noProof/>
        </w:rPr>
        <w:t>in 2030, which is equivalent to 1% of EU overall production. The specific design of the ambition level will reflect the methodological approach followed under the CPR.</w:t>
      </w:r>
    </w:p>
    <w:p w14:paraId="7B8ECEA9" w14:textId="7491580A" w:rsidR="00C20A53" w:rsidRPr="008824C4" w:rsidRDefault="009F06CB" w:rsidP="617D0D8B">
      <w:pPr>
        <w:spacing w:after="120"/>
        <w:rPr>
          <w:rFonts w:eastAsia="Times New Roman" w:cs="Times New Roman"/>
          <w:noProof/>
        </w:rPr>
      </w:pPr>
      <w:r w:rsidRPr="00B573E4">
        <w:rPr>
          <w:rFonts w:eastAsia="Times New Roman" w:cs="Times New Roman"/>
          <w:noProof/>
        </w:rPr>
        <w:t xml:space="preserve">For aluminium, the </w:t>
      </w:r>
      <w:r w:rsidR="00B9024C" w:rsidRPr="00B573E4">
        <w:rPr>
          <w:rFonts w:eastAsia="Times New Roman" w:cs="Times New Roman"/>
          <w:noProof/>
        </w:rPr>
        <w:t xml:space="preserve">measure </w:t>
      </w:r>
      <w:r w:rsidR="000B00AA" w:rsidRPr="00B573E4">
        <w:rPr>
          <w:rFonts w:eastAsia="Times New Roman" w:cs="Times New Roman"/>
          <w:noProof/>
        </w:rPr>
        <w:t xml:space="preserve">proposes </w:t>
      </w:r>
      <w:r w:rsidR="00CB3961" w:rsidRPr="00B573E4">
        <w:rPr>
          <w:rFonts w:eastAsia="Times New Roman" w:cs="Times New Roman"/>
          <w:noProof/>
        </w:rPr>
        <w:t xml:space="preserve">a </w:t>
      </w:r>
      <w:r w:rsidR="00DE4877" w:rsidRPr="00B573E4">
        <w:rPr>
          <w:rFonts w:eastAsia="Times New Roman" w:cs="Times New Roman"/>
          <w:noProof/>
        </w:rPr>
        <w:t>lo</w:t>
      </w:r>
      <w:r w:rsidR="00DE4877" w:rsidRPr="00AD5C08">
        <w:rPr>
          <w:rFonts w:eastAsia="Times New Roman" w:cs="Times New Roman"/>
          <w:noProof/>
        </w:rPr>
        <w:t>w-carbon</w:t>
      </w:r>
      <w:r w:rsidR="00CB3961" w:rsidRPr="00AD5C08">
        <w:rPr>
          <w:rFonts w:eastAsia="Times New Roman" w:cs="Times New Roman"/>
          <w:noProof/>
        </w:rPr>
        <w:t xml:space="preserve"> content</w:t>
      </w:r>
      <w:r w:rsidR="00DE4877" w:rsidRPr="00AD5C08">
        <w:rPr>
          <w:rFonts w:eastAsia="Times New Roman" w:cs="Times New Roman"/>
          <w:noProof/>
        </w:rPr>
        <w:t xml:space="preserve"> target </w:t>
      </w:r>
      <w:r w:rsidR="00CB3961" w:rsidRPr="00AD5C08">
        <w:rPr>
          <w:rFonts w:eastAsia="Times New Roman" w:cs="Times New Roman"/>
          <w:noProof/>
        </w:rPr>
        <w:t xml:space="preserve">of 25% for aluminium </w:t>
      </w:r>
      <w:r w:rsidR="00AA4C0D" w:rsidRPr="00AD5C08">
        <w:rPr>
          <w:rFonts w:eastAsia="Times New Roman" w:cs="Times New Roman"/>
          <w:noProof/>
        </w:rPr>
        <w:t xml:space="preserve">publicly procured in construction and selected downstream sectors in 2030. Similarly to cement, a </w:t>
      </w:r>
      <w:r w:rsidR="00C13929" w:rsidRPr="00AD5C08">
        <w:rPr>
          <w:rFonts w:eastAsia="Times New Roman" w:cs="Times New Roman"/>
          <w:noProof/>
        </w:rPr>
        <w:t xml:space="preserve">review </w:t>
      </w:r>
      <w:r w:rsidR="00081CE0" w:rsidRPr="00AD5C08">
        <w:rPr>
          <w:rFonts w:eastAsia="Times New Roman" w:cs="Times New Roman"/>
          <w:noProof/>
        </w:rPr>
        <w:t xml:space="preserve">of the </w:t>
      </w:r>
      <w:r w:rsidR="00EB600B" w:rsidRPr="00AD5C08">
        <w:rPr>
          <w:rFonts w:eastAsia="Times New Roman" w:cs="Times New Roman"/>
          <w:noProof/>
        </w:rPr>
        <w:t>post-2030 target level will be conducted</w:t>
      </w:r>
      <w:r w:rsidR="00870D85" w:rsidRPr="00AD5C08">
        <w:rPr>
          <w:rFonts w:eastAsia="Times New Roman" w:cs="Times New Roman"/>
          <w:noProof/>
        </w:rPr>
        <w:t>,</w:t>
      </w:r>
      <w:r w:rsidR="00CB3961" w:rsidRPr="00AD5C08">
        <w:rPr>
          <w:rFonts w:eastAsia="Times New Roman" w:cs="Times New Roman"/>
          <w:noProof/>
        </w:rPr>
        <w:t xml:space="preserve"> </w:t>
      </w:r>
      <w:r w:rsidR="00870D85" w:rsidRPr="00AD5C08">
        <w:rPr>
          <w:rFonts w:eastAsia="Times New Roman" w:cs="Times New Roman"/>
          <w:noProof/>
        </w:rPr>
        <w:t>based</w:t>
      </w:r>
      <w:r w:rsidR="00CB3961" w:rsidRPr="00AD5C08">
        <w:rPr>
          <w:rFonts w:eastAsia="Times New Roman" w:cs="Times New Roman"/>
          <w:noProof/>
        </w:rPr>
        <w:t xml:space="preserve"> on market developments. This target is </w:t>
      </w:r>
      <w:r w:rsidR="00597D21" w:rsidRPr="00AD5C08">
        <w:rPr>
          <w:rFonts w:eastAsia="Times New Roman" w:cs="Times New Roman"/>
          <w:noProof/>
        </w:rPr>
        <w:t xml:space="preserve">based on the 2030 availability of EU supply of low-carbon primary produced aluminium. </w:t>
      </w:r>
      <w:r w:rsidR="00CB3961" w:rsidRPr="00AD5C08">
        <w:rPr>
          <w:rFonts w:eastAsia="Times New Roman" w:cs="Times New Roman"/>
          <w:noProof/>
        </w:rPr>
        <w:t xml:space="preserve">The </w:t>
      </w:r>
      <w:r w:rsidR="00597D21" w:rsidRPr="00AD5C08">
        <w:rPr>
          <w:rFonts w:eastAsia="Times New Roman" w:cs="Times New Roman"/>
          <w:noProof/>
        </w:rPr>
        <w:t>underlying</w:t>
      </w:r>
      <w:r w:rsidR="00CB3961" w:rsidRPr="00AD5C08">
        <w:rPr>
          <w:rFonts w:eastAsia="Times New Roman" w:cs="Times New Roman"/>
          <w:noProof/>
        </w:rPr>
        <w:t xml:space="preserve"> design of the ambition level will reflect the methodological approach followed under the </w:t>
      </w:r>
      <w:r w:rsidR="00597D21" w:rsidRPr="00AD5C08">
        <w:rPr>
          <w:rFonts w:eastAsia="Times New Roman" w:cs="Times New Roman"/>
          <w:noProof/>
        </w:rPr>
        <w:t>ESPR</w:t>
      </w:r>
      <w:r w:rsidR="00CB3961" w:rsidRPr="00AD5C08">
        <w:rPr>
          <w:rFonts w:eastAsia="Times New Roman" w:cs="Times New Roman"/>
          <w:noProof/>
        </w:rPr>
        <w:t>.</w:t>
      </w:r>
    </w:p>
    <w:p w14:paraId="7D40886C" w14:textId="1617484E" w:rsidR="004B1F99" w:rsidRPr="00FF63D1" w:rsidRDefault="004245C0" w:rsidP="004B1F99">
      <w:pPr>
        <w:rPr>
          <w:rFonts w:eastAsia="Times New Roman"/>
          <w:i/>
          <w:noProof/>
        </w:rPr>
      </w:pPr>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separate"/>
      </w:r>
      <w:r w:rsidR="00E16D65">
        <w:rPr>
          <w:noProof/>
        </w:rPr>
        <w:t>20</w:t>
      </w:r>
      <w:r w:rsidRPr="00FF63D1">
        <w:rPr>
          <w:noProof/>
        </w:rPr>
        <w:fldChar w:fldCharType="end"/>
      </w:r>
      <w:r w:rsidR="007912E6" w:rsidRPr="00FF63D1">
        <w:rPr>
          <w:noProof/>
        </w:rPr>
        <w:t>:</w:t>
      </w:r>
      <w:r w:rsidR="004B1F99" w:rsidRPr="00FF63D1">
        <w:rPr>
          <w:rFonts w:eastAsia="Times New Roman"/>
          <w:i/>
          <w:noProof/>
        </w:rPr>
        <w:t xml:space="preserve"> Overview of LEAD_EII 1</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200"/>
        <w:gridCol w:w="1904"/>
        <w:gridCol w:w="3210"/>
      </w:tblGrid>
      <w:tr w:rsidR="00E71388" w:rsidRPr="00FF63D1" w14:paraId="78A47874" w14:textId="77777777" w:rsidTr="3F0F1197">
        <w:trPr>
          <w:trHeight w:val="431"/>
        </w:trPr>
        <w:tc>
          <w:tcPr>
            <w:tcW w:w="944" w:type="pct"/>
          </w:tcPr>
          <w:p w14:paraId="03D46023" w14:textId="77777777" w:rsidR="00020031" w:rsidRPr="00FF63D1" w:rsidRDefault="00020031">
            <w:pPr>
              <w:rPr>
                <w:b/>
                <w:noProof/>
              </w:rPr>
            </w:pPr>
            <w:r w:rsidRPr="00FF63D1">
              <w:rPr>
                <w:b/>
                <w:noProof/>
              </w:rPr>
              <w:t>Requirement</w:t>
            </w:r>
          </w:p>
        </w:tc>
        <w:tc>
          <w:tcPr>
            <w:tcW w:w="1220" w:type="pct"/>
          </w:tcPr>
          <w:p w14:paraId="0578CA07" w14:textId="77777777" w:rsidR="00020031" w:rsidRPr="00FF63D1" w:rsidRDefault="00020031">
            <w:pPr>
              <w:rPr>
                <w:b/>
                <w:noProof/>
              </w:rPr>
            </w:pPr>
            <w:r w:rsidRPr="00FF63D1">
              <w:rPr>
                <w:b/>
                <w:noProof/>
              </w:rPr>
              <w:t>Market segments</w:t>
            </w:r>
          </w:p>
        </w:tc>
        <w:tc>
          <w:tcPr>
            <w:tcW w:w="1056" w:type="pct"/>
          </w:tcPr>
          <w:p w14:paraId="05EB2193" w14:textId="77777777" w:rsidR="00020031" w:rsidRPr="00FF63D1" w:rsidRDefault="00020031">
            <w:pPr>
              <w:rPr>
                <w:b/>
                <w:noProof/>
              </w:rPr>
            </w:pPr>
            <w:r w:rsidRPr="00FF63D1">
              <w:rPr>
                <w:b/>
                <w:noProof/>
              </w:rPr>
              <w:t>Energy intensive material</w:t>
            </w:r>
          </w:p>
        </w:tc>
        <w:tc>
          <w:tcPr>
            <w:tcW w:w="1780" w:type="pct"/>
          </w:tcPr>
          <w:p w14:paraId="2873AC44" w14:textId="77777777" w:rsidR="00020031" w:rsidRPr="00FF63D1" w:rsidRDefault="00020031">
            <w:pPr>
              <w:rPr>
                <w:b/>
                <w:noProof/>
              </w:rPr>
            </w:pPr>
            <w:r w:rsidRPr="00FF63D1">
              <w:rPr>
                <w:b/>
                <w:noProof/>
              </w:rPr>
              <w:t>Targets</w:t>
            </w:r>
          </w:p>
        </w:tc>
      </w:tr>
      <w:tr w:rsidR="00DF24FE" w:rsidRPr="00FF63D1" w14:paraId="7570AD84" w14:textId="77777777" w:rsidTr="3F0F1197">
        <w:trPr>
          <w:trHeight w:val="181"/>
        </w:trPr>
        <w:tc>
          <w:tcPr>
            <w:tcW w:w="944" w:type="pct"/>
            <w:vMerge w:val="restart"/>
          </w:tcPr>
          <w:p w14:paraId="58ADEC7B" w14:textId="77777777" w:rsidR="00020031" w:rsidRPr="00FF63D1" w:rsidRDefault="00020031">
            <w:pPr>
              <w:rPr>
                <w:b/>
                <w:noProof/>
              </w:rPr>
            </w:pPr>
            <w:r w:rsidRPr="00FF63D1">
              <w:rPr>
                <w:b/>
                <w:noProof/>
              </w:rPr>
              <w:t>Low-carbon requirement</w:t>
            </w:r>
          </w:p>
        </w:tc>
        <w:tc>
          <w:tcPr>
            <w:tcW w:w="1220" w:type="pct"/>
            <w:vMerge w:val="restart"/>
          </w:tcPr>
          <w:p w14:paraId="23560BB8" w14:textId="77777777" w:rsidR="00020031" w:rsidRPr="00FF63D1" w:rsidRDefault="00020031">
            <w:pPr>
              <w:rPr>
                <w:noProof/>
              </w:rPr>
            </w:pPr>
            <w:r w:rsidRPr="00FF63D1">
              <w:rPr>
                <w:noProof/>
              </w:rPr>
              <w:t xml:space="preserve">Public procurement </w:t>
            </w:r>
          </w:p>
          <w:p w14:paraId="370C4DF0" w14:textId="77777777" w:rsidR="00020031" w:rsidRPr="00FF63D1" w:rsidRDefault="00020031">
            <w:pPr>
              <w:rPr>
                <w:noProof/>
              </w:rPr>
            </w:pPr>
            <w:r w:rsidRPr="00FF63D1">
              <w:rPr>
                <w:noProof/>
              </w:rPr>
              <w:t>Public support schemes</w:t>
            </w:r>
          </w:p>
        </w:tc>
        <w:tc>
          <w:tcPr>
            <w:tcW w:w="1056" w:type="pct"/>
          </w:tcPr>
          <w:p w14:paraId="6E16BD96" w14:textId="77777777" w:rsidR="00020031" w:rsidRPr="00FF63D1" w:rsidRDefault="00020031">
            <w:pPr>
              <w:rPr>
                <w:noProof/>
              </w:rPr>
            </w:pPr>
            <w:r w:rsidRPr="00FF63D1">
              <w:rPr>
                <w:noProof/>
              </w:rPr>
              <w:t xml:space="preserve">Steel </w:t>
            </w:r>
          </w:p>
        </w:tc>
        <w:tc>
          <w:tcPr>
            <w:tcW w:w="1780" w:type="pct"/>
          </w:tcPr>
          <w:p w14:paraId="797415AE" w14:textId="533885AE" w:rsidR="00020031" w:rsidRPr="00FF63D1" w:rsidRDefault="00C3743A">
            <w:pPr>
              <w:rPr>
                <w:noProof/>
              </w:rPr>
            </w:pPr>
            <w:r w:rsidRPr="00FF63D1">
              <w:rPr>
                <w:noProof/>
              </w:rPr>
              <w:t>2</w:t>
            </w:r>
            <w:r w:rsidR="00020031" w:rsidRPr="00FF63D1">
              <w:rPr>
                <w:noProof/>
              </w:rPr>
              <w:t>5% in 2030</w:t>
            </w:r>
          </w:p>
        </w:tc>
      </w:tr>
      <w:tr w:rsidR="00DF24FE" w:rsidRPr="00FF63D1" w14:paraId="005B22DF" w14:textId="77777777" w:rsidTr="3F0F1197">
        <w:trPr>
          <w:trHeight w:val="58"/>
        </w:trPr>
        <w:tc>
          <w:tcPr>
            <w:tcW w:w="944" w:type="pct"/>
            <w:vMerge/>
          </w:tcPr>
          <w:p w14:paraId="7EBDA426" w14:textId="77777777" w:rsidR="00020031" w:rsidRPr="00FF63D1" w:rsidRDefault="00020031" w:rsidP="00020031">
            <w:pPr>
              <w:rPr>
                <w:b/>
                <w:noProof/>
              </w:rPr>
            </w:pPr>
          </w:p>
        </w:tc>
        <w:tc>
          <w:tcPr>
            <w:tcW w:w="1220" w:type="pct"/>
            <w:vMerge/>
          </w:tcPr>
          <w:p w14:paraId="4C4F481B" w14:textId="77777777" w:rsidR="00020031" w:rsidRPr="00FF63D1" w:rsidRDefault="00020031" w:rsidP="00020031">
            <w:pPr>
              <w:rPr>
                <w:noProof/>
              </w:rPr>
            </w:pPr>
          </w:p>
        </w:tc>
        <w:tc>
          <w:tcPr>
            <w:tcW w:w="1056" w:type="pct"/>
          </w:tcPr>
          <w:p w14:paraId="188E08DB" w14:textId="77777777" w:rsidR="00020031" w:rsidRPr="00FF63D1" w:rsidRDefault="404A2814">
            <w:pPr>
              <w:rPr>
                <w:noProof/>
              </w:rPr>
            </w:pPr>
            <w:r w:rsidRPr="00FF63D1">
              <w:rPr>
                <w:noProof/>
              </w:rPr>
              <w:t>Cement (concrete</w:t>
            </w:r>
            <w:r w:rsidR="00020031" w:rsidRPr="00FF63D1">
              <w:rPr>
                <w:rStyle w:val="FootnoteReference"/>
                <w:noProof/>
              </w:rPr>
              <w:footnoteReference w:id="574"/>
            </w:r>
            <w:r w:rsidRPr="00FF63D1">
              <w:rPr>
                <w:noProof/>
              </w:rPr>
              <w:t>)</w:t>
            </w:r>
          </w:p>
        </w:tc>
        <w:tc>
          <w:tcPr>
            <w:tcW w:w="1780" w:type="pct"/>
          </w:tcPr>
          <w:p w14:paraId="58B05935" w14:textId="5DF02609" w:rsidR="00020031" w:rsidRPr="00FF63D1" w:rsidRDefault="00020031">
            <w:pPr>
              <w:rPr>
                <w:noProof/>
              </w:rPr>
            </w:pPr>
            <w:r w:rsidRPr="00FF63D1">
              <w:rPr>
                <w:rFonts w:eastAsia="Times"/>
                <w:noProof/>
                <w:szCs w:val="20"/>
              </w:rPr>
              <w:t>5% in 2030</w:t>
            </w:r>
          </w:p>
        </w:tc>
      </w:tr>
      <w:tr w:rsidR="00DF24FE" w:rsidRPr="00FF63D1" w14:paraId="313161C5" w14:textId="77777777" w:rsidTr="3F0F1197">
        <w:trPr>
          <w:trHeight w:val="180"/>
        </w:trPr>
        <w:tc>
          <w:tcPr>
            <w:tcW w:w="944" w:type="pct"/>
            <w:vMerge/>
          </w:tcPr>
          <w:p w14:paraId="4355659B" w14:textId="77777777" w:rsidR="00020031" w:rsidRPr="00FF63D1" w:rsidRDefault="00020031" w:rsidP="00020031">
            <w:pPr>
              <w:rPr>
                <w:b/>
                <w:noProof/>
              </w:rPr>
            </w:pPr>
          </w:p>
        </w:tc>
        <w:tc>
          <w:tcPr>
            <w:tcW w:w="1220" w:type="pct"/>
            <w:vMerge/>
          </w:tcPr>
          <w:p w14:paraId="3E27C5AD" w14:textId="77777777" w:rsidR="00020031" w:rsidRPr="00FF63D1" w:rsidRDefault="00020031" w:rsidP="00020031">
            <w:pPr>
              <w:rPr>
                <w:noProof/>
              </w:rPr>
            </w:pPr>
          </w:p>
        </w:tc>
        <w:tc>
          <w:tcPr>
            <w:tcW w:w="1056" w:type="pct"/>
          </w:tcPr>
          <w:p w14:paraId="16D741F6" w14:textId="77777777" w:rsidR="00020031" w:rsidRPr="00FF63D1" w:rsidRDefault="00020031" w:rsidP="00020031">
            <w:pPr>
              <w:rPr>
                <w:noProof/>
              </w:rPr>
            </w:pPr>
            <w:r w:rsidRPr="00FF63D1">
              <w:rPr>
                <w:noProof/>
              </w:rPr>
              <w:t>Aluminium</w:t>
            </w:r>
          </w:p>
        </w:tc>
        <w:tc>
          <w:tcPr>
            <w:tcW w:w="1780" w:type="pct"/>
          </w:tcPr>
          <w:p w14:paraId="5B0A321D" w14:textId="590E48BD" w:rsidR="00020031" w:rsidRPr="00FF63D1" w:rsidRDefault="00C13A0E" w:rsidP="00020031">
            <w:pPr>
              <w:rPr>
                <w:noProof/>
                <w:highlight w:val="yellow"/>
              </w:rPr>
            </w:pPr>
            <w:r w:rsidRPr="00FF63D1">
              <w:rPr>
                <w:noProof/>
              </w:rPr>
              <w:t>25% in 2030</w:t>
            </w:r>
          </w:p>
        </w:tc>
      </w:tr>
    </w:tbl>
    <w:p w14:paraId="4E80973C" w14:textId="77777777" w:rsidR="00020031" w:rsidRPr="00FF63D1" w:rsidRDefault="00020031">
      <w:pPr>
        <w:rPr>
          <w:rFonts w:eastAsia="Times New Roman"/>
          <w:noProof/>
        </w:rPr>
      </w:pPr>
    </w:p>
    <w:p w14:paraId="3636BC61" w14:textId="79DB4557" w:rsidR="00020031" w:rsidRPr="00FF63D1" w:rsidRDefault="00020031" w:rsidP="3F0F1197">
      <w:pPr>
        <w:rPr>
          <w:b/>
          <w:bCs/>
          <w:noProof/>
        </w:rPr>
      </w:pPr>
      <w:r w:rsidRPr="3F0F1197">
        <w:rPr>
          <w:b/>
          <w:bCs/>
          <w:noProof/>
        </w:rPr>
        <w:t xml:space="preserve">LEAD_EII 2 – </w:t>
      </w:r>
      <w:r w:rsidR="528EA618" w:rsidRPr="3F0F1197">
        <w:rPr>
          <w:b/>
          <w:bCs/>
          <w:noProof/>
        </w:rPr>
        <w:t>L</w:t>
      </w:r>
      <w:r w:rsidRPr="3F0F1197">
        <w:rPr>
          <w:b/>
          <w:bCs/>
          <w:noProof/>
        </w:rPr>
        <w:t xml:space="preserve">ow-carbon requirements for EII </w:t>
      </w:r>
      <w:r w:rsidR="57C0EEC8" w:rsidRPr="3F0F1197">
        <w:rPr>
          <w:b/>
          <w:bCs/>
          <w:noProof/>
        </w:rPr>
        <w:t xml:space="preserve">outputs </w:t>
      </w:r>
      <w:r w:rsidR="127B8FAB" w:rsidRPr="3F0F1197">
        <w:rPr>
          <w:b/>
          <w:bCs/>
          <w:noProof/>
        </w:rPr>
        <w:t>and</w:t>
      </w:r>
      <w:r w:rsidRPr="3F0F1197" w:rsidDel="00020031">
        <w:rPr>
          <w:b/>
          <w:bCs/>
          <w:noProof/>
        </w:rPr>
        <w:t xml:space="preserve"> </w:t>
      </w:r>
      <w:r w:rsidRPr="3F0F1197">
        <w:rPr>
          <w:b/>
          <w:bCs/>
          <w:noProof/>
        </w:rPr>
        <w:t xml:space="preserve">minimum </w:t>
      </w:r>
      <w:r w:rsidR="000B3C9C" w:rsidRPr="3F0F1197">
        <w:rPr>
          <w:rFonts w:eastAsia="Times New Roman"/>
          <w:b/>
          <w:bCs/>
          <w:noProof/>
          <w:lang w:eastAsia="en-GB"/>
        </w:rPr>
        <w:t>Made in EU requirement</w:t>
      </w:r>
      <w:r w:rsidRPr="3F0F1197">
        <w:rPr>
          <w:b/>
          <w:bCs/>
          <w:noProof/>
        </w:rPr>
        <w:t xml:space="preserve"> for EIIs in public procurement and support schemes </w:t>
      </w:r>
    </w:p>
    <w:p w14:paraId="0BDE0D51" w14:textId="77777777" w:rsidR="00A65E22" w:rsidRPr="00FF63D1" w:rsidRDefault="00A65E22" w:rsidP="00A65E22">
      <w:pPr>
        <w:rPr>
          <w:b/>
          <w:noProof/>
        </w:rPr>
      </w:pPr>
    </w:p>
    <w:p w14:paraId="6CE59812" w14:textId="776C4708" w:rsidR="00020031" w:rsidRPr="00FF63D1" w:rsidRDefault="00020031" w:rsidP="00A65E22">
      <w:pPr>
        <w:rPr>
          <w:i/>
          <w:noProof/>
        </w:rPr>
      </w:pPr>
      <w:r w:rsidRPr="00FF63D1">
        <w:rPr>
          <w:i/>
          <w:noProof/>
        </w:rPr>
        <w:t xml:space="preserve">Scope considerations </w:t>
      </w:r>
      <w:r w:rsidR="00D855A5" w:rsidRPr="00FF63D1">
        <w:rPr>
          <w:i/>
          <w:noProof/>
        </w:rPr>
        <w:t>for</w:t>
      </w:r>
      <w:r w:rsidR="00720F0C" w:rsidRPr="00FF63D1">
        <w:rPr>
          <w:i/>
          <w:noProof/>
        </w:rPr>
        <w:t xml:space="preserve"> LEAD_EII 2</w:t>
      </w:r>
    </w:p>
    <w:p w14:paraId="17CD7860" w14:textId="77777777" w:rsidR="00A65E22" w:rsidRPr="00FF63D1" w:rsidRDefault="00A65E22" w:rsidP="00A65E22">
      <w:pPr>
        <w:rPr>
          <w:i/>
          <w:noProof/>
        </w:rPr>
      </w:pPr>
    </w:p>
    <w:p w14:paraId="3F07EBA4" w14:textId="1EBD53D3" w:rsidR="00020031" w:rsidRPr="00FF63D1" w:rsidRDefault="00020031" w:rsidP="00766605">
      <w:pPr>
        <w:spacing w:after="120"/>
        <w:rPr>
          <w:noProof/>
        </w:rPr>
      </w:pPr>
      <w:r w:rsidRPr="00FF63D1">
        <w:rPr>
          <w:b/>
          <w:noProof/>
        </w:rPr>
        <w:t>Based on sectoral analysis described in Annex 7, steel</w:t>
      </w:r>
      <w:r w:rsidRPr="00FF63D1">
        <w:rPr>
          <w:noProof/>
        </w:rPr>
        <w:t xml:space="preserve">, </w:t>
      </w:r>
      <w:r w:rsidRPr="00FF63D1">
        <w:rPr>
          <w:b/>
          <w:noProof/>
        </w:rPr>
        <w:t>aluminium</w:t>
      </w:r>
      <w:r w:rsidRPr="00FF63D1">
        <w:rPr>
          <w:noProof/>
        </w:rPr>
        <w:t xml:space="preserve"> and </w:t>
      </w:r>
      <w:r w:rsidRPr="00FF63D1">
        <w:rPr>
          <w:b/>
          <w:noProof/>
        </w:rPr>
        <w:t xml:space="preserve">cement </w:t>
      </w:r>
      <w:r w:rsidRPr="00FF63D1">
        <w:rPr>
          <w:noProof/>
        </w:rPr>
        <w:t>are considered high-potential sectors for this measure as the market share of EU producers has been declining substantially in the past 10 years, making them particularly at risk of de-industrialisation.</w:t>
      </w:r>
    </w:p>
    <w:p w14:paraId="26BFB49C" w14:textId="5E717326" w:rsidR="000C4F71" w:rsidRPr="00FF63D1" w:rsidRDefault="00020031" w:rsidP="00766605">
      <w:pPr>
        <w:spacing w:after="120"/>
        <w:rPr>
          <w:noProof/>
        </w:rPr>
      </w:pPr>
      <w:r>
        <w:rPr>
          <w:noProof/>
        </w:rPr>
        <w:t xml:space="preserve">To address these challenges, </w:t>
      </w:r>
      <w:r w:rsidR="00090C03">
        <w:rPr>
          <w:noProof/>
        </w:rPr>
        <w:t>the</w:t>
      </w:r>
      <w:r w:rsidR="008D44F2">
        <w:rPr>
          <w:noProof/>
        </w:rPr>
        <w:t xml:space="preserve"> measure </w:t>
      </w:r>
      <w:r w:rsidR="000F5AFC">
        <w:rPr>
          <w:noProof/>
        </w:rPr>
        <w:t>couples</w:t>
      </w:r>
      <w:r w:rsidR="008D44F2">
        <w:rPr>
          <w:noProof/>
        </w:rPr>
        <w:t xml:space="preserve"> the low-carbon requirements with minimum </w:t>
      </w:r>
      <w:r w:rsidR="000B3C9C">
        <w:rPr>
          <w:noProof/>
        </w:rPr>
        <w:t xml:space="preserve">Made in EU </w:t>
      </w:r>
      <w:r w:rsidR="008D44F2">
        <w:rPr>
          <w:noProof/>
        </w:rPr>
        <w:t>requirements in public procurement and support schemes.</w:t>
      </w:r>
    </w:p>
    <w:p w14:paraId="1D171F16" w14:textId="77777777" w:rsidR="00AE5113" w:rsidRPr="00FF63D1" w:rsidRDefault="00AE5113" w:rsidP="00766605">
      <w:pPr>
        <w:spacing w:after="120"/>
        <w:rPr>
          <w:i/>
          <w:noProof/>
        </w:rPr>
      </w:pPr>
      <w:r w:rsidRPr="00FF63D1">
        <w:rPr>
          <w:i/>
          <w:noProof/>
        </w:rPr>
        <w:t xml:space="preserve">Targets </w:t>
      </w:r>
    </w:p>
    <w:p w14:paraId="7C04415F" w14:textId="7D8C21DB" w:rsidR="008D44F2" w:rsidRPr="00FF63D1" w:rsidRDefault="00990879" w:rsidP="00766605">
      <w:pPr>
        <w:spacing w:after="120"/>
        <w:rPr>
          <w:noProof/>
        </w:rPr>
      </w:pPr>
      <w:r>
        <w:rPr>
          <w:noProof/>
        </w:rPr>
        <w:t xml:space="preserve">Under this option, the </w:t>
      </w:r>
      <w:r w:rsidRPr="3F0F1197">
        <w:rPr>
          <w:b/>
          <w:bCs/>
          <w:noProof/>
        </w:rPr>
        <w:t xml:space="preserve">low-carbon </w:t>
      </w:r>
      <w:r w:rsidR="407CC410" w:rsidRPr="3F0F1197">
        <w:rPr>
          <w:b/>
          <w:bCs/>
          <w:noProof/>
        </w:rPr>
        <w:t xml:space="preserve">and made in EU </w:t>
      </w:r>
      <w:r w:rsidRPr="3F0F1197">
        <w:rPr>
          <w:b/>
          <w:bCs/>
          <w:noProof/>
        </w:rPr>
        <w:t>requirement</w:t>
      </w:r>
      <w:r>
        <w:rPr>
          <w:noProof/>
        </w:rPr>
        <w:t xml:space="preserve"> would apply to steel products</w:t>
      </w:r>
      <w:r w:rsidR="00563BD7">
        <w:rPr>
          <w:noProof/>
        </w:rPr>
        <w:t xml:space="preserve"> </w:t>
      </w:r>
      <w:r w:rsidR="53DE12A6">
        <w:rPr>
          <w:noProof/>
        </w:rPr>
        <w:t>in public procurement and public support scheme</w:t>
      </w:r>
      <w:r>
        <w:rPr>
          <w:noProof/>
        </w:rPr>
        <w:t xml:space="preserve"> ensuring that at least 25% of </w:t>
      </w:r>
      <w:r w:rsidR="3E136B3C">
        <w:rPr>
          <w:noProof/>
        </w:rPr>
        <w:t>the</w:t>
      </w:r>
      <w:r w:rsidR="0720B89D">
        <w:rPr>
          <w:noProof/>
        </w:rPr>
        <w:t xml:space="preserve"> steel </w:t>
      </w:r>
      <w:r w:rsidR="2B0C9C0C">
        <w:rPr>
          <w:noProof/>
        </w:rPr>
        <w:t>us</w:t>
      </w:r>
      <w:r w:rsidR="0720B89D">
        <w:rPr>
          <w:noProof/>
        </w:rPr>
        <w:t>ed</w:t>
      </w:r>
      <w:r w:rsidR="2B0C9C0C">
        <w:rPr>
          <w:noProof/>
        </w:rPr>
        <w:t xml:space="preserve"> in </w:t>
      </w:r>
      <w:r w:rsidR="001700B5">
        <w:rPr>
          <w:noProof/>
        </w:rPr>
        <w:t>the automotive and construction</w:t>
      </w:r>
      <w:r>
        <w:rPr>
          <w:noProof/>
        </w:rPr>
        <w:t xml:space="preserve"> </w:t>
      </w:r>
      <w:r w:rsidR="2B0C9C0C">
        <w:rPr>
          <w:noProof/>
        </w:rPr>
        <w:t>sectors as part of public procurement and support schemes</w:t>
      </w:r>
      <w:r w:rsidR="0720B89D">
        <w:rPr>
          <w:noProof/>
        </w:rPr>
        <w:t xml:space="preserve"> </w:t>
      </w:r>
      <w:r w:rsidR="002232B6">
        <w:rPr>
          <w:noProof/>
        </w:rPr>
        <w:t xml:space="preserve">in </w:t>
      </w:r>
      <w:r>
        <w:rPr>
          <w:noProof/>
        </w:rPr>
        <w:t xml:space="preserve">2030 </w:t>
      </w:r>
      <w:r w:rsidR="002232B6">
        <w:rPr>
          <w:noProof/>
        </w:rPr>
        <w:t xml:space="preserve">is </w:t>
      </w:r>
      <w:r w:rsidR="6B848244">
        <w:rPr>
          <w:noProof/>
        </w:rPr>
        <w:t xml:space="preserve">of European origin and is </w:t>
      </w:r>
      <w:r w:rsidR="002232B6">
        <w:rPr>
          <w:noProof/>
        </w:rPr>
        <w:t xml:space="preserve">compliant with the </w:t>
      </w:r>
      <w:r w:rsidR="00CE0FEC">
        <w:rPr>
          <w:noProof/>
        </w:rPr>
        <w:t>classes A to C as defined under LAB.2</w:t>
      </w:r>
      <w:r>
        <w:rPr>
          <w:noProof/>
        </w:rPr>
        <w:t>. This corresponds to the domestic supply of approximately 35.</w:t>
      </w:r>
      <w:r w:rsidR="00B71BCD">
        <w:rPr>
          <w:noProof/>
        </w:rPr>
        <w:t>1</w:t>
      </w:r>
      <w:r>
        <w:rPr>
          <w:noProof/>
        </w:rPr>
        <w:t xml:space="preserve"> </w:t>
      </w:r>
      <w:r w:rsidR="00F13BC5">
        <w:rPr>
          <w:noProof/>
        </w:rPr>
        <w:t>Mtonnes</w:t>
      </w:r>
      <w:r>
        <w:rPr>
          <w:noProof/>
        </w:rPr>
        <w:t xml:space="preserve"> per year (29.7</w:t>
      </w:r>
      <w:r w:rsidR="00284425">
        <w:rPr>
          <w:noProof/>
        </w:rPr>
        <w:t xml:space="preserve"> Mtonnes </w:t>
      </w:r>
      <w:r>
        <w:rPr>
          <w:noProof/>
        </w:rPr>
        <w:t>from EU production).</w:t>
      </w:r>
      <w:r w:rsidR="00FD4880">
        <w:rPr>
          <w:noProof/>
        </w:rPr>
        <w:t xml:space="preserve"> Given the </w:t>
      </w:r>
      <w:r w:rsidR="00EC4050">
        <w:rPr>
          <w:noProof/>
        </w:rPr>
        <w:t xml:space="preserve">potential for uptake of low-carbon steel is different in these two market segments, there is higher potential to use low-carbon EAF steel in construction, </w:t>
      </w:r>
      <w:r w:rsidR="00D467E5">
        <w:rPr>
          <w:noProof/>
        </w:rPr>
        <w:t xml:space="preserve">versus low-carbo primary </w:t>
      </w:r>
      <w:r w:rsidR="008D1B8B">
        <w:rPr>
          <w:noProof/>
        </w:rPr>
        <w:t>route-based</w:t>
      </w:r>
      <w:r w:rsidR="00D467E5">
        <w:rPr>
          <w:noProof/>
        </w:rPr>
        <w:t xml:space="preserve"> steel in automotive.</w:t>
      </w:r>
      <w:r w:rsidR="45ED9990">
        <w:rPr>
          <w:noProof/>
        </w:rPr>
        <w:t xml:space="preserve"> A</w:t>
      </w:r>
      <w:r w:rsidRPr="3F0F1197">
        <w:rPr>
          <w:b/>
          <w:bCs/>
          <w:noProof/>
        </w:rPr>
        <w:t xml:space="preserve"> minimum </w:t>
      </w:r>
      <w:r w:rsidR="000B3C9C" w:rsidRPr="3F0F1197">
        <w:rPr>
          <w:b/>
          <w:bCs/>
          <w:noProof/>
        </w:rPr>
        <w:t>Made in EU requirement</w:t>
      </w:r>
      <w:r>
        <w:rPr>
          <w:noProof/>
        </w:rPr>
        <w:t xml:space="preserve"> </w:t>
      </w:r>
      <w:r w:rsidR="000C4F71">
        <w:rPr>
          <w:noProof/>
        </w:rPr>
        <w:t>ensuring</w:t>
      </w:r>
      <w:r>
        <w:rPr>
          <w:noProof/>
        </w:rPr>
        <w:t xml:space="preserve"> that the low-carbon steel used in publicly financed projects originates from EU or EEA producers. </w:t>
      </w:r>
    </w:p>
    <w:p w14:paraId="306BF89D" w14:textId="34E4FA2B" w:rsidR="00766605" w:rsidRDefault="00020031" w:rsidP="00766605">
      <w:pPr>
        <w:spacing w:after="120"/>
        <w:rPr>
          <w:noProof/>
        </w:rPr>
      </w:pPr>
      <w:r w:rsidRPr="00FF63D1">
        <w:rPr>
          <w:noProof/>
        </w:rPr>
        <w:t xml:space="preserve">To introduce minimum </w:t>
      </w:r>
      <w:r w:rsidR="000B3C9C">
        <w:rPr>
          <w:noProof/>
        </w:rPr>
        <w:t xml:space="preserve">Made in EU </w:t>
      </w:r>
      <w:r w:rsidRPr="00FF63D1">
        <w:rPr>
          <w:noProof/>
        </w:rPr>
        <w:t>requirements in public procurement in line with international commitments for EIIs</w:t>
      </w:r>
      <w:r w:rsidR="00503538" w:rsidRPr="00FF63D1">
        <w:rPr>
          <w:noProof/>
        </w:rPr>
        <w:t xml:space="preserve"> but with maximum use of exemptions </w:t>
      </w:r>
      <w:r w:rsidR="0045092B" w:rsidRPr="00FF63D1">
        <w:rPr>
          <w:noProof/>
        </w:rPr>
        <w:t>from those international commitments</w:t>
      </w:r>
      <w:r w:rsidRPr="00FF63D1">
        <w:rPr>
          <w:noProof/>
        </w:rPr>
        <w:t>, the following design elements on how to define “EU content” will be considered:</w:t>
      </w:r>
    </w:p>
    <w:p w14:paraId="392D6DA3" w14:textId="77777777" w:rsidR="00766605" w:rsidRDefault="00020031" w:rsidP="00766605">
      <w:pPr>
        <w:pStyle w:val="ListParagraph"/>
        <w:numPr>
          <w:ilvl w:val="0"/>
          <w:numId w:val="169"/>
        </w:numPr>
        <w:spacing w:after="120"/>
        <w:rPr>
          <w:noProof/>
        </w:rPr>
      </w:pPr>
      <w:r w:rsidRPr="00FF63D1">
        <w:rPr>
          <w:noProof/>
        </w:rPr>
        <w:t>Minimum percentage of the value creation (i.e. value of the final product compared to initial input) to take place in the EU</w:t>
      </w:r>
    </w:p>
    <w:p w14:paraId="1ED3CE73" w14:textId="77777777" w:rsidR="00766605" w:rsidRDefault="00020031" w:rsidP="00766605">
      <w:pPr>
        <w:pStyle w:val="ListParagraph"/>
        <w:numPr>
          <w:ilvl w:val="0"/>
          <w:numId w:val="169"/>
        </w:numPr>
        <w:spacing w:after="120"/>
        <w:rPr>
          <w:noProof/>
        </w:rPr>
      </w:pPr>
      <w:r w:rsidRPr="00FF63D1">
        <w:rPr>
          <w:noProof/>
        </w:rPr>
        <w:t>Minimum share of specific materials used in a product to be manufactured in the EU</w:t>
      </w:r>
    </w:p>
    <w:p w14:paraId="3EA3C926" w14:textId="77777777" w:rsidR="00020031" w:rsidRPr="00FF63D1" w:rsidRDefault="00020031" w:rsidP="00766605">
      <w:pPr>
        <w:pStyle w:val="ListParagraph"/>
        <w:numPr>
          <w:ilvl w:val="0"/>
          <w:numId w:val="169"/>
        </w:numPr>
        <w:spacing w:after="120"/>
        <w:rPr>
          <w:noProof/>
        </w:rPr>
      </w:pPr>
      <w:r w:rsidRPr="00FF63D1">
        <w:rPr>
          <w:noProof/>
        </w:rPr>
        <w:t>Specific production steps or final assembly must take place in within EU</w:t>
      </w:r>
    </w:p>
    <w:p w14:paraId="0B6C6A61" w14:textId="77777777" w:rsidR="006A5284" w:rsidRPr="00FF63D1" w:rsidRDefault="006A5284" w:rsidP="005035F6">
      <w:pPr>
        <w:ind w:left="142"/>
        <w:rPr>
          <w:noProof/>
        </w:rPr>
      </w:pPr>
    </w:p>
    <w:p w14:paraId="0E11F9D2" w14:textId="1624A255" w:rsidR="00020031" w:rsidRPr="00FF63D1" w:rsidRDefault="00020031" w:rsidP="00766605">
      <w:pPr>
        <w:spacing w:after="120"/>
        <w:rPr>
          <w:noProof/>
        </w:rPr>
      </w:pPr>
      <w:r>
        <w:rPr>
          <w:noProof/>
        </w:rPr>
        <w:t>Analysis on the target for</w:t>
      </w:r>
      <w:r w:rsidR="6D29DF92">
        <w:rPr>
          <w:noProof/>
        </w:rPr>
        <w:t xml:space="preserve"> EU</w:t>
      </w:r>
      <w:r>
        <w:rPr>
          <w:noProof/>
        </w:rPr>
        <w:t xml:space="preserve"> low-carbon requirements </w:t>
      </w:r>
      <w:r w:rsidR="007455DA">
        <w:rPr>
          <w:noProof/>
        </w:rPr>
        <w:t xml:space="preserve">for cement </w:t>
      </w:r>
      <w:r w:rsidR="002B27FE">
        <w:rPr>
          <w:noProof/>
        </w:rPr>
        <w:t xml:space="preserve">and steel </w:t>
      </w:r>
      <w:r>
        <w:rPr>
          <w:noProof/>
        </w:rPr>
        <w:t>is carried out under LEAD_EII 1.</w:t>
      </w:r>
    </w:p>
    <w:p w14:paraId="1B58BE34" w14:textId="77777777" w:rsidR="00020031" w:rsidRPr="00FF63D1" w:rsidRDefault="00020031">
      <w:pPr>
        <w:rPr>
          <w:noProof/>
        </w:rPr>
      </w:pPr>
    </w:p>
    <w:p w14:paraId="368591C8" w14:textId="77777777" w:rsidR="00020031" w:rsidRDefault="00020031">
      <w:pPr>
        <w:rPr>
          <w:rFonts w:eastAsia="Times New Roman"/>
          <w:i/>
          <w:noProof/>
        </w:rPr>
      </w:pPr>
      <w:r w:rsidRPr="00FF63D1">
        <w:rPr>
          <w:rFonts w:eastAsia="Times New Roman"/>
          <w:i/>
          <w:noProof/>
        </w:rPr>
        <w:t>Overview of LEAD_EII 2</w:t>
      </w:r>
    </w:p>
    <w:p w14:paraId="7FC8A053" w14:textId="77777777" w:rsidR="00766605" w:rsidRPr="00FF63D1" w:rsidRDefault="00766605">
      <w:pPr>
        <w:rPr>
          <w:rFonts w:eastAsia="Times New Roman"/>
          <w:i/>
          <w:noProof/>
        </w:rPr>
      </w:pPr>
    </w:p>
    <w:p w14:paraId="3D3664AC" w14:textId="08AC56C0" w:rsidR="00A65E22" w:rsidRPr="00FF63D1" w:rsidRDefault="00020031" w:rsidP="00A65E22">
      <w:pPr>
        <w:pStyle w:val="Caption"/>
        <w:keepNext/>
        <w:rPr>
          <w:noProof/>
        </w:rPr>
      </w:pPr>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separate"/>
      </w:r>
      <w:r w:rsidR="00E16D65">
        <w:rPr>
          <w:noProof/>
        </w:rPr>
        <w:t>22</w:t>
      </w:r>
      <w:r w:rsidRPr="00FF63D1">
        <w:rPr>
          <w:noProof/>
        </w:rPr>
        <w:fldChar w:fldCharType="end"/>
      </w:r>
      <w:r w:rsidRPr="00FF63D1">
        <w:rPr>
          <w:noProof/>
        </w:rPr>
        <w:t>:</w:t>
      </w:r>
      <w:r w:rsidR="004245C0" w:rsidRPr="00FF63D1">
        <w:rPr>
          <w:noProof/>
        </w:rPr>
        <w:t xml:space="preserve"> P</w:t>
      </w:r>
      <w:r w:rsidRPr="00FF63D1">
        <w:rPr>
          <w:noProof/>
        </w:rPr>
        <w:t>roposed targets under LEAD_EII 2</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2131"/>
        <w:gridCol w:w="2086"/>
        <w:gridCol w:w="3087"/>
      </w:tblGrid>
      <w:tr w:rsidR="00020031" w:rsidRPr="00FF63D1" w14:paraId="36C1B113" w14:textId="77777777" w:rsidTr="3F0F1197">
        <w:trPr>
          <w:trHeight w:val="300"/>
        </w:trPr>
        <w:tc>
          <w:tcPr>
            <w:tcW w:w="949" w:type="pct"/>
          </w:tcPr>
          <w:p w14:paraId="6AC0EB1B" w14:textId="77777777" w:rsidR="00020031" w:rsidRPr="00FF63D1" w:rsidRDefault="00020031" w:rsidP="00A65E22">
            <w:pPr>
              <w:rPr>
                <w:rFonts w:ascii="Times" w:hAnsi="Times" w:cs="Times"/>
                <w:b/>
                <w:noProof/>
                <w:szCs w:val="20"/>
              </w:rPr>
            </w:pPr>
            <w:r w:rsidRPr="00FF63D1">
              <w:rPr>
                <w:rFonts w:ascii="Times" w:hAnsi="Times" w:cs="Times"/>
                <w:b/>
                <w:noProof/>
                <w:szCs w:val="20"/>
              </w:rPr>
              <w:t>Requirement</w:t>
            </w:r>
          </w:p>
        </w:tc>
        <w:tc>
          <w:tcPr>
            <w:tcW w:w="1182" w:type="pct"/>
          </w:tcPr>
          <w:p w14:paraId="060855BC" w14:textId="77777777" w:rsidR="00020031" w:rsidRPr="00FF63D1" w:rsidRDefault="00020031" w:rsidP="00A65E22">
            <w:pPr>
              <w:rPr>
                <w:rFonts w:ascii="Times" w:hAnsi="Times" w:cs="Times"/>
                <w:b/>
                <w:noProof/>
                <w:szCs w:val="20"/>
              </w:rPr>
            </w:pPr>
            <w:r w:rsidRPr="00FF63D1">
              <w:rPr>
                <w:rFonts w:ascii="Times" w:hAnsi="Times" w:cs="Times"/>
                <w:b/>
                <w:noProof/>
                <w:szCs w:val="20"/>
              </w:rPr>
              <w:t>Market segments</w:t>
            </w:r>
          </w:p>
        </w:tc>
        <w:tc>
          <w:tcPr>
            <w:tcW w:w="1157" w:type="pct"/>
          </w:tcPr>
          <w:p w14:paraId="08CDC87E" w14:textId="77777777" w:rsidR="00020031" w:rsidRPr="00FF63D1" w:rsidRDefault="00020031" w:rsidP="00A65E22">
            <w:pPr>
              <w:rPr>
                <w:rFonts w:ascii="Times" w:hAnsi="Times" w:cs="Times"/>
                <w:b/>
                <w:noProof/>
                <w:szCs w:val="20"/>
              </w:rPr>
            </w:pPr>
            <w:r w:rsidRPr="00FF63D1">
              <w:rPr>
                <w:rFonts w:ascii="Times" w:hAnsi="Times" w:cs="Times"/>
                <w:b/>
                <w:noProof/>
                <w:szCs w:val="20"/>
              </w:rPr>
              <w:t>Energy intensive material</w:t>
            </w:r>
          </w:p>
        </w:tc>
        <w:tc>
          <w:tcPr>
            <w:tcW w:w="1712" w:type="pct"/>
          </w:tcPr>
          <w:p w14:paraId="59915048" w14:textId="77777777" w:rsidR="00020031" w:rsidRPr="00FF63D1" w:rsidRDefault="00020031" w:rsidP="00A65E22">
            <w:pPr>
              <w:rPr>
                <w:rFonts w:ascii="Times" w:hAnsi="Times" w:cs="Times"/>
                <w:b/>
                <w:noProof/>
                <w:szCs w:val="20"/>
              </w:rPr>
            </w:pPr>
            <w:r w:rsidRPr="00FF63D1">
              <w:rPr>
                <w:rFonts w:ascii="Times" w:hAnsi="Times" w:cs="Times"/>
                <w:b/>
                <w:noProof/>
                <w:szCs w:val="20"/>
              </w:rPr>
              <w:t>Targets</w:t>
            </w:r>
          </w:p>
        </w:tc>
      </w:tr>
      <w:tr w:rsidR="00DF24FE" w:rsidRPr="00FF63D1" w14:paraId="5D9CAABA" w14:textId="77777777" w:rsidTr="3F0F1197">
        <w:trPr>
          <w:trHeight w:val="97"/>
        </w:trPr>
        <w:tc>
          <w:tcPr>
            <w:tcW w:w="949" w:type="pct"/>
            <w:vMerge w:val="restart"/>
          </w:tcPr>
          <w:p w14:paraId="3FB2F45A" w14:textId="09FB5EFE" w:rsidR="00020031" w:rsidRPr="00FF63D1" w:rsidRDefault="00020031" w:rsidP="3F0F1197">
            <w:pPr>
              <w:rPr>
                <w:rFonts w:ascii="Times" w:hAnsi="Times" w:cs="Times"/>
                <w:b/>
                <w:bCs/>
                <w:noProof/>
              </w:rPr>
            </w:pPr>
            <w:r w:rsidRPr="3F0F1197">
              <w:rPr>
                <w:rFonts w:ascii="Times" w:hAnsi="Times" w:cs="Times"/>
                <w:b/>
                <w:bCs/>
                <w:noProof/>
              </w:rPr>
              <w:t xml:space="preserve">Low-carbon </w:t>
            </w:r>
            <w:r w:rsidR="1BDC185D" w:rsidRPr="3F0F1197">
              <w:rPr>
                <w:rFonts w:ascii="Times" w:hAnsi="Times" w:cs="Times"/>
                <w:b/>
                <w:bCs/>
                <w:noProof/>
              </w:rPr>
              <w:t xml:space="preserve">+ Made in EU </w:t>
            </w:r>
            <w:r w:rsidRPr="3F0F1197">
              <w:rPr>
                <w:rFonts w:ascii="Times" w:hAnsi="Times" w:cs="Times"/>
                <w:b/>
                <w:bCs/>
                <w:noProof/>
              </w:rPr>
              <w:t>requirement</w:t>
            </w:r>
          </w:p>
        </w:tc>
        <w:tc>
          <w:tcPr>
            <w:tcW w:w="1182" w:type="pct"/>
            <w:vMerge w:val="restart"/>
          </w:tcPr>
          <w:p w14:paraId="327CB2DA" w14:textId="3E7E2AB2" w:rsidR="00020031" w:rsidRPr="00FF63D1" w:rsidRDefault="3D22B6B9" w:rsidP="3F0F1197">
            <w:pPr>
              <w:rPr>
                <w:rFonts w:ascii="Times" w:hAnsi="Times"/>
                <w:noProof/>
              </w:rPr>
            </w:pPr>
            <w:r w:rsidRPr="3F0F1197">
              <w:rPr>
                <w:rFonts w:ascii="Times" w:hAnsi="Times" w:cs="Times"/>
                <w:noProof/>
              </w:rPr>
              <w:t xml:space="preserve"> Public procurement</w:t>
            </w:r>
          </w:p>
          <w:p w14:paraId="51D39D6E" w14:textId="77777777" w:rsidR="00020031" w:rsidRPr="00FF63D1" w:rsidRDefault="3D22B6B9" w:rsidP="3F0F1197">
            <w:pPr>
              <w:rPr>
                <w:rFonts w:ascii="Times" w:hAnsi="Times"/>
                <w:noProof/>
              </w:rPr>
            </w:pPr>
            <w:r w:rsidRPr="3F0F1197">
              <w:rPr>
                <w:rFonts w:ascii="Times" w:hAnsi="Times" w:cs="Times"/>
                <w:noProof/>
              </w:rPr>
              <w:t>Public support schemes</w:t>
            </w:r>
          </w:p>
          <w:p w14:paraId="4F55015A" w14:textId="599B2E33" w:rsidR="00020031" w:rsidRPr="00FF63D1" w:rsidRDefault="00020031">
            <w:pPr>
              <w:rPr>
                <w:rFonts w:ascii="Times" w:hAnsi="Times"/>
                <w:noProof/>
              </w:rPr>
            </w:pPr>
            <w:r w:rsidRPr="3F0F1197">
              <w:rPr>
                <w:rFonts w:ascii="Times" w:hAnsi="Times"/>
                <w:noProof/>
              </w:rPr>
              <w:t xml:space="preserve"> (in selected downstream sectors)</w:t>
            </w:r>
          </w:p>
        </w:tc>
        <w:tc>
          <w:tcPr>
            <w:tcW w:w="1157" w:type="pct"/>
          </w:tcPr>
          <w:p w14:paraId="0B21BFAD" w14:textId="77777777" w:rsidR="00020031" w:rsidRPr="00FF63D1" w:rsidRDefault="00020031">
            <w:pPr>
              <w:rPr>
                <w:rFonts w:ascii="Times" w:hAnsi="Times" w:cs="Times"/>
                <w:noProof/>
                <w:szCs w:val="20"/>
              </w:rPr>
            </w:pPr>
            <w:r w:rsidRPr="00FF63D1">
              <w:rPr>
                <w:rFonts w:ascii="Times" w:hAnsi="Times" w:cs="Times"/>
                <w:noProof/>
                <w:szCs w:val="20"/>
              </w:rPr>
              <w:t>Steel</w:t>
            </w:r>
          </w:p>
        </w:tc>
        <w:tc>
          <w:tcPr>
            <w:tcW w:w="1712" w:type="pct"/>
          </w:tcPr>
          <w:p w14:paraId="28C30B7E" w14:textId="3DF69F60" w:rsidR="00020031" w:rsidRPr="00FF63D1" w:rsidRDefault="00690E3A">
            <w:pPr>
              <w:rPr>
                <w:rFonts w:ascii="Times" w:hAnsi="Times" w:cs="Times"/>
                <w:noProof/>
                <w:szCs w:val="20"/>
              </w:rPr>
            </w:pPr>
            <w:r w:rsidRPr="00FF63D1">
              <w:rPr>
                <w:rFonts w:ascii="Times" w:hAnsi="Times" w:cs="Times"/>
                <w:noProof/>
                <w:szCs w:val="20"/>
              </w:rPr>
              <w:t>2</w:t>
            </w:r>
            <w:r w:rsidR="00020031" w:rsidRPr="00FF63D1">
              <w:rPr>
                <w:rFonts w:ascii="Times" w:hAnsi="Times" w:cs="Times"/>
                <w:noProof/>
                <w:szCs w:val="20"/>
              </w:rPr>
              <w:t>5% in 2030</w:t>
            </w:r>
          </w:p>
        </w:tc>
      </w:tr>
      <w:tr w:rsidR="00DF24FE" w:rsidRPr="00FF63D1" w14:paraId="4A22B0FB" w14:textId="77777777" w:rsidTr="3F0F1197">
        <w:trPr>
          <w:trHeight w:val="143"/>
        </w:trPr>
        <w:tc>
          <w:tcPr>
            <w:tcW w:w="949" w:type="pct"/>
            <w:vMerge/>
          </w:tcPr>
          <w:p w14:paraId="5E4E861F" w14:textId="77777777" w:rsidR="00020031" w:rsidRPr="00FF63D1" w:rsidRDefault="00020031">
            <w:pPr>
              <w:rPr>
                <w:rFonts w:ascii="Times" w:hAnsi="Times" w:cs="Times"/>
                <w:b/>
                <w:noProof/>
                <w:szCs w:val="20"/>
              </w:rPr>
            </w:pPr>
          </w:p>
        </w:tc>
        <w:tc>
          <w:tcPr>
            <w:tcW w:w="1182" w:type="pct"/>
            <w:vMerge/>
          </w:tcPr>
          <w:p w14:paraId="057C4A54" w14:textId="77777777" w:rsidR="00020031" w:rsidRPr="00FF63D1" w:rsidRDefault="00020031">
            <w:pPr>
              <w:rPr>
                <w:rFonts w:ascii="Times" w:hAnsi="Times" w:cs="Times"/>
                <w:noProof/>
                <w:szCs w:val="20"/>
              </w:rPr>
            </w:pPr>
          </w:p>
        </w:tc>
        <w:tc>
          <w:tcPr>
            <w:tcW w:w="1157" w:type="pct"/>
          </w:tcPr>
          <w:p w14:paraId="0C3C1DAF" w14:textId="77777777" w:rsidR="00020031" w:rsidRPr="00FF63D1" w:rsidRDefault="00020031">
            <w:pPr>
              <w:rPr>
                <w:rFonts w:ascii="Times" w:hAnsi="Times" w:cs="Times"/>
                <w:noProof/>
                <w:szCs w:val="20"/>
              </w:rPr>
            </w:pPr>
            <w:r w:rsidRPr="00FF63D1">
              <w:rPr>
                <w:rFonts w:ascii="Times" w:hAnsi="Times" w:cs="Times"/>
                <w:noProof/>
                <w:szCs w:val="20"/>
              </w:rPr>
              <w:t>Cement (concrete)</w:t>
            </w:r>
          </w:p>
        </w:tc>
        <w:tc>
          <w:tcPr>
            <w:tcW w:w="1712" w:type="pct"/>
          </w:tcPr>
          <w:p w14:paraId="5F869C2F" w14:textId="705DAA10" w:rsidR="00020031" w:rsidRPr="00FF63D1" w:rsidRDefault="00020031">
            <w:pPr>
              <w:rPr>
                <w:rFonts w:ascii="Times" w:hAnsi="Times" w:cs="Times"/>
                <w:noProof/>
                <w:szCs w:val="20"/>
              </w:rPr>
            </w:pPr>
            <w:r w:rsidRPr="00FF63D1">
              <w:rPr>
                <w:rFonts w:ascii="Times" w:eastAsia="Times" w:hAnsi="Times" w:cs="Times"/>
                <w:noProof/>
                <w:szCs w:val="20"/>
              </w:rPr>
              <w:t>5% in 2030</w:t>
            </w:r>
          </w:p>
        </w:tc>
      </w:tr>
      <w:tr w:rsidR="00DF24FE" w:rsidRPr="00FF63D1" w14:paraId="55CBD198" w14:textId="77777777" w:rsidTr="3F0F1197">
        <w:trPr>
          <w:trHeight w:val="416"/>
        </w:trPr>
        <w:tc>
          <w:tcPr>
            <w:tcW w:w="949" w:type="pct"/>
            <w:vMerge/>
          </w:tcPr>
          <w:p w14:paraId="2FEC7B54" w14:textId="77777777" w:rsidR="00020031" w:rsidRPr="00FF63D1" w:rsidRDefault="00020031">
            <w:pPr>
              <w:rPr>
                <w:rFonts w:ascii="Times" w:hAnsi="Times" w:cs="Times"/>
                <w:b/>
                <w:noProof/>
                <w:szCs w:val="20"/>
              </w:rPr>
            </w:pPr>
          </w:p>
        </w:tc>
        <w:tc>
          <w:tcPr>
            <w:tcW w:w="1182" w:type="pct"/>
            <w:vMerge/>
          </w:tcPr>
          <w:p w14:paraId="1E441FCE" w14:textId="77777777" w:rsidR="00020031" w:rsidRPr="00FF63D1" w:rsidRDefault="00020031">
            <w:pPr>
              <w:rPr>
                <w:rFonts w:ascii="Times" w:hAnsi="Times" w:cs="Times"/>
                <w:noProof/>
                <w:szCs w:val="20"/>
              </w:rPr>
            </w:pPr>
          </w:p>
        </w:tc>
        <w:tc>
          <w:tcPr>
            <w:tcW w:w="1157" w:type="pct"/>
          </w:tcPr>
          <w:p w14:paraId="3684F6F5" w14:textId="77777777" w:rsidR="00020031" w:rsidRPr="00FF63D1" w:rsidRDefault="00020031">
            <w:pPr>
              <w:rPr>
                <w:rFonts w:ascii="Times" w:hAnsi="Times" w:cs="Times"/>
                <w:noProof/>
                <w:szCs w:val="20"/>
              </w:rPr>
            </w:pPr>
            <w:r w:rsidRPr="00FF63D1">
              <w:rPr>
                <w:rFonts w:ascii="Times" w:hAnsi="Times" w:cs="Times"/>
                <w:noProof/>
                <w:szCs w:val="20"/>
              </w:rPr>
              <w:t>Aluminium</w:t>
            </w:r>
          </w:p>
        </w:tc>
        <w:tc>
          <w:tcPr>
            <w:tcW w:w="1712" w:type="pct"/>
          </w:tcPr>
          <w:p w14:paraId="2602D5AB" w14:textId="0938C4D6" w:rsidR="00020031" w:rsidRPr="00FF63D1" w:rsidRDefault="5360C390">
            <w:pPr>
              <w:rPr>
                <w:rFonts w:ascii="Times" w:hAnsi="Times" w:cs="Times"/>
                <w:noProof/>
              </w:rPr>
            </w:pPr>
            <w:r w:rsidRPr="7288BBCB">
              <w:rPr>
                <w:rFonts w:ascii="Times" w:hAnsi="Times" w:cs="Times"/>
                <w:noProof/>
              </w:rPr>
              <w:t>25% in 2030</w:t>
            </w:r>
          </w:p>
        </w:tc>
      </w:tr>
    </w:tbl>
    <w:p w14:paraId="457481FF" w14:textId="77777777" w:rsidR="00020031" w:rsidRPr="00FF63D1" w:rsidRDefault="00020031">
      <w:pPr>
        <w:rPr>
          <w:noProof/>
        </w:rPr>
      </w:pPr>
    </w:p>
    <w:p w14:paraId="21ABF8B8" w14:textId="61E3F4DF" w:rsidR="00020031" w:rsidRPr="00FF63D1" w:rsidRDefault="00020031" w:rsidP="00A65E22">
      <w:pPr>
        <w:rPr>
          <w:b/>
          <w:noProof/>
        </w:rPr>
      </w:pPr>
      <w:r w:rsidRPr="00FF63D1">
        <w:rPr>
          <w:b/>
          <w:noProof/>
        </w:rPr>
        <w:t>LEAD_EII 3 –</w:t>
      </w:r>
      <w:r w:rsidR="00384EDC" w:rsidRPr="00FF63D1">
        <w:rPr>
          <w:b/>
          <w:noProof/>
        </w:rPr>
        <w:t>Low</w:t>
      </w:r>
      <w:r w:rsidR="00E41BFE">
        <w:rPr>
          <w:b/>
          <w:noProof/>
        </w:rPr>
        <w:t>-</w:t>
      </w:r>
      <w:r w:rsidR="00384EDC" w:rsidRPr="00FF63D1">
        <w:rPr>
          <w:b/>
          <w:noProof/>
        </w:rPr>
        <w:t>carbon and EU content for EIIs in products placed on the market (in selected downstream sectors)</w:t>
      </w:r>
    </w:p>
    <w:p w14:paraId="141CF1C3" w14:textId="77777777" w:rsidR="00A65E22" w:rsidRPr="00FF63D1" w:rsidRDefault="00A65E22" w:rsidP="00A65E22">
      <w:pPr>
        <w:rPr>
          <w:b/>
          <w:noProof/>
        </w:rPr>
      </w:pPr>
    </w:p>
    <w:p w14:paraId="616D1F43" w14:textId="3414D64D" w:rsidR="00020031" w:rsidRPr="00FF63D1" w:rsidRDefault="00020031" w:rsidP="005106C3">
      <w:pPr>
        <w:spacing w:after="120"/>
        <w:rPr>
          <w:noProof/>
        </w:rPr>
      </w:pPr>
      <w:r w:rsidRPr="00FF63D1">
        <w:rPr>
          <w:noProof/>
        </w:rPr>
        <w:t xml:space="preserve">This </w:t>
      </w:r>
      <w:r w:rsidR="00B25C60" w:rsidRPr="00FF63D1">
        <w:rPr>
          <w:noProof/>
        </w:rPr>
        <w:t>policy</w:t>
      </w:r>
      <w:r w:rsidRPr="00FF63D1">
        <w:rPr>
          <w:noProof/>
        </w:rPr>
        <w:t xml:space="preserve"> measure </w:t>
      </w:r>
      <w:r w:rsidR="00B25C60" w:rsidRPr="00FF63D1">
        <w:rPr>
          <w:noProof/>
        </w:rPr>
        <w:t xml:space="preserve">extends the scope of low-carbon and </w:t>
      </w:r>
      <w:r w:rsidR="000B3C9C">
        <w:rPr>
          <w:noProof/>
        </w:rPr>
        <w:t>Made in EU requirement</w:t>
      </w:r>
      <w:r w:rsidRPr="00FF63D1">
        <w:rPr>
          <w:noProof/>
        </w:rPr>
        <w:t xml:space="preserve"> </w:t>
      </w:r>
      <w:r w:rsidR="00B25C60" w:rsidRPr="00FF63D1">
        <w:rPr>
          <w:noProof/>
        </w:rPr>
        <w:t xml:space="preserve">beyond public procurement and support schemes to include </w:t>
      </w:r>
      <w:r w:rsidR="00C73C68" w:rsidRPr="00FF63D1">
        <w:rPr>
          <w:noProof/>
        </w:rPr>
        <w:t>selected downstream sectors placing products on the market. It combines the low-carbon requirement within that low-carbon share, thereby incentivising both the use of decarbonised materials and their European production across industrial value chains</w:t>
      </w:r>
      <w:r w:rsidRPr="00FF63D1">
        <w:rPr>
          <w:noProof/>
        </w:rPr>
        <w:t xml:space="preserve">. </w:t>
      </w:r>
    </w:p>
    <w:p w14:paraId="4045F9FE" w14:textId="4F5E1598" w:rsidR="00A65E22" w:rsidRPr="00FF63D1" w:rsidRDefault="6BFD35CD" w:rsidP="3F0F1197">
      <w:pPr>
        <w:spacing w:after="120"/>
        <w:rPr>
          <w:noProof/>
        </w:rPr>
      </w:pPr>
      <w:r>
        <w:rPr>
          <w:noProof/>
        </w:rPr>
        <w:t>The targets are determined based on projected EU production capacity and demand and have been set at a level that is intended to be both ambitious and achievable. The measure would be implemented up to 2030, with a review clause allowing the targets and coverage to be adjusted based on realised production capacity and market developments.</w:t>
      </w:r>
    </w:p>
    <w:p w14:paraId="3C873205" w14:textId="5314EDD9" w:rsidR="00A65E22" w:rsidRPr="00CF06C8" w:rsidRDefault="6BFD35CD" w:rsidP="3F0F1197">
      <w:pPr>
        <w:pStyle w:val="Caption"/>
        <w:keepNext/>
        <w:rPr>
          <w:noProof/>
          <w:szCs w:val="24"/>
        </w:rPr>
      </w:pPr>
      <w:r w:rsidRPr="00CF06C8">
        <w:rPr>
          <w:noProof/>
          <w:szCs w:val="24"/>
        </w:rPr>
        <w:t xml:space="preserve">Table </w:t>
      </w:r>
      <w:r w:rsidR="00A65E22" w:rsidRPr="00CF06C8">
        <w:rPr>
          <w:noProof/>
          <w:szCs w:val="24"/>
        </w:rPr>
        <w:fldChar w:fldCharType="begin"/>
      </w:r>
      <w:r w:rsidR="00A65E22" w:rsidRPr="00CF06C8">
        <w:rPr>
          <w:noProof/>
          <w:szCs w:val="24"/>
        </w:rPr>
        <w:instrText xml:space="preserve"> SEQ Table \* ARABIC </w:instrText>
      </w:r>
      <w:r w:rsidR="00A65E22" w:rsidRPr="00CF06C8">
        <w:rPr>
          <w:noProof/>
          <w:szCs w:val="24"/>
        </w:rPr>
        <w:fldChar w:fldCharType="end"/>
      </w:r>
      <w:r w:rsidRPr="00CF06C8">
        <w:rPr>
          <w:noProof/>
          <w:szCs w:val="24"/>
        </w:rPr>
        <w:t xml:space="preserve"> Projected</w:t>
      </w:r>
      <w:r w:rsidR="00461112" w:rsidRPr="00CF06C8">
        <w:rPr>
          <w:noProof/>
          <w:szCs w:val="24"/>
        </w:rPr>
        <w:t xml:space="preserve"> European</w:t>
      </w:r>
      <w:r w:rsidRPr="00CF06C8">
        <w:rPr>
          <w:noProof/>
          <w:szCs w:val="24"/>
        </w:rPr>
        <w:t xml:space="preserve"> production and demand</w:t>
      </w:r>
      <w:r w:rsidR="00292B30" w:rsidRPr="00CF06C8">
        <w:rPr>
          <w:noProof/>
          <w:szCs w:val="24"/>
        </w:rPr>
        <w:t xml:space="preserve"> in million tonnes</w:t>
      </w:r>
      <w:r w:rsidRPr="00CF06C8">
        <w:rPr>
          <w:noProof/>
          <w:szCs w:val="24"/>
        </w:rPr>
        <w:t xml:space="preserve"> for selected EII products, Commission internal analysis</w:t>
      </w:r>
    </w:p>
    <w:tbl>
      <w:tblPr>
        <w:tblW w:w="0" w:type="auto"/>
        <w:tblLook w:val="04A0" w:firstRow="1" w:lastRow="0" w:firstColumn="1" w:lastColumn="0" w:noHBand="0" w:noVBand="1"/>
      </w:tblPr>
      <w:tblGrid>
        <w:gridCol w:w="3489"/>
        <w:gridCol w:w="1553"/>
        <w:gridCol w:w="2109"/>
        <w:gridCol w:w="1855"/>
      </w:tblGrid>
      <w:tr w:rsidR="3F0F1197" w14:paraId="198227BE" w14:textId="77777777" w:rsidTr="3F0F1197">
        <w:trPr>
          <w:trHeight w:val="300"/>
        </w:trPr>
        <w:tc>
          <w:tcPr>
            <w:tcW w:w="3489" w:type="dxa"/>
            <w:tcBorders>
              <w:top w:val="single" w:sz="8" w:space="0" w:color="auto"/>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349DDB4B" w14:textId="77777777" w:rsidR="3F0F1197" w:rsidRDefault="3F0F1197" w:rsidP="3F0F1197">
            <w:pPr>
              <w:rPr>
                <w:b/>
                <w:bCs/>
                <w:noProof/>
                <w:sz w:val="20"/>
                <w:szCs w:val="20"/>
              </w:rPr>
            </w:pPr>
            <w:r w:rsidRPr="3F0F1197">
              <w:rPr>
                <w:b/>
                <w:bCs/>
                <w:noProof/>
                <w:sz w:val="20"/>
                <w:szCs w:val="20"/>
              </w:rPr>
              <w:t>Material</w:t>
            </w:r>
          </w:p>
        </w:tc>
        <w:tc>
          <w:tcPr>
            <w:tcW w:w="1553"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tcPr>
          <w:p w14:paraId="730A1089" w14:textId="77777777" w:rsidR="3F0F1197" w:rsidRDefault="3F0F1197" w:rsidP="3F0F1197">
            <w:pPr>
              <w:jc w:val="center"/>
              <w:rPr>
                <w:b/>
                <w:bCs/>
                <w:noProof/>
                <w:sz w:val="20"/>
                <w:szCs w:val="20"/>
              </w:rPr>
            </w:pPr>
            <w:r w:rsidRPr="3F0F1197">
              <w:rPr>
                <w:b/>
                <w:bCs/>
                <w:noProof/>
                <w:sz w:val="20"/>
                <w:szCs w:val="20"/>
              </w:rPr>
              <w:t>Steel</w:t>
            </w:r>
          </w:p>
        </w:tc>
        <w:tc>
          <w:tcPr>
            <w:tcW w:w="2109"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tcPr>
          <w:p w14:paraId="3EDCB59D" w14:textId="77777777" w:rsidR="3F0F1197" w:rsidRDefault="3F0F1197" w:rsidP="3F0F1197">
            <w:pPr>
              <w:jc w:val="center"/>
              <w:rPr>
                <w:b/>
                <w:bCs/>
                <w:noProof/>
                <w:sz w:val="20"/>
                <w:szCs w:val="20"/>
              </w:rPr>
            </w:pPr>
            <w:r w:rsidRPr="3F0F1197">
              <w:rPr>
                <w:b/>
                <w:bCs/>
                <w:noProof/>
                <w:sz w:val="20"/>
                <w:szCs w:val="20"/>
              </w:rPr>
              <w:t>Aluminium</w:t>
            </w:r>
          </w:p>
        </w:tc>
        <w:tc>
          <w:tcPr>
            <w:tcW w:w="1855"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tcPr>
          <w:p w14:paraId="77415069" w14:textId="77777777" w:rsidR="3F0F1197" w:rsidRDefault="3F0F1197" w:rsidP="3F0F1197">
            <w:pPr>
              <w:jc w:val="center"/>
              <w:rPr>
                <w:b/>
                <w:bCs/>
                <w:noProof/>
                <w:sz w:val="20"/>
                <w:szCs w:val="20"/>
              </w:rPr>
            </w:pPr>
            <w:r w:rsidRPr="3F0F1197">
              <w:rPr>
                <w:b/>
                <w:bCs/>
                <w:noProof/>
                <w:sz w:val="20"/>
                <w:szCs w:val="20"/>
              </w:rPr>
              <w:t>Cement</w:t>
            </w:r>
          </w:p>
        </w:tc>
      </w:tr>
      <w:tr w:rsidR="3F0F1197" w14:paraId="2FC618EC" w14:textId="77777777" w:rsidTr="3F0F1197">
        <w:trPr>
          <w:trHeight w:val="300"/>
        </w:trPr>
        <w:tc>
          <w:tcPr>
            <w:tcW w:w="34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11365B" w14:textId="77777777" w:rsidR="3F0F1197" w:rsidRDefault="3F0F1197" w:rsidP="3F0F1197">
            <w:pPr>
              <w:rPr>
                <w:noProof/>
                <w:sz w:val="20"/>
                <w:szCs w:val="20"/>
              </w:rPr>
            </w:pPr>
          </w:p>
        </w:tc>
        <w:tc>
          <w:tcPr>
            <w:tcW w:w="5517" w:type="dxa"/>
            <w:gridSpan w:val="3"/>
            <w:tcBorders>
              <w:top w:val="nil"/>
              <w:left w:val="nil"/>
              <w:bottom w:val="single" w:sz="8" w:space="0" w:color="auto"/>
              <w:right w:val="single" w:sz="8" w:space="0" w:color="auto"/>
            </w:tcBorders>
            <w:tcMar>
              <w:top w:w="0" w:type="dxa"/>
              <w:left w:w="108" w:type="dxa"/>
              <w:bottom w:w="0" w:type="dxa"/>
              <w:right w:w="108" w:type="dxa"/>
            </w:tcMar>
          </w:tcPr>
          <w:p w14:paraId="3D302CB1" w14:textId="77777777" w:rsidR="3F0F1197" w:rsidRDefault="3F0F1197" w:rsidP="3F0F1197">
            <w:pPr>
              <w:jc w:val="center"/>
              <w:rPr>
                <w:noProof/>
                <w:sz w:val="20"/>
                <w:szCs w:val="20"/>
              </w:rPr>
            </w:pPr>
            <w:r w:rsidRPr="3F0F1197">
              <w:rPr>
                <w:b/>
                <w:bCs/>
                <w:noProof/>
                <w:sz w:val="20"/>
                <w:szCs w:val="20"/>
              </w:rPr>
              <w:t>2030</w:t>
            </w:r>
          </w:p>
        </w:tc>
      </w:tr>
      <w:tr w:rsidR="3F0F1197" w14:paraId="3FBB5A87" w14:textId="77777777" w:rsidTr="3F0F1197">
        <w:trPr>
          <w:trHeight w:val="300"/>
        </w:trPr>
        <w:tc>
          <w:tcPr>
            <w:tcW w:w="3489"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3CEA8FBC" w14:textId="77777777" w:rsidR="3F0F1197" w:rsidRDefault="3F0F1197" w:rsidP="3F0F1197">
            <w:pPr>
              <w:rPr>
                <w:noProof/>
                <w:sz w:val="20"/>
                <w:szCs w:val="20"/>
              </w:rPr>
            </w:pPr>
            <w:r w:rsidRPr="3F0F1197">
              <w:rPr>
                <w:noProof/>
                <w:sz w:val="20"/>
                <w:szCs w:val="20"/>
              </w:rPr>
              <w:t>Expected production</w:t>
            </w:r>
          </w:p>
        </w:tc>
        <w:tc>
          <w:tcPr>
            <w:tcW w:w="1553" w:type="dxa"/>
            <w:tcBorders>
              <w:top w:val="nil"/>
              <w:left w:val="nil"/>
              <w:bottom w:val="single" w:sz="8" w:space="0" w:color="auto"/>
              <w:right w:val="single" w:sz="8" w:space="0" w:color="auto"/>
            </w:tcBorders>
            <w:tcMar>
              <w:top w:w="0" w:type="dxa"/>
              <w:left w:w="108" w:type="dxa"/>
              <w:bottom w:w="0" w:type="dxa"/>
              <w:right w:w="108" w:type="dxa"/>
            </w:tcMar>
          </w:tcPr>
          <w:p w14:paraId="4ADE0EB5" w14:textId="11DAC1C9" w:rsidR="3F0F1197" w:rsidRDefault="3F0F1197" w:rsidP="3F0F1197">
            <w:pPr>
              <w:jc w:val="center"/>
              <w:rPr>
                <w:noProof/>
                <w:sz w:val="20"/>
                <w:szCs w:val="20"/>
              </w:rPr>
            </w:pPr>
            <w:r w:rsidRPr="3F0F1197">
              <w:rPr>
                <w:noProof/>
                <w:sz w:val="20"/>
                <w:szCs w:val="20"/>
              </w:rPr>
              <w:t>134</w:t>
            </w:r>
          </w:p>
        </w:tc>
        <w:tc>
          <w:tcPr>
            <w:tcW w:w="2109" w:type="dxa"/>
            <w:tcBorders>
              <w:top w:val="nil"/>
              <w:left w:val="nil"/>
              <w:bottom w:val="single" w:sz="8" w:space="0" w:color="auto"/>
              <w:right w:val="single" w:sz="8" w:space="0" w:color="auto"/>
            </w:tcBorders>
            <w:tcMar>
              <w:top w:w="0" w:type="dxa"/>
              <w:left w:w="108" w:type="dxa"/>
              <w:bottom w:w="0" w:type="dxa"/>
              <w:right w:w="108" w:type="dxa"/>
            </w:tcMar>
          </w:tcPr>
          <w:p w14:paraId="2D607FE3" w14:textId="76167A9F" w:rsidR="3F0F1197" w:rsidRDefault="002B14FF" w:rsidP="3F0F1197">
            <w:pPr>
              <w:jc w:val="center"/>
              <w:rPr>
                <w:noProof/>
                <w:sz w:val="20"/>
                <w:szCs w:val="20"/>
              </w:rPr>
            </w:pPr>
            <w:r>
              <w:rPr>
                <w:noProof/>
                <w:sz w:val="20"/>
                <w:szCs w:val="20"/>
              </w:rPr>
              <w:t>9</w:t>
            </w: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719E177F" w14:textId="77777777" w:rsidR="3F0F1197" w:rsidRDefault="3F0F1197" w:rsidP="3F0F1197">
            <w:pPr>
              <w:jc w:val="center"/>
              <w:rPr>
                <w:noProof/>
                <w:sz w:val="20"/>
                <w:szCs w:val="20"/>
              </w:rPr>
            </w:pPr>
            <w:r w:rsidRPr="3F0F1197">
              <w:rPr>
                <w:noProof/>
                <w:sz w:val="20"/>
                <w:szCs w:val="20"/>
              </w:rPr>
              <w:t>197</w:t>
            </w:r>
          </w:p>
        </w:tc>
      </w:tr>
      <w:tr w:rsidR="3F0F1197" w14:paraId="4D2BF074" w14:textId="77777777" w:rsidTr="3F0F1197">
        <w:trPr>
          <w:trHeight w:val="300"/>
        </w:trPr>
        <w:tc>
          <w:tcPr>
            <w:tcW w:w="3489"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5FC4C0BE" w14:textId="77777777" w:rsidR="3F0F1197" w:rsidRDefault="3F0F1197" w:rsidP="3F0F1197">
            <w:pPr>
              <w:rPr>
                <w:noProof/>
                <w:sz w:val="20"/>
                <w:szCs w:val="20"/>
              </w:rPr>
            </w:pPr>
            <w:r w:rsidRPr="3F0F1197">
              <w:rPr>
                <w:noProof/>
                <w:sz w:val="20"/>
                <w:szCs w:val="20"/>
              </w:rPr>
              <w:t>Expected demand</w:t>
            </w:r>
          </w:p>
        </w:tc>
        <w:tc>
          <w:tcPr>
            <w:tcW w:w="1553" w:type="dxa"/>
            <w:tcBorders>
              <w:top w:val="nil"/>
              <w:left w:val="nil"/>
              <w:bottom w:val="single" w:sz="8" w:space="0" w:color="auto"/>
              <w:right w:val="single" w:sz="8" w:space="0" w:color="auto"/>
            </w:tcBorders>
            <w:tcMar>
              <w:top w:w="0" w:type="dxa"/>
              <w:left w:w="108" w:type="dxa"/>
              <w:bottom w:w="0" w:type="dxa"/>
              <w:right w:w="108" w:type="dxa"/>
            </w:tcMar>
          </w:tcPr>
          <w:p w14:paraId="3FCC41C3" w14:textId="77777777" w:rsidR="3F0F1197" w:rsidRDefault="3F0F1197" w:rsidP="3F0F1197">
            <w:pPr>
              <w:jc w:val="center"/>
              <w:rPr>
                <w:noProof/>
                <w:sz w:val="20"/>
                <w:szCs w:val="20"/>
              </w:rPr>
            </w:pPr>
            <w:r w:rsidRPr="3F0F1197">
              <w:rPr>
                <w:noProof/>
                <w:sz w:val="20"/>
                <w:szCs w:val="20"/>
              </w:rPr>
              <w:t>176.52</w:t>
            </w:r>
          </w:p>
        </w:tc>
        <w:tc>
          <w:tcPr>
            <w:tcW w:w="2109" w:type="dxa"/>
            <w:tcBorders>
              <w:top w:val="nil"/>
              <w:left w:val="nil"/>
              <w:bottom w:val="single" w:sz="8" w:space="0" w:color="auto"/>
              <w:right w:val="single" w:sz="8" w:space="0" w:color="auto"/>
            </w:tcBorders>
            <w:tcMar>
              <w:top w:w="0" w:type="dxa"/>
              <w:left w:w="108" w:type="dxa"/>
              <w:bottom w:w="0" w:type="dxa"/>
              <w:right w:w="108" w:type="dxa"/>
            </w:tcMar>
          </w:tcPr>
          <w:p w14:paraId="65767106" w14:textId="77777777" w:rsidR="3F0F1197" w:rsidRDefault="3F0F1197" w:rsidP="3F0F1197">
            <w:pPr>
              <w:jc w:val="center"/>
              <w:rPr>
                <w:noProof/>
                <w:sz w:val="20"/>
                <w:szCs w:val="20"/>
              </w:rPr>
            </w:pPr>
            <w:r w:rsidRPr="3F0F1197">
              <w:rPr>
                <w:noProof/>
                <w:sz w:val="20"/>
                <w:szCs w:val="20"/>
              </w:rPr>
              <w:t>16</w:t>
            </w: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2584A38A" w14:textId="77777777" w:rsidR="3F0F1197" w:rsidRDefault="3F0F1197" w:rsidP="3F0F1197">
            <w:pPr>
              <w:jc w:val="center"/>
              <w:rPr>
                <w:noProof/>
                <w:sz w:val="20"/>
                <w:szCs w:val="20"/>
              </w:rPr>
            </w:pPr>
            <w:r w:rsidRPr="3F0F1197">
              <w:rPr>
                <w:noProof/>
                <w:sz w:val="20"/>
                <w:szCs w:val="20"/>
              </w:rPr>
              <w:t>160.7</w:t>
            </w:r>
          </w:p>
        </w:tc>
      </w:tr>
      <w:tr w:rsidR="3F0F1197" w14:paraId="56DB13DA" w14:textId="77777777" w:rsidTr="3F0F1197">
        <w:trPr>
          <w:trHeight w:val="300"/>
        </w:trPr>
        <w:tc>
          <w:tcPr>
            <w:tcW w:w="3489"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649E000E" w14:textId="77777777" w:rsidR="3F0F1197" w:rsidRDefault="3F0F1197" w:rsidP="3F0F1197">
            <w:pPr>
              <w:rPr>
                <w:noProof/>
                <w:sz w:val="20"/>
                <w:szCs w:val="20"/>
              </w:rPr>
            </w:pPr>
            <w:r w:rsidRPr="3F0F1197">
              <w:rPr>
                <w:noProof/>
                <w:sz w:val="20"/>
                <w:szCs w:val="20"/>
              </w:rPr>
              <w:t>% of EU production that can cover demand</w:t>
            </w:r>
          </w:p>
        </w:tc>
        <w:tc>
          <w:tcPr>
            <w:tcW w:w="1553" w:type="dxa"/>
            <w:tcBorders>
              <w:top w:val="nil"/>
              <w:left w:val="nil"/>
              <w:bottom w:val="single" w:sz="8" w:space="0" w:color="auto"/>
              <w:right w:val="single" w:sz="8" w:space="0" w:color="auto"/>
            </w:tcBorders>
            <w:tcMar>
              <w:top w:w="0" w:type="dxa"/>
              <w:left w:w="108" w:type="dxa"/>
              <w:bottom w:w="0" w:type="dxa"/>
              <w:right w:w="108" w:type="dxa"/>
            </w:tcMar>
          </w:tcPr>
          <w:p w14:paraId="6946F369" w14:textId="59ED633D" w:rsidR="3F0F1197" w:rsidRDefault="3F0F1197" w:rsidP="3F0F1197">
            <w:pPr>
              <w:jc w:val="center"/>
              <w:rPr>
                <w:noProof/>
                <w:sz w:val="20"/>
                <w:szCs w:val="20"/>
              </w:rPr>
            </w:pPr>
            <w:r w:rsidRPr="3F0F1197">
              <w:rPr>
                <w:noProof/>
                <w:sz w:val="20"/>
                <w:szCs w:val="20"/>
              </w:rPr>
              <w:t>75.9%</w:t>
            </w:r>
          </w:p>
        </w:tc>
        <w:tc>
          <w:tcPr>
            <w:tcW w:w="2109" w:type="dxa"/>
            <w:tcBorders>
              <w:top w:val="nil"/>
              <w:left w:val="nil"/>
              <w:bottom w:val="single" w:sz="8" w:space="0" w:color="auto"/>
              <w:right w:val="single" w:sz="8" w:space="0" w:color="auto"/>
            </w:tcBorders>
            <w:tcMar>
              <w:top w:w="0" w:type="dxa"/>
              <w:left w:w="108" w:type="dxa"/>
              <w:bottom w:w="0" w:type="dxa"/>
              <w:right w:w="108" w:type="dxa"/>
            </w:tcMar>
          </w:tcPr>
          <w:p w14:paraId="1EC409ED" w14:textId="77777777" w:rsidR="3F0F1197" w:rsidRDefault="3F0F1197" w:rsidP="3F0F1197">
            <w:pPr>
              <w:jc w:val="center"/>
              <w:rPr>
                <w:noProof/>
                <w:sz w:val="20"/>
                <w:szCs w:val="20"/>
              </w:rPr>
            </w:pPr>
            <w:r w:rsidRPr="3F0F1197">
              <w:rPr>
                <w:noProof/>
                <w:sz w:val="20"/>
                <w:szCs w:val="20"/>
              </w:rPr>
              <w:t>68.75%</w:t>
            </w: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72BF1368" w14:textId="77777777" w:rsidR="3F0F1197" w:rsidRDefault="3F0F1197" w:rsidP="3F0F1197">
            <w:pPr>
              <w:jc w:val="center"/>
              <w:rPr>
                <w:noProof/>
                <w:sz w:val="20"/>
                <w:szCs w:val="20"/>
              </w:rPr>
            </w:pPr>
            <w:r w:rsidRPr="3F0F1197">
              <w:rPr>
                <w:noProof/>
                <w:sz w:val="20"/>
                <w:szCs w:val="20"/>
              </w:rPr>
              <w:t>122.6%</w:t>
            </w:r>
          </w:p>
        </w:tc>
      </w:tr>
    </w:tbl>
    <w:p w14:paraId="39F0FBBF" w14:textId="5F31146F" w:rsidR="00A65E22" w:rsidRPr="00FF63D1" w:rsidRDefault="00A65E22" w:rsidP="00A65E22">
      <w:pPr>
        <w:rPr>
          <w:noProof/>
        </w:rPr>
      </w:pPr>
    </w:p>
    <w:p w14:paraId="08BB76A7" w14:textId="64F58575" w:rsidR="00A65E22" w:rsidRPr="00FF63D1" w:rsidRDefault="00020031" w:rsidP="00A65E22">
      <w:pPr>
        <w:pStyle w:val="Caption"/>
        <w:keepNext/>
        <w:rPr>
          <w:noProof/>
        </w:rPr>
      </w:pPr>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end"/>
      </w:r>
      <w:r w:rsidRPr="00FF63D1">
        <w:rPr>
          <w:noProof/>
        </w:rPr>
        <w:t>: proposed targets under LEAD_EII 3</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2131"/>
        <w:gridCol w:w="2086"/>
        <w:gridCol w:w="3087"/>
      </w:tblGrid>
      <w:tr w:rsidR="00020031" w:rsidRPr="00FF63D1" w14:paraId="309988A2" w14:textId="77777777" w:rsidTr="002746CD">
        <w:trPr>
          <w:trHeight w:val="300"/>
        </w:trPr>
        <w:tc>
          <w:tcPr>
            <w:tcW w:w="949" w:type="pct"/>
          </w:tcPr>
          <w:p w14:paraId="1AC39AEB" w14:textId="77777777" w:rsidR="00020031" w:rsidRPr="00FF63D1" w:rsidRDefault="00020031" w:rsidP="00A65E22">
            <w:pPr>
              <w:rPr>
                <w:rFonts w:ascii="Times" w:hAnsi="Times" w:cs="Times"/>
                <w:b/>
                <w:noProof/>
                <w:szCs w:val="20"/>
              </w:rPr>
            </w:pPr>
            <w:r w:rsidRPr="00FF63D1">
              <w:rPr>
                <w:rFonts w:ascii="Times" w:hAnsi="Times" w:cs="Times"/>
                <w:b/>
                <w:noProof/>
                <w:szCs w:val="20"/>
              </w:rPr>
              <w:t>Requirement</w:t>
            </w:r>
          </w:p>
        </w:tc>
        <w:tc>
          <w:tcPr>
            <w:tcW w:w="1182" w:type="pct"/>
          </w:tcPr>
          <w:p w14:paraId="5D1AF054" w14:textId="77777777" w:rsidR="00020031" w:rsidRPr="00FF63D1" w:rsidRDefault="00020031" w:rsidP="00A65E22">
            <w:pPr>
              <w:rPr>
                <w:rFonts w:ascii="Times" w:hAnsi="Times" w:cs="Times"/>
                <w:b/>
                <w:noProof/>
                <w:szCs w:val="20"/>
              </w:rPr>
            </w:pPr>
            <w:r w:rsidRPr="00FF63D1">
              <w:rPr>
                <w:rFonts w:ascii="Times" w:hAnsi="Times" w:cs="Times"/>
                <w:b/>
                <w:noProof/>
                <w:szCs w:val="20"/>
              </w:rPr>
              <w:t>Market segments</w:t>
            </w:r>
          </w:p>
        </w:tc>
        <w:tc>
          <w:tcPr>
            <w:tcW w:w="1157" w:type="pct"/>
          </w:tcPr>
          <w:p w14:paraId="6D82A0E0" w14:textId="77777777" w:rsidR="00020031" w:rsidRPr="00FF63D1" w:rsidRDefault="00020031" w:rsidP="00A65E22">
            <w:pPr>
              <w:rPr>
                <w:rFonts w:ascii="Times" w:hAnsi="Times" w:cs="Times"/>
                <w:b/>
                <w:noProof/>
                <w:szCs w:val="20"/>
              </w:rPr>
            </w:pPr>
            <w:r w:rsidRPr="00FF63D1">
              <w:rPr>
                <w:rFonts w:ascii="Times" w:hAnsi="Times" w:cs="Times"/>
                <w:b/>
                <w:noProof/>
                <w:szCs w:val="20"/>
              </w:rPr>
              <w:t>Energy intensive material</w:t>
            </w:r>
          </w:p>
        </w:tc>
        <w:tc>
          <w:tcPr>
            <w:tcW w:w="1712" w:type="pct"/>
          </w:tcPr>
          <w:p w14:paraId="4762B3D3" w14:textId="77777777" w:rsidR="00020031" w:rsidRPr="00FF63D1" w:rsidRDefault="00020031" w:rsidP="00A65E22">
            <w:pPr>
              <w:rPr>
                <w:rFonts w:ascii="Times" w:hAnsi="Times" w:cs="Times"/>
                <w:b/>
                <w:noProof/>
                <w:szCs w:val="20"/>
              </w:rPr>
            </w:pPr>
            <w:r w:rsidRPr="00FF63D1">
              <w:rPr>
                <w:rFonts w:ascii="Times" w:hAnsi="Times" w:cs="Times"/>
                <w:b/>
                <w:noProof/>
                <w:szCs w:val="20"/>
              </w:rPr>
              <w:t>Targets</w:t>
            </w:r>
          </w:p>
        </w:tc>
      </w:tr>
      <w:tr w:rsidR="00020031" w:rsidRPr="00FF63D1" w14:paraId="4B4D422D" w14:textId="77777777" w:rsidTr="002746CD">
        <w:trPr>
          <w:trHeight w:val="239"/>
        </w:trPr>
        <w:tc>
          <w:tcPr>
            <w:tcW w:w="949" w:type="pct"/>
            <w:vMerge w:val="restart"/>
          </w:tcPr>
          <w:p w14:paraId="0D1B86AC" w14:textId="2760CBD3" w:rsidR="00020031" w:rsidRPr="00FF63D1" w:rsidRDefault="00020031" w:rsidP="3F0F1197">
            <w:pPr>
              <w:rPr>
                <w:rFonts w:ascii="Times" w:hAnsi="Times" w:cs="Times"/>
                <w:b/>
                <w:bCs/>
                <w:noProof/>
              </w:rPr>
            </w:pPr>
            <w:r w:rsidRPr="3F0F1197">
              <w:rPr>
                <w:rFonts w:ascii="Times" w:hAnsi="Times" w:cs="Times"/>
                <w:b/>
                <w:bCs/>
                <w:noProof/>
              </w:rPr>
              <w:t xml:space="preserve">Low-carbon </w:t>
            </w:r>
            <w:r w:rsidR="4931A22C" w:rsidRPr="3F0F1197">
              <w:rPr>
                <w:rFonts w:ascii="Times" w:hAnsi="Times" w:cs="Times"/>
                <w:b/>
                <w:bCs/>
                <w:noProof/>
              </w:rPr>
              <w:t xml:space="preserve">+ Made in EU </w:t>
            </w:r>
            <w:r w:rsidRPr="3F0F1197">
              <w:rPr>
                <w:rFonts w:ascii="Times" w:hAnsi="Times" w:cs="Times"/>
                <w:b/>
                <w:bCs/>
                <w:noProof/>
              </w:rPr>
              <w:t>requirement</w:t>
            </w:r>
          </w:p>
        </w:tc>
        <w:tc>
          <w:tcPr>
            <w:tcW w:w="1182" w:type="pct"/>
            <w:vMerge w:val="restart"/>
          </w:tcPr>
          <w:p w14:paraId="740A2376" w14:textId="041316E0" w:rsidR="00020031" w:rsidRPr="00FF63D1" w:rsidRDefault="00020031" w:rsidP="00A65E22">
            <w:pPr>
              <w:rPr>
                <w:rFonts w:ascii="Times" w:hAnsi="Times"/>
                <w:noProof/>
              </w:rPr>
            </w:pPr>
            <w:r w:rsidRPr="00FF63D1">
              <w:rPr>
                <w:rFonts w:ascii="Times" w:hAnsi="Times"/>
                <w:noProof/>
              </w:rPr>
              <w:t>All products placed on the market (in selected downstream sectors)</w:t>
            </w:r>
          </w:p>
        </w:tc>
        <w:tc>
          <w:tcPr>
            <w:tcW w:w="1157" w:type="pct"/>
          </w:tcPr>
          <w:p w14:paraId="43FF61CC" w14:textId="2536C662" w:rsidR="00020031" w:rsidRPr="00FF63D1" w:rsidRDefault="00A65E22" w:rsidP="00A65E22">
            <w:pPr>
              <w:rPr>
                <w:rFonts w:ascii="Times" w:hAnsi="Times" w:cs="Times"/>
                <w:noProof/>
                <w:szCs w:val="20"/>
              </w:rPr>
            </w:pPr>
            <w:r w:rsidRPr="00FF63D1">
              <w:rPr>
                <w:rFonts w:ascii="Times" w:hAnsi="Times" w:cs="Times"/>
                <w:noProof/>
                <w:szCs w:val="20"/>
              </w:rPr>
              <w:t>Steel</w:t>
            </w:r>
          </w:p>
        </w:tc>
        <w:tc>
          <w:tcPr>
            <w:tcW w:w="1712" w:type="pct"/>
          </w:tcPr>
          <w:p w14:paraId="3B7D26FB" w14:textId="54E232C2" w:rsidR="00020031" w:rsidRPr="00FF63D1" w:rsidRDefault="002447B2" w:rsidP="00A65E22">
            <w:pPr>
              <w:rPr>
                <w:rFonts w:ascii="Times" w:hAnsi="Times" w:cs="Times"/>
                <w:noProof/>
                <w:szCs w:val="20"/>
              </w:rPr>
            </w:pPr>
            <w:r w:rsidRPr="00FF63D1">
              <w:rPr>
                <w:rFonts w:ascii="Times" w:hAnsi="Times" w:cs="Times"/>
                <w:noProof/>
                <w:szCs w:val="20"/>
              </w:rPr>
              <w:t>2</w:t>
            </w:r>
            <w:r w:rsidR="00020031" w:rsidRPr="00FF63D1">
              <w:rPr>
                <w:rFonts w:ascii="Times" w:hAnsi="Times" w:cs="Times"/>
                <w:noProof/>
                <w:szCs w:val="20"/>
              </w:rPr>
              <w:t>5% in 2030</w:t>
            </w:r>
          </w:p>
        </w:tc>
      </w:tr>
      <w:tr w:rsidR="00020031" w:rsidRPr="00FF63D1" w14:paraId="30C9702B" w14:textId="77777777" w:rsidTr="002746CD">
        <w:trPr>
          <w:trHeight w:val="229"/>
        </w:trPr>
        <w:tc>
          <w:tcPr>
            <w:tcW w:w="949" w:type="pct"/>
            <w:vMerge/>
          </w:tcPr>
          <w:p w14:paraId="6DF08DC3" w14:textId="77777777" w:rsidR="00020031" w:rsidRPr="00FF63D1" w:rsidRDefault="00020031" w:rsidP="00A65E22">
            <w:pPr>
              <w:rPr>
                <w:rFonts w:ascii="Times" w:hAnsi="Times" w:cs="Times"/>
                <w:b/>
                <w:noProof/>
                <w:szCs w:val="20"/>
              </w:rPr>
            </w:pPr>
          </w:p>
        </w:tc>
        <w:tc>
          <w:tcPr>
            <w:tcW w:w="1182" w:type="pct"/>
            <w:vMerge/>
          </w:tcPr>
          <w:p w14:paraId="407B74BD" w14:textId="77777777" w:rsidR="00020031" w:rsidRPr="00FF63D1" w:rsidRDefault="00020031" w:rsidP="00A65E22">
            <w:pPr>
              <w:rPr>
                <w:rFonts w:ascii="Times" w:hAnsi="Times" w:cs="Times"/>
                <w:noProof/>
                <w:szCs w:val="20"/>
              </w:rPr>
            </w:pPr>
          </w:p>
        </w:tc>
        <w:tc>
          <w:tcPr>
            <w:tcW w:w="1157" w:type="pct"/>
          </w:tcPr>
          <w:p w14:paraId="5B3A5D16" w14:textId="77777777" w:rsidR="00020031" w:rsidRPr="00FF63D1" w:rsidRDefault="00020031" w:rsidP="00A65E22">
            <w:pPr>
              <w:rPr>
                <w:rFonts w:ascii="Times" w:hAnsi="Times" w:cs="Times"/>
                <w:noProof/>
                <w:szCs w:val="20"/>
              </w:rPr>
            </w:pPr>
            <w:r w:rsidRPr="00FF63D1">
              <w:rPr>
                <w:rFonts w:ascii="Times" w:hAnsi="Times" w:cs="Times"/>
                <w:noProof/>
                <w:szCs w:val="20"/>
              </w:rPr>
              <w:t>Cement (concrete)</w:t>
            </w:r>
          </w:p>
        </w:tc>
        <w:tc>
          <w:tcPr>
            <w:tcW w:w="1712" w:type="pct"/>
          </w:tcPr>
          <w:p w14:paraId="71C1BF01" w14:textId="04C22D9F" w:rsidR="00020031" w:rsidRPr="00FF63D1" w:rsidRDefault="00020031" w:rsidP="00A65E22">
            <w:pPr>
              <w:rPr>
                <w:rFonts w:ascii="Times" w:hAnsi="Times" w:cs="Times"/>
                <w:noProof/>
                <w:szCs w:val="20"/>
                <w:lang w:eastAsia="en-US"/>
              </w:rPr>
            </w:pPr>
            <w:r w:rsidRPr="00FF63D1">
              <w:rPr>
                <w:rFonts w:ascii="Times" w:eastAsia="Times" w:hAnsi="Times" w:cs="Times"/>
                <w:noProof/>
                <w:szCs w:val="20"/>
              </w:rPr>
              <w:t>5% in 2030</w:t>
            </w:r>
            <w:r w:rsidRPr="00FF63D1">
              <w:rPr>
                <w:rFonts w:ascii="Times" w:hAnsi="Times" w:cs="Times"/>
                <w:noProof/>
                <w:szCs w:val="20"/>
              </w:rPr>
              <w:t xml:space="preserve"> </w:t>
            </w:r>
          </w:p>
        </w:tc>
      </w:tr>
      <w:tr w:rsidR="00020031" w:rsidRPr="00FF63D1" w14:paraId="7B1A32F5" w14:textId="77777777" w:rsidTr="002746CD">
        <w:trPr>
          <w:trHeight w:val="300"/>
        </w:trPr>
        <w:tc>
          <w:tcPr>
            <w:tcW w:w="949" w:type="pct"/>
            <w:vMerge/>
          </w:tcPr>
          <w:p w14:paraId="3AE0DD31" w14:textId="77777777" w:rsidR="00020031" w:rsidRPr="00FF63D1" w:rsidRDefault="00020031" w:rsidP="00A65E22">
            <w:pPr>
              <w:rPr>
                <w:rFonts w:ascii="Times" w:hAnsi="Times" w:cs="Times"/>
                <w:b/>
                <w:noProof/>
                <w:szCs w:val="20"/>
              </w:rPr>
            </w:pPr>
          </w:p>
        </w:tc>
        <w:tc>
          <w:tcPr>
            <w:tcW w:w="1182" w:type="pct"/>
            <w:vMerge/>
          </w:tcPr>
          <w:p w14:paraId="5F9263C9" w14:textId="77777777" w:rsidR="00020031" w:rsidRPr="00FF63D1" w:rsidRDefault="00020031" w:rsidP="00A65E22">
            <w:pPr>
              <w:rPr>
                <w:rFonts w:ascii="Times" w:hAnsi="Times" w:cs="Times"/>
                <w:noProof/>
                <w:szCs w:val="20"/>
              </w:rPr>
            </w:pPr>
          </w:p>
        </w:tc>
        <w:tc>
          <w:tcPr>
            <w:tcW w:w="1157" w:type="pct"/>
          </w:tcPr>
          <w:p w14:paraId="0E0AFEB3" w14:textId="77777777" w:rsidR="00020031" w:rsidRPr="00FF63D1" w:rsidRDefault="00020031" w:rsidP="00A65E22">
            <w:pPr>
              <w:rPr>
                <w:rFonts w:ascii="Times" w:hAnsi="Times" w:cs="Times"/>
                <w:noProof/>
                <w:szCs w:val="20"/>
              </w:rPr>
            </w:pPr>
            <w:r w:rsidRPr="00FF63D1">
              <w:rPr>
                <w:rFonts w:ascii="Times" w:hAnsi="Times" w:cs="Times"/>
                <w:noProof/>
                <w:szCs w:val="20"/>
              </w:rPr>
              <w:t>Aluminium</w:t>
            </w:r>
          </w:p>
        </w:tc>
        <w:tc>
          <w:tcPr>
            <w:tcW w:w="1712" w:type="pct"/>
          </w:tcPr>
          <w:p w14:paraId="56D9C2FC" w14:textId="35E5F6B8" w:rsidR="00020031" w:rsidRPr="00FF63D1" w:rsidRDefault="00BB5143" w:rsidP="00A65E22">
            <w:pPr>
              <w:rPr>
                <w:rFonts w:ascii="Times" w:hAnsi="Times" w:cs="Times"/>
                <w:noProof/>
                <w:szCs w:val="20"/>
              </w:rPr>
            </w:pPr>
            <w:r>
              <w:rPr>
                <w:rFonts w:ascii="Times" w:hAnsi="Times" w:cs="Times"/>
                <w:noProof/>
                <w:szCs w:val="20"/>
              </w:rPr>
              <w:t>25% in 2030</w:t>
            </w:r>
          </w:p>
        </w:tc>
      </w:tr>
      <w:tr w:rsidR="00020031" w:rsidRPr="00FF63D1" w14:paraId="1F931DA3" w14:textId="77777777" w:rsidTr="002746CD">
        <w:trPr>
          <w:trHeight w:val="300"/>
        </w:trPr>
        <w:tc>
          <w:tcPr>
            <w:tcW w:w="949" w:type="pct"/>
            <w:vMerge w:val="restart"/>
          </w:tcPr>
          <w:p w14:paraId="3721D30C" w14:textId="1E6E160D" w:rsidR="00020031" w:rsidRPr="00FF63D1" w:rsidRDefault="000B3C9C" w:rsidP="00A65E22">
            <w:pPr>
              <w:rPr>
                <w:rFonts w:ascii="Times" w:hAnsi="Times" w:cs="Times"/>
                <w:b/>
                <w:noProof/>
                <w:szCs w:val="20"/>
              </w:rPr>
            </w:pPr>
            <w:r>
              <w:rPr>
                <w:rFonts w:ascii="Times" w:hAnsi="Times" w:cs="Times"/>
                <w:b/>
                <w:noProof/>
                <w:szCs w:val="20"/>
              </w:rPr>
              <w:t>Made in EU requirement</w:t>
            </w:r>
          </w:p>
        </w:tc>
        <w:tc>
          <w:tcPr>
            <w:tcW w:w="1182" w:type="pct"/>
            <w:vMerge w:val="restart"/>
          </w:tcPr>
          <w:p w14:paraId="27AA3885" w14:textId="77777777" w:rsidR="00020031" w:rsidRPr="00FF63D1" w:rsidRDefault="00020031" w:rsidP="00A65E22">
            <w:pPr>
              <w:rPr>
                <w:rFonts w:ascii="Times" w:hAnsi="Times"/>
                <w:noProof/>
              </w:rPr>
            </w:pPr>
            <w:r w:rsidRPr="00FF63D1">
              <w:rPr>
                <w:rFonts w:ascii="Times" w:hAnsi="Times"/>
                <w:noProof/>
              </w:rPr>
              <w:t xml:space="preserve">All products placed on the market (in selected downstream sectors) </w:t>
            </w:r>
          </w:p>
        </w:tc>
        <w:tc>
          <w:tcPr>
            <w:tcW w:w="1157" w:type="pct"/>
          </w:tcPr>
          <w:p w14:paraId="484712E5" w14:textId="77777777" w:rsidR="00020031" w:rsidRPr="00FF63D1" w:rsidRDefault="00020031" w:rsidP="00A65E22">
            <w:pPr>
              <w:rPr>
                <w:rFonts w:ascii="Times" w:hAnsi="Times" w:cs="Times"/>
                <w:noProof/>
                <w:szCs w:val="20"/>
              </w:rPr>
            </w:pPr>
            <w:r w:rsidRPr="00FF63D1">
              <w:rPr>
                <w:rFonts w:ascii="Times" w:hAnsi="Times" w:cs="Times"/>
                <w:noProof/>
                <w:szCs w:val="20"/>
              </w:rPr>
              <w:t>Steel</w:t>
            </w:r>
          </w:p>
        </w:tc>
        <w:tc>
          <w:tcPr>
            <w:tcW w:w="1712" w:type="pct"/>
          </w:tcPr>
          <w:p w14:paraId="69ACA717" w14:textId="6DBF8313" w:rsidR="00020031" w:rsidRPr="00FF63D1" w:rsidRDefault="00020031" w:rsidP="00A65E22">
            <w:pPr>
              <w:rPr>
                <w:rFonts w:ascii="Times" w:eastAsia="Times" w:hAnsi="Times" w:cs="Times"/>
                <w:noProof/>
                <w:szCs w:val="20"/>
              </w:rPr>
            </w:pPr>
            <w:r w:rsidRPr="00FF63D1">
              <w:rPr>
                <w:rFonts w:ascii="Times" w:eastAsia="Times" w:hAnsi="Times" w:cs="Times"/>
                <w:noProof/>
                <w:szCs w:val="20"/>
              </w:rPr>
              <w:t>85% from entry into force</w:t>
            </w:r>
          </w:p>
        </w:tc>
      </w:tr>
      <w:tr w:rsidR="00020031" w:rsidRPr="00FF63D1" w14:paraId="50DB994C" w14:textId="77777777" w:rsidTr="002746CD">
        <w:trPr>
          <w:trHeight w:val="282"/>
        </w:trPr>
        <w:tc>
          <w:tcPr>
            <w:tcW w:w="949" w:type="pct"/>
            <w:vMerge/>
          </w:tcPr>
          <w:p w14:paraId="69E4A87D" w14:textId="77777777" w:rsidR="00020031" w:rsidRPr="00FF63D1" w:rsidRDefault="00020031" w:rsidP="00A65E22">
            <w:pPr>
              <w:rPr>
                <w:rFonts w:ascii="Times" w:hAnsi="Times" w:cs="Times"/>
                <w:noProof/>
                <w:szCs w:val="20"/>
              </w:rPr>
            </w:pPr>
          </w:p>
        </w:tc>
        <w:tc>
          <w:tcPr>
            <w:tcW w:w="1182" w:type="pct"/>
            <w:vMerge/>
          </w:tcPr>
          <w:p w14:paraId="0420BF0C" w14:textId="77777777" w:rsidR="00020031" w:rsidRPr="00FF63D1" w:rsidRDefault="00020031" w:rsidP="00A65E22">
            <w:pPr>
              <w:rPr>
                <w:rFonts w:ascii="Times" w:hAnsi="Times" w:cs="Times"/>
                <w:noProof/>
                <w:szCs w:val="20"/>
              </w:rPr>
            </w:pPr>
          </w:p>
        </w:tc>
        <w:tc>
          <w:tcPr>
            <w:tcW w:w="1157" w:type="pct"/>
          </w:tcPr>
          <w:p w14:paraId="774DD798" w14:textId="77777777" w:rsidR="00020031" w:rsidRPr="00FF63D1" w:rsidRDefault="00020031" w:rsidP="00A65E22">
            <w:pPr>
              <w:rPr>
                <w:rFonts w:ascii="Times" w:hAnsi="Times" w:cs="Times"/>
                <w:noProof/>
                <w:szCs w:val="20"/>
              </w:rPr>
            </w:pPr>
            <w:r w:rsidRPr="00FF63D1">
              <w:rPr>
                <w:rFonts w:ascii="Times" w:hAnsi="Times" w:cs="Times"/>
                <w:noProof/>
                <w:szCs w:val="20"/>
              </w:rPr>
              <w:t>Cement (concrete)</w:t>
            </w:r>
          </w:p>
        </w:tc>
        <w:tc>
          <w:tcPr>
            <w:tcW w:w="1712" w:type="pct"/>
          </w:tcPr>
          <w:p w14:paraId="0054D0D1" w14:textId="77777777" w:rsidR="00020031" w:rsidRPr="00FF63D1" w:rsidRDefault="00020031" w:rsidP="00A65E22">
            <w:pPr>
              <w:rPr>
                <w:rFonts w:ascii="Times" w:eastAsia="Times" w:hAnsi="Times" w:cs="Times"/>
                <w:noProof/>
                <w:szCs w:val="20"/>
              </w:rPr>
            </w:pPr>
            <w:r w:rsidRPr="00FF63D1">
              <w:rPr>
                <w:rFonts w:ascii="Times" w:eastAsia="Times" w:hAnsi="Times" w:cs="Times"/>
                <w:noProof/>
                <w:szCs w:val="20"/>
              </w:rPr>
              <w:t>95% from entry into force</w:t>
            </w:r>
          </w:p>
        </w:tc>
      </w:tr>
      <w:tr w:rsidR="00020031" w:rsidRPr="00FF63D1" w14:paraId="5B60A76D" w14:textId="77777777" w:rsidTr="002746CD">
        <w:trPr>
          <w:trHeight w:val="282"/>
        </w:trPr>
        <w:tc>
          <w:tcPr>
            <w:tcW w:w="949" w:type="pct"/>
            <w:vMerge/>
          </w:tcPr>
          <w:p w14:paraId="1394DB5F" w14:textId="77777777" w:rsidR="00020031" w:rsidRPr="00FF63D1" w:rsidRDefault="00020031" w:rsidP="00A65E22">
            <w:pPr>
              <w:rPr>
                <w:rFonts w:ascii="Times" w:hAnsi="Times" w:cs="Times"/>
                <w:noProof/>
                <w:szCs w:val="20"/>
              </w:rPr>
            </w:pPr>
          </w:p>
        </w:tc>
        <w:tc>
          <w:tcPr>
            <w:tcW w:w="1182" w:type="pct"/>
            <w:vMerge/>
          </w:tcPr>
          <w:p w14:paraId="50B07672" w14:textId="77777777" w:rsidR="00020031" w:rsidRPr="00FF63D1" w:rsidRDefault="00020031" w:rsidP="00A65E22">
            <w:pPr>
              <w:rPr>
                <w:rFonts w:ascii="Times" w:hAnsi="Times" w:cs="Times"/>
                <w:noProof/>
                <w:szCs w:val="20"/>
              </w:rPr>
            </w:pPr>
          </w:p>
        </w:tc>
        <w:tc>
          <w:tcPr>
            <w:tcW w:w="1157" w:type="pct"/>
          </w:tcPr>
          <w:p w14:paraId="1CBCD054" w14:textId="77777777" w:rsidR="00020031" w:rsidRPr="00FF63D1" w:rsidRDefault="00020031" w:rsidP="00A65E22">
            <w:pPr>
              <w:rPr>
                <w:rFonts w:ascii="Times" w:hAnsi="Times" w:cs="Times"/>
                <w:noProof/>
                <w:szCs w:val="20"/>
              </w:rPr>
            </w:pPr>
            <w:r w:rsidRPr="00FF63D1">
              <w:rPr>
                <w:rFonts w:ascii="Times" w:hAnsi="Times" w:cs="Times"/>
                <w:noProof/>
                <w:szCs w:val="20"/>
              </w:rPr>
              <w:t>Aluminium</w:t>
            </w:r>
          </w:p>
        </w:tc>
        <w:tc>
          <w:tcPr>
            <w:tcW w:w="1712" w:type="pct"/>
          </w:tcPr>
          <w:p w14:paraId="1290E2FC" w14:textId="0FAB8379" w:rsidR="00020031" w:rsidRPr="00FF63D1" w:rsidRDefault="00020031" w:rsidP="00A65E22">
            <w:pPr>
              <w:rPr>
                <w:rFonts w:ascii="Times" w:hAnsi="Times" w:cs="Times"/>
                <w:noProof/>
                <w:szCs w:val="20"/>
              </w:rPr>
            </w:pPr>
            <w:r w:rsidRPr="00677BAB">
              <w:rPr>
                <w:rFonts w:ascii="Times" w:eastAsia="Times" w:hAnsi="Times" w:cs="Times"/>
                <w:noProof/>
                <w:szCs w:val="20"/>
              </w:rPr>
              <w:t>70%</w:t>
            </w:r>
            <w:r w:rsidRPr="00FF63D1">
              <w:rPr>
                <w:rFonts w:ascii="Times" w:eastAsia="Times" w:hAnsi="Times" w:cs="Times"/>
                <w:noProof/>
                <w:szCs w:val="20"/>
              </w:rPr>
              <w:t xml:space="preserve"> in 2030; </w:t>
            </w:r>
          </w:p>
        </w:tc>
      </w:tr>
    </w:tbl>
    <w:p w14:paraId="2603DE2F" w14:textId="77777777" w:rsidR="00020031" w:rsidRPr="00FF63D1" w:rsidRDefault="00020031">
      <w:pPr>
        <w:rPr>
          <w:rFonts w:eastAsia="Times New Roman"/>
          <w:noProof/>
        </w:rPr>
      </w:pPr>
    </w:p>
    <w:p w14:paraId="7D6F85E4" w14:textId="77777777" w:rsidR="00020031" w:rsidRPr="00FF63D1" w:rsidRDefault="00020031" w:rsidP="005661DC">
      <w:pPr>
        <w:rPr>
          <w:rFonts w:eastAsia="Times New Roman"/>
          <w:b/>
          <w:noProof/>
          <w:u w:val="single"/>
        </w:rPr>
      </w:pPr>
      <w:r w:rsidRPr="00FF63D1">
        <w:rPr>
          <w:rFonts w:eastAsia="Times New Roman"/>
          <w:b/>
          <w:noProof/>
          <w:u w:val="single"/>
        </w:rPr>
        <w:t>Clean technologies</w:t>
      </w:r>
    </w:p>
    <w:p w14:paraId="394A1C5C" w14:textId="77777777" w:rsidR="005661DC" w:rsidRPr="00FF63D1" w:rsidRDefault="005661DC" w:rsidP="005661DC">
      <w:pPr>
        <w:rPr>
          <w:rFonts w:eastAsia="Times New Roman"/>
          <w:b/>
          <w:noProof/>
          <w:u w:val="single"/>
        </w:rPr>
      </w:pPr>
    </w:p>
    <w:p w14:paraId="3A706D58" w14:textId="3244B85A" w:rsidR="00020031" w:rsidRPr="00FF63D1" w:rsidRDefault="00020031" w:rsidP="005661DC">
      <w:pPr>
        <w:rPr>
          <w:rFonts w:eastAsia="Times New Roman"/>
          <w:b/>
          <w:noProof/>
          <w:lang w:eastAsia="en-GB"/>
        </w:rPr>
      </w:pPr>
      <w:r w:rsidRPr="00FF63D1">
        <w:rPr>
          <w:rFonts w:eastAsia="Times New Roman"/>
          <w:b/>
          <w:noProof/>
          <w:lang w:eastAsia="en-GB"/>
        </w:rPr>
        <w:t xml:space="preserve">LEAD_BAT 1 - </w:t>
      </w:r>
      <w:r w:rsidR="000B3C9C">
        <w:rPr>
          <w:rFonts w:eastAsia="Times New Roman"/>
          <w:b/>
          <w:noProof/>
          <w:lang w:eastAsia="en-GB"/>
        </w:rPr>
        <w:t xml:space="preserve">Made in EU </w:t>
      </w:r>
      <w:r w:rsidR="002B49E8" w:rsidRPr="00FF63D1">
        <w:rPr>
          <w:rFonts w:eastAsia="Times New Roman"/>
          <w:b/>
          <w:noProof/>
          <w:lang w:eastAsia="en-GB"/>
        </w:rPr>
        <w:t>requirements in batteries for public procurement, auctions, and public support schemes</w:t>
      </w:r>
      <w:r w:rsidR="002B49E8" w:rsidRPr="00FF63D1" w:rsidDel="002B49E8">
        <w:rPr>
          <w:rFonts w:eastAsia="Times New Roman"/>
          <w:b/>
          <w:noProof/>
          <w:lang w:eastAsia="en-GB"/>
        </w:rPr>
        <w:t xml:space="preserve"> </w:t>
      </w:r>
    </w:p>
    <w:p w14:paraId="4A19B276" w14:textId="77777777" w:rsidR="005661DC" w:rsidRPr="00FF63D1" w:rsidRDefault="005661DC" w:rsidP="005661DC">
      <w:pPr>
        <w:rPr>
          <w:rFonts w:eastAsia="Times New Roman"/>
          <w:b/>
          <w:noProof/>
          <w:lang w:eastAsia="en-GB"/>
        </w:rPr>
      </w:pPr>
    </w:p>
    <w:p w14:paraId="061FAA01" w14:textId="593492F7" w:rsidR="00020031" w:rsidRPr="00FF63D1" w:rsidRDefault="00020031" w:rsidP="005106C3">
      <w:pPr>
        <w:spacing w:after="120"/>
        <w:rPr>
          <w:noProof/>
        </w:rPr>
      </w:pPr>
      <w:r w:rsidRPr="00FF63D1">
        <w:rPr>
          <w:noProof/>
        </w:rPr>
        <w:t xml:space="preserve">Driver 3 under Sub-problem 1 is particularly relevant to the batteries industry, which is why </w:t>
      </w:r>
      <w:r w:rsidR="000B3C9C">
        <w:rPr>
          <w:noProof/>
        </w:rPr>
        <w:t xml:space="preserve">Made in EU </w:t>
      </w:r>
      <w:r w:rsidRPr="00FF63D1">
        <w:rPr>
          <w:noProof/>
        </w:rPr>
        <w:t xml:space="preserve">requirements are the only policy option assessed. As outlined in the baseline, low-carbon requirements for batteries are already addressed under existing legislation, namely the Battery Regulation. </w:t>
      </w:r>
    </w:p>
    <w:p w14:paraId="07C9A476" w14:textId="76CE20D2" w:rsidR="00020031" w:rsidRPr="00FF63D1" w:rsidRDefault="00020031" w:rsidP="005106C3">
      <w:pPr>
        <w:spacing w:after="120"/>
        <w:rPr>
          <w:noProof/>
        </w:rPr>
      </w:pPr>
      <w:r w:rsidRPr="00FF63D1">
        <w:rPr>
          <w:noProof/>
        </w:rPr>
        <w:t xml:space="preserve">This measure would introduce </w:t>
      </w:r>
      <w:r w:rsidR="000B3C9C">
        <w:rPr>
          <w:noProof/>
        </w:rPr>
        <w:t xml:space="preserve">Made in EU </w:t>
      </w:r>
      <w:r w:rsidRPr="00FF63D1">
        <w:rPr>
          <w:noProof/>
        </w:rPr>
        <w:t>requirements, in line with international commitments, for batteries in public procurement, auctions and public support schemes with a particular focus on EVs and BESS. Under this measure, ‘</w:t>
      </w:r>
      <w:r w:rsidR="000B3C9C">
        <w:rPr>
          <w:noProof/>
        </w:rPr>
        <w:t xml:space="preserve">Made in EU </w:t>
      </w:r>
      <w:r w:rsidRPr="00FF63D1">
        <w:rPr>
          <w:noProof/>
        </w:rPr>
        <w:t>requirement’ refers exclusively to content originating within the EU</w:t>
      </w:r>
      <w:r w:rsidR="005732A1" w:rsidRPr="00FF63D1">
        <w:rPr>
          <w:noProof/>
        </w:rPr>
        <w:t xml:space="preserve"> </w:t>
      </w:r>
      <w:r w:rsidR="001E6E98" w:rsidRPr="00FF63D1">
        <w:rPr>
          <w:noProof/>
        </w:rPr>
        <w:t>and</w:t>
      </w:r>
      <w:r w:rsidR="00B347CC" w:rsidRPr="00FF63D1">
        <w:rPr>
          <w:noProof/>
        </w:rPr>
        <w:t xml:space="preserve"> </w:t>
      </w:r>
      <w:r w:rsidR="008147B1" w:rsidRPr="00FF63D1">
        <w:rPr>
          <w:noProof/>
        </w:rPr>
        <w:t xml:space="preserve">potentially </w:t>
      </w:r>
      <w:r w:rsidR="00B347CC" w:rsidRPr="00FF63D1">
        <w:rPr>
          <w:noProof/>
        </w:rPr>
        <w:t>EEA</w:t>
      </w:r>
      <w:r w:rsidRPr="00FF63D1">
        <w:rPr>
          <w:noProof/>
        </w:rPr>
        <w:t>.</w:t>
      </w:r>
    </w:p>
    <w:p w14:paraId="5DB6E9E7" w14:textId="77777777" w:rsidR="00020031" w:rsidRPr="00FF63D1" w:rsidRDefault="00020031" w:rsidP="005106C3">
      <w:pPr>
        <w:spacing w:after="120"/>
        <w:rPr>
          <w:i/>
          <w:noProof/>
        </w:rPr>
      </w:pPr>
      <w:r w:rsidRPr="00FF63D1">
        <w:rPr>
          <w:i/>
          <w:noProof/>
        </w:rPr>
        <w:t>Scope considerations</w:t>
      </w:r>
    </w:p>
    <w:p w14:paraId="4D38351C" w14:textId="5CCE1EC9" w:rsidR="00020031" w:rsidRPr="00FF63D1" w:rsidRDefault="005D5BDA" w:rsidP="005106C3">
      <w:pPr>
        <w:spacing w:after="120"/>
        <w:rPr>
          <w:b/>
          <w:noProof/>
        </w:rPr>
      </w:pPr>
      <w:r w:rsidRPr="00FF63D1">
        <w:rPr>
          <w:noProof/>
        </w:rPr>
        <w:t>The</w:t>
      </w:r>
      <w:r w:rsidR="00020031" w:rsidRPr="00FF63D1">
        <w:rPr>
          <w:noProof/>
        </w:rPr>
        <w:t xml:space="preserve"> battery value chain is </w:t>
      </w:r>
      <w:r w:rsidR="002C38B9" w:rsidRPr="00FF63D1">
        <w:rPr>
          <w:noProof/>
        </w:rPr>
        <w:t>complex,</w:t>
      </w:r>
      <w:r w:rsidRPr="00FF63D1">
        <w:rPr>
          <w:noProof/>
        </w:rPr>
        <w:t xml:space="preserve"> and</w:t>
      </w:r>
      <w:r w:rsidR="00020031" w:rsidRPr="00FF63D1">
        <w:rPr>
          <w:noProof/>
        </w:rPr>
        <w:t xml:space="preserve"> the final product consists of key components and materials, each of which constitutes a distinct finished product originating from upstream sectors </w:t>
      </w:r>
      <w:r w:rsidR="00574E71" w:rsidRPr="00FF63D1">
        <w:rPr>
          <w:noProof/>
        </w:rPr>
        <w:t>which are often</w:t>
      </w:r>
      <w:r w:rsidR="00020031" w:rsidRPr="00FF63D1">
        <w:rPr>
          <w:noProof/>
        </w:rPr>
        <w:t xml:space="preserve"> located in different countries. The final battery </w:t>
      </w:r>
      <w:r w:rsidR="0003545F" w:rsidRPr="00FF63D1">
        <w:rPr>
          <w:noProof/>
        </w:rPr>
        <w:t>product</w:t>
      </w:r>
      <w:r w:rsidR="0003545F" w:rsidRPr="00FF63D1" w:rsidDel="00AF0F56">
        <w:rPr>
          <w:noProof/>
        </w:rPr>
        <w:t xml:space="preserve"> </w:t>
      </w:r>
      <w:r w:rsidR="0003545F" w:rsidRPr="00FF63D1">
        <w:rPr>
          <w:noProof/>
        </w:rPr>
        <w:t>is composed of the following 10 components, as listed in the Commission Implementing Regulation 2025/1178: battery pack, battery module, battery cell, cathode active material (CAM), anode active material (AAM), separator, electrolyte, battery management system (BMS), battery thermal management system (BTMS), and current collectors</w:t>
      </w:r>
      <w:r w:rsidR="00020031" w:rsidRPr="00FF63D1">
        <w:rPr>
          <w:noProof/>
        </w:rPr>
        <w:t xml:space="preserve">. </w:t>
      </w:r>
      <w:r w:rsidR="00020031" w:rsidRPr="00FF63D1">
        <w:rPr>
          <w:b/>
          <w:noProof/>
        </w:rPr>
        <w:t xml:space="preserve">Therefore, </w:t>
      </w:r>
      <w:r w:rsidR="00020031" w:rsidRPr="00FF63D1">
        <w:rPr>
          <w:rFonts w:eastAsia="Times New Roman"/>
          <w:b/>
          <w:noProof/>
          <w:lang w:eastAsia="en-GB"/>
        </w:rPr>
        <w:t>LEAD_BAT 1</w:t>
      </w:r>
      <w:r w:rsidR="00020031" w:rsidRPr="00FF63D1">
        <w:rPr>
          <w:b/>
          <w:noProof/>
        </w:rPr>
        <w:t xml:space="preserve"> considers which product step would most benefit from the introduction of an </w:t>
      </w:r>
      <w:r w:rsidR="000B3C9C">
        <w:rPr>
          <w:b/>
          <w:noProof/>
        </w:rPr>
        <w:t>Made in EU requirement</w:t>
      </w:r>
      <w:r w:rsidR="00020031" w:rsidRPr="00FF63D1">
        <w:rPr>
          <w:b/>
          <w:noProof/>
        </w:rPr>
        <w:t>.</w:t>
      </w:r>
    </w:p>
    <w:p w14:paraId="7F1664C5" w14:textId="0E696338" w:rsidR="005661DC" w:rsidRPr="00FF63D1" w:rsidRDefault="00020031" w:rsidP="005106C3">
      <w:pPr>
        <w:spacing w:after="120"/>
        <w:rPr>
          <w:noProof/>
        </w:rPr>
      </w:pPr>
      <w:r w:rsidRPr="00FF63D1">
        <w:rPr>
          <w:noProof/>
        </w:rPr>
        <w:t xml:space="preserve">First, the requirement </w:t>
      </w:r>
      <w:r w:rsidR="00A33C22" w:rsidRPr="00FF63D1">
        <w:rPr>
          <w:noProof/>
        </w:rPr>
        <w:t xml:space="preserve">will be assessed at the level of the battery final product using a component-based approach. This means that a specified number of the battery’s components must be manufactured within the EU </w:t>
      </w:r>
      <w:r w:rsidR="00EA0358" w:rsidRPr="00FF63D1">
        <w:rPr>
          <w:noProof/>
        </w:rPr>
        <w:t>and</w:t>
      </w:r>
      <w:r w:rsidR="007554A2" w:rsidRPr="00FF63D1">
        <w:rPr>
          <w:noProof/>
        </w:rPr>
        <w:t xml:space="preserve"> </w:t>
      </w:r>
      <w:r w:rsidR="00504F23" w:rsidRPr="00FF63D1">
        <w:rPr>
          <w:noProof/>
        </w:rPr>
        <w:t xml:space="preserve">possibly </w:t>
      </w:r>
      <w:r w:rsidR="00A33C22" w:rsidRPr="00FF63D1">
        <w:rPr>
          <w:noProof/>
        </w:rPr>
        <w:t>EEA, including certain mandatory components.</w:t>
      </w:r>
      <w:r w:rsidR="008A0E54" w:rsidRPr="00FF63D1">
        <w:rPr>
          <w:noProof/>
        </w:rPr>
        <w:t xml:space="preserve"> An additional list of components ranging from precursor active materials to critical raw materials </w:t>
      </w:r>
      <w:r w:rsidR="00BD7068" w:rsidRPr="00FF63D1">
        <w:rPr>
          <w:noProof/>
        </w:rPr>
        <w:t xml:space="preserve">could </w:t>
      </w:r>
      <w:r w:rsidR="008A0E54" w:rsidRPr="00FF63D1">
        <w:rPr>
          <w:noProof/>
        </w:rPr>
        <w:t xml:space="preserve">be introduced through a delegated act to ensure coverage of the entire battery value chain. </w:t>
      </w:r>
      <w:r w:rsidR="00D33721" w:rsidRPr="00FF63D1">
        <w:rPr>
          <w:noProof/>
        </w:rPr>
        <w:t>At this stage, there is insufficient data and cost analysis to justify the inclusion of upstream segments or to establish reliable EU content targets.</w:t>
      </w:r>
      <w:r w:rsidR="008A0E54" w:rsidRPr="00FF63D1">
        <w:rPr>
          <w:rFonts w:ascii="Segoe UI" w:hAnsi="Segoe UI"/>
          <w:noProof/>
          <w:sz w:val="18"/>
        </w:rPr>
        <w:t xml:space="preserve"> </w:t>
      </w:r>
      <w:r w:rsidR="008A0E54" w:rsidRPr="00FF63D1">
        <w:rPr>
          <w:noProof/>
        </w:rPr>
        <w:t xml:space="preserve">Importantly, this extended list </w:t>
      </w:r>
      <w:r w:rsidR="00BD7068" w:rsidRPr="00FF63D1">
        <w:rPr>
          <w:noProof/>
        </w:rPr>
        <w:t xml:space="preserve">could </w:t>
      </w:r>
      <w:r w:rsidR="008A0E54" w:rsidRPr="00FF63D1">
        <w:rPr>
          <w:noProof/>
        </w:rPr>
        <w:t>not apply exclusively to EU-based production but could also include EU</w:t>
      </w:r>
      <w:r w:rsidR="00EA0358" w:rsidRPr="00FF63D1">
        <w:rPr>
          <w:noProof/>
        </w:rPr>
        <w:t xml:space="preserve"> </w:t>
      </w:r>
      <w:r w:rsidR="009F2B5A" w:rsidRPr="00FF63D1">
        <w:rPr>
          <w:noProof/>
        </w:rPr>
        <w:t>plus</w:t>
      </w:r>
      <w:r w:rsidR="00EA0358" w:rsidRPr="00FF63D1">
        <w:rPr>
          <w:noProof/>
        </w:rPr>
        <w:t xml:space="preserve"> other regions’</w:t>
      </w:r>
      <w:r w:rsidR="008A0E54" w:rsidRPr="00FF63D1">
        <w:rPr>
          <w:noProof/>
        </w:rPr>
        <w:t xml:space="preserve"> sourcing, depending on local manufacturing capacities and global supply dependencies.</w:t>
      </w:r>
    </w:p>
    <w:p w14:paraId="5C87190B" w14:textId="4480E0FC" w:rsidR="00020031" w:rsidRPr="00FF63D1" w:rsidRDefault="00020031" w:rsidP="005106C3">
      <w:pPr>
        <w:spacing w:after="120"/>
        <w:rPr>
          <w:noProof/>
        </w:rPr>
      </w:pPr>
      <w:r w:rsidRPr="00FF63D1">
        <w:rPr>
          <w:noProof/>
        </w:rPr>
        <w:t xml:space="preserve">Second, the requirement should follow a phased implementation. Given that the maturity of the battery value chain varies significantly across its different segments, </w:t>
      </w:r>
      <w:r w:rsidR="000B3C9C">
        <w:rPr>
          <w:noProof/>
        </w:rPr>
        <w:t xml:space="preserve">Made in EU </w:t>
      </w:r>
      <w:r w:rsidRPr="00FF63D1">
        <w:rPr>
          <w:noProof/>
        </w:rPr>
        <w:t xml:space="preserve">requirements should be phased in progressively, with an initial focus on the most developed segments of the value chain: the production of battery cells. As upstream manufacturing capabilities (e.g. active materials, separators, electrolytes) develop within the EU, content requirements could gradually extend to these </w:t>
      </w:r>
      <w:r>
        <w:rPr>
          <w:noProof/>
        </w:rPr>
        <w:t>components</w:t>
      </w:r>
      <w:r w:rsidR="00520724">
        <w:rPr>
          <w:noProof/>
        </w:rPr>
        <w:t>.</w:t>
      </w:r>
      <w:r w:rsidRPr="00FF63D1">
        <w:rPr>
          <w:noProof/>
        </w:rPr>
        <w:t xml:space="preserve"> This time phased approach ensures that requirements are realistic, enforceable, and aligned with industrial development of the battery sector</w:t>
      </w:r>
      <w:r>
        <w:rPr>
          <w:noProof/>
        </w:rPr>
        <w:t>.</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20031" w:rsidRPr="00FF63D1" w14:paraId="4943E45E" w14:textId="77777777" w:rsidTr="002746CD">
        <w:trPr>
          <w:trHeight w:val="300"/>
        </w:trPr>
        <w:tc>
          <w:tcPr>
            <w:tcW w:w="5000" w:type="pct"/>
          </w:tcPr>
          <w:p w14:paraId="2A852D4B" w14:textId="0DF7F52B" w:rsidR="00020031" w:rsidRDefault="00020031" w:rsidP="005661DC">
            <w:pPr>
              <w:rPr>
                <w:noProof/>
              </w:rPr>
            </w:pPr>
            <w:bookmarkStart w:id="671" w:name="_Hlk205568917"/>
            <w:r>
              <w:rPr>
                <w:noProof/>
              </w:rPr>
              <w:t xml:space="preserve">EVs: </w:t>
            </w:r>
            <w:r w:rsidR="0099109B">
              <w:rPr>
                <w:noProof/>
              </w:rPr>
              <w:t>M</w:t>
            </w:r>
            <w:r>
              <w:rPr>
                <w:noProof/>
              </w:rPr>
              <w:t xml:space="preserve">andatory </w:t>
            </w:r>
            <w:r w:rsidR="000B3C9C">
              <w:rPr>
                <w:noProof/>
              </w:rPr>
              <w:t xml:space="preserve">Made in EU </w:t>
            </w:r>
            <w:r>
              <w:rPr>
                <w:noProof/>
              </w:rPr>
              <w:t xml:space="preserve">requirements of at least </w:t>
            </w:r>
            <w:r w:rsidR="005E7B99">
              <w:rPr>
                <w:noProof/>
              </w:rPr>
              <w:t xml:space="preserve">4 </w:t>
            </w:r>
            <w:r w:rsidR="0071234A">
              <w:rPr>
                <w:noProof/>
              </w:rPr>
              <w:t>components</w:t>
            </w:r>
            <w:r>
              <w:rPr>
                <w:noProof/>
              </w:rPr>
              <w:t xml:space="preserve"> at </w:t>
            </w:r>
            <w:r w:rsidR="0071234A">
              <w:rPr>
                <w:noProof/>
              </w:rPr>
              <w:t xml:space="preserve">one year after </w:t>
            </w:r>
            <w:r>
              <w:rPr>
                <w:noProof/>
              </w:rPr>
              <w:t xml:space="preserve">entry into force, </w:t>
            </w:r>
            <w:r w:rsidR="0071234A">
              <w:rPr>
                <w:noProof/>
              </w:rPr>
              <w:t xml:space="preserve">including the battery cell, </w:t>
            </w:r>
            <w:r>
              <w:rPr>
                <w:noProof/>
              </w:rPr>
              <w:t xml:space="preserve">increasing to </w:t>
            </w:r>
            <w:r w:rsidR="00DB6287">
              <w:rPr>
                <w:noProof/>
              </w:rPr>
              <w:t>6</w:t>
            </w:r>
            <w:r w:rsidR="00DF6CC4">
              <w:rPr>
                <w:noProof/>
              </w:rPr>
              <w:t xml:space="preserve"> componen</w:t>
            </w:r>
            <w:r w:rsidR="00C7483B">
              <w:rPr>
                <w:noProof/>
              </w:rPr>
              <w:t>ts</w:t>
            </w:r>
            <w:r w:rsidR="00DB6287">
              <w:rPr>
                <w:noProof/>
              </w:rPr>
              <w:t xml:space="preserve"> after three years of entry into force</w:t>
            </w:r>
            <w:r w:rsidR="00591C12">
              <w:rPr>
                <w:noProof/>
              </w:rPr>
              <w:t>,</w:t>
            </w:r>
            <w:r w:rsidR="00DF6CC4">
              <w:rPr>
                <w:noProof/>
              </w:rPr>
              <w:t xml:space="preserve"> including the BM</w:t>
            </w:r>
            <w:r w:rsidR="003A1985">
              <w:rPr>
                <w:noProof/>
              </w:rPr>
              <w:t>S</w:t>
            </w:r>
            <w:r>
              <w:rPr>
                <w:noProof/>
              </w:rPr>
              <w:t xml:space="preserve"> </w:t>
            </w:r>
            <w:r w:rsidR="00DB6287">
              <w:rPr>
                <w:noProof/>
              </w:rPr>
              <w:t xml:space="preserve">and </w:t>
            </w:r>
            <w:r>
              <w:rPr>
                <w:noProof/>
              </w:rPr>
              <w:t xml:space="preserve">the </w:t>
            </w:r>
            <w:r w:rsidR="00DB6287">
              <w:rPr>
                <w:noProof/>
              </w:rPr>
              <w:t>CAM</w:t>
            </w:r>
            <w:r>
              <w:rPr>
                <w:noProof/>
              </w:rPr>
              <w:t>.</w:t>
            </w:r>
          </w:p>
          <w:p w14:paraId="013B3343" w14:textId="1CDFE3EF" w:rsidR="00753649" w:rsidRPr="00FF63D1" w:rsidRDefault="00753649" w:rsidP="005661DC">
            <w:pPr>
              <w:rPr>
                <w:noProof/>
              </w:rPr>
            </w:pPr>
          </w:p>
          <w:p w14:paraId="52275064" w14:textId="2CF1366D" w:rsidR="00DB19B1" w:rsidRPr="00FF63D1" w:rsidRDefault="00020031" w:rsidP="005661DC">
            <w:pPr>
              <w:rPr>
                <w:noProof/>
              </w:rPr>
            </w:pPr>
            <w:r>
              <w:rPr>
                <w:noProof/>
              </w:rPr>
              <w:t xml:space="preserve">BESS: Mandatory </w:t>
            </w:r>
            <w:r w:rsidR="000B3C9C">
              <w:rPr>
                <w:noProof/>
              </w:rPr>
              <w:t xml:space="preserve">Made in EU </w:t>
            </w:r>
            <w:r w:rsidR="00CF5596">
              <w:rPr>
                <w:noProof/>
              </w:rPr>
              <w:t>requirements of at least</w:t>
            </w:r>
            <w:r>
              <w:rPr>
                <w:noProof/>
              </w:rPr>
              <w:t xml:space="preserve"> </w:t>
            </w:r>
            <w:r w:rsidR="00522DEE">
              <w:rPr>
                <w:noProof/>
              </w:rPr>
              <w:t>three components at one year after</w:t>
            </w:r>
            <w:r w:rsidR="00CF5596">
              <w:rPr>
                <w:noProof/>
              </w:rPr>
              <w:t xml:space="preserve"> </w:t>
            </w:r>
            <w:r>
              <w:rPr>
                <w:noProof/>
              </w:rPr>
              <w:t>entry into force</w:t>
            </w:r>
            <w:r w:rsidR="00297451">
              <w:rPr>
                <w:noProof/>
              </w:rPr>
              <w:t xml:space="preserve">, including </w:t>
            </w:r>
            <w:r w:rsidR="00AD00C9">
              <w:rPr>
                <w:noProof/>
              </w:rPr>
              <w:t xml:space="preserve">the </w:t>
            </w:r>
            <w:r w:rsidR="00100BA0">
              <w:rPr>
                <w:noProof/>
              </w:rPr>
              <w:t xml:space="preserve"> </w:t>
            </w:r>
            <w:r w:rsidR="00AD00C9">
              <w:rPr>
                <w:noProof/>
              </w:rPr>
              <w:t>BMS</w:t>
            </w:r>
            <w:r>
              <w:rPr>
                <w:noProof/>
              </w:rPr>
              <w:t xml:space="preserve">; increasing </w:t>
            </w:r>
            <w:r w:rsidR="00DB6287">
              <w:rPr>
                <w:noProof/>
              </w:rPr>
              <w:t>to 6</w:t>
            </w:r>
            <w:r w:rsidR="003F49F6">
              <w:rPr>
                <w:noProof/>
              </w:rPr>
              <w:t xml:space="preserve"> components</w:t>
            </w:r>
            <w:r>
              <w:rPr>
                <w:noProof/>
              </w:rPr>
              <w:t xml:space="preserve"> </w:t>
            </w:r>
            <w:r w:rsidR="00DB6287">
              <w:rPr>
                <w:noProof/>
              </w:rPr>
              <w:t xml:space="preserve">after </w:t>
            </w:r>
            <w:r w:rsidR="001B262E">
              <w:rPr>
                <w:noProof/>
              </w:rPr>
              <w:t>three years of entry into force</w:t>
            </w:r>
            <w:r w:rsidR="007213C2">
              <w:rPr>
                <w:noProof/>
              </w:rPr>
              <w:t>, including the battery cell</w:t>
            </w:r>
            <w:r>
              <w:rPr>
                <w:noProof/>
              </w:rPr>
              <w:t xml:space="preserve"> </w:t>
            </w:r>
            <w:r w:rsidR="001B262E">
              <w:rPr>
                <w:noProof/>
              </w:rPr>
              <w:t>and the CAM</w:t>
            </w:r>
            <w:r>
              <w:rPr>
                <w:noProof/>
              </w:rPr>
              <w:t xml:space="preserve">. </w:t>
            </w:r>
          </w:p>
        </w:tc>
      </w:tr>
      <w:bookmarkEnd w:id="671"/>
    </w:tbl>
    <w:p w14:paraId="4C9CD465" w14:textId="77777777" w:rsidR="00020031" w:rsidRPr="00FF63D1" w:rsidRDefault="00020031" w:rsidP="005661DC">
      <w:pPr>
        <w:rPr>
          <w:noProof/>
        </w:rPr>
      </w:pPr>
    </w:p>
    <w:p w14:paraId="5A579B43" w14:textId="77777777" w:rsidR="003F7ED8" w:rsidRPr="00FF63D1" w:rsidRDefault="003F7ED8" w:rsidP="005106C3">
      <w:pPr>
        <w:spacing w:after="120"/>
        <w:rPr>
          <w:rFonts w:eastAsia="Times New Roman"/>
          <w:i/>
          <w:noProof/>
        </w:rPr>
      </w:pPr>
      <w:r w:rsidRPr="00FF63D1">
        <w:rPr>
          <w:rFonts w:eastAsia="Times New Roman"/>
          <w:i/>
          <w:noProof/>
        </w:rPr>
        <w:t>Targets</w:t>
      </w:r>
    </w:p>
    <w:p w14:paraId="1A4EB38F" w14:textId="33B3F7CE" w:rsidR="003F7ED8" w:rsidRPr="00FF63D1" w:rsidRDefault="6906476A" w:rsidP="005106C3">
      <w:pPr>
        <w:spacing w:after="120"/>
        <w:rPr>
          <w:noProof/>
        </w:rPr>
      </w:pPr>
      <w:r w:rsidRPr="00FF63D1">
        <w:rPr>
          <w:noProof/>
        </w:rPr>
        <w:t>The targets set are based on projected installed capacity for battery components, derived from industry announcements</w:t>
      </w:r>
      <w:r w:rsidR="00E060C8" w:rsidRPr="00FF63D1">
        <w:rPr>
          <w:rStyle w:val="FootnoteReference"/>
          <w:noProof/>
        </w:rPr>
        <w:footnoteReference w:id="575"/>
      </w:r>
      <w:r w:rsidRPr="00FF63D1">
        <w:rPr>
          <w:noProof/>
        </w:rPr>
        <w:t xml:space="preserve">, and compared against total European demand EVs and BESS batteries. This approach is conservative, as </w:t>
      </w:r>
      <w:r w:rsidR="047DB8F4">
        <w:rPr>
          <w:noProof/>
        </w:rPr>
        <w:t xml:space="preserve">Made in EU </w:t>
      </w:r>
      <w:r w:rsidRPr="00FF63D1">
        <w:rPr>
          <w:noProof/>
        </w:rPr>
        <w:t>requirements will not apply to the entire demand of EV and BESS batteries.</w:t>
      </w:r>
      <w:r w:rsidR="07AF1D8A" w:rsidRPr="00FF63D1">
        <w:rPr>
          <w:noProof/>
        </w:rPr>
        <w:t xml:space="preserve"> Additionally, all projects currently on-hold have not been accounted for.</w:t>
      </w:r>
    </w:p>
    <w:p w14:paraId="584B21D5" w14:textId="306D5E2E" w:rsidR="003F7ED8" w:rsidRPr="00E71388" w:rsidRDefault="003F7ED8" w:rsidP="005106C3">
      <w:pPr>
        <w:spacing w:after="120"/>
        <w:rPr>
          <w:i/>
          <w:noProof/>
        </w:rPr>
      </w:pPr>
      <w:r w:rsidRPr="00E71388">
        <w:rPr>
          <w:i/>
          <w:noProof/>
        </w:rPr>
        <w:t>Midstream</w:t>
      </w:r>
      <w:r w:rsidR="00B71F82" w:rsidRPr="00E71388">
        <w:rPr>
          <w:i/>
          <w:noProof/>
        </w:rPr>
        <w:t xml:space="preserve"> value chain</w:t>
      </w:r>
    </w:p>
    <w:p w14:paraId="555DBAA6" w14:textId="4893C82C" w:rsidR="003F7ED8" w:rsidRPr="00FF63D1" w:rsidRDefault="6906476A" w:rsidP="005106C3">
      <w:pPr>
        <w:spacing w:after="120"/>
        <w:rPr>
          <w:noProof/>
        </w:rPr>
      </w:pPr>
      <w:r w:rsidRPr="1A2A8689">
        <w:rPr>
          <w:b/>
          <w:bCs/>
          <w:noProof/>
        </w:rPr>
        <w:t>Battery cells</w:t>
      </w:r>
      <w:r w:rsidRPr="00FF63D1">
        <w:rPr>
          <w:noProof/>
        </w:rPr>
        <w:t xml:space="preserve"> will become a mandatory requirement for EVs one year after entry into force. For BESS, the </w:t>
      </w:r>
      <w:r w:rsidR="036770A3" w:rsidRPr="00FF63D1">
        <w:rPr>
          <w:noProof/>
        </w:rPr>
        <w:t xml:space="preserve">mandatory </w:t>
      </w:r>
      <w:r w:rsidRPr="00FF63D1">
        <w:rPr>
          <w:noProof/>
        </w:rPr>
        <w:t xml:space="preserve">requirement </w:t>
      </w:r>
      <w:r w:rsidR="0C8E77E3" w:rsidRPr="00FF63D1">
        <w:rPr>
          <w:noProof/>
        </w:rPr>
        <w:t>for battery cell</w:t>
      </w:r>
      <w:r w:rsidR="16CF0FD9" w:rsidRPr="00FF63D1">
        <w:rPr>
          <w:noProof/>
        </w:rPr>
        <w:t>s</w:t>
      </w:r>
      <w:r w:rsidRPr="00FF63D1">
        <w:rPr>
          <w:noProof/>
        </w:rPr>
        <w:t xml:space="preserve"> will apply once a robust EU-based battery cell manufacturing capacity for stationary storage is established for which </w:t>
      </w:r>
      <w:r w:rsidR="2B981894" w:rsidRPr="00FF63D1">
        <w:rPr>
          <w:noProof/>
        </w:rPr>
        <w:t xml:space="preserve">further </w:t>
      </w:r>
      <w:r w:rsidRPr="00FF63D1">
        <w:rPr>
          <w:noProof/>
        </w:rPr>
        <w:t xml:space="preserve">investments will be needed. In 2027 and 2028, projected installed battery cell capacity is expected to reach 379 GWh and 504 GWh, respectively. This would be sufficient to meet 93% and 98% of the combined internal demand for EVs and BESS. Specifically, EV battery demand is projected to reach 353 GWh in 2027 and 453 GWh in 2028, meaning that installed capacity alone could fully meet EV demand in both years. These figures include operational, under-construction, and announced projects. Even if announced projects are excluded, the remaining operational, including expansions, and under-construction capacity would still cover 93% and 98% in 2027 and 2028 of EV demand. </w:t>
      </w:r>
      <w:r w:rsidR="7E9C5B5E" w:rsidRPr="00FF63D1">
        <w:rPr>
          <w:noProof/>
        </w:rPr>
        <w:t>The</w:t>
      </w:r>
      <w:r w:rsidR="5E52F9C1" w:rsidRPr="00FF63D1">
        <w:rPr>
          <w:noProof/>
        </w:rPr>
        <w:t xml:space="preserve"> installed production capacity of the</w:t>
      </w:r>
      <w:r w:rsidR="7E9C5B5E" w:rsidRPr="00FF63D1">
        <w:rPr>
          <w:noProof/>
        </w:rPr>
        <w:t xml:space="preserve"> EU plus</w:t>
      </w:r>
      <w:r w:rsidRPr="00FF63D1">
        <w:rPr>
          <w:noProof/>
        </w:rPr>
        <w:t xml:space="preserve"> the EEA</w:t>
      </w:r>
      <w:r w:rsidR="7E9C5B5E" w:rsidRPr="00FF63D1">
        <w:rPr>
          <w:noProof/>
        </w:rPr>
        <w:t xml:space="preserve"> countries</w:t>
      </w:r>
      <w:r w:rsidRPr="00FF63D1">
        <w:rPr>
          <w:noProof/>
        </w:rPr>
        <w:t xml:space="preserve"> could already cover 97% of EV demand in 2027 and 103% in 2028. Looking ahead, battery cell capacity including announced projects is expected to meet 108% of total EV and BESS demand by 2029. If announced projects are excluded, this threshold would be reached by 2030, with installed capacity covering 103% of total demand.</w:t>
      </w:r>
      <w:r w:rsidR="003F7ED8" w:rsidRPr="00FF63D1">
        <w:rPr>
          <w:rStyle w:val="FootnoteReference"/>
          <w:noProof/>
        </w:rPr>
        <w:footnoteReference w:id="576"/>
      </w:r>
      <w:r w:rsidRPr="00FF63D1">
        <w:rPr>
          <w:noProof/>
        </w:rPr>
        <w:t xml:space="preserve"> Although the EU is approaching self-sufficiency in this segment</w:t>
      </w:r>
      <w:r w:rsidR="5440B986" w:rsidRPr="00FF63D1">
        <w:rPr>
          <w:noProof/>
        </w:rPr>
        <w:t>, it</w:t>
      </w:r>
      <w:r w:rsidRPr="00FF63D1">
        <w:rPr>
          <w:noProof/>
        </w:rPr>
        <w:t xml:space="preserve"> is still reliant on imports </w:t>
      </w:r>
      <w:r w:rsidR="5440B986" w:rsidRPr="00FF63D1">
        <w:rPr>
          <w:noProof/>
        </w:rPr>
        <w:t>and</w:t>
      </w:r>
      <w:r w:rsidRPr="00FF63D1">
        <w:rPr>
          <w:noProof/>
        </w:rPr>
        <w:t xml:space="preserve"> additional </w:t>
      </w:r>
      <w:r w:rsidR="5440B986" w:rsidRPr="00FF63D1">
        <w:rPr>
          <w:noProof/>
        </w:rPr>
        <w:t>investments will</w:t>
      </w:r>
      <w:r w:rsidRPr="00FF63D1">
        <w:rPr>
          <w:noProof/>
        </w:rPr>
        <w:t xml:space="preserve"> still </w:t>
      </w:r>
      <w:r w:rsidR="6DA92DFF" w:rsidRPr="00FF63D1">
        <w:rPr>
          <w:noProof/>
        </w:rPr>
        <w:t xml:space="preserve">be </w:t>
      </w:r>
      <w:r w:rsidRPr="00FF63D1">
        <w:rPr>
          <w:noProof/>
        </w:rPr>
        <w:t>necessary</w:t>
      </w:r>
      <w:r w:rsidR="52D2379D" w:rsidRPr="00FF63D1">
        <w:rPr>
          <w:noProof/>
        </w:rPr>
        <w:t xml:space="preserve"> to keep up with demand increases</w:t>
      </w:r>
      <w:r w:rsidR="7F07AC20" w:rsidRPr="00FF63D1">
        <w:rPr>
          <w:noProof/>
        </w:rPr>
        <w:t xml:space="preserve"> and the development of next-gen batteries</w:t>
      </w:r>
      <w:r w:rsidRPr="00FF63D1">
        <w:rPr>
          <w:noProof/>
        </w:rPr>
        <w:t>.</w:t>
      </w:r>
    </w:p>
    <w:p w14:paraId="12D59BE4" w14:textId="603D6323" w:rsidR="003F7ED8" w:rsidRPr="00E71388" w:rsidRDefault="003F7ED8" w:rsidP="005106C3">
      <w:pPr>
        <w:spacing w:after="120"/>
        <w:rPr>
          <w:i/>
          <w:noProof/>
        </w:rPr>
      </w:pPr>
      <w:r w:rsidRPr="00E71388">
        <w:rPr>
          <w:i/>
          <w:noProof/>
        </w:rPr>
        <w:t>Upstream</w:t>
      </w:r>
      <w:r w:rsidR="00B71F82" w:rsidRPr="00E71388">
        <w:rPr>
          <w:i/>
          <w:noProof/>
        </w:rPr>
        <w:t xml:space="preserve"> value chai</w:t>
      </w:r>
      <w:r w:rsidR="00B71F82" w:rsidRPr="00FF63D1">
        <w:rPr>
          <w:i/>
          <w:noProof/>
        </w:rPr>
        <w:t>n</w:t>
      </w:r>
    </w:p>
    <w:p w14:paraId="27CA2237" w14:textId="77777777" w:rsidR="003F7ED8" w:rsidRPr="00FF63D1" w:rsidRDefault="6906476A" w:rsidP="005106C3">
      <w:pPr>
        <w:spacing w:after="120"/>
        <w:rPr>
          <w:noProof/>
        </w:rPr>
      </w:pPr>
      <w:r w:rsidRPr="00FF63D1">
        <w:rPr>
          <w:noProof/>
        </w:rPr>
        <w:t xml:space="preserve">Unlike battery cells, many CAM and AAM projects are still at the announcement stage. In 2027 and 2028, total </w:t>
      </w:r>
      <w:r w:rsidRPr="1A2A8689">
        <w:rPr>
          <w:b/>
          <w:bCs/>
          <w:noProof/>
        </w:rPr>
        <w:t xml:space="preserve">CAM </w:t>
      </w:r>
      <w:r w:rsidRPr="00FF63D1">
        <w:rPr>
          <w:noProof/>
        </w:rPr>
        <w:t xml:space="preserve">capacity is expected to reach 587 GWh and 797 GWh, covering 144% and 154% of demand. However, when considering only operational, including expansions, and under-construction projects, coverage drops to 99% and 89%. By 2030, total CAM capacity would cover 119% of demand, but only 77% if announced projects are excluded. For </w:t>
      </w:r>
      <w:r w:rsidRPr="1A2A8689">
        <w:rPr>
          <w:b/>
          <w:bCs/>
          <w:noProof/>
        </w:rPr>
        <w:t>AAM</w:t>
      </w:r>
      <w:r w:rsidRPr="00FF63D1">
        <w:rPr>
          <w:noProof/>
        </w:rPr>
        <w:t>, total projected capacity reaches 255 GWh and 411 GWh in 2027 and 2028, covering 62% and 80% of demand. Yet, operational and under-construction capacity only covers 12% and 14%, respectively. By 2030, total capacity would cover 60% of demand, while operational and under-construction projects would only reach 9%.</w:t>
      </w:r>
      <w:r w:rsidR="003F7ED8" w:rsidRPr="00FF63D1">
        <w:rPr>
          <w:rStyle w:val="FootnoteReference"/>
          <w:noProof/>
        </w:rPr>
        <w:footnoteReference w:id="577"/>
      </w:r>
    </w:p>
    <w:p w14:paraId="108F6E27" w14:textId="77777777" w:rsidR="003F7ED8" w:rsidRPr="00FF63D1" w:rsidRDefault="6906476A" w:rsidP="005106C3">
      <w:pPr>
        <w:spacing w:after="120"/>
        <w:rPr>
          <w:noProof/>
        </w:rPr>
      </w:pPr>
      <w:r w:rsidRPr="1A2A8689">
        <w:rPr>
          <w:b/>
          <w:bCs/>
          <w:noProof/>
        </w:rPr>
        <w:t>Separator and electrolyte</w:t>
      </w:r>
      <w:r w:rsidRPr="00FF63D1">
        <w:rPr>
          <w:noProof/>
        </w:rPr>
        <w:t xml:space="preserve"> capacity is concentrated in a few large-scale projects. Separator capacity is expected to meet 102% of demand by 2030, while electrolyte capacity covers 100% of demand in 2025 and 57% by 2030, indicating a lack of long-term investments.</w:t>
      </w:r>
      <w:r w:rsidR="003F7ED8" w:rsidRPr="00FF63D1">
        <w:rPr>
          <w:rStyle w:val="FootnoteReference"/>
          <w:noProof/>
        </w:rPr>
        <w:footnoteReference w:id="578"/>
      </w:r>
    </w:p>
    <w:p w14:paraId="27B0B01E" w14:textId="0392BDFF" w:rsidR="003F7ED8" w:rsidRPr="005106C3" w:rsidRDefault="003F7ED8" w:rsidP="005106C3">
      <w:pPr>
        <w:spacing w:after="120"/>
        <w:rPr>
          <w:i/>
          <w:noProof/>
        </w:rPr>
      </w:pPr>
      <w:r w:rsidRPr="005106C3">
        <w:rPr>
          <w:i/>
          <w:noProof/>
        </w:rPr>
        <w:t>Downstream</w:t>
      </w:r>
      <w:r w:rsidR="00B71F82" w:rsidRPr="005106C3">
        <w:rPr>
          <w:i/>
          <w:noProof/>
        </w:rPr>
        <w:t xml:space="preserve"> value chain</w:t>
      </w:r>
    </w:p>
    <w:p w14:paraId="40612AC4" w14:textId="0122749D" w:rsidR="003F7ED8" w:rsidRPr="00FF63D1" w:rsidRDefault="6906476A" w:rsidP="005106C3">
      <w:pPr>
        <w:spacing w:after="120"/>
        <w:rPr>
          <w:noProof/>
        </w:rPr>
      </w:pPr>
      <w:r w:rsidRPr="1A2A8689">
        <w:rPr>
          <w:b/>
          <w:bCs/>
          <w:noProof/>
        </w:rPr>
        <w:t>Battery pack and battery module</w:t>
      </w:r>
      <w:r w:rsidRPr="00FF63D1">
        <w:rPr>
          <w:noProof/>
        </w:rPr>
        <w:t xml:space="preserve"> capacity in the EU battery module is distributed and developed across Europe, with many </w:t>
      </w:r>
      <w:r w:rsidR="0BFFD7EA" w:rsidRPr="00FF63D1">
        <w:rPr>
          <w:noProof/>
        </w:rPr>
        <w:t xml:space="preserve">automotive </w:t>
      </w:r>
      <w:r w:rsidRPr="00FF63D1">
        <w:rPr>
          <w:noProof/>
        </w:rPr>
        <w:t xml:space="preserve">OEM manufacturers handling these processes locally. The EU’s capacity for pack assembly currently </w:t>
      </w:r>
      <w:r w:rsidR="65BBB23E" w:rsidRPr="00FF63D1">
        <w:rPr>
          <w:noProof/>
        </w:rPr>
        <w:t>stands over 102 GWh</w:t>
      </w:r>
      <w:r w:rsidR="00650A58" w:rsidRPr="00FF63D1">
        <w:rPr>
          <w:rStyle w:val="FootnoteReference"/>
          <w:noProof/>
        </w:rPr>
        <w:footnoteReference w:id="579"/>
      </w:r>
      <w:r w:rsidR="65BBB23E" w:rsidRPr="00FF63D1">
        <w:rPr>
          <w:noProof/>
        </w:rPr>
        <w:t xml:space="preserve">, </w:t>
      </w:r>
      <w:r w:rsidR="5940AC72" w:rsidRPr="00FF63D1">
        <w:rPr>
          <w:noProof/>
        </w:rPr>
        <w:t>which includes approximately 54.8 GWh dedicated to EV-only applications, 11 GWh</w:t>
      </w:r>
      <w:r w:rsidRPr="00FF63D1">
        <w:rPr>
          <w:noProof/>
        </w:rPr>
        <w:t xml:space="preserve"> for </w:t>
      </w:r>
      <w:r w:rsidR="467C7B41" w:rsidRPr="00FF63D1">
        <w:rPr>
          <w:noProof/>
        </w:rPr>
        <w:t>BESS</w:t>
      </w:r>
      <w:r w:rsidR="5940AC72" w:rsidRPr="00FF63D1">
        <w:rPr>
          <w:noProof/>
        </w:rPr>
        <w:t>-only systems,</w:t>
      </w:r>
      <w:r w:rsidRPr="00FF63D1">
        <w:rPr>
          <w:noProof/>
        </w:rPr>
        <w:t xml:space="preserve"> and </w:t>
      </w:r>
      <w:r w:rsidR="5940AC72" w:rsidRPr="00FF63D1">
        <w:rPr>
          <w:noProof/>
        </w:rPr>
        <w:t>37 GWh for mixed-use applications (</w:t>
      </w:r>
      <w:r w:rsidRPr="00FF63D1">
        <w:rPr>
          <w:noProof/>
        </w:rPr>
        <w:t xml:space="preserve">both </w:t>
      </w:r>
      <w:r w:rsidR="5940AC72" w:rsidRPr="00FF63D1">
        <w:rPr>
          <w:noProof/>
        </w:rPr>
        <w:t xml:space="preserve">EV and </w:t>
      </w:r>
      <w:r w:rsidR="524F41B0" w:rsidRPr="00FF63D1">
        <w:rPr>
          <w:noProof/>
        </w:rPr>
        <w:t>stationery</w:t>
      </w:r>
      <w:r w:rsidR="5940AC72" w:rsidRPr="00FF63D1">
        <w:rPr>
          <w:noProof/>
        </w:rPr>
        <w:t xml:space="preserve">). In addition, another 316 GWh </w:t>
      </w:r>
      <w:r w:rsidR="2E09A06D" w:rsidRPr="00FF63D1">
        <w:rPr>
          <w:noProof/>
        </w:rPr>
        <w:t>are</w:t>
      </w:r>
      <w:r w:rsidRPr="00FF63D1">
        <w:rPr>
          <w:noProof/>
        </w:rPr>
        <w:t xml:space="preserve"> currently </w:t>
      </w:r>
      <w:r w:rsidR="5940AC72" w:rsidRPr="00FF63D1">
        <w:rPr>
          <w:noProof/>
        </w:rPr>
        <w:t>in the pipeline</w:t>
      </w:r>
      <w:r w:rsidR="0B975194" w:rsidRPr="00FF63D1">
        <w:rPr>
          <w:noProof/>
        </w:rPr>
        <w:t xml:space="preserve">, comprising 268.45 GWh for EV-only applications, 8 GWh for </w:t>
      </w:r>
      <w:r w:rsidR="467C7B41" w:rsidRPr="00FF63D1">
        <w:rPr>
          <w:noProof/>
        </w:rPr>
        <w:t>BESS</w:t>
      </w:r>
      <w:r w:rsidR="0B975194" w:rsidRPr="00FF63D1">
        <w:rPr>
          <w:noProof/>
        </w:rPr>
        <w:t>-only systems,</w:t>
      </w:r>
      <w:r w:rsidRPr="00FF63D1">
        <w:rPr>
          <w:noProof/>
        </w:rPr>
        <w:t xml:space="preserve"> and </w:t>
      </w:r>
      <w:r w:rsidR="0B975194" w:rsidRPr="00FF63D1">
        <w:rPr>
          <w:noProof/>
        </w:rPr>
        <w:t>40 GWh for mixed-use applications</w:t>
      </w:r>
      <w:r w:rsidR="002746CD">
        <w:rPr>
          <w:noProof/>
        </w:rPr>
        <w:t>.</w:t>
      </w:r>
      <w:r w:rsidR="00DD2271" w:rsidRPr="00FF63D1">
        <w:rPr>
          <w:rStyle w:val="FootnoteReference"/>
          <w:noProof/>
        </w:rPr>
        <w:footnoteReference w:id="580"/>
      </w:r>
      <w:r w:rsidRPr="00FF63D1">
        <w:rPr>
          <w:noProof/>
        </w:rPr>
        <w:t xml:space="preserve"> Any </w:t>
      </w:r>
      <w:r w:rsidR="047DB8F4">
        <w:rPr>
          <w:noProof/>
        </w:rPr>
        <w:t>Made in EU</w:t>
      </w:r>
      <w:r w:rsidRPr="00FF63D1">
        <w:rPr>
          <w:noProof/>
        </w:rPr>
        <w:t xml:space="preserve"> requirement on cells will most likely lead to modules and packs also being manufactured within the EU, since they have to include the EU-made cells in the final product. Additionally, the EU counts with a significant number of companies producing </w:t>
      </w:r>
      <w:r w:rsidRPr="1A2A8689">
        <w:rPr>
          <w:b/>
          <w:bCs/>
          <w:noProof/>
        </w:rPr>
        <w:t>BMS</w:t>
      </w:r>
      <w:r w:rsidRPr="00FF63D1">
        <w:rPr>
          <w:noProof/>
        </w:rPr>
        <w:t>, at least 32</w:t>
      </w:r>
      <w:r w:rsidR="003F7ED8" w:rsidRPr="00FF63D1">
        <w:rPr>
          <w:rStyle w:val="FootnoteReference"/>
          <w:noProof/>
        </w:rPr>
        <w:footnoteReference w:id="581"/>
      </w:r>
      <w:r w:rsidRPr="002746CD">
        <w:rPr>
          <w:noProof/>
        </w:rPr>
        <w:t>,</w:t>
      </w:r>
      <w:r w:rsidRPr="1A2A8689">
        <w:rPr>
          <w:b/>
          <w:bCs/>
          <w:noProof/>
        </w:rPr>
        <w:t xml:space="preserve"> </w:t>
      </w:r>
      <w:r w:rsidRPr="00FF63D1">
        <w:rPr>
          <w:noProof/>
        </w:rPr>
        <w:t>and</w:t>
      </w:r>
      <w:r w:rsidRPr="1A2A8689">
        <w:rPr>
          <w:b/>
          <w:bCs/>
          <w:noProof/>
        </w:rPr>
        <w:t xml:space="preserve"> BTMS, </w:t>
      </w:r>
      <w:r w:rsidRPr="00FF63D1">
        <w:rPr>
          <w:noProof/>
        </w:rPr>
        <w:t>with two EU-based firms ranked among the five largest globally</w:t>
      </w:r>
      <w:r w:rsidR="003F7ED8" w:rsidRPr="00FF63D1">
        <w:rPr>
          <w:rStyle w:val="FootnoteReference"/>
          <w:noProof/>
        </w:rPr>
        <w:footnoteReference w:id="582"/>
      </w:r>
      <w:r w:rsidRPr="00FF63D1">
        <w:rPr>
          <w:noProof/>
        </w:rPr>
        <w:t>, spanning over 10 Member States and providing solutions both for EVs and BESS.</w:t>
      </w:r>
    </w:p>
    <w:p w14:paraId="1B20D333" w14:textId="344BAF26" w:rsidR="00AC367B" w:rsidRPr="00FF63D1" w:rsidRDefault="5A21D8CB" w:rsidP="005106C3">
      <w:pPr>
        <w:spacing w:after="120"/>
        <w:rPr>
          <w:noProof/>
        </w:rPr>
      </w:pPr>
      <w:bookmarkStart w:id="672" w:name="_Hlk207094265"/>
      <w:r w:rsidRPr="00FF63D1">
        <w:rPr>
          <w:noProof/>
        </w:rPr>
        <w:t>In terms of production costs, the EU battery industry reflects a mix of start-ups still refining their manufacturing processes and well-established companies with existing overseas operations. Production costs between these companies vary depending on their level of maturity and stage in their ramp up phase. Currently, battery manufacturing in the EU is generally more expensive than in markets like China or the United States. This is primarily due to lower levels of manufacturing subsidies</w:t>
      </w:r>
      <w:r w:rsidR="00AC367B" w:rsidRPr="00FF63D1">
        <w:rPr>
          <w:rStyle w:val="FootnoteReference"/>
          <w:noProof/>
        </w:rPr>
        <w:footnoteReference w:id="583"/>
      </w:r>
      <w:r w:rsidRPr="00FF63D1">
        <w:rPr>
          <w:noProof/>
        </w:rPr>
        <w:t>, elevated material prices for which the EU is dependent on third countries, which account for 55% of the production costs, and higher energy and labour costs, which account for 15% and 13% of production costs, respectively</w:t>
      </w:r>
      <w:r w:rsidR="002746CD">
        <w:rPr>
          <w:noProof/>
        </w:rPr>
        <w:t>.</w:t>
      </w:r>
      <w:r w:rsidR="00AC367B" w:rsidRPr="00FF63D1">
        <w:rPr>
          <w:rStyle w:val="FootnoteReference"/>
          <w:noProof/>
        </w:rPr>
        <w:footnoteReference w:id="584"/>
      </w:r>
      <w:bookmarkEnd w:id="672"/>
    </w:p>
    <w:p w14:paraId="707A2814" w14:textId="3586A1F4" w:rsidR="00AC367B" w:rsidRPr="00FF63D1" w:rsidRDefault="5A21D8CB" w:rsidP="005106C3">
      <w:pPr>
        <w:spacing w:after="120"/>
        <w:rPr>
          <w:noProof/>
        </w:rPr>
      </w:pPr>
      <w:r w:rsidRPr="00FF63D1">
        <w:rPr>
          <w:noProof/>
        </w:rPr>
        <w:t>In 2023, on average, European battery production costs</w:t>
      </w:r>
      <w:r w:rsidR="00AC367B" w:rsidRPr="00FF63D1">
        <w:rPr>
          <w:rStyle w:val="FootnoteReference"/>
          <w:noProof/>
        </w:rPr>
        <w:footnoteReference w:id="585"/>
      </w:r>
      <w:r w:rsidRPr="00FF63D1">
        <w:rPr>
          <w:noProof/>
        </w:rPr>
        <w:t>, were almost 50% higher than in China for the same chemistry. However, there is potential for innovation in the battery manufacturing sector in the EU which could cut the cost gap with China by 40%</w:t>
      </w:r>
      <w:r w:rsidR="002746CD">
        <w:rPr>
          <w:noProof/>
        </w:rPr>
        <w:t>.</w:t>
      </w:r>
      <w:r w:rsidR="00AC367B" w:rsidRPr="00FF63D1">
        <w:rPr>
          <w:rStyle w:val="FootnoteReference"/>
          <w:noProof/>
        </w:rPr>
        <w:footnoteReference w:id="586"/>
      </w:r>
      <w:r w:rsidRPr="00FF63D1">
        <w:rPr>
          <w:noProof/>
        </w:rPr>
        <w:t xml:space="preserve"> Additionally, economies of scale are essential for producing batteries competitively, as battery production, driven by fierce cost competition and global overcapacities, is often a low margin business that requires extreme precision and efficiency, and therefore high yields and automation</w:t>
      </w:r>
      <w:r w:rsidR="002746CD">
        <w:rPr>
          <w:noProof/>
        </w:rPr>
        <w:t>.</w:t>
      </w:r>
      <w:r w:rsidR="00AC367B" w:rsidRPr="00FF63D1">
        <w:rPr>
          <w:rStyle w:val="FootnoteReference"/>
          <w:noProof/>
        </w:rPr>
        <w:footnoteReference w:id="587"/>
      </w:r>
      <w:r w:rsidRPr="00FF63D1">
        <w:rPr>
          <w:noProof/>
        </w:rPr>
        <w:t xml:space="preserve"> This underscores the strategic importance of rapidly scaling up European production to be able to reduce the cost gap with overseas markets. It is estimated that an EU based battery cell manufacturer could reach a 26% cost difference when producing the same battery chemistry under the same conditions and using localised CAM and AAM</w:t>
      </w:r>
      <w:r w:rsidR="00810279">
        <w:rPr>
          <w:noProof/>
        </w:rPr>
        <w:t>.</w:t>
      </w:r>
      <w:r w:rsidR="00AC367B" w:rsidRPr="00FF63D1">
        <w:rPr>
          <w:rStyle w:val="FootnoteReference"/>
          <w:noProof/>
        </w:rPr>
        <w:footnoteReference w:id="588"/>
      </w:r>
      <w:r w:rsidRPr="00FF63D1">
        <w:rPr>
          <w:noProof/>
        </w:rPr>
        <w:t xml:space="preserve"> Battery cells, and its components, remain the most expensive part of a battery, amounting to around 68% of the total costs in 2024. These estimates do not account for additional factors such as higher logistics costs from China, import tariffs, and higher profit margins outside the EU. In fact, import costs represent around 10% of the total costs of imported batteries</w:t>
      </w:r>
      <w:r w:rsidR="00810279">
        <w:rPr>
          <w:noProof/>
        </w:rPr>
        <w:t>.</w:t>
      </w:r>
      <w:r w:rsidR="00AC367B" w:rsidRPr="00FF63D1">
        <w:rPr>
          <w:rStyle w:val="FootnoteReference"/>
          <w:noProof/>
        </w:rPr>
        <w:footnoteReference w:id="589"/>
      </w:r>
    </w:p>
    <w:p w14:paraId="09D2D85E" w14:textId="37F60BCF" w:rsidR="001D57CF" w:rsidRPr="00FF63D1" w:rsidRDefault="003F7ED8" w:rsidP="005106C3">
      <w:pPr>
        <w:spacing w:after="120"/>
        <w:rPr>
          <w:noProof/>
        </w:rPr>
      </w:pPr>
      <w:r w:rsidRPr="00FF63D1">
        <w:rPr>
          <w:noProof/>
        </w:rPr>
        <w:t>While certain steps of the battery value chain are more developed, the EU battery ecosystem already has production capacity across the entire value chain, and this capacity is expected to grow significantly in the coming years. The targets are designed to allow for flexibility while ensuring that critical components are manufactured within the EU. These targets will help ensure that current industry announcements materialize, while also attracting additional investment into the sector, particularly in battery technologies and chemistries that require greater development within the EU.</w:t>
      </w:r>
      <w:r w:rsidR="00522106" w:rsidRPr="00FF63D1">
        <w:rPr>
          <w:noProof/>
        </w:rPr>
        <w:t xml:space="preserve"> </w:t>
      </w:r>
    </w:p>
    <w:p w14:paraId="4109F0FB" w14:textId="6031B226" w:rsidR="003F7ED8" w:rsidRPr="00FF63D1" w:rsidRDefault="00020031" w:rsidP="003F7ED8">
      <w:pPr>
        <w:rPr>
          <w:noProof/>
        </w:rPr>
      </w:pPr>
      <w:r w:rsidRPr="00FF63D1">
        <w:rPr>
          <w:rFonts w:eastAsia="Times New Roman"/>
          <w:b/>
          <w:noProof/>
          <w:lang w:eastAsia="en-GB"/>
        </w:rPr>
        <w:t xml:space="preserve">LEAD_BAT 2 - </w:t>
      </w:r>
      <w:r w:rsidR="000B3C9C">
        <w:rPr>
          <w:rFonts w:eastAsia="Times New Roman"/>
          <w:b/>
          <w:noProof/>
          <w:lang w:eastAsia="en-GB"/>
        </w:rPr>
        <w:t xml:space="preserve">Made in EU </w:t>
      </w:r>
      <w:r w:rsidR="00724C96" w:rsidRPr="00FF63D1">
        <w:rPr>
          <w:rFonts w:eastAsia="Times New Roman"/>
          <w:b/>
          <w:noProof/>
          <w:lang w:eastAsia="en-GB"/>
        </w:rPr>
        <w:t>requirements in batteries placed on the market</w:t>
      </w:r>
      <w:r w:rsidRPr="00FF63D1">
        <w:rPr>
          <w:rFonts w:eastAsia="Times New Roman"/>
          <w:b/>
          <w:noProof/>
          <w:lang w:eastAsia="en-GB"/>
        </w:rPr>
        <w:t xml:space="preserve"> </w:t>
      </w:r>
    </w:p>
    <w:p w14:paraId="520C7C6D" w14:textId="77777777" w:rsidR="005661DC" w:rsidRPr="00FF63D1" w:rsidRDefault="005661DC" w:rsidP="005661DC">
      <w:pPr>
        <w:rPr>
          <w:rFonts w:eastAsia="Times New Roman"/>
          <w:b/>
          <w:noProof/>
          <w:lang w:eastAsia="en-GB"/>
        </w:rPr>
      </w:pPr>
    </w:p>
    <w:p w14:paraId="3A9BCD93" w14:textId="77777777" w:rsidR="00020031" w:rsidRPr="00FF63D1" w:rsidRDefault="00020031" w:rsidP="005106C3">
      <w:pPr>
        <w:spacing w:after="120"/>
        <w:rPr>
          <w:i/>
          <w:noProof/>
        </w:rPr>
      </w:pPr>
      <w:r w:rsidRPr="00FF63D1">
        <w:rPr>
          <w:i/>
          <w:noProof/>
        </w:rPr>
        <w:t>Scope considerations</w:t>
      </w:r>
    </w:p>
    <w:p w14:paraId="062A53F4" w14:textId="5F88339D" w:rsidR="00020031" w:rsidRPr="00FF63D1" w:rsidRDefault="00020031" w:rsidP="005106C3">
      <w:pPr>
        <w:spacing w:after="120"/>
        <w:rPr>
          <w:noProof/>
        </w:rPr>
      </w:pPr>
      <w:r w:rsidRPr="00FF63D1">
        <w:rPr>
          <w:noProof/>
        </w:rPr>
        <w:t xml:space="preserve">In addition to the measure described in LEAD_BAT 1, this measure would introduce </w:t>
      </w:r>
      <w:r w:rsidR="000B3C9C">
        <w:rPr>
          <w:noProof/>
        </w:rPr>
        <w:t xml:space="preserve">Made in EU </w:t>
      </w:r>
      <w:r w:rsidRPr="00FF63D1">
        <w:rPr>
          <w:noProof/>
        </w:rPr>
        <w:t xml:space="preserve">requirements for batteries used in </w:t>
      </w:r>
      <w:r w:rsidR="003D0422">
        <w:rPr>
          <w:noProof/>
        </w:rPr>
        <w:t>EVs</w:t>
      </w:r>
      <w:r w:rsidRPr="00FF63D1">
        <w:rPr>
          <w:noProof/>
        </w:rPr>
        <w:t xml:space="preserve"> and energy storage systems in</w:t>
      </w:r>
      <w:r w:rsidR="003C5E12">
        <w:rPr>
          <w:noProof/>
        </w:rPr>
        <w:t xml:space="preserve"> </w:t>
      </w:r>
      <w:r w:rsidR="001D1F5D">
        <w:rPr>
          <w:noProof/>
        </w:rPr>
        <w:t>in batteries placed in the market.</w:t>
      </w:r>
      <w:r w:rsidR="005144C1" w:rsidRPr="00FF63D1">
        <w:rPr>
          <w:noProof/>
        </w:rPr>
        <w:t xml:space="preserve"> </w:t>
      </w:r>
      <w:r w:rsidR="00585B33" w:rsidRPr="00FF63D1">
        <w:rPr>
          <w:noProof/>
        </w:rPr>
        <w:t xml:space="preserve">It would establish a market entry requirement for all </w:t>
      </w:r>
      <w:r w:rsidR="00213F2C" w:rsidRPr="00FF63D1">
        <w:rPr>
          <w:noProof/>
        </w:rPr>
        <w:t>EVs,</w:t>
      </w:r>
      <w:r w:rsidR="00585B33" w:rsidRPr="00FF63D1">
        <w:rPr>
          <w:noProof/>
        </w:rPr>
        <w:t xml:space="preserve"> and BESS placed on the EU market.</w:t>
      </w:r>
    </w:p>
    <w:p w14:paraId="5DB286E7" w14:textId="0828FD2C" w:rsidR="00020031" w:rsidRPr="00FF63D1" w:rsidRDefault="00020031" w:rsidP="005661DC">
      <w:pPr>
        <w:rPr>
          <w:rFonts w:eastAsia="Times New Roman"/>
          <w:b/>
          <w:noProof/>
          <w:lang w:eastAsia="en-GB"/>
        </w:rPr>
      </w:pPr>
      <w:r w:rsidRPr="00FF63D1">
        <w:rPr>
          <w:rFonts w:eastAsia="Times New Roman"/>
          <w:b/>
          <w:noProof/>
          <w:lang w:eastAsia="en-GB"/>
        </w:rPr>
        <w:t xml:space="preserve">LEAD_SOL 1 - </w:t>
      </w:r>
      <w:r w:rsidR="000B3C9C">
        <w:rPr>
          <w:rFonts w:eastAsia="Times New Roman"/>
          <w:b/>
          <w:noProof/>
          <w:lang w:eastAsia="en-GB"/>
        </w:rPr>
        <w:t xml:space="preserve">Made in EU </w:t>
      </w:r>
      <w:r w:rsidR="00832D3F" w:rsidRPr="00FF63D1">
        <w:rPr>
          <w:rFonts w:eastAsia="Times New Roman"/>
          <w:b/>
          <w:noProof/>
          <w:lang w:eastAsia="en-GB"/>
        </w:rPr>
        <w:t>requirements in solar for public procurement, auctions, and public support schemes</w:t>
      </w:r>
    </w:p>
    <w:p w14:paraId="262058CB" w14:textId="77777777" w:rsidR="005661DC" w:rsidRPr="00FF63D1" w:rsidRDefault="005661DC" w:rsidP="005661DC">
      <w:pPr>
        <w:rPr>
          <w:rFonts w:eastAsia="Times New Roman"/>
          <w:b/>
          <w:noProof/>
          <w:lang w:eastAsia="en-GB"/>
        </w:rPr>
      </w:pPr>
    </w:p>
    <w:p w14:paraId="24EE4408" w14:textId="2EC160A7" w:rsidR="00020031" w:rsidRPr="00FF63D1" w:rsidRDefault="404A2814" w:rsidP="005106C3">
      <w:pPr>
        <w:spacing w:after="120"/>
        <w:rPr>
          <w:noProof/>
        </w:rPr>
      </w:pPr>
      <w:r w:rsidRPr="00FF63D1">
        <w:rPr>
          <w:noProof/>
        </w:rPr>
        <w:t xml:space="preserve">This measure proposes to cover the entire solar PV value chain, addressing not only the final product but also the key components that comprise it. </w:t>
      </w:r>
      <w:r w:rsidR="3D8EC7F9" w:rsidRPr="00FF63D1">
        <w:rPr>
          <w:noProof/>
        </w:rPr>
        <w:t xml:space="preserve">The provisions are to kick in with entry into force of </w:t>
      </w:r>
      <w:r w:rsidR="2AFE1C82" w:rsidRPr="00FF63D1">
        <w:rPr>
          <w:noProof/>
        </w:rPr>
        <w:t>IAA</w:t>
      </w:r>
      <w:r w:rsidR="3D8EC7F9" w:rsidRPr="00FF63D1">
        <w:rPr>
          <w:noProof/>
        </w:rPr>
        <w:t xml:space="preserve">. </w:t>
      </w:r>
      <w:r w:rsidRPr="00FF63D1">
        <w:rPr>
          <w:noProof/>
        </w:rPr>
        <w:t>The solar PV final products and their key components are defined in the NZIA Implementing Act on main specific components.</w:t>
      </w:r>
      <w:r w:rsidR="00020031" w:rsidRPr="00FF63D1">
        <w:rPr>
          <w:rStyle w:val="FootnoteReference"/>
          <w:noProof/>
        </w:rPr>
        <w:footnoteReference w:id="590"/>
      </w:r>
      <w:r w:rsidRPr="00FF63D1">
        <w:rPr>
          <w:noProof/>
        </w:rPr>
        <w:t xml:space="preserve"> </w:t>
      </w:r>
    </w:p>
    <w:p w14:paraId="63B4A0E6" w14:textId="48EC3102" w:rsidR="00020031" w:rsidRPr="00FF63D1" w:rsidRDefault="00020031" w:rsidP="005106C3">
      <w:pPr>
        <w:spacing w:after="120"/>
        <w:rPr>
          <w:rFonts w:eastAsia="Times New Roman"/>
          <w:noProof/>
        </w:rPr>
      </w:pPr>
      <w:r w:rsidRPr="00FF63D1">
        <w:rPr>
          <w:noProof/>
        </w:rPr>
        <w:t xml:space="preserve">The measure introduces a requirement that solar PV systems and their main components are manufactured in the EU and is designed in alignment with the access to markets provisions as per the </w:t>
      </w:r>
      <w:r w:rsidR="00CA12D8" w:rsidRPr="00FF63D1">
        <w:rPr>
          <w:noProof/>
        </w:rPr>
        <w:t>NZIA</w:t>
      </w:r>
      <w:r w:rsidRPr="00FF63D1">
        <w:rPr>
          <w:rFonts w:eastAsia="Times New Roman"/>
          <w:noProof/>
        </w:rPr>
        <w:t>.</w:t>
      </w:r>
    </w:p>
    <w:p w14:paraId="238D8806" w14:textId="77777777" w:rsidR="00020031" w:rsidRPr="00FF63D1" w:rsidRDefault="404A2814" w:rsidP="005106C3">
      <w:pPr>
        <w:spacing w:after="120"/>
        <w:rPr>
          <w:noProof/>
        </w:rPr>
      </w:pPr>
      <w:r w:rsidRPr="00FF63D1">
        <w:rPr>
          <w:noProof/>
        </w:rPr>
        <w:t>Considering the dependencies related to solar PV technologies</w:t>
      </w:r>
      <w:r w:rsidR="00020031" w:rsidRPr="00FF63D1">
        <w:rPr>
          <w:rStyle w:val="FootnoteReference"/>
          <w:noProof/>
        </w:rPr>
        <w:footnoteReference w:id="591"/>
      </w:r>
      <w:r w:rsidRPr="00FF63D1">
        <w:rPr>
          <w:noProof/>
        </w:rPr>
        <w:t>, the inclusion of countries which are part of the GPA</w:t>
      </w:r>
      <w:r w:rsidR="00020031" w:rsidRPr="00FF63D1">
        <w:rPr>
          <w:rStyle w:val="FootnoteReference"/>
          <w:noProof/>
        </w:rPr>
        <w:footnoteReference w:id="592"/>
      </w:r>
      <w:r w:rsidRPr="00FF63D1">
        <w:rPr>
          <w:noProof/>
        </w:rPr>
        <w:t xml:space="preserve"> or with which the EU has entered an FTA</w:t>
      </w:r>
      <w:r w:rsidR="00020031" w:rsidRPr="00FF63D1">
        <w:rPr>
          <w:rStyle w:val="FootnoteReference"/>
          <w:noProof/>
        </w:rPr>
        <w:footnoteReference w:id="593"/>
      </w:r>
      <w:r w:rsidRPr="00FF63D1">
        <w:rPr>
          <w:noProof/>
        </w:rPr>
        <w:t xml:space="preserve"> (including GPA and FTA countries in the content requirement would significantly reduce the measure’s added value compared to relevant provisions under NZIA. Consequently, this alterative will not be further assessed, and the requirements will focus exclusively on EU content only. </w:t>
      </w:r>
    </w:p>
    <w:p w14:paraId="564BC609" w14:textId="3799D515" w:rsidR="00782D91" w:rsidRPr="00FF63D1" w:rsidRDefault="00782D91" w:rsidP="008A0BFF">
      <w:pPr>
        <w:rPr>
          <w:rFonts w:eastAsia="Times New Roman"/>
          <w:b/>
          <w:noProof/>
          <w:lang w:eastAsia="en-GB"/>
        </w:rPr>
      </w:pPr>
      <w:r w:rsidRPr="00FF63D1">
        <w:rPr>
          <w:rFonts w:eastAsia="Times New Roman"/>
          <w:b/>
          <w:noProof/>
          <w:lang w:eastAsia="en-GB"/>
        </w:rPr>
        <w:t>Choice of measure</w:t>
      </w:r>
    </w:p>
    <w:p w14:paraId="0F4EE89C" w14:textId="77777777" w:rsidR="00913ABF" w:rsidRPr="00FF63D1" w:rsidRDefault="00913ABF" w:rsidP="00782D91">
      <w:pPr>
        <w:rPr>
          <w:rFonts w:eastAsiaTheme="minorEastAsia" w:cs="Times New Roman"/>
          <w:noProof/>
        </w:rPr>
      </w:pPr>
    </w:p>
    <w:p w14:paraId="613E69C8" w14:textId="77777777" w:rsidR="00913ABF" w:rsidRPr="00FF63D1" w:rsidRDefault="295B94CA" w:rsidP="00782D91">
      <w:pPr>
        <w:rPr>
          <w:noProof/>
        </w:rPr>
      </w:pPr>
      <w:r w:rsidRPr="00FF63D1">
        <w:rPr>
          <w:noProof/>
        </w:rPr>
        <w:t>The EU solar PV market is divided into utility-scale, commercial &amp; industrial (C&amp;I) rooftops, and residential rooftops, with emerging specialty products (agrivoltaics, vehicle-integrated PV, space PV) remaining niche.</w:t>
      </w:r>
      <w:r w:rsidR="00913ABF" w:rsidRPr="00FF63D1">
        <w:rPr>
          <w:noProof/>
          <w:vertAlign w:val="superscript"/>
        </w:rPr>
        <w:footnoteReference w:id="594"/>
      </w:r>
    </w:p>
    <w:p w14:paraId="3DC7665D" w14:textId="71E802E2" w:rsidR="00782D91" w:rsidRPr="00FF63D1" w:rsidRDefault="00782D91" w:rsidP="008A0BFF">
      <w:pPr>
        <w:pStyle w:val="ListParagraph"/>
        <w:numPr>
          <w:ilvl w:val="0"/>
          <w:numId w:val="69"/>
        </w:numPr>
        <w:rPr>
          <w:noProof/>
        </w:rPr>
      </w:pPr>
      <w:r w:rsidRPr="00FF63D1">
        <w:rPr>
          <w:noProof/>
        </w:rPr>
        <w:t>Utility-scale PV</w:t>
      </w:r>
      <w:r w:rsidR="000C7754" w:rsidRPr="00FF63D1">
        <w:rPr>
          <w:noProof/>
        </w:rPr>
        <w:t xml:space="preserve">: </w:t>
      </w:r>
      <w:r w:rsidR="001F5D93" w:rsidRPr="00FF63D1">
        <w:rPr>
          <w:noProof/>
        </w:rPr>
        <w:t xml:space="preserve">around </w:t>
      </w:r>
      <w:r w:rsidRPr="00FF63D1">
        <w:rPr>
          <w:noProof/>
        </w:rPr>
        <w:t>40-45% of annual additions 2025–2030</w:t>
      </w:r>
    </w:p>
    <w:p w14:paraId="2087D858" w14:textId="5B546FE0" w:rsidR="000C7754" w:rsidRPr="00FF63D1" w:rsidRDefault="00782D91">
      <w:pPr>
        <w:pStyle w:val="ListParagraph"/>
        <w:numPr>
          <w:ilvl w:val="0"/>
          <w:numId w:val="69"/>
        </w:numPr>
        <w:rPr>
          <w:noProof/>
        </w:rPr>
      </w:pPr>
      <w:r w:rsidRPr="00FF63D1">
        <w:rPr>
          <w:noProof/>
        </w:rPr>
        <w:t>C&amp;I Rooftops</w:t>
      </w:r>
      <w:r w:rsidR="000C7754" w:rsidRPr="00FF63D1">
        <w:rPr>
          <w:noProof/>
        </w:rPr>
        <w:t xml:space="preserve">: </w:t>
      </w:r>
      <w:r w:rsidR="001F5D93" w:rsidRPr="00FF63D1">
        <w:rPr>
          <w:noProof/>
        </w:rPr>
        <w:t xml:space="preserve">around </w:t>
      </w:r>
      <w:r w:rsidRPr="00FF63D1">
        <w:rPr>
          <w:noProof/>
        </w:rPr>
        <w:t>30-40% of additions, varying by country</w:t>
      </w:r>
    </w:p>
    <w:p w14:paraId="1CF808E8" w14:textId="0F6573B7" w:rsidR="0016687C" w:rsidRPr="00FF63D1" w:rsidRDefault="00782D91" w:rsidP="00DA7400">
      <w:pPr>
        <w:pStyle w:val="ListParagraph"/>
        <w:numPr>
          <w:ilvl w:val="0"/>
          <w:numId w:val="69"/>
        </w:numPr>
        <w:rPr>
          <w:noProof/>
        </w:rPr>
      </w:pPr>
      <w:r w:rsidRPr="00FF63D1">
        <w:rPr>
          <w:noProof/>
        </w:rPr>
        <w:t>Residential Rooftops</w:t>
      </w:r>
      <w:r w:rsidR="000C7754" w:rsidRPr="00FF63D1">
        <w:rPr>
          <w:noProof/>
        </w:rPr>
        <w:t xml:space="preserve">: </w:t>
      </w:r>
      <w:r w:rsidRPr="00FF63D1">
        <w:rPr>
          <w:noProof/>
        </w:rPr>
        <w:t>10-20% of additions mid-2020s, recovering towards 2030</w:t>
      </w:r>
    </w:p>
    <w:p w14:paraId="7969F0E0" w14:textId="026348A4" w:rsidR="00913ABF" w:rsidRPr="00FF63D1" w:rsidRDefault="00913ABF" w:rsidP="008A0BFF">
      <w:pPr>
        <w:rPr>
          <w:noProof/>
        </w:rPr>
      </w:pPr>
      <w:r w:rsidRPr="00FF63D1">
        <w:rPr>
          <w:noProof/>
        </w:rPr>
        <w:t xml:space="preserve">Share of PV deployment covered by public procurement, auctions and public schemes </w:t>
      </w:r>
      <w:r w:rsidR="000C7754" w:rsidRPr="00FF63D1">
        <w:rPr>
          <w:noProof/>
        </w:rPr>
        <w:t xml:space="preserve">based </w:t>
      </w:r>
      <w:r w:rsidR="000C7754" w:rsidRPr="00BF61FE">
        <w:rPr>
          <w:noProof/>
        </w:rPr>
        <w:t xml:space="preserve">on industry estimates provided during the NZIA </w:t>
      </w:r>
      <w:r w:rsidR="001F5D93" w:rsidRPr="00BF61FE">
        <w:rPr>
          <w:noProof/>
        </w:rPr>
        <w:t>drafting</w:t>
      </w:r>
      <w:r w:rsidR="00DE6696" w:rsidRPr="00BF61FE">
        <w:rPr>
          <w:noProof/>
        </w:rPr>
        <w:t>.</w:t>
      </w:r>
      <w:r w:rsidR="001F5D93" w:rsidRPr="00FF63D1">
        <w:rPr>
          <w:noProof/>
        </w:rPr>
        <w:t xml:space="preserve"> </w:t>
      </w:r>
    </w:p>
    <w:p w14:paraId="704ABD27" w14:textId="5C6E2B0D" w:rsidR="00913ABF" w:rsidRPr="00FF63D1" w:rsidRDefault="001F5D93" w:rsidP="000C7754">
      <w:pPr>
        <w:pStyle w:val="ListParagraph"/>
        <w:numPr>
          <w:ilvl w:val="0"/>
          <w:numId w:val="69"/>
        </w:numPr>
        <w:rPr>
          <w:rFonts w:cs="Times New Roman"/>
          <w:noProof/>
        </w:rPr>
      </w:pPr>
      <w:r w:rsidRPr="00FF63D1">
        <w:rPr>
          <w:noProof/>
        </w:rPr>
        <w:t>Across</w:t>
      </w:r>
      <w:r w:rsidR="00782D91" w:rsidRPr="00FF63D1">
        <w:rPr>
          <w:rFonts w:cs="Times New Roman"/>
          <w:noProof/>
        </w:rPr>
        <w:t xml:space="preserve"> Member States, public procurement is assumed to account for 3% of the PV capacity deployed</w:t>
      </w:r>
      <w:r w:rsidRPr="00FF63D1">
        <w:rPr>
          <w:rFonts w:cs="Times New Roman"/>
          <w:noProof/>
        </w:rPr>
        <w:t>.</w:t>
      </w:r>
    </w:p>
    <w:p w14:paraId="7863522C" w14:textId="52BEE4FB" w:rsidR="000C7754" w:rsidRPr="00FF63D1" w:rsidRDefault="001F5D93" w:rsidP="000C7754">
      <w:pPr>
        <w:pStyle w:val="ListParagraph"/>
        <w:numPr>
          <w:ilvl w:val="0"/>
          <w:numId w:val="69"/>
        </w:numPr>
        <w:rPr>
          <w:rFonts w:cs="Times New Roman"/>
          <w:noProof/>
        </w:rPr>
      </w:pPr>
      <w:r w:rsidRPr="00FF63D1">
        <w:rPr>
          <w:rFonts w:cs="Times New Roman"/>
          <w:noProof/>
        </w:rPr>
        <w:t>Across</w:t>
      </w:r>
      <w:r w:rsidR="00782D91" w:rsidRPr="00FF63D1">
        <w:rPr>
          <w:rFonts w:cs="Times New Roman"/>
          <w:noProof/>
        </w:rPr>
        <w:t xml:space="preserve"> Member States, renewable energy auctions are assumed to account for 19% of the PV capacity deployed</w:t>
      </w:r>
      <w:r w:rsidRPr="00FF63D1">
        <w:rPr>
          <w:rFonts w:cs="Times New Roman"/>
          <w:noProof/>
        </w:rPr>
        <w:t>.</w:t>
      </w:r>
    </w:p>
    <w:p w14:paraId="3ADA1998" w14:textId="34D6C59E" w:rsidR="00782D91" w:rsidRPr="00FF63D1" w:rsidRDefault="001F5D93" w:rsidP="008A0BFF">
      <w:pPr>
        <w:pStyle w:val="ListParagraph"/>
        <w:numPr>
          <w:ilvl w:val="0"/>
          <w:numId w:val="69"/>
        </w:numPr>
        <w:rPr>
          <w:rFonts w:cs="Times New Roman"/>
          <w:noProof/>
        </w:rPr>
      </w:pPr>
      <w:r w:rsidRPr="00FF63D1">
        <w:rPr>
          <w:rFonts w:cs="Times New Roman"/>
          <w:noProof/>
        </w:rPr>
        <w:t>Across</w:t>
      </w:r>
      <w:r w:rsidR="00782D91" w:rsidRPr="00FF63D1">
        <w:rPr>
          <w:rFonts w:cs="Times New Roman"/>
          <w:noProof/>
        </w:rPr>
        <w:t xml:space="preserve"> Member States, public support schemes are assumed to account for 12% of the PV capacity deployed</w:t>
      </w:r>
      <w:r w:rsidRPr="00FF63D1">
        <w:rPr>
          <w:rFonts w:cs="Times New Roman"/>
          <w:noProof/>
        </w:rPr>
        <w:t>.</w:t>
      </w:r>
    </w:p>
    <w:p w14:paraId="01B0016F" w14:textId="4CF21F20" w:rsidR="00E27017" w:rsidRPr="00BF61FE" w:rsidRDefault="00E27017" w:rsidP="00DA7400">
      <w:pPr>
        <w:spacing w:after="120"/>
        <w:rPr>
          <w:rFonts w:cs="Times New Roman"/>
          <w:noProof/>
        </w:rPr>
      </w:pPr>
      <w:r w:rsidRPr="00BF61FE">
        <w:rPr>
          <w:rFonts w:cs="Times New Roman"/>
          <w:noProof/>
        </w:rPr>
        <w:t>Relevance of public procurement:</w:t>
      </w:r>
      <w:r w:rsidR="005106C3">
        <w:rPr>
          <w:rFonts w:cs="Times New Roman"/>
          <w:noProof/>
        </w:rPr>
        <w:t xml:space="preserve"> </w:t>
      </w:r>
      <w:r w:rsidRPr="00BF61FE">
        <w:rPr>
          <w:rFonts w:cs="Times New Roman"/>
          <w:noProof/>
        </w:rPr>
        <w:t>Public procurement is emerging as a crucial tool to shape demand for EU-made solar products. Whilst the overall market share of public procurement in solar is limited, with growing deployment of solar on public buildings and infrastructure, aligning procurement practices with industrial policy objectives can provide predictable, large-scale demand for European manufacturing.</w:t>
      </w:r>
    </w:p>
    <w:p w14:paraId="53566906" w14:textId="532A680B" w:rsidR="00E27017" w:rsidRPr="00BF61FE" w:rsidRDefault="00E27017" w:rsidP="00DA7400">
      <w:pPr>
        <w:spacing w:after="120"/>
        <w:rPr>
          <w:rFonts w:cs="Times New Roman"/>
          <w:noProof/>
        </w:rPr>
      </w:pPr>
      <w:r w:rsidRPr="00BF61FE">
        <w:rPr>
          <w:rFonts w:cs="Times New Roman"/>
          <w:noProof/>
        </w:rPr>
        <w:t xml:space="preserve">Relevance of public support schemes: Public support schemes, such as subsidies, grants, and tax rebates for solar PV, can play a vital role in promoting EU-made technologies. Authorities designing these schemes must incentivise the purchase of solar products that meet the </w:t>
      </w:r>
      <w:r w:rsidR="000B3C9C">
        <w:rPr>
          <w:rFonts w:cs="Times New Roman"/>
          <w:noProof/>
        </w:rPr>
        <w:t xml:space="preserve">Made in EU </w:t>
      </w:r>
      <w:r w:rsidRPr="00BF61FE">
        <w:rPr>
          <w:rFonts w:cs="Times New Roman"/>
          <w:noProof/>
        </w:rPr>
        <w:t xml:space="preserve">requirements as set out in the table. This can be done by offering additional financial bonuses or making EU content a condition for eligibility. </w:t>
      </w:r>
    </w:p>
    <w:p w14:paraId="57BBB0FE" w14:textId="2196DC80" w:rsidR="00E27017" w:rsidRPr="00BF61FE" w:rsidRDefault="00E27017" w:rsidP="00DA7400">
      <w:pPr>
        <w:spacing w:after="120"/>
        <w:rPr>
          <w:rFonts w:cs="Times New Roman"/>
          <w:noProof/>
        </w:rPr>
      </w:pPr>
      <w:r w:rsidRPr="00BF61FE">
        <w:rPr>
          <w:rFonts w:cs="Times New Roman"/>
          <w:noProof/>
        </w:rPr>
        <w:t xml:space="preserve">Relevance of auctions: </w:t>
      </w:r>
      <w:r w:rsidR="002B46B4" w:rsidRPr="00BF61FE">
        <w:rPr>
          <w:rFonts w:cs="Times New Roman"/>
          <w:noProof/>
        </w:rPr>
        <w:t xml:space="preserve">Auctions represent a critical market segment for solar PV as they provide a structured and predictable pathway for large-scale deployment. They offer developers clear visibility on future demand and long-term offtake certainty, which is essential for mobilising investment in capital-intensive infrastructure. </w:t>
      </w:r>
    </w:p>
    <w:p w14:paraId="2947077A" w14:textId="77777777" w:rsidR="00913ABF" w:rsidRPr="00FF63D1" w:rsidRDefault="00913ABF" w:rsidP="001F5D93">
      <w:pPr>
        <w:rPr>
          <w:b/>
          <w:noProof/>
          <w:lang w:eastAsia="en-GB"/>
        </w:rPr>
      </w:pPr>
      <w:r w:rsidRPr="00FF63D1">
        <w:rPr>
          <w:rFonts w:eastAsia="Times New Roman"/>
          <w:b/>
          <w:noProof/>
          <w:lang w:eastAsia="en-GB"/>
        </w:rPr>
        <w:t>Trade aspects</w:t>
      </w:r>
    </w:p>
    <w:p w14:paraId="50FAFB66" w14:textId="77777777" w:rsidR="00F630A6" w:rsidRPr="00FF63D1" w:rsidRDefault="00F630A6" w:rsidP="008A0BFF">
      <w:pPr>
        <w:rPr>
          <w:b/>
          <w:noProof/>
          <w:lang w:eastAsia="en-GB"/>
        </w:rPr>
      </w:pPr>
    </w:p>
    <w:p w14:paraId="356EAD65" w14:textId="4F83B8E4" w:rsidR="00F630A6" w:rsidRPr="00FF63D1" w:rsidRDefault="00F630A6" w:rsidP="00DA7400">
      <w:pPr>
        <w:spacing w:after="120"/>
        <w:rPr>
          <w:noProof/>
        </w:rPr>
      </w:pPr>
      <w:r w:rsidRPr="00FF63D1">
        <w:rPr>
          <w:rFonts w:cs="Times New Roman"/>
          <w:noProof/>
        </w:rPr>
        <w:t>The EU is a net importer of all key components across the solar PV value chain. At present, the majority of PV modules deployed in the EU are imported, and domestic production of modules remains limited. As a result, imports of PV cells and upstream components remain correspondingly low. Given the sequential nature of the PV value chain, meaningful imports of PV cells will only materialise once EU module production has been scaled up. Likewise, significant imports of PV wafers will only occur once PV cell production has been reshored to Europe.</w:t>
      </w:r>
      <w:r w:rsidR="00DA7400">
        <w:rPr>
          <w:rFonts w:cs="Times New Roman"/>
          <w:noProof/>
        </w:rPr>
        <w:t xml:space="preserve"> </w:t>
      </w:r>
      <w:r w:rsidR="00913ABF" w:rsidRPr="00FF63D1">
        <w:rPr>
          <w:noProof/>
        </w:rPr>
        <w:t xml:space="preserve">According to the </w:t>
      </w:r>
      <w:hyperlink r:id="rId97" w:history="1">
        <w:r w:rsidR="00913ABF" w:rsidRPr="00FF63D1">
          <w:rPr>
            <w:rStyle w:val="Hyperlink"/>
            <w:noProof/>
          </w:rPr>
          <w:t>Commission Communication on shares of Union supply</w:t>
        </w:r>
      </w:hyperlink>
      <w:r w:rsidR="00913ABF" w:rsidRPr="00FF63D1">
        <w:rPr>
          <w:noProof/>
        </w:rPr>
        <w:t>, in 2023 the EU supply of PV technologies was extremely reliant on Chinese imports. For the following components, the share of Union supply from China was the following one:</w:t>
      </w:r>
    </w:p>
    <w:p w14:paraId="0E710E29" w14:textId="77777777" w:rsidR="00913ABF" w:rsidRPr="00FF63D1" w:rsidRDefault="00913ABF" w:rsidP="008A0BFF">
      <w:pPr>
        <w:pStyle w:val="ListParagraph"/>
        <w:numPr>
          <w:ilvl w:val="0"/>
          <w:numId w:val="69"/>
        </w:numPr>
        <w:rPr>
          <w:rFonts w:cs="Times New Roman"/>
          <w:noProof/>
        </w:rPr>
      </w:pPr>
      <w:r w:rsidRPr="00FF63D1">
        <w:rPr>
          <w:rFonts w:cs="Times New Roman"/>
          <w:noProof/>
        </w:rPr>
        <w:t>PV modules and PV cells: 94%</w:t>
      </w:r>
    </w:p>
    <w:p w14:paraId="2238FA5C" w14:textId="77777777" w:rsidR="00913ABF" w:rsidRPr="00FF63D1" w:rsidRDefault="00913ABF" w:rsidP="008A0BFF">
      <w:pPr>
        <w:pStyle w:val="ListParagraph"/>
        <w:numPr>
          <w:ilvl w:val="0"/>
          <w:numId w:val="69"/>
        </w:numPr>
        <w:rPr>
          <w:rFonts w:cs="Times New Roman"/>
          <w:noProof/>
        </w:rPr>
      </w:pPr>
      <w:r w:rsidRPr="00FF63D1">
        <w:rPr>
          <w:rFonts w:cs="Times New Roman"/>
          <w:noProof/>
        </w:rPr>
        <w:t>PV inverters: 50%</w:t>
      </w:r>
    </w:p>
    <w:p w14:paraId="7EE96F7D" w14:textId="77777777" w:rsidR="00913ABF" w:rsidRPr="00FF63D1" w:rsidRDefault="00913ABF" w:rsidP="008A0BFF">
      <w:pPr>
        <w:pStyle w:val="ListParagraph"/>
        <w:numPr>
          <w:ilvl w:val="0"/>
          <w:numId w:val="69"/>
        </w:numPr>
        <w:rPr>
          <w:rFonts w:cs="Times New Roman"/>
          <w:noProof/>
        </w:rPr>
      </w:pPr>
      <w:r w:rsidRPr="00FF63D1">
        <w:rPr>
          <w:rFonts w:cs="Times New Roman"/>
          <w:noProof/>
        </w:rPr>
        <w:t>PV wafers: 79%</w:t>
      </w:r>
    </w:p>
    <w:p w14:paraId="5C6706F8" w14:textId="77777777" w:rsidR="00913ABF" w:rsidRPr="00FF63D1" w:rsidRDefault="00913ABF" w:rsidP="00782D91">
      <w:pPr>
        <w:rPr>
          <w:noProof/>
        </w:rPr>
      </w:pPr>
    </w:p>
    <w:p w14:paraId="207A4817" w14:textId="5C9CF8E2" w:rsidR="00933726" w:rsidRPr="00FF63D1" w:rsidRDefault="00933726" w:rsidP="00782D91">
      <w:pPr>
        <w:rPr>
          <w:b/>
          <w:noProof/>
        </w:rPr>
      </w:pPr>
      <w:r w:rsidRPr="00FF63D1">
        <w:rPr>
          <w:b/>
          <w:noProof/>
        </w:rPr>
        <w:t xml:space="preserve">Targets proposed under </w:t>
      </w:r>
      <w:r w:rsidR="00646A42" w:rsidRPr="00FF63D1">
        <w:rPr>
          <w:b/>
          <w:noProof/>
        </w:rPr>
        <w:t>IAA</w:t>
      </w:r>
    </w:p>
    <w:p w14:paraId="60092692" w14:textId="77777777" w:rsidR="00933726" w:rsidRPr="00FF63D1" w:rsidRDefault="00933726" w:rsidP="00782D91">
      <w:pPr>
        <w:rPr>
          <w:noProof/>
        </w:rPr>
      </w:pPr>
    </w:p>
    <w:p w14:paraId="2BECEE5C" w14:textId="573FBAA5" w:rsidR="00933726" w:rsidRPr="00FF63D1" w:rsidRDefault="00933726" w:rsidP="00782D91">
      <w:pPr>
        <w:rPr>
          <w:noProof/>
        </w:rPr>
      </w:pPr>
      <w:r w:rsidRPr="00FF63D1">
        <w:rPr>
          <w:noProof/>
        </w:rPr>
        <w:t xml:space="preserve">Following considerations apply: </w:t>
      </w:r>
    </w:p>
    <w:p w14:paraId="0E0F1B87" w14:textId="78361BD7" w:rsidR="00D636D6" w:rsidRPr="00FF63D1" w:rsidRDefault="00D636D6" w:rsidP="008A0BFF">
      <w:pPr>
        <w:pStyle w:val="ListParagraph"/>
        <w:numPr>
          <w:ilvl w:val="0"/>
          <w:numId w:val="69"/>
        </w:numPr>
        <w:rPr>
          <w:noProof/>
        </w:rPr>
      </w:pPr>
      <w:r w:rsidRPr="00FF63D1">
        <w:rPr>
          <w:noProof/>
        </w:rPr>
        <w:t xml:space="preserve">Component based approach, i.e. requiring a certain number of components to be </w:t>
      </w:r>
      <w:r w:rsidR="00E63738" w:rsidRPr="00FF63D1">
        <w:rPr>
          <w:noProof/>
        </w:rPr>
        <w:t>manufactured</w:t>
      </w:r>
      <w:r w:rsidRPr="00FF63D1">
        <w:rPr>
          <w:noProof/>
        </w:rPr>
        <w:t xml:space="preserve"> in the EU instead of a percentage</w:t>
      </w:r>
    </w:p>
    <w:p w14:paraId="4898C1F2" w14:textId="757EBB7A" w:rsidR="00D636D6" w:rsidRPr="00FF63D1" w:rsidRDefault="00D636D6" w:rsidP="008A0BFF">
      <w:pPr>
        <w:pStyle w:val="ListParagraph"/>
        <w:numPr>
          <w:ilvl w:val="0"/>
          <w:numId w:val="69"/>
        </w:numPr>
        <w:rPr>
          <w:noProof/>
        </w:rPr>
      </w:pPr>
      <w:r w:rsidRPr="00FF63D1">
        <w:rPr>
          <w:noProof/>
        </w:rPr>
        <w:t xml:space="preserve">Phased in approach: </w:t>
      </w:r>
      <w:r w:rsidR="001452D1" w:rsidRPr="00FF63D1">
        <w:rPr>
          <w:noProof/>
        </w:rPr>
        <w:t>first step with</w:t>
      </w:r>
      <w:r w:rsidR="00E63738" w:rsidRPr="00FF63D1">
        <w:rPr>
          <w:noProof/>
        </w:rPr>
        <w:t xml:space="preserve"> entry into force</w:t>
      </w:r>
      <w:r w:rsidR="001452D1" w:rsidRPr="00FF63D1">
        <w:rPr>
          <w:noProof/>
        </w:rPr>
        <w:t>, second step</w:t>
      </w:r>
      <w:r w:rsidR="00E63738" w:rsidRPr="00FF63D1">
        <w:rPr>
          <w:noProof/>
        </w:rPr>
        <w:t xml:space="preserve"> for </w:t>
      </w:r>
      <w:r w:rsidR="001452D1" w:rsidRPr="00FF63D1">
        <w:rPr>
          <w:noProof/>
        </w:rPr>
        <w:t>2030</w:t>
      </w:r>
      <w:r w:rsidR="00E63738" w:rsidRPr="00FF63D1">
        <w:rPr>
          <w:noProof/>
        </w:rPr>
        <w:t xml:space="preserve"> </w:t>
      </w:r>
    </w:p>
    <w:p w14:paraId="565BB15A" w14:textId="28704B44" w:rsidR="00933726" w:rsidRPr="00FF63D1" w:rsidRDefault="00933726" w:rsidP="008A0BFF">
      <w:pPr>
        <w:pStyle w:val="ListParagraph"/>
        <w:numPr>
          <w:ilvl w:val="0"/>
          <w:numId w:val="69"/>
        </w:numPr>
        <w:rPr>
          <w:noProof/>
        </w:rPr>
      </w:pPr>
      <w:r w:rsidRPr="00FF63D1">
        <w:rPr>
          <w:noProof/>
        </w:rPr>
        <w:t>The targets are not limited in time</w:t>
      </w:r>
      <w:r w:rsidR="00BF5CDF" w:rsidRPr="00FF63D1">
        <w:rPr>
          <w:noProof/>
        </w:rPr>
        <w:t xml:space="preserve"> but subject to the general review clause</w:t>
      </w:r>
      <w:r w:rsidR="00F07354" w:rsidRPr="00FF63D1">
        <w:rPr>
          <w:noProof/>
        </w:rPr>
        <w:t>.</w:t>
      </w:r>
    </w:p>
    <w:p w14:paraId="74252E78" w14:textId="4A6BFC9E" w:rsidR="00933726" w:rsidRPr="00FF63D1" w:rsidRDefault="00F07354" w:rsidP="004D29DF">
      <w:pPr>
        <w:pStyle w:val="ListParagraph"/>
        <w:numPr>
          <w:ilvl w:val="0"/>
          <w:numId w:val="69"/>
        </w:numPr>
        <w:rPr>
          <w:noProof/>
        </w:rPr>
      </w:pPr>
      <w:r w:rsidRPr="00FF63D1">
        <w:rPr>
          <w:noProof/>
        </w:rPr>
        <w:t xml:space="preserve">Gigawatt scale production and innovation should be encouraged as well as </w:t>
      </w:r>
      <w:r w:rsidR="00D7077D" w:rsidRPr="00FF63D1">
        <w:rPr>
          <w:noProof/>
        </w:rPr>
        <w:t xml:space="preserve">products and components using </w:t>
      </w:r>
      <w:r w:rsidR="00933726" w:rsidRPr="00FF63D1">
        <w:rPr>
          <w:noProof/>
        </w:rPr>
        <w:t xml:space="preserve">EU equipment </w:t>
      </w:r>
      <w:r w:rsidR="005076E5" w:rsidRPr="00FF63D1">
        <w:rPr>
          <w:noProof/>
        </w:rPr>
        <w:t xml:space="preserve">for the production. </w:t>
      </w:r>
    </w:p>
    <w:p w14:paraId="694F9597" w14:textId="08D11BB4" w:rsidR="00A93CFB" w:rsidRPr="00FF63D1" w:rsidRDefault="00A93CFB" w:rsidP="008A0BFF">
      <w:pPr>
        <w:pStyle w:val="ListParagraph"/>
        <w:numPr>
          <w:ilvl w:val="0"/>
          <w:numId w:val="69"/>
        </w:numPr>
        <w:rPr>
          <w:noProof/>
        </w:rPr>
      </w:pPr>
      <w:r w:rsidRPr="00FF63D1">
        <w:rPr>
          <w:noProof/>
        </w:rPr>
        <w:t xml:space="preserve">The mandatory components have been chosen </w:t>
      </w:r>
      <w:r w:rsidR="00C84428" w:rsidRPr="00FF63D1">
        <w:rPr>
          <w:noProof/>
        </w:rPr>
        <w:t>to</w:t>
      </w:r>
      <w:r w:rsidRPr="00FF63D1">
        <w:rPr>
          <w:noProof/>
        </w:rPr>
        <w:t xml:space="preserve"> keep cost increase limited</w:t>
      </w:r>
      <w:r w:rsidR="00C84428" w:rsidRPr="00FF63D1">
        <w:rPr>
          <w:noProof/>
        </w:rPr>
        <w:t xml:space="preserve"> and </w:t>
      </w:r>
      <w:r w:rsidRPr="00FF63D1">
        <w:rPr>
          <w:noProof/>
        </w:rPr>
        <w:t>focus on steps with most added value</w:t>
      </w:r>
      <w:r w:rsidR="00C84428" w:rsidRPr="00FF63D1">
        <w:rPr>
          <w:noProof/>
        </w:rPr>
        <w:t xml:space="preserve"> and </w:t>
      </w:r>
      <w:r w:rsidRPr="00FF63D1">
        <w:rPr>
          <w:noProof/>
        </w:rPr>
        <w:t>with most job creation. </w:t>
      </w:r>
    </w:p>
    <w:p w14:paraId="737E1524" w14:textId="77777777" w:rsidR="00933726" w:rsidRPr="00FF63D1" w:rsidRDefault="00933726" w:rsidP="00B73F4F">
      <w:pPr>
        <w:rPr>
          <w:noProof/>
        </w:rPr>
      </w:pPr>
    </w:p>
    <w:tbl>
      <w:tblPr>
        <w:tblStyle w:val="TableGrid"/>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1056E5" w:rsidRPr="001056E5" w14:paraId="79071659" w14:textId="77777777" w:rsidTr="001763DC">
        <w:trPr>
          <w:trHeight w:val="300"/>
        </w:trPr>
        <w:tc>
          <w:tcPr>
            <w:tcW w:w="5000" w:type="pct"/>
          </w:tcPr>
          <w:p w14:paraId="64C770BA" w14:textId="7AF5B2E9" w:rsidR="00C34AC8" w:rsidRPr="001056E5" w:rsidRDefault="00C34AC8" w:rsidP="00C34AC8">
            <w:pPr>
              <w:rPr>
                <w:noProof/>
                <w:szCs w:val="20"/>
              </w:rPr>
            </w:pPr>
            <w:r w:rsidRPr="001056E5">
              <w:rPr>
                <w:noProof/>
                <w:szCs w:val="20"/>
              </w:rPr>
              <w:t>Public procurement, auctions and support schemes:</w:t>
            </w:r>
          </w:p>
          <w:p w14:paraId="2B008177" w14:textId="11ED886F" w:rsidR="00007603" w:rsidRPr="001056E5" w:rsidRDefault="0060316F">
            <w:pPr>
              <w:pStyle w:val="ListParagraph"/>
              <w:numPr>
                <w:ilvl w:val="0"/>
                <w:numId w:val="72"/>
              </w:numPr>
              <w:rPr>
                <w:noProof/>
                <w:szCs w:val="20"/>
              </w:rPr>
            </w:pPr>
            <w:r w:rsidRPr="001056E5">
              <w:rPr>
                <w:noProof/>
                <w:szCs w:val="20"/>
              </w:rPr>
              <w:t xml:space="preserve">One year after </w:t>
            </w:r>
            <w:r w:rsidR="00007603" w:rsidRPr="001056E5">
              <w:rPr>
                <w:noProof/>
                <w:szCs w:val="20"/>
              </w:rPr>
              <w:t>entry into force</w:t>
            </w:r>
            <w:r w:rsidR="00C34AC8" w:rsidRPr="001056E5">
              <w:rPr>
                <w:noProof/>
                <w:szCs w:val="20"/>
              </w:rPr>
              <w:t xml:space="preserve">: 3 main specific components to be made in EU, </w:t>
            </w:r>
            <w:r w:rsidR="004D29DF" w:rsidRPr="001056E5">
              <w:rPr>
                <w:noProof/>
                <w:szCs w:val="20"/>
              </w:rPr>
              <w:t>out of which  inverter mandatory</w:t>
            </w:r>
          </w:p>
          <w:p w14:paraId="5A11D437" w14:textId="09EF2AA1" w:rsidR="00C34AC8" w:rsidRPr="001056E5" w:rsidRDefault="0060316F" w:rsidP="008A0BFF">
            <w:pPr>
              <w:pStyle w:val="ListParagraph"/>
              <w:numPr>
                <w:ilvl w:val="0"/>
                <w:numId w:val="72"/>
              </w:numPr>
              <w:rPr>
                <w:noProof/>
              </w:rPr>
            </w:pPr>
            <w:r w:rsidRPr="001056E5">
              <w:rPr>
                <w:noProof/>
              </w:rPr>
              <w:t>Three years after entry into force</w:t>
            </w:r>
            <w:r w:rsidR="00007603" w:rsidRPr="001056E5">
              <w:rPr>
                <w:noProof/>
              </w:rPr>
              <w:t xml:space="preserve">: </w:t>
            </w:r>
            <w:r w:rsidR="00C34AC8" w:rsidRPr="001056E5">
              <w:rPr>
                <w:noProof/>
              </w:rPr>
              <w:t>4 main specific components should be made in EU of which</w:t>
            </w:r>
            <w:r w:rsidR="004D29DF" w:rsidRPr="001056E5">
              <w:rPr>
                <w:noProof/>
              </w:rPr>
              <w:t xml:space="preserve"> cell, inverter mandatory. </w:t>
            </w:r>
          </w:p>
        </w:tc>
      </w:tr>
    </w:tbl>
    <w:p w14:paraId="327343C1" w14:textId="77777777" w:rsidR="00933726" w:rsidRPr="001056E5" w:rsidRDefault="00933726" w:rsidP="00782D91">
      <w:pPr>
        <w:rPr>
          <w:noProof/>
        </w:rPr>
      </w:pPr>
    </w:p>
    <w:p w14:paraId="77833BF8" w14:textId="4935EB4E" w:rsidR="00913ABF" w:rsidRPr="001056E5" w:rsidRDefault="00913ABF" w:rsidP="008A0BFF">
      <w:pPr>
        <w:rPr>
          <w:noProof/>
        </w:rPr>
      </w:pPr>
      <w:r w:rsidRPr="001056E5">
        <w:rPr>
          <w:rFonts w:eastAsia="Times New Roman"/>
          <w:b/>
          <w:noProof/>
          <w:lang w:eastAsia="en-GB"/>
        </w:rPr>
        <w:t xml:space="preserve">Manufacturing capacity targets in view of expected deployment </w:t>
      </w:r>
    </w:p>
    <w:p w14:paraId="00A09E2C" w14:textId="77777777" w:rsidR="00913ABF" w:rsidRPr="001056E5" w:rsidRDefault="00913ABF" w:rsidP="00782D91">
      <w:pPr>
        <w:rPr>
          <w:rStyle w:val="Hyperlink"/>
          <w:noProof/>
          <w:color w:val="auto"/>
        </w:rPr>
      </w:pPr>
    </w:p>
    <w:p w14:paraId="061965B6" w14:textId="77777777" w:rsidR="003B0988" w:rsidRDefault="295B94CA" w:rsidP="003B0988">
      <w:pPr>
        <w:rPr>
          <w:rFonts w:cs="Times New Roman"/>
          <w:noProof/>
        </w:rPr>
      </w:pPr>
      <w:r w:rsidRPr="001056E5">
        <w:rPr>
          <w:noProof/>
        </w:rPr>
        <w:t xml:space="preserve">In 2024, </w:t>
      </w:r>
      <w:r w:rsidRPr="001056E5">
        <w:rPr>
          <w:rFonts w:cs="Times New Roman"/>
          <w:noProof/>
        </w:rPr>
        <w:t>65 GW on new solar PV was installed in the EU, a 4% growth rate from 2023.</w:t>
      </w:r>
      <w:r w:rsidR="00913ABF" w:rsidRPr="001056E5">
        <w:rPr>
          <w:rStyle w:val="FootnoteReference"/>
          <w:noProof/>
        </w:rPr>
        <w:footnoteReference w:id="595"/>
      </w:r>
      <w:r w:rsidRPr="001056E5">
        <w:rPr>
          <w:rFonts w:cs="Times New Roman"/>
          <w:noProof/>
        </w:rPr>
        <w:t xml:space="preserve"> </w:t>
      </w:r>
    </w:p>
    <w:p w14:paraId="2CE0A1E0" w14:textId="34F7A843" w:rsidR="00913ABF" w:rsidRPr="00FF63D1" w:rsidRDefault="003B0988" w:rsidP="00782D91">
      <w:pPr>
        <w:rPr>
          <w:noProof/>
        </w:rPr>
      </w:pPr>
      <w:r>
        <w:rPr>
          <w:rFonts w:cs="Times New Roman"/>
          <w:noProof/>
        </w:rPr>
        <w:t>Reaching the objective of 700</w:t>
      </w:r>
      <w:r w:rsidR="002410ED">
        <w:rPr>
          <w:rFonts w:cs="Times New Roman"/>
          <w:noProof/>
        </w:rPr>
        <w:t xml:space="preserve"> </w:t>
      </w:r>
      <w:r>
        <w:rPr>
          <w:rFonts w:cs="Times New Roman"/>
          <w:noProof/>
        </w:rPr>
        <w:t>GW of deployed solar capacity by 2030, set out in the EU solar energy strategy</w:t>
      </w:r>
      <w:r>
        <w:rPr>
          <w:rStyle w:val="FootnoteReference"/>
          <w:rFonts w:cs="Times New Roman"/>
          <w:noProof/>
        </w:rPr>
        <w:footnoteReference w:id="596"/>
      </w:r>
      <w:r>
        <w:rPr>
          <w:rFonts w:cs="Times New Roman"/>
          <w:noProof/>
        </w:rPr>
        <w:t xml:space="preserve"> under REPowerEU, requires maintaining a pace of 60</w:t>
      </w:r>
      <w:r w:rsidR="002410ED">
        <w:rPr>
          <w:rFonts w:cs="Times New Roman"/>
          <w:noProof/>
        </w:rPr>
        <w:t xml:space="preserve"> </w:t>
      </w:r>
      <w:r>
        <w:rPr>
          <w:rFonts w:cs="Times New Roman"/>
          <w:noProof/>
        </w:rPr>
        <w:t xml:space="preserve">GW per year until then. </w:t>
      </w:r>
    </w:p>
    <w:p w14:paraId="40AEE871" w14:textId="77777777" w:rsidR="00913ABF" w:rsidRPr="00FF63D1" w:rsidRDefault="00913ABF" w:rsidP="00782D91">
      <w:pPr>
        <w:rPr>
          <w:noProof/>
        </w:rPr>
      </w:pPr>
    </w:p>
    <w:p w14:paraId="0F859C7B" w14:textId="09C7E6B6" w:rsidR="00D55DA5" w:rsidRPr="00D55DA5" w:rsidRDefault="00D55DA5" w:rsidP="00D55DA5">
      <w:pPr>
        <w:jc w:val="center"/>
        <w:rPr>
          <w:rFonts w:cs="Times New Roman"/>
          <w:i/>
          <w:noProof/>
          <w:lang w:val="en-IE"/>
        </w:rPr>
      </w:pPr>
      <w:r w:rsidRPr="00D55DA5">
        <w:rPr>
          <w:rFonts w:cs="Times New Roman"/>
          <w:i/>
          <w:noProof/>
          <w:lang w:eastAsia="en-GB"/>
        </w:rPr>
        <w:drawing>
          <wp:inline distT="0" distB="0" distL="0" distR="0" wp14:anchorId="02F1C0FF" wp14:editId="46031003">
            <wp:extent cx="4245997" cy="2300958"/>
            <wp:effectExtent l="0" t="0" r="2540" b="4445"/>
            <wp:docPr id="2110306987" name="Picture 2"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06987" name="Picture 2" descr="A graph of a number of different colored bars&#10;&#10;AI-generated content may be incorrec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274683" cy="2316503"/>
                    </a:xfrm>
                    <a:prstGeom prst="rect">
                      <a:avLst/>
                    </a:prstGeom>
                    <a:noFill/>
                    <a:ln>
                      <a:noFill/>
                    </a:ln>
                  </pic:spPr>
                </pic:pic>
              </a:graphicData>
            </a:graphic>
          </wp:inline>
        </w:drawing>
      </w:r>
    </w:p>
    <w:p w14:paraId="612EF4EA" w14:textId="2F91977A" w:rsidR="00BE1513" w:rsidRDefault="00BE1513" w:rsidP="00BF61FE">
      <w:pPr>
        <w:keepNext/>
        <w:jc w:val="center"/>
        <w:rPr>
          <w:noProof/>
        </w:rPr>
      </w:pPr>
    </w:p>
    <w:p w14:paraId="61769B6F" w14:textId="67A4A0CE" w:rsidR="00913ABF" w:rsidRPr="00FF63D1" w:rsidRDefault="00BE1513" w:rsidP="00BF61FE">
      <w:pPr>
        <w:rPr>
          <w:i/>
          <w:noProof/>
          <w:sz w:val="20"/>
          <w:szCs w:val="20"/>
        </w:rPr>
      </w:pPr>
      <w:r w:rsidRPr="00333DC1">
        <w:rPr>
          <w:i/>
          <w:noProof/>
          <w:sz w:val="20"/>
          <w:szCs w:val="20"/>
        </w:rPr>
        <w:t xml:space="preserve">Figure </w:t>
      </w:r>
      <w:r w:rsidRPr="00333DC1">
        <w:rPr>
          <w:i/>
          <w:noProof/>
          <w:sz w:val="20"/>
          <w:szCs w:val="20"/>
        </w:rPr>
        <w:fldChar w:fldCharType="begin"/>
      </w:r>
      <w:r w:rsidRPr="00333DC1">
        <w:rPr>
          <w:i/>
          <w:noProof/>
          <w:sz w:val="20"/>
          <w:szCs w:val="20"/>
        </w:rPr>
        <w:instrText xml:space="preserve"> SEQ Figure \* ARABIC </w:instrText>
      </w:r>
      <w:r w:rsidRPr="00333DC1">
        <w:rPr>
          <w:i/>
          <w:noProof/>
          <w:sz w:val="20"/>
          <w:szCs w:val="20"/>
        </w:rPr>
        <w:fldChar w:fldCharType="separate"/>
      </w:r>
      <w:r w:rsidR="00E16D65">
        <w:rPr>
          <w:i/>
          <w:noProof/>
          <w:sz w:val="20"/>
          <w:szCs w:val="20"/>
        </w:rPr>
        <w:t>27</w:t>
      </w:r>
      <w:r w:rsidRPr="00333DC1">
        <w:rPr>
          <w:i/>
          <w:noProof/>
          <w:sz w:val="20"/>
          <w:szCs w:val="20"/>
        </w:rPr>
        <w:fldChar w:fldCharType="end"/>
      </w:r>
      <w:r w:rsidRPr="00333DC1">
        <w:rPr>
          <w:i/>
          <w:noProof/>
          <w:sz w:val="20"/>
          <w:szCs w:val="20"/>
        </w:rPr>
        <w:t xml:space="preserve">: </w:t>
      </w:r>
      <w:r w:rsidRPr="00BF61FE">
        <w:rPr>
          <w:rFonts w:cs="Times New Roman"/>
          <w:i/>
          <w:noProof/>
          <w:sz w:val="20"/>
          <w:szCs w:val="20"/>
        </w:rPr>
        <w:t>Manufacturing capacity of solar PV components vis a vis PV deployment covered by the Industrial Accelerator Act, today-2030</w:t>
      </w:r>
      <w:r w:rsidR="003A5638">
        <w:rPr>
          <w:rFonts w:cs="Times New Roman"/>
          <w:i/>
          <w:noProof/>
          <w:sz w:val="20"/>
          <w:szCs w:val="20"/>
        </w:rPr>
        <w:t>,</w:t>
      </w:r>
      <w:r w:rsidR="003A5638" w:rsidRPr="00FF63D1">
        <w:rPr>
          <w:i/>
          <w:noProof/>
          <w:sz w:val="20"/>
          <w:szCs w:val="20"/>
        </w:rPr>
        <w:t xml:space="preserve"> </w:t>
      </w:r>
      <w:hyperlink r:id="rId99" w:history="1">
        <w:r w:rsidR="00913ABF" w:rsidRPr="00FF63D1">
          <w:rPr>
            <w:rStyle w:val="Hyperlink"/>
            <w:i/>
            <w:noProof/>
            <w:sz w:val="20"/>
            <w:szCs w:val="20"/>
          </w:rPr>
          <w:t>Net-Zero Technology Manufacturing Dashbo</w:t>
        </w:r>
        <w:r w:rsidR="00844855" w:rsidRPr="00FF63D1">
          <w:rPr>
            <w:rStyle w:val="Hyperlink"/>
            <w:i/>
            <w:noProof/>
            <w:sz w:val="20"/>
            <w:szCs w:val="20"/>
          </w:rPr>
          <w:t>a</w:t>
        </w:r>
        <w:r w:rsidR="00913ABF" w:rsidRPr="00FF63D1">
          <w:rPr>
            <w:rStyle w:val="Hyperlink"/>
            <w:i/>
            <w:noProof/>
            <w:sz w:val="20"/>
            <w:szCs w:val="20"/>
          </w:rPr>
          <w:t>rd</w:t>
        </w:r>
      </w:hyperlink>
      <w:r w:rsidR="00913ABF" w:rsidRPr="00FF63D1">
        <w:rPr>
          <w:i/>
          <w:noProof/>
          <w:sz w:val="20"/>
          <w:szCs w:val="20"/>
        </w:rPr>
        <w:t xml:space="preserve"> </w:t>
      </w:r>
    </w:p>
    <w:p w14:paraId="1E35D6C8" w14:textId="58762D80" w:rsidR="00913ABF" w:rsidRPr="00FF63D1" w:rsidRDefault="00913ABF" w:rsidP="00782D91">
      <w:pPr>
        <w:jc w:val="center"/>
        <w:rPr>
          <w:i/>
          <w:noProof/>
          <w:sz w:val="20"/>
          <w:szCs w:val="20"/>
        </w:rPr>
      </w:pPr>
      <w:r w:rsidRPr="00FF63D1">
        <w:rPr>
          <w:i/>
          <w:noProof/>
          <w:sz w:val="20"/>
          <w:szCs w:val="20"/>
        </w:rPr>
        <w:t xml:space="preserve">Notes: </w:t>
      </w:r>
      <w:r w:rsidR="00844855" w:rsidRPr="00FF63D1">
        <w:rPr>
          <w:i/>
          <w:noProof/>
          <w:sz w:val="20"/>
          <w:szCs w:val="20"/>
        </w:rPr>
        <w:t>Deployment</w:t>
      </w:r>
      <w:r w:rsidRPr="00FF63D1">
        <w:rPr>
          <w:i/>
          <w:noProof/>
          <w:sz w:val="20"/>
          <w:szCs w:val="20"/>
        </w:rPr>
        <w:t xml:space="preserve"> covered by Industrial Accelerator Act IAA) includes public procurement, renewable energy auctions and public support schemes. FID = Final Investment Decision.</w:t>
      </w:r>
    </w:p>
    <w:p w14:paraId="3469B6B0" w14:textId="77777777" w:rsidR="00805B5E" w:rsidRPr="00FF63D1" w:rsidRDefault="00805B5E" w:rsidP="00F630A6">
      <w:pPr>
        <w:spacing w:line="259" w:lineRule="auto"/>
        <w:rPr>
          <w:rFonts w:cs="Times New Roman"/>
          <w:noProof/>
        </w:rPr>
      </w:pPr>
    </w:p>
    <w:p w14:paraId="5F7EB0C0" w14:textId="484ABAD4" w:rsidR="00204FBC" w:rsidRPr="00FF63D1" w:rsidRDefault="00805B5E" w:rsidP="00F630A6">
      <w:pPr>
        <w:spacing w:line="259" w:lineRule="auto"/>
        <w:rPr>
          <w:rFonts w:cs="Times New Roman"/>
          <w:noProof/>
        </w:rPr>
      </w:pPr>
      <w:r w:rsidRPr="00FF63D1">
        <w:rPr>
          <w:rFonts w:cs="Times New Roman"/>
          <w:noProof/>
        </w:rPr>
        <w:t>The line referring to “Deployment covered by IAA” in the graph above</w:t>
      </w:r>
      <w:r w:rsidR="002B1F0F" w:rsidRPr="00FF63D1">
        <w:rPr>
          <w:rFonts w:cs="Times New Roman"/>
          <w:noProof/>
        </w:rPr>
        <w:t xml:space="preserve"> represents the amount equivalent to the share of the annual deployment market covered by the market segments to which the Made in the EU requi</w:t>
      </w:r>
      <w:r w:rsidR="00C74A18" w:rsidRPr="00FF63D1">
        <w:rPr>
          <w:rFonts w:cs="Times New Roman"/>
          <w:noProof/>
        </w:rPr>
        <w:t>rements would apply to (</w:t>
      </w:r>
      <w:r w:rsidR="002B1F0F" w:rsidRPr="00FF63D1">
        <w:rPr>
          <w:rFonts w:cs="Times New Roman"/>
          <w:noProof/>
        </w:rPr>
        <w:t>public procurement, auctions and support schemes</w:t>
      </w:r>
      <w:r w:rsidR="00C74A18" w:rsidRPr="00FF63D1">
        <w:rPr>
          <w:rFonts w:cs="Times New Roman"/>
          <w:noProof/>
        </w:rPr>
        <w:t>)</w:t>
      </w:r>
      <w:r w:rsidR="002B1F0F" w:rsidRPr="00FF63D1">
        <w:rPr>
          <w:rFonts w:cs="Times New Roman"/>
          <w:noProof/>
        </w:rPr>
        <w:t xml:space="preserve">. </w:t>
      </w:r>
    </w:p>
    <w:p w14:paraId="33D56EEF" w14:textId="4F8FBF50" w:rsidR="00204FBC" w:rsidRPr="00FF63D1" w:rsidRDefault="00204FBC" w:rsidP="00400270">
      <w:pPr>
        <w:pStyle w:val="ListParagraph"/>
        <w:numPr>
          <w:ilvl w:val="0"/>
          <w:numId w:val="69"/>
        </w:numPr>
        <w:rPr>
          <w:rFonts w:cs="Times New Roman"/>
          <w:noProof/>
        </w:rPr>
      </w:pPr>
      <w:r w:rsidRPr="00FF63D1">
        <w:rPr>
          <w:rFonts w:cs="Times New Roman"/>
          <w:noProof/>
        </w:rPr>
        <w:t xml:space="preserve">Ramping up manufacturing capacity of PV modules is fast, therefore a </w:t>
      </w:r>
      <w:r w:rsidR="00220D09">
        <w:rPr>
          <w:rFonts w:cs="Times New Roman"/>
          <w:noProof/>
        </w:rPr>
        <w:t>Made in EU</w:t>
      </w:r>
      <w:r w:rsidRPr="00FF63D1">
        <w:rPr>
          <w:rFonts w:cs="Times New Roman"/>
          <w:noProof/>
        </w:rPr>
        <w:t xml:space="preserve"> requirement to be introduced one year after entry into force of the Act would be feasible.</w:t>
      </w:r>
    </w:p>
    <w:p w14:paraId="37807286" w14:textId="2F7BCA88" w:rsidR="00805B5E" w:rsidRPr="001C4ED9" w:rsidRDefault="00204FBC" w:rsidP="001C4ED9">
      <w:pPr>
        <w:pStyle w:val="ListParagraph"/>
        <w:numPr>
          <w:ilvl w:val="0"/>
          <w:numId w:val="69"/>
        </w:numPr>
        <w:rPr>
          <w:rFonts w:cs="Times New Roman"/>
          <w:noProof/>
        </w:rPr>
      </w:pPr>
      <w:r w:rsidRPr="00FF63D1">
        <w:rPr>
          <w:rFonts w:cs="Times New Roman"/>
          <w:noProof/>
        </w:rPr>
        <w:t xml:space="preserve">By 2030, the EU has sufficient manufacturing capacity to fulfil the deployment covered by IAA through the whole value chain, provided that the right measures (like </w:t>
      </w:r>
      <w:r w:rsidR="00220D09">
        <w:rPr>
          <w:rFonts w:cs="Times New Roman"/>
          <w:noProof/>
        </w:rPr>
        <w:t xml:space="preserve">Made in EU </w:t>
      </w:r>
      <w:r w:rsidRPr="00FF63D1">
        <w:rPr>
          <w:rFonts w:cs="Times New Roman"/>
          <w:noProof/>
        </w:rPr>
        <w:t xml:space="preserve">requirements) are put in place. </w:t>
      </w:r>
    </w:p>
    <w:p w14:paraId="127D67E3" w14:textId="77777777" w:rsidR="00913ABF" w:rsidRPr="00FF63D1" w:rsidRDefault="00913ABF" w:rsidP="008A0BFF">
      <w:pPr>
        <w:spacing w:line="259" w:lineRule="auto"/>
        <w:rPr>
          <w:rFonts w:cs="Times New Roman"/>
          <w:noProof/>
        </w:rPr>
      </w:pPr>
      <w:r w:rsidRPr="00FF63D1">
        <w:rPr>
          <w:rFonts w:cs="Times New Roman"/>
          <w:noProof/>
        </w:rPr>
        <w:t>Operational capacity can fulfil the following percentages of current PV deployment covered by IAA:</w:t>
      </w:r>
    </w:p>
    <w:p w14:paraId="70072FE7"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Polysilicon: &gt;100% </w:t>
      </w:r>
    </w:p>
    <w:p w14:paraId="5EC592D9"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Ingot: 0% </w:t>
      </w:r>
    </w:p>
    <w:p w14:paraId="5C9F7841"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Wafer: 0% </w:t>
      </w:r>
    </w:p>
    <w:p w14:paraId="6CD54541"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Cell: 10% </w:t>
      </w:r>
    </w:p>
    <w:p w14:paraId="4CCEC12E"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Module: &gt;50% </w:t>
      </w:r>
    </w:p>
    <w:p w14:paraId="32D5D136"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Inverter: &gt;100% </w:t>
      </w:r>
    </w:p>
    <w:p w14:paraId="4FC7D3BE" w14:textId="23FE0EC9" w:rsidR="00913ABF" w:rsidRPr="00400270" w:rsidRDefault="00913ABF" w:rsidP="00400270">
      <w:pPr>
        <w:spacing w:line="259" w:lineRule="auto"/>
        <w:rPr>
          <w:rFonts w:cs="Times New Roman"/>
          <w:noProof/>
        </w:rPr>
      </w:pPr>
      <w:r w:rsidRPr="00400270">
        <w:rPr>
          <w:rFonts w:cs="Times New Roman"/>
          <w:noProof/>
        </w:rPr>
        <w:t>Capacity expected to be operational one year after the entry into force of IAA (i.e. 2028, operational + FID + under construction capacity) could fulfil the following percentage of PV deployment covered by IAA:</w:t>
      </w:r>
    </w:p>
    <w:p w14:paraId="4012F2AB"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Polysilicon: &gt;100% </w:t>
      </w:r>
    </w:p>
    <w:p w14:paraId="31F47160"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Ingot: 0% </w:t>
      </w:r>
    </w:p>
    <w:p w14:paraId="09AE2EE5"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Wafer: 1% </w:t>
      </w:r>
    </w:p>
    <w:p w14:paraId="7A49B173"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Cell: &gt;60% </w:t>
      </w:r>
    </w:p>
    <w:p w14:paraId="782973B2"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Module: 80% </w:t>
      </w:r>
    </w:p>
    <w:p w14:paraId="69487BA8"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Inverter: &gt;100% </w:t>
      </w:r>
    </w:p>
    <w:p w14:paraId="640D3F00" w14:textId="7AD0AC3F" w:rsidR="00215BD1" w:rsidRDefault="423AB528" w:rsidP="00215BD1">
      <w:pPr>
        <w:spacing w:after="120"/>
        <w:rPr>
          <w:rFonts w:cs="Times New Roman"/>
          <w:noProof/>
        </w:rPr>
      </w:pPr>
      <w:r w:rsidRPr="00400270">
        <w:rPr>
          <w:rFonts w:cs="Times New Roman"/>
          <w:noProof/>
        </w:rPr>
        <w:t xml:space="preserve">Further components from the </w:t>
      </w:r>
      <w:r w:rsidR="1FA72CFE" w:rsidRPr="00400270">
        <w:rPr>
          <w:rFonts w:cs="Times New Roman"/>
          <w:noProof/>
        </w:rPr>
        <w:t>list in the Communication on</w:t>
      </w:r>
      <w:r w:rsidRPr="00400270">
        <w:rPr>
          <w:rFonts w:cs="Times New Roman"/>
          <w:noProof/>
        </w:rPr>
        <w:t xml:space="preserve"> main specific components </w:t>
      </w:r>
      <w:r w:rsidR="139E6DA1" w:rsidRPr="00400270">
        <w:rPr>
          <w:rFonts w:cs="Times New Roman"/>
          <w:noProof/>
        </w:rPr>
        <w:t xml:space="preserve">under the </w:t>
      </w:r>
      <w:r w:rsidRPr="00400270">
        <w:rPr>
          <w:rFonts w:cs="Times New Roman"/>
          <w:noProof/>
        </w:rPr>
        <w:t xml:space="preserve">Net-Zero </w:t>
      </w:r>
      <w:r w:rsidRPr="001C4ED9">
        <w:rPr>
          <w:rFonts w:ascii="Times" w:eastAsia="Times New Roman" w:hAnsi="Times" w:cs="Times"/>
          <w:noProof/>
          <w:lang w:val="en-IE"/>
        </w:rPr>
        <w:t>Industry</w:t>
      </w:r>
      <w:r w:rsidRPr="00400270">
        <w:rPr>
          <w:rFonts w:cs="Times New Roman"/>
          <w:noProof/>
        </w:rPr>
        <w:t xml:space="preserve"> Act can be used to meet the targets of </w:t>
      </w:r>
      <w:r w:rsidR="71F2173B" w:rsidRPr="001C4ED9">
        <w:rPr>
          <w:rFonts w:cs="Times New Roman"/>
          <w:noProof/>
        </w:rPr>
        <w:t xml:space="preserve">LEAD_SOL </w:t>
      </w:r>
      <w:r w:rsidRPr="00400270">
        <w:rPr>
          <w:rFonts w:cs="Times New Roman"/>
          <w:noProof/>
        </w:rPr>
        <w:t>1.</w:t>
      </w:r>
      <w:r w:rsidR="007A457F" w:rsidRPr="00FF63D1">
        <w:rPr>
          <w:rStyle w:val="FootnoteReference"/>
          <w:rFonts w:cs="Times New Roman"/>
          <w:noProof/>
        </w:rPr>
        <w:footnoteReference w:id="597"/>
      </w:r>
      <w:r w:rsidRPr="00400270">
        <w:rPr>
          <w:rFonts w:cs="Times New Roman"/>
          <w:noProof/>
        </w:rPr>
        <w:t xml:space="preserve"> </w:t>
      </w:r>
    </w:p>
    <w:p w14:paraId="1CBCCFF3" w14:textId="3AA54EB1" w:rsidR="00913ABF" w:rsidRPr="00400270" w:rsidRDefault="00913ABF" w:rsidP="00215BD1">
      <w:pPr>
        <w:spacing w:after="120"/>
        <w:rPr>
          <w:rFonts w:cs="Times New Roman"/>
          <w:noProof/>
        </w:rPr>
      </w:pPr>
      <w:r w:rsidRPr="00400270">
        <w:rPr>
          <w:rFonts w:cs="Times New Roman"/>
          <w:noProof/>
        </w:rPr>
        <w:t>Capacity expected to be operational in 2030 (operational + FID + under construction + announced capacity) could fulfil the following percentage of PV deployment covered by IAA:</w:t>
      </w:r>
    </w:p>
    <w:p w14:paraId="128250AE"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Polysilicon: &gt;100% </w:t>
      </w:r>
    </w:p>
    <w:p w14:paraId="2C5DEDEA"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Ingot: &gt;100% </w:t>
      </w:r>
    </w:p>
    <w:p w14:paraId="2A7D0785"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Wafer: &gt;100% </w:t>
      </w:r>
    </w:p>
    <w:p w14:paraId="1996472B"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Cell: &gt;100% </w:t>
      </w:r>
    </w:p>
    <w:p w14:paraId="35350BE5"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Module: &gt;100% </w:t>
      </w:r>
    </w:p>
    <w:p w14:paraId="4F1630C6" w14:textId="77777777" w:rsidR="00913ABF" w:rsidRPr="00FF63D1" w:rsidRDefault="00913ABF" w:rsidP="00400270">
      <w:pPr>
        <w:pStyle w:val="ListParagraph"/>
        <w:numPr>
          <w:ilvl w:val="0"/>
          <w:numId w:val="69"/>
        </w:numPr>
        <w:rPr>
          <w:rFonts w:cs="Times New Roman"/>
          <w:noProof/>
        </w:rPr>
      </w:pPr>
      <w:r w:rsidRPr="00FF63D1">
        <w:rPr>
          <w:rFonts w:cs="Times New Roman"/>
          <w:noProof/>
        </w:rPr>
        <w:t xml:space="preserve">Inverter: &gt;100% </w:t>
      </w:r>
    </w:p>
    <w:p w14:paraId="2159FAF1" w14:textId="1CCDBFEA" w:rsidR="00215BD1" w:rsidRDefault="139E6DA1" w:rsidP="00400270">
      <w:pPr>
        <w:spacing w:after="120"/>
        <w:rPr>
          <w:rFonts w:cs="Times New Roman"/>
          <w:noProof/>
        </w:rPr>
      </w:pPr>
      <w:r w:rsidRPr="00FF63D1">
        <w:rPr>
          <w:rFonts w:cs="Times New Roman"/>
          <w:noProof/>
        </w:rPr>
        <w:t xml:space="preserve">Further components from the list in the Communication on main specific components under the Net-Zero Industry Act can be used to meet the targets of </w:t>
      </w:r>
      <w:r w:rsidR="71F2173B">
        <w:rPr>
          <w:rFonts w:cs="Times New Roman"/>
          <w:noProof/>
        </w:rPr>
        <w:t>LEAD_SOL</w:t>
      </w:r>
      <w:r w:rsidRPr="00FF63D1">
        <w:rPr>
          <w:rFonts w:cs="Times New Roman"/>
          <w:noProof/>
        </w:rPr>
        <w:t xml:space="preserve"> 1.</w:t>
      </w:r>
      <w:r w:rsidR="00531B18" w:rsidRPr="00FF63D1">
        <w:rPr>
          <w:rStyle w:val="FootnoteReference"/>
          <w:rFonts w:cs="Times New Roman"/>
          <w:noProof/>
        </w:rPr>
        <w:footnoteReference w:id="598"/>
      </w:r>
      <w:r w:rsidRPr="00FF63D1">
        <w:rPr>
          <w:rFonts w:cs="Times New Roman"/>
          <w:noProof/>
        </w:rPr>
        <w:t xml:space="preserve"> </w:t>
      </w:r>
    </w:p>
    <w:p w14:paraId="13839B92" w14:textId="7CDB3016" w:rsidR="005106C3" w:rsidRPr="00215BD1" w:rsidRDefault="00020031" w:rsidP="00400270">
      <w:pPr>
        <w:spacing w:after="120"/>
        <w:rPr>
          <w:rFonts w:cs="Times New Roman"/>
          <w:noProof/>
        </w:rPr>
      </w:pPr>
      <w:r w:rsidRPr="00BF61FE">
        <w:rPr>
          <w:rFonts w:ascii="Times" w:eastAsia="Times New Roman" w:hAnsi="Times" w:cs="Times"/>
          <w:noProof/>
          <w:lang w:val="en-IE"/>
        </w:rPr>
        <w:t xml:space="preserve">In public procurement procedures, contracting authorities must limit reliance on overconcentrated supply chains and impose contractual obligations if more than 50% of a main specific </w:t>
      </w:r>
      <w:r w:rsidRPr="00400270">
        <w:rPr>
          <w:rFonts w:cs="Times New Roman"/>
          <w:noProof/>
        </w:rPr>
        <w:t>component</w:t>
      </w:r>
      <w:r w:rsidRPr="00BF61FE">
        <w:rPr>
          <w:rFonts w:ascii="Times" w:eastAsia="Times New Roman" w:hAnsi="Times" w:cs="Times"/>
          <w:noProof/>
          <w:lang w:val="en-IE"/>
        </w:rPr>
        <w:t xml:space="preserve"> originates from a single third country. Public procurement is emerging as a crucial tool to shape demand for EU-made solar products. </w:t>
      </w:r>
    </w:p>
    <w:p w14:paraId="4CE06BAB" w14:textId="435038D3" w:rsidR="00020031" w:rsidRDefault="00020031" w:rsidP="617D0D8B">
      <w:pPr>
        <w:rPr>
          <w:rFonts w:ascii="Times" w:hAnsi="Times" w:cs="Times"/>
          <w:b/>
          <w:bCs/>
          <w:noProof/>
        </w:rPr>
      </w:pPr>
      <w:r w:rsidRPr="617D0D8B">
        <w:rPr>
          <w:rFonts w:ascii="Times" w:hAnsi="Times" w:cs="Times"/>
          <w:b/>
          <w:bCs/>
          <w:noProof/>
        </w:rPr>
        <w:t>LEAD_SOL 2</w:t>
      </w:r>
      <w:r w:rsidR="002555B3" w:rsidRPr="617D0D8B">
        <w:rPr>
          <w:rFonts w:ascii="Times" w:hAnsi="Times" w:cs="Times"/>
          <w:b/>
          <w:bCs/>
          <w:noProof/>
        </w:rPr>
        <w:t xml:space="preserve"> - </w:t>
      </w:r>
      <w:r w:rsidR="000B3C9C">
        <w:rPr>
          <w:rFonts w:ascii="Times" w:hAnsi="Times" w:cs="Times"/>
          <w:b/>
          <w:bCs/>
          <w:noProof/>
        </w:rPr>
        <w:t xml:space="preserve">Made in EU </w:t>
      </w:r>
      <w:r w:rsidR="002555B3" w:rsidRPr="617D0D8B">
        <w:rPr>
          <w:rFonts w:ascii="Times" w:hAnsi="Times" w:cs="Times"/>
          <w:b/>
          <w:bCs/>
          <w:noProof/>
        </w:rPr>
        <w:t>requirements in solar PVs placed on the market</w:t>
      </w:r>
    </w:p>
    <w:p w14:paraId="4D0736E1" w14:textId="77777777" w:rsidR="00400270" w:rsidRPr="00BF61FE" w:rsidRDefault="00400270" w:rsidP="617D0D8B">
      <w:pPr>
        <w:rPr>
          <w:rFonts w:ascii="Times" w:eastAsia="Times New Roman" w:hAnsi="Times" w:cs="Times"/>
          <w:noProof/>
          <w:lang w:val="en-IE"/>
        </w:rPr>
      </w:pPr>
    </w:p>
    <w:p w14:paraId="524ED1D0" w14:textId="53E112E4" w:rsidR="005661DC" w:rsidRPr="00FF63D1" w:rsidRDefault="00020031" w:rsidP="00400270">
      <w:pPr>
        <w:spacing w:after="120"/>
        <w:rPr>
          <w:rFonts w:ascii="Times" w:hAnsi="Times" w:cs="Times"/>
          <w:noProof/>
        </w:rPr>
      </w:pPr>
      <w:r w:rsidRPr="00FF63D1">
        <w:rPr>
          <w:rFonts w:ascii="Times" w:hAnsi="Times" w:cs="Times"/>
          <w:noProof/>
        </w:rPr>
        <w:t xml:space="preserve">In addition to the measure described in LEAD_SOL 1, this measure introduces </w:t>
      </w:r>
      <w:r w:rsidR="000B3C9C">
        <w:rPr>
          <w:rFonts w:ascii="Times" w:hAnsi="Times" w:cs="Times"/>
          <w:noProof/>
        </w:rPr>
        <w:t xml:space="preserve">Made in EU </w:t>
      </w:r>
      <w:r>
        <w:rPr>
          <w:rFonts w:ascii="Times" w:hAnsi="Times" w:cs="Times"/>
          <w:noProof/>
        </w:rPr>
        <w:t>requirement</w:t>
      </w:r>
      <w:r w:rsidRPr="00400270">
        <w:rPr>
          <w:rFonts w:cs="Times New Roman"/>
          <w:noProof/>
        </w:rPr>
        <w:t>s</w:t>
      </w:r>
      <w:r w:rsidRPr="00FF63D1">
        <w:rPr>
          <w:rFonts w:ascii="Times" w:hAnsi="Times" w:cs="Times"/>
          <w:noProof/>
        </w:rPr>
        <w:t xml:space="preserve"> for solar PV also in private procurement, in addition to public procurement and support schemes - to further strengthen EU manufacturing.</w:t>
      </w:r>
    </w:p>
    <w:p w14:paraId="5BD37880" w14:textId="3BAFA858" w:rsidR="00020031" w:rsidRPr="00FF63D1" w:rsidRDefault="00020031" w:rsidP="00400270">
      <w:pPr>
        <w:spacing w:after="120"/>
        <w:rPr>
          <w:rFonts w:ascii="Times" w:eastAsia="Times New Roman" w:hAnsi="Times" w:cs="Times"/>
          <w:noProof/>
        </w:rPr>
      </w:pPr>
      <w:r w:rsidRPr="00FF63D1">
        <w:rPr>
          <w:rFonts w:ascii="Times" w:eastAsia="Times New Roman" w:hAnsi="Times" w:cs="Times"/>
          <w:noProof/>
        </w:rPr>
        <w:t xml:space="preserve">To ensure effective implementation, manufacturers would be required to document the EU content of their products, including sourcing, production, and assembly data. Compliance could be verified </w:t>
      </w:r>
      <w:r w:rsidRPr="00400270">
        <w:rPr>
          <w:rFonts w:cs="Times New Roman"/>
          <w:noProof/>
        </w:rPr>
        <w:t>through</w:t>
      </w:r>
      <w:r w:rsidRPr="00FF63D1">
        <w:rPr>
          <w:rFonts w:ascii="Times" w:eastAsia="Times New Roman" w:hAnsi="Times" w:cs="Times"/>
          <w:noProof/>
        </w:rPr>
        <w:t xml:space="preserve"> regular reporting and independent audits, with a clear methodology for calculating EU value added. Enforcement could include penalties for non-compliance, ensuring transparency and consistency across both public and private procurement markets.</w:t>
      </w:r>
    </w:p>
    <w:p w14:paraId="5FEE730C" w14:textId="77777777" w:rsidR="00020031" w:rsidRPr="00FF63D1" w:rsidRDefault="00020031" w:rsidP="00400270">
      <w:pPr>
        <w:spacing w:after="120"/>
        <w:rPr>
          <w:rFonts w:ascii="Times" w:hAnsi="Times" w:cs="Times"/>
          <w:i/>
          <w:noProof/>
        </w:rPr>
      </w:pPr>
      <w:r w:rsidRPr="00400270">
        <w:rPr>
          <w:i/>
          <w:noProof/>
        </w:rPr>
        <w:t xml:space="preserve">Phased in approach </w:t>
      </w:r>
    </w:p>
    <w:p w14:paraId="43D52CAE" w14:textId="15232924" w:rsidR="00020031" w:rsidRPr="00FF63D1" w:rsidRDefault="00020031" w:rsidP="00400270">
      <w:pPr>
        <w:spacing w:after="120"/>
        <w:rPr>
          <w:rFonts w:ascii="Times" w:eastAsia="Times New Roman" w:hAnsi="Times" w:cs="Times"/>
          <w:noProof/>
        </w:rPr>
      </w:pPr>
      <w:r w:rsidRPr="00FF63D1">
        <w:rPr>
          <w:rFonts w:ascii="Times" w:hAnsi="Times" w:cs="Times"/>
          <w:noProof/>
        </w:rPr>
        <w:t xml:space="preserve">To mitigate potential supply chain disruptions, </w:t>
      </w:r>
      <w:r w:rsidR="000B3C9C">
        <w:rPr>
          <w:rFonts w:ascii="Times" w:hAnsi="Times" w:cs="Times"/>
          <w:noProof/>
        </w:rPr>
        <w:t xml:space="preserve">Made in EU </w:t>
      </w:r>
      <w:r w:rsidRPr="00FF63D1">
        <w:rPr>
          <w:rFonts w:ascii="Times" w:hAnsi="Times" w:cs="Times"/>
          <w:noProof/>
        </w:rPr>
        <w:t xml:space="preserve">requirements can be phased in gradually, aligning with the feasible expansion of manufacturing capacity within the EU. This staggered approach would help ensure that the requirements are not only realistic and enforceable but also in sync with the actual industrial development of the EU solar PV sector. </w:t>
      </w:r>
      <w:r w:rsidR="000B3C9C">
        <w:rPr>
          <w:rFonts w:ascii="Times" w:eastAsia="Times New Roman" w:hAnsi="Times" w:cs="Times"/>
          <w:noProof/>
        </w:rPr>
        <w:t>Made in EU</w:t>
      </w:r>
      <w:r w:rsidRPr="00FF63D1">
        <w:rPr>
          <w:rFonts w:ascii="Times" w:eastAsia="Times New Roman" w:hAnsi="Times" w:cs="Times"/>
          <w:noProof/>
        </w:rPr>
        <w:t xml:space="preserve"> requirements could be phased in gradually, starting with low thresholds and less complex value chain segments, then expanding and rising over time as EU production capacity develops. Alternatively, rules could apply only once minimum capacity is in place, with voluntary commitments from large buyers encouraged in the meantime.</w:t>
      </w:r>
    </w:p>
    <w:p w14:paraId="4613103C" w14:textId="7A50879E" w:rsidR="00020031" w:rsidRPr="00FF63D1" w:rsidRDefault="00020031" w:rsidP="005661DC">
      <w:pPr>
        <w:rPr>
          <w:rFonts w:eastAsia="Times New Roman"/>
          <w:b/>
          <w:noProof/>
        </w:rPr>
      </w:pPr>
      <w:bookmarkStart w:id="673" w:name="_Hlk205569560"/>
      <w:r w:rsidRPr="00FF63D1">
        <w:rPr>
          <w:rFonts w:eastAsia="Times New Roman"/>
          <w:b/>
          <w:noProof/>
        </w:rPr>
        <w:t xml:space="preserve">LEAD_VC 1 </w:t>
      </w:r>
      <w:r w:rsidR="000E26A5">
        <w:rPr>
          <w:rFonts w:eastAsia="Times New Roman"/>
          <w:b/>
          <w:noProof/>
        </w:rPr>
        <w:t>–</w:t>
      </w:r>
      <w:r w:rsidRPr="00FF63D1">
        <w:rPr>
          <w:rFonts w:eastAsia="Times New Roman"/>
          <w:b/>
          <w:noProof/>
        </w:rPr>
        <w:t xml:space="preserve"> </w:t>
      </w:r>
      <w:r w:rsidR="000E26A5">
        <w:rPr>
          <w:rFonts w:eastAsia="Times New Roman"/>
          <w:b/>
          <w:noProof/>
        </w:rPr>
        <w:t xml:space="preserve">Made in </w:t>
      </w:r>
      <w:r w:rsidR="00B726BE" w:rsidRPr="00FF63D1">
        <w:rPr>
          <w:rFonts w:eastAsia="Times New Roman"/>
          <w:b/>
          <w:noProof/>
        </w:rPr>
        <w:t xml:space="preserve">EU requirements </w:t>
      </w:r>
      <w:r w:rsidR="0073163A" w:rsidRPr="00FF63D1">
        <w:rPr>
          <w:rFonts w:eastAsia="Times New Roman"/>
          <w:b/>
          <w:noProof/>
        </w:rPr>
        <w:t>in</w:t>
      </w:r>
      <w:r w:rsidR="00B726BE" w:rsidRPr="00FF63D1">
        <w:rPr>
          <w:rFonts w:eastAsia="Times New Roman"/>
          <w:b/>
          <w:noProof/>
        </w:rPr>
        <w:t xml:space="preserve"> vehicle components for public procurements and support schemes</w:t>
      </w:r>
      <w:r w:rsidR="00B726BE" w:rsidRPr="00FF63D1" w:rsidDel="00B726BE">
        <w:rPr>
          <w:rFonts w:eastAsia="Times New Roman"/>
          <w:b/>
          <w:noProof/>
        </w:rPr>
        <w:t xml:space="preserve"> </w:t>
      </w:r>
    </w:p>
    <w:p w14:paraId="60D29312" w14:textId="77777777" w:rsidR="005661DC" w:rsidRPr="00FF63D1" w:rsidRDefault="005661DC" w:rsidP="005661DC">
      <w:pPr>
        <w:rPr>
          <w:rFonts w:eastAsia="Times New Roman"/>
          <w:b/>
          <w:noProof/>
        </w:rPr>
      </w:pPr>
    </w:p>
    <w:p w14:paraId="75C72086" w14:textId="2C1E48E1" w:rsidR="00B26AD0" w:rsidRPr="00FF63D1" w:rsidRDefault="00B26AD0" w:rsidP="00400270">
      <w:pPr>
        <w:spacing w:after="120"/>
        <w:rPr>
          <w:rFonts w:eastAsia="Times New Roman"/>
          <w:noProof/>
        </w:rPr>
      </w:pPr>
      <w:r w:rsidRPr="00BF61FE">
        <w:rPr>
          <w:noProof/>
        </w:rPr>
        <w:t xml:space="preserve">Driver 3 under Sub-problem </w:t>
      </w:r>
      <w:r w:rsidR="00FE0B3A" w:rsidRPr="00BF61FE">
        <w:rPr>
          <w:noProof/>
        </w:rPr>
        <w:t>2</w:t>
      </w:r>
      <w:r w:rsidRPr="00FF63D1">
        <w:rPr>
          <w:noProof/>
        </w:rPr>
        <w:t xml:space="preserve"> is relevant for automotive components, which is why </w:t>
      </w:r>
      <w:r w:rsidR="000B3C9C">
        <w:rPr>
          <w:noProof/>
        </w:rPr>
        <w:t xml:space="preserve">Made in EU </w:t>
      </w:r>
      <w:r w:rsidRPr="00FF63D1">
        <w:rPr>
          <w:noProof/>
        </w:rPr>
        <w:t xml:space="preserve">requirements are the only policy option assessed. </w:t>
      </w:r>
      <w:r w:rsidRPr="00FF63D1">
        <w:rPr>
          <w:rFonts w:eastAsia="Times New Roman"/>
          <w:noProof/>
        </w:rPr>
        <w:t xml:space="preserve">As explained in the baseline, resilience criteria laid down by the NZIA framework do not cover the entire spectrum of vehicle components that have the </w:t>
      </w:r>
      <w:r w:rsidRPr="00400270">
        <w:rPr>
          <w:rFonts w:ascii="Times" w:hAnsi="Times" w:cs="Times"/>
          <w:noProof/>
        </w:rPr>
        <w:t>potential</w:t>
      </w:r>
      <w:r w:rsidRPr="00FF63D1">
        <w:rPr>
          <w:rFonts w:eastAsia="Times New Roman"/>
          <w:noProof/>
        </w:rPr>
        <w:t xml:space="preserve"> to contribute to the decarbonisation of road transport, nor do they address sufficiently the economic pressure (cost disadvantage) faced by domestic automotive component suppliers. In line with this driver, this measure would introduce </w:t>
      </w:r>
      <w:r w:rsidR="000B3C9C">
        <w:rPr>
          <w:rFonts w:eastAsia="Times New Roman"/>
          <w:noProof/>
        </w:rPr>
        <w:t xml:space="preserve">Made in EU </w:t>
      </w:r>
      <w:r w:rsidRPr="00FF63D1">
        <w:rPr>
          <w:rFonts w:eastAsia="Times New Roman"/>
          <w:noProof/>
        </w:rPr>
        <w:t>requirements for automotive components, as the minimum share (%) of EU-made components over total components in value, excluding batteries. in public procurement and public support schemes.</w:t>
      </w:r>
    </w:p>
    <w:p w14:paraId="3AE6B6A4" w14:textId="77777777" w:rsidR="00B26AD0" w:rsidRPr="00FF63D1" w:rsidRDefault="00B26AD0" w:rsidP="00400270">
      <w:pPr>
        <w:spacing w:after="120"/>
        <w:rPr>
          <w:rFonts w:eastAsia="Times New Roman"/>
          <w:i/>
          <w:noProof/>
        </w:rPr>
      </w:pPr>
      <w:r w:rsidRPr="00FF63D1">
        <w:rPr>
          <w:rFonts w:eastAsia="Times New Roman"/>
          <w:i/>
          <w:noProof/>
        </w:rPr>
        <w:t>Scope considerations</w:t>
      </w:r>
    </w:p>
    <w:p w14:paraId="61277368" w14:textId="1FFBB529" w:rsidR="00B26AD0" w:rsidRPr="00FF63D1" w:rsidRDefault="5E05D3DE" w:rsidP="00400270">
      <w:pPr>
        <w:spacing w:after="120"/>
        <w:rPr>
          <w:rFonts w:eastAsia="Times New Roman"/>
          <w:noProof/>
        </w:rPr>
      </w:pPr>
      <w:r w:rsidRPr="00FF63D1">
        <w:rPr>
          <w:rFonts w:eastAsia="Times New Roman"/>
          <w:noProof/>
        </w:rPr>
        <w:t>The EU content in a passenger car sold on the EU market may differ significantly depending on the model and type of vehicle considered and where it has been produced. Estimates from the JRC indicate that the EU content in passenger cars produced in the EU has been gradually decreasing over time and represented in 2022 on average 70% of the car's value in the case of an EV (excluding the battery) while it was totalling 85% of the car's value for an internal combustion engine (ICE) car.</w:t>
      </w:r>
      <w:r w:rsidR="00B26AD0" w:rsidRPr="00FF63D1">
        <w:rPr>
          <w:rStyle w:val="FootnoteReference"/>
          <w:rFonts w:eastAsia="Times New Roman"/>
          <w:noProof/>
        </w:rPr>
        <w:footnoteReference w:id="599"/>
      </w:r>
      <w:r w:rsidRPr="00FF63D1">
        <w:rPr>
          <w:rFonts w:eastAsia="Times New Roman"/>
          <w:noProof/>
        </w:rPr>
        <w:t xml:space="preserve"> It should be noted that passenger cars not produced in the EU have lower shares of EU content compared to the ones produced in the EU</w:t>
      </w:r>
      <w:r w:rsidR="00B26AD0" w:rsidRPr="00FF63D1">
        <w:rPr>
          <w:rStyle w:val="FootnoteReference"/>
          <w:rFonts w:eastAsia="Times New Roman"/>
          <w:noProof/>
        </w:rPr>
        <w:footnoteReference w:id="600"/>
      </w:r>
      <w:r w:rsidRPr="00FF63D1">
        <w:rPr>
          <w:rFonts w:eastAsia="Times New Roman"/>
          <w:noProof/>
        </w:rPr>
        <w:t xml:space="preserve">, however the battery is assessed in a different provision (LEAD_BAT). Implementing a 70% </w:t>
      </w:r>
      <w:r w:rsidR="047DB8F4">
        <w:rPr>
          <w:rFonts w:eastAsia="Times New Roman"/>
          <w:noProof/>
        </w:rPr>
        <w:t>Made in EU</w:t>
      </w:r>
      <w:r w:rsidRPr="00FF63D1">
        <w:rPr>
          <w:rFonts w:eastAsia="Times New Roman"/>
          <w:noProof/>
        </w:rPr>
        <w:t xml:space="preserve"> requirement for EVs sold in the EU upon the introduction of the measure could help reverse the erosion of EU content of EVs observed over the last decade, bringing it closer to that of ICEs. The requirement could then be gradually increased to 75% by 2030. </w:t>
      </w:r>
    </w:p>
    <w:p w14:paraId="648AE423" w14:textId="59EBB104" w:rsidR="00B26AD0" w:rsidRPr="00FF63D1" w:rsidRDefault="00B26AD0" w:rsidP="00400270">
      <w:pPr>
        <w:spacing w:after="120"/>
        <w:rPr>
          <w:rFonts w:eastAsia="Times New Roman"/>
          <w:noProof/>
        </w:rPr>
      </w:pPr>
      <w:r w:rsidRPr="00FF63D1">
        <w:rPr>
          <w:rFonts w:eastAsia="Times New Roman"/>
          <w:noProof/>
        </w:rPr>
        <w:t>A crucial aspect of vehicle components production regarding its complex value chain must be taken into consideration: the final vehicle component product is often composed of key sub-components and materials (or software), each of which constitutes a distinct finished product originating from upstream sectors (tier 2 or 3 suppliers), sometimes located in different countries. If we take, for instance, the example of an electric motor, the final product may include a stator and rotor, a shaft, bearings, bracket, terminal box (T-box) seat and its cover, washer, pre-load spring, external fan and its cover.</w:t>
      </w:r>
    </w:p>
    <w:p w14:paraId="379A55C7" w14:textId="39F4FB4C" w:rsidR="00B26AD0" w:rsidRPr="00FF63D1" w:rsidRDefault="00B26AD0" w:rsidP="00400270">
      <w:pPr>
        <w:spacing w:after="120"/>
        <w:rPr>
          <w:rFonts w:eastAsia="Times New Roman"/>
          <w:noProof/>
        </w:rPr>
      </w:pPr>
      <w:r w:rsidRPr="00FF63D1">
        <w:rPr>
          <w:rFonts w:eastAsia="Times New Roman"/>
          <w:noProof/>
        </w:rPr>
        <w:t xml:space="preserve">At the same time, the proposed measure has to be based on criteria that are relatively simple to implement and limit the administrative burden of each player of the value chain. The </w:t>
      </w:r>
      <w:r w:rsidR="000B3C9C">
        <w:rPr>
          <w:rFonts w:eastAsia="Times New Roman"/>
          <w:noProof/>
        </w:rPr>
        <w:t>Made in EU</w:t>
      </w:r>
      <w:r w:rsidRPr="00FF63D1">
        <w:rPr>
          <w:rFonts w:eastAsia="Times New Roman"/>
          <w:noProof/>
        </w:rPr>
        <w:t xml:space="preserve"> requirement on vehicle components should offer sufficient freedom to OEMs regarding their sourcing strategy (make or buy and choice of suppliers) and provide sufficient freedom to Tier-1 suppliers regarding their own sourcing strategy (make or buy and choice of tier 2+ suppliers). </w:t>
      </w:r>
    </w:p>
    <w:bookmarkEnd w:id="673"/>
    <w:p w14:paraId="4FAF8990" w14:textId="20A925F9" w:rsidR="00B26AD0" w:rsidRPr="00FF63D1" w:rsidRDefault="00B26AD0" w:rsidP="00400270">
      <w:pPr>
        <w:spacing w:after="120"/>
        <w:rPr>
          <w:rFonts w:eastAsia="Times New Roman"/>
          <w:noProof/>
        </w:rPr>
      </w:pPr>
      <w:r w:rsidRPr="00FF63D1">
        <w:rPr>
          <w:rFonts w:eastAsia="Times New Roman"/>
          <w:noProof/>
        </w:rPr>
        <w:t xml:space="preserve">The metrics used to assess the EU content threshold should be defined as the minimum share (%) of EU-made components over total components, in value, excluding batteries. The EU content definition should remain as close as possible to the existing rule of origin </w:t>
      </w:r>
      <w:r w:rsidR="00BD3AEB" w:rsidRPr="00FF63D1">
        <w:rPr>
          <w:rFonts w:eastAsia="Times New Roman"/>
          <w:noProof/>
        </w:rPr>
        <w:t xml:space="preserve">methodology </w:t>
      </w:r>
      <w:r w:rsidR="00227A0D" w:rsidRPr="00FF63D1">
        <w:rPr>
          <w:rFonts w:eastAsia="Times New Roman"/>
          <w:noProof/>
        </w:rPr>
        <w:t xml:space="preserve">referring to </w:t>
      </w:r>
      <w:r w:rsidR="00150920" w:rsidRPr="00FF63D1">
        <w:rPr>
          <w:rFonts w:eastAsia="Times New Roman"/>
          <w:noProof/>
        </w:rPr>
        <w:t>“last substantial transformation”</w:t>
      </w:r>
      <w:r w:rsidRPr="00FF63D1">
        <w:rPr>
          <w:rFonts w:eastAsia="Times New Roman"/>
          <w:noProof/>
        </w:rPr>
        <w:t xml:space="preserve"> to limit additional administrative activities to both OEMs and suppliers.</w:t>
      </w:r>
    </w:p>
    <w:tbl>
      <w:tblPr>
        <w:tblStyle w:val="TableGrid"/>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020031" w:rsidRPr="00FF63D1" w14:paraId="121BAA30" w14:textId="77777777" w:rsidTr="00B85186">
        <w:trPr>
          <w:trHeight w:val="237"/>
        </w:trPr>
        <w:tc>
          <w:tcPr>
            <w:tcW w:w="5000" w:type="pct"/>
          </w:tcPr>
          <w:p w14:paraId="65E4B5B4" w14:textId="12CCC3AC" w:rsidR="00020031" w:rsidRPr="00FF63D1" w:rsidRDefault="038F956B" w:rsidP="5D042B50">
            <w:pPr>
              <w:rPr>
                <w:noProof/>
              </w:rPr>
            </w:pPr>
            <w:bookmarkStart w:id="674" w:name="_Hlk205569725"/>
            <w:r w:rsidRPr="00FF63D1">
              <w:rPr>
                <w:noProof/>
              </w:rPr>
              <w:t>EVs</w:t>
            </w:r>
            <w:r w:rsidR="00364972" w:rsidRPr="00FF63D1">
              <w:rPr>
                <w:rStyle w:val="FootnoteReference"/>
                <w:noProof/>
              </w:rPr>
              <w:footnoteReference w:id="601"/>
            </w:r>
            <w:r w:rsidRPr="00FF63D1">
              <w:rPr>
                <w:noProof/>
              </w:rPr>
              <w:t>: at least 70% EU-made components over total components, in value, excluding batteries one year after entry into force and 75% by 2030.</w:t>
            </w:r>
          </w:p>
        </w:tc>
      </w:tr>
      <w:bookmarkEnd w:id="674"/>
    </w:tbl>
    <w:p w14:paraId="5F87B029" w14:textId="48206092" w:rsidR="00020031" w:rsidRPr="00FF63D1" w:rsidRDefault="00020031" w:rsidP="005661DC">
      <w:pPr>
        <w:rPr>
          <w:noProof/>
        </w:rPr>
      </w:pPr>
    </w:p>
    <w:p w14:paraId="6342D4F2" w14:textId="4D02F255" w:rsidR="006C0B91" w:rsidRPr="00FF63D1" w:rsidRDefault="006C0B91" w:rsidP="006C0B91">
      <w:pPr>
        <w:rPr>
          <w:rFonts w:eastAsia="Times New Roman"/>
          <w:b/>
          <w:noProof/>
        </w:rPr>
      </w:pPr>
      <w:r w:rsidRPr="00FF63D1">
        <w:rPr>
          <w:rFonts w:eastAsia="Times New Roman"/>
          <w:b/>
          <w:noProof/>
        </w:rPr>
        <w:t xml:space="preserve">LEAD_VC 2 - Introduce </w:t>
      </w:r>
      <w:r w:rsidR="000E26A5">
        <w:rPr>
          <w:rFonts w:eastAsia="Times New Roman"/>
          <w:b/>
          <w:noProof/>
        </w:rPr>
        <w:t xml:space="preserve">Made in </w:t>
      </w:r>
      <w:r w:rsidRPr="00FF63D1">
        <w:rPr>
          <w:rFonts w:eastAsia="Times New Roman"/>
          <w:b/>
          <w:noProof/>
        </w:rPr>
        <w:t>EU requirements in automotive components for public procurements, public support schemes and all vehicles placing on the market.</w:t>
      </w:r>
    </w:p>
    <w:p w14:paraId="175C9992" w14:textId="77777777" w:rsidR="005661DC" w:rsidRPr="00FF63D1" w:rsidRDefault="005661DC" w:rsidP="005661DC">
      <w:pPr>
        <w:rPr>
          <w:rFonts w:eastAsia="Times New Roman"/>
          <w:b/>
          <w:noProof/>
        </w:rPr>
      </w:pPr>
    </w:p>
    <w:p w14:paraId="79E41736" w14:textId="77777777" w:rsidR="00020031" w:rsidRPr="00FF63D1" w:rsidRDefault="00020031" w:rsidP="00400270">
      <w:pPr>
        <w:spacing w:after="120"/>
        <w:rPr>
          <w:i/>
          <w:noProof/>
        </w:rPr>
      </w:pPr>
      <w:r w:rsidRPr="00FF63D1">
        <w:rPr>
          <w:i/>
          <w:noProof/>
        </w:rPr>
        <w:t>Scope considerations</w:t>
      </w:r>
    </w:p>
    <w:p w14:paraId="3E5B5F43" w14:textId="2C638ED3" w:rsidR="00020031" w:rsidRPr="00FF63D1" w:rsidRDefault="545C8C3C" w:rsidP="005661DC">
      <w:pPr>
        <w:rPr>
          <w:noProof/>
        </w:rPr>
      </w:pPr>
      <w:r w:rsidRPr="00FF63D1">
        <w:rPr>
          <w:noProof/>
        </w:rPr>
        <w:t xml:space="preserve">In addition to the measure described in LEAD_VC 1, this measure would introduce </w:t>
      </w:r>
      <w:r w:rsidR="000B3C9C">
        <w:rPr>
          <w:noProof/>
        </w:rPr>
        <w:t xml:space="preserve">Made in EU </w:t>
      </w:r>
      <w:r w:rsidRPr="00FF63D1">
        <w:rPr>
          <w:noProof/>
        </w:rPr>
        <w:t xml:space="preserve">requirements for automotive components not only in public procurement and public support schemes, but also to </w:t>
      </w:r>
      <w:r w:rsidR="5FFD1FBD" w:rsidRPr="00FF63D1">
        <w:rPr>
          <w:noProof/>
        </w:rPr>
        <w:t>placing on the market</w:t>
      </w:r>
      <w:r w:rsidRPr="00FF63D1">
        <w:rPr>
          <w:noProof/>
        </w:rPr>
        <w:t>.</w:t>
      </w:r>
    </w:p>
    <w:p w14:paraId="40D1CD78" w14:textId="77777777" w:rsidR="004E0A5D" w:rsidRPr="00FF63D1" w:rsidRDefault="004E0A5D" w:rsidP="005661DC">
      <w:pPr>
        <w:rPr>
          <w:noProof/>
        </w:rPr>
      </w:pPr>
    </w:p>
    <w:tbl>
      <w:tblPr>
        <w:tblStyle w:val="TableGrid"/>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020031" w:rsidRPr="00FF63D1" w14:paraId="7A7F988F" w14:textId="77777777" w:rsidTr="00742242">
        <w:trPr>
          <w:trHeight w:val="383"/>
        </w:trPr>
        <w:tc>
          <w:tcPr>
            <w:tcW w:w="5000" w:type="pct"/>
          </w:tcPr>
          <w:p w14:paraId="26508809" w14:textId="4E454AB0" w:rsidR="00020031" w:rsidRPr="00FF63D1" w:rsidRDefault="496992C8" w:rsidP="5D042B50">
            <w:pPr>
              <w:rPr>
                <w:noProof/>
              </w:rPr>
            </w:pPr>
            <w:r w:rsidRPr="00FF63D1">
              <w:rPr>
                <w:noProof/>
              </w:rPr>
              <w:t>EVs</w:t>
            </w:r>
            <w:r w:rsidR="00F315D4" w:rsidRPr="00FF63D1">
              <w:rPr>
                <w:rStyle w:val="FootnoteReference"/>
                <w:noProof/>
              </w:rPr>
              <w:footnoteReference w:id="602"/>
            </w:r>
            <w:r w:rsidRPr="00FF63D1">
              <w:rPr>
                <w:noProof/>
              </w:rPr>
              <w:t>: at least 70% of the total value of a vehicle one year after entry into force and 75% by 2030.</w:t>
            </w:r>
          </w:p>
        </w:tc>
      </w:tr>
    </w:tbl>
    <w:p w14:paraId="019B23B0" w14:textId="77777777" w:rsidR="00051539" w:rsidRDefault="00051539" w:rsidP="004A466F">
      <w:pPr>
        <w:rPr>
          <w:noProof/>
        </w:rPr>
      </w:pPr>
    </w:p>
    <w:p w14:paraId="357EEDA0" w14:textId="020A1FCF" w:rsidR="00020031" w:rsidRPr="00AB1DF9" w:rsidRDefault="00020031" w:rsidP="005B3D4D">
      <w:pPr>
        <w:pStyle w:val="Heading3"/>
        <w:numPr>
          <w:ilvl w:val="0"/>
          <w:numId w:val="0"/>
        </w:numPr>
        <w:spacing w:before="0" w:after="0"/>
        <w:rPr>
          <w:b/>
          <w:u w:val="single"/>
        </w:rPr>
      </w:pPr>
      <w:r w:rsidRPr="00AB1DF9">
        <w:rPr>
          <w:b/>
          <w:u w:val="single"/>
        </w:rPr>
        <w:t xml:space="preserve">SO3: </w:t>
      </w:r>
      <w:r w:rsidR="00FD221A" w:rsidRPr="00AB1DF9">
        <w:rPr>
          <w:b/>
          <w:u w:val="single"/>
        </w:rPr>
        <w:t>Maximise the quality and benefits of foreign investment in the EU</w:t>
      </w:r>
      <w:r w:rsidRPr="00152B38">
        <w:rPr>
          <w:b/>
          <w:u w:val="single"/>
        </w:rPr>
        <w:t xml:space="preserve"> </w:t>
      </w:r>
    </w:p>
    <w:p w14:paraId="616EF13C" w14:textId="77777777" w:rsidR="00020031" w:rsidRPr="00FF63D1" w:rsidRDefault="00020031">
      <w:pPr>
        <w:rPr>
          <w:noProof/>
        </w:rPr>
      </w:pPr>
    </w:p>
    <w:p w14:paraId="78296A07" w14:textId="636B56FF" w:rsidR="00020031" w:rsidRPr="00FF63D1" w:rsidRDefault="00020031" w:rsidP="00ED0B6C">
      <w:pPr>
        <w:rPr>
          <w:rFonts w:eastAsia="Times New Roman"/>
          <w:b/>
          <w:noProof/>
        </w:rPr>
      </w:pPr>
      <w:r w:rsidRPr="00FF63D1">
        <w:rPr>
          <w:rFonts w:eastAsia="Times New Roman"/>
          <w:b/>
          <w:noProof/>
        </w:rPr>
        <w:t xml:space="preserve">INV 1 – </w:t>
      </w:r>
      <w:r w:rsidR="00C73044" w:rsidRPr="00FF63D1">
        <w:rPr>
          <w:rFonts w:eastAsia="Times New Roman"/>
          <w:b/>
          <w:noProof/>
        </w:rPr>
        <w:t>Guidance on voluntary FDI conditionalities</w:t>
      </w:r>
    </w:p>
    <w:p w14:paraId="65B14B02" w14:textId="77777777" w:rsidR="00ED0B6C" w:rsidRPr="00FF63D1" w:rsidRDefault="00ED0B6C" w:rsidP="00ED0B6C">
      <w:pPr>
        <w:rPr>
          <w:rFonts w:eastAsia="Times New Roman"/>
          <w:noProof/>
        </w:rPr>
      </w:pPr>
    </w:p>
    <w:p w14:paraId="145F87FF" w14:textId="026B0FC5" w:rsidR="003B2B0C" w:rsidRPr="00FF63D1" w:rsidRDefault="00020031" w:rsidP="005E4A61">
      <w:pPr>
        <w:spacing w:after="120"/>
        <w:rPr>
          <w:rFonts w:eastAsia="Times New Roman"/>
          <w:noProof/>
        </w:rPr>
      </w:pPr>
      <w:r w:rsidRPr="00FF63D1">
        <w:rPr>
          <w:rFonts w:eastAsia="Times New Roman"/>
          <w:noProof/>
        </w:rPr>
        <w:t xml:space="preserve">This measure would entail issuing a non-binding, soft law instrument (e.g. guidelines) calling upon Member States to impose conditionalities on </w:t>
      </w:r>
      <w:r w:rsidR="00892FC9">
        <w:rPr>
          <w:rFonts w:eastAsia="Times New Roman"/>
          <w:noProof/>
        </w:rPr>
        <w:t>FDI</w:t>
      </w:r>
      <w:r w:rsidRPr="00FF63D1">
        <w:rPr>
          <w:rFonts w:eastAsia="Times New Roman"/>
          <w:noProof/>
        </w:rPr>
        <w:t xml:space="preserve"> for industries falling into scope (e.g. batteries and potentially certain energy intensive industries), provided these are compatible with provisions of EU law governing, for instance, free movement of capital and mergers.). The guidelines would urge that Member States impose conditionalities in their national regimes covering FDI, including sectoral rules (for the sectors covered). </w:t>
      </w:r>
    </w:p>
    <w:p w14:paraId="4631194C" w14:textId="5972EAE4" w:rsidR="00020031" w:rsidRDefault="00020031" w:rsidP="00ED0B6C">
      <w:pPr>
        <w:rPr>
          <w:rFonts w:eastAsia="Times New Roman"/>
          <w:b/>
          <w:noProof/>
        </w:rPr>
      </w:pPr>
      <w:r w:rsidRPr="00D21DC4">
        <w:rPr>
          <w:rFonts w:eastAsia="Times New Roman"/>
          <w:b/>
          <w:noProof/>
        </w:rPr>
        <w:t xml:space="preserve">INV 2 </w:t>
      </w:r>
      <w:r w:rsidR="00C73044" w:rsidRPr="00D21DC4">
        <w:rPr>
          <w:rFonts w:eastAsia="Times New Roman"/>
          <w:b/>
          <w:noProof/>
        </w:rPr>
        <w:t>–</w:t>
      </w:r>
      <w:r w:rsidRPr="00D21DC4">
        <w:rPr>
          <w:rFonts w:eastAsia="Times New Roman"/>
          <w:b/>
          <w:noProof/>
        </w:rPr>
        <w:t xml:space="preserve"> </w:t>
      </w:r>
      <w:r w:rsidR="0004374E" w:rsidRPr="00D21DC4">
        <w:rPr>
          <w:rFonts w:eastAsia="Times New Roman"/>
          <w:b/>
          <w:noProof/>
        </w:rPr>
        <w:t>M</w:t>
      </w:r>
      <w:r w:rsidR="00C73044" w:rsidRPr="00D21DC4">
        <w:rPr>
          <w:rFonts w:eastAsia="Times New Roman"/>
          <w:b/>
          <w:noProof/>
        </w:rPr>
        <w:t>andatory FDI</w:t>
      </w:r>
      <w:r w:rsidR="00FA61D2" w:rsidRPr="00D21DC4">
        <w:rPr>
          <w:rFonts w:eastAsia="Times New Roman"/>
          <w:b/>
          <w:noProof/>
        </w:rPr>
        <w:t xml:space="preserve"> conditionalities EU-wide</w:t>
      </w:r>
    </w:p>
    <w:p w14:paraId="5272E284" w14:textId="77777777" w:rsidR="005E4A61" w:rsidRPr="00FF63D1" w:rsidRDefault="005E4A61" w:rsidP="00ED0B6C">
      <w:pPr>
        <w:rPr>
          <w:rFonts w:eastAsia="Times New Roman"/>
          <w:noProof/>
        </w:rPr>
      </w:pPr>
    </w:p>
    <w:p w14:paraId="68DF9E2F" w14:textId="1882A8E6" w:rsidR="009279FD" w:rsidRPr="00FF63D1" w:rsidRDefault="7D1E2E4B" w:rsidP="005E4A61">
      <w:pPr>
        <w:spacing w:after="120"/>
        <w:rPr>
          <w:noProof/>
        </w:rPr>
      </w:pPr>
      <w:r w:rsidRPr="00FF63D1">
        <w:rPr>
          <w:rFonts w:eastAsia="Times New Roman" w:cs="Times New Roman"/>
          <w:noProof/>
          <w:color w:val="000000" w:themeColor="text1"/>
          <w:szCs w:val="24"/>
        </w:rPr>
        <w:t xml:space="preserve">Moving from “policy-by-project” to “policy-by-principle” is essential to retain as much added value from </w:t>
      </w:r>
      <w:r w:rsidRPr="005E4A61">
        <w:rPr>
          <w:rFonts w:eastAsia="Times New Roman"/>
          <w:noProof/>
        </w:rPr>
        <w:t>foreign</w:t>
      </w:r>
      <w:r w:rsidRPr="00FF63D1">
        <w:rPr>
          <w:rFonts w:eastAsia="Times New Roman" w:cs="Times New Roman"/>
          <w:noProof/>
          <w:color w:val="000000" w:themeColor="text1"/>
          <w:szCs w:val="24"/>
        </w:rPr>
        <w:t xml:space="preserve"> investments as possible. Instead of negotiating conditionalities case by case, the EU </w:t>
      </w:r>
      <w:r w:rsidR="00C21C0D">
        <w:rPr>
          <w:rFonts w:eastAsia="Times New Roman" w:cs="Times New Roman"/>
          <w:noProof/>
          <w:color w:val="000000" w:themeColor="text1"/>
          <w:szCs w:val="24"/>
        </w:rPr>
        <w:t>will</w:t>
      </w:r>
      <w:r w:rsidR="00C21C0D" w:rsidRPr="00FF63D1">
        <w:rPr>
          <w:rFonts w:eastAsia="Times New Roman" w:cs="Times New Roman"/>
          <w:noProof/>
          <w:color w:val="000000" w:themeColor="text1"/>
          <w:szCs w:val="24"/>
        </w:rPr>
        <w:t xml:space="preserve"> </w:t>
      </w:r>
      <w:r w:rsidRPr="00FF63D1">
        <w:rPr>
          <w:rFonts w:eastAsia="Times New Roman" w:cs="Times New Roman"/>
          <w:noProof/>
          <w:color w:val="000000" w:themeColor="text1"/>
          <w:szCs w:val="24"/>
        </w:rPr>
        <w:t>define clear, horizontal criteria for FDI in strategic sectors</w:t>
      </w:r>
      <w:r w:rsidR="12F0F177" w:rsidRPr="00FF63D1">
        <w:rPr>
          <w:rFonts w:eastAsia="Times New Roman" w:cs="Times New Roman"/>
          <w:noProof/>
          <w:color w:val="000000" w:themeColor="text1"/>
          <w:szCs w:val="24"/>
        </w:rPr>
        <w:t xml:space="preserve"> to</w:t>
      </w:r>
      <w:r w:rsidRPr="00FF63D1">
        <w:rPr>
          <w:rFonts w:eastAsia="Times New Roman" w:cs="Times New Roman"/>
          <w:noProof/>
          <w:color w:val="000000" w:themeColor="text1"/>
          <w:szCs w:val="24"/>
        </w:rPr>
        <w:t xml:space="preserve"> align investor incentives with EU resilience targets while providing predictability for companies.</w:t>
      </w:r>
      <w:r w:rsidRPr="00FF63D1">
        <w:rPr>
          <w:rFonts w:eastAsia="Times New Roman" w:cs="Times New Roman"/>
          <w:noProof/>
          <w:szCs w:val="24"/>
        </w:rPr>
        <w:t xml:space="preserve"> </w:t>
      </w:r>
    </w:p>
    <w:p w14:paraId="7BDA794F" w14:textId="47DA5DB6" w:rsidR="002A5EBA" w:rsidRPr="00535C7D" w:rsidRDefault="719AC623" w:rsidP="002A5EBA">
      <w:pPr>
        <w:spacing w:after="120"/>
        <w:rPr>
          <w:rFonts w:eastAsia="Times New Roman"/>
          <w:noProof/>
        </w:rPr>
      </w:pPr>
      <w:r w:rsidRPr="00FF63D1">
        <w:rPr>
          <w:rFonts w:eastAsia="Times New Roman"/>
          <w:noProof/>
        </w:rPr>
        <w:t xml:space="preserve">This measure </w:t>
      </w:r>
      <w:r w:rsidR="0EFAA227" w:rsidRPr="3E45D101">
        <w:rPr>
          <w:rFonts w:eastAsia="Times New Roman"/>
          <w:noProof/>
        </w:rPr>
        <w:t>will</w:t>
      </w:r>
      <w:r w:rsidRPr="3E45D101">
        <w:rPr>
          <w:rFonts w:eastAsia="Times New Roman"/>
          <w:noProof/>
        </w:rPr>
        <w:t xml:space="preserve"> </w:t>
      </w:r>
      <w:r w:rsidRPr="00FF63D1">
        <w:rPr>
          <w:rFonts w:eastAsia="Times New Roman"/>
          <w:noProof/>
        </w:rPr>
        <w:t xml:space="preserve">impose mandatory rules on FDIs for the industries in scope, namely </w:t>
      </w:r>
      <w:r w:rsidRPr="007F13DA">
        <w:rPr>
          <w:noProof/>
        </w:rPr>
        <w:t>battery supply chain</w:t>
      </w:r>
      <w:r w:rsidRPr="00FF63D1">
        <w:rPr>
          <w:noProof/>
        </w:rPr>
        <w:t xml:space="preserve"> (especially batteries for EVs) and </w:t>
      </w:r>
      <w:r w:rsidR="4ABD1E91" w:rsidRPr="00D21DC4">
        <w:rPr>
          <w:noProof/>
        </w:rPr>
        <w:t>other critical technologies in strategic sectors</w:t>
      </w:r>
      <w:r w:rsidRPr="00D21DC4">
        <w:rPr>
          <w:rFonts w:eastAsia="Times New Roman"/>
          <w:noProof/>
        </w:rPr>
        <w:t xml:space="preserve">. </w:t>
      </w:r>
      <w:r w:rsidR="78FE7C2F" w:rsidRPr="00D21DC4">
        <w:rPr>
          <w:rFonts w:eastAsia="Times New Roman"/>
          <w:noProof/>
        </w:rPr>
        <w:t>Determining</w:t>
      </w:r>
      <w:r w:rsidR="4ABD1E91" w:rsidRPr="00D21DC4">
        <w:rPr>
          <w:rFonts w:eastAsia="Times New Roman"/>
          <w:noProof/>
        </w:rPr>
        <w:t xml:space="preserve"> which sectors fall under mandatory FDI conditionalities is anchored in the established framework for identifying technologies critical to economic security</w:t>
      </w:r>
      <w:r w:rsidR="00545F5C">
        <w:rPr>
          <w:rFonts w:eastAsia="Times New Roman"/>
          <w:noProof/>
        </w:rPr>
        <w:t>.</w:t>
      </w:r>
      <w:r w:rsidR="002A5EBA" w:rsidRPr="00D21DC4">
        <w:rPr>
          <w:rStyle w:val="FootnoteReference"/>
          <w:rFonts w:eastAsia="Times New Roman"/>
          <w:noProof/>
        </w:rPr>
        <w:footnoteReference w:id="603"/>
      </w:r>
      <w:r w:rsidR="4ABD1E91" w:rsidRPr="00D21DC4">
        <w:rPr>
          <w:rFonts w:eastAsia="Times New Roman"/>
          <w:noProof/>
        </w:rPr>
        <w:t xml:space="preserve"> The Recommendation on critical technologies</w:t>
      </w:r>
      <w:r w:rsidR="00D71466" w:rsidRPr="00D21DC4">
        <w:rPr>
          <w:rStyle w:val="FootnoteReference"/>
          <w:rFonts w:eastAsia="Times New Roman"/>
          <w:noProof/>
        </w:rPr>
        <w:footnoteReference w:id="604"/>
      </w:r>
      <w:r w:rsidR="4ABD1E91" w:rsidRPr="00D21DC4">
        <w:rPr>
          <w:rFonts w:eastAsia="Times New Roman"/>
          <w:noProof/>
        </w:rPr>
        <w:t xml:space="preserve"> requires an assessment based on three narrowly defined criteria: 1) the enabling and transformative nature of the technology, 2) the risk of civil–military fusion, and 3) the risk of misuse for human-rights violations. This is complemented by a systemic vulnerability analysis examining chokepoints, EU comparative position, supply-chain concentration, threat actors and global interdependencies. Applying this methodology, we can define a list of sectors for which it is justified </w:t>
      </w:r>
      <w:r w:rsidR="547FB215" w:rsidRPr="00D21DC4">
        <w:rPr>
          <w:rFonts w:eastAsia="Times New Roman"/>
          <w:noProof/>
        </w:rPr>
        <w:t>that they are</w:t>
      </w:r>
      <w:r w:rsidR="4ABD1E91" w:rsidRPr="00D21DC4">
        <w:rPr>
          <w:rFonts w:eastAsia="Times New Roman"/>
          <w:noProof/>
        </w:rPr>
        <w:t xml:space="preserve"> included in the scope of mandatory FDI conditionalities.</w:t>
      </w:r>
    </w:p>
    <w:p w14:paraId="7552B6CE" w14:textId="09069CEE" w:rsidR="002267DC" w:rsidRPr="002267DC" w:rsidRDefault="002A5EBA" w:rsidP="002267DC">
      <w:pPr>
        <w:spacing w:after="120"/>
        <w:rPr>
          <w:rFonts w:eastAsia="Times New Roman"/>
          <w:noProof/>
        </w:rPr>
      </w:pPr>
      <w:r w:rsidRPr="00D21DC4">
        <w:rPr>
          <w:rFonts w:eastAsia="Times New Roman"/>
          <w:noProof/>
        </w:rPr>
        <w:t xml:space="preserve">Safeguards and proportionality are ensured through the design of the conditionalities themselves. In line with the Commission’s requirement that protective measures be precisely targeted and proportionate to the risks identified, the </w:t>
      </w:r>
      <w:r w:rsidR="0075434F" w:rsidRPr="00D21DC4">
        <w:rPr>
          <w:rFonts w:eastAsia="Times New Roman"/>
          <w:noProof/>
        </w:rPr>
        <w:t>legal provision</w:t>
      </w:r>
      <w:r w:rsidRPr="00D21DC4">
        <w:rPr>
          <w:rFonts w:eastAsia="Times New Roman"/>
          <w:noProof/>
        </w:rPr>
        <w:t xml:space="preserve"> applies a </w:t>
      </w:r>
      <w:r w:rsidR="00643B7B" w:rsidRPr="00D21DC4">
        <w:rPr>
          <w:rFonts w:eastAsia="Times New Roman"/>
          <w:noProof/>
        </w:rPr>
        <w:t>coherent</w:t>
      </w:r>
      <w:r w:rsidRPr="00D21DC4">
        <w:rPr>
          <w:rFonts w:eastAsia="Times New Roman"/>
          <w:noProof/>
        </w:rPr>
        <w:t xml:space="preserve">, uniform set of conditions </w:t>
      </w:r>
      <w:r w:rsidR="004D2AE8" w:rsidRPr="00D21DC4">
        <w:rPr>
          <w:rFonts w:eastAsia="Times New Roman"/>
          <w:noProof/>
        </w:rPr>
        <w:t>that applies to inbound investors</w:t>
      </w:r>
      <w:r w:rsidRPr="00D21DC4">
        <w:rPr>
          <w:rFonts w:eastAsia="Times New Roman"/>
          <w:noProof/>
        </w:rPr>
        <w:t xml:space="preserve"> </w:t>
      </w:r>
      <w:r w:rsidR="004C30BD" w:rsidRPr="00D21DC4">
        <w:rPr>
          <w:rFonts w:eastAsia="Times New Roman"/>
          <w:noProof/>
        </w:rPr>
        <w:t>in these designated strategic sectors</w:t>
      </w:r>
      <w:r w:rsidRPr="00D21DC4">
        <w:rPr>
          <w:rFonts w:eastAsia="Times New Roman"/>
          <w:noProof/>
        </w:rPr>
        <w:t>.</w:t>
      </w:r>
      <w:r w:rsidR="004C30BD" w:rsidRPr="00D21DC4">
        <w:rPr>
          <w:rFonts w:eastAsia="Times New Roman"/>
          <w:noProof/>
        </w:rPr>
        <w:t xml:space="preserve"> However, the Act differentiates the degree of obligation between two groups of technologies to align proportionality with the intensity of risks identified</w:t>
      </w:r>
      <w:r w:rsidRPr="00D21DC4">
        <w:rPr>
          <w:rFonts w:eastAsia="Times New Roman"/>
          <w:noProof/>
        </w:rPr>
        <w:t>.</w:t>
      </w:r>
      <w:r w:rsidR="002267DC" w:rsidRPr="3E45D101">
        <w:rPr>
          <w:rFonts w:eastAsia="Times New Roman"/>
          <w:noProof/>
        </w:rPr>
        <w:t xml:space="preserve"> For strategic reinforcement technologies, vulnerabilities are acute, structurally embedded and linked to highly concentrated global supply chains. In these sectors, inbound investors must comply with all conditions, as flexibility would weaken the EU’s capacity to retain critical technology, secure supply chains and reduce exposure to foreign leverage.</w:t>
      </w:r>
    </w:p>
    <w:p w14:paraId="758C989F" w14:textId="079730E5" w:rsidR="002267DC" w:rsidRPr="002267DC" w:rsidRDefault="002267DC" w:rsidP="002267DC">
      <w:pPr>
        <w:spacing w:after="120"/>
        <w:rPr>
          <w:rFonts w:eastAsia="Times New Roman"/>
          <w:noProof/>
        </w:rPr>
      </w:pPr>
      <w:r w:rsidRPr="002267DC">
        <w:rPr>
          <w:rFonts w:eastAsia="Times New Roman"/>
          <w:noProof/>
        </w:rPr>
        <w:t xml:space="preserve">By contrast, for other emerging key strategic sectors, risks remain significant but more heterogeneous or forward-looking. To avoid hampering scale-up and innovation in areas where Europe still needs to deepen its capabilities, investors must meet </w:t>
      </w:r>
      <w:r>
        <w:rPr>
          <w:rFonts w:eastAsia="Times New Roman"/>
          <w:noProof/>
        </w:rPr>
        <w:t xml:space="preserve">with </w:t>
      </w:r>
      <w:r w:rsidR="00090657">
        <w:rPr>
          <w:rFonts w:eastAsia="Times New Roman"/>
          <w:noProof/>
        </w:rPr>
        <w:t>a subset</w:t>
      </w:r>
      <w:r w:rsidRPr="002267DC">
        <w:rPr>
          <w:rFonts w:eastAsia="Times New Roman"/>
          <w:noProof/>
        </w:rPr>
        <w:t xml:space="preserve"> of the conditions. This calibrated flexibility preserves a meaningful economic</w:t>
      </w:r>
      <w:r w:rsidR="00090657">
        <w:rPr>
          <w:rFonts w:eastAsia="Times New Roman"/>
          <w:noProof/>
        </w:rPr>
        <w:t xml:space="preserve"> </w:t>
      </w:r>
      <w:r w:rsidRPr="002267DC">
        <w:rPr>
          <w:rFonts w:eastAsia="Times New Roman"/>
          <w:noProof/>
        </w:rPr>
        <w:t>security baseline while maintaining openness to investment essential for technological development.</w:t>
      </w:r>
    </w:p>
    <w:p w14:paraId="076CB68D" w14:textId="2DC7FC4E" w:rsidR="002A5EBA" w:rsidRDefault="002267DC" w:rsidP="00A57B2E">
      <w:pPr>
        <w:spacing w:after="120"/>
        <w:rPr>
          <w:rFonts w:eastAsia="Times New Roman"/>
          <w:noProof/>
        </w:rPr>
      </w:pPr>
      <w:r w:rsidRPr="002267DC">
        <w:rPr>
          <w:rFonts w:eastAsia="Times New Roman"/>
          <w:noProof/>
        </w:rPr>
        <w:t>Through this two-tier structure, the Act applies strict conditionality where the Union cannot tolerate vulnerabilities, and targeted flexibility where it strengthens competitiveness without undermining economic security.</w:t>
      </w:r>
    </w:p>
    <w:p w14:paraId="533C0E31" w14:textId="14C04936" w:rsidR="002A5EBA" w:rsidRDefault="00020031" w:rsidP="002A5EBA">
      <w:pPr>
        <w:rPr>
          <w:rFonts w:eastAsia="Times New Roman"/>
          <w:noProof/>
        </w:rPr>
      </w:pPr>
      <w:r w:rsidRPr="00FF63D1">
        <w:rPr>
          <w:rFonts w:eastAsia="Times New Roman"/>
          <w:noProof/>
        </w:rPr>
        <w:t xml:space="preserve">The scope of the conditions would exclude FTA countries. </w:t>
      </w:r>
    </w:p>
    <w:p w14:paraId="0FE89E5C" w14:textId="77777777" w:rsidR="002A5EBA" w:rsidRDefault="002A5EBA" w:rsidP="005E4A61">
      <w:pPr>
        <w:rPr>
          <w:rFonts w:eastAsia="Times New Roman"/>
          <w:noProof/>
        </w:rPr>
      </w:pPr>
    </w:p>
    <w:p w14:paraId="5171A07E" w14:textId="48235E62" w:rsidR="005E4A61" w:rsidRDefault="00020031" w:rsidP="005E4A61">
      <w:pPr>
        <w:rPr>
          <w:rFonts w:eastAsia="Times New Roman"/>
          <w:noProof/>
        </w:rPr>
      </w:pPr>
      <w:r w:rsidRPr="00FF63D1">
        <w:rPr>
          <w:rFonts w:eastAsia="Times New Roman"/>
          <w:noProof/>
        </w:rPr>
        <w:t>These rules would either:</w:t>
      </w:r>
    </w:p>
    <w:p w14:paraId="22291482" w14:textId="77777777" w:rsidR="005E4A61" w:rsidRPr="005E4A61" w:rsidRDefault="00020031" w:rsidP="005E4A61">
      <w:pPr>
        <w:pStyle w:val="ListParagraph"/>
        <w:numPr>
          <w:ilvl w:val="0"/>
          <w:numId w:val="172"/>
        </w:numPr>
        <w:rPr>
          <w:rFonts w:eastAsia="Times New Roman"/>
          <w:noProof/>
        </w:rPr>
      </w:pPr>
      <w:r w:rsidRPr="00FF63D1">
        <w:rPr>
          <w:noProof/>
        </w:rPr>
        <w:t>Directly apply to FDIs covered in the measure OR</w:t>
      </w:r>
    </w:p>
    <w:p w14:paraId="61690605" w14:textId="121DF412" w:rsidR="00020031" w:rsidRPr="005E4A61" w:rsidRDefault="00020031" w:rsidP="005E4A61">
      <w:pPr>
        <w:pStyle w:val="ListParagraph"/>
        <w:numPr>
          <w:ilvl w:val="0"/>
          <w:numId w:val="172"/>
        </w:numPr>
        <w:rPr>
          <w:rFonts w:eastAsia="Times New Roman"/>
          <w:noProof/>
        </w:rPr>
      </w:pPr>
      <w:r w:rsidRPr="00FF63D1">
        <w:rPr>
          <w:noProof/>
        </w:rPr>
        <w:t>Create an obligation for Member States to scrutinise FDIs above a certain threshold in the above-mentioned scope and prescribe conditionalities for that investment.</w:t>
      </w:r>
    </w:p>
    <w:p w14:paraId="3A8B4E94" w14:textId="77777777" w:rsidR="009279FD" w:rsidRPr="00FF63D1" w:rsidRDefault="009279FD" w:rsidP="009279FD">
      <w:pPr>
        <w:rPr>
          <w:rFonts w:eastAsia="Times New Roman"/>
          <w:noProof/>
        </w:rPr>
      </w:pPr>
    </w:p>
    <w:p w14:paraId="1518E40E" w14:textId="5DBF1B8B" w:rsidR="00020031" w:rsidRPr="00FF63D1" w:rsidRDefault="00020031" w:rsidP="005E4A61">
      <w:pPr>
        <w:spacing w:after="120"/>
        <w:rPr>
          <w:rFonts w:eastAsia="Times New Roman"/>
          <w:noProof/>
        </w:rPr>
      </w:pPr>
      <w:r w:rsidRPr="005E4A61">
        <w:rPr>
          <w:rFonts w:eastAsia="Times New Roman" w:cs="Times New Roman"/>
          <w:noProof/>
          <w:color w:val="000000" w:themeColor="text1"/>
          <w:szCs w:val="24"/>
        </w:rPr>
        <w:t>Under</w:t>
      </w:r>
      <w:r w:rsidRPr="00FF63D1">
        <w:rPr>
          <w:rFonts w:eastAsia="Times New Roman"/>
          <w:noProof/>
        </w:rPr>
        <w:t xml:space="preserve"> both options, such conditionalities </w:t>
      </w:r>
      <w:r w:rsidR="00090657">
        <w:rPr>
          <w:rFonts w:eastAsia="Times New Roman"/>
          <w:noProof/>
        </w:rPr>
        <w:t>are</w:t>
      </w:r>
      <w:r w:rsidRPr="00FF63D1">
        <w:rPr>
          <w:rFonts w:eastAsia="Times New Roman"/>
          <w:noProof/>
        </w:rPr>
        <w:t xml:space="preserve">: </w:t>
      </w:r>
    </w:p>
    <w:p w14:paraId="76F1B8B0" w14:textId="77777777" w:rsidR="00020031" w:rsidRPr="00FF63D1" w:rsidRDefault="00020031" w:rsidP="003F3451">
      <w:pPr>
        <w:pStyle w:val="ListParagraph"/>
        <w:numPr>
          <w:ilvl w:val="0"/>
          <w:numId w:val="23"/>
        </w:numPr>
        <w:rPr>
          <w:rFonts w:eastAsia="Times New Roman"/>
          <w:b/>
          <w:i/>
          <w:noProof/>
          <w:color w:val="000000" w:themeColor="text1"/>
        </w:rPr>
      </w:pPr>
      <w:r w:rsidRPr="00FF63D1">
        <w:rPr>
          <w:rFonts w:eastAsia="Times New Roman"/>
          <w:b/>
          <w:i/>
          <w:noProof/>
          <w:color w:val="000000" w:themeColor="text1"/>
        </w:rPr>
        <w:t>Ownership and Structural requirements</w:t>
      </w:r>
    </w:p>
    <w:p w14:paraId="32471C58" w14:textId="77777777" w:rsidR="00020031" w:rsidRPr="00FF63D1" w:rsidRDefault="00020031" w:rsidP="009279FD">
      <w:pPr>
        <w:pStyle w:val="ListParagraph"/>
        <w:rPr>
          <w:rFonts w:eastAsia="Times New Roman"/>
          <w:b/>
          <w:i/>
          <w:noProof/>
          <w:color w:val="000000" w:themeColor="text1"/>
        </w:rPr>
      </w:pPr>
    </w:p>
    <w:p w14:paraId="6D171EBA" w14:textId="77777777" w:rsidR="00020031" w:rsidRPr="00FF63D1" w:rsidRDefault="00020031" w:rsidP="003F4164">
      <w:pPr>
        <w:spacing w:after="120"/>
        <w:rPr>
          <w:rFonts w:eastAsia="Times New Roman"/>
          <w:noProof/>
        </w:rPr>
      </w:pPr>
      <w:r w:rsidRPr="00FF63D1">
        <w:rPr>
          <w:rFonts w:eastAsia="Times New Roman"/>
          <w:noProof/>
        </w:rPr>
        <w:t xml:space="preserve">This option group of conditionalities includes measures that control the ownership structure and </w:t>
      </w:r>
      <w:r w:rsidRPr="003F4164">
        <w:rPr>
          <w:rFonts w:eastAsia="Times New Roman" w:cs="Times New Roman"/>
          <w:noProof/>
          <w:color w:val="000000" w:themeColor="text1"/>
          <w:szCs w:val="24"/>
        </w:rPr>
        <w:t>relations</w:t>
      </w:r>
      <w:r w:rsidRPr="00FF63D1">
        <w:rPr>
          <w:rFonts w:eastAsia="Times New Roman"/>
          <w:noProof/>
        </w:rPr>
        <w:t xml:space="preserve"> of foreign investments within the EU to maintain local interests. </w:t>
      </w:r>
    </w:p>
    <w:p w14:paraId="1BC41958" w14:textId="1B06AB38" w:rsidR="00643A43" w:rsidRPr="00FF63D1" w:rsidRDefault="00020031" w:rsidP="003F4164">
      <w:pPr>
        <w:spacing w:after="120"/>
        <w:rPr>
          <w:rFonts w:eastAsia="Times New Roman"/>
          <w:noProof/>
        </w:rPr>
      </w:pPr>
      <w:r w:rsidRPr="00FF63D1">
        <w:rPr>
          <w:rFonts w:eastAsia="Times New Roman"/>
          <w:noProof/>
        </w:rPr>
        <w:t>Ownership control requirements</w:t>
      </w:r>
      <w:r w:rsidRPr="00FF63D1">
        <w:rPr>
          <w:rFonts w:eastAsia="Times New Roman"/>
          <w:noProof/>
          <w:color w:val="000000" w:themeColor="text1"/>
        </w:rPr>
        <w:t xml:space="preserve"> would introduce limits on non-European ownership/control for industries in scope (e.g. maximum 49% of the JV or EU firm can be owned by a non-EU based company or person). </w:t>
      </w:r>
      <w:r w:rsidRPr="00FF63D1">
        <w:rPr>
          <w:rFonts w:eastAsia="Times New Roman"/>
          <w:noProof/>
        </w:rPr>
        <w:t xml:space="preserve">In addition, joint venture requirements could oblige </w:t>
      </w:r>
      <w:r w:rsidR="00892FC9">
        <w:rPr>
          <w:rFonts w:eastAsia="Times New Roman"/>
          <w:noProof/>
        </w:rPr>
        <w:t>FDI</w:t>
      </w:r>
      <w:r w:rsidRPr="00FF63D1">
        <w:rPr>
          <w:rFonts w:eastAsia="Times New Roman"/>
          <w:noProof/>
        </w:rPr>
        <w:t xml:space="preserve"> to partner with an EU firm, including a cap on their ownership control.</w:t>
      </w:r>
    </w:p>
    <w:p w14:paraId="2381393B" w14:textId="77777777" w:rsidR="00020031" w:rsidRPr="00FF63D1" w:rsidRDefault="00020031" w:rsidP="003F4164">
      <w:pPr>
        <w:spacing w:after="120"/>
        <w:rPr>
          <w:rFonts w:eastAsia="Times New Roman"/>
          <w:noProof/>
        </w:rPr>
      </w:pPr>
      <w:r w:rsidRPr="00FF63D1">
        <w:rPr>
          <w:rFonts w:eastAsia="Times New Roman"/>
          <w:noProof/>
        </w:rPr>
        <w:t>The leg</w:t>
      </w:r>
      <w:r w:rsidR="003F4164">
        <w:rPr>
          <w:rFonts w:eastAsia="Times New Roman"/>
          <w:noProof/>
        </w:rPr>
        <w:t>a</w:t>
      </w:r>
      <w:r w:rsidRPr="00FF63D1">
        <w:rPr>
          <w:rFonts w:eastAsia="Times New Roman"/>
          <w:noProof/>
        </w:rPr>
        <w:t xml:space="preserve">l </w:t>
      </w:r>
      <w:r w:rsidRPr="003F4164">
        <w:rPr>
          <w:rFonts w:eastAsia="Times New Roman"/>
          <w:noProof/>
          <w:color w:val="000000" w:themeColor="text1"/>
        </w:rPr>
        <w:t>provisions</w:t>
      </w:r>
      <w:r w:rsidRPr="00FF63D1">
        <w:rPr>
          <w:rFonts w:eastAsia="Times New Roman"/>
          <w:noProof/>
        </w:rPr>
        <w:t xml:space="preserve"> would have to consider control relations from third countries. Applicable foreign investments would either have to obtain prior approval from Member States or Member States would implement compliance measures horizontally.</w:t>
      </w:r>
    </w:p>
    <w:p w14:paraId="2F7D41EF" w14:textId="77777777" w:rsidR="00020031" w:rsidRPr="00FF63D1" w:rsidRDefault="00020031" w:rsidP="003F3451">
      <w:pPr>
        <w:pStyle w:val="ListParagraph"/>
        <w:numPr>
          <w:ilvl w:val="0"/>
          <w:numId w:val="23"/>
        </w:numPr>
        <w:rPr>
          <w:b/>
          <w:i/>
          <w:noProof/>
          <w:color w:val="000000" w:themeColor="text1"/>
        </w:rPr>
      </w:pPr>
      <w:r w:rsidRPr="00FF63D1">
        <w:rPr>
          <w:rFonts w:eastAsia="Times New Roman"/>
          <w:b/>
          <w:i/>
          <w:noProof/>
          <w:color w:val="000000" w:themeColor="text1"/>
        </w:rPr>
        <w:t xml:space="preserve">Value added production </w:t>
      </w:r>
    </w:p>
    <w:p w14:paraId="73573BD2" w14:textId="77777777" w:rsidR="00020031" w:rsidRPr="00FF63D1" w:rsidRDefault="00020031" w:rsidP="009279FD">
      <w:pPr>
        <w:rPr>
          <w:rFonts w:eastAsia="Times New Roman"/>
          <w:noProof/>
        </w:rPr>
      </w:pPr>
    </w:p>
    <w:p w14:paraId="749EEADC" w14:textId="28AA0A7E" w:rsidR="00020031" w:rsidRPr="00FF63D1" w:rsidRDefault="00020031" w:rsidP="003F4164">
      <w:pPr>
        <w:spacing w:after="120"/>
        <w:rPr>
          <w:rFonts w:eastAsia="Times New Roman"/>
          <w:noProof/>
        </w:rPr>
      </w:pPr>
      <w:r w:rsidRPr="00FF63D1">
        <w:rPr>
          <w:rFonts w:eastAsia="Times New Roman"/>
          <w:noProof/>
        </w:rPr>
        <w:t xml:space="preserve">This group of conditionalities concern requirements to ensure that foreign investments lead to value added production, including </w:t>
      </w:r>
      <w:r w:rsidRPr="00FF63D1" w:rsidDel="00787D54">
        <w:rPr>
          <w:rFonts w:eastAsia="Times New Roman"/>
          <w:noProof/>
        </w:rPr>
        <w:t>R&amp;</w:t>
      </w:r>
      <w:r w:rsidR="00787D54" w:rsidRPr="00FF63D1">
        <w:rPr>
          <w:rFonts w:eastAsia="Times New Roman"/>
          <w:noProof/>
        </w:rPr>
        <w:t>I</w:t>
      </w:r>
      <w:r w:rsidRPr="00FF63D1">
        <w:rPr>
          <w:rFonts w:eastAsia="Times New Roman"/>
          <w:noProof/>
        </w:rPr>
        <w:t xml:space="preserve">, engineering activities, domestic processing and manufacturing while incentivizing local sourcing and production of intermediate goods. </w:t>
      </w:r>
    </w:p>
    <w:p w14:paraId="46E2F1F5" w14:textId="4D676033" w:rsidR="00020031" w:rsidRPr="003F4164" w:rsidRDefault="00020031" w:rsidP="003F4164">
      <w:pPr>
        <w:spacing w:after="120"/>
        <w:rPr>
          <w:rFonts w:eastAsia="Times New Roman"/>
          <w:noProof/>
        </w:rPr>
      </w:pPr>
      <w:r w:rsidRPr="00FF63D1">
        <w:rPr>
          <w:rFonts w:eastAsia="Times New Roman"/>
          <w:noProof/>
          <w:color w:val="000000" w:themeColor="text1"/>
        </w:rPr>
        <w:t xml:space="preserve">Such requirements may include using (a certain percentage) of EU-produced equipment and </w:t>
      </w:r>
      <w:r w:rsidRPr="003F4164">
        <w:rPr>
          <w:rFonts w:eastAsia="Times New Roman"/>
          <w:noProof/>
        </w:rPr>
        <w:t xml:space="preserve">consumable inputs, aimed at boosting domestic industries in the upstream value stages, as well as to ensure independence of the investment from the origin country (and the investor’s other operations) </w:t>
      </w:r>
      <w:r w:rsidR="005F3121" w:rsidRPr="003F4164">
        <w:rPr>
          <w:rFonts w:eastAsia="Times New Roman"/>
          <w:noProof/>
        </w:rPr>
        <w:t>to</w:t>
      </w:r>
      <w:r w:rsidRPr="003F4164">
        <w:rPr>
          <w:rFonts w:eastAsia="Times New Roman"/>
          <w:noProof/>
        </w:rPr>
        <w:t xml:space="preserve"> increase supply resilience. The quality of value chains should also be considered </w:t>
      </w:r>
      <w:r w:rsidR="005F3121" w:rsidRPr="003F4164">
        <w:rPr>
          <w:rFonts w:eastAsia="Times New Roman"/>
          <w:noProof/>
        </w:rPr>
        <w:t>to</w:t>
      </w:r>
      <w:r w:rsidRPr="003F4164">
        <w:rPr>
          <w:rFonts w:eastAsia="Times New Roman"/>
          <w:noProof/>
        </w:rPr>
        <w:t xml:space="preserve"> avoid foreign investments </w:t>
      </w:r>
      <w:r w:rsidRPr="00BF61FE">
        <w:rPr>
          <w:noProof/>
        </w:rPr>
        <w:t>extracting value with minimal contribution to the internal market, for instance by only assembling readymade components imported from abroad.</w:t>
      </w:r>
    </w:p>
    <w:p w14:paraId="5C7F440F" w14:textId="012C2DA0" w:rsidR="00020031" w:rsidRPr="00FF63D1" w:rsidRDefault="00020031" w:rsidP="003F4164">
      <w:pPr>
        <w:spacing w:after="120"/>
        <w:rPr>
          <w:rFonts w:eastAsia="Times New Roman"/>
          <w:noProof/>
        </w:rPr>
      </w:pPr>
      <w:r w:rsidRPr="00FF63D1">
        <w:rPr>
          <w:rFonts w:eastAsiaTheme="minorEastAsia"/>
          <w:noProof/>
        </w:rPr>
        <w:t xml:space="preserve">Further to the above, staffing requirement, job creation and social protection conditionality could also be prescribed in </w:t>
      </w:r>
      <w:r w:rsidR="00646A42" w:rsidRPr="00FF63D1">
        <w:rPr>
          <w:rFonts w:eastAsiaTheme="minorEastAsia"/>
          <w:noProof/>
        </w:rPr>
        <w:t>IAA</w:t>
      </w:r>
      <w:r w:rsidRPr="00FF63D1">
        <w:rPr>
          <w:rFonts w:eastAsia="Times New Roman"/>
          <w:noProof/>
        </w:rPr>
        <w:t>, as long as this does not to discrimination within the Single Market</w:t>
      </w:r>
      <w:r w:rsidRPr="00FF63D1">
        <w:rPr>
          <w:rFonts w:eastAsiaTheme="minorEastAsia"/>
          <w:noProof/>
        </w:rPr>
        <w:t>. This entails a requirement to actively recruit, hire, and train local workers and to ensure the creation of quality jobs in the EU, including via at least a certain percentage of the total workforce being composed of EU- residents. For acquisitions, this would include the protection of existing jobs. Moreover, conditions may consider specifying that key managerial positions, such as executive roles and board are filled with EU nationals or residents.</w:t>
      </w:r>
    </w:p>
    <w:p w14:paraId="012AA1E0" w14:textId="77777777" w:rsidR="00020031" w:rsidRPr="00FF63D1" w:rsidRDefault="00020031" w:rsidP="003F3451">
      <w:pPr>
        <w:pStyle w:val="ListParagraph"/>
        <w:numPr>
          <w:ilvl w:val="0"/>
          <w:numId w:val="23"/>
        </w:numPr>
        <w:rPr>
          <w:rFonts w:eastAsia="Times New Roman"/>
          <w:b/>
          <w:i/>
          <w:noProof/>
          <w:color w:val="000000" w:themeColor="text1"/>
        </w:rPr>
      </w:pPr>
      <w:r w:rsidRPr="00FF63D1">
        <w:rPr>
          <w:rFonts w:eastAsia="Times New Roman"/>
          <w:b/>
          <w:i/>
          <w:noProof/>
          <w:color w:val="000000" w:themeColor="text1"/>
        </w:rPr>
        <w:t>Technological advancements</w:t>
      </w:r>
    </w:p>
    <w:p w14:paraId="5B90B530" w14:textId="77777777" w:rsidR="00020031" w:rsidRPr="003F4164" w:rsidRDefault="00020031" w:rsidP="003F4164">
      <w:pPr>
        <w:rPr>
          <w:rFonts w:eastAsia="Times New Roman"/>
          <w:b/>
          <w:i/>
          <w:noProof/>
          <w:color w:val="000000" w:themeColor="text1"/>
        </w:rPr>
      </w:pPr>
    </w:p>
    <w:p w14:paraId="421BCC18" w14:textId="77777777" w:rsidR="00020031" w:rsidRPr="00FF63D1" w:rsidRDefault="00020031" w:rsidP="003F4164">
      <w:pPr>
        <w:spacing w:after="120"/>
        <w:rPr>
          <w:rFonts w:eastAsiaTheme="minorEastAsia"/>
          <w:noProof/>
        </w:rPr>
      </w:pPr>
      <w:r w:rsidRPr="00FF63D1">
        <w:rPr>
          <w:rFonts w:eastAsiaTheme="minorEastAsia"/>
          <w:noProof/>
        </w:rPr>
        <w:t>These conditions should ensure that foreign investors contribute to the technological advancement in the EU by making their proprietary technologies or IP available to local firms, institutions, or joint ventures. Agreements facilitating such technology and know-how sharing with EU entities may be considered as market entry conditionalities. Licensing terms could also include co-development or training to maximise the domestic innovation capacity and promote value retention in the internal market.</w:t>
      </w:r>
    </w:p>
    <w:p w14:paraId="7B3F95A1" w14:textId="0FFA9D5E" w:rsidR="00535C7D" w:rsidRPr="003F4164" w:rsidRDefault="00020031" w:rsidP="008E26CF">
      <w:pPr>
        <w:spacing w:after="120"/>
        <w:rPr>
          <w:rFonts w:eastAsia="Times New Roman"/>
          <w:noProof/>
        </w:rPr>
      </w:pPr>
      <w:r w:rsidRPr="003F4164">
        <w:rPr>
          <w:rFonts w:eastAsia="Times New Roman"/>
          <w:noProof/>
        </w:rPr>
        <w:t>Moreover, further conditions could be added on securing EU value chains by requiring foreign investors to sell to EU-based costumers, with the aim of ensuring availability of the products in the EU. This is only/most relevant if there is a structural or temporary shortage of these outputs (e.g. a foreign mining operation in the EU for a critical raw material should sell the mine output to EU customers).</w:t>
      </w:r>
    </w:p>
    <w:p w14:paraId="542AD9DF" w14:textId="1628BBAF" w:rsidR="006169B8" w:rsidRPr="00FF63D1" w:rsidRDefault="006169B8" w:rsidP="008E26CF">
      <w:pPr>
        <w:spacing w:after="120"/>
        <w:rPr>
          <w:rFonts w:eastAsia="Times New Roman" w:cstheme="majorBidi"/>
          <w:b/>
          <w:i/>
          <w:noProof/>
          <w:szCs w:val="24"/>
          <w:u w:val="single"/>
        </w:rPr>
      </w:pPr>
      <w:r w:rsidRPr="00FF63D1">
        <w:rPr>
          <w:b/>
          <w:noProof/>
          <w:u w:val="single"/>
        </w:rPr>
        <w:br w:type="page"/>
      </w:r>
    </w:p>
    <w:p w14:paraId="3A0147A9" w14:textId="09F55F9A" w:rsidR="00020031" w:rsidRPr="00AB1DF9" w:rsidRDefault="00020031" w:rsidP="005B3D4D">
      <w:pPr>
        <w:pStyle w:val="Heading3"/>
        <w:numPr>
          <w:ilvl w:val="0"/>
          <w:numId w:val="0"/>
        </w:numPr>
        <w:spacing w:after="0"/>
        <w:rPr>
          <w:b/>
          <w:color w:val="000000" w:themeColor="text1"/>
          <w:u w:val="single"/>
        </w:rPr>
      </w:pPr>
      <w:r w:rsidRPr="00AB1DF9">
        <w:rPr>
          <w:b/>
          <w:u w:val="single"/>
        </w:rPr>
        <w:t xml:space="preserve">SO4: Speed-up and simplify permits for industrial decarbonisation </w:t>
      </w:r>
    </w:p>
    <w:p w14:paraId="5E26F3E3" w14:textId="77777777" w:rsidR="00020031" w:rsidRPr="00FF63D1" w:rsidRDefault="00020031">
      <w:pPr>
        <w:shd w:val="clear" w:color="auto" w:fill="FFFFFF" w:themeFill="background1"/>
        <w:tabs>
          <w:tab w:val="num" w:pos="5322"/>
        </w:tabs>
        <w:rPr>
          <w:rFonts w:eastAsia="Times New Roman"/>
          <w:b/>
          <w:noProof/>
          <w:color w:val="000000" w:themeColor="text1"/>
        </w:rPr>
      </w:pPr>
    </w:p>
    <w:p w14:paraId="17672EF9" w14:textId="648C0B6C" w:rsidR="00020031" w:rsidRPr="00FF63D1" w:rsidRDefault="00020031" w:rsidP="009279FD">
      <w:pPr>
        <w:shd w:val="clear" w:color="auto" w:fill="FFFFFF" w:themeFill="background1"/>
        <w:tabs>
          <w:tab w:val="num" w:pos="5322"/>
        </w:tabs>
        <w:rPr>
          <w:rFonts w:eastAsia="Times New Roman"/>
          <w:noProof/>
          <w:color w:val="000000" w:themeColor="text1"/>
        </w:rPr>
      </w:pPr>
      <w:r w:rsidRPr="00FF63D1">
        <w:rPr>
          <w:rFonts w:eastAsia="Times New Roman"/>
          <w:b/>
          <w:noProof/>
          <w:color w:val="000000" w:themeColor="text1"/>
        </w:rPr>
        <w:t>PERM 1</w:t>
      </w:r>
      <w:r w:rsidR="00246DE6" w:rsidRPr="00FF63D1">
        <w:rPr>
          <w:rFonts w:eastAsia="Times New Roman"/>
          <w:b/>
          <w:noProof/>
          <w:color w:val="000000" w:themeColor="text1"/>
        </w:rPr>
        <w:t xml:space="preserve"> </w:t>
      </w:r>
      <w:r w:rsidRPr="00FF63D1">
        <w:rPr>
          <w:rFonts w:eastAsia="Times New Roman"/>
          <w:b/>
          <w:noProof/>
          <w:color w:val="000000" w:themeColor="text1"/>
        </w:rPr>
        <w:t xml:space="preserve">– One </w:t>
      </w:r>
      <w:r w:rsidR="00246DE6" w:rsidRPr="00FF63D1">
        <w:rPr>
          <w:rFonts w:eastAsia="Times New Roman"/>
          <w:b/>
          <w:noProof/>
          <w:color w:val="000000" w:themeColor="text1"/>
        </w:rPr>
        <w:t xml:space="preserve">project-one digital procedure </w:t>
      </w:r>
    </w:p>
    <w:p w14:paraId="6C81C253" w14:textId="77777777" w:rsidR="00020031" w:rsidRPr="00FF63D1" w:rsidRDefault="00020031" w:rsidP="009279FD">
      <w:pPr>
        <w:shd w:val="clear" w:color="auto" w:fill="FFFFFF" w:themeFill="background1"/>
        <w:tabs>
          <w:tab w:val="num" w:pos="5322"/>
        </w:tabs>
        <w:rPr>
          <w:rFonts w:eastAsia="Times New Roman"/>
          <w:noProof/>
          <w:color w:val="000000" w:themeColor="text1"/>
        </w:rPr>
      </w:pPr>
    </w:p>
    <w:p w14:paraId="4908C903" w14:textId="77777777" w:rsidR="00020031" w:rsidRPr="002B1580" w:rsidRDefault="00020031" w:rsidP="002B1580">
      <w:pPr>
        <w:pStyle w:val="ListParagraph"/>
        <w:numPr>
          <w:ilvl w:val="0"/>
          <w:numId w:val="174"/>
        </w:numPr>
        <w:rPr>
          <w:rFonts w:eastAsia="Times New Roman"/>
          <w:i/>
          <w:noProof/>
          <w:color w:val="000000" w:themeColor="text1"/>
        </w:rPr>
      </w:pPr>
      <w:r w:rsidRPr="002B1580">
        <w:rPr>
          <w:rFonts w:eastAsia="Times New Roman"/>
          <w:b/>
          <w:i/>
          <w:noProof/>
          <w:color w:val="000000" w:themeColor="text1"/>
        </w:rPr>
        <w:t>Introduction of permitting provisions for all manufacturing industry projects on:</w:t>
      </w:r>
    </w:p>
    <w:p w14:paraId="7114506D" w14:textId="77777777" w:rsidR="00020031" w:rsidRPr="00B316F4" w:rsidRDefault="00020031" w:rsidP="009279FD">
      <w:pPr>
        <w:pStyle w:val="Normal1"/>
        <w:shd w:val="clear" w:color="auto" w:fill="FFFFFF" w:themeFill="background1"/>
        <w:spacing w:before="0" w:beforeAutospacing="0" w:after="0" w:afterAutospacing="0"/>
        <w:jc w:val="both"/>
        <w:rPr>
          <w:noProof/>
          <w:color w:val="000000" w:themeColor="text1"/>
        </w:rPr>
      </w:pPr>
    </w:p>
    <w:p w14:paraId="335E6BB8" w14:textId="7223C174" w:rsidR="00020031" w:rsidRPr="006028E4" w:rsidRDefault="005F3121" w:rsidP="006028E4">
      <w:pPr>
        <w:spacing w:after="120"/>
        <w:rPr>
          <w:rFonts w:eastAsia="Times New Roman"/>
          <w:noProof/>
        </w:rPr>
      </w:pPr>
      <w:r w:rsidRPr="006028E4">
        <w:rPr>
          <w:rFonts w:eastAsia="Times New Roman"/>
          <w:noProof/>
        </w:rPr>
        <w:t>To</w:t>
      </w:r>
      <w:r w:rsidR="00020031" w:rsidRPr="006028E4">
        <w:rPr>
          <w:rFonts w:eastAsia="Times New Roman"/>
          <w:noProof/>
        </w:rPr>
        <w:t xml:space="preserve"> streamline permitting processes in the Union, Member States would be required to take the following concrete measures for any new (or reconverted) industrial manufacturing projects (NACE Section C) under the scope. No additional requirements would be requested from these manufacturing projects to benefit from measures below, since they would be considered as standard measures to improve the competitiveness of European manufacturing companies. </w:t>
      </w:r>
    </w:p>
    <w:p w14:paraId="58CE40EF" w14:textId="77777777" w:rsidR="006028E4" w:rsidRDefault="00020031" w:rsidP="006028E4">
      <w:pPr>
        <w:pStyle w:val="Normal1"/>
        <w:shd w:val="clear" w:color="auto" w:fill="FFFFFF" w:themeFill="background1"/>
        <w:spacing w:before="0" w:beforeAutospacing="0" w:after="0" w:afterAutospacing="0"/>
        <w:jc w:val="both"/>
        <w:rPr>
          <w:noProof/>
          <w:color w:val="000000" w:themeColor="text1"/>
        </w:rPr>
      </w:pPr>
      <w:r w:rsidRPr="00B316F4">
        <w:rPr>
          <w:noProof/>
          <w:color w:val="000000" w:themeColor="text1"/>
        </w:rPr>
        <w:t>The potential measures include: </w:t>
      </w:r>
    </w:p>
    <w:p w14:paraId="7B9DF467" w14:textId="77777777" w:rsidR="006028E4" w:rsidRDefault="00020031" w:rsidP="006028E4">
      <w:pPr>
        <w:pStyle w:val="Normal1"/>
        <w:numPr>
          <w:ilvl w:val="0"/>
          <w:numId w:val="173"/>
        </w:numPr>
        <w:shd w:val="clear" w:color="auto" w:fill="FFFFFF" w:themeFill="background1"/>
        <w:spacing w:before="0" w:beforeAutospacing="0" w:after="0" w:afterAutospacing="0"/>
        <w:jc w:val="both"/>
        <w:rPr>
          <w:noProof/>
          <w:color w:val="000000" w:themeColor="text1"/>
        </w:rPr>
      </w:pPr>
      <w:r w:rsidRPr="00B316F4">
        <w:rPr>
          <w:noProof/>
          <w:color w:val="000000" w:themeColor="text1"/>
        </w:rPr>
        <w:t xml:space="preserve">Applying a </w:t>
      </w:r>
      <w:r w:rsidRPr="00B316F4">
        <w:rPr>
          <w:b/>
          <w:i/>
          <w:noProof/>
          <w:color w:val="000000" w:themeColor="text1"/>
        </w:rPr>
        <w:t>joint procedure</w:t>
      </w:r>
      <w:r w:rsidRPr="00B316F4">
        <w:rPr>
          <w:noProof/>
          <w:color w:val="000000" w:themeColor="text1"/>
        </w:rPr>
        <w:t xml:space="preserve"> combining all relevant permits like building or construction permits, including potential environmental assessments (i.e. those required by the EIA, Habitats, Birds, Water Framework, Seveso and Industrial Emissions Directives) for a given project;</w:t>
      </w:r>
    </w:p>
    <w:p w14:paraId="75B5FC9D" w14:textId="37CC3E51" w:rsidR="006028E4" w:rsidRDefault="00020031" w:rsidP="006028E4">
      <w:pPr>
        <w:pStyle w:val="Normal1"/>
        <w:numPr>
          <w:ilvl w:val="0"/>
          <w:numId w:val="173"/>
        </w:numPr>
        <w:shd w:val="clear" w:color="auto" w:fill="FFFFFF" w:themeFill="background1"/>
        <w:spacing w:before="0" w:beforeAutospacing="0" w:after="0" w:afterAutospacing="0"/>
        <w:jc w:val="both"/>
        <w:rPr>
          <w:noProof/>
          <w:color w:val="000000" w:themeColor="text1"/>
        </w:rPr>
      </w:pPr>
      <w:r w:rsidRPr="006028E4">
        <w:rPr>
          <w:noProof/>
          <w:color w:val="000000" w:themeColor="text1"/>
        </w:rPr>
        <w:t xml:space="preserve">Make permitting procedures </w:t>
      </w:r>
      <w:r w:rsidRPr="006028E4">
        <w:rPr>
          <w:b/>
          <w:i/>
          <w:noProof/>
          <w:color w:val="000000" w:themeColor="text1"/>
        </w:rPr>
        <w:t>fully digitalised</w:t>
      </w:r>
      <w:r w:rsidRPr="006028E4">
        <w:rPr>
          <w:noProof/>
          <w:color w:val="000000" w:themeColor="text1"/>
        </w:rPr>
        <w:t xml:space="preserve">, including submission of evidence by expanding the scope of the Single Digital Gateway Regulation; additionally, national authorities would need to </w:t>
      </w:r>
      <w:r w:rsidRPr="006028E4">
        <w:rPr>
          <w:b/>
          <w:i/>
          <w:noProof/>
          <w:color w:val="000000" w:themeColor="text1"/>
        </w:rPr>
        <w:t>standardise data sets in environmental permits</w:t>
      </w:r>
      <w:r w:rsidRPr="006028E4">
        <w:rPr>
          <w:noProof/>
          <w:color w:val="000000" w:themeColor="text1"/>
        </w:rPr>
        <w:t xml:space="preserve"> to increase interoperability and the storage/depository and the re-use of data in electronic forms</w:t>
      </w:r>
      <w:r w:rsidR="009279FD" w:rsidRPr="006028E4">
        <w:rPr>
          <w:noProof/>
          <w:color w:val="000000" w:themeColor="text1"/>
        </w:rPr>
        <w:t>;</w:t>
      </w:r>
    </w:p>
    <w:p w14:paraId="61A91423" w14:textId="03F57837" w:rsidR="006028E4" w:rsidRDefault="00020031" w:rsidP="006028E4">
      <w:pPr>
        <w:pStyle w:val="Normal1"/>
        <w:numPr>
          <w:ilvl w:val="0"/>
          <w:numId w:val="173"/>
        </w:numPr>
        <w:shd w:val="clear" w:color="auto" w:fill="FFFFFF" w:themeFill="background1"/>
        <w:spacing w:before="0" w:beforeAutospacing="0" w:after="0" w:afterAutospacing="0"/>
        <w:jc w:val="both"/>
        <w:rPr>
          <w:noProof/>
          <w:color w:val="000000" w:themeColor="text1"/>
        </w:rPr>
      </w:pPr>
      <w:r w:rsidRPr="006028E4">
        <w:rPr>
          <w:noProof/>
          <w:color w:val="000000" w:themeColor="text1"/>
        </w:rPr>
        <w:t>Mandate minimum data interoperability sets for storage and reuse in other reporting or permitting activities</w:t>
      </w:r>
      <w:r w:rsidR="009279FD" w:rsidRPr="006028E4">
        <w:rPr>
          <w:noProof/>
          <w:color w:val="000000" w:themeColor="text1"/>
        </w:rPr>
        <w:t>;</w:t>
      </w:r>
    </w:p>
    <w:p w14:paraId="2E765B5B" w14:textId="6AF2BDC0" w:rsidR="00020031" w:rsidRPr="006028E4" w:rsidRDefault="00020031" w:rsidP="006028E4">
      <w:pPr>
        <w:pStyle w:val="Normal1"/>
        <w:numPr>
          <w:ilvl w:val="0"/>
          <w:numId w:val="173"/>
        </w:numPr>
        <w:shd w:val="clear" w:color="auto" w:fill="FFFFFF" w:themeFill="background1"/>
        <w:spacing w:before="0" w:beforeAutospacing="0" w:after="0" w:afterAutospacing="0"/>
        <w:jc w:val="both"/>
        <w:rPr>
          <w:noProof/>
          <w:color w:val="000000" w:themeColor="text1"/>
        </w:rPr>
      </w:pPr>
      <w:r w:rsidRPr="006028E4">
        <w:rPr>
          <w:noProof/>
          <w:color w:val="000000" w:themeColor="text1"/>
        </w:rPr>
        <w:t>European</w:t>
      </w:r>
      <w:r w:rsidRPr="00B316F4">
        <w:rPr>
          <w:noProof/>
        </w:rPr>
        <w:t xml:space="preserve"> Commission to provide </w:t>
      </w:r>
      <w:r w:rsidRPr="006028E4">
        <w:rPr>
          <w:b/>
          <w:i/>
          <w:noProof/>
        </w:rPr>
        <w:t>technical assistance for innovative technologies</w:t>
      </w:r>
      <w:r w:rsidRPr="00B316F4">
        <w:rPr>
          <w:noProof/>
        </w:rPr>
        <w:t xml:space="preserve"> in decarbonised projects</w:t>
      </w:r>
      <w:r w:rsidR="009279FD" w:rsidRPr="00B316F4">
        <w:rPr>
          <w:noProof/>
        </w:rPr>
        <w:t>.</w:t>
      </w:r>
      <w:r w:rsidRPr="00B316F4">
        <w:rPr>
          <w:noProof/>
        </w:rPr>
        <w:t xml:space="preserve"> </w:t>
      </w:r>
    </w:p>
    <w:p w14:paraId="0D9B8755" w14:textId="77777777" w:rsidR="00020031" w:rsidRPr="00B316F4" w:rsidRDefault="00020031" w:rsidP="009279FD">
      <w:pPr>
        <w:pStyle w:val="li"/>
        <w:shd w:val="clear" w:color="auto" w:fill="FFFFFF" w:themeFill="background1"/>
        <w:spacing w:before="0" w:beforeAutospacing="0" w:after="0" w:afterAutospacing="0"/>
        <w:ind w:left="720"/>
        <w:jc w:val="both"/>
        <w:rPr>
          <w:noProof/>
          <w:color w:val="000000" w:themeColor="text1"/>
        </w:rPr>
      </w:pPr>
    </w:p>
    <w:p w14:paraId="22A3701E" w14:textId="5391BE32" w:rsidR="00020031" w:rsidRPr="00FF63D1" w:rsidRDefault="00020031" w:rsidP="009279FD">
      <w:pPr>
        <w:shd w:val="clear" w:color="auto" w:fill="FFFFFF" w:themeFill="background1"/>
        <w:rPr>
          <w:rFonts w:eastAsia="Times New Roman"/>
          <w:b/>
          <w:noProof/>
          <w:color w:val="000000" w:themeColor="text1"/>
        </w:rPr>
      </w:pPr>
      <w:r w:rsidRPr="00FF63D1">
        <w:rPr>
          <w:rFonts w:eastAsia="Times New Roman"/>
          <w:b/>
          <w:noProof/>
          <w:color w:val="000000" w:themeColor="text1"/>
        </w:rPr>
        <w:t xml:space="preserve">PERM 2 – </w:t>
      </w:r>
      <w:r w:rsidR="00615130" w:rsidRPr="00FF63D1">
        <w:rPr>
          <w:rFonts w:eastAsia="Times New Roman"/>
          <w:b/>
          <w:noProof/>
          <w:color w:val="000000" w:themeColor="text1"/>
        </w:rPr>
        <w:t xml:space="preserve">One project –one digital procedure, and special focus on </w:t>
      </w:r>
      <w:r w:rsidRPr="00FF63D1">
        <w:rPr>
          <w:rFonts w:eastAsia="Times New Roman"/>
          <w:b/>
          <w:noProof/>
          <w:color w:val="000000" w:themeColor="text1"/>
        </w:rPr>
        <w:t>EIIs</w:t>
      </w:r>
    </w:p>
    <w:p w14:paraId="7310F720" w14:textId="77777777" w:rsidR="00020031" w:rsidRPr="00FF63D1" w:rsidRDefault="00020031" w:rsidP="009279FD">
      <w:pPr>
        <w:shd w:val="clear" w:color="auto" w:fill="FFFFFF" w:themeFill="background1"/>
        <w:rPr>
          <w:rFonts w:eastAsia="Times New Roman"/>
          <w:noProof/>
          <w:color w:val="000000" w:themeColor="text1"/>
        </w:rPr>
      </w:pPr>
    </w:p>
    <w:p w14:paraId="6CE58AB9" w14:textId="38E03AFE" w:rsidR="00020031" w:rsidRPr="00FF63D1" w:rsidRDefault="00020031" w:rsidP="006028E4">
      <w:pPr>
        <w:spacing w:after="120"/>
        <w:rPr>
          <w:rFonts w:eastAsia="Times New Roman"/>
          <w:noProof/>
          <w:color w:val="000000" w:themeColor="text1"/>
        </w:rPr>
      </w:pPr>
      <w:r w:rsidRPr="00FF63D1">
        <w:rPr>
          <w:rFonts w:eastAsia="Times New Roman"/>
          <w:noProof/>
          <w:color w:val="000000" w:themeColor="text1"/>
        </w:rPr>
        <w:t xml:space="preserve">This </w:t>
      </w:r>
      <w:r w:rsidR="000B13A3" w:rsidRPr="006028E4">
        <w:rPr>
          <w:rFonts w:eastAsia="Times New Roman"/>
          <w:noProof/>
        </w:rPr>
        <w:t>includes</w:t>
      </w:r>
      <w:r w:rsidR="000B13A3" w:rsidRPr="00FF63D1">
        <w:rPr>
          <w:rFonts w:eastAsia="Times New Roman"/>
          <w:noProof/>
          <w:color w:val="000000" w:themeColor="text1"/>
        </w:rPr>
        <w:t xml:space="preserve"> the measures outlined in</w:t>
      </w:r>
      <w:r w:rsidRPr="00FF63D1">
        <w:rPr>
          <w:rFonts w:eastAsia="Times New Roman"/>
          <w:noProof/>
          <w:color w:val="000000" w:themeColor="text1"/>
        </w:rPr>
        <w:t xml:space="preserve"> PERM 1 above, and additionally, the measures explained below. </w:t>
      </w:r>
    </w:p>
    <w:p w14:paraId="6D124F96" w14:textId="454E1433" w:rsidR="002B1580" w:rsidRPr="00FF63D1" w:rsidRDefault="00020031" w:rsidP="002B1580">
      <w:pPr>
        <w:spacing w:after="120"/>
        <w:rPr>
          <w:rFonts w:eastAsia="Times New Roman"/>
          <w:noProof/>
          <w:color w:val="000000" w:themeColor="text1"/>
        </w:rPr>
      </w:pPr>
      <w:r w:rsidRPr="00FF63D1">
        <w:rPr>
          <w:noProof/>
          <w:color w:val="000000" w:themeColor="text1"/>
        </w:rPr>
        <w:t>EIIs should demonstrate a specific level of decarbonisation effort, (e.g. "significant and permanent GHG emissions reductions</w:t>
      </w:r>
      <w:r w:rsidR="009279FD" w:rsidRPr="00FF63D1">
        <w:rPr>
          <w:noProof/>
          <w:color w:val="000000" w:themeColor="text1"/>
        </w:rPr>
        <w:t>”</w:t>
      </w:r>
      <w:r w:rsidRPr="00FF63D1">
        <w:rPr>
          <w:noProof/>
          <w:color w:val="000000" w:themeColor="text1"/>
        </w:rPr>
        <w:t>) to qualify for these additional, cumulative benefits:</w:t>
      </w:r>
    </w:p>
    <w:p w14:paraId="782BD40E" w14:textId="75A35B1A" w:rsidR="002B1580" w:rsidRPr="002B1580" w:rsidRDefault="00020031" w:rsidP="002B1580">
      <w:pPr>
        <w:pStyle w:val="ListParagraph"/>
        <w:numPr>
          <w:ilvl w:val="0"/>
          <w:numId w:val="174"/>
        </w:numPr>
        <w:spacing w:after="120"/>
        <w:rPr>
          <w:rFonts w:eastAsia="Times New Roman"/>
          <w:noProof/>
          <w:color w:val="000000" w:themeColor="text1"/>
        </w:rPr>
      </w:pPr>
      <w:r w:rsidRPr="002B1580">
        <w:rPr>
          <w:rFonts w:eastAsia="Times New Roman"/>
          <w:b/>
          <w:i/>
          <w:noProof/>
          <w:color w:val="000000" w:themeColor="text1"/>
        </w:rPr>
        <w:t>Mirroring basic NZIA permitting provisions for the EII decarbonisation projects</w:t>
      </w:r>
      <w:r w:rsidRPr="002B1580">
        <w:rPr>
          <w:rFonts w:eastAsia="Times New Roman"/>
          <w:b/>
          <w:noProof/>
          <w:color w:val="000000" w:themeColor="text1"/>
        </w:rPr>
        <w:t xml:space="preserve"> </w:t>
      </w:r>
    </w:p>
    <w:p w14:paraId="0D65C695" w14:textId="77777777" w:rsidR="002B1580" w:rsidRDefault="002B1580" w:rsidP="002B1580">
      <w:pPr>
        <w:pStyle w:val="ListParagraph"/>
        <w:ind w:left="0"/>
        <w:rPr>
          <w:rFonts w:eastAsia="Times New Roman"/>
          <w:b/>
          <w:noProof/>
          <w:color w:val="000000" w:themeColor="text1"/>
        </w:rPr>
      </w:pPr>
    </w:p>
    <w:p w14:paraId="4FB52735" w14:textId="0730E495" w:rsidR="00020031" w:rsidRPr="00FF63D1" w:rsidRDefault="00020031" w:rsidP="002B1580">
      <w:pPr>
        <w:pStyle w:val="ListParagraph"/>
        <w:ind w:left="0"/>
        <w:rPr>
          <w:rFonts w:eastAsia="Times New Roman"/>
          <w:noProof/>
          <w:color w:val="000000" w:themeColor="text1"/>
        </w:rPr>
      </w:pPr>
      <w:r w:rsidRPr="00FF63D1">
        <w:rPr>
          <w:rFonts w:eastAsia="Times New Roman"/>
          <w:noProof/>
          <w:color w:val="000000" w:themeColor="text1"/>
        </w:rPr>
        <w:t xml:space="preserve">that </w:t>
      </w:r>
      <w:r w:rsidR="004870BF">
        <w:rPr>
          <w:rFonts w:eastAsia="Times New Roman"/>
          <w:noProof/>
          <w:color w:val="000000" w:themeColor="text1"/>
        </w:rPr>
        <w:t>do not</w:t>
      </w:r>
      <w:r w:rsidR="004870BF" w:rsidRPr="00FF63D1">
        <w:rPr>
          <w:rFonts w:eastAsia="Times New Roman"/>
          <w:noProof/>
          <w:color w:val="000000" w:themeColor="text1"/>
        </w:rPr>
        <w:t xml:space="preserve"> </w:t>
      </w:r>
      <w:r w:rsidRPr="00FF63D1">
        <w:rPr>
          <w:rFonts w:eastAsia="Times New Roman"/>
          <w:noProof/>
          <w:color w:val="000000" w:themeColor="text1"/>
        </w:rPr>
        <w:t>fall under the NZIA scope</w:t>
      </w:r>
      <w:r w:rsidR="000B13A3" w:rsidRPr="00FF63D1">
        <w:rPr>
          <w:rFonts w:eastAsia="Times New Roman"/>
          <w:noProof/>
          <w:color w:val="000000" w:themeColor="text1"/>
        </w:rPr>
        <w:t>, including</w:t>
      </w:r>
      <w:r w:rsidRPr="00FF63D1">
        <w:rPr>
          <w:rFonts w:eastAsia="Times New Roman"/>
          <w:noProof/>
          <w:color w:val="000000" w:themeColor="text1"/>
        </w:rPr>
        <w:t>:</w:t>
      </w:r>
    </w:p>
    <w:p w14:paraId="73ADF5CA" w14:textId="52AE6EFC" w:rsidR="00020031" w:rsidRPr="001E5AC7" w:rsidRDefault="000B13A3" w:rsidP="003F3451">
      <w:pPr>
        <w:pStyle w:val="li"/>
        <w:numPr>
          <w:ilvl w:val="0"/>
          <w:numId w:val="57"/>
        </w:numPr>
        <w:shd w:val="clear" w:color="auto" w:fill="FFFFFF" w:themeFill="background1"/>
        <w:spacing w:before="0" w:beforeAutospacing="0" w:after="0" w:afterAutospacing="0"/>
        <w:jc w:val="both"/>
        <w:rPr>
          <w:noProof/>
        </w:rPr>
      </w:pPr>
      <w:r w:rsidRPr="001E5AC7">
        <w:rPr>
          <w:noProof/>
        </w:rPr>
        <w:t>Designation of</w:t>
      </w:r>
      <w:r w:rsidR="00020031" w:rsidRPr="001E5AC7">
        <w:rPr>
          <w:noProof/>
        </w:rPr>
        <w:t xml:space="preserve"> an authority to fulfil the role of ‘one-stop shop’ and be the sole point of contact for project promoter.</w:t>
      </w:r>
    </w:p>
    <w:p w14:paraId="73BB48E8" w14:textId="6BDDB4C0" w:rsidR="00020031" w:rsidRPr="001E5AC7" w:rsidRDefault="00020031" w:rsidP="003F3451">
      <w:pPr>
        <w:pStyle w:val="li"/>
        <w:numPr>
          <w:ilvl w:val="0"/>
          <w:numId w:val="57"/>
        </w:numPr>
        <w:shd w:val="clear" w:color="auto" w:fill="FFFFFF" w:themeFill="background1"/>
        <w:spacing w:before="0" w:beforeAutospacing="0" w:after="0" w:afterAutospacing="0"/>
        <w:jc w:val="both"/>
        <w:rPr>
          <w:noProof/>
          <w:color w:val="000000" w:themeColor="text1"/>
        </w:rPr>
      </w:pPr>
      <w:r w:rsidRPr="001E5AC7">
        <w:rPr>
          <w:noProof/>
        </w:rPr>
        <w:t>Time limits of 18 months: adhering to specific time limits for different stages of the permit granting procedure</w:t>
      </w:r>
      <w:r w:rsidR="2ED62656" w:rsidRPr="00FB729C">
        <w:rPr>
          <w:noProof/>
          <w:color w:val="341A51"/>
        </w:rPr>
        <w:t>,</w:t>
      </w:r>
      <w:r w:rsidR="00FB729C" w:rsidRPr="00FB729C">
        <w:rPr>
          <w:noProof/>
          <w:color w:val="341A51"/>
        </w:rPr>
        <w:t xml:space="preserve"> </w:t>
      </w:r>
      <w:r w:rsidRPr="001E5AC7">
        <w:rPr>
          <w:noProof/>
        </w:rPr>
        <w:t xml:space="preserve">and other measures linked to basic permitting provisions. </w:t>
      </w:r>
    </w:p>
    <w:p w14:paraId="72E8D64D" w14:textId="77777777" w:rsidR="00020031" w:rsidRPr="00FF63D1" w:rsidRDefault="00020031" w:rsidP="009279FD">
      <w:pPr>
        <w:rPr>
          <w:rFonts w:eastAsia="Times New Roman"/>
          <w:noProof/>
          <w:color w:val="000000" w:themeColor="text1"/>
        </w:rPr>
      </w:pPr>
    </w:p>
    <w:p w14:paraId="606A368A" w14:textId="49ED1AFB" w:rsidR="00020031" w:rsidRPr="002B1580" w:rsidRDefault="00020031" w:rsidP="002B1580">
      <w:pPr>
        <w:spacing w:after="120"/>
        <w:rPr>
          <w:noProof/>
        </w:rPr>
      </w:pPr>
      <w:r w:rsidRPr="00FF63D1">
        <w:rPr>
          <w:rFonts w:eastAsia="Times New Roman"/>
          <w:noProof/>
          <w:color w:val="000000" w:themeColor="text1"/>
        </w:rPr>
        <w:t xml:space="preserve">To benefit from the NZIA provisions, an energy-intensive industrial decarbonisation project needs to fulfil two conditions: (i) the project has to manufacture a product or component that is </w:t>
      </w:r>
      <w:r w:rsidRPr="00FF63D1">
        <w:rPr>
          <w:rFonts w:eastAsia="Times New Roman"/>
          <w:i/>
          <w:noProof/>
          <w:color w:val="000000" w:themeColor="text1"/>
        </w:rPr>
        <w:t>a priori</w:t>
      </w:r>
      <w:r w:rsidRPr="00FF63D1">
        <w:rPr>
          <w:rFonts w:eastAsia="Times New Roman"/>
          <w:noProof/>
          <w:color w:val="000000" w:themeColor="text1"/>
        </w:rPr>
        <w:t xml:space="preserve"> relevant to </w:t>
      </w:r>
      <w:r w:rsidRPr="002B1580">
        <w:rPr>
          <w:rFonts w:eastAsia="Times New Roman"/>
          <w:noProof/>
        </w:rPr>
        <w:t>the</w:t>
      </w:r>
      <w:r w:rsidRPr="00FF63D1">
        <w:rPr>
          <w:rFonts w:eastAsia="Times New Roman"/>
          <w:noProof/>
          <w:color w:val="000000" w:themeColor="text1"/>
        </w:rPr>
        <w:t xml:space="preserve"> supply chain of a net-zero technology and (ii) has to reduce emission rates of CO</w:t>
      </w:r>
      <w:r w:rsidRPr="00FF63D1">
        <w:rPr>
          <w:rFonts w:eastAsia="Times New Roman"/>
          <w:noProof/>
          <w:color w:val="000000" w:themeColor="text1"/>
          <w:vertAlign w:val="subscript"/>
        </w:rPr>
        <w:t>2</w:t>
      </w:r>
      <w:r w:rsidRPr="00FF63D1">
        <w:rPr>
          <w:rFonts w:eastAsia="Times New Roman"/>
          <w:noProof/>
          <w:color w:val="000000" w:themeColor="text1"/>
        </w:rPr>
        <w:t xml:space="preserve">-eq of industrial processes significantly and permanently to an extent which is technically feasible. The evaluation and final decision, however, remain a prerogative of the national authorities. Therefore, industries that do not fulfil these conditions can continue to face complex and lengthy permit-granting processes. </w:t>
      </w:r>
    </w:p>
    <w:p w14:paraId="0F484717" w14:textId="62DC0489" w:rsidR="002B1580" w:rsidRPr="002B1580" w:rsidRDefault="00116DF9" w:rsidP="002B1580">
      <w:pPr>
        <w:pStyle w:val="ListParagraph"/>
        <w:numPr>
          <w:ilvl w:val="0"/>
          <w:numId w:val="174"/>
        </w:numPr>
        <w:spacing w:after="120"/>
        <w:rPr>
          <w:rFonts w:eastAsia="Times New Roman"/>
          <w:noProof/>
        </w:rPr>
      </w:pPr>
      <w:r w:rsidRPr="002B1580">
        <w:rPr>
          <w:rFonts w:eastAsia="Times New Roman"/>
          <w:b/>
          <w:i/>
          <w:noProof/>
          <w:color w:val="000000" w:themeColor="text1"/>
        </w:rPr>
        <w:t>Presumption</w:t>
      </w:r>
      <w:r w:rsidRPr="002B1580">
        <w:rPr>
          <w:rFonts w:eastAsia="Times New Roman"/>
          <w:b/>
          <w:i/>
          <w:noProof/>
        </w:rPr>
        <w:t xml:space="preserve"> of </w:t>
      </w:r>
      <w:r w:rsidR="00020031" w:rsidRPr="002B1580">
        <w:rPr>
          <w:rFonts w:eastAsia="Times New Roman"/>
          <w:b/>
          <w:i/>
          <w:noProof/>
        </w:rPr>
        <w:t>“Overriding Public Interest” principle</w:t>
      </w:r>
      <w:r w:rsidR="00020031" w:rsidRPr="002B1580">
        <w:rPr>
          <w:rFonts w:eastAsia="Times New Roman"/>
          <w:noProof/>
        </w:rPr>
        <w:t xml:space="preserve">: </w:t>
      </w:r>
    </w:p>
    <w:p w14:paraId="5CBCF8CD" w14:textId="14800B90" w:rsidR="00020031" w:rsidRDefault="00020031" w:rsidP="00C33095">
      <w:pPr>
        <w:spacing w:after="120"/>
        <w:rPr>
          <w:rFonts w:eastAsia="Times New Roman"/>
          <w:noProof/>
          <w:color w:val="000000" w:themeColor="text1"/>
        </w:rPr>
      </w:pPr>
      <w:r w:rsidRPr="002B1580">
        <w:rPr>
          <w:rFonts w:eastAsia="Times New Roman"/>
          <w:noProof/>
        </w:rPr>
        <w:t>To achieve the decarbonisation of the energy intensive industries in Europe, while enabling a security of supply of essential materials and avoiding dependencies from other regions of the world, energy intensive decarbonisation projects would be presumed to be of overriding public interest. As such, they should qualify for the most favourable procedure available in their planning and permit-granting procedures. For example, under Article 6(4) of the Habitats Directive this concept implies that the competent national authorities have to make their approval of the plans and projects in question subject to the condition that the balance of interests between the conservation objectives of the Natura 2000 site affected by those initiatives and the imperative reasons weighs in favour of the latter.</w:t>
      </w:r>
      <w:r w:rsidRPr="002B1580">
        <w:rPr>
          <w:rFonts w:eastAsia="Times New Roman"/>
          <w:noProof/>
          <w:color w:val="000000" w:themeColor="text1"/>
        </w:rPr>
        <w:t xml:space="preserve"> </w:t>
      </w:r>
    </w:p>
    <w:p w14:paraId="53137F07" w14:textId="2DFD239C" w:rsidR="002B1580" w:rsidRPr="002B1580" w:rsidRDefault="00020031" w:rsidP="002B1580">
      <w:pPr>
        <w:pStyle w:val="ListParagraph"/>
        <w:numPr>
          <w:ilvl w:val="0"/>
          <w:numId w:val="174"/>
        </w:numPr>
        <w:spacing w:after="120"/>
        <w:rPr>
          <w:rFonts w:eastAsia="Times New Roman"/>
          <w:noProof/>
          <w:color w:val="000000" w:themeColor="text1"/>
        </w:rPr>
      </w:pPr>
      <w:r w:rsidRPr="002B1580">
        <w:rPr>
          <w:rFonts w:eastAsia="Times New Roman"/>
          <w:b/>
          <w:i/>
          <w:noProof/>
          <w:color w:val="000000" w:themeColor="text1"/>
        </w:rPr>
        <w:t>Regulatory sandboxes for energy intensive industries</w:t>
      </w:r>
      <w:r w:rsidRPr="002B1580">
        <w:rPr>
          <w:rFonts w:eastAsia="Times New Roman"/>
          <w:i/>
          <w:noProof/>
          <w:color w:val="000000" w:themeColor="text1"/>
        </w:rPr>
        <w:t>:</w:t>
      </w:r>
      <w:r w:rsidRPr="002B1580">
        <w:rPr>
          <w:rFonts w:eastAsia="Times New Roman"/>
          <w:noProof/>
          <w:color w:val="000000" w:themeColor="text1"/>
        </w:rPr>
        <w:t xml:space="preserve"> </w:t>
      </w:r>
    </w:p>
    <w:p w14:paraId="29BA77FF" w14:textId="0A1EE2E8" w:rsidR="002A26D0" w:rsidRPr="002B1580" w:rsidRDefault="002A26D0" w:rsidP="00C33095">
      <w:pPr>
        <w:spacing w:after="120"/>
        <w:rPr>
          <w:rFonts w:eastAsia="Times New Roman"/>
          <w:noProof/>
          <w:color w:val="000000" w:themeColor="text1"/>
        </w:rPr>
      </w:pPr>
      <w:r>
        <w:rPr>
          <w:rFonts w:eastAsia="Times New Roman"/>
          <w:noProof/>
          <w:color w:val="000000" w:themeColor="text1"/>
        </w:rPr>
        <w:t>R</w:t>
      </w:r>
      <w:r w:rsidRPr="002B1580">
        <w:rPr>
          <w:rFonts w:eastAsia="Times New Roman"/>
          <w:noProof/>
          <w:color w:val="000000" w:themeColor="text1"/>
        </w:rPr>
        <w:t xml:space="preserve">egulatory sandboxes enable the </w:t>
      </w:r>
      <w:r>
        <w:rPr>
          <w:rFonts w:eastAsia="Times New Roman"/>
          <w:noProof/>
          <w:color w:val="000000" w:themeColor="text1"/>
        </w:rPr>
        <w:t xml:space="preserve">competent </w:t>
      </w:r>
      <w:r w:rsidRPr="002B1580">
        <w:rPr>
          <w:rFonts w:eastAsia="Times New Roman"/>
          <w:noProof/>
          <w:color w:val="000000" w:themeColor="text1"/>
        </w:rPr>
        <w:t xml:space="preserve">authorities to exercise a degree of flexibility to </w:t>
      </w:r>
      <w:r>
        <w:rPr>
          <w:rFonts w:eastAsia="Times New Roman"/>
          <w:noProof/>
          <w:color w:val="000000" w:themeColor="text1"/>
        </w:rPr>
        <w:t xml:space="preserve">allow participant/innovators to </w:t>
      </w:r>
      <w:r w:rsidRPr="002B1580">
        <w:rPr>
          <w:rFonts w:eastAsia="Times New Roman"/>
          <w:noProof/>
          <w:color w:val="000000" w:themeColor="text1"/>
        </w:rPr>
        <w:t xml:space="preserve">test innovative technologies or products in real </w:t>
      </w:r>
      <w:r>
        <w:rPr>
          <w:rFonts w:eastAsia="Times New Roman"/>
          <w:noProof/>
          <w:color w:val="000000" w:themeColor="text1"/>
        </w:rPr>
        <w:t xml:space="preserve">world environment and </w:t>
      </w:r>
      <w:r w:rsidRPr="002B1580">
        <w:rPr>
          <w:rFonts w:eastAsia="Times New Roman"/>
          <w:noProof/>
          <w:color w:val="000000" w:themeColor="text1"/>
        </w:rPr>
        <w:t>conditions for a limited period of time</w:t>
      </w:r>
      <w:r>
        <w:rPr>
          <w:rFonts w:eastAsia="Times New Roman"/>
          <w:noProof/>
          <w:color w:val="000000" w:themeColor="text1"/>
        </w:rPr>
        <w:t xml:space="preserve"> under appropriate supervision of one or more competent authorities</w:t>
      </w:r>
      <w:r w:rsidRPr="002B1580">
        <w:rPr>
          <w:rFonts w:eastAsia="Times New Roman"/>
          <w:noProof/>
          <w:color w:val="000000" w:themeColor="text1"/>
        </w:rPr>
        <w:t xml:space="preserve">. The outcomes of these </w:t>
      </w:r>
      <w:r>
        <w:rPr>
          <w:rFonts w:eastAsia="Times New Roman"/>
          <w:noProof/>
          <w:color w:val="000000" w:themeColor="text1"/>
        </w:rPr>
        <w:t xml:space="preserve">regulatory </w:t>
      </w:r>
      <w:r w:rsidRPr="002B1580">
        <w:rPr>
          <w:rFonts w:eastAsia="Times New Roman"/>
          <w:noProof/>
          <w:color w:val="000000" w:themeColor="text1"/>
        </w:rPr>
        <w:t xml:space="preserve">sandboxes should be </w:t>
      </w:r>
      <w:r>
        <w:rPr>
          <w:rFonts w:eastAsia="Times New Roman"/>
          <w:noProof/>
          <w:color w:val="000000" w:themeColor="text1"/>
        </w:rPr>
        <w:t>established</w:t>
      </w:r>
      <w:r w:rsidRPr="002B1580">
        <w:rPr>
          <w:rFonts w:eastAsia="Times New Roman"/>
          <w:noProof/>
          <w:color w:val="000000" w:themeColor="text1"/>
        </w:rPr>
        <w:t xml:space="preserve"> to enable experiences </w:t>
      </w:r>
      <w:r>
        <w:rPr>
          <w:rFonts w:eastAsia="Times New Roman"/>
          <w:noProof/>
          <w:color w:val="000000" w:themeColor="text1"/>
        </w:rPr>
        <w:t xml:space="preserve">and regulatory learnings </w:t>
      </w:r>
      <w:r w:rsidRPr="002B1580">
        <w:rPr>
          <w:rFonts w:eastAsia="Times New Roman"/>
          <w:noProof/>
          <w:color w:val="000000" w:themeColor="text1"/>
        </w:rPr>
        <w:t xml:space="preserve">to be </w:t>
      </w:r>
      <w:r>
        <w:rPr>
          <w:rFonts w:eastAsia="Times New Roman"/>
          <w:noProof/>
          <w:color w:val="000000" w:themeColor="text1"/>
        </w:rPr>
        <w:t xml:space="preserve">collected and </w:t>
      </w:r>
      <w:r w:rsidRPr="002B1580">
        <w:rPr>
          <w:rFonts w:eastAsia="Times New Roman"/>
          <w:noProof/>
          <w:color w:val="000000" w:themeColor="text1"/>
        </w:rPr>
        <w:t>shared across the EU. This would allow a limited derogation from specific legislation, such as: Delegated Regulation (EU) 2023/1185 and 2023/1184 (RFNBO DAs)</w:t>
      </w:r>
      <w:r>
        <w:rPr>
          <w:rFonts w:eastAsia="Times New Roman"/>
          <w:noProof/>
          <w:color w:val="000000" w:themeColor="text1"/>
        </w:rPr>
        <w:t>.</w:t>
      </w:r>
    </w:p>
    <w:p w14:paraId="3809E00E" w14:textId="77777777" w:rsidR="002B1580" w:rsidRPr="002B1580" w:rsidRDefault="00020031" w:rsidP="002B1580">
      <w:pPr>
        <w:pStyle w:val="ListParagraph"/>
        <w:numPr>
          <w:ilvl w:val="0"/>
          <w:numId w:val="174"/>
        </w:numPr>
        <w:spacing w:after="120"/>
        <w:rPr>
          <w:rFonts w:eastAsia="Times New Roman"/>
          <w:noProof/>
          <w:color w:val="000000" w:themeColor="text1"/>
        </w:rPr>
      </w:pPr>
      <w:r w:rsidRPr="002B1580">
        <w:rPr>
          <w:rFonts w:eastAsia="Times New Roman"/>
          <w:b/>
          <w:i/>
          <w:noProof/>
          <w:color w:val="000000" w:themeColor="text1"/>
        </w:rPr>
        <w:t>Tacit</w:t>
      </w:r>
      <w:r w:rsidRPr="00FF63D1">
        <w:rPr>
          <w:rFonts w:eastAsia="Times New Roman"/>
          <w:b/>
          <w:i/>
          <w:noProof/>
        </w:rPr>
        <w:t xml:space="preserve"> approval</w:t>
      </w:r>
      <w:r w:rsidRPr="00FF63D1">
        <w:rPr>
          <w:rFonts w:eastAsia="Times New Roman"/>
          <w:i/>
          <w:noProof/>
        </w:rPr>
        <w:t>:</w:t>
      </w:r>
      <w:r w:rsidRPr="00FF63D1">
        <w:rPr>
          <w:rFonts w:eastAsia="Times New Roman"/>
          <w:noProof/>
        </w:rPr>
        <w:t xml:space="preserve"> </w:t>
      </w:r>
    </w:p>
    <w:p w14:paraId="3B60E967" w14:textId="307E9B3A" w:rsidR="00020031" w:rsidRPr="002B1580" w:rsidRDefault="002B1580" w:rsidP="002B1580">
      <w:pPr>
        <w:spacing w:after="120"/>
        <w:rPr>
          <w:rFonts w:eastAsia="Times New Roman"/>
          <w:noProof/>
          <w:color w:val="000000" w:themeColor="text1"/>
        </w:rPr>
      </w:pPr>
      <w:r>
        <w:rPr>
          <w:rFonts w:eastAsia="Times New Roman"/>
          <w:noProof/>
        </w:rPr>
        <w:t>T</w:t>
      </w:r>
      <w:r w:rsidR="00020031" w:rsidRPr="002B1580">
        <w:rPr>
          <w:rFonts w:eastAsia="Times New Roman"/>
          <w:noProof/>
        </w:rPr>
        <w:t xml:space="preserve">he lack of an administrative reply of the relevant administrative bodies within a certain time limit or specific intermediary steps could be considered as approved for relevant EII decarbonisation projects. This provision would be accompanied by safeguards to ensure that such measures have minimal to no unintended impacts to the environment, safety or health of the population. Such a provision would not apply to decisions/permits required under relevant EU environmental </w:t>
      </w:r>
      <w:r w:rsidR="00020031" w:rsidRPr="00C33095">
        <w:rPr>
          <w:rFonts w:eastAsia="Times New Roman"/>
          <w:noProof/>
          <w:color w:val="000000" w:themeColor="text1"/>
        </w:rPr>
        <w:t>law</w:t>
      </w:r>
      <w:r w:rsidR="00020031" w:rsidRPr="002B1580">
        <w:rPr>
          <w:rFonts w:eastAsia="Times New Roman"/>
          <w:noProof/>
        </w:rPr>
        <w:t xml:space="preserve">. Similarly, it would not apply to final decisions/permits on the outcome of the permit-granting procedure, which shall be explicit. </w:t>
      </w:r>
    </w:p>
    <w:p w14:paraId="25DF9339" w14:textId="193A7097" w:rsidR="00020031" w:rsidRPr="00FF63D1" w:rsidRDefault="00020031" w:rsidP="009279FD">
      <w:pPr>
        <w:shd w:val="clear" w:color="auto" w:fill="FFFFFF" w:themeFill="background1"/>
        <w:rPr>
          <w:rFonts w:eastAsia="Times New Roman"/>
          <w:noProof/>
          <w:color w:val="000000" w:themeColor="text1"/>
        </w:rPr>
      </w:pPr>
      <w:r w:rsidRPr="00FF63D1">
        <w:rPr>
          <w:rFonts w:eastAsia="Times New Roman"/>
          <w:b/>
          <w:noProof/>
          <w:color w:val="000000" w:themeColor="text1"/>
        </w:rPr>
        <w:t xml:space="preserve">PERM 3 – </w:t>
      </w:r>
      <w:r w:rsidR="0013116B" w:rsidRPr="00FF63D1">
        <w:rPr>
          <w:rFonts w:eastAsia="Times New Roman"/>
          <w:b/>
          <w:noProof/>
          <w:color w:val="000000" w:themeColor="text1"/>
        </w:rPr>
        <w:t>Dedicated measures for industrial clusters</w:t>
      </w:r>
    </w:p>
    <w:p w14:paraId="0D1FC628" w14:textId="137F55CA" w:rsidR="00020031" w:rsidRPr="00FF63D1" w:rsidRDefault="00020031" w:rsidP="009279FD">
      <w:pPr>
        <w:shd w:val="clear" w:color="auto" w:fill="FFFFFF" w:themeFill="background1"/>
        <w:rPr>
          <w:rFonts w:eastAsia="Times New Roman"/>
          <w:noProof/>
          <w:color w:val="000000" w:themeColor="text1"/>
        </w:rPr>
      </w:pPr>
    </w:p>
    <w:p w14:paraId="170194D8" w14:textId="366A2790" w:rsidR="00020031" w:rsidRPr="00FF63D1" w:rsidRDefault="00020031" w:rsidP="00C33095">
      <w:pPr>
        <w:spacing w:after="120"/>
        <w:rPr>
          <w:rFonts w:eastAsia="Times New Roman"/>
          <w:noProof/>
          <w:color w:val="000000" w:themeColor="text1"/>
        </w:rPr>
      </w:pPr>
      <w:r w:rsidRPr="00FF63D1">
        <w:rPr>
          <w:rFonts w:eastAsia="Times New Roman"/>
          <w:noProof/>
          <w:color w:val="000000" w:themeColor="text1"/>
        </w:rPr>
        <w:t xml:space="preserve">This option </w:t>
      </w:r>
      <w:r w:rsidR="00857891" w:rsidRPr="00FF63D1">
        <w:rPr>
          <w:rFonts w:eastAsia="Times New Roman"/>
          <w:noProof/>
          <w:color w:val="000000" w:themeColor="text1"/>
        </w:rPr>
        <w:t>includes all</w:t>
      </w:r>
      <w:r w:rsidRPr="00FF63D1">
        <w:rPr>
          <w:rFonts w:eastAsia="Times New Roman"/>
          <w:noProof/>
          <w:color w:val="000000" w:themeColor="text1"/>
        </w:rPr>
        <w:t xml:space="preserve"> measures </w:t>
      </w:r>
      <w:r w:rsidR="00857891" w:rsidRPr="00FF63D1">
        <w:rPr>
          <w:rFonts w:eastAsia="Times New Roman"/>
          <w:noProof/>
          <w:color w:val="000000" w:themeColor="text1"/>
        </w:rPr>
        <w:t xml:space="preserve">from PERM 1 and 2 </w:t>
      </w:r>
      <w:r w:rsidRPr="00FF63D1">
        <w:rPr>
          <w:rFonts w:eastAsia="Times New Roman"/>
          <w:noProof/>
          <w:color w:val="000000" w:themeColor="text1"/>
        </w:rPr>
        <w:t xml:space="preserve">above, and additionally, the measures explained </w:t>
      </w:r>
      <w:r w:rsidRPr="00C33095">
        <w:rPr>
          <w:rFonts w:eastAsia="Times New Roman"/>
          <w:noProof/>
        </w:rPr>
        <w:t>below</w:t>
      </w:r>
      <w:r w:rsidRPr="00FF63D1">
        <w:rPr>
          <w:rFonts w:eastAsia="Times New Roman"/>
          <w:noProof/>
          <w:color w:val="000000" w:themeColor="text1"/>
        </w:rPr>
        <w:t xml:space="preserve">. </w:t>
      </w:r>
    </w:p>
    <w:p w14:paraId="55BF06BC" w14:textId="3E701F93" w:rsidR="00020031" w:rsidRPr="00FF63D1" w:rsidRDefault="00020031" w:rsidP="00C33095">
      <w:pPr>
        <w:spacing w:after="120"/>
        <w:rPr>
          <w:noProof/>
          <w:color w:val="000000" w:themeColor="text1"/>
        </w:rPr>
      </w:pPr>
      <w:r w:rsidRPr="00FF63D1">
        <w:rPr>
          <w:noProof/>
          <w:color w:val="000000" w:themeColor="text1"/>
        </w:rPr>
        <w:t>EIIs must demonstrate a specific level of decarbonisation effort, (e.g. "significant and permanent GHG emissions reductions</w:t>
      </w:r>
      <w:r w:rsidR="00857891" w:rsidRPr="00FF63D1">
        <w:rPr>
          <w:rFonts w:eastAsia="Times New Roman"/>
          <w:noProof/>
          <w:color w:val="000000" w:themeColor="text1"/>
        </w:rPr>
        <w:t>”)</w:t>
      </w:r>
      <w:r w:rsidRPr="00FF63D1">
        <w:rPr>
          <w:noProof/>
          <w:color w:val="000000" w:themeColor="text1"/>
        </w:rPr>
        <w:t xml:space="preserve"> </w:t>
      </w:r>
      <w:r w:rsidR="005F3121" w:rsidRPr="00FF63D1">
        <w:rPr>
          <w:rFonts w:eastAsia="Times New Roman"/>
          <w:noProof/>
          <w:color w:val="000000" w:themeColor="text1"/>
        </w:rPr>
        <w:t>to</w:t>
      </w:r>
      <w:r w:rsidRPr="00FF63D1">
        <w:rPr>
          <w:rFonts w:eastAsia="Times New Roman"/>
          <w:noProof/>
          <w:color w:val="000000" w:themeColor="text1"/>
        </w:rPr>
        <w:t xml:space="preserve"> benefit from these additional measures.</w:t>
      </w:r>
    </w:p>
    <w:p w14:paraId="65AB6459" w14:textId="019AE9A1" w:rsidR="00020031" w:rsidRPr="00FF63D1" w:rsidRDefault="00020031" w:rsidP="00C33095">
      <w:pPr>
        <w:spacing w:after="120"/>
        <w:rPr>
          <w:rFonts w:eastAsia="Times New Roman"/>
          <w:noProof/>
          <w:color w:val="000000" w:themeColor="text1"/>
        </w:rPr>
      </w:pPr>
      <w:r w:rsidRPr="00FF63D1">
        <w:rPr>
          <w:rFonts w:eastAsia="Times New Roman"/>
          <w:noProof/>
          <w:color w:val="000000" w:themeColor="text1"/>
        </w:rPr>
        <w:t>This measure opens the possibility for Member States to designate “Industrial Decarbonisation clusters” as geographical areas of industrial presence where projects can access several benefits. They are “</w:t>
      </w:r>
      <w:r w:rsidRPr="001E5AC7">
        <w:rPr>
          <w:b/>
          <w:i/>
          <w:noProof/>
          <w:color w:val="000000" w:themeColor="text1"/>
        </w:rPr>
        <w:t>go</w:t>
      </w:r>
      <w:r w:rsidRPr="00FF63D1">
        <w:rPr>
          <w:rFonts w:eastAsia="Times New Roman"/>
          <w:noProof/>
          <w:color w:val="000000" w:themeColor="text1"/>
        </w:rPr>
        <w:t xml:space="preserve">-to areas” which are particularly suitable areas for the installation of newly decarbonised industrial </w:t>
      </w:r>
      <w:r w:rsidR="009D7D33" w:rsidRPr="00FF63D1">
        <w:rPr>
          <w:rFonts w:eastAsia="Times New Roman"/>
          <w:noProof/>
          <w:color w:val="000000" w:themeColor="text1"/>
        </w:rPr>
        <w:t xml:space="preserve">manufacturing </w:t>
      </w:r>
      <w:r w:rsidRPr="00FF63D1">
        <w:rPr>
          <w:rFonts w:eastAsia="Times New Roman"/>
          <w:noProof/>
          <w:color w:val="000000" w:themeColor="text1"/>
        </w:rPr>
        <w:t>facilities or reconversion of the existing ones already operating in the perimeter.</w:t>
      </w:r>
      <w:r w:rsidR="516C858D" w:rsidRPr="00FF63D1">
        <w:rPr>
          <w:rFonts w:eastAsia="Times New Roman"/>
          <w:noProof/>
          <w:color w:val="000000" w:themeColor="text1"/>
        </w:rPr>
        <w:t xml:space="preserve"> </w:t>
      </w:r>
      <w:r w:rsidR="112EE62A" w:rsidRPr="00FF63D1">
        <w:rPr>
          <w:rFonts w:eastAsia="Times New Roman"/>
          <w:noProof/>
          <w:color w:val="000000" w:themeColor="text1"/>
        </w:rPr>
        <w:t xml:space="preserve">These areas </w:t>
      </w:r>
      <w:r w:rsidR="7BE09FDF" w:rsidRPr="00FF63D1">
        <w:rPr>
          <w:rFonts w:eastAsia="Times New Roman"/>
          <w:noProof/>
          <w:color w:val="000000" w:themeColor="text1"/>
        </w:rPr>
        <w:t xml:space="preserve">of industrial symbiosis </w:t>
      </w:r>
      <w:r w:rsidR="112EE62A" w:rsidRPr="00FF63D1">
        <w:rPr>
          <w:rFonts w:eastAsia="Times New Roman"/>
          <w:noProof/>
          <w:color w:val="000000" w:themeColor="text1"/>
        </w:rPr>
        <w:t xml:space="preserve">can foster the exchange of raw materials, waste, and energy flows </w:t>
      </w:r>
      <w:r w:rsidR="5CC18189" w:rsidRPr="00FF63D1">
        <w:rPr>
          <w:rFonts w:eastAsia="Times New Roman"/>
          <w:noProof/>
          <w:color w:val="000000" w:themeColor="text1"/>
        </w:rPr>
        <w:t xml:space="preserve">to </w:t>
      </w:r>
      <w:r w:rsidR="112EE62A" w:rsidRPr="00FF63D1">
        <w:rPr>
          <w:rFonts w:eastAsia="Times New Roman"/>
          <w:noProof/>
          <w:color w:val="000000" w:themeColor="text1"/>
        </w:rPr>
        <w:t xml:space="preserve">improve </w:t>
      </w:r>
      <w:r w:rsidR="2321B165" w:rsidRPr="00FF63D1">
        <w:rPr>
          <w:rFonts w:eastAsia="Times New Roman"/>
          <w:noProof/>
          <w:color w:val="000000" w:themeColor="text1"/>
        </w:rPr>
        <w:t xml:space="preserve">their </w:t>
      </w:r>
      <w:r w:rsidR="112EE62A" w:rsidRPr="00FF63D1">
        <w:rPr>
          <w:rFonts w:eastAsia="Times New Roman"/>
          <w:noProof/>
          <w:color w:val="000000" w:themeColor="text1"/>
        </w:rPr>
        <w:t xml:space="preserve">resource efficiency, </w:t>
      </w:r>
      <w:r w:rsidR="047070F9" w:rsidRPr="00FF63D1">
        <w:rPr>
          <w:rFonts w:eastAsia="Times New Roman"/>
          <w:noProof/>
          <w:color w:val="000000" w:themeColor="text1"/>
        </w:rPr>
        <w:t xml:space="preserve">and </w:t>
      </w:r>
      <w:r w:rsidR="112EE62A" w:rsidRPr="00FF63D1">
        <w:rPr>
          <w:rFonts w:eastAsia="Times New Roman"/>
          <w:noProof/>
          <w:color w:val="000000" w:themeColor="text1"/>
        </w:rPr>
        <w:t xml:space="preserve">environmental </w:t>
      </w:r>
      <w:r w:rsidR="44BD5428" w:rsidRPr="00FF63D1">
        <w:rPr>
          <w:rFonts w:eastAsia="Times New Roman"/>
          <w:noProof/>
          <w:color w:val="000000" w:themeColor="text1"/>
        </w:rPr>
        <w:t>performance</w:t>
      </w:r>
      <w:r w:rsidR="7A9DDC1F" w:rsidRPr="00FF63D1">
        <w:rPr>
          <w:rFonts w:eastAsia="Times New Roman"/>
          <w:noProof/>
          <w:color w:val="000000" w:themeColor="text1"/>
        </w:rPr>
        <w:t>.</w:t>
      </w:r>
      <w:r w:rsidR="005F69C1">
        <w:rPr>
          <w:rFonts w:eastAsia="Times New Roman"/>
          <w:noProof/>
          <w:color w:val="000000" w:themeColor="text1"/>
        </w:rPr>
        <w:t xml:space="preserve"> </w:t>
      </w:r>
    </w:p>
    <w:p w14:paraId="59C38B51" w14:textId="5972607F" w:rsidR="00BC3154" w:rsidRPr="00BC3154" w:rsidRDefault="00020031" w:rsidP="00BC3154">
      <w:pPr>
        <w:pStyle w:val="ListParagraph"/>
        <w:numPr>
          <w:ilvl w:val="0"/>
          <w:numId w:val="174"/>
        </w:numPr>
        <w:spacing w:after="120"/>
        <w:rPr>
          <w:rFonts w:eastAsia="Times New Roman"/>
          <w:b/>
          <w:i/>
          <w:noProof/>
        </w:rPr>
      </w:pPr>
      <w:r w:rsidRPr="00BC3154">
        <w:rPr>
          <w:rFonts w:eastAsia="Times New Roman"/>
          <w:b/>
          <w:i/>
          <w:noProof/>
        </w:rPr>
        <w:t>Tacit approval</w:t>
      </w:r>
    </w:p>
    <w:p w14:paraId="7B359DCB" w14:textId="7EDCEE57" w:rsidR="00020031" w:rsidRPr="00FF63D1" w:rsidRDefault="00BC3154" w:rsidP="00BC3154">
      <w:pPr>
        <w:spacing w:after="120"/>
        <w:rPr>
          <w:rFonts w:eastAsia="Times New Roman"/>
          <w:noProof/>
        </w:rPr>
      </w:pPr>
      <w:r>
        <w:rPr>
          <w:rFonts w:eastAsia="Times New Roman"/>
          <w:noProof/>
        </w:rPr>
        <w:t>T</w:t>
      </w:r>
      <w:r w:rsidR="00020031" w:rsidRPr="00FF63D1">
        <w:rPr>
          <w:rFonts w:eastAsia="Times New Roman"/>
          <w:noProof/>
        </w:rPr>
        <w:t xml:space="preserve">he lack of an administrative reply of the relevant administrative bodies within a certain time limit or specific intermediary steps could be considered as approved for projects within the industrial cluster. </w:t>
      </w:r>
      <w:r w:rsidR="00020031" w:rsidRPr="00BC3154">
        <w:rPr>
          <w:rFonts w:eastAsia="Times New Roman"/>
          <w:noProof/>
          <w:color w:val="000000" w:themeColor="text1"/>
        </w:rPr>
        <w:t>Such</w:t>
      </w:r>
      <w:r w:rsidR="00020031" w:rsidRPr="00FF63D1">
        <w:rPr>
          <w:rFonts w:eastAsia="Times New Roman"/>
          <w:noProof/>
        </w:rPr>
        <w:t xml:space="preserve"> a provision would noy apply to decisions/permits required under relevant EU environmental law. It should not apply to final decisions/permits on the outcome of the permit-granting procedure, which shall be explicit. </w:t>
      </w:r>
    </w:p>
    <w:p w14:paraId="367928C0" w14:textId="77777777" w:rsidR="00BC3154" w:rsidRPr="00BC3154" w:rsidRDefault="00020031" w:rsidP="00BC3154">
      <w:pPr>
        <w:pStyle w:val="ListParagraph"/>
        <w:numPr>
          <w:ilvl w:val="0"/>
          <w:numId w:val="174"/>
        </w:numPr>
        <w:spacing w:after="120"/>
        <w:rPr>
          <w:rFonts w:eastAsia="Times New Roman"/>
          <w:noProof/>
          <w:color w:val="000000" w:themeColor="text1"/>
        </w:rPr>
      </w:pPr>
      <w:r w:rsidRPr="00BC3154">
        <w:rPr>
          <w:rFonts w:eastAsia="Times New Roman"/>
          <w:b/>
          <w:i/>
          <w:noProof/>
        </w:rPr>
        <w:t>Priority assessment by Distribution System Operator (DSO) for connection requests to energy infrastructure (i.e. electricity and /or hydrogen) located in industrial clusters.</w:t>
      </w:r>
      <w:r w:rsidRPr="00FF63D1">
        <w:rPr>
          <w:rFonts w:eastAsia="Times New Roman"/>
          <w:b/>
          <w:noProof/>
          <w:color w:val="000000" w:themeColor="text1"/>
        </w:rPr>
        <w:t xml:space="preserve"> </w:t>
      </w:r>
    </w:p>
    <w:p w14:paraId="588A3604" w14:textId="74D5505E" w:rsidR="00857891" w:rsidRPr="00BC3154" w:rsidRDefault="00020031" w:rsidP="00BC3154">
      <w:pPr>
        <w:spacing w:after="120"/>
        <w:rPr>
          <w:rFonts w:eastAsia="Times New Roman"/>
          <w:noProof/>
          <w:color w:val="000000" w:themeColor="text1"/>
        </w:rPr>
      </w:pPr>
      <w:r w:rsidRPr="00BC3154">
        <w:rPr>
          <w:rFonts w:eastAsia="Times New Roman"/>
          <w:noProof/>
          <w:color w:val="000000" w:themeColor="text1"/>
        </w:rPr>
        <w:t xml:space="preserve">Member States </w:t>
      </w:r>
      <w:r w:rsidR="004C6BCE" w:rsidRPr="00BC3154">
        <w:rPr>
          <w:rFonts w:eastAsia="Times New Roman"/>
          <w:noProof/>
          <w:color w:val="000000" w:themeColor="text1"/>
        </w:rPr>
        <w:t>would</w:t>
      </w:r>
      <w:r w:rsidRPr="00BC3154">
        <w:rPr>
          <w:rFonts w:eastAsia="Times New Roman"/>
          <w:noProof/>
          <w:color w:val="000000" w:themeColor="text1"/>
        </w:rPr>
        <w:t xml:space="preserve"> notify the distribution system operator whenever industrial clusters are established, providing that the estimated industrial activity justifies an energy infrastructure connection (electricity grid, hydrogen pipeline or others). Secondly, the assessment of the cluster connection </w:t>
      </w:r>
      <w:r w:rsidR="004C6BCE" w:rsidRPr="00BC3154">
        <w:rPr>
          <w:rFonts w:eastAsia="Times New Roman"/>
          <w:noProof/>
          <w:color w:val="000000" w:themeColor="text1"/>
        </w:rPr>
        <w:t xml:space="preserve">would </w:t>
      </w:r>
      <w:r w:rsidRPr="00BC3154">
        <w:rPr>
          <w:rFonts w:eastAsia="Times New Roman"/>
          <w:noProof/>
          <w:color w:val="000000" w:themeColor="text1"/>
        </w:rPr>
        <w:t xml:space="preserve">be evaluated as a matter of priority by the DSO, considering the decarbonisation needs of the industrial sector as one of the largest </w:t>
      </w:r>
      <w:r w:rsidR="00273206" w:rsidRPr="00BC3154">
        <w:rPr>
          <w:rFonts w:eastAsia="Times New Roman"/>
          <w:noProof/>
          <w:color w:val="000000" w:themeColor="text1"/>
        </w:rPr>
        <w:t>CO</w:t>
      </w:r>
      <w:r w:rsidR="00273206" w:rsidRPr="00BC3154">
        <w:rPr>
          <w:noProof/>
          <w:color w:val="000000" w:themeColor="text1"/>
          <w:vertAlign w:val="subscript"/>
        </w:rPr>
        <w:t>2</w:t>
      </w:r>
      <w:r w:rsidRPr="00BC3154">
        <w:rPr>
          <w:rFonts w:eastAsia="Times New Roman"/>
          <w:noProof/>
          <w:color w:val="000000" w:themeColor="text1"/>
        </w:rPr>
        <w:t xml:space="preserve"> emitters of the Union. </w:t>
      </w:r>
    </w:p>
    <w:p w14:paraId="5B03D1D8" w14:textId="3C963126" w:rsidR="00BC3154" w:rsidRPr="00BC3154" w:rsidRDefault="00020031" w:rsidP="00BC3154">
      <w:pPr>
        <w:pStyle w:val="ListParagraph"/>
        <w:numPr>
          <w:ilvl w:val="0"/>
          <w:numId w:val="174"/>
        </w:numPr>
        <w:spacing w:after="120"/>
        <w:rPr>
          <w:rFonts w:eastAsia="Times New Roman"/>
          <w:b/>
          <w:i/>
          <w:noProof/>
          <w:color w:val="000000" w:themeColor="text1"/>
        </w:rPr>
      </w:pPr>
      <w:r w:rsidRPr="00BC3154">
        <w:rPr>
          <w:rFonts w:eastAsia="Times New Roman"/>
          <w:b/>
          <w:i/>
          <w:noProof/>
        </w:rPr>
        <w:t>Derogation</w:t>
      </w:r>
      <w:r w:rsidRPr="00BC3154">
        <w:rPr>
          <w:rFonts w:eastAsia="Times New Roman"/>
          <w:b/>
          <w:i/>
          <w:noProof/>
          <w:color w:val="000000" w:themeColor="text1"/>
        </w:rPr>
        <w:t xml:space="preserve"> from Environmental Impact Assessment provisions for projects in industrial clusters</w:t>
      </w:r>
    </w:p>
    <w:p w14:paraId="757D03D0" w14:textId="4CAE724F" w:rsidR="00020031" w:rsidRPr="00BC3154" w:rsidRDefault="00020031" w:rsidP="00295A89">
      <w:pPr>
        <w:spacing w:after="120"/>
        <w:rPr>
          <w:rFonts w:eastAsia="Times New Roman"/>
          <w:noProof/>
          <w:color w:val="000000" w:themeColor="text1"/>
        </w:rPr>
      </w:pPr>
      <w:r w:rsidRPr="00BC3154">
        <w:rPr>
          <w:rFonts w:eastAsia="Times New Roman"/>
          <w:noProof/>
          <w:color w:val="000000" w:themeColor="text1"/>
        </w:rPr>
        <w:t xml:space="preserve">In this context, they shall be exempted, when relevant, from the requirement to carry out a dedicated environmental impact assessment under Directive 2011/92/EU, provided that these projects comply with certain safeguards. There is however an obligation to perform a Strategic environmental assessment for plans dedicated to the designation of such clusters. </w:t>
      </w:r>
    </w:p>
    <w:p w14:paraId="4EC76A9E" w14:textId="37EB8584" w:rsidR="00BC3154" w:rsidRDefault="00020031" w:rsidP="00BC3154">
      <w:pPr>
        <w:pStyle w:val="ListParagraph"/>
        <w:numPr>
          <w:ilvl w:val="0"/>
          <w:numId w:val="174"/>
        </w:numPr>
        <w:spacing w:after="120"/>
        <w:rPr>
          <w:rFonts w:eastAsia="Times New Roman"/>
          <w:b/>
          <w:i/>
          <w:noProof/>
          <w:color w:val="000000" w:themeColor="text1"/>
        </w:rPr>
      </w:pPr>
      <w:r w:rsidRPr="00BC3154">
        <w:rPr>
          <w:rFonts w:eastAsia="Times New Roman"/>
          <w:b/>
          <w:i/>
          <w:noProof/>
        </w:rPr>
        <w:t>Exemptions</w:t>
      </w:r>
      <w:r w:rsidRPr="00FF63D1">
        <w:rPr>
          <w:rFonts w:eastAsia="Times New Roman"/>
          <w:b/>
          <w:i/>
          <w:noProof/>
          <w:color w:val="000000" w:themeColor="text1"/>
        </w:rPr>
        <w:t xml:space="preserve"> for construction phase</w:t>
      </w:r>
    </w:p>
    <w:p w14:paraId="5808453C" w14:textId="5CC00D34" w:rsidR="00020031" w:rsidRDefault="00020031" w:rsidP="00295A89">
      <w:pPr>
        <w:spacing w:after="120"/>
        <w:rPr>
          <w:rFonts w:eastAsia="Times New Roman"/>
          <w:noProof/>
          <w:color w:val="000000" w:themeColor="text1"/>
        </w:rPr>
      </w:pPr>
      <w:r w:rsidRPr="00FF63D1">
        <w:rPr>
          <w:rFonts w:eastAsia="Times New Roman"/>
          <w:noProof/>
          <w:color w:val="000000" w:themeColor="text1"/>
        </w:rPr>
        <w:t xml:space="preserve">First stages of environmental assessments like Natura 2000 examines the likelihood of a plan or project having significant effects on the environment. In this context, the project’s examination involves the construction works. Targeted amendments to Art. 2(1) of Directive 2011/92/EU and Art. 6(3) of the Directive 92/43/EEC could be introduced to exempt the temporary emissions taking place during construction phase of projects with CCS in their design. </w:t>
      </w:r>
    </w:p>
    <w:p w14:paraId="5055069B" w14:textId="5EE8E58A" w:rsidR="00020031" w:rsidRPr="00AB1DF9" w:rsidRDefault="00020031" w:rsidP="005B3D4D">
      <w:pPr>
        <w:pStyle w:val="Heading3"/>
        <w:numPr>
          <w:ilvl w:val="0"/>
          <w:numId w:val="0"/>
        </w:numPr>
        <w:spacing w:before="0" w:after="0"/>
        <w:rPr>
          <w:u w:val="single"/>
        </w:rPr>
      </w:pPr>
      <w:r w:rsidRPr="00FF63D1">
        <w:rPr>
          <w:b/>
          <w:u w:val="single"/>
        </w:rPr>
        <w:t xml:space="preserve">SO5: </w:t>
      </w:r>
      <w:r w:rsidR="006737C5" w:rsidRPr="00FF63D1">
        <w:rPr>
          <w:b/>
          <w:u w:val="single"/>
        </w:rPr>
        <w:t>Increase investment</w:t>
      </w:r>
      <w:r w:rsidR="00B5052A" w:rsidRPr="00AB1DF9">
        <w:rPr>
          <w:b/>
          <w:u w:val="single"/>
        </w:rPr>
        <w:t xml:space="preserve"> </w:t>
      </w:r>
      <w:r w:rsidR="006737C5" w:rsidRPr="00FF63D1">
        <w:rPr>
          <w:b/>
          <w:u w:val="single"/>
        </w:rPr>
        <w:t>projects in industrial areas</w:t>
      </w:r>
      <w:r w:rsidRPr="00FF63D1">
        <w:rPr>
          <w:b/>
          <w:u w:val="single"/>
        </w:rPr>
        <w:t xml:space="preserve"> </w:t>
      </w:r>
    </w:p>
    <w:p w14:paraId="474A0F3B" w14:textId="77777777" w:rsidR="006D74C1" w:rsidRPr="00FF63D1" w:rsidRDefault="006D74C1" w:rsidP="006D74C1">
      <w:pPr>
        <w:rPr>
          <w:noProof/>
        </w:rPr>
      </w:pPr>
    </w:p>
    <w:p w14:paraId="68EB5327" w14:textId="4C354527" w:rsidR="00020031" w:rsidRPr="00FF63D1" w:rsidRDefault="00020031" w:rsidP="006D74C1">
      <w:pPr>
        <w:rPr>
          <w:noProof/>
        </w:rPr>
      </w:pPr>
      <w:r w:rsidRPr="00FF63D1">
        <w:rPr>
          <w:noProof/>
        </w:rPr>
        <w:t>This specific objective defines criteria for identifying industrial decarbonisation projects</w:t>
      </w:r>
      <w:r w:rsidR="00F9628C" w:rsidRPr="00FF63D1">
        <w:rPr>
          <w:noProof/>
        </w:rPr>
        <w:t xml:space="preserve"> </w:t>
      </w:r>
      <w:r w:rsidR="00037826" w:rsidRPr="00FF63D1">
        <w:rPr>
          <w:noProof/>
        </w:rPr>
        <w:t xml:space="preserve">in </w:t>
      </w:r>
      <w:r w:rsidR="00F9628C" w:rsidRPr="00FF63D1">
        <w:rPr>
          <w:noProof/>
        </w:rPr>
        <w:t>areas</w:t>
      </w:r>
      <w:r w:rsidRPr="00FF63D1">
        <w:rPr>
          <w:noProof/>
        </w:rPr>
        <w:t>, to facilitate access to public funding. The objective criteria would be set horizontally and take into account: a) the project’s economic security potential for the EU, b) its decarbonisation potential, c) its contribution to the EU’s strategic autonomy and d) its deployment potential. The economic security potential for the EU would take into account the project’s value added, including in other EU Member States, and its contribution to an entry-level transition plan as well as to strategic value chains. The deployment potential should take into account the label being developed under SO1, for the carbon intensity of the sectors covered, primarily steel, insofar the industrial project can demonstrate the low-carbon production meet the classification set by the label, and could also reflect wider social aspects, such as skills.</w:t>
      </w:r>
      <w:r w:rsidR="33CEC698" w:rsidRPr="00FF63D1">
        <w:rPr>
          <w:noProof/>
        </w:rPr>
        <w:t xml:space="preserve"> </w:t>
      </w:r>
    </w:p>
    <w:p w14:paraId="01C4FF9D" w14:textId="77777777" w:rsidR="006D74C1" w:rsidRPr="00FF63D1" w:rsidRDefault="006D74C1" w:rsidP="006D74C1">
      <w:pPr>
        <w:rPr>
          <w:noProof/>
        </w:rPr>
      </w:pPr>
    </w:p>
    <w:tbl>
      <w:tblPr>
        <w:tblStyle w:val="TableGrid"/>
        <w:tblW w:w="9014"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4"/>
      </w:tblGrid>
      <w:tr w:rsidR="00020031" w:rsidRPr="00FF63D1" w14:paraId="6870545E" w14:textId="77777777" w:rsidTr="00B316F4">
        <w:trPr>
          <w:trHeight w:val="300"/>
        </w:trPr>
        <w:tc>
          <w:tcPr>
            <w:tcW w:w="9014" w:type="dxa"/>
          </w:tcPr>
          <w:p w14:paraId="4B4697CE" w14:textId="77777777" w:rsidR="00020031" w:rsidRPr="00FF63D1" w:rsidRDefault="00020031">
            <w:pPr>
              <w:rPr>
                <w:noProof/>
              </w:rPr>
            </w:pPr>
            <w:r w:rsidRPr="00FF63D1">
              <w:rPr>
                <w:noProof/>
              </w:rPr>
              <w:t xml:space="preserve">The majority of respondents to the </w:t>
            </w:r>
            <w:r w:rsidRPr="00FF63D1">
              <w:rPr>
                <w:b/>
                <w:noProof/>
              </w:rPr>
              <w:t>Open Public Consultation</w:t>
            </w:r>
            <w:r w:rsidRPr="00FF63D1">
              <w:rPr>
                <w:noProof/>
              </w:rPr>
              <w:t xml:space="preserve">, 197 (63%) out of 314, support the introduction of a category of priority industrial decarbonisation projects, supported by targeted benefits, with the goal of accelerating the EU’s industrial decarbonisation efforts. </w:t>
            </w:r>
          </w:p>
          <w:p w14:paraId="3F2360D5" w14:textId="32AABB97" w:rsidR="00020031" w:rsidRPr="00FF63D1" w:rsidRDefault="00020031">
            <w:pPr>
              <w:rPr>
                <w:noProof/>
              </w:rPr>
            </w:pPr>
            <w:r w:rsidRPr="00FF63D1">
              <w:rPr>
                <w:noProof/>
              </w:rPr>
              <w:t>The preferred criteria for identifying priority projects were: contribution to industrial decarbonisation (100 (32%) out of 314 respondents), contribution to strategic value chains (64, 20%), contribution to industrial electrification (9, 16%),) economic importance (43, 14%) and expected increased demand for outputs (28, 9%).</w:t>
            </w:r>
            <w:r w:rsidR="00480BEE">
              <w:rPr>
                <w:noProof/>
              </w:rPr>
              <w:t xml:space="preserve"> </w:t>
            </w:r>
          </w:p>
        </w:tc>
      </w:tr>
    </w:tbl>
    <w:p w14:paraId="686CD011" w14:textId="560F6EA8" w:rsidR="007C2033" w:rsidRPr="00FF63D1" w:rsidRDefault="007C2033" w:rsidP="008D60DD">
      <w:pPr>
        <w:spacing w:before="240" w:after="240"/>
        <w:rPr>
          <w:rFonts w:eastAsia="Times New Roman"/>
          <w:b/>
          <w:noProof/>
          <w:color w:val="000000" w:themeColor="text1"/>
        </w:rPr>
      </w:pPr>
      <w:r w:rsidRPr="00FF63D1">
        <w:rPr>
          <w:rFonts w:eastAsia="Times New Roman"/>
          <w:b/>
          <w:noProof/>
          <w:color w:val="000000" w:themeColor="text1"/>
        </w:rPr>
        <w:t xml:space="preserve">AREA </w:t>
      </w:r>
      <w:r w:rsidR="00020031" w:rsidRPr="00FF63D1">
        <w:rPr>
          <w:rFonts w:eastAsia="Times New Roman"/>
          <w:b/>
          <w:noProof/>
          <w:color w:val="000000" w:themeColor="text1"/>
        </w:rPr>
        <w:t xml:space="preserve">1 </w:t>
      </w:r>
      <w:r w:rsidRPr="00FF63D1">
        <w:rPr>
          <w:rFonts w:eastAsia="Times New Roman"/>
          <w:b/>
          <w:noProof/>
          <w:color w:val="000000" w:themeColor="text1"/>
        </w:rPr>
        <w:t xml:space="preserve">– Recommend Member States to facilitate public funding for projects in industrial areas </w:t>
      </w:r>
    </w:p>
    <w:p w14:paraId="0120E65D" w14:textId="000FEB30" w:rsidR="00A40DD0" w:rsidRPr="00FF63D1" w:rsidRDefault="00020031" w:rsidP="00124F98">
      <w:pPr>
        <w:spacing w:after="120"/>
        <w:rPr>
          <w:noProof/>
        </w:rPr>
      </w:pPr>
      <w:r w:rsidRPr="00FF63D1">
        <w:rPr>
          <w:rFonts w:eastAsia="Times New Roman"/>
          <w:noProof/>
          <w:color w:val="000000" w:themeColor="text1"/>
        </w:rPr>
        <w:t xml:space="preserve">This measure would recommend Member States to </w:t>
      </w:r>
      <w:r w:rsidR="00D42501" w:rsidRPr="00FF63D1">
        <w:rPr>
          <w:rFonts w:eastAsia="Times New Roman"/>
          <w:noProof/>
          <w:color w:val="000000" w:themeColor="text1"/>
        </w:rPr>
        <w:t xml:space="preserve">apply </w:t>
      </w:r>
      <w:r w:rsidRPr="00FF63D1">
        <w:rPr>
          <w:rFonts w:eastAsia="Times New Roman"/>
          <w:noProof/>
          <w:color w:val="000000" w:themeColor="text1"/>
        </w:rPr>
        <w:t xml:space="preserve">criteria </w:t>
      </w:r>
      <w:r w:rsidR="00D42501" w:rsidRPr="00FF63D1">
        <w:rPr>
          <w:rFonts w:eastAsia="Times New Roman"/>
          <w:noProof/>
          <w:color w:val="000000" w:themeColor="text1"/>
        </w:rPr>
        <w:t xml:space="preserve">defined IAA for </w:t>
      </w:r>
      <w:r w:rsidRPr="00FF63D1" w:rsidDel="001157E5">
        <w:rPr>
          <w:rFonts w:eastAsia="Times New Roman"/>
          <w:noProof/>
          <w:color w:val="000000" w:themeColor="text1"/>
        </w:rPr>
        <w:t>public support</w:t>
      </w:r>
      <w:r w:rsidRPr="00FF63D1">
        <w:rPr>
          <w:rFonts w:eastAsia="Times New Roman"/>
          <w:noProof/>
          <w:color w:val="000000" w:themeColor="text1"/>
        </w:rPr>
        <w:t xml:space="preserve"> measures for decarbonisation projects, without prejudice to State aid guidelines. This means Member States, if they follow the recommendation, would apply the criteria to select priority projects, for example, </w:t>
      </w:r>
      <w:r w:rsidR="00D42501" w:rsidRPr="00FF63D1">
        <w:rPr>
          <w:rFonts w:eastAsia="Times New Roman"/>
          <w:noProof/>
          <w:color w:val="000000" w:themeColor="text1"/>
        </w:rPr>
        <w:t xml:space="preserve">with regard to </w:t>
      </w:r>
      <w:r w:rsidRPr="00FF63D1">
        <w:rPr>
          <w:rFonts w:eastAsia="Times New Roman"/>
          <w:noProof/>
          <w:color w:val="000000" w:themeColor="text1"/>
        </w:rPr>
        <w:t xml:space="preserve">national funds </w:t>
      </w:r>
      <w:r w:rsidR="00D42501" w:rsidRPr="00FF63D1">
        <w:rPr>
          <w:rFonts w:eastAsia="Times New Roman"/>
          <w:noProof/>
          <w:color w:val="000000" w:themeColor="text1"/>
        </w:rPr>
        <w:t>supporting</w:t>
      </w:r>
      <w:r w:rsidRPr="00FF63D1">
        <w:rPr>
          <w:rFonts w:eastAsia="Times New Roman"/>
          <w:noProof/>
          <w:color w:val="000000" w:themeColor="text1"/>
        </w:rPr>
        <w:t xml:space="preserve"> decarbonisation. To support consistent implementation and reduce administrative burden, the Commission could provide technical assistance or a dedicated toolkit to help Member States apply the criteria effectively, also covering the carbon intensity criteria of SO1. In addition, peer learning and the exchange of best practices would be encouraged - through mechanisms such as annual forums, workshops, or the creation of a knowledge hub - fostering a shared approach and greater coherence across national funding programmes.</w:t>
      </w:r>
    </w:p>
    <w:p w14:paraId="64C03C0E" w14:textId="4A1CCEC3" w:rsidR="00C4239E" w:rsidRDefault="00E30F65" w:rsidP="008D60DD">
      <w:pPr>
        <w:spacing w:after="240"/>
        <w:rPr>
          <w:rFonts w:eastAsia="Times New Roman"/>
          <w:b/>
          <w:noProof/>
        </w:rPr>
      </w:pPr>
      <w:r w:rsidRPr="00FF63D1">
        <w:rPr>
          <w:rFonts w:eastAsia="Times New Roman"/>
          <w:b/>
          <w:noProof/>
        </w:rPr>
        <w:t xml:space="preserve">AREA 2 </w:t>
      </w:r>
      <w:r w:rsidR="00FF5019" w:rsidRPr="00FF63D1">
        <w:rPr>
          <w:rFonts w:eastAsia="Times New Roman"/>
          <w:b/>
          <w:noProof/>
        </w:rPr>
        <w:t>–</w:t>
      </w:r>
      <w:r w:rsidRPr="00FF63D1">
        <w:rPr>
          <w:rFonts w:eastAsia="Times New Roman"/>
          <w:b/>
          <w:noProof/>
        </w:rPr>
        <w:t xml:space="preserve"> Member</w:t>
      </w:r>
      <w:r w:rsidR="00FF5019" w:rsidRPr="00FF63D1">
        <w:rPr>
          <w:rFonts w:eastAsia="Times New Roman"/>
          <w:b/>
          <w:noProof/>
        </w:rPr>
        <w:t xml:space="preserve"> </w:t>
      </w:r>
      <w:r w:rsidRPr="00FF63D1">
        <w:rPr>
          <w:rFonts w:eastAsia="Times New Roman"/>
          <w:b/>
          <w:noProof/>
        </w:rPr>
        <w:t xml:space="preserve">States to designate </w:t>
      </w:r>
      <w:r w:rsidRPr="00FF63D1" w:rsidDel="00E30F65">
        <w:rPr>
          <w:rFonts w:eastAsia="Times New Roman"/>
          <w:b/>
          <w:noProof/>
        </w:rPr>
        <w:t>industrial</w:t>
      </w:r>
      <w:r w:rsidRPr="00FF63D1">
        <w:rPr>
          <w:rFonts w:eastAsia="Times New Roman"/>
          <w:b/>
          <w:noProof/>
        </w:rPr>
        <w:t xml:space="preserve"> areas </w:t>
      </w:r>
      <w:r w:rsidR="00D42501" w:rsidRPr="00FF63D1">
        <w:rPr>
          <w:rFonts w:eastAsia="Times New Roman"/>
          <w:b/>
          <w:noProof/>
        </w:rPr>
        <w:t>to</w:t>
      </w:r>
      <w:r w:rsidRPr="00FF63D1">
        <w:rPr>
          <w:rFonts w:eastAsia="Times New Roman"/>
          <w:b/>
          <w:noProof/>
        </w:rPr>
        <w:t xml:space="preserve"> facilitate access to public funding</w:t>
      </w:r>
      <w:r w:rsidR="00D42501" w:rsidRPr="00FF63D1">
        <w:rPr>
          <w:rFonts w:eastAsia="Times New Roman"/>
          <w:b/>
          <w:noProof/>
        </w:rPr>
        <w:t xml:space="preserve"> </w:t>
      </w:r>
    </w:p>
    <w:p w14:paraId="113319D1" w14:textId="5B98B72E" w:rsidR="00020031" w:rsidRPr="00FF63D1" w:rsidRDefault="00020031" w:rsidP="00124F98">
      <w:pPr>
        <w:spacing w:after="120"/>
        <w:rPr>
          <w:rFonts w:eastAsia="Times New Roman"/>
          <w:noProof/>
          <w:color w:val="000000" w:themeColor="text1"/>
        </w:rPr>
      </w:pPr>
      <w:r w:rsidRPr="00FF63D1">
        <w:rPr>
          <w:rFonts w:eastAsia="Times New Roman"/>
          <w:noProof/>
          <w:color w:val="000000" w:themeColor="text1"/>
        </w:rPr>
        <w:t xml:space="preserve">Under this second measure, in addition to what is described in </w:t>
      </w:r>
      <w:r w:rsidR="5A69AB24" w:rsidRPr="00FF63D1">
        <w:rPr>
          <w:rFonts w:eastAsia="Times New Roman"/>
          <w:noProof/>
          <w:color w:val="000000" w:themeColor="text1"/>
        </w:rPr>
        <w:t>AREA</w:t>
      </w:r>
      <w:r w:rsidRPr="00FF63D1">
        <w:rPr>
          <w:rFonts w:eastAsia="Times New Roman"/>
          <w:noProof/>
          <w:color w:val="000000" w:themeColor="text1"/>
        </w:rPr>
        <w:t xml:space="preserve"> 1, the criteria </w:t>
      </w:r>
      <w:r w:rsidR="00D42501" w:rsidRPr="00FF63D1">
        <w:rPr>
          <w:rFonts w:eastAsia="Times New Roman"/>
          <w:noProof/>
          <w:color w:val="000000" w:themeColor="text1"/>
        </w:rPr>
        <w:t xml:space="preserve">defined under IAA for industrial areas </w:t>
      </w:r>
      <w:r w:rsidRPr="00FF63D1">
        <w:rPr>
          <w:rFonts w:eastAsia="Times New Roman"/>
          <w:noProof/>
          <w:color w:val="000000" w:themeColor="text1"/>
        </w:rPr>
        <w:t>would be used to identify synergies with existing and future public funding opportunities, with the aim of facilitating access to finance for industrial decarbonisation projects</w:t>
      </w:r>
      <w:r w:rsidR="007F1D56" w:rsidRPr="00FF63D1">
        <w:rPr>
          <w:rFonts w:eastAsia="Times New Roman"/>
          <w:noProof/>
          <w:color w:val="000000" w:themeColor="text1"/>
        </w:rPr>
        <w:t xml:space="preserve"> in relevant industrial areas</w:t>
      </w:r>
      <w:r w:rsidRPr="00FF63D1">
        <w:rPr>
          <w:rFonts w:eastAsia="Times New Roman"/>
          <w:noProof/>
          <w:color w:val="000000" w:themeColor="text1"/>
        </w:rPr>
        <w:t xml:space="preserve">. </w:t>
      </w:r>
      <w:r w:rsidRPr="00FF63D1">
        <w:rPr>
          <w:rFonts w:eastAsia="Times New Roman"/>
          <w:noProof/>
        </w:rPr>
        <w:t>Under this</w:t>
      </w:r>
      <w:r w:rsidR="007C2033" w:rsidRPr="00FF63D1">
        <w:rPr>
          <w:rFonts w:eastAsia="Times New Roman"/>
          <w:noProof/>
        </w:rPr>
        <w:t xml:space="preserve"> </w:t>
      </w:r>
      <w:r w:rsidRPr="00FF63D1">
        <w:rPr>
          <w:rFonts w:eastAsia="Times New Roman"/>
          <w:noProof/>
        </w:rPr>
        <w:t>measure, Member States</w:t>
      </w:r>
      <w:r w:rsidRPr="00FF63D1">
        <w:rPr>
          <w:noProof/>
        </w:rPr>
        <w:t xml:space="preserve"> would </w:t>
      </w:r>
      <w:r w:rsidR="00D42501" w:rsidRPr="00FF63D1">
        <w:rPr>
          <w:noProof/>
        </w:rPr>
        <w:t xml:space="preserve">be required to </w:t>
      </w:r>
      <w:r w:rsidRPr="00FF63D1">
        <w:rPr>
          <w:rFonts w:eastAsia="Times New Roman"/>
          <w:noProof/>
        </w:rPr>
        <w:t>apply</w:t>
      </w:r>
      <w:r w:rsidRPr="00FF63D1">
        <w:rPr>
          <w:noProof/>
        </w:rPr>
        <w:t xml:space="preserve"> these criteria </w:t>
      </w:r>
      <w:r w:rsidRPr="00FF63D1">
        <w:rPr>
          <w:rFonts w:eastAsia="Times New Roman"/>
          <w:noProof/>
        </w:rPr>
        <w:t xml:space="preserve">to identify relevant priority </w:t>
      </w:r>
      <w:r w:rsidR="00D42501" w:rsidRPr="00FF63D1">
        <w:rPr>
          <w:rFonts w:eastAsia="Times New Roman"/>
          <w:noProof/>
        </w:rPr>
        <w:t>industrial areas</w:t>
      </w:r>
      <w:r w:rsidR="00E30F65" w:rsidRPr="00FF63D1" w:rsidDel="00020031">
        <w:rPr>
          <w:rFonts w:eastAsia="Times New Roman"/>
          <w:noProof/>
        </w:rPr>
        <w:t xml:space="preserve"> </w:t>
      </w:r>
      <w:r w:rsidRPr="00FF63D1">
        <w:rPr>
          <w:rFonts w:eastAsia="Times New Roman"/>
          <w:noProof/>
        </w:rPr>
        <w:t xml:space="preserve">under </w:t>
      </w:r>
      <w:r w:rsidR="00646A42" w:rsidRPr="00FF63D1">
        <w:rPr>
          <w:rFonts w:eastAsia="Times New Roman"/>
          <w:noProof/>
        </w:rPr>
        <w:t>IAA</w:t>
      </w:r>
      <w:r w:rsidRPr="00FF63D1">
        <w:rPr>
          <w:rFonts w:eastAsia="Times New Roman"/>
          <w:noProof/>
        </w:rPr>
        <w:t xml:space="preserve">, with the designation verified by the Commission. The Commission will issue guidance on how to apply these criteria. Furthermore, Member States would be required to take these priority projects into account when programming their EU shared-managed funds at national and regional level, ensuring stronger alignment between EU and national funding strategies. </w:t>
      </w:r>
    </w:p>
    <w:p w14:paraId="66B324D8" w14:textId="0CB83489" w:rsidR="00D42501" w:rsidRPr="00FF63D1" w:rsidRDefault="00020031" w:rsidP="00124F98">
      <w:pPr>
        <w:spacing w:after="120"/>
        <w:rPr>
          <w:rFonts w:eastAsia="Times New Roman"/>
          <w:noProof/>
        </w:rPr>
      </w:pPr>
      <w:r w:rsidRPr="00FF63D1">
        <w:rPr>
          <w:rFonts w:eastAsia="Times New Roman"/>
          <w:noProof/>
        </w:rPr>
        <w:t xml:space="preserve">At EU level, the Commission would take into account these criteria and the </w:t>
      </w:r>
      <w:r w:rsidR="00D42501" w:rsidRPr="00FF63D1">
        <w:rPr>
          <w:rFonts w:eastAsia="Times New Roman"/>
          <w:noProof/>
        </w:rPr>
        <w:t>areas/</w:t>
      </w:r>
      <w:r w:rsidRPr="00FF63D1">
        <w:rPr>
          <w:noProof/>
        </w:rPr>
        <w:t>projects selected under them</w:t>
      </w:r>
      <w:r w:rsidRPr="00FF63D1">
        <w:rPr>
          <w:rFonts w:eastAsia="Times New Roman"/>
          <w:noProof/>
        </w:rPr>
        <w:t>,</w:t>
      </w:r>
      <w:r w:rsidRPr="00FF63D1">
        <w:rPr>
          <w:noProof/>
        </w:rPr>
        <w:t xml:space="preserve"> for the revision of existing </w:t>
      </w:r>
      <w:r w:rsidRPr="00FF63D1">
        <w:rPr>
          <w:rFonts w:eastAsia="Times New Roman"/>
          <w:noProof/>
        </w:rPr>
        <w:t xml:space="preserve">funds and programmes, most notably the Innovation Fund calls and the upcoming Decarbonisation Bank. </w:t>
      </w:r>
      <w:r w:rsidR="00D42501" w:rsidRPr="00FF63D1">
        <w:rPr>
          <w:rFonts w:eastAsia="Times New Roman"/>
          <w:noProof/>
        </w:rPr>
        <w:t>To the extent possible, a</w:t>
      </w:r>
      <w:r w:rsidRPr="00FF63D1">
        <w:rPr>
          <w:rFonts w:eastAsia="Times New Roman"/>
          <w:noProof/>
        </w:rPr>
        <w:t xml:space="preserve"> link would be established between the </w:t>
      </w:r>
      <w:r w:rsidR="00646A42" w:rsidRPr="00FF63D1">
        <w:rPr>
          <w:rFonts w:eastAsia="Times New Roman"/>
          <w:noProof/>
        </w:rPr>
        <w:t>IAA</w:t>
      </w:r>
      <w:r w:rsidRPr="00FF63D1">
        <w:rPr>
          <w:rFonts w:eastAsia="Times New Roman"/>
          <w:noProof/>
        </w:rPr>
        <w:t xml:space="preserve"> criteria for the designation of the priority projects and the Competitiveness Seal of the European Competitiveness Fund, presented by the Commission as part of the next MFF legislative proposal.</w:t>
      </w:r>
    </w:p>
    <w:p w14:paraId="378098BE" w14:textId="41E49849" w:rsidR="009B7517" w:rsidRPr="00FF63D1" w:rsidRDefault="009B7517" w:rsidP="008D60DD">
      <w:pPr>
        <w:spacing w:before="240" w:after="240"/>
        <w:rPr>
          <w:rFonts w:eastAsia="Times New Roman"/>
          <w:b/>
          <w:noProof/>
        </w:rPr>
      </w:pPr>
      <w:r w:rsidRPr="00FF63D1">
        <w:rPr>
          <w:rFonts w:eastAsia="Times New Roman"/>
          <w:b/>
          <w:noProof/>
        </w:rPr>
        <w:t xml:space="preserve">AREA 3 – Commission to designate industrial areas according to the selection criteria and giving the projects priority access to funds </w:t>
      </w:r>
    </w:p>
    <w:p w14:paraId="7B8F8D93" w14:textId="77777777" w:rsidR="00124F98" w:rsidRDefault="00020031" w:rsidP="00291D13">
      <w:pPr>
        <w:rPr>
          <w:rFonts w:eastAsia="Times New Roman"/>
          <w:noProof/>
        </w:rPr>
      </w:pPr>
      <w:r w:rsidRPr="00FF63D1">
        <w:rPr>
          <w:rFonts w:eastAsia="Times New Roman"/>
          <w:noProof/>
        </w:rPr>
        <w:t>Under this third measure, the Commission would establish</w:t>
      </w:r>
      <w:r w:rsidRPr="00FF63D1">
        <w:rPr>
          <w:rFonts w:eastAsia="Times New Roman"/>
          <w:b/>
          <w:noProof/>
        </w:rPr>
        <w:t xml:space="preserve"> </w:t>
      </w:r>
      <w:r w:rsidRPr="00FF63D1">
        <w:rPr>
          <w:rFonts w:eastAsia="Times New Roman"/>
          <w:noProof/>
        </w:rPr>
        <w:t>a process to use these criteria to designate priority projects according to the selection criteria. These projects would then receive an automatic preferential access (via e.g. a fast-track procedure, or a ring-fenced envelope, or preferred status in scoring) to existing and future EU funds. [</w:t>
      </w:r>
      <w:r w:rsidRPr="00FF63D1">
        <w:rPr>
          <w:rFonts w:eastAsia="Times New Roman"/>
          <w:i/>
          <w:noProof/>
        </w:rPr>
        <w:t>Option</w:t>
      </w:r>
      <w:r w:rsidRPr="00FF63D1">
        <w:rPr>
          <w:rFonts w:eastAsia="Times New Roman"/>
          <w:noProof/>
        </w:rPr>
        <w:t xml:space="preserve"> </w:t>
      </w:r>
      <w:r w:rsidRPr="00FF63D1">
        <w:rPr>
          <w:rFonts w:eastAsia="Times New Roman"/>
          <w:i/>
          <w:noProof/>
        </w:rPr>
        <w:t>discarded early on</w:t>
      </w:r>
      <w:r w:rsidRPr="00FF63D1">
        <w:rPr>
          <w:rFonts w:eastAsia="Times New Roman"/>
          <w:noProof/>
        </w:rPr>
        <w:t>]</w:t>
      </w:r>
    </w:p>
    <w:p w14:paraId="23A4D49F" w14:textId="079BB586" w:rsidR="00726A10" w:rsidRPr="00FF63D1" w:rsidRDefault="00FC1235" w:rsidP="00291D13">
      <w:pPr>
        <w:rPr>
          <w:rFonts w:eastAsia="Times New Roman"/>
          <w:b/>
          <w:smallCaps/>
          <w:noProof/>
        </w:rPr>
      </w:pPr>
      <w:r w:rsidRPr="00FF63D1">
        <w:rPr>
          <w:rFonts w:eastAsia="Times New Roman"/>
          <w:b/>
          <w:smallCaps/>
          <w:noProof/>
        </w:rPr>
        <w:br w:type="page"/>
      </w:r>
    </w:p>
    <w:p w14:paraId="6625AFDC" w14:textId="4FB054BA" w:rsidR="00020031" w:rsidRPr="00FF63D1" w:rsidRDefault="00020031" w:rsidP="00C463B5">
      <w:pPr>
        <w:pStyle w:val="Heading1"/>
        <w:numPr>
          <w:ilvl w:val="0"/>
          <w:numId w:val="0"/>
        </w:numPr>
        <w:rPr>
          <w:rFonts w:ascii="Times" w:hAnsi="Times" w:cs="Times"/>
          <w:b/>
          <w:noProof/>
          <w:color w:val="auto"/>
          <w:sz w:val="28"/>
          <w:szCs w:val="28"/>
        </w:rPr>
      </w:pPr>
      <w:bookmarkStart w:id="675" w:name="_Toc207192559"/>
      <w:bookmarkStart w:id="676" w:name="_Toc222159389"/>
      <w:bookmarkStart w:id="677" w:name="_Toc222490048"/>
      <w:r w:rsidRPr="00FF63D1">
        <w:rPr>
          <w:rFonts w:ascii="Times" w:hAnsi="Times" w:cs="Times"/>
          <w:b/>
          <w:noProof/>
          <w:color w:val="auto"/>
          <w:sz w:val="28"/>
          <w:szCs w:val="28"/>
        </w:rPr>
        <w:t>Annex 10: Extended information on the problem section</w:t>
      </w:r>
      <w:bookmarkEnd w:id="675"/>
      <w:bookmarkEnd w:id="676"/>
      <w:bookmarkEnd w:id="677"/>
    </w:p>
    <w:p w14:paraId="63A344B3" w14:textId="11C41090" w:rsidR="00020031" w:rsidRPr="00FF63D1" w:rsidRDefault="00020031" w:rsidP="00E72B3D">
      <w:pPr>
        <w:spacing w:after="120"/>
        <w:rPr>
          <w:rFonts w:ascii="Times" w:hAnsi="Times" w:cs="Times"/>
          <w:noProof/>
        </w:rPr>
      </w:pPr>
      <w:bookmarkStart w:id="678" w:name="_Hlk205996868"/>
      <w:bookmarkEnd w:id="678"/>
      <w:r w:rsidRPr="00FF63D1">
        <w:rPr>
          <w:rFonts w:ascii="Times" w:hAnsi="Times" w:cs="Times"/>
          <w:noProof/>
        </w:rPr>
        <w:t xml:space="preserve">This annex further describes and brings additional evidence to the overarching problem that this initiative seeks to address, namely the need for the EU industry, and in particular EIIs, to decarbonise their processes and products while </w:t>
      </w:r>
      <w:r w:rsidR="3C04B4B5" w:rsidRPr="00FF63D1">
        <w:rPr>
          <w:rFonts w:ascii="Times" w:hAnsi="Times" w:cs="Times"/>
          <w:noProof/>
        </w:rPr>
        <w:t xml:space="preserve">addressing </w:t>
      </w:r>
      <w:r w:rsidRPr="00FF63D1">
        <w:rPr>
          <w:rFonts w:ascii="Times" w:hAnsi="Times" w:cs="Times"/>
          <w:noProof/>
        </w:rPr>
        <w:t xml:space="preserve">the global competitiveness </w:t>
      </w:r>
      <w:r w:rsidR="00A177AE" w:rsidRPr="00FF63D1">
        <w:rPr>
          <w:rFonts w:ascii="Times" w:hAnsi="Times" w:cs="Times"/>
          <w:noProof/>
        </w:rPr>
        <w:t>challenge</w:t>
      </w:r>
      <w:r w:rsidRPr="00FF63D1">
        <w:rPr>
          <w:rFonts w:ascii="Times" w:hAnsi="Times" w:cs="Times"/>
          <w:noProof/>
        </w:rPr>
        <w:t xml:space="preserve">. </w:t>
      </w:r>
    </w:p>
    <w:p w14:paraId="6218960B" w14:textId="60D45C63" w:rsidR="00020031" w:rsidRPr="00AB1DF9" w:rsidRDefault="004A08DF" w:rsidP="00583142">
      <w:pPr>
        <w:pStyle w:val="Heading2"/>
        <w:numPr>
          <w:ilvl w:val="0"/>
          <w:numId w:val="0"/>
        </w:numPr>
        <w:spacing w:before="0" w:after="0"/>
        <w:ind w:left="576" w:hanging="576"/>
        <w:rPr>
          <w:rFonts w:ascii="Times" w:hAnsi="Times" w:cs="Times"/>
          <w:b w:val="0"/>
        </w:rPr>
      </w:pPr>
      <w:bookmarkStart w:id="679" w:name="_Toc207192560"/>
      <w:bookmarkStart w:id="680" w:name="_Toc212728871"/>
      <w:bookmarkStart w:id="681" w:name="_Toc212729145"/>
      <w:bookmarkStart w:id="682" w:name="_Toc212729397"/>
      <w:bookmarkStart w:id="683" w:name="_Toc215506341"/>
      <w:bookmarkStart w:id="684" w:name="_Toc222490049"/>
      <w:r w:rsidRPr="00AB1DF9">
        <w:rPr>
          <w:rFonts w:ascii="Times" w:hAnsi="Times" w:cs="Times"/>
        </w:rPr>
        <w:t xml:space="preserve">1. </w:t>
      </w:r>
      <w:r w:rsidR="00020031" w:rsidRPr="00AB1DF9">
        <w:rPr>
          <w:rFonts w:ascii="Times" w:hAnsi="Times" w:cs="Times"/>
        </w:rPr>
        <w:t>An industrial fabric at risk</w:t>
      </w:r>
      <w:bookmarkEnd w:id="679"/>
      <w:bookmarkEnd w:id="680"/>
      <w:bookmarkEnd w:id="681"/>
      <w:bookmarkEnd w:id="682"/>
      <w:bookmarkEnd w:id="683"/>
      <w:bookmarkEnd w:id="684"/>
      <w:r w:rsidR="00020031" w:rsidRPr="00AB1DF9">
        <w:rPr>
          <w:rFonts w:ascii="Times" w:hAnsi="Times" w:cs="Times"/>
        </w:rPr>
        <w:t xml:space="preserve"> </w:t>
      </w:r>
    </w:p>
    <w:p w14:paraId="644114D6" w14:textId="77777777" w:rsidR="00020031" w:rsidRPr="00FF63D1" w:rsidRDefault="00020031" w:rsidP="006D74C1">
      <w:pPr>
        <w:rPr>
          <w:rFonts w:ascii="Times" w:hAnsi="Times" w:cs="Times"/>
          <w:noProof/>
        </w:rPr>
      </w:pPr>
    </w:p>
    <w:p w14:paraId="575DD454" w14:textId="085B853D" w:rsidR="00020031" w:rsidRPr="00FF63D1" w:rsidRDefault="00020031" w:rsidP="00E72B3D">
      <w:pPr>
        <w:spacing w:after="120"/>
        <w:rPr>
          <w:rFonts w:ascii="Times" w:hAnsi="Times" w:cs="Times"/>
          <w:noProof/>
        </w:rPr>
      </w:pPr>
      <w:r w:rsidRPr="00FF63D1">
        <w:rPr>
          <w:rFonts w:ascii="Times" w:hAnsi="Times" w:cs="Times"/>
          <w:noProof/>
        </w:rPr>
        <w:t xml:space="preserve">The different challenges described in Section 2 and below, from high energy price to regulatory burdens, contribute to undermining the EU industrial fabric and affect multiple energy-intensive sectors. </w:t>
      </w:r>
    </w:p>
    <w:p w14:paraId="45A78F07" w14:textId="77777777" w:rsidR="00020031" w:rsidRPr="00FF63D1" w:rsidRDefault="404A2814" w:rsidP="00E72B3D">
      <w:pPr>
        <w:spacing w:after="120"/>
        <w:rPr>
          <w:rFonts w:ascii="Times" w:hAnsi="Times" w:cs="Times"/>
          <w:noProof/>
        </w:rPr>
      </w:pPr>
      <w:r w:rsidRPr="00FF63D1">
        <w:rPr>
          <w:rFonts w:ascii="Times" w:hAnsi="Times" w:cs="Times"/>
          <w:noProof/>
        </w:rPr>
        <w:t>Overall, European industrial slowdown is confirmed by data showing that over 50% of the electricity demand reduction that occurred between 2021 and 2023, at the peak of energy crisis, was due to industrial decline, following several production curtailments and plant closures, in some cases temporary, in others permanent.</w:t>
      </w:r>
      <w:r w:rsidR="00020031" w:rsidRPr="00FF63D1">
        <w:rPr>
          <w:rFonts w:ascii="Times" w:hAnsi="Times" w:cs="Times"/>
          <w:noProof/>
          <w:vertAlign w:val="superscript"/>
        </w:rPr>
        <w:footnoteReference w:id="605"/>
      </w:r>
    </w:p>
    <w:p w14:paraId="41BCBFC8" w14:textId="78CC8755" w:rsidR="008D2665" w:rsidRPr="00FF63D1" w:rsidRDefault="15A48695" w:rsidP="00E71388">
      <w:pPr>
        <w:spacing w:after="120"/>
        <w:rPr>
          <w:noProof/>
        </w:rPr>
      </w:pPr>
      <w:r w:rsidRPr="00FF63D1">
        <w:rPr>
          <w:rFonts w:ascii="Times" w:hAnsi="Times" w:cs="Times"/>
          <w:noProof/>
        </w:rPr>
        <w:t xml:space="preserve">The Commission’s JRC has tracked </w:t>
      </w:r>
      <w:r w:rsidR="028FD193" w:rsidRPr="00FF63D1">
        <w:rPr>
          <w:rFonts w:ascii="Times" w:hAnsi="Times" w:cs="Times"/>
          <w:noProof/>
        </w:rPr>
        <w:t xml:space="preserve">the </w:t>
      </w:r>
      <w:r w:rsidR="5CB80223" w:rsidRPr="00FF63D1">
        <w:rPr>
          <w:rFonts w:ascii="Times" w:hAnsi="Times" w:cs="Times"/>
          <w:noProof/>
        </w:rPr>
        <w:t>general announcements</w:t>
      </w:r>
      <w:r w:rsidR="028FD193" w:rsidRPr="00FF63D1">
        <w:rPr>
          <w:rFonts w:ascii="Times" w:hAnsi="Times" w:cs="Times"/>
          <w:noProof/>
        </w:rPr>
        <w:t xml:space="preserve"> </w:t>
      </w:r>
      <w:r w:rsidR="5CB80223" w:rsidRPr="00FF63D1">
        <w:rPr>
          <w:rFonts w:ascii="Times" w:hAnsi="Times" w:cs="Times"/>
          <w:noProof/>
        </w:rPr>
        <w:t xml:space="preserve">of EIIs </w:t>
      </w:r>
      <w:r w:rsidR="6B727806" w:rsidRPr="00FF63D1">
        <w:rPr>
          <w:rFonts w:ascii="Times" w:hAnsi="Times" w:cs="Times"/>
          <w:noProof/>
        </w:rPr>
        <w:t xml:space="preserve">on plant </w:t>
      </w:r>
      <w:r w:rsidR="4C15721C" w:rsidRPr="00FF63D1">
        <w:rPr>
          <w:rFonts w:ascii="Times" w:hAnsi="Times" w:cs="Times"/>
          <w:noProof/>
        </w:rPr>
        <w:t>developments</w:t>
      </w:r>
      <w:r w:rsidR="64C42EF4" w:rsidRPr="00FF63D1">
        <w:rPr>
          <w:rFonts w:ascii="Times" w:hAnsi="Times" w:cs="Times"/>
          <w:noProof/>
        </w:rPr>
        <w:t xml:space="preserve">. </w:t>
      </w:r>
      <w:r w:rsidR="072E9274" w:rsidRPr="00FF63D1">
        <w:rPr>
          <w:noProof/>
        </w:rPr>
        <w:t>In the steel industry, a</w:t>
      </w:r>
      <w:r w:rsidR="409CFE8B" w:rsidRPr="00FF63D1">
        <w:rPr>
          <w:noProof/>
        </w:rPr>
        <w:t xml:space="preserve"> clear negative trend is </w:t>
      </w:r>
      <w:r w:rsidR="072E9274" w:rsidRPr="00FF63D1">
        <w:rPr>
          <w:noProof/>
        </w:rPr>
        <w:t>evident with</w:t>
      </w:r>
      <w:r w:rsidR="409CFE8B" w:rsidRPr="00FF63D1">
        <w:rPr>
          <w:noProof/>
        </w:rPr>
        <w:t xml:space="preserve"> </w:t>
      </w:r>
      <w:r w:rsidR="1866C54D" w:rsidRPr="00FF63D1">
        <w:rPr>
          <w:noProof/>
        </w:rPr>
        <w:t>33</w:t>
      </w:r>
      <w:r w:rsidR="7FB556B9" w:rsidRPr="00FF63D1">
        <w:rPr>
          <w:noProof/>
        </w:rPr>
        <w:t>% more</w:t>
      </w:r>
      <w:r w:rsidR="409CFE8B" w:rsidRPr="00FF63D1">
        <w:rPr>
          <w:noProof/>
        </w:rPr>
        <w:t xml:space="preserve"> plant </w:t>
      </w:r>
      <w:r w:rsidR="072E9274" w:rsidRPr="00FF63D1">
        <w:rPr>
          <w:noProof/>
        </w:rPr>
        <w:t xml:space="preserve">closures and </w:t>
      </w:r>
      <w:r w:rsidR="7FB556B9" w:rsidRPr="00FF63D1">
        <w:rPr>
          <w:noProof/>
        </w:rPr>
        <w:t xml:space="preserve">layoffs </w:t>
      </w:r>
      <w:r w:rsidR="409CFE8B" w:rsidRPr="00FF63D1">
        <w:rPr>
          <w:noProof/>
        </w:rPr>
        <w:t xml:space="preserve">announced </w:t>
      </w:r>
      <w:r w:rsidR="072E9274" w:rsidRPr="00FF63D1">
        <w:rPr>
          <w:noProof/>
        </w:rPr>
        <w:t>than</w:t>
      </w:r>
      <w:r w:rsidR="409CFE8B" w:rsidRPr="00FF63D1">
        <w:rPr>
          <w:noProof/>
        </w:rPr>
        <w:t xml:space="preserve"> new </w:t>
      </w:r>
      <w:r w:rsidR="072E9274" w:rsidRPr="00FF63D1">
        <w:rPr>
          <w:noProof/>
        </w:rPr>
        <w:t>plant constructions or reopening, indicating significant challenges.</w:t>
      </w:r>
      <w:r w:rsidR="2621EC09" w:rsidRPr="00FF63D1">
        <w:rPr>
          <w:noProof/>
        </w:rPr>
        <w:t xml:space="preserve"> </w:t>
      </w:r>
      <w:r w:rsidR="68E7D22F" w:rsidRPr="00FF63D1">
        <w:rPr>
          <w:rFonts w:ascii="Times" w:hAnsi="Times" w:cs="Times"/>
          <w:noProof/>
        </w:rPr>
        <w:t>Similar</w:t>
      </w:r>
      <w:r w:rsidR="2621EC09" w:rsidRPr="00FF63D1">
        <w:rPr>
          <w:rFonts w:ascii="Times" w:hAnsi="Times" w:cs="Times"/>
          <w:noProof/>
        </w:rPr>
        <w:t xml:space="preserve"> trends can be observed in the recycling industry</w:t>
      </w:r>
      <w:r w:rsidR="0DD00DF7" w:rsidRPr="00FF63D1">
        <w:rPr>
          <w:rFonts w:ascii="Times" w:hAnsi="Times" w:cs="Times"/>
          <w:noProof/>
        </w:rPr>
        <w:t>, as no new plants are being announced but one project</w:t>
      </w:r>
      <w:r w:rsidR="68E7D22F" w:rsidRPr="00FF63D1">
        <w:rPr>
          <w:rFonts w:ascii="Times" w:hAnsi="Times" w:cs="Times"/>
          <w:noProof/>
        </w:rPr>
        <w:t xml:space="preserve"> has been cancelled.</w:t>
      </w:r>
      <w:r w:rsidR="501E9E14" w:rsidRPr="00FF63D1">
        <w:rPr>
          <w:rFonts w:ascii="Times" w:hAnsi="Times" w:cs="Times"/>
          <w:noProof/>
        </w:rPr>
        <w:t xml:space="preserve"> </w:t>
      </w:r>
      <w:r w:rsidR="187D3FAB" w:rsidRPr="00FF63D1">
        <w:rPr>
          <w:rFonts w:ascii="Times" w:hAnsi="Times" w:cs="Times"/>
          <w:noProof/>
        </w:rPr>
        <w:t xml:space="preserve">In other EII industries like </w:t>
      </w:r>
      <w:r w:rsidR="60A50CCB" w:rsidRPr="00FF63D1">
        <w:rPr>
          <w:rFonts w:ascii="Times" w:hAnsi="Times" w:cs="Times"/>
          <w:noProof/>
        </w:rPr>
        <w:t>glass</w:t>
      </w:r>
      <w:r w:rsidR="2CEC0852" w:rsidRPr="00FF63D1">
        <w:rPr>
          <w:rFonts w:ascii="Times" w:hAnsi="Times" w:cs="Times"/>
          <w:noProof/>
        </w:rPr>
        <w:t>, ceramics and refractory</w:t>
      </w:r>
      <w:r w:rsidR="601FEE67" w:rsidRPr="00FF63D1">
        <w:rPr>
          <w:rFonts w:ascii="Times" w:hAnsi="Times" w:cs="Times"/>
          <w:noProof/>
        </w:rPr>
        <w:t xml:space="preserve">, and </w:t>
      </w:r>
      <w:r w:rsidR="3FAECD72" w:rsidRPr="00FF63D1">
        <w:rPr>
          <w:rFonts w:ascii="Times" w:hAnsi="Times" w:cs="Times"/>
          <w:noProof/>
        </w:rPr>
        <w:t>pulp &amp; paper</w:t>
      </w:r>
      <w:r w:rsidR="2B4C5004" w:rsidRPr="00FF63D1">
        <w:rPr>
          <w:rFonts w:ascii="Times" w:hAnsi="Times" w:cs="Times"/>
          <w:noProof/>
        </w:rPr>
        <w:t xml:space="preserve"> the analy</w:t>
      </w:r>
      <w:r w:rsidR="50BB406E" w:rsidRPr="00FF63D1">
        <w:rPr>
          <w:rFonts w:ascii="Times" w:hAnsi="Times" w:cs="Times"/>
          <w:noProof/>
        </w:rPr>
        <w:t>s</w:t>
      </w:r>
      <w:r w:rsidR="337163E1" w:rsidRPr="00FF63D1">
        <w:rPr>
          <w:rFonts w:ascii="Times" w:hAnsi="Times" w:cs="Times"/>
          <w:noProof/>
        </w:rPr>
        <w:t xml:space="preserve">is </w:t>
      </w:r>
      <w:r w:rsidR="311DE2A3" w:rsidRPr="00FF63D1">
        <w:rPr>
          <w:rFonts w:ascii="Times" w:hAnsi="Times" w:cs="Times"/>
          <w:noProof/>
        </w:rPr>
        <w:t>sho</w:t>
      </w:r>
      <w:r w:rsidR="00703546" w:rsidRPr="00FF63D1">
        <w:rPr>
          <w:rFonts w:ascii="Times" w:hAnsi="Times" w:cs="Times"/>
          <w:noProof/>
        </w:rPr>
        <w:t>w</w:t>
      </w:r>
      <w:r w:rsidR="311DE2A3" w:rsidRPr="00FF63D1">
        <w:rPr>
          <w:rFonts w:ascii="Times" w:hAnsi="Times" w:cs="Times"/>
          <w:noProof/>
        </w:rPr>
        <w:t xml:space="preserve">s a more even </w:t>
      </w:r>
      <w:r w:rsidR="6AB81946" w:rsidRPr="00FF63D1">
        <w:rPr>
          <w:rFonts w:ascii="Times" w:hAnsi="Times" w:cs="Times"/>
          <w:noProof/>
        </w:rPr>
        <w:t>split</w:t>
      </w:r>
      <w:r w:rsidR="311DE2A3" w:rsidRPr="00FF63D1">
        <w:rPr>
          <w:rFonts w:ascii="Times" w:hAnsi="Times" w:cs="Times"/>
          <w:noProof/>
        </w:rPr>
        <w:t xml:space="preserve"> between the announcements. </w:t>
      </w:r>
      <w:r w:rsidR="45B67A5A">
        <w:rPr>
          <w:rFonts w:ascii="Times" w:hAnsi="Times" w:cs="Times"/>
          <w:noProof/>
        </w:rPr>
        <w:t>O</w:t>
      </w:r>
      <w:r w:rsidR="45B67A5A" w:rsidRPr="00FF63D1">
        <w:rPr>
          <w:noProof/>
        </w:rPr>
        <w:t xml:space="preserve">ut of roughly 250 European decarbonisation projects since 2018, about 68% are still at the announcement or concept stage, with no final investment decision yet taken. </w:t>
      </w:r>
      <w:r w:rsidR="689B937D" w:rsidRPr="00FF63D1">
        <w:rPr>
          <w:noProof/>
        </w:rPr>
        <w:t>Only around 28% have reached construction or operation, while 4% have been cancelled or suspended</w:t>
      </w:r>
      <w:r w:rsidR="00142A78">
        <w:rPr>
          <w:noProof/>
        </w:rPr>
        <w:t>.</w:t>
      </w:r>
      <w:r w:rsidR="0027084E">
        <w:rPr>
          <w:rStyle w:val="FootnoteReference"/>
          <w:noProof/>
        </w:rPr>
        <w:footnoteReference w:id="606"/>
      </w:r>
      <w:r w:rsidR="689B937D" w:rsidRPr="00FF63D1">
        <w:rPr>
          <w:noProof/>
        </w:rPr>
        <w:t xml:space="preserve"> </w:t>
      </w:r>
      <w:r w:rsidR="243B6669" w:rsidRPr="00FF63D1">
        <w:rPr>
          <w:noProof/>
        </w:rPr>
        <w:t xml:space="preserve">This is consistent </w:t>
      </w:r>
      <w:r w:rsidR="243B6669" w:rsidRPr="1A2A8689">
        <w:rPr>
          <w:noProof/>
        </w:rPr>
        <w:t xml:space="preserve">with </w:t>
      </w:r>
      <w:r w:rsidR="000568EA" w:rsidRPr="001843BD">
        <w:rPr>
          <w:noProof/>
          <w:szCs w:val="24"/>
        </w:rPr>
        <w:fldChar w:fldCharType="begin"/>
      </w:r>
      <w:r w:rsidR="000568EA" w:rsidRPr="001843BD">
        <w:rPr>
          <w:noProof/>
          <w:szCs w:val="24"/>
        </w:rPr>
        <w:instrText xml:space="preserve"> REF _Ref212581291 \h </w:instrText>
      </w:r>
      <w:r w:rsidR="001843BD">
        <w:rPr>
          <w:noProof/>
          <w:szCs w:val="24"/>
        </w:rPr>
        <w:instrText xml:space="preserve"> \* MERGEFORMAT </w:instrText>
      </w:r>
      <w:r w:rsidR="000568EA" w:rsidRPr="001843BD">
        <w:rPr>
          <w:noProof/>
          <w:szCs w:val="24"/>
        </w:rPr>
      </w:r>
      <w:r w:rsidR="000568EA" w:rsidRPr="001843BD">
        <w:rPr>
          <w:noProof/>
          <w:szCs w:val="24"/>
        </w:rPr>
        <w:fldChar w:fldCharType="separate"/>
      </w:r>
      <w:r w:rsidR="00622D1D" w:rsidRPr="00D21DC4">
        <w:rPr>
          <w:noProof/>
        </w:rPr>
        <w:t>Figure 28</w:t>
      </w:r>
      <w:r w:rsidR="000568EA" w:rsidRPr="001843BD">
        <w:rPr>
          <w:noProof/>
          <w:szCs w:val="24"/>
        </w:rPr>
        <w:fldChar w:fldCharType="end"/>
      </w:r>
      <w:r w:rsidR="243B6669" w:rsidRPr="00FF63D1">
        <w:rPr>
          <w:noProof/>
        </w:rPr>
        <w:t xml:space="preserve"> focusing on aluminium</w:t>
      </w:r>
      <w:r w:rsidR="6B7EDDE8">
        <w:rPr>
          <w:noProof/>
        </w:rPr>
        <w:t xml:space="preserve">, cement </w:t>
      </w:r>
      <w:r w:rsidR="243B6669" w:rsidRPr="00FF63D1">
        <w:rPr>
          <w:noProof/>
        </w:rPr>
        <w:t xml:space="preserve">and </w:t>
      </w:r>
      <w:r w:rsidR="6B7EDDE8">
        <w:rPr>
          <w:noProof/>
        </w:rPr>
        <w:t>steel</w:t>
      </w:r>
      <w:r w:rsidR="243B6669" w:rsidRPr="00FF63D1">
        <w:rPr>
          <w:noProof/>
        </w:rPr>
        <w:t xml:space="preserve"> sectors, which show that while Europe hosts a significant share of the global clean industrial project pipeline, only a limited proportion has reached final investment decision</w:t>
      </w:r>
      <w:r w:rsidR="00142A78">
        <w:rPr>
          <w:noProof/>
        </w:rPr>
        <w:t>.</w:t>
      </w:r>
      <w:r w:rsidR="00D17FC2" w:rsidRPr="00FF63D1">
        <w:rPr>
          <w:rStyle w:val="FootnoteReference"/>
          <w:noProof/>
        </w:rPr>
        <w:footnoteReference w:id="607"/>
      </w:r>
    </w:p>
    <w:p w14:paraId="28B8E807" w14:textId="77777777" w:rsidR="008D2665" w:rsidRPr="00FF63D1" w:rsidRDefault="008D2665" w:rsidP="008D2665">
      <w:pPr>
        <w:keepNext/>
        <w:spacing w:after="240"/>
        <w:jc w:val="center"/>
        <w:rPr>
          <w:noProof/>
        </w:rPr>
      </w:pPr>
      <w:r w:rsidRPr="00FF63D1">
        <w:rPr>
          <w:noProof/>
          <w:lang w:eastAsia="en-GB"/>
        </w:rPr>
        <w:drawing>
          <wp:inline distT="0" distB="0" distL="0" distR="0" wp14:anchorId="2DFF92CE" wp14:editId="70907908">
            <wp:extent cx="4625741" cy="3010161"/>
            <wp:effectExtent l="0" t="0" r="3810" b="0"/>
            <wp:docPr id="562046518" name="Picture 1" descr="A graph of a graph of a prod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46518" name="Picture 1" descr="A graph of a graph of a production&#10;&#10;AI-generated content may be incorrect."/>
                    <pic:cNvPicPr/>
                  </pic:nvPicPr>
                  <pic:blipFill>
                    <a:blip r:embed="rId100"/>
                    <a:stretch>
                      <a:fillRect/>
                    </a:stretch>
                  </pic:blipFill>
                  <pic:spPr>
                    <a:xfrm>
                      <a:off x="0" y="0"/>
                      <a:ext cx="4625741" cy="3010161"/>
                    </a:xfrm>
                    <a:prstGeom prst="rect">
                      <a:avLst/>
                    </a:prstGeom>
                  </pic:spPr>
                </pic:pic>
              </a:graphicData>
            </a:graphic>
          </wp:inline>
        </w:drawing>
      </w:r>
    </w:p>
    <w:p w14:paraId="4BC73E0B" w14:textId="0C02DB0A" w:rsidR="008D2665" w:rsidRPr="003C2BF4" w:rsidRDefault="008D2665" w:rsidP="008D2665">
      <w:pPr>
        <w:pStyle w:val="Caption"/>
        <w:jc w:val="center"/>
        <w:rPr>
          <w:noProof/>
          <w:sz w:val="20"/>
          <w:szCs w:val="20"/>
        </w:rPr>
      </w:pPr>
      <w:bookmarkStart w:id="685" w:name="_Ref212581291"/>
      <w:r w:rsidRPr="003C2BF4">
        <w:rPr>
          <w:noProof/>
          <w:sz w:val="20"/>
          <w:szCs w:val="20"/>
        </w:rPr>
        <w:t xml:space="preserve">Figure </w:t>
      </w:r>
      <w:r w:rsidRPr="003C2BF4">
        <w:rPr>
          <w:noProof/>
          <w:sz w:val="20"/>
          <w:szCs w:val="20"/>
        </w:rPr>
        <w:fldChar w:fldCharType="begin"/>
      </w:r>
      <w:r w:rsidRPr="003C2BF4">
        <w:rPr>
          <w:noProof/>
          <w:sz w:val="20"/>
          <w:szCs w:val="20"/>
        </w:rPr>
        <w:instrText xml:space="preserve"> SEQ Figure \* ARABIC </w:instrText>
      </w:r>
      <w:r w:rsidRPr="003C2BF4">
        <w:rPr>
          <w:noProof/>
          <w:sz w:val="20"/>
          <w:szCs w:val="20"/>
        </w:rPr>
        <w:fldChar w:fldCharType="separate"/>
      </w:r>
      <w:r w:rsidR="00E16D65">
        <w:rPr>
          <w:noProof/>
          <w:sz w:val="20"/>
          <w:szCs w:val="20"/>
        </w:rPr>
        <w:t>28</w:t>
      </w:r>
      <w:r w:rsidRPr="003C2BF4">
        <w:rPr>
          <w:noProof/>
          <w:sz w:val="20"/>
          <w:szCs w:val="20"/>
        </w:rPr>
        <w:fldChar w:fldCharType="end"/>
      </w:r>
      <w:bookmarkEnd w:id="685"/>
      <w:r w:rsidRPr="003C2BF4">
        <w:rPr>
          <w:noProof/>
          <w:sz w:val="20"/>
          <w:szCs w:val="20"/>
        </w:rPr>
        <w:t>:Comparison of the European and global clean project pipeline</w:t>
      </w:r>
    </w:p>
    <w:p w14:paraId="69884785" w14:textId="77777777" w:rsidR="0027084E" w:rsidRDefault="0027084E" w:rsidP="00E72B3D">
      <w:pPr>
        <w:spacing w:after="120"/>
        <w:rPr>
          <w:noProof/>
        </w:rPr>
      </w:pPr>
    </w:p>
    <w:p w14:paraId="5A327A6D" w14:textId="3A3A496B" w:rsidR="00E72B3D" w:rsidRDefault="008D2665" w:rsidP="00E72B3D">
      <w:pPr>
        <w:spacing w:after="120"/>
        <w:rPr>
          <w:noProof/>
        </w:rPr>
      </w:pPr>
      <w:r w:rsidRPr="00FF63D1">
        <w:rPr>
          <w:noProof/>
        </w:rPr>
        <w:t xml:space="preserve">Regarding </w:t>
      </w:r>
      <w:r w:rsidRPr="00E72B3D">
        <w:rPr>
          <w:b/>
          <w:bCs/>
          <w:noProof/>
        </w:rPr>
        <w:t>steel</w:t>
      </w:r>
      <w:r w:rsidRPr="00FF63D1">
        <w:rPr>
          <w:noProof/>
        </w:rPr>
        <w:t xml:space="preserve">, </w:t>
      </w:r>
      <w:r w:rsidR="009F0B80" w:rsidRPr="00FF63D1">
        <w:rPr>
          <w:noProof/>
        </w:rPr>
        <w:t xml:space="preserve">Hydrogen-based Direct Reduced Iron – Electric Arc Furnace (DRI–EAF) routes dominate the technological pipeline, accounting for </w:t>
      </w:r>
      <w:r w:rsidR="00895B4A">
        <w:rPr>
          <w:noProof/>
        </w:rPr>
        <w:t>more than 70</w:t>
      </w:r>
      <w:r w:rsidR="009F0B80" w:rsidRPr="00FF63D1">
        <w:rPr>
          <w:noProof/>
        </w:rPr>
        <w:t>% of total planned capacity, yet less than a quarter of that capacity is under construction.</w:t>
      </w:r>
    </w:p>
    <w:p w14:paraId="6DE5049B" w14:textId="77777777" w:rsidR="00E72B3D" w:rsidRDefault="00CB731F" w:rsidP="00E72B3D">
      <w:pPr>
        <w:keepNext/>
        <w:spacing w:after="120"/>
        <w:jc w:val="center"/>
        <w:rPr>
          <w:noProof/>
        </w:rPr>
      </w:pPr>
      <w:r w:rsidRPr="00E9618C">
        <w:rPr>
          <w:noProof/>
          <w:lang w:eastAsia="en-GB"/>
        </w:rPr>
        <w:drawing>
          <wp:inline distT="0" distB="0" distL="0" distR="0" wp14:anchorId="5CBE98F8" wp14:editId="71C7276A">
            <wp:extent cx="3866493" cy="2152357"/>
            <wp:effectExtent l="0" t="0" r="1270" b="635"/>
            <wp:docPr id="1549821691" name="Picture 2" descr="A graph of a graph of a variety of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47072" name="Picture 2" descr="A graph of a graph of a variety of colors&#10;&#10;AI-generated content may be incorrect."/>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71243" cy="2155001"/>
                    </a:xfrm>
                    <a:prstGeom prst="rect">
                      <a:avLst/>
                    </a:prstGeom>
                    <a:noFill/>
                  </pic:spPr>
                </pic:pic>
              </a:graphicData>
            </a:graphic>
          </wp:inline>
        </w:drawing>
      </w:r>
    </w:p>
    <w:p w14:paraId="257E79AB" w14:textId="37B2B0FF" w:rsidR="00E72B3D" w:rsidRPr="003C2BF4" w:rsidRDefault="00E72B3D" w:rsidP="00E72B3D">
      <w:pPr>
        <w:pStyle w:val="Caption"/>
        <w:jc w:val="center"/>
        <w:rPr>
          <w:noProof/>
          <w:sz w:val="20"/>
          <w:szCs w:val="14"/>
        </w:rPr>
      </w:pPr>
      <w:r w:rsidRPr="003C2BF4">
        <w:rPr>
          <w:noProof/>
          <w:sz w:val="20"/>
          <w:szCs w:val="14"/>
        </w:rPr>
        <w:t xml:space="preserve">Figure </w:t>
      </w:r>
      <w:r w:rsidRPr="003C2BF4">
        <w:rPr>
          <w:noProof/>
          <w:sz w:val="20"/>
          <w:szCs w:val="14"/>
        </w:rPr>
        <w:fldChar w:fldCharType="begin"/>
      </w:r>
      <w:r w:rsidRPr="003C2BF4">
        <w:rPr>
          <w:noProof/>
          <w:sz w:val="20"/>
          <w:szCs w:val="14"/>
        </w:rPr>
        <w:instrText xml:space="preserve"> SEQ Figure \* ARABIC </w:instrText>
      </w:r>
      <w:r w:rsidRPr="003C2BF4">
        <w:rPr>
          <w:noProof/>
          <w:sz w:val="20"/>
          <w:szCs w:val="14"/>
        </w:rPr>
        <w:fldChar w:fldCharType="separate"/>
      </w:r>
      <w:r w:rsidR="00E16D65">
        <w:rPr>
          <w:noProof/>
          <w:sz w:val="20"/>
          <w:szCs w:val="14"/>
        </w:rPr>
        <w:t>29</w:t>
      </w:r>
      <w:r w:rsidRPr="003C2BF4">
        <w:rPr>
          <w:noProof/>
          <w:sz w:val="20"/>
          <w:szCs w:val="14"/>
        </w:rPr>
        <w:fldChar w:fldCharType="end"/>
      </w:r>
      <w:r w:rsidR="003C2BF4" w:rsidRPr="003C2BF4">
        <w:rPr>
          <w:noProof/>
          <w:sz w:val="20"/>
          <w:szCs w:val="14"/>
        </w:rPr>
        <w:t xml:space="preserve">: </w:t>
      </w:r>
      <w:r w:rsidRPr="003C2BF4">
        <w:rPr>
          <w:noProof/>
          <w:sz w:val="20"/>
          <w:szCs w:val="14"/>
        </w:rPr>
        <w:t>Technological split of EU low-carbon steel projects by stage (% of capacity), Commission elaboration on BNEF data</w:t>
      </w:r>
    </w:p>
    <w:p w14:paraId="0006CDCF" w14:textId="77777777" w:rsidR="009F0B80" w:rsidRPr="00FF63D1" w:rsidRDefault="009F0B80" w:rsidP="00CA12D8">
      <w:pPr>
        <w:rPr>
          <w:rFonts w:ascii="Times" w:hAnsi="Times" w:cs="Times"/>
          <w:noProof/>
        </w:rPr>
      </w:pPr>
    </w:p>
    <w:p w14:paraId="4826EAB1" w14:textId="54B44FB5" w:rsidR="00020031" w:rsidRPr="00FF63D1" w:rsidRDefault="404A2814" w:rsidP="00E72B3D">
      <w:pPr>
        <w:spacing w:after="120"/>
        <w:rPr>
          <w:rFonts w:ascii="Times" w:hAnsi="Times" w:cs="Times"/>
          <w:noProof/>
        </w:rPr>
      </w:pPr>
      <w:r w:rsidRPr="00FF63D1">
        <w:rPr>
          <w:rFonts w:ascii="Times" w:hAnsi="Times" w:cs="Times"/>
          <w:noProof/>
        </w:rPr>
        <w:t xml:space="preserve">For instance, </w:t>
      </w:r>
      <w:r w:rsidRPr="00E72B3D">
        <w:rPr>
          <w:noProof/>
        </w:rPr>
        <w:t>ThyssenKrupp</w:t>
      </w:r>
      <w:r w:rsidRPr="00FF63D1">
        <w:rPr>
          <w:rFonts w:ascii="Times" w:hAnsi="Times" w:cs="Times"/>
          <w:noProof/>
        </w:rPr>
        <w:t xml:space="preserve"> announced plans for 11</w:t>
      </w:r>
      <w:r w:rsidR="217EA473">
        <w:rPr>
          <w:rFonts w:ascii="Times" w:hAnsi="Times" w:cs="Times"/>
          <w:noProof/>
        </w:rPr>
        <w:t xml:space="preserve"> </w:t>
      </w:r>
      <w:r w:rsidRPr="00FF63D1">
        <w:rPr>
          <w:rFonts w:ascii="Times" w:hAnsi="Times" w:cs="Times"/>
          <w:noProof/>
        </w:rPr>
        <w:t>000 lay-offs in Germany in December 2024. In November 2024, ArcelorMittal postponed its decarbonisation investments across Europe, and in April 2025, it informed unions of the elimination of 630 jobs at its seven sites in northern France, representing just under 10% of the workforce.</w:t>
      </w:r>
      <w:r w:rsidR="00020031" w:rsidRPr="00FF63D1">
        <w:rPr>
          <w:rStyle w:val="FootnoteReference"/>
          <w:rFonts w:ascii="Times" w:hAnsi="Times" w:cs="Times"/>
          <w:noProof/>
        </w:rPr>
        <w:footnoteReference w:id="608"/>
      </w:r>
      <w:r w:rsidRPr="00FF63D1">
        <w:rPr>
          <w:rFonts w:ascii="Times" w:hAnsi="Times" w:cs="Times"/>
          <w:noProof/>
        </w:rPr>
        <w:t xml:space="preserve"> Additionally, Liberty Ostrava announced bankruptcy in the Czech Republic in June 2024. </w:t>
      </w:r>
    </w:p>
    <w:p w14:paraId="18065867" w14:textId="77777777" w:rsidR="00020031" w:rsidRPr="00FF63D1" w:rsidRDefault="404A2814" w:rsidP="00E72B3D">
      <w:pPr>
        <w:spacing w:after="120"/>
        <w:rPr>
          <w:rFonts w:ascii="Times" w:hAnsi="Times" w:cs="Times"/>
          <w:noProof/>
        </w:rPr>
      </w:pPr>
      <w:r w:rsidRPr="00FF63D1">
        <w:rPr>
          <w:rFonts w:ascii="Times" w:hAnsi="Times" w:cs="Times"/>
          <w:noProof/>
        </w:rPr>
        <w:t>The European aluminium sector presents warning signs of a de-industrialisation, having permanently lost a significant part of its production capacity. M</w:t>
      </w:r>
      <w:r w:rsidRPr="00FF63D1">
        <w:rPr>
          <w:rFonts w:ascii="Times" w:eastAsia="Times New Roman" w:hAnsi="Times" w:cs="Times"/>
          <w:noProof/>
        </w:rPr>
        <w:t>ore than 50% of primary aluminium production capacity has been idled since 2021 and, sin</w:t>
      </w:r>
      <w:r w:rsidRPr="00FF63D1">
        <w:rPr>
          <w:rFonts w:ascii="Times" w:hAnsi="Times" w:cs="Times"/>
          <w:noProof/>
        </w:rPr>
        <w:t>ce 2020, twenty European aluminium, silicon and zinc facilities have been shut down.</w:t>
      </w:r>
      <w:r w:rsidR="00020031" w:rsidRPr="00FF63D1">
        <w:rPr>
          <w:rStyle w:val="FootnoteReference"/>
          <w:rFonts w:ascii="Times" w:hAnsi="Times" w:cs="Times"/>
          <w:noProof/>
        </w:rPr>
        <w:footnoteReference w:id="609"/>
      </w:r>
      <w:r w:rsidRPr="00FF63D1">
        <w:rPr>
          <w:rFonts w:ascii="Times" w:hAnsi="Times" w:cs="Times"/>
          <w:noProof/>
        </w:rPr>
        <w:t xml:space="preserve"> </w:t>
      </w:r>
    </w:p>
    <w:p w14:paraId="467A2190" w14:textId="3BCAFA21" w:rsidR="00020031" w:rsidRPr="00FF63D1" w:rsidRDefault="404A2814" w:rsidP="00E72B3D">
      <w:pPr>
        <w:spacing w:after="120"/>
        <w:rPr>
          <w:noProof/>
        </w:rPr>
      </w:pPr>
      <w:r w:rsidRPr="00FF63D1">
        <w:rPr>
          <w:rFonts w:ascii="Times" w:hAnsi="Times" w:cs="Times"/>
          <w:noProof/>
        </w:rPr>
        <w:t xml:space="preserve">Meanwhile, the European chemical industry faces an unprecedented crisis and structural disadvantages compared to its international competitors. These include both cost and no-cost factors. Due to these competitive pressures, production utilisation rates have stagnated at an unprofitable 74-75% range, significantly below the historical averages of 81.5%. This has led to an unprecedented wave of closures with 11 </w:t>
      </w:r>
      <w:r w:rsidR="51E518DF">
        <w:rPr>
          <w:rFonts w:ascii="Times" w:hAnsi="Times" w:cs="Times"/>
          <w:noProof/>
        </w:rPr>
        <w:t>Mtonnes</w:t>
      </w:r>
      <w:r w:rsidRPr="00FF63D1">
        <w:rPr>
          <w:rFonts w:ascii="Times" w:hAnsi="Times" w:cs="Times"/>
          <w:noProof/>
        </w:rPr>
        <w:t xml:space="preserve"> of capacity announced for shutdown over the past two years, ten times higher than the average annual variation of the past decade.</w:t>
      </w:r>
      <w:r w:rsidR="00020031" w:rsidRPr="00FF63D1">
        <w:rPr>
          <w:rStyle w:val="FootnoteReference"/>
          <w:rFonts w:ascii="Times" w:hAnsi="Times" w:cs="Times"/>
          <w:noProof/>
        </w:rPr>
        <w:footnoteReference w:id="610"/>
      </w:r>
    </w:p>
    <w:p w14:paraId="1752FECE" w14:textId="77777777" w:rsidR="00E72B3D" w:rsidRDefault="404A2814" w:rsidP="00E72B3D">
      <w:pPr>
        <w:spacing w:after="120"/>
        <w:rPr>
          <w:rFonts w:ascii="Times" w:hAnsi="Times" w:cs="Times"/>
          <w:noProof/>
        </w:rPr>
      </w:pPr>
      <w:r w:rsidRPr="00FF63D1">
        <w:rPr>
          <w:rFonts w:ascii="Times" w:hAnsi="Times" w:cs="Times"/>
          <w:noProof/>
        </w:rPr>
        <w:t>The glass sector is also struggling as it faces declining demand, stalled investment and shrinking European capacity, with several plant closures reported since the start of 2025.</w:t>
      </w:r>
      <w:r w:rsidR="00020031" w:rsidRPr="00FF63D1">
        <w:rPr>
          <w:rStyle w:val="FootnoteReference"/>
          <w:rFonts w:ascii="Times" w:hAnsi="Times" w:cs="Times"/>
          <w:noProof/>
        </w:rPr>
        <w:footnoteReference w:id="611"/>
      </w:r>
      <w:r w:rsidRPr="00FF63D1">
        <w:rPr>
          <w:rFonts w:ascii="Times" w:hAnsi="Times" w:cs="Times"/>
          <w:noProof/>
        </w:rPr>
        <w:t xml:space="preserve"> For example, O-I Glass announced the closure of a facility in Europe, affecting 170 workers.</w:t>
      </w:r>
      <w:r w:rsidR="00020031" w:rsidRPr="00FF63D1">
        <w:rPr>
          <w:rStyle w:val="FootnoteReference"/>
          <w:rFonts w:ascii="Times" w:hAnsi="Times" w:cs="Times"/>
          <w:noProof/>
        </w:rPr>
        <w:footnoteReference w:id="612"/>
      </w:r>
    </w:p>
    <w:p w14:paraId="2C77DFDD" w14:textId="6605F4B5" w:rsidR="00870F20" w:rsidRPr="00FF63D1" w:rsidRDefault="1A5A84A3" w:rsidP="00E72B3D">
      <w:pPr>
        <w:jc w:val="center"/>
        <w:rPr>
          <w:noProof/>
        </w:rPr>
      </w:pPr>
      <w:r w:rsidRPr="0054474F">
        <w:rPr>
          <w:noProof/>
          <w:lang w:eastAsia="en-GB"/>
        </w:rPr>
        <w:drawing>
          <wp:inline distT="0" distB="0" distL="0" distR="0" wp14:anchorId="5E2ACACB" wp14:editId="616DC46B">
            <wp:extent cx="4397256" cy="2238396"/>
            <wp:effectExtent l="0" t="0" r="3810" b="0"/>
            <wp:docPr id="19555958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595884" name=""/>
                    <pic:cNvPicPr/>
                  </pic:nvPicPr>
                  <pic:blipFill>
                    <a:blip r:embed="rId102">
                      <a:extLst>
                        <a:ext uri="{28A0092B-C50C-407E-A947-70E740481C1C}">
                          <a14:useLocalDpi xmlns:a14="http://schemas.microsoft.com/office/drawing/2010/main" val="0"/>
                        </a:ext>
                      </a:extLst>
                    </a:blip>
                    <a:stretch>
                      <a:fillRect/>
                    </a:stretch>
                  </pic:blipFill>
                  <pic:spPr>
                    <a:xfrm>
                      <a:off x="0" y="0"/>
                      <a:ext cx="4407699" cy="2243712"/>
                    </a:xfrm>
                    <a:prstGeom prst="rect">
                      <a:avLst/>
                    </a:prstGeom>
                  </pic:spPr>
                </pic:pic>
              </a:graphicData>
            </a:graphic>
          </wp:inline>
        </w:drawing>
      </w:r>
    </w:p>
    <w:p w14:paraId="2F053E8A" w14:textId="0944F0C0" w:rsidR="1A5A84A3" w:rsidRPr="005754F4" w:rsidRDefault="00870F20" w:rsidP="008D60DD">
      <w:pPr>
        <w:pStyle w:val="Caption"/>
        <w:spacing w:after="240"/>
        <w:jc w:val="center"/>
        <w:rPr>
          <w:noProof/>
          <w:sz w:val="20"/>
          <w:szCs w:val="14"/>
        </w:rPr>
      </w:pPr>
      <w:r w:rsidRPr="005754F4">
        <w:rPr>
          <w:noProof/>
          <w:sz w:val="20"/>
          <w:szCs w:val="14"/>
        </w:rPr>
        <w:t xml:space="preserve">Figure </w:t>
      </w:r>
      <w:r w:rsidRPr="005754F4">
        <w:rPr>
          <w:noProof/>
          <w:sz w:val="20"/>
          <w:szCs w:val="14"/>
        </w:rPr>
        <w:fldChar w:fldCharType="begin"/>
      </w:r>
      <w:r w:rsidRPr="005754F4">
        <w:rPr>
          <w:noProof/>
          <w:sz w:val="20"/>
          <w:szCs w:val="14"/>
          <w:lang w:val="en-IE"/>
        </w:rPr>
        <w:instrText xml:space="preserve"> SEQ Figure \* ARABIC </w:instrText>
      </w:r>
      <w:r w:rsidRPr="005754F4">
        <w:rPr>
          <w:noProof/>
          <w:sz w:val="20"/>
          <w:szCs w:val="14"/>
        </w:rPr>
        <w:fldChar w:fldCharType="separate"/>
      </w:r>
      <w:r w:rsidR="00E16D65">
        <w:rPr>
          <w:noProof/>
          <w:sz w:val="20"/>
          <w:szCs w:val="14"/>
          <w:lang w:val="en-IE"/>
        </w:rPr>
        <w:t>30</w:t>
      </w:r>
      <w:r w:rsidRPr="005754F4">
        <w:rPr>
          <w:noProof/>
          <w:sz w:val="20"/>
          <w:szCs w:val="14"/>
        </w:rPr>
        <w:fldChar w:fldCharType="end"/>
      </w:r>
      <w:r w:rsidRPr="005754F4">
        <w:rPr>
          <w:noProof/>
          <w:sz w:val="20"/>
          <w:szCs w:val="14"/>
        </w:rPr>
        <w:t>: Extra-EU trade balance for energy intensive industries, in constant 2015 billion USD, 2012-2022</w:t>
      </w:r>
      <w:r w:rsidR="00C4239E" w:rsidRPr="005754F4">
        <w:rPr>
          <w:noProof/>
          <w:sz w:val="20"/>
          <w:szCs w:val="14"/>
        </w:rPr>
        <w:t>,</w:t>
      </w:r>
      <w:r w:rsidR="00DB26E5" w:rsidRPr="005754F4">
        <w:rPr>
          <w:noProof/>
          <w:sz w:val="20"/>
          <w:szCs w:val="14"/>
        </w:rPr>
        <w:t xml:space="preserve"> </w:t>
      </w:r>
      <w:r w:rsidRPr="005754F4">
        <w:rPr>
          <w:noProof/>
          <w:sz w:val="20"/>
          <w:szCs w:val="14"/>
        </w:rPr>
        <w:t>A comprehensive overview of the Energy Intensive Industries ecosystem, OECD 2025.</w:t>
      </w:r>
    </w:p>
    <w:p w14:paraId="62CE7A01" w14:textId="2462B7FC" w:rsidR="1BBC86B7" w:rsidRPr="00FF63D1" w:rsidRDefault="1BBC86B7" w:rsidP="00E72B3D">
      <w:pPr>
        <w:spacing w:after="120"/>
        <w:rPr>
          <w:noProof/>
        </w:rPr>
      </w:pPr>
      <w:r w:rsidRPr="00FF63D1">
        <w:rPr>
          <w:rFonts w:eastAsia="Times New Roman" w:cs="Times New Roman"/>
          <w:noProof/>
          <w:szCs w:val="24"/>
        </w:rPr>
        <w:t xml:space="preserve">When zooming into the projects marked as cancelled, closed or postponed, ten high-level cases can be identified across the chemicals, refining, lime and fertilisers sectors. These include BP’s H₂-Fifty electrolyser in Rotterdam (NL), which was put on hold until the Dutch government transposes the Renewable Energy Directive; SGL Carbon’s Lavradio carbon-fibre site in Portugal, closed in 2024; and Solvay Chemicals Finland’s hydrogen-peroxide project in Voikka, postponed despite </w:t>
      </w:r>
      <w:r w:rsidRPr="00E72B3D">
        <w:rPr>
          <w:rFonts w:ascii="Times" w:hAnsi="Times" w:cs="Times"/>
          <w:noProof/>
        </w:rPr>
        <w:t>Innovation</w:t>
      </w:r>
      <w:r w:rsidRPr="00FF63D1">
        <w:rPr>
          <w:rFonts w:eastAsia="Times New Roman" w:cs="Times New Roman"/>
          <w:noProof/>
          <w:szCs w:val="24"/>
        </w:rPr>
        <w:t xml:space="preserve"> Fund support. Three Carmeuse “Columbus” pilot projects in Belgium were cancelled in 2024, and UPM’s biorefinery in Leuna (DE) was postponed from its planned 2024 start-up. Achema’s 213 MW green-hydrogen project in Lithuania was postponed and its </w:t>
      </w:r>
      <w:r w:rsidR="00760CE8">
        <w:rPr>
          <w:rFonts w:eastAsia="Times New Roman" w:cs="Times New Roman"/>
          <w:noProof/>
          <w:szCs w:val="24"/>
        </w:rPr>
        <w:t xml:space="preserve">EUR </w:t>
      </w:r>
      <w:r w:rsidRPr="00FF63D1">
        <w:rPr>
          <w:rFonts w:eastAsia="Times New Roman" w:cs="Times New Roman"/>
          <w:noProof/>
          <w:szCs w:val="24"/>
        </w:rPr>
        <w:t>122 million Just Transition Fund grant withdrawn, while Raffinerie Heide’s 30 MW Westküste 100 electrolyser and Dow Böhlen’s 120 kt advanced-recycling plant were both cancelled. Finally, Uniper’s Chemelot syngas facility in the Netherlands was cancelled in May 2025.</w:t>
      </w:r>
    </w:p>
    <w:p w14:paraId="31E48BF2" w14:textId="0C3C3A40" w:rsidR="00020031" w:rsidRPr="00FF63D1" w:rsidRDefault="404A2814" w:rsidP="00E72B3D">
      <w:pPr>
        <w:spacing w:after="120"/>
        <w:rPr>
          <w:rFonts w:ascii="Times" w:hAnsi="Times" w:cs="Times"/>
          <w:noProof/>
          <w:vertAlign w:val="superscript"/>
        </w:rPr>
      </w:pPr>
      <w:r w:rsidRPr="00FF63D1">
        <w:rPr>
          <w:rFonts w:ascii="Times" w:hAnsi="Times" w:cs="Times"/>
          <w:noProof/>
        </w:rPr>
        <w:t>Competitiveness challenges are also visible further down the value chain. According to a report by CLEPA, at least 600</w:t>
      </w:r>
      <w:r w:rsidR="217EA473">
        <w:rPr>
          <w:rFonts w:ascii="Times" w:hAnsi="Times" w:cs="Times"/>
          <w:noProof/>
        </w:rPr>
        <w:t xml:space="preserve"> </w:t>
      </w:r>
      <w:r w:rsidRPr="00FF63D1">
        <w:rPr>
          <w:rFonts w:ascii="Times" w:hAnsi="Times" w:cs="Times"/>
          <w:noProof/>
        </w:rPr>
        <w:t>000 jobs will be lost on the 2</w:t>
      </w:r>
      <w:r w:rsidR="3A670CEF">
        <w:rPr>
          <w:rFonts w:ascii="Times" w:hAnsi="Times" w:cs="Times"/>
          <w:noProof/>
        </w:rPr>
        <w:t>.</w:t>
      </w:r>
      <w:r w:rsidRPr="00FF63D1">
        <w:rPr>
          <w:rFonts w:ascii="Times" w:hAnsi="Times" w:cs="Times"/>
          <w:noProof/>
        </w:rPr>
        <w:t>4 million directly employed by the European automotive sector during the next 5-10 years</w:t>
      </w:r>
      <w:r w:rsidR="00A90173">
        <w:rPr>
          <w:rFonts w:ascii="Times" w:hAnsi="Times" w:cs="Times"/>
          <w:noProof/>
        </w:rPr>
        <w:t>.</w:t>
      </w:r>
      <w:r w:rsidR="00020031" w:rsidRPr="00FF63D1">
        <w:rPr>
          <w:rFonts w:ascii="Times" w:hAnsi="Times" w:cs="Times"/>
          <w:noProof/>
          <w:vertAlign w:val="superscript"/>
        </w:rPr>
        <w:footnoteReference w:id="613"/>
      </w:r>
      <w:r w:rsidRPr="00FF63D1">
        <w:rPr>
          <w:rFonts w:ascii="Times" w:hAnsi="Times" w:cs="Times"/>
          <w:noProof/>
        </w:rPr>
        <w:t xml:space="preserve"> </w:t>
      </w:r>
    </w:p>
    <w:p w14:paraId="41718E74" w14:textId="0A57179E" w:rsidR="00020031" w:rsidRPr="00AB1DF9" w:rsidRDefault="009B5271" w:rsidP="002F0B22">
      <w:pPr>
        <w:pStyle w:val="Heading2"/>
        <w:numPr>
          <w:ilvl w:val="0"/>
          <w:numId w:val="0"/>
        </w:numPr>
        <w:spacing w:before="0" w:after="0"/>
        <w:rPr>
          <w:rFonts w:ascii="Times" w:hAnsi="Times" w:cs="Times"/>
        </w:rPr>
      </w:pPr>
      <w:bookmarkStart w:id="686" w:name="_Toc212728872"/>
      <w:bookmarkStart w:id="687" w:name="_Toc212729146"/>
      <w:bookmarkStart w:id="688" w:name="_Toc212729398"/>
      <w:bookmarkStart w:id="689" w:name="_Toc215506342"/>
      <w:bookmarkStart w:id="690" w:name="_Toc222490050"/>
      <w:r>
        <w:rPr>
          <w:rFonts w:ascii="Times" w:hAnsi="Times" w:cs="Times"/>
        </w:rPr>
        <w:t xml:space="preserve">2. </w:t>
      </w:r>
      <w:r w:rsidR="00020031" w:rsidRPr="00AB1DF9">
        <w:rPr>
          <w:rFonts w:ascii="Times" w:hAnsi="Times" w:cs="Times"/>
        </w:rPr>
        <w:t>What</w:t>
      </w:r>
      <w:bookmarkStart w:id="691" w:name="_Toc207192562"/>
      <w:r w:rsidR="00020031" w:rsidRPr="00AB1DF9">
        <w:rPr>
          <w:rFonts w:ascii="Times" w:hAnsi="Times" w:cs="Times"/>
        </w:rPr>
        <w:t xml:space="preserve"> are the sub-problems and their drivers?</w:t>
      </w:r>
      <w:bookmarkEnd w:id="686"/>
      <w:bookmarkEnd w:id="687"/>
      <w:bookmarkEnd w:id="688"/>
      <w:bookmarkEnd w:id="689"/>
      <w:bookmarkEnd w:id="690"/>
      <w:bookmarkEnd w:id="691"/>
    </w:p>
    <w:p w14:paraId="07D1404B" w14:textId="77777777" w:rsidR="006D74C1" w:rsidRPr="00FF63D1" w:rsidRDefault="006D74C1" w:rsidP="006D74C1">
      <w:pPr>
        <w:rPr>
          <w:rFonts w:ascii="Times" w:hAnsi="Times" w:cs="Times"/>
          <w:noProof/>
        </w:rPr>
      </w:pPr>
    </w:p>
    <w:p w14:paraId="3C72DA72" w14:textId="0078D343" w:rsidR="00020031" w:rsidRPr="00FF63D1" w:rsidRDefault="00020031" w:rsidP="00E72B3D">
      <w:pPr>
        <w:spacing w:after="120"/>
        <w:rPr>
          <w:rFonts w:ascii="Times" w:hAnsi="Times" w:cs="Times"/>
          <w:noProof/>
        </w:rPr>
      </w:pPr>
      <w:r w:rsidRPr="00FF63D1">
        <w:rPr>
          <w:rFonts w:ascii="Times" w:hAnsi="Times" w:cs="Times"/>
          <w:noProof/>
        </w:rPr>
        <w:t>The Section 2 analyses the three different sub-problems related to the EU’s limited business case for EU EII</w:t>
      </w:r>
      <w:r w:rsidR="00E774AB" w:rsidRPr="00FF63D1">
        <w:rPr>
          <w:rFonts w:ascii="Times" w:hAnsi="Times" w:cs="Times"/>
          <w:noProof/>
        </w:rPr>
        <w:t>s</w:t>
      </w:r>
      <w:r w:rsidRPr="00FF63D1">
        <w:rPr>
          <w:rFonts w:ascii="Times" w:hAnsi="Times" w:cs="Times"/>
          <w:noProof/>
        </w:rPr>
        <w:t xml:space="preserve"> to decarbonise; each sub-problem and their drivers are further supported by evidence in the sections below.</w:t>
      </w:r>
    </w:p>
    <w:p w14:paraId="1D332D3E" w14:textId="5B72305A" w:rsidR="00020031" w:rsidRPr="00AB1DF9" w:rsidRDefault="00020031" w:rsidP="00A943A1">
      <w:pPr>
        <w:pStyle w:val="Heading3"/>
        <w:numPr>
          <w:ilvl w:val="0"/>
          <w:numId w:val="0"/>
        </w:numPr>
        <w:spacing w:before="0" w:after="0"/>
        <w:ind w:left="720" w:hanging="720"/>
        <w:rPr>
          <w:rFonts w:ascii="Times" w:eastAsiaTheme="minorEastAsia" w:hAnsi="Times" w:cs="Times"/>
          <w:b/>
          <w:i w:val="0"/>
        </w:rPr>
      </w:pPr>
      <w:bookmarkStart w:id="692" w:name="_Hlk211940000"/>
      <w:r w:rsidRPr="00AB1DF9">
        <w:rPr>
          <w:rFonts w:ascii="Times" w:eastAsiaTheme="minorEastAsia" w:hAnsi="Times" w:cs="Times"/>
          <w:b/>
          <w:i w:val="0"/>
        </w:rPr>
        <w:t xml:space="preserve">Sub-problem 1: </w:t>
      </w:r>
      <w:bookmarkEnd w:id="692"/>
      <w:r w:rsidRPr="00AB1DF9">
        <w:rPr>
          <w:rFonts w:eastAsiaTheme="minorEastAsia"/>
          <w:b/>
          <w:i w:val="0"/>
        </w:rPr>
        <w:t xml:space="preserve">Limited demand for European low-carbon industrial products </w:t>
      </w:r>
      <w:r w:rsidR="008F065C" w:rsidRPr="00AB1DF9">
        <w:rPr>
          <w:rFonts w:eastAsiaTheme="minorEastAsia"/>
          <w:b/>
          <w:i w:val="0"/>
        </w:rPr>
        <w:t xml:space="preserve">at current </w:t>
      </w:r>
      <w:r w:rsidRPr="00AB1DF9">
        <w:rPr>
          <w:rFonts w:eastAsiaTheme="minorEastAsia"/>
          <w:b/>
          <w:i w:val="0"/>
        </w:rPr>
        <w:t>prices</w:t>
      </w:r>
    </w:p>
    <w:p w14:paraId="055F4B15" w14:textId="77777777" w:rsidR="006D74C1" w:rsidRPr="00FF63D1" w:rsidRDefault="006D74C1" w:rsidP="006D74C1">
      <w:pPr>
        <w:rPr>
          <w:noProof/>
        </w:rPr>
      </w:pPr>
    </w:p>
    <w:p w14:paraId="4F5B7798" w14:textId="77777777" w:rsidR="00020031" w:rsidRPr="00FF63D1" w:rsidRDefault="00020031" w:rsidP="00C72589">
      <w:pPr>
        <w:pStyle w:val="Heading4"/>
        <w:numPr>
          <w:ilvl w:val="0"/>
          <w:numId w:val="0"/>
        </w:numPr>
        <w:spacing w:before="0" w:after="0"/>
        <w:ind w:left="864" w:hanging="297"/>
        <w:rPr>
          <w:rFonts w:ascii="Times" w:hAnsi="Times" w:cs="Times"/>
          <w:b/>
          <w:noProof/>
          <w:color w:val="auto"/>
        </w:rPr>
      </w:pPr>
      <w:r w:rsidRPr="00FF63D1">
        <w:rPr>
          <w:rFonts w:ascii="Times" w:eastAsiaTheme="minorEastAsia" w:hAnsi="Times" w:cs="Times"/>
          <w:b/>
          <w:noProof/>
          <w:color w:val="auto"/>
        </w:rPr>
        <w:t xml:space="preserve">Driver 1 (market failure): Challenges in </w:t>
      </w:r>
      <w:r w:rsidRPr="00FF63D1">
        <w:rPr>
          <w:rFonts w:ascii="Times" w:hAnsi="Times" w:cs="Times"/>
          <w:b/>
          <w:noProof/>
          <w:color w:val="auto"/>
        </w:rPr>
        <w:t>distinguishing low-carbon industrial products from high-carbon alternatives</w:t>
      </w:r>
    </w:p>
    <w:p w14:paraId="0307D46B" w14:textId="77777777" w:rsidR="00020031" w:rsidRPr="00FF63D1" w:rsidRDefault="00020031" w:rsidP="006D74C1">
      <w:pPr>
        <w:rPr>
          <w:rFonts w:ascii="Times" w:hAnsi="Times" w:cs="Times"/>
          <w:noProof/>
        </w:rPr>
      </w:pPr>
    </w:p>
    <w:p w14:paraId="5E6CCA50" w14:textId="77777777" w:rsidR="00020031" w:rsidRPr="00FF63D1" w:rsidRDefault="00020031" w:rsidP="00E72B3D">
      <w:pPr>
        <w:spacing w:after="120"/>
        <w:rPr>
          <w:rFonts w:ascii="Times" w:hAnsi="Times" w:cs="Times"/>
          <w:noProof/>
        </w:rPr>
      </w:pPr>
      <w:r w:rsidRPr="00FF63D1">
        <w:rPr>
          <w:rFonts w:ascii="Times" w:hAnsi="Times" w:cs="Times"/>
          <w:noProof/>
        </w:rPr>
        <w:t xml:space="preserve">Section 2 addresses the lack of harmonised carbon accounting methodology, with a plurality of ongoing initiatives seeking to define what constitutes a “low-carbon” industrial product by establishing methodologies and performance criteria. </w:t>
      </w:r>
    </w:p>
    <w:p w14:paraId="4D356237" w14:textId="33D01D80" w:rsidR="00020031" w:rsidRPr="00FF63D1" w:rsidRDefault="00020031" w:rsidP="00E72B3D">
      <w:pPr>
        <w:spacing w:after="120"/>
        <w:rPr>
          <w:rFonts w:ascii="Times" w:hAnsi="Times" w:cs="Times"/>
          <w:noProof/>
        </w:rPr>
      </w:pPr>
      <w:r w:rsidRPr="00FF63D1">
        <w:rPr>
          <w:rFonts w:ascii="Times" w:hAnsi="Times" w:cs="Times"/>
          <w:noProof/>
        </w:rPr>
        <w:t>For certain products, such as hydrogen, EU legislation already provides legal definitions for what can be considered renewable or low-carbon, along with associated certification systems. However, for most industrial semi-finished and finished products (i.e. cement and steel), there is no consensus yet on what qualifies as low-carbon, nor is there EU legislation providing a legal definition for it nor how to label it. This lack of agreement reflects a fragmented approach to distinguishing low-carbon industrial products from high-carbon alternatives</w:t>
      </w:r>
      <w:r w:rsidR="006D74C1" w:rsidRPr="00FF63D1">
        <w:rPr>
          <w:rFonts w:ascii="Times" w:hAnsi="Times" w:cs="Times"/>
          <w:noProof/>
        </w:rPr>
        <w:t>.</w:t>
      </w:r>
    </w:p>
    <w:p w14:paraId="1405A89B" w14:textId="15152E8C" w:rsidR="00020031" w:rsidRPr="00FF63D1" w:rsidRDefault="00020031" w:rsidP="00E72B3D">
      <w:pPr>
        <w:spacing w:after="120"/>
        <w:rPr>
          <w:rFonts w:ascii="Times" w:hAnsi="Times" w:cs="Times"/>
          <w:noProof/>
        </w:rPr>
      </w:pPr>
      <w:r w:rsidRPr="00FF63D1" w:rsidDel="005D5177">
        <w:rPr>
          <w:rFonts w:ascii="Times" w:hAnsi="Times" w:cs="Times"/>
          <w:noProof/>
        </w:rPr>
        <w:t>This difficulty in differentiation at the manufacturing level carries over into the consumer market. Low-carbon industrial products are often very similar</w:t>
      </w:r>
      <w:r w:rsidRPr="00FF63D1">
        <w:rPr>
          <w:rFonts w:ascii="Times" w:hAnsi="Times" w:cs="Times"/>
          <w:noProof/>
        </w:rPr>
        <w:t xml:space="preserve"> </w:t>
      </w:r>
      <w:r w:rsidRPr="00FF63D1" w:rsidDel="005D5177">
        <w:rPr>
          <w:rFonts w:ascii="Times" w:hAnsi="Times" w:cs="Times"/>
          <w:noProof/>
        </w:rPr>
        <w:t xml:space="preserve">to their conventional counterparts in terms of chemical composition and material properties. </w:t>
      </w:r>
      <w:r w:rsidRPr="00FF63D1">
        <w:rPr>
          <w:rFonts w:ascii="Times" w:hAnsi="Times" w:cs="Times"/>
          <w:noProof/>
        </w:rPr>
        <w:t xml:space="preserve">Generally, there is no easy tangible way for customers to distinguish between low-carbon and conventional products. For example, rod steel produced through low-carbon processes typically has the same strength and fracture resistance as steel made using conventional methods. </w:t>
      </w:r>
      <w:r w:rsidRPr="00FF63D1">
        <w:rPr>
          <w:rFonts w:ascii="Times" w:eastAsia="Times New Roman" w:hAnsi="Times" w:cs="Times"/>
          <w:noProof/>
        </w:rPr>
        <w:t>Similarly, many chemicals from low-carbon processes and non-fossil feedstocks—including those derived from recycled waste, biomass, and Carbon Capture Utilisation “CCU” technologies—are identical to those produced through established fossil-based routes.</w:t>
      </w:r>
      <w:r w:rsidRPr="00FF63D1">
        <w:rPr>
          <w:rFonts w:ascii="Times" w:hAnsi="Times" w:cs="Times"/>
          <w:noProof/>
        </w:rPr>
        <w:t xml:space="preserve"> While this may not hold true for all products/materials—for instance, low-carbon cement might be produced without clinker or with clinker substitutes— there is generally no easy visual or tangible way for customers to distinguish between low-carbon and conventional products. </w:t>
      </w:r>
    </w:p>
    <w:p w14:paraId="769B3DDF" w14:textId="0C2AA4CB" w:rsidR="006D74C1" w:rsidRPr="00FF63D1" w:rsidRDefault="00020031" w:rsidP="00E72B3D">
      <w:pPr>
        <w:spacing w:after="120"/>
        <w:rPr>
          <w:rFonts w:ascii="Times" w:hAnsi="Times" w:cs="Times"/>
          <w:noProof/>
        </w:rPr>
      </w:pPr>
      <w:r w:rsidRPr="00FF63D1">
        <w:rPr>
          <w:rFonts w:ascii="Times" w:hAnsi="Times" w:cs="Times"/>
          <w:noProof/>
        </w:rPr>
        <w:t xml:space="preserve">Existing methodologies to assess the carbon footprint embedded in product, in particular the LCA Environmental Footprint methods, are not widely used </w:t>
      </w:r>
      <w:r w:rsidR="0043757B" w:rsidRPr="0043757B">
        <w:rPr>
          <w:rFonts w:ascii="Times" w:hAnsi="Times" w:cs="Times"/>
          <w:noProof/>
        </w:rPr>
        <w:t>as a regulatory basis for environmental declarations, but they are increasingly applied by industry</w:t>
      </w:r>
      <w:r w:rsidR="00231A10">
        <w:rPr>
          <w:rFonts w:ascii="Times" w:hAnsi="Times" w:cs="Times"/>
          <w:noProof/>
        </w:rPr>
        <w:t>. As a result, while these methods are well known and used within companies, t</w:t>
      </w:r>
      <w:r w:rsidRPr="00FF63D1">
        <w:rPr>
          <w:rFonts w:ascii="Times" w:hAnsi="Times" w:cs="Times"/>
          <w:noProof/>
        </w:rPr>
        <w:t xml:space="preserve">. he reliability </w:t>
      </w:r>
      <w:r w:rsidR="00231A10">
        <w:rPr>
          <w:rFonts w:ascii="Times" w:hAnsi="Times" w:cs="Times"/>
          <w:noProof/>
        </w:rPr>
        <w:t>and comparability</w:t>
      </w:r>
      <w:r w:rsidR="0080385A">
        <w:rPr>
          <w:rFonts w:ascii="Times" w:hAnsi="Times" w:cs="Times"/>
          <w:noProof/>
        </w:rPr>
        <w:t xml:space="preserve"> </w:t>
      </w:r>
      <w:r w:rsidRPr="00FF63D1">
        <w:rPr>
          <w:rFonts w:ascii="Times" w:hAnsi="Times" w:cs="Times"/>
          <w:noProof/>
        </w:rPr>
        <w:t xml:space="preserve">carbon content </w:t>
      </w:r>
      <w:r w:rsidR="0080385A">
        <w:rPr>
          <w:rFonts w:ascii="Times" w:hAnsi="Times" w:cs="Times"/>
          <w:noProof/>
        </w:rPr>
        <w:t>claims</w:t>
      </w:r>
      <w:r w:rsidR="00807B2A">
        <w:rPr>
          <w:rFonts w:ascii="Times" w:hAnsi="Times" w:cs="Times"/>
          <w:noProof/>
        </w:rPr>
        <w:t xml:space="preserve"> still depend </w:t>
      </w:r>
      <w:r w:rsidRPr="00FF63D1">
        <w:rPr>
          <w:rFonts w:ascii="Times" w:hAnsi="Times" w:cs="Times"/>
          <w:noProof/>
        </w:rPr>
        <w:t xml:space="preserve">on the </w:t>
      </w:r>
      <w:r w:rsidR="00807B2A">
        <w:rPr>
          <w:rFonts w:ascii="Times" w:hAnsi="Times" w:cs="Times"/>
          <w:noProof/>
        </w:rPr>
        <w:t>consistency</w:t>
      </w:r>
      <w:r w:rsidR="00807B2A" w:rsidRPr="00FF63D1">
        <w:rPr>
          <w:rFonts w:ascii="Times" w:hAnsi="Times" w:cs="Times"/>
          <w:noProof/>
        </w:rPr>
        <w:t xml:space="preserve"> </w:t>
      </w:r>
      <w:r w:rsidRPr="00FF63D1">
        <w:rPr>
          <w:rFonts w:ascii="Times" w:hAnsi="Times" w:cs="Times"/>
          <w:noProof/>
        </w:rPr>
        <w:t xml:space="preserve">and verification of </w:t>
      </w:r>
      <w:r w:rsidR="00807B2A">
        <w:rPr>
          <w:rFonts w:ascii="Times" w:hAnsi="Times" w:cs="Times"/>
          <w:noProof/>
        </w:rPr>
        <w:t>data across</w:t>
      </w:r>
      <w:r w:rsidRPr="00FF63D1">
        <w:rPr>
          <w:rFonts w:ascii="Times" w:hAnsi="Times" w:cs="Times"/>
          <w:noProof/>
        </w:rPr>
        <w:t xml:space="preserve"> </w:t>
      </w:r>
      <w:r w:rsidR="00973E70">
        <w:rPr>
          <w:rFonts w:ascii="Times" w:hAnsi="Times" w:cs="Times"/>
          <w:noProof/>
        </w:rPr>
        <w:t>all</w:t>
      </w:r>
      <w:r w:rsidRPr="00FF63D1">
        <w:rPr>
          <w:rFonts w:ascii="Times" w:hAnsi="Times" w:cs="Times"/>
          <w:noProof/>
        </w:rPr>
        <w:t xml:space="preserve"> step</w:t>
      </w:r>
      <w:r w:rsidR="00973E70">
        <w:rPr>
          <w:rFonts w:ascii="Times" w:hAnsi="Times" w:cs="Times"/>
          <w:noProof/>
        </w:rPr>
        <w:t>s</w:t>
      </w:r>
      <w:r w:rsidRPr="00FF63D1">
        <w:rPr>
          <w:rFonts w:ascii="Times" w:hAnsi="Times" w:cs="Times"/>
          <w:noProof/>
        </w:rPr>
        <w:t xml:space="preserve"> of the supply chain.</w:t>
      </w:r>
    </w:p>
    <w:p w14:paraId="72A3E76F" w14:textId="1BDDEAB7" w:rsidR="00020031" w:rsidRDefault="00020031" w:rsidP="00F82CB0">
      <w:pPr>
        <w:pStyle w:val="Heading4"/>
        <w:numPr>
          <w:ilvl w:val="0"/>
          <w:numId w:val="0"/>
        </w:numPr>
        <w:ind w:left="864"/>
        <w:rPr>
          <w:b/>
          <w:noProof/>
          <w:color w:val="auto"/>
        </w:rPr>
      </w:pPr>
      <w:r w:rsidRPr="008D60DD">
        <w:rPr>
          <w:b/>
          <w:noProof/>
          <w:color w:val="auto"/>
        </w:rPr>
        <w:t>Driver 2: Limited willingness to pay a premium for low-carbon industrial products</w:t>
      </w:r>
    </w:p>
    <w:p w14:paraId="3CC789DF" w14:textId="77777777" w:rsidR="00E72B3D" w:rsidRPr="00E72B3D" w:rsidRDefault="00E72B3D" w:rsidP="00E72B3D">
      <w:pPr>
        <w:rPr>
          <w:noProof/>
        </w:rPr>
      </w:pPr>
    </w:p>
    <w:p w14:paraId="677E7EC1" w14:textId="77777777" w:rsidR="00020031" w:rsidRPr="00FF63D1" w:rsidRDefault="404A2814" w:rsidP="00E72B3D">
      <w:pPr>
        <w:spacing w:after="120"/>
        <w:rPr>
          <w:rFonts w:ascii="Times" w:hAnsi="Times" w:cs="Times"/>
          <w:noProof/>
        </w:rPr>
      </w:pPr>
      <w:r w:rsidRPr="00FF63D1">
        <w:rPr>
          <w:rFonts w:ascii="Times" w:hAnsi="Times" w:cs="Times"/>
          <w:noProof/>
        </w:rPr>
        <w:t>Section 2 addresses the higher costs for producing low-carbon products often faced by EIIs, using the example of steel and cement. For instance, low-carbon cement, costs approximately EUR 30 more per tonne than high-carbon cement, representing an average 20% premium that is often unaffordable for small-scale buyers such as individual homebuilders.</w:t>
      </w:r>
      <w:r w:rsidR="00020031" w:rsidRPr="00FF63D1">
        <w:rPr>
          <w:rFonts w:ascii="Times" w:hAnsi="Times" w:cs="Times"/>
          <w:noProof/>
          <w:vertAlign w:val="superscript"/>
        </w:rPr>
        <w:footnoteReference w:id="614"/>
      </w:r>
      <w:r w:rsidRPr="00FF63D1">
        <w:rPr>
          <w:rFonts w:ascii="Times" w:hAnsi="Times" w:cs="Times"/>
          <w:noProof/>
          <w:vertAlign w:val="superscript"/>
        </w:rPr>
        <w:t xml:space="preserve"> </w:t>
      </w:r>
      <w:r w:rsidRPr="00FF63D1">
        <w:rPr>
          <w:rFonts w:ascii="Times" w:hAnsi="Times" w:cs="Times"/>
          <w:noProof/>
        </w:rPr>
        <w:t>In the steel sector, some large customers, particularly in the automotive industry, have demonstrated a willingness to pay green premiums of EUR 300–400 per tonne when traceability and compliance with sustainability criteria can be ensured. However, outside of these early adopters, price sensitivity remains high, limiting demand for cleaner materials.</w:t>
      </w:r>
    </w:p>
    <w:p w14:paraId="57FDB2C1" w14:textId="77777777" w:rsidR="00020031" w:rsidRPr="00FF63D1" w:rsidRDefault="404A2814" w:rsidP="00E72B3D">
      <w:pPr>
        <w:spacing w:after="120"/>
        <w:rPr>
          <w:rFonts w:ascii="Times" w:hAnsi="Times" w:cs="Times"/>
          <w:noProof/>
        </w:rPr>
      </w:pPr>
      <w:r w:rsidRPr="00FF63D1">
        <w:rPr>
          <w:rFonts w:ascii="Times" w:hAnsi="Times" w:cs="Times"/>
          <w:noProof/>
        </w:rPr>
        <w:t>This price difference is also evidenced for other sectors such as chemicals, for which the use of decarbonisation technologies is expected to significantly increase operational expenditures (discounted OPEX estimated at EUR 1.86 trillion for the 2019–2050 period).</w:t>
      </w:r>
      <w:r w:rsidR="00020031" w:rsidRPr="00FF63D1">
        <w:rPr>
          <w:rStyle w:val="FootnoteReference"/>
          <w:rFonts w:ascii="Times" w:hAnsi="Times" w:cs="Times"/>
          <w:noProof/>
        </w:rPr>
        <w:footnoteReference w:id="615"/>
      </w:r>
      <w:r w:rsidRPr="00FF63D1">
        <w:rPr>
          <w:rFonts w:ascii="Times" w:hAnsi="Times" w:cs="Times"/>
          <w:noProof/>
        </w:rPr>
        <w:t xml:space="preserve"> This would result in significant cost differentials between low-carbon and conventional chemical products. For example, chemically recycled PET</w:t>
      </w:r>
      <w:r w:rsidR="00020031" w:rsidRPr="00FF63D1">
        <w:rPr>
          <w:rStyle w:val="FootnoteReference"/>
          <w:rFonts w:ascii="Times" w:hAnsi="Times" w:cs="Times"/>
          <w:noProof/>
        </w:rPr>
        <w:footnoteReference w:id="616"/>
      </w:r>
      <w:r w:rsidRPr="00FF63D1">
        <w:rPr>
          <w:rFonts w:ascii="Times" w:hAnsi="Times" w:cs="Times"/>
          <w:noProof/>
        </w:rPr>
        <w:t xml:space="preserve"> via solvolysis</w:t>
      </w:r>
      <w:r w:rsidR="00020031" w:rsidRPr="00FF63D1">
        <w:rPr>
          <w:rStyle w:val="FootnoteReference"/>
          <w:rFonts w:ascii="Times" w:hAnsi="Times" w:cs="Times"/>
          <w:noProof/>
        </w:rPr>
        <w:footnoteReference w:id="617"/>
      </w:r>
      <w:r w:rsidRPr="00FF63D1">
        <w:rPr>
          <w:rFonts w:ascii="Times" w:hAnsi="Times" w:cs="Times"/>
          <w:noProof/>
        </w:rPr>
        <w:t xml:space="preserve"> is estimated at EUR 2 100–2 200 per tonne, compared to approximately EUR 1 500 per tonne for food-grade virgin PET.</w:t>
      </w:r>
      <w:r w:rsidR="00020031" w:rsidRPr="00FF63D1">
        <w:rPr>
          <w:rStyle w:val="FootnoteReference"/>
          <w:rFonts w:ascii="Times" w:hAnsi="Times" w:cs="Times"/>
          <w:noProof/>
        </w:rPr>
        <w:footnoteReference w:id="618"/>
      </w:r>
      <w:r w:rsidRPr="00FF63D1">
        <w:rPr>
          <w:rFonts w:ascii="Times" w:hAnsi="Times" w:cs="Times"/>
          <w:noProof/>
        </w:rPr>
        <w:t xml:space="preserve"> </w:t>
      </w:r>
    </w:p>
    <w:p w14:paraId="3ABF7C3E" w14:textId="611BF4D5" w:rsidR="00020031" w:rsidRPr="00FF63D1" w:rsidRDefault="00020031" w:rsidP="00E72B3D">
      <w:pPr>
        <w:spacing w:after="120"/>
        <w:rPr>
          <w:rFonts w:ascii="Times" w:eastAsia="Times New Roman" w:hAnsi="Times" w:cs="Times"/>
          <w:noProof/>
        </w:rPr>
      </w:pPr>
      <w:r w:rsidRPr="00FF63D1">
        <w:rPr>
          <w:rFonts w:ascii="Times" w:eastAsia="Times New Roman" w:hAnsi="Times" w:cs="Times"/>
          <w:noProof/>
        </w:rPr>
        <w:t xml:space="preserve">This weak market response is further exacerbated by low consumer awareness, the absence of mandatory climate performance standards, and a lack of effective incentives. Currently, there are no binding rules </w:t>
      </w:r>
      <w:r w:rsidR="00744CBB">
        <w:rPr>
          <w:rFonts w:ascii="Times" w:eastAsia="Times New Roman" w:hAnsi="Times" w:cs="Times"/>
          <w:noProof/>
        </w:rPr>
        <w:t>at EU level</w:t>
      </w:r>
      <w:r w:rsidRPr="00FF63D1">
        <w:rPr>
          <w:rFonts w:ascii="Times" w:eastAsia="Times New Roman" w:hAnsi="Times" w:cs="Times"/>
          <w:noProof/>
        </w:rPr>
        <w:t xml:space="preserve"> requiring the use of low-carbon materials in most industrial sectors, nor is there a systematic approach to offset green premiums through public procurement or targeted support. </w:t>
      </w:r>
    </w:p>
    <w:p w14:paraId="5F9861EE" w14:textId="761661A6" w:rsidR="004679B8" w:rsidRPr="004679B8" w:rsidRDefault="004679B8" w:rsidP="00E72B3D">
      <w:pPr>
        <w:spacing w:after="120"/>
        <w:rPr>
          <w:rFonts w:ascii="Times" w:eastAsia="Times New Roman" w:hAnsi="Times" w:cs="Times"/>
          <w:b/>
          <w:bCs/>
          <w:noProof/>
        </w:rPr>
      </w:pPr>
      <w:r w:rsidRPr="004679B8">
        <w:rPr>
          <w:rFonts w:ascii="Times" w:eastAsia="Times New Roman" w:hAnsi="Times" w:cs="Times"/>
          <w:b/>
          <w:bCs/>
          <w:noProof/>
        </w:rPr>
        <w:t>EU practice</w:t>
      </w:r>
    </w:p>
    <w:p w14:paraId="237A5D76" w14:textId="6F22581D" w:rsidR="00F4222A" w:rsidRPr="00F4222A" w:rsidRDefault="00F4222A" w:rsidP="00E72B3D">
      <w:pPr>
        <w:spacing w:after="120"/>
        <w:rPr>
          <w:rFonts w:ascii="Times" w:eastAsia="Times New Roman" w:hAnsi="Times" w:cs="Times"/>
          <w:noProof/>
        </w:rPr>
      </w:pPr>
      <w:r w:rsidRPr="00F4222A">
        <w:rPr>
          <w:rFonts w:ascii="Times" w:eastAsia="Times New Roman" w:hAnsi="Times" w:cs="Times"/>
          <w:noProof/>
        </w:rPr>
        <w:t>Across the EU, several Member States have introduced national or regional initiatives to stimulate demand for low-carbon industrial products through public procurement and targeted incentives, yet these approaches remain fragmented and call for greater harmonisation.</w:t>
      </w:r>
    </w:p>
    <w:p w14:paraId="28604D36" w14:textId="30C4A696" w:rsidR="00F4222A" w:rsidRPr="00F4222A" w:rsidRDefault="03AA2EA0" w:rsidP="00E72B3D">
      <w:pPr>
        <w:spacing w:after="120"/>
        <w:rPr>
          <w:rFonts w:ascii="Times" w:eastAsia="Times New Roman" w:hAnsi="Times" w:cs="Times"/>
          <w:noProof/>
        </w:rPr>
      </w:pPr>
      <w:r w:rsidRPr="00C903F3">
        <w:rPr>
          <w:rFonts w:ascii="Times" w:eastAsia="Times New Roman" w:hAnsi="Times" w:cs="Times"/>
          <w:b/>
          <w:bCs/>
          <w:noProof/>
        </w:rPr>
        <w:t>France</w:t>
      </w:r>
      <w:r w:rsidRPr="00F4222A">
        <w:rPr>
          <w:rFonts w:ascii="Times" w:eastAsia="Times New Roman" w:hAnsi="Times" w:cs="Times"/>
          <w:noProof/>
        </w:rPr>
        <w:t xml:space="preserve"> provides an additional </w:t>
      </w:r>
      <w:r w:rsidR="50E55828">
        <w:rPr>
          <w:rFonts w:ascii="Times" w:eastAsia="Times New Roman" w:hAnsi="Times" w:cs="Times"/>
          <w:noProof/>
        </w:rPr>
        <w:t>EUR</w:t>
      </w:r>
      <w:r w:rsidRPr="00F4222A">
        <w:rPr>
          <w:rFonts w:ascii="Times" w:eastAsia="Times New Roman" w:hAnsi="Times" w:cs="Times"/>
          <w:noProof/>
        </w:rPr>
        <w:t xml:space="preserve"> 1</w:t>
      </w:r>
      <w:r w:rsidR="217EA473">
        <w:rPr>
          <w:rFonts w:ascii="Times" w:eastAsia="Times New Roman" w:hAnsi="Times" w:cs="Times"/>
          <w:noProof/>
        </w:rPr>
        <w:t xml:space="preserve"> </w:t>
      </w:r>
      <w:r w:rsidRPr="00F4222A">
        <w:rPr>
          <w:rFonts w:ascii="Times" w:eastAsia="Times New Roman" w:hAnsi="Times" w:cs="Times"/>
          <w:noProof/>
        </w:rPr>
        <w:t>000 ecological bonus for</w:t>
      </w:r>
      <w:r w:rsidR="39EE4AD2">
        <w:rPr>
          <w:rFonts w:ascii="Times" w:eastAsia="Times New Roman" w:hAnsi="Times" w:cs="Times"/>
          <w:noProof/>
        </w:rPr>
        <w:t xml:space="preserve"> EVs</w:t>
      </w:r>
      <w:r w:rsidRPr="00F4222A" w:rsidDel="003D0422">
        <w:rPr>
          <w:rFonts w:ascii="Times" w:eastAsia="Times New Roman" w:hAnsi="Times" w:cs="Times"/>
          <w:noProof/>
        </w:rPr>
        <w:t xml:space="preserve"> </w:t>
      </w:r>
      <w:r w:rsidRPr="00F4222A">
        <w:rPr>
          <w:rFonts w:ascii="Times" w:eastAsia="Times New Roman" w:hAnsi="Times" w:cs="Times"/>
          <w:noProof/>
        </w:rPr>
        <w:t>assembled in Europe and equipped with a European battery, directly linking green incentives to local production.</w:t>
      </w:r>
      <w:r w:rsidR="0061007D" w:rsidRPr="00FF63D1">
        <w:rPr>
          <w:rStyle w:val="FootnoteReference"/>
          <w:rFonts w:cs="Times New Roman"/>
          <w:noProof/>
        </w:rPr>
        <w:footnoteReference w:id="619"/>
      </w:r>
      <w:r w:rsidRPr="00F4222A">
        <w:rPr>
          <w:rFonts w:ascii="Times" w:eastAsia="Times New Roman" w:hAnsi="Times" w:cs="Times"/>
          <w:noProof/>
        </w:rPr>
        <w:t xml:space="preserve"> </w:t>
      </w:r>
      <w:r w:rsidRPr="00C903F3">
        <w:rPr>
          <w:rFonts w:ascii="Times" w:eastAsia="Times New Roman" w:hAnsi="Times" w:cs="Times"/>
          <w:b/>
          <w:bCs/>
          <w:noProof/>
        </w:rPr>
        <w:t>Germany</w:t>
      </w:r>
      <w:r w:rsidRPr="00F4222A">
        <w:rPr>
          <w:rFonts w:ascii="Times" w:eastAsia="Times New Roman" w:hAnsi="Times" w:cs="Times"/>
          <w:noProof/>
        </w:rPr>
        <w:t xml:space="preserve"> has integrated strict carbon-intensity thresholds for steel and cement in major infrastructure projects such as the U5 metro line</w:t>
      </w:r>
      <w:r w:rsidR="4ABC6C64">
        <w:rPr>
          <w:rFonts w:ascii="Times" w:eastAsia="Times New Roman" w:hAnsi="Times" w:cs="Times"/>
          <w:noProof/>
        </w:rPr>
        <w:t xml:space="preserve"> in Hamburg</w:t>
      </w:r>
      <w:r w:rsidR="000965CE" w:rsidRPr="00FF63D1">
        <w:rPr>
          <w:rStyle w:val="FootnoteReference"/>
          <w:rFonts w:cs="Times New Roman"/>
          <w:noProof/>
        </w:rPr>
        <w:footnoteReference w:id="620"/>
      </w:r>
      <w:r w:rsidRPr="00F4222A">
        <w:rPr>
          <w:rFonts w:ascii="Times" w:eastAsia="Times New Roman" w:hAnsi="Times" w:cs="Times"/>
          <w:noProof/>
        </w:rPr>
        <w:t xml:space="preserve">, achieving substantial emission reductions while signalling clear demand for low-carbon materials. </w:t>
      </w:r>
      <w:r w:rsidR="6C383D5A" w:rsidRPr="00FF63D1">
        <w:rPr>
          <w:rFonts w:cs="Times New Roman"/>
          <w:noProof/>
        </w:rPr>
        <w:t>Overall, the use of low</w:t>
      </w:r>
      <w:r w:rsidR="00E41BFE">
        <w:rPr>
          <w:rFonts w:cs="Times New Roman"/>
          <w:noProof/>
        </w:rPr>
        <w:t>-</w:t>
      </w:r>
      <w:r w:rsidR="6C383D5A" w:rsidRPr="00FF63D1">
        <w:rPr>
          <w:rFonts w:cs="Times New Roman"/>
          <w:noProof/>
        </w:rPr>
        <w:t>carbon steel is a requirement in all tenders, with a maximum carbon intensity of 500 kg CO</w:t>
      </w:r>
      <w:r w:rsidR="6C383D5A" w:rsidRPr="003A01C5">
        <w:rPr>
          <w:rFonts w:cs="Times New Roman"/>
          <w:noProof/>
          <w:vertAlign w:val="subscript"/>
        </w:rPr>
        <w:t>2</w:t>
      </w:r>
      <w:r w:rsidR="6C383D5A" w:rsidRPr="00FF63D1">
        <w:rPr>
          <w:rFonts w:cs="Times New Roman"/>
          <w:noProof/>
        </w:rPr>
        <w:t>/tonne. For cement, the strategy focuses on using concrete with low-clinker cement, anticipating the further development of low</w:t>
      </w:r>
      <w:r w:rsidR="00E41BFE">
        <w:rPr>
          <w:rFonts w:cs="Times New Roman"/>
          <w:noProof/>
        </w:rPr>
        <w:t>-</w:t>
      </w:r>
      <w:r w:rsidR="6C383D5A" w:rsidRPr="00FF63D1">
        <w:rPr>
          <w:rFonts w:cs="Times New Roman"/>
          <w:noProof/>
        </w:rPr>
        <w:t xml:space="preserve">carbon cement (including CCS). </w:t>
      </w:r>
      <w:r w:rsidR="00CF1449" w:rsidRPr="00FF63D1">
        <w:rPr>
          <w:rStyle w:val="FootnoteReference"/>
          <w:rFonts w:cs="Times New Roman"/>
          <w:noProof/>
        </w:rPr>
        <w:footnoteReference w:id="621"/>
      </w:r>
      <w:r w:rsidR="6C383D5A" w:rsidRPr="003A01C5">
        <w:rPr>
          <w:noProof/>
        </w:rPr>
        <w:t xml:space="preserve"> </w:t>
      </w:r>
      <w:r w:rsidR="6C383D5A" w:rsidRPr="00FF63D1">
        <w:rPr>
          <w:rFonts w:cs="Times New Roman"/>
          <w:noProof/>
        </w:rPr>
        <w:t>The project plans to use 100% green concrete and 75% green steel and will require approximately 4 million cubic meters of concrete and 600</w:t>
      </w:r>
      <w:r w:rsidR="217EA473">
        <w:rPr>
          <w:rFonts w:cs="Times New Roman"/>
          <w:noProof/>
        </w:rPr>
        <w:t xml:space="preserve"> </w:t>
      </w:r>
      <w:r w:rsidR="6C383D5A" w:rsidRPr="00FF63D1">
        <w:rPr>
          <w:rFonts w:cs="Times New Roman"/>
          <w:noProof/>
        </w:rPr>
        <w:t>000 ton</w:t>
      </w:r>
      <w:r w:rsidR="4FECA9E4">
        <w:rPr>
          <w:rFonts w:cs="Times New Roman"/>
          <w:noProof/>
        </w:rPr>
        <w:t>ne</w:t>
      </w:r>
      <w:r w:rsidR="6C383D5A" w:rsidRPr="00FF63D1">
        <w:rPr>
          <w:rFonts w:cs="Times New Roman"/>
          <w:noProof/>
        </w:rPr>
        <w:t>s of steel.</w:t>
      </w:r>
      <w:r w:rsidR="00CF1449" w:rsidRPr="00FF63D1">
        <w:rPr>
          <w:rStyle w:val="FootnoteReference"/>
          <w:rFonts w:cs="Times New Roman"/>
          <w:noProof/>
        </w:rPr>
        <w:footnoteReference w:id="622"/>
      </w:r>
      <w:r w:rsidR="6C383D5A" w:rsidRPr="00FF63D1">
        <w:rPr>
          <w:rFonts w:cs="Times New Roman"/>
          <w:noProof/>
        </w:rPr>
        <w:t xml:space="preserve"> It is thereby sending a strong signal to the industry regarding the demand for low</w:t>
      </w:r>
      <w:r w:rsidR="00E41BFE">
        <w:rPr>
          <w:rFonts w:cs="Times New Roman"/>
          <w:noProof/>
        </w:rPr>
        <w:t>-</w:t>
      </w:r>
      <w:r w:rsidR="6C383D5A" w:rsidRPr="00FF63D1">
        <w:rPr>
          <w:rFonts w:cs="Times New Roman"/>
          <w:noProof/>
        </w:rPr>
        <w:t xml:space="preserve">carbon industrial products. </w:t>
      </w:r>
      <w:r w:rsidRPr="00F4222A">
        <w:rPr>
          <w:rFonts w:ascii="Times" w:eastAsia="Times New Roman" w:hAnsi="Times" w:cs="Times"/>
          <w:noProof/>
        </w:rPr>
        <w:t xml:space="preserve">Berlin’s procurement regulation further mandates environmental criteria for public tenders above </w:t>
      </w:r>
      <w:r w:rsidR="50E55828">
        <w:rPr>
          <w:rFonts w:ascii="Times" w:eastAsia="Times New Roman" w:hAnsi="Times" w:cs="Times"/>
          <w:noProof/>
        </w:rPr>
        <w:t xml:space="preserve">EUR </w:t>
      </w:r>
      <w:r w:rsidRPr="00F4222A">
        <w:rPr>
          <w:rFonts w:ascii="Times" w:eastAsia="Times New Roman" w:hAnsi="Times" w:cs="Times"/>
          <w:noProof/>
        </w:rPr>
        <w:t>50</w:t>
      </w:r>
      <w:r w:rsidR="217EA473">
        <w:rPr>
          <w:rFonts w:ascii="Times" w:eastAsia="Times New Roman" w:hAnsi="Times" w:cs="Times"/>
          <w:noProof/>
        </w:rPr>
        <w:t xml:space="preserve"> </w:t>
      </w:r>
      <w:r w:rsidRPr="00F4222A">
        <w:rPr>
          <w:rFonts w:ascii="Times" w:eastAsia="Times New Roman" w:hAnsi="Times" w:cs="Times"/>
          <w:noProof/>
        </w:rPr>
        <w:t>000, leading to both emission cuts and significant cost savings.</w:t>
      </w:r>
      <w:r w:rsidR="6C383D5A" w:rsidRPr="00CF1449">
        <w:rPr>
          <w:rFonts w:cs="Times New Roman"/>
          <w:noProof/>
        </w:rPr>
        <w:t xml:space="preserve"> </w:t>
      </w:r>
      <w:r w:rsidR="6C383D5A" w:rsidRPr="00FF63D1">
        <w:rPr>
          <w:rFonts w:cs="Times New Roman"/>
          <w:noProof/>
        </w:rPr>
        <w:t xml:space="preserve">Studies have shown that the State of Berlin has managed to reduce its GHG emissions by 47% and that green public procurement has led to an annual cost reduction of 3.8% (approximately </w:t>
      </w:r>
      <w:r w:rsidR="50E55828">
        <w:rPr>
          <w:rFonts w:cs="Times New Roman"/>
          <w:noProof/>
        </w:rPr>
        <w:t xml:space="preserve">EUR </w:t>
      </w:r>
      <w:r w:rsidR="6C383D5A" w:rsidRPr="00FF63D1">
        <w:rPr>
          <w:rFonts w:cs="Times New Roman"/>
          <w:noProof/>
        </w:rPr>
        <w:t>38 million annually),</w:t>
      </w:r>
      <w:r w:rsidR="00CF1449" w:rsidRPr="00FF63D1">
        <w:rPr>
          <w:rStyle w:val="FootnoteReference"/>
          <w:rFonts w:cs="Times New Roman"/>
          <w:noProof/>
        </w:rPr>
        <w:footnoteReference w:id="623"/>
      </w:r>
      <w:r w:rsidR="6C383D5A" w:rsidRPr="00FF63D1">
        <w:rPr>
          <w:rFonts w:cs="Times New Roman"/>
          <w:noProof/>
        </w:rPr>
        <w:t xml:space="preserve"> mostly coming from the use of recycled materials such as concrete or road surface materials.</w:t>
      </w:r>
      <w:r w:rsidR="00CF1449" w:rsidRPr="00FF63D1">
        <w:rPr>
          <w:rStyle w:val="FootnoteReference"/>
          <w:rFonts w:cs="Times New Roman"/>
          <w:noProof/>
        </w:rPr>
        <w:footnoteReference w:id="624"/>
      </w:r>
    </w:p>
    <w:p w14:paraId="53FCE365" w14:textId="27904432" w:rsidR="00674511" w:rsidRDefault="03AA2EA0" w:rsidP="00E72B3D">
      <w:pPr>
        <w:spacing w:after="120"/>
        <w:rPr>
          <w:rFonts w:ascii="Times" w:eastAsia="Times New Roman" w:hAnsi="Times" w:cs="Times"/>
          <w:noProof/>
        </w:rPr>
      </w:pPr>
      <w:r w:rsidRPr="00F4222A">
        <w:rPr>
          <w:rFonts w:ascii="Times" w:eastAsia="Times New Roman" w:hAnsi="Times" w:cs="Times"/>
          <w:noProof/>
        </w:rPr>
        <w:t xml:space="preserve">In the </w:t>
      </w:r>
      <w:r w:rsidRPr="00C903F3">
        <w:rPr>
          <w:rFonts w:ascii="Times" w:eastAsia="Times New Roman" w:hAnsi="Times" w:cs="Times"/>
          <w:b/>
          <w:bCs/>
          <w:noProof/>
        </w:rPr>
        <w:t>Netherlands</w:t>
      </w:r>
      <w:r w:rsidRPr="00F4222A">
        <w:rPr>
          <w:rFonts w:ascii="Times" w:eastAsia="Times New Roman" w:hAnsi="Times" w:cs="Times"/>
          <w:noProof/>
        </w:rPr>
        <w:t>, green and circular procurement has been applied to large infrastructure projects</w:t>
      </w:r>
      <w:r w:rsidR="00CF1449" w:rsidRPr="00FF63D1">
        <w:rPr>
          <w:rStyle w:val="FootnoteReference"/>
          <w:rFonts w:cs="Times New Roman"/>
          <w:noProof/>
        </w:rPr>
        <w:footnoteReference w:id="625"/>
      </w:r>
      <w:r w:rsidR="6C383D5A" w:rsidRPr="00FF63D1">
        <w:rPr>
          <w:rFonts w:cs="Times New Roman"/>
          <w:noProof/>
        </w:rPr>
        <w:t xml:space="preserve"> </w:t>
      </w:r>
      <w:r w:rsidRPr="00F4222A">
        <w:rPr>
          <w:rFonts w:ascii="Times" w:eastAsia="Times New Roman" w:hAnsi="Times" w:cs="Times"/>
          <w:noProof/>
        </w:rPr>
        <w:t>such as the Cruquius Bridge renewal, using lifecycle assessment tools</w:t>
      </w:r>
      <w:r w:rsidR="00CF1449" w:rsidRPr="00FF63D1">
        <w:rPr>
          <w:rStyle w:val="FootnoteReference"/>
          <w:rFonts w:cs="Times New Roman"/>
          <w:noProof/>
        </w:rPr>
        <w:footnoteReference w:id="626"/>
      </w:r>
      <w:r w:rsidRPr="00F4222A">
        <w:rPr>
          <w:rFonts w:ascii="Times" w:eastAsia="Times New Roman" w:hAnsi="Times" w:cs="Times"/>
          <w:noProof/>
        </w:rPr>
        <w:t xml:space="preserve"> and environmental cost indicators to drive sustainability and lower long-term maintenance costs</w:t>
      </w:r>
      <w:r w:rsidR="00B802DC">
        <w:rPr>
          <w:rFonts w:ascii="Times" w:eastAsia="Times New Roman" w:hAnsi="Times" w:cs="Times"/>
          <w:noProof/>
        </w:rPr>
        <w:t>.</w:t>
      </w:r>
      <w:r w:rsidR="00CF1449" w:rsidRPr="00FF63D1">
        <w:rPr>
          <w:rStyle w:val="FootnoteReference"/>
          <w:rFonts w:cs="Times New Roman"/>
          <w:noProof/>
        </w:rPr>
        <w:footnoteReference w:id="627"/>
      </w:r>
      <w:r w:rsidRPr="00F4222A">
        <w:rPr>
          <w:rFonts w:ascii="Times" w:eastAsia="Times New Roman" w:hAnsi="Times" w:cs="Times"/>
          <w:noProof/>
        </w:rPr>
        <w:t xml:space="preserve"> </w:t>
      </w:r>
      <w:r w:rsidRPr="00C903F3">
        <w:rPr>
          <w:rFonts w:ascii="Times" w:eastAsia="Times New Roman" w:hAnsi="Times" w:cs="Times"/>
          <w:b/>
          <w:bCs/>
          <w:noProof/>
        </w:rPr>
        <w:t>Spain’s</w:t>
      </w:r>
      <w:r w:rsidRPr="00F4222A">
        <w:rPr>
          <w:rFonts w:ascii="Times" w:eastAsia="Times New Roman" w:hAnsi="Times" w:cs="Times"/>
          <w:noProof/>
        </w:rPr>
        <w:t xml:space="preserve"> Catalonia region</w:t>
      </w:r>
      <w:r w:rsidR="00CF1449" w:rsidRPr="00FF63D1">
        <w:rPr>
          <w:rStyle w:val="FootnoteReference"/>
          <w:rFonts w:cs="Times New Roman"/>
          <w:noProof/>
        </w:rPr>
        <w:footnoteReference w:id="628"/>
      </w:r>
      <w:r w:rsidRPr="00F4222A">
        <w:rPr>
          <w:rFonts w:ascii="Times" w:eastAsia="Times New Roman" w:hAnsi="Times" w:cs="Times"/>
          <w:noProof/>
        </w:rPr>
        <w:t xml:space="preserve"> and </w:t>
      </w:r>
      <w:r w:rsidRPr="00C903F3">
        <w:rPr>
          <w:rFonts w:ascii="Times" w:eastAsia="Times New Roman" w:hAnsi="Times" w:cs="Times"/>
          <w:b/>
          <w:bCs/>
          <w:noProof/>
        </w:rPr>
        <w:t>Italy</w:t>
      </w:r>
      <w:r w:rsidR="00CF1449" w:rsidRPr="00FF63D1">
        <w:rPr>
          <w:rStyle w:val="FootnoteReference"/>
          <w:rFonts w:cs="Times New Roman"/>
          <w:noProof/>
        </w:rPr>
        <w:footnoteReference w:id="629"/>
      </w:r>
      <w:r w:rsidRPr="00F4222A">
        <w:rPr>
          <w:rFonts w:ascii="Times" w:eastAsia="Times New Roman" w:hAnsi="Times" w:cs="Times"/>
          <w:noProof/>
        </w:rPr>
        <w:t xml:space="preserve"> have introduced broad green public procurement frameworks, embedding environmental clauses in a growing share of contracts.</w:t>
      </w:r>
    </w:p>
    <w:p w14:paraId="67F1A4A5" w14:textId="4631B06A" w:rsidR="0061007D" w:rsidRDefault="0061007D" w:rsidP="00A24FF8">
      <w:pPr>
        <w:spacing w:after="120"/>
        <w:rPr>
          <w:rFonts w:ascii="Times" w:eastAsia="Times New Roman" w:hAnsi="Times" w:cs="Times"/>
          <w:noProof/>
        </w:rPr>
      </w:pPr>
      <w:r w:rsidRPr="0061007D">
        <w:rPr>
          <w:rFonts w:ascii="Times" w:eastAsia="Times New Roman" w:hAnsi="Times" w:cs="Times"/>
          <w:noProof/>
        </w:rPr>
        <w:t>While these measures demonstrate growing national efforts to reward low-carbon production, their varying criteria and scope risk creating fragmentation across the Single Market, underlining the need for greater coherence and harmonisation.</w:t>
      </w:r>
    </w:p>
    <w:p w14:paraId="19EAAB94" w14:textId="37611808" w:rsidR="004679B8" w:rsidRPr="004679B8" w:rsidRDefault="004679B8" w:rsidP="00A24FF8">
      <w:pPr>
        <w:spacing w:after="120"/>
        <w:rPr>
          <w:rFonts w:ascii="Times" w:eastAsia="Times New Roman" w:hAnsi="Times" w:cs="Times"/>
          <w:b/>
          <w:bCs/>
          <w:noProof/>
        </w:rPr>
      </w:pPr>
      <w:r w:rsidRPr="004679B8">
        <w:rPr>
          <w:rFonts w:ascii="Times" w:eastAsia="Times New Roman" w:hAnsi="Times" w:cs="Times"/>
          <w:b/>
          <w:bCs/>
          <w:noProof/>
        </w:rPr>
        <w:t>Third countries</w:t>
      </w:r>
    </w:p>
    <w:p w14:paraId="413D6E68" w14:textId="376C2814" w:rsidR="00515A75" w:rsidRDefault="7207197D" w:rsidP="00A24FF8">
      <w:pPr>
        <w:spacing w:after="120"/>
        <w:rPr>
          <w:rFonts w:cs="Times New Roman"/>
          <w:noProof/>
        </w:rPr>
      </w:pPr>
      <w:r w:rsidRPr="000702E8">
        <w:rPr>
          <w:rFonts w:ascii="Times" w:eastAsia="Times New Roman" w:hAnsi="Times" w:cs="Times"/>
          <w:noProof/>
        </w:rPr>
        <w:t xml:space="preserve">Several major </w:t>
      </w:r>
      <w:r w:rsidR="6C383D5A">
        <w:rPr>
          <w:rFonts w:ascii="Times" w:eastAsia="Times New Roman" w:hAnsi="Times" w:cs="Times"/>
          <w:noProof/>
        </w:rPr>
        <w:t>third country</w:t>
      </w:r>
      <w:r w:rsidRPr="000702E8">
        <w:rPr>
          <w:rFonts w:ascii="Times" w:eastAsia="Times New Roman" w:hAnsi="Times" w:cs="Times"/>
          <w:noProof/>
        </w:rPr>
        <w:t xml:space="preserve"> economies have taken targeted action to overcome the limited market willingness to pay a premium for low-carbon industrial products.</w:t>
      </w:r>
      <w:r w:rsidR="7041FE5E">
        <w:rPr>
          <w:rFonts w:ascii="Times" w:eastAsia="Times New Roman" w:hAnsi="Times" w:cs="Times"/>
          <w:noProof/>
        </w:rPr>
        <w:t xml:space="preserve"> </w:t>
      </w:r>
      <w:r w:rsidR="05DE4624" w:rsidRPr="008D60DD">
        <w:rPr>
          <w:noProof/>
          <w:color w:val="000000" w:themeColor="text1"/>
        </w:rPr>
        <w:t xml:space="preserve">The </w:t>
      </w:r>
      <w:r w:rsidR="05DE4624" w:rsidRPr="00C903F3">
        <w:rPr>
          <w:b/>
          <w:bCs/>
          <w:noProof/>
          <w:color w:val="000000" w:themeColor="text1"/>
        </w:rPr>
        <w:t>United States</w:t>
      </w:r>
      <w:r w:rsidR="05DE4624" w:rsidRPr="008D60DD">
        <w:rPr>
          <w:noProof/>
          <w:color w:val="000000" w:themeColor="text1"/>
        </w:rPr>
        <w:t xml:space="preserve"> has implemented the Federal Buy Clean Initiative, requiring the use of low-carbon steel, concrete, asphalt, and flat glass in federal procurement, which together represent nearly all materials used in public </w:t>
      </w:r>
      <w:r w:rsidR="05DE4624" w:rsidRPr="00A24FF8">
        <w:rPr>
          <w:rFonts w:ascii="Times" w:eastAsia="Times New Roman" w:hAnsi="Times" w:cs="Times"/>
          <w:noProof/>
        </w:rPr>
        <w:t>construction</w:t>
      </w:r>
      <w:r w:rsidR="05DE4624" w:rsidRPr="008D60DD">
        <w:rPr>
          <w:noProof/>
          <w:color w:val="000000" w:themeColor="text1"/>
        </w:rPr>
        <w:t>. The initiative has already driven the development of over 17</w:t>
      </w:r>
      <w:r w:rsidR="217EA473">
        <w:rPr>
          <w:noProof/>
          <w:color w:val="000000" w:themeColor="text1"/>
        </w:rPr>
        <w:t xml:space="preserve"> </w:t>
      </w:r>
      <w:r w:rsidR="05DE4624" w:rsidRPr="008D60DD">
        <w:rPr>
          <w:noProof/>
          <w:color w:val="000000" w:themeColor="text1"/>
        </w:rPr>
        <w:t>000 new Environmental Product Declarations and is estimated to reduce emissions in the relevant sectors by up to 10% annually, with even greater reductions expected once private-sector spillovers are included.</w:t>
      </w:r>
      <w:r w:rsidR="00515A75" w:rsidRPr="00FF63D1">
        <w:rPr>
          <w:rStyle w:val="FootnoteReference"/>
          <w:rFonts w:cs="Times New Roman"/>
          <w:noProof/>
        </w:rPr>
        <w:footnoteReference w:id="630"/>
      </w:r>
      <w:r w:rsidR="7041FE5E" w:rsidRPr="00FF63D1">
        <w:rPr>
          <w:rFonts w:cs="Times New Roman"/>
          <w:noProof/>
        </w:rPr>
        <w:t xml:space="preserve"> </w:t>
      </w:r>
    </w:p>
    <w:p w14:paraId="5FD6B195" w14:textId="2E32FA3B" w:rsidR="00515A75" w:rsidRDefault="016E4360" w:rsidP="00A24FF8">
      <w:pPr>
        <w:spacing w:after="120"/>
        <w:rPr>
          <w:noProof/>
        </w:rPr>
      </w:pPr>
      <w:r w:rsidRPr="005A5348">
        <w:rPr>
          <w:b/>
          <w:bCs/>
          <w:noProof/>
          <w:color w:val="000000" w:themeColor="text1"/>
        </w:rPr>
        <w:t>Canada</w:t>
      </w:r>
      <w:r w:rsidRPr="008D60DD">
        <w:rPr>
          <w:noProof/>
          <w:color w:val="000000" w:themeColor="text1"/>
        </w:rPr>
        <w:t xml:space="preserve"> has followed a similar path, progressively linking access to public contracts to the use of domestic and low-carbon materials. Its 2025 Interim Reciprocal Procurement and Buy Canadian policies</w:t>
      </w:r>
      <w:r w:rsidR="001901C8" w:rsidRPr="00FF63D1">
        <w:rPr>
          <w:rStyle w:val="FootnoteReference"/>
          <w:noProof/>
        </w:rPr>
        <w:footnoteReference w:id="631"/>
      </w:r>
      <w:r w:rsidRPr="008D60DD">
        <w:rPr>
          <w:noProof/>
          <w:color w:val="000000" w:themeColor="text1"/>
        </w:rPr>
        <w:t xml:space="preserve"> prioritise Canadian-produced steel, aluminium, and softwood lumber in federally funded projects, using public procurement as a driver of clean and resilient industrial capacity</w:t>
      </w:r>
      <w:r w:rsidR="7041FE5E" w:rsidRPr="00FF63D1">
        <w:rPr>
          <w:noProof/>
        </w:rPr>
        <w:t>.</w:t>
      </w:r>
      <w:r w:rsidR="00515A75" w:rsidRPr="00FF63D1">
        <w:rPr>
          <w:rStyle w:val="FootnoteReference"/>
          <w:noProof/>
        </w:rPr>
        <w:footnoteReference w:id="632"/>
      </w:r>
    </w:p>
    <w:p w14:paraId="7D7658AE" w14:textId="77777777" w:rsidR="00790108" w:rsidRDefault="57205E49" w:rsidP="00A24FF8">
      <w:pPr>
        <w:spacing w:after="120"/>
        <w:rPr>
          <w:noProof/>
        </w:rPr>
      </w:pPr>
      <w:r w:rsidRPr="1A2A8689">
        <w:rPr>
          <w:noProof/>
          <w:color w:val="000000" w:themeColor="text1"/>
        </w:rPr>
        <w:t xml:space="preserve">In </w:t>
      </w:r>
      <w:r w:rsidRPr="1A2A8689">
        <w:rPr>
          <w:b/>
          <w:bCs/>
          <w:noProof/>
          <w:color w:val="000000" w:themeColor="text1"/>
        </w:rPr>
        <w:t>India</w:t>
      </w:r>
      <w:r w:rsidRPr="1A2A8689">
        <w:rPr>
          <w:noProof/>
          <w:color w:val="000000" w:themeColor="text1"/>
        </w:rPr>
        <w:t>, the government strengthened its Domestically Manufactured Iron &amp; Steel Products Policy in 2025 to introduce mandatory local-content requirements in public procurement above a set value threshold</w:t>
      </w:r>
      <w:r w:rsidR="00790108" w:rsidRPr="00FF63D1">
        <w:rPr>
          <w:rStyle w:val="FootnoteReference"/>
          <w:noProof/>
        </w:rPr>
        <w:footnoteReference w:id="633"/>
      </w:r>
      <w:r w:rsidRPr="1A2A8689">
        <w:rPr>
          <w:noProof/>
          <w:color w:val="000000" w:themeColor="text1"/>
        </w:rPr>
        <w:t>. This complements the broader Public Procurement Order and the Production Linked Incentive (PLI) Scheme aimed at encouraging localisation, technology development, and decarbonisation in strategic sectors such as automotive and steel</w:t>
      </w:r>
      <w:r w:rsidR="7041FE5E" w:rsidRPr="00FF63D1">
        <w:rPr>
          <w:noProof/>
        </w:rPr>
        <w:t>.</w:t>
      </w:r>
      <w:r w:rsidR="00515A75" w:rsidRPr="00FF63D1">
        <w:rPr>
          <w:rStyle w:val="FootnoteReference"/>
          <w:noProof/>
        </w:rPr>
        <w:footnoteReference w:id="634"/>
      </w:r>
    </w:p>
    <w:p w14:paraId="319A85A6" w14:textId="15659DD3" w:rsidR="006A6529" w:rsidRDefault="03B3931B" w:rsidP="00A24FF8">
      <w:pPr>
        <w:spacing w:after="120"/>
        <w:rPr>
          <w:bCs/>
          <w:noProof/>
          <w:color w:val="000000" w:themeColor="text1"/>
        </w:rPr>
      </w:pPr>
      <w:r w:rsidRPr="1A2A8689">
        <w:rPr>
          <w:noProof/>
          <w:color w:val="000000" w:themeColor="text1"/>
        </w:rPr>
        <w:t xml:space="preserve">In May 2024, </w:t>
      </w:r>
      <w:r w:rsidRPr="1A2A8689">
        <w:rPr>
          <w:b/>
          <w:bCs/>
          <w:noProof/>
          <w:color w:val="000000" w:themeColor="text1"/>
        </w:rPr>
        <w:t>Indonesia</w:t>
      </w:r>
      <w:r w:rsidRPr="1A2A8689">
        <w:rPr>
          <w:noProof/>
          <w:color w:val="000000" w:themeColor="text1"/>
        </w:rPr>
        <w:t xml:space="preserve"> adopted Presidential Regulation No. 46 of 2025 mandating that all government entities and state-owned enterprises prioritise domestic products with at least 25% local content in procurement and infrastructure projects. The measure seeks to strengthen the country’s manufacturing base, reduce reliance on imports, and leverage public spending to build industrial resilience, addressing the subproblem of weak alignment of public procurement with strategic autonomy and industrial competitiveness objectives under the driver Public demand and procurement.</w:t>
      </w:r>
      <w:r w:rsidR="00D345A1" w:rsidRPr="1A2A8689">
        <w:rPr>
          <w:rStyle w:val="FootnoteReference"/>
          <w:noProof/>
          <w:color w:val="000000" w:themeColor="text1"/>
        </w:rPr>
        <w:footnoteReference w:id="635"/>
      </w:r>
    </w:p>
    <w:p w14:paraId="3EEB0C48" w14:textId="56D674AB" w:rsidR="00515A75" w:rsidRDefault="57205E49" w:rsidP="00A24FF8">
      <w:pPr>
        <w:spacing w:after="120"/>
        <w:rPr>
          <w:noProof/>
        </w:rPr>
      </w:pPr>
      <w:r w:rsidRPr="1A2A8689">
        <w:rPr>
          <w:noProof/>
          <w:color w:val="000000" w:themeColor="text1"/>
        </w:rPr>
        <w:t xml:space="preserve">Finally, </w:t>
      </w:r>
      <w:r w:rsidR="7041FE5E" w:rsidRPr="009C72E8">
        <w:rPr>
          <w:b/>
          <w:bCs/>
          <w:noProof/>
        </w:rPr>
        <w:t>China’s</w:t>
      </w:r>
      <w:r w:rsidR="7041FE5E" w:rsidRPr="00FF63D1">
        <w:rPr>
          <w:noProof/>
        </w:rPr>
        <w:t xml:space="preserve"> subsidies, price and technical advantage, and overcapacity in parts of the industry keep Chinese vehicles and components cost-competitive despite shipping costs, locali</w:t>
      </w:r>
      <w:r w:rsidR="74D7DE92">
        <w:rPr>
          <w:noProof/>
        </w:rPr>
        <w:t>sation</w:t>
      </w:r>
      <w:r w:rsidR="7041FE5E" w:rsidRPr="00FF63D1">
        <w:rPr>
          <w:noProof/>
        </w:rPr>
        <w:t xml:space="preserve"> advantages, and trade barriers</w:t>
      </w:r>
      <w:r w:rsidR="00B85730">
        <w:rPr>
          <w:noProof/>
        </w:rPr>
        <w:t>.</w:t>
      </w:r>
      <w:r w:rsidR="00515A75" w:rsidRPr="00FF63D1">
        <w:rPr>
          <w:rStyle w:val="FootnoteReference"/>
          <w:noProof/>
        </w:rPr>
        <w:footnoteReference w:id="636"/>
      </w:r>
      <w:r w:rsidR="7041FE5E" w:rsidRPr="00FF63D1">
        <w:rPr>
          <w:noProof/>
        </w:rPr>
        <w:t xml:space="preserve"> In September 2025, the Chinese State Council released a notice outlining the implementation of domestic product standards and related policies in government procurement. This notice grants a 20% price evaluation preference to domestic products over non-domestic ones.</w:t>
      </w:r>
      <w:r w:rsidR="00515A75" w:rsidRPr="00FF63D1">
        <w:rPr>
          <w:rStyle w:val="FootnoteReference"/>
          <w:noProof/>
        </w:rPr>
        <w:footnoteReference w:id="637"/>
      </w:r>
    </w:p>
    <w:p w14:paraId="17831C5E" w14:textId="48D43B71" w:rsidR="00393770" w:rsidRPr="008D60DD" w:rsidRDefault="00393770" w:rsidP="00A24FF8">
      <w:pPr>
        <w:spacing w:after="120"/>
        <w:rPr>
          <w:noProof/>
          <w:color w:val="000000" w:themeColor="text1"/>
        </w:rPr>
      </w:pPr>
      <w:r w:rsidRPr="00393770">
        <w:rPr>
          <w:bCs/>
          <w:noProof/>
          <w:color w:val="000000" w:themeColor="text1"/>
        </w:rPr>
        <w:t>Taken together, these examples show that major trading partners are actively using public procurement</w:t>
      </w:r>
      <w:r>
        <w:rPr>
          <w:bCs/>
          <w:noProof/>
          <w:color w:val="000000" w:themeColor="text1"/>
        </w:rPr>
        <w:t xml:space="preserve"> and</w:t>
      </w:r>
      <w:r w:rsidRPr="00393770">
        <w:rPr>
          <w:bCs/>
          <w:noProof/>
          <w:color w:val="000000" w:themeColor="text1"/>
        </w:rPr>
        <w:t xml:space="preserve"> localisation</w:t>
      </w:r>
      <w:r>
        <w:rPr>
          <w:bCs/>
          <w:noProof/>
          <w:color w:val="000000" w:themeColor="text1"/>
        </w:rPr>
        <w:t xml:space="preserve"> </w:t>
      </w:r>
      <w:r w:rsidRPr="00393770">
        <w:rPr>
          <w:bCs/>
          <w:noProof/>
          <w:color w:val="000000" w:themeColor="text1"/>
        </w:rPr>
        <w:t xml:space="preserve">policies to stimulate demand for low-carbon and domestically produced </w:t>
      </w:r>
      <w:r w:rsidRPr="00A24FF8">
        <w:rPr>
          <w:noProof/>
        </w:rPr>
        <w:t>industrial</w:t>
      </w:r>
      <w:r w:rsidRPr="00393770">
        <w:rPr>
          <w:bCs/>
          <w:noProof/>
          <w:color w:val="000000" w:themeColor="text1"/>
        </w:rPr>
        <w:t xml:space="preserve"> goods, ensuring that producers are rewarded for cleaner and more resilient production even when consumers or markets are unwilling to pay a premium.</w:t>
      </w:r>
    </w:p>
    <w:p w14:paraId="7F1F290A" w14:textId="7A4248E3" w:rsidR="000F7CB1" w:rsidRPr="00AB1DF9" w:rsidRDefault="000F7CB1" w:rsidP="000F7CB1">
      <w:pPr>
        <w:pStyle w:val="Heading3"/>
        <w:numPr>
          <w:ilvl w:val="0"/>
          <w:numId w:val="0"/>
        </w:numPr>
        <w:spacing w:before="0" w:after="0"/>
        <w:ind w:left="720" w:hanging="720"/>
        <w:rPr>
          <w:rFonts w:ascii="Times" w:hAnsi="Times" w:cs="Times"/>
          <w:b/>
          <w:i w:val="0"/>
        </w:rPr>
      </w:pPr>
      <w:r w:rsidRPr="00AB1DF9">
        <w:rPr>
          <w:rFonts w:ascii="Times" w:hAnsi="Times" w:cs="Times"/>
          <w:b/>
          <w:i w:val="0"/>
        </w:rPr>
        <w:t xml:space="preserve">Sub-problem 2: </w:t>
      </w:r>
      <w:r w:rsidR="0081256E" w:rsidRPr="00AB1DF9">
        <w:rPr>
          <w:b/>
          <w:i w:val="0"/>
        </w:rPr>
        <w:t>Supply chain vulnerabilities in strategic sectors</w:t>
      </w:r>
    </w:p>
    <w:p w14:paraId="14401A2F" w14:textId="77777777" w:rsidR="00CA12D8" w:rsidRPr="00FF63D1" w:rsidRDefault="00CA12D8" w:rsidP="006D74C1">
      <w:pPr>
        <w:rPr>
          <w:rFonts w:ascii="Times" w:eastAsia="Times New Roman" w:hAnsi="Times" w:cs="Times"/>
          <w:noProof/>
        </w:rPr>
      </w:pPr>
    </w:p>
    <w:p w14:paraId="5F0E201A" w14:textId="69C9F445" w:rsidR="00020031" w:rsidRPr="00FF63D1" w:rsidRDefault="00020031" w:rsidP="00C72589">
      <w:pPr>
        <w:pStyle w:val="Heading4"/>
        <w:numPr>
          <w:ilvl w:val="0"/>
          <w:numId w:val="0"/>
        </w:numPr>
        <w:spacing w:before="0" w:after="0"/>
        <w:ind w:left="864" w:hanging="297"/>
        <w:rPr>
          <w:rFonts w:ascii="Times" w:eastAsiaTheme="minorEastAsia" w:hAnsi="Times" w:cs="Times"/>
          <w:b/>
          <w:noProof/>
          <w:color w:val="auto"/>
        </w:rPr>
      </w:pPr>
      <w:r w:rsidRPr="00FF63D1">
        <w:rPr>
          <w:rFonts w:ascii="Times" w:eastAsiaTheme="minorEastAsia" w:hAnsi="Times" w:cs="Times"/>
          <w:b/>
          <w:noProof/>
          <w:color w:val="auto"/>
        </w:rPr>
        <w:t xml:space="preserve">Driver 3: </w:t>
      </w:r>
      <w:r w:rsidR="000B7062" w:rsidRPr="00FF63D1">
        <w:rPr>
          <w:rFonts w:ascii="Times" w:eastAsiaTheme="minorEastAsia" w:hAnsi="Times" w:cs="Times"/>
          <w:b/>
          <w:noProof/>
          <w:color w:val="auto"/>
        </w:rPr>
        <w:t>European industry loss of competitiveness due to fierce global competition and value chain dependencies</w:t>
      </w:r>
    </w:p>
    <w:p w14:paraId="3BF26D85" w14:textId="77777777" w:rsidR="00020031" w:rsidRPr="00FF63D1" w:rsidRDefault="00020031" w:rsidP="006D74C1">
      <w:pPr>
        <w:rPr>
          <w:rFonts w:ascii="Times" w:hAnsi="Times" w:cs="Times"/>
          <w:noProof/>
        </w:rPr>
      </w:pPr>
    </w:p>
    <w:p w14:paraId="5E606C9E" w14:textId="604450B0" w:rsidR="00020031" w:rsidRPr="00FF63D1" w:rsidRDefault="404A2814" w:rsidP="00CE520D">
      <w:pPr>
        <w:spacing w:after="120"/>
        <w:rPr>
          <w:rFonts w:ascii="Times" w:hAnsi="Times" w:cs="Times"/>
          <w:noProof/>
        </w:rPr>
      </w:pPr>
      <w:r w:rsidRPr="00FF63D1">
        <w:rPr>
          <w:rFonts w:ascii="Times" w:hAnsi="Times" w:cs="Times"/>
          <w:noProof/>
        </w:rPr>
        <w:t>Clean tech products, such as batteries,</w:t>
      </w:r>
      <w:r w:rsidRPr="00FF63D1">
        <w:rPr>
          <w:rFonts w:ascii="Times" w:eastAsia="Times New Roman" w:hAnsi="Times" w:cs="Times"/>
          <w:noProof/>
        </w:rPr>
        <w:t xml:space="preserve"> as well as certain automotive key components (e.g. clean vehicle’s powertrain or connected</w:t>
      </w:r>
      <w:r w:rsidRPr="00FF63D1">
        <w:rPr>
          <w:rFonts w:ascii="Times" w:hAnsi="Times" w:cs="Times"/>
          <w:noProof/>
        </w:rPr>
        <w:t xml:space="preserve"> and flexibility </w:t>
      </w:r>
      <w:r w:rsidRPr="00FF63D1">
        <w:rPr>
          <w:rFonts w:ascii="Times" w:eastAsia="Times New Roman" w:hAnsi="Times" w:cs="Times"/>
          <w:noProof/>
        </w:rPr>
        <w:t xml:space="preserve">automated driving systems), </w:t>
      </w:r>
      <w:r w:rsidRPr="00FF63D1">
        <w:rPr>
          <w:rFonts w:ascii="Times" w:hAnsi="Times" w:cs="Times"/>
          <w:noProof/>
        </w:rPr>
        <w:t>play a crucial role in advancing decarbonisation efforts, significantly mitigating GHG emissions linked to industrial processes</w:t>
      </w:r>
      <w:r w:rsidR="00020031" w:rsidRPr="00FF63D1">
        <w:rPr>
          <w:rStyle w:val="FootnoteReference"/>
          <w:rFonts w:ascii="Times" w:hAnsi="Times" w:cs="Times"/>
          <w:noProof/>
        </w:rPr>
        <w:footnoteReference w:id="638"/>
      </w:r>
      <w:r w:rsidRPr="00FF63D1">
        <w:rPr>
          <w:rFonts w:ascii="Times" w:hAnsi="Times" w:cs="Times"/>
          <w:noProof/>
        </w:rPr>
        <w:t xml:space="preserve"> by </w:t>
      </w:r>
      <w:r w:rsidRPr="1A2A8689">
        <w:rPr>
          <w:noProof/>
          <w:color w:val="000000" w:themeColor="text1"/>
        </w:rPr>
        <w:t>supporting</w:t>
      </w:r>
      <w:r w:rsidRPr="00FF63D1">
        <w:rPr>
          <w:rFonts w:ascii="Times" w:hAnsi="Times" w:cs="Times"/>
          <w:noProof/>
        </w:rPr>
        <w:t xml:space="preserve"> the widespread adoption of </w:t>
      </w:r>
      <w:r w:rsidR="39EE4AD2">
        <w:rPr>
          <w:rFonts w:ascii="Times" w:hAnsi="Times" w:cs="Times"/>
          <w:noProof/>
        </w:rPr>
        <w:t>EVs</w:t>
      </w:r>
      <w:r w:rsidRPr="00FF63D1">
        <w:rPr>
          <w:rFonts w:ascii="Times" w:eastAsia="Times New Roman" w:hAnsi="Times" w:cs="Times"/>
          <w:noProof/>
        </w:rPr>
        <w:t xml:space="preserve">, while also </w:t>
      </w:r>
      <w:r w:rsidRPr="00FF63D1">
        <w:rPr>
          <w:rFonts w:ascii="Times" w:hAnsi="Times" w:cs="Times"/>
          <w:noProof/>
        </w:rPr>
        <w:t xml:space="preserve">enabling the integration of renewable energy sources into the grid, benefitting from low electricity price periods and lowering peak demand at high price periods. </w:t>
      </w:r>
    </w:p>
    <w:p w14:paraId="668A5067" w14:textId="3A9E58DC" w:rsidR="00020031" w:rsidRPr="00FF63D1" w:rsidRDefault="404A2814" w:rsidP="00CE520D">
      <w:pPr>
        <w:spacing w:after="120"/>
        <w:rPr>
          <w:rFonts w:ascii="Times" w:hAnsi="Times" w:cs="Times"/>
          <w:noProof/>
        </w:rPr>
      </w:pPr>
      <w:r w:rsidRPr="00FF63D1">
        <w:rPr>
          <w:rFonts w:ascii="Times" w:hAnsi="Times" w:cs="Times"/>
          <w:noProof/>
        </w:rPr>
        <w:t xml:space="preserve">Section 2 analyses the EU battery ecosystem’s struggle to ramp up production as it remains largely dependent on critical components from these third countries, which have already vertically integrated their value chains. Although the EU has reached a battery cell installed capacity of around 188 GWh in 2024, </w:t>
      </w:r>
      <w:r w:rsidRPr="00FF63D1">
        <w:rPr>
          <w:rFonts w:ascii="Times" w:hAnsi="Times"/>
          <w:noProof/>
        </w:rPr>
        <w:t xml:space="preserve">several planned projects totalling 238 GWh have already been cancelled or put on hold </w:t>
      </w:r>
      <w:r w:rsidRPr="00FF63D1">
        <w:rPr>
          <w:rFonts w:ascii="Times" w:hAnsi="Times" w:cs="Times"/>
          <w:noProof/>
        </w:rPr>
        <w:t>with no confirmed timeline for resumption.</w:t>
      </w:r>
      <w:r w:rsidR="00020031" w:rsidRPr="00FF63D1">
        <w:rPr>
          <w:rStyle w:val="FootnoteReference"/>
          <w:rFonts w:ascii="Times" w:hAnsi="Times" w:cs="Times"/>
          <w:noProof/>
        </w:rPr>
        <w:footnoteReference w:id="639"/>
      </w:r>
      <w:r w:rsidRPr="00FF63D1">
        <w:rPr>
          <w:rFonts w:ascii="Times" w:hAnsi="Times" w:cs="Times"/>
          <w:noProof/>
        </w:rPr>
        <w:t xml:space="preserve"> Europe’s technological capacities in the battery value chain are not emerging fast enough, increasing the risks of becoming </w:t>
      </w:r>
      <w:r w:rsidRPr="00FF63D1" w:rsidDel="008B0DB2">
        <w:rPr>
          <w:rFonts w:ascii="Times" w:hAnsi="Times" w:cs="Times"/>
          <w:noProof/>
        </w:rPr>
        <w:t xml:space="preserve">fully </w:t>
      </w:r>
      <w:r w:rsidRPr="00FF63D1">
        <w:rPr>
          <w:rFonts w:ascii="Times" w:hAnsi="Times" w:cs="Times"/>
          <w:noProof/>
        </w:rPr>
        <w:t xml:space="preserve">dependent on imports, putting at risk the strategic objectives of a net-zero-emission emissions, strategic autonomy in the energy sector and a competitive automotive sector. </w:t>
      </w:r>
    </w:p>
    <w:p w14:paraId="7A3D43B8" w14:textId="0777F916" w:rsidR="00020031" w:rsidRPr="00FF63D1" w:rsidRDefault="00020031" w:rsidP="00CE520D">
      <w:pPr>
        <w:spacing w:after="120"/>
        <w:rPr>
          <w:rFonts w:ascii="Times" w:eastAsiaTheme="minorEastAsia" w:hAnsi="Times" w:cs="Times"/>
          <w:noProof/>
        </w:rPr>
      </w:pPr>
      <w:r w:rsidRPr="00FF63D1">
        <w:rPr>
          <w:rFonts w:ascii="Times" w:hAnsi="Times" w:cs="Times"/>
          <w:noProof/>
        </w:rPr>
        <w:t xml:space="preserve">EU ambitions to rebuild its domestic PV manufacturing capacity are undermined by the Chinese oversupply and continuously falling prices, exacerbated by higher energy, labour and capital costs, smaller factory scales, and limited supply chain integration in the EU. </w:t>
      </w:r>
    </w:p>
    <w:p w14:paraId="59E48202" w14:textId="575A6A10" w:rsidR="009A4C67" w:rsidRPr="00FF63D1" w:rsidRDefault="00517E92" w:rsidP="00CE520D">
      <w:pPr>
        <w:spacing w:after="120"/>
        <w:rPr>
          <w:rFonts w:ascii="Times" w:eastAsiaTheme="minorEastAsia" w:hAnsi="Times" w:cs="Times"/>
          <w:noProof/>
        </w:rPr>
      </w:pPr>
      <w:r w:rsidRPr="00FF63D1">
        <w:rPr>
          <w:noProof/>
        </w:rPr>
        <w:t>Compari</w:t>
      </w:r>
      <w:r w:rsidR="008B63FD" w:rsidRPr="00FF63D1">
        <w:rPr>
          <w:noProof/>
        </w:rPr>
        <w:t>ng</w:t>
      </w:r>
      <w:r w:rsidR="009A4C67" w:rsidRPr="00FF63D1">
        <w:rPr>
          <w:noProof/>
        </w:rPr>
        <w:t xml:space="preserve"> the cost </w:t>
      </w:r>
      <w:r w:rsidR="00F21C0B" w:rsidRPr="00FF63D1">
        <w:rPr>
          <w:noProof/>
        </w:rPr>
        <w:t>structure</w:t>
      </w:r>
      <w:r w:rsidR="009A4C67" w:rsidRPr="00FF63D1">
        <w:rPr>
          <w:noProof/>
        </w:rPr>
        <w:t xml:space="preserve">, </w:t>
      </w:r>
      <w:r w:rsidR="008B63FD" w:rsidRPr="00FF63D1">
        <w:rPr>
          <w:noProof/>
        </w:rPr>
        <w:t>a</w:t>
      </w:r>
      <w:r w:rsidR="009A4C67" w:rsidRPr="00FF63D1">
        <w:rPr>
          <w:noProof/>
        </w:rPr>
        <w:t xml:space="preserve"> fully EU-made PV module component production from Polysilicon to is estimated at around 30.8€c/Watt peak. The costs can be reduced by 25% throughout all component manufacturing stages if the production is at scale (i.e. Gigawatt-scale), reaching a level of 25.5€c/Watt peak and showing that producing at Giga-watt scale in Europe is key to reduce the production costs. At the same time, the production costs for fully Chinese PV modules are estimated to be at 15.9 €c/Watt peak. This cost difference is driven by higher expenses in equipment (+40%), building and facilities (+110%), labour (+280%), and materials (+50%). </w:t>
      </w:r>
      <w:r w:rsidR="00897DB4" w:rsidRPr="00FF63D1">
        <w:rPr>
          <w:rFonts w:ascii="Times" w:hAnsi="Times" w:cs="Times"/>
          <w:noProof/>
        </w:rPr>
        <w:t>However, the profit margins of the largest Chinese solar manufacturers have sharply declined, as firms aggressively compete on price to defend their market share. T</w:t>
      </w:r>
      <w:r w:rsidR="00897DB4" w:rsidRPr="00FF63D1">
        <w:rPr>
          <w:rFonts w:ascii="Times" w:eastAsiaTheme="minorEastAsia" w:hAnsi="Times" w:cs="Times"/>
          <w:noProof/>
        </w:rPr>
        <w:t xml:space="preserve">he EU’s reliance on China for supply of solar components leaves the EU vulnerable to disruption and price shocks. </w:t>
      </w:r>
      <w:r w:rsidR="00CE520D">
        <w:rPr>
          <w:rFonts w:ascii="Times" w:eastAsiaTheme="minorEastAsia" w:hAnsi="Times" w:cs="Times"/>
          <w:noProof/>
        </w:rPr>
        <w:t>T</w:t>
      </w:r>
      <w:r w:rsidR="00897DB4" w:rsidRPr="00FF63D1">
        <w:rPr>
          <w:rFonts w:ascii="Times" w:hAnsi="Times" w:cs="Times"/>
          <w:noProof/>
        </w:rPr>
        <w:t xml:space="preserve">he </w:t>
      </w:r>
      <w:r w:rsidR="00CE520D" w:rsidRPr="00FF63D1">
        <w:rPr>
          <w:rFonts w:ascii="Times" w:hAnsi="Times" w:cs="Times"/>
          <w:noProof/>
        </w:rPr>
        <w:t>profit</w:t>
      </w:r>
      <w:r w:rsidR="00897DB4" w:rsidRPr="00FF63D1">
        <w:rPr>
          <w:rFonts w:ascii="Times" w:hAnsi="Times" w:cs="Times"/>
          <w:noProof/>
        </w:rPr>
        <w:t xml:space="preserve"> margins of the largest Chinese solar manufacturers have sharply declined, as firms aggressively compete on price to defend their market share. T</w:t>
      </w:r>
      <w:r w:rsidR="00897DB4" w:rsidRPr="00FF63D1">
        <w:rPr>
          <w:rFonts w:ascii="Times" w:eastAsiaTheme="minorEastAsia" w:hAnsi="Times" w:cs="Times"/>
          <w:noProof/>
        </w:rPr>
        <w:t xml:space="preserve">he EU’s reliance on China for supply of solar components leaves the EU vulnerable to disruption and price shocks. </w:t>
      </w:r>
    </w:p>
    <w:p w14:paraId="28EBAC9C" w14:textId="713B470E" w:rsidR="009A4C67" w:rsidRPr="00FF63D1" w:rsidRDefault="10060C9F" w:rsidP="009A4C67">
      <w:pPr>
        <w:spacing w:after="120"/>
        <w:rPr>
          <w:noProof/>
        </w:rPr>
      </w:pPr>
      <w:r w:rsidRPr="00FF63D1">
        <w:rPr>
          <w:noProof/>
        </w:rPr>
        <w:t xml:space="preserve">Overall, when </w:t>
      </w:r>
      <w:r w:rsidR="0C01A274" w:rsidRPr="00FF63D1">
        <w:rPr>
          <w:noProof/>
        </w:rPr>
        <w:t>examin</w:t>
      </w:r>
      <w:r w:rsidR="68A3370E" w:rsidRPr="00FF63D1">
        <w:rPr>
          <w:noProof/>
        </w:rPr>
        <w:t>ing</w:t>
      </w:r>
      <w:r w:rsidRPr="00FF63D1">
        <w:rPr>
          <w:noProof/>
        </w:rPr>
        <w:t xml:space="preserve"> the </w:t>
      </w:r>
      <w:r w:rsidR="0EF58399" w:rsidRPr="00FF63D1">
        <w:rPr>
          <w:noProof/>
        </w:rPr>
        <w:t>levelized</w:t>
      </w:r>
      <w:r w:rsidRPr="00FF63D1">
        <w:rPr>
          <w:noProof/>
        </w:rPr>
        <w:t xml:space="preserve"> cost of production (LCOP) for some selected energy intensive materials and clean technologies across countries and regions (below</w:t>
      </w:r>
      <w:r w:rsidR="77D7D87E" w:rsidRPr="00FF63D1">
        <w:rPr>
          <w:noProof/>
        </w:rPr>
        <w:t xml:space="preserve"> </w:t>
      </w:r>
      <w:r w:rsidR="000A1E5A" w:rsidRPr="000A1E5A">
        <w:rPr>
          <w:noProof/>
          <w:szCs w:val="24"/>
        </w:rPr>
        <w:fldChar w:fldCharType="begin"/>
      </w:r>
      <w:r w:rsidR="000A1E5A" w:rsidRPr="000A1E5A">
        <w:rPr>
          <w:noProof/>
          <w:szCs w:val="24"/>
        </w:rPr>
        <w:instrText xml:space="preserve"> REF _Ref214907217 \h </w:instrText>
      </w:r>
      <w:r w:rsidR="000A1E5A">
        <w:rPr>
          <w:noProof/>
          <w:szCs w:val="24"/>
        </w:rPr>
        <w:instrText xml:space="preserve"> \* MERGEFORMAT </w:instrText>
      </w:r>
      <w:r w:rsidR="000A1E5A" w:rsidRPr="000A1E5A">
        <w:rPr>
          <w:noProof/>
          <w:szCs w:val="24"/>
        </w:rPr>
      </w:r>
      <w:r w:rsidR="000A1E5A" w:rsidRPr="000A1E5A">
        <w:rPr>
          <w:noProof/>
          <w:szCs w:val="24"/>
        </w:rPr>
        <w:fldChar w:fldCharType="separate"/>
      </w:r>
      <w:r w:rsidR="00622D1D" w:rsidRPr="001D3F6C">
        <w:rPr>
          <w:noProof/>
        </w:rPr>
        <w:t>Figure 31</w:t>
      </w:r>
      <w:r w:rsidR="000A1E5A" w:rsidRPr="000A1E5A">
        <w:rPr>
          <w:noProof/>
          <w:szCs w:val="24"/>
        </w:rPr>
        <w:fldChar w:fldCharType="end"/>
      </w:r>
      <w:r w:rsidR="77D7D87E" w:rsidRPr="00FF63D1">
        <w:rPr>
          <w:noProof/>
        </w:rPr>
        <w:t xml:space="preserve"> </w:t>
      </w:r>
      <w:r w:rsidRPr="00FF63D1">
        <w:rPr>
          <w:noProof/>
        </w:rPr>
        <w:t>), China has the lowest production costs for all clean energy technologies and most materials considered. Regional cost differences are generally more pronounced for materials than for clean energy technologies, with the LCOP being among the lowest in China for steel and aluminium. Regional variations in the LCOPs, excluding any explicit financial support, result mainly from differences in operational costs, notably energy and labour, which generally constitute the largest share of the total costs.</w:t>
      </w:r>
      <w:r w:rsidR="009A4C67" w:rsidRPr="00FF63D1">
        <w:rPr>
          <w:rStyle w:val="FootnoteReference"/>
          <w:noProof/>
        </w:rPr>
        <w:footnoteReference w:id="640"/>
      </w:r>
    </w:p>
    <w:p w14:paraId="5797038E" w14:textId="77777777" w:rsidR="005754F4" w:rsidRDefault="009A4C67" w:rsidP="005754F4">
      <w:pPr>
        <w:keepNext/>
        <w:spacing w:after="120"/>
        <w:jc w:val="center"/>
        <w:rPr>
          <w:noProof/>
        </w:rPr>
      </w:pPr>
      <w:r w:rsidRPr="00C035B3">
        <w:rPr>
          <w:rFonts w:ascii="Calibri" w:hAnsi="Calibri" w:cs="Calibri"/>
          <w:noProof/>
          <w:lang w:eastAsia="en-GB"/>
        </w:rPr>
        <w:drawing>
          <wp:inline distT="0" distB="0" distL="0" distR="0" wp14:anchorId="09F7CD7E" wp14:editId="0293112D">
            <wp:extent cx="4200665" cy="1892300"/>
            <wp:effectExtent l="0" t="0" r="9525" b="0"/>
            <wp:docPr id="2003200876" name="Picture 5" descr="A graph showing different types of energ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00876" name="Picture 5" descr="A graph showing different types of energy&#10;&#10;AI-generated content may be incorrect."/>
                    <pic:cNvPicPr/>
                  </pic:nvPicPr>
                  <pic:blipFill>
                    <a:blip r:embed="rId103">
                      <a:extLst>
                        <a:ext uri="{28A0092B-C50C-407E-A947-70E740481C1C}">
                          <a14:useLocalDpi xmlns:a14="http://schemas.microsoft.com/office/drawing/2010/main" val="0"/>
                        </a:ext>
                      </a:extLst>
                    </a:blip>
                    <a:stretch>
                      <a:fillRect/>
                    </a:stretch>
                  </pic:blipFill>
                  <pic:spPr>
                    <a:xfrm>
                      <a:off x="0" y="0"/>
                      <a:ext cx="4208622" cy="1895885"/>
                    </a:xfrm>
                    <a:prstGeom prst="rect">
                      <a:avLst/>
                    </a:prstGeom>
                  </pic:spPr>
                </pic:pic>
              </a:graphicData>
            </a:graphic>
          </wp:inline>
        </w:drawing>
      </w:r>
    </w:p>
    <w:p w14:paraId="1B5BDCC9" w14:textId="0D98DEA4" w:rsidR="00020031" w:rsidRPr="005754F4" w:rsidRDefault="005754F4" w:rsidP="005754F4">
      <w:pPr>
        <w:pStyle w:val="Caption"/>
        <w:jc w:val="center"/>
        <w:rPr>
          <w:noProof/>
          <w:sz w:val="20"/>
        </w:rPr>
      </w:pPr>
      <w:bookmarkStart w:id="693" w:name="_Ref214907217"/>
      <w:r w:rsidRPr="005754F4">
        <w:rPr>
          <w:noProof/>
          <w:sz w:val="20"/>
          <w:szCs w:val="14"/>
        </w:rPr>
        <w:t xml:space="preserve">Figure </w:t>
      </w:r>
      <w:r w:rsidRPr="005754F4">
        <w:rPr>
          <w:noProof/>
          <w:sz w:val="20"/>
          <w:szCs w:val="14"/>
        </w:rPr>
        <w:fldChar w:fldCharType="begin"/>
      </w:r>
      <w:r w:rsidRPr="005754F4">
        <w:rPr>
          <w:noProof/>
          <w:sz w:val="20"/>
          <w:szCs w:val="14"/>
        </w:rPr>
        <w:instrText xml:space="preserve"> SEQ Figure \* ARABIC </w:instrText>
      </w:r>
      <w:r w:rsidRPr="005754F4">
        <w:rPr>
          <w:noProof/>
          <w:sz w:val="20"/>
          <w:szCs w:val="14"/>
        </w:rPr>
        <w:fldChar w:fldCharType="separate"/>
      </w:r>
      <w:r w:rsidR="00E16D65">
        <w:rPr>
          <w:noProof/>
          <w:sz w:val="20"/>
          <w:szCs w:val="14"/>
        </w:rPr>
        <w:t>31</w:t>
      </w:r>
      <w:r w:rsidRPr="005754F4">
        <w:rPr>
          <w:noProof/>
          <w:sz w:val="20"/>
          <w:szCs w:val="14"/>
        </w:rPr>
        <w:fldChar w:fldCharType="end"/>
      </w:r>
      <w:bookmarkEnd w:id="693"/>
      <w:r w:rsidRPr="005754F4">
        <w:rPr>
          <w:noProof/>
          <w:sz w:val="20"/>
          <w:szCs w:val="14"/>
        </w:rPr>
        <w:t>: Levelized cost of production for selected clean energy technologies and materials by county/region, 2023 (IEA, Energy Technology Perspectives2024)</w:t>
      </w:r>
    </w:p>
    <w:p w14:paraId="2D4A4C18" w14:textId="77777777" w:rsidR="00CE520D" w:rsidRPr="00FF63D1" w:rsidRDefault="00CE520D" w:rsidP="006D74C1">
      <w:pPr>
        <w:rPr>
          <w:rFonts w:ascii="Times" w:eastAsiaTheme="minorEastAsia" w:hAnsi="Times" w:cs="Times"/>
          <w:noProof/>
          <w:highlight w:val="yellow"/>
        </w:rPr>
      </w:pPr>
    </w:p>
    <w:p w14:paraId="2E31D713" w14:textId="256902FF" w:rsidR="00020031" w:rsidRPr="008E26CF" w:rsidRDefault="000A1E5A" w:rsidP="00CE520D">
      <w:pPr>
        <w:spacing w:after="120"/>
        <w:rPr>
          <w:rFonts w:cs="Times New Roman"/>
          <w:noProof/>
        </w:rPr>
      </w:pPr>
      <w:r w:rsidRPr="008E26CF">
        <w:rPr>
          <w:rFonts w:cs="Times New Roman"/>
          <w:noProof/>
          <w:szCs w:val="24"/>
        </w:rPr>
        <w:fldChar w:fldCharType="begin"/>
      </w:r>
      <w:r w:rsidRPr="008E26CF">
        <w:rPr>
          <w:rFonts w:cs="Times New Roman"/>
          <w:noProof/>
          <w:szCs w:val="24"/>
        </w:rPr>
        <w:instrText xml:space="preserve"> REF _Ref214907249 \h  \* M</w:instrText>
      </w:r>
      <w:r w:rsidRPr="000A1E5A">
        <w:rPr>
          <w:rFonts w:cs="Times New Roman"/>
          <w:noProof/>
          <w:szCs w:val="24"/>
        </w:rPr>
        <w:instrText>E</w:instrText>
      </w:r>
      <w:r w:rsidRPr="0056600E">
        <w:rPr>
          <w:rFonts w:cs="Times New Roman"/>
          <w:noProof/>
          <w:szCs w:val="24"/>
        </w:rPr>
        <w:instrText>R</w:instrText>
      </w:r>
      <w:r w:rsidRPr="009E1683">
        <w:rPr>
          <w:rFonts w:cs="Times New Roman"/>
          <w:noProof/>
          <w:szCs w:val="24"/>
        </w:rPr>
        <w:instrText>GEFORM</w:instrText>
      </w:r>
      <w:r w:rsidRPr="00220115">
        <w:rPr>
          <w:rFonts w:cs="Times New Roman"/>
          <w:noProof/>
          <w:szCs w:val="24"/>
        </w:rPr>
        <w:instrText>A</w:instrText>
      </w:r>
      <w:r w:rsidRPr="0075782D">
        <w:rPr>
          <w:rFonts w:cs="Times New Roman"/>
          <w:noProof/>
          <w:szCs w:val="24"/>
        </w:rPr>
        <w:instrText>T</w:instrText>
      </w:r>
      <w:r w:rsidRPr="006C03C3">
        <w:rPr>
          <w:rFonts w:cs="Times New Roman"/>
          <w:noProof/>
          <w:szCs w:val="24"/>
        </w:rPr>
        <w:instrText xml:space="preserve"> </w:instrText>
      </w:r>
      <w:r w:rsidRPr="008E26CF">
        <w:rPr>
          <w:rFonts w:cs="Times New Roman"/>
          <w:noProof/>
          <w:szCs w:val="24"/>
        </w:rPr>
      </w:r>
      <w:r w:rsidRPr="008E26CF">
        <w:rPr>
          <w:rFonts w:cs="Times New Roman"/>
          <w:noProof/>
          <w:szCs w:val="24"/>
        </w:rPr>
        <w:fldChar w:fldCharType="separate"/>
      </w:r>
      <w:r w:rsidR="00622D1D" w:rsidRPr="001D3F6C">
        <w:rPr>
          <w:rFonts w:cs="Times New Roman"/>
          <w:noProof/>
          <w:szCs w:val="24"/>
        </w:rPr>
        <w:t xml:space="preserve">Figure </w:t>
      </w:r>
      <w:r w:rsidR="00622D1D" w:rsidRPr="001D3F6C">
        <w:rPr>
          <w:rFonts w:cs="Times New Roman"/>
          <w:noProof/>
          <w:szCs w:val="24"/>
          <w:lang w:val="en-IE"/>
        </w:rPr>
        <w:t>32</w:t>
      </w:r>
      <w:r w:rsidRPr="008E26CF">
        <w:rPr>
          <w:rFonts w:cs="Times New Roman"/>
          <w:noProof/>
          <w:szCs w:val="24"/>
        </w:rPr>
        <w:fldChar w:fldCharType="end"/>
      </w:r>
      <w:r w:rsidR="00020031" w:rsidRPr="008E26CF">
        <w:rPr>
          <w:rFonts w:cs="Times New Roman"/>
          <w:noProof/>
          <w:szCs w:val="24"/>
        </w:rPr>
        <w:t xml:space="preserve"> on</w:t>
      </w:r>
      <w:r w:rsidR="00020031" w:rsidRPr="008E26CF">
        <w:rPr>
          <w:rFonts w:cs="Times New Roman"/>
          <w:noProof/>
        </w:rPr>
        <w:t xml:space="preserve"> “Demand for EU made PV components stimulated by NZIA and </w:t>
      </w:r>
      <w:r w:rsidR="00646A42" w:rsidRPr="008E26CF">
        <w:rPr>
          <w:rFonts w:cs="Times New Roman"/>
          <w:noProof/>
        </w:rPr>
        <w:t>IAA</w:t>
      </w:r>
      <w:r w:rsidR="00020031" w:rsidRPr="008E26CF">
        <w:rPr>
          <w:rFonts w:cs="Times New Roman"/>
          <w:noProof/>
        </w:rPr>
        <w:t xml:space="preserve"> vs manufacturing capacity, 2030” below shows how much demand is likely to be created by the NZIA Access to Markets provisions vs. the proposed </w:t>
      </w:r>
      <w:r w:rsidR="00646A42" w:rsidRPr="008E26CF">
        <w:rPr>
          <w:rFonts w:cs="Times New Roman"/>
          <w:noProof/>
        </w:rPr>
        <w:t>IAA</w:t>
      </w:r>
      <w:r w:rsidR="00020031" w:rsidRPr="008E26CF">
        <w:rPr>
          <w:rFonts w:cs="Times New Roman"/>
          <w:noProof/>
        </w:rPr>
        <w:t xml:space="preserve"> provisions in relation to the project pipeline for 2030. The introduction of EU content criteria through </w:t>
      </w:r>
      <w:r w:rsidR="00646A42" w:rsidRPr="008E26CF">
        <w:rPr>
          <w:rFonts w:cs="Times New Roman"/>
          <w:noProof/>
        </w:rPr>
        <w:t>IAA</w:t>
      </w:r>
      <w:r w:rsidR="00020031" w:rsidRPr="008E26CF">
        <w:rPr>
          <w:rFonts w:cs="Times New Roman"/>
          <w:noProof/>
        </w:rPr>
        <w:t xml:space="preserve"> would mean that a stronger market signal would be sent which would facilitate the EU project pipeline to realise and project promoters to reach FID. EU should be able to develop sufficient capacity for all components according to the current state of the project pipeline, apart from solar glass. Here however, the introduction of such criteria would send a strong market signal for new projects to develop. </w:t>
      </w:r>
    </w:p>
    <w:p w14:paraId="187CBDAA" w14:textId="5340774B" w:rsidR="00152B38" w:rsidRPr="00152B38" w:rsidRDefault="00152B38" w:rsidP="00152B38">
      <w:pPr>
        <w:keepNext/>
        <w:jc w:val="center"/>
        <w:rPr>
          <w:noProof/>
        </w:rPr>
      </w:pPr>
      <w:r w:rsidRPr="00152B38">
        <w:rPr>
          <w:noProof/>
          <w:lang w:eastAsia="en-GB"/>
        </w:rPr>
        <w:drawing>
          <wp:inline distT="0" distB="0" distL="0" distR="0" wp14:anchorId="67393395" wp14:editId="55B7A365">
            <wp:extent cx="4532200" cy="1737360"/>
            <wp:effectExtent l="0" t="0" r="1905" b="0"/>
            <wp:docPr id="2040364661" name="Picture 4"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64661" name="Picture 4" descr="A graph of different colored bars&#10;&#10;AI-generated content may be incorrect."/>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41679" cy="1740994"/>
                    </a:xfrm>
                    <a:prstGeom prst="rect">
                      <a:avLst/>
                    </a:prstGeom>
                    <a:noFill/>
                    <a:ln>
                      <a:noFill/>
                    </a:ln>
                  </pic:spPr>
                </pic:pic>
              </a:graphicData>
            </a:graphic>
          </wp:inline>
        </w:drawing>
      </w:r>
    </w:p>
    <w:p w14:paraId="7155D777" w14:textId="142A5888" w:rsidR="00E34B70" w:rsidRPr="00E34B70" w:rsidRDefault="00E34B70" w:rsidP="00E34B70">
      <w:pPr>
        <w:keepNext/>
        <w:jc w:val="center"/>
        <w:rPr>
          <w:noProof/>
        </w:rPr>
      </w:pPr>
    </w:p>
    <w:p w14:paraId="0DF3A167" w14:textId="190D0AD7" w:rsidR="00570A2E" w:rsidRPr="005754F4" w:rsidRDefault="00570A2E" w:rsidP="005754F4">
      <w:pPr>
        <w:pStyle w:val="Caption"/>
        <w:jc w:val="center"/>
        <w:rPr>
          <w:noProof/>
          <w:sz w:val="20"/>
          <w:szCs w:val="14"/>
        </w:rPr>
      </w:pPr>
      <w:bookmarkStart w:id="694" w:name="_Ref214907249"/>
      <w:r w:rsidRPr="005754F4">
        <w:rPr>
          <w:noProof/>
          <w:sz w:val="20"/>
          <w:szCs w:val="14"/>
        </w:rPr>
        <w:t xml:space="preserve">Figure </w:t>
      </w:r>
      <w:r w:rsidRPr="005754F4">
        <w:rPr>
          <w:noProof/>
          <w:sz w:val="20"/>
          <w:szCs w:val="14"/>
        </w:rPr>
        <w:fldChar w:fldCharType="begin"/>
      </w:r>
      <w:r w:rsidRPr="005754F4">
        <w:rPr>
          <w:noProof/>
          <w:sz w:val="20"/>
          <w:szCs w:val="14"/>
          <w:lang w:val="en-IE"/>
        </w:rPr>
        <w:instrText xml:space="preserve"> SEQ Figure \* ARABIC </w:instrText>
      </w:r>
      <w:r w:rsidRPr="005754F4">
        <w:rPr>
          <w:noProof/>
          <w:sz w:val="20"/>
          <w:szCs w:val="14"/>
        </w:rPr>
        <w:fldChar w:fldCharType="separate"/>
      </w:r>
      <w:r w:rsidR="00E16D65">
        <w:rPr>
          <w:noProof/>
          <w:sz w:val="20"/>
          <w:szCs w:val="14"/>
          <w:lang w:val="en-IE"/>
        </w:rPr>
        <w:t>32</w:t>
      </w:r>
      <w:r w:rsidRPr="005754F4">
        <w:rPr>
          <w:noProof/>
          <w:sz w:val="20"/>
          <w:szCs w:val="14"/>
        </w:rPr>
        <w:fldChar w:fldCharType="end"/>
      </w:r>
      <w:bookmarkEnd w:id="694"/>
      <w:r w:rsidRPr="005754F4">
        <w:rPr>
          <w:noProof/>
          <w:sz w:val="20"/>
          <w:szCs w:val="14"/>
        </w:rPr>
        <w:t>:</w:t>
      </w:r>
      <w:r w:rsidR="00C33CAF" w:rsidRPr="005754F4">
        <w:rPr>
          <w:noProof/>
          <w:sz w:val="20"/>
          <w:szCs w:val="14"/>
        </w:rPr>
        <w:t xml:space="preserve"> Demand for</w:t>
      </w:r>
      <w:r w:rsidR="00F52897" w:rsidRPr="005754F4">
        <w:rPr>
          <w:noProof/>
          <w:sz w:val="20"/>
          <w:szCs w:val="14"/>
        </w:rPr>
        <w:t xml:space="preserve"> EU made PV stimulated by NZIA and IAA vs.</w:t>
      </w:r>
      <w:r w:rsidR="00355475" w:rsidRPr="005754F4">
        <w:rPr>
          <w:noProof/>
          <w:sz w:val="20"/>
          <w:szCs w:val="14"/>
        </w:rPr>
        <w:t xml:space="preserve"> manufacturing capacity, 2030</w:t>
      </w:r>
    </w:p>
    <w:p w14:paraId="7707E1F7" w14:textId="77777777" w:rsidR="00CA12D8" w:rsidRPr="00FF63D1" w:rsidRDefault="00CA12D8" w:rsidP="006D74C1">
      <w:pPr>
        <w:rPr>
          <w:rFonts w:ascii="Times" w:hAnsi="Times" w:cs="Times"/>
          <w:noProof/>
        </w:rPr>
      </w:pPr>
    </w:p>
    <w:p w14:paraId="3A7F8DBA" w14:textId="78EF3BBE" w:rsidR="00020031" w:rsidRPr="00FF63D1" w:rsidRDefault="404A2814" w:rsidP="00CE520D">
      <w:pPr>
        <w:spacing w:after="120"/>
        <w:rPr>
          <w:rFonts w:ascii="Times" w:hAnsi="Times" w:cs="Times"/>
          <w:noProof/>
        </w:rPr>
      </w:pPr>
      <w:r w:rsidRPr="00FF63D1">
        <w:rPr>
          <w:rFonts w:ascii="Times" w:hAnsi="Times" w:cs="Times"/>
          <w:noProof/>
        </w:rPr>
        <w:t xml:space="preserve">The NZIA is expected to contribute to the expansion of manufacturing capacity in Europe, with the aim of reaching at least 40% of the annual deployment needs for net-zero technologies through manufacturing capacity in the Union by 2030. However, there is a risk that for certain steps of the battery and PV value chains, the current NZIA provisions are insufficient to fully address the scale of the challenges described in </w:t>
      </w:r>
      <w:r w:rsidR="0FFD6104">
        <w:rPr>
          <w:rFonts w:ascii="Times" w:hAnsi="Times" w:cs="Times"/>
          <w:noProof/>
        </w:rPr>
        <w:t>Section</w:t>
      </w:r>
      <w:r w:rsidRPr="00FF63D1">
        <w:rPr>
          <w:rFonts w:ascii="Times" w:hAnsi="Times" w:cs="Times"/>
          <w:noProof/>
        </w:rPr>
        <w:t xml:space="preserve"> 2.2.1. and meet the strategic objective of building a resilient and competitive domestic value chain. This is because, for certain stages of PV and battery manufacturing, the NZIA resilience criterion, which emphasizes diversification, may not lead to a significant increase in domestic production. Instead, it is expected that imports from Asian countries such as Vietnam, Malaysia, Thailand and Cambodia – whose PV projects pipeline is largely owned and controlled by Chinese manufacturers and whose price competitiveness is second only to China. - will rise to offset the reduction in solar PV imports to the EU from mainland China.</w:t>
      </w:r>
      <w:r w:rsidR="00020031" w:rsidRPr="00FF63D1">
        <w:rPr>
          <w:rStyle w:val="FootnoteReference"/>
          <w:rFonts w:ascii="Times" w:hAnsi="Times" w:cs="Times"/>
          <w:noProof/>
        </w:rPr>
        <w:footnoteReference w:id="641"/>
      </w:r>
      <w:r w:rsidRPr="00FF63D1">
        <w:rPr>
          <w:rFonts w:ascii="Times" w:hAnsi="Times" w:cs="Times"/>
          <w:noProof/>
        </w:rPr>
        <w:t xml:space="preserve"> While Vietnam, Thailand, and Malaysia together account for close to 8% of global manufacturing capacity, most of these facilities are </w:t>
      </w:r>
      <w:r w:rsidRPr="00CE520D">
        <w:rPr>
          <w:noProof/>
        </w:rPr>
        <w:t>Chinese</w:t>
      </w:r>
      <w:r w:rsidRPr="00FF63D1">
        <w:rPr>
          <w:rFonts w:ascii="Times" w:hAnsi="Times" w:cs="Times"/>
          <w:noProof/>
        </w:rPr>
        <w:t>-owned and were developed to serve the US market in response to its restrictions on imports from China. This indicates that apparent diversification in production locations does little to reduce strategic dependence on China and thus, dependence on Chinese manufacturers is likely to persist.</w:t>
      </w:r>
    </w:p>
    <w:p w14:paraId="4A6CEE96" w14:textId="0DBE0656" w:rsidR="00020031" w:rsidRPr="00FF63D1" w:rsidRDefault="00020031" w:rsidP="00CE520D">
      <w:pPr>
        <w:spacing w:after="120"/>
        <w:rPr>
          <w:rFonts w:ascii="Times" w:hAnsi="Times" w:cs="Times"/>
          <w:noProof/>
        </w:rPr>
      </w:pPr>
      <w:r w:rsidRPr="00FF63D1">
        <w:rPr>
          <w:rFonts w:ascii="Times" w:hAnsi="Times" w:cs="Times"/>
          <w:noProof/>
        </w:rPr>
        <w:t xml:space="preserve">Regarding batteries, </w:t>
      </w:r>
      <w:r w:rsidRPr="00FF63D1">
        <w:rPr>
          <w:rFonts w:ascii="Times" w:hAnsi="Times"/>
          <w:noProof/>
        </w:rPr>
        <w:t xml:space="preserve">Asian manufacturers are already shifting their strategies to capture overseas markets, where profit margins are higher. By 2030, China is projected to maintain a dominant position across the entire battery value chain, accounting for 75% of global installed battery cell capacity. Additionally, Chinese companies are actively diversifying their midstream battery production by expanding into low-risk, cost-competitive countries such as Morocco, South Korea, and Indonesia. These three countries are projected to surpass the EU in production capacity. </w:t>
      </w:r>
      <w:r w:rsidRPr="00FF63D1">
        <w:rPr>
          <w:rFonts w:ascii="Times" w:hAnsi="Times" w:cs="Times"/>
          <w:noProof/>
        </w:rPr>
        <w:t>Additionally, due to the nature of batteries as components integrated into downstream final goods, primarily</w:t>
      </w:r>
      <w:r w:rsidR="003D0422">
        <w:rPr>
          <w:rFonts w:ascii="Times" w:hAnsi="Times" w:cs="Times"/>
          <w:noProof/>
        </w:rPr>
        <w:t xml:space="preserve"> </w:t>
      </w:r>
      <w:r w:rsidRPr="00FF63D1">
        <w:rPr>
          <w:rFonts w:ascii="Times" w:hAnsi="Times" w:cs="Times"/>
          <w:noProof/>
        </w:rPr>
        <w:t>EVs and BESS, they often fall outside the scope or are only marginally impacted by certain resilience measures under the NZIA, such as in auctions or public procurement.</w:t>
      </w:r>
    </w:p>
    <w:p w14:paraId="5009DE69" w14:textId="77777777" w:rsidR="00020031" w:rsidRPr="00FF63D1" w:rsidRDefault="404A2814" w:rsidP="00CE520D">
      <w:pPr>
        <w:spacing w:after="120"/>
        <w:rPr>
          <w:rFonts w:ascii="Times" w:hAnsi="Times"/>
          <w:noProof/>
        </w:rPr>
      </w:pPr>
      <w:r w:rsidRPr="00FF63D1">
        <w:rPr>
          <w:rFonts w:ascii="Times" w:hAnsi="Times"/>
          <w:noProof/>
        </w:rPr>
        <w:t xml:space="preserve">Furthermore, the NZIA framework does not cover the entire spectrum of vehicle components that </w:t>
      </w:r>
      <w:r w:rsidRPr="00FF63D1">
        <w:rPr>
          <w:rFonts w:ascii="Times" w:hAnsi="Times" w:cs="Times"/>
          <w:noProof/>
        </w:rPr>
        <w:t>can contribute to the decarbonisation of road transport not only in terms of reduced vehicle’s emissions, but also in terms of optimised traffic flows.</w:t>
      </w:r>
      <w:r w:rsidR="00020031" w:rsidRPr="00FF63D1">
        <w:rPr>
          <w:rStyle w:val="FootnoteReference"/>
          <w:rFonts w:ascii="Times" w:hAnsi="Times" w:cs="Times"/>
          <w:noProof/>
        </w:rPr>
        <w:footnoteReference w:id="642"/>
      </w:r>
      <w:r w:rsidRPr="00FF63D1">
        <w:rPr>
          <w:rFonts w:ascii="Times" w:hAnsi="Times" w:cs="Times"/>
          <w:noProof/>
        </w:rPr>
        <w:t xml:space="preserve"> Besides, the NZIA does not </w:t>
      </w:r>
      <w:r w:rsidRPr="00FF63D1">
        <w:rPr>
          <w:rFonts w:ascii="Times" w:hAnsi="Times"/>
          <w:noProof/>
        </w:rPr>
        <w:t xml:space="preserve">sufficiently address the economic pressure faced by domestic automotive component suppliers and the economic security issues attached to it. </w:t>
      </w:r>
    </w:p>
    <w:p w14:paraId="40638D9A" w14:textId="73F24FF8" w:rsidR="00020031" w:rsidRPr="00FF63D1" w:rsidRDefault="00020031" w:rsidP="00C72589">
      <w:pPr>
        <w:pStyle w:val="Heading4"/>
        <w:numPr>
          <w:ilvl w:val="0"/>
          <w:numId w:val="0"/>
        </w:numPr>
        <w:spacing w:before="0" w:after="0"/>
        <w:ind w:left="864" w:hanging="297"/>
        <w:rPr>
          <w:rFonts w:ascii="Times" w:hAnsi="Times" w:cs="Times"/>
          <w:b/>
          <w:noProof/>
        </w:rPr>
      </w:pPr>
      <w:r w:rsidRPr="00FF63D1">
        <w:rPr>
          <w:rFonts w:ascii="Times" w:eastAsiaTheme="minorEastAsia" w:hAnsi="Times" w:cs="Times"/>
          <w:b/>
          <w:noProof/>
          <w:color w:val="auto"/>
        </w:rPr>
        <w:t>Driver</w:t>
      </w:r>
      <w:r w:rsidR="000B7062" w:rsidRPr="00FF63D1">
        <w:rPr>
          <w:rFonts w:ascii="Times" w:eastAsiaTheme="minorEastAsia" w:hAnsi="Times" w:cs="Times"/>
          <w:b/>
          <w:noProof/>
          <w:color w:val="auto"/>
        </w:rPr>
        <w:t xml:space="preserve"> 4</w:t>
      </w:r>
      <w:r w:rsidRPr="00FF63D1">
        <w:rPr>
          <w:rFonts w:ascii="Times" w:eastAsiaTheme="minorEastAsia" w:hAnsi="Times" w:cs="Times"/>
          <w:b/>
          <w:noProof/>
          <w:color w:val="auto"/>
        </w:rPr>
        <w:t xml:space="preserve">: </w:t>
      </w:r>
      <w:r w:rsidR="006013D2" w:rsidRPr="00FF63D1">
        <w:rPr>
          <w:rFonts w:ascii="Times" w:eastAsia="Times New Roman" w:hAnsi="Times" w:cs="Times"/>
          <w:b/>
          <w:noProof/>
          <w:color w:val="000000" w:themeColor="text1"/>
        </w:rPr>
        <w:t>A fragmented EU</w:t>
      </w:r>
      <w:r w:rsidR="00DE17E4" w:rsidRPr="00FF63D1">
        <w:rPr>
          <w:rFonts w:ascii="Times" w:eastAsia="Times New Roman" w:hAnsi="Times" w:cs="Times"/>
          <w:b/>
          <w:noProof/>
          <w:color w:val="000000" w:themeColor="text1"/>
        </w:rPr>
        <w:t xml:space="preserve"> approach towards</w:t>
      </w:r>
      <w:r w:rsidR="003B33F3" w:rsidRPr="00FF63D1">
        <w:rPr>
          <w:rFonts w:ascii="Times" w:eastAsia="Times New Roman" w:hAnsi="Times" w:cs="Times"/>
          <w:b/>
          <w:noProof/>
          <w:color w:val="000000" w:themeColor="text1"/>
        </w:rPr>
        <w:t xml:space="preserve"> foreign investments</w:t>
      </w:r>
    </w:p>
    <w:p w14:paraId="463C27FC" w14:textId="77777777" w:rsidR="00020031" w:rsidRPr="00FF63D1" w:rsidRDefault="00020031" w:rsidP="006D74C1">
      <w:pPr>
        <w:rPr>
          <w:rFonts w:ascii="Times" w:eastAsiaTheme="minorEastAsia" w:hAnsi="Times" w:cs="Times"/>
          <w:noProof/>
        </w:rPr>
      </w:pPr>
    </w:p>
    <w:p w14:paraId="0CD6BCA0" w14:textId="0CD3D725" w:rsidR="00020031" w:rsidRPr="00FF63D1" w:rsidRDefault="00020031" w:rsidP="00CE520D">
      <w:pPr>
        <w:spacing w:after="120"/>
        <w:rPr>
          <w:rFonts w:ascii="Times" w:eastAsiaTheme="minorEastAsia" w:hAnsi="Times" w:cs="Times"/>
          <w:noProof/>
        </w:rPr>
      </w:pPr>
      <w:r w:rsidRPr="00FF63D1">
        <w:rPr>
          <w:rFonts w:ascii="Times" w:eastAsiaTheme="minorEastAsia" w:hAnsi="Times" w:cs="Times"/>
          <w:noProof/>
        </w:rPr>
        <w:t xml:space="preserve">The existing toolbox on inbound foreign investments includes instruments concerning security aspects </w:t>
      </w:r>
      <w:r w:rsidR="00892FC9">
        <w:rPr>
          <w:rFonts w:ascii="Times" w:eastAsiaTheme="minorEastAsia" w:hAnsi="Times" w:cs="Times"/>
          <w:noProof/>
        </w:rPr>
        <w:t>FDI</w:t>
      </w:r>
      <w:r w:rsidRPr="00FF63D1">
        <w:rPr>
          <w:rFonts w:ascii="Times" w:eastAsiaTheme="minorEastAsia" w:hAnsi="Times" w:cs="Times"/>
          <w:noProof/>
        </w:rPr>
        <w:t xml:space="preserve"> (e.g. FDI Screening Regulation) and other instruments that target specific risks (e.g. the Foreign Subsidies Regulation </w:t>
      </w:r>
      <w:r w:rsidRPr="00FF63D1">
        <w:rPr>
          <w:rFonts w:ascii="Times" w:eastAsiaTheme="minorEastAsia" w:hAnsi="Times" w:cs="Times"/>
          <w:noProof/>
          <w:u w:val="single"/>
        </w:rPr>
        <w:t>t</w:t>
      </w:r>
      <w:r w:rsidRPr="00FF63D1">
        <w:rPr>
          <w:rFonts w:ascii="Times" w:eastAsiaTheme="minorEastAsia" w:hAnsi="Times" w:cs="Times"/>
          <w:noProof/>
        </w:rPr>
        <w:t xml:space="preserve">o combat foreign subsidies that distort the EU internal market, and the Merger Control Regulation ensuring effective competition for concentrations), as well as other policy instruments that may be used to affect foreign investments (e.g. EU Funding instruments and the State Aid framework). </w:t>
      </w:r>
    </w:p>
    <w:p w14:paraId="2BBDC2D1" w14:textId="77777777" w:rsidR="000D0B1E" w:rsidRPr="00FF63D1" w:rsidRDefault="000D0B1E" w:rsidP="00CE520D">
      <w:pPr>
        <w:spacing w:after="120"/>
        <w:rPr>
          <w:rFonts w:ascii="Times" w:hAnsi="Times" w:cs="Times"/>
          <w:noProof/>
        </w:rPr>
      </w:pPr>
      <w:r w:rsidRPr="00FF63D1">
        <w:rPr>
          <w:rFonts w:ascii="Times" w:hAnsi="Times" w:cs="Times"/>
          <w:noProof/>
        </w:rPr>
        <w:t>However, the FDI Screening Regulation (EU) 2019/452 does not address the impact of foreign investment on the Single Market or allow the EU to impose conditions that maximise economic and strategic value—such as commitments to local R&amp;I, technology transfer, or skills development. Over 60% of foreign-led industrial decarbonisation projects in the EU lack such commitments. Despite the EU’s attractiveness for FDI, it lacks tools to ensure that investments support industrial, technological, and environmental goals, particularly given the growing role of state-controlled investors.</w:t>
      </w:r>
    </w:p>
    <w:p w14:paraId="1405779B" w14:textId="6A9C8A27" w:rsidR="000D0B1E" w:rsidRPr="00FF63D1" w:rsidRDefault="000D0B1E" w:rsidP="00CE520D">
      <w:pPr>
        <w:spacing w:after="120"/>
        <w:rPr>
          <w:rFonts w:ascii="Times" w:eastAsia="Times New Roman" w:hAnsi="Times" w:cs="Times"/>
          <w:noProof/>
          <w:color w:val="000000" w:themeColor="text1"/>
          <w:vertAlign w:val="superscript"/>
        </w:rPr>
      </w:pPr>
      <w:r w:rsidRPr="00FF63D1">
        <w:rPr>
          <w:rFonts w:ascii="Times" w:hAnsi="Times" w:cs="Times"/>
          <w:noProof/>
        </w:rPr>
        <w:t>By 2024, 24 Member States had national screening mechanisms (up from 14 in 2021), yet screening practices remain uneven, with only 9% of cases subject to conditions and 1% blocked. This leaves vulnerabilities across the Single Market. The gap is most acute in strategic sectors such as batteries and EIIs, where the EU risks losing technological and intellectual property control and becoming a “low-value assembly location” in clean tech value chains.</w:t>
      </w:r>
    </w:p>
    <w:p w14:paraId="7B89A796" w14:textId="093B4537" w:rsidR="00020031" w:rsidRPr="00FF63D1" w:rsidRDefault="404A2814" w:rsidP="00CE520D">
      <w:pPr>
        <w:spacing w:after="120"/>
        <w:rPr>
          <w:rFonts w:ascii="Times" w:eastAsia="Times New Roman" w:hAnsi="Times" w:cs="Times"/>
          <w:noProof/>
        </w:rPr>
      </w:pPr>
      <w:r w:rsidRPr="00FF63D1">
        <w:rPr>
          <w:rFonts w:ascii="Times" w:eastAsia="Times New Roman" w:hAnsi="Times" w:cs="Times"/>
          <w:noProof/>
        </w:rPr>
        <w:t>The FDI inflow to Europe, compared to the total global FDI inflow, has seen a decrease in the past decade from 23% of all global FDI in 2011 ($408 billion) to only 10% ($168 billion) in 2021.The year 2022 even witnessed negative FDI inflow to Europe, which means that foreign investors divested more FDI from Europe than they invested in Europe during this period. When comparing FDI inflows in 2022 against 2017, it becomes apparent that Europe is the only region with major decreases in FDI inflow (-31pp), while China (+4pp) and the US (+10pp) were able to increase FDI inflow.</w:t>
      </w:r>
      <w:r w:rsidR="00020031" w:rsidRPr="00FF63D1">
        <w:rPr>
          <w:rStyle w:val="FootnoteReference"/>
          <w:rFonts w:ascii="Times" w:eastAsia="Times New Roman" w:hAnsi="Times" w:cs="Times"/>
          <w:noProof/>
        </w:rPr>
        <w:footnoteReference w:id="643"/>
      </w:r>
    </w:p>
    <w:p w14:paraId="6AEF2458" w14:textId="77777777" w:rsidR="00020031" w:rsidRPr="00FF63D1" w:rsidRDefault="00020031" w:rsidP="008A0BFF">
      <w:pPr>
        <w:keepNext/>
        <w:jc w:val="center"/>
        <w:rPr>
          <w:noProof/>
        </w:rPr>
      </w:pPr>
      <w:r w:rsidRPr="00C035B3">
        <w:rPr>
          <w:rFonts w:ascii="Times" w:eastAsia="Times New Roman" w:hAnsi="Times" w:cs="Times"/>
          <w:noProof/>
          <w:lang w:eastAsia="en-GB"/>
        </w:rPr>
        <w:drawing>
          <wp:inline distT="0" distB="0" distL="0" distR="0" wp14:anchorId="69E11008" wp14:editId="1DA9EBD9">
            <wp:extent cx="4061695" cy="2035942"/>
            <wp:effectExtent l="0" t="0" r="0" b="2540"/>
            <wp:docPr id="1805273568" name="Picture 1" descr="A graph with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73568" name="Picture 1" descr="A graph with a line and a line&#10;&#10;AI-generated content may be incorrect."/>
                    <pic:cNvPicPr/>
                  </pic:nvPicPr>
                  <pic:blipFill rotWithShape="1">
                    <a:blip r:embed="rId105"/>
                    <a:srcRect t="10266"/>
                    <a:stretch/>
                  </pic:blipFill>
                  <pic:spPr bwMode="auto">
                    <a:xfrm>
                      <a:off x="0" y="0"/>
                      <a:ext cx="4069434" cy="2039821"/>
                    </a:xfrm>
                    <a:prstGeom prst="rect">
                      <a:avLst/>
                    </a:prstGeom>
                    <a:ln>
                      <a:noFill/>
                    </a:ln>
                    <a:extLst>
                      <a:ext uri="{53640926-AAD7-44D8-BBD7-CCE9431645EC}">
                        <a14:shadowObscured xmlns:a14="http://schemas.microsoft.com/office/drawing/2010/main"/>
                      </a:ext>
                    </a:extLst>
                  </pic:spPr>
                </pic:pic>
              </a:graphicData>
            </a:graphic>
          </wp:inline>
        </w:drawing>
      </w:r>
    </w:p>
    <w:p w14:paraId="3277CD66" w14:textId="4B049B5F" w:rsidR="006B08EA" w:rsidRPr="005754F4" w:rsidRDefault="004E3F04" w:rsidP="005754F4">
      <w:pPr>
        <w:pStyle w:val="Caption"/>
        <w:jc w:val="center"/>
        <w:rPr>
          <w:noProof/>
          <w:sz w:val="20"/>
          <w:szCs w:val="14"/>
        </w:rPr>
      </w:pPr>
      <w:r w:rsidRPr="005754F4">
        <w:rPr>
          <w:noProof/>
          <w:sz w:val="20"/>
          <w:szCs w:val="14"/>
        </w:rPr>
        <w:t xml:space="preserve">Figure </w:t>
      </w:r>
      <w:r w:rsidRPr="005754F4">
        <w:rPr>
          <w:noProof/>
          <w:sz w:val="20"/>
          <w:szCs w:val="14"/>
        </w:rPr>
        <w:fldChar w:fldCharType="begin"/>
      </w:r>
      <w:r w:rsidRPr="005754F4">
        <w:rPr>
          <w:noProof/>
          <w:sz w:val="20"/>
          <w:szCs w:val="14"/>
          <w:lang w:val="en-IE"/>
        </w:rPr>
        <w:instrText xml:space="preserve"> SEQ Figure \* ARABIC </w:instrText>
      </w:r>
      <w:r w:rsidRPr="005754F4">
        <w:rPr>
          <w:noProof/>
          <w:sz w:val="20"/>
          <w:szCs w:val="14"/>
        </w:rPr>
        <w:fldChar w:fldCharType="separate"/>
      </w:r>
      <w:r w:rsidR="00E16D65">
        <w:rPr>
          <w:noProof/>
          <w:sz w:val="20"/>
          <w:szCs w:val="14"/>
          <w:lang w:val="en-IE"/>
        </w:rPr>
        <w:t>33</w:t>
      </w:r>
      <w:r w:rsidRPr="005754F4">
        <w:rPr>
          <w:noProof/>
          <w:sz w:val="20"/>
          <w:szCs w:val="14"/>
        </w:rPr>
        <w:fldChar w:fldCharType="end"/>
      </w:r>
      <w:r w:rsidR="005E72C6" w:rsidRPr="005754F4">
        <w:rPr>
          <w:noProof/>
          <w:sz w:val="20"/>
          <w:szCs w:val="14"/>
        </w:rPr>
        <w:t xml:space="preserve">: </w:t>
      </w:r>
      <w:r w:rsidR="004910C8" w:rsidRPr="005754F4">
        <w:rPr>
          <w:noProof/>
          <w:sz w:val="20"/>
          <w:szCs w:val="14"/>
        </w:rPr>
        <w:t>Overview</w:t>
      </w:r>
      <w:r w:rsidR="005E72C6" w:rsidRPr="005754F4">
        <w:rPr>
          <w:noProof/>
          <w:sz w:val="20"/>
          <w:szCs w:val="14"/>
        </w:rPr>
        <w:t xml:space="preserve"> Europe</w:t>
      </w:r>
      <w:r w:rsidR="004910C8" w:rsidRPr="005754F4">
        <w:rPr>
          <w:noProof/>
          <w:sz w:val="20"/>
          <w:szCs w:val="14"/>
        </w:rPr>
        <w:t>’s FDI inflow fro</w:t>
      </w:r>
      <w:r w:rsidR="00FA3395" w:rsidRPr="005754F4">
        <w:rPr>
          <w:noProof/>
          <w:sz w:val="20"/>
          <w:szCs w:val="14"/>
        </w:rPr>
        <w:t>m 2017-2022</w:t>
      </w:r>
      <w:r w:rsidR="005754F4" w:rsidRPr="005754F4">
        <w:rPr>
          <w:noProof/>
          <w:sz w:val="20"/>
          <w:szCs w:val="14"/>
        </w:rPr>
        <w:t>,</w:t>
      </w:r>
      <w:r w:rsidR="006B08EA" w:rsidRPr="005754F4">
        <w:rPr>
          <w:noProof/>
          <w:sz w:val="20"/>
          <w:szCs w:val="14"/>
        </w:rPr>
        <w:t xml:space="preserve"> ERT</w:t>
      </w:r>
      <w:r w:rsidR="0008726D" w:rsidRPr="005754F4">
        <w:rPr>
          <w:noProof/>
          <w:sz w:val="20"/>
          <w:szCs w:val="14"/>
        </w:rPr>
        <w:t xml:space="preserve"> Competitiveness of European Energy-Intensive Industries (2024)</w:t>
      </w:r>
    </w:p>
    <w:p w14:paraId="735231BC" w14:textId="05BBC24B" w:rsidR="00020031" w:rsidRPr="00FF63D1" w:rsidRDefault="00020031" w:rsidP="006D74C1">
      <w:pPr>
        <w:rPr>
          <w:rFonts w:ascii="Times" w:eastAsia="Times New Roman" w:hAnsi="Times" w:cs="Times"/>
          <w:noProof/>
        </w:rPr>
      </w:pPr>
    </w:p>
    <w:p w14:paraId="60D7C558" w14:textId="3A9AB272" w:rsidR="00020031" w:rsidRPr="00FF63D1" w:rsidRDefault="00020031" w:rsidP="00CE520D">
      <w:pPr>
        <w:spacing w:after="120"/>
        <w:rPr>
          <w:rFonts w:ascii="Times" w:eastAsia="Times New Roman" w:hAnsi="Times" w:cs="Times"/>
          <w:noProof/>
        </w:rPr>
      </w:pPr>
      <w:r w:rsidRPr="00FF63D1">
        <w:rPr>
          <w:rFonts w:ascii="Times" w:eastAsia="Times New Roman" w:hAnsi="Times" w:cs="Times"/>
          <w:noProof/>
          <w:color w:val="000000" w:themeColor="text1"/>
        </w:rPr>
        <w:t>While foreign investment is entering the Single Market, the conditions attached to these investments differ significantly among Member States. The absence of a harmonised approach and standardised conditions allows large investments to “forum-shop” and exploit the specific circumstances of individual Member States, ultimately undermining the interests of the Single Market.</w:t>
      </w:r>
      <w:r w:rsidRPr="00FF63D1">
        <w:rPr>
          <w:rFonts w:ascii="Times" w:eastAsia="Times New Roman" w:hAnsi="Times" w:cs="Times"/>
          <w:noProof/>
        </w:rPr>
        <w:t xml:space="preserve"> This results in a “race to the bottom,” where public funds are used to attract investors without ensuring adequate returns in the form of local economic development, skills, or innovation.</w:t>
      </w:r>
      <w:r w:rsidR="00661A22" w:rsidRPr="00FF63D1">
        <w:rPr>
          <w:rFonts w:ascii="Times" w:eastAsia="Times New Roman" w:hAnsi="Times" w:cs="Times"/>
          <w:noProof/>
        </w:rPr>
        <w:t xml:space="preserve"> </w:t>
      </w:r>
      <w:r w:rsidRPr="00FF63D1">
        <w:rPr>
          <w:rFonts w:ascii="Times" w:eastAsia="Times New Roman" w:hAnsi="Times" w:cs="Times"/>
          <w:noProof/>
          <w:color w:val="000000" w:themeColor="text1"/>
        </w:rPr>
        <w:t xml:space="preserve">Other limitations arise under the Foreign Subsidy Regulation, as the Commission can only set conditions to the investment to remedy the actual or potential distortion in the internal market stemming from a foreign subsidy and ensure a level playing field. Other purposes and policy objectives can only be taken into account in the balancing test, as the Commission can assess whether the negative distortive effects of the foreign subsidy are outweighed by positive effects in relation to policy objective of the Union. </w:t>
      </w:r>
      <w:r w:rsidRPr="00FF63D1">
        <w:rPr>
          <w:rFonts w:ascii="Times" w:hAnsi="Times" w:cs="Times"/>
          <w:noProof/>
        </w:rPr>
        <w:t xml:space="preserve">Section 2 explained that </w:t>
      </w:r>
      <w:r w:rsidRPr="00FF63D1">
        <w:rPr>
          <w:rFonts w:ascii="Times" w:hAnsi="Times" w:cs="Times"/>
          <w:noProof/>
          <w:color w:val="000000" w:themeColor="text1"/>
        </w:rPr>
        <w:t>a large part of the leverage resulting from the EU’s attractiveness as an investment destination cannot be effectively exercised by individual Member States acting on their own</w:t>
      </w:r>
      <w:r w:rsidRPr="00FF63D1">
        <w:rPr>
          <w:rFonts w:ascii="Times" w:hAnsi="Times" w:cs="Times"/>
          <w:b/>
          <w:noProof/>
        </w:rPr>
        <w:t>.</w:t>
      </w:r>
    </w:p>
    <w:p w14:paraId="04263E55" w14:textId="38EA4E05" w:rsidR="00020031" w:rsidRPr="00FF63D1" w:rsidRDefault="404A2814" w:rsidP="00CE520D">
      <w:pPr>
        <w:spacing w:after="120"/>
        <w:rPr>
          <w:rFonts w:ascii="Times" w:hAnsi="Times" w:cs="Times"/>
          <w:noProof/>
        </w:rPr>
      </w:pPr>
      <w:r w:rsidRPr="00FF63D1">
        <w:rPr>
          <w:rFonts w:ascii="Times" w:eastAsia="Times New Roman" w:hAnsi="Times" w:cs="Times"/>
          <w:noProof/>
          <w:color w:val="000000" w:themeColor="text1"/>
        </w:rPr>
        <w:t xml:space="preserve">As evidence to this challenge, </w:t>
      </w:r>
      <w:r w:rsidR="004E0024" w:rsidRPr="00FF63D1">
        <w:rPr>
          <w:rFonts w:ascii="Times" w:hAnsi="Times" w:cs="Times"/>
          <w:noProof/>
        </w:rPr>
        <w:fldChar w:fldCharType="begin"/>
      </w:r>
      <w:r w:rsidR="004E0024" w:rsidRPr="00FF63D1">
        <w:rPr>
          <w:rFonts w:ascii="Times" w:hAnsi="Times" w:cs="Times"/>
          <w:noProof/>
        </w:rPr>
        <w:instrText xml:space="preserve"> REF _Ref212576122 \h </w:instrText>
      </w:r>
      <w:r w:rsidR="004E0024" w:rsidRPr="00FF63D1">
        <w:rPr>
          <w:rFonts w:ascii="Times" w:hAnsi="Times" w:cs="Times"/>
          <w:noProof/>
        </w:rPr>
      </w:r>
      <w:r w:rsidR="004E0024" w:rsidRPr="00FF63D1">
        <w:rPr>
          <w:rFonts w:ascii="Times" w:hAnsi="Times" w:cs="Times"/>
          <w:noProof/>
        </w:rPr>
        <w:fldChar w:fldCharType="separate"/>
      </w:r>
      <w:r w:rsidR="00622D1D" w:rsidRPr="00FF63D1">
        <w:rPr>
          <w:rFonts w:ascii="Times" w:hAnsi="Times" w:cs="Times"/>
          <w:noProof/>
        </w:rPr>
        <w:t xml:space="preserve">Table </w:t>
      </w:r>
      <w:r w:rsidR="004E0024" w:rsidRPr="00FF63D1">
        <w:rPr>
          <w:rFonts w:ascii="Times" w:hAnsi="Times" w:cs="Times"/>
          <w:noProof/>
        </w:rPr>
        <w:fldChar w:fldCharType="end"/>
      </w:r>
      <w:r w:rsidR="00020031" w:rsidRPr="00FF63D1">
        <w:rPr>
          <w:rStyle w:val="FootnoteReference"/>
          <w:rFonts w:ascii="Times" w:hAnsi="Times" w:cs="Times"/>
          <w:noProof/>
        </w:rPr>
        <w:footnoteReference w:id="644"/>
      </w:r>
      <w:r w:rsidRPr="00FF63D1">
        <w:rPr>
          <w:rFonts w:ascii="Times" w:hAnsi="Times" w:cs="Times"/>
          <w:noProof/>
        </w:rPr>
        <w:t xml:space="preserve"> can be seen as an illustration of the more benefits secured to investment </w:t>
      </w:r>
      <w:r w:rsidRPr="00CE520D">
        <w:rPr>
          <w:rFonts w:ascii="Times" w:eastAsia="Times New Roman" w:hAnsi="Times" w:cs="Times"/>
          <w:noProof/>
          <w:color w:val="000000" w:themeColor="text1"/>
        </w:rPr>
        <w:t>in</w:t>
      </w:r>
      <w:r w:rsidRPr="00FF63D1">
        <w:rPr>
          <w:rFonts w:ascii="Times" w:hAnsi="Times" w:cs="Times"/>
          <w:noProof/>
        </w:rPr>
        <w:t xml:space="preserve"> the US vs. the EU battery value chains.</w:t>
      </w:r>
    </w:p>
    <w:p w14:paraId="4D886396" w14:textId="2D486BFE" w:rsidR="006D74C1" w:rsidRPr="00FF63D1" w:rsidRDefault="00020031" w:rsidP="008A0BFF">
      <w:pPr>
        <w:pStyle w:val="Caption"/>
        <w:keepNext/>
        <w:rPr>
          <w:noProof/>
        </w:rPr>
      </w:pPr>
      <w:bookmarkStart w:id="695" w:name="_Ref212576122"/>
      <w:r w:rsidRPr="00FF63D1">
        <w:rPr>
          <w:rFonts w:ascii="Times" w:hAnsi="Times" w:cs="Times"/>
          <w:noProof/>
        </w:rPr>
        <w:t xml:space="preserve">Table </w:t>
      </w:r>
      <w:r w:rsidR="00904E26">
        <w:rPr>
          <w:rFonts w:ascii="Times" w:hAnsi="Times" w:cs="Times"/>
          <w:noProof/>
        </w:rPr>
        <w:t>25</w:t>
      </w:r>
      <w:r w:rsidRPr="00C035B3">
        <w:rPr>
          <w:rFonts w:ascii="Times" w:hAnsi="Times"/>
          <w:i w:val="0"/>
          <w:noProof/>
        </w:rPr>
        <w:fldChar w:fldCharType="begin"/>
      </w:r>
      <w:r w:rsidRPr="00FF63D1">
        <w:rPr>
          <w:rFonts w:ascii="Times" w:hAnsi="Times" w:cs="Times"/>
          <w:noProof/>
        </w:rPr>
        <w:instrText xml:space="preserve"> SEQ Table \* ARABIC </w:instrText>
      </w:r>
      <w:r w:rsidRPr="00C035B3">
        <w:rPr>
          <w:rFonts w:ascii="Times" w:hAnsi="Times"/>
          <w:i w:val="0"/>
          <w:noProof/>
        </w:rPr>
        <w:fldChar w:fldCharType="end"/>
      </w:r>
      <w:bookmarkEnd w:id="695"/>
      <w:r w:rsidR="0008726D" w:rsidRPr="00FF63D1">
        <w:rPr>
          <w:rFonts w:ascii="Times" w:hAnsi="Times" w:cs="Times"/>
          <w:noProof/>
        </w:rPr>
        <w:t>:</w:t>
      </w:r>
      <w:r w:rsidRPr="00FF63D1">
        <w:rPr>
          <w:rFonts w:ascii="Times" w:hAnsi="Times" w:cs="Times"/>
          <w:noProof/>
        </w:rPr>
        <w:t xml:space="preserve"> T&amp;</w:t>
      </w:r>
      <w:r w:rsidR="00A94721">
        <w:rPr>
          <w:rFonts w:ascii="Times" w:hAnsi="Times" w:cs="Times"/>
          <w:noProof/>
        </w:rPr>
        <w:t>E</w:t>
      </w:r>
      <w:r w:rsidRPr="00FF63D1">
        <w:rPr>
          <w:rFonts w:ascii="Times" w:hAnsi="Times" w:cs="Times"/>
          <w:noProof/>
        </w:rPr>
        <w:t xml:space="preserve"> Briefing (February 2025) – Assembly plant or battery powerhouse? Analysis of foreign battery investments in EU.</w:t>
      </w:r>
    </w:p>
    <w:tbl>
      <w:tblPr>
        <w:tblStyle w:val="TableGrid"/>
        <w:tblpPr w:leftFromText="180" w:rightFromText="180"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928"/>
        <w:gridCol w:w="1803"/>
        <w:gridCol w:w="1655"/>
        <w:gridCol w:w="1975"/>
      </w:tblGrid>
      <w:tr w:rsidR="00020031" w:rsidRPr="00FF63D1" w14:paraId="012208BA" w14:textId="77777777" w:rsidTr="00904E26">
        <w:tc>
          <w:tcPr>
            <w:tcW w:w="918" w:type="pct"/>
          </w:tcPr>
          <w:p w14:paraId="772430FD" w14:textId="77777777" w:rsidR="00020031" w:rsidRPr="00FF63D1" w:rsidRDefault="00020031" w:rsidP="006D74C1">
            <w:pPr>
              <w:rPr>
                <w:rFonts w:ascii="Times" w:hAnsi="Times" w:cs="Times"/>
                <w:noProof/>
                <w:sz w:val="22"/>
              </w:rPr>
            </w:pPr>
          </w:p>
        </w:tc>
        <w:tc>
          <w:tcPr>
            <w:tcW w:w="1069" w:type="pct"/>
          </w:tcPr>
          <w:p w14:paraId="42785EE8"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 xml:space="preserve">VW + </w:t>
            </w:r>
          </w:p>
          <w:p w14:paraId="1EDDD402"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Gotion Partnership</w:t>
            </w:r>
          </w:p>
        </w:tc>
        <w:tc>
          <w:tcPr>
            <w:tcW w:w="1000" w:type="pct"/>
          </w:tcPr>
          <w:p w14:paraId="3F1B0F84"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 xml:space="preserve">Gotion + </w:t>
            </w:r>
          </w:p>
          <w:p w14:paraId="0C2F1D0A"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Inobat JV</w:t>
            </w:r>
          </w:p>
        </w:tc>
        <w:tc>
          <w:tcPr>
            <w:tcW w:w="918" w:type="pct"/>
          </w:tcPr>
          <w:p w14:paraId="0679B332"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 xml:space="preserve">Stellantis + </w:t>
            </w:r>
          </w:p>
          <w:p w14:paraId="05DC3F3D"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CATL JV</w:t>
            </w:r>
          </w:p>
        </w:tc>
        <w:tc>
          <w:tcPr>
            <w:tcW w:w="1096" w:type="pct"/>
          </w:tcPr>
          <w:p w14:paraId="6D72B1DE"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 xml:space="preserve">Tesla + </w:t>
            </w:r>
          </w:p>
          <w:p w14:paraId="641E8004" w14:textId="77777777" w:rsidR="00020031" w:rsidRPr="00FF63D1" w:rsidRDefault="00020031" w:rsidP="006D74C1">
            <w:pPr>
              <w:jc w:val="center"/>
              <w:rPr>
                <w:rFonts w:ascii="Times" w:hAnsi="Times" w:cs="Times"/>
                <w:b/>
                <w:noProof/>
                <w:sz w:val="22"/>
              </w:rPr>
            </w:pPr>
            <w:r w:rsidRPr="00FF63D1">
              <w:rPr>
                <w:rFonts w:ascii="Times" w:hAnsi="Times" w:cs="Times"/>
                <w:b/>
                <w:noProof/>
                <w:sz w:val="22"/>
              </w:rPr>
              <w:t>CATL (US)</w:t>
            </w:r>
          </w:p>
        </w:tc>
      </w:tr>
      <w:tr w:rsidR="00020031" w:rsidRPr="00FF63D1" w14:paraId="182952BF" w14:textId="77777777" w:rsidTr="00904E26">
        <w:tc>
          <w:tcPr>
            <w:tcW w:w="918" w:type="pct"/>
          </w:tcPr>
          <w:p w14:paraId="11B570EF" w14:textId="77777777" w:rsidR="00020031" w:rsidRPr="00FF63D1" w:rsidRDefault="00020031" w:rsidP="006D74C1">
            <w:pPr>
              <w:rPr>
                <w:rFonts w:ascii="Times" w:hAnsi="Times" w:cs="Times"/>
                <w:b/>
                <w:noProof/>
                <w:sz w:val="22"/>
              </w:rPr>
            </w:pPr>
            <w:r w:rsidRPr="00FF63D1">
              <w:rPr>
                <w:rFonts w:ascii="Times" w:hAnsi="Times" w:cs="Times"/>
                <w:b/>
                <w:noProof/>
                <w:sz w:val="22"/>
              </w:rPr>
              <w:t>Ownership structure</w:t>
            </w:r>
          </w:p>
        </w:tc>
        <w:tc>
          <w:tcPr>
            <w:tcW w:w="1069" w:type="pct"/>
          </w:tcPr>
          <w:p w14:paraId="78BA3E7D" w14:textId="77777777" w:rsidR="00020031" w:rsidRPr="00FF63D1" w:rsidRDefault="00020031" w:rsidP="006D74C1">
            <w:pPr>
              <w:jc w:val="center"/>
              <w:rPr>
                <w:rFonts w:ascii="Times" w:hAnsi="Times" w:cs="Times"/>
                <w:noProof/>
                <w:sz w:val="22"/>
              </w:rPr>
            </w:pPr>
            <w:r w:rsidRPr="00FF63D1">
              <w:rPr>
                <w:rFonts w:ascii="Times" w:hAnsi="Times" w:cs="Times"/>
                <w:noProof/>
                <w:sz w:val="22"/>
              </w:rPr>
              <w:t>VW holds 26.47% in Gotion</w:t>
            </w:r>
          </w:p>
        </w:tc>
        <w:tc>
          <w:tcPr>
            <w:tcW w:w="1000" w:type="pct"/>
          </w:tcPr>
          <w:p w14:paraId="1BFC398F" w14:textId="77777777" w:rsidR="00020031" w:rsidRPr="00FF63D1" w:rsidRDefault="00020031" w:rsidP="006D74C1">
            <w:pPr>
              <w:jc w:val="center"/>
              <w:rPr>
                <w:rFonts w:ascii="Times" w:hAnsi="Times" w:cs="Times"/>
                <w:noProof/>
                <w:sz w:val="22"/>
              </w:rPr>
            </w:pPr>
            <w:r w:rsidRPr="00FF63D1">
              <w:rPr>
                <w:rFonts w:ascii="Times" w:hAnsi="Times" w:cs="Times"/>
                <w:noProof/>
                <w:sz w:val="22"/>
              </w:rPr>
              <w:t>Gotion: 80%</w:t>
            </w:r>
          </w:p>
          <w:p w14:paraId="3638F3A6" w14:textId="77777777" w:rsidR="00020031" w:rsidRPr="00FF63D1" w:rsidRDefault="00020031" w:rsidP="006D74C1">
            <w:pPr>
              <w:jc w:val="center"/>
              <w:rPr>
                <w:rFonts w:ascii="Times" w:hAnsi="Times" w:cs="Times"/>
                <w:noProof/>
                <w:sz w:val="22"/>
              </w:rPr>
            </w:pPr>
            <w:r w:rsidRPr="00FF63D1">
              <w:rPr>
                <w:rFonts w:ascii="Times" w:hAnsi="Times" w:cs="Times"/>
                <w:noProof/>
                <w:sz w:val="22"/>
              </w:rPr>
              <w:t>Inobat: 20%</w:t>
            </w:r>
          </w:p>
        </w:tc>
        <w:tc>
          <w:tcPr>
            <w:tcW w:w="918" w:type="pct"/>
          </w:tcPr>
          <w:p w14:paraId="41E7F2D5" w14:textId="77777777" w:rsidR="00020031" w:rsidRPr="00FF63D1" w:rsidRDefault="00020031" w:rsidP="006D74C1">
            <w:pPr>
              <w:jc w:val="center"/>
              <w:rPr>
                <w:rFonts w:ascii="Times" w:hAnsi="Times" w:cs="Times"/>
                <w:noProof/>
                <w:sz w:val="22"/>
              </w:rPr>
            </w:pPr>
            <w:r w:rsidRPr="00FF63D1">
              <w:rPr>
                <w:rFonts w:ascii="Times" w:hAnsi="Times" w:cs="Times"/>
                <w:noProof/>
                <w:sz w:val="22"/>
              </w:rPr>
              <w:t>Stellantis: 50%</w:t>
            </w:r>
          </w:p>
          <w:p w14:paraId="7A5BB2D0" w14:textId="77777777" w:rsidR="00020031" w:rsidRPr="00FF63D1" w:rsidRDefault="00020031" w:rsidP="006D74C1">
            <w:pPr>
              <w:jc w:val="center"/>
              <w:rPr>
                <w:rFonts w:ascii="Times" w:hAnsi="Times" w:cs="Times"/>
                <w:noProof/>
                <w:sz w:val="22"/>
              </w:rPr>
            </w:pPr>
            <w:r w:rsidRPr="00FF63D1">
              <w:rPr>
                <w:rFonts w:ascii="Times" w:hAnsi="Times" w:cs="Times"/>
                <w:noProof/>
                <w:sz w:val="22"/>
              </w:rPr>
              <w:t>CATL: 50%</w:t>
            </w:r>
          </w:p>
        </w:tc>
        <w:tc>
          <w:tcPr>
            <w:tcW w:w="1096" w:type="pct"/>
          </w:tcPr>
          <w:p w14:paraId="2AE7C2CF" w14:textId="77777777" w:rsidR="00020031" w:rsidRPr="00FF63D1" w:rsidRDefault="00020031" w:rsidP="006D74C1">
            <w:pPr>
              <w:jc w:val="center"/>
              <w:rPr>
                <w:rFonts w:ascii="Times" w:hAnsi="Times" w:cs="Times"/>
                <w:noProof/>
                <w:sz w:val="22"/>
              </w:rPr>
            </w:pPr>
            <w:r w:rsidRPr="00FF63D1">
              <w:rPr>
                <w:rFonts w:ascii="Times" w:hAnsi="Times" w:cs="Times"/>
                <w:noProof/>
                <w:sz w:val="22"/>
              </w:rPr>
              <w:t>100% owned by Tesla (including equipment)</w:t>
            </w:r>
          </w:p>
        </w:tc>
      </w:tr>
      <w:tr w:rsidR="00020031" w:rsidRPr="00FF63D1" w14:paraId="7797CD3F" w14:textId="77777777" w:rsidTr="00904E26">
        <w:tc>
          <w:tcPr>
            <w:tcW w:w="918" w:type="pct"/>
          </w:tcPr>
          <w:p w14:paraId="0458312C" w14:textId="77777777" w:rsidR="00020031" w:rsidRPr="00FF63D1" w:rsidRDefault="00020031" w:rsidP="006D74C1">
            <w:pPr>
              <w:rPr>
                <w:rFonts w:ascii="Times" w:hAnsi="Times" w:cs="Times"/>
                <w:b/>
                <w:noProof/>
                <w:sz w:val="22"/>
              </w:rPr>
            </w:pPr>
            <w:r w:rsidRPr="00FF63D1">
              <w:rPr>
                <w:rFonts w:ascii="Times" w:hAnsi="Times" w:cs="Times"/>
                <w:b/>
                <w:noProof/>
                <w:sz w:val="22"/>
              </w:rPr>
              <w:t>IP or technology transfer provisions</w:t>
            </w:r>
          </w:p>
        </w:tc>
        <w:tc>
          <w:tcPr>
            <w:tcW w:w="1069" w:type="pct"/>
          </w:tcPr>
          <w:p w14:paraId="466318E9" w14:textId="77777777" w:rsidR="00020031" w:rsidRPr="00FF63D1" w:rsidRDefault="00020031" w:rsidP="006D74C1">
            <w:pPr>
              <w:jc w:val="center"/>
              <w:rPr>
                <w:rFonts w:ascii="Times" w:hAnsi="Times" w:cs="Times"/>
                <w:noProof/>
                <w:sz w:val="22"/>
              </w:rPr>
            </w:pPr>
            <w:r w:rsidRPr="00FF63D1">
              <w:rPr>
                <w:rFonts w:ascii="Times" w:hAnsi="Times" w:cs="Times"/>
                <w:noProof/>
                <w:sz w:val="22"/>
              </w:rPr>
              <w:t>“Limited”</w:t>
            </w:r>
          </w:p>
        </w:tc>
        <w:tc>
          <w:tcPr>
            <w:tcW w:w="1000" w:type="pct"/>
          </w:tcPr>
          <w:p w14:paraId="62BF77C3" w14:textId="77777777" w:rsidR="00020031" w:rsidRPr="00FF63D1" w:rsidRDefault="00020031" w:rsidP="006D74C1">
            <w:pPr>
              <w:jc w:val="center"/>
              <w:rPr>
                <w:rFonts w:ascii="Times" w:hAnsi="Times" w:cs="Times"/>
                <w:noProof/>
                <w:sz w:val="22"/>
              </w:rPr>
            </w:pPr>
            <w:r w:rsidRPr="00FF63D1">
              <w:rPr>
                <w:rFonts w:ascii="Times" w:hAnsi="Times" w:cs="Times"/>
                <w:noProof/>
                <w:sz w:val="22"/>
              </w:rPr>
              <w:t>Some</w:t>
            </w:r>
          </w:p>
        </w:tc>
        <w:tc>
          <w:tcPr>
            <w:tcW w:w="918" w:type="pct"/>
          </w:tcPr>
          <w:p w14:paraId="66625ADD"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c>
          <w:tcPr>
            <w:tcW w:w="1096" w:type="pct"/>
          </w:tcPr>
          <w:p w14:paraId="6644C71F" w14:textId="77777777" w:rsidR="00020031" w:rsidRPr="00FF63D1" w:rsidRDefault="00020031" w:rsidP="006D74C1">
            <w:pPr>
              <w:jc w:val="center"/>
              <w:rPr>
                <w:rFonts w:ascii="Times" w:hAnsi="Times" w:cs="Times"/>
                <w:b/>
                <w:noProof/>
                <w:sz w:val="22"/>
              </w:rPr>
            </w:pPr>
            <w:r w:rsidRPr="00FF63D1">
              <w:rPr>
                <w:rFonts w:ascii="Segoe UI Symbol" w:hAnsi="Segoe UI Symbol" w:cs="Segoe UI Symbol"/>
                <w:b/>
                <w:noProof/>
                <w:sz w:val="22"/>
              </w:rPr>
              <w:t>✓</w:t>
            </w:r>
          </w:p>
        </w:tc>
      </w:tr>
      <w:tr w:rsidR="00020031" w:rsidRPr="00FF63D1" w14:paraId="16C46B46" w14:textId="77777777" w:rsidTr="00904E26">
        <w:tc>
          <w:tcPr>
            <w:tcW w:w="918" w:type="pct"/>
          </w:tcPr>
          <w:p w14:paraId="15A9D3B0" w14:textId="77777777" w:rsidR="00020031" w:rsidRPr="00FF63D1" w:rsidRDefault="00020031" w:rsidP="006D74C1">
            <w:pPr>
              <w:rPr>
                <w:rFonts w:ascii="Times" w:hAnsi="Times" w:cs="Times"/>
                <w:b/>
                <w:noProof/>
                <w:sz w:val="22"/>
              </w:rPr>
            </w:pPr>
            <w:r w:rsidRPr="00FF63D1">
              <w:rPr>
                <w:rFonts w:ascii="Times" w:hAnsi="Times" w:cs="Times"/>
                <w:b/>
                <w:noProof/>
                <w:sz w:val="22"/>
              </w:rPr>
              <w:t>Local supply chain</w:t>
            </w:r>
          </w:p>
        </w:tc>
        <w:tc>
          <w:tcPr>
            <w:tcW w:w="1069" w:type="pct"/>
          </w:tcPr>
          <w:p w14:paraId="2F2ACCB2"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c>
          <w:tcPr>
            <w:tcW w:w="1000" w:type="pct"/>
          </w:tcPr>
          <w:p w14:paraId="17FBA6A0"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c>
          <w:tcPr>
            <w:tcW w:w="918" w:type="pct"/>
          </w:tcPr>
          <w:p w14:paraId="2C34196C"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c>
          <w:tcPr>
            <w:tcW w:w="1096" w:type="pct"/>
          </w:tcPr>
          <w:p w14:paraId="65C02125"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r>
      <w:tr w:rsidR="00020031" w:rsidRPr="00FF63D1" w14:paraId="15FD33D1" w14:textId="77777777" w:rsidTr="00904E26">
        <w:tc>
          <w:tcPr>
            <w:tcW w:w="918" w:type="pct"/>
          </w:tcPr>
          <w:p w14:paraId="08542650" w14:textId="77777777" w:rsidR="00020031" w:rsidRPr="00FF63D1" w:rsidRDefault="00020031" w:rsidP="006D74C1">
            <w:pPr>
              <w:rPr>
                <w:rFonts w:ascii="Times" w:hAnsi="Times" w:cs="Times"/>
                <w:b/>
                <w:noProof/>
                <w:sz w:val="22"/>
              </w:rPr>
            </w:pPr>
            <w:r w:rsidRPr="00FF63D1">
              <w:rPr>
                <w:rFonts w:ascii="Times" w:hAnsi="Times" w:cs="Times"/>
                <w:b/>
                <w:noProof/>
                <w:sz w:val="22"/>
              </w:rPr>
              <w:t>Local workforce</w:t>
            </w:r>
          </w:p>
        </w:tc>
        <w:tc>
          <w:tcPr>
            <w:tcW w:w="1069" w:type="pct"/>
          </w:tcPr>
          <w:p w14:paraId="1F4E8249" w14:textId="259D8651" w:rsidR="00020031" w:rsidRPr="00FF63D1" w:rsidRDefault="00020031" w:rsidP="006D74C1">
            <w:pPr>
              <w:jc w:val="center"/>
              <w:rPr>
                <w:rFonts w:ascii="Times" w:hAnsi="Times" w:cs="Times"/>
                <w:noProof/>
                <w:sz w:val="22"/>
              </w:rPr>
            </w:pPr>
            <w:r w:rsidRPr="00FF63D1">
              <w:rPr>
                <w:rFonts w:ascii="Times" w:hAnsi="Times" w:cs="Times"/>
                <w:noProof/>
                <w:sz w:val="22"/>
              </w:rPr>
              <w:t xml:space="preserve">Local </w:t>
            </w:r>
            <w:r w:rsidRPr="00FF63D1" w:rsidDel="00787D54">
              <w:rPr>
                <w:rFonts w:ascii="Times" w:hAnsi="Times" w:cs="Times"/>
                <w:noProof/>
                <w:sz w:val="22"/>
              </w:rPr>
              <w:t>R&amp;</w:t>
            </w:r>
            <w:r w:rsidR="00787D54" w:rsidRPr="00FF63D1">
              <w:rPr>
                <w:rFonts w:ascii="Times" w:hAnsi="Times" w:cs="Times"/>
                <w:noProof/>
                <w:sz w:val="22"/>
              </w:rPr>
              <w:t>I</w:t>
            </w:r>
            <w:r w:rsidRPr="00FF63D1">
              <w:rPr>
                <w:rFonts w:ascii="Times" w:hAnsi="Times" w:cs="Times"/>
                <w:noProof/>
                <w:sz w:val="22"/>
              </w:rPr>
              <w:t xml:space="preserve"> centre</w:t>
            </w:r>
          </w:p>
        </w:tc>
        <w:tc>
          <w:tcPr>
            <w:tcW w:w="1000" w:type="pct"/>
          </w:tcPr>
          <w:p w14:paraId="21E8FF57" w14:textId="77777777" w:rsidR="00020031" w:rsidRPr="00FF63D1" w:rsidRDefault="00020031" w:rsidP="006D74C1">
            <w:pPr>
              <w:jc w:val="center"/>
              <w:rPr>
                <w:rFonts w:ascii="Times" w:hAnsi="Times" w:cs="Times"/>
                <w:noProof/>
                <w:sz w:val="22"/>
              </w:rPr>
            </w:pPr>
            <w:r w:rsidRPr="00FF63D1">
              <w:rPr>
                <w:rFonts w:ascii="Times" w:hAnsi="Times" w:cs="Times"/>
                <w:noProof/>
                <w:sz w:val="22"/>
              </w:rPr>
              <w:t>Some, including local schools</w:t>
            </w:r>
          </w:p>
        </w:tc>
        <w:tc>
          <w:tcPr>
            <w:tcW w:w="918" w:type="pct"/>
          </w:tcPr>
          <w:p w14:paraId="029877C3" w14:textId="77777777" w:rsidR="00020031" w:rsidRPr="00FF63D1" w:rsidRDefault="00020031" w:rsidP="006D74C1">
            <w:pPr>
              <w:jc w:val="center"/>
              <w:rPr>
                <w:rFonts w:ascii="Times" w:hAnsi="Times" w:cs="Times"/>
                <w:noProof/>
                <w:sz w:val="22"/>
              </w:rPr>
            </w:pPr>
            <w:r w:rsidRPr="00FF63D1">
              <w:rPr>
                <w:rFonts w:ascii="Times" w:hAnsi="Times" w:cs="Times"/>
                <w:noProof/>
                <w:sz w:val="22"/>
              </w:rPr>
              <w:t>No known provisions</w:t>
            </w:r>
          </w:p>
        </w:tc>
        <w:tc>
          <w:tcPr>
            <w:tcW w:w="1096" w:type="pct"/>
          </w:tcPr>
          <w:p w14:paraId="2E372E6F" w14:textId="77777777" w:rsidR="00020031" w:rsidRPr="00FF63D1" w:rsidRDefault="00020031" w:rsidP="006D74C1">
            <w:pPr>
              <w:jc w:val="center"/>
              <w:rPr>
                <w:rFonts w:ascii="Times" w:hAnsi="Times" w:cs="Times"/>
                <w:noProof/>
                <w:sz w:val="22"/>
              </w:rPr>
            </w:pPr>
            <w:r w:rsidRPr="00FF63D1">
              <w:rPr>
                <w:rFonts w:ascii="Segoe UI Symbol" w:hAnsi="Segoe UI Symbol" w:cs="Segoe UI Symbol"/>
                <w:b/>
                <w:noProof/>
                <w:sz w:val="22"/>
              </w:rPr>
              <w:t>✓</w:t>
            </w:r>
          </w:p>
        </w:tc>
      </w:tr>
      <w:tr w:rsidR="00020031" w:rsidRPr="00FF63D1" w14:paraId="788BCE05" w14:textId="77777777" w:rsidTr="00904E26">
        <w:tc>
          <w:tcPr>
            <w:tcW w:w="918" w:type="pct"/>
          </w:tcPr>
          <w:p w14:paraId="2DB99B17" w14:textId="77777777" w:rsidR="00020031" w:rsidRPr="00FF63D1" w:rsidRDefault="00020031" w:rsidP="006D74C1">
            <w:pPr>
              <w:rPr>
                <w:rFonts w:ascii="Times" w:hAnsi="Times" w:cs="Times"/>
                <w:b/>
                <w:noProof/>
                <w:sz w:val="22"/>
              </w:rPr>
            </w:pPr>
            <w:r w:rsidRPr="00FF63D1">
              <w:rPr>
                <w:rFonts w:ascii="Times" w:hAnsi="Times" w:cs="Times"/>
                <w:b/>
                <w:noProof/>
                <w:sz w:val="22"/>
              </w:rPr>
              <w:t>Equal decision-making on battery side</w:t>
            </w:r>
          </w:p>
        </w:tc>
        <w:tc>
          <w:tcPr>
            <w:tcW w:w="1069" w:type="pct"/>
          </w:tcPr>
          <w:p w14:paraId="447F83BE"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c>
          <w:tcPr>
            <w:tcW w:w="1000" w:type="pct"/>
          </w:tcPr>
          <w:p w14:paraId="6AEDE750"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c>
          <w:tcPr>
            <w:tcW w:w="918" w:type="pct"/>
          </w:tcPr>
          <w:p w14:paraId="43CFD95B" w14:textId="77777777" w:rsidR="00020031" w:rsidRPr="00FF63D1" w:rsidRDefault="00020031" w:rsidP="006D74C1">
            <w:pPr>
              <w:jc w:val="center"/>
              <w:rPr>
                <w:rFonts w:ascii="Times" w:hAnsi="Times" w:cs="Times"/>
                <w:noProof/>
                <w:sz w:val="22"/>
              </w:rPr>
            </w:pPr>
            <w:r w:rsidRPr="00FF63D1">
              <w:rPr>
                <w:rFonts w:ascii="Segoe UI Emoji" w:hAnsi="Segoe UI Emoji" w:cs="Segoe UI Emoji"/>
                <w:noProof/>
                <w:sz w:val="22"/>
              </w:rPr>
              <w:t>❌</w:t>
            </w:r>
          </w:p>
        </w:tc>
        <w:tc>
          <w:tcPr>
            <w:tcW w:w="1096" w:type="pct"/>
          </w:tcPr>
          <w:p w14:paraId="17D2441D" w14:textId="77777777" w:rsidR="00020031" w:rsidRPr="00FF63D1" w:rsidRDefault="00020031" w:rsidP="006D74C1">
            <w:pPr>
              <w:jc w:val="center"/>
              <w:rPr>
                <w:rFonts w:ascii="Times" w:hAnsi="Times" w:cs="Times"/>
                <w:noProof/>
                <w:sz w:val="22"/>
              </w:rPr>
            </w:pPr>
            <w:r w:rsidRPr="00FF63D1">
              <w:rPr>
                <w:rFonts w:ascii="Segoe UI Symbol" w:hAnsi="Segoe UI Symbol" w:cs="Segoe UI Symbol"/>
                <w:b/>
                <w:noProof/>
                <w:sz w:val="22"/>
              </w:rPr>
              <w:t>✓</w:t>
            </w:r>
          </w:p>
        </w:tc>
      </w:tr>
    </w:tbl>
    <w:p w14:paraId="266B8C94" w14:textId="77777777" w:rsidR="00020031" w:rsidRPr="00FF63D1" w:rsidRDefault="00020031" w:rsidP="006D74C1">
      <w:pPr>
        <w:rPr>
          <w:rFonts w:ascii="Times" w:hAnsi="Times" w:cs="Times"/>
          <w:noProof/>
        </w:rPr>
      </w:pPr>
    </w:p>
    <w:p w14:paraId="06FCDFDD" w14:textId="5DB31B21" w:rsidR="00020031" w:rsidRPr="00AB1DF9" w:rsidDel="00151664" w:rsidRDefault="00020031" w:rsidP="006D74C1">
      <w:pPr>
        <w:pStyle w:val="Heading3"/>
        <w:numPr>
          <w:ilvl w:val="2"/>
          <w:numId w:val="0"/>
        </w:numPr>
        <w:tabs>
          <w:tab w:val="num" w:pos="360"/>
        </w:tabs>
        <w:spacing w:before="0" w:after="0"/>
        <w:rPr>
          <w:rFonts w:ascii="Times" w:hAnsi="Times" w:cs="Times"/>
          <w:b/>
          <w:i w:val="0"/>
        </w:rPr>
      </w:pPr>
      <w:r w:rsidRPr="00AB1DF9" w:rsidDel="00151664">
        <w:rPr>
          <w:rFonts w:ascii="Times" w:hAnsi="Times" w:cs="Times"/>
          <w:b/>
          <w:i w:val="0"/>
        </w:rPr>
        <w:t xml:space="preserve">Sub-problem 3: Industrial decarbonisation technologies are </w:t>
      </w:r>
      <w:r w:rsidR="00247613" w:rsidRPr="00AB1DF9">
        <w:rPr>
          <w:rFonts w:ascii="Times" w:hAnsi="Times" w:cs="Times"/>
          <w:b/>
          <w:i w:val="0"/>
        </w:rPr>
        <w:t>not</w:t>
      </w:r>
      <w:r w:rsidRPr="00AB1DF9" w:rsidDel="00151664">
        <w:rPr>
          <w:rFonts w:ascii="Times" w:hAnsi="Times" w:cs="Times"/>
          <w:b/>
          <w:i w:val="0"/>
        </w:rPr>
        <w:t xml:space="preserve"> deployed at scale </w:t>
      </w:r>
    </w:p>
    <w:p w14:paraId="2E24C973" w14:textId="77777777" w:rsidR="00020031" w:rsidRPr="00FF63D1" w:rsidDel="00151664" w:rsidRDefault="00020031" w:rsidP="006D74C1">
      <w:pPr>
        <w:rPr>
          <w:rFonts w:ascii="Times" w:hAnsi="Times" w:cs="Times"/>
          <w:noProof/>
        </w:rPr>
      </w:pPr>
    </w:p>
    <w:p w14:paraId="5451020A" w14:textId="6C270F60" w:rsidR="00020031" w:rsidRPr="00FF63D1" w:rsidDel="00151664" w:rsidRDefault="54255F24" w:rsidP="00A95F0B">
      <w:pPr>
        <w:spacing w:after="120"/>
        <w:rPr>
          <w:rFonts w:ascii="Times" w:eastAsiaTheme="minorEastAsia" w:hAnsi="Times" w:cs="Times"/>
          <w:noProof/>
        </w:rPr>
      </w:pPr>
      <w:r w:rsidRPr="3F0F1197">
        <w:rPr>
          <w:rFonts w:ascii="Times" w:eastAsiaTheme="minorEastAsia" w:hAnsi="Times" w:cs="Times"/>
          <w:noProof/>
        </w:rPr>
        <w:t>D</w:t>
      </w:r>
      <w:r w:rsidR="404A2814" w:rsidRPr="3F0F1197" w:rsidDel="00151664">
        <w:rPr>
          <w:rFonts w:ascii="Times" w:eastAsiaTheme="minorEastAsia" w:hAnsi="Times" w:cs="Times"/>
          <w:noProof/>
        </w:rPr>
        <w:t xml:space="preserve">ecarbonisation requires large upfront capital costs (CAPEX) due to the need for new equipment, new or upgraded technologies, including electrification and flexible demand, hybrid technologies and process changes. The operational costs (OPEX) of producing with greener </w:t>
      </w:r>
      <w:r w:rsidR="404A2814" w:rsidRPr="00A95F0B" w:rsidDel="00151664">
        <w:rPr>
          <w:rFonts w:ascii="Times" w:hAnsi="Times" w:cs="Times"/>
          <w:noProof/>
          <w:color w:val="000000" w:themeColor="text1"/>
        </w:rPr>
        <w:t>technologies</w:t>
      </w:r>
      <w:r w:rsidR="404A2814" w:rsidRPr="3F0F1197" w:rsidDel="00151664">
        <w:rPr>
          <w:rFonts w:ascii="Times" w:eastAsiaTheme="minorEastAsia" w:hAnsi="Times" w:cs="Times"/>
          <w:noProof/>
        </w:rPr>
        <w:t xml:space="preserve"> for early adopters are uncertain when technologies are not mature and are higher than those of traditional technologies</w:t>
      </w:r>
      <w:r w:rsidR="00020031" w:rsidRPr="3F0F1197" w:rsidDel="00151664">
        <w:rPr>
          <w:rStyle w:val="FootnoteReference"/>
          <w:rFonts w:ascii="Times" w:eastAsiaTheme="minorEastAsia" w:hAnsi="Times" w:cs="Times"/>
          <w:noProof/>
        </w:rPr>
        <w:footnoteReference w:id="645"/>
      </w:r>
      <w:r w:rsidR="404A2814" w:rsidRPr="3F0F1197" w:rsidDel="00151664">
        <w:rPr>
          <w:rFonts w:ascii="Times" w:eastAsiaTheme="minorEastAsia" w:hAnsi="Times" w:cs="Times"/>
          <w:noProof/>
        </w:rPr>
        <w:t xml:space="preserve">, as long as electricity and low-carbon fuel prices remain high in Europe and higher in comparison with fossil fuels prices. </w:t>
      </w:r>
    </w:p>
    <w:p w14:paraId="11D36CCB" w14:textId="77777777" w:rsidR="00020031" w:rsidRPr="00FF63D1" w:rsidDel="00151664" w:rsidRDefault="404A2814" w:rsidP="00A95F0B">
      <w:pPr>
        <w:spacing w:after="120"/>
        <w:rPr>
          <w:rFonts w:ascii="Times" w:eastAsiaTheme="minorEastAsia" w:hAnsi="Times" w:cs="Times"/>
          <w:noProof/>
        </w:rPr>
      </w:pPr>
      <w:r w:rsidRPr="3F0F1197" w:rsidDel="00151664">
        <w:rPr>
          <w:rFonts w:ascii="Times" w:eastAsiaTheme="minorEastAsia" w:hAnsi="Times" w:cs="Times"/>
          <w:noProof/>
        </w:rPr>
        <w:t>For instance, estimates suggest that green steel production would be approximately 17% more expensive in Europe compared to the US and Saudi Arabia in 2030.</w:t>
      </w:r>
      <w:r w:rsidR="00020031" w:rsidRPr="3F0F1197" w:rsidDel="00151664">
        <w:rPr>
          <w:rStyle w:val="FootnoteReference"/>
          <w:rFonts w:ascii="Times" w:eastAsiaTheme="minorEastAsia" w:hAnsi="Times" w:cs="Times"/>
          <w:noProof/>
        </w:rPr>
        <w:footnoteReference w:id="646"/>
      </w:r>
      <w:r w:rsidRPr="3F0F1197" w:rsidDel="00151664">
        <w:rPr>
          <w:rFonts w:ascii="Times" w:eastAsiaTheme="minorEastAsia" w:hAnsi="Times" w:cs="Times"/>
          <w:noProof/>
        </w:rPr>
        <w:t xml:space="preserve"> The competitive disadvantage that certain EIIs, like steel, suffer from would therefore remain even after decarbonising. </w:t>
      </w:r>
    </w:p>
    <w:p w14:paraId="77016E2D" w14:textId="07776B4F" w:rsidR="00020031" w:rsidRPr="00FF63D1" w:rsidDel="00151664" w:rsidRDefault="404A2814" w:rsidP="00A95F0B">
      <w:pPr>
        <w:spacing w:after="120"/>
        <w:rPr>
          <w:rFonts w:ascii="Times" w:eastAsia="Times New Roman" w:hAnsi="Times" w:cs="Times"/>
          <w:noProof/>
        </w:rPr>
      </w:pPr>
      <w:r w:rsidRPr="3F0F1197" w:rsidDel="00151664">
        <w:rPr>
          <w:rFonts w:ascii="Times" w:eastAsiaTheme="minorEastAsia" w:hAnsi="Times" w:cs="Times"/>
          <w:noProof/>
        </w:rPr>
        <w:t>Furthermore, these technologies have very long payback times and are often unavailable at large scale</w:t>
      </w:r>
      <w:r w:rsidR="00020031" w:rsidRPr="3F0F1197" w:rsidDel="00151664">
        <w:rPr>
          <w:rStyle w:val="FootnoteReference"/>
          <w:rFonts w:ascii="Times" w:eastAsiaTheme="minorEastAsia" w:hAnsi="Times" w:cs="Times"/>
          <w:noProof/>
        </w:rPr>
        <w:footnoteReference w:id="647"/>
      </w:r>
      <w:r w:rsidRPr="3F0F1197" w:rsidDel="00151664">
        <w:rPr>
          <w:rFonts w:ascii="Times" w:eastAsiaTheme="minorEastAsia" w:hAnsi="Times" w:cs="Times"/>
          <w:noProof/>
        </w:rPr>
        <w:t>. The unfavourable price ratio between electricity and fossil fuels and the uncertainty about future evolution of the price ratio, risk delaying investments in electrification and energy efficiency technologies including for industrial processes.</w:t>
      </w:r>
      <w:r w:rsidRPr="00FF63D1" w:rsidDel="00151664">
        <w:rPr>
          <w:rFonts w:ascii="Times" w:eastAsia="Times New Roman" w:hAnsi="Times" w:cs="Times"/>
          <w:noProof/>
          <w:color w:val="751D20"/>
          <w:u w:val="single"/>
        </w:rPr>
        <w:t xml:space="preserve"> </w:t>
      </w:r>
      <w:r w:rsidR="40AC6037" w:rsidRPr="00FF63D1">
        <w:rPr>
          <w:rFonts w:ascii="Times" w:eastAsia="Times New Roman" w:hAnsi="Times" w:cs="Times"/>
          <w:noProof/>
        </w:rPr>
        <w:t xml:space="preserve">See more in Annex </w:t>
      </w:r>
      <w:r w:rsidR="2D536ED9">
        <w:rPr>
          <w:rFonts w:ascii="Times" w:eastAsia="Times New Roman" w:hAnsi="Times" w:cs="Times"/>
          <w:noProof/>
        </w:rPr>
        <w:t>7</w:t>
      </w:r>
    </w:p>
    <w:p w14:paraId="0CECAAAA" w14:textId="755ED319" w:rsidR="00020031" w:rsidRPr="00FF63D1" w:rsidDel="00151664" w:rsidRDefault="00020031" w:rsidP="00D113EA">
      <w:pPr>
        <w:pStyle w:val="Heading4"/>
        <w:numPr>
          <w:ilvl w:val="0"/>
          <w:numId w:val="0"/>
        </w:numPr>
        <w:spacing w:before="0" w:after="0"/>
        <w:ind w:left="864" w:hanging="864"/>
        <w:rPr>
          <w:rFonts w:eastAsia="Times New Roman"/>
          <w:b/>
          <w:noProof/>
          <w:color w:val="auto"/>
        </w:rPr>
      </w:pPr>
      <w:r w:rsidRPr="00FF63D1" w:rsidDel="00151664">
        <w:rPr>
          <w:rFonts w:eastAsiaTheme="minorEastAsia"/>
          <w:b/>
          <w:noProof/>
          <w:color w:val="auto"/>
        </w:rPr>
        <w:t xml:space="preserve">Driver </w:t>
      </w:r>
      <w:r w:rsidR="0008726D" w:rsidRPr="00FF63D1">
        <w:rPr>
          <w:rFonts w:eastAsiaTheme="minorEastAsia"/>
          <w:b/>
          <w:noProof/>
          <w:color w:val="auto"/>
        </w:rPr>
        <w:t>5</w:t>
      </w:r>
      <w:r w:rsidRPr="00FF63D1" w:rsidDel="00151664">
        <w:rPr>
          <w:rFonts w:eastAsiaTheme="minorEastAsia"/>
          <w:b/>
          <w:noProof/>
          <w:color w:val="auto"/>
        </w:rPr>
        <w:t>: Lengthy</w:t>
      </w:r>
      <w:r w:rsidRPr="00FF63D1" w:rsidDel="00151664">
        <w:rPr>
          <w:rFonts w:eastAsia="Times New Roman"/>
          <w:b/>
          <w:noProof/>
          <w:color w:val="auto"/>
        </w:rPr>
        <w:t xml:space="preserve">, fragmented and uncertain permitting procedures for decarbonisation projects </w:t>
      </w:r>
    </w:p>
    <w:p w14:paraId="6E5BE80A" w14:textId="77777777" w:rsidR="00020031" w:rsidRPr="00FF63D1" w:rsidDel="00151664" w:rsidRDefault="00020031" w:rsidP="005B62B2">
      <w:pPr>
        <w:rPr>
          <w:noProof/>
        </w:rPr>
      </w:pPr>
    </w:p>
    <w:p w14:paraId="56E1AEE2" w14:textId="77777777" w:rsidR="00020031" w:rsidRPr="00FF63D1" w:rsidDel="00151664" w:rsidRDefault="00020031" w:rsidP="00A95F0B">
      <w:pPr>
        <w:spacing w:after="120"/>
        <w:rPr>
          <w:noProof/>
        </w:rPr>
      </w:pPr>
      <w:r w:rsidRPr="00FF63D1" w:rsidDel="00151664">
        <w:rPr>
          <w:noProof/>
        </w:rPr>
        <w:t xml:space="preserve">Section 2 assesses the issues revolving around the permit-granting process for industrial manufacturing activities. </w:t>
      </w:r>
    </w:p>
    <w:p w14:paraId="12BB740D" w14:textId="77777777" w:rsidR="00020031" w:rsidRPr="00FF63D1" w:rsidDel="00151664" w:rsidRDefault="404A2814" w:rsidP="00A95F0B">
      <w:pPr>
        <w:spacing w:after="120"/>
        <w:rPr>
          <w:noProof/>
        </w:rPr>
      </w:pPr>
      <w:r w:rsidRPr="00FF63D1" w:rsidDel="00151664">
        <w:rPr>
          <w:noProof/>
        </w:rPr>
        <w:t>The evidence on permitting brought forward by the public consultation can be completed by a survey by BusinessEurope, which found that 83% of companies claimed that the complexity and duration of permitting is an obstacle to investing in Europe, and 53% consider it as a “serious problem”. Companies have reported waiting periods of over a year for permit approvals, with some delays extending up to six years, for more complex projects like carbon capture and storage (CCS).</w:t>
      </w:r>
      <w:r w:rsidR="00020031" w:rsidRPr="00FF63D1" w:rsidDel="00151664">
        <w:rPr>
          <w:noProof/>
          <w:vertAlign w:val="superscript"/>
        </w:rPr>
        <w:footnoteReference w:id="648"/>
      </w:r>
    </w:p>
    <w:p w14:paraId="3C5FD30A" w14:textId="49A3C24D" w:rsidR="00020031" w:rsidRPr="00FF63D1" w:rsidDel="00151664" w:rsidRDefault="404A2814" w:rsidP="00A95F0B">
      <w:pPr>
        <w:spacing w:after="120"/>
        <w:rPr>
          <w:rFonts w:eastAsia="Times New Roman"/>
          <w:noProof/>
        </w:rPr>
      </w:pPr>
      <w:r w:rsidRPr="00FF63D1" w:rsidDel="00151664">
        <w:rPr>
          <w:rFonts w:eastAsia="Times New Roman"/>
          <w:noProof/>
        </w:rPr>
        <w:t>Permitting procedures for new or modernised manufacturing facilities were highlighted as time-consuming, costly and requiring the interaction with numerous public administrations</w:t>
      </w:r>
      <w:r w:rsidR="00020031" w:rsidRPr="00FF63D1" w:rsidDel="00151664">
        <w:rPr>
          <w:rFonts w:eastAsia="Times New Roman"/>
          <w:noProof/>
          <w:vertAlign w:val="superscript"/>
        </w:rPr>
        <w:footnoteReference w:id="649"/>
      </w:r>
      <w:r w:rsidR="709C2C7C" w:rsidRPr="00FF63D1" w:rsidDel="00151664">
        <w:rPr>
          <w:rFonts w:eastAsia="Times New Roman"/>
          <w:noProof/>
          <w:vertAlign w:val="superscript"/>
        </w:rPr>
        <w:t xml:space="preserve"> </w:t>
      </w:r>
    </w:p>
    <w:p w14:paraId="24D3C504" w14:textId="790DCB66" w:rsidR="00020031" w:rsidRPr="00FF63D1" w:rsidDel="00151664" w:rsidRDefault="404A2814" w:rsidP="00A95F0B">
      <w:pPr>
        <w:spacing w:after="120"/>
        <w:rPr>
          <w:rFonts w:eastAsia="Times New Roman"/>
          <w:noProof/>
          <w:vertAlign w:val="superscript"/>
        </w:rPr>
      </w:pPr>
      <w:r w:rsidRPr="00FF63D1" w:rsidDel="00151664">
        <w:rPr>
          <w:rFonts w:eastAsia="Times New Roman"/>
          <w:noProof/>
        </w:rPr>
        <w:t xml:space="preserve">More concretely, permitting is one of the challenges </w:t>
      </w:r>
      <w:r w:rsidR="2B72EF8C" w:rsidRPr="00FF63D1">
        <w:rPr>
          <w:rFonts w:eastAsia="Times New Roman"/>
          <w:noProof/>
        </w:rPr>
        <w:t xml:space="preserve">for </w:t>
      </w:r>
      <w:r w:rsidRPr="00FF63D1" w:rsidDel="00151664">
        <w:rPr>
          <w:rFonts w:eastAsia="Times New Roman"/>
          <w:noProof/>
        </w:rPr>
        <w:t>projects deploying innovative solutions, and on occasion identified as a risk of not meeting financial closure within the four-year deadline. Often, the permitting process is highlighted as very demanding and time-consuming. It is an issue for many projects in the Fund portfolio, with 68% identifying it among the top challenges and more than 10% of the projects identifying it as their primary challenge. About half of the projects report a concrete risk of being delayed because of difficulties obtaining the required permits or challenging permitting procedures.</w:t>
      </w:r>
      <w:r w:rsidR="00020031" w:rsidRPr="00FF63D1" w:rsidDel="00151664">
        <w:rPr>
          <w:rFonts w:eastAsia="Times New Roman"/>
          <w:noProof/>
          <w:vertAlign w:val="superscript"/>
        </w:rPr>
        <w:footnoteReference w:id="650"/>
      </w:r>
    </w:p>
    <w:p w14:paraId="2AE62CE1" w14:textId="77777777" w:rsidR="00020031" w:rsidRPr="00FF63D1" w:rsidDel="00151664" w:rsidRDefault="00020031" w:rsidP="00A95F0B">
      <w:pPr>
        <w:spacing w:after="120"/>
        <w:rPr>
          <w:rFonts w:eastAsia="Times New Roman"/>
          <w:noProof/>
        </w:rPr>
      </w:pPr>
      <w:r w:rsidRPr="00FF63D1" w:rsidDel="00151664">
        <w:rPr>
          <w:rFonts w:eastAsia="Times New Roman"/>
          <w:noProof/>
        </w:rPr>
        <w:t>Addressing these procedural inefficiencies will be essential to meet Europe’s climate and industrial goals.</w:t>
      </w:r>
    </w:p>
    <w:p w14:paraId="63EF6AAC" w14:textId="66DCC75D" w:rsidR="7DC08AA4" w:rsidRPr="00FF63D1" w:rsidDel="00151664" w:rsidRDefault="447351C6" w:rsidP="7DC08AA4">
      <w:pPr>
        <w:pBdr>
          <w:top w:val="single" w:sz="4" w:space="4" w:color="auto"/>
          <w:left w:val="single" w:sz="4" w:space="4" w:color="auto"/>
          <w:bottom w:val="single" w:sz="4" w:space="4" w:color="auto"/>
          <w:right w:val="single" w:sz="4" w:space="4" w:color="auto"/>
        </w:pBdr>
        <w:rPr>
          <w:rFonts w:eastAsia="Times New Roman"/>
          <w:b/>
          <w:i/>
          <w:noProof/>
        </w:rPr>
      </w:pPr>
      <w:r w:rsidRPr="00FF63D1" w:rsidDel="00151664">
        <w:rPr>
          <w:rFonts w:eastAsia="Times New Roman"/>
          <w:b/>
          <w:i/>
          <w:noProof/>
        </w:rPr>
        <w:t xml:space="preserve">Best practices </w:t>
      </w:r>
    </w:p>
    <w:p w14:paraId="128F501D" w14:textId="2140F59A" w:rsidR="6D0CBDA3" w:rsidRPr="00FF63D1" w:rsidDel="00151664" w:rsidRDefault="6D0CBDA3" w:rsidP="008A0BFF">
      <w:pPr>
        <w:pStyle w:val="ListParagraph"/>
        <w:numPr>
          <w:ilvl w:val="0"/>
          <w:numId w:val="3"/>
        </w:numPr>
        <w:pBdr>
          <w:top w:val="single" w:sz="4" w:space="4" w:color="auto"/>
          <w:left w:val="single" w:sz="4" w:space="4" w:color="auto"/>
          <w:bottom w:val="single" w:sz="4" w:space="4" w:color="auto"/>
          <w:right w:val="single" w:sz="4" w:space="4" w:color="auto"/>
        </w:pBdr>
        <w:rPr>
          <w:rFonts w:eastAsia="Times New Roman"/>
          <w:i/>
          <w:noProof/>
        </w:rPr>
      </w:pPr>
      <w:r w:rsidRPr="00FF63D1" w:rsidDel="00151664">
        <w:rPr>
          <w:rFonts w:eastAsia="Times New Roman"/>
          <w:i/>
          <w:noProof/>
        </w:rPr>
        <w:t>EasyPermits is a web-based digital permitting solution built on AWS cloud. It digitalizes the administrative permitting process end-to-end and functions as a digital one-stop-shop by automating workflows, improving and standardizing the collection and management of information and fosters collaboration and transparency across the permitting agents, the project developers and the local community. At its core, it is a workflow management solution as it can be customised to match the regulatory requirements of the permitting process. It is also a document management solution with the possibility to define templates for specific documents and the possibility to have version control making it easier to navigate through various versions of specific documents.</w:t>
      </w:r>
      <w:r w:rsidR="590E94D7" w:rsidRPr="00FF63D1" w:rsidDel="00151664">
        <w:rPr>
          <w:rFonts w:eastAsia="Times New Roman"/>
          <w:i/>
          <w:noProof/>
        </w:rPr>
        <w:t xml:space="preserve"> Estimates include a 50% reduction in manual effort in repeated low-value tasks such as finding the latest version of the document without having to go through emails and paper-based folders, keeping all documents for one application organised in one place, sharing review comments on specific parts of specific documents. Ability to process as many as 3x as many applications concurrently.</w:t>
      </w:r>
    </w:p>
    <w:p w14:paraId="3E966DFA" w14:textId="25C383AA" w:rsidR="0009624A" w:rsidRDefault="447351C6" w:rsidP="008A0BFF">
      <w:pPr>
        <w:pStyle w:val="ListParagraph"/>
        <w:numPr>
          <w:ilvl w:val="0"/>
          <w:numId w:val="3"/>
        </w:numPr>
        <w:pBdr>
          <w:top w:val="single" w:sz="4" w:space="4" w:color="auto"/>
          <w:left w:val="single" w:sz="4" w:space="4" w:color="auto"/>
          <w:bottom w:val="single" w:sz="4" w:space="4" w:color="auto"/>
          <w:right w:val="single" w:sz="4" w:space="4" w:color="auto"/>
        </w:pBdr>
        <w:rPr>
          <w:rFonts w:eastAsia="Times New Roman" w:cs="Times New Roman"/>
          <w:i/>
          <w:noProof/>
          <w:szCs w:val="24"/>
        </w:rPr>
      </w:pPr>
      <w:r w:rsidRPr="00FF63D1" w:rsidDel="00151664">
        <w:rPr>
          <w:rFonts w:eastAsia="Times New Roman" w:cs="Times New Roman"/>
          <w:i/>
          <w:noProof/>
          <w:szCs w:val="24"/>
        </w:rPr>
        <w:t>In the context of the Single Market Enforcement Taskforce (SMET), Member States reported on the progress of introducing five permitting solutions (One stop shops, clear deadlines and information, tacit approvals and digital permitting) to improve permitting for renewable energy power generation (wind, solar). The report confirmed that the permit-granting process had become more efficient in most EU countries, to various extents depending on the Member State. Similar positive consequences are shown through the implementation of the Critical Raw Materials Act permitting provisions (Single Points of Contact, timelines). Similarly, a good example of digitalised and unified permitting comes from the Environment and Planning Portal in the Netherlands, where promoters can see if and what environment and planning permits are required. Additionally, the Environment and Planning Portal can be used to apply online for an environment and planning permit or submit a notification. All these elements will be better highlighted to more clearly justify the choice of the preferred policy measures in the impact assessment.</w:t>
      </w:r>
    </w:p>
    <w:p w14:paraId="058FE96E" w14:textId="77777777" w:rsidR="00A43482" w:rsidRPr="00FF63D1" w:rsidDel="00151664" w:rsidRDefault="00A43482" w:rsidP="00A43482">
      <w:pPr>
        <w:rPr>
          <w:rFonts w:eastAsia="Times New Roman"/>
          <w:noProof/>
        </w:rPr>
      </w:pPr>
    </w:p>
    <w:p w14:paraId="590DC36B" w14:textId="76B325B9" w:rsidR="0009624A" w:rsidRPr="0009624A" w:rsidRDefault="0009624A" w:rsidP="00A43482">
      <w:pPr>
        <w:rPr>
          <w:rFonts w:eastAsia="Times New Roman"/>
          <w:b/>
          <w:bCs/>
          <w:noProof/>
        </w:rPr>
      </w:pPr>
      <w:r w:rsidRPr="0009624A">
        <w:rPr>
          <w:rFonts w:eastAsia="Times New Roman"/>
          <w:b/>
          <w:bCs/>
          <w:noProof/>
        </w:rPr>
        <w:t>Driver 6: Difficulty to access resources (e.g. inputs and funding)</w:t>
      </w:r>
    </w:p>
    <w:p w14:paraId="51434DE3" w14:textId="77777777" w:rsidR="0009624A" w:rsidRPr="00FF63D1" w:rsidDel="00151664" w:rsidRDefault="0009624A" w:rsidP="00A43482">
      <w:pPr>
        <w:rPr>
          <w:rFonts w:eastAsia="Times New Roman"/>
          <w:noProof/>
        </w:rPr>
      </w:pPr>
    </w:p>
    <w:p w14:paraId="29319F68" w14:textId="10220E6B" w:rsidR="00020031" w:rsidRPr="00FF63D1" w:rsidDel="00151664" w:rsidRDefault="00020031" w:rsidP="00A95F0B">
      <w:pPr>
        <w:spacing w:after="120"/>
        <w:rPr>
          <w:rFonts w:eastAsia="Times New Roman"/>
          <w:noProof/>
        </w:rPr>
      </w:pPr>
      <w:r w:rsidRPr="00FF63D1" w:rsidDel="00151664">
        <w:rPr>
          <w:rFonts w:eastAsia="Times New Roman"/>
          <w:noProof/>
        </w:rPr>
        <w:t>Clean industrial technologies face substantial economic barriers to deployment, primarily due to long payback periods driven by high capital expenditure (CAPEX) and elevated operating costs (OPEX). These cost burdens are compounded by market uncertainties making large-scale industrial decarbonisation investments high-risk.</w:t>
      </w:r>
    </w:p>
    <w:p w14:paraId="6FBD32D8" w14:textId="77777777" w:rsidR="00020031" w:rsidRPr="00FF63D1" w:rsidDel="00151664" w:rsidRDefault="404A2814" w:rsidP="00A95F0B">
      <w:pPr>
        <w:spacing w:after="120"/>
        <w:rPr>
          <w:rFonts w:eastAsia="Times New Roman"/>
          <w:noProof/>
        </w:rPr>
      </w:pPr>
      <w:r w:rsidRPr="00FF63D1" w:rsidDel="00151664">
        <w:rPr>
          <w:rFonts w:eastAsia="Times New Roman"/>
          <w:noProof/>
        </w:rPr>
        <w:t>The scale of investment required is significant. Decarbonising Europe’s energy-intensive industries (EIIs) will require approximately EUR 1.7 trillion by 2050. In the cement sector alone, achieving net-zero targets calls for EUR 94.4 billion in investment, which equates to EUR 4.70 for every EUR 1 in annual revenue. More broadly, the decarbonisation of the EU’s four largest EIIs (chemicals, basic metals, non-metallic minerals, and pulp &amp; paper) is estimated to cost EUR 500 billion over the next 15 years.</w:t>
      </w:r>
      <w:r w:rsidR="00020031" w:rsidRPr="3F0F1197" w:rsidDel="00151664">
        <w:rPr>
          <w:rStyle w:val="FootnoteReference"/>
          <w:rFonts w:eastAsiaTheme="minorEastAsia"/>
          <w:noProof/>
        </w:rPr>
        <w:footnoteReference w:id="651"/>
      </w:r>
    </w:p>
    <w:p w14:paraId="48546F0C" w14:textId="77777777" w:rsidR="00020031" w:rsidRPr="00FF63D1" w:rsidDel="00151664" w:rsidRDefault="00020031" w:rsidP="00A95F0B">
      <w:pPr>
        <w:spacing w:after="120"/>
        <w:rPr>
          <w:rFonts w:eastAsia="Times New Roman"/>
          <w:noProof/>
        </w:rPr>
      </w:pPr>
      <w:r w:rsidRPr="00FF63D1" w:rsidDel="00151664">
        <w:rPr>
          <w:rFonts w:eastAsia="Times New Roman"/>
          <w:noProof/>
        </w:rPr>
        <w:t xml:space="preserve">Despite this urgent need, the financial environment in Europe remains less favourable than in competing regions. </w:t>
      </w:r>
    </w:p>
    <w:p w14:paraId="6A34EC75" w14:textId="3E41255A" w:rsidR="00020031" w:rsidRPr="00FF63D1" w:rsidDel="00151664" w:rsidRDefault="00020031" w:rsidP="00A95F0B">
      <w:pPr>
        <w:spacing w:after="120"/>
        <w:rPr>
          <w:noProof/>
        </w:rPr>
      </w:pPr>
      <w:r w:rsidRPr="00FF63D1" w:rsidDel="00151664">
        <w:rPr>
          <w:noProof/>
        </w:rPr>
        <w:t xml:space="preserve">Section 2 demonstrates the limited amount of public funding available to decarbonisation under directly managed EU funds notably, expect for the Innovation Fund. Beyond the direct decarbonisation prioritisation of the latter, funding for decarbonisation is also available in the RRF, InvestEU and cohesion policy funds. Under the </w:t>
      </w:r>
      <w:r w:rsidRPr="00FF63D1" w:rsidDel="00151664">
        <w:rPr>
          <w:rFonts w:eastAsia="Times New Roman"/>
          <w:noProof/>
        </w:rPr>
        <w:t xml:space="preserve">Recovery and Resilience Facility (RRF), EUR </w:t>
      </w:r>
      <w:r w:rsidR="006C0481">
        <w:rPr>
          <w:rFonts w:eastAsia="Times New Roman"/>
          <w:noProof/>
        </w:rPr>
        <w:t>97</w:t>
      </w:r>
      <w:r w:rsidR="006C0481" w:rsidRPr="00FF63D1" w:rsidDel="00151664">
        <w:rPr>
          <w:rFonts w:eastAsia="Times New Roman"/>
          <w:noProof/>
        </w:rPr>
        <w:t xml:space="preserve"> </w:t>
      </w:r>
      <w:r w:rsidRPr="00FF63D1" w:rsidDel="00151664">
        <w:rPr>
          <w:rFonts w:eastAsia="Times New Roman"/>
          <w:noProof/>
        </w:rPr>
        <w:t xml:space="preserve">billion are targeted to the decarbonisation of industry and clean tech (incl. EUR 23 billion for </w:t>
      </w:r>
      <w:r w:rsidRPr="00FF63D1" w:rsidDel="00787D54">
        <w:rPr>
          <w:rFonts w:eastAsia="Times New Roman"/>
          <w:noProof/>
        </w:rPr>
        <w:t>R</w:t>
      </w:r>
      <w:r w:rsidR="00787D54" w:rsidRPr="00FF63D1">
        <w:rPr>
          <w:rFonts w:eastAsia="Times New Roman"/>
          <w:noProof/>
        </w:rPr>
        <w:t>&amp;I</w:t>
      </w:r>
      <w:r w:rsidRPr="00FF63D1" w:rsidDel="00151664">
        <w:rPr>
          <w:rFonts w:eastAsia="Times New Roman"/>
          <w:noProof/>
        </w:rPr>
        <w:t xml:space="preserve"> initiatives) and more than EUR 2 billion for developing green skills and jobs for the clean economy. The Just Transition Fund (JTF) focuses EUR 19 billion of investment specifically for the transformation of the regions with coal and carbon intensive industry most affected by the green transition. </w:t>
      </w:r>
      <w:r w:rsidRPr="00FF63D1" w:rsidDel="00151664">
        <w:rPr>
          <w:noProof/>
        </w:rPr>
        <w:t xml:space="preserve">Nevertheless, the funding from these sources is linked to different criteria and eligibility requirements. </w:t>
      </w:r>
    </w:p>
    <w:p w14:paraId="6C41C83A" w14:textId="77777777" w:rsidR="00020031" w:rsidRPr="00FF63D1" w:rsidDel="00151664" w:rsidRDefault="719AC623" w:rsidP="00A95F0B">
      <w:pPr>
        <w:spacing w:after="120"/>
        <w:rPr>
          <w:rFonts w:eastAsia="Times New Roman"/>
          <w:noProof/>
        </w:rPr>
      </w:pPr>
      <w:r w:rsidRPr="00FF63D1" w:rsidDel="00151664">
        <w:rPr>
          <w:rFonts w:eastAsia="Times New Roman"/>
          <w:noProof/>
        </w:rPr>
        <w:t>Additionally, EU support for clean technologies is often fragmented and limited in scope, particularly lacking in OPEX assistance, which is crucial for addressing ongoing cost differentials between green and conventional technologies. In comparison, the U.S. Inflation Reduction Act (IRA) has already catalysed $129 billion in private clean tech investments since 2023, offering significantly more generous and streamlined support. EU clean tech financing is estimated to be five to ten times smaller than the U.S. effort. Global competition further intensifies these challenges. Chinese clean tech manufacturers benefit from state subsidies up to four times greater than those available in the EU, enabling them to offer battery cells 20–35% cheaper and solar panels 35–65% cheaper than their European counterparts...</w:t>
      </w:r>
      <w:r w:rsidR="404A2814" w:rsidRPr="00FF63D1" w:rsidDel="00151664">
        <w:rPr>
          <w:rFonts w:eastAsia="Times New Roman"/>
          <w:noProof/>
        </w:rPr>
        <w:t>Some Member States have begun piloting Carbon Contracts for Difference (CCfDs), which provide 15-year subsidies to cover the cost gap for green technologies achieving at least 90% GHG reduction. However, these initiatives remain limited in scale and administratively complex, slowing their rollout.</w:t>
      </w:r>
      <w:r w:rsidR="00020031" w:rsidRPr="00FF63D1" w:rsidDel="00151664">
        <w:rPr>
          <w:rStyle w:val="FootnoteReference"/>
          <w:rFonts w:eastAsia="Times New Roman"/>
          <w:noProof/>
        </w:rPr>
        <w:footnoteReference w:id="652"/>
      </w:r>
    </w:p>
    <w:p w14:paraId="6441AF20" w14:textId="77777777" w:rsidR="00020031" w:rsidRPr="00C035B3" w:rsidDel="00151664" w:rsidRDefault="00020031" w:rsidP="00A95F0B">
      <w:pPr>
        <w:spacing w:after="120"/>
        <w:rPr>
          <w:noProof/>
        </w:rPr>
      </w:pPr>
      <w:r w:rsidRPr="00FF63D1" w:rsidDel="00151664">
        <w:rPr>
          <w:noProof/>
        </w:rPr>
        <w:t xml:space="preserve">Results from the </w:t>
      </w:r>
      <w:r w:rsidRPr="00FF63D1" w:rsidDel="00151664">
        <w:rPr>
          <w:b/>
          <w:noProof/>
        </w:rPr>
        <w:t>Open Public Consultation</w:t>
      </w:r>
      <w:r w:rsidRPr="00FF63D1" w:rsidDel="00151664">
        <w:rPr>
          <w:noProof/>
        </w:rPr>
        <w:t xml:space="preserve"> conducted a part of this initiative show that only a few public funds are considered relevant in supporting industrial decarbonisation projects, particularly the Innovation Fund (226, 72%) and Member States funding (238, 76%), with only a minority considering other funding instruments such as Horizon Europe, InvestEU, RRF or Cohesion Funds relevant.</w:t>
      </w:r>
      <w:r w:rsidRPr="00C035B3" w:rsidDel="00151664">
        <w:rPr>
          <w:noProof/>
        </w:rPr>
        <w:t> </w:t>
      </w:r>
    </w:p>
    <w:p w14:paraId="1C85A124" w14:textId="34F7F099" w:rsidR="58890A1F" w:rsidRPr="00FF63D1" w:rsidRDefault="00020031" w:rsidP="00A95F0B">
      <w:pPr>
        <w:spacing w:after="120"/>
        <w:rPr>
          <w:noProof/>
        </w:rPr>
      </w:pPr>
      <w:r w:rsidRPr="00C035B3" w:rsidDel="00151664">
        <w:rPr>
          <w:noProof/>
        </w:rPr>
        <w:t xml:space="preserve">Furthermore, </w:t>
      </w:r>
      <w:r w:rsidRPr="00FF63D1" w:rsidDel="00151664">
        <w:rPr>
          <w:noProof/>
        </w:rPr>
        <w:t>access to funding remains a key concern, with 78% (245 out of 314) citing lack of public funding and 62% (196) pointing to difficulty accessing transition finance. Additionally, 77% (243) identified financial risk as a significant factor when considering investment in industrial decarbonisation.</w:t>
      </w:r>
    </w:p>
    <w:p w14:paraId="24A4BE2D" w14:textId="77777777" w:rsidR="00ED4C2F" w:rsidRPr="00FF63D1" w:rsidRDefault="00ED4C2F">
      <w:pPr>
        <w:rPr>
          <w:rFonts w:ascii="Times" w:eastAsiaTheme="majorEastAsia" w:hAnsi="Times" w:cs="Times"/>
          <w:b/>
          <w:noProof/>
          <w:sz w:val="28"/>
          <w:szCs w:val="28"/>
        </w:rPr>
      </w:pPr>
      <w:r w:rsidRPr="00FF63D1">
        <w:rPr>
          <w:rFonts w:ascii="Times" w:hAnsi="Times" w:cs="Times"/>
          <w:b/>
          <w:noProof/>
          <w:sz w:val="28"/>
          <w:szCs w:val="28"/>
        </w:rPr>
        <w:br w:type="page"/>
      </w:r>
    </w:p>
    <w:p w14:paraId="5C378490" w14:textId="64494CDA" w:rsidR="00020031" w:rsidRPr="005171D7" w:rsidRDefault="00020031" w:rsidP="005171D7">
      <w:pPr>
        <w:pStyle w:val="Heading1"/>
        <w:numPr>
          <w:ilvl w:val="0"/>
          <w:numId w:val="0"/>
        </w:numPr>
        <w:rPr>
          <w:rFonts w:ascii="Times" w:hAnsi="Times" w:cs="Times"/>
          <w:b/>
          <w:noProof/>
          <w:color w:val="auto"/>
          <w:sz w:val="28"/>
          <w:szCs w:val="28"/>
        </w:rPr>
      </w:pPr>
      <w:bookmarkStart w:id="696" w:name="_Toc207192563"/>
      <w:bookmarkStart w:id="697" w:name="_Toc222159390"/>
      <w:bookmarkStart w:id="698" w:name="_Toc222490051"/>
      <w:bookmarkStart w:id="699" w:name="_Toc195528735"/>
      <w:r w:rsidRPr="005171D7">
        <w:rPr>
          <w:rFonts w:ascii="Times" w:hAnsi="Times" w:cs="Times"/>
          <w:b/>
          <w:noProof/>
          <w:color w:val="auto"/>
          <w:sz w:val="28"/>
          <w:szCs w:val="28"/>
        </w:rPr>
        <w:t>Annex 11: Extended information on the impacts (</w:t>
      </w:r>
      <w:r w:rsidR="0063232E" w:rsidRPr="005171D7">
        <w:rPr>
          <w:rFonts w:ascii="Times" w:hAnsi="Times" w:cs="Times"/>
          <w:b/>
          <w:noProof/>
          <w:color w:val="auto"/>
          <w:sz w:val="28"/>
          <w:szCs w:val="28"/>
        </w:rPr>
        <w:t>S</w:t>
      </w:r>
      <w:r w:rsidRPr="005171D7">
        <w:rPr>
          <w:rFonts w:ascii="Times" w:hAnsi="Times" w:cs="Times"/>
          <w:b/>
          <w:noProof/>
          <w:color w:val="auto"/>
          <w:sz w:val="28"/>
          <w:szCs w:val="28"/>
        </w:rPr>
        <w:t>ection 6)</w:t>
      </w:r>
      <w:bookmarkEnd w:id="696"/>
      <w:bookmarkEnd w:id="697"/>
      <w:bookmarkEnd w:id="698"/>
    </w:p>
    <w:p w14:paraId="58E57063" w14:textId="77777777" w:rsidR="00020031" w:rsidRPr="00FF63D1" w:rsidRDefault="00020031">
      <w:pPr>
        <w:rPr>
          <w:noProof/>
        </w:rPr>
      </w:pPr>
    </w:p>
    <w:p w14:paraId="75156B44" w14:textId="77777777" w:rsidR="00020031" w:rsidRPr="00AB1DF9" w:rsidRDefault="00020031">
      <w:pPr>
        <w:pStyle w:val="Heading2"/>
        <w:numPr>
          <w:ilvl w:val="0"/>
          <w:numId w:val="0"/>
        </w:numPr>
        <w:spacing w:before="0" w:after="0"/>
        <w:rPr>
          <w:b w:val="0"/>
          <w:smallCaps/>
        </w:rPr>
      </w:pPr>
      <w:bookmarkStart w:id="700" w:name="_Toc207192564"/>
      <w:bookmarkStart w:id="701" w:name="_Toc212728873"/>
      <w:bookmarkStart w:id="702" w:name="_Toc212729400"/>
      <w:bookmarkStart w:id="703" w:name="_Toc215506344"/>
      <w:bookmarkStart w:id="704" w:name="_Toc222490052"/>
      <w:r w:rsidRPr="00AB1DF9">
        <w:t>POLICY OPTION</w:t>
      </w:r>
      <w:r w:rsidRPr="00AB1DF9">
        <w:rPr>
          <w:smallCaps/>
        </w:rPr>
        <w:t xml:space="preserve"> 1</w:t>
      </w:r>
      <w:bookmarkEnd w:id="700"/>
      <w:bookmarkEnd w:id="701"/>
      <w:bookmarkEnd w:id="702"/>
      <w:bookmarkEnd w:id="703"/>
      <w:bookmarkEnd w:id="704"/>
    </w:p>
    <w:p w14:paraId="51C0FFB8" w14:textId="74FF2D63" w:rsidR="00020031" w:rsidRPr="00FF63D1" w:rsidRDefault="00020031">
      <w:pPr>
        <w:pStyle w:val="ListParagraph"/>
        <w:ind w:left="851"/>
        <w:rPr>
          <w:rFonts w:eastAsia="Times New Roman"/>
          <w:b/>
          <w:smallCaps/>
          <w:noProof/>
          <w:color w:val="000000" w:themeColor="text1"/>
        </w:rPr>
      </w:pPr>
    </w:p>
    <w:p w14:paraId="741F24F6" w14:textId="662A77BF" w:rsidR="00020031" w:rsidRPr="00AB1DF9" w:rsidRDefault="00020031" w:rsidP="00D113EA">
      <w:pPr>
        <w:pStyle w:val="Heading3"/>
        <w:numPr>
          <w:ilvl w:val="0"/>
          <w:numId w:val="0"/>
        </w:numPr>
        <w:spacing w:before="0" w:after="0"/>
        <w:ind w:left="720"/>
        <w:rPr>
          <w:b/>
          <w:color w:val="000000" w:themeColor="text1"/>
        </w:rPr>
      </w:pPr>
      <w:r w:rsidRPr="00AB1DF9">
        <w:rPr>
          <w:b/>
        </w:rPr>
        <w:t xml:space="preserve">Economic </w:t>
      </w:r>
      <w:r w:rsidR="00B831D5">
        <w:rPr>
          <w:b/>
        </w:rPr>
        <w:t>i</w:t>
      </w:r>
      <w:r w:rsidRPr="00AB1DF9">
        <w:rPr>
          <w:b/>
        </w:rPr>
        <w:t>mpacts</w:t>
      </w:r>
    </w:p>
    <w:p w14:paraId="69D9D984" w14:textId="77777777" w:rsidR="00020031" w:rsidRPr="00FF63D1" w:rsidRDefault="00020031">
      <w:pPr>
        <w:rPr>
          <w:rFonts w:eastAsia="Times New Roman"/>
          <w:noProof/>
          <w:color w:val="000000" w:themeColor="text1"/>
        </w:rPr>
      </w:pPr>
    </w:p>
    <w:p w14:paraId="28F4FB59" w14:textId="30C725F0" w:rsidR="00020031" w:rsidRPr="00FF63D1" w:rsidRDefault="00020031" w:rsidP="00AD6EE5">
      <w:pPr>
        <w:rPr>
          <w:noProof/>
        </w:rPr>
      </w:pPr>
      <w:r w:rsidRPr="00FF63D1">
        <w:rPr>
          <w:rFonts w:eastAsia="Times New Roman"/>
          <w:noProof/>
          <w:color w:val="000000" w:themeColor="text1"/>
        </w:rPr>
        <w:t>See Section 6 of the Impact Assessment: In addition:</w:t>
      </w:r>
    </w:p>
    <w:p w14:paraId="76D8F24B" w14:textId="506C77F7" w:rsidR="004437C8" w:rsidRDefault="00020031" w:rsidP="008D60DD">
      <w:pPr>
        <w:pStyle w:val="Heading4"/>
        <w:numPr>
          <w:ilvl w:val="0"/>
          <w:numId w:val="0"/>
        </w:numPr>
        <w:ind w:left="864" w:hanging="864"/>
        <w:rPr>
          <w:b/>
          <w:noProof/>
          <w:color w:val="auto"/>
        </w:rPr>
      </w:pPr>
      <w:r w:rsidRPr="008D60DD">
        <w:rPr>
          <w:b/>
          <w:noProof/>
          <w:color w:val="auto"/>
        </w:rPr>
        <w:t>Impact on companies</w:t>
      </w:r>
    </w:p>
    <w:p w14:paraId="4A10E998" w14:textId="77777777" w:rsidR="00217425" w:rsidRPr="00217425" w:rsidRDefault="00217425" w:rsidP="00217425">
      <w:pPr>
        <w:rPr>
          <w:noProof/>
        </w:rPr>
      </w:pPr>
    </w:p>
    <w:p w14:paraId="1D9ED7DA" w14:textId="1B3FB737" w:rsidR="00020031" w:rsidRDefault="545C8C3C" w:rsidP="00217425">
      <w:pPr>
        <w:spacing w:after="120"/>
        <w:rPr>
          <w:noProof/>
        </w:rPr>
      </w:pPr>
      <w:r w:rsidRPr="00FF63D1">
        <w:rPr>
          <w:b/>
          <w:noProof/>
        </w:rPr>
        <w:t>LEAD_EII 1</w:t>
      </w:r>
      <w:r w:rsidRPr="00FF63D1">
        <w:rPr>
          <w:noProof/>
        </w:rPr>
        <w:t xml:space="preserve"> </w:t>
      </w:r>
      <w:r w:rsidR="005952B5" w:rsidRPr="00FF63D1">
        <w:rPr>
          <w:noProof/>
        </w:rPr>
        <w:t xml:space="preserve">- </w:t>
      </w:r>
      <w:r w:rsidRPr="00FF63D1">
        <w:rPr>
          <w:noProof/>
        </w:rPr>
        <w:t xml:space="preserve">Given the significant number of vehicle registrations supported by public support schemes, introducing low-carbon steel and aluminium requirements as an eligibility condition would </w:t>
      </w:r>
      <w:r w:rsidRPr="00217425">
        <w:rPr>
          <w:rFonts w:eastAsia="Times New Roman"/>
          <w:noProof/>
          <w:color w:val="000000" w:themeColor="text1"/>
        </w:rPr>
        <w:t>likely</w:t>
      </w:r>
      <w:r w:rsidRPr="00FF63D1">
        <w:rPr>
          <w:noProof/>
        </w:rPr>
        <w:t xml:space="preserve"> create a significant market signal - providing a strong incentive to vehicle manufacturers to source these materials at scale.</w:t>
      </w:r>
    </w:p>
    <w:p w14:paraId="17732C9D" w14:textId="50D555E7" w:rsidR="00CF41EA" w:rsidRPr="00667FC1" w:rsidRDefault="00CF41EA" w:rsidP="00217425">
      <w:pPr>
        <w:spacing w:after="120"/>
        <w:rPr>
          <w:rFonts w:eastAsiaTheme="minorEastAsia"/>
          <w:noProof/>
        </w:rPr>
      </w:pPr>
      <w:r w:rsidRPr="3F0F1197">
        <w:rPr>
          <w:rFonts w:eastAsiaTheme="minorEastAsia"/>
          <w:noProof/>
        </w:rPr>
        <w:fldChar w:fldCharType="begin"/>
      </w:r>
      <w:r w:rsidRPr="3F0F1197">
        <w:rPr>
          <w:rFonts w:eastAsiaTheme="minorEastAsia"/>
          <w:noProof/>
        </w:rPr>
        <w:instrText xml:space="preserve"> REF _Ref211984315 \h </w:instrText>
      </w:r>
      <w:r w:rsidRPr="3F0F1197">
        <w:rPr>
          <w:rFonts w:eastAsiaTheme="minorEastAsia"/>
          <w:noProof/>
        </w:rPr>
      </w:r>
      <w:r w:rsidRPr="3F0F1197">
        <w:rPr>
          <w:rFonts w:eastAsiaTheme="minorEastAsia"/>
          <w:noProof/>
        </w:rPr>
        <w:fldChar w:fldCharType="separate"/>
      </w:r>
      <w:r w:rsidR="00622D1D" w:rsidRPr="005754F4">
        <w:rPr>
          <w:noProof/>
          <w:sz w:val="20"/>
          <w:szCs w:val="20"/>
        </w:rPr>
        <w:t xml:space="preserve">Figure </w:t>
      </w:r>
      <w:r w:rsidR="00622D1D">
        <w:rPr>
          <w:noProof/>
          <w:sz w:val="20"/>
          <w:szCs w:val="20"/>
        </w:rPr>
        <w:t>34</w:t>
      </w:r>
      <w:r w:rsidRPr="3F0F1197">
        <w:rPr>
          <w:rFonts w:eastAsiaTheme="minorEastAsia"/>
          <w:noProof/>
        </w:rPr>
        <w:fldChar w:fldCharType="end"/>
      </w:r>
      <w:r w:rsidR="61C2216F" w:rsidRPr="3F0F1197">
        <w:rPr>
          <w:rFonts w:eastAsiaTheme="minorEastAsia"/>
          <w:noProof/>
        </w:rPr>
        <w:t xml:space="preserve"> shows estimates of how much the adoption of 100% green steel affects end-product pricing across various industries.</w:t>
      </w:r>
      <w:r w:rsidR="0B1C5516" w:rsidRPr="3F0F1197">
        <w:rPr>
          <w:rFonts w:eastAsiaTheme="minorEastAsia"/>
          <w:noProof/>
        </w:rPr>
        <w:t xml:space="preserve"> </w:t>
      </w:r>
      <w:r w:rsidRPr="3F0F1197">
        <w:rPr>
          <w:rStyle w:val="FootnoteReference"/>
          <w:rFonts w:eastAsiaTheme="minorEastAsia"/>
          <w:noProof/>
        </w:rPr>
        <w:footnoteReference w:id="653"/>
      </w:r>
      <w:r w:rsidR="4AF1643A" w:rsidRPr="3F0F1197">
        <w:rPr>
          <w:rFonts w:eastAsiaTheme="minorEastAsia"/>
          <w:noProof/>
        </w:rPr>
        <w:t xml:space="preserve"> </w:t>
      </w:r>
      <w:r w:rsidR="24906768" w:rsidRPr="3F0F1197">
        <w:rPr>
          <w:rFonts w:eastAsiaTheme="minorEastAsia"/>
          <w:noProof/>
        </w:rPr>
        <w:t xml:space="preserve">The targets proposed for low-carbon steel in automotive and construction </w:t>
      </w:r>
      <w:r w:rsidR="557E1898" w:rsidRPr="3F0F1197">
        <w:rPr>
          <w:rFonts w:eastAsiaTheme="minorEastAsia"/>
          <w:noProof/>
        </w:rPr>
        <w:t xml:space="preserve">have followed an adjustment for a lower share of low- carbon steel. For more information on the </w:t>
      </w:r>
      <w:r w:rsidR="4AF1643A" w:rsidRPr="3F0F1197">
        <w:rPr>
          <w:rFonts w:eastAsiaTheme="minorEastAsia"/>
          <w:noProof/>
        </w:rPr>
        <w:t>calculations</w:t>
      </w:r>
      <w:r w:rsidR="056858AD" w:rsidRPr="3F0F1197">
        <w:rPr>
          <w:rFonts w:eastAsiaTheme="minorEastAsia"/>
          <w:noProof/>
        </w:rPr>
        <w:t xml:space="preserve"> for the cost calculation based on the target</w:t>
      </w:r>
      <w:r w:rsidR="557E1898" w:rsidRPr="3F0F1197">
        <w:rPr>
          <w:rFonts w:eastAsiaTheme="minorEastAsia"/>
          <w:noProof/>
        </w:rPr>
        <w:t xml:space="preserve">, see Annex 4 </w:t>
      </w:r>
      <w:r w:rsidR="0FFD6104" w:rsidRPr="3F0F1197">
        <w:rPr>
          <w:rFonts w:eastAsiaTheme="minorEastAsia"/>
          <w:noProof/>
        </w:rPr>
        <w:t>Section</w:t>
      </w:r>
      <w:r w:rsidR="557E1898" w:rsidRPr="3F0F1197">
        <w:rPr>
          <w:rFonts w:eastAsiaTheme="minorEastAsia"/>
          <w:noProof/>
        </w:rPr>
        <w:t xml:space="preserve"> 2. </w:t>
      </w:r>
    </w:p>
    <w:p w14:paraId="38835203" w14:textId="77777777" w:rsidR="00CF41EA" w:rsidRDefault="00CF41EA" w:rsidP="00CF41EA">
      <w:pPr>
        <w:pStyle w:val="Text1"/>
        <w:spacing w:after="120"/>
        <w:ind w:left="0"/>
        <w:rPr>
          <w:rFonts w:eastAsiaTheme="minorEastAsia"/>
          <w:noProof/>
        </w:rPr>
      </w:pPr>
    </w:p>
    <w:p w14:paraId="20EE01CD" w14:textId="77777777" w:rsidR="00CF41EA" w:rsidRDefault="00CF41EA" w:rsidP="00CF41EA">
      <w:pPr>
        <w:keepNext/>
        <w:spacing w:after="120"/>
        <w:jc w:val="center"/>
        <w:rPr>
          <w:noProof/>
        </w:rPr>
      </w:pPr>
      <w:r>
        <w:rPr>
          <w:noProof/>
          <w:lang w:eastAsia="en-GB"/>
        </w:rPr>
        <w:drawing>
          <wp:inline distT="0" distB="0" distL="0" distR="0" wp14:anchorId="3FB39E93" wp14:editId="175EDFA2">
            <wp:extent cx="4222196" cy="2184655"/>
            <wp:effectExtent l="0" t="0" r="6985" b="6350"/>
            <wp:docPr id="1644174588" name="drawing" descr="A graph of green and wh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74588" name="drawing" descr="A graph of green and white&#10;&#10;AI-generated content may be incorrect."/>
                    <pic:cNvPicPr/>
                  </pic:nvPicPr>
                  <pic:blipFill>
                    <a:blip r:embed="rId106">
                      <a:extLst>
                        <a:ext uri="{28A0092B-C50C-407E-A947-70E740481C1C}">
                          <a14:useLocalDpi xmlns:a14="http://schemas.microsoft.com/office/drawing/2010/main" val="0"/>
                        </a:ext>
                      </a:extLst>
                    </a:blip>
                    <a:stretch>
                      <a:fillRect/>
                    </a:stretch>
                  </pic:blipFill>
                  <pic:spPr>
                    <a:xfrm>
                      <a:off x="0" y="0"/>
                      <a:ext cx="4241768" cy="2194782"/>
                    </a:xfrm>
                    <a:prstGeom prst="rect">
                      <a:avLst/>
                    </a:prstGeom>
                  </pic:spPr>
                </pic:pic>
              </a:graphicData>
            </a:graphic>
          </wp:inline>
        </w:drawing>
      </w:r>
    </w:p>
    <w:p w14:paraId="65C7DE9A" w14:textId="45D401F2" w:rsidR="00CF41EA" w:rsidRPr="005754F4" w:rsidRDefault="00CF41EA" w:rsidP="00CF41EA">
      <w:pPr>
        <w:pStyle w:val="Caption"/>
        <w:jc w:val="center"/>
        <w:rPr>
          <w:noProof/>
          <w:sz w:val="20"/>
          <w:szCs w:val="20"/>
        </w:rPr>
      </w:pPr>
      <w:bookmarkStart w:id="705" w:name="_Ref211984315"/>
      <w:r w:rsidRPr="005754F4">
        <w:rPr>
          <w:noProof/>
          <w:sz w:val="20"/>
          <w:szCs w:val="20"/>
        </w:rPr>
        <w:t xml:space="preserve">Figure </w:t>
      </w:r>
      <w:r w:rsidRPr="005754F4">
        <w:rPr>
          <w:noProof/>
          <w:sz w:val="20"/>
          <w:szCs w:val="20"/>
        </w:rPr>
        <w:fldChar w:fldCharType="begin"/>
      </w:r>
      <w:r w:rsidRPr="005754F4">
        <w:rPr>
          <w:noProof/>
          <w:sz w:val="20"/>
          <w:szCs w:val="20"/>
        </w:rPr>
        <w:instrText xml:space="preserve"> SEQ Figure \* ARABIC </w:instrText>
      </w:r>
      <w:r w:rsidRPr="005754F4">
        <w:rPr>
          <w:noProof/>
          <w:sz w:val="20"/>
          <w:szCs w:val="20"/>
        </w:rPr>
        <w:fldChar w:fldCharType="separate"/>
      </w:r>
      <w:r w:rsidR="00E16D65">
        <w:rPr>
          <w:noProof/>
          <w:sz w:val="20"/>
          <w:szCs w:val="20"/>
        </w:rPr>
        <w:t>34</w:t>
      </w:r>
      <w:r w:rsidRPr="005754F4">
        <w:rPr>
          <w:noProof/>
          <w:sz w:val="20"/>
          <w:szCs w:val="20"/>
        </w:rPr>
        <w:fldChar w:fldCharType="end"/>
      </w:r>
      <w:bookmarkEnd w:id="705"/>
      <w:r w:rsidRPr="005754F4">
        <w:rPr>
          <w:noProof/>
          <w:sz w:val="20"/>
          <w:szCs w:val="20"/>
        </w:rPr>
        <w:t>: Product cost increase after switching to 100% green steel.</w:t>
      </w:r>
    </w:p>
    <w:p w14:paraId="1767A36B" w14:textId="77777777" w:rsidR="00865435" w:rsidRPr="00FF63D1" w:rsidRDefault="00865435">
      <w:pPr>
        <w:pStyle w:val="Text1"/>
        <w:spacing w:after="120"/>
        <w:ind w:left="0"/>
        <w:rPr>
          <w:noProof/>
        </w:rPr>
      </w:pPr>
    </w:p>
    <w:p w14:paraId="71CB9AF0" w14:textId="77777777" w:rsidR="00020031" w:rsidRPr="00FF63D1" w:rsidRDefault="00020031" w:rsidP="008D60DD">
      <w:pPr>
        <w:pStyle w:val="Text1"/>
        <w:pBdr>
          <w:top w:val="single" w:sz="4" w:space="1" w:color="auto"/>
          <w:left w:val="single" w:sz="4" w:space="1" w:color="auto"/>
          <w:bottom w:val="single" w:sz="4" w:space="1" w:color="auto"/>
          <w:right w:val="single" w:sz="4" w:space="4" w:color="auto"/>
          <w:between w:val="single" w:sz="4" w:space="1" w:color="auto"/>
          <w:bar w:val="single" w:sz="4" w:color="auto"/>
        </w:pBdr>
        <w:spacing w:after="120"/>
        <w:ind w:left="0"/>
        <w:rPr>
          <w:noProof/>
          <w:sz w:val="20"/>
        </w:rPr>
      </w:pPr>
      <w:r w:rsidRPr="00FF63D1">
        <w:rPr>
          <w:noProof/>
          <w:sz w:val="20"/>
        </w:rPr>
        <w:t xml:space="preserve">Respondents from the </w:t>
      </w:r>
      <w:r w:rsidRPr="00FF63D1">
        <w:rPr>
          <w:b/>
          <w:noProof/>
          <w:sz w:val="20"/>
        </w:rPr>
        <w:t xml:space="preserve">targeted stakeholder consultation </w:t>
      </w:r>
      <w:r w:rsidRPr="00FF63D1">
        <w:rPr>
          <w:noProof/>
          <w:sz w:val="20"/>
        </w:rPr>
        <w:t>have provided estimates of the impacts of low-carbon requirements on cost of products: (i) less than a 1% increase in the price of an average car, while enabling CO₂ savings of up to 1.5 tonnes per vehicle; (ii) cost increases of 0.1–0.2% for buildings, 0.6–1.2% for industrial sites, and 1.6–5.5% for steel-intensive sectors such as household appliances and offshore wind infrastructure; (ii) in the defence sector, the reported cost impact for military vehicles ranged from 0.15% to 0.5%.</w:t>
      </w:r>
    </w:p>
    <w:p w14:paraId="2D93A574" w14:textId="4063E2AF" w:rsidR="008926D8" w:rsidRPr="00FF63D1" w:rsidRDefault="00020031" w:rsidP="00217425">
      <w:pPr>
        <w:spacing w:after="120"/>
        <w:rPr>
          <w:noProof/>
        </w:rPr>
      </w:pPr>
      <w:r w:rsidRPr="00FF63D1">
        <w:rPr>
          <w:b/>
          <w:noProof/>
        </w:rPr>
        <w:t>LEAD_BAT 1</w:t>
      </w:r>
      <w:r w:rsidRPr="00FF63D1">
        <w:rPr>
          <w:noProof/>
        </w:rPr>
        <w:t xml:space="preserve"> - Based on the </w:t>
      </w:r>
      <w:r w:rsidRPr="00FF63D1">
        <w:rPr>
          <w:b/>
          <w:noProof/>
        </w:rPr>
        <w:t>Public Consultation</w:t>
      </w:r>
      <w:r w:rsidRPr="00FF63D1">
        <w:rPr>
          <w:noProof/>
        </w:rPr>
        <w:t>, all 4 respondents from the batteries and storage sector strongly support measures to stimulate demand for clean industrial products and consider public procurement a significant driver for low-carbon products.</w:t>
      </w:r>
    </w:p>
    <w:p w14:paraId="13162AF6" w14:textId="74EA9835" w:rsidR="00315936" w:rsidRPr="00FF63D1" w:rsidRDefault="00020031" w:rsidP="00217425">
      <w:pPr>
        <w:spacing w:after="120"/>
        <w:rPr>
          <w:noProof/>
        </w:rPr>
      </w:pPr>
      <w:r w:rsidRPr="00FF63D1">
        <w:rPr>
          <w:noProof/>
        </w:rPr>
        <w:t xml:space="preserve">Similarly, all 4 respondents agree that the introduction of an EU voluntary label on carbon intensity will support the creation of lead markets for sustainable industrial products. RECHARGE, the Advanced rechargeable &amp; Lithium Batteries Association - in its submitted position paper - also supports the introduction of </w:t>
      </w:r>
      <w:r w:rsidR="000B3C9C">
        <w:rPr>
          <w:noProof/>
        </w:rPr>
        <w:t xml:space="preserve">Made in EU </w:t>
      </w:r>
      <w:r w:rsidRPr="00FF63D1">
        <w:rPr>
          <w:noProof/>
        </w:rPr>
        <w:t>requirements as a “a powerful industrial policy instrument” that can “incentivise production, sourcing, and value creation of key technologies within the EU (...) while reducing dependence on imported battery components and raw materials, helping mitigate supply chain vulnerabilities”.</w:t>
      </w:r>
      <w:r w:rsidR="00315936" w:rsidRPr="00FF63D1">
        <w:rPr>
          <w:noProof/>
        </w:rPr>
        <w:t xml:space="preserve"> </w:t>
      </w:r>
      <w:r w:rsidRPr="00FF63D1">
        <w:rPr>
          <w:noProof/>
        </w:rPr>
        <w:t xml:space="preserve">Furthermore, the respondents to the consultation are in </w:t>
      </w:r>
      <w:r w:rsidR="00694E1C" w:rsidRPr="00FF63D1">
        <w:rPr>
          <w:noProof/>
        </w:rPr>
        <w:t>favour</w:t>
      </w:r>
      <w:r w:rsidRPr="00FF63D1">
        <w:rPr>
          <w:noProof/>
        </w:rPr>
        <w:t xml:space="preserve"> of public procurement as a driver for lead markets, with RECHARGE supporting “non-price award criteria in public tenders, such as sustainability, resilience, and supply chain security”.</w:t>
      </w:r>
    </w:p>
    <w:p w14:paraId="00F1CC25" w14:textId="160F55FF" w:rsidR="00315936" w:rsidRPr="00FF63D1" w:rsidRDefault="719AC623" w:rsidP="00217425">
      <w:pPr>
        <w:spacing w:after="120"/>
        <w:rPr>
          <w:noProof/>
        </w:rPr>
      </w:pPr>
      <w:r w:rsidRPr="1A2A8689">
        <w:rPr>
          <w:b/>
          <w:bCs/>
          <w:noProof/>
        </w:rPr>
        <w:t xml:space="preserve">LEAD_SOL 1 </w:t>
      </w:r>
      <w:r w:rsidRPr="00FF63D1">
        <w:rPr>
          <w:noProof/>
        </w:rPr>
        <w:t xml:space="preserve">would boost EU local production, strengthen energy security, and decrease reliance on imports, especially from China. Consequently, it would help preserve existing EU production capacity and strengthen the business case for new manufacturing projects. Chinese players are also considering establishing themselves in Europe under the condition that there is a favourable policy framework in place to support EU manufacturing and ensure offtake for EU made products, for example through </w:t>
      </w:r>
      <w:r w:rsidR="735B4904">
        <w:rPr>
          <w:noProof/>
        </w:rPr>
        <w:t>Made in EU</w:t>
      </w:r>
      <w:r w:rsidRPr="00FF63D1">
        <w:rPr>
          <w:noProof/>
        </w:rPr>
        <w:t xml:space="preserve"> requirements. This could further support bringing advanced capabilities and scaled production systems to Europe. Moreover, it would send a strong investment signal, helping to secure financing and accelerate additional capacity development.</w:t>
      </w:r>
      <w:r w:rsidR="4EA85F42" w:rsidRPr="00FF63D1">
        <w:rPr>
          <w:noProof/>
        </w:rPr>
        <w:t xml:space="preserve"> </w:t>
      </w:r>
      <w:r w:rsidR="388D9E61">
        <w:rPr>
          <w:noProof/>
        </w:rPr>
        <w:t>Made in EU requirements</w:t>
      </w:r>
      <w:r w:rsidR="404A2814" w:rsidRPr="00FF63D1">
        <w:rPr>
          <w:noProof/>
        </w:rPr>
        <w:t xml:space="preserve"> can stimulate the growth of domestic PV manufacturing by linking market deployment incentives to domestic production. E.g. in </w:t>
      </w:r>
      <w:r w:rsidR="41C07C5D" w:rsidRPr="00FF63D1">
        <w:rPr>
          <w:noProof/>
        </w:rPr>
        <w:t>Türkiye</w:t>
      </w:r>
      <w:r w:rsidR="404A2814" w:rsidRPr="00FF63D1">
        <w:rPr>
          <w:noProof/>
        </w:rPr>
        <w:t>, a local content premium introduced in 2013 and subsequent tenders for full value-chain capacity led to a rapid expansion of domestic manufacturing, reaching over 9</w:t>
      </w:r>
      <w:r w:rsidR="31394F0A">
        <w:rPr>
          <w:noProof/>
        </w:rPr>
        <w:t xml:space="preserve"> </w:t>
      </w:r>
      <w:r w:rsidR="404A2814" w:rsidRPr="00FF63D1">
        <w:rPr>
          <w:noProof/>
        </w:rPr>
        <w:t xml:space="preserve">GW by 2023. Similarly, South Africa uses </w:t>
      </w:r>
      <w:r w:rsidR="51097F04">
        <w:rPr>
          <w:noProof/>
        </w:rPr>
        <w:t>local content requirements</w:t>
      </w:r>
      <w:r w:rsidR="51097F04" w:rsidRPr="00FF63D1">
        <w:rPr>
          <w:noProof/>
        </w:rPr>
        <w:t xml:space="preserve"> </w:t>
      </w:r>
      <w:r w:rsidR="51097F04">
        <w:rPr>
          <w:noProof/>
        </w:rPr>
        <w:t xml:space="preserve">(LCRs) </w:t>
      </w:r>
      <w:r w:rsidR="404A2814" w:rsidRPr="00FF63D1">
        <w:rPr>
          <w:noProof/>
        </w:rPr>
        <w:t>in government procurement to promote domestic production of PV components, helping to structure an emerging local PV industry and integrate it into regional and global value chains. In both cases, LCRs serve as a strategic tool to scale up manufacturing capacity while fostering industrial development.</w:t>
      </w:r>
      <w:r w:rsidR="00020031" w:rsidRPr="00FF63D1">
        <w:rPr>
          <w:rStyle w:val="FootnoteReference"/>
          <w:noProof/>
        </w:rPr>
        <w:footnoteReference w:id="654"/>
      </w:r>
    </w:p>
    <w:p w14:paraId="7B74C0D1" w14:textId="2353F827" w:rsidR="00020031" w:rsidRPr="00FF63D1" w:rsidRDefault="404A2814" w:rsidP="00217425">
      <w:pPr>
        <w:spacing w:after="120"/>
        <w:rPr>
          <w:noProof/>
        </w:rPr>
      </w:pPr>
      <w:r w:rsidRPr="1A2A8689">
        <w:rPr>
          <w:b/>
          <w:bCs/>
          <w:noProof/>
        </w:rPr>
        <w:t>INV 1</w:t>
      </w:r>
      <w:r w:rsidRPr="00FF63D1">
        <w:rPr>
          <w:noProof/>
        </w:rPr>
        <w:t xml:space="preserve"> - As regards indirect costs of deterring certain FDI transactions by applying restrictive criteria for investments, the Commission Evaluation on FDI Screening Regulation</w:t>
      </w:r>
      <w:r w:rsidR="00020031" w:rsidRPr="00FF63D1">
        <w:rPr>
          <w:rStyle w:val="FootnoteReference"/>
          <w:noProof/>
        </w:rPr>
        <w:footnoteReference w:id="655"/>
      </w:r>
      <w:r w:rsidRPr="00FF63D1">
        <w:rPr>
          <w:noProof/>
        </w:rPr>
        <w:t xml:space="preserve"> considered these to be </w:t>
      </w:r>
      <w:r w:rsidRPr="00217425">
        <w:rPr>
          <w:noProof/>
        </w:rPr>
        <w:t>negligible</w:t>
      </w:r>
      <w:r w:rsidRPr="00FF63D1">
        <w:rPr>
          <w:noProof/>
        </w:rPr>
        <w:t>, despite the theoretical possibility of conditions deterring certain investments. Accordingly, it can be assumed that the indirect impacts for voluntary conditions established under PO1 would also be negligible.</w:t>
      </w:r>
    </w:p>
    <w:p w14:paraId="67289D5B" w14:textId="77777777" w:rsidR="00020031" w:rsidRPr="00FF63D1" w:rsidRDefault="00020031" w:rsidP="00217425">
      <w:pPr>
        <w:spacing w:after="120"/>
        <w:rPr>
          <w:noProof/>
        </w:rPr>
      </w:pPr>
      <w:r w:rsidRPr="00FF63D1">
        <w:rPr>
          <w:noProof/>
        </w:rPr>
        <w:t xml:space="preserve">Conditionalities </w:t>
      </w:r>
      <w:r w:rsidRPr="00217425">
        <w:rPr>
          <w:noProof/>
        </w:rPr>
        <w:t>which</w:t>
      </w:r>
      <w:r w:rsidRPr="00FF63D1">
        <w:rPr>
          <w:noProof/>
        </w:rPr>
        <w:t xml:space="preserve"> might restrict supply or demand under value added production or securing critical value chains, could entail raising the price of certain products.</w:t>
      </w:r>
    </w:p>
    <w:p w14:paraId="66197827" w14:textId="44AEE5EF" w:rsidR="002563A2" w:rsidRDefault="00FE6ED4" w:rsidP="00217425">
      <w:pPr>
        <w:spacing w:after="120"/>
        <w:rPr>
          <w:i/>
          <w:noProof/>
        </w:rPr>
      </w:pPr>
      <w:r w:rsidRPr="00FF63D1">
        <w:rPr>
          <w:rFonts w:eastAsia="Times New Roman"/>
          <w:b/>
          <w:noProof/>
        </w:rPr>
        <w:t xml:space="preserve">LEAD_VC 1 </w:t>
      </w:r>
      <w:r w:rsidRPr="00FF63D1">
        <w:rPr>
          <w:rFonts w:eastAsia="Times New Roman"/>
          <w:noProof/>
        </w:rPr>
        <w:t>(In the case of LEAD_VC, the section on companies refer to the vehicle suppliers)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0"/>
        <w:gridCol w:w="355"/>
        <w:gridCol w:w="921"/>
        <w:gridCol w:w="920"/>
      </w:tblGrid>
      <w:tr w:rsidR="00FE6ED4" w:rsidRPr="00FF63D1" w14:paraId="02B2EFEB" w14:textId="77777777" w:rsidTr="3F0F1197">
        <w:trPr>
          <w:trHeight w:val="337"/>
        </w:trPr>
        <w:tc>
          <w:tcPr>
            <w:tcW w:w="5000" w:type="pct"/>
            <w:gridSpan w:val="4"/>
            <w:shd w:val="clear" w:color="auto" w:fill="E2EFDA"/>
            <w:noWrap/>
            <w:vAlign w:val="bottom"/>
            <w:hideMark/>
          </w:tcPr>
          <w:p w14:paraId="75C787D5" w14:textId="5C8B9F85" w:rsidR="00FE6ED4" w:rsidRPr="00F331E9" w:rsidRDefault="24A070F2">
            <w:pPr>
              <w:jc w:val="center"/>
              <w:rPr>
                <w:rFonts w:eastAsia="Times New Roman" w:cs="Times New Roman"/>
                <w:b/>
                <w:noProof/>
                <w:color w:val="000000"/>
                <w:sz w:val="22"/>
                <w:lang w:eastAsia="en-IE"/>
              </w:rPr>
            </w:pPr>
            <w:r w:rsidRPr="3F0F1197">
              <w:rPr>
                <w:rFonts w:eastAsia="Times New Roman" w:cs="Times New Roman"/>
                <w:b/>
                <w:bCs/>
                <w:noProof/>
                <w:color w:val="000000"/>
                <w:sz w:val="22"/>
                <w:lang w:eastAsia="en-IE"/>
              </w:rPr>
              <w:t>EU supplier</w:t>
            </w:r>
            <w:r w:rsidR="5FE80153" w:rsidRPr="3F0F1197">
              <w:rPr>
                <w:rFonts w:eastAsia="Times New Roman" w:cs="Times New Roman"/>
                <w:b/>
                <w:bCs/>
                <w:noProof/>
                <w:color w:val="000000"/>
                <w:sz w:val="22"/>
                <w:lang w:eastAsia="en-IE"/>
              </w:rPr>
              <w:t xml:space="preserve">s in </w:t>
            </w:r>
            <w:r w:rsidR="54A5A8DC" w:rsidRPr="3F0F1197">
              <w:rPr>
                <w:rFonts w:eastAsia="Times New Roman" w:cs="Times New Roman"/>
                <w:b/>
                <w:bCs/>
                <w:noProof/>
                <w:color w:val="000000"/>
                <w:sz w:val="22"/>
                <w:lang w:eastAsia="en-IE"/>
              </w:rPr>
              <w:t>the “Internal market reaction” scenario</w:t>
            </w:r>
            <w:r w:rsidR="00851903" w:rsidRPr="3F0F1197">
              <w:rPr>
                <w:rStyle w:val="FootnoteReference"/>
                <w:rFonts w:eastAsia="Times New Roman" w:cs="Times New Roman"/>
                <w:b/>
                <w:bCs/>
                <w:noProof/>
                <w:color w:val="000000"/>
                <w:sz w:val="22"/>
                <w:lang w:eastAsia="en-IE"/>
              </w:rPr>
              <w:footnoteReference w:id="656"/>
            </w:r>
          </w:p>
        </w:tc>
      </w:tr>
      <w:tr w:rsidR="00FE6ED4" w:rsidRPr="00FF63D1" w14:paraId="6E3BE3BF" w14:textId="77777777" w:rsidTr="3F0F1197">
        <w:trPr>
          <w:trHeight w:val="327"/>
        </w:trPr>
        <w:tc>
          <w:tcPr>
            <w:tcW w:w="3782" w:type="pct"/>
            <w:tcBorders>
              <w:left w:val="nil"/>
              <w:right w:val="nil"/>
            </w:tcBorders>
            <w:shd w:val="clear" w:color="auto" w:fill="FFFFFF" w:themeFill="background1"/>
            <w:noWrap/>
            <w:vAlign w:val="bottom"/>
            <w:hideMark/>
          </w:tcPr>
          <w:p w14:paraId="6A29131C" w14:textId="0197089E" w:rsidR="00FE6ED4" w:rsidRPr="008E26CF" w:rsidRDefault="00FE6ED4">
            <w:pPr>
              <w:jc w:val="left"/>
              <w:rPr>
                <w:rFonts w:eastAsia="Times New Roman" w:cs="Times New Roman"/>
                <w:noProof/>
                <w:color w:val="000000"/>
                <w:sz w:val="22"/>
                <w:lang w:eastAsia="en-IE"/>
              </w:rPr>
            </w:pPr>
            <w:r w:rsidRPr="008E26CF">
              <w:rPr>
                <w:rFonts w:eastAsia="Times New Roman" w:cs="Times New Roman"/>
                <w:noProof/>
                <w:color w:val="000000"/>
                <w:sz w:val="22"/>
                <w:lang w:eastAsia="en-IE"/>
              </w:rPr>
              <w:t> </w:t>
            </w:r>
            <w:r w:rsidR="0003206E" w:rsidRPr="008E26CF">
              <w:rPr>
                <w:rFonts w:eastAsia="Times New Roman" w:cs="Times New Roman"/>
                <w:noProof/>
                <w:color w:val="000000"/>
                <w:sz w:val="22"/>
                <w:lang w:eastAsia="en-IE"/>
              </w:rPr>
              <w:t>in EUR billion</w:t>
            </w:r>
          </w:p>
        </w:tc>
        <w:tc>
          <w:tcPr>
            <w:tcW w:w="197" w:type="pct"/>
            <w:tcBorders>
              <w:left w:val="nil"/>
              <w:right w:val="nil"/>
            </w:tcBorders>
            <w:shd w:val="clear" w:color="auto" w:fill="FFFFFF" w:themeFill="background1"/>
            <w:noWrap/>
            <w:vAlign w:val="bottom"/>
            <w:hideMark/>
          </w:tcPr>
          <w:p w14:paraId="44CF0B10" w14:textId="77777777" w:rsidR="00FE6ED4" w:rsidRPr="00F331E9" w:rsidRDefault="00FE6ED4">
            <w:pPr>
              <w:jc w:val="left"/>
              <w:rPr>
                <w:rFonts w:eastAsia="Times New Roman" w:cs="Times New Roman"/>
                <w:noProof/>
                <w:color w:val="000000"/>
                <w:sz w:val="22"/>
                <w:lang w:eastAsia="en-IE"/>
              </w:rPr>
            </w:pPr>
            <w:r w:rsidRPr="00F331E9">
              <w:rPr>
                <w:rFonts w:eastAsia="Times New Roman" w:cs="Times New Roman"/>
                <w:noProof/>
                <w:color w:val="000000"/>
                <w:sz w:val="22"/>
                <w:lang w:eastAsia="en-IE"/>
              </w:rPr>
              <w:t> </w:t>
            </w:r>
          </w:p>
        </w:tc>
        <w:tc>
          <w:tcPr>
            <w:tcW w:w="511" w:type="pct"/>
            <w:tcBorders>
              <w:left w:val="nil"/>
              <w:right w:val="nil"/>
            </w:tcBorders>
            <w:shd w:val="clear" w:color="auto" w:fill="FFFFFF" w:themeFill="background1"/>
            <w:noWrap/>
            <w:vAlign w:val="bottom"/>
            <w:hideMark/>
          </w:tcPr>
          <w:p w14:paraId="55E8423F" w14:textId="77777777" w:rsidR="00FE6ED4" w:rsidRPr="00F331E9" w:rsidRDefault="00FE6ED4">
            <w:pPr>
              <w:jc w:val="center"/>
              <w:rPr>
                <w:rFonts w:eastAsia="Times New Roman" w:cs="Times New Roman"/>
                <w:b/>
                <w:noProof/>
                <w:color w:val="000000"/>
                <w:sz w:val="22"/>
                <w:lang w:eastAsia="en-IE"/>
              </w:rPr>
            </w:pPr>
            <w:r w:rsidRPr="00F331E9">
              <w:rPr>
                <w:rFonts w:eastAsia="Times New Roman" w:cs="Times New Roman"/>
                <w:b/>
                <w:noProof/>
                <w:color w:val="000000"/>
                <w:sz w:val="22"/>
                <w:lang w:eastAsia="en-IE"/>
              </w:rPr>
              <w:t>2027</w:t>
            </w:r>
          </w:p>
        </w:tc>
        <w:tc>
          <w:tcPr>
            <w:tcW w:w="510" w:type="pct"/>
            <w:tcBorders>
              <w:left w:val="nil"/>
              <w:right w:val="nil"/>
            </w:tcBorders>
            <w:shd w:val="clear" w:color="auto" w:fill="FFFFFF" w:themeFill="background1"/>
            <w:noWrap/>
            <w:vAlign w:val="bottom"/>
            <w:hideMark/>
          </w:tcPr>
          <w:p w14:paraId="4A425822" w14:textId="77777777" w:rsidR="00FE6ED4" w:rsidRPr="00F331E9" w:rsidRDefault="00FE6ED4">
            <w:pPr>
              <w:jc w:val="center"/>
              <w:rPr>
                <w:rFonts w:eastAsia="Times New Roman" w:cs="Times New Roman"/>
                <w:b/>
                <w:noProof/>
                <w:color w:val="000000"/>
                <w:sz w:val="22"/>
                <w:lang w:eastAsia="en-IE"/>
              </w:rPr>
            </w:pPr>
            <w:r w:rsidRPr="00F331E9">
              <w:rPr>
                <w:rFonts w:eastAsia="Times New Roman" w:cs="Times New Roman"/>
                <w:b/>
                <w:noProof/>
                <w:color w:val="000000"/>
                <w:sz w:val="22"/>
                <w:lang w:eastAsia="en-IE"/>
              </w:rPr>
              <w:t>2030</w:t>
            </w:r>
          </w:p>
        </w:tc>
      </w:tr>
      <w:tr w:rsidR="00FE6ED4" w:rsidRPr="00FF63D1" w14:paraId="36C3466B" w14:textId="77777777" w:rsidTr="3F0F1197">
        <w:trPr>
          <w:trHeight w:val="327"/>
        </w:trPr>
        <w:tc>
          <w:tcPr>
            <w:tcW w:w="3782" w:type="pct"/>
            <w:tcBorders>
              <w:left w:val="nil"/>
              <w:right w:val="nil"/>
            </w:tcBorders>
            <w:shd w:val="clear" w:color="auto" w:fill="FFFFFF" w:themeFill="background1"/>
            <w:noWrap/>
            <w:vAlign w:val="bottom"/>
            <w:hideMark/>
          </w:tcPr>
          <w:p w14:paraId="0A9CF699" w14:textId="32B70A9E" w:rsidR="00FE6ED4" w:rsidRPr="00F331E9" w:rsidRDefault="009C69FA">
            <w:pPr>
              <w:jc w:val="left"/>
              <w:rPr>
                <w:rFonts w:eastAsia="Times New Roman" w:cs="Times New Roman"/>
                <w:b/>
                <w:i/>
                <w:noProof/>
                <w:color w:val="000000"/>
                <w:sz w:val="22"/>
                <w:lang w:eastAsia="en-IE"/>
              </w:rPr>
            </w:pPr>
            <w:r w:rsidRPr="00F331E9">
              <w:rPr>
                <w:rFonts w:eastAsia="Times New Roman" w:cs="Times New Roman"/>
                <w:b/>
                <w:i/>
                <w:noProof/>
                <w:color w:val="000000"/>
                <w:sz w:val="22"/>
                <w:lang w:eastAsia="en-IE"/>
              </w:rPr>
              <w:t>Passenger cars</w:t>
            </w:r>
          </w:p>
        </w:tc>
        <w:tc>
          <w:tcPr>
            <w:tcW w:w="197" w:type="pct"/>
            <w:tcBorders>
              <w:left w:val="nil"/>
              <w:right w:val="nil"/>
            </w:tcBorders>
            <w:shd w:val="clear" w:color="auto" w:fill="FFFFFF" w:themeFill="background1"/>
            <w:noWrap/>
            <w:vAlign w:val="bottom"/>
            <w:hideMark/>
          </w:tcPr>
          <w:p w14:paraId="42AD07C0" w14:textId="77777777" w:rsidR="00FE6ED4" w:rsidRPr="00F331E9" w:rsidRDefault="00FE6ED4">
            <w:pPr>
              <w:jc w:val="left"/>
              <w:rPr>
                <w:rFonts w:eastAsia="Times New Roman" w:cs="Times New Roman"/>
                <w:b/>
                <w:i/>
                <w:noProof/>
                <w:color w:val="000000"/>
                <w:sz w:val="22"/>
                <w:lang w:eastAsia="en-IE"/>
              </w:rPr>
            </w:pPr>
            <w:r w:rsidRPr="00F331E9">
              <w:rPr>
                <w:rFonts w:eastAsia="Times New Roman" w:cs="Times New Roman"/>
                <w:b/>
                <w:i/>
                <w:noProof/>
                <w:color w:val="000000"/>
                <w:sz w:val="22"/>
                <w:lang w:eastAsia="en-IE"/>
              </w:rPr>
              <w:t> </w:t>
            </w:r>
          </w:p>
        </w:tc>
        <w:tc>
          <w:tcPr>
            <w:tcW w:w="511" w:type="pct"/>
            <w:tcBorders>
              <w:left w:val="nil"/>
              <w:right w:val="nil"/>
            </w:tcBorders>
            <w:shd w:val="clear" w:color="auto" w:fill="FFFFFF" w:themeFill="background1"/>
            <w:noWrap/>
            <w:vAlign w:val="bottom"/>
            <w:hideMark/>
          </w:tcPr>
          <w:p w14:paraId="030F2520" w14:textId="77777777" w:rsidR="00FE6ED4" w:rsidRPr="00F331E9" w:rsidRDefault="00FE6ED4">
            <w:pPr>
              <w:jc w:val="left"/>
              <w:rPr>
                <w:rFonts w:eastAsia="Times New Roman" w:cs="Times New Roman"/>
                <w:noProof/>
                <w:color w:val="000000"/>
                <w:sz w:val="22"/>
                <w:lang w:eastAsia="en-IE"/>
              </w:rPr>
            </w:pPr>
            <w:r w:rsidRPr="00F331E9">
              <w:rPr>
                <w:rFonts w:eastAsia="Times New Roman" w:cs="Times New Roman"/>
                <w:noProof/>
                <w:color w:val="000000"/>
                <w:sz w:val="22"/>
                <w:lang w:eastAsia="en-IE"/>
              </w:rPr>
              <w:t> </w:t>
            </w:r>
          </w:p>
        </w:tc>
        <w:tc>
          <w:tcPr>
            <w:tcW w:w="510" w:type="pct"/>
            <w:tcBorders>
              <w:left w:val="nil"/>
              <w:right w:val="nil"/>
            </w:tcBorders>
            <w:shd w:val="clear" w:color="auto" w:fill="FFFFFF" w:themeFill="background1"/>
            <w:noWrap/>
            <w:vAlign w:val="bottom"/>
            <w:hideMark/>
          </w:tcPr>
          <w:p w14:paraId="770FDDF7" w14:textId="77777777" w:rsidR="00FE6ED4" w:rsidRPr="00F331E9" w:rsidRDefault="00FE6ED4">
            <w:pPr>
              <w:jc w:val="left"/>
              <w:rPr>
                <w:rFonts w:eastAsia="Times New Roman" w:cs="Times New Roman"/>
                <w:noProof/>
                <w:color w:val="000000"/>
                <w:sz w:val="22"/>
                <w:lang w:eastAsia="en-IE"/>
              </w:rPr>
            </w:pPr>
            <w:r w:rsidRPr="00F331E9">
              <w:rPr>
                <w:rFonts w:eastAsia="Times New Roman" w:cs="Times New Roman"/>
                <w:noProof/>
                <w:color w:val="000000"/>
                <w:sz w:val="22"/>
                <w:lang w:eastAsia="en-IE"/>
              </w:rPr>
              <w:t> </w:t>
            </w:r>
          </w:p>
        </w:tc>
      </w:tr>
      <w:tr w:rsidR="00FE6ED4" w:rsidRPr="00FF63D1" w14:paraId="316AE6D7" w14:textId="77777777" w:rsidTr="3F0F1197">
        <w:trPr>
          <w:trHeight w:val="327"/>
        </w:trPr>
        <w:tc>
          <w:tcPr>
            <w:tcW w:w="3782" w:type="pct"/>
            <w:tcBorders>
              <w:left w:val="nil"/>
              <w:right w:val="nil"/>
            </w:tcBorders>
            <w:shd w:val="clear" w:color="auto" w:fill="FFFFFF" w:themeFill="background1"/>
            <w:noWrap/>
            <w:vAlign w:val="bottom"/>
            <w:hideMark/>
          </w:tcPr>
          <w:p w14:paraId="7C7140D2" w14:textId="3E1C6005" w:rsidR="00FE6ED4" w:rsidRPr="00F331E9" w:rsidRDefault="00FE6ED4">
            <w:pPr>
              <w:jc w:val="left"/>
              <w:rPr>
                <w:rFonts w:eastAsia="Times New Roman" w:cs="Times New Roman"/>
                <w:noProof/>
                <w:color w:val="000000"/>
                <w:sz w:val="22"/>
                <w:lang w:eastAsia="en-IE"/>
              </w:rPr>
            </w:pPr>
            <w:r w:rsidRPr="00F331E9">
              <w:rPr>
                <w:rFonts w:eastAsia="Times New Roman" w:cs="Times New Roman"/>
                <w:noProof/>
                <w:color w:val="000000"/>
                <w:sz w:val="22"/>
                <w:lang w:eastAsia="en-IE"/>
              </w:rPr>
              <w:t xml:space="preserve">  sales increase</w:t>
            </w:r>
          </w:p>
        </w:tc>
        <w:tc>
          <w:tcPr>
            <w:tcW w:w="197" w:type="pct"/>
            <w:tcBorders>
              <w:left w:val="nil"/>
              <w:right w:val="nil"/>
            </w:tcBorders>
            <w:shd w:val="clear" w:color="auto" w:fill="FFFFFF" w:themeFill="background1"/>
            <w:noWrap/>
            <w:vAlign w:val="bottom"/>
            <w:hideMark/>
          </w:tcPr>
          <w:p w14:paraId="1FD0C335" w14:textId="77777777" w:rsidR="00FE6ED4" w:rsidRPr="00F331E9" w:rsidRDefault="00FE6ED4">
            <w:pPr>
              <w:jc w:val="left"/>
              <w:rPr>
                <w:rFonts w:eastAsia="Times New Roman" w:cs="Times New Roman"/>
                <w:noProof/>
                <w:color w:val="000000"/>
                <w:sz w:val="22"/>
                <w:lang w:eastAsia="en-IE"/>
              </w:rPr>
            </w:pPr>
            <w:r w:rsidRPr="00F331E9">
              <w:rPr>
                <w:rFonts w:eastAsia="Times New Roman" w:cs="Times New Roman"/>
                <w:noProof/>
                <w:color w:val="000000"/>
                <w:sz w:val="22"/>
                <w:lang w:eastAsia="en-IE"/>
              </w:rPr>
              <w:t> </w:t>
            </w:r>
          </w:p>
        </w:tc>
        <w:tc>
          <w:tcPr>
            <w:tcW w:w="511" w:type="pct"/>
            <w:tcBorders>
              <w:left w:val="nil"/>
              <w:right w:val="nil"/>
            </w:tcBorders>
            <w:shd w:val="clear" w:color="auto" w:fill="FFFFFF" w:themeFill="background1"/>
            <w:noWrap/>
            <w:vAlign w:val="bottom"/>
            <w:hideMark/>
          </w:tcPr>
          <w:p w14:paraId="26DD991A" w14:textId="77777777" w:rsidR="00FE6ED4" w:rsidRPr="00F331E9" w:rsidRDefault="00FE6ED4">
            <w:pPr>
              <w:jc w:val="center"/>
              <w:rPr>
                <w:rFonts w:eastAsia="Times New Roman" w:cs="Times New Roman"/>
                <w:noProof/>
                <w:color w:val="000000"/>
                <w:sz w:val="22"/>
                <w:lang w:eastAsia="en-IE"/>
              </w:rPr>
            </w:pPr>
            <w:r w:rsidRPr="00F331E9">
              <w:rPr>
                <w:rFonts w:eastAsia="Times New Roman" w:cs="Times New Roman"/>
                <w:noProof/>
                <w:color w:val="000000"/>
                <w:sz w:val="22"/>
                <w:lang w:eastAsia="en-IE"/>
              </w:rPr>
              <w:t>5.9</w:t>
            </w:r>
          </w:p>
        </w:tc>
        <w:tc>
          <w:tcPr>
            <w:tcW w:w="510" w:type="pct"/>
            <w:tcBorders>
              <w:left w:val="nil"/>
              <w:right w:val="nil"/>
            </w:tcBorders>
            <w:shd w:val="clear" w:color="auto" w:fill="FFFFFF" w:themeFill="background1"/>
            <w:noWrap/>
            <w:vAlign w:val="bottom"/>
            <w:hideMark/>
          </w:tcPr>
          <w:p w14:paraId="1E4753E9" w14:textId="77777777" w:rsidR="00FE6ED4" w:rsidRPr="00F331E9" w:rsidRDefault="00FE6ED4">
            <w:pPr>
              <w:jc w:val="center"/>
              <w:rPr>
                <w:rFonts w:eastAsia="Times New Roman" w:cs="Times New Roman"/>
                <w:noProof/>
                <w:color w:val="000000"/>
                <w:sz w:val="22"/>
                <w:lang w:eastAsia="en-IE"/>
              </w:rPr>
            </w:pPr>
            <w:r w:rsidRPr="00F331E9">
              <w:rPr>
                <w:rFonts w:eastAsia="Times New Roman" w:cs="Times New Roman"/>
                <w:noProof/>
                <w:color w:val="000000"/>
                <w:sz w:val="22"/>
                <w:lang w:eastAsia="en-IE"/>
              </w:rPr>
              <w:t>6.0</w:t>
            </w:r>
          </w:p>
        </w:tc>
      </w:tr>
      <w:tr w:rsidR="00FE6ED4" w:rsidRPr="00DD0545" w14:paraId="12141C71" w14:textId="77777777" w:rsidTr="3F0F1197">
        <w:trPr>
          <w:trHeight w:val="327"/>
        </w:trPr>
        <w:tc>
          <w:tcPr>
            <w:tcW w:w="3782" w:type="pct"/>
            <w:tcBorders>
              <w:left w:val="nil"/>
              <w:right w:val="nil"/>
            </w:tcBorders>
            <w:shd w:val="clear" w:color="auto" w:fill="FFFFFF" w:themeFill="background1"/>
            <w:noWrap/>
            <w:vAlign w:val="bottom"/>
            <w:hideMark/>
          </w:tcPr>
          <w:p w14:paraId="6D268DBC" w14:textId="1ADB74EE" w:rsidR="00FE6ED4" w:rsidRPr="008D60DD" w:rsidRDefault="009C69FA">
            <w:pPr>
              <w:jc w:val="left"/>
              <w:rPr>
                <w:rFonts w:eastAsia="Times New Roman" w:cs="Times New Roman"/>
                <w:b/>
                <w:i/>
                <w:noProof/>
                <w:color w:val="000000"/>
                <w:sz w:val="22"/>
                <w:lang w:val="fr-BE" w:eastAsia="en-IE"/>
              </w:rPr>
            </w:pPr>
            <w:r w:rsidRPr="00F331E9">
              <w:rPr>
                <w:rFonts w:eastAsia="Times New Roman" w:cs="Times New Roman"/>
                <w:b/>
                <w:i/>
                <w:noProof/>
                <w:color w:val="000000" w:themeColor="text1"/>
                <w:sz w:val="22"/>
                <w:lang w:val="fr-BE" w:eastAsia="en-IE"/>
              </w:rPr>
              <w:t>LCVs</w:t>
            </w:r>
          </w:p>
        </w:tc>
        <w:tc>
          <w:tcPr>
            <w:tcW w:w="197" w:type="pct"/>
            <w:tcBorders>
              <w:left w:val="nil"/>
              <w:right w:val="nil"/>
            </w:tcBorders>
            <w:shd w:val="clear" w:color="auto" w:fill="FFFFFF" w:themeFill="background1"/>
            <w:noWrap/>
            <w:vAlign w:val="bottom"/>
            <w:hideMark/>
          </w:tcPr>
          <w:p w14:paraId="7B185802" w14:textId="77777777" w:rsidR="00FE6ED4" w:rsidRPr="008D60DD" w:rsidRDefault="00FE6ED4">
            <w:pPr>
              <w:jc w:val="left"/>
              <w:rPr>
                <w:rFonts w:eastAsia="Times New Roman" w:cs="Times New Roman"/>
                <w:b/>
                <w:i/>
                <w:noProof/>
                <w:color w:val="000000"/>
                <w:sz w:val="22"/>
                <w:lang w:val="fr-BE" w:eastAsia="en-IE"/>
              </w:rPr>
            </w:pPr>
            <w:r w:rsidRPr="008D60DD">
              <w:rPr>
                <w:rFonts w:eastAsia="Times New Roman" w:cs="Times New Roman"/>
                <w:b/>
                <w:i/>
                <w:noProof/>
                <w:color w:val="000000"/>
                <w:sz w:val="22"/>
                <w:lang w:val="fr-BE" w:eastAsia="en-IE"/>
              </w:rPr>
              <w:t> </w:t>
            </w:r>
          </w:p>
        </w:tc>
        <w:tc>
          <w:tcPr>
            <w:tcW w:w="511" w:type="pct"/>
            <w:tcBorders>
              <w:left w:val="nil"/>
              <w:right w:val="nil"/>
            </w:tcBorders>
            <w:shd w:val="clear" w:color="auto" w:fill="FFFFFF" w:themeFill="background1"/>
            <w:noWrap/>
            <w:vAlign w:val="bottom"/>
            <w:hideMark/>
          </w:tcPr>
          <w:p w14:paraId="6FF54886" w14:textId="77777777" w:rsidR="00FE6ED4" w:rsidRPr="008D60DD" w:rsidRDefault="00FE6ED4">
            <w:pPr>
              <w:jc w:val="left"/>
              <w:rPr>
                <w:rFonts w:eastAsia="Times New Roman" w:cs="Times New Roman"/>
                <w:noProof/>
                <w:color w:val="000000"/>
                <w:sz w:val="22"/>
                <w:lang w:val="fr-BE" w:eastAsia="en-IE"/>
              </w:rPr>
            </w:pPr>
            <w:r w:rsidRPr="008D60DD">
              <w:rPr>
                <w:rFonts w:eastAsia="Times New Roman" w:cs="Times New Roman"/>
                <w:noProof/>
                <w:color w:val="000000"/>
                <w:sz w:val="22"/>
                <w:lang w:val="fr-BE" w:eastAsia="en-IE"/>
              </w:rPr>
              <w:t> </w:t>
            </w:r>
          </w:p>
        </w:tc>
        <w:tc>
          <w:tcPr>
            <w:tcW w:w="510" w:type="pct"/>
            <w:tcBorders>
              <w:left w:val="nil"/>
              <w:right w:val="nil"/>
            </w:tcBorders>
            <w:shd w:val="clear" w:color="auto" w:fill="FFFFFF" w:themeFill="background1"/>
            <w:noWrap/>
            <w:vAlign w:val="bottom"/>
            <w:hideMark/>
          </w:tcPr>
          <w:p w14:paraId="2FEC2A00" w14:textId="77777777" w:rsidR="00FE6ED4" w:rsidRPr="008D60DD" w:rsidRDefault="00FE6ED4">
            <w:pPr>
              <w:jc w:val="left"/>
              <w:rPr>
                <w:rFonts w:eastAsia="Times New Roman" w:cs="Times New Roman"/>
                <w:noProof/>
                <w:color w:val="000000"/>
                <w:sz w:val="22"/>
                <w:lang w:val="fr-BE" w:eastAsia="en-IE"/>
              </w:rPr>
            </w:pPr>
            <w:r w:rsidRPr="008D60DD">
              <w:rPr>
                <w:rFonts w:eastAsia="Times New Roman" w:cs="Times New Roman"/>
                <w:noProof/>
                <w:color w:val="000000"/>
                <w:sz w:val="22"/>
                <w:lang w:val="fr-BE" w:eastAsia="en-IE"/>
              </w:rPr>
              <w:t> </w:t>
            </w:r>
          </w:p>
        </w:tc>
      </w:tr>
      <w:tr w:rsidR="00FE6ED4" w:rsidRPr="00FF63D1" w14:paraId="24BFB64D" w14:textId="77777777" w:rsidTr="3F0F1197">
        <w:trPr>
          <w:trHeight w:val="327"/>
        </w:trPr>
        <w:tc>
          <w:tcPr>
            <w:tcW w:w="3782" w:type="pct"/>
            <w:tcBorders>
              <w:left w:val="nil"/>
              <w:right w:val="nil"/>
            </w:tcBorders>
            <w:shd w:val="clear" w:color="auto" w:fill="FFFFFF" w:themeFill="background1"/>
            <w:noWrap/>
            <w:vAlign w:val="bottom"/>
            <w:hideMark/>
          </w:tcPr>
          <w:p w14:paraId="2893D7BF" w14:textId="619C6499" w:rsidR="00FE6ED4" w:rsidRPr="00F331E9" w:rsidRDefault="00FE6ED4">
            <w:pPr>
              <w:jc w:val="left"/>
              <w:rPr>
                <w:rFonts w:eastAsia="Times New Roman" w:cs="Times New Roman"/>
                <w:noProof/>
                <w:color w:val="000000"/>
                <w:sz w:val="22"/>
                <w:lang w:eastAsia="en-IE"/>
              </w:rPr>
            </w:pPr>
            <w:r w:rsidRPr="00F331E9">
              <w:rPr>
                <w:rFonts w:eastAsia="Times New Roman" w:cs="Times New Roman"/>
                <w:noProof/>
                <w:color w:val="000000"/>
                <w:sz w:val="22"/>
                <w:lang w:val="fr-BE" w:eastAsia="en-IE"/>
              </w:rPr>
              <w:t xml:space="preserve"> </w:t>
            </w:r>
            <w:r w:rsidRPr="008D60DD">
              <w:rPr>
                <w:rFonts w:eastAsia="Times New Roman" w:cs="Times New Roman"/>
                <w:noProof/>
                <w:color w:val="000000"/>
                <w:sz w:val="22"/>
                <w:lang w:val="fr-BE" w:eastAsia="en-IE"/>
              </w:rPr>
              <w:t xml:space="preserve"> </w:t>
            </w:r>
            <w:r w:rsidRPr="00F331E9">
              <w:rPr>
                <w:rFonts w:eastAsia="Times New Roman" w:cs="Times New Roman"/>
                <w:noProof/>
                <w:color w:val="000000"/>
                <w:sz w:val="22"/>
                <w:lang w:eastAsia="en-IE"/>
              </w:rPr>
              <w:t>sales increase</w:t>
            </w:r>
          </w:p>
        </w:tc>
        <w:tc>
          <w:tcPr>
            <w:tcW w:w="197" w:type="pct"/>
            <w:tcBorders>
              <w:left w:val="nil"/>
              <w:right w:val="nil"/>
            </w:tcBorders>
            <w:shd w:val="clear" w:color="auto" w:fill="FFFFFF" w:themeFill="background1"/>
            <w:noWrap/>
            <w:vAlign w:val="bottom"/>
            <w:hideMark/>
          </w:tcPr>
          <w:p w14:paraId="4AC872CF" w14:textId="77777777" w:rsidR="00FE6ED4" w:rsidRPr="00F331E9" w:rsidRDefault="00FE6ED4">
            <w:pPr>
              <w:jc w:val="left"/>
              <w:rPr>
                <w:rFonts w:eastAsia="Times New Roman" w:cs="Times New Roman"/>
                <w:noProof/>
                <w:color w:val="000000"/>
                <w:sz w:val="22"/>
                <w:lang w:eastAsia="en-IE"/>
              </w:rPr>
            </w:pPr>
            <w:r w:rsidRPr="00F331E9">
              <w:rPr>
                <w:rFonts w:eastAsia="Times New Roman" w:cs="Times New Roman"/>
                <w:noProof/>
                <w:color w:val="000000"/>
                <w:sz w:val="22"/>
                <w:lang w:eastAsia="en-IE"/>
              </w:rPr>
              <w:t> </w:t>
            </w:r>
          </w:p>
        </w:tc>
        <w:tc>
          <w:tcPr>
            <w:tcW w:w="511" w:type="pct"/>
            <w:tcBorders>
              <w:left w:val="nil"/>
              <w:right w:val="nil"/>
            </w:tcBorders>
            <w:shd w:val="clear" w:color="auto" w:fill="FFFFFF" w:themeFill="background1"/>
            <w:noWrap/>
            <w:vAlign w:val="bottom"/>
            <w:hideMark/>
          </w:tcPr>
          <w:p w14:paraId="06E9406D" w14:textId="54B7FC88" w:rsidR="00FE6ED4" w:rsidRPr="00F331E9" w:rsidRDefault="00FE6ED4">
            <w:pPr>
              <w:jc w:val="center"/>
              <w:rPr>
                <w:rFonts w:eastAsia="Times New Roman" w:cs="Times New Roman"/>
                <w:noProof/>
                <w:color w:val="000000"/>
                <w:sz w:val="22"/>
                <w:lang w:eastAsia="en-IE"/>
              </w:rPr>
            </w:pPr>
            <w:r w:rsidRPr="00F331E9">
              <w:rPr>
                <w:rFonts w:eastAsia="Times New Roman" w:cs="Times New Roman"/>
                <w:noProof/>
                <w:color w:val="000000"/>
                <w:sz w:val="22"/>
                <w:lang w:eastAsia="en-IE"/>
              </w:rPr>
              <w:t>0.</w:t>
            </w:r>
            <w:r w:rsidR="00265004" w:rsidRPr="00F331E9">
              <w:rPr>
                <w:rFonts w:eastAsia="Times New Roman" w:cs="Times New Roman"/>
                <w:noProof/>
                <w:color w:val="000000"/>
                <w:sz w:val="22"/>
                <w:lang w:eastAsia="en-IE"/>
              </w:rPr>
              <w:t>5</w:t>
            </w:r>
          </w:p>
        </w:tc>
        <w:tc>
          <w:tcPr>
            <w:tcW w:w="510" w:type="pct"/>
            <w:tcBorders>
              <w:left w:val="nil"/>
              <w:right w:val="nil"/>
            </w:tcBorders>
            <w:shd w:val="clear" w:color="auto" w:fill="FFFFFF" w:themeFill="background1"/>
            <w:noWrap/>
            <w:vAlign w:val="bottom"/>
            <w:hideMark/>
          </w:tcPr>
          <w:p w14:paraId="3D59452D" w14:textId="2B1755A3" w:rsidR="00FE6ED4" w:rsidRPr="00F331E9" w:rsidRDefault="00265004">
            <w:pPr>
              <w:jc w:val="center"/>
              <w:rPr>
                <w:rFonts w:eastAsia="Times New Roman" w:cs="Times New Roman"/>
                <w:noProof/>
                <w:color w:val="000000"/>
                <w:sz w:val="22"/>
                <w:lang w:eastAsia="en-IE"/>
              </w:rPr>
            </w:pPr>
            <w:r w:rsidRPr="00F331E9">
              <w:rPr>
                <w:rFonts w:eastAsia="Times New Roman" w:cs="Times New Roman"/>
                <w:noProof/>
                <w:color w:val="000000"/>
                <w:sz w:val="22"/>
                <w:lang w:eastAsia="en-IE"/>
              </w:rPr>
              <w:t>0.8</w:t>
            </w:r>
          </w:p>
        </w:tc>
      </w:tr>
      <w:tr w:rsidR="009C69FA" w:rsidRPr="00FF63D1" w14:paraId="6BABA2AC" w14:textId="77777777" w:rsidTr="3F0F1197">
        <w:trPr>
          <w:trHeight w:val="327"/>
        </w:trPr>
        <w:tc>
          <w:tcPr>
            <w:tcW w:w="3782" w:type="pct"/>
            <w:tcBorders>
              <w:left w:val="nil"/>
              <w:right w:val="nil"/>
            </w:tcBorders>
            <w:shd w:val="clear" w:color="auto" w:fill="FFFFFF" w:themeFill="background1"/>
            <w:noWrap/>
            <w:vAlign w:val="bottom"/>
          </w:tcPr>
          <w:p w14:paraId="6F664106" w14:textId="5D11429C" w:rsidR="009C69FA" w:rsidRPr="00F331E9" w:rsidRDefault="009C69FA" w:rsidP="009C69FA">
            <w:pPr>
              <w:jc w:val="left"/>
              <w:rPr>
                <w:rFonts w:eastAsia="Times New Roman" w:cs="Times New Roman"/>
                <w:noProof/>
                <w:color w:val="000000"/>
                <w:sz w:val="22"/>
                <w:lang w:val="fr-BE" w:eastAsia="en-IE"/>
              </w:rPr>
            </w:pPr>
            <w:r w:rsidRPr="00F331E9">
              <w:rPr>
                <w:rFonts w:eastAsia="Times New Roman" w:cs="Times New Roman"/>
                <w:b/>
                <w:i/>
                <w:noProof/>
                <w:color w:val="000000" w:themeColor="text1"/>
                <w:sz w:val="22"/>
                <w:lang w:val="fr-BE" w:eastAsia="en-IE"/>
              </w:rPr>
              <w:t>HDVs</w:t>
            </w:r>
          </w:p>
        </w:tc>
        <w:tc>
          <w:tcPr>
            <w:tcW w:w="197" w:type="pct"/>
            <w:tcBorders>
              <w:left w:val="nil"/>
              <w:right w:val="nil"/>
            </w:tcBorders>
            <w:shd w:val="clear" w:color="auto" w:fill="FFFFFF" w:themeFill="background1"/>
            <w:noWrap/>
            <w:vAlign w:val="bottom"/>
          </w:tcPr>
          <w:p w14:paraId="40D98435" w14:textId="77777777" w:rsidR="009C69FA" w:rsidRPr="00F331E9" w:rsidRDefault="009C69FA" w:rsidP="009C69FA">
            <w:pPr>
              <w:jc w:val="left"/>
              <w:rPr>
                <w:rFonts w:eastAsia="Times New Roman" w:cs="Times New Roman"/>
                <w:noProof/>
                <w:color w:val="000000"/>
                <w:sz w:val="22"/>
                <w:lang w:eastAsia="en-IE"/>
              </w:rPr>
            </w:pPr>
          </w:p>
        </w:tc>
        <w:tc>
          <w:tcPr>
            <w:tcW w:w="511" w:type="pct"/>
            <w:tcBorders>
              <w:left w:val="nil"/>
              <w:right w:val="nil"/>
            </w:tcBorders>
            <w:shd w:val="clear" w:color="auto" w:fill="FFFFFF" w:themeFill="background1"/>
            <w:noWrap/>
            <w:vAlign w:val="bottom"/>
          </w:tcPr>
          <w:p w14:paraId="73B1B6FF" w14:textId="77777777" w:rsidR="009C69FA" w:rsidRPr="00F331E9" w:rsidRDefault="009C69FA" w:rsidP="009C69FA">
            <w:pPr>
              <w:jc w:val="center"/>
              <w:rPr>
                <w:rFonts w:eastAsia="Times New Roman" w:cs="Times New Roman"/>
                <w:noProof/>
                <w:color w:val="000000"/>
                <w:sz w:val="22"/>
                <w:lang w:eastAsia="en-IE"/>
              </w:rPr>
            </w:pPr>
          </w:p>
        </w:tc>
        <w:tc>
          <w:tcPr>
            <w:tcW w:w="510" w:type="pct"/>
            <w:tcBorders>
              <w:left w:val="nil"/>
              <w:right w:val="nil"/>
            </w:tcBorders>
            <w:shd w:val="clear" w:color="auto" w:fill="FFFFFF" w:themeFill="background1"/>
            <w:noWrap/>
            <w:vAlign w:val="bottom"/>
          </w:tcPr>
          <w:p w14:paraId="03C65B5D" w14:textId="77777777" w:rsidR="009C69FA" w:rsidRPr="00F331E9" w:rsidRDefault="009C69FA" w:rsidP="009C69FA">
            <w:pPr>
              <w:jc w:val="center"/>
              <w:rPr>
                <w:rFonts w:eastAsia="Times New Roman" w:cs="Times New Roman"/>
                <w:noProof/>
                <w:color w:val="000000"/>
                <w:sz w:val="22"/>
                <w:lang w:eastAsia="en-IE"/>
              </w:rPr>
            </w:pPr>
          </w:p>
        </w:tc>
      </w:tr>
      <w:tr w:rsidR="009C69FA" w:rsidRPr="00FF63D1" w14:paraId="3EB2D178" w14:textId="77777777" w:rsidTr="3F0F1197">
        <w:trPr>
          <w:trHeight w:val="327"/>
        </w:trPr>
        <w:tc>
          <w:tcPr>
            <w:tcW w:w="3782" w:type="pct"/>
            <w:tcBorders>
              <w:left w:val="nil"/>
              <w:right w:val="nil"/>
            </w:tcBorders>
            <w:shd w:val="clear" w:color="auto" w:fill="FFFFFF" w:themeFill="background1"/>
            <w:noWrap/>
            <w:vAlign w:val="bottom"/>
          </w:tcPr>
          <w:p w14:paraId="1A0CD8E9" w14:textId="47CC380B" w:rsidR="009C69FA" w:rsidRPr="00F331E9" w:rsidRDefault="009C69FA" w:rsidP="009C69FA">
            <w:pPr>
              <w:jc w:val="left"/>
              <w:rPr>
                <w:rFonts w:eastAsia="Times New Roman" w:cs="Times New Roman"/>
                <w:noProof/>
                <w:color w:val="000000"/>
                <w:sz w:val="22"/>
                <w:lang w:val="fr-BE" w:eastAsia="en-IE"/>
              </w:rPr>
            </w:pPr>
            <w:r w:rsidRPr="00F331E9">
              <w:rPr>
                <w:rFonts w:eastAsia="Times New Roman" w:cs="Times New Roman"/>
                <w:noProof/>
                <w:color w:val="000000"/>
                <w:sz w:val="22"/>
                <w:lang w:val="fr-BE" w:eastAsia="en-IE"/>
              </w:rPr>
              <w:t xml:space="preserve"> </w:t>
            </w:r>
            <w:r w:rsidRPr="008D60DD">
              <w:rPr>
                <w:rFonts w:eastAsia="Times New Roman" w:cs="Times New Roman"/>
                <w:noProof/>
                <w:color w:val="000000"/>
                <w:sz w:val="22"/>
                <w:lang w:val="fr-BE" w:eastAsia="en-IE"/>
              </w:rPr>
              <w:t xml:space="preserve"> </w:t>
            </w:r>
            <w:r w:rsidRPr="00F331E9">
              <w:rPr>
                <w:rFonts w:eastAsia="Times New Roman" w:cs="Times New Roman"/>
                <w:noProof/>
                <w:color w:val="000000"/>
                <w:sz w:val="22"/>
                <w:lang w:eastAsia="en-IE"/>
              </w:rPr>
              <w:t>sales increase</w:t>
            </w:r>
          </w:p>
        </w:tc>
        <w:tc>
          <w:tcPr>
            <w:tcW w:w="197" w:type="pct"/>
            <w:tcBorders>
              <w:left w:val="nil"/>
              <w:right w:val="nil"/>
            </w:tcBorders>
            <w:shd w:val="clear" w:color="auto" w:fill="FFFFFF" w:themeFill="background1"/>
            <w:noWrap/>
            <w:vAlign w:val="bottom"/>
          </w:tcPr>
          <w:p w14:paraId="79EA15E4" w14:textId="77777777" w:rsidR="009C69FA" w:rsidRPr="00F331E9" w:rsidRDefault="009C69FA" w:rsidP="009C69FA">
            <w:pPr>
              <w:jc w:val="left"/>
              <w:rPr>
                <w:rFonts w:eastAsia="Times New Roman" w:cs="Times New Roman"/>
                <w:noProof/>
                <w:color w:val="000000"/>
                <w:sz w:val="22"/>
                <w:lang w:eastAsia="en-IE"/>
              </w:rPr>
            </w:pPr>
          </w:p>
        </w:tc>
        <w:tc>
          <w:tcPr>
            <w:tcW w:w="511" w:type="pct"/>
            <w:tcBorders>
              <w:left w:val="nil"/>
              <w:right w:val="nil"/>
            </w:tcBorders>
            <w:shd w:val="clear" w:color="auto" w:fill="FFFFFF" w:themeFill="background1"/>
            <w:noWrap/>
            <w:vAlign w:val="bottom"/>
          </w:tcPr>
          <w:p w14:paraId="2456D553" w14:textId="791B6A16" w:rsidR="009C69FA" w:rsidRPr="00F331E9" w:rsidRDefault="00265004" w:rsidP="009C69FA">
            <w:pPr>
              <w:jc w:val="center"/>
              <w:rPr>
                <w:rFonts w:eastAsia="Times New Roman" w:cs="Times New Roman"/>
                <w:noProof/>
                <w:color w:val="000000"/>
                <w:sz w:val="22"/>
                <w:lang w:eastAsia="en-IE"/>
              </w:rPr>
            </w:pPr>
            <w:r w:rsidRPr="00F331E9">
              <w:rPr>
                <w:rFonts w:eastAsia="Times New Roman" w:cs="Times New Roman"/>
                <w:noProof/>
                <w:color w:val="000000"/>
                <w:sz w:val="22"/>
                <w:lang w:eastAsia="en-IE"/>
              </w:rPr>
              <w:t>0.</w:t>
            </w:r>
            <w:r w:rsidR="00B67ED0">
              <w:rPr>
                <w:rFonts w:eastAsia="Times New Roman" w:cs="Times New Roman"/>
                <w:noProof/>
                <w:color w:val="000000"/>
                <w:sz w:val="22"/>
                <w:lang w:eastAsia="en-IE"/>
              </w:rPr>
              <w:t>192</w:t>
            </w:r>
          </w:p>
        </w:tc>
        <w:tc>
          <w:tcPr>
            <w:tcW w:w="510" w:type="pct"/>
            <w:tcBorders>
              <w:left w:val="nil"/>
              <w:right w:val="nil"/>
            </w:tcBorders>
            <w:shd w:val="clear" w:color="auto" w:fill="FFFFFF" w:themeFill="background1"/>
            <w:noWrap/>
            <w:vAlign w:val="bottom"/>
          </w:tcPr>
          <w:p w14:paraId="3242909E" w14:textId="3DBF10DF" w:rsidR="009C69FA" w:rsidRPr="00F331E9" w:rsidRDefault="00265004" w:rsidP="009C69FA">
            <w:pPr>
              <w:jc w:val="center"/>
              <w:rPr>
                <w:rFonts w:eastAsia="Times New Roman" w:cs="Times New Roman"/>
                <w:noProof/>
                <w:color w:val="000000"/>
                <w:sz w:val="22"/>
                <w:lang w:eastAsia="en-IE"/>
              </w:rPr>
            </w:pPr>
            <w:r w:rsidRPr="00F331E9">
              <w:rPr>
                <w:rFonts w:eastAsia="Times New Roman" w:cs="Times New Roman"/>
                <w:noProof/>
                <w:color w:val="000000"/>
                <w:sz w:val="22"/>
                <w:lang w:eastAsia="en-IE"/>
              </w:rPr>
              <w:t>0.</w:t>
            </w:r>
            <w:r w:rsidR="00B67ED0">
              <w:rPr>
                <w:rFonts w:eastAsia="Times New Roman" w:cs="Times New Roman"/>
                <w:noProof/>
                <w:color w:val="000000"/>
                <w:sz w:val="22"/>
                <w:lang w:eastAsia="en-IE"/>
              </w:rPr>
              <w:t>131</w:t>
            </w:r>
          </w:p>
        </w:tc>
      </w:tr>
    </w:tbl>
    <w:p w14:paraId="3D2B366E" w14:textId="008EDE82" w:rsidR="00FE6ED4" w:rsidRPr="00FF63D1" w:rsidRDefault="002201A2" w:rsidP="00217425">
      <w:pPr>
        <w:spacing w:after="120"/>
        <w:rPr>
          <w:noProof/>
        </w:rPr>
      </w:pPr>
      <w:r>
        <w:rPr>
          <w:noProof/>
        </w:rPr>
        <w:t>As a result of the measure</w:t>
      </w:r>
      <w:r w:rsidR="00FE6ED4" w:rsidRPr="00FF63D1">
        <w:rPr>
          <w:noProof/>
        </w:rPr>
        <w:t xml:space="preserve">, the introduction of </w:t>
      </w:r>
      <w:r w:rsidR="000B3C9C">
        <w:rPr>
          <w:noProof/>
        </w:rPr>
        <w:t>Made in EU requirement</w:t>
      </w:r>
      <w:r w:rsidR="00FE6ED4" w:rsidRPr="00FF63D1">
        <w:rPr>
          <w:noProof/>
        </w:rPr>
        <w:t xml:space="preserve"> for vehicle components of EVs sold in the EU will lead to higher sales of EU components suppliers in </w:t>
      </w:r>
      <w:r w:rsidR="00EF002A">
        <w:rPr>
          <w:noProof/>
        </w:rPr>
        <w:t>all vehicle segments</w:t>
      </w:r>
      <w:r w:rsidR="00BA57CC">
        <w:rPr>
          <w:noProof/>
        </w:rPr>
        <w:t>.</w:t>
      </w:r>
    </w:p>
    <w:p w14:paraId="73849211" w14:textId="0C7C29D9" w:rsidR="00245600" w:rsidRDefault="00FE6ED4" w:rsidP="00217425">
      <w:pPr>
        <w:spacing w:after="120"/>
        <w:rPr>
          <w:noProof/>
        </w:rPr>
      </w:pPr>
      <w:r w:rsidRPr="00FF63D1">
        <w:rPr>
          <w:noProof/>
        </w:rPr>
        <w:t xml:space="preserve">In </w:t>
      </w:r>
      <w:r w:rsidR="002201A2">
        <w:rPr>
          <w:noProof/>
        </w:rPr>
        <w:t xml:space="preserve">quantitative terms, </w:t>
      </w:r>
      <w:r w:rsidRPr="00FF63D1">
        <w:rPr>
          <w:noProof/>
        </w:rPr>
        <w:t>th</w:t>
      </w:r>
      <w:r w:rsidR="00831F7B">
        <w:rPr>
          <w:noProof/>
        </w:rPr>
        <w:t>is means that</w:t>
      </w:r>
      <w:r w:rsidR="00BA57CC">
        <w:rPr>
          <w:noProof/>
        </w:rPr>
        <w:t>:</w:t>
      </w:r>
      <w:r w:rsidR="00831F7B">
        <w:rPr>
          <w:noProof/>
        </w:rPr>
        <w:t xml:space="preserve"> </w:t>
      </w:r>
    </w:p>
    <w:p w14:paraId="71C5A7EB" w14:textId="04809054" w:rsidR="006911AE" w:rsidRPr="00FF63D1" w:rsidRDefault="00245600" w:rsidP="0890EC11">
      <w:pPr>
        <w:pStyle w:val="ListParagraph"/>
        <w:numPr>
          <w:ilvl w:val="0"/>
          <w:numId w:val="130"/>
        </w:numPr>
        <w:rPr>
          <w:noProof/>
        </w:rPr>
      </w:pPr>
      <w:r>
        <w:rPr>
          <w:noProof/>
        </w:rPr>
        <w:t>For passenger cars:</w:t>
      </w:r>
      <w:r w:rsidR="00FE6ED4" w:rsidRPr="00FF63D1">
        <w:rPr>
          <w:noProof/>
        </w:rPr>
        <w:t xml:space="preserve"> the sales of EU suppliers to EV manufacturers are expected to rise by </w:t>
      </w:r>
      <w:r w:rsidR="004E00B0">
        <w:rPr>
          <w:noProof/>
        </w:rPr>
        <w:t xml:space="preserve">EUR </w:t>
      </w:r>
      <w:r w:rsidR="00FE6ED4" w:rsidRPr="00FF63D1">
        <w:rPr>
          <w:noProof/>
        </w:rPr>
        <w:t>5.9</w:t>
      </w:r>
      <w:r w:rsidR="00ED7549" w:rsidRPr="00FF63D1">
        <w:rPr>
          <w:noProof/>
        </w:rPr>
        <w:t xml:space="preserve"> </w:t>
      </w:r>
      <w:r w:rsidR="00FE6ED4" w:rsidRPr="00FF63D1">
        <w:rPr>
          <w:noProof/>
        </w:rPr>
        <w:t xml:space="preserve">billion in 2027 and by </w:t>
      </w:r>
      <w:r w:rsidR="004E00B0" w:rsidRPr="004E00B0">
        <w:rPr>
          <w:noProof/>
        </w:rPr>
        <w:t xml:space="preserve">EUR </w:t>
      </w:r>
      <w:r w:rsidR="00FE6ED4" w:rsidRPr="00FF63D1">
        <w:rPr>
          <w:noProof/>
        </w:rPr>
        <w:t>6 billion in 2030. Th</w:t>
      </w:r>
      <w:r w:rsidR="002201A2">
        <w:rPr>
          <w:noProof/>
        </w:rPr>
        <w:t>is</w:t>
      </w:r>
      <w:r w:rsidR="00FE6ED4" w:rsidRPr="00FF63D1">
        <w:rPr>
          <w:noProof/>
        </w:rPr>
        <w:t xml:space="preserve"> sales increase for EU suppliers come from the sales increase of EU made vehicles and the increase of EU content in those vehicles.</w:t>
      </w:r>
    </w:p>
    <w:p w14:paraId="2AB4A8CC" w14:textId="21578950" w:rsidR="006911AE" w:rsidRPr="00FF63D1" w:rsidRDefault="00245600" w:rsidP="0890EC11">
      <w:pPr>
        <w:numPr>
          <w:ilvl w:val="0"/>
          <w:numId w:val="130"/>
        </w:numPr>
        <w:rPr>
          <w:noProof/>
        </w:rPr>
      </w:pPr>
      <w:r>
        <w:rPr>
          <w:noProof/>
        </w:rPr>
        <w:t>For</w:t>
      </w:r>
      <w:r w:rsidR="00FE6ED4" w:rsidRPr="00FF63D1">
        <w:rPr>
          <w:noProof/>
        </w:rPr>
        <w:t xml:space="preserve"> the </w:t>
      </w:r>
      <w:r w:rsidRPr="0890EC11">
        <w:rPr>
          <w:i/>
          <w:noProof/>
        </w:rPr>
        <w:t>LCV segment</w:t>
      </w:r>
      <w:r>
        <w:rPr>
          <w:noProof/>
        </w:rPr>
        <w:t>:</w:t>
      </w:r>
      <w:r w:rsidR="00FE6ED4" w:rsidRPr="00FF63D1">
        <w:rPr>
          <w:noProof/>
        </w:rPr>
        <w:t xml:space="preserve"> the </w:t>
      </w:r>
      <w:r w:rsidR="00EF002A">
        <w:rPr>
          <w:noProof/>
        </w:rPr>
        <w:t>measure would</w:t>
      </w:r>
      <w:r w:rsidR="00FE6ED4" w:rsidRPr="00FF63D1">
        <w:rPr>
          <w:noProof/>
        </w:rPr>
        <w:t xml:space="preserve"> lead to </w:t>
      </w:r>
      <w:r>
        <w:rPr>
          <w:noProof/>
        </w:rPr>
        <w:t>an increase</w:t>
      </w:r>
      <w:r w:rsidR="00FE6ED4" w:rsidRPr="00FF63D1">
        <w:rPr>
          <w:noProof/>
        </w:rPr>
        <w:t xml:space="preserve"> in the sales of EU suppliers to EV car manufacturers </w:t>
      </w:r>
      <w:r w:rsidR="00EF002A">
        <w:rPr>
          <w:noProof/>
        </w:rPr>
        <w:t>would be</w:t>
      </w:r>
      <w:r w:rsidR="00FE6ED4" w:rsidRPr="00FF63D1">
        <w:rPr>
          <w:noProof/>
        </w:rPr>
        <w:t xml:space="preserve"> expected to rise by </w:t>
      </w:r>
      <w:r w:rsidR="004E00B0" w:rsidRPr="004E00B0">
        <w:rPr>
          <w:noProof/>
        </w:rPr>
        <w:t xml:space="preserve">EUR </w:t>
      </w:r>
      <w:r w:rsidR="00FE6ED4" w:rsidRPr="00FF63D1">
        <w:rPr>
          <w:noProof/>
        </w:rPr>
        <w:t xml:space="preserve">0.5 billion in 2027 and by </w:t>
      </w:r>
      <w:r w:rsidR="004E00B0" w:rsidRPr="004E00B0">
        <w:rPr>
          <w:noProof/>
        </w:rPr>
        <w:t xml:space="preserve">EUR </w:t>
      </w:r>
      <w:r w:rsidR="00FE6ED4" w:rsidRPr="00FF63D1">
        <w:rPr>
          <w:noProof/>
        </w:rPr>
        <w:t xml:space="preserve">0.8 billion in 2030. </w:t>
      </w:r>
    </w:p>
    <w:p w14:paraId="4A138E37" w14:textId="1284B689" w:rsidR="003E7236" w:rsidRPr="00217425" w:rsidRDefault="00693138" w:rsidP="0890EC11">
      <w:pPr>
        <w:pStyle w:val="ListParagraph"/>
        <w:numPr>
          <w:ilvl w:val="0"/>
          <w:numId w:val="130"/>
        </w:numPr>
        <w:rPr>
          <w:rFonts w:eastAsia="Times New Roman"/>
          <w:noProof/>
          <w:lang w:val="en-IE"/>
        </w:rPr>
      </w:pPr>
      <w:r>
        <w:rPr>
          <w:noProof/>
        </w:rPr>
        <w:t xml:space="preserve">For </w:t>
      </w:r>
      <w:r w:rsidRPr="0890EC11">
        <w:rPr>
          <w:i/>
          <w:noProof/>
        </w:rPr>
        <w:t>HDV</w:t>
      </w:r>
      <w:r>
        <w:rPr>
          <w:noProof/>
        </w:rPr>
        <w:t>s:</w:t>
      </w:r>
      <w:r w:rsidR="00FE6ED4" w:rsidRPr="00FF63D1">
        <w:rPr>
          <w:noProof/>
        </w:rPr>
        <w:t xml:space="preserve"> the sales of EU suppliers to EV HDV vehicle manufacturers are expected to rise by </w:t>
      </w:r>
      <w:r w:rsidR="004E00B0" w:rsidRPr="004E00B0">
        <w:rPr>
          <w:noProof/>
        </w:rPr>
        <w:t xml:space="preserve">EUR </w:t>
      </w:r>
      <w:r w:rsidR="00FE6ED4" w:rsidRPr="00FF63D1">
        <w:rPr>
          <w:noProof/>
        </w:rPr>
        <w:t xml:space="preserve">192.4 million in 2027 and by </w:t>
      </w:r>
      <w:r w:rsidR="004E00B0" w:rsidRPr="004E00B0">
        <w:rPr>
          <w:noProof/>
        </w:rPr>
        <w:t xml:space="preserve">EUR </w:t>
      </w:r>
      <w:r w:rsidR="00FE6ED4" w:rsidRPr="00FF63D1">
        <w:rPr>
          <w:noProof/>
        </w:rPr>
        <w:t>131.1 million in 2030.</w:t>
      </w:r>
    </w:p>
    <w:p w14:paraId="62DB5486" w14:textId="77777777" w:rsidR="00217425" w:rsidRPr="00FF63D1" w:rsidRDefault="00217425" w:rsidP="00217425">
      <w:pPr>
        <w:pStyle w:val="ListParagraph"/>
        <w:rPr>
          <w:rFonts w:eastAsia="Times New Roman"/>
          <w:noProof/>
          <w:lang w:val="en-IE"/>
        </w:rPr>
      </w:pPr>
    </w:p>
    <w:p w14:paraId="63B2C009" w14:textId="43C9BABD" w:rsidR="001E41B7" w:rsidRDefault="719AC623" w:rsidP="00217425">
      <w:pPr>
        <w:spacing w:after="120"/>
        <w:rPr>
          <w:noProof/>
        </w:rPr>
      </w:pPr>
      <w:r w:rsidRPr="1A2A8689">
        <w:rPr>
          <w:b/>
          <w:bCs/>
          <w:noProof/>
        </w:rPr>
        <w:t>PERM 1</w:t>
      </w:r>
      <w:r w:rsidRPr="00FF63D1">
        <w:rPr>
          <w:noProof/>
        </w:rPr>
        <w:t xml:space="preserve"> </w:t>
      </w:r>
      <w:r w:rsidR="4A87C4B9">
        <w:rPr>
          <w:noProof/>
        </w:rPr>
        <w:t>–</w:t>
      </w:r>
      <w:r w:rsidRPr="00FF63D1">
        <w:rPr>
          <w:noProof/>
        </w:rPr>
        <w:t xml:space="preserve"> </w:t>
      </w:r>
      <w:r w:rsidR="4A87C4B9">
        <w:rPr>
          <w:noProof/>
        </w:rPr>
        <w:t>Periodical technical assistance from the Commission to national authorities is expected to support the permit-granting process for first of a kind and innovative projects, with training on emerging decarbonisation technologies helping to clarify procedures and reduce uncertainty in permitting.</w:t>
      </w:r>
      <w:r w:rsidR="4A87C4B9" w:rsidRPr="000272AD">
        <w:rPr>
          <w:noProof/>
        </w:rPr>
        <w:t xml:space="preserve"> In this context, the Innovation Centre on Industrial Transformation and Emissions (INCITE) will identify and evaluate innovative techniques, giving scientific and independent information.</w:t>
      </w:r>
      <w:r w:rsidR="001E41B7" w:rsidRPr="000272AD">
        <w:rPr>
          <w:rStyle w:val="FootnoteReference"/>
          <w:noProof/>
        </w:rPr>
        <w:footnoteReference w:id="657"/>
      </w:r>
    </w:p>
    <w:p w14:paraId="1C29AC30" w14:textId="2D0DC0F9" w:rsidR="00020031" w:rsidRPr="00FF63D1" w:rsidRDefault="00F53436" w:rsidP="00217425">
      <w:pPr>
        <w:spacing w:after="120"/>
        <w:rPr>
          <w:noProof/>
        </w:rPr>
      </w:pPr>
      <w:r>
        <w:rPr>
          <w:noProof/>
        </w:rPr>
        <w:t>Moreover, s</w:t>
      </w:r>
      <w:r w:rsidR="00020031" w:rsidRPr="00FF63D1">
        <w:rPr>
          <w:noProof/>
        </w:rPr>
        <w:t xml:space="preserve">upport for further </w:t>
      </w:r>
      <w:r w:rsidR="00020031" w:rsidRPr="00217425">
        <w:rPr>
          <w:noProof/>
        </w:rPr>
        <w:t>measures</w:t>
      </w:r>
      <w:r w:rsidR="00020031" w:rsidRPr="00FF63D1">
        <w:rPr>
          <w:noProof/>
        </w:rPr>
        <w:t xml:space="preserve"> to improve the permitting process was high in the </w:t>
      </w:r>
      <w:r w:rsidR="00020031" w:rsidRPr="00FF63D1">
        <w:rPr>
          <w:b/>
          <w:noProof/>
        </w:rPr>
        <w:t>Targeted Consultation</w:t>
      </w:r>
      <w:r w:rsidR="00020031" w:rsidRPr="00FF63D1">
        <w:rPr>
          <w:noProof/>
        </w:rPr>
        <w:t>, with 67% (42) advocating for the digitalisation of the permitting process.</w:t>
      </w:r>
    </w:p>
    <w:p w14:paraId="540BFD7C" w14:textId="696D92F3" w:rsidR="002E2D4A" w:rsidRPr="00FF63D1" w:rsidRDefault="5A69AB24" w:rsidP="00217425">
      <w:pPr>
        <w:spacing w:after="120"/>
        <w:rPr>
          <w:noProof/>
        </w:rPr>
      </w:pPr>
      <w:r w:rsidRPr="00FF63D1">
        <w:rPr>
          <w:b/>
          <w:noProof/>
        </w:rPr>
        <w:t>AREA</w:t>
      </w:r>
      <w:r w:rsidR="00020031" w:rsidRPr="00FF63D1">
        <w:rPr>
          <w:b/>
          <w:noProof/>
        </w:rPr>
        <w:t xml:space="preserve"> 1 - </w:t>
      </w:r>
      <w:r w:rsidR="00020031" w:rsidRPr="00FF63D1">
        <w:rPr>
          <w:noProof/>
        </w:rPr>
        <w:t>Regarding the definition of criteria for projects</w:t>
      </w:r>
      <w:r w:rsidR="06C489DA">
        <w:rPr>
          <w:noProof/>
        </w:rPr>
        <w:t xml:space="preserve"> in relevant areas</w:t>
      </w:r>
      <w:r w:rsidR="00020031" w:rsidRPr="00FF63D1">
        <w:rPr>
          <w:noProof/>
        </w:rPr>
        <w:t xml:space="preserve">, the measures would recommend Member States to make use of the criteria defined in the </w:t>
      </w:r>
      <w:r w:rsidR="00646A42" w:rsidRPr="00FF63D1">
        <w:rPr>
          <w:noProof/>
        </w:rPr>
        <w:t>IAA</w:t>
      </w:r>
      <w:r w:rsidR="00020031" w:rsidRPr="00FF63D1">
        <w:rPr>
          <w:noProof/>
        </w:rPr>
        <w:t xml:space="preserve"> to decide which decarbonisation projects to support under their national support programmes. In the </w:t>
      </w:r>
      <w:r w:rsidR="00020031" w:rsidRPr="00FF63D1">
        <w:rPr>
          <w:b/>
          <w:noProof/>
        </w:rPr>
        <w:t>Open Public Consultation</w:t>
      </w:r>
      <w:r w:rsidR="00020031" w:rsidRPr="00FF63D1">
        <w:rPr>
          <w:noProof/>
        </w:rPr>
        <w:t>, 76% of respondents regarded Member States funds as relevant for industrial decarbonisation projects, making it the most relevant category of public funding.</w:t>
      </w:r>
    </w:p>
    <w:p w14:paraId="3C5F5746" w14:textId="649C4ACA" w:rsidR="002E2D4A" w:rsidRPr="00FF63D1" w:rsidRDefault="00020031" w:rsidP="00217425">
      <w:pPr>
        <w:spacing w:after="120"/>
        <w:rPr>
          <w:noProof/>
        </w:rPr>
      </w:pPr>
      <w:r w:rsidRPr="00FF63D1">
        <w:rPr>
          <w:noProof/>
        </w:rPr>
        <w:t xml:space="preserve">As it is only a recommendation to Member States, it can be assumed that they use the priority criteria lightly. Where they apply them, it is likely to lead to an increase in support for projects with strategic importance for the entire EU (which are sometimes underrepresented in current support schemes by Member States). However, due to the non-binding nature, the effect on companies is likely to be limited and potentially fragmented across the Single </w:t>
      </w:r>
      <w:r w:rsidR="002F770D" w:rsidRPr="00FF63D1">
        <w:rPr>
          <w:noProof/>
        </w:rPr>
        <w:t>M</w:t>
      </w:r>
      <w:r w:rsidRPr="00FF63D1">
        <w:rPr>
          <w:noProof/>
        </w:rPr>
        <w:t>arket.</w:t>
      </w:r>
    </w:p>
    <w:p w14:paraId="0D7EA0B6" w14:textId="77777777" w:rsidR="00020031" w:rsidRDefault="00020031" w:rsidP="008D60DD">
      <w:pPr>
        <w:pStyle w:val="Heading4"/>
        <w:numPr>
          <w:ilvl w:val="0"/>
          <w:numId w:val="0"/>
        </w:numPr>
        <w:rPr>
          <w:rFonts w:eastAsia="Times New Roman"/>
          <w:b/>
          <w:noProof/>
          <w:color w:val="000000" w:themeColor="text1"/>
        </w:rPr>
      </w:pPr>
      <w:r w:rsidRPr="000C6DEB">
        <w:rPr>
          <w:rFonts w:eastAsia="Times New Roman"/>
          <w:b/>
          <w:noProof/>
          <w:color w:val="000000" w:themeColor="text1"/>
        </w:rPr>
        <w:t>Impact on downstream sectors</w:t>
      </w:r>
    </w:p>
    <w:p w14:paraId="10201686" w14:textId="77777777" w:rsidR="007479EF" w:rsidRPr="007479EF" w:rsidRDefault="007479EF" w:rsidP="007479EF">
      <w:pPr>
        <w:rPr>
          <w:noProof/>
        </w:rPr>
      </w:pPr>
    </w:p>
    <w:p w14:paraId="597D9734" w14:textId="00BB620B" w:rsidR="00A465E3" w:rsidRDefault="26583087" w:rsidP="00217425">
      <w:pPr>
        <w:spacing w:after="120"/>
        <w:rPr>
          <w:noProof/>
        </w:rPr>
      </w:pPr>
      <w:r w:rsidRPr="1A2A8689">
        <w:rPr>
          <w:b/>
          <w:bCs/>
          <w:noProof/>
        </w:rPr>
        <w:t>LEAD_EII 1</w:t>
      </w:r>
      <w:r w:rsidR="60A60377" w:rsidRPr="1A2A8689">
        <w:rPr>
          <w:b/>
          <w:bCs/>
          <w:noProof/>
        </w:rPr>
        <w:t xml:space="preserve">- </w:t>
      </w:r>
      <w:r w:rsidR="60A60377" w:rsidRPr="22F06CF7">
        <w:rPr>
          <w:noProof/>
        </w:rPr>
        <w:t xml:space="preserve">The automotive sector is expected to play a </w:t>
      </w:r>
      <w:r w:rsidR="60A60377">
        <w:rPr>
          <w:noProof/>
        </w:rPr>
        <w:t>significant</w:t>
      </w:r>
      <w:r w:rsidR="60A60377" w:rsidRPr="22F06CF7">
        <w:rPr>
          <w:noProof/>
        </w:rPr>
        <w:t xml:space="preserve"> role in driving demand for low-carbon steel. However, </w:t>
      </w:r>
      <w:r w:rsidR="60A60377" w:rsidRPr="00217425">
        <w:rPr>
          <w:noProof/>
        </w:rPr>
        <w:t>public</w:t>
      </w:r>
      <w:r w:rsidR="60A60377" w:rsidRPr="22F06CF7">
        <w:rPr>
          <w:noProof/>
        </w:rPr>
        <w:t xml:space="preserve"> procurement is not a huge market for the automotive sector, compared to building</w:t>
      </w:r>
      <w:r w:rsidR="60A60377">
        <w:rPr>
          <w:noProof/>
        </w:rPr>
        <w:t>s</w:t>
      </w:r>
      <w:r w:rsidR="60A60377" w:rsidRPr="22F06CF7">
        <w:rPr>
          <w:noProof/>
        </w:rPr>
        <w:t xml:space="preserve"> and </w:t>
      </w:r>
      <w:r w:rsidR="60A60377" w:rsidRPr="007479EF">
        <w:rPr>
          <w:noProof/>
        </w:rPr>
        <w:t>infrastructure</w:t>
      </w:r>
      <w:r w:rsidR="60A60377" w:rsidRPr="22F06CF7">
        <w:rPr>
          <w:noProof/>
        </w:rPr>
        <w:t xml:space="preserve">. </w:t>
      </w:r>
      <w:r w:rsidR="60A60377">
        <w:rPr>
          <w:noProof/>
        </w:rPr>
        <w:t>O</w:t>
      </w:r>
      <w:r w:rsidR="60A60377" w:rsidRPr="2F82F2A2">
        <w:rPr>
          <w:noProof/>
        </w:rPr>
        <w:t>f the approximately 15</w:t>
      </w:r>
      <w:r w:rsidR="60A60377">
        <w:rPr>
          <w:noProof/>
        </w:rPr>
        <w:t xml:space="preserve"> </w:t>
      </w:r>
      <w:r w:rsidR="60A60377" w:rsidRPr="2F82F2A2">
        <w:rPr>
          <w:noProof/>
        </w:rPr>
        <w:t>million passenger cars registered in the EU in 2018, only 0.5% to 3.5% were procured for public sector fleets.</w:t>
      </w:r>
      <w:r w:rsidR="00A465E3" w:rsidRPr="2F82F2A2">
        <w:rPr>
          <w:rStyle w:val="FootnoteReference"/>
          <w:noProof/>
        </w:rPr>
        <w:footnoteReference w:id="658"/>
      </w:r>
      <w:r w:rsidR="60A60377" w:rsidRPr="2F82F2A2">
        <w:rPr>
          <w:rStyle w:val="FootnoteReference"/>
          <w:noProof/>
        </w:rPr>
        <w:t xml:space="preserve"> </w:t>
      </w:r>
      <w:r w:rsidR="60A60377" w:rsidRPr="22F06CF7">
        <w:rPr>
          <w:noProof/>
        </w:rPr>
        <w:t xml:space="preserve">Therefore, measures </w:t>
      </w:r>
      <w:r w:rsidR="60A60377">
        <w:rPr>
          <w:noProof/>
        </w:rPr>
        <w:t xml:space="preserve">targeting the </w:t>
      </w:r>
      <w:r w:rsidR="60A60377" w:rsidRPr="22F06CF7">
        <w:rPr>
          <w:noProof/>
        </w:rPr>
        <w:t xml:space="preserve">public </w:t>
      </w:r>
      <w:r w:rsidR="60A60377">
        <w:rPr>
          <w:noProof/>
        </w:rPr>
        <w:t>sector</w:t>
      </w:r>
      <w:r w:rsidR="60A60377" w:rsidRPr="22F06CF7">
        <w:rPr>
          <w:noProof/>
        </w:rPr>
        <w:t xml:space="preserve"> alone are likely to have limited impact on driving low-carbon demand for steel</w:t>
      </w:r>
      <w:r w:rsidR="60A60377" w:rsidRPr="2F82F2A2">
        <w:rPr>
          <w:noProof/>
        </w:rPr>
        <w:t xml:space="preserve">. </w:t>
      </w:r>
      <w:r w:rsidR="60A60377">
        <w:rPr>
          <w:noProof/>
        </w:rPr>
        <w:t>T</w:t>
      </w:r>
      <w:r w:rsidR="60A60377" w:rsidRPr="2F82F2A2">
        <w:rPr>
          <w:noProof/>
        </w:rPr>
        <w:t xml:space="preserve">he situation is different regarding public incentives and support schemes in the Member States. </w:t>
      </w:r>
      <w:r w:rsidR="60A60377">
        <w:rPr>
          <w:noProof/>
        </w:rPr>
        <w:t>Corporate vehicles registrations make up around 60% of car registrations in the EU.</w:t>
      </w:r>
      <w:r w:rsidR="00A465E3">
        <w:rPr>
          <w:rStyle w:val="FootnoteReference"/>
          <w:noProof/>
        </w:rPr>
        <w:footnoteReference w:id="659"/>
      </w:r>
      <w:r w:rsidR="60A60377">
        <w:rPr>
          <w:noProof/>
        </w:rPr>
        <w:t xml:space="preserve"> </w:t>
      </w:r>
      <w:r w:rsidR="60A60377" w:rsidRPr="3F0F1197">
        <w:rPr>
          <w:rFonts w:ascii="Times" w:eastAsiaTheme="minorEastAsia" w:hAnsi="Times" w:cs="Times"/>
          <w:noProof/>
        </w:rPr>
        <w:t>Regarding EVs, there is public support to buy EVs for corporate purchases in all Member States and for consumers in 19 Member States.</w:t>
      </w:r>
      <w:r w:rsidR="00A465E3" w:rsidRPr="3F0F1197">
        <w:rPr>
          <w:rStyle w:val="FootnoteReference"/>
          <w:rFonts w:ascii="Times" w:eastAsiaTheme="minorEastAsia" w:hAnsi="Times" w:cs="Times"/>
          <w:noProof/>
        </w:rPr>
        <w:footnoteReference w:id="660"/>
      </w:r>
      <w:r w:rsidR="60A60377">
        <w:rPr>
          <w:noProof/>
        </w:rPr>
        <w:t xml:space="preserve"> Regarding internal combustion engine vehicles, a </w:t>
      </w:r>
      <w:r w:rsidR="60A60377" w:rsidRPr="00EC447C">
        <w:rPr>
          <w:noProof/>
        </w:rPr>
        <w:t>recent study</w:t>
      </w:r>
      <w:r w:rsidR="60A60377">
        <w:rPr>
          <w:noProof/>
        </w:rPr>
        <w:t xml:space="preserve"> </w:t>
      </w:r>
      <w:r w:rsidR="60A60377" w:rsidRPr="00A51F40">
        <w:rPr>
          <w:noProof/>
        </w:rPr>
        <w:t>estimated that subsidies for corporate vehicles alone amounted to EUR 42 billion in 2023.</w:t>
      </w:r>
      <w:r w:rsidR="00A465E3">
        <w:rPr>
          <w:rStyle w:val="FootnoteReference"/>
          <w:noProof/>
        </w:rPr>
        <w:footnoteReference w:id="661"/>
      </w:r>
      <w:r w:rsidR="60A60377">
        <w:rPr>
          <w:noProof/>
        </w:rPr>
        <w:t xml:space="preserve"> </w:t>
      </w:r>
      <w:r w:rsidR="60A60377" w:rsidRPr="00D73607">
        <w:rPr>
          <w:noProof/>
        </w:rPr>
        <w:t xml:space="preserve">Introducing low-carbon steel requirements </w:t>
      </w:r>
      <w:r w:rsidR="60A60377">
        <w:rPr>
          <w:noProof/>
        </w:rPr>
        <w:t>in a non-</w:t>
      </w:r>
      <w:r w:rsidR="60A60377" w:rsidRPr="007479EF">
        <w:rPr>
          <w:noProof/>
        </w:rPr>
        <w:t>discriminatory</w:t>
      </w:r>
      <w:r w:rsidR="60A60377">
        <w:rPr>
          <w:noProof/>
        </w:rPr>
        <w:t xml:space="preserve"> State-aid compliant manner</w:t>
      </w:r>
      <w:r w:rsidR="60A60377" w:rsidRPr="00D73607">
        <w:rPr>
          <w:noProof/>
        </w:rPr>
        <w:t xml:space="preserve"> as an eligibility condition would </w:t>
      </w:r>
      <w:r w:rsidR="60A60377">
        <w:rPr>
          <w:noProof/>
        </w:rPr>
        <w:t>send a strong market signal, incentivising vehicle manufacturers to source these materials at scale</w:t>
      </w:r>
      <w:r w:rsidR="60A60377" w:rsidRPr="00D73607">
        <w:rPr>
          <w:noProof/>
        </w:rPr>
        <w:t>.</w:t>
      </w:r>
      <w:r w:rsidR="60A60377">
        <w:rPr>
          <w:noProof/>
        </w:rPr>
        <w:t xml:space="preserve"> </w:t>
      </w:r>
      <w:r w:rsidR="60A60377" w:rsidRPr="2F82F2A2">
        <w:rPr>
          <w:noProof/>
        </w:rPr>
        <w:t>There is, however, a risk of material substitution, where procurement requirements or support schemes could shift demand from one material to another. In the automotive sector, low-carbon requirements applied to steel may indirectly increase demand for aluminium, and vice versa.</w:t>
      </w:r>
      <w:r w:rsidR="60A60377">
        <w:rPr>
          <w:noProof/>
        </w:rPr>
        <w:t xml:space="preserve"> While low-carbon requirements for aluminium are not being considered as part of this assessment, due to the lack of an existing low-carbon definition, they could be defined at a later stage, or as part of other ongoing policy initiatives.</w:t>
      </w:r>
    </w:p>
    <w:p w14:paraId="257A2A8B" w14:textId="5DF90BA2" w:rsidR="00CE74AA" w:rsidRPr="00FF63D1" w:rsidRDefault="0031522C" w:rsidP="007479EF">
      <w:pPr>
        <w:spacing w:after="120"/>
        <w:rPr>
          <w:noProof/>
        </w:rPr>
      </w:pPr>
      <w:r w:rsidRPr="00FF63D1">
        <w:rPr>
          <w:b/>
          <w:noProof/>
        </w:rPr>
        <w:t xml:space="preserve">LEAD_VC 1 </w:t>
      </w:r>
      <w:r w:rsidR="00CE74AA" w:rsidRPr="00FF63D1">
        <w:rPr>
          <w:noProof/>
        </w:rPr>
        <w:t xml:space="preserve">(in the case of LEAD_VC, </w:t>
      </w:r>
      <w:r w:rsidR="00CE74AA" w:rsidRPr="007479EF">
        <w:rPr>
          <w:noProof/>
        </w:rPr>
        <w:t>downstream</w:t>
      </w:r>
      <w:r w:rsidR="00CE74AA" w:rsidRPr="00FF63D1">
        <w:rPr>
          <w:noProof/>
        </w:rPr>
        <w:t xml:space="preserve"> sector refers to automotive manufacturers)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2"/>
        <w:gridCol w:w="362"/>
        <w:gridCol w:w="1269"/>
        <w:gridCol w:w="1223"/>
      </w:tblGrid>
      <w:tr w:rsidR="0026006C" w:rsidRPr="00FF63D1" w14:paraId="4B8E10AC" w14:textId="77777777" w:rsidTr="00102FAF">
        <w:trPr>
          <w:trHeight w:val="337"/>
        </w:trPr>
        <w:tc>
          <w:tcPr>
            <w:tcW w:w="5000" w:type="pct"/>
            <w:gridSpan w:val="4"/>
            <w:shd w:val="clear" w:color="auto" w:fill="E2EFDA"/>
            <w:noWrap/>
            <w:vAlign w:val="bottom"/>
            <w:hideMark/>
          </w:tcPr>
          <w:p w14:paraId="64DB490B" w14:textId="557F002E" w:rsidR="0026006C" w:rsidRPr="00510E7F" w:rsidRDefault="0026006C">
            <w:pPr>
              <w:jc w:val="center"/>
              <w:rPr>
                <w:rFonts w:eastAsia="Times New Roman" w:cs="Times New Roman"/>
                <w:b/>
                <w:noProof/>
                <w:color w:val="000000"/>
                <w:sz w:val="22"/>
                <w:lang w:eastAsia="en-IE"/>
              </w:rPr>
            </w:pPr>
            <w:r w:rsidRPr="00510E7F">
              <w:rPr>
                <w:rFonts w:eastAsia="Times New Roman" w:cs="Times New Roman"/>
                <w:b/>
                <w:noProof/>
                <w:color w:val="000000"/>
                <w:sz w:val="22"/>
                <w:lang w:eastAsia="en-IE"/>
              </w:rPr>
              <w:t>EU EV manufacturers in the “Internal market reaction” scenario</w:t>
            </w:r>
          </w:p>
        </w:tc>
      </w:tr>
      <w:tr w:rsidR="0026006C" w:rsidRPr="00FF63D1" w14:paraId="69F4E256" w14:textId="77777777" w:rsidTr="0003206E">
        <w:trPr>
          <w:trHeight w:val="327"/>
        </w:trPr>
        <w:tc>
          <w:tcPr>
            <w:tcW w:w="3417" w:type="pct"/>
            <w:tcBorders>
              <w:left w:val="nil"/>
              <w:right w:val="nil"/>
            </w:tcBorders>
            <w:shd w:val="clear" w:color="auto" w:fill="FFFFFF" w:themeFill="background1"/>
            <w:noWrap/>
            <w:vAlign w:val="bottom"/>
            <w:hideMark/>
          </w:tcPr>
          <w:p w14:paraId="242282FC" w14:textId="085B6D41" w:rsidR="0026006C" w:rsidRPr="00510E7F" w:rsidRDefault="0003206E">
            <w:pPr>
              <w:jc w:val="left"/>
              <w:rPr>
                <w:rFonts w:eastAsia="Times New Roman" w:cs="Times New Roman"/>
                <w:b/>
                <w:noProof/>
                <w:color w:val="000000"/>
                <w:sz w:val="22"/>
                <w:lang w:eastAsia="en-IE"/>
              </w:rPr>
            </w:pPr>
            <w:r w:rsidRPr="003A3009">
              <w:rPr>
                <w:rFonts w:eastAsia="Times New Roman" w:cs="Times New Roman"/>
                <w:bCs/>
                <w:noProof/>
                <w:color w:val="000000"/>
                <w:sz w:val="22"/>
                <w:lang w:eastAsia="en-IE"/>
              </w:rPr>
              <w:t> in EUR billion</w:t>
            </w:r>
          </w:p>
        </w:tc>
        <w:tc>
          <w:tcPr>
            <w:tcW w:w="201" w:type="pct"/>
            <w:tcBorders>
              <w:left w:val="nil"/>
              <w:right w:val="nil"/>
            </w:tcBorders>
            <w:shd w:val="clear" w:color="auto" w:fill="FFFFFF" w:themeFill="background1"/>
            <w:noWrap/>
            <w:vAlign w:val="bottom"/>
            <w:hideMark/>
          </w:tcPr>
          <w:p w14:paraId="5B07B19F" w14:textId="77777777" w:rsidR="0026006C" w:rsidRPr="00510E7F" w:rsidRDefault="0026006C">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hideMark/>
          </w:tcPr>
          <w:p w14:paraId="513603D1" w14:textId="77777777" w:rsidR="0026006C" w:rsidRPr="00510E7F" w:rsidRDefault="0026006C">
            <w:pPr>
              <w:jc w:val="center"/>
              <w:rPr>
                <w:rFonts w:eastAsia="Times New Roman" w:cs="Times New Roman"/>
                <w:b/>
                <w:noProof/>
                <w:color w:val="000000"/>
                <w:sz w:val="22"/>
                <w:lang w:eastAsia="en-IE"/>
              </w:rPr>
            </w:pPr>
            <w:r w:rsidRPr="00510E7F">
              <w:rPr>
                <w:rFonts w:eastAsia="Times New Roman" w:cs="Times New Roman"/>
                <w:b/>
                <w:noProof/>
                <w:color w:val="000000"/>
                <w:sz w:val="22"/>
                <w:lang w:eastAsia="en-IE"/>
              </w:rPr>
              <w:t>2027</w:t>
            </w:r>
          </w:p>
        </w:tc>
        <w:tc>
          <w:tcPr>
            <w:tcW w:w="679" w:type="pct"/>
            <w:tcBorders>
              <w:left w:val="nil"/>
              <w:right w:val="nil"/>
            </w:tcBorders>
            <w:shd w:val="clear" w:color="auto" w:fill="FFFFFF" w:themeFill="background1"/>
            <w:noWrap/>
            <w:vAlign w:val="bottom"/>
            <w:hideMark/>
          </w:tcPr>
          <w:p w14:paraId="203D47B6" w14:textId="77777777" w:rsidR="0026006C" w:rsidRPr="00510E7F" w:rsidRDefault="0026006C">
            <w:pPr>
              <w:jc w:val="center"/>
              <w:rPr>
                <w:rFonts w:eastAsia="Times New Roman" w:cs="Times New Roman"/>
                <w:b/>
                <w:noProof/>
                <w:color w:val="000000"/>
                <w:sz w:val="22"/>
                <w:lang w:eastAsia="en-IE"/>
              </w:rPr>
            </w:pPr>
            <w:r w:rsidRPr="00510E7F">
              <w:rPr>
                <w:rFonts w:eastAsia="Times New Roman" w:cs="Times New Roman"/>
                <w:b/>
                <w:noProof/>
                <w:color w:val="000000"/>
                <w:sz w:val="22"/>
                <w:lang w:eastAsia="en-IE"/>
              </w:rPr>
              <w:t>2030</w:t>
            </w:r>
          </w:p>
        </w:tc>
      </w:tr>
      <w:tr w:rsidR="0026006C" w:rsidRPr="00FF63D1" w14:paraId="0FC82B5D" w14:textId="77777777" w:rsidTr="0003206E">
        <w:trPr>
          <w:trHeight w:val="327"/>
        </w:trPr>
        <w:tc>
          <w:tcPr>
            <w:tcW w:w="3417" w:type="pct"/>
            <w:tcBorders>
              <w:left w:val="nil"/>
              <w:right w:val="nil"/>
            </w:tcBorders>
            <w:shd w:val="clear" w:color="auto" w:fill="FFFFFF" w:themeFill="background1"/>
            <w:noWrap/>
            <w:vAlign w:val="bottom"/>
            <w:hideMark/>
          </w:tcPr>
          <w:p w14:paraId="729BF98C" w14:textId="77777777" w:rsidR="0026006C" w:rsidRPr="00510E7F" w:rsidRDefault="0026006C">
            <w:pPr>
              <w:jc w:val="left"/>
              <w:rPr>
                <w:rFonts w:eastAsia="Times New Roman" w:cs="Times New Roman"/>
                <w:b/>
                <w:i/>
                <w:noProof/>
                <w:color w:val="000000"/>
                <w:sz w:val="22"/>
                <w:lang w:eastAsia="en-IE"/>
              </w:rPr>
            </w:pPr>
            <w:r w:rsidRPr="00510E7F">
              <w:rPr>
                <w:rFonts w:eastAsia="Times New Roman" w:cs="Times New Roman"/>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64C156CF" w14:textId="77777777" w:rsidR="0026006C" w:rsidRPr="00510E7F" w:rsidRDefault="0026006C">
            <w:pPr>
              <w:jc w:val="left"/>
              <w:rPr>
                <w:rFonts w:eastAsia="Times New Roman" w:cs="Times New Roman"/>
                <w:b/>
                <w:i/>
                <w:noProof/>
                <w:color w:val="000000"/>
                <w:sz w:val="22"/>
                <w:lang w:eastAsia="en-IE"/>
              </w:rPr>
            </w:pPr>
            <w:r w:rsidRPr="00510E7F">
              <w:rPr>
                <w:rFonts w:eastAsia="Times New Roman" w:cs="Times New Roman"/>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682C3337" w14:textId="483F830B" w:rsidR="0026006C" w:rsidRPr="00510E7F" w:rsidRDefault="0026006C" w:rsidP="00160565">
            <w:pPr>
              <w:jc w:val="center"/>
              <w:rPr>
                <w:rFonts w:eastAsia="Times New Roman" w:cs="Times New Roman"/>
                <w:noProof/>
                <w:color w:val="000000"/>
                <w:sz w:val="22"/>
                <w:lang w:eastAsia="en-IE"/>
              </w:rPr>
            </w:pPr>
          </w:p>
        </w:tc>
        <w:tc>
          <w:tcPr>
            <w:tcW w:w="679" w:type="pct"/>
            <w:tcBorders>
              <w:left w:val="nil"/>
              <w:right w:val="nil"/>
            </w:tcBorders>
            <w:shd w:val="clear" w:color="auto" w:fill="FFFFFF" w:themeFill="background1"/>
            <w:noWrap/>
            <w:vAlign w:val="bottom"/>
            <w:hideMark/>
          </w:tcPr>
          <w:p w14:paraId="02B5B407" w14:textId="47930D3F" w:rsidR="0026006C" w:rsidRPr="00510E7F" w:rsidRDefault="0026006C" w:rsidP="00160565">
            <w:pPr>
              <w:jc w:val="center"/>
              <w:rPr>
                <w:rFonts w:eastAsia="Times New Roman" w:cs="Times New Roman"/>
                <w:noProof/>
                <w:color w:val="000000"/>
                <w:sz w:val="22"/>
                <w:lang w:eastAsia="en-IE"/>
              </w:rPr>
            </w:pPr>
          </w:p>
        </w:tc>
      </w:tr>
      <w:tr w:rsidR="0026006C" w:rsidRPr="00FF63D1" w14:paraId="6DE7F2EB" w14:textId="77777777" w:rsidTr="0003206E">
        <w:trPr>
          <w:trHeight w:val="327"/>
        </w:trPr>
        <w:tc>
          <w:tcPr>
            <w:tcW w:w="3417" w:type="pct"/>
            <w:tcBorders>
              <w:left w:val="nil"/>
              <w:right w:val="nil"/>
            </w:tcBorders>
            <w:shd w:val="clear" w:color="auto" w:fill="FFFFFF" w:themeFill="background1"/>
            <w:noWrap/>
            <w:vAlign w:val="bottom"/>
          </w:tcPr>
          <w:p w14:paraId="7E84DA7B" w14:textId="367B1508" w:rsidR="0026006C" w:rsidRPr="00510E7F" w:rsidRDefault="0026006C" w:rsidP="0026006C">
            <w:pPr>
              <w:jc w:val="left"/>
              <w:rPr>
                <w:rFonts w:eastAsia="Times New Roman" w:cs="Times New Roman"/>
                <w:b/>
                <w:i/>
                <w:noProof/>
                <w:color w:val="000000"/>
                <w:sz w:val="22"/>
                <w:lang w:eastAsia="en-IE"/>
              </w:rPr>
            </w:pPr>
            <w:r w:rsidRPr="00510E7F">
              <w:rPr>
                <w:rFonts w:eastAsia="Times New Roman" w:cs="Times New Roman"/>
                <w:noProof/>
                <w:color w:val="000000"/>
                <w:sz w:val="22"/>
                <w:lang w:eastAsia="en-IE"/>
              </w:rPr>
              <w:t xml:space="preserve">  cost increase </w:t>
            </w:r>
          </w:p>
        </w:tc>
        <w:tc>
          <w:tcPr>
            <w:tcW w:w="201" w:type="pct"/>
            <w:tcBorders>
              <w:left w:val="nil"/>
              <w:right w:val="nil"/>
            </w:tcBorders>
            <w:shd w:val="clear" w:color="auto" w:fill="FFFFFF" w:themeFill="background1"/>
            <w:noWrap/>
            <w:vAlign w:val="bottom"/>
          </w:tcPr>
          <w:p w14:paraId="49BE9B57" w14:textId="77777777" w:rsidR="0026006C" w:rsidRPr="00510E7F" w:rsidRDefault="0026006C" w:rsidP="0026006C">
            <w:pPr>
              <w:jc w:val="left"/>
              <w:rPr>
                <w:rFonts w:eastAsia="Times New Roman" w:cs="Times New Roman"/>
                <w:b/>
                <w:i/>
                <w:noProof/>
                <w:color w:val="000000"/>
                <w:sz w:val="22"/>
                <w:lang w:eastAsia="en-IE"/>
              </w:rPr>
            </w:pPr>
          </w:p>
        </w:tc>
        <w:tc>
          <w:tcPr>
            <w:tcW w:w="704" w:type="pct"/>
            <w:tcBorders>
              <w:left w:val="nil"/>
              <w:right w:val="nil"/>
            </w:tcBorders>
            <w:shd w:val="clear" w:color="auto" w:fill="FFFFFF" w:themeFill="background1"/>
            <w:noWrap/>
            <w:vAlign w:val="bottom"/>
          </w:tcPr>
          <w:p w14:paraId="305A3FC8" w14:textId="01B4F96C" w:rsidR="0026006C" w:rsidRPr="00510E7F" w:rsidRDefault="00C22A26" w:rsidP="00160565">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0.0</w:t>
            </w:r>
          </w:p>
        </w:tc>
        <w:tc>
          <w:tcPr>
            <w:tcW w:w="679" w:type="pct"/>
            <w:tcBorders>
              <w:left w:val="nil"/>
              <w:right w:val="nil"/>
            </w:tcBorders>
            <w:shd w:val="clear" w:color="auto" w:fill="FFFFFF" w:themeFill="background1"/>
            <w:noWrap/>
            <w:vAlign w:val="bottom"/>
          </w:tcPr>
          <w:p w14:paraId="114DBA12" w14:textId="4F40821F" w:rsidR="0026006C" w:rsidRPr="00510E7F" w:rsidRDefault="00C22A26" w:rsidP="00160565">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1.6</w:t>
            </w:r>
          </w:p>
        </w:tc>
      </w:tr>
      <w:tr w:rsidR="0026006C" w:rsidRPr="00FF63D1" w14:paraId="6028C4B6" w14:textId="77777777" w:rsidTr="0003206E">
        <w:trPr>
          <w:trHeight w:val="327"/>
        </w:trPr>
        <w:tc>
          <w:tcPr>
            <w:tcW w:w="3417" w:type="pct"/>
            <w:tcBorders>
              <w:left w:val="nil"/>
              <w:right w:val="nil"/>
            </w:tcBorders>
            <w:shd w:val="clear" w:color="auto" w:fill="FFFFFF" w:themeFill="background1"/>
            <w:noWrap/>
            <w:vAlign w:val="bottom"/>
            <w:hideMark/>
          </w:tcPr>
          <w:p w14:paraId="0D3458D2" w14:textId="5133D7F8" w:rsidR="0026006C" w:rsidRPr="00510E7F" w:rsidRDefault="0026006C">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hideMark/>
          </w:tcPr>
          <w:p w14:paraId="2C402617" w14:textId="77777777" w:rsidR="0026006C" w:rsidRPr="00510E7F" w:rsidRDefault="0026006C">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hideMark/>
          </w:tcPr>
          <w:p w14:paraId="340203DE" w14:textId="4DBFAF2F" w:rsidR="0026006C" w:rsidRPr="00510E7F" w:rsidRDefault="00C22A26">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12.3</w:t>
            </w:r>
          </w:p>
        </w:tc>
        <w:tc>
          <w:tcPr>
            <w:tcW w:w="679" w:type="pct"/>
            <w:tcBorders>
              <w:left w:val="nil"/>
              <w:right w:val="nil"/>
            </w:tcBorders>
            <w:shd w:val="clear" w:color="auto" w:fill="FFFFFF" w:themeFill="background1"/>
            <w:noWrap/>
            <w:vAlign w:val="bottom"/>
            <w:hideMark/>
          </w:tcPr>
          <w:p w14:paraId="4C5B2860" w14:textId="5E7134DD" w:rsidR="0026006C" w:rsidRPr="00510E7F" w:rsidRDefault="00C22A26">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7.7</w:t>
            </w:r>
          </w:p>
        </w:tc>
      </w:tr>
      <w:tr w:rsidR="0026006C" w:rsidRPr="00DD0545" w14:paraId="7EF2766B" w14:textId="77777777" w:rsidTr="0003206E">
        <w:trPr>
          <w:trHeight w:val="327"/>
        </w:trPr>
        <w:tc>
          <w:tcPr>
            <w:tcW w:w="3417" w:type="pct"/>
            <w:tcBorders>
              <w:left w:val="nil"/>
              <w:right w:val="nil"/>
            </w:tcBorders>
            <w:shd w:val="clear" w:color="auto" w:fill="FFFFFF" w:themeFill="background1"/>
            <w:noWrap/>
            <w:vAlign w:val="bottom"/>
            <w:hideMark/>
          </w:tcPr>
          <w:p w14:paraId="170F7228" w14:textId="77777777" w:rsidR="0026006C" w:rsidRPr="008D60DD" w:rsidRDefault="0026006C">
            <w:pPr>
              <w:jc w:val="left"/>
              <w:rPr>
                <w:rFonts w:eastAsia="Times New Roman" w:cs="Times New Roman"/>
                <w:b/>
                <w:i/>
                <w:noProof/>
                <w:color w:val="000000"/>
                <w:sz w:val="22"/>
                <w:lang w:val="fr-BE" w:eastAsia="en-IE"/>
              </w:rPr>
            </w:pPr>
            <w:r w:rsidRPr="00510E7F">
              <w:rPr>
                <w:rFonts w:eastAsia="Times New Roman" w:cs="Times New Roman"/>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469B1B8F" w14:textId="77777777" w:rsidR="0026006C" w:rsidRPr="008D60DD" w:rsidRDefault="0026006C">
            <w:pPr>
              <w:jc w:val="left"/>
              <w:rPr>
                <w:rFonts w:eastAsia="Times New Roman" w:cs="Times New Roman"/>
                <w:b/>
                <w:i/>
                <w:noProof/>
                <w:color w:val="000000"/>
                <w:sz w:val="22"/>
                <w:lang w:val="fr-BE" w:eastAsia="en-IE"/>
              </w:rPr>
            </w:pPr>
            <w:r w:rsidRPr="008D60DD">
              <w:rPr>
                <w:rFonts w:eastAsia="Times New Roman" w:cs="Times New Roman"/>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477D0B2D" w14:textId="6F6FF1F7" w:rsidR="0026006C" w:rsidRPr="008D60DD" w:rsidRDefault="0026006C" w:rsidP="00160565">
            <w:pPr>
              <w:jc w:val="center"/>
              <w:rPr>
                <w:rFonts w:eastAsia="Times New Roman" w:cs="Times New Roman"/>
                <w:noProof/>
                <w:color w:val="000000"/>
                <w:sz w:val="22"/>
                <w:lang w:val="fr-BE" w:eastAsia="en-IE"/>
              </w:rPr>
            </w:pPr>
          </w:p>
        </w:tc>
        <w:tc>
          <w:tcPr>
            <w:tcW w:w="679" w:type="pct"/>
            <w:tcBorders>
              <w:left w:val="nil"/>
              <w:right w:val="nil"/>
            </w:tcBorders>
            <w:shd w:val="clear" w:color="auto" w:fill="FFFFFF" w:themeFill="background1"/>
            <w:noWrap/>
            <w:vAlign w:val="bottom"/>
            <w:hideMark/>
          </w:tcPr>
          <w:p w14:paraId="2322891A" w14:textId="34A286E5" w:rsidR="0026006C" w:rsidRPr="008D60DD" w:rsidRDefault="0026006C" w:rsidP="00160565">
            <w:pPr>
              <w:jc w:val="center"/>
              <w:rPr>
                <w:rFonts w:eastAsia="Times New Roman" w:cs="Times New Roman"/>
                <w:noProof/>
                <w:color w:val="000000"/>
                <w:sz w:val="22"/>
                <w:lang w:val="fr-BE" w:eastAsia="en-IE"/>
              </w:rPr>
            </w:pPr>
          </w:p>
        </w:tc>
      </w:tr>
      <w:tr w:rsidR="0026006C" w:rsidRPr="00DD0545" w14:paraId="234E8C28" w14:textId="77777777" w:rsidTr="0003206E">
        <w:trPr>
          <w:trHeight w:val="327"/>
        </w:trPr>
        <w:tc>
          <w:tcPr>
            <w:tcW w:w="3417" w:type="pct"/>
            <w:tcBorders>
              <w:left w:val="nil"/>
              <w:right w:val="nil"/>
            </w:tcBorders>
            <w:shd w:val="clear" w:color="auto" w:fill="FFFFFF" w:themeFill="background1"/>
            <w:noWrap/>
            <w:vAlign w:val="bottom"/>
          </w:tcPr>
          <w:p w14:paraId="28FC4147" w14:textId="4CF123A7" w:rsidR="0026006C" w:rsidRPr="00510E7F" w:rsidRDefault="0026006C" w:rsidP="0026006C">
            <w:pPr>
              <w:jc w:val="left"/>
              <w:rPr>
                <w:rFonts w:eastAsia="Times New Roman" w:cs="Times New Roman"/>
                <w:b/>
                <w:i/>
                <w:noProof/>
                <w:color w:val="000000" w:themeColor="text1"/>
                <w:sz w:val="22"/>
                <w:lang w:val="fr-BE" w:eastAsia="en-IE"/>
              </w:rPr>
            </w:pPr>
            <w:r w:rsidRPr="00510E7F">
              <w:rPr>
                <w:rFonts w:eastAsia="Times New Roman" w:cs="Times New Roman"/>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70611310" w14:textId="645EAA38" w:rsidR="0026006C" w:rsidRPr="00510E7F" w:rsidRDefault="008A58DE" w:rsidP="0026006C">
            <w:pPr>
              <w:jc w:val="left"/>
              <w:rPr>
                <w:rFonts w:eastAsia="Times New Roman" w:cs="Times New Roman"/>
                <w:b/>
                <w:i/>
                <w:noProof/>
                <w:color w:val="000000"/>
                <w:sz w:val="22"/>
                <w:lang w:val="fr-BE"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tcPr>
          <w:p w14:paraId="57253796" w14:textId="1EB52054" w:rsidR="0026006C" w:rsidRPr="00510E7F" w:rsidRDefault="008A58DE" w:rsidP="00160565">
            <w:pPr>
              <w:jc w:val="center"/>
              <w:rPr>
                <w:rFonts w:eastAsia="Times New Roman" w:cs="Times New Roman"/>
                <w:noProof/>
                <w:color w:val="000000"/>
                <w:sz w:val="22"/>
                <w:lang w:val="fr-BE" w:eastAsia="en-IE"/>
              </w:rPr>
            </w:pPr>
            <w:r w:rsidRPr="00510E7F">
              <w:rPr>
                <w:rFonts w:eastAsia="Times New Roman" w:cs="Times New Roman"/>
                <w:noProof/>
                <w:color w:val="000000"/>
                <w:sz w:val="22"/>
                <w:lang w:eastAsia="en-IE"/>
              </w:rPr>
              <w:t>0.0</w:t>
            </w:r>
          </w:p>
        </w:tc>
        <w:tc>
          <w:tcPr>
            <w:tcW w:w="679" w:type="pct"/>
            <w:tcBorders>
              <w:left w:val="nil"/>
              <w:right w:val="nil"/>
            </w:tcBorders>
            <w:shd w:val="clear" w:color="auto" w:fill="FFFFFF" w:themeFill="background1"/>
            <w:noWrap/>
            <w:vAlign w:val="bottom"/>
          </w:tcPr>
          <w:p w14:paraId="49D24930" w14:textId="25A60544" w:rsidR="0026006C" w:rsidRPr="00510E7F" w:rsidRDefault="008A58DE" w:rsidP="00160565">
            <w:pPr>
              <w:jc w:val="center"/>
              <w:rPr>
                <w:rFonts w:eastAsia="Times New Roman" w:cs="Times New Roman"/>
                <w:noProof/>
                <w:color w:val="000000"/>
                <w:sz w:val="22"/>
                <w:lang w:val="fr-BE" w:eastAsia="en-IE"/>
              </w:rPr>
            </w:pPr>
            <w:r w:rsidRPr="00510E7F">
              <w:rPr>
                <w:rFonts w:eastAsia="Times New Roman" w:cs="Times New Roman"/>
                <w:noProof/>
                <w:color w:val="000000"/>
                <w:sz w:val="22"/>
                <w:lang w:eastAsia="en-IE"/>
              </w:rPr>
              <w:t>0.2</w:t>
            </w:r>
          </w:p>
        </w:tc>
      </w:tr>
      <w:tr w:rsidR="0026006C" w:rsidRPr="00FF63D1" w14:paraId="2109FF1A" w14:textId="77777777" w:rsidTr="0003206E">
        <w:trPr>
          <w:trHeight w:val="327"/>
        </w:trPr>
        <w:tc>
          <w:tcPr>
            <w:tcW w:w="3417" w:type="pct"/>
            <w:tcBorders>
              <w:left w:val="nil"/>
              <w:right w:val="nil"/>
            </w:tcBorders>
            <w:shd w:val="clear" w:color="auto" w:fill="FFFFFF" w:themeFill="background1"/>
            <w:noWrap/>
            <w:vAlign w:val="bottom"/>
            <w:hideMark/>
          </w:tcPr>
          <w:p w14:paraId="36B5EE1E" w14:textId="39D24B0B" w:rsidR="0026006C" w:rsidRPr="00510E7F" w:rsidRDefault="0026006C" w:rsidP="0026006C">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hideMark/>
          </w:tcPr>
          <w:p w14:paraId="7C7CC97D" w14:textId="77777777" w:rsidR="0026006C" w:rsidRPr="00510E7F" w:rsidRDefault="0026006C" w:rsidP="0026006C">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hideMark/>
          </w:tcPr>
          <w:p w14:paraId="5A4AC362" w14:textId="24E8CA7A" w:rsidR="0026006C" w:rsidRPr="00510E7F" w:rsidRDefault="008A58DE" w:rsidP="0026006C">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1.2</w:t>
            </w:r>
          </w:p>
        </w:tc>
        <w:tc>
          <w:tcPr>
            <w:tcW w:w="679" w:type="pct"/>
            <w:tcBorders>
              <w:left w:val="nil"/>
              <w:right w:val="nil"/>
            </w:tcBorders>
            <w:shd w:val="clear" w:color="auto" w:fill="FFFFFF" w:themeFill="background1"/>
            <w:noWrap/>
            <w:vAlign w:val="bottom"/>
            <w:hideMark/>
          </w:tcPr>
          <w:p w14:paraId="013673ED" w14:textId="20A1FE3A" w:rsidR="0026006C" w:rsidRPr="00510E7F" w:rsidRDefault="008A58DE" w:rsidP="0026006C">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1.3</w:t>
            </w:r>
          </w:p>
        </w:tc>
      </w:tr>
      <w:tr w:rsidR="0026006C" w:rsidRPr="00FF63D1" w14:paraId="5A8CD25E" w14:textId="77777777" w:rsidTr="0003206E">
        <w:trPr>
          <w:trHeight w:val="327"/>
        </w:trPr>
        <w:tc>
          <w:tcPr>
            <w:tcW w:w="3417" w:type="pct"/>
            <w:tcBorders>
              <w:left w:val="nil"/>
              <w:right w:val="nil"/>
            </w:tcBorders>
            <w:shd w:val="clear" w:color="auto" w:fill="FFFFFF" w:themeFill="background1"/>
            <w:noWrap/>
            <w:vAlign w:val="bottom"/>
          </w:tcPr>
          <w:p w14:paraId="178C3E2C" w14:textId="77777777" w:rsidR="0026006C" w:rsidRPr="00510E7F" w:rsidRDefault="0026006C" w:rsidP="0026006C">
            <w:pPr>
              <w:jc w:val="left"/>
              <w:rPr>
                <w:rFonts w:eastAsia="Times New Roman" w:cs="Times New Roman"/>
                <w:noProof/>
                <w:color w:val="000000"/>
                <w:sz w:val="22"/>
                <w:lang w:val="fr-BE" w:eastAsia="en-IE"/>
              </w:rPr>
            </w:pPr>
            <w:r w:rsidRPr="00510E7F">
              <w:rPr>
                <w:rFonts w:eastAsia="Times New Roman" w:cs="Times New Roman"/>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7A39E606" w14:textId="77777777" w:rsidR="0026006C" w:rsidRPr="00510E7F" w:rsidRDefault="0026006C" w:rsidP="0026006C">
            <w:pPr>
              <w:jc w:val="left"/>
              <w:rPr>
                <w:rFonts w:eastAsia="Times New Roman" w:cs="Times New Roman"/>
                <w:noProof/>
                <w:color w:val="000000"/>
                <w:sz w:val="22"/>
                <w:lang w:eastAsia="en-IE"/>
              </w:rPr>
            </w:pPr>
          </w:p>
        </w:tc>
        <w:tc>
          <w:tcPr>
            <w:tcW w:w="704" w:type="pct"/>
            <w:tcBorders>
              <w:left w:val="nil"/>
              <w:right w:val="nil"/>
            </w:tcBorders>
            <w:shd w:val="clear" w:color="auto" w:fill="FFFFFF" w:themeFill="background1"/>
            <w:noWrap/>
            <w:vAlign w:val="bottom"/>
          </w:tcPr>
          <w:p w14:paraId="1A3A7A0B" w14:textId="77777777" w:rsidR="0026006C" w:rsidRPr="00510E7F" w:rsidRDefault="0026006C" w:rsidP="0026006C">
            <w:pPr>
              <w:jc w:val="center"/>
              <w:rPr>
                <w:rFonts w:eastAsia="Times New Roman" w:cs="Times New Roman"/>
                <w:noProof/>
                <w:color w:val="000000"/>
                <w:sz w:val="22"/>
                <w:lang w:eastAsia="en-IE"/>
              </w:rPr>
            </w:pPr>
          </w:p>
        </w:tc>
        <w:tc>
          <w:tcPr>
            <w:tcW w:w="679" w:type="pct"/>
            <w:tcBorders>
              <w:left w:val="nil"/>
              <w:right w:val="nil"/>
            </w:tcBorders>
            <w:shd w:val="clear" w:color="auto" w:fill="FFFFFF" w:themeFill="background1"/>
            <w:noWrap/>
            <w:vAlign w:val="bottom"/>
          </w:tcPr>
          <w:p w14:paraId="5068AB9F" w14:textId="77777777" w:rsidR="0026006C" w:rsidRPr="00510E7F" w:rsidRDefault="0026006C" w:rsidP="0026006C">
            <w:pPr>
              <w:jc w:val="center"/>
              <w:rPr>
                <w:rFonts w:eastAsia="Times New Roman" w:cs="Times New Roman"/>
                <w:noProof/>
                <w:color w:val="000000"/>
                <w:sz w:val="22"/>
                <w:lang w:eastAsia="en-IE"/>
              </w:rPr>
            </w:pPr>
          </w:p>
        </w:tc>
      </w:tr>
      <w:tr w:rsidR="0026006C" w:rsidRPr="00FF63D1" w14:paraId="06F30D70" w14:textId="77777777" w:rsidTr="0003206E">
        <w:trPr>
          <w:trHeight w:val="327"/>
        </w:trPr>
        <w:tc>
          <w:tcPr>
            <w:tcW w:w="3417" w:type="pct"/>
            <w:tcBorders>
              <w:left w:val="nil"/>
              <w:right w:val="nil"/>
            </w:tcBorders>
            <w:shd w:val="clear" w:color="auto" w:fill="FFFFFF" w:themeFill="background1"/>
            <w:noWrap/>
            <w:vAlign w:val="bottom"/>
          </w:tcPr>
          <w:p w14:paraId="1AAACFE8" w14:textId="68C78750" w:rsidR="0026006C" w:rsidRPr="00510E7F" w:rsidRDefault="0026006C" w:rsidP="0026006C">
            <w:pPr>
              <w:jc w:val="left"/>
              <w:rPr>
                <w:rFonts w:eastAsia="Times New Roman" w:cs="Times New Roman"/>
                <w:b/>
                <w:i/>
                <w:noProof/>
                <w:color w:val="000000" w:themeColor="text1"/>
                <w:sz w:val="22"/>
                <w:lang w:val="fr-BE" w:eastAsia="en-IE"/>
              </w:rPr>
            </w:pPr>
            <w:r w:rsidRPr="00510E7F">
              <w:rPr>
                <w:rFonts w:eastAsia="Times New Roman" w:cs="Times New Roman"/>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25F6B3A8" w14:textId="0B6CE3F2" w:rsidR="0026006C" w:rsidRPr="00510E7F" w:rsidRDefault="00EA4C9F" w:rsidP="0026006C">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tcPr>
          <w:p w14:paraId="0456FECC" w14:textId="6B71628C" w:rsidR="0026006C" w:rsidRPr="00510E7F" w:rsidRDefault="00EA4C9F" w:rsidP="0026006C">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0.0</w:t>
            </w:r>
          </w:p>
        </w:tc>
        <w:tc>
          <w:tcPr>
            <w:tcW w:w="679" w:type="pct"/>
            <w:tcBorders>
              <w:left w:val="nil"/>
              <w:right w:val="nil"/>
            </w:tcBorders>
            <w:shd w:val="clear" w:color="auto" w:fill="FFFFFF" w:themeFill="background1"/>
            <w:noWrap/>
            <w:vAlign w:val="bottom"/>
          </w:tcPr>
          <w:p w14:paraId="187977BB" w14:textId="77DE986E" w:rsidR="0026006C" w:rsidRPr="00510E7F" w:rsidRDefault="00EA4C9F" w:rsidP="0026006C">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0.13</w:t>
            </w:r>
          </w:p>
        </w:tc>
      </w:tr>
      <w:tr w:rsidR="0026006C" w:rsidRPr="00FF63D1" w14:paraId="09649760" w14:textId="77777777" w:rsidTr="0003206E">
        <w:trPr>
          <w:trHeight w:val="327"/>
        </w:trPr>
        <w:tc>
          <w:tcPr>
            <w:tcW w:w="3417" w:type="pct"/>
            <w:tcBorders>
              <w:left w:val="nil"/>
              <w:right w:val="nil"/>
            </w:tcBorders>
            <w:shd w:val="clear" w:color="auto" w:fill="FFFFFF" w:themeFill="background1"/>
            <w:noWrap/>
            <w:vAlign w:val="bottom"/>
          </w:tcPr>
          <w:p w14:paraId="676F57A8" w14:textId="464E303B" w:rsidR="0026006C" w:rsidRPr="00510E7F" w:rsidRDefault="0026006C" w:rsidP="0026006C">
            <w:pPr>
              <w:jc w:val="left"/>
              <w:rPr>
                <w:rFonts w:eastAsia="Times New Roman" w:cs="Times New Roman"/>
                <w:noProof/>
                <w:color w:val="000000"/>
                <w:sz w:val="22"/>
                <w:lang w:val="fr-BE" w:eastAsia="en-IE"/>
              </w:rPr>
            </w:pPr>
            <w:r w:rsidRPr="00510E7F">
              <w:rPr>
                <w:rFonts w:eastAsia="Times New Roman" w:cs="Times New Roman"/>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tcPr>
          <w:p w14:paraId="3582BD5F" w14:textId="42979DE8" w:rsidR="0026006C" w:rsidRPr="00510E7F" w:rsidRDefault="00EA4C9F" w:rsidP="0026006C">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tcPr>
          <w:p w14:paraId="73A7AA38" w14:textId="6A09C7CF" w:rsidR="0026006C" w:rsidRPr="00510E7F" w:rsidRDefault="0026006C" w:rsidP="0026006C">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0.</w:t>
            </w:r>
            <w:r w:rsidR="00EA4C9F" w:rsidRPr="00510E7F">
              <w:rPr>
                <w:rFonts w:eastAsia="Times New Roman" w:cs="Times New Roman"/>
                <w:noProof/>
                <w:color w:val="000000"/>
                <w:sz w:val="22"/>
                <w:lang w:eastAsia="en-IE"/>
              </w:rPr>
              <w:t>41</w:t>
            </w:r>
          </w:p>
        </w:tc>
        <w:tc>
          <w:tcPr>
            <w:tcW w:w="679" w:type="pct"/>
            <w:tcBorders>
              <w:left w:val="nil"/>
              <w:right w:val="nil"/>
            </w:tcBorders>
            <w:shd w:val="clear" w:color="auto" w:fill="FFFFFF" w:themeFill="background1"/>
            <w:noWrap/>
            <w:vAlign w:val="bottom"/>
          </w:tcPr>
          <w:p w14:paraId="023A15D7" w14:textId="715A0029" w:rsidR="0026006C" w:rsidRPr="00510E7F" w:rsidRDefault="00EA4C9F" w:rsidP="0026006C">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w:t>
            </w:r>
            <w:r w:rsidR="0026006C" w:rsidRPr="00510E7F">
              <w:rPr>
                <w:rFonts w:eastAsia="Times New Roman" w:cs="Times New Roman"/>
                <w:noProof/>
                <w:color w:val="000000"/>
                <w:sz w:val="22"/>
                <w:lang w:eastAsia="en-IE"/>
              </w:rPr>
              <w:t>0.</w:t>
            </w:r>
            <w:r w:rsidRPr="00510E7F">
              <w:rPr>
                <w:rFonts w:eastAsia="Times New Roman" w:cs="Times New Roman"/>
                <w:noProof/>
                <w:color w:val="000000"/>
                <w:sz w:val="22"/>
                <w:lang w:eastAsia="en-IE"/>
              </w:rPr>
              <w:t>0002</w:t>
            </w:r>
          </w:p>
        </w:tc>
      </w:tr>
    </w:tbl>
    <w:p w14:paraId="44DC8540" w14:textId="77777777" w:rsidR="007479EF" w:rsidRDefault="007479EF" w:rsidP="007479EF">
      <w:pPr>
        <w:spacing w:after="120"/>
        <w:rPr>
          <w:noProof/>
        </w:rPr>
      </w:pPr>
    </w:p>
    <w:p w14:paraId="13656F01" w14:textId="2DD2AC06" w:rsidR="00EE4163" w:rsidRPr="00FF63D1" w:rsidRDefault="00AE1721" w:rsidP="007479EF">
      <w:pPr>
        <w:spacing w:after="120"/>
        <w:rPr>
          <w:noProof/>
        </w:rPr>
      </w:pPr>
      <w:r>
        <w:rPr>
          <w:noProof/>
        </w:rPr>
        <w:t>G</w:t>
      </w:r>
      <w:r w:rsidR="00EE4163" w:rsidRPr="00FF63D1">
        <w:rPr>
          <w:noProof/>
        </w:rPr>
        <w:t xml:space="preserve">iven the current 70% </w:t>
      </w:r>
      <w:r w:rsidR="005F33DA">
        <w:rPr>
          <w:noProof/>
        </w:rPr>
        <w:t xml:space="preserve">made in </w:t>
      </w:r>
      <w:r w:rsidR="00EE4163" w:rsidRPr="00FF63D1">
        <w:rPr>
          <w:noProof/>
        </w:rPr>
        <w:t>EU content, the measure would not lead to any further costs for EU EV manufacturers in 2027</w:t>
      </w:r>
      <w:r>
        <w:rPr>
          <w:noProof/>
        </w:rPr>
        <w:t xml:space="preserve"> in either of the vehicle segments, while it would lead to an overall increase in sales</w:t>
      </w:r>
      <w:r w:rsidR="003936A8">
        <w:rPr>
          <w:noProof/>
        </w:rPr>
        <w:t xml:space="preserve"> for these companies</w:t>
      </w:r>
      <w:r w:rsidR="00EE4163" w:rsidRPr="00FF63D1">
        <w:rPr>
          <w:noProof/>
        </w:rPr>
        <w:t>.</w:t>
      </w:r>
    </w:p>
    <w:p w14:paraId="76EC3431" w14:textId="287DA452" w:rsidR="0090784E" w:rsidRDefault="0090784E" w:rsidP="007479EF">
      <w:pPr>
        <w:spacing w:after="120"/>
        <w:rPr>
          <w:noProof/>
        </w:rPr>
      </w:pPr>
      <w:r>
        <w:rPr>
          <w:noProof/>
        </w:rPr>
        <w:t xml:space="preserve">In quantitative terms, this means that: </w:t>
      </w:r>
    </w:p>
    <w:p w14:paraId="26AFC972" w14:textId="0A0F0198" w:rsidR="0090784E" w:rsidRPr="00FF63D1" w:rsidRDefault="00AE1721" w:rsidP="005F33DA">
      <w:pPr>
        <w:pStyle w:val="ListParagraph"/>
        <w:numPr>
          <w:ilvl w:val="0"/>
          <w:numId w:val="131"/>
        </w:numPr>
        <w:rPr>
          <w:noProof/>
        </w:rPr>
      </w:pPr>
      <w:r>
        <w:rPr>
          <w:noProof/>
        </w:rPr>
        <w:t>For passenger cars:</w:t>
      </w:r>
      <w:r w:rsidR="00EE4163" w:rsidRPr="00FF63D1">
        <w:rPr>
          <w:b/>
          <w:noProof/>
        </w:rPr>
        <w:t xml:space="preserve"> </w:t>
      </w:r>
      <w:r w:rsidR="00EE4163" w:rsidRPr="00FF63D1">
        <w:rPr>
          <w:noProof/>
        </w:rPr>
        <w:t xml:space="preserve">as an effect of the measure, EU EV manufacturers will benefit from an increase in sales of </w:t>
      </w:r>
      <w:r w:rsidR="004E00B0" w:rsidRPr="004E00B0">
        <w:rPr>
          <w:noProof/>
        </w:rPr>
        <w:t xml:space="preserve">EUR </w:t>
      </w:r>
      <w:r w:rsidR="00EE4163" w:rsidRPr="00FF63D1">
        <w:rPr>
          <w:noProof/>
        </w:rPr>
        <w:t xml:space="preserve">12.3 billion in 2027. </w:t>
      </w:r>
      <w:r w:rsidR="005F3121" w:rsidRPr="00FF63D1">
        <w:rPr>
          <w:noProof/>
        </w:rPr>
        <w:t>To</w:t>
      </w:r>
      <w:r w:rsidR="00EE4163" w:rsidRPr="00FF63D1">
        <w:rPr>
          <w:noProof/>
        </w:rPr>
        <w:t xml:space="preserve"> comply with the 75% target proposed for 2030, EU EV manufacturers </w:t>
      </w:r>
      <w:r w:rsidR="008A58DE">
        <w:rPr>
          <w:noProof/>
        </w:rPr>
        <w:t>are expected</w:t>
      </w:r>
      <w:r w:rsidR="00EE4163" w:rsidRPr="00FF63D1">
        <w:rPr>
          <w:noProof/>
        </w:rPr>
        <w:t xml:space="preserve"> face a relative cost increase of </w:t>
      </w:r>
      <w:r w:rsidR="004E00B0" w:rsidRPr="004E00B0">
        <w:rPr>
          <w:noProof/>
        </w:rPr>
        <w:t xml:space="preserve">EUR </w:t>
      </w:r>
      <w:r w:rsidR="00EE4163" w:rsidRPr="00FF63D1">
        <w:rPr>
          <w:noProof/>
        </w:rPr>
        <w:t xml:space="preserve">1.6 billion, however this </w:t>
      </w:r>
      <w:r w:rsidR="000046B2" w:rsidRPr="00FF63D1">
        <w:rPr>
          <w:noProof/>
        </w:rPr>
        <w:t>would</w:t>
      </w:r>
      <w:r w:rsidR="00EE4163" w:rsidRPr="00FF63D1">
        <w:rPr>
          <w:noProof/>
        </w:rPr>
        <w:t xml:space="preserve"> be offset by the </w:t>
      </w:r>
      <w:r w:rsidR="004E00B0" w:rsidRPr="004E00B0">
        <w:rPr>
          <w:noProof/>
        </w:rPr>
        <w:t xml:space="preserve">EUR </w:t>
      </w:r>
      <w:r w:rsidR="00EE4163" w:rsidRPr="00FF63D1">
        <w:rPr>
          <w:noProof/>
        </w:rPr>
        <w:t xml:space="preserve">7.7 billion increase in sales. </w:t>
      </w:r>
    </w:p>
    <w:p w14:paraId="26AD6DD6" w14:textId="4D18B8AB" w:rsidR="0090784E" w:rsidRPr="00FF63D1" w:rsidRDefault="0090784E" w:rsidP="005F33DA">
      <w:pPr>
        <w:pStyle w:val="ListParagraph"/>
        <w:numPr>
          <w:ilvl w:val="0"/>
          <w:numId w:val="131"/>
        </w:numPr>
        <w:rPr>
          <w:noProof/>
        </w:rPr>
      </w:pPr>
      <w:r>
        <w:rPr>
          <w:noProof/>
        </w:rPr>
        <w:t xml:space="preserve">For LCVs: </w:t>
      </w:r>
      <w:r w:rsidR="00EE4163" w:rsidRPr="00FF63D1">
        <w:rPr>
          <w:noProof/>
        </w:rPr>
        <w:t xml:space="preserve">EU manufacturers of EV light commercial vehicles </w:t>
      </w:r>
      <w:r w:rsidR="008A58DE">
        <w:rPr>
          <w:noProof/>
        </w:rPr>
        <w:t>would</w:t>
      </w:r>
      <w:r w:rsidR="00EE4163" w:rsidRPr="00FF63D1">
        <w:rPr>
          <w:noProof/>
        </w:rPr>
        <w:t xml:space="preserve"> benefit from an increase in sales of </w:t>
      </w:r>
      <w:r w:rsidR="004E00B0" w:rsidRPr="004E00B0">
        <w:rPr>
          <w:noProof/>
        </w:rPr>
        <w:t xml:space="preserve">EUR </w:t>
      </w:r>
      <w:r w:rsidR="00EE4163" w:rsidRPr="00FF63D1">
        <w:rPr>
          <w:noProof/>
        </w:rPr>
        <w:t xml:space="preserve">1.2 billion in 2027. </w:t>
      </w:r>
      <w:r w:rsidR="00FE79B0">
        <w:rPr>
          <w:noProof/>
        </w:rPr>
        <w:t>In</w:t>
      </w:r>
      <w:r w:rsidR="00EE4163" w:rsidRPr="00FF63D1">
        <w:rPr>
          <w:noProof/>
        </w:rPr>
        <w:t xml:space="preserve"> 2030, EU manufacturers w</w:t>
      </w:r>
      <w:r w:rsidR="00FE79B0">
        <w:rPr>
          <w:noProof/>
        </w:rPr>
        <w:t>ould</w:t>
      </w:r>
      <w:r w:rsidR="00EE4163" w:rsidRPr="00FF63D1">
        <w:rPr>
          <w:noProof/>
        </w:rPr>
        <w:t xml:space="preserve"> face a relative cost increase of </w:t>
      </w:r>
      <w:r w:rsidR="004E00B0" w:rsidRPr="004E00B0">
        <w:rPr>
          <w:noProof/>
        </w:rPr>
        <w:t xml:space="preserve">EUR </w:t>
      </w:r>
      <w:r w:rsidR="00EE4163" w:rsidRPr="00FF63D1">
        <w:rPr>
          <w:noProof/>
        </w:rPr>
        <w:t xml:space="preserve">0.2 billion, however this is </w:t>
      </w:r>
      <w:r w:rsidR="00EA4C9F">
        <w:rPr>
          <w:noProof/>
        </w:rPr>
        <w:t>expected</w:t>
      </w:r>
      <w:r w:rsidR="00EE4163" w:rsidRPr="00FF63D1">
        <w:rPr>
          <w:noProof/>
        </w:rPr>
        <w:t xml:space="preserve"> to be offset by the </w:t>
      </w:r>
      <w:r w:rsidR="004E00B0" w:rsidRPr="004E00B0">
        <w:rPr>
          <w:noProof/>
        </w:rPr>
        <w:t xml:space="preserve">EUR </w:t>
      </w:r>
      <w:r w:rsidR="00EE4163" w:rsidRPr="00FF63D1">
        <w:rPr>
          <w:noProof/>
        </w:rPr>
        <w:t xml:space="preserve">1.3 billion increase in sales. </w:t>
      </w:r>
    </w:p>
    <w:p w14:paraId="12B3F43B" w14:textId="560E27AA" w:rsidR="00EE4163" w:rsidRPr="00FF63D1" w:rsidRDefault="288CFEA6" w:rsidP="005F33DA">
      <w:pPr>
        <w:pStyle w:val="ListParagraph"/>
        <w:numPr>
          <w:ilvl w:val="0"/>
          <w:numId w:val="131"/>
        </w:numPr>
        <w:rPr>
          <w:noProof/>
        </w:rPr>
      </w:pPr>
      <w:r>
        <w:rPr>
          <w:noProof/>
        </w:rPr>
        <w:t>For HDVs:</w:t>
      </w:r>
      <w:r w:rsidR="7FEC8D12" w:rsidRPr="00FF63D1">
        <w:rPr>
          <w:noProof/>
        </w:rPr>
        <w:t xml:space="preserve"> EU EV HDV manufacturers w</w:t>
      </w:r>
      <w:r w:rsidR="39338D45">
        <w:rPr>
          <w:noProof/>
        </w:rPr>
        <w:t>ould</w:t>
      </w:r>
      <w:r w:rsidR="7FEC8D12" w:rsidRPr="00FF63D1">
        <w:rPr>
          <w:noProof/>
        </w:rPr>
        <w:t xml:space="preserve"> benefit from an increase in sales of </w:t>
      </w:r>
      <w:r w:rsidR="4B633520" w:rsidRPr="004E00B0">
        <w:rPr>
          <w:noProof/>
        </w:rPr>
        <w:t xml:space="preserve">EUR </w:t>
      </w:r>
      <w:r w:rsidR="7FEC8D12" w:rsidRPr="00FF63D1">
        <w:rPr>
          <w:noProof/>
        </w:rPr>
        <w:t xml:space="preserve">414.9 million in 2027. However, in 2030, EU EV HDV manufacturers </w:t>
      </w:r>
      <w:r w:rsidR="6ED08EE1">
        <w:rPr>
          <w:noProof/>
        </w:rPr>
        <w:t>are projected to</w:t>
      </w:r>
      <w:r w:rsidR="7FEC8D12" w:rsidRPr="00FF63D1">
        <w:rPr>
          <w:noProof/>
        </w:rPr>
        <w:t xml:space="preserve"> face a cost increase of </w:t>
      </w:r>
      <w:r w:rsidR="4B633520" w:rsidRPr="004E00B0">
        <w:rPr>
          <w:noProof/>
        </w:rPr>
        <w:t xml:space="preserve">EUR </w:t>
      </w:r>
      <w:r w:rsidR="7FEC8D12" w:rsidRPr="00FF63D1">
        <w:rPr>
          <w:noProof/>
        </w:rPr>
        <w:t xml:space="preserve">131.4 million. This cost increase </w:t>
      </w:r>
      <w:r w:rsidR="6ED08EE1">
        <w:rPr>
          <w:noProof/>
        </w:rPr>
        <w:t>may</w:t>
      </w:r>
      <w:r w:rsidR="7FEC8D12" w:rsidRPr="00FF63D1">
        <w:rPr>
          <w:noProof/>
        </w:rPr>
        <w:t xml:space="preserve"> be accompanied by a minor sales reduction (-0.2 million euro). The relative price advantage of EU EV HDVs (as opposed to non-EU EV HDVs) determined by the measure in the initial years after its introduction, leads to increased sales in the period between 2027 and 2029, and these increased sales are larger than (and could potentially offset) the assumed increased cost</w:t>
      </w:r>
      <w:r w:rsidR="00D70002">
        <w:rPr>
          <w:noProof/>
        </w:rPr>
        <w:t>.</w:t>
      </w:r>
      <w:r w:rsidR="00245C4A" w:rsidRPr="00FF63D1">
        <w:rPr>
          <w:rStyle w:val="FootnoteReference"/>
          <w:noProof/>
        </w:rPr>
        <w:footnoteReference w:id="662"/>
      </w:r>
      <w:r w:rsidR="7FEC8D12" w:rsidRPr="00FF63D1">
        <w:rPr>
          <w:noProof/>
        </w:rPr>
        <w:t xml:space="preserve"> </w:t>
      </w:r>
    </w:p>
    <w:p w14:paraId="7E024BB6" w14:textId="77777777" w:rsidR="00DB2918" w:rsidRDefault="00DB2918" w:rsidP="00EE4163">
      <w:pPr>
        <w:rPr>
          <w:noProof/>
        </w:rPr>
      </w:pPr>
    </w:p>
    <w:p w14:paraId="60495BDD" w14:textId="77777777" w:rsidR="00A258FA" w:rsidRPr="00086326" w:rsidRDefault="00A258FA" w:rsidP="00A258FA">
      <w:pPr>
        <w:rPr>
          <w:rFonts w:eastAsia="Times New Roman"/>
          <w:i/>
          <w:iCs/>
          <w:noProof/>
        </w:rPr>
      </w:pPr>
      <w:r w:rsidRPr="00086326">
        <w:rPr>
          <w:rFonts w:eastAsia="Times New Roman"/>
          <w:i/>
          <w:iCs/>
          <w:noProof/>
        </w:rPr>
        <w:t xml:space="preserve">Global Added Value: </w:t>
      </w:r>
    </w:p>
    <w:p w14:paraId="79562551" w14:textId="22083F18" w:rsidR="00A258FA" w:rsidRDefault="00A258FA" w:rsidP="00A258FA">
      <w:pPr>
        <w:rPr>
          <w:rFonts w:eastAsia="Times New Roman"/>
          <w:noProof/>
        </w:rPr>
      </w:pPr>
    </w:p>
    <w:tbl>
      <w:tblPr>
        <w:tblW w:w="5000" w:type="pct"/>
        <w:tblLook w:val="04A0" w:firstRow="1" w:lastRow="0" w:firstColumn="1" w:lastColumn="0" w:noHBand="0" w:noVBand="1"/>
      </w:tblPr>
      <w:tblGrid>
        <w:gridCol w:w="7081"/>
        <w:gridCol w:w="303"/>
        <w:gridCol w:w="815"/>
        <w:gridCol w:w="817"/>
      </w:tblGrid>
      <w:tr w:rsidR="00A47AE3" w:rsidRPr="00A47AE3" w14:paraId="47C8D045" w14:textId="77777777" w:rsidTr="00102FAF">
        <w:trPr>
          <w:trHeight w:val="290"/>
        </w:trPr>
        <w:tc>
          <w:tcPr>
            <w:tcW w:w="5000" w:type="pct"/>
            <w:gridSpan w:val="4"/>
            <w:tcBorders>
              <w:top w:val="single" w:sz="4" w:space="0" w:color="auto"/>
              <w:left w:val="single" w:sz="4" w:space="0" w:color="auto"/>
              <w:bottom w:val="single" w:sz="4" w:space="0" w:color="auto"/>
              <w:right w:val="single" w:sz="4" w:space="0" w:color="000000"/>
            </w:tcBorders>
            <w:shd w:val="clear" w:color="000000" w:fill="E2EFDA"/>
            <w:noWrap/>
            <w:vAlign w:val="bottom"/>
            <w:hideMark/>
          </w:tcPr>
          <w:p w14:paraId="55A8CCE2" w14:textId="0C060617" w:rsidR="00A47AE3" w:rsidRPr="00A47AE3" w:rsidRDefault="00A47AE3" w:rsidP="00A47AE3">
            <w:pPr>
              <w:jc w:val="center"/>
              <w:rPr>
                <w:rFonts w:ascii="Calibri" w:eastAsia="Times New Roman" w:hAnsi="Calibri" w:cs="Calibri"/>
                <w:b/>
                <w:bCs/>
                <w:noProof/>
                <w:color w:val="000000"/>
                <w:sz w:val="22"/>
                <w:lang w:val="en-IE" w:eastAsia="en-IE"/>
              </w:rPr>
            </w:pPr>
            <w:r w:rsidRPr="00A47AE3">
              <w:rPr>
                <w:rFonts w:ascii="Calibri" w:eastAsia="Times New Roman" w:hAnsi="Calibri" w:cs="Calibri"/>
                <w:b/>
                <w:bCs/>
                <w:noProof/>
                <w:color w:val="000000"/>
                <w:sz w:val="22"/>
                <w:lang w:val="en-IE" w:eastAsia="en-IE"/>
              </w:rPr>
              <w:t>Value Added</w:t>
            </w:r>
            <w:r w:rsidR="00E05C1A">
              <w:rPr>
                <w:rFonts w:ascii="Calibri" w:eastAsia="Times New Roman" w:hAnsi="Calibri" w:cs="Calibri"/>
                <w:b/>
                <w:bCs/>
                <w:noProof/>
                <w:color w:val="000000"/>
                <w:sz w:val="22"/>
                <w:lang w:val="en-IE" w:eastAsia="en-IE"/>
              </w:rPr>
              <w:t xml:space="preserve"> in EUR billion</w:t>
            </w:r>
          </w:p>
        </w:tc>
      </w:tr>
      <w:tr w:rsidR="00A47AE3" w:rsidRPr="00A47AE3" w14:paraId="0A70808E" w14:textId="77777777" w:rsidTr="00102FAF">
        <w:trPr>
          <w:trHeight w:val="290"/>
        </w:trPr>
        <w:tc>
          <w:tcPr>
            <w:tcW w:w="3927" w:type="pct"/>
            <w:tcBorders>
              <w:top w:val="nil"/>
              <w:left w:val="nil"/>
              <w:bottom w:val="single" w:sz="4" w:space="0" w:color="auto"/>
              <w:right w:val="nil"/>
            </w:tcBorders>
            <w:shd w:val="clear" w:color="000000" w:fill="FFFFFF"/>
            <w:noWrap/>
            <w:vAlign w:val="bottom"/>
            <w:hideMark/>
          </w:tcPr>
          <w:p w14:paraId="509C4826" w14:textId="47F98DB9" w:rsidR="00A47AE3" w:rsidRPr="00A47AE3" w:rsidRDefault="00A47AE3" w:rsidP="00A47AE3">
            <w:pPr>
              <w:jc w:val="left"/>
              <w:rPr>
                <w:rFonts w:ascii="Calibri" w:eastAsia="Times New Roman" w:hAnsi="Calibri" w:cs="Calibri"/>
                <w:b/>
                <w:bCs/>
                <w:i/>
                <w:iCs/>
                <w:noProof/>
                <w:color w:val="000000"/>
                <w:sz w:val="22"/>
                <w:lang w:val="en-IE" w:eastAsia="en-IE"/>
              </w:rPr>
            </w:pPr>
            <w:r w:rsidRPr="00A47AE3">
              <w:rPr>
                <w:rFonts w:ascii="Calibri" w:eastAsia="Times New Roman" w:hAnsi="Calibri" w:cs="Calibri"/>
                <w:b/>
                <w:bCs/>
                <w:i/>
                <w:iCs/>
                <w:noProof/>
                <w:color w:val="000000"/>
                <w:sz w:val="22"/>
                <w:lang w:val="en-IE" w:eastAsia="en-IE"/>
              </w:rPr>
              <w:t>Internal market reaction</w:t>
            </w:r>
            <w:r w:rsidR="000819D3">
              <w:rPr>
                <w:rFonts w:ascii="Calibri" w:eastAsia="Times New Roman" w:hAnsi="Calibri" w:cs="Calibri"/>
                <w:b/>
                <w:bCs/>
                <w:i/>
                <w:iCs/>
                <w:noProof/>
                <w:color w:val="000000"/>
                <w:sz w:val="22"/>
                <w:lang w:val="en-IE" w:eastAsia="en-IE"/>
              </w:rPr>
              <w:t xml:space="preserve"> scenario</w:t>
            </w:r>
          </w:p>
        </w:tc>
        <w:tc>
          <w:tcPr>
            <w:tcW w:w="168" w:type="pct"/>
            <w:tcBorders>
              <w:top w:val="nil"/>
              <w:left w:val="nil"/>
              <w:bottom w:val="nil"/>
              <w:right w:val="nil"/>
            </w:tcBorders>
            <w:noWrap/>
            <w:vAlign w:val="bottom"/>
            <w:hideMark/>
          </w:tcPr>
          <w:p w14:paraId="1688B1B3" w14:textId="77777777" w:rsidR="00A47AE3" w:rsidRPr="00A47AE3" w:rsidRDefault="00A47AE3" w:rsidP="00A47AE3">
            <w:pPr>
              <w:jc w:val="left"/>
              <w:rPr>
                <w:rFonts w:ascii="Calibri" w:eastAsia="Times New Roman" w:hAnsi="Calibri" w:cs="Calibri"/>
                <w:b/>
                <w:bCs/>
                <w:i/>
                <w:iCs/>
                <w:noProof/>
                <w:color w:val="000000"/>
                <w:sz w:val="22"/>
                <w:lang w:val="en-IE" w:eastAsia="en-IE"/>
              </w:rPr>
            </w:pPr>
          </w:p>
        </w:tc>
        <w:tc>
          <w:tcPr>
            <w:tcW w:w="452" w:type="pct"/>
            <w:tcBorders>
              <w:top w:val="nil"/>
              <w:left w:val="nil"/>
              <w:bottom w:val="nil"/>
              <w:right w:val="nil"/>
            </w:tcBorders>
            <w:noWrap/>
            <w:vAlign w:val="bottom"/>
            <w:hideMark/>
          </w:tcPr>
          <w:p w14:paraId="1515D5FB" w14:textId="1D209F68" w:rsidR="00A47AE3" w:rsidRPr="00A47AE3" w:rsidRDefault="000819D3" w:rsidP="00A47AE3">
            <w:pPr>
              <w:jc w:val="left"/>
              <w:rPr>
                <w:rFonts w:eastAsia="Times New Roman" w:cs="Times New Roman"/>
                <w:noProof/>
                <w:sz w:val="20"/>
                <w:szCs w:val="20"/>
                <w:lang w:val="en-IE" w:eastAsia="en-IE"/>
              </w:rPr>
            </w:pPr>
            <w:r w:rsidRPr="00A47AE3">
              <w:rPr>
                <w:rFonts w:ascii="Calibri" w:eastAsia="Times New Roman" w:hAnsi="Calibri" w:cs="Calibri"/>
                <w:b/>
                <w:bCs/>
                <w:noProof/>
                <w:color w:val="000000"/>
                <w:sz w:val="22"/>
                <w:lang w:val="en-IE" w:eastAsia="en-IE"/>
              </w:rPr>
              <w:t>2027</w:t>
            </w:r>
          </w:p>
        </w:tc>
        <w:tc>
          <w:tcPr>
            <w:tcW w:w="452" w:type="pct"/>
            <w:tcBorders>
              <w:top w:val="nil"/>
              <w:left w:val="nil"/>
              <w:bottom w:val="nil"/>
              <w:right w:val="nil"/>
            </w:tcBorders>
            <w:noWrap/>
            <w:vAlign w:val="bottom"/>
            <w:hideMark/>
          </w:tcPr>
          <w:p w14:paraId="01BEA946" w14:textId="07900EBC" w:rsidR="00A47AE3" w:rsidRPr="00A47AE3" w:rsidRDefault="000819D3" w:rsidP="00A47AE3">
            <w:pPr>
              <w:jc w:val="left"/>
              <w:rPr>
                <w:rFonts w:eastAsia="Times New Roman" w:cs="Times New Roman"/>
                <w:noProof/>
                <w:sz w:val="20"/>
                <w:szCs w:val="20"/>
                <w:lang w:val="en-IE" w:eastAsia="en-IE"/>
              </w:rPr>
            </w:pPr>
            <w:r w:rsidRPr="00A47AE3">
              <w:rPr>
                <w:rFonts w:ascii="Calibri" w:eastAsia="Times New Roman" w:hAnsi="Calibri" w:cs="Calibri"/>
                <w:b/>
                <w:bCs/>
                <w:noProof/>
                <w:color w:val="000000"/>
                <w:sz w:val="22"/>
                <w:lang w:val="en-IE" w:eastAsia="en-IE"/>
              </w:rPr>
              <w:t>2030</w:t>
            </w:r>
          </w:p>
        </w:tc>
      </w:tr>
      <w:tr w:rsidR="00A47AE3" w:rsidRPr="00A47AE3" w14:paraId="196981D9" w14:textId="77777777" w:rsidTr="00102FAF">
        <w:trPr>
          <w:trHeight w:val="290"/>
        </w:trPr>
        <w:tc>
          <w:tcPr>
            <w:tcW w:w="3927" w:type="pct"/>
            <w:tcBorders>
              <w:top w:val="nil"/>
              <w:left w:val="nil"/>
              <w:bottom w:val="nil"/>
              <w:right w:val="nil"/>
            </w:tcBorders>
            <w:shd w:val="clear" w:color="000000" w:fill="FFFFFF"/>
            <w:noWrap/>
            <w:vAlign w:val="bottom"/>
            <w:hideMark/>
          </w:tcPr>
          <w:p w14:paraId="19007BD1" w14:textId="2AF7FDF9" w:rsidR="00A47AE3" w:rsidRPr="00A47AE3" w:rsidRDefault="00A47AE3" w:rsidP="00A47AE3">
            <w:pPr>
              <w:jc w:val="left"/>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 xml:space="preserve">   automotive</w:t>
            </w:r>
          </w:p>
        </w:tc>
        <w:tc>
          <w:tcPr>
            <w:tcW w:w="168" w:type="pct"/>
            <w:tcBorders>
              <w:top w:val="nil"/>
              <w:left w:val="nil"/>
              <w:bottom w:val="nil"/>
              <w:right w:val="nil"/>
            </w:tcBorders>
            <w:shd w:val="clear" w:color="000000" w:fill="FFFFFF"/>
            <w:noWrap/>
            <w:vAlign w:val="bottom"/>
            <w:hideMark/>
          </w:tcPr>
          <w:p w14:paraId="429ABC2F" w14:textId="77777777" w:rsidR="00A47AE3" w:rsidRPr="00A47AE3" w:rsidRDefault="00A47AE3" w:rsidP="00A47AE3">
            <w:pPr>
              <w:jc w:val="left"/>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 </w:t>
            </w:r>
          </w:p>
        </w:tc>
        <w:tc>
          <w:tcPr>
            <w:tcW w:w="452" w:type="pct"/>
            <w:tcBorders>
              <w:top w:val="nil"/>
              <w:left w:val="nil"/>
              <w:bottom w:val="nil"/>
              <w:right w:val="nil"/>
            </w:tcBorders>
            <w:shd w:val="clear" w:color="000000" w:fill="FFFFFF"/>
            <w:noWrap/>
            <w:vAlign w:val="bottom"/>
            <w:hideMark/>
          </w:tcPr>
          <w:p w14:paraId="45323BAA"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3.0</w:t>
            </w:r>
          </w:p>
        </w:tc>
        <w:tc>
          <w:tcPr>
            <w:tcW w:w="452" w:type="pct"/>
            <w:tcBorders>
              <w:top w:val="nil"/>
              <w:left w:val="nil"/>
              <w:bottom w:val="nil"/>
              <w:right w:val="nil"/>
            </w:tcBorders>
            <w:shd w:val="clear" w:color="000000" w:fill="FFFFFF"/>
            <w:noWrap/>
            <w:vAlign w:val="bottom"/>
            <w:hideMark/>
          </w:tcPr>
          <w:p w14:paraId="3327D029"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1.9</w:t>
            </w:r>
          </w:p>
        </w:tc>
      </w:tr>
      <w:tr w:rsidR="00A47AE3" w:rsidRPr="00A47AE3" w14:paraId="72409F08" w14:textId="77777777" w:rsidTr="00102FAF">
        <w:trPr>
          <w:trHeight w:val="290"/>
        </w:trPr>
        <w:tc>
          <w:tcPr>
            <w:tcW w:w="3927" w:type="pct"/>
            <w:tcBorders>
              <w:top w:val="nil"/>
              <w:left w:val="nil"/>
              <w:bottom w:val="nil"/>
              <w:right w:val="nil"/>
            </w:tcBorders>
            <w:shd w:val="clear" w:color="000000" w:fill="FFFFFF"/>
            <w:noWrap/>
            <w:vAlign w:val="bottom"/>
            <w:hideMark/>
          </w:tcPr>
          <w:p w14:paraId="7FA72A36" w14:textId="01011F55" w:rsidR="00A47AE3" w:rsidRPr="00A47AE3" w:rsidRDefault="00A47AE3" w:rsidP="00A47AE3">
            <w:pPr>
              <w:jc w:val="left"/>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 xml:space="preserve">   intermediate</w:t>
            </w:r>
          </w:p>
        </w:tc>
        <w:tc>
          <w:tcPr>
            <w:tcW w:w="168" w:type="pct"/>
            <w:tcBorders>
              <w:top w:val="nil"/>
              <w:left w:val="nil"/>
              <w:bottom w:val="nil"/>
              <w:right w:val="nil"/>
            </w:tcBorders>
            <w:shd w:val="clear" w:color="000000" w:fill="FFFFFF"/>
            <w:noWrap/>
            <w:vAlign w:val="bottom"/>
            <w:hideMark/>
          </w:tcPr>
          <w:p w14:paraId="4B0B454A" w14:textId="77777777" w:rsidR="00A47AE3" w:rsidRPr="00A47AE3" w:rsidRDefault="00A47AE3" w:rsidP="00A47AE3">
            <w:pPr>
              <w:jc w:val="left"/>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 </w:t>
            </w:r>
          </w:p>
        </w:tc>
        <w:tc>
          <w:tcPr>
            <w:tcW w:w="452" w:type="pct"/>
            <w:tcBorders>
              <w:top w:val="nil"/>
              <w:left w:val="nil"/>
              <w:bottom w:val="nil"/>
              <w:right w:val="nil"/>
            </w:tcBorders>
            <w:shd w:val="clear" w:color="000000" w:fill="FFFFFF"/>
            <w:noWrap/>
            <w:vAlign w:val="bottom"/>
            <w:hideMark/>
          </w:tcPr>
          <w:p w14:paraId="0A6E027A"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2.5</w:t>
            </w:r>
          </w:p>
        </w:tc>
        <w:tc>
          <w:tcPr>
            <w:tcW w:w="452" w:type="pct"/>
            <w:tcBorders>
              <w:top w:val="nil"/>
              <w:left w:val="nil"/>
              <w:bottom w:val="nil"/>
              <w:right w:val="nil"/>
            </w:tcBorders>
            <w:shd w:val="clear" w:color="000000" w:fill="FFFFFF"/>
            <w:noWrap/>
            <w:vAlign w:val="bottom"/>
            <w:hideMark/>
          </w:tcPr>
          <w:p w14:paraId="3961A696"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2.6</w:t>
            </w:r>
          </w:p>
        </w:tc>
      </w:tr>
      <w:tr w:rsidR="00A47AE3" w:rsidRPr="00A47AE3" w14:paraId="0E70D8A4" w14:textId="77777777" w:rsidTr="00102FAF">
        <w:trPr>
          <w:trHeight w:val="290"/>
        </w:trPr>
        <w:tc>
          <w:tcPr>
            <w:tcW w:w="4095" w:type="pct"/>
            <w:gridSpan w:val="2"/>
            <w:tcBorders>
              <w:top w:val="nil"/>
              <w:left w:val="nil"/>
              <w:bottom w:val="nil"/>
              <w:right w:val="nil"/>
            </w:tcBorders>
            <w:shd w:val="clear" w:color="000000" w:fill="FFFFFF"/>
            <w:noWrap/>
            <w:vAlign w:val="bottom"/>
            <w:hideMark/>
          </w:tcPr>
          <w:p w14:paraId="3421EE3E" w14:textId="2519765D" w:rsidR="00A47AE3" w:rsidRPr="00A47AE3" w:rsidRDefault="00A47AE3" w:rsidP="00A47AE3">
            <w:pPr>
              <w:jc w:val="left"/>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 xml:space="preserve">   Global value added - Only first round of Value Chain</w:t>
            </w:r>
          </w:p>
        </w:tc>
        <w:tc>
          <w:tcPr>
            <w:tcW w:w="452" w:type="pct"/>
            <w:tcBorders>
              <w:top w:val="nil"/>
              <w:left w:val="nil"/>
              <w:bottom w:val="nil"/>
              <w:right w:val="nil"/>
            </w:tcBorders>
            <w:shd w:val="clear" w:color="000000" w:fill="FFFFFF"/>
            <w:noWrap/>
            <w:vAlign w:val="bottom"/>
            <w:hideMark/>
          </w:tcPr>
          <w:p w14:paraId="14BD8F93"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5.5</w:t>
            </w:r>
          </w:p>
        </w:tc>
        <w:tc>
          <w:tcPr>
            <w:tcW w:w="452" w:type="pct"/>
            <w:tcBorders>
              <w:top w:val="nil"/>
              <w:left w:val="nil"/>
              <w:bottom w:val="nil"/>
              <w:right w:val="nil"/>
            </w:tcBorders>
            <w:shd w:val="clear" w:color="000000" w:fill="FFFFFF"/>
            <w:noWrap/>
            <w:vAlign w:val="bottom"/>
            <w:hideMark/>
          </w:tcPr>
          <w:p w14:paraId="4739C614"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4.5</w:t>
            </w:r>
          </w:p>
        </w:tc>
      </w:tr>
      <w:tr w:rsidR="00A47AE3" w:rsidRPr="00A47AE3" w14:paraId="52679516" w14:textId="77777777" w:rsidTr="00102FAF">
        <w:trPr>
          <w:trHeight w:val="290"/>
        </w:trPr>
        <w:tc>
          <w:tcPr>
            <w:tcW w:w="4095" w:type="pct"/>
            <w:gridSpan w:val="2"/>
            <w:tcBorders>
              <w:top w:val="nil"/>
              <w:left w:val="nil"/>
              <w:bottom w:val="single" w:sz="4" w:space="0" w:color="auto"/>
              <w:right w:val="nil"/>
            </w:tcBorders>
            <w:shd w:val="clear" w:color="000000" w:fill="FFFFFF"/>
            <w:noWrap/>
            <w:vAlign w:val="bottom"/>
            <w:hideMark/>
          </w:tcPr>
          <w:p w14:paraId="1A33CA39" w14:textId="6F77BAD0" w:rsidR="00A47AE3" w:rsidRPr="00A47AE3" w:rsidRDefault="00A47AE3" w:rsidP="00A47AE3">
            <w:pPr>
              <w:jc w:val="left"/>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 xml:space="preserve">   Global value added - Estimated all Value Chain</w:t>
            </w:r>
          </w:p>
        </w:tc>
        <w:tc>
          <w:tcPr>
            <w:tcW w:w="452" w:type="pct"/>
            <w:tcBorders>
              <w:top w:val="nil"/>
              <w:left w:val="nil"/>
              <w:bottom w:val="single" w:sz="4" w:space="0" w:color="auto"/>
              <w:right w:val="nil"/>
            </w:tcBorders>
            <w:shd w:val="clear" w:color="000000" w:fill="FFFFFF"/>
            <w:noWrap/>
            <w:vAlign w:val="bottom"/>
            <w:hideMark/>
          </w:tcPr>
          <w:p w14:paraId="4FE19A7D"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10.5</w:t>
            </w:r>
          </w:p>
        </w:tc>
        <w:tc>
          <w:tcPr>
            <w:tcW w:w="452" w:type="pct"/>
            <w:tcBorders>
              <w:top w:val="nil"/>
              <w:left w:val="nil"/>
              <w:bottom w:val="single" w:sz="4" w:space="0" w:color="auto"/>
              <w:right w:val="nil"/>
            </w:tcBorders>
            <w:shd w:val="clear" w:color="000000" w:fill="FFFFFF"/>
            <w:noWrap/>
            <w:vAlign w:val="bottom"/>
            <w:hideMark/>
          </w:tcPr>
          <w:p w14:paraId="1CF08694" w14:textId="77777777" w:rsidR="00A47AE3" w:rsidRPr="00A47AE3" w:rsidRDefault="00A47AE3" w:rsidP="00A47AE3">
            <w:pPr>
              <w:jc w:val="center"/>
              <w:rPr>
                <w:rFonts w:ascii="Calibri" w:eastAsia="Times New Roman" w:hAnsi="Calibri" w:cs="Calibri"/>
                <w:noProof/>
                <w:color w:val="000000"/>
                <w:sz w:val="22"/>
                <w:lang w:val="en-IE" w:eastAsia="en-IE"/>
              </w:rPr>
            </w:pPr>
            <w:r w:rsidRPr="00A47AE3">
              <w:rPr>
                <w:rFonts w:ascii="Calibri" w:eastAsia="Times New Roman" w:hAnsi="Calibri" w:cs="Calibri"/>
                <w:noProof/>
                <w:color w:val="000000"/>
                <w:sz w:val="22"/>
                <w:lang w:val="en-IE" w:eastAsia="en-IE"/>
              </w:rPr>
              <w:t>9.7</w:t>
            </w:r>
          </w:p>
        </w:tc>
      </w:tr>
    </w:tbl>
    <w:p w14:paraId="124BC514" w14:textId="30230244" w:rsidR="00A258FA" w:rsidRDefault="00A258FA" w:rsidP="00A258FA">
      <w:pPr>
        <w:rPr>
          <w:rFonts w:eastAsia="Times New Roman"/>
          <w:noProof/>
        </w:rPr>
      </w:pPr>
    </w:p>
    <w:p w14:paraId="029D7505" w14:textId="55824F28" w:rsidR="00DB2918" w:rsidRPr="00D144C4" w:rsidRDefault="133A85EF" w:rsidP="007479EF">
      <w:pPr>
        <w:spacing w:after="120"/>
        <w:rPr>
          <w:rFonts w:eastAsia="Times New Roman"/>
          <w:noProof/>
          <w:lang w:val="en-IE"/>
        </w:rPr>
      </w:pPr>
      <w:r w:rsidRPr="00175716">
        <w:rPr>
          <w:rFonts w:eastAsia="Times New Roman"/>
          <w:noProof/>
        </w:rPr>
        <w:t xml:space="preserve">Furthermore, the measure is projected to lead to the generation of EUR 5.5 billion Global Value Added in 2027 and EUR 4.5 billion in 2030 when assessing the impact, taking into account </w:t>
      </w:r>
      <w:r w:rsidRPr="00EF4E41">
        <w:rPr>
          <w:rFonts w:eastAsia="Times New Roman"/>
          <w:noProof/>
        </w:rPr>
        <w:t>only the first tier of the value chain</w:t>
      </w:r>
      <w:r w:rsidR="7AF24579" w:rsidRPr="00EF4E41">
        <w:rPr>
          <w:rFonts w:eastAsia="Times New Roman"/>
          <w:noProof/>
        </w:rPr>
        <w:t>.</w:t>
      </w:r>
      <w:r w:rsidR="00EC0084">
        <w:rPr>
          <w:rStyle w:val="FootnoteReference"/>
          <w:rFonts w:eastAsia="Times New Roman"/>
          <w:noProof/>
          <w:lang w:val="en-IE"/>
        </w:rPr>
        <w:footnoteReference w:id="663"/>
      </w:r>
      <w:r w:rsidR="00D70002">
        <w:rPr>
          <w:rFonts w:eastAsia="Times New Roman"/>
          <w:noProof/>
        </w:rPr>
        <w:t xml:space="preserve"> </w:t>
      </w:r>
      <w:r w:rsidR="43766CE6">
        <w:rPr>
          <w:rFonts w:eastAsia="Times New Roman"/>
          <w:noProof/>
          <w:lang w:val="en-IE"/>
        </w:rPr>
        <w:t xml:space="preserve">When considering </w:t>
      </w:r>
      <w:r w:rsidR="3829D0C2">
        <w:rPr>
          <w:rFonts w:eastAsia="Times New Roman"/>
          <w:noProof/>
          <w:lang w:val="en-IE"/>
        </w:rPr>
        <w:t>the entire value chain</w:t>
      </w:r>
      <w:r w:rsidR="4C5739F1">
        <w:rPr>
          <w:rFonts w:eastAsia="Times New Roman"/>
          <w:noProof/>
          <w:lang w:val="en-IE"/>
        </w:rPr>
        <w:t xml:space="preserve">, the value added generated </w:t>
      </w:r>
      <w:r w:rsidR="1D579551">
        <w:rPr>
          <w:rFonts w:eastAsia="Times New Roman"/>
          <w:noProof/>
          <w:lang w:val="en-IE"/>
        </w:rPr>
        <w:t xml:space="preserve">notably </w:t>
      </w:r>
      <w:r w:rsidR="2A3712E7">
        <w:rPr>
          <w:rFonts w:eastAsia="Times New Roman"/>
          <w:noProof/>
          <w:lang w:val="en-IE"/>
        </w:rPr>
        <w:t xml:space="preserve">from </w:t>
      </w:r>
      <w:r w:rsidR="13A5BD27">
        <w:rPr>
          <w:rFonts w:eastAsia="Times New Roman"/>
          <w:noProof/>
          <w:lang w:val="en-IE"/>
        </w:rPr>
        <w:t xml:space="preserve">the necessary </w:t>
      </w:r>
      <w:r w:rsidR="1D579551">
        <w:rPr>
          <w:rFonts w:eastAsia="Times New Roman"/>
          <w:noProof/>
          <w:lang w:val="en-IE"/>
        </w:rPr>
        <w:t>intermediate inputs</w:t>
      </w:r>
      <w:r w:rsidR="4822A2F3">
        <w:rPr>
          <w:rFonts w:eastAsia="Times New Roman"/>
          <w:noProof/>
          <w:lang w:val="en-IE"/>
        </w:rPr>
        <w:t xml:space="preserve"> for EVs</w:t>
      </w:r>
      <w:r w:rsidR="56030AEB">
        <w:rPr>
          <w:rFonts w:eastAsia="Times New Roman"/>
          <w:noProof/>
          <w:lang w:val="en-IE"/>
        </w:rPr>
        <w:t xml:space="preserve"> </w:t>
      </w:r>
      <w:r w:rsidR="34B5871D">
        <w:rPr>
          <w:rFonts w:eastAsia="Times New Roman"/>
          <w:noProof/>
          <w:lang w:val="en-IE"/>
        </w:rPr>
        <w:t xml:space="preserve">can reach </w:t>
      </w:r>
      <w:r w:rsidR="603EC451">
        <w:rPr>
          <w:rFonts w:eastAsia="Times New Roman"/>
          <w:noProof/>
          <w:lang w:val="en-IE"/>
        </w:rPr>
        <w:t xml:space="preserve">EUR </w:t>
      </w:r>
      <w:r w:rsidR="34B5871D">
        <w:rPr>
          <w:rFonts w:eastAsia="Times New Roman"/>
          <w:noProof/>
          <w:lang w:val="en-IE"/>
        </w:rPr>
        <w:t xml:space="preserve">10.5 billion </w:t>
      </w:r>
      <w:r w:rsidR="603EC451">
        <w:rPr>
          <w:rFonts w:eastAsia="Times New Roman"/>
          <w:noProof/>
          <w:lang w:val="en-IE"/>
        </w:rPr>
        <w:t>in 2027 and EUR 9.7 billion in 2030.</w:t>
      </w:r>
      <w:r w:rsidR="34B5871D">
        <w:rPr>
          <w:rFonts w:eastAsia="Times New Roman"/>
          <w:noProof/>
          <w:lang w:val="en-IE"/>
        </w:rPr>
        <w:t xml:space="preserve"> </w:t>
      </w:r>
    </w:p>
    <w:p w14:paraId="6DAF2E40" w14:textId="28D02B4F" w:rsidR="00F43377" w:rsidRDefault="00C507D5" w:rsidP="008D60DD">
      <w:pPr>
        <w:pStyle w:val="Heading4"/>
        <w:numPr>
          <w:ilvl w:val="0"/>
          <w:numId w:val="0"/>
        </w:numPr>
        <w:ind w:left="864" w:hanging="864"/>
        <w:rPr>
          <w:rFonts w:eastAsia="Times New Roman" w:cs="Times New Roman"/>
          <w:b/>
          <w:noProof/>
          <w:color w:val="000000" w:themeColor="text1"/>
        </w:rPr>
      </w:pPr>
      <w:r w:rsidRPr="008D60DD">
        <w:rPr>
          <w:b/>
          <w:noProof/>
          <w:color w:val="auto"/>
        </w:rPr>
        <w:t xml:space="preserve">Impact on consumers and </w:t>
      </w:r>
      <w:r w:rsidRPr="00FF63D1">
        <w:rPr>
          <w:rFonts w:eastAsia="Times New Roman" w:cs="Times New Roman"/>
          <w:b/>
          <w:noProof/>
          <w:color w:val="000000" w:themeColor="text1"/>
        </w:rPr>
        <w:t>citizens</w:t>
      </w:r>
    </w:p>
    <w:p w14:paraId="5B51A1FB" w14:textId="77777777" w:rsidR="007479EF" w:rsidRPr="007479EF" w:rsidRDefault="007479EF" w:rsidP="007479EF">
      <w:pPr>
        <w:rPr>
          <w:noProof/>
        </w:rPr>
      </w:pPr>
    </w:p>
    <w:p w14:paraId="2382C3CD" w14:textId="53BF0BBF" w:rsidR="00F43377" w:rsidRDefault="00020031" w:rsidP="007479EF">
      <w:pPr>
        <w:spacing w:after="120"/>
        <w:rPr>
          <w:noProof/>
        </w:rPr>
      </w:pPr>
      <w:r w:rsidRPr="002B47EE">
        <w:rPr>
          <w:b/>
          <w:noProof/>
        </w:rPr>
        <w:t>INV</w:t>
      </w:r>
      <w:r w:rsidRPr="00FF63D1">
        <w:rPr>
          <w:b/>
          <w:noProof/>
        </w:rPr>
        <w:t xml:space="preserve"> 1 </w:t>
      </w:r>
      <w:r w:rsidRPr="00FF63D1">
        <w:rPr>
          <w:noProof/>
        </w:rPr>
        <w:t xml:space="preserve">would have limited effects on citizens and consumers as it would target investments above a certain threshold. Nevertheless, condition (b) could affect citizens by securing investments with a value-added production, </w:t>
      </w:r>
      <w:r w:rsidRPr="008D60DD">
        <w:rPr>
          <w:noProof/>
          <w:color w:val="000000" w:themeColor="text1"/>
        </w:rPr>
        <w:t xml:space="preserve">including </w:t>
      </w:r>
      <w:r w:rsidRPr="008D60DD" w:rsidDel="00787D54">
        <w:rPr>
          <w:noProof/>
          <w:color w:val="000000" w:themeColor="text1"/>
        </w:rPr>
        <w:t>R&amp;</w:t>
      </w:r>
      <w:r w:rsidR="00787D54" w:rsidRPr="008D60DD">
        <w:rPr>
          <w:noProof/>
          <w:color w:val="000000" w:themeColor="text1"/>
        </w:rPr>
        <w:t>I</w:t>
      </w:r>
      <w:r w:rsidRPr="008D60DD">
        <w:rPr>
          <w:noProof/>
          <w:color w:val="000000" w:themeColor="text1"/>
        </w:rPr>
        <w:t xml:space="preserve">, engineering activities, domestic processing and manufacturing. This, together with potential staffing requirements prescribed under the same condition, could lead to the creation of quality jobs in the EU. Despite PO1's potential to harmonise </w:t>
      </w:r>
      <w:r w:rsidRPr="007479EF">
        <w:rPr>
          <w:noProof/>
        </w:rPr>
        <w:t>staffing</w:t>
      </w:r>
      <w:r w:rsidRPr="008D60DD">
        <w:rPr>
          <w:noProof/>
          <w:color w:val="000000" w:themeColor="text1"/>
        </w:rPr>
        <w:t xml:space="preserve"> requirements on the single market, its voluntary nature poses implementation </w:t>
      </w:r>
      <w:r w:rsidRPr="00D144C4">
        <w:rPr>
          <w:noProof/>
        </w:rPr>
        <w:t>challenges</w:t>
      </w:r>
      <w:r w:rsidRPr="008D60DD">
        <w:rPr>
          <w:noProof/>
          <w:color w:val="000000" w:themeColor="text1"/>
        </w:rPr>
        <w:t xml:space="preserve"> and may lead to further fragmentation and a race to the bottom in staffing conditions across Member States concerning </w:t>
      </w:r>
      <w:r w:rsidR="00892FC9">
        <w:rPr>
          <w:noProof/>
          <w:color w:val="000000" w:themeColor="text1"/>
        </w:rPr>
        <w:t>FDI</w:t>
      </w:r>
      <w:r w:rsidRPr="008D60DD">
        <w:rPr>
          <w:noProof/>
          <w:color w:val="000000" w:themeColor="text1"/>
        </w:rPr>
        <w:t xml:space="preserve">. </w:t>
      </w:r>
    </w:p>
    <w:p w14:paraId="586A071B" w14:textId="2117FF3F" w:rsidR="00F43377" w:rsidRPr="00FF63D1" w:rsidRDefault="37CDE3F1" w:rsidP="00EE4163">
      <w:pPr>
        <w:rPr>
          <w:rFonts w:eastAsia="Times New Roman" w:cs="Times New Roman"/>
          <w:b/>
          <w:noProof/>
          <w:color w:val="000000" w:themeColor="text1"/>
        </w:rPr>
      </w:pPr>
      <w:r w:rsidRPr="00FF63D1">
        <w:rPr>
          <w:b/>
          <w:noProof/>
        </w:rPr>
        <w:t>LEAD</w:t>
      </w:r>
      <w:r w:rsidR="007D08AB">
        <w:rPr>
          <w:b/>
          <w:noProof/>
        </w:rPr>
        <w:t>_</w:t>
      </w:r>
      <w:r w:rsidRPr="00FF63D1">
        <w:rPr>
          <w:b/>
          <w:noProof/>
        </w:rPr>
        <w:t>VC</w:t>
      </w:r>
      <w:r w:rsidR="007D08AB">
        <w:rPr>
          <w:b/>
          <w:noProof/>
        </w:rPr>
        <w:t xml:space="preserve"> </w:t>
      </w:r>
      <w:r w:rsidRPr="00FF63D1">
        <w:rPr>
          <w:b/>
          <w:noProof/>
        </w:rPr>
        <w:t xml:space="preserve">1 </w:t>
      </w:r>
    </w:p>
    <w:p w14:paraId="5060BCF0" w14:textId="77777777" w:rsidR="00C372EB" w:rsidRDefault="00C372EB" w:rsidP="00073E17">
      <w:pPr>
        <w:rPr>
          <w:i/>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9"/>
        <w:gridCol w:w="362"/>
        <w:gridCol w:w="1269"/>
        <w:gridCol w:w="1226"/>
      </w:tblGrid>
      <w:tr w:rsidR="00C372EB" w:rsidRPr="00FF63D1" w14:paraId="78A6C7CA" w14:textId="77777777" w:rsidTr="00102FAF">
        <w:trPr>
          <w:trHeight w:val="337"/>
        </w:trPr>
        <w:tc>
          <w:tcPr>
            <w:tcW w:w="5000" w:type="pct"/>
            <w:gridSpan w:val="4"/>
            <w:shd w:val="clear" w:color="auto" w:fill="E2EFDA"/>
            <w:noWrap/>
            <w:vAlign w:val="bottom"/>
            <w:hideMark/>
          </w:tcPr>
          <w:p w14:paraId="0AB5B9D5" w14:textId="0C4160EE" w:rsidR="00C372EB" w:rsidRPr="00510E7F" w:rsidRDefault="00C372EB">
            <w:pPr>
              <w:jc w:val="center"/>
              <w:rPr>
                <w:rFonts w:eastAsia="Times New Roman" w:cs="Times New Roman"/>
                <w:b/>
                <w:noProof/>
                <w:color w:val="000000"/>
                <w:sz w:val="22"/>
                <w:lang w:eastAsia="en-IE"/>
              </w:rPr>
            </w:pPr>
            <w:r w:rsidRPr="00510E7F">
              <w:rPr>
                <w:rFonts w:eastAsia="Times New Roman" w:cs="Times New Roman"/>
                <w:b/>
                <w:noProof/>
                <w:color w:val="000000"/>
                <w:sz w:val="22"/>
                <w:lang w:eastAsia="en-IE"/>
              </w:rPr>
              <w:t>EU consumers in the “Internal market reaction” scenario</w:t>
            </w:r>
          </w:p>
        </w:tc>
      </w:tr>
      <w:tr w:rsidR="00C372EB" w:rsidRPr="00FF63D1" w14:paraId="28392705" w14:textId="77777777" w:rsidTr="00102FAF">
        <w:trPr>
          <w:trHeight w:val="327"/>
        </w:trPr>
        <w:tc>
          <w:tcPr>
            <w:tcW w:w="3415" w:type="pct"/>
            <w:tcBorders>
              <w:left w:val="nil"/>
              <w:right w:val="nil"/>
            </w:tcBorders>
            <w:shd w:val="clear" w:color="auto" w:fill="FFFFFF" w:themeFill="background1"/>
            <w:noWrap/>
            <w:vAlign w:val="bottom"/>
            <w:hideMark/>
          </w:tcPr>
          <w:p w14:paraId="314B7F0E" w14:textId="77777777" w:rsidR="00C372EB" w:rsidRPr="00510E7F" w:rsidRDefault="00C372EB">
            <w:pPr>
              <w:jc w:val="left"/>
              <w:rPr>
                <w:rFonts w:eastAsia="Times New Roman" w:cs="Times New Roman"/>
                <w:b/>
                <w:noProof/>
                <w:color w:val="000000"/>
                <w:sz w:val="22"/>
                <w:lang w:eastAsia="en-IE"/>
              </w:rPr>
            </w:pPr>
            <w:r w:rsidRPr="00510E7F">
              <w:rPr>
                <w:rFonts w:eastAsia="Times New Roman" w:cs="Times New Roman"/>
                <w:b/>
                <w:noProof/>
                <w:color w:val="000000"/>
                <w:sz w:val="22"/>
                <w:lang w:eastAsia="en-IE"/>
              </w:rPr>
              <w:t> </w:t>
            </w:r>
          </w:p>
        </w:tc>
        <w:tc>
          <w:tcPr>
            <w:tcW w:w="201" w:type="pct"/>
            <w:tcBorders>
              <w:left w:val="nil"/>
              <w:right w:val="nil"/>
            </w:tcBorders>
            <w:shd w:val="clear" w:color="auto" w:fill="FFFFFF" w:themeFill="background1"/>
            <w:noWrap/>
            <w:vAlign w:val="bottom"/>
            <w:hideMark/>
          </w:tcPr>
          <w:p w14:paraId="3855FA81" w14:textId="77777777" w:rsidR="00C372EB" w:rsidRPr="00510E7F" w:rsidRDefault="00C372EB">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hideMark/>
          </w:tcPr>
          <w:p w14:paraId="5577E61A" w14:textId="77777777" w:rsidR="00C372EB" w:rsidRPr="00510E7F" w:rsidRDefault="00C372EB">
            <w:pPr>
              <w:jc w:val="center"/>
              <w:rPr>
                <w:rFonts w:eastAsia="Times New Roman" w:cs="Times New Roman"/>
                <w:b/>
                <w:noProof/>
                <w:color w:val="000000"/>
                <w:sz w:val="22"/>
                <w:lang w:eastAsia="en-IE"/>
              </w:rPr>
            </w:pPr>
            <w:r w:rsidRPr="00510E7F">
              <w:rPr>
                <w:rFonts w:eastAsia="Times New Roman" w:cs="Times New Roman"/>
                <w:b/>
                <w:noProof/>
                <w:color w:val="000000"/>
                <w:sz w:val="22"/>
                <w:lang w:eastAsia="en-IE"/>
              </w:rPr>
              <w:t>2027</w:t>
            </w:r>
          </w:p>
        </w:tc>
        <w:tc>
          <w:tcPr>
            <w:tcW w:w="680" w:type="pct"/>
            <w:tcBorders>
              <w:left w:val="nil"/>
              <w:right w:val="nil"/>
            </w:tcBorders>
            <w:shd w:val="clear" w:color="auto" w:fill="FFFFFF" w:themeFill="background1"/>
            <w:noWrap/>
            <w:vAlign w:val="bottom"/>
            <w:hideMark/>
          </w:tcPr>
          <w:p w14:paraId="73C358F8" w14:textId="77777777" w:rsidR="00C372EB" w:rsidRPr="00510E7F" w:rsidRDefault="00C372EB">
            <w:pPr>
              <w:jc w:val="center"/>
              <w:rPr>
                <w:rFonts w:eastAsia="Times New Roman" w:cs="Times New Roman"/>
                <w:b/>
                <w:noProof/>
                <w:color w:val="000000"/>
                <w:sz w:val="22"/>
                <w:lang w:eastAsia="en-IE"/>
              </w:rPr>
            </w:pPr>
            <w:r w:rsidRPr="00510E7F">
              <w:rPr>
                <w:rFonts w:eastAsia="Times New Roman" w:cs="Times New Roman"/>
                <w:b/>
                <w:noProof/>
                <w:color w:val="000000"/>
                <w:sz w:val="22"/>
                <w:lang w:eastAsia="en-IE"/>
              </w:rPr>
              <w:t>2030</w:t>
            </w:r>
          </w:p>
        </w:tc>
      </w:tr>
      <w:tr w:rsidR="00C372EB" w:rsidRPr="00FF63D1" w14:paraId="0984AB36" w14:textId="77777777" w:rsidTr="00102FAF">
        <w:trPr>
          <w:trHeight w:val="327"/>
        </w:trPr>
        <w:tc>
          <w:tcPr>
            <w:tcW w:w="3415" w:type="pct"/>
            <w:tcBorders>
              <w:left w:val="nil"/>
              <w:right w:val="nil"/>
            </w:tcBorders>
            <w:shd w:val="clear" w:color="auto" w:fill="FFFFFF" w:themeFill="background1"/>
            <w:noWrap/>
            <w:vAlign w:val="bottom"/>
            <w:hideMark/>
          </w:tcPr>
          <w:p w14:paraId="339AA749" w14:textId="77777777" w:rsidR="00C372EB" w:rsidRPr="00510E7F" w:rsidRDefault="00C372EB">
            <w:pPr>
              <w:jc w:val="left"/>
              <w:rPr>
                <w:rFonts w:eastAsia="Times New Roman" w:cs="Times New Roman"/>
                <w:b/>
                <w:i/>
                <w:noProof/>
                <w:color w:val="000000"/>
                <w:sz w:val="22"/>
                <w:lang w:eastAsia="en-IE"/>
              </w:rPr>
            </w:pPr>
            <w:r w:rsidRPr="00510E7F">
              <w:rPr>
                <w:rFonts w:eastAsia="Times New Roman" w:cs="Times New Roman"/>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4F106566" w14:textId="77777777" w:rsidR="00C372EB" w:rsidRPr="00510E7F" w:rsidRDefault="00C372EB">
            <w:pPr>
              <w:jc w:val="left"/>
              <w:rPr>
                <w:rFonts w:eastAsia="Times New Roman" w:cs="Times New Roman"/>
                <w:b/>
                <w:i/>
                <w:noProof/>
                <w:color w:val="000000"/>
                <w:sz w:val="22"/>
                <w:lang w:eastAsia="en-IE"/>
              </w:rPr>
            </w:pPr>
            <w:r w:rsidRPr="00510E7F">
              <w:rPr>
                <w:rFonts w:eastAsia="Times New Roman" w:cs="Times New Roman"/>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430ED7A4" w14:textId="77777777" w:rsidR="00C372EB" w:rsidRPr="00510E7F" w:rsidRDefault="00C372EB">
            <w:pPr>
              <w:jc w:val="center"/>
              <w:rPr>
                <w:rFonts w:eastAsia="Times New Roman" w:cs="Times New Roman"/>
                <w:noProof/>
                <w:color w:val="000000"/>
                <w:sz w:val="22"/>
                <w:lang w:eastAsia="en-IE"/>
              </w:rPr>
            </w:pPr>
          </w:p>
        </w:tc>
        <w:tc>
          <w:tcPr>
            <w:tcW w:w="680" w:type="pct"/>
            <w:tcBorders>
              <w:left w:val="nil"/>
              <w:right w:val="nil"/>
            </w:tcBorders>
            <w:shd w:val="clear" w:color="auto" w:fill="FFFFFF" w:themeFill="background1"/>
            <w:noWrap/>
            <w:vAlign w:val="bottom"/>
            <w:hideMark/>
          </w:tcPr>
          <w:p w14:paraId="2B738366" w14:textId="77777777" w:rsidR="00C372EB" w:rsidRPr="00510E7F" w:rsidRDefault="00C372EB">
            <w:pPr>
              <w:jc w:val="center"/>
              <w:rPr>
                <w:rFonts w:eastAsia="Times New Roman" w:cs="Times New Roman"/>
                <w:noProof/>
                <w:color w:val="000000"/>
                <w:sz w:val="22"/>
                <w:lang w:eastAsia="en-IE"/>
              </w:rPr>
            </w:pPr>
          </w:p>
        </w:tc>
      </w:tr>
      <w:tr w:rsidR="00C372EB" w:rsidRPr="00FF63D1" w14:paraId="361B0059" w14:textId="77777777" w:rsidTr="00102FAF">
        <w:trPr>
          <w:trHeight w:val="327"/>
        </w:trPr>
        <w:tc>
          <w:tcPr>
            <w:tcW w:w="3415" w:type="pct"/>
            <w:tcBorders>
              <w:left w:val="nil"/>
              <w:right w:val="nil"/>
            </w:tcBorders>
            <w:shd w:val="clear" w:color="auto" w:fill="FFFFFF" w:themeFill="background1"/>
            <w:noWrap/>
            <w:vAlign w:val="bottom"/>
          </w:tcPr>
          <w:p w14:paraId="41A8F136" w14:textId="2B112D0D" w:rsidR="00C372EB" w:rsidRPr="00510E7F" w:rsidRDefault="00C372EB" w:rsidP="00C372EB">
            <w:pPr>
              <w:jc w:val="left"/>
              <w:rPr>
                <w:rFonts w:eastAsia="Times New Roman" w:cs="Times New Roman"/>
                <w:b/>
                <w:i/>
                <w:noProof/>
                <w:color w:val="000000"/>
                <w:sz w:val="22"/>
                <w:lang w:eastAsia="en-IE"/>
              </w:rPr>
            </w:pPr>
            <w:r w:rsidRPr="00510E7F">
              <w:rPr>
                <w:rFonts w:eastAsia="Times New Roman" w:cs="Times New Roman"/>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093A801C" w14:textId="4CFA04E4" w:rsidR="00C372EB" w:rsidRPr="00510E7F" w:rsidRDefault="00C372EB" w:rsidP="00C372EB">
            <w:pPr>
              <w:jc w:val="left"/>
              <w:rPr>
                <w:rFonts w:eastAsia="Times New Roman" w:cs="Times New Roman"/>
                <w:b/>
                <w:i/>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tcPr>
          <w:p w14:paraId="24515D55" w14:textId="7A7B029B"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0.4%</w:t>
            </w:r>
          </w:p>
        </w:tc>
        <w:tc>
          <w:tcPr>
            <w:tcW w:w="680" w:type="pct"/>
            <w:tcBorders>
              <w:left w:val="nil"/>
              <w:right w:val="nil"/>
            </w:tcBorders>
            <w:shd w:val="clear" w:color="auto" w:fill="FFFFFF" w:themeFill="background1"/>
            <w:noWrap/>
            <w:vAlign w:val="bottom"/>
          </w:tcPr>
          <w:p w14:paraId="60765154" w14:textId="4DBB1C61"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1.2%</w:t>
            </w:r>
          </w:p>
        </w:tc>
      </w:tr>
      <w:tr w:rsidR="00C372EB" w:rsidRPr="00FF63D1" w14:paraId="502FC38F" w14:textId="77777777" w:rsidTr="00102FAF">
        <w:trPr>
          <w:trHeight w:val="327"/>
        </w:trPr>
        <w:tc>
          <w:tcPr>
            <w:tcW w:w="3415" w:type="pct"/>
            <w:tcBorders>
              <w:left w:val="nil"/>
              <w:right w:val="nil"/>
            </w:tcBorders>
            <w:shd w:val="clear" w:color="auto" w:fill="FFFFFF" w:themeFill="background1"/>
            <w:noWrap/>
            <w:vAlign w:val="bottom"/>
            <w:hideMark/>
          </w:tcPr>
          <w:p w14:paraId="44E92156" w14:textId="133E6FF8" w:rsidR="00C372EB" w:rsidRPr="00510E7F" w:rsidRDefault="00C372EB" w:rsidP="00C372EB">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3EB0B343" w14:textId="67E68422" w:rsidR="00C372EB" w:rsidRPr="00510E7F" w:rsidRDefault="00C372EB" w:rsidP="00C372EB">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hideMark/>
          </w:tcPr>
          <w:p w14:paraId="1BD9F512" w14:textId="5AF0CC38"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-71.0</w:t>
            </w:r>
          </w:p>
        </w:tc>
        <w:tc>
          <w:tcPr>
            <w:tcW w:w="680" w:type="pct"/>
            <w:tcBorders>
              <w:left w:val="nil"/>
              <w:right w:val="nil"/>
            </w:tcBorders>
            <w:shd w:val="clear" w:color="auto" w:fill="FFFFFF" w:themeFill="background1"/>
            <w:noWrap/>
            <w:vAlign w:val="bottom"/>
            <w:hideMark/>
          </w:tcPr>
          <w:p w14:paraId="139B8451" w14:textId="7E5D4432"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-76.3</w:t>
            </w:r>
          </w:p>
        </w:tc>
      </w:tr>
      <w:tr w:rsidR="00C372EB" w:rsidRPr="00C372EB" w14:paraId="0B78D408" w14:textId="77777777" w:rsidTr="00102FAF">
        <w:trPr>
          <w:trHeight w:val="327"/>
        </w:trPr>
        <w:tc>
          <w:tcPr>
            <w:tcW w:w="3415" w:type="pct"/>
            <w:tcBorders>
              <w:left w:val="nil"/>
              <w:right w:val="nil"/>
            </w:tcBorders>
            <w:shd w:val="clear" w:color="auto" w:fill="FFFFFF" w:themeFill="background1"/>
            <w:noWrap/>
            <w:vAlign w:val="bottom"/>
            <w:hideMark/>
          </w:tcPr>
          <w:p w14:paraId="536E1E43" w14:textId="77777777" w:rsidR="00C372EB" w:rsidRPr="008D60DD" w:rsidRDefault="00C372EB">
            <w:pPr>
              <w:jc w:val="left"/>
              <w:rPr>
                <w:rFonts w:eastAsia="Times New Roman" w:cs="Times New Roman"/>
                <w:b/>
                <w:i/>
                <w:noProof/>
                <w:color w:val="000000"/>
                <w:sz w:val="22"/>
                <w:lang w:val="fr-BE" w:eastAsia="en-IE"/>
              </w:rPr>
            </w:pPr>
            <w:r w:rsidRPr="00510E7F">
              <w:rPr>
                <w:rFonts w:eastAsia="Times New Roman" w:cs="Times New Roman"/>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428BDDF6" w14:textId="77777777" w:rsidR="00C372EB" w:rsidRPr="008D60DD" w:rsidRDefault="00C372EB">
            <w:pPr>
              <w:jc w:val="left"/>
              <w:rPr>
                <w:rFonts w:eastAsia="Times New Roman" w:cs="Times New Roman"/>
                <w:b/>
                <w:i/>
                <w:noProof/>
                <w:color w:val="000000"/>
                <w:sz w:val="22"/>
                <w:lang w:val="fr-BE" w:eastAsia="en-IE"/>
              </w:rPr>
            </w:pPr>
            <w:r w:rsidRPr="008D60DD">
              <w:rPr>
                <w:rFonts w:eastAsia="Times New Roman" w:cs="Times New Roman"/>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0ACEF63F" w14:textId="77777777" w:rsidR="00C372EB" w:rsidRPr="008D60DD" w:rsidRDefault="00C372EB">
            <w:pPr>
              <w:jc w:val="center"/>
              <w:rPr>
                <w:rFonts w:eastAsia="Times New Roman" w:cs="Times New Roman"/>
                <w:noProof/>
                <w:color w:val="000000"/>
                <w:sz w:val="22"/>
                <w:lang w:val="fr-BE" w:eastAsia="en-IE"/>
              </w:rPr>
            </w:pPr>
          </w:p>
        </w:tc>
        <w:tc>
          <w:tcPr>
            <w:tcW w:w="680" w:type="pct"/>
            <w:tcBorders>
              <w:left w:val="nil"/>
              <w:right w:val="nil"/>
            </w:tcBorders>
            <w:shd w:val="clear" w:color="auto" w:fill="FFFFFF" w:themeFill="background1"/>
            <w:noWrap/>
            <w:vAlign w:val="bottom"/>
            <w:hideMark/>
          </w:tcPr>
          <w:p w14:paraId="40C97420" w14:textId="77777777" w:rsidR="00C372EB" w:rsidRPr="008D60DD" w:rsidRDefault="00C372EB">
            <w:pPr>
              <w:jc w:val="center"/>
              <w:rPr>
                <w:rFonts w:eastAsia="Times New Roman" w:cs="Times New Roman"/>
                <w:noProof/>
                <w:color w:val="000000"/>
                <w:sz w:val="22"/>
                <w:lang w:val="fr-BE" w:eastAsia="en-IE"/>
              </w:rPr>
            </w:pPr>
          </w:p>
        </w:tc>
      </w:tr>
      <w:tr w:rsidR="00C372EB" w:rsidRPr="0026006C" w14:paraId="3656B5FB" w14:textId="77777777" w:rsidTr="00102FAF">
        <w:trPr>
          <w:trHeight w:val="327"/>
        </w:trPr>
        <w:tc>
          <w:tcPr>
            <w:tcW w:w="3415" w:type="pct"/>
            <w:tcBorders>
              <w:left w:val="nil"/>
              <w:right w:val="nil"/>
            </w:tcBorders>
            <w:shd w:val="clear" w:color="auto" w:fill="FFFFFF" w:themeFill="background1"/>
            <w:noWrap/>
            <w:vAlign w:val="bottom"/>
          </w:tcPr>
          <w:p w14:paraId="356AF9AB" w14:textId="20FD4730" w:rsidR="00C372EB" w:rsidRPr="00510E7F" w:rsidRDefault="00C372EB" w:rsidP="00C372EB">
            <w:pPr>
              <w:jc w:val="left"/>
              <w:rPr>
                <w:rFonts w:eastAsia="Times New Roman" w:cs="Times New Roman"/>
                <w:b/>
                <w:i/>
                <w:noProof/>
                <w:color w:val="000000" w:themeColor="text1"/>
                <w:sz w:val="22"/>
                <w:lang w:val="fr-BE" w:eastAsia="en-IE"/>
              </w:rPr>
            </w:pPr>
            <w:r w:rsidRPr="00510E7F">
              <w:rPr>
                <w:rFonts w:eastAsia="Times New Roman" w:cs="Times New Roman"/>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63F8E8E4" w14:textId="4532B708" w:rsidR="00C372EB" w:rsidRPr="00510E7F" w:rsidRDefault="00C372EB" w:rsidP="00C372EB">
            <w:pPr>
              <w:jc w:val="left"/>
              <w:rPr>
                <w:rFonts w:eastAsia="Times New Roman" w:cs="Times New Roman"/>
                <w:b/>
                <w:i/>
                <w:noProof/>
                <w:color w:val="000000"/>
                <w:sz w:val="22"/>
                <w:lang w:val="fr-BE"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tcPr>
          <w:p w14:paraId="5F0B4F83" w14:textId="5143BB3A" w:rsidR="00C372EB" w:rsidRPr="00510E7F" w:rsidRDefault="00C372EB" w:rsidP="00C372EB">
            <w:pPr>
              <w:jc w:val="center"/>
              <w:rPr>
                <w:rFonts w:eastAsia="Times New Roman" w:cs="Times New Roman"/>
                <w:noProof/>
                <w:color w:val="000000"/>
                <w:sz w:val="22"/>
                <w:lang w:val="fr-BE" w:eastAsia="en-IE"/>
              </w:rPr>
            </w:pPr>
            <w:r w:rsidRPr="00510E7F">
              <w:rPr>
                <w:rFonts w:eastAsia="Times New Roman" w:cs="Times New Roman"/>
                <w:noProof/>
                <w:color w:val="000000"/>
                <w:sz w:val="22"/>
                <w:lang w:eastAsia="en-IE"/>
              </w:rPr>
              <w:t>-0.7%</w:t>
            </w:r>
          </w:p>
        </w:tc>
        <w:tc>
          <w:tcPr>
            <w:tcW w:w="680" w:type="pct"/>
            <w:tcBorders>
              <w:left w:val="nil"/>
              <w:right w:val="nil"/>
            </w:tcBorders>
            <w:shd w:val="clear" w:color="auto" w:fill="FFFFFF" w:themeFill="background1"/>
            <w:noWrap/>
            <w:vAlign w:val="bottom"/>
          </w:tcPr>
          <w:p w14:paraId="4FF648E1" w14:textId="78069976" w:rsidR="00C372EB" w:rsidRPr="00510E7F" w:rsidRDefault="00C372EB" w:rsidP="00C372EB">
            <w:pPr>
              <w:jc w:val="center"/>
              <w:rPr>
                <w:rFonts w:eastAsia="Times New Roman" w:cs="Times New Roman"/>
                <w:noProof/>
                <w:color w:val="000000"/>
                <w:sz w:val="22"/>
                <w:lang w:val="fr-BE" w:eastAsia="en-IE"/>
              </w:rPr>
            </w:pPr>
            <w:r w:rsidRPr="00510E7F">
              <w:rPr>
                <w:rFonts w:eastAsia="Times New Roman" w:cs="Times New Roman"/>
                <w:noProof/>
                <w:color w:val="000000"/>
                <w:sz w:val="22"/>
                <w:lang w:eastAsia="en-IE"/>
              </w:rPr>
              <w:t>0.4%</w:t>
            </w:r>
          </w:p>
        </w:tc>
      </w:tr>
      <w:tr w:rsidR="00C372EB" w:rsidRPr="00FF63D1" w14:paraId="7F59E795" w14:textId="77777777" w:rsidTr="00102FAF">
        <w:trPr>
          <w:trHeight w:val="327"/>
        </w:trPr>
        <w:tc>
          <w:tcPr>
            <w:tcW w:w="3415" w:type="pct"/>
            <w:tcBorders>
              <w:left w:val="nil"/>
              <w:right w:val="nil"/>
            </w:tcBorders>
            <w:shd w:val="clear" w:color="auto" w:fill="FFFFFF" w:themeFill="background1"/>
            <w:noWrap/>
            <w:vAlign w:val="bottom"/>
            <w:hideMark/>
          </w:tcPr>
          <w:p w14:paraId="37903AA5" w14:textId="44EAE887" w:rsidR="00C372EB" w:rsidRPr="00510E7F" w:rsidRDefault="00C372EB" w:rsidP="00C372EB">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3326AB54" w14:textId="7F9E4A62" w:rsidR="00C372EB" w:rsidRPr="00510E7F" w:rsidRDefault="00C372EB" w:rsidP="00C372EB">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hideMark/>
          </w:tcPr>
          <w:p w14:paraId="6D8771C1" w14:textId="56D94C2E"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14.3</w:t>
            </w:r>
          </w:p>
        </w:tc>
        <w:tc>
          <w:tcPr>
            <w:tcW w:w="680" w:type="pct"/>
            <w:tcBorders>
              <w:left w:val="nil"/>
              <w:right w:val="nil"/>
            </w:tcBorders>
            <w:shd w:val="clear" w:color="auto" w:fill="FFFFFF" w:themeFill="background1"/>
            <w:noWrap/>
            <w:vAlign w:val="bottom"/>
            <w:hideMark/>
          </w:tcPr>
          <w:p w14:paraId="0023FAD2" w14:textId="30F5A800"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2.1</w:t>
            </w:r>
          </w:p>
        </w:tc>
      </w:tr>
      <w:tr w:rsidR="00C372EB" w:rsidRPr="00FF63D1" w14:paraId="5C3E9E15" w14:textId="77777777" w:rsidTr="00102FAF">
        <w:trPr>
          <w:trHeight w:val="327"/>
        </w:trPr>
        <w:tc>
          <w:tcPr>
            <w:tcW w:w="3415" w:type="pct"/>
            <w:tcBorders>
              <w:left w:val="nil"/>
              <w:right w:val="nil"/>
            </w:tcBorders>
            <w:shd w:val="clear" w:color="auto" w:fill="FFFFFF" w:themeFill="background1"/>
            <w:noWrap/>
            <w:vAlign w:val="bottom"/>
          </w:tcPr>
          <w:p w14:paraId="37164028" w14:textId="77777777" w:rsidR="00C372EB" w:rsidRPr="00510E7F" w:rsidRDefault="00C372EB">
            <w:pPr>
              <w:jc w:val="left"/>
              <w:rPr>
                <w:rFonts w:eastAsia="Times New Roman" w:cs="Times New Roman"/>
                <w:noProof/>
                <w:color w:val="000000"/>
                <w:sz w:val="22"/>
                <w:lang w:val="fr-BE" w:eastAsia="en-IE"/>
              </w:rPr>
            </w:pPr>
            <w:r w:rsidRPr="00510E7F">
              <w:rPr>
                <w:rFonts w:eastAsia="Times New Roman" w:cs="Times New Roman"/>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6BA81E83" w14:textId="77777777" w:rsidR="00C372EB" w:rsidRPr="00510E7F" w:rsidRDefault="00C372EB">
            <w:pPr>
              <w:jc w:val="left"/>
              <w:rPr>
                <w:rFonts w:eastAsia="Times New Roman" w:cs="Times New Roman"/>
                <w:noProof/>
                <w:color w:val="000000"/>
                <w:sz w:val="22"/>
                <w:lang w:eastAsia="en-IE"/>
              </w:rPr>
            </w:pPr>
          </w:p>
        </w:tc>
        <w:tc>
          <w:tcPr>
            <w:tcW w:w="704" w:type="pct"/>
            <w:tcBorders>
              <w:left w:val="nil"/>
              <w:right w:val="nil"/>
            </w:tcBorders>
            <w:shd w:val="clear" w:color="auto" w:fill="FFFFFF" w:themeFill="background1"/>
            <w:noWrap/>
            <w:vAlign w:val="bottom"/>
          </w:tcPr>
          <w:p w14:paraId="2BA77B95" w14:textId="77777777" w:rsidR="00C372EB" w:rsidRPr="00510E7F" w:rsidRDefault="00C372EB">
            <w:pPr>
              <w:jc w:val="center"/>
              <w:rPr>
                <w:rFonts w:eastAsia="Times New Roman" w:cs="Times New Roman"/>
                <w:noProof/>
                <w:color w:val="000000"/>
                <w:sz w:val="22"/>
                <w:lang w:eastAsia="en-IE"/>
              </w:rPr>
            </w:pPr>
          </w:p>
        </w:tc>
        <w:tc>
          <w:tcPr>
            <w:tcW w:w="680" w:type="pct"/>
            <w:tcBorders>
              <w:left w:val="nil"/>
              <w:right w:val="nil"/>
            </w:tcBorders>
            <w:shd w:val="clear" w:color="auto" w:fill="FFFFFF" w:themeFill="background1"/>
            <w:noWrap/>
            <w:vAlign w:val="bottom"/>
          </w:tcPr>
          <w:p w14:paraId="533CBD7F" w14:textId="77777777" w:rsidR="00C372EB" w:rsidRPr="00510E7F" w:rsidRDefault="00C372EB">
            <w:pPr>
              <w:jc w:val="center"/>
              <w:rPr>
                <w:rFonts w:eastAsia="Times New Roman" w:cs="Times New Roman"/>
                <w:noProof/>
                <w:color w:val="000000"/>
                <w:sz w:val="22"/>
                <w:lang w:eastAsia="en-IE"/>
              </w:rPr>
            </w:pPr>
          </w:p>
        </w:tc>
      </w:tr>
      <w:tr w:rsidR="00C372EB" w:rsidRPr="00FF63D1" w14:paraId="3F1ADB98" w14:textId="77777777" w:rsidTr="00102FAF">
        <w:trPr>
          <w:trHeight w:val="327"/>
        </w:trPr>
        <w:tc>
          <w:tcPr>
            <w:tcW w:w="3415" w:type="pct"/>
            <w:tcBorders>
              <w:left w:val="nil"/>
              <w:right w:val="nil"/>
            </w:tcBorders>
            <w:shd w:val="clear" w:color="auto" w:fill="FFFFFF" w:themeFill="background1"/>
            <w:noWrap/>
            <w:vAlign w:val="bottom"/>
          </w:tcPr>
          <w:p w14:paraId="69436983" w14:textId="313A979D" w:rsidR="00C372EB" w:rsidRPr="00510E7F" w:rsidRDefault="00C372EB" w:rsidP="00C372EB">
            <w:pPr>
              <w:jc w:val="left"/>
              <w:rPr>
                <w:rFonts w:eastAsia="Times New Roman" w:cs="Times New Roman"/>
                <w:b/>
                <w:i/>
                <w:noProof/>
                <w:color w:val="000000" w:themeColor="text1"/>
                <w:sz w:val="22"/>
                <w:lang w:val="fr-BE" w:eastAsia="en-IE"/>
              </w:rPr>
            </w:pPr>
            <w:r w:rsidRPr="00510E7F">
              <w:rPr>
                <w:rFonts w:eastAsia="Times New Roman" w:cs="Times New Roman"/>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5A33B748" w14:textId="6CD94C4C" w:rsidR="00C372EB" w:rsidRPr="00510E7F" w:rsidRDefault="00C372EB" w:rsidP="00C372EB">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tcPr>
          <w:p w14:paraId="0D0B2631" w14:textId="2844CDF7"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0.5%</w:t>
            </w:r>
          </w:p>
        </w:tc>
        <w:tc>
          <w:tcPr>
            <w:tcW w:w="680" w:type="pct"/>
            <w:tcBorders>
              <w:left w:val="nil"/>
              <w:right w:val="nil"/>
            </w:tcBorders>
            <w:shd w:val="clear" w:color="auto" w:fill="FFFFFF" w:themeFill="background1"/>
            <w:noWrap/>
            <w:vAlign w:val="bottom"/>
          </w:tcPr>
          <w:p w14:paraId="7FC4E1E4" w14:textId="3D4CA927"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1.2%</w:t>
            </w:r>
          </w:p>
        </w:tc>
      </w:tr>
      <w:tr w:rsidR="00C372EB" w:rsidRPr="00FF63D1" w14:paraId="5D6C1950" w14:textId="77777777" w:rsidTr="00102FAF">
        <w:trPr>
          <w:trHeight w:val="327"/>
        </w:trPr>
        <w:tc>
          <w:tcPr>
            <w:tcW w:w="3415" w:type="pct"/>
            <w:tcBorders>
              <w:left w:val="nil"/>
              <w:right w:val="nil"/>
            </w:tcBorders>
            <w:shd w:val="clear" w:color="auto" w:fill="FFFFFF" w:themeFill="background1"/>
            <w:noWrap/>
            <w:vAlign w:val="bottom"/>
          </w:tcPr>
          <w:p w14:paraId="04672220" w14:textId="09E8A601" w:rsidR="00C372EB" w:rsidRPr="00510E7F" w:rsidRDefault="00C372EB" w:rsidP="00C372EB">
            <w:pPr>
              <w:jc w:val="left"/>
              <w:rPr>
                <w:rFonts w:eastAsia="Times New Roman" w:cs="Times New Roman"/>
                <w:noProof/>
                <w:color w:val="000000"/>
                <w:sz w:val="22"/>
                <w:lang w:val="fr-BE" w:eastAsia="en-IE"/>
              </w:rPr>
            </w:pPr>
            <w:r w:rsidRPr="00510E7F">
              <w:rPr>
                <w:rFonts w:eastAsia="Times New Roman" w:cs="Times New Roman"/>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tcPr>
          <w:p w14:paraId="0394D92E" w14:textId="3A8E3D0E" w:rsidR="00C372EB" w:rsidRPr="00510E7F" w:rsidRDefault="00C372EB" w:rsidP="00C372EB">
            <w:pPr>
              <w:jc w:val="left"/>
              <w:rPr>
                <w:rFonts w:eastAsia="Times New Roman" w:cs="Times New Roman"/>
                <w:noProof/>
                <w:color w:val="000000"/>
                <w:sz w:val="22"/>
                <w:lang w:eastAsia="en-IE"/>
              </w:rPr>
            </w:pPr>
            <w:r w:rsidRPr="00510E7F">
              <w:rPr>
                <w:rFonts w:eastAsia="Times New Roman" w:cs="Times New Roman"/>
                <w:noProof/>
                <w:color w:val="000000"/>
                <w:sz w:val="22"/>
                <w:lang w:eastAsia="en-IE"/>
              </w:rPr>
              <w:t> </w:t>
            </w:r>
          </w:p>
        </w:tc>
        <w:tc>
          <w:tcPr>
            <w:tcW w:w="704" w:type="pct"/>
            <w:tcBorders>
              <w:left w:val="nil"/>
              <w:right w:val="nil"/>
            </w:tcBorders>
            <w:shd w:val="clear" w:color="auto" w:fill="FFFFFF" w:themeFill="background1"/>
            <w:noWrap/>
            <w:vAlign w:val="bottom"/>
          </w:tcPr>
          <w:p w14:paraId="005C6BFE" w14:textId="2677EDD3"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1.0</w:t>
            </w:r>
          </w:p>
        </w:tc>
        <w:tc>
          <w:tcPr>
            <w:tcW w:w="680" w:type="pct"/>
            <w:tcBorders>
              <w:left w:val="nil"/>
              <w:right w:val="nil"/>
            </w:tcBorders>
            <w:shd w:val="clear" w:color="auto" w:fill="FFFFFF" w:themeFill="background1"/>
            <w:noWrap/>
            <w:vAlign w:val="bottom"/>
          </w:tcPr>
          <w:p w14:paraId="74A79E2D" w14:textId="2265010A" w:rsidR="00C372EB" w:rsidRPr="00510E7F" w:rsidRDefault="00C372EB" w:rsidP="00C372EB">
            <w:pPr>
              <w:jc w:val="center"/>
              <w:rPr>
                <w:rFonts w:eastAsia="Times New Roman" w:cs="Times New Roman"/>
                <w:noProof/>
                <w:color w:val="000000"/>
                <w:sz w:val="22"/>
                <w:lang w:eastAsia="en-IE"/>
              </w:rPr>
            </w:pPr>
            <w:r w:rsidRPr="00510E7F">
              <w:rPr>
                <w:rFonts w:eastAsia="Times New Roman" w:cs="Times New Roman"/>
                <w:noProof/>
                <w:color w:val="000000"/>
                <w:sz w:val="22"/>
                <w:lang w:eastAsia="en-IE"/>
              </w:rPr>
              <w:t>-1.7</w:t>
            </w:r>
          </w:p>
        </w:tc>
      </w:tr>
    </w:tbl>
    <w:p w14:paraId="3B8872B2" w14:textId="77777777" w:rsidR="00FC5745" w:rsidRDefault="00FC5745" w:rsidP="00D93C85">
      <w:pPr>
        <w:spacing w:after="120"/>
        <w:rPr>
          <w:noProof/>
        </w:rPr>
      </w:pPr>
    </w:p>
    <w:p w14:paraId="2DE81336" w14:textId="2CDE63E6" w:rsidR="00C7134D" w:rsidRPr="00FF63D1" w:rsidRDefault="00C7134D" w:rsidP="00D93C85">
      <w:pPr>
        <w:spacing w:after="120"/>
        <w:rPr>
          <w:noProof/>
        </w:rPr>
      </w:pPr>
      <w:r>
        <w:rPr>
          <w:noProof/>
        </w:rPr>
        <w:t xml:space="preserve">As EV passenger cars produced by EU manufacturers will benefit from a relative price advantage following </w:t>
      </w:r>
      <w:r w:rsidRPr="00D93C85">
        <w:rPr>
          <w:noProof/>
          <w:color w:val="000000" w:themeColor="text1"/>
        </w:rPr>
        <w:t>the</w:t>
      </w:r>
      <w:r>
        <w:rPr>
          <w:noProof/>
        </w:rPr>
        <w:t xml:space="preserve"> reduction of price stemming from the reallocated subsidies, this will lead consumers to prefer EV passenger cars produced by EU manufacturers (which increase their sales) over non-EU EV passenger cars (which reduces their sales). </w:t>
      </w:r>
    </w:p>
    <w:p w14:paraId="00EAF65D" w14:textId="2C8232DB" w:rsidR="00C7134D" w:rsidRDefault="00C7134D">
      <w:pPr>
        <w:rPr>
          <w:noProof/>
        </w:rPr>
      </w:pPr>
      <w:r>
        <w:rPr>
          <w:noProof/>
        </w:rPr>
        <w:t xml:space="preserve">In quantitative terms, this means: </w:t>
      </w:r>
    </w:p>
    <w:p w14:paraId="6E196D53" w14:textId="5C3D2409" w:rsidR="0076297F" w:rsidRDefault="0C2E8625" w:rsidP="0076297F">
      <w:pPr>
        <w:pStyle w:val="ListParagraph"/>
        <w:numPr>
          <w:ilvl w:val="0"/>
          <w:numId w:val="141"/>
        </w:numPr>
        <w:rPr>
          <w:noProof/>
        </w:rPr>
      </w:pPr>
      <w:r>
        <w:rPr>
          <w:noProof/>
        </w:rPr>
        <w:t>For passenger cars: A</w:t>
      </w:r>
      <w:r w:rsidRPr="00FF63D1">
        <w:rPr>
          <w:noProof/>
        </w:rPr>
        <w:t>s average prices</w:t>
      </w:r>
      <w:r w:rsidR="0076297F" w:rsidRPr="00FF0C9D">
        <w:rPr>
          <w:noProof/>
          <w:vertAlign w:val="superscript"/>
        </w:rPr>
        <w:footnoteReference w:id="664"/>
      </w:r>
      <w:r w:rsidRPr="00FF63D1">
        <w:rPr>
          <w:noProof/>
        </w:rPr>
        <w:t xml:space="preserve"> of EVs passenger cars are going to increase by 0.4% in 2027 and by 1.2% in 2030, this is expected to lead to a reduction in EV passenger cars purchases by 71 000 vehicles in 2027, and 76 300 vehicles in 2030 if no mitigation measures put in place. The described phenomenon will have two different effects: </w:t>
      </w:r>
    </w:p>
    <w:p w14:paraId="33D1CC4B" w14:textId="68A89FBF" w:rsidR="00073E17" w:rsidRPr="00FF63D1" w:rsidRDefault="0A51A5CC" w:rsidP="0076297F">
      <w:pPr>
        <w:pStyle w:val="ListParagraph"/>
        <w:numPr>
          <w:ilvl w:val="0"/>
          <w:numId w:val="141"/>
        </w:numPr>
        <w:rPr>
          <w:noProof/>
        </w:rPr>
      </w:pPr>
      <w:r>
        <w:rPr>
          <w:noProof/>
        </w:rPr>
        <w:t>A</w:t>
      </w:r>
      <w:r w:rsidR="11FCE45E">
        <w:rPr>
          <w:noProof/>
        </w:rPr>
        <w:t xml:space="preserve">s EV passenger cars become more expensive for non-EU manufacturers, and ICE vehicles, being not affected by the measure, could benefit from a relative price advantage (prior application of the bonus schemes or subsidies) over EVs, and </w:t>
      </w:r>
      <w:r w:rsidR="11FCE45E" w:rsidRPr="00FF63D1">
        <w:rPr>
          <w:noProof/>
        </w:rPr>
        <w:t>this could result in partial product substitution of EVs with ICEs</w:t>
      </w:r>
      <w:r w:rsidR="00FC5745">
        <w:rPr>
          <w:noProof/>
        </w:rPr>
        <w:t>.</w:t>
      </w:r>
      <w:r w:rsidR="00073E17" w:rsidRPr="00FF0C9D">
        <w:rPr>
          <w:noProof/>
          <w:vertAlign w:val="superscript"/>
        </w:rPr>
        <w:footnoteReference w:id="665"/>
      </w:r>
      <w:r w:rsidR="11FCE45E" w:rsidRPr="00FF63D1">
        <w:rPr>
          <w:noProof/>
        </w:rPr>
        <w:t xml:space="preserve"> </w:t>
      </w:r>
    </w:p>
    <w:p w14:paraId="2D7DF819" w14:textId="6978B1CB" w:rsidR="004B266E" w:rsidRDefault="004B266E" w:rsidP="008D60DD">
      <w:pPr>
        <w:pStyle w:val="ListParagraph"/>
        <w:numPr>
          <w:ilvl w:val="0"/>
          <w:numId w:val="141"/>
        </w:numPr>
        <w:rPr>
          <w:noProof/>
        </w:rPr>
      </w:pPr>
      <w:r>
        <w:rPr>
          <w:noProof/>
        </w:rPr>
        <w:t xml:space="preserve">For LCVs, the impact is similar: </w:t>
      </w:r>
      <w:r w:rsidR="00073E17" w:rsidRPr="00FF63D1">
        <w:rPr>
          <w:noProof/>
        </w:rPr>
        <w:t xml:space="preserve">prices of EVs light commercial vehicles are going to decrease by 0.7% in 2027 and then slightly increase by 0.4% in 2030, and this is expected to lead to an increase in EV light commercial vehicles purchases by 14 300 vehicles in 2027, and 2 100 vehicles in 2030. </w:t>
      </w:r>
    </w:p>
    <w:p w14:paraId="22DE3B20" w14:textId="1007A6EB" w:rsidR="006F428E" w:rsidRDefault="00C7134D" w:rsidP="00EF7274">
      <w:pPr>
        <w:pStyle w:val="ListParagraph"/>
        <w:numPr>
          <w:ilvl w:val="0"/>
          <w:numId w:val="141"/>
        </w:numPr>
        <w:rPr>
          <w:noProof/>
        </w:rPr>
      </w:pPr>
      <w:r>
        <w:rPr>
          <w:noProof/>
        </w:rPr>
        <w:t xml:space="preserve">For HDVs: </w:t>
      </w:r>
      <w:r w:rsidR="00EC2269">
        <w:rPr>
          <w:noProof/>
        </w:rPr>
        <w:t>P</w:t>
      </w:r>
      <w:r w:rsidR="006F428E" w:rsidRPr="00FF63D1">
        <w:rPr>
          <w:noProof/>
        </w:rPr>
        <w:t xml:space="preserve">rices of </w:t>
      </w:r>
      <w:r w:rsidR="00EC2269">
        <w:rPr>
          <w:noProof/>
        </w:rPr>
        <w:t>electric HDVs</w:t>
      </w:r>
      <w:r w:rsidR="006F428E" w:rsidRPr="00FF63D1">
        <w:rPr>
          <w:noProof/>
        </w:rPr>
        <w:t xml:space="preserve"> are going to slightly increase by 0.5% in 2027 and then increase by 1.2% in 2030. These prices variations are going to have a minor effect on EV HDV purchases in 2027, when sales will still slightly increase by 1 000 units, and lead to a decrease in purchases of EV HDVs by 1 700 units in 2030. </w:t>
      </w:r>
    </w:p>
    <w:p w14:paraId="39FADC9A" w14:textId="77777777" w:rsidR="00D93C85" w:rsidRPr="00FF63D1" w:rsidRDefault="00D93C85" w:rsidP="00D93C85">
      <w:pPr>
        <w:pStyle w:val="ListParagraph"/>
        <w:ind w:left="1070"/>
        <w:rPr>
          <w:noProof/>
        </w:rPr>
      </w:pPr>
    </w:p>
    <w:p w14:paraId="2F7BB6E8" w14:textId="722C475C" w:rsidR="00FD7BB0" w:rsidRPr="00FF63D1" w:rsidRDefault="00FD7BB0" w:rsidP="00D93C85">
      <w:pPr>
        <w:spacing w:after="120"/>
        <w:rPr>
          <w:noProof/>
        </w:rPr>
      </w:pPr>
      <w:r w:rsidRPr="00FF63D1">
        <w:rPr>
          <w:noProof/>
        </w:rPr>
        <w:t xml:space="preserve">The </w:t>
      </w:r>
      <w:r>
        <w:rPr>
          <w:noProof/>
        </w:rPr>
        <w:t>impact</w:t>
      </w:r>
      <w:r w:rsidRPr="00FF63D1">
        <w:rPr>
          <w:noProof/>
        </w:rPr>
        <w:t xml:space="preserve"> crucially depends on the bonus schemes and the assumption that only half of the total subsidies received by non-EU EV makers will be reallocated</w:t>
      </w:r>
      <w:r w:rsidR="00CC697D">
        <w:rPr>
          <w:noProof/>
        </w:rPr>
        <w:t>. Hence, a counterfactual analysis has been performed:</w:t>
      </w:r>
    </w:p>
    <w:p w14:paraId="307BF729" w14:textId="34096CB0" w:rsidR="00751371" w:rsidRDefault="00CC697D" w:rsidP="00D93C85">
      <w:pPr>
        <w:spacing w:after="120"/>
        <w:rPr>
          <w:noProof/>
        </w:rPr>
      </w:pPr>
      <w:r>
        <w:rPr>
          <w:noProof/>
        </w:rPr>
        <w:t>I</w:t>
      </w:r>
      <w:r w:rsidR="007B44D4" w:rsidRPr="00FF63D1">
        <w:rPr>
          <w:noProof/>
        </w:rPr>
        <w:t xml:space="preserve">f all subsidies were reallocated from non-EU to EU EV manufacturers, the average price of EVs for consumers would </w:t>
      </w:r>
      <w:r w:rsidR="007B44D4" w:rsidRPr="00851011">
        <w:rPr>
          <w:noProof/>
        </w:rPr>
        <w:t>decrease</w:t>
      </w:r>
      <w:r w:rsidR="00751371">
        <w:rPr>
          <w:noProof/>
        </w:rPr>
        <w:t>:</w:t>
      </w:r>
    </w:p>
    <w:p w14:paraId="4C34EDE4" w14:textId="77777777" w:rsidR="00CC697D" w:rsidRDefault="00751371" w:rsidP="00D72628">
      <w:pPr>
        <w:pStyle w:val="ListParagraph"/>
        <w:numPr>
          <w:ilvl w:val="0"/>
          <w:numId w:val="133"/>
        </w:numPr>
        <w:rPr>
          <w:noProof/>
        </w:rPr>
      </w:pPr>
      <w:r>
        <w:rPr>
          <w:noProof/>
        </w:rPr>
        <w:t xml:space="preserve">For passenger cars: </w:t>
      </w:r>
      <w:r w:rsidR="007B44D4" w:rsidRPr="00FF63D1">
        <w:rPr>
          <w:noProof/>
        </w:rPr>
        <w:t>by 0.8% in 2027, and the increase in 2030 would be more muted at 0.4%.</w:t>
      </w:r>
    </w:p>
    <w:p w14:paraId="7B9164A7" w14:textId="77777777" w:rsidR="00CC697D" w:rsidRDefault="00CC697D" w:rsidP="00D72628">
      <w:pPr>
        <w:pStyle w:val="ListParagraph"/>
        <w:numPr>
          <w:ilvl w:val="0"/>
          <w:numId w:val="133"/>
        </w:numPr>
        <w:rPr>
          <w:noProof/>
        </w:rPr>
      </w:pPr>
      <w:r>
        <w:rPr>
          <w:noProof/>
        </w:rPr>
        <w:t xml:space="preserve">For LCVs: </w:t>
      </w:r>
      <w:r w:rsidRPr="00FF63D1">
        <w:rPr>
          <w:noProof/>
        </w:rPr>
        <w:t>by 2.4% in 2027 and 0.8% by 2030, with a corresponding larger increase in the number of EV LCVs sold.</w:t>
      </w:r>
    </w:p>
    <w:p w14:paraId="28516A3D" w14:textId="5BF70B3D" w:rsidR="0089727D" w:rsidRPr="00FF63D1" w:rsidRDefault="0089727D" w:rsidP="00D72628">
      <w:pPr>
        <w:pStyle w:val="ListParagraph"/>
        <w:numPr>
          <w:ilvl w:val="0"/>
          <w:numId w:val="133"/>
        </w:numPr>
        <w:rPr>
          <w:noProof/>
        </w:rPr>
      </w:pPr>
      <w:r>
        <w:rPr>
          <w:noProof/>
        </w:rPr>
        <w:t xml:space="preserve">For HDVs: </w:t>
      </w:r>
      <w:r w:rsidR="002637B6">
        <w:rPr>
          <w:noProof/>
        </w:rPr>
        <w:t>by</w:t>
      </w:r>
      <w:r w:rsidRPr="00FF63D1">
        <w:rPr>
          <w:noProof/>
        </w:rPr>
        <w:t xml:space="preserve"> 0.3% in 2027 and only increase</w:t>
      </w:r>
      <w:r w:rsidR="002637B6">
        <w:rPr>
          <w:noProof/>
        </w:rPr>
        <w:t xml:space="preserve"> by</w:t>
      </w:r>
      <w:r w:rsidRPr="00FF63D1">
        <w:rPr>
          <w:noProof/>
        </w:rPr>
        <w:t xml:space="preserve"> 0.8% by 2030, with a corresponding larger increase of EV HDVs sold in 2027 and a smaller reduction of sales in 2030.</w:t>
      </w:r>
    </w:p>
    <w:p w14:paraId="16A991BF" w14:textId="77777777" w:rsidR="00073E17" w:rsidRPr="00FF63D1" w:rsidRDefault="00073E17" w:rsidP="00073E17">
      <w:pPr>
        <w:rPr>
          <w:noProof/>
        </w:rPr>
      </w:pPr>
    </w:p>
    <w:p w14:paraId="15CA5A3E" w14:textId="77777777" w:rsidR="00020031" w:rsidRDefault="00020031" w:rsidP="008D60DD">
      <w:pPr>
        <w:pStyle w:val="Heading4"/>
        <w:numPr>
          <w:ilvl w:val="0"/>
          <w:numId w:val="0"/>
        </w:numPr>
        <w:ind w:left="864" w:hanging="864"/>
        <w:rPr>
          <w:rFonts w:eastAsia="Times New Roman"/>
          <w:b/>
          <w:noProof/>
          <w:color w:val="000000" w:themeColor="text1"/>
        </w:rPr>
      </w:pPr>
      <w:r w:rsidRPr="00E651CC">
        <w:rPr>
          <w:rFonts w:eastAsia="Times New Roman"/>
          <w:b/>
          <w:noProof/>
          <w:color w:val="000000" w:themeColor="text1"/>
        </w:rPr>
        <w:t xml:space="preserve">Impact on competitiveness </w:t>
      </w:r>
    </w:p>
    <w:p w14:paraId="0AC008CA" w14:textId="77777777" w:rsidR="00D93C85" w:rsidRPr="00D93C85" w:rsidRDefault="00D93C85" w:rsidP="00D93C85">
      <w:pPr>
        <w:rPr>
          <w:noProof/>
        </w:rPr>
      </w:pPr>
    </w:p>
    <w:p w14:paraId="54149DA0" w14:textId="797A09F7" w:rsidR="001F2AFF" w:rsidRPr="008D60DD" w:rsidRDefault="00020031" w:rsidP="00D93C85">
      <w:pPr>
        <w:spacing w:after="120"/>
        <w:rPr>
          <w:noProof/>
        </w:rPr>
      </w:pPr>
      <w:r w:rsidRPr="008D60DD">
        <w:rPr>
          <w:b/>
          <w:noProof/>
        </w:rPr>
        <w:t>LEAD_EII 1</w:t>
      </w:r>
      <w:r w:rsidRPr="008D60DD">
        <w:rPr>
          <w:noProof/>
        </w:rPr>
        <w:t xml:space="preserve"> - While low-carbon requirements in public procurement and support programmes may help lower the green premium overtime - thereby improving the business case for industrial </w:t>
      </w:r>
      <w:r w:rsidRPr="00D93C85">
        <w:rPr>
          <w:noProof/>
        </w:rPr>
        <w:t>decarbonisation</w:t>
      </w:r>
      <w:r w:rsidRPr="008D60DD">
        <w:rPr>
          <w:noProof/>
        </w:rPr>
        <w:t xml:space="preserve"> investments - for certain products where imports penetration is already high, this demand is likely to be partially met by non-EU producers whom, by having large overcapacities, will be able to redirect their low-carbon production to the EU market, limiting the benefits for EU industry. </w:t>
      </w:r>
    </w:p>
    <w:p w14:paraId="55CAF381" w14:textId="77777777" w:rsidR="00D93C85" w:rsidRDefault="00020031" w:rsidP="00D93C85">
      <w:pPr>
        <w:pStyle w:val="Heading4"/>
        <w:numPr>
          <w:ilvl w:val="0"/>
          <w:numId w:val="0"/>
        </w:numPr>
        <w:ind w:left="864" w:hanging="864"/>
        <w:rPr>
          <w:rFonts w:eastAsia="Times New Roman"/>
          <w:b/>
          <w:noProof/>
          <w:color w:val="000000" w:themeColor="text1"/>
        </w:rPr>
      </w:pPr>
      <w:r w:rsidRPr="008D60DD">
        <w:rPr>
          <w:b/>
          <w:noProof/>
          <w:color w:val="auto"/>
        </w:rPr>
        <w:t>Impact on com</w:t>
      </w:r>
      <w:r w:rsidRPr="00FF63D1">
        <w:rPr>
          <w:rFonts w:eastAsia="Times New Roman"/>
          <w:b/>
          <w:noProof/>
          <w:color w:val="000000" w:themeColor="text1"/>
        </w:rPr>
        <w:t>petition</w:t>
      </w:r>
    </w:p>
    <w:p w14:paraId="3C0FA272" w14:textId="77777777" w:rsidR="00D93C85" w:rsidRPr="00D93C85" w:rsidRDefault="00D93C85" w:rsidP="00D93C85">
      <w:pPr>
        <w:rPr>
          <w:noProof/>
        </w:rPr>
      </w:pPr>
    </w:p>
    <w:p w14:paraId="2083015B" w14:textId="5A2FD9BA" w:rsidR="004E1765" w:rsidRPr="00FF63D1" w:rsidRDefault="00020031" w:rsidP="00D93C85">
      <w:pPr>
        <w:spacing w:after="120"/>
        <w:rPr>
          <w:noProof/>
        </w:rPr>
      </w:pPr>
      <w:r w:rsidRPr="00FF63D1">
        <w:rPr>
          <w:b/>
          <w:noProof/>
        </w:rPr>
        <w:t>LEAD_EII 1</w:t>
      </w:r>
      <w:r w:rsidRPr="00FF63D1">
        <w:rPr>
          <w:noProof/>
        </w:rPr>
        <w:t xml:space="preserve"> - Regarding the creation of lead markets, low-carbon requirements would apply uniformly to all participants in public procurement procedures and beneficiaries of public support schemes, ensuring that manufacturers of energy-intensive materials and downstream producers who bid in public procurement and will have to comply with the target compete on equal terms. In some sectors, however, there might be competition between companies that are subject to public procurement rules and companies that are not. An example are offshore wind auctions, where publicly owned utilities subject to Directive 2014/25/EU compete with private developers and investors. In such cases, measure LEAD_EII 1 that targets public procurement, but not private procurement, would distort competition between those types of bidders.</w:t>
      </w:r>
    </w:p>
    <w:p w14:paraId="3EEBE84F" w14:textId="2195E8D6" w:rsidR="00020031" w:rsidRPr="00FF63D1" w:rsidRDefault="00020031" w:rsidP="00D93C85">
      <w:pPr>
        <w:spacing w:after="120"/>
        <w:rPr>
          <w:noProof/>
        </w:rPr>
      </w:pPr>
      <w:r w:rsidRPr="00FF63D1">
        <w:rPr>
          <w:b/>
          <w:noProof/>
        </w:rPr>
        <w:t>LEAD_SOL 1</w:t>
      </w:r>
      <w:r w:rsidRPr="00FF63D1">
        <w:rPr>
          <w:noProof/>
        </w:rPr>
        <w:t xml:space="preserve"> - As regards solar PV, applying </w:t>
      </w:r>
      <w:r w:rsidR="000B3C9C">
        <w:rPr>
          <w:noProof/>
        </w:rPr>
        <w:t xml:space="preserve">Made in EU </w:t>
      </w:r>
      <w:r w:rsidRPr="00FF63D1">
        <w:rPr>
          <w:noProof/>
        </w:rPr>
        <w:t>requirements in public tenders would provide a strategic incentive for investment in EU-based solar manufacturing while offering greater supply chain security and alignment with broader industrial policy objectives. Without such measures, the lack of willingness among consumers and offtakers to pay a premium for EU-made panels will continue to hinder market uptake, leaving the EU exposed to strategic vulnerabilities from over-reliance on a single supplier country</w:t>
      </w:r>
      <w:r w:rsidR="00C507D5">
        <w:rPr>
          <w:noProof/>
        </w:rPr>
        <w:t>.</w:t>
      </w:r>
    </w:p>
    <w:p w14:paraId="11C36A0A" w14:textId="4EF8565A" w:rsidR="0008146F" w:rsidRDefault="00264095" w:rsidP="00D93C85">
      <w:pPr>
        <w:spacing w:after="120"/>
        <w:rPr>
          <w:noProof/>
        </w:rPr>
      </w:pPr>
      <w:r>
        <w:rPr>
          <w:noProof/>
        </w:rPr>
        <w:t xml:space="preserve">A fully </w:t>
      </w:r>
      <w:r w:rsidR="404A2814" w:rsidRPr="25B808CD">
        <w:rPr>
          <w:noProof/>
        </w:rPr>
        <w:t>EU</w:t>
      </w:r>
      <w:r>
        <w:rPr>
          <w:noProof/>
        </w:rPr>
        <w:t>-made</w:t>
      </w:r>
      <w:r w:rsidR="404A2814" w:rsidRPr="25B808CD">
        <w:rPr>
          <w:noProof/>
        </w:rPr>
        <w:t xml:space="preserve"> module </w:t>
      </w:r>
      <w:r w:rsidR="001B7711">
        <w:rPr>
          <w:noProof/>
        </w:rPr>
        <w:t xml:space="preserve">amounts to </w:t>
      </w:r>
      <w:r w:rsidR="404A2814" w:rsidRPr="25B808CD">
        <w:rPr>
          <w:noProof/>
        </w:rPr>
        <w:t>manufacturing costs at around 2</w:t>
      </w:r>
      <w:r w:rsidR="00F977C3">
        <w:rPr>
          <w:noProof/>
        </w:rPr>
        <w:t>5</w:t>
      </w:r>
      <w:r w:rsidR="404A2814" w:rsidRPr="25B808CD">
        <w:rPr>
          <w:noProof/>
        </w:rPr>
        <w:t>.</w:t>
      </w:r>
      <w:r w:rsidR="00F977C3">
        <w:rPr>
          <w:noProof/>
        </w:rPr>
        <w:t>5</w:t>
      </w:r>
      <w:r w:rsidR="404A2814" w:rsidRPr="25B808CD">
        <w:rPr>
          <w:noProof/>
        </w:rPr>
        <w:t xml:space="preserve"> ct/Wp, </w:t>
      </w:r>
      <w:r w:rsidR="000F5343">
        <w:rPr>
          <w:noProof/>
        </w:rPr>
        <w:t xml:space="preserve">whilst </w:t>
      </w:r>
      <w:r w:rsidR="000A0A48">
        <w:rPr>
          <w:noProof/>
        </w:rPr>
        <w:t xml:space="preserve">a minimum sustainable </w:t>
      </w:r>
      <w:r w:rsidR="00E63622">
        <w:rPr>
          <w:noProof/>
        </w:rPr>
        <w:t xml:space="preserve">PV module price for modules from China is </w:t>
      </w:r>
      <w:r w:rsidR="000959CB">
        <w:rPr>
          <w:noProof/>
        </w:rPr>
        <w:t xml:space="preserve">estimated at 15.9 </w:t>
      </w:r>
      <w:r w:rsidR="00335225" w:rsidRPr="25B808CD">
        <w:rPr>
          <w:noProof/>
        </w:rPr>
        <w:t>ct/Wp</w:t>
      </w:r>
      <w:r w:rsidR="000959CB">
        <w:rPr>
          <w:noProof/>
        </w:rPr>
        <w:t xml:space="preserve"> and from Southeast Asia at 16.5</w:t>
      </w:r>
      <w:r w:rsidR="00335225" w:rsidRPr="00335225">
        <w:rPr>
          <w:noProof/>
        </w:rPr>
        <w:t xml:space="preserve"> </w:t>
      </w:r>
      <w:r w:rsidR="00335225" w:rsidRPr="25B808CD">
        <w:rPr>
          <w:noProof/>
        </w:rPr>
        <w:t>ct/Wp</w:t>
      </w:r>
      <w:r w:rsidR="00016C31">
        <w:rPr>
          <w:rStyle w:val="FootnoteReference"/>
          <w:noProof/>
        </w:rPr>
        <w:footnoteReference w:id="666"/>
      </w:r>
      <w:r w:rsidR="000959CB">
        <w:rPr>
          <w:noProof/>
        </w:rPr>
        <w:t xml:space="preserve">. However, </w:t>
      </w:r>
      <w:r w:rsidR="00615E47">
        <w:rPr>
          <w:noProof/>
        </w:rPr>
        <w:t xml:space="preserve">PV modules from </w:t>
      </w:r>
      <w:r w:rsidR="00F607A2">
        <w:rPr>
          <w:noProof/>
        </w:rPr>
        <w:t xml:space="preserve">China and SE Asia </w:t>
      </w:r>
      <w:r w:rsidR="0035434F">
        <w:rPr>
          <w:noProof/>
        </w:rPr>
        <w:t>are currently sold a</w:t>
      </w:r>
      <w:r w:rsidR="00AF2151">
        <w:rPr>
          <w:noProof/>
        </w:rPr>
        <w:t xml:space="preserve">t </w:t>
      </w:r>
      <w:r w:rsidR="00FF5A35" w:rsidRPr="00FF5A35">
        <w:rPr>
          <w:noProof/>
        </w:rPr>
        <w:t>half the minimum sustainable price</w:t>
      </w:r>
      <w:r w:rsidR="00FF5A35">
        <w:rPr>
          <w:noProof/>
        </w:rPr>
        <w:t>, at</w:t>
      </w:r>
      <w:r w:rsidR="00FF5A35" w:rsidRPr="00FF5A35">
        <w:rPr>
          <w:noProof/>
        </w:rPr>
        <w:t xml:space="preserve"> </w:t>
      </w:r>
      <w:r w:rsidR="00F21E56">
        <w:rPr>
          <w:noProof/>
        </w:rPr>
        <w:t>8-10</w:t>
      </w:r>
      <w:r w:rsidR="00173559">
        <w:rPr>
          <w:noProof/>
        </w:rPr>
        <w:t xml:space="preserve"> </w:t>
      </w:r>
      <w:r w:rsidR="00173559" w:rsidRPr="00173559">
        <w:rPr>
          <w:noProof/>
        </w:rPr>
        <w:t>€ct/Wp</w:t>
      </w:r>
      <w:r w:rsidR="00FF5A35">
        <w:rPr>
          <w:noProof/>
        </w:rPr>
        <w:t xml:space="preserve">, </w:t>
      </w:r>
      <w:r w:rsidR="00173559" w:rsidRPr="00173559">
        <w:rPr>
          <w:noProof/>
        </w:rPr>
        <w:t>below manufacturing costs</w:t>
      </w:r>
      <w:r w:rsidR="00173559">
        <w:rPr>
          <w:noProof/>
        </w:rPr>
        <w:t xml:space="preserve">. </w:t>
      </w:r>
      <w:r w:rsidR="404A2814" w:rsidRPr="25B808CD">
        <w:rPr>
          <w:noProof/>
        </w:rPr>
        <w:t xml:space="preserve">China </w:t>
      </w:r>
      <w:r w:rsidR="00173559">
        <w:rPr>
          <w:noProof/>
        </w:rPr>
        <w:t xml:space="preserve">is able to </w:t>
      </w:r>
      <w:r w:rsidR="404A2814" w:rsidRPr="25B808CD">
        <w:rPr>
          <w:noProof/>
        </w:rPr>
        <w:t>maintain a cost advantage due to lower labour, land, and energy costs, state subsidies, and rapid efficiency gains.</w:t>
      </w:r>
      <w:r w:rsidR="00020031" w:rsidRPr="25B808CD">
        <w:rPr>
          <w:rStyle w:val="FootnoteReference"/>
          <w:noProof/>
        </w:rPr>
        <w:footnoteReference w:id="667"/>
      </w:r>
      <w:r w:rsidR="404A2814" w:rsidRPr="25B808CD">
        <w:rPr>
          <w:noProof/>
        </w:rPr>
        <w:t xml:space="preserve"> Nevertheless, a 30-40% reduction in EU module costs by 2030 is considered achievable under favourable conditions, potentially bringing prices down to 1</w:t>
      </w:r>
      <w:r w:rsidR="003654C7">
        <w:rPr>
          <w:noProof/>
        </w:rPr>
        <w:t>5</w:t>
      </w:r>
      <w:r w:rsidR="404A2814" w:rsidRPr="25B808CD">
        <w:rPr>
          <w:noProof/>
        </w:rPr>
        <w:t>–1</w:t>
      </w:r>
      <w:r w:rsidR="003654C7">
        <w:rPr>
          <w:noProof/>
        </w:rPr>
        <w:t>9</w:t>
      </w:r>
      <w:r w:rsidR="404A2814" w:rsidRPr="25B808CD">
        <w:rPr>
          <w:noProof/>
        </w:rPr>
        <w:t xml:space="preserve"> ct/Wp</w:t>
      </w:r>
      <w:r w:rsidR="003654C7">
        <w:rPr>
          <w:noProof/>
        </w:rPr>
        <w:t>, depending on the number of components manufactured in Europe</w:t>
      </w:r>
      <w:r w:rsidR="404A2814" w:rsidRPr="25B808CD">
        <w:rPr>
          <w:noProof/>
        </w:rPr>
        <w:t>. With the right support and enabling conditions, much of the cost gap with China could be closed. Key drivers include gigawatt-scale production, vertical integration, automation, access to low-cost energy, and strong policy backing through instruments such as the NZIA, Innovation Fund, C</w:t>
      </w:r>
      <w:r w:rsidR="34335016">
        <w:rPr>
          <w:noProof/>
        </w:rPr>
        <w:t>C</w:t>
      </w:r>
      <w:r w:rsidR="404A2814" w:rsidRPr="25B808CD">
        <w:rPr>
          <w:noProof/>
        </w:rPr>
        <w:t>fDs, and resilience auctions. If realised, these measures could make EU solar manufacturing cost-competitive by 2030, strengthening the sector’s resilience and strategic autonomy.</w:t>
      </w:r>
      <w:r w:rsidR="0C2E8625">
        <w:rPr>
          <w:noProof/>
        </w:rPr>
        <w:t xml:space="preserve"> </w:t>
      </w:r>
    </w:p>
    <w:p w14:paraId="537F660E" w14:textId="5E56C4D2" w:rsidR="00ED3A4F" w:rsidRPr="00FF63D1" w:rsidRDefault="719AC623" w:rsidP="00D93C85">
      <w:pPr>
        <w:spacing w:after="120"/>
        <w:rPr>
          <w:noProof/>
        </w:rPr>
      </w:pPr>
      <w:r w:rsidRPr="3F0F1197">
        <w:rPr>
          <w:rFonts w:eastAsiaTheme="minorEastAsia"/>
          <w:noProof/>
        </w:rPr>
        <w:t xml:space="preserve">However, since LCOE calculations exclude taxes, grid tariffs, and retail mark-ups, the final cost increase for the consumer would likely be much smaller, estimated at around 1–2%. </w:t>
      </w:r>
    </w:p>
    <w:p w14:paraId="57305EFA" w14:textId="48335979" w:rsidR="004E1765" w:rsidRPr="008D60DD" w:rsidRDefault="00020031" w:rsidP="008D60DD">
      <w:pPr>
        <w:pStyle w:val="Heading4"/>
        <w:numPr>
          <w:ilvl w:val="0"/>
          <w:numId w:val="0"/>
        </w:numPr>
        <w:ind w:left="864" w:hanging="864"/>
        <w:rPr>
          <w:b/>
          <w:noProof/>
        </w:rPr>
      </w:pPr>
      <w:r w:rsidRPr="00FF63D1">
        <w:rPr>
          <w:rFonts w:eastAsia="Times New Roman"/>
          <w:b/>
          <w:noProof/>
          <w:color w:val="000000" w:themeColor="text1"/>
        </w:rPr>
        <w:t>Impact on Member States</w:t>
      </w:r>
    </w:p>
    <w:p w14:paraId="2884E240" w14:textId="74FC4674" w:rsidR="004E1765" w:rsidRDefault="00020031" w:rsidP="00D93C85">
      <w:pPr>
        <w:spacing w:before="240"/>
        <w:rPr>
          <w:rFonts w:eastAsia="Times New Roman"/>
          <w:i/>
          <w:noProof/>
        </w:rPr>
      </w:pPr>
      <w:r w:rsidRPr="00FF63D1">
        <w:rPr>
          <w:rFonts w:eastAsia="Times New Roman"/>
          <w:i/>
          <w:noProof/>
        </w:rPr>
        <w:t>Financial implications</w:t>
      </w:r>
    </w:p>
    <w:p w14:paraId="6C0C118F" w14:textId="77777777" w:rsidR="00D93C85" w:rsidRPr="00FF63D1" w:rsidRDefault="00D93C85" w:rsidP="00842E3B">
      <w:pPr>
        <w:rPr>
          <w:noProof/>
        </w:rPr>
      </w:pPr>
    </w:p>
    <w:p w14:paraId="4CC49E4F" w14:textId="14D3A9E3" w:rsidR="00842E3B" w:rsidRPr="00FF63D1" w:rsidRDefault="404A2814" w:rsidP="00D93C85">
      <w:pPr>
        <w:spacing w:after="120"/>
        <w:rPr>
          <w:rFonts w:eastAsiaTheme="minorEastAsia"/>
          <w:noProof/>
        </w:rPr>
      </w:pPr>
      <w:r w:rsidRPr="1A2A8689">
        <w:rPr>
          <w:b/>
          <w:bCs/>
          <w:noProof/>
        </w:rPr>
        <w:t>LEAD_EII 1 -</w:t>
      </w:r>
      <w:r w:rsidRPr="00FF63D1">
        <w:rPr>
          <w:noProof/>
        </w:rPr>
        <w:t xml:space="preserve"> In financial terms, Member States spent an estimated 13.4 billion EUR on steel and cement for public construction projects in 2019.</w:t>
      </w:r>
      <w:r w:rsidR="00020031" w:rsidRPr="00FF63D1">
        <w:rPr>
          <w:rStyle w:val="FootnoteReference"/>
          <w:noProof/>
        </w:rPr>
        <w:footnoteReference w:id="668"/>
      </w:r>
      <w:r w:rsidRPr="00FF63D1">
        <w:rPr>
          <w:noProof/>
        </w:rPr>
        <w:t xml:space="preserve"> This represented about 3% of the total investment in construction procurement for that year. In the broader context of public spending, the cost of steel and cement accounted for less than 1% of total public procurement expenditures across the EU in 2019</w:t>
      </w:r>
      <w:r w:rsidRPr="1A2A8689">
        <w:rPr>
          <w:b/>
          <w:bCs/>
          <w:noProof/>
        </w:rPr>
        <w:t xml:space="preserve"> </w:t>
      </w:r>
      <w:r w:rsidRPr="00FF63D1">
        <w:rPr>
          <w:noProof/>
        </w:rPr>
        <w:t xml:space="preserve">- indicating that, on average, the cost of basic materials remains relatively </w:t>
      </w:r>
      <w:r w:rsidR="058990D8" w:rsidRPr="00FF63D1">
        <w:rPr>
          <w:noProof/>
        </w:rPr>
        <w:t xml:space="preserve">limited </w:t>
      </w:r>
      <w:r w:rsidRPr="00FF63D1">
        <w:rPr>
          <w:noProof/>
        </w:rPr>
        <w:t>in public budgets.</w:t>
      </w:r>
      <w:r w:rsidR="2B9FFA52">
        <w:rPr>
          <w:noProof/>
        </w:rPr>
        <w:t xml:space="preserve"> </w:t>
      </w:r>
      <w:r w:rsidR="2B9FFA52" w:rsidRPr="3F0F1197">
        <w:rPr>
          <w:rFonts w:eastAsiaTheme="minorEastAsia"/>
          <w:noProof/>
          <w:lang w:val="en-IE"/>
        </w:rPr>
        <w:t>Steel</w:t>
      </w:r>
      <w:r w:rsidR="2B9FFA52" w:rsidRPr="001B1B95">
        <w:rPr>
          <w:noProof/>
        </w:rPr>
        <w:t xml:space="preserve"> accounts for only about 1.8% of total construction procurement spending, indicating a modest cost share. As for cement, Member States spent around EUR 5 billion on procurement of cement as part of the overall public procurement of construction in 2019. This represents </w:t>
      </w:r>
      <w:r w:rsidR="1DB697BD">
        <w:rPr>
          <w:noProof/>
        </w:rPr>
        <w:t>only</w:t>
      </w:r>
      <w:r w:rsidR="2B9FFA52">
        <w:rPr>
          <w:noProof/>
        </w:rPr>
        <w:t xml:space="preserve"> </w:t>
      </w:r>
      <w:r w:rsidR="2B9FFA52" w:rsidRPr="001B1B95">
        <w:rPr>
          <w:noProof/>
        </w:rPr>
        <w:t>1.1% of total construction cost.</w:t>
      </w:r>
      <w:r w:rsidR="006766CC" w:rsidRPr="001B1B95">
        <w:rPr>
          <w:rStyle w:val="FootnoteReference"/>
          <w:noProof/>
        </w:rPr>
        <w:footnoteReference w:id="669"/>
      </w:r>
      <w:r w:rsidR="2B9FFA52" w:rsidRPr="001B1B95">
        <w:rPr>
          <w:noProof/>
        </w:rPr>
        <w:t xml:space="preserve"> </w:t>
      </w:r>
    </w:p>
    <w:p w14:paraId="0B0DEE8F" w14:textId="413CB1AD" w:rsidR="00E01305" w:rsidRDefault="00842E3B" w:rsidP="00D93C85">
      <w:pPr>
        <w:spacing w:after="120"/>
        <w:rPr>
          <w:rFonts w:eastAsiaTheme="minorEastAsia"/>
          <w:noProof/>
          <w:lang w:val="en-IE"/>
        </w:rPr>
      </w:pPr>
      <w:r w:rsidRPr="008D60DD">
        <w:rPr>
          <w:b/>
          <w:noProof/>
          <w:lang w:val="en-IE"/>
        </w:rPr>
        <w:t>LEAD_VC 1</w:t>
      </w:r>
      <w:r w:rsidRPr="008D60DD">
        <w:rPr>
          <w:noProof/>
          <w:lang w:val="en-IE"/>
        </w:rPr>
        <w:t xml:space="preserve"> –</w:t>
      </w:r>
      <w:r w:rsidRPr="008D60DD">
        <w:rPr>
          <w:rFonts w:eastAsiaTheme="minorEastAsia"/>
          <w:noProof/>
          <w:lang w:val="en-IE"/>
        </w:rPr>
        <w:t xml:space="preserve"> The effects of the policy on total sales and consumer welfare depend on the level of market competition </w:t>
      </w:r>
      <w:r w:rsidRPr="00D93C85">
        <w:rPr>
          <w:noProof/>
        </w:rPr>
        <w:t>on</w:t>
      </w:r>
      <w:r w:rsidRPr="008D60DD">
        <w:rPr>
          <w:rFonts w:eastAsiaTheme="minorEastAsia"/>
          <w:noProof/>
          <w:lang w:val="en-IE"/>
        </w:rPr>
        <w:t xml:space="preserve"> both the supplier and final producer sides. Regarding the EU suppliers for EV car manufacturers, if their market is highly competitive, companies will likely reduce their prices to capitalise on the increased demand and sales. However, the policy could reduce foreign competition for EU suppliers of EVs, as the </w:t>
      </w:r>
      <w:r w:rsidR="00450CB4">
        <w:rPr>
          <w:rFonts w:eastAsiaTheme="minorEastAsia"/>
          <w:noProof/>
          <w:lang w:val="en-IE"/>
        </w:rPr>
        <w:t xml:space="preserve">made in </w:t>
      </w:r>
      <w:r w:rsidRPr="008D60DD">
        <w:rPr>
          <w:rFonts w:eastAsiaTheme="minorEastAsia"/>
          <w:noProof/>
          <w:lang w:val="en-IE"/>
        </w:rPr>
        <w:t xml:space="preserve">EU- content requirements for EVs come into </w:t>
      </w:r>
      <w:r w:rsidRPr="006766CC">
        <w:rPr>
          <w:rFonts w:eastAsiaTheme="minorEastAsia"/>
          <w:noProof/>
          <w:lang w:val="en-IE"/>
        </w:rPr>
        <w:t xml:space="preserve">effect. </w:t>
      </w:r>
    </w:p>
    <w:p w14:paraId="46C2E9EA" w14:textId="4FD9DF69" w:rsidR="00842E3B" w:rsidRPr="008D60DD" w:rsidRDefault="0F8F4CFA" w:rsidP="00D93C85">
      <w:pPr>
        <w:spacing w:after="120"/>
        <w:rPr>
          <w:rFonts w:eastAsiaTheme="minorEastAsia"/>
          <w:noProof/>
          <w:lang w:val="en-IE"/>
        </w:rPr>
      </w:pPr>
      <w:r w:rsidDel="00842E3B">
        <w:rPr>
          <w:noProof/>
        </w:rPr>
        <w:t xml:space="preserve">Under </w:t>
      </w:r>
      <w:r w:rsidRPr="005D0AAB" w:rsidDel="00842E3B">
        <w:rPr>
          <w:noProof/>
        </w:rPr>
        <w:t xml:space="preserve">LEAD_VC 1, </w:t>
      </w:r>
      <w:r w:rsidDel="00842E3B">
        <w:rPr>
          <w:noProof/>
        </w:rPr>
        <w:t>as observed above, public support schemes currently used in the automotive industry will mitigate the adverse effects of LEAD_VC. (See</w:t>
      </w:r>
      <w:r w:rsidR="1DB697BD">
        <w:rPr>
          <w:noProof/>
        </w:rPr>
        <w:t xml:space="preserve"> a</w:t>
      </w:r>
      <w:r w:rsidDel="00842E3B">
        <w:rPr>
          <w:noProof/>
        </w:rPr>
        <w:t>ssumptions</w:t>
      </w:r>
      <w:r w:rsidR="1DB697BD">
        <w:rPr>
          <w:noProof/>
        </w:rPr>
        <w:t xml:space="preserve"> in Annex 4 </w:t>
      </w:r>
      <w:r w:rsidR="0FFD6104">
        <w:rPr>
          <w:noProof/>
        </w:rPr>
        <w:t>Section</w:t>
      </w:r>
      <w:r w:rsidR="1DB697BD">
        <w:rPr>
          <w:noProof/>
        </w:rPr>
        <w:t xml:space="preserve"> 2</w:t>
      </w:r>
      <w:r w:rsidDel="00842E3B">
        <w:rPr>
          <w:noProof/>
        </w:rPr>
        <w:t xml:space="preserve">) To reach this positive objective, as laid down in the assumptions, it is important that Member States re-distribute (at least, partially) the public subsidies that are no longer accessible to non-compliant, meaning that the Member States would keep the volumes allocated to finance the strengthening of the EU industrial value chain. Since the assumptions are based on already existing schemes, the cost of public subsidies used for this Impact Assessment will not represent an increase in cost for Member States. Indeed, estimates indicate a saving budget for Member States of </w:t>
      </w:r>
      <w:r w:rsidR="5AB63F4A">
        <w:rPr>
          <w:noProof/>
        </w:rPr>
        <w:t>EUR</w:t>
      </w:r>
      <w:r w:rsidDel="00842E3B">
        <w:rPr>
          <w:noProof/>
        </w:rPr>
        <w:t xml:space="preserve"> 2.7 billion per year from 2027 to 2030, with a net present value of </w:t>
      </w:r>
      <w:r w:rsidR="5AB63F4A" w:rsidRPr="00E05C1A">
        <w:rPr>
          <w:noProof/>
        </w:rPr>
        <w:t xml:space="preserve">EUR </w:t>
      </w:r>
      <w:r w:rsidDel="00842E3B">
        <w:rPr>
          <w:noProof/>
        </w:rPr>
        <w:t>10.3 billion.</w:t>
      </w:r>
      <w:r w:rsidR="00282646" w:rsidRPr="00FF63D1">
        <w:rPr>
          <w:rStyle w:val="FootnoteReference"/>
          <w:noProof/>
        </w:rPr>
        <w:footnoteReference w:id="670"/>
      </w:r>
      <w:r w:rsidR="404A2814" w:rsidRPr="00FF63D1">
        <w:rPr>
          <w:noProof/>
        </w:rPr>
        <w:t xml:space="preserve"> </w:t>
      </w:r>
    </w:p>
    <w:p w14:paraId="25BFBC0F" w14:textId="404118B8" w:rsidR="00D93C85" w:rsidRDefault="00020031" w:rsidP="009021D3">
      <w:pPr>
        <w:spacing w:before="240"/>
        <w:rPr>
          <w:rFonts w:eastAsia="Times New Roman"/>
          <w:i/>
          <w:noProof/>
        </w:rPr>
      </w:pPr>
      <w:r w:rsidRPr="00FF63D1">
        <w:rPr>
          <w:rFonts w:eastAsia="Times New Roman"/>
          <w:i/>
          <w:noProof/>
        </w:rPr>
        <w:t>Administrative burden</w:t>
      </w:r>
    </w:p>
    <w:p w14:paraId="07B3563D" w14:textId="77F3FF98" w:rsidR="00DE67A2" w:rsidRPr="00FF63D1" w:rsidRDefault="00DE19B7" w:rsidP="00D93C85">
      <w:pPr>
        <w:spacing w:after="120"/>
        <w:rPr>
          <w:noProof/>
        </w:rPr>
      </w:pPr>
      <w:r>
        <w:rPr>
          <w:b/>
          <w:noProof/>
        </w:rPr>
        <w:br/>
      </w:r>
      <w:r w:rsidR="00020031" w:rsidRPr="00FF63D1">
        <w:rPr>
          <w:b/>
          <w:noProof/>
        </w:rPr>
        <w:t>LEAD_SOL 1</w:t>
      </w:r>
      <w:r w:rsidR="00B278C3" w:rsidRPr="00FF63D1">
        <w:rPr>
          <w:b/>
          <w:noProof/>
        </w:rPr>
        <w:t xml:space="preserve"> </w:t>
      </w:r>
      <w:r w:rsidR="00020031" w:rsidRPr="00FF63D1">
        <w:rPr>
          <w:noProof/>
        </w:rPr>
        <w:t xml:space="preserve">- </w:t>
      </w:r>
      <w:r w:rsidR="005F3121" w:rsidRPr="00FF63D1">
        <w:rPr>
          <w:noProof/>
        </w:rPr>
        <w:t>To</w:t>
      </w:r>
      <w:r w:rsidR="00020031" w:rsidRPr="00FF63D1">
        <w:rPr>
          <w:noProof/>
        </w:rPr>
        <w:t xml:space="preserve"> reduce administrative burden for Member States and ensure policy coherence, relevant NZIA requirements, particularly those relating to non-price criteria such as sustainability and resilience in wind energy auctions and public procurement, would need to be gradually superseded by corresponding </w:t>
      </w:r>
      <w:r w:rsidR="00646A42" w:rsidRPr="00FF63D1">
        <w:rPr>
          <w:noProof/>
        </w:rPr>
        <w:t>IAA</w:t>
      </w:r>
      <w:r w:rsidR="00020031" w:rsidRPr="00FF63D1">
        <w:rPr>
          <w:noProof/>
        </w:rPr>
        <w:t xml:space="preserve"> provisions. This transition should account for the time required to adapt administrative procedures, in addition to the adaptation time necessary for industry.</w:t>
      </w:r>
    </w:p>
    <w:p w14:paraId="7A98B5A3" w14:textId="25F9C1DB" w:rsidR="00020031" w:rsidRPr="00FF63D1" w:rsidRDefault="00020031" w:rsidP="00E71388">
      <w:pPr>
        <w:pStyle w:val="Heading3"/>
        <w:numPr>
          <w:ilvl w:val="0"/>
          <w:numId w:val="0"/>
        </w:numPr>
        <w:spacing w:after="0"/>
        <w:ind w:left="720"/>
      </w:pPr>
      <w:r w:rsidRPr="0026765E">
        <w:rPr>
          <w:b/>
          <w:bCs/>
          <w:color w:val="000000" w:themeColor="text1"/>
        </w:rPr>
        <w:t>Social im</w:t>
      </w:r>
      <w:r w:rsidRPr="00C507D5">
        <w:rPr>
          <w:b/>
          <w:bCs/>
          <w:color w:val="000000" w:themeColor="text1"/>
        </w:rPr>
        <w:t>pacts</w:t>
      </w:r>
    </w:p>
    <w:p w14:paraId="0DF3140F" w14:textId="77777777" w:rsidR="00C507D5" w:rsidRDefault="00020031" w:rsidP="00C507D5">
      <w:pPr>
        <w:spacing w:before="240"/>
        <w:rPr>
          <w:rFonts w:eastAsia="Times New Roman"/>
          <w:noProof/>
          <w:color w:val="000000" w:themeColor="text1"/>
        </w:rPr>
      </w:pPr>
      <w:r w:rsidRPr="00FF63D1">
        <w:rPr>
          <w:rFonts w:eastAsia="Times New Roman"/>
          <w:noProof/>
          <w:color w:val="000000" w:themeColor="text1"/>
        </w:rPr>
        <w:t xml:space="preserve">See Section 6 of the Impact Assessment. </w:t>
      </w:r>
    </w:p>
    <w:p w14:paraId="1FE301E5" w14:textId="5EDB1EBD" w:rsidR="00020031" w:rsidRPr="00FF63D1" w:rsidRDefault="00020031" w:rsidP="00D144C4">
      <w:pPr>
        <w:pStyle w:val="Text1"/>
        <w:spacing w:before="240" w:after="120"/>
        <w:ind w:left="0"/>
        <w:rPr>
          <w:noProof/>
          <w:color w:val="000000" w:themeColor="text1"/>
        </w:rPr>
      </w:pPr>
      <w:r w:rsidRPr="00FF63D1">
        <w:rPr>
          <w:b/>
          <w:noProof/>
          <w:color w:val="000000" w:themeColor="text1"/>
        </w:rPr>
        <w:t>LEAD</w:t>
      </w:r>
      <w:r w:rsidR="00A07249">
        <w:rPr>
          <w:b/>
          <w:noProof/>
          <w:color w:val="000000" w:themeColor="text1"/>
        </w:rPr>
        <w:t>_</w:t>
      </w:r>
      <w:r w:rsidRPr="00FF63D1">
        <w:rPr>
          <w:b/>
          <w:noProof/>
          <w:color w:val="000000" w:themeColor="text1"/>
        </w:rPr>
        <w:t>EII</w:t>
      </w:r>
      <w:r w:rsidR="00A07249">
        <w:rPr>
          <w:b/>
          <w:noProof/>
          <w:color w:val="000000" w:themeColor="text1"/>
        </w:rPr>
        <w:t xml:space="preserve"> </w:t>
      </w:r>
      <w:r w:rsidRPr="00FF63D1">
        <w:rPr>
          <w:b/>
          <w:noProof/>
          <w:color w:val="000000" w:themeColor="text1"/>
        </w:rPr>
        <w:t>1</w:t>
      </w:r>
      <w:r w:rsidRPr="00FF63D1">
        <w:rPr>
          <w:noProof/>
          <w:color w:val="000000" w:themeColor="text1"/>
        </w:rPr>
        <w:t xml:space="preserve"> - </w:t>
      </w:r>
      <w:r w:rsidRPr="00FF63D1">
        <w:rPr>
          <w:noProof/>
        </w:rPr>
        <w:t xml:space="preserve">The </w:t>
      </w:r>
      <w:r w:rsidRPr="00FF63D1">
        <w:rPr>
          <w:b/>
          <w:noProof/>
        </w:rPr>
        <w:t>targeted stakeholder consultation</w:t>
      </w:r>
      <w:r w:rsidRPr="00FF63D1">
        <w:rPr>
          <w:noProof/>
        </w:rPr>
        <w:t xml:space="preserve"> found that, across industrial sectors, 75% of respondents acknowledge long term social benefits. However, 27% warn of short-term economic risks, i.e. rising production costs and investment pressures, leading to potential inflation, job losses or delocalisation. </w:t>
      </w:r>
    </w:p>
    <w:p w14:paraId="62CC8050" w14:textId="77777777" w:rsidR="00020031" w:rsidRPr="00FF63D1" w:rsidRDefault="00020031" w:rsidP="003F3451">
      <w:pPr>
        <w:pStyle w:val="Text2"/>
        <w:numPr>
          <w:ilvl w:val="0"/>
          <w:numId w:val="30"/>
        </w:numPr>
        <w:spacing w:after="0"/>
        <w:rPr>
          <w:noProof/>
        </w:rPr>
      </w:pPr>
      <w:r w:rsidRPr="00FF63D1">
        <w:rPr>
          <w:noProof/>
        </w:rPr>
        <w:t>Cement: all 7 respondents expect positive social impacts, such as job creation.</w:t>
      </w:r>
    </w:p>
    <w:p w14:paraId="5A6359E6" w14:textId="77777777" w:rsidR="00020031" w:rsidRPr="00FF63D1" w:rsidRDefault="00020031" w:rsidP="003F3451">
      <w:pPr>
        <w:pStyle w:val="Text2"/>
        <w:numPr>
          <w:ilvl w:val="0"/>
          <w:numId w:val="30"/>
        </w:numPr>
        <w:spacing w:after="0"/>
        <w:rPr>
          <w:noProof/>
        </w:rPr>
      </w:pPr>
      <w:r w:rsidRPr="00FF63D1">
        <w:rPr>
          <w:noProof/>
        </w:rPr>
        <w:t>Steel: 13 out of 14 responses expect positive impact such as gains in skilled employment.</w:t>
      </w:r>
    </w:p>
    <w:p w14:paraId="3955DEDF" w14:textId="77777777" w:rsidR="00020031" w:rsidRPr="00FF63D1" w:rsidRDefault="00020031" w:rsidP="00D144C4">
      <w:pPr>
        <w:pStyle w:val="Text1"/>
        <w:spacing w:before="240" w:after="120"/>
        <w:ind w:left="0"/>
        <w:rPr>
          <w:noProof/>
        </w:rPr>
      </w:pPr>
      <w:r w:rsidRPr="008D60DD">
        <w:rPr>
          <w:b/>
          <w:noProof/>
        </w:rPr>
        <w:t>LEAD_BAT 1 / LEAD_SOL 1</w:t>
      </w:r>
      <w:r w:rsidRPr="008D60DD">
        <w:rPr>
          <w:noProof/>
        </w:rPr>
        <w:t xml:space="preserve"> send </w:t>
      </w:r>
      <w:r w:rsidRPr="00FF63D1">
        <w:rPr>
          <w:noProof/>
        </w:rPr>
        <w:t>a market signal that stabilises demand giving employers and vocational training providers the certainty they need to develop targeted curricula, launch apprenticeships and upskilling programmes, and build advanced manufacturing competencies across the region.</w:t>
      </w:r>
    </w:p>
    <w:p w14:paraId="2BADFFC6" w14:textId="07E88C39" w:rsidR="00045D42" w:rsidDel="00C507D5" w:rsidRDefault="00020031" w:rsidP="00D144C4">
      <w:pPr>
        <w:pStyle w:val="Text1"/>
        <w:spacing w:before="240" w:after="120"/>
        <w:ind w:left="0"/>
        <w:rPr>
          <w:noProof/>
        </w:rPr>
      </w:pPr>
      <w:r w:rsidRPr="00FF63D1">
        <w:rPr>
          <w:b/>
          <w:noProof/>
        </w:rPr>
        <w:t>INV 1</w:t>
      </w:r>
      <w:r w:rsidRPr="00FF63D1">
        <w:rPr>
          <w:noProof/>
        </w:rPr>
        <w:t xml:space="preserve"> - Conditions requiring that investments generate value-added activities, such as </w:t>
      </w:r>
      <w:r w:rsidRPr="00FF63D1" w:rsidDel="00787D54">
        <w:rPr>
          <w:noProof/>
        </w:rPr>
        <w:t>R&amp;</w:t>
      </w:r>
      <w:r w:rsidR="00787D54" w:rsidRPr="00FF63D1">
        <w:rPr>
          <w:noProof/>
        </w:rPr>
        <w:t>I</w:t>
      </w:r>
      <w:r w:rsidRPr="00FF63D1">
        <w:rPr>
          <w:noProof/>
        </w:rPr>
        <w:t>, engineering, domestic processing, and manufacturing, could significantly increase EU skill capacities and create high-quality jobs. Staffing requirements and social protection conditionalities would ensure that FDIs actively recruit, hire, and train local workers, enabling local communities to benefit directly from employment opportunities. However, making these conditionalities voluntary under PO1 could reduce their potential impact as it still allows competition among Member States based on weaker employment conditions, despite offering some harmonisation compared to the baseline.</w:t>
      </w:r>
    </w:p>
    <w:p w14:paraId="2B633AFC" w14:textId="6D3430EE" w:rsidR="00020031" w:rsidRPr="00FF63D1" w:rsidRDefault="00020031" w:rsidP="008D60DD">
      <w:pPr>
        <w:pStyle w:val="Heading3"/>
        <w:numPr>
          <w:ilvl w:val="0"/>
          <w:numId w:val="0"/>
        </w:numPr>
        <w:spacing w:before="0" w:after="0"/>
        <w:ind w:left="720"/>
      </w:pPr>
      <w:r w:rsidRPr="008D60DD">
        <w:rPr>
          <w:b/>
          <w:color w:val="000000" w:themeColor="text1"/>
        </w:rPr>
        <w:t>Environmental impacts</w:t>
      </w:r>
    </w:p>
    <w:p w14:paraId="18DA9C48" w14:textId="77777777" w:rsidR="00020031" w:rsidRPr="00FF63D1" w:rsidRDefault="00020031" w:rsidP="008D60DD">
      <w:pPr>
        <w:spacing w:before="240"/>
        <w:rPr>
          <w:noProof/>
        </w:rPr>
      </w:pPr>
      <w:r w:rsidRPr="00FF63D1">
        <w:rPr>
          <w:noProof/>
        </w:rPr>
        <w:t>See Section 6 of the Impact Assessment.</w:t>
      </w:r>
    </w:p>
    <w:p w14:paraId="27F68C62" w14:textId="1C1B430E" w:rsidR="005E070D" w:rsidRPr="00801C0E" w:rsidRDefault="76223B37" w:rsidP="00D144C4">
      <w:pPr>
        <w:pStyle w:val="Text1"/>
        <w:spacing w:before="240" w:after="120"/>
        <w:ind w:left="0"/>
        <w:rPr>
          <w:noProof/>
        </w:rPr>
      </w:pPr>
      <w:r w:rsidRPr="1A2A8689">
        <w:rPr>
          <w:b/>
          <w:bCs/>
          <w:noProof/>
        </w:rPr>
        <w:t>LEAD_BAT 1</w:t>
      </w:r>
      <w:r>
        <w:rPr>
          <w:noProof/>
        </w:rPr>
        <w:t xml:space="preserve"> - </w:t>
      </w:r>
      <w:r w:rsidRPr="003A01C5">
        <w:rPr>
          <w:noProof/>
        </w:rPr>
        <w:t>In</w:t>
      </w:r>
      <w:r w:rsidR="3DC21F06" w:rsidRPr="005E070D">
        <w:rPr>
          <w:noProof/>
        </w:rPr>
        <w:t xml:space="preserve"> </w:t>
      </w:r>
      <w:r w:rsidR="3DC21F06" w:rsidRPr="00801C0E">
        <w:rPr>
          <w:noProof/>
        </w:rPr>
        <w:t>Producing cells locally in Europe, compared to China, can reduce carbon emissions by 20–40% on average. Additionally, onshoring cathode production could deliver a further emissions reduction of up to 20%</w:t>
      </w:r>
      <w:r w:rsidR="3DC21F06">
        <w:rPr>
          <w:noProof/>
        </w:rPr>
        <w:t>.</w:t>
      </w:r>
      <w:r w:rsidR="005E070D" w:rsidRPr="00801C0E">
        <w:rPr>
          <w:rStyle w:val="FootnoteReference"/>
          <w:noProof/>
        </w:rPr>
        <w:footnoteReference w:id="671"/>
      </w:r>
      <w:r w:rsidR="3DC21F06">
        <w:rPr>
          <w:noProof/>
        </w:rPr>
        <w:t xml:space="preserve"> Increasing EU-based production is therefore expected to deliver additional indirect climate and environmental benefits.</w:t>
      </w:r>
    </w:p>
    <w:p w14:paraId="3874418D" w14:textId="26A97C1E" w:rsidR="005E070D" w:rsidRDefault="005E070D" w:rsidP="005E070D">
      <w:pPr>
        <w:keepNext/>
        <w:jc w:val="center"/>
        <w:rPr>
          <w:noProof/>
        </w:rPr>
      </w:pPr>
      <w:r w:rsidRPr="00310056">
        <w:rPr>
          <w:rFonts w:eastAsia="Times New Roman"/>
          <w:noProof/>
          <w:lang w:eastAsia="en-GB"/>
        </w:rPr>
        <w:drawing>
          <wp:inline distT="0" distB="0" distL="0" distR="0" wp14:anchorId="1C0C6DAF" wp14:editId="23D89D34">
            <wp:extent cx="4171950" cy="3263900"/>
            <wp:effectExtent l="0" t="0" r="0" b="0"/>
            <wp:docPr id="1405212277" name="Picture 1" descr="A graph of energy prod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12277" name="Picture 1" descr="A graph of energy production&#10;&#10;AI-generated content may be incorrect."/>
                    <pic:cNvPicPr/>
                  </pic:nvPicPr>
                  <pic:blipFill>
                    <a:blip r:embed="rId107">
                      <a:extLst>
                        <a:ext uri="{28A0092B-C50C-407E-A947-70E740481C1C}">
                          <a14:useLocalDpi xmlns:a14="http://schemas.microsoft.com/office/drawing/2010/main" val="0"/>
                        </a:ext>
                      </a:extLst>
                    </a:blip>
                    <a:stretch>
                      <a:fillRect/>
                    </a:stretch>
                  </pic:blipFill>
                  <pic:spPr>
                    <a:xfrm>
                      <a:off x="0" y="0"/>
                      <a:ext cx="4171950" cy="3263900"/>
                    </a:xfrm>
                    <a:prstGeom prst="rect">
                      <a:avLst/>
                    </a:prstGeom>
                  </pic:spPr>
                </pic:pic>
              </a:graphicData>
            </a:graphic>
          </wp:inline>
        </w:drawing>
      </w:r>
    </w:p>
    <w:p w14:paraId="5F038FAB" w14:textId="15170E0C" w:rsidR="005E070D" w:rsidRPr="005754F4" w:rsidRDefault="005E070D" w:rsidP="005E070D">
      <w:pPr>
        <w:pStyle w:val="Caption"/>
        <w:jc w:val="center"/>
        <w:rPr>
          <w:noProof/>
          <w:sz w:val="20"/>
          <w:szCs w:val="14"/>
        </w:rPr>
      </w:pPr>
      <w:r w:rsidRPr="005754F4">
        <w:rPr>
          <w:noProof/>
          <w:sz w:val="20"/>
          <w:szCs w:val="14"/>
        </w:rPr>
        <w:t xml:space="preserve">Figure </w:t>
      </w:r>
      <w:r w:rsidRPr="005754F4">
        <w:rPr>
          <w:noProof/>
          <w:sz w:val="20"/>
          <w:szCs w:val="14"/>
        </w:rPr>
        <w:fldChar w:fldCharType="begin"/>
      </w:r>
      <w:r w:rsidRPr="005754F4">
        <w:rPr>
          <w:noProof/>
          <w:sz w:val="20"/>
          <w:szCs w:val="14"/>
        </w:rPr>
        <w:instrText xml:space="preserve"> SEQ Figure \* ARABIC </w:instrText>
      </w:r>
      <w:r w:rsidRPr="005754F4">
        <w:rPr>
          <w:noProof/>
          <w:sz w:val="20"/>
          <w:szCs w:val="14"/>
        </w:rPr>
        <w:fldChar w:fldCharType="separate"/>
      </w:r>
      <w:r w:rsidR="00E16D65">
        <w:rPr>
          <w:noProof/>
          <w:sz w:val="20"/>
          <w:szCs w:val="14"/>
        </w:rPr>
        <w:t>35</w:t>
      </w:r>
      <w:r w:rsidRPr="005754F4">
        <w:rPr>
          <w:noProof/>
          <w:sz w:val="20"/>
          <w:szCs w:val="14"/>
        </w:rPr>
        <w:fldChar w:fldCharType="end"/>
      </w:r>
      <w:r w:rsidRPr="005754F4">
        <w:rPr>
          <w:noProof/>
          <w:sz w:val="20"/>
          <w:szCs w:val="14"/>
        </w:rPr>
        <w:t xml:space="preserve"> Climate benefits of onshoring the battery value chain</w:t>
      </w:r>
    </w:p>
    <w:p w14:paraId="4A57A9AB" w14:textId="441ACEB7" w:rsidR="001B1B95" w:rsidRPr="00FF63D1" w:rsidRDefault="00724089" w:rsidP="00D144C4">
      <w:pPr>
        <w:pStyle w:val="Text1"/>
        <w:spacing w:before="240" w:after="120"/>
        <w:ind w:left="0"/>
        <w:rPr>
          <w:noProof/>
        </w:rPr>
      </w:pPr>
      <w:r w:rsidRPr="00FF63D1">
        <w:rPr>
          <w:b/>
          <w:noProof/>
        </w:rPr>
        <w:t>LEAD_VC 1</w:t>
      </w:r>
      <w:r w:rsidR="009D71A9">
        <w:rPr>
          <w:noProof/>
        </w:rPr>
        <w:t xml:space="preserve"> </w:t>
      </w:r>
      <w:r w:rsidR="00603B19">
        <w:rPr>
          <w:noProof/>
        </w:rPr>
        <w:t>–</w:t>
      </w:r>
      <w:r w:rsidR="009D71A9">
        <w:rPr>
          <w:noProof/>
        </w:rPr>
        <w:t xml:space="preserve"> </w:t>
      </w:r>
      <w:r w:rsidR="00DF1472" w:rsidRPr="008D60DD">
        <w:rPr>
          <w:noProof/>
        </w:rPr>
        <w:t>In</w:t>
      </w:r>
      <w:r w:rsidR="00DF1472">
        <w:rPr>
          <w:noProof/>
        </w:rPr>
        <w:t xml:space="preserve"> </w:t>
      </w:r>
      <w:r w:rsidR="00603B19">
        <w:rPr>
          <w:noProof/>
        </w:rPr>
        <w:t>the</w:t>
      </w:r>
      <w:r w:rsidR="00DF1472" w:rsidRPr="008D60DD">
        <w:rPr>
          <w:noProof/>
        </w:rPr>
        <w:t xml:space="preserve"> </w:t>
      </w:r>
      <w:r w:rsidR="00603B19" w:rsidRPr="00603B19">
        <w:rPr>
          <w:i/>
          <w:iCs/>
          <w:noProof/>
        </w:rPr>
        <w:t>Internal market reaction</w:t>
      </w:r>
      <w:r w:rsidR="00603B19">
        <w:rPr>
          <w:i/>
          <w:iCs/>
          <w:noProof/>
        </w:rPr>
        <w:t xml:space="preserve"> </w:t>
      </w:r>
      <w:r w:rsidR="00603B19" w:rsidRPr="008D60DD">
        <w:rPr>
          <w:noProof/>
        </w:rPr>
        <w:t>scenario</w:t>
      </w:r>
      <w:r w:rsidR="00DF1472" w:rsidRPr="008D60DD">
        <w:rPr>
          <w:noProof/>
        </w:rPr>
        <w:t>, global greenhouse gas emissions from vehicle manufacturing decrease by 0.5</w:t>
      </w:r>
      <w:r w:rsidR="00284425">
        <w:rPr>
          <w:noProof/>
        </w:rPr>
        <w:t xml:space="preserve"> Mtonnes </w:t>
      </w:r>
      <w:r w:rsidR="00DF1472" w:rsidRPr="008D60DD">
        <w:rPr>
          <w:noProof/>
        </w:rPr>
        <w:t>CO2e in 2027 and by 0.6</w:t>
      </w:r>
      <w:r w:rsidR="00284425">
        <w:rPr>
          <w:noProof/>
        </w:rPr>
        <w:t xml:space="preserve"> Mtonnes </w:t>
      </w:r>
      <w:r w:rsidR="00DF1472" w:rsidRPr="008D60DD">
        <w:rPr>
          <w:noProof/>
        </w:rPr>
        <w:t>in 2030 due to shifts in production; they further decline by 0.1</w:t>
      </w:r>
      <w:r w:rsidR="00284425">
        <w:rPr>
          <w:noProof/>
        </w:rPr>
        <w:t xml:space="preserve"> Mtonnes </w:t>
      </w:r>
      <w:r w:rsidR="00DF1472" w:rsidRPr="008D60DD">
        <w:rPr>
          <w:noProof/>
        </w:rPr>
        <w:t>due to reductions in international transport associated with EU imports. In 2027, substitution from EVs to ICEs could lead to higher emissions from the fuel use of new passenger cars (1 Mt) this effect almost disappears in 2030.</w:t>
      </w:r>
    </w:p>
    <w:p w14:paraId="150D1CD5" w14:textId="7240CDE6" w:rsidR="00020031" w:rsidRPr="00FF63D1" w:rsidRDefault="00020031" w:rsidP="00E71388">
      <w:pPr>
        <w:pStyle w:val="Heading2"/>
        <w:numPr>
          <w:ilvl w:val="0"/>
          <w:numId w:val="0"/>
        </w:numPr>
        <w:spacing w:after="0"/>
        <w:ind w:left="576"/>
      </w:pPr>
      <w:bookmarkStart w:id="708" w:name="_Toc207192565"/>
      <w:bookmarkStart w:id="709" w:name="_Toc212728874"/>
      <w:bookmarkStart w:id="710" w:name="_Toc212729401"/>
      <w:bookmarkStart w:id="711" w:name="_Toc215506345"/>
      <w:bookmarkStart w:id="712" w:name="_Toc222490053"/>
      <w:r w:rsidRPr="00AB1DF9">
        <w:t>POLICY OPTION 2</w:t>
      </w:r>
      <w:bookmarkEnd w:id="708"/>
      <w:bookmarkEnd w:id="709"/>
      <w:bookmarkEnd w:id="710"/>
      <w:bookmarkEnd w:id="711"/>
      <w:bookmarkEnd w:id="712"/>
    </w:p>
    <w:p w14:paraId="330A6284" w14:textId="286906A5" w:rsidR="00020031" w:rsidRPr="00FF63D1" w:rsidRDefault="00020031" w:rsidP="00E71388">
      <w:pPr>
        <w:pStyle w:val="Heading3"/>
        <w:numPr>
          <w:ilvl w:val="0"/>
          <w:numId w:val="0"/>
        </w:numPr>
        <w:spacing w:after="0"/>
        <w:ind w:left="720"/>
      </w:pPr>
      <w:r w:rsidRPr="00AB1DF9">
        <w:rPr>
          <w:b/>
          <w:color w:val="000000" w:themeColor="text1"/>
        </w:rPr>
        <w:t xml:space="preserve">Economic </w:t>
      </w:r>
      <w:r w:rsidR="00B831D5">
        <w:rPr>
          <w:b/>
          <w:color w:val="000000" w:themeColor="text1"/>
        </w:rPr>
        <w:t>i</w:t>
      </w:r>
      <w:r w:rsidRPr="00AB1DF9">
        <w:rPr>
          <w:b/>
          <w:color w:val="000000" w:themeColor="text1"/>
        </w:rPr>
        <w:t>mpacts</w:t>
      </w:r>
    </w:p>
    <w:p w14:paraId="3EFDE42D" w14:textId="0E35EB59" w:rsidR="00C507D5" w:rsidRPr="000C2719" w:rsidRDefault="00020031" w:rsidP="00E71388">
      <w:pPr>
        <w:spacing w:before="240" w:after="240"/>
        <w:rPr>
          <w:rFonts w:eastAsia="Times New Roman"/>
          <w:noProof/>
        </w:rPr>
      </w:pPr>
      <w:r w:rsidRPr="00FF63D1">
        <w:rPr>
          <w:rFonts w:eastAsia="Times New Roman"/>
          <w:noProof/>
          <w:color w:val="000000" w:themeColor="text1"/>
        </w:rPr>
        <w:t xml:space="preserve">See Section 6 of the </w:t>
      </w:r>
      <w:r w:rsidRPr="000C2719">
        <w:rPr>
          <w:rFonts w:eastAsia="Times New Roman"/>
          <w:noProof/>
        </w:rPr>
        <w:t>Impact Assessment.</w:t>
      </w:r>
    </w:p>
    <w:p w14:paraId="0F9912CA" w14:textId="13D476B6" w:rsidR="00020031" w:rsidRPr="000C2719" w:rsidRDefault="00020031" w:rsidP="008D60DD">
      <w:pPr>
        <w:pStyle w:val="Heading4"/>
        <w:numPr>
          <w:ilvl w:val="0"/>
          <w:numId w:val="0"/>
        </w:numPr>
        <w:ind w:left="864"/>
        <w:rPr>
          <w:noProof/>
          <w:color w:val="auto"/>
        </w:rPr>
      </w:pPr>
      <w:r w:rsidRPr="000C2719">
        <w:rPr>
          <w:b/>
          <w:noProof/>
          <w:color w:val="auto"/>
        </w:rPr>
        <w:t>Impact on downstream sectors</w:t>
      </w:r>
    </w:p>
    <w:p w14:paraId="5995EA22" w14:textId="534540F6" w:rsidR="5D042B50" w:rsidRPr="00FF63D1" w:rsidRDefault="719AC623" w:rsidP="00E71388">
      <w:pPr>
        <w:spacing w:before="240"/>
        <w:rPr>
          <w:noProof/>
        </w:rPr>
      </w:pPr>
      <w:r w:rsidRPr="1A2A8689">
        <w:rPr>
          <w:b/>
          <w:bCs/>
          <w:noProof/>
        </w:rPr>
        <w:t xml:space="preserve">INV 2 </w:t>
      </w:r>
      <w:r w:rsidRPr="000C2719">
        <w:rPr>
          <w:noProof/>
        </w:rPr>
        <w:t xml:space="preserve">would have limited short-term impact on the downstream sectors, however in a medium to long-term perspective, </w:t>
      </w:r>
      <w:r w:rsidRPr="00FF63D1">
        <w:rPr>
          <w:noProof/>
        </w:rPr>
        <w:t xml:space="preserve">the faster and more meaningful transfer of know-how, technologies and skills would result in stronger EU based value chains. This in turn would provide downstream sectors with additional supply options and overall higher resilience of the whole value chains improving their competitiveness. This is particularly true for condition (c) ensuring that foreign investors contribute to technological advancement in the EU by making their proprietary technologies or IP available to local firms, institutions, or joint ventures. </w:t>
      </w:r>
      <w:r w:rsidR="404A2814" w:rsidRPr="00FF63D1">
        <w:rPr>
          <w:noProof/>
        </w:rPr>
        <w:t>On the other hand, it would lead to administrative costs for businesses. By analogy, the Commission Evaluation on FDI Screening Regulation</w:t>
      </w:r>
      <w:r w:rsidR="00020031" w:rsidRPr="00FF63D1">
        <w:rPr>
          <w:rStyle w:val="FootnoteReference"/>
          <w:noProof/>
        </w:rPr>
        <w:footnoteReference w:id="672"/>
      </w:r>
      <w:r w:rsidR="404A2814" w:rsidRPr="00FF63D1">
        <w:rPr>
          <w:noProof/>
        </w:rPr>
        <w:t xml:space="preserve"> analysing the functioning and effectiveness of thereof identified limited costs for businesses.</w:t>
      </w:r>
    </w:p>
    <w:p w14:paraId="50E20F77" w14:textId="21431832" w:rsidR="00020031" w:rsidRPr="00FF63D1" w:rsidRDefault="545C8C3C" w:rsidP="008D60DD">
      <w:pPr>
        <w:pStyle w:val="Heading4"/>
        <w:numPr>
          <w:ilvl w:val="0"/>
          <w:numId w:val="0"/>
        </w:numPr>
        <w:rPr>
          <w:rFonts w:eastAsia="Times New Roman"/>
          <w:b/>
          <w:noProof/>
          <w:color w:val="000000" w:themeColor="text1"/>
        </w:rPr>
      </w:pPr>
      <w:r w:rsidRPr="008D60DD">
        <w:rPr>
          <w:b/>
          <w:noProof/>
          <w:color w:val="auto"/>
        </w:rPr>
        <w:t>Impact on SMEs</w:t>
      </w:r>
    </w:p>
    <w:p w14:paraId="1B5EF7ED" w14:textId="18FF73DB" w:rsidR="5D042B50" w:rsidRPr="00FF63D1" w:rsidRDefault="545C8C3C" w:rsidP="00484657">
      <w:pPr>
        <w:spacing w:before="240"/>
        <w:rPr>
          <w:rFonts w:eastAsia="Times New Roman"/>
          <w:noProof/>
        </w:rPr>
      </w:pPr>
      <w:r w:rsidRPr="00FF63D1">
        <w:rPr>
          <w:rFonts w:eastAsia="Times New Roman"/>
          <w:b/>
          <w:noProof/>
        </w:rPr>
        <w:t>INV 2</w:t>
      </w:r>
      <w:r w:rsidRPr="00FF63D1">
        <w:rPr>
          <w:rFonts w:eastAsia="Times New Roman"/>
          <w:noProof/>
        </w:rPr>
        <w:t xml:space="preserve"> - The analysis under PO1 remains valid, with no substantial costs for SMEs as investments not achieving a minimum threshold will be excluded from FDI conditionalities, though the indirect </w:t>
      </w:r>
      <w:r w:rsidRPr="00484657">
        <w:rPr>
          <w:noProof/>
        </w:rPr>
        <w:t>benefits</w:t>
      </w:r>
      <w:r w:rsidRPr="00FF63D1">
        <w:rPr>
          <w:rFonts w:eastAsia="Times New Roman"/>
          <w:noProof/>
        </w:rPr>
        <w:t xml:space="preserve"> listed in PO1 are likely to be more substantial and more predictable if mandatory measures are applied. Moreover, establishing a mandatory threshold for Member States to apply would likely to promote a more homogenous Internal Market investment framework </w:t>
      </w:r>
      <w:r w:rsidRPr="00FF63D1">
        <w:rPr>
          <w:rFonts w:eastAsia="Times New Roman"/>
          <w:i/>
          <w:noProof/>
        </w:rPr>
        <w:t>vis-á-vis</w:t>
      </w:r>
      <w:r w:rsidRPr="00FF63D1">
        <w:rPr>
          <w:rFonts w:eastAsia="Times New Roman"/>
          <w:noProof/>
        </w:rPr>
        <w:t xml:space="preserve"> SME effects.</w:t>
      </w:r>
    </w:p>
    <w:p w14:paraId="190AF1DF" w14:textId="77777777" w:rsidR="00020031" w:rsidRPr="00FF63D1" w:rsidRDefault="545C8C3C" w:rsidP="008D60DD">
      <w:pPr>
        <w:pStyle w:val="Heading4"/>
        <w:numPr>
          <w:ilvl w:val="0"/>
          <w:numId w:val="0"/>
        </w:numPr>
        <w:ind w:left="864" w:hanging="864"/>
        <w:rPr>
          <w:rFonts w:eastAsia="Times New Roman"/>
          <w:b/>
          <w:noProof/>
          <w:color w:val="000000" w:themeColor="text1"/>
        </w:rPr>
      </w:pPr>
      <w:r w:rsidRPr="008D60DD">
        <w:rPr>
          <w:b/>
          <w:noProof/>
          <w:color w:val="auto"/>
        </w:rPr>
        <w:t>Impact on Member States</w:t>
      </w:r>
    </w:p>
    <w:p w14:paraId="61AA5721" w14:textId="40998A09" w:rsidR="00020031" w:rsidRPr="00D93C85" w:rsidRDefault="00020031" w:rsidP="00484657">
      <w:pPr>
        <w:spacing w:before="240"/>
        <w:rPr>
          <w:rFonts w:eastAsia="Times New Roman"/>
          <w:b/>
          <w:noProof/>
          <w:color w:val="000000" w:themeColor="text1"/>
        </w:rPr>
      </w:pPr>
      <w:r w:rsidRPr="00FF63D1">
        <w:rPr>
          <w:rFonts w:eastAsia="Times New Roman"/>
          <w:b/>
          <w:noProof/>
        </w:rPr>
        <w:t>PERM 2 -</w:t>
      </w:r>
      <w:r w:rsidRPr="00FF63D1">
        <w:rPr>
          <w:rFonts w:eastAsia="Times New Roman"/>
          <w:noProof/>
        </w:rPr>
        <w:t xml:space="preserve"> </w:t>
      </w:r>
      <w:r w:rsidRPr="00FF63D1">
        <w:rPr>
          <w:noProof/>
        </w:rPr>
        <w:t xml:space="preserve">Additionally, a One Stop shop as a sole point of contact for decarbonised energy intensive industrial projects does not necessarily introduce an additional burden, since similar structures already exist in the context of the implementation of other legislation for some energy-intensive industrial projects (namely, the NZIA). The most efficient decision would be to use the same </w:t>
      </w:r>
      <w:r w:rsidRPr="00D93C85">
        <w:rPr>
          <w:rFonts w:eastAsiaTheme="minorEastAsia"/>
          <w:noProof/>
          <w:lang w:val="en-IE"/>
        </w:rPr>
        <w:t>designated</w:t>
      </w:r>
      <w:r w:rsidRPr="00FF63D1">
        <w:rPr>
          <w:noProof/>
        </w:rPr>
        <w:t xml:space="preserve"> authority, which would not entail any additional costs and reduce uncertainty over who the designated authority is.</w:t>
      </w:r>
    </w:p>
    <w:p w14:paraId="5EDD7D4E" w14:textId="18387621" w:rsidR="00020031" w:rsidRPr="00FF63D1" w:rsidRDefault="00020031" w:rsidP="008D60DD">
      <w:pPr>
        <w:pStyle w:val="Heading4"/>
        <w:numPr>
          <w:ilvl w:val="0"/>
          <w:numId w:val="0"/>
        </w:numPr>
        <w:ind w:left="864" w:hanging="864"/>
        <w:rPr>
          <w:rFonts w:eastAsia="Times New Roman"/>
          <w:b/>
          <w:noProof/>
          <w:color w:val="000000" w:themeColor="text1"/>
        </w:rPr>
      </w:pPr>
      <w:bookmarkStart w:id="713" w:name="_Hlk212019655"/>
      <w:r w:rsidRPr="008D60DD">
        <w:rPr>
          <w:b/>
          <w:noProof/>
          <w:color w:val="auto"/>
        </w:rPr>
        <w:t xml:space="preserve">Impact on </w:t>
      </w:r>
      <w:r w:rsidR="00981AE5">
        <w:rPr>
          <w:b/>
          <w:noProof/>
          <w:color w:val="auto"/>
        </w:rPr>
        <w:t>i</w:t>
      </w:r>
      <w:r w:rsidRPr="008D60DD">
        <w:rPr>
          <w:b/>
          <w:noProof/>
          <w:color w:val="auto"/>
        </w:rPr>
        <w:t xml:space="preserve">nternational </w:t>
      </w:r>
      <w:r w:rsidR="00981AE5">
        <w:rPr>
          <w:b/>
          <w:noProof/>
          <w:color w:val="auto"/>
        </w:rPr>
        <w:t>t</w:t>
      </w:r>
      <w:r w:rsidRPr="008D60DD">
        <w:rPr>
          <w:b/>
          <w:noProof/>
          <w:color w:val="auto"/>
        </w:rPr>
        <w:t>rade</w:t>
      </w:r>
    </w:p>
    <w:bookmarkEnd w:id="713"/>
    <w:p w14:paraId="460CA918" w14:textId="4D2DAACD" w:rsidR="00020031" w:rsidRPr="00FF63D1" w:rsidRDefault="00020031" w:rsidP="00484657">
      <w:pPr>
        <w:spacing w:before="240"/>
        <w:rPr>
          <w:rFonts w:eastAsia="Times New Roman"/>
          <w:noProof/>
        </w:rPr>
      </w:pPr>
      <w:r w:rsidRPr="00FF63D1">
        <w:rPr>
          <w:rFonts w:eastAsia="Times New Roman"/>
          <w:b/>
          <w:noProof/>
          <w:color w:val="000000" w:themeColor="text1"/>
        </w:rPr>
        <w:t xml:space="preserve">INV 2 – </w:t>
      </w:r>
      <w:r w:rsidRPr="00FF63D1">
        <w:rPr>
          <w:rFonts w:eastAsia="Times New Roman" w:cs="Times New Roman"/>
          <w:noProof/>
          <w:szCs w:val="24"/>
        </w:rPr>
        <w:t xml:space="preserve">In addition to what is described in Section 6 of the Impact Assessment, mandatory </w:t>
      </w:r>
      <w:r w:rsidRPr="00484657">
        <w:rPr>
          <w:noProof/>
        </w:rPr>
        <w:t>conditionalities</w:t>
      </w:r>
      <w:r w:rsidRPr="00FF63D1">
        <w:rPr>
          <w:rFonts w:eastAsia="Times New Roman" w:cs="Times New Roman"/>
          <w:noProof/>
          <w:szCs w:val="24"/>
        </w:rPr>
        <w:t xml:space="preserve"> would have to consider</w:t>
      </w:r>
      <w:r w:rsidRPr="00FF63D1">
        <w:rPr>
          <w:rFonts w:eastAsia="Times New Roman"/>
          <w:noProof/>
        </w:rPr>
        <w:t xml:space="preserve"> the </w:t>
      </w:r>
      <w:r w:rsidRPr="00FF63D1">
        <w:rPr>
          <w:rFonts w:eastAsia="Times New Roman" w:cs="Times New Roman"/>
          <w:noProof/>
          <w:szCs w:val="24"/>
        </w:rPr>
        <w:t>international trade obligations undertaken by the Unio</w:t>
      </w:r>
      <w:r w:rsidRPr="00FF63D1">
        <w:rPr>
          <w:rFonts w:eastAsia="Times New Roman"/>
          <w:noProof/>
        </w:rPr>
        <w:t>n, such as the WTO framework and FTAs. Therefore, any investment conditionality would have to be targeted, proportionate and justified on legitimate grounds to comply with these obligations, while FTA countries would be exempted from the scope of the conditionalities.</w:t>
      </w:r>
      <w:r w:rsidR="00511A27" w:rsidRPr="00FF63D1">
        <w:rPr>
          <w:rFonts w:eastAsia="Times New Roman"/>
          <w:noProof/>
        </w:rPr>
        <w:t xml:space="preserve"> </w:t>
      </w:r>
    </w:p>
    <w:p w14:paraId="6297FA3C" w14:textId="0261EDB8" w:rsidR="00A6388C" w:rsidRPr="00FF63D1" w:rsidRDefault="17F7D3E1" w:rsidP="00D93C85">
      <w:pPr>
        <w:spacing w:after="120"/>
        <w:rPr>
          <w:rFonts w:eastAsia="Times New Roman" w:cs="Times New Roman"/>
          <w:noProof/>
        </w:rPr>
      </w:pPr>
      <w:r w:rsidRPr="00FF63D1">
        <w:rPr>
          <w:rFonts w:eastAsia="Times New Roman" w:cs="Times New Roman"/>
          <w:noProof/>
        </w:rPr>
        <w:t xml:space="preserve">The </w:t>
      </w:r>
      <w:r w:rsidR="145E96B6" w:rsidRPr="00FF63D1">
        <w:rPr>
          <w:rFonts w:eastAsia="Times New Roman" w:cs="Times New Roman"/>
          <w:noProof/>
        </w:rPr>
        <w:t xml:space="preserve">impact of conditionalities on FDI inflow can be inferred from </w:t>
      </w:r>
      <w:r w:rsidRPr="00FF63D1">
        <w:rPr>
          <w:rFonts w:eastAsia="Times New Roman" w:cs="Times New Roman"/>
          <w:noProof/>
        </w:rPr>
        <w:t>an</w:t>
      </w:r>
      <w:r w:rsidR="145E96B6" w:rsidRPr="00FF63D1">
        <w:rPr>
          <w:rFonts w:eastAsia="Times New Roman" w:cs="Times New Roman"/>
          <w:noProof/>
        </w:rPr>
        <w:t xml:space="preserve"> </w:t>
      </w:r>
      <w:r w:rsidR="1675884E" w:rsidRPr="00FF63D1">
        <w:rPr>
          <w:rFonts w:eastAsia="Times New Roman" w:cs="Times New Roman"/>
          <w:noProof/>
        </w:rPr>
        <w:t>example of Chinese investments</w:t>
      </w:r>
      <w:r w:rsidR="145E96B6" w:rsidRPr="00FF63D1">
        <w:rPr>
          <w:rFonts w:eastAsia="Times New Roman" w:cs="Times New Roman"/>
          <w:noProof/>
        </w:rPr>
        <w:t xml:space="preserve"> in the EU. The analysis shows that, although there was an initial reliance on imports from China during the early stages of Chinese greenfield investments, sourcing from European suppliers has gradually increased over time. For example, at the BYD electric bus factory, local supplier sourcing grew from an initial 20% in 2017 (the year the factory opened) to between 30% and 50% by 2019. BYD has also signed supply agreements with other European firms, indicating a willingness to integrate local supply chains into its strategy. Similarly, staffing has gradually shifted towards more local employment. Therefore, FDI conditionalities around </w:t>
      </w:r>
      <w:r w:rsidR="59AA2590">
        <w:rPr>
          <w:rFonts w:eastAsia="Times New Roman" w:cs="Times New Roman"/>
          <w:noProof/>
        </w:rPr>
        <w:t>Made in EU</w:t>
      </w:r>
      <w:r w:rsidR="732D2D6E">
        <w:rPr>
          <w:rFonts w:eastAsia="Times New Roman" w:cs="Times New Roman"/>
          <w:noProof/>
        </w:rPr>
        <w:t xml:space="preserve"> requirements</w:t>
      </w:r>
      <w:r w:rsidR="145E96B6" w:rsidRPr="00FF63D1">
        <w:rPr>
          <w:rFonts w:eastAsia="Times New Roman" w:cs="Times New Roman"/>
          <w:noProof/>
        </w:rPr>
        <w:t xml:space="preserve"> and staff requirements may be effective or acceptable for foreign investors, such as Chinese firms, as they are already being partially implemented.</w:t>
      </w:r>
      <w:r w:rsidR="00A6388C" w:rsidRPr="00FF63D1">
        <w:rPr>
          <w:rStyle w:val="FootnoteReference"/>
          <w:rFonts w:eastAsia="Times New Roman" w:cs="Times New Roman"/>
          <w:noProof/>
        </w:rPr>
        <w:footnoteReference w:id="673"/>
      </w:r>
    </w:p>
    <w:p w14:paraId="1F13537E" w14:textId="77777777" w:rsidR="00BE508E" w:rsidRPr="00AB1DF9" w:rsidRDefault="00BE508E" w:rsidP="00BE508E">
      <w:pPr>
        <w:pStyle w:val="Heading3"/>
        <w:numPr>
          <w:ilvl w:val="0"/>
          <w:numId w:val="0"/>
        </w:numPr>
        <w:spacing w:before="0" w:after="0"/>
        <w:ind w:left="720"/>
      </w:pPr>
      <w:r w:rsidRPr="00AB1DF9">
        <w:rPr>
          <w:b/>
          <w:color w:val="000000" w:themeColor="text1"/>
        </w:rPr>
        <w:t>Social impacts</w:t>
      </w:r>
    </w:p>
    <w:p w14:paraId="4376D221" w14:textId="77777777" w:rsidR="00BE508E" w:rsidRPr="00FF63D1" w:rsidRDefault="00BE508E" w:rsidP="00BE508E">
      <w:pPr>
        <w:rPr>
          <w:rFonts w:eastAsia="Times New Roman"/>
          <w:noProof/>
        </w:rPr>
      </w:pPr>
    </w:p>
    <w:p w14:paraId="53AF5FFC" w14:textId="2D101517" w:rsidR="00A6388C" w:rsidRPr="00FF63D1" w:rsidRDefault="00BE508E" w:rsidP="003D2B37">
      <w:pPr>
        <w:rPr>
          <w:rFonts w:eastAsia="Times New Roman"/>
          <w:noProof/>
        </w:rPr>
      </w:pPr>
      <w:r w:rsidRPr="00FF63D1">
        <w:rPr>
          <w:rFonts w:eastAsia="Times New Roman"/>
          <w:noProof/>
          <w:color w:val="000000" w:themeColor="text1"/>
        </w:rPr>
        <w:t xml:space="preserve">See Section 6 of the Impact Assessment. </w:t>
      </w:r>
    </w:p>
    <w:p w14:paraId="67A541AE" w14:textId="77777777" w:rsidR="00D002BC" w:rsidRPr="00FF63D1" w:rsidRDefault="00D002BC" w:rsidP="003D2B37">
      <w:pPr>
        <w:rPr>
          <w:rFonts w:eastAsia="Times New Roman"/>
          <w:noProof/>
        </w:rPr>
      </w:pPr>
    </w:p>
    <w:p w14:paraId="31701872" w14:textId="4460EF58" w:rsidR="00020031" w:rsidRPr="008D60DD" w:rsidRDefault="00020031" w:rsidP="008D60DD">
      <w:pPr>
        <w:pStyle w:val="Heading3"/>
        <w:numPr>
          <w:ilvl w:val="0"/>
          <w:numId w:val="0"/>
        </w:numPr>
        <w:spacing w:before="0" w:after="0"/>
        <w:ind w:left="720"/>
        <w:rPr>
          <w:i w:val="0"/>
          <w:color w:val="000000" w:themeColor="text1"/>
        </w:rPr>
      </w:pPr>
      <w:bookmarkStart w:id="714" w:name="_Toc207192566"/>
      <w:r w:rsidRPr="008D60DD">
        <w:rPr>
          <w:b/>
          <w:color w:val="000000" w:themeColor="text1"/>
        </w:rPr>
        <w:t>Environmental impacts</w:t>
      </w:r>
      <w:bookmarkEnd w:id="714"/>
    </w:p>
    <w:p w14:paraId="3466AD2C" w14:textId="77777777" w:rsidR="00020031" w:rsidRPr="00FF63D1" w:rsidRDefault="00020031" w:rsidP="003D2B37">
      <w:pPr>
        <w:rPr>
          <w:rFonts w:eastAsia="Times New Roman"/>
          <w:noProof/>
          <w:color w:val="000000" w:themeColor="text1"/>
        </w:rPr>
      </w:pPr>
    </w:p>
    <w:p w14:paraId="620E5011" w14:textId="77777777" w:rsidR="00020031" w:rsidRPr="00913D62" w:rsidRDefault="00020031" w:rsidP="003D2B37">
      <w:pPr>
        <w:rPr>
          <w:noProof/>
          <w:color w:val="000000" w:themeColor="text1"/>
        </w:rPr>
      </w:pPr>
      <w:r w:rsidRPr="00913D62">
        <w:rPr>
          <w:noProof/>
          <w:color w:val="000000" w:themeColor="text1"/>
        </w:rPr>
        <w:t xml:space="preserve">See Section 6 of the Impact Assessment. In addition: </w:t>
      </w:r>
    </w:p>
    <w:p w14:paraId="79F907E3" w14:textId="4C510490" w:rsidR="00020031" w:rsidRPr="008D60DD" w:rsidRDefault="00020031" w:rsidP="003D2B37">
      <w:pPr>
        <w:pStyle w:val="Caption"/>
        <w:keepNext/>
        <w:rPr>
          <w:noProof/>
          <w:highlight w:val="yellow"/>
        </w:rPr>
      </w:pPr>
    </w:p>
    <w:p w14:paraId="38ECBF8D" w14:textId="1E6C373B" w:rsidR="006F4F1E" w:rsidRDefault="00020031" w:rsidP="00D93C85">
      <w:pPr>
        <w:spacing w:after="120"/>
        <w:rPr>
          <w:noProof/>
        </w:rPr>
      </w:pPr>
      <w:r w:rsidRPr="008D60DD">
        <w:rPr>
          <w:noProof/>
        </w:rPr>
        <w:t xml:space="preserve">Positive </w:t>
      </w:r>
      <w:r w:rsidR="004F2D86" w:rsidRPr="00FF63D1">
        <w:rPr>
          <w:noProof/>
        </w:rPr>
        <w:t>impacts on CO2 emissions</w:t>
      </w:r>
      <w:r w:rsidRPr="0087095B">
        <w:rPr>
          <w:noProof/>
        </w:rPr>
        <w:t xml:space="preserve"> for </w:t>
      </w:r>
      <w:r w:rsidRPr="0087095B">
        <w:rPr>
          <w:b/>
          <w:noProof/>
        </w:rPr>
        <w:t>steel and aluminium</w:t>
      </w:r>
      <w:r w:rsidRPr="0087095B">
        <w:rPr>
          <w:noProof/>
        </w:rPr>
        <w:t xml:space="preserve"> are most notably seen in residential buildings, primarily due to differing design and construction approaches between residential and non-residential sectors. In non-residential construction, a steel-concrete skeleton structure is commonly employed for load-bearing functions, featuring reinforced concrete ceilings and steel beams, complemented by prefabricated façade elements that enhance energy efficiency but do not contribute structurally. In contrast, residential buildings tend to use bricks or wood fo</w:t>
      </w:r>
      <w:r>
        <w:rPr>
          <w:noProof/>
        </w:rPr>
        <w:t>r</w:t>
      </w:r>
      <w:r w:rsidRPr="0087095B">
        <w:rPr>
          <w:noProof/>
        </w:rPr>
        <w:t xml:space="preserve"> load-bearing walls, which also enhance energy efficiency, with less frequent use of façade elements. As a result, transitioning to more low-carbon and bio-based solutions is likely to be more appealing and feasible in the residential sector, where these materials and methods are already more familiar.</w:t>
      </w:r>
    </w:p>
    <w:p w14:paraId="74CCAF19" w14:textId="564A8AEF" w:rsidR="00020031" w:rsidRPr="00506565" w:rsidRDefault="00020031" w:rsidP="6293935A">
      <w:pPr>
        <w:spacing w:after="120"/>
        <w:rPr>
          <w:rFonts w:eastAsia="Times New Roman"/>
          <w:noProof/>
        </w:rPr>
      </w:pPr>
      <w:r w:rsidRPr="00FF63D1">
        <w:rPr>
          <w:b/>
          <w:noProof/>
        </w:rPr>
        <w:t>INV 2 -</w:t>
      </w:r>
      <w:r w:rsidRPr="00FF63D1">
        <w:rPr>
          <w:noProof/>
        </w:rPr>
        <w:t xml:space="preserve"> The environmental effects of </w:t>
      </w:r>
      <w:r w:rsidRPr="00FF63D1">
        <w:rPr>
          <w:b/>
          <w:noProof/>
        </w:rPr>
        <w:t>mandatory FDI conditions</w:t>
      </w:r>
      <w:r w:rsidRPr="00FF63D1">
        <w:rPr>
          <w:noProof/>
        </w:rPr>
        <w:t xml:space="preserve"> are expected to be similar to those described under PO1, but likely greater due to the mandatory implementation by Member States.</w:t>
      </w:r>
    </w:p>
    <w:p w14:paraId="6E2059B7" w14:textId="59BA908D" w:rsidR="00151664" w:rsidRPr="00FF63D1" w:rsidRDefault="00151664" w:rsidP="00151664">
      <w:pPr>
        <w:rPr>
          <w:rFonts w:eastAsia="Times New Roman"/>
          <w:noProof/>
        </w:rPr>
      </w:pPr>
      <w:bookmarkStart w:id="715" w:name="_Toc207192567"/>
    </w:p>
    <w:p w14:paraId="35A91FF1" w14:textId="77777777" w:rsidR="00020031" w:rsidRPr="00AB1DF9" w:rsidRDefault="00020031" w:rsidP="000E2FD8">
      <w:pPr>
        <w:pStyle w:val="Heading2"/>
        <w:numPr>
          <w:ilvl w:val="0"/>
          <w:numId w:val="0"/>
        </w:numPr>
        <w:spacing w:before="0" w:after="0"/>
        <w:ind w:left="576"/>
        <w:rPr>
          <w:b w:val="0"/>
          <w:smallCaps/>
        </w:rPr>
      </w:pPr>
      <w:bookmarkStart w:id="716" w:name="_Toc212728875"/>
      <w:bookmarkStart w:id="717" w:name="_Toc212729402"/>
      <w:bookmarkStart w:id="718" w:name="_Toc215506346"/>
      <w:bookmarkStart w:id="719" w:name="_Toc222490054"/>
      <w:r w:rsidRPr="00AB1DF9">
        <w:t>POLICY OPTION 3</w:t>
      </w:r>
      <w:bookmarkEnd w:id="715"/>
      <w:bookmarkEnd w:id="716"/>
      <w:bookmarkEnd w:id="717"/>
      <w:bookmarkEnd w:id="718"/>
      <w:bookmarkEnd w:id="719"/>
    </w:p>
    <w:p w14:paraId="343B21AA" w14:textId="77777777" w:rsidR="00020031" w:rsidRPr="00FF63D1" w:rsidRDefault="00020031" w:rsidP="00505789">
      <w:pPr>
        <w:pStyle w:val="ListParagraph"/>
        <w:ind w:left="851"/>
        <w:rPr>
          <w:rFonts w:eastAsia="Times New Roman"/>
          <w:b/>
          <w:smallCaps/>
          <w:noProof/>
        </w:rPr>
      </w:pPr>
    </w:p>
    <w:p w14:paraId="5B874AAD" w14:textId="77777777" w:rsidR="00020031" w:rsidRPr="00AB1DF9" w:rsidRDefault="00020031" w:rsidP="00311DB3">
      <w:pPr>
        <w:pStyle w:val="Heading3"/>
        <w:numPr>
          <w:ilvl w:val="0"/>
          <w:numId w:val="0"/>
        </w:numPr>
        <w:spacing w:before="0" w:after="0"/>
        <w:ind w:left="720"/>
        <w:rPr>
          <w:rFonts w:cs="Times New Roman"/>
          <w:b/>
        </w:rPr>
      </w:pPr>
      <w:r w:rsidRPr="00AB1DF9">
        <w:rPr>
          <w:rFonts w:cs="Times New Roman"/>
          <w:b/>
        </w:rPr>
        <w:t>Economic impacts</w:t>
      </w:r>
    </w:p>
    <w:p w14:paraId="7048B978" w14:textId="77777777" w:rsidR="00020031" w:rsidRPr="00FF63D1" w:rsidRDefault="00020031" w:rsidP="00505789">
      <w:pPr>
        <w:rPr>
          <w:noProof/>
        </w:rPr>
      </w:pPr>
    </w:p>
    <w:p w14:paraId="31001CA4" w14:textId="77777777" w:rsidR="00020031" w:rsidRPr="00FF63D1" w:rsidRDefault="00020031" w:rsidP="00505789">
      <w:pPr>
        <w:rPr>
          <w:rFonts w:eastAsia="Times New Roman"/>
          <w:noProof/>
          <w:color w:val="000000" w:themeColor="text1"/>
        </w:rPr>
      </w:pPr>
      <w:r w:rsidRPr="00FF63D1">
        <w:rPr>
          <w:rFonts w:eastAsia="Times New Roman"/>
          <w:noProof/>
          <w:color w:val="000000" w:themeColor="text1"/>
        </w:rPr>
        <w:t xml:space="preserve">See Section 6 of the Impact Assessment. In addition: </w:t>
      </w:r>
    </w:p>
    <w:p w14:paraId="6C5796B8" w14:textId="77777777" w:rsidR="00020031" w:rsidRPr="00FF63D1" w:rsidRDefault="00020031" w:rsidP="00505789">
      <w:pPr>
        <w:pStyle w:val="ListParagraph"/>
        <w:ind w:left="360"/>
        <w:rPr>
          <w:rFonts w:eastAsia="Times New Roman"/>
          <w:b/>
          <w:noProof/>
          <w:color w:val="000000" w:themeColor="text1"/>
        </w:rPr>
      </w:pPr>
    </w:p>
    <w:p w14:paraId="773DF432" w14:textId="77777777" w:rsidR="00020031" w:rsidRPr="00FF63D1" w:rsidRDefault="00020031" w:rsidP="0087095B">
      <w:pPr>
        <w:pStyle w:val="Heading4"/>
        <w:numPr>
          <w:ilvl w:val="0"/>
          <w:numId w:val="0"/>
        </w:numPr>
        <w:ind w:left="864" w:hanging="864"/>
        <w:rPr>
          <w:rFonts w:eastAsia="Times New Roman"/>
          <w:b/>
          <w:noProof/>
          <w:color w:val="000000" w:themeColor="text1"/>
        </w:rPr>
      </w:pPr>
      <w:r w:rsidRPr="0087095B">
        <w:rPr>
          <w:b/>
          <w:noProof/>
          <w:color w:val="auto"/>
        </w:rPr>
        <w:t>Impact on companies</w:t>
      </w:r>
    </w:p>
    <w:p w14:paraId="1ECE1CF9" w14:textId="77777777" w:rsidR="00020031" w:rsidRPr="00FF63D1" w:rsidRDefault="00020031" w:rsidP="00505789">
      <w:pPr>
        <w:pStyle w:val="Text2"/>
        <w:tabs>
          <w:tab w:val="clear" w:pos="2302"/>
        </w:tabs>
        <w:spacing w:after="0"/>
        <w:ind w:left="0"/>
        <w:rPr>
          <w:b/>
          <w:noProof/>
        </w:rPr>
      </w:pPr>
    </w:p>
    <w:p w14:paraId="0C14D3CD" w14:textId="7C08DD93" w:rsidR="00C20DC0" w:rsidRDefault="00C20DC0" w:rsidP="00505789">
      <w:pPr>
        <w:pStyle w:val="Text2"/>
        <w:tabs>
          <w:tab w:val="clear" w:pos="2302"/>
        </w:tabs>
        <w:spacing w:after="0"/>
        <w:ind w:left="0"/>
        <w:rPr>
          <w:noProof/>
        </w:rPr>
      </w:pPr>
      <w:r w:rsidRPr="0087095B">
        <w:rPr>
          <w:b/>
          <w:noProof/>
        </w:rPr>
        <w:t xml:space="preserve">LEAD_VC 2 </w:t>
      </w:r>
      <w:r w:rsidRPr="0087095B">
        <w:rPr>
          <w:noProof/>
        </w:rPr>
        <w:t xml:space="preserve">(EU vehicle component suppliers) </w:t>
      </w:r>
    </w:p>
    <w:p w14:paraId="3DC2B515" w14:textId="77777777" w:rsidR="009E7D58" w:rsidRDefault="009E7D58" w:rsidP="00505789">
      <w:pPr>
        <w:pStyle w:val="Text2"/>
        <w:tabs>
          <w:tab w:val="clear" w:pos="2302"/>
        </w:tabs>
        <w:spacing w:after="0"/>
        <w:ind w:left="0"/>
        <w:rPr>
          <w:noProof/>
        </w:rPr>
      </w:pPr>
    </w:p>
    <w:p w14:paraId="52F3DC04" w14:textId="19ABAE86" w:rsidR="0060443E" w:rsidRDefault="0060443E" w:rsidP="0087095B">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622D1D" w:rsidRPr="6293935A">
        <w:rPr>
          <w:noProof/>
        </w:rPr>
        <w:t>27</w:t>
      </w:r>
      <w:r>
        <w:rPr>
          <w:noProof/>
        </w:rPr>
        <w:fldChar w:fldCharType="end"/>
      </w:r>
      <w:r w:rsidR="00616CC6">
        <w:rPr>
          <w:noProof/>
        </w:rPr>
        <w:t xml:space="preserve"> </w:t>
      </w:r>
      <w:r w:rsidR="00FD2DE7">
        <w:rPr>
          <w:noProof/>
        </w:rPr>
        <w:t>Benefits for EU suppliers</w:t>
      </w:r>
      <w:r w:rsidR="00EF6FF6">
        <w:rPr>
          <w:noProof/>
        </w:rPr>
        <w:t xml:space="preserve"> from </w:t>
      </w:r>
      <w:r w:rsidR="00E87A55">
        <w:rPr>
          <w:noProof/>
        </w:rPr>
        <w:t>LEAD_VC</w:t>
      </w:r>
      <w:r w:rsidR="00CF00BD">
        <w:rPr>
          <w:noProof/>
        </w:rPr>
        <w:t xml:space="preserve"> </w:t>
      </w:r>
      <w:r w:rsidR="00E87A55">
        <w:rPr>
          <w:noProof/>
        </w:rPr>
        <w:t>2 measures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4"/>
        <w:gridCol w:w="357"/>
        <w:gridCol w:w="889"/>
        <w:gridCol w:w="896"/>
      </w:tblGrid>
      <w:tr w:rsidR="009E7D58" w:rsidRPr="00FF63D1" w14:paraId="00F39E3A" w14:textId="77777777" w:rsidTr="00E35689">
        <w:trPr>
          <w:trHeight w:val="337"/>
        </w:trPr>
        <w:tc>
          <w:tcPr>
            <w:tcW w:w="5000" w:type="pct"/>
            <w:gridSpan w:val="4"/>
            <w:shd w:val="clear" w:color="auto" w:fill="E2EFDA"/>
            <w:noWrap/>
            <w:vAlign w:val="bottom"/>
            <w:hideMark/>
          </w:tcPr>
          <w:p w14:paraId="5B87B9E6" w14:textId="77777777" w:rsidR="009E7D58" w:rsidRPr="00FF63D1" w:rsidRDefault="009E7D58">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EU supplier</w:t>
            </w:r>
            <w:r>
              <w:rPr>
                <w:rFonts w:ascii="Calibri" w:eastAsia="Times New Roman" w:hAnsi="Calibri" w:cs="Calibri"/>
                <w:b/>
                <w:noProof/>
                <w:color w:val="000000"/>
                <w:sz w:val="22"/>
                <w:lang w:eastAsia="en-IE"/>
              </w:rPr>
              <w:t>s in the “Internal market reaction” scenario</w:t>
            </w:r>
          </w:p>
        </w:tc>
      </w:tr>
      <w:tr w:rsidR="009E7D58" w:rsidRPr="00FF63D1" w14:paraId="21672703" w14:textId="77777777" w:rsidTr="00E35689">
        <w:trPr>
          <w:trHeight w:val="327"/>
        </w:trPr>
        <w:tc>
          <w:tcPr>
            <w:tcW w:w="3812" w:type="pct"/>
            <w:tcBorders>
              <w:left w:val="nil"/>
              <w:right w:val="nil"/>
            </w:tcBorders>
            <w:shd w:val="clear" w:color="auto" w:fill="FFFFFF" w:themeFill="background1"/>
            <w:noWrap/>
            <w:vAlign w:val="bottom"/>
            <w:hideMark/>
          </w:tcPr>
          <w:p w14:paraId="1D09B93D" w14:textId="1E9DF390" w:rsidR="009E7D58" w:rsidRPr="00FF0C9D" w:rsidRDefault="009E7D58">
            <w:pPr>
              <w:jc w:val="left"/>
              <w:rPr>
                <w:rFonts w:ascii="Calibri" w:eastAsia="Times New Roman" w:hAnsi="Calibri" w:cs="Calibri"/>
                <w:noProof/>
                <w:color w:val="000000"/>
                <w:sz w:val="22"/>
                <w:lang w:eastAsia="en-IE"/>
              </w:rPr>
            </w:pPr>
            <w:r w:rsidRPr="00FF63D1">
              <w:rPr>
                <w:rFonts w:ascii="Calibri" w:eastAsia="Times New Roman" w:hAnsi="Calibri" w:cs="Calibri"/>
                <w:b/>
                <w:noProof/>
                <w:color w:val="000000"/>
                <w:sz w:val="22"/>
                <w:lang w:eastAsia="en-IE"/>
              </w:rPr>
              <w:t> </w:t>
            </w:r>
            <w:r w:rsidR="00E05C1A">
              <w:rPr>
                <w:rFonts w:ascii="Calibri" w:eastAsia="Times New Roman" w:hAnsi="Calibri" w:cs="Calibri"/>
                <w:bCs/>
                <w:noProof/>
                <w:color w:val="000000"/>
                <w:sz w:val="22"/>
                <w:lang w:eastAsia="en-IE"/>
              </w:rPr>
              <w:t>In EUR billion</w:t>
            </w:r>
          </w:p>
        </w:tc>
        <w:tc>
          <w:tcPr>
            <w:tcW w:w="198" w:type="pct"/>
            <w:tcBorders>
              <w:left w:val="nil"/>
              <w:right w:val="nil"/>
            </w:tcBorders>
            <w:shd w:val="clear" w:color="auto" w:fill="FFFFFF" w:themeFill="background1"/>
            <w:noWrap/>
            <w:vAlign w:val="bottom"/>
            <w:hideMark/>
          </w:tcPr>
          <w:p w14:paraId="19142C69" w14:textId="77777777" w:rsidR="009E7D58" w:rsidRPr="00FF63D1" w:rsidRDefault="009E7D5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493" w:type="pct"/>
            <w:tcBorders>
              <w:left w:val="nil"/>
              <w:right w:val="nil"/>
            </w:tcBorders>
            <w:shd w:val="clear" w:color="auto" w:fill="FFFFFF" w:themeFill="background1"/>
            <w:noWrap/>
            <w:vAlign w:val="bottom"/>
            <w:hideMark/>
          </w:tcPr>
          <w:p w14:paraId="35F86F8E" w14:textId="77777777" w:rsidR="009E7D58" w:rsidRPr="00FF63D1" w:rsidRDefault="009E7D58">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497" w:type="pct"/>
            <w:tcBorders>
              <w:left w:val="nil"/>
              <w:right w:val="nil"/>
            </w:tcBorders>
            <w:shd w:val="clear" w:color="auto" w:fill="FFFFFF" w:themeFill="background1"/>
            <w:noWrap/>
            <w:vAlign w:val="bottom"/>
            <w:hideMark/>
          </w:tcPr>
          <w:p w14:paraId="16DC6DA6" w14:textId="77777777" w:rsidR="009E7D58" w:rsidRPr="00FF63D1" w:rsidRDefault="009E7D58">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9E7D58" w:rsidRPr="00FF63D1" w14:paraId="7FF12A5D" w14:textId="77777777" w:rsidTr="00E35689">
        <w:trPr>
          <w:trHeight w:val="327"/>
        </w:trPr>
        <w:tc>
          <w:tcPr>
            <w:tcW w:w="3812" w:type="pct"/>
            <w:tcBorders>
              <w:left w:val="nil"/>
              <w:right w:val="nil"/>
            </w:tcBorders>
            <w:shd w:val="clear" w:color="auto" w:fill="FFFFFF" w:themeFill="background1"/>
            <w:noWrap/>
            <w:vAlign w:val="bottom"/>
            <w:hideMark/>
          </w:tcPr>
          <w:p w14:paraId="0D50704A" w14:textId="77777777" w:rsidR="009E7D58" w:rsidRPr="00FF63D1" w:rsidRDefault="009E7D58">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198" w:type="pct"/>
            <w:tcBorders>
              <w:left w:val="nil"/>
              <w:right w:val="nil"/>
            </w:tcBorders>
            <w:shd w:val="clear" w:color="auto" w:fill="FFFFFF" w:themeFill="background1"/>
            <w:noWrap/>
            <w:vAlign w:val="bottom"/>
            <w:hideMark/>
          </w:tcPr>
          <w:p w14:paraId="61F08453" w14:textId="77777777" w:rsidR="009E7D58" w:rsidRPr="00FF63D1" w:rsidRDefault="009E7D58">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493" w:type="pct"/>
            <w:tcBorders>
              <w:left w:val="nil"/>
              <w:right w:val="nil"/>
            </w:tcBorders>
            <w:shd w:val="clear" w:color="auto" w:fill="FFFFFF" w:themeFill="background1"/>
            <w:noWrap/>
            <w:vAlign w:val="bottom"/>
            <w:hideMark/>
          </w:tcPr>
          <w:p w14:paraId="63113BE4" w14:textId="77777777" w:rsidR="009E7D58" w:rsidRPr="00FF63D1" w:rsidRDefault="009E7D5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497" w:type="pct"/>
            <w:tcBorders>
              <w:left w:val="nil"/>
              <w:right w:val="nil"/>
            </w:tcBorders>
            <w:shd w:val="clear" w:color="auto" w:fill="FFFFFF" w:themeFill="background1"/>
            <w:noWrap/>
            <w:vAlign w:val="bottom"/>
            <w:hideMark/>
          </w:tcPr>
          <w:p w14:paraId="27338E91" w14:textId="77777777" w:rsidR="009E7D58" w:rsidRPr="00FF63D1" w:rsidRDefault="009E7D5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r>
      <w:tr w:rsidR="009E7D58" w:rsidRPr="00FF63D1" w14:paraId="43C4BB78" w14:textId="77777777" w:rsidTr="00E35689">
        <w:trPr>
          <w:trHeight w:val="327"/>
        </w:trPr>
        <w:tc>
          <w:tcPr>
            <w:tcW w:w="3812" w:type="pct"/>
            <w:tcBorders>
              <w:left w:val="nil"/>
              <w:right w:val="nil"/>
            </w:tcBorders>
            <w:shd w:val="clear" w:color="auto" w:fill="FFFFFF" w:themeFill="background1"/>
            <w:noWrap/>
            <w:vAlign w:val="bottom"/>
            <w:hideMark/>
          </w:tcPr>
          <w:p w14:paraId="61F31BE2" w14:textId="2DC8B8E0" w:rsidR="009E7D58" w:rsidRPr="00FF63D1" w:rsidRDefault="009E7D58" w:rsidP="009E7D5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 </w:t>
            </w:r>
          </w:p>
        </w:tc>
        <w:tc>
          <w:tcPr>
            <w:tcW w:w="198" w:type="pct"/>
            <w:tcBorders>
              <w:left w:val="nil"/>
              <w:right w:val="nil"/>
            </w:tcBorders>
            <w:shd w:val="clear" w:color="auto" w:fill="FFFFFF" w:themeFill="background1"/>
            <w:noWrap/>
            <w:vAlign w:val="bottom"/>
            <w:hideMark/>
          </w:tcPr>
          <w:p w14:paraId="46818EBC" w14:textId="77777777" w:rsidR="009E7D58" w:rsidRPr="00FF63D1" w:rsidRDefault="009E7D58" w:rsidP="009E7D5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493" w:type="pct"/>
            <w:tcBorders>
              <w:left w:val="nil"/>
              <w:right w:val="nil"/>
            </w:tcBorders>
            <w:shd w:val="clear" w:color="auto" w:fill="FFFFFF" w:themeFill="background1"/>
            <w:noWrap/>
            <w:vAlign w:val="bottom"/>
            <w:hideMark/>
          </w:tcPr>
          <w:p w14:paraId="734D8FC5" w14:textId="5FAF8B61" w:rsidR="009E7D58" w:rsidRPr="00FF63D1" w:rsidRDefault="009E7D58" w:rsidP="009E7D58">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7.0</w:t>
            </w:r>
          </w:p>
        </w:tc>
        <w:tc>
          <w:tcPr>
            <w:tcW w:w="497" w:type="pct"/>
            <w:tcBorders>
              <w:left w:val="nil"/>
              <w:right w:val="nil"/>
            </w:tcBorders>
            <w:shd w:val="clear" w:color="auto" w:fill="FFFFFF" w:themeFill="background1"/>
            <w:noWrap/>
            <w:vAlign w:val="bottom"/>
            <w:hideMark/>
          </w:tcPr>
          <w:p w14:paraId="019171BB" w14:textId="7735C7C2" w:rsidR="009E7D58" w:rsidRPr="00FF63D1" w:rsidRDefault="009E7D58" w:rsidP="009E7D58">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7.1</w:t>
            </w:r>
          </w:p>
        </w:tc>
      </w:tr>
      <w:tr w:rsidR="009E7D58" w:rsidRPr="009E7D58" w14:paraId="4EE49DF9" w14:textId="77777777" w:rsidTr="00E35689">
        <w:trPr>
          <w:trHeight w:val="327"/>
        </w:trPr>
        <w:tc>
          <w:tcPr>
            <w:tcW w:w="3812" w:type="pct"/>
            <w:tcBorders>
              <w:left w:val="nil"/>
              <w:right w:val="nil"/>
            </w:tcBorders>
            <w:shd w:val="clear" w:color="auto" w:fill="FFFFFF" w:themeFill="background1"/>
            <w:noWrap/>
            <w:vAlign w:val="bottom"/>
            <w:hideMark/>
          </w:tcPr>
          <w:p w14:paraId="6D58CEB2" w14:textId="77777777" w:rsidR="009E7D58" w:rsidRPr="0087095B" w:rsidRDefault="009E7D58">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198" w:type="pct"/>
            <w:tcBorders>
              <w:left w:val="nil"/>
              <w:right w:val="nil"/>
            </w:tcBorders>
            <w:shd w:val="clear" w:color="auto" w:fill="FFFFFF" w:themeFill="background1"/>
            <w:noWrap/>
            <w:vAlign w:val="bottom"/>
            <w:hideMark/>
          </w:tcPr>
          <w:p w14:paraId="02FE81BF" w14:textId="77777777" w:rsidR="009E7D58" w:rsidRPr="0087095B" w:rsidRDefault="009E7D58">
            <w:pPr>
              <w:jc w:val="left"/>
              <w:rPr>
                <w:rFonts w:ascii="Calibri" w:eastAsia="Times New Roman" w:hAnsi="Calibri" w:cs="Calibri"/>
                <w:b/>
                <w:i/>
                <w:noProof/>
                <w:color w:val="000000"/>
                <w:sz w:val="22"/>
                <w:lang w:val="fr-BE" w:eastAsia="en-IE"/>
              </w:rPr>
            </w:pPr>
            <w:r w:rsidRPr="0087095B">
              <w:rPr>
                <w:rFonts w:ascii="Calibri" w:eastAsia="Times New Roman" w:hAnsi="Calibri" w:cs="Calibri"/>
                <w:b/>
                <w:i/>
                <w:noProof/>
                <w:color w:val="000000"/>
                <w:sz w:val="22"/>
                <w:lang w:val="fr-BE" w:eastAsia="en-IE"/>
              </w:rPr>
              <w:t> </w:t>
            </w:r>
          </w:p>
        </w:tc>
        <w:tc>
          <w:tcPr>
            <w:tcW w:w="493" w:type="pct"/>
            <w:tcBorders>
              <w:left w:val="nil"/>
              <w:right w:val="nil"/>
            </w:tcBorders>
            <w:shd w:val="clear" w:color="auto" w:fill="FFFFFF" w:themeFill="background1"/>
            <w:noWrap/>
            <w:vAlign w:val="bottom"/>
            <w:hideMark/>
          </w:tcPr>
          <w:p w14:paraId="78C43242" w14:textId="77777777" w:rsidR="009E7D58" w:rsidRPr="0087095B" w:rsidRDefault="009E7D58">
            <w:pPr>
              <w:jc w:val="left"/>
              <w:rPr>
                <w:rFonts w:ascii="Calibri" w:eastAsia="Times New Roman" w:hAnsi="Calibri" w:cs="Calibri"/>
                <w:noProof/>
                <w:color w:val="000000"/>
                <w:sz w:val="22"/>
                <w:lang w:val="fr-BE" w:eastAsia="en-IE"/>
              </w:rPr>
            </w:pPr>
            <w:r w:rsidRPr="0087095B">
              <w:rPr>
                <w:rFonts w:ascii="Calibri" w:eastAsia="Times New Roman" w:hAnsi="Calibri" w:cs="Calibri"/>
                <w:noProof/>
                <w:color w:val="000000"/>
                <w:sz w:val="22"/>
                <w:lang w:val="fr-BE" w:eastAsia="en-IE"/>
              </w:rPr>
              <w:t> </w:t>
            </w:r>
          </w:p>
        </w:tc>
        <w:tc>
          <w:tcPr>
            <w:tcW w:w="497" w:type="pct"/>
            <w:tcBorders>
              <w:left w:val="nil"/>
              <w:right w:val="nil"/>
            </w:tcBorders>
            <w:shd w:val="clear" w:color="auto" w:fill="FFFFFF" w:themeFill="background1"/>
            <w:noWrap/>
            <w:vAlign w:val="bottom"/>
            <w:hideMark/>
          </w:tcPr>
          <w:p w14:paraId="19C8FED3" w14:textId="77777777" w:rsidR="009E7D58" w:rsidRPr="0087095B" w:rsidRDefault="009E7D58">
            <w:pPr>
              <w:jc w:val="left"/>
              <w:rPr>
                <w:rFonts w:ascii="Calibri" w:eastAsia="Times New Roman" w:hAnsi="Calibri" w:cs="Calibri"/>
                <w:noProof/>
                <w:color w:val="000000"/>
                <w:sz w:val="22"/>
                <w:lang w:val="fr-BE" w:eastAsia="en-IE"/>
              </w:rPr>
            </w:pPr>
            <w:r w:rsidRPr="0087095B">
              <w:rPr>
                <w:rFonts w:ascii="Calibri" w:eastAsia="Times New Roman" w:hAnsi="Calibri" w:cs="Calibri"/>
                <w:noProof/>
                <w:color w:val="000000"/>
                <w:sz w:val="22"/>
                <w:lang w:val="fr-BE" w:eastAsia="en-IE"/>
              </w:rPr>
              <w:t> </w:t>
            </w:r>
          </w:p>
        </w:tc>
      </w:tr>
      <w:tr w:rsidR="009E7D58" w:rsidRPr="00FF63D1" w14:paraId="1D4B6A43" w14:textId="77777777" w:rsidTr="00E35689">
        <w:trPr>
          <w:trHeight w:val="327"/>
        </w:trPr>
        <w:tc>
          <w:tcPr>
            <w:tcW w:w="3812" w:type="pct"/>
            <w:tcBorders>
              <w:left w:val="nil"/>
              <w:right w:val="nil"/>
            </w:tcBorders>
            <w:shd w:val="clear" w:color="auto" w:fill="FFFFFF" w:themeFill="background1"/>
            <w:noWrap/>
            <w:vAlign w:val="bottom"/>
            <w:hideMark/>
          </w:tcPr>
          <w:p w14:paraId="338D3193" w14:textId="0869411F" w:rsidR="009E7D58" w:rsidRPr="00FF63D1" w:rsidRDefault="009E7D58" w:rsidP="009E7D58">
            <w:pPr>
              <w:jc w:val="left"/>
              <w:rPr>
                <w:rFonts w:ascii="Calibri" w:eastAsia="Times New Roman" w:hAnsi="Calibri" w:cs="Calibri"/>
                <w:noProof/>
                <w:color w:val="000000"/>
                <w:sz w:val="22"/>
                <w:lang w:eastAsia="en-IE"/>
              </w:rPr>
            </w:pPr>
            <w:r w:rsidRPr="0087095B">
              <w:rPr>
                <w:rFonts w:ascii="Calibri" w:eastAsia="Times New Roman" w:hAnsi="Calibri" w:cs="Calibri"/>
                <w:noProof/>
                <w:color w:val="000000"/>
                <w:sz w:val="22"/>
                <w:lang w:val="fr-BE" w:eastAsia="en-IE"/>
              </w:rPr>
              <w:t xml:space="preserve">   </w:t>
            </w:r>
            <w:r w:rsidRPr="00FF63D1">
              <w:rPr>
                <w:rFonts w:ascii="Calibri" w:eastAsia="Times New Roman" w:hAnsi="Calibri" w:cs="Calibri"/>
                <w:noProof/>
                <w:color w:val="000000"/>
                <w:sz w:val="22"/>
                <w:lang w:eastAsia="en-IE"/>
              </w:rPr>
              <w:t xml:space="preserve">sales increase </w:t>
            </w:r>
          </w:p>
        </w:tc>
        <w:tc>
          <w:tcPr>
            <w:tcW w:w="198" w:type="pct"/>
            <w:tcBorders>
              <w:left w:val="nil"/>
              <w:right w:val="nil"/>
            </w:tcBorders>
            <w:shd w:val="clear" w:color="auto" w:fill="FFFFFF" w:themeFill="background1"/>
            <w:noWrap/>
            <w:vAlign w:val="bottom"/>
            <w:hideMark/>
          </w:tcPr>
          <w:p w14:paraId="4AB39F41" w14:textId="77777777" w:rsidR="009E7D58" w:rsidRPr="00FF63D1" w:rsidRDefault="009E7D58" w:rsidP="009E7D5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493" w:type="pct"/>
            <w:tcBorders>
              <w:left w:val="nil"/>
              <w:right w:val="nil"/>
            </w:tcBorders>
            <w:shd w:val="clear" w:color="auto" w:fill="FFFFFF" w:themeFill="background1"/>
            <w:noWrap/>
            <w:vAlign w:val="bottom"/>
            <w:hideMark/>
          </w:tcPr>
          <w:p w14:paraId="67F16C0F" w14:textId="6CE3356C" w:rsidR="009E7D58" w:rsidRPr="00FF63D1" w:rsidRDefault="009E7D58" w:rsidP="009E7D58">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0.6</w:t>
            </w:r>
          </w:p>
        </w:tc>
        <w:tc>
          <w:tcPr>
            <w:tcW w:w="497" w:type="pct"/>
            <w:tcBorders>
              <w:left w:val="nil"/>
              <w:right w:val="nil"/>
            </w:tcBorders>
            <w:shd w:val="clear" w:color="auto" w:fill="FFFFFF" w:themeFill="background1"/>
            <w:noWrap/>
            <w:vAlign w:val="bottom"/>
            <w:hideMark/>
          </w:tcPr>
          <w:p w14:paraId="33CB676C" w14:textId="0D0FBA4A" w:rsidR="009E7D58" w:rsidRPr="00FF63D1" w:rsidRDefault="009E7D58" w:rsidP="009E7D58">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1.0</w:t>
            </w:r>
          </w:p>
        </w:tc>
      </w:tr>
      <w:tr w:rsidR="009E7D58" w:rsidRPr="00FF63D1" w14:paraId="6D96F5A1" w14:textId="77777777" w:rsidTr="00E35689">
        <w:trPr>
          <w:trHeight w:val="327"/>
        </w:trPr>
        <w:tc>
          <w:tcPr>
            <w:tcW w:w="3812" w:type="pct"/>
            <w:tcBorders>
              <w:left w:val="nil"/>
              <w:right w:val="nil"/>
            </w:tcBorders>
            <w:shd w:val="clear" w:color="auto" w:fill="FFFFFF" w:themeFill="background1"/>
            <w:noWrap/>
            <w:vAlign w:val="bottom"/>
          </w:tcPr>
          <w:p w14:paraId="71383F83" w14:textId="77777777" w:rsidR="009E7D58" w:rsidRPr="009C69FA" w:rsidRDefault="009E7D58">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198" w:type="pct"/>
            <w:tcBorders>
              <w:left w:val="nil"/>
              <w:right w:val="nil"/>
            </w:tcBorders>
            <w:shd w:val="clear" w:color="auto" w:fill="FFFFFF" w:themeFill="background1"/>
            <w:noWrap/>
            <w:vAlign w:val="bottom"/>
          </w:tcPr>
          <w:p w14:paraId="15E9871E" w14:textId="77777777" w:rsidR="009E7D58" w:rsidRPr="00FF63D1" w:rsidRDefault="009E7D58">
            <w:pPr>
              <w:jc w:val="left"/>
              <w:rPr>
                <w:rFonts w:ascii="Calibri" w:eastAsia="Times New Roman" w:hAnsi="Calibri" w:cs="Calibri"/>
                <w:noProof/>
                <w:color w:val="000000"/>
                <w:sz w:val="22"/>
                <w:lang w:eastAsia="en-IE"/>
              </w:rPr>
            </w:pPr>
          </w:p>
        </w:tc>
        <w:tc>
          <w:tcPr>
            <w:tcW w:w="493" w:type="pct"/>
            <w:tcBorders>
              <w:left w:val="nil"/>
              <w:right w:val="nil"/>
            </w:tcBorders>
            <w:shd w:val="clear" w:color="auto" w:fill="FFFFFF" w:themeFill="background1"/>
            <w:noWrap/>
            <w:vAlign w:val="bottom"/>
          </w:tcPr>
          <w:p w14:paraId="3AF14D8F" w14:textId="77777777" w:rsidR="009E7D58" w:rsidRPr="00FF63D1" w:rsidRDefault="009E7D58">
            <w:pPr>
              <w:jc w:val="center"/>
              <w:rPr>
                <w:rFonts w:ascii="Calibri" w:eastAsia="Times New Roman" w:hAnsi="Calibri" w:cs="Calibri"/>
                <w:noProof/>
                <w:color w:val="000000"/>
                <w:sz w:val="22"/>
                <w:lang w:eastAsia="en-IE"/>
              </w:rPr>
            </w:pPr>
          </w:p>
        </w:tc>
        <w:tc>
          <w:tcPr>
            <w:tcW w:w="497" w:type="pct"/>
            <w:tcBorders>
              <w:left w:val="nil"/>
              <w:right w:val="nil"/>
            </w:tcBorders>
            <w:shd w:val="clear" w:color="auto" w:fill="FFFFFF" w:themeFill="background1"/>
            <w:noWrap/>
            <w:vAlign w:val="bottom"/>
          </w:tcPr>
          <w:p w14:paraId="5639419D" w14:textId="77777777" w:rsidR="009E7D58" w:rsidRPr="00FF63D1" w:rsidRDefault="009E7D58">
            <w:pPr>
              <w:jc w:val="center"/>
              <w:rPr>
                <w:rFonts w:ascii="Calibri" w:eastAsia="Times New Roman" w:hAnsi="Calibri" w:cs="Calibri"/>
                <w:noProof/>
                <w:color w:val="000000"/>
                <w:sz w:val="22"/>
                <w:lang w:eastAsia="en-IE"/>
              </w:rPr>
            </w:pPr>
          </w:p>
        </w:tc>
      </w:tr>
      <w:tr w:rsidR="008F561C" w:rsidRPr="00FF63D1" w14:paraId="06E4BDAD" w14:textId="77777777" w:rsidTr="00E35689">
        <w:trPr>
          <w:trHeight w:val="327"/>
        </w:trPr>
        <w:tc>
          <w:tcPr>
            <w:tcW w:w="3812" w:type="pct"/>
            <w:tcBorders>
              <w:left w:val="nil"/>
              <w:right w:val="nil"/>
            </w:tcBorders>
            <w:shd w:val="clear" w:color="auto" w:fill="FFFFFF" w:themeFill="background1"/>
            <w:noWrap/>
            <w:vAlign w:val="bottom"/>
          </w:tcPr>
          <w:p w14:paraId="535A1A46" w14:textId="48F3EA46" w:rsidR="008F561C" w:rsidRPr="009C69FA" w:rsidRDefault="008F561C" w:rsidP="008F561C">
            <w:pPr>
              <w:jc w:val="left"/>
              <w:rPr>
                <w:rFonts w:ascii="Calibri" w:eastAsia="Times New Roman" w:hAnsi="Calibri" w:cs="Calibri"/>
                <w:noProof/>
                <w:color w:val="000000"/>
                <w:sz w:val="22"/>
                <w:lang w:val="fr-BE" w:eastAsia="en-IE"/>
              </w:rPr>
            </w:pPr>
            <w:r w:rsidRPr="0087095B">
              <w:rPr>
                <w:rFonts w:ascii="Calibri" w:eastAsia="Times New Roman" w:hAnsi="Calibri" w:cs="Calibri"/>
                <w:noProof/>
                <w:color w:val="000000"/>
                <w:sz w:val="22"/>
                <w:lang w:val="fr-BE" w:eastAsia="en-IE"/>
              </w:rPr>
              <w:t xml:space="preserve">   </w:t>
            </w:r>
            <w:r w:rsidRPr="00FF63D1">
              <w:rPr>
                <w:rFonts w:ascii="Calibri" w:eastAsia="Times New Roman" w:hAnsi="Calibri" w:cs="Calibri"/>
                <w:noProof/>
                <w:color w:val="000000"/>
                <w:sz w:val="22"/>
                <w:lang w:eastAsia="en-IE"/>
              </w:rPr>
              <w:t xml:space="preserve">sales increase </w:t>
            </w:r>
          </w:p>
        </w:tc>
        <w:tc>
          <w:tcPr>
            <w:tcW w:w="198" w:type="pct"/>
            <w:tcBorders>
              <w:left w:val="nil"/>
              <w:right w:val="nil"/>
            </w:tcBorders>
            <w:shd w:val="clear" w:color="auto" w:fill="FFFFFF" w:themeFill="background1"/>
            <w:noWrap/>
            <w:vAlign w:val="bottom"/>
          </w:tcPr>
          <w:p w14:paraId="42AEC1C7" w14:textId="77777777" w:rsidR="008F561C" w:rsidRPr="00FF63D1" w:rsidRDefault="008F561C" w:rsidP="008F561C">
            <w:pPr>
              <w:jc w:val="left"/>
              <w:rPr>
                <w:rFonts w:ascii="Calibri" w:eastAsia="Times New Roman" w:hAnsi="Calibri" w:cs="Calibri"/>
                <w:noProof/>
                <w:color w:val="000000"/>
                <w:sz w:val="22"/>
                <w:lang w:eastAsia="en-IE"/>
              </w:rPr>
            </w:pPr>
          </w:p>
        </w:tc>
        <w:tc>
          <w:tcPr>
            <w:tcW w:w="493" w:type="pct"/>
            <w:tcBorders>
              <w:left w:val="nil"/>
              <w:right w:val="nil"/>
            </w:tcBorders>
            <w:shd w:val="clear" w:color="auto" w:fill="FFFFFF" w:themeFill="background1"/>
            <w:noWrap/>
            <w:vAlign w:val="bottom"/>
          </w:tcPr>
          <w:p w14:paraId="454CBAAC" w14:textId="0CE2687D" w:rsidR="008F561C" w:rsidRPr="00FF63D1" w:rsidRDefault="008F561C" w:rsidP="008F561C">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0. 23</w:t>
            </w:r>
          </w:p>
        </w:tc>
        <w:tc>
          <w:tcPr>
            <w:tcW w:w="497" w:type="pct"/>
            <w:tcBorders>
              <w:left w:val="nil"/>
              <w:right w:val="nil"/>
            </w:tcBorders>
            <w:shd w:val="clear" w:color="auto" w:fill="FFFFFF" w:themeFill="background1"/>
            <w:noWrap/>
            <w:vAlign w:val="bottom"/>
          </w:tcPr>
          <w:p w14:paraId="2BA227FC" w14:textId="7EDAD8B7" w:rsidR="008F561C" w:rsidRPr="00FF63D1" w:rsidRDefault="008F561C" w:rsidP="008F561C">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0.16</w:t>
            </w:r>
          </w:p>
        </w:tc>
      </w:tr>
    </w:tbl>
    <w:p w14:paraId="10204262" w14:textId="77777777" w:rsidR="009E7D58" w:rsidRDefault="009E7D58" w:rsidP="00505789">
      <w:pPr>
        <w:pStyle w:val="Text2"/>
        <w:tabs>
          <w:tab w:val="clear" w:pos="2302"/>
        </w:tabs>
        <w:spacing w:after="0"/>
        <w:ind w:left="0"/>
        <w:rPr>
          <w:noProof/>
        </w:rPr>
      </w:pPr>
    </w:p>
    <w:p w14:paraId="1ACF0F19" w14:textId="55B2D8FB" w:rsidR="009E7D58" w:rsidRPr="00FF63D1" w:rsidRDefault="009E7D58" w:rsidP="00D93C85">
      <w:pPr>
        <w:spacing w:after="120"/>
        <w:rPr>
          <w:noProof/>
        </w:rPr>
      </w:pPr>
      <w:r w:rsidRPr="00FF63D1">
        <w:rPr>
          <w:noProof/>
        </w:rPr>
        <w:t xml:space="preserve">Similarly to LEAD_VC 1, the introduction of </w:t>
      </w:r>
      <w:r w:rsidR="003413CE">
        <w:rPr>
          <w:noProof/>
        </w:rPr>
        <w:t xml:space="preserve">made in </w:t>
      </w:r>
      <w:r w:rsidRPr="00FF63D1">
        <w:rPr>
          <w:noProof/>
        </w:rPr>
        <w:t>EU requirement for vehicle components of EVs sold in the EU will lead to higher sales of EU components suppliers in the E</w:t>
      </w:r>
      <w:r w:rsidR="00E400FF">
        <w:rPr>
          <w:noProof/>
        </w:rPr>
        <w:t>V manufacturers across all</w:t>
      </w:r>
      <w:r w:rsidR="005448D7">
        <w:rPr>
          <w:noProof/>
        </w:rPr>
        <w:t xml:space="preserve"> vehicle</w:t>
      </w:r>
      <w:r w:rsidR="00E400FF">
        <w:rPr>
          <w:noProof/>
        </w:rPr>
        <w:t xml:space="preserve"> </w:t>
      </w:r>
      <w:r w:rsidRPr="00FF63D1">
        <w:rPr>
          <w:noProof/>
        </w:rPr>
        <w:t>segment</w:t>
      </w:r>
      <w:r w:rsidR="005448D7">
        <w:rPr>
          <w:noProof/>
        </w:rPr>
        <w:t>s</w:t>
      </w:r>
      <w:r w:rsidRPr="00FF63D1">
        <w:rPr>
          <w:noProof/>
        </w:rPr>
        <w:t xml:space="preserve">. </w:t>
      </w:r>
    </w:p>
    <w:p w14:paraId="5186F079" w14:textId="578399B0" w:rsidR="005448D7" w:rsidRDefault="005448D7" w:rsidP="00C20DC0">
      <w:pPr>
        <w:rPr>
          <w:noProof/>
        </w:rPr>
      </w:pPr>
      <w:r>
        <w:rPr>
          <w:noProof/>
        </w:rPr>
        <w:t>T</w:t>
      </w:r>
      <w:r w:rsidR="00C20DC0" w:rsidRPr="00FF63D1">
        <w:rPr>
          <w:noProof/>
        </w:rPr>
        <w:t>he sales of EU suppliers to EV car manufacturers are expected to rise</w:t>
      </w:r>
      <w:r>
        <w:rPr>
          <w:noProof/>
        </w:rPr>
        <w:t>:</w:t>
      </w:r>
    </w:p>
    <w:p w14:paraId="3DDE8A3E" w14:textId="68FF7138" w:rsidR="00C20DC0" w:rsidRPr="00FF63D1" w:rsidRDefault="005448D7" w:rsidP="0087095B">
      <w:pPr>
        <w:pStyle w:val="ListParagraph"/>
        <w:numPr>
          <w:ilvl w:val="0"/>
          <w:numId w:val="134"/>
        </w:numPr>
        <w:rPr>
          <w:noProof/>
        </w:rPr>
      </w:pPr>
      <w:r>
        <w:rPr>
          <w:noProof/>
        </w:rPr>
        <w:t>For passenger cars:</w:t>
      </w:r>
      <w:r w:rsidR="00C20DC0" w:rsidRPr="00FF63D1">
        <w:rPr>
          <w:noProof/>
        </w:rPr>
        <w:t xml:space="preserve"> by </w:t>
      </w:r>
      <w:r w:rsidR="004E00B0" w:rsidRPr="004E00B0">
        <w:rPr>
          <w:noProof/>
        </w:rPr>
        <w:t xml:space="preserve">EUR </w:t>
      </w:r>
      <w:r w:rsidR="00A91D2C" w:rsidRPr="00FF63D1">
        <w:rPr>
          <w:noProof/>
        </w:rPr>
        <w:t xml:space="preserve">7 billion </w:t>
      </w:r>
      <w:r w:rsidR="00C20DC0" w:rsidRPr="00FF63D1">
        <w:rPr>
          <w:noProof/>
        </w:rPr>
        <w:t xml:space="preserve">in 2027 and by </w:t>
      </w:r>
      <w:r w:rsidR="004E00B0" w:rsidRPr="004E00B0">
        <w:rPr>
          <w:noProof/>
        </w:rPr>
        <w:t xml:space="preserve">EUR </w:t>
      </w:r>
      <w:r w:rsidR="00A91D2C" w:rsidRPr="00FF63D1">
        <w:rPr>
          <w:noProof/>
        </w:rPr>
        <w:t xml:space="preserve">7.1 billion </w:t>
      </w:r>
      <w:r w:rsidR="00C20DC0" w:rsidRPr="00FF63D1">
        <w:rPr>
          <w:noProof/>
        </w:rPr>
        <w:t xml:space="preserve">in 2030. </w:t>
      </w:r>
    </w:p>
    <w:p w14:paraId="600B2BB8" w14:textId="1FBC3463" w:rsidR="00A91D2C" w:rsidRPr="00FF63D1" w:rsidRDefault="00B7753B" w:rsidP="0087095B">
      <w:pPr>
        <w:pStyle w:val="ListParagraph"/>
        <w:numPr>
          <w:ilvl w:val="0"/>
          <w:numId w:val="134"/>
        </w:numPr>
        <w:rPr>
          <w:noProof/>
        </w:rPr>
      </w:pPr>
      <w:r>
        <w:rPr>
          <w:noProof/>
        </w:rPr>
        <w:t>For LCVs:</w:t>
      </w:r>
      <w:r w:rsidR="00A91D2C" w:rsidRPr="00FF63D1">
        <w:rPr>
          <w:noProof/>
        </w:rPr>
        <w:t xml:space="preserve"> by </w:t>
      </w:r>
      <w:r w:rsidR="004E00B0" w:rsidRPr="004E00B0">
        <w:rPr>
          <w:noProof/>
        </w:rPr>
        <w:t xml:space="preserve">EUR </w:t>
      </w:r>
      <w:r w:rsidR="00A91D2C" w:rsidRPr="00FF63D1">
        <w:rPr>
          <w:noProof/>
        </w:rPr>
        <w:t xml:space="preserve">0.6 billion in 2027 and by </w:t>
      </w:r>
      <w:r w:rsidR="004E00B0" w:rsidRPr="004E00B0">
        <w:rPr>
          <w:noProof/>
        </w:rPr>
        <w:t xml:space="preserve">EUR </w:t>
      </w:r>
      <w:r w:rsidR="00A91D2C" w:rsidRPr="00FF63D1">
        <w:rPr>
          <w:noProof/>
        </w:rPr>
        <w:t xml:space="preserve">1 billion in 2030. </w:t>
      </w:r>
    </w:p>
    <w:p w14:paraId="61310583" w14:textId="2BD8BA7C" w:rsidR="00B7753B" w:rsidRPr="00FF63D1" w:rsidRDefault="00B7753B" w:rsidP="0087095B">
      <w:pPr>
        <w:pStyle w:val="ListParagraph"/>
        <w:numPr>
          <w:ilvl w:val="0"/>
          <w:numId w:val="134"/>
        </w:numPr>
        <w:rPr>
          <w:noProof/>
        </w:rPr>
      </w:pPr>
      <w:r>
        <w:rPr>
          <w:noProof/>
        </w:rPr>
        <w:t xml:space="preserve">For HDVs: </w:t>
      </w:r>
      <w:r w:rsidRPr="00FF63D1">
        <w:rPr>
          <w:noProof/>
        </w:rPr>
        <w:t xml:space="preserve">by </w:t>
      </w:r>
      <w:r w:rsidR="004E00B0" w:rsidRPr="004E00B0">
        <w:rPr>
          <w:noProof/>
        </w:rPr>
        <w:t xml:space="preserve">EUR </w:t>
      </w:r>
      <w:r w:rsidRPr="00FF63D1">
        <w:rPr>
          <w:noProof/>
        </w:rPr>
        <w:t xml:space="preserve">229.8 million in 2027 and by </w:t>
      </w:r>
      <w:r w:rsidR="004E00B0" w:rsidRPr="004E00B0">
        <w:rPr>
          <w:noProof/>
        </w:rPr>
        <w:t xml:space="preserve">EUR </w:t>
      </w:r>
      <w:r w:rsidRPr="00FF63D1">
        <w:rPr>
          <w:noProof/>
        </w:rPr>
        <w:t xml:space="preserve">156.6 million in 2030. </w:t>
      </w:r>
    </w:p>
    <w:p w14:paraId="3921CC72" w14:textId="30AD69BA" w:rsidR="00B7753B" w:rsidRPr="00FF63D1" w:rsidRDefault="00B7753B" w:rsidP="00A91D2C">
      <w:pPr>
        <w:rPr>
          <w:noProof/>
        </w:rPr>
      </w:pPr>
    </w:p>
    <w:p w14:paraId="64844530" w14:textId="3C5EC662" w:rsidR="00A91D2C" w:rsidRPr="00FF63D1" w:rsidRDefault="00B7753B" w:rsidP="00D93C85">
      <w:pPr>
        <w:spacing w:after="120"/>
        <w:rPr>
          <w:noProof/>
        </w:rPr>
      </w:pPr>
      <w:r w:rsidRPr="00FF63D1">
        <w:rPr>
          <w:noProof/>
        </w:rPr>
        <w:t>The sales increase for EU suppliers come from the sales increase of EU made vehicles and the increase of EU content in those vehicles.</w:t>
      </w:r>
    </w:p>
    <w:p w14:paraId="7CDE941A" w14:textId="579AC8AD" w:rsidR="00A52372" w:rsidRDefault="00020031" w:rsidP="00D93C85">
      <w:pPr>
        <w:spacing w:after="120"/>
        <w:rPr>
          <w:rFonts w:eastAsia="Times New Roman"/>
          <w:noProof/>
        </w:rPr>
      </w:pPr>
      <w:r w:rsidRPr="00FF63D1">
        <w:rPr>
          <w:rFonts w:eastAsia="Times New Roman"/>
          <w:b/>
          <w:noProof/>
        </w:rPr>
        <w:t xml:space="preserve">PERM 3 - </w:t>
      </w:r>
      <w:r w:rsidRPr="00FF63D1">
        <w:rPr>
          <w:rFonts w:eastAsia="Times New Roman"/>
          <w:noProof/>
        </w:rPr>
        <w:t xml:space="preserve">Support for further measures to improve the permitting process was high in the Targeted Consultation, with 72% (45 respondents) of industry respondents in support of facilitating access to grid and relevant energy infrastructure. </w:t>
      </w:r>
      <w:r w:rsidR="00A93C9B">
        <w:rPr>
          <w:rFonts w:eastAsia="Times New Roman"/>
          <w:noProof/>
        </w:rPr>
        <w:t>T</w:t>
      </w:r>
      <w:r w:rsidR="00A93C9B" w:rsidRPr="00FF63D1">
        <w:rPr>
          <w:rFonts w:eastAsia="Times New Roman"/>
          <w:noProof/>
        </w:rPr>
        <w:t>h</w:t>
      </w:r>
      <w:r w:rsidR="00A93C9B">
        <w:rPr>
          <w:rFonts w:eastAsia="Times New Roman"/>
          <w:noProof/>
        </w:rPr>
        <w:t>e creation of these</w:t>
      </w:r>
      <w:r w:rsidR="00A93C9B" w:rsidRPr="00FF63D1">
        <w:rPr>
          <w:rFonts w:eastAsia="Times New Roman"/>
          <w:noProof/>
        </w:rPr>
        <w:t xml:space="preserve"> </w:t>
      </w:r>
      <w:r w:rsidR="00E57E2E">
        <w:rPr>
          <w:rFonts w:eastAsia="Times New Roman"/>
          <w:noProof/>
        </w:rPr>
        <w:t>clusters</w:t>
      </w:r>
      <w:r w:rsidR="00A93C9B">
        <w:rPr>
          <w:rFonts w:eastAsia="Times New Roman"/>
          <w:noProof/>
        </w:rPr>
        <w:t xml:space="preserve"> would </w:t>
      </w:r>
      <w:r w:rsidR="00E57E2E">
        <w:rPr>
          <w:rFonts w:eastAsia="Times New Roman"/>
          <w:noProof/>
        </w:rPr>
        <w:t>promote and facilitate</w:t>
      </w:r>
      <w:r w:rsidR="00A93C9B" w:rsidRPr="00FF63D1">
        <w:rPr>
          <w:rFonts w:eastAsia="Times New Roman"/>
          <w:noProof/>
        </w:rPr>
        <w:t xml:space="preserve"> integrated </w:t>
      </w:r>
      <w:r w:rsidR="00A93C9B">
        <w:rPr>
          <w:rFonts w:eastAsia="Times New Roman"/>
          <w:noProof/>
        </w:rPr>
        <w:t xml:space="preserve">energy </w:t>
      </w:r>
      <w:r w:rsidR="00A93C9B" w:rsidRPr="00FF63D1">
        <w:rPr>
          <w:rFonts w:eastAsia="Times New Roman"/>
          <w:noProof/>
        </w:rPr>
        <w:t>planning for industrial areas</w:t>
      </w:r>
      <w:r w:rsidR="00A93C9B">
        <w:rPr>
          <w:rFonts w:eastAsia="Times New Roman"/>
          <w:noProof/>
        </w:rPr>
        <w:t xml:space="preserve"> </w:t>
      </w:r>
      <w:r w:rsidR="00A93C9B" w:rsidRPr="00FF63D1">
        <w:rPr>
          <w:rFonts w:eastAsia="Times New Roman"/>
          <w:noProof/>
        </w:rPr>
        <w:t>as well as the promotion of partnerships and exchanges of best practices supporting the transition of industrial areas.</w:t>
      </w:r>
    </w:p>
    <w:p w14:paraId="375732BA" w14:textId="15067586" w:rsidR="00020031" w:rsidRPr="00FF63D1" w:rsidRDefault="00020031" w:rsidP="00D93C85">
      <w:pPr>
        <w:spacing w:after="120"/>
        <w:rPr>
          <w:rFonts w:eastAsia="Times New Roman"/>
          <w:noProof/>
        </w:rPr>
      </w:pPr>
      <w:r w:rsidRPr="00FF63D1">
        <w:rPr>
          <w:rFonts w:eastAsia="Times New Roman"/>
          <w:noProof/>
        </w:rPr>
        <w:t>Meanwhile, 64%</w:t>
      </w:r>
      <w:r w:rsidR="000A0E10">
        <w:rPr>
          <w:rFonts w:eastAsia="Times New Roman"/>
          <w:noProof/>
        </w:rPr>
        <w:t xml:space="preserve">, </w:t>
      </w:r>
      <w:r w:rsidRPr="00FF63D1">
        <w:rPr>
          <w:rFonts w:eastAsia="Times New Roman"/>
          <w:noProof/>
        </w:rPr>
        <w:t>40</w:t>
      </w:r>
      <w:r w:rsidR="000A0E10">
        <w:rPr>
          <w:rFonts w:eastAsia="Times New Roman"/>
          <w:noProof/>
        </w:rPr>
        <w:t xml:space="preserve"> respondents to the targeted consultation,</w:t>
      </w:r>
      <w:r w:rsidRPr="00FF63D1">
        <w:rPr>
          <w:rFonts w:eastAsia="Times New Roman"/>
          <w:noProof/>
        </w:rPr>
        <w:t xml:space="preserve"> expressed the need for targeted environmental derogations for industrial clusters and projects.</w:t>
      </w:r>
    </w:p>
    <w:p w14:paraId="47B86970" w14:textId="347701DC" w:rsidR="00B20B17" w:rsidRPr="00FF63D1" w:rsidRDefault="5A69AB24" w:rsidP="00D93C85">
      <w:pPr>
        <w:spacing w:after="120"/>
        <w:rPr>
          <w:noProof/>
        </w:rPr>
      </w:pPr>
      <w:r w:rsidRPr="00FF63D1">
        <w:rPr>
          <w:b/>
          <w:noProof/>
        </w:rPr>
        <w:t>AREA</w:t>
      </w:r>
      <w:r w:rsidR="00020031" w:rsidRPr="00FF63D1">
        <w:rPr>
          <w:b/>
          <w:noProof/>
        </w:rPr>
        <w:t xml:space="preserve"> 2 - </w:t>
      </w:r>
      <w:r w:rsidR="00020031" w:rsidRPr="00FF63D1">
        <w:rPr>
          <w:noProof/>
        </w:rPr>
        <w:t xml:space="preserve">As part of the </w:t>
      </w:r>
      <w:r w:rsidR="00020031" w:rsidRPr="00FF63D1">
        <w:rPr>
          <w:b/>
          <w:noProof/>
        </w:rPr>
        <w:t>Open Public Consultation</w:t>
      </w:r>
      <w:r w:rsidR="00020031" w:rsidRPr="00FF63D1">
        <w:rPr>
          <w:noProof/>
        </w:rPr>
        <w:t>, 63% (197 out of 314 respondents) think that support the introduction of a category of priority industrial decarbonisation projects, supported by targeted benefits, will have a positive effect on their decarbonisation efforts. Priority projects are supported by SMEs (61%) and EII sectors such as steel (66%), cement (56%), chemicals (79%) and fertilisers (100%). The preferred criteria for identifying priority projects were: contribution to industrial decarbonisation (32%, 100 out of 314 respondents), contribution to strategic value chains (64, 20%), contribution to industrial electrification (9, 16%), economic importance (43, 14%) and expected increased demand for outputs (28, 9%). Benefits most preferred by the participants were better access to funding (65% - 117 out of 175), faster permit-granting procedures (113, 67%) and priority status for administrative procedures (113, 65%). Amongst SMEs, 96% (90 out of 94) referred to better access to funding.</w:t>
      </w:r>
    </w:p>
    <w:p w14:paraId="187B1A9E" w14:textId="57C9146F" w:rsidR="002A16BF" w:rsidRPr="00FF63D1" w:rsidRDefault="00020031" w:rsidP="0087095B">
      <w:pPr>
        <w:pStyle w:val="Heading4"/>
        <w:numPr>
          <w:ilvl w:val="0"/>
          <w:numId w:val="0"/>
        </w:numPr>
        <w:rPr>
          <w:noProof/>
        </w:rPr>
      </w:pPr>
      <w:r w:rsidRPr="00FF63D1">
        <w:rPr>
          <w:b/>
          <w:noProof/>
          <w:color w:val="000000" w:themeColor="text1"/>
        </w:rPr>
        <w:t>Impact on downstream sectors</w:t>
      </w:r>
    </w:p>
    <w:p w14:paraId="43E708C6" w14:textId="28381ADF" w:rsidR="00B97D5B" w:rsidRDefault="545C8C3C" w:rsidP="004437C8">
      <w:pPr>
        <w:pStyle w:val="Text2"/>
        <w:tabs>
          <w:tab w:val="clear" w:pos="2302"/>
        </w:tabs>
        <w:spacing w:before="240" w:after="0"/>
        <w:ind w:left="0"/>
        <w:rPr>
          <w:b/>
          <w:noProof/>
          <w:color w:val="000000" w:themeColor="text1"/>
        </w:rPr>
      </w:pPr>
      <w:r w:rsidRPr="00FF63D1">
        <w:rPr>
          <w:b/>
          <w:noProof/>
          <w:color w:val="000000" w:themeColor="text1"/>
        </w:rPr>
        <w:t xml:space="preserve">LEAD_VC 2 </w:t>
      </w:r>
    </w:p>
    <w:p w14:paraId="14A4B582" w14:textId="77777777" w:rsidR="00B97D5B" w:rsidRDefault="00B97D5B" w:rsidP="00505789">
      <w:pPr>
        <w:pStyle w:val="Text2"/>
        <w:tabs>
          <w:tab w:val="clear" w:pos="2302"/>
        </w:tabs>
        <w:spacing w:after="0"/>
        <w:ind w:left="0"/>
        <w:rPr>
          <w:b/>
          <w:noProof/>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9"/>
        <w:gridCol w:w="362"/>
        <w:gridCol w:w="1269"/>
        <w:gridCol w:w="1226"/>
      </w:tblGrid>
      <w:tr w:rsidR="00B97D5B" w:rsidRPr="00FF63D1" w14:paraId="67D7763E" w14:textId="77777777" w:rsidTr="00E35689">
        <w:trPr>
          <w:trHeight w:val="337"/>
        </w:trPr>
        <w:tc>
          <w:tcPr>
            <w:tcW w:w="5000" w:type="pct"/>
            <w:gridSpan w:val="4"/>
            <w:shd w:val="clear" w:color="auto" w:fill="E2EFDA"/>
            <w:noWrap/>
            <w:vAlign w:val="bottom"/>
            <w:hideMark/>
          </w:tcPr>
          <w:p w14:paraId="16C6E8A3" w14:textId="77777777" w:rsidR="00B97D5B" w:rsidRPr="00FF63D1" w:rsidRDefault="00B97D5B">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 xml:space="preserve">EU </w:t>
            </w:r>
            <w:r>
              <w:rPr>
                <w:rFonts w:ascii="Calibri" w:eastAsia="Times New Roman" w:hAnsi="Calibri" w:cs="Calibri"/>
                <w:b/>
                <w:noProof/>
                <w:color w:val="000000"/>
                <w:sz w:val="22"/>
                <w:lang w:eastAsia="en-IE"/>
              </w:rPr>
              <w:t>EV manufacturers in the “Internal market reaction” scenario</w:t>
            </w:r>
          </w:p>
        </w:tc>
      </w:tr>
      <w:tr w:rsidR="00B97D5B" w:rsidRPr="00FF63D1" w14:paraId="70665563" w14:textId="77777777" w:rsidTr="00E35689">
        <w:trPr>
          <w:trHeight w:val="327"/>
        </w:trPr>
        <w:tc>
          <w:tcPr>
            <w:tcW w:w="3415" w:type="pct"/>
            <w:tcBorders>
              <w:left w:val="nil"/>
              <w:right w:val="nil"/>
            </w:tcBorders>
            <w:shd w:val="clear" w:color="auto" w:fill="FFFFFF" w:themeFill="background1"/>
            <w:noWrap/>
            <w:vAlign w:val="bottom"/>
            <w:hideMark/>
          </w:tcPr>
          <w:p w14:paraId="4FE00C97" w14:textId="14803760" w:rsidR="00B97D5B" w:rsidRPr="00FF0C9D" w:rsidRDefault="00B97D5B">
            <w:pPr>
              <w:jc w:val="left"/>
              <w:rPr>
                <w:rFonts w:ascii="Calibri" w:eastAsia="Times New Roman" w:hAnsi="Calibri" w:cs="Calibri"/>
                <w:noProof/>
                <w:color w:val="000000"/>
                <w:sz w:val="22"/>
                <w:lang w:eastAsia="en-IE"/>
              </w:rPr>
            </w:pPr>
            <w:r w:rsidRPr="00FF63D1">
              <w:rPr>
                <w:rFonts w:ascii="Calibri" w:eastAsia="Times New Roman" w:hAnsi="Calibri" w:cs="Calibri"/>
                <w:b/>
                <w:noProof/>
                <w:color w:val="000000"/>
                <w:sz w:val="22"/>
                <w:lang w:eastAsia="en-IE"/>
              </w:rPr>
              <w:t> </w:t>
            </w:r>
            <w:r w:rsidR="00E05C1A">
              <w:rPr>
                <w:rFonts w:ascii="Calibri" w:eastAsia="Times New Roman" w:hAnsi="Calibri" w:cs="Calibri"/>
                <w:bCs/>
                <w:noProof/>
                <w:color w:val="000000"/>
                <w:sz w:val="22"/>
                <w:lang w:eastAsia="en-IE"/>
              </w:rPr>
              <w:t>In EUR billion</w:t>
            </w:r>
          </w:p>
        </w:tc>
        <w:tc>
          <w:tcPr>
            <w:tcW w:w="201" w:type="pct"/>
            <w:tcBorders>
              <w:left w:val="nil"/>
              <w:right w:val="nil"/>
            </w:tcBorders>
            <w:shd w:val="clear" w:color="auto" w:fill="FFFFFF" w:themeFill="background1"/>
            <w:noWrap/>
            <w:vAlign w:val="bottom"/>
            <w:hideMark/>
          </w:tcPr>
          <w:p w14:paraId="614FD9C4" w14:textId="77777777" w:rsidR="00B97D5B" w:rsidRPr="00FF63D1" w:rsidRDefault="00B97D5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4F621708" w14:textId="77777777" w:rsidR="00B97D5B" w:rsidRPr="00FF63D1" w:rsidRDefault="00B97D5B">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680" w:type="pct"/>
            <w:tcBorders>
              <w:left w:val="nil"/>
              <w:right w:val="nil"/>
            </w:tcBorders>
            <w:shd w:val="clear" w:color="auto" w:fill="FFFFFF" w:themeFill="background1"/>
            <w:noWrap/>
            <w:vAlign w:val="bottom"/>
            <w:hideMark/>
          </w:tcPr>
          <w:p w14:paraId="011A7E27" w14:textId="77777777" w:rsidR="00B97D5B" w:rsidRPr="00FF63D1" w:rsidRDefault="00B97D5B">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B97D5B" w:rsidRPr="00FF63D1" w14:paraId="1312074F" w14:textId="77777777" w:rsidTr="00E35689">
        <w:trPr>
          <w:trHeight w:val="327"/>
        </w:trPr>
        <w:tc>
          <w:tcPr>
            <w:tcW w:w="3415" w:type="pct"/>
            <w:tcBorders>
              <w:left w:val="nil"/>
              <w:right w:val="nil"/>
            </w:tcBorders>
            <w:shd w:val="clear" w:color="auto" w:fill="FFFFFF" w:themeFill="background1"/>
            <w:noWrap/>
            <w:vAlign w:val="bottom"/>
            <w:hideMark/>
          </w:tcPr>
          <w:p w14:paraId="20E6B226" w14:textId="77777777" w:rsidR="00B97D5B" w:rsidRPr="00FF63D1" w:rsidRDefault="00B97D5B">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4D4D327F" w14:textId="77777777" w:rsidR="00B97D5B" w:rsidRPr="00FF63D1" w:rsidRDefault="00B97D5B">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2597120C" w14:textId="77777777" w:rsidR="00B97D5B" w:rsidRPr="00FF63D1" w:rsidRDefault="00B97D5B">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hideMark/>
          </w:tcPr>
          <w:p w14:paraId="2F9C1D05" w14:textId="77777777" w:rsidR="00B97D5B" w:rsidRPr="00FF63D1" w:rsidRDefault="00B97D5B">
            <w:pPr>
              <w:jc w:val="center"/>
              <w:rPr>
                <w:rFonts w:ascii="Calibri" w:eastAsia="Times New Roman" w:hAnsi="Calibri" w:cs="Calibri"/>
                <w:noProof/>
                <w:color w:val="000000"/>
                <w:sz w:val="22"/>
                <w:lang w:eastAsia="en-IE"/>
              </w:rPr>
            </w:pPr>
          </w:p>
        </w:tc>
      </w:tr>
      <w:tr w:rsidR="00B97D5B" w:rsidRPr="00FF63D1" w14:paraId="52FC05AF" w14:textId="77777777" w:rsidTr="00E35689">
        <w:trPr>
          <w:trHeight w:val="327"/>
        </w:trPr>
        <w:tc>
          <w:tcPr>
            <w:tcW w:w="3415" w:type="pct"/>
            <w:tcBorders>
              <w:left w:val="nil"/>
              <w:right w:val="nil"/>
            </w:tcBorders>
            <w:shd w:val="clear" w:color="auto" w:fill="FFFFFF" w:themeFill="background1"/>
            <w:noWrap/>
            <w:vAlign w:val="bottom"/>
          </w:tcPr>
          <w:p w14:paraId="35AF27E8" w14:textId="5F2AAAAB" w:rsidR="00B97D5B" w:rsidRDefault="00B97D5B" w:rsidP="00B97D5B">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1B9AD0B1" w14:textId="77777777" w:rsidR="00B97D5B" w:rsidRPr="00FF63D1" w:rsidRDefault="00B97D5B" w:rsidP="00B97D5B">
            <w:pPr>
              <w:jc w:val="left"/>
              <w:rPr>
                <w:rFonts w:ascii="Calibri" w:eastAsia="Times New Roman" w:hAnsi="Calibri" w:cs="Calibri"/>
                <w:b/>
                <w:i/>
                <w:noProof/>
                <w:color w:val="000000"/>
                <w:sz w:val="22"/>
                <w:lang w:eastAsia="en-IE"/>
              </w:rPr>
            </w:pPr>
          </w:p>
        </w:tc>
        <w:tc>
          <w:tcPr>
            <w:tcW w:w="704" w:type="pct"/>
            <w:tcBorders>
              <w:left w:val="nil"/>
              <w:right w:val="nil"/>
            </w:tcBorders>
            <w:shd w:val="clear" w:color="auto" w:fill="FFFFFF" w:themeFill="background1"/>
            <w:noWrap/>
            <w:vAlign w:val="bottom"/>
          </w:tcPr>
          <w:p w14:paraId="1D44CEE0" w14:textId="301E8FFC" w:rsidR="00B97D5B" w:rsidRPr="00FF63D1" w:rsidRDefault="00B97D5B" w:rsidP="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0.0</w:t>
            </w:r>
          </w:p>
        </w:tc>
        <w:tc>
          <w:tcPr>
            <w:tcW w:w="680" w:type="pct"/>
            <w:tcBorders>
              <w:left w:val="nil"/>
              <w:right w:val="nil"/>
            </w:tcBorders>
            <w:shd w:val="clear" w:color="auto" w:fill="FFFFFF" w:themeFill="background1"/>
            <w:noWrap/>
            <w:vAlign w:val="bottom"/>
          </w:tcPr>
          <w:p w14:paraId="73C1202B" w14:textId="03EBAADB" w:rsidR="00B97D5B" w:rsidRPr="00FF63D1" w:rsidRDefault="00B97D5B" w:rsidP="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2.0</w:t>
            </w:r>
          </w:p>
        </w:tc>
      </w:tr>
      <w:tr w:rsidR="00B97D5B" w:rsidRPr="00FF63D1" w14:paraId="3423E9DF" w14:textId="77777777" w:rsidTr="00E35689">
        <w:trPr>
          <w:trHeight w:val="327"/>
        </w:trPr>
        <w:tc>
          <w:tcPr>
            <w:tcW w:w="3415" w:type="pct"/>
            <w:tcBorders>
              <w:left w:val="nil"/>
              <w:right w:val="nil"/>
            </w:tcBorders>
            <w:shd w:val="clear" w:color="auto" w:fill="FFFFFF" w:themeFill="background1"/>
            <w:noWrap/>
            <w:vAlign w:val="bottom"/>
            <w:hideMark/>
          </w:tcPr>
          <w:p w14:paraId="2972F25A" w14:textId="3EA9E0F1" w:rsidR="00B97D5B" w:rsidRPr="00FF63D1" w:rsidRDefault="00B97D5B" w:rsidP="00B97D5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hideMark/>
          </w:tcPr>
          <w:p w14:paraId="39C83020" w14:textId="77777777" w:rsidR="00B97D5B" w:rsidRPr="00FF63D1" w:rsidRDefault="00B97D5B" w:rsidP="00B97D5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4FEB15C3" w14:textId="465ADE67" w:rsidR="00B97D5B" w:rsidRPr="00FF63D1" w:rsidRDefault="00B97D5B" w:rsidP="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14.7</w:t>
            </w:r>
          </w:p>
        </w:tc>
        <w:tc>
          <w:tcPr>
            <w:tcW w:w="680" w:type="pct"/>
            <w:tcBorders>
              <w:left w:val="nil"/>
              <w:right w:val="nil"/>
            </w:tcBorders>
            <w:shd w:val="clear" w:color="auto" w:fill="FFFFFF" w:themeFill="background1"/>
            <w:noWrap/>
            <w:vAlign w:val="bottom"/>
            <w:hideMark/>
          </w:tcPr>
          <w:p w14:paraId="08AEC764" w14:textId="1C0FCD0C" w:rsidR="00B97D5B" w:rsidRPr="00FF63D1" w:rsidRDefault="00B97D5B" w:rsidP="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9.2</w:t>
            </w:r>
          </w:p>
        </w:tc>
      </w:tr>
      <w:tr w:rsidR="00B97D5B" w:rsidRPr="00086326" w14:paraId="6A975CEF" w14:textId="77777777" w:rsidTr="00E35689">
        <w:trPr>
          <w:trHeight w:val="327"/>
        </w:trPr>
        <w:tc>
          <w:tcPr>
            <w:tcW w:w="3415" w:type="pct"/>
            <w:tcBorders>
              <w:left w:val="nil"/>
              <w:right w:val="nil"/>
            </w:tcBorders>
            <w:shd w:val="clear" w:color="auto" w:fill="FFFFFF" w:themeFill="background1"/>
            <w:noWrap/>
            <w:vAlign w:val="bottom"/>
            <w:hideMark/>
          </w:tcPr>
          <w:p w14:paraId="60CFDFBC" w14:textId="77777777" w:rsidR="00B97D5B" w:rsidRPr="00086326" w:rsidRDefault="00B97D5B">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21C71354" w14:textId="77777777" w:rsidR="00B97D5B" w:rsidRPr="00086326" w:rsidRDefault="00B97D5B">
            <w:pPr>
              <w:jc w:val="left"/>
              <w:rPr>
                <w:rFonts w:ascii="Calibri" w:eastAsia="Times New Roman" w:hAnsi="Calibri" w:cs="Calibri"/>
                <w:b/>
                <w:i/>
                <w:noProof/>
                <w:color w:val="000000"/>
                <w:sz w:val="22"/>
                <w:lang w:val="fr-BE" w:eastAsia="en-IE"/>
              </w:rPr>
            </w:pPr>
            <w:r w:rsidRPr="00086326">
              <w:rPr>
                <w:rFonts w:ascii="Calibri" w:eastAsia="Times New Roman" w:hAnsi="Calibri" w:cs="Calibri"/>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6D3D43CC" w14:textId="77777777" w:rsidR="00B97D5B" w:rsidRPr="00086326" w:rsidRDefault="00B97D5B">
            <w:pPr>
              <w:jc w:val="center"/>
              <w:rPr>
                <w:rFonts w:ascii="Calibri" w:eastAsia="Times New Roman" w:hAnsi="Calibri" w:cs="Calibri"/>
                <w:noProof/>
                <w:color w:val="000000"/>
                <w:sz w:val="22"/>
                <w:lang w:val="fr-BE" w:eastAsia="en-IE"/>
              </w:rPr>
            </w:pPr>
          </w:p>
        </w:tc>
        <w:tc>
          <w:tcPr>
            <w:tcW w:w="680" w:type="pct"/>
            <w:tcBorders>
              <w:left w:val="nil"/>
              <w:right w:val="nil"/>
            </w:tcBorders>
            <w:shd w:val="clear" w:color="auto" w:fill="FFFFFF" w:themeFill="background1"/>
            <w:noWrap/>
            <w:vAlign w:val="bottom"/>
            <w:hideMark/>
          </w:tcPr>
          <w:p w14:paraId="625ED17C" w14:textId="77777777" w:rsidR="00B97D5B" w:rsidRPr="00086326" w:rsidRDefault="00B97D5B">
            <w:pPr>
              <w:jc w:val="center"/>
              <w:rPr>
                <w:rFonts w:ascii="Calibri" w:eastAsia="Times New Roman" w:hAnsi="Calibri" w:cs="Calibri"/>
                <w:noProof/>
                <w:color w:val="000000"/>
                <w:sz w:val="22"/>
                <w:lang w:val="fr-BE" w:eastAsia="en-IE"/>
              </w:rPr>
            </w:pPr>
          </w:p>
        </w:tc>
      </w:tr>
      <w:tr w:rsidR="00B97D5B" w:rsidRPr="0026006C" w14:paraId="3FD862D9" w14:textId="77777777" w:rsidTr="00E35689">
        <w:trPr>
          <w:trHeight w:val="327"/>
        </w:trPr>
        <w:tc>
          <w:tcPr>
            <w:tcW w:w="3415" w:type="pct"/>
            <w:tcBorders>
              <w:left w:val="nil"/>
              <w:right w:val="nil"/>
            </w:tcBorders>
            <w:shd w:val="clear" w:color="auto" w:fill="FFFFFF" w:themeFill="background1"/>
            <w:noWrap/>
            <w:vAlign w:val="bottom"/>
          </w:tcPr>
          <w:p w14:paraId="4BD52353" w14:textId="7D452C07" w:rsidR="00B97D5B" w:rsidRDefault="00B97D5B">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4AB91393" w14:textId="77777777" w:rsidR="00B97D5B" w:rsidRPr="0026006C" w:rsidRDefault="00B97D5B">
            <w:pPr>
              <w:jc w:val="left"/>
              <w:rPr>
                <w:rFonts w:ascii="Calibri" w:eastAsia="Times New Roman" w:hAnsi="Calibri" w:cs="Calibri"/>
                <w:b/>
                <w:i/>
                <w:noProof/>
                <w:color w:val="000000"/>
                <w:sz w:val="22"/>
                <w:lang w:val="fr-BE"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3930C1E0" w14:textId="77777777" w:rsidR="00B97D5B" w:rsidRPr="0026006C" w:rsidRDefault="00B97D5B">
            <w:pPr>
              <w:jc w:val="center"/>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0.0</w:t>
            </w:r>
          </w:p>
        </w:tc>
        <w:tc>
          <w:tcPr>
            <w:tcW w:w="680" w:type="pct"/>
            <w:tcBorders>
              <w:left w:val="nil"/>
              <w:right w:val="nil"/>
            </w:tcBorders>
            <w:shd w:val="clear" w:color="auto" w:fill="FFFFFF" w:themeFill="background1"/>
            <w:noWrap/>
            <w:vAlign w:val="bottom"/>
          </w:tcPr>
          <w:p w14:paraId="1E8A6F31" w14:textId="77777777" w:rsidR="00B97D5B" w:rsidRPr="0026006C" w:rsidRDefault="00B97D5B">
            <w:pPr>
              <w:jc w:val="center"/>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0.2</w:t>
            </w:r>
          </w:p>
        </w:tc>
      </w:tr>
      <w:tr w:rsidR="00B97D5B" w:rsidRPr="00FF63D1" w14:paraId="161425F6" w14:textId="77777777" w:rsidTr="00E35689">
        <w:trPr>
          <w:trHeight w:val="327"/>
        </w:trPr>
        <w:tc>
          <w:tcPr>
            <w:tcW w:w="3415" w:type="pct"/>
            <w:tcBorders>
              <w:left w:val="nil"/>
              <w:right w:val="nil"/>
            </w:tcBorders>
            <w:shd w:val="clear" w:color="auto" w:fill="FFFFFF" w:themeFill="background1"/>
            <w:noWrap/>
            <w:vAlign w:val="bottom"/>
            <w:hideMark/>
          </w:tcPr>
          <w:p w14:paraId="6B54F393" w14:textId="445BEA34" w:rsidR="00B97D5B" w:rsidRPr="00FF63D1" w:rsidRDefault="00B97D5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hideMark/>
          </w:tcPr>
          <w:p w14:paraId="351138F4" w14:textId="77777777" w:rsidR="00B97D5B" w:rsidRPr="00FF63D1" w:rsidRDefault="00B97D5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70C2A781" w14:textId="5F28448D" w:rsidR="00B97D5B" w:rsidRPr="00FF63D1" w:rsidRDefault="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1.</w:t>
            </w:r>
            <w:r w:rsidR="0005149E" w:rsidRPr="00FF63D1">
              <w:rPr>
                <w:rFonts w:ascii="Calibri" w:eastAsia="Times New Roman" w:hAnsi="Calibri" w:cs="Calibri"/>
                <w:noProof/>
                <w:color w:val="000000"/>
                <w:sz w:val="22"/>
                <w:lang w:eastAsia="en-IE"/>
              </w:rPr>
              <w:t>5</w:t>
            </w:r>
          </w:p>
        </w:tc>
        <w:tc>
          <w:tcPr>
            <w:tcW w:w="680" w:type="pct"/>
            <w:tcBorders>
              <w:left w:val="nil"/>
              <w:right w:val="nil"/>
            </w:tcBorders>
            <w:shd w:val="clear" w:color="auto" w:fill="FFFFFF" w:themeFill="background1"/>
            <w:noWrap/>
            <w:vAlign w:val="bottom"/>
            <w:hideMark/>
          </w:tcPr>
          <w:p w14:paraId="76A0E8E9" w14:textId="315AA961" w:rsidR="00B97D5B" w:rsidRPr="00FF63D1" w:rsidRDefault="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1.</w:t>
            </w:r>
            <w:r w:rsidR="0005149E" w:rsidRPr="00FF63D1">
              <w:rPr>
                <w:rFonts w:ascii="Calibri" w:eastAsia="Times New Roman" w:hAnsi="Calibri" w:cs="Calibri"/>
                <w:noProof/>
                <w:color w:val="000000"/>
                <w:sz w:val="22"/>
                <w:lang w:eastAsia="en-IE"/>
              </w:rPr>
              <w:t>5</w:t>
            </w:r>
          </w:p>
        </w:tc>
      </w:tr>
      <w:tr w:rsidR="00B97D5B" w:rsidRPr="00FF63D1" w14:paraId="2DD0475D" w14:textId="77777777" w:rsidTr="00E35689">
        <w:trPr>
          <w:trHeight w:val="327"/>
        </w:trPr>
        <w:tc>
          <w:tcPr>
            <w:tcW w:w="3415" w:type="pct"/>
            <w:tcBorders>
              <w:left w:val="nil"/>
              <w:right w:val="nil"/>
            </w:tcBorders>
            <w:shd w:val="clear" w:color="auto" w:fill="FFFFFF" w:themeFill="background1"/>
            <w:noWrap/>
            <w:vAlign w:val="bottom"/>
          </w:tcPr>
          <w:p w14:paraId="1E0116D3" w14:textId="77777777" w:rsidR="00B97D5B" w:rsidRPr="009C69FA" w:rsidRDefault="00B97D5B">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2AD568EE" w14:textId="77777777" w:rsidR="00B97D5B" w:rsidRPr="00FF63D1" w:rsidRDefault="00B97D5B">
            <w:pPr>
              <w:jc w:val="left"/>
              <w:rPr>
                <w:rFonts w:ascii="Calibri" w:eastAsia="Times New Roman" w:hAnsi="Calibri" w:cs="Calibri"/>
                <w:noProof/>
                <w:color w:val="000000"/>
                <w:sz w:val="22"/>
                <w:lang w:eastAsia="en-IE"/>
              </w:rPr>
            </w:pPr>
          </w:p>
        </w:tc>
        <w:tc>
          <w:tcPr>
            <w:tcW w:w="704" w:type="pct"/>
            <w:tcBorders>
              <w:left w:val="nil"/>
              <w:right w:val="nil"/>
            </w:tcBorders>
            <w:shd w:val="clear" w:color="auto" w:fill="FFFFFF" w:themeFill="background1"/>
            <w:noWrap/>
            <w:vAlign w:val="bottom"/>
          </w:tcPr>
          <w:p w14:paraId="582748DA" w14:textId="77777777" w:rsidR="00B97D5B" w:rsidRPr="00FF63D1" w:rsidRDefault="00B97D5B">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tcPr>
          <w:p w14:paraId="7622BD97" w14:textId="77777777" w:rsidR="00B97D5B" w:rsidRPr="00FF63D1" w:rsidRDefault="00B97D5B">
            <w:pPr>
              <w:jc w:val="center"/>
              <w:rPr>
                <w:rFonts w:ascii="Calibri" w:eastAsia="Times New Roman" w:hAnsi="Calibri" w:cs="Calibri"/>
                <w:noProof/>
                <w:color w:val="000000"/>
                <w:sz w:val="22"/>
                <w:lang w:eastAsia="en-IE"/>
              </w:rPr>
            </w:pPr>
          </w:p>
        </w:tc>
      </w:tr>
      <w:tr w:rsidR="00B97D5B" w:rsidRPr="00FF63D1" w14:paraId="3B04F7A1" w14:textId="77777777" w:rsidTr="00E35689">
        <w:trPr>
          <w:trHeight w:val="327"/>
        </w:trPr>
        <w:tc>
          <w:tcPr>
            <w:tcW w:w="3415" w:type="pct"/>
            <w:tcBorders>
              <w:left w:val="nil"/>
              <w:right w:val="nil"/>
            </w:tcBorders>
            <w:shd w:val="clear" w:color="auto" w:fill="FFFFFF" w:themeFill="background1"/>
            <w:noWrap/>
            <w:vAlign w:val="bottom"/>
          </w:tcPr>
          <w:p w14:paraId="2A4E77DA" w14:textId="1534B425" w:rsidR="00B97D5B" w:rsidRDefault="00B97D5B">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1F58C176" w14:textId="77777777" w:rsidR="00B97D5B" w:rsidRPr="00FF63D1" w:rsidRDefault="00B97D5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2B02887C" w14:textId="77777777" w:rsidR="00B97D5B" w:rsidRPr="00FF63D1" w:rsidRDefault="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0.0</w:t>
            </w:r>
          </w:p>
        </w:tc>
        <w:tc>
          <w:tcPr>
            <w:tcW w:w="680" w:type="pct"/>
            <w:tcBorders>
              <w:left w:val="nil"/>
              <w:right w:val="nil"/>
            </w:tcBorders>
            <w:shd w:val="clear" w:color="auto" w:fill="FFFFFF" w:themeFill="background1"/>
            <w:noWrap/>
            <w:vAlign w:val="bottom"/>
          </w:tcPr>
          <w:p w14:paraId="1B3AD4DE" w14:textId="17C5FA9B" w:rsidR="00B97D5B" w:rsidRPr="00FF63D1" w:rsidRDefault="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w:t>
            </w:r>
            <w:r w:rsidR="00C30C62" w:rsidRPr="00FF63D1">
              <w:rPr>
                <w:rFonts w:ascii="Calibri" w:eastAsia="Times New Roman" w:hAnsi="Calibri" w:cs="Calibri"/>
                <w:noProof/>
                <w:color w:val="000000"/>
                <w:sz w:val="22"/>
                <w:lang w:eastAsia="en-IE"/>
              </w:rPr>
              <w:t>16</w:t>
            </w:r>
          </w:p>
        </w:tc>
      </w:tr>
      <w:tr w:rsidR="00B97D5B" w:rsidRPr="00FF63D1" w14:paraId="2FE9303F" w14:textId="77777777" w:rsidTr="00E35689">
        <w:trPr>
          <w:trHeight w:val="327"/>
        </w:trPr>
        <w:tc>
          <w:tcPr>
            <w:tcW w:w="3415" w:type="pct"/>
            <w:tcBorders>
              <w:left w:val="nil"/>
              <w:right w:val="nil"/>
            </w:tcBorders>
            <w:shd w:val="clear" w:color="auto" w:fill="FFFFFF" w:themeFill="background1"/>
            <w:noWrap/>
            <w:vAlign w:val="bottom"/>
          </w:tcPr>
          <w:p w14:paraId="489CB10E" w14:textId="03048F21" w:rsidR="00B97D5B" w:rsidRPr="009C69FA" w:rsidRDefault="00B97D5B">
            <w:pPr>
              <w:jc w:val="left"/>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tcPr>
          <w:p w14:paraId="3E41508F" w14:textId="77777777" w:rsidR="00B97D5B" w:rsidRPr="00FF63D1" w:rsidRDefault="00B97D5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6ABC5C0F" w14:textId="7CAEE177" w:rsidR="00B97D5B" w:rsidRPr="00FF63D1" w:rsidRDefault="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w:t>
            </w:r>
            <w:r w:rsidR="00C30C62" w:rsidRPr="00FF63D1">
              <w:rPr>
                <w:rFonts w:ascii="Calibri" w:eastAsia="Times New Roman" w:hAnsi="Calibri" w:cs="Calibri"/>
                <w:noProof/>
                <w:color w:val="000000"/>
                <w:sz w:val="22"/>
                <w:lang w:eastAsia="en-IE"/>
              </w:rPr>
              <w:t>49</w:t>
            </w:r>
          </w:p>
        </w:tc>
        <w:tc>
          <w:tcPr>
            <w:tcW w:w="680" w:type="pct"/>
            <w:tcBorders>
              <w:left w:val="nil"/>
              <w:right w:val="nil"/>
            </w:tcBorders>
            <w:shd w:val="clear" w:color="auto" w:fill="FFFFFF" w:themeFill="background1"/>
            <w:noWrap/>
            <w:vAlign w:val="bottom"/>
          </w:tcPr>
          <w:p w14:paraId="57248AAF" w14:textId="51DF5D14" w:rsidR="00B97D5B" w:rsidRPr="00FF63D1" w:rsidRDefault="00B97D5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-0.</w:t>
            </w:r>
            <w:r w:rsidR="00C30C62" w:rsidRPr="00FF63D1">
              <w:rPr>
                <w:rFonts w:ascii="Calibri" w:eastAsia="Times New Roman" w:hAnsi="Calibri" w:cs="Calibri"/>
                <w:noProof/>
                <w:color w:val="000000"/>
                <w:sz w:val="22"/>
                <w:lang w:eastAsia="en-IE"/>
              </w:rPr>
              <w:t>0003</w:t>
            </w:r>
          </w:p>
        </w:tc>
      </w:tr>
    </w:tbl>
    <w:p w14:paraId="64F6F1F3" w14:textId="77777777" w:rsidR="00B97D5B" w:rsidRPr="00FF63D1" w:rsidRDefault="00B97D5B" w:rsidP="00505789">
      <w:pPr>
        <w:pStyle w:val="Text2"/>
        <w:tabs>
          <w:tab w:val="clear" w:pos="2302"/>
        </w:tabs>
        <w:spacing w:after="0"/>
        <w:ind w:left="0"/>
        <w:rPr>
          <w:b/>
          <w:noProof/>
          <w:color w:val="000000" w:themeColor="text1"/>
        </w:rPr>
      </w:pPr>
    </w:p>
    <w:p w14:paraId="30812836" w14:textId="70D184A1" w:rsidR="00E04257" w:rsidRPr="00FF63D1" w:rsidRDefault="00B97D5B" w:rsidP="00D93C85">
      <w:pPr>
        <w:spacing w:after="120"/>
        <w:rPr>
          <w:noProof/>
        </w:rPr>
      </w:pPr>
      <w:r>
        <w:rPr>
          <w:noProof/>
        </w:rPr>
        <w:t>Similarly to LEAD_VC 1,</w:t>
      </w:r>
      <w:r w:rsidR="00E04257" w:rsidRPr="00FF63D1">
        <w:rPr>
          <w:noProof/>
        </w:rPr>
        <w:t xml:space="preserve"> given the current 70% EU content, the measure would not lead to any further costs for EU EV manufacturers in 2027</w:t>
      </w:r>
      <w:r w:rsidR="00C30C62">
        <w:rPr>
          <w:noProof/>
        </w:rPr>
        <w:t xml:space="preserve"> across all segments</w:t>
      </w:r>
      <w:r w:rsidR="00E04257" w:rsidRPr="00FF63D1">
        <w:rPr>
          <w:noProof/>
        </w:rPr>
        <w:t>.</w:t>
      </w:r>
    </w:p>
    <w:p w14:paraId="4CB7823C" w14:textId="71B28883" w:rsidR="0005149E" w:rsidRDefault="0005149E" w:rsidP="00E04257">
      <w:pPr>
        <w:rPr>
          <w:noProof/>
        </w:rPr>
      </w:pPr>
      <w:r>
        <w:rPr>
          <w:noProof/>
        </w:rPr>
        <w:t>A</w:t>
      </w:r>
      <w:r w:rsidR="00E04257" w:rsidRPr="00FF63D1">
        <w:rPr>
          <w:noProof/>
        </w:rPr>
        <w:t>s an effect of the measure, EU EV manufacturers w</w:t>
      </w:r>
      <w:r>
        <w:rPr>
          <w:noProof/>
        </w:rPr>
        <w:t>ould</w:t>
      </w:r>
      <w:r w:rsidR="00E04257" w:rsidRPr="00FF63D1">
        <w:rPr>
          <w:noProof/>
        </w:rPr>
        <w:t xml:space="preserve"> benefit from an increase in sales</w:t>
      </w:r>
      <w:r w:rsidR="00C30C62">
        <w:rPr>
          <w:noProof/>
        </w:rPr>
        <w:t xml:space="preserve"> of</w:t>
      </w:r>
      <w:r>
        <w:rPr>
          <w:noProof/>
        </w:rPr>
        <w:t>:</w:t>
      </w:r>
      <w:r w:rsidR="00E04257" w:rsidRPr="00FF63D1">
        <w:rPr>
          <w:noProof/>
        </w:rPr>
        <w:t xml:space="preserve"> </w:t>
      </w:r>
    </w:p>
    <w:p w14:paraId="3ACEAC70" w14:textId="17268362" w:rsidR="0005149E" w:rsidRDefault="0005149E" w:rsidP="0087095B">
      <w:pPr>
        <w:pStyle w:val="ListParagraph"/>
        <w:numPr>
          <w:ilvl w:val="0"/>
          <w:numId w:val="135"/>
        </w:numPr>
        <w:rPr>
          <w:noProof/>
        </w:rPr>
      </w:pPr>
      <w:r>
        <w:rPr>
          <w:noProof/>
        </w:rPr>
        <w:t>For passenger cars:</w:t>
      </w:r>
      <w:r w:rsidR="00E04257" w:rsidRPr="00FF63D1">
        <w:rPr>
          <w:noProof/>
        </w:rPr>
        <w:t xml:space="preserve"> </w:t>
      </w:r>
      <w:r w:rsidR="004E00B0" w:rsidRPr="004E00B0">
        <w:rPr>
          <w:noProof/>
        </w:rPr>
        <w:t xml:space="preserve">EUR </w:t>
      </w:r>
      <w:r w:rsidR="005C0924" w:rsidRPr="00FF63D1">
        <w:rPr>
          <w:noProof/>
        </w:rPr>
        <w:t>14.7 billion in 2027.</w:t>
      </w:r>
    </w:p>
    <w:p w14:paraId="425C4704" w14:textId="7110A6E9" w:rsidR="0005149E" w:rsidRDefault="0005149E" w:rsidP="0087095B">
      <w:pPr>
        <w:pStyle w:val="ListParagraph"/>
        <w:numPr>
          <w:ilvl w:val="0"/>
          <w:numId w:val="135"/>
        </w:numPr>
        <w:rPr>
          <w:noProof/>
        </w:rPr>
      </w:pPr>
      <w:r>
        <w:rPr>
          <w:noProof/>
        </w:rPr>
        <w:t xml:space="preserve">For LCVs: </w:t>
      </w:r>
      <w:r w:rsidR="004E00B0" w:rsidRPr="004E00B0">
        <w:rPr>
          <w:noProof/>
        </w:rPr>
        <w:t xml:space="preserve">EUR </w:t>
      </w:r>
      <w:r w:rsidRPr="00FF63D1">
        <w:rPr>
          <w:noProof/>
        </w:rPr>
        <w:t>1.5 billion in 2027.</w:t>
      </w:r>
      <w:r w:rsidR="00760CE8">
        <w:rPr>
          <w:noProof/>
        </w:rPr>
        <w:t xml:space="preserve"> </w:t>
      </w:r>
    </w:p>
    <w:p w14:paraId="033148A9" w14:textId="717A260C" w:rsidR="009F5BD9" w:rsidRDefault="009F5BD9" w:rsidP="0087095B">
      <w:pPr>
        <w:pStyle w:val="ListParagraph"/>
        <w:numPr>
          <w:ilvl w:val="0"/>
          <w:numId w:val="135"/>
        </w:numPr>
        <w:rPr>
          <w:noProof/>
        </w:rPr>
      </w:pPr>
      <w:r>
        <w:rPr>
          <w:noProof/>
        </w:rPr>
        <w:t xml:space="preserve">For HDVs: </w:t>
      </w:r>
      <w:r w:rsidR="004E00B0" w:rsidRPr="004E00B0">
        <w:rPr>
          <w:noProof/>
        </w:rPr>
        <w:t xml:space="preserve">EUR </w:t>
      </w:r>
      <w:r w:rsidRPr="00FF63D1">
        <w:rPr>
          <w:noProof/>
        </w:rPr>
        <w:t>495.7 million in 2027.</w:t>
      </w:r>
      <w:r w:rsidR="00760CE8">
        <w:rPr>
          <w:noProof/>
        </w:rPr>
        <w:t xml:space="preserve"> </w:t>
      </w:r>
    </w:p>
    <w:p w14:paraId="0ECE30DC" w14:textId="77777777" w:rsidR="0005149E" w:rsidRDefault="0005149E" w:rsidP="00E04257">
      <w:pPr>
        <w:rPr>
          <w:noProof/>
        </w:rPr>
      </w:pPr>
    </w:p>
    <w:p w14:paraId="2B6A3912" w14:textId="604F1111" w:rsidR="00C30C62" w:rsidRDefault="0005149E" w:rsidP="00D93C85">
      <w:pPr>
        <w:spacing w:after="120"/>
        <w:rPr>
          <w:noProof/>
        </w:rPr>
      </w:pPr>
      <w:r>
        <w:rPr>
          <w:noProof/>
        </w:rPr>
        <w:t xml:space="preserve">However, </w:t>
      </w:r>
      <w:r w:rsidR="005F3121">
        <w:rPr>
          <w:noProof/>
        </w:rPr>
        <w:t>to</w:t>
      </w:r>
      <w:r>
        <w:rPr>
          <w:noProof/>
        </w:rPr>
        <w:t xml:space="preserve"> comply with the </w:t>
      </w:r>
      <w:r w:rsidR="00C30C62">
        <w:rPr>
          <w:noProof/>
        </w:rPr>
        <w:t xml:space="preserve">75% </w:t>
      </w:r>
      <w:r w:rsidR="005C0924" w:rsidRPr="00FF63D1" w:rsidDel="00C30C62">
        <w:rPr>
          <w:noProof/>
        </w:rPr>
        <w:t>target</w:t>
      </w:r>
      <w:r w:rsidR="005C0924" w:rsidRPr="00FF63D1">
        <w:rPr>
          <w:noProof/>
        </w:rPr>
        <w:t xml:space="preserve"> proposed for 2030, EU EV manufacturers will face a relative cost increase of</w:t>
      </w:r>
      <w:r w:rsidR="00C30C62">
        <w:rPr>
          <w:noProof/>
        </w:rPr>
        <w:t>:</w:t>
      </w:r>
    </w:p>
    <w:p w14:paraId="16179A47" w14:textId="521A18A9" w:rsidR="00E04257" w:rsidRPr="00FF63D1" w:rsidRDefault="00C30C62" w:rsidP="00201504">
      <w:pPr>
        <w:pStyle w:val="ListParagraph"/>
        <w:numPr>
          <w:ilvl w:val="0"/>
          <w:numId w:val="136"/>
        </w:numPr>
        <w:rPr>
          <w:noProof/>
        </w:rPr>
      </w:pPr>
      <w:r>
        <w:rPr>
          <w:noProof/>
        </w:rPr>
        <w:t xml:space="preserve">For passenger cars: </w:t>
      </w:r>
      <w:r w:rsidR="005C0924">
        <w:rPr>
          <w:noProof/>
        </w:rPr>
        <w:t xml:space="preserve">In order to comply with the 75% target proposed for 2030, EU EV manufacturers will face a relative cost increase of 2 billion, </w:t>
      </w:r>
      <w:r>
        <w:rPr>
          <w:noProof/>
        </w:rPr>
        <w:t>projected</w:t>
      </w:r>
      <w:r w:rsidR="005C0924">
        <w:rPr>
          <w:noProof/>
        </w:rPr>
        <w:t xml:space="preserve"> to be offset by the </w:t>
      </w:r>
      <w:r w:rsidR="004E00B0" w:rsidRPr="004E00B0">
        <w:rPr>
          <w:noProof/>
        </w:rPr>
        <w:t xml:space="preserve">EUR </w:t>
      </w:r>
      <w:r w:rsidR="005C0924">
        <w:rPr>
          <w:noProof/>
        </w:rPr>
        <w:t>9.2</w:t>
      </w:r>
      <w:r w:rsidR="00E04257">
        <w:rPr>
          <w:noProof/>
        </w:rPr>
        <w:t xml:space="preserve"> billion increase in sales.</w:t>
      </w:r>
    </w:p>
    <w:p w14:paraId="286207DB" w14:textId="00BF8ECB" w:rsidR="00C30C62" w:rsidRDefault="00C30C62" w:rsidP="005B09EC">
      <w:pPr>
        <w:pStyle w:val="ListParagraph"/>
        <w:numPr>
          <w:ilvl w:val="0"/>
          <w:numId w:val="136"/>
        </w:numPr>
        <w:rPr>
          <w:noProof/>
        </w:rPr>
      </w:pPr>
      <w:r>
        <w:rPr>
          <w:noProof/>
        </w:rPr>
        <w:t xml:space="preserve">For LCVs: 0.2 billion, expected to be offset by the </w:t>
      </w:r>
      <w:r w:rsidR="004E00B0" w:rsidRPr="004E00B0">
        <w:rPr>
          <w:noProof/>
        </w:rPr>
        <w:t xml:space="preserve">EUR </w:t>
      </w:r>
      <w:r>
        <w:rPr>
          <w:noProof/>
        </w:rPr>
        <w:t>1.5 billion increase in sales.</w:t>
      </w:r>
    </w:p>
    <w:p w14:paraId="35598C90" w14:textId="61BA591A" w:rsidR="009F5BD9" w:rsidRPr="00FF63D1" w:rsidRDefault="009F5BD9" w:rsidP="005B09EC">
      <w:pPr>
        <w:pStyle w:val="ListParagraph"/>
        <w:numPr>
          <w:ilvl w:val="0"/>
          <w:numId w:val="136"/>
        </w:numPr>
        <w:rPr>
          <w:noProof/>
        </w:rPr>
      </w:pPr>
      <w:r>
        <w:rPr>
          <w:noProof/>
        </w:rPr>
        <w:t xml:space="preserve">For HDVs: </w:t>
      </w:r>
      <w:r w:rsidRPr="00FF63D1">
        <w:rPr>
          <w:noProof/>
        </w:rPr>
        <w:t xml:space="preserve">157 million euro. This cost increase is going to be accompanied by a minor sales reduction (-0.3 million euro). </w:t>
      </w:r>
    </w:p>
    <w:p w14:paraId="0737C62C" w14:textId="4329F727" w:rsidR="00C30C62" w:rsidRPr="00FF63D1" w:rsidRDefault="00C30C62" w:rsidP="00C30C62">
      <w:pPr>
        <w:rPr>
          <w:noProof/>
        </w:rPr>
      </w:pPr>
    </w:p>
    <w:p w14:paraId="24BC67A4" w14:textId="342EFD13" w:rsidR="00E04257" w:rsidRPr="00FF63D1" w:rsidRDefault="00E04257" w:rsidP="00D93C85">
      <w:pPr>
        <w:spacing w:after="120"/>
        <w:rPr>
          <w:noProof/>
        </w:rPr>
      </w:pPr>
      <w:r w:rsidRPr="00FF63D1">
        <w:rPr>
          <w:noProof/>
        </w:rPr>
        <w:t xml:space="preserve">The relative price advantage of EU EV HDVs (as opposed to non-EU EV HDVs) determined by the measure in the initial years after its introduction, leads to increased sales in the period between 2027 and 2029, and these increased sales are larger than (and could potentially offset) the assumed increased cost. </w:t>
      </w:r>
    </w:p>
    <w:p w14:paraId="72CFB66F" w14:textId="263C9386" w:rsidR="00A25DD6" w:rsidRDefault="002F6950" w:rsidP="002F6950">
      <w:pPr>
        <w:rPr>
          <w:rFonts w:eastAsia="Times New Roman"/>
          <w:i/>
          <w:iCs/>
          <w:noProof/>
        </w:rPr>
      </w:pPr>
      <w:r w:rsidRPr="00086326">
        <w:rPr>
          <w:rFonts w:eastAsia="Times New Roman"/>
          <w:i/>
          <w:iCs/>
          <w:noProof/>
        </w:rPr>
        <w:t xml:space="preserve">Global Added Value: </w:t>
      </w:r>
    </w:p>
    <w:tbl>
      <w:tblPr>
        <w:tblW w:w="5000" w:type="pct"/>
        <w:tblLook w:val="04A0" w:firstRow="1" w:lastRow="0" w:firstColumn="1" w:lastColumn="0" w:noHBand="0" w:noVBand="1"/>
      </w:tblPr>
      <w:tblGrid>
        <w:gridCol w:w="7081"/>
        <w:gridCol w:w="303"/>
        <w:gridCol w:w="815"/>
        <w:gridCol w:w="817"/>
      </w:tblGrid>
      <w:tr w:rsidR="00A65C37" w:rsidRPr="00A65C37" w14:paraId="421DA36F" w14:textId="77777777" w:rsidTr="00E35689">
        <w:trPr>
          <w:trHeight w:val="290"/>
        </w:trPr>
        <w:tc>
          <w:tcPr>
            <w:tcW w:w="5000" w:type="pct"/>
            <w:gridSpan w:val="4"/>
            <w:tcBorders>
              <w:top w:val="single" w:sz="4" w:space="0" w:color="auto"/>
              <w:left w:val="single" w:sz="4" w:space="0" w:color="auto"/>
              <w:bottom w:val="single" w:sz="4" w:space="0" w:color="auto"/>
              <w:right w:val="single" w:sz="4" w:space="0" w:color="000000"/>
            </w:tcBorders>
            <w:shd w:val="clear" w:color="000000" w:fill="E2EFDA"/>
            <w:noWrap/>
            <w:vAlign w:val="bottom"/>
            <w:hideMark/>
          </w:tcPr>
          <w:p w14:paraId="54B51619" w14:textId="72BC15E0" w:rsidR="00A65C37" w:rsidRPr="00A65C37" w:rsidRDefault="00A65C37" w:rsidP="00A65C37">
            <w:pPr>
              <w:jc w:val="center"/>
              <w:rPr>
                <w:rFonts w:ascii="Calibri" w:eastAsia="Times New Roman" w:hAnsi="Calibri" w:cs="Calibri"/>
                <w:b/>
                <w:bCs/>
                <w:noProof/>
                <w:color w:val="000000"/>
                <w:sz w:val="22"/>
                <w:lang w:val="en-IE" w:eastAsia="en-IE"/>
              </w:rPr>
            </w:pPr>
            <w:r w:rsidRPr="00A65C37">
              <w:rPr>
                <w:rFonts w:ascii="Calibri" w:eastAsia="Times New Roman" w:hAnsi="Calibri" w:cs="Calibri"/>
                <w:b/>
                <w:bCs/>
                <w:noProof/>
                <w:color w:val="000000"/>
                <w:sz w:val="22"/>
                <w:lang w:val="en-IE" w:eastAsia="en-IE"/>
              </w:rPr>
              <w:t>Value Added</w:t>
            </w:r>
            <w:r w:rsidR="000B538E">
              <w:rPr>
                <w:rFonts w:ascii="Calibri" w:eastAsia="Times New Roman" w:hAnsi="Calibri" w:cs="Calibri"/>
                <w:b/>
                <w:bCs/>
                <w:noProof/>
                <w:color w:val="000000"/>
                <w:sz w:val="22"/>
                <w:lang w:val="en-IE" w:eastAsia="en-IE"/>
              </w:rPr>
              <w:t xml:space="preserve"> in EUR billion</w:t>
            </w:r>
          </w:p>
        </w:tc>
      </w:tr>
      <w:tr w:rsidR="008E37E5" w:rsidRPr="00A65C37" w14:paraId="5999133B" w14:textId="77777777" w:rsidTr="00E35689">
        <w:trPr>
          <w:trHeight w:val="290"/>
        </w:trPr>
        <w:tc>
          <w:tcPr>
            <w:tcW w:w="3927" w:type="pct"/>
            <w:tcBorders>
              <w:top w:val="nil"/>
              <w:left w:val="nil"/>
              <w:bottom w:val="single" w:sz="4" w:space="0" w:color="auto"/>
              <w:right w:val="nil"/>
            </w:tcBorders>
            <w:shd w:val="clear" w:color="000000" w:fill="FFFFFF"/>
            <w:noWrap/>
            <w:vAlign w:val="bottom"/>
            <w:hideMark/>
          </w:tcPr>
          <w:p w14:paraId="767483A5" w14:textId="3E99183B" w:rsidR="00A65C37" w:rsidRPr="00A65C37" w:rsidRDefault="00A65C37" w:rsidP="00A65C37">
            <w:pPr>
              <w:jc w:val="left"/>
              <w:rPr>
                <w:rFonts w:ascii="Calibri" w:eastAsia="Times New Roman" w:hAnsi="Calibri" w:cs="Calibri"/>
                <w:b/>
                <w:bCs/>
                <w:i/>
                <w:iCs/>
                <w:noProof/>
                <w:color w:val="000000"/>
                <w:sz w:val="22"/>
                <w:lang w:val="en-IE" w:eastAsia="en-IE"/>
              </w:rPr>
            </w:pPr>
            <w:r w:rsidRPr="00A65C37">
              <w:rPr>
                <w:rFonts w:ascii="Calibri" w:eastAsia="Times New Roman" w:hAnsi="Calibri" w:cs="Calibri"/>
                <w:b/>
                <w:bCs/>
                <w:i/>
                <w:iCs/>
                <w:noProof/>
                <w:color w:val="000000"/>
                <w:sz w:val="22"/>
                <w:lang w:val="en-IE" w:eastAsia="en-IE"/>
              </w:rPr>
              <w:t>Internal market reaction</w:t>
            </w:r>
          </w:p>
        </w:tc>
        <w:tc>
          <w:tcPr>
            <w:tcW w:w="168" w:type="pct"/>
            <w:tcBorders>
              <w:top w:val="nil"/>
              <w:left w:val="nil"/>
              <w:bottom w:val="nil"/>
              <w:right w:val="nil"/>
            </w:tcBorders>
            <w:noWrap/>
            <w:vAlign w:val="bottom"/>
            <w:hideMark/>
          </w:tcPr>
          <w:p w14:paraId="6EEB3F75" w14:textId="77777777" w:rsidR="00A65C37" w:rsidRPr="00A65C37" w:rsidRDefault="00A65C37" w:rsidP="00A65C37">
            <w:pPr>
              <w:jc w:val="left"/>
              <w:rPr>
                <w:rFonts w:ascii="Calibri" w:eastAsia="Times New Roman" w:hAnsi="Calibri" w:cs="Calibri"/>
                <w:b/>
                <w:bCs/>
                <w:i/>
                <w:iCs/>
                <w:noProof/>
                <w:color w:val="000000"/>
                <w:sz w:val="22"/>
                <w:lang w:val="en-IE" w:eastAsia="en-IE"/>
              </w:rPr>
            </w:pPr>
          </w:p>
        </w:tc>
        <w:tc>
          <w:tcPr>
            <w:tcW w:w="452" w:type="pct"/>
            <w:tcBorders>
              <w:top w:val="nil"/>
              <w:left w:val="nil"/>
              <w:bottom w:val="nil"/>
              <w:right w:val="nil"/>
            </w:tcBorders>
            <w:noWrap/>
            <w:vAlign w:val="bottom"/>
            <w:hideMark/>
          </w:tcPr>
          <w:p w14:paraId="51EE68B5" w14:textId="6A5F4A84" w:rsidR="00A65C37" w:rsidRPr="00A65C37" w:rsidRDefault="00A65C37" w:rsidP="00A65C37">
            <w:pPr>
              <w:jc w:val="left"/>
              <w:rPr>
                <w:rFonts w:eastAsia="Times New Roman" w:cs="Times New Roman"/>
                <w:noProof/>
                <w:sz w:val="20"/>
                <w:szCs w:val="20"/>
                <w:lang w:val="en-IE" w:eastAsia="en-IE"/>
              </w:rPr>
            </w:pPr>
            <w:r w:rsidRPr="00A65C37">
              <w:rPr>
                <w:rFonts w:ascii="Calibri" w:eastAsia="Times New Roman" w:hAnsi="Calibri" w:cs="Calibri"/>
                <w:b/>
                <w:bCs/>
                <w:noProof/>
                <w:color w:val="000000"/>
                <w:sz w:val="22"/>
                <w:lang w:val="en-IE" w:eastAsia="en-IE"/>
              </w:rPr>
              <w:t>2027</w:t>
            </w:r>
          </w:p>
        </w:tc>
        <w:tc>
          <w:tcPr>
            <w:tcW w:w="452" w:type="pct"/>
            <w:tcBorders>
              <w:top w:val="nil"/>
              <w:left w:val="nil"/>
              <w:bottom w:val="nil"/>
              <w:right w:val="nil"/>
            </w:tcBorders>
            <w:noWrap/>
            <w:vAlign w:val="bottom"/>
            <w:hideMark/>
          </w:tcPr>
          <w:p w14:paraId="4233D5AD" w14:textId="64BA8C7B" w:rsidR="00A65C37" w:rsidRPr="00A65C37" w:rsidRDefault="00A65C37" w:rsidP="00A65C37">
            <w:pPr>
              <w:jc w:val="left"/>
              <w:rPr>
                <w:rFonts w:eastAsia="Times New Roman" w:cs="Times New Roman"/>
                <w:noProof/>
                <w:sz w:val="20"/>
                <w:szCs w:val="20"/>
                <w:lang w:val="en-IE" w:eastAsia="en-IE"/>
              </w:rPr>
            </w:pPr>
            <w:r w:rsidRPr="00A65C37">
              <w:rPr>
                <w:rFonts w:ascii="Calibri" w:eastAsia="Times New Roman" w:hAnsi="Calibri" w:cs="Calibri"/>
                <w:b/>
                <w:bCs/>
                <w:noProof/>
                <w:color w:val="000000"/>
                <w:sz w:val="22"/>
                <w:lang w:val="en-IE" w:eastAsia="en-IE"/>
              </w:rPr>
              <w:t>2030</w:t>
            </w:r>
          </w:p>
        </w:tc>
      </w:tr>
      <w:tr w:rsidR="00A65C37" w:rsidRPr="00A65C37" w14:paraId="3DDD997C" w14:textId="77777777" w:rsidTr="00E35689">
        <w:trPr>
          <w:trHeight w:val="290"/>
        </w:trPr>
        <w:tc>
          <w:tcPr>
            <w:tcW w:w="3927" w:type="pct"/>
            <w:tcBorders>
              <w:top w:val="nil"/>
              <w:left w:val="nil"/>
              <w:bottom w:val="nil"/>
              <w:right w:val="nil"/>
            </w:tcBorders>
            <w:shd w:val="clear" w:color="000000" w:fill="FFFFFF"/>
            <w:noWrap/>
            <w:vAlign w:val="bottom"/>
            <w:hideMark/>
          </w:tcPr>
          <w:p w14:paraId="60839FEA" w14:textId="515706C5" w:rsidR="00A65C37" w:rsidRPr="00A65C37" w:rsidRDefault="00A65C37" w:rsidP="00A65C37">
            <w:pPr>
              <w:jc w:val="left"/>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 xml:space="preserve">   automotive</w:t>
            </w:r>
          </w:p>
        </w:tc>
        <w:tc>
          <w:tcPr>
            <w:tcW w:w="168" w:type="pct"/>
            <w:tcBorders>
              <w:top w:val="nil"/>
              <w:left w:val="nil"/>
              <w:bottom w:val="nil"/>
              <w:right w:val="nil"/>
            </w:tcBorders>
            <w:shd w:val="clear" w:color="000000" w:fill="FFFFFF"/>
            <w:noWrap/>
            <w:vAlign w:val="bottom"/>
            <w:hideMark/>
          </w:tcPr>
          <w:p w14:paraId="349AB9E9" w14:textId="77777777" w:rsidR="00A65C37" w:rsidRPr="00A65C37" w:rsidRDefault="00A65C37" w:rsidP="00A65C37">
            <w:pPr>
              <w:jc w:val="left"/>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 </w:t>
            </w:r>
          </w:p>
        </w:tc>
        <w:tc>
          <w:tcPr>
            <w:tcW w:w="452" w:type="pct"/>
            <w:tcBorders>
              <w:top w:val="nil"/>
              <w:left w:val="nil"/>
              <w:bottom w:val="nil"/>
              <w:right w:val="nil"/>
            </w:tcBorders>
            <w:shd w:val="clear" w:color="000000" w:fill="FFFFFF"/>
            <w:noWrap/>
            <w:vAlign w:val="bottom"/>
            <w:hideMark/>
          </w:tcPr>
          <w:p w14:paraId="2EDAFAAF"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3.6</w:t>
            </w:r>
          </w:p>
        </w:tc>
        <w:tc>
          <w:tcPr>
            <w:tcW w:w="452" w:type="pct"/>
            <w:tcBorders>
              <w:top w:val="nil"/>
              <w:left w:val="nil"/>
              <w:bottom w:val="nil"/>
              <w:right w:val="nil"/>
            </w:tcBorders>
            <w:shd w:val="clear" w:color="000000" w:fill="FFFFFF"/>
            <w:noWrap/>
            <w:vAlign w:val="bottom"/>
            <w:hideMark/>
          </w:tcPr>
          <w:p w14:paraId="21CFD9A7"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2.2</w:t>
            </w:r>
          </w:p>
        </w:tc>
      </w:tr>
      <w:tr w:rsidR="00A65C37" w:rsidRPr="00A65C37" w14:paraId="7E28011B" w14:textId="77777777" w:rsidTr="00E35689">
        <w:trPr>
          <w:trHeight w:val="290"/>
        </w:trPr>
        <w:tc>
          <w:tcPr>
            <w:tcW w:w="3927" w:type="pct"/>
            <w:tcBorders>
              <w:top w:val="nil"/>
              <w:left w:val="nil"/>
              <w:bottom w:val="nil"/>
              <w:right w:val="nil"/>
            </w:tcBorders>
            <w:shd w:val="clear" w:color="000000" w:fill="FFFFFF"/>
            <w:noWrap/>
            <w:vAlign w:val="bottom"/>
            <w:hideMark/>
          </w:tcPr>
          <w:p w14:paraId="7955FE43" w14:textId="7ECE0B2D" w:rsidR="00A65C37" w:rsidRPr="00A65C37" w:rsidRDefault="00A65C37" w:rsidP="00A65C37">
            <w:pPr>
              <w:jc w:val="left"/>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 xml:space="preserve">   intermediate</w:t>
            </w:r>
          </w:p>
        </w:tc>
        <w:tc>
          <w:tcPr>
            <w:tcW w:w="168" w:type="pct"/>
            <w:tcBorders>
              <w:top w:val="nil"/>
              <w:left w:val="nil"/>
              <w:bottom w:val="nil"/>
              <w:right w:val="nil"/>
            </w:tcBorders>
            <w:shd w:val="clear" w:color="000000" w:fill="FFFFFF"/>
            <w:noWrap/>
            <w:vAlign w:val="bottom"/>
            <w:hideMark/>
          </w:tcPr>
          <w:p w14:paraId="730856D5" w14:textId="77777777" w:rsidR="00A65C37" w:rsidRPr="00A65C37" w:rsidRDefault="00A65C37" w:rsidP="00A65C37">
            <w:pPr>
              <w:jc w:val="left"/>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 </w:t>
            </w:r>
          </w:p>
        </w:tc>
        <w:tc>
          <w:tcPr>
            <w:tcW w:w="452" w:type="pct"/>
            <w:tcBorders>
              <w:top w:val="nil"/>
              <w:left w:val="nil"/>
              <w:bottom w:val="nil"/>
              <w:right w:val="nil"/>
            </w:tcBorders>
            <w:shd w:val="clear" w:color="000000" w:fill="FFFFFF"/>
            <w:noWrap/>
            <w:vAlign w:val="bottom"/>
            <w:hideMark/>
          </w:tcPr>
          <w:p w14:paraId="21F82B62"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3.0</w:t>
            </w:r>
          </w:p>
        </w:tc>
        <w:tc>
          <w:tcPr>
            <w:tcW w:w="452" w:type="pct"/>
            <w:tcBorders>
              <w:top w:val="nil"/>
              <w:left w:val="nil"/>
              <w:bottom w:val="nil"/>
              <w:right w:val="nil"/>
            </w:tcBorders>
            <w:shd w:val="clear" w:color="000000" w:fill="FFFFFF"/>
            <w:noWrap/>
            <w:vAlign w:val="bottom"/>
            <w:hideMark/>
          </w:tcPr>
          <w:p w14:paraId="48A507C6"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3.1</w:t>
            </w:r>
          </w:p>
        </w:tc>
      </w:tr>
      <w:tr w:rsidR="00A65C37" w:rsidRPr="00A65C37" w14:paraId="35DFD84D" w14:textId="77777777" w:rsidTr="00E35689">
        <w:trPr>
          <w:trHeight w:val="290"/>
        </w:trPr>
        <w:tc>
          <w:tcPr>
            <w:tcW w:w="4095" w:type="pct"/>
            <w:gridSpan w:val="2"/>
            <w:tcBorders>
              <w:top w:val="nil"/>
              <w:left w:val="nil"/>
              <w:bottom w:val="nil"/>
              <w:right w:val="nil"/>
            </w:tcBorders>
            <w:shd w:val="clear" w:color="000000" w:fill="FFFFFF"/>
            <w:noWrap/>
            <w:vAlign w:val="bottom"/>
            <w:hideMark/>
          </w:tcPr>
          <w:p w14:paraId="5FBF6244" w14:textId="4514E2E5" w:rsidR="00A65C37" w:rsidRPr="00A65C37" w:rsidRDefault="00A65C37" w:rsidP="00A65C37">
            <w:pPr>
              <w:jc w:val="left"/>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 xml:space="preserve">   Global value added - Only first round of Value Chain</w:t>
            </w:r>
          </w:p>
        </w:tc>
        <w:tc>
          <w:tcPr>
            <w:tcW w:w="452" w:type="pct"/>
            <w:tcBorders>
              <w:top w:val="nil"/>
              <w:left w:val="nil"/>
              <w:bottom w:val="nil"/>
              <w:right w:val="nil"/>
            </w:tcBorders>
            <w:shd w:val="clear" w:color="000000" w:fill="FFFFFF"/>
            <w:noWrap/>
            <w:vAlign w:val="bottom"/>
            <w:hideMark/>
          </w:tcPr>
          <w:p w14:paraId="4C29B57A"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6.6</w:t>
            </w:r>
          </w:p>
        </w:tc>
        <w:tc>
          <w:tcPr>
            <w:tcW w:w="452" w:type="pct"/>
            <w:tcBorders>
              <w:top w:val="nil"/>
              <w:left w:val="nil"/>
              <w:bottom w:val="nil"/>
              <w:right w:val="nil"/>
            </w:tcBorders>
            <w:shd w:val="clear" w:color="000000" w:fill="FFFFFF"/>
            <w:noWrap/>
            <w:vAlign w:val="bottom"/>
            <w:hideMark/>
          </w:tcPr>
          <w:p w14:paraId="7723DCF0"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5.4</w:t>
            </w:r>
          </w:p>
        </w:tc>
      </w:tr>
      <w:tr w:rsidR="00A65C37" w:rsidRPr="00A65C37" w14:paraId="5D69FCEE" w14:textId="77777777" w:rsidTr="00E35689">
        <w:trPr>
          <w:trHeight w:val="290"/>
        </w:trPr>
        <w:tc>
          <w:tcPr>
            <w:tcW w:w="4095" w:type="pct"/>
            <w:gridSpan w:val="2"/>
            <w:tcBorders>
              <w:top w:val="nil"/>
              <w:left w:val="nil"/>
              <w:bottom w:val="single" w:sz="4" w:space="0" w:color="auto"/>
              <w:right w:val="nil"/>
            </w:tcBorders>
            <w:shd w:val="clear" w:color="000000" w:fill="FFFFFF"/>
            <w:noWrap/>
            <w:vAlign w:val="bottom"/>
            <w:hideMark/>
          </w:tcPr>
          <w:p w14:paraId="6779D837" w14:textId="4CE83B65" w:rsidR="00A65C37" w:rsidRPr="00A65C37" w:rsidRDefault="00A65C37" w:rsidP="00A65C37">
            <w:pPr>
              <w:jc w:val="left"/>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 xml:space="preserve">   Global value added - Estimated all Value Chain</w:t>
            </w:r>
          </w:p>
        </w:tc>
        <w:tc>
          <w:tcPr>
            <w:tcW w:w="452" w:type="pct"/>
            <w:tcBorders>
              <w:top w:val="nil"/>
              <w:left w:val="nil"/>
              <w:bottom w:val="single" w:sz="4" w:space="0" w:color="auto"/>
              <w:right w:val="nil"/>
            </w:tcBorders>
            <w:shd w:val="clear" w:color="000000" w:fill="FFFFFF"/>
            <w:noWrap/>
            <w:vAlign w:val="bottom"/>
            <w:hideMark/>
          </w:tcPr>
          <w:p w14:paraId="48689271"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12.6</w:t>
            </w:r>
          </w:p>
        </w:tc>
        <w:tc>
          <w:tcPr>
            <w:tcW w:w="452" w:type="pct"/>
            <w:tcBorders>
              <w:top w:val="nil"/>
              <w:left w:val="nil"/>
              <w:bottom w:val="single" w:sz="4" w:space="0" w:color="auto"/>
              <w:right w:val="nil"/>
            </w:tcBorders>
            <w:shd w:val="clear" w:color="000000" w:fill="FFFFFF"/>
            <w:noWrap/>
            <w:vAlign w:val="bottom"/>
            <w:hideMark/>
          </w:tcPr>
          <w:p w14:paraId="6EC6D86F" w14:textId="77777777" w:rsidR="00A65C37" w:rsidRPr="00A65C37" w:rsidRDefault="00A65C37" w:rsidP="00A65C37">
            <w:pPr>
              <w:jc w:val="center"/>
              <w:rPr>
                <w:rFonts w:ascii="Calibri" w:eastAsia="Times New Roman" w:hAnsi="Calibri" w:cs="Calibri"/>
                <w:noProof/>
                <w:color w:val="000000"/>
                <w:sz w:val="22"/>
                <w:lang w:val="en-IE" w:eastAsia="en-IE"/>
              </w:rPr>
            </w:pPr>
            <w:r w:rsidRPr="00A65C37">
              <w:rPr>
                <w:rFonts w:ascii="Calibri" w:eastAsia="Times New Roman" w:hAnsi="Calibri" w:cs="Calibri"/>
                <w:noProof/>
                <w:color w:val="000000"/>
                <w:sz w:val="22"/>
                <w:lang w:val="en-IE" w:eastAsia="en-IE"/>
              </w:rPr>
              <w:t>11.5</w:t>
            </w:r>
          </w:p>
        </w:tc>
      </w:tr>
    </w:tbl>
    <w:p w14:paraId="0EE06D17" w14:textId="77777777" w:rsidR="00A25DD6" w:rsidRDefault="00A25DD6" w:rsidP="00A25DD6">
      <w:pPr>
        <w:rPr>
          <w:rFonts w:eastAsia="Times New Roman"/>
          <w:noProof/>
        </w:rPr>
      </w:pPr>
    </w:p>
    <w:p w14:paraId="7F193E4E" w14:textId="03D3FE7C" w:rsidR="00717089" w:rsidRPr="00892F25" w:rsidRDefault="00717089" w:rsidP="00D93C85">
      <w:pPr>
        <w:spacing w:after="120"/>
        <w:rPr>
          <w:rFonts w:eastAsia="Times New Roman"/>
          <w:noProof/>
          <w:lang w:val="en-IE"/>
        </w:rPr>
      </w:pPr>
      <w:r>
        <w:rPr>
          <w:rFonts w:eastAsia="Times New Roman"/>
          <w:noProof/>
        </w:rPr>
        <w:t>The</w:t>
      </w:r>
      <w:r w:rsidRPr="00175716">
        <w:rPr>
          <w:rFonts w:eastAsia="Times New Roman"/>
          <w:noProof/>
        </w:rPr>
        <w:t xml:space="preserve"> measure is projected to lead to the generation of EUR </w:t>
      </w:r>
      <w:r>
        <w:rPr>
          <w:rFonts w:eastAsia="Times New Roman"/>
          <w:noProof/>
        </w:rPr>
        <w:t>6.6</w:t>
      </w:r>
      <w:r w:rsidRPr="00175716">
        <w:rPr>
          <w:rFonts w:eastAsia="Times New Roman"/>
          <w:noProof/>
        </w:rPr>
        <w:t xml:space="preserve"> billion Global Value Added in 2027 and EUR </w:t>
      </w:r>
      <w:r>
        <w:rPr>
          <w:rFonts w:eastAsia="Times New Roman"/>
          <w:noProof/>
        </w:rPr>
        <w:t xml:space="preserve">5.4 </w:t>
      </w:r>
      <w:r w:rsidRPr="00175716">
        <w:rPr>
          <w:rFonts w:eastAsia="Times New Roman"/>
          <w:noProof/>
        </w:rPr>
        <w:t xml:space="preserve">billion in 2030 when assessing the impact, taking into account </w:t>
      </w:r>
      <w:r w:rsidRPr="00890760">
        <w:rPr>
          <w:rFonts w:eastAsia="Times New Roman"/>
          <w:noProof/>
        </w:rPr>
        <w:t>only the first tier of the value chain</w:t>
      </w:r>
      <w:r>
        <w:rPr>
          <w:rFonts w:eastAsia="Times New Roman"/>
          <w:noProof/>
        </w:rPr>
        <w:t>.</w:t>
      </w:r>
      <w:r w:rsidR="005B09EC" w:rsidRPr="00890760">
        <w:rPr>
          <w:rFonts w:eastAsia="Times New Roman"/>
          <w:noProof/>
        </w:rPr>
        <w:t xml:space="preserve"> Similarly to</w:t>
      </w:r>
      <w:r w:rsidR="003736C2">
        <w:rPr>
          <w:rFonts w:eastAsia="Times New Roman"/>
          <w:noProof/>
        </w:rPr>
        <w:t xml:space="preserve"> </w:t>
      </w:r>
      <w:r w:rsidR="00D068CE">
        <w:rPr>
          <w:rFonts w:eastAsia="Times New Roman"/>
          <w:noProof/>
        </w:rPr>
        <w:t>the first policy option</w:t>
      </w:r>
      <w:r w:rsidR="00890760">
        <w:rPr>
          <w:rFonts w:eastAsia="Times New Roman"/>
          <w:noProof/>
        </w:rPr>
        <w:t>,</w:t>
      </w:r>
      <w:r w:rsidR="005A345A">
        <w:rPr>
          <w:rFonts w:eastAsia="Times New Roman"/>
          <w:noProof/>
        </w:rPr>
        <w:t xml:space="preserve"> in</w:t>
      </w:r>
      <w:r w:rsidR="00890760">
        <w:rPr>
          <w:rFonts w:eastAsia="Times New Roman"/>
          <w:noProof/>
        </w:rPr>
        <w:t xml:space="preserve"> LEAD_VC</w:t>
      </w:r>
      <w:r w:rsidR="00CF00BD">
        <w:rPr>
          <w:rFonts w:eastAsia="Times New Roman"/>
          <w:noProof/>
        </w:rPr>
        <w:t xml:space="preserve"> </w:t>
      </w:r>
      <w:r w:rsidR="00890760">
        <w:rPr>
          <w:rFonts w:eastAsia="Times New Roman"/>
          <w:noProof/>
        </w:rPr>
        <w:t>2</w:t>
      </w:r>
      <w:r w:rsidR="005B09EC" w:rsidRPr="00890760">
        <w:rPr>
          <w:rFonts w:eastAsia="Times New Roman"/>
          <w:noProof/>
        </w:rPr>
        <w:t xml:space="preserve"> the positive impacts can also be </w:t>
      </w:r>
      <w:r w:rsidR="00AA3C6C" w:rsidRPr="00890760">
        <w:rPr>
          <w:rFonts w:eastAsia="Times New Roman"/>
          <w:noProof/>
        </w:rPr>
        <w:t>perceived throughout the value chain for intermediate inputs</w:t>
      </w:r>
      <w:r w:rsidR="008C734F">
        <w:rPr>
          <w:rFonts w:eastAsia="Times New Roman"/>
          <w:noProof/>
        </w:rPr>
        <w:t>, reaching</w:t>
      </w:r>
      <w:r w:rsidR="005A345A">
        <w:rPr>
          <w:rFonts w:eastAsia="Times New Roman"/>
          <w:noProof/>
        </w:rPr>
        <w:t xml:space="preserve"> this time higher benefits, </w:t>
      </w:r>
      <w:r w:rsidR="008C734F">
        <w:rPr>
          <w:rFonts w:eastAsia="Times New Roman"/>
          <w:noProof/>
        </w:rPr>
        <w:t>EUR 12.6 billion</w:t>
      </w:r>
      <w:r w:rsidR="00D07548">
        <w:rPr>
          <w:rFonts w:eastAsia="Times New Roman"/>
          <w:noProof/>
        </w:rPr>
        <w:t xml:space="preserve"> in 2027, and EUR 11.5 billion in 2030</w:t>
      </w:r>
      <w:r w:rsidR="00890760">
        <w:rPr>
          <w:rFonts w:eastAsia="Times New Roman"/>
          <w:noProof/>
        </w:rPr>
        <w:t xml:space="preserve"> in value added. </w:t>
      </w:r>
    </w:p>
    <w:p w14:paraId="1F038983" w14:textId="77777777" w:rsidR="005D46F7" w:rsidRPr="00FF63D1" w:rsidRDefault="005D46F7" w:rsidP="0087095B">
      <w:pPr>
        <w:pStyle w:val="Heading4"/>
        <w:numPr>
          <w:ilvl w:val="0"/>
          <w:numId w:val="0"/>
        </w:numPr>
        <w:ind w:left="864" w:hanging="864"/>
        <w:rPr>
          <w:rFonts w:eastAsia="Times New Roman" w:cs="Times New Roman"/>
          <w:b/>
          <w:noProof/>
          <w:color w:val="000000" w:themeColor="text1"/>
        </w:rPr>
      </w:pPr>
      <w:r w:rsidRPr="0087095B">
        <w:rPr>
          <w:b/>
          <w:noProof/>
          <w:color w:val="auto"/>
        </w:rPr>
        <w:t>Impact on consumers and citizens</w:t>
      </w:r>
    </w:p>
    <w:p w14:paraId="7A04DE6A" w14:textId="77777777" w:rsidR="005D46F7" w:rsidRPr="00FF63D1" w:rsidRDefault="005D46F7" w:rsidP="00505789">
      <w:pPr>
        <w:pStyle w:val="JRCText"/>
        <w:spacing w:after="0" w:line="240" w:lineRule="auto"/>
        <w:jc w:val="both"/>
        <w:rPr>
          <w:rFonts w:ascii="Times New Roman" w:hAnsi="Times New Roman" w:cs="Times New Roman"/>
          <w:noProof/>
          <w:sz w:val="24"/>
          <w:szCs w:val="24"/>
        </w:rPr>
      </w:pPr>
    </w:p>
    <w:p w14:paraId="7082BF81" w14:textId="2AA577C0" w:rsidR="00310FEB" w:rsidRDefault="005D46F7" w:rsidP="00A77168">
      <w:pPr>
        <w:pStyle w:val="JRCText"/>
        <w:spacing w:after="0" w:line="240" w:lineRule="auto"/>
        <w:jc w:val="both"/>
        <w:rPr>
          <w:rFonts w:ascii="Times New Roman" w:hAnsi="Times New Roman" w:cs="Times New Roman"/>
          <w:b/>
          <w:noProof/>
          <w:sz w:val="24"/>
          <w:szCs w:val="24"/>
        </w:rPr>
      </w:pPr>
      <w:r w:rsidRPr="00FF63D1">
        <w:rPr>
          <w:rFonts w:ascii="Times New Roman" w:hAnsi="Times New Roman" w:cs="Times New Roman"/>
          <w:b/>
          <w:noProof/>
          <w:sz w:val="24"/>
          <w:szCs w:val="24"/>
        </w:rPr>
        <w:t xml:space="preserve">LEAD_VC 2 </w:t>
      </w:r>
    </w:p>
    <w:p w14:paraId="3ECE2A89" w14:textId="77777777" w:rsidR="00310FEB" w:rsidRDefault="00310FEB" w:rsidP="00505789">
      <w:pPr>
        <w:pStyle w:val="JRCText"/>
        <w:spacing w:after="0" w:line="240" w:lineRule="auto"/>
        <w:jc w:val="both"/>
        <w:rPr>
          <w:rFonts w:ascii="Times New Roman" w:hAnsi="Times New Roman" w:cs="Times New Roman"/>
          <w:b/>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9"/>
        <w:gridCol w:w="362"/>
        <w:gridCol w:w="1269"/>
        <w:gridCol w:w="1226"/>
      </w:tblGrid>
      <w:tr w:rsidR="00310FEB" w:rsidRPr="00FF63D1" w14:paraId="39FB79F1" w14:textId="77777777" w:rsidTr="00E35689">
        <w:trPr>
          <w:trHeight w:val="337"/>
        </w:trPr>
        <w:tc>
          <w:tcPr>
            <w:tcW w:w="5000" w:type="pct"/>
            <w:gridSpan w:val="4"/>
            <w:shd w:val="clear" w:color="auto" w:fill="E2EFDA"/>
            <w:noWrap/>
            <w:vAlign w:val="bottom"/>
            <w:hideMark/>
          </w:tcPr>
          <w:p w14:paraId="5FB4E67F" w14:textId="77777777" w:rsidR="00310FEB" w:rsidRPr="00FF63D1" w:rsidRDefault="00310FEB">
            <w:pPr>
              <w:jc w:val="center"/>
              <w:rPr>
                <w:rFonts w:ascii="Calibri" w:eastAsia="Times New Roman" w:hAnsi="Calibri" w:cs="Calibri"/>
                <w:b/>
                <w:noProof/>
                <w:color w:val="000000"/>
                <w:sz w:val="22"/>
                <w:lang w:eastAsia="en-IE"/>
              </w:rPr>
            </w:pPr>
            <w:r>
              <w:rPr>
                <w:rFonts w:ascii="Calibri" w:eastAsia="Times New Roman" w:hAnsi="Calibri" w:cs="Calibri"/>
                <w:b/>
                <w:noProof/>
                <w:color w:val="000000"/>
                <w:sz w:val="22"/>
                <w:lang w:eastAsia="en-IE"/>
              </w:rPr>
              <w:t>EU consumers in the “Internal market reaction” scenario</w:t>
            </w:r>
          </w:p>
        </w:tc>
      </w:tr>
      <w:tr w:rsidR="00310FEB" w:rsidRPr="00FF63D1" w14:paraId="40F7CDCA" w14:textId="77777777" w:rsidTr="00E35689">
        <w:trPr>
          <w:trHeight w:val="327"/>
        </w:trPr>
        <w:tc>
          <w:tcPr>
            <w:tcW w:w="3415" w:type="pct"/>
            <w:tcBorders>
              <w:left w:val="nil"/>
              <w:right w:val="nil"/>
            </w:tcBorders>
            <w:shd w:val="clear" w:color="auto" w:fill="FFFFFF" w:themeFill="background1"/>
            <w:noWrap/>
            <w:vAlign w:val="bottom"/>
            <w:hideMark/>
          </w:tcPr>
          <w:p w14:paraId="7F81EA4A" w14:textId="77777777" w:rsidR="00310FEB" w:rsidRPr="00FF63D1" w:rsidRDefault="00310FEB">
            <w:pPr>
              <w:jc w:val="left"/>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 </w:t>
            </w:r>
          </w:p>
        </w:tc>
        <w:tc>
          <w:tcPr>
            <w:tcW w:w="201" w:type="pct"/>
            <w:tcBorders>
              <w:left w:val="nil"/>
              <w:right w:val="nil"/>
            </w:tcBorders>
            <w:shd w:val="clear" w:color="auto" w:fill="FFFFFF" w:themeFill="background1"/>
            <w:noWrap/>
            <w:vAlign w:val="bottom"/>
            <w:hideMark/>
          </w:tcPr>
          <w:p w14:paraId="36060D9F" w14:textId="77777777" w:rsidR="00310FEB" w:rsidRPr="00FF63D1" w:rsidRDefault="00310FE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2145669A" w14:textId="77777777" w:rsidR="00310FEB" w:rsidRPr="00FF63D1" w:rsidRDefault="00310FEB">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680" w:type="pct"/>
            <w:tcBorders>
              <w:left w:val="nil"/>
              <w:right w:val="nil"/>
            </w:tcBorders>
            <w:shd w:val="clear" w:color="auto" w:fill="FFFFFF" w:themeFill="background1"/>
            <w:noWrap/>
            <w:vAlign w:val="bottom"/>
            <w:hideMark/>
          </w:tcPr>
          <w:p w14:paraId="7E7DF39D" w14:textId="77777777" w:rsidR="00310FEB" w:rsidRPr="00FF63D1" w:rsidRDefault="00310FEB">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310FEB" w:rsidRPr="00FF63D1" w14:paraId="7CEBF567" w14:textId="77777777" w:rsidTr="00E35689">
        <w:trPr>
          <w:trHeight w:val="327"/>
        </w:trPr>
        <w:tc>
          <w:tcPr>
            <w:tcW w:w="3415" w:type="pct"/>
            <w:tcBorders>
              <w:left w:val="nil"/>
              <w:right w:val="nil"/>
            </w:tcBorders>
            <w:shd w:val="clear" w:color="auto" w:fill="FFFFFF" w:themeFill="background1"/>
            <w:noWrap/>
            <w:vAlign w:val="bottom"/>
            <w:hideMark/>
          </w:tcPr>
          <w:p w14:paraId="7D9E8CAE" w14:textId="77777777" w:rsidR="00310FEB" w:rsidRPr="00FF63D1" w:rsidRDefault="00310FEB">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4687E84C" w14:textId="77777777" w:rsidR="00310FEB" w:rsidRPr="00FF63D1" w:rsidRDefault="00310FEB">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66E77377" w14:textId="77777777" w:rsidR="00310FEB" w:rsidRPr="00FF63D1" w:rsidRDefault="00310FEB">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hideMark/>
          </w:tcPr>
          <w:p w14:paraId="58457D7C" w14:textId="77777777" w:rsidR="00310FEB" w:rsidRPr="00FF63D1" w:rsidRDefault="00310FEB">
            <w:pPr>
              <w:jc w:val="center"/>
              <w:rPr>
                <w:rFonts w:ascii="Calibri" w:eastAsia="Times New Roman" w:hAnsi="Calibri" w:cs="Calibri"/>
                <w:noProof/>
                <w:color w:val="000000"/>
                <w:sz w:val="22"/>
                <w:lang w:eastAsia="en-IE"/>
              </w:rPr>
            </w:pPr>
          </w:p>
        </w:tc>
      </w:tr>
      <w:tr w:rsidR="00310FEB" w:rsidRPr="00FF63D1" w14:paraId="065CF798" w14:textId="77777777" w:rsidTr="00E35689">
        <w:trPr>
          <w:trHeight w:val="327"/>
        </w:trPr>
        <w:tc>
          <w:tcPr>
            <w:tcW w:w="3415" w:type="pct"/>
            <w:tcBorders>
              <w:left w:val="nil"/>
              <w:right w:val="nil"/>
            </w:tcBorders>
            <w:shd w:val="clear" w:color="auto" w:fill="FFFFFF" w:themeFill="background1"/>
            <w:noWrap/>
            <w:vAlign w:val="bottom"/>
          </w:tcPr>
          <w:p w14:paraId="03327E30" w14:textId="77777777" w:rsidR="00310FEB" w:rsidRDefault="00310FEB">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431F9E07" w14:textId="77777777" w:rsidR="00310FEB" w:rsidRPr="00FF63D1" w:rsidRDefault="00310FEB">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2EFE3AED" w14:textId="6A3AE2C8" w:rsidR="00310FEB" w:rsidRPr="00FF63D1" w:rsidRDefault="00310FEB">
            <w:pPr>
              <w:jc w:val="center"/>
              <w:rPr>
                <w:rFonts w:ascii="Calibri" w:eastAsia="Times New Roman" w:hAnsi="Calibri" w:cs="Calibri"/>
                <w:noProof/>
                <w:color w:val="000000"/>
                <w:sz w:val="22"/>
                <w:lang w:eastAsia="en-IE"/>
              </w:rPr>
            </w:pPr>
            <w:r>
              <w:rPr>
                <w:rFonts w:ascii="Calibri" w:hAnsi="Calibri" w:cs="Calibri"/>
                <w:noProof/>
                <w:color w:val="000000"/>
                <w:sz w:val="22"/>
              </w:rPr>
              <w:t>0.</w:t>
            </w:r>
            <w:r w:rsidR="00926302">
              <w:rPr>
                <w:rFonts w:ascii="Calibri" w:hAnsi="Calibri" w:cs="Calibri"/>
                <w:noProof/>
                <w:color w:val="000000"/>
                <w:sz w:val="22"/>
              </w:rPr>
              <w:t>5</w:t>
            </w:r>
            <w:r>
              <w:rPr>
                <w:rFonts w:ascii="Calibri" w:hAnsi="Calibri" w:cs="Calibri"/>
                <w:noProof/>
                <w:color w:val="000000"/>
                <w:sz w:val="22"/>
              </w:rPr>
              <w:t>%</w:t>
            </w:r>
          </w:p>
        </w:tc>
        <w:tc>
          <w:tcPr>
            <w:tcW w:w="680" w:type="pct"/>
            <w:tcBorders>
              <w:left w:val="nil"/>
              <w:right w:val="nil"/>
            </w:tcBorders>
            <w:shd w:val="clear" w:color="auto" w:fill="FFFFFF" w:themeFill="background1"/>
            <w:noWrap/>
            <w:vAlign w:val="bottom"/>
          </w:tcPr>
          <w:p w14:paraId="6A277268" w14:textId="58F19C21" w:rsidR="00310FEB" w:rsidRPr="00FF63D1" w:rsidRDefault="00310FEB">
            <w:pPr>
              <w:jc w:val="center"/>
              <w:rPr>
                <w:rFonts w:ascii="Calibri" w:eastAsia="Times New Roman" w:hAnsi="Calibri" w:cs="Calibri"/>
                <w:noProof/>
                <w:color w:val="000000"/>
                <w:sz w:val="22"/>
                <w:lang w:eastAsia="en-IE"/>
              </w:rPr>
            </w:pPr>
            <w:r>
              <w:rPr>
                <w:rFonts w:ascii="Calibri" w:hAnsi="Calibri" w:cs="Calibri"/>
                <w:noProof/>
                <w:color w:val="000000"/>
                <w:sz w:val="22"/>
              </w:rPr>
              <w:t>1.</w:t>
            </w:r>
            <w:r w:rsidR="00926302">
              <w:rPr>
                <w:rFonts w:ascii="Calibri" w:hAnsi="Calibri" w:cs="Calibri"/>
                <w:noProof/>
                <w:color w:val="000000"/>
                <w:sz w:val="22"/>
              </w:rPr>
              <w:t>4</w:t>
            </w:r>
            <w:r>
              <w:rPr>
                <w:rFonts w:ascii="Calibri" w:hAnsi="Calibri" w:cs="Calibri"/>
                <w:noProof/>
                <w:color w:val="000000"/>
                <w:sz w:val="22"/>
              </w:rPr>
              <w:t>%</w:t>
            </w:r>
          </w:p>
        </w:tc>
      </w:tr>
      <w:tr w:rsidR="00310FEB" w:rsidRPr="00FF63D1" w14:paraId="59FCBBDB" w14:textId="77777777" w:rsidTr="00E35689">
        <w:trPr>
          <w:trHeight w:val="327"/>
        </w:trPr>
        <w:tc>
          <w:tcPr>
            <w:tcW w:w="3415" w:type="pct"/>
            <w:tcBorders>
              <w:left w:val="nil"/>
              <w:right w:val="nil"/>
            </w:tcBorders>
            <w:shd w:val="clear" w:color="auto" w:fill="FFFFFF" w:themeFill="background1"/>
            <w:noWrap/>
            <w:vAlign w:val="bottom"/>
            <w:hideMark/>
          </w:tcPr>
          <w:p w14:paraId="379346B4" w14:textId="77777777" w:rsidR="00310FEB" w:rsidRPr="00FF63D1" w:rsidRDefault="00310FE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280C41FB" w14:textId="77777777" w:rsidR="00310FEB" w:rsidRPr="00FF63D1" w:rsidRDefault="00310FE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794C04CF" w14:textId="2F17CC84" w:rsidR="00310FEB" w:rsidRPr="00FF63D1" w:rsidRDefault="00926302">
            <w:pPr>
              <w:jc w:val="center"/>
              <w:rPr>
                <w:rFonts w:ascii="Calibri" w:eastAsia="Times New Roman" w:hAnsi="Calibri" w:cs="Calibri"/>
                <w:noProof/>
                <w:color w:val="000000"/>
                <w:sz w:val="22"/>
                <w:lang w:eastAsia="en-IE"/>
              </w:rPr>
            </w:pPr>
            <w:r>
              <w:rPr>
                <w:rFonts w:ascii="Calibri" w:hAnsi="Calibri" w:cs="Calibri"/>
                <w:noProof/>
                <w:color w:val="000000"/>
                <w:sz w:val="22"/>
              </w:rPr>
              <w:t>-84.8</w:t>
            </w:r>
          </w:p>
        </w:tc>
        <w:tc>
          <w:tcPr>
            <w:tcW w:w="680" w:type="pct"/>
            <w:tcBorders>
              <w:left w:val="nil"/>
              <w:right w:val="nil"/>
            </w:tcBorders>
            <w:shd w:val="clear" w:color="auto" w:fill="FFFFFF" w:themeFill="background1"/>
            <w:noWrap/>
            <w:vAlign w:val="bottom"/>
            <w:hideMark/>
          </w:tcPr>
          <w:p w14:paraId="7461761A" w14:textId="0B70BADB" w:rsidR="00310FEB" w:rsidRPr="00FF63D1" w:rsidRDefault="00926302">
            <w:pPr>
              <w:jc w:val="center"/>
              <w:rPr>
                <w:rFonts w:ascii="Calibri" w:eastAsia="Times New Roman" w:hAnsi="Calibri" w:cs="Calibri"/>
                <w:noProof/>
                <w:color w:val="000000"/>
                <w:sz w:val="22"/>
                <w:lang w:eastAsia="en-IE"/>
              </w:rPr>
            </w:pPr>
            <w:r>
              <w:rPr>
                <w:rFonts w:ascii="Calibri" w:hAnsi="Calibri" w:cs="Calibri"/>
                <w:noProof/>
                <w:color w:val="000000"/>
                <w:sz w:val="22"/>
              </w:rPr>
              <w:t>-91.2</w:t>
            </w:r>
          </w:p>
        </w:tc>
      </w:tr>
      <w:tr w:rsidR="00310FEB" w:rsidRPr="00086326" w14:paraId="09F4A6CA" w14:textId="77777777" w:rsidTr="00E35689">
        <w:trPr>
          <w:trHeight w:val="327"/>
        </w:trPr>
        <w:tc>
          <w:tcPr>
            <w:tcW w:w="3415" w:type="pct"/>
            <w:tcBorders>
              <w:left w:val="nil"/>
              <w:right w:val="nil"/>
            </w:tcBorders>
            <w:shd w:val="clear" w:color="auto" w:fill="FFFFFF" w:themeFill="background1"/>
            <w:noWrap/>
            <w:vAlign w:val="bottom"/>
            <w:hideMark/>
          </w:tcPr>
          <w:p w14:paraId="4FBF9680" w14:textId="77777777" w:rsidR="00310FEB" w:rsidRPr="00086326" w:rsidRDefault="00310FEB">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03FD9375" w14:textId="77777777" w:rsidR="00310FEB" w:rsidRPr="00086326" w:rsidRDefault="00310FEB">
            <w:pPr>
              <w:jc w:val="left"/>
              <w:rPr>
                <w:rFonts w:ascii="Calibri" w:eastAsia="Times New Roman" w:hAnsi="Calibri" w:cs="Calibri"/>
                <w:b/>
                <w:i/>
                <w:noProof/>
                <w:color w:val="000000"/>
                <w:sz w:val="22"/>
                <w:lang w:val="fr-BE" w:eastAsia="en-IE"/>
              </w:rPr>
            </w:pPr>
            <w:r w:rsidRPr="00086326">
              <w:rPr>
                <w:rFonts w:ascii="Calibri" w:eastAsia="Times New Roman" w:hAnsi="Calibri" w:cs="Calibri"/>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320E92A5" w14:textId="77777777" w:rsidR="00310FEB" w:rsidRPr="00086326" w:rsidRDefault="00310FEB">
            <w:pPr>
              <w:jc w:val="center"/>
              <w:rPr>
                <w:rFonts w:ascii="Calibri" w:eastAsia="Times New Roman" w:hAnsi="Calibri" w:cs="Calibri"/>
                <w:noProof/>
                <w:color w:val="000000"/>
                <w:sz w:val="22"/>
                <w:lang w:val="fr-BE" w:eastAsia="en-IE"/>
              </w:rPr>
            </w:pPr>
          </w:p>
        </w:tc>
        <w:tc>
          <w:tcPr>
            <w:tcW w:w="680" w:type="pct"/>
            <w:tcBorders>
              <w:left w:val="nil"/>
              <w:right w:val="nil"/>
            </w:tcBorders>
            <w:shd w:val="clear" w:color="auto" w:fill="FFFFFF" w:themeFill="background1"/>
            <w:noWrap/>
            <w:vAlign w:val="bottom"/>
            <w:hideMark/>
          </w:tcPr>
          <w:p w14:paraId="741CA50C" w14:textId="77777777" w:rsidR="00310FEB" w:rsidRPr="00086326" w:rsidRDefault="00310FEB">
            <w:pPr>
              <w:jc w:val="center"/>
              <w:rPr>
                <w:rFonts w:ascii="Calibri" w:eastAsia="Times New Roman" w:hAnsi="Calibri" w:cs="Calibri"/>
                <w:noProof/>
                <w:color w:val="000000"/>
                <w:sz w:val="22"/>
                <w:lang w:val="fr-BE" w:eastAsia="en-IE"/>
              </w:rPr>
            </w:pPr>
          </w:p>
        </w:tc>
      </w:tr>
      <w:tr w:rsidR="00310FEB" w:rsidRPr="0026006C" w14:paraId="45369721" w14:textId="77777777" w:rsidTr="00E35689">
        <w:trPr>
          <w:trHeight w:val="327"/>
        </w:trPr>
        <w:tc>
          <w:tcPr>
            <w:tcW w:w="3415" w:type="pct"/>
            <w:tcBorders>
              <w:left w:val="nil"/>
              <w:right w:val="nil"/>
            </w:tcBorders>
            <w:shd w:val="clear" w:color="auto" w:fill="FFFFFF" w:themeFill="background1"/>
            <w:noWrap/>
            <w:vAlign w:val="bottom"/>
          </w:tcPr>
          <w:p w14:paraId="09AF3661" w14:textId="77777777" w:rsidR="00310FEB" w:rsidRDefault="00310FEB">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21C5D40C" w14:textId="77777777" w:rsidR="00310FEB" w:rsidRPr="0026006C" w:rsidRDefault="00310FEB">
            <w:pPr>
              <w:jc w:val="left"/>
              <w:rPr>
                <w:rFonts w:ascii="Calibri" w:eastAsia="Times New Roman" w:hAnsi="Calibri" w:cs="Calibri"/>
                <w:b/>
                <w:i/>
                <w:noProof/>
                <w:color w:val="000000"/>
                <w:sz w:val="22"/>
                <w:lang w:val="fr-BE"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3D649BAA" w14:textId="28743A4E" w:rsidR="00310FEB" w:rsidRPr="0026006C" w:rsidRDefault="00310FEB">
            <w:pPr>
              <w:jc w:val="center"/>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-0.</w:t>
            </w:r>
            <w:r w:rsidR="00BE6E88">
              <w:rPr>
                <w:rFonts w:ascii="Calibri" w:hAnsi="Calibri" w:cs="Calibri"/>
                <w:noProof/>
                <w:color w:val="000000"/>
                <w:sz w:val="22"/>
              </w:rPr>
              <w:t>8</w:t>
            </w:r>
            <w:r w:rsidRPr="00FF63D1">
              <w:rPr>
                <w:rFonts w:ascii="Calibri" w:eastAsia="Times New Roman" w:hAnsi="Calibri" w:cs="Calibri"/>
                <w:noProof/>
                <w:color w:val="000000"/>
                <w:sz w:val="22"/>
                <w:lang w:eastAsia="en-IE"/>
              </w:rPr>
              <w:t>%</w:t>
            </w:r>
          </w:p>
        </w:tc>
        <w:tc>
          <w:tcPr>
            <w:tcW w:w="680" w:type="pct"/>
            <w:tcBorders>
              <w:left w:val="nil"/>
              <w:right w:val="nil"/>
            </w:tcBorders>
            <w:shd w:val="clear" w:color="auto" w:fill="FFFFFF" w:themeFill="background1"/>
            <w:noWrap/>
            <w:vAlign w:val="bottom"/>
          </w:tcPr>
          <w:p w14:paraId="57B4914A" w14:textId="6F763D0D" w:rsidR="00310FEB" w:rsidRPr="0026006C" w:rsidRDefault="00310FEB">
            <w:pPr>
              <w:jc w:val="center"/>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0.</w:t>
            </w:r>
            <w:r w:rsidR="00BE6E88">
              <w:rPr>
                <w:rFonts w:ascii="Calibri" w:hAnsi="Calibri" w:cs="Calibri"/>
                <w:noProof/>
                <w:color w:val="000000"/>
                <w:sz w:val="22"/>
              </w:rPr>
              <w:t>5</w:t>
            </w:r>
            <w:r w:rsidRPr="00FF63D1">
              <w:rPr>
                <w:rFonts w:ascii="Calibri" w:eastAsia="Times New Roman" w:hAnsi="Calibri" w:cs="Calibri"/>
                <w:noProof/>
                <w:color w:val="000000"/>
                <w:sz w:val="22"/>
                <w:lang w:eastAsia="en-IE"/>
              </w:rPr>
              <w:t>%</w:t>
            </w:r>
          </w:p>
        </w:tc>
      </w:tr>
      <w:tr w:rsidR="00310FEB" w:rsidRPr="00FF63D1" w14:paraId="5656D582" w14:textId="77777777" w:rsidTr="00E35689">
        <w:trPr>
          <w:trHeight w:val="327"/>
        </w:trPr>
        <w:tc>
          <w:tcPr>
            <w:tcW w:w="3415" w:type="pct"/>
            <w:tcBorders>
              <w:left w:val="nil"/>
              <w:right w:val="nil"/>
            </w:tcBorders>
            <w:shd w:val="clear" w:color="auto" w:fill="FFFFFF" w:themeFill="background1"/>
            <w:noWrap/>
            <w:vAlign w:val="bottom"/>
            <w:hideMark/>
          </w:tcPr>
          <w:p w14:paraId="5A509F42" w14:textId="77777777" w:rsidR="00310FEB" w:rsidRPr="00FF63D1" w:rsidRDefault="00310FE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61FA91BF" w14:textId="77777777" w:rsidR="00310FEB" w:rsidRPr="00FF63D1" w:rsidRDefault="00310FE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64B6465E" w14:textId="7888EEEE" w:rsidR="00310FEB" w:rsidRPr="00FF63D1" w:rsidRDefault="00BE6E88">
            <w:pPr>
              <w:jc w:val="center"/>
              <w:rPr>
                <w:rFonts w:ascii="Calibri" w:eastAsia="Times New Roman" w:hAnsi="Calibri" w:cs="Calibri"/>
                <w:noProof/>
                <w:color w:val="000000"/>
                <w:sz w:val="22"/>
                <w:lang w:eastAsia="en-IE"/>
              </w:rPr>
            </w:pPr>
            <w:r>
              <w:rPr>
                <w:rFonts w:ascii="Calibri" w:hAnsi="Calibri" w:cs="Calibri"/>
                <w:noProof/>
                <w:color w:val="000000"/>
                <w:sz w:val="22"/>
              </w:rPr>
              <w:t>17.1</w:t>
            </w:r>
          </w:p>
        </w:tc>
        <w:tc>
          <w:tcPr>
            <w:tcW w:w="680" w:type="pct"/>
            <w:tcBorders>
              <w:left w:val="nil"/>
              <w:right w:val="nil"/>
            </w:tcBorders>
            <w:shd w:val="clear" w:color="auto" w:fill="FFFFFF" w:themeFill="background1"/>
            <w:noWrap/>
            <w:vAlign w:val="bottom"/>
            <w:hideMark/>
          </w:tcPr>
          <w:p w14:paraId="3FB67943" w14:textId="7FB0E94D" w:rsidR="00310FEB" w:rsidRPr="00FF63D1" w:rsidRDefault="00310FEB">
            <w:pPr>
              <w:jc w:val="center"/>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2.</w:t>
            </w:r>
            <w:r w:rsidR="00BE6E88">
              <w:rPr>
                <w:rFonts w:ascii="Calibri" w:hAnsi="Calibri" w:cs="Calibri"/>
                <w:noProof/>
                <w:color w:val="000000"/>
                <w:sz w:val="22"/>
              </w:rPr>
              <w:t>6</w:t>
            </w:r>
          </w:p>
        </w:tc>
      </w:tr>
      <w:tr w:rsidR="00310FEB" w:rsidRPr="00FF63D1" w14:paraId="02F1FE2E" w14:textId="77777777" w:rsidTr="00E35689">
        <w:trPr>
          <w:trHeight w:val="327"/>
        </w:trPr>
        <w:tc>
          <w:tcPr>
            <w:tcW w:w="3415" w:type="pct"/>
            <w:tcBorders>
              <w:left w:val="nil"/>
              <w:right w:val="nil"/>
            </w:tcBorders>
            <w:shd w:val="clear" w:color="auto" w:fill="FFFFFF" w:themeFill="background1"/>
            <w:noWrap/>
            <w:vAlign w:val="bottom"/>
          </w:tcPr>
          <w:p w14:paraId="5C49B1B8" w14:textId="77777777" w:rsidR="00310FEB" w:rsidRPr="009C69FA" w:rsidRDefault="00310FEB">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1233C35A" w14:textId="77777777" w:rsidR="00310FEB" w:rsidRPr="00FF63D1" w:rsidRDefault="00310FEB">
            <w:pPr>
              <w:jc w:val="left"/>
              <w:rPr>
                <w:rFonts w:ascii="Calibri" w:eastAsia="Times New Roman" w:hAnsi="Calibri" w:cs="Calibri"/>
                <w:noProof/>
                <w:color w:val="000000"/>
                <w:sz w:val="22"/>
                <w:lang w:eastAsia="en-IE"/>
              </w:rPr>
            </w:pPr>
          </w:p>
        </w:tc>
        <w:tc>
          <w:tcPr>
            <w:tcW w:w="704" w:type="pct"/>
            <w:tcBorders>
              <w:left w:val="nil"/>
              <w:right w:val="nil"/>
            </w:tcBorders>
            <w:shd w:val="clear" w:color="auto" w:fill="FFFFFF" w:themeFill="background1"/>
            <w:noWrap/>
            <w:vAlign w:val="bottom"/>
          </w:tcPr>
          <w:p w14:paraId="66DA0F90" w14:textId="77777777" w:rsidR="00310FEB" w:rsidRPr="00FF63D1" w:rsidRDefault="00310FEB">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tcPr>
          <w:p w14:paraId="5693E62C" w14:textId="77777777" w:rsidR="00310FEB" w:rsidRPr="00FF63D1" w:rsidRDefault="00310FEB">
            <w:pPr>
              <w:jc w:val="center"/>
              <w:rPr>
                <w:rFonts w:ascii="Calibri" w:eastAsia="Times New Roman" w:hAnsi="Calibri" w:cs="Calibri"/>
                <w:noProof/>
                <w:color w:val="000000"/>
                <w:sz w:val="22"/>
                <w:lang w:eastAsia="en-IE"/>
              </w:rPr>
            </w:pPr>
          </w:p>
        </w:tc>
      </w:tr>
      <w:tr w:rsidR="00310FEB" w:rsidRPr="00FF63D1" w14:paraId="4955FBD6" w14:textId="77777777" w:rsidTr="00E35689">
        <w:trPr>
          <w:trHeight w:val="327"/>
        </w:trPr>
        <w:tc>
          <w:tcPr>
            <w:tcW w:w="3415" w:type="pct"/>
            <w:tcBorders>
              <w:left w:val="nil"/>
              <w:right w:val="nil"/>
            </w:tcBorders>
            <w:shd w:val="clear" w:color="auto" w:fill="FFFFFF" w:themeFill="background1"/>
            <w:noWrap/>
            <w:vAlign w:val="bottom"/>
          </w:tcPr>
          <w:p w14:paraId="18B0D62C" w14:textId="77777777" w:rsidR="00310FEB" w:rsidRDefault="00310FEB">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531516F3" w14:textId="77777777" w:rsidR="00310FEB" w:rsidRPr="00FF63D1" w:rsidRDefault="00310FE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6B1E4543" w14:textId="7CB86A31" w:rsidR="00310FEB" w:rsidRPr="00FF63D1" w:rsidRDefault="00310FEB">
            <w:pPr>
              <w:jc w:val="center"/>
              <w:rPr>
                <w:rFonts w:ascii="Calibri" w:eastAsia="Times New Roman" w:hAnsi="Calibri" w:cs="Calibri"/>
                <w:noProof/>
                <w:color w:val="000000"/>
                <w:sz w:val="22"/>
                <w:lang w:eastAsia="en-IE"/>
              </w:rPr>
            </w:pPr>
            <w:r>
              <w:rPr>
                <w:rFonts w:ascii="Calibri" w:hAnsi="Calibri" w:cs="Calibri"/>
                <w:noProof/>
                <w:color w:val="000000"/>
                <w:sz w:val="22"/>
              </w:rPr>
              <w:t>0.</w:t>
            </w:r>
            <w:r w:rsidR="00C30265">
              <w:rPr>
                <w:rFonts w:ascii="Calibri" w:hAnsi="Calibri" w:cs="Calibri"/>
                <w:noProof/>
                <w:color w:val="000000"/>
                <w:sz w:val="22"/>
              </w:rPr>
              <w:t>6</w:t>
            </w:r>
            <w:r>
              <w:rPr>
                <w:rFonts w:ascii="Calibri" w:hAnsi="Calibri" w:cs="Calibri"/>
                <w:noProof/>
                <w:color w:val="000000"/>
                <w:sz w:val="22"/>
              </w:rPr>
              <w:t>%</w:t>
            </w:r>
          </w:p>
        </w:tc>
        <w:tc>
          <w:tcPr>
            <w:tcW w:w="680" w:type="pct"/>
            <w:tcBorders>
              <w:left w:val="nil"/>
              <w:right w:val="nil"/>
            </w:tcBorders>
            <w:shd w:val="clear" w:color="auto" w:fill="FFFFFF" w:themeFill="background1"/>
            <w:noWrap/>
            <w:vAlign w:val="bottom"/>
          </w:tcPr>
          <w:p w14:paraId="03540525" w14:textId="1D2705CA" w:rsidR="00310FEB" w:rsidRPr="00FF63D1" w:rsidRDefault="00310FEB">
            <w:pPr>
              <w:jc w:val="center"/>
              <w:rPr>
                <w:rFonts w:ascii="Calibri" w:eastAsia="Times New Roman" w:hAnsi="Calibri" w:cs="Calibri"/>
                <w:noProof/>
                <w:color w:val="000000"/>
                <w:sz w:val="22"/>
                <w:lang w:eastAsia="en-IE"/>
              </w:rPr>
            </w:pPr>
            <w:r>
              <w:rPr>
                <w:rFonts w:ascii="Calibri" w:hAnsi="Calibri" w:cs="Calibri"/>
                <w:noProof/>
                <w:color w:val="000000"/>
                <w:sz w:val="22"/>
              </w:rPr>
              <w:t>1.</w:t>
            </w:r>
            <w:r w:rsidR="00C30265">
              <w:rPr>
                <w:rFonts w:ascii="Calibri" w:hAnsi="Calibri" w:cs="Calibri"/>
                <w:noProof/>
                <w:color w:val="000000"/>
                <w:sz w:val="22"/>
              </w:rPr>
              <w:t>4</w:t>
            </w:r>
            <w:r>
              <w:rPr>
                <w:rFonts w:ascii="Calibri" w:hAnsi="Calibri" w:cs="Calibri"/>
                <w:noProof/>
                <w:color w:val="000000"/>
                <w:sz w:val="22"/>
              </w:rPr>
              <w:t>%</w:t>
            </w:r>
          </w:p>
        </w:tc>
      </w:tr>
      <w:tr w:rsidR="00310FEB" w:rsidRPr="00FF63D1" w14:paraId="1F5BE130" w14:textId="77777777" w:rsidTr="00E35689">
        <w:trPr>
          <w:trHeight w:val="327"/>
        </w:trPr>
        <w:tc>
          <w:tcPr>
            <w:tcW w:w="3415" w:type="pct"/>
            <w:tcBorders>
              <w:left w:val="nil"/>
              <w:right w:val="nil"/>
            </w:tcBorders>
            <w:shd w:val="clear" w:color="auto" w:fill="FFFFFF" w:themeFill="background1"/>
            <w:noWrap/>
            <w:vAlign w:val="bottom"/>
          </w:tcPr>
          <w:p w14:paraId="02AB1EB5" w14:textId="77777777" w:rsidR="00310FEB" w:rsidRPr="009C69FA" w:rsidRDefault="00310FEB">
            <w:pPr>
              <w:jc w:val="left"/>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tcPr>
          <w:p w14:paraId="79C5C7B0" w14:textId="77777777" w:rsidR="00310FEB" w:rsidRPr="00FF63D1" w:rsidRDefault="00310FE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338AA526" w14:textId="48D6A41E" w:rsidR="00310FEB" w:rsidRPr="00FF63D1" w:rsidRDefault="00310FEB">
            <w:pPr>
              <w:jc w:val="center"/>
              <w:rPr>
                <w:rFonts w:ascii="Calibri" w:eastAsia="Times New Roman" w:hAnsi="Calibri" w:cs="Calibri"/>
                <w:noProof/>
                <w:color w:val="000000"/>
                <w:sz w:val="22"/>
                <w:lang w:eastAsia="en-IE"/>
              </w:rPr>
            </w:pPr>
            <w:r>
              <w:rPr>
                <w:rFonts w:ascii="Calibri" w:hAnsi="Calibri" w:cs="Calibri"/>
                <w:noProof/>
                <w:color w:val="000000"/>
                <w:sz w:val="22"/>
              </w:rPr>
              <w:t>1.</w:t>
            </w:r>
            <w:r w:rsidR="00C30265">
              <w:rPr>
                <w:rFonts w:ascii="Calibri" w:hAnsi="Calibri" w:cs="Calibri"/>
                <w:noProof/>
                <w:color w:val="000000"/>
                <w:sz w:val="22"/>
              </w:rPr>
              <w:t>2</w:t>
            </w:r>
          </w:p>
        </w:tc>
        <w:tc>
          <w:tcPr>
            <w:tcW w:w="680" w:type="pct"/>
            <w:tcBorders>
              <w:left w:val="nil"/>
              <w:right w:val="nil"/>
            </w:tcBorders>
            <w:shd w:val="clear" w:color="auto" w:fill="FFFFFF" w:themeFill="background1"/>
            <w:noWrap/>
            <w:vAlign w:val="bottom"/>
          </w:tcPr>
          <w:p w14:paraId="68EE7719" w14:textId="08CA4D32" w:rsidR="00310FEB" w:rsidRPr="00FF63D1" w:rsidRDefault="00310FEB">
            <w:pPr>
              <w:jc w:val="center"/>
              <w:rPr>
                <w:rFonts w:ascii="Calibri" w:eastAsia="Times New Roman" w:hAnsi="Calibri" w:cs="Calibri"/>
                <w:noProof/>
                <w:color w:val="000000"/>
                <w:sz w:val="22"/>
                <w:lang w:eastAsia="en-IE"/>
              </w:rPr>
            </w:pPr>
            <w:r>
              <w:rPr>
                <w:rFonts w:ascii="Calibri" w:hAnsi="Calibri" w:cs="Calibri"/>
                <w:noProof/>
                <w:color w:val="000000"/>
                <w:sz w:val="22"/>
              </w:rPr>
              <w:t>-</w:t>
            </w:r>
            <w:r w:rsidR="00C30265">
              <w:rPr>
                <w:rFonts w:ascii="Calibri" w:hAnsi="Calibri" w:cs="Calibri"/>
                <w:noProof/>
                <w:color w:val="000000"/>
                <w:sz w:val="22"/>
              </w:rPr>
              <w:t>2.0</w:t>
            </w:r>
          </w:p>
        </w:tc>
      </w:tr>
    </w:tbl>
    <w:p w14:paraId="75275947" w14:textId="77777777" w:rsidR="00310FEB" w:rsidRPr="00FF63D1" w:rsidRDefault="00310FEB" w:rsidP="00505789">
      <w:pPr>
        <w:pStyle w:val="JRCText"/>
        <w:spacing w:after="0" w:line="240" w:lineRule="auto"/>
        <w:jc w:val="both"/>
        <w:rPr>
          <w:rFonts w:ascii="Times New Roman" w:hAnsi="Times New Roman" w:cs="Times New Roman"/>
          <w:b/>
          <w:noProof/>
          <w:sz w:val="24"/>
          <w:szCs w:val="24"/>
        </w:rPr>
      </w:pPr>
    </w:p>
    <w:p w14:paraId="5DDEECE8" w14:textId="1FA52876" w:rsidR="00D03695" w:rsidRPr="00FF63D1" w:rsidRDefault="00D03695" w:rsidP="00D93C85">
      <w:pPr>
        <w:spacing w:after="120"/>
        <w:rPr>
          <w:noProof/>
        </w:rPr>
      </w:pPr>
      <w:r>
        <w:rPr>
          <w:noProof/>
        </w:rPr>
        <w:t xml:space="preserve">Similarly to LEAD_VC 1, </w:t>
      </w:r>
      <w:r w:rsidRPr="00FF63D1">
        <w:rPr>
          <w:noProof/>
        </w:rPr>
        <w:t>described phenomenon will</w:t>
      </w:r>
      <w:r>
        <w:rPr>
          <w:noProof/>
        </w:rPr>
        <w:t xml:space="preserve"> also</w:t>
      </w:r>
      <w:r w:rsidRPr="00FF63D1">
        <w:rPr>
          <w:noProof/>
        </w:rPr>
        <w:t xml:space="preserve"> have</w:t>
      </w:r>
      <w:r>
        <w:rPr>
          <w:noProof/>
        </w:rPr>
        <w:t xml:space="preserve"> the above indicated</w:t>
      </w:r>
      <w:r w:rsidRPr="00FF63D1">
        <w:rPr>
          <w:noProof/>
        </w:rPr>
        <w:t xml:space="preserve"> two different effects</w:t>
      </w:r>
      <w:r>
        <w:rPr>
          <w:noProof/>
        </w:rPr>
        <w:t>.</w:t>
      </w:r>
    </w:p>
    <w:p w14:paraId="659C42CC" w14:textId="075FE28C" w:rsidR="00D03695" w:rsidRDefault="5A701BE2" w:rsidP="00D93C85">
      <w:pPr>
        <w:spacing w:after="120"/>
        <w:rPr>
          <w:noProof/>
        </w:rPr>
      </w:pPr>
      <w:r>
        <w:rPr>
          <w:noProof/>
        </w:rPr>
        <w:t>A</w:t>
      </w:r>
      <w:r w:rsidR="4F54714C" w:rsidRPr="00FF63D1">
        <w:rPr>
          <w:noProof/>
        </w:rPr>
        <w:t>s average prices</w:t>
      </w:r>
      <w:r w:rsidR="00843724" w:rsidRPr="00FF63D1">
        <w:rPr>
          <w:rStyle w:val="FootnoteReference"/>
          <w:noProof/>
        </w:rPr>
        <w:footnoteReference w:id="674"/>
      </w:r>
      <w:r w:rsidR="4F54714C" w:rsidRPr="00FF63D1">
        <w:rPr>
          <w:noProof/>
        </w:rPr>
        <w:t xml:space="preserve"> of EVs passenger cars are going to</w:t>
      </w:r>
      <w:r w:rsidR="5239218E">
        <w:rPr>
          <w:noProof/>
        </w:rPr>
        <w:t>:</w:t>
      </w:r>
    </w:p>
    <w:p w14:paraId="211257F8" w14:textId="79152EB3" w:rsidR="00310FEB" w:rsidRDefault="00D03695">
      <w:pPr>
        <w:pStyle w:val="ListParagraph"/>
        <w:numPr>
          <w:ilvl w:val="0"/>
          <w:numId w:val="136"/>
        </w:numPr>
        <w:spacing w:before="240"/>
        <w:rPr>
          <w:noProof/>
        </w:rPr>
      </w:pPr>
      <w:r>
        <w:rPr>
          <w:noProof/>
        </w:rPr>
        <w:t xml:space="preserve">For passenger cars: increase </w:t>
      </w:r>
      <w:r w:rsidR="00843724" w:rsidRPr="00FF63D1">
        <w:rPr>
          <w:noProof/>
        </w:rPr>
        <w:t>by 0.</w:t>
      </w:r>
      <w:r w:rsidR="00926302">
        <w:rPr>
          <w:noProof/>
        </w:rPr>
        <w:t>5</w:t>
      </w:r>
      <w:r w:rsidR="00843724" w:rsidRPr="00FF63D1">
        <w:rPr>
          <w:noProof/>
        </w:rPr>
        <w:t>% in 2027 and by 1.</w:t>
      </w:r>
      <w:r w:rsidR="00926302">
        <w:rPr>
          <w:noProof/>
        </w:rPr>
        <w:t>4</w:t>
      </w:r>
      <w:r w:rsidR="00843724" w:rsidRPr="00FF63D1">
        <w:rPr>
          <w:noProof/>
        </w:rPr>
        <w:t>% in 2030</w:t>
      </w:r>
      <w:r>
        <w:rPr>
          <w:noProof/>
        </w:rPr>
        <w:t>. T</w:t>
      </w:r>
      <w:r w:rsidR="00843724" w:rsidRPr="00FF63D1">
        <w:rPr>
          <w:noProof/>
        </w:rPr>
        <w:t xml:space="preserve">his is expected to lead to a reduction in EV passenger cars purchases by </w:t>
      </w:r>
      <w:r w:rsidR="00926302">
        <w:rPr>
          <w:noProof/>
        </w:rPr>
        <w:t>84</w:t>
      </w:r>
      <w:r w:rsidR="00843724" w:rsidRPr="00FF63D1">
        <w:rPr>
          <w:noProof/>
        </w:rPr>
        <w:t xml:space="preserve"> </w:t>
      </w:r>
      <w:r w:rsidR="00926302">
        <w:rPr>
          <w:noProof/>
        </w:rPr>
        <w:t>8</w:t>
      </w:r>
      <w:r w:rsidR="00843724" w:rsidRPr="00FF63D1">
        <w:rPr>
          <w:noProof/>
        </w:rPr>
        <w:t xml:space="preserve">00 vehicles in 2027, and </w:t>
      </w:r>
      <w:r w:rsidR="00926302">
        <w:rPr>
          <w:noProof/>
        </w:rPr>
        <w:t>91</w:t>
      </w:r>
      <w:r w:rsidR="00843724" w:rsidRPr="00FF63D1">
        <w:rPr>
          <w:noProof/>
        </w:rPr>
        <w:t xml:space="preserve"> </w:t>
      </w:r>
      <w:r w:rsidR="00926302">
        <w:rPr>
          <w:noProof/>
        </w:rPr>
        <w:t>2</w:t>
      </w:r>
      <w:r w:rsidR="00843724" w:rsidRPr="00FF63D1">
        <w:rPr>
          <w:noProof/>
        </w:rPr>
        <w:t xml:space="preserve">00 vehicles in 2030 if no mitigation measures put in place. </w:t>
      </w:r>
    </w:p>
    <w:p w14:paraId="72117ECB" w14:textId="2B5EDBE0" w:rsidR="00D03695" w:rsidRDefault="00D03695">
      <w:pPr>
        <w:pStyle w:val="ListParagraph"/>
        <w:numPr>
          <w:ilvl w:val="0"/>
          <w:numId w:val="136"/>
        </w:numPr>
        <w:spacing w:before="240"/>
        <w:rPr>
          <w:noProof/>
        </w:rPr>
      </w:pPr>
      <w:r>
        <w:rPr>
          <w:noProof/>
        </w:rPr>
        <w:t xml:space="preserve">For LCVs: </w:t>
      </w:r>
      <w:r w:rsidRPr="00D03695">
        <w:rPr>
          <w:noProof/>
        </w:rPr>
        <w:t>decrease by 0.</w:t>
      </w:r>
      <w:r w:rsidR="00C30265">
        <w:rPr>
          <w:noProof/>
        </w:rPr>
        <w:t>8</w:t>
      </w:r>
      <w:r w:rsidRPr="00D03695">
        <w:rPr>
          <w:noProof/>
        </w:rPr>
        <w:t>% in 2027 and then slightly increase by 0.</w:t>
      </w:r>
      <w:r w:rsidR="00C30265">
        <w:rPr>
          <w:noProof/>
        </w:rPr>
        <w:t>5</w:t>
      </w:r>
      <w:r w:rsidRPr="00D03695">
        <w:rPr>
          <w:noProof/>
        </w:rPr>
        <w:t>% in 2030, and this is expected to lead to an increase in EV light commercial vehicles purchases by 1</w:t>
      </w:r>
      <w:r w:rsidR="00C30265">
        <w:rPr>
          <w:noProof/>
        </w:rPr>
        <w:t>7</w:t>
      </w:r>
      <w:r w:rsidRPr="00D03695">
        <w:rPr>
          <w:noProof/>
        </w:rPr>
        <w:t xml:space="preserve"> 100 vehicles in 2027, and 2 </w:t>
      </w:r>
      <w:r w:rsidR="00C30265">
        <w:rPr>
          <w:noProof/>
        </w:rPr>
        <w:t>6</w:t>
      </w:r>
      <w:r w:rsidRPr="00D03695">
        <w:rPr>
          <w:noProof/>
        </w:rPr>
        <w:t>00 vehicles in 2030.</w:t>
      </w:r>
    </w:p>
    <w:p w14:paraId="625F19BF" w14:textId="190FAF90" w:rsidR="007A70DA" w:rsidRDefault="007A70DA">
      <w:pPr>
        <w:pStyle w:val="ListParagraph"/>
        <w:numPr>
          <w:ilvl w:val="0"/>
          <w:numId w:val="136"/>
        </w:numPr>
        <w:spacing w:before="240"/>
        <w:rPr>
          <w:noProof/>
        </w:rPr>
      </w:pPr>
      <w:r>
        <w:rPr>
          <w:noProof/>
        </w:rPr>
        <w:t xml:space="preserve">For HDVs: </w:t>
      </w:r>
      <w:r w:rsidR="00C30265" w:rsidRPr="00FF63D1">
        <w:rPr>
          <w:noProof/>
        </w:rPr>
        <w:t>slightly increase by 0.</w:t>
      </w:r>
      <w:r w:rsidR="00DF7FFC">
        <w:rPr>
          <w:noProof/>
        </w:rPr>
        <w:t>6</w:t>
      </w:r>
      <w:r w:rsidR="00C30265" w:rsidRPr="00FF63D1">
        <w:rPr>
          <w:noProof/>
        </w:rPr>
        <w:t>% in 2027 and then increase by 1.</w:t>
      </w:r>
      <w:r w:rsidR="00DF7FFC">
        <w:rPr>
          <w:noProof/>
        </w:rPr>
        <w:t>4</w:t>
      </w:r>
      <w:r w:rsidR="00C30265" w:rsidRPr="00FF63D1">
        <w:rPr>
          <w:noProof/>
        </w:rPr>
        <w:t xml:space="preserve">% in 2030. These prices variations are going to have a minor effect on EV HDV purchases in 2027, when sales will still slightly increase by 1 </w:t>
      </w:r>
      <w:r w:rsidR="00DF7FFC">
        <w:rPr>
          <w:noProof/>
        </w:rPr>
        <w:t>2</w:t>
      </w:r>
      <w:r w:rsidR="00C30265" w:rsidRPr="00FF63D1">
        <w:rPr>
          <w:noProof/>
        </w:rPr>
        <w:t xml:space="preserve">00 units, and lead to a decrease in purchases of EV HDVs by </w:t>
      </w:r>
      <w:r w:rsidR="00DF7FFC">
        <w:rPr>
          <w:noProof/>
        </w:rPr>
        <w:t>2</w:t>
      </w:r>
      <w:r w:rsidR="00C30265" w:rsidRPr="00FF63D1">
        <w:rPr>
          <w:noProof/>
        </w:rPr>
        <w:t xml:space="preserve"> </w:t>
      </w:r>
      <w:r w:rsidR="00DF7FFC">
        <w:rPr>
          <w:noProof/>
        </w:rPr>
        <w:t>0</w:t>
      </w:r>
      <w:r w:rsidR="00C30265" w:rsidRPr="00FF63D1">
        <w:rPr>
          <w:noProof/>
        </w:rPr>
        <w:t>00 units in 2030.</w:t>
      </w:r>
    </w:p>
    <w:p w14:paraId="1F4C5E99" w14:textId="0C65B146" w:rsidR="00310FEB" w:rsidRDefault="00310FEB" w:rsidP="00A77168">
      <w:pPr>
        <w:spacing w:before="240"/>
        <w:rPr>
          <w:noProof/>
        </w:rPr>
      </w:pPr>
      <w:r>
        <w:rPr>
          <w:noProof/>
        </w:rPr>
        <w:t>I</w:t>
      </w:r>
      <w:r w:rsidR="00843724" w:rsidRPr="00FF63D1">
        <w:rPr>
          <w:noProof/>
        </w:rPr>
        <w:t>f all subsidies were reallocated from non-EU to EU EV manufacturers, the average price of EVs for consumers would decrease</w:t>
      </w:r>
      <w:r w:rsidR="007A70DA">
        <w:rPr>
          <w:noProof/>
        </w:rPr>
        <w:t>:</w:t>
      </w:r>
    </w:p>
    <w:p w14:paraId="10E9437A" w14:textId="21776BF4" w:rsidR="00843724" w:rsidRPr="00FF63D1" w:rsidRDefault="00310FEB" w:rsidP="0087095B">
      <w:pPr>
        <w:pStyle w:val="ListParagraph"/>
        <w:numPr>
          <w:ilvl w:val="0"/>
          <w:numId w:val="138"/>
        </w:numPr>
        <w:spacing w:before="240"/>
        <w:rPr>
          <w:noProof/>
        </w:rPr>
      </w:pPr>
      <w:r>
        <w:rPr>
          <w:noProof/>
        </w:rPr>
        <w:t xml:space="preserve">For passenger cars: by </w:t>
      </w:r>
      <w:r w:rsidR="00843724" w:rsidRPr="00FF63D1">
        <w:rPr>
          <w:noProof/>
        </w:rPr>
        <w:t xml:space="preserve">0.8% in 2027, and the increase in 2030 </w:t>
      </w:r>
      <w:r w:rsidR="00E35689">
        <w:rPr>
          <w:noProof/>
        </w:rPr>
        <w:t>is</w:t>
      </w:r>
      <w:r w:rsidR="00843724" w:rsidRPr="00FF63D1">
        <w:rPr>
          <w:noProof/>
        </w:rPr>
        <w:t xml:space="preserve"> more muted at 0.4%.</w:t>
      </w:r>
    </w:p>
    <w:p w14:paraId="68969449" w14:textId="00C20A43" w:rsidR="00C900D7" w:rsidRPr="00FF63D1" w:rsidRDefault="00D03695" w:rsidP="0087095B">
      <w:pPr>
        <w:pStyle w:val="ListParagraph"/>
        <w:numPr>
          <w:ilvl w:val="0"/>
          <w:numId w:val="138"/>
        </w:numPr>
        <w:spacing w:before="240"/>
        <w:rPr>
          <w:noProof/>
        </w:rPr>
      </w:pPr>
      <w:r>
        <w:rPr>
          <w:noProof/>
        </w:rPr>
        <w:t xml:space="preserve">For LCVs: </w:t>
      </w:r>
      <w:r w:rsidR="007A70DA" w:rsidRPr="00FF63D1">
        <w:rPr>
          <w:noProof/>
        </w:rPr>
        <w:t>by 2.4% in 2027 and 0.8% by 2030, with a corresponding larger increase in the number of EV LCVs sold.</w:t>
      </w:r>
    </w:p>
    <w:p w14:paraId="0E81BFC1" w14:textId="38BAAB15" w:rsidR="00C30265" w:rsidRDefault="00C30265">
      <w:pPr>
        <w:pStyle w:val="ListParagraph"/>
        <w:numPr>
          <w:ilvl w:val="0"/>
          <w:numId w:val="138"/>
        </w:numPr>
        <w:spacing w:before="240"/>
        <w:rPr>
          <w:noProof/>
        </w:rPr>
      </w:pPr>
      <w:r>
        <w:rPr>
          <w:noProof/>
        </w:rPr>
        <w:t xml:space="preserve">For HDVs: by </w:t>
      </w:r>
      <w:r w:rsidRPr="00FF63D1">
        <w:rPr>
          <w:noProof/>
        </w:rPr>
        <w:t>0.3% in 2027 and only increase 0.8% by 2030, with a corresponding larger increase of EV HDVs sold in 2027 and a smaller reduction of sales in 2030.</w:t>
      </w:r>
    </w:p>
    <w:p w14:paraId="591B05C9" w14:textId="77777777" w:rsidR="00D93C85" w:rsidRDefault="00D93C85" w:rsidP="00D93C85">
      <w:pPr>
        <w:spacing w:after="120"/>
        <w:rPr>
          <w:noProof/>
        </w:rPr>
      </w:pPr>
    </w:p>
    <w:p w14:paraId="318CA0CB" w14:textId="6C7B973F" w:rsidR="00D03695" w:rsidRDefault="00EC4345" w:rsidP="00D93C85">
      <w:pPr>
        <w:spacing w:after="120"/>
        <w:rPr>
          <w:noProof/>
        </w:rPr>
      </w:pPr>
      <w:r w:rsidRPr="00FF63D1">
        <w:rPr>
          <w:noProof/>
        </w:rPr>
        <w:t>LCV and HDV sections of the cost on consumers may be considered impact on the downstream sector, as most of LCVs and HDVs are purchased by downstream economic operators</w:t>
      </w:r>
      <w:r w:rsidR="00C900D7">
        <w:rPr>
          <w:noProof/>
        </w:rPr>
        <w:t>.</w:t>
      </w:r>
    </w:p>
    <w:p w14:paraId="249A93B6" w14:textId="77777777" w:rsidR="005B086C" w:rsidRPr="00FF63D1" w:rsidRDefault="005B086C" w:rsidP="00F70F47">
      <w:pPr>
        <w:pStyle w:val="JRCText"/>
        <w:spacing w:after="0" w:line="240" w:lineRule="auto"/>
        <w:jc w:val="both"/>
        <w:rPr>
          <w:rFonts w:ascii="Times New Roman" w:hAnsi="Times New Roman" w:cs="Times New Roman"/>
          <w:noProof/>
          <w:sz w:val="24"/>
          <w:szCs w:val="24"/>
        </w:rPr>
      </w:pPr>
    </w:p>
    <w:p w14:paraId="45D4148C" w14:textId="77777777" w:rsidR="00020031" w:rsidRPr="00AB1DF9" w:rsidRDefault="00020031" w:rsidP="00311DB3">
      <w:pPr>
        <w:pStyle w:val="Heading3"/>
        <w:numPr>
          <w:ilvl w:val="0"/>
          <w:numId w:val="0"/>
        </w:numPr>
        <w:spacing w:before="0" w:after="0"/>
        <w:ind w:left="720"/>
        <w:rPr>
          <w:b/>
        </w:rPr>
      </w:pPr>
      <w:r w:rsidRPr="00AB1DF9">
        <w:rPr>
          <w:b/>
        </w:rPr>
        <w:t>Social impacts</w:t>
      </w:r>
    </w:p>
    <w:p w14:paraId="03E97DEE" w14:textId="77777777" w:rsidR="00505789" w:rsidRPr="00FF63D1" w:rsidRDefault="00505789" w:rsidP="00505789">
      <w:pPr>
        <w:rPr>
          <w:rFonts w:eastAsia="Times New Roman"/>
          <w:noProof/>
          <w:color w:val="000000" w:themeColor="text1"/>
        </w:rPr>
      </w:pPr>
    </w:p>
    <w:p w14:paraId="1D800A42" w14:textId="3E45045E" w:rsidR="00A61081" w:rsidRPr="00FF63D1" w:rsidRDefault="00020031" w:rsidP="00505789">
      <w:pPr>
        <w:rPr>
          <w:rFonts w:eastAsia="Times New Roman"/>
          <w:noProof/>
          <w:color w:val="000000" w:themeColor="text1"/>
        </w:rPr>
      </w:pPr>
      <w:r w:rsidRPr="00FF63D1">
        <w:rPr>
          <w:rFonts w:eastAsia="Times New Roman"/>
          <w:noProof/>
          <w:color w:val="000000" w:themeColor="text1"/>
        </w:rPr>
        <w:t xml:space="preserve">See Section 6 of the Impact Assessment. </w:t>
      </w:r>
    </w:p>
    <w:p w14:paraId="50FA3CA0" w14:textId="77777777" w:rsidR="00020031" w:rsidRPr="00FF63D1" w:rsidRDefault="00020031" w:rsidP="00505789">
      <w:pPr>
        <w:rPr>
          <w:rFonts w:eastAsia="Times New Roman"/>
          <w:noProof/>
          <w:color w:val="000000" w:themeColor="text1"/>
        </w:rPr>
      </w:pPr>
    </w:p>
    <w:p w14:paraId="2AF4AD74" w14:textId="77777777" w:rsidR="00020031" w:rsidRPr="00AB1DF9" w:rsidRDefault="00020031" w:rsidP="00311DB3">
      <w:pPr>
        <w:pStyle w:val="Heading3"/>
        <w:numPr>
          <w:ilvl w:val="0"/>
          <w:numId w:val="0"/>
        </w:numPr>
        <w:spacing w:before="0" w:after="0"/>
        <w:ind w:left="720"/>
        <w:rPr>
          <w:b/>
        </w:rPr>
      </w:pPr>
      <w:r w:rsidRPr="00AB1DF9">
        <w:rPr>
          <w:b/>
        </w:rPr>
        <w:t>Environmental impacts</w:t>
      </w:r>
    </w:p>
    <w:p w14:paraId="5E554C11" w14:textId="77777777" w:rsidR="00505789" w:rsidRPr="00FF63D1" w:rsidRDefault="00505789" w:rsidP="00505789">
      <w:pPr>
        <w:rPr>
          <w:rFonts w:eastAsia="Times New Roman"/>
          <w:noProof/>
          <w:color w:val="000000" w:themeColor="text1"/>
        </w:rPr>
      </w:pPr>
    </w:p>
    <w:p w14:paraId="07AF0121" w14:textId="77777777" w:rsidR="00020031" w:rsidRPr="00FF63D1" w:rsidRDefault="00020031" w:rsidP="00505789">
      <w:pPr>
        <w:rPr>
          <w:rFonts w:eastAsia="Times New Roman"/>
          <w:noProof/>
          <w:color w:val="000000" w:themeColor="text1"/>
        </w:rPr>
      </w:pPr>
      <w:r w:rsidRPr="00FF63D1">
        <w:rPr>
          <w:rFonts w:eastAsia="Times New Roman"/>
          <w:noProof/>
          <w:color w:val="000000" w:themeColor="text1"/>
        </w:rPr>
        <w:t xml:space="preserve">See Section 6 of the Impact Assessment. </w:t>
      </w:r>
    </w:p>
    <w:bookmarkEnd w:id="699"/>
    <w:p w14:paraId="0FD8DD20" w14:textId="77777777" w:rsidR="00DF58A2" w:rsidRPr="00FF63D1" w:rsidRDefault="00DF58A2" w:rsidP="003E302F">
      <w:pPr>
        <w:rPr>
          <w:noProof/>
        </w:rPr>
      </w:pPr>
    </w:p>
    <w:p w14:paraId="53861000" w14:textId="77777777" w:rsidR="00AD2769" w:rsidRPr="00E71388" w:rsidRDefault="00AD2769" w:rsidP="00DF58A2">
      <w:pPr>
        <w:spacing w:after="160" w:line="278" w:lineRule="auto"/>
        <w:jc w:val="left"/>
        <w:rPr>
          <w:b/>
          <w:noProof/>
        </w:rPr>
      </w:pPr>
      <w:r w:rsidRPr="00E71388">
        <w:rPr>
          <w:b/>
          <w:noProof/>
        </w:rPr>
        <w:t>LEAD_VC 2</w:t>
      </w:r>
    </w:p>
    <w:p w14:paraId="515C5485" w14:textId="15EAA294" w:rsidR="00203E76" w:rsidRPr="00E71388" w:rsidRDefault="005A345A" w:rsidP="00D93C85">
      <w:pPr>
        <w:spacing w:after="120"/>
        <w:rPr>
          <w:noProof/>
        </w:rPr>
      </w:pPr>
      <w:r>
        <w:rPr>
          <w:noProof/>
        </w:rPr>
        <w:t>G</w:t>
      </w:r>
      <w:r w:rsidR="00203E76" w:rsidRPr="00E71388">
        <w:rPr>
          <w:noProof/>
        </w:rPr>
        <w:t>lobal greenhouse gas emissions from vehicle manufacturing decrease by 0.9</w:t>
      </w:r>
      <w:r w:rsidR="00284425">
        <w:rPr>
          <w:noProof/>
        </w:rPr>
        <w:t xml:space="preserve"> Mtonnes </w:t>
      </w:r>
      <w:r w:rsidR="00203E76" w:rsidRPr="00E71388">
        <w:rPr>
          <w:noProof/>
        </w:rPr>
        <w:t>CO2e in 2027 and by 0.7</w:t>
      </w:r>
      <w:r w:rsidR="00284425">
        <w:rPr>
          <w:noProof/>
        </w:rPr>
        <w:t xml:space="preserve"> Mtonnes </w:t>
      </w:r>
      <w:r w:rsidR="00203E76" w:rsidRPr="00E71388">
        <w:rPr>
          <w:noProof/>
        </w:rPr>
        <w:t>in 2030 due to shifts in production; they further decline by 0.1 - 0.2</w:t>
      </w:r>
      <w:r w:rsidR="00284425">
        <w:rPr>
          <w:noProof/>
        </w:rPr>
        <w:t xml:space="preserve"> Mtonnes </w:t>
      </w:r>
      <w:r w:rsidR="00203E76" w:rsidRPr="00E71388">
        <w:rPr>
          <w:noProof/>
        </w:rPr>
        <w:t xml:space="preserve">due to reductions in international transport associated with EU imports. </w:t>
      </w:r>
    </w:p>
    <w:p w14:paraId="445022F5" w14:textId="77777777" w:rsidR="00B12F38" w:rsidRPr="00B12F38" w:rsidRDefault="00203E76" w:rsidP="00AE4107">
      <w:pPr>
        <w:rPr>
          <w:noProof/>
        </w:rPr>
      </w:pPr>
      <w:bookmarkStart w:id="720" w:name="_Toc222159391"/>
      <w:r w:rsidRPr="00B12F38">
        <w:rPr>
          <w:noProof/>
        </w:rPr>
        <w:t>In sum, the environmental effects remain very similar across LEAD_VC</w:t>
      </w:r>
      <w:r w:rsidR="00CF00BD" w:rsidRPr="00B12F38">
        <w:rPr>
          <w:noProof/>
        </w:rPr>
        <w:t xml:space="preserve"> </w:t>
      </w:r>
      <w:r w:rsidRPr="00B12F38">
        <w:rPr>
          <w:noProof/>
        </w:rPr>
        <w:t>1 and LEAD_VC</w:t>
      </w:r>
      <w:r w:rsidR="00CF00BD" w:rsidRPr="00B12F38">
        <w:rPr>
          <w:noProof/>
        </w:rPr>
        <w:t xml:space="preserve"> </w:t>
      </w:r>
      <w:r w:rsidRPr="00B12F38">
        <w:rPr>
          <w:noProof/>
        </w:rPr>
        <w:t>2.</w:t>
      </w:r>
      <w:bookmarkStart w:id="721" w:name="_Toc207192568"/>
      <w:bookmarkEnd w:id="720"/>
    </w:p>
    <w:p w14:paraId="20CB563B" w14:textId="109BCE90" w:rsidR="005777A3" w:rsidRPr="0002584E" w:rsidRDefault="005777A3" w:rsidP="0002584E">
      <w:pPr>
        <w:pStyle w:val="Heading1"/>
        <w:numPr>
          <w:ilvl w:val="0"/>
          <w:numId w:val="0"/>
        </w:numPr>
        <w:rPr>
          <w:rFonts w:ascii="Times" w:hAnsi="Times" w:cs="Times"/>
          <w:b/>
          <w:noProof/>
          <w:color w:val="auto"/>
          <w:sz w:val="28"/>
          <w:szCs w:val="28"/>
        </w:rPr>
      </w:pPr>
      <w:bookmarkStart w:id="722" w:name="_Toc222159392"/>
      <w:bookmarkStart w:id="723" w:name="_Toc222490055"/>
      <w:r w:rsidRPr="0002584E">
        <w:rPr>
          <w:rFonts w:ascii="Times" w:hAnsi="Times" w:cs="Times"/>
          <w:b/>
          <w:noProof/>
          <w:color w:val="auto"/>
          <w:sz w:val="28"/>
          <w:szCs w:val="28"/>
        </w:rPr>
        <w:t>A</w:t>
      </w:r>
      <w:r w:rsidR="003E302F" w:rsidRPr="0002584E">
        <w:rPr>
          <w:rFonts w:ascii="Times" w:hAnsi="Times" w:cs="Times"/>
          <w:b/>
          <w:noProof/>
          <w:color w:val="auto"/>
          <w:sz w:val="28"/>
          <w:szCs w:val="28"/>
        </w:rPr>
        <w:t>nnex</w:t>
      </w:r>
      <w:r w:rsidRPr="0002584E">
        <w:rPr>
          <w:rFonts w:ascii="Times" w:hAnsi="Times" w:cs="Times"/>
          <w:b/>
          <w:noProof/>
          <w:color w:val="auto"/>
          <w:sz w:val="28"/>
          <w:szCs w:val="28"/>
        </w:rPr>
        <w:t xml:space="preserve"> 12</w:t>
      </w:r>
      <w:r w:rsidR="00BC7C29" w:rsidRPr="0002584E">
        <w:rPr>
          <w:rFonts w:ascii="Times" w:hAnsi="Times" w:cs="Times"/>
          <w:b/>
          <w:noProof/>
          <w:color w:val="auto"/>
          <w:sz w:val="28"/>
          <w:szCs w:val="28"/>
        </w:rPr>
        <w:t>:</w:t>
      </w:r>
      <w:r w:rsidRPr="0002584E">
        <w:rPr>
          <w:rFonts w:ascii="Times" w:hAnsi="Times" w:cs="Times"/>
          <w:b/>
          <w:noProof/>
          <w:color w:val="auto"/>
          <w:sz w:val="28"/>
          <w:szCs w:val="28"/>
        </w:rPr>
        <w:t xml:space="preserve"> De</w:t>
      </w:r>
      <w:r w:rsidR="00244927" w:rsidRPr="0002584E">
        <w:rPr>
          <w:rFonts w:ascii="Times" w:hAnsi="Times" w:cs="Times"/>
          <w:b/>
          <w:noProof/>
          <w:color w:val="auto"/>
          <w:sz w:val="28"/>
          <w:szCs w:val="28"/>
        </w:rPr>
        <w:t>velopment of a low-carbon product label for steel</w:t>
      </w:r>
      <w:bookmarkStart w:id="724" w:name="_Toc51790706"/>
      <w:bookmarkStart w:id="725" w:name="_Toc60754558"/>
      <w:bookmarkStart w:id="726" w:name="_Toc60759357"/>
      <w:bookmarkStart w:id="727" w:name="_Toc60759680"/>
      <w:bookmarkStart w:id="728" w:name="_Toc60768073"/>
      <w:bookmarkStart w:id="729" w:name="_Toc60914429"/>
      <w:bookmarkStart w:id="730" w:name="_Toc60931700"/>
      <w:bookmarkStart w:id="731" w:name="_Toc60937664"/>
      <w:bookmarkStart w:id="732" w:name="_Toc60938055"/>
      <w:bookmarkStart w:id="733" w:name="_Toc61020612"/>
      <w:bookmarkStart w:id="734" w:name="_Toc61287084"/>
      <w:bookmarkStart w:id="735" w:name="_Toc61288183"/>
      <w:bookmarkStart w:id="736" w:name="_Toc61288426"/>
      <w:bookmarkStart w:id="737" w:name="_Toc61731326"/>
      <w:bookmarkStart w:id="738" w:name="_Toc61906223"/>
      <w:bookmarkStart w:id="739" w:name="_Toc61906787"/>
      <w:bookmarkStart w:id="740" w:name="_Toc62056284"/>
      <w:bookmarkStart w:id="741" w:name="_Toc62056921"/>
      <w:bookmarkStart w:id="742" w:name="_Toc62059008"/>
      <w:bookmarkStart w:id="743" w:name="_Toc62060103"/>
      <w:bookmarkStart w:id="744" w:name="_Toc62063113"/>
      <w:bookmarkStart w:id="745" w:name="_Toc62063278"/>
      <w:bookmarkStart w:id="746" w:name="_Toc62064555"/>
      <w:bookmarkStart w:id="747" w:name="_Toc62065177"/>
      <w:bookmarkStart w:id="748" w:name="_Toc62080999"/>
      <w:bookmarkStart w:id="749" w:name="_Toc62083324"/>
      <w:bookmarkStart w:id="750" w:name="_Toc62210659"/>
      <w:bookmarkStart w:id="751" w:name="_Toc62213428"/>
      <w:bookmarkStart w:id="752" w:name="_Toc62220255"/>
      <w:bookmarkStart w:id="753" w:name="_Toc62220718"/>
      <w:bookmarkStart w:id="754" w:name="_Toc62228476"/>
      <w:bookmarkStart w:id="755" w:name="_Toc62233178"/>
      <w:bookmarkStart w:id="756" w:name="_Toc62233783"/>
      <w:bookmarkStart w:id="757" w:name="_Toc62234725"/>
      <w:bookmarkStart w:id="758" w:name="_Toc62234849"/>
      <w:bookmarkStart w:id="759" w:name="_Toc62239839"/>
      <w:bookmarkStart w:id="760" w:name="_Toc62740428"/>
      <w:bookmarkStart w:id="761" w:name="_Toc62752726"/>
      <w:bookmarkStart w:id="762" w:name="_Toc62824292"/>
      <w:bookmarkStart w:id="763" w:name="_Toc62829413"/>
      <w:bookmarkStart w:id="764" w:name="_Toc62831998"/>
      <w:bookmarkStart w:id="765" w:name="_Toc62836039"/>
      <w:bookmarkStart w:id="766" w:name="_Toc63066115"/>
      <w:bookmarkStart w:id="767" w:name="_Toc63079190"/>
      <w:bookmarkStart w:id="768" w:name="_Toc63082397"/>
      <w:bookmarkStart w:id="769" w:name="_Toc63095462"/>
      <w:bookmarkStart w:id="770" w:name="_Toc63096406"/>
      <w:bookmarkStart w:id="771" w:name="_Toc63096797"/>
      <w:bookmarkStart w:id="772" w:name="_Toc63097892"/>
      <w:bookmarkStart w:id="773" w:name="_Toc63181101"/>
      <w:bookmarkStart w:id="774" w:name="_Toc63197675"/>
      <w:bookmarkStart w:id="775" w:name="_Toc63335572"/>
      <w:bookmarkStart w:id="776" w:name="_Toc63339264"/>
      <w:bookmarkStart w:id="777" w:name="_Toc63344602"/>
      <w:bookmarkStart w:id="778" w:name="_Toc63355378"/>
      <w:bookmarkStart w:id="779" w:name="_Toc63356051"/>
      <w:bookmarkStart w:id="780" w:name="_Toc63374560"/>
      <w:bookmarkStart w:id="781" w:name="_Toc63382138"/>
      <w:bookmarkStart w:id="782" w:name="_Toc64303452"/>
      <w:bookmarkStart w:id="783" w:name="_Toc64303847"/>
      <w:bookmarkStart w:id="784" w:name="_Toc64309154"/>
      <w:bookmarkStart w:id="785" w:name="_Toc64317632"/>
      <w:bookmarkStart w:id="786" w:name="_Toc64392513"/>
      <w:bookmarkStart w:id="787" w:name="_Toc64394271"/>
      <w:bookmarkStart w:id="788" w:name="_Toc64534555"/>
      <w:bookmarkStart w:id="789" w:name="_Toc64539131"/>
      <w:bookmarkStart w:id="790" w:name="_Toc64540409"/>
      <w:bookmarkStart w:id="791" w:name="_Toc64540761"/>
      <w:bookmarkStart w:id="792" w:name="_Toc64542584"/>
      <w:bookmarkStart w:id="793" w:name="_Toc64545133"/>
      <w:bookmarkStart w:id="794" w:name="_Toc64545312"/>
      <w:bookmarkStart w:id="795" w:name="_Toc64545498"/>
      <w:bookmarkStart w:id="796" w:name="_Toc64547679"/>
      <w:bookmarkStart w:id="797" w:name="_Toc64548575"/>
      <w:bookmarkStart w:id="798" w:name="_Toc64548916"/>
      <w:bookmarkStart w:id="799" w:name="_Toc64561181"/>
      <w:bookmarkStart w:id="800" w:name="_Toc64561496"/>
      <w:bookmarkStart w:id="801" w:name="_Toc64567878"/>
      <w:bookmarkStart w:id="802" w:name="_Toc64567701"/>
      <w:bookmarkStart w:id="803" w:name="_Toc64582436"/>
      <w:bookmarkStart w:id="804" w:name="_Toc64582873"/>
      <w:bookmarkStart w:id="805" w:name="_Toc64655966"/>
      <w:bookmarkStart w:id="806" w:name="_Toc64656973"/>
      <w:bookmarkStart w:id="807" w:name="_Toc64659629"/>
      <w:bookmarkStart w:id="808" w:name="_Toc65071026"/>
      <w:bookmarkStart w:id="809" w:name="_Toc65078513"/>
      <w:bookmarkStart w:id="810" w:name="_Toc65083990"/>
      <w:bookmarkStart w:id="811" w:name="_Toc65085336"/>
      <w:bookmarkStart w:id="812" w:name="_Toc65086705"/>
      <w:bookmarkStart w:id="813" w:name="_Toc65087089"/>
      <w:bookmarkStart w:id="814" w:name="_Toc65092641"/>
      <w:bookmarkStart w:id="815" w:name="_Toc65096647"/>
      <w:bookmarkStart w:id="816" w:name="_Toc65958275"/>
      <w:bookmarkStart w:id="817" w:name="_Toc65968724"/>
      <w:bookmarkStart w:id="818" w:name="_Toc66041595"/>
      <w:bookmarkStart w:id="819" w:name="_Toc66054410"/>
      <w:bookmarkStart w:id="820" w:name="_Toc66055924"/>
      <w:bookmarkStart w:id="821" w:name="_Toc66087697"/>
      <w:bookmarkStart w:id="822" w:name="_Toc66090683"/>
      <w:bookmarkStart w:id="823" w:name="_Toc66092984"/>
      <w:bookmarkStart w:id="824" w:name="_Toc66094621"/>
      <w:bookmarkStart w:id="825" w:name="_Toc66097069"/>
      <w:bookmarkStart w:id="826" w:name="_Toc66098921"/>
      <w:bookmarkStart w:id="827" w:name="_Toc66109700"/>
      <w:bookmarkStart w:id="828" w:name="_Toc66112681"/>
      <w:bookmarkStart w:id="829" w:name="_Toc66125313"/>
      <w:bookmarkStart w:id="830" w:name="_Toc66125638"/>
      <w:bookmarkStart w:id="831" w:name="_Toc66226247"/>
      <w:bookmarkStart w:id="832" w:name="_Toc66229579"/>
      <w:bookmarkStart w:id="833" w:name="_Toc67043629"/>
      <w:bookmarkStart w:id="834" w:name="_Toc71587717"/>
      <w:bookmarkStart w:id="835" w:name="_Toc73142518"/>
      <w:bookmarkStart w:id="836" w:name="_Toc73298435"/>
      <w:bookmarkStart w:id="837" w:name="_Toc73310585"/>
      <w:bookmarkStart w:id="838" w:name="_Toc73313608"/>
      <w:bookmarkStart w:id="839" w:name="_Toc75444164"/>
      <w:bookmarkStart w:id="840" w:name="_Toc75465181"/>
      <w:bookmarkStart w:id="841" w:name="_Toc75499658"/>
      <w:bookmarkStart w:id="842" w:name="_Toc75962253"/>
      <w:bookmarkStart w:id="843" w:name="_Toc206091400"/>
      <w:bookmarkEnd w:id="2"/>
      <w:bookmarkEnd w:id="721"/>
      <w:bookmarkEnd w:id="722"/>
      <w:bookmarkEnd w:id="723"/>
    </w:p>
    <w:p w14:paraId="6652157F" w14:textId="77777777" w:rsidR="00547A58" w:rsidRPr="00FF63D1" w:rsidRDefault="00547A58" w:rsidP="0079042F">
      <w:pPr>
        <w:rPr>
          <w:noProof/>
        </w:rPr>
      </w:pPr>
    </w:p>
    <w:p w14:paraId="50259ECA" w14:textId="1CF0179F" w:rsidR="00E860A3" w:rsidRPr="00FF63D1" w:rsidRDefault="00E91296" w:rsidP="00D8707E">
      <w:pPr>
        <w:pStyle w:val="Heading2"/>
        <w:numPr>
          <w:ilvl w:val="3"/>
          <w:numId w:val="25"/>
        </w:numPr>
        <w:spacing w:before="0" w:after="0"/>
        <w:ind w:left="284" w:hanging="284"/>
      </w:pPr>
      <w:bookmarkStart w:id="844" w:name="_Toc207192569"/>
      <w:bookmarkStart w:id="845" w:name="_Toc212728876"/>
      <w:bookmarkStart w:id="846" w:name="_Toc212729404"/>
      <w:bookmarkStart w:id="847" w:name="_Toc215506348"/>
      <w:bookmarkStart w:id="848" w:name="_Toc222490056"/>
      <w:r w:rsidRPr="00FF63D1">
        <w:t xml:space="preserve">Description of the </w:t>
      </w:r>
      <w:bookmarkStart w:id="849" w:name="_Toc198895410"/>
      <w:bookmarkStart w:id="850" w:name="_Toc198895506"/>
      <w:bookmarkStart w:id="851" w:name="_Toc198896430"/>
      <w:bookmarkStart w:id="852" w:name="_Toc199165109"/>
      <w:bookmarkStart w:id="853" w:name="_Toc199168377"/>
      <w:bookmarkStart w:id="854" w:name="_Toc199335426"/>
      <w:bookmarkStart w:id="855" w:name="_Toc63335577"/>
      <w:bookmarkStart w:id="856" w:name="_Toc63339269"/>
      <w:bookmarkStart w:id="857" w:name="_Toc63344607"/>
      <w:bookmarkStart w:id="858" w:name="_Toc63355383"/>
      <w:bookmarkStart w:id="859" w:name="_Toc63356056"/>
      <w:bookmarkStart w:id="860" w:name="_Toc63374565"/>
      <w:bookmarkStart w:id="861" w:name="_Toc63382143"/>
      <w:bookmarkStart w:id="862" w:name="_Toc64303457"/>
      <w:bookmarkStart w:id="863" w:name="_Toc64303852"/>
      <w:bookmarkStart w:id="864" w:name="_Toc64309159"/>
      <w:bookmarkStart w:id="865" w:name="_Toc64317637"/>
      <w:bookmarkStart w:id="866" w:name="_Toc64392518"/>
      <w:bookmarkStart w:id="867" w:name="_Toc64394276"/>
      <w:bookmarkStart w:id="868" w:name="_Toc64534560"/>
      <w:bookmarkStart w:id="869" w:name="_Toc64539136"/>
      <w:bookmarkStart w:id="870" w:name="_Toc64540414"/>
      <w:bookmarkStart w:id="871" w:name="_Toc64540766"/>
      <w:bookmarkStart w:id="872" w:name="_Toc64542589"/>
      <w:bookmarkStart w:id="873" w:name="_Toc64545138"/>
      <w:bookmarkStart w:id="874" w:name="_Toc64545317"/>
      <w:bookmarkStart w:id="875" w:name="_Toc64545503"/>
      <w:bookmarkStart w:id="876" w:name="_Toc64547684"/>
      <w:bookmarkStart w:id="877" w:name="_Toc64548580"/>
      <w:bookmarkStart w:id="878" w:name="_Toc64548921"/>
      <w:bookmarkStart w:id="879" w:name="_Toc64561186"/>
      <w:bookmarkStart w:id="880" w:name="_Toc64561501"/>
      <w:bookmarkStart w:id="881" w:name="_Toc64567883"/>
      <w:bookmarkStart w:id="882" w:name="_Toc64567706"/>
      <w:bookmarkStart w:id="883" w:name="_Toc64582441"/>
      <w:bookmarkStart w:id="884" w:name="_Toc64582878"/>
      <w:bookmarkStart w:id="885" w:name="_Toc64655971"/>
      <w:bookmarkStart w:id="886" w:name="_Toc64656978"/>
      <w:bookmarkStart w:id="887" w:name="_Toc64659634"/>
      <w:bookmarkStart w:id="888" w:name="_Toc65071031"/>
      <w:bookmarkStart w:id="889" w:name="_Toc65078518"/>
      <w:bookmarkStart w:id="890" w:name="_Toc65083995"/>
      <w:bookmarkStart w:id="891" w:name="_Toc65085341"/>
      <w:bookmarkStart w:id="892" w:name="_Toc65086710"/>
      <w:bookmarkStart w:id="893" w:name="_Toc65087094"/>
      <w:bookmarkStart w:id="894" w:name="_Toc65092646"/>
      <w:bookmarkStart w:id="895" w:name="_Toc65096652"/>
      <w:bookmarkStart w:id="896" w:name="_Toc65958280"/>
      <w:bookmarkStart w:id="897" w:name="_Toc65968729"/>
      <w:bookmarkStart w:id="898" w:name="_Toc66041600"/>
      <w:bookmarkStart w:id="899" w:name="_Toc66054415"/>
      <w:bookmarkStart w:id="900" w:name="_Toc66055929"/>
      <w:bookmarkStart w:id="901" w:name="_Toc66087702"/>
      <w:bookmarkStart w:id="902" w:name="_Toc66090688"/>
      <w:bookmarkStart w:id="903" w:name="_Toc66092989"/>
      <w:bookmarkStart w:id="904" w:name="_Toc66094626"/>
      <w:bookmarkStart w:id="905" w:name="_Toc66097074"/>
      <w:bookmarkStart w:id="906" w:name="_Toc66098926"/>
      <w:bookmarkStart w:id="907" w:name="_Toc66109705"/>
      <w:bookmarkStart w:id="908" w:name="_Toc66112686"/>
      <w:bookmarkStart w:id="909" w:name="_Toc66125318"/>
      <w:bookmarkStart w:id="910" w:name="_Toc66125643"/>
      <w:bookmarkStart w:id="911" w:name="_Toc66226252"/>
      <w:bookmarkStart w:id="912" w:name="_Toc66229584"/>
      <w:bookmarkStart w:id="913" w:name="_Toc67043634"/>
      <w:bookmarkStart w:id="914" w:name="_Ref71566547"/>
      <w:bookmarkStart w:id="915" w:name="_Toc71587718"/>
      <w:bookmarkStart w:id="916" w:name="_Toc73142519"/>
      <w:bookmarkStart w:id="917" w:name="_Toc73298436"/>
      <w:bookmarkStart w:id="918" w:name="_Toc73310586"/>
      <w:bookmarkStart w:id="919" w:name="_Toc73313609"/>
      <w:bookmarkStart w:id="920" w:name="_Toc75444165"/>
      <w:bookmarkStart w:id="921" w:name="_Toc75465182"/>
      <w:bookmarkStart w:id="922" w:name="_Toc75499659"/>
      <w:bookmarkStart w:id="923" w:name="_Toc75962254"/>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9"/>
      <w:bookmarkEnd w:id="850"/>
      <w:bookmarkEnd w:id="851"/>
      <w:bookmarkEnd w:id="852"/>
      <w:bookmarkEnd w:id="853"/>
      <w:bookmarkEnd w:id="854"/>
      <w:r w:rsidR="005777A3" w:rsidRPr="00FF63D1">
        <w:t>design elements</w:t>
      </w:r>
      <w:bookmarkEnd w:id="843"/>
      <w:bookmarkEnd w:id="844"/>
      <w:bookmarkEnd w:id="845"/>
      <w:bookmarkEnd w:id="846"/>
      <w:bookmarkEnd w:id="847"/>
      <w:bookmarkEnd w:id="848"/>
      <w:r w:rsidR="005777A3" w:rsidRPr="00FF63D1">
        <w:t xml:space="preserve"> </w:t>
      </w:r>
    </w:p>
    <w:p w14:paraId="45B176E8" w14:textId="77777777" w:rsidR="00547A58" w:rsidRPr="00FF63D1" w:rsidRDefault="00547A58" w:rsidP="00547A58">
      <w:pPr>
        <w:rPr>
          <w:noProof/>
        </w:rPr>
      </w:pPr>
    </w:p>
    <w:p w14:paraId="1FF5E5D6" w14:textId="5CD390B3" w:rsidR="00BC2B23" w:rsidRPr="00FF63D1" w:rsidRDefault="007767EA" w:rsidP="00547A58">
      <w:pPr>
        <w:pStyle w:val="Heading3"/>
        <w:numPr>
          <w:ilvl w:val="0"/>
          <w:numId w:val="0"/>
        </w:numPr>
        <w:spacing w:before="0" w:after="0"/>
      </w:pPr>
      <w:bookmarkStart w:id="924" w:name="_Toc206091401"/>
      <w:r w:rsidRPr="00FF63D1">
        <w:t>Overview of policy options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sidRPr="00FF63D1">
        <w:t xml:space="preserve"> and policy scenarios used for the analysis</w:t>
      </w:r>
      <w:bookmarkEnd w:id="914"/>
      <w:bookmarkEnd w:id="915"/>
      <w:bookmarkEnd w:id="916"/>
      <w:bookmarkEnd w:id="917"/>
      <w:bookmarkEnd w:id="918"/>
      <w:bookmarkEnd w:id="919"/>
      <w:bookmarkEnd w:id="920"/>
      <w:bookmarkEnd w:id="921"/>
      <w:bookmarkEnd w:id="922"/>
      <w:bookmarkEnd w:id="923"/>
      <w:bookmarkEnd w:id="924"/>
    </w:p>
    <w:p w14:paraId="54E3704F" w14:textId="77777777" w:rsidR="00547A58" w:rsidRPr="00FF63D1" w:rsidRDefault="00547A58" w:rsidP="00547A58">
      <w:pPr>
        <w:rPr>
          <w:noProof/>
        </w:rPr>
      </w:pPr>
    </w:p>
    <w:p w14:paraId="405F2101" w14:textId="021F6DFE" w:rsidR="007767EA" w:rsidRPr="00FF63D1" w:rsidRDefault="589B691B" w:rsidP="00547A58">
      <w:pPr>
        <w:rPr>
          <w:noProof/>
        </w:rPr>
      </w:pPr>
      <w:r w:rsidRPr="00FF63D1">
        <w:rPr>
          <w:noProof/>
        </w:rPr>
        <w:t>The following table provides an overview of the policy options for the low-carbon product GHG label for steel presented under LAB</w:t>
      </w:r>
      <w:r w:rsidR="0034088F">
        <w:rPr>
          <w:noProof/>
        </w:rPr>
        <w:t xml:space="preserve"> </w:t>
      </w:r>
      <w:r w:rsidRPr="00FF63D1">
        <w:rPr>
          <w:noProof/>
        </w:rPr>
        <w:t xml:space="preserve">2. This annex further describes the policy options in this section and retained for assessment in </w:t>
      </w:r>
      <w:r w:rsidR="00E8682E">
        <w:rPr>
          <w:noProof/>
        </w:rPr>
        <w:t>Section</w:t>
      </w:r>
      <w:r w:rsidRPr="00FF63D1">
        <w:rPr>
          <w:noProof/>
        </w:rPr>
        <w:t xml:space="preserve"> 2. </w:t>
      </w:r>
    </w:p>
    <w:p w14:paraId="6C227992" w14:textId="43FA9F8E" w:rsidR="007767EA" w:rsidRPr="00FF63D1" w:rsidRDefault="007767EA" w:rsidP="00547A58">
      <w:pPr>
        <w:rPr>
          <w:noProof/>
        </w:rPr>
      </w:pPr>
    </w:p>
    <w:p w14:paraId="526930DD" w14:textId="277F3538" w:rsidR="004E3F04" w:rsidRPr="00FF63D1" w:rsidRDefault="004E3F04" w:rsidP="008A0BFF">
      <w:pPr>
        <w:pStyle w:val="Caption"/>
        <w:keepNext/>
        <w:rPr>
          <w:noProof/>
        </w:rPr>
      </w:pPr>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end"/>
      </w:r>
      <w:r w:rsidRPr="00FF63D1">
        <w:rPr>
          <w:noProof/>
        </w:rPr>
        <w:t>: Overview of policy options assessed</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7305"/>
      </w:tblGrid>
      <w:tr w:rsidR="007767EA" w:rsidRPr="00FF63D1" w14:paraId="392BFE6B" w14:textId="77777777" w:rsidTr="00772BE3">
        <w:trPr>
          <w:trHeight w:val="257"/>
        </w:trPr>
        <w:tc>
          <w:tcPr>
            <w:tcW w:w="949" w:type="pct"/>
          </w:tcPr>
          <w:p w14:paraId="019EC7DC" w14:textId="77777777" w:rsidR="007767EA" w:rsidRPr="00E71388" w:rsidRDefault="007767EA" w:rsidP="00547A58">
            <w:pPr>
              <w:pStyle w:val="Body"/>
              <w:spacing w:after="0" w:line="240" w:lineRule="auto"/>
              <w:rPr>
                <w:noProof/>
                <w:sz w:val="20"/>
                <w:szCs w:val="20"/>
                <w:lang w:val="en-IE"/>
              </w:rPr>
            </w:pPr>
          </w:p>
        </w:tc>
        <w:tc>
          <w:tcPr>
            <w:tcW w:w="4051" w:type="pct"/>
          </w:tcPr>
          <w:p w14:paraId="4365F31A" w14:textId="24D9424B" w:rsidR="007767EA" w:rsidRPr="00E71388" w:rsidRDefault="007767EA" w:rsidP="00547A58">
            <w:pPr>
              <w:pStyle w:val="Body"/>
              <w:spacing w:after="0" w:line="240" w:lineRule="auto"/>
              <w:rPr>
                <w:b/>
                <w:noProof/>
                <w:sz w:val="20"/>
                <w:szCs w:val="20"/>
                <w:lang w:val="en-IE"/>
              </w:rPr>
            </w:pPr>
            <w:r w:rsidRPr="00E71388">
              <w:rPr>
                <w:b/>
                <w:noProof/>
                <w:sz w:val="20"/>
                <w:szCs w:val="20"/>
                <w:lang w:val="en-IE"/>
              </w:rPr>
              <w:t xml:space="preserve">Development of low-carbon product </w:t>
            </w:r>
            <w:r w:rsidR="309F6033" w:rsidRPr="00E71388">
              <w:rPr>
                <w:b/>
                <w:bCs/>
                <w:noProof/>
                <w:sz w:val="20"/>
                <w:szCs w:val="20"/>
                <w:lang w:val="en-IE"/>
              </w:rPr>
              <w:t xml:space="preserve">GHG </w:t>
            </w:r>
            <w:r w:rsidRPr="00E71388">
              <w:rPr>
                <w:b/>
                <w:noProof/>
                <w:sz w:val="20"/>
                <w:szCs w:val="20"/>
                <w:lang w:val="en-IE"/>
              </w:rPr>
              <w:t>label for steel</w:t>
            </w:r>
          </w:p>
        </w:tc>
      </w:tr>
      <w:tr w:rsidR="007767EA" w:rsidRPr="00FF63D1" w14:paraId="00E5C703" w14:textId="77777777" w:rsidTr="00772BE3">
        <w:trPr>
          <w:trHeight w:val="237"/>
        </w:trPr>
        <w:tc>
          <w:tcPr>
            <w:tcW w:w="949" w:type="pct"/>
          </w:tcPr>
          <w:p w14:paraId="67CC293C" w14:textId="77777777" w:rsidR="007767EA" w:rsidRPr="00E71388" w:rsidRDefault="007767EA" w:rsidP="00547A58">
            <w:pPr>
              <w:pStyle w:val="Body"/>
              <w:spacing w:after="0" w:line="240" w:lineRule="auto"/>
              <w:rPr>
                <w:noProof/>
                <w:sz w:val="20"/>
                <w:szCs w:val="20"/>
                <w:lang w:val="en-IE"/>
              </w:rPr>
            </w:pPr>
            <w:r w:rsidRPr="00E71388">
              <w:rPr>
                <w:noProof/>
                <w:sz w:val="20"/>
                <w:szCs w:val="20"/>
                <w:lang w:val="en-IE"/>
              </w:rPr>
              <w:t>Baseline</w:t>
            </w:r>
          </w:p>
        </w:tc>
        <w:tc>
          <w:tcPr>
            <w:tcW w:w="4051" w:type="pct"/>
          </w:tcPr>
          <w:p w14:paraId="1E56BEE3" w14:textId="4A3046D4" w:rsidR="007767EA" w:rsidRPr="00E71388" w:rsidRDefault="589B691B" w:rsidP="00547A58">
            <w:pPr>
              <w:pStyle w:val="Body"/>
              <w:spacing w:after="0" w:line="240" w:lineRule="auto"/>
              <w:rPr>
                <w:noProof/>
                <w:sz w:val="20"/>
                <w:szCs w:val="20"/>
                <w:lang w:val="en-IE"/>
              </w:rPr>
            </w:pPr>
            <w:r w:rsidRPr="00E71388">
              <w:rPr>
                <w:noProof/>
                <w:sz w:val="20"/>
                <w:szCs w:val="20"/>
                <w:lang w:val="en-IE"/>
              </w:rPr>
              <w:t xml:space="preserve">Existence of private GHG product labels, published ETS-installation emissions, planned work under the ESPR </w:t>
            </w:r>
          </w:p>
        </w:tc>
      </w:tr>
      <w:tr w:rsidR="007767EA" w:rsidRPr="00FF63D1" w14:paraId="0BE5E6FB" w14:textId="77777777" w:rsidTr="00772BE3">
        <w:trPr>
          <w:trHeight w:val="1186"/>
        </w:trPr>
        <w:tc>
          <w:tcPr>
            <w:tcW w:w="949" w:type="pct"/>
          </w:tcPr>
          <w:p w14:paraId="0A106894" w14:textId="129F9B06" w:rsidR="007767EA" w:rsidRPr="00E71388" w:rsidRDefault="589B691B" w:rsidP="00547A58">
            <w:pPr>
              <w:pStyle w:val="Body"/>
              <w:spacing w:after="0" w:line="240" w:lineRule="auto"/>
              <w:rPr>
                <w:noProof/>
                <w:sz w:val="20"/>
                <w:szCs w:val="20"/>
                <w:lang w:val="en-IE"/>
              </w:rPr>
            </w:pPr>
            <w:r w:rsidRPr="00E71388">
              <w:rPr>
                <w:noProof/>
                <w:sz w:val="20"/>
                <w:szCs w:val="20"/>
                <w:lang w:val="en-IE"/>
              </w:rPr>
              <w:t>Determination GHG-intensity</w:t>
            </w:r>
          </w:p>
        </w:tc>
        <w:tc>
          <w:tcPr>
            <w:tcW w:w="4051" w:type="pct"/>
          </w:tcPr>
          <w:p w14:paraId="3288A8DE" w14:textId="3029907F" w:rsidR="007767EA" w:rsidRPr="00E71388" w:rsidRDefault="7610940C" w:rsidP="00547A58">
            <w:pPr>
              <w:pStyle w:val="Body"/>
              <w:spacing w:after="0" w:line="240" w:lineRule="auto"/>
              <w:rPr>
                <w:noProof/>
                <w:sz w:val="20"/>
                <w:szCs w:val="20"/>
                <w:lang w:val="en-IE"/>
              </w:rPr>
            </w:pPr>
            <w:r w:rsidRPr="00E71388">
              <w:rPr>
                <w:b/>
                <w:bCs/>
                <w:noProof/>
                <w:sz w:val="20"/>
                <w:szCs w:val="20"/>
                <w:lang w:val="en-IE"/>
              </w:rPr>
              <w:t xml:space="preserve">CALC1 </w:t>
            </w:r>
            <w:r w:rsidRPr="00E71388">
              <w:rPr>
                <w:noProof/>
                <w:sz w:val="20"/>
                <w:szCs w:val="20"/>
                <w:lang w:val="en-IE"/>
              </w:rPr>
              <w:t xml:space="preserve">System boundaries and calculation methodologies in line with free allocation rules under ETS/CBAM methodology </w:t>
            </w:r>
          </w:p>
          <w:p w14:paraId="3FC32D58" w14:textId="440C3C51" w:rsidR="007767EA" w:rsidRPr="00E71388" w:rsidRDefault="6EB0699D" w:rsidP="00547A58">
            <w:pPr>
              <w:pStyle w:val="Body"/>
              <w:spacing w:after="0" w:line="240" w:lineRule="auto"/>
              <w:rPr>
                <w:noProof/>
                <w:sz w:val="20"/>
                <w:szCs w:val="20"/>
                <w:lang w:val="en-IE"/>
              </w:rPr>
            </w:pPr>
            <w:r w:rsidRPr="00E71388">
              <w:rPr>
                <w:b/>
                <w:bCs/>
                <w:noProof/>
                <w:sz w:val="20"/>
                <w:szCs w:val="20"/>
                <w:lang w:val="en-IE"/>
              </w:rPr>
              <w:t>CALC2</w:t>
            </w:r>
            <w:r w:rsidRPr="00E71388">
              <w:rPr>
                <w:noProof/>
                <w:sz w:val="20"/>
                <w:szCs w:val="20"/>
                <w:lang w:val="en-IE"/>
              </w:rPr>
              <w:t xml:space="preserve"> System boundaries in line with ETS scope, limited nr. of key indirect </w:t>
            </w:r>
            <w:r w:rsidR="273F58B0" w:rsidRPr="00E71388">
              <w:rPr>
                <w:noProof/>
                <w:sz w:val="20"/>
                <w:szCs w:val="20"/>
                <w:lang w:val="en-IE"/>
              </w:rPr>
              <w:t xml:space="preserve">GHG </w:t>
            </w:r>
            <w:r w:rsidRPr="00E71388">
              <w:rPr>
                <w:noProof/>
                <w:sz w:val="20"/>
                <w:szCs w:val="20"/>
                <w:lang w:val="en-IE"/>
              </w:rPr>
              <w:t>emissions</w:t>
            </w:r>
            <w:r w:rsidR="35CD2D4B" w:rsidRPr="00E71388">
              <w:rPr>
                <w:noProof/>
                <w:sz w:val="20"/>
                <w:szCs w:val="20"/>
                <w:lang w:val="en-IE"/>
              </w:rPr>
              <w:t xml:space="preserve"> included</w:t>
            </w:r>
          </w:p>
          <w:p w14:paraId="3DAF5F40" w14:textId="0FDCD25A" w:rsidR="007767EA" w:rsidRPr="00E71388" w:rsidRDefault="6EB0699D" w:rsidP="00547A58">
            <w:pPr>
              <w:pStyle w:val="Body"/>
              <w:spacing w:after="0" w:line="240" w:lineRule="auto"/>
              <w:rPr>
                <w:noProof/>
                <w:sz w:val="20"/>
                <w:szCs w:val="20"/>
                <w:lang w:val="en-IE"/>
              </w:rPr>
            </w:pPr>
            <w:r w:rsidRPr="00E71388">
              <w:rPr>
                <w:b/>
                <w:bCs/>
                <w:noProof/>
                <w:sz w:val="20"/>
                <w:szCs w:val="20"/>
                <w:lang w:val="en-IE"/>
              </w:rPr>
              <w:t>CALC3</w:t>
            </w:r>
            <w:r w:rsidRPr="00E71388">
              <w:rPr>
                <w:noProof/>
                <w:sz w:val="20"/>
                <w:szCs w:val="20"/>
                <w:lang w:val="en-IE"/>
              </w:rPr>
              <w:t xml:space="preserve"> </w:t>
            </w:r>
            <w:r w:rsidR="61FAE762" w:rsidRPr="00E71388">
              <w:rPr>
                <w:noProof/>
                <w:sz w:val="20"/>
                <w:szCs w:val="20"/>
                <w:lang w:val="en-IE"/>
              </w:rPr>
              <w:t>Comprehensive</w:t>
            </w:r>
            <w:r w:rsidR="3E864F10" w:rsidRPr="00E71388">
              <w:rPr>
                <w:noProof/>
                <w:sz w:val="20"/>
                <w:szCs w:val="20"/>
                <w:lang w:val="en-IE"/>
              </w:rPr>
              <w:t xml:space="preserve"> </w:t>
            </w:r>
            <w:r w:rsidR="467453CB" w:rsidRPr="00E71388">
              <w:rPr>
                <w:noProof/>
                <w:sz w:val="20"/>
                <w:szCs w:val="20"/>
                <w:lang w:val="en-IE"/>
              </w:rPr>
              <w:t>life cycle system boundaries</w:t>
            </w:r>
            <w:r w:rsidR="61FAE762" w:rsidRPr="00E71388">
              <w:rPr>
                <w:noProof/>
                <w:sz w:val="20"/>
                <w:szCs w:val="20"/>
                <w:lang w:val="en-IE"/>
              </w:rPr>
              <w:t xml:space="preserve">, including upstream and downstream </w:t>
            </w:r>
            <w:r w:rsidR="67D82576" w:rsidRPr="00E71388">
              <w:rPr>
                <w:noProof/>
                <w:sz w:val="20"/>
                <w:szCs w:val="20"/>
                <w:lang w:val="en-IE"/>
              </w:rPr>
              <w:t>GHG</w:t>
            </w:r>
            <w:r w:rsidR="60FF0129" w:rsidRPr="00E71388">
              <w:rPr>
                <w:noProof/>
                <w:sz w:val="20"/>
                <w:szCs w:val="20"/>
                <w:lang w:val="en-IE"/>
              </w:rPr>
              <w:t xml:space="preserve"> </w:t>
            </w:r>
            <w:r w:rsidR="61FAE762" w:rsidRPr="00E71388">
              <w:rPr>
                <w:noProof/>
                <w:sz w:val="20"/>
                <w:szCs w:val="20"/>
                <w:lang w:val="en-IE"/>
              </w:rPr>
              <w:t>emissions</w:t>
            </w:r>
            <w:r w:rsidR="7DCB04A4" w:rsidRPr="00E71388">
              <w:rPr>
                <w:noProof/>
                <w:sz w:val="20"/>
                <w:szCs w:val="20"/>
                <w:lang w:val="en-IE"/>
              </w:rPr>
              <w:t>, via the Product Environmental Footprint (PEF) method</w:t>
            </w:r>
          </w:p>
        </w:tc>
      </w:tr>
      <w:tr w:rsidR="007767EA" w:rsidRPr="00FF63D1" w14:paraId="013A15AD" w14:textId="77777777" w:rsidTr="00772BE3">
        <w:trPr>
          <w:trHeight w:val="1186"/>
        </w:trPr>
        <w:tc>
          <w:tcPr>
            <w:tcW w:w="949" w:type="pct"/>
          </w:tcPr>
          <w:p w14:paraId="0DDADEAA" w14:textId="77777777" w:rsidR="007767EA" w:rsidRPr="00E71388" w:rsidRDefault="007767EA" w:rsidP="00547A58">
            <w:pPr>
              <w:pStyle w:val="Body"/>
              <w:spacing w:after="0" w:line="240" w:lineRule="auto"/>
              <w:rPr>
                <w:noProof/>
                <w:sz w:val="20"/>
                <w:szCs w:val="20"/>
                <w:lang w:val="en-IE"/>
              </w:rPr>
            </w:pPr>
            <w:r w:rsidRPr="00E71388">
              <w:rPr>
                <w:noProof/>
                <w:sz w:val="20"/>
                <w:szCs w:val="20"/>
                <w:lang w:val="en-IE"/>
              </w:rPr>
              <w:t>Classification</w:t>
            </w:r>
          </w:p>
        </w:tc>
        <w:tc>
          <w:tcPr>
            <w:tcW w:w="4051" w:type="pct"/>
          </w:tcPr>
          <w:p w14:paraId="209CCB12" w14:textId="3CBC8150" w:rsidR="007767EA" w:rsidRPr="00E71388" w:rsidRDefault="6EB0699D" w:rsidP="00547A58">
            <w:pPr>
              <w:pStyle w:val="Body"/>
              <w:spacing w:after="0" w:line="240" w:lineRule="auto"/>
              <w:rPr>
                <w:noProof/>
                <w:sz w:val="20"/>
                <w:szCs w:val="20"/>
                <w:lang w:val="en-IE"/>
              </w:rPr>
            </w:pPr>
            <w:bookmarkStart w:id="925" w:name="_Hlk199155278"/>
            <w:r w:rsidRPr="00E71388">
              <w:rPr>
                <w:b/>
                <w:bCs/>
                <w:noProof/>
                <w:sz w:val="20"/>
                <w:szCs w:val="20"/>
                <w:lang w:val="en-IE"/>
              </w:rPr>
              <w:t xml:space="preserve">CLAS1 </w:t>
            </w:r>
            <w:r w:rsidRPr="00E71388">
              <w:rPr>
                <w:noProof/>
                <w:sz w:val="20"/>
                <w:szCs w:val="20"/>
                <w:lang w:val="en-IE"/>
              </w:rPr>
              <w:t>No classification</w:t>
            </w:r>
            <w:r w:rsidR="7E2D38AE" w:rsidRPr="00E71388">
              <w:rPr>
                <w:noProof/>
                <w:sz w:val="20"/>
                <w:szCs w:val="20"/>
                <w:lang w:val="en-IE"/>
              </w:rPr>
              <w:t xml:space="preserve"> / carbon footprint information only</w:t>
            </w:r>
          </w:p>
          <w:p w14:paraId="3A272491" w14:textId="5B0FDFCB" w:rsidR="007767EA" w:rsidRPr="00E71388" w:rsidRDefault="007767EA" w:rsidP="00547A58">
            <w:pPr>
              <w:pStyle w:val="Body"/>
              <w:spacing w:after="0" w:line="240" w:lineRule="auto"/>
              <w:rPr>
                <w:noProof/>
                <w:sz w:val="20"/>
                <w:szCs w:val="20"/>
                <w:lang w:val="en-IE"/>
              </w:rPr>
            </w:pPr>
            <w:r w:rsidRPr="00E71388">
              <w:rPr>
                <w:b/>
                <w:noProof/>
                <w:sz w:val="20"/>
                <w:szCs w:val="20"/>
                <w:lang w:val="en-IE"/>
              </w:rPr>
              <w:t xml:space="preserve">CLAS2 </w:t>
            </w:r>
            <w:r w:rsidRPr="00E71388">
              <w:rPr>
                <w:noProof/>
                <w:sz w:val="20"/>
                <w:szCs w:val="20"/>
                <w:lang w:val="en-IE"/>
              </w:rPr>
              <w:t>One classification system with</w:t>
            </w:r>
            <w:r w:rsidR="00063D16" w:rsidRPr="00E71388">
              <w:rPr>
                <w:noProof/>
                <w:sz w:val="20"/>
                <w:szCs w:val="20"/>
                <w:lang w:val="en-IE"/>
              </w:rPr>
              <w:t>out</w:t>
            </w:r>
            <w:r w:rsidRPr="00E71388">
              <w:rPr>
                <w:noProof/>
                <w:sz w:val="20"/>
                <w:szCs w:val="20"/>
                <w:lang w:val="en-IE"/>
              </w:rPr>
              <w:t xml:space="preserve"> (CLAS2.a) or </w:t>
            </w:r>
            <w:r w:rsidR="00063D16" w:rsidRPr="00E71388">
              <w:rPr>
                <w:noProof/>
                <w:sz w:val="20"/>
                <w:szCs w:val="20"/>
                <w:lang w:val="en-IE"/>
              </w:rPr>
              <w:t>with</w:t>
            </w:r>
            <w:r w:rsidRPr="00E71388">
              <w:rPr>
                <w:noProof/>
                <w:sz w:val="20"/>
                <w:szCs w:val="20"/>
                <w:lang w:val="en-IE"/>
              </w:rPr>
              <w:t xml:space="preserve"> (CLAS2.b) </w:t>
            </w:r>
            <w:r w:rsidR="00063D16" w:rsidRPr="00E71388">
              <w:rPr>
                <w:noProof/>
                <w:sz w:val="20"/>
                <w:szCs w:val="20"/>
                <w:lang w:val="en-IE"/>
              </w:rPr>
              <w:t xml:space="preserve">a </w:t>
            </w:r>
            <w:r w:rsidRPr="00E71388">
              <w:rPr>
                <w:noProof/>
                <w:sz w:val="20"/>
                <w:szCs w:val="20"/>
                <w:lang w:val="en-IE"/>
              </w:rPr>
              <w:t>sliding scale</w:t>
            </w:r>
          </w:p>
          <w:p w14:paraId="0AB29CE8" w14:textId="39412749" w:rsidR="007767EA" w:rsidRPr="00E71388" w:rsidRDefault="7610940C" w:rsidP="00547A58">
            <w:pPr>
              <w:pStyle w:val="Body"/>
              <w:spacing w:after="0" w:line="240" w:lineRule="auto"/>
              <w:rPr>
                <w:noProof/>
                <w:sz w:val="20"/>
                <w:szCs w:val="20"/>
                <w:lang w:val="en-IE"/>
              </w:rPr>
            </w:pPr>
            <w:r w:rsidRPr="00E71388">
              <w:rPr>
                <w:b/>
                <w:bCs/>
                <w:noProof/>
                <w:sz w:val="20"/>
                <w:szCs w:val="20"/>
                <w:lang w:val="en-IE"/>
              </w:rPr>
              <w:t xml:space="preserve">CLAS3 </w:t>
            </w:r>
            <w:r w:rsidRPr="00E71388">
              <w:rPr>
                <w:noProof/>
                <w:sz w:val="20"/>
                <w:szCs w:val="20"/>
                <w:lang w:val="en-IE"/>
              </w:rPr>
              <w:t>Differentiated classification systems per production route (CLAS3.a) or according to the shape of the final product</w:t>
            </w:r>
            <w:r w:rsidR="00D901EC" w:rsidRPr="00E71388">
              <w:rPr>
                <w:noProof/>
                <w:sz w:val="20"/>
                <w:szCs w:val="20"/>
                <w:lang w:val="en-IE"/>
              </w:rPr>
              <w:t xml:space="preserve"> (flat/long)</w:t>
            </w:r>
            <w:r w:rsidRPr="00E71388">
              <w:rPr>
                <w:noProof/>
                <w:sz w:val="20"/>
                <w:szCs w:val="20"/>
                <w:lang w:val="en-IE"/>
              </w:rPr>
              <w:t xml:space="preserve"> (CLAS3.b)</w:t>
            </w:r>
            <w:bookmarkEnd w:id="925"/>
          </w:p>
        </w:tc>
      </w:tr>
      <w:tr w:rsidR="007767EA" w:rsidRPr="00FF63D1" w14:paraId="3209A0DC" w14:textId="77777777" w:rsidTr="00772BE3">
        <w:trPr>
          <w:trHeight w:val="474"/>
        </w:trPr>
        <w:tc>
          <w:tcPr>
            <w:tcW w:w="949" w:type="pct"/>
          </w:tcPr>
          <w:p w14:paraId="2C5E3377" w14:textId="32E5C9A2" w:rsidR="007767EA" w:rsidRPr="00E71388" w:rsidRDefault="3BF1671C" w:rsidP="00547A58">
            <w:pPr>
              <w:pStyle w:val="Body"/>
              <w:spacing w:after="0" w:line="240" w:lineRule="auto"/>
              <w:rPr>
                <w:noProof/>
                <w:sz w:val="20"/>
                <w:szCs w:val="20"/>
                <w:lang w:val="en-IE"/>
              </w:rPr>
            </w:pPr>
            <w:r w:rsidRPr="00E71388">
              <w:rPr>
                <w:noProof/>
                <w:sz w:val="20"/>
                <w:szCs w:val="20"/>
                <w:lang w:val="en-IE"/>
              </w:rPr>
              <w:t>Ensuring data quality</w:t>
            </w:r>
          </w:p>
        </w:tc>
        <w:tc>
          <w:tcPr>
            <w:tcW w:w="4051" w:type="pct"/>
          </w:tcPr>
          <w:p w14:paraId="34E916C0" w14:textId="0E8DB537" w:rsidR="007767EA" w:rsidRPr="00E71388" w:rsidRDefault="001816BB" w:rsidP="00547A58">
            <w:pPr>
              <w:pStyle w:val="Body"/>
              <w:spacing w:after="0" w:line="240" w:lineRule="auto"/>
              <w:rPr>
                <w:bCs/>
                <w:noProof/>
                <w:sz w:val="20"/>
                <w:szCs w:val="20"/>
                <w:lang w:val="en-IE"/>
              </w:rPr>
            </w:pPr>
            <w:r w:rsidRPr="00E71388">
              <w:rPr>
                <w:b/>
                <w:noProof/>
                <w:sz w:val="20"/>
                <w:szCs w:val="20"/>
                <w:lang w:val="en-IE"/>
              </w:rPr>
              <w:t>DATA</w:t>
            </w:r>
            <w:r w:rsidR="007767EA" w:rsidRPr="00E71388">
              <w:rPr>
                <w:b/>
                <w:noProof/>
                <w:sz w:val="20"/>
                <w:szCs w:val="20"/>
                <w:lang w:val="en-IE"/>
              </w:rPr>
              <w:t xml:space="preserve">1 </w:t>
            </w:r>
            <w:r w:rsidRPr="00E71388">
              <w:rPr>
                <w:bCs/>
                <w:noProof/>
                <w:sz w:val="20"/>
                <w:szCs w:val="20"/>
                <w:lang w:val="en-IE"/>
              </w:rPr>
              <w:t>Label for EU steel producers only, based on self-declared emissions and production volumes</w:t>
            </w:r>
          </w:p>
          <w:p w14:paraId="51861F1C" w14:textId="0A3B86F1" w:rsidR="00684681" w:rsidRPr="00E71388" w:rsidRDefault="00684681" w:rsidP="00547A58">
            <w:pPr>
              <w:pStyle w:val="Body"/>
              <w:spacing w:after="0" w:line="240" w:lineRule="auto"/>
              <w:rPr>
                <w:noProof/>
                <w:sz w:val="20"/>
                <w:szCs w:val="20"/>
                <w:lang w:val="en-IE"/>
              </w:rPr>
            </w:pPr>
            <w:r w:rsidRPr="00E71388">
              <w:rPr>
                <w:b/>
                <w:noProof/>
                <w:sz w:val="20"/>
                <w:szCs w:val="20"/>
                <w:lang w:val="en-IE"/>
              </w:rPr>
              <w:t xml:space="preserve">DATA2 </w:t>
            </w:r>
            <w:r w:rsidRPr="00E71388">
              <w:rPr>
                <w:bCs/>
                <w:noProof/>
                <w:sz w:val="20"/>
                <w:szCs w:val="20"/>
                <w:lang w:val="en-IE"/>
              </w:rPr>
              <w:t xml:space="preserve">Label for EU steel producers only, </w:t>
            </w:r>
            <w:r w:rsidRPr="00E71388">
              <w:rPr>
                <w:noProof/>
                <w:sz w:val="20"/>
                <w:szCs w:val="20"/>
                <w:lang w:val="en-IE"/>
              </w:rPr>
              <w:t>with third-party verification and certification</w:t>
            </w:r>
            <w:r w:rsidR="00480BEE">
              <w:rPr>
                <w:noProof/>
                <w:sz w:val="20"/>
                <w:szCs w:val="20"/>
                <w:lang w:val="en-IE"/>
              </w:rPr>
              <w:t xml:space="preserve"> </w:t>
            </w:r>
          </w:p>
          <w:p w14:paraId="6D1AA3C5" w14:textId="28B47EE1" w:rsidR="007767EA" w:rsidRPr="00E71388" w:rsidRDefault="001816BB" w:rsidP="00547A58">
            <w:pPr>
              <w:pStyle w:val="Body"/>
              <w:spacing w:after="0" w:line="240" w:lineRule="auto"/>
              <w:rPr>
                <w:noProof/>
                <w:sz w:val="20"/>
                <w:szCs w:val="20"/>
                <w:lang w:val="en-IE"/>
              </w:rPr>
            </w:pPr>
            <w:r w:rsidRPr="00E71388">
              <w:rPr>
                <w:b/>
                <w:bCs/>
                <w:noProof/>
                <w:sz w:val="20"/>
                <w:szCs w:val="20"/>
                <w:lang w:val="en-IE"/>
              </w:rPr>
              <w:t>DATA</w:t>
            </w:r>
            <w:r w:rsidR="00684681" w:rsidRPr="00E71388">
              <w:rPr>
                <w:b/>
                <w:bCs/>
                <w:noProof/>
                <w:sz w:val="20"/>
                <w:szCs w:val="20"/>
                <w:lang w:val="en-IE"/>
              </w:rPr>
              <w:t>3</w:t>
            </w:r>
            <w:r w:rsidR="007767EA" w:rsidRPr="00E71388">
              <w:rPr>
                <w:b/>
                <w:bCs/>
                <w:noProof/>
                <w:sz w:val="20"/>
                <w:szCs w:val="20"/>
                <w:lang w:val="en-IE"/>
              </w:rPr>
              <w:t xml:space="preserve"> </w:t>
            </w:r>
            <w:r w:rsidRPr="00E71388">
              <w:rPr>
                <w:noProof/>
                <w:sz w:val="20"/>
                <w:szCs w:val="20"/>
                <w:lang w:val="en-IE"/>
              </w:rPr>
              <w:t xml:space="preserve">Label for EU steel producers and importers, with </w:t>
            </w:r>
            <w:r w:rsidR="00684681" w:rsidRPr="00E71388">
              <w:rPr>
                <w:noProof/>
                <w:sz w:val="20"/>
                <w:szCs w:val="20"/>
                <w:lang w:val="en-IE"/>
              </w:rPr>
              <w:t xml:space="preserve">third-party </w:t>
            </w:r>
            <w:r w:rsidRPr="00E71388">
              <w:rPr>
                <w:noProof/>
                <w:sz w:val="20"/>
                <w:szCs w:val="20"/>
                <w:lang w:val="en-IE"/>
              </w:rPr>
              <w:t>verification and certification</w:t>
            </w:r>
            <w:r w:rsidR="00480BEE">
              <w:rPr>
                <w:noProof/>
                <w:sz w:val="20"/>
                <w:szCs w:val="20"/>
                <w:lang w:val="en-IE"/>
              </w:rPr>
              <w:t xml:space="preserve"> </w:t>
            </w:r>
          </w:p>
        </w:tc>
      </w:tr>
    </w:tbl>
    <w:p w14:paraId="71C2745A" w14:textId="77777777" w:rsidR="005450B3" w:rsidRDefault="005450B3" w:rsidP="005450B3">
      <w:pPr>
        <w:rPr>
          <w:noProof/>
        </w:rPr>
      </w:pPr>
      <w:bookmarkStart w:id="926" w:name="_Toc206091402"/>
    </w:p>
    <w:p w14:paraId="5B675262" w14:textId="77777777" w:rsidR="007767EA" w:rsidRPr="00FF63D1" w:rsidRDefault="007767EA" w:rsidP="007B7F62">
      <w:pPr>
        <w:pStyle w:val="Heading3"/>
        <w:numPr>
          <w:ilvl w:val="0"/>
          <w:numId w:val="0"/>
        </w:numPr>
        <w:spacing w:before="0" w:after="0"/>
      </w:pPr>
      <w:r w:rsidRPr="00FF63D1">
        <w:t>Determination of the greenhouse gas intensity</w:t>
      </w:r>
      <w:bookmarkEnd w:id="926"/>
    </w:p>
    <w:p w14:paraId="38750B44" w14:textId="77777777" w:rsidR="00E54B3B" w:rsidRPr="00FF63D1" w:rsidRDefault="00E54B3B" w:rsidP="00E54B3B">
      <w:pPr>
        <w:rPr>
          <w:noProof/>
        </w:rPr>
      </w:pPr>
    </w:p>
    <w:p w14:paraId="25D056D0" w14:textId="79F956A6" w:rsidR="007767EA" w:rsidRPr="00FF63D1" w:rsidRDefault="7610940C" w:rsidP="00547A58">
      <w:pPr>
        <w:rPr>
          <w:rFonts w:eastAsia="Times New Roman" w:cs="Times New Roman"/>
          <w:noProof/>
          <w:lang w:eastAsia="en-GB"/>
        </w:rPr>
      </w:pPr>
      <w:r w:rsidRPr="00FF63D1">
        <w:rPr>
          <w:rFonts w:eastAsia="Times New Roman" w:cs="Times New Roman"/>
          <w:noProof/>
          <w:lang w:eastAsia="en-GB"/>
        </w:rPr>
        <w:t>The determination of the greenhouse gas intensity of a product – here defined as t</w:t>
      </w:r>
      <w:r w:rsidR="00273206" w:rsidRPr="00FF63D1">
        <w:rPr>
          <w:noProof/>
          <w:color w:val="000000" w:themeColor="text1"/>
        </w:rPr>
        <w:t xml:space="preserve"> CO</w:t>
      </w:r>
      <w:r w:rsidR="00273206" w:rsidRPr="00FF63D1">
        <w:rPr>
          <w:noProof/>
          <w:color w:val="000000" w:themeColor="text1"/>
          <w:vertAlign w:val="subscript"/>
        </w:rPr>
        <w:t>2</w:t>
      </w:r>
      <w:r w:rsidRPr="00FF63D1">
        <w:rPr>
          <w:rFonts w:eastAsia="Times New Roman" w:cs="Times New Roman"/>
          <w:noProof/>
          <w:lang w:eastAsia="en-GB"/>
        </w:rPr>
        <w:t xml:space="preserve">eq/ tonne of steel - is the crucial element of any carbon footprint label, as it provides the quantitative base upon which the label is built on. For a low-carbon steel product label, this entails the following interrelated elements: </w:t>
      </w:r>
    </w:p>
    <w:p w14:paraId="449F41E7" w14:textId="3A4A7034" w:rsidR="007767EA" w:rsidRPr="00FF63D1" w:rsidRDefault="007767EA" w:rsidP="00547A58">
      <w:pPr>
        <w:pStyle w:val="ListParagraph"/>
        <w:numPr>
          <w:ilvl w:val="0"/>
          <w:numId w:val="5"/>
        </w:numPr>
        <w:rPr>
          <w:noProof/>
        </w:rPr>
      </w:pPr>
      <w:r w:rsidRPr="00FF63D1">
        <w:rPr>
          <w:noProof/>
          <w:u w:val="single"/>
        </w:rPr>
        <w:t>Product in scope of the label</w:t>
      </w:r>
      <w:r w:rsidRPr="00FF63D1">
        <w:rPr>
          <w:noProof/>
        </w:rPr>
        <w:t>: Steel is sold in a wide variety of products</w:t>
      </w:r>
      <w:r w:rsidR="000D0B1B">
        <w:rPr>
          <w:noProof/>
        </w:rPr>
        <w:t xml:space="preserve"> forms</w:t>
      </w:r>
      <w:r w:rsidRPr="00FF63D1">
        <w:rPr>
          <w:noProof/>
        </w:rPr>
        <w:t>, ranging from flat products like hot rolled coil to long products such as bars and wire rods. The chemical composition of these products may vary, by factors such as the inclusion of alloys and the electromagnetic properties of the steel. Theoretically, a steel label can therefore be applied to different products, leading to different label units</w:t>
      </w:r>
      <w:r w:rsidR="41DBF105" w:rsidRPr="00FF63D1">
        <w:rPr>
          <w:noProof/>
        </w:rPr>
        <w:t xml:space="preserve"> (e.g. to of coil, flat steel)</w:t>
      </w:r>
      <w:r w:rsidRPr="00FF63D1">
        <w:rPr>
          <w:noProof/>
        </w:rPr>
        <w:t xml:space="preserve">. </w:t>
      </w:r>
      <w:r w:rsidR="6E899BA1" w:rsidRPr="00FF63D1">
        <w:rPr>
          <w:noProof/>
        </w:rPr>
        <w:t>After feedback from stakeholders and comparison with existing initiatives</w:t>
      </w:r>
      <w:r w:rsidR="4D23417E" w:rsidRPr="00FF63D1">
        <w:rPr>
          <w:noProof/>
        </w:rPr>
        <w:t xml:space="preserve">, hot rolled </w:t>
      </w:r>
      <w:r w:rsidR="005450B3" w:rsidRPr="00FF63D1">
        <w:rPr>
          <w:noProof/>
        </w:rPr>
        <w:t>carbon steel</w:t>
      </w:r>
      <w:r w:rsidR="4D23417E" w:rsidRPr="00FF63D1">
        <w:rPr>
          <w:noProof/>
        </w:rPr>
        <w:t xml:space="preserve"> was chosen for the current proposal of label. This will ensure most of the steel production is covered</w:t>
      </w:r>
      <w:r w:rsidR="320BF949" w:rsidRPr="00FF63D1">
        <w:rPr>
          <w:noProof/>
        </w:rPr>
        <w:t xml:space="preserve">. High alloy steel would not be covered for now as their carbon footprint are significantly impacted by the emissions linked to alloys which are mostly </w:t>
      </w:r>
      <w:r w:rsidR="005450B3" w:rsidRPr="00FF63D1">
        <w:rPr>
          <w:noProof/>
        </w:rPr>
        <w:t>imported,</w:t>
      </w:r>
      <w:r w:rsidR="320BF949" w:rsidRPr="00FF63D1">
        <w:rPr>
          <w:noProof/>
        </w:rPr>
        <w:t xml:space="preserve"> and little data is available.</w:t>
      </w:r>
    </w:p>
    <w:p w14:paraId="2CB01AAE" w14:textId="5B330013" w:rsidR="007767EA" w:rsidRPr="00FF63D1" w:rsidRDefault="7610940C" w:rsidP="00547A58">
      <w:pPr>
        <w:pStyle w:val="ListParagraph"/>
        <w:numPr>
          <w:ilvl w:val="0"/>
          <w:numId w:val="5"/>
        </w:numPr>
        <w:rPr>
          <w:noProof/>
        </w:rPr>
      </w:pPr>
      <w:r w:rsidRPr="00FF63D1">
        <w:rPr>
          <w:noProof/>
          <w:u w:val="single"/>
        </w:rPr>
        <w:t>Covered processes and associated emissions under the label</w:t>
      </w:r>
      <w:r w:rsidRPr="00FF63D1">
        <w:rPr>
          <w:noProof/>
        </w:rPr>
        <w:t>: Emissions from steel production occur at various stages in the value chain. In addition to the direct GHG emissions from production facilities, there are also indirect emissions linked to, for example, electricity consumption and to mining of raw</w:t>
      </w:r>
      <w:r w:rsidR="0C2C9CC7" w:rsidRPr="00FF63D1">
        <w:rPr>
          <w:noProof/>
        </w:rPr>
        <w:t xml:space="preserve"> material</w:t>
      </w:r>
      <w:r w:rsidRPr="00FF63D1">
        <w:rPr>
          <w:noProof/>
        </w:rPr>
        <w:t xml:space="preserve"> inputs, transport of intermediates and pre-processing (e.g. coal, alloys, scraps) and the end-of-life phase of steel products.</w:t>
      </w:r>
    </w:p>
    <w:p w14:paraId="7AFC3DEE" w14:textId="7F98EA2D" w:rsidR="007767EA" w:rsidRPr="00FF63D1" w:rsidRDefault="6EB0699D" w:rsidP="00547A58">
      <w:pPr>
        <w:pStyle w:val="ListParagraph"/>
        <w:numPr>
          <w:ilvl w:val="0"/>
          <w:numId w:val="5"/>
        </w:numPr>
        <w:rPr>
          <w:noProof/>
        </w:rPr>
      </w:pPr>
      <w:r w:rsidRPr="00FF63D1">
        <w:rPr>
          <w:noProof/>
          <w:u w:val="single"/>
        </w:rPr>
        <w:t>Calculation methodology</w:t>
      </w:r>
      <w:r w:rsidRPr="00FF63D1">
        <w:rPr>
          <w:rFonts w:cs="Times New Roman"/>
          <w:noProof/>
        </w:rPr>
        <w:t xml:space="preserve">: </w:t>
      </w:r>
      <w:r w:rsidRPr="00FF63D1">
        <w:rPr>
          <w:noProof/>
        </w:rPr>
        <w:t>The actual calculation of the covered GHG emissions and production volumes needed to determine the GHG intensities can be done using different methodologies. The M</w:t>
      </w:r>
      <w:r w:rsidR="008F5A9C" w:rsidRPr="00FF63D1">
        <w:rPr>
          <w:noProof/>
        </w:rPr>
        <w:t xml:space="preserve">onitoring, </w:t>
      </w:r>
      <w:r w:rsidRPr="00FF63D1">
        <w:rPr>
          <w:noProof/>
        </w:rPr>
        <w:t>R</w:t>
      </w:r>
      <w:r w:rsidR="008F5A9C" w:rsidRPr="00FF63D1">
        <w:rPr>
          <w:noProof/>
        </w:rPr>
        <w:t xml:space="preserve">eporting and </w:t>
      </w:r>
      <w:r w:rsidRPr="00FF63D1">
        <w:rPr>
          <w:noProof/>
        </w:rPr>
        <w:t>V</w:t>
      </w:r>
      <w:r w:rsidR="008F5A9C" w:rsidRPr="00FF63D1">
        <w:rPr>
          <w:noProof/>
        </w:rPr>
        <w:t>erification</w:t>
      </w:r>
      <w:r w:rsidRPr="00FF63D1">
        <w:rPr>
          <w:noProof/>
        </w:rPr>
        <w:t xml:space="preserve"> </w:t>
      </w:r>
      <w:r w:rsidR="008F5A9C" w:rsidRPr="00FF63D1">
        <w:rPr>
          <w:noProof/>
        </w:rPr>
        <w:t>(MRV)</w:t>
      </w:r>
      <w:r w:rsidR="00795887" w:rsidRPr="00FF63D1">
        <w:rPr>
          <w:noProof/>
        </w:rPr>
        <w:t xml:space="preserve"> </w:t>
      </w:r>
      <w:r w:rsidRPr="00FF63D1">
        <w:rPr>
          <w:noProof/>
        </w:rPr>
        <w:t>rules developed in the context of free allocation under the EU ETS provide a detailed description of the emission calculation method.</w:t>
      </w:r>
      <w:r w:rsidR="2DC906FA" w:rsidRPr="00FF63D1">
        <w:rPr>
          <w:noProof/>
        </w:rPr>
        <w:t xml:space="preserve"> </w:t>
      </w:r>
      <w:r w:rsidR="0BB78FC0" w:rsidRPr="00FF63D1">
        <w:rPr>
          <w:noProof/>
        </w:rPr>
        <w:t xml:space="preserve">CBAM emission calculation methods for extra-EU countries are also based on </w:t>
      </w:r>
      <w:r w:rsidR="00542DF9">
        <w:rPr>
          <w:noProof/>
        </w:rPr>
        <w:t xml:space="preserve">the methodology of the </w:t>
      </w:r>
      <w:r w:rsidR="0BB78FC0" w:rsidRPr="00FF63D1">
        <w:rPr>
          <w:noProof/>
        </w:rPr>
        <w:t>ETS.</w:t>
      </w:r>
    </w:p>
    <w:p w14:paraId="7E47F367" w14:textId="1A00A097" w:rsidR="007767EA" w:rsidRPr="00FF63D1" w:rsidRDefault="7610940C" w:rsidP="00547A58">
      <w:pPr>
        <w:pStyle w:val="ListParagraph"/>
        <w:numPr>
          <w:ilvl w:val="0"/>
          <w:numId w:val="5"/>
        </w:numPr>
        <w:rPr>
          <w:noProof/>
        </w:rPr>
      </w:pPr>
      <w:r w:rsidRPr="00FF63D1">
        <w:rPr>
          <w:noProof/>
          <w:u w:val="single"/>
        </w:rPr>
        <w:t>Relevant baseline period</w:t>
      </w:r>
      <w:r w:rsidRPr="00FF63D1">
        <w:rPr>
          <w:noProof/>
        </w:rPr>
        <w:t>: the relevant temporal unit for the determination of the greenhouse gas intensity need to be chosen</w:t>
      </w:r>
      <w:r w:rsidR="007D002D" w:rsidRPr="00FF63D1">
        <w:rPr>
          <w:noProof/>
        </w:rPr>
        <w:t>, outlining the period used to measure and assess the greenhouse gas intensity.</w:t>
      </w:r>
      <w:r w:rsidR="00480BEE">
        <w:rPr>
          <w:noProof/>
        </w:rPr>
        <w:t xml:space="preserve"> </w:t>
      </w:r>
    </w:p>
    <w:p w14:paraId="5156FBC7" w14:textId="77777777" w:rsidR="00E54B3B" w:rsidRPr="00FF63D1" w:rsidRDefault="00E54B3B" w:rsidP="00547A58">
      <w:pPr>
        <w:rPr>
          <w:rFonts w:cs="Times New Roman"/>
          <w:noProof/>
        </w:rPr>
      </w:pPr>
    </w:p>
    <w:p w14:paraId="5B010CF1" w14:textId="77777777" w:rsidR="007767EA" w:rsidRPr="00FF63D1" w:rsidRDefault="007767EA" w:rsidP="005931B5">
      <w:pPr>
        <w:spacing w:after="120"/>
        <w:rPr>
          <w:rFonts w:cs="Times New Roman"/>
          <w:noProof/>
        </w:rPr>
      </w:pPr>
      <w:r w:rsidRPr="00FF63D1">
        <w:rPr>
          <w:rFonts w:cs="Times New Roman"/>
          <w:noProof/>
        </w:rPr>
        <w:t>Different approaches can be used to determine the greenhouse gas intensity. The following options are assessed:</w:t>
      </w:r>
    </w:p>
    <w:p w14:paraId="525A4F91" w14:textId="3B0E8A49" w:rsidR="007767EA" w:rsidRPr="00FF63D1" w:rsidRDefault="007767EA" w:rsidP="005931B5">
      <w:pPr>
        <w:spacing w:after="120"/>
        <w:rPr>
          <w:rFonts w:cs="Times New Roman"/>
          <w:noProof/>
        </w:rPr>
      </w:pPr>
      <w:r w:rsidRPr="00FF63D1">
        <w:rPr>
          <w:rFonts w:cs="Times New Roman"/>
          <w:b/>
          <w:i/>
          <w:noProof/>
        </w:rPr>
        <w:t>Option 1</w:t>
      </w:r>
      <w:r w:rsidRPr="00FF63D1">
        <w:rPr>
          <w:rFonts w:cs="Times New Roman"/>
          <w:noProof/>
        </w:rPr>
        <w:t>: ETS</w:t>
      </w:r>
      <w:r w:rsidR="00F70C53" w:rsidRPr="00FF63D1">
        <w:rPr>
          <w:rFonts w:cs="Times New Roman"/>
          <w:noProof/>
        </w:rPr>
        <w:t>/CBAM</w:t>
      </w:r>
      <w:r w:rsidRPr="00FF63D1">
        <w:rPr>
          <w:rFonts w:cs="Times New Roman"/>
          <w:noProof/>
        </w:rPr>
        <w:t xml:space="preserve"> aligned scope and calculation methods, baseline based on annual data (</w:t>
      </w:r>
      <w:r w:rsidRPr="00FF63D1">
        <w:rPr>
          <w:rFonts w:cs="Times New Roman"/>
          <w:b/>
          <w:noProof/>
        </w:rPr>
        <w:t>CALC1</w:t>
      </w:r>
      <w:r w:rsidRPr="00FF63D1">
        <w:rPr>
          <w:rFonts w:cs="Times New Roman"/>
          <w:noProof/>
        </w:rPr>
        <w:t>)</w:t>
      </w:r>
    </w:p>
    <w:p w14:paraId="761940FE" w14:textId="40F5D813" w:rsidR="00655BB7" w:rsidRPr="00FF63D1" w:rsidRDefault="7610940C" w:rsidP="005931B5">
      <w:pPr>
        <w:spacing w:after="120"/>
        <w:rPr>
          <w:rFonts w:cs="Times New Roman"/>
          <w:noProof/>
        </w:rPr>
      </w:pPr>
      <w:r w:rsidRPr="00FF63D1">
        <w:rPr>
          <w:rFonts w:cs="Times New Roman"/>
          <w:noProof/>
        </w:rPr>
        <w:t>The covered processes and associated emissions are aligned with the product benchmarks being developed under the EU ETS free allocation rules for the steel sector. They would typically cover the direct emissions associated with the reported emissions under the EU ETS, notably related to the relevant steel product benchmarks (coke, agglomerated iron ore, hot metal production, EAF carbon steel</w:t>
      </w:r>
      <w:r w:rsidR="004E0CD8" w:rsidRPr="00FF63D1">
        <w:rPr>
          <w:rFonts w:cs="Times New Roman"/>
          <w:noProof/>
        </w:rPr>
        <w:t xml:space="preserve"> and EAF high alloy steel</w:t>
      </w:r>
      <w:r w:rsidRPr="00FF63D1">
        <w:rPr>
          <w:rFonts w:cs="Times New Roman"/>
          <w:noProof/>
        </w:rPr>
        <w:t>.)</w:t>
      </w:r>
      <w:r w:rsidR="003456B1" w:rsidRPr="00FF63D1">
        <w:rPr>
          <w:rFonts w:cs="Times New Roman"/>
          <w:noProof/>
        </w:rPr>
        <w:t xml:space="preserve"> as included in t</w:t>
      </w:r>
      <w:r w:rsidR="00DA3416" w:rsidRPr="00FF63D1">
        <w:rPr>
          <w:rFonts w:cs="Times New Roman"/>
          <w:noProof/>
        </w:rPr>
        <w:t>he table in annex</w:t>
      </w:r>
      <w:r w:rsidR="007157C1" w:rsidRPr="00FF63D1">
        <w:rPr>
          <w:rFonts w:cs="Times New Roman"/>
          <w:noProof/>
        </w:rPr>
        <w:t xml:space="preserve"> 12.</w:t>
      </w:r>
      <w:r w:rsidR="00891A8F" w:rsidRPr="00FF63D1">
        <w:rPr>
          <w:rFonts w:cs="Times New Roman"/>
          <w:noProof/>
        </w:rPr>
        <w:t>a</w:t>
      </w:r>
      <w:r w:rsidR="00DA3416" w:rsidRPr="00FF63D1">
        <w:rPr>
          <w:rFonts w:cs="Times New Roman"/>
          <w:noProof/>
        </w:rPr>
        <w:t xml:space="preserve"> to this document.</w:t>
      </w:r>
      <w:r w:rsidR="00A64D89" w:rsidRPr="00FF63D1">
        <w:rPr>
          <w:rFonts w:cs="Times New Roman"/>
          <w:noProof/>
        </w:rPr>
        <w:t xml:space="preserve"> </w:t>
      </w:r>
      <w:r w:rsidR="00061A33" w:rsidRPr="00FF63D1">
        <w:rPr>
          <w:rFonts w:cs="Times New Roman"/>
          <w:noProof/>
        </w:rPr>
        <w:t xml:space="preserve">The total GHG emissions </w:t>
      </w:r>
      <w:r w:rsidR="00F8551B" w:rsidRPr="00FF63D1">
        <w:rPr>
          <w:rFonts w:cs="Times New Roman"/>
          <w:noProof/>
        </w:rPr>
        <w:t xml:space="preserve">per steel product are determined as the sum of </w:t>
      </w:r>
      <w:r w:rsidR="007579CC" w:rsidRPr="00FF63D1">
        <w:rPr>
          <w:rFonts w:cs="Times New Roman"/>
          <w:noProof/>
        </w:rPr>
        <w:t>the relevant production steps covered by product benchmarks.</w:t>
      </w:r>
      <w:r w:rsidR="00DA3416" w:rsidRPr="00FF63D1">
        <w:rPr>
          <w:rFonts w:cs="Times New Roman"/>
          <w:noProof/>
        </w:rPr>
        <w:t xml:space="preserve"> </w:t>
      </w:r>
      <w:r w:rsidR="00BD2E4C" w:rsidRPr="00FF63D1">
        <w:rPr>
          <w:rFonts w:cs="Times New Roman"/>
          <w:noProof/>
        </w:rPr>
        <w:t>Since the CBAM methodology is also largely based on these product benchmarks, this method also ensures alignment with the CBAM rules.</w:t>
      </w:r>
    </w:p>
    <w:p w14:paraId="61E5C1F7" w14:textId="792CA6A6" w:rsidR="007767EA" w:rsidRPr="00FF63D1" w:rsidRDefault="589B691B" w:rsidP="005931B5">
      <w:pPr>
        <w:spacing w:after="120"/>
        <w:rPr>
          <w:rFonts w:cs="Times New Roman"/>
          <w:noProof/>
        </w:rPr>
      </w:pPr>
      <w:r w:rsidRPr="00FF63D1">
        <w:rPr>
          <w:rFonts w:cs="Times New Roman"/>
          <w:b/>
          <w:i/>
          <w:noProof/>
        </w:rPr>
        <w:t>Option 2</w:t>
      </w:r>
      <w:r w:rsidRPr="00FF63D1">
        <w:rPr>
          <w:rFonts w:cs="Times New Roman"/>
          <w:noProof/>
        </w:rPr>
        <w:t>: ETS/CBAM scope and methods, complemented by a limited number of additional key indirect emissions. Limited flexibility for baseline determination would also be included. (</w:t>
      </w:r>
      <w:r w:rsidRPr="00FF63D1">
        <w:rPr>
          <w:rFonts w:cs="Times New Roman"/>
          <w:b/>
          <w:noProof/>
        </w:rPr>
        <w:t>CALC2</w:t>
      </w:r>
      <w:r w:rsidRPr="00FF63D1">
        <w:rPr>
          <w:rFonts w:cs="Times New Roman"/>
          <w:noProof/>
        </w:rPr>
        <w:t>)</w:t>
      </w:r>
    </w:p>
    <w:p w14:paraId="464F025D" w14:textId="0323FC02" w:rsidR="007767EA" w:rsidRPr="00FF63D1" w:rsidRDefault="228A7A65" w:rsidP="005931B5">
      <w:pPr>
        <w:spacing w:after="120"/>
        <w:rPr>
          <w:rFonts w:cs="Times New Roman"/>
          <w:noProof/>
        </w:rPr>
      </w:pPr>
      <w:r w:rsidRPr="00FF63D1">
        <w:rPr>
          <w:rFonts w:cs="Times New Roman"/>
          <w:noProof/>
        </w:rPr>
        <w:t xml:space="preserve">As in Option 1, the covered processes and associated emissions are aligned with the EU ETS product benchmarks, while the relevant product units also refer to crude steel production. In addition to CALC1, key indirect emissions from electricity, hydrogen, and heat use are included </w:t>
      </w:r>
      <w:r w:rsidR="3253031F" w:rsidRPr="00FF63D1">
        <w:rPr>
          <w:rFonts w:cs="Times New Roman"/>
          <w:noProof/>
        </w:rPr>
        <w:t xml:space="preserve">within </w:t>
      </w:r>
      <w:r w:rsidRPr="00FF63D1">
        <w:rPr>
          <w:rFonts w:cs="Times New Roman"/>
          <w:noProof/>
        </w:rPr>
        <w:t>the scope, as well as the emissions from the hot rolling. The baseline period can be disaggregated from annual installation-level data to more granular segments, provided a clear intertemporal and/or physical unit demarcation can be demonstrated.</w:t>
      </w:r>
    </w:p>
    <w:p w14:paraId="601A7742" w14:textId="0826E139" w:rsidR="007767EA" w:rsidRPr="00FF63D1" w:rsidRDefault="007767EA" w:rsidP="005931B5">
      <w:pPr>
        <w:spacing w:after="120"/>
        <w:rPr>
          <w:rFonts w:cs="Times New Roman"/>
          <w:noProof/>
        </w:rPr>
      </w:pPr>
      <w:r w:rsidRPr="00FF63D1">
        <w:rPr>
          <w:rFonts w:cs="Times New Roman"/>
          <w:b/>
          <w:i/>
          <w:noProof/>
        </w:rPr>
        <w:t>Option 3</w:t>
      </w:r>
      <w:r w:rsidRPr="00FF63D1">
        <w:rPr>
          <w:rFonts w:cs="Times New Roman"/>
          <w:noProof/>
        </w:rPr>
        <w:t xml:space="preserve">: </w:t>
      </w:r>
      <w:r w:rsidR="00AD71C9" w:rsidRPr="00FF63D1">
        <w:rPr>
          <w:rFonts w:cs="Times New Roman"/>
          <w:noProof/>
        </w:rPr>
        <w:t>LCA scope</w:t>
      </w:r>
      <w:r w:rsidRPr="00FF63D1">
        <w:rPr>
          <w:rFonts w:cs="Times New Roman"/>
          <w:noProof/>
        </w:rPr>
        <w:t xml:space="preserve"> (</w:t>
      </w:r>
      <w:r w:rsidRPr="00FF63D1">
        <w:rPr>
          <w:rFonts w:cs="Times New Roman"/>
          <w:b/>
          <w:noProof/>
        </w:rPr>
        <w:t>CALC3</w:t>
      </w:r>
      <w:r w:rsidRPr="00FF63D1">
        <w:rPr>
          <w:rFonts w:cs="Times New Roman"/>
          <w:noProof/>
        </w:rPr>
        <w:t>)</w:t>
      </w:r>
    </w:p>
    <w:p w14:paraId="3643E397" w14:textId="6560DFC8" w:rsidR="006D1AF7" w:rsidRPr="00FF63D1" w:rsidRDefault="7610940C" w:rsidP="005931B5">
      <w:pPr>
        <w:spacing w:after="120"/>
        <w:rPr>
          <w:rFonts w:cs="Times New Roman"/>
          <w:noProof/>
        </w:rPr>
      </w:pPr>
      <w:r w:rsidRPr="00FF63D1">
        <w:rPr>
          <w:rFonts w:cs="Times New Roman"/>
          <w:noProof/>
        </w:rPr>
        <w:t xml:space="preserve">Both the scope of the processes and emissions </w:t>
      </w:r>
      <w:r w:rsidR="006D1A43" w:rsidRPr="00FF63D1">
        <w:rPr>
          <w:rFonts w:cs="Times New Roman"/>
          <w:noProof/>
        </w:rPr>
        <w:t>covered,</w:t>
      </w:r>
      <w:r w:rsidRPr="00FF63D1">
        <w:rPr>
          <w:rFonts w:cs="Times New Roman"/>
          <w:noProof/>
        </w:rPr>
        <w:t xml:space="preserve"> and the calculation methods are based on the Product Environmental Footprint (PEF) method, extending the scope to </w:t>
      </w:r>
      <w:r w:rsidR="69032AD1" w:rsidRPr="00FF63D1">
        <w:rPr>
          <w:rFonts w:cs="Times New Roman"/>
          <w:noProof/>
        </w:rPr>
        <w:t xml:space="preserve">all </w:t>
      </w:r>
      <w:r w:rsidRPr="00FF63D1">
        <w:rPr>
          <w:rFonts w:cs="Times New Roman"/>
          <w:noProof/>
        </w:rPr>
        <w:t xml:space="preserve">relevant upstream (e.g., extraction of input materials, pre-processing of scraps, manufacturing of alloys and other ancillary chemicals) and downstream (linked to e.g. recycling activities) emissions. </w:t>
      </w:r>
    </w:p>
    <w:p w14:paraId="22D9C440" w14:textId="770E13FB" w:rsidR="006446C0" w:rsidRPr="00FF63D1" w:rsidRDefault="006446C0" w:rsidP="005931B5">
      <w:pPr>
        <w:pStyle w:val="Heading3"/>
        <w:numPr>
          <w:ilvl w:val="0"/>
          <w:numId w:val="0"/>
        </w:numPr>
        <w:spacing w:before="0" w:after="0"/>
      </w:pPr>
      <w:bookmarkStart w:id="927" w:name="_Toc206091403"/>
      <w:r w:rsidRPr="00FF63D1">
        <w:t>Classification</w:t>
      </w:r>
      <w:bookmarkEnd w:id="927"/>
    </w:p>
    <w:p w14:paraId="097E7707" w14:textId="77777777" w:rsidR="00E54B3B" w:rsidRPr="00FF63D1" w:rsidRDefault="00E54B3B" w:rsidP="00547A58">
      <w:pPr>
        <w:rPr>
          <w:rFonts w:cs="Times New Roman"/>
          <w:noProof/>
        </w:rPr>
      </w:pPr>
    </w:p>
    <w:p w14:paraId="6C30B6ED" w14:textId="6073E8F8" w:rsidR="00315FFE" w:rsidRPr="00FF63D1" w:rsidRDefault="2B26DC2E" w:rsidP="00547A58">
      <w:pPr>
        <w:rPr>
          <w:rFonts w:cs="Times New Roman"/>
          <w:noProof/>
        </w:rPr>
      </w:pPr>
      <w:r w:rsidRPr="00FF63D1">
        <w:rPr>
          <w:rFonts w:cs="Times New Roman"/>
          <w:noProof/>
        </w:rPr>
        <w:t>In addition to the robust calculation of GHG intensities per ton</w:t>
      </w:r>
      <w:r w:rsidR="00055C02">
        <w:rPr>
          <w:rFonts w:cs="Times New Roman"/>
          <w:noProof/>
        </w:rPr>
        <w:t>ne</w:t>
      </w:r>
      <w:r w:rsidRPr="00FF63D1">
        <w:rPr>
          <w:rFonts w:cs="Times New Roman"/>
          <w:noProof/>
        </w:rPr>
        <w:t xml:space="preserve"> of product, a possible second element of </w:t>
      </w:r>
      <w:r w:rsidR="01F85F31" w:rsidRPr="00FF63D1">
        <w:rPr>
          <w:rFonts w:cs="Times New Roman"/>
          <w:noProof/>
        </w:rPr>
        <w:t>a</w:t>
      </w:r>
      <w:r w:rsidRPr="00FF63D1">
        <w:rPr>
          <w:rFonts w:cs="Times New Roman"/>
          <w:noProof/>
        </w:rPr>
        <w:t xml:space="preserve"> label is the development and use of </w:t>
      </w:r>
      <w:r w:rsidR="00280E06" w:rsidRPr="00FF63D1">
        <w:rPr>
          <w:rFonts w:cs="Times New Roman"/>
          <w:noProof/>
        </w:rPr>
        <w:t xml:space="preserve">classification </w:t>
      </w:r>
      <w:r w:rsidRPr="00FF63D1">
        <w:rPr>
          <w:rFonts w:cs="Times New Roman"/>
          <w:noProof/>
        </w:rPr>
        <w:t xml:space="preserve">classes based on these GHG intensities. </w:t>
      </w:r>
      <w:r w:rsidR="00BF275E" w:rsidRPr="00FF63D1">
        <w:rPr>
          <w:rFonts w:cs="Times New Roman"/>
          <w:noProof/>
        </w:rPr>
        <w:t>In its most basic form, this classification could distinguish between steel that meets the requirements for low</w:t>
      </w:r>
      <w:r w:rsidR="00F42FCE">
        <w:rPr>
          <w:rFonts w:cs="Times New Roman"/>
          <w:noProof/>
        </w:rPr>
        <w:t>-</w:t>
      </w:r>
      <w:r w:rsidR="00BF275E" w:rsidRPr="00FF63D1">
        <w:rPr>
          <w:rFonts w:cs="Times New Roman"/>
          <w:noProof/>
        </w:rPr>
        <w:t>carbon steel and all other steel</w:t>
      </w:r>
      <w:r w:rsidR="003B29BE" w:rsidRPr="00FF63D1">
        <w:rPr>
          <w:rFonts w:cs="Times New Roman"/>
          <w:noProof/>
        </w:rPr>
        <w:t xml:space="preserve"> not meeting the </w:t>
      </w:r>
      <w:r w:rsidR="00A83B4E" w:rsidRPr="00FF63D1">
        <w:rPr>
          <w:rFonts w:cs="Times New Roman"/>
          <w:noProof/>
        </w:rPr>
        <w:t>requirement</w:t>
      </w:r>
      <w:r w:rsidR="00BF275E" w:rsidRPr="00FF63D1">
        <w:rPr>
          <w:rFonts w:cs="Times New Roman"/>
          <w:noProof/>
        </w:rPr>
        <w:t>. In a more advanced form, several performance classes could be established, linking specific GHG-intensity thresholds to corresponding performance categories</w:t>
      </w:r>
      <w:r w:rsidR="00315FFE" w:rsidRPr="00FF63D1">
        <w:rPr>
          <w:rFonts w:cs="Times New Roman"/>
          <w:noProof/>
        </w:rPr>
        <w:t xml:space="preserve">. </w:t>
      </w:r>
    </w:p>
    <w:p w14:paraId="537A51D7" w14:textId="77777777" w:rsidR="00BC3C02" w:rsidRPr="00FF63D1" w:rsidRDefault="00BC3C02" w:rsidP="00547A58">
      <w:pPr>
        <w:rPr>
          <w:rFonts w:cs="Times New Roman"/>
          <w:noProof/>
        </w:rPr>
      </w:pPr>
    </w:p>
    <w:p w14:paraId="59BD4592" w14:textId="0112495B" w:rsidR="00303A78" w:rsidRPr="00FF63D1" w:rsidRDefault="2B26DC2E" w:rsidP="00547A58">
      <w:pPr>
        <w:rPr>
          <w:rFonts w:cs="Times New Roman"/>
          <w:noProof/>
        </w:rPr>
      </w:pPr>
      <w:r w:rsidRPr="00FF63D1">
        <w:rPr>
          <w:rFonts w:cs="Times New Roman"/>
          <w:noProof/>
        </w:rPr>
        <w:t xml:space="preserve">These </w:t>
      </w:r>
      <w:r w:rsidR="00315FFE" w:rsidRPr="00FF63D1">
        <w:rPr>
          <w:rFonts w:cs="Times New Roman"/>
          <w:noProof/>
        </w:rPr>
        <w:t xml:space="preserve">classification </w:t>
      </w:r>
      <w:r w:rsidRPr="00FF63D1">
        <w:rPr>
          <w:rFonts w:cs="Times New Roman"/>
          <w:noProof/>
        </w:rPr>
        <w:t>classes could be the same for all steel</w:t>
      </w:r>
      <w:r w:rsidR="6049ABD8" w:rsidRPr="00FF63D1">
        <w:rPr>
          <w:rFonts w:cs="Times New Roman"/>
          <w:noProof/>
        </w:rPr>
        <w:t xml:space="preserve"> products</w:t>
      </w:r>
      <w:r w:rsidRPr="00FF63D1">
        <w:rPr>
          <w:rFonts w:cs="Times New Roman"/>
          <w:noProof/>
        </w:rPr>
        <w:t xml:space="preserve"> covered by the label, or different labelling “families” could be developed per product group.</w:t>
      </w:r>
      <w:r w:rsidR="73A2FE3D" w:rsidRPr="00FF63D1">
        <w:rPr>
          <w:rFonts w:cs="Times New Roman"/>
          <w:noProof/>
        </w:rPr>
        <w:t xml:space="preserve"> In the context of </w:t>
      </w:r>
      <w:r w:rsidR="199860ED" w:rsidRPr="00FF63D1">
        <w:rPr>
          <w:rFonts w:cs="Times New Roman"/>
          <w:noProof/>
        </w:rPr>
        <w:t>a low-carbon product label for steel, the following elements can be distinguished.</w:t>
      </w:r>
    </w:p>
    <w:p w14:paraId="1BC4A9D5" w14:textId="77777777" w:rsidR="00BC3C02" w:rsidRPr="00FF63D1" w:rsidRDefault="00BC3C02" w:rsidP="00547A58">
      <w:pPr>
        <w:rPr>
          <w:rFonts w:cs="Times New Roman"/>
          <w:noProof/>
        </w:rPr>
      </w:pPr>
    </w:p>
    <w:p w14:paraId="2FBE15F3" w14:textId="251D8E55" w:rsidR="00CE57B4" w:rsidRPr="00FF63D1" w:rsidRDefault="7610940C" w:rsidP="00547A58">
      <w:pPr>
        <w:pStyle w:val="ListParagraph"/>
        <w:numPr>
          <w:ilvl w:val="0"/>
          <w:numId w:val="9"/>
        </w:numPr>
        <w:rPr>
          <w:rFonts w:cs="Times New Roman"/>
          <w:noProof/>
        </w:rPr>
      </w:pPr>
      <w:r w:rsidRPr="00FF63D1">
        <w:rPr>
          <w:rFonts w:cs="Times New Roman"/>
          <w:noProof/>
          <w:u w:val="single"/>
        </w:rPr>
        <w:t>Possible distinction by production route</w:t>
      </w:r>
      <w:r w:rsidRPr="00FF63D1">
        <w:rPr>
          <w:rFonts w:cs="Times New Roman"/>
          <w:noProof/>
        </w:rPr>
        <w:t xml:space="preserve">: Steel can be made starting from iron ore (primary route) or by </w:t>
      </w:r>
      <w:r w:rsidR="070A3A0B" w:rsidRPr="00FF63D1">
        <w:rPr>
          <w:rFonts w:cs="Times New Roman"/>
          <w:noProof/>
        </w:rPr>
        <w:t xml:space="preserve">utilising recycled </w:t>
      </w:r>
      <w:r w:rsidRPr="00FF63D1">
        <w:rPr>
          <w:rFonts w:cs="Times New Roman"/>
          <w:noProof/>
        </w:rPr>
        <w:t>steel scrap (secondary route). Both production routes lead to crude steel, but the production processes and emission intensities are fundamentally different. Based on the production routes and making use of the definitions under the product benchmarks in the EU ETS, it would be possible to distinguish between to two broad label categories:</w:t>
      </w:r>
      <w:r w:rsidR="00480BEE">
        <w:rPr>
          <w:rFonts w:cs="Times New Roman"/>
          <w:noProof/>
        </w:rPr>
        <w:t xml:space="preserve"> </w:t>
      </w:r>
    </w:p>
    <w:p w14:paraId="1EB10BC3" w14:textId="25BF377F" w:rsidR="00FE3BB9" w:rsidRPr="00FF63D1" w:rsidRDefault="589B691B" w:rsidP="00547A58">
      <w:pPr>
        <w:pStyle w:val="ListParagraph"/>
        <w:numPr>
          <w:ilvl w:val="0"/>
          <w:numId w:val="10"/>
        </w:numPr>
        <w:rPr>
          <w:rFonts w:cs="Times New Roman"/>
          <w:noProof/>
        </w:rPr>
      </w:pPr>
      <w:r w:rsidRPr="00FF63D1">
        <w:rPr>
          <w:rFonts w:cs="Times New Roman"/>
          <w:noProof/>
        </w:rPr>
        <w:t>Primary steelmaking, covering both the Blast Furnace/ Basic Oxygen Furnace (BF/BOF) route and the Direct Reduced Iron (DRI) route in line with the relevant benchmarks for primary production under the ETS (coke, agglomerated iron ore, hot metal production)</w:t>
      </w:r>
    </w:p>
    <w:p w14:paraId="35B8B162" w14:textId="194D7696" w:rsidR="00FE3BB9" w:rsidRPr="00FF63D1" w:rsidRDefault="589B691B" w:rsidP="00547A58">
      <w:pPr>
        <w:pStyle w:val="ListParagraph"/>
        <w:numPr>
          <w:ilvl w:val="0"/>
          <w:numId w:val="10"/>
        </w:numPr>
        <w:rPr>
          <w:rFonts w:cs="Times New Roman"/>
          <w:noProof/>
        </w:rPr>
      </w:pPr>
      <w:r w:rsidRPr="00FF63D1">
        <w:rPr>
          <w:rFonts w:cs="Times New Roman"/>
          <w:noProof/>
        </w:rPr>
        <w:t>Secondary steelmaking in an Electric Arc Furnace (EAF), in line with the relevant EAF benchmarks under the ETS (EAF carbon steel/EAF high-alloy steel)</w:t>
      </w:r>
    </w:p>
    <w:p w14:paraId="705AB368" w14:textId="77777777" w:rsidR="0083662D" w:rsidRPr="00FF63D1" w:rsidRDefault="0083662D" w:rsidP="00547A58">
      <w:pPr>
        <w:pStyle w:val="ListParagraph"/>
        <w:rPr>
          <w:rFonts w:cs="Times New Roman"/>
          <w:noProof/>
        </w:rPr>
      </w:pPr>
    </w:p>
    <w:p w14:paraId="6AF6CE2F" w14:textId="5A14CAC9" w:rsidR="00CE57B4" w:rsidRPr="00FF63D1" w:rsidRDefault="7610940C" w:rsidP="00547A58">
      <w:pPr>
        <w:pStyle w:val="ListParagraph"/>
        <w:rPr>
          <w:rFonts w:cs="Times New Roman"/>
          <w:noProof/>
        </w:rPr>
      </w:pPr>
      <w:r w:rsidRPr="00FF63D1">
        <w:rPr>
          <w:rFonts w:cs="Times New Roman"/>
          <w:noProof/>
        </w:rPr>
        <w:t xml:space="preserve">On the other hand, it would also be possible to combine all steel production within one label category, irrespective of the production pathway. </w:t>
      </w:r>
      <w:r w:rsidR="756BD37E" w:rsidRPr="00FF63D1">
        <w:rPr>
          <w:rFonts w:cs="Times New Roman"/>
          <w:noProof/>
        </w:rPr>
        <w:t>As structurally, primary</w:t>
      </w:r>
      <w:r w:rsidRPr="00FF63D1">
        <w:rPr>
          <w:rFonts w:cs="Times New Roman"/>
          <w:noProof/>
        </w:rPr>
        <w:t xml:space="preserve"> </w:t>
      </w:r>
      <w:r w:rsidR="756BD37E" w:rsidRPr="00FF63D1">
        <w:rPr>
          <w:rFonts w:cs="Times New Roman"/>
          <w:noProof/>
        </w:rPr>
        <w:t>steel production is much more carbon intensive than secondary</w:t>
      </w:r>
      <w:r w:rsidRPr="00FF63D1">
        <w:rPr>
          <w:rFonts w:cs="Times New Roman"/>
          <w:noProof/>
        </w:rPr>
        <w:t xml:space="preserve"> </w:t>
      </w:r>
      <w:r w:rsidR="756BD37E" w:rsidRPr="00FF63D1">
        <w:rPr>
          <w:rFonts w:cs="Times New Roman"/>
          <w:noProof/>
        </w:rPr>
        <w:t>steel production,</w:t>
      </w:r>
      <w:r w:rsidRPr="00FF63D1">
        <w:rPr>
          <w:rFonts w:cs="Times New Roman"/>
          <w:noProof/>
        </w:rPr>
        <w:t xml:space="preserve"> </w:t>
      </w:r>
      <w:r w:rsidR="42539377" w:rsidRPr="00FF63D1">
        <w:rPr>
          <w:rFonts w:cs="Times New Roman"/>
          <w:noProof/>
        </w:rPr>
        <w:t>w</w:t>
      </w:r>
      <w:r w:rsidRPr="00FF63D1">
        <w:rPr>
          <w:rFonts w:cs="Times New Roman"/>
          <w:noProof/>
        </w:rPr>
        <w:t xml:space="preserve">ithin this approach one would have to decide whether an adjustment for the scrap share would be needed, for example via a sliding scale, where a performance class become more stringent as the share of scrap increases. </w:t>
      </w:r>
      <w:r w:rsidR="0B0095F2" w:rsidRPr="00FF63D1">
        <w:rPr>
          <w:rFonts w:cs="Times New Roman"/>
          <w:noProof/>
        </w:rPr>
        <w:t xml:space="preserve">Especially if no GHG emissions are allocated to the use of scrap in the determination of the GHG-intensity, a </w:t>
      </w:r>
      <w:r w:rsidR="75C78D2F" w:rsidRPr="00FF63D1">
        <w:rPr>
          <w:rFonts w:cs="Times New Roman"/>
          <w:noProof/>
        </w:rPr>
        <w:t xml:space="preserve">well calibrated </w:t>
      </w:r>
      <w:r w:rsidR="0B0095F2" w:rsidRPr="00FF63D1">
        <w:rPr>
          <w:rFonts w:cs="Times New Roman"/>
          <w:noProof/>
        </w:rPr>
        <w:t>sliding scale for the determination of the performance classes could capture the gradual impact of using more or less scrap</w:t>
      </w:r>
      <w:r w:rsidR="5DA5E869" w:rsidRPr="00FF63D1">
        <w:rPr>
          <w:rFonts w:cs="Times New Roman"/>
          <w:noProof/>
        </w:rPr>
        <w:t>, reflecting the different starting point</w:t>
      </w:r>
      <w:r w:rsidR="5EB3932C" w:rsidRPr="00FF63D1">
        <w:rPr>
          <w:rFonts w:cs="Times New Roman"/>
          <w:noProof/>
        </w:rPr>
        <w:t xml:space="preserve"> of the two production routes</w:t>
      </w:r>
      <w:r w:rsidR="0B0095F2" w:rsidRPr="00FF63D1">
        <w:rPr>
          <w:rFonts w:cs="Times New Roman"/>
          <w:noProof/>
        </w:rPr>
        <w:t xml:space="preserve">. </w:t>
      </w:r>
      <w:r w:rsidRPr="00FF63D1">
        <w:rPr>
          <w:rFonts w:cs="Times New Roman"/>
          <w:noProof/>
        </w:rPr>
        <w:t>Furthermore, the primary and secondary production routes will eventually start to overlap when primary steelmaking decarbonises, given that the decarbonisation of the primary steelmaking route will likely include the use of DRIs, which typically produce sponge iron which needs further treatment in an EAF to produce crude steel.</w:t>
      </w:r>
    </w:p>
    <w:p w14:paraId="1C8E9CCB" w14:textId="77777777" w:rsidR="00FF44C9" w:rsidRPr="00FF63D1" w:rsidRDefault="00FF44C9" w:rsidP="00547A58">
      <w:pPr>
        <w:pStyle w:val="ListParagraph"/>
        <w:rPr>
          <w:rFonts w:cs="Times New Roman"/>
          <w:noProof/>
        </w:rPr>
      </w:pPr>
    </w:p>
    <w:p w14:paraId="74A77445" w14:textId="4E054355" w:rsidR="00FF44C9" w:rsidRPr="00FF63D1" w:rsidRDefault="7610940C" w:rsidP="00547A58">
      <w:pPr>
        <w:pStyle w:val="ListParagraph"/>
        <w:numPr>
          <w:ilvl w:val="0"/>
          <w:numId w:val="9"/>
        </w:numPr>
        <w:rPr>
          <w:rFonts w:cs="Times New Roman"/>
          <w:noProof/>
        </w:rPr>
      </w:pPr>
      <w:r w:rsidRPr="00FF63D1">
        <w:rPr>
          <w:rFonts w:cs="Times New Roman"/>
          <w:noProof/>
          <w:u w:val="single"/>
        </w:rPr>
        <w:t>Possible distinction by the quality of the end-product</w:t>
      </w:r>
      <w:r w:rsidRPr="00FF63D1">
        <w:rPr>
          <w:rFonts w:cs="Times New Roman"/>
          <w:noProof/>
        </w:rPr>
        <w:t>: the performance and quality characteristics of steel vary according to its chemical composition. Adding alloy elements can improve the quality of steel, leading to a differentiation between carbon steel, high alloy steel and stainless steel. As these high-alloy steel grades, typically produced in an EAF, have a higher emission intensity, a quality-based differentiation within the label could be considered. The EAF product benchmarks under the ETS account for this difference, given the distinction between EAF carbon steel and EAF high alloy steel.</w:t>
      </w:r>
    </w:p>
    <w:p w14:paraId="31B69B32" w14:textId="77777777" w:rsidR="00BC3C02" w:rsidRPr="00FF63D1" w:rsidRDefault="00BC3C02" w:rsidP="00BC3C02">
      <w:pPr>
        <w:pStyle w:val="ListParagraph"/>
        <w:rPr>
          <w:rFonts w:cs="Times New Roman"/>
          <w:noProof/>
        </w:rPr>
      </w:pPr>
    </w:p>
    <w:p w14:paraId="4CC4FCB3" w14:textId="78475AB8" w:rsidR="003D19AA" w:rsidRPr="00FF63D1" w:rsidRDefault="7610940C" w:rsidP="00547A58">
      <w:pPr>
        <w:pStyle w:val="ListParagraph"/>
        <w:numPr>
          <w:ilvl w:val="0"/>
          <w:numId w:val="9"/>
        </w:numPr>
        <w:rPr>
          <w:rFonts w:cs="Times New Roman"/>
          <w:noProof/>
        </w:rPr>
      </w:pPr>
      <w:r w:rsidRPr="00FF63D1">
        <w:rPr>
          <w:rFonts w:cs="Times New Roman"/>
          <w:noProof/>
          <w:u w:val="single"/>
        </w:rPr>
        <w:t>Possible distinction by the two main products categories</w:t>
      </w:r>
      <w:r w:rsidRPr="00FF63D1">
        <w:rPr>
          <w:rFonts w:cs="Times New Roman"/>
          <w:noProof/>
        </w:rPr>
        <w:t xml:space="preserve">: Flat products and long products have different </w:t>
      </w:r>
      <w:r w:rsidR="008B169D" w:rsidRPr="00FF63D1">
        <w:rPr>
          <w:rFonts w:cs="Times New Roman"/>
          <w:noProof/>
        </w:rPr>
        <w:t>ap</w:t>
      </w:r>
      <w:r w:rsidR="001D1A5A" w:rsidRPr="00FF63D1">
        <w:rPr>
          <w:rFonts w:cs="Times New Roman"/>
          <w:noProof/>
        </w:rPr>
        <w:t>plications, while also</w:t>
      </w:r>
      <w:r w:rsidRPr="00FF63D1">
        <w:rPr>
          <w:rFonts w:cs="Times New Roman"/>
          <w:noProof/>
        </w:rPr>
        <w:t xml:space="preserve"> </w:t>
      </w:r>
      <w:r w:rsidR="001D1A5A" w:rsidRPr="00FF63D1">
        <w:rPr>
          <w:rFonts w:cs="Times New Roman"/>
          <w:noProof/>
        </w:rPr>
        <w:t xml:space="preserve">the production processes </w:t>
      </w:r>
      <w:r w:rsidR="008E4DDE" w:rsidRPr="00FF63D1">
        <w:rPr>
          <w:rFonts w:cs="Times New Roman"/>
          <w:noProof/>
        </w:rPr>
        <w:t xml:space="preserve">differ. </w:t>
      </w:r>
    </w:p>
    <w:p w14:paraId="6FC0978A" w14:textId="77777777" w:rsidR="00BC3C02" w:rsidRPr="00FF63D1" w:rsidRDefault="00BC3C02" w:rsidP="00547A58">
      <w:pPr>
        <w:rPr>
          <w:rFonts w:cs="Times New Roman"/>
          <w:noProof/>
        </w:rPr>
      </w:pPr>
    </w:p>
    <w:p w14:paraId="3C2031AE" w14:textId="501614CA" w:rsidR="0083662D" w:rsidRPr="00FF63D1" w:rsidRDefault="0083662D" w:rsidP="00547A58">
      <w:pPr>
        <w:rPr>
          <w:rFonts w:cs="Times New Roman"/>
          <w:noProof/>
        </w:rPr>
      </w:pPr>
      <w:r w:rsidRPr="00FF63D1">
        <w:rPr>
          <w:rFonts w:cs="Times New Roman"/>
          <w:noProof/>
        </w:rPr>
        <w:t xml:space="preserve">Different approaches can be used </w:t>
      </w:r>
      <w:r w:rsidR="00B617A4" w:rsidRPr="00FF63D1">
        <w:rPr>
          <w:rFonts w:cs="Times New Roman"/>
          <w:noProof/>
        </w:rPr>
        <w:t>for a classification</w:t>
      </w:r>
      <w:r w:rsidRPr="00FF63D1">
        <w:rPr>
          <w:rFonts w:cs="Times New Roman"/>
          <w:noProof/>
        </w:rPr>
        <w:t>. The following options are assessed:</w:t>
      </w:r>
    </w:p>
    <w:p w14:paraId="0A911460" w14:textId="77777777" w:rsidR="00BC3C02" w:rsidRPr="00FF63D1" w:rsidRDefault="00BC3C02" w:rsidP="00547A58">
      <w:pPr>
        <w:rPr>
          <w:rFonts w:cs="Times New Roman"/>
          <w:noProof/>
        </w:rPr>
      </w:pPr>
    </w:p>
    <w:p w14:paraId="3A1EAC30" w14:textId="00FCFF4D" w:rsidR="0083662D" w:rsidRPr="00FF63D1" w:rsidRDefault="0083662D" w:rsidP="00547A58">
      <w:pPr>
        <w:rPr>
          <w:rFonts w:cs="Times New Roman"/>
          <w:noProof/>
        </w:rPr>
      </w:pPr>
      <w:r w:rsidRPr="00FF63D1">
        <w:rPr>
          <w:rFonts w:cs="Times New Roman"/>
          <w:b/>
          <w:i/>
          <w:noProof/>
        </w:rPr>
        <w:t>Option 1</w:t>
      </w:r>
      <w:r w:rsidRPr="00FF63D1">
        <w:rPr>
          <w:rFonts w:cs="Times New Roman"/>
          <w:noProof/>
        </w:rPr>
        <w:t xml:space="preserve">: </w:t>
      </w:r>
      <w:r w:rsidR="00B617A4" w:rsidRPr="00FF63D1">
        <w:rPr>
          <w:rFonts w:cs="Times New Roman"/>
          <w:noProof/>
        </w:rPr>
        <w:t>No classification</w:t>
      </w:r>
      <w:r w:rsidRPr="00FF63D1">
        <w:rPr>
          <w:rFonts w:cs="Times New Roman"/>
          <w:noProof/>
        </w:rPr>
        <w:t xml:space="preserve"> (</w:t>
      </w:r>
      <w:r w:rsidR="008C6E19" w:rsidRPr="00FF63D1">
        <w:rPr>
          <w:rFonts w:cs="Times New Roman"/>
          <w:b/>
          <w:noProof/>
        </w:rPr>
        <w:t>CLAS1</w:t>
      </w:r>
      <w:r w:rsidRPr="00FF63D1">
        <w:rPr>
          <w:rFonts w:cs="Times New Roman"/>
          <w:noProof/>
        </w:rPr>
        <w:t>)</w:t>
      </w:r>
    </w:p>
    <w:p w14:paraId="474B38D1" w14:textId="5D3092DD" w:rsidR="00277524" w:rsidRPr="00FF63D1" w:rsidRDefault="7610940C" w:rsidP="00547A58">
      <w:pPr>
        <w:rPr>
          <w:rFonts w:cs="Times New Roman"/>
          <w:noProof/>
        </w:rPr>
      </w:pPr>
      <w:r w:rsidRPr="00FF63D1">
        <w:rPr>
          <w:rFonts w:cs="Times New Roman"/>
          <w:noProof/>
        </w:rPr>
        <w:t>In this option, the steel label would be limited to one single metric, expressing the ton</w:t>
      </w:r>
      <w:r w:rsidR="00055C02">
        <w:rPr>
          <w:rFonts w:cs="Times New Roman"/>
          <w:noProof/>
        </w:rPr>
        <w:t>ne</w:t>
      </w:r>
      <w:r w:rsidRPr="00FF63D1">
        <w:rPr>
          <w:rFonts w:cs="Times New Roman"/>
          <w:noProof/>
        </w:rPr>
        <w:t>s of GHG emissions per tonne of steel. There would be no linked predefined performance categories linked to this metric, providing flexibility to other policy instruments, such as the ESPR, to develop such classes</w:t>
      </w:r>
      <w:r w:rsidR="55C6FADD" w:rsidRPr="00FF63D1">
        <w:rPr>
          <w:rFonts w:cs="Times New Roman"/>
          <w:noProof/>
        </w:rPr>
        <w:t xml:space="preserve"> or thresholds to qualify as low</w:t>
      </w:r>
      <w:r w:rsidR="00F42FCE">
        <w:rPr>
          <w:rFonts w:cs="Times New Roman"/>
          <w:noProof/>
        </w:rPr>
        <w:t>-</w:t>
      </w:r>
      <w:r w:rsidR="55C6FADD" w:rsidRPr="00FF63D1">
        <w:rPr>
          <w:rFonts w:cs="Times New Roman"/>
          <w:noProof/>
        </w:rPr>
        <w:t>carbon steel</w:t>
      </w:r>
      <w:r w:rsidRPr="00FF63D1">
        <w:rPr>
          <w:rFonts w:cs="Times New Roman"/>
          <w:noProof/>
        </w:rPr>
        <w:t>.</w:t>
      </w:r>
    </w:p>
    <w:p w14:paraId="4D5D9ACE" w14:textId="77777777" w:rsidR="00BC3C02" w:rsidRPr="00FF63D1" w:rsidRDefault="00BC3C02" w:rsidP="00547A58">
      <w:pPr>
        <w:rPr>
          <w:noProof/>
        </w:rPr>
      </w:pPr>
    </w:p>
    <w:p w14:paraId="76B55717" w14:textId="0D36B523" w:rsidR="000E59E3" w:rsidRPr="00FF63D1" w:rsidRDefault="000E59E3" w:rsidP="00547A58">
      <w:pPr>
        <w:rPr>
          <w:rFonts w:cs="Times New Roman"/>
          <w:noProof/>
        </w:rPr>
      </w:pPr>
      <w:r w:rsidRPr="00FF63D1">
        <w:rPr>
          <w:rFonts w:cs="Times New Roman"/>
          <w:b/>
          <w:i/>
          <w:noProof/>
        </w:rPr>
        <w:t>Option 2</w:t>
      </w:r>
      <w:r w:rsidR="00063D16" w:rsidRPr="00FF63D1">
        <w:rPr>
          <w:rFonts w:cs="Times New Roman"/>
          <w:b/>
          <w:i/>
          <w:noProof/>
        </w:rPr>
        <w:t>.a</w:t>
      </w:r>
      <w:r w:rsidRPr="00FF63D1">
        <w:rPr>
          <w:rFonts w:cs="Times New Roman"/>
          <w:noProof/>
        </w:rPr>
        <w:t xml:space="preserve">: </w:t>
      </w:r>
      <w:r w:rsidRPr="00FF63D1">
        <w:rPr>
          <w:noProof/>
        </w:rPr>
        <w:t>One classification system with</w:t>
      </w:r>
      <w:r w:rsidR="00063D16" w:rsidRPr="00FF63D1">
        <w:rPr>
          <w:noProof/>
        </w:rPr>
        <w:t>out</w:t>
      </w:r>
      <w:r w:rsidR="008A2699" w:rsidRPr="00FF63D1">
        <w:rPr>
          <w:noProof/>
        </w:rPr>
        <w:t xml:space="preserve"> a sliding scale</w:t>
      </w:r>
      <w:r w:rsidRPr="00FF63D1">
        <w:rPr>
          <w:noProof/>
        </w:rPr>
        <w:t xml:space="preserve"> (</w:t>
      </w:r>
      <w:r w:rsidRPr="00FF63D1">
        <w:rPr>
          <w:b/>
          <w:noProof/>
        </w:rPr>
        <w:t>CLAS2.a</w:t>
      </w:r>
      <w:r w:rsidRPr="00FF63D1">
        <w:rPr>
          <w:noProof/>
        </w:rPr>
        <w:t xml:space="preserve">) </w:t>
      </w:r>
    </w:p>
    <w:p w14:paraId="38AAA7F3" w14:textId="77777777" w:rsidR="00BC3C02" w:rsidRPr="00FF63D1" w:rsidRDefault="00BC3C02" w:rsidP="00547A58">
      <w:pPr>
        <w:rPr>
          <w:rFonts w:cs="Times New Roman"/>
          <w:noProof/>
        </w:rPr>
      </w:pPr>
    </w:p>
    <w:p w14:paraId="5DEA3F81" w14:textId="13388BE9" w:rsidR="00BC3C02" w:rsidRPr="00FF63D1" w:rsidRDefault="589B691B" w:rsidP="00547A58">
      <w:pPr>
        <w:rPr>
          <w:rFonts w:cs="Times New Roman"/>
          <w:noProof/>
        </w:rPr>
      </w:pPr>
      <w:r w:rsidRPr="00FF63D1">
        <w:rPr>
          <w:rFonts w:cs="Times New Roman"/>
          <w:noProof/>
        </w:rPr>
        <w:t>In this option, one classification system would be developed for the labelling of steel, defining specific GHG-intensity thresholds. All steel up to the production step covered by the system boundaries would be subject to the same thresholds and classification system, irrespective of its production route or quality.</w:t>
      </w:r>
    </w:p>
    <w:p w14:paraId="6AF4D15C" w14:textId="05F9DEF0" w:rsidR="009E2CE9" w:rsidRPr="00FF63D1" w:rsidRDefault="589B691B" w:rsidP="00547A58">
      <w:pPr>
        <w:rPr>
          <w:rFonts w:cs="Times New Roman"/>
          <w:noProof/>
        </w:rPr>
      </w:pPr>
      <w:r w:rsidRPr="00FF63D1">
        <w:rPr>
          <w:rFonts w:cs="Times New Roman"/>
          <w:noProof/>
        </w:rPr>
        <w:t xml:space="preserve"> </w:t>
      </w:r>
    </w:p>
    <w:p w14:paraId="5037AEA6" w14:textId="5C1FBD1D" w:rsidR="009E2CE9" w:rsidRPr="00FF63D1" w:rsidRDefault="589B691B" w:rsidP="00547A58">
      <w:pPr>
        <w:rPr>
          <w:rFonts w:cs="Times New Roman"/>
          <w:noProof/>
        </w:rPr>
      </w:pPr>
      <w:r w:rsidRPr="00FF63D1">
        <w:rPr>
          <w:rFonts w:cs="Times New Roman"/>
          <w:b/>
          <w:i/>
          <w:noProof/>
        </w:rPr>
        <w:t>Option 2.b</w:t>
      </w:r>
      <w:r w:rsidRPr="00FF63D1">
        <w:rPr>
          <w:rFonts w:cs="Times New Roman"/>
          <w:noProof/>
        </w:rPr>
        <w:t xml:space="preserve">: </w:t>
      </w:r>
      <w:r w:rsidRPr="00FF63D1">
        <w:rPr>
          <w:noProof/>
        </w:rPr>
        <w:t>One classification system with a sliding scale (</w:t>
      </w:r>
      <w:r w:rsidRPr="00FF63D1">
        <w:rPr>
          <w:b/>
          <w:noProof/>
        </w:rPr>
        <w:t>CLAS2.b</w:t>
      </w:r>
      <w:r w:rsidRPr="00FF63D1">
        <w:rPr>
          <w:noProof/>
        </w:rPr>
        <w:t xml:space="preserve">) </w:t>
      </w:r>
    </w:p>
    <w:p w14:paraId="6C34AB63" w14:textId="77777777" w:rsidR="00BC3C02" w:rsidRPr="00FF63D1" w:rsidRDefault="00BC3C02" w:rsidP="00547A58">
      <w:pPr>
        <w:rPr>
          <w:rFonts w:cs="Times New Roman"/>
          <w:noProof/>
        </w:rPr>
      </w:pPr>
    </w:p>
    <w:p w14:paraId="7F73E80F" w14:textId="6CAD3A52" w:rsidR="00BC3C02" w:rsidRPr="00FF63D1" w:rsidRDefault="7610940C" w:rsidP="00547A58">
      <w:pPr>
        <w:rPr>
          <w:rFonts w:cs="Times New Roman"/>
          <w:noProof/>
        </w:rPr>
      </w:pPr>
      <w:r w:rsidRPr="00FF63D1">
        <w:rPr>
          <w:rFonts w:cs="Times New Roman"/>
          <w:noProof/>
        </w:rPr>
        <w:t xml:space="preserve">In this option, one classification system would be developed for the labelling of steel as in CLAS2.a, but the more scrap is used, the more stringent (i.e. less </w:t>
      </w:r>
      <w:r w:rsidRPr="00FF63D1">
        <w:rPr>
          <w:rFonts w:eastAsia="Times New Roman" w:cs="Times New Roman"/>
          <w:noProof/>
          <w:lang w:eastAsia="en-GB"/>
        </w:rPr>
        <w:t>t</w:t>
      </w:r>
      <w:r w:rsidR="00273206" w:rsidRPr="00FF63D1">
        <w:rPr>
          <w:noProof/>
          <w:color w:val="000000" w:themeColor="text1"/>
        </w:rPr>
        <w:t xml:space="preserve"> CO</w:t>
      </w:r>
      <w:r w:rsidR="00273206" w:rsidRPr="00FF63D1">
        <w:rPr>
          <w:noProof/>
          <w:color w:val="000000" w:themeColor="text1"/>
          <w:vertAlign w:val="subscript"/>
        </w:rPr>
        <w:t>2</w:t>
      </w:r>
      <w:r w:rsidRPr="00FF63D1">
        <w:rPr>
          <w:rFonts w:eastAsia="Times New Roman" w:cs="Times New Roman"/>
          <w:noProof/>
          <w:lang w:eastAsia="en-GB"/>
        </w:rPr>
        <w:t>eq/ tonne of steel</w:t>
      </w:r>
      <w:r w:rsidRPr="00FF63D1">
        <w:rPr>
          <w:rFonts w:cs="Times New Roman"/>
          <w:noProof/>
        </w:rPr>
        <w:t xml:space="preserve">) the thresholds become. As such, this classification </w:t>
      </w:r>
      <w:r w:rsidR="00D45661" w:rsidRPr="00FF63D1">
        <w:rPr>
          <w:rFonts w:cs="Times New Roman"/>
          <w:noProof/>
        </w:rPr>
        <w:t xml:space="preserve">could account </w:t>
      </w:r>
      <w:r w:rsidRPr="00FF63D1">
        <w:rPr>
          <w:rFonts w:cs="Times New Roman"/>
          <w:noProof/>
        </w:rPr>
        <w:t xml:space="preserve">for the </w:t>
      </w:r>
      <w:r w:rsidR="00D45661" w:rsidRPr="00FF63D1">
        <w:rPr>
          <w:rFonts w:cs="Times New Roman"/>
          <w:noProof/>
        </w:rPr>
        <w:t>inherent GHG</w:t>
      </w:r>
      <w:r w:rsidR="005341B9" w:rsidRPr="00FF63D1">
        <w:rPr>
          <w:rFonts w:cs="Times New Roman"/>
          <w:noProof/>
        </w:rPr>
        <w:t xml:space="preserve"> impact </w:t>
      </w:r>
      <w:r w:rsidRPr="00FF63D1">
        <w:rPr>
          <w:rFonts w:cs="Times New Roman"/>
          <w:noProof/>
        </w:rPr>
        <w:t>of scrap, and for the difference between producing primary steel and steel via scrap-based technologies.</w:t>
      </w:r>
    </w:p>
    <w:p w14:paraId="35250E89" w14:textId="3B9FE07D" w:rsidR="00913495" w:rsidRPr="00FF63D1" w:rsidRDefault="7610940C" w:rsidP="00547A58">
      <w:pPr>
        <w:rPr>
          <w:rFonts w:cs="Times New Roman"/>
          <w:noProof/>
        </w:rPr>
      </w:pPr>
      <w:r w:rsidRPr="00FF63D1">
        <w:rPr>
          <w:rFonts w:cs="Times New Roman"/>
          <w:noProof/>
        </w:rPr>
        <w:t xml:space="preserve"> </w:t>
      </w:r>
    </w:p>
    <w:p w14:paraId="4842EB09" w14:textId="390DEE91" w:rsidR="00F60B34" w:rsidRPr="00FF63D1" w:rsidRDefault="589B691B" w:rsidP="00547A58">
      <w:pPr>
        <w:rPr>
          <w:rFonts w:cs="Times New Roman"/>
          <w:noProof/>
        </w:rPr>
      </w:pPr>
      <w:r w:rsidRPr="00FF63D1">
        <w:rPr>
          <w:rFonts w:cs="Times New Roman"/>
          <w:b/>
          <w:i/>
          <w:noProof/>
        </w:rPr>
        <w:t>Option 3.a</w:t>
      </w:r>
      <w:r w:rsidRPr="00FF63D1">
        <w:rPr>
          <w:rFonts w:cs="Times New Roman"/>
          <w:noProof/>
        </w:rPr>
        <w:t xml:space="preserve">: </w:t>
      </w:r>
      <w:r w:rsidRPr="00FF63D1">
        <w:rPr>
          <w:noProof/>
        </w:rPr>
        <w:t>Differentiated classification systems per production route/steel quality (</w:t>
      </w:r>
      <w:r w:rsidRPr="00FF63D1">
        <w:rPr>
          <w:b/>
          <w:noProof/>
        </w:rPr>
        <w:t>CLAS3.a</w:t>
      </w:r>
      <w:r w:rsidRPr="00FF63D1">
        <w:rPr>
          <w:noProof/>
        </w:rPr>
        <w:t xml:space="preserve">) </w:t>
      </w:r>
    </w:p>
    <w:p w14:paraId="36E02D13" w14:textId="6C136875" w:rsidR="309F6033" w:rsidRPr="00FF63D1" w:rsidRDefault="589B691B" w:rsidP="00547A58">
      <w:pPr>
        <w:rPr>
          <w:noProof/>
        </w:rPr>
      </w:pPr>
      <w:r w:rsidRPr="00FF63D1">
        <w:rPr>
          <w:noProof/>
        </w:rPr>
        <w:t>In this option, differentiated classification systems are developed for primary and secondary steel production. It is then further differentiated by steel quality, with the main metric being the content of alloy within the steel. Therefore, four distinct low-carbon steel classifications are developed, i.e. primary-low alloy, primary-high alloy, secondary-low alloy, secondary-high alloy.</w:t>
      </w:r>
    </w:p>
    <w:p w14:paraId="6E478F84" w14:textId="77777777" w:rsidR="00BC3C02" w:rsidRPr="00FF63D1" w:rsidRDefault="00BC3C02" w:rsidP="00547A58">
      <w:pPr>
        <w:rPr>
          <w:noProof/>
        </w:rPr>
      </w:pPr>
    </w:p>
    <w:p w14:paraId="39CBC3D8" w14:textId="357A3E23" w:rsidR="00F83E0E" w:rsidRPr="00FF63D1" w:rsidRDefault="589B691B" w:rsidP="00547A58">
      <w:pPr>
        <w:rPr>
          <w:rFonts w:cs="Times New Roman"/>
          <w:noProof/>
        </w:rPr>
      </w:pPr>
      <w:r w:rsidRPr="00FF63D1">
        <w:rPr>
          <w:rFonts w:cs="Times New Roman"/>
          <w:b/>
          <w:i/>
          <w:noProof/>
        </w:rPr>
        <w:t>Option 3.b</w:t>
      </w:r>
      <w:r w:rsidRPr="00FF63D1">
        <w:rPr>
          <w:rFonts w:cs="Times New Roman"/>
          <w:noProof/>
        </w:rPr>
        <w:t xml:space="preserve">: </w:t>
      </w:r>
      <w:r w:rsidRPr="00FF63D1">
        <w:rPr>
          <w:noProof/>
        </w:rPr>
        <w:t>Differentiated classification systems per production type (</w:t>
      </w:r>
      <w:r w:rsidRPr="00FF63D1">
        <w:rPr>
          <w:b/>
          <w:noProof/>
        </w:rPr>
        <w:t>CLAS3.b</w:t>
      </w:r>
      <w:r w:rsidRPr="00FF63D1">
        <w:rPr>
          <w:noProof/>
        </w:rPr>
        <w:t>)</w:t>
      </w:r>
    </w:p>
    <w:p w14:paraId="6BA50AEF" w14:textId="77777777" w:rsidR="00BC3C02" w:rsidRPr="00FF63D1" w:rsidRDefault="00BC3C02" w:rsidP="00547A58">
      <w:pPr>
        <w:rPr>
          <w:noProof/>
        </w:rPr>
      </w:pPr>
    </w:p>
    <w:p w14:paraId="42EB40D3" w14:textId="17C9F601" w:rsidR="00F83E0E" w:rsidRPr="00FF63D1" w:rsidRDefault="50B8A2DE" w:rsidP="00547A58">
      <w:pPr>
        <w:rPr>
          <w:noProof/>
        </w:rPr>
      </w:pPr>
      <w:r w:rsidRPr="00FF63D1">
        <w:rPr>
          <w:noProof/>
        </w:rPr>
        <w:t xml:space="preserve">Instead of distinguishing </w:t>
      </w:r>
      <w:r w:rsidR="67846D55" w:rsidRPr="00FF63D1">
        <w:rPr>
          <w:noProof/>
        </w:rPr>
        <w:t>based on</w:t>
      </w:r>
      <w:r w:rsidRPr="00FF63D1">
        <w:rPr>
          <w:noProof/>
        </w:rPr>
        <w:t xml:space="preserve"> the production route, this option </w:t>
      </w:r>
      <w:r w:rsidR="00B21024" w:rsidRPr="00FF63D1">
        <w:rPr>
          <w:noProof/>
        </w:rPr>
        <w:t>provides a different classification system according to the final shape of the steel products, categorizing them as</w:t>
      </w:r>
      <w:r w:rsidRPr="00FF63D1">
        <w:rPr>
          <w:noProof/>
        </w:rPr>
        <w:t xml:space="preserve"> flat </w:t>
      </w:r>
      <w:r w:rsidR="00B21024" w:rsidRPr="00FF63D1">
        <w:rPr>
          <w:noProof/>
        </w:rPr>
        <w:t>or</w:t>
      </w:r>
      <w:r w:rsidRPr="00FF63D1">
        <w:rPr>
          <w:noProof/>
        </w:rPr>
        <w:t xml:space="preserve"> long steel products. Flat products include </w:t>
      </w:r>
      <w:r w:rsidR="00B21024" w:rsidRPr="00FF63D1">
        <w:rPr>
          <w:noProof/>
        </w:rPr>
        <w:t>s</w:t>
      </w:r>
      <w:r w:rsidRPr="00FF63D1">
        <w:rPr>
          <w:noProof/>
        </w:rPr>
        <w:t xml:space="preserve">labs, hot rolled coil </w:t>
      </w:r>
      <w:r w:rsidR="07B30465" w:rsidRPr="00FF63D1">
        <w:rPr>
          <w:noProof/>
        </w:rPr>
        <w:t>and plates and are predominantly used</w:t>
      </w:r>
      <w:r w:rsidRPr="00FF63D1">
        <w:rPr>
          <w:noProof/>
        </w:rPr>
        <w:t xml:space="preserve"> in automotive, pipes and tubes and constructions</w:t>
      </w:r>
      <w:r w:rsidR="00B21024" w:rsidRPr="00FF63D1">
        <w:rPr>
          <w:noProof/>
        </w:rPr>
        <w:t xml:space="preserve">. </w:t>
      </w:r>
      <w:r w:rsidRPr="00FF63D1">
        <w:rPr>
          <w:noProof/>
        </w:rPr>
        <w:t xml:space="preserve">Long products such as bars and wire rods </w:t>
      </w:r>
      <w:r w:rsidR="00B21024" w:rsidRPr="00FF63D1">
        <w:rPr>
          <w:noProof/>
        </w:rPr>
        <w:t xml:space="preserve">are </w:t>
      </w:r>
      <w:r w:rsidRPr="00FF63D1">
        <w:rPr>
          <w:noProof/>
        </w:rPr>
        <w:t xml:space="preserve">typically used </w:t>
      </w:r>
      <w:r w:rsidR="07B30465" w:rsidRPr="00FF63D1">
        <w:rPr>
          <w:noProof/>
        </w:rPr>
        <w:t>in the construction, mechanical engineering</w:t>
      </w:r>
      <w:r w:rsidRPr="00FF63D1">
        <w:rPr>
          <w:noProof/>
        </w:rPr>
        <w:t xml:space="preserve"> and automotive industries</w:t>
      </w:r>
      <w:r w:rsidR="639AE2A7" w:rsidRPr="00FF63D1">
        <w:rPr>
          <w:noProof/>
        </w:rPr>
        <w:t>.</w:t>
      </w:r>
      <w:r w:rsidR="00D93209" w:rsidRPr="00FF63D1">
        <w:rPr>
          <w:rStyle w:val="FootnoteReference"/>
          <w:noProof/>
        </w:rPr>
        <w:footnoteReference w:id="675"/>
      </w:r>
    </w:p>
    <w:p w14:paraId="10400817" w14:textId="77777777" w:rsidR="00BC3C02" w:rsidRPr="00FF63D1" w:rsidRDefault="00BC3C02" w:rsidP="00547A58">
      <w:pPr>
        <w:rPr>
          <w:noProof/>
        </w:rPr>
      </w:pPr>
    </w:p>
    <w:p w14:paraId="53D94B85" w14:textId="41B44F0D" w:rsidR="00BC3C02" w:rsidRPr="00FF63D1" w:rsidRDefault="6086CBCD" w:rsidP="00311DB3">
      <w:pPr>
        <w:pStyle w:val="Heading3"/>
        <w:numPr>
          <w:ilvl w:val="0"/>
          <w:numId w:val="0"/>
        </w:numPr>
        <w:spacing w:before="0" w:after="0"/>
        <w:ind w:left="2160"/>
      </w:pPr>
      <w:bookmarkStart w:id="928" w:name="_Toc206091404"/>
      <w:r w:rsidRPr="00FF63D1">
        <w:t>Ensuring data quality</w:t>
      </w:r>
      <w:bookmarkEnd w:id="928"/>
    </w:p>
    <w:p w14:paraId="20DAD16B" w14:textId="50C1F46B" w:rsidR="00BC3C02" w:rsidRPr="00FF63D1" w:rsidRDefault="00BC3C02" w:rsidP="00547A58">
      <w:pPr>
        <w:rPr>
          <w:noProof/>
        </w:rPr>
      </w:pPr>
    </w:p>
    <w:p w14:paraId="239CD926" w14:textId="3C979814" w:rsidR="00684681" w:rsidRPr="00FF63D1" w:rsidRDefault="7610940C" w:rsidP="00547A58">
      <w:pPr>
        <w:rPr>
          <w:noProof/>
        </w:rPr>
      </w:pPr>
      <w:r w:rsidRPr="00FF63D1">
        <w:rPr>
          <w:noProof/>
        </w:rPr>
        <w:t>A third aspect of a labelling system is securing the credibility</w:t>
      </w:r>
      <w:r w:rsidR="7DDC1DFB" w:rsidRPr="00FF63D1">
        <w:rPr>
          <w:noProof/>
        </w:rPr>
        <w:t>, reliability, consistency</w:t>
      </w:r>
      <w:r w:rsidRPr="00FF63D1">
        <w:rPr>
          <w:noProof/>
        </w:rPr>
        <w:t xml:space="preserve"> and accuracy of the underlying reported data and resulting GHG-intensities and/or</w:t>
      </w:r>
      <w:r w:rsidR="371C9B23" w:rsidRPr="00FF63D1">
        <w:rPr>
          <w:noProof/>
        </w:rPr>
        <w:t xml:space="preserve"> resulting</w:t>
      </w:r>
      <w:r w:rsidRPr="00FF63D1">
        <w:rPr>
          <w:noProof/>
        </w:rPr>
        <w:t xml:space="preserve"> label classifications. To prevent greenwashing and ensure the consistent and comparable application of the methodology an appropriate level of control should be applied, involving different actors. The applicant itself may report the required data and calculate the resulting GHG-intensities through self-declaration. A certification body may perform checks on the submitted data, e.g. to avoid procedural inconsistencies. External-third party verification of the application </w:t>
      </w:r>
      <w:r w:rsidR="00592C6E" w:rsidRPr="00FF63D1">
        <w:rPr>
          <w:noProof/>
        </w:rPr>
        <w:t xml:space="preserve">by accredit </w:t>
      </w:r>
      <w:r w:rsidR="00B021C7" w:rsidRPr="00FF63D1">
        <w:rPr>
          <w:noProof/>
        </w:rPr>
        <w:t xml:space="preserve">verifiers </w:t>
      </w:r>
      <w:r w:rsidRPr="00FF63D1">
        <w:rPr>
          <w:noProof/>
        </w:rPr>
        <w:t>may be required, assessing the correct use of the methodology and reported data. This element of the label is also linked to the eligibility to apply for the label: for steel for which all production steps are performed within the EU, detailed GHG emissions for production within specific installation boundaries and corresponding production data are available and reported in the framework of the free allocation rules under the EU ETS. For steel imported on the EU market, and for production steps taking place outside EU, the current information availability is lower</w:t>
      </w:r>
      <w:r w:rsidR="2D1CF13B" w:rsidRPr="00FF63D1">
        <w:rPr>
          <w:noProof/>
        </w:rPr>
        <w:t xml:space="preserve"> but can increase as CBAM is implemented</w:t>
      </w:r>
      <w:r w:rsidRPr="00FF63D1">
        <w:rPr>
          <w:noProof/>
        </w:rPr>
        <w:t xml:space="preserve">, potentially requiring extra procedures to </w:t>
      </w:r>
      <w:r w:rsidR="1CE45504" w:rsidRPr="00FF63D1">
        <w:rPr>
          <w:noProof/>
        </w:rPr>
        <w:t>en</w:t>
      </w:r>
      <w:r w:rsidR="006E7CDC" w:rsidRPr="00FF63D1">
        <w:rPr>
          <w:noProof/>
        </w:rPr>
        <w:t>s</w:t>
      </w:r>
      <w:r w:rsidR="1CE45504" w:rsidRPr="00FF63D1">
        <w:rPr>
          <w:noProof/>
        </w:rPr>
        <w:t>ure</w:t>
      </w:r>
      <w:r w:rsidRPr="00FF63D1">
        <w:rPr>
          <w:noProof/>
        </w:rPr>
        <w:t xml:space="preserve"> high data quality. Based on these elements three options emerge:</w:t>
      </w:r>
    </w:p>
    <w:p w14:paraId="271CBE48" w14:textId="77777777" w:rsidR="00BC3C02" w:rsidRPr="00FF63D1" w:rsidRDefault="00BC3C02" w:rsidP="00547A58">
      <w:pPr>
        <w:rPr>
          <w:noProof/>
        </w:rPr>
      </w:pPr>
    </w:p>
    <w:p w14:paraId="3B049F3E" w14:textId="52AF6808" w:rsidR="00684681" w:rsidRPr="00FF63D1" w:rsidRDefault="25C6C4AA" w:rsidP="00547A58">
      <w:pPr>
        <w:rPr>
          <w:rFonts w:cs="Times New Roman"/>
          <w:noProof/>
        </w:rPr>
      </w:pPr>
      <w:r w:rsidRPr="00FF63D1">
        <w:rPr>
          <w:rFonts w:cs="Times New Roman"/>
          <w:b/>
          <w:i/>
          <w:noProof/>
        </w:rPr>
        <w:t>Option 1</w:t>
      </w:r>
      <w:r w:rsidRPr="00FF63D1">
        <w:rPr>
          <w:rFonts w:cs="Times New Roman"/>
          <w:noProof/>
        </w:rPr>
        <w:t>: Label for EU steel producers only, based on self-declared emissions and production volumes</w:t>
      </w:r>
      <w:r w:rsidR="42359322" w:rsidRPr="00FF63D1">
        <w:rPr>
          <w:rFonts w:cs="Times New Roman"/>
          <w:noProof/>
        </w:rPr>
        <w:t xml:space="preserve"> </w:t>
      </w:r>
      <w:r w:rsidRPr="00FF63D1">
        <w:rPr>
          <w:rFonts w:cs="Times New Roman"/>
          <w:noProof/>
        </w:rPr>
        <w:t>(</w:t>
      </w:r>
      <w:r w:rsidRPr="00FF63D1">
        <w:rPr>
          <w:rFonts w:cs="Times New Roman"/>
          <w:b/>
          <w:noProof/>
        </w:rPr>
        <w:t>DATA1</w:t>
      </w:r>
      <w:r w:rsidRPr="00FF63D1">
        <w:rPr>
          <w:rFonts w:cs="Times New Roman"/>
          <w:noProof/>
        </w:rPr>
        <w:t>)</w:t>
      </w:r>
    </w:p>
    <w:p w14:paraId="218B1313" w14:textId="77777777" w:rsidR="00BC3C02" w:rsidRPr="00FF63D1" w:rsidRDefault="00BC3C02" w:rsidP="00547A58">
      <w:pPr>
        <w:rPr>
          <w:rFonts w:cs="Times New Roman"/>
          <w:noProof/>
        </w:rPr>
      </w:pPr>
    </w:p>
    <w:p w14:paraId="382040B8" w14:textId="2E08A5A3" w:rsidR="00684681" w:rsidRPr="00FF63D1" w:rsidRDefault="7610940C" w:rsidP="00547A58">
      <w:pPr>
        <w:rPr>
          <w:rFonts w:cs="Times New Roman"/>
          <w:noProof/>
        </w:rPr>
      </w:pPr>
      <w:r w:rsidRPr="00FF63D1">
        <w:rPr>
          <w:rFonts w:cs="Times New Roman"/>
          <w:noProof/>
        </w:rPr>
        <w:t xml:space="preserve">In this option, only EU steel manufacturers would be allowed to apply for the label. </w:t>
      </w:r>
      <w:r w:rsidRPr="00FF63D1">
        <w:rPr>
          <w:noProof/>
        </w:rPr>
        <w:t>Applicants report their GHG-intensities through self-declaration to a certification body, based as much as possible on validated data under the ETS, that performs basic procedural checks on the submissions and subsequently certifies the relevant GHG-intensity and/or label classification. As the bulk of the data is based on</w:t>
      </w:r>
      <w:r w:rsidR="1C237A25" w:rsidRPr="00FF63D1">
        <w:rPr>
          <w:noProof/>
        </w:rPr>
        <w:t xml:space="preserve"> already </w:t>
      </w:r>
      <w:r w:rsidRPr="00FF63D1">
        <w:rPr>
          <w:noProof/>
        </w:rPr>
        <w:t>verified and validated data under the ETS, no further verification is needed.</w:t>
      </w:r>
    </w:p>
    <w:p w14:paraId="70CD4A5F" w14:textId="77777777" w:rsidR="00BC3C02" w:rsidRPr="00FF63D1" w:rsidRDefault="00BC3C02" w:rsidP="00547A58">
      <w:pPr>
        <w:rPr>
          <w:rFonts w:cs="Times New Roman"/>
          <w:noProof/>
        </w:rPr>
      </w:pPr>
    </w:p>
    <w:p w14:paraId="528A4979" w14:textId="26B42CAD" w:rsidR="00BC3C02" w:rsidRDefault="00684681" w:rsidP="00547A58">
      <w:pPr>
        <w:rPr>
          <w:rFonts w:cs="Times New Roman"/>
          <w:noProof/>
        </w:rPr>
      </w:pPr>
      <w:r w:rsidRPr="00FF63D1">
        <w:rPr>
          <w:rFonts w:cs="Times New Roman"/>
          <w:b/>
          <w:i/>
          <w:noProof/>
        </w:rPr>
        <w:t>Option 2</w:t>
      </w:r>
      <w:r w:rsidRPr="00FF63D1">
        <w:rPr>
          <w:rFonts w:cs="Times New Roman"/>
          <w:noProof/>
        </w:rPr>
        <w:t>: Label for EU steel producers only, with third-party verification and certification</w:t>
      </w:r>
      <w:r w:rsidR="00480BEE">
        <w:rPr>
          <w:rFonts w:cs="Times New Roman"/>
          <w:noProof/>
        </w:rPr>
        <w:t xml:space="preserve"> </w:t>
      </w:r>
      <w:r w:rsidR="0048578C" w:rsidRPr="00FF63D1">
        <w:rPr>
          <w:rFonts w:cs="Times New Roman"/>
          <w:noProof/>
        </w:rPr>
        <w:t>(</w:t>
      </w:r>
      <w:r w:rsidRPr="00FF63D1">
        <w:rPr>
          <w:rFonts w:cs="Times New Roman"/>
          <w:b/>
          <w:noProof/>
        </w:rPr>
        <w:t>DATA2</w:t>
      </w:r>
      <w:r w:rsidRPr="00FF63D1">
        <w:rPr>
          <w:rFonts w:cs="Times New Roman"/>
          <w:noProof/>
        </w:rPr>
        <w:t>)</w:t>
      </w:r>
    </w:p>
    <w:p w14:paraId="39BC468B" w14:textId="77777777" w:rsidR="00DC6AEE" w:rsidRPr="00FF63D1" w:rsidRDefault="00DC6AEE" w:rsidP="00547A58">
      <w:pPr>
        <w:rPr>
          <w:rFonts w:cs="Times New Roman"/>
          <w:noProof/>
        </w:rPr>
      </w:pPr>
    </w:p>
    <w:p w14:paraId="27860027" w14:textId="3B61CEA0" w:rsidR="00684681" w:rsidRPr="00FF63D1" w:rsidRDefault="7610940C" w:rsidP="00547A58">
      <w:pPr>
        <w:rPr>
          <w:rFonts w:cs="Times New Roman"/>
          <w:noProof/>
        </w:rPr>
      </w:pPr>
      <w:r w:rsidRPr="00FF63D1">
        <w:rPr>
          <w:rFonts w:cs="Times New Roman"/>
          <w:noProof/>
        </w:rPr>
        <w:t xml:space="preserve">As in option 1, only EU steel manufacturers would be allowed to apply for the label. However, an additional verification of the submitted applications </w:t>
      </w:r>
      <w:r w:rsidR="73DB5476" w:rsidRPr="00FF63D1">
        <w:rPr>
          <w:rFonts w:cs="Times New Roman"/>
          <w:noProof/>
        </w:rPr>
        <w:t xml:space="preserve">and data / calculations therein </w:t>
      </w:r>
      <w:r w:rsidRPr="00FF63D1">
        <w:rPr>
          <w:rFonts w:cs="Times New Roman"/>
          <w:noProof/>
        </w:rPr>
        <w:t>is required</w:t>
      </w:r>
      <w:r w:rsidRPr="00FF63D1">
        <w:rPr>
          <w:noProof/>
        </w:rPr>
        <w:t xml:space="preserve">, performed by an independent third-party verifier. Based on the verified application, the independent </w:t>
      </w:r>
      <w:r w:rsidR="1435A557" w:rsidRPr="00FF63D1">
        <w:rPr>
          <w:noProof/>
        </w:rPr>
        <w:t xml:space="preserve">third-party </w:t>
      </w:r>
      <w:r w:rsidRPr="00FF63D1">
        <w:rPr>
          <w:noProof/>
        </w:rPr>
        <w:t>certification body approves the reported GHG-intensity and/or label classification and issues the label.</w:t>
      </w:r>
    </w:p>
    <w:p w14:paraId="6CC4FCAA" w14:textId="77777777" w:rsidR="00BC3C02" w:rsidRPr="00FF63D1" w:rsidRDefault="00BC3C02" w:rsidP="00547A58">
      <w:pPr>
        <w:rPr>
          <w:rFonts w:cs="Times New Roman"/>
          <w:noProof/>
        </w:rPr>
      </w:pPr>
    </w:p>
    <w:p w14:paraId="424ABFA1" w14:textId="44BC003C" w:rsidR="00A04CD8" w:rsidRPr="00FF63D1" w:rsidRDefault="7610940C" w:rsidP="00547A58">
      <w:pPr>
        <w:rPr>
          <w:rFonts w:cs="Times New Roman"/>
          <w:noProof/>
        </w:rPr>
      </w:pPr>
      <w:r w:rsidRPr="00FF63D1">
        <w:rPr>
          <w:rFonts w:cs="Times New Roman"/>
          <w:b/>
          <w:i/>
          <w:noProof/>
        </w:rPr>
        <w:t>Option 3</w:t>
      </w:r>
      <w:r w:rsidRPr="00FF63D1">
        <w:rPr>
          <w:rFonts w:cs="Times New Roman"/>
          <w:noProof/>
        </w:rPr>
        <w:t xml:space="preserve">: Label open </w:t>
      </w:r>
      <w:r w:rsidRPr="00FF63D1">
        <w:rPr>
          <w:noProof/>
        </w:rPr>
        <w:t>for all sellers of steel on the EU market</w:t>
      </w:r>
      <w:r w:rsidRPr="00FF63D1">
        <w:rPr>
          <w:rFonts w:cs="Times New Roman"/>
          <w:noProof/>
        </w:rPr>
        <w:t>, with</w:t>
      </w:r>
      <w:r w:rsidR="699D92A5" w:rsidRPr="00FF63D1">
        <w:rPr>
          <w:rFonts w:cs="Times New Roman"/>
          <w:noProof/>
        </w:rPr>
        <w:t xml:space="preserve"> in-debt</w:t>
      </w:r>
      <w:r w:rsidRPr="00FF63D1">
        <w:rPr>
          <w:rFonts w:cs="Times New Roman"/>
          <w:noProof/>
        </w:rPr>
        <w:t xml:space="preserve"> third-party verification and certification (</w:t>
      </w:r>
      <w:r w:rsidRPr="00FF63D1">
        <w:rPr>
          <w:rFonts w:cs="Times New Roman"/>
          <w:b/>
          <w:noProof/>
        </w:rPr>
        <w:t>DATA3</w:t>
      </w:r>
      <w:r w:rsidRPr="00FF63D1">
        <w:rPr>
          <w:rFonts w:cs="Times New Roman"/>
          <w:noProof/>
        </w:rPr>
        <w:t>)</w:t>
      </w:r>
    </w:p>
    <w:p w14:paraId="074D5ABE" w14:textId="77777777" w:rsidR="00BC3C02" w:rsidRPr="00FF63D1" w:rsidRDefault="00BC3C02" w:rsidP="00547A58">
      <w:pPr>
        <w:rPr>
          <w:rFonts w:cs="Times New Roman"/>
          <w:noProof/>
        </w:rPr>
      </w:pPr>
    </w:p>
    <w:p w14:paraId="74A592ED" w14:textId="59C794E4" w:rsidR="00965F2F" w:rsidRPr="00FF63D1" w:rsidRDefault="589B691B" w:rsidP="00547A58">
      <w:pPr>
        <w:rPr>
          <w:rFonts w:cs="Times New Roman"/>
          <w:noProof/>
        </w:rPr>
      </w:pPr>
      <w:r w:rsidRPr="00FF63D1">
        <w:rPr>
          <w:rFonts w:cs="Times New Roman"/>
          <w:noProof/>
        </w:rPr>
        <w:t xml:space="preserve">In this option, </w:t>
      </w:r>
      <w:r w:rsidRPr="00FF63D1">
        <w:rPr>
          <w:noProof/>
        </w:rPr>
        <w:t xml:space="preserve">the eligibility is linked to whether the steel is placed on the EU market, regardless of the place of production. This would allow imported steel on the EU market to be labelled under the system. As in option 2, third party-verification and certification are required. </w:t>
      </w:r>
    </w:p>
    <w:p w14:paraId="126E928E" w14:textId="77777777" w:rsidR="00E0324D" w:rsidRPr="00FF63D1" w:rsidRDefault="00E0324D" w:rsidP="00547A58">
      <w:pPr>
        <w:rPr>
          <w:rFonts w:cs="Times New Roman"/>
          <w:noProof/>
        </w:rPr>
      </w:pPr>
    </w:p>
    <w:p w14:paraId="4519F7ED" w14:textId="4AE352EC" w:rsidR="00BC3C02" w:rsidRPr="00FF63D1" w:rsidRDefault="00E0324D" w:rsidP="00547A58">
      <w:pPr>
        <w:rPr>
          <w:rFonts w:cs="Times New Roman"/>
          <w:noProof/>
        </w:rPr>
      </w:pPr>
      <w:r w:rsidRPr="00FF63D1">
        <w:rPr>
          <w:rFonts w:cs="Times New Roman"/>
          <w:noProof/>
        </w:rPr>
        <w:t xml:space="preserve">As mentioned in </w:t>
      </w:r>
      <w:r w:rsidR="00E8682E">
        <w:rPr>
          <w:rFonts w:cs="Times New Roman"/>
          <w:noProof/>
        </w:rPr>
        <w:t>Section</w:t>
      </w:r>
      <w:r w:rsidRPr="00FF63D1">
        <w:rPr>
          <w:rFonts w:cs="Times New Roman"/>
          <w:noProof/>
        </w:rPr>
        <w:t xml:space="preserve"> 6.2.1.8, Member States will also have to ensure that the certification system in place is properly enforced and monitored for </w:t>
      </w:r>
      <w:r w:rsidR="009B5111" w:rsidRPr="00FF63D1">
        <w:rPr>
          <w:rFonts w:cs="Times New Roman"/>
          <w:noProof/>
        </w:rPr>
        <w:t xml:space="preserve">risks of </w:t>
      </w:r>
      <w:r w:rsidRPr="00FF63D1">
        <w:rPr>
          <w:rFonts w:cs="Times New Roman"/>
          <w:noProof/>
        </w:rPr>
        <w:t>fraud.</w:t>
      </w:r>
    </w:p>
    <w:p w14:paraId="3F5CFDD1" w14:textId="69CAA4B9" w:rsidR="0041740C" w:rsidRPr="00AB1DF9" w:rsidRDefault="002015EF" w:rsidP="00D8707E">
      <w:pPr>
        <w:pStyle w:val="Heading2"/>
        <w:numPr>
          <w:ilvl w:val="0"/>
          <w:numId w:val="0"/>
        </w:numPr>
        <w:ind w:left="576" w:hanging="576"/>
      </w:pPr>
      <w:bookmarkStart w:id="929" w:name="_Toc51790710"/>
      <w:bookmarkStart w:id="930" w:name="_Toc60754566"/>
      <w:bookmarkStart w:id="931" w:name="_Toc60759365"/>
      <w:bookmarkStart w:id="932" w:name="_Toc60759688"/>
      <w:bookmarkStart w:id="933" w:name="_Toc60768080"/>
      <w:bookmarkStart w:id="934" w:name="_Toc60914436"/>
      <w:bookmarkStart w:id="935" w:name="_Toc60931707"/>
      <w:bookmarkStart w:id="936" w:name="_Toc60937671"/>
      <w:bookmarkStart w:id="937" w:name="_Toc60938062"/>
      <w:bookmarkStart w:id="938" w:name="_Toc61020619"/>
      <w:bookmarkStart w:id="939" w:name="_Toc61287357"/>
      <w:bookmarkStart w:id="940" w:name="_Toc61288191"/>
      <w:bookmarkStart w:id="941" w:name="_Toc61288434"/>
      <w:bookmarkStart w:id="942" w:name="_Toc61731334"/>
      <w:bookmarkStart w:id="943" w:name="_Toc61906231"/>
      <w:bookmarkStart w:id="944" w:name="_Toc61906795"/>
      <w:bookmarkStart w:id="945" w:name="_Toc62055400"/>
      <w:bookmarkStart w:id="946" w:name="_Toc62056292"/>
      <w:bookmarkStart w:id="947" w:name="_Toc62056929"/>
      <w:bookmarkStart w:id="948" w:name="_Toc62059016"/>
      <w:bookmarkStart w:id="949" w:name="_Toc62060111"/>
      <w:bookmarkStart w:id="950" w:name="_Toc62062879"/>
      <w:bookmarkStart w:id="951" w:name="_Toc62063121"/>
      <w:bookmarkStart w:id="952" w:name="_Toc62063286"/>
      <w:bookmarkStart w:id="953" w:name="_Toc62064563"/>
      <w:bookmarkStart w:id="954" w:name="_Toc62065185"/>
      <w:bookmarkStart w:id="955" w:name="_Toc62081008"/>
      <w:bookmarkStart w:id="956" w:name="_Toc62083333"/>
      <w:bookmarkStart w:id="957" w:name="_Toc62210668"/>
      <w:bookmarkStart w:id="958" w:name="_Toc62212692"/>
      <w:bookmarkStart w:id="959" w:name="_Toc62213437"/>
      <w:bookmarkStart w:id="960" w:name="_Toc62220264"/>
      <w:bookmarkStart w:id="961" w:name="_Toc62220727"/>
      <w:bookmarkStart w:id="962" w:name="_Toc62228485"/>
      <w:bookmarkStart w:id="963" w:name="_Toc62232378"/>
      <w:bookmarkStart w:id="964" w:name="_Toc62233187"/>
      <w:bookmarkStart w:id="965" w:name="_Toc62233792"/>
      <w:bookmarkStart w:id="966" w:name="_Toc62234734"/>
      <w:bookmarkStart w:id="967" w:name="_Toc62234858"/>
      <w:bookmarkStart w:id="968" w:name="_Toc62239848"/>
      <w:bookmarkStart w:id="969" w:name="_Toc62740437"/>
      <w:bookmarkStart w:id="970" w:name="_Toc62752735"/>
      <w:bookmarkStart w:id="971" w:name="_Toc62824301"/>
      <w:bookmarkStart w:id="972" w:name="_Toc62829422"/>
      <w:bookmarkStart w:id="973" w:name="_Toc62832007"/>
      <w:bookmarkStart w:id="974" w:name="_Toc62832125"/>
      <w:bookmarkStart w:id="975" w:name="_Toc62836048"/>
      <w:bookmarkStart w:id="976" w:name="_Toc63066124"/>
      <w:bookmarkStart w:id="977" w:name="_Toc63079199"/>
      <w:bookmarkStart w:id="978" w:name="_Toc63082406"/>
      <w:bookmarkStart w:id="979" w:name="_Toc63083762"/>
      <w:bookmarkStart w:id="980" w:name="_Toc63095034"/>
      <w:bookmarkStart w:id="981" w:name="_Toc63095471"/>
      <w:bookmarkStart w:id="982" w:name="_Toc63096415"/>
      <w:bookmarkStart w:id="983" w:name="_Toc63096806"/>
      <w:bookmarkStart w:id="984" w:name="_Toc63097901"/>
      <w:bookmarkStart w:id="985" w:name="_Toc63181110"/>
      <w:bookmarkStart w:id="986" w:name="_Toc63181512"/>
      <w:bookmarkStart w:id="987" w:name="_Toc63197684"/>
      <w:bookmarkStart w:id="988" w:name="_Toc63335582"/>
      <w:bookmarkStart w:id="989" w:name="_Toc63339274"/>
      <w:bookmarkStart w:id="990" w:name="_Toc63344612"/>
      <w:bookmarkStart w:id="991" w:name="_Toc63353515"/>
      <w:bookmarkStart w:id="992" w:name="_Toc63355388"/>
      <w:bookmarkStart w:id="993" w:name="_Toc63356061"/>
      <w:bookmarkStart w:id="994" w:name="_Toc63374570"/>
      <w:bookmarkStart w:id="995" w:name="_Toc63382148"/>
      <w:bookmarkStart w:id="996" w:name="_Toc64303463"/>
      <w:bookmarkStart w:id="997" w:name="_Toc64303857"/>
      <w:bookmarkStart w:id="998" w:name="_Toc64308899"/>
      <w:bookmarkStart w:id="999" w:name="_Toc64309164"/>
      <w:bookmarkStart w:id="1000" w:name="_Toc64317642"/>
      <w:bookmarkStart w:id="1001" w:name="_Toc64384279"/>
      <w:bookmarkStart w:id="1002" w:name="_Toc64392523"/>
      <w:bookmarkStart w:id="1003" w:name="_Toc64393841"/>
      <w:bookmarkStart w:id="1004" w:name="_Toc64394281"/>
      <w:bookmarkStart w:id="1005" w:name="_Toc64534565"/>
      <w:bookmarkStart w:id="1006" w:name="_Toc64539141"/>
      <w:bookmarkStart w:id="1007" w:name="_Toc64540419"/>
      <w:bookmarkStart w:id="1008" w:name="_Toc64540771"/>
      <w:bookmarkStart w:id="1009" w:name="_Toc64542594"/>
      <w:bookmarkStart w:id="1010" w:name="_Toc64544887"/>
      <w:bookmarkStart w:id="1011" w:name="_Toc64545143"/>
      <w:bookmarkStart w:id="1012" w:name="_Toc64545322"/>
      <w:bookmarkStart w:id="1013" w:name="_Toc64545508"/>
      <w:bookmarkStart w:id="1014" w:name="_Toc64547689"/>
      <w:bookmarkStart w:id="1015" w:name="_Toc64548585"/>
      <w:bookmarkStart w:id="1016" w:name="_Toc64548926"/>
      <w:bookmarkStart w:id="1017" w:name="_Toc64561191"/>
      <w:bookmarkStart w:id="1018" w:name="_Toc64561506"/>
      <w:bookmarkStart w:id="1019" w:name="_Toc64567888"/>
      <w:bookmarkStart w:id="1020" w:name="_Toc64567711"/>
      <w:bookmarkStart w:id="1021" w:name="_Toc64582446"/>
      <w:bookmarkStart w:id="1022" w:name="_Toc64582883"/>
      <w:bookmarkStart w:id="1023" w:name="_Toc64655976"/>
      <w:bookmarkStart w:id="1024" w:name="_Toc64656983"/>
      <w:bookmarkStart w:id="1025" w:name="_Toc64659639"/>
      <w:bookmarkStart w:id="1026" w:name="_Toc65071036"/>
      <w:bookmarkStart w:id="1027" w:name="_Toc65078720"/>
      <w:bookmarkStart w:id="1028" w:name="_Toc65084000"/>
      <w:bookmarkStart w:id="1029" w:name="_Toc65085346"/>
      <w:bookmarkStart w:id="1030" w:name="_Toc65086715"/>
      <w:bookmarkStart w:id="1031" w:name="_Toc65087099"/>
      <w:bookmarkStart w:id="1032" w:name="_Toc65092651"/>
      <w:bookmarkStart w:id="1033" w:name="_Toc65096657"/>
      <w:bookmarkStart w:id="1034" w:name="_Toc65958285"/>
      <w:bookmarkStart w:id="1035" w:name="_Toc65968734"/>
      <w:bookmarkStart w:id="1036" w:name="_Toc66041605"/>
      <w:bookmarkStart w:id="1037" w:name="_Toc66054420"/>
      <w:bookmarkStart w:id="1038" w:name="_Toc66055934"/>
      <w:bookmarkStart w:id="1039" w:name="_Toc66087707"/>
      <w:bookmarkStart w:id="1040" w:name="_Toc66090693"/>
      <w:bookmarkStart w:id="1041" w:name="_Toc66092994"/>
      <w:bookmarkStart w:id="1042" w:name="_Toc66094631"/>
      <w:bookmarkStart w:id="1043" w:name="_Toc66097079"/>
      <w:bookmarkStart w:id="1044" w:name="_Toc66098931"/>
      <w:bookmarkStart w:id="1045" w:name="_Toc66109710"/>
      <w:bookmarkStart w:id="1046" w:name="_Toc66112691"/>
      <w:bookmarkStart w:id="1047" w:name="_Toc66125323"/>
      <w:bookmarkStart w:id="1048" w:name="_Toc66125648"/>
      <w:bookmarkStart w:id="1049" w:name="_Toc66226257"/>
      <w:bookmarkStart w:id="1050" w:name="_Toc66229589"/>
      <w:bookmarkStart w:id="1051" w:name="_Toc67043639"/>
      <w:bookmarkStart w:id="1052" w:name="_Toc71587727"/>
      <w:bookmarkStart w:id="1053" w:name="_Toc73142528"/>
      <w:bookmarkStart w:id="1054" w:name="_Toc73298445"/>
      <w:bookmarkStart w:id="1055" w:name="_Toc73310595"/>
      <w:bookmarkStart w:id="1056" w:name="_Toc73313618"/>
      <w:bookmarkStart w:id="1057" w:name="_Toc75444174"/>
      <w:bookmarkStart w:id="1058" w:name="_Toc75465191"/>
      <w:bookmarkStart w:id="1059" w:name="_Toc75499668"/>
      <w:bookmarkStart w:id="1060" w:name="_Toc75962263"/>
      <w:bookmarkStart w:id="1061" w:name="_Toc206091405"/>
      <w:bookmarkStart w:id="1062" w:name="_Toc207192570"/>
      <w:bookmarkStart w:id="1063" w:name="_Toc212728877"/>
      <w:bookmarkStart w:id="1064" w:name="_Toc212729405"/>
      <w:bookmarkStart w:id="1065" w:name="_Toc215506349"/>
      <w:bookmarkStart w:id="1066" w:name="_Toc222490057"/>
      <w:r w:rsidRPr="00AB1DF9">
        <w:t>2.</w:t>
      </w:r>
      <w:r w:rsidR="002F5741" w:rsidRPr="00AB1DF9">
        <w:t xml:space="preserve"> </w:t>
      </w:r>
      <w:r w:rsidR="0041740C" w:rsidRPr="00AB1DF9">
        <w:t>What are the impacts of the policy options?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14:paraId="55D55252" w14:textId="2F592F8C" w:rsidR="00BC3C02" w:rsidRPr="00FF63D1" w:rsidRDefault="0041740C" w:rsidP="00BC3C02">
      <w:pPr>
        <w:keepNext/>
        <w:keepLines/>
        <w:rPr>
          <w:noProof/>
        </w:rPr>
      </w:pPr>
      <w:bookmarkStart w:id="1067" w:name="_Toc61287359"/>
      <w:bookmarkStart w:id="1068" w:name="_Toc61288193"/>
      <w:bookmarkStart w:id="1069" w:name="_Toc61288436"/>
      <w:r w:rsidRPr="00FF63D1">
        <w:rPr>
          <w:noProof/>
        </w:rPr>
        <w:t xml:space="preserve">This section assesses the impacts of </w:t>
      </w:r>
      <w:r w:rsidR="00F77A4F" w:rsidRPr="00FF63D1">
        <w:rPr>
          <w:noProof/>
        </w:rPr>
        <w:t>the development of an EU voluntary low-carbon product label for steel</w:t>
      </w:r>
      <w:r w:rsidR="000601BA" w:rsidRPr="00FF63D1">
        <w:rPr>
          <w:noProof/>
        </w:rPr>
        <w:t xml:space="preserve"> </w:t>
      </w:r>
      <w:r w:rsidRPr="00FF63D1">
        <w:rPr>
          <w:noProof/>
        </w:rPr>
        <w:t xml:space="preserve">and goes on to assess the impacts on the </w:t>
      </w:r>
      <w:r w:rsidR="000601BA" w:rsidRPr="00FF63D1">
        <w:rPr>
          <w:noProof/>
        </w:rPr>
        <w:t>design</w:t>
      </w:r>
      <w:r w:rsidRPr="00FF63D1">
        <w:rPr>
          <w:noProof/>
        </w:rPr>
        <w:t xml:space="preserve"> aspects: the </w:t>
      </w:r>
      <w:r w:rsidR="000601BA" w:rsidRPr="00FF63D1">
        <w:rPr>
          <w:noProof/>
        </w:rPr>
        <w:t xml:space="preserve">determination of the greenhouse gas intensity, the classification, the verification and certification, and the </w:t>
      </w:r>
      <w:r w:rsidR="004E2C0B" w:rsidRPr="00FF63D1">
        <w:rPr>
          <w:noProof/>
        </w:rPr>
        <w:t xml:space="preserve">eligibility. </w:t>
      </w:r>
      <w:bookmarkStart w:id="1070" w:name="_Toc61731336"/>
      <w:bookmarkStart w:id="1071" w:name="_Toc61906233"/>
      <w:bookmarkStart w:id="1072" w:name="_Toc61906797"/>
      <w:bookmarkStart w:id="1073" w:name="_Toc62056294"/>
      <w:bookmarkStart w:id="1074" w:name="_Toc62056931"/>
      <w:bookmarkStart w:id="1075" w:name="_Toc62059018"/>
      <w:bookmarkStart w:id="1076" w:name="_Toc62060113"/>
      <w:bookmarkStart w:id="1077" w:name="_Toc62063123"/>
      <w:bookmarkStart w:id="1078" w:name="_Toc62063288"/>
      <w:bookmarkStart w:id="1079" w:name="_Toc62064565"/>
      <w:bookmarkStart w:id="1080" w:name="_Toc62065187"/>
      <w:bookmarkStart w:id="1081" w:name="_Toc62081010"/>
      <w:bookmarkStart w:id="1082" w:name="_Toc62083335"/>
      <w:bookmarkStart w:id="1083" w:name="_Toc62210670"/>
      <w:bookmarkStart w:id="1084" w:name="_Toc62213439"/>
      <w:bookmarkStart w:id="1085" w:name="_Toc62220266"/>
      <w:bookmarkStart w:id="1086" w:name="_Toc62220729"/>
      <w:bookmarkStart w:id="1087" w:name="_Toc62228487"/>
      <w:bookmarkStart w:id="1088" w:name="_Toc62233189"/>
      <w:bookmarkStart w:id="1089" w:name="_Toc62233794"/>
      <w:bookmarkStart w:id="1090" w:name="_Toc62234736"/>
      <w:bookmarkStart w:id="1091" w:name="_Toc62234860"/>
      <w:bookmarkStart w:id="1092" w:name="_Toc62239850"/>
      <w:bookmarkStart w:id="1093" w:name="_Toc62740439"/>
      <w:bookmarkStart w:id="1094" w:name="_Toc62752737"/>
      <w:bookmarkStart w:id="1095" w:name="_Toc62824303"/>
      <w:bookmarkStart w:id="1096" w:name="_Toc62829424"/>
      <w:bookmarkStart w:id="1097" w:name="_Toc62832009"/>
      <w:bookmarkStart w:id="1098" w:name="_Toc62836050"/>
      <w:bookmarkStart w:id="1099" w:name="_Toc63066126"/>
      <w:bookmarkStart w:id="1100" w:name="_Toc63079201"/>
      <w:bookmarkStart w:id="1101" w:name="_Toc63082408"/>
      <w:bookmarkStart w:id="1102" w:name="_Toc63095473"/>
      <w:bookmarkStart w:id="1103" w:name="_Toc63096417"/>
      <w:bookmarkStart w:id="1104" w:name="_Toc63096808"/>
      <w:bookmarkStart w:id="1105" w:name="_Toc63097903"/>
      <w:bookmarkStart w:id="1106" w:name="_Toc63181112"/>
      <w:bookmarkStart w:id="1107" w:name="_Toc63197686"/>
      <w:bookmarkStart w:id="1108" w:name="_Toc63335584"/>
      <w:bookmarkStart w:id="1109" w:name="_Toc63339276"/>
      <w:bookmarkStart w:id="1110" w:name="_Toc63344614"/>
      <w:bookmarkStart w:id="1111" w:name="_Toc63355390"/>
      <w:bookmarkStart w:id="1112" w:name="_Toc63356063"/>
      <w:bookmarkStart w:id="1113" w:name="_Toc63374572"/>
      <w:bookmarkStart w:id="1114" w:name="_Toc63382150"/>
      <w:bookmarkStart w:id="1115" w:name="_Toc64303465"/>
      <w:bookmarkStart w:id="1116" w:name="_Toc64303859"/>
      <w:bookmarkStart w:id="1117" w:name="_Toc64309166"/>
      <w:bookmarkStart w:id="1118" w:name="_Toc64317644"/>
      <w:bookmarkStart w:id="1119" w:name="_Toc64392525"/>
      <w:bookmarkStart w:id="1120" w:name="_Toc64394283"/>
      <w:bookmarkStart w:id="1121" w:name="_Toc64534567"/>
      <w:bookmarkStart w:id="1122" w:name="_Toc64539143"/>
      <w:bookmarkStart w:id="1123" w:name="_Toc64540421"/>
      <w:bookmarkStart w:id="1124" w:name="_Toc64540773"/>
      <w:bookmarkStart w:id="1125" w:name="_Toc64542596"/>
      <w:bookmarkStart w:id="1126" w:name="_Toc64545145"/>
      <w:bookmarkStart w:id="1127" w:name="_Toc64545324"/>
      <w:bookmarkStart w:id="1128" w:name="_Toc64545510"/>
      <w:bookmarkStart w:id="1129" w:name="_Toc64547691"/>
      <w:bookmarkStart w:id="1130" w:name="_Toc64548587"/>
      <w:bookmarkStart w:id="1131" w:name="_Toc64548928"/>
      <w:bookmarkStart w:id="1132" w:name="_Toc64561193"/>
      <w:bookmarkStart w:id="1133" w:name="_Toc64561508"/>
      <w:bookmarkStart w:id="1134" w:name="_Toc64567890"/>
      <w:bookmarkStart w:id="1135" w:name="_Toc64567713"/>
      <w:bookmarkStart w:id="1136" w:name="_Toc64582448"/>
      <w:bookmarkStart w:id="1137" w:name="_Toc64582885"/>
      <w:bookmarkStart w:id="1138" w:name="_Toc64656985"/>
      <w:bookmarkStart w:id="1139" w:name="_Toc64659641"/>
      <w:bookmarkStart w:id="1140" w:name="_Toc65071038"/>
      <w:bookmarkStart w:id="1141" w:name="_Toc65078722"/>
      <w:bookmarkStart w:id="1142" w:name="_Toc65084002"/>
      <w:bookmarkStart w:id="1143" w:name="_Toc65085348"/>
      <w:bookmarkStart w:id="1144" w:name="_Toc65086717"/>
      <w:bookmarkStart w:id="1145" w:name="_Toc65087101"/>
      <w:bookmarkStart w:id="1146" w:name="_Toc65092653"/>
      <w:bookmarkStart w:id="1147" w:name="_Toc65096659"/>
      <w:bookmarkStart w:id="1148" w:name="_Toc65958287"/>
      <w:bookmarkStart w:id="1149" w:name="_Toc65968736"/>
      <w:bookmarkStart w:id="1150" w:name="_Toc66041607"/>
      <w:bookmarkStart w:id="1151" w:name="_Toc66054422"/>
      <w:bookmarkStart w:id="1152" w:name="_Toc66055936"/>
      <w:bookmarkStart w:id="1153" w:name="_Toc66087709"/>
      <w:bookmarkStart w:id="1154" w:name="_Toc66090695"/>
      <w:bookmarkStart w:id="1155" w:name="_Toc66092996"/>
      <w:bookmarkStart w:id="1156" w:name="_Toc66094633"/>
      <w:bookmarkStart w:id="1157" w:name="_Toc66097081"/>
      <w:bookmarkStart w:id="1158" w:name="_Toc66098933"/>
      <w:bookmarkStart w:id="1159" w:name="_Toc66109712"/>
      <w:bookmarkStart w:id="1160" w:name="_Toc66112693"/>
      <w:bookmarkStart w:id="1161" w:name="_Toc66125325"/>
      <w:bookmarkStart w:id="1162" w:name="_Toc66125650"/>
      <w:bookmarkStart w:id="1163" w:name="_Toc66226259"/>
      <w:bookmarkStart w:id="1164" w:name="_Toc66229591"/>
      <w:bookmarkStart w:id="1165" w:name="_Toc67043641"/>
      <w:bookmarkStart w:id="1166" w:name="_Toc71587729"/>
      <w:bookmarkStart w:id="1167" w:name="_Ref72327425"/>
      <w:bookmarkStart w:id="1168" w:name="_Toc73142530"/>
      <w:bookmarkStart w:id="1169" w:name="_Toc73298447"/>
      <w:bookmarkStart w:id="1170" w:name="_Toc73310597"/>
      <w:bookmarkStart w:id="1171" w:name="_Toc73313620"/>
      <w:bookmarkStart w:id="1172" w:name="_Toc75444176"/>
      <w:bookmarkStart w:id="1173" w:name="_Toc75465193"/>
      <w:bookmarkStart w:id="1174" w:name="_Toc75499670"/>
      <w:bookmarkStart w:id="1175" w:name="_Toc75962265"/>
    </w:p>
    <w:p w14:paraId="73F5A1B6" w14:textId="1E0EFC9A" w:rsidR="00BC3C02" w:rsidRPr="00FF63D1" w:rsidRDefault="581E8541" w:rsidP="00DC6AEE">
      <w:pPr>
        <w:pStyle w:val="Heading2"/>
        <w:numPr>
          <w:ilvl w:val="0"/>
          <w:numId w:val="0"/>
        </w:numPr>
        <w:ind w:left="576" w:firstLine="417"/>
      </w:pPr>
      <w:bookmarkStart w:id="1176" w:name="_Toc206091406"/>
      <w:bookmarkStart w:id="1177" w:name="_Toc207192571"/>
      <w:bookmarkStart w:id="1178" w:name="_Toc212728878"/>
      <w:bookmarkStart w:id="1179" w:name="_Toc212729406"/>
      <w:bookmarkStart w:id="1180" w:name="_Toc215506350"/>
      <w:bookmarkStart w:id="1181" w:name="_Toc222490058"/>
      <w:r w:rsidRPr="00AB1DF9">
        <w:t>Environmental impacts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14:paraId="2C8F7313" w14:textId="5B178487" w:rsidR="00014194" w:rsidRPr="00FF63D1" w:rsidRDefault="589B691B" w:rsidP="00BC3C02">
      <w:pPr>
        <w:rPr>
          <w:noProof/>
        </w:rPr>
      </w:pPr>
      <w:r w:rsidRPr="00FF63D1">
        <w:rPr>
          <w:noProof/>
        </w:rPr>
        <w:t>Currently over 150 steel label initiatives have been developed worldwide. While these labels offer significant opportunities for producers to demonstrate the carbon intensity of their products, the landscape is highly fragmented. Differences in methodologies, end products and scope of emissions considered make it impossible to compare labels. This lack of consistency can undermine credibility, leads to greenwashing concerns and ultimately hinder the development of lead markets for low-carbon steel. Introducing a standardised EU-wide label, enshrined in EU law, based on a credible and transparent methodology, can help address these issues, boost the demand for low-carbon steel and therefore have a positive impact on the business case for decarbonisation of steel production in the EU.</w:t>
      </w:r>
    </w:p>
    <w:p w14:paraId="5A19D7A2" w14:textId="0B885273" w:rsidR="003A444A" w:rsidRPr="00FF63D1" w:rsidRDefault="589B691B" w:rsidP="00BC3C02">
      <w:pPr>
        <w:rPr>
          <w:noProof/>
        </w:rPr>
      </w:pPr>
      <w:r w:rsidRPr="00FF63D1">
        <w:rPr>
          <w:noProof/>
        </w:rPr>
        <w:t>Moreover, the introduction of an EU-wide label based on reliable and verified data and a uniform methodology can improve the understanding of what constitute steel with lower environmental impact.</w:t>
      </w:r>
    </w:p>
    <w:p w14:paraId="7704C4E1" w14:textId="77777777" w:rsidR="00BC3C02" w:rsidRPr="00FF63D1" w:rsidRDefault="00BC3C02" w:rsidP="00BC3C02">
      <w:pPr>
        <w:rPr>
          <w:noProof/>
        </w:rPr>
      </w:pPr>
    </w:p>
    <w:p w14:paraId="4744B5B5" w14:textId="1A10B5A0" w:rsidR="003A444A" w:rsidRPr="00FF63D1" w:rsidRDefault="7610940C" w:rsidP="00BC3C02">
      <w:pPr>
        <w:rPr>
          <w:rFonts w:cs="Times New Roman"/>
          <w:noProof/>
        </w:rPr>
      </w:pPr>
      <w:r w:rsidRPr="00FF63D1">
        <w:rPr>
          <w:noProof/>
        </w:rPr>
        <w:t xml:space="preserve">However, the environmental </w:t>
      </w:r>
      <w:r w:rsidR="2134ED08" w:rsidRPr="00FF63D1">
        <w:rPr>
          <w:noProof/>
        </w:rPr>
        <w:t xml:space="preserve">benefits </w:t>
      </w:r>
      <w:r w:rsidRPr="00FF63D1">
        <w:rPr>
          <w:noProof/>
        </w:rPr>
        <w:t xml:space="preserve">of an EU voluntary low-carbon product label for steel depends on its ability to effectively stimulate demand for low-carbon steel. This requires the label to provide buyers of steel with credible information about the GHG emissions associated with the product. At the same time, its impact also depends on the ability of low-carbon producers to differentiate their products from conventional alternatives and to strengthen the business case for low-carbon production. </w:t>
      </w:r>
      <w:r w:rsidRPr="00FF63D1">
        <w:rPr>
          <w:rFonts w:cs="Times New Roman"/>
          <w:noProof/>
        </w:rPr>
        <w:t xml:space="preserve">The </w:t>
      </w:r>
      <w:r w:rsidR="7A805153" w:rsidRPr="00FF63D1">
        <w:rPr>
          <w:rFonts w:cs="Times New Roman"/>
          <w:noProof/>
        </w:rPr>
        <w:t xml:space="preserve">positive </w:t>
      </w:r>
      <w:r w:rsidR="0EC0727C" w:rsidRPr="00FF63D1">
        <w:rPr>
          <w:rFonts w:cs="Times New Roman"/>
          <w:noProof/>
        </w:rPr>
        <w:t xml:space="preserve">GHG </w:t>
      </w:r>
      <w:r w:rsidRPr="00FF63D1">
        <w:rPr>
          <w:rFonts w:cs="Times New Roman"/>
          <w:noProof/>
        </w:rPr>
        <w:t>impact of the different design elements for the low-carbon product label is therefore assessed by:</w:t>
      </w:r>
    </w:p>
    <w:p w14:paraId="1C3A8997" w14:textId="7481A241" w:rsidR="00830B69" w:rsidRPr="00FF63D1" w:rsidRDefault="53D7F621" w:rsidP="00BC3C02">
      <w:pPr>
        <w:numPr>
          <w:ilvl w:val="0"/>
          <w:numId w:val="6"/>
        </w:numPr>
        <w:rPr>
          <w:rFonts w:cs="Times New Roman"/>
          <w:noProof/>
        </w:rPr>
      </w:pPr>
      <w:r w:rsidRPr="00FF63D1">
        <w:rPr>
          <w:rFonts w:cs="Times New Roman"/>
          <w:noProof/>
        </w:rPr>
        <w:t xml:space="preserve">The </w:t>
      </w:r>
      <w:r w:rsidR="76DF0076" w:rsidRPr="00FF63D1">
        <w:rPr>
          <w:rFonts w:cs="Times New Roman"/>
          <w:noProof/>
        </w:rPr>
        <w:t xml:space="preserve">scope </w:t>
      </w:r>
      <w:r w:rsidRPr="00FF63D1">
        <w:rPr>
          <w:rFonts w:cs="Times New Roman"/>
          <w:noProof/>
        </w:rPr>
        <w:t>of the GHG emission information provided</w:t>
      </w:r>
      <w:r w:rsidR="585AB2DE" w:rsidRPr="00FF63D1">
        <w:rPr>
          <w:rFonts w:cs="Times New Roman"/>
          <w:noProof/>
        </w:rPr>
        <w:t xml:space="preserve"> by the label</w:t>
      </w:r>
      <w:r w:rsidR="7AE133DB" w:rsidRPr="00FF63D1">
        <w:rPr>
          <w:rFonts w:cs="Times New Roman"/>
          <w:noProof/>
        </w:rPr>
        <w:t>;</w:t>
      </w:r>
      <w:r w:rsidRPr="00FF63D1">
        <w:rPr>
          <w:rFonts w:cs="Times New Roman"/>
          <w:noProof/>
        </w:rPr>
        <w:t xml:space="preserve"> </w:t>
      </w:r>
    </w:p>
    <w:p w14:paraId="30352A20" w14:textId="2CC98045" w:rsidR="00830B69" w:rsidRPr="00FF63D1" w:rsidRDefault="53D7F621" w:rsidP="00BC3C02">
      <w:pPr>
        <w:numPr>
          <w:ilvl w:val="0"/>
          <w:numId w:val="6"/>
        </w:numPr>
        <w:rPr>
          <w:rFonts w:cs="Times New Roman"/>
          <w:noProof/>
        </w:rPr>
      </w:pPr>
      <w:r w:rsidRPr="00FF63D1">
        <w:rPr>
          <w:rFonts w:cs="Times New Roman"/>
          <w:noProof/>
        </w:rPr>
        <w:t>The label’s ability to ensure comparability across products and producers</w:t>
      </w:r>
      <w:r w:rsidR="7AE133DB" w:rsidRPr="00FF63D1">
        <w:rPr>
          <w:rFonts w:cs="Times New Roman"/>
          <w:noProof/>
        </w:rPr>
        <w:t>.</w:t>
      </w:r>
    </w:p>
    <w:p w14:paraId="3E6F2BE1" w14:textId="77777777" w:rsidR="00BC3C02" w:rsidRPr="00FF63D1" w:rsidRDefault="00BC3C02" w:rsidP="00BC3C02">
      <w:pPr>
        <w:ind w:left="720"/>
        <w:rPr>
          <w:rFonts w:cs="Times New Roman"/>
          <w:noProof/>
        </w:rPr>
      </w:pPr>
    </w:p>
    <w:p w14:paraId="3D0346F9" w14:textId="33378258" w:rsidR="00D61676" w:rsidRPr="00FF63D1" w:rsidRDefault="00382B34" w:rsidP="00311DB3">
      <w:pPr>
        <w:pStyle w:val="Heading3"/>
        <w:numPr>
          <w:ilvl w:val="0"/>
          <w:numId w:val="0"/>
        </w:numPr>
        <w:spacing w:before="0" w:after="0"/>
        <w:ind w:left="720"/>
      </w:pPr>
      <w:bookmarkStart w:id="1182" w:name="_Toc206091407"/>
      <w:r w:rsidRPr="00FF63D1">
        <w:t>Determination GHG-intensity</w:t>
      </w:r>
      <w:bookmarkEnd w:id="1182"/>
    </w:p>
    <w:p w14:paraId="63C1C4A2" w14:textId="77777777" w:rsidR="00C16363" w:rsidRPr="00FF63D1" w:rsidRDefault="00C16363" w:rsidP="00BC3C02">
      <w:pPr>
        <w:pStyle w:val="ListParagraph"/>
        <w:rPr>
          <w:rFonts w:cs="Times New Roman"/>
          <w:noProof/>
        </w:rPr>
      </w:pPr>
    </w:p>
    <w:p w14:paraId="31723724" w14:textId="0861E1B2" w:rsidR="00D61676" w:rsidRPr="00FF63D1" w:rsidRDefault="589B691B" w:rsidP="00BC3C02">
      <w:pPr>
        <w:pStyle w:val="ListParagraph"/>
        <w:numPr>
          <w:ilvl w:val="0"/>
          <w:numId w:val="4"/>
        </w:numPr>
        <w:rPr>
          <w:noProof/>
        </w:rPr>
      </w:pPr>
      <w:r w:rsidRPr="00FF63D1">
        <w:rPr>
          <w:rFonts w:cs="Times New Roman"/>
          <w:noProof/>
        </w:rPr>
        <w:t>Scope of the GHG emission information</w:t>
      </w:r>
    </w:p>
    <w:p w14:paraId="0EA49195" w14:textId="77777777" w:rsidR="00BC3C02" w:rsidRPr="00FF63D1" w:rsidRDefault="00BC3C02" w:rsidP="00BC3C02">
      <w:pPr>
        <w:rPr>
          <w:noProof/>
        </w:rPr>
      </w:pPr>
    </w:p>
    <w:p w14:paraId="3EB7B52B" w14:textId="5075F45D" w:rsidR="00860B80" w:rsidRPr="00FF63D1" w:rsidRDefault="6B0025DB" w:rsidP="00BC3C02">
      <w:pPr>
        <w:rPr>
          <w:noProof/>
        </w:rPr>
      </w:pPr>
      <w:r w:rsidRPr="00FF63D1">
        <w:rPr>
          <w:noProof/>
        </w:rPr>
        <w:t xml:space="preserve">In CALC1, the </w:t>
      </w:r>
      <w:r w:rsidR="56ECE396" w:rsidRPr="00FF63D1">
        <w:rPr>
          <w:noProof/>
        </w:rPr>
        <w:t xml:space="preserve">GHG-emission intensity is </w:t>
      </w:r>
      <w:r w:rsidR="482BBE25" w:rsidRPr="00FF63D1">
        <w:rPr>
          <w:noProof/>
        </w:rPr>
        <w:t>limited to the GHG emissions covered by the productions steps of the EU ETS system. For the</w:t>
      </w:r>
      <w:r w:rsidR="5907535D" w:rsidRPr="00FF63D1">
        <w:rPr>
          <w:noProof/>
        </w:rPr>
        <w:t xml:space="preserve"> production of the steel via the primary production route, this includes the processes and covered emissions by the cokes production, the production of agglomerated iron </w:t>
      </w:r>
      <w:r w:rsidR="0813548A" w:rsidRPr="00FF63D1">
        <w:rPr>
          <w:noProof/>
        </w:rPr>
        <w:t xml:space="preserve">and the emissions in the blast furnace and blast oxygen furnaces. For the secondary production route, this </w:t>
      </w:r>
      <w:r w:rsidR="67826509" w:rsidRPr="00FF63D1">
        <w:rPr>
          <w:noProof/>
        </w:rPr>
        <w:t xml:space="preserve">scope covers the direct emissions in the electric </w:t>
      </w:r>
      <w:r w:rsidR="27CDEDA6" w:rsidRPr="00FF63D1">
        <w:rPr>
          <w:noProof/>
        </w:rPr>
        <w:t>arc</w:t>
      </w:r>
      <w:r w:rsidR="67826509" w:rsidRPr="00FF63D1">
        <w:rPr>
          <w:noProof/>
        </w:rPr>
        <w:t xml:space="preserve"> furnaces.</w:t>
      </w:r>
      <w:r w:rsidR="00AB898F" w:rsidRPr="00FF63D1">
        <w:rPr>
          <w:noProof/>
        </w:rPr>
        <w:t xml:space="preserve"> Based on calculations made by the </w:t>
      </w:r>
      <w:r w:rsidR="74B27915">
        <w:rPr>
          <w:noProof/>
        </w:rPr>
        <w:t>JRC</w:t>
      </w:r>
      <w:r w:rsidR="00AB898F" w:rsidRPr="00FF63D1">
        <w:rPr>
          <w:noProof/>
        </w:rPr>
        <w:t xml:space="preserve">, </w:t>
      </w:r>
      <w:r w:rsidR="14AA3EE7" w:rsidRPr="00FF63D1">
        <w:rPr>
          <w:noProof/>
        </w:rPr>
        <w:t xml:space="preserve">this scope covers </w:t>
      </w:r>
      <w:r w:rsidR="56972E55" w:rsidRPr="00FF63D1">
        <w:rPr>
          <w:noProof/>
        </w:rPr>
        <w:t xml:space="preserve">for average production processes </w:t>
      </w:r>
      <w:r w:rsidR="14AA3EE7" w:rsidRPr="00FF63D1">
        <w:rPr>
          <w:noProof/>
        </w:rPr>
        <w:t>7</w:t>
      </w:r>
      <w:r w:rsidR="67DD861F" w:rsidRPr="00FF63D1">
        <w:rPr>
          <w:noProof/>
        </w:rPr>
        <w:t>4</w:t>
      </w:r>
      <w:r w:rsidR="14AA3EE7" w:rsidRPr="00FF63D1">
        <w:rPr>
          <w:noProof/>
        </w:rPr>
        <w:t xml:space="preserve">% of the direct GHG emissions of the total LCA of primary steel production via the </w:t>
      </w:r>
      <w:r w:rsidR="43780903" w:rsidRPr="00FF63D1">
        <w:rPr>
          <w:noProof/>
        </w:rPr>
        <w:t xml:space="preserve">classic BF/BOF route. As for secondary steel production, these direct ETS reported emissions only cover </w:t>
      </w:r>
      <w:r w:rsidR="67DD861F" w:rsidRPr="00FF63D1">
        <w:rPr>
          <w:noProof/>
        </w:rPr>
        <w:t>18</w:t>
      </w:r>
      <w:r w:rsidR="43780903" w:rsidRPr="00FF63D1">
        <w:rPr>
          <w:noProof/>
        </w:rPr>
        <w:t>% of the total LCA GHG emissions</w:t>
      </w:r>
      <w:r w:rsidR="75B24828" w:rsidRPr="00FF63D1">
        <w:rPr>
          <w:noProof/>
        </w:rPr>
        <w:t>, though the LCA emissions of this route are typically</w:t>
      </w:r>
      <w:r w:rsidR="170ECF40" w:rsidRPr="00FF63D1">
        <w:rPr>
          <w:noProof/>
        </w:rPr>
        <w:t xml:space="preserve"> much</w:t>
      </w:r>
      <w:r w:rsidR="75B24828" w:rsidRPr="00FF63D1">
        <w:rPr>
          <w:noProof/>
        </w:rPr>
        <w:t xml:space="preserve"> lower than the classic BF/BOF route</w:t>
      </w:r>
      <w:r w:rsidR="639AE2A7" w:rsidRPr="00FF63D1">
        <w:rPr>
          <w:noProof/>
        </w:rPr>
        <w:t>.</w:t>
      </w:r>
      <w:r w:rsidR="001079DC" w:rsidRPr="00FF63D1">
        <w:rPr>
          <w:rStyle w:val="FootnoteReference"/>
          <w:noProof/>
        </w:rPr>
        <w:footnoteReference w:id="676"/>
      </w:r>
      <w:r w:rsidR="734F2795" w:rsidRPr="00FF63D1">
        <w:rPr>
          <w:noProof/>
        </w:rPr>
        <w:t xml:space="preserve"> </w:t>
      </w:r>
    </w:p>
    <w:p w14:paraId="5A4F9EB8" w14:textId="77777777" w:rsidR="00BC3C02" w:rsidRPr="00FF63D1" w:rsidRDefault="00BC3C02" w:rsidP="00BC3C02">
      <w:pPr>
        <w:rPr>
          <w:noProof/>
        </w:rPr>
      </w:pPr>
    </w:p>
    <w:p w14:paraId="46862F05" w14:textId="18F9B183" w:rsidR="004B08F3" w:rsidRPr="00FF63D1" w:rsidRDefault="7610940C" w:rsidP="00BC3C02">
      <w:pPr>
        <w:rPr>
          <w:noProof/>
        </w:rPr>
      </w:pPr>
      <w:r w:rsidRPr="00FF63D1">
        <w:rPr>
          <w:noProof/>
        </w:rPr>
        <w:t xml:space="preserve">CALC2 provides in particular for the secondary steel production route a much larger share of the total LCA GHG emissions, demonstrating in particular the impact of electricity use. Furthermore, CALC2 also covers GHG emissions from hydrogen, a key future energy carrier and reduction agent for iron production via the (primary) Direct Reduced Iron route, which is expected to be one the major low-carbon technologies for steel production for the future. </w:t>
      </w:r>
    </w:p>
    <w:p w14:paraId="0CB681DA" w14:textId="77777777" w:rsidR="00BC3C02" w:rsidRPr="00FF63D1" w:rsidRDefault="00BC3C02" w:rsidP="00BC3C02">
      <w:pPr>
        <w:rPr>
          <w:noProof/>
        </w:rPr>
      </w:pPr>
    </w:p>
    <w:p w14:paraId="6A11241B" w14:textId="6203C645" w:rsidR="00FD3178" w:rsidRPr="00FF63D1" w:rsidRDefault="7610940C" w:rsidP="00BC3C02">
      <w:pPr>
        <w:rPr>
          <w:noProof/>
        </w:rPr>
      </w:pPr>
      <w:r w:rsidRPr="00FF63D1">
        <w:rPr>
          <w:noProof/>
        </w:rPr>
        <w:t>CALC3 provides total GHG emissions of the</w:t>
      </w:r>
      <w:r w:rsidR="507362A8" w:rsidRPr="00FF63D1">
        <w:rPr>
          <w:noProof/>
        </w:rPr>
        <w:t xml:space="preserve"> full product life cycle</w:t>
      </w:r>
      <w:r w:rsidRPr="00FF63D1">
        <w:rPr>
          <w:noProof/>
        </w:rPr>
        <w:t xml:space="preserve"> </w:t>
      </w:r>
      <w:r w:rsidR="70A979CD" w:rsidRPr="00FF63D1">
        <w:rPr>
          <w:noProof/>
        </w:rPr>
        <w:t>(</w:t>
      </w:r>
      <w:r w:rsidRPr="00FF63D1">
        <w:rPr>
          <w:noProof/>
        </w:rPr>
        <w:t>LCA</w:t>
      </w:r>
      <w:r w:rsidR="0ADEE4EA" w:rsidRPr="00FF63D1">
        <w:rPr>
          <w:noProof/>
        </w:rPr>
        <w:t xml:space="preserve"> basis)</w:t>
      </w:r>
      <w:r w:rsidRPr="00FF63D1">
        <w:rPr>
          <w:noProof/>
        </w:rPr>
        <w:t>. Compared to the more limited scopes of CALC1 and CALC2, for the primary steel production route the majority of the GHG emission relate to emissions related to coal extraction, and to a lesser extent to emission related to oxygen production needed for the BOF technology. As for secondary steel production, the major source of additional emissions is linked to the extraction of alloys, which are usually used in EAF secondary steel production.</w:t>
      </w:r>
    </w:p>
    <w:p w14:paraId="2D660F6F" w14:textId="77777777" w:rsidR="00BC3C02" w:rsidRPr="00FF63D1" w:rsidRDefault="00BC3C02" w:rsidP="00BC3C02">
      <w:pPr>
        <w:rPr>
          <w:noProof/>
        </w:rPr>
      </w:pPr>
    </w:p>
    <w:p w14:paraId="589A6CE3" w14:textId="56295D17" w:rsidR="004E3F04" w:rsidRPr="00FF63D1" w:rsidRDefault="004E3F04" w:rsidP="008A0BFF">
      <w:pPr>
        <w:pStyle w:val="Caption"/>
        <w:keepNext/>
        <w:rPr>
          <w:noProof/>
        </w:rPr>
      </w:pPr>
      <w:r w:rsidRPr="00FF63D1">
        <w:rPr>
          <w:noProof/>
        </w:rPr>
        <w:t xml:space="preserve">Table </w:t>
      </w:r>
      <w:r w:rsidRPr="00FF63D1">
        <w:rPr>
          <w:noProof/>
        </w:rPr>
        <w:fldChar w:fldCharType="begin"/>
      </w:r>
      <w:r w:rsidRPr="00FF63D1">
        <w:rPr>
          <w:noProof/>
        </w:rPr>
        <w:instrText xml:space="preserve"> SEQ Table \* ARABIC </w:instrText>
      </w:r>
      <w:r w:rsidRPr="00FF63D1">
        <w:rPr>
          <w:noProof/>
        </w:rPr>
        <w:fldChar w:fldCharType="end"/>
      </w:r>
      <w:r w:rsidRPr="00FF63D1">
        <w:rPr>
          <w:noProof/>
        </w:rPr>
        <w:t>:</w:t>
      </w:r>
      <w:r w:rsidR="00333399">
        <w:rPr>
          <w:noProof/>
        </w:rPr>
        <w:t>Overview of emissions coverage</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308"/>
        <w:gridCol w:w="2308"/>
        <w:gridCol w:w="2308"/>
      </w:tblGrid>
      <w:tr w:rsidR="00E646A7" w:rsidRPr="00FF63D1" w14:paraId="516CB4FF" w14:textId="77777777" w:rsidTr="00B022C2">
        <w:trPr>
          <w:trHeight w:val="292"/>
        </w:trPr>
        <w:tc>
          <w:tcPr>
            <w:tcW w:w="1160" w:type="pct"/>
          </w:tcPr>
          <w:p w14:paraId="0DCC7A17" w14:textId="58DD03FC" w:rsidR="00E646A7" w:rsidRPr="00FF63D1" w:rsidRDefault="789EE4B5" w:rsidP="00BC3C02">
            <w:pPr>
              <w:rPr>
                <w:b/>
                <w:noProof/>
              </w:rPr>
            </w:pPr>
            <w:r w:rsidRPr="1A2A8689">
              <w:rPr>
                <w:b/>
                <w:bCs/>
                <w:noProof/>
              </w:rPr>
              <w:t>Option</w:t>
            </w:r>
            <w:r w:rsidR="007E759E" w:rsidRPr="1A2A8689">
              <w:rPr>
                <w:rStyle w:val="FootnoteReference"/>
                <w:b/>
                <w:bCs/>
                <w:noProof/>
              </w:rPr>
              <w:footnoteReference w:id="677"/>
            </w:r>
          </w:p>
        </w:tc>
        <w:tc>
          <w:tcPr>
            <w:tcW w:w="1280" w:type="pct"/>
          </w:tcPr>
          <w:p w14:paraId="112BCA5A" w14:textId="58CB641C" w:rsidR="00E646A7" w:rsidRPr="00FF63D1" w:rsidRDefault="00E646A7" w:rsidP="00BC3C02">
            <w:pPr>
              <w:rPr>
                <w:noProof/>
              </w:rPr>
            </w:pPr>
            <w:r w:rsidRPr="00FF63D1">
              <w:rPr>
                <w:b/>
                <w:noProof/>
              </w:rPr>
              <w:t>CALC1</w:t>
            </w:r>
          </w:p>
        </w:tc>
        <w:tc>
          <w:tcPr>
            <w:tcW w:w="1280" w:type="pct"/>
          </w:tcPr>
          <w:p w14:paraId="57FE8E59" w14:textId="24D9AC12" w:rsidR="00E646A7" w:rsidRPr="00FF63D1" w:rsidRDefault="00E646A7" w:rsidP="00BC3C02">
            <w:pPr>
              <w:rPr>
                <w:noProof/>
              </w:rPr>
            </w:pPr>
            <w:r w:rsidRPr="00FF63D1">
              <w:rPr>
                <w:b/>
                <w:noProof/>
              </w:rPr>
              <w:t>CALC2</w:t>
            </w:r>
          </w:p>
        </w:tc>
        <w:tc>
          <w:tcPr>
            <w:tcW w:w="1281" w:type="pct"/>
          </w:tcPr>
          <w:p w14:paraId="5BA7DA40" w14:textId="1BB6107F" w:rsidR="00E646A7" w:rsidRPr="00FF63D1" w:rsidRDefault="00E646A7" w:rsidP="00BC3C02">
            <w:pPr>
              <w:rPr>
                <w:noProof/>
              </w:rPr>
            </w:pPr>
            <w:r w:rsidRPr="00FF63D1">
              <w:rPr>
                <w:b/>
                <w:noProof/>
              </w:rPr>
              <w:t>CALC3</w:t>
            </w:r>
          </w:p>
        </w:tc>
      </w:tr>
      <w:tr w:rsidR="00E646A7" w:rsidRPr="00FF63D1" w14:paraId="162CC6AB" w14:textId="77777777" w:rsidTr="00B022C2">
        <w:tc>
          <w:tcPr>
            <w:tcW w:w="1160" w:type="pct"/>
          </w:tcPr>
          <w:p w14:paraId="6B578A6D" w14:textId="6F2C3F57" w:rsidR="00E646A7" w:rsidRPr="00FF63D1" w:rsidRDefault="00E646A7" w:rsidP="00BC3C02">
            <w:pPr>
              <w:rPr>
                <w:noProof/>
              </w:rPr>
            </w:pPr>
            <w:r w:rsidRPr="00FF63D1">
              <w:rPr>
                <w:noProof/>
              </w:rPr>
              <w:t>Processes and emissions covered</w:t>
            </w:r>
          </w:p>
        </w:tc>
        <w:tc>
          <w:tcPr>
            <w:tcW w:w="1280" w:type="pct"/>
          </w:tcPr>
          <w:p w14:paraId="52687C1E" w14:textId="7D222E4B" w:rsidR="00E646A7" w:rsidRPr="00FF63D1" w:rsidRDefault="00F52301" w:rsidP="00BC3C02">
            <w:pPr>
              <w:rPr>
                <w:noProof/>
              </w:rPr>
            </w:pPr>
            <w:r w:rsidRPr="00FF63D1">
              <w:rPr>
                <w:noProof/>
              </w:rPr>
              <w:t xml:space="preserve">Direct industrial GHG emissions covered by ETS </w:t>
            </w:r>
          </w:p>
        </w:tc>
        <w:tc>
          <w:tcPr>
            <w:tcW w:w="1280" w:type="pct"/>
          </w:tcPr>
          <w:p w14:paraId="0D6E70CE" w14:textId="6E973ED1" w:rsidR="00E646A7" w:rsidRPr="00FF63D1" w:rsidRDefault="00F52301" w:rsidP="00BC3C02">
            <w:pPr>
              <w:rPr>
                <w:noProof/>
              </w:rPr>
            </w:pPr>
            <w:r w:rsidRPr="00FF63D1">
              <w:rPr>
                <w:noProof/>
              </w:rPr>
              <w:t>CALC1 scope,</w:t>
            </w:r>
            <w:r w:rsidR="00323B12" w:rsidRPr="00FF63D1">
              <w:rPr>
                <w:noProof/>
              </w:rPr>
              <w:t xml:space="preserve"> and indirect GHG from electricity, heat and H2 use </w:t>
            </w:r>
          </w:p>
        </w:tc>
        <w:tc>
          <w:tcPr>
            <w:tcW w:w="1281" w:type="pct"/>
          </w:tcPr>
          <w:p w14:paraId="60EA4382" w14:textId="11FD4A5E" w:rsidR="00E646A7" w:rsidRPr="00FF63D1" w:rsidRDefault="64F25450" w:rsidP="00BC3C02">
            <w:pPr>
              <w:rPr>
                <w:noProof/>
              </w:rPr>
            </w:pPr>
            <w:r w:rsidRPr="00FF63D1">
              <w:rPr>
                <w:noProof/>
              </w:rPr>
              <w:t>Cradle-to-gate</w:t>
            </w:r>
            <w:r w:rsidR="00323B12" w:rsidRPr="00FF63D1">
              <w:rPr>
                <w:noProof/>
              </w:rPr>
              <w:t xml:space="preserve"> </w:t>
            </w:r>
            <w:r w:rsidR="194CA843" w:rsidRPr="00FF63D1">
              <w:rPr>
                <w:noProof/>
              </w:rPr>
              <w:t>LCA</w:t>
            </w:r>
            <w:r w:rsidR="00323B12" w:rsidRPr="00FF63D1">
              <w:rPr>
                <w:noProof/>
              </w:rPr>
              <w:t xml:space="preserve"> GHG emissions</w:t>
            </w:r>
          </w:p>
        </w:tc>
      </w:tr>
      <w:tr w:rsidR="00323B12" w:rsidRPr="00FF63D1" w14:paraId="5FAC7174" w14:textId="77777777" w:rsidTr="00B022C2">
        <w:tc>
          <w:tcPr>
            <w:tcW w:w="1160" w:type="pct"/>
          </w:tcPr>
          <w:p w14:paraId="388E1E32" w14:textId="57873D2E" w:rsidR="00323B12" w:rsidRPr="00FF63D1" w:rsidRDefault="7F036544" w:rsidP="00BC3C02">
            <w:pPr>
              <w:rPr>
                <w:noProof/>
              </w:rPr>
            </w:pPr>
            <w:r w:rsidRPr="00FF63D1">
              <w:rPr>
                <w:noProof/>
              </w:rPr>
              <w:t>Coverage of total LCA GHG primary production for crude steel (BF-BOF route)</w:t>
            </w:r>
            <w:r w:rsidR="589B691B" w:rsidRPr="00FF63D1">
              <w:rPr>
                <w:noProof/>
                <w:vertAlign w:val="superscript"/>
              </w:rPr>
              <w:footnoteReference w:id="678"/>
            </w:r>
          </w:p>
        </w:tc>
        <w:tc>
          <w:tcPr>
            <w:tcW w:w="1280" w:type="pct"/>
          </w:tcPr>
          <w:p w14:paraId="3BF94D62" w14:textId="165E38B9" w:rsidR="00323B12" w:rsidRPr="00FF63D1" w:rsidRDefault="589B691B" w:rsidP="00BC3C02">
            <w:pPr>
              <w:jc w:val="center"/>
              <w:rPr>
                <w:b/>
                <w:noProof/>
                <w:szCs w:val="20"/>
              </w:rPr>
            </w:pPr>
            <w:r w:rsidRPr="00FF63D1">
              <w:rPr>
                <w:b/>
                <w:noProof/>
                <w:szCs w:val="20"/>
              </w:rPr>
              <w:t>74%</w:t>
            </w:r>
          </w:p>
          <w:p w14:paraId="3F292940" w14:textId="6B1A7926" w:rsidR="00323B12" w:rsidRPr="00FF63D1" w:rsidRDefault="589B691B" w:rsidP="00BC3C02">
            <w:pPr>
              <w:jc w:val="center"/>
              <w:rPr>
                <w:b/>
                <w:noProof/>
                <w:szCs w:val="20"/>
              </w:rPr>
            </w:pPr>
            <w:r w:rsidRPr="00FF63D1">
              <w:rPr>
                <w:b/>
                <w:noProof/>
                <w:szCs w:val="20"/>
              </w:rPr>
              <w:t xml:space="preserve">1492 kg </w:t>
            </w:r>
            <w:r w:rsidR="00273206" w:rsidRPr="00FF63D1">
              <w:rPr>
                <w:b/>
                <w:noProof/>
                <w:color w:val="000000" w:themeColor="text1"/>
              </w:rPr>
              <w:t>CO</w:t>
            </w:r>
            <w:r w:rsidR="00273206" w:rsidRPr="00FF63D1">
              <w:rPr>
                <w:b/>
                <w:noProof/>
                <w:color w:val="000000" w:themeColor="text1"/>
                <w:vertAlign w:val="subscript"/>
              </w:rPr>
              <w:t>2</w:t>
            </w:r>
            <w:r w:rsidRPr="00FF63D1">
              <w:rPr>
                <w:b/>
                <w:noProof/>
                <w:szCs w:val="20"/>
              </w:rPr>
              <w:t>eq/ t crude steel</w:t>
            </w:r>
          </w:p>
        </w:tc>
        <w:tc>
          <w:tcPr>
            <w:tcW w:w="1280" w:type="pct"/>
          </w:tcPr>
          <w:p w14:paraId="5E321583" w14:textId="68999C90" w:rsidR="00323B12" w:rsidRPr="00FF63D1" w:rsidRDefault="589B691B" w:rsidP="00BC3C02">
            <w:pPr>
              <w:jc w:val="center"/>
              <w:rPr>
                <w:b/>
                <w:noProof/>
                <w:szCs w:val="20"/>
              </w:rPr>
            </w:pPr>
            <w:r w:rsidRPr="00FF63D1">
              <w:rPr>
                <w:b/>
                <w:noProof/>
                <w:szCs w:val="20"/>
              </w:rPr>
              <w:t>78%</w:t>
            </w:r>
          </w:p>
          <w:p w14:paraId="292041DC" w14:textId="29F0C949" w:rsidR="00323B12" w:rsidRPr="00FF63D1" w:rsidRDefault="589B691B" w:rsidP="00BC3C02">
            <w:pPr>
              <w:jc w:val="center"/>
              <w:rPr>
                <w:b/>
                <w:noProof/>
                <w:szCs w:val="20"/>
              </w:rPr>
            </w:pPr>
            <w:r w:rsidRPr="00FF63D1">
              <w:rPr>
                <w:b/>
                <w:noProof/>
                <w:szCs w:val="20"/>
              </w:rPr>
              <w:t xml:space="preserve">1567 kg </w:t>
            </w:r>
            <w:r w:rsidR="00273206" w:rsidRPr="00FF63D1">
              <w:rPr>
                <w:b/>
                <w:noProof/>
                <w:color w:val="000000" w:themeColor="text1"/>
              </w:rPr>
              <w:t>CO</w:t>
            </w:r>
            <w:r w:rsidR="00273206" w:rsidRPr="00FF63D1">
              <w:rPr>
                <w:b/>
                <w:noProof/>
                <w:color w:val="000000" w:themeColor="text1"/>
                <w:vertAlign w:val="subscript"/>
              </w:rPr>
              <w:t>2</w:t>
            </w:r>
            <w:r w:rsidRPr="00FF63D1">
              <w:rPr>
                <w:b/>
                <w:noProof/>
                <w:szCs w:val="20"/>
              </w:rPr>
              <w:t>eq/ t crude steel</w:t>
            </w:r>
          </w:p>
        </w:tc>
        <w:tc>
          <w:tcPr>
            <w:tcW w:w="1281" w:type="pct"/>
          </w:tcPr>
          <w:p w14:paraId="49EC8059" w14:textId="229D00C4" w:rsidR="00323B12" w:rsidRPr="00FF63D1" w:rsidRDefault="589B691B" w:rsidP="00BC3C02">
            <w:pPr>
              <w:jc w:val="center"/>
              <w:rPr>
                <w:b/>
                <w:noProof/>
                <w:szCs w:val="20"/>
              </w:rPr>
            </w:pPr>
            <w:r w:rsidRPr="00FF63D1">
              <w:rPr>
                <w:b/>
                <w:noProof/>
                <w:szCs w:val="20"/>
              </w:rPr>
              <w:t>100%</w:t>
            </w:r>
          </w:p>
          <w:p w14:paraId="558B64F2" w14:textId="4360D5C0" w:rsidR="00323B12" w:rsidRPr="00FF63D1" w:rsidRDefault="589B691B" w:rsidP="00BC3C02">
            <w:pPr>
              <w:jc w:val="center"/>
              <w:rPr>
                <w:b/>
                <w:noProof/>
                <w:szCs w:val="20"/>
              </w:rPr>
            </w:pPr>
            <w:r w:rsidRPr="00FF63D1">
              <w:rPr>
                <w:b/>
                <w:noProof/>
                <w:szCs w:val="20"/>
              </w:rPr>
              <w:t xml:space="preserve">2017 kg </w:t>
            </w:r>
            <w:r w:rsidR="00273206" w:rsidRPr="00FF63D1">
              <w:rPr>
                <w:b/>
                <w:noProof/>
                <w:color w:val="000000" w:themeColor="text1"/>
              </w:rPr>
              <w:t>CO</w:t>
            </w:r>
            <w:r w:rsidR="00273206" w:rsidRPr="00FF63D1">
              <w:rPr>
                <w:b/>
                <w:noProof/>
                <w:color w:val="000000" w:themeColor="text1"/>
                <w:vertAlign w:val="subscript"/>
              </w:rPr>
              <w:t>2</w:t>
            </w:r>
            <w:r w:rsidRPr="00FF63D1">
              <w:rPr>
                <w:b/>
                <w:noProof/>
                <w:szCs w:val="20"/>
              </w:rPr>
              <w:t>eq/ t crude steel</w:t>
            </w:r>
          </w:p>
        </w:tc>
      </w:tr>
      <w:tr w:rsidR="00DF4F50" w:rsidRPr="00FF63D1" w14:paraId="07B24793" w14:textId="77777777" w:rsidTr="00B022C2">
        <w:tc>
          <w:tcPr>
            <w:tcW w:w="1160" w:type="pct"/>
          </w:tcPr>
          <w:p w14:paraId="1F95BCC1" w14:textId="7B00DFB6" w:rsidR="00DF4F50" w:rsidRPr="00FF63D1" w:rsidRDefault="6D6E71BA" w:rsidP="00BC3C02">
            <w:pPr>
              <w:rPr>
                <w:noProof/>
              </w:rPr>
            </w:pPr>
            <w:r w:rsidRPr="00FF63D1">
              <w:rPr>
                <w:noProof/>
              </w:rPr>
              <w:t>Coverage of total LCA GHG secondary production for crude steel</w:t>
            </w:r>
            <w:r w:rsidR="00DF4F50" w:rsidRPr="00FF63D1">
              <w:rPr>
                <w:noProof/>
                <w:vertAlign w:val="superscript"/>
              </w:rPr>
              <w:footnoteReference w:id="679"/>
            </w:r>
          </w:p>
        </w:tc>
        <w:tc>
          <w:tcPr>
            <w:tcW w:w="1280" w:type="pct"/>
          </w:tcPr>
          <w:p w14:paraId="04374823" w14:textId="21EFFF28" w:rsidR="00DF4F50" w:rsidRPr="00FF63D1" w:rsidRDefault="7610940C" w:rsidP="00BC3C02">
            <w:pPr>
              <w:jc w:val="center"/>
              <w:rPr>
                <w:b/>
                <w:noProof/>
                <w:szCs w:val="20"/>
              </w:rPr>
            </w:pPr>
            <w:r w:rsidRPr="00FF63D1">
              <w:rPr>
                <w:b/>
                <w:noProof/>
                <w:szCs w:val="20"/>
              </w:rPr>
              <w:t>18%</w:t>
            </w:r>
          </w:p>
          <w:p w14:paraId="4ECE4BF0" w14:textId="6B95CBB3" w:rsidR="00DF4F50" w:rsidRPr="00FF63D1" w:rsidRDefault="589B691B" w:rsidP="00BC3C02">
            <w:pPr>
              <w:jc w:val="center"/>
              <w:rPr>
                <w:b/>
                <w:noProof/>
                <w:szCs w:val="20"/>
              </w:rPr>
            </w:pPr>
            <w:r w:rsidRPr="00FF63D1">
              <w:rPr>
                <w:b/>
                <w:noProof/>
                <w:szCs w:val="20"/>
              </w:rPr>
              <w:t xml:space="preserve">86 kg </w:t>
            </w:r>
            <w:r w:rsidR="00273206" w:rsidRPr="00FF63D1">
              <w:rPr>
                <w:b/>
                <w:noProof/>
                <w:color w:val="000000" w:themeColor="text1"/>
              </w:rPr>
              <w:t>CO</w:t>
            </w:r>
            <w:r w:rsidR="00273206" w:rsidRPr="00FF63D1">
              <w:rPr>
                <w:b/>
                <w:noProof/>
                <w:color w:val="000000" w:themeColor="text1"/>
                <w:vertAlign w:val="subscript"/>
              </w:rPr>
              <w:t>2</w:t>
            </w:r>
            <w:r w:rsidRPr="00FF63D1">
              <w:rPr>
                <w:b/>
                <w:noProof/>
                <w:szCs w:val="20"/>
              </w:rPr>
              <w:t>eq/ t crude steel</w:t>
            </w:r>
          </w:p>
        </w:tc>
        <w:tc>
          <w:tcPr>
            <w:tcW w:w="1280" w:type="pct"/>
          </w:tcPr>
          <w:p w14:paraId="26EFBDA2" w14:textId="3E81D368" w:rsidR="00DF4F50" w:rsidRPr="00FF63D1" w:rsidRDefault="589B691B" w:rsidP="00BC3C02">
            <w:pPr>
              <w:jc w:val="center"/>
              <w:rPr>
                <w:b/>
                <w:noProof/>
                <w:szCs w:val="20"/>
              </w:rPr>
            </w:pPr>
            <w:r w:rsidRPr="00FF63D1">
              <w:rPr>
                <w:b/>
                <w:noProof/>
                <w:szCs w:val="20"/>
              </w:rPr>
              <w:t>60%</w:t>
            </w:r>
          </w:p>
          <w:p w14:paraId="5B440A68" w14:textId="0BC96124" w:rsidR="00DF4F50" w:rsidRPr="00FF63D1" w:rsidRDefault="589B691B" w:rsidP="00BC3C02">
            <w:pPr>
              <w:jc w:val="center"/>
              <w:rPr>
                <w:b/>
                <w:noProof/>
                <w:szCs w:val="20"/>
              </w:rPr>
            </w:pPr>
            <w:r w:rsidRPr="00FF63D1">
              <w:rPr>
                <w:b/>
                <w:noProof/>
                <w:szCs w:val="20"/>
              </w:rPr>
              <w:t xml:space="preserve">286 kg </w:t>
            </w:r>
            <w:r w:rsidR="00273206" w:rsidRPr="00FF63D1">
              <w:rPr>
                <w:b/>
                <w:noProof/>
                <w:color w:val="000000" w:themeColor="text1"/>
              </w:rPr>
              <w:t>CO</w:t>
            </w:r>
            <w:r w:rsidR="00273206" w:rsidRPr="00FF63D1">
              <w:rPr>
                <w:b/>
                <w:noProof/>
                <w:color w:val="000000" w:themeColor="text1"/>
                <w:vertAlign w:val="subscript"/>
              </w:rPr>
              <w:t>2</w:t>
            </w:r>
            <w:r w:rsidRPr="00FF63D1">
              <w:rPr>
                <w:b/>
                <w:noProof/>
                <w:szCs w:val="20"/>
              </w:rPr>
              <w:t>eq/ t crude steel</w:t>
            </w:r>
          </w:p>
        </w:tc>
        <w:tc>
          <w:tcPr>
            <w:tcW w:w="1281" w:type="pct"/>
          </w:tcPr>
          <w:p w14:paraId="0C6D6875" w14:textId="34B1DCEB" w:rsidR="00DF4F50" w:rsidRPr="00FF63D1" w:rsidRDefault="589B691B" w:rsidP="00BC3C02">
            <w:pPr>
              <w:jc w:val="center"/>
              <w:rPr>
                <w:b/>
                <w:noProof/>
                <w:szCs w:val="20"/>
              </w:rPr>
            </w:pPr>
            <w:r w:rsidRPr="00FF63D1">
              <w:rPr>
                <w:b/>
                <w:noProof/>
                <w:szCs w:val="20"/>
              </w:rPr>
              <w:t>100%</w:t>
            </w:r>
          </w:p>
          <w:p w14:paraId="5C5017EA" w14:textId="383FA329" w:rsidR="00DF4F50" w:rsidRPr="00FF63D1" w:rsidRDefault="589B691B" w:rsidP="00BC3C02">
            <w:pPr>
              <w:jc w:val="center"/>
              <w:rPr>
                <w:b/>
                <w:noProof/>
                <w:szCs w:val="20"/>
              </w:rPr>
            </w:pPr>
            <w:r w:rsidRPr="00FF63D1">
              <w:rPr>
                <w:b/>
                <w:noProof/>
                <w:szCs w:val="20"/>
              </w:rPr>
              <w:t xml:space="preserve">479 kg </w:t>
            </w:r>
            <w:r w:rsidR="00273206" w:rsidRPr="00FF63D1">
              <w:rPr>
                <w:b/>
                <w:noProof/>
                <w:color w:val="000000" w:themeColor="text1"/>
              </w:rPr>
              <w:t>CO</w:t>
            </w:r>
            <w:r w:rsidR="00273206" w:rsidRPr="00FF63D1">
              <w:rPr>
                <w:b/>
                <w:noProof/>
                <w:color w:val="000000" w:themeColor="text1"/>
                <w:vertAlign w:val="subscript"/>
              </w:rPr>
              <w:t>2</w:t>
            </w:r>
            <w:r w:rsidRPr="00FF63D1">
              <w:rPr>
                <w:b/>
                <w:noProof/>
                <w:szCs w:val="20"/>
              </w:rPr>
              <w:t>eq/ t crude steel</w:t>
            </w:r>
          </w:p>
        </w:tc>
      </w:tr>
    </w:tbl>
    <w:p w14:paraId="418B470A" w14:textId="17968B31" w:rsidR="589B691B" w:rsidRPr="00FF63D1" w:rsidRDefault="589B691B" w:rsidP="00BC3C02">
      <w:pPr>
        <w:rPr>
          <w:b/>
          <w:noProof/>
        </w:rPr>
      </w:pPr>
    </w:p>
    <w:p w14:paraId="032C8965" w14:textId="12705D91" w:rsidR="589B691B" w:rsidRPr="00FF63D1" w:rsidRDefault="6D6E71BA" w:rsidP="00BC3C02">
      <w:pPr>
        <w:rPr>
          <w:rFonts w:cs="Times New Roman"/>
          <w:noProof/>
        </w:rPr>
      </w:pPr>
      <w:r w:rsidRPr="3F0F1197">
        <w:rPr>
          <w:rFonts w:eastAsiaTheme="minorEastAsia" w:cs="Times New Roman"/>
          <w:noProof/>
        </w:rPr>
        <w:t xml:space="preserve">The additional hot rolling step </w:t>
      </w:r>
      <w:r w:rsidR="00398CA6" w:rsidRPr="3F0F1197">
        <w:rPr>
          <w:rFonts w:eastAsiaTheme="minorEastAsia" w:cs="Times New Roman"/>
          <w:noProof/>
        </w:rPr>
        <w:t>is part of 4 out the 6 main</w:t>
      </w:r>
      <w:r w:rsidRPr="3F0F1197">
        <w:rPr>
          <w:rFonts w:eastAsiaTheme="minorEastAsia" w:cs="Times New Roman"/>
          <w:noProof/>
        </w:rPr>
        <w:t xml:space="preserve"> current </w:t>
      </w:r>
      <w:r w:rsidR="00398CA6" w:rsidRPr="3F0F1197">
        <w:rPr>
          <w:rFonts w:eastAsiaTheme="minorEastAsia" w:cs="Times New Roman"/>
          <w:noProof/>
        </w:rPr>
        <w:t>initiative for steel labelling</w:t>
      </w:r>
      <w:r w:rsidR="589B691B" w:rsidRPr="3F0F1197">
        <w:rPr>
          <w:rFonts w:eastAsiaTheme="minorEastAsia" w:cs="Times New Roman"/>
          <w:noProof/>
          <w:vertAlign w:val="superscript"/>
        </w:rPr>
        <w:footnoteReference w:id="680"/>
      </w:r>
      <w:r w:rsidR="6D66B6D5" w:rsidRPr="3F0F1197">
        <w:rPr>
          <w:rFonts w:eastAsiaTheme="minorEastAsia" w:cs="Times New Roman"/>
          <w:noProof/>
        </w:rPr>
        <w:t>.</w:t>
      </w:r>
      <w:r w:rsidRPr="3F0F1197">
        <w:rPr>
          <w:rFonts w:eastAsiaTheme="minorEastAsia" w:cs="Times New Roman"/>
          <w:noProof/>
        </w:rPr>
        <w:t xml:space="preserve"> This can be considered also as a representative steel product and integrating the bulk of GHG emissions, which is why the product in scope for the label was chosen as hot-rolled steel.</w:t>
      </w:r>
    </w:p>
    <w:p w14:paraId="2E716281" w14:textId="77777777" w:rsidR="00BC3C02" w:rsidRPr="00FF63D1" w:rsidRDefault="00BC3C02" w:rsidP="00BC3C02">
      <w:pPr>
        <w:rPr>
          <w:rFonts w:cs="Times New Roman"/>
          <w:noProof/>
        </w:rPr>
      </w:pPr>
    </w:p>
    <w:p w14:paraId="75567408" w14:textId="69229F9E" w:rsidR="00970835" w:rsidRPr="00FF63D1" w:rsidRDefault="7610940C" w:rsidP="00BC3C02">
      <w:pPr>
        <w:pStyle w:val="ListParagraph"/>
        <w:numPr>
          <w:ilvl w:val="0"/>
          <w:numId w:val="4"/>
        </w:numPr>
        <w:rPr>
          <w:i/>
          <w:noProof/>
        </w:rPr>
      </w:pPr>
      <w:r w:rsidRPr="00FF63D1">
        <w:rPr>
          <w:rFonts w:cs="Times New Roman"/>
          <w:i/>
          <w:noProof/>
        </w:rPr>
        <w:t>Comparability of the GHG-intensities</w:t>
      </w:r>
      <w:r w:rsidR="00480BEE">
        <w:rPr>
          <w:rFonts w:cs="Times New Roman"/>
          <w:i/>
          <w:noProof/>
        </w:rPr>
        <w:t xml:space="preserve"> </w:t>
      </w:r>
    </w:p>
    <w:p w14:paraId="4C407C0D" w14:textId="77777777" w:rsidR="00BC3C02" w:rsidRPr="00FF63D1" w:rsidRDefault="00BC3C02" w:rsidP="00BC3C02">
      <w:pPr>
        <w:rPr>
          <w:noProof/>
        </w:rPr>
      </w:pPr>
    </w:p>
    <w:p w14:paraId="1D2A10DC" w14:textId="54D00B56" w:rsidR="00361E52" w:rsidRPr="00FF63D1" w:rsidRDefault="589B691B" w:rsidP="00BC3C02">
      <w:pPr>
        <w:rPr>
          <w:noProof/>
        </w:rPr>
      </w:pPr>
      <w:r w:rsidRPr="00FF63D1">
        <w:rPr>
          <w:noProof/>
        </w:rPr>
        <w:t>CALC1 aligns its scope with the combined scope of the steel product benchmarks under the EU ETS. Therefore, the base unit for the GHG intensity determination is crude steel, manufactured both via the primary and the secondary route. The covered processes and associated emissions to be used for the determination of the GHG-intensity are well-documented within the ETS relevant legislation, which ensures comparability across different steel products. However, by excluding a key indirect emission source such as the GHG emissions related to electricity consumption, the fairness of the comparison across production routes can be questioned and can potentially create an uneven playing field.</w:t>
      </w:r>
    </w:p>
    <w:p w14:paraId="1EBE8C15" w14:textId="77777777" w:rsidR="00BC3C02" w:rsidRPr="00FF63D1" w:rsidRDefault="00BC3C02" w:rsidP="00BC3C02">
      <w:pPr>
        <w:rPr>
          <w:noProof/>
        </w:rPr>
      </w:pPr>
    </w:p>
    <w:p w14:paraId="449A9F59" w14:textId="4060CCDC" w:rsidR="007A19D6" w:rsidRPr="00FF63D1" w:rsidRDefault="7610940C" w:rsidP="00BC3C02">
      <w:pPr>
        <w:rPr>
          <w:noProof/>
        </w:rPr>
      </w:pPr>
      <w:r w:rsidRPr="00FF63D1">
        <w:rPr>
          <w:noProof/>
        </w:rPr>
        <w:t>CALC2 builds its methodology on the ETS product benchmarks</w:t>
      </w:r>
      <w:r w:rsidR="5B6E77A6" w:rsidRPr="00FF63D1">
        <w:rPr>
          <w:noProof/>
        </w:rPr>
        <w:t xml:space="preserve"> and CBAM</w:t>
      </w:r>
      <w:r w:rsidRPr="00FF63D1">
        <w:rPr>
          <w:noProof/>
        </w:rPr>
        <w:t xml:space="preserve"> as in CALC1, and it adds a limited number of relevant indirect emissions. This approach keeps the high level of comparability and consistent system boundaries across products as in CALC1, while the inclusion of the indirect emissions allows for a more complete assessment of GHG intensities across different products, though this addition does require a consistent methodology to measure electricity related emissions. The emissions not covered, compared to an LCA are in majority linked to the extraction of coal, iron ore and alloys where less primary data under the control of the steel manufacturer/importer are available.</w:t>
      </w:r>
    </w:p>
    <w:p w14:paraId="1D025D8D" w14:textId="77777777" w:rsidR="00BC3C02" w:rsidRPr="00FF63D1" w:rsidRDefault="00BC3C02" w:rsidP="00BC3C02">
      <w:pPr>
        <w:rPr>
          <w:noProof/>
        </w:rPr>
      </w:pPr>
    </w:p>
    <w:p w14:paraId="0C37FA30" w14:textId="582C8586" w:rsidR="00D336D3" w:rsidRPr="00FF63D1" w:rsidRDefault="3934F0DD" w:rsidP="00BC3C02">
      <w:pPr>
        <w:rPr>
          <w:noProof/>
        </w:rPr>
      </w:pPr>
      <w:r w:rsidRPr="00FF63D1">
        <w:rPr>
          <w:noProof/>
        </w:rPr>
        <w:t xml:space="preserve">CALC3 draws the most complete assessment of the LCA GHG emissions for the steel </w:t>
      </w:r>
      <w:r w:rsidR="006D1A43" w:rsidRPr="00FF63D1">
        <w:rPr>
          <w:noProof/>
        </w:rPr>
        <w:t>products and</w:t>
      </w:r>
      <w:r w:rsidRPr="00FF63D1">
        <w:rPr>
          <w:noProof/>
        </w:rPr>
        <w:t xml:space="preserve"> enables the most complete comparison in terms of GHG-intensity. However, in contrast to CALC1 and CALC2, no direct and verified data from the ETS are used, which may lead to lower overall data-quality and accurateness. Any such label will likely need to rely to a much larger extent on estimates, assumption and default values, as well on MRV systems that are not regulated in a manner as consistent as under the EU ETS.</w:t>
      </w:r>
    </w:p>
    <w:p w14:paraId="35E8EAB3" w14:textId="77777777" w:rsidR="009D5D27" w:rsidRPr="00FF63D1" w:rsidRDefault="009D5D27" w:rsidP="00BC3C02">
      <w:pPr>
        <w:rPr>
          <w:noProof/>
        </w:rPr>
      </w:pPr>
    </w:p>
    <w:p w14:paraId="76401BDA" w14:textId="180B09DB" w:rsidR="00CD5559" w:rsidRPr="00FF63D1" w:rsidRDefault="589B691B" w:rsidP="00311DB3">
      <w:pPr>
        <w:pStyle w:val="Heading3"/>
        <w:numPr>
          <w:ilvl w:val="0"/>
          <w:numId w:val="0"/>
        </w:numPr>
        <w:spacing w:before="0" w:after="0"/>
        <w:ind w:left="720"/>
      </w:pPr>
      <w:bookmarkStart w:id="1183" w:name="_Toc206091408"/>
      <w:r w:rsidRPr="00FF63D1">
        <w:t>Classification</w:t>
      </w:r>
      <w:bookmarkEnd w:id="1183"/>
    </w:p>
    <w:p w14:paraId="64D808EA" w14:textId="77777777" w:rsidR="00BC3C02" w:rsidRPr="00FF63D1" w:rsidRDefault="00BC3C02" w:rsidP="00BC3C02">
      <w:pPr>
        <w:rPr>
          <w:noProof/>
        </w:rPr>
      </w:pPr>
    </w:p>
    <w:p w14:paraId="12BB53D8" w14:textId="12B8E3A6" w:rsidR="00CD5559" w:rsidRPr="00FF63D1" w:rsidRDefault="79E59393" w:rsidP="00BC3C02">
      <w:pPr>
        <w:rPr>
          <w:noProof/>
        </w:rPr>
      </w:pPr>
      <w:r w:rsidRPr="00FF63D1">
        <w:rPr>
          <w:noProof/>
        </w:rPr>
        <w:t xml:space="preserve">In CLAS1, the label information </w:t>
      </w:r>
      <w:r w:rsidR="1F6C5FF4" w:rsidRPr="00FF63D1">
        <w:rPr>
          <w:noProof/>
        </w:rPr>
        <w:t>is</w:t>
      </w:r>
      <w:r w:rsidRPr="00FF63D1">
        <w:rPr>
          <w:noProof/>
        </w:rPr>
        <w:t xml:space="preserve"> limited to </w:t>
      </w:r>
      <w:r w:rsidR="1F6C5FF4" w:rsidRPr="00FF63D1">
        <w:rPr>
          <w:noProof/>
        </w:rPr>
        <w:t xml:space="preserve">indicating </w:t>
      </w:r>
      <w:r w:rsidRPr="00FF63D1">
        <w:rPr>
          <w:noProof/>
        </w:rPr>
        <w:t xml:space="preserve">the </w:t>
      </w:r>
      <w:r w:rsidR="12F0A99C" w:rsidRPr="00FF63D1">
        <w:rPr>
          <w:noProof/>
        </w:rPr>
        <w:t xml:space="preserve">GHG-intensity of the product, without </w:t>
      </w:r>
      <w:r w:rsidR="1F6C5FF4" w:rsidRPr="00FF63D1">
        <w:rPr>
          <w:noProof/>
        </w:rPr>
        <w:t>attributing it to a specific</w:t>
      </w:r>
      <w:r w:rsidR="12F0A99C" w:rsidRPr="00FF63D1">
        <w:rPr>
          <w:noProof/>
        </w:rPr>
        <w:t xml:space="preserve"> </w:t>
      </w:r>
      <w:r w:rsidR="4439D132" w:rsidRPr="00FF63D1">
        <w:rPr>
          <w:noProof/>
        </w:rPr>
        <w:t>performance categ</w:t>
      </w:r>
      <w:r w:rsidR="6F9E412F" w:rsidRPr="00FF63D1">
        <w:rPr>
          <w:noProof/>
        </w:rPr>
        <w:t>or</w:t>
      </w:r>
      <w:r w:rsidR="4439D132" w:rsidRPr="00FF63D1">
        <w:rPr>
          <w:noProof/>
        </w:rPr>
        <w:t>y. While t</w:t>
      </w:r>
      <w:r w:rsidR="6132EB02" w:rsidRPr="00FF63D1">
        <w:rPr>
          <w:noProof/>
        </w:rPr>
        <w:t xml:space="preserve">he GHG-intensity on itself </w:t>
      </w:r>
      <w:r w:rsidR="1F6C5FF4" w:rsidRPr="00FF63D1">
        <w:rPr>
          <w:noProof/>
        </w:rPr>
        <w:t>provides</w:t>
      </w:r>
      <w:r w:rsidR="6132EB02" w:rsidRPr="00FF63D1">
        <w:rPr>
          <w:noProof/>
        </w:rPr>
        <w:t xml:space="preserve"> </w:t>
      </w:r>
      <w:r w:rsidR="7C0CE63E" w:rsidRPr="00FF63D1">
        <w:rPr>
          <w:noProof/>
        </w:rPr>
        <w:t xml:space="preserve">precise GHG information, the </w:t>
      </w:r>
      <w:r w:rsidR="29ED4250" w:rsidRPr="00FF63D1">
        <w:rPr>
          <w:noProof/>
        </w:rPr>
        <w:t xml:space="preserve">lack of a </w:t>
      </w:r>
      <w:r w:rsidR="39C19F48" w:rsidRPr="00FF63D1">
        <w:rPr>
          <w:noProof/>
        </w:rPr>
        <w:t xml:space="preserve">standardised classification system and a clear definition of </w:t>
      </w:r>
      <w:r w:rsidR="76D76867" w:rsidRPr="00FF63D1">
        <w:rPr>
          <w:noProof/>
        </w:rPr>
        <w:t xml:space="preserve">a low-carbon products, transfers the burden of interpretation to the end-user of the product. This limits the effectiveness of the label </w:t>
      </w:r>
      <w:r w:rsidR="06C27398" w:rsidRPr="00FF63D1">
        <w:rPr>
          <w:noProof/>
        </w:rPr>
        <w:t xml:space="preserve">as a standalone policy instrument. </w:t>
      </w:r>
      <w:r w:rsidR="6261D6AE" w:rsidRPr="00FF63D1">
        <w:rPr>
          <w:noProof/>
        </w:rPr>
        <w:t xml:space="preserve">In this option, complementary policy instruments could be </w:t>
      </w:r>
      <w:r w:rsidR="47C69511" w:rsidRPr="00FF63D1">
        <w:rPr>
          <w:noProof/>
        </w:rPr>
        <w:t>introduced</w:t>
      </w:r>
      <w:r w:rsidR="6261D6AE" w:rsidRPr="00FF63D1">
        <w:rPr>
          <w:noProof/>
        </w:rPr>
        <w:t xml:space="preserve"> to define </w:t>
      </w:r>
      <w:r w:rsidR="02C11B46" w:rsidRPr="00FF63D1">
        <w:rPr>
          <w:noProof/>
        </w:rPr>
        <w:t xml:space="preserve">harmonised </w:t>
      </w:r>
      <w:r w:rsidR="6261D6AE" w:rsidRPr="00FF63D1">
        <w:rPr>
          <w:noProof/>
        </w:rPr>
        <w:t>performance categories.</w:t>
      </w:r>
      <w:r w:rsidR="7E41B58F" w:rsidRPr="00FF63D1">
        <w:rPr>
          <w:noProof/>
        </w:rPr>
        <w:t xml:space="preserve"> </w:t>
      </w:r>
    </w:p>
    <w:p w14:paraId="3BEE9F78" w14:textId="77777777" w:rsidR="00BC3C02" w:rsidRPr="00FF63D1" w:rsidRDefault="00BC3C02" w:rsidP="00BC3C02">
      <w:pPr>
        <w:rPr>
          <w:noProof/>
        </w:rPr>
      </w:pPr>
    </w:p>
    <w:p w14:paraId="02403BFF" w14:textId="1534135B" w:rsidR="00B53FCA" w:rsidRPr="00FF63D1" w:rsidRDefault="7610940C" w:rsidP="00BC3C02">
      <w:pPr>
        <w:rPr>
          <w:noProof/>
        </w:rPr>
      </w:pPr>
      <w:r w:rsidRPr="00FF63D1">
        <w:rPr>
          <w:noProof/>
        </w:rPr>
        <w:t xml:space="preserve">The uniform approach and broad scope of the label under CLAS 2.a increases its useability and usefulness as a stand-alone policy instrument. However, given primary and secondary steel production are assessed under the same classification system, it becomes </w:t>
      </w:r>
      <w:bookmarkStart w:id="1184" w:name="_Toc61287360"/>
      <w:bookmarkStart w:id="1185" w:name="_Toc61288194"/>
      <w:bookmarkStart w:id="1186" w:name="_Toc61288437"/>
      <w:bookmarkStart w:id="1187" w:name="_Toc61731337"/>
      <w:bookmarkStart w:id="1188" w:name="_Toc61906234"/>
      <w:bookmarkStart w:id="1189" w:name="_Toc61906798"/>
      <w:bookmarkStart w:id="1190" w:name="_Toc62056295"/>
      <w:bookmarkStart w:id="1191" w:name="_Toc62056932"/>
      <w:bookmarkStart w:id="1192" w:name="_Toc62059019"/>
      <w:bookmarkStart w:id="1193" w:name="_Toc62060114"/>
      <w:bookmarkStart w:id="1194" w:name="_Toc62062677"/>
      <w:bookmarkStart w:id="1195" w:name="_Toc62063124"/>
      <w:bookmarkStart w:id="1196" w:name="_Toc62063289"/>
      <w:bookmarkStart w:id="1197" w:name="_Toc62064566"/>
      <w:bookmarkStart w:id="1198" w:name="_Toc62065188"/>
      <w:bookmarkStart w:id="1199" w:name="_Toc62081011"/>
      <w:bookmarkStart w:id="1200" w:name="_Toc62083336"/>
      <w:bookmarkStart w:id="1201" w:name="_Toc62210671"/>
      <w:bookmarkStart w:id="1202" w:name="_Toc62213440"/>
      <w:bookmarkStart w:id="1203" w:name="_Toc62220267"/>
      <w:bookmarkStart w:id="1204" w:name="_Toc62220730"/>
      <w:bookmarkStart w:id="1205" w:name="_Toc62228488"/>
      <w:bookmarkStart w:id="1206" w:name="_Toc62233190"/>
      <w:bookmarkStart w:id="1207" w:name="_Toc62233795"/>
      <w:bookmarkStart w:id="1208" w:name="_Toc62234737"/>
      <w:bookmarkStart w:id="1209" w:name="_Toc62234861"/>
      <w:bookmarkStart w:id="1210" w:name="_Toc62239851"/>
      <w:bookmarkStart w:id="1211" w:name="_Toc62740440"/>
      <w:bookmarkStart w:id="1212" w:name="_Toc62752738"/>
      <w:bookmarkStart w:id="1213" w:name="_Toc62824304"/>
      <w:bookmarkStart w:id="1214" w:name="_Toc62829425"/>
      <w:bookmarkStart w:id="1215" w:name="_Toc62832010"/>
      <w:bookmarkStart w:id="1216" w:name="_Toc62836051"/>
      <w:bookmarkStart w:id="1217" w:name="_Toc63066127"/>
      <w:bookmarkStart w:id="1218" w:name="_Toc63079202"/>
      <w:bookmarkStart w:id="1219" w:name="_Toc63082409"/>
      <w:bookmarkStart w:id="1220" w:name="_Toc63095474"/>
      <w:bookmarkStart w:id="1221" w:name="_Toc63096418"/>
      <w:bookmarkStart w:id="1222" w:name="_Toc63096809"/>
      <w:bookmarkStart w:id="1223" w:name="_Toc63097904"/>
      <w:bookmarkStart w:id="1224" w:name="_Toc63181113"/>
      <w:bookmarkStart w:id="1225" w:name="_Toc63197687"/>
      <w:bookmarkStart w:id="1226" w:name="_Toc63335585"/>
      <w:bookmarkStart w:id="1227" w:name="_Toc63339277"/>
      <w:bookmarkStart w:id="1228" w:name="_Toc63344615"/>
      <w:bookmarkStart w:id="1229" w:name="_Toc63355391"/>
      <w:bookmarkStart w:id="1230" w:name="_Toc63356064"/>
      <w:bookmarkStart w:id="1231" w:name="_Toc63374573"/>
      <w:bookmarkStart w:id="1232" w:name="_Toc63382151"/>
      <w:bookmarkStart w:id="1233" w:name="_Toc64303466"/>
      <w:bookmarkStart w:id="1234" w:name="_Toc64303860"/>
      <w:bookmarkStart w:id="1235" w:name="_Toc64309167"/>
      <w:bookmarkStart w:id="1236" w:name="_Toc64317645"/>
      <w:bookmarkStart w:id="1237" w:name="_Toc64392526"/>
      <w:bookmarkStart w:id="1238" w:name="_Toc64394284"/>
      <w:bookmarkStart w:id="1239" w:name="_Toc64534568"/>
      <w:bookmarkStart w:id="1240" w:name="_Toc64539144"/>
      <w:bookmarkStart w:id="1241" w:name="_Toc64540422"/>
      <w:bookmarkStart w:id="1242" w:name="_Toc64540774"/>
      <w:bookmarkStart w:id="1243" w:name="_Toc64542597"/>
      <w:bookmarkStart w:id="1244" w:name="_Toc64545146"/>
      <w:bookmarkStart w:id="1245" w:name="_Toc64545325"/>
      <w:bookmarkStart w:id="1246" w:name="_Toc64545511"/>
      <w:bookmarkStart w:id="1247" w:name="_Toc64547692"/>
      <w:bookmarkStart w:id="1248" w:name="_Toc64548588"/>
      <w:bookmarkStart w:id="1249" w:name="_Toc64548929"/>
      <w:bookmarkStart w:id="1250" w:name="_Toc64561194"/>
      <w:bookmarkStart w:id="1251" w:name="_Toc64561509"/>
      <w:bookmarkStart w:id="1252" w:name="_Toc64567891"/>
      <w:bookmarkStart w:id="1253" w:name="_Toc64567714"/>
      <w:bookmarkStart w:id="1254" w:name="_Toc64582449"/>
      <w:bookmarkStart w:id="1255" w:name="_Toc64582886"/>
      <w:bookmarkStart w:id="1256" w:name="_Toc64656986"/>
      <w:bookmarkStart w:id="1257" w:name="_Toc64659642"/>
      <w:bookmarkStart w:id="1258" w:name="_Toc65071039"/>
      <w:bookmarkStart w:id="1259" w:name="_Toc65078723"/>
      <w:bookmarkStart w:id="1260" w:name="_Toc65084003"/>
      <w:bookmarkStart w:id="1261" w:name="_Toc65085349"/>
      <w:bookmarkStart w:id="1262" w:name="_Toc65086718"/>
      <w:bookmarkStart w:id="1263" w:name="_Toc65087102"/>
      <w:bookmarkStart w:id="1264" w:name="_Toc65092654"/>
      <w:bookmarkStart w:id="1265" w:name="_Toc65096660"/>
      <w:bookmarkStart w:id="1266" w:name="_Ref65853550"/>
      <w:bookmarkStart w:id="1267" w:name="_Toc65958289"/>
      <w:bookmarkStart w:id="1268" w:name="_Toc65968737"/>
      <w:bookmarkStart w:id="1269" w:name="_Toc66041608"/>
      <w:bookmarkStart w:id="1270" w:name="_Toc66054424"/>
      <w:bookmarkStart w:id="1271" w:name="_Toc66055937"/>
      <w:bookmarkStart w:id="1272" w:name="_Toc66087710"/>
      <w:bookmarkStart w:id="1273" w:name="_Toc66090696"/>
      <w:bookmarkStart w:id="1274" w:name="_Toc66092997"/>
      <w:bookmarkStart w:id="1275" w:name="_Toc66094635"/>
      <w:bookmarkStart w:id="1276" w:name="_Toc66097082"/>
      <w:bookmarkStart w:id="1277" w:name="_Toc66098934"/>
      <w:bookmarkStart w:id="1278" w:name="_Toc66109713"/>
      <w:bookmarkStart w:id="1279" w:name="_Toc66112694"/>
      <w:bookmarkStart w:id="1280" w:name="_Toc66125326"/>
      <w:bookmarkStart w:id="1281" w:name="_Toc66125651"/>
      <w:bookmarkStart w:id="1282" w:name="_Toc66226260"/>
      <w:bookmarkStart w:id="1283" w:name="_Toc66229592"/>
      <w:bookmarkStart w:id="1284" w:name="_Toc67043642"/>
      <w:bookmarkStart w:id="1285" w:name="_Toc71587730"/>
      <w:bookmarkStart w:id="1286" w:name="_Toc73142531"/>
      <w:bookmarkStart w:id="1287" w:name="_Toc73298448"/>
      <w:bookmarkStart w:id="1288" w:name="_Toc73310598"/>
      <w:bookmarkStart w:id="1289" w:name="_Toc73313621"/>
      <w:bookmarkStart w:id="1290" w:name="_Toc75444177"/>
      <w:bookmarkStart w:id="1291" w:name="_Toc75465194"/>
      <w:bookmarkStart w:id="1292" w:name="_Toc75499671"/>
      <w:bookmarkStart w:id="1293" w:name="_Toc75962266"/>
      <w:r w:rsidRPr="00FF63D1">
        <w:rPr>
          <w:noProof/>
        </w:rPr>
        <w:t>difficult for primary steel producers to reach high performance classes, given the actual difference in emission intensity between two production routes. As a result</w:t>
      </w:r>
      <w:r w:rsidR="007015CC" w:rsidRPr="00FF63D1">
        <w:rPr>
          <w:noProof/>
        </w:rPr>
        <w:t xml:space="preserve">, </w:t>
      </w:r>
      <w:r w:rsidRPr="00FF63D1">
        <w:rPr>
          <w:noProof/>
        </w:rPr>
        <w:t>it would reduce the attractiveness of the label for primary route steel producers, limiting the uptake and the market information it can bring</w:t>
      </w:r>
      <w:r w:rsidR="0C147C04" w:rsidRPr="00FF63D1">
        <w:rPr>
          <w:noProof/>
        </w:rPr>
        <w:t xml:space="preserve"> and limiting the decarbonisation of the primary production, which cannot be entirely substituted by secondary production</w:t>
      </w:r>
      <w:r w:rsidRPr="00FF63D1">
        <w:rPr>
          <w:noProof/>
        </w:rPr>
        <w:t>.</w:t>
      </w:r>
      <w:r w:rsidR="00480BEE">
        <w:rPr>
          <w:noProof/>
        </w:rPr>
        <w:t xml:space="preserve"> </w:t>
      </w:r>
      <w:r w:rsidRPr="00FF63D1">
        <w:rPr>
          <w:noProof/>
        </w:rPr>
        <w:t xml:space="preserve">In the latter case it would reduce the information provided through the label to end consumers. </w:t>
      </w:r>
    </w:p>
    <w:p w14:paraId="646A6375" w14:textId="77777777" w:rsidR="00BC3C02" w:rsidRPr="00FF63D1" w:rsidRDefault="00BC3C02" w:rsidP="00BC3C02">
      <w:pPr>
        <w:rPr>
          <w:noProof/>
        </w:rPr>
      </w:pPr>
    </w:p>
    <w:p w14:paraId="40D37901" w14:textId="0E790503" w:rsidR="00B53FCA" w:rsidRPr="00FF63D1" w:rsidRDefault="589B691B" w:rsidP="00BC3C02">
      <w:pPr>
        <w:rPr>
          <w:noProof/>
        </w:rPr>
      </w:pPr>
      <w:r w:rsidRPr="00FF63D1">
        <w:rPr>
          <w:noProof/>
        </w:rPr>
        <w:t>CLAS 2.b addresses this challenge by adjusting the performance class thresholds in line with the amount of scrap used. As such, it could serve as an attractive alternative classification system for both primary and secondary steel producers, and it addresses the complexity of the different production routes and the scrap use</w:t>
      </w:r>
      <w:r w:rsidR="1CFB0B11" w:rsidRPr="00FF63D1">
        <w:rPr>
          <w:noProof/>
        </w:rPr>
        <w:t xml:space="preserve"> and addresses the increase interlinkage between both routes in the medium term (i.e. </w:t>
      </w:r>
      <w:r w:rsidR="3E95FE61" w:rsidRPr="00FF63D1">
        <w:rPr>
          <w:noProof/>
        </w:rPr>
        <w:t>new production ways through DRI and EAF)</w:t>
      </w:r>
      <w:r w:rsidRPr="00FF63D1">
        <w:rPr>
          <w:noProof/>
        </w:rPr>
        <w:t xml:space="preserve">. It allows primary producers to claim also best of class performance. However, setting the exact coefficients of the sliding scale performance classes could complicate the labelling system. Moreover, following CLAS 2.b the classification is not only solely based on GHG-intensities but also recycled content (i.e. scrap use), which may complicate the understanding and thus underlying logic of low-carbon product labelling system. Furthermore, some may claim it rewards the more resource intensive primary production route. </w:t>
      </w:r>
    </w:p>
    <w:p w14:paraId="3C789B27" w14:textId="77777777" w:rsidR="00BC3C02" w:rsidRPr="00FF63D1" w:rsidRDefault="00BC3C02" w:rsidP="00BC3C02">
      <w:pPr>
        <w:rPr>
          <w:noProof/>
        </w:rPr>
      </w:pPr>
    </w:p>
    <w:p w14:paraId="3117BE8B" w14:textId="226056EF" w:rsidR="00BE0323" w:rsidRPr="00FF63D1" w:rsidRDefault="7610940C" w:rsidP="30AE3BF4">
      <w:pPr>
        <w:rPr>
          <w:noProof/>
        </w:rPr>
      </w:pPr>
      <w:r w:rsidRPr="00FF63D1">
        <w:rPr>
          <w:noProof/>
        </w:rPr>
        <w:t xml:space="preserve">By having separate classifications systems for primary and secondary steel making, CLAS3.a acknowledges the fundamental differences between the production technologies and provides both primary and secondary steel producers with the opportunity to be categorized in high performance classes. This system would </w:t>
      </w:r>
      <w:r w:rsidR="00C27197" w:rsidRPr="00FF63D1">
        <w:rPr>
          <w:noProof/>
        </w:rPr>
        <w:t>compare steel products</w:t>
      </w:r>
      <w:r w:rsidRPr="00FF63D1">
        <w:rPr>
          <w:noProof/>
        </w:rPr>
        <w:t xml:space="preserve"> within the different production routes. However, </w:t>
      </w:r>
      <w:r w:rsidR="39699236" w:rsidRPr="00FF63D1">
        <w:rPr>
          <w:noProof/>
        </w:rPr>
        <w:t>CLAS3. A would not compare</w:t>
      </w:r>
      <w:r w:rsidRPr="00FF63D1">
        <w:rPr>
          <w:noProof/>
        </w:rPr>
        <w:t xml:space="preserve"> the two production routes directly, </w:t>
      </w:r>
      <w:r w:rsidR="2A245DA8" w:rsidRPr="00FF63D1">
        <w:rPr>
          <w:noProof/>
        </w:rPr>
        <w:t>risking that the</w:t>
      </w:r>
      <w:r w:rsidR="00480BEE">
        <w:rPr>
          <w:noProof/>
        </w:rPr>
        <w:t xml:space="preserve"> </w:t>
      </w:r>
      <w:r w:rsidRPr="00FF63D1">
        <w:rPr>
          <w:noProof/>
        </w:rPr>
        <w:t>classification system could be considered overly disaggregated</w:t>
      </w:r>
      <w:r w:rsidR="58D8D36C" w:rsidRPr="00FF63D1">
        <w:rPr>
          <w:noProof/>
        </w:rPr>
        <w:t xml:space="preserve">. </w:t>
      </w:r>
      <w:r w:rsidR="475517A9" w:rsidRPr="00FF63D1">
        <w:rPr>
          <w:noProof/>
        </w:rPr>
        <w:t xml:space="preserve">This could </w:t>
      </w:r>
      <w:r w:rsidR="4622DA2A" w:rsidRPr="00FF63D1">
        <w:rPr>
          <w:noProof/>
        </w:rPr>
        <w:t xml:space="preserve">also </w:t>
      </w:r>
      <w:r w:rsidR="475517A9" w:rsidRPr="00FF63D1">
        <w:rPr>
          <w:noProof/>
        </w:rPr>
        <w:t>risk</w:t>
      </w:r>
      <w:r w:rsidRPr="00FF63D1" w:rsidDel="7610940C">
        <w:rPr>
          <w:noProof/>
        </w:rPr>
        <w:t xml:space="preserve"> </w:t>
      </w:r>
      <w:r w:rsidRPr="00FF63D1">
        <w:rPr>
          <w:noProof/>
        </w:rPr>
        <w:t xml:space="preserve">undermining the incentive to use recycled scrap in steelmaking, and it could </w:t>
      </w:r>
      <w:r w:rsidR="00641AC9" w:rsidRPr="00FF63D1">
        <w:rPr>
          <w:noProof/>
        </w:rPr>
        <w:t xml:space="preserve">be </w:t>
      </w:r>
      <w:r w:rsidRPr="00FF63D1">
        <w:rPr>
          <w:noProof/>
        </w:rPr>
        <w:t xml:space="preserve">considered to be not futureproof, as the sharp distinction between primary and secondary production routes are blurring with the introduction of DRI-based steelmaking that combines both the use of primary resources, i.e. iron ore, and the need for EAF steelmaking. </w:t>
      </w:r>
    </w:p>
    <w:p w14:paraId="017264B6" w14:textId="2A64364F" w:rsidR="00BE0323" w:rsidRPr="00FF63D1" w:rsidRDefault="00BE0323" w:rsidP="30AE3BF4">
      <w:pPr>
        <w:rPr>
          <w:noProof/>
        </w:rPr>
      </w:pPr>
    </w:p>
    <w:p w14:paraId="059A65DE" w14:textId="64642AFF" w:rsidR="00BE0323" w:rsidRPr="00FF63D1" w:rsidRDefault="7610940C" w:rsidP="00BC3C02">
      <w:pPr>
        <w:rPr>
          <w:noProof/>
        </w:rPr>
      </w:pPr>
      <w:r w:rsidRPr="00FF63D1">
        <w:rPr>
          <w:noProof/>
        </w:rPr>
        <w:t xml:space="preserve">The same reasoning largely goes for CLAS 3.b, which proposes different classification systems according to the final shape of the steel product. As flat products are predominantly manufactured through the primary production route while long products are typically produced via the secondary production pathway, the resulting classification classes would in practice be rather similar to a system based on production routes- in particular in the near future. However, the inherent technologically neutral character of this option appears to be more future proof than option 3.a. </w:t>
      </w:r>
      <w:r w:rsidR="589B691B" w:rsidRPr="00FF63D1">
        <w:rPr>
          <w:noProof/>
        </w:rPr>
        <w:t>Several existing steel labelling initiatives have introduced 4 to 5 classes and sliding scales (see table below)</w:t>
      </w:r>
    </w:p>
    <w:p w14:paraId="29C4E431" w14:textId="77777777" w:rsidR="00785309" w:rsidRPr="00FF63D1" w:rsidRDefault="00785309" w:rsidP="00BC3C02">
      <w:pPr>
        <w:rPr>
          <w:b/>
          <w:noProof/>
        </w:rPr>
        <w:sectPr w:rsidR="00785309" w:rsidRPr="00FF63D1">
          <w:headerReference w:type="even" r:id="rId108"/>
          <w:headerReference w:type="default" r:id="rId109"/>
          <w:footerReference w:type="even" r:id="rId110"/>
          <w:footerReference w:type="default" r:id="rId111"/>
          <w:headerReference w:type="first" r:id="rId112"/>
          <w:footerReference w:type="first" r:id="rId113"/>
          <w:pgSz w:w="11906" w:h="16838"/>
          <w:pgMar w:top="1440" w:right="1440" w:bottom="1440" w:left="1440" w:header="708" w:footer="708" w:gutter="0"/>
          <w:cols w:space="708"/>
          <w:docGrid w:linePitch="360"/>
        </w:sectPr>
      </w:pPr>
    </w:p>
    <w:p w14:paraId="7F802188" w14:textId="0BE51A98" w:rsidR="00051BDD" w:rsidRPr="00FF63D1" w:rsidRDefault="60735053" w:rsidP="008A0BFF">
      <w:pPr>
        <w:pStyle w:val="Caption"/>
        <w:keepNext/>
        <w:rPr>
          <w:noProof/>
        </w:rPr>
      </w:pPr>
      <w:r w:rsidRPr="00FF63D1">
        <w:rPr>
          <w:noProof/>
        </w:rPr>
        <w:t xml:space="preserve">Table </w:t>
      </w:r>
      <w:r w:rsidR="00051BDD" w:rsidRPr="00FF63D1">
        <w:rPr>
          <w:noProof/>
        </w:rPr>
        <w:fldChar w:fldCharType="begin"/>
      </w:r>
      <w:r w:rsidR="00051BDD" w:rsidRPr="00FF63D1">
        <w:rPr>
          <w:noProof/>
        </w:rPr>
        <w:instrText xml:space="preserve"> SEQ Table \* ARABIC </w:instrText>
      </w:r>
      <w:r w:rsidR="00051BDD" w:rsidRPr="00FF63D1">
        <w:rPr>
          <w:noProof/>
        </w:rPr>
        <w:fldChar w:fldCharType="end"/>
      </w:r>
      <w:r w:rsidRPr="00FF63D1">
        <w:rPr>
          <w:noProof/>
        </w:rPr>
        <w:t>:</w:t>
      </w:r>
      <w:r w:rsidR="7F036544" w:rsidRPr="00FF63D1">
        <w:rPr>
          <w:noProof/>
        </w:rPr>
        <w:t xml:space="preserve"> Cross comparison matrix of initiatives and standards that set thresholds for the definition of “low-carbon steel”</w:t>
      </w:r>
      <w:r w:rsidR="00BE0323" w:rsidRPr="001A611A">
        <w:rPr>
          <w:noProof/>
          <w:vertAlign w:val="superscript"/>
        </w:rPr>
        <w:footnoteReference w:id="681"/>
      </w:r>
      <w:r w:rsidR="589B691B" w:rsidRPr="001A611A">
        <w:rPr>
          <w:noProof/>
          <w:vertAlign w:val="superscript"/>
        </w:rPr>
        <w:footnoteReference w:id="682"/>
      </w:r>
    </w:p>
    <w:p w14:paraId="6CB243D1" w14:textId="25C1A4C3" w:rsidR="00BE0323" w:rsidRPr="00FF63D1" w:rsidRDefault="00BE0323" w:rsidP="00B53FCA">
      <w:pPr>
        <w:rPr>
          <w:noProof/>
        </w:rPr>
      </w:pPr>
      <w:r w:rsidRPr="0054474F">
        <w:rPr>
          <w:noProof/>
          <w:lang w:eastAsia="en-GB"/>
        </w:rPr>
        <w:drawing>
          <wp:inline distT="0" distB="0" distL="0" distR="0" wp14:anchorId="4FB6E082" wp14:editId="6F4B01B8">
            <wp:extent cx="8187697" cy="4795284"/>
            <wp:effectExtent l="0" t="0" r="3810" b="5715"/>
            <wp:docPr id="4163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37" name=""/>
                    <pic:cNvPicPr/>
                  </pic:nvPicPr>
                  <pic:blipFill>
                    <a:blip r:embed="rId114" cstate="print">
                      <a:extLst>
                        <a:ext uri="{28A0092B-C50C-407E-A947-70E740481C1C}">
                          <a14:useLocalDpi xmlns:a14="http://schemas.microsoft.com/office/drawing/2010/main"/>
                        </a:ext>
                      </a:extLst>
                    </a:blip>
                    <a:stretch>
                      <a:fillRect/>
                    </a:stretch>
                  </pic:blipFill>
                  <pic:spPr>
                    <a:xfrm>
                      <a:off x="0" y="0"/>
                      <a:ext cx="8187697" cy="4795284"/>
                    </a:xfrm>
                    <a:prstGeom prst="rect">
                      <a:avLst/>
                    </a:prstGeom>
                  </pic:spPr>
                </pic:pic>
              </a:graphicData>
            </a:graphic>
          </wp:inline>
        </w:drawing>
      </w:r>
    </w:p>
    <w:p w14:paraId="550E5016" w14:textId="77777777" w:rsidR="00871F89" w:rsidRPr="00FF63D1" w:rsidRDefault="00871F89" w:rsidP="00B53FCA">
      <w:pPr>
        <w:rPr>
          <w:noProof/>
        </w:rPr>
        <w:sectPr w:rsidR="00871F89" w:rsidRPr="00FF63D1" w:rsidSect="00871F89">
          <w:headerReference w:type="even" r:id="rId115"/>
          <w:headerReference w:type="default" r:id="rId116"/>
          <w:footerReference w:type="default" r:id="rId117"/>
          <w:headerReference w:type="first" r:id="rId118"/>
          <w:pgSz w:w="16838" w:h="11906" w:orient="landscape"/>
          <w:pgMar w:top="1440" w:right="1440" w:bottom="1440" w:left="1440" w:header="708" w:footer="708" w:gutter="0"/>
          <w:cols w:space="708"/>
          <w:docGrid w:linePitch="360"/>
        </w:sectPr>
      </w:pPr>
      <w:bookmarkStart w:id="1294" w:name="_Toc206091409"/>
    </w:p>
    <w:p w14:paraId="03CF0CAD" w14:textId="54EFC00C" w:rsidR="003D7214" w:rsidRPr="00FF63D1" w:rsidRDefault="00A04CD8" w:rsidP="00EE657E">
      <w:pPr>
        <w:pStyle w:val="Heading3"/>
        <w:numPr>
          <w:ilvl w:val="0"/>
          <w:numId w:val="0"/>
        </w:numPr>
        <w:ind w:firstLine="709"/>
      </w:pPr>
      <w:r w:rsidRPr="00FF63D1">
        <w:t>Ensuring data quality</w:t>
      </w:r>
      <w:bookmarkEnd w:id="1294"/>
    </w:p>
    <w:p w14:paraId="30D09E75" w14:textId="77777777" w:rsidR="001D6E00" w:rsidRPr="00FF63D1" w:rsidRDefault="001D6E00" w:rsidP="001D6E00">
      <w:pPr>
        <w:rPr>
          <w:noProof/>
        </w:rPr>
      </w:pPr>
    </w:p>
    <w:p w14:paraId="47851E6F" w14:textId="7EFE7FD3" w:rsidR="003262F2" w:rsidRPr="00FF63D1" w:rsidRDefault="3934F0DD" w:rsidP="001D6E00">
      <w:pPr>
        <w:rPr>
          <w:noProof/>
        </w:rPr>
      </w:pPr>
      <w:r w:rsidRPr="00FF63D1">
        <w:rPr>
          <w:noProof/>
        </w:rPr>
        <w:t xml:space="preserve">In DATA1, the strong reliance on the responsibility </w:t>
      </w:r>
      <w:r w:rsidR="00B548DA" w:rsidRPr="00FF63D1">
        <w:rPr>
          <w:noProof/>
        </w:rPr>
        <w:t xml:space="preserve">and correct conduct </w:t>
      </w:r>
      <w:r w:rsidRPr="00FF63D1">
        <w:rPr>
          <w:noProof/>
        </w:rPr>
        <w:t xml:space="preserve">of the applicant may undermine the credibility of the label. While the use of previously verified data under the EU ETS could provide a certain degree of </w:t>
      </w:r>
      <w:r w:rsidR="202702D5" w:rsidRPr="00FF63D1">
        <w:rPr>
          <w:noProof/>
        </w:rPr>
        <w:t>assurance in terms of data accuracy</w:t>
      </w:r>
      <w:r w:rsidRPr="00FF63D1">
        <w:rPr>
          <w:noProof/>
        </w:rPr>
        <w:t xml:space="preserve">, the lack of an </w:t>
      </w:r>
      <w:r w:rsidR="393583D2" w:rsidRPr="00FF63D1">
        <w:rPr>
          <w:noProof/>
        </w:rPr>
        <w:t>additional</w:t>
      </w:r>
      <w:r w:rsidR="00E70508" w:rsidRPr="00FF63D1">
        <w:rPr>
          <w:noProof/>
        </w:rPr>
        <w:t xml:space="preserve"> </w:t>
      </w:r>
      <w:r w:rsidRPr="00FF63D1">
        <w:rPr>
          <w:noProof/>
        </w:rPr>
        <w:t xml:space="preserve">verification of the GHG intensity at product </w:t>
      </w:r>
      <w:r w:rsidR="40C91567" w:rsidRPr="00FF63D1">
        <w:rPr>
          <w:noProof/>
        </w:rPr>
        <w:t xml:space="preserve">level </w:t>
      </w:r>
      <w:r w:rsidRPr="00FF63D1">
        <w:rPr>
          <w:noProof/>
        </w:rPr>
        <w:t xml:space="preserve">poses a risk, in particular if the scope of the emissions would be extended beyond the ETS product benchmarks. This option might therefore increase </w:t>
      </w:r>
      <w:r w:rsidR="66F9BE9A" w:rsidRPr="00FF63D1">
        <w:rPr>
          <w:noProof/>
        </w:rPr>
        <w:t>fraud and</w:t>
      </w:r>
      <w:r w:rsidRPr="00FF63D1">
        <w:rPr>
          <w:noProof/>
        </w:rPr>
        <w:t xml:space="preserve"> greenwashing risks and might undermine the effectiveness of the label. DATA2 addresses these risks and provides more certainty and adds credibility to the label calculations</w:t>
      </w:r>
      <w:r w:rsidR="5E8C201C" w:rsidRPr="00FF63D1">
        <w:rPr>
          <w:noProof/>
        </w:rPr>
        <w:t xml:space="preserve"> and underlying data</w:t>
      </w:r>
      <w:r w:rsidRPr="00FF63D1">
        <w:rPr>
          <w:noProof/>
        </w:rPr>
        <w:t xml:space="preserve">, </w:t>
      </w:r>
      <w:r w:rsidR="6943A4DE" w:rsidRPr="00FF63D1">
        <w:rPr>
          <w:noProof/>
        </w:rPr>
        <w:t xml:space="preserve">due to </w:t>
      </w:r>
      <w:r w:rsidRPr="00FF63D1">
        <w:rPr>
          <w:noProof/>
        </w:rPr>
        <w:t xml:space="preserve">the extra step of the external verification. It therefore increases the usefulness and potential effectiveness of the label. DATA3 enlarges the scope of the label beyond the EU borders, potentially also increasing its impact and contributing to aligning the EU label with other labelling worldwide initiatives. For extra-EU steel manufacturers, the possible use of already reported and verified data is more limited, requiring a more thorough verification and certification to reduce the risks on fraud. CBAM </w:t>
      </w:r>
      <w:r w:rsidR="000E5716" w:rsidRPr="00FF63D1">
        <w:rPr>
          <w:noProof/>
        </w:rPr>
        <w:t xml:space="preserve">will </w:t>
      </w:r>
      <w:r w:rsidRPr="00FF63D1">
        <w:rPr>
          <w:noProof/>
        </w:rPr>
        <w:t xml:space="preserve">be a source of relevant information for extra-EU applicants </w:t>
      </w:r>
      <w:r w:rsidR="003C1EDF" w:rsidRPr="00FF63D1">
        <w:rPr>
          <w:noProof/>
        </w:rPr>
        <w:t>from 2026</w:t>
      </w:r>
      <w:r w:rsidR="2BF662DA" w:rsidRPr="00FF63D1">
        <w:rPr>
          <w:noProof/>
        </w:rPr>
        <w:t xml:space="preserve">, </w:t>
      </w:r>
      <w:r w:rsidR="00B865CD" w:rsidRPr="00FF63D1">
        <w:rPr>
          <w:noProof/>
        </w:rPr>
        <w:t xml:space="preserve">therefore </w:t>
      </w:r>
      <w:r w:rsidRPr="00FF63D1">
        <w:rPr>
          <w:noProof/>
        </w:rPr>
        <w:t xml:space="preserve">it should be </w:t>
      </w:r>
      <w:r w:rsidR="4CA277B6" w:rsidRPr="00FF63D1">
        <w:rPr>
          <w:noProof/>
        </w:rPr>
        <w:t xml:space="preserve">required to be </w:t>
      </w:r>
      <w:r w:rsidRPr="00FF63D1">
        <w:rPr>
          <w:noProof/>
        </w:rPr>
        <w:t>used</w:t>
      </w:r>
      <w:r w:rsidR="54C874FC" w:rsidRPr="00FF63D1">
        <w:rPr>
          <w:noProof/>
        </w:rPr>
        <w:t xml:space="preserve"> </w:t>
      </w:r>
      <w:r w:rsidRPr="00FF63D1">
        <w:rPr>
          <w:noProof/>
        </w:rPr>
        <w:t xml:space="preserve">if option DATA3 is retained. </w:t>
      </w:r>
    </w:p>
    <w:p w14:paraId="49E9FA95" w14:textId="77777777" w:rsidR="00035AD3" w:rsidRPr="00FF63D1" w:rsidRDefault="00035AD3" w:rsidP="001D6E00">
      <w:pPr>
        <w:rPr>
          <w:noProof/>
        </w:rPr>
      </w:pPr>
    </w:p>
    <w:p w14:paraId="3C22A969" w14:textId="754A5CB5" w:rsidR="0026412B" w:rsidRPr="00AB1DF9" w:rsidRDefault="64CC8432" w:rsidP="00D8707E">
      <w:pPr>
        <w:pStyle w:val="Heading2"/>
        <w:numPr>
          <w:ilvl w:val="0"/>
          <w:numId w:val="0"/>
        </w:numPr>
        <w:ind w:left="576" w:firstLine="417"/>
      </w:pPr>
      <w:bookmarkStart w:id="1295" w:name="_Toc206091410"/>
      <w:bookmarkStart w:id="1296" w:name="_Toc207192572"/>
      <w:bookmarkStart w:id="1297" w:name="_Toc212728879"/>
      <w:bookmarkStart w:id="1298" w:name="_Toc212729407"/>
      <w:bookmarkStart w:id="1299" w:name="_Toc215506351"/>
      <w:bookmarkStart w:id="1300" w:name="_Toc222490059"/>
      <w:r w:rsidRPr="00AB1DF9">
        <w:t>Administrative</w:t>
      </w:r>
      <w:r w:rsidR="53EB2C1E" w:rsidRPr="00AB1DF9">
        <w:t xml:space="preserve"> impacts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5"/>
      <w:bookmarkEnd w:id="1296"/>
      <w:bookmarkEnd w:id="1297"/>
      <w:bookmarkEnd w:id="1298"/>
      <w:bookmarkEnd w:id="1299"/>
      <w:bookmarkEnd w:id="1300"/>
    </w:p>
    <w:p w14:paraId="47BCF7BC" w14:textId="77777777" w:rsidR="00035AD3" w:rsidRPr="00FF63D1" w:rsidRDefault="00035AD3" w:rsidP="00035AD3">
      <w:pPr>
        <w:rPr>
          <w:noProof/>
        </w:rPr>
      </w:pPr>
    </w:p>
    <w:p w14:paraId="5A6BDB4C" w14:textId="229F9A4B" w:rsidR="005A06CC" w:rsidRPr="00FF63D1" w:rsidRDefault="7610940C" w:rsidP="00035AD3">
      <w:pPr>
        <w:rPr>
          <w:noProof/>
        </w:rPr>
      </w:pPr>
      <w:r w:rsidRPr="00FF63D1">
        <w:rPr>
          <w:noProof/>
        </w:rPr>
        <w:t>The credibility of any label stands or falls with the quality, robustness and transparency of the underlying data, allowing for a harmonised representation of GHG intensities of steel products. Reporting, verification, and label issuance all involve time and financial costs, for both the applicants, potential verifiers and public authorities. On the other hand, a well-designed label</w:t>
      </w:r>
      <w:r w:rsidR="00707949" w:rsidRPr="00FF63D1">
        <w:rPr>
          <w:noProof/>
        </w:rPr>
        <w:t xml:space="preserve"> </w:t>
      </w:r>
      <w:r w:rsidRPr="00FF63D1">
        <w:rPr>
          <w:noProof/>
        </w:rPr>
        <w:t>can also reduce administrative burdens, for example by providing transparent market information that lowers the information costs for potential buyers of low-carbon products.</w:t>
      </w:r>
    </w:p>
    <w:p w14:paraId="72464191" w14:textId="092109F9" w:rsidR="00792A2A" w:rsidRPr="00FF63D1" w:rsidRDefault="7610940C" w:rsidP="00035AD3">
      <w:pPr>
        <w:rPr>
          <w:noProof/>
        </w:rPr>
      </w:pPr>
      <w:r w:rsidRPr="00FF63D1">
        <w:rPr>
          <w:noProof/>
        </w:rPr>
        <w:t>As the label is conceived as a voluntary instrument, its administrative impact for manufactures of steel products as whole is expected to be limited. Only interested applicants will perform the necessary steps to acquire a label, based on an internal cost-benefit analysis. Furthermore, as the label aims to set a credible standard for labelling initiatives, its existence might even avoid the need to invest in other labelling initiatives, or in other ways to publicly disclose the lower GHG intensities to potential buyers.</w:t>
      </w:r>
    </w:p>
    <w:p w14:paraId="316DB789" w14:textId="79C4BE4C" w:rsidR="00CC743F" w:rsidRPr="00AB1DF9" w:rsidRDefault="00CC743F" w:rsidP="00BB48E2">
      <w:pPr>
        <w:pStyle w:val="Heading3"/>
        <w:numPr>
          <w:ilvl w:val="0"/>
          <w:numId w:val="0"/>
        </w:numPr>
        <w:ind w:left="720"/>
      </w:pPr>
      <w:bookmarkStart w:id="1301" w:name="_Toc206091411"/>
      <w:bookmarkStart w:id="1302" w:name="_Ref198652553"/>
      <w:r w:rsidRPr="00AB1DF9">
        <w:t>Determination GHG-intensity</w:t>
      </w:r>
      <w:bookmarkEnd w:id="1301"/>
    </w:p>
    <w:bookmarkEnd w:id="1302"/>
    <w:p w14:paraId="516CDD9F" w14:textId="77777777" w:rsidR="00035AD3" w:rsidRPr="00FF63D1" w:rsidRDefault="00035AD3" w:rsidP="00035AD3">
      <w:pPr>
        <w:rPr>
          <w:noProof/>
        </w:rPr>
      </w:pPr>
    </w:p>
    <w:p w14:paraId="3221406C" w14:textId="3F0B5B8B" w:rsidR="00792A2A" w:rsidRPr="00FF63D1" w:rsidRDefault="610C2507" w:rsidP="00035AD3">
      <w:pPr>
        <w:rPr>
          <w:rFonts w:eastAsia="Times New Roman" w:cs="Times New Roman"/>
          <w:noProof/>
        </w:rPr>
      </w:pPr>
      <w:r w:rsidRPr="00FF63D1">
        <w:rPr>
          <w:noProof/>
        </w:rPr>
        <w:t>Since</w:t>
      </w:r>
      <w:r w:rsidR="2F7C7A88" w:rsidRPr="00FF63D1">
        <w:rPr>
          <w:noProof/>
        </w:rPr>
        <w:t xml:space="preserve"> </w:t>
      </w:r>
      <w:r w:rsidR="7897BB54" w:rsidRPr="00FF63D1">
        <w:rPr>
          <w:noProof/>
        </w:rPr>
        <w:t xml:space="preserve">CALC1 </w:t>
      </w:r>
      <w:r w:rsidR="2F7C7A88" w:rsidRPr="00FF63D1">
        <w:rPr>
          <w:noProof/>
        </w:rPr>
        <w:t>mainly</w:t>
      </w:r>
      <w:r w:rsidR="3A1A32F4" w:rsidRPr="00FF63D1">
        <w:rPr>
          <w:noProof/>
        </w:rPr>
        <w:t xml:space="preserve"> builds</w:t>
      </w:r>
      <w:r w:rsidR="2F7C7A88" w:rsidRPr="00FF63D1">
        <w:rPr>
          <w:noProof/>
        </w:rPr>
        <w:t xml:space="preserve"> on ETS</w:t>
      </w:r>
      <w:r w:rsidR="0489A72D" w:rsidRPr="00FF63D1">
        <w:rPr>
          <w:noProof/>
        </w:rPr>
        <w:t>/CBAM</w:t>
      </w:r>
      <w:r w:rsidR="2F7C7A88" w:rsidRPr="00FF63D1">
        <w:rPr>
          <w:noProof/>
        </w:rPr>
        <w:t xml:space="preserve"> reported data, its additional administrative burden</w:t>
      </w:r>
      <w:r w:rsidR="4CF6A248" w:rsidRPr="00FF63D1">
        <w:rPr>
          <w:noProof/>
        </w:rPr>
        <w:t xml:space="preserve"> to gather data</w:t>
      </w:r>
      <w:r w:rsidR="2F7C7A88" w:rsidRPr="00FF63D1">
        <w:rPr>
          <w:noProof/>
        </w:rPr>
        <w:t xml:space="preserve"> for </w:t>
      </w:r>
      <w:r w:rsidR="0381ECFB" w:rsidRPr="00FF63D1">
        <w:rPr>
          <w:noProof/>
        </w:rPr>
        <w:t>producers from an EU installation</w:t>
      </w:r>
      <w:r w:rsidR="2F7C7A88" w:rsidRPr="00FF63D1">
        <w:rPr>
          <w:noProof/>
        </w:rPr>
        <w:t xml:space="preserve"> will be limited. </w:t>
      </w:r>
      <w:r w:rsidR="3A1A32F4" w:rsidRPr="00FF63D1">
        <w:rPr>
          <w:noProof/>
        </w:rPr>
        <w:t>Within</w:t>
      </w:r>
      <w:r w:rsidR="3863E133" w:rsidRPr="00FF63D1">
        <w:rPr>
          <w:noProof/>
        </w:rPr>
        <w:t xml:space="preserve"> the framework of the application for free allowances under the ETS, EU steel producers </w:t>
      </w:r>
      <w:r w:rsidR="6A18FA2F" w:rsidRPr="00FF63D1">
        <w:rPr>
          <w:noProof/>
        </w:rPr>
        <w:t>already possess the relevant historical</w:t>
      </w:r>
      <w:r w:rsidR="3863E133" w:rsidRPr="00FF63D1">
        <w:rPr>
          <w:noProof/>
        </w:rPr>
        <w:t xml:space="preserve"> data </w:t>
      </w:r>
      <w:r w:rsidR="32704552" w:rsidRPr="00FF63D1">
        <w:rPr>
          <w:noProof/>
        </w:rPr>
        <w:t>and</w:t>
      </w:r>
      <w:r w:rsidR="6A18FA2F" w:rsidRPr="00FF63D1">
        <w:rPr>
          <w:noProof/>
        </w:rPr>
        <w:t xml:space="preserve"> are familiar with the specific product benchmark boundaries. For</w:t>
      </w:r>
      <w:r w:rsidR="6483CEEF" w:rsidRPr="00FF63D1">
        <w:rPr>
          <w:noProof/>
        </w:rPr>
        <w:t xml:space="preserve"> EU steel producers that </w:t>
      </w:r>
      <w:r w:rsidR="6A18FA2F" w:rsidRPr="00FF63D1">
        <w:rPr>
          <w:noProof/>
        </w:rPr>
        <w:t>do not carry out</w:t>
      </w:r>
      <w:r w:rsidR="6483CEEF" w:rsidRPr="00FF63D1">
        <w:rPr>
          <w:noProof/>
        </w:rPr>
        <w:t xml:space="preserve"> all relevant production steps themselves, e.g. they </w:t>
      </w:r>
      <w:r w:rsidR="5440A4C7" w:rsidRPr="00FF63D1">
        <w:rPr>
          <w:noProof/>
        </w:rPr>
        <w:t>purchase</w:t>
      </w:r>
      <w:r w:rsidR="7602C2E0" w:rsidRPr="00FF63D1">
        <w:rPr>
          <w:noProof/>
        </w:rPr>
        <w:t xml:space="preserve"> cok</w:t>
      </w:r>
      <w:r w:rsidR="5440A4C7" w:rsidRPr="00FF63D1">
        <w:rPr>
          <w:noProof/>
        </w:rPr>
        <w:t>ing coal</w:t>
      </w:r>
      <w:r w:rsidR="7602C2E0" w:rsidRPr="00FF63D1">
        <w:rPr>
          <w:noProof/>
        </w:rPr>
        <w:t xml:space="preserve"> </w:t>
      </w:r>
      <w:r w:rsidR="5440A4C7" w:rsidRPr="00FF63D1">
        <w:rPr>
          <w:noProof/>
        </w:rPr>
        <w:t>f</w:t>
      </w:r>
      <w:r w:rsidR="7602C2E0" w:rsidRPr="00FF63D1">
        <w:rPr>
          <w:noProof/>
        </w:rPr>
        <w:t>o</w:t>
      </w:r>
      <w:r w:rsidR="5440A4C7" w:rsidRPr="00FF63D1">
        <w:rPr>
          <w:noProof/>
        </w:rPr>
        <w:t>r</w:t>
      </w:r>
      <w:r w:rsidR="7602C2E0" w:rsidRPr="00FF63D1">
        <w:rPr>
          <w:noProof/>
        </w:rPr>
        <w:t xml:space="preserve"> use in their steel production facility, the label calculations </w:t>
      </w:r>
      <w:r w:rsidR="5440A4C7" w:rsidRPr="00FF63D1">
        <w:rPr>
          <w:noProof/>
        </w:rPr>
        <w:t xml:space="preserve">will be more complex. </w:t>
      </w:r>
      <w:r w:rsidR="4FC9234C" w:rsidRPr="00FF63D1">
        <w:rPr>
          <w:noProof/>
        </w:rPr>
        <w:t xml:space="preserve">In these cases, it would be necessary to </w:t>
      </w:r>
      <w:r w:rsidR="47C69511" w:rsidRPr="00FF63D1">
        <w:rPr>
          <w:noProof/>
        </w:rPr>
        <w:t>demonstrate</w:t>
      </w:r>
      <w:r w:rsidR="4FC9234C" w:rsidRPr="00FF63D1">
        <w:rPr>
          <w:noProof/>
        </w:rPr>
        <w:t xml:space="preserve"> the GHG intensities of the purchased input materials. </w:t>
      </w:r>
      <w:r w:rsidR="0F5944DF" w:rsidRPr="00FF63D1">
        <w:rPr>
          <w:noProof/>
        </w:rPr>
        <w:t xml:space="preserve">Also, by using annual average GHG emission intensities, </w:t>
      </w:r>
      <w:r w:rsidR="7D72EE94" w:rsidRPr="00FF63D1">
        <w:rPr>
          <w:noProof/>
        </w:rPr>
        <w:t xml:space="preserve">consistent with the reporting under the ETS free </w:t>
      </w:r>
      <w:r w:rsidR="47C69511" w:rsidRPr="00FF63D1">
        <w:rPr>
          <w:noProof/>
        </w:rPr>
        <w:t>allocation</w:t>
      </w:r>
      <w:r w:rsidR="7D72EE94" w:rsidRPr="00FF63D1">
        <w:rPr>
          <w:noProof/>
        </w:rPr>
        <w:t xml:space="preserve"> rules</w:t>
      </w:r>
      <w:r w:rsidR="0F5944DF" w:rsidRPr="00FF63D1">
        <w:rPr>
          <w:noProof/>
        </w:rPr>
        <w:t xml:space="preserve">, </w:t>
      </w:r>
      <w:r w:rsidR="7D72EE94" w:rsidRPr="00FF63D1">
        <w:rPr>
          <w:noProof/>
        </w:rPr>
        <w:t xml:space="preserve">the </w:t>
      </w:r>
      <w:r w:rsidR="47C69511" w:rsidRPr="00FF63D1">
        <w:rPr>
          <w:noProof/>
        </w:rPr>
        <w:t>additional</w:t>
      </w:r>
      <w:r w:rsidR="4F91F217" w:rsidRPr="00FF63D1">
        <w:rPr>
          <w:noProof/>
        </w:rPr>
        <w:t xml:space="preserve"> cost</w:t>
      </w:r>
      <w:r w:rsidR="7D72EE94" w:rsidRPr="00FF63D1">
        <w:rPr>
          <w:noProof/>
        </w:rPr>
        <w:t xml:space="preserve"> impact of </w:t>
      </w:r>
      <w:r w:rsidR="2F8C3ACC" w:rsidRPr="00FF63D1">
        <w:rPr>
          <w:noProof/>
        </w:rPr>
        <w:t>data gathering/cal</w:t>
      </w:r>
      <w:r w:rsidR="00D22B5C" w:rsidRPr="00FF63D1">
        <w:rPr>
          <w:noProof/>
        </w:rPr>
        <w:t>c</w:t>
      </w:r>
      <w:r w:rsidR="2F8C3ACC" w:rsidRPr="00FF63D1">
        <w:rPr>
          <w:noProof/>
        </w:rPr>
        <w:t xml:space="preserve">ulation of </w:t>
      </w:r>
      <w:r w:rsidR="0D689884" w:rsidRPr="00FF63D1">
        <w:rPr>
          <w:noProof/>
        </w:rPr>
        <w:t xml:space="preserve">the labelling requirements is limited. </w:t>
      </w:r>
      <w:r w:rsidR="0E49F044" w:rsidRPr="00FF63D1">
        <w:rPr>
          <w:noProof/>
        </w:rPr>
        <w:t>H</w:t>
      </w:r>
      <w:r w:rsidR="0D689884" w:rsidRPr="00FF63D1">
        <w:rPr>
          <w:noProof/>
        </w:rPr>
        <w:t>istorical data have already been verified under the ETS</w:t>
      </w:r>
      <w:r w:rsidR="3CBF163F" w:rsidRPr="00FF63D1">
        <w:rPr>
          <w:noProof/>
        </w:rPr>
        <w:t>. The need for control and verification will be defined by the label verification criteria. The cost of it would be expected to be limited.</w:t>
      </w:r>
    </w:p>
    <w:p w14:paraId="2CBD9108" w14:textId="6AE4F74F" w:rsidR="00E5628E" w:rsidRPr="00FF63D1" w:rsidRDefault="0D689884" w:rsidP="00035AD3">
      <w:pPr>
        <w:rPr>
          <w:rFonts w:eastAsia="Times New Roman" w:cs="Times New Roman"/>
          <w:noProof/>
        </w:rPr>
      </w:pPr>
      <w:r w:rsidRPr="00FF63D1">
        <w:rPr>
          <w:rFonts w:eastAsia="Times New Roman" w:cs="Times New Roman"/>
          <w:noProof/>
        </w:rPr>
        <w:t>CALC2</w:t>
      </w:r>
      <w:r w:rsidR="3804C4C5" w:rsidRPr="00FF63D1">
        <w:rPr>
          <w:rFonts w:eastAsia="Times New Roman" w:cs="Times New Roman"/>
          <w:noProof/>
        </w:rPr>
        <w:t xml:space="preserve"> also builds on ETS</w:t>
      </w:r>
      <w:r w:rsidR="0489A72D" w:rsidRPr="00FF63D1">
        <w:rPr>
          <w:rFonts w:eastAsia="Times New Roman" w:cs="Times New Roman"/>
          <w:noProof/>
        </w:rPr>
        <w:t>/CBAM</w:t>
      </w:r>
      <w:r w:rsidR="3804C4C5" w:rsidRPr="00FF63D1">
        <w:rPr>
          <w:rFonts w:eastAsia="Times New Roman" w:cs="Times New Roman"/>
          <w:noProof/>
        </w:rPr>
        <w:t xml:space="preserve"> data, adding a limited amount </w:t>
      </w:r>
      <w:r w:rsidR="1734797C" w:rsidRPr="00FF63D1">
        <w:rPr>
          <w:rFonts w:eastAsia="Times New Roman" w:cs="Times New Roman"/>
          <w:noProof/>
        </w:rPr>
        <w:t xml:space="preserve">of indirect emission sources to the calculations of the GHG-intensity. Provided these indirect sources refer to </w:t>
      </w:r>
      <w:r w:rsidR="3B9B20AB" w:rsidRPr="00FF63D1">
        <w:rPr>
          <w:rFonts w:eastAsia="Times New Roman" w:cs="Times New Roman"/>
          <w:noProof/>
        </w:rPr>
        <w:t xml:space="preserve">key inputs such as electricity and/or hydrogen use, </w:t>
      </w:r>
      <w:r w:rsidR="6CE7DB6B" w:rsidRPr="00FF63D1">
        <w:rPr>
          <w:rFonts w:eastAsia="Times New Roman" w:cs="Times New Roman"/>
          <w:noProof/>
        </w:rPr>
        <w:t>one could assume that the</w:t>
      </w:r>
      <w:r w:rsidR="407AC7CA" w:rsidRPr="00FF63D1">
        <w:rPr>
          <w:rFonts w:eastAsia="Times New Roman" w:cs="Times New Roman"/>
          <w:noProof/>
        </w:rPr>
        <w:t xml:space="preserve">se data are </w:t>
      </w:r>
      <w:r w:rsidR="702E41AF" w:rsidRPr="00FF63D1">
        <w:rPr>
          <w:rFonts w:eastAsia="Times New Roman" w:cs="Times New Roman"/>
          <w:noProof/>
        </w:rPr>
        <w:t xml:space="preserve">readily </w:t>
      </w:r>
      <w:r w:rsidR="407AC7CA" w:rsidRPr="00FF63D1">
        <w:rPr>
          <w:rFonts w:eastAsia="Times New Roman" w:cs="Times New Roman"/>
          <w:noProof/>
        </w:rPr>
        <w:t>available for applicants for the label</w:t>
      </w:r>
      <w:r w:rsidR="47C69511" w:rsidRPr="00FF63D1">
        <w:rPr>
          <w:rFonts w:eastAsia="Times New Roman" w:cs="Times New Roman"/>
          <w:noProof/>
        </w:rPr>
        <w:t xml:space="preserve"> or that reliable default values can be </w:t>
      </w:r>
      <w:r w:rsidR="2C3FD0ED" w:rsidRPr="00FF63D1">
        <w:rPr>
          <w:rFonts w:eastAsia="Times New Roman" w:cs="Times New Roman"/>
          <w:noProof/>
        </w:rPr>
        <w:t>utilised</w:t>
      </w:r>
      <w:r w:rsidR="47C69511" w:rsidRPr="00FF63D1">
        <w:rPr>
          <w:rFonts w:eastAsia="Times New Roman" w:cs="Times New Roman"/>
          <w:noProof/>
        </w:rPr>
        <w:t>.</w:t>
      </w:r>
      <w:r w:rsidR="407AC7CA" w:rsidRPr="00FF63D1">
        <w:rPr>
          <w:rFonts w:eastAsia="Times New Roman" w:cs="Times New Roman"/>
          <w:noProof/>
        </w:rPr>
        <w:t xml:space="preserve"> The possibility to have a more segmented baseline period for the determination of the GHG-intensity </w:t>
      </w:r>
      <w:r w:rsidR="22A4B0C4" w:rsidRPr="00FF63D1">
        <w:rPr>
          <w:rFonts w:eastAsia="Times New Roman" w:cs="Times New Roman"/>
          <w:noProof/>
        </w:rPr>
        <w:t>adds complexity to calculation</w:t>
      </w:r>
      <w:r w:rsidR="3A39EF31" w:rsidRPr="00FF63D1">
        <w:rPr>
          <w:rFonts w:eastAsia="Times New Roman" w:cs="Times New Roman"/>
          <w:noProof/>
        </w:rPr>
        <w:t xml:space="preserve"> </w:t>
      </w:r>
      <w:r w:rsidR="47C69511" w:rsidRPr="00FF63D1">
        <w:rPr>
          <w:rFonts w:eastAsia="Times New Roman" w:cs="Times New Roman"/>
          <w:noProof/>
        </w:rPr>
        <w:t>and</w:t>
      </w:r>
      <w:r w:rsidR="22A4B0C4" w:rsidRPr="00FF63D1">
        <w:rPr>
          <w:rFonts w:eastAsia="Times New Roman" w:cs="Times New Roman"/>
          <w:noProof/>
        </w:rPr>
        <w:t xml:space="preserve"> </w:t>
      </w:r>
      <w:r w:rsidR="00DA4AE2" w:rsidRPr="00FF63D1">
        <w:rPr>
          <w:rFonts w:eastAsia="Times New Roman" w:cs="Times New Roman"/>
          <w:noProof/>
        </w:rPr>
        <w:t xml:space="preserve">might </w:t>
      </w:r>
      <w:r w:rsidR="00837E6D" w:rsidRPr="00FF63D1">
        <w:rPr>
          <w:rFonts w:eastAsia="Times New Roman" w:cs="Times New Roman"/>
          <w:noProof/>
        </w:rPr>
        <w:t xml:space="preserve">require additional verification steps </w:t>
      </w:r>
      <w:r w:rsidR="00086AA6" w:rsidRPr="00FF63D1">
        <w:rPr>
          <w:rFonts w:eastAsia="Times New Roman" w:cs="Times New Roman"/>
          <w:noProof/>
        </w:rPr>
        <w:t xml:space="preserve">in addition to the information that would already be available through the EU ETS free allocation. </w:t>
      </w:r>
    </w:p>
    <w:p w14:paraId="1B2BB395" w14:textId="77777777" w:rsidR="00035AD3" w:rsidRPr="00FF63D1" w:rsidRDefault="00035AD3" w:rsidP="00035AD3">
      <w:pPr>
        <w:rPr>
          <w:rFonts w:eastAsia="Times New Roman" w:cs="Times New Roman"/>
          <w:noProof/>
        </w:rPr>
      </w:pPr>
    </w:p>
    <w:p w14:paraId="1FAC1C95" w14:textId="334283C6" w:rsidR="002F55EB" w:rsidRPr="00FF63D1" w:rsidRDefault="589B691B" w:rsidP="00035AD3">
      <w:pPr>
        <w:rPr>
          <w:rFonts w:eastAsia="Times New Roman" w:cs="Times New Roman"/>
          <w:noProof/>
        </w:rPr>
      </w:pPr>
      <w:r w:rsidRPr="00FF63D1">
        <w:rPr>
          <w:rFonts w:eastAsia="Times New Roman" w:cs="Times New Roman"/>
          <w:noProof/>
        </w:rPr>
        <w:t xml:space="preserve">The LCA methodology to be used under CALC3 </w:t>
      </w:r>
      <w:r w:rsidR="00023E86" w:rsidRPr="00FF63D1">
        <w:rPr>
          <w:rFonts w:eastAsia="Times New Roman" w:cs="Times New Roman"/>
          <w:noProof/>
        </w:rPr>
        <w:t xml:space="preserve">could </w:t>
      </w:r>
      <w:r w:rsidRPr="00FF63D1">
        <w:rPr>
          <w:rFonts w:eastAsia="Times New Roman" w:cs="Times New Roman"/>
          <w:noProof/>
        </w:rPr>
        <w:t>rely on ETS/CBAM reported emissions and builds on the PEF methodology, requiring detailed data from a very comprehensive scope</w:t>
      </w:r>
      <w:r w:rsidR="1DD6BD5C" w:rsidRPr="00FF63D1">
        <w:rPr>
          <w:rFonts w:eastAsia="Times New Roman" w:cs="Times New Roman"/>
          <w:noProof/>
        </w:rPr>
        <w:t xml:space="preserve"> including complexity and variation of the production processes and possibility to use a mass balance approach</w:t>
      </w:r>
      <w:r w:rsidRPr="00FF63D1">
        <w:rPr>
          <w:rFonts w:eastAsia="Times New Roman" w:cs="Times New Roman"/>
          <w:noProof/>
        </w:rPr>
        <w:t>.</w:t>
      </w:r>
      <w:r w:rsidR="002B7A68" w:rsidRPr="00FF63D1">
        <w:rPr>
          <w:rFonts w:eastAsia="Times New Roman" w:cs="Times New Roman"/>
          <w:noProof/>
        </w:rPr>
        <w:t xml:space="preserve"> </w:t>
      </w:r>
      <w:r w:rsidR="141C9980" w:rsidRPr="00FF63D1">
        <w:rPr>
          <w:rFonts w:eastAsia="Times New Roman" w:cs="Times New Roman"/>
          <w:noProof/>
          <w:szCs w:val="24"/>
        </w:rPr>
        <w:t>Thus, the effort (time/cost) of verification and certification of the label calculations would be increased versus CALC1/2 which mostly rely on already verified data.</w:t>
      </w:r>
      <w:r w:rsidR="141C9980" w:rsidRPr="00FF63D1">
        <w:rPr>
          <w:rFonts w:eastAsia="Times New Roman" w:cs="Times New Roman"/>
          <w:noProof/>
        </w:rPr>
        <w:t xml:space="preserve"> </w:t>
      </w:r>
    </w:p>
    <w:p w14:paraId="4141D5F7" w14:textId="77777777" w:rsidR="001544BA" w:rsidRPr="00FF63D1" w:rsidRDefault="001544BA" w:rsidP="00035AD3">
      <w:pPr>
        <w:rPr>
          <w:noProof/>
        </w:rPr>
      </w:pPr>
    </w:p>
    <w:p w14:paraId="7AF1CDA1" w14:textId="77777777" w:rsidR="009D0002" w:rsidRPr="00AB1DF9" w:rsidRDefault="009D0002" w:rsidP="00BB48E2">
      <w:pPr>
        <w:pStyle w:val="Heading3"/>
        <w:numPr>
          <w:ilvl w:val="0"/>
          <w:numId w:val="0"/>
        </w:numPr>
        <w:ind w:left="720"/>
      </w:pPr>
      <w:bookmarkStart w:id="1303" w:name="_Toc206091412"/>
      <w:r w:rsidRPr="00AB1DF9">
        <w:t>Classification</w:t>
      </w:r>
      <w:bookmarkEnd w:id="1303"/>
    </w:p>
    <w:p w14:paraId="6CA5506F" w14:textId="77777777" w:rsidR="00035AD3" w:rsidRPr="00FF63D1" w:rsidRDefault="00035AD3" w:rsidP="00035AD3">
      <w:pPr>
        <w:rPr>
          <w:rFonts w:eastAsia="Times New Roman" w:cs="Times New Roman"/>
          <w:noProof/>
        </w:rPr>
      </w:pPr>
    </w:p>
    <w:p w14:paraId="647F1A34" w14:textId="231E9F5E" w:rsidR="00035AD3" w:rsidRPr="00FF63D1" w:rsidRDefault="589B691B" w:rsidP="00035AD3">
      <w:pPr>
        <w:rPr>
          <w:rFonts w:eastAsia="Times New Roman" w:cs="Times New Roman"/>
          <w:noProof/>
        </w:rPr>
      </w:pPr>
      <w:r w:rsidRPr="00FF63D1">
        <w:rPr>
          <w:rFonts w:eastAsia="Times New Roman" w:cs="Times New Roman"/>
          <w:noProof/>
        </w:rPr>
        <w:t xml:space="preserve">CLAS1, limiting the label information to </w:t>
      </w:r>
      <w:r w:rsidR="1D442B2E" w:rsidRPr="00FF63D1">
        <w:rPr>
          <w:rFonts w:eastAsia="Times New Roman" w:cs="Times New Roman"/>
          <w:noProof/>
        </w:rPr>
        <w:t>stating a products’</w:t>
      </w:r>
      <w:r w:rsidRPr="00FF63D1">
        <w:rPr>
          <w:rFonts w:eastAsia="Times New Roman" w:cs="Times New Roman"/>
          <w:noProof/>
        </w:rPr>
        <w:t xml:space="preserve"> GHG-intensity without </w:t>
      </w:r>
      <w:r w:rsidR="72632E94" w:rsidRPr="00FF63D1">
        <w:rPr>
          <w:rFonts w:eastAsia="Times New Roman" w:cs="Times New Roman"/>
          <w:noProof/>
        </w:rPr>
        <w:t xml:space="preserve">further </w:t>
      </w:r>
      <w:r w:rsidRPr="00FF63D1">
        <w:rPr>
          <w:rFonts w:eastAsia="Times New Roman" w:cs="Times New Roman"/>
          <w:noProof/>
        </w:rPr>
        <w:t>classification, avoids the definition of thresholds within the legislation and marginally simplifies the certification process. However, compared to other options there may be additional administrative burden that is put on the potential users of the label, if these actors should interpret the level of GHG performance themselves based on the reported numbers. It is also not a solution to the main problem as it does not provide any threshold/definition of low-carbon steel failing to create a reliable label to stimulate its lead market. CLAS2.a and CLAS2.b avoids this latter impact, as the clear classification classes increases the usefulness for label users. CLAS2.b could allow to report next to the class, also additional information, notably the exact carbon intensity as well as the share of scrap input in the steel manufacturing process, adding an extra reporting element. Under CLAS3.a the most disaggregated classification system is proposed, also requiring the reporting of more detailed product data (such as quality), and the verification of these elements. The additional data need for CLAS 3.b is more limited.</w:t>
      </w:r>
    </w:p>
    <w:p w14:paraId="3FDEA984" w14:textId="77777777" w:rsidR="001544BA" w:rsidRPr="00FF63D1" w:rsidRDefault="001544BA" w:rsidP="00035AD3">
      <w:pPr>
        <w:rPr>
          <w:rFonts w:eastAsia="Times New Roman" w:cs="Times New Roman"/>
          <w:noProof/>
        </w:rPr>
      </w:pPr>
    </w:p>
    <w:p w14:paraId="58AB82BD" w14:textId="45DEDD88" w:rsidR="00A37896" w:rsidRPr="00AB1DF9" w:rsidRDefault="00265667" w:rsidP="00BB48E2">
      <w:pPr>
        <w:pStyle w:val="Heading3"/>
        <w:numPr>
          <w:ilvl w:val="0"/>
          <w:numId w:val="0"/>
        </w:numPr>
        <w:ind w:left="720"/>
      </w:pPr>
      <w:bookmarkStart w:id="1304" w:name="_Toc206091413"/>
      <w:r w:rsidRPr="00AB1DF9">
        <w:t>Ensuring data quality</w:t>
      </w:r>
      <w:bookmarkEnd w:id="1304"/>
    </w:p>
    <w:p w14:paraId="2B19BAC4" w14:textId="77777777" w:rsidR="00035AD3" w:rsidRPr="00FF63D1" w:rsidRDefault="00035AD3" w:rsidP="00035AD3">
      <w:pPr>
        <w:rPr>
          <w:noProof/>
        </w:rPr>
      </w:pPr>
    </w:p>
    <w:p w14:paraId="45C7EA66" w14:textId="5A020037" w:rsidR="00E5628E" w:rsidRPr="00FF63D1" w:rsidRDefault="589B691B" w:rsidP="00035AD3">
      <w:pPr>
        <w:rPr>
          <w:noProof/>
        </w:rPr>
      </w:pPr>
      <w:r w:rsidRPr="00FF63D1">
        <w:rPr>
          <w:noProof/>
        </w:rPr>
        <w:t>As DATA1 relies on self-declaration of the GHG-intensities by the steel manufacturers</w:t>
      </w:r>
      <w:r w:rsidR="00306830" w:rsidRPr="00FF63D1">
        <w:rPr>
          <w:noProof/>
        </w:rPr>
        <w:t xml:space="preserve"> without an independent verification</w:t>
      </w:r>
      <w:r w:rsidRPr="00FF63D1">
        <w:rPr>
          <w:noProof/>
        </w:rPr>
        <w:t xml:space="preserve">, the administrative burden is minimized compared to an option with more stringent verification and certification requirements as in DATA2. In this latter option, both setting up the verification rules and </w:t>
      </w:r>
      <w:r w:rsidR="0D7E491E" w:rsidRPr="00FF63D1">
        <w:rPr>
          <w:noProof/>
        </w:rPr>
        <w:t xml:space="preserve">nominating </w:t>
      </w:r>
      <w:r w:rsidRPr="00FF63D1">
        <w:rPr>
          <w:noProof/>
        </w:rPr>
        <w:t>the certification body</w:t>
      </w:r>
      <w:r w:rsidR="5792D199" w:rsidRPr="00FF63D1">
        <w:rPr>
          <w:noProof/>
        </w:rPr>
        <w:t>(</w:t>
      </w:r>
      <w:r w:rsidR="00F91DA9" w:rsidRPr="00FF63D1">
        <w:rPr>
          <w:noProof/>
        </w:rPr>
        <w:t>is</w:t>
      </w:r>
      <w:r w:rsidR="5792D199" w:rsidRPr="00FF63D1">
        <w:rPr>
          <w:noProof/>
        </w:rPr>
        <w:t>)</w:t>
      </w:r>
      <w:r w:rsidRPr="00FF63D1">
        <w:rPr>
          <w:noProof/>
        </w:rPr>
        <w:t>, as well as the implementation of the procedures, contribute to the administrative burden. However, relying on existing rules</w:t>
      </w:r>
      <w:r w:rsidR="109FCBC9" w:rsidRPr="00FF63D1">
        <w:rPr>
          <w:noProof/>
        </w:rPr>
        <w:t>,</w:t>
      </w:r>
      <w:r w:rsidRPr="00FF63D1">
        <w:rPr>
          <w:noProof/>
        </w:rPr>
        <w:t xml:space="preserve"> procedures,</w:t>
      </w:r>
      <w:r w:rsidR="3C39FC6A" w:rsidRPr="00FF63D1">
        <w:rPr>
          <w:noProof/>
        </w:rPr>
        <w:t xml:space="preserve"> verifiers and other parties</w:t>
      </w:r>
      <w:r w:rsidRPr="00FF63D1">
        <w:rPr>
          <w:noProof/>
        </w:rPr>
        <w:t xml:space="preserve"> e.g. from the EU ETS, can help to minimi</w:t>
      </w:r>
      <w:r w:rsidR="00B6209B">
        <w:rPr>
          <w:noProof/>
        </w:rPr>
        <w:t>s</w:t>
      </w:r>
      <w:r w:rsidRPr="00FF63D1">
        <w:rPr>
          <w:noProof/>
        </w:rPr>
        <w:t xml:space="preserve">e this burden. In DATA3, the most stringent verification measures are required to ensure data quality, particularly due to the lack of readily available data reported through the ETS. For extra-EU manufacturers, some necessary data for determining GHG intensities </w:t>
      </w:r>
      <w:r w:rsidR="00B61421" w:rsidRPr="00FF63D1">
        <w:rPr>
          <w:noProof/>
        </w:rPr>
        <w:t xml:space="preserve">will </w:t>
      </w:r>
      <w:r w:rsidRPr="00FF63D1">
        <w:rPr>
          <w:noProof/>
        </w:rPr>
        <w:t>be collected under CBAM, given its alignment with the ETS product benchmark methodology. However, data quality under this option may vary among applicants, necessitating a more comprehensive and rigorous verification and certification scheme, which would increase the administrative burden both for applicants, as well as for verifiers and regulators.</w:t>
      </w:r>
    </w:p>
    <w:p w14:paraId="54473162" w14:textId="77777777" w:rsidR="00035AD3" w:rsidRPr="00FF63D1" w:rsidRDefault="00035AD3" w:rsidP="00035AD3">
      <w:pPr>
        <w:rPr>
          <w:noProof/>
        </w:rPr>
      </w:pPr>
    </w:p>
    <w:p w14:paraId="207AE0C2" w14:textId="42659331" w:rsidR="00BE32B8" w:rsidRPr="00AB1DF9" w:rsidRDefault="00292CF9" w:rsidP="00D8707E">
      <w:pPr>
        <w:pStyle w:val="Heading2"/>
        <w:numPr>
          <w:ilvl w:val="0"/>
          <w:numId w:val="0"/>
        </w:numPr>
        <w:ind w:left="576" w:firstLine="417"/>
      </w:pPr>
      <w:bookmarkStart w:id="1305" w:name="_Toc206091414"/>
      <w:bookmarkStart w:id="1306" w:name="_Toc207192573"/>
      <w:bookmarkStart w:id="1307" w:name="_Toc212728880"/>
      <w:bookmarkStart w:id="1308" w:name="_Toc212729408"/>
      <w:bookmarkStart w:id="1309" w:name="_Toc215506352"/>
      <w:bookmarkStart w:id="1310" w:name="_Toc222490060"/>
      <w:r w:rsidRPr="00AB1DF9">
        <w:t>Coherence with other elements of the regulatory framework</w:t>
      </w:r>
      <w:bookmarkEnd w:id="1305"/>
      <w:bookmarkEnd w:id="1306"/>
      <w:bookmarkEnd w:id="1307"/>
      <w:bookmarkEnd w:id="1308"/>
      <w:bookmarkEnd w:id="1309"/>
      <w:bookmarkEnd w:id="1310"/>
    </w:p>
    <w:p w14:paraId="3AB80632" w14:textId="77777777" w:rsidR="00035AD3" w:rsidRPr="00FF63D1" w:rsidRDefault="00035AD3" w:rsidP="00035AD3">
      <w:pPr>
        <w:rPr>
          <w:rFonts w:eastAsia="Times New Roman" w:cs="Times New Roman"/>
          <w:noProof/>
          <w:szCs w:val="24"/>
        </w:rPr>
      </w:pPr>
    </w:p>
    <w:p w14:paraId="259EA89F" w14:textId="77777777" w:rsidR="00C46544" w:rsidRPr="00FF63D1" w:rsidRDefault="00BC2853" w:rsidP="00035AD3">
      <w:pPr>
        <w:rPr>
          <w:rFonts w:eastAsia="Times New Roman" w:cs="Times New Roman"/>
          <w:noProof/>
          <w:szCs w:val="24"/>
        </w:rPr>
      </w:pPr>
      <w:r w:rsidRPr="00FF63D1">
        <w:rPr>
          <w:rFonts w:eastAsia="Times New Roman" w:cs="Times New Roman"/>
          <w:noProof/>
          <w:szCs w:val="24"/>
        </w:rPr>
        <w:t xml:space="preserve">The </w:t>
      </w:r>
      <w:r w:rsidR="005923E5" w:rsidRPr="00FF63D1">
        <w:rPr>
          <w:rFonts w:eastAsia="Times New Roman" w:cs="Times New Roman"/>
          <w:noProof/>
          <w:szCs w:val="24"/>
        </w:rPr>
        <w:t xml:space="preserve">proposed label </w:t>
      </w:r>
      <w:r w:rsidR="00532C37" w:rsidRPr="00FF63D1">
        <w:rPr>
          <w:rFonts w:eastAsia="Times New Roman" w:cs="Times New Roman"/>
          <w:noProof/>
          <w:szCs w:val="24"/>
        </w:rPr>
        <w:t xml:space="preserve">has some clear linkages with </w:t>
      </w:r>
      <w:r w:rsidR="00DF2ACA" w:rsidRPr="00FF63D1">
        <w:rPr>
          <w:rFonts w:eastAsia="Times New Roman" w:cs="Times New Roman"/>
          <w:noProof/>
          <w:szCs w:val="24"/>
        </w:rPr>
        <w:t xml:space="preserve">both </w:t>
      </w:r>
      <w:r w:rsidR="00532C37" w:rsidRPr="00FF63D1">
        <w:rPr>
          <w:rFonts w:eastAsia="Times New Roman" w:cs="Times New Roman"/>
          <w:noProof/>
          <w:szCs w:val="24"/>
        </w:rPr>
        <w:t>existing</w:t>
      </w:r>
      <w:r w:rsidR="00DF2ACA" w:rsidRPr="00FF63D1">
        <w:rPr>
          <w:rFonts w:eastAsia="Times New Roman" w:cs="Times New Roman"/>
          <w:noProof/>
          <w:szCs w:val="24"/>
        </w:rPr>
        <w:t xml:space="preserve"> and future policy instrument</w:t>
      </w:r>
      <w:r w:rsidR="00D34216" w:rsidRPr="00FF63D1">
        <w:rPr>
          <w:rFonts w:eastAsia="Times New Roman" w:cs="Times New Roman"/>
          <w:noProof/>
          <w:szCs w:val="24"/>
        </w:rPr>
        <w:t>s</w:t>
      </w:r>
      <w:r w:rsidR="00181002" w:rsidRPr="00FF63D1">
        <w:rPr>
          <w:rFonts w:eastAsia="Times New Roman" w:cs="Times New Roman"/>
          <w:noProof/>
          <w:szCs w:val="24"/>
        </w:rPr>
        <w:t xml:space="preserve">, with </w:t>
      </w:r>
      <w:r w:rsidR="00F32DD1" w:rsidRPr="00FF63D1">
        <w:rPr>
          <w:rFonts w:eastAsia="Times New Roman" w:cs="Times New Roman"/>
          <w:noProof/>
          <w:szCs w:val="24"/>
        </w:rPr>
        <w:t>two</w:t>
      </w:r>
      <w:r w:rsidR="00181002" w:rsidRPr="00FF63D1">
        <w:rPr>
          <w:rFonts w:eastAsia="Times New Roman" w:cs="Times New Roman"/>
          <w:noProof/>
          <w:szCs w:val="24"/>
        </w:rPr>
        <w:t xml:space="preserve"> </w:t>
      </w:r>
      <w:r w:rsidR="004B5015" w:rsidRPr="00FF63D1">
        <w:rPr>
          <w:rFonts w:eastAsia="Times New Roman" w:cs="Times New Roman"/>
          <w:noProof/>
          <w:szCs w:val="24"/>
        </w:rPr>
        <w:t>focus areas</w:t>
      </w:r>
      <w:r w:rsidR="00D34216" w:rsidRPr="00FF63D1">
        <w:rPr>
          <w:rFonts w:eastAsia="Times New Roman" w:cs="Times New Roman"/>
          <w:noProof/>
          <w:szCs w:val="24"/>
        </w:rPr>
        <w:t xml:space="preserve">. </w:t>
      </w:r>
    </w:p>
    <w:p w14:paraId="68D015FF" w14:textId="77777777" w:rsidR="00035AD3" w:rsidRPr="00FF63D1" w:rsidRDefault="00035AD3" w:rsidP="00035AD3">
      <w:pPr>
        <w:rPr>
          <w:rFonts w:eastAsia="Times New Roman" w:cs="Times New Roman"/>
          <w:noProof/>
        </w:rPr>
      </w:pPr>
    </w:p>
    <w:p w14:paraId="2AC47AC4" w14:textId="77777777" w:rsidR="00035AD3" w:rsidRPr="00FF63D1" w:rsidRDefault="589B691B" w:rsidP="00035AD3">
      <w:pPr>
        <w:rPr>
          <w:rFonts w:eastAsia="Times New Roman" w:cs="Times New Roman"/>
          <w:noProof/>
        </w:rPr>
      </w:pPr>
      <w:r w:rsidRPr="00FF63D1">
        <w:rPr>
          <w:rFonts w:eastAsia="Times New Roman" w:cs="Times New Roman"/>
          <w:noProof/>
        </w:rPr>
        <w:t xml:space="preserve">The </w:t>
      </w:r>
      <w:r w:rsidRPr="00FF63D1">
        <w:rPr>
          <w:rFonts w:eastAsia="Times New Roman" w:cs="Times New Roman"/>
          <w:b/>
          <w:noProof/>
        </w:rPr>
        <w:t>EU ETS</w:t>
      </w:r>
      <w:r w:rsidRPr="00FF63D1">
        <w:rPr>
          <w:rFonts w:eastAsia="Times New Roman" w:cs="Times New Roman"/>
          <w:noProof/>
        </w:rPr>
        <w:t xml:space="preserve"> is the main climate policy instrument to reduce GHG emissions in energy intensive industries operating in Europe. By putting a price on GHG emissions, it incentivizes manufacturers covered by the system to invest in low-carbon technologies</w:t>
      </w:r>
      <w:r w:rsidR="286F41C4" w:rsidRPr="00FF63D1">
        <w:rPr>
          <w:rFonts w:eastAsia="Times New Roman" w:cs="Times New Roman"/>
          <w:noProof/>
        </w:rPr>
        <w:t xml:space="preserve"> and reduce emission in a cost efficiency way</w:t>
      </w:r>
      <w:r w:rsidRPr="00FF63D1">
        <w:rPr>
          <w:rFonts w:eastAsia="Times New Roman" w:cs="Times New Roman"/>
          <w:noProof/>
        </w:rPr>
        <w:t>, and it is therefore a supply side measure. At the same time, detailed and accurate monitoring, reporting and verification of GHG emissions is a cornerstone of the system. Installations report annually their GHG emissions at installation level. In addition, industrial installations applying for free allowances also report periodically on their production volumes and associated emissions, following the structure set out under the ETS Free allocation rules. The development of a label aims to boost the demand for low-carbon products, and as such it complements the focus on the supply-side from the EU ETS. At the same time, the label can make use of similar calculations done under the ETS Free Allocation Rules and under CBAM. Under both policy instruments, installation-wide emissions are attributed to specific products: while under the ETS rules these products refer to specific productions steps (‘product benchmarks’), under CBAM the GHG emissions are attributed to relevant end products, The label can build on these methodologies, ensuring a coherent approach.</w:t>
      </w:r>
    </w:p>
    <w:p w14:paraId="0AA41D0B" w14:textId="11E8CB1B" w:rsidR="007B30E6" w:rsidRPr="00FF63D1" w:rsidRDefault="589B691B" w:rsidP="00035AD3">
      <w:pPr>
        <w:rPr>
          <w:rFonts w:eastAsia="Times New Roman" w:cs="Times New Roman"/>
          <w:noProof/>
        </w:rPr>
      </w:pPr>
      <w:r w:rsidRPr="00FF63D1">
        <w:rPr>
          <w:rFonts w:eastAsia="Times New Roman" w:cs="Times New Roman"/>
          <w:noProof/>
        </w:rPr>
        <w:t xml:space="preserve"> </w:t>
      </w:r>
    </w:p>
    <w:p w14:paraId="289B2BBD" w14:textId="6213E47B" w:rsidR="009B495F" w:rsidRPr="00FF63D1" w:rsidRDefault="589B691B" w:rsidP="00035AD3">
      <w:pPr>
        <w:rPr>
          <w:rFonts w:eastAsia="Times New Roman" w:cs="Times New Roman"/>
          <w:noProof/>
        </w:rPr>
      </w:pPr>
      <w:r w:rsidRPr="00FF63D1">
        <w:rPr>
          <w:rFonts w:eastAsia="Times New Roman" w:cs="Times New Roman"/>
          <w:noProof/>
        </w:rPr>
        <w:t xml:space="preserve">Second, the determination of the GHG intensities for the proposed label can also be a building block itself for other </w:t>
      </w:r>
      <w:r w:rsidR="0DCB3821" w:rsidRPr="00FF63D1">
        <w:rPr>
          <w:rFonts w:eastAsia="Times New Roman" w:cs="Times New Roman"/>
          <w:noProof/>
        </w:rPr>
        <w:t>GHG emission reporting initiatives within</w:t>
      </w:r>
      <w:r w:rsidRPr="00FF63D1">
        <w:rPr>
          <w:rFonts w:eastAsia="Times New Roman" w:cs="Times New Roman"/>
          <w:noProof/>
        </w:rPr>
        <w:t xml:space="preserve"> the </w:t>
      </w:r>
      <w:r w:rsidR="0C8DAB09" w:rsidRPr="00FF63D1">
        <w:rPr>
          <w:rFonts w:eastAsia="Times New Roman" w:cs="Times New Roman"/>
          <w:noProof/>
        </w:rPr>
        <w:t>broader EU</w:t>
      </w:r>
      <w:r w:rsidRPr="00FF63D1">
        <w:rPr>
          <w:rFonts w:eastAsia="Times New Roman" w:cs="Times New Roman"/>
          <w:noProof/>
        </w:rPr>
        <w:t xml:space="preserve"> regulatory framework. In particular the </w:t>
      </w:r>
      <w:r w:rsidR="05A55B47" w:rsidRPr="00FF63D1">
        <w:rPr>
          <w:rFonts w:eastAsia="Times New Roman" w:cs="Times New Roman"/>
          <w:noProof/>
        </w:rPr>
        <w:t xml:space="preserve">option to </w:t>
      </w:r>
      <w:r w:rsidRPr="00FF63D1">
        <w:rPr>
          <w:rFonts w:eastAsia="Times New Roman" w:cs="Times New Roman"/>
          <w:noProof/>
        </w:rPr>
        <w:t xml:space="preserve">include product </w:t>
      </w:r>
      <w:r w:rsidR="31E93757" w:rsidRPr="00FF63D1">
        <w:rPr>
          <w:rFonts w:eastAsia="Times New Roman" w:cs="Times New Roman"/>
          <w:noProof/>
        </w:rPr>
        <w:t>life cycle</w:t>
      </w:r>
      <w:r w:rsidRPr="00FF63D1">
        <w:rPr>
          <w:rFonts w:eastAsia="Times New Roman" w:cs="Times New Roman"/>
          <w:noProof/>
        </w:rPr>
        <w:t xml:space="preserve"> GHG emissions as an information </w:t>
      </w:r>
      <w:r w:rsidR="42378F65" w:rsidRPr="00FF63D1">
        <w:rPr>
          <w:rFonts w:eastAsia="Times New Roman" w:cs="Times New Roman"/>
          <w:noProof/>
        </w:rPr>
        <w:t xml:space="preserve">or </w:t>
      </w:r>
      <w:r w:rsidR="00ED2588" w:rsidRPr="00FF63D1">
        <w:rPr>
          <w:rFonts w:eastAsia="Times New Roman" w:cs="Times New Roman"/>
          <w:noProof/>
        </w:rPr>
        <w:t>performance</w:t>
      </w:r>
      <w:r w:rsidR="42378F65" w:rsidRPr="00FF63D1">
        <w:rPr>
          <w:rFonts w:eastAsia="Times New Roman" w:cs="Times New Roman"/>
          <w:noProof/>
        </w:rPr>
        <w:t xml:space="preserve"> </w:t>
      </w:r>
      <w:r w:rsidRPr="00FF63D1">
        <w:rPr>
          <w:rFonts w:eastAsia="Times New Roman" w:cs="Times New Roman"/>
          <w:noProof/>
        </w:rPr>
        <w:t xml:space="preserve">requirement under </w:t>
      </w:r>
      <w:r w:rsidR="33236B42" w:rsidRPr="00FF63D1">
        <w:rPr>
          <w:rFonts w:eastAsia="Times New Roman" w:cs="Times New Roman"/>
          <w:noProof/>
        </w:rPr>
        <w:t xml:space="preserve">upcoming </w:t>
      </w:r>
      <w:r w:rsidRPr="00FF63D1">
        <w:rPr>
          <w:rFonts w:eastAsia="Times New Roman" w:cs="Times New Roman"/>
          <w:noProof/>
        </w:rPr>
        <w:t>ESPR</w:t>
      </w:r>
      <w:r w:rsidR="62FAB386" w:rsidRPr="00FF63D1">
        <w:rPr>
          <w:rFonts w:eastAsia="Times New Roman" w:cs="Times New Roman"/>
          <w:noProof/>
        </w:rPr>
        <w:t xml:space="preserve"> product delegated acts</w:t>
      </w:r>
      <w:r w:rsidRPr="00FF63D1">
        <w:rPr>
          <w:rFonts w:eastAsia="Times New Roman" w:cs="Times New Roman"/>
          <w:noProof/>
        </w:rPr>
        <w:t xml:space="preserve"> </w:t>
      </w:r>
      <w:r w:rsidR="62FAB386" w:rsidRPr="00FF63D1">
        <w:rPr>
          <w:rFonts w:eastAsia="Times New Roman" w:cs="Times New Roman"/>
          <w:noProof/>
        </w:rPr>
        <w:t>such as for steel or aluminium</w:t>
      </w:r>
      <w:r w:rsidRPr="00FF63D1">
        <w:rPr>
          <w:rFonts w:eastAsia="Times New Roman" w:cs="Times New Roman"/>
          <w:noProof/>
        </w:rPr>
        <w:t xml:space="preserve"> and the requirement to include climate data in future mandates under the CPR </w:t>
      </w:r>
      <w:r w:rsidR="2CE29440" w:rsidRPr="00FF63D1">
        <w:rPr>
          <w:rFonts w:eastAsia="Times New Roman" w:cs="Times New Roman"/>
          <w:noProof/>
        </w:rPr>
        <w:t>such as for cement</w:t>
      </w:r>
      <w:r w:rsidRPr="00FF63D1">
        <w:rPr>
          <w:rFonts w:eastAsia="Times New Roman" w:cs="Times New Roman"/>
          <w:noProof/>
        </w:rPr>
        <w:t xml:space="preserve"> can be an opportunity to exploiting synergies, allowing them to use the steel label as </w:t>
      </w:r>
      <w:r w:rsidR="5EB0E435" w:rsidRPr="00FF63D1">
        <w:rPr>
          <w:rFonts w:eastAsia="Times New Roman" w:cs="Times New Roman"/>
          <w:noProof/>
        </w:rPr>
        <w:t>modular</w:t>
      </w:r>
      <w:r w:rsidRPr="00FF63D1">
        <w:rPr>
          <w:rFonts w:eastAsia="Times New Roman" w:cs="Times New Roman"/>
          <w:noProof/>
        </w:rPr>
        <w:t xml:space="preserve"> data input </w:t>
      </w:r>
      <w:r w:rsidR="08B51773" w:rsidRPr="00FF63D1">
        <w:rPr>
          <w:rFonts w:eastAsia="Times New Roman" w:cs="Times New Roman"/>
          <w:noProof/>
          <w:szCs w:val="24"/>
        </w:rPr>
        <w:t xml:space="preserve">being as needed complemented by further LCA data. Thereby </w:t>
      </w:r>
      <w:r w:rsidRPr="00FF63D1">
        <w:rPr>
          <w:rFonts w:eastAsia="Times New Roman" w:cs="Times New Roman"/>
          <w:noProof/>
        </w:rPr>
        <w:t>ensuring consistency and harmonisation with other relevant EU policies.</w:t>
      </w:r>
    </w:p>
    <w:p w14:paraId="2D9133C9" w14:textId="77777777" w:rsidR="00797C77" w:rsidRPr="00FF63D1" w:rsidRDefault="00797C77" w:rsidP="00035AD3">
      <w:pPr>
        <w:rPr>
          <w:rFonts w:eastAsia="Times New Roman" w:cs="Times New Roman"/>
          <w:noProof/>
        </w:rPr>
      </w:pPr>
    </w:p>
    <w:p w14:paraId="7CC30677" w14:textId="77777777" w:rsidR="00D04856" w:rsidRPr="00FF63D1" w:rsidRDefault="00D04856" w:rsidP="00311DB3">
      <w:pPr>
        <w:pStyle w:val="Heading3"/>
        <w:numPr>
          <w:ilvl w:val="0"/>
          <w:numId w:val="0"/>
        </w:numPr>
        <w:spacing w:before="0" w:after="0"/>
        <w:ind w:left="2160"/>
      </w:pPr>
      <w:bookmarkStart w:id="1311" w:name="_Toc206091415"/>
      <w:r w:rsidRPr="00FF63D1">
        <w:t>Determination GHG-intensity</w:t>
      </w:r>
      <w:bookmarkEnd w:id="1311"/>
      <w:r w:rsidRPr="00FF63D1">
        <w:t xml:space="preserve"> </w:t>
      </w:r>
    </w:p>
    <w:p w14:paraId="61E12854" w14:textId="77777777" w:rsidR="00035AD3" w:rsidRPr="00FF63D1" w:rsidRDefault="00035AD3" w:rsidP="00035AD3">
      <w:pPr>
        <w:rPr>
          <w:noProof/>
        </w:rPr>
      </w:pPr>
    </w:p>
    <w:p w14:paraId="2BCE007C" w14:textId="6BCEB165" w:rsidR="00D04856" w:rsidRPr="00FF63D1" w:rsidRDefault="7610940C" w:rsidP="00035AD3">
      <w:pPr>
        <w:rPr>
          <w:noProof/>
        </w:rPr>
      </w:pPr>
      <w:r w:rsidRPr="00FF63D1">
        <w:rPr>
          <w:noProof/>
        </w:rPr>
        <w:t xml:space="preserve">In CALC1, as also discussed under </w:t>
      </w:r>
      <w:r w:rsidR="589B691B" w:rsidRPr="00FF63D1">
        <w:rPr>
          <w:noProof/>
        </w:rPr>
        <w:fldChar w:fldCharType="begin"/>
      </w:r>
      <w:r w:rsidR="589B691B" w:rsidRPr="00FF63D1">
        <w:rPr>
          <w:noProof/>
        </w:rPr>
        <w:instrText xml:space="preserve"> REF _Ref198652553 \r </w:instrText>
      </w:r>
      <w:r w:rsidR="00035AD3" w:rsidRPr="00FF63D1">
        <w:rPr>
          <w:noProof/>
        </w:rPr>
        <w:instrText xml:space="preserve"> \* MERGEFORMAT </w:instrText>
      </w:r>
      <w:r w:rsidR="589B691B" w:rsidRPr="00FF63D1">
        <w:rPr>
          <w:noProof/>
        </w:rPr>
        <w:fldChar w:fldCharType="separate"/>
      </w:r>
      <w:r w:rsidR="00E16D65">
        <w:rPr>
          <w:noProof/>
        </w:rPr>
        <w:t>0</w:t>
      </w:r>
      <w:r w:rsidR="589B691B" w:rsidRPr="00FF63D1">
        <w:rPr>
          <w:noProof/>
        </w:rPr>
        <w:fldChar w:fldCharType="end"/>
      </w:r>
      <w:r w:rsidRPr="00FF63D1">
        <w:rPr>
          <w:noProof/>
        </w:rPr>
        <w:t xml:space="preserve">, the use of the ETS calculation rules and system boundaries of the Product Benchmarks developed under the Free Allocation Rules, ensures a high level of consistency of the proposed label with the ETS and CBAM methodology. While the label calculations would imply some extra steps compared to the reporting under the Free Allocation Rules, including a more regular reporting of the data, the basic methodology is very similar, including the use of average annual data. CALC2 is also broadly coherent with the ETS and CBAM methodology, but by adding additional covered processes it adds some complexity. In addition, in particular the allowed flexibility </w:t>
      </w:r>
      <w:r w:rsidRPr="00FF63D1">
        <w:rPr>
          <w:rFonts w:eastAsia="Times New Roman" w:cs="Times New Roman"/>
          <w:noProof/>
        </w:rPr>
        <w:t>to have a more segmented baseline period for the determination of the GHG-intensity deviates from the approach under the ETS. The use of the LCA calculation methodology proposed under CALC3 is not consistent with the current approach under ETS and CBAM but can build on it</w:t>
      </w:r>
      <w:r w:rsidR="7C44CCDA" w:rsidRPr="00FF63D1">
        <w:rPr>
          <w:rFonts w:eastAsia="Times New Roman" w:cs="Times New Roman"/>
          <w:noProof/>
        </w:rPr>
        <w:t>,</w:t>
      </w:r>
      <w:r w:rsidR="7C44CCDA">
        <w:rPr>
          <w:rFonts w:eastAsia="Times New Roman" w:cs="Times New Roman"/>
          <w:noProof/>
        </w:rPr>
        <w:t xml:space="preserve"> as showed </w:t>
      </w:r>
      <w:r w:rsidR="00E2646F">
        <w:rPr>
          <w:rFonts w:eastAsia="Times New Roman" w:cs="Times New Roman"/>
          <w:noProof/>
        </w:rPr>
        <w:t>by</w:t>
      </w:r>
      <w:r w:rsidR="7C44CCDA">
        <w:rPr>
          <w:rFonts w:eastAsia="Times New Roman" w:cs="Times New Roman"/>
          <w:noProof/>
        </w:rPr>
        <w:t xml:space="preserve"> the </w:t>
      </w:r>
      <w:r w:rsidR="00D31826">
        <w:rPr>
          <w:rFonts w:eastAsia="Times New Roman" w:cs="Times New Roman"/>
          <w:noProof/>
        </w:rPr>
        <w:t>currently ongoing work in</w:t>
      </w:r>
      <w:r w:rsidR="7C44CCDA">
        <w:rPr>
          <w:rFonts w:eastAsia="Times New Roman" w:cs="Times New Roman"/>
          <w:noProof/>
        </w:rPr>
        <w:t xml:space="preserve"> the ESPR context</w:t>
      </w:r>
      <w:r w:rsidR="00E2646F">
        <w:rPr>
          <w:rFonts w:eastAsia="Times New Roman" w:cs="Times New Roman"/>
          <w:noProof/>
        </w:rPr>
        <w:t xml:space="preserve">. </w:t>
      </w:r>
      <w:r w:rsidRPr="00FF63D1">
        <w:rPr>
          <w:rFonts w:eastAsia="Times New Roman" w:cs="Times New Roman"/>
          <w:noProof/>
        </w:rPr>
        <w:t xml:space="preserve">In CALC 3 notably, the delineation of the scope would be of importance to ensure comparability of GHG intensity across different production routes. As for the role of the low-carbon product label as a building block of other parts of the regulatory framework, options covering a larger part of the total LCA GHG emissions (such as CALC2 and CALC3) have a large potential to be consistent with regulatory initiatives focusing on total LCA </w:t>
      </w:r>
      <w:r w:rsidR="636C402C" w:rsidRPr="00FF63D1">
        <w:rPr>
          <w:rFonts w:eastAsia="Times New Roman" w:cs="Times New Roman"/>
          <w:noProof/>
        </w:rPr>
        <w:t xml:space="preserve">GHG </w:t>
      </w:r>
      <w:r w:rsidRPr="00FF63D1">
        <w:rPr>
          <w:rFonts w:eastAsia="Times New Roman" w:cs="Times New Roman"/>
          <w:noProof/>
        </w:rPr>
        <w:t xml:space="preserve">emissions. </w:t>
      </w:r>
    </w:p>
    <w:p w14:paraId="27A73CF4" w14:textId="77777777" w:rsidR="00035AD3" w:rsidRPr="00FF63D1" w:rsidRDefault="00035AD3" w:rsidP="00035AD3">
      <w:pPr>
        <w:rPr>
          <w:noProof/>
        </w:rPr>
      </w:pPr>
    </w:p>
    <w:p w14:paraId="1CC0F632" w14:textId="3C0F2367" w:rsidR="00D04856" w:rsidRPr="00FF63D1" w:rsidRDefault="00D04856" w:rsidP="00311DB3">
      <w:pPr>
        <w:pStyle w:val="Heading3"/>
        <w:numPr>
          <w:ilvl w:val="0"/>
          <w:numId w:val="0"/>
        </w:numPr>
        <w:spacing w:before="0" w:after="0"/>
        <w:ind w:left="2160"/>
      </w:pPr>
      <w:bookmarkStart w:id="1312" w:name="_Toc206091416"/>
      <w:r w:rsidRPr="00FF63D1">
        <w:t>Classification</w:t>
      </w:r>
      <w:bookmarkEnd w:id="1312"/>
    </w:p>
    <w:p w14:paraId="0A93CBFB" w14:textId="77777777" w:rsidR="00035AD3" w:rsidRPr="00FF63D1" w:rsidRDefault="00035AD3" w:rsidP="00035AD3">
      <w:pPr>
        <w:rPr>
          <w:noProof/>
        </w:rPr>
      </w:pPr>
    </w:p>
    <w:p w14:paraId="7A5EAE7D" w14:textId="2575FC76" w:rsidR="00D16258" w:rsidRPr="00FF63D1" w:rsidRDefault="589B691B" w:rsidP="00035AD3">
      <w:pPr>
        <w:rPr>
          <w:noProof/>
        </w:rPr>
      </w:pPr>
      <w:r w:rsidRPr="00FF63D1">
        <w:rPr>
          <w:noProof/>
        </w:rPr>
        <w:t xml:space="preserve">Regarding classification, the coherence with the regulatory framework is mainly referring to its potential role as a building block for other parts of the regulatory framework. If no classification system would be linked to the label, as foreseen under CLAS1, other policy instruments need to develop their own classifications, potentially diverging among different instruments. The establishment of classifications as under CLAS2 and CLAS3 increase the usefulness of the label with other policy instruments, for instance as a criterion in public tendering, increasing its value and potential coherence with the regulatory framework as a whole. </w:t>
      </w:r>
    </w:p>
    <w:p w14:paraId="537040FD" w14:textId="77777777" w:rsidR="00035AD3" w:rsidRPr="00FF63D1" w:rsidRDefault="00035AD3" w:rsidP="00035AD3">
      <w:pPr>
        <w:rPr>
          <w:noProof/>
        </w:rPr>
      </w:pPr>
    </w:p>
    <w:p w14:paraId="498023BA" w14:textId="1A58437A" w:rsidR="00D04856" w:rsidRPr="00FF63D1" w:rsidRDefault="00265667" w:rsidP="00311DB3">
      <w:pPr>
        <w:pStyle w:val="Heading3"/>
        <w:numPr>
          <w:ilvl w:val="0"/>
          <w:numId w:val="0"/>
        </w:numPr>
        <w:spacing w:before="0" w:after="0"/>
        <w:ind w:left="2160"/>
      </w:pPr>
      <w:bookmarkStart w:id="1313" w:name="_Toc206091417"/>
      <w:r w:rsidRPr="00FF63D1">
        <w:t>Ensuring data quality</w:t>
      </w:r>
      <w:bookmarkEnd w:id="1313"/>
    </w:p>
    <w:p w14:paraId="16401518" w14:textId="77777777" w:rsidR="00035AD3" w:rsidRPr="00FF63D1" w:rsidRDefault="00035AD3" w:rsidP="00035AD3">
      <w:pPr>
        <w:rPr>
          <w:noProof/>
        </w:rPr>
      </w:pPr>
    </w:p>
    <w:p w14:paraId="3AEAE15D" w14:textId="1633673C" w:rsidR="002F5741" w:rsidRPr="00FF63D1" w:rsidRDefault="589B691B" w:rsidP="00035AD3">
      <w:pPr>
        <w:rPr>
          <w:noProof/>
        </w:rPr>
      </w:pPr>
      <w:r w:rsidRPr="00FF63D1">
        <w:rPr>
          <w:noProof/>
        </w:rPr>
        <w:t>By restricting the eligibility to EU manufactur</w:t>
      </w:r>
      <w:r w:rsidR="00612C39" w:rsidRPr="00FF63D1">
        <w:rPr>
          <w:noProof/>
        </w:rPr>
        <w:t>ed products</w:t>
      </w:r>
      <w:r w:rsidRPr="00FF63D1">
        <w:rPr>
          <w:noProof/>
        </w:rPr>
        <w:t xml:space="preserve">, </w:t>
      </w:r>
      <w:r w:rsidR="008010DC" w:rsidRPr="00FF63D1">
        <w:rPr>
          <w:noProof/>
        </w:rPr>
        <w:t xml:space="preserve">that </w:t>
      </w:r>
      <w:r w:rsidRPr="00FF63D1">
        <w:rPr>
          <w:noProof/>
        </w:rPr>
        <w:t xml:space="preserve">can be expected to report most of the relevant data within the EU ETS framework, DATA1 ensures a high level of compatibility with the ETS. This also opens the possibility for further alignment, e.g. by some targeted modifications to the Free Allocation Rules under the ETS that improve the </w:t>
      </w:r>
      <w:r w:rsidR="21351B31" w:rsidRPr="00FF63D1">
        <w:rPr>
          <w:noProof/>
        </w:rPr>
        <w:t>reporting</w:t>
      </w:r>
      <w:r w:rsidRPr="00FF63D1">
        <w:rPr>
          <w:noProof/>
        </w:rPr>
        <w:t xml:space="preserve"> frequency and data quality for the resulting GHG-</w:t>
      </w:r>
      <w:r w:rsidR="00AE4086" w:rsidRPr="00FF63D1">
        <w:rPr>
          <w:noProof/>
        </w:rPr>
        <w:t>intensities, which</w:t>
      </w:r>
      <w:r w:rsidRPr="00FF63D1">
        <w:rPr>
          <w:noProof/>
        </w:rPr>
        <w:t xml:space="preserve"> presently is required to be at least every 5 years. However, the limited verification and certification on the self-declared GHG-intensities might limit the usefulness of this option for other policy instruments, as e.g. for linking to tax or subsidy schemes a high degree of certainty on the exact GHG-intensities is needed and risks on fraud increase. DATA2 addresses this latter element, by requiring more stringent verification and certification procedures. However, as with DATA1 the restricted EU-production coverage may limit the relevance of the label for applications such a linking with the upcoming ESPR </w:t>
      </w:r>
      <w:r w:rsidR="2A09D99D" w:rsidRPr="00FF63D1">
        <w:rPr>
          <w:noProof/>
        </w:rPr>
        <w:t>requirements (applying to all products placed on the market)</w:t>
      </w:r>
      <w:r w:rsidRPr="00FF63D1">
        <w:rPr>
          <w:noProof/>
        </w:rPr>
        <w:t xml:space="preserve"> or with public procurement criteria. As for DATA3, a direct link with the ETS is not possible, as the extra-EU producers are not covered by the system. This might however partly be addressed through CBAM. At the same time, by extending the scope, DATA3 potentially increases the usefulness of the low-carbon product label and allows for aligning it with other policy instruments and internationally developed standards.</w:t>
      </w:r>
    </w:p>
    <w:p w14:paraId="7BC10512" w14:textId="77777777" w:rsidR="00311DB3" w:rsidRPr="00FF63D1" w:rsidRDefault="00311DB3" w:rsidP="00035AD3">
      <w:pPr>
        <w:rPr>
          <w:noProof/>
        </w:rPr>
      </w:pPr>
    </w:p>
    <w:p w14:paraId="73EF18DB" w14:textId="0FC2095A" w:rsidR="001E0822" w:rsidRPr="00AB1DF9" w:rsidRDefault="001E0822" w:rsidP="00D8707E">
      <w:pPr>
        <w:pStyle w:val="Heading2"/>
        <w:numPr>
          <w:ilvl w:val="0"/>
          <w:numId w:val="6"/>
        </w:numPr>
        <w:tabs>
          <w:tab w:val="clear" w:pos="720"/>
        </w:tabs>
        <w:spacing w:before="0" w:after="0"/>
        <w:ind w:left="284" w:hanging="284"/>
        <w:rPr>
          <w:smallCaps/>
        </w:rPr>
      </w:pPr>
      <w:bookmarkStart w:id="1314" w:name="_Toc60754576"/>
      <w:bookmarkStart w:id="1315" w:name="_Toc60759375"/>
      <w:bookmarkStart w:id="1316" w:name="_Toc60759698"/>
      <w:bookmarkStart w:id="1317" w:name="_Toc60768090"/>
      <w:bookmarkStart w:id="1318" w:name="_Toc60914446"/>
      <w:bookmarkStart w:id="1319" w:name="_Toc60931717"/>
      <w:bookmarkStart w:id="1320" w:name="_Toc60937684"/>
      <w:bookmarkStart w:id="1321" w:name="_Toc60938075"/>
      <w:bookmarkStart w:id="1322" w:name="_Toc61020637"/>
      <w:bookmarkStart w:id="1323" w:name="_Toc61287375"/>
      <w:bookmarkStart w:id="1324" w:name="_Toc61288209"/>
      <w:bookmarkStart w:id="1325" w:name="_Toc61288453"/>
      <w:bookmarkStart w:id="1326" w:name="_Toc61731352"/>
      <w:bookmarkStart w:id="1327" w:name="_Toc61906252"/>
      <w:bookmarkStart w:id="1328" w:name="_Toc61906816"/>
      <w:bookmarkStart w:id="1329" w:name="_Toc62055401"/>
      <w:bookmarkStart w:id="1330" w:name="_Toc62056312"/>
      <w:bookmarkStart w:id="1331" w:name="_Toc62056949"/>
      <w:bookmarkStart w:id="1332" w:name="_Toc62059036"/>
      <w:bookmarkStart w:id="1333" w:name="_Toc62060131"/>
      <w:bookmarkStart w:id="1334" w:name="_Toc62062694"/>
      <w:bookmarkStart w:id="1335" w:name="_Toc62062880"/>
      <w:bookmarkStart w:id="1336" w:name="_Toc62063141"/>
      <w:bookmarkStart w:id="1337" w:name="_Toc62063306"/>
      <w:bookmarkStart w:id="1338" w:name="_Toc62064583"/>
      <w:bookmarkStart w:id="1339" w:name="_Toc62065205"/>
      <w:bookmarkStart w:id="1340" w:name="_Toc62081026"/>
      <w:bookmarkStart w:id="1341" w:name="_Toc62083351"/>
      <w:bookmarkStart w:id="1342" w:name="_Toc62210686"/>
      <w:bookmarkStart w:id="1343" w:name="_Toc62212693"/>
      <w:bookmarkStart w:id="1344" w:name="_Toc62213455"/>
      <w:bookmarkStart w:id="1345" w:name="_Toc62220282"/>
      <w:bookmarkStart w:id="1346" w:name="_Toc62220745"/>
      <w:bookmarkStart w:id="1347" w:name="_Toc62228503"/>
      <w:bookmarkStart w:id="1348" w:name="_Toc62232379"/>
      <w:bookmarkStart w:id="1349" w:name="_Toc62233205"/>
      <w:bookmarkStart w:id="1350" w:name="_Toc62233810"/>
      <w:bookmarkStart w:id="1351" w:name="_Toc62234752"/>
      <w:bookmarkStart w:id="1352" w:name="_Toc62234876"/>
      <w:bookmarkStart w:id="1353" w:name="_Toc62239866"/>
      <w:bookmarkStart w:id="1354" w:name="_Toc62740458"/>
      <w:bookmarkStart w:id="1355" w:name="_Toc62752755"/>
      <w:bookmarkStart w:id="1356" w:name="_Toc62824321"/>
      <w:bookmarkStart w:id="1357" w:name="_Toc62829443"/>
      <w:bookmarkStart w:id="1358" w:name="_Toc62832027"/>
      <w:bookmarkStart w:id="1359" w:name="_Toc62832126"/>
      <w:bookmarkStart w:id="1360" w:name="_Toc62836068"/>
      <w:bookmarkStart w:id="1361" w:name="_Toc63066144"/>
      <w:bookmarkStart w:id="1362" w:name="_Toc63079219"/>
      <w:bookmarkStart w:id="1363" w:name="_Toc63082427"/>
      <w:bookmarkStart w:id="1364" w:name="_Toc63083763"/>
      <w:bookmarkStart w:id="1365" w:name="_Toc63095035"/>
      <w:bookmarkStart w:id="1366" w:name="_Toc63095491"/>
      <w:bookmarkStart w:id="1367" w:name="_Toc63096435"/>
      <w:bookmarkStart w:id="1368" w:name="_Toc63096827"/>
      <w:bookmarkStart w:id="1369" w:name="_Toc63097921"/>
      <w:bookmarkStart w:id="1370" w:name="_Toc63181130"/>
      <w:bookmarkStart w:id="1371" w:name="_Toc63181513"/>
      <w:bookmarkStart w:id="1372" w:name="_Toc63197705"/>
      <w:bookmarkStart w:id="1373" w:name="_Toc63335603"/>
      <w:bookmarkStart w:id="1374" w:name="_Toc63339294"/>
      <w:bookmarkStart w:id="1375" w:name="_Toc63344633"/>
      <w:bookmarkStart w:id="1376" w:name="_Toc63353516"/>
      <w:bookmarkStart w:id="1377" w:name="_Toc63355408"/>
      <w:bookmarkStart w:id="1378" w:name="_Toc63356081"/>
      <w:bookmarkStart w:id="1379" w:name="_Toc63374590"/>
      <w:bookmarkStart w:id="1380" w:name="_Toc63382169"/>
      <w:bookmarkStart w:id="1381" w:name="_Toc64303488"/>
      <w:bookmarkStart w:id="1382" w:name="_Toc64303878"/>
      <w:bookmarkStart w:id="1383" w:name="_Toc64308900"/>
      <w:bookmarkStart w:id="1384" w:name="_Toc64309184"/>
      <w:bookmarkStart w:id="1385" w:name="_Toc64317662"/>
      <w:bookmarkStart w:id="1386" w:name="_Toc64384280"/>
      <w:bookmarkStart w:id="1387" w:name="_Toc64392543"/>
      <w:bookmarkStart w:id="1388" w:name="_Toc64393842"/>
      <w:bookmarkStart w:id="1389" w:name="_Toc64394301"/>
      <w:bookmarkStart w:id="1390" w:name="_Toc64534586"/>
      <w:bookmarkStart w:id="1391" w:name="_Toc64534408"/>
      <w:bookmarkStart w:id="1392" w:name="_Toc64539161"/>
      <w:bookmarkStart w:id="1393" w:name="_Toc64540439"/>
      <w:bookmarkStart w:id="1394" w:name="_Toc64540791"/>
      <w:bookmarkStart w:id="1395" w:name="_Toc64544888"/>
      <w:bookmarkStart w:id="1396" w:name="_Toc64545164"/>
      <w:bookmarkStart w:id="1397" w:name="_Toc64545342"/>
      <w:bookmarkStart w:id="1398" w:name="_Toc64545528"/>
      <w:bookmarkStart w:id="1399" w:name="_Toc64547710"/>
      <w:bookmarkStart w:id="1400" w:name="_Toc64548606"/>
      <w:bookmarkStart w:id="1401" w:name="_Toc64548947"/>
      <w:bookmarkStart w:id="1402" w:name="_Toc64561212"/>
      <w:bookmarkStart w:id="1403" w:name="_Toc64561527"/>
      <w:bookmarkStart w:id="1404" w:name="_Toc64567907"/>
      <w:bookmarkStart w:id="1405" w:name="_Toc64567732"/>
      <w:bookmarkStart w:id="1406" w:name="_Toc64582465"/>
      <w:bookmarkStart w:id="1407" w:name="_Toc64582903"/>
      <w:bookmarkStart w:id="1408" w:name="_Toc64657003"/>
      <w:bookmarkStart w:id="1409" w:name="_Toc64659659"/>
      <w:bookmarkStart w:id="1410" w:name="_Toc65071056"/>
      <w:bookmarkStart w:id="1411" w:name="_Toc65078740"/>
      <w:bookmarkStart w:id="1412" w:name="_Toc65084020"/>
      <w:bookmarkStart w:id="1413" w:name="_Toc65085366"/>
      <w:bookmarkStart w:id="1414" w:name="_Toc65086735"/>
      <w:bookmarkStart w:id="1415" w:name="_Toc65087119"/>
      <w:bookmarkStart w:id="1416" w:name="_Toc65092671"/>
      <w:bookmarkStart w:id="1417" w:name="_Toc65096677"/>
      <w:bookmarkStart w:id="1418" w:name="_Toc65958309"/>
      <w:bookmarkStart w:id="1419" w:name="_Toc65968749"/>
      <w:bookmarkStart w:id="1420" w:name="_Toc66041620"/>
      <w:bookmarkStart w:id="1421" w:name="_Toc66054439"/>
      <w:bookmarkStart w:id="1422" w:name="_Toc66055951"/>
      <w:bookmarkStart w:id="1423" w:name="_Toc66087722"/>
      <w:bookmarkStart w:id="1424" w:name="_Toc66090708"/>
      <w:bookmarkStart w:id="1425" w:name="_Toc66093009"/>
      <w:bookmarkStart w:id="1426" w:name="_Toc66094649"/>
      <w:bookmarkStart w:id="1427" w:name="_Toc66097094"/>
      <w:bookmarkStart w:id="1428" w:name="_Toc66098946"/>
      <w:bookmarkStart w:id="1429" w:name="_Toc66109725"/>
      <w:bookmarkStart w:id="1430" w:name="_Toc66112706"/>
      <w:bookmarkStart w:id="1431" w:name="_Toc66125338"/>
      <w:bookmarkStart w:id="1432" w:name="_Toc66125663"/>
      <w:bookmarkStart w:id="1433" w:name="_Toc66226272"/>
      <w:bookmarkStart w:id="1434" w:name="_Toc66229604"/>
      <w:bookmarkStart w:id="1435" w:name="_Toc67043654"/>
      <w:bookmarkStart w:id="1436" w:name="_Toc71587742"/>
      <w:bookmarkStart w:id="1437" w:name="_Ref72327331"/>
      <w:bookmarkStart w:id="1438" w:name="_Toc73142543"/>
      <w:bookmarkStart w:id="1439" w:name="_Toc73298460"/>
      <w:bookmarkStart w:id="1440" w:name="_Toc73310610"/>
      <w:bookmarkStart w:id="1441" w:name="_Toc73313635"/>
      <w:bookmarkStart w:id="1442" w:name="_Toc75444189"/>
      <w:bookmarkStart w:id="1443" w:name="_Toc75465206"/>
      <w:bookmarkStart w:id="1444" w:name="_Toc75499683"/>
      <w:bookmarkStart w:id="1445" w:name="_Toc75962278"/>
      <w:bookmarkStart w:id="1446" w:name="_Toc206091418"/>
      <w:bookmarkStart w:id="1447" w:name="_Toc207192574"/>
      <w:bookmarkStart w:id="1448" w:name="_Toc212728881"/>
      <w:bookmarkStart w:id="1449" w:name="_Toc212729409"/>
      <w:bookmarkStart w:id="1450" w:name="_Toc215506353"/>
      <w:bookmarkStart w:id="1451" w:name="_Toc222490061"/>
      <w:r w:rsidRPr="00AB1DF9">
        <w:t>How do the options compare?</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14:paraId="0B3057EC" w14:textId="77777777" w:rsidR="00035AD3" w:rsidRPr="00FF63D1" w:rsidRDefault="00035AD3" w:rsidP="00035AD3">
      <w:pPr>
        <w:rPr>
          <w:rFonts w:eastAsia="Calibri" w:cs="Times New Roman"/>
          <w:noProof/>
        </w:rPr>
      </w:pPr>
    </w:p>
    <w:p w14:paraId="033D02E4" w14:textId="24FD03A8" w:rsidR="00035AD3" w:rsidRPr="00FF63D1" w:rsidRDefault="589B691B" w:rsidP="00035AD3">
      <w:pPr>
        <w:rPr>
          <w:rFonts w:eastAsia="Calibri" w:cs="Times New Roman"/>
          <w:noProof/>
        </w:rPr>
      </w:pPr>
      <w:r w:rsidRPr="00FF63D1">
        <w:rPr>
          <w:rFonts w:eastAsia="Calibri" w:cs="Times New Roman"/>
          <w:noProof/>
        </w:rPr>
        <w:t>Key differences between the individual options to design a low-carbon product label are summarised in the following tables The baseline option of having no EU</w:t>
      </w:r>
      <w:r w:rsidR="00F42FCE">
        <w:rPr>
          <w:rFonts w:eastAsia="Calibri" w:cs="Times New Roman"/>
          <w:noProof/>
        </w:rPr>
        <w:t xml:space="preserve"> </w:t>
      </w:r>
      <w:r w:rsidRPr="00FF63D1">
        <w:rPr>
          <w:rFonts w:eastAsia="Calibri" w:cs="Times New Roman"/>
          <w:noProof/>
        </w:rPr>
        <w:t>low</w:t>
      </w:r>
      <w:r w:rsidR="00F42FCE">
        <w:rPr>
          <w:rFonts w:eastAsia="Calibri" w:cs="Times New Roman"/>
          <w:noProof/>
        </w:rPr>
        <w:t>-</w:t>
      </w:r>
      <w:r w:rsidRPr="00FF63D1">
        <w:rPr>
          <w:rFonts w:eastAsia="Calibri" w:cs="Times New Roman"/>
          <w:noProof/>
        </w:rPr>
        <w:t>carbon product label sets the comparison reference for the different options.</w:t>
      </w:r>
    </w:p>
    <w:p w14:paraId="649077E0" w14:textId="1B73E343" w:rsidR="009B0B7F" w:rsidRDefault="009B0B7F" w:rsidP="009B0B7F">
      <w:pPr>
        <w:pStyle w:val="Caption"/>
        <w:keepNext/>
        <w:spacing w:before="240"/>
        <w:rPr>
          <w:noProof/>
        </w:rPr>
      </w:pPr>
      <w:r>
        <w:rPr>
          <w:noProof/>
        </w:rPr>
        <w:t xml:space="preserve">Table </w:t>
      </w:r>
      <w:r>
        <w:rPr>
          <w:noProof/>
        </w:rPr>
        <w:fldChar w:fldCharType="begin"/>
      </w:r>
      <w:r w:rsidRPr="00FF63D1">
        <w:rPr>
          <w:noProof/>
        </w:rPr>
        <w:instrText xml:space="preserve"> SEQ Table \* ARABIC </w:instrText>
      </w:r>
      <w:r>
        <w:rPr>
          <w:noProof/>
        </w:rPr>
        <w:fldChar w:fldCharType="end"/>
      </w:r>
      <w:r>
        <w:rPr>
          <w:noProof/>
        </w:rPr>
        <w:t>: Comparison of impacts for the GHG-intensity options</w:t>
      </w:r>
      <w:r w:rsidRPr="00FF63D1">
        <w:rPr>
          <w:noProof/>
        </w:rPr>
        <w:fldChar w:fldCharType="begin"/>
      </w:r>
      <w:r w:rsidRPr="00FF63D1">
        <w:rPr>
          <w:noProof/>
        </w:rPr>
        <w:instrText xml:space="preserve"> SEQ Table \* ARABIC </w:instrText>
      </w:r>
      <w:r w:rsidRPr="00FF63D1">
        <w:rPr>
          <w:noProof/>
        </w:rPr>
        <w:fldChar w:fldCharType="end"/>
      </w:r>
    </w:p>
    <w:tbl>
      <w:tblPr>
        <w:tblStyle w:val="TableGrid"/>
        <w:tblW w:w="5000" w:type="pct"/>
        <w:tblInd w:w="0" w:type="dxa"/>
        <w:tblLook w:val="04A0" w:firstRow="1" w:lastRow="0" w:firstColumn="1" w:lastColumn="0" w:noHBand="0" w:noVBand="1"/>
      </w:tblPr>
      <w:tblGrid>
        <w:gridCol w:w="1893"/>
        <w:gridCol w:w="2173"/>
        <w:gridCol w:w="2530"/>
        <w:gridCol w:w="2420"/>
      </w:tblGrid>
      <w:tr w:rsidR="00D7556F" w:rsidRPr="00FF63D1" w14:paraId="09BDB1EF" w14:textId="77777777" w:rsidTr="007E430F">
        <w:trPr>
          <w:trHeight w:val="300"/>
          <w:tblHeader/>
        </w:trPr>
        <w:tc>
          <w:tcPr>
            <w:tcW w:w="1050" w:type="pct"/>
            <w:tcBorders>
              <w:top w:val="single" w:sz="4" w:space="0" w:color="auto"/>
              <w:left w:val="single" w:sz="4" w:space="0" w:color="auto"/>
              <w:bottom w:val="single" w:sz="4" w:space="0" w:color="auto"/>
              <w:right w:val="single" w:sz="4" w:space="0" w:color="auto"/>
            </w:tcBorders>
          </w:tcPr>
          <w:p w14:paraId="038480E9" w14:textId="77777777" w:rsidR="00D7556F" w:rsidRPr="00D31826" w:rsidRDefault="00D7556F">
            <w:pPr>
              <w:pStyle w:val="Body"/>
              <w:rPr>
                <w:rStyle w:val="None"/>
                <w:b/>
                <w:noProof/>
                <w:sz w:val="20"/>
                <w:szCs w:val="20"/>
                <w:lang w:val="en-IE"/>
              </w:rPr>
            </w:pPr>
            <w:r w:rsidRPr="00D31826">
              <w:rPr>
                <w:rStyle w:val="None"/>
                <w:b/>
                <w:noProof/>
                <w:sz w:val="20"/>
                <w:szCs w:val="20"/>
                <w:lang w:val="en-IE"/>
              </w:rPr>
              <w:t>Key impacts</w:t>
            </w:r>
          </w:p>
        </w:tc>
        <w:tc>
          <w:tcPr>
            <w:tcW w:w="1205" w:type="pct"/>
            <w:tcBorders>
              <w:top w:val="single" w:sz="4" w:space="0" w:color="auto"/>
              <w:left w:val="single" w:sz="4" w:space="0" w:color="auto"/>
              <w:bottom w:val="single" w:sz="4" w:space="0" w:color="auto"/>
              <w:right w:val="single" w:sz="4" w:space="0" w:color="auto"/>
            </w:tcBorders>
          </w:tcPr>
          <w:p w14:paraId="0D5226E4" w14:textId="77777777" w:rsidR="00D7556F" w:rsidRPr="00D31826" w:rsidRDefault="00D7556F">
            <w:pPr>
              <w:pStyle w:val="Body"/>
              <w:rPr>
                <w:rStyle w:val="None"/>
                <w:b/>
                <w:noProof/>
                <w:sz w:val="20"/>
                <w:szCs w:val="20"/>
                <w:lang w:val="en-IE"/>
              </w:rPr>
            </w:pPr>
          </w:p>
        </w:tc>
        <w:tc>
          <w:tcPr>
            <w:tcW w:w="1403" w:type="pct"/>
            <w:tcBorders>
              <w:top w:val="single" w:sz="4" w:space="0" w:color="auto"/>
              <w:left w:val="single" w:sz="4" w:space="0" w:color="auto"/>
              <w:bottom w:val="single" w:sz="4" w:space="0" w:color="auto"/>
              <w:right w:val="single" w:sz="4" w:space="0" w:color="auto"/>
            </w:tcBorders>
          </w:tcPr>
          <w:p w14:paraId="23AAADCE" w14:textId="77777777" w:rsidR="00D7556F" w:rsidRPr="00D31826" w:rsidRDefault="00D7556F">
            <w:pPr>
              <w:pStyle w:val="Body"/>
              <w:rPr>
                <w:rStyle w:val="None"/>
                <w:b/>
                <w:noProof/>
                <w:sz w:val="20"/>
                <w:szCs w:val="20"/>
                <w:lang w:val="en-IE"/>
              </w:rPr>
            </w:pPr>
          </w:p>
        </w:tc>
        <w:tc>
          <w:tcPr>
            <w:tcW w:w="1342" w:type="pct"/>
            <w:tcBorders>
              <w:top w:val="single" w:sz="4" w:space="0" w:color="auto"/>
              <w:left w:val="single" w:sz="4" w:space="0" w:color="auto"/>
              <w:bottom w:val="single" w:sz="4" w:space="0" w:color="auto"/>
              <w:right w:val="single" w:sz="4" w:space="0" w:color="auto"/>
            </w:tcBorders>
            <w:vAlign w:val="bottom"/>
          </w:tcPr>
          <w:p w14:paraId="65DA7B6B" w14:textId="77777777" w:rsidR="00D7556F" w:rsidRPr="00D31826" w:rsidRDefault="00D7556F">
            <w:pPr>
              <w:pStyle w:val="Body"/>
              <w:rPr>
                <w:rStyle w:val="None"/>
                <w:b/>
                <w:noProof/>
                <w:sz w:val="20"/>
                <w:szCs w:val="20"/>
                <w:lang w:val="en-IE"/>
              </w:rPr>
            </w:pPr>
          </w:p>
        </w:tc>
      </w:tr>
      <w:tr w:rsidR="00D7556F" w:rsidRPr="00FF63D1" w14:paraId="745BA401" w14:textId="77777777" w:rsidTr="007E430F">
        <w:trPr>
          <w:trHeight w:val="586"/>
          <w:tblHeader/>
        </w:trPr>
        <w:tc>
          <w:tcPr>
            <w:tcW w:w="1050" w:type="pct"/>
            <w:tcBorders>
              <w:top w:val="single" w:sz="4" w:space="0" w:color="auto"/>
              <w:left w:val="single" w:sz="4" w:space="0" w:color="auto"/>
              <w:bottom w:val="single" w:sz="4" w:space="0" w:color="auto"/>
              <w:right w:val="single" w:sz="4" w:space="0" w:color="auto"/>
            </w:tcBorders>
          </w:tcPr>
          <w:p w14:paraId="4D5FCD2E" w14:textId="77777777" w:rsidR="00D7556F" w:rsidRPr="00D31826" w:rsidRDefault="00D7556F">
            <w:pPr>
              <w:pStyle w:val="Body"/>
              <w:ind w:left="171"/>
              <w:rPr>
                <w:b/>
                <w:noProof/>
                <w:sz w:val="20"/>
                <w:szCs w:val="20"/>
                <w:bdr w:val="none" w:sz="0" w:space="0" w:color="auto" w:frame="1"/>
                <w:lang w:val="en-IE"/>
              </w:rPr>
            </w:pPr>
            <w:r w:rsidRPr="00D31826">
              <w:rPr>
                <w:b/>
                <w:noProof/>
                <w:sz w:val="20"/>
                <w:szCs w:val="20"/>
                <w:bdr w:val="none" w:sz="0" w:space="0" w:color="auto" w:frame="1"/>
                <w:lang w:val="en-IE"/>
              </w:rPr>
              <w:t>Determination GHG-intensity</w:t>
            </w:r>
          </w:p>
        </w:tc>
        <w:tc>
          <w:tcPr>
            <w:tcW w:w="1205" w:type="pct"/>
            <w:tcBorders>
              <w:top w:val="single" w:sz="4" w:space="0" w:color="auto"/>
              <w:left w:val="single" w:sz="4" w:space="0" w:color="auto"/>
              <w:bottom w:val="single" w:sz="4" w:space="0" w:color="auto"/>
              <w:right w:val="single" w:sz="4" w:space="0" w:color="auto"/>
            </w:tcBorders>
            <w:vAlign w:val="center"/>
          </w:tcPr>
          <w:p w14:paraId="6F4F2FC1" w14:textId="77777777" w:rsidR="00D7556F" w:rsidRPr="00D31826" w:rsidRDefault="00D7556F">
            <w:pPr>
              <w:pStyle w:val="Body"/>
              <w:jc w:val="center"/>
              <w:rPr>
                <w:b/>
                <w:noProof/>
                <w:sz w:val="20"/>
                <w:szCs w:val="20"/>
                <w:bdr w:val="none" w:sz="0" w:space="0" w:color="auto" w:frame="1"/>
                <w:lang w:val="en-IE"/>
              </w:rPr>
            </w:pPr>
            <w:r w:rsidRPr="00D31826">
              <w:rPr>
                <w:b/>
                <w:noProof/>
                <w:sz w:val="20"/>
                <w:szCs w:val="20"/>
                <w:bdr w:val="none" w:sz="0" w:space="0" w:color="auto" w:frame="1"/>
                <w:lang w:val="en-IE"/>
              </w:rPr>
              <w:t>CALC1</w:t>
            </w:r>
          </w:p>
        </w:tc>
        <w:tc>
          <w:tcPr>
            <w:tcW w:w="1403" w:type="pct"/>
            <w:tcBorders>
              <w:top w:val="single" w:sz="4" w:space="0" w:color="auto"/>
              <w:left w:val="single" w:sz="4" w:space="0" w:color="auto"/>
              <w:bottom w:val="single" w:sz="4" w:space="0" w:color="auto"/>
              <w:right w:val="single" w:sz="4" w:space="0" w:color="auto"/>
            </w:tcBorders>
            <w:vAlign w:val="center"/>
          </w:tcPr>
          <w:p w14:paraId="4BE7FB58" w14:textId="77777777" w:rsidR="00D7556F" w:rsidRPr="00D31826" w:rsidRDefault="00D7556F">
            <w:pPr>
              <w:pStyle w:val="Body"/>
              <w:jc w:val="center"/>
              <w:rPr>
                <w:b/>
                <w:noProof/>
                <w:sz w:val="20"/>
                <w:szCs w:val="20"/>
                <w:bdr w:val="none" w:sz="0" w:space="0" w:color="auto" w:frame="1"/>
                <w:lang w:val="en-IE"/>
              </w:rPr>
            </w:pPr>
            <w:r w:rsidRPr="00D31826">
              <w:rPr>
                <w:b/>
                <w:noProof/>
                <w:sz w:val="20"/>
                <w:szCs w:val="20"/>
                <w:bdr w:val="none" w:sz="0" w:space="0" w:color="auto" w:frame="1"/>
                <w:lang w:val="en-IE"/>
              </w:rPr>
              <w:t>CALC2</w:t>
            </w:r>
          </w:p>
        </w:tc>
        <w:tc>
          <w:tcPr>
            <w:tcW w:w="1342" w:type="pct"/>
            <w:tcBorders>
              <w:top w:val="single" w:sz="4" w:space="0" w:color="auto"/>
              <w:left w:val="single" w:sz="4" w:space="0" w:color="auto"/>
              <w:bottom w:val="single" w:sz="4" w:space="0" w:color="auto"/>
              <w:right w:val="single" w:sz="4" w:space="0" w:color="auto"/>
            </w:tcBorders>
            <w:vAlign w:val="center"/>
          </w:tcPr>
          <w:p w14:paraId="1DA23F1B" w14:textId="77777777" w:rsidR="00D7556F" w:rsidRPr="00D31826" w:rsidRDefault="00D7556F">
            <w:pPr>
              <w:pStyle w:val="Body"/>
              <w:jc w:val="center"/>
              <w:rPr>
                <w:b/>
                <w:noProof/>
                <w:sz w:val="20"/>
                <w:szCs w:val="20"/>
                <w:bdr w:val="none" w:sz="0" w:space="0" w:color="auto" w:frame="1"/>
                <w:lang w:val="en-IE"/>
              </w:rPr>
            </w:pPr>
            <w:r w:rsidRPr="00D31826">
              <w:rPr>
                <w:b/>
                <w:noProof/>
                <w:sz w:val="20"/>
                <w:szCs w:val="20"/>
                <w:bdr w:val="none" w:sz="0" w:space="0" w:color="auto" w:frame="1"/>
                <w:lang w:val="en-IE"/>
              </w:rPr>
              <w:t>CALC3</w:t>
            </w:r>
          </w:p>
        </w:tc>
      </w:tr>
      <w:tr w:rsidR="00D7556F" w:rsidRPr="00FF63D1" w14:paraId="22CE14BF" w14:textId="77777777" w:rsidTr="009B0B7F">
        <w:trPr>
          <w:trHeight w:val="300"/>
        </w:trPr>
        <w:tc>
          <w:tcPr>
            <w:tcW w:w="1050" w:type="pct"/>
            <w:tcBorders>
              <w:top w:val="single" w:sz="4" w:space="0" w:color="auto"/>
              <w:left w:val="single" w:sz="4" w:space="0" w:color="auto"/>
              <w:bottom w:val="single" w:sz="4" w:space="0" w:color="auto"/>
              <w:right w:val="single" w:sz="4" w:space="0" w:color="auto"/>
            </w:tcBorders>
          </w:tcPr>
          <w:p w14:paraId="7AAFB937" w14:textId="77777777" w:rsidR="00D7556F" w:rsidRPr="00D31826" w:rsidRDefault="00D7556F" w:rsidP="589B691B">
            <w:pPr>
              <w:pStyle w:val="Body"/>
              <w:ind w:left="171"/>
              <w:rPr>
                <w:noProof/>
                <w:sz w:val="20"/>
                <w:szCs w:val="20"/>
                <w:bdr w:val="none" w:sz="0" w:space="0" w:color="auto" w:frame="1"/>
                <w:lang w:val="en-IE"/>
              </w:rPr>
            </w:pPr>
            <w:r w:rsidRPr="00D31826">
              <w:rPr>
                <w:noProof/>
                <w:sz w:val="20"/>
                <w:szCs w:val="20"/>
                <w:bdr w:val="none" w:sz="0" w:space="0" w:color="auto" w:frame="1"/>
                <w:lang w:val="en-IE"/>
              </w:rPr>
              <w:t>Environmental impact</w:t>
            </w:r>
          </w:p>
        </w:tc>
        <w:tc>
          <w:tcPr>
            <w:tcW w:w="1205" w:type="pct"/>
            <w:tcBorders>
              <w:top w:val="single" w:sz="4" w:space="0" w:color="auto"/>
              <w:left w:val="single" w:sz="4" w:space="0" w:color="auto"/>
              <w:bottom w:val="single" w:sz="4" w:space="0" w:color="auto"/>
              <w:right w:val="single" w:sz="4" w:space="0" w:color="auto"/>
            </w:tcBorders>
            <w:vAlign w:val="center"/>
          </w:tcPr>
          <w:p w14:paraId="426160C0" w14:textId="77777777"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p>
          <w:p w14:paraId="2CC983A3" w14:textId="77777777"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Limited GHG coverage, good comparability</w:t>
            </w:r>
          </w:p>
        </w:tc>
        <w:tc>
          <w:tcPr>
            <w:tcW w:w="1403" w:type="pct"/>
            <w:tcBorders>
              <w:top w:val="single" w:sz="4" w:space="0" w:color="auto"/>
              <w:left w:val="single" w:sz="4" w:space="0" w:color="auto"/>
              <w:bottom w:val="single" w:sz="4" w:space="0" w:color="auto"/>
              <w:right w:val="single" w:sz="4" w:space="0" w:color="auto"/>
            </w:tcBorders>
            <w:vAlign w:val="center"/>
          </w:tcPr>
          <w:p w14:paraId="49CBCE8B" w14:textId="77777777"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p>
          <w:p w14:paraId="2ABF8B88" w14:textId="4824916E"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 xml:space="preserve">Good GHG coverage, good </w:t>
            </w:r>
            <w:r w:rsidR="00127F86" w:rsidRPr="00D31826">
              <w:rPr>
                <w:noProof/>
                <w:sz w:val="20"/>
                <w:szCs w:val="20"/>
                <w:bdr w:val="none" w:sz="0" w:space="0" w:color="auto" w:frame="1"/>
                <w:lang w:val="en-IE"/>
              </w:rPr>
              <w:t>comparability</w:t>
            </w:r>
            <w:r w:rsidRPr="00D31826">
              <w:rPr>
                <w:noProof/>
                <w:sz w:val="20"/>
                <w:szCs w:val="20"/>
                <w:bdr w:val="none" w:sz="0" w:space="0" w:color="auto" w:frame="1"/>
                <w:lang w:val="en-IE"/>
              </w:rPr>
              <w:t xml:space="preserve"> </w:t>
            </w:r>
          </w:p>
        </w:tc>
        <w:tc>
          <w:tcPr>
            <w:tcW w:w="1342" w:type="pct"/>
            <w:tcBorders>
              <w:top w:val="single" w:sz="4" w:space="0" w:color="auto"/>
              <w:left w:val="single" w:sz="4" w:space="0" w:color="auto"/>
              <w:bottom w:val="single" w:sz="4" w:space="0" w:color="auto"/>
              <w:right w:val="single" w:sz="4" w:space="0" w:color="auto"/>
            </w:tcBorders>
            <w:vAlign w:val="center"/>
          </w:tcPr>
          <w:p w14:paraId="11589C80" w14:textId="375F5D70" w:rsidR="00D7556F" w:rsidRPr="00D31826" w:rsidRDefault="1122FA56"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r w:rsidR="75908704" w:rsidRPr="00D31826">
              <w:rPr>
                <w:noProof/>
                <w:sz w:val="20"/>
                <w:szCs w:val="20"/>
                <w:bdr w:val="none" w:sz="0" w:space="0" w:color="auto" w:frame="1"/>
                <w:lang w:val="en-IE"/>
              </w:rPr>
              <w:t>+</w:t>
            </w:r>
            <w:r w:rsidR="0013337F" w:rsidRPr="00D31826">
              <w:rPr>
                <w:noProof/>
                <w:sz w:val="20"/>
                <w:szCs w:val="20"/>
                <w:bdr w:val="none" w:sz="0" w:space="0" w:color="auto" w:frame="1"/>
                <w:lang w:val="en-IE"/>
              </w:rPr>
              <w:t>+</w:t>
            </w:r>
          </w:p>
          <w:p w14:paraId="0F78A7E7" w14:textId="6AA85E28" w:rsidR="00D7556F" w:rsidRPr="00D31826" w:rsidRDefault="1122FA56"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Full GHG coverage</w:t>
            </w:r>
          </w:p>
        </w:tc>
      </w:tr>
      <w:tr w:rsidR="00D7556F" w:rsidRPr="00FF63D1" w14:paraId="069E33FC" w14:textId="77777777" w:rsidTr="009B0B7F">
        <w:trPr>
          <w:trHeight w:val="300"/>
        </w:trPr>
        <w:tc>
          <w:tcPr>
            <w:tcW w:w="1050" w:type="pct"/>
            <w:tcBorders>
              <w:top w:val="single" w:sz="4" w:space="0" w:color="auto"/>
              <w:left w:val="single" w:sz="4" w:space="0" w:color="auto"/>
              <w:bottom w:val="single" w:sz="4" w:space="0" w:color="auto"/>
              <w:right w:val="single" w:sz="4" w:space="0" w:color="auto"/>
            </w:tcBorders>
          </w:tcPr>
          <w:p w14:paraId="56FEB655" w14:textId="77777777" w:rsidR="00D7556F" w:rsidRPr="00D31826" w:rsidRDefault="00D7556F" w:rsidP="589B691B">
            <w:pPr>
              <w:pStyle w:val="Body"/>
              <w:ind w:left="171"/>
              <w:rPr>
                <w:noProof/>
                <w:sz w:val="20"/>
                <w:szCs w:val="20"/>
                <w:bdr w:val="none" w:sz="0" w:space="0" w:color="auto" w:frame="1"/>
                <w:lang w:val="en-IE"/>
              </w:rPr>
            </w:pPr>
            <w:r w:rsidRPr="00D31826">
              <w:rPr>
                <w:noProof/>
                <w:sz w:val="20"/>
                <w:szCs w:val="20"/>
                <w:bdr w:val="none" w:sz="0" w:space="0" w:color="auto" w:frame="1"/>
                <w:lang w:val="en-IE"/>
              </w:rPr>
              <w:t>Administrative impact</w:t>
            </w:r>
          </w:p>
        </w:tc>
        <w:tc>
          <w:tcPr>
            <w:tcW w:w="1205" w:type="pct"/>
            <w:tcBorders>
              <w:top w:val="single" w:sz="4" w:space="0" w:color="auto"/>
              <w:left w:val="single" w:sz="4" w:space="0" w:color="auto"/>
              <w:bottom w:val="single" w:sz="4" w:space="0" w:color="auto"/>
              <w:right w:val="single" w:sz="4" w:space="0" w:color="auto"/>
            </w:tcBorders>
            <w:vAlign w:val="center"/>
          </w:tcPr>
          <w:p w14:paraId="04A5B7A5" w14:textId="77777777"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p>
          <w:p w14:paraId="6482E378" w14:textId="2908A47F" w:rsidR="00D7556F" w:rsidRPr="00D31826" w:rsidRDefault="00E26B0D"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Limited data gathering and verifications costs as based on</w:t>
            </w:r>
            <w:r w:rsidRPr="00D31826" w:rsidDel="00E26B0D">
              <w:rPr>
                <w:noProof/>
                <w:sz w:val="20"/>
                <w:szCs w:val="20"/>
                <w:bdr w:val="none" w:sz="0" w:space="0" w:color="auto" w:frame="1"/>
                <w:lang w:val="en-IE"/>
              </w:rPr>
              <w:t xml:space="preserve"> </w:t>
            </w:r>
            <w:r w:rsidR="00D7556F" w:rsidRPr="00D31826">
              <w:rPr>
                <w:noProof/>
                <w:sz w:val="20"/>
                <w:szCs w:val="20"/>
                <w:bdr w:val="none" w:sz="0" w:space="0" w:color="auto" w:frame="1"/>
                <w:lang w:val="en-IE"/>
              </w:rPr>
              <w:t>ETS reporting</w:t>
            </w:r>
          </w:p>
        </w:tc>
        <w:tc>
          <w:tcPr>
            <w:tcW w:w="1403" w:type="pct"/>
            <w:tcBorders>
              <w:top w:val="single" w:sz="4" w:space="0" w:color="auto"/>
              <w:left w:val="single" w:sz="4" w:space="0" w:color="auto"/>
              <w:bottom w:val="single" w:sz="4" w:space="0" w:color="auto"/>
              <w:right w:val="single" w:sz="4" w:space="0" w:color="auto"/>
            </w:tcBorders>
            <w:vAlign w:val="center"/>
          </w:tcPr>
          <w:p w14:paraId="0C5D6B15" w14:textId="77777777"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p>
          <w:p w14:paraId="76E1BB19" w14:textId="60D8BD8E" w:rsidR="00D7556F" w:rsidRPr="00D31826" w:rsidRDefault="00DB0668"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 xml:space="preserve">Based on ETS data/verification, but limited </w:t>
            </w:r>
            <w:r w:rsidR="00D7556F" w:rsidRPr="00D31826">
              <w:rPr>
                <w:noProof/>
                <w:sz w:val="20"/>
                <w:szCs w:val="20"/>
                <w:bdr w:val="none" w:sz="0" w:space="0" w:color="auto" w:frame="1"/>
                <w:lang w:val="en-IE"/>
              </w:rPr>
              <w:t>number of indirect emissions requires extra reporting</w:t>
            </w:r>
          </w:p>
        </w:tc>
        <w:tc>
          <w:tcPr>
            <w:tcW w:w="1342" w:type="pct"/>
            <w:tcBorders>
              <w:top w:val="single" w:sz="4" w:space="0" w:color="auto"/>
              <w:left w:val="single" w:sz="4" w:space="0" w:color="auto"/>
              <w:bottom w:val="single" w:sz="4" w:space="0" w:color="auto"/>
              <w:right w:val="single" w:sz="4" w:space="0" w:color="auto"/>
            </w:tcBorders>
            <w:vAlign w:val="center"/>
          </w:tcPr>
          <w:p w14:paraId="4CD3B04F" w14:textId="77777777"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p>
          <w:p w14:paraId="701F94D9" w14:textId="27A0D128" w:rsidR="00D7556F" w:rsidRPr="00D31826" w:rsidRDefault="0014002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Comprehensive and more</w:t>
            </w:r>
            <w:r w:rsidR="00D7556F" w:rsidRPr="00D31826">
              <w:rPr>
                <w:noProof/>
                <w:sz w:val="20"/>
                <w:szCs w:val="20"/>
                <w:bdr w:val="none" w:sz="0" w:space="0" w:color="auto" w:frame="1"/>
                <w:lang w:val="en-IE"/>
              </w:rPr>
              <w:t xml:space="preserve"> complex reporting</w:t>
            </w:r>
            <w:r w:rsidR="006444D6" w:rsidRPr="00D31826">
              <w:rPr>
                <w:noProof/>
                <w:sz w:val="20"/>
                <w:szCs w:val="20"/>
                <w:bdr w:val="none" w:sz="0" w:space="0" w:color="auto" w:frame="1"/>
                <w:lang w:val="en-IE"/>
              </w:rPr>
              <w:t xml:space="preserve"> leads to higher data gathering and verification costs</w:t>
            </w:r>
          </w:p>
        </w:tc>
      </w:tr>
      <w:tr w:rsidR="00D7556F" w:rsidRPr="00FF63D1" w14:paraId="7E29F7D9" w14:textId="77777777" w:rsidTr="009B0B7F">
        <w:trPr>
          <w:trHeight w:val="300"/>
        </w:trPr>
        <w:tc>
          <w:tcPr>
            <w:tcW w:w="1050" w:type="pct"/>
            <w:tcBorders>
              <w:top w:val="single" w:sz="4" w:space="0" w:color="auto"/>
              <w:left w:val="single" w:sz="4" w:space="0" w:color="auto"/>
              <w:bottom w:val="single" w:sz="4" w:space="0" w:color="auto"/>
              <w:right w:val="single" w:sz="4" w:space="0" w:color="auto"/>
            </w:tcBorders>
            <w:hideMark/>
          </w:tcPr>
          <w:p w14:paraId="7E3CF46E" w14:textId="77777777" w:rsidR="00D7556F" w:rsidRPr="00D31826" w:rsidRDefault="00D7556F" w:rsidP="589B691B">
            <w:pPr>
              <w:pStyle w:val="Body"/>
              <w:ind w:left="171"/>
              <w:rPr>
                <w:noProof/>
                <w:sz w:val="20"/>
                <w:szCs w:val="20"/>
                <w:bdr w:val="none" w:sz="0" w:space="0" w:color="auto" w:frame="1"/>
                <w:lang w:val="en-IE"/>
              </w:rPr>
            </w:pPr>
            <w:r w:rsidRPr="00D31826">
              <w:rPr>
                <w:noProof/>
                <w:sz w:val="20"/>
                <w:szCs w:val="20"/>
                <w:bdr w:val="none" w:sz="0" w:space="0" w:color="auto" w:frame="1"/>
                <w:lang w:val="en-IE"/>
              </w:rPr>
              <w:t>Coherence with other parts of the regulatory framework</w:t>
            </w:r>
          </w:p>
        </w:tc>
        <w:tc>
          <w:tcPr>
            <w:tcW w:w="1205" w:type="pct"/>
            <w:tcBorders>
              <w:top w:val="single" w:sz="4" w:space="0" w:color="auto"/>
              <w:left w:val="single" w:sz="4" w:space="0" w:color="auto"/>
              <w:bottom w:val="single" w:sz="4" w:space="0" w:color="auto"/>
              <w:right w:val="single" w:sz="4" w:space="0" w:color="auto"/>
            </w:tcBorders>
            <w:vAlign w:val="center"/>
            <w:hideMark/>
          </w:tcPr>
          <w:p w14:paraId="037A0E69" w14:textId="0B4EDDC8"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r w:rsidR="00127F86" w:rsidRPr="00D31826">
              <w:rPr>
                <w:noProof/>
                <w:sz w:val="20"/>
                <w:szCs w:val="20"/>
                <w:bdr w:val="none" w:sz="0" w:space="0" w:color="auto" w:frame="1"/>
                <w:lang w:val="en-IE"/>
              </w:rPr>
              <w:t>+</w:t>
            </w:r>
          </w:p>
          <w:p w14:paraId="7C877BBA" w14:textId="5B15947D"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Compatible with ETS</w:t>
            </w:r>
            <w:r w:rsidR="0014002F" w:rsidRPr="00D31826">
              <w:rPr>
                <w:noProof/>
                <w:sz w:val="20"/>
                <w:szCs w:val="20"/>
                <w:bdr w:val="none" w:sz="0" w:space="0" w:color="auto" w:frame="1"/>
                <w:lang w:val="en-IE"/>
              </w:rPr>
              <w:t xml:space="preserve"> and CBAM</w:t>
            </w:r>
            <w:r w:rsidRPr="00D31826">
              <w:rPr>
                <w:noProof/>
                <w:sz w:val="20"/>
                <w:szCs w:val="20"/>
                <w:bdr w:val="none" w:sz="0" w:space="0" w:color="auto" w:frame="1"/>
                <w:lang w:val="en-IE"/>
              </w:rPr>
              <w:t xml:space="preserve"> </w:t>
            </w:r>
          </w:p>
        </w:tc>
        <w:tc>
          <w:tcPr>
            <w:tcW w:w="1403" w:type="pct"/>
            <w:tcBorders>
              <w:top w:val="single" w:sz="4" w:space="0" w:color="auto"/>
              <w:left w:val="single" w:sz="4" w:space="0" w:color="auto"/>
              <w:bottom w:val="single" w:sz="4" w:space="0" w:color="auto"/>
              <w:right w:val="single" w:sz="4" w:space="0" w:color="auto"/>
            </w:tcBorders>
            <w:vAlign w:val="center"/>
            <w:hideMark/>
          </w:tcPr>
          <w:p w14:paraId="74A28780" w14:textId="77777777"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w:t>
            </w:r>
          </w:p>
          <w:p w14:paraId="1A35404C" w14:textId="70B42DF5" w:rsidR="00D7556F" w:rsidRPr="00D31826" w:rsidRDefault="00D7556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Largely compatible with ETS</w:t>
            </w:r>
            <w:r w:rsidR="00491EDC" w:rsidRPr="00D31826">
              <w:rPr>
                <w:noProof/>
                <w:sz w:val="20"/>
                <w:szCs w:val="20"/>
                <w:bdr w:val="none" w:sz="0" w:space="0" w:color="auto" w:frame="1"/>
                <w:lang w:val="en-IE"/>
              </w:rPr>
              <w:t xml:space="preserve"> and CBAM, </w:t>
            </w:r>
          </w:p>
        </w:tc>
        <w:tc>
          <w:tcPr>
            <w:tcW w:w="1342" w:type="pct"/>
            <w:tcBorders>
              <w:top w:val="single" w:sz="4" w:space="0" w:color="auto"/>
              <w:left w:val="single" w:sz="4" w:space="0" w:color="auto"/>
              <w:bottom w:val="single" w:sz="4" w:space="0" w:color="auto"/>
              <w:right w:val="single" w:sz="4" w:space="0" w:color="auto"/>
            </w:tcBorders>
            <w:vAlign w:val="center"/>
            <w:hideMark/>
          </w:tcPr>
          <w:p w14:paraId="49F44D50" w14:textId="4B540318" w:rsidR="00D7556F" w:rsidRPr="00D31826" w:rsidRDefault="7F49C7FE" w:rsidP="589B691B">
            <w:pPr>
              <w:pStyle w:val="Body"/>
              <w:jc w:val="center"/>
              <w:rPr>
                <w:noProof/>
                <w:sz w:val="20"/>
                <w:szCs w:val="20"/>
                <w:lang w:val="en-IE"/>
              </w:rPr>
            </w:pPr>
            <w:r w:rsidRPr="00D31826">
              <w:rPr>
                <w:noProof/>
                <w:sz w:val="20"/>
                <w:szCs w:val="20"/>
                <w:bdr w:val="none" w:sz="0" w:space="0" w:color="auto" w:frame="1"/>
                <w:lang w:val="en-IE"/>
              </w:rPr>
              <w:t>+</w:t>
            </w:r>
          </w:p>
          <w:p w14:paraId="2EBC0574" w14:textId="4B540318" w:rsidR="00D7556F" w:rsidRPr="00D31826" w:rsidRDefault="0014002F" w:rsidP="589B691B">
            <w:pPr>
              <w:pStyle w:val="Body"/>
              <w:jc w:val="center"/>
              <w:rPr>
                <w:noProof/>
                <w:sz w:val="20"/>
                <w:szCs w:val="20"/>
                <w:bdr w:val="none" w:sz="0" w:space="0" w:color="auto" w:frame="1"/>
                <w:lang w:val="en-IE"/>
              </w:rPr>
            </w:pPr>
            <w:r w:rsidRPr="00D31826">
              <w:rPr>
                <w:noProof/>
                <w:sz w:val="20"/>
                <w:szCs w:val="20"/>
                <w:bdr w:val="none" w:sz="0" w:space="0" w:color="auto" w:frame="1"/>
                <w:lang w:val="en-IE"/>
              </w:rPr>
              <w:t>Not linked to ETS/CBAM, alignment with other LCA based legislation</w:t>
            </w:r>
          </w:p>
        </w:tc>
      </w:tr>
    </w:tbl>
    <w:p w14:paraId="12C6985A" w14:textId="4E612CF5" w:rsidR="009B0B7F" w:rsidRDefault="009B0B7F" w:rsidP="009B0B7F">
      <w:pPr>
        <w:pStyle w:val="Caption"/>
        <w:keepNext/>
        <w:spacing w:before="240"/>
        <w:rPr>
          <w:noProof/>
        </w:rPr>
      </w:pPr>
      <w:r>
        <w:rPr>
          <w:noProof/>
        </w:rPr>
        <w:t xml:space="preserve">Table </w:t>
      </w:r>
      <w:r>
        <w:rPr>
          <w:noProof/>
        </w:rPr>
        <w:fldChar w:fldCharType="begin"/>
      </w:r>
      <w:r w:rsidRPr="00FF63D1">
        <w:rPr>
          <w:noProof/>
        </w:rPr>
        <w:instrText xml:space="preserve"> SEQ Table \* ARABIC </w:instrText>
      </w:r>
      <w:r>
        <w:rPr>
          <w:noProof/>
        </w:rPr>
        <w:fldChar w:fldCharType="end"/>
      </w:r>
      <w:r>
        <w:rPr>
          <w:noProof/>
        </w:rPr>
        <w:t xml:space="preserve">: Comparison of impacts for the classification options </w:t>
      </w:r>
      <w:r w:rsidRPr="00FF63D1">
        <w:rPr>
          <w:noProof/>
        </w:rPr>
        <w:fldChar w:fldCharType="begin"/>
      </w:r>
      <w:r w:rsidRPr="00FF63D1">
        <w:rPr>
          <w:noProof/>
        </w:rPr>
        <w:instrText xml:space="preserve"> SEQ Table \* ARABIC </w:instrText>
      </w:r>
      <w:r w:rsidRPr="00FF63D1">
        <w:rPr>
          <w:noProof/>
        </w:rPr>
        <w:fldChar w:fldCharType="end"/>
      </w:r>
    </w:p>
    <w:tbl>
      <w:tblPr>
        <w:tblStyle w:val="TableGrid"/>
        <w:tblW w:w="5000" w:type="pct"/>
        <w:tblInd w:w="0" w:type="dxa"/>
        <w:tblLayout w:type="fixed"/>
        <w:tblLook w:val="04A0" w:firstRow="1" w:lastRow="0" w:firstColumn="1" w:lastColumn="0" w:noHBand="0" w:noVBand="1"/>
      </w:tblPr>
      <w:tblGrid>
        <w:gridCol w:w="1757"/>
        <w:gridCol w:w="1553"/>
        <w:gridCol w:w="1515"/>
        <w:gridCol w:w="1677"/>
        <w:gridCol w:w="1558"/>
        <w:gridCol w:w="956"/>
      </w:tblGrid>
      <w:tr w:rsidR="0093112C" w:rsidRPr="00FF63D1" w14:paraId="1CE6A093" w14:textId="3B940ABD" w:rsidTr="007E430F">
        <w:trPr>
          <w:trHeight w:val="300"/>
          <w:tblHeader/>
        </w:trPr>
        <w:tc>
          <w:tcPr>
            <w:tcW w:w="974" w:type="pct"/>
            <w:tcBorders>
              <w:top w:val="single" w:sz="4" w:space="0" w:color="auto"/>
              <w:left w:val="single" w:sz="4" w:space="0" w:color="auto"/>
              <w:bottom w:val="single" w:sz="4" w:space="0" w:color="auto"/>
              <w:right w:val="single" w:sz="4" w:space="0" w:color="auto"/>
            </w:tcBorders>
          </w:tcPr>
          <w:p w14:paraId="0D2267C9" w14:textId="77777777" w:rsidR="0093112C" w:rsidRPr="00892F25" w:rsidRDefault="24B016F0">
            <w:pPr>
              <w:pStyle w:val="Body"/>
              <w:ind w:left="171"/>
              <w:rPr>
                <w:b/>
                <w:noProof/>
                <w:sz w:val="20"/>
                <w:szCs w:val="20"/>
                <w:bdr w:val="none" w:sz="0" w:space="0" w:color="auto" w:frame="1"/>
                <w:lang w:val="en-IE"/>
              </w:rPr>
            </w:pPr>
            <w:r w:rsidRPr="00892F25">
              <w:rPr>
                <w:b/>
                <w:noProof/>
                <w:sz w:val="20"/>
                <w:szCs w:val="20"/>
                <w:lang w:val="en-IE"/>
              </w:rPr>
              <w:t>Classification</w:t>
            </w:r>
          </w:p>
        </w:tc>
        <w:tc>
          <w:tcPr>
            <w:tcW w:w="861" w:type="pct"/>
            <w:tcBorders>
              <w:top w:val="single" w:sz="4" w:space="0" w:color="auto"/>
              <w:left w:val="single" w:sz="4" w:space="0" w:color="auto"/>
              <w:bottom w:val="single" w:sz="4" w:space="0" w:color="auto"/>
              <w:right w:val="single" w:sz="4" w:space="0" w:color="auto"/>
            </w:tcBorders>
            <w:vAlign w:val="center"/>
          </w:tcPr>
          <w:p w14:paraId="7BF43B52" w14:textId="77777777" w:rsidR="0093112C" w:rsidRPr="00892F25" w:rsidRDefault="0093112C">
            <w:pPr>
              <w:pStyle w:val="Body"/>
              <w:jc w:val="center"/>
              <w:rPr>
                <w:b/>
                <w:noProof/>
                <w:sz w:val="20"/>
                <w:szCs w:val="20"/>
                <w:bdr w:val="none" w:sz="0" w:space="0" w:color="auto" w:frame="1"/>
                <w:lang w:val="en-IE"/>
              </w:rPr>
            </w:pPr>
            <w:r w:rsidRPr="00892F25">
              <w:rPr>
                <w:b/>
                <w:noProof/>
                <w:sz w:val="20"/>
                <w:szCs w:val="20"/>
                <w:bdr w:val="none" w:sz="0" w:space="0" w:color="auto" w:frame="1"/>
                <w:lang w:val="en-IE"/>
              </w:rPr>
              <w:t>CLAS1</w:t>
            </w:r>
          </w:p>
        </w:tc>
        <w:tc>
          <w:tcPr>
            <w:tcW w:w="840" w:type="pct"/>
            <w:tcBorders>
              <w:top w:val="single" w:sz="4" w:space="0" w:color="auto"/>
              <w:left w:val="single" w:sz="4" w:space="0" w:color="auto"/>
              <w:bottom w:val="single" w:sz="4" w:space="0" w:color="auto"/>
              <w:right w:val="single" w:sz="4" w:space="0" w:color="auto"/>
            </w:tcBorders>
          </w:tcPr>
          <w:p w14:paraId="6394A68F" w14:textId="77777777" w:rsidR="0093112C" w:rsidRPr="00892F25" w:rsidRDefault="0093112C">
            <w:pPr>
              <w:pStyle w:val="Body"/>
              <w:jc w:val="center"/>
              <w:rPr>
                <w:b/>
                <w:noProof/>
                <w:sz w:val="20"/>
                <w:szCs w:val="20"/>
                <w:bdr w:val="none" w:sz="0" w:space="0" w:color="auto" w:frame="1"/>
                <w:lang w:val="en-IE"/>
              </w:rPr>
            </w:pPr>
            <w:r w:rsidRPr="00892F25">
              <w:rPr>
                <w:b/>
                <w:noProof/>
                <w:sz w:val="20"/>
                <w:szCs w:val="20"/>
                <w:bdr w:val="none" w:sz="0" w:space="0" w:color="auto" w:frame="1"/>
                <w:lang w:val="en-IE"/>
              </w:rPr>
              <w:t>CLAS2.a</w:t>
            </w:r>
          </w:p>
        </w:tc>
        <w:tc>
          <w:tcPr>
            <w:tcW w:w="930" w:type="pct"/>
            <w:tcBorders>
              <w:top w:val="single" w:sz="4" w:space="0" w:color="auto"/>
              <w:left w:val="single" w:sz="4" w:space="0" w:color="auto"/>
              <w:bottom w:val="single" w:sz="4" w:space="0" w:color="auto"/>
              <w:right w:val="single" w:sz="4" w:space="0" w:color="auto"/>
            </w:tcBorders>
          </w:tcPr>
          <w:p w14:paraId="58C699D5" w14:textId="77777777" w:rsidR="0093112C" w:rsidRPr="00892F25" w:rsidRDefault="0093112C">
            <w:pPr>
              <w:pStyle w:val="Body"/>
              <w:jc w:val="center"/>
              <w:rPr>
                <w:b/>
                <w:noProof/>
                <w:sz w:val="20"/>
                <w:szCs w:val="20"/>
                <w:bdr w:val="none" w:sz="0" w:space="0" w:color="auto" w:frame="1"/>
                <w:lang w:val="en-IE"/>
              </w:rPr>
            </w:pPr>
            <w:r w:rsidRPr="00892F25">
              <w:rPr>
                <w:b/>
                <w:noProof/>
                <w:sz w:val="20"/>
                <w:szCs w:val="20"/>
                <w:bdr w:val="none" w:sz="0" w:space="0" w:color="auto" w:frame="1"/>
                <w:lang w:val="en-IE"/>
              </w:rPr>
              <w:t>CLAS2.b</w:t>
            </w:r>
          </w:p>
        </w:tc>
        <w:tc>
          <w:tcPr>
            <w:tcW w:w="864" w:type="pct"/>
            <w:tcBorders>
              <w:top w:val="single" w:sz="4" w:space="0" w:color="auto"/>
              <w:left w:val="single" w:sz="4" w:space="0" w:color="auto"/>
              <w:bottom w:val="single" w:sz="4" w:space="0" w:color="auto"/>
              <w:right w:val="single" w:sz="4" w:space="0" w:color="auto"/>
            </w:tcBorders>
            <w:vAlign w:val="center"/>
          </w:tcPr>
          <w:p w14:paraId="56087112" w14:textId="40C865E7" w:rsidR="0093112C" w:rsidRPr="00892F25" w:rsidRDefault="24B016F0">
            <w:pPr>
              <w:pStyle w:val="Body"/>
              <w:jc w:val="center"/>
              <w:rPr>
                <w:b/>
                <w:noProof/>
                <w:sz w:val="20"/>
                <w:szCs w:val="20"/>
                <w:bdr w:val="none" w:sz="0" w:space="0" w:color="auto" w:frame="1"/>
                <w:lang w:val="en-IE"/>
              </w:rPr>
            </w:pPr>
            <w:r w:rsidRPr="00892F25">
              <w:rPr>
                <w:b/>
                <w:noProof/>
                <w:sz w:val="20"/>
                <w:szCs w:val="20"/>
                <w:bdr w:val="none" w:sz="0" w:space="0" w:color="auto" w:frame="1"/>
                <w:lang w:val="en-IE"/>
              </w:rPr>
              <w:t>CLAS3</w:t>
            </w:r>
            <w:r w:rsidRPr="00892F25">
              <w:rPr>
                <w:b/>
                <w:noProof/>
                <w:sz w:val="20"/>
                <w:szCs w:val="20"/>
                <w:lang w:val="en-IE"/>
              </w:rPr>
              <w:t>.a</w:t>
            </w:r>
          </w:p>
        </w:tc>
        <w:tc>
          <w:tcPr>
            <w:tcW w:w="530" w:type="pct"/>
            <w:tcBorders>
              <w:top w:val="single" w:sz="4" w:space="0" w:color="auto"/>
              <w:left w:val="single" w:sz="4" w:space="0" w:color="auto"/>
              <w:bottom w:val="single" w:sz="4" w:space="0" w:color="auto"/>
              <w:right w:val="single" w:sz="4" w:space="0" w:color="auto"/>
            </w:tcBorders>
          </w:tcPr>
          <w:p w14:paraId="396CC0DD" w14:textId="483070E4" w:rsidR="0093112C" w:rsidRPr="00892F25" w:rsidRDefault="0093112C">
            <w:pPr>
              <w:pStyle w:val="Body"/>
              <w:jc w:val="center"/>
              <w:rPr>
                <w:b/>
                <w:noProof/>
                <w:sz w:val="20"/>
                <w:szCs w:val="20"/>
                <w:bdr w:val="none" w:sz="0" w:space="0" w:color="auto" w:frame="1"/>
                <w:lang w:val="en-IE"/>
              </w:rPr>
            </w:pPr>
            <w:r w:rsidRPr="00892F25">
              <w:rPr>
                <w:b/>
                <w:noProof/>
                <w:sz w:val="20"/>
                <w:szCs w:val="20"/>
                <w:bdr w:val="none" w:sz="0" w:space="0" w:color="auto" w:frame="1"/>
                <w:lang w:val="en-IE"/>
              </w:rPr>
              <w:t>CLAS3.b</w:t>
            </w:r>
          </w:p>
        </w:tc>
      </w:tr>
      <w:tr w:rsidR="0093112C" w:rsidRPr="00FF63D1" w14:paraId="357D100B" w14:textId="1C2FADB6" w:rsidTr="009B0B7F">
        <w:trPr>
          <w:trHeight w:val="300"/>
        </w:trPr>
        <w:tc>
          <w:tcPr>
            <w:tcW w:w="974" w:type="pct"/>
            <w:tcBorders>
              <w:top w:val="single" w:sz="4" w:space="0" w:color="auto"/>
              <w:left w:val="single" w:sz="4" w:space="0" w:color="auto"/>
              <w:bottom w:val="single" w:sz="4" w:space="0" w:color="auto"/>
              <w:right w:val="single" w:sz="4" w:space="0" w:color="auto"/>
            </w:tcBorders>
          </w:tcPr>
          <w:p w14:paraId="56AAE37E" w14:textId="6265B8AC" w:rsidR="0093112C" w:rsidRPr="00892F25" w:rsidRDefault="0093112C">
            <w:pPr>
              <w:pStyle w:val="Body"/>
              <w:ind w:left="171"/>
              <w:rPr>
                <w:noProof/>
                <w:sz w:val="20"/>
                <w:szCs w:val="20"/>
                <w:bdr w:val="none" w:sz="0" w:space="0" w:color="auto" w:frame="1"/>
                <w:lang w:val="en-IE"/>
              </w:rPr>
            </w:pPr>
            <w:r w:rsidRPr="00892F25">
              <w:rPr>
                <w:noProof/>
                <w:sz w:val="20"/>
                <w:szCs w:val="20"/>
                <w:bdr w:val="none" w:sz="0" w:space="0" w:color="auto" w:frame="1"/>
                <w:lang w:val="en-IE"/>
              </w:rPr>
              <w:t>Environmental impact</w:t>
            </w:r>
          </w:p>
        </w:tc>
        <w:tc>
          <w:tcPr>
            <w:tcW w:w="861" w:type="pct"/>
            <w:tcBorders>
              <w:top w:val="single" w:sz="4" w:space="0" w:color="auto"/>
              <w:left w:val="single" w:sz="4" w:space="0" w:color="auto"/>
              <w:bottom w:val="single" w:sz="4" w:space="0" w:color="auto"/>
              <w:right w:val="single" w:sz="4" w:space="0" w:color="auto"/>
            </w:tcBorders>
            <w:vAlign w:val="center"/>
          </w:tcPr>
          <w:p w14:paraId="74E64C89" w14:textId="001AB51C"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421315F6"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Lack of classification limits the effectiveness of the label</w:t>
            </w:r>
          </w:p>
        </w:tc>
        <w:tc>
          <w:tcPr>
            <w:tcW w:w="840" w:type="pct"/>
            <w:tcBorders>
              <w:top w:val="single" w:sz="4" w:space="0" w:color="auto"/>
              <w:left w:val="single" w:sz="4" w:space="0" w:color="auto"/>
              <w:bottom w:val="single" w:sz="4" w:space="0" w:color="auto"/>
              <w:right w:val="single" w:sz="4" w:space="0" w:color="auto"/>
            </w:tcBorders>
          </w:tcPr>
          <w:p w14:paraId="713E514F"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7EC246D2"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Uniform classes might disadvantage primary producers and limit uptake</w:t>
            </w:r>
          </w:p>
        </w:tc>
        <w:tc>
          <w:tcPr>
            <w:tcW w:w="930" w:type="pct"/>
            <w:tcBorders>
              <w:top w:val="single" w:sz="4" w:space="0" w:color="auto"/>
              <w:left w:val="single" w:sz="4" w:space="0" w:color="auto"/>
              <w:bottom w:val="single" w:sz="4" w:space="0" w:color="auto"/>
              <w:right w:val="single" w:sz="4" w:space="0" w:color="auto"/>
            </w:tcBorders>
            <w:vAlign w:val="center"/>
          </w:tcPr>
          <w:p w14:paraId="7E23E1B1" w14:textId="32EB452B" w:rsidR="0093112C" w:rsidRPr="00892F25" w:rsidRDefault="0093112C">
            <w:pPr>
              <w:pStyle w:val="Body"/>
              <w:jc w:val="center"/>
              <w:rPr>
                <w:noProof/>
                <w:sz w:val="20"/>
                <w:szCs w:val="20"/>
                <w:lang w:val="en-IE"/>
              </w:rPr>
            </w:pPr>
            <w:r w:rsidRPr="00892F25">
              <w:rPr>
                <w:noProof/>
                <w:sz w:val="20"/>
                <w:szCs w:val="20"/>
                <w:bdr w:val="none" w:sz="0" w:space="0" w:color="auto" w:frame="1"/>
                <w:lang w:val="en-IE"/>
              </w:rPr>
              <w:t>++</w:t>
            </w:r>
          </w:p>
          <w:p w14:paraId="419649CC" w14:textId="03AD6323"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 xml:space="preserve">Sliding-scale compares across steel production methods, remaining technologically future-proof </w:t>
            </w:r>
          </w:p>
        </w:tc>
        <w:tc>
          <w:tcPr>
            <w:tcW w:w="864" w:type="pct"/>
            <w:tcBorders>
              <w:top w:val="single" w:sz="4" w:space="0" w:color="auto"/>
              <w:left w:val="single" w:sz="4" w:space="0" w:color="auto"/>
              <w:bottom w:val="single" w:sz="4" w:space="0" w:color="auto"/>
              <w:right w:val="single" w:sz="4" w:space="0" w:color="auto"/>
            </w:tcBorders>
            <w:vAlign w:val="center"/>
          </w:tcPr>
          <w:p w14:paraId="3D99F2BF"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560268D8" w14:textId="6F130FF0" w:rsidR="0093112C" w:rsidRPr="00892F25" w:rsidRDefault="0093112C">
            <w:pPr>
              <w:pStyle w:val="Body"/>
              <w:jc w:val="center"/>
              <w:rPr>
                <w:noProof/>
                <w:sz w:val="20"/>
                <w:szCs w:val="20"/>
                <w:lang w:val="en-IE"/>
              </w:rPr>
            </w:pPr>
            <w:r w:rsidRPr="00892F25">
              <w:rPr>
                <w:noProof/>
                <w:sz w:val="20"/>
                <w:szCs w:val="20"/>
                <w:bdr w:val="none" w:sz="0" w:space="0" w:color="auto" w:frame="1"/>
                <w:lang w:val="en-IE"/>
              </w:rPr>
              <w:t>Separate primary/secondary classification might limit future proofness</w:t>
            </w:r>
          </w:p>
        </w:tc>
        <w:tc>
          <w:tcPr>
            <w:tcW w:w="530" w:type="pct"/>
            <w:tcBorders>
              <w:top w:val="single" w:sz="4" w:space="0" w:color="auto"/>
              <w:left w:val="single" w:sz="4" w:space="0" w:color="auto"/>
              <w:bottom w:val="single" w:sz="4" w:space="0" w:color="auto"/>
              <w:right w:val="single" w:sz="4" w:space="0" w:color="auto"/>
            </w:tcBorders>
          </w:tcPr>
          <w:p w14:paraId="7183D941" w14:textId="5716091D" w:rsidR="0093112C" w:rsidRPr="00892F25" w:rsidRDefault="0093112C" w:rsidP="0093112C">
            <w:pPr>
              <w:pStyle w:val="Body"/>
              <w:jc w:val="center"/>
              <w:rPr>
                <w:noProof/>
                <w:sz w:val="20"/>
                <w:szCs w:val="20"/>
                <w:lang w:val="en-IE"/>
              </w:rPr>
            </w:pPr>
            <w:r w:rsidRPr="00892F25">
              <w:rPr>
                <w:noProof/>
                <w:sz w:val="20"/>
                <w:szCs w:val="20"/>
                <w:bdr w:val="none" w:sz="0" w:space="0" w:color="auto" w:frame="1"/>
                <w:lang w:val="en-IE"/>
              </w:rPr>
              <w:t>++</w:t>
            </w:r>
          </w:p>
          <w:p w14:paraId="6C27E745" w14:textId="2015464D" w:rsidR="0093112C" w:rsidRPr="00892F25" w:rsidRDefault="0093112C">
            <w:pPr>
              <w:pStyle w:val="Body"/>
              <w:jc w:val="center"/>
              <w:rPr>
                <w:noProof/>
                <w:sz w:val="20"/>
                <w:szCs w:val="20"/>
                <w:lang w:val="en-IE"/>
              </w:rPr>
            </w:pPr>
            <w:r w:rsidRPr="00892F25">
              <w:rPr>
                <w:noProof/>
                <w:sz w:val="20"/>
                <w:szCs w:val="20"/>
                <w:bdr w:val="none" w:sz="0" w:space="0" w:color="auto" w:frame="1"/>
                <w:lang w:val="en-IE"/>
              </w:rPr>
              <w:t xml:space="preserve">Flat vs long distinction </w:t>
            </w:r>
            <w:r w:rsidR="00AD18B0" w:rsidRPr="00892F25">
              <w:rPr>
                <w:noProof/>
                <w:sz w:val="20"/>
                <w:szCs w:val="20"/>
                <w:bdr w:val="none" w:sz="0" w:space="0" w:color="auto" w:frame="1"/>
                <w:lang w:val="en-IE"/>
              </w:rPr>
              <w:t>remains</w:t>
            </w:r>
            <w:r w:rsidRPr="00892F25">
              <w:rPr>
                <w:noProof/>
                <w:sz w:val="20"/>
                <w:szCs w:val="20"/>
                <w:bdr w:val="none" w:sz="0" w:space="0" w:color="auto" w:frame="1"/>
                <w:lang w:val="en-IE"/>
              </w:rPr>
              <w:t xml:space="preserve"> technologically neutral</w:t>
            </w:r>
          </w:p>
        </w:tc>
      </w:tr>
      <w:tr w:rsidR="0093112C" w:rsidRPr="00FF63D1" w14:paraId="443A6B87" w14:textId="51E03F32" w:rsidTr="009B0B7F">
        <w:trPr>
          <w:trHeight w:val="300"/>
        </w:trPr>
        <w:tc>
          <w:tcPr>
            <w:tcW w:w="974" w:type="pct"/>
            <w:tcBorders>
              <w:top w:val="single" w:sz="4" w:space="0" w:color="auto"/>
              <w:left w:val="single" w:sz="4" w:space="0" w:color="auto"/>
              <w:bottom w:val="single" w:sz="4" w:space="0" w:color="auto"/>
              <w:right w:val="single" w:sz="4" w:space="0" w:color="auto"/>
            </w:tcBorders>
          </w:tcPr>
          <w:p w14:paraId="19DD4D37" w14:textId="77777777" w:rsidR="0093112C" w:rsidRPr="00892F25" w:rsidRDefault="0093112C">
            <w:pPr>
              <w:pStyle w:val="Body"/>
              <w:ind w:left="171"/>
              <w:rPr>
                <w:noProof/>
                <w:sz w:val="20"/>
                <w:szCs w:val="20"/>
                <w:bdr w:val="none" w:sz="0" w:space="0" w:color="auto" w:frame="1"/>
                <w:lang w:val="en-IE"/>
              </w:rPr>
            </w:pPr>
            <w:r w:rsidRPr="00892F25">
              <w:rPr>
                <w:noProof/>
                <w:sz w:val="20"/>
                <w:szCs w:val="20"/>
                <w:bdr w:val="none" w:sz="0" w:space="0" w:color="auto" w:frame="1"/>
                <w:lang w:val="en-IE"/>
              </w:rPr>
              <w:t>Administrative impact</w:t>
            </w:r>
          </w:p>
        </w:tc>
        <w:tc>
          <w:tcPr>
            <w:tcW w:w="861" w:type="pct"/>
            <w:tcBorders>
              <w:top w:val="single" w:sz="4" w:space="0" w:color="auto"/>
              <w:left w:val="single" w:sz="4" w:space="0" w:color="auto"/>
              <w:bottom w:val="single" w:sz="4" w:space="0" w:color="auto"/>
              <w:right w:val="single" w:sz="4" w:space="0" w:color="auto"/>
            </w:tcBorders>
            <w:vAlign w:val="center"/>
          </w:tcPr>
          <w:p w14:paraId="59E7FAF0" w14:textId="77777777" w:rsidR="0093112C" w:rsidRPr="00892F25" w:rsidRDefault="0093112C">
            <w:pPr>
              <w:pStyle w:val="Body"/>
              <w:jc w:val="center"/>
              <w:rPr>
                <w:noProof/>
                <w:sz w:val="20"/>
                <w:szCs w:val="20"/>
                <w:lang w:val="en-IE"/>
              </w:rPr>
            </w:pPr>
            <w:r w:rsidRPr="00892F25">
              <w:rPr>
                <w:noProof/>
                <w:sz w:val="20"/>
                <w:szCs w:val="20"/>
                <w:bdr w:val="none" w:sz="0" w:space="0" w:color="auto" w:frame="1"/>
                <w:lang w:val="en-IE"/>
              </w:rPr>
              <w:t>-</w:t>
            </w:r>
          </w:p>
          <w:p w14:paraId="3392BFBA"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Interpretation of label on users</w:t>
            </w:r>
          </w:p>
        </w:tc>
        <w:tc>
          <w:tcPr>
            <w:tcW w:w="840" w:type="pct"/>
            <w:tcBorders>
              <w:top w:val="single" w:sz="4" w:space="0" w:color="auto"/>
              <w:left w:val="single" w:sz="4" w:space="0" w:color="auto"/>
              <w:bottom w:val="single" w:sz="4" w:space="0" w:color="auto"/>
              <w:right w:val="single" w:sz="4" w:space="0" w:color="auto"/>
            </w:tcBorders>
          </w:tcPr>
          <w:p w14:paraId="1FD203AF"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56E4247E"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Separate classes increase the usability</w:t>
            </w:r>
          </w:p>
        </w:tc>
        <w:tc>
          <w:tcPr>
            <w:tcW w:w="930" w:type="pct"/>
            <w:tcBorders>
              <w:top w:val="single" w:sz="4" w:space="0" w:color="auto"/>
              <w:left w:val="single" w:sz="4" w:space="0" w:color="auto"/>
              <w:bottom w:val="single" w:sz="4" w:space="0" w:color="auto"/>
              <w:right w:val="single" w:sz="4" w:space="0" w:color="auto"/>
            </w:tcBorders>
            <w:vAlign w:val="center"/>
          </w:tcPr>
          <w:p w14:paraId="0958E066"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31A56EBD"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Separate classes increase the usability</w:t>
            </w:r>
          </w:p>
        </w:tc>
        <w:tc>
          <w:tcPr>
            <w:tcW w:w="864" w:type="pct"/>
            <w:tcBorders>
              <w:top w:val="single" w:sz="4" w:space="0" w:color="auto"/>
              <w:left w:val="single" w:sz="4" w:space="0" w:color="auto"/>
              <w:bottom w:val="single" w:sz="4" w:space="0" w:color="auto"/>
              <w:right w:val="single" w:sz="4" w:space="0" w:color="auto"/>
            </w:tcBorders>
            <w:vAlign w:val="center"/>
          </w:tcPr>
          <w:p w14:paraId="32961FA7"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44491F16"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More disaggregated categories increase reporting requirements</w:t>
            </w:r>
          </w:p>
        </w:tc>
        <w:tc>
          <w:tcPr>
            <w:tcW w:w="530" w:type="pct"/>
            <w:tcBorders>
              <w:top w:val="single" w:sz="4" w:space="0" w:color="auto"/>
              <w:left w:val="single" w:sz="4" w:space="0" w:color="auto"/>
              <w:bottom w:val="single" w:sz="4" w:space="0" w:color="auto"/>
              <w:right w:val="single" w:sz="4" w:space="0" w:color="auto"/>
            </w:tcBorders>
          </w:tcPr>
          <w:p w14:paraId="25A6A604" w14:textId="77777777" w:rsidR="0093112C" w:rsidRPr="00892F25" w:rsidRDefault="0093112C">
            <w:pPr>
              <w:pStyle w:val="Body"/>
              <w:jc w:val="center"/>
              <w:rPr>
                <w:noProof/>
                <w:sz w:val="20"/>
                <w:szCs w:val="20"/>
                <w:lang w:val="en-IE"/>
              </w:rPr>
            </w:pPr>
            <w:r w:rsidRPr="00892F25">
              <w:rPr>
                <w:noProof/>
                <w:sz w:val="20"/>
                <w:szCs w:val="20"/>
                <w:bdr w:val="none" w:sz="0" w:space="0" w:color="auto" w:frame="1"/>
                <w:lang w:val="en-IE"/>
              </w:rPr>
              <w:t>++</w:t>
            </w:r>
          </w:p>
          <w:p w14:paraId="22E54831" w14:textId="66451E25" w:rsidR="0093112C" w:rsidRPr="00892F25" w:rsidRDefault="0093112C">
            <w:pPr>
              <w:pStyle w:val="Body"/>
              <w:jc w:val="center"/>
              <w:rPr>
                <w:noProof/>
                <w:sz w:val="20"/>
                <w:szCs w:val="20"/>
                <w:lang w:val="en-IE"/>
              </w:rPr>
            </w:pPr>
            <w:r w:rsidRPr="00892F25">
              <w:rPr>
                <w:noProof/>
                <w:sz w:val="20"/>
                <w:szCs w:val="20"/>
                <w:bdr w:val="none" w:sz="0" w:space="0" w:color="auto" w:frame="1"/>
                <w:lang w:val="en-IE"/>
              </w:rPr>
              <w:t>Two different classification systems for flat vs long products increase the usability of the label</w:t>
            </w:r>
          </w:p>
        </w:tc>
      </w:tr>
      <w:tr w:rsidR="0093112C" w:rsidRPr="00FF63D1" w14:paraId="52174D9F" w14:textId="510F5046" w:rsidTr="009B0B7F">
        <w:trPr>
          <w:trHeight w:val="300"/>
        </w:trPr>
        <w:tc>
          <w:tcPr>
            <w:tcW w:w="974" w:type="pct"/>
            <w:tcBorders>
              <w:top w:val="single" w:sz="4" w:space="0" w:color="auto"/>
              <w:left w:val="single" w:sz="4" w:space="0" w:color="auto"/>
              <w:bottom w:val="single" w:sz="4" w:space="0" w:color="auto"/>
              <w:right w:val="single" w:sz="4" w:space="0" w:color="auto"/>
            </w:tcBorders>
            <w:hideMark/>
          </w:tcPr>
          <w:p w14:paraId="103C0066" w14:textId="77777777" w:rsidR="0093112C" w:rsidRPr="00892F25" w:rsidRDefault="0093112C">
            <w:pPr>
              <w:pStyle w:val="Body"/>
              <w:ind w:left="171"/>
              <w:rPr>
                <w:noProof/>
                <w:sz w:val="20"/>
                <w:szCs w:val="20"/>
                <w:bdr w:val="none" w:sz="0" w:space="0" w:color="auto" w:frame="1"/>
                <w:lang w:val="en-IE"/>
              </w:rPr>
            </w:pPr>
            <w:r w:rsidRPr="00892F25">
              <w:rPr>
                <w:noProof/>
                <w:sz w:val="20"/>
                <w:szCs w:val="20"/>
                <w:bdr w:val="none" w:sz="0" w:space="0" w:color="auto" w:frame="1"/>
                <w:lang w:val="en-IE"/>
              </w:rPr>
              <w:t>Coherence with other parts of the regulatory framework</w:t>
            </w:r>
          </w:p>
        </w:tc>
        <w:tc>
          <w:tcPr>
            <w:tcW w:w="861" w:type="pct"/>
            <w:tcBorders>
              <w:top w:val="single" w:sz="4" w:space="0" w:color="auto"/>
              <w:left w:val="single" w:sz="4" w:space="0" w:color="auto"/>
              <w:bottom w:val="single" w:sz="4" w:space="0" w:color="auto"/>
              <w:right w:val="single" w:sz="4" w:space="0" w:color="auto"/>
            </w:tcBorders>
            <w:vAlign w:val="center"/>
            <w:hideMark/>
          </w:tcPr>
          <w:p w14:paraId="68E8012C"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2781F710"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 xml:space="preserve">Single metric could be useful for other policy instruments </w:t>
            </w:r>
          </w:p>
        </w:tc>
        <w:tc>
          <w:tcPr>
            <w:tcW w:w="840" w:type="pct"/>
            <w:tcBorders>
              <w:top w:val="single" w:sz="4" w:space="0" w:color="auto"/>
              <w:left w:val="single" w:sz="4" w:space="0" w:color="auto"/>
              <w:bottom w:val="single" w:sz="4" w:space="0" w:color="auto"/>
              <w:right w:val="single" w:sz="4" w:space="0" w:color="auto"/>
            </w:tcBorders>
          </w:tcPr>
          <w:p w14:paraId="3FEFE0E0"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7092D6D3" w14:textId="28CCB174"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Classes increase the usability</w:t>
            </w:r>
          </w:p>
        </w:tc>
        <w:tc>
          <w:tcPr>
            <w:tcW w:w="930" w:type="pct"/>
            <w:tcBorders>
              <w:top w:val="single" w:sz="4" w:space="0" w:color="auto"/>
              <w:left w:val="single" w:sz="4" w:space="0" w:color="auto"/>
              <w:bottom w:val="single" w:sz="4" w:space="0" w:color="auto"/>
              <w:right w:val="single" w:sz="4" w:space="0" w:color="auto"/>
            </w:tcBorders>
            <w:vAlign w:val="center"/>
            <w:hideMark/>
          </w:tcPr>
          <w:p w14:paraId="4C485A9B"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0EC8D330" w14:textId="64E48041"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Classes increase the usability</w:t>
            </w:r>
          </w:p>
        </w:tc>
        <w:tc>
          <w:tcPr>
            <w:tcW w:w="864" w:type="pct"/>
            <w:tcBorders>
              <w:top w:val="single" w:sz="4" w:space="0" w:color="auto"/>
              <w:left w:val="single" w:sz="4" w:space="0" w:color="auto"/>
              <w:bottom w:val="single" w:sz="4" w:space="0" w:color="auto"/>
              <w:right w:val="single" w:sz="4" w:space="0" w:color="auto"/>
            </w:tcBorders>
            <w:vAlign w:val="center"/>
            <w:hideMark/>
          </w:tcPr>
          <w:p w14:paraId="495A9AF9" w14:textId="77777777"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33F827B0" w14:textId="54E08279" w:rsidR="0093112C" w:rsidRPr="00892F25" w:rsidRDefault="0093112C">
            <w:pPr>
              <w:pStyle w:val="Body"/>
              <w:jc w:val="center"/>
              <w:rPr>
                <w:noProof/>
                <w:sz w:val="20"/>
                <w:szCs w:val="20"/>
                <w:bdr w:val="none" w:sz="0" w:space="0" w:color="auto" w:frame="1"/>
                <w:lang w:val="en-IE"/>
              </w:rPr>
            </w:pPr>
            <w:r w:rsidRPr="00892F25">
              <w:rPr>
                <w:noProof/>
                <w:sz w:val="20"/>
                <w:szCs w:val="20"/>
                <w:bdr w:val="none" w:sz="0" w:space="0" w:color="auto" w:frame="1"/>
                <w:lang w:val="en-IE"/>
              </w:rPr>
              <w:t>Classes increase the usability</w:t>
            </w:r>
          </w:p>
        </w:tc>
        <w:tc>
          <w:tcPr>
            <w:tcW w:w="530" w:type="pct"/>
            <w:tcBorders>
              <w:top w:val="single" w:sz="4" w:space="0" w:color="auto"/>
              <w:left w:val="single" w:sz="4" w:space="0" w:color="auto"/>
              <w:bottom w:val="single" w:sz="4" w:space="0" w:color="auto"/>
              <w:right w:val="single" w:sz="4" w:space="0" w:color="auto"/>
            </w:tcBorders>
          </w:tcPr>
          <w:p w14:paraId="3A04EF3C" w14:textId="77777777" w:rsidR="0093112C" w:rsidRPr="00892F25" w:rsidRDefault="0093112C" w:rsidP="0093112C">
            <w:pPr>
              <w:pStyle w:val="Body"/>
              <w:jc w:val="center"/>
              <w:rPr>
                <w:noProof/>
                <w:sz w:val="20"/>
                <w:szCs w:val="20"/>
                <w:lang w:val="en-IE"/>
              </w:rPr>
            </w:pPr>
            <w:r w:rsidRPr="00892F25">
              <w:rPr>
                <w:noProof/>
                <w:sz w:val="20"/>
                <w:szCs w:val="20"/>
                <w:bdr w:val="none" w:sz="0" w:space="0" w:color="auto" w:frame="1"/>
                <w:lang w:val="en-IE"/>
              </w:rPr>
              <w:t>++</w:t>
            </w:r>
          </w:p>
          <w:p w14:paraId="53876A6A" w14:textId="6A5A9488" w:rsidR="0093112C" w:rsidRPr="00892F25" w:rsidRDefault="0093112C" w:rsidP="0093112C">
            <w:pPr>
              <w:pStyle w:val="Body"/>
              <w:jc w:val="center"/>
              <w:rPr>
                <w:noProof/>
                <w:sz w:val="20"/>
                <w:szCs w:val="20"/>
                <w:lang w:val="en-IE"/>
              </w:rPr>
            </w:pPr>
            <w:r w:rsidRPr="00892F25">
              <w:rPr>
                <w:noProof/>
                <w:sz w:val="20"/>
                <w:szCs w:val="20"/>
                <w:bdr w:val="none" w:sz="0" w:space="0" w:color="auto" w:frame="1"/>
                <w:lang w:val="en-IE"/>
              </w:rPr>
              <w:t>Classes increase the usability</w:t>
            </w:r>
          </w:p>
        </w:tc>
      </w:tr>
    </w:tbl>
    <w:p w14:paraId="6309BFED" w14:textId="77777777" w:rsidR="00D7556F" w:rsidRPr="00FF63D1" w:rsidRDefault="00D7556F" w:rsidP="00D7556F">
      <w:pPr>
        <w:rPr>
          <w:noProof/>
          <w:sz w:val="20"/>
          <w:szCs w:val="20"/>
        </w:rPr>
      </w:pPr>
    </w:p>
    <w:p w14:paraId="4C81729D" w14:textId="0D62E233" w:rsidR="00DC6AEE" w:rsidRDefault="00DC6AEE" w:rsidP="00DC6AEE">
      <w:pPr>
        <w:pStyle w:val="Caption"/>
        <w:keepNext/>
        <w:rPr>
          <w:noProof/>
        </w:rPr>
      </w:pPr>
      <w:r>
        <w:rPr>
          <w:noProof/>
        </w:rPr>
        <w:t xml:space="preserve">Table </w:t>
      </w:r>
      <w:r>
        <w:rPr>
          <w:noProof/>
        </w:rPr>
        <w:fldChar w:fldCharType="begin"/>
      </w:r>
      <w:r w:rsidRPr="00FF63D1">
        <w:rPr>
          <w:noProof/>
        </w:rPr>
        <w:instrText xml:space="preserve"> SEQ Table \* ARABIC </w:instrText>
      </w:r>
      <w:r>
        <w:rPr>
          <w:noProof/>
        </w:rPr>
        <w:fldChar w:fldCharType="separate"/>
      </w:r>
      <w:r w:rsidR="00622D1D">
        <w:rPr>
          <w:noProof/>
        </w:rPr>
        <w:t>35</w:t>
      </w:r>
      <w:r>
        <w:rPr>
          <w:noProof/>
        </w:rPr>
        <w:fldChar w:fldCharType="end"/>
      </w:r>
      <w:r>
        <w:rPr>
          <w:noProof/>
        </w:rPr>
        <w:t xml:space="preserve">: Comparison of impacts for the data quality options </w:t>
      </w:r>
      <w:r w:rsidRPr="00FF63D1">
        <w:rPr>
          <w:noProof/>
        </w:rPr>
        <w:fldChar w:fldCharType="begin"/>
      </w:r>
      <w:r w:rsidRPr="00FF63D1">
        <w:rPr>
          <w:noProof/>
        </w:rPr>
        <w:instrText xml:space="preserve"> SEQ Table \* ARABIC </w:instrText>
      </w:r>
      <w:r w:rsidRPr="00FF63D1">
        <w:rPr>
          <w:noProof/>
        </w:rPr>
        <w:fldChar w:fldCharType="separate"/>
      </w:r>
      <w:r w:rsidR="00622D1D">
        <w:rPr>
          <w:noProof/>
        </w:rPr>
        <w:t>36</w:t>
      </w:r>
      <w:r w:rsidRPr="00FF63D1">
        <w:rPr>
          <w:noProof/>
        </w:rPr>
        <w:fldChar w:fldCharType="end"/>
      </w:r>
    </w:p>
    <w:tbl>
      <w:tblPr>
        <w:tblStyle w:val="TableGrid"/>
        <w:tblW w:w="5000" w:type="pct"/>
        <w:tblInd w:w="0" w:type="dxa"/>
        <w:tblLook w:val="04A0" w:firstRow="1" w:lastRow="0" w:firstColumn="1" w:lastColumn="0" w:noHBand="0" w:noVBand="1"/>
      </w:tblPr>
      <w:tblGrid>
        <w:gridCol w:w="1836"/>
        <w:gridCol w:w="2616"/>
        <w:gridCol w:w="2283"/>
        <w:gridCol w:w="2281"/>
      </w:tblGrid>
      <w:tr w:rsidR="00D7556F" w:rsidRPr="00FF63D1" w14:paraId="11549FF5" w14:textId="77777777" w:rsidTr="009D6517">
        <w:trPr>
          <w:trHeight w:val="151"/>
          <w:tblHeader/>
        </w:trPr>
        <w:tc>
          <w:tcPr>
            <w:tcW w:w="1018" w:type="pct"/>
            <w:tcBorders>
              <w:top w:val="single" w:sz="4" w:space="0" w:color="auto"/>
              <w:left w:val="single" w:sz="4" w:space="0" w:color="auto"/>
              <w:bottom w:val="single" w:sz="4" w:space="0" w:color="auto"/>
              <w:right w:val="single" w:sz="4" w:space="0" w:color="auto"/>
            </w:tcBorders>
          </w:tcPr>
          <w:p w14:paraId="0814C7E9" w14:textId="77777777" w:rsidR="00D7556F" w:rsidRPr="00892F25" w:rsidRDefault="00D7556F">
            <w:pPr>
              <w:pStyle w:val="Body"/>
              <w:ind w:left="171"/>
              <w:rPr>
                <w:b/>
                <w:noProof/>
                <w:sz w:val="20"/>
                <w:szCs w:val="20"/>
                <w:bdr w:val="none" w:sz="0" w:space="0" w:color="auto" w:frame="1"/>
                <w:lang w:val="en-IE"/>
              </w:rPr>
            </w:pPr>
            <w:r w:rsidRPr="00892F25">
              <w:rPr>
                <w:b/>
                <w:noProof/>
                <w:sz w:val="20"/>
                <w:szCs w:val="20"/>
                <w:bdr w:val="none" w:sz="0" w:space="0" w:color="auto" w:frame="1"/>
                <w:lang w:val="en-IE"/>
              </w:rPr>
              <w:t>Data quality</w:t>
            </w:r>
          </w:p>
        </w:tc>
        <w:tc>
          <w:tcPr>
            <w:tcW w:w="1451" w:type="pct"/>
            <w:tcBorders>
              <w:top w:val="single" w:sz="4" w:space="0" w:color="auto"/>
              <w:left w:val="single" w:sz="4" w:space="0" w:color="auto"/>
              <w:bottom w:val="single" w:sz="4" w:space="0" w:color="auto"/>
              <w:right w:val="single" w:sz="4" w:space="0" w:color="auto"/>
            </w:tcBorders>
            <w:vAlign w:val="center"/>
          </w:tcPr>
          <w:p w14:paraId="2045DCD6" w14:textId="77777777" w:rsidR="00D7556F" w:rsidRPr="00892F25" w:rsidRDefault="00D7556F">
            <w:pPr>
              <w:pStyle w:val="Body"/>
              <w:jc w:val="center"/>
              <w:rPr>
                <w:b/>
                <w:noProof/>
                <w:sz w:val="20"/>
                <w:szCs w:val="20"/>
                <w:bdr w:val="none" w:sz="0" w:space="0" w:color="auto" w:frame="1"/>
                <w:lang w:val="en-IE"/>
              </w:rPr>
            </w:pPr>
            <w:r w:rsidRPr="00892F25">
              <w:rPr>
                <w:b/>
                <w:noProof/>
                <w:sz w:val="20"/>
                <w:szCs w:val="20"/>
                <w:bdr w:val="none" w:sz="0" w:space="0" w:color="auto" w:frame="1"/>
                <w:lang w:val="en-IE"/>
              </w:rPr>
              <w:t>DATA1</w:t>
            </w:r>
          </w:p>
        </w:tc>
        <w:tc>
          <w:tcPr>
            <w:tcW w:w="1266" w:type="pct"/>
            <w:tcBorders>
              <w:top w:val="single" w:sz="4" w:space="0" w:color="auto"/>
              <w:left w:val="single" w:sz="4" w:space="0" w:color="auto"/>
              <w:bottom w:val="single" w:sz="4" w:space="0" w:color="auto"/>
              <w:right w:val="single" w:sz="4" w:space="0" w:color="auto"/>
            </w:tcBorders>
          </w:tcPr>
          <w:p w14:paraId="3335B125" w14:textId="77777777" w:rsidR="00D7556F" w:rsidRPr="00892F25" w:rsidRDefault="00D7556F">
            <w:pPr>
              <w:pStyle w:val="Body"/>
              <w:jc w:val="center"/>
              <w:rPr>
                <w:b/>
                <w:noProof/>
                <w:sz w:val="20"/>
                <w:szCs w:val="20"/>
                <w:bdr w:val="none" w:sz="0" w:space="0" w:color="auto" w:frame="1"/>
                <w:lang w:val="en-IE"/>
              </w:rPr>
            </w:pPr>
            <w:r w:rsidRPr="00892F25">
              <w:rPr>
                <w:b/>
                <w:noProof/>
                <w:sz w:val="20"/>
                <w:szCs w:val="20"/>
                <w:bdr w:val="none" w:sz="0" w:space="0" w:color="auto" w:frame="1"/>
                <w:lang w:val="en-IE"/>
              </w:rPr>
              <w:t>DATA2</w:t>
            </w:r>
          </w:p>
        </w:tc>
        <w:tc>
          <w:tcPr>
            <w:tcW w:w="1265" w:type="pct"/>
            <w:tcBorders>
              <w:top w:val="single" w:sz="4" w:space="0" w:color="auto"/>
              <w:left w:val="single" w:sz="4" w:space="0" w:color="auto"/>
              <w:bottom w:val="single" w:sz="4" w:space="0" w:color="auto"/>
              <w:right w:val="single" w:sz="4" w:space="0" w:color="auto"/>
            </w:tcBorders>
            <w:vAlign w:val="center"/>
          </w:tcPr>
          <w:p w14:paraId="2DD9A325" w14:textId="77777777" w:rsidR="00D7556F" w:rsidRPr="00892F25" w:rsidRDefault="00D7556F">
            <w:pPr>
              <w:pStyle w:val="Body"/>
              <w:jc w:val="center"/>
              <w:rPr>
                <w:b/>
                <w:noProof/>
                <w:sz w:val="20"/>
                <w:szCs w:val="20"/>
                <w:bdr w:val="none" w:sz="0" w:space="0" w:color="auto" w:frame="1"/>
                <w:lang w:val="en-IE"/>
              </w:rPr>
            </w:pPr>
            <w:r w:rsidRPr="00892F25">
              <w:rPr>
                <w:b/>
                <w:noProof/>
                <w:sz w:val="20"/>
                <w:szCs w:val="20"/>
                <w:bdr w:val="none" w:sz="0" w:space="0" w:color="auto" w:frame="1"/>
                <w:lang w:val="en-IE"/>
              </w:rPr>
              <w:t>DATA3</w:t>
            </w:r>
          </w:p>
        </w:tc>
      </w:tr>
      <w:tr w:rsidR="00D7556F" w:rsidRPr="00FF63D1" w14:paraId="032CC7EA" w14:textId="77777777" w:rsidTr="00DC6AEE">
        <w:trPr>
          <w:trHeight w:val="668"/>
        </w:trPr>
        <w:tc>
          <w:tcPr>
            <w:tcW w:w="1018" w:type="pct"/>
            <w:tcBorders>
              <w:top w:val="single" w:sz="4" w:space="0" w:color="auto"/>
              <w:left w:val="single" w:sz="4" w:space="0" w:color="auto"/>
              <w:bottom w:val="single" w:sz="4" w:space="0" w:color="auto"/>
              <w:right w:val="single" w:sz="4" w:space="0" w:color="auto"/>
            </w:tcBorders>
          </w:tcPr>
          <w:p w14:paraId="7689217D" w14:textId="77777777" w:rsidR="00D7556F" w:rsidRPr="00892F25" w:rsidRDefault="00D7556F" w:rsidP="00257D37">
            <w:pPr>
              <w:pStyle w:val="Body"/>
              <w:rPr>
                <w:noProof/>
                <w:sz w:val="20"/>
                <w:szCs w:val="20"/>
                <w:bdr w:val="none" w:sz="0" w:space="0" w:color="auto" w:frame="1"/>
                <w:lang w:val="en-IE"/>
              </w:rPr>
            </w:pPr>
            <w:r w:rsidRPr="00892F25">
              <w:rPr>
                <w:noProof/>
                <w:sz w:val="20"/>
                <w:szCs w:val="20"/>
                <w:bdr w:val="none" w:sz="0" w:space="0" w:color="auto" w:frame="1"/>
                <w:lang w:val="en-IE"/>
              </w:rPr>
              <w:t>Environmental impact</w:t>
            </w:r>
          </w:p>
        </w:tc>
        <w:tc>
          <w:tcPr>
            <w:tcW w:w="1451" w:type="pct"/>
            <w:tcBorders>
              <w:top w:val="single" w:sz="4" w:space="0" w:color="auto"/>
              <w:left w:val="single" w:sz="4" w:space="0" w:color="auto"/>
              <w:bottom w:val="single" w:sz="4" w:space="0" w:color="auto"/>
              <w:right w:val="single" w:sz="4" w:space="0" w:color="auto"/>
            </w:tcBorders>
            <w:vAlign w:val="center"/>
          </w:tcPr>
          <w:p w14:paraId="05D6AE0D"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0</w:t>
            </w:r>
          </w:p>
          <w:p w14:paraId="17DFE318"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Risk of greenwashing</w:t>
            </w:r>
          </w:p>
        </w:tc>
        <w:tc>
          <w:tcPr>
            <w:tcW w:w="1266" w:type="pct"/>
            <w:tcBorders>
              <w:top w:val="single" w:sz="4" w:space="0" w:color="auto"/>
              <w:left w:val="single" w:sz="4" w:space="0" w:color="auto"/>
              <w:bottom w:val="single" w:sz="4" w:space="0" w:color="auto"/>
              <w:right w:val="single" w:sz="4" w:space="0" w:color="auto"/>
            </w:tcBorders>
            <w:vAlign w:val="center"/>
          </w:tcPr>
          <w:p w14:paraId="0317D64E"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448525DC" w14:textId="77777777" w:rsidR="00D7556F" w:rsidRPr="00892F25" w:rsidRDefault="00D7556F">
            <w:pPr>
              <w:pStyle w:val="Body"/>
              <w:jc w:val="center"/>
              <w:rPr>
                <w:noProof/>
                <w:sz w:val="20"/>
                <w:szCs w:val="20"/>
                <w:lang w:val="en-IE"/>
              </w:rPr>
            </w:pPr>
            <w:r w:rsidRPr="00892F25">
              <w:rPr>
                <w:noProof/>
                <w:sz w:val="20"/>
                <w:szCs w:val="20"/>
                <w:bdr w:val="none" w:sz="0" w:space="0" w:color="auto" w:frame="1"/>
                <w:lang w:val="en-IE"/>
              </w:rPr>
              <w:t xml:space="preserve">Verification increases credibility of the </w:t>
            </w:r>
            <w:r w:rsidR="0B4D092C" w:rsidRPr="00892F25">
              <w:rPr>
                <w:noProof/>
                <w:sz w:val="20"/>
                <w:szCs w:val="20"/>
                <w:bdr w:val="none" w:sz="0" w:space="0" w:color="auto" w:frame="1"/>
                <w:lang w:val="en-IE"/>
              </w:rPr>
              <w:t>label</w:t>
            </w:r>
          </w:p>
        </w:tc>
        <w:tc>
          <w:tcPr>
            <w:tcW w:w="1265" w:type="pct"/>
            <w:tcBorders>
              <w:top w:val="single" w:sz="4" w:space="0" w:color="auto"/>
              <w:left w:val="single" w:sz="4" w:space="0" w:color="auto"/>
              <w:bottom w:val="single" w:sz="4" w:space="0" w:color="auto"/>
              <w:right w:val="single" w:sz="4" w:space="0" w:color="auto"/>
            </w:tcBorders>
            <w:vAlign w:val="center"/>
          </w:tcPr>
          <w:p w14:paraId="430A3341"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795D1648"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Potential impact beyond EU borders</w:t>
            </w:r>
          </w:p>
        </w:tc>
      </w:tr>
      <w:tr w:rsidR="00D7556F" w:rsidRPr="00FF63D1" w14:paraId="0DC2ECB3" w14:textId="77777777" w:rsidTr="00DC6AEE">
        <w:trPr>
          <w:trHeight w:val="64"/>
        </w:trPr>
        <w:tc>
          <w:tcPr>
            <w:tcW w:w="1018" w:type="pct"/>
            <w:tcBorders>
              <w:top w:val="single" w:sz="4" w:space="0" w:color="auto"/>
              <w:left w:val="single" w:sz="4" w:space="0" w:color="auto"/>
              <w:bottom w:val="single" w:sz="4" w:space="0" w:color="auto"/>
              <w:right w:val="single" w:sz="4" w:space="0" w:color="auto"/>
            </w:tcBorders>
          </w:tcPr>
          <w:p w14:paraId="67FE03F1" w14:textId="77777777" w:rsidR="00D7556F" w:rsidRPr="00892F25" w:rsidRDefault="00D7556F" w:rsidP="00257D37">
            <w:pPr>
              <w:pStyle w:val="Body"/>
              <w:rPr>
                <w:noProof/>
                <w:sz w:val="20"/>
                <w:szCs w:val="20"/>
                <w:bdr w:val="none" w:sz="0" w:space="0" w:color="auto" w:frame="1"/>
                <w:lang w:val="en-IE"/>
              </w:rPr>
            </w:pPr>
            <w:r w:rsidRPr="00892F25">
              <w:rPr>
                <w:noProof/>
                <w:sz w:val="20"/>
                <w:szCs w:val="20"/>
                <w:bdr w:val="none" w:sz="0" w:space="0" w:color="auto" w:frame="1"/>
                <w:lang w:val="en-IE"/>
              </w:rPr>
              <w:t>Administrative impact</w:t>
            </w:r>
          </w:p>
        </w:tc>
        <w:tc>
          <w:tcPr>
            <w:tcW w:w="1451" w:type="pct"/>
            <w:tcBorders>
              <w:top w:val="single" w:sz="4" w:space="0" w:color="auto"/>
              <w:left w:val="single" w:sz="4" w:space="0" w:color="auto"/>
              <w:bottom w:val="single" w:sz="4" w:space="0" w:color="auto"/>
              <w:right w:val="single" w:sz="4" w:space="0" w:color="auto"/>
            </w:tcBorders>
            <w:vAlign w:val="center"/>
          </w:tcPr>
          <w:p w14:paraId="16EA2DA4"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30E5A513"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Self-declared data minimizes admin burden</w:t>
            </w:r>
          </w:p>
        </w:tc>
        <w:tc>
          <w:tcPr>
            <w:tcW w:w="1266" w:type="pct"/>
            <w:tcBorders>
              <w:top w:val="single" w:sz="4" w:space="0" w:color="auto"/>
              <w:left w:val="single" w:sz="4" w:space="0" w:color="auto"/>
              <w:bottom w:val="single" w:sz="4" w:space="0" w:color="auto"/>
              <w:right w:val="single" w:sz="4" w:space="0" w:color="auto"/>
            </w:tcBorders>
            <w:vAlign w:val="center"/>
          </w:tcPr>
          <w:p w14:paraId="74FAA217"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4E29448A"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Verification and certification can build on ETS approach</w:t>
            </w:r>
          </w:p>
        </w:tc>
        <w:tc>
          <w:tcPr>
            <w:tcW w:w="1265" w:type="pct"/>
            <w:tcBorders>
              <w:top w:val="single" w:sz="4" w:space="0" w:color="auto"/>
              <w:left w:val="single" w:sz="4" w:space="0" w:color="auto"/>
              <w:bottom w:val="single" w:sz="4" w:space="0" w:color="auto"/>
              <w:right w:val="single" w:sz="4" w:space="0" w:color="auto"/>
            </w:tcBorders>
            <w:vAlign w:val="center"/>
          </w:tcPr>
          <w:p w14:paraId="20374976"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0409F9DB" w14:textId="78160C31"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Rig</w:t>
            </w:r>
            <w:r w:rsidR="00B62BC6" w:rsidRPr="00892F25">
              <w:rPr>
                <w:noProof/>
                <w:sz w:val="20"/>
                <w:szCs w:val="20"/>
                <w:bdr w:val="none" w:sz="0" w:space="0" w:color="auto" w:frame="1"/>
                <w:lang w:val="en-IE"/>
              </w:rPr>
              <w:t>o</w:t>
            </w:r>
            <w:r w:rsidRPr="00892F25">
              <w:rPr>
                <w:noProof/>
                <w:sz w:val="20"/>
                <w:szCs w:val="20"/>
                <w:bdr w:val="none" w:sz="0" w:space="0" w:color="auto" w:frame="1"/>
                <w:lang w:val="en-IE"/>
              </w:rPr>
              <w:t xml:space="preserve">rous verification and certification needs for extra-EU </w:t>
            </w:r>
          </w:p>
        </w:tc>
      </w:tr>
      <w:tr w:rsidR="00D7556F" w:rsidRPr="00FF63D1" w14:paraId="2C2AD439" w14:textId="77777777" w:rsidTr="00DC6AEE">
        <w:trPr>
          <w:trHeight w:val="1638"/>
        </w:trPr>
        <w:tc>
          <w:tcPr>
            <w:tcW w:w="1018" w:type="pct"/>
            <w:tcBorders>
              <w:top w:val="single" w:sz="4" w:space="0" w:color="auto"/>
              <w:left w:val="single" w:sz="4" w:space="0" w:color="auto"/>
              <w:bottom w:val="single" w:sz="4" w:space="0" w:color="auto"/>
              <w:right w:val="single" w:sz="4" w:space="0" w:color="auto"/>
            </w:tcBorders>
            <w:hideMark/>
          </w:tcPr>
          <w:p w14:paraId="09FF53F7" w14:textId="77777777" w:rsidR="00D7556F" w:rsidRPr="00892F25" w:rsidRDefault="00D7556F" w:rsidP="00257D37">
            <w:pPr>
              <w:pStyle w:val="Body"/>
              <w:rPr>
                <w:noProof/>
                <w:sz w:val="20"/>
                <w:szCs w:val="20"/>
                <w:bdr w:val="none" w:sz="0" w:space="0" w:color="auto" w:frame="1"/>
                <w:lang w:val="en-IE"/>
              </w:rPr>
            </w:pPr>
            <w:r w:rsidRPr="00892F25">
              <w:rPr>
                <w:noProof/>
                <w:sz w:val="20"/>
                <w:szCs w:val="20"/>
                <w:bdr w:val="none" w:sz="0" w:space="0" w:color="auto" w:frame="1"/>
                <w:lang w:val="en-IE"/>
              </w:rPr>
              <w:t>Coherence with other parts of the regulatory framework</w:t>
            </w:r>
          </w:p>
        </w:tc>
        <w:tc>
          <w:tcPr>
            <w:tcW w:w="1451" w:type="pct"/>
            <w:tcBorders>
              <w:top w:val="single" w:sz="4" w:space="0" w:color="auto"/>
              <w:left w:val="single" w:sz="4" w:space="0" w:color="auto"/>
              <w:bottom w:val="single" w:sz="4" w:space="0" w:color="auto"/>
              <w:right w:val="single" w:sz="4" w:space="0" w:color="auto"/>
            </w:tcBorders>
            <w:vAlign w:val="center"/>
            <w:hideMark/>
          </w:tcPr>
          <w:p w14:paraId="2344E267"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0</w:t>
            </w:r>
          </w:p>
          <w:p w14:paraId="24AE61AF"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Fully compatible with ETS, more limited compatibility with other instruments</w:t>
            </w:r>
          </w:p>
        </w:tc>
        <w:tc>
          <w:tcPr>
            <w:tcW w:w="1266" w:type="pct"/>
            <w:tcBorders>
              <w:top w:val="single" w:sz="4" w:space="0" w:color="auto"/>
              <w:left w:val="single" w:sz="4" w:space="0" w:color="auto"/>
              <w:bottom w:val="single" w:sz="4" w:space="0" w:color="auto"/>
              <w:right w:val="single" w:sz="4" w:space="0" w:color="auto"/>
            </w:tcBorders>
            <w:vAlign w:val="center"/>
            <w:hideMark/>
          </w:tcPr>
          <w:p w14:paraId="50E64F5D"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2E7F85FE" w14:textId="77777777" w:rsidR="00D7556F" w:rsidRPr="00892F25" w:rsidRDefault="00D7556F">
            <w:pPr>
              <w:pStyle w:val="Body"/>
              <w:jc w:val="center"/>
              <w:rPr>
                <w:noProof/>
                <w:sz w:val="20"/>
                <w:szCs w:val="20"/>
                <w:lang w:val="en-IE"/>
              </w:rPr>
            </w:pPr>
            <w:r w:rsidRPr="00892F25">
              <w:rPr>
                <w:noProof/>
                <w:sz w:val="20"/>
                <w:szCs w:val="20"/>
                <w:bdr w:val="none" w:sz="0" w:space="0" w:color="auto" w:frame="1"/>
                <w:lang w:val="en-IE"/>
              </w:rPr>
              <w:t>Compatible with ETS, extra verification increases usefulness for other instruments</w:t>
            </w:r>
          </w:p>
        </w:tc>
        <w:tc>
          <w:tcPr>
            <w:tcW w:w="1265" w:type="pct"/>
            <w:tcBorders>
              <w:top w:val="single" w:sz="4" w:space="0" w:color="auto"/>
              <w:left w:val="single" w:sz="4" w:space="0" w:color="auto"/>
              <w:bottom w:val="single" w:sz="4" w:space="0" w:color="auto"/>
              <w:right w:val="single" w:sz="4" w:space="0" w:color="auto"/>
            </w:tcBorders>
            <w:vAlign w:val="center"/>
            <w:hideMark/>
          </w:tcPr>
          <w:p w14:paraId="6D4427A1"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w:t>
            </w:r>
          </w:p>
          <w:p w14:paraId="6AB13AD4" w14:textId="77777777" w:rsidR="00D7556F" w:rsidRPr="00892F25" w:rsidRDefault="00D7556F">
            <w:pPr>
              <w:pStyle w:val="Body"/>
              <w:jc w:val="center"/>
              <w:rPr>
                <w:noProof/>
                <w:sz w:val="20"/>
                <w:szCs w:val="20"/>
                <w:bdr w:val="none" w:sz="0" w:space="0" w:color="auto" w:frame="1"/>
                <w:lang w:val="en-IE"/>
              </w:rPr>
            </w:pPr>
            <w:r w:rsidRPr="00892F25">
              <w:rPr>
                <w:noProof/>
                <w:sz w:val="20"/>
                <w:szCs w:val="20"/>
                <w:bdr w:val="none" w:sz="0" w:space="0" w:color="auto" w:frame="1"/>
                <w:lang w:val="en-IE"/>
              </w:rPr>
              <w:t>No direct link with ETS, label could serve procurement and align with other labels</w:t>
            </w:r>
          </w:p>
        </w:tc>
      </w:tr>
    </w:tbl>
    <w:p w14:paraId="71AD980E" w14:textId="77777777" w:rsidR="00311DB3" w:rsidRPr="00FF63D1" w:rsidRDefault="00311DB3" w:rsidP="002B7F42">
      <w:pPr>
        <w:rPr>
          <w:noProof/>
        </w:rPr>
      </w:pPr>
      <w:bookmarkStart w:id="1452" w:name="_Toc65958323"/>
      <w:bookmarkStart w:id="1453" w:name="_Toc66054453"/>
      <w:bookmarkStart w:id="1454" w:name="_Toc66055965"/>
      <w:bookmarkStart w:id="1455" w:name="_Toc66087736"/>
      <w:bookmarkStart w:id="1456" w:name="_Toc66090723"/>
      <w:bookmarkStart w:id="1457" w:name="_Toc66093024"/>
      <w:bookmarkStart w:id="1458" w:name="_Toc66094663"/>
      <w:bookmarkStart w:id="1459" w:name="_Toc66097109"/>
      <w:bookmarkStart w:id="1460" w:name="_Toc66098961"/>
      <w:bookmarkStart w:id="1461" w:name="_Toc62740474"/>
      <w:bookmarkStart w:id="1462" w:name="_Toc62752771"/>
      <w:bookmarkStart w:id="1463" w:name="_Toc62824337"/>
      <w:bookmarkStart w:id="1464" w:name="_Toc62829459"/>
      <w:bookmarkStart w:id="1465" w:name="_Toc62832043"/>
      <w:bookmarkStart w:id="1466" w:name="_Toc62836084"/>
      <w:bookmarkStart w:id="1467" w:name="_Toc63066160"/>
      <w:bookmarkStart w:id="1468" w:name="_Toc63079235"/>
      <w:bookmarkStart w:id="1469" w:name="_Toc63082443"/>
      <w:bookmarkStart w:id="1470" w:name="_Toc63095507"/>
      <w:bookmarkStart w:id="1471" w:name="_Toc63096451"/>
      <w:bookmarkStart w:id="1472" w:name="_Toc63096843"/>
      <w:bookmarkStart w:id="1473" w:name="_Toc63097937"/>
      <w:bookmarkStart w:id="1474" w:name="_Toc63181146"/>
      <w:bookmarkStart w:id="1475" w:name="_Toc63197721"/>
      <w:bookmarkStart w:id="1476" w:name="_Toc63335619"/>
      <w:bookmarkStart w:id="1477" w:name="_Toc63339310"/>
      <w:bookmarkStart w:id="1478" w:name="_Toc63344649"/>
      <w:bookmarkStart w:id="1479" w:name="_Toc63355424"/>
      <w:bookmarkStart w:id="1480" w:name="_Toc63356097"/>
      <w:bookmarkStart w:id="1481" w:name="_Toc63374606"/>
      <w:bookmarkStart w:id="1482" w:name="_Toc63382185"/>
      <w:bookmarkStart w:id="1483" w:name="_Toc64303504"/>
      <w:bookmarkStart w:id="1484" w:name="_Toc64303894"/>
      <w:bookmarkStart w:id="1485" w:name="_Toc64309200"/>
      <w:bookmarkStart w:id="1486" w:name="_Toc64317678"/>
      <w:bookmarkStart w:id="1487" w:name="_Toc64392559"/>
      <w:bookmarkStart w:id="1488" w:name="_Toc64394317"/>
      <w:bookmarkStart w:id="1489" w:name="_Toc64534602"/>
      <w:bookmarkStart w:id="1490" w:name="_Toc64534425"/>
      <w:bookmarkStart w:id="1491" w:name="_Toc64539176"/>
      <w:bookmarkStart w:id="1492" w:name="_Toc64540453"/>
      <w:bookmarkStart w:id="1493" w:name="_Toc64540805"/>
      <w:bookmarkStart w:id="1494" w:name="_Toc64542628"/>
      <w:bookmarkStart w:id="1495" w:name="_Toc64544414"/>
      <w:bookmarkStart w:id="1496" w:name="_Toc64545179"/>
      <w:bookmarkStart w:id="1497" w:name="_Toc64545365"/>
      <w:bookmarkStart w:id="1498" w:name="_Toc64545551"/>
      <w:bookmarkStart w:id="1499" w:name="_Toc64547725"/>
      <w:bookmarkStart w:id="1500" w:name="_Toc64546745"/>
      <w:bookmarkStart w:id="1501" w:name="_Toc64548620"/>
      <w:bookmarkStart w:id="1502" w:name="_Toc64548961"/>
      <w:bookmarkStart w:id="1503" w:name="_Toc64561226"/>
      <w:bookmarkStart w:id="1504" w:name="_Toc64561541"/>
      <w:bookmarkStart w:id="1505" w:name="_Toc64567921"/>
      <w:bookmarkStart w:id="1506" w:name="_Toc64567746"/>
      <w:bookmarkStart w:id="1507" w:name="_Toc64582479"/>
      <w:bookmarkStart w:id="1508" w:name="_Toc64582917"/>
      <w:bookmarkStart w:id="1509" w:name="_Toc64657017"/>
      <w:bookmarkStart w:id="1510" w:name="_Toc64659673"/>
      <w:bookmarkStart w:id="1511" w:name="_Toc65071070"/>
      <w:bookmarkStart w:id="1512" w:name="_Toc65078754"/>
      <w:bookmarkStart w:id="1513" w:name="_Toc65084034"/>
      <w:bookmarkStart w:id="1514" w:name="_Toc65085380"/>
      <w:bookmarkStart w:id="1515" w:name="_Toc65086749"/>
      <w:bookmarkStart w:id="1516" w:name="_Toc65087133"/>
      <w:bookmarkStart w:id="1517" w:name="_Toc65092685"/>
      <w:bookmarkStart w:id="1518" w:name="_Toc65096691"/>
      <w:bookmarkStart w:id="1519" w:name="_Toc65968763"/>
      <w:bookmarkStart w:id="1520" w:name="_Toc66041634"/>
      <w:bookmarkStart w:id="1521" w:name="_Toc66052828"/>
      <w:bookmarkStart w:id="1522" w:name="_Toc66109739"/>
      <w:bookmarkStart w:id="1523" w:name="_Toc66112720"/>
      <w:bookmarkStart w:id="1524" w:name="_Toc66125352"/>
      <w:bookmarkStart w:id="1525" w:name="_Toc66125677"/>
      <w:bookmarkStart w:id="1526" w:name="_Toc66226286"/>
      <w:bookmarkStart w:id="1527" w:name="_Toc66229618"/>
      <w:bookmarkStart w:id="1528" w:name="_Toc67043668"/>
      <w:bookmarkStart w:id="1529" w:name="_Toc71587756"/>
      <w:bookmarkStart w:id="1530" w:name="_Ref72327296"/>
      <w:bookmarkStart w:id="1531" w:name="_Toc73142557"/>
      <w:bookmarkStart w:id="1532" w:name="_Toc73298474"/>
      <w:bookmarkStart w:id="1533" w:name="_Toc73310624"/>
      <w:bookmarkStart w:id="1534" w:name="_Toc73313649"/>
      <w:bookmarkStart w:id="1535" w:name="_Toc75444203"/>
      <w:bookmarkStart w:id="1536" w:name="_Toc75465220"/>
      <w:bookmarkStart w:id="1537" w:name="_Toc75499697"/>
      <w:bookmarkStart w:id="1538" w:name="_Toc75962292"/>
      <w:bookmarkStart w:id="1539" w:name="_Toc206091419"/>
    </w:p>
    <w:p w14:paraId="722C8928" w14:textId="0CEBC721" w:rsidR="001E0822" w:rsidRPr="00AB1DF9" w:rsidRDefault="007A7131" w:rsidP="001D426C">
      <w:pPr>
        <w:pStyle w:val="Heading2"/>
        <w:numPr>
          <w:ilvl w:val="0"/>
          <w:numId w:val="0"/>
        </w:numPr>
        <w:spacing w:before="0"/>
        <w:ind w:left="576" w:hanging="576"/>
        <w:rPr>
          <w:b w:val="0"/>
        </w:rPr>
      </w:pPr>
      <w:bookmarkStart w:id="1540" w:name="_Toc207192575"/>
      <w:bookmarkStart w:id="1541" w:name="_Toc212728882"/>
      <w:bookmarkStart w:id="1542" w:name="_Toc212729410"/>
      <w:bookmarkStart w:id="1543" w:name="_Toc215506354"/>
      <w:bookmarkStart w:id="1544" w:name="_Toc222490062"/>
      <w:r w:rsidRPr="00FF63D1">
        <w:t xml:space="preserve">4. </w:t>
      </w:r>
      <w:r w:rsidR="001E0822" w:rsidRPr="00AB1DF9">
        <w:t>Preferred option</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14:paraId="5BB6A196" w14:textId="0C7ACA8D" w:rsidR="008E55D2" w:rsidRPr="00FF63D1" w:rsidRDefault="008E55D2" w:rsidP="008E55D2">
      <w:pPr>
        <w:rPr>
          <w:rFonts w:cs="Times New Roman"/>
          <w:noProof/>
        </w:rPr>
      </w:pPr>
      <w:r w:rsidRPr="00FF63D1">
        <w:rPr>
          <w:rFonts w:eastAsia="Calibri" w:cs="Times New Roman"/>
          <w:noProof/>
        </w:rPr>
        <w:t xml:space="preserve">Following the analysis of impacts and comparison of options, the </w:t>
      </w:r>
      <w:r w:rsidRPr="00FF63D1">
        <w:rPr>
          <w:rFonts w:cs="Times New Roman"/>
          <w:noProof/>
        </w:rPr>
        <w:t>preferred policy option</w:t>
      </w:r>
      <w:r w:rsidR="006047BB" w:rsidRPr="00FF63D1">
        <w:rPr>
          <w:rFonts w:cs="Times New Roman"/>
          <w:noProof/>
        </w:rPr>
        <w:t xml:space="preserve"> would be</w:t>
      </w:r>
      <w:r w:rsidRPr="00FF63D1">
        <w:rPr>
          <w:rFonts w:cs="Times New Roman"/>
          <w:noProof/>
        </w:rPr>
        <w:t xml:space="preserve"> CALC2, CLAS2b and DATA 2.</w:t>
      </w:r>
    </w:p>
    <w:p w14:paraId="58AA1976" w14:textId="15B0E74F" w:rsidR="002B0B10" w:rsidRPr="00FF63D1" w:rsidRDefault="589B691B" w:rsidP="001D426C">
      <w:pPr>
        <w:rPr>
          <w:rFonts w:cs="Times New Roman"/>
          <w:noProof/>
        </w:rPr>
      </w:pPr>
      <w:r w:rsidRPr="2720EBAF">
        <w:rPr>
          <w:rFonts w:eastAsia="Calibri" w:cs="Times New Roman"/>
          <w:noProof/>
        </w:rPr>
        <w:t xml:space="preserve">The development of a low-carbon product label is one of the initiatives included in the communication on the Clean Industrial deal, aimed to allow industrial producers to distinguish carbon intensity of their industrial production and to benefit from targeted incentives. As such, the development of the label itself and in particular its effectiveness is linked to other elements of the regulatory framework, and in the proposal for an Industrial Accelerator Act. At the same time, the establishment of the label </w:t>
      </w:r>
      <w:r w:rsidR="00156903" w:rsidRPr="2720EBAF">
        <w:rPr>
          <w:rFonts w:eastAsia="Calibri" w:cs="Times New Roman"/>
          <w:noProof/>
        </w:rPr>
        <w:t>will be coherent</w:t>
      </w:r>
      <w:r w:rsidRPr="2720EBAF">
        <w:rPr>
          <w:rFonts w:eastAsia="Calibri" w:cs="Times New Roman"/>
          <w:noProof/>
        </w:rPr>
        <w:t xml:space="preserve"> with ongoing initiatives on developing comprehensive </w:t>
      </w:r>
      <w:r w:rsidR="00FD5291" w:rsidRPr="2720EBAF">
        <w:rPr>
          <w:rFonts w:eastAsia="Calibri" w:cs="Times New Roman"/>
          <w:noProof/>
        </w:rPr>
        <w:t>LCAs</w:t>
      </w:r>
      <w:r w:rsidRPr="2720EBAF">
        <w:rPr>
          <w:rFonts w:eastAsia="Calibri" w:cs="Times New Roman"/>
          <w:noProof/>
        </w:rPr>
        <w:t xml:space="preserve"> (to be used in ESPR and CPR). </w:t>
      </w:r>
      <w:r w:rsidR="2A7175F0" w:rsidRPr="2720EBAF">
        <w:rPr>
          <w:rFonts w:eastAsia="Calibri" w:cs="Times New Roman"/>
          <w:noProof/>
        </w:rPr>
        <w:t xml:space="preserve">The preferred option </w:t>
      </w:r>
      <w:r w:rsidR="4B0D43F3" w:rsidRPr="2720EBAF">
        <w:rPr>
          <w:rFonts w:eastAsia="Calibri" w:cs="Times New Roman"/>
          <w:noProof/>
        </w:rPr>
        <w:t xml:space="preserve">achieves the objective at the least costs by </w:t>
      </w:r>
      <w:r w:rsidR="2A7175F0" w:rsidRPr="2720EBAF">
        <w:rPr>
          <w:rFonts w:eastAsia="Calibri" w:cs="Times New Roman"/>
          <w:noProof/>
        </w:rPr>
        <w:t>optimis</w:t>
      </w:r>
      <w:r w:rsidR="6D8DE6DA" w:rsidRPr="2720EBAF">
        <w:rPr>
          <w:rFonts w:eastAsia="Calibri" w:cs="Times New Roman"/>
          <w:noProof/>
        </w:rPr>
        <w:t>ing</w:t>
      </w:r>
      <w:r w:rsidR="2A7175F0" w:rsidRPr="2720EBAF">
        <w:rPr>
          <w:rFonts w:eastAsia="Calibri" w:cs="Times New Roman"/>
          <w:noProof/>
        </w:rPr>
        <w:t xml:space="preserve"> its leverage of the existing data sources and frameworks of the ETS and CBAM</w:t>
      </w:r>
      <w:r w:rsidR="33E658FE" w:rsidRPr="2720EBAF">
        <w:rPr>
          <w:rFonts w:eastAsia="Calibri" w:cs="Times New Roman"/>
          <w:noProof/>
        </w:rPr>
        <w:t xml:space="preserve">. </w:t>
      </w:r>
      <w:r w:rsidR="5B0F22BE" w:rsidRPr="2720EBAF">
        <w:rPr>
          <w:rFonts w:eastAsia="Calibri" w:cs="Times New Roman"/>
          <w:noProof/>
        </w:rPr>
        <w:t xml:space="preserve">The selected </w:t>
      </w:r>
      <w:r w:rsidR="5B0F22BE" w:rsidRPr="2720EBAF">
        <w:rPr>
          <w:rFonts w:eastAsia="Times New Roman" w:cs="Times New Roman"/>
          <w:noProof/>
        </w:rPr>
        <w:t>system boundaries allow for a meaningful comparison of the carbon intensity of most steel products put on the EU market, without requiring overly detailed data.</w:t>
      </w:r>
      <w:r w:rsidR="33E658FE" w:rsidRPr="2720EBAF">
        <w:rPr>
          <w:rFonts w:eastAsia="Calibri" w:cs="Times New Roman"/>
          <w:noProof/>
        </w:rPr>
        <w:t xml:space="preserve"> The choice of an adapted sliding scale (</w:t>
      </w:r>
      <w:r w:rsidR="1744B67F" w:rsidRPr="2720EBAF">
        <w:rPr>
          <w:rFonts w:eastAsia="Calibri" w:cs="Times New Roman"/>
          <w:noProof/>
        </w:rPr>
        <w:t xml:space="preserve">see </w:t>
      </w:r>
      <w:r w:rsidR="33E658FE" w:rsidRPr="2720EBAF">
        <w:rPr>
          <w:rFonts w:eastAsia="Calibri" w:cs="Times New Roman"/>
          <w:noProof/>
        </w:rPr>
        <w:t xml:space="preserve">classification </w:t>
      </w:r>
      <w:r w:rsidR="7FD4E018" w:rsidRPr="2720EBAF">
        <w:rPr>
          <w:rFonts w:eastAsia="Calibri" w:cs="Times New Roman"/>
          <w:noProof/>
        </w:rPr>
        <w:t>paragraph</w:t>
      </w:r>
      <w:r w:rsidR="33E658FE" w:rsidRPr="2720EBAF">
        <w:rPr>
          <w:rFonts w:eastAsia="Calibri" w:cs="Times New Roman"/>
          <w:noProof/>
        </w:rPr>
        <w:t>) allows for</w:t>
      </w:r>
      <w:r w:rsidR="40B32B94" w:rsidRPr="2720EBAF">
        <w:rPr>
          <w:rFonts w:eastAsia="Calibri" w:cs="Times New Roman"/>
          <w:noProof/>
        </w:rPr>
        <w:t xml:space="preserve"> an effective measure, which can compare all production routes of steel and take into account the transformation of the sector in the medium and long term where primary and secondary production will be more and more intertwined.</w:t>
      </w:r>
    </w:p>
    <w:p w14:paraId="57B9ABAE" w14:textId="41212F48" w:rsidR="002B0B10" w:rsidRPr="001D426C" w:rsidRDefault="002C3F15" w:rsidP="001D426C">
      <w:pPr>
        <w:spacing w:before="240" w:after="240"/>
        <w:rPr>
          <w:rFonts w:cs="Times New Roman"/>
          <w:b/>
          <w:noProof/>
          <w:u w:val="single"/>
        </w:rPr>
      </w:pPr>
      <w:r w:rsidRPr="00FF63D1">
        <w:rPr>
          <w:rFonts w:cs="Times New Roman"/>
          <w:b/>
          <w:noProof/>
          <w:u w:val="single"/>
        </w:rPr>
        <w:t xml:space="preserve">Determination of </w:t>
      </w:r>
      <w:r w:rsidR="008A5A3D">
        <w:rPr>
          <w:rFonts w:cs="Times New Roman"/>
          <w:b/>
          <w:noProof/>
          <w:u w:val="single"/>
        </w:rPr>
        <w:t>GHG</w:t>
      </w:r>
      <w:r w:rsidRPr="00FF63D1">
        <w:rPr>
          <w:rFonts w:cs="Times New Roman"/>
          <w:b/>
          <w:noProof/>
          <w:u w:val="single"/>
        </w:rPr>
        <w:t xml:space="preserve"> intensity</w:t>
      </w:r>
    </w:p>
    <w:p w14:paraId="41E5D385" w14:textId="034D16B7" w:rsidR="002C3F15" w:rsidRPr="00FF63D1" w:rsidRDefault="7610940C" w:rsidP="001D426C">
      <w:pPr>
        <w:spacing w:before="240"/>
        <w:rPr>
          <w:rFonts w:cs="Times New Roman"/>
          <w:noProof/>
        </w:rPr>
      </w:pPr>
      <w:r w:rsidRPr="00FF63D1">
        <w:rPr>
          <w:rFonts w:cs="Times New Roman"/>
          <w:noProof/>
        </w:rPr>
        <w:t xml:space="preserve">In line with the aims of developing a feasible and impactful product label, with limited administrative impact, the </w:t>
      </w:r>
      <w:r w:rsidR="008A5A3D">
        <w:rPr>
          <w:rFonts w:cs="Times New Roman"/>
          <w:noProof/>
        </w:rPr>
        <w:t>GHG</w:t>
      </w:r>
      <w:r w:rsidRPr="00FF63D1">
        <w:rPr>
          <w:rFonts w:cs="Times New Roman"/>
          <w:noProof/>
        </w:rPr>
        <w:t xml:space="preserve"> intensity of the steel should be as much as possible calculated using relevant existing product benchmarks established under the EU ETS framework. In addition to these direct industrial GHG emissions, a limited number of key indirect emission sources should be included, i.e. electricity and hydrogen. The relevant GHG-intensity should be calculated in a straightforward way, with annual averages as the preferred approach. However, in some cases a more granular segmentation might be allowed, provided a clear intertemporal and/or physical unit demarcation can be demonstrated.</w:t>
      </w:r>
    </w:p>
    <w:p w14:paraId="4CAB6F40" w14:textId="77777777" w:rsidR="002B0B10" w:rsidRPr="00FF63D1" w:rsidRDefault="002B0B10" w:rsidP="002B0B10">
      <w:pPr>
        <w:rPr>
          <w:rFonts w:cs="Times New Roman"/>
          <w:noProof/>
        </w:rPr>
      </w:pPr>
    </w:p>
    <w:p w14:paraId="54EF1D0A" w14:textId="7439DE46" w:rsidR="009A6025" w:rsidRPr="00FF63D1" w:rsidRDefault="009A6025" w:rsidP="002B0B10">
      <w:pPr>
        <w:rPr>
          <w:rFonts w:cs="Times New Roman"/>
          <w:b/>
          <w:noProof/>
          <w:u w:val="single"/>
        </w:rPr>
      </w:pPr>
      <w:r w:rsidRPr="00FF63D1">
        <w:rPr>
          <w:rFonts w:cs="Times New Roman"/>
          <w:b/>
          <w:noProof/>
          <w:u w:val="single"/>
        </w:rPr>
        <w:t>Classification</w:t>
      </w:r>
    </w:p>
    <w:p w14:paraId="72EE4DC2" w14:textId="19CF1E91" w:rsidR="00B62BC6" w:rsidRPr="00FF63D1" w:rsidRDefault="589B691B" w:rsidP="001D426C">
      <w:pPr>
        <w:spacing w:before="240"/>
        <w:rPr>
          <w:rFonts w:cs="Times New Roman"/>
          <w:noProof/>
        </w:rPr>
      </w:pPr>
      <w:r w:rsidRPr="00FF63D1">
        <w:rPr>
          <w:rFonts w:cs="Times New Roman"/>
          <w:noProof/>
        </w:rPr>
        <w:t>To maximi</w:t>
      </w:r>
      <w:r w:rsidR="002B0B10" w:rsidRPr="00FF63D1">
        <w:rPr>
          <w:rFonts w:cs="Times New Roman"/>
          <w:noProof/>
        </w:rPr>
        <w:t>s</w:t>
      </w:r>
      <w:r w:rsidRPr="00FF63D1">
        <w:rPr>
          <w:rFonts w:cs="Times New Roman"/>
          <w:noProof/>
        </w:rPr>
        <w:t>e the effectiveness of the low-carbon product label and increase its possible usefulness for other policy instrument, classes of performances should be integrated in the label, based on clear quantitative GHG-intensity thresholds. To maximi</w:t>
      </w:r>
      <w:r w:rsidR="00B6209B">
        <w:rPr>
          <w:rFonts w:cs="Times New Roman"/>
          <w:noProof/>
        </w:rPr>
        <w:t>s</w:t>
      </w:r>
      <w:r w:rsidRPr="00FF63D1">
        <w:rPr>
          <w:rFonts w:cs="Times New Roman"/>
          <w:noProof/>
        </w:rPr>
        <w:t>e the comparability of diverse production pathways</w:t>
      </w:r>
      <w:r w:rsidR="00152087" w:rsidRPr="00FF63D1">
        <w:rPr>
          <w:rFonts w:cs="Times New Roman"/>
          <w:noProof/>
        </w:rPr>
        <w:t xml:space="preserve"> and account for the inherent GHG emissions included in scrap</w:t>
      </w:r>
      <w:r w:rsidRPr="00FF63D1">
        <w:rPr>
          <w:rFonts w:cs="Times New Roman"/>
          <w:noProof/>
        </w:rPr>
        <w:t xml:space="preserve">, it is recommended to adjust the performance class thresholds in line with the amount of scrap used. </w:t>
      </w:r>
      <w:r w:rsidR="00A7732C" w:rsidRPr="00FF63D1">
        <w:rPr>
          <w:rFonts w:cs="Times New Roman"/>
          <w:noProof/>
        </w:rPr>
        <w:t>However, the exact shape of the curve and the scrap adjustment should be defined in a way that avoids unintended consequences, maximises environmental benefits and still provides sufficient incentives for decarbonisation for both technologies</w:t>
      </w:r>
      <w:r w:rsidR="0081018C" w:rsidRPr="00FF63D1">
        <w:rPr>
          <w:rFonts w:cs="Times New Roman"/>
          <w:noProof/>
        </w:rPr>
        <w:t xml:space="preserve">. </w:t>
      </w:r>
      <w:r w:rsidRPr="00FF63D1">
        <w:rPr>
          <w:rFonts w:cs="Times New Roman"/>
          <w:noProof/>
        </w:rPr>
        <w:t>At the same time, it could be envisaged that the label provides multiple types of information: in addition to indicating a performance class under the classification system, it could also show the actual GHG emission intensity and/or the amount of recycled content used in the product.</w:t>
      </w:r>
    </w:p>
    <w:p w14:paraId="2A5341D9" w14:textId="77777777" w:rsidR="003722CF" w:rsidRPr="00FF63D1" w:rsidRDefault="003722CF" w:rsidP="002B0B10">
      <w:pPr>
        <w:rPr>
          <w:rFonts w:cs="Times New Roman"/>
          <w:noProof/>
        </w:rPr>
      </w:pPr>
    </w:p>
    <w:p w14:paraId="543AE96B" w14:textId="1BC9DD8F" w:rsidR="003722CF" w:rsidRPr="00FF63D1" w:rsidRDefault="003722CF" w:rsidP="001D426C">
      <w:pPr>
        <w:spacing w:after="240"/>
        <w:rPr>
          <w:rFonts w:cs="Times New Roman"/>
          <w:noProof/>
        </w:rPr>
      </w:pPr>
      <w:r w:rsidRPr="00FF63D1">
        <w:rPr>
          <w:rFonts w:cs="Times New Roman"/>
          <w:noProof/>
        </w:rPr>
        <w:t xml:space="preserve">For illustration purposes, the figure below provides an initial indication about what the label could look like, at least in its basic elements. </w:t>
      </w:r>
      <w:r w:rsidR="00FC096E" w:rsidRPr="00FF63D1">
        <w:rPr>
          <w:rFonts w:cs="Times New Roman"/>
          <w:noProof/>
        </w:rPr>
        <w:t xml:space="preserve">The actual levels, the steepness of the curves and the (potential) flattening of the curve </w:t>
      </w:r>
      <w:r w:rsidR="003D2445" w:rsidRPr="00FF63D1">
        <w:rPr>
          <w:rFonts w:cs="Times New Roman"/>
          <w:noProof/>
        </w:rPr>
        <w:t>require</w:t>
      </w:r>
      <w:r w:rsidR="00FC096E" w:rsidRPr="00FF63D1">
        <w:rPr>
          <w:rFonts w:cs="Times New Roman"/>
          <w:noProof/>
        </w:rPr>
        <w:t xml:space="preserve"> further analysis</w:t>
      </w:r>
      <w:r w:rsidR="003D2445" w:rsidRPr="00FF63D1">
        <w:rPr>
          <w:rFonts w:cs="Times New Roman"/>
          <w:noProof/>
        </w:rPr>
        <w:t xml:space="preserve">. </w:t>
      </w:r>
      <w:r w:rsidR="000F7CFE" w:rsidRPr="00FF63D1">
        <w:rPr>
          <w:rFonts w:cs="Times New Roman"/>
          <w:noProof/>
        </w:rPr>
        <w:t>Besides the curves, some reference scenarios are added; t</w:t>
      </w:r>
      <w:r w:rsidR="1F890B65" w:rsidRPr="00FF63D1">
        <w:rPr>
          <w:rFonts w:cs="Times New Roman"/>
          <w:noProof/>
        </w:rPr>
        <w:t>he dots reflect the emission intensities of specific technology scenarios, with calculations based on the system boundaries of the preferred options of the impact assessment and including the hot rolling step, as this was widely supported by the industry.</w:t>
      </w:r>
    </w:p>
    <w:p w14:paraId="37CB7A1A" w14:textId="71C3A000" w:rsidR="002F006E" w:rsidRPr="00FF63D1" w:rsidRDefault="1F890B65" w:rsidP="00257D37">
      <w:pPr>
        <w:keepNext/>
        <w:jc w:val="center"/>
        <w:rPr>
          <w:noProof/>
        </w:rPr>
      </w:pPr>
      <w:r w:rsidRPr="0054474F">
        <w:rPr>
          <w:noProof/>
          <w:lang w:eastAsia="en-GB"/>
        </w:rPr>
        <w:drawing>
          <wp:inline distT="0" distB="0" distL="0" distR="0" wp14:anchorId="33FADCC1" wp14:editId="2E843362">
            <wp:extent cx="5782654" cy="2732567"/>
            <wp:effectExtent l="0" t="0" r="8890" b="0"/>
            <wp:docPr id="2580073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07382" name=""/>
                    <pic:cNvPicPr/>
                  </pic:nvPicPr>
                  <pic:blipFill>
                    <a:blip r:embed="rId119">
                      <a:extLst>
                        <a:ext uri="{28A0092B-C50C-407E-A947-70E740481C1C}">
                          <a14:useLocalDpi xmlns:a14="http://schemas.microsoft.com/office/drawing/2010/main" val="0"/>
                        </a:ext>
                      </a:extLst>
                    </a:blip>
                    <a:stretch>
                      <a:fillRect/>
                    </a:stretch>
                  </pic:blipFill>
                  <pic:spPr>
                    <a:xfrm>
                      <a:off x="0" y="0"/>
                      <a:ext cx="5825986" cy="2753043"/>
                    </a:xfrm>
                    <a:prstGeom prst="rect">
                      <a:avLst/>
                    </a:prstGeom>
                  </pic:spPr>
                </pic:pic>
              </a:graphicData>
            </a:graphic>
          </wp:inline>
        </w:drawing>
      </w:r>
    </w:p>
    <w:p w14:paraId="6EA7BA2F" w14:textId="632C8E7D" w:rsidR="00AD3E01" w:rsidRPr="005754F4" w:rsidRDefault="002F006E" w:rsidP="005754F4">
      <w:pPr>
        <w:pStyle w:val="Caption"/>
        <w:jc w:val="center"/>
        <w:rPr>
          <w:noProof/>
          <w:sz w:val="20"/>
          <w:szCs w:val="14"/>
        </w:rPr>
      </w:pPr>
      <w:r w:rsidRPr="005754F4">
        <w:rPr>
          <w:noProof/>
          <w:sz w:val="20"/>
          <w:szCs w:val="14"/>
        </w:rPr>
        <w:t xml:space="preserve">Figure </w:t>
      </w:r>
      <w:r w:rsidRPr="005754F4">
        <w:rPr>
          <w:noProof/>
          <w:sz w:val="20"/>
          <w:szCs w:val="14"/>
        </w:rPr>
        <w:fldChar w:fldCharType="begin"/>
      </w:r>
      <w:r w:rsidRPr="005754F4">
        <w:rPr>
          <w:noProof/>
          <w:sz w:val="20"/>
          <w:szCs w:val="14"/>
          <w:lang w:val="en-IE"/>
        </w:rPr>
        <w:instrText xml:space="preserve"> SEQ Figure \* ARABIC </w:instrText>
      </w:r>
      <w:r w:rsidRPr="005754F4">
        <w:rPr>
          <w:noProof/>
          <w:sz w:val="20"/>
          <w:szCs w:val="14"/>
        </w:rPr>
        <w:fldChar w:fldCharType="separate"/>
      </w:r>
      <w:r w:rsidR="00E16D65">
        <w:rPr>
          <w:noProof/>
          <w:sz w:val="20"/>
          <w:szCs w:val="14"/>
          <w:lang w:val="en-IE"/>
        </w:rPr>
        <w:t>36</w:t>
      </w:r>
      <w:r w:rsidRPr="005754F4">
        <w:rPr>
          <w:noProof/>
          <w:sz w:val="20"/>
          <w:szCs w:val="14"/>
        </w:rPr>
        <w:fldChar w:fldCharType="end"/>
      </w:r>
      <w:r w:rsidR="001843BD">
        <w:rPr>
          <w:noProof/>
          <w:sz w:val="20"/>
          <w:szCs w:val="14"/>
        </w:rPr>
        <w:t>:</w:t>
      </w:r>
      <w:r w:rsidR="00566ECB" w:rsidRPr="005754F4">
        <w:rPr>
          <w:noProof/>
          <w:sz w:val="20"/>
          <w:szCs w:val="14"/>
        </w:rPr>
        <w:t xml:space="preserve"> Sliding scale</w:t>
      </w:r>
    </w:p>
    <w:p w14:paraId="3E97A8A7" w14:textId="75810442" w:rsidR="00566ECB" w:rsidRPr="00892F25" w:rsidRDefault="00566ECB" w:rsidP="005754F4">
      <w:pPr>
        <w:pStyle w:val="Caption"/>
        <w:keepNext/>
        <w:spacing w:before="240"/>
        <w:rPr>
          <w:noProof/>
          <w:sz w:val="20"/>
          <w:szCs w:val="14"/>
        </w:rPr>
      </w:pPr>
      <w:r w:rsidRPr="00892F25">
        <w:rPr>
          <w:noProof/>
          <w:sz w:val="20"/>
          <w:szCs w:val="14"/>
        </w:rPr>
        <w:t xml:space="preserve">Table </w:t>
      </w:r>
      <w:r w:rsidRPr="00892F25">
        <w:rPr>
          <w:noProof/>
          <w:sz w:val="20"/>
          <w:szCs w:val="14"/>
        </w:rPr>
        <w:fldChar w:fldCharType="begin"/>
      </w:r>
      <w:r w:rsidRPr="00321611">
        <w:rPr>
          <w:noProof/>
          <w:sz w:val="20"/>
          <w:szCs w:val="20"/>
        </w:rPr>
        <w:instrText xml:space="preserve"> SEQ Table \* ARABIC </w:instrText>
      </w:r>
      <w:r w:rsidRPr="00892F25">
        <w:rPr>
          <w:noProof/>
          <w:sz w:val="20"/>
          <w:szCs w:val="14"/>
        </w:rPr>
        <w:fldChar w:fldCharType="separate"/>
      </w:r>
      <w:r w:rsidR="00622D1D">
        <w:rPr>
          <w:noProof/>
          <w:sz w:val="20"/>
          <w:szCs w:val="20"/>
        </w:rPr>
        <w:t>37</w:t>
      </w:r>
      <w:r w:rsidRPr="00892F25">
        <w:rPr>
          <w:noProof/>
          <w:sz w:val="20"/>
          <w:szCs w:val="14"/>
        </w:rPr>
        <w:fldChar w:fldCharType="end"/>
      </w:r>
      <w:r w:rsidRPr="00892F25">
        <w:rPr>
          <w:noProof/>
          <w:sz w:val="20"/>
          <w:szCs w:val="20"/>
        </w:rPr>
        <w:t xml:space="preserve">: </w:t>
      </w:r>
      <w:r w:rsidRPr="00892F25">
        <w:rPr>
          <w:rFonts w:eastAsia="Calibri"/>
          <w:noProof/>
          <w:sz w:val="20"/>
          <w:szCs w:val="20"/>
        </w:rPr>
        <w:t>Production route details</w:t>
      </w:r>
    </w:p>
    <w:tbl>
      <w:tblPr>
        <w:tblStyle w:val="TableGrid"/>
        <w:tblW w:w="499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1093"/>
        <w:gridCol w:w="920"/>
        <w:gridCol w:w="954"/>
        <w:gridCol w:w="4532"/>
      </w:tblGrid>
      <w:tr w:rsidR="00974A61" w:rsidRPr="00FF63D1" w14:paraId="60E00124" w14:textId="77777777" w:rsidTr="009D6517">
        <w:trPr>
          <w:trHeight w:val="542"/>
          <w:tblHeader/>
        </w:trPr>
        <w:tc>
          <w:tcPr>
            <w:tcW w:w="834" w:type="pct"/>
          </w:tcPr>
          <w:p w14:paraId="3D655699" w14:textId="657CD41A" w:rsidR="00C566F4" w:rsidRPr="00FF63D1" w:rsidRDefault="00C566F4" w:rsidP="00C566F4">
            <w:pPr>
              <w:spacing w:line="276" w:lineRule="auto"/>
              <w:rPr>
                <w:rFonts w:eastAsia="Calibri"/>
                <w:b/>
                <w:noProof/>
                <w:sz w:val="22"/>
              </w:rPr>
            </w:pPr>
            <w:r w:rsidRPr="00FF63D1">
              <w:rPr>
                <w:rFonts w:eastAsia="Aptos Narrow"/>
                <w:noProof/>
                <w:sz w:val="22"/>
              </w:rPr>
              <w:t>Production route</w:t>
            </w:r>
          </w:p>
        </w:tc>
        <w:tc>
          <w:tcPr>
            <w:tcW w:w="607" w:type="pct"/>
          </w:tcPr>
          <w:p w14:paraId="00E1D2B9" w14:textId="77777777" w:rsidR="00C566F4" w:rsidRPr="00FF63D1" w:rsidRDefault="4F09F07B" w:rsidP="2720EBAF">
            <w:pPr>
              <w:rPr>
                <w:rFonts w:eastAsia="Aptos Narrow"/>
                <w:noProof/>
                <w:sz w:val="22"/>
              </w:rPr>
            </w:pPr>
            <w:r w:rsidRPr="2720EBAF">
              <w:rPr>
                <w:rFonts w:eastAsia="Aptos Narrow"/>
                <w:b/>
                <w:bCs/>
                <w:noProof/>
                <w:sz w:val="22"/>
              </w:rPr>
              <w:t>kgCO</w:t>
            </w:r>
            <w:r w:rsidRPr="2720EBAF">
              <w:rPr>
                <w:rFonts w:eastAsia="Aptos Narrow"/>
                <w:b/>
                <w:bCs/>
                <w:noProof/>
                <w:sz w:val="22"/>
                <w:vertAlign w:val="subscript"/>
              </w:rPr>
              <w:t>2</w:t>
            </w:r>
            <w:r w:rsidRPr="2720EBAF">
              <w:rPr>
                <w:rFonts w:eastAsia="Aptos Narrow"/>
                <w:b/>
                <w:bCs/>
                <w:noProof/>
                <w:sz w:val="22"/>
              </w:rPr>
              <w:t>/</w:t>
            </w:r>
          </w:p>
          <w:p w14:paraId="73B8032C" w14:textId="556D956E" w:rsidR="00C566F4" w:rsidRPr="00FF63D1" w:rsidRDefault="4F09F07B" w:rsidP="2720EBAF">
            <w:pPr>
              <w:spacing w:line="276" w:lineRule="auto"/>
              <w:rPr>
                <w:rFonts w:eastAsia="Aptos Narrow"/>
                <w:b/>
                <w:bCs/>
                <w:noProof/>
                <w:sz w:val="22"/>
              </w:rPr>
            </w:pPr>
            <w:r w:rsidRPr="2720EBAF">
              <w:rPr>
                <w:rFonts w:eastAsia="Aptos Narrow"/>
                <w:b/>
                <w:bCs/>
                <w:noProof/>
                <w:sz w:val="22"/>
              </w:rPr>
              <w:t>ton</w:t>
            </w:r>
          </w:p>
        </w:tc>
        <w:tc>
          <w:tcPr>
            <w:tcW w:w="511" w:type="pct"/>
          </w:tcPr>
          <w:p w14:paraId="755E95C8" w14:textId="1163FBAC" w:rsidR="00C566F4" w:rsidRPr="00FF63D1" w:rsidRDefault="00C566F4" w:rsidP="00C566F4">
            <w:pPr>
              <w:spacing w:line="276" w:lineRule="auto"/>
              <w:rPr>
                <w:rFonts w:eastAsia="Calibri"/>
                <w:b/>
                <w:noProof/>
                <w:sz w:val="22"/>
              </w:rPr>
            </w:pPr>
            <w:r w:rsidRPr="00FF63D1">
              <w:rPr>
                <w:rFonts w:eastAsia="Aptos Narrow"/>
                <w:b/>
                <w:noProof/>
                <w:sz w:val="22"/>
              </w:rPr>
              <w:t>Scrap input</w:t>
            </w:r>
          </w:p>
        </w:tc>
        <w:tc>
          <w:tcPr>
            <w:tcW w:w="530" w:type="pct"/>
          </w:tcPr>
          <w:p w14:paraId="6A001AD9" w14:textId="26AAEC08" w:rsidR="00C566F4" w:rsidRPr="00FF63D1" w:rsidRDefault="00C566F4" w:rsidP="00C566F4">
            <w:pPr>
              <w:spacing w:line="276" w:lineRule="auto"/>
              <w:rPr>
                <w:rFonts w:eastAsia="Calibri"/>
                <w:b/>
                <w:noProof/>
                <w:sz w:val="22"/>
              </w:rPr>
            </w:pPr>
            <w:r w:rsidRPr="00FF63D1">
              <w:rPr>
                <w:rFonts w:eastAsia="Aptos Narrow"/>
                <w:b/>
                <w:noProof/>
                <w:sz w:val="22"/>
              </w:rPr>
              <w:t>Scrap input</w:t>
            </w:r>
          </w:p>
        </w:tc>
        <w:tc>
          <w:tcPr>
            <w:tcW w:w="2508" w:type="pct"/>
          </w:tcPr>
          <w:p w14:paraId="0A40B28B" w14:textId="0D490E47" w:rsidR="00C566F4" w:rsidRPr="00FF63D1" w:rsidRDefault="00C566F4" w:rsidP="00C566F4">
            <w:pPr>
              <w:spacing w:line="276" w:lineRule="auto"/>
              <w:rPr>
                <w:rFonts w:eastAsia="Calibri"/>
                <w:b/>
                <w:noProof/>
                <w:sz w:val="22"/>
              </w:rPr>
            </w:pPr>
            <w:r w:rsidRPr="00FF63D1">
              <w:rPr>
                <w:rFonts w:eastAsia="Aptos Narrow"/>
                <w:b/>
                <w:noProof/>
                <w:sz w:val="22"/>
              </w:rPr>
              <w:t>Remarks</w:t>
            </w:r>
          </w:p>
        </w:tc>
      </w:tr>
      <w:tr w:rsidR="00974A61" w:rsidRPr="00FF63D1" w14:paraId="0AE38147" w14:textId="77777777" w:rsidTr="2720EBAF">
        <w:trPr>
          <w:trHeight w:val="515"/>
        </w:trPr>
        <w:tc>
          <w:tcPr>
            <w:tcW w:w="834" w:type="pct"/>
          </w:tcPr>
          <w:p w14:paraId="3066DCB1" w14:textId="43BAA969"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BF-BOF route AVG emissions</w:t>
            </w:r>
          </w:p>
        </w:tc>
        <w:tc>
          <w:tcPr>
            <w:tcW w:w="607" w:type="pct"/>
          </w:tcPr>
          <w:p w14:paraId="752D325D" w14:textId="6B01F643"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1898</w:t>
            </w:r>
          </w:p>
        </w:tc>
        <w:tc>
          <w:tcPr>
            <w:tcW w:w="511" w:type="pct"/>
          </w:tcPr>
          <w:p w14:paraId="61F1FF3D" w14:textId="45514F5E"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530" w:type="pct"/>
          </w:tcPr>
          <w:p w14:paraId="27C05D53" w14:textId="062DAB61"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2508" w:type="pct"/>
          </w:tcPr>
          <w:p w14:paraId="40B465FA" w14:textId="46B56314"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Based on average emissions from ETS installations (2016-2017)</w:t>
            </w:r>
          </w:p>
        </w:tc>
      </w:tr>
      <w:tr w:rsidR="00974A61" w:rsidRPr="00FF63D1" w14:paraId="3FC2F71C" w14:textId="77777777" w:rsidTr="2720EBAF">
        <w:trPr>
          <w:trHeight w:val="529"/>
        </w:trPr>
        <w:tc>
          <w:tcPr>
            <w:tcW w:w="834" w:type="pct"/>
          </w:tcPr>
          <w:p w14:paraId="3DDC9AEC" w14:textId="5B5E99B2"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BF-BOF route BM emissions</w:t>
            </w:r>
          </w:p>
        </w:tc>
        <w:tc>
          <w:tcPr>
            <w:tcW w:w="607" w:type="pct"/>
          </w:tcPr>
          <w:p w14:paraId="5330315D" w14:textId="573B259E"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1547</w:t>
            </w:r>
          </w:p>
        </w:tc>
        <w:tc>
          <w:tcPr>
            <w:tcW w:w="511" w:type="pct"/>
          </w:tcPr>
          <w:p w14:paraId="7AE2B09F" w14:textId="131F0414"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530" w:type="pct"/>
          </w:tcPr>
          <w:p w14:paraId="018E0401" w14:textId="21144BC2"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2508" w:type="pct"/>
          </w:tcPr>
          <w:p w14:paraId="442046FF" w14:textId="37A6D354"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Based on ETS benchmark values, for the period 2021-2025</w:t>
            </w:r>
          </w:p>
        </w:tc>
      </w:tr>
      <w:tr w:rsidR="00974A61" w:rsidRPr="00FF63D1" w14:paraId="34E0F5AA" w14:textId="77777777" w:rsidTr="2720EBAF">
        <w:trPr>
          <w:trHeight w:val="529"/>
        </w:trPr>
        <w:tc>
          <w:tcPr>
            <w:tcW w:w="834" w:type="pct"/>
          </w:tcPr>
          <w:p w14:paraId="2C35FE42" w14:textId="27EC3966"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BF-BOF route AVG emissions + CCS</w:t>
            </w:r>
          </w:p>
        </w:tc>
        <w:tc>
          <w:tcPr>
            <w:tcW w:w="607" w:type="pct"/>
          </w:tcPr>
          <w:p w14:paraId="2E67E7DE" w14:textId="2C62D87F"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1365</w:t>
            </w:r>
          </w:p>
        </w:tc>
        <w:tc>
          <w:tcPr>
            <w:tcW w:w="511" w:type="pct"/>
          </w:tcPr>
          <w:p w14:paraId="63370AD6" w14:textId="67183CD4"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530" w:type="pct"/>
          </w:tcPr>
          <w:p w14:paraId="29B3D937" w14:textId="22AB08B3"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2508" w:type="pct"/>
          </w:tcPr>
          <w:p w14:paraId="27FB8744" w14:textId="160607EC"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Based on ETS values and scientific literature</w:t>
            </w:r>
          </w:p>
        </w:tc>
      </w:tr>
      <w:tr w:rsidR="00974A61" w:rsidRPr="00FF63D1" w14:paraId="0E2F471D" w14:textId="77777777" w:rsidTr="2720EBAF">
        <w:trPr>
          <w:trHeight w:val="515"/>
        </w:trPr>
        <w:tc>
          <w:tcPr>
            <w:tcW w:w="834" w:type="pct"/>
          </w:tcPr>
          <w:p w14:paraId="62837D64" w14:textId="27E26FCD"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BF-BOF route BM emissions + CCS</w:t>
            </w:r>
          </w:p>
        </w:tc>
        <w:tc>
          <w:tcPr>
            <w:tcW w:w="607" w:type="pct"/>
          </w:tcPr>
          <w:p w14:paraId="696E3E0B" w14:textId="34E7DCB2"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1226</w:t>
            </w:r>
          </w:p>
        </w:tc>
        <w:tc>
          <w:tcPr>
            <w:tcW w:w="511" w:type="pct"/>
          </w:tcPr>
          <w:p w14:paraId="454F083C" w14:textId="3E0A6E9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530" w:type="pct"/>
          </w:tcPr>
          <w:p w14:paraId="054EDE4A" w14:textId="16798FD9"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15%</w:t>
            </w:r>
          </w:p>
        </w:tc>
        <w:tc>
          <w:tcPr>
            <w:tcW w:w="2508" w:type="pct"/>
          </w:tcPr>
          <w:p w14:paraId="0C39BC0A" w14:textId="006AAA60"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Based on ETS benchmark values and scientific literature</w:t>
            </w:r>
          </w:p>
        </w:tc>
      </w:tr>
      <w:tr w:rsidR="00974A61" w:rsidRPr="00FF63D1" w14:paraId="2A037263" w14:textId="77777777" w:rsidTr="2720EBAF">
        <w:trPr>
          <w:trHeight w:val="298"/>
        </w:trPr>
        <w:tc>
          <w:tcPr>
            <w:tcW w:w="834" w:type="pct"/>
          </w:tcPr>
          <w:p w14:paraId="0B0C1838" w14:textId="31421743"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DRI NG EU MIX</w:t>
            </w:r>
          </w:p>
        </w:tc>
        <w:tc>
          <w:tcPr>
            <w:tcW w:w="607" w:type="pct"/>
          </w:tcPr>
          <w:p w14:paraId="6A09E120" w14:textId="4F832ED8"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842</w:t>
            </w:r>
          </w:p>
        </w:tc>
        <w:tc>
          <w:tcPr>
            <w:tcW w:w="511" w:type="pct"/>
          </w:tcPr>
          <w:p w14:paraId="180E7F17" w14:textId="76A8F593"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530" w:type="pct"/>
          </w:tcPr>
          <w:p w14:paraId="290B4AE9" w14:textId="509042FC"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2508" w:type="pct"/>
          </w:tcPr>
          <w:p w14:paraId="01054E31" w14:textId="0D16B029" w:rsidR="00C566F4" w:rsidRPr="00FF63D1" w:rsidRDefault="00C566F4" w:rsidP="00C566F4">
            <w:pPr>
              <w:spacing w:line="276" w:lineRule="auto"/>
              <w:rPr>
                <w:rFonts w:eastAsia="Calibri"/>
                <w:b/>
                <w:noProof/>
                <w:sz w:val="22"/>
              </w:rPr>
            </w:pPr>
            <w:r w:rsidRPr="00892F25">
              <w:rPr>
                <w:rFonts w:eastAsia="Aptos Narrow"/>
                <w:noProof/>
                <w:color w:val="000000" w:themeColor="text1"/>
              </w:rPr>
              <w:t>Based on information from MIDREX DRI and scientific literature</w:t>
            </w:r>
          </w:p>
        </w:tc>
      </w:tr>
      <w:tr w:rsidR="00C566F4" w:rsidRPr="00FF63D1" w14:paraId="755B0837" w14:textId="77777777" w:rsidTr="2720EBAF">
        <w:trPr>
          <w:trHeight w:val="284"/>
        </w:trPr>
        <w:tc>
          <w:tcPr>
            <w:tcW w:w="834" w:type="pct"/>
          </w:tcPr>
          <w:p w14:paraId="2414D1AE" w14:textId="4AE1F1D3" w:rsidR="00C566F4" w:rsidRPr="00085803" w:rsidRDefault="00C566F4" w:rsidP="00C566F4">
            <w:pPr>
              <w:spacing w:line="276" w:lineRule="auto"/>
              <w:rPr>
                <w:rFonts w:eastAsia="Calibri"/>
                <w:b/>
                <w:noProof/>
                <w:sz w:val="22"/>
                <w:lang w:val="fr-BE"/>
              </w:rPr>
            </w:pPr>
            <w:r w:rsidRPr="00085803">
              <w:rPr>
                <w:rFonts w:eastAsia="Aptos Narrow"/>
                <w:noProof/>
                <w:color w:val="000000" w:themeColor="text1"/>
                <w:lang w:val="fr-BE"/>
              </w:rPr>
              <w:t>DRI NG EU MIX CCS</w:t>
            </w:r>
          </w:p>
        </w:tc>
        <w:tc>
          <w:tcPr>
            <w:tcW w:w="607" w:type="pct"/>
          </w:tcPr>
          <w:p w14:paraId="4DBCC153" w14:textId="59071B5F"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542</w:t>
            </w:r>
          </w:p>
        </w:tc>
        <w:tc>
          <w:tcPr>
            <w:tcW w:w="511" w:type="pct"/>
          </w:tcPr>
          <w:p w14:paraId="5D516112" w14:textId="00B1DEB0"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530" w:type="pct"/>
          </w:tcPr>
          <w:p w14:paraId="62009719" w14:textId="49669E81"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2517" w:type="pct"/>
            <w:vAlign w:val="center"/>
          </w:tcPr>
          <w:p w14:paraId="08289874" w14:textId="77777777" w:rsidR="00C566F4" w:rsidRPr="00FF63D1" w:rsidRDefault="00C566F4" w:rsidP="00C566F4">
            <w:pPr>
              <w:spacing w:line="276" w:lineRule="auto"/>
              <w:rPr>
                <w:rFonts w:eastAsia="Calibri"/>
                <w:b/>
                <w:noProof/>
                <w:sz w:val="22"/>
              </w:rPr>
            </w:pPr>
          </w:p>
        </w:tc>
      </w:tr>
      <w:tr w:rsidR="00C566F4" w:rsidRPr="00FF63D1" w14:paraId="69CBC3B8" w14:textId="77777777" w:rsidTr="2720EBAF">
        <w:trPr>
          <w:trHeight w:val="284"/>
        </w:trPr>
        <w:tc>
          <w:tcPr>
            <w:tcW w:w="834" w:type="pct"/>
          </w:tcPr>
          <w:p w14:paraId="33571FFE" w14:textId="42B8AAE1" w:rsidR="00C566F4" w:rsidRPr="00892F25" w:rsidRDefault="00C566F4" w:rsidP="00C566F4">
            <w:pPr>
              <w:spacing w:line="276" w:lineRule="auto"/>
              <w:rPr>
                <w:rFonts w:eastAsia="Calibri"/>
                <w:b/>
                <w:noProof/>
                <w:sz w:val="22"/>
                <w:lang w:val="pt-BR"/>
              </w:rPr>
            </w:pPr>
            <w:r w:rsidRPr="00892F25">
              <w:rPr>
                <w:rFonts w:eastAsia="Aptos Narrow"/>
                <w:noProof/>
                <w:color w:val="000000" w:themeColor="text1"/>
                <w:lang w:val="pt-BR"/>
              </w:rPr>
              <w:t>DRI FF H2 EU MIX</w:t>
            </w:r>
          </w:p>
        </w:tc>
        <w:tc>
          <w:tcPr>
            <w:tcW w:w="607" w:type="pct"/>
          </w:tcPr>
          <w:p w14:paraId="3073106B" w14:textId="41804245"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1405</w:t>
            </w:r>
          </w:p>
        </w:tc>
        <w:tc>
          <w:tcPr>
            <w:tcW w:w="511" w:type="pct"/>
          </w:tcPr>
          <w:p w14:paraId="494994BD" w14:textId="707B2FC6"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530" w:type="pct"/>
          </w:tcPr>
          <w:p w14:paraId="760BCCA5" w14:textId="00DB965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2517" w:type="pct"/>
            <w:vAlign w:val="center"/>
          </w:tcPr>
          <w:p w14:paraId="2956D8FF" w14:textId="77777777" w:rsidR="00C566F4" w:rsidRPr="00FF63D1" w:rsidRDefault="00C566F4" w:rsidP="00C566F4">
            <w:pPr>
              <w:spacing w:line="276" w:lineRule="auto"/>
              <w:rPr>
                <w:rFonts w:eastAsia="Calibri"/>
                <w:b/>
                <w:noProof/>
                <w:sz w:val="22"/>
              </w:rPr>
            </w:pPr>
          </w:p>
        </w:tc>
      </w:tr>
      <w:tr w:rsidR="00C566F4" w:rsidRPr="00FF63D1" w14:paraId="77E9651B" w14:textId="77777777" w:rsidTr="2720EBAF">
        <w:trPr>
          <w:trHeight w:val="284"/>
        </w:trPr>
        <w:tc>
          <w:tcPr>
            <w:tcW w:w="834" w:type="pct"/>
          </w:tcPr>
          <w:p w14:paraId="02D5EBB1" w14:textId="40E4AF8C" w:rsidR="00C566F4" w:rsidRPr="00FB0DDA" w:rsidRDefault="00C566F4" w:rsidP="00C566F4">
            <w:pPr>
              <w:spacing w:line="276" w:lineRule="auto"/>
              <w:rPr>
                <w:rFonts w:eastAsia="Calibri"/>
                <w:b/>
                <w:noProof/>
                <w:sz w:val="22"/>
                <w:lang w:val="pt-BR"/>
              </w:rPr>
            </w:pPr>
            <w:r w:rsidRPr="00FB0DDA">
              <w:rPr>
                <w:rFonts w:eastAsia="Aptos Narrow"/>
                <w:noProof/>
                <w:color w:val="000000" w:themeColor="text1"/>
                <w:szCs w:val="20"/>
                <w:lang w:val="pt-BR"/>
              </w:rPr>
              <w:t>DRI RES H2 RES ELEC</w:t>
            </w:r>
          </w:p>
        </w:tc>
        <w:tc>
          <w:tcPr>
            <w:tcW w:w="607" w:type="pct"/>
          </w:tcPr>
          <w:p w14:paraId="63BF84EB" w14:textId="202F6800"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247</w:t>
            </w:r>
          </w:p>
        </w:tc>
        <w:tc>
          <w:tcPr>
            <w:tcW w:w="511" w:type="pct"/>
          </w:tcPr>
          <w:p w14:paraId="455B1E3D" w14:textId="55B58F2E"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530" w:type="pct"/>
          </w:tcPr>
          <w:p w14:paraId="485F033F" w14:textId="0323CC39"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0%</w:t>
            </w:r>
          </w:p>
        </w:tc>
        <w:tc>
          <w:tcPr>
            <w:tcW w:w="2517" w:type="pct"/>
            <w:vAlign w:val="center"/>
          </w:tcPr>
          <w:p w14:paraId="0922531C" w14:textId="77777777" w:rsidR="00C566F4" w:rsidRPr="00FF63D1" w:rsidRDefault="00C566F4" w:rsidP="00C566F4">
            <w:pPr>
              <w:spacing w:line="276" w:lineRule="auto"/>
              <w:rPr>
                <w:rFonts w:eastAsia="Calibri"/>
                <w:b/>
                <w:noProof/>
                <w:sz w:val="22"/>
              </w:rPr>
            </w:pPr>
          </w:p>
        </w:tc>
      </w:tr>
      <w:tr w:rsidR="00C566F4" w:rsidRPr="00FF63D1" w14:paraId="3B6AB36D" w14:textId="77777777" w:rsidTr="2720EBAF">
        <w:trPr>
          <w:trHeight w:val="529"/>
        </w:trPr>
        <w:tc>
          <w:tcPr>
            <w:tcW w:w="834" w:type="pct"/>
          </w:tcPr>
          <w:p w14:paraId="4AD97547" w14:textId="3142C6F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50/50 H2 DRI RES SCRAP</w:t>
            </w:r>
          </w:p>
        </w:tc>
        <w:tc>
          <w:tcPr>
            <w:tcW w:w="607" w:type="pct"/>
          </w:tcPr>
          <w:p w14:paraId="13750108" w14:textId="69D85AE8"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170</w:t>
            </w:r>
          </w:p>
        </w:tc>
        <w:tc>
          <w:tcPr>
            <w:tcW w:w="511" w:type="pct"/>
          </w:tcPr>
          <w:p w14:paraId="0AB55A63" w14:textId="2C245A50"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50%</w:t>
            </w:r>
          </w:p>
        </w:tc>
        <w:tc>
          <w:tcPr>
            <w:tcW w:w="530" w:type="pct"/>
          </w:tcPr>
          <w:p w14:paraId="06FCE5B1" w14:textId="0F5E4BCD"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50%</w:t>
            </w:r>
          </w:p>
        </w:tc>
        <w:tc>
          <w:tcPr>
            <w:tcW w:w="2517" w:type="pct"/>
          </w:tcPr>
          <w:p w14:paraId="0D8BD6A5" w14:textId="63233E9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Project with 50% renewable hydrogen DRI and 50% scrap with lower assumptions on fossil fuel injections– hot rolling process is assumed to be 0 for this modelling exercise</w:t>
            </w:r>
          </w:p>
        </w:tc>
      </w:tr>
      <w:tr w:rsidR="00C566F4" w:rsidRPr="00FF63D1" w14:paraId="4955C07C" w14:textId="77777777" w:rsidTr="2720EBAF">
        <w:trPr>
          <w:trHeight w:val="284"/>
        </w:trPr>
        <w:tc>
          <w:tcPr>
            <w:tcW w:w="834" w:type="pct"/>
          </w:tcPr>
          <w:p w14:paraId="0C8F0611" w14:textId="09A97559"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EAF EU MIX (2025)</w:t>
            </w:r>
          </w:p>
        </w:tc>
        <w:tc>
          <w:tcPr>
            <w:tcW w:w="607" w:type="pct"/>
          </w:tcPr>
          <w:p w14:paraId="65E86AE1" w14:textId="45079958"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256</w:t>
            </w:r>
          </w:p>
        </w:tc>
        <w:tc>
          <w:tcPr>
            <w:tcW w:w="511" w:type="pct"/>
          </w:tcPr>
          <w:p w14:paraId="20591621" w14:textId="4F929FC8"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530" w:type="pct"/>
          </w:tcPr>
          <w:p w14:paraId="08A7E91B" w14:textId="2F8EB314"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2517" w:type="pct"/>
          </w:tcPr>
          <w:p w14:paraId="1709586B" w14:textId="5A25BA7A"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Own elaboration and 2025 EEA EU mix</w:t>
            </w:r>
          </w:p>
        </w:tc>
      </w:tr>
      <w:tr w:rsidR="00C566F4" w:rsidRPr="00FF63D1" w14:paraId="28849DCD" w14:textId="77777777" w:rsidTr="2720EBAF">
        <w:trPr>
          <w:trHeight w:val="284"/>
        </w:trPr>
        <w:tc>
          <w:tcPr>
            <w:tcW w:w="834" w:type="pct"/>
          </w:tcPr>
          <w:p w14:paraId="5DCA7112" w14:textId="47089B31"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EAF EU MIX (2030)</w:t>
            </w:r>
          </w:p>
        </w:tc>
        <w:tc>
          <w:tcPr>
            <w:tcW w:w="607" w:type="pct"/>
          </w:tcPr>
          <w:p w14:paraId="3A60A7D7" w14:textId="303670F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207</w:t>
            </w:r>
          </w:p>
        </w:tc>
        <w:tc>
          <w:tcPr>
            <w:tcW w:w="511" w:type="pct"/>
          </w:tcPr>
          <w:p w14:paraId="2913B6F4" w14:textId="33992048"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530" w:type="pct"/>
          </w:tcPr>
          <w:p w14:paraId="68775BCF" w14:textId="1078C8E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2517" w:type="pct"/>
          </w:tcPr>
          <w:p w14:paraId="0EA835E0" w14:textId="746FCDB5"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Own elaboration with 2030 EU mix</w:t>
            </w:r>
          </w:p>
        </w:tc>
      </w:tr>
      <w:tr w:rsidR="00C566F4" w:rsidRPr="00FF63D1" w14:paraId="2F20EE53" w14:textId="77777777" w:rsidTr="2720EBAF">
        <w:trPr>
          <w:trHeight w:val="284"/>
        </w:trPr>
        <w:tc>
          <w:tcPr>
            <w:tcW w:w="834" w:type="pct"/>
          </w:tcPr>
          <w:p w14:paraId="4F76809E" w14:textId="14782E7E"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EAF World MIX (2025)</w:t>
            </w:r>
          </w:p>
        </w:tc>
        <w:tc>
          <w:tcPr>
            <w:tcW w:w="607" w:type="pct"/>
          </w:tcPr>
          <w:p w14:paraId="10311A6C" w14:textId="619C646C"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312</w:t>
            </w:r>
          </w:p>
        </w:tc>
        <w:tc>
          <w:tcPr>
            <w:tcW w:w="511" w:type="pct"/>
          </w:tcPr>
          <w:p w14:paraId="46CF5FB9" w14:textId="47C57C78"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530" w:type="pct"/>
          </w:tcPr>
          <w:p w14:paraId="52AD9CBE" w14:textId="04C09583"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2517" w:type="pct"/>
          </w:tcPr>
          <w:p w14:paraId="302A9717" w14:textId="00338E78"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Own elaboration with 2025 World mix</w:t>
            </w:r>
          </w:p>
        </w:tc>
      </w:tr>
      <w:tr w:rsidR="00566ECB" w:rsidRPr="00FF63D1" w14:paraId="19A09E1E" w14:textId="77777777" w:rsidTr="2720EBAF">
        <w:trPr>
          <w:trHeight w:val="284"/>
        </w:trPr>
        <w:tc>
          <w:tcPr>
            <w:tcW w:w="834" w:type="pct"/>
          </w:tcPr>
          <w:p w14:paraId="2AC95C87" w14:textId="7E44DD62"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 xml:space="preserve">EAF RES ELEC </w:t>
            </w:r>
          </w:p>
        </w:tc>
        <w:tc>
          <w:tcPr>
            <w:tcW w:w="607" w:type="pct"/>
          </w:tcPr>
          <w:p w14:paraId="09EF74E6" w14:textId="32EDF7F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164</w:t>
            </w:r>
          </w:p>
        </w:tc>
        <w:tc>
          <w:tcPr>
            <w:tcW w:w="511" w:type="pct"/>
          </w:tcPr>
          <w:p w14:paraId="42644477" w14:textId="6E4F29EE"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530" w:type="pct"/>
          </w:tcPr>
          <w:p w14:paraId="1D844413" w14:textId="6B346BE9"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2517" w:type="pct"/>
          </w:tcPr>
          <w:p w14:paraId="1E783080" w14:textId="54ED52D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 xml:space="preserve"> </w:t>
            </w:r>
          </w:p>
        </w:tc>
      </w:tr>
      <w:tr w:rsidR="00C566F4" w:rsidRPr="00FF63D1" w14:paraId="3E07C94C" w14:textId="77777777" w:rsidTr="2720EBAF">
        <w:trPr>
          <w:trHeight w:val="298"/>
        </w:trPr>
        <w:tc>
          <w:tcPr>
            <w:tcW w:w="834" w:type="pct"/>
          </w:tcPr>
          <w:p w14:paraId="2E6E6D34" w14:textId="6E086FD1"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EAF RES ELEC Low</w:t>
            </w:r>
          </w:p>
        </w:tc>
        <w:tc>
          <w:tcPr>
            <w:tcW w:w="607" w:type="pct"/>
          </w:tcPr>
          <w:p w14:paraId="5D60259A" w14:textId="54B6958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72</w:t>
            </w:r>
          </w:p>
        </w:tc>
        <w:tc>
          <w:tcPr>
            <w:tcW w:w="511" w:type="pct"/>
          </w:tcPr>
          <w:p w14:paraId="4C8F6A3F" w14:textId="7B93CFA2"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530" w:type="pct"/>
          </w:tcPr>
          <w:p w14:paraId="5264FFED" w14:textId="551CBD5F"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2517" w:type="pct"/>
            <w:vMerge w:val="restart"/>
          </w:tcPr>
          <w:p w14:paraId="6D78AC02" w14:textId="2F907D6B"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 xml:space="preserve">Assumption of lower fossil fuel injections and hot rolling emissions </w:t>
            </w:r>
          </w:p>
        </w:tc>
      </w:tr>
      <w:tr w:rsidR="00C566F4" w:rsidRPr="00FF63D1" w14:paraId="2B5A245B" w14:textId="77777777" w:rsidTr="2720EBAF">
        <w:trPr>
          <w:trHeight w:val="515"/>
        </w:trPr>
        <w:tc>
          <w:tcPr>
            <w:tcW w:w="834" w:type="pct"/>
          </w:tcPr>
          <w:p w14:paraId="5C444740" w14:textId="70916765"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EAF World MIX (2025) Low</w:t>
            </w:r>
          </w:p>
        </w:tc>
        <w:tc>
          <w:tcPr>
            <w:tcW w:w="607" w:type="pct"/>
          </w:tcPr>
          <w:p w14:paraId="426E4DC6" w14:textId="15387D1D"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240</w:t>
            </w:r>
          </w:p>
        </w:tc>
        <w:tc>
          <w:tcPr>
            <w:tcW w:w="511" w:type="pct"/>
          </w:tcPr>
          <w:p w14:paraId="1CAA7182" w14:textId="332478E9"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530" w:type="pct"/>
          </w:tcPr>
          <w:p w14:paraId="2AE6A812" w14:textId="4A99C126"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2517" w:type="pct"/>
            <w:vMerge/>
            <w:vAlign w:val="center"/>
          </w:tcPr>
          <w:p w14:paraId="5748CE31" w14:textId="77777777" w:rsidR="00C566F4" w:rsidRPr="00FF63D1" w:rsidRDefault="00C566F4" w:rsidP="00C566F4">
            <w:pPr>
              <w:spacing w:line="276" w:lineRule="auto"/>
              <w:rPr>
                <w:rFonts w:eastAsia="Calibri"/>
                <w:b/>
                <w:noProof/>
                <w:sz w:val="22"/>
              </w:rPr>
            </w:pPr>
          </w:p>
        </w:tc>
      </w:tr>
      <w:tr w:rsidR="00C566F4" w:rsidRPr="00FF63D1" w14:paraId="4889E5D4" w14:textId="77777777" w:rsidTr="2720EBAF">
        <w:trPr>
          <w:trHeight w:val="529"/>
        </w:trPr>
        <w:tc>
          <w:tcPr>
            <w:tcW w:w="834" w:type="pct"/>
          </w:tcPr>
          <w:p w14:paraId="589F70BE" w14:textId="6D42C8A9" w:rsidR="00C566F4" w:rsidRPr="00FF63D1" w:rsidRDefault="00C566F4" w:rsidP="00C566F4">
            <w:pPr>
              <w:spacing w:line="276" w:lineRule="auto"/>
              <w:rPr>
                <w:rFonts w:eastAsia="Aptos Narrow"/>
                <w:noProof/>
                <w:color w:val="000000" w:themeColor="text1"/>
                <w:szCs w:val="20"/>
              </w:rPr>
            </w:pPr>
            <w:r w:rsidRPr="00FF63D1">
              <w:rPr>
                <w:rFonts w:eastAsia="Aptos Narrow"/>
                <w:noProof/>
                <w:color w:val="000000" w:themeColor="text1"/>
                <w:szCs w:val="20"/>
              </w:rPr>
              <w:t xml:space="preserve">EAF EU MIX (2030) Low </w:t>
            </w:r>
          </w:p>
        </w:tc>
        <w:tc>
          <w:tcPr>
            <w:tcW w:w="607" w:type="pct"/>
          </w:tcPr>
          <w:p w14:paraId="77B5119F" w14:textId="3618E2A6" w:rsidR="00C566F4" w:rsidRPr="00FF63D1" w:rsidRDefault="00C566F4" w:rsidP="00C566F4">
            <w:pPr>
              <w:spacing w:line="276" w:lineRule="auto"/>
              <w:rPr>
                <w:rFonts w:eastAsia="Aptos Narrow"/>
                <w:noProof/>
                <w:color w:val="000000" w:themeColor="text1"/>
                <w:szCs w:val="20"/>
              </w:rPr>
            </w:pPr>
            <w:r w:rsidRPr="00FF63D1">
              <w:rPr>
                <w:rFonts w:eastAsia="Aptos Narrow"/>
                <w:noProof/>
                <w:color w:val="000000" w:themeColor="text1"/>
                <w:szCs w:val="20"/>
              </w:rPr>
              <w:t>136</w:t>
            </w:r>
          </w:p>
        </w:tc>
        <w:tc>
          <w:tcPr>
            <w:tcW w:w="511" w:type="pct"/>
          </w:tcPr>
          <w:p w14:paraId="7871F07A" w14:textId="73BBB977" w:rsidR="00C566F4" w:rsidRPr="00FF63D1" w:rsidRDefault="00C566F4" w:rsidP="00C566F4">
            <w:pPr>
              <w:spacing w:line="276" w:lineRule="auto"/>
              <w:rPr>
                <w:rFonts w:eastAsia="Aptos Narrow"/>
                <w:noProof/>
                <w:color w:val="000000" w:themeColor="text1"/>
                <w:szCs w:val="20"/>
              </w:rPr>
            </w:pPr>
            <w:r w:rsidRPr="00FF63D1">
              <w:rPr>
                <w:rFonts w:eastAsia="Aptos Narrow"/>
                <w:noProof/>
                <w:color w:val="000000" w:themeColor="text1"/>
                <w:szCs w:val="20"/>
              </w:rPr>
              <w:t>100%</w:t>
            </w:r>
          </w:p>
        </w:tc>
        <w:tc>
          <w:tcPr>
            <w:tcW w:w="530" w:type="pct"/>
          </w:tcPr>
          <w:p w14:paraId="653E6FDF" w14:textId="0793AE44" w:rsidR="00C566F4" w:rsidRPr="00FF63D1" w:rsidRDefault="00C566F4" w:rsidP="00C566F4">
            <w:pPr>
              <w:spacing w:line="276" w:lineRule="auto"/>
              <w:rPr>
                <w:rFonts w:eastAsia="Calibri"/>
                <w:b/>
                <w:noProof/>
                <w:sz w:val="22"/>
              </w:rPr>
            </w:pPr>
            <w:r w:rsidRPr="00FF63D1">
              <w:rPr>
                <w:rFonts w:eastAsia="Aptos Narrow"/>
                <w:noProof/>
                <w:color w:val="000000" w:themeColor="text1"/>
                <w:szCs w:val="20"/>
              </w:rPr>
              <w:t>100%</w:t>
            </w:r>
          </w:p>
        </w:tc>
        <w:tc>
          <w:tcPr>
            <w:tcW w:w="2517" w:type="pct"/>
            <w:vMerge/>
            <w:vAlign w:val="center"/>
          </w:tcPr>
          <w:p w14:paraId="4F8434EB" w14:textId="77777777" w:rsidR="00C566F4" w:rsidRPr="00FF63D1" w:rsidRDefault="00C566F4" w:rsidP="00C566F4">
            <w:pPr>
              <w:spacing w:line="276" w:lineRule="auto"/>
              <w:rPr>
                <w:rFonts w:eastAsia="Calibri"/>
                <w:b/>
                <w:noProof/>
                <w:sz w:val="22"/>
              </w:rPr>
            </w:pPr>
          </w:p>
        </w:tc>
      </w:tr>
    </w:tbl>
    <w:p w14:paraId="3F9DFCD0" w14:textId="34CDFD65" w:rsidR="00333ECF" w:rsidRPr="00FF63D1" w:rsidRDefault="00333ECF" w:rsidP="00257D37">
      <w:pPr>
        <w:pStyle w:val="Caption"/>
        <w:keepNext/>
        <w:rPr>
          <w:noProof/>
        </w:rPr>
      </w:pPr>
    </w:p>
    <w:p w14:paraId="2A3A2086" w14:textId="79554AAA" w:rsidR="002B0B10" w:rsidRPr="00FF63D1" w:rsidRDefault="3C544672" w:rsidP="00257D37">
      <w:pPr>
        <w:spacing w:before="100" w:after="200"/>
        <w:rPr>
          <w:rFonts w:eastAsia="Calibri" w:cs="Times New Roman"/>
          <w:b/>
          <w:noProof/>
          <w:sz w:val="22"/>
        </w:rPr>
      </w:pPr>
      <w:r w:rsidRPr="00FF63D1">
        <w:rPr>
          <w:rFonts w:eastAsia="Calibri" w:cs="Times New Roman"/>
          <w:noProof/>
          <w:szCs w:val="24"/>
        </w:rPr>
        <w:t>The sliding scale proposed is slightly adapted, to enable a fair comparison between primary and secondary steel producers. While the idea of the sliding scale is to make the threshold of a certain class stricter the more scrap is used, primary production usually involves a certain share of scrap between 10% to 20% - “pure” primary production (i.e. without any scrap) is unlikely. To reflect this, a flat curve is proposed for projects with low amount of scrap input (inferior or equal to 20%), with the thresholds staying the same for scrap input of 0% to 20%. This will also incentivise primary producers to take higher share of scrap in their production. To have a level playing field for secondary producers and encourage overall secondary production, for production where most of the input is scrap (&gt;90%), the thresholds for CLASS A and B being already very ambitious can also be more lenient.</w:t>
      </w:r>
    </w:p>
    <w:p w14:paraId="0C9F8540" w14:textId="713409E5" w:rsidR="002B0B10" w:rsidRPr="00FF63D1" w:rsidRDefault="3C544672" w:rsidP="00257D37">
      <w:pPr>
        <w:spacing w:before="100" w:after="200" w:line="276" w:lineRule="auto"/>
        <w:rPr>
          <w:rFonts w:eastAsia="Calibri" w:cs="Times New Roman"/>
          <w:b/>
          <w:noProof/>
          <w:szCs w:val="24"/>
        </w:rPr>
      </w:pPr>
      <w:r w:rsidRPr="00FF63D1">
        <w:rPr>
          <w:rFonts w:eastAsia="Calibri" w:cs="Times New Roman"/>
          <w:b/>
          <w:noProof/>
          <w:szCs w:val="24"/>
        </w:rPr>
        <w:t xml:space="preserve">Key assumptions include: </w:t>
      </w:r>
    </w:p>
    <w:p w14:paraId="01C769D4" w14:textId="48658F6F" w:rsidR="002B0B10" w:rsidRPr="00AE4107" w:rsidRDefault="2F9AC250" w:rsidP="00E43B27">
      <w:pPr>
        <w:pStyle w:val="ListParagraph"/>
        <w:numPr>
          <w:ilvl w:val="0"/>
          <w:numId w:val="92"/>
        </w:numPr>
        <w:rPr>
          <w:rFonts w:eastAsia="Calibri" w:cs="Times New Roman"/>
          <w:noProof/>
        </w:rPr>
      </w:pPr>
      <w:r w:rsidRPr="00FF63D1">
        <w:rPr>
          <w:rFonts w:eastAsia="Calibri" w:cs="Times New Roman"/>
          <w:noProof/>
        </w:rPr>
        <w:t>RES ELEC means 100% renewable electricity – where emissions from electricity are assumed to be 0. The EU MIX (2025) scenario assumes the carbon intensity mix from the latest numbers from the EEA</w:t>
      </w:r>
      <w:r w:rsidR="3C544672" w:rsidRPr="008F1181">
        <w:rPr>
          <w:rFonts w:eastAsia="Calibri" w:cs="Times New Roman"/>
          <w:noProof/>
          <w:vertAlign w:val="superscript"/>
        </w:rPr>
        <w:footnoteReference w:id="683"/>
      </w:r>
      <w:r w:rsidRPr="00FF63D1">
        <w:rPr>
          <w:rFonts w:eastAsia="Calibri" w:cs="Times New Roman"/>
          <w:noProof/>
        </w:rPr>
        <w:t xml:space="preserve"> and the World mix are from the 2025 Global Ember electricity review</w:t>
      </w:r>
      <w:r w:rsidR="1021164F">
        <w:rPr>
          <w:rFonts w:eastAsia="Calibri" w:cs="Times New Roman"/>
          <w:noProof/>
        </w:rPr>
        <w:t>.</w:t>
      </w:r>
      <w:r w:rsidR="3C544672" w:rsidRPr="008F1181">
        <w:rPr>
          <w:rFonts w:eastAsia="Calibri" w:cs="Times New Roman"/>
          <w:noProof/>
          <w:vertAlign w:val="superscript"/>
        </w:rPr>
        <w:footnoteReference w:id="684"/>
      </w:r>
      <w:r w:rsidRPr="00FF63D1">
        <w:rPr>
          <w:rFonts w:eastAsia="Calibri" w:cs="Times New Roman"/>
          <w:noProof/>
        </w:rPr>
        <w:t xml:space="preserve"> The EU mix of 2030 </w:t>
      </w:r>
      <w:r w:rsidR="00E43B27" w:rsidRPr="0034303C">
        <w:rPr>
          <w:rFonts w:eastAsia="Calibri" w:cs="Times New Roman"/>
          <w:noProof/>
        </w:rPr>
        <w:t>draws from the Impact assessment on a 2040 Climate Target</w:t>
      </w:r>
      <w:r w:rsidR="00E43B27">
        <w:rPr>
          <w:rStyle w:val="FootnoteReference"/>
          <w:rFonts w:eastAsia="Calibri" w:cs="Times New Roman"/>
          <w:noProof/>
        </w:rPr>
        <w:footnoteReference w:id="685"/>
      </w:r>
      <w:r w:rsidR="00E43B27" w:rsidRPr="0034303C">
        <w:rPr>
          <w:rFonts w:eastAsia="Calibri" w:cs="Times New Roman"/>
          <w:noProof/>
        </w:rPr>
        <w:t>.</w:t>
      </w:r>
    </w:p>
    <w:p w14:paraId="71C55D7C" w14:textId="33AE10B5" w:rsidR="002B0B10" w:rsidRPr="00FF63D1" w:rsidRDefault="2F9AC250" w:rsidP="00257D37">
      <w:pPr>
        <w:pStyle w:val="ListParagraph"/>
        <w:numPr>
          <w:ilvl w:val="0"/>
          <w:numId w:val="91"/>
        </w:numPr>
        <w:rPr>
          <w:rFonts w:eastAsia="Calibri" w:cs="Times New Roman"/>
          <w:noProof/>
          <w:szCs w:val="24"/>
        </w:rPr>
      </w:pPr>
      <w:r w:rsidRPr="00FF63D1">
        <w:rPr>
          <w:rFonts w:eastAsia="Calibri" w:cs="Times New Roman"/>
          <w:noProof/>
        </w:rPr>
        <w:t>Renewable hydrogen impact is assumed to be 0. For fossil fuel hydrogen (FFH2), the world average of the IEA</w:t>
      </w:r>
      <w:r w:rsidR="3C544672" w:rsidRPr="008F1181">
        <w:rPr>
          <w:rFonts w:eastAsia="Calibri" w:cs="Times New Roman"/>
          <w:noProof/>
          <w:vertAlign w:val="superscript"/>
        </w:rPr>
        <w:footnoteReference w:id="686"/>
      </w:r>
      <w:r w:rsidRPr="00FF63D1">
        <w:rPr>
          <w:rFonts w:eastAsia="Calibri" w:cs="Times New Roman"/>
          <w:noProof/>
        </w:rPr>
        <w:t xml:space="preserve"> based on steam methane production without CCS is used.</w:t>
      </w:r>
    </w:p>
    <w:p w14:paraId="3B2CE3BE" w14:textId="3C4164A2" w:rsidR="002B0B10" w:rsidRPr="00FF63D1" w:rsidRDefault="3C544672" w:rsidP="00257D37">
      <w:pPr>
        <w:pStyle w:val="ListParagraph"/>
        <w:numPr>
          <w:ilvl w:val="0"/>
          <w:numId w:val="90"/>
        </w:numPr>
        <w:rPr>
          <w:rFonts w:eastAsia="Calibri" w:cs="Times New Roman"/>
          <w:noProof/>
          <w:szCs w:val="24"/>
        </w:rPr>
      </w:pPr>
      <w:r w:rsidRPr="00FF63D1">
        <w:rPr>
          <w:rFonts w:eastAsia="Calibri" w:cs="Times New Roman"/>
          <w:noProof/>
          <w:szCs w:val="24"/>
        </w:rPr>
        <w:t>The Low scenarios represent lower emissions linked to fossil fuel injection in the electric arc furnace and lower emissions linked to hot rolling. Those scenarios were added due to very wide range of possible emissions linked to fossil fuel injection in an EAF and lack of diverse sources of specific data on hot rolling.</w:t>
      </w:r>
    </w:p>
    <w:p w14:paraId="0DC27D39" w14:textId="68E31141" w:rsidR="002B0B10" w:rsidRPr="00FF63D1" w:rsidRDefault="2F9AC250" w:rsidP="00257D37">
      <w:pPr>
        <w:pStyle w:val="ListParagraph"/>
        <w:numPr>
          <w:ilvl w:val="0"/>
          <w:numId w:val="90"/>
        </w:numPr>
        <w:rPr>
          <w:rFonts w:eastAsia="Calibri" w:cs="Times New Roman"/>
          <w:noProof/>
          <w:szCs w:val="24"/>
        </w:rPr>
      </w:pPr>
      <w:r w:rsidRPr="00FF63D1">
        <w:rPr>
          <w:rFonts w:eastAsia="Calibri" w:cs="Times New Roman"/>
          <w:noProof/>
        </w:rPr>
        <w:t>For BF-BOF, as no project specific data is publicly available, CCS numbers are based on theoretical potential capturing rates</w:t>
      </w:r>
      <w:r w:rsidR="3C544672" w:rsidRPr="008F1181">
        <w:rPr>
          <w:rFonts w:eastAsia="Calibri" w:cs="Times New Roman"/>
          <w:noProof/>
          <w:vertAlign w:val="superscript"/>
        </w:rPr>
        <w:footnoteReference w:id="687"/>
      </w:r>
      <w:r w:rsidR="0007FAA7" w:rsidRPr="009D6517">
        <w:rPr>
          <w:rFonts w:eastAsia="Calibri" w:cs="Times New Roman"/>
          <w:noProof/>
          <w:vertAlign w:val="superscript"/>
        </w:rPr>
        <w:t xml:space="preserve"> </w:t>
      </w:r>
      <w:r w:rsidRPr="00FF63D1">
        <w:rPr>
          <w:rFonts w:eastAsia="Calibri" w:cs="Times New Roman"/>
          <w:noProof/>
        </w:rPr>
        <w:t>and exclude emissions linked to the transformation and transportation of the CO</w:t>
      </w:r>
      <w:r w:rsidRPr="00892F25">
        <w:rPr>
          <w:rFonts w:eastAsia="Calibri" w:cs="Times New Roman"/>
          <w:noProof/>
          <w:vertAlign w:val="subscript"/>
        </w:rPr>
        <w:t>2</w:t>
      </w:r>
      <w:r w:rsidRPr="00FF63D1">
        <w:rPr>
          <w:rFonts w:eastAsia="Calibri" w:cs="Times New Roman"/>
          <w:noProof/>
        </w:rPr>
        <w:t>. It does not consider possible changes to the use of waste gases and potential increase in electricity uses due to the use of CCS.</w:t>
      </w:r>
    </w:p>
    <w:p w14:paraId="2CF2C74D" w14:textId="235F1C0D" w:rsidR="002B0B10" w:rsidRPr="00892F25" w:rsidRDefault="2F9AC250" w:rsidP="00257D37">
      <w:pPr>
        <w:pStyle w:val="ListParagraph"/>
        <w:numPr>
          <w:ilvl w:val="0"/>
          <w:numId w:val="90"/>
        </w:numPr>
        <w:rPr>
          <w:noProof/>
        </w:rPr>
      </w:pPr>
      <w:r w:rsidRPr="00FF63D1">
        <w:rPr>
          <w:rFonts w:eastAsia="Calibri" w:cs="Times New Roman"/>
          <w:noProof/>
        </w:rPr>
        <w:t xml:space="preserve">For natural gas DRI (NG DRI), </w:t>
      </w:r>
      <w:r w:rsidRPr="00892F25">
        <w:rPr>
          <w:noProof/>
        </w:rPr>
        <w:t>CCS is based on theoretical capture rates</w:t>
      </w:r>
      <w:r w:rsidR="3C544672" w:rsidRPr="00FF63D1">
        <w:rPr>
          <w:noProof/>
          <w:vertAlign w:val="superscript"/>
        </w:rPr>
        <w:footnoteReference w:id="688"/>
      </w:r>
      <w:r w:rsidR="11396A89" w:rsidRPr="00892F25">
        <w:rPr>
          <w:noProof/>
        </w:rPr>
        <w:t xml:space="preserve"> </w:t>
      </w:r>
      <w:r w:rsidRPr="00892F25">
        <w:rPr>
          <w:noProof/>
        </w:rPr>
        <w:t>averaged from information by MIDREX, one of the main DRI technology providers. It also excludes emissions linked to transformation and transportation of CO</w:t>
      </w:r>
      <w:r w:rsidRPr="00892F25">
        <w:rPr>
          <w:noProof/>
          <w:vertAlign w:val="subscript"/>
        </w:rPr>
        <w:t>2</w:t>
      </w:r>
      <w:r w:rsidRPr="00892F25">
        <w:rPr>
          <w:noProof/>
        </w:rPr>
        <w:t xml:space="preserve">. </w:t>
      </w:r>
    </w:p>
    <w:p w14:paraId="0460B303" w14:textId="43A6BE67" w:rsidR="002B0B10" w:rsidRPr="00FF63D1" w:rsidRDefault="3C544672" w:rsidP="00257D37">
      <w:pPr>
        <w:pStyle w:val="ListParagraph"/>
        <w:numPr>
          <w:ilvl w:val="0"/>
          <w:numId w:val="90"/>
        </w:numPr>
        <w:rPr>
          <w:rFonts w:eastAsia="Calibri" w:cs="Times New Roman"/>
          <w:noProof/>
          <w:szCs w:val="24"/>
        </w:rPr>
      </w:pPr>
      <w:r w:rsidRPr="00FF63D1">
        <w:rPr>
          <w:rFonts w:eastAsia="Calibri" w:cs="Times New Roman"/>
          <w:noProof/>
          <w:szCs w:val="24"/>
        </w:rPr>
        <w:t>All hot rolling numbers are derived from LESS</w:t>
      </w:r>
    </w:p>
    <w:p w14:paraId="651F9BFE" w14:textId="692FAF70" w:rsidR="002B0B10" w:rsidRPr="00FF63D1" w:rsidRDefault="002B0B10" w:rsidP="002B0B10">
      <w:pPr>
        <w:rPr>
          <w:rFonts w:cs="Times New Roman"/>
          <w:noProof/>
        </w:rPr>
      </w:pPr>
    </w:p>
    <w:p w14:paraId="564B6CC0" w14:textId="6E37AAE5" w:rsidR="00B62BC6" w:rsidRPr="00FF63D1" w:rsidRDefault="00B62BC6" w:rsidP="002B0B10">
      <w:pPr>
        <w:rPr>
          <w:rFonts w:cs="Times New Roman"/>
          <w:b/>
          <w:noProof/>
          <w:u w:val="single"/>
        </w:rPr>
      </w:pPr>
      <w:r w:rsidRPr="00FF63D1">
        <w:rPr>
          <w:rFonts w:cs="Times New Roman"/>
          <w:b/>
          <w:noProof/>
          <w:u w:val="single"/>
        </w:rPr>
        <w:t>Ensuring data-quality</w:t>
      </w:r>
    </w:p>
    <w:p w14:paraId="6C831415" w14:textId="77777777" w:rsidR="002B0B10" w:rsidRPr="00FF63D1" w:rsidRDefault="002B0B10" w:rsidP="002B0B10">
      <w:pPr>
        <w:rPr>
          <w:rFonts w:eastAsia="Calibri" w:cs="Times New Roman"/>
          <w:noProof/>
        </w:rPr>
      </w:pPr>
    </w:p>
    <w:p w14:paraId="071EC624" w14:textId="1822B192" w:rsidR="006A3891" w:rsidRPr="00FF63D1" w:rsidRDefault="374563D9" w:rsidP="002B0B10">
      <w:pPr>
        <w:rPr>
          <w:rFonts w:eastAsia="Calibri" w:cs="Times New Roman"/>
          <w:noProof/>
        </w:rPr>
      </w:pPr>
      <w:r w:rsidRPr="00FF63D1">
        <w:rPr>
          <w:rFonts w:eastAsia="Calibri" w:cs="Times New Roman"/>
          <w:noProof/>
        </w:rPr>
        <w:t>To ensure credible and reliable data underpinning the GHG intensities, it is recommended to require separate verification and certification for the GHG intensities developed as part of the label. For data already reported under the EU ETS</w:t>
      </w:r>
      <w:r w:rsidR="59AC3EAA" w:rsidRPr="00FF63D1">
        <w:rPr>
          <w:rFonts w:eastAsia="Calibri" w:cs="Times New Roman"/>
          <w:noProof/>
        </w:rPr>
        <w:t xml:space="preserve"> and CBAM</w:t>
      </w:r>
      <w:r w:rsidRPr="00FF63D1">
        <w:rPr>
          <w:rFonts w:eastAsia="Calibri" w:cs="Times New Roman"/>
          <w:noProof/>
        </w:rPr>
        <w:t xml:space="preserve">, a simplified procedure could be considered. </w:t>
      </w:r>
      <w:r w:rsidR="0081018C" w:rsidRPr="00FF63D1">
        <w:rPr>
          <w:rFonts w:eastAsia="Calibri" w:cs="Times New Roman"/>
          <w:noProof/>
        </w:rPr>
        <w:t>Furthermore, it is recommended to establish a label that is open both for steel products manufactured inside and outside the EU, increasing its potential impact and alignment with global initiatives and given sufficient data verification rules are in place.</w:t>
      </w:r>
    </w:p>
    <w:p w14:paraId="0D550F4B" w14:textId="7766CF0D" w:rsidR="0000181C" w:rsidRPr="00892F25" w:rsidRDefault="000871DE" w:rsidP="002B0B10">
      <w:pPr>
        <w:rPr>
          <w:b/>
          <w:noProof/>
        </w:rPr>
      </w:pPr>
      <w:r w:rsidRPr="00892F25">
        <w:rPr>
          <w:b/>
          <w:noProof/>
        </w:rPr>
        <w:br w:type="page"/>
      </w:r>
    </w:p>
    <w:p w14:paraId="564CE03D" w14:textId="2FED691B" w:rsidR="00256703" w:rsidRPr="00FF63D1" w:rsidRDefault="00031015" w:rsidP="00257D37">
      <w:pPr>
        <w:pStyle w:val="Heading1"/>
        <w:numPr>
          <w:ilvl w:val="0"/>
          <w:numId w:val="0"/>
        </w:numPr>
        <w:spacing w:before="0" w:after="0"/>
        <w:rPr>
          <w:rFonts w:ascii="Times" w:hAnsi="Times" w:cs="Times"/>
          <w:b/>
          <w:noProof/>
          <w:sz w:val="28"/>
          <w:szCs w:val="28"/>
        </w:rPr>
      </w:pPr>
      <w:bookmarkStart w:id="1550" w:name="_Toc222159393"/>
      <w:bookmarkStart w:id="1551" w:name="_Toc222490063"/>
      <w:r w:rsidRPr="00FF63D1">
        <w:rPr>
          <w:rFonts w:ascii="Times" w:hAnsi="Times" w:cs="Times"/>
          <w:b/>
          <w:noProof/>
          <w:color w:val="auto"/>
          <w:sz w:val="28"/>
          <w:szCs w:val="28"/>
        </w:rPr>
        <w:t>Annex</w:t>
      </w:r>
      <w:r w:rsidR="00891A8F" w:rsidRPr="00FF63D1">
        <w:rPr>
          <w:rFonts w:ascii="Times" w:hAnsi="Times" w:cs="Times"/>
          <w:b/>
          <w:noProof/>
          <w:color w:val="auto"/>
          <w:sz w:val="28"/>
          <w:szCs w:val="28"/>
        </w:rPr>
        <w:t xml:space="preserve"> 12a</w:t>
      </w:r>
      <w:r w:rsidRPr="00FF63D1">
        <w:rPr>
          <w:rFonts w:ascii="Times" w:hAnsi="Times" w:cs="Times"/>
          <w:b/>
          <w:noProof/>
          <w:color w:val="auto"/>
          <w:sz w:val="28"/>
          <w:szCs w:val="28"/>
        </w:rPr>
        <w:t xml:space="preserve">: </w:t>
      </w:r>
      <w:r w:rsidR="3867CAC5" w:rsidRPr="754B636D">
        <w:rPr>
          <w:rFonts w:ascii="Times" w:hAnsi="Times" w:cs="Times"/>
          <w:b/>
          <w:bCs/>
          <w:noProof/>
          <w:color w:val="auto"/>
          <w:sz w:val="28"/>
          <w:szCs w:val="28"/>
        </w:rPr>
        <w:t>R</w:t>
      </w:r>
      <w:r w:rsidRPr="754B636D">
        <w:rPr>
          <w:rFonts w:ascii="Times" w:hAnsi="Times" w:cs="Times"/>
          <w:b/>
          <w:bCs/>
          <w:noProof/>
          <w:color w:val="auto"/>
          <w:sz w:val="28"/>
          <w:szCs w:val="28"/>
        </w:rPr>
        <w:t>elevant</w:t>
      </w:r>
      <w:r w:rsidRPr="00FF63D1">
        <w:rPr>
          <w:rFonts w:ascii="Times" w:hAnsi="Times" w:cs="Times"/>
          <w:b/>
          <w:noProof/>
          <w:color w:val="auto"/>
          <w:sz w:val="28"/>
          <w:szCs w:val="28"/>
        </w:rPr>
        <w:t xml:space="preserve"> steel production product benchmarks under the ETS</w:t>
      </w:r>
      <w:bookmarkEnd w:id="1550"/>
      <w:bookmarkEnd w:id="1551"/>
      <w:r w:rsidRPr="00FF63D1">
        <w:rPr>
          <w:rFonts w:ascii="Times" w:hAnsi="Times" w:cs="Times"/>
          <w:b/>
          <w:noProof/>
          <w:color w:val="auto"/>
          <w:sz w:val="28"/>
          <w:szCs w:val="28"/>
        </w:rPr>
        <w:t> </w:t>
      </w:r>
    </w:p>
    <w:p w14:paraId="38C6F2AE" w14:textId="70E011AE" w:rsidR="002B0B10" w:rsidRPr="00FF63D1" w:rsidRDefault="00256703" w:rsidP="001D426C">
      <w:pPr>
        <w:pStyle w:val="Heading2"/>
        <w:numPr>
          <w:ilvl w:val="0"/>
          <w:numId w:val="0"/>
        </w:numPr>
        <w:ind w:left="576"/>
        <w:rPr>
          <w:b w:val="0"/>
          <w:sz w:val="22"/>
        </w:rPr>
      </w:pPr>
      <w:bookmarkStart w:id="1552" w:name="_Toc212728884"/>
      <w:bookmarkStart w:id="1553" w:name="_Toc212729412"/>
      <w:bookmarkStart w:id="1554" w:name="_Toc215506356"/>
      <w:bookmarkStart w:id="1555" w:name="_Toc222490064"/>
      <w:r w:rsidRPr="00892F25">
        <w:t>Primary steel making</w:t>
      </w:r>
      <w:bookmarkEnd w:id="1552"/>
      <w:bookmarkEnd w:id="1553"/>
      <w:bookmarkEnd w:id="1554"/>
      <w:bookmarkEnd w:id="1555"/>
      <w:r w:rsidRPr="00FF63D1">
        <w:rPr>
          <w:b w:val="0"/>
          <w:sz w:val="22"/>
        </w:rPr>
        <w:t> </w:t>
      </w:r>
    </w:p>
    <w:p w14:paraId="41CBE491" w14:textId="7D5351EA" w:rsidR="002B0B10" w:rsidRPr="001D426C" w:rsidRDefault="00256703" w:rsidP="001D426C">
      <w:pPr>
        <w:spacing w:before="240"/>
        <w:rPr>
          <w:bCs/>
          <w:i/>
          <w:noProof/>
          <w:sz w:val="22"/>
          <w:szCs w:val="20"/>
        </w:rPr>
      </w:pPr>
      <w:r w:rsidRPr="00892F25">
        <w:rPr>
          <w:i/>
          <w:noProof/>
          <w:sz w:val="22"/>
        </w:rPr>
        <w:t>Coke production</w:t>
      </w:r>
      <w:r w:rsidRPr="009F3D97">
        <w:rPr>
          <w:i/>
          <w:noProof/>
          <w:sz w:val="22"/>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256703" w:rsidRPr="00FF63D1" w14:paraId="27DD30A1"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CACB11" w14:textId="2FBC5781" w:rsidR="00256703" w:rsidRPr="00FF63D1" w:rsidRDefault="00256703" w:rsidP="002B0B10">
            <w:pPr>
              <w:rPr>
                <w:noProof/>
                <w:sz w:val="22"/>
              </w:rPr>
            </w:pPr>
            <w:r w:rsidRPr="00892F25">
              <w:rPr>
                <w:b/>
                <w:noProof/>
                <w:sz w:val="22"/>
              </w:rPr>
              <w:t>What?</w:t>
            </w:r>
            <w:r w:rsidRPr="00892F25">
              <w:rPr>
                <w:noProof/>
                <w:sz w:val="22"/>
              </w:rPr>
              <w:t> Coke-oven coke (obtained from the carbonisation of coking coal, at high temperature) or gas-works coke (by-product of gas-works plants) expressed in tonnes of dry coke, determined at the discharge of the coke oven or gas-works plant. Lignite coke is not covered by this benchmark. Coking in refineries is not included but covered by the CWT methodology for refineries.</w:t>
            </w:r>
            <w:r w:rsidRPr="00FF63D1">
              <w:rPr>
                <w:noProof/>
                <w:sz w:val="22"/>
              </w:rPr>
              <w:t> </w:t>
            </w:r>
          </w:p>
        </w:tc>
      </w:tr>
      <w:tr w:rsidR="00256703" w:rsidRPr="00FF63D1" w14:paraId="13EAA41C"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68AE11" w14:textId="74F7A625" w:rsidR="00256703" w:rsidRPr="00FF63D1" w:rsidRDefault="00256703" w:rsidP="002B0B10">
            <w:pPr>
              <w:rPr>
                <w:noProof/>
                <w:sz w:val="22"/>
              </w:rPr>
            </w:pPr>
            <w:r w:rsidRPr="00892F25">
              <w:rPr>
                <w:b/>
                <w:noProof/>
                <w:sz w:val="22"/>
              </w:rPr>
              <w:t>Which emissions and processes covered?</w:t>
            </w:r>
            <w:r w:rsidRPr="00FF63D1">
              <w:rPr>
                <w:noProof/>
                <w:sz w:val="22"/>
              </w:rPr>
              <w:t> </w:t>
            </w:r>
            <w:r w:rsidRPr="00892F25">
              <w:rPr>
                <w:noProof/>
                <w:sz w:val="22"/>
              </w:rPr>
              <w:t>All processes directly or indirectly linked to the process units coke ovens, H2S/NH3 incineration, coal preheating (defreezing), coke gas extractor, desulphurisation unit, distillation unit, steam generation plant, pressure control in batteries, biological water treatment, miscellaneous heating of by-products and hydrogen separator are included. Coke oven gas cleaning is included.</w:t>
            </w:r>
            <w:r w:rsidRPr="00FF63D1">
              <w:rPr>
                <w:noProof/>
                <w:sz w:val="22"/>
              </w:rPr>
              <w:t> </w:t>
            </w:r>
          </w:p>
        </w:tc>
      </w:tr>
    </w:tbl>
    <w:p w14:paraId="2EE8AC35" w14:textId="6EC24F40" w:rsidR="00256703" w:rsidRPr="001D426C" w:rsidRDefault="00256703" w:rsidP="001D426C">
      <w:pPr>
        <w:spacing w:before="240"/>
        <w:rPr>
          <w:noProof/>
          <w:sz w:val="22"/>
          <w:szCs w:val="20"/>
        </w:rPr>
      </w:pPr>
      <w:r w:rsidRPr="00FF63D1">
        <w:rPr>
          <w:noProof/>
          <w:sz w:val="22"/>
          <w:szCs w:val="20"/>
        </w:rPr>
        <w:t> </w:t>
      </w:r>
      <w:r w:rsidRPr="00892F25">
        <w:rPr>
          <w:i/>
          <w:noProof/>
          <w:sz w:val="22"/>
        </w:rPr>
        <w:t>Agglomerated iron-ore production</w:t>
      </w:r>
      <w:r w:rsidRPr="00FF63D1">
        <w:rPr>
          <w:i/>
          <w:noProof/>
          <w:sz w:val="22"/>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256703" w:rsidRPr="00FF63D1" w14:paraId="31FD8E9B"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FE25D0" w14:textId="6775BA0A" w:rsidR="00256703" w:rsidRPr="00FF63D1" w:rsidRDefault="00256703" w:rsidP="002B0B10">
            <w:pPr>
              <w:rPr>
                <w:noProof/>
                <w:sz w:val="22"/>
              </w:rPr>
            </w:pPr>
            <w:r w:rsidRPr="00892F25">
              <w:rPr>
                <w:b/>
                <w:noProof/>
                <w:sz w:val="22"/>
              </w:rPr>
              <w:t>What?</w:t>
            </w:r>
            <w:r w:rsidRPr="00892F25">
              <w:rPr>
                <w:noProof/>
                <w:sz w:val="22"/>
              </w:rPr>
              <w:t> Agglomerated iron-bearing product containing iron ore fines, fluxes and possibly iron-containing recycling materials with the chemical and physical properties such as the level of basicity, mechanical strength and permeability required to deliver iron and necessary flux materials into iron ore reduction processes. Expressed in tonnes of agglomerated ore as leaving the agglomerated iron ore production plant. Agglomerated iron ore returned to the production process is not to be considered as part of the product.</w:t>
            </w:r>
            <w:r w:rsidRPr="00FF63D1">
              <w:rPr>
                <w:noProof/>
                <w:sz w:val="22"/>
              </w:rPr>
              <w:t> </w:t>
            </w:r>
          </w:p>
        </w:tc>
      </w:tr>
      <w:tr w:rsidR="00256703" w:rsidRPr="00FF63D1" w14:paraId="76CDC660"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5C08E3" w14:textId="7D5B835C" w:rsidR="00256703" w:rsidRPr="00FF63D1" w:rsidRDefault="00256703" w:rsidP="002B0B10">
            <w:pPr>
              <w:rPr>
                <w:noProof/>
                <w:sz w:val="22"/>
              </w:rPr>
            </w:pPr>
            <w:r w:rsidRPr="00892F25">
              <w:rPr>
                <w:b/>
                <w:noProof/>
                <w:sz w:val="22"/>
              </w:rPr>
              <w:t>Which emissions and processes covered?</w:t>
            </w:r>
            <w:r w:rsidRPr="00FF63D1">
              <w:rPr>
                <w:noProof/>
                <w:sz w:val="22"/>
              </w:rPr>
              <w:t> </w:t>
            </w:r>
            <w:r w:rsidRPr="00892F25">
              <w:rPr>
                <w:noProof/>
                <w:sz w:val="22"/>
              </w:rPr>
              <w:t>All processes directly or indirectly linked to the production of agglomerated iron ore are included.</w:t>
            </w:r>
            <w:r w:rsidRPr="00FF63D1">
              <w:rPr>
                <w:noProof/>
                <w:sz w:val="22"/>
              </w:rPr>
              <w:t> </w:t>
            </w:r>
          </w:p>
        </w:tc>
      </w:tr>
    </w:tbl>
    <w:p w14:paraId="66B60EBE" w14:textId="72CA9DE0" w:rsidR="002B0B10" w:rsidRPr="001D426C" w:rsidRDefault="00256703" w:rsidP="001D426C">
      <w:pPr>
        <w:spacing w:before="240"/>
        <w:rPr>
          <w:noProof/>
          <w:sz w:val="22"/>
          <w:szCs w:val="20"/>
        </w:rPr>
      </w:pPr>
      <w:r w:rsidRPr="00FF63D1">
        <w:rPr>
          <w:noProof/>
          <w:sz w:val="22"/>
          <w:szCs w:val="20"/>
        </w:rPr>
        <w:t> </w:t>
      </w:r>
      <w:r w:rsidRPr="00892F25">
        <w:rPr>
          <w:i/>
          <w:noProof/>
          <w:sz w:val="22"/>
        </w:rPr>
        <w:t>Hot metal production</w:t>
      </w:r>
      <w:r w:rsidRPr="00FF63D1">
        <w:rPr>
          <w:i/>
          <w:noProof/>
          <w:sz w:val="22"/>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256703" w:rsidRPr="00FF63D1" w14:paraId="5812140A"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C3D7CA" w14:textId="68D4FEB1" w:rsidR="00256703" w:rsidRPr="00FF63D1" w:rsidRDefault="00256703" w:rsidP="002B0B10">
            <w:pPr>
              <w:rPr>
                <w:noProof/>
                <w:sz w:val="22"/>
                <w:szCs w:val="20"/>
              </w:rPr>
            </w:pPr>
            <w:r w:rsidRPr="00892F25">
              <w:rPr>
                <w:b/>
                <w:noProof/>
                <w:sz w:val="22"/>
              </w:rPr>
              <w:t>What?</w:t>
            </w:r>
            <w:r w:rsidRPr="00892F25">
              <w:rPr>
                <w:noProof/>
                <w:sz w:val="22"/>
              </w:rPr>
              <w:t> Iron produced from iron ores for primary steelmaking including</w:t>
            </w:r>
            <w:r w:rsidR="00480BEE">
              <w:rPr>
                <w:noProof/>
                <w:sz w:val="22"/>
              </w:rPr>
              <w:t xml:space="preserve"> </w:t>
            </w:r>
          </w:p>
          <w:p w14:paraId="5A3A2611" w14:textId="77777777" w:rsidR="00256703" w:rsidRPr="00FF63D1" w:rsidRDefault="00256703" w:rsidP="002B0B10">
            <w:pPr>
              <w:jc w:val="left"/>
              <w:rPr>
                <w:noProof/>
                <w:sz w:val="22"/>
              </w:rPr>
            </w:pPr>
            <w:r w:rsidRPr="00892F25">
              <w:rPr>
                <w:noProof/>
                <w:sz w:val="22"/>
              </w:rPr>
              <w:t>(a) liquid iron saturated with carbon for further processing, considered as product of blast furnaces, and expressed in tonnes of liquid iron at the exit point of the blast furnace, excluding liquid iron produced from sponge iron under (b);</w:t>
            </w:r>
            <w:r w:rsidRPr="00FF63D1">
              <w:rPr>
                <w:noProof/>
                <w:sz w:val="22"/>
              </w:rPr>
              <w:t> </w:t>
            </w:r>
          </w:p>
          <w:p w14:paraId="03D3312C" w14:textId="77777777" w:rsidR="00256703" w:rsidRPr="00FF63D1" w:rsidRDefault="00256703" w:rsidP="002B0B10">
            <w:pPr>
              <w:jc w:val="left"/>
              <w:rPr>
                <w:noProof/>
                <w:sz w:val="22"/>
              </w:rPr>
            </w:pPr>
            <w:r w:rsidRPr="00892F25">
              <w:rPr>
                <w:noProof/>
                <w:sz w:val="22"/>
              </w:rPr>
              <w:t>(b) sponge iron at the exit point of a direct reduced iron reactor and expressed in tonnes of sponge iron at the exit point of the direct reduced iron reactor. Similar products such as ferroalloys are not covered by this product benchmark. Residual material and by-products are not to be considered as part of the product.</w:t>
            </w:r>
            <w:r w:rsidRPr="00FF63D1">
              <w:rPr>
                <w:noProof/>
                <w:sz w:val="22"/>
              </w:rPr>
              <w:t> </w:t>
            </w:r>
          </w:p>
        </w:tc>
      </w:tr>
      <w:tr w:rsidR="00256703" w:rsidRPr="00FF63D1" w14:paraId="204F69F2"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E877F8" w14:textId="24D1281F" w:rsidR="00256703" w:rsidRPr="00FF63D1" w:rsidRDefault="00256703" w:rsidP="002B0B10">
            <w:pPr>
              <w:rPr>
                <w:noProof/>
                <w:sz w:val="22"/>
                <w:szCs w:val="20"/>
              </w:rPr>
            </w:pPr>
            <w:r w:rsidRPr="00892F25">
              <w:rPr>
                <w:b/>
                <w:noProof/>
                <w:sz w:val="22"/>
              </w:rPr>
              <w:t>Which emissions and processes covered?</w:t>
            </w:r>
            <w:r w:rsidRPr="00FF63D1">
              <w:rPr>
                <w:noProof/>
                <w:sz w:val="22"/>
                <w:szCs w:val="20"/>
              </w:rPr>
              <w:t> </w:t>
            </w:r>
            <w:r w:rsidRPr="00892F25">
              <w:rPr>
                <w:noProof/>
                <w:sz w:val="22"/>
              </w:rPr>
              <w:t>All processes directly or indirectly linked to the process units blast furnace, hot metal treatment units, blast furnace blowers, blast furnace hot stoves, direct reduced iron reactor, electric arc furnace and electric smelting furnace for sponge iron, basic oxygen furnace, secondary metallurgy units, vacuum ladles, casting units (including cutting), slag treatment unit, burden preparation, BF and other gas treatment units, dedusting units, scrap pre-heating, coal drying for PCI, vessels preheating stands, casting ingots preheating stands, compressed air production, dust treatment unit (briquetting), sludge treatment unit (briquetting), steam injection in BF unit, steam generation plant, converter BOF gas cooling and miscellaneous are included.</w:t>
            </w:r>
            <w:r w:rsidRPr="00FF63D1">
              <w:rPr>
                <w:noProof/>
                <w:sz w:val="22"/>
                <w:szCs w:val="20"/>
              </w:rPr>
              <w:t> </w:t>
            </w:r>
          </w:p>
        </w:tc>
      </w:tr>
    </w:tbl>
    <w:p w14:paraId="21A01E57" w14:textId="77777777" w:rsidR="00256703" w:rsidRPr="00FF63D1" w:rsidRDefault="00256703" w:rsidP="002B0B10">
      <w:pPr>
        <w:rPr>
          <w:i/>
          <w:noProof/>
          <w:sz w:val="22"/>
          <w:szCs w:val="20"/>
        </w:rPr>
      </w:pPr>
      <w:r w:rsidRPr="00FF63D1">
        <w:rPr>
          <w:i/>
          <w:noProof/>
          <w:sz w:val="22"/>
          <w:szCs w:val="20"/>
        </w:rPr>
        <w:t> </w:t>
      </w:r>
    </w:p>
    <w:p w14:paraId="2BA98F4B" w14:textId="458073E9" w:rsidR="002B0B10" w:rsidRPr="00892F25" w:rsidRDefault="00256703" w:rsidP="001D426C">
      <w:pPr>
        <w:pStyle w:val="Heading2"/>
        <w:numPr>
          <w:ilvl w:val="0"/>
          <w:numId w:val="0"/>
        </w:numPr>
        <w:ind w:left="576" w:hanging="576"/>
        <w:rPr>
          <w:b w:val="0"/>
          <w:sz w:val="22"/>
        </w:rPr>
      </w:pPr>
      <w:bookmarkStart w:id="1556" w:name="_Toc212728885"/>
      <w:bookmarkStart w:id="1557" w:name="_Toc212729413"/>
      <w:bookmarkStart w:id="1558" w:name="_Toc215506357"/>
      <w:bookmarkStart w:id="1559" w:name="_Toc222490065"/>
      <w:r w:rsidRPr="00892F25">
        <w:t>Secondary steel making</w:t>
      </w:r>
      <w:bookmarkEnd w:id="1556"/>
      <w:bookmarkEnd w:id="1557"/>
      <w:bookmarkEnd w:id="1558"/>
      <w:bookmarkEnd w:id="1559"/>
      <w:r w:rsidRPr="00FF63D1">
        <w:rPr>
          <w:b w:val="0"/>
          <w:sz w:val="22"/>
        </w:rPr>
        <w:t> </w:t>
      </w:r>
    </w:p>
    <w:p w14:paraId="1C6423C9" w14:textId="6145CBE3" w:rsidR="002B0B10" w:rsidRPr="00FF63D1" w:rsidRDefault="00256703" w:rsidP="002B0B10">
      <w:pPr>
        <w:rPr>
          <w:i/>
          <w:noProof/>
          <w:sz w:val="22"/>
          <w:szCs w:val="20"/>
        </w:rPr>
      </w:pPr>
      <w:r w:rsidRPr="00892F25">
        <w:rPr>
          <w:i/>
          <w:noProof/>
          <w:sz w:val="22"/>
        </w:rPr>
        <w:t>EAF carbon steel</w:t>
      </w:r>
      <w:r w:rsidRPr="00FF63D1">
        <w:rPr>
          <w:i/>
          <w:noProof/>
          <w:sz w:val="22"/>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256703" w:rsidRPr="00FF63D1" w14:paraId="7B969D7D"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4D97EF" w14:textId="39D45953" w:rsidR="00256703" w:rsidRPr="00FF63D1" w:rsidRDefault="00256703" w:rsidP="002B0B10">
            <w:pPr>
              <w:rPr>
                <w:noProof/>
                <w:sz w:val="22"/>
              </w:rPr>
            </w:pPr>
            <w:r w:rsidRPr="00892F25">
              <w:rPr>
                <w:b/>
                <w:noProof/>
                <w:sz w:val="22"/>
              </w:rPr>
              <w:t>What?</w:t>
            </w:r>
            <w:r w:rsidRPr="00892F25">
              <w:rPr>
                <w:noProof/>
                <w:sz w:val="22"/>
              </w:rPr>
              <w:t> Steel containing less than 8% metallic alloying elements and tramp elements to such levels limiting the use to those applications where no high surface quality and processability is required and if none of the criteria for the content of the metal alloying elements and the steel quality for high alloy steel are met. Expressed in tonnes of crude secondary steel ex-caster.</w:t>
            </w:r>
            <w:r w:rsidRPr="00FF63D1">
              <w:rPr>
                <w:noProof/>
                <w:sz w:val="22"/>
              </w:rPr>
              <w:t> </w:t>
            </w:r>
          </w:p>
          <w:p w14:paraId="1DCA7927" w14:textId="77777777" w:rsidR="00256703" w:rsidRPr="00FF63D1" w:rsidRDefault="00256703" w:rsidP="002B0B10">
            <w:pPr>
              <w:rPr>
                <w:noProof/>
                <w:sz w:val="22"/>
              </w:rPr>
            </w:pPr>
            <w:r w:rsidRPr="00892F25">
              <w:rPr>
                <w:noProof/>
                <w:sz w:val="22"/>
              </w:rPr>
              <w:t>Steel produced from sponge iron already covered under the hot metal benchmark is not covered by this benchmark. All processes directly or indirectly linked to the process units electric arc furnace, secondary metallurgy, casting and cutting, post-combustion unit, dedusting unit, vessels heating stands, casting ingots preheating stands, scrap drying and scrap preheating are included. Processes downstream of casting are not included. For the purpose of data collection, the total electricity consumption within the system boundaries shall be considered.</w:t>
            </w:r>
            <w:r w:rsidRPr="00FF63D1">
              <w:rPr>
                <w:noProof/>
                <w:sz w:val="22"/>
              </w:rPr>
              <w:t> </w:t>
            </w:r>
          </w:p>
        </w:tc>
      </w:tr>
      <w:tr w:rsidR="00256703" w:rsidRPr="00FF63D1" w14:paraId="0E6524C3"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F99F69" w14:textId="313A8252" w:rsidR="00256703" w:rsidRPr="00FF63D1" w:rsidRDefault="00256703" w:rsidP="002B0B10">
            <w:pPr>
              <w:rPr>
                <w:noProof/>
                <w:sz w:val="22"/>
              </w:rPr>
            </w:pPr>
            <w:r w:rsidRPr="00892F25">
              <w:rPr>
                <w:b/>
                <w:noProof/>
                <w:sz w:val="22"/>
              </w:rPr>
              <w:t>Which emissions and processes covered?</w:t>
            </w:r>
            <w:r w:rsidRPr="00FF63D1">
              <w:rPr>
                <w:noProof/>
                <w:sz w:val="22"/>
              </w:rPr>
              <w:t> </w:t>
            </w:r>
            <w:r w:rsidRPr="00892F25">
              <w:rPr>
                <w:noProof/>
                <w:sz w:val="22"/>
              </w:rPr>
              <w:t>All processes directly or indirectly linked to the process units electric arc furnace, secondary metallurgy, casting and cutting, post-combustion unit, dedusting unit, vessels heating stands, casting ingots preheating stands, scrap drying and scrap preheating are included. Processes downstream of casting are not included. For the purpose of data collection, the total electricity consumption within the system boundaries shall be considered.</w:t>
            </w:r>
            <w:r w:rsidRPr="00FF63D1">
              <w:rPr>
                <w:noProof/>
                <w:sz w:val="22"/>
              </w:rPr>
              <w:t> </w:t>
            </w:r>
          </w:p>
        </w:tc>
      </w:tr>
    </w:tbl>
    <w:p w14:paraId="14C3B499" w14:textId="51A5983D" w:rsidR="002B0B10" w:rsidRPr="00FF63D1" w:rsidRDefault="00256703" w:rsidP="001D426C">
      <w:pPr>
        <w:spacing w:before="240"/>
        <w:rPr>
          <w:i/>
          <w:noProof/>
          <w:sz w:val="22"/>
          <w:szCs w:val="20"/>
        </w:rPr>
      </w:pPr>
      <w:r w:rsidRPr="00892F25">
        <w:rPr>
          <w:i/>
          <w:noProof/>
          <w:sz w:val="22"/>
        </w:rPr>
        <w:t>EAF high-alloy steel</w:t>
      </w:r>
      <w:r w:rsidRPr="00FF63D1">
        <w:rPr>
          <w:i/>
          <w:noProof/>
          <w:sz w:val="22"/>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256703" w:rsidRPr="00FF63D1" w14:paraId="77643CA9"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74F83E" w14:textId="227384EB" w:rsidR="00256703" w:rsidRPr="00FF63D1" w:rsidRDefault="00256703" w:rsidP="002B0B10">
            <w:pPr>
              <w:rPr>
                <w:noProof/>
                <w:sz w:val="22"/>
              </w:rPr>
            </w:pPr>
            <w:r w:rsidRPr="00892F25">
              <w:rPr>
                <w:b/>
                <w:noProof/>
                <w:sz w:val="22"/>
              </w:rPr>
              <w:t>What?</w:t>
            </w:r>
            <w:r w:rsidRPr="00FF63D1">
              <w:rPr>
                <w:noProof/>
                <w:sz w:val="22"/>
              </w:rPr>
              <w:t> </w:t>
            </w:r>
            <w:r w:rsidRPr="00892F25">
              <w:rPr>
                <w:noProof/>
                <w:sz w:val="22"/>
              </w:rPr>
              <w:t>Steel containing 8% or more metallic alloying elements or where high surface quality and processability is required. Expressed in tonnes of crude secondary steel ex-caster. Steel produced from sponge iron already covered under the hot metal benchmark is not covered by this benchmark.</w:t>
            </w:r>
            <w:r w:rsidRPr="00FF63D1">
              <w:rPr>
                <w:noProof/>
                <w:sz w:val="22"/>
              </w:rPr>
              <w:t> </w:t>
            </w:r>
          </w:p>
        </w:tc>
      </w:tr>
      <w:tr w:rsidR="00256703" w:rsidRPr="00FF63D1" w14:paraId="4DE3CF22" w14:textId="77777777" w:rsidTr="00892F25">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95429C" w14:textId="03DEACA0" w:rsidR="00256703" w:rsidRPr="00FF63D1" w:rsidRDefault="00256703" w:rsidP="002B0B10">
            <w:pPr>
              <w:rPr>
                <w:noProof/>
                <w:sz w:val="22"/>
              </w:rPr>
            </w:pPr>
            <w:r w:rsidRPr="00892F25">
              <w:rPr>
                <w:b/>
                <w:noProof/>
                <w:sz w:val="22"/>
              </w:rPr>
              <w:t>Which emissions and processes covered?</w:t>
            </w:r>
            <w:r w:rsidRPr="00FF63D1">
              <w:rPr>
                <w:noProof/>
                <w:sz w:val="22"/>
              </w:rPr>
              <w:t> </w:t>
            </w:r>
            <w:r w:rsidRPr="00892F25">
              <w:rPr>
                <w:noProof/>
                <w:sz w:val="22"/>
              </w:rPr>
              <w:t>All processes directly or indirectly linked to the process units electric arc furnace, secondary metallurgy, casting and cutting, post-combustion unit, dedusting unit, vessels heating stands, casting ingots preheating stands, slow cooling pit, scrap drying and scrap preheating are included. The process units FeCr converter and cryogenic storage of industrial gases are not included.</w:t>
            </w:r>
            <w:r w:rsidRPr="00FF63D1">
              <w:rPr>
                <w:noProof/>
                <w:sz w:val="22"/>
              </w:rPr>
              <w:t> </w:t>
            </w:r>
          </w:p>
          <w:p w14:paraId="242911F9" w14:textId="77777777" w:rsidR="00256703" w:rsidRPr="00FF63D1" w:rsidRDefault="00256703" w:rsidP="002B0B10">
            <w:pPr>
              <w:rPr>
                <w:noProof/>
                <w:sz w:val="22"/>
                <w:szCs w:val="20"/>
              </w:rPr>
            </w:pPr>
            <w:r w:rsidRPr="00892F25">
              <w:rPr>
                <w:noProof/>
                <w:sz w:val="22"/>
              </w:rPr>
              <w:t>Processes downstream of casting are not included.</w:t>
            </w:r>
            <w:r w:rsidRPr="00FF63D1">
              <w:rPr>
                <w:noProof/>
                <w:sz w:val="22"/>
                <w:szCs w:val="20"/>
              </w:rPr>
              <w:t> </w:t>
            </w:r>
          </w:p>
          <w:p w14:paraId="56A332E1" w14:textId="77777777" w:rsidR="00256703" w:rsidRPr="00FF63D1" w:rsidRDefault="00256703" w:rsidP="002B0B10">
            <w:pPr>
              <w:rPr>
                <w:noProof/>
                <w:sz w:val="22"/>
              </w:rPr>
            </w:pPr>
            <w:r w:rsidRPr="00892F25">
              <w:rPr>
                <w:noProof/>
                <w:sz w:val="22"/>
              </w:rPr>
              <w:t>For the purpose of data collection, the total electricity consumption within the system boundaries shall be considered.</w:t>
            </w:r>
            <w:r w:rsidRPr="00FF63D1">
              <w:rPr>
                <w:noProof/>
                <w:sz w:val="22"/>
              </w:rPr>
              <w:t> </w:t>
            </w:r>
          </w:p>
        </w:tc>
      </w:tr>
    </w:tbl>
    <w:p w14:paraId="378E2CAF" w14:textId="77777777" w:rsidR="00256703" w:rsidRPr="00FF63D1" w:rsidRDefault="00256703" w:rsidP="002B0B10">
      <w:pPr>
        <w:rPr>
          <w:noProof/>
          <w:sz w:val="22"/>
        </w:rPr>
      </w:pPr>
      <w:r w:rsidRPr="00FF63D1">
        <w:rPr>
          <w:noProof/>
          <w:sz w:val="22"/>
        </w:rPr>
        <w:t> </w:t>
      </w:r>
    </w:p>
    <w:p w14:paraId="12FB1612" w14:textId="77777777" w:rsidR="00F47997" w:rsidRPr="00FF63D1" w:rsidRDefault="00F47997">
      <w:pPr>
        <w:rPr>
          <w:noProof/>
          <w:sz w:val="22"/>
        </w:rPr>
      </w:pPr>
      <w:r w:rsidRPr="00FF63D1">
        <w:rPr>
          <w:noProof/>
          <w:sz w:val="22"/>
        </w:rPr>
        <w:br w:type="page"/>
      </w:r>
    </w:p>
    <w:p w14:paraId="0203ED8F" w14:textId="20078A11" w:rsidR="001D426C" w:rsidRPr="001D426C" w:rsidRDefault="00712A3C" w:rsidP="001D426C">
      <w:pPr>
        <w:pStyle w:val="Heading1"/>
        <w:numPr>
          <w:ilvl w:val="0"/>
          <w:numId w:val="0"/>
        </w:numPr>
        <w:spacing w:before="0"/>
        <w:rPr>
          <w:rFonts w:ascii="Times" w:hAnsi="Times" w:cs="Times"/>
          <w:b/>
          <w:noProof/>
          <w:color w:val="auto"/>
          <w:sz w:val="28"/>
          <w:szCs w:val="28"/>
        </w:rPr>
      </w:pPr>
      <w:bookmarkStart w:id="1560" w:name="_Toc222159394"/>
      <w:bookmarkStart w:id="1561" w:name="_Toc222490066"/>
      <w:r w:rsidRPr="00FF63D1">
        <w:rPr>
          <w:rFonts w:ascii="Times" w:hAnsi="Times" w:cs="Times"/>
          <w:b/>
          <w:noProof/>
          <w:color w:val="auto"/>
          <w:sz w:val="28"/>
          <w:szCs w:val="28"/>
        </w:rPr>
        <w:t>Annex 13</w:t>
      </w:r>
      <w:r w:rsidR="00D67246" w:rsidRPr="00FF63D1">
        <w:rPr>
          <w:rFonts w:ascii="Times" w:hAnsi="Times" w:cs="Times"/>
          <w:b/>
          <w:noProof/>
          <w:color w:val="auto"/>
          <w:sz w:val="28"/>
          <w:szCs w:val="28"/>
        </w:rPr>
        <w:t>:</w:t>
      </w:r>
      <w:r w:rsidRPr="00FF63D1">
        <w:rPr>
          <w:rFonts w:ascii="Times" w:hAnsi="Times" w:cs="Times"/>
          <w:b/>
          <w:noProof/>
          <w:color w:val="auto"/>
          <w:sz w:val="28"/>
          <w:szCs w:val="28"/>
        </w:rPr>
        <w:t xml:space="preserve"> </w:t>
      </w:r>
      <w:r w:rsidR="007A67B0" w:rsidRPr="00FF63D1">
        <w:rPr>
          <w:rFonts w:ascii="Times" w:hAnsi="Times" w:cs="Times"/>
          <w:b/>
          <w:noProof/>
          <w:color w:val="auto"/>
          <w:sz w:val="28"/>
          <w:szCs w:val="28"/>
        </w:rPr>
        <w:t xml:space="preserve">Overview of </w:t>
      </w:r>
      <w:r w:rsidR="00D824AC" w:rsidRPr="00FF63D1">
        <w:rPr>
          <w:rFonts w:ascii="Times" w:hAnsi="Times" w:cs="Times"/>
          <w:b/>
          <w:noProof/>
          <w:color w:val="auto"/>
          <w:sz w:val="28"/>
          <w:szCs w:val="28"/>
        </w:rPr>
        <w:t xml:space="preserve">third countries </w:t>
      </w:r>
      <w:r w:rsidR="007A67B0" w:rsidRPr="00FF63D1">
        <w:rPr>
          <w:rFonts w:ascii="Times" w:hAnsi="Times" w:cs="Times"/>
          <w:b/>
          <w:noProof/>
          <w:color w:val="auto"/>
          <w:sz w:val="28"/>
          <w:szCs w:val="28"/>
        </w:rPr>
        <w:t xml:space="preserve">conditionalities for </w:t>
      </w:r>
      <w:r w:rsidR="00892FC9">
        <w:rPr>
          <w:rFonts w:ascii="Times" w:hAnsi="Times" w:cs="Times"/>
          <w:b/>
          <w:noProof/>
          <w:color w:val="auto"/>
          <w:sz w:val="28"/>
          <w:szCs w:val="28"/>
        </w:rPr>
        <w:t>FDI</w:t>
      </w:r>
      <w:bookmarkEnd w:id="1560"/>
      <w:bookmarkEnd w:id="1561"/>
    </w:p>
    <w:p w14:paraId="3F40B274" w14:textId="61FC1428" w:rsidR="00712A3C" w:rsidRPr="00FF63D1" w:rsidRDefault="001D426C" w:rsidP="001D426C">
      <w:pPr>
        <w:spacing w:before="240"/>
        <w:rPr>
          <w:rFonts w:eastAsia="Times New Roman" w:cs="Times New Roman"/>
          <w:noProof/>
          <w:color w:val="222222"/>
        </w:rPr>
      </w:pPr>
      <w:r w:rsidRPr="00FF63D1">
        <w:rPr>
          <w:rFonts w:eastAsia="Times New Roman" w:cs="Times New Roman"/>
          <w:noProof/>
          <w:color w:val="222222"/>
        </w:rPr>
        <w:t xml:space="preserve">The </w:t>
      </w:r>
      <w:r>
        <w:rPr>
          <w:rFonts w:eastAsia="Times New Roman" w:cs="Times New Roman"/>
          <w:noProof/>
          <w:color w:val="222222"/>
        </w:rPr>
        <w:t>i</w:t>
      </w:r>
      <w:r w:rsidR="426F632E" w:rsidRPr="00FF63D1">
        <w:rPr>
          <w:rFonts w:eastAsia="Times New Roman" w:cs="Times New Roman"/>
          <w:noProof/>
          <w:color w:val="222222"/>
        </w:rPr>
        <w:t xml:space="preserve">mpact of FDI conditionalities can be </w:t>
      </w:r>
      <w:r w:rsidR="00605C04" w:rsidRPr="00FF63D1">
        <w:rPr>
          <w:rFonts w:eastAsia="Times New Roman" w:cs="Times New Roman"/>
          <w:noProof/>
          <w:color w:val="222222"/>
        </w:rPr>
        <w:t xml:space="preserve">better understood by referring to </w:t>
      </w:r>
      <w:r w:rsidR="426F632E" w:rsidRPr="00FF63D1">
        <w:rPr>
          <w:rFonts w:eastAsia="Times New Roman" w:cs="Times New Roman"/>
          <w:noProof/>
          <w:color w:val="222222"/>
        </w:rPr>
        <w:t>existing measures in other economies, notably the United States’ Inflation Reduction Act (IRA) of 2022, Canada’s ‘Made in Canada Plan’ of 2023, and China’s long-standing investment conditionalities dating back to the 1990s. Each model shows how linking investment incentives to local content, labour, and environmental standards can lead to increased industrial resilience, skilled and well-paid employment, and strengthening of local supply chains.</w:t>
      </w:r>
    </w:p>
    <w:p w14:paraId="4FAA692E" w14:textId="0BCC62FD" w:rsidR="00506DD6" w:rsidRPr="00FA19D1" w:rsidRDefault="00506DD6" w:rsidP="001D426C">
      <w:pPr>
        <w:spacing w:before="240"/>
        <w:rPr>
          <w:rFonts w:eastAsia="Times New Roman" w:cs="Times New Roman"/>
          <w:b/>
          <w:i/>
          <w:noProof/>
          <w:color w:val="222222"/>
        </w:rPr>
      </w:pPr>
      <w:r w:rsidRPr="00FA19D1">
        <w:rPr>
          <w:rFonts w:eastAsia="Times New Roman" w:cs="Times New Roman"/>
          <w:b/>
          <w:i/>
          <w:noProof/>
          <w:color w:val="222222"/>
        </w:rPr>
        <w:t>United States</w:t>
      </w:r>
    </w:p>
    <w:p w14:paraId="61522A19" w14:textId="7DC5890A" w:rsidR="00CE562A" w:rsidRPr="00FF63D1" w:rsidRDefault="0F8245CD" w:rsidP="00257D37">
      <w:pPr>
        <w:rPr>
          <w:noProof/>
          <w:color w:val="000000" w:themeColor="text1"/>
        </w:rPr>
      </w:pPr>
      <w:r w:rsidRPr="00FF63D1">
        <w:rPr>
          <w:rFonts w:eastAsia="Times New Roman" w:cs="Times New Roman"/>
          <w:noProof/>
          <w:color w:val="000000" w:themeColor="text1"/>
        </w:rPr>
        <w:t>The</w:t>
      </w:r>
      <w:r w:rsidR="475273F3" w:rsidRPr="00FF63D1">
        <w:rPr>
          <w:rFonts w:eastAsia="Times New Roman" w:cs="Times New Roman"/>
          <w:noProof/>
          <w:color w:val="000000" w:themeColor="text1"/>
        </w:rPr>
        <w:t xml:space="preserve"> </w:t>
      </w:r>
      <w:r w:rsidRPr="00FF63D1">
        <w:rPr>
          <w:rFonts w:eastAsia="Times New Roman" w:cs="Times New Roman"/>
          <w:noProof/>
          <w:color w:val="000000" w:themeColor="text1"/>
        </w:rPr>
        <w:t>IRA of 2022 in the USA directs nearly EUR 378 billion in federal funding to clean energy, with the goal of substantially lowering carbon emissions. The funds are delivered through a mix of tax incentives, grants, and loan guarantees.</w:t>
      </w:r>
      <w:r w:rsidR="00B028E4" w:rsidRPr="00FF63D1">
        <w:rPr>
          <w:rStyle w:val="FootnoteReference"/>
          <w:rFonts w:eastAsia="Times New Roman" w:cs="Times New Roman"/>
          <w:noProof/>
          <w:color w:val="000000" w:themeColor="text1"/>
        </w:rPr>
        <w:footnoteReference w:id="689"/>
      </w:r>
      <w:r w:rsidR="408586A1" w:rsidRPr="00FF63D1">
        <w:rPr>
          <w:rFonts w:eastAsia="Times New Roman" w:cs="Times New Roman"/>
          <w:noProof/>
          <w:color w:val="000000" w:themeColor="text1"/>
        </w:rPr>
        <w:t xml:space="preserve"> </w:t>
      </w:r>
      <w:r w:rsidR="37B14FBC" w:rsidRPr="00FF63D1">
        <w:rPr>
          <w:rFonts w:eastAsia="Times New Roman" w:cs="Times New Roman"/>
          <w:noProof/>
          <w:color w:val="000000" w:themeColor="text1"/>
        </w:rPr>
        <w:t>However the access to the</w:t>
      </w:r>
      <w:r w:rsidR="066E30BD" w:rsidRPr="00FF63D1">
        <w:rPr>
          <w:rFonts w:eastAsia="Times New Roman" w:cs="Times New Roman"/>
          <w:noProof/>
          <w:color w:val="000000" w:themeColor="text1"/>
        </w:rPr>
        <w:t>se</w:t>
      </w:r>
      <w:r w:rsidR="37B14FBC" w:rsidRPr="00FF63D1">
        <w:rPr>
          <w:rFonts w:eastAsia="Times New Roman" w:cs="Times New Roman"/>
          <w:noProof/>
          <w:color w:val="000000" w:themeColor="text1"/>
        </w:rPr>
        <w:t xml:space="preserve"> funds </w:t>
      </w:r>
      <w:r w:rsidR="066E30BD" w:rsidRPr="00FF63D1">
        <w:rPr>
          <w:rFonts w:eastAsia="Times New Roman" w:cs="Times New Roman"/>
          <w:noProof/>
          <w:color w:val="000000" w:themeColor="text1"/>
        </w:rPr>
        <w:t>is</w:t>
      </w:r>
      <w:r w:rsidR="6E87FC3B" w:rsidRPr="00FF63D1">
        <w:rPr>
          <w:rFonts w:eastAsia="Times New Roman" w:cs="Times New Roman"/>
          <w:noProof/>
          <w:color w:val="000000" w:themeColor="text1"/>
        </w:rPr>
        <w:t xml:space="preserve"> </w:t>
      </w:r>
      <w:r w:rsidRPr="00FF63D1">
        <w:rPr>
          <w:rFonts w:eastAsia="Times New Roman" w:cs="Times New Roman"/>
          <w:noProof/>
          <w:color w:val="000000" w:themeColor="text1"/>
        </w:rPr>
        <w:t>linked to</w:t>
      </w:r>
      <w:r w:rsidR="1196DB0C" w:rsidRPr="00FF63D1">
        <w:rPr>
          <w:rFonts w:eastAsia="Times New Roman" w:cs="Times New Roman"/>
          <w:noProof/>
          <w:color w:val="000000" w:themeColor="text1"/>
        </w:rPr>
        <w:t xml:space="preserve"> locally sourced</w:t>
      </w:r>
      <w:r w:rsidR="3C51E2B7" w:rsidRPr="00FF63D1">
        <w:rPr>
          <w:rFonts w:eastAsia="Times New Roman" w:cs="Times New Roman"/>
          <w:noProof/>
          <w:color w:val="000000" w:themeColor="text1"/>
        </w:rPr>
        <w:t xml:space="preserve"> input</w:t>
      </w:r>
      <w:r w:rsidR="6B2DFA51" w:rsidRPr="00FF63D1">
        <w:rPr>
          <w:rFonts w:eastAsia="Times New Roman" w:cs="Times New Roman"/>
          <w:noProof/>
          <w:color w:val="000000" w:themeColor="text1"/>
        </w:rPr>
        <w:t xml:space="preserve"> requirements as well as</w:t>
      </w:r>
      <w:r w:rsidR="3C51E2B7" w:rsidRPr="00FF63D1">
        <w:rPr>
          <w:rFonts w:eastAsia="Times New Roman" w:cs="Times New Roman"/>
          <w:noProof/>
          <w:color w:val="000000" w:themeColor="text1"/>
        </w:rPr>
        <w:t xml:space="preserve"> labour a</w:t>
      </w:r>
      <w:r w:rsidR="6B2DFA51" w:rsidRPr="00FF63D1">
        <w:rPr>
          <w:rFonts w:eastAsia="Times New Roman" w:cs="Times New Roman"/>
          <w:noProof/>
          <w:color w:val="000000" w:themeColor="text1"/>
        </w:rPr>
        <w:t>nd</w:t>
      </w:r>
      <w:r w:rsidR="3C51E2B7" w:rsidRPr="00FF63D1">
        <w:rPr>
          <w:rFonts w:eastAsia="Times New Roman" w:cs="Times New Roman"/>
          <w:noProof/>
          <w:color w:val="000000" w:themeColor="text1"/>
        </w:rPr>
        <w:t xml:space="preserve"> </w:t>
      </w:r>
      <w:r w:rsidR="7F4E8F33" w:rsidRPr="00FF63D1">
        <w:rPr>
          <w:rFonts w:eastAsia="Times New Roman" w:cs="Times New Roman"/>
          <w:noProof/>
          <w:color w:val="000000" w:themeColor="text1"/>
        </w:rPr>
        <w:t>environmental</w:t>
      </w:r>
      <w:r w:rsidR="3C51E2B7" w:rsidRPr="00FF63D1">
        <w:rPr>
          <w:rFonts w:eastAsia="Times New Roman" w:cs="Times New Roman"/>
          <w:noProof/>
          <w:color w:val="000000" w:themeColor="text1"/>
        </w:rPr>
        <w:t xml:space="preserve"> conditionalities.</w:t>
      </w:r>
      <w:r w:rsidR="69FCC8EE" w:rsidRPr="00FF63D1">
        <w:rPr>
          <w:noProof/>
          <w:color w:val="000000" w:themeColor="text1"/>
        </w:rPr>
        <w:t xml:space="preserve"> </w:t>
      </w:r>
      <w:r w:rsidR="7451DECE" w:rsidRPr="00FF63D1">
        <w:rPr>
          <w:noProof/>
          <w:color w:val="000000" w:themeColor="text1"/>
        </w:rPr>
        <w:t xml:space="preserve">Many subsidies </w:t>
      </w:r>
      <w:r w:rsidR="3FAC0DD6" w:rsidRPr="00FF63D1">
        <w:rPr>
          <w:noProof/>
          <w:color w:val="000000" w:themeColor="text1"/>
        </w:rPr>
        <w:t>require</w:t>
      </w:r>
      <w:r w:rsidR="7451DECE" w:rsidRPr="00FF63D1">
        <w:rPr>
          <w:noProof/>
          <w:color w:val="000000" w:themeColor="text1"/>
        </w:rPr>
        <w:t xml:space="preserve"> “Made in America” inputs or assembly, for example, grid-scale renewable projects using domestically produced steel, iron, and components</w:t>
      </w:r>
      <w:r w:rsidR="00780B8E">
        <w:rPr>
          <w:noProof/>
          <w:color w:val="000000" w:themeColor="text1"/>
        </w:rPr>
        <w:t>.</w:t>
      </w:r>
      <w:r w:rsidR="00153BBF" w:rsidRPr="00FF63D1">
        <w:rPr>
          <w:rStyle w:val="FootnoteReference"/>
          <w:noProof/>
          <w:color w:val="000000" w:themeColor="text1"/>
        </w:rPr>
        <w:footnoteReference w:id="690"/>
      </w:r>
      <w:r w:rsidR="7451DECE" w:rsidRPr="00FF63D1">
        <w:rPr>
          <w:noProof/>
          <w:color w:val="000000" w:themeColor="text1"/>
        </w:rPr>
        <w:t xml:space="preserve"> </w:t>
      </w:r>
      <w:r w:rsidR="3FAC0DD6" w:rsidRPr="00FF63D1">
        <w:rPr>
          <w:noProof/>
          <w:color w:val="000000" w:themeColor="text1"/>
        </w:rPr>
        <w:t>Furthermore, p</w:t>
      </w:r>
      <w:r w:rsidR="7451DECE" w:rsidRPr="00FF63D1">
        <w:rPr>
          <w:noProof/>
          <w:color w:val="000000" w:themeColor="text1"/>
        </w:rPr>
        <w:t xml:space="preserve">rojects must meet Prevailing Wage and Apprenticeship (PWA) criteria, </w:t>
      </w:r>
      <w:r w:rsidR="4E42FA47" w:rsidRPr="00FF63D1">
        <w:rPr>
          <w:noProof/>
          <w:color w:val="000000" w:themeColor="text1"/>
        </w:rPr>
        <w:t>where</w:t>
      </w:r>
      <w:r w:rsidR="7451DECE" w:rsidRPr="00FF63D1">
        <w:rPr>
          <w:noProof/>
          <w:color w:val="000000" w:themeColor="text1"/>
        </w:rPr>
        <w:t xml:space="preserve"> </w:t>
      </w:r>
      <w:r w:rsidR="4E42FA47" w:rsidRPr="00FF63D1">
        <w:rPr>
          <w:noProof/>
          <w:color w:val="000000" w:themeColor="text1"/>
        </w:rPr>
        <w:t>w</w:t>
      </w:r>
      <w:r w:rsidR="7451DECE" w:rsidRPr="00FF63D1">
        <w:rPr>
          <w:noProof/>
          <w:color w:val="000000" w:themeColor="text1"/>
        </w:rPr>
        <w:t>orkers must be paid local prevailing wages</w:t>
      </w:r>
      <w:r w:rsidR="41804050" w:rsidRPr="00FF63D1">
        <w:rPr>
          <w:noProof/>
          <w:color w:val="000000" w:themeColor="text1"/>
        </w:rPr>
        <w:t>,</w:t>
      </w:r>
      <w:r w:rsidR="7451DECE" w:rsidRPr="00FF63D1">
        <w:rPr>
          <w:noProof/>
          <w:color w:val="000000" w:themeColor="text1"/>
        </w:rPr>
        <w:t xml:space="preserve"> and a certain percentage of workforce must be qualified apprentices. </w:t>
      </w:r>
    </w:p>
    <w:p w14:paraId="5F4B8C5F" w14:textId="77777777" w:rsidR="008E084B" w:rsidRPr="00FF63D1" w:rsidRDefault="008E084B" w:rsidP="00257D37">
      <w:pPr>
        <w:rPr>
          <w:noProof/>
          <w:color w:val="000000" w:themeColor="text1"/>
        </w:rPr>
      </w:pPr>
    </w:p>
    <w:p w14:paraId="4146419D" w14:textId="685D59A8" w:rsidR="00152154" w:rsidRPr="00FF63D1" w:rsidRDefault="1E08E512" w:rsidP="00257D37">
      <w:pPr>
        <w:rPr>
          <w:noProof/>
          <w:color w:val="000000" w:themeColor="text1"/>
        </w:rPr>
      </w:pPr>
      <w:r w:rsidRPr="00FF63D1">
        <w:rPr>
          <w:rFonts w:eastAsia="Times New Roman" w:cs="Times New Roman"/>
          <w:noProof/>
          <w:color w:val="000000" w:themeColor="text1"/>
        </w:rPr>
        <w:t xml:space="preserve">As a result, foreign investors are transferring technology, building factories, and cultivating a skilled workforce in the U.S. This strengthens innovation in the </w:t>
      </w:r>
      <w:r w:rsidR="5ABA38B4" w:rsidRPr="00FF63D1">
        <w:rPr>
          <w:rFonts w:eastAsia="Times New Roman" w:cs="Times New Roman"/>
          <w:noProof/>
          <w:color w:val="000000" w:themeColor="text1"/>
        </w:rPr>
        <w:t xml:space="preserve">clean </w:t>
      </w:r>
      <w:r w:rsidRPr="00FF63D1">
        <w:rPr>
          <w:rFonts w:eastAsia="Times New Roman" w:cs="Times New Roman"/>
          <w:noProof/>
          <w:color w:val="000000" w:themeColor="text1"/>
        </w:rPr>
        <w:t>tech sector, including batteries</w:t>
      </w:r>
      <w:r w:rsidR="229987CE" w:rsidRPr="00FF63D1">
        <w:rPr>
          <w:rFonts w:eastAsia="Times New Roman" w:cs="Times New Roman"/>
          <w:noProof/>
          <w:color w:val="000000" w:themeColor="text1"/>
        </w:rPr>
        <w:t xml:space="preserve"> as well as</w:t>
      </w:r>
      <w:r w:rsidRPr="00FF63D1">
        <w:rPr>
          <w:rFonts w:eastAsia="Times New Roman" w:cs="Times New Roman"/>
          <w:noProof/>
          <w:color w:val="000000" w:themeColor="text1"/>
        </w:rPr>
        <w:t xml:space="preserve"> enhances industrial security and resilience</w:t>
      </w:r>
      <w:r w:rsidR="229987CE" w:rsidRPr="00FF63D1">
        <w:rPr>
          <w:rFonts w:eastAsia="Times New Roman" w:cs="Times New Roman"/>
          <w:noProof/>
          <w:color w:val="000000" w:themeColor="text1"/>
        </w:rPr>
        <w:t>.</w:t>
      </w:r>
      <w:r w:rsidRPr="00FF63D1">
        <w:rPr>
          <w:rFonts w:eastAsia="Times New Roman" w:cs="Times New Roman"/>
          <w:noProof/>
          <w:color w:val="000000" w:themeColor="text1"/>
        </w:rPr>
        <w:t xml:space="preserve"> These investments are also anchoring full domestic supply chains, including raw materials mining and processing.</w:t>
      </w:r>
      <w:r w:rsidR="659A803D" w:rsidRPr="00FF63D1">
        <w:rPr>
          <w:rFonts w:eastAsia="Times New Roman" w:cs="Times New Roman"/>
          <w:noProof/>
          <w:color w:val="000000" w:themeColor="text1"/>
        </w:rPr>
        <w:t xml:space="preserve"> </w:t>
      </w:r>
      <w:r w:rsidRPr="00FF63D1">
        <w:rPr>
          <w:rFonts w:eastAsia="Times New Roman" w:cs="Times New Roman"/>
          <w:noProof/>
          <w:color w:val="000000" w:themeColor="text1"/>
        </w:rPr>
        <w:t>For example, in 2023, 40% of critical minerals for EVs were sourced and processed in the US or permitted jurisdictions, and 50% of battery components were domestically produced or assembled</w:t>
      </w:r>
      <w:r w:rsidR="659A803D" w:rsidRPr="00FF63D1">
        <w:rPr>
          <w:rFonts w:eastAsia="Times New Roman" w:cs="Times New Roman"/>
          <w:noProof/>
          <w:color w:val="000000" w:themeColor="text1"/>
        </w:rPr>
        <w:t>.</w:t>
      </w:r>
      <w:r w:rsidR="005E272C" w:rsidRPr="00FF63D1">
        <w:rPr>
          <w:rStyle w:val="FootnoteReference"/>
          <w:rFonts w:eastAsia="Times New Roman" w:cs="Times New Roman"/>
          <w:noProof/>
          <w:color w:val="000000" w:themeColor="text1"/>
        </w:rPr>
        <w:footnoteReference w:id="691"/>
      </w:r>
      <w:r w:rsidR="4B48B1A5" w:rsidRPr="00FF63D1">
        <w:rPr>
          <w:rFonts w:eastAsia="Times New Roman" w:cs="Times New Roman"/>
          <w:noProof/>
          <w:color w:val="000000" w:themeColor="text1"/>
        </w:rPr>
        <w:t xml:space="preserve"> </w:t>
      </w:r>
      <w:r w:rsidRPr="00FF63D1">
        <w:rPr>
          <w:noProof/>
          <w:color w:val="000000" w:themeColor="text1"/>
        </w:rPr>
        <w:t>Positive social outcomes include the creation of over 26</w:t>
      </w:r>
      <w:r w:rsidR="217EA473">
        <w:rPr>
          <w:noProof/>
          <w:color w:val="000000" w:themeColor="text1"/>
        </w:rPr>
        <w:t xml:space="preserve"> </w:t>
      </w:r>
      <w:r w:rsidRPr="00FF63D1">
        <w:rPr>
          <w:noProof/>
          <w:color w:val="000000" w:themeColor="text1"/>
        </w:rPr>
        <w:t>000 new jobs</w:t>
      </w:r>
      <w:r w:rsidR="00780B8E" w:rsidRPr="00FF63D1">
        <w:rPr>
          <w:rStyle w:val="FootnoteReference"/>
          <w:noProof/>
          <w:color w:val="000000" w:themeColor="text1"/>
        </w:rPr>
        <w:footnoteReference w:id="692"/>
      </w:r>
      <w:r w:rsidRPr="00FF63D1">
        <w:rPr>
          <w:noProof/>
          <w:color w:val="000000" w:themeColor="text1"/>
        </w:rPr>
        <w:t xml:space="preserve"> </w:t>
      </w:r>
      <w:r w:rsidR="7C9F96F2" w:rsidRPr="00FF63D1">
        <w:rPr>
          <w:noProof/>
          <w:color w:val="000000" w:themeColor="text1"/>
        </w:rPr>
        <w:t>through</w:t>
      </w:r>
      <w:r w:rsidRPr="00FF63D1">
        <w:rPr>
          <w:noProof/>
          <w:color w:val="000000" w:themeColor="text1"/>
        </w:rPr>
        <w:t xml:space="preserve"> foreign automotive and battery investments, with wage requirements ensuring fair pay</w:t>
      </w:r>
      <w:r w:rsidR="659A803D" w:rsidRPr="00FF63D1">
        <w:rPr>
          <w:noProof/>
          <w:color w:val="000000" w:themeColor="text1"/>
        </w:rPr>
        <w:t>.</w:t>
      </w:r>
      <w:r w:rsidR="69FCC8EE" w:rsidRPr="00FF63D1">
        <w:rPr>
          <w:noProof/>
          <w:color w:val="000000" w:themeColor="text1"/>
        </w:rPr>
        <w:t xml:space="preserve"> </w:t>
      </w:r>
      <w:r w:rsidRPr="00FF63D1">
        <w:rPr>
          <w:noProof/>
          <w:color w:val="000000" w:themeColor="text1"/>
        </w:rPr>
        <w:t xml:space="preserve">Investments are also building local production capabilities, including </w:t>
      </w:r>
      <w:r w:rsidRPr="00FF63D1" w:rsidDel="00787D54">
        <w:rPr>
          <w:noProof/>
          <w:color w:val="000000" w:themeColor="text1"/>
        </w:rPr>
        <w:t>R&amp;</w:t>
      </w:r>
      <w:r w:rsidR="10D04FBF" w:rsidRPr="00FF63D1">
        <w:rPr>
          <w:noProof/>
          <w:color w:val="000000" w:themeColor="text1"/>
        </w:rPr>
        <w:t>I</w:t>
      </w:r>
      <w:r w:rsidRPr="00FF63D1">
        <w:rPr>
          <w:noProof/>
          <w:color w:val="000000" w:themeColor="text1"/>
        </w:rPr>
        <w:t xml:space="preserve"> centers</w:t>
      </w:r>
      <w:r w:rsidR="7C9F96F2" w:rsidRPr="00FF63D1">
        <w:rPr>
          <w:noProof/>
          <w:color w:val="000000" w:themeColor="text1"/>
        </w:rPr>
        <w:t xml:space="preserve">, </w:t>
      </w:r>
      <w:r w:rsidR="7F0A2783" w:rsidRPr="00FF63D1">
        <w:rPr>
          <w:noProof/>
          <w:color w:val="000000" w:themeColor="text1"/>
        </w:rPr>
        <w:t>meaning</w:t>
      </w:r>
      <w:r w:rsidRPr="00FF63D1">
        <w:rPr>
          <w:noProof/>
          <w:color w:val="000000" w:themeColor="text1"/>
        </w:rPr>
        <w:t xml:space="preserve"> more knowledge transfer and local supplier linkages.</w:t>
      </w:r>
    </w:p>
    <w:p w14:paraId="5AB2ABAB" w14:textId="41A63D73" w:rsidR="004C08AC" w:rsidRPr="00FA19D1" w:rsidRDefault="006030EE" w:rsidP="001D426C">
      <w:pPr>
        <w:spacing w:before="240"/>
        <w:rPr>
          <w:b/>
          <w:i/>
          <w:noProof/>
          <w:color w:val="000000" w:themeColor="text1"/>
        </w:rPr>
      </w:pPr>
      <w:r w:rsidRPr="00FA19D1">
        <w:rPr>
          <w:b/>
          <w:i/>
          <w:noProof/>
          <w:color w:val="000000" w:themeColor="text1"/>
        </w:rPr>
        <w:t>Canada</w:t>
      </w:r>
    </w:p>
    <w:p w14:paraId="791CB109" w14:textId="72B8A3AE" w:rsidR="008F3E96" w:rsidRPr="001D426C" w:rsidRDefault="1E08E512" w:rsidP="00257D37">
      <w:pPr>
        <w:rPr>
          <w:noProof/>
          <w:color w:val="000000" w:themeColor="text1"/>
          <w:u w:val="single"/>
        </w:rPr>
      </w:pPr>
      <w:r w:rsidRPr="00FF63D1">
        <w:rPr>
          <w:noProof/>
          <w:color w:val="000000" w:themeColor="text1"/>
        </w:rPr>
        <w:t xml:space="preserve">Similarly, Canada has also introduced conditionalities connected to </w:t>
      </w:r>
      <w:r w:rsidR="06895AC8" w:rsidRPr="00FF63D1">
        <w:rPr>
          <w:noProof/>
          <w:color w:val="000000" w:themeColor="text1"/>
        </w:rPr>
        <w:t>labour</w:t>
      </w:r>
      <w:r w:rsidRPr="00FF63D1">
        <w:rPr>
          <w:noProof/>
          <w:color w:val="000000" w:themeColor="text1"/>
        </w:rPr>
        <w:t xml:space="preserve"> and environmental standards, as well as local content requirements to support local industry</w:t>
      </w:r>
      <w:r w:rsidR="200FECC9" w:rsidRPr="00FF63D1">
        <w:rPr>
          <w:noProof/>
          <w:color w:val="000000" w:themeColor="text1"/>
        </w:rPr>
        <w:t xml:space="preserve">. </w:t>
      </w:r>
      <w:r w:rsidR="3833DCD3" w:rsidRPr="00FF63D1">
        <w:rPr>
          <w:noProof/>
          <w:color w:val="000000" w:themeColor="text1"/>
        </w:rPr>
        <w:t>A particularly noteworthy example is the environmental conditionality put on the production of clean hydrogen in Canada.</w:t>
      </w:r>
      <w:r w:rsidR="00E0794C" w:rsidRPr="00FF63D1">
        <w:rPr>
          <w:rStyle w:val="FootnoteReference"/>
          <w:noProof/>
          <w:color w:val="000000" w:themeColor="text1"/>
        </w:rPr>
        <w:footnoteReference w:id="693"/>
      </w:r>
      <w:r w:rsidR="3833DCD3">
        <w:rPr>
          <w:noProof/>
          <w:color w:val="000000" w:themeColor="text1"/>
        </w:rPr>
        <w:t xml:space="preserve"> </w:t>
      </w:r>
      <w:r w:rsidRPr="00FF63D1">
        <w:rPr>
          <w:noProof/>
          <w:color w:val="000000" w:themeColor="text1"/>
        </w:rPr>
        <w:t>The 2023 federal budget presented in 2023 earmarks EUR 54 billion worth of tax credits and infrastructural investment to</w:t>
      </w:r>
      <w:r w:rsidR="43EFF0D9" w:rsidRPr="00FF63D1">
        <w:rPr>
          <w:noProof/>
          <w:color w:val="000000" w:themeColor="text1"/>
        </w:rPr>
        <w:t xml:space="preserve"> </w:t>
      </w:r>
      <w:r w:rsidRPr="00FF63D1">
        <w:rPr>
          <w:noProof/>
          <w:color w:val="000000" w:themeColor="text1"/>
        </w:rPr>
        <w:t>encourage investment in low-carbon electricity, manufacturing, and other green industrial activity (‘Made in Canada plan’).</w:t>
      </w:r>
      <w:r w:rsidR="00D36EC2" w:rsidRPr="00FF63D1">
        <w:rPr>
          <w:rStyle w:val="FootnoteReference"/>
          <w:noProof/>
          <w:color w:val="000000" w:themeColor="text1"/>
        </w:rPr>
        <w:footnoteReference w:id="694"/>
      </w:r>
      <w:r w:rsidR="08D766C9" w:rsidRPr="00FF63D1">
        <w:rPr>
          <w:noProof/>
          <w:color w:val="000000" w:themeColor="text1"/>
        </w:rPr>
        <w:t xml:space="preserve"> These investments are subject to similar conditionalities as those outlined in the case of the United States.</w:t>
      </w:r>
      <w:r w:rsidR="10BDAADD" w:rsidRPr="00FF63D1">
        <w:rPr>
          <w:noProof/>
          <w:color w:val="000000" w:themeColor="text1"/>
        </w:rPr>
        <w:t xml:space="preserve"> </w:t>
      </w:r>
      <w:r w:rsidR="5C409BE0" w:rsidRPr="00FF63D1">
        <w:rPr>
          <w:rFonts w:eastAsia="Times New Roman" w:cs="Times New Roman"/>
          <w:noProof/>
          <w:color w:val="000000" w:themeColor="text1"/>
        </w:rPr>
        <w:t xml:space="preserve">As a result, Canada has seen, over </w:t>
      </w:r>
      <w:r w:rsidR="5F01101B" w:rsidRPr="00FF63D1">
        <w:rPr>
          <w:rFonts w:eastAsia="Times New Roman" w:cs="Times New Roman"/>
          <w:noProof/>
          <w:color w:val="000000" w:themeColor="text1"/>
        </w:rPr>
        <w:t>EUR 1</w:t>
      </w:r>
      <w:r w:rsidR="6B8630F0" w:rsidRPr="00FF63D1">
        <w:rPr>
          <w:rFonts w:eastAsia="Times New Roman" w:cs="Times New Roman"/>
          <w:noProof/>
          <w:color w:val="000000" w:themeColor="text1"/>
        </w:rPr>
        <w:t>5</w:t>
      </w:r>
      <w:r w:rsidR="5C409BE0" w:rsidRPr="00FF63D1">
        <w:rPr>
          <w:rFonts w:eastAsia="Times New Roman" w:cs="Times New Roman"/>
          <w:noProof/>
          <w:color w:val="000000" w:themeColor="text1"/>
        </w:rPr>
        <w:t xml:space="preserve"> billion in announced EV and battery-related investments</w:t>
      </w:r>
      <w:r w:rsidR="1E24FF9D" w:rsidRPr="00FF63D1">
        <w:rPr>
          <w:rFonts w:eastAsia="Times New Roman" w:cs="Times New Roman"/>
          <w:noProof/>
          <w:color w:val="000000" w:themeColor="text1"/>
        </w:rPr>
        <w:t>.</w:t>
      </w:r>
      <w:r w:rsidR="00381E29" w:rsidRPr="00FF63D1">
        <w:rPr>
          <w:rStyle w:val="FootnoteReference"/>
          <w:rFonts w:eastAsia="Times New Roman" w:cs="Times New Roman"/>
          <w:noProof/>
          <w:color w:val="000000" w:themeColor="text1"/>
        </w:rPr>
        <w:footnoteReference w:id="695"/>
      </w:r>
      <w:r w:rsidR="114F8244" w:rsidRPr="00FF63D1">
        <w:rPr>
          <w:rFonts w:eastAsia="Times New Roman" w:cs="Times New Roman"/>
          <w:noProof/>
          <w:color w:val="000000" w:themeColor="text1"/>
        </w:rPr>
        <w:t xml:space="preserve"> </w:t>
      </w:r>
      <w:r w:rsidR="61AE1E5A" w:rsidRPr="00FF63D1">
        <w:rPr>
          <w:rFonts w:eastAsia="Times New Roman" w:cs="Times New Roman"/>
          <w:noProof/>
          <w:color w:val="000000" w:themeColor="text1"/>
        </w:rPr>
        <w:t xml:space="preserve">Projects such </w:t>
      </w:r>
      <w:r w:rsidR="3E63919C" w:rsidRPr="00FF63D1">
        <w:rPr>
          <w:noProof/>
          <w:color w:val="000000" w:themeColor="text1"/>
        </w:rPr>
        <w:t>Volkswagen’s PowerCo</w:t>
      </w:r>
      <w:r w:rsidR="00A35921" w:rsidRPr="00FF63D1">
        <w:rPr>
          <w:rStyle w:val="FootnoteReference"/>
          <w:noProof/>
          <w:color w:val="000000" w:themeColor="text1"/>
        </w:rPr>
        <w:footnoteReference w:id="696"/>
      </w:r>
      <w:r w:rsidR="3E63919C" w:rsidRPr="00FF63D1">
        <w:rPr>
          <w:noProof/>
          <w:color w:val="000000" w:themeColor="text1"/>
        </w:rPr>
        <w:t xml:space="preserve"> and Stellantis and LG investment for a 45 GWh plant</w:t>
      </w:r>
      <w:r w:rsidR="00B73259" w:rsidRPr="00FF63D1">
        <w:rPr>
          <w:rStyle w:val="FootnoteReference"/>
          <w:noProof/>
          <w:color w:val="000000" w:themeColor="text1"/>
        </w:rPr>
        <w:footnoteReference w:id="697"/>
      </w:r>
      <w:r w:rsidR="445856C2" w:rsidRPr="00FF63D1">
        <w:rPr>
          <w:noProof/>
          <w:color w:val="000000" w:themeColor="text1"/>
        </w:rPr>
        <w:t xml:space="preserve"> </w:t>
      </w:r>
      <w:r w:rsidR="48091BFD" w:rsidRPr="00FF63D1">
        <w:rPr>
          <w:rFonts w:eastAsia="Times New Roman" w:cs="Times New Roman"/>
          <w:noProof/>
          <w:color w:val="000000" w:themeColor="text1"/>
        </w:rPr>
        <w:t>created an estimated 4</w:t>
      </w:r>
      <w:r w:rsidR="217EA473">
        <w:rPr>
          <w:rFonts w:eastAsia="Times New Roman" w:cs="Times New Roman"/>
          <w:noProof/>
          <w:color w:val="000000" w:themeColor="text1"/>
        </w:rPr>
        <w:t xml:space="preserve"> </w:t>
      </w:r>
      <w:r w:rsidR="48091BFD" w:rsidRPr="00FF63D1">
        <w:rPr>
          <w:rFonts w:eastAsia="Times New Roman" w:cs="Times New Roman"/>
          <w:noProof/>
          <w:color w:val="000000" w:themeColor="text1"/>
        </w:rPr>
        <w:t>000 direct and several thousand indirect well-paid jobs</w:t>
      </w:r>
      <w:r w:rsidR="7D8A21AD" w:rsidRPr="00FF63D1">
        <w:rPr>
          <w:rFonts w:eastAsia="Times New Roman" w:cs="Times New Roman"/>
          <w:noProof/>
          <w:color w:val="000000" w:themeColor="text1"/>
        </w:rPr>
        <w:t>.</w:t>
      </w:r>
      <w:r w:rsidR="48091BFD" w:rsidRPr="00FF63D1">
        <w:rPr>
          <w:rFonts w:eastAsia="Times New Roman" w:cs="Times New Roman"/>
          <w:noProof/>
          <w:color w:val="000000" w:themeColor="text1"/>
        </w:rPr>
        <w:t xml:space="preserve"> </w:t>
      </w:r>
      <w:r w:rsidR="79508FB4" w:rsidRPr="00FF63D1">
        <w:rPr>
          <w:rFonts w:eastAsia="Times New Roman" w:cs="Times New Roman"/>
          <w:noProof/>
          <w:color w:val="000000" w:themeColor="text1"/>
        </w:rPr>
        <w:t>Th</w:t>
      </w:r>
      <w:r w:rsidR="009F6EEC" w:rsidRPr="00FF63D1">
        <w:rPr>
          <w:rFonts w:eastAsia="Times New Roman" w:cs="Times New Roman"/>
          <w:noProof/>
          <w:color w:val="000000" w:themeColor="text1"/>
        </w:rPr>
        <w:t xml:space="preserve">is </w:t>
      </w:r>
      <w:r w:rsidR="48091BFD" w:rsidRPr="00FF63D1">
        <w:rPr>
          <w:rFonts w:eastAsia="Times New Roman" w:cs="Times New Roman"/>
          <w:noProof/>
          <w:color w:val="000000" w:themeColor="text1"/>
        </w:rPr>
        <w:t>mark</w:t>
      </w:r>
      <w:r w:rsidR="009F6EEC" w:rsidRPr="00FF63D1">
        <w:rPr>
          <w:rFonts w:eastAsia="Times New Roman" w:cs="Times New Roman"/>
          <w:noProof/>
          <w:color w:val="000000" w:themeColor="text1"/>
        </w:rPr>
        <w:t>s</w:t>
      </w:r>
      <w:r w:rsidR="48091BFD" w:rsidRPr="00FF63D1">
        <w:rPr>
          <w:rFonts w:eastAsia="Times New Roman" w:cs="Times New Roman"/>
          <w:noProof/>
          <w:color w:val="000000" w:themeColor="text1"/>
        </w:rPr>
        <w:t xml:space="preserve"> a big shift for Canada, which had virtually no battery manufacturing before 2022. </w:t>
      </w:r>
    </w:p>
    <w:p w14:paraId="064E518D" w14:textId="77777777" w:rsidR="00CA7539" w:rsidRPr="00FA19D1" w:rsidRDefault="008F3E96" w:rsidP="001D426C">
      <w:pPr>
        <w:spacing w:before="240"/>
        <w:rPr>
          <w:b/>
          <w:i/>
          <w:noProof/>
          <w:color w:val="000000" w:themeColor="text1"/>
        </w:rPr>
      </w:pPr>
      <w:r w:rsidRPr="00FA19D1">
        <w:rPr>
          <w:b/>
          <w:i/>
          <w:noProof/>
          <w:color w:val="000000" w:themeColor="text1"/>
        </w:rPr>
        <w:t>China</w:t>
      </w:r>
    </w:p>
    <w:p w14:paraId="51F6CAF2" w14:textId="6C183771" w:rsidR="00993008" w:rsidRPr="00FF63D1" w:rsidRDefault="0D8C176F" w:rsidP="00257D37">
      <w:pPr>
        <w:rPr>
          <w:rFonts w:eastAsia="Times New Roman" w:cs="Times New Roman"/>
          <w:noProof/>
          <w:color w:val="000000" w:themeColor="text1"/>
        </w:rPr>
      </w:pPr>
      <w:r w:rsidRPr="00FF63D1">
        <w:rPr>
          <w:rFonts w:eastAsia="Times New Roman" w:cs="Times New Roman"/>
          <w:noProof/>
          <w:color w:val="000000" w:themeColor="text1"/>
        </w:rPr>
        <w:t>China</w:t>
      </w:r>
      <w:r w:rsidR="48091BFD" w:rsidRPr="00FF63D1">
        <w:rPr>
          <w:rFonts w:eastAsia="Times New Roman" w:cs="Times New Roman"/>
          <w:noProof/>
          <w:color w:val="000000" w:themeColor="text1"/>
        </w:rPr>
        <w:t xml:space="preserve"> has applied FDI conditionalities for decades as a tool for technology acquisition and industrial upgrading. Since the 1990s, foreign firms in key sectors such as automotive, rail, and energy were required to meet local content thresholds (up to 80–90%) face high tariffs on imports</w:t>
      </w:r>
      <w:r w:rsidR="4FC495EE" w:rsidRPr="00FF63D1">
        <w:rPr>
          <w:rFonts w:eastAsia="Times New Roman" w:cs="Times New Roman"/>
          <w:noProof/>
          <w:color w:val="000000" w:themeColor="text1"/>
        </w:rPr>
        <w:t xml:space="preserve">. </w:t>
      </w:r>
      <w:r w:rsidR="00A701A8" w:rsidRPr="00FF63D1">
        <w:rPr>
          <w:rStyle w:val="FootnoteReference"/>
          <w:rFonts w:eastAsia="Times New Roman" w:cs="Times New Roman"/>
          <w:noProof/>
          <w:color w:val="000000" w:themeColor="text1"/>
        </w:rPr>
        <w:footnoteReference w:id="698"/>
      </w:r>
      <w:r w:rsidR="3285DEF1" w:rsidRPr="00FF63D1">
        <w:rPr>
          <w:rFonts w:eastAsia="Times New Roman" w:cs="Times New Roman"/>
          <w:noProof/>
          <w:color w:val="000000" w:themeColor="text1"/>
        </w:rPr>
        <w:t xml:space="preserve"> </w:t>
      </w:r>
      <w:r w:rsidR="48091BFD" w:rsidRPr="00FF63D1">
        <w:rPr>
          <w:rFonts w:eastAsia="Times New Roman" w:cs="Times New Roman"/>
          <w:noProof/>
          <w:color w:val="000000" w:themeColor="text1"/>
        </w:rPr>
        <w:t>In wind power, similar requirements mandated at least 70% domestic production This resulted in foreign companies like VW, GM, Siemens, and Vestas having cultivate</w:t>
      </w:r>
      <w:r w:rsidR="3BC8FACE" w:rsidRPr="00FF63D1">
        <w:rPr>
          <w:rFonts w:eastAsia="Times New Roman" w:cs="Times New Roman"/>
          <w:noProof/>
          <w:color w:val="000000" w:themeColor="text1"/>
        </w:rPr>
        <w:t>d</w:t>
      </w:r>
      <w:r w:rsidR="48091BFD" w:rsidRPr="00FF63D1">
        <w:rPr>
          <w:rFonts w:eastAsia="Times New Roman" w:cs="Times New Roman"/>
          <w:noProof/>
          <w:color w:val="000000" w:themeColor="text1"/>
        </w:rPr>
        <w:t xml:space="preserve"> local supplier networks and transfer supply chain know-how throughout the years.</w:t>
      </w:r>
      <w:r w:rsidR="00A701A8" w:rsidRPr="00FF63D1">
        <w:rPr>
          <w:rStyle w:val="FootnoteReference"/>
          <w:noProof/>
          <w:color w:val="000000" w:themeColor="text1"/>
        </w:rPr>
        <w:footnoteReference w:id="699"/>
      </w:r>
    </w:p>
    <w:p w14:paraId="2D065FC6" w14:textId="77777777" w:rsidR="002C05FB" w:rsidRPr="00FF63D1" w:rsidRDefault="002C05FB" w:rsidP="00257D37">
      <w:pPr>
        <w:rPr>
          <w:rFonts w:eastAsia="Times New Roman" w:cs="Times New Roman"/>
          <w:noProof/>
          <w:color w:val="000000" w:themeColor="text1"/>
        </w:rPr>
      </w:pPr>
    </w:p>
    <w:p w14:paraId="03D49410" w14:textId="116178D3" w:rsidR="00993008" w:rsidRDefault="48091BFD" w:rsidP="09D33E3B">
      <w:pPr>
        <w:rPr>
          <w:rFonts w:eastAsia="Times New Roman" w:cs="Times New Roman"/>
          <w:noProof/>
          <w:color w:val="000000" w:themeColor="text1"/>
        </w:rPr>
      </w:pPr>
      <w:r w:rsidRPr="00FF63D1">
        <w:rPr>
          <w:rFonts w:eastAsia="Times New Roman" w:cs="Times New Roman"/>
          <w:noProof/>
          <w:color w:val="000000" w:themeColor="text1"/>
        </w:rPr>
        <w:t xml:space="preserve">In parallel, technology transfer requirements obliged foreign companies to share patents, establish </w:t>
      </w:r>
      <w:r w:rsidRPr="00FF63D1" w:rsidDel="00787D54">
        <w:rPr>
          <w:rFonts w:eastAsia="Times New Roman" w:cs="Times New Roman"/>
          <w:noProof/>
          <w:color w:val="000000" w:themeColor="text1"/>
        </w:rPr>
        <w:t>R&amp;</w:t>
      </w:r>
      <w:r w:rsidR="10D04FBF" w:rsidRPr="00FF63D1">
        <w:rPr>
          <w:rFonts w:eastAsia="Times New Roman" w:cs="Times New Roman"/>
          <w:noProof/>
          <w:color w:val="000000" w:themeColor="text1"/>
        </w:rPr>
        <w:t>I</w:t>
      </w:r>
      <w:r w:rsidRPr="00FF63D1">
        <w:rPr>
          <w:rFonts w:eastAsia="Times New Roman" w:cs="Times New Roman"/>
          <w:noProof/>
          <w:color w:val="000000" w:themeColor="text1"/>
        </w:rPr>
        <w:t xml:space="preserve"> centres, and train local engineers. These measures were enforced through joint venture rules and licensing conditions.</w:t>
      </w:r>
      <w:r w:rsidR="00571C4D" w:rsidRPr="00FF63D1">
        <w:rPr>
          <w:rStyle w:val="FootnoteReference"/>
          <w:rFonts w:eastAsia="Times New Roman" w:cs="Times New Roman"/>
          <w:noProof/>
          <w:color w:val="000000" w:themeColor="text1"/>
        </w:rPr>
        <w:footnoteReference w:id="700"/>
      </w:r>
      <w:r w:rsidRPr="00FF63D1">
        <w:rPr>
          <w:rFonts w:eastAsia="Times New Roman" w:cs="Times New Roman"/>
          <w:noProof/>
          <w:color w:val="000000" w:themeColor="text1"/>
        </w:rPr>
        <w:t xml:space="preserve"> This long-term strategy generated vast knowledge spillovers, localised supply chains, and propelled China to global leadership in clean energy and advanced manufacturing.</w:t>
      </w:r>
    </w:p>
    <w:p w14:paraId="45F81A90" w14:textId="09A6D5B3" w:rsidR="00917077" w:rsidRDefault="001D426C" w:rsidP="00257D37">
      <w:pPr>
        <w:rPr>
          <w:noProof/>
          <w:color w:val="000000" w:themeColor="text1"/>
        </w:rPr>
      </w:pPr>
      <w:r>
        <w:rPr>
          <w:rFonts w:eastAsia="Times New Roman" w:cs="Times New Roman"/>
          <w:noProof/>
          <w:color w:val="000000" w:themeColor="text1"/>
        </w:rPr>
        <w:br w:type="page"/>
      </w:r>
    </w:p>
    <w:p w14:paraId="2101DAD6" w14:textId="61A05C1F" w:rsidR="00917077" w:rsidRPr="00FF63D1" w:rsidRDefault="00917077" w:rsidP="00917077">
      <w:pPr>
        <w:pStyle w:val="Heading1"/>
        <w:numPr>
          <w:ilvl w:val="0"/>
          <w:numId w:val="0"/>
        </w:numPr>
        <w:spacing w:before="0" w:after="0"/>
        <w:rPr>
          <w:rFonts w:ascii="Times" w:hAnsi="Times" w:cs="Times"/>
          <w:b/>
          <w:noProof/>
          <w:color w:val="auto"/>
          <w:sz w:val="28"/>
          <w:szCs w:val="28"/>
        </w:rPr>
      </w:pPr>
      <w:bookmarkStart w:id="1574" w:name="_Ref215059510"/>
      <w:bookmarkStart w:id="1575" w:name="_Toc222159395"/>
      <w:bookmarkStart w:id="1576" w:name="_Toc222490067"/>
      <w:r w:rsidRPr="00FF63D1">
        <w:rPr>
          <w:rFonts w:ascii="Times" w:hAnsi="Times" w:cs="Times"/>
          <w:b/>
          <w:noProof/>
          <w:color w:val="auto"/>
          <w:sz w:val="28"/>
          <w:szCs w:val="28"/>
        </w:rPr>
        <w:t>Annex 1</w:t>
      </w:r>
      <w:r>
        <w:rPr>
          <w:rFonts w:ascii="Times" w:hAnsi="Times" w:cs="Times"/>
          <w:b/>
          <w:noProof/>
          <w:color w:val="auto"/>
          <w:sz w:val="28"/>
          <w:szCs w:val="28"/>
        </w:rPr>
        <w:t>4</w:t>
      </w:r>
      <w:r w:rsidRPr="00FF63D1">
        <w:rPr>
          <w:rFonts w:ascii="Times" w:hAnsi="Times" w:cs="Times"/>
          <w:b/>
          <w:noProof/>
          <w:color w:val="auto"/>
          <w:sz w:val="28"/>
          <w:szCs w:val="28"/>
        </w:rPr>
        <w:t xml:space="preserve">: </w:t>
      </w:r>
      <w:r>
        <w:rPr>
          <w:rFonts w:ascii="Times" w:hAnsi="Times" w:cs="Times"/>
          <w:b/>
          <w:noProof/>
          <w:color w:val="auto"/>
          <w:sz w:val="28"/>
          <w:szCs w:val="28"/>
        </w:rPr>
        <w:t xml:space="preserve">Extended </w:t>
      </w:r>
      <w:r w:rsidR="00423F6E">
        <w:rPr>
          <w:rFonts w:ascii="Times" w:hAnsi="Times" w:cs="Times"/>
          <w:b/>
          <w:noProof/>
          <w:color w:val="auto"/>
          <w:sz w:val="28"/>
          <w:szCs w:val="28"/>
        </w:rPr>
        <w:t>information</w:t>
      </w:r>
      <w:r w:rsidR="00945FE1">
        <w:rPr>
          <w:rFonts w:ascii="Times" w:hAnsi="Times" w:cs="Times"/>
          <w:b/>
          <w:noProof/>
          <w:color w:val="auto"/>
          <w:sz w:val="28"/>
          <w:szCs w:val="28"/>
        </w:rPr>
        <w:t xml:space="preserve"> o</w:t>
      </w:r>
      <w:r w:rsidR="00423F6E">
        <w:rPr>
          <w:rFonts w:ascii="Times" w:hAnsi="Times" w:cs="Times"/>
          <w:b/>
          <w:noProof/>
          <w:color w:val="auto"/>
          <w:sz w:val="28"/>
          <w:szCs w:val="28"/>
        </w:rPr>
        <w:t>n the scenarios in</w:t>
      </w:r>
      <w:r w:rsidR="00945FE1">
        <w:rPr>
          <w:rFonts w:ascii="Times" w:hAnsi="Times" w:cs="Times"/>
          <w:b/>
          <w:noProof/>
          <w:color w:val="auto"/>
          <w:sz w:val="28"/>
          <w:szCs w:val="28"/>
        </w:rPr>
        <w:t xml:space="preserve"> the </w:t>
      </w:r>
      <w:r w:rsidR="001C7548">
        <w:rPr>
          <w:rFonts w:ascii="Times" w:hAnsi="Times" w:cs="Times"/>
          <w:b/>
          <w:noProof/>
          <w:color w:val="auto"/>
          <w:sz w:val="28"/>
          <w:szCs w:val="28"/>
        </w:rPr>
        <w:t xml:space="preserve">LEAD_VC </w:t>
      </w:r>
      <w:r w:rsidR="0078034A">
        <w:rPr>
          <w:rFonts w:ascii="Times" w:hAnsi="Times" w:cs="Times"/>
          <w:b/>
          <w:noProof/>
          <w:color w:val="auto"/>
          <w:sz w:val="28"/>
          <w:szCs w:val="28"/>
        </w:rPr>
        <w:t>cost absor</w:t>
      </w:r>
      <w:r w:rsidR="000E7F6D">
        <w:rPr>
          <w:rFonts w:ascii="Times" w:hAnsi="Times" w:cs="Times"/>
          <w:b/>
          <w:noProof/>
          <w:color w:val="auto"/>
          <w:sz w:val="28"/>
          <w:szCs w:val="28"/>
        </w:rPr>
        <w:t>ption</w:t>
      </w:r>
      <w:bookmarkEnd w:id="1574"/>
      <w:bookmarkEnd w:id="1575"/>
      <w:bookmarkEnd w:id="1576"/>
    </w:p>
    <w:p w14:paraId="0D6ADC1E" w14:textId="77777777" w:rsidR="001C7548" w:rsidRDefault="001C7548" w:rsidP="001C7548">
      <w:pPr>
        <w:rPr>
          <w:noProof/>
        </w:rPr>
      </w:pPr>
    </w:p>
    <w:p w14:paraId="3BF4BAC7" w14:textId="43E559F5" w:rsidR="009B3827" w:rsidRDefault="001E1C03" w:rsidP="001C7548">
      <w:pPr>
        <w:rPr>
          <w:noProof/>
        </w:rPr>
      </w:pPr>
      <w:r>
        <w:rPr>
          <w:noProof/>
        </w:rPr>
        <w:t xml:space="preserve">As noted in Annex 4, </w:t>
      </w:r>
      <w:r w:rsidR="003E6CE4">
        <w:rPr>
          <w:noProof/>
        </w:rPr>
        <w:t>to assess</w:t>
      </w:r>
      <w:r w:rsidR="00063990">
        <w:rPr>
          <w:noProof/>
        </w:rPr>
        <w:t xml:space="preserve"> the </w:t>
      </w:r>
      <w:r w:rsidR="004F0A33">
        <w:rPr>
          <w:noProof/>
        </w:rPr>
        <w:t xml:space="preserve">potential </w:t>
      </w:r>
      <w:r w:rsidR="00063990">
        <w:rPr>
          <w:noProof/>
        </w:rPr>
        <w:t>impact</w:t>
      </w:r>
      <w:r w:rsidR="00423F6E">
        <w:rPr>
          <w:noProof/>
        </w:rPr>
        <w:t xml:space="preserve">, LEAD_VC </w:t>
      </w:r>
      <w:r w:rsidR="00EB7DD0">
        <w:rPr>
          <w:noProof/>
        </w:rPr>
        <w:t xml:space="preserve">looked into </w:t>
      </w:r>
      <w:r w:rsidR="00FB0DDA">
        <w:rPr>
          <w:noProof/>
        </w:rPr>
        <w:t>2 scenario</w:t>
      </w:r>
      <w:r w:rsidR="000E7F6D">
        <w:rPr>
          <w:noProof/>
        </w:rPr>
        <w:t>s</w:t>
      </w:r>
      <w:r w:rsidR="005C015C">
        <w:rPr>
          <w:noProof/>
        </w:rPr>
        <w:t xml:space="preserve"> for </w:t>
      </w:r>
      <w:r w:rsidR="00F43C0E">
        <w:rPr>
          <w:noProof/>
        </w:rPr>
        <w:t xml:space="preserve">costs </w:t>
      </w:r>
      <w:r w:rsidR="0078034A">
        <w:rPr>
          <w:noProof/>
        </w:rPr>
        <w:t>absorption</w:t>
      </w:r>
      <w:r w:rsidR="00751F80">
        <w:rPr>
          <w:noProof/>
        </w:rPr>
        <w:t xml:space="preserve"> </w:t>
      </w:r>
      <w:r w:rsidR="00751F80">
        <w:rPr>
          <w:noProof/>
          <w:szCs w:val="24"/>
        </w:rPr>
        <w:t>to take into account uncertainties regarding the possible reaction of non-EU manufacturers</w:t>
      </w:r>
      <w:r w:rsidR="007E7C16">
        <w:rPr>
          <w:noProof/>
        </w:rPr>
        <w:t>:</w:t>
      </w:r>
    </w:p>
    <w:p w14:paraId="4C982707" w14:textId="77777777" w:rsidR="007E7C16" w:rsidRDefault="007E7C16" w:rsidP="007E7C16">
      <w:pPr>
        <w:rPr>
          <w:noProof/>
        </w:rPr>
      </w:pPr>
    </w:p>
    <w:p w14:paraId="30271731" w14:textId="4533F54A" w:rsidR="007E7C16" w:rsidRPr="007E7C16" w:rsidRDefault="007E7C16" w:rsidP="009455CE">
      <w:pPr>
        <w:rPr>
          <w:noProof/>
          <w:szCs w:val="24"/>
        </w:rPr>
      </w:pPr>
      <w:r w:rsidRPr="007E7C16">
        <w:rPr>
          <w:noProof/>
          <w:szCs w:val="24"/>
        </w:rPr>
        <w:t xml:space="preserve">In </w:t>
      </w:r>
      <w:r w:rsidRPr="009455CE">
        <w:rPr>
          <w:rFonts w:cs="Times New Roman"/>
          <w:noProof/>
          <w:szCs w:val="24"/>
        </w:rPr>
        <w:t xml:space="preserve">the </w:t>
      </w:r>
      <w:r w:rsidRPr="009455CE">
        <w:rPr>
          <w:rFonts w:cs="Times New Roman"/>
          <w:i/>
          <w:noProof/>
          <w:szCs w:val="24"/>
        </w:rPr>
        <w:t xml:space="preserve">Internal market reaction </w:t>
      </w:r>
      <w:r w:rsidRPr="009455CE">
        <w:rPr>
          <w:rFonts w:cs="Times New Roman"/>
          <w:noProof/>
          <w:szCs w:val="24"/>
        </w:rPr>
        <w:t>scenario,</w:t>
      </w:r>
      <w:r w:rsidRPr="007E7C16">
        <w:rPr>
          <w:rFonts w:cs="Times New Roman"/>
          <w:noProof/>
          <w:szCs w:val="24"/>
        </w:rPr>
        <w:t xml:space="preserve"> non-EU vehicle manufacturers will not be able to access public procurements or benefit from support schemes. In the latter case, they will not be able to cover the loss of subsidies coming from the support schemes and the prices of their vehicles will increase by the amount of the lost subsidies. In other words, consumers will face a price increase equalling the lost subsidies for non-EU vehicles.</w:t>
      </w:r>
      <w:r w:rsidR="00BC1FC1">
        <w:rPr>
          <w:rFonts w:cs="Times New Roman"/>
          <w:noProof/>
          <w:szCs w:val="24"/>
        </w:rPr>
        <w:t xml:space="preserve"> This scenario is considered the most favourable scenario</w:t>
      </w:r>
      <w:r w:rsidR="00413FBF">
        <w:rPr>
          <w:rFonts w:cs="Times New Roman"/>
          <w:noProof/>
          <w:szCs w:val="24"/>
        </w:rPr>
        <w:t xml:space="preserve"> for EU EV manufacturers and suppliers, but the least favourable for the consumers</w:t>
      </w:r>
      <w:r w:rsidR="00BC1FC1">
        <w:rPr>
          <w:rFonts w:cs="Times New Roman"/>
          <w:noProof/>
          <w:szCs w:val="24"/>
        </w:rPr>
        <w:t xml:space="preserve">. </w:t>
      </w:r>
    </w:p>
    <w:p w14:paraId="4B6405E9" w14:textId="77777777" w:rsidR="007E7C16" w:rsidRDefault="007E7C16" w:rsidP="007E7C16">
      <w:pPr>
        <w:rPr>
          <w:bCs/>
          <w:noProof/>
          <w:szCs w:val="24"/>
        </w:rPr>
      </w:pPr>
    </w:p>
    <w:p w14:paraId="1A13A2D9" w14:textId="5B6AB098" w:rsidR="00413FBF" w:rsidRPr="007E7C16" w:rsidRDefault="007E7C16" w:rsidP="00413FBF">
      <w:pPr>
        <w:rPr>
          <w:noProof/>
          <w:szCs w:val="24"/>
        </w:rPr>
      </w:pPr>
      <w:r w:rsidRPr="009455CE">
        <w:rPr>
          <w:noProof/>
          <w:szCs w:val="24"/>
        </w:rPr>
        <w:t>The</w:t>
      </w:r>
      <w:r w:rsidRPr="007E7C16">
        <w:rPr>
          <w:b/>
          <w:noProof/>
          <w:szCs w:val="24"/>
        </w:rPr>
        <w:t xml:space="preserve"> </w:t>
      </w:r>
      <w:r w:rsidRPr="009455CE">
        <w:rPr>
          <w:rFonts w:cs="Times New Roman"/>
          <w:i/>
          <w:noProof/>
          <w:szCs w:val="24"/>
        </w:rPr>
        <w:t xml:space="preserve">non-EU manufacturers absorb the price increase </w:t>
      </w:r>
      <w:r w:rsidRPr="009455CE">
        <w:rPr>
          <w:rFonts w:cs="Times New Roman"/>
          <w:noProof/>
          <w:szCs w:val="24"/>
        </w:rPr>
        <w:t>scenario</w:t>
      </w:r>
      <w:r w:rsidRPr="007E7C16">
        <w:rPr>
          <w:rFonts w:cs="Times New Roman"/>
          <w:noProof/>
          <w:szCs w:val="24"/>
        </w:rPr>
        <w:t xml:space="preserve"> is based on the same assumptions as </w:t>
      </w:r>
      <w:r w:rsidR="00603B19" w:rsidRPr="00603B19">
        <w:rPr>
          <w:i/>
          <w:iCs/>
          <w:noProof/>
        </w:rPr>
        <w:t>Internal market reaction</w:t>
      </w:r>
      <w:r w:rsidR="00603B19">
        <w:rPr>
          <w:i/>
          <w:iCs/>
          <w:noProof/>
        </w:rPr>
        <w:t xml:space="preserve"> </w:t>
      </w:r>
      <w:r w:rsidR="00603B19">
        <w:rPr>
          <w:noProof/>
        </w:rPr>
        <w:t>scenario</w:t>
      </w:r>
      <w:r w:rsidRPr="007E7C16">
        <w:rPr>
          <w:rFonts w:cs="Times New Roman"/>
          <w:noProof/>
          <w:szCs w:val="24"/>
        </w:rPr>
        <w:t>: non-EU vehicle manufacturers will not be able to access public procurements or benefit from support schemes. However, in the latter case, the non-EU manufacturers fully absorb the loss of subsidies so that the price of their vehicles does not increase. In other words, non-EU vehicle manufacturers apply a discount on their vehicles for consumers to compensate for the loss of subsidies following the entry into force of the measure. However, such a behaviour would inevitably come with significant financial challenges for non-EU manufacturers.</w:t>
      </w:r>
      <w:r w:rsidR="00BC1FC1">
        <w:rPr>
          <w:rFonts w:cs="Times New Roman"/>
          <w:noProof/>
          <w:szCs w:val="24"/>
        </w:rPr>
        <w:t xml:space="preserve"> </w:t>
      </w:r>
      <w:r w:rsidR="00413FBF">
        <w:rPr>
          <w:rFonts w:cs="Times New Roman"/>
          <w:noProof/>
          <w:szCs w:val="24"/>
        </w:rPr>
        <w:t xml:space="preserve">This scenario is considered the least favourable scenario for EU EV manufacturers and suppliers, but the most favourable for the consumers. </w:t>
      </w:r>
    </w:p>
    <w:p w14:paraId="14E4FF69" w14:textId="77777777" w:rsidR="00F809D5" w:rsidRDefault="00F809D5" w:rsidP="001C7548">
      <w:pPr>
        <w:rPr>
          <w:noProof/>
        </w:rPr>
      </w:pPr>
    </w:p>
    <w:p w14:paraId="1EDA984C" w14:textId="0E266230" w:rsidR="0053504F" w:rsidRDefault="009455CE" w:rsidP="001C7548">
      <w:pPr>
        <w:rPr>
          <w:noProof/>
        </w:rPr>
      </w:pPr>
      <w:r>
        <w:rPr>
          <w:noProof/>
        </w:rPr>
        <w:t xml:space="preserve">While the </w:t>
      </w:r>
      <w:r w:rsidRPr="000E7F6D">
        <w:rPr>
          <w:i/>
          <w:noProof/>
        </w:rPr>
        <w:t>Internal market reaction scenario</w:t>
      </w:r>
      <w:r>
        <w:rPr>
          <w:noProof/>
        </w:rPr>
        <w:t xml:space="preserve"> is the one reflected through</w:t>
      </w:r>
      <w:r w:rsidR="00117EC8">
        <w:rPr>
          <w:noProof/>
        </w:rPr>
        <w:t>ou</w:t>
      </w:r>
      <w:r>
        <w:rPr>
          <w:noProof/>
        </w:rPr>
        <w:t xml:space="preserve">t the Impact Assessment, </w:t>
      </w:r>
      <w:r w:rsidR="006631C2">
        <w:rPr>
          <w:noProof/>
        </w:rPr>
        <w:t xml:space="preserve">this Annex 14 </w:t>
      </w:r>
      <w:r w:rsidR="00117EC8">
        <w:rPr>
          <w:noProof/>
        </w:rPr>
        <w:t>retain</w:t>
      </w:r>
      <w:r w:rsidR="004953C9">
        <w:rPr>
          <w:noProof/>
        </w:rPr>
        <w:t xml:space="preserve">s </w:t>
      </w:r>
      <w:r w:rsidR="008B22FD">
        <w:rPr>
          <w:noProof/>
        </w:rPr>
        <w:t>the second</w:t>
      </w:r>
      <w:r w:rsidR="004953C9">
        <w:rPr>
          <w:noProof/>
        </w:rPr>
        <w:t xml:space="preserve"> scenario for comparison</w:t>
      </w:r>
      <w:r w:rsidR="00117EC8">
        <w:rPr>
          <w:noProof/>
        </w:rPr>
        <w:t xml:space="preserve"> </w:t>
      </w:r>
      <w:r w:rsidR="004953C9">
        <w:rPr>
          <w:noProof/>
        </w:rPr>
        <w:t>and</w:t>
      </w:r>
      <w:r w:rsidR="00117EC8">
        <w:rPr>
          <w:noProof/>
        </w:rPr>
        <w:t xml:space="preserve"> information purposes</w:t>
      </w:r>
      <w:r w:rsidR="00BB7B3F">
        <w:rPr>
          <w:noProof/>
        </w:rPr>
        <w:t xml:space="preserve"> to explore different market possibilities.</w:t>
      </w:r>
    </w:p>
    <w:p w14:paraId="51FEB841" w14:textId="77777777" w:rsidR="007F7094" w:rsidRDefault="007F7094" w:rsidP="001C7548">
      <w:pPr>
        <w:rPr>
          <w:noProof/>
        </w:rPr>
      </w:pPr>
    </w:p>
    <w:p w14:paraId="39E5868F" w14:textId="2C0CB973" w:rsidR="0039076D" w:rsidRDefault="000B3C9C" w:rsidP="00290D59">
      <w:pPr>
        <w:pStyle w:val="ListParagraph"/>
        <w:numPr>
          <w:ilvl w:val="0"/>
          <w:numId w:val="163"/>
        </w:numPr>
        <w:rPr>
          <w:b/>
          <w:noProof/>
        </w:rPr>
      </w:pPr>
      <w:r>
        <w:rPr>
          <w:rFonts w:eastAsia="Times New Roman"/>
          <w:b/>
          <w:noProof/>
        </w:rPr>
        <w:t xml:space="preserve">Made in EU </w:t>
      </w:r>
      <w:r w:rsidR="000E26A5" w:rsidRPr="00290D59">
        <w:rPr>
          <w:rFonts w:eastAsia="Times New Roman"/>
          <w:b/>
          <w:noProof/>
        </w:rPr>
        <w:t>requirements in vehicle components for public procurements and support schemes</w:t>
      </w:r>
    </w:p>
    <w:p w14:paraId="019475DD" w14:textId="77777777" w:rsidR="00290D59" w:rsidRDefault="00290D59" w:rsidP="001C7548">
      <w:pPr>
        <w:rPr>
          <w:b/>
          <w:noProof/>
        </w:rPr>
      </w:pPr>
    </w:p>
    <w:p w14:paraId="57BC56E6" w14:textId="05CF8742" w:rsidR="0053504F" w:rsidRPr="00AA4B6D" w:rsidRDefault="0053504F" w:rsidP="001C7548">
      <w:pPr>
        <w:rPr>
          <w:b/>
          <w:noProof/>
        </w:rPr>
      </w:pPr>
      <w:r w:rsidRPr="00AA4B6D">
        <w:rPr>
          <w:b/>
          <w:noProof/>
        </w:rPr>
        <w:t>Impact on vehicle component suppliers</w:t>
      </w:r>
    </w:p>
    <w:p w14:paraId="143E5F49" w14:textId="77777777" w:rsidR="00EB793C" w:rsidRDefault="00EB793C" w:rsidP="00EB793C">
      <w:pPr>
        <w:rPr>
          <w:rFonts w:eastAsia="Times New Roman"/>
          <w:noProof/>
          <w:lang w:val="en-IE"/>
        </w:rPr>
      </w:pPr>
    </w:p>
    <w:p w14:paraId="0582C1FB" w14:textId="77777777" w:rsidR="00C44135" w:rsidRDefault="00C44135" w:rsidP="00EB793C">
      <w:pPr>
        <w:rPr>
          <w:i/>
          <w:iCs/>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2"/>
        <w:gridCol w:w="348"/>
        <w:gridCol w:w="912"/>
        <w:gridCol w:w="914"/>
      </w:tblGrid>
      <w:tr w:rsidR="0067165B" w:rsidRPr="00FF63D1" w14:paraId="11FE1FA1" w14:textId="77777777" w:rsidTr="007F7094">
        <w:trPr>
          <w:trHeight w:val="337"/>
        </w:trPr>
        <w:tc>
          <w:tcPr>
            <w:tcW w:w="5000" w:type="pct"/>
            <w:gridSpan w:val="4"/>
            <w:shd w:val="clear" w:color="auto" w:fill="E2EFDA"/>
            <w:noWrap/>
            <w:vAlign w:val="bottom"/>
            <w:hideMark/>
          </w:tcPr>
          <w:p w14:paraId="7B5F4C46" w14:textId="0FA0D88F" w:rsidR="00C44135" w:rsidRPr="00FF63D1" w:rsidRDefault="00C44135">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EU supplier</w:t>
            </w:r>
            <w:r>
              <w:rPr>
                <w:rFonts w:ascii="Calibri" w:eastAsia="Times New Roman" w:hAnsi="Calibri" w:cs="Calibri"/>
                <w:b/>
                <w:noProof/>
                <w:color w:val="000000"/>
                <w:sz w:val="22"/>
                <w:lang w:eastAsia="en-IE"/>
              </w:rPr>
              <w:t>s in the “</w:t>
            </w:r>
            <w:r w:rsidRPr="00C44135">
              <w:rPr>
                <w:rFonts w:ascii="Calibri" w:eastAsia="Times New Roman" w:hAnsi="Calibri" w:cs="Calibri"/>
                <w:b/>
                <w:noProof/>
                <w:color w:val="000000"/>
                <w:sz w:val="22"/>
                <w:lang w:eastAsia="en-IE"/>
              </w:rPr>
              <w:t>non-EU manufacturers absorb the price increase</w:t>
            </w:r>
            <w:r>
              <w:rPr>
                <w:rFonts w:ascii="Calibri" w:eastAsia="Times New Roman" w:hAnsi="Calibri" w:cs="Calibri"/>
                <w:b/>
                <w:noProof/>
                <w:color w:val="000000"/>
                <w:sz w:val="22"/>
                <w:lang w:eastAsia="en-IE"/>
              </w:rPr>
              <w:t>” scenario</w:t>
            </w:r>
          </w:p>
        </w:tc>
      </w:tr>
      <w:tr w:rsidR="00A96790" w:rsidRPr="00FF63D1" w14:paraId="551E67DD" w14:textId="77777777" w:rsidTr="007F7094">
        <w:trPr>
          <w:trHeight w:val="327"/>
        </w:trPr>
        <w:tc>
          <w:tcPr>
            <w:tcW w:w="3794" w:type="pct"/>
            <w:tcBorders>
              <w:left w:val="nil"/>
              <w:right w:val="nil"/>
            </w:tcBorders>
            <w:shd w:val="clear" w:color="auto" w:fill="FFFFFF" w:themeFill="background1"/>
            <w:noWrap/>
            <w:vAlign w:val="bottom"/>
            <w:hideMark/>
          </w:tcPr>
          <w:p w14:paraId="5D102340" w14:textId="77777777" w:rsidR="00C44135" w:rsidRPr="00FF63D1" w:rsidRDefault="00C44135">
            <w:pPr>
              <w:jc w:val="left"/>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 </w:t>
            </w:r>
          </w:p>
        </w:tc>
        <w:tc>
          <w:tcPr>
            <w:tcW w:w="193" w:type="pct"/>
            <w:tcBorders>
              <w:left w:val="nil"/>
              <w:right w:val="nil"/>
            </w:tcBorders>
            <w:shd w:val="clear" w:color="auto" w:fill="FFFFFF" w:themeFill="background1"/>
            <w:noWrap/>
            <w:vAlign w:val="bottom"/>
            <w:hideMark/>
          </w:tcPr>
          <w:p w14:paraId="4F253E31" w14:textId="77777777" w:rsidR="00C44135" w:rsidRPr="00FF63D1" w:rsidRDefault="00C44135">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06" w:type="pct"/>
            <w:tcBorders>
              <w:left w:val="nil"/>
              <w:right w:val="nil"/>
            </w:tcBorders>
            <w:shd w:val="clear" w:color="auto" w:fill="FFFFFF" w:themeFill="background1"/>
            <w:noWrap/>
            <w:vAlign w:val="bottom"/>
            <w:hideMark/>
          </w:tcPr>
          <w:p w14:paraId="62CFC5E0" w14:textId="77777777" w:rsidR="00C44135" w:rsidRPr="00FF63D1" w:rsidRDefault="00C44135">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506" w:type="pct"/>
            <w:tcBorders>
              <w:left w:val="nil"/>
              <w:right w:val="nil"/>
            </w:tcBorders>
            <w:shd w:val="clear" w:color="auto" w:fill="FFFFFF" w:themeFill="background1"/>
            <w:noWrap/>
            <w:vAlign w:val="bottom"/>
            <w:hideMark/>
          </w:tcPr>
          <w:p w14:paraId="57E707AD" w14:textId="77777777" w:rsidR="00C44135" w:rsidRPr="00FF63D1" w:rsidRDefault="00C44135">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A96790" w:rsidRPr="00FF63D1" w14:paraId="5A48313F" w14:textId="77777777" w:rsidTr="007F7094">
        <w:trPr>
          <w:trHeight w:val="327"/>
        </w:trPr>
        <w:tc>
          <w:tcPr>
            <w:tcW w:w="3794" w:type="pct"/>
            <w:tcBorders>
              <w:left w:val="nil"/>
              <w:right w:val="nil"/>
            </w:tcBorders>
            <w:shd w:val="clear" w:color="auto" w:fill="FFFFFF" w:themeFill="background1"/>
            <w:noWrap/>
            <w:vAlign w:val="bottom"/>
            <w:hideMark/>
          </w:tcPr>
          <w:p w14:paraId="0A837855" w14:textId="77777777" w:rsidR="00C44135" w:rsidRPr="00FF63D1" w:rsidRDefault="00C44135">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193" w:type="pct"/>
            <w:tcBorders>
              <w:left w:val="nil"/>
              <w:right w:val="nil"/>
            </w:tcBorders>
            <w:shd w:val="clear" w:color="auto" w:fill="FFFFFF" w:themeFill="background1"/>
            <w:noWrap/>
            <w:vAlign w:val="bottom"/>
            <w:hideMark/>
          </w:tcPr>
          <w:p w14:paraId="70AC0FB2" w14:textId="77777777" w:rsidR="00C44135" w:rsidRPr="00FF63D1" w:rsidRDefault="00C44135">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506" w:type="pct"/>
            <w:tcBorders>
              <w:left w:val="nil"/>
              <w:right w:val="nil"/>
            </w:tcBorders>
            <w:shd w:val="clear" w:color="auto" w:fill="FFFFFF" w:themeFill="background1"/>
            <w:noWrap/>
            <w:vAlign w:val="bottom"/>
            <w:hideMark/>
          </w:tcPr>
          <w:p w14:paraId="13E3100F" w14:textId="77777777" w:rsidR="00C44135" w:rsidRPr="00FF63D1" w:rsidRDefault="00C44135">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06" w:type="pct"/>
            <w:tcBorders>
              <w:left w:val="nil"/>
              <w:right w:val="nil"/>
            </w:tcBorders>
            <w:shd w:val="clear" w:color="auto" w:fill="FFFFFF" w:themeFill="background1"/>
            <w:noWrap/>
            <w:vAlign w:val="bottom"/>
            <w:hideMark/>
          </w:tcPr>
          <w:p w14:paraId="08EBD49D" w14:textId="77777777" w:rsidR="00C44135" w:rsidRPr="00FF63D1" w:rsidRDefault="00C44135">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r>
      <w:tr w:rsidR="00A96790" w:rsidRPr="00FF63D1" w14:paraId="317BDCEC" w14:textId="77777777" w:rsidTr="007F7094">
        <w:trPr>
          <w:trHeight w:val="327"/>
        </w:trPr>
        <w:tc>
          <w:tcPr>
            <w:tcW w:w="3794" w:type="pct"/>
            <w:tcBorders>
              <w:left w:val="nil"/>
              <w:right w:val="nil"/>
            </w:tcBorders>
            <w:shd w:val="clear" w:color="auto" w:fill="FFFFFF" w:themeFill="background1"/>
            <w:noWrap/>
            <w:vAlign w:val="bottom"/>
            <w:hideMark/>
          </w:tcPr>
          <w:p w14:paraId="1E963028" w14:textId="44E6C10B" w:rsidR="005E3615" w:rsidRPr="00FF63D1" w:rsidRDefault="005E3615" w:rsidP="005E3615">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 - billion </w:t>
            </w:r>
            <w:r w:rsidR="00525495">
              <w:rPr>
                <w:rFonts w:ascii="Calibri" w:eastAsia="Times New Roman" w:hAnsi="Calibri" w:cs="Calibri"/>
                <w:noProof/>
                <w:color w:val="000000"/>
                <w:sz w:val="22"/>
                <w:lang w:eastAsia="en-IE"/>
              </w:rPr>
              <w:t>euro</w:t>
            </w:r>
          </w:p>
        </w:tc>
        <w:tc>
          <w:tcPr>
            <w:tcW w:w="193" w:type="pct"/>
            <w:tcBorders>
              <w:left w:val="nil"/>
              <w:right w:val="nil"/>
            </w:tcBorders>
            <w:shd w:val="clear" w:color="auto" w:fill="FFFFFF" w:themeFill="background1"/>
            <w:noWrap/>
            <w:vAlign w:val="bottom"/>
            <w:hideMark/>
          </w:tcPr>
          <w:p w14:paraId="02C22216" w14:textId="77777777" w:rsidR="005E3615" w:rsidRPr="00FF63D1" w:rsidRDefault="005E3615" w:rsidP="005E3615">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06" w:type="pct"/>
            <w:tcBorders>
              <w:left w:val="nil"/>
              <w:right w:val="nil"/>
            </w:tcBorders>
            <w:shd w:val="clear" w:color="auto" w:fill="FFFFFF" w:themeFill="background1"/>
            <w:noWrap/>
            <w:vAlign w:val="bottom"/>
            <w:hideMark/>
          </w:tcPr>
          <w:p w14:paraId="6CA25844" w14:textId="46BC3828" w:rsidR="005E3615" w:rsidRPr="00FF63D1" w:rsidRDefault="005E3615" w:rsidP="005E3615">
            <w:pPr>
              <w:jc w:val="center"/>
              <w:rPr>
                <w:rFonts w:ascii="Calibri" w:eastAsia="Times New Roman" w:hAnsi="Calibri" w:cs="Calibri"/>
                <w:noProof/>
                <w:color w:val="000000"/>
                <w:sz w:val="22"/>
                <w:lang w:eastAsia="en-IE"/>
              </w:rPr>
            </w:pPr>
            <w:r>
              <w:rPr>
                <w:rFonts w:ascii="Calibri" w:hAnsi="Calibri" w:cs="Calibri"/>
                <w:noProof/>
                <w:color w:val="000000"/>
                <w:sz w:val="22"/>
              </w:rPr>
              <w:t>0</w:t>
            </w:r>
            <w:r w:rsidRPr="00FF63D1">
              <w:rPr>
                <w:rFonts w:ascii="Calibri" w:eastAsia="Times New Roman" w:hAnsi="Calibri" w:cs="Calibri"/>
                <w:noProof/>
                <w:color w:val="000000"/>
                <w:sz w:val="22"/>
                <w:lang w:eastAsia="en-IE"/>
              </w:rPr>
              <w:t>.9</w:t>
            </w:r>
          </w:p>
        </w:tc>
        <w:tc>
          <w:tcPr>
            <w:tcW w:w="506" w:type="pct"/>
            <w:tcBorders>
              <w:left w:val="nil"/>
              <w:right w:val="nil"/>
            </w:tcBorders>
            <w:shd w:val="clear" w:color="auto" w:fill="FFFFFF" w:themeFill="background1"/>
            <w:noWrap/>
            <w:vAlign w:val="bottom"/>
            <w:hideMark/>
          </w:tcPr>
          <w:p w14:paraId="2B212457" w14:textId="05656FB4" w:rsidR="005E3615" w:rsidRPr="00FF63D1" w:rsidRDefault="005E3615" w:rsidP="005E3615">
            <w:pPr>
              <w:jc w:val="center"/>
              <w:rPr>
                <w:rFonts w:ascii="Calibri" w:eastAsia="Times New Roman" w:hAnsi="Calibri" w:cs="Calibri"/>
                <w:noProof/>
                <w:color w:val="000000"/>
                <w:sz w:val="22"/>
                <w:lang w:eastAsia="en-IE"/>
              </w:rPr>
            </w:pPr>
            <w:r>
              <w:rPr>
                <w:rFonts w:ascii="Calibri" w:hAnsi="Calibri" w:cs="Calibri"/>
                <w:noProof/>
                <w:color w:val="000000"/>
                <w:sz w:val="22"/>
              </w:rPr>
              <w:t>1.</w:t>
            </w:r>
            <w:r w:rsidRPr="00FF63D1">
              <w:rPr>
                <w:rFonts w:ascii="Calibri" w:eastAsia="Times New Roman" w:hAnsi="Calibri" w:cs="Calibri"/>
                <w:noProof/>
                <w:color w:val="000000"/>
                <w:sz w:val="22"/>
                <w:lang w:eastAsia="en-IE"/>
              </w:rPr>
              <w:t>6</w:t>
            </w:r>
          </w:p>
        </w:tc>
      </w:tr>
      <w:tr w:rsidR="00A96790" w:rsidRPr="00C44135" w14:paraId="2931A68E" w14:textId="77777777" w:rsidTr="007F7094">
        <w:trPr>
          <w:trHeight w:val="327"/>
        </w:trPr>
        <w:tc>
          <w:tcPr>
            <w:tcW w:w="3794" w:type="pct"/>
            <w:tcBorders>
              <w:left w:val="nil"/>
              <w:right w:val="nil"/>
            </w:tcBorders>
            <w:shd w:val="clear" w:color="auto" w:fill="FFFFFF" w:themeFill="background1"/>
            <w:noWrap/>
            <w:vAlign w:val="bottom"/>
            <w:hideMark/>
          </w:tcPr>
          <w:p w14:paraId="77D70FDD" w14:textId="77777777" w:rsidR="00C44135" w:rsidRPr="00E71388" w:rsidRDefault="00C44135">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193" w:type="pct"/>
            <w:tcBorders>
              <w:left w:val="nil"/>
              <w:right w:val="nil"/>
            </w:tcBorders>
            <w:shd w:val="clear" w:color="auto" w:fill="FFFFFF" w:themeFill="background1"/>
            <w:noWrap/>
            <w:vAlign w:val="bottom"/>
            <w:hideMark/>
          </w:tcPr>
          <w:p w14:paraId="10889217" w14:textId="77777777" w:rsidR="00C44135" w:rsidRPr="00E71388" w:rsidRDefault="00C44135">
            <w:pPr>
              <w:jc w:val="left"/>
              <w:rPr>
                <w:rFonts w:ascii="Calibri" w:eastAsia="Times New Roman" w:hAnsi="Calibri" w:cs="Calibri"/>
                <w:b/>
                <w:i/>
                <w:noProof/>
                <w:color w:val="000000"/>
                <w:sz w:val="22"/>
                <w:lang w:val="fr-BE" w:eastAsia="en-IE"/>
              </w:rPr>
            </w:pPr>
            <w:r w:rsidRPr="00E71388">
              <w:rPr>
                <w:rFonts w:ascii="Calibri" w:eastAsia="Times New Roman" w:hAnsi="Calibri" w:cs="Calibri"/>
                <w:b/>
                <w:i/>
                <w:noProof/>
                <w:color w:val="000000"/>
                <w:sz w:val="22"/>
                <w:lang w:val="fr-BE" w:eastAsia="en-IE"/>
              </w:rPr>
              <w:t> </w:t>
            </w:r>
          </w:p>
        </w:tc>
        <w:tc>
          <w:tcPr>
            <w:tcW w:w="506" w:type="pct"/>
            <w:tcBorders>
              <w:left w:val="nil"/>
              <w:right w:val="nil"/>
            </w:tcBorders>
            <w:shd w:val="clear" w:color="auto" w:fill="FFFFFF" w:themeFill="background1"/>
            <w:noWrap/>
            <w:vAlign w:val="bottom"/>
            <w:hideMark/>
          </w:tcPr>
          <w:p w14:paraId="6259391F" w14:textId="77777777" w:rsidR="00C44135" w:rsidRPr="00E71388" w:rsidRDefault="00C44135">
            <w:pPr>
              <w:jc w:val="left"/>
              <w:rPr>
                <w:rFonts w:ascii="Calibri" w:eastAsia="Times New Roman" w:hAnsi="Calibri" w:cs="Calibri"/>
                <w:noProof/>
                <w:color w:val="000000"/>
                <w:sz w:val="22"/>
                <w:lang w:val="fr-BE" w:eastAsia="en-IE"/>
              </w:rPr>
            </w:pPr>
            <w:r w:rsidRPr="00E71388">
              <w:rPr>
                <w:rFonts w:ascii="Calibri" w:eastAsia="Times New Roman" w:hAnsi="Calibri" w:cs="Calibri"/>
                <w:noProof/>
                <w:color w:val="000000"/>
                <w:sz w:val="22"/>
                <w:lang w:val="fr-BE" w:eastAsia="en-IE"/>
              </w:rPr>
              <w:t> </w:t>
            </w:r>
          </w:p>
        </w:tc>
        <w:tc>
          <w:tcPr>
            <w:tcW w:w="506" w:type="pct"/>
            <w:tcBorders>
              <w:left w:val="nil"/>
              <w:right w:val="nil"/>
            </w:tcBorders>
            <w:shd w:val="clear" w:color="auto" w:fill="FFFFFF" w:themeFill="background1"/>
            <w:noWrap/>
            <w:vAlign w:val="bottom"/>
            <w:hideMark/>
          </w:tcPr>
          <w:p w14:paraId="13F14004" w14:textId="77777777" w:rsidR="00C44135" w:rsidRPr="00E71388" w:rsidRDefault="00C44135">
            <w:pPr>
              <w:jc w:val="left"/>
              <w:rPr>
                <w:rFonts w:ascii="Calibri" w:eastAsia="Times New Roman" w:hAnsi="Calibri" w:cs="Calibri"/>
                <w:noProof/>
                <w:color w:val="000000"/>
                <w:sz w:val="22"/>
                <w:lang w:val="fr-BE" w:eastAsia="en-IE"/>
              </w:rPr>
            </w:pPr>
            <w:r w:rsidRPr="00E71388">
              <w:rPr>
                <w:rFonts w:ascii="Calibri" w:eastAsia="Times New Roman" w:hAnsi="Calibri" w:cs="Calibri"/>
                <w:noProof/>
                <w:color w:val="000000"/>
                <w:sz w:val="22"/>
                <w:lang w:val="fr-BE" w:eastAsia="en-IE"/>
              </w:rPr>
              <w:t> </w:t>
            </w:r>
          </w:p>
        </w:tc>
      </w:tr>
      <w:tr w:rsidR="00A96790" w:rsidRPr="00FF63D1" w14:paraId="4262013C" w14:textId="77777777" w:rsidTr="007F7094">
        <w:trPr>
          <w:trHeight w:val="327"/>
        </w:trPr>
        <w:tc>
          <w:tcPr>
            <w:tcW w:w="3794" w:type="pct"/>
            <w:tcBorders>
              <w:left w:val="nil"/>
              <w:right w:val="nil"/>
            </w:tcBorders>
            <w:shd w:val="clear" w:color="auto" w:fill="FFFFFF" w:themeFill="background1"/>
            <w:noWrap/>
            <w:vAlign w:val="bottom"/>
            <w:hideMark/>
          </w:tcPr>
          <w:p w14:paraId="70CF6BE7" w14:textId="09A81E6B" w:rsidR="00C44135" w:rsidRPr="00FF63D1" w:rsidRDefault="00C44135">
            <w:pPr>
              <w:jc w:val="left"/>
              <w:rPr>
                <w:rFonts w:ascii="Calibri" w:eastAsia="Times New Roman" w:hAnsi="Calibri" w:cs="Calibri"/>
                <w:noProof/>
                <w:color w:val="000000"/>
                <w:sz w:val="22"/>
                <w:lang w:eastAsia="en-IE"/>
              </w:rPr>
            </w:pPr>
            <w:r w:rsidRPr="00E71388">
              <w:rPr>
                <w:rFonts w:ascii="Calibri" w:eastAsia="Times New Roman" w:hAnsi="Calibri" w:cs="Calibri"/>
                <w:noProof/>
                <w:color w:val="000000"/>
                <w:sz w:val="22"/>
                <w:lang w:val="fr-BE" w:eastAsia="en-IE"/>
              </w:rPr>
              <w:t xml:space="preserve">   </w:t>
            </w:r>
            <w:r w:rsidRPr="00FF63D1">
              <w:rPr>
                <w:rFonts w:ascii="Calibri" w:eastAsia="Times New Roman" w:hAnsi="Calibri" w:cs="Calibri"/>
                <w:noProof/>
                <w:color w:val="000000"/>
                <w:sz w:val="22"/>
                <w:lang w:eastAsia="en-IE"/>
              </w:rPr>
              <w:t xml:space="preserve">sales increase - billion </w:t>
            </w:r>
            <w:r w:rsidR="00525495">
              <w:rPr>
                <w:rFonts w:ascii="Calibri" w:eastAsia="Times New Roman" w:hAnsi="Calibri" w:cs="Calibri"/>
                <w:noProof/>
                <w:color w:val="000000"/>
                <w:sz w:val="22"/>
                <w:lang w:eastAsia="en-IE"/>
              </w:rPr>
              <w:t>euro</w:t>
            </w:r>
          </w:p>
        </w:tc>
        <w:tc>
          <w:tcPr>
            <w:tcW w:w="193" w:type="pct"/>
            <w:tcBorders>
              <w:left w:val="nil"/>
              <w:right w:val="nil"/>
            </w:tcBorders>
            <w:shd w:val="clear" w:color="auto" w:fill="FFFFFF" w:themeFill="background1"/>
            <w:noWrap/>
            <w:vAlign w:val="bottom"/>
            <w:hideMark/>
          </w:tcPr>
          <w:p w14:paraId="606B6059" w14:textId="77777777" w:rsidR="00C44135" w:rsidRPr="00FF63D1" w:rsidRDefault="00C44135">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06" w:type="pct"/>
            <w:tcBorders>
              <w:left w:val="nil"/>
              <w:right w:val="nil"/>
            </w:tcBorders>
            <w:shd w:val="clear" w:color="auto" w:fill="FFFFFF" w:themeFill="background1"/>
            <w:noWrap/>
            <w:vAlign w:val="bottom"/>
            <w:hideMark/>
          </w:tcPr>
          <w:p w14:paraId="125C11AC" w14:textId="79EC8F7C" w:rsidR="00C44135" w:rsidRPr="00FF63D1" w:rsidRDefault="00C44135">
            <w:pPr>
              <w:jc w:val="center"/>
              <w:rPr>
                <w:rFonts w:ascii="Calibri" w:eastAsia="Times New Roman" w:hAnsi="Calibri" w:cs="Calibri"/>
                <w:noProof/>
                <w:color w:val="000000"/>
                <w:sz w:val="22"/>
                <w:lang w:eastAsia="en-IE"/>
              </w:rPr>
            </w:pPr>
            <w:r>
              <w:rPr>
                <w:rFonts w:ascii="Calibri" w:hAnsi="Calibri" w:cs="Calibri"/>
                <w:noProof/>
                <w:color w:val="000000"/>
                <w:sz w:val="22"/>
              </w:rPr>
              <w:t>0.</w:t>
            </w:r>
            <w:r w:rsidR="001D2FAE">
              <w:rPr>
                <w:rFonts w:ascii="Calibri" w:hAnsi="Calibri" w:cs="Calibri"/>
                <w:noProof/>
                <w:color w:val="000000"/>
                <w:sz w:val="22"/>
              </w:rPr>
              <w:t>1</w:t>
            </w:r>
          </w:p>
        </w:tc>
        <w:tc>
          <w:tcPr>
            <w:tcW w:w="506" w:type="pct"/>
            <w:tcBorders>
              <w:left w:val="nil"/>
              <w:right w:val="nil"/>
            </w:tcBorders>
            <w:shd w:val="clear" w:color="auto" w:fill="FFFFFF" w:themeFill="background1"/>
            <w:noWrap/>
            <w:vAlign w:val="bottom"/>
            <w:hideMark/>
          </w:tcPr>
          <w:p w14:paraId="711EB711" w14:textId="38334308" w:rsidR="00C44135" w:rsidRPr="00FF63D1" w:rsidRDefault="00C44135">
            <w:pPr>
              <w:jc w:val="center"/>
              <w:rPr>
                <w:rFonts w:ascii="Calibri" w:eastAsia="Times New Roman" w:hAnsi="Calibri" w:cs="Calibri"/>
                <w:noProof/>
                <w:color w:val="000000"/>
                <w:sz w:val="22"/>
                <w:lang w:eastAsia="en-IE"/>
              </w:rPr>
            </w:pPr>
            <w:r>
              <w:rPr>
                <w:rFonts w:ascii="Calibri" w:hAnsi="Calibri" w:cs="Calibri"/>
                <w:noProof/>
                <w:color w:val="000000"/>
                <w:sz w:val="22"/>
              </w:rPr>
              <w:t>0.</w:t>
            </w:r>
            <w:r w:rsidR="001D2FAE">
              <w:rPr>
                <w:rFonts w:ascii="Calibri" w:hAnsi="Calibri" w:cs="Calibri"/>
                <w:noProof/>
                <w:color w:val="000000"/>
                <w:sz w:val="22"/>
              </w:rPr>
              <w:t>2</w:t>
            </w:r>
          </w:p>
        </w:tc>
      </w:tr>
      <w:tr w:rsidR="00A96790" w:rsidRPr="00FF63D1" w14:paraId="4A556ED9" w14:textId="77777777" w:rsidTr="007F7094">
        <w:trPr>
          <w:trHeight w:val="327"/>
        </w:trPr>
        <w:tc>
          <w:tcPr>
            <w:tcW w:w="3794" w:type="pct"/>
            <w:tcBorders>
              <w:left w:val="nil"/>
              <w:right w:val="nil"/>
            </w:tcBorders>
            <w:shd w:val="clear" w:color="auto" w:fill="FFFFFF" w:themeFill="background1"/>
            <w:noWrap/>
            <w:vAlign w:val="bottom"/>
          </w:tcPr>
          <w:p w14:paraId="44D63097" w14:textId="77777777" w:rsidR="00C44135" w:rsidRPr="009C69FA" w:rsidRDefault="00C44135">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193" w:type="pct"/>
            <w:tcBorders>
              <w:left w:val="nil"/>
              <w:right w:val="nil"/>
            </w:tcBorders>
            <w:shd w:val="clear" w:color="auto" w:fill="FFFFFF" w:themeFill="background1"/>
            <w:noWrap/>
            <w:vAlign w:val="bottom"/>
          </w:tcPr>
          <w:p w14:paraId="6812E9DE" w14:textId="77777777" w:rsidR="00C44135" w:rsidRPr="00FF63D1" w:rsidRDefault="00C44135">
            <w:pPr>
              <w:jc w:val="left"/>
              <w:rPr>
                <w:rFonts w:ascii="Calibri" w:eastAsia="Times New Roman" w:hAnsi="Calibri" w:cs="Calibri"/>
                <w:noProof/>
                <w:color w:val="000000"/>
                <w:sz w:val="22"/>
                <w:lang w:eastAsia="en-IE"/>
              </w:rPr>
            </w:pPr>
          </w:p>
        </w:tc>
        <w:tc>
          <w:tcPr>
            <w:tcW w:w="506" w:type="pct"/>
            <w:tcBorders>
              <w:left w:val="nil"/>
              <w:right w:val="nil"/>
            </w:tcBorders>
            <w:shd w:val="clear" w:color="auto" w:fill="FFFFFF" w:themeFill="background1"/>
            <w:noWrap/>
            <w:vAlign w:val="bottom"/>
          </w:tcPr>
          <w:p w14:paraId="38A2E1C2" w14:textId="77777777" w:rsidR="00C44135" w:rsidRPr="00FF63D1" w:rsidRDefault="00C44135">
            <w:pPr>
              <w:jc w:val="center"/>
              <w:rPr>
                <w:rFonts w:ascii="Calibri" w:eastAsia="Times New Roman" w:hAnsi="Calibri" w:cs="Calibri"/>
                <w:noProof/>
                <w:color w:val="000000"/>
                <w:sz w:val="22"/>
                <w:lang w:eastAsia="en-IE"/>
              </w:rPr>
            </w:pPr>
          </w:p>
        </w:tc>
        <w:tc>
          <w:tcPr>
            <w:tcW w:w="506" w:type="pct"/>
            <w:tcBorders>
              <w:left w:val="nil"/>
              <w:right w:val="nil"/>
            </w:tcBorders>
            <w:shd w:val="clear" w:color="auto" w:fill="FFFFFF" w:themeFill="background1"/>
            <w:noWrap/>
            <w:vAlign w:val="bottom"/>
          </w:tcPr>
          <w:p w14:paraId="5BBBAFD5" w14:textId="77777777" w:rsidR="00C44135" w:rsidRPr="00FF63D1" w:rsidRDefault="00C44135">
            <w:pPr>
              <w:jc w:val="center"/>
              <w:rPr>
                <w:rFonts w:ascii="Calibri" w:eastAsia="Times New Roman" w:hAnsi="Calibri" w:cs="Calibri"/>
                <w:noProof/>
                <w:color w:val="000000"/>
                <w:sz w:val="22"/>
                <w:lang w:eastAsia="en-IE"/>
              </w:rPr>
            </w:pPr>
          </w:p>
        </w:tc>
      </w:tr>
      <w:tr w:rsidR="00A96790" w:rsidRPr="00FF63D1" w14:paraId="71DAAE97" w14:textId="77777777" w:rsidTr="007F7094">
        <w:trPr>
          <w:trHeight w:val="327"/>
        </w:trPr>
        <w:tc>
          <w:tcPr>
            <w:tcW w:w="3794" w:type="pct"/>
            <w:tcBorders>
              <w:left w:val="nil"/>
              <w:right w:val="nil"/>
            </w:tcBorders>
            <w:shd w:val="clear" w:color="auto" w:fill="FFFFFF" w:themeFill="background1"/>
            <w:noWrap/>
            <w:vAlign w:val="bottom"/>
          </w:tcPr>
          <w:p w14:paraId="4A8A46F5" w14:textId="502D2442" w:rsidR="00C44135" w:rsidRPr="009C69FA" w:rsidRDefault="00C44135">
            <w:pPr>
              <w:jc w:val="left"/>
              <w:rPr>
                <w:rFonts w:ascii="Calibri" w:eastAsia="Times New Roman" w:hAnsi="Calibri" w:cs="Calibri"/>
                <w:noProof/>
                <w:color w:val="000000"/>
                <w:sz w:val="22"/>
                <w:lang w:val="fr-BE" w:eastAsia="en-IE"/>
              </w:rPr>
            </w:pPr>
            <w:r w:rsidRPr="00E71388">
              <w:rPr>
                <w:rFonts w:ascii="Calibri" w:eastAsia="Times New Roman" w:hAnsi="Calibri" w:cs="Calibri"/>
                <w:noProof/>
                <w:color w:val="000000"/>
                <w:sz w:val="22"/>
                <w:lang w:val="fr-BE" w:eastAsia="en-IE"/>
              </w:rPr>
              <w:t xml:space="preserve">   </w:t>
            </w:r>
            <w:r w:rsidRPr="00FF63D1">
              <w:rPr>
                <w:rFonts w:ascii="Calibri" w:eastAsia="Times New Roman" w:hAnsi="Calibri" w:cs="Calibri"/>
                <w:noProof/>
                <w:color w:val="000000"/>
                <w:sz w:val="22"/>
                <w:lang w:eastAsia="en-IE"/>
              </w:rPr>
              <w:t xml:space="preserve">sales increase - billion </w:t>
            </w:r>
            <w:r w:rsidR="00525495">
              <w:rPr>
                <w:rFonts w:ascii="Calibri" w:eastAsia="Times New Roman" w:hAnsi="Calibri" w:cs="Calibri"/>
                <w:noProof/>
                <w:color w:val="000000"/>
                <w:sz w:val="22"/>
                <w:lang w:eastAsia="en-IE"/>
              </w:rPr>
              <w:t>euro</w:t>
            </w:r>
          </w:p>
        </w:tc>
        <w:tc>
          <w:tcPr>
            <w:tcW w:w="193" w:type="pct"/>
            <w:tcBorders>
              <w:left w:val="nil"/>
              <w:right w:val="nil"/>
            </w:tcBorders>
            <w:shd w:val="clear" w:color="auto" w:fill="FFFFFF" w:themeFill="background1"/>
            <w:noWrap/>
            <w:vAlign w:val="bottom"/>
          </w:tcPr>
          <w:p w14:paraId="35D113D3" w14:textId="77777777" w:rsidR="00C44135" w:rsidRPr="00FF63D1" w:rsidRDefault="00C44135">
            <w:pPr>
              <w:jc w:val="left"/>
              <w:rPr>
                <w:rFonts w:ascii="Calibri" w:eastAsia="Times New Roman" w:hAnsi="Calibri" w:cs="Calibri"/>
                <w:noProof/>
                <w:color w:val="000000"/>
                <w:sz w:val="22"/>
                <w:lang w:eastAsia="en-IE"/>
              </w:rPr>
            </w:pPr>
          </w:p>
        </w:tc>
        <w:tc>
          <w:tcPr>
            <w:tcW w:w="506" w:type="pct"/>
            <w:tcBorders>
              <w:left w:val="nil"/>
              <w:right w:val="nil"/>
            </w:tcBorders>
            <w:shd w:val="clear" w:color="auto" w:fill="FFFFFF" w:themeFill="background1"/>
            <w:noWrap/>
            <w:vAlign w:val="bottom"/>
          </w:tcPr>
          <w:p w14:paraId="30F251EE" w14:textId="2B38619D" w:rsidR="00C44135" w:rsidRPr="00FF63D1" w:rsidRDefault="00C44135">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0.</w:t>
            </w:r>
            <w:r w:rsidR="004721BE">
              <w:rPr>
                <w:rFonts w:ascii="Calibri" w:eastAsia="Times New Roman" w:hAnsi="Calibri" w:cs="Calibri"/>
                <w:noProof/>
                <w:color w:val="000000"/>
                <w:sz w:val="22"/>
                <w:lang w:val="en-IE" w:eastAsia="en-IE"/>
              </w:rPr>
              <w:t>0</w:t>
            </w:r>
            <w:r w:rsidR="004721BE" w:rsidRPr="00E93C6B">
              <w:rPr>
                <w:rFonts w:ascii="Calibri" w:eastAsia="Times New Roman" w:hAnsi="Calibri" w:cs="Calibri"/>
                <w:noProof/>
                <w:color w:val="000000"/>
                <w:sz w:val="22"/>
                <w:lang w:val="en-IE" w:eastAsia="en-IE"/>
              </w:rPr>
              <w:t>2</w:t>
            </w:r>
            <w:r w:rsidR="004721BE">
              <w:rPr>
                <w:rFonts w:ascii="Calibri" w:eastAsia="Times New Roman" w:hAnsi="Calibri" w:cs="Calibri"/>
                <w:noProof/>
                <w:color w:val="000000"/>
                <w:sz w:val="22"/>
                <w:lang w:val="en-IE" w:eastAsia="en-IE"/>
              </w:rPr>
              <w:t>6</w:t>
            </w:r>
          </w:p>
        </w:tc>
        <w:tc>
          <w:tcPr>
            <w:tcW w:w="506" w:type="pct"/>
            <w:tcBorders>
              <w:left w:val="nil"/>
              <w:right w:val="nil"/>
            </w:tcBorders>
            <w:shd w:val="clear" w:color="auto" w:fill="FFFFFF" w:themeFill="background1"/>
            <w:noWrap/>
            <w:vAlign w:val="bottom"/>
          </w:tcPr>
          <w:p w14:paraId="5B3DEDDA" w14:textId="47B51804" w:rsidR="00C44135" w:rsidRPr="00FF63D1" w:rsidRDefault="00C44135">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0.</w:t>
            </w:r>
            <w:r w:rsidR="004721BE">
              <w:rPr>
                <w:rFonts w:ascii="Calibri" w:eastAsia="Times New Roman" w:hAnsi="Calibri" w:cs="Calibri"/>
                <w:noProof/>
                <w:color w:val="000000"/>
                <w:sz w:val="22"/>
                <w:lang w:val="en-IE" w:eastAsia="en-IE"/>
              </w:rPr>
              <w:t>0</w:t>
            </w:r>
            <w:r w:rsidR="004721BE" w:rsidRPr="00E93C6B">
              <w:rPr>
                <w:rFonts w:ascii="Calibri" w:eastAsia="Times New Roman" w:hAnsi="Calibri" w:cs="Calibri"/>
                <w:noProof/>
                <w:color w:val="000000"/>
                <w:sz w:val="22"/>
                <w:lang w:val="en-IE" w:eastAsia="en-IE"/>
              </w:rPr>
              <w:t>3</w:t>
            </w:r>
            <w:r w:rsidR="004721BE">
              <w:rPr>
                <w:rFonts w:ascii="Calibri" w:eastAsia="Times New Roman" w:hAnsi="Calibri" w:cs="Calibri"/>
                <w:noProof/>
                <w:color w:val="000000"/>
                <w:sz w:val="22"/>
                <w:lang w:val="en-IE" w:eastAsia="en-IE"/>
              </w:rPr>
              <w:t>1</w:t>
            </w:r>
          </w:p>
        </w:tc>
      </w:tr>
    </w:tbl>
    <w:p w14:paraId="26BBBA80" w14:textId="77777777" w:rsidR="00EB793C" w:rsidRPr="00A4306F" w:rsidRDefault="00EB793C" w:rsidP="00EB793C">
      <w:pPr>
        <w:rPr>
          <w:noProof/>
          <w:lang w:val="en-IE"/>
        </w:rPr>
      </w:pPr>
    </w:p>
    <w:p w14:paraId="0AEE97A5" w14:textId="727FCF14" w:rsidR="00EB793C" w:rsidRPr="00E71388" w:rsidRDefault="00F809D5" w:rsidP="00EB793C">
      <w:pPr>
        <w:rPr>
          <w:noProof/>
        </w:rPr>
      </w:pPr>
      <w:r>
        <w:rPr>
          <w:rFonts w:cs="Times New Roman"/>
          <w:bCs/>
          <w:i/>
          <w:iCs/>
          <w:noProof/>
          <w:szCs w:val="24"/>
        </w:rPr>
        <w:t xml:space="preserve">In the </w:t>
      </w:r>
      <w:r w:rsidRPr="00086326">
        <w:rPr>
          <w:rFonts w:cs="Times New Roman"/>
          <w:bCs/>
          <w:i/>
          <w:iCs/>
          <w:noProof/>
          <w:szCs w:val="24"/>
        </w:rPr>
        <w:t xml:space="preserve">non-EU manufacturers absorb the price increase </w:t>
      </w:r>
      <w:r w:rsidRPr="00086326">
        <w:rPr>
          <w:rFonts w:cs="Times New Roman"/>
          <w:bCs/>
          <w:noProof/>
          <w:szCs w:val="24"/>
        </w:rPr>
        <w:t>scenario</w:t>
      </w:r>
      <w:r>
        <w:rPr>
          <w:rFonts w:cs="Times New Roman"/>
          <w:bCs/>
          <w:noProof/>
          <w:szCs w:val="24"/>
        </w:rPr>
        <w:t xml:space="preserve">, </w:t>
      </w:r>
      <w:r w:rsidR="00EB793C">
        <w:rPr>
          <w:noProof/>
        </w:rPr>
        <w:t>t</w:t>
      </w:r>
      <w:r w:rsidR="00EB793C" w:rsidRPr="005306CC">
        <w:rPr>
          <w:noProof/>
          <w:lang w:val="en-IE"/>
        </w:rPr>
        <w:t>he sales</w:t>
      </w:r>
      <w:r w:rsidR="00EB793C">
        <w:rPr>
          <w:noProof/>
          <w:lang w:val="en-IE"/>
        </w:rPr>
        <w:t xml:space="preserve"> increase</w:t>
      </w:r>
      <w:r w:rsidR="00EB793C" w:rsidRPr="005306CC">
        <w:rPr>
          <w:noProof/>
          <w:lang w:val="en-IE"/>
        </w:rPr>
        <w:t xml:space="preserve"> of EU suppliers </w:t>
      </w:r>
      <w:r w:rsidR="00EB793C">
        <w:rPr>
          <w:noProof/>
          <w:lang w:val="en-IE"/>
        </w:rPr>
        <w:t xml:space="preserve">is expected to be more limited, rising only by </w:t>
      </w:r>
      <w:r w:rsidR="004E00B0" w:rsidRPr="004E00B0">
        <w:rPr>
          <w:noProof/>
          <w:lang w:val="en-IE"/>
        </w:rPr>
        <w:t xml:space="preserve">EUR </w:t>
      </w:r>
      <w:r w:rsidR="00EB793C">
        <w:rPr>
          <w:noProof/>
          <w:lang w:val="en-IE"/>
        </w:rPr>
        <w:t>0.9</w:t>
      </w:r>
      <w:r w:rsidR="00EB793C" w:rsidRPr="005306CC">
        <w:rPr>
          <w:noProof/>
          <w:lang w:val="en-IE"/>
        </w:rPr>
        <w:t xml:space="preserve"> billion in 20</w:t>
      </w:r>
      <w:r w:rsidR="00EB793C">
        <w:rPr>
          <w:noProof/>
          <w:lang w:val="en-IE"/>
        </w:rPr>
        <w:t>27</w:t>
      </w:r>
      <w:r w:rsidR="00EB793C" w:rsidRPr="005306CC">
        <w:rPr>
          <w:noProof/>
          <w:lang w:val="en-IE"/>
        </w:rPr>
        <w:t xml:space="preserve"> and </w:t>
      </w:r>
      <w:r w:rsidR="000B538E" w:rsidRPr="000B538E">
        <w:rPr>
          <w:noProof/>
          <w:lang w:val="en-IE"/>
        </w:rPr>
        <w:t xml:space="preserve">EUR </w:t>
      </w:r>
      <w:r w:rsidR="00EB793C">
        <w:rPr>
          <w:noProof/>
          <w:lang w:val="en-IE"/>
        </w:rPr>
        <w:t>1.6</w:t>
      </w:r>
      <w:r w:rsidR="00EB793C" w:rsidRPr="005306CC">
        <w:rPr>
          <w:noProof/>
          <w:lang w:val="en-IE"/>
        </w:rPr>
        <w:t xml:space="preserve"> billion in 203</w:t>
      </w:r>
      <w:r w:rsidR="00EB793C">
        <w:rPr>
          <w:noProof/>
          <w:lang w:val="en-IE"/>
        </w:rPr>
        <w:t>0</w:t>
      </w:r>
      <w:r w:rsidR="00EB793C" w:rsidRPr="005306CC">
        <w:rPr>
          <w:noProof/>
          <w:lang w:val="en-IE"/>
        </w:rPr>
        <w:t xml:space="preserve">. </w:t>
      </w:r>
      <w:r w:rsidR="00EB793C" w:rsidRPr="00134454">
        <w:rPr>
          <w:noProof/>
          <w:lang w:val="en-IE"/>
        </w:rPr>
        <w:t>Sales of EU suppliers are</w:t>
      </w:r>
      <w:r w:rsidR="00EB793C">
        <w:rPr>
          <w:noProof/>
          <w:lang w:val="en-IE"/>
        </w:rPr>
        <w:t xml:space="preserve"> lower</w:t>
      </w:r>
      <w:r w:rsidR="00EB793C" w:rsidRPr="00134454">
        <w:rPr>
          <w:noProof/>
          <w:lang w:val="en-IE"/>
        </w:rPr>
        <w:t xml:space="preserve"> in </w:t>
      </w:r>
      <w:r>
        <w:rPr>
          <w:noProof/>
          <w:lang w:val="en-IE"/>
        </w:rPr>
        <w:t xml:space="preserve">this than in the </w:t>
      </w:r>
      <w:r w:rsidRPr="00E71388">
        <w:rPr>
          <w:i/>
          <w:iCs/>
          <w:noProof/>
          <w:lang w:val="en-IE"/>
        </w:rPr>
        <w:t>Internal market reaction</w:t>
      </w:r>
      <w:r>
        <w:rPr>
          <w:noProof/>
          <w:lang w:val="en-IE"/>
        </w:rPr>
        <w:t xml:space="preserve"> </w:t>
      </w:r>
      <w:r w:rsidR="004721BE">
        <w:rPr>
          <w:noProof/>
          <w:lang w:val="en-IE"/>
        </w:rPr>
        <w:t>scenario</w:t>
      </w:r>
      <w:r w:rsidR="00EB793C" w:rsidRPr="00134454">
        <w:rPr>
          <w:noProof/>
          <w:lang w:val="en-IE"/>
        </w:rPr>
        <w:t xml:space="preserve"> because the increase in sales of EU EVs will be lower in </w:t>
      </w:r>
      <w:r w:rsidR="000F5FC1">
        <w:rPr>
          <w:noProof/>
          <w:lang w:val="en-IE"/>
        </w:rPr>
        <w:t>the</w:t>
      </w:r>
      <w:r w:rsidR="00EB793C" w:rsidRPr="00134454">
        <w:rPr>
          <w:noProof/>
          <w:lang w:val="en-IE"/>
        </w:rPr>
        <w:t xml:space="preserve"> </w:t>
      </w:r>
      <w:r w:rsidR="000F5FC1" w:rsidRPr="000F5FC1">
        <w:rPr>
          <w:i/>
          <w:iCs/>
          <w:noProof/>
        </w:rPr>
        <w:t xml:space="preserve">Non-EU manufacturers absorb the price increase </w:t>
      </w:r>
      <w:r w:rsidR="000F5FC1" w:rsidRPr="000F5FC1">
        <w:rPr>
          <w:noProof/>
        </w:rPr>
        <w:t>scenario</w:t>
      </w:r>
      <w:r w:rsidR="000F5FC1">
        <w:rPr>
          <w:noProof/>
        </w:rPr>
        <w:t xml:space="preserve"> </w:t>
      </w:r>
      <w:r w:rsidR="00EB793C" w:rsidRPr="00134454">
        <w:rPr>
          <w:noProof/>
          <w:lang w:val="en-IE"/>
        </w:rPr>
        <w:t xml:space="preserve">(see sales increase in the </w:t>
      </w:r>
      <w:r w:rsidR="00EB793C">
        <w:rPr>
          <w:noProof/>
          <w:lang w:val="en-IE"/>
        </w:rPr>
        <w:t>impact on the downstream sector</w:t>
      </w:r>
      <w:r w:rsidR="00EB793C" w:rsidRPr="00134454">
        <w:rPr>
          <w:noProof/>
          <w:lang w:val="en-IE"/>
        </w:rPr>
        <w:t xml:space="preserve">). </w:t>
      </w:r>
      <w:r w:rsidR="00EB793C">
        <w:rPr>
          <w:noProof/>
          <w:lang w:val="en-IE"/>
        </w:rPr>
        <w:t xml:space="preserve">It is </w:t>
      </w:r>
      <w:r w:rsidR="00E326C2">
        <w:rPr>
          <w:noProof/>
          <w:lang w:val="en-IE"/>
        </w:rPr>
        <w:t>because</w:t>
      </w:r>
      <w:r w:rsidR="00EB793C">
        <w:rPr>
          <w:noProof/>
          <w:lang w:val="en-IE"/>
        </w:rPr>
        <w:t xml:space="preserve"> </w:t>
      </w:r>
      <w:r w:rsidR="00EB793C" w:rsidRPr="00134454">
        <w:rPr>
          <w:noProof/>
          <w:lang w:val="en-IE"/>
        </w:rPr>
        <w:t>non-EU car makers absorb the price differential</w:t>
      </w:r>
      <w:r w:rsidR="00EB793C">
        <w:rPr>
          <w:noProof/>
          <w:lang w:val="en-IE"/>
        </w:rPr>
        <w:t>, which</w:t>
      </w:r>
      <w:r w:rsidR="00EB793C" w:rsidRPr="00134454">
        <w:rPr>
          <w:noProof/>
          <w:lang w:val="en-IE"/>
        </w:rPr>
        <w:t xml:space="preserve"> reduc</w:t>
      </w:r>
      <w:r w:rsidR="00EB793C">
        <w:rPr>
          <w:noProof/>
          <w:lang w:val="en-IE"/>
        </w:rPr>
        <w:t>es</w:t>
      </w:r>
      <w:r w:rsidR="00EB793C" w:rsidRPr="00134454">
        <w:rPr>
          <w:noProof/>
          <w:lang w:val="en-IE"/>
        </w:rPr>
        <w:t xml:space="preserve"> their margins</w:t>
      </w:r>
      <w:r w:rsidR="00EB793C">
        <w:rPr>
          <w:noProof/>
          <w:lang w:val="en-IE"/>
        </w:rPr>
        <w:t xml:space="preserve"> to</w:t>
      </w:r>
      <w:r w:rsidR="00EB793C" w:rsidRPr="00134454">
        <w:rPr>
          <w:noProof/>
          <w:lang w:val="en-IE"/>
        </w:rPr>
        <w:t xml:space="preserve"> limit the substitution of consumers from non-EU (</w:t>
      </w:r>
      <w:r w:rsidR="00EB793C">
        <w:rPr>
          <w:noProof/>
          <w:lang w:val="en-IE"/>
        </w:rPr>
        <w:t>with a price increase</w:t>
      </w:r>
      <w:r w:rsidR="00EB793C" w:rsidRPr="00134454">
        <w:rPr>
          <w:noProof/>
          <w:lang w:val="en-IE"/>
        </w:rPr>
        <w:t xml:space="preserve"> after the measure) for EU (</w:t>
      </w:r>
      <w:r w:rsidR="00EB793C">
        <w:rPr>
          <w:noProof/>
          <w:lang w:val="en-IE"/>
        </w:rPr>
        <w:t xml:space="preserve">with a price decrease </w:t>
      </w:r>
      <w:r w:rsidR="00EB793C" w:rsidRPr="00134454">
        <w:rPr>
          <w:noProof/>
          <w:lang w:val="en-IE"/>
        </w:rPr>
        <w:t xml:space="preserve">after the measure) that happen in </w:t>
      </w:r>
      <w:r w:rsidR="00603B19" w:rsidRPr="00603B19">
        <w:rPr>
          <w:i/>
          <w:iCs/>
          <w:noProof/>
        </w:rPr>
        <w:t>Internal market reaction</w:t>
      </w:r>
      <w:r w:rsidR="00EB793C" w:rsidRPr="00134454">
        <w:rPr>
          <w:noProof/>
          <w:lang w:val="en-IE"/>
        </w:rPr>
        <w:t>.</w:t>
      </w:r>
      <w:r w:rsidR="00EB793C">
        <w:rPr>
          <w:noProof/>
          <w:lang w:val="en-IE"/>
        </w:rPr>
        <w:t xml:space="preserve"> </w:t>
      </w:r>
    </w:p>
    <w:p w14:paraId="63BD934F" w14:textId="77777777" w:rsidR="00EB793C" w:rsidRPr="00A4306F" w:rsidRDefault="00EB793C" w:rsidP="00EB793C">
      <w:pPr>
        <w:rPr>
          <w:noProof/>
          <w:lang w:val="en-IE"/>
        </w:rPr>
      </w:pPr>
    </w:p>
    <w:p w14:paraId="7AC92E03" w14:textId="10A98CF9" w:rsidR="00EB793C" w:rsidRDefault="00EB793C" w:rsidP="00EB793C">
      <w:pPr>
        <w:rPr>
          <w:noProof/>
          <w:lang w:val="en-IE"/>
        </w:rPr>
      </w:pPr>
      <w:r w:rsidRPr="00F91F76">
        <w:rPr>
          <w:noProof/>
          <w:lang w:val="en-IE"/>
        </w:rPr>
        <w:t xml:space="preserve">In </w:t>
      </w:r>
      <w:r w:rsidR="004721BE" w:rsidRPr="00E71388">
        <w:rPr>
          <w:noProof/>
          <w:lang w:val="en-IE"/>
        </w:rPr>
        <w:t>this scenario</w:t>
      </w:r>
      <w:r>
        <w:rPr>
          <w:noProof/>
          <w:lang w:val="en-IE"/>
        </w:rPr>
        <w:t xml:space="preserve"> </w:t>
      </w:r>
      <w:r>
        <w:rPr>
          <w:noProof/>
        </w:rPr>
        <w:t>t</w:t>
      </w:r>
      <w:r w:rsidRPr="005306CC">
        <w:rPr>
          <w:noProof/>
          <w:lang w:val="en-IE"/>
        </w:rPr>
        <w:t>he sales</w:t>
      </w:r>
      <w:r>
        <w:rPr>
          <w:noProof/>
          <w:lang w:val="en-IE"/>
        </w:rPr>
        <w:t xml:space="preserve"> increase</w:t>
      </w:r>
      <w:r w:rsidRPr="005306CC">
        <w:rPr>
          <w:noProof/>
          <w:lang w:val="en-IE"/>
        </w:rPr>
        <w:t xml:space="preserve"> of EU suppliers </w:t>
      </w:r>
      <w:r w:rsidR="004721BE">
        <w:rPr>
          <w:noProof/>
          <w:lang w:val="en-IE"/>
        </w:rPr>
        <w:t>in the LCV vehicle segment</w:t>
      </w:r>
      <w:r w:rsidRPr="005306CC">
        <w:rPr>
          <w:noProof/>
          <w:lang w:val="en-IE"/>
        </w:rPr>
        <w:t xml:space="preserve"> </w:t>
      </w:r>
      <w:r>
        <w:rPr>
          <w:noProof/>
          <w:lang w:val="en-IE"/>
        </w:rPr>
        <w:t xml:space="preserve">is expected to be more limited, rising only by </w:t>
      </w:r>
      <w:r w:rsidR="004E00B0" w:rsidRPr="004E00B0">
        <w:rPr>
          <w:noProof/>
          <w:lang w:val="en-IE"/>
        </w:rPr>
        <w:t xml:space="preserve">EUR </w:t>
      </w:r>
      <w:r>
        <w:rPr>
          <w:noProof/>
          <w:lang w:val="en-IE"/>
        </w:rPr>
        <w:t>0.1</w:t>
      </w:r>
      <w:r w:rsidRPr="005306CC">
        <w:rPr>
          <w:noProof/>
          <w:lang w:val="en-IE"/>
        </w:rPr>
        <w:t xml:space="preserve"> billion in 20</w:t>
      </w:r>
      <w:r>
        <w:rPr>
          <w:noProof/>
          <w:lang w:val="en-IE"/>
        </w:rPr>
        <w:t>27</w:t>
      </w:r>
      <w:r w:rsidRPr="005306CC">
        <w:rPr>
          <w:noProof/>
          <w:lang w:val="en-IE"/>
        </w:rPr>
        <w:t xml:space="preserve"> and </w:t>
      </w:r>
      <w:r w:rsidR="000B538E" w:rsidRPr="000B538E">
        <w:rPr>
          <w:noProof/>
          <w:lang w:val="en-IE"/>
        </w:rPr>
        <w:t xml:space="preserve">EUR </w:t>
      </w:r>
      <w:r>
        <w:rPr>
          <w:noProof/>
          <w:lang w:val="en-IE"/>
        </w:rPr>
        <w:t>0.2</w:t>
      </w:r>
      <w:r w:rsidRPr="005306CC">
        <w:rPr>
          <w:noProof/>
          <w:lang w:val="en-IE"/>
        </w:rPr>
        <w:t xml:space="preserve"> billion in 203</w:t>
      </w:r>
      <w:r>
        <w:rPr>
          <w:noProof/>
          <w:lang w:val="en-IE"/>
        </w:rPr>
        <w:t>0</w:t>
      </w:r>
      <w:r w:rsidRPr="005306CC">
        <w:rPr>
          <w:noProof/>
          <w:lang w:val="en-IE"/>
        </w:rPr>
        <w:t xml:space="preserve">. </w:t>
      </w:r>
    </w:p>
    <w:p w14:paraId="12F73403" w14:textId="77777777" w:rsidR="00EB793C" w:rsidRDefault="00EB793C" w:rsidP="00EB793C">
      <w:pPr>
        <w:rPr>
          <w:noProof/>
          <w:lang w:val="en-IE"/>
        </w:rPr>
      </w:pPr>
    </w:p>
    <w:p w14:paraId="50E0A2F3" w14:textId="1EF55901" w:rsidR="00EB793C" w:rsidRDefault="004721BE" w:rsidP="00EB793C">
      <w:pPr>
        <w:rPr>
          <w:noProof/>
          <w:lang w:val="en-IE"/>
        </w:rPr>
      </w:pPr>
      <w:r>
        <w:rPr>
          <w:noProof/>
        </w:rPr>
        <w:t>Furthermore, the</w:t>
      </w:r>
      <w:r w:rsidR="00EB793C" w:rsidRPr="005306CC">
        <w:rPr>
          <w:noProof/>
          <w:lang w:val="en-IE"/>
        </w:rPr>
        <w:t xml:space="preserve"> sales</w:t>
      </w:r>
      <w:r w:rsidR="00EB793C">
        <w:rPr>
          <w:noProof/>
          <w:lang w:val="en-IE"/>
        </w:rPr>
        <w:t xml:space="preserve"> increase</w:t>
      </w:r>
      <w:r w:rsidR="00EB793C" w:rsidRPr="005306CC">
        <w:rPr>
          <w:noProof/>
          <w:lang w:val="en-IE"/>
        </w:rPr>
        <w:t xml:space="preserve"> of EU suppliers </w:t>
      </w:r>
      <w:r w:rsidR="00EB793C">
        <w:rPr>
          <w:noProof/>
          <w:lang w:val="en-IE"/>
        </w:rPr>
        <w:t xml:space="preserve">is expected to be more limited, rising only by </w:t>
      </w:r>
      <w:r w:rsidR="004958FC" w:rsidRPr="004958FC">
        <w:rPr>
          <w:noProof/>
          <w:lang w:val="en-IE"/>
        </w:rPr>
        <w:t xml:space="preserve">EUR </w:t>
      </w:r>
      <w:r w:rsidR="00EB793C">
        <w:rPr>
          <w:noProof/>
          <w:lang w:val="en-IE"/>
        </w:rPr>
        <w:t>25.6</w:t>
      </w:r>
      <w:r w:rsidR="00EB793C" w:rsidRPr="005306CC">
        <w:rPr>
          <w:noProof/>
          <w:lang w:val="en-IE"/>
        </w:rPr>
        <w:t xml:space="preserve"> </w:t>
      </w:r>
      <w:r w:rsidR="00EB793C">
        <w:rPr>
          <w:noProof/>
          <w:lang w:val="en-IE"/>
        </w:rPr>
        <w:t>m</w:t>
      </w:r>
      <w:r w:rsidR="00EB793C" w:rsidRPr="005306CC">
        <w:rPr>
          <w:noProof/>
          <w:lang w:val="en-IE"/>
        </w:rPr>
        <w:t>illion in 20</w:t>
      </w:r>
      <w:r w:rsidR="00EB793C">
        <w:rPr>
          <w:noProof/>
          <w:lang w:val="en-IE"/>
        </w:rPr>
        <w:t>27</w:t>
      </w:r>
      <w:r w:rsidR="00EB793C" w:rsidRPr="005306CC">
        <w:rPr>
          <w:noProof/>
          <w:lang w:val="en-IE"/>
        </w:rPr>
        <w:t xml:space="preserve"> and </w:t>
      </w:r>
      <w:r w:rsidR="004E00B0" w:rsidRPr="004E00B0">
        <w:rPr>
          <w:noProof/>
          <w:lang w:val="en-IE"/>
        </w:rPr>
        <w:t xml:space="preserve">EUR </w:t>
      </w:r>
      <w:r w:rsidR="00EB793C">
        <w:rPr>
          <w:noProof/>
          <w:lang w:val="en-IE"/>
        </w:rPr>
        <w:t>30.9</w:t>
      </w:r>
      <w:r w:rsidR="00EB793C" w:rsidRPr="005306CC">
        <w:rPr>
          <w:noProof/>
          <w:lang w:val="en-IE"/>
        </w:rPr>
        <w:t xml:space="preserve"> </w:t>
      </w:r>
      <w:r w:rsidR="00EB793C">
        <w:rPr>
          <w:noProof/>
          <w:lang w:val="en-IE"/>
        </w:rPr>
        <w:t>m</w:t>
      </w:r>
      <w:r w:rsidR="00EB793C" w:rsidRPr="005306CC">
        <w:rPr>
          <w:noProof/>
          <w:lang w:val="en-IE"/>
        </w:rPr>
        <w:t>illion in 203</w:t>
      </w:r>
      <w:r w:rsidR="00EB793C">
        <w:rPr>
          <w:noProof/>
          <w:lang w:val="en-IE"/>
        </w:rPr>
        <w:t>0</w:t>
      </w:r>
      <w:r>
        <w:rPr>
          <w:noProof/>
          <w:lang w:val="en-IE"/>
        </w:rPr>
        <w:t xml:space="preserve"> for HDVs</w:t>
      </w:r>
      <w:r w:rsidR="00EB793C" w:rsidRPr="005306CC">
        <w:rPr>
          <w:noProof/>
          <w:lang w:val="en-IE"/>
        </w:rPr>
        <w:t>.</w:t>
      </w:r>
    </w:p>
    <w:p w14:paraId="03024B53" w14:textId="77777777" w:rsidR="00EB793C" w:rsidRPr="00086326" w:rsidRDefault="00EB793C" w:rsidP="00EB793C">
      <w:pPr>
        <w:rPr>
          <w:rFonts w:eastAsia="Times New Roman"/>
          <w:noProof/>
          <w:lang w:val="en-IE"/>
        </w:rPr>
      </w:pPr>
    </w:p>
    <w:p w14:paraId="2F9683D5" w14:textId="57E80B5C" w:rsidR="00EB793C" w:rsidRPr="00CE74AA" w:rsidRDefault="004721BE" w:rsidP="00EB793C">
      <w:pPr>
        <w:rPr>
          <w:rFonts w:eastAsia="Times New Roman" w:cs="Times New Roman"/>
          <w:noProof/>
          <w:lang w:val="en-IE"/>
        </w:rPr>
      </w:pPr>
      <w:r>
        <w:rPr>
          <w:noProof/>
          <w:lang w:val="en-IE"/>
        </w:rPr>
        <w:t>Impact on downstream sector</w:t>
      </w:r>
      <w:r w:rsidR="007C07CC">
        <w:rPr>
          <w:noProof/>
          <w:lang w:val="en-IE"/>
        </w:rPr>
        <w:t xml:space="preserve"> (</w:t>
      </w:r>
      <w:r w:rsidR="00EB793C">
        <w:rPr>
          <w:rFonts w:eastAsia="Times New Roman" w:cs="Times New Roman"/>
          <w:noProof/>
          <w:lang w:val="en-IE"/>
        </w:rPr>
        <w:t>automotive manufacturers)</w:t>
      </w:r>
    </w:p>
    <w:p w14:paraId="1EEBBC21" w14:textId="77777777" w:rsidR="00184C8D" w:rsidRDefault="00184C8D" w:rsidP="00EB793C">
      <w:pPr>
        <w:rPr>
          <w:rFonts w:eastAsia="Times New Roman" w:cs="Times New Roman"/>
          <w:noProof/>
          <w:lang w:val="en-IE"/>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9"/>
        <w:gridCol w:w="362"/>
        <w:gridCol w:w="1269"/>
        <w:gridCol w:w="1226"/>
      </w:tblGrid>
      <w:tr w:rsidR="00184C8D" w:rsidRPr="00FF63D1" w14:paraId="1F3E3DE9" w14:textId="77777777" w:rsidTr="007F7094">
        <w:trPr>
          <w:trHeight w:val="337"/>
        </w:trPr>
        <w:tc>
          <w:tcPr>
            <w:tcW w:w="5000" w:type="pct"/>
            <w:gridSpan w:val="4"/>
            <w:shd w:val="clear" w:color="auto" w:fill="E2EFDA"/>
            <w:noWrap/>
            <w:vAlign w:val="bottom"/>
            <w:hideMark/>
          </w:tcPr>
          <w:p w14:paraId="59F82207" w14:textId="6BE82C1A" w:rsidR="00184C8D" w:rsidRPr="00FF63D1" w:rsidRDefault="00184C8D">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 xml:space="preserve">EU </w:t>
            </w:r>
            <w:r>
              <w:rPr>
                <w:rFonts w:ascii="Calibri" w:eastAsia="Times New Roman" w:hAnsi="Calibri" w:cs="Calibri"/>
                <w:b/>
                <w:noProof/>
                <w:color w:val="000000"/>
                <w:sz w:val="22"/>
                <w:lang w:eastAsia="en-IE"/>
              </w:rPr>
              <w:t>EV manufacturers in the “</w:t>
            </w:r>
            <w:r w:rsidRPr="00C44135">
              <w:rPr>
                <w:rFonts w:ascii="Calibri" w:eastAsia="Times New Roman" w:hAnsi="Calibri" w:cs="Calibri"/>
                <w:b/>
                <w:noProof/>
                <w:color w:val="000000"/>
                <w:sz w:val="22"/>
                <w:lang w:eastAsia="en-IE"/>
              </w:rPr>
              <w:t>non-EU manufacturers absorb the price increase</w:t>
            </w:r>
            <w:r>
              <w:rPr>
                <w:rFonts w:ascii="Calibri" w:eastAsia="Times New Roman" w:hAnsi="Calibri" w:cs="Calibri"/>
                <w:b/>
                <w:noProof/>
                <w:color w:val="000000"/>
                <w:sz w:val="22"/>
                <w:lang w:eastAsia="en-IE"/>
              </w:rPr>
              <w:t>” scenario</w:t>
            </w:r>
          </w:p>
        </w:tc>
      </w:tr>
      <w:tr w:rsidR="00184C8D" w:rsidRPr="00FF63D1" w14:paraId="50B2E7D1" w14:textId="77777777" w:rsidTr="007F7094">
        <w:trPr>
          <w:trHeight w:val="327"/>
        </w:trPr>
        <w:tc>
          <w:tcPr>
            <w:tcW w:w="3415" w:type="pct"/>
            <w:tcBorders>
              <w:left w:val="nil"/>
              <w:right w:val="nil"/>
            </w:tcBorders>
            <w:shd w:val="clear" w:color="auto" w:fill="FFFFFF" w:themeFill="background1"/>
            <w:noWrap/>
            <w:vAlign w:val="bottom"/>
            <w:hideMark/>
          </w:tcPr>
          <w:p w14:paraId="31D9E58B" w14:textId="452ABB1B" w:rsidR="00184C8D" w:rsidRPr="00FF0C9D"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b/>
                <w:noProof/>
                <w:color w:val="000000"/>
                <w:sz w:val="22"/>
                <w:lang w:eastAsia="en-IE"/>
              </w:rPr>
              <w:t> </w:t>
            </w:r>
            <w:r w:rsidR="000B538E">
              <w:rPr>
                <w:rFonts w:ascii="Calibri" w:eastAsia="Times New Roman" w:hAnsi="Calibri" w:cs="Calibri"/>
                <w:bCs/>
                <w:noProof/>
                <w:color w:val="000000"/>
                <w:sz w:val="22"/>
                <w:lang w:eastAsia="en-IE"/>
              </w:rPr>
              <w:t>In EUR billion</w:t>
            </w:r>
          </w:p>
        </w:tc>
        <w:tc>
          <w:tcPr>
            <w:tcW w:w="201" w:type="pct"/>
            <w:tcBorders>
              <w:left w:val="nil"/>
              <w:right w:val="nil"/>
            </w:tcBorders>
            <w:shd w:val="clear" w:color="auto" w:fill="FFFFFF" w:themeFill="background1"/>
            <w:noWrap/>
            <w:vAlign w:val="bottom"/>
            <w:hideMark/>
          </w:tcPr>
          <w:p w14:paraId="0F47CD6E" w14:textId="77777777" w:rsidR="00184C8D" w:rsidRPr="00FF63D1"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50A0B6D2" w14:textId="77777777" w:rsidR="00184C8D" w:rsidRPr="00FF63D1" w:rsidRDefault="00184C8D">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680" w:type="pct"/>
            <w:tcBorders>
              <w:left w:val="nil"/>
              <w:right w:val="nil"/>
            </w:tcBorders>
            <w:shd w:val="clear" w:color="auto" w:fill="FFFFFF" w:themeFill="background1"/>
            <w:noWrap/>
            <w:vAlign w:val="bottom"/>
            <w:hideMark/>
          </w:tcPr>
          <w:p w14:paraId="40928987" w14:textId="77777777" w:rsidR="00184C8D" w:rsidRPr="00FF63D1" w:rsidRDefault="00184C8D">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184C8D" w:rsidRPr="00FF63D1" w14:paraId="6D20A9B8" w14:textId="77777777" w:rsidTr="007F7094">
        <w:trPr>
          <w:trHeight w:val="327"/>
        </w:trPr>
        <w:tc>
          <w:tcPr>
            <w:tcW w:w="3415" w:type="pct"/>
            <w:tcBorders>
              <w:left w:val="nil"/>
              <w:right w:val="nil"/>
            </w:tcBorders>
            <w:shd w:val="clear" w:color="auto" w:fill="FFFFFF" w:themeFill="background1"/>
            <w:noWrap/>
            <w:vAlign w:val="bottom"/>
            <w:hideMark/>
          </w:tcPr>
          <w:p w14:paraId="7A742CB7" w14:textId="77777777" w:rsidR="00184C8D" w:rsidRPr="00FF63D1" w:rsidRDefault="00184C8D">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55E468FB" w14:textId="77777777" w:rsidR="00184C8D" w:rsidRPr="00FF63D1" w:rsidRDefault="00184C8D">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369C52CE" w14:textId="77777777" w:rsidR="00184C8D" w:rsidRPr="00FF63D1" w:rsidRDefault="00184C8D">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hideMark/>
          </w:tcPr>
          <w:p w14:paraId="262178B6" w14:textId="77777777" w:rsidR="00184C8D" w:rsidRPr="00FF63D1" w:rsidRDefault="00184C8D">
            <w:pPr>
              <w:jc w:val="center"/>
              <w:rPr>
                <w:rFonts w:ascii="Calibri" w:eastAsia="Times New Roman" w:hAnsi="Calibri" w:cs="Calibri"/>
                <w:noProof/>
                <w:color w:val="000000"/>
                <w:sz w:val="22"/>
                <w:lang w:eastAsia="en-IE"/>
              </w:rPr>
            </w:pPr>
          </w:p>
        </w:tc>
      </w:tr>
      <w:tr w:rsidR="00184C8D" w:rsidRPr="00FF63D1" w14:paraId="6D5E8698" w14:textId="77777777" w:rsidTr="007F7094">
        <w:trPr>
          <w:trHeight w:val="327"/>
        </w:trPr>
        <w:tc>
          <w:tcPr>
            <w:tcW w:w="3415" w:type="pct"/>
            <w:tcBorders>
              <w:left w:val="nil"/>
              <w:right w:val="nil"/>
            </w:tcBorders>
            <w:shd w:val="clear" w:color="auto" w:fill="FFFFFF" w:themeFill="background1"/>
            <w:noWrap/>
            <w:vAlign w:val="bottom"/>
          </w:tcPr>
          <w:p w14:paraId="191BDC40" w14:textId="2ABC4DA3" w:rsidR="00184C8D" w:rsidRDefault="00184C8D">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5CDD4602" w14:textId="77777777" w:rsidR="00184C8D" w:rsidRPr="00FF63D1" w:rsidRDefault="00184C8D">
            <w:pPr>
              <w:jc w:val="left"/>
              <w:rPr>
                <w:rFonts w:ascii="Calibri" w:eastAsia="Times New Roman" w:hAnsi="Calibri" w:cs="Calibri"/>
                <w:b/>
                <w:i/>
                <w:noProof/>
                <w:color w:val="000000"/>
                <w:sz w:val="22"/>
                <w:lang w:eastAsia="en-IE"/>
              </w:rPr>
            </w:pPr>
          </w:p>
        </w:tc>
        <w:tc>
          <w:tcPr>
            <w:tcW w:w="704" w:type="pct"/>
            <w:tcBorders>
              <w:left w:val="nil"/>
              <w:right w:val="nil"/>
            </w:tcBorders>
            <w:shd w:val="clear" w:color="auto" w:fill="FFFFFF" w:themeFill="background1"/>
            <w:noWrap/>
            <w:vAlign w:val="bottom"/>
          </w:tcPr>
          <w:p w14:paraId="2FD3B4DC" w14:textId="54988D40" w:rsidR="00184C8D" w:rsidRPr="00FF63D1" w:rsidRDefault="00184C8D">
            <w:pPr>
              <w:jc w:val="center"/>
              <w:rPr>
                <w:rFonts w:ascii="Calibri" w:eastAsia="Times New Roman" w:hAnsi="Calibri" w:cs="Calibri"/>
                <w:noProof/>
                <w:color w:val="000000"/>
                <w:sz w:val="22"/>
                <w:lang w:eastAsia="en-IE"/>
              </w:rPr>
            </w:pPr>
            <w:r w:rsidRPr="00E05FD9">
              <w:rPr>
                <w:rFonts w:ascii="Calibri" w:eastAsia="Times New Roman" w:hAnsi="Calibri" w:cs="Calibri"/>
                <w:noProof/>
                <w:color w:val="000000"/>
                <w:sz w:val="22"/>
                <w:lang w:val="en-IE" w:eastAsia="en-IE"/>
              </w:rPr>
              <w:t>0.0</w:t>
            </w:r>
          </w:p>
        </w:tc>
        <w:tc>
          <w:tcPr>
            <w:tcW w:w="680" w:type="pct"/>
            <w:tcBorders>
              <w:left w:val="nil"/>
              <w:right w:val="nil"/>
            </w:tcBorders>
            <w:shd w:val="clear" w:color="auto" w:fill="FFFFFF" w:themeFill="background1"/>
            <w:noWrap/>
            <w:vAlign w:val="bottom"/>
          </w:tcPr>
          <w:p w14:paraId="67CE389B" w14:textId="08020D54" w:rsidR="00184C8D" w:rsidRPr="00FF63D1" w:rsidRDefault="00184C8D">
            <w:pPr>
              <w:jc w:val="center"/>
              <w:rPr>
                <w:rFonts w:ascii="Calibri" w:eastAsia="Times New Roman" w:hAnsi="Calibri" w:cs="Calibri"/>
                <w:noProof/>
                <w:color w:val="000000"/>
                <w:sz w:val="22"/>
                <w:lang w:eastAsia="en-IE"/>
              </w:rPr>
            </w:pPr>
            <w:r w:rsidRPr="00E05FD9">
              <w:rPr>
                <w:rFonts w:ascii="Calibri" w:eastAsia="Times New Roman" w:hAnsi="Calibri" w:cs="Calibri"/>
                <w:noProof/>
                <w:color w:val="000000"/>
                <w:sz w:val="22"/>
                <w:lang w:val="en-IE" w:eastAsia="en-IE"/>
              </w:rPr>
              <w:t>1.</w:t>
            </w:r>
            <w:r w:rsidR="0082154F" w:rsidRPr="00E05FD9">
              <w:rPr>
                <w:rFonts w:ascii="Calibri" w:eastAsia="Times New Roman" w:hAnsi="Calibri" w:cs="Calibri"/>
                <w:noProof/>
                <w:color w:val="000000"/>
                <w:sz w:val="22"/>
                <w:lang w:val="en-IE" w:eastAsia="en-IE"/>
              </w:rPr>
              <w:t>5</w:t>
            </w:r>
          </w:p>
        </w:tc>
      </w:tr>
      <w:tr w:rsidR="00184C8D" w:rsidRPr="00FF63D1" w14:paraId="75548E5C" w14:textId="77777777" w:rsidTr="007F7094">
        <w:trPr>
          <w:trHeight w:val="327"/>
        </w:trPr>
        <w:tc>
          <w:tcPr>
            <w:tcW w:w="3415" w:type="pct"/>
            <w:tcBorders>
              <w:left w:val="nil"/>
              <w:right w:val="nil"/>
            </w:tcBorders>
            <w:shd w:val="clear" w:color="auto" w:fill="FFFFFF" w:themeFill="background1"/>
            <w:noWrap/>
            <w:vAlign w:val="bottom"/>
            <w:hideMark/>
          </w:tcPr>
          <w:p w14:paraId="5E5E71D3" w14:textId="7E17237D" w:rsidR="00184C8D" w:rsidRPr="00FF63D1"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hideMark/>
          </w:tcPr>
          <w:p w14:paraId="68418830" w14:textId="77777777" w:rsidR="00184C8D" w:rsidRPr="00FF63D1"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35127FCA" w14:textId="2A9485D8" w:rsidR="00184C8D" w:rsidRPr="00FF63D1" w:rsidRDefault="0082154F">
            <w:pPr>
              <w:jc w:val="center"/>
              <w:rPr>
                <w:rFonts w:ascii="Calibri" w:eastAsia="Times New Roman" w:hAnsi="Calibri" w:cs="Calibri"/>
                <w:noProof/>
                <w:color w:val="000000"/>
                <w:sz w:val="22"/>
                <w:lang w:eastAsia="en-IE"/>
              </w:rPr>
            </w:pPr>
            <w:r w:rsidRPr="00E05FD9">
              <w:rPr>
                <w:rFonts w:ascii="Calibri" w:eastAsia="Times New Roman" w:hAnsi="Calibri" w:cs="Calibri"/>
                <w:noProof/>
                <w:color w:val="000000"/>
                <w:sz w:val="22"/>
                <w:lang w:val="en-IE" w:eastAsia="en-IE"/>
              </w:rPr>
              <w:t>2.</w:t>
            </w:r>
            <w:r>
              <w:rPr>
                <w:rFonts w:ascii="Calibri" w:eastAsia="Times New Roman" w:hAnsi="Calibri" w:cs="Calibri"/>
                <w:noProof/>
                <w:color w:val="000000"/>
                <w:sz w:val="22"/>
                <w:lang w:val="en-IE" w:eastAsia="en-IE"/>
              </w:rPr>
              <w:t>0</w:t>
            </w:r>
          </w:p>
        </w:tc>
        <w:tc>
          <w:tcPr>
            <w:tcW w:w="680" w:type="pct"/>
            <w:tcBorders>
              <w:left w:val="nil"/>
              <w:right w:val="nil"/>
            </w:tcBorders>
            <w:shd w:val="clear" w:color="auto" w:fill="FFFFFF" w:themeFill="background1"/>
            <w:noWrap/>
            <w:vAlign w:val="bottom"/>
            <w:hideMark/>
          </w:tcPr>
          <w:p w14:paraId="21BD46DF" w14:textId="00FC895E" w:rsidR="00184C8D" w:rsidRPr="00FF63D1" w:rsidRDefault="0082154F">
            <w:pPr>
              <w:jc w:val="center"/>
              <w:rPr>
                <w:rFonts w:ascii="Calibri" w:eastAsia="Times New Roman" w:hAnsi="Calibri" w:cs="Calibri"/>
                <w:noProof/>
                <w:color w:val="000000"/>
                <w:sz w:val="22"/>
                <w:lang w:eastAsia="en-IE"/>
              </w:rPr>
            </w:pPr>
            <w:r w:rsidRPr="00E05FD9">
              <w:rPr>
                <w:rFonts w:ascii="Calibri" w:eastAsia="Times New Roman" w:hAnsi="Calibri" w:cs="Calibri"/>
                <w:noProof/>
                <w:color w:val="000000"/>
                <w:sz w:val="22"/>
                <w:lang w:val="en-IE" w:eastAsia="en-IE"/>
              </w:rPr>
              <w:t>0.</w:t>
            </w:r>
            <w:r>
              <w:rPr>
                <w:rFonts w:ascii="Calibri" w:eastAsia="Times New Roman" w:hAnsi="Calibri" w:cs="Calibri"/>
                <w:noProof/>
                <w:color w:val="000000"/>
                <w:sz w:val="22"/>
                <w:lang w:val="en-IE" w:eastAsia="en-IE"/>
              </w:rPr>
              <w:t>1</w:t>
            </w:r>
          </w:p>
        </w:tc>
      </w:tr>
      <w:tr w:rsidR="00184C8D" w:rsidRPr="00086326" w14:paraId="630CA997" w14:textId="77777777" w:rsidTr="007F7094">
        <w:trPr>
          <w:trHeight w:val="327"/>
        </w:trPr>
        <w:tc>
          <w:tcPr>
            <w:tcW w:w="3415" w:type="pct"/>
            <w:tcBorders>
              <w:left w:val="nil"/>
              <w:right w:val="nil"/>
            </w:tcBorders>
            <w:shd w:val="clear" w:color="auto" w:fill="FFFFFF" w:themeFill="background1"/>
            <w:noWrap/>
            <w:vAlign w:val="bottom"/>
            <w:hideMark/>
          </w:tcPr>
          <w:p w14:paraId="47E645D9" w14:textId="77777777" w:rsidR="00184C8D" w:rsidRPr="00086326" w:rsidRDefault="00184C8D">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68127B5C" w14:textId="77777777" w:rsidR="00184C8D" w:rsidRPr="00086326" w:rsidRDefault="00184C8D">
            <w:pPr>
              <w:jc w:val="left"/>
              <w:rPr>
                <w:rFonts w:ascii="Calibri" w:eastAsia="Times New Roman" w:hAnsi="Calibri" w:cs="Calibri"/>
                <w:b/>
                <w:i/>
                <w:noProof/>
                <w:color w:val="000000"/>
                <w:sz w:val="22"/>
                <w:lang w:val="fr-BE" w:eastAsia="en-IE"/>
              </w:rPr>
            </w:pPr>
            <w:r w:rsidRPr="00086326">
              <w:rPr>
                <w:rFonts w:ascii="Calibri" w:eastAsia="Times New Roman" w:hAnsi="Calibri" w:cs="Calibri"/>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281356FC" w14:textId="77777777" w:rsidR="00184C8D" w:rsidRPr="00086326" w:rsidRDefault="00184C8D">
            <w:pPr>
              <w:jc w:val="center"/>
              <w:rPr>
                <w:rFonts w:ascii="Calibri" w:eastAsia="Times New Roman" w:hAnsi="Calibri" w:cs="Calibri"/>
                <w:noProof/>
                <w:color w:val="000000"/>
                <w:sz w:val="22"/>
                <w:lang w:val="fr-BE" w:eastAsia="en-IE"/>
              </w:rPr>
            </w:pPr>
          </w:p>
        </w:tc>
        <w:tc>
          <w:tcPr>
            <w:tcW w:w="680" w:type="pct"/>
            <w:tcBorders>
              <w:left w:val="nil"/>
              <w:right w:val="nil"/>
            </w:tcBorders>
            <w:shd w:val="clear" w:color="auto" w:fill="FFFFFF" w:themeFill="background1"/>
            <w:noWrap/>
            <w:vAlign w:val="bottom"/>
            <w:hideMark/>
          </w:tcPr>
          <w:p w14:paraId="08FCBDDE" w14:textId="77777777" w:rsidR="00184C8D" w:rsidRPr="00086326" w:rsidRDefault="00184C8D">
            <w:pPr>
              <w:jc w:val="center"/>
              <w:rPr>
                <w:rFonts w:ascii="Calibri" w:eastAsia="Times New Roman" w:hAnsi="Calibri" w:cs="Calibri"/>
                <w:noProof/>
                <w:color w:val="000000"/>
                <w:sz w:val="22"/>
                <w:lang w:val="fr-BE" w:eastAsia="en-IE"/>
              </w:rPr>
            </w:pPr>
          </w:p>
        </w:tc>
      </w:tr>
      <w:tr w:rsidR="00184C8D" w:rsidRPr="0026006C" w14:paraId="4BD3DBB6" w14:textId="77777777" w:rsidTr="007F7094">
        <w:trPr>
          <w:trHeight w:val="327"/>
        </w:trPr>
        <w:tc>
          <w:tcPr>
            <w:tcW w:w="3415" w:type="pct"/>
            <w:tcBorders>
              <w:left w:val="nil"/>
              <w:right w:val="nil"/>
            </w:tcBorders>
            <w:shd w:val="clear" w:color="auto" w:fill="FFFFFF" w:themeFill="background1"/>
            <w:noWrap/>
            <w:vAlign w:val="bottom"/>
          </w:tcPr>
          <w:p w14:paraId="77D2EBAE" w14:textId="0EDFCE41" w:rsidR="00184C8D" w:rsidRDefault="00184C8D">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71A86CA4" w14:textId="77777777" w:rsidR="00184C8D" w:rsidRPr="0026006C" w:rsidRDefault="00184C8D">
            <w:pPr>
              <w:jc w:val="left"/>
              <w:rPr>
                <w:rFonts w:ascii="Calibri" w:eastAsia="Times New Roman" w:hAnsi="Calibri" w:cs="Calibri"/>
                <w:b/>
                <w:i/>
                <w:noProof/>
                <w:color w:val="000000"/>
                <w:sz w:val="22"/>
                <w:lang w:val="fr-BE"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655CC849" w14:textId="77777777" w:rsidR="00184C8D" w:rsidRPr="0026006C" w:rsidRDefault="00184C8D">
            <w:pPr>
              <w:jc w:val="center"/>
              <w:rPr>
                <w:rFonts w:ascii="Calibri" w:eastAsia="Times New Roman" w:hAnsi="Calibri" w:cs="Calibri"/>
                <w:noProof/>
                <w:color w:val="000000"/>
                <w:sz w:val="22"/>
                <w:lang w:val="fr-BE" w:eastAsia="en-IE"/>
              </w:rPr>
            </w:pPr>
            <w:r w:rsidRPr="00A37DBF">
              <w:rPr>
                <w:rFonts w:ascii="Calibri" w:eastAsia="Times New Roman" w:hAnsi="Calibri" w:cs="Calibri"/>
                <w:noProof/>
                <w:color w:val="000000"/>
                <w:sz w:val="22"/>
                <w:lang w:val="en-IE" w:eastAsia="en-IE"/>
              </w:rPr>
              <w:t>0.0</w:t>
            </w:r>
          </w:p>
        </w:tc>
        <w:tc>
          <w:tcPr>
            <w:tcW w:w="680" w:type="pct"/>
            <w:tcBorders>
              <w:left w:val="nil"/>
              <w:right w:val="nil"/>
            </w:tcBorders>
            <w:shd w:val="clear" w:color="auto" w:fill="FFFFFF" w:themeFill="background1"/>
            <w:noWrap/>
            <w:vAlign w:val="bottom"/>
          </w:tcPr>
          <w:p w14:paraId="337C8A56" w14:textId="77777777" w:rsidR="00184C8D" w:rsidRPr="0026006C" w:rsidRDefault="00184C8D">
            <w:pPr>
              <w:jc w:val="center"/>
              <w:rPr>
                <w:rFonts w:ascii="Calibri" w:eastAsia="Times New Roman" w:hAnsi="Calibri" w:cs="Calibri"/>
                <w:noProof/>
                <w:color w:val="000000"/>
                <w:sz w:val="22"/>
                <w:lang w:val="fr-BE" w:eastAsia="en-IE"/>
              </w:rPr>
            </w:pPr>
            <w:r w:rsidRPr="00A37DBF">
              <w:rPr>
                <w:rFonts w:ascii="Calibri" w:eastAsia="Times New Roman" w:hAnsi="Calibri" w:cs="Calibri"/>
                <w:noProof/>
                <w:color w:val="000000"/>
                <w:sz w:val="22"/>
                <w:lang w:val="en-IE" w:eastAsia="en-IE"/>
              </w:rPr>
              <w:t>0.2</w:t>
            </w:r>
          </w:p>
        </w:tc>
      </w:tr>
      <w:tr w:rsidR="00184C8D" w:rsidRPr="00FF63D1" w14:paraId="63A124A8" w14:textId="77777777" w:rsidTr="007F7094">
        <w:trPr>
          <w:trHeight w:val="327"/>
        </w:trPr>
        <w:tc>
          <w:tcPr>
            <w:tcW w:w="3415" w:type="pct"/>
            <w:tcBorders>
              <w:left w:val="nil"/>
              <w:right w:val="nil"/>
            </w:tcBorders>
            <w:shd w:val="clear" w:color="auto" w:fill="FFFFFF" w:themeFill="background1"/>
            <w:noWrap/>
            <w:vAlign w:val="bottom"/>
            <w:hideMark/>
          </w:tcPr>
          <w:p w14:paraId="19A0A020" w14:textId="7645BC51" w:rsidR="00184C8D" w:rsidRPr="00FF63D1"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hideMark/>
          </w:tcPr>
          <w:p w14:paraId="422B9848" w14:textId="77777777" w:rsidR="00184C8D" w:rsidRPr="00FF63D1"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1D7DE5E3" w14:textId="207E0B04" w:rsidR="00184C8D" w:rsidRPr="00FF63D1" w:rsidRDefault="00F95DDE">
            <w:pPr>
              <w:jc w:val="center"/>
              <w:rPr>
                <w:rFonts w:ascii="Calibri" w:eastAsia="Times New Roman" w:hAnsi="Calibri" w:cs="Calibri"/>
                <w:noProof/>
                <w:color w:val="000000"/>
                <w:sz w:val="22"/>
                <w:lang w:eastAsia="en-IE"/>
              </w:rPr>
            </w:pPr>
            <w:r w:rsidRPr="00A37DBF">
              <w:rPr>
                <w:rFonts w:ascii="Calibri" w:eastAsia="Times New Roman" w:hAnsi="Calibri" w:cs="Calibri"/>
                <w:noProof/>
                <w:color w:val="000000"/>
                <w:sz w:val="22"/>
                <w:lang w:val="en-IE" w:eastAsia="en-IE"/>
              </w:rPr>
              <w:t>0.3</w:t>
            </w:r>
          </w:p>
        </w:tc>
        <w:tc>
          <w:tcPr>
            <w:tcW w:w="680" w:type="pct"/>
            <w:tcBorders>
              <w:left w:val="nil"/>
              <w:right w:val="nil"/>
            </w:tcBorders>
            <w:shd w:val="clear" w:color="auto" w:fill="FFFFFF" w:themeFill="background1"/>
            <w:noWrap/>
            <w:vAlign w:val="bottom"/>
            <w:hideMark/>
          </w:tcPr>
          <w:p w14:paraId="01E9063E" w14:textId="305404C3" w:rsidR="00184C8D" w:rsidRPr="00FF63D1" w:rsidRDefault="00F95DDE">
            <w:pPr>
              <w:jc w:val="center"/>
              <w:rPr>
                <w:rFonts w:ascii="Calibri" w:eastAsia="Times New Roman" w:hAnsi="Calibri" w:cs="Calibri"/>
                <w:noProof/>
                <w:color w:val="000000"/>
                <w:sz w:val="22"/>
                <w:lang w:eastAsia="en-IE"/>
              </w:rPr>
            </w:pPr>
            <w:r w:rsidRPr="00A37DBF">
              <w:rPr>
                <w:rFonts w:ascii="Calibri" w:eastAsia="Times New Roman" w:hAnsi="Calibri" w:cs="Calibri"/>
                <w:noProof/>
                <w:color w:val="000000"/>
                <w:sz w:val="22"/>
                <w:lang w:val="en-IE" w:eastAsia="en-IE"/>
              </w:rPr>
              <w:t>0.</w:t>
            </w:r>
            <w:r w:rsidR="00184C8D" w:rsidRPr="00A37DBF">
              <w:rPr>
                <w:rFonts w:ascii="Calibri" w:eastAsia="Times New Roman" w:hAnsi="Calibri" w:cs="Calibri"/>
                <w:noProof/>
                <w:color w:val="000000"/>
                <w:sz w:val="22"/>
                <w:lang w:val="en-IE" w:eastAsia="en-IE"/>
              </w:rPr>
              <w:t>1</w:t>
            </w:r>
          </w:p>
        </w:tc>
      </w:tr>
      <w:tr w:rsidR="00184C8D" w:rsidRPr="00FF63D1" w14:paraId="1B40426D" w14:textId="77777777" w:rsidTr="007F7094">
        <w:trPr>
          <w:trHeight w:val="327"/>
        </w:trPr>
        <w:tc>
          <w:tcPr>
            <w:tcW w:w="3415" w:type="pct"/>
            <w:tcBorders>
              <w:left w:val="nil"/>
              <w:right w:val="nil"/>
            </w:tcBorders>
            <w:shd w:val="clear" w:color="auto" w:fill="FFFFFF" w:themeFill="background1"/>
            <w:noWrap/>
            <w:vAlign w:val="bottom"/>
          </w:tcPr>
          <w:p w14:paraId="38081A59" w14:textId="77777777" w:rsidR="00184C8D" w:rsidRPr="009C69FA" w:rsidRDefault="00184C8D">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29E7A698" w14:textId="77777777" w:rsidR="00184C8D" w:rsidRPr="00FF63D1" w:rsidRDefault="00184C8D">
            <w:pPr>
              <w:jc w:val="left"/>
              <w:rPr>
                <w:rFonts w:ascii="Calibri" w:eastAsia="Times New Roman" w:hAnsi="Calibri" w:cs="Calibri"/>
                <w:noProof/>
                <w:color w:val="000000"/>
                <w:sz w:val="22"/>
                <w:lang w:eastAsia="en-IE"/>
              </w:rPr>
            </w:pPr>
          </w:p>
        </w:tc>
        <w:tc>
          <w:tcPr>
            <w:tcW w:w="704" w:type="pct"/>
            <w:tcBorders>
              <w:left w:val="nil"/>
              <w:right w:val="nil"/>
            </w:tcBorders>
            <w:shd w:val="clear" w:color="auto" w:fill="FFFFFF" w:themeFill="background1"/>
            <w:noWrap/>
            <w:vAlign w:val="bottom"/>
          </w:tcPr>
          <w:p w14:paraId="36EEDC07" w14:textId="77777777" w:rsidR="00184C8D" w:rsidRPr="00FF63D1" w:rsidRDefault="00184C8D">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tcPr>
          <w:p w14:paraId="047BC4F9" w14:textId="77777777" w:rsidR="00184C8D" w:rsidRPr="00FF63D1" w:rsidRDefault="00184C8D">
            <w:pPr>
              <w:jc w:val="center"/>
              <w:rPr>
                <w:rFonts w:ascii="Calibri" w:eastAsia="Times New Roman" w:hAnsi="Calibri" w:cs="Calibri"/>
                <w:noProof/>
                <w:color w:val="000000"/>
                <w:sz w:val="22"/>
                <w:lang w:eastAsia="en-IE"/>
              </w:rPr>
            </w:pPr>
          </w:p>
        </w:tc>
      </w:tr>
      <w:tr w:rsidR="00184C8D" w:rsidRPr="00FF63D1" w14:paraId="0C41D82C" w14:textId="77777777" w:rsidTr="007F7094">
        <w:trPr>
          <w:trHeight w:val="327"/>
        </w:trPr>
        <w:tc>
          <w:tcPr>
            <w:tcW w:w="3415" w:type="pct"/>
            <w:tcBorders>
              <w:left w:val="nil"/>
              <w:right w:val="nil"/>
            </w:tcBorders>
            <w:shd w:val="clear" w:color="auto" w:fill="FFFFFF" w:themeFill="background1"/>
            <w:noWrap/>
            <w:vAlign w:val="bottom"/>
          </w:tcPr>
          <w:p w14:paraId="0B410B65" w14:textId="4C6F74F1" w:rsidR="00184C8D" w:rsidRDefault="00184C8D">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595ED338" w14:textId="77777777" w:rsidR="00184C8D" w:rsidRPr="00FF63D1"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25D9E7A8" w14:textId="77777777" w:rsidR="00184C8D" w:rsidRPr="00FF63D1" w:rsidRDefault="00184C8D">
            <w:pPr>
              <w:jc w:val="center"/>
              <w:rPr>
                <w:rFonts w:ascii="Calibri" w:eastAsia="Times New Roman" w:hAnsi="Calibri" w:cs="Calibri"/>
                <w:noProof/>
                <w:color w:val="000000"/>
                <w:sz w:val="22"/>
                <w:lang w:eastAsia="en-IE"/>
              </w:rPr>
            </w:pPr>
            <w:r w:rsidRPr="007B3116">
              <w:rPr>
                <w:rFonts w:ascii="Calibri" w:eastAsia="Times New Roman" w:hAnsi="Calibri" w:cs="Calibri"/>
                <w:noProof/>
                <w:color w:val="000000"/>
                <w:sz w:val="22"/>
                <w:lang w:val="en-IE" w:eastAsia="en-IE"/>
              </w:rPr>
              <w:t>0.0</w:t>
            </w:r>
          </w:p>
        </w:tc>
        <w:tc>
          <w:tcPr>
            <w:tcW w:w="680" w:type="pct"/>
            <w:tcBorders>
              <w:left w:val="nil"/>
              <w:right w:val="nil"/>
            </w:tcBorders>
            <w:shd w:val="clear" w:color="auto" w:fill="FFFFFF" w:themeFill="background1"/>
            <w:noWrap/>
            <w:vAlign w:val="bottom"/>
          </w:tcPr>
          <w:p w14:paraId="3398E97B" w14:textId="77777777" w:rsidR="00184C8D" w:rsidRPr="00FF63D1" w:rsidRDefault="00184C8D">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0.</w:t>
            </w:r>
            <w:r w:rsidRPr="007B3116">
              <w:rPr>
                <w:rFonts w:ascii="Calibri" w:eastAsia="Times New Roman" w:hAnsi="Calibri" w:cs="Calibri"/>
                <w:noProof/>
                <w:color w:val="000000"/>
                <w:sz w:val="22"/>
                <w:lang w:val="en-IE" w:eastAsia="en-IE"/>
              </w:rPr>
              <w:t>1</w:t>
            </w:r>
            <w:r>
              <w:rPr>
                <w:rFonts w:ascii="Calibri" w:eastAsia="Times New Roman" w:hAnsi="Calibri" w:cs="Calibri"/>
                <w:noProof/>
                <w:color w:val="000000"/>
                <w:sz w:val="22"/>
                <w:lang w:val="en-IE" w:eastAsia="en-IE"/>
              </w:rPr>
              <w:t>3</w:t>
            </w:r>
          </w:p>
        </w:tc>
      </w:tr>
      <w:tr w:rsidR="00184C8D" w:rsidRPr="00FF63D1" w14:paraId="7E0EC5DF" w14:textId="77777777" w:rsidTr="007F7094">
        <w:trPr>
          <w:trHeight w:val="327"/>
        </w:trPr>
        <w:tc>
          <w:tcPr>
            <w:tcW w:w="3415" w:type="pct"/>
            <w:tcBorders>
              <w:left w:val="nil"/>
              <w:right w:val="nil"/>
            </w:tcBorders>
            <w:shd w:val="clear" w:color="auto" w:fill="FFFFFF" w:themeFill="background1"/>
            <w:noWrap/>
            <w:vAlign w:val="bottom"/>
          </w:tcPr>
          <w:p w14:paraId="550EC435" w14:textId="271162AA" w:rsidR="00184C8D" w:rsidRPr="009C69FA" w:rsidRDefault="00184C8D">
            <w:pPr>
              <w:jc w:val="left"/>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tcPr>
          <w:p w14:paraId="328A163F" w14:textId="77777777" w:rsidR="00184C8D" w:rsidRPr="00FF63D1" w:rsidRDefault="00184C8D">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7684456D" w14:textId="47792D82" w:rsidR="00184C8D" w:rsidRPr="00FF63D1" w:rsidRDefault="00184C8D">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0.</w:t>
            </w:r>
            <w:r w:rsidR="00502427">
              <w:rPr>
                <w:rFonts w:ascii="Calibri" w:eastAsia="Times New Roman" w:hAnsi="Calibri" w:cs="Calibri"/>
                <w:noProof/>
                <w:color w:val="000000"/>
                <w:sz w:val="22"/>
                <w:lang w:val="en-IE" w:eastAsia="en-IE"/>
              </w:rPr>
              <w:t>0</w:t>
            </w:r>
            <w:r w:rsidR="00502427" w:rsidRPr="007B3116">
              <w:rPr>
                <w:rFonts w:ascii="Calibri" w:eastAsia="Times New Roman" w:hAnsi="Calibri" w:cs="Calibri"/>
                <w:noProof/>
                <w:color w:val="000000"/>
                <w:sz w:val="22"/>
                <w:lang w:val="en-IE" w:eastAsia="en-IE"/>
              </w:rPr>
              <w:t>5</w:t>
            </w:r>
            <w:r w:rsidR="00502427">
              <w:rPr>
                <w:rFonts w:ascii="Calibri" w:eastAsia="Times New Roman" w:hAnsi="Calibri" w:cs="Calibri"/>
                <w:noProof/>
                <w:color w:val="000000"/>
                <w:sz w:val="22"/>
                <w:lang w:val="en-IE" w:eastAsia="en-IE"/>
              </w:rPr>
              <w:t>5</w:t>
            </w:r>
          </w:p>
        </w:tc>
        <w:tc>
          <w:tcPr>
            <w:tcW w:w="680" w:type="pct"/>
            <w:tcBorders>
              <w:left w:val="nil"/>
              <w:right w:val="nil"/>
            </w:tcBorders>
            <w:shd w:val="clear" w:color="auto" w:fill="FFFFFF" w:themeFill="background1"/>
            <w:noWrap/>
            <w:vAlign w:val="bottom"/>
          </w:tcPr>
          <w:p w14:paraId="4B685EEF" w14:textId="3F97F140" w:rsidR="00184C8D" w:rsidRPr="00FF63D1" w:rsidRDefault="00184C8D">
            <w:pPr>
              <w:jc w:val="center"/>
              <w:rPr>
                <w:rFonts w:ascii="Calibri" w:eastAsia="Times New Roman" w:hAnsi="Calibri" w:cs="Calibri"/>
                <w:noProof/>
                <w:color w:val="000000"/>
                <w:sz w:val="22"/>
                <w:lang w:eastAsia="en-IE"/>
              </w:rPr>
            </w:pPr>
            <w:r w:rsidRPr="007B3116">
              <w:rPr>
                <w:rFonts w:ascii="Calibri" w:eastAsia="Times New Roman" w:hAnsi="Calibri" w:cs="Calibri"/>
                <w:noProof/>
                <w:color w:val="000000"/>
                <w:sz w:val="22"/>
                <w:lang w:val="en-IE" w:eastAsia="en-IE"/>
              </w:rPr>
              <w:t>-</w:t>
            </w:r>
            <w:r>
              <w:rPr>
                <w:rFonts w:ascii="Calibri" w:eastAsia="Times New Roman" w:hAnsi="Calibri" w:cs="Calibri"/>
                <w:noProof/>
                <w:color w:val="000000"/>
                <w:sz w:val="22"/>
                <w:lang w:val="en-IE" w:eastAsia="en-IE"/>
              </w:rPr>
              <w:t>0.</w:t>
            </w:r>
            <w:r w:rsidR="00502427" w:rsidRPr="007B3116">
              <w:rPr>
                <w:rFonts w:ascii="Calibri" w:eastAsia="Times New Roman" w:hAnsi="Calibri" w:cs="Calibri"/>
                <w:noProof/>
                <w:color w:val="000000"/>
                <w:sz w:val="22"/>
                <w:lang w:val="en-IE" w:eastAsia="en-IE"/>
              </w:rPr>
              <w:t>17</w:t>
            </w:r>
          </w:p>
        </w:tc>
      </w:tr>
    </w:tbl>
    <w:p w14:paraId="4B86BB8D" w14:textId="77777777" w:rsidR="00184C8D" w:rsidRDefault="00184C8D" w:rsidP="00EB793C">
      <w:pPr>
        <w:rPr>
          <w:rFonts w:eastAsia="Times New Roman" w:cs="Times New Roman"/>
          <w:noProof/>
          <w:lang w:val="en-IE"/>
        </w:rPr>
      </w:pPr>
    </w:p>
    <w:p w14:paraId="34F30669" w14:textId="41438BD6" w:rsidR="00EB793C" w:rsidRDefault="00EB793C" w:rsidP="00EB793C">
      <w:pPr>
        <w:rPr>
          <w:noProof/>
        </w:rPr>
      </w:pPr>
      <w:r>
        <w:rPr>
          <w:noProof/>
        </w:rPr>
        <w:t xml:space="preserve">In both scenarios, given the current 70% </w:t>
      </w:r>
      <w:r w:rsidR="000E7F6D">
        <w:rPr>
          <w:noProof/>
        </w:rPr>
        <w:t xml:space="preserve">made in </w:t>
      </w:r>
      <w:r>
        <w:rPr>
          <w:noProof/>
        </w:rPr>
        <w:t>EU, the measure would not lead to any further costs for EU EV manufacturers in 2027.</w:t>
      </w:r>
    </w:p>
    <w:p w14:paraId="7E844EBC" w14:textId="77777777" w:rsidR="00EB793C" w:rsidRDefault="00EB793C" w:rsidP="00EB793C">
      <w:pPr>
        <w:rPr>
          <w:noProof/>
        </w:rPr>
      </w:pPr>
    </w:p>
    <w:p w14:paraId="34CD8D71" w14:textId="44F6B5D8" w:rsidR="00EB793C" w:rsidRDefault="00951D00" w:rsidP="00EB793C">
      <w:pPr>
        <w:rPr>
          <w:noProof/>
        </w:rPr>
      </w:pPr>
      <w:r>
        <w:rPr>
          <w:noProof/>
        </w:rPr>
        <w:t>For passenger cars: u</w:t>
      </w:r>
      <w:r w:rsidR="00EB793C">
        <w:rPr>
          <w:noProof/>
        </w:rPr>
        <w:t xml:space="preserve">nder </w:t>
      </w:r>
      <w:r w:rsidR="00502427">
        <w:rPr>
          <w:noProof/>
        </w:rPr>
        <w:t xml:space="preserve">the </w:t>
      </w:r>
      <w:r w:rsidR="00502427" w:rsidRPr="00E71388">
        <w:rPr>
          <w:rFonts w:eastAsia="Times New Roman" w:cs="Times New Roman"/>
          <w:i/>
          <w:noProof/>
          <w:color w:val="000000"/>
          <w:sz w:val="22"/>
          <w:lang w:eastAsia="en-IE"/>
        </w:rPr>
        <w:t>Non-EU manufacturers absorb the price increase</w:t>
      </w:r>
      <w:r w:rsidR="00502427" w:rsidRPr="00E71388">
        <w:rPr>
          <w:noProof/>
        </w:rPr>
        <w:t xml:space="preserve"> scenario</w:t>
      </w:r>
      <w:r w:rsidR="00EB793C" w:rsidRPr="00E71388">
        <w:rPr>
          <w:noProof/>
        </w:rPr>
        <w:t>,</w:t>
      </w:r>
      <w:r w:rsidR="00EB793C">
        <w:rPr>
          <w:noProof/>
        </w:rPr>
        <w:t xml:space="preserve"> if we assume that non-EU manufacturers fully absorb the relative price increase, EU EV manufacturers will still benefit from a sales increase of </w:t>
      </w:r>
      <w:r w:rsidR="004E00B0" w:rsidRPr="004E00B0">
        <w:rPr>
          <w:noProof/>
        </w:rPr>
        <w:t xml:space="preserve">EUR </w:t>
      </w:r>
      <w:r w:rsidR="00EB793C">
        <w:rPr>
          <w:noProof/>
        </w:rPr>
        <w:t xml:space="preserve">2 billion thanks to the price differential between EU and non-EU manufacturers as a result of reallocation of subsidies. In this scenario, the proposed target for 2030 will lead to a cost increase of </w:t>
      </w:r>
      <w:r w:rsidR="000B538E" w:rsidRPr="000B538E">
        <w:rPr>
          <w:noProof/>
        </w:rPr>
        <w:t xml:space="preserve">EUR </w:t>
      </w:r>
      <w:r w:rsidR="00EB793C">
        <w:rPr>
          <w:noProof/>
        </w:rPr>
        <w:t xml:space="preserve">1.5 billion, however, the projected sales increase will be limited to </w:t>
      </w:r>
      <w:r w:rsidR="000B538E" w:rsidRPr="000B538E">
        <w:rPr>
          <w:noProof/>
        </w:rPr>
        <w:t xml:space="preserve">EUR </w:t>
      </w:r>
      <w:r w:rsidR="00EB793C">
        <w:rPr>
          <w:noProof/>
        </w:rPr>
        <w:t xml:space="preserve">0.1 billion. The sales increase is lower in this scenario because the sales price differential between EU and non-EU cars will be zero as non-EU manufacturers internally absorb the policy. In this scenario, the price-differential is larger than in </w:t>
      </w:r>
      <w:r w:rsidR="00502427">
        <w:rPr>
          <w:noProof/>
        </w:rPr>
        <w:t xml:space="preserve">the </w:t>
      </w:r>
      <w:r w:rsidR="00502427" w:rsidRPr="00E71388">
        <w:rPr>
          <w:i/>
          <w:iCs/>
          <w:noProof/>
        </w:rPr>
        <w:t>Internal market reaction</w:t>
      </w:r>
      <w:r w:rsidR="00502427">
        <w:rPr>
          <w:noProof/>
        </w:rPr>
        <w:t xml:space="preserve"> scenario</w:t>
      </w:r>
      <w:r w:rsidR="00EB793C">
        <w:rPr>
          <w:noProof/>
        </w:rPr>
        <w:t xml:space="preserve">. Under </w:t>
      </w:r>
      <w:r w:rsidR="00502427">
        <w:rPr>
          <w:noProof/>
        </w:rPr>
        <w:t>this scenario</w:t>
      </w:r>
      <w:r w:rsidR="00EB793C">
        <w:rPr>
          <w:noProof/>
        </w:rPr>
        <w:t xml:space="preserve">, the non-EU EV manufacturers reduce their margins </w:t>
      </w:r>
      <w:r w:rsidR="005F3121">
        <w:rPr>
          <w:noProof/>
        </w:rPr>
        <w:t>to</w:t>
      </w:r>
      <w:r w:rsidR="00EB793C">
        <w:rPr>
          <w:noProof/>
        </w:rPr>
        <w:t xml:space="preserve"> absorb the price differential, hence it will come at a cost for them</w:t>
      </w:r>
      <w:r w:rsidR="009F00DE">
        <w:rPr>
          <w:noProof/>
        </w:rPr>
        <w:t>, hence it</w:t>
      </w:r>
      <w:r w:rsidR="00EB793C">
        <w:rPr>
          <w:noProof/>
        </w:rPr>
        <w:t xml:space="preserve"> comes at a higher cost for non-EU manufactures. However, as there are still large positive benefits in 2027 for the EU manufacturers, cumulative gains may still be positive even under </w:t>
      </w:r>
      <w:r w:rsidR="009F00DE">
        <w:rPr>
          <w:noProof/>
        </w:rPr>
        <w:t xml:space="preserve">the </w:t>
      </w:r>
      <w:r w:rsidR="009F00DE" w:rsidRPr="00E71388">
        <w:rPr>
          <w:rFonts w:eastAsia="Times New Roman" w:cs="Times New Roman"/>
          <w:i/>
          <w:noProof/>
          <w:color w:val="000000"/>
          <w:sz w:val="22"/>
          <w:lang w:eastAsia="en-IE"/>
        </w:rPr>
        <w:t>Non-EU manufacturers absorb the price increase</w:t>
      </w:r>
      <w:r w:rsidR="009F00DE" w:rsidRPr="00086326">
        <w:rPr>
          <w:noProof/>
        </w:rPr>
        <w:t xml:space="preserve"> scenario</w:t>
      </w:r>
      <w:r w:rsidR="009F00DE">
        <w:rPr>
          <w:noProof/>
        </w:rPr>
        <w:t>.</w:t>
      </w:r>
    </w:p>
    <w:p w14:paraId="4633C748" w14:textId="77777777" w:rsidR="00EB793C" w:rsidRDefault="00EB793C" w:rsidP="00EB793C">
      <w:pPr>
        <w:rPr>
          <w:noProof/>
        </w:rPr>
      </w:pPr>
    </w:p>
    <w:p w14:paraId="36DC30F6" w14:textId="4A0A72C6" w:rsidR="00EB793C" w:rsidRDefault="009F00DE" w:rsidP="00EB793C">
      <w:pPr>
        <w:rPr>
          <w:noProof/>
        </w:rPr>
      </w:pPr>
      <w:r>
        <w:rPr>
          <w:noProof/>
        </w:rPr>
        <w:t>For LCVs:</w:t>
      </w:r>
      <w:r w:rsidR="00EB793C">
        <w:rPr>
          <w:noProof/>
        </w:rPr>
        <w:t xml:space="preserve"> if we assume that non-EU manufacturers fully absorb the relative price increase, EU manufacturers of light commercial vehicles will still benefit from a sales increase of </w:t>
      </w:r>
      <w:r w:rsidR="004E00B0" w:rsidRPr="004E00B0">
        <w:rPr>
          <w:noProof/>
        </w:rPr>
        <w:t xml:space="preserve">EUR </w:t>
      </w:r>
      <w:r w:rsidR="00EB793C">
        <w:rPr>
          <w:noProof/>
        </w:rPr>
        <w:t xml:space="preserve">0.3 billion in 2027. In this scenario, the proposed target for 2030 will lead to a cost increase of </w:t>
      </w:r>
      <w:r w:rsidR="00326B64" w:rsidRPr="00326B64">
        <w:rPr>
          <w:noProof/>
        </w:rPr>
        <w:t xml:space="preserve">EUR </w:t>
      </w:r>
      <w:r w:rsidR="00EB793C">
        <w:rPr>
          <w:noProof/>
        </w:rPr>
        <w:t xml:space="preserve">0.2 billion, whereas the projected sales increase will be limited to </w:t>
      </w:r>
      <w:r w:rsidR="004E00B0" w:rsidRPr="004E00B0">
        <w:rPr>
          <w:noProof/>
        </w:rPr>
        <w:t xml:space="preserve">EUR </w:t>
      </w:r>
      <w:r w:rsidR="00EB793C">
        <w:rPr>
          <w:noProof/>
        </w:rPr>
        <w:t xml:space="preserve">0.1 billion </w:t>
      </w:r>
      <w:r w:rsidR="00E326C2">
        <w:rPr>
          <w:noProof/>
        </w:rPr>
        <w:t>because</w:t>
      </w:r>
      <w:r w:rsidR="00EB793C">
        <w:rPr>
          <w:noProof/>
        </w:rPr>
        <w:t xml:space="preserve"> non-EU manufacturers would need to reduce their margins to absorb the price differential.</w:t>
      </w:r>
      <w:r w:rsidR="00EB793C" w:rsidDel="00CC1615">
        <w:rPr>
          <w:noProof/>
        </w:rPr>
        <w:t xml:space="preserve"> </w:t>
      </w:r>
    </w:p>
    <w:p w14:paraId="384F1573" w14:textId="77777777" w:rsidR="00EB793C" w:rsidRPr="00244DD5" w:rsidRDefault="00EB793C" w:rsidP="00EB793C">
      <w:pPr>
        <w:rPr>
          <w:noProof/>
        </w:rPr>
      </w:pPr>
    </w:p>
    <w:p w14:paraId="134ABA7D" w14:textId="3CA38E68" w:rsidR="00EB793C" w:rsidRDefault="00EB793C" w:rsidP="00EB793C">
      <w:pPr>
        <w:rPr>
          <w:noProof/>
        </w:rPr>
      </w:pPr>
      <w:r>
        <w:rPr>
          <w:noProof/>
        </w:rPr>
        <w:t xml:space="preserve">Under </w:t>
      </w:r>
      <w:r w:rsidR="00DF544A">
        <w:rPr>
          <w:noProof/>
        </w:rPr>
        <w:t xml:space="preserve">the </w:t>
      </w:r>
      <w:r w:rsidR="00A83F33" w:rsidRPr="617D0D8B">
        <w:rPr>
          <w:rFonts w:eastAsia="Times New Roman" w:cs="Times New Roman"/>
          <w:i/>
          <w:noProof/>
          <w:color w:val="000000" w:themeColor="text1"/>
          <w:sz w:val="22"/>
          <w:lang w:eastAsia="en-IE"/>
        </w:rPr>
        <w:t>Non-EU manufacturers absorb the price increase</w:t>
      </w:r>
      <w:r w:rsidR="00DF544A" w:rsidRPr="00E71388">
        <w:rPr>
          <w:rFonts w:eastAsia="Times New Roman" w:cs="Times New Roman"/>
          <w:noProof/>
          <w:color w:val="000000" w:themeColor="text1"/>
          <w:sz w:val="22"/>
          <w:lang w:eastAsia="en-IE"/>
        </w:rPr>
        <w:t xml:space="preserve"> scenario</w:t>
      </w:r>
      <w:r w:rsidRPr="00AC1CD0">
        <w:rPr>
          <w:b/>
          <w:noProof/>
        </w:rPr>
        <w:t>,</w:t>
      </w:r>
      <w:r>
        <w:rPr>
          <w:noProof/>
        </w:rPr>
        <w:t xml:space="preserve"> if we assume that non-EU manufacturers fully absorb the relative price increase, EU EV HDV manufacturers will still benefit from a sales increase of </w:t>
      </w:r>
      <w:r w:rsidR="00326B64" w:rsidRPr="00326B64">
        <w:rPr>
          <w:noProof/>
        </w:rPr>
        <w:t xml:space="preserve">EUR </w:t>
      </w:r>
      <w:r>
        <w:rPr>
          <w:noProof/>
        </w:rPr>
        <w:t xml:space="preserve">54.9 million. In this scenario, the proposed target for 2030 will still lead to a cost increase of </w:t>
      </w:r>
      <w:r w:rsidR="00326B64" w:rsidRPr="00326B64">
        <w:rPr>
          <w:noProof/>
        </w:rPr>
        <w:t xml:space="preserve">EUR </w:t>
      </w:r>
      <w:r>
        <w:rPr>
          <w:noProof/>
        </w:rPr>
        <w:t>129 million, and this is going to be accompanied by a projected sales reduction for EU EV HDV manufacturers (-172 million euro) as a worst-case scenario. As sales of electric HDVs increase over time, the amount of subsidy taken into account in the assumptions may be insufficient to offset the negative impact of this measure.</w:t>
      </w:r>
    </w:p>
    <w:p w14:paraId="689B271A" w14:textId="2FFC8F17" w:rsidR="0044272D" w:rsidRDefault="0044272D" w:rsidP="00EB793C">
      <w:pPr>
        <w:rPr>
          <w:noProof/>
        </w:rPr>
      </w:pPr>
    </w:p>
    <w:p w14:paraId="4989ED1F" w14:textId="289D8B8A" w:rsidR="0044272D" w:rsidRPr="00086326" w:rsidRDefault="0044272D" w:rsidP="617D0D8B">
      <w:pPr>
        <w:rPr>
          <w:rFonts w:eastAsia="Times New Roman"/>
          <w:i/>
          <w:iCs/>
          <w:noProof/>
        </w:rPr>
      </w:pPr>
      <w:r w:rsidRPr="617D0D8B">
        <w:rPr>
          <w:rFonts w:eastAsia="Times New Roman"/>
          <w:i/>
          <w:iCs/>
          <w:noProof/>
        </w:rPr>
        <w:t xml:space="preserve">Global Added Value: </w:t>
      </w:r>
    </w:p>
    <w:p w14:paraId="4B5A95A1" w14:textId="495701C2" w:rsidR="0044272D" w:rsidRDefault="0044272D" w:rsidP="0044272D">
      <w:pPr>
        <w:rPr>
          <w:rFonts w:eastAsia="Times New Roman"/>
          <w:noProof/>
        </w:rPr>
      </w:pPr>
    </w:p>
    <w:tbl>
      <w:tblPr>
        <w:tblW w:w="5000" w:type="pct"/>
        <w:tblLook w:val="04A0" w:firstRow="1" w:lastRow="0" w:firstColumn="1" w:lastColumn="0" w:noHBand="0" w:noVBand="1"/>
      </w:tblPr>
      <w:tblGrid>
        <w:gridCol w:w="7213"/>
        <w:gridCol w:w="301"/>
        <w:gridCol w:w="752"/>
        <w:gridCol w:w="750"/>
      </w:tblGrid>
      <w:tr w:rsidR="0044272D" w:rsidRPr="007255E8" w14:paraId="289384E6" w14:textId="77777777" w:rsidTr="007F7094">
        <w:trPr>
          <w:trHeight w:val="290"/>
        </w:trPr>
        <w:tc>
          <w:tcPr>
            <w:tcW w:w="5000" w:type="pct"/>
            <w:gridSpan w:val="4"/>
            <w:tcBorders>
              <w:top w:val="single" w:sz="4" w:space="0" w:color="auto"/>
              <w:left w:val="single" w:sz="4" w:space="0" w:color="auto"/>
              <w:bottom w:val="single" w:sz="4" w:space="0" w:color="auto"/>
              <w:right w:val="single" w:sz="4" w:space="0" w:color="000000"/>
            </w:tcBorders>
            <w:shd w:val="clear" w:color="000000" w:fill="E2EFDA"/>
            <w:noWrap/>
            <w:vAlign w:val="bottom"/>
            <w:hideMark/>
          </w:tcPr>
          <w:p w14:paraId="6D2B1362" w14:textId="5BDA4C8D" w:rsidR="0044272D" w:rsidRPr="007255E8" w:rsidRDefault="0044272D">
            <w:pPr>
              <w:jc w:val="center"/>
              <w:rPr>
                <w:rFonts w:ascii="Calibri" w:eastAsia="Times New Roman" w:hAnsi="Calibri" w:cs="Calibri"/>
                <w:b/>
                <w:bCs/>
                <w:noProof/>
                <w:color w:val="000000"/>
                <w:sz w:val="22"/>
                <w:lang w:val="en-IE" w:eastAsia="en-IE"/>
              </w:rPr>
            </w:pPr>
            <w:r w:rsidRPr="007255E8">
              <w:rPr>
                <w:rFonts w:ascii="Calibri" w:eastAsia="Times New Roman" w:hAnsi="Calibri" w:cs="Calibri"/>
                <w:b/>
                <w:bCs/>
                <w:noProof/>
                <w:color w:val="000000"/>
                <w:sz w:val="22"/>
                <w:lang w:val="en-IE" w:eastAsia="en-IE"/>
              </w:rPr>
              <w:t>Value Added</w:t>
            </w:r>
            <w:r w:rsidR="000B538E">
              <w:rPr>
                <w:rFonts w:ascii="Calibri" w:eastAsia="Times New Roman" w:hAnsi="Calibri" w:cs="Calibri"/>
                <w:b/>
                <w:bCs/>
                <w:noProof/>
                <w:color w:val="000000"/>
                <w:sz w:val="22"/>
                <w:lang w:val="en-IE" w:eastAsia="en-IE"/>
              </w:rPr>
              <w:t xml:space="preserve"> in EUR billion</w:t>
            </w:r>
          </w:p>
        </w:tc>
      </w:tr>
      <w:tr w:rsidR="0044272D" w:rsidRPr="007255E8" w14:paraId="07496314" w14:textId="77777777" w:rsidTr="007F7094">
        <w:trPr>
          <w:trHeight w:val="290"/>
        </w:trPr>
        <w:tc>
          <w:tcPr>
            <w:tcW w:w="4000" w:type="pct"/>
            <w:tcBorders>
              <w:top w:val="nil"/>
              <w:left w:val="nil"/>
              <w:bottom w:val="single" w:sz="4" w:space="0" w:color="auto"/>
              <w:right w:val="nil"/>
            </w:tcBorders>
            <w:shd w:val="clear" w:color="000000" w:fill="FFFFFF"/>
            <w:noWrap/>
            <w:vAlign w:val="bottom"/>
            <w:hideMark/>
          </w:tcPr>
          <w:p w14:paraId="3E5E2D6B" w14:textId="77777777" w:rsidR="0044272D" w:rsidRPr="00E71388" w:rsidRDefault="0044272D">
            <w:pPr>
              <w:jc w:val="left"/>
              <w:rPr>
                <w:rFonts w:ascii="Calibri" w:eastAsia="Times New Roman" w:hAnsi="Calibri" w:cs="Calibri"/>
                <w:b/>
                <w:bCs/>
                <w:i/>
                <w:iCs/>
                <w:noProof/>
                <w:color w:val="000000"/>
                <w:sz w:val="22"/>
                <w:lang w:val="en-IE" w:eastAsia="en-IE"/>
              </w:rPr>
            </w:pPr>
            <w:r w:rsidRPr="00567914">
              <w:rPr>
                <w:rFonts w:ascii="Calibri" w:eastAsia="Times New Roman" w:hAnsi="Calibri" w:cs="Calibri"/>
                <w:b/>
                <w:bCs/>
                <w:i/>
                <w:iCs/>
                <w:noProof/>
                <w:color w:val="000000"/>
                <w:sz w:val="22"/>
                <w:lang w:eastAsia="en-IE"/>
              </w:rPr>
              <w:t>Non-EU manufacturers absorb the price increase</w:t>
            </w:r>
          </w:p>
        </w:tc>
        <w:tc>
          <w:tcPr>
            <w:tcW w:w="167" w:type="pct"/>
            <w:tcBorders>
              <w:top w:val="nil"/>
              <w:left w:val="nil"/>
              <w:bottom w:val="nil"/>
              <w:right w:val="nil"/>
            </w:tcBorders>
            <w:noWrap/>
            <w:vAlign w:val="bottom"/>
            <w:hideMark/>
          </w:tcPr>
          <w:p w14:paraId="3E012EBF" w14:textId="77777777" w:rsidR="0044272D" w:rsidRPr="00E71388" w:rsidRDefault="0044272D">
            <w:pPr>
              <w:jc w:val="left"/>
              <w:rPr>
                <w:rFonts w:ascii="Calibri" w:eastAsia="Times New Roman" w:hAnsi="Calibri" w:cs="Calibri"/>
                <w:b/>
                <w:bCs/>
                <w:i/>
                <w:iCs/>
                <w:noProof/>
                <w:color w:val="000000"/>
                <w:sz w:val="22"/>
                <w:lang w:val="en-IE" w:eastAsia="en-IE"/>
              </w:rPr>
            </w:pPr>
          </w:p>
        </w:tc>
        <w:tc>
          <w:tcPr>
            <w:tcW w:w="417" w:type="pct"/>
            <w:tcBorders>
              <w:top w:val="nil"/>
              <w:left w:val="nil"/>
              <w:bottom w:val="nil"/>
              <w:right w:val="nil"/>
            </w:tcBorders>
            <w:noWrap/>
            <w:vAlign w:val="bottom"/>
            <w:hideMark/>
          </w:tcPr>
          <w:p w14:paraId="4E6B3D29" w14:textId="77777777" w:rsidR="0044272D" w:rsidRPr="007255E8" w:rsidRDefault="0044272D">
            <w:pPr>
              <w:jc w:val="left"/>
              <w:rPr>
                <w:rFonts w:eastAsia="Times New Roman" w:cs="Times New Roman"/>
                <w:noProof/>
                <w:sz w:val="20"/>
                <w:szCs w:val="20"/>
                <w:lang w:val="en-IE" w:eastAsia="en-IE"/>
              </w:rPr>
            </w:pPr>
            <w:r w:rsidRPr="007255E8">
              <w:rPr>
                <w:rFonts w:ascii="Calibri" w:eastAsia="Times New Roman" w:hAnsi="Calibri" w:cs="Calibri"/>
                <w:b/>
                <w:bCs/>
                <w:noProof/>
                <w:color w:val="000000"/>
                <w:sz w:val="22"/>
                <w:lang w:val="en-IE" w:eastAsia="en-IE"/>
              </w:rPr>
              <w:t>2027</w:t>
            </w:r>
          </w:p>
        </w:tc>
        <w:tc>
          <w:tcPr>
            <w:tcW w:w="417" w:type="pct"/>
            <w:tcBorders>
              <w:top w:val="nil"/>
              <w:left w:val="nil"/>
              <w:bottom w:val="nil"/>
              <w:right w:val="nil"/>
            </w:tcBorders>
            <w:noWrap/>
            <w:vAlign w:val="bottom"/>
            <w:hideMark/>
          </w:tcPr>
          <w:p w14:paraId="03163DB1" w14:textId="77777777" w:rsidR="0044272D" w:rsidRPr="007255E8" w:rsidRDefault="0044272D">
            <w:pPr>
              <w:jc w:val="left"/>
              <w:rPr>
                <w:rFonts w:eastAsia="Times New Roman" w:cs="Times New Roman"/>
                <w:noProof/>
                <w:sz w:val="20"/>
                <w:szCs w:val="20"/>
                <w:lang w:val="en-IE" w:eastAsia="en-IE"/>
              </w:rPr>
            </w:pPr>
            <w:r w:rsidRPr="007255E8">
              <w:rPr>
                <w:rFonts w:ascii="Calibri" w:eastAsia="Times New Roman" w:hAnsi="Calibri" w:cs="Calibri"/>
                <w:b/>
                <w:bCs/>
                <w:noProof/>
                <w:color w:val="000000"/>
                <w:sz w:val="22"/>
                <w:lang w:val="en-IE" w:eastAsia="en-IE"/>
              </w:rPr>
              <w:t>2030</w:t>
            </w:r>
          </w:p>
        </w:tc>
      </w:tr>
      <w:tr w:rsidR="0044272D" w:rsidRPr="007255E8" w14:paraId="7E950851" w14:textId="77777777" w:rsidTr="007F7094">
        <w:trPr>
          <w:trHeight w:val="290"/>
        </w:trPr>
        <w:tc>
          <w:tcPr>
            <w:tcW w:w="4000" w:type="pct"/>
            <w:tcBorders>
              <w:top w:val="nil"/>
              <w:left w:val="nil"/>
              <w:bottom w:val="nil"/>
              <w:right w:val="nil"/>
            </w:tcBorders>
            <w:shd w:val="clear" w:color="000000" w:fill="FFFFFF"/>
            <w:noWrap/>
            <w:vAlign w:val="bottom"/>
            <w:hideMark/>
          </w:tcPr>
          <w:p w14:paraId="256ABD74" w14:textId="513A1BD2" w:rsidR="0044272D" w:rsidRPr="007255E8" w:rsidRDefault="0044272D">
            <w:pPr>
              <w:jc w:val="left"/>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 xml:space="preserve">   automotive</w:t>
            </w:r>
          </w:p>
        </w:tc>
        <w:tc>
          <w:tcPr>
            <w:tcW w:w="167" w:type="pct"/>
            <w:tcBorders>
              <w:top w:val="nil"/>
              <w:left w:val="nil"/>
              <w:bottom w:val="nil"/>
              <w:right w:val="nil"/>
            </w:tcBorders>
            <w:noWrap/>
            <w:vAlign w:val="bottom"/>
            <w:hideMark/>
          </w:tcPr>
          <w:p w14:paraId="0AF2C4AE" w14:textId="77777777" w:rsidR="0044272D" w:rsidRPr="007255E8" w:rsidRDefault="0044272D">
            <w:pPr>
              <w:jc w:val="left"/>
              <w:rPr>
                <w:rFonts w:ascii="Calibri" w:eastAsia="Times New Roman" w:hAnsi="Calibri" w:cs="Calibri"/>
                <w:noProof/>
                <w:color w:val="000000"/>
                <w:sz w:val="22"/>
                <w:lang w:val="en-IE" w:eastAsia="en-IE"/>
              </w:rPr>
            </w:pPr>
          </w:p>
        </w:tc>
        <w:tc>
          <w:tcPr>
            <w:tcW w:w="417" w:type="pct"/>
            <w:tcBorders>
              <w:top w:val="nil"/>
              <w:left w:val="nil"/>
              <w:bottom w:val="nil"/>
              <w:right w:val="nil"/>
            </w:tcBorders>
            <w:shd w:val="clear" w:color="000000" w:fill="FFFFFF"/>
            <w:noWrap/>
            <w:vAlign w:val="bottom"/>
            <w:hideMark/>
          </w:tcPr>
          <w:p w14:paraId="1E6FFE9F"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0.5</w:t>
            </w:r>
          </w:p>
        </w:tc>
        <w:tc>
          <w:tcPr>
            <w:tcW w:w="417" w:type="pct"/>
            <w:tcBorders>
              <w:top w:val="nil"/>
              <w:left w:val="nil"/>
              <w:bottom w:val="nil"/>
              <w:right w:val="nil"/>
            </w:tcBorders>
            <w:shd w:val="clear" w:color="000000" w:fill="FFFFFF"/>
            <w:noWrap/>
            <w:vAlign w:val="bottom"/>
            <w:hideMark/>
          </w:tcPr>
          <w:p w14:paraId="4987ECD2"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0.0</w:t>
            </w:r>
          </w:p>
        </w:tc>
      </w:tr>
      <w:tr w:rsidR="0044272D" w:rsidRPr="007255E8" w14:paraId="177B391B" w14:textId="77777777" w:rsidTr="007F7094">
        <w:trPr>
          <w:trHeight w:val="290"/>
        </w:trPr>
        <w:tc>
          <w:tcPr>
            <w:tcW w:w="4000" w:type="pct"/>
            <w:tcBorders>
              <w:top w:val="nil"/>
              <w:left w:val="nil"/>
              <w:bottom w:val="nil"/>
              <w:right w:val="nil"/>
            </w:tcBorders>
            <w:shd w:val="clear" w:color="000000" w:fill="FFFFFF"/>
            <w:noWrap/>
            <w:vAlign w:val="bottom"/>
            <w:hideMark/>
          </w:tcPr>
          <w:p w14:paraId="366D13A5" w14:textId="3D4A3536" w:rsidR="0044272D" w:rsidRPr="007255E8" w:rsidRDefault="0044272D">
            <w:pPr>
              <w:jc w:val="left"/>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 xml:space="preserve">   intermediate</w:t>
            </w:r>
          </w:p>
        </w:tc>
        <w:tc>
          <w:tcPr>
            <w:tcW w:w="167" w:type="pct"/>
            <w:tcBorders>
              <w:top w:val="nil"/>
              <w:left w:val="nil"/>
              <w:bottom w:val="nil"/>
              <w:right w:val="nil"/>
            </w:tcBorders>
            <w:noWrap/>
            <w:vAlign w:val="bottom"/>
            <w:hideMark/>
          </w:tcPr>
          <w:p w14:paraId="1197837A" w14:textId="77777777" w:rsidR="0044272D" w:rsidRPr="007255E8" w:rsidRDefault="0044272D">
            <w:pPr>
              <w:jc w:val="left"/>
              <w:rPr>
                <w:rFonts w:ascii="Calibri" w:eastAsia="Times New Roman" w:hAnsi="Calibri" w:cs="Calibri"/>
                <w:noProof/>
                <w:color w:val="000000"/>
                <w:sz w:val="22"/>
                <w:lang w:val="en-IE" w:eastAsia="en-IE"/>
              </w:rPr>
            </w:pPr>
          </w:p>
        </w:tc>
        <w:tc>
          <w:tcPr>
            <w:tcW w:w="417" w:type="pct"/>
            <w:tcBorders>
              <w:top w:val="nil"/>
              <w:left w:val="nil"/>
              <w:bottom w:val="nil"/>
              <w:right w:val="nil"/>
            </w:tcBorders>
            <w:shd w:val="clear" w:color="000000" w:fill="FFFFFF"/>
            <w:noWrap/>
            <w:vAlign w:val="bottom"/>
            <w:hideMark/>
          </w:tcPr>
          <w:p w14:paraId="7C9B8D53"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0.4</w:t>
            </w:r>
          </w:p>
        </w:tc>
        <w:tc>
          <w:tcPr>
            <w:tcW w:w="417" w:type="pct"/>
            <w:tcBorders>
              <w:top w:val="nil"/>
              <w:left w:val="nil"/>
              <w:bottom w:val="nil"/>
              <w:right w:val="nil"/>
            </w:tcBorders>
            <w:shd w:val="clear" w:color="000000" w:fill="FFFFFF"/>
            <w:noWrap/>
            <w:vAlign w:val="bottom"/>
            <w:hideMark/>
          </w:tcPr>
          <w:p w14:paraId="76899738"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0.7</w:t>
            </w:r>
          </w:p>
        </w:tc>
      </w:tr>
      <w:tr w:rsidR="0044272D" w:rsidRPr="007255E8" w14:paraId="0E8EF708" w14:textId="77777777" w:rsidTr="007F7094">
        <w:trPr>
          <w:trHeight w:val="290"/>
        </w:trPr>
        <w:tc>
          <w:tcPr>
            <w:tcW w:w="4000" w:type="pct"/>
            <w:tcBorders>
              <w:top w:val="nil"/>
              <w:left w:val="nil"/>
              <w:bottom w:val="nil"/>
              <w:right w:val="nil"/>
            </w:tcBorders>
            <w:shd w:val="clear" w:color="000000" w:fill="FFFFFF"/>
            <w:noWrap/>
            <w:vAlign w:val="bottom"/>
            <w:hideMark/>
          </w:tcPr>
          <w:p w14:paraId="6D4A7ABA" w14:textId="207B2127" w:rsidR="0044272D" w:rsidRPr="007255E8" w:rsidRDefault="0044272D">
            <w:pPr>
              <w:jc w:val="left"/>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 xml:space="preserve">   Global value added</w:t>
            </w:r>
            <w:r w:rsidR="000B538E">
              <w:rPr>
                <w:rFonts w:ascii="Calibri" w:eastAsia="Times New Roman" w:hAnsi="Calibri" w:cs="Calibri"/>
                <w:noProof/>
                <w:color w:val="000000"/>
                <w:sz w:val="22"/>
                <w:lang w:val="en-IE" w:eastAsia="en-IE"/>
              </w:rPr>
              <w:t xml:space="preserve"> </w:t>
            </w:r>
            <w:r w:rsidRPr="007255E8">
              <w:rPr>
                <w:rFonts w:ascii="Calibri" w:eastAsia="Times New Roman" w:hAnsi="Calibri" w:cs="Calibri"/>
                <w:noProof/>
                <w:color w:val="000000"/>
                <w:sz w:val="22"/>
                <w:lang w:val="en-IE" w:eastAsia="en-IE"/>
              </w:rPr>
              <w:t>- Only first round of Value Chain</w:t>
            </w:r>
          </w:p>
        </w:tc>
        <w:tc>
          <w:tcPr>
            <w:tcW w:w="167" w:type="pct"/>
            <w:tcBorders>
              <w:top w:val="nil"/>
              <w:left w:val="nil"/>
              <w:bottom w:val="nil"/>
              <w:right w:val="nil"/>
            </w:tcBorders>
            <w:noWrap/>
            <w:vAlign w:val="bottom"/>
            <w:hideMark/>
          </w:tcPr>
          <w:p w14:paraId="5D531B11" w14:textId="77777777" w:rsidR="0044272D" w:rsidRPr="007255E8" w:rsidRDefault="0044272D">
            <w:pPr>
              <w:jc w:val="left"/>
              <w:rPr>
                <w:rFonts w:ascii="Calibri" w:eastAsia="Times New Roman" w:hAnsi="Calibri" w:cs="Calibri"/>
                <w:noProof/>
                <w:color w:val="000000"/>
                <w:sz w:val="22"/>
                <w:lang w:val="en-IE" w:eastAsia="en-IE"/>
              </w:rPr>
            </w:pPr>
          </w:p>
        </w:tc>
        <w:tc>
          <w:tcPr>
            <w:tcW w:w="417" w:type="pct"/>
            <w:tcBorders>
              <w:top w:val="nil"/>
              <w:left w:val="nil"/>
              <w:bottom w:val="nil"/>
              <w:right w:val="nil"/>
            </w:tcBorders>
            <w:shd w:val="clear" w:color="000000" w:fill="FFFFFF"/>
            <w:noWrap/>
            <w:vAlign w:val="bottom"/>
            <w:hideMark/>
          </w:tcPr>
          <w:p w14:paraId="584251C9"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0.9</w:t>
            </w:r>
          </w:p>
        </w:tc>
        <w:tc>
          <w:tcPr>
            <w:tcW w:w="417" w:type="pct"/>
            <w:tcBorders>
              <w:top w:val="nil"/>
              <w:left w:val="nil"/>
              <w:bottom w:val="nil"/>
              <w:right w:val="nil"/>
            </w:tcBorders>
            <w:shd w:val="clear" w:color="000000" w:fill="FFFFFF"/>
            <w:noWrap/>
            <w:vAlign w:val="bottom"/>
            <w:hideMark/>
          </w:tcPr>
          <w:p w14:paraId="03487A78"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0.7</w:t>
            </w:r>
          </w:p>
        </w:tc>
      </w:tr>
      <w:tr w:rsidR="0044272D" w:rsidRPr="007255E8" w14:paraId="37C25375" w14:textId="77777777" w:rsidTr="007F7094">
        <w:trPr>
          <w:trHeight w:val="290"/>
        </w:trPr>
        <w:tc>
          <w:tcPr>
            <w:tcW w:w="4000" w:type="pct"/>
            <w:tcBorders>
              <w:top w:val="nil"/>
              <w:left w:val="nil"/>
              <w:bottom w:val="single" w:sz="4" w:space="0" w:color="auto"/>
              <w:right w:val="nil"/>
            </w:tcBorders>
            <w:shd w:val="clear" w:color="000000" w:fill="FFFFFF"/>
            <w:noWrap/>
            <w:vAlign w:val="bottom"/>
            <w:hideMark/>
          </w:tcPr>
          <w:p w14:paraId="1DA7B28C" w14:textId="789F3FAE" w:rsidR="0044272D" w:rsidRPr="007255E8" w:rsidRDefault="0044272D">
            <w:pPr>
              <w:jc w:val="left"/>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 xml:space="preserve">   Global value added - Estimated all Value Chain</w:t>
            </w:r>
          </w:p>
        </w:tc>
        <w:tc>
          <w:tcPr>
            <w:tcW w:w="167" w:type="pct"/>
            <w:tcBorders>
              <w:top w:val="nil"/>
              <w:left w:val="nil"/>
              <w:bottom w:val="single" w:sz="4" w:space="0" w:color="auto"/>
              <w:right w:val="nil"/>
            </w:tcBorders>
            <w:noWrap/>
            <w:vAlign w:val="bottom"/>
            <w:hideMark/>
          </w:tcPr>
          <w:p w14:paraId="457957A9" w14:textId="77777777" w:rsidR="0044272D" w:rsidRPr="007255E8" w:rsidRDefault="0044272D">
            <w:pPr>
              <w:jc w:val="left"/>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 </w:t>
            </w:r>
          </w:p>
        </w:tc>
        <w:tc>
          <w:tcPr>
            <w:tcW w:w="417" w:type="pct"/>
            <w:tcBorders>
              <w:top w:val="nil"/>
              <w:left w:val="nil"/>
              <w:bottom w:val="single" w:sz="4" w:space="0" w:color="auto"/>
              <w:right w:val="nil"/>
            </w:tcBorders>
            <w:shd w:val="clear" w:color="000000" w:fill="FFFFFF"/>
            <w:noWrap/>
            <w:vAlign w:val="bottom"/>
            <w:hideMark/>
          </w:tcPr>
          <w:p w14:paraId="5B24CE14"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1.8</w:t>
            </w:r>
          </w:p>
        </w:tc>
        <w:tc>
          <w:tcPr>
            <w:tcW w:w="417" w:type="pct"/>
            <w:tcBorders>
              <w:top w:val="nil"/>
              <w:left w:val="nil"/>
              <w:bottom w:val="single" w:sz="4" w:space="0" w:color="auto"/>
              <w:right w:val="nil"/>
            </w:tcBorders>
            <w:shd w:val="clear" w:color="000000" w:fill="FFFFFF"/>
            <w:noWrap/>
            <w:vAlign w:val="bottom"/>
            <w:hideMark/>
          </w:tcPr>
          <w:p w14:paraId="2E02AD62" w14:textId="77777777" w:rsidR="0044272D" w:rsidRPr="007255E8" w:rsidRDefault="0044272D">
            <w:pPr>
              <w:jc w:val="center"/>
              <w:rPr>
                <w:rFonts w:ascii="Calibri" w:eastAsia="Times New Roman" w:hAnsi="Calibri" w:cs="Calibri"/>
                <w:noProof/>
                <w:color w:val="000000"/>
                <w:sz w:val="22"/>
                <w:lang w:val="en-IE" w:eastAsia="en-IE"/>
              </w:rPr>
            </w:pPr>
            <w:r w:rsidRPr="007255E8">
              <w:rPr>
                <w:rFonts w:ascii="Calibri" w:eastAsia="Times New Roman" w:hAnsi="Calibri" w:cs="Calibri"/>
                <w:noProof/>
                <w:color w:val="000000"/>
                <w:sz w:val="22"/>
                <w:lang w:val="en-IE" w:eastAsia="en-IE"/>
              </w:rPr>
              <w:t>2.1</w:t>
            </w:r>
          </w:p>
        </w:tc>
      </w:tr>
    </w:tbl>
    <w:p w14:paraId="35087497" w14:textId="7E9C3717" w:rsidR="0044272D" w:rsidRDefault="0044272D" w:rsidP="0044272D">
      <w:pPr>
        <w:rPr>
          <w:rFonts w:eastAsia="Times New Roman"/>
          <w:noProof/>
        </w:rPr>
      </w:pPr>
    </w:p>
    <w:p w14:paraId="3CE0253B" w14:textId="57D28761" w:rsidR="0044272D" w:rsidRPr="00AF6C82" w:rsidRDefault="4F868B26" w:rsidP="00EB793C">
      <w:pPr>
        <w:rPr>
          <w:rFonts w:eastAsia="Times New Roman"/>
          <w:noProof/>
          <w:lang w:val="en-IE"/>
        </w:rPr>
      </w:pPr>
      <w:r w:rsidRPr="4EAE5FAC">
        <w:rPr>
          <w:rFonts w:eastAsia="Times New Roman"/>
          <w:noProof/>
        </w:rPr>
        <w:t>Furthermore, the measure is projected to lead to the generation of EUR 0.9 billion Global Value Added in 2027 and EUR 0.7 billion in 2030 when assessing the impact, taking into account only the first tier of the value chain.</w:t>
      </w:r>
      <w:r w:rsidR="0044272D">
        <w:rPr>
          <w:rStyle w:val="FootnoteReference"/>
          <w:rFonts w:eastAsia="Times New Roman"/>
          <w:noProof/>
        </w:rPr>
        <w:footnoteReference w:id="701"/>
      </w:r>
      <w:r w:rsidRPr="4EAE5FAC">
        <w:rPr>
          <w:rFonts w:eastAsia="Times New Roman"/>
          <w:noProof/>
          <w:lang w:val="en-IE"/>
        </w:rPr>
        <w:t xml:space="preserve"> </w:t>
      </w:r>
    </w:p>
    <w:p w14:paraId="2D0C5766" w14:textId="51B13DE7" w:rsidR="005E2BBA" w:rsidRDefault="005E2BBA" w:rsidP="00EB793C">
      <w:pPr>
        <w:rPr>
          <w:i/>
          <w:iCs/>
          <w:noProof/>
        </w:rPr>
      </w:pPr>
    </w:p>
    <w:p w14:paraId="0602A47F" w14:textId="4D046F82" w:rsidR="005E2BBA" w:rsidRPr="004169DE" w:rsidRDefault="005E2BBA" w:rsidP="00EB793C">
      <w:pPr>
        <w:rPr>
          <w:b/>
          <w:noProof/>
        </w:rPr>
      </w:pPr>
      <w:r w:rsidRPr="00E71388">
        <w:rPr>
          <w:b/>
          <w:noProof/>
        </w:rPr>
        <w:t xml:space="preserve">Impact on consumers </w:t>
      </w:r>
    </w:p>
    <w:p w14:paraId="1E25649F" w14:textId="77777777" w:rsidR="00B12528" w:rsidRDefault="00B12528" w:rsidP="00EB793C">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9"/>
        <w:gridCol w:w="362"/>
        <w:gridCol w:w="1269"/>
        <w:gridCol w:w="1226"/>
      </w:tblGrid>
      <w:tr w:rsidR="00B12528" w:rsidRPr="00FF63D1" w14:paraId="1A8F04FE" w14:textId="77777777" w:rsidTr="007F7094">
        <w:trPr>
          <w:trHeight w:val="337"/>
        </w:trPr>
        <w:tc>
          <w:tcPr>
            <w:tcW w:w="5000" w:type="pct"/>
            <w:gridSpan w:val="4"/>
            <w:shd w:val="clear" w:color="auto" w:fill="E2EFDA"/>
            <w:noWrap/>
            <w:vAlign w:val="bottom"/>
            <w:hideMark/>
          </w:tcPr>
          <w:p w14:paraId="42999FAA" w14:textId="26851565" w:rsidR="00B12528" w:rsidRPr="00FF63D1" w:rsidRDefault="00B12528">
            <w:pPr>
              <w:jc w:val="center"/>
              <w:rPr>
                <w:rFonts w:ascii="Calibri" w:eastAsia="Times New Roman" w:hAnsi="Calibri" w:cs="Calibri"/>
                <w:b/>
                <w:noProof/>
                <w:color w:val="000000"/>
                <w:sz w:val="22"/>
                <w:lang w:eastAsia="en-IE"/>
              </w:rPr>
            </w:pPr>
            <w:r>
              <w:rPr>
                <w:rFonts w:ascii="Calibri" w:eastAsia="Times New Roman" w:hAnsi="Calibri" w:cs="Calibri"/>
                <w:b/>
                <w:noProof/>
                <w:color w:val="000000"/>
                <w:sz w:val="22"/>
                <w:lang w:eastAsia="en-IE"/>
              </w:rPr>
              <w:t>EU consumers in the “</w:t>
            </w:r>
            <w:r w:rsidR="006067A6" w:rsidRPr="006067A6">
              <w:rPr>
                <w:rFonts w:ascii="Calibri" w:eastAsia="Times New Roman" w:hAnsi="Calibri" w:cs="Calibri"/>
                <w:b/>
                <w:noProof/>
                <w:color w:val="000000"/>
                <w:sz w:val="22"/>
                <w:lang w:eastAsia="en-IE"/>
              </w:rPr>
              <w:t>Non-EU manufacturers absorb the price increase</w:t>
            </w:r>
            <w:r>
              <w:rPr>
                <w:rFonts w:ascii="Calibri" w:eastAsia="Times New Roman" w:hAnsi="Calibri" w:cs="Calibri"/>
                <w:b/>
                <w:noProof/>
                <w:color w:val="000000"/>
                <w:sz w:val="22"/>
                <w:lang w:eastAsia="en-IE"/>
              </w:rPr>
              <w:t>” scenario</w:t>
            </w:r>
          </w:p>
        </w:tc>
      </w:tr>
      <w:tr w:rsidR="00B12528" w:rsidRPr="00FF63D1" w14:paraId="241A854A" w14:textId="77777777" w:rsidTr="007F7094">
        <w:trPr>
          <w:trHeight w:val="327"/>
        </w:trPr>
        <w:tc>
          <w:tcPr>
            <w:tcW w:w="3415" w:type="pct"/>
            <w:tcBorders>
              <w:left w:val="nil"/>
              <w:right w:val="nil"/>
            </w:tcBorders>
            <w:shd w:val="clear" w:color="auto" w:fill="FFFFFF" w:themeFill="background1"/>
            <w:noWrap/>
            <w:vAlign w:val="bottom"/>
            <w:hideMark/>
          </w:tcPr>
          <w:p w14:paraId="7BBF3BA4" w14:textId="77777777" w:rsidR="00B12528" w:rsidRPr="00FF63D1" w:rsidRDefault="00B12528">
            <w:pPr>
              <w:jc w:val="left"/>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 </w:t>
            </w:r>
          </w:p>
        </w:tc>
        <w:tc>
          <w:tcPr>
            <w:tcW w:w="201" w:type="pct"/>
            <w:tcBorders>
              <w:left w:val="nil"/>
              <w:right w:val="nil"/>
            </w:tcBorders>
            <w:shd w:val="clear" w:color="auto" w:fill="FFFFFF" w:themeFill="background1"/>
            <w:noWrap/>
            <w:vAlign w:val="bottom"/>
            <w:hideMark/>
          </w:tcPr>
          <w:p w14:paraId="72600BB2" w14:textId="77777777" w:rsidR="00B12528" w:rsidRPr="00FF63D1" w:rsidRDefault="00B1252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69AD9516" w14:textId="77777777" w:rsidR="00B12528" w:rsidRPr="00FF63D1" w:rsidRDefault="00B12528">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680" w:type="pct"/>
            <w:tcBorders>
              <w:left w:val="nil"/>
              <w:right w:val="nil"/>
            </w:tcBorders>
            <w:shd w:val="clear" w:color="auto" w:fill="FFFFFF" w:themeFill="background1"/>
            <w:noWrap/>
            <w:vAlign w:val="bottom"/>
            <w:hideMark/>
          </w:tcPr>
          <w:p w14:paraId="433D5CB6" w14:textId="77777777" w:rsidR="00B12528" w:rsidRPr="00FF63D1" w:rsidRDefault="00B12528">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B12528" w:rsidRPr="00FF63D1" w14:paraId="72B0304B" w14:textId="77777777" w:rsidTr="007F7094">
        <w:trPr>
          <w:trHeight w:val="327"/>
        </w:trPr>
        <w:tc>
          <w:tcPr>
            <w:tcW w:w="3415" w:type="pct"/>
            <w:tcBorders>
              <w:left w:val="nil"/>
              <w:right w:val="nil"/>
            </w:tcBorders>
            <w:shd w:val="clear" w:color="auto" w:fill="FFFFFF" w:themeFill="background1"/>
            <w:noWrap/>
            <w:vAlign w:val="bottom"/>
            <w:hideMark/>
          </w:tcPr>
          <w:p w14:paraId="28783330" w14:textId="77777777" w:rsidR="00B12528" w:rsidRPr="00FF63D1" w:rsidRDefault="00B12528">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265080F8" w14:textId="77777777" w:rsidR="00B12528" w:rsidRPr="00FF63D1" w:rsidRDefault="00B12528">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79707D56" w14:textId="77777777" w:rsidR="00B12528" w:rsidRPr="00FF63D1" w:rsidRDefault="00B12528">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hideMark/>
          </w:tcPr>
          <w:p w14:paraId="6B8544E0" w14:textId="77777777" w:rsidR="00B12528" w:rsidRPr="00FF63D1" w:rsidRDefault="00B12528">
            <w:pPr>
              <w:jc w:val="center"/>
              <w:rPr>
                <w:rFonts w:ascii="Calibri" w:eastAsia="Times New Roman" w:hAnsi="Calibri" w:cs="Calibri"/>
                <w:noProof/>
                <w:color w:val="000000"/>
                <w:sz w:val="22"/>
                <w:lang w:eastAsia="en-IE"/>
              </w:rPr>
            </w:pPr>
          </w:p>
        </w:tc>
      </w:tr>
      <w:tr w:rsidR="00B12528" w:rsidRPr="00FF63D1" w14:paraId="030146EE" w14:textId="77777777" w:rsidTr="007F7094">
        <w:trPr>
          <w:trHeight w:val="327"/>
        </w:trPr>
        <w:tc>
          <w:tcPr>
            <w:tcW w:w="3415" w:type="pct"/>
            <w:tcBorders>
              <w:left w:val="nil"/>
              <w:right w:val="nil"/>
            </w:tcBorders>
            <w:shd w:val="clear" w:color="auto" w:fill="FFFFFF" w:themeFill="background1"/>
            <w:noWrap/>
            <w:vAlign w:val="bottom"/>
          </w:tcPr>
          <w:p w14:paraId="6C39B53D" w14:textId="77777777" w:rsidR="00B12528" w:rsidRDefault="00B12528" w:rsidP="00B12528">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7CEAD912" w14:textId="77777777" w:rsidR="00B12528" w:rsidRPr="00FF63D1" w:rsidRDefault="00B12528" w:rsidP="00B12528">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589687BD" w14:textId="0322E733" w:rsidR="00B12528" w:rsidRPr="00FF63D1" w:rsidRDefault="00B12528" w:rsidP="00B12528">
            <w:pPr>
              <w:jc w:val="center"/>
              <w:rPr>
                <w:rFonts w:ascii="Calibri" w:eastAsia="Times New Roman" w:hAnsi="Calibri" w:cs="Calibri"/>
                <w:noProof/>
                <w:color w:val="000000"/>
                <w:sz w:val="22"/>
                <w:lang w:eastAsia="en-IE"/>
              </w:rPr>
            </w:pPr>
            <w:r w:rsidRPr="006654DA">
              <w:rPr>
                <w:rFonts w:ascii="Calibri" w:eastAsia="Times New Roman" w:hAnsi="Calibri" w:cs="Calibri"/>
                <w:noProof/>
                <w:color w:val="000000"/>
                <w:sz w:val="22"/>
                <w:lang w:val="en-IE" w:eastAsia="en-IE"/>
              </w:rPr>
              <w:t>-1.</w:t>
            </w:r>
            <w:r>
              <w:rPr>
                <w:rFonts w:ascii="Calibri" w:eastAsia="Times New Roman" w:hAnsi="Calibri" w:cs="Calibri"/>
                <w:noProof/>
                <w:color w:val="000000"/>
                <w:sz w:val="22"/>
                <w:lang w:val="en-IE" w:eastAsia="en-IE"/>
              </w:rPr>
              <w:t>6</w:t>
            </w:r>
            <w:r w:rsidRPr="006654DA">
              <w:rPr>
                <w:rFonts w:ascii="Calibri" w:eastAsia="Times New Roman" w:hAnsi="Calibri" w:cs="Calibri"/>
                <w:noProof/>
                <w:color w:val="000000"/>
                <w:sz w:val="22"/>
                <w:lang w:val="en-IE" w:eastAsia="en-IE"/>
              </w:rPr>
              <w:t>%</w:t>
            </w:r>
          </w:p>
        </w:tc>
        <w:tc>
          <w:tcPr>
            <w:tcW w:w="680" w:type="pct"/>
            <w:tcBorders>
              <w:left w:val="nil"/>
              <w:right w:val="nil"/>
            </w:tcBorders>
            <w:shd w:val="clear" w:color="auto" w:fill="FFFFFF" w:themeFill="background1"/>
            <w:noWrap/>
            <w:vAlign w:val="bottom"/>
          </w:tcPr>
          <w:p w14:paraId="21E255C6" w14:textId="08962482" w:rsidR="00B12528" w:rsidRPr="00FF63D1" w:rsidRDefault="00B12528" w:rsidP="00B12528">
            <w:pPr>
              <w:jc w:val="center"/>
              <w:rPr>
                <w:rFonts w:ascii="Calibri" w:eastAsia="Times New Roman" w:hAnsi="Calibri" w:cs="Calibri"/>
                <w:noProof/>
                <w:color w:val="000000"/>
                <w:sz w:val="22"/>
                <w:lang w:eastAsia="en-IE"/>
              </w:rPr>
            </w:pPr>
            <w:r w:rsidRPr="006654DA">
              <w:rPr>
                <w:rFonts w:ascii="Calibri" w:eastAsia="Times New Roman" w:hAnsi="Calibri" w:cs="Calibri"/>
                <w:noProof/>
                <w:color w:val="000000"/>
                <w:sz w:val="22"/>
                <w:lang w:val="en-IE" w:eastAsia="en-IE"/>
              </w:rPr>
              <w:t>-0.</w:t>
            </w:r>
            <w:r>
              <w:rPr>
                <w:rFonts w:ascii="Calibri" w:eastAsia="Times New Roman" w:hAnsi="Calibri" w:cs="Calibri"/>
                <w:noProof/>
                <w:color w:val="000000"/>
                <w:sz w:val="22"/>
                <w:lang w:val="en-IE" w:eastAsia="en-IE"/>
              </w:rPr>
              <w:t>2</w:t>
            </w:r>
            <w:r w:rsidRPr="006654DA">
              <w:rPr>
                <w:rFonts w:ascii="Calibri" w:eastAsia="Times New Roman" w:hAnsi="Calibri" w:cs="Calibri"/>
                <w:noProof/>
                <w:color w:val="000000"/>
                <w:sz w:val="22"/>
                <w:lang w:val="en-IE" w:eastAsia="en-IE"/>
              </w:rPr>
              <w:t>%</w:t>
            </w:r>
          </w:p>
        </w:tc>
      </w:tr>
      <w:tr w:rsidR="00B12528" w:rsidRPr="00FF63D1" w14:paraId="18B2AEA8" w14:textId="77777777" w:rsidTr="007F7094">
        <w:trPr>
          <w:trHeight w:val="327"/>
        </w:trPr>
        <w:tc>
          <w:tcPr>
            <w:tcW w:w="3415" w:type="pct"/>
            <w:tcBorders>
              <w:left w:val="nil"/>
              <w:right w:val="nil"/>
            </w:tcBorders>
            <w:shd w:val="clear" w:color="auto" w:fill="FFFFFF" w:themeFill="background1"/>
            <w:noWrap/>
            <w:vAlign w:val="bottom"/>
            <w:hideMark/>
          </w:tcPr>
          <w:p w14:paraId="630ABC33" w14:textId="77777777" w:rsidR="00B12528" w:rsidRPr="00FF63D1" w:rsidRDefault="00B12528" w:rsidP="00B1252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2DE2E306" w14:textId="77777777" w:rsidR="00B12528" w:rsidRPr="00FF63D1" w:rsidRDefault="00B12528" w:rsidP="00B1252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742C1646" w14:textId="318FA921" w:rsidR="00B12528" w:rsidRPr="00FF63D1" w:rsidRDefault="00B12528" w:rsidP="00B12528">
            <w:pPr>
              <w:jc w:val="center"/>
              <w:rPr>
                <w:rFonts w:ascii="Calibri" w:eastAsia="Times New Roman" w:hAnsi="Calibri" w:cs="Calibri"/>
                <w:noProof/>
                <w:color w:val="000000"/>
                <w:sz w:val="22"/>
                <w:lang w:eastAsia="en-IE"/>
              </w:rPr>
            </w:pPr>
            <w:r w:rsidRPr="006654DA">
              <w:rPr>
                <w:rFonts w:ascii="Calibri" w:eastAsia="Times New Roman" w:hAnsi="Calibri" w:cs="Calibri"/>
                <w:noProof/>
                <w:color w:val="000000"/>
                <w:sz w:val="22"/>
                <w:lang w:val="en-IE" w:eastAsia="en-IE"/>
              </w:rPr>
              <w:t>1</w:t>
            </w:r>
            <w:r>
              <w:rPr>
                <w:rFonts w:ascii="Calibri" w:eastAsia="Times New Roman" w:hAnsi="Calibri" w:cs="Calibri"/>
                <w:noProof/>
                <w:color w:val="000000"/>
                <w:sz w:val="22"/>
                <w:lang w:val="en-IE" w:eastAsia="en-IE"/>
              </w:rPr>
              <w:t>27.7</w:t>
            </w:r>
          </w:p>
        </w:tc>
        <w:tc>
          <w:tcPr>
            <w:tcW w:w="680" w:type="pct"/>
            <w:tcBorders>
              <w:left w:val="nil"/>
              <w:right w:val="nil"/>
            </w:tcBorders>
            <w:shd w:val="clear" w:color="auto" w:fill="FFFFFF" w:themeFill="background1"/>
            <w:noWrap/>
            <w:vAlign w:val="bottom"/>
            <w:hideMark/>
          </w:tcPr>
          <w:p w14:paraId="5A5F6501" w14:textId="2419EBEB" w:rsidR="00B12528" w:rsidRPr="00FF63D1" w:rsidRDefault="00B12528" w:rsidP="00B12528">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10</w:t>
            </w:r>
            <w:r w:rsidRPr="006654DA">
              <w:rPr>
                <w:rFonts w:ascii="Calibri" w:eastAsia="Times New Roman" w:hAnsi="Calibri" w:cs="Calibri"/>
                <w:noProof/>
                <w:color w:val="000000"/>
                <w:sz w:val="22"/>
                <w:lang w:val="en-IE" w:eastAsia="en-IE"/>
              </w:rPr>
              <w:t>.1</w:t>
            </w:r>
          </w:p>
        </w:tc>
      </w:tr>
      <w:tr w:rsidR="00B12528" w:rsidRPr="00086326" w14:paraId="7CAF4F66" w14:textId="77777777" w:rsidTr="007F7094">
        <w:trPr>
          <w:trHeight w:val="327"/>
        </w:trPr>
        <w:tc>
          <w:tcPr>
            <w:tcW w:w="3415" w:type="pct"/>
            <w:tcBorders>
              <w:left w:val="nil"/>
              <w:right w:val="nil"/>
            </w:tcBorders>
            <w:shd w:val="clear" w:color="auto" w:fill="FFFFFF" w:themeFill="background1"/>
            <w:noWrap/>
            <w:vAlign w:val="bottom"/>
            <w:hideMark/>
          </w:tcPr>
          <w:p w14:paraId="19E32DF6" w14:textId="77777777" w:rsidR="00B12528" w:rsidRPr="00086326" w:rsidRDefault="00B12528">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3B67026C" w14:textId="77777777" w:rsidR="00B12528" w:rsidRPr="00086326" w:rsidRDefault="00B12528">
            <w:pPr>
              <w:jc w:val="left"/>
              <w:rPr>
                <w:rFonts w:ascii="Calibri" w:eastAsia="Times New Roman" w:hAnsi="Calibri" w:cs="Calibri"/>
                <w:b/>
                <w:i/>
                <w:noProof/>
                <w:color w:val="000000"/>
                <w:sz w:val="22"/>
                <w:lang w:val="fr-BE" w:eastAsia="en-IE"/>
              </w:rPr>
            </w:pPr>
            <w:r w:rsidRPr="00086326">
              <w:rPr>
                <w:rFonts w:ascii="Calibri" w:eastAsia="Times New Roman" w:hAnsi="Calibri" w:cs="Calibri"/>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79D4AAB8" w14:textId="77777777" w:rsidR="00B12528" w:rsidRPr="00086326" w:rsidRDefault="00B12528">
            <w:pPr>
              <w:jc w:val="center"/>
              <w:rPr>
                <w:rFonts w:ascii="Calibri" w:eastAsia="Times New Roman" w:hAnsi="Calibri" w:cs="Calibri"/>
                <w:noProof/>
                <w:color w:val="000000"/>
                <w:sz w:val="22"/>
                <w:lang w:val="fr-BE" w:eastAsia="en-IE"/>
              </w:rPr>
            </w:pPr>
          </w:p>
        </w:tc>
        <w:tc>
          <w:tcPr>
            <w:tcW w:w="680" w:type="pct"/>
            <w:tcBorders>
              <w:left w:val="nil"/>
              <w:right w:val="nil"/>
            </w:tcBorders>
            <w:shd w:val="clear" w:color="auto" w:fill="FFFFFF" w:themeFill="background1"/>
            <w:noWrap/>
            <w:vAlign w:val="bottom"/>
            <w:hideMark/>
          </w:tcPr>
          <w:p w14:paraId="6EA64B9A" w14:textId="77777777" w:rsidR="00B12528" w:rsidRPr="00086326" w:rsidRDefault="00B12528">
            <w:pPr>
              <w:jc w:val="center"/>
              <w:rPr>
                <w:rFonts w:ascii="Calibri" w:eastAsia="Times New Roman" w:hAnsi="Calibri" w:cs="Calibri"/>
                <w:noProof/>
                <w:color w:val="000000"/>
                <w:sz w:val="22"/>
                <w:lang w:val="fr-BE" w:eastAsia="en-IE"/>
              </w:rPr>
            </w:pPr>
          </w:p>
        </w:tc>
      </w:tr>
      <w:tr w:rsidR="00B12528" w:rsidRPr="0026006C" w14:paraId="0ACA5754" w14:textId="77777777" w:rsidTr="007F7094">
        <w:trPr>
          <w:trHeight w:val="327"/>
        </w:trPr>
        <w:tc>
          <w:tcPr>
            <w:tcW w:w="3415" w:type="pct"/>
            <w:tcBorders>
              <w:left w:val="nil"/>
              <w:right w:val="nil"/>
            </w:tcBorders>
            <w:shd w:val="clear" w:color="auto" w:fill="FFFFFF" w:themeFill="background1"/>
            <w:noWrap/>
            <w:vAlign w:val="bottom"/>
          </w:tcPr>
          <w:p w14:paraId="6C85F104" w14:textId="77777777" w:rsidR="00B12528" w:rsidRDefault="00B12528">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697C151F" w14:textId="77777777" w:rsidR="00B12528" w:rsidRPr="0026006C" w:rsidRDefault="00B12528">
            <w:pPr>
              <w:jc w:val="left"/>
              <w:rPr>
                <w:rFonts w:ascii="Calibri" w:eastAsia="Times New Roman" w:hAnsi="Calibri" w:cs="Calibri"/>
                <w:b/>
                <w:i/>
                <w:noProof/>
                <w:color w:val="000000"/>
                <w:sz w:val="22"/>
                <w:lang w:val="fr-BE"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58432B0A" w14:textId="20EBAAC3" w:rsidR="00B12528" w:rsidRPr="0026006C" w:rsidRDefault="00B12528">
            <w:pPr>
              <w:jc w:val="center"/>
              <w:rPr>
                <w:rFonts w:ascii="Calibri" w:eastAsia="Times New Roman" w:hAnsi="Calibri" w:cs="Calibri"/>
                <w:noProof/>
                <w:color w:val="000000"/>
                <w:sz w:val="22"/>
                <w:lang w:val="fr-BE" w:eastAsia="en-IE"/>
              </w:rPr>
            </w:pPr>
            <w:r w:rsidRPr="002B6CD8">
              <w:rPr>
                <w:rFonts w:ascii="Calibri" w:eastAsia="Times New Roman" w:hAnsi="Calibri" w:cs="Calibri"/>
                <w:noProof/>
                <w:color w:val="000000"/>
                <w:sz w:val="22"/>
                <w:lang w:val="en-IE" w:eastAsia="en-IE"/>
              </w:rPr>
              <w:t>-</w:t>
            </w:r>
            <w:r w:rsidR="00787B3E" w:rsidRPr="002B6CD8">
              <w:rPr>
                <w:rFonts w:ascii="Calibri" w:eastAsia="Times New Roman" w:hAnsi="Calibri" w:cs="Calibri"/>
                <w:noProof/>
                <w:color w:val="000000"/>
                <w:sz w:val="22"/>
                <w:lang w:val="en-IE" w:eastAsia="en-IE"/>
              </w:rPr>
              <w:t>2.</w:t>
            </w:r>
            <w:r w:rsidRPr="002B6CD8">
              <w:rPr>
                <w:rFonts w:ascii="Calibri" w:eastAsia="Times New Roman" w:hAnsi="Calibri" w:cs="Calibri"/>
                <w:noProof/>
                <w:color w:val="000000"/>
                <w:sz w:val="22"/>
                <w:lang w:val="en-IE" w:eastAsia="en-IE"/>
              </w:rPr>
              <w:t>0%</w:t>
            </w:r>
          </w:p>
        </w:tc>
        <w:tc>
          <w:tcPr>
            <w:tcW w:w="680" w:type="pct"/>
            <w:tcBorders>
              <w:left w:val="nil"/>
              <w:right w:val="nil"/>
            </w:tcBorders>
            <w:shd w:val="clear" w:color="auto" w:fill="FFFFFF" w:themeFill="background1"/>
            <w:noWrap/>
            <w:vAlign w:val="bottom"/>
          </w:tcPr>
          <w:p w14:paraId="23D7043D" w14:textId="622D59D3" w:rsidR="00B12528" w:rsidRPr="0026006C" w:rsidRDefault="00787B3E">
            <w:pPr>
              <w:jc w:val="center"/>
              <w:rPr>
                <w:rFonts w:ascii="Calibri" w:eastAsia="Times New Roman" w:hAnsi="Calibri" w:cs="Calibri"/>
                <w:noProof/>
                <w:color w:val="000000"/>
                <w:sz w:val="22"/>
                <w:lang w:val="fr-BE" w:eastAsia="en-IE"/>
              </w:rPr>
            </w:pPr>
            <w:r w:rsidRPr="002B6CD8">
              <w:rPr>
                <w:rFonts w:ascii="Calibri" w:eastAsia="Times New Roman" w:hAnsi="Calibri" w:cs="Calibri"/>
                <w:noProof/>
                <w:color w:val="000000"/>
                <w:sz w:val="22"/>
                <w:lang w:val="en-IE" w:eastAsia="en-IE"/>
              </w:rPr>
              <w:t>-</w:t>
            </w:r>
            <w:r w:rsidR="00B12528" w:rsidRPr="002B6CD8">
              <w:rPr>
                <w:rFonts w:ascii="Calibri" w:eastAsia="Times New Roman" w:hAnsi="Calibri" w:cs="Calibri"/>
                <w:noProof/>
                <w:color w:val="000000"/>
                <w:sz w:val="22"/>
                <w:lang w:val="en-IE" w:eastAsia="en-IE"/>
              </w:rPr>
              <w:t>0.</w:t>
            </w:r>
            <w:r w:rsidRPr="002B6CD8">
              <w:rPr>
                <w:rFonts w:ascii="Calibri" w:eastAsia="Times New Roman" w:hAnsi="Calibri" w:cs="Calibri"/>
                <w:noProof/>
                <w:color w:val="000000"/>
                <w:sz w:val="22"/>
                <w:lang w:val="en-IE" w:eastAsia="en-IE"/>
              </w:rPr>
              <w:t>6</w:t>
            </w:r>
            <w:r w:rsidR="00B12528" w:rsidRPr="002B6CD8">
              <w:rPr>
                <w:rFonts w:ascii="Calibri" w:eastAsia="Times New Roman" w:hAnsi="Calibri" w:cs="Calibri"/>
                <w:noProof/>
                <w:color w:val="000000"/>
                <w:sz w:val="22"/>
                <w:lang w:val="en-IE" w:eastAsia="en-IE"/>
              </w:rPr>
              <w:t>%</w:t>
            </w:r>
          </w:p>
        </w:tc>
      </w:tr>
      <w:tr w:rsidR="00B12528" w:rsidRPr="00FF63D1" w14:paraId="544A7450" w14:textId="77777777" w:rsidTr="007F7094">
        <w:trPr>
          <w:trHeight w:val="327"/>
        </w:trPr>
        <w:tc>
          <w:tcPr>
            <w:tcW w:w="3415" w:type="pct"/>
            <w:tcBorders>
              <w:left w:val="nil"/>
              <w:right w:val="nil"/>
            </w:tcBorders>
            <w:shd w:val="clear" w:color="auto" w:fill="FFFFFF" w:themeFill="background1"/>
            <w:noWrap/>
            <w:vAlign w:val="bottom"/>
            <w:hideMark/>
          </w:tcPr>
          <w:p w14:paraId="0F84E9B7" w14:textId="77777777" w:rsidR="00B12528" w:rsidRPr="00FF63D1" w:rsidRDefault="00B1252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7906CDCB" w14:textId="77777777" w:rsidR="00B12528" w:rsidRPr="00FF63D1" w:rsidRDefault="00B1252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1511ED6B" w14:textId="0BC04871" w:rsidR="00B12528" w:rsidRPr="00FF63D1" w:rsidRDefault="00787B3E">
            <w:pPr>
              <w:jc w:val="center"/>
              <w:rPr>
                <w:rFonts w:ascii="Calibri" w:eastAsia="Times New Roman" w:hAnsi="Calibri" w:cs="Calibri"/>
                <w:noProof/>
                <w:color w:val="000000"/>
                <w:sz w:val="22"/>
                <w:lang w:eastAsia="en-IE"/>
              </w:rPr>
            </w:pPr>
            <w:r w:rsidRPr="002B6CD8">
              <w:rPr>
                <w:rFonts w:ascii="Calibri" w:eastAsia="Times New Roman" w:hAnsi="Calibri" w:cs="Calibri"/>
                <w:noProof/>
                <w:color w:val="000000"/>
                <w:sz w:val="22"/>
                <w:lang w:val="en-IE" w:eastAsia="en-IE"/>
              </w:rPr>
              <w:t>18.5</w:t>
            </w:r>
          </w:p>
        </w:tc>
        <w:tc>
          <w:tcPr>
            <w:tcW w:w="680" w:type="pct"/>
            <w:tcBorders>
              <w:left w:val="nil"/>
              <w:right w:val="nil"/>
            </w:tcBorders>
            <w:shd w:val="clear" w:color="auto" w:fill="FFFFFF" w:themeFill="background1"/>
            <w:noWrap/>
            <w:vAlign w:val="bottom"/>
            <w:hideMark/>
          </w:tcPr>
          <w:p w14:paraId="6BCDE155" w14:textId="401A70D9" w:rsidR="00B12528" w:rsidRPr="00FF63D1" w:rsidRDefault="00787B3E">
            <w:pPr>
              <w:jc w:val="center"/>
              <w:rPr>
                <w:rFonts w:ascii="Calibri" w:eastAsia="Times New Roman" w:hAnsi="Calibri" w:cs="Calibri"/>
                <w:noProof/>
                <w:color w:val="000000"/>
                <w:sz w:val="22"/>
                <w:lang w:eastAsia="en-IE"/>
              </w:rPr>
            </w:pPr>
            <w:r w:rsidRPr="002B6CD8">
              <w:rPr>
                <w:rFonts w:ascii="Calibri" w:eastAsia="Times New Roman" w:hAnsi="Calibri" w:cs="Calibri"/>
                <w:noProof/>
                <w:color w:val="000000"/>
                <w:sz w:val="22"/>
                <w:lang w:val="en-IE" w:eastAsia="en-IE"/>
              </w:rPr>
              <w:t>8.</w:t>
            </w:r>
            <w:r w:rsidR="00B12528" w:rsidRPr="002B6CD8">
              <w:rPr>
                <w:rFonts w:ascii="Calibri" w:eastAsia="Times New Roman" w:hAnsi="Calibri" w:cs="Calibri"/>
                <w:noProof/>
                <w:color w:val="000000"/>
                <w:sz w:val="22"/>
                <w:lang w:val="en-IE" w:eastAsia="en-IE"/>
              </w:rPr>
              <w:t>2</w:t>
            </w:r>
          </w:p>
        </w:tc>
      </w:tr>
      <w:tr w:rsidR="00B12528" w:rsidRPr="00FF63D1" w14:paraId="2DBBF564" w14:textId="77777777" w:rsidTr="007F7094">
        <w:trPr>
          <w:trHeight w:val="327"/>
        </w:trPr>
        <w:tc>
          <w:tcPr>
            <w:tcW w:w="3415" w:type="pct"/>
            <w:tcBorders>
              <w:left w:val="nil"/>
              <w:right w:val="nil"/>
            </w:tcBorders>
            <w:shd w:val="clear" w:color="auto" w:fill="FFFFFF" w:themeFill="background1"/>
            <w:noWrap/>
            <w:vAlign w:val="bottom"/>
          </w:tcPr>
          <w:p w14:paraId="475CF369" w14:textId="77777777" w:rsidR="00B12528" w:rsidRPr="009C69FA" w:rsidRDefault="00B12528">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53F2CE86" w14:textId="77777777" w:rsidR="00B12528" w:rsidRPr="00FF63D1" w:rsidRDefault="00B12528">
            <w:pPr>
              <w:jc w:val="left"/>
              <w:rPr>
                <w:rFonts w:ascii="Calibri" w:eastAsia="Times New Roman" w:hAnsi="Calibri" w:cs="Calibri"/>
                <w:noProof/>
                <w:color w:val="000000"/>
                <w:sz w:val="22"/>
                <w:lang w:eastAsia="en-IE"/>
              </w:rPr>
            </w:pPr>
          </w:p>
        </w:tc>
        <w:tc>
          <w:tcPr>
            <w:tcW w:w="704" w:type="pct"/>
            <w:tcBorders>
              <w:left w:val="nil"/>
              <w:right w:val="nil"/>
            </w:tcBorders>
            <w:shd w:val="clear" w:color="auto" w:fill="FFFFFF" w:themeFill="background1"/>
            <w:noWrap/>
            <w:vAlign w:val="bottom"/>
          </w:tcPr>
          <w:p w14:paraId="24E9BA2E" w14:textId="77777777" w:rsidR="00B12528" w:rsidRPr="00FF63D1" w:rsidRDefault="00B12528">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tcPr>
          <w:p w14:paraId="359845D6" w14:textId="77777777" w:rsidR="00B12528" w:rsidRPr="00FF63D1" w:rsidRDefault="00B12528">
            <w:pPr>
              <w:jc w:val="center"/>
              <w:rPr>
                <w:rFonts w:ascii="Calibri" w:eastAsia="Times New Roman" w:hAnsi="Calibri" w:cs="Calibri"/>
                <w:noProof/>
                <w:color w:val="000000"/>
                <w:sz w:val="22"/>
                <w:lang w:eastAsia="en-IE"/>
              </w:rPr>
            </w:pPr>
          </w:p>
        </w:tc>
      </w:tr>
      <w:tr w:rsidR="00B12528" w:rsidRPr="00FF63D1" w14:paraId="1DCF1FEE" w14:textId="77777777" w:rsidTr="007F7094">
        <w:trPr>
          <w:trHeight w:val="327"/>
        </w:trPr>
        <w:tc>
          <w:tcPr>
            <w:tcW w:w="3415" w:type="pct"/>
            <w:tcBorders>
              <w:left w:val="nil"/>
              <w:right w:val="nil"/>
            </w:tcBorders>
            <w:shd w:val="clear" w:color="auto" w:fill="FFFFFF" w:themeFill="background1"/>
            <w:noWrap/>
            <w:vAlign w:val="bottom"/>
          </w:tcPr>
          <w:p w14:paraId="1EC1BE38" w14:textId="77777777" w:rsidR="00B12528" w:rsidRDefault="00B12528">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09AB295D" w14:textId="77777777" w:rsidR="00B12528" w:rsidRPr="00FF63D1" w:rsidRDefault="00B1252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065E7F0C" w14:textId="12D7CD62" w:rsidR="00B12528" w:rsidRPr="00FF63D1" w:rsidRDefault="006067A6">
            <w:pPr>
              <w:jc w:val="center"/>
              <w:rPr>
                <w:rFonts w:ascii="Calibri" w:eastAsia="Times New Roman" w:hAnsi="Calibri" w:cs="Calibri"/>
                <w:noProof/>
                <w:color w:val="000000"/>
                <w:sz w:val="22"/>
                <w:lang w:eastAsia="en-IE"/>
              </w:rPr>
            </w:pPr>
            <w:r w:rsidRPr="009B1787">
              <w:rPr>
                <w:rFonts w:ascii="Calibri" w:eastAsia="Times New Roman" w:hAnsi="Calibri" w:cs="Calibri"/>
                <w:noProof/>
                <w:color w:val="000000"/>
                <w:sz w:val="22"/>
                <w:lang w:val="en-IE" w:eastAsia="en-IE"/>
              </w:rPr>
              <w:t>-</w:t>
            </w:r>
            <w:r w:rsidR="00B12528" w:rsidRPr="009B1787">
              <w:rPr>
                <w:rFonts w:ascii="Calibri" w:eastAsia="Times New Roman" w:hAnsi="Calibri" w:cs="Calibri"/>
                <w:noProof/>
                <w:color w:val="000000"/>
                <w:sz w:val="22"/>
                <w:lang w:val="en-IE" w:eastAsia="en-IE"/>
              </w:rPr>
              <w:t>0.</w:t>
            </w:r>
            <w:r w:rsidRPr="009B1787">
              <w:rPr>
                <w:rFonts w:ascii="Calibri" w:eastAsia="Times New Roman" w:hAnsi="Calibri" w:cs="Calibri"/>
                <w:noProof/>
                <w:color w:val="000000"/>
                <w:sz w:val="22"/>
                <w:lang w:val="en-IE" w:eastAsia="en-IE"/>
              </w:rPr>
              <w:t>4</w:t>
            </w:r>
            <w:r w:rsidR="00B12528" w:rsidRPr="009B1787">
              <w:rPr>
                <w:rFonts w:ascii="Calibri" w:eastAsia="Times New Roman" w:hAnsi="Calibri" w:cs="Calibri"/>
                <w:noProof/>
                <w:color w:val="000000"/>
                <w:sz w:val="22"/>
                <w:lang w:val="en-IE" w:eastAsia="en-IE"/>
              </w:rPr>
              <w:t>%</w:t>
            </w:r>
          </w:p>
        </w:tc>
        <w:tc>
          <w:tcPr>
            <w:tcW w:w="680" w:type="pct"/>
            <w:tcBorders>
              <w:left w:val="nil"/>
              <w:right w:val="nil"/>
            </w:tcBorders>
            <w:shd w:val="clear" w:color="auto" w:fill="FFFFFF" w:themeFill="background1"/>
            <w:noWrap/>
            <w:vAlign w:val="bottom"/>
          </w:tcPr>
          <w:p w14:paraId="723CB3EB" w14:textId="1655533E" w:rsidR="00B12528" w:rsidRPr="00FF63D1" w:rsidRDefault="006067A6">
            <w:pPr>
              <w:jc w:val="center"/>
              <w:rPr>
                <w:rFonts w:ascii="Calibri" w:eastAsia="Times New Roman" w:hAnsi="Calibri" w:cs="Calibri"/>
                <w:noProof/>
                <w:color w:val="000000"/>
                <w:sz w:val="22"/>
                <w:lang w:eastAsia="en-IE"/>
              </w:rPr>
            </w:pPr>
            <w:r w:rsidRPr="009B1787">
              <w:rPr>
                <w:rFonts w:ascii="Calibri" w:eastAsia="Times New Roman" w:hAnsi="Calibri" w:cs="Calibri"/>
                <w:noProof/>
                <w:color w:val="000000"/>
                <w:sz w:val="22"/>
                <w:lang w:val="en-IE" w:eastAsia="en-IE"/>
              </w:rPr>
              <w:t>0.6</w:t>
            </w:r>
            <w:r w:rsidR="00B12528" w:rsidRPr="009B1787">
              <w:rPr>
                <w:rFonts w:ascii="Calibri" w:eastAsia="Times New Roman" w:hAnsi="Calibri" w:cs="Calibri"/>
                <w:noProof/>
                <w:color w:val="000000"/>
                <w:sz w:val="22"/>
                <w:lang w:val="en-IE" w:eastAsia="en-IE"/>
              </w:rPr>
              <w:t>%</w:t>
            </w:r>
          </w:p>
        </w:tc>
      </w:tr>
      <w:tr w:rsidR="00B12528" w:rsidRPr="00FF63D1" w14:paraId="64F7A119" w14:textId="77777777" w:rsidTr="007F7094">
        <w:trPr>
          <w:trHeight w:val="327"/>
        </w:trPr>
        <w:tc>
          <w:tcPr>
            <w:tcW w:w="3415" w:type="pct"/>
            <w:tcBorders>
              <w:left w:val="nil"/>
              <w:right w:val="nil"/>
            </w:tcBorders>
            <w:shd w:val="clear" w:color="auto" w:fill="FFFFFF" w:themeFill="background1"/>
            <w:noWrap/>
            <w:vAlign w:val="bottom"/>
          </w:tcPr>
          <w:p w14:paraId="2E08B41F" w14:textId="77777777" w:rsidR="00B12528" w:rsidRPr="009C69FA" w:rsidRDefault="00B12528">
            <w:pPr>
              <w:jc w:val="left"/>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tcPr>
          <w:p w14:paraId="1EF2C7C1" w14:textId="77777777" w:rsidR="00B12528" w:rsidRPr="00FF63D1" w:rsidRDefault="00B12528">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62E5FD52" w14:textId="29A18712" w:rsidR="00B12528" w:rsidRPr="00FF63D1" w:rsidRDefault="00B12528">
            <w:pPr>
              <w:jc w:val="center"/>
              <w:rPr>
                <w:rFonts w:ascii="Calibri" w:eastAsia="Times New Roman" w:hAnsi="Calibri" w:cs="Calibri"/>
                <w:noProof/>
                <w:color w:val="000000"/>
                <w:sz w:val="22"/>
                <w:lang w:eastAsia="en-IE"/>
              </w:rPr>
            </w:pPr>
            <w:r w:rsidRPr="009B1787">
              <w:rPr>
                <w:rFonts w:ascii="Calibri" w:eastAsia="Times New Roman" w:hAnsi="Calibri" w:cs="Calibri"/>
                <w:noProof/>
                <w:color w:val="000000"/>
                <w:sz w:val="22"/>
                <w:lang w:val="en-IE" w:eastAsia="en-IE"/>
              </w:rPr>
              <w:t>0</w:t>
            </w:r>
            <w:r w:rsidR="006067A6" w:rsidRPr="009B1787">
              <w:rPr>
                <w:rFonts w:ascii="Calibri" w:eastAsia="Times New Roman" w:hAnsi="Calibri" w:cs="Calibri"/>
                <w:noProof/>
                <w:color w:val="000000"/>
                <w:sz w:val="22"/>
                <w:lang w:val="en-IE" w:eastAsia="en-IE"/>
              </w:rPr>
              <w:t>.6</w:t>
            </w:r>
          </w:p>
        </w:tc>
        <w:tc>
          <w:tcPr>
            <w:tcW w:w="680" w:type="pct"/>
            <w:tcBorders>
              <w:left w:val="nil"/>
              <w:right w:val="nil"/>
            </w:tcBorders>
            <w:shd w:val="clear" w:color="auto" w:fill="FFFFFF" w:themeFill="background1"/>
            <w:noWrap/>
            <w:vAlign w:val="bottom"/>
          </w:tcPr>
          <w:p w14:paraId="2C341433" w14:textId="65F64DB4" w:rsidR="00B12528" w:rsidRPr="00FF63D1" w:rsidRDefault="00B12528">
            <w:pPr>
              <w:jc w:val="center"/>
              <w:rPr>
                <w:rFonts w:ascii="Calibri" w:eastAsia="Times New Roman" w:hAnsi="Calibri" w:cs="Calibri"/>
                <w:noProof/>
                <w:color w:val="000000"/>
                <w:sz w:val="22"/>
                <w:lang w:eastAsia="en-IE"/>
              </w:rPr>
            </w:pPr>
            <w:r w:rsidRPr="009B1787">
              <w:rPr>
                <w:rFonts w:ascii="Calibri" w:eastAsia="Times New Roman" w:hAnsi="Calibri" w:cs="Calibri"/>
                <w:noProof/>
                <w:color w:val="000000"/>
                <w:sz w:val="22"/>
                <w:lang w:val="en-IE" w:eastAsia="en-IE"/>
              </w:rPr>
              <w:t>-</w:t>
            </w:r>
            <w:r w:rsidR="006067A6" w:rsidRPr="009B1787">
              <w:rPr>
                <w:rFonts w:ascii="Calibri" w:eastAsia="Times New Roman" w:hAnsi="Calibri" w:cs="Calibri"/>
                <w:noProof/>
                <w:color w:val="000000"/>
                <w:sz w:val="22"/>
                <w:lang w:val="en-IE" w:eastAsia="en-IE"/>
              </w:rPr>
              <w:t>2.0</w:t>
            </w:r>
          </w:p>
        </w:tc>
      </w:tr>
    </w:tbl>
    <w:p w14:paraId="52DAC469" w14:textId="77777777" w:rsidR="00B12528" w:rsidRPr="00E71388" w:rsidRDefault="00B12528" w:rsidP="00EB793C">
      <w:pPr>
        <w:rPr>
          <w:noProof/>
        </w:rPr>
      </w:pPr>
    </w:p>
    <w:p w14:paraId="6EBAB923" w14:textId="44167D23" w:rsidR="00EB793C" w:rsidRDefault="00EB793C" w:rsidP="00EB793C">
      <w:pPr>
        <w:rPr>
          <w:noProof/>
        </w:rPr>
      </w:pPr>
      <w:r>
        <w:rPr>
          <w:noProof/>
        </w:rPr>
        <w:t xml:space="preserve">Under </w:t>
      </w:r>
      <w:r w:rsidR="00DF544A" w:rsidRPr="00086326">
        <w:rPr>
          <w:rFonts w:eastAsia="Times New Roman" w:cs="Times New Roman"/>
          <w:bCs/>
          <w:i/>
          <w:iCs/>
          <w:noProof/>
          <w:color w:val="000000"/>
          <w:sz w:val="22"/>
          <w:lang w:eastAsia="en-IE"/>
        </w:rPr>
        <w:t>Non-EU manufacturers absorb the price increase</w:t>
      </w:r>
      <w:r w:rsidR="00DF544A" w:rsidRPr="00086326">
        <w:rPr>
          <w:rFonts w:eastAsia="Times New Roman" w:cs="Times New Roman"/>
          <w:bCs/>
          <w:noProof/>
          <w:color w:val="000000"/>
          <w:sz w:val="22"/>
          <w:lang w:eastAsia="en-IE"/>
        </w:rPr>
        <w:t xml:space="preserve"> </w:t>
      </w:r>
      <w:r w:rsidR="00DF544A">
        <w:rPr>
          <w:rFonts w:eastAsia="Times New Roman" w:cs="Times New Roman"/>
          <w:bCs/>
          <w:noProof/>
          <w:color w:val="000000"/>
          <w:sz w:val="22"/>
          <w:lang w:eastAsia="en-IE"/>
        </w:rPr>
        <w:t>scenario,</w:t>
      </w:r>
      <w:r>
        <w:rPr>
          <w:rFonts w:eastAsia="Times New Roman" w:cs="Times New Roman"/>
          <w:noProof/>
          <w:color w:val="000000"/>
          <w:sz w:val="22"/>
          <w:lang w:eastAsia="en-IE"/>
        </w:rPr>
        <w:t xml:space="preserve"> </w:t>
      </w:r>
      <w:r>
        <w:rPr>
          <w:noProof/>
        </w:rPr>
        <w:t xml:space="preserve">if we assume that non-EU manufacturers fully absorb the relative price increase, the price of EVs is expected to decrease by 1.6% by 2027 and by 0.2% by 2030. Consequently, consumers are going to be impacted positively, and the sale of EVs is going to increase by 127 700 vehicles in 2027 and by 10 100 vehicles in 2030. </w:t>
      </w:r>
    </w:p>
    <w:p w14:paraId="3ABD7B09" w14:textId="77777777" w:rsidR="00EB793C" w:rsidRDefault="00EB793C" w:rsidP="00EB793C">
      <w:pPr>
        <w:rPr>
          <w:noProof/>
        </w:rPr>
      </w:pPr>
    </w:p>
    <w:p w14:paraId="1225D500" w14:textId="671CBF68" w:rsidR="00EB793C" w:rsidRDefault="00787B3E" w:rsidP="00EB793C">
      <w:pPr>
        <w:rPr>
          <w:noProof/>
        </w:rPr>
      </w:pPr>
      <w:r>
        <w:rPr>
          <w:noProof/>
        </w:rPr>
        <w:t>For LCVs,</w:t>
      </w:r>
      <w:r w:rsidR="00EB793C">
        <w:rPr>
          <w:noProof/>
        </w:rPr>
        <w:t xml:space="preserve"> prices are going to decrease by 2% in 2027 and by 0.6% in 2030. The sales of EVs are going to increase by 18 500 vehicles in 2027 and by 8 200 vehicles in 2030. </w:t>
      </w:r>
    </w:p>
    <w:p w14:paraId="5069147A" w14:textId="77777777" w:rsidR="00EB793C" w:rsidRDefault="00EB793C" w:rsidP="00EB793C">
      <w:pPr>
        <w:rPr>
          <w:noProof/>
        </w:rPr>
      </w:pPr>
    </w:p>
    <w:p w14:paraId="2A91FEA9" w14:textId="77DE7C03" w:rsidR="00EB793C" w:rsidRDefault="006067A6" w:rsidP="00EB793C">
      <w:pPr>
        <w:rPr>
          <w:noProof/>
        </w:rPr>
      </w:pPr>
      <w:r>
        <w:rPr>
          <w:noProof/>
        </w:rPr>
        <w:t>For HDVs</w:t>
      </w:r>
      <w:r w:rsidR="00EB793C">
        <w:rPr>
          <w:noProof/>
        </w:rPr>
        <w:t xml:space="preserve">, prices are going to slightly decrease by 0.4% in 2027 and then increase by 0.6% in 2030. The sales of EV HDVs are going to slightly increase by 600 vehicles in 2027 and then decrease by 2 000 units in 2030. </w:t>
      </w:r>
    </w:p>
    <w:p w14:paraId="3DE36AB1" w14:textId="77777777" w:rsidR="00EB793C" w:rsidRDefault="00EB793C" w:rsidP="00EB793C">
      <w:pPr>
        <w:rPr>
          <w:noProof/>
        </w:rPr>
      </w:pPr>
    </w:p>
    <w:p w14:paraId="5880E536" w14:textId="5FE23B45" w:rsidR="00EB793C" w:rsidRPr="00012779" w:rsidRDefault="004169DE" w:rsidP="00EB793C">
      <w:pPr>
        <w:rPr>
          <w:b/>
          <w:noProof/>
          <w:lang w:val="en-IE"/>
        </w:rPr>
      </w:pPr>
      <w:r>
        <w:rPr>
          <w:b/>
          <w:noProof/>
          <w:lang w:val="en-IE"/>
        </w:rPr>
        <w:t xml:space="preserve">Impact on </w:t>
      </w:r>
      <w:r w:rsidR="008A6620">
        <w:rPr>
          <w:b/>
          <w:noProof/>
          <w:lang w:val="en-IE"/>
        </w:rPr>
        <w:t>emissions</w:t>
      </w:r>
    </w:p>
    <w:p w14:paraId="63E62B72" w14:textId="77777777" w:rsidR="00EB793C" w:rsidRDefault="00EB793C" w:rsidP="00EB793C">
      <w:pPr>
        <w:rPr>
          <w:noProof/>
          <w:lang w:val="en-IE"/>
        </w:rPr>
      </w:pPr>
    </w:p>
    <w:p w14:paraId="101DA4A9" w14:textId="1FABC6F1" w:rsidR="00EB793C" w:rsidRPr="00A920A2" w:rsidRDefault="00EB793C" w:rsidP="00EB793C">
      <w:pPr>
        <w:rPr>
          <w:noProof/>
          <w:lang w:val="en-US"/>
        </w:rPr>
      </w:pPr>
      <w:r w:rsidRPr="00A920A2">
        <w:rPr>
          <w:noProof/>
          <w:lang w:val="en-US"/>
        </w:rPr>
        <w:t>In</w:t>
      </w:r>
      <w:r w:rsidR="006067A6">
        <w:rPr>
          <w:noProof/>
          <w:lang w:val="en-US"/>
        </w:rPr>
        <w:t xml:space="preserve"> the</w:t>
      </w:r>
      <w:r w:rsidRPr="00A920A2">
        <w:rPr>
          <w:noProof/>
          <w:lang w:val="en-US"/>
        </w:rPr>
        <w:t xml:space="preserve"> </w:t>
      </w:r>
      <w:r w:rsidR="006067A6" w:rsidRPr="00086326">
        <w:rPr>
          <w:rFonts w:eastAsia="Times New Roman" w:cs="Times New Roman"/>
          <w:bCs/>
          <w:i/>
          <w:iCs/>
          <w:noProof/>
          <w:color w:val="000000"/>
          <w:sz w:val="22"/>
          <w:lang w:eastAsia="en-IE"/>
        </w:rPr>
        <w:t>Non-EU manufacturers absorb the price increase</w:t>
      </w:r>
      <w:r w:rsidR="006067A6" w:rsidRPr="00086326">
        <w:rPr>
          <w:rFonts w:eastAsia="Times New Roman" w:cs="Times New Roman"/>
          <w:bCs/>
          <w:noProof/>
          <w:color w:val="000000"/>
          <w:sz w:val="22"/>
          <w:lang w:eastAsia="en-IE"/>
        </w:rPr>
        <w:t xml:space="preserve"> </w:t>
      </w:r>
      <w:r w:rsidR="006067A6">
        <w:rPr>
          <w:rFonts w:eastAsia="Times New Roman" w:cs="Times New Roman"/>
          <w:bCs/>
          <w:noProof/>
          <w:color w:val="000000"/>
          <w:sz w:val="22"/>
          <w:lang w:eastAsia="en-IE"/>
        </w:rPr>
        <w:t>scenario</w:t>
      </w:r>
      <w:r w:rsidRPr="00A920A2">
        <w:rPr>
          <w:noProof/>
          <w:lang w:val="en-US"/>
        </w:rPr>
        <w:t xml:space="preserve">, production and transport emissions are almost unchanged compared to the Reference. In 2027, substitution from EVs to ICEs could lead to higher emissions from the fuel use of </w:t>
      </w:r>
      <w:r>
        <w:rPr>
          <w:noProof/>
          <w:lang w:val="en-US"/>
        </w:rPr>
        <w:t xml:space="preserve">new passenger </w:t>
      </w:r>
      <w:r w:rsidRPr="00A920A2">
        <w:rPr>
          <w:noProof/>
          <w:lang w:val="en-US"/>
        </w:rPr>
        <w:t>cars (</w:t>
      </w:r>
      <w:r>
        <w:rPr>
          <w:noProof/>
          <w:lang w:val="en-US"/>
        </w:rPr>
        <w:t>1</w:t>
      </w:r>
      <w:r w:rsidRPr="00A920A2">
        <w:rPr>
          <w:noProof/>
          <w:lang w:val="en-US"/>
        </w:rPr>
        <w:t xml:space="preserve"> Mt) in </w:t>
      </w:r>
      <w:r w:rsidR="006067A6" w:rsidRPr="00086326">
        <w:rPr>
          <w:i/>
          <w:iCs/>
          <w:noProof/>
        </w:rPr>
        <w:t>Internal market reaction</w:t>
      </w:r>
      <w:r w:rsidRPr="00A920A2">
        <w:rPr>
          <w:noProof/>
          <w:lang w:val="en-US"/>
        </w:rPr>
        <w:t>, but to lower emissions (2.</w:t>
      </w:r>
      <w:r>
        <w:rPr>
          <w:noProof/>
          <w:lang w:val="en-US"/>
        </w:rPr>
        <w:t>8</w:t>
      </w:r>
      <w:r w:rsidRPr="00A920A2">
        <w:rPr>
          <w:noProof/>
          <w:lang w:val="en-US"/>
        </w:rPr>
        <w:t xml:space="preserve"> Mt) in </w:t>
      </w:r>
      <w:r w:rsidR="006067A6" w:rsidRPr="00086326">
        <w:rPr>
          <w:rFonts w:eastAsia="Times New Roman" w:cs="Times New Roman"/>
          <w:bCs/>
          <w:i/>
          <w:iCs/>
          <w:noProof/>
          <w:color w:val="000000"/>
          <w:sz w:val="22"/>
          <w:lang w:eastAsia="en-IE"/>
        </w:rPr>
        <w:t>Non-EU manufacturers absorb the price increase</w:t>
      </w:r>
      <w:r>
        <w:rPr>
          <w:noProof/>
          <w:lang w:val="en-US"/>
        </w:rPr>
        <w:t>;</w:t>
      </w:r>
      <w:r w:rsidRPr="00A920A2">
        <w:rPr>
          <w:noProof/>
          <w:lang w:val="en-US"/>
        </w:rPr>
        <w:t xml:space="preserve"> this effect almost disappears in 2030.</w:t>
      </w:r>
    </w:p>
    <w:p w14:paraId="5C429E9E" w14:textId="38E877A4" w:rsidR="00EB793C" w:rsidRDefault="00EB793C" w:rsidP="00EB793C">
      <w:pPr>
        <w:rPr>
          <w:noProof/>
        </w:rPr>
      </w:pPr>
      <w:r>
        <w:rPr>
          <w:noProof/>
        </w:rPr>
        <w:t>In sum, the environmental effects remain limited and are very similar across LEAD_VC</w:t>
      </w:r>
      <w:r w:rsidR="0034088F">
        <w:rPr>
          <w:noProof/>
        </w:rPr>
        <w:t xml:space="preserve"> </w:t>
      </w:r>
      <w:r>
        <w:rPr>
          <w:noProof/>
        </w:rPr>
        <w:t>1 and LEAD_VC</w:t>
      </w:r>
      <w:r w:rsidR="0034088F">
        <w:rPr>
          <w:noProof/>
        </w:rPr>
        <w:t xml:space="preserve"> </w:t>
      </w:r>
      <w:r>
        <w:rPr>
          <w:noProof/>
        </w:rPr>
        <w:t>2.</w:t>
      </w:r>
    </w:p>
    <w:p w14:paraId="626DFAE6" w14:textId="77777777" w:rsidR="00837B6E" w:rsidRPr="00BF126E" w:rsidRDefault="00837B6E" w:rsidP="00EB793C">
      <w:pPr>
        <w:pStyle w:val="Text2"/>
        <w:tabs>
          <w:tab w:val="clear" w:pos="2302"/>
        </w:tabs>
        <w:spacing w:after="0"/>
        <w:ind w:left="0"/>
        <w:rPr>
          <w:b/>
          <w:noProof/>
          <w:lang w:val="en-IE"/>
        </w:rPr>
      </w:pPr>
    </w:p>
    <w:p w14:paraId="36810CED" w14:textId="18F311DC" w:rsidR="00E8433A" w:rsidRPr="008F1181" w:rsidRDefault="008A6620" w:rsidP="008A6620">
      <w:pPr>
        <w:pStyle w:val="Text2"/>
        <w:numPr>
          <w:ilvl w:val="0"/>
          <w:numId w:val="163"/>
        </w:numPr>
        <w:tabs>
          <w:tab w:val="clear" w:pos="2302"/>
        </w:tabs>
        <w:spacing w:after="0"/>
        <w:rPr>
          <w:b/>
          <w:noProof/>
        </w:rPr>
      </w:pPr>
      <w:r w:rsidRPr="00FF63D1">
        <w:rPr>
          <w:b/>
          <w:noProof/>
        </w:rPr>
        <w:t xml:space="preserve">Introduce </w:t>
      </w:r>
      <w:r>
        <w:rPr>
          <w:b/>
          <w:noProof/>
        </w:rPr>
        <w:t xml:space="preserve">Made in </w:t>
      </w:r>
      <w:r w:rsidRPr="00FF63D1">
        <w:rPr>
          <w:b/>
          <w:noProof/>
        </w:rPr>
        <w:t>EU requirements in automotive components for public procurement, public support schemes and all vehicles placing on the market.</w:t>
      </w:r>
    </w:p>
    <w:p w14:paraId="5A49DEFF" w14:textId="77777777" w:rsidR="00837B6E" w:rsidRPr="008F1181" w:rsidRDefault="00837B6E" w:rsidP="00EB793C">
      <w:pPr>
        <w:pStyle w:val="Text2"/>
        <w:tabs>
          <w:tab w:val="clear" w:pos="2302"/>
        </w:tabs>
        <w:spacing w:after="0"/>
        <w:ind w:left="0"/>
        <w:rPr>
          <w:b/>
          <w:noProof/>
        </w:rPr>
      </w:pPr>
    </w:p>
    <w:p w14:paraId="3DCE9F36" w14:textId="0020F12D" w:rsidR="00EB793C" w:rsidRPr="008F1181" w:rsidRDefault="008A6620" w:rsidP="00EB793C">
      <w:pPr>
        <w:pStyle w:val="Text2"/>
        <w:tabs>
          <w:tab w:val="clear" w:pos="2302"/>
        </w:tabs>
        <w:spacing w:after="0"/>
        <w:ind w:left="0"/>
        <w:rPr>
          <w:b/>
          <w:noProof/>
          <w:lang w:val="fr-FR"/>
        </w:rPr>
      </w:pPr>
      <w:r w:rsidRPr="008F1181">
        <w:rPr>
          <w:b/>
          <w:noProof/>
          <w:lang w:val="fr-FR"/>
        </w:rPr>
        <w:t xml:space="preserve">Impact on </w:t>
      </w:r>
      <w:r w:rsidR="00EB793C" w:rsidRPr="008F1181">
        <w:rPr>
          <w:b/>
          <w:noProof/>
          <w:lang w:val="fr-FR"/>
        </w:rPr>
        <w:t>EU vehicle component suppliers</w:t>
      </w:r>
    </w:p>
    <w:p w14:paraId="6C40CD0F" w14:textId="233715F3" w:rsidR="00FC5196" w:rsidRPr="008F1181" w:rsidRDefault="00FC5196" w:rsidP="00EB793C">
      <w:pPr>
        <w:pStyle w:val="Text2"/>
        <w:tabs>
          <w:tab w:val="clear" w:pos="2302"/>
        </w:tabs>
        <w:spacing w:after="0"/>
        <w:ind w:left="0"/>
        <w:rPr>
          <w:noProof/>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5"/>
        <w:gridCol w:w="353"/>
        <w:gridCol w:w="929"/>
        <w:gridCol w:w="929"/>
      </w:tblGrid>
      <w:tr w:rsidR="00FC5196" w:rsidRPr="00FF63D1" w14:paraId="414D3A31" w14:textId="77777777" w:rsidTr="007F7094">
        <w:trPr>
          <w:trHeight w:val="337"/>
        </w:trPr>
        <w:tc>
          <w:tcPr>
            <w:tcW w:w="5000" w:type="pct"/>
            <w:gridSpan w:val="4"/>
            <w:shd w:val="clear" w:color="auto" w:fill="E2EFDA"/>
            <w:noWrap/>
            <w:vAlign w:val="bottom"/>
            <w:hideMark/>
          </w:tcPr>
          <w:p w14:paraId="7150BC1B" w14:textId="166D10CF" w:rsidR="00FC5196" w:rsidRPr="00FF63D1" w:rsidRDefault="00FC5196">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EU supplier</w:t>
            </w:r>
            <w:r>
              <w:rPr>
                <w:rFonts w:ascii="Calibri" w:eastAsia="Times New Roman" w:hAnsi="Calibri" w:cs="Calibri"/>
                <w:b/>
                <w:noProof/>
                <w:color w:val="000000"/>
                <w:sz w:val="22"/>
                <w:lang w:eastAsia="en-IE"/>
              </w:rPr>
              <w:t>s in the “</w:t>
            </w:r>
            <w:r w:rsidRPr="00FC5196">
              <w:rPr>
                <w:rFonts w:ascii="Calibri" w:eastAsia="Times New Roman" w:hAnsi="Calibri" w:cs="Calibri"/>
                <w:b/>
                <w:noProof/>
                <w:color w:val="000000"/>
                <w:sz w:val="22"/>
                <w:lang w:eastAsia="en-IE"/>
              </w:rPr>
              <w:t>Non-EU manufacturers absorb the price increase</w:t>
            </w:r>
            <w:r>
              <w:rPr>
                <w:rFonts w:ascii="Calibri" w:eastAsia="Times New Roman" w:hAnsi="Calibri" w:cs="Calibri"/>
                <w:b/>
                <w:noProof/>
                <w:color w:val="000000"/>
                <w:sz w:val="22"/>
                <w:lang w:eastAsia="en-IE"/>
              </w:rPr>
              <w:t>” scenario</w:t>
            </w:r>
          </w:p>
        </w:tc>
      </w:tr>
      <w:tr w:rsidR="00FC5196" w:rsidRPr="00FF63D1" w14:paraId="2B4A5643" w14:textId="77777777" w:rsidTr="007F7094">
        <w:trPr>
          <w:trHeight w:val="327"/>
        </w:trPr>
        <w:tc>
          <w:tcPr>
            <w:tcW w:w="3774" w:type="pct"/>
            <w:tcBorders>
              <w:left w:val="nil"/>
              <w:right w:val="nil"/>
            </w:tcBorders>
            <w:shd w:val="clear" w:color="auto" w:fill="FFFFFF" w:themeFill="background1"/>
            <w:noWrap/>
            <w:vAlign w:val="bottom"/>
            <w:hideMark/>
          </w:tcPr>
          <w:p w14:paraId="4ABE304F" w14:textId="69ACDCE8" w:rsidR="00FC5196" w:rsidRPr="00FF0C9D" w:rsidRDefault="00FC5196">
            <w:pPr>
              <w:jc w:val="left"/>
              <w:rPr>
                <w:rFonts w:ascii="Calibri" w:eastAsia="Times New Roman" w:hAnsi="Calibri" w:cs="Calibri"/>
                <w:noProof/>
                <w:color w:val="000000"/>
                <w:sz w:val="22"/>
                <w:lang w:eastAsia="en-IE"/>
              </w:rPr>
            </w:pPr>
            <w:r w:rsidRPr="00FF63D1">
              <w:rPr>
                <w:rFonts w:ascii="Calibri" w:eastAsia="Times New Roman" w:hAnsi="Calibri" w:cs="Calibri"/>
                <w:b/>
                <w:noProof/>
                <w:color w:val="000000"/>
                <w:sz w:val="22"/>
                <w:lang w:eastAsia="en-IE"/>
              </w:rPr>
              <w:t> </w:t>
            </w:r>
            <w:r w:rsidR="000B538E">
              <w:rPr>
                <w:rFonts w:ascii="Calibri" w:eastAsia="Times New Roman" w:hAnsi="Calibri" w:cs="Calibri"/>
                <w:bCs/>
                <w:noProof/>
                <w:color w:val="000000"/>
                <w:sz w:val="22"/>
                <w:lang w:eastAsia="en-IE"/>
              </w:rPr>
              <w:t>In EUR billion</w:t>
            </w:r>
          </w:p>
        </w:tc>
        <w:tc>
          <w:tcPr>
            <w:tcW w:w="196" w:type="pct"/>
            <w:tcBorders>
              <w:left w:val="nil"/>
              <w:right w:val="nil"/>
            </w:tcBorders>
            <w:shd w:val="clear" w:color="auto" w:fill="FFFFFF" w:themeFill="background1"/>
            <w:noWrap/>
            <w:vAlign w:val="bottom"/>
            <w:hideMark/>
          </w:tcPr>
          <w:p w14:paraId="7D501D9D" w14:textId="77777777" w:rsidR="00FC5196" w:rsidRPr="00FF63D1" w:rsidRDefault="00FC5196">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15" w:type="pct"/>
            <w:tcBorders>
              <w:left w:val="nil"/>
              <w:right w:val="nil"/>
            </w:tcBorders>
            <w:shd w:val="clear" w:color="auto" w:fill="FFFFFF" w:themeFill="background1"/>
            <w:noWrap/>
            <w:vAlign w:val="bottom"/>
            <w:hideMark/>
          </w:tcPr>
          <w:p w14:paraId="058D04DA" w14:textId="77777777" w:rsidR="00FC5196" w:rsidRPr="00FF63D1" w:rsidRDefault="00FC5196">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515" w:type="pct"/>
            <w:tcBorders>
              <w:left w:val="nil"/>
              <w:right w:val="nil"/>
            </w:tcBorders>
            <w:shd w:val="clear" w:color="auto" w:fill="FFFFFF" w:themeFill="background1"/>
            <w:noWrap/>
            <w:vAlign w:val="bottom"/>
            <w:hideMark/>
          </w:tcPr>
          <w:p w14:paraId="0DFFD991" w14:textId="77777777" w:rsidR="00FC5196" w:rsidRPr="00FF63D1" w:rsidRDefault="00FC5196">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FC5196" w:rsidRPr="00FF63D1" w14:paraId="23CB6941" w14:textId="77777777" w:rsidTr="007F7094">
        <w:trPr>
          <w:trHeight w:val="327"/>
        </w:trPr>
        <w:tc>
          <w:tcPr>
            <w:tcW w:w="3774" w:type="pct"/>
            <w:tcBorders>
              <w:left w:val="nil"/>
              <w:right w:val="nil"/>
            </w:tcBorders>
            <w:shd w:val="clear" w:color="auto" w:fill="FFFFFF" w:themeFill="background1"/>
            <w:noWrap/>
            <w:vAlign w:val="bottom"/>
            <w:hideMark/>
          </w:tcPr>
          <w:p w14:paraId="5DDBFFDC" w14:textId="77777777" w:rsidR="00FC5196" w:rsidRPr="00FF63D1" w:rsidRDefault="00FC5196">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196" w:type="pct"/>
            <w:tcBorders>
              <w:left w:val="nil"/>
              <w:right w:val="nil"/>
            </w:tcBorders>
            <w:shd w:val="clear" w:color="auto" w:fill="FFFFFF" w:themeFill="background1"/>
            <w:noWrap/>
            <w:vAlign w:val="bottom"/>
            <w:hideMark/>
          </w:tcPr>
          <w:p w14:paraId="5BF38B9D" w14:textId="77777777" w:rsidR="00FC5196" w:rsidRPr="00FF63D1" w:rsidRDefault="00FC5196">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515" w:type="pct"/>
            <w:tcBorders>
              <w:left w:val="nil"/>
              <w:right w:val="nil"/>
            </w:tcBorders>
            <w:shd w:val="clear" w:color="auto" w:fill="FFFFFF" w:themeFill="background1"/>
            <w:noWrap/>
            <w:vAlign w:val="bottom"/>
            <w:hideMark/>
          </w:tcPr>
          <w:p w14:paraId="293FE712" w14:textId="77777777" w:rsidR="00FC5196" w:rsidRPr="00FF63D1" w:rsidRDefault="00FC5196">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15" w:type="pct"/>
            <w:tcBorders>
              <w:left w:val="nil"/>
              <w:right w:val="nil"/>
            </w:tcBorders>
            <w:shd w:val="clear" w:color="auto" w:fill="FFFFFF" w:themeFill="background1"/>
            <w:noWrap/>
            <w:vAlign w:val="bottom"/>
            <w:hideMark/>
          </w:tcPr>
          <w:p w14:paraId="139059A2" w14:textId="77777777" w:rsidR="00FC5196" w:rsidRPr="00FF63D1" w:rsidRDefault="00FC5196">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r>
      <w:tr w:rsidR="00FC5196" w:rsidRPr="00FF63D1" w14:paraId="68248366" w14:textId="77777777" w:rsidTr="007F7094">
        <w:trPr>
          <w:trHeight w:val="327"/>
        </w:trPr>
        <w:tc>
          <w:tcPr>
            <w:tcW w:w="3774" w:type="pct"/>
            <w:tcBorders>
              <w:left w:val="nil"/>
              <w:right w:val="nil"/>
            </w:tcBorders>
            <w:shd w:val="clear" w:color="auto" w:fill="FFFFFF" w:themeFill="background1"/>
            <w:noWrap/>
            <w:vAlign w:val="bottom"/>
            <w:hideMark/>
          </w:tcPr>
          <w:p w14:paraId="4D91AE71" w14:textId="4F2C33AC" w:rsidR="00FC5196" w:rsidRPr="00FF63D1" w:rsidRDefault="00FC5196" w:rsidP="00FC5196">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w:t>
            </w:r>
          </w:p>
        </w:tc>
        <w:tc>
          <w:tcPr>
            <w:tcW w:w="196" w:type="pct"/>
            <w:tcBorders>
              <w:left w:val="nil"/>
              <w:right w:val="nil"/>
            </w:tcBorders>
            <w:shd w:val="clear" w:color="auto" w:fill="FFFFFF" w:themeFill="background1"/>
            <w:noWrap/>
            <w:vAlign w:val="bottom"/>
            <w:hideMark/>
          </w:tcPr>
          <w:p w14:paraId="68DDF7FF" w14:textId="77777777" w:rsidR="00FC5196" w:rsidRPr="00FF63D1" w:rsidRDefault="00FC5196" w:rsidP="00FC5196">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15" w:type="pct"/>
            <w:tcBorders>
              <w:left w:val="nil"/>
              <w:right w:val="nil"/>
            </w:tcBorders>
            <w:shd w:val="clear" w:color="auto" w:fill="FFFFFF" w:themeFill="background1"/>
            <w:noWrap/>
            <w:vAlign w:val="bottom"/>
            <w:hideMark/>
          </w:tcPr>
          <w:p w14:paraId="267FCE66" w14:textId="58E35E94" w:rsidR="00FC5196" w:rsidRPr="00FF63D1" w:rsidRDefault="00FC5196" w:rsidP="00FC5196">
            <w:pPr>
              <w:jc w:val="center"/>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1.1</w:t>
            </w:r>
          </w:p>
        </w:tc>
        <w:tc>
          <w:tcPr>
            <w:tcW w:w="515" w:type="pct"/>
            <w:tcBorders>
              <w:left w:val="nil"/>
              <w:right w:val="nil"/>
            </w:tcBorders>
            <w:shd w:val="clear" w:color="auto" w:fill="FFFFFF" w:themeFill="background1"/>
            <w:noWrap/>
            <w:vAlign w:val="bottom"/>
            <w:hideMark/>
          </w:tcPr>
          <w:p w14:paraId="101DF3F4" w14:textId="730062E9" w:rsidR="00FC5196" w:rsidRPr="00FF63D1" w:rsidRDefault="00FC5196" w:rsidP="00FC5196">
            <w:pPr>
              <w:jc w:val="center"/>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1.9</w:t>
            </w:r>
          </w:p>
        </w:tc>
      </w:tr>
      <w:tr w:rsidR="00FC5196" w:rsidRPr="00DD0545" w14:paraId="2899DC6B" w14:textId="77777777" w:rsidTr="007F7094">
        <w:trPr>
          <w:trHeight w:val="327"/>
        </w:trPr>
        <w:tc>
          <w:tcPr>
            <w:tcW w:w="3774" w:type="pct"/>
            <w:tcBorders>
              <w:left w:val="nil"/>
              <w:right w:val="nil"/>
            </w:tcBorders>
            <w:shd w:val="clear" w:color="auto" w:fill="FFFFFF" w:themeFill="background1"/>
            <w:noWrap/>
            <w:vAlign w:val="bottom"/>
            <w:hideMark/>
          </w:tcPr>
          <w:p w14:paraId="5BD1BCE4" w14:textId="77777777" w:rsidR="00FC5196" w:rsidRPr="008F1181" w:rsidRDefault="00FC5196">
            <w:pPr>
              <w:jc w:val="left"/>
              <w:rPr>
                <w:rFonts w:ascii="Calibri" w:eastAsia="Times New Roman" w:hAnsi="Calibri" w:cs="Calibri"/>
                <w:b/>
                <w:i/>
                <w:noProof/>
                <w:color w:val="000000"/>
                <w:sz w:val="22"/>
                <w:lang w:eastAsia="en-IE"/>
              </w:rPr>
            </w:pPr>
            <w:r w:rsidRPr="008F1181">
              <w:rPr>
                <w:rFonts w:ascii="Calibri" w:eastAsia="Times New Roman" w:hAnsi="Calibri" w:cs="Calibri"/>
                <w:b/>
                <w:i/>
                <w:noProof/>
                <w:color w:val="000000" w:themeColor="text1"/>
                <w:sz w:val="22"/>
                <w:lang w:eastAsia="en-IE"/>
              </w:rPr>
              <w:t>LCVs</w:t>
            </w:r>
          </w:p>
        </w:tc>
        <w:tc>
          <w:tcPr>
            <w:tcW w:w="196" w:type="pct"/>
            <w:tcBorders>
              <w:left w:val="nil"/>
              <w:right w:val="nil"/>
            </w:tcBorders>
            <w:shd w:val="clear" w:color="auto" w:fill="FFFFFF" w:themeFill="background1"/>
            <w:noWrap/>
            <w:vAlign w:val="bottom"/>
            <w:hideMark/>
          </w:tcPr>
          <w:p w14:paraId="184852B1" w14:textId="77777777" w:rsidR="00FC5196" w:rsidRPr="008F1181" w:rsidRDefault="00FC5196">
            <w:pPr>
              <w:jc w:val="left"/>
              <w:rPr>
                <w:rFonts w:ascii="Calibri" w:eastAsia="Times New Roman" w:hAnsi="Calibri" w:cs="Calibri"/>
                <w:b/>
                <w:i/>
                <w:noProof/>
                <w:color w:val="000000"/>
                <w:sz w:val="22"/>
                <w:lang w:eastAsia="en-IE"/>
              </w:rPr>
            </w:pPr>
            <w:r w:rsidRPr="008F1181">
              <w:rPr>
                <w:rFonts w:ascii="Calibri" w:eastAsia="Times New Roman" w:hAnsi="Calibri" w:cs="Calibri"/>
                <w:b/>
                <w:i/>
                <w:noProof/>
                <w:color w:val="000000"/>
                <w:sz w:val="22"/>
                <w:lang w:eastAsia="en-IE"/>
              </w:rPr>
              <w:t> </w:t>
            </w:r>
          </w:p>
        </w:tc>
        <w:tc>
          <w:tcPr>
            <w:tcW w:w="515" w:type="pct"/>
            <w:tcBorders>
              <w:left w:val="nil"/>
              <w:right w:val="nil"/>
            </w:tcBorders>
            <w:shd w:val="clear" w:color="auto" w:fill="FFFFFF" w:themeFill="background1"/>
            <w:noWrap/>
            <w:vAlign w:val="bottom"/>
            <w:hideMark/>
          </w:tcPr>
          <w:p w14:paraId="29991E4E" w14:textId="77777777" w:rsidR="00FC5196" w:rsidRPr="008F1181" w:rsidRDefault="00FC5196">
            <w:pPr>
              <w:jc w:val="left"/>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 </w:t>
            </w:r>
          </w:p>
        </w:tc>
        <w:tc>
          <w:tcPr>
            <w:tcW w:w="515" w:type="pct"/>
            <w:tcBorders>
              <w:left w:val="nil"/>
              <w:right w:val="nil"/>
            </w:tcBorders>
            <w:shd w:val="clear" w:color="auto" w:fill="FFFFFF" w:themeFill="background1"/>
            <w:noWrap/>
            <w:vAlign w:val="bottom"/>
            <w:hideMark/>
          </w:tcPr>
          <w:p w14:paraId="722C4D2E" w14:textId="77777777" w:rsidR="00FC5196" w:rsidRPr="008F1181" w:rsidRDefault="00FC5196">
            <w:pPr>
              <w:jc w:val="left"/>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 </w:t>
            </w:r>
          </w:p>
        </w:tc>
      </w:tr>
      <w:tr w:rsidR="00FC5196" w:rsidRPr="00FF63D1" w14:paraId="1075DBE1" w14:textId="77777777" w:rsidTr="007F7094">
        <w:trPr>
          <w:trHeight w:val="327"/>
        </w:trPr>
        <w:tc>
          <w:tcPr>
            <w:tcW w:w="3774" w:type="pct"/>
            <w:tcBorders>
              <w:left w:val="nil"/>
              <w:right w:val="nil"/>
            </w:tcBorders>
            <w:shd w:val="clear" w:color="auto" w:fill="FFFFFF" w:themeFill="background1"/>
            <w:noWrap/>
            <w:vAlign w:val="bottom"/>
            <w:hideMark/>
          </w:tcPr>
          <w:p w14:paraId="31A9AE58" w14:textId="6DC71C75" w:rsidR="00FC5196" w:rsidRPr="00FF63D1" w:rsidRDefault="00FC5196" w:rsidP="00FC5196">
            <w:pPr>
              <w:jc w:val="left"/>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 xml:space="preserve">   </w:t>
            </w:r>
            <w:r w:rsidRPr="00FF63D1">
              <w:rPr>
                <w:rFonts w:ascii="Calibri" w:eastAsia="Times New Roman" w:hAnsi="Calibri" w:cs="Calibri"/>
                <w:noProof/>
                <w:color w:val="000000"/>
                <w:sz w:val="22"/>
                <w:lang w:eastAsia="en-IE"/>
              </w:rPr>
              <w:t>sales increase</w:t>
            </w:r>
          </w:p>
        </w:tc>
        <w:tc>
          <w:tcPr>
            <w:tcW w:w="196" w:type="pct"/>
            <w:tcBorders>
              <w:left w:val="nil"/>
              <w:right w:val="nil"/>
            </w:tcBorders>
            <w:shd w:val="clear" w:color="auto" w:fill="FFFFFF" w:themeFill="background1"/>
            <w:noWrap/>
            <w:vAlign w:val="bottom"/>
            <w:hideMark/>
          </w:tcPr>
          <w:p w14:paraId="559225A8" w14:textId="77777777" w:rsidR="00FC5196" w:rsidRPr="00FF63D1" w:rsidRDefault="00FC5196" w:rsidP="00FC5196">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515" w:type="pct"/>
            <w:tcBorders>
              <w:left w:val="nil"/>
              <w:right w:val="nil"/>
            </w:tcBorders>
            <w:shd w:val="clear" w:color="auto" w:fill="FFFFFF" w:themeFill="background1"/>
            <w:noWrap/>
            <w:vAlign w:val="bottom"/>
            <w:hideMark/>
          </w:tcPr>
          <w:p w14:paraId="62BB8701" w14:textId="7DF55447" w:rsidR="00FC5196" w:rsidRPr="00FF63D1" w:rsidRDefault="00FC5196" w:rsidP="00FC5196">
            <w:pPr>
              <w:jc w:val="center"/>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0.2</w:t>
            </w:r>
          </w:p>
        </w:tc>
        <w:tc>
          <w:tcPr>
            <w:tcW w:w="515" w:type="pct"/>
            <w:tcBorders>
              <w:left w:val="nil"/>
              <w:right w:val="nil"/>
            </w:tcBorders>
            <w:shd w:val="clear" w:color="auto" w:fill="FFFFFF" w:themeFill="background1"/>
            <w:noWrap/>
            <w:vAlign w:val="bottom"/>
            <w:hideMark/>
          </w:tcPr>
          <w:p w14:paraId="4F371D8F" w14:textId="253C77C8" w:rsidR="00FC5196" w:rsidRPr="00FF63D1" w:rsidRDefault="00FC5196" w:rsidP="00FC5196">
            <w:pPr>
              <w:jc w:val="center"/>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0.3</w:t>
            </w:r>
          </w:p>
        </w:tc>
      </w:tr>
      <w:tr w:rsidR="00FC5196" w:rsidRPr="00FF63D1" w14:paraId="2E2D462B" w14:textId="77777777" w:rsidTr="007F7094">
        <w:trPr>
          <w:trHeight w:val="327"/>
        </w:trPr>
        <w:tc>
          <w:tcPr>
            <w:tcW w:w="3774" w:type="pct"/>
            <w:tcBorders>
              <w:left w:val="nil"/>
              <w:right w:val="nil"/>
            </w:tcBorders>
            <w:shd w:val="clear" w:color="auto" w:fill="FFFFFF" w:themeFill="background1"/>
            <w:noWrap/>
            <w:vAlign w:val="bottom"/>
          </w:tcPr>
          <w:p w14:paraId="148113EB" w14:textId="77777777" w:rsidR="00FC5196" w:rsidRPr="008F1181" w:rsidRDefault="00FC5196">
            <w:pPr>
              <w:jc w:val="left"/>
              <w:rPr>
                <w:rFonts w:ascii="Calibri" w:eastAsia="Times New Roman" w:hAnsi="Calibri" w:cs="Calibri"/>
                <w:noProof/>
                <w:color w:val="000000"/>
                <w:sz w:val="22"/>
                <w:lang w:eastAsia="en-IE"/>
              </w:rPr>
            </w:pPr>
            <w:r w:rsidRPr="008F1181">
              <w:rPr>
                <w:rFonts w:ascii="Calibri" w:eastAsia="Times New Roman" w:hAnsi="Calibri" w:cs="Calibri"/>
                <w:b/>
                <w:i/>
                <w:noProof/>
                <w:color w:val="000000" w:themeColor="text1"/>
                <w:sz w:val="22"/>
                <w:lang w:eastAsia="en-IE"/>
              </w:rPr>
              <w:t>HDVs</w:t>
            </w:r>
          </w:p>
        </w:tc>
        <w:tc>
          <w:tcPr>
            <w:tcW w:w="196" w:type="pct"/>
            <w:tcBorders>
              <w:left w:val="nil"/>
              <w:right w:val="nil"/>
            </w:tcBorders>
            <w:shd w:val="clear" w:color="auto" w:fill="FFFFFF" w:themeFill="background1"/>
            <w:noWrap/>
            <w:vAlign w:val="bottom"/>
          </w:tcPr>
          <w:p w14:paraId="36E5D54B" w14:textId="77777777" w:rsidR="00FC5196" w:rsidRPr="00FF63D1" w:rsidRDefault="00FC5196">
            <w:pPr>
              <w:jc w:val="left"/>
              <w:rPr>
                <w:rFonts w:ascii="Calibri" w:eastAsia="Times New Roman" w:hAnsi="Calibri" w:cs="Calibri"/>
                <w:noProof/>
                <w:color w:val="000000"/>
                <w:sz w:val="22"/>
                <w:lang w:eastAsia="en-IE"/>
              </w:rPr>
            </w:pPr>
          </w:p>
        </w:tc>
        <w:tc>
          <w:tcPr>
            <w:tcW w:w="515" w:type="pct"/>
            <w:tcBorders>
              <w:left w:val="nil"/>
              <w:right w:val="nil"/>
            </w:tcBorders>
            <w:shd w:val="clear" w:color="auto" w:fill="FFFFFF" w:themeFill="background1"/>
            <w:noWrap/>
            <w:vAlign w:val="bottom"/>
          </w:tcPr>
          <w:p w14:paraId="2A347D8E" w14:textId="77777777" w:rsidR="00FC5196" w:rsidRPr="00FF63D1" w:rsidRDefault="00FC5196">
            <w:pPr>
              <w:jc w:val="center"/>
              <w:rPr>
                <w:rFonts w:ascii="Calibri" w:eastAsia="Times New Roman" w:hAnsi="Calibri" w:cs="Calibri"/>
                <w:noProof/>
                <w:color w:val="000000"/>
                <w:sz w:val="22"/>
                <w:lang w:eastAsia="en-IE"/>
              </w:rPr>
            </w:pPr>
          </w:p>
        </w:tc>
        <w:tc>
          <w:tcPr>
            <w:tcW w:w="515" w:type="pct"/>
            <w:tcBorders>
              <w:left w:val="nil"/>
              <w:right w:val="nil"/>
            </w:tcBorders>
            <w:shd w:val="clear" w:color="auto" w:fill="FFFFFF" w:themeFill="background1"/>
            <w:noWrap/>
            <w:vAlign w:val="bottom"/>
          </w:tcPr>
          <w:p w14:paraId="3AC18C39" w14:textId="77777777" w:rsidR="00FC5196" w:rsidRPr="00FF63D1" w:rsidRDefault="00FC5196">
            <w:pPr>
              <w:jc w:val="center"/>
              <w:rPr>
                <w:rFonts w:ascii="Calibri" w:eastAsia="Times New Roman" w:hAnsi="Calibri" w:cs="Calibri"/>
                <w:noProof/>
                <w:color w:val="000000"/>
                <w:sz w:val="22"/>
                <w:lang w:eastAsia="en-IE"/>
              </w:rPr>
            </w:pPr>
          </w:p>
        </w:tc>
      </w:tr>
      <w:tr w:rsidR="00FC5196" w:rsidRPr="00FF63D1" w14:paraId="79C52098" w14:textId="77777777" w:rsidTr="007F7094">
        <w:trPr>
          <w:trHeight w:val="327"/>
        </w:trPr>
        <w:tc>
          <w:tcPr>
            <w:tcW w:w="3774" w:type="pct"/>
            <w:tcBorders>
              <w:left w:val="nil"/>
              <w:right w:val="nil"/>
            </w:tcBorders>
            <w:shd w:val="clear" w:color="auto" w:fill="FFFFFF" w:themeFill="background1"/>
            <w:noWrap/>
            <w:vAlign w:val="bottom"/>
          </w:tcPr>
          <w:p w14:paraId="19E9A2D6" w14:textId="0A9B9F94" w:rsidR="00FC5196" w:rsidRPr="008F1181" w:rsidRDefault="00FC5196">
            <w:pPr>
              <w:jc w:val="left"/>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 xml:space="preserve">   </w:t>
            </w:r>
            <w:r w:rsidRPr="00FF63D1">
              <w:rPr>
                <w:rFonts w:ascii="Calibri" w:eastAsia="Times New Roman" w:hAnsi="Calibri" w:cs="Calibri"/>
                <w:noProof/>
                <w:color w:val="000000"/>
                <w:sz w:val="22"/>
                <w:lang w:eastAsia="en-IE"/>
              </w:rPr>
              <w:t>sales increase</w:t>
            </w:r>
          </w:p>
        </w:tc>
        <w:tc>
          <w:tcPr>
            <w:tcW w:w="196" w:type="pct"/>
            <w:tcBorders>
              <w:left w:val="nil"/>
              <w:right w:val="nil"/>
            </w:tcBorders>
            <w:shd w:val="clear" w:color="auto" w:fill="FFFFFF" w:themeFill="background1"/>
            <w:noWrap/>
            <w:vAlign w:val="bottom"/>
          </w:tcPr>
          <w:p w14:paraId="33189C99" w14:textId="77777777" w:rsidR="00FC5196" w:rsidRPr="00FF63D1" w:rsidRDefault="00FC5196">
            <w:pPr>
              <w:jc w:val="left"/>
              <w:rPr>
                <w:rFonts w:ascii="Calibri" w:eastAsia="Times New Roman" w:hAnsi="Calibri" w:cs="Calibri"/>
                <w:noProof/>
                <w:color w:val="000000"/>
                <w:sz w:val="22"/>
                <w:lang w:eastAsia="en-IE"/>
              </w:rPr>
            </w:pPr>
          </w:p>
        </w:tc>
        <w:tc>
          <w:tcPr>
            <w:tcW w:w="515" w:type="pct"/>
            <w:tcBorders>
              <w:left w:val="nil"/>
              <w:right w:val="nil"/>
            </w:tcBorders>
            <w:shd w:val="clear" w:color="auto" w:fill="FFFFFF" w:themeFill="background1"/>
            <w:noWrap/>
            <w:vAlign w:val="bottom"/>
          </w:tcPr>
          <w:p w14:paraId="523C5D8B" w14:textId="12AF9380" w:rsidR="00FC5196" w:rsidRPr="00FF63D1" w:rsidRDefault="00FC5196">
            <w:pPr>
              <w:jc w:val="center"/>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0.</w:t>
            </w:r>
            <w:r w:rsidR="00F87162" w:rsidRPr="008F1181">
              <w:rPr>
                <w:rFonts w:ascii="Calibri" w:eastAsia="Times New Roman" w:hAnsi="Calibri" w:cs="Calibri"/>
                <w:noProof/>
                <w:color w:val="000000"/>
                <w:sz w:val="22"/>
                <w:lang w:eastAsia="en-IE"/>
              </w:rPr>
              <w:t>031</w:t>
            </w:r>
          </w:p>
        </w:tc>
        <w:tc>
          <w:tcPr>
            <w:tcW w:w="515" w:type="pct"/>
            <w:tcBorders>
              <w:left w:val="nil"/>
              <w:right w:val="nil"/>
            </w:tcBorders>
            <w:shd w:val="clear" w:color="auto" w:fill="FFFFFF" w:themeFill="background1"/>
            <w:noWrap/>
            <w:vAlign w:val="bottom"/>
          </w:tcPr>
          <w:p w14:paraId="70DD6DAB" w14:textId="29BC6E6D" w:rsidR="00FC5196" w:rsidRPr="00FF63D1" w:rsidRDefault="00FC5196">
            <w:pPr>
              <w:jc w:val="center"/>
              <w:rPr>
                <w:rFonts w:ascii="Calibri" w:eastAsia="Times New Roman" w:hAnsi="Calibri" w:cs="Calibri"/>
                <w:noProof/>
                <w:color w:val="000000"/>
                <w:sz w:val="22"/>
                <w:lang w:eastAsia="en-IE"/>
              </w:rPr>
            </w:pPr>
            <w:r w:rsidRPr="008F1181">
              <w:rPr>
                <w:rFonts w:ascii="Calibri" w:eastAsia="Times New Roman" w:hAnsi="Calibri" w:cs="Calibri"/>
                <w:noProof/>
                <w:color w:val="000000"/>
                <w:sz w:val="22"/>
                <w:lang w:eastAsia="en-IE"/>
              </w:rPr>
              <w:t>0.</w:t>
            </w:r>
            <w:r w:rsidR="00F87162" w:rsidRPr="008F1181">
              <w:rPr>
                <w:rFonts w:ascii="Calibri" w:eastAsia="Times New Roman" w:hAnsi="Calibri" w:cs="Calibri"/>
                <w:noProof/>
                <w:color w:val="000000"/>
                <w:sz w:val="22"/>
                <w:lang w:eastAsia="en-IE"/>
              </w:rPr>
              <w:t>037</w:t>
            </w:r>
          </w:p>
        </w:tc>
      </w:tr>
    </w:tbl>
    <w:p w14:paraId="1A806194" w14:textId="75CE5E17" w:rsidR="00FC5196" w:rsidRDefault="00FC5196" w:rsidP="00FC5196">
      <w:pPr>
        <w:rPr>
          <w:noProof/>
        </w:rPr>
      </w:pPr>
    </w:p>
    <w:p w14:paraId="329277B6" w14:textId="15AE57AB" w:rsidR="00FC5196" w:rsidRPr="008F1181" w:rsidRDefault="00FC5196" w:rsidP="00EB793C">
      <w:pPr>
        <w:pStyle w:val="Text2"/>
        <w:tabs>
          <w:tab w:val="clear" w:pos="2302"/>
        </w:tabs>
        <w:spacing w:after="0"/>
        <w:ind w:left="0"/>
        <w:rPr>
          <w:noProof/>
        </w:rPr>
      </w:pPr>
    </w:p>
    <w:p w14:paraId="65398AAF" w14:textId="02AFFA73" w:rsidR="00EB793C" w:rsidRDefault="00EB793C" w:rsidP="00EB793C">
      <w:pPr>
        <w:rPr>
          <w:noProof/>
        </w:rPr>
      </w:pPr>
      <w:r>
        <w:rPr>
          <w:noProof/>
        </w:rPr>
        <w:t>In LEAD_VC</w:t>
      </w:r>
      <w:r w:rsidR="00CF00BD" w:rsidRPr="00300699">
        <w:rPr>
          <w:noProof/>
        </w:rPr>
        <w:t xml:space="preserve"> </w:t>
      </w:r>
      <w:r>
        <w:rPr>
          <w:noProof/>
        </w:rPr>
        <w:t>2, the impacts are similar as under LEAD_VC</w:t>
      </w:r>
      <w:r w:rsidR="00CF00BD" w:rsidRPr="00300699">
        <w:rPr>
          <w:noProof/>
        </w:rPr>
        <w:t xml:space="preserve"> </w:t>
      </w:r>
      <w:r>
        <w:rPr>
          <w:noProof/>
        </w:rPr>
        <w:t>1:</w:t>
      </w:r>
    </w:p>
    <w:p w14:paraId="19133CE2" w14:textId="77777777" w:rsidR="00EB793C" w:rsidRPr="008F1181" w:rsidRDefault="00EB793C" w:rsidP="00EB793C">
      <w:pPr>
        <w:rPr>
          <w:noProof/>
        </w:rPr>
      </w:pPr>
    </w:p>
    <w:p w14:paraId="1213787B" w14:textId="4B1A2610" w:rsidR="00EB793C" w:rsidRPr="008F1181" w:rsidRDefault="00FC5196" w:rsidP="00837B6E">
      <w:pPr>
        <w:pStyle w:val="ListParagraph"/>
        <w:numPr>
          <w:ilvl w:val="0"/>
          <w:numId w:val="160"/>
        </w:numPr>
        <w:rPr>
          <w:noProof/>
        </w:rPr>
      </w:pPr>
      <w:r w:rsidRPr="008F1181">
        <w:rPr>
          <w:noProof/>
        </w:rPr>
        <w:t xml:space="preserve">For passenger cars, </w:t>
      </w:r>
      <w:r w:rsidR="00EB793C" w:rsidRPr="008F1181">
        <w:rPr>
          <w:noProof/>
        </w:rPr>
        <w:t xml:space="preserve">In </w:t>
      </w:r>
      <w:r w:rsidRPr="008F1181">
        <w:rPr>
          <w:noProof/>
        </w:rPr>
        <w:t>the</w:t>
      </w:r>
      <w:r w:rsidR="00EB793C" w:rsidRPr="008F1181">
        <w:rPr>
          <w:noProof/>
        </w:rPr>
        <w:t xml:space="preserve"> </w:t>
      </w:r>
      <w:r w:rsidRPr="617D0D8B">
        <w:rPr>
          <w:rFonts w:eastAsia="Times New Roman" w:cs="Times New Roman"/>
          <w:i/>
          <w:noProof/>
          <w:color w:val="000000" w:themeColor="text1"/>
          <w:sz w:val="22"/>
          <w:lang w:eastAsia="en-IE"/>
        </w:rPr>
        <w:t xml:space="preserve">Non-EU manufacturers absorb the price increase </w:t>
      </w:r>
      <w:r w:rsidRPr="00E71388">
        <w:rPr>
          <w:rFonts w:eastAsia="Times New Roman" w:cs="Times New Roman"/>
          <w:noProof/>
          <w:color w:val="000000" w:themeColor="text1"/>
          <w:sz w:val="22"/>
          <w:lang w:eastAsia="en-IE"/>
        </w:rPr>
        <w:t>scenario</w:t>
      </w:r>
      <w:r w:rsidR="00EB793C" w:rsidRPr="008F1181">
        <w:rPr>
          <w:noProof/>
        </w:rPr>
        <w:t xml:space="preserve">, </w:t>
      </w:r>
      <w:r w:rsidR="00EB793C">
        <w:rPr>
          <w:noProof/>
        </w:rPr>
        <w:t>t</w:t>
      </w:r>
      <w:r w:rsidR="00EB793C" w:rsidRPr="008F1181">
        <w:rPr>
          <w:noProof/>
        </w:rPr>
        <w:t xml:space="preserve">he sales increase of EU suppliers is expected to be more limited, rising only by </w:t>
      </w:r>
      <w:r w:rsidR="004E00B0" w:rsidRPr="008F1181">
        <w:rPr>
          <w:noProof/>
        </w:rPr>
        <w:t xml:space="preserve">EUR </w:t>
      </w:r>
      <w:r w:rsidR="00EB793C" w:rsidRPr="008F1181">
        <w:rPr>
          <w:noProof/>
        </w:rPr>
        <w:t xml:space="preserve">1.1 billion in 2027 and </w:t>
      </w:r>
      <w:r w:rsidR="000B538E" w:rsidRPr="008F1181">
        <w:rPr>
          <w:noProof/>
        </w:rPr>
        <w:t xml:space="preserve">EUR </w:t>
      </w:r>
      <w:r w:rsidR="00EB793C" w:rsidRPr="008F1181">
        <w:rPr>
          <w:noProof/>
        </w:rPr>
        <w:t xml:space="preserve">1.9 billion </w:t>
      </w:r>
      <w:r w:rsidR="000B538E" w:rsidRPr="008F1181">
        <w:rPr>
          <w:noProof/>
        </w:rPr>
        <w:t>=</w:t>
      </w:r>
      <w:r w:rsidR="00EB793C" w:rsidRPr="008F1181">
        <w:rPr>
          <w:noProof/>
        </w:rPr>
        <w:t xml:space="preserve"> in 2030. </w:t>
      </w:r>
    </w:p>
    <w:p w14:paraId="451A458E" w14:textId="2AFF9818" w:rsidR="00F87162" w:rsidRPr="008F1181" w:rsidRDefault="00F87162" w:rsidP="00837B6E">
      <w:pPr>
        <w:pStyle w:val="ListParagraph"/>
        <w:numPr>
          <w:ilvl w:val="0"/>
          <w:numId w:val="160"/>
        </w:numPr>
        <w:rPr>
          <w:noProof/>
        </w:rPr>
      </w:pPr>
      <w:r w:rsidRPr="008F1181">
        <w:rPr>
          <w:noProof/>
        </w:rPr>
        <w:t xml:space="preserve">For LCVs: </w:t>
      </w:r>
      <w:r>
        <w:rPr>
          <w:noProof/>
        </w:rPr>
        <w:t>t</w:t>
      </w:r>
      <w:r w:rsidRPr="008F1181">
        <w:rPr>
          <w:noProof/>
        </w:rPr>
        <w:t xml:space="preserve">he sales increase of EU suppliers is expected to be more limited, rising only by </w:t>
      </w:r>
      <w:r w:rsidR="004E00B0" w:rsidRPr="008F1181">
        <w:rPr>
          <w:noProof/>
        </w:rPr>
        <w:t xml:space="preserve">EUR </w:t>
      </w:r>
      <w:r w:rsidRPr="008F1181">
        <w:rPr>
          <w:noProof/>
        </w:rPr>
        <w:t xml:space="preserve">0.2 billion in 2027 and </w:t>
      </w:r>
      <w:r w:rsidR="000B538E" w:rsidRPr="008F1181">
        <w:rPr>
          <w:noProof/>
        </w:rPr>
        <w:t xml:space="preserve">EUR </w:t>
      </w:r>
      <w:r w:rsidRPr="008F1181">
        <w:rPr>
          <w:noProof/>
        </w:rPr>
        <w:t>0.3 billion in 2030.</w:t>
      </w:r>
    </w:p>
    <w:p w14:paraId="395E97B5" w14:textId="1D45F571" w:rsidR="00EB793C" w:rsidRPr="00C149DA" w:rsidRDefault="00F87162" w:rsidP="00837B6E">
      <w:pPr>
        <w:pStyle w:val="ListParagraph"/>
        <w:numPr>
          <w:ilvl w:val="0"/>
          <w:numId w:val="160"/>
        </w:numPr>
        <w:rPr>
          <w:noProof/>
          <w:lang w:val="en-IE"/>
        </w:rPr>
      </w:pPr>
      <w:r>
        <w:rPr>
          <w:noProof/>
          <w:lang w:val="en-IE"/>
        </w:rPr>
        <w:t>For HDVs:</w:t>
      </w:r>
      <w:r w:rsidR="00EB793C">
        <w:rPr>
          <w:noProof/>
          <w:lang w:val="en-IE"/>
        </w:rPr>
        <w:t xml:space="preserve"> </w:t>
      </w:r>
      <w:r w:rsidR="00EB793C">
        <w:rPr>
          <w:noProof/>
        </w:rPr>
        <w:t>t</w:t>
      </w:r>
      <w:r w:rsidR="00EB793C" w:rsidRPr="005306CC">
        <w:rPr>
          <w:noProof/>
          <w:lang w:val="en-IE"/>
        </w:rPr>
        <w:t>he sales</w:t>
      </w:r>
      <w:r w:rsidR="00EB793C">
        <w:rPr>
          <w:noProof/>
          <w:lang w:val="en-IE"/>
        </w:rPr>
        <w:t xml:space="preserve"> increase</w:t>
      </w:r>
      <w:r w:rsidR="00EB793C" w:rsidRPr="005306CC">
        <w:rPr>
          <w:noProof/>
          <w:lang w:val="en-IE"/>
        </w:rPr>
        <w:t xml:space="preserve"> of EU suppliers </w:t>
      </w:r>
      <w:r w:rsidR="00EB793C">
        <w:rPr>
          <w:noProof/>
          <w:lang w:val="en-IE"/>
        </w:rPr>
        <w:t>is expected to be more limited</w:t>
      </w:r>
      <w:r w:rsidR="00DE50D9">
        <w:rPr>
          <w:noProof/>
          <w:lang w:val="en-IE"/>
        </w:rPr>
        <w:t xml:space="preserve"> than the alternative scenario</w:t>
      </w:r>
      <w:r w:rsidR="00EB793C">
        <w:rPr>
          <w:noProof/>
          <w:lang w:val="en-IE"/>
        </w:rPr>
        <w:t xml:space="preserve">, rising only by </w:t>
      </w:r>
      <w:r w:rsidR="004E00B0" w:rsidRPr="004E00B0">
        <w:rPr>
          <w:noProof/>
          <w:lang w:val="en-IE"/>
        </w:rPr>
        <w:t xml:space="preserve">EUR </w:t>
      </w:r>
      <w:r w:rsidR="00EB793C">
        <w:rPr>
          <w:noProof/>
          <w:lang w:val="en-IE"/>
        </w:rPr>
        <w:t>30.6</w:t>
      </w:r>
      <w:r w:rsidR="00EB793C" w:rsidRPr="005306CC">
        <w:rPr>
          <w:noProof/>
          <w:lang w:val="en-IE"/>
        </w:rPr>
        <w:t xml:space="preserve"> </w:t>
      </w:r>
      <w:r w:rsidR="00EB793C">
        <w:rPr>
          <w:noProof/>
          <w:lang w:val="en-IE"/>
        </w:rPr>
        <w:t>m</w:t>
      </w:r>
      <w:r w:rsidR="00EB793C" w:rsidRPr="005306CC">
        <w:rPr>
          <w:noProof/>
          <w:lang w:val="en-IE"/>
        </w:rPr>
        <w:t>illion in 20</w:t>
      </w:r>
      <w:r w:rsidR="00EB793C">
        <w:rPr>
          <w:noProof/>
          <w:lang w:val="en-IE"/>
        </w:rPr>
        <w:t>27</w:t>
      </w:r>
      <w:r w:rsidR="00EB793C" w:rsidRPr="005306CC">
        <w:rPr>
          <w:noProof/>
          <w:lang w:val="en-IE"/>
        </w:rPr>
        <w:t xml:space="preserve"> and </w:t>
      </w:r>
      <w:r w:rsidR="004E00B0" w:rsidRPr="004E00B0">
        <w:rPr>
          <w:noProof/>
          <w:lang w:val="en-IE"/>
        </w:rPr>
        <w:t xml:space="preserve">EUR </w:t>
      </w:r>
      <w:r w:rsidR="00EB793C">
        <w:rPr>
          <w:noProof/>
          <w:lang w:val="en-IE"/>
        </w:rPr>
        <w:t>37</w:t>
      </w:r>
      <w:r w:rsidR="00EB793C" w:rsidRPr="005306CC">
        <w:rPr>
          <w:noProof/>
          <w:lang w:val="en-IE"/>
        </w:rPr>
        <w:t xml:space="preserve"> </w:t>
      </w:r>
      <w:r w:rsidR="00EB793C">
        <w:rPr>
          <w:noProof/>
          <w:lang w:val="en-IE"/>
        </w:rPr>
        <w:t>m</w:t>
      </w:r>
      <w:r w:rsidR="00EB793C" w:rsidRPr="005306CC">
        <w:rPr>
          <w:noProof/>
          <w:lang w:val="en-IE"/>
        </w:rPr>
        <w:t>illion in 203</w:t>
      </w:r>
      <w:r w:rsidR="00EB793C">
        <w:rPr>
          <w:noProof/>
          <w:lang w:val="en-IE"/>
        </w:rPr>
        <w:t>0</w:t>
      </w:r>
      <w:r w:rsidR="00EB793C" w:rsidRPr="005306CC">
        <w:rPr>
          <w:noProof/>
          <w:lang w:val="en-IE"/>
        </w:rPr>
        <w:t>.</w:t>
      </w:r>
    </w:p>
    <w:p w14:paraId="6F8A11F8" w14:textId="77777777" w:rsidR="00EB793C" w:rsidRDefault="00EB793C" w:rsidP="00EB793C">
      <w:pPr>
        <w:pStyle w:val="Text2"/>
        <w:tabs>
          <w:tab w:val="clear" w:pos="2302"/>
        </w:tabs>
        <w:spacing w:after="0"/>
        <w:ind w:left="0"/>
        <w:rPr>
          <w:noProof/>
        </w:rPr>
      </w:pPr>
    </w:p>
    <w:p w14:paraId="2A90197C" w14:textId="74952944" w:rsidR="00EB793C" w:rsidRPr="00FD6E11" w:rsidRDefault="00EB793C" w:rsidP="00EB793C">
      <w:pPr>
        <w:pStyle w:val="Text2"/>
        <w:tabs>
          <w:tab w:val="clear" w:pos="2302"/>
        </w:tabs>
        <w:spacing w:after="0"/>
        <w:ind w:left="0"/>
        <w:rPr>
          <w:noProof/>
        </w:rPr>
      </w:pPr>
      <w:r w:rsidRPr="002B47EE">
        <w:rPr>
          <w:noProof/>
        </w:rPr>
        <w:t xml:space="preserve"> </w:t>
      </w:r>
      <w:r w:rsidRPr="00086326">
        <w:rPr>
          <w:b/>
          <w:bCs/>
          <w:noProof/>
          <w:color w:val="000000" w:themeColor="text1"/>
          <w:lang w:val="en-IE"/>
        </w:rPr>
        <w:t>Impact on downstream sectors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9"/>
        <w:gridCol w:w="362"/>
        <w:gridCol w:w="1269"/>
        <w:gridCol w:w="1226"/>
      </w:tblGrid>
      <w:tr w:rsidR="00622BB9" w:rsidRPr="00FF63D1" w14:paraId="58F16F84" w14:textId="77777777" w:rsidTr="007F7094">
        <w:trPr>
          <w:trHeight w:val="337"/>
        </w:trPr>
        <w:tc>
          <w:tcPr>
            <w:tcW w:w="5000" w:type="pct"/>
            <w:gridSpan w:val="4"/>
            <w:shd w:val="clear" w:color="auto" w:fill="E2EFDA"/>
            <w:noWrap/>
            <w:vAlign w:val="bottom"/>
            <w:hideMark/>
          </w:tcPr>
          <w:p w14:paraId="7579B3BE" w14:textId="2CC58895" w:rsidR="00622BB9" w:rsidRPr="00FF63D1" w:rsidRDefault="00622BB9">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 xml:space="preserve">EU </w:t>
            </w:r>
            <w:r>
              <w:rPr>
                <w:rFonts w:ascii="Calibri" w:eastAsia="Times New Roman" w:hAnsi="Calibri" w:cs="Calibri"/>
                <w:b/>
                <w:noProof/>
                <w:color w:val="000000"/>
                <w:sz w:val="22"/>
                <w:lang w:eastAsia="en-IE"/>
              </w:rPr>
              <w:t>EV manufacturers in the “</w:t>
            </w:r>
            <w:r w:rsidRPr="00FC5196">
              <w:rPr>
                <w:rFonts w:ascii="Calibri" w:eastAsia="Times New Roman" w:hAnsi="Calibri" w:cs="Calibri"/>
                <w:b/>
                <w:noProof/>
                <w:color w:val="000000"/>
                <w:sz w:val="22"/>
                <w:lang w:eastAsia="en-IE"/>
              </w:rPr>
              <w:t>Non-EU manufacturers absorb the price increase</w:t>
            </w:r>
            <w:r>
              <w:rPr>
                <w:rFonts w:ascii="Calibri" w:eastAsia="Times New Roman" w:hAnsi="Calibri" w:cs="Calibri"/>
                <w:b/>
                <w:noProof/>
                <w:color w:val="000000"/>
                <w:sz w:val="22"/>
                <w:lang w:eastAsia="en-IE"/>
              </w:rPr>
              <w:t>” scenario</w:t>
            </w:r>
          </w:p>
        </w:tc>
      </w:tr>
      <w:tr w:rsidR="00622BB9" w:rsidRPr="00FF63D1" w14:paraId="5F71FA90" w14:textId="77777777" w:rsidTr="007F7094">
        <w:trPr>
          <w:trHeight w:val="327"/>
        </w:trPr>
        <w:tc>
          <w:tcPr>
            <w:tcW w:w="3415" w:type="pct"/>
            <w:tcBorders>
              <w:left w:val="nil"/>
              <w:right w:val="nil"/>
            </w:tcBorders>
            <w:shd w:val="clear" w:color="auto" w:fill="FFFFFF" w:themeFill="background1"/>
            <w:noWrap/>
            <w:vAlign w:val="bottom"/>
            <w:hideMark/>
          </w:tcPr>
          <w:p w14:paraId="414FFF95" w14:textId="376BB80F" w:rsidR="00622BB9" w:rsidRPr="00FF0C9D"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b/>
                <w:noProof/>
                <w:color w:val="000000"/>
                <w:sz w:val="22"/>
                <w:lang w:eastAsia="en-IE"/>
              </w:rPr>
              <w:t> </w:t>
            </w:r>
            <w:r w:rsidR="00D107A1">
              <w:rPr>
                <w:rFonts w:ascii="Calibri" w:eastAsia="Times New Roman" w:hAnsi="Calibri" w:cs="Calibri"/>
                <w:bCs/>
                <w:noProof/>
                <w:color w:val="000000"/>
                <w:sz w:val="22"/>
                <w:lang w:eastAsia="en-IE"/>
              </w:rPr>
              <w:t>in EUR billion</w:t>
            </w:r>
          </w:p>
        </w:tc>
        <w:tc>
          <w:tcPr>
            <w:tcW w:w="201" w:type="pct"/>
            <w:tcBorders>
              <w:left w:val="nil"/>
              <w:right w:val="nil"/>
            </w:tcBorders>
            <w:shd w:val="clear" w:color="auto" w:fill="FFFFFF" w:themeFill="background1"/>
            <w:noWrap/>
            <w:vAlign w:val="bottom"/>
            <w:hideMark/>
          </w:tcPr>
          <w:p w14:paraId="350CCECC" w14:textId="77777777" w:rsidR="00622BB9" w:rsidRPr="00FF63D1"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47662F84" w14:textId="77777777" w:rsidR="00622BB9" w:rsidRPr="00FF63D1" w:rsidRDefault="00622BB9">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680" w:type="pct"/>
            <w:tcBorders>
              <w:left w:val="nil"/>
              <w:right w:val="nil"/>
            </w:tcBorders>
            <w:shd w:val="clear" w:color="auto" w:fill="FFFFFF" w:themeFill="background1"/>
            <w:noWrap/>
            <w:vAlign w:val="bottom"/>
            <w:hideMark/>
          </w:tcPr>
          <w:p w14:paraId="3639B8C4" w14:textId="77777777" w:rsidR="00622BB9" w:rsidRPr="00FF63D1" w:rsidRDefault="00622BB9">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622BB9" w:rsidRPr="00FF63D1" w14:paraId="071D6843" w14:textId="77777777" w:rsidTr="007F7094">
        <w:trPr>
          <w:trHeight w:val="327"/>
        </w:trPr>
        <w:tc>
          <w:tcPr>
            <w:tcW w:w="3415" w:type="pct"/>
            <w:tcBorders>
              <w:left w:val="nil"/>
              <w:right w:val="nil"/>
            </w:tcBorders>
            <w:shd w:val="clear" w:color="auto" w:fill="FFFFFF" w:themeFill="background1"/>
            <w:noWrap/>
            <w:vAlign w:val="bottom"/>
            <w:hideMark/>
          </w:tcPr>
          <w:p w14:paraId="32A64B78" w14:textId="77777777" w:rsidR="00622BB9" w:rsidRPr="00FF63D1" w:rsidRDefault="00622BB9">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30A9F650" w14:textId="77777777" w:rsidR="00622BB9" w:rsidRPr="00FF63D1" w:rsidRDefault="00622BB9">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035B2BFD" w14:textId="77777777" w:rsidR="00622BB9" w:rsidRPr="00FF63D1" w:rsidRDefault="00622BB9">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hideMark/>
          </w:tcPr>
          <w:p w14:paraId="5BB342FA" w14:textId="77777777" w:rsidR="00622BB9" w:rsidRPr="00FF63D1" w:rsidRDefault="00622BB9">
            <w:pPr>
              <w:jc w:val="center"/>
              <w:rPr>
                <w:rFonts w:ascii="Calibri" w:eastAsia="Times New Roman" w:hAnsi="Calibri" w:cs="Calibri"/>
                <w:noProof/>
                <w:color w:val="000000"/>
                <w:sz w:val="22"/>
                <w:lang w:eastAsia="en-IE"/>
              </w:rPr>
            </w:pPr>
          </w:p>
        </w:tc>
      </w:tr>
      <w:tr w:rsidR="00622BB9" w:rsidRPr="00FF63D1" w14:paraId="53F56B81" w14:textId="77777777" w:rsidTr="007F7094">
        <w:trPr>
          <w:trHeight w:val="327"/>
        </w:trPr>
        <w:tc>
          <w:tcPr>
            <w:tcW w:w="3415" w:type="pct"/>
            <w:tcBorders>
              <w:left w:val="nil"/>
              <w:right w:val="nil"/>
            </w:tcBorders>
            <w:shd w:val="clear" w:color="auto" w:fill="FFFFFF" w:themeFill="background1"/>
            <w:noWrap/>
            <w:vAlign w:val="bottom"/>
          </w:tcPr>
          <w:p w14:paraId="0E3573FC" w14:textId="1FE5A4A7" w:rsidR="00622BB9" w:rsidRDefault="00622BB9">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33AF5361" w14:textId="77777777" w:rsidR="00622BB9" w:rsidRPr="00FF63D1" w:rsidRDefault="00622BB9">
            <w:pPr>
              <w:jc w:val="left"/>
              <w:rPr>
                <w:rFonts w:ascii="Calibri" w:eastAsia="Times New Roman" w:hAnsi="Calibri" w:cs="Calibri"/>
                <w:b/>
                <w:i/>
                <w:noProof/>
                <w:color w:val="000000"/>
                <w:sz w:val="22"/>
                <w:lang w:eastAsia="en-IE"/>
              </w:rPr>
            </w:pPr>
          </w:p>
        </w:tc>
        <w:tc>
          <w:tcPr>
            <w:tcW w:w="704" w:type="pct"/>
            <w:tcBorders>
              <w:left w:val="nil"/>
              <w:right w:val="nil"/>
            </w:tcBorders>
            <w:shd w:val="clear" w:color="auto" w:fill="FFFFFF" w:themeFill="background1"/>
            <w:noWrap/>
            <w:vAlign w:val="bottom"/>
          </w:tcPr>
          <w:p w14:paraId="681E78FE" w14:textId="77777777" w:rsidR="00622BB9" w:rsidRPr="00FF63D1" w:rsidRDefault="00622BB9">
            <w:pPr>
              <w:jc w:val="center"/>
              <w:rPr>
                <w:rFonts w:ascii="Calibri" w:eastAsia="Times New Roman" w:hAnsi="Calibri" w:cs="Calibri"/>
                <w:noProof/>
                <w:color w:val="000000"/>
                <w:sz w:val="22"/>
                <w:lang w:eastAsia="en-IE"/>
              </w:rPr>
            </w:pPr>
            <w:r w:rsidRPr="00AB4B1B">
              <w:rPr>
                <w:rFonts w:ascii="Calibri" w:eastAsia="Times New Roman" w:hAnsi="Calibri" w:cs="Calibri"/>
                <w:noProof/>
                <w:color w:val="000000"/>
                <w:sz w:val="22"/>
                <w:lang w:val="en-IE" w:eastAsia="en-IE"/>
              </w:rPr>
              <w:t>0.0</w:t>
            </w:r>
          </w:p>
        </w:tc>
        <w:tc>
          <w:tcPr>
            <w:tcW w:w="680" w:type="pct"/>
            <w:tcBorders>
              <w:left w:val="nil"/>
              <w:right w:val="nil"/>
            </w:tcBorders>
            <w:shd w:val="clear" w:color="auto" w:fill="FFFFFF" w:themeFill="background1"/>
            <w:noWrap/>
            <w:vAlign w:val="bottom"/>
          </w:tcPr>
          <w:p w14:paraId="7414906C" w14:textId="2AD8547F" w:rsidR="00622BB9" w:rsidRPr="00FF63D1" w:rsidRDefault="00622BB9">
            <w:pPr>
              <w:jc w:val="center"/>
              <w:rPr>
                <w:rFonts w:ascii="Calibri" w:eastAsia="Times New Roman" w:hAnsi="Calibri" w:cs="Calibri"/>
                <w:noProof/>
                <w:color w:val="000000"/>
                <w:sz w:val="22"/>
                <w:lang w:eastAsia="en-IE"/>
              </w:rPr>
            </w:pPr>
            <w:r w:rsidRPr="00AB4B1B">
              <w:rPr>
                <w:rFonts w:ascii="Calibri" w:eastAsia="Times New Roman" w:hAnsi="Calibri" w:cs="Calibri"/>
                <w:noProof/>
                <w:color w:val="000000"/>
                <w:sz w:val="22"/>
                <w:lang w:val="en-IE" w:eastAsia="en-IE"/>
              </w:rPr>
              <w:t>1.</w:t>
            </w:r>
            <w:r w:rsidR="003952BF">
              <w:rPr>
                <w:rFonts w:ascii="Calibri" w:eastAsia="Times New Roman" w:hAnsi="Calibri" w:cs="Calibri"/>
                <w:noProof/>
                <w:color w:val="000000"/>
                <w:sz w:val="22"/>
                <w:lang w:val="en-IE" w:eastAsia="en-IE"/>
              </w:rPr>
              <w:t>8</w:t>
            </w:r>
          </w:p>
        </w:tc>
      </w:tr>
      <w:tr w:rsidR="00622BB9" w:rsidRPr="00FF63D1" w14:paraId="3BB881F3" w14:textId="77777777" w:rsidTr="007F7094">
        <w:trPr>
          <w:trHeight w:val="327"/>
        </w:trPr>
        <w:tc>
          <w:tcPr>
            <w:tcW w:w="3415" w:type="pct"/>
            <w:tcBorders>
              <w:left w:val="nil"/>
              <w:right w:val="nil"/>
            </w:tcBorders>
            <w:shd w:val="clear" w:color="auto" w:fill="FFFFFF" w:themeFill="background1"/>
            <w:noWrap/>
            <w:vAlign w:val="bottom"/>
            <w:hideMark/>
          </w:tcPr>
          <w:p w14:paraId="092A1FD7" w14:textId="2B289848" w:rsidR="00622BB9" w:rsidRPr="00FF63D1"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 </w:t>
            </w:r>
          </w:p>
        </w:tc>
        <w:tc>
          <w:tcPr>
            <w:tcW w:w="201" w:type="pct"/>
            <w:tcBorders>
              <w:left w:val="nil"/>
              <w:right w:val="nil"/>
            </w:tcBorders>
            <w:shd w:val="clear" w:color="auto" w:fill="FFFFFF" w:themeFill="background1"/>
            <w:noWrap/>
            <w:vAlign w:val="bottom"/>
            <w:hideMark/>
          </w:tcPr>
          <w:p w14:paraId="301424C4" w14:textId="77777777" w:rsidR="00622BB9" w:rsidRPr="00FF63D1"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0FD34CBF" w14:textId="4F66BF72" w:rsidR="00622BB9" w:rsidRPr="00FF63D1" w:rsidRDefault="003952BF">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2.4</w:t>
            </w:r>
          </w:p>
        </w:tc>
        <w:tc>
          <w:tcPr>
            <w:tcW w:w="680" w:type="pct"/>
            <w:tcBorders>
              <w:left w:val="nil"/>
              <w:right w:val="nil"/>
            </w:tcBorders>
            <w:shd w:val="clear" w:color="auto" w:fill="FFFFFF" w:themeFill="background1"/>
            <w:noWrap/>
            <w:vAlign w:val="bottom"/>
            <w:hideMark/>
          </w:tcPr>
          <w:p w14:paraId="3833F130" w14:textId="1DA86254" w:rsidR="00622BB9" w:rsidRPr="00FF63D1" w:rsidRDefault="003952BF">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0.1</w:t>
            </w:r>
          </w:p>
        </w:tc>
      </w:tr>
      <w:tr w:rsidR="00622BB9" w:rsidRPr="00086326" w14:paraId="774D309D" w14:textId="77777777" w:rsidTr="007F7094">
        <w:trPr>
          <w:trHeight w:val="327"/>
        </w:trPr>
        <w:tc>
          <w:tcPr>
            <w:tcW w:w="3415" w:type="pct"/>
            <w:tcBorders>
              <w:left w:val="nil"/>
              <w:right w:val="nil"/>
            </w:tcBorders>
            <w:shd w:val="clear" w:color="auto" w:fill="FFFFFF" w:themeFill="background1"/>
            <w:noWrap/>
            <w:vAlign w:val="bottom"/>
            <w:hideMark/>
          </w:tcPr>
          <w:p w14:paraId="305E1401" w14:textId="77777777" w:rsidR="00622BB9" w:rsidRPr="00086326" w:rsidRDefault="00622BB9">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24324434" w14:textId="77777777" w:rsidR="00622BB9" w:rsidRPr="00086326" w:rsidRDefault="00622BB9">
            <w:pPr>
              <w:jc w:val="left"/>
              <w:rPr>
                <w:rFonts w:ascii="Calibri" w:eastAsia="Times New Roman" w:hAnsi="Calibri" w:cs="Calibri"/>
                <w:b/>
                <w:i/>
                <w:noProof/>
                <w:color w:val="000000"/>
                <w:sz w:val="22"/>
                <w:lang w:val="fr-BE" w:eastAsia="en-IE"/>
              </w:rPr>
            </w:pPr>
            <w:r w:rsidRPr="00086326">
              <w:rPr>
                <w:rFonts w:ascii="Calibri" w:eastAsia="Times New Roman" w:hAnsi="Calibri" w:cs="Calibri"/>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376F5090" w14:textId="77777777" w:rsidR="00622BB9" w:rsidRPr="00086326" w:rsidRDefault="00622BB9">
            <w:pPr>
              <w:jc w:val="center"/>
              <w:rPr>
                <w:rFonts w:ascii="Calibri" w:eastAsia="Times New Roman" w:hAnsi="Calibri" w:cs="Calibri"/>
                <w:noProof/>
                <w:color w:val="000000"/>
                <w:sz w:val="22"/>
                <w:lang w:val="fr-BE" w:eastAsia="en-IE"/>
              </w:rPr>
            </w:pPr>
          </w:p>
        </w:tc>
        <w:tc>
          <w:tcPr>
            <w:tcW w:w="680" w:type="pct"/>
            <w:tcBorders>
              <w:left w:val="nil"/>
              <w:right w:val="nil"/>
            </w:tcBorders>
            <w:shd w:val="clear" w:color="auto" w:fill="FFFFFF" w:themeFill="background1"/>
            <w:noWrap/>
            <w:vAlign w:val="bottom"/>
            <w:hideMark/>
          </w:tcPr>
          <w:p w14:paraId="44727DB4" w14:textId="77777777" w:rsidR="00622BB9" w:rsidRPr="00086326" w:rsidRDefault="00622BB9">
            <w:pPr>
              <w:jc w:val="center"/>
              <w:rPr>
                <w:rFonts w:ascii="Calibri" w:eastAsia="Times New Roman" w:hAnsi="Calibri" w:cs="Calibri"/>
                <w:noProof/>
                <w:color w:val="000000"/>
                <w:sz w:val="22"/>
                <w:lang w:val="fr-BE" w:eastAsia="en-IE"/>
              </w:rPr>
            </w:pPr>
          </w:p>
        </w:tc>
      </w:tr>
      <w:tr w:rsidR="00622BB9" w:rsidRPr="0026006C" w14:paraId="2093D968" w14:textId="77777777" w:rsidTr="007F7094">
        <w:trPr>
          <w:trHeight w:val="327"/>
        </w:trPr>
        <w:tc>
          <w:tcPr>
            <w:tcW w:w="3415" w:type="pct"/>
            <w:tcBorders>
              <w:left w:val="nil"/>
              <w:right w:val="nil"/>
            </w:tcBorders>
            <w:shd w:val="clear" w:color="auto" w:fill="FFFFFF" w:themeFill="background1"/>
            <w:noWrap/>
            <w:vAlign w:val="bottom"/>
          </w:tcPr>
          <w:p w14:paraId="674EE926" w14:textId="5FD0FB4B" w:rsidR="00622BB9" w:rsidRDefault="00622BB9">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59534938" w14:textId="77777777" w:rsidR="00622BB9" w:rsidRPr="0026006C" w:rsidRDefault="00622BB9">
            <w:pPr>
              <w:jc w:val="left"/>
              <w:rPr>
                <w:rFonts w:ascii="Calibri" w:eastAsia="Times New Roman" w:hAnsi="Calibri" w:cs="Calibri"/>
                <w:b/>
                <w:i/>
                <w:noProof/>
                <w:color w:val="000000"/>
                <w:sz w:val="22"/>
                <w:lang w:val="fr-BE"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6B2CD131" w14:textId="77777777" w:rsidR="00622BB9" w:rsidRPr="0026006C" w:rsidRDefault="00622BB9">
            <w:pPr>
              <w:jc w:val="center"/>
              <w:rPr>
                <w:rFonts w:ascii="Calibri" w:eastAsia="Times New Roman" w:hAnsi="Calibri" w:cs="Calibri"/>
                <w:noProof/>
                <w:color w:val="000000"/>
                <w:sz w:val="22"/>
                <w:lang w:val="fr-BE" w:eastAsia="en-IE"/>
              </w:rPr>
            </w:pPr>
            <w:r w:rsidRPr="00217949">
              <w:rPr>
                <w:rFonts w:ascii="Calibri" w:eastAsia="Times New Roman" w:hAnsi="Calibri" w:cs="Calibri"/>
                <w:noProof/>
                <w:color w:val="000000"/>
                <w:sz w:val="22"/>
                <w:lang w:val="en-IE" w:eastAsia="en-IE"/>
              </w:rPr>
              <w:t>0.0</w:t>
            </w:r>
          </w:p>
        </w:tc>
        <w:tc>
          <w:tcPr>
            <w:tcW w:w="680" w:type="pct"/>
            <w:tcBorders>
              <w:left w:val="nil"/>
              <w:right w:val="nil"/>
            </w:tcBorders>
            <w:shd w:val="clear" w:color="auto" w:fill="FFFFFF" w:themeFill="background1"/>
            <w:noWrap/>
            <w:vAlign w:val="bottom"/>
          </w:tcPr>
          <w:p w14:paraId="31623B90" w14:textId="77777777" w:rsidR="00622BB9" w:rsidRPr="0026006C" w:rsidRDefault="00622BB9">
            <w:pPr>
              <w:jc w:val="center"/>
              <w:rPr>
                <w:rFonts w:ascii="Calibri" w:eastAsia="Times New Roman" w:hAnsi="Calibri" w:cs="Calibri"/>
                <w:noProof/>
                <w:color w:val="000000"/>
                <w:sz w:val="22"/>
                <w:lang w:val="fr-BE" w:eastAsia="en-IE"/>
              </w:rPr>
            </w:pPr>
            <w:r w:rsidRPr="00217949">
              <w:rPr>
                <w:rFonts w:ascii="Calibri" w:eastAsia="Times New Roman" w:hAnsi="Calibri" w:cs="Calibri"/>
                <w:noProof/>
                <w:color w:val="000000"/>
                <w:sz w:val="22"/>
                <w:lang w:val="en-IE" w:eastAsia="en-IE"/>
              </w:rPr>
              <w:t>0.2</w:t>
            </w:r>
          </w:p>
        </w:tc>
      </w:tr>
      <w:tr w:rsidR="00622BB9" w:rsidRPr="00FF63D1" w14:paraId="303144DD" w14:textId="77777777" w:rsidTr="007F7094">
        <w:trPr>
          <w:trHeight w:val="327"/>
        </w:trPr>
        <w:tc>
          <w:tcPr>
            <w:tcW w:w="3415" w:type="pct"/>
            <w:tcBorders>
              <w:left w:val="nil"/>
              <w:right w:val="nil"/>
            </w:tcBorders>
            <w:shd w:val="clear" w:color="auto" w:fill="FFFFFF" w:themeFill="background1"/>
            <w:noWrap/>
            <w:vAlign w:val="bottom"/>
            <w:hideMark/>
          </w:tcPr>
          <w:p w14:paraId="6308394E" w14:textId="6F4550B9" w:rsidR="00622BB9" w:rsidRPr="00FF63D1"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hideMark/>
          </w:tcPr>
          <w:p w14:paraId="4D8B4CF6" w14:textId="77777777" w:rsidR="00622BB9" w:rsidRPr="00FF63D1"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74145B38" w14:textId="720A08B4" w:rsidR="00622BB9" w:rsidRPr="00FF63D1" w:rsidRDefault="002F0C4C">
            <w:pPr>
              <w:jc w:val="center"/>
              <w:rPr>
                <w:rFonts w:ascii="Calibri" w:eastAsia="Times New Roman" w:hAnsi="Calibri" w:cs="Calibri"/>
                <w:noProof/>
                <w:color w:val="000000"/>
                <w:sz w:val="22"/>
                <w:lang w:eastAsia="en-IE"/>
              </w:rPr>
            </w:pPr>
            <w:r w:rsidRPr="00217949">
              <w:rPr>
                <w:rFonts w:ascii="Calibri" w:eastAsia="Times New Roman" w:hAnsi="Calibri" w:cs="Calibri"/>
                <w:noProof/>
                <w:color w:val="000000"/>
                <w:sz w:val="22"/>
                <w:lang w:val="en-IE" w:eastAsia="en-IE"/>
              </w:rPr>
              <w:t>0.4</w:t>
            </w:r>
          </w:p>
        </w:tc>
        <w:tc>
          <w:tcPr>
            <w:tcW w:w="680" w:type="pct"/>
            <w:tcBorders>
              <w:left w:val="nil"/>
              <w:right w:val="nil"/>
            </w:tcBorders>
            <w:shd w:val="clear" w:color="auto" w:fill="FFFFFF" w:themeFill="background1"/>
            <w:noWrap/>
            <w:vAlign w:val="bottom"/>
            <w:hideMark/>
          </w:tcPr>
          <w:p w14:paraId="4BFC7C16" w14:textId="4D14A7D5" w:rsidR="00622BB9" w:rsidRPr="00FF63D1" w:rsidRDefault="002F0C4C">
            <w:pPr>
              <w:jc w:val="center"/>
              <w:rPr>
                <w:rFonts w:ascii="Calibri" w:eastAsia="Times New Roman" w:hAnsi="Calibri" w:cs="Calibri"/>
                <w:noProof/>
                <w:color w:val="000000"/>
                <w:sz w:val="22"/>
                <w:lang w:eastAsia="en-IE"/>
              </w:rPr>
            </w:pPr>
            <w:r w:rsidRPr="00217949">
              <w:rPr>
                <w:rFonts w:ascii="Calibri" w:eastAsia="Times New Roman" w:hAnsi="Calibri" w:cs="Calibri"/>
                <w:noProof/>
                <w:color w:val="000000"/>
                <w:sz w:val="22"/>
                <w:lang w:val="en-IE" w:eastAsia="en-IE"/>
              </w:rPr>
              <w:t>0.2</w:t>
            </w:r>
          </w:p>
        </w:tc>
      </w:tr>
      <w:tr w:rsidR="00622BB9" w:rsidRPr="00FF63D1" w14:paraId="53024F52" w14:textId="77777777" w:rsidTr="007F7094">
        <w:trPr>
          <w:trHeight w:val="327"/>
        </w:trPr>
        <w:tc>
          <w:tcPr>
            <w:tcW w:w="3415" w:type="pct"/>
            <w:tcBorders>
              <w:left w:val="nil"/>
              <w:right w:val="nil"/>
            </w:tcBorders>
            <w:shd w:val="clear" w:color="auto" w:fill="FFFFFF" w:themeFill="background1"/>
            <w:noWrap/>
            <w:vAlign w:val="bottom"/>
          </w:tcPr>
          <w:p w14:paraId="6D2BA933" w14:textId="77777777" w:rsidR="00622BB9" w:rsidRPr="009C69FA" w:rsidRDefault="00622BB9">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3F06FE57" w14:textId="77777777" w:rsidR="00622BB9" w:rsidRPr="00FF63D1" w:rsidRDefault="00622BB9">
            <w:pPr>
              <w:jc w:val="left"/>
              <w:rPr>
                <w:rFonts w:ascii="Calibri" w:eastAsia="Times New Roman" w:hAnsi="Calibri" w:cs="Calibri"/>
                <w:noProof/>
                <w:color w:val="000000"/>
                <w:sz w:val="22"/>
                <w:lang w:eastAsia="en-IE"/>
              </w:rPr>
            </w:pPr>
          </w:p>
        </w:tc>
        <w:tc>
          <w:tcPr>
            <w:tcW w:w="704" w:type="pct"/>
            <w:tcBorders>
              <w:left w:val="nil"/>
              <w:right w:val="nil"/>
            </w:tcBorders>
            <w:shd w:val="clear" w:color="auto" w:fill="FFFFFF" w:themeFill="background1"/>
            <w:noWrap/>
            <w:vAlign w:val="bottom"/>
          </w:tcPr>
          <w:p w14:paraId="0A583057" w14:textId="77777777" w:rsidR="00622BB9" w:rsidRPr="00FF63D1" w:rsidRDefault="00622BB9">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tcPr>
          <w:p w14:paraId="7443402F" w14:textId="77777777" w:rsidR="00622BB9" w:rsidRPr="00FF63D1" w:rsidRDefault="00622BB9">
            <w:pPr>
              <w:jc w:val="center"/>
              <w:rPr>
                <w:rFonts w:ascii="Calibri" w:eastAsia="Times New Roman" w:hAnsi="Calibri" w:cs="Calibri"/>
                <w:noProof/>
                <w:color w:val="000000"/>
                <w:sz w:val="22"/>
                <w:lang w:eastAsia="en-IE"/>
              </w:rPr>
            </w:pPr>
          </w:p>
        </w:tc>
      </w:tr>
      <w:tr w:rsidR="00622BB9" w:rsidRPr="00FF63D1" w14:paraId="6338BE0D" w14:textId="77777777" w:rsidTr="007F7094">
        <w:trPr>
          <w:trHeight w:val="327"/>
        </w:trPr>
        <w:tc>
          <w:tcPr>
            <w:tcW w:w="3415" w:type="pct"/>
            <w:tcBorders>
              <w:left w:val="nil"/>
              <w:right w:val="nil"/>
            </w:tcBorders>
            <w:shd w:val="clear" w:color="auto" w:fill="FFFFFF" w:themeFill="background1"/>
            <w:noWrap/>
            <w:vAlign w:val="bottom"/>
          </w:tcPr>
          <w:p w14:paraId="1AA9ED8F" w14:textId="5136B94D" w:rsidR="00622BB9" w:rsidRDefault="00622BB9">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cost increase</w:t>
            </w:r>
          </w:p>
        </w:tc>
        <w:tc>
          <w:tcPr>
            <w:tcW w:w="201" w:type="pct"/>
            <w:tcBorders>
              <w:left w:val="nil"/>
              <w:right w:val="nil"/>
            </w:tcBorders>
            <w:shd w:val="clear" w:color="auto" w:fill="FFFFFF" w:themeFill="background1"/>
            <w:noWrap/>
            <w:vAlign w:val="bottom"/>
          </w:tcPr>
          <w:p w14:paraId="040B4897" w14:textId="77777777" w:rsidR="00622BB9" w:rsidRPr="00FF63D1"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3FEC80D4" w14:textId="77777777" w:rsidR="00622BB9" w:rsidRPr="00FF63D1" w:rsidRDefault="00622BB9">
            <w:pPr>
              <w:jc w:val="center"/>
              <w:rPr>
                <w:rFonts w:ascii="Calibri" w:eastAsia="Times New Roman" w:hAnsi="Calibri" w:cs="Calibri"/>
                <w:noProof/>
                <w:color w:val="000000"/>
                <w:sz w:val="22"/>
                <w:lang w:eastAsia="en-IE"/>
              </w:rPr>
            </w:pPr>
            <w:r w:rsidRPr="00FD24DB">
              <w:rPr>
                <w:rFonts w:ascii="Calibri" w:eastAsia="Times New Roman" w:hAnsi="Calibri" w:cs="Calibri"/>
                <w:noProof/>
                <w:color w:val="000000"/>
                <w:sz w:val="22"/>
                <w:lang w:val="en-IE" w:eastAsia="en-IE"/>
              </w:rPr>
              <w:t>0.0</w:t>
            </w:r>
          </w:p>
        </w:tc>
        <w:tc>
          <w:tcPr>
            <w:tcW w:w="680" w:type="pct"/>
            <w:tcBorders>
              <w:left w:val="nil"/>
              <w:right w:val="nil"/>
            </w:tcBorders>
            <w:shd w:val="clear" w:color="auto" w:fill="FFFFFF" w:themeFill="background1"/>
            <w:noWrap/>
            <w:vAlign w:val="bottom"/>
          </w:tcPr>
          <w:p w14:paraId="6F1712CA" w14:textId="45435328" w:rsidR="00622BB9" w:rsidRPr="00FF63D1" w:rsidRDefault="00622BB9">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0.</w:t>
            </w:r>
            <w:r w:rsidR="002F0C4C" w:rsidRPr="00FD24DB">
              <w:rPr>
                <w:rFonts w:ascii="Calibri" w:eastAsia="Times New Roman" w:hAnsi="Calibri" w:cs="Calibri"/>
                <w:noProof/>
                <w:color w:val="000000"/>
                <w:sz w:val="22"/>
                <w:lang w:val="en-IE" w:eastAsia="en-IE"/>
              </w:rPr>
              <w:t>15</w:t>
            </w:r>
          </w:p>
        </w:tc>
      </w:tr>
      <w:tr w:rsidR="00622BB9" w:rsidRPr="00FF63D1" w14:paraId="7881FA21" w14:textId="77777777" w:rsidTr="007F7094">
        <w:trPr>
          <w:trHeight w:val="327"/>
        </w:trPr>
        <w:tc>
          <w:tcPr>
            <w:tcW w:w="3415" w:type="pct"/>
            <w:tcBorders>
              <w:left w:val="nil"/>
              <w:right w:val="nil"/>
            </w:tcBorders>
            <w:shd w:val="clear" w:color="auto" w:fill="FFFFFF" w:themeFill="background1"/>
            <w:noWrap/>
            <w:vAlign w:val="bottom"/>
          </w:tcPr>
          <w:p w14:paraId="12DFDD81" w14:textId="3B3001D1" w:rsidR="00622BB9" w:rsidRPr="009C69FA" w:rsidRDefault="00622BB9">
            <w:pPr>
              <w:jc w:val="left"/>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 xml:space="preserve">   sales increase</w:t>
            </w:r>
          </w:p>
        </w:tc>
        <w:tc>
          <w:tcPr>
            <w:tcW w:w="201" w:type="pct"/>
            <w:tcBorders>
              <w:left w:val="nil"/>
              <w:right w:val="nil"/>
            </w:tcBorders>
            <w:shd w:val="clear" w:color="auto" w:fill="FFFFFF" w:themeFill="background1"/>
            <w:noWrap/>
            <w:vAlign w:val="bottom"/>
          </w:tcPr>
          <w:p w14:paraId="31415D1B" w14:textId="77777777" w:rsidR="00622BB9" w:rsidRPr="00FF63D1" w:rsidRDefault="00622BB9">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339D93F9" w14:textId="5644B611" w:rsidR="00622BB9" w:rsidRPr="00FF63D1" w:rsidRDefault="00622BB9">
            <w:pPr>
              <w:jc w:val="center"/>
              <w:rPr>
                <w:rFonts w:ascii="Calibri" w:eastAsia="Times New Roman" w:hAnsi="Calibri" w:cs="Calibri"/>
                <w:noProof/>
                <w:color w:val="000000"/>
                <w:sz w:val="22"/>
                <w:lang w:eastAsia="en-IE"/>
              </w:rPr>
            </w:pPr>
            <w:r>
              <w:rPr>
                <w:rFonts w:ascii="Calibri" w:eastAsia="Times New Roman" w:hAnsi="Calibri" w:cs="Calibri"/>
                <w:noProof/>
                <w:color w:val="000000"/>
                <w:sz w:val="22"/>
                <w:lang w:val="en-IE" w:eastAsia="en-IE"/>
              </w:rPr>
              <w:t>0.</w:t>
            </w:r>
            <w:r w:rsidR="002F0C4C">
              <w:rPr>
                <w:rFonts w:ascii="Calibri" w:eastAsia="Times New Roman" w:hAnsi="Calibri" w:cs="Calibri"/>
                <w:noProof/>
                <w:color w:val="000000"/>
                <w:sz w:val="22"/>
                <w:lang w:val="en-IE" w:eastAsia="en-IE"/>
              </w:rPr>
              <w:t>0</w:t>
            </w:r>
            <w:r w:rsidR="002F0C4C" w:rsidRPr="00FD24DB">
              <w:rPr>
                <w:rFonts w:ascii="Calibri" w:eastAsia="Times New Roman" w:hAnsi="Calibri" w:cs="Calibri"/>
                <w:noProof/>
                <w:color w:val="000000"/>
                <w:sz w:val="22"/>
                <w:lang w:val="en-IE" w:eastAsia="en-IE"/>
              </w:rPr>
              <w:t>6</w:t>
            </w:r>
            <w:r w:rsidR="002F0C4C">
              <w:rPr>
                <w:rFonts w:ascii="Calibri" w:eastAsia="Times New Roman" w:hAnsi="Calibri" w:cs="Calibri"/>
                <w:noProof/>
                <w:color w:val="000000"/>
                <w:sz w:val="22"/>
                <w:lang w:val="en-IE" w:eastAsia="en-IE"/>
              </w:rPr>
              <w:t>6</w:t>
            </w:r>
          </w:p>
        </w:tc>
        <w:tc>
          <w:tcPr>
            <w:tcW w:w="680" w:type="pct"/>
            <w:tcBorders>
              <w:left w:val="nil"/>
              <w:right w:val="nil"/>
            </w:tcBorders>
            <w:shd w:val="clear" w:color="auto" w:fill="FFFFFF" w:themeFill="background1"/>
            <w:noWrap/>
            <w:vAlign w:val="bottom"/>
          </w:tcPr>
          <w:p w14:paraId="3F429604" w14:textId="164DC994" w:rsidR="00622BB9" w:rsidRPr="00FF63D1" w:rsidRDefault="00622BB9">
            <w:pPr>
              <w:jc w:val="center"/>
              <w:rPr>
                <w:rFonts w:ascii="Calibri" w:eastAsia="Times New Roman" w:hAnsi="Calibri" w:cs="Calibri"/>
                <w:noProof/>
                <w:color w:val="000000"/>
                <w:sz w:val="22"/>
                <w:lang w:eastAsia="en-IE"/>
              </w:rPr>
            </w:pPr>
            <w:r w:rsidRPr="00FD24DB">
              <w:rPr>
                <w:rFonts w:ascii="Calibri" w:eastAsia="Times New Roman" w:hAnsi="Calibri" w:cs="Calibri"/>
                <w:noProof/>
                <w:color w:val="000000"/>
                <w:sz w:val="22"/>
                <w:lang w:val="en-IE" w:eastAsia="en-IE"/>
              </w:rPr>
              <w:t>-</w:t>
            </w:r>
            <w:r>
              <w:rPr>
                <w:rFonts w:ascii="Calibri" w:eastAsia="Times New Roman" w:hAnsi="Calibri" w:cs="Calibri"/>
                <w:noProof/>
                <w:color w:val="000000"/>
                <w:sz w:val="22"/>
                <w:lang w:val="en-IE" w:eastAsia="en-IE"/>
              </w:rPr>
              <w:t>0.</w:t>
            </w:r>
            <w:r w:rsidR="002F0C4C" w:rsidRPr="00FD24DB">
              <w:rPr>
                <w:rFonts w:ascii="Calibri" w:eastAsia="Times New Roman" w:hAnsi="Calibri" w:cs="Calibri"/>
                <w:noProof/>
                <w:color w:val="000000"/>
                <w:sz w:val="22"/>
                <w:lang w:val="en-IE" w:eastAsia="en-IE"/>
              </w:rPr>
              <w:t>2</w:t>
            </w:r>
            <w:r w:rsidR="002F0C4C">
              <w:rPr>
                <w:rFonts w:ascii="Calibri" w:eastAsia="Times New Roman" w:hAnsi="Calibri" w:cs="Calibri"/>
                <w:noProof/>
                <w:color w:val="000000"/>
                <w:sz w:val="22"/>
                <w:lang w:val="en-IE" w:eastAsia="en-IE"/>
              </w:rPr>
              <w:t>1</w:t>
            </w:r>
          </w:p>
        </w:tc>
      </w:tr>
    </w:tbl>
    <w:p w14:paraId="432501C9" w14:textId="01FED9F6" w:rsidR="00EB793C" w:rsidRDefault="00EB793C" w:rsidP="00EB793C">
      <w:pPr>
        <w:rPr>
          <w:noProof/>
        </w:rPr>
      </w:pPr>
    </w:p>
    <w:p w14:paraId="7DC25089" w14:textId="21924DEE" w:rsidR="00EB793C" w:rsidRDefault="00EB793C" w:rsidP="00EB793C">
      <w:pPr>
        <w:rPr>
          <w:noProof/>
        </w:rPr>
      </w:pPr>
      <w:r>
        <w:rPr>
          <w:noProof/>
        </w:rPr>
        <w:t xml:space="preserve">Under </w:t>
      </w:r>
      <w:r w:rsidR="003952BF" w:rsidRPr="00E71388">
        <w:rPr>
          <w:i/>
          <w:iCs/>
          <w:noProof/>
        </w:rPr>
        <w:t>Non-EU manufacturers absorb the price increase</w:t>
      </w:r>
      <w:r w:rsidR="003952BF">
        <w:rPr>
          <w:noProof/>
        </w:rPr>
        <w:t>,</w:t>
      </w:r>
      <w:r>
        <w:rPr>
          <w:noProof/>
        </w:rPr>
        <w:t xml:space="preserve"> if we assume that non-EU manufacturers fully absorb the relative price increase, </w:t>
      </w:r>
      <w:r w:rsidR="00CC7963">
        <w:rPr>
          <w:noProof/>
        </w:rPr>
        <w:t>f</w:t>
      </w:r>
      <w:r w:rsidR="002F0C4C">
        <w:rPr>
          <w:noProof/>
        </w:rPr>
        <w:t xml:space="preserve">or passenger cars, </w:t>
      </w:r>
      <w:r>
        <w:rPr>
          <w:noProof/>
        </w:rPr>
        <w:t xml:space="preserve">EU EV manufacturers will still benefit from a sales increase of </w:t>
      </w:r>
      <w:r w:rsidR="00D107A1" w:rsidRPr="00D107A1">
        <w:rPr>
          <w:noProof/>
        </w:rPr>
        <w:t xml:space="preserve">EUR </w:t>
      </w:r>
      <w:r>
        <w:rPr>
          <w:noProof/>
        </w:rPr>
        <w:t xml:space="preserve">2.4 billion. In this scenario, the proposed target for 2030 will lead to a cost increase of </w:t>
      </w:r>
      <w:r w:rsidR="00D107A1" w:rsidRPr="00D107A1">
        <w:rPr>
          <w:noProof/>
        </w:rPr>
        <w:t xml:space="preserve">EUR </w:t>
      </w:r>
      <w:r>
        <w:rPr>
          <w:noProof/>
        </w:rPr>
        <w:t xml:space="preserve">1.8 billion, however, the projected sales increase will be limited to </w:t>
      </w:r>
      <w:r w:rsidR="00D107A1" w:rsidRPr="00D107A1">
        <w:rPr>
          <w:noProof/>
        </w:rPr>
        <w:t xml:space="preserve">EUR </w:t>
      </w:r>
      <w:r>
        <w:rPr>
          <w:noProof/>
        </w:rPr>
        <w:t xml:space="preserve">0.1 billion. The sales increase is lower in this scenario because the sales price differential between EU and non-EU cars will be lower. </w:t>
      </w:r>
    </w:p>
    <w:p w14:paraId="229893C7" w14:textId="77777777" w:rsidR="00EB793C" w:rsidRDefault="00EB793C" w:rsidP="00EB793C">
      <w:pPr>
        <w:rPr>
          <w:i/>
          <w:iCs/>
          <w:noProof/>
        </w:rPr>
      </w:pPr>
    </w:p>
    <w:p w14:paraId="31CFB9F4" w14:textId="0B6BA3E6" w:rsidR="00EB793C" w:rsidRDefault="002F0C4C" w:rsidP="00EB793C">
      <w:pPr>
        <w:rPr>
          <w:noProof/>
        </w:rPr>
      </w:pPr>
      <w:r>
        <w:rPr>
          <w:noProof/>
        </w:rPr>
        <w:t>For LCVs: manufacturers</w:t>
      </w:r>
      <w:r w:rsidR="00EB793C">
        <w:rPr>
          <w:noProof/>
        </w:rPr>
        <w:t xml:space="preserve"> will still benefit from a sales increase of </w:t>
      </w:r>
      <w:r w:rsidR="004E00B0" w:rsidRPr="004E00B0">
        <w:rPr>
          <w:noProof/>
        </w:rPr>
        <w:t xml:space="preserve">EUR </w:t>
      </w:r>
      <w:r w:rsidR="00EB793C">
        <w:rPr>
          <w:noProof/>
        </w:rPr>
        <w:t xml:space="preserve">0.4 billion in 2027. In this scenario, the proposed target for 2030 will lead to a cost increase of </w:t>
      </w:r>
      <w:r w:rsidR="004E00B0" w:rsidRPr="004E00B0">
        <w:rPr>
          <w:noProof/>
        </w:rPr>
        <w:t xml:space="preserve">EUR </w:t>
      </w:r>
      <w:r w:rsidR="00EB793C">
        <w:rPr>
          <w:noProof/>
        </w:rPr>
        <w:t xml:space="preserve">0.2 billion, whereas the projected sales increase will be limited to </w:t>
      </w:r>
      <w:r w:rsidR="004E00B0" w:rsidRPr="004E00B0">
        <w:rPr>
          <w:noProof/>
        </w:rPr>
        <w:t xml:space="preserve">EUR </w:t>
      </w:r>
      <w:r w:rsidR="00EB793C">
        <w:rPr>
          <w:noProof/>
        </w:rPr>
        <w:t xml:space="preserve">0.2 billion. </w:t>
      </w:r>
    </w:p>
    <w:p w14:paraId="091D8FE6" w14:textId="77777777" w:rsidR="00EB793C" w:rsidRPr="00C149DA" w:rsidRDefault="00EB793C" w:rsidP="00EB793C">
      <w:pPr>
        <w:rPr>
          <w:i/>
          <w:iCs/>
          <w:noProof/>
        </w:rPr>
      </w:pPr>
    </w:p>
    <w:p w14:paraId="2D44BEBC" w14:textId="0A14D0A3" w:rsidR="00EB793C" w:rsidRDefault="002F0C4C" w:rsidP="00EB793C">
      <w:pPr>
        <w:rPr>
          <w:noProof/>
        </w:rPr>
      </w:pPr>
      <w:r>
        <w:rPr>
          <w:noProof/>
        </w:rPr>
        <w:t xml:space="preserve">For HDVs: EV </w:t>
      </w:r>
      <w:r w:rsidR="00EB793C">
        <w:rPr>
          <w:noProof/>
        </w:rPr>
        <w:t xml:space="preserve">manufacturers will still benefit from a sales increase of </w:t>
      </w:r>
      <w:r w:rsidR="004E00B0" w:rsidRPr="004E00B0">
        <w:rPr>
          <w:noProof/>
        </w:rPr>
        <w:t xml:space="preserve">EUR </w:t>
      </w:r>
      <w:r w:rsidR="00EB793C">
        <w:rPr>
          <w:noProof/>
        </w:rPr>
        <w:t xml:space="preserve">65.6 million. In this scenario, the proposed target for 2030 will still lead to a cost increase of </w:t>
      </w:r>
      <w:r w:rsidR="00326B64" w:rsidRPr="00326B64">
        <w:rPr>
          <w:noProof/>
        </w:rPr>
        <w:t xml:space="preserve">EUR </w:t>
      </w:r>
      <w:r w:rsidR="00EB793C">
        <w:rPr>
          <w:noProof/>
        </w:rPr>
        <w:t>154.1 million, and this is going to be accompanied by a projected sales reduction for EU EV HDV manufacturers (</w:t>
      </w:r>
      <w:r w:rsidR="004958FC" w:rsidRPr="004958FC">
        <w:rPr>
          <w:noProof/>
        </w:rPr>
        <w:t xml:space="preserve">EUR </w:t>
      </w:r>
      <w:r w:rsidR="00EB793C">
        <w:rPr>
          <w:noProof/>
        </w:rPr>
        <w:t xml:space="preserve">-206 million). </w:t>
      </w:r>
    </w:p>
    <w:p w14:paraId="5B58B2CC" w14:textId="64A289EE" w:rsidR="001004F1" w:rsidRDefault="001004F1" w:rsidP="00EB793C">
      <w:pPr>
        <w:rPr>
          <w:noProof/>
        </w:rPr>
      </w:pPr>
    </w:p>
    <w:p w14:paraId="47327AAB" w14:textId="2E7C0122" w:rsidR="001004F1" w:rsidRPr="00F90868" w:rsidRDefault="001004F1" w:rsidP="001004F1">
      <w:pPr>
        <w:rPr>
          <w:i/>
          <w:iCs/>
          <w:noProof/>
        </w:rPr>
      </w:pPr>
      <w:r w:rsidRPr="00E71388">
        <w:rPr>
          <w:i/>
          <w:iCs/>
          <w:noProof/>
        </w:rPr>
        <w:t>Global Value Added</w:t>
      </w:r>
    </w:p>
    <w:tbl>
      <w:tblPr>
        <w:tblW w:w="5000" w:type="pct"/>
        <w:tblLook w:val="04A0" w:firstRow="1" w:lastRow="0" w:firstColumn="1" w:lastColumn="0" w:noHBand="0" w:noVBand="1"/>
      </w:tblPr>
      <w:tblGrid>
        <w:gridCol w:w="7213"/>
        <w:gridCol w:w="301"/>
        <w:gridCol w:w="752"/>
        <w:gridCol w:w="750"/>
      </w:tblGrid>
      <w:tr w:rsidR="001004F1" w:rsidRPr="00655FB0" w14:paraId="5C432BA7" w14:textId="77777777" w:rsidTr="007F7094">
        <w:trPr>
          <w:trHeight w:val="290"/>
        </w:trPr>
        <w:tc>
          <w:tcPr>
            <w:tcW w:w="5000" w:type="pct"/>
            <w:gridSpan w:val="4"/>
            <w:tcBorders>
              <w:top w:val="single" w:sz="4" w:space="0" w:color="auto"/>
              <w:left w:val="single" w:sz="4" w:space="0" w:color="auto"/>
              <w:bottom w:val="single" w:sz="4" w:space="0" w:color="auto"/>
              <w:right w:val="single" w:sz="4" w:space="0" w:color="000000"/>
            </w:tcBorders>
            <w:shd w:val="clear" w:color="000000" w:fill="E2EFDA"/>
            <w:noWrap/>
            <w:vAlign w:val="bottom"/>
            <w:hideMark/>
          </w:tcPr>
          <w:p w14:paraId="7698BACC" w14:textId="4CDEF1B2" w:rsidR="001004F1" w:rsidRPr="00655FB0" w:rsidRDefault="001004F1" w:rsidP="001004F1">
            <w:pPr>
              <w:jc w:val="center"/>
              <w:rPr>
                <w:rFonts w:ascii="Calibri" w:eastAsia="Times New Roman" w:hAnsi="Calibri" w:cs="Calibri"/>
                <w:b/>
                <w:bCs/>
                <w:noProof/>
                <w:color w:val="000000"/>
                <w:sz w:val="22"/>
                <w:lang w:val="en-IE" w:eastAsia="en-IE"/>
              </w:rPr>
            </w:pPr>
            <w:r w:rsidRPr="00655FB0">
              <w:rPr>
                <w:rFonts w:ascii="Calibri" w:eastAsia="Times New Roman" w:hAnsi="Calibri" w:cs="Calibri"/>
                <w:b/>
                <w:bCs/>
                <w:noProof/>
                <w:color w:val="000000"/>
                <w:sz w:val="22"/>
                <w:lang w:val="en-IE" w:eastAsia="en-IE"/>
              </w:rPr>
              <w:t>Value Added</w:t>
            </w:r>
            <w:r w:rsidR="00D107A1">
              <w:rPr>
                <w:rFonts w:ascii="Calibri" w:eastAsia="Times New Roman" w:hAnsi="Calibri" w:cs="Calibri"/>
                <w:b/>
                <w:bCs/>
                <w:noProof/>
                <w:color w:val="000000"/>
                <w:sz w:val="22"/>
                <w:lang w:val="en-IE" w:eastAsia="en-IE"/>
              </w:rPr>
              <w:t xml:space="preserve"> in </w:t>
            </w:r>
            <w:r w:rsidR="00326B64">
              <w:rPr>
                <w:rFonts w:ascii="Calibri" w:eastAsia="Times New Roman" w:hAnsi="Calibri" w:cs="Calibri"/>
                <w:b/>
                <w:bCs/>
                <w:noProof/>
                <w:color w:val="000000"/>
                <w:sz w:val="22"/>
                <w:lang w:val="en-IE" w:eastAsia="en-IE"/>
              </w:rPr>
              <w:t>EUR billion</w:t>
            </w:r>
          </w:p>
        </w:tc>
      </w:tr>
      <w:tr w:rsidR="001004F1" w:rsidRPr="00655FB0" w14:paraId="5255C76B" w14:textId="77777777" w:rsidTr="007F7094">
        <w:trPr>
          <w:trHeight w:val="290"/>
        </w:trPr>
        <w:tc>
          <w:tcPr>
            <w:tcW w:w="4000" w:type="pct"/>
            <w:tcBorders>
              <w:top w:val="nil"/>
              <w:left w:val="nil"/>
              <w:bottom w:val="single" w:sz="4" w:space="0" w:color="auto"/>
              <w:right w:val="nil"/>
            </w:tcBorders>
            <w:shd w:val="clear" w:color="000000" w:fill="FFFFFF"/>
            <w:noWrap/>
            <w:vAlign w:val="bottom"/>
            <w:hideMark/>
          </w:tcPr>
          <w:p w14:paraId="17EE9623" w14:textId="77777777" w:rsidR="001004F1" w:rsidRPr="00655FB0" w:rsidRDefault="001004F1" w:rsidP="001004F1">
            <w:pPr>
              <w:jc w:val="left"/>
              <w:rPr>
                <w:rFonts w:ascii="Calibri" w:eastAsia="Times New Roman" w:hAnsi="Calibri" w:cs="Calibri"/>
                <w:b/>
                <w:bCs/>
                <w:i/>
                <w:iCs/>
                <w:noProof/>
                <w:color w:val="000000"/>
                <w:sz w:val="22"/>
                <w:lang w:val="en-IE" w:eastAsia="en-IE"/>
              </w:rPr>
            </w:pPr>
            <w:r w:rsidRPr="008E37E5">
              <w:rPr>
                <w:rFonts w:ascii="Calibri" w:eastAsia="Times New Roman" w:hAnsi="Calibri" w:cs="Calibri"/>
                <w:b/>
                <w:bCs/>
                <w:i/>
                <w:iCs/>
                <w:noProof/>
                <w:color w:val="000000"/>
                <w:sz w:val="22"/>
                <w:lang w:eastAsia="en-IE"/>
              </w:rPr>
              <w:t>Non-EU manufacturers absorb the price increase</w:t>
            </w:r>
          </w:p>
        </w:tc>
        <w:tc>
          <w:tcPr>
            <w:tcW w:w="167" w:type="pct"/>
            <w:tcBorders>
              <w:top w:val="nil"/>
              <w:left w:val="nil"/>
              <w:bottom w:val="nil"/>
              <w:right w:val="nil"/>
            </w:tcBorders>
            <w:noWrap/>
            <w:vAlign w:val="bottom"/>
            <w:hideMark/>
          </w:tcPr>
          <w:p w14:paraId="370288D8" w14:textId="77777777" w:rsidR="001004F1" w:rsidRPr="00655FB0" w:rsidRDefault="001004F1" w:rsidP="001004F1">
            <w:pPr>
              <w:jc w:val="left"/>
              <w:rPr>
                <w:rFonts w:ascii="Calibri" w:eastAsia="Times New Roman" w:hAnsi="Calibri" w:cs="Calibri"/>
                <w:b/>
                <w:bCs/>
                <w:i/>
                <w:iCs/>
                <w:noProof/>
                <w:color w:val="000000"/>
                <w:sz w:val="22"/>
                <w:lang w:val="en-IE" w:eastAsia="en-IE"/>
              </w:rPr>
            </w:pPr>
          </w:p>
        </w:tc>
        <w:tc>
          <w:tcPr>
            <w:tcW w:w="417" w:type="pct"/>
            <w:tcBorders>
              <w:top w:val="nil"/>
              <w:left w:val="nil"/>
              <w:bottom w:val="nil"/>
              <w:right w:val="nil"/>
            </w:tcBorders>
            <w:noWrap/>
            <w:vAlign w:val="bottom"/>
            <w:hideMark/>
          </w:tcPr>
          <w:p w14:paraId="77488EEC" w14:textId="77777777" w:rsidR="001004F1" w:rsidRPr="00655FB0" w:rsidRDefault="001004F1" w:rsidP="001004F1">
            <w:pPr>
              <w:jc w:val="left"/>
              <w:rPr>
                <w:rFonts w:eastAsia="Times New Roman" w:cs="Times New Roman"/>
                <w:noProof/>
                <w:sz w:val="20"/>
                <w:szCs w:val="20"/>
                <w:lang w:val="en-IE" w:eastAsia="en-IE"/>
              </w:rPr>
            </w:pPr>
            <w:r w:rsidRPr="00655FB0">
              <w:rPr>
                <w:rFonts w:ascii="Calibri" w:eastAsia="Times New Roman" w:hAnsi="Calibri" w:cs="Calibri"/>
                <w:b/>
                <w:bCs/>
                <w:noProof/>
                <w:color w:val="000000"/>
                <w:sz w:val="22"/>
                <w:lang w:val="en-IE" w:eastAsia="en-IE"/>
              </w:rPr>
              <w:t>2027</w:t>
            </w:r>
          </w:p>
        </w:tc>
        <w:tc>
          <w:tcPr>
            <w:tcW w:w="417" w:type="pct"/>
            <w:tcBorders>
              <w:top w:val="nil"/>
              <w:left w:val="nil"/>
              <w:bottom w:val="nil"/>
              <w:right w:val="nil"/>
            </w:tcBorders>
            <w:noWrap/>
            <w:vAlign w:val="bottom"/>
            <w:hideMark/>
          </w:tcPr>
          <w:p w14:paraId="359FE660" w14:textId="77777777" w:rsidR="001004F1" w:rsidRPr="00655FB0" w:rsidRDefault="001004F1" w:rsidP="001004F1">
            <w:pPr>
              <w:jc w:val="left"/>
              <w:rPr>
                <w:rFonts w:eastAsia="Times New Roman" w:cs="Times New Roman"/>
                <w:noProof/>
                <w:sz w:val="20"/>
                <w:szCs w:val="20"/>
                <w:lang w:val="en-IE" w:eastAsia="en-IE"/>
              </w:rPr>
            </w:pPr>
            <w:r w:rsidRPr="00655FB0">
              <w:rPr>
                <w:rFonts w:ascii="Calibri" w:eastAsia="Times New Roman" w:hAnsi="Calibri" w:cs="Calibri"/>
                <w:b/>
                <w:bCs/>
                <w:noProof/>
                <w:color w:val="000000"/>
                <w:sz w:val="22"/>
                <w:lang w:val="en-IE" w:eastAsia="en-IE"/>
              </w:rPr>
              <w:t>2030</w:t>
            </w:r>
          </w:p>
        </w:tc>
      </w:tr>
      <w:tr w:rsidR="001004F1" w:rsidRPr="00655FB0" w14:paraId="6575848A" w14:textId="77777777" w:rsidTr="007F7094">
        <w:trPr>
          <w:trHeight w:val="290"/>
        </w:trPr>
        <w:tc>
          <w:tcPr>
            <w:tcW w:w="4000" w:type="pct"/>
            <w:tcBorders>
              <w:top w:val="nil"/>
              <w:left w:val="nil"/>
              <w:bottom w:val="nil"/>
              <w:right w:val="nil"/>
            </w:tcBorders>
            <w:shd w:val="clear" w:color="000000" w:fill="FFFFFF"/>
            <w:noWrap/>
            <w:vAlign w:val="bottom"/>
            <w:hideMark/>
          </w:tcPr>
          <w:p w14:paraId="3FD025D8" w14:textId="5B94A24E" w:rsidR="001004F1" w:rsidRPr="00655FB0" w:rsidRDefault="001004F1" w:rsidP="001004F1">
            <w:pPr>
              <w:jc w:val="left"/>
              <w:rPr>
                <w:rFonts w:ascii="Calibri" w:eastAsia="Times New Roman" w:hAnsi="Calibri" w:cs="Calibri"/>
                <w:noProof/>
                <w:color w:val="000000"/>
                <w:sz w:val="22"/>
                <w:lang w:val="en-IE" w:eastAsia="en-IE"/>
              </w:rPr>
            </w:pPr>
            <w:r w:rsidRPr="00086326">
              <w:rPr>
                <w:rFonts w:ascii="Calibri" w:eastAsia="Times New Roman" w:hAnsi="Calibri" w:cs="Calibri"/>
                <w:noProof/>
                <w:color w:val="000000"/>
                <w:sz w:val="22"/>
                <w:lang w:val="fr-FR" w:eastAsia="en-IE"/>
              </w:rPr>
              <w:t xml:space="preserve">   </w:t>
            </w:r>
            <w:r w:rsidRPr="00655FB0">
              <w:rPr>
                <w:rFonts w:ascii="Calibri" w:eastAsia="Times New Roman" w:hAnsi="Calibri" w:cs="Calibri"/>
                <w:noProof/>
                <w:color w:val="000000"/>
                <w:sz w:val="22"/>
                <w:lang w:val="en-IE" w:eastAsia="en-IE"/>
              </w:rPr>
              <w:t>automotive</w:t>
            </w:r>
          </w:p>
        </w:tc>
        <w:tc>
          <w:tcPr>
            <w:tcW w:w="167" w:type="pct"/>
            <w:tcBorders>
              <w:top w:val="nil"/>
              <w:left w:val="nil"/>
              <w:bottom w:val="nil"/>
              <w:right w:val="nil"/>
            </w:tcBorders>
            <w:noWrap/>
            <w:vAlign w:val="bottom"/>
            <w:hideMark/>
          </w:tcPr>
          <w:p w14:paraId="2F489E5F" w14:textId="77777777" w:rsidR="001004F1" w:rsidRPr="00655FB0" w:rsidRDefault="001004F1" w:rsidP="001004F1">
            <w:pPr>
              <w:jc w:val="left"/>
              <w:rPr>
                <w:rFonts w:ascii="Calibri" w:eastAsia="Times New Roman" w:hAnsi="Calibri" w:cs="Calibri"/>
                <w:noProof/>
                <w:color w:val="000000"/>
                <w:sz w:val="22"/>
                <w:lang w:val="en-IE" w:eastAsia="en-IE"/>
              </w:rPr>
            </w:pPr>
          </w:p>
        </w:tc>
        <w:tc>
          <w:tcPr>
            <w:tcW w:w="417" w:type="pct"/>
            <w:tcBorders>
              <w:top w:val="nil"/>
              <w:left w:val="nil"/>
              <w:bottom w:val="nil"/>
              <w:right w:val="nil"/>
            </w:tcBorders>
            <w:shd w:val="clear" w:color="000000" w:fill="FFFFFF"/>
            <w:noWrap/>
            <w:vAlign w:val="bottom"/>
            <w:hideMark/>
          </w:tcPr>
          <w:p w14:paraId="0FF06042"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0.6</w:t>
            </w:r>
          </w:p>
        </w:tc>
        <w:tc>
          <w:tcPr>
            <w:tcW w:w="417" w:type="pct"/>
            <w:tcBorders>
              <w:top w:val="nil"/>
              <w:left w:val="nil"/>
              <w:bottom w:val="nil"/>
              <w:right w:val="nil"/>
            </w:tcBorders>
            <w:shd w:val="clear" w:color="000000" w:fill="FFFFFF"/>
            <w:noWrap/>
            <w:vAlign w:val="bottom"/>
            <w:hideMark/>
          </w:tcPr>
          <w:p w14:paraId="13A96ADE"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0.0</w:t>
            </w:r>
          </w:p>
        </w:tc>
      </w:tr>
      <w:tr w:rsidR="001004F1" w:rsidRPr="00655FB0" w14:paraId="0213D8A1" w14:textId="77777777" w:rsidTr="007F7094">
        <w:trPr>
          <w:trHeight w:val="290"/>
        </w:trPr>
        <w:tc>
          <w:tcPr>
            <w:tcW w:w="4000" w:type="pct"/>
            <w:tcBorders>
              <w:top w:val="nil"/>
              <w:left w:val="nil"/>
              <w:bottom w:val="nil"/>
              <w:right w:val="nil"/>
            </w:tcBorders>
            <w:shd w:val="clear" w:color="000000" w:fill="FFFFFF"/>
            <w:noWrap/>
            <w:vAlign w:val="bottom"/>
            <w:hideMark/>
          </w:tcPr>
          <w:p w14:paraId="686A7D52" w14:textId="702360CD" w:rsidR="001004F1" w:rsidRPr="00655FB0" w:rsidRDefault="001004F1" w:rsidP="001004F1">
            <w:pPr>
              <w:jc w:val="left"/>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 xml:space="preserve">   intermediate</w:t>
            </w:r>
          </w:p>
        </w:tc>
        <w:tc>
          <w:tcPr>
            <w:tcW w:w="167" w:type="pct"/>
            <w:tcBorders>
              <w:top w:val="nil"/>
              <w:left w:val="nil"/>
              <w:bottom w:val="nil"/>
              <w:right w:val="nil"/>
            </w:tcBorders>
            <w:noWrap/>
            <w:vAlign w:val="bottom"/>
            <w:hideMark/>
          </w:tcPr>
          <w:p w14:paraId="58568ECD" w14:textId="77777777" w:rsidR="001004F1" w:rsidRPr="00655FB0" w:rsidRDefault="001004F1" w:rsidP="001004F1">
            <w:pPr>
              <w:jc w:val="left"/>
              <w:rPr>
                <w:rFonts w:ascii="Calibri" w:eastAsia="Times New Roman" w:hAnsi="Calibri" w:cs="Calibri"/>
                <w:noProof/>
                <w:color w:val="000000"/>
                <w:sz w:val="22"/>
                <w:lang w:val="en-IE" w:eastAsia="en-IE"/>
              </w:rPr>
            </w:pPr>
          </w:p>
        </w:tc>
        <w:tc>
          <w:tcPr>
            <w:tcW w:w="417" w:type="pct"/>
            <w:tcBorders>
              <w:top w:val="nil"/>
              <w:left w:val="nil"/>
              <w:bottom w:val="nil"/>
              <w:right w:val="nil"/>
            </w:tcBorders>
            <w:shd w:val="clear" w:color="000000" w:fill="FFFFFF"/>
            <w:noWrap/>
            <w:vAlign w:val="bottom"/>
            <w:hideMark/>
          </w:tcPr>
          <w:p w14:paraId="0BB12A6A"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0.5</w:t>
            </w:r>
          </w:p>
        </w:tc>
        <w:tc>
          <w:tcPr>
            <w:tcW w:w="417" w:type="pct"/>
            <w:tcBorders>
              <w:top w:val="nil"/>
              <w:left w:val="nil"/>
              <w:bottom w:val="nil"/>
              <w:right w:val="nil"/>
            </w:tcBorders>
            <w:shd w:val="clear" w:color="000000" w:fill="FFFFFF"/>
            <w:noWrap/>
            <w:vAlign w:val="bottom"/>
            <w:hideMark/>
          </w:tcPr>
          <w:p w14:paraId="26B4D31D"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0.8</w:t>
            </w:r>
          </w:p>
        </w:tc>
      </w:tr>
      <w:tr w:rsidR="001004F1" w:rsidRPr="00655FB0" w14:paraId="6711123F" w14:textId="77777777" w:rsidTr="007F7094">
        <w:trPr>
          <w:trHeight w:val="290"/>
        </w:trPr>
        <w:tc>
          <w:tcPr>
            <w:tcW w:w="4000" w:type="pct"/>
            <w:tcBorders>
              <w:top w:val="nil"/>
              <w:left w:val="nil"/>
              <w:bottom w:val="nil"/>
              <w:right w:val="nil"/>
            </w:tcBorders>
            <w:shd w:val="clear" w:color="000000" w:fill="FFFFFF"/>
            <w:noWrap/>
            <w:vAlign w:val="bottom"/>
            <w:hideMark/>
          </w:tcPr>
          <w:p w14:paraId="4E6A4AD7" w14:textId="74D43B3D" w:rsidR="001004F1" w:rsidRPr="00655FB0" w:rsidRDefault="001004F1" w:rsidP="001004F1">
            <w:pPr>
              <w:jc w:val="left"/>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 xml:space="preserve">   Global value added - Only first round of Value Chain</w:t>
            </w:r>
          </w:p>
        </w:tc>
        <w:tc>
          <w:tcPr>
            <w:tcW w:w="167" w:type="pct"/>
            <w:tcBorders>
              <w:top w:val="nil"/>
              <w:left w:val="nil"/>
              <w:bottom w:val="nil"/>
              <w:right w:val="nil"/>
            </w:tcBorders>
            <w:noWrap/>
            <w:vAlign w:val="bottom"/>
            <w:hideMark/>
          </w:tcPr>
          <w:p w14:paraId="5EC5F658" w14:textId="77777777" w:rsidR="001004F1" w:rsidRPr="00655FB0" w:rsidRDefault="001004F1" w:rsidP="001004F1">
            <w:pPr>
              <w:jc w:val="left"/>
              <w:rPr>
                <w:rFonts w:ascii="Calibri" w:eastAsia="Times New Roman" w:hAnsi="Calibri" w:cs="Calibri"/>
                <w:noProof/>
                <w:color w:val="000000"/>
                <w:sz w:val="22"/>
                <w:lang w:val="en-IE" w:eastAsia="en-IE"/>
              </w:rPr>
            </w:pPr>
          </w:p>
        </w:tc>
        <w:tc>
          <w:tcPr>
            <w:tcW w:w="417" w:type="pct"/>
            <w:tcBorders>
              <w:top w:val="nil"/>
              <w:left w:val="nil"/>
              <w:bottom w:val="nil"/>
              <w:right w:val="nil"/>
            </w:tcBorders>
            <w:shd w:val="clear" w:color="000000" w:fill="FFFFFF"/>
            <w:noWrap/>
            <w:vAlign w:val="bottom"/>
            <w:hideMark/>
          </w:tcPr>
          <w:p w14:paraId="6B886F73"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1.1</w:t>
            </w:r>
          </w:p>
        </w:tc>
        <w:tc>
          <w:tcPr>
            <w:tcW w:w="417" w:type="pct"/>
            <w:tcBorders>
              <w:top w:val="nil"/>
              <w:left w:val="nil"/>
              <w:bottom w:val="nil"/>
              <w:right w:val="nil"/>
            </w:tcBorders>
            <w:shd w:val="clear" w:color="000000" w:fill="FFFFFF"/>
            <w:noWrap/>
            <w:vAlign w:val="bottom"/>
            <w:hideMark/>
          </w:tcPr>
          <w:p w14:paraId="6C2874AD"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0.8</w:t>
            </w:r>
          </w:p>
        </w:tc>
      </w:tr>
      <w:tr w:rsidR="001004F1" w:rsidRPr="00655FB0" w14:paraId="41894FE9" w14:textId="77777777" w:rsidTr="007F7094">
        <w:trPr>
          <w:trHeight w:val="290"/>
        </w:trPr>
        <w:tc>
          <w:tcPr>
            <w:tcW w:w="4000" w:type="pct"/>
            <w:tcBorders>
              <w:top w:val="nil"/>
              <w:left w:val="nil"/>
              <w:bottom w:val="single" w:sz="4" w:space="0" w:color="auto"/>
              <w:right w:val="nil"/>
            </w:tcBorders>
            <w:shd w:val="clear" w:color="000000" w:fill="FFFFFF"/>
            <w:noWrap/>
            <w:vAlign w:val="bottom"/>
            <w:hideMark/>
          </w:tcPr>
          <w:p w14:paraId="14F5EF67" w14:textId="4EC6336B" w:rsidR="001004F1" w:rsidRPr="00655FB0" w:rsidRDefault="001004F1" w:rsidP="001004F1">
            <w:pPr>
              <w:jc w:val="left"/>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 xml:space="preserve">   Global value added - Estimated all Value Chain</w:t>
            </w:r>
          </w:p>
        </w:tc>
        <w:tc>
          <w:tcPr>
            <w:tcW w:w="167" w:type="pct"/>
            <w:tcBorders>
              <w:top w:val="nil"/>
              <w:left w:val="nil"/>
              <w:bottom w:val="single" w:sz="4" w:space="0" w:color="auto"/>
              <w:right w:val="nil"/>
            </w:tcBorders>
            <w:noWrap/>
            <w:vAlign w:val="bottom"/>
            <w:hideMark/>
          </w:tcPr>
          <w:p w14:paraId="39EE0734" w14:textId="77777777" w:rsidR="001004F1" w:rsidRPr="00655FB0" w:rsidRDefault="001004F1" w:rsidP="001004F1">
            <w:pPr>
              <w:jc w:val="left"/>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 </w:t>
            </w:r>
          </w:p>
        </w:tc>
        <w:tc>
          <w:tcPr>
            <w:tcW w:w="417" w:type="pct"/>
            <w:tcBorders>
              <w:top w:val="nil"/>
              <w:left w:val="nil"/>
              <w:bottom w:val="single" w:sz="4" w:space="0" w:color="auto"/>
              <w:right w:val="nil"/>
            </w:tcBorders>
            <w:shd w:val="clear" w:color="000000" w:fill="FFFFFF"/>
            <w:noWrap/>
            <w:vAlign w:val="bottom"/>
            <w:hideMark/>
          </w:tcPr>
          <w:p w14:paraId="7B9725FC"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2.1</w:t>
            </w:r>
          </w:p>
        </w:tc>
        <w:tc>
          <w:tcPr>
            <w:tcW w:w="417" w:type="pct"/>
            <w:tcBorders>
              <w:top w:val="nil"/>
              <w:left w:val="nil"/>
              <w:bottom w:val="single" w:sz="4" w:space="0" w:color="auto"/>
              <w:right w:val="nil"/>
            </w:tcBorders>
            <w:shd w:val="clear" w:color="000000" w:fill="FFFFFF"/>
            <w:noWrap/>
            <w:vAlign w:val="bottom"/>
            <w:hideMark/>
          </w:tcPr>
          <w:p w14:paraId="70993B6A" w14:textId="77777777" w:rsidR="001004F1" w:rsidRPr="00655FB0" w:rsidRDefault="001004F1" w:rsidP="001004F1">
            <w:pPr>
              <w:jc w:val="center"/>
              <w:rPr>
                <w:rFonts w:ascii="Calibri" w:eastAsia="Times New Roman" w:hAnsi="Calibri" w:cs="Calibri"/>
                <w:noProof/>
                <w:color w:val="000000"/>
                <w:sz w:val="22"/>
                <w:lang w:val="en-IE" w:eastAsia="en-IE"/>
              </w:rPr>
            </w:pPr>
            <w:r w:rsidRPr="00655FB0">
              <w:rPr>
                <w:rFonts w:ascii="Calibri" w:eastAsia="Times New Roman" w:hAnsi="Calibri" w:cs="Calibri"/>
                <w:noProof/>
                <w:color w:val="000000"/>
                <w:sz w:val="22"/>
                <w:lang w:val="en-IE" w:eastAsia="en-IE"/>
              </w:rPr>
              <w:t>2.5</w:t>
            </w:r>
          </w:p>
        </w:tc>
      </w:tr>
    </w:tbl>
    <w:p w14:paraId="5A2C0544" w14:textId="725F2566" w:rsidR="001004F1" w:rsidRDefault="001004F1" w:rsidP="001004F1">
      <w:pPr>
        <w:rPr>
          <w:rFonts w:eastAsia="Times New Roman"/>
          <w:noProof/>
        </w:rPr>
      </w:pPr>
    </w:p>
    <w:p w14:paraId="65D2E92D" w14:textId="7F73AD91" w:rsidR="001004F1" w:rsidRDefault="001004F1" w:rsidP="001004F1">
      <w:pPr>
        <w:rPr>
          <w:rFonts w:eastAsia="Times New Roman"/>
          <w:noProof/>
        </w:rPr>
      </w:pPr>
      <w:r w:rsidRPr="617D0D8B">
        <w:rPr>
          <w:rFonts w:eastAsia="Times New Roman"/>
          <w:noProof/>
        </w:rPr>
        <w:t>Furthermore, the measure is projected to lead to the generation of EUR 1.1 billion Global Value Added in 2027 and EUR 0.8 billion in 2030 when assessing the impact, taking into account only the first tier of the value chain.</w:t>
      </w:r>
    </w:p>
    <w:p w14:paraId="41560924" w14:textId="77777777" w:rsidR="00EB793C" w:rsidRPr="00441236" w:rsidRDefault="00EB793C" w:rsidP="00EB793C">
      <w:pPr>
        <w:pStyle w:val="JRCText"/>
        <w:spacing w:after="0" w:line="240" w:lineRule="auto"/>
        <w:jc w:val="both"/>
        <w:rPr>
          <w:rFonts w:ascii="Times New Roman" w:hAnsi="Times New Roman" w:cs="Times New Roman"/>
          <w:noProof/>
          <w:sz w:val="24"/>
          <w:szCs w:val="24"/>
        </w:rPr>
      </w:pPr>
    </w:p>
    <w:p w14:paraId="1CA97190" w14:textId="77777777" w:rsidR="00EB793C" w:rsidRPr="00086326" w:rsidRDefault="00EB793C" w:rsidP="008A6620">
      <w:pPr>
        <w:rPr>
          <w:rFonts w:eastAsia="Times New Roman" w:cs="Times New Roman"/>
          <w:b/>
          <w:bCs/>
          <w:noProof/>
          <w:color w:val="000000" w:themeColor="text1"/>
          <w:lang w:val="en-IE"/>
        </w:rPr>
      </w:pPr>
      <w:r w:rsidRPr="00086326">
        <w:rPr>
          <w:rFonts w:eastAsia="Times New Roman" w:cs="Times New Roman"/>
          <w:b/>
          <w:bCs/>
          <w:noProof/>
          <w:color w:val="000000" w:themeColor="text1"/>
          <w:lang w:val="en-IE"/>
        </w:rPr>
        <w:t>Impact on consumers and citizens</w:t>
      </w:r>
    </w:p>
    <w:p w14:paraId="6B34A583" w14:textId="006CF8A1" w:rsidR="00EB793C" w:rsidRDefault="00EB793C" w:rsidP="00EB793C">
      <w:pPr>
        <w:pStyle w:val="JRCText"/>
        <w:spacing w:after="0" w:line="240" w:lineRule="auto"/>
        <w:jc w:val="both"/>
        <w:rPr>
          <w:rFonts w:ascii="Times New Roman" w:hAnsi="Times New Roman" w:cs="Times New Roman"/>
          <w:b/>
          <w:noProof/>
          <w:sz w:val="24"/>
          <w:szCs w:val="24"/>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9"/>
        <w:gridCol w:w="362"/>
        <w:gridCol w:w="1269"/>
        <w:gridCol w:w="1226"/>
      </w:tblGrid>
      <w:tr w:rsidR="005B461B" w:rsidRPr="00FF63D1" w14:paraId="661E8D93" w14:textId="77777777" w:rsidTr="007F7094">
        <w:trPr>
          <w:trHeight w:val="337"/>
        </w:trPr>
        <w:tc>
          <w:tcPr>
            <w:tcW w:w="5000" w:type="pct"/>
            <w:gridSpan w:val="4"/>
            <w:shd w:val="clear" w:color="auto" w:fill="E2EFDA"/>
            <w:noWrap/>
            <w:vAlign w:val="bottom"/>
            <w:hideMark/>
          </w:tcPr>
          <w:p w14:paraId="07D088D8" w14:textId="25EF084B" w:rsidR="005B461B" w:rsidRPr="00FF63D1" w:rsidRDefault="005B461B">
            <w:pPr>
              <w:jc w:val="center"/>
              <w:rPr>
                <w:rFonts w:ascii="Calibri" w:eastAsia="Times New Roman" w:hAnsi="Calibri" w:cs="Calibri"/>
                <w:b/>
                <w:noProof/>
                <w:color w:val="000000"/>
                <w:sz w:val="22"/>
                <w:lang w:eastAsia="en-IE"/>
              </w:rPr>
            </w:pPr>
            <w:r>
              <w:rPr>
                <w:rFonts w:ascii="Calibri" w:eastAsia="Times New Roman" w:hAnsi="Calibri" w:cs="Calibri"/>
                <w:b/>
                <w:noProof/>
                <w:color w:val="000000"/>
                <w:sz w:val="22"/>
                <w:lang w:eastAsia="en-IE"/>
              </w:rPr>
              <w:t>EU consumers in the “</w:t>
            </w:r>
            <w:r w:rsidRPr="00FC5196">
              <w:rPr>
                <w:rFonts w:ascii="Calibri" w:eastAsia="Times New Roman" w:hAnsi="Calibri" w:cs="Calibri"/>
                <w:b/>
                <w:noProof/>
                <w:color w:val="000000"/>
                <w:sz w:val="22"/>
                <w:lang w:eastAsia="en-IE"/>
              </w:rPr>
              <w:t>Non-EU manufacturers absorb the price increase</w:t>
            </w:r>
            <w:r>
              <w:rPr>
                <w:rFonts w:ascii="Calibri" w:eastAsia="Times New Roman" w:hAnsi="Calibri" w:cs="Calibri"/>
                <w:b/>
                <w:noProof/>
                <w:color w:val="000000"/>
                <w:sz w:val="22"/>
                <w:lang w:eastAsia="en-IE"/>
              </w:rPr>
              <w:t>” scenario</w:t>
            </w:r>
          </w:p>
        </w:tc>
      </w:tr>
      <w:tr w:rsidR="005B461B" w:rsidRPr="00FF63D1" w14:paraId="36450B88" w14:textId="77777777" w:rsidTr="007F7094">
        <w:trPr>
          <w:trHeight w:val="327"/>
        </w:trPr>
        <w:tc>
          <w:tcPr>
            <w:tcW w:w="3415" w:type="pct"/>
            <w:tcBorders>
              <w:left w:val="nil"/>
              <w:right w:val="nil"/>
            </w:tcBorders>
            <w:shd w:val="clear" w:color="auto" w:fill="FFFFFF" w:themeFill="background1"/>
            <w:noWrap/>
            <w:vAlign w:val="bottom"/>
            <w:hideMark/>
          </w:tcPr>
          <w:p w14:paraId="3D2A28B4" w14:textId="77777777" w:rsidR="005B461B" w:rsidRPr="00FF63D1" w:rsidRDefault="005B461B">
            <w:pPr>
              <w:jc w:val="left"/>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 </w:t>
            </w:r>
          </w:p>
        </w:tc>
        <w:tc>
          <w:tcPr>
            <w:tcW w:w="201" w:type="pct"/>
            <w:tcBorders>
              <w:left w:val="nil"/>
              <w:right w:val="nil"/>
            </w:tcBorders>
            <w:shd w:val="clear" w:color="auto" w:fill="FFFFFF" w:themeFill="background1"/>
            <w:noWrap/>
            <w:vAlign w:val="bottom"/>
            <w:hideMark/>
          </w:tcPr>
          <w:p w14:paraId="1568553D" w14:textId="77777777" w:rsidR="005B461B" w:rsidRPr="00FF63D1" w:rsidRDefault="005B461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5E9AC273" w14:textId="77777777" w:rsidR="005B461B" w:rsidRPr="00FF63D1" w:rsidRDefault="005B461B">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2027</w:t>
            </w:r>
          </w:p>
        </w:tc>
        <w:tc>
          <w:tcPr>
            <w:tcW w:w="680" w:type="pct"/>
            <w:tcBorders>
              <w:left w:val="nil"/>
              <w:right w:val="nil"/>
            </w:tcBorders>
            <w:shd w:val="clear" w:color="auto" w:fill="FFFFFF" w:themeFill="background1"/>
            <w:noWrap/>
            <w:vAlign w:val="bottom"/>
            <w:hideMark/>
          </w:tcPr>
          <w:p w14:paraId="7222A5F1" w14:textId="77777777" w:rsidR="005B461B" w:rsidRPr="00FF63D1" w:rsidRDefault="005B461B">
            <w:pPr>
              <w:jc w:val="center"/>
              <w:rPr>
                <w:rFonts w:ascii="Calibri" w:eastAsia="Times New Roman" w:hAnsi="Calibri" w:cs="Calibri"/>
                <w:b/>
                <w:noProof/>
                <w:color w:val="000000"/>
                <w:sz w:val="22"/>
                <w:lang w:eastAsia="en-IE"/>
              </w:rPr>
            </w:pPr>
            <w:r w:rsidRPr="00FF63D1">
              <w:rPr>
                <w:rFonts w:ascii="Calibri" w:eastAsia="Times New Roman" w:hAnsi="Calibri" w:cs="Calibri"/>
                <w:b/>
                <w:noProof/>
                <w:color w:val="000000"/>
                <w:sz w:val="22"/>
                <w:lang w:eastAsia="en-IE"/>
              </w:rPr>
              <w:t>2030</w:t>
            </w:r>
          </w:p>
        </w:tc>
      </w:tr>
      <w:tr w:rsidR="005B461B" w:rsidRPr="00FF63D1" w14:paraId="31211CB5" w14:textId="77777777" w:rsidTr="007F7094">
        <w:trPr>
          <w:trHeight w:val="327"/>
        </w:trPr>
        <w:tc>
          <w:tcPr>
            <w:tcW w:w="3415" w:type="pct"/>
            <w:tcBorders>
              <w:left w:val="nil"/>
              <w:right w:val="nil"/>
            </w:tcBorders>
            <w:shd w:val="clear" w:color="auto" w:fill="FFFFFF" w:themeFill="background1"/>
            <w:noWrap/>
            <w:vAlign w:val="bottom"/>
            <w:hideMark/>
          </w:tcPr>
          <w:p w14:paraId="11D83959" w14:textId="77777777" w:rsidR="005B461B" w:rsidRPr="00FF63D1" w:rsidRDefault="005B461B">
            <w:pPr>
              <w:jc w:val="left"/>
              <w:rPr>
                <w:rFonts w:ascii="Calibri" w:eastAsia="Times New Roman" w:hAnsi="Calibri" w:cs="Calibri"/>
                <w:b/>
                <w:i/>
                <w:noProof/>
                <w:color w:val="000000"/>
                <w:sz w:val="22"/>
                <w:lang w:eastAsia="en-IE"/>
              </w:rPr>
            </w:pPr>
            <w:r>
              <w:rPr>
                <w:rFonts w:ascii="Calibri" w:eastAsia="Times New Roman" w:hAnsi="Calibri" w:cs="Calibri"/>
                <w:b/>
                <w:i/>
                <w:noProof/>
                <w:color w:val="000000"/>
                <w:sz w:val="22"/>
                <w:lang w:eastAsia="en-IE"/>
              </w:rPr>
              <w:t>Passenger cars</w:t>
            </w:r>
          </w:p>
        </w:tc>
        <w:tc>
          <w:tcPr>
            <w:tcW w:w="201" w:type="pct"/>
            <w:tcBorders>
              <w:left w:val="nil"/>
              <w:right w:val="nil"/>
            </w:tcBorders>
            <w:shd w:val="clear" w:color="auto" w:fill="FFFFFF" w:themeFill="background1"/>
            <w:noWrap/>
            <w:vAlign w:val="bottom"/>
            <w:hideMark/>
          </w:tcPr>
          <w:p w14:paraId="2F1CD61D" w14:textId="77777777" w:rsidR="005B461B" w:rsidRPr="00FF63D1" w:rsidRDefault="005B461B">
            <w:pPr>
              <w:jc w:val="left"/>
              <w:rPr>
                <w:rFonts w:ascii="Calibri" w:eastAsia="Times New Roman" w:hAnsi="Calibri" w:cs="Calibri"/>
                <w:b/>
                <w:i/>
                <w:noProof/>
                <w:color w:val="000000"/>
                <w:sz w:val="22"/>
                <w:lang w:eastAsia="en-IE"/>
              </w:rPr>
            </w:pPr>
            <w:r w:rsidRPr="00FF63D1">
              <w:rPr>
                <w:rFonts w:ascii="Calibri" w:eastAsia="Times New Roman" w:hAnsi="Calibri" w:cs="Calibri"/>
                <w:b/>
                <w:i/>
                <w:noProof/>
                <w:color w:val="000000"/>
                <w:sz w:val="22"/>
                <w:lang w:eastAsia="en-IE"/>
              </w:rPr>
              <w:t> </w:t>
            </w:r>
          </w:p>
        </w:tc>
        <w:tc>
          <w:tcPr>
            <w:tcW w:w="704" w:type="pct"/>
            <w:tcBorders>
              <w:left w:val="nil"/>
              <w:right w:val="nil"/>
            </w:tcBorders>
            <w:shd w:val="clear" w:color="auto" w:fill="FFFFFF" w:themeFill="background1"/>
            <w:noWrap/>
            <w:vAlign w:val="bottom"/>
            <w:hideMark/>
          </w:tcPr>
          <w:p w14:paraId="004ED4A8" w14:textId="77777777" w:rsidR="005B461B" w:rsidRPr="00FF63D1" w:rsidRDefault="005B461B">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hideMark/>
          </w:tcPr>
          <w:p w14:paraId="6B40D465" w14:textId="77777777" w:rsidR="005B461B" w:rsidRPr="00FF63D1" w:rsidRDefault="005B461B">
            <w:pPr>
              <w:jc w:val="center"/>
              <w:rPr>
                <w:rFonts w:ascii="Calibri" w:eastAsia="Times New Roman" w:hAnsi="Calibri" w:cs="Calibri"/>
                <w:noProof/>
                <w:color w:val="000000"/>
                <w:sz w:val="22"/>
                <w:lang w:eastAsia="en-IE"/>
              </w:rPr>
            </w:pPr>
          </w:p>
        </w:tc>
      </w:tr>
      <w:tr w:rsidR="005B461B" w:rsidRPr="00FF63D1" w14:paraId="4F31F5F3" w14:textId="77777777" w:rsidTr="007F7094">
        <w:trPr>
          <w:trHeight w:val="327"/>
        </w:trPr>
        <w:tc>
          <w:tcPr>
            <w:tcW w:w="3415" w:type="pct"/>
            <w:tcBorders>
              <w:left w:val="nil"/>
              <w:right w:val="nil"/>
            </w:tcBorders>
            <w:shd w:val="clear" w:color="auto" w:fill="FFFFFF" w:themeFill="background1"/>
            <w:noWrap/>
            <w:vAlign w:val="bottom"/>
          </w:tcPr>
          <w:p w14:paraId="5E5710E9" w14:textId="77777777" w:rsidR="005B461B" w:rsidRDefault="005B461B" w:rsidP="005B461B">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4D30AD96" w14:textId="77777777" w:rsidR="005B461B" w:rsidRPr="00FF63D1" w:rsidRDefault="005B461B" w:rsidP="005B461B">
            <w:pPr>
              <w:jc w:val="left"/>
              <w:rPr>
                <w:rFonts w:ascii="Calibri" w:eastAsia="Times New Roman" w:hAnsi="Calibri" w:cs="Calibri"/>
                <w:b/>
                <w: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5F801F65" w14:textId="242E117B" w:rsidR="005B461B" w:rsidRPr="00FF63D1" w:rsidRDefault="005B461B" w:rsidP="005B461B">
            <w:pPr>
              <w:jc w:val="center"/>
              <w:rPr>
                <w:rFonts w:ascii="Calibri" w:eastAsia="Times New Roman" w:hAnsi="Calibri" w:cs="Calibri"/>
                <w:noProof/>
                <w:color w:val="000000"/>
                <w:sz w:val="22"/>
                <w:lang w:eastAsia="en-IE"/>
              </w:rPr>
            </w:pPr>
            <w:r>
              <w:rPr>
                <w:rFonts w:ascii="Calibri" w:hAnsi="Calibri" w:cs="Calibri"/>
                <w:noProof/>
                <w:color w:val="000000"/>
                <w:sz w:val="22"/>
              </w:rPr>
              <w:t>-1.</w:t>
            </w:r>
            <w:r w:rsidR="0066291E">
              <w:rPr>
                <w:rFonts w:ascii="Calibri" w:hAnsi="Calibri" w:cs="Calibri"/>
                <w:noProof/>
                <w:color w:val="000000"/>
                <w:sz w:val="22"/>
              </w:rPr>
              <w:t>9</w:t>
            </w:r>
            <w:r>
              <w:rPr>
                <w:rFonts w:ascii="Calibri" w:hAnsi="Calibri" w:cs="Calibri"/>
                <w:noProof/>
                <w:color w:val="000000"/>
                <w:sz w:val="22"/>
              </w:rPr>
              <w:t>%</w:t>
            </w:r>
          </w:p>
        </w:tc>
        <w:tc>
          <w:tcPr>
            <w:tcW w:w="680" w:type="pct"/>
            <w:tcBorders>
              <w:left w:val="nil"/>
              <w:right w:val="nil"/>
            </w:tcBorders>
            <w:shd w:val="clear" w:color="auto" w:fill="FFFFFF" w:themeFill="background1"/>
            <w:noWrap/>
            <w:vAlign w:val="bottom"/>
          </w:tcPr>
          <w:p w14:paraId="51413F9B" w14:textId="214070B6" w:rsidR="005B461B" w:rsidRPr="00FF63D1" w:rsidRDefault="005B461B" w:rsidP="005B461B">
            <w:pPr>
              <w:jc w:val="center"/>
              <w:rPr>
                <w:rFonts w:ascii="Calibri" w:eastAsia="Times New Roman" w:hAnsi="Calibri" w:cs="Calibri"/>
                <w:noProof/>
                <w:color w:val="000000"/>
                <w:sz w:val="22"/>
                <w:lang w:eastAsia="en-IE"/>
              </w:rPr>
            </w:pPr>
            <w:r>
              <w:rPr>
                <w:rFonts w:ascii="Calibri" w:hAnsi="Calibri" w:cs="Calibri"/>
                <w:noProof/>
                <w:color w:val="000000"/>
                <w:sz w:val="22"/>
              </w:rPr>
              <w:t>-0.2%</w:t>
            </w:r>
          </w:p>
        </w:tc>
      </w:tr>
      <w:tr w:rsidR="005B461B" w:rsidRPr="00FF63D1" w14:paraId="7B8D7CAE" w14:textId="77777777" w:rsidTr="007F7094">
        <w:trPr>
          <w:trHeight w:val="327"/>
        </w:trPr>
        <w:tc>
          <w:tcPr>
            <w:tcW w:w="3415" w:type="pct"/>
            <w:tcBorders>
              <w:left w:val="nil"/>
              <w:right w:val="nil"/>
            </w:tcBorders>
            <w:shd w:val="clear" w:color="auto" w:fill="FFFFFF" w:themeFill="background1"/>
            <w:noWrap/>
            <w:vAlign w:val="bottom"/>
            <w:hideMark/>
          </w:tcPr>
          <w:p w14:paraId="4AB5408C" w14:textId="77777777" w:rsidR="005B461B" w:rsidRPr="00FF63D1" w:rsidRDefault="005B461B" w:rsidP="005B461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267A0976" w14:textId="77777777" w:rsidR="005B461B" w:rsidRPr="00FF63D1" w:rsidRDefault="005B461B" w:rsidP="005B461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32C9BC19" w14:textId="03731131" w:rsidR="005B461B" w:rsidRPr="00FF63D1" w:rsidRDefault="0066291E" w:rsidP="005B461B">
            <w:pPr>
              <w:jc w:val="center"/>
              <w:rPr>
                <w:rFonts w:ascii="Calibri" w:eastAsia="Times New Roman" w:hAnsi="Calibri" w:cs="Calibri"/>
                <w:noProof/>
                <w:color w:val="000000"/>
                <w:sz w:val="22"/>
                <w:lang w:eastAsia="en-IE"/>
              </w:rPr>
            </w:pPr>
            <w:r>
              <w:rPr>
                <w:rFonts w:ascii="Calibri" w:hAnsi="Calibri" w:cs="Calibri"/>
                <w:noProof/>
                <w:color w:val="000000"/>
                <w:sz w:val="22"/>
              </w:rPr>
              <w:t>152.6</w:t>
            </w:r>
          </w:p>
        </w:tc>
        <w:tc>
          <w:tcPr>
            <w:tcW w:w="680" w:type="pct"/>
            <w:tcBorders>
              <w:left w:val="nil"/>
              <w:right w:val="nil"/>
            </w:tcBorders>
            <w:shd w:val="clear" w:color="auto" w:fill="FFFFFF" w:themeFill="background1"/>
            <w:noWrap/>
            <w:vAlign w:val="bottom"/>
            <w:hideMark/>
          </w:tcPr>
          <w:p w14:paraId="0041E8D2" w14:textId="74709E55" w:rsidR="005B461B" w:rsidRPr="00FF63D1" w:rsidRDefault="0066291E" w:rsidP="005B461B">
            <w:pPr>
              <w:jc w:val="center"/>
              <w:rPr>
                <w:rFonts w:ascii="Calibri" w:eastAsia="Times New Roman" w:hAnsi="Calibri" w:cs="Calibri"/>
                <w:noProof/>
                <w:color w:val="000000"/>
                <w:sz w:val="22"/>
                <w:lang w:eastAsia="en-IE"/>
              </w:rPr>
            </w:pPr>
            <w:r>
              <w:rPr>
                <w:rFonts w:ascii="Calibri" w:hAnsi="Calibri" w:cs="Calibri"/>
                <w:noProof/>
                <w:color w:val="000000"/>
                <w:sz w:val="22"/>
              </w:rPr>
              <w:t>12</w:t>
            </w:r>
            <w:r w:rsidR="005B461B">
              <w:rPr>
                <w:rFonts w:ascii="Calibri" w:hAnsi="Calibri" w:cs="Calibri"/>
                <w:noProof/>
                <w:color w:val="000000"/>
                <w:sz w:val="22"/>
              </w:rPr>
              <w:t>.1</w:t>
            </w:r>
          </w:p>
        </w:tc>
      </w:tr>
      <w:tr w:rsidR="005B461B" w:rsidRPr="00086326" w14:paraId="25E40C5A" w14:textId="77777777" w:rsidTr="007F7094">
        <w:trPr>
          <w:trHeight w:val="327"/>
        </w:trPr>
        <w:tc>
          <w:tcPr>
            <w:tcW w:w="3415" w:type="pct"/>
            <w:tcBorders>
              <w:left w:val="nil"/>
              <w:right w:val="nil"/>
            </w:tcBorders>
            <w:shd w:val="clear" w:color="auto" w:fill="FFFFFF" w:themeFill="background1"/>
            <w:noWrap/>
            <w:vAlign w:val="bottom"/>
            <w:hideMark/>
          </w:tcPr>
          <w:p w14:paraId="7DF5087C" w14:textId="77777777" w:rsidR="005B461B" w:rsidRPr="00086326" w:rsidRDefault="005B461B">
            <w:pPr>
              <w:jc w:val="left"/>
              <w:rPr>
                <w:rFonts w:ascii="Calibri" w:eastAsia="Times New Roman" w:hAnsi="Calibri" w:cs="Calibri"/>
                <w:b/>
                <w:i/>
                <w:noProof/>
                <w:color w:val="000000"/>
                <w:sz w:val="22"/>
                <w:lang w:val="fr-BE" w:eastAsia="en-IE"/>
              </w:rPr>
            </w:pPr>
            <w:r>
              <w:rPr>
                <w:rFonts w:ascii="Calibri" w:eastAsia="Times New Roman" w:hAnsi="Calibri" w:cs="Calibri"/>
                <w:b/>
                <w:i/>
                <w:noProof/>
                <w:color w:val="000000" w:themeColor="text1"/>
                <w:sz w:val="22"/>
                <w:lang w:val="fr-BE" w:eastAsia="en-IE"/>
              </w:rPr>
              <w:t>LCVs</w:t>
            </w:r>
          </w:p>
        </w:tc>
        <w:tc>
          <w:tcPr>
            <w:tcW w:w="201" w:type="pct"/>
            <w:tcBorders>
              <w:left w:val="nil"/>
              <w:right w:val="nil"/>
            </w:tcBorders>
            <w:shd w:val="clear" w:color="auto" w:fill="FFFFFF" w:themeFill="background1"/>
            <w:noWrap/>
            <w:vAlign w:val="bottom"/>
            <w:hideMark/>
          </w:tcPr>
          <w:p w14:paraId="3C536D37" w14:textId="77777777" w:rsidR="005B461B" w:rsidRPr="00086326" w:rsidRDefault="005B461B">
            <w:pPr>
              <w:jc w:val="left"/>
              <w:rPr>
                <w:rFonts w:ascii="Calibri" w:eastAsia="Times New Roman" w:hAnsi="Calibri" w:cs="Calibri"/>
                <w:b/>
                <w:i/>
                <w:noProof/>
                <w:color w:val="000000"/>
                <w:sz w:val="22"/>
                <w:lang w:val="fr-BE" w:eastAsia="en-IE"/>
              </w:rPr>
            </w:pPr>
            <w:r w:rsidRPr="00086326">
              <w:rPr>
                <w:rFonts w:ascii="Calibri" w:eastAsia="Times New Roman" w:hAnsi="Calibri" w:cs="Calibri"/>
                <w:b/>
                <w:i/>
                <w:noProof/>
                <w:color w:val="000000"/>
                <w:sz w:val="22"/>
                <w:lang w:val="fr-BE" w:eastAsia="en-IE"/>
              </w:rPr>
              <w:t> </w:t>
            </w:r>
          </w:p>
        </w:tc>
        <w:tc>
          <w:tcPr>
            <w:tcW w:w="704" w:type="pct"/>
            <w:tcBorders>
              <w:left w:val="nil"/>
              <w:right w:val="nil"/>
            </w:tcBorders>
            <w:shd w:val="clear" w:color="auto" w:fill="FFFFFF" w:themeFill="background1"/>
            <w:noWrap/>
            <w:vAlign w:val="bottom"/>
            <w:hideMark/>
          </w:tcPr>
          <w:p w14:paraId="6791ADAC" w14:textId="77777777" w:rsidR="005B461B" w:rsidRPr="00086326" w:rsidRDefault="005B461B">
            <w:pPr>
              <w:jc w:val="center"/>
              <w:rPr>
                <w:rFonts w:ascii="Calibri" w:eastAsia="Times New Roman" w:hAnsi="Calibri" w:cs="Calibri"/>
                <w:noProof/>
                <w:color w:val="000000"/>
                <w:sz w:val="22"/>
                <w:lang w:val="fr-BE" w:eastAsia="en-IE"/>
              </w:rPr>
            </w:pPr>
          </w:p>
        </w:tc>
        <w:tc>
          <w:tcPr>
            <w:tcW w:w="680" w:type="pct"/>
            <w:tcBorders>
              <w:left w:val="nil"/>
              <w:right w:val="nil"/>
            </w:tcBorders>
            <w:shd w:val="clear" w:color="auto" w:fill="FFFFFF" w:themeFill="background1"/>
            <w:noWrap/>
            <w:vAlign w:val="bottom"/>
            <w:hideMark/>
          </w:tcPr>
          <w:p w14:paraId="5AC07F64" w14:textId="77777777" w:rsidR="005B461B" w:rsidRPr="00086326" w:rsidRDefault="005B461B">
            <w:pPr>
              <w:jc w:val="center"/>
              <w:rPr>
                <w:rFonts w:ascii="Calibri" w:eastAsia="Times New Roman" w:hAnsi="Calibri" w:cs="Calibri"/>
                <w:noProof/>
                <w:color w:val="000000"/>
                <w:sz w:val="22"/>
                <w:lang w:val="fr-BE" w:eastAsia="en-IE"/>
              </w:rPr>
            </w:pPr>
          </w:p>
        </w:tc>
      </w:tr>
      <w:tr w:rsidR="005B461B" w:rsidRPr="0026006C" w14:paraId="08E21DDE" w14:textId="77777777" w:rsidTr="007F7094">
        <w:trPr>
          <w:trHeight w:val="327"/>
        </w:trPr>
        <w:tc>
          <w:tcPr>
            <w:tcW w:w="3415" w:type="pct"/>
            <w:tcBorders>
              <w:left w:val="nil"/>
              <w:right w:val="nil"/>
            </w:tcBorders>
            <w:shd w:val="clear" w:color="auto" w:fill="FFFFFF" w:themeFill="background1"/>
            <w:noWrap/>
            <w:vAlign w:val="bottom"/>
          </w:tcPr>
          <w:p w14:paraId="38BA9730" w14:textId="77777777" w:rsidR="005B461B" w:rsidRDefault="005B461B">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6946D2A5" w14:textId="77777777" w:rsidR="005B461B" w:rsidRPr="0026006C" w:rsidRDefault="005B461B">
            <w:pPr>
              <w:jc w:val="left"/>
              <w:rPr>
                <w:rFonts w:ascii="Calibri" w:eastAsia="Times New Roman" w:hAnsi="Calibri" w:cs="Calibri"/>
                <w:b/>
                <w:i/>
                <w:noProof/>
                <w:color w:val="000000"/>
                <w:sz w:val="22"/>
                <w:lang w:val="fr-BE"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5D0BE559" w14:textId="2C59EDC0" w:rsidR="005B461B" w:rsidRPr="0026006C" w:rsidRDefault="005B461B">
            <w:pPr>
              <w:jc w:val="center"/>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w:t>
            </w:r>
            <w:r w:rsidR="00246FD9">
              <w:rPr>
                <w:rFonts w:ascii="Calibri" w:hAnsi="Calibri" w:cs="Calibri"/>
                <w:noProof/>
                <w:color w:val="000000"/>
                <w:sz w:val="22"/>
              </w:rPr>
              <w:t>2.4</w:t>
            </w:r>
            <w:r w:rsidRPr="00FF63D1">
              <w:rPr>
                <w:rFonts w:ascii="Calibri" w:eastAsia="Times New Roman" w:hAnsi="Calibri" w:cs="Calibri"/>
                <w:noProof/>
                <w:color w:val="000000"/>
                <w:sz w:val="22"/>
                <w:lang w:eastAsia="en-IE"/>
              </w:rPr>
              <w:t>%</w:t>
            </w:r>
          </w:p>
        </w:tc>
        <w:tc>
          <w:tcPr>
            <w:tcW w:w="680" w:type="pct"/>
            <w:tcBorders>
              <w:left w:val="nil"/>
              <w:right w:val="nil"/>
            </w:tcBorders>
            <w:shd w:val="clear" w:color="auto" w:fill="FFFFFF" w:themeFill="background1"/>
            <w:noWrap/>
            <w:vAlign w:val="bottom"/>
          </w:tcPr>
          <w:p w14:paraId="2C6A6645" w14:textId="301FCE26" w:rsidR="005B461B" w:rsidRPr="0026006C" w:rsidRDefault="00246FD9">
            <w:pPr>
              <w:jc w:val="center"/>
              <w:rPr>
                <w:rFonts w:ascii="Calibri" w:eastAsia="Times New Roman" w:hAnsi="Calibri" w:cs="Calibri"/>
                <w:noProof/>
                <w:color w:val="000000"/>
                <w:sz w:val="22"/>
                <w:lang w:val="fr-BE" w:eastAsia="en-IE"/>
              </w:rPr>
            </w:pPr>
            <w:r>
              <w:rPr>
                <w:rFonts w:ascii="Calibri" w:hAnsi="Calibri" w:cs="Calibri"/>
                <w:noProof/>
                <w:color w:val="000000"/>
                <w:sz w:val="22"/>
              </w:rPr>
              <w:t>-</w:t>
            </w:r>
            <w:r w:rsidR="005B461B" w:rsidRPr="00FF63D1">
              <w:rPr>
                <w:rFonts w:ascii="Calibri" w:eastAsia="Times New Roman" w:hAnsi="Calibri" w:cs="Calibri"/>
                <w:noProof/>
                <w:color w:val="000000"/>
                <w:sz w:val="22"/>
                <w:lang w:eastAsia="en-IE"/>
              </w:rPr>
              <w:t>0.</w:t>
            </w:r>
            <w:r>
              <w:rPr>
                <w:rFonts w:ascii="Calibri" w:hAnsi="Calibri" w:cs="Calibri"/>
                <w:noProof/>
                <w:color w:val="000000"/>
                <w:sz w:val="22"/>
              </w:rPr>
              <w:t>7</w:t>
            </w:r>
            <w:r w:rsidR="005B461B" w:rsidRPr="00FF63D1">
              <w:rPr>
                <w:rFonts w:ascii="Calibri" w:eastAsia="Times New Roman" w:hAnsi="Calibri" w:cs="Calibri"/>
                <w:noProof/>
                <w:color w:val="000000"/>
                <w:sz w:val="22"/>
                <w:lang w:eastAsia="en-IE"/>
              </w:rPr>
              <w:t>%</w:t>
            </w:r>
          </w:p>
        </w:tc>
      </w:tr>
      <w:tr w:rsidR="005B461B" w:rsidRPr="00FF63D1" w14:paraId="2E89500C" w14:textId="77777777" w:rsidTr="007F7094">
        <w:trPr>
          <w:trHeight w:val="327"/>
        </w:trPr>
        <w:tc>
          <w:tcPr>
            <w:tcW w:w="3415" w:type="pct"/>
            <w:tcBorders>
              <w:left w:val="nil"/>
              <w:right w:val="nil"/>
            </w:tcBorders>
            <w:shd w:val="clear" w:color="auto" w:fill="FFFFFF" w:themeFill="background1"/>
            <w:noWrap/>
            <w:vAlign w:val="bottom"/>
            <w:hideMark/>
          </w:tcPr>
          <w:p w14:paraId="65A074FC" w14:textId="77777777" w:rsidR="005B461B" w:rsidRPr="00FF63D1" w:rsidRDefault="005B461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hideMark/>
          </w:tcPr>
          <w:p w14:paraId="57B4CF3F" w14:textId="77777777" w:rsidR="005B461B" w:rsidRPr="00FF63D1" w:rsidRDefault="005B461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hideMark/>
          </w:tcPr>
          <w:p w14:paraId="4E7F8CB6" w14:textId="278D08E0" w:rsidR="005B461B" w:rsidRPr="00FF63D1" w:rsidRDefault="00246FD9">
            <w:pPr>
              <w:jc w:val="center"/>
              <w:rPr>
                <w:rFonts w:ascii="Calibri" w:eastAsia="Times New Roman" w:hAnsi="Calibri" w:cs="Calibri"/>
                <w:noProof/>
                <w:color w:val="000000"/>
                <w:sz w:val="22"/>
                <w:lang w:eastAsia="en-IE"/>
              </w:rPr>
            </w:pPr>
            <w:r>
              <w:rPr>
                <w:rFonts w:ascii="Calibri" w:hAnsi="Calibri" w:cs="Calibri"/>
                <w:noProof/>
                <w:color w:val="000000"/>
                <w:sz w:val="22"/>
              </w:rPr>
              <w:t>22.1</w:t>
            </w:r>
          </w:p>
        </w:tc>
        <w:tc>
          <w:tcPr>
            <w:tcW w:w="680" w:type="pct"/>
            <w:tcBorders>
              <w:left w:val="nil"/>
              <w:right w:val="nil"/>
            </w:tcBorders>
            <w:shd w:val="clear" w:color="auto" w:fill="FFFFFF" w:themeFill="background1"/>
            <w:noWrap/>
            <w:vAlign w:val="bottom"/>
            <w:hideMark/>
          </w:tcPr>
          <w:p w14:paraId="0E460061" w14:textId="7EE26B6A" w:rsidR="005B461B" w:rsidRPr="00FF63D1" w:rsidRDefault="00246FD9">
            <w:pPr>
              <w:jc w:val="center"/>
              <w:rPr>
                <w:rFonts w:ascii="Calibri" w:eastAsia="Times New Roman" w:hAnsi="Calibri" w:cs="Calibri"/>
                <w:noProof/>
                <w:color w:val="000000"/>
                <w:sz w:val="22"/>
                <w:lang w:eastAsia="en-IE"/>
              </w:rPr>
            </w:pPr>
            <w:r>
              <w:rPr>
                <w:rFonts w:ascii="Calibri" w:hAnsi="Calibri" w:cs="Calibri"/>
                <w:noProof/>
                <w:color w:val="000000"/>
                <w:sz w:val="22"/>
              </w:rPr>
              <w:t>9.8</w:t>
            </w:r>
          </w:p>
        </w:tc>
      </w:tr>
      <w:tr w:rsidR="005B461B" w:rsidRPr="00FF63D1" w14:paraId="6D70FC48" w14:textId="77777777" w:rsidTr="007F7094">
        <w:trPr>
          <w:trHeight w:val="327"/>
        </w:trPr>
        <w:tc>
          <w:tcPr>
            <w:tcW w:w="3415" w:type="pct"/>
            <w:tcBorders>
              <w:left w:val="nil"/>
              <w:right w:val="nil"/>
            </w:tcBorders>
            <w:shd w:val="clear" w:color="auto" w:fill="FFFFFF" w:themeFill="background1"/>
            <w:noWrap/>
            <w:vAlign w:val="bottom"/>
          </w:tcPr>
          <w:p w14:paraId="64D0A8C9" w14:textId="77777777" w:rsidR="005B461B" w:rsidRPr="009C69FA" w:rsidRDefault="005B461B">
            <w:pPr>
              <w:jc w:val="left"/>
              <w:rPr>
                <w:rFonts w:ascii="Calibri" w:eastAsia="Times New Roman" w:hAnsi="Calibri" w:cs="Calibri"/>
                <w:noProof/>
                <w:color w:val="000000"/>
                <w:sz w:val="22"/>
                <w:lang w:val="fr-BE" w:eastAsia="en-IE"/>
              </w:rPr>
            </w:pPr>
            <w:r>
              <w:rPr>
                <w:rFonts w:ascii="Calibri" w:eastAsia="Times New Roman" w:hAnsi="Calibri" w:cs="Calibri"/>
                <w:b/>
                <w:i/>
                <w:noProof/>
                <w:color w:val="000000" w:themeColor="text1"/>
                <w:sz w:val="22"/>
                <w:lang w:val="fr-BE" w:eastAsia="en-IE"/>
              </w:rPr>
              <w:t>HDVs</w:t>
            </w:r>
          </w:p>
        </w:tc>
        <w:tc>
          <w:tcPr>
            <w:tcW w:w="201" w:type="pct"/>
            <w:tcBorders>
              <w:left w:val="nil"/>
              <w:right w:val="nil"/>
            </w:tcBorders>
            <w:shd w:val="clear" w:color="auto" w:fill="FFFFFF" w:themeFill="background1"/>
            <w:noWrap/>
            <w:vAlign w:val="bottom"/>
          </w:tcPr>
          <w:p w14:paraId="33E80B59" w14:textId="77777777" w:rsidR="005B461B" w:rsidRPr="00FF63D1" w:rsidRDefault="005B461B">
            <w:pPr>
              <w:jc w:val="left"/>
              <w:rPr>
                <w:rFonts w:ascii="Calibri" w:eastAsia="Times New Roman" w:hAnsi="Calibri" w:cs="Calibri"/>
                <w:noProof/>
                <w:color w:val="000000"/>
                <w:sz w:val="22"/>
                <w:lang w:eastAsia="en-IE"/>
              </w:rPr>
            </w:pPr>
          </w:p>
        </w:tc>
        <w:tc>
          <w:tcPr>
            <w:tcW w:w="704" w:type="pct"/>
            <w:tcBorders>
              <w:left w:val="nil"/>
              <w:right w:val="nil"/>
            </w:tcBorders>
            <w:shd w:val="clear" w:color="auto" w:fill="FFFFFF" w:themeFill="background1"/>
            <w:noWrap/>
            <w:vAlign w:val="bottom"/>
          </w:tcPr>
          <w:p w14:paraId="6808377C" w14:textId="77777777" w:rsidR="005B461B" w:rsidRPr="00FF63D1" w:rsidRDefault="005B461B">
            <w:pPr>
              <w:jc w:val="center"/>
              <w:rPr>
                <w:rFonts w:ascii="Calibri" w:eastAsia="Times New Roman" w:hAnsi="Calibri" w:cs="Calibri"/>
                <w:noProof/>
                <w:color w:val="000000"/>
                <w:sz w:val="22"/>
                <w:lang w:eastAsia="en-IE"/>
              </w:rPr>
            </w:pPr>
          </w:p>
        </w:tc>
        <w:tc>
          <w:tcPr>
            <w:tcW w:w="680" w:type="pct"/>
            <w:tcBorders>
              <w:left w:val="nil"/>
              <w:right w:val="nil"/>
            </w:tcBorders>
            <w:shd w:val="clear" w:color="auto" w:fill="FFFFFF" w:themeFill="background1"/>
            <w:noWrap/>
            <w:vAlign w:val="bottom"/>
          </w:tcPr>
          <w:p w14:paraId="1E458E4E" w14:textId="77777777" w:rsidR="005B461B" w:rsidRPr="00FF63D1" w:rsidRDefault="005B461B">
            <w:pPr>
              <w:jc w:val="center"/>
              <w:rPr>
                <w:rFonts w:ascii="Calibri" w:eastAsia="Times New Roman" w:hAnsi="Calibri" w:cs="Calibri"/>
                <w:noProof/>
                <w:color w:val="000000"/>
                <w:sz w:val="22"/>
                <w:lang w:eastAsia="en-IE"/>
              </w:rPr>
            </w:pPr>
          </w:p>
        </w:tc>
      </w:tr>
      <w:tr w:rsidR="005B461B" w:rsidRPr="00FF63D1" w14:paraId="1A42EAAF" w14:textId="77777777" w:rsidTr="007F7094">
        <w:trPr>
          <w:trHeight w:val="327"/>
        </w:trPr>
        <w:tc>
          <w:tcPr>
            <w:tcW w:w="3415" w:type="pct"/>
            <w:tcBorders>
              <w:left w:val="nil"/>
              <w:right w:val="nil"/>
            </w:tcBorders>
            <w:shd w:val="clear" w:color="auto" w:fill="FFFFFF" w:themeFill="background1"/>
            <w:noWrap/>
            <w:vAlign w:val="bottom"/>
          </w:tcPr>
          <w:p w14:paraId="228B4DF8" w14:textId="77777777" w:rsidR="005B461B" w:rsidRDefault="005B461B">
            <w:pPr>
              <w:jc w:val="left"/>
              <w:rPr>
                <w:rFonts w:ascii="Calibri" w:eastAsia="Times New Roman" w:hAnsi="Calibri" w:cs="Calibri"/>
                <w:b/>
                <w:i/>
                <w:noProof/>
                <w:color w:val="000000" w:themeColor="text1"/>
                <w:sz w:val="22"/>
                <w:lang w:val="fr-BE" w:eastAsia="en-IE"/>
              </w:rPr>
            </w:pPr>
            <w:r w:rsidRPr="00FF63D1">
              <w:rPr>
                <w:rFonts w:ascii="Calibri" w:eastAsia="Times New Roman" w:hAnsi="Calibri" w:cs="Calibri"/>
                <w:noProof/>
                <w:color w:val="000000"/>
                <w:sz w:val="22"/>
                <w:lang w:eastAsia="en-IE"/>
              </w:rPr>
              <w:t xml:space="preserve">   EVs price changes (%)</w:t>
            </w:r>
          </w:p>
        </w:tc>
        <w:tc>
          <w:tcPr>
            <w:tcW w:w="201" w:type="pct"/>
            <w:tcBorders>
              <w:left w:val="nil"/>
              <w:right w:val="nil"/>
            </w:tcBorders>
            <w:shd w:val="clear" w:color="auto" w:fill="FFFFFF" w:themeFill="background1"/>
            <w:noWrap/>
            <w:vAlign w:val="bottom"/>
          </w:tcPr>
          <w:p w14:paraId="553AE7A7" w14:textId="77777777" w:rsidR="005B461B" w:rsidRPr="00FF63D1" w:rsidRDefault="005B461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4FD5D339" w14:textId="582927A1" w:rsidR="005B461B" w:rsidRPr="00FF63D1" w:rsidRDefault="00EA5C51">
            <w:pPr>
              <w:jc w:val="center"/>
              <w:rPr>
                <w:rFonts w:ascii="Calibri" w:eastAsia="Times New Roman" w:hAnsi="Calibri" w:cs="Calibri"/>
                <w:noProof/>
                <w:color w:val="000000"/>
                <w:sz w:val="22"/>
                <w:lang w:eastAsia="en-IE"/>
              </w:rPr>
            </w:pPr>
            <w:r>
              <w:rPr>
                <w:rFonts w:ascii="Calibri" w:hAnsi="Calibri" w:cs="Calibri"/>
                <w:noProof/>
                <w:color w:val="000000"/>
                <w:sz w:val="22"/>
              </w:rPr>
              <w:t>-</w:t>
            </w:r>
            <w:r w:rsidR="00AB6236">
              <w:rPr>
                <w:rFonts w:ascii="Calibri" w:hAnsi="Calibri" w:cs="Calibri"/>
                <w:noProof/>
                <w:color w:val="000000"/>
                <w:sz w:val="22"/>
              </w:rPr>
              <w:t>0.5</w:t>
            </w:r>
            <w:r>
              <w:rPr>
                <w:rFonts w:ascii="Calibri" w:hAnsi="Calibri" w:cs="Calibri"/>
                <w:noProof/>
                <w:color w:val="000000"/>
                <w:sz w:val="22"/>
              </w:rPr>
              <w:t>%</w:t>
            </w:r>
          </w:p>
        </w:tc>
        <w:tc>
          <w:tcPr>
            <w:tcW w:w="680" w:type="pct"/>
            <w:tcBorders>
              <w:left w:val="nil"/>
              <w:right w:val="nil"/>
            </w:tcBorders>
            <w:shd w:val="clear" w:color="auto" w:fill="FFFFFF" w:themeFill="background1"/>
            <w:noWrap/>
            <w:vAlign w:val="bottom"/>
          </w:tcPr>
          <w:p w14:paraId="59151E94" w14:textId="299643FB" w:rsidR="005B461B" w:rsidRPr="00FF63D1" w:rsidRDefault="00EA5C51">
            <w:pPr>
              <w:jc w:val="center"/>
              <w:rPr>
                <w:rFonts w:ascii="Calibri" w:eastAsia="Times New Roman" w:hAnsi="Calibri" w:cs="Calibri"/>
                <w:noProof/>
                <w:color w:val="000000"/>
                <w:sz w:val="22"/>
                <w:lang w:eastAsia="en-IE"/>
              </w:rPr>
            </w:pPr>
            <w:r>
              <w:rPr>
                <w:rFonts w:ascii="Calibri" w:hAnsi="Calibri" w:cs="Calibri"/>
                <w:noProof/>
                <w:color w:val="000000"/>
                <w:sz w:val="22"/>
              </w:rPr>
              <w:t>0.</w:t>
            </w:r>
            <w:r w:rsidR="00AB6236">
              <w:rPr>
                <w:rFonts w:ascii="Calibri" w:hAnsi="Calibri" w:cs="Calibri"/>
                <w:noProof/>
                <w:color w:val="000000"/>
                <w:sz w:val="22"/>
              </w:rPr>
              <w:t>8</w:t>
            </w:r>
            <w:r>
              <w:rPr>
                <w:rFonts w:ascii="Calibri" w:hAnsi="Calibri" w:cs="Calibri"/>
                <w:noProof/>
                <w:color w:val="000000"/>
                <w:sz w:val="22"/>
              </w:rPr>
              <w:t>%</w:t>
            </w:r>
          </w:p>
        </w:tc>
      </w:tr>
      <w:tr w:rsidR="005B461B" w:rsidRPr="00FF63D1" w14:paraId="26959027" w14:textId="77777777" w:rsidTr="007F7094">
        <w:trPr>
          <w:trHeight w:val="327"/>
        </w:trPr>
        <w:tc>
          <w:tcPr>
            <w:tcW w:w="3415" w:type="pct"/>
            <w:tcBorders>
              <w:left w:val="nil"/>
              <w:right w:val="nil"/>
            </w:tcBorders>
            <w:shd w:val="clear" w:color="auto" w:fill="FFFFFF" w:themeFill="background1"/>
            <w:noWrap/>
            <w:vAlign w:val="bottom"/>
          </w:tcPr>
          <w:p w14:paraId="14320A07" w14:textId="77777777" w:rsidR="005B461B" w:rsidRPr="009C69FA" w:rsidRDefault="005B461B">
            <w:pPr>
              <w:jc w:val="left"/>
              <w:rPr>
                <w:rFonts w:ascii="Calibri" w:eastAsia="Times New Roman" w:hAnsi="Calibri" w:cs="Calibri"/>
                <w:noProof/>
                <w:color w:val="000000"/>
                <w:sz w:val="22"/>
                <w:lang w:val="fr-BE" w:eastAsia="en-IE"/>
              </w:rPr>
            </w:pPr>
            <w:r w:rsidRPr="00FF63D1">
              <w:rPr>
                <w:rFonts w:ascii="Calibri" w:eastAsia="Times New Roman" w:hAnsi="Calibri" w:cs="Calibri"/>
                <w:noProof/>
                <w:color w:val="000000"/>
                <w:sz w:val="22"/>
                <w:lang w:eastAsia="en-IE"/>
              </w:rPr>
              <w:t xml:space="preserve">   EVs sold change (thousand)</w:t>
            </w:r>
          </w:p>
        </w:tc>
        <w:tc>
          <w:tcPr>
            <w:tcW w:w="201" w:type="pct"/>
            <w:tcBorders>
              <w:left w:val="nil"/>
              <w:right w:val="nil"/>
            </w:tcBorders>
            <w:shd w:val="clear" w:color="auto" w:fill="FFFFFF" w:themeFill="background1"/>
            <w:noWrap/>
            <w:vAlign w:val="bottom"/>
          </w:tcPr>
          <w:p w14:paraId="5EB768D6" w14:textId="77777777" w:rsidR="005B461B" w:rsidRPr="00FF63D1" w:rsidRDefault="005B461B">
            <w:pPr>
              <w:jc w:val="left"/>
              <w:rPr>
                <w:rFonts w:ascii="Calibri" w:eastAsia="Times New Roman" w:hAnsi="Calibri" w:cs="Calibri"/>
                <w:noProof/>
                <w:color w:val="000000"/>
                <w:sz w:val="22"/>
                <w:lang w:eastAsia="en-IE"/>
              </w:rPr>
            </w:pPr>
            <w:r w:rsidRPr="00FF63D1">
              <w:rPr>
                <w:rFonts w:ascii="Calibri" w:eastAsia="Times New Roman" w:hAnsi="Calibri" w:cs="Calibri"/>
                <w:noProof/>
                <w:color w:val="000000"/>
                <w:sz w:val="22"/>
                <w:lang w:eastAsia="en-IE"/>
              </w:rPr>
              <w:t> </w:t>
            </w:r>
          </w:p>
        </w:tc>
        <w:tc>
          <w:tcPr>
            <w:tcW w:w="704" w:type="pct"/>
            <w:tcBorders>
              <w:left w:val="nil"/>
              <w:right w:val="nil"/>
            </w:tcBorders>
            <w:shd w:val="clear" w:color="auto" w:fill="FFFFFF" w:themeFill="background1"/>
            <w:noWrap/>
            <w:vAlign w:val="bottom"/>
          </w:tcPr>
          <w:p w14:paraId="3D3DBFB8" w14:textId="09E0F780" w:rsidR="005B461B" w:rsidRPr="00FF63D1" w:rsidRDefault="00AB6236">
            <w:pPr>
              <w:jc w:val="center"/>
              <w:rPr>
                <w:rFonts w:ascii="Calibri" w:eastAsia="Times New Roman" w:hAnsi="Calibri" w:cs="Calibri"/>
                <w:noProof/>
                <w:color w:val="000000"/>
                <w:sz w:val="22"/>
                <w:lang w:eastAsia="en-IE"/>
              </w:rPr>
            </w:pPr>
            <w:r>
              <w:rPr>
                <w:rFonts w:ascii="Calibri" w:hAnsi="Calibri" w:cs="Calibri"/>
                <w:noProof/>
                <w:color w:val="000000"/>
                <w:sz w:val="22"/>
              </w:rPr>
              <w:t>0.7</w:t>
            </w:r>
          </w:p>
        </w:tc>
        <w:tc>
          <w:tcPr>
            <w:tcW w:w="680" w:type="pct"/>
            <w:tcBorders>
              <w:left w:val="nil"/>
              <w:right w:val="nil"/>
            </w:tcBorders>
            <w:shd w:val="clear" w:color="auto" w:fill="FFFFFF" w:themeFill="background1"/>
            <w:noWrap/>
            <w:vAlign w:val="bottom"/>
          </w:tcPr>
          <w:p w14:paraId="04F0D7DB" w14:textId="4FBD106D" w:rsidR="005B461B" w:rsidRPr="00FF63D1" w:rsidRDefault="00AB6236">
            <w:pPr>
              <w:jc w:val="center"/>
              <w:rPr>
                <w:rFonts w:ascii="Calibri" w:eastAsia="Times New Roman" w:hAnsi="Calibri" w:cs="Calibri"/>
                <w:noProof/>
                <w:color w:val="000000"/>
                <w:sz w:val="22"/>
                <w:lang w:eastAsia="en-IE"/>
              </w:rPr>
            </w:pPr>
            <w:r>
              <w:rPr>
                <w:rFonts w:ascii="Calibri" w:hAnsi="Calibri" w:cs="Calibri"/>
                <w:noProof/>
                <w:color w:val="000000"/>
                <w:sz w:val="22"/>
              </w:rPr>
              <w:t>-2.4</w:t>
            </w:r>
          </w:p>
        </w:tc>
      </w:tr>
    </w:tbl>
    <w:p w14:paraId="14571C23" w14:textId="4D43171D" w:rsidR="005B461B" w:rsidRDefault="005B461B" w:rsidP="00EB793C">
      <w:pPr>
        <w:rPr>
          <w:i/>
          <w:iCs/>
          <w:noProof/>
        </w:rPr>
      </w:pPr>
    </w:p>
    <w:p w14:paraId="68EE13E2" w14:textId="3FAC08FE" w:rsidR="00F9255D" w:rsidRDefault="00EB793C" w:rsidP="00EB793C">
      <w:pPr>
        <w:rPr>
          <w:noProof/>
        </w:rPr>
      </w:pPr>
      <w:r>
        <w:rPr>
          <w:noProof/>
        </w:rPr>
        <w:t xml:space="preserve">Under </w:t>
      </w:r>
      <w:r w:rsidR="003B642E" w:rsidRPr="00E71388">
        <w:rPr>
          <w:i/>
          <w:iCs/>
          <w:noProof/>
        </w:rPr>
        <w:t>Non-EU manufacturers absorb the price increase</w:t>
      </w:r>
      <w:r w:rsidRPr="00AC1CD0">
        <w:rPr>
          <w:b/>
          <w:bCs/>
          <w:noProof/>
        </w:rPr>
        <w:t>,</w:t>
      </w:r>
      <w:r>
        <w:rPr>
          <w:noProof/>
        </w:rPr>
        <w:t xml:space="preserve"> if we assume that non-EU manufacturers fully absorb the relative price increase, the price of </w:t>
      </w:r>
      <w:r w:rsidR="00F9255D">
        <w:rPr>
          <w:noProof/>
        </w:rPr>
        <w:t xml:space="preserve">passenger and LCV </w:t>
      </w:r>
      <w:r>
        <w:rPr>
          <w:noProof/>
        </w:rPr>
        <w:t>EVs is expected to decrease</w:t>
      </w:r>
      <w:r w:rsidR="00F9255D">
        <w:rPr>
          <w:noProof/>
        </w:rPr>
        <w:t>:</w:t>
      </w:r>
      <w:r>
        <w:rPr>
          <w:noProof/>
        </w:rPr>
        <w:t xml:space="preserve"> </w:t>
      </w:r>
    </w:p>
    <w:p w14:paraId="100E45E2" w14:textId="45061192" w:rsidR="00AE051F" w:rsidRDefault="00AE051F" w:rsidP="00EB793C">
      <w:pPr>
        <w:rPr>
          <w:noProof/>
        </w:rPr>
      </w:pPr>
    </w:p>
    <w:p w14:paraId="242E2F64" w14:textId="6E465A84" w:rsidR="00EB793C" w:rsidRDefault="00F9255D" w:rsidP="00EB793C">
      <w:pPr>
        <w:rPr>
          <w:noProof/>
        </w:rPr>
      </w:pPr>
      <w:r>
        <w:rPr>
          <w:noProof/>
        </w:rPr>
        <w:t>For passenger cars:</w:t>
      </w:r>
      <w:r w:rsidR="00EB793C">
        <w:rPr>
          <w:noProof/>
        </w:rPr>
        <w:t xml:space="preserve"> by 1.</w:t>
      </w:r>
      <w:r w:rsidR="00320FC7">
        <w:rPr>
          <w:noProof/>
        </w:rPr>
        <w:t>9</w:t>
      </w:r>
      <w:r w:rsidR="00EB793C">
        <w:rPr>
          <w:noProof/>
        </w:rPr>
        <w:t>% by 2027 and by 0.2% by 2030. Consequently, consumers are going to be impacted positively, as the sale of EVs is going to increase by 1</w:t>
      </w:r>
      <w:r w:rsidR="00320FC7">
        <w:rPr>
          <w:noProof/>
        </w:rPr>
        <w:t>52</w:t>
      </w:r>
      <w:r w:rsidR="00EB793C">
        <w:rPr>
          <w:noProof/>
        </w:rPr>
        <w:t xml:space="preserve"> </w:t>
      </w:r>
      <w:r w:rsidR="00320FC7">
        <w:rPr>
          <w:noProof/>
        </w:rPr>
        <w:t>6</w:t>
      </w:r>
      <w:r w:rsidR="00EB793C">
        <w:rPr>
          <w:noProof/>
        </w:rPr>
        <w:t>00 vehicles in 2027 and by 1</w:t>
      </w:r>
      <w:r w:rsidR="00320FC7">
        <w:rPr>
          <w:noProof/>
        </w:rPr>
        <w:t>2</w:t>
      </w:r>
      <w:r w:rsidR="00EB793C">
        <w:rPr>
          <w:noProof/>
        </w:rPr>
        <w:t xml:space="preserve"> 100 vehicles in 2030. </w:t>
      </w:r>
    </w:p>
    <w:p w14:paraId="72AAB3DC" w14:textId="0A05162D" w:rsidR="00AE051F" w:rsidRDefault="00F9255D" w:rsidP="00AE051F">
      <w:pPr>
        <w:rPr>
          <w:noProof/>
        </w:rPr>
      </w:pPr>
      <w:r>
        <w:rPr>
          <w:noProof/>
        </w:rPr>
        <w:t>For LCVs:</w:t>
      </w:r>
      <w:r w:rsidR="00AE051F">
        <w:rPr>
          <w:noProof/>
        </w:rPr>
        <w:t xml:space="preserve"> by 2</w:t>
      </w:r>
      <w:r w:rsidR="00AB6236">
        <w:rPr>
          <w:noProof/>
        </w:rPr>
        <w:t>.4</w:t>
      </w:r>
      <w:r w:rsidR="00AE051F">
        <w:rPr>
          <w:noProof/>
        </w:rPr>
        <w:t>% in 2027 and by 0.</w:t>
      </w:r>
      <w:r w:rsidR="00AB6236">
        <w:rPr>
          <w:noProof/>
        </w:rPr>
        <w:t>7</w:t>
      </w:r>
      <w:r w:rsidR="00AE051F">
        <w:rPr>
          <w:noProof/>
        </w:rPr>
        <w:t xml:space="preserve">% in 2030. The sales of EVs are going to increase by </w:t>
      </w:r>
      <w:r w:rsidR="00AB6236">
        <w:rPr>
          <w:noProof/>
        </w:rPr>
        <w:t>22</w:t>
      </w:r>
      <w:r w:rsidR="00AE051F">
        <w:rPr>
          <w:noProof/>
        </w:rPr>
        <w:t xml:space="preserve"> </w:t>
      </w:r>
      <w:r w:rsidR="00AB6236">
        <w:rPr>
          <w:noProof/>
        </w:rPr>
        <w:t>1</w:t>
      </w:r>
      <w:r w:rsidR="00AE051F">
        <w:rPr>
          <w:noProof/>
        </w:rPr>
        <w:t xml:space="preserve">00 vehicles in 2027 and by </w:t>
      </w:r>
      <w:r w:rsidR="00AB6236">
        <w:rPr>
          <w:noProof/>
        </w:rPr>
        <w:t>9</w:t>
      </w:r>
      <w:r w:rsidR="00AE051F">
        <w:rPr>
          <w:noProof/>
        </w:rPr>
        <w:t xml:space="preserve"> </w:t>
      </w:r>
      <w:r w:rsidR="00AB6236">
        <w:rPr>
          <w:noProof/>
        </w:rPr>
        <w:t>8</w:t>
      </w:r>
      <w:r w:rsidR="00AE051F">
        <w:rPr>
          <w:noProof/>
        </w:rPr>
        <w:t xml:space="preserve">00 vehicles in 2030. </w:t>
      </w:r>
    </w:p>
    <w:p w14:paraId="540FDB7C" w14:textId="0A91668A" w:rsidR="00F9255D" w:rsidRDefault="00F9255D" w:rsidP="00EB793C">
      <w:pPr>
        <w:rPr>
          <w:noProof/>
        </w:rPr>
      </w:pPr>
    </w:p>
    <w:p w14:paraId="592532E9" w14:textId="7E6DAB7E" w:rsidR="00EB793C" w:rsidRDefault="007D7569" w:rsidP="00EB793C">
      <w:pPr>
        <w:rPr>
          <w:noProof/>
        </w:rPr>
      </w:pPr>
      <w:r>
        <w:rPr>
          <w:noProof/>
        </w:rPr>
        <w:t>For HDVs:</w:t>
      </w:r>
      <w:r w:rsidR="00EB793C">
        <w:rPr>
          <w:noProof/>
        </w:rPr>
        <w:t xml:space="preserve"> by 0.</w:t>
      </w:r>
      <w:r>
        <w:rPr>
          <w:noProof/>
        </w:rPr>
        <w:t>5</w:t>
      </w:r>
      <w:r w:rsidR="00EB793C">
        <w:rPr>
          <w:noProof/>
        </w:rPr>
        <w:t>% in 2027 and then increase by 0.</w:t>
      </w:r>
      <w:r>
        <w:rPr>
          <w:noProof/>
        </w:rPr>
        <w:t>8</w:t>
      </w:r>
      <w:r w:rsidR="00EB793C">
        <w:rPr>
          <w:noProof/>
        </w:rPr>
        <w:t xml:space="preserve">% in 2030. The sales of EV HDVs are going to slightly increase by </w:t>
      </w:r>
      <w:r>
        <w:rPr>
          <w:noProof/>
        </w:rPr>
        <w:t>7</w:t>
      </w:r>
      <w:r w:rsidR="00EB793C">
        <w:rPr>
          <w:noProof/>
        </w:rPr>
        <w:t xml:space="preserve">00 vehicles in 2027 and then decrease by 2 </w:t>
      </w:r>
      <w:r w:rsidR="004E4199">
        <w:rPr>
          <w:noProof/>
        </w:rPr>
        <w:t>4</w:t>
      </w:r>
      <w:r w:rsidR="00EB793C">
        <w:rPr>
          <w:noProof/>
        </w:rPr>
        <w:t xml:space="preserve">00 units in 2030. </w:t>
      </w:r>
    </w:p>
    <w:p w14:paraId="3FB4A628" w14:textId="77777777" w:rsidR="000E26A5" w:rsidRDefault="000E26A5" w:rsidP="00EB793C">
      <w:pPr>
        <w:spacing w:after="160" w:line="278" w:lineRule="auto"/>
        <w:jc w:val="left"/>
        <w:rPr>
          <w:b/>
          <w:bCs/>
          <w:noProof/>
          <w:lang w:val="en-IE"/>
        </w:rPr>
      </w:pPr>
    </w:p>
    <w:p w14:paraId="5414A3B4" w14:textId="097D2430" w:rsidR="00EB793C" w:rsidRPr="00086326" w:rsidRDefault="008A6620" w:rsidP="00EB793C">
      <w:pPr>
        <w:spacing w:after="160" w:line="278" w:lineRule="auto"/>
        <w:jc w:val="left"/>
        <w:rPr>
          <w:b/>
          <w:bCs/>
          <w:noProof/>
          <w:lang w:val="en-IE"/>
        </w:rPr>
      </w:pPr>
      <w:r>
        <w:rPr>
          <w:b/>
          <w:bCs/>
          <w:noProof/>
          <w:lang w:val="en-IE"/>
        </w:rPr>
        <w:t>Impact on emissions</w:t>
      </w:r>
    </w:p>
    <w:p w14:paraId="05E03B6C" w14:textId="41591FF8" w:rsidR="00B62BC6" w:rsidRDefault="00EB793C" w:rsidP="002B0B10">
      <w:pPr>
        <w:rPr>
          <w:noProof/>
          <w:lang w:val="en-US"/>
        </w:rPr>
      </w:pPr>
      <w:r w:rsidRPr="617D0D8B">
        <w:rPr>
          <w:noProof/>
          <w:lang w:val="en-US"/>
        </w:rPr>
        <w:t xml:space="preserve">In </w:t>
      </w:r>
      <w:r w:rsidR="002940C7" w:rsidRPr="00E71388">
        <w:rPr>
          <w:i/>
          <w:iCs/>
          <w:noProof/>
        </w:rPr>
        <w:t>Non-EU manufacturers absorb the price increase</w:t>
      </w:r>
      <w:r w:rsidR="002940C7" w:rsidRPr="617D0D8B">
        <w:rPr>
          <w:i/>
          <w:iCs/>
          <w:noProof/>
        </w:rPr>
        <w:t>,</w:t>
      </w:r>
      <w:r w:rsidR="002940C7" w:rsidRPr="617D0D8B">
        <w:rPr>
          <w:noProof/>
          <w:lang w:val="en-US"/>
        </w:rPr>
        <w:t xml:space="preserve"> </w:t>
      </w:r>
      <w:r w:rsidRPr="617D0D8B">
        <w:rPr>
          <w:noProof/>
          <w:lang w:val="en-US"/>
        </w:rPr>
        <w:t xml:space="preserve">production and transport emissions are almost unchanged compared to the Reference. </w:t>
      </w:r>
      <w:r w:rsidRPr="00A920A2">
        <w:rPr>
          <w:noProof/>
          <w:lang w:val="en-US"/>
        </w:rPr>
        <w:t xml:space="preserve">In 2027, substitution from EVs to ICEs could lead to higher emissions from the fuel use of </w:t>
      </w:r>
      <w:r>
        <w:rPr>
          <w:noProof/>
          <w:lang w:val="en-US"/>
        </w:rPr>
        <w:t xml:space="preserve">new passenger </w:t>
      </w:r>
      <w:r w:rsidRPr="00A920A2">
        <w:rPr>
          <w:noProof/>
          <w:lang w:val="en-US"/>
        </w:rPr>
        <w:t xml:space="preserve">cars (0.8 Mt) in </w:t>
      </w:r>
      <w:r w:rsidR="00603B19" w:rsidRPr="617D0D8B">
        <w:rPr>
          <w:i/>
          <w:iCs/>
          <w:noProof/>
        </w:rPr>
        <w:t>Internal market reaction</w:t>
      </w:r>
      <w:r w:rsidRPr="00A920A2">
        <w:rPr>
          <w:noProof/>
          <w:lang w:val="en-US"/>
        </w:rPr>
        <w:t xml:space="preserve">, but to lower emissions (2.2 Mt) in </w:t>
      </w:r>
      <w:r w:rsidR="000F5FC1" w:rsidRPr="617D0D8B">
        <w:rPr>
          <w:i/>
          <w:iCs/>
          <w:noProof/>
          <w:lang w:val="en-IE"/>
        </w:rPr>
        <w:t>Non-EU manufacturers absorb the price increase</w:t>
      </w:r>
      <w:r>
        <w:rPr>
          <w:noProof/>
          <w:lang w:val="en-US"/>
        </w:rPr>
        <w:t>;</w:t>
      </w:r>
      <w:r w:rsidRPr="00A920A2">
        <w:rPr>
          <w:noProof/>
          <w:lang w:val="en-US"/>
        </w:rPr>
        <w:t xml:space="preserve"> this effect almost disappears in 2030.</w:t>
      </w:r>
    </w:p>
    <w:p w14:paraId="14C4F895" w14:textId="28AB2E99" w:rsidR="008C58A7" w:rsidRPr="007E430F" w:rsidRDefault="00CD471E" w:rsidP="00FF0C9D">
      <w:pPr>
        <w:pStyle w:val="Heading1"/>
        <w:numPr>
          <w:ilvl w:val="0"/>
          <w:numId w:val="0"/>
        </w:numPr>
        <w:spacing w:before="0" w:after="0"/>
        <w:rPr>
          <w:rFonts w:ascii="Times" w:hAnsi="Times" w:cs="Times"/>
          <w:b/>
          <w:noProof/>
          <w:sz w:val="28"/>
          <w:szCs w:val="28"/>
        </w:rPr>
      </w:pPr>
      <w:r>
        <w:rPr>
          <w:noProof/>
          <w:lang w:val="en-US"/>
        </w:rPr>
        <w:br w:type="page"/>
      </w:r>
      <w:bookmarkStart w:id="1577" w:name="_Toc222159396"/>
      <w:bookmarkStart w:id="1578" w:name="_Toc222490068"/>
      <w:r w:rsidR="00C045DA" w:rsidRPr="007E430F">
        <w:rPr>
          <w:rFonts w:ascii="Times" w:hAnsi="Times" w:cs="Times"/>
          <w:b/>
          <w:noProof/>
          <w:color w:val="auto"/>
          <w:sz w:val="28"/>
          <w:szCs w:val="28"/>
        </w:rPr>
        <w:t xml:space="preserve">Annex 15: Sensitivity </w:t>
      </w:r>
      <w:r w:rsidR="00A9792B" w:rsidRPr="007E430F">
        <w:rPr>
          <w:rFonts w:ascii="Times" w:hAnsi="Times" w:cs="Times"/>
          <w:b/>
          <w:noProof/>
          <w:color w:val="auto"/>
          <w:sz w:val="28"/>
          <w:szCs w:val="28"/>
        </w:rPr>
        <w:t>a</w:t>
      </w:r>
      <w:r w:rsidR="00C045DA" w:rsidRPr="007E430F">
        <w:rPr>
          <w:rFonts w:ascii="Times" w:hAnsi="Times" w:cs="Times"/>
          <w:b/>
          <w:noProof/>
          <w:color w:val="auto"/>
          <w:sz w:val="28"/>
          <w:szCs w:val="28"/>
        </w:rPr>
        <w:t>nalysis</w:t>
      </w:r>
      <w:r w:rsidR="00A9792B" w:rsidRPr="007E430F">
        <w:rPr>
          <w:rFonts w:ascii="Times" w:hAnsi="Times" w:cs="Times"/>
          <w:b/>
          <w:noProof/>
          <w:color w:val="auto"/>
          <w:sz w:val="28"/>
          <w:szCs w:val="28"/>
        </w:rPr>
        <w:t>:</w:t>
      </w:r>
      <w:r w:rsidR="00C045DA" w:rsidRPr="007E430F">
        <w:rPr>
          <w:rFonts w:ascii="Times" w:hAnsi="Times" w:cs="Times"/>
          <w:b/>
          <w:noProof/>
          <w:color w:val="auto"/>
          <w:sz w:val="28"/>
          <w:szCs w:val="28"/>
        </w:rPr>
        <w:t xml:space="preserve"> costs and benefits</w:t>
      </w:r>
      <w:bookmarkEnd w:id="1577"/>
      <w:bookmarkEnd w:id="1578"/>
    </w:p>
    <w:p w14:paraId="6FDC3E7B" w14:textId="6F3BF0DB" w:rsidR="008C58A7" w:rsidRPr="007E430F" w:rsidRDefault="008C58A7" w:rsidP="002B0B10">
      <w:pPr>
        <w:rPr>
          <w:noProof/>
          <w:lang w:val="en-US"/>
        </w:rPr>
      </w:pPr>
    </w:p>
    <w:p w14:paraId="6AECC835" w14:textId="66160FD4" w:rsidR="00904D0A" w:rsidRDefault="0035400D" w:rsidP="00904D0A">
      <w:pPr>
        <w:rPr>
          <w:i/>
          <w:noProof/>
        </w:rPr>
      </w:pPr>
      <w:r w:rsidRPr="007E430F">
        <w:rPr>
          <w:noProof/>
        </w:rPr>
        <w:t xml:space="preserve">Where uncertainties </w:t>
      </w:r>
      <w:r w:rsidR="00486324" w:rsidRPr="007E430F">
        <w:rPr>
          <w:noProof/>
        </w:rPr>
        <w:t>are identified regarding the impact of cost and benefits of different measures, this annex presents a sensitivity analysis and provides ranges</w:t>
      </w:r>
      <w:r w:rsidR="006A0A2B" w:rsidRPr="007E430F">
        <w:rPr>
          <w:noProof/>
        </w:rPr>
        <w:t xml:space="preserve"> of estimates to present the order of magnitude. This Annex builds</w:t>
      </w:r>
      <w:r w:rsidR="008F645A" w:rsidRPr="007E430F">
        <w:rPr>
          <w:noProof/>
        </w:rPr>
        <w:t xml:space="preserve"> </w:t>
      </w:r>
      <w:r w:rsidR="006A0A2B" w:rsidRPr="007E430F">
        <w:rPr>
          <w:noProof/>
        </w:rPr>
        <w:t xml:space="preserve">on the main data sets outlined in Annex 4 but presents a wider </w:t>
      </w:r>
      <w:r w:rsidR="008F645A" w:rsidRPr="007E430F">
        <w:rPr>
          <w:noProof/>
        </w:rPr>
        <w:t xml:space="preserve">depiction of impacts. </w:t>
      </w:r>
      <w:r w:rsidR="00E7064F" w:rsidRPr="007E430F">
        <w:rPr>
          <w:noProof/>
        </w:rPr>
        <w:t xml:space="preserve">The values used in Annex 4 for the total costs and benefits calculations are also reflected below for information, </w:t>
      </w:r>
      <w:r w:rsidR="00E7064F" w:rsidRPr="007E430F">
        <w:rPr>
          <w:i/>
          <w:noProof/>
        </w:rPr>
        <w:t xml:space="preserve">while the </w:t>
      </w:r>
      <w:r w:rsidR="00907BCB" w:rsidRPr="007E430F">
        <w:rPr>
          <w:i/>
          <w:noProof/>
        </w:rPr>
        <w:t xml:space="preserve">sensitivity analysis </w:t>
      </w:r>
      <w:r w:rsidR="00E7064F" w:rsidRPr="007E430F">
        <w:rPr>
          <w:i/>
          <w:noProof/>
        </w:rPr>
        <w:t>ranges are presented in italics.</w:t>
      </w:r>
      <w:r w:rsidR="005B37D2">
        <w:rPr>
          <w:i/>
          <w:noProof/>
        </w:rPr>
        <w:t xml:space="preserve"> </w:t>
      </w:r>
    </w:p>
    <w:p w14:paraId="1026A380" w14:textId="7FD2D417" w:rsidR="005B37D2" w:rsidRDefault="00E8391D" w:rsidP="00904D0A">
      <w:pPr>
        <w:rPr>
          <w:noProof/>
        </w:rPr>
      </w:pPr>
      <w:r w:rsidRPr="006B27D8">
        <w:rPr>
          <w:noProof/>
        </w:rPr>
        <w:t xml:space="preserve">However, </w:t>
      </w:r>
      <w:r w:rsidRPr="006B27D8">
        <w:rPr>
          <w:iCs/>
          <w:noProof/>
        </w:rPr>
        <w:t>f</w:t>
      </w:r>
      <w:r w:rsidR="005B37D2" w:rsidRPr="006B27D8">
        <w:rPr>
          <w:iCs/>
          <w:noProof/>
        </w:rPr>
        <w:t>or</w:t>
      </w:r>
      <w:r w:rsidR="005B37D2" w:rsidRPr="006B27D8">
        <w:rPr>
          <w:noProof/>
        </w:rPr>
        <w:t xml:space="preserve"> LEAD EII</w:t>
      </w:r>
      <w:r w:rsidRPr="006B27D8">
        <w:rPr>
          <w:noProof/>
        </w:rPr>
        <w:t xml:space="preserve"> the sensitivity analysis differs from adjustment costs </w:t>
      </w:r>
      <w:r w:rsidR="00466526" w:rsidRPr="006B27D8">
        <w:rPr>
          <w:noProof/>
        </w:rPr>
        <w:t>modelled by FIDELIO and</w:t>
      </w:r>
      <w:r w:rsidRPr="006B27D8">
        <w:rPr>
          <w:noProof/>
        </w:rPr>
        <w:t xml:space="preserve"> presented throughout the Impact Assessment</w:t>
      </w:r>
      <w:r w:rsidR="00605005" w:rsidRPr="006B27D8">
        <w:rPr>
          <w:noProof/>
        </w:rPr>
        <w:t xml:space="preserve">. The analysis below </w:t>
      </w:r>
      <w:r w:rsidR="00A80EFB" w:rsidRPr="006B27D8">
        <w:rPr>
          <w:noProof/>
        </w:rPr>
        <w:t>are</w:t>
      </w:r>
      <w:r w:rsidR="00605005" w:rsidRPr="006B27D8">
        <w:rPr>
          <w:noProof/>
        </w:rPr>
        <w:t xml:space="preserve"> theoretical maximum costs based on the </w:t>
      </w:r>
      <w:r w:rsidR="001E7EAE" w:rsidRPr="006B27D8">
        <w:rPr>
          <w:noProof/>
        </w:rPr>
        <w:t xml:space="preserve">expected vehicle deployment of 2030, and the average price of a vehicle in the EU. </w:t>
      </w:r>
      <w:r w:rsidR="00044D73" w:rsidRPr="006B27D8">
        <w:rPr>
          <w:noProof/>
        </w:rPr>
        <w:t>Both results</w:t>
      </w:r>
      <w:r w:rsidR="00704FD2" w:rsidRPr="006B27D8">
        <w:rPr>
          <w:noProof/>
        </w:rPr>
        <w:t>, those from FIDELIO and sensitivity analysis below,</w:t>
      </w:r>
      <w:r w:rsidR="00044D73" w:rsidRPr="006B27D8">
        <w:rPr>
          <w:noProof/>
        </w:rPr>
        <w:t xml:space="preserve"> </w:t>
      </w:r>
      <w:r w:rsidR="00704FD2" w:rsidRPr="006B27D8">
        <w:rPr>
          <w:noProof/>
        </w:rPr>
        <w:t>use</w:t>
      </w:r>
      <w:r w:rsidR="00044D73" w:rsidRPr="006B27D8">
        <w:rPr>
          <w:noProof/>
        </w:rPr>
        <w:t xml:space="preserve"> </w:t>
      </w:r>
      <w:r w:rsidR="008A1CF4" w:rsidRPr="006B27D8">
        <w:rPr>
          <w:noProof/>
        </w:rPr>
        <w:t>the same p</w:t>
      </w:r>
      <w:r w:rsidR="00704FD2" w:rsidRPr="006B27D8">
        <w:rPr>
          <w:noProof/>
        </w:rPr>
        <w:t>rice increase from using low-carbon steel</w:t>
      </w:r>
      <w:r w:rsidR="00C348D7" w:rsidRPr="006B27D8">
        <w:rPr>
          <w:noProof/>
        </w:rPr>
        <w:t xml:space="preserve"> as a starting point</w:t>
      </w:r>
      <w:r w:rsidR="00935E58" w:rsidRPr="006B27D8">
        <w:rPr>
          <w:noProof/>
        </w:rPr>
        <w:t xml:space="preserve">, but are analysed differently. </w:t>
      </w:r>
    </w:p>
    <w:p w14:paraId="66EB8297" w14:textId="17DA53E1" w:rsidR="196EACCA" w:rsidRDefault="196EACCA" w:rsidP="196EACCA">
      <w:pPr>
        <w:rPr>
          <w:i/>
          <w:iCs/>
          <w:noProof/>
        </w:rPr>
      </w:pPr>
    </w:p>
    <w:p w14:paraId="64FA480A" w14:textId="76834BD0" w:rsidR="00D46CEE" w:rsidRDefault="000E1AC9" w:rsidP="0005436C">
      <w:pPr>
        <w:pStyle w:val="Heading2"/>
        <w:numPr>
          <w:ilvl w:val="0"/>
          <w:numId w:val="0"/>
        </w:numPr>
        <w:tabs>
          <w:tab w:val="left" w:pos="5923"/>
        </w:tabs>
        <w:ind w:left="576" w:hanging="576"/>
      </w:pPr>
      <w:bookmarkStart w:id="1579" w:name="_Toc215506361"/>
      <w:bookmarkStart w:id="1580" w:name="_Toc222490069"/>
      <w:r>
        <w:t xml:space="preserve">Administrative </w:t>
      </w:r>
      <w:r w:rsidR="001509F6">
        <w:t>savings</w:t>
      </w:r>
      <w:bookmarkEnd w:id="1579"/>
      <w:bookmarkEnd w:id="1580"/>
      <w:r w:rsidR="0005436C">
        <w:tab/>
      </w:r>
    </w:p>
    <w:p w14:paraId="4E9757B1" w14:textId="52FA74DB" w:rsidR="00D46CEE" w:rsidRPr="00643941" w:rsidRDefault="6C8775B6" w:rsidP="00D46CEE">
      <w:pPr>
        <w:pStyle w:val="ListParagraph"/>
        <w:numPr>
          <w:ilvl w:val="0"/>
          <w:numId w:val="171"/>
        </w:numPr>
        <w:spacing w:after="120"/>
        <w:rPr>
          <w:rFonts w:eastAsia="Times New Roman" w:cs="Times New Roman"/>
          <w:b/>
          <w:i/>
          <w:noProof/>
          <w:color w:val="000000" w:themeColor="text1"/>
          <w:szCs w:val="24"/>
          <w:u w:val="single"/>
          <w:lang w:val="en-IE"/>
        </w:rPr>
      </w:pPr>
      <w:r>
        <w:rPr>
          <w:rFonts w:eastAsia="Times New Roman" w:cs="Times New Roman"/>
          <w:noProof/>
          <w:color w:val="000000" w:themeColor="text1"/>
        </w:rPr>
        <w:t xml:space="preserve">PERM: </w:t>
      </w:r>
      <w:r w:rsidRPr="00144455">
        <w:rPr>
          <w:rFonts w:eastAsia="Times New Roman" w:cs="Times New Roman"/>
          <w:noProof/>
          <w:color w:val="000000" w:themeColor="text1"/>
        </w:rPr>
        <w:t xml:space="preserve">The cost savings from implementing a digitally integrated permit granting process are </w:t>
      </w:r>
      <w:r w:rsidRPr="00144455">
        <w:rPr>
          <w:rFonts w:eastAsia="Times New Roman"/>
          <w:noProof/>
        </w:rPr>
        <w:t>calculated</w:t>
      </w:r>
      <w:r w:rsidRPr="00144455">
        <w:rPr>
          <w:rFonts w:eastAsia="Times New Roman" w:cs="Times New Roman"/>
          <w:noProof/>
          <w:color w:val="000000" w:themeColor="text1"/>
        </w:rPr>
        <w:t xml:space="preserve"> based on a study on business procedures carried out to underpin the Single Digital Gateway impact assessment</w:t>
      </w:r>
      <w:r w:rsidR="00D46CEE" w:rsidRPr="00FF63D1">
        <w:rPr>
          <w:noProof/>
          <w:vertAlign w:val="superscript"/>
        </w:rPr>
        <w:footnoteReference w:id="702"/>
      </w:r>
      <w:r w:rsidRPr="00144455">
        <w:rPr>
          <w:rFonts w:eastAsia="Times New Roman" w:cs="Times New Roman"/>
          <w:noProof/>
          <w:color w:val="000000" w:themeColor="text1"/>
        </w:rPr>
        <w:t>. It concluded that for 9 procedures, the cost savings for all EU businesses (EU business in 2023 represented 33 million enterprises</w:t>
      </w:r>
      <w:r w:rsidR="00D46CEE" w:rsidRPr="1A2A8689">
        <w:rPr>
          <w:rStyle w:val="FootnoteReference"/>
          <w:rFonts w:eastAsia="Times New Roman" w:cs="Times New Roman"/>
          <w:noProof/>
          <w:color w:val="000000" w:themeColor="text1"/>
        </w:rPr>
        <w:footnoteReference w:id="703"/>
      </w:r>
      <w:r w:rsidRPr="00144455">
        <w:rPr>
          <w:rFonts w:eastAsia="Times New Roman" w:cs="Times New Roman"/>
          <w:noProof/>
          <w:color w:val="000000" w:themeColor="text1"/>
        </w:rPr>
        <w:t>), - if e-procedures were introduced where missing - would be in the order of magnitude of EUR 6.5 billion for domestic users (i.e. 433.3 million for 2.2 million businesses in the manufacturing sector). Following an ad</w:t>
      </w:r>
      <w:r w:rsidRPr="00144455" w:rsidDel="545C8C3C">
        <w:rPr>
          <w:rFonts w:eastAsia="Times New Roman" w:cs="Times New Roman"/>
          <w:noProof/>
          <w:color w:val="000000" w:themeColor="text1"/>
        </w:rPr>
        <w:t>j</w:t>
      </w:r>
      <w:r w:rsidRPr="00144455">
        <w:rPr>
          <w:rFonts w:eastAsia="Times New Roman" w:cs="Times New Roman"/>
          <w:noProof/>
          <w:color w:val="000000" w:themeColor="text1"/>
        </w:rPr>
        <w:t>ustment</w:t>
      </w:r>
      <w:r w:rsidR="4C650CC4">
        <w:rPr>
          <w:rFonts w:eastAsia="Times New Roman" w:cs="Times New Roman"/>
          <w:noProof/>
          <w:color w:val="000000" w:themeColor="text1"/>
        </w:rPr>
        <w:t xml:space="preserve"> calculation</w:t>
      </w:r>
      <w:r w:rsidRPr="00144455">
        <w:rPr>
          <w:rFonts w:eastAsia="Times New Roman" w:cs="Times New Roman"/>
          <w:noProof/>
          <w:color w:val="000000" w:themeColor="text1"/>
        </w:rPr>
        <w:t xml:space="preserve"> to the EUR 6.5</w:t>
      </w:r>
      <w:r>
        <w:rPr>
          <w:rFonts w:eastAsia="Times New Roman" w:cs="Times New Roman"/>
          <w:noProof/>
          <w:color w:val="000000" w:themeColor="text1"/>
        </w:rPr>
        <w:t xml:space="preserve"> </w:t>
      </w:r>
      <w:r w:rsidRPr="00144455">
        <w:rPr>
          <w:rFonts w:eastAsia="Times New Roman" w:cs="Times New Roman"/>
          <w:noProof/>
          <w:color w:val="000000" w:themeColor="text1"/>
        </w:rPr>
        <w:t>bn to assume an average of 5 permit- granting procedures, and assuming the costs for all procedures is equal, this could translate into savings of EUR 240 million specifically for the manufacturing sector for an average of 5 procedures</w:t>
      </w:r>
      <w:r>
        <w:rPr>
          <w:rFonts w:eastAsia="Times New Roman" w:cs="Times New Roman"/>
          <w:noProof/>
          <w:color w:val="000000" w:themeColor="text1"/>
        </w:rPr>
        <w:t>.</w:t>
      </w:r>
    </w:p>
    <w:p w14:paraId="7634CAF7" w14:textId="77777777" w:rsidR="000819FF" w:rsidRPr="00643941" w:rsidRDefault="000819FF" w:rsidP="000819FF">
      <w:pPr>
        <w:pStyle w:val="ListParagraph"/>
        <w:spacing w:after="120"/>
        <w:rPr>
          <w:rFonts w:eastAsia="Times New Roman" w:cs="Times New Roman"/>
          <w:b/>
          <w:i/>
          <w:noProof/>
          <w:color w:val="000000" w:themeColor="text1"/>
          <w:szCs w:val="24"/>
          <w:u w:val="single"/>
          <w:lang w:val="en-IE"/>
        </w:rPr>
      </w:pPr>
    </w:p>
    <w:p w14:paraId="3F3F052C" w14:textId="4C94AE09" w:rsidR="00BA0334" w:rsidRPr="005F03AB" w:rsidRDefault="00604243" w:rsidP="00D46CEE">
      <w:pPr>
        <w:pStyle w:val="ListParagraph"/>
        <w:numPr>
          <w:ilvl w:val="0"/>
          <w:numId w:val="171"/>
        </w:numPr>
        <w:spacing w:after="120"/>
        <w:rPr>
          <w:rFonts w:eastAsia="Times New Roman" w:cs="Times New Roman"/>
          <w:b/>
          <w:i/>
          <w:noProof/>
          <w:color w:val="000000" w:themeColor="text1"/>
          <w:szCs w:val="24"/>
          <w:u w:val="single"/>
          <w:lang w:val="en-IE"/>
        </w:rPr>
      </w:pPr>
      <w:r>
        <w:rPr>
          <w:rFonts w:eastAsia="Times New Roman" w:cs="Times New Roman"/>
          <w:noProof/>
          <w:color w:val="000000" w:themeColor="text1"/>
        </w:rPr>
        <w:t>The s</w:t>
      </w:r>
      <w:r w:rsidR="00BA0334">
        <w:rPr>
          <w:rFonts w:eastAsia="Times New Roman" w:cs="Times New Roman"/>
          <w:noProof/>
          <w:color w:val="000000" w:themeColor="text1"/>
        </w:rPr>
        <w:t xml:space="preserve">ensitivity analysis is carried out with </w:t>
      </w:r>
      <w:r>
        <w:rPr>
          <w:rFonts w:eastAsia="Times New Roman" w:cs="Times New Roman"/>
          <w:noProof/>
          <w:color w:val="000000" w:themeColor="text1"/>
        </w:rPr>
        <w:t>t</w:t>
      </w:r>
      <w:r w:rsidR="00BA0334">
        <w:rPr>
          <w:rFonts w:eastAsia="Times New Roman" w:cs="Times New Roman"/>
          <w:noProof/>
          <w:color w:val="000000" w:themeColor="text1"/>
        </w:rPr>
        <w:t xml:space="preserve">he assumption that only a third of the manufacturing industries can carry out their transformation process by 2030. </w:t>
      </w:r>
      <w:r w:rsidR="00597BA1">
        <w:rPr>
          <w:rFonts w:eastAsia="Times New Roman" w:cs="Times New Roman"/>
          <w:noProof/>
          <w:color w:val="000000" w:themeColor="text1"/>
        </w:rPr>
        <w:t>In that range, the savings are reduced to 80 million as shown below.</w:t>
      </w:r>
    </w:p>
    <w:p w14:paraId="37BBB505" w14:textId="77777777" w:rsidR="001509F6" w:rsidRDefault="001509F6" w:rsidP="009E1683">
      <w:pPr>
        <w:rPr>
          <w:noProof/>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6"/>
        <w:gridCol w:w="2245"/>
        <w:gridCol w:w="2245"/>
        <w:gridCol w:w="2274"/>
      </w:tblGrid>
      <w:tr w:rsidR="001509F6" w:rsidRPr="00BB4F42" w14:paraId="7BF79A64" w14:textId="77777777">
        <w:trPr>
          <w:trHeight w:val="285"/>
        </w:trPr>
        <w:tc>
          <w:tcPr>
            <w:tcW w:w="1246" w:type="pct"/>
            <w:tcBorders>
              <w:top w:val="single" w:sz="6" w:space="0" w:color="auto"/>
              <w:left w:val="single" w:sz="6" w:space="0" w:color="auto"/>
              <w:bottom w:val="single" w:sz="6" w:space="0" w:color="auto"/>
              <w:right w:val="single" w:sz="6" w:space="0" w:color="auto"/>
            </w:tcBorders>
            <w:vAlign w:val="center"/>
            <w:hideMark/>
          </w:tcPr>
          <w:p w14:paraId="49FBE563" w14:textId="77777777" w:rsidR="001509F6" w:rsidRPr="00E71388" w:rsidRDefault="001509F6">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i/>
                <w:noProof/>
                <w:color w:val="000000" w:themeColor="text1"/>
                <w:sz w:val="24"/>
                <w:szCs w:val="24"/>
              </w:rPr>
              <w:t>PERM</w:t>
            </w:r>
          </w:p>
        </w:tc>
        <w:tc>
          <w:tcPr>
            <w:tcW w:w="3754" w:type="pct"/>
            <w:gridSpan w:val="3"/>
            <w:tcBorders>
              <w:top w:val="single" w:sz="6" w:space="0" w:color="auto"/>
              <w:left w:val="single" w:sz="6" w:space="0" w:color="auto"/>
              <w:bottom w:val="single" w:sz="6" w:space="0" w:color="auto"/>
              <w:right w:val="single" w:sz="6" w:space="0" w:color="auto"/>
            </w:tcBorders>
            <w:vAlign w:val="center"/>
            <w:hideMark/>
          </w:tcPr>
          <w:p w14:paraId="5F9BED9D" w14:textId="77777777" w:rsidR="001509F6" w:rsidRPr="00E71388" w:rsidRDefault="001509F6">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Difference to the baseline</w:t>
            </w:r>
          </w:p>
        </w:tc>
      </w:tr>
      <w:tr w:rsidR="001509F6" w:rsidRPr="00BB4F42" w14:paraId="5295B6C6" w14:textId="77777777">
        <w:trPr>
          <w:trHeight w:val="285"/>
        </w:trPr>
        <w:tc>
          <w:tcPr>
            <w:tcW w:w="1246" w:type="pct"/>
            <w:tcBorders>
              <w:top w:val="single" w:sz="6" w:space="0" w:color="auto"/>
              <w:left w:val="single" w:sz="6" w:space="0" w:color="auto"/>
              <w:bottom w:val="single" w:sz="6" w:space="0" w:color="auto"/>
              <w:right w:val="single" w:sz="6" w:space="0" w:color="auto"/>
            </w:tcBorders>
            <w:vAlign w:val="center"/>
            <w:hideMark/>
          </w:tcPr>
          <w:p w14:paraId="64EADFEB" w14:textId="77777777" w:rsidR="001509F6" w:rsidRPr="00E71388" w:rsidRDefault="001509F6">
            <w:pPr>
              <w:pStyle w:val="JRCText"/>
              <w:jc w:val="center"/>
              <w:rPr>
                <w:rFonts w:ascii="Times New Roman" w:hAnsi="Times New Roman" w:cs="Times New Roman"/>
                <w:b/>
                <w:noProof/>
                <w:color w:val="000000" w:themeColor="text1"/>
                <w:sz w:val="24"/>
                <w:szCs w:val="24"/>
              </w:rPr>
            </w:pPr>
          </w:p>
        </w:tc>
        <w:tc>
          <w:tcPr>
            <w:tcW w:w="1246" w:type="pct"/>
            <w:tcBorders>
              <w:top w:val="single" w:sz="6" w:space="0" w:color="auto"/>
              <w:left w:val="single" w:sz="6" w:space="0" w:color="auto"/>
              <w:bottom w:val="single" w:sz="6" w:space="0" w:color="auto"/>
              <w:right w:val="single" w:sz="6" w:space="0" w:color="auto"/>
            </w:tcBorders>
            <w:vAlign w:val="center"/>
            <w:hideMark/>
          </w:tcPr>
          <w:p w14:paraId="219D224C" w14:textId="77777777" w:rsidR="001509F6" w:rsidRPr="00E71388" w:rsidRDefault="001509F6">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PO1</w:t>
            </w:r>
          </w:p>
        </w:tc>
        <w:tc>
          <w:tcPr>
            <w:tcW w:w="1246" w:type="pct"/>
            <w:tcBorders>
              <w:top w:val="nil"/>
              <w:left w:val="single" w:sz="6" w:space="0" w:color="auto"/>
              <w:bottom w:val="single" w:sz="6" w:space="0" w:color="auto"/>
              <w:right w:val="single" w:sz="6" w:space="0" w:color="auto"/>
            </w:tcBorders>
            <w:vAlign w:val="center"/>
            <w:hideMark/>
          </w:tcPr>
          <w:p w14:paraId="243994FA" w14:textId="77777777" w:rsidR="001509F6" w:rsidRPr="00E71388" w:rsidRDefault="001509F6">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PO2</w:t>
            </w:r>
          </w:p>
        </w:tc>
        <w:tc>
          <w:tcPr>
            <w:tcW w:w="1262" w:type="pct"/>
            <w:tcBorders>
              <w:top w:val="nil"/>
              <w:left w:val="single" w:sz="6" w:space="0" w:color="auto"/>
              <w:bottom w:val="single" w:sz="6" w:space="0" w:color="auto"/>
              <w:right w:val="single" w:sz="6" w:space="0" w:color="auto"/>
            </w:tcBorders>
            <w:vAlign w:val="center"/>
            <w:hideMark/>
          </w:tcPr>
          <w:p w14:paraId="50150CB7" w14:textId="77777777" w:rsidR="001509F6" w:rsidRPr="00E71388" w:rsidRDefault="001509F6">
            <w:pPr>
              <w:pStyle w:val="JRCText"/>
              <w:jc w:val="center"/>
              <w:rPr>
                <w:rFonts w:ascii="Times New Roman" w:hAnsi="Times New Roman" w:cs="Times New Roman"/>
                <w:b/>
                <w:noProof/>
                <w:color w:val="000000" w:themeColor="text1"/>
                <w:sz w:val="24"/>
                <w:szCs w:val="24"/>
              </w:rPr>
            </w:pPr>
            <w:r w:rsidRPr="00E71388">
              <w:rPr>
                <w:rFonts w:ascii="Times New Roman" w:hAnsi="Times New Roman" w:cs="Times New Roman"/>
                <w:b/>
                <w:noProof/>
                <w:color w:val="000000" w:themeColor="text1"/>
                <w:sz w:val="24"/>
                <w:szCs w:val="24"/>
              </w:rPr>
              <w:t>PO3</w:t>
            </w:r>
          </w:p>
        </w:tc>
      </w:tr>
      <w:tr w:rsidR="00C610F3" w:rsidRPr="00BB4F42" w14:paraId="07CEFD43" w14:textId="77777777" w:rsidTr="00C610F3">
        <w:trPr>
          <w:trHeight w:val="285"/>
        </w:trPr>
        <w:tc>
          <w:tcPr>
            <w:tcW w:w="1246"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tcPr>
          <w:p w14:paraId="33519048" w14:textId="77777777" w:rsidR="00C610F3" w:rsidRPr="00E71388" w:rsidRDefault="00C610F3">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color w:val="FFFFFF" w:themeColor="background1"/>
                <w:sz w:val="24"/>
                <w:szCs w:val="24"/>
              </w:rPr>
              <w:t>Businesses</w:t>
            </w:r>
          </w:p>
        </w:tc>
        <w:tc>
          <w:tcPr>
            <w:tcW w:w="3754" w:type="pct"/>
            <w:gridSpan w:val="3"/>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tcPr>
          <w:p w14:paraId="5E83F807" w14:textId="77777777" w:rsidR="00C610F3" w:rsidRPr="00E71388" w:rsidRDefault="00C610F3">
            <w:pPr>
              <w:pStyle w:val="JRCText"/>
              <w:jc w:val="center"/>
              <w:rPr>
                <w:rFonts w:ascii="Times New Roman" w:hAnsi="Times New Roman" w:cs="Times New Roman"/>
                <w:noProof/>
                <w:color w:val="FFFFFF" w:themeColor="background1"/>
                <w:sz w:val="24"/>
                <w:szCs w:val="24"/>
              </w:rPr>
            </w:pPr>
          </w:p>
        </w:tc>
      </w:tr>
      <w:tr w:rsidR="001509F6" w:rsidRPr="00BB4F42" w14:paraId="256B8223" w14:textId="77777777">
        <w:trPr>
          <w:trHeight w:val="285"/>
        </w:trPr>
        <w:tc>
          <w:tcPr>
            <w:tcW w:w="1246" w:type="pct"/>
            <w:tcBorders>
              <w:top w:val="single" w:sz="6" w:space="0" w:color="auto"/>
              <w:left w:val="single" w:sz="6" w:space="0" w:color="auto"/>
              <w:bottom w:val="single" w:sz="6" w:space="0" w:color="auto"/>
              <w:right w:val="single" w:sz="6" w:space="0" w:color="auto"/>
            </w:tcBorders>
            <w:vAlign w:val="center"/>
          </w:tcPr>
          <w:p w14:paraId="2AD6A937" w14:textId="77777777" w:rsidR="001509F6" w:rsidRPr="00E71388" w:rsidRDefault="001509F6">
            <w:pPr>
              <w:pStyle w:val="JRCText"/>
              <w:jc w:val="center"/>
              <w:rPr>
                <w:rFonts w:ascii="Times New Roman" w:hAnsi="Times New Roman" w:cs="Times New Roman"/>
                <w:b/>
                <w:noProof/>
                <w:sz w:val="24"/>
                <w:szCs w:val="24"/>
              </w:rPr>
            </w:pPr>
            <w:r w:rsidRPr="00E71388">
              <w:rPr>
                <w:rFonts w:ascii="Times New Roman" w:hAnsi="Times New Roman" w:cs="Times New Roman"/>
                <w:b/>
                <w:noProof/>
                <w:sz w:val="24"/>
                <w:szCs w:val="24"/>
              </w:rPr>
              <w:t>Administrative savings</w:t>
            </w:r>
          </w:p>
          <w:p w14:paraId="08266D77" w14:textId="77777777" w:rsidR="001509F6" w:rsidRPr="00E71388" w:rsidRDefault="001509F6">
            <w:pPr>
              <w:pStyle w:val="JRCText"/>
              <w:jc w:val="center"/>
              <w:rPr>
                <w:rFonts w:ascii="Times New Roman" w:hAnsi="Times New Roman" w:cs="Times New Roman"/>
                <w:b/>
                <w:noProof/>
                <w:color w:val="FFFFFF" w:themeColor="background1"/>
                <w:sz w:val="24"/>
                <w:szCs w:val="24"/>
              </w:rPr>
            </w:pPr>
            <w:r w:rsidRPr="00E71388">
              <w:rPr>
                <w:rFonts w:ascii="Times New Roman" w:hAnsi="Times New Roman" w:cs="Times New Roman"/>
                <w:b/>
                <w:noProof/>
                <w:sz w:val="24"/>
                <w:szCs w:val="24"/>
              </w:rPr>
              <w:t xml:space="preserve">(one-off) </w:t>
            </w:r>
          </w:p>
        </w:tc>
        <w:tc>
          <w:tcPr>
            <w:tcW w:w="3754" w:type="pct"/>
            <w:gridSpan w:val="3"/>
            <w:tcBorders>
              <w:top w:val="single" w:sz="6" w:space="0" w:color="auto"/>
              <w:left w:val="single" w:sz="6" w:space="0" w:color="auto"/>
              <w:bottom w:val="single" w:sz="6" w:space="0" w:color="auto"/>
              <w:right w:val="single" w:sz="6" w:space="0" w:color="auto"/>
            </w:tcBorders>
            <w:vAlign w:val="center"/>
          </w:tcPr>
          <w:p w14:paraId="45421079" w14:textId="77777777" w:rsidR="001509F6" w:rsidRPr="00102091" w:rsidRDefault="001509F6">
            <w:pPr>
              <w:pStyle w:val="JRCText"/>
              <w:jc w:val="center"/>
              <w:rPr>
                <w:rFonts w:ascii="Times New Roman" w:hAnsi="Times New Roman" w:cs="Times New Roman"/>
                <w:iCs/>
                <w:noProof/>
                <w:color w:val="000000" w:themeColor="text1"/>
                <w:sz w:val="24"/>
                <w:szCs w:val="24"/>
              </w:rPr>
            </w:pPr>
            <w:r w:rsidRPr="00102091">
              <w:rPr>
                <w:rFonts w:ascii="Times New Roman" w:hAnsi="Times New Roman" w:cs="Times New Roman"/>
                <w:iCs/>
                <w:noProof/>
                <w:color w:val="000000" w:themeColor="text1"/>
                <w:sz w:val="24"/>
                <w:szCs w:val="24"/>
              </w:rPr>
              <w:t>Digitalisation of permitting procedures</w:t>
            </w:r>
          </w:p>
          <w:p w14:paraId="0894F307" w14:textId="77777777" w:rsidR="001509F6" w:rsidRDefault="001509F6" w:rsidP="00B84805">
            <w:pPr>
              <w:pStyle w:val="JRCText"/>
              <w:jc w:val="center"/>
              <w:rPr>
                <w:rFonts w:ascii="Times New Roman" w:hAnsi="Times New Roman" w:cs="Times New Roman"/>
                <w:noProof/>
                <w:color w:val="000000" w:themeColor="text1"/>
                <w:sz w:val="24"/>
                <w:szCs w:val="24"/>
              </w:rPr>
            </w:pPr>
            <w:r w:rsidRPr="00E71388">
              <w:rPr>
                <w:rFonts w:ascii="Times New Roman" w:hAnsi="Times New Roman" w:cs="Times New Roman"/>
                <w:noProof/>
                <w:color w:val="000000" w:themeColor="text1"/>
                <w:sz w:val="24"/>
                <w:szCs w:val="24"/>
              </w:rPr>
              <w:t>EUR 240 million</w:t>
            </w:r>
          </w:p>
          <w:p w14:paraId="127ECC2C" w14:textId="48903660" w:rsidR="001509F6" w:rsidRPr="00102091" w:rsidRDefault="00F76AA0">
            <w:pPr>
              <w:pStyle w:val="JRCText"/>
              <w:jc w:val="center"/>
              <w:rPr>
                <w:rFonts w:ascii="Times New Roman" w:hAnsi="Times New Roman" w:cs="Times New Roman"/>
                <w:i/>
                <w:iCs/>
                <w:noProof/>
                <w:color w:val="000000" w:themeColor="text1"/>
                <w:sz w:val="24"/>
                <w:szCs w:val="24"/>
              </w:rPr>
            </w:pPr>
            <w:r w:rsidRPr="00102091">
              <w:rPr>
                <w:rFonts w:ascii="Times New Roman" w:hAnsi="Times New Roman" w:cs="Times New Roman"/>
                <w:i/>
                <w:iCs/>
                <w:noProof/>
                <w:color w:val="000000" w:themeColor="text1"/>
                <w:sz w:val="24"/>
                <w:szCs w:val="24"/>
              </w:rPr>
              <w:t xml:space="preserve">Sensitivity: </w:t>
            </w:r>
            <w:r w:rsidR="00BA0334" w:rsidRPr="00102091">
              <w:rPr>
                <w:rFonts w:ascii="Times New Roman" w:hAnsi="Times New Roman" w:cs="Times New Roman"/>
                <w:i/>
                <w:iCs/>
                <w:noProof/>
                <w:color w:val="000000" w:themeColor="text1"/>
                <w:sz w:val="24"/>
                <w:szCs w:val="24"/>
              </w:rPr>
              <w:t>EUR 80 million – EUR 240 million</w:t>
            </w:r>
          </w:p>
        </w:tc>
      </w:tr>
    </w:tbl>
    <w:p w14:paraId="5D9105E3" w14:textId="77777777" w:rsidR="00A111C7" w:rsidRPr="001509F6" w:rsidRDefault="00A111C7" w:rsidP="00E85E9A">
      <w:pPr>
        <w:rPr>
          <w:noProof/>
        </w:rPr>
      </w:pPr>
    </w:p>
    <w:p w14:paraId="18C98D8C" w14:textId="1EE3031B" w:rsidR="00904D0A" w:rsidRDefault="00C045DA" w:rsidP="000A2B1B">
      <w:pPr>
        <w:pStyle w:val="Heading2"/>
        <w:numPr>
          <w:ilvl w:val="0"/>
          <w:numId w:val="0"/>
        </w:numPr>
        <w:ind w:left="576" w:hanging="576"/>
      </w:pPr>
      <w:bookmarkStart w:id="1581" w:name="_Toc215506362"/>
      <w:bookmarkStart w:id="1582" w:name="_Toc222490070"/>
      <w:r>
        <w:t>Adjustment costs</w:t>
      </w:r>
      <w:bookmarkEnd w:id="1581"/>
      <w:bookmarkEnd w:id="1582"/>
    </w:p>
    <w:p w14:paraId="1FF76AE0" w14:textId="77777777" w:rsidR="00247A30" w:rsidRDefault="00247A30" w:rsidP="00247A30">
      <w:pPr>
        <w:rPr>
          <w:noProof/>
        </w:rPr>
      </w:pPr>
    </w:p>
    <w:p w14:paraId="74B7356D" w14:textId="77777777" w:rsidR="0015753C" w:rsidRPr="0097216F" w:rsidRDefault="0015753C" w:rsidP="0015753C">
      <w:pPr>
        <w:rPr>
          <w:noProof/>
          <w:u w:val="single"/>
        </w:rPr>
      </w:pPr>
      <w:r w:rsidRPr="00F261DB">
        <w:rPr>
          <w:noProof/>
          <w:szCs w:val="24"/>
        </w:rPr>
        <w:t xml:space="preserve">Assumptions taken for adjustment costs for the </w:t>
      </w:r>
      <w:r w:rsidRPr="00E85E9A">
        <w:rPr>
          <w:b/>
          <w:bCs/>
          <w:noProof/>
          <w:szCs w:val="24"/>
        </w:rPr>
        <w:t>a</w:t>
      </w:r>
      <w:r w:rsidRPr="00E85E9A">
        <w:rPr>
          <w:rFonts w:eastAsia="Times New Roman" w:cs="Times New Roman"/>
          <w:b/>
          <w:bCs/>
          <w:noProof/>
          <w:szCs w:val="24"/>
        </w:rPr>
        <w:t>utomotive sector</w:t>
      </w:r>
      <w:r w:rsidRPr="0097216F">
        <w:rPr>
          <w:rFonts w:eastAsia="Times New Roman" w:cs="Times New Roman"/>
          <w:noProof/>
          <w:szCs w:val="24"/>
        </w:rPr>
        <w:t>:</w:t>
      </w:r>
      <w:r w:rsidRPr="00E71388">
        <w:rPr>
          <w:noProof/>
          <w:u w:val="single"/>
        </w:rPr>
        <w:t xml:space="preserve"> </w:t>
      </w:r>
    </w:p>
    <w:p w14:paraId="33897E4D" w14:textId="77777777" w:rsidR="0015753C" w:rsidRDefault="0015753C" w:rsidP="0015753C">
      <w:pPr>
        <w:rPr>
          <w:noProof/>
          <w:szCs w:val="24"/>
        </w:rPr>
      </w:pPr>
    </w:p>
    <w:p w14:paraId="3CBF126F" w14:textId="5CEE6580" w:rsidR="0015753C" w:rsidRDefault="00CE18C4" w:rsidP="0015753C">
      <w:pPr>
        <w:rPr>
          <w:i/>
          <w:iCs/>
          <w:noProof/>
          <w:szCs w:val="24"/>
        </w:rPr>
      </w:pPr>
      <w:r>
        <w:rPr>
          <w:i/>
          <w:iCs/>
          <w:noProof/>
          <w:szCs w:val="24"/>
        </w:rPr>
        <w:t xml:space="preserve">LEAD_EII </w:t>
      </w:r>
      <w:r w:rsidR="0015753C" w:rsidRPr="00E71388">
        <w:rPr>
          <w:i/>
          <w:iCs/>
          <w:noProof/>
          <w:szCs w:val="24"/>
        </w:rPr>
        <w:t>Low-carbon provisions</w:t>
      </w:r>
      <w:r w:rsidR="00CA702E">
        <w:rPr>
          <w:i/>
          <w:iCs/>
          <w:noProof/>
          <w:szCs w:val="24"/>
        </w:rPr>
        <w:t xml:space="preserve"> (steel</w:t>
      </w:r>
      <w:r w:rsidR="0024723F">
        <w:rPr>
          <w:i/>
          <w:iCs/>
          <w:noProof/>
          <w:szCs w:val="24"/>
        </w:rPr>
        <w:t xml:space="preserve"> costs only</w:t>
      </w:r>
      <w:r w:rsidR="00CA702E">
        <w:rPr>
          <w:i/>
          <w:iCs/>
          <w:noProof/>
          <w:szCs w:val="24"/>
        </w:rPr>
        <w:t>)</w:t>
      </w:r>
      <w:r w:rsidR="0015753C" w:rsidRPr="00E71388">
        <w:rPr>
          <w:i/>
          <w:iCs/>
          <w:noProof/>
          <w:szCs w:val="24"/>
        </w:rPr>
        <w:t xml:space="preserve">: </w:t>
      </w:r>
    </w:p>
    <w:p w14:paraId="09330A96" w14:textId="77777777" w:rsidR="0015753C" w:rsidRPr="00E71388" w:rsidRDefault="0015753C" w:rsidP="0015753C">
      <w:pPr>
        <w:rPr>
          <w:i/>
          <w:iCs/>
          <w:noProof/>
          <w:szCs w:val="24"/>
        </w:rPr>
      </w:pPr>
    </w:p>
    <w:p w14:paraId="0629E34E" w14:textId="77777777" w:rsidR="0015753C" w:rsidRPr="00F261DB" w:rsidRDefault="0015753C" w:rsidP="0015753C">
      <w:pPr>
        <w:rPr>
          <w:noProof/>
          <w:szCs w:val="24"/>
        </w:rPr>
      </w:pPr>
      <w:r>
        <w:rPr>
          <w:noProof/>
          <w:szCs w:val="24"/>
        </w:rPr>
        <w:t xml:space="preserve">Price increase: </w:t>
      </w:r>
    </w:p>
    <w:p w14:paraId="1001CD67" w14:textId="6E7655D0" w:rsidR="0015753C" w:rsidRPr="00314F1C" w:rsidRDefault="27F90299" w:rsidP="0015753C">
      <w:pPr>
        <w:pStyle w:val="ListParagraph"/>
        <w:numPr>
          <w:ilvl w:val="0"/>
          <w:numId w:val="42"/>
        </w:numPr>
        <w:rPr>
          <w:rFonts w:eastAsia="Times New Roman" w:cs="Times New Roman"/>
          <w:noProof/>
          <w:color w:val="000000" w:themeColor="text1"/>
          <w:szCs w:val="24"/>
        </w:rPr>
      </w:pPr>
      <w:r w:rsidRPr="1A2A8689">
        <w:rPr>
          <w:rFonts w:eastAsia="Times New Roman" w:cs="Times New Roman"/>
          <w:noProof/>
          <w:color w:val="000000" w:themeColor="text1"/>
        </w:rPr>
        <w:t>The adjustment cost for a midsize passenger vehicle is estimated to range from 0.3% to 0.7% of the final price, with a 100% low-carbon steel depending on the decarbonisation pathway.</w:t>
      </w:r>
      <w:r w:rsidR="0015753C" w:rsidRPr="1A2A8689">
        <w:rPr>
          <w:rStyle w:val="FootnoteReference"/>
          <w:rFonts w:eastAsia="Times New Roman" w:cs="Times New Roman"/>
          <w:noProof/>
          <w:color w:val="000000" w:themeColor="text1"/>
        </w:rPr>
        <w:footnoteReference w:id="704"/>
      </w:r>
      <w:r w:rsidRPr="1A2A8689">
        <w:rPr>
          <w:rFonts w:eastAsia="Times New Roman" w:cs="Times New Roman"/>
          <w:noProof/>
          <w:color w:val="000000" w:themeColor="text1"/>
        </w:rPr>
        <w:t xml:space="preserve"> A 25% low</w:t>
      </w:r>
      <w:r w:rsidR="00F42FCE">
        <w:rPr>
          <w:rFonts w:eastAsia="Times New Roman" w:cs="Times New Roman"/>
          <w:noProof/>
          <w:color w:val="000000" w:themeColor="text1"/>
        </w:rPr>
        <w:t>-</w:t>
      </w:r>
      <w:r w:rsidRPr="1A2A8689">
        <w:rPr>
          <w:rFonts w:eastAsia="Times New Roman" w:cs="Times New Roman"/>
          <w:noProof/>
          <w:color w:val="000000" w:themeColor="text1"/>
        </w:rPr>
        <w:t xml:space="preserve">carbon steel target would see a price increase ranging from 0.075% to 0.175% (EUR 28 – 65 per passenger vehicle). </w:t>
      </w:r>
    </w:p>
    <w:p w14:paraId="3031A663" w14:textId="2A34BFE8" w:rsidR="0015753C" w:rsidRPr="00314F1C" w:rsidRDefault="27F90299" w:rsidP="0015753C">
      <w:pPr>
        <w:pStyle w:val="ListParagraph"/>
        <w:numPr>
          <w:ilvl w:val="0"/>
          <w:numId w:val="42"/>
        </w:numPr>
        <w:rPr>
          <w:noProof/>
          <w:color w:val="000000" w:themeColor="text1"/>
        </w:rPr>
      </w:pPr>
      <w:r w:rsidRPr="1A2A8689">
        <w:rPr>
          <w:rFonts w:eastAsia="Times New Roman" w:cs="Times New Roman"/>
          <w:noProof/>
          <w:color w:val="000000" w:themeColor="text1"/>
        </w:rPr>
        <w:t xml:space="preserve">Heavy duty vehicles will see a price increase </w:t>
      </w:r>
      <w:r w:rsidRPr="1A2A8689">
        <w:rPr>
          <w:noProof/>
          <w:color w:val="000000" w:themeColor="text1"/>
        </w:rPr>
        <w:t>calculated as EUR 25.89 increaser per ton</w:t>
      </w:r>
      <w:r w:rsidR="56C7F957" w:rsidRPr="3F0F1197">
        <w:rPr>
          <w:noProof/>
          <w:color w:val="000000" w:themeColor="text1"/>
        </w:rPr>
        <w:t>ne</w:t>
      </w:r>
      <w:r w:rsidRPr="1A2A8689">
        <w:rPr>
          <w:noProof/>
          <w:color w:val="000000" w:themeColor="text1"/>
        </w:rPr>
        <w:t xml:space="preserve"> of steel times 7.2 </w:t>
      </w:r>
      <w:r w:rsidR="0015753C" w:rsidRPr="00314F1C">
        <w:rPr>
          <w:rStyle w:val="FootnoteReference"/>
          <w:noProof/>
          <w:color w:val="000000" w:themeColor="text1"/>
        </w:rPr>
        <w:footnoteReference w:id="705"/>
      </w:r>
      <w:r w:rsidRPr="1A2A8689">
        <w:rPr>
          <w:noProof/>
          <w:color w:val="000000" w:themeColor="text1"/>
        </w:rPr>
        <w:t xml:space="preserve"> (amount of steel in tonnes present in a heavy weight vehicle).</w:t>
      </w:r>
    </w:p>
    <w:p w14:paraId="581A9B05" w14:textId="77777777" w:rsidR="0015753C" w:rsidRDefault="0015753C" w:rsidP="00247A30">
      <w:pPr>
        <w:rPr>
          <w:noProof/>
        </w:rPr>
      </w:pPr>
    </w:p>
    <w:p w14:paraId="0B46DF34" w14:textId="77777777" w:rsidR="00CD2BFF" w:rsidRPr="00CD2BFF" w:rsidRDefault="00CD2BFF" w:rsidP="00CD2BFF">
      <w:pPr>
        <w:rPr>
          <w:noProof/>
        </w:rPr>
      </w:pPr>
      <w:r w:rsidRPr="00CD2BFF">
        <w:rPr>
          <w:noProof/>
        </w:rPr>
        <w:t xml:space="preserve">Cost distribution: </w:t>
      </w:r>
    </w:p>
    <w:p w14:paraId="38ED97C5" w14:textId="638C301C" w:rsidR="00CD2BFF" w:rsidRPr="00CD2BFF" w:rsidRDefault="00CD2BFF" w:rsidP="00CD2BFF">
      <w:pPr>
        <w:numPr>
          <w:ilvl w:val="0"/>
          <w:numId w:val="199"/>
        </w:numPr>
        <w:rPr>
          <w:noProof/>
        </w:rPr>
      </w:pPr>
      <w:r w:rsidRPr="00CD2BFF">
        <w:rPr>
          <w:noProof/>
        </w:rPr>
        <w:t xml:space="preserve">The number of passenger cars and light commercial vehicles purchased in 2030 is projected to reach 12.8 million. This total is </w:t>
      </w:r>
      <w:r w:rsidR="0009576E" w:rsidRPr="00CD2BFF">
        <w:rPr>
          <w:noProof/>
        </w:rPr>
        <w:t>made of</w:t>
      </w:r>
      <w:r w:rsidRPr="00CD2BFF">
        <w:rPr>
          <w:noProof/>
        </w:rPr>
        <w:t xml:space="preserve"> 11 million passenger cars, plus 1.8 million light commercial vehicles. Additionally, heavy duty vehicles will reach 382 000. </w:t>
      </w:r>
      <w:r>
        <w:rPr>
          <w:rStyle w:val="FootnoteReference"/>
          <w:noProof/>
        </w:rPr>
        <w:footnoteReference w:id="706"/>
      </w:r>
    </w:p>
    <w:p w14:paraId="0DE43E28" w14:textId="035D9856" w:rsidR="00CD2BFF" w:rsidRPr="00CD2BFF" w:rsidRDefault="006538B7" w:rsidP="00CD2BFF">
      <w:pPr>
        <w:numPr>
          <w:ilvl w:val="0"/>
          <w:numId w:val="200"/>
        </w:numPr>
        <w:rPr>
          <w:noProof/>
        </w:rPr>
      </w:pPr>
      <w:r>
        <w:rPr>
          <w:noProof/>
        </w:rPr>
        <w:t xml:space="preserve">By 2030, </w:t>
      </w:r>
      <w:r w:rsidR="00CD2BFF" w:rsidRPr="00CD2BFF">
        <w:rPr>
          <w:noProof/>
        </w:rPr>
        <w:t>passenger vehicles</w:t>
      </w:r>
      <w:r>
        <w:rPr>
          <w:noProof/>
        </w:rPr>
        <w:t xml:space="preserve"> sales are expected to break down as follows:</w:t>
      </w:r>
      <w:r w:rsidR="00CD2BFF" w:rsidRPr="00CD2BFF">
        <w:rPr>
          <w:noProof/>
        </w:rPr>
        <w:t xml:space="preserve"> 60%</w:t>
      </w:r>
      <w:r w:rsidR="00D65B87">
        <w:rPr>
          <w:noProof/>
        </w:rPr>
        <w:t xml:space="preserve"> </w:t>
      </w:r>
      <w:r w:rsidR="00CD2BFF" w:rsidRPr="00CD2BFF">
        <w:rPr>
          <w:noProof/>
        </w:rPr>
        <w:t>corporate 36.5%</w:t>
      </w:r>
      <w:r w:rsidR="0009576E">
        <w:rPr>
          <w:noProof/>
        </w:rPr>
        <w:t xml:space="preserve"> </w:t>
      </w:r>
      <w:r w:rsidR="007C3F38">
        <w:rPr>
          <w:noProof/>
        </w:rPr>
        <w:t>private purchases</w:t>
      </w:r>
      <w:r w:rsidR="00462DC7">
        <w:rPr>
          <w:noProof/>
        </w:rPr>
        <w:t xml:space="preserve"> by citizens</w:t>
      </w:r>
      <w:r w:rsidR="00802F46">
        <w:rPr>
          <w:noProof/>
        </w:rPr>
        <w:t xml:space="preserve">, </w:t>
      </w:r>
      <w:r w:rsidR="007C3F38">
        <w:rPr>
          <w:noProof/>
        </w:rPr>
        <w:t>and</w:t>
      </w:r>
      <w:r w:rsidR="00802F46">
        <w:rPr>
          <w:noProof/>
        </w:rPr>
        <w:t xml:space="preserve"> 3.5% public procurement</w:t>
      </w:r>
      <w:r w:rsidR="00CD2BFF" w:rsidRPr="00CD2BFF">
        <w:rPr>
          <w:noProof/>
        </w:rPr>
        <w:t xml:space="preserve">. It is assumed that heavy-duty vehicles are procured only by businesses and Member States. Costs are therefore split between “impacts to downstream sectors” for corporate and “impacts on citizens” for private households throughout Section 6 and the breakdown of costs in the individual tables. The distribution of the different market segments is as follows: </w:t>
      </w:r>
    </w:p>
    <w:p w14:paraId="13F82586" w14:textId="77777777" w:rsidR="00CD2BFF" w:rsidRPr="00CD2BFF" w:rsidRDefault="00CD2BFF" w:rsidP="00CD2BFF">
      <w:pPr>
        <w:numPr>
          <w:ilvl w:val="1"/>
          <w:numId w:val="200"/>
        </w:numPr>
        <w:rPr>
          <w:noProof/>
        </w:rPr>
      </w:pPr>
      <w:r w:rsidRPr="00CD2BFF">
        <w:rPr>
          <w:noProof/>
        </w:rPr>
        <w:t>3.5% through public procurement</w:t>
      </w:r>
    </w:p>
    <w:p w14:paraId="31C43CAE" w14:textId="77777777" w:rsidR="00CD2BFF" w:rsidRPr="00CD2BFF" w:rsidRDefault="00CD2BFF" w:rsidP="00CD2BFF">
      <w:pPr>
        <w:numPr>
          <w:ilvl w:val="1"/>
          <w:numId w:val="200"/>
        </w:numPr>
        <w:rPr>
          <w:noProof/>
        </w:rPr>
      </w:pPr>
      <w:r w:rsidRPr="00CD2BFF">
        <w:rPr>
          <w:noProof/>
        </w:rPr>
        <w:t xml:space="preserve">70.1% through public support schemes </w:t>
      </w:r>
    </w:p>
    <w:p w14:paraId="50589F20" w14:textId="3D7306EA" w:rsidR="00CD2BFF" w:rsidRPr="00CD2BFF" w:rsidRDefault="00CD2BFF" w:rsidP="00CD2BFF">
      <w:pPr>
        <w:numPr>
          <w:ilvl w:val="1"/>
          <w:numId w:val="200"/>
        </w:numPr>
        <w:rPr>
          <w:noProof/>
        </w:rPr>
      </w:pPr>
      <w:r w:rsidRPr="00CD2BFF">
        <w:rPr>
          <w:noProof/>
        </w:rPr>
        <w:t xml:space="preserve">26.4% through private purchases. </w:t>
      </w:r>
    </w:p>
    <w:p w14:paraId="72DD6623" w14:textId="77777777" w:rsidR="00CD2BFF" w:rsidRPr="00CD2BFF" w:rsidRDefault="00CD2BFF" w:rsidP="00CD2BFF">
      <w:pPr>
        <w:numPr>
          <w:ilvl w:val="0"/>
          <w:numId w:val="199"/>
        </w:numPr>
        <w:rPr>
          <w:noProof/>
        </w:rPr>
      </w:pPr>
      <w:r w:rsidRPr="00CD2BFF">
        <w:rPr>
          <w:noProof/>
        </w:rPr>
        <w:t>In the context of this exercise’s cost distribution, it is assumed that the market share, including the split between corporate fleets and private purchases, as well as the share covered by public support schemes, remains unchanged for 2030</w:t>
      </w:r>
    </w:p>
    <w:p w14:paraId="32A452EA" w14:textId="77777777" w:rsidR="00CD2BFF" w:rsidRPr="00CD2BFF" w:rsidRDefault="00CD2BFF" w:rsidP="00CD2BFF">
      <w:pPr>
        <w:numPr>
          <w:ilvl w:val="0"/>
          <w:numId w:val="199"/>
        </w:numPr>
        <w:rPr>
          <w:noProof/>
        </w:rPr>
      </w:pPr>
      <w:r w:rsidRPr="00CD2BFF">
        <w:rPr>
          <w:noProof/>
        </w:rPr>
        <w:t xml:space="preserve">As the exact amount of subsidies that will potentially cover the green premium cannot be estimated in this analysis, nor the absorption of costs by the manufacturer’s, these figures represent a theoretical maximum cost. </w:t>
      </w:r>
    </w:p>
    <w:p w14:paraId="53A66533" w14:textId="6B8E06D9" w:rsidR="00247A30" w:rsidRPr="00D05C7C" w:rsidRDefault="00247A30" w:rsidP="5F7FCDD5">
      <w:pPr>
        <w:rPr>
          <w:noProof/>
        </w:rPr>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2762"/>
        <w:gridCol w:w="2297"/>
        <w:gridCol w:w="2421"/>
      </w:tblGrid>
      <w:tr w:rsidR="009E06DB" w:rsidRPr="000A2B1B" w14:paraId="21700C46" w14:textId="77777777" w:rsidTr="7ECD02B7">
        <w:trPr>
          <w:trHeight w:val="285"/>
          <w:tblHeader/>
        </w:trPr>
        <w:tc>
          <w:tcPr>
            <w:tcW w:w="1835" w:type="dxa"/>
            <w:tcBorders>
              <w:top w:val="single" w:sz="6" w:space="0" w:color="auto"/>
              <w:left w:val="single" w:sz="6" w:space="0" w:color="auto"/>
              <w:bottom w:val="single" w:sz="6" w:space="0" w:color="auto"/>
              <w:right w:val="single" w:sz="6" w:space="0" w:color="auto"/>
            </w:tcBorders>
            <w:hideMark/>
          </w:tcPr>
          <w:p w14:paraId="05788BD6" w14:textId="77777777" w:rsidR="009E06DB" w:rsidRPr="00504720" w:rsidRDefault="009E06DB">
            <w:pPr>
              <w:jc w:val="left"/>
              <w:textAlignment w:val="baseline"/>
              <w:rPr>
                <w:rFonts w:cs="Times New Roman"/>
                <w:i/>
                <w:noProof/>
                <w:sz w:val="22"/>
              </w:rPr>
            </w:pPr>
            <w:r w:rsidRPr="00504720">
              <w:rPr>
                <w:rFonts w:cs="Times New Roman"/>
                <w:b/>
                <w:i/>
                <w:noProof/>
                <w:sz w:val="22"/>
              </w:rPr>
              <w:t>LEAD_EII</w:t>
            </w:r>
          </w:p>
        </w:tc>
        <w:tc>
          <w:tcPr>
            <w:tcW w:w="7480" w:type="dxa"/>
            <w:gridSpan w:val="3"/>
            <w:tcBorders>
              <w:top w:val="single" w:sz="6" w:space="0" w:color="auto"/>
              <w:left w:val="single" w:sz="6" w:space="0" w:color="auto"/>
              <w:bottom w:val="single" w:sz="6" w:space="0" w:color="auto"/>
              <w:right w:val="single" w:sz="6" w:space="0" w:color="auto"/>
            </w:tcBorders>
            <w:hideMark/>
          </w:tcPr>
          <w:p w14:paraId="7C995573" w14:textId="77777777" w:rsidR="009E06DB" w:rsidRPr="00504720" w:rsidRDefault="009E06DB">
            <w:pPr>
              <w:jc w:val="left"/>
              <w:textAlignment w:val="baseline"/>
              <w:rPr>
                <w:rFonts w:cs="Times New Roman"/>
                <w:noProof/>
                <w:sz w:val="22"/>
              </w:rPr>
            </w:pPr>
            <w:r w:rsidRPr="00504720">
              <w:rPr>
                <w:rFonts w:cs="Times New Roman"/>
                <w:noProof/>
                <w:sz w:val="22"/>
              </w:rPr>
              <w:t>Difference to the baseline </w:t>
            </w:r>
          </w:p>
        </w:tc>
      </w:tr>
      <w:tr w:rsidR="009E06DB" w:rsidRPr="000A2B1B" w14:paraId="03F4D53E" w14:textId="77777777" w:rsidTr="7ECD02B7">
        <w:trPr>
          <w:trHeight w:val="285"/>
          <w:tblHeader/>
        </w:trPr>
        <w:tc>
          <w:tcPr>
            <w:tcW w:w="1835" w:type="dxa"/>
            <w:tcBorders>
              <w:top w:val="single" w:sz="6" w:space="0" w:color="auto"/>
              <w:left w:val="single" w:sz="6" w:space="0" w:color="auto"/>
              <w:bottom w:val="single" w:sz="6" w:space="0" w:color="auto"/>
              <w:right w:val="single" w:sz="6" w:space="0" w:color="auto"/>
            </w:tcBorders>
            <w:hideMark/>
          </w:tcPr>
          <w:p w14:paraId="629397B1" w14:textId="77777777" w:rsidR="009E06DB" w:rsidRPr="00504720" w:rsidRDefault="009E06DB">
            <w:pPr>
              <w:jc w:val="left"/>
              <w:textAlignment w:val="baseline"/>
              <w:rPr>
                <w:rFonts w:cs="Times New Roman"/>
                <w:noProof/>
                <w:sz w:val="22"/>
              </w:rPr>
            </w:pPr>
          </w:p>
        </w:tc>
        <w:tc>
          <w:tcPr>
            <w:tcW w:w="2762" w:type="dxa"/>
            <w:tcBorders>
              <w:top w:val="single" w:sz="6" w:space="0" w:color="auto"/>
              <w:left w:val="single" w:sz="6" w:space="0" w:color="auto"/>
              <w:bottom w:val="single" w:sz="6" w:space="0" w:color="auto"/>
              <w:right w:val="single" w:sz="4" w:space="0" w:color="auto"/>
            </w:tcBorders>
            <w:hideMark/>
          </w:tcPr>
          <w:p w14:paraId="532F5F54" w14:textId="77777777" w:rsidR="009E06DB" w:rsidRPr="00504720" w:rsidRDefault="009E06DB">
            <w:pPr>
              <w:jc w:val="left"/>
              <w:textAlignment w:val="baseline"/>
              <w:rPr>
                <w:rFonts w:cs="Times New Roman"/>
                <w:noProof/>
                <w:sz w:val="22"/>
              </w:rPr>
            </w:pPr>
            <w:r w:rsidRPr="00504720">
              <w:rPr>
                <w:rFonts w:cs="Times New Roman"/>
                <w:b/>
                <w:noProof/>
                <w:sz w:val="22"/>
              </w:rPr>
              <w:t>PO1</w:t>
            </w:r>
            <w:r w:rsidRPr="00504720">
              <w:rPr>
                <w:rFonts w:cs="Times New Roman"/>
                <w:noProof/>
                <w:sz w:val="22"/>
              </w:rPr>
              <w:t> </w:t>
            </w:r>
          </w:p>
        </w:tc>
        <w:tc>
          <w:tcPr>
            <w:tcW w:w="2297" w:type="dxa"/>
            <w:tcBorders>
              <w:top w:val="single" w:sz="4" w:space="0" w:color="auto"/>
              <w:left w:val="single" w:sz="4" w:space="0" w:color="auto"/>
              <w:bottom w:val="single" w:sz="4" w:space="0" w:color="auto"/>
              <w:right w:val="single" w:sz="6" w:space="0" w:color="auto"/>
            </w:tcBorders>
            <w:hideMark/>
          </w:tcPr>
          <w:p w14:paraId="5B690749" w14:textId="77777777" w:rsidR="009E06DB" w:rsidRPr="00504720" w:rsidRDefault="009E06DB">
            <w:pPr>
              <w:jc w:val="left"/>
              <w:textAlignment w:val="baseline"/>
              <w:rPr>
                <w:rFonts w:cs="Times New Roman"/>
                <w:noProof/>
                <w:sz w:val="22"/>
              </w:rPr>
            </w:pPr>
            <w:r w:rsidRPr="00504720">
              <w:rPr>
                <w:rFonts w:cs="Times New Roman"/>
                <w:b/>
                <w:noProof/>
                <w:sz w:val="22"/>
              </w:rPr>
              <w:t>PO2</w:t>
            </w:r>
            <w:r w:rsidRPr="00504720">
              <w:rPr>
                <w:rFonts w:cs="Times New Roman"/>
                <w:noProof/>
                <w:sz w:val="22"/>
              </w:rPr>
              <w:t> </w:t>
            </w:r>
          </w:p>
        </w:tc>
        <w:tc>
          <w:tcPr>
            <w:tcW w:w="2421" w:type="dxa"/>
            <w:tcBorders>
              <w:top w:val="single" w:sz="4" w:space="0" w:color="auto"/>
              <w:left w:val="single" w:sz="6" w:space="0" w:color="auto"/>
              <w:bottom w:val="single" w:sz="4" w:space="0" w:color="auto"/>
              <w:right w:val="single" w:sz="4" w:space="0" w:color="auto"/>
            </w:tcBorders>
            <w:hideMark/>
          </w:tcPr>
          <w:p w14:paraId="67495954" w14:textId="77777777" w:rsidR="009E06DB" w:rsidRPr="00504720" w:rsidRDefault="009E06DB">
            <w:pPr>
              <w:jc w:val="left"/>
              <w:textAlignment w:val="baseline"/>
              <w:rPr>
                <w:rFonts w:cs="Times New Roman"/>
                <w:noProof/>
                <w:sz w:val="22"/>
              </w:rPr>
            </w:pPr>
            <w:r w:rsidRPr="00504720">
              <w:rPr>
                <w:rFonts w:cs="Times New Roman"/>
                <w:b/>
                <w:noProof/>
                <w:sz w:val="22"/>
              </w:rPr>
              <w:t>PO3</w:t>
            </w:r>
            <w:r w:rsidRPr="00504720">
              <w:rPr>
                <w:rFonts w:cs="Times New Roman"/>
                <w:noProof/>
                <w:sz w:val="22"/>
              </w:rPr>
              <w:t> </w:t>
            </w:r>
          </w:p>
        </w:tc>
      </w:tr>
      <w:tr w:rsidR="009E06DB" w:rsidRPr="000A2B1B" w14:paraId="3C7B0110" w14:textId="77777777" w:rsidTr="7ECD02B7">
        <w:trPr>
          <w:trHeight w:val="285"/>
        </w:trPr>
        <w:tc>
          <w:tcPr>
            <w:tcW w:w="1835"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62A56A50" w14:textId="77777777" w:rsidR="009E06DB" w:rsidRPr="00504720" w:rsidRDefault="009E06DB">
            <w:pPr>
              <w:jc w:val="left"/>
              <w:textAlignment w:val="baseline"/>
              <w:rPr>
                <w:rFonts w:cs="Times New Roman"/>
                <w:noProof/>
                <w:sz w:val="22"/>
              </w:rPr>
            </w:pPr>
            <w:r w:rsidRPr="00504720">
              <w:rPr>
                <w:rFonts w:cs="Times New Roman"/>
                <w:noProof/>
                <w:color w:val="FFFFFF"/>
                <w:sz w:val="22"/>
              </w:rPr>
              <w:t>Member States administrations </w:t>
            </w:r>
          </w:p>
        </w:tc>
        <w:tc>
          <w:tcPr>
            <w:tcW w:w="2762"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7EEC6124" w14:textId="77777777" w:rsidR="009E06DB" w:rsidRPr="00504720" w:rsidRDefault="009E06DB">
            <w:pPr>
              <w:jc w:val="left"/>
              <w:textAlignment w:val="baseline"/>
              <w:rPr>
                <w:rFonts w:cs="Times New Roman"/>
                <w:noProof/>
                <w:sz w:val="22"/>
              </w:rPr>
            </w:pPr>
            <w:r w:rsidRPr="00504720">
              <w:rPr>
                <w:rFonts w:cs="Times New Roman"/>
                <w:noProof/>
                <w:color w:val="FFFFFF"/>
                <w:sz w:val="22"/>
              </w:rPr>
              <w:t xml:space="preserve"> </w:t>
            </w:r>
          </w:p>
        </w:tc>
        <w:tc>
          <w:tcPr>
            <w:tcW w:w="2297"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4D57995D" w14:textId="77777777" w:rsidR="009E06DB" w:rsidRPr="00504720" w:rsidRDefault="009E06DB">
            <w:pPr>
              <w:jc w:val="left"/>
              <w:textAlignment w:val="baseline"/>
              <w:rPr>
                <w:rFonts w:cs="Times New Roman"/>
                <w:noProof/>
                <w:sz w:val="22"/>
              </w:rPr>
            </w:pPr>
            <w:r w:rsidRPr="00504720">
              <w:rPr>
                <w:rFonts w:cs="Times New Roman"/>
                <w:noProof/>
                <w:color w:val="FFFFFF"/>
                <w:sz w:val="22"/>
              </w:rPr>
              <w:t xml:space="preserve"> </w:t>
            </w:r>
          </w:p>
        </w:tc>
        <w:tc>
          <w:tcPr>
            <w:tcW w:w="2421" w:type="dxa"/>
            <w:tcBorders>
              <w:top w:val="single" w:sz="4" w:space="0" w:color="auto"/>
              <w:left w:val="single" w:sz="6" w:space="0" w:color="auto"/>
              <w:bottom w:val="single" w:sz="6" w:space="0" w:color="auto"/>
              <w:right w:val="single" w:sz="6" w:space="0" w:color="auto"/>
            </w:tcBorders>
            <w:shd w:val="clear" w:color="auto" w:fill="215E99" w:themeFill="text2" w:themeFillTint="BF"/>
            <w:hideMark/>
          </w:tcPr>
          <w:p w14:paraId="34A36538" w14:textId="77777777" w:rsidR="009E06DB" w:rsidRPr="00504720" w:rsidRDefault="009E06DB">
            <w:pPr>
              <w:jc w:val="left"/>
              <w:textAlignment w:val="baseline"/>
              <w:rPr>
                <w:rFonts w:cs="Times New Roman"/>
                <w:noProof/>
                <w:sz w:val="22"/>
              </w:rPr>
            </w:pPr>
            <w:r w:rsidRPr="00504720">
              <w:rPr>
                <w:rFonts w:cs="Times New Roman"/>
                <w:noProof/>
                <w:color w:val="FFFFFF"/>
                <w:sz w:val="22"/>
              </w:rPr>
              <w:t xml:space="preserve"> </w:t>
            </w:r>
          </w:p>
        </w:tc>
      </w:tr>
      <w:tr w:rsidR="009E06DB" w:rsidRPr="000D52BF" w14:paraId="58938022" w14:textId="77777777" w:rsidTr="7ECD02B7">
        <w:trPr>
          <w:trHeight w:val="285"/>
        </w:trPr>
        <w:tc>
          <w:tcPr>
            <w:tcW w:w="1835" w:type="dxa"/>
            <w:tcBorders>
              <w:top w:val="single" w:sz="6" w:space="0" w:color="auto"/>
              <w:left w:val="single" w:sz="6" w:space="0" w:color="auto"/>
              <w:bottom w:val="single" w:sz="6" w:space="0" w:color="auto"/>
              <w:right w:val="single" w:sz="6" w:space="0" w:color="auto"/>
            </w:tcBorders>
            <w:hideMark/>
          </w:tcPr>
          <w:p w14:paraId="688A5EE0" w14:textId="77777777" w:rsidR="009E06DB" w:rsidRPr="00504720" w:rsidRDefault="4BEE05EE" w:rsidP="7ECD02B7">
            <w:pPr>
              <w:jc w:val="left"/>
              <w:textAlignment w:val="baseline"/>
              <w:rPr>
                <w:rFonts w:cs="Times New Roman"/>
                <w:noProof/>
                <w:sz w:val="22"/>
              </w:rPr>
            </w:pPr>
            <w:r w:rsidRPr="7ECD02B7">
              <w:rPr>
                <w:rFonts w:cs="Times New Roman"/>
                <w:noProof/>
                <w:sz w:val="22"/>
              </w:rPr>
              <w:t>Adjustment costs (recurring) </w:t>
            </w:r>
          </w:p>
        </w:tc>
        <w:tc>
          <w:tcPr>
            <w:tcW w:w="2762" w:type="dxa"/>
            <w:tcBorders>
              <w:top w:val="single" w:sz="6" w:space="0" w:color="auto"/>
              <w:left w:val="single" w:sz="6" w:space="0" w:color="auto"/>
              <w:bottom w:val="single" w:sz="6" w:space="0" w:color="auto"/>
              <w:right w:val="single" w:sz="6" w:space="0" w:color="auto"/>
            </w:tcBorders>
            <w:hideMark/>
          </w:tcPr>
          <w:p w14:paraId="0837A3AB" w14:textId="6D734E3B" w:rsidR="009E06DB" w:rsidRPr="0033490D" w:rsidRDefault="009E06DB">
            <w:pPr>
              <w:jc w:val="left"/>
              <w:textAlignment w:val="baseline"/>
              <w:rPr>
                <w:rFonts w:eastAsia="Times New Roman" w:cs="Times New Roman"/>
                <w:noProof/>
                <w:sz w:val="22"/>
                <w:lang w:val="fr-BE" w:eastAsia="en-IE"/>
              </w:rPr>
            </w:pPr>
            <w:r w:rsidRPr="0036649F">
              <w:rPr>
                <w:rFonts w:eastAsia="Times New Roman" w:cs="Times New Roman"/>
                <w:noProof/>
                <w:sz w:val="22"/>
                <w:lang w:val="fr-BE" w:eastAsia="en-IE"/>
              </w:rPr>
              <w:t> </w:t>
            </w:r>
          </w:p>
          <w:p w14:paraId="74725632" w14:textId="32A70E65" w:rsidR="009E06DB" w:rsidRPr="00E249AC" w:rsidRDefault="009E06DB">
            <w:pPr>
              <w:jc w:val="left"/>
              <w:textAlignment w:val="baseline"/>
              <w:rPr>
                <w:rFonts w:eastAsia="Times New Roman" w:cs="Times New Roman"/>
                <w:i/>
                <w:noProof/>
                <w:color w:val="FF0000"/>
                <w:sz w:val="22"/>
                <w:lang w:eastAsia="en-IE"/>
              </w:rPr>
            </w:pPr>
            <w:r w:rsidRPr="00E249AC">
              <w:rPr>
                <w:rFonts w:eastAsia="Times New Roman" w:cs="Times New Roman"/>
                <w:i/>
                <w:noProof/>
                <w:color w:val="FF0000"/>
                <w:sz w:val="22"/>
                <w:lang w:eastAsia="en-IE"/>
              </w:rPr>
              <w:t xml:space="preserve">Sensitivity analysis: </w:t>
            </w:r>
          </w:p>
          <w:p w14:paraId="599592CA" w14:textId="77777777" w:rsidR="009E06DB" w:rsidRPr="00E249AC" w:rsidRDefault="41D87D70">
            <w:pPr>
              <w:jc w:val="left"/>
              <w:textAlignment w:val="baseline"/>
              <w:rPr>
                <w:rFonts w:eastAsia="Times New Roman" w:cs="Times New Roman"/>
                <w:i/>
                <w:noProof/>
                <w:color w:val="FF0000"/>
                <w:sz w:val="22"/>
                <w:lang w:eastAsia="en-IE"/>
              </w:rPr>
            </w:pPr>
            <w:r w:rsidRPr="00E249AC">
              <w:rPr>
                <w:rFonts w:eastAsia="Times New Roman" w:cs="Times New Roman"/>
                <w:i/>
                <w:noProof/>
                <w:color w:val="FF0000"/>
                <w:sz w:val="22"/>
                <w:lang w:eastAsia="en-IE"/>
              </w:rPr>
              <w:t>Vehicle fleet EUR 14.04 million – EUR 32.59 million</w:t>
            </w:r>
            <w:r w:rsidR="009E06DB" w:rsidRPr="3F0F1197">
              <w:rPr>
                <w:rStyle w:val="FootnoteReference"/>
                <w:rFonts w:eastAsia="Times New Roman"/>
                <w:i/>
                <w:iCs/>
                <w:noProof/>
                <w:color w:val="FF0000"/>
                <w:sz w:val="22"/>
                <w:lang w:eastAsia="en-IE"/>
              </w:rPr>
              <w:footnoteReference w:id="707"/>
            </w:r>
          </w:p>
          <w:p w14:paraId="5A2D3FED" w14:textId="77777777" w:rsidR="009E06DB" w:rsidRPr="00E249AC" w:rsidRDefault="009E06DB">
            <w:pPr>
              <w:jc w:val="left"/>
              <w:textAlignment w:val="baseline"/>
              <w:rPr>
                <w:rFonts w:cs="Times New Roman"/>
                <w:noProof/>
                <w:sz w:val="22"/>
              </w:rPr>
            </w:pPr>
          </w:p>
          <w:p w14:paraId="5E97547F" w14:textId="77777777" w:rsidR="009E06DB" w:rsidRPr="00E249AC" w:rsidRDefault="009E06DB">
            <w:pPr>
              <w:jc w:val="left"/>
              <w:textAlignment w:val="baseline"/>
              <w:rPr>
                <w:rFonts w:cs="Times New Roman"/>
                <w:noProof/>
                <w:sz w:val="22"/>
              </w:rPr>
            </w:pPr>
          </w:p>
        </w:tc>
        <w:tc>
          <w:tcPr>
            <w:tcW w:w="2297" w:type="dxa"/>
            <w:tcBorders>
              <w:top w:val="single" w:sz="6" w:space="0" w:color="auto"/>
              <w:left w:val="single" w:sz="6" w:space="0" w:color="auto"/>
              <w:bottom w:val="single" w:sz="6" w:space="0" w:color="auto"/>
              <w:right w:val="single" w:sz="6" w:space="0" w:color="auto"/>
            </w:tcBorders>
            <w:hideMark/>
          </w:tcPr>
          <w:p w14:paraId="2FEC8D5B" w14:textId="3D9BC298" w:rsidR="009E06DB" w:rsidRPr="0036649F" w:rsidRDefault="009E06DB">
            <w:pPr>
              <w:jc w:val="left"/>
              <w:textAlignment w:val="baseline"/>
              <w:rPr>
                <w:rFonts w:eastAsia="Times New Roman" w:cs="Times New Roman"/>
                <w:noProof/>
                <w:sz w:val="22"/>
                <w:lang w:val="fr-BE" w:eastAsia="en-IE"/>
              </w:rPr>
            </w:pPr>
            <w:r w:rsidRPr="0036649F">
              <w:rPr>
                <w:rFonts w:eastAsia="Times New Roman" w:cs="Times New Roman"/>
                <w:noProof/>
                <w:sz w:val="22"/>
                <w:lang w:val="fr-BE" w:eastAsia="en-IE"/>
              </w:rPr>
              <w:t> </w:t>
            </w:r>
          </w:p>
          <w:p w14:paraId="20F7A591" w14:textId="2411ECAC" w:rsidR="009E06DB" w:rsidRPr="00E249AC" w:rsidRDefault="009E06DB">
            <w:pPr>
              <w:jc w:val="left"/>
              <w:textAlignment w:val="baseline"/>
              <w:rPr>
                <w:rFonts w:eastAsia="Times New Roman" w:cs="Times New Roman"/>
                <w:i/>
                <w:noProof/>
                <w:color w:val="FF0000"/>
                <w:sz w:val="22"/>
                <w:lang w:eastAsia="en-IE"/>
              </w:rPr>
            </w:pPr>
            <w:r w:rsidRPr="00E249AC">
              <w:rPr>
                <w:rFonts w:eastAsia="Times New Roman" w:cs="Times New Roman"/>
                <w:i/>
                <w:noProof/>
                <w:color w:val="FF0000"/>
                <w:sz w:val="22"/>
                <w:lang w:eastAsia="en-IE"/>
              </w:rPr>
              <w:t xml:space="preserve">Sensitivity </w:t>
            </w:r>
            <w:r w:rsidR="008B4E07" w:rsidRPr="00E249AC">
              <w:rPr>
                <w:rFonts w:eastAsia="Times New Roman" w:cs="Times New Roman"/>
                <w:i/>
                <w:noProof/>
                <w:color w:val="FF0000"/>
                <w:sz w:val="22"/>
                <w:lang w:eastAsia="en-IE"/>
              </w:rPr>
              <w:t>analysis:</w:t>
            </w:r>
            <w:r w:rsidRPr="00E249AC">
              <w:rPr>
                <w:rFonts w:eastAsia="Times New Roman" w:cs="Times New Roman"/>
                <w:i/>
                <w:noProof/>
                <w:color w:val="FF0000"/>
                <w:sz w:val="22"/>
                <w:lang w:eastAsia="en-IE"/>
              </w:rPr>
              <w:t xml:space="preserve"> </w:t>
            </w:r>
          </w:p>
          <w:p w14:paraId="6641004B" w14:textId="492951F0" w:rsidR="009E06DB" w:rsidRPr="007F7094" w:rsidRDefault="41D87D70">
            <w:pPr>
              <w:jc w:val="left"/>
              <w:textAlignment w:val="baseline"/>
              <w:rPr>
                <w:rFonts w:eastAsia="Times New Roman" w:cs="Times New Roman"/>
                <w:i/>
                <w:noProof/>
                <w:color w:val="FF0000"/>
                <w:sz w:val="22"/>
                <w:lang w:eastAsia="en-IE"/>
              </w:rPr>
            </w:pPr>
            <w:r w:rsidRPr="00E249AC">
              <w:rPr>
                <w:rFonts w:eastAsia="Times New Roman" w:cs="Times New Roman"/>
                <w:i/>
                <w:noProof/>
                <w:color w:val="FF0000"/>
                <w:sz w:val="22"/>
                <w:lang w:eastAsia="en-IE"/>
              </w:rPr>
              <w:t>Vehicle fleet EUR 14.04 million – EUR 32.59 million</w:t>
            </w:r>
            <w:r w:rsidR="009E06DB" w:rsidRPr="3F0F1197">
              <w:rPr>
                <w:rStyle w:val="FootnoteReference"/>
                <w:rFonts w:eastAsia="Times New Roman"/>
                <w:i/>
                <w:iCs/>
                <w:noProof/>
                <w:color w:val="FF0000"/>
                <w:sz w:val="22"/>
                <w:lang w:eastAsia="en-IE"/>
              </w:rPr>
              <w:footnoteReference w:id="708"/>
            </w:r>
          </w:p>
          <w:p w14:paraId="2D834955" w14:textId="77777777" w:rsidR="009E06DB" w:rsidRPr="00E249AC" w:rsidRDefault="009E06DB">
            <w:pPr>
              <w:jc w:val="left"/>
              <w:textAlignment w:val="baseline"/>
              <w:rPr>
                <w:rFonts w:eastAsia="Times New Roman" w:cs="Times New Roman"/>
                <w:noProof/>
                <w:sz w:val="22"/>
                <w:lang w:eastAsia="en-IE"/>
              </w:rPr>
            </w:pPr>
          </w:p>
        </w:tc>
        <w:tc>
          <w:tcPr>
            <w:tcW w:w="2421" w:type="dxa"/>
            <w:tcBorders>
              <w:top w:val="single" w:sz="6" w:space="0" w:color="auto"/>
              <w:left w:val="single" w:sz="6" w:space="0" w:color="auto"/>
              <w:bottom w:val="single" w:sz="6" w:space="0" w:color="auto"/>
              <w:right w:val="single" w:sz="6" w:space="0" w:color="auto"/>
            </w:tcBorders>
            <w:hideMark/>
          </w:tcPr>
          <w:p w14:paraId="45489657" w14:textId="4F254EAA" w:rsidR="009E06DB" w:rsidRPr="0036649F" w:rsidRDefault="009E06DB">
            <w:pPr>
              <w:jc w:val="left"/>
              <w:textAlignment w:val="baseline"/>
              <w:rPr>
                <w:rFonts w:eastAsia="Times New Roman" w:cs="Times New Roman"/>
                <w:i/>
                <w:noProof/>
                <w:sz w:val="22"/>
                <w:lang w:val="fr-BE" w:eastAsia="en-IE"/>
              </w:rPr>
            </w:pPr>
            <w:r w:rsidRPr="0036649F">
              <w:rPr>
                <w:rFonts w:eastAsia="Times New Roman" w:cs="Times New Roman"/>
                <w:i/>
                <w:noProof/>
                <w:sz w:val="22"/>
                <w:lang w:val="fr-BE" w:eastAsia="en-IE"/>
              </w:rPr>
              <w:t> </w:t>
            </w:r>
          </w:p>
          <w:p w14:paraId="0CBC6CD7" w14:textId="526C8DA3" w:rsidR="009E06DB" w:rsidRPr="00E249AC" w:rsidRDefault="009E06DB">
            <w:pPr>
              <w:jc w:val="left"/>
              <w:textAlignment w:val="baseline"/>
              <w:rPr>
                <w:rFonts w:eastAsia="Times New Roman" w:cs="Times New Roman"/>
                <w:i/>
                <w:noProof/>
                <w:color w:val="FF0000"/>
                <w:sz w:val="22"/>
                <w:lang w:eastAsia="en-IE"/>
              </w:rPr>
            </w:pPr>
            <w:r w:rsidRPr="00E249AC">
              <w:rPr>
                <w:rFonts w:eastAsia="Times New Roman" w:cs="Times New Roman"/>
                <w:i/>
                <w:noProof/>
                <w:color w:val="FF0000"/>
                <w:sz w:val="22"/>
                <w:lang w:eastAsia="en-IE"/>
              </w:rPr>
              <w:t xml:space="preserve">Sensitivity </w:t>
            </w:r>
            <w:r w:rsidR="008B4E07" w:rsidRPr="00E249AC">
              <w:rPr>
                <w:rFonts w:eastAsia="Times New Roman" w:cs="Times New Roman"/>
                <w:i/>
                <w:noProof/>
                <w:color w:val="FF0000"/>
                <w:sz w:val="22"/>
                <w:lang w:eastAsia="en-IE"/>
              </w:rPr>
              <w:t>analysis:</w:t>
            </w:r>
            <w:r w:rsidRPr="00E249AC">
              <w:rPr>
                <w:rFonts w:eastAsia="Times New Roman" w:cs="Times New Roman"/>
                <w:i/>
                <w:noProof/>
                <w:color w:val="FF0000"/>
                <w:sz w:val="22"/>
                <w:lang w:eastAsia="en-IE"/>
              </w:rPr>
              <w:t xml:space="preserve"> </w:t>
            </w:r>
          </w:p>
          <w:p w14:paraId="54FD910F" w14:textId="3A0B9F10" w:rsidR="009E06DB" w:rsidRPr="007F7094" w:rsidRDefault="41D87D70">
            <w:pPr>
              <w:jc w:val="left"/>
              <w:textAlignment w:val="baseline"/>
              <w:rPr>
                <w:rFonts w:eastAsia="Times New Roman" w:cs="Times New Roman"/>
                <w:i/>
                <w:noProof/>
                <w:color w:val="FF0000"/>
                <w:sz w:val="22"/>
                <w:lang w:val="fr-BE" w:eastAsia="en-IE"/>
              </w:rPr>
            </w:pPr>
            <w:r w:rsidRPr="00533854">
              <w:rPr>
                <w:rFonts w:eastAsia="Times New Roman" w:cs="Times New Roman"/>
                <w:i/>
                <w:noProof/>
                <w:color w:val="FF0000"/>
                <w:sz w:val="22"/>
                <w:lang w:val="fr-BE" w:eastAsia="en-IE"/>
              </w:rPr>
              <w:t>Vehicle fleet EUR 14.04 million – EUR 32.59 million</w:t>
            </w:r>
            <w:r w:rsidR="009E06DB" w:rsidRPr="3F0F1197">
              <w:rPr>
                <w:rStyle w:val="FootnoteReference"/>
                <w:rFonts w:eastAsia="Times New Roman"/>
                <w:i/>
                <w:iCs/>
                <w:noProof/>
                <w:color w:val="FF0000"/>
                <w:sz w:val="22"/>
                <w:lang w:eastAsia="en-IE"/>
              </w:rPr>
              <w:footnoteReference w:id="709"/>
            </w:r>
          </w:p>
          <w:p w14:paraId="1C67E39B" w14:textId="77777777" w:rsidR="009E06DB" w:rsidRPr="000D52BF" w:rsidRDefault="009E06DB">
            <w:pPr>
              <w:jc w:val="left"/>
              <w:textAlignment w:val="baseline"/>
              <w:rPr>
                <w:rFonts w:cs="Times New Roman"/>
                <w:noProof/>
                <w:sz w:val="22"/>
                <w:lang w:val="fr-BE"/>
              </w:rPr>
            </w:pPr>
          </w:p>
        </w:tc>
      </w:tr>
      <w:tr w:rsidR="009E06DB" w:rsidRPr="000A2B1B" w14:paraId="5F3F43F0" w14:textId="77777777" w:rsidTr="7ECD02B7">
        <w:trPr>
          <w:trHeight w:val="285"/>
        </w:trPr>
        <w:tc>
          <w:tcPr>
            <w:tcW w:w="1835"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2DA7757D" w14:textId="77777777" w:rsidR="009E06DB" w:rsidRPr="00504720" w:rsidRDefault="009E06DB">
            <w:pPr>
              <w:jc w:val="left"/>
              <w:textAlignment w:val="baseline"/>
              <w:rPr>
                <w:rFonts w:cs="Times New Roman"/>
                <w:noProof/>
                <w:sz w:val="22"/>
              </w:rPr>
            </w:pPr>
            <w:r w:rsidRPr="00504720">
              <w:rPr>
                <w:rFonts w:cs="Times New Roman"/>
                <w:noProof/>
                <w:color w:val="FFFFFF"/>
                <w:sz w:val="22"/>
              </w:rPr>
              <w:t>Citizens/Consumer </w:t>
            </w:r>
          </w:p>
        </w:tc>
        <w:tc>
          <w:tcPr>
            <w:tcW w:w="2762"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0C530DC9" w14:textId="77777777" w:rsidR="009E06DB" w:rsidRPr="00504720" w:rsidRDefault="009E06DB">
            <w:pPr>
              <w:jc w:val="left"/>
              <w:textAlignment w:val="baseline"/>
              <w:rPr>
                <w:rFonts w:cs="Times New Roman"/>
                <w:noProof/>
                <w:sz w:val="22"/>
              </w:rPr>
            </w:pPr>
            <w:r w:rsidRPr="00504720">
              <w:rPr>
                <w:rFonts w:cs="Times New Roman"/>
                <w:noProof/>
                <w:sz w:val="22"/>
              </w:rPr>
              <w:t xml:space="preserve"> </w:t>
            </w:r>
          </w:p>
        </w:tc>
        <w:tc>
          <w:tcPr>
            <w:tcW w:w="2297"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69449589" w14:textId="77777777" w:rsidR="009E06DB" w:rsidRPr="00504720" w:rsidRDefault="009E06DB">
            <w:pPr>
              <w:jc w:val="left"/>
              <w:textAlignment w:val="baseline"/>
              <w:rPr>
                <w:rFonts w:cs="Times New Roman"/>
                <w:noProof/>
                <w:sz w:val="22"/>
              </w:rPr>
            </w:pPr>
            <w:r w:rsidRPr="00504720">
              <w:rPr>
                <w:rFonts w:cs="Times New Roman"/>
                <w:noProof/>
                <w:sz w:val="22"/>
              </w:rPr>
              <w:t xml:space="preserve"> </w:t>
            </w:r>
          </w:p>
        </w:tc>
        <w:tc>
          <w:tcPr>
            <w:tcW w:w="2421"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0729877C" w14:textId="77777777" w:rsidR="009E06DB" w:rsidRPr="00504720" w:rsidRDefault="009E06DB">
            <w:pPr>
              <w:jc w:val="left"/>
              <w:textAlignment w:val="baseline"/>
              <w:rPr>
                <w:rFonts w:cs="Times New Roman"/>
                <w:noProof/>
                <w:sz w:val="22"/>
              </w:rPr>
            </w:pPr>
            <w:r w:rsidRPr="00504720">
              <w:rPr>
                <w:rFonts w:cs="Times New Roman"/>
                <w:noProof/>
                <w:sz w:val="22"/>
              </w:rPr>
              <w:t xml:space="preserve"> </w:t>
            </w:r>
          </w:p>
        </w:tc>
      </w:tr>
      <w:tr w:rsidR="009E06DB" w:rsidRPr="000A2B1B" w14:paraId="3F6195D7" w14:textId="77777777" w:rsidTr="7ECD02B7">
        <w:trPr>
          <w:trHeight w:val="285"/>
        </w:trPr>
        <w:tc>
          <w:tcPr>
            <w:tcW w:w="1835" w:type="dxa"/>
            <w:tcBorders>
              <w:top w:val="single" w:sz="6" w:space="0" w:color="auto"/>
              <w:left w:val="single" w:sz="6" w:space="0" w:color="auto"/>
              <w:bottom w:val="single" w:sz="6" w:space="0" w:color="auto"/>
              <w:right w:val="single" w:sz="6" w:space="0" w:color="auto"/>
            </w:tcBorders>
            <w:hideMark/>
          </w:tcPr>
          <w:p w14:paraId="191E2841" w14:textId="77777777" w:rsidR="009E06DB" w:rsidRPr="00504720" w:rsidRDefault="4BEE05EE" w:rsidP="7ECD02B7">
            <w:pPr>
              <w:jc w:val="left"/>
              <w:textAlignment w:val="baseline"/>
              <w:rPr>
                <w:rFonts w:cs="Times New Roman"/>
                <w:noProof/>
                <w:sz w:val="22"/>
              </w:rPr>
            </w:pPr>
            <w:r w:rsidRPr="7ECD02B7">
              <w:rPr>
                <w:rFonts w:cs="Times New Roman"/>
                <w:noProof/>
                <w:sz w:val="22"/>
              </w:rPr>
              <w:t>Adjustment costs ((recurring) </w:t>
            </w:r>
          </w:p>
        </w:tc>
        <w:tc>
          <w:tcPr>
            <w:tcW w:w="2762" w:type="dxa"/>
            <w:tcBorders>
              <w:top w:val="single" w:sz="6" w:space="0" w:color="auto"/>
              <w:left w:val="single" w:sz="6" w:space="0" w:color="auto"/>
              <w:bottom w:val="single" w:sz="6" w:space="0" w:color="auto"/>
              <w:right w:val="single" w:sz="6" w:space="0" w:color="auto"/>
            </w:tcBorders>
            <w:hideMark/>
          </w:tcPr>
          <w:p w14:paraId="1F1311A7" w14:textId="77777777" w:rsidR="0044024A" w:rsidRPr="0033490D" w:rsidRDefault="0044024A">
            <w:pPr>
              <w:jc w:val="left"/>
              <w:textAlignment w:val="baseline"/>
              <w:rPr>
                <w:rFonts w:eastAsia="Times New Roman" w:cs="Times New Roman"/>
                <w:noProof/>
                <w:color w:val="FF0000"/>
                <w:sz w:val="22"/>
                <w:lang w:val="fr-BE" w:eastAsia="en-IE"/>
              </w:rPr>
            </w:pPr>
          </w:p>
          <w:p w14:paraId="0A73A3DD" w14:textId="77777777" w:rsidR="0044024A" w:rsidRPr="0033490D" w:rsidRDefault="0044024A" w:rsidP="0044024A">
            <w:pPr>
              <w:jc w:val="left"/>
              <w:textAlignment w:val="baseline"/>
              <w:rPr>
                <w:rFonts w:cs="Times New Roman"/>
                <w:noProof/>
                <w:color w:val="FF0000"/>
                <w:sz w:val="22"/>
              </w:rPr>
            </w:pPr>
            <w:r w:rsidRPr="0033490D">
              <w:rPr>
                <w:rFonts w:eastAsia="Times New Roman" w:cs="Times New Roman"/>
                <w:i/>
                <w:noProof/>
                <w:color w:val="FF0000"/>
                <w:sz w:val="22"/>
                <w:lang w:eastAsia="en-IE"/>
              </w:rPr>
              <w:t xml:space="preserve">Sensitivity analysis : </w:t>
            </w:r>
            <w:r w:rsidRPr="0033490D">
              <w:rPr>
                <w:rFonts w:eastAsia="Times New Roman" w:cs="Times New Roman"/>
                <w:noProof/>
                <w:color w:val="FF0000"/>
                <w:sz w:val="22"/>
                <w:lang w:eastAsia="en-IE"/>
              </w:rPr>
              <w:t xml:space="preserve">Passenger cars: </w:t>
            </w:r>
            <w:r w:rsidRPr="0033490D">
              <w:rPr>
                <w:rFonts w:eastAsia="Times New Roman" w:cs="Times New Roman"/>
                <w:i/>
                <w:noProof/>
                <w:color w:val="FF0000"/>
                <w:sz w:val="22"/>
                <w:lang w:eastAsia="en-IE"/>
              </w:rPr>
              <w:t>EUR 91.7 million – EUR 212.87 million</w:t>
            </w:r>
          </w:p>
          <w:p w14:paraId="18A0F035" w14:textId="7F9A443E" w:rsidR="009E06DB" w:rsidRPr="00E249AC" w:rsidRDefault="009E06DB">
            <w:pPr>
              <w:jc w:val="left"/>
              <w:textAlignment w:val="baseline"/>
              <w:rPr>
                <w:rFonts w:cs="Times New Roman"/>
                <w:noProof/>
                <w:sz w:val="22"/>
              </w:rPr>
            </w:pPr>
          </w:p>
        </w:tc>
        <w:tc>
          <w:tcPr>
            <w:tcW w:w="2297" w:type="dxa"/>
            <w:tcBorders>
              <w:top w:val="single" w:sz="6" w:space="0" w:color="auto"/>
              <w:left w:val="single" w:sz="6" w:space="0" w:color="auto"/>
              <w:bottom w:val="single" w:sz="6" w:space="0" w:color="auto"/>
              <w:right w:val="single" w:sz="6" w:space="0" w:color="auto"/>
            </w:tcBorders>
            <w:hideMark/>
          </w:tcPr>
          <w:p w14:paraId="11BF4D65" w14:textId="33640EAC" w:rsidR="009E06DB" w:rsidRPr="0036649F" w:rsidRDefault="009E06DB">
            <w:pPr>
              <w:jc w:val="left"/>
              <w:textAlignment w:val="baseline"/>
              <w:rPr>
                <w:rFonts w:eastAsia="Times New Roman" w:cs="Times New Roman"/>
                <w:noProof/>
                <w:sz w:val="22"/>
                <w:lang w:val="fr-BE" w:eastAsia="en-IE"/>
              </w:rPr>
            </w:pPr>
            <w:r w:rsidRPr="0036649F">
              <w:rPr>
                <w:rFonts w:eastAsia="Times New Roman" w:cs="Times New Roman"/>
                <w:noProof/>
                <w:sz w:val="22"/>
                <w:lang w:val="fr-BE" w:eastAsia="en-IE"/>
              </w:rPr>
              <w:t> </w:t>
            </w:r>
          </w:p>
          <w:p w14:paraId="7308CF9D" w14:textId="2886A6D6" w:rsidR="009E06DB" w:rsidRPr="007F7094" w:rsidRDefault="00B11BA5">
            <w:pPr>
              <w:jc w:val="left"/>
              <w:textAlignment w:val="baseline"/>
              <w:rPr>
                <w:rFonts w:cs="Times New Roman"/>
                <w:noProof/>
                <w:color w:val="FF0000"/>
                <w:sz w:val="22"/>
              </w:rPr>
            </w:pPr>
            <w:r w:rsidRPr="002A5B0C">
              <w:rPr>
                <w:rFonts w:eastAsia="Times New Roman" w:cs="Times New Roman"/>
                <w:i/>
                <w:noProof/>
                <w:color w:val="FF0000"/>
                <w:sz w:val="22"/>
                <w:lang w:eastAsia="en-IE"/>
              </w:rPr>
              <w:t xml:space="preserve">Sensitivity analysis : </w:t>
            </w:r>
            <w:r w:rsidRPr="0033490D">
              <w:rPr>
                <w:rFonts w:eastAsia="Times New Roman" w:cs="Times New Roman"/>
                <w:noProof/>
                <w:color w:val="FF0000"/>
                <w:sz w:val="22"/>
                <w:lang w:eastAsia="en-IE"/>
              </w:rPr>
              <w:t xml:space="preserve">Passenger cars: </w:t>
            </w:r>
            <w:r w:rsidRPr="002A5B0C">
              <w:rPr>
                <w:rFonts w:eastAsia="Times New Roman" w:cs="Times New Roman"/>
                <w:i/>
                <w:noProof/>
                <w:color w:val="FF0000"/>
                <w:sz w:val="22"/>
                <w:lang w:eastAsia="en-IE"/>
              </w:rPr>
              <w:t>EUR 91.7 million – EUR 212.87 million</w:t>
            </w:r>
          </w:p>
          <w:p w14:paraId="0281B942" w14:textId="77777777" w:rsidR="009E06DB" w:rsidRPr="00E249AC" w:rsidRDefault="009E06DB">
            <w:pPr>
              <w:jc w:val="left"/>
              <w:textAlignment w:val="baseline"/>
              <w:rPr>
                <w:rFonts w:cs="Times New Roman"/>
                <w:noProof/>
                <w:sz w:val="22"/>
              </w:rPr>
            </w:pPr>
          </w:p>
        </w:tc>
        <w:tc>
          <w:tcPr>
            <w:tcW w:w="2421" w:type="dxa"/>
            <w:tcBorders>
              <w:top w:val="single" w:sz="6" w:space="0" w:color="auto"/>
              <w:left w:val="single" w:sz="6" w:space="0" w:color="auto"/>
              <w:bottom w:val="single" w:sz="6" w:space="0" w:color="auto"/>
              <w:right w:val="single" w:sz="6" w:space="0" w:color="auto"/>
            </w:tcBorders>
            <w:hideMark/>
          </w:tcPr>
          <w:p w14:paraId="7F5D5FF6" w14:textId="3DF9649A" w:rsidR="009E06DB" w:rsidRPr="0036649F" w:rsidRDefault="009E06DB">
            <w:pPr>
              <w:jc w:val="left"/>
              <w:textAlignment w:val="baseline"/>
              <w:rPr>
                <w:rFonts w:eastAsia="Times New Roman" w:cs="Times New Roman"/>
                <w:noProof/>
                <w:sz w:val="22"/>
                <w:lang w:val="fr-BE" w:eastAsia="en-IE"/>
              </w:rPr>
            </w:pPr>
            <w:r w:rsidRPr="0036649F">
              <w:rPr>
                <w:rFonts w:eastAsia="Times New Roman" w:cs="Times New Roman"/>
                <w:noProof/>
                <w:sz w:val="22"/>
                <w:lang w:val="fr-BE" w:eastAsia="en-IE"/>
              </w:rPr>
              <w:t> </w:t>
            </w:r>
          </w:p>
          <w:p w14:paraId="314A4C57" w14:textId="77777777" w:rsidR="009E06DB" w:rsidRPr="0033490D" w:rsidRDefault="009E06DB">
            <w:pPr>
              <w:jc w:val="left"/>
              <w:textAlignment w:val="baseline"/>
              <w:rPr>
                <w:rFonts w:eastAsia="Times New Roman" w:cs="Times New Roman"/>
                <w:i/>
                <w:noProof/>
                <w:color w:val="FF0000"/>
                <w:sz w:val="22"/>
                <w:lang w:eastAsia="en-IE"/>
              </w:rPr>
            </w:pPr>
            <w:r w:rsidRPr="0033490D">
              <w:rPr>
                <w:rFonts w:eastAsia="Times New Roman" w:cs="Times New Roman"/>
                <w:i/>
                <w:noProof/>
                <w:color w:val="FF0000"/>
                <w:sz w:val="22"/>
                <w:lang w:eastAsia="en-IE"/>
              </w:rPr>
              <w:t xml:space="preserve">Sensitivity analysis : </w:t>
            </w:r>
          </w:p>
          <w:p w14:paraId="1295E710" w14:textId="77777777" w:rsidR="0033490D" w:rsidRPr="0033490D" w:rsidRDefault="0033490D" w:rsidP="0033490D">
            <w:pPr>
              <w:jc w:val="left"/>
              <w:textAlignment w:val="baseline"/>
              <w:rPr>
                <w:rFonts w:cs="Times New Roman"/>
                <w:i/>
                <w:iCs/>
                <w:noProof/>
                <w:color w:val="FF0000"/>
                <w:sz w:val="22"/>
              </w:rPr>
            </w:pPr>
            <w:r w:rsidRPr="0033490D">
              <w:rPr>
                <w:rFonts w:eastAsia="Times New Roman" w:cs="Times New Roman"/>
                <w:i/>
                <w:iCs/>
                <w:noProof/>
                <w:color w:val="FF0000"/>
                <w:sz w:val="22"/>
                <w:lang w:eastAsia="en-IE"/>
              </w:rPr>
              <w:t xml:space="preserve">Passenger cars: </w:t>
            </w:r>
          </w:p>
          <w:p w14:paraId="09DD4A4B" w14:textId="35EC2AE7" w:rsidR="009E06DB" w:rsidRPr="007F7094" w:rsidRDefault="009E06DB">
            <w:pPr>
              <w:jc w:val="left"/>
              <w:textAlignment w:val="baseline"/>
              <w:rPr>
                <w:rFonts w:eastAsia="Times New Roman" w:cs="Times New Roman"/>
                <w:i/>
                <w:noProof/>
                <w:color w:val="FF0000"/>
                <w:sz w:val="22"/>
                <w:lang w:eastAsia="en-IE"/>
              </w:rPr>
            </w:pPr>
            <w:r w:rsidRPr="0033490D">
              <w:rPr>
                <w:rFonts w:eastAsia="Times New Roman" w:cs="Times New Roman"/>
                <w:i/>
                <w:noProof/>
                <w:color w:val="FF0000"/>
                <w:sz w:val="22"/>
                <w:lang w:eastAsia="en-IE"/>
              </w:rPr>
              <w:t>EUR 130.8 million – EUR 303.68 million</w:t>
            </w:r>
          </w:p>
          <w:p w14:paraId="6960BDE3" w14:textId="77777777" w:rsidR="009E06DB" w:rsidRPr="0033490D" w:rsidRDefault="009E06DB">
            <w:pPr>
              <w:jc w:val="left"/>
              <w:textAlignment w:val="baseline"/>
              <w:rPr>
                <w:rFonts w:cs="Times New Roman"/>
                <w:noProof/>
                <w:sz w:val="22"/>
              </w:rPr>
            </w:pPr>
          </w:p>
        </w:tc>
      </w:tr>
      <w:tr w:rsidR="009E06DB" w:rsidRPr="000A2B1B" w14:paraId="4C863424" w14:textId="77777777" w:rsidTr="7ECD02B7">
        <w:trPr>
          <w:trHeight w:val="595"/>
        </w:trPr>
        <w:tc>
          <w:tcPr>
            <w:tcW w:w="1835"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1DBE33EC" w14:textId="087054C4" w:rsidR="009E06DB" w:rsidRPr="00504720" w:rsidRDefault="009E06DB">
            <w:pPr>
              <w:jc w:val="left"/>
              <w:textAlignment w:val="baseline"/>
              <w:rPr>
                <w:rFonts w:cs="Times New Roman"/>
                <w:noProof/>
                <w:sz w:val="22"/>
              </w:rPr>
            </w:pPr>
            <w:r w:rsidRPr="00504720">
              <w:rPr>
                <w:rFonts w:cs="Times New Roman"/>
                <w:noProof/>
                <w:color w:val="FFFFFF"/>
                <w:sz w:val="22"/>
              </w:rPr>
              <w:t>Businesses </w:t>
            </w:r>
          </w:p>
        </w:tc>
        <w:tc>
          <w:tcPr>
            <w:tcW w:w="7480" w:type="dxa"/>
            <w:gridSpan w:val="3"/>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24DA9DE8" w14:textId="77777777" w:rsidR="009E06DB" w:rsidRPr="008B6FC7" w:rsidRDefault="009E06DB">
            <w:pPr>
              <w:jc w:val="left"/>
              <w:textAlignment w:val="baseline"/>
              <w:rPr>
                <w:rFonts w:cs="Times New Roman"/>
                <w:noProof/>
                <w:sz w:val="22"/>
              </w:rPr>
            </w:pPr>
            <w:r w:rsidRPr="00504720">
              <w:rPr>
                <w:rFonts w:cs="Times New Roman"/>
                <w:noProof/>
                <w:color w:val="FFFFFF"/>
                <w:sz w:val="22"/>
              </w:rPr>
              <w:t xml:space="preserve"> </w:t>
            </w:r>
          </w:p>
          <w:p w14:paraId="71E89775" w14:textId="77777777" w:rsidR="009E06DB" w:rsidRPr="008B6FC7" w:rsidRDefault="009E06DB">
            <w:pPr>
              <w:jc w:val="left"/>
              <w:textAlignment w:val="baseline"/>
              <w:rPr>
                <w:rFonts w:cs="Times New Roman"/>
                <w:noProof/>
                <w:sz w:val="22"/>
              </w:rPr>
            </w:pPr>
          </w:p>
          <w:p w14:paraId="03075CF7" w14:textId="77777777" w:rsidR="009E06DB" w:rsidRPr="00504720" w:rsidRDefault="009E06DB">
            <w:pPr>
              <w:jc w:val="left"/>
              <w:textAlignment w:val="baseline"/>
              <w:rPr>
                <w:rFonts w:cs="Times New Roman"/>
                <w:noProof/>
                <w:sz w:val="22"/>
              </w:rPr>
            </w:pPr>
            <w:r w:rsidRPr="00504720">
              <w:rPr>
                <w:rFonts w:cs="Times New Roman"/>
                <w:noProof/>
                <w:color w:val="FFFFFF"/>
                <w:sz w:val="22"/>
              </w:rPr>
              <w:t xml:space="preserve"> </w:t>
            </w:r>
          </w:p>
        </w:tc>
      </w:tr>
      <w:tr w:rsidR="009E06DB" w:rsidRPr="000A2B1B" w14:paraId="7C37B739" w14:textId="77777777" w:rsidTr="7ECD02B7">
        <w:trPr>
          <w:trHeight w:val="285"/>
        </w:trPr>
        <w:tc>
          <w:tcPr>
            <w:tcW w:w="1835" w:type="dxa"/>
            <w:tcBorders>
              <w:top w:val="single" w:sz="6" w:space="0" w:color="auto"/>
              <w:left w:val="single" w:sz="6" w:space="0" w:color="auto"/>
              <w:bottom w:val="single" w:sz="6" w:space="0" w:color="auto"/>
              <w:right w:val="single" w:sz="6" w:space="0" w:color="auto"/>
            </w:tcBorders>
            <w:hideMark/>
          </w:tcPr>
          <w:p w14:paraId="538B1CB3" w14:textId="77777777" w:rsidR="009E06DB" w:rsidRPr="00504720" w:rsidRDefault="009E06DB">
            <w:pPr>
              <w:jc w:val="left"/>
              <w:textAlignment w:val="baseline"/>
              <w:rPr>
                <w:rFonts w:cs="Times New Roman"/>
                <w:noProof/>
                <w:sz w:val="22"/>
              </w:rPr>
            </w:pPr>
            <w:r w:rsidRPr="00504720">
              <w:rPr>
                <w:rFonts w:cs="Times New Roman"/>
                <w:noProof/>
                <w:sz w:val="22"/>
              </w:rPr>
              <w:t>Adjustment costs (recurring) </w:t>
            </w:r>
          </w:p>
        </w:tc>
        <w:tc>
          <w:tcPr>
            <w:tcW w:w="2762" w:type="dxa"/>
            <w:tcBorders>
              <w:top w:val="single" w:sz="6" w:space="0" w:color="auto"/>
              <w:left w:val="single" w:sz="6" w:space="0" w:color="auto"/>
              <w:bottom w:val="single" w:sz="6" w:space="0" w:color="auto"/>
              <w:right w:val="single" w:sz="6" w:space="0" w:color="auto"/>
            </w:tcBorders>
            <w:hideMark/>
          </w:tcPr>
          <w:p w14:paraId="1AD8E4C8" w14:textId="02C9CDA8" w:rsidR="009E06DB" w:rsidRPr="00504720" w:rsidRDefault="009E06DB">
            <w:pPr>
              <w:jc w:val="left"/>
              <w:textAlignment w:val="baseline"/>
              <w:rPr>
                <w:rFonts w:cs="Times New Roman"/>
                <w:iCs/>
                <w:noProof/>
                <w:color w:val="000000"/>
                <w:sz w:val="22"/>
              </w:rPr>
            </w:pPr>
          </w:p>
          <w:p w14:paraId="4344719C" w14:textId="1C95586D" w:rsidR="009E06DB" w:rsidRPr="00504720" w:rsidRDefault="009E06DB">
            <w:pPr>
              <w:jc w:val="left"/>
              <w:textAlignment w:val="baseline"/>
              <w:rPr>
                <w:rFonts w:cs="Times New Roman"/>
                <w:noProof/>
                <w:sz w:val="22"/>
              </w:rPr>
            </w:pPr>
            <w:r w:rsidRPr="00504720">
              <w:rPr>
                <w:rFonts w:cs="Times New Roman"/>
                <w:i/>
                <w:iCs/>
                <w:noProof/>
                <w:color w:val="FF0000"/>
                <w:sz w:val="22"/>
              </w:rPr>
              <w:t>Sensitivity analysis: corporate fleets EUR 179.6 million – EUR 417.125 million</w:t>
            </w:r>
          </w:p>
        </w:tc>
        <w:tc>
          <w:tcPr>
            <w:tcW w:w="2297" w:type="dxa"/>
            <w:tcBorders>
              <w:top w:val="single" w:sz="6" w:space="0" w:color="auto"/>
              <w:left w:val="single" w:sz="6" w:space="0" w:color="auto"/>
              <w:bottom w:val="single" w:sz="6" w:space="0" w:color="auto"/>
              <w:right w:val="single" w:sz="6" w:space="0" w:color="auto"/>
            </w:tcBorders>
            <w:hideMark/>
          </w:tcPr>
          <w:p w14:paraId="0073AE3B" w14:textId="77777777" w:rsidR="009E06DB" w:rsidRPr="00504720" w:rsidRDefault="009E06DB">
            <w:pPr>
              <w:ind w:left="158" w:right="172"/>
              <w:textAlignment w:val="baseline"/>
              <w:rPr>
                <w:rFonts w:cs="Times New Roman"/>
                <w:iCs/>
                <w:noProof/>
                <w:color w:val="000000" w:themeColor="text1"/>
                <w:sz w:val="22"/>
              </w:rPr>
            </w:pPr>
          </w:p>
          <w:p w14:paraId="16AA71C4" w14:textId="710BBCE2" w:rsidR="009E06DB" w:rsidRPr="00504720" w:rsidRDefault="00B11BA5" w:rsidP="00D31B04">
            <w:pPr>
              <w:ind w:right="172"/>
              <w:jc w:val="left"/>
              <w:textAlignment w:val="baseline"/>
              <w:rPr>
                <w:rFonts w:cs="Times New Roman"/>
                <w:noProof/>
                <w:color w:val="000000"/>
                <w:sz w:val="22"/>
              </w:rPr>
            </w:pPr>
            <w:r w:rsidRPr="00504720">
              <w:rPr>
                <w:rFonts w:cs="Times New Roman"/>
                <w:i/>
                <w:iCs/>
                <w:noProof/>
                <w:color w:val="FF0000"/>
                <w:sz w:val="22"/>
              </w:rPr>
              <w:t>Sensitivity analysis: corporate fleets EUR 179.6 million – EUR 417.125 million</w:t>
            </w:r>
          </w:p>
        </w:tc>
        <w:tc>
          <w:tcPr>
            <w:tcW w:w="2421" w:type="dxa"/>
            <w:tcBorders>
              <w:top w:val="single" w:sz="6" w:space="0" w:color="auto"/>
              <w:left w:val="single" w:sz="6" w:space="0" w:color="auto"/>
              <w:bottom w:val="single" w:sz="6" w:space="0" w:color="auto"/>
              <w:right w:val="single" w:sz="6" w:space="0" w:color="auto"/>
            </w:tcBorders>
            <w:hideMark/>
          </w:tcPr>
          <w:p w14:paraId="26012392" w14:textId="77777777" w:rsidR="009E06DB" w:rsidRPr="00504720" w:rsidRDefault="009E06DB">
            <w:pPr>
              <w:rPr>
                <w:rFonts w:cs="Times New Roman"/>
                <w:noProof/>
                <w:color w:val="000000" w:themeColor="text1"/>
                <w:sz w:val="22"/>
              </w:rPr>
            </w:pPr>
          </w:p>
          <w:p w14:paraId="5EF51BC8" w14:textId="0DE1C089" w:rsidR="009E06DB" w:rsidRPr="00504720" w:rsidRDefault="009E06DB" w:rsidP="00D31B04">
            <w:pPr>
              <w:jc w:val="left"/>
              <w:textAlignment w:val="baseline"/>
              <w:rPr>
                <w:rFonts w:cs="Times New Roman"/>
                <w:noProof/>
                <w:sz w:val="22"/>
              </w:rPr>
            </w:pPr>
            <w:r w:rsidRPr="00504720">
              <w:rPr>
                <w:rFonts w:cs="Times New Roman"/>
                <w:i/>
                <w:iCs/>
                <w:noProof/>
                <w:color w:val="FF0000"/>
                <w:sz w:val="22"/>
              </w:rPr>
              <w:t xml:space="preserve">Sensitivity analysis: corporate fleets EUR 256.3 million- EUR 595.04 </w:t>
            </w:r>
            <w:r w:rsidRPr="00300699">
              <w:rPr>
                <w:rFonts w:cs="Times New Roman"/>
                <w:i/>
                <w:iCs/>
                <w:noProof/>
                <w:color w:val="FF0000"/>
                <w:sz w:val="22"/>
              </w:rPr>
              <w:t>millio</w:t>
            </w:r>
            <w:r w:rsidR="00E27244">
              <w:rPr>
                <w:rFonts w:cs="Times New Roman"/>
                <w:noProof/>
                <w:sz w:val="22"/>
              </w:rPr>
              <w:t>n</w:t>
            </w:r>
          </w:p>
        </w:tc>
      </w:tr>
      <w:tr w:rsidR="009E06DB" w:rsidRPr="000A2B1B" w14:paraId="17FF161E" w14:textId="77777777" w:rsidTr="7ECD02B7">
        <w:trPr>
          <w:trHeight w:val="285"/>
        </w:trPr>
        <w:tc>
          <w:tcPr>
            <w:tcW w:w="1835"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007CF14F" w14:textId="136A599F" w:rsidR="009E06DB" w:rsidRPr="00504720" w:rsidRDefault="009E06DB">
            <w:pPr>
              <w:jc w:val="left"/>
              <w:textAlignment w:val="baseline"/>
              <w:rPr>
                <w:rFonts w:cs="Times New Roman"/>
                <w:b/>
                <w:bCs/>
                <w:noProof/>
                <w:sz w:val="22"/>
              </w:rPr>
            </w:pPr>
            <w:r w:rsidRPr="00504720">
              <w:rPr>
                <w:rFonts w:cs="Times New Roman"/>
                <w:b/>
                <w:bCs/>
                <w:noProof/>
                <w:sz w:val="22"/>
              </w:rPr>
              <w:t>TOTAL</w:t>
            </w:r>
            <w:r w:rsidR="00592F81">
              <w:rPr>
                <w:rFonts w:cs="Times New Roman"/>
                <w:b/>
                <w:bCs/>
                <w:noProof/>
                <w:sz w:val="22"/>
              </w:rPr>
              <w:t xml:space="preserve"> (sensitivity)</w:t>
            </w:r>
          </w:p>
        </w:tc>
        <w:tc>
          <w:tcPr>
            <w:tcW w:w="2762"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544210E1" w14:textId="77777777" w:rsidR="009E06DB" w:rsidRPr="00504720" w:rsidRDefault="009E06DB">
            <w:pPr>
              <w:jc w:val="left"/>
              <w:textAlignment w:val="baseline"/>
              <w:rPr>
                <w:rFonts w:cs="Times New Roman"/>
                <w:b/>
                <w:bCs/>
                <w:i/>
                <w:noProof/>
                <w:color w:val="000000"/>
                <w:sz w:val="22"/>
              </w:rPr>
            </w:pPr>
            <w:r w:rsidRPr="00504720">
              <w:rPr>
                <w:rFonts w:cs="Times New Roman"/>
                <w:b/>
                <w:bCs/>
                <w:i/>
                <w:noProof/>
                <w:color w:val="000000"/>
                <w:sz w:val="22"/>
              </w:rPr>
              <w:t>Automotive: 285 million – 662.6 million</w:t>
            </w:r>
          </w:p>
        </w:tc>
        <w:tc>
          <w:tcPr>
            <w:tcW w:w="2297"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405752A9" w14:textId="65EDC785" w:rsidR="009E06DB" w:rsidRPr="00504720" w:rsidRDefault="00B11BA5">
            <w:pPr>
              <w:ind w:left="158" w:right="172"/>
              <w:textAlignment w:val="baseline"/>
              <w:rPr>
                <w:rFonts w:cs="Times New Roman"/>
                <w:b/>
                <w:bCs/>
                <w:i/>
                <w:noProof/>
                <w:color w:val="000000" w:themeColor="text1"/>
                <w:sz w:val="22"/>
              </w:rPr>
            </w:pPr>
            <w:r w:rsidRPr="00504720">
              <w:rPr>
                <w:rFonts w:cs="Times New Roman"/>
                <w:b/>
                <w:bCs/>
                <w:i/>
                <w:noProof/>
                <w:color w:val="000000"/>
                <w:sz w:val="22"/>
              </w:rPr>
              <w:t>Automotive: 285 million – 662.6 million</w:t>
            </w:r>
            <w:r w:rsidRPr="00504720">
              <w:rPr>
                <w:rFonts w:cs="Times New Roman"/>
                <w:b/>
                <w:bCs/>
                <w:i/>
                <w:noProof/>
                <w:color w:val="000000" w:themeColor="text1"/>
                <w:sz w:val="22"/>
              </w:rPr>
              <w:t xml:space="preserve"> </w:t>
            </w:r>
          </w:p>
        </w:tc>
        <w:tc>
          <w:tcPr>
            <w:tcW w:w="2421"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12CE8633" w14:textId="77777777" w:rsidR="009E06DB" w:rsidRPr="00504720" w:rsidRDefault="009E06DB">
            <w:pPr>
              <w:ind w:right="172"/>
              <w:textAlignment w:val="baseline"/>
              <w:rPr>
                <w:rFonts w:cs="Times New Roman"/>
                <w:b/>
                <w:bCs/>
                <w:i/>
                <w:noProof/>
                <w:color w:val="000000" w:themeColor="text1"/>
                <w:sz w:val="22"/>
              </w:rPr>
            </w:pPr>
            <w:r w:rsidRPr="00504720">
              <w:rPr>
                <w:rFonts w:cs="Times New Roman"/>
                <w:b/>
                <w:bCs/>
                <w:i/>
                <w:noProof/>
                <w:color w:val="000000" w:themeColor="text1"/>
                <w:sz w:val="22"/>
              </w:rPr>
              <w:t>Automotive: 401 million- 931 million</w:t>
            </w:r>
          </w:p>
        </w:tc>
      </w:tr>
    </w:tbl>
    <w:p w14:paraId="342C0089" w14:textId="51CDE6EF" w:rsidR="00247A30" w:rsidRPr="00D05C7C" w:rsidRDefault="00247A30" w:rsidP="5F7FCDD5">
      <w:pPr>
        <w:rPr>
          <w:noProof/>
        </w:rPr>
      </w:pPr>
    </w:p>
    <w:p w14:paraId="1938094F" w14:textId="77777777" w:rsidR="00DA76C3" w:rsidRDefault="001640C0" w:rsidP="00DA76C3">
      <w:pPr>
        <w:pStyle w:val="JRCText"/>
        <w:spacing w:after="0" w:line="240" w:lineRule="auto"/>
        <w:jc w:val="both"/>
        <w:rPr>
          <w:rFonts w:ascii="Times New Roman" w:hAnsi="Times New Roman" w:cs="Times New Roman"/>
          <w:b/>
          <w:bCs/>
          <w:noProof/>
          <w:sz w:val="24"/>
          <w:szCs w:val="24"/>
        </w:rPr>
      </w:pPr>
      <w:r w:rsidRPr="00504720">
        <w:rPr>
          <w:rFonts w:ascii="Times New Roman" w:hAnsi="Times New Roman" w:cs="Times New Roman"/>
          <w:b/>
          <w:bCs/>
          <w:noProof/>
          <w:sz w:val="24"/>
          <w:szCs w:val="24"/>
        </w:rPr>
        <w:t>LEAD_</w:t>
      </w:r>
      <w:r w:rsidR="00DA76C3" w:rsidRPr="00504720">
        <w:rPr>
          <w:rFonts w:ascii="Times New Roman" w:hAnsi="Times New Roman" w:cs="Times New Roman"/>
          <w:b/>
          <w:bCs/>
          <w:noProof/>
          <w:sz w:val="24"/>
          <w:szCs w:val="24"/>
        </w:rPr>
        <w:t>SOL</w:t>
      </w:r>
    </w:p>
    <w:p w14:paraId="15C9CAC2" w14:textId="77777777" w:rsidR="00DA76C3" w:rsidRPr="00504720" w:rsidRDefault="00DA76C3" w:rsidP="00DA76C3">
      <w:pPr>
        <w:pStyle w:val="JRCText"/>
        <w:spacing w:after="0" w:line="240" w:lineRule="auto"/>
        <w:jc w:val="both"/>
        <w:rPr>
          <w:rFonts w:ascii="Times New Roman" w:hAnsi="Times New Roman" w:cs="Times New Roman"/>
          <w:b/>
          <w:bCs/>
          <w:noProof/>
          <w:sz w:val="24"/>
          <w:szCs w:val="24"/>
        </w:rPr>
      </w:pPr>
    </w:p>
    <w:p w14:paraId="79742AA6" w14:textId="77777777" w:rsidR="00DA76C3" w:rsidRPr="00F261DB" w:rsidRDefault="00DA76C3" w:rsidP="00DA76C3">
      <w:pPr>
        <w:pStyle w:val="JRCText"/>
        <w:spacing w:after="0" w:line="240" w:lineRule="auto"/>
        <w:jc w:val="both"/>
        <w:rPr>
          <w:rFonts w:eastAsia="Times New Roman" w:cs="Times New Roman"/>
          <w:noProof/>
          <w:color w:val="000000" w:themeColor="text1"/>
          <w:szCs w:val="24"/>
        </w:rPr>
      </w:pPr>
      <w:r w:rsidRPr="00F261DB">
        <w:rPr>
          <w:rFonts w:ascii="Times New Roman" w:hAnsi="Times New Roman" w:cs="Times New Roman"/>
          <w:noProof/>
          <w:sz w:val="24"/>
          <w:szCs w:val="24"/>
        </w:rPr>
        <w:t xml:space="preserve">Two different price scenarios compare the cheapest alternative for PV (e.g. Chinese imports) to a European NZIA- compliant </w:t>
      </w:r>
      <w:r w:rsidRPr="00FF63D1">
        <w:rPr>
          <w:rFonts w:ascii="Times New Roman" w:hAnsi="Times New Roman" w:cs="Times New Roman"/>
          <w:noProof/>
          <w:sz w:val="24"/>
          <w:szCs w:val="24"/>
        </w:rPr>
        <w:t xml:space="preserve">PV </w:t>
      </w:r>
      <w:r w:rsidRPr="00F261DB">
        <w:rPr>
          <w:rFonts w:ascii="Times New Roman" w:hAnsi="Times New Roman" w:cs="Times New Roman"/>
          <w:noProof/>
          <w:sz w:val="24"/>
          <w:szCs w:val="24"/>
        </w:rPr>
        <w:t xml:space="preserve">with polysilicon and wafers / ingots from China. </w:t>
      </w:r>
    </w:p>
    <w:p w14:paraId="789508A7" w14:textId="7479DE16" w:rsidR="00DA76C3" w:rsidRPr="00AB73D5" w:rsidRDefault="00DA76C3" w:rsidP="00DA76C3">
      <w:pPr>
        <w:pStyle w:val="ListParagraph"/>
        <w:numPr>
          <w:ilvl w:val="0"/>
          <w:numId w:val="42"/>
        </w:numPr>
        <w:rPr>
          <w:rFonts w:eastAsia="Times New Roman" w:cs="Times New Roman"/>
          <w:noProof/>
          <w:color w:val="000000" w:themeColor="text1"/>
          <w:szCs w:val="24"/>
        </w:rPr>
      </w:pPr>
      <w:r w:rsidRPr="00F261DB">
        <w:rPr>
          <w:noProof/>
          <w:szCs w:val="24"/>
        </w:rPr>
        <w:t>65</w:t>
      </w:r>
      <w:r>
        <w:rPr>
          <w:noProof/>
          <w:szCs w:val="24"/>
        </w:rPr>
        <w:t xml:space="preserve"> </w:t>
      </w:r>
      <w:r w:rsidRPr="00F261DB">
        <w:rPr>
          <w:noProof/>
          <w:szCs w:val="24"/>
        </w:rPr>
        <w:t xml:space="preserve">GW </w:t>
      </w:r>
      <w:r w:rsidRPr="00AB73D5">
        <w:rPr>
          <w:rFonts w:eastAsia="Times New Roman" w:cs="Times New Roman"/>
          <w:noProof/>
          <w:color w:val="000000" w:themeColor="text1"/>
          <w:szCs w:val="24"/>
        </w:rPr>
        <w:t xml:space="preserve">of Chinese modules: </w:t>
      </w:r>
      <w:r>
        <w:rPr>
          <w:rFonts w:eastAsia="Times New Roman" w:cs="Times New Roman"/>
          <w:noProof/>
          <w:color w:val="000000" w:themeColor="text1"/>
          <w:szCs w:val="24"/>
        </w:rPr>
        <w:t xml:space="preserve">EUR </w:t>
      </w:r>
      <w:r w:rsidRPr="00AB73D5">
        <w:rPr>
          <w:rFonts w:eastAsia="Times New Roman" w:cs="Times New Roman"/>
          <w:noProof/>
          <w:color w:val="000000" w:themeColor="text1"/>
          <w:szCs w:val="24"/>
        </w:rPr>
        <w:t>10.335 billion</w:t>
      </w:r>
      <w:r w:rsidR="00C25D95">
        <w:rPr>
          <w:rFonts w:eastAsia="Times New Roman" w:cs="Times New Roman"/>
          <w:noProof/>
          <w:color w:val="000000" w:themeColor="text1"/>
          <w:szCs w:val="24"/>
        </w:rPr>
        <w:t>.</w:t>
      </w:r>
      <w:r w:rsidRPr="00AB73D5">
        <w:rPr>
          <w:rFonts w:eastAsia="Times New Roman" w:cs="Times New Roman"/>
          <w:noProof/>
          <w:color w:val="000000" w:themeColor="text1"/>
          <w:szCs w:val="24"/>
        </w:rPr>
        <w:t xml:space="preserve"> </w:t>
      </w:r>
      <w:r w:rsidRPr="00FE5E06">
        <w:rPr>
          <w:rFonts w:eastAsia="Times New Roman" w:cs="Times New Roman"/>
          <w:i/>
          <w:noProof/>
          <w:color w:val="000000" w:themeColor="text1"/>
          <w:szCs w:val="24"/>
        </w:rPr>
        <w:t>For 58</w:t>
      </w:r>
      <w:r w:rsidR="00EC692F">
        <w:rPr>
          <w:rFonts w:eastAsia="Times New Roman" w:cs="Times New Roman"/>
          <w:i/>
          <w:noProof/>
          <w:color w:val="000000" w:themeColor="text1"/>
          <w:szCs w:val="24"/>
        </w:rPr>
        <w:t xml:space="preserve"> </w:t>
      </w:r>
      <w:r w:rsidRPr="00FE5E06">
        <w:rPr>
          <w:rFonts w:eastAsia="Times New Roman" w:cs="Times New Roman"/>
          <w:i/>
          <w:noProof/>
          <w:color w:val="000000" w:themeColor="text1"/>
          <w:szCs w:val="24"/>
        </w:rPr>
        <w:t>GW EUR 9.222 billion.</w:t>
      </w:r>
    </w:p>
    <w:p w14:paraId="0879F3AB" w14:textId="0EE224C3" w:rsidR="00DA76C3" w:rsidRPr="00F261DB" w:rsidRDefault="00DA76C3" w:rsidP="00DA76C3">
      <w:pPr>
        <w:pStyle w:val="ListParagraph"/>
        <w:numPr>
          <w:ilvl w:val="0"/>
          <w:numId w:val="42"/>
        </w:numPr>
        <w:rPr>
          <w:noProof/>
          <w:szCs w:val="24"/>
        </w:rPr>
      </w:pPr>
      <w:r w:rsidRPr="00AB73D5">
        <w:rPr>
          <w:rFonts w:eastAsia="Times New Roman" w:cs="Times New Roman"/>
          <w:noProof/>
          <w:color w:val="000000" w:themeColor="text1"/>
          <w:szCs w:val="24"/>
        </w:rPr>
        <w:t>65 GW of</w:t>
      </w:r>
      <w:r w:rsidRPr="00F261DB">
        <w:rPr>
          <w:noProof/>
          <w:szCs w:val="24"/>
        </w:rPr>
        <w:t xml:space="preserve"> European </w:t>
      </w:r>
      <w:r w:rsidRPr="00FF63D1">
        <w:rPr>
          <w:noProof/>
          <w:szCs w:val="24"/>
        </w:rPr>
        <w:t>products with</w:t>
      </w:r>
      <w:r w:rsidRPr="00F261DB">
        <w:rPr>
          <w:noProof/>
          <w:szCs w:val="24"/>
        </w:rPr>
        <w:t xml:space="preserve"> poly-wafer come from </w:t>
      </w:r>
      <w:r w:rsidR="003122EE">
        <w:rPr>
          <w:noProof/>
          <w:szCs w:val="24"/>
        </w:rPr>
        <w:t>China</w:t>
      </w:r>
      <w:r w:rsidRPr="00F261DB">
        <w:rPr>
          <w:noProof/>
          <w:szCs w:val="24"/>
        </w:rPr>
        <w:t xml:space="preserve">: </w:t>
      </w:r>
      <w:r>
        <w:rPr>
          <w:noProof/>
          <w:szCs w:val="24"/>
        </w:rPr>
        <w:t xml:space="preserve">EUR </w:t>
      </w:r>
      <w:r w:rsidRPr="00F261DB">
        <w:rPr>
          <w:noProof/>
          <w:szCs w:val="24"/>
        </w:rPr>
        <w:t>12.35 billion</w:t>
      </w:r>
      <w:r>
        <w:rPr>
          <w:noProof/>
          <w:szCs w:val="24"/>
        </w:rPr>
        <w:t>.</w:t>
      </w:r>
      <w:r w:rsidRPr="00FE5E06">
        <w:rPr>
          <w:i/>
          <w:noProof/>
          <w:szCs w:val="24"/>
        </w:rPr>
        <w:t xml:space="preserve"> For 58 GW EUR 11.02 billion. </w:t>
      </w:r>
    </w:p>
    <w:p w14:paraId="541E7874" w14:textId="2A18C411" w:rsidR="00BC6BA9" w:rsidRPr="00E71388" w:rsidRDefault="00BC6BA9" w:rsidP="003F08BA">
      <w:pPr>
        <w:spacing w:after="160" w:line="259" w:lineRule="auto"/>
        <w:rPr>
          <w:noProof/>
        </w:rPr>
      </w:pPr>
      <w:r w:rsidRPr="00E71388">
        <w:rPr>
          <w:noProof/>
        </w:rPr>
        <w:t xml:space="preserve">The delta between them is </w:t>
      </w:r>
      <w:r>
        <w:rPr>
          <w:noProof/>
        </w:rPr>
        <w:t xml:space="preserve">EUR </w:t>
      </w:r>
      <w:r w:rsidRPr="00E71388">
        <w:rPr>
          <w:noProof/>
        </w:rPr>
        <w:t>2.015</w:t>
      </w:r>
      <w:r w:rsidRPr="00E71388">
        <w:rPr>
          <w:rFonts w:cs="Times New Roman"/>
          <w:noProof/>
        </w:rPr>
        <w:t> </w:t>
      </w:r>
      <w:r w:rsidRPr="00E71388">
        <w:rPr>
          <w:noProof/>
        </w:rPr>
        <w:t>billion</w:t>
      </w:r>
      <w:r w:rsidRPr="00E71388">
        <w:rPr>
          <w:rFonts w:cs="Aptos"/>
          <w:noProof/>
        </w:rPr>
        <w:t xml:space="preserve"> for 65</w:t>
      </w:r>
      <w:r>
        <w:rPr>
          <w:rFonts w:cs="Aptos"/>
          <w:noProof/>
        </w:rPr>
        <w:t xml:space="preserve"> </w:t>
      </w:r>
      <w:r w:rsidRPr="00E71388">
        <w:rPr>
          <w:rFonts w:cs="Aptos"/>
          <w:noProof/>
        </w:rPr>
        <w:t>GW of solar PV, which is broken down per market segment as follows:</w:t>
      </w:r>
    </w:p>
    <w:p w14:paraId="2FFFE79D" w14:textId="77777777" w:rsidR="00BC6BA9" w:rsidRPr="00FF63D1" w:rsidRDefault="00BC6BA9" w:rsidP="00BC6BA9">
      <w:pPr>
        <w:pStyle w:val="ListParagraph"/>
        <w:numPr>
          <w:ilvl w:val="0"/>
          <w:numId w:val="42"/>
        </w:numPr>
        <w:rPr>
          <w:noProof/>
        </w:rPr>
      </w:pPr>
      <w:r w:rsidRPr="00FF63D1">
        <w:rPr>
          <w:noProof/>
        </w:rPr>
        <w:t xml:space="preserve">Public procurement: 0.03 × 2.015 = </w:t>
      </w:r>
      <w:r>
        <w:rPr>
          <w:noProof/>
        </w:rPr>
        <w:t xml:space="preserve">EUR </w:t>
      </w:r>
      <w:r w:rsidRPr="00FF63D1">
        <w:rPr>
          <w:noProof/>
        </w:rPr>
        <w:t>0.06045 billion</w:t>
      </w:r>
    </w:p>
    <w:p w14:paraId="076533FA" w14:textId="77777777" w:rsidR="00BC6BA9" w:rsidRPr="00FF63D1" w:rsidRDefault="00BC6BA9" w:rsidP="00BC6BA9">
      <w:pPr>
        <w:pStyle w:val="ListParagraph"/>
        <w:numPr>
          <w:ilvl w:val="0"/>
          <w:numId w:val="42"/>
        </w:numPr>
        <w:rPr>
          <w:noProof/>
        </w:rPr>
      </w:pPr>
      <w:r w:rsidRPr="00FF63D1">
        <w:rPr>
          <w:noProof/>
        </w:rPr>
        <w:t xml:space="preserve">Auctions: 0.19 × 2.015 = </w:t>
      </w:r>
      <w:r w:rsidRPr="00C841CC">
        <w:rPr>
          <w:noProof/>
        </w:rPr>
        <w:t xml:space="preserve">EUR </w:t>
      </w:r>
      <w:r w:rsidRPr="00FF63D1">
        <w:rPr>
          <w:noProof/>
        </w:rPr>
        <w:t>0.38285 billion</w:t>
      </w:r>
    </w:p>
    <w:p w14:paraId="5087AB4D" w14:textId="77777777" w:rsidR="00BC6BA9" w:rsidRPr="00FF63D1" w:rsidRDefault="00BC6BA9" w:rsidP="00BC6BA9">
      <w:pPr>
        <w:pStyle w:val="ListParagraph"/>
        <w:numPr>
          <w:ilvl w:val="0"/>
          <w:numId w:val="42"/>
        </w:numPr>
        <w:rPr>
          <w:noProof/>
        </w:rPr>
      </w:pPr>
      <w:r w:rsidRPr="00FF63D1">
        <w:rPr>
          <w:noProof/>
        </w:rPr>
        <w:t xml:space="preserve">Schemes: 0.12 × 2.015 = </w:t>
      </w:r>
      <w:r w:rsidRPr="00C841CC">
        <w:rPr>
          <w:noProof/>
        </w:rPr>
        <w:t xml:space="preserve">EUR </w:t>
      </w:r>
      <w:r w:rsidRPr="00FF63D1">
        <w:rPr>
          <w:noProof/>
        </w:rPr>
        <w:t>0.2418 billion</w:t>
      </w:r>
    </w:p>
    <w:p w14:paraId="7FC38CA0" w14:textId="69406A51" w:rsidR="00BC6BA9" w:rsidRPr="00FF63D1" w:rsidRDefault="00A87C14" w:rsidP="00BC6BA9">
      <w:pPr>
        <w:pStyle w:val="ListParagraph"/>
        <w:numPr>
          <w:ilvl w:val="0"/>
          <w:numId w:val="42"/>
        </w:numPr>
        <w:rPr>
          <w:noProof/>
        </w:rPr>
      </w:pPr>
      <w:r>
        <w:rPr>
          <w:noProof/>
        </w:rPr>
        <w:t>Rest of the market</w:t>
      </w:r>
      <w:r w:rsidR="00BC6BA9" w:rsidRPr="00FF63D1">
        <w:rPr>
          <w:noProof/>
        </w:rPr>
        <w:t xml:space="preserve">: 0.66 × 2.015 = </w:t>
      </w:r>
      <w:r w:rsidR="00BC6BA9" w:rsidRPr="00C841CC">
        <w:rPr>
          <w:noProof/>
        </w:rPr>
        <w:t xml:space="preserve">EUR </w:t>
      </w:r>
      <w:r w:rsidR="00BC6BA9" w:rsidRPr="00FF63D1">
        <w:rPr>
          <w:noProof/>
        </w:rPr>
        <w:t>1.3299 billion</w:t>
      </w:r>
    </w:p>
    <w:p w14:paraId="6850D2F4" w14:textId="77777777" w:rsidR="00963770" w:rsidRDefault="00963770" w:rsidP="00963770">
      <w:pPr>
        <w:rPr>
          <w:noProof/>
        </w:rPr>
      </w:pPr>
    </w:p>
    <w:p w14:paraId="7B180AC5" w14:textId="57B177F0" w:rsidR="00963770" w:rsidRPr="00F83899" w:rsidRDefault="002A2124" w:rsidP="00963770">
      <w:pPr>
        <w:rPr>
          <w:i/>
          <w:noProof/>
        </w:rPr>
      </w:pPr>
      <w:r w:rsidRPr="00F83899">
        <w:rPr>
          <w:i/>
          <w:noProof/>
        </w:rPr>
        <w:t xml:space="preserve">The </w:t>
      </w:r>
      <w:r w:rsidR="00F83899" w:rsidRPr="00F83899">
        <w:rPr>
          <w:i/>
          <w:iCs/>
          <w:noProof/>
        </w:rPr>
        <w:t xml:space="preserve">sensitivity </w:t>
      </w:r>
      <w:r w:rsidRPr="00F83899">
        <w:rPr>
          <w:i/>
          <w:iCs/>
          <w:noProof/>
        </w:rPr>
        <w:t>delta</w:t>
      </w:r>
      <w:r w:rsidR="00E723DC" w:rsidRPr="00E71388">
        <w:rPr>
          <w:noProof/>
        </w:rPr>
        <w:t xml:space="preserve"> </w:t>
      </w:r>
      <w:r w:rsidR="00E723DC">
        <w:rPr>
          <w:rFonts w:cs="Aptos"/>
          <w:i/>
          <w:iCs/>
          <w:noProof/>
        </w:rPr>
        <w:t xml:space="preserve">following </w:t>
      </w:r>
      <w:r w:rsidR="00E723DC" w:rsidRPr="00504720">
        <w:rPr>
          <w:rFonts w:cs="Aptos"/>
          <w:i/>
          <w:iCs/>
          <w:noProof/>
        </w:rPr>
        <w:t>the</w:t>
      </w:r>
      <w:r w:rsidR="00E723DC">
        <w:rPr>
          <w:rFonts w:cs="Aptos"/>
          <w:i/>
          <w:iCs/>
          <w:noProof/>
        </w:rPr>
        <w:t xml:space="preserve"> more conservative estimate of deployment,</w:t>
      </w:r>
      <w:r w:rsidR="00E723DC" w:rsidRPr="00504720">
        <w:rPr>
          <w:rFonts w:cs="Aptos"/>
          <w:i/>
          <w:iCs/>
          <w:noProof/>
        </w:rPr>
        <w:t xml:space="preserve"> is 1.798 billion for 58</w:t>
      </w:r>
      <w:r w:rsidR="007504FF">
        <w:rPr>
          <w:rFonts w:cs="Aptos"/>
          <w:i/>
          <w:iCs/>
          <w:noProof/>
        </w:rPr>
        <w:t xml:space="preserve"> </w:t>
      </w:r>
      <w:r w:rsidR="00E723DC" w:rsidRPr="00504720">
        <w:rPr>
          <w:rFonts w:cs="Aptos"/>
          <w:i/>
          <w:iCs/>
          <w:noProof/>
        </w:rPr>
        <w:t xml:space="preserve">GW </w:t>
      </w:r>
      <w:r w:rsidR="00E723DC" w:rsidRPr="00E71388">
        <w:rPr>
          <w:rFonts w:cs="Aptos"/>
          <w:noProof/>
        </w:rPr>
        <w:t>which is broken down per market segment as follows:</w:t>
      </w:r>
    </w:p>
    <w:p w14:paraId="3F908671" w14:textId="7CB9DAD7" w:rsidR="00963770" w:rsidRPr="00F83899" w:rsidRDefault="00963770" w:rsidP="00963770">
      <w:pPr>
        <w:pStyle w:val="ListParagraph"/>
        <w:numPr>
          <w:ilvl w:val="0"/>
          <w:numId w:val="42"/>
        </w:numPr>
        <w:rPr>
          <w:i/>
          <w:noProof/>
        </w:rPr>
      </w:pPr>
      <w:r w:rsidRPr="00F83899">
        <w:rPr>
          <w:i/>
          <w:noProof/>
        </w:rPr>
        <w:t xml:space="preserve">Public procurement: 0.03 × </w:t>
      </w:r>
      <w:r w:rsidR="00BB23D4">
        <w:rPr>
          <w:i/>
          <w:iCs/>
          <w:noProof/>
        </w:rPr>
        <w:t>1.798</w:t>
      </w:r>
      <w:r w:rsidRPr="00F83899">
        <w:rPr>
          <w:i/>
          <w:noProof/>
        </w:rPr>
        <w:t xml:space="preserve"> = EUR 0.0</w:t>
      </w:r>
      <w:r w:rsidR="00F7220E">
        <w:rPr>
          <w:i/>
          <w:iCs/>
          <w:noProof/>
        </w:rPr>
        <w:t>5394</w:t>
      </w:r>
      <w:r w:rsidRPr="00F83899">
        <w:rPr>
          <w:i/>
          <w:noProof/>
        </w:rPr>
        <w:t> billion</w:t>
      </w:r>
    </w:p>
    <w:p w14:paraId="268271F2" w14:textId="6023FC7B" w:rsidR="00963770" w:rsidRPr="00FE5E06" w:rsidRDefault="00963770" w:rsidP="00963770">
      <w:pPr>
        <w:pStyle w:val="ListParagraph"/>
        <w:numPr>
          <w:ilvl w:val="0"/>
          <w:numId w:val="42"/>
        </w:numPr>
        <w:rPr>
          <w:i/>
          <w:noProof/>
        </w:rPr>
      </w:pPr>
      <w:r w:rsidRPr="00FE5E06">
        <w:rPr>
          <w:i/>
          <w:noProof/>
        </w:rPr>
        <w:t xml:space="preserve">Auctions: 0.19 × </w:t>
      </w:r>
      <w:r w:rsidR="00BB23D4">
        <w:rPr>
          <w:i/>
          <w:iCs/>
          <w:noProof/>
        </w:rPr>
        <w:t>1.798</w:t>
      </w:r>
      <w:r w:rsidR="00BB23D4" w:rsidRPr="005E6028">
        <w:rPr>
          <w:i/>
          <w:iCs/>
          <w:noProof/>
        </w:rPr>
        <w:t xml:space="preserve"> </w:t>
      </w:r>
      <w:r w:rsidRPr="00FE5E06">
        <w:rPr>
          <w:i/>
          <w:noProof/>
        </w:rPr>
        <w:t xml:space="preserve">= EUR </w:t>
      </w:r>
      <w:r w:rsidR="0000542B">
        <w:rPr>
          <w:i/>
          <w:iCs/>
          <w:noProof/>
        </w:rPr>
        <w:t>0.3416</w:t>
      </w:r>
      <w:r w:rsidRPr="00FE5E06">
        <w:rPr>
          <w:i/>
          <w:noProof/>
        </w:rPr>
        <w:t> billion</w:t>
      </w:r>
    </w:p>
    <w:p w14:paraId="755A2308" w14:textId="52209914" w:rsidR="00963770" w:rsidRPr="00FE5E06" w:rsidRDefault="00963770" w:rsidP="00963770">
      <w:pPr>
        <w:pStyle w:val="ListParagraph"/>
        <w:numPr>
          <w:ilvl w:val="0"/>
          <w:numId w:val="42"/>
        </w:numPr>
        <w:rPr>
          <w:i/>
          <w:noProof/>
        </w:rPr>
      </w:pPr>
      <w:r w:rsidRPr="00FE5E06">
        <w:rPr>
          <w:i/>
          <w:noProof/>
        </w:rPr>
        <w:t xml:space="preserve">Schemes: 0.12 × </w:t>
      </w:r>
      <w:r w:rsidR="00BB23D4">
        <w:rPr>
          <w:i/>
          <w:iCs/>
          <w:noProof/>
        </w:rPr>
        <w:t>1.798</w:t>
      </w:r>
      <w:r w:rsidR="00BB23D4" w:rsidRPr="005E6028">
        <w:rPr>
          <w:i/>
          <w:iCs/>
          <w:noProof/>
        </w:rPr>
        <w:t xml:space="preserve"> </w:t>
      </w:r>
      <w:r w:rsidRPr="00FE5E06">
        <w:rPr>
          <w:i/>
          <w:noProof/>
        </w:rPr>
        <w:t>= EUR 0.2</w:t>
      </w:r>
      <w:r w:rsidR="0042667F">
        <w:rPr>
          <w:i/>
          <w:iCs/>
          <w:noProof/>
        </w:rPr>
        <w:t>157</w:t>
      </w:r>
      <w:r w:rsidRPr="00FE5E06">
        <w:rPr>
          <w:i/>
          <w:noProof/>
        </w:rPr>
        <w:t> billion</w:t>
      </w:r>
    </w:p>
    <w:p w14:paraId="1DFEED1C" w14:textId="7D4EC71F" w:rsidR="00963770" w:rsidRPr="00FE5E06" w:rsidRDefault="00A87C14" w:rsidP="00963770">
      <w:pPr>
        <w:pStyle w:val="ListParagraph"/>
        <w:numPr>
          <w:ilvl w:val="0"/>
          <w:numId w:val="42"/>
        </w:numPr>
        <w:rPr>
          <w:i/>
          <w:noProof/>
        </w:rPr>
      </w:pPr>
      <w:r>
        <w:rPr>
          <w:i/>
          <w:iCs/>
          <w:noProof/>
        </w:rPr>
        <w:t>Rest of the market</w:t>
      </w:r>
      <w:r w:rsidR="00963770" w:rsidRPr="00FE5E06">
        <w:rPr>
          <w:i/>
          <w:noProof/>
        </w:rPr>
        <w:t xml:space="preserve">: 0.66 × </w:t>
      </w:r>
      <w:r w:rsidR="00BB23D4">
        <w:rPr>
          <w:i/>
          <w:iCs/>
          <w:noProof/>
        </w:rPr>
        <w:t>1.798</w:t>
      </w:r>
      <w:r w:rsidR="00963770" w:rsidRPr="00FE5E06">
        <w:rPr>
          <w:i/>
          <w:noProof/>
        </w:rPr>
        <w:t xml:space="preserve"> = EUR </w:t>
      </w:r>
      <w:r w:rsidR="00963770">
        <w:rPr>
          <w:i/>
          <w:iCs/>
          <w:noProof/>
        </w:rPr>
        <w:t>1.</w:t>
      </w:r>
      <w:r w:rsidR="00A0631E">
        <w:rPr>
          <w:i/>
          <w:iCs/>
          <w:noProof/>
        </w:rPr>
        <w:t>18</w:t>
      </w:r>
      <w:r w:rsidR="00963770" w:rsidRPr="00FE5E06">
        <w:rPr>
          <w:i/>
          <w:noProof/>
        </w:rPr>
        <w:t> billion</w:t>
      </w:r>
    </w:p>
    <w:p w14:paraId="5FFAE374" w14:textId="77777777" w:rsidR="00904D0A" w:rsidRDefault="00904D0A" w:rsidP="00904D0A">
      <w:pPr>
        <w:rPr>
          <w:noProof/>
        </w:rPr>
      </w:pPr>
    </w:p>
    <w:p w14:paraId="5E3B1A92" w14:textId="19BD30D8" w:rsidR="00DD1D82" w:rsidRPr="00DD1D82" w:rsidRDefault="53246B6D" w:rsidP="00DD1D82">
      <w:pPr>
        <w:rPr>
          <w:noProof/>
          <w:lang w:val="en-IE"/>
        </w:rPr>
      </w:pPr>
      <w:r w:rsidRPr="00DD1D82">
        <w:rPr>
          <w:noProof/>
          <w:lang w:val="en-IE"/>
        </w:rPr>
        <w:t>58 GW is based on solar capacity deployment projection in 2030</w:t>
      </w:r>
      <w:r w:rsidR="00887D82">
        <w:rPr>
          <w:rStyle w:val="FootnoteReference"/>
          <w:noProof/>
          <w:lang w:val="en-IE"/>
        </w:rPr>
        <w:footnoteReference w:id="710"/>
      </w:r>
      <w:r w:rsidRPr="00DD1D82">
        <w:rPr>
          <w:noProof/>
          <w:lang w:val="en-IE"/>
        </w:rPr>
        <w:t xml:space="preserve">. Although there is no low scenario for 2030, </w:t>
      </w:r>
      <w:r w:rsidR="6845E125">
        <w:rPr>
          <w:noProof/>
          <w:lang w:val="en-IE"/>
        </w:rPr>
        <w:t>it</w:t>
      </w:r>
      <w:r w:rsidRPr="00DD1D82">
        <w:rPr>
          <w:noProof/>
          <w:lang w:val="en-IE"/>
        </w:rPr>
        <w:t xml:space="preserve"> has been extrapolated from the low scenario of years 2026-2028.</w:t>
      </w:r>
    </w:p>
    <w:p w14:paraId="36F4B71A" w14:textId="77777777" w:rsidR="00904D0A" w:rsidRDefault="00904D0A" w:rsidP="00904D0A">
      <w:pPr>
        <w:rPr>
          <w:noProof/>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1636"/>
        <w:gridCol w:w="2268"/>
        <w:gridCol w:w="3101"/>
      </w:tblGrid>
      <w:tr w:rsidR="00904D0A" w:rsidRPr="00A111C7" w14:paraId="130F0DA8" w14:textId="77777777" w:rsidTr="00D31B04">
        <w:trPr>
          <w:trHeight w:val="300"/>
          <w:tblHeader/>
        </w:trPr>
        <w:tc>
          <w:tcPr>
            <w:tcW w:w="2325" w:type="dxa"/>
            <w:tcBorders>
              <w:top w:val="single" w:sz="6" w:space="0" w:color="auto"/>
              <w:left w:val="single" w:sz="6" w:space="0" w:color="auto"/>
              <w:bottom w:val="single" w:sz="6" w:space="0" w:color="auto"/>
              <w:right w:val="single" w:sz="6" w:space="0" w:color="auto"/>
            </w:tcBorders>
            <w:hideMark/>
          </w:tcPr>
          <w:p w14:paraId="652131BE" w14:textId="3982059A" w:rsidR="00904D0A" w:rsidRPr="00FE5E06" w:rsidRDefault="00904D0A">
            <w:pPr>
              <w:jc w:val="left"/>
              <w:textAlignment w:val="baseline"/>
              <w:rPr>
                <w:rFonts w:cs="Times New Roman"/>
                <w:i/>
                <w:noProof/>
                <w:sz w:val="22"/>
              </w:rPr>
            </w:pPr>
            <w:r w:rsidRPr="00FE5E06">
              <w:rPr>
                <w:rFonts w:cs="Times New Roman"/>
                <w:b/>
                <w:i/>
                <w:noProof/>
                <w:sz w:val="22"/>
              </w:rPr>
              <w:t>LEAD_SOL</w:t>
            </w:r>
            <w:r w:rsidRPr="00FE5E06">
              <w:rPr>
                <w:rFonts w:cs="Times New Roman"/>
                <w:i/>
                <w:noProof/>
                <w:sz w:val="22"/>
              </w:rPr>
              <w:t> </w:t>
            </w:r>
          </w:p>
        </w:tc>
        <w:tc>
          <w:tcPr>
            <w:tcW w:w="7005" w:type="dxa"/>
            <w:gridSpan w:val="3"/>
            <w:tcBorders>
              <w:top w:val="single" w:sz="6" w:space="0" w:color="auto"/>
              <w:left w:val="single" w:sz="6" w:space="0" w:color="auto"/>
              <w:bottom w:val="single" w:sz="6" w:space="0" w:color="auto"/>
              <w:right w:val="single" w:sz="6" w:space="0" w:color="auto"/>
            </w:tcBorders>
            <w:hideMark/>
          </w:tcPr>
          <w:p w14:paraId="457E22EF" w14:textId="77777777" w:rsidR="00904D0A" w:rsidRPr="00FE5E06" w:rsidRDefault="00904D0A">
            <w:pPr>
              <w:jc w:val="left"/>
              <w:textAlignment w:val="baseline"/>
              <w:rPr>
                <w:rFonts w:cs="Times New Roman"/>
                <w:noProof/>
                <w:sz w:val="22"/>
              </w:rPr>
            </w:pPr>
            <w:r w:rsidRPr="00FE5E06">
              <w:rPr>
                <w:rFonts w:cs="Times New Roman"/>
                <w:b/>
                <w:noProof/>
                <w:sz w:val="22"/>
              </w:rPr>
              <w:t>Difference to the baseline</w:t>
            </w:r>
            <w:r w:rsidRPr="00FE5E06">
              <w:rPr>
                <w:rFonts w:cs="Times New Roman"/>
                <w:noProof/>
                <w:sz w:val="22"/>
              </w:rPr>
              <w:t> </w:t>
            </w:r>
          </w:p>
        </w:tc>
      </w:tr>
      <w:tr w:rsidR="00904D0A" w:rsidRPr="00A111C7" w14:paraId="4F2B7B29" w14:textId="77777777" w:rsidTr="00D31B04">
        <w:trPr>
          <w:trHeight w:val="300"/>
          <w:tblHeader/>
        </w:trPr>
        <w:tc>
          <w:tcPr>
            <w:tcW w:w="2325" w:type="dxa"/>
            <w:tcBorders>
              <w:top w:val="single" w:sz="6" w:space="0" w:color="auto"/>
              <w:left w:val="single" w:sz="6" w:space="0" w:color="auto"/>
              <w:bottom w:val="single" w:sz="6" w:space="0" w:color="auto"/>
              <w:right w:val="single" w:sz="6" w:space="0" w:color="auto"/>
            </w:tcBorders>
            <w:hideMark/>
          </w:tcPr>
          <w:p w14:paraId="438BAFE9" w14:textId="77777777" w:rsidR="00904D0A" w:rsidRPr="00FE5E06" w:rsidRDefault="00904D0A">
            <w:pPr>
              <w:jc w:val="left"/>
              <w:textAlignment w:val="baseline"/>
              <w:rPr>
                <w:rFonts w:cs="Times New Roman"/>
                <w:noProof/>
                <w:sz w:val="22"/>
              </w:rPr>
            </w:pPr>
            <w:r w:rsidRPr="00FE5E06">
              <w:rPr>
                <w:rFonts w:cs="Times New Roman"/>
                <w:noProof/>
                <w:sz w:val="22"/>
              </w:rPr>
              <w:t> </w:t>
            </w:r>
          </w:p>
        </w:tc>
        <w:tc>
          <w:tcPr>
            <w:tcW w:w="1636" w:type="dxa"/>
            <w:tcBorders>
              <w:top w:val="single" w:sz="6" w:space="0" w:color="auto"/>
              <w:left w:val="single" w:sz="6" w:space="0" w:color="auto"/>
              <w:bottom w:val="single" w:sz="6" w:space="0" w:color="auto"/>
              <w:right w:val="single" w:sz="6" w:space="0" w:color="auto"/>
            </w:tcBorders>
            <w:hideMark/>
          </w:tcPr>
          <w:p w14:paraId="60E85B3A" w14:textId="77777777" w:rsidR="00904D0A" w:rsidRPr="00FE5E06" w:rsidRDefault="00904D0A">
            <w:pPr>
              <w:jc w:val="left"/>
              <w:textAlignment w:val="baseline"/>
              <w:rPr>
                <w:rFonts w:cs="Times New Roman"/>
                <w:noProof/>
                <w:sz w:val="22"/>
              </w:rPr>
            </w:pPr>
            <w:r w:rsidRPr="00FE5E06">
              <w:rPr>
                <w:rFonts w:cs="Times New Roman"/>
                <w:noProof/>
                <w:sz w:val="22"/>
              </w:rPr>
              <w:t>PO1 </w:t>
            </w:r>
          </w:p>
        </w:tc>
        <w:tc>
          <w:tcPr>
            <w:tcW w:w="2268" w:type="dxa"/>
            <w:tcBorders>
              <w:top w:val="single" w:sz="6" w:space="0" w:color="auto"/>
              <w:left w:val="single" w:sz="6" w:space="0" w:color="auto"/>
              <w:bottom w:val="single" w:sz="6" w:space="0" w:color="auto"/>
              <w:right w:val="single" w:sz="6" w:space="0" w:color="auto"/>
            </w:tcBorders>
            <w:hideMark/>
          </w:tcPr>
          <w:p w14:paraId="4D00BB40" w14:textId="77777777" w:rsidR="00904D0A" w:rsidRPr="00FE5E06" w:rsidRDefault="00904D0A">
            <w:pPr>
              <w:jc w:val="left"/>
              <w:textAlignment w:val="baseline"/>
              <w:rPr>
                <w:rFonts w:cs="Times New Roman"/>
                <w:noProof/>
                <w:sz w:val="22"/>
              </w:rPr>
            </w:pPr>
            <w:r w:rsidRPr="00FE5E06">
              <w:rPr>
                <w:rFonts w:cs="Times New Roman"/>
                <w:noProof/>
                <w:sz w:val="22"/>
              </w:rPr>
              <w:t>PO2 </w:t>
            </w:r>
          </w:p>
        </w:tc>
        <w:tc>
          <w:tcPr>
            <w:tcW w:w="3101" w:type="dxa"/>
            <w:tcBorders>
              <w:top w:val="single" w:sz="6" w:space="0" w:color="auto"/>
              <w:left w:val="single" w:sz="6" w:space="0" w:color="auto"/>
              <w:bottom w:val="single" w:sz="6" w:space="0" w:color="auto"/>
              <w:right w:val="single" w:sz="6" w:space="0" w:color="auto"/>
            </w:tcBorders>
            <w:hideMark/>
          </w:tcPr>
          <w:p w14:paraId="301C77C5" w14:textId="77777777" w:rsidR="00904D0A" w:rsidRPr="00FE5E06" w:rsidRDefault="00904D0A">
            <w:pPr>
              <w:jc w:val="left"/>
              <w:textAlignment w:val="baseline"/>
              <w:rPr>
                <w:rFonts w:cs="Times New Roman"/>
                <w:noProof/>
                <w:sz w:val="22"/>
              </w:rPr>
            </w:pPr>
            <w:r w:rsidRPr="00FE5E06">
              <w:rPr>
                <w:rFonts w:cs="Times New Roman"/>
                <w:noProof/>
                <w:sz w:val="22"/>
              </w:rPr>
              <w:t>PO3 </w:t>
            </w:r>
          </w:p>
        </w:tc>
      </w:tr>
      <w:tr w:rsidR="00904D0A" w:rsidRPr="00A111C7" w14:paraId="1A3B4B4D" w14:textId="77777777">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5220AF62" w14:textId="77777777" w:rsidR="00904D0A" w:rsidRPr="00FE5E06" w:rsidRDefault="00904D0A">
            <w:pPr>
              <w:jc w:val="left"/>
              <w:textAlignment w:val="baseline"/>
              <w:rPr>
                <w:rFonts w:cs="Times New Roman"/>
                <w:noProof/>
                <w:sz w:val="22"/>
              </w:rPr>
            </w:pPr>
            <w:r w:rsidRPr="00FE5E06">
              <w:rPr>
                <w:rFonts w:cs="Times New Roman"/>
                <w:noProof/>
                <w:color w:val="FFFFFF"/>
                <w:sz w:val="22"/>
              </w:rPr>
              <w:t xml:space="preserve">Member States </w:t>
            </w:r>
          </w:p>
        </w:tc>
        <w:tc>
          <w:tcPr>
            <w:tcW w:w="1636"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4AF51420" w14:textId="77777777" w:rsidR="00904D0A" w:rsidRPr="00FE5E06" w:rsidRDefault="00904D0A">
            <w:pPr>
              <w:jc w:val="left"/>
              <w:textAlignment w:val="baseline"/>
              <w:rPr>
                <w:rFonts w:cs="Times New Roman"/>
                <w:noProof/>
                <w:sz w:val="22"/>
              </w:rPr>
            </w:pPr>
            <w:r w:rsidRPr="00FE5E06">
              <w:rPr>
                <w:rFonts w:cs="Times New Roman"/>
                <w:noProof/>
                <w:color w:val="FFFFFF"/>
                <w:sz w:val="22"/>
              </w:rPr>
              <w:t> </w:t>
            </w:r>
          </w:p>
        </w:tc>
        <w:tc>
          <w:tcPr>
            <w:tcW w:w="2268"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3711DB14" w14:textId="77777777" w:rsidR="00904D0A" w:rsidRPr="00FE5E06" w:rsidRDefault="00904D0A">
            <w:pPr>
              <w:jc w:val="left"/>
              <w:textAlignment w:val="baseline"/>
              <w:rPr>
                <w:rFonts w:cs="Times New Roman"/>
                <w:noProof/>
                <w:sz w:val="22"/>
              </w:rPr>
            </w:pPr>
            <w:r w:rsidRPr="00FE5E06">
              <w:rPr>
                <w:rFonts w:cs="Times New Roman"/>
                <w:noProof/>
                <w:color w:val="FFFFFF"/>
                <w:sz w:val="22"/>
              </w:rPr>
              <w:t> </w:t>
            </w:r>
          </w:p>
        </w:tc>
        <w:tc>
          <w:tcPr>
            <w:tcW w:w="3101"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430E64BC" w14:textId="77777777" w:rsidR="00904D0A" w:rsidRPr="00FE5E06" w:rsidRDefault="00904D0A">
            <w:pPr>
              <w:jc w:val="left"/>
              <w:textAlignment w:val="baseline"/>
              <w:rPr>
                <w:rFonts w:cs="Times New Roman"/>
                <w:noProof/>
                <w:sz w:val="22"/>
              </w:rPr>
            </w:pPr>
            <w:r w:rsidRPr="00FE5E06">
              <w:rPr>
                <w:rFonts w:cs="Times New Roman"/>
                <w:noProof/>
                <w:color w:val="FFFFFF"/>
                <w:sz w:val="22"/>
              </w:rPr>
              <w:t> </w:t>
            </w:r>
          </w:p>
        </w:tc>
      </w:tr>
      <w:tr w:rsidR="00904D0A" w:rsidRPr="00A111C7" w14:paraId="05238374"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6FC49BFE" w14:textId="77777777" w:rsidR="00904D0A" w:rsidRPr="00FE5E06" w:rsidRDefault="00904D0A">
            <w:pPr>
              <w:jc w:val="left"/>
              <w:textAlignment w:val="baseline"/>
              <w:rPr>
                <w:rFonts w:cs="Times New Roman"/>
                <w:b/>
                <w:noProof/>
                <w:sz w:val="22"/>
              </w:rPr>
            </w:pPr>
            <w:r w:rsidRPr="00FE5E06">
              <w:rPr>
                <w:rFonts w:cs="Times New Roman"/>
                <w:b/>
                <w:noProof/>
                <w:sz w:val="22"/>
              </w:rPr>
              <w:t>Adjustment costs (recurring) </w:t>
            </w:r>
          </w:p>
        </w:tc>
        <w:tc>
          <w:tcPr>
            <w:tcW w:w="3904" w:type="dxa"/>
            <w:gridSpan w:val="2"/>
            <w:tcBorders>
              <w:top w:val="single" w:sz="6" w:space="0" w:color="auto"/>
              <w:left w:val="single" w:sz="6" w:space="0" w:color="auto"/>
              <w:bottom w:val="single" w:sz="6" w:space="0" w:color="auto"/>
              <w:right w:val="single" w:sz="6" w:space="0" w:color="auto"/>
            </w:tcBorders>
            <w:hideMark/>
          </w:tcPr>
          <w:p w14:paraId="64A14300" w14:textId="6168866A" w:rsidR="00904D0A" w:rsidRPr="00FE5E06" w:rsidRDefault="00904D0A">
            <w:pPr>
              <w:jc w:val="left"/>
              <w:textAlignment w:val="baseline"/>
              <w:rPr>
                <w:rFonts w:cs="Times New Roman"/>
                <w:noProof/>
                <w:sz w:val="22"/>
              </w:rPr>
            </w:pPr>
            <w:r w:rsidRPr="00FE5E06">
              <w:rPr>
                <w:rFonts w:cs="Times New Roman"/>
                <w:noProof/>
                <w:sz w:val="22"/>
              </w:rPr>
              <w:t xml:space="preserve">Public </w:t>
            </w:r>
            <w:r w:rsidR="00F02BC8">
              <w:rPr>
                <w:rFonts w:cs="Times New Roman"/>
                <w:noProof/>
                <w:sz w:val="22"/>
              </w:rPr>
              <w:t>p</w:t>
            </w:r>
            <w:r w:rsidRPr="00FE5E06">
              <w:rPr>
                <w:rFonts w:cs="Times New Roman"/>
                <w:noProof/>
                <w:sz w:val="22"/>
              </w:rPr>
              <w:t>rocurement: EUR 60.45 million </w:t>
            </w:r>
          </w:p>
          <w:p w14:paraId="19944E37" w14:textId="77777777" w:rsidR="00904D0A" w:rsidRPr="00FE5E06" w:rsidRDefault="00904D0A">
            <w:pPr>
              <w:jc w:val="left"/>
              <w:textAlignment w:val="baseline"/>
              <w:rPr>
                <w:rFonts w:cs="Times New Roman"/>
                <w:noProof/>
                <w:sz w:val="22"/>
              </w:rPr>
            </w:pPr>
            <w:r w:rsidRPr="00FE5E06">
              <w:rPr>
                <w:rFonts w:cs="Times New Roman"/>
                <w:noProof/>
                <w:sz w:val="22"/>
              </w:rPr>
              <w:t> </w:t>
            </w:r>
          </w:p>
          <w:p w14:paraId="0B33C925" w14:textId="77777777" w:rsidR="00904D0A" w:rsidRDefault="00904D0A">
            <w:pPr>
              <w:jc w:val="left"/>
              <w:textAlignment w:val="baseline"/>
              <w:rPr>
                <w:rFonts w:eastAsia="Times New Roman" w:cs="Times New Roman"/>
                <w:noProof/>
                <w:sz w:val="22"/>
                <w:lang w:eastAsia="en-IE"/>
              </w:rPr>
            </w:pPr>
            <w:r w:rsidRPr="00FE5E06">
              <w:rPr>
                <w:rFonts w:eastAsia="Times New Roman" w:cs="Times New Roman"/>
                <w:noProof/>
                <w:sz w:val="22"/>
                <w:lang w:eastAsia="en-IE"/>
              </w:rPr>
              <w:t>Auction margins decrease by: EUR 382.85 million </w:t>
            </w:r>
          </w:p>
          <w:p w14:paraId="5762959A" w14:textId="77777777" w:rsidR="00A34C44" w:rsidRDefault="00A34C44">
            <w:pPr>
              <w:jc w:val="left"/>
              <w:textAlignment w:val="baseline"/>
              <w:rPr>
                <w:rFonts w:eastAsia="Times New Roman" w:cs="Times New Roman"/>
                <w:noProof/>
                <w:sz w:val="22"/>
                <w:lang w:eastAsia="en-IE"/>
              </w:rPr>
            </w:pPr>
          </w:p>
          <w:p w14:paraId="0A5935CB" w14:textId="77777777" w:rsidR="00A34C44" w:rsidRPr="00FE5E06" w:rsidRDefault="00A34C44" w:rsidP="00A34C44">
            <w:pPr>
              <w:rPr>
                <w:i/>
                <w:noProof/>
                <w:color w:val="FF0000"/>
              </w:rPr>
            </w:pPr>
            <w:r w:rsidRPr="00FE5E06">
              <w:rPr>
                <w:i/>
                <w:noProof/>
                <w:color w:val="FF0000"/>
              </w:rPr>
              <w:t>Sensitivity:</w:t>
            </w:r>
          </w:p>
          <w:p w14:paraId="5453CDC3" w14:textId="3EB820FB" w:rsidR="00A34C44" w:rsidRPr="00FE5E06" w:rsidRDefault="00A34C44" w:rsidP="00A34C44">
            <w:pPr>
              <w:jc w:val="left"/>
              <w:textAlignment w:val="baseline"/>
              <w:rPr>
                <w:rFonts w:cs="Times New Roman"/>
                <w:i/>
                <w:noProof/>
                <w:color w:val="FF0000"/>
                <w:sz w:val="22"/>
              </w:rPr>
            </w:pPr>
            <w:r w:rsidRPr="00FE5E06">
              <w:rPr>
                <w:rFonts w:cs="Times New Roman"/>
                <w:i/>
                <w:noProof/>
                <w:color w:val="FF0000"/>
                <w:sz w:val="22"/>
              </w:rPr>
              <w:t xml:space="preserve">Public Procurement: EUR </w:t>
            </w:r>
            <w:r w:rsidR="000F3C9F" w:rsidRPr="00FE5E06">
              <w:rPr>
                <w:rFonts w:cs="Times New Roman"/>
                <w:i/>
                <w:noProof/>
                <w:color w:val="FF0000"/>
                <w:sz w:val="22"/>
              </w:rPr>
              <w:t xml:space="preserve">53.04 million- </w:t>
            </w:r>
            <w:r w:rsidRPr="00FE5E06">
              <w:rPr>
                <w:rFonts w:cs="Times New Roman"/>
                <w:i/>
                <w:noProof/>
                <w:color w:val="FF0000"/>
                <w:sz w:val="22"/>
              </w:rPr>
              <w:t>60.45 million </w:t>
            </w:r>
          </w:p>
          <w:p w14:paraId="2E09A754" w14:textId="77777777" w:rsidR="00A34C44" w:rsidRPr="00FE5E06" w:rsidRDefault="00A34C44" w:rsidP="00A34C44">
            <w:pPr>
              <w:jc w:val="left"/>
              <w:textAlignment w:val="baseline"/>
              <w:rPr>
                <w:rFonts w:cs="Times New Roman"/>
                <w:noProof/>
                <w:color w:val="FF0000"/>
                <w:sz w:val="22"/>
              </w:rPr>
            </w:pPr>
            <w:r w:rsidRPr="00FE5E06">
              <w:rPr>
                <w:rFonts w:cs="Times New Roman"/>
                <w:noProof/>
                <w:color w:val="FF0000"/>
                <w:sz w:val="22"/>
              </w:rPr>
              <w:t> </w:t>
            </w:r>
          </w:p>
          <w:p w14:paraId="43651429" w14:textId="57AFB6B8" w:rsidR="00A34C44" w:rsidRPr="00FE5E06" w:rsidRDefault="00A34C44" w:rsidP="00A34C44">
            <w:pPr>
              <w:jc w:val="left"/>
              <w:textAlignment w:val="baseline"/>
              <w:rPr>
                <w:rFonts w:eastAsia="Times New Roman" w:cs="Times New Roman"/>
                <w:i/>
                <w:noProof/>
                <w:color w:val="FF0000"/>
                <w:sz w:val="22"/>
                <w:lang w:eastAsia="en-IE"/>
              </w:rPr>
            </w:pPr>
            <w:r w:rsidRPr="00FE5E06">
              <w:rPr>
                <w:rFonts w:eastAsia="Times New Roman" w:cs="Times New Roman"/>
                <w:i/>
                <w:noProof/>
                <w:color w:val="FF0000"/>
                <w:sz w:val="22"/>
                <w:lang w:eastAsia="en-IE"/>
              </w:rPr>
              <w:t xml:space="preserve">Auction margins decrease by: EUR </w:t>
            </w:r>
            <w:r w:rsidR="00593CD3" w:rsidRPr="00FE5E06">
              <w:rPr>
                <w:rFonts w:eastAsia="Times New Roman" w:cs="Times New Roman"/>
                <w:i/>
                <w:noProof/>
                <w:color w:val="FF0000"/>
                <w:sz w:val="22"/>
                <w:lang w:eastAsia="en-IE"/>
              </w:rPr>
              <w:t>341.6 million -</w:t>
            </w:r>
            <w:r w:rsidRPr="00FE5E06">
              <w:rPr>
                <w:rFonts w:eastAsia="Times New Roman" w:cs="Times New Roman"/>
                <w:i/>
                <w:noProof/>
                <w:color w:val="FF0000"/>
                <w:sz w:val="22"/>
                <w:lang w:eastAsia="en-IE"/>
              </w:rPr>
              <w:t>EUR 382.85 million </w:t>
            </w:r>
          </w:p>
          <w:p w14:paraId="69894714" w14:textId="4BD9CC45" w:rsidR="00904D0A" w:rsidRPr="00FE5E06" w:rsidRDefault="00904D0A">
            <w:pPr>
              <w:jc w:val="left"/>
              <w:textAlignment w:val="baseline"/>
              <w:rPr>
                <w:rFonts w:cs="Times New Roman"/>
                <w:noProof/>
                <w:sz w:val="22"/>
              </w:rPr>
            </w:pPr>
          </w:p>
        </w:tc>
        <w:tc>
          <w:tcPr>
            <w:tcW w:w="3101" w:type="dxa"/>
            <w:tcBorders>
              <w:top w:val="single" w:sz="6" w:space="0" w:color="auto"/>
              <w:left w:val="single" w:sz="6" w:space="0" w:color="auto"/>
              <w:bottom w:val="single" w:sz="6" w:space="0" w:color="auto"/>
              <w:right w:val="single" w:sz="6" w:space="0" w:color="auto"/>
            </w:tcBorders>
            <w:hideMark/>
          </w:tcPr>
          <w:p w14:paraId="5278C5D2" w14:textId="174514A5" w:rsidR="00904D0A" w:rsidRPr="00FE5E06" w:rsidRDefault="00904D0A">
            <w:pPr>
              <w:jc w:val="left"/>
              <w:textAlignment w:val="baseline"/>
              <w:rPr>
                <w:rFonts w:cs="Times New Roman"/>
                <w:noProof/>
                <w:sz w:val="22"/>
              </w:rPr>
            </w:pPr>
            <w:r w:rsidRPr="00FE5E06">
              <w:rPr>
                <w:rFonts w:cs="Times New Roman"/>
                <w:noProof/>
                <w:sz w:val="22"/>
              </w:rPr>
              <w:t xml:space="preserve">Public </w:t>
            </w:r>
            <w:r w:rsidR="00F02BC8">
              <w:rPr>
                <w:rFonts w:cs="Times New Roman"/>
                <w:noProof/>
                <w:sz w:val="22"/>
              </w:rPr>
              <w:t>p</w:t>
            </w:r>
            <w:r w:rsidRPr="00FE5E06">
              <w:rPr>
                <w:rFonts w:cs="Times New Roman"/>
                <w:noProof/>
                <w:sz w:val="22"/>
              </w:rPr>
              <w:t>rocurement: EUR 60.45 million </w:t>
            </w:r>
          </w:p>
          <w:p w14:paraId="7E49F748" w14:textId="77777777" w:rsidR="00904D0A" w:rsidRPr="00FE5E06" w:rsidRDefault="00904D0A">
            <w:pPr>
              <w:jc w:val="left"/>
              <w:textAlignment w:val="baseline"/>
              <w:rPr>
                <w:rFonts w:cs="Times New Roman"/>
                <w:noProof/>
                <w:sz w:val="22"/>
              </w:rPr>
            </w:pPr>
            <w:r w:rsidRPr="00FE5E06">
              <w:rPr>
                <w:rFonts w:cs="Times New Roman"/>
                <w:noProof/>
                <w:sz w:val="22"/>
              </w:rPr>
              <w:t> </w:t>
            </w:r>
          </w:p>
          <w:p w14:paraId="0964232C" w14:textId="77777777" w:rsidR="00904D0A" w:rsidRDefault="00904D0A">
            <w:pPr>
              <w:jc w:val="left"/>
              <w:textAlignment w:val="baseline"/>
              <w:rPr>
                <w:rFonts w:eastAsia="Times New Roman" w:cs="Times New Roman"/>
                <w:noProof/>
                <w:sz w:val="22"/>
                <w:lang w:eastAsia="en-IE"/>
              </w:rPr>
            </w:pPr>
            <w:r w:rsidRPr="00FE5E06">
              <w:rPr>
                <w:rFonts w:eastAsia="Times New Roman" w:cs="Times New Roman"/>
                <w:noProof/>
                <w:sz w:val="22"/>
                <w:lang w:eastAsia="en-IE"/>
              </w:rPr>
              <w:t>Auction margins decrease by: EUR 382.85 million </w:t>
            </w:r>
          </w:p>
          <w:p w14:paraId="62CC5886" w14:textId="77777777" w:rsidR="00A34C44" w:rsidRDefault="00A34C44">
            <w:pPr>
              <w:jc w:val="left"/>
              <w:textAlignment w:val="baseline"/>
              <w:rPr>
                <w:rFonts w:eastAsia="Times New Roman" w:cs="Times New Roman"/>
                <w:noProof/>
                <w:sz w:val="22"/>
                <w:lang w:eastAsia="en-IE"/>
              </w:rPr>
            </w:pPr>
          </w:p>
          <w:p w14:paraId="69045FC3" w14:textId="77777777" w:rsidR="00A34C44" w:rsidRPr="00FE5E06" w:rsidRDefault="00A34C44" w:rsidP="00A34C44">
            <w:pPr>
              <w:rPr>
                <w:i/>
                <w:noProof/>
                <w:color w:val="FF0000"/>
              </w:rPr>
            </w:pPr>
            <w:r w:rsidRPr="00FE5E06">
              <w:rPr>
                <w:i/>
                <w:noProof/>
                <w:color w:val="FF0000"/>
              </w:rPr>
              <w:t>Sensitivity:</w:t>
            </w:r>
          </w:p>
          <w:p w14:paraId="67F0D2A1" w14:textId="77777777" w:rsidR="00593CD3" w:rsidRPr="00FE5E06" w:rsidRDefault="00593CD3" w:rsidP="00593CD3">
            <w:pPr>
              <w:jc w:val="left"/>
              <w:textAlignment w:val="baseline"/>
              <w:rPr>
                <w:rFonts w:cs="Times New Roman"/>
                <w:i/>
                <w:noProof/>
                <w:color w:val="FF0000"/>
                <w:sz w:val="22"/>
              </w:rPr>
            </w:pPr>
            <w:r w:rsidRPr="00FE5E06">
              <w:rPr>
                <w:rFonts w:cs="Times New Roman"/>
                <w:i/>
                <w:noProof/>
                <w:color w:val="FF0000"/>
                <w:sz w:val="22"/>
              </w:rPr>
              <w:t>Public Procurement: EUR 53.04 million- 60.45 million </w:t>
            </w:r>
          </w:p>
          <w:p w14:paraId="1CCD5351" w14:textId="77777777" w:rsidR="00593CD3" w:rsidRPr="00FE5E06" w:rsidRDefault="00593CD3" w:rsidP="00593CD3">
            <w:pPr>
              <w:jc w:val="left"/>
              <w:textAlignment w:val="baseline"/>
              <w:rPr>
                <w:rFonts w:cs="Times New Roman"/>
                <w:noProof/>
                <w:color w:val="FF0000"/>
                <w:sz w:val="22"/>
              </w:rPr>
            </w:pPr>
            <w:r w:rsidRPr="00FE5E06">
              <w:rPr>
                <w:rFonts w:cs="Times New Roman"/>
                <w:noProof/>
                <w:color w:val="FF0000"/>
                <w:sz w:val="22"/>
              </w:rPr>
              <w:t> </w:t>
            </w:r>
          </w:p>
          <w:p w14:paraId="0C020253" w14:textId="77777777" w:rsidR="00593CD3" w:rsidRPr="00FE5E06" w:rsidRDefault="00593CD3" w:rsidP="00593CD3">
            <w:pPr>
              <w:jc w:val="left"/>
              <w:textAlignment w:val="baseline"/>
              <w:rPr>
                <w:rFonts w:eastAsia="Times New Roman" w:cs="Times New Roman"/>
                <w:i/>
                <w:noProof/>
                <w:color w:val="FF0000"/>
                <w:sz w:val="22"/>
                <w:lang w:eastAsia="en-IE"/>
              </w:rPr>
            </w:pPr>
            <w:r w:rsidRPr="00FE5E06">
              <w:rPr>
                <w:rFonts w:eastAsia="Times New Roman" w:cs="Times New Roman"/>
                <w:i/>
                <w:noProof/>
                <w:color w:val="FF0000"/>
                <w:sz w:val="22"/>
                <w:lang w:eastAsia="en-IE"/>
              </w:rPr>
              <w:t>Auction margins decrease by: EUR 341.6 million -EUR 382.85 million </w:t>
            </w:r>
          </w:p>
          <w:p w14:paraId="76A077DE" w14:textId="7D7E3F6A" w:rsidR="00904D0A" w:rsidRPr="00FE5E06" w:rsidRDefault="00904D0A">
            <w:pPr>
              <w:jc w:val="left"/>
              <w:textAlignment w:val="baseline"/>
              <w:rPr>
                <w:rFonts w:cs="Times New Roman"/>
                <w:noProof/>
                <w:sz w:val="22"/>
              </w:rPr>
            </w:pPr>
          </w:p>
        </w:tc>
      </w:tr>
      <w:tr w:rsidR="00904D0A" w:rsidRPr="00A111C7" w14:paraId="0B16CCB5" w14:textId="77777777">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3E7699BC" w14:textId="77777777" w:rsidR="00904D0A" w:rsidRPr="00FE5E06" w:rsidRDefault="00904D0A">
            <w:pPr>
              <w:jc w:val="left"/>
              <w:textAlignment w:val="baseline"/>
              <w:rPr>
                <w:rFonts w:cs="Times New Roman"/>
                <w:noProof/>
                <w:sz w:val="22"/>
              </w:rPr>
            </w:pPr>
            <w:r w:rsidRPr="00FE5E06">
              <w:rPr>
                <w:rFonts w:cs="Times New Roman"/>
                <w:noProof/>
                <w:color w:val="FFFFFF"/>
                <w:sz w:val="22"/>
              </w:rPr>
              <w:t>Citizens/Consumer </w:t>
            </w:r>
          </w:p>
        </w:tc>
        <w:tc>
          <w:tcPr>
            <w:tcW w:w="1636"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66F49BA9" w14:textId="77777777" w:rsidR="00904D0A" w:rsidRPr="00FE5E06" w:rsidRDefault="00904D0A">
            <w:pPr>
              <w:jc w:val="left"/>
              <w:textAlignment w:val="baseline"/>
              <w:rPr>
                <w:rFonts w:cs="Times New Roman"/>
                <w:noProof/>
                <w:sz w:val="22"/>
              </w:rPr>
            </w:pPr>
            <w:r w:rsidRPr="00FE5E06">
              <w:rPr>
                <w:rFonts w:cs="Times New Roman"/>
                <w:noProof/>
                <w:sz w:val="22"/>
              </w:rPr>
              <w:t> </w:t>
            </w:r>
          </w:p>
        </w:tc>
        <w:tc>
          <w:tcPr>
            <w:tcW w:w="2268"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51047E7B" w14:textId="77777777" w:rsidR="00904D0A" w:rsidRPr="00FE5E06" w:rsidRDefault="00904D0A">
            <w:pPr>
              <w:jc w:val="left"/>
              <w:textAlignment w:val="baseline"/>
              <w:rPr>
                <w:rFonts w:cs="Times New Roman"/>
                <w:noProof/>
                <w:sz w:val="22"/>
              </w:rPr>
            </w:pPr>
            <w:r w:rsidRPr="00FE5E06">
              <w:rPr>
                <w:rFonts w:cs="Times New Roman"/>
                <w:noProof/>
                <w:sz w:val="22"/>
              </w:rPr>
              <w:t> </w:t>
            </w:r>
          </w:p>
        </w:tc>
        <w:tc>
          <w:tcPr>
            <w:tcW w:w="3101" w:type="dxa"/>
            <w:tcBorders>
              <w:top w:val="single" w:sz="6" w:space="0" w:color="auto"/>
              <w:left w:val="single" w:sz="6" w:space="0" w:color="auto"/>
              <w:bottom w:val="single" w:sz="6" w:space="0" w:color="auto"/>
              <w:right w:val="single" w:sz="6" w:space="0" w:color="auto"/>
            </w:tcBorders>
            <w:shd w:val="clear" w:color="auto" w:fill="215E99" w:themeFill="text2" w:themeFillTint="BF"/>
            <w:hideMark/>
          </w:tcPr>
          <w:p w14:paraId="34751797" w14:textId="77777777" w:rsidR="00904D0A" w:rsidRPr="00FE5E06" w:rsidRDefault="00904D0A">
            <w:pPr>
              <w:jc w:val="left"/>
              <w:textAlignment w:val="baseline"/>
              <w:rPr>
                <w:rFonts w:cs="Times New Roman"/>
                <w:noProof/>
                <w:sz w:val="22"/>
              </w:rPr>
            </w:pPr>
            <w:r w:rsidRPr="00FE5E06">
              <w:rPr>
                <w:rFonts w:cs="Times New Roman"/>
                <w:noProof/>
                <w:sz w:val="22"/>
              </w:rPr>
              <w:t> </w:t>
            </w:r>
          </w:p>
        </w:tc>
      </w:tr>
      <w:tr w:rsidR="00904D0A" w:rsidRPr="00A111C7" w14:paraId="7A6E7418"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04B7EEDC" w14:textId="77777777" w:rsidR="00904D0A" w:rsidRPr="00FE5E06" w:rsidRDefault="00904D0A">
            <w:pPr>
              <w:jc w:val="left"/>
              <w:textAlignment w:val="baseline"/>
              <w:rPr>
                <w:rFonts w:cs="Times New Roman"/>
                <w:b/>
                <w:noProof/>
                <w:sz w:val="22"/>
              </w:rPr>
            </w:pPr>
            <w:r w:rsidRPr="00FE5E06">
              <w:rPr>
                <w:rFonts w:cs="Times New Roman"/>
                <w:b/>
                <w:noProof/>
                <w:sz w:val="22"/>
              </w:rPr>
              <w:t>Adjustment costs (recurring)</w:t>
            </w:r>
          </w:p>
        </w:tc>
        <w:tc>
          <w:tcPr>
            <w:tcW w:w="3904" w:type="dxa"/>
            <w:gridSpan w:val="2"/>
            <w:tcBorders>
              <w:top w:val="single" w:sz="6" w:space="0" w:color="auto"/>
              <w:left w:val="single" w:sz="6" w:space="0" w:color="auto"/>
              <w:bottom w:val="single" w:sz="6" w:space="0" w:color="auto"/>
              <w:right w:val="single" w:sz="6" w:space="0" w:color="auto"/>
            </w:tcBorders>
            <w:hideMark/>
          </w:tcPr>
          <w:p w14:paraId="1C564880" w14:textId="77777777" w:rsidR="00904D0A" w:rsidRDefault="00904D0A">
            <w:pPr>
              <w:jc w:val="left"/>
              <w:textAlignment w:val="baseline"/>
              <w:rPr>
                <w:rFonts w:cs="Times New Roman"/>
                <w:noProof/>
                <w:sz w:val="22"/>
              </w:rPr>
            </w:pPr>
            <w:r w:rsidRPr="00FE5E06">
              <w:rPr>
                <w:rFonts w:cs="Times New Roman"/>
                <w:noProof/>
                <w:sz w:val="22"/>
              </w:rPr>
              <w:t>Public support schemes: EUR 241.8 million </w:t>
            </w:r>
          </w:p>
          <w:p w14:paraId="09778963" w14:textId="77777777" w:rsidR="00A34C44" w:rsidRDefault="00A34C44">
            <w:pPr>
              <w:jc w:val="left"/>
              <w:textAlignment w:val="baseline"/>
              <w:rPr>
                <w:rFonts w:cs="Times New Roman"/>
                <w:noProof/>
                <w:sz w:val="22"/>
              </w:rPr>
            </w:pPr>
          </w:p>
          <w:p w14:paraId="25C2022A" w14:textId="77777777" w:rsidR="00A34C44" w:rsidRPr="00FE5E06" w:rsidRDefault="00A34C44" w:rsidP="00A34C44">
            <w:pPr>
              <w:rPr>
                <w:i/>
                <w:noProof/>
                <w:color w:val="FF0000"/>
              </w:rPr>
            </w:pPr>
            <w:r w:rsidRPr="00FE5E06">
              <w:rPr>
                <w:i/>
                <w:noProof/>
                <w:color w:val="FF0000"/>
              </w:rPr>
              <w:t>Sensitivity:</w:t>
            </w:r>
          </w:p>
          <w:p w14:paraId="68DDDD97" w14:textId="2B9D2B4D" w:rsidR="00593CD3" w:rsidRPr="00FE5E06" w:rsidRDefault="00593CD3" w:rsidP="00593CD3">
            <w:pPr>
              <w:jc w:val="left"/>
              <w:textAlignment w:val="baseline"/>
              <w:rPr>
                <w:rFonts w:cs="Times New Roman"/>
                <w:i/>
                <w:noProof/>
                <w:color w:val="FF0000"/>
                <w:sz w:val="22"/>
              </w:rPr>
            </w:pPr>
            <w:r w:rsidRPr="00FE5E06">
              <w:rPr>
                <w:rFonts w:cs="Times New Roman"/>
                <w:i/>
                <w:noProof/>
                <w:color w:val="FF0000"/>
                <w:sz w:val="22"/>
              </w:rPr>
              <w:t xml:space="preserve">Public support schemes: EUR </w:t>
            </w:r>
            <w:r w:rsidR="00017F2E" w:rsidRPr="00FE5E06">
              <w:rPr>
                <w:rFonts w:cs="Times New Roman"/>
                <w:i/>
                <w:noProof/>
                <w:color w:val="FF0000"/>
                <w:sz w:val="22"/>
              </w:rPr>
              <w:t xml:space="preserve">215.7 million - </w:t>
            </w:r>
            <w:r w:rsidRPr="00FE5E06">
              <w:rPr>
                <w:rFonts w:cs="Times New Roman"/>
                <w:i/>
                <w:noProof/>
                <w:color w:val="FF0000"/>
                <w:sz w:val="22"/>
              </w:rPr>
              <w:t>EUR 241.8 million </w:t>
            </w:r>
          </w:p>
          <w:p w14:paraId="1F531CC1" w14:textId="6F53C93B" w:rsidR="00904D0A" w:rsidRPr="00FE5E06" w:rsidRDefault="00904D0A">
            <w:pPr>
              <w:jc w:val="left"/>
              <w:textAlignment w:val="baseline"/>
              <w:rPr>
                <w:rFonts w:cs="Times New Roman"/>
                <w:noProof/>
                <w:sz w:val="22"/>
              </w:rPr>
            </w:pPr>
          </w:p>
        </w:tc>
        <w:tc>
          <w:tcPr>
            <w:tcW w:w="3101" w:type="dxa"/>
            <w:tcBorders>
              <w:top w:val="single" w:sz="6" w:space="0" w:color="auto"/>
              <w:left w:val="single" w:sz="6" w:space="0" w:color="auto"/>
              <w:bottom w:val="single" w:sz="6" w:space="0" w:color="auto"/>
              <w:right w:val="single" w:sz="6" w:space="0" w:color="auto"/>
            </w:tcBorders>
            <w:hideMark/>
          </w:tcPr>
          <w:p w14:paraId="5282DFBE" w14:textId="77777777" w:rsidR="00904D0A" w:rsidRPr="00FE5E06" w:rsidRDefault="00904D0A">
            <w:pPr>
              <w:jc w:val="left"/>
              <w:textAlignment w:val="baseline"/>
              <w:rPr>
                <w:rFonts w:eastAsia="Times New Roman" w:cs="Times New Roman"/>
                <w:noProof/>
                <w:sz w:val="22"/>
                <w:lang w:eastAsia="en-IE"/>
              </w:rPr>
            </w:pPr>
            <w:r w:rsidRPr="00FE5E06">
              <w:rPr>
                <w:rFonts w:eastAsia="Times New Roman" w:cs="Times New Roman"/>
                <w:noProof/>
                <w:sz w:val="22"/>
                <w:lang w:eastAsia="en-IE"/>
              </w:rPr>
              <w:t>Public support schemes: EUR 241.8 million </w:t>
            </w:r>
          </w:p>
          <w:p w14:paraId="01CE6EBE" w14:textId="77777777" w:rsidR="00904D0A" w:rsidRPr="00FE5E06" w:rsidRDefault="00904D0A">
            <w:pPr>
              <w:jc w:val="left"/>
              <w:textAlignment w:val="baseline"/>
              <w:rPr>
                <w:rFonts w:eastAsia="Times New Roman" w:cs="Times New Roman"/>
                <w:noProof/>
                <w:sz w:val="22"/>
                <w:lang w:eastAsia="en-IE"/>
              </w:rPr>
            </w:pPr>
          </w:p>
          <w:p w14:paraId="16192788" w14:textId="77777777" w:rsidR="00904D0A" w:rsidRDefault="00904D0A">
            <w:pPr>
              <w:jc w:val="left"/>
              <w:textAlignment w:val="baseline"/>
              <w:rPr>
                <w:rFonts w:eastAsia="Times New Roman" w:cs="Times New Roman"/>
                <w:noProof/>
                <w:sz w:val="22"/>
                <w:lang w:eastAsia="en-IE"/>
              </w:rPr>
            </w:pPr>
            <w:r w:rsidRPr="00FE5E06">
              <w:rPr>
                <w:rFonts w:eastAsia="Times New Roman" w:cs="Times New Roman"/>
                <w:noProof/>
                <w:sz w:val="22"/>
                <w:lang w:eastAsia="en-IE"/>
              </w:rPr>
              <w:t>Other PV placed on the market : EUR 1.3299 billion </w:t>
            </w:r>
          </w:p>
          <w:p w14:paraId="46389D22" w14:textId="77777777" w:rsidR="00A34C44" w:rsidRDefault="00A34C44">
            <w:pPr>
              <w:jc w:val="left"/>
              <w:textAlignment w:val="baseline"/>
              <w:rPr>
                <w:rFonts w:eastAsia="Times New Roman" w:cs="Times New Roman"/>
                <w:noProof/>
                <w:sz w:val="22"/>
                <w:lang w:eastAsia="en-IE"/>
              </w:rPr>
            </w:pPr>
          </w:p>
          <w:p w14:paraId="259C69AF" w14:textId="77777777" w:rsidR="00A34C44" w:rsidRPr="00FE5E06" w:rsidRDefault="00A34C44" w:rsidP="00A34C44">
            <w:pPr>
              <w:rPr>
                <w:i/>
                <w:noProof/>
                <w:color w:val="FF0000"/>
              </w:rPr>
            </w:pPr>
            <w:r w:rsidRPr="00FE5E06">
              <w:rPr>
                <w:i/>
                <w:noProof/>
                <w:color w:val="FF0000"/>
              </w:rPr>
              <w:t>Sensitivity:</w:t>
            </w:r>
          </w:p>
          <w:p w14:paraId="180598E0" w14:textId="77777777" w:rsidR="00CF3AF8" w:rsidRPr="00FE5E06" w:rsidRDefault="00017F2E" w:rsidP="00017F2E">
            <w:pPr>
              <w:jc w:val="left"/>
              <w:textAlignment w:val="baseline"/>
              <w:rPr>
                <w:rFonts w:cs="Times New Roman"/>
                <w:i/>
                <w:noProof/>
                <w:color w:val="FF0000"/>
                <w:sz w:val="22"/>
                <w:lang w:val="en-IE"/>
              </w:rPr>
            </w:pPr>
            <w:r w:rsidRPr="00FE5E06">
              <w:rPr>
                <w:rFonts w:cs="Times New Roman"/>
                <w:i/>
                <w:noProof/>
                <w:color w:val="FF0000"/>
                <w:sz w:val="22"/>
                <w:lang w:val="en-IE"/>
              </w:rPr>
              <w:t>Public support schemes: EUR 215.7 million - EUR 241.8 million</w:t>
            </w:r>
          </w:p>
          <w:p w14:paraId="4E772A74" w14:textId="76B850ED" w:rsidR="00017F2E" w:rsidRPr="00FE5E06" w:rsidRDefault="00017F2E" w:rsidP="00017F2E">
            <w:pPr>
              <w:jc w:val="left"/>
              <w:textAlignment w:val="baseline"/>
              <w:rPr>
                <w:rFonts w:cs="Times New Roman"/>
                <w:i/>
                <w:noProof/>
                <w:color w:val="FF0000"/>
                <w:sz w:val="22"/>
                <w:lang w:val="en-IE"/>
              </w:rPr>
            </w:pPr>
            <w:r w:rsidRPr="00FE5E06">
              <w:rPr>
                <w:rFonts w:cs="Times New Roman"/>
                <w:i/>
                <w:noProof/>
                <w:color w:val="FF0000"/>
                <w:sz w:val="22"/>
                <w:lang w:val="en-IE"/>
              </w:rPr>
              <w:t> </w:t>
            </w:r>
          </w:p>
          <w:p w14:paraId="67735455" w14:textId="352248B0" w:rsidR="00017F2E" w:rsidRPr="007F7094" w:rsidRDefault="00A82222" w:rsidP="007F7094">
            <w:pPr>
              <w:jc w:val="left"/>
              <w:textAlignment w:val="baseline"/>
              <w:rPr>
                <w:rFonts w:eastAsia="Times New Roman" w:cs="Times New Roman"/>
                <w:i/>
                <w:noProof/>
                <w:color w:val="FF0000"/>
                <w:sz w:val="22"/>
                <w:lang w:eastAsia="en-IE"/>
              </w:rPr>
            </w:pPr>
            <w:r w:rsidRPr="00FE5E06">
              <w:rPr>
                <w:rFonts w:eastAsia="Times New Roman" w:cs="Times New Roman"/>
                <w:i/>
                <w:noProof/>
                <w:color w:val="FF0000"/>
                <w:sz w:val="22"/>
                <w:lang w:eastAsia="en-IE"/>
              </w:rPr>
              <w:t>Other PV placed on the market : EUR 1.18 billion - EUR 1.3299 billion </w:t>
            </w:r>
          </w:p>
          <w:p w14:paraId="677B2605" w14:textId="7C5BC2DB" w:rsidR="00904D0A" w:rsidRPr="00FE5E06" w:rsidRDefault="00904D0A">
            <w:pPr>
              <w:jc w:val="left"/>
              <w:textAlignment w:val="baseline"/>
              <w:rPr>
                <w:rFonts w:eastAsia="Times New Roman" w:cs="Times New Roman"/>
                <w:noProof/>
                <w:sz w:val="22"/>
                <w:lang w:eastAsia="en-IE"/>
              </w:rPr>
            </w:pPr>
          </w:p>
        </w:tc>
      </w:tr>
      <w:tr w:rsidR="00192643" w:rsidRPr="00A111C7" w14:paraId="4383C338" w14:textId="77777777" w:rsidTr="00FE5E06">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055739A1" w14:textId="45F9B225" w:rsidR="00192643" w:rsidRPr="00192643" w:rsidRDefault="00192643">
            <w:pPr>
              <w:jc w:val="left"/>
              <w:textAlignment w:val="baseline"/>
              <w:rPr>
                <w:rFonts w:cs="Times New Roman"/>
                <w:b/>
                <w:noProof/>
                <w:sz w:val="22"/>
              </w:rPr>
            </w:pPr>
            <w:r>
              <w:rPr>
                <w:rFonts w:cs="Times New Roman"/>
                <w:b/>
                <w:noProof/>
                <w:sz w:val="22"/>
              </w:rPr>
              <w:t>TOTAL</w:t>
            </w:r>
            <w:r w:rsidR="00B14033">
              <w:rPr>
                <w:rFonts w:cs="Times New Roman"/>
                <w:b/>
                <w:noProof/>
                <w:sz w:val="22"/>
              </w:rPr>
              <w:t xml:space="preserve"> sensitivity</w:t>
            </w:r>
          </w:p>
        </w:tc>
        <w:tc>
          <w:tcPr>
            <w:tcW w:w="3904" w:type="dxa"/>
            <w:gridSpan w:val="2"/>
            <w:tcBorders>
              <w:top w:val="single" w:sz="6" w:space="0" w:color="auto"/>
              <w:left w:val="single" w:sz="6" w:space="0" w:color="auto"/>
              <w:bottom w:val="single" w:sz="6" w:space="0" w:color="auto"/>
              <w:right w:val="single" w:sz="6" w:space="0" w:color="auto"/>
            </w:tcBorders>
            <w:shd w:val="clear" w:color="auto" w:fill="DAE9F7" w:themeFill="text2" w:themeFillTint="1A"/>
          </w:tcPr>
          <w:p w14:paraId="7E4A95B3" w14:textId="2678E482" w:rsidR="00192643" w:rsidRPr="00FE5E06" w:rsidRDefault="00F14129">
            <w:pPr>
              <w:jc w:val="left"/>
              <w:textAlignment w:val="baseline"/>
              <w:rPr>
                <w:rFonts w:cs="Times New Roman"/>
                <w:b/>
                <w:i/>
                <w:noProof/>
                <w:sz w:val="22"/>
              </w:rPr>
            </w:pPr>
            <w:r w:rsidRPr="00FE5E06">
              <w:rPr>
                <w:rFonts w:cs="Times New Roman"/>
                <w:b/>
                <w:i/>
                <w:noProof/>
                <w:sz w:val="22"/>
              </w:rPr>
              <w:t xml:space="preserve">EUR 610.34 million </w:t>
            </w:r>
            <w:r w:rsidR="00415B27" w:rsidRPr="00FE5E06">
              <w:rPr>
                <w:rFonts w:cs="Times New Roman"/>
                <w:b/>
                <w:i/>
                <w:noProof/>
                <w:sz w:val="22"/>
              </w:rPr>
              <w:t>–</w:t>
            </w:r>
            <w:r w:rsidRPr="00FE5E06">
              <w:rPr>
                <w:rFonts w:cs="Times New Roman"/>
                <w:b/>
                <w:i/>
                <w:noProof/>
                <w:sz w:val="22"/>
              </w:rPr>
              <w:t xml:space="preserve"> </w:t>
            </w:r>
            <w:r w:rsidR="00415B27" w:rsidRPr="00FE5E06">
              <w:rPr>
                <w:rFonts w:cs="Times New Roman"/>
                <w:b/>
                <w:i/>
                <w:noProof/>
                <w:sz w:val="22"/>
              </w:rPr>
              <w:t>685.1 million</w:t>
            </w:r>
          </w:p>
        </w:tc>
        <w:tc>
          <w:tcPr>
            <w:tcW w:w="3101"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0E5DE76C" w14:textId="1C50E827" w:rsidR="00192643" w:rsidRPr="00FE5E06" w:rsidRDefault="00A415C6">
            <w:pPr>
              <w:jc w:val="left"/>
              <w:textAlignment w:val="baseline"/>
              <w:rPr>
                <w:rFonts w:eastAsia="Times New Roman" w:cs="Times New Roman"/>
                <w:b/>
                <w:i/>
                <w:noProof/>
                <w:sz w:val="22"/>
                <w:lang w:eastAsia="en-IE"/>
              </w:rPr>
            </w:pPr>
            <w:r w:rsidRPr="00FE5E06">
              <w:rPr>
                <w:rFonts w:eastAsia="Times New Roman" w:cs="Times New Roman"/>
                <w:b/>
                <w:i/>
                <w:noProof/>
                <w:sz w:val="22"/>
                <w:lang w:eastAsia="en-IE"/>
              </w:rPr>
              <w:t xml:space="preserve">EUR 1.79 billion </w:t>
            </w:r>
            <w:r w:rsidR="001812F9" w:rsidRPr="00FE5E06">
              <w:rPr>
                <w:rFonts w:eastAsia="Times New Roman" w:cs="Times New Roman"/>
                <w:b/>
                <w:i/>
                <w:noProof/>
                <w:sz w:val="22"/>
                <w:lang w:eastAsia="en-IE"/>
              </w:rPr>
              <w:t>–</w:t>
            </w:r>
            <w:r w:rsidRPr="00FE5E06">
              <w:rPr>
                <w:rFonts w:eastAsia="Times New Roman" w:cs="Times New Roman"/>
                <w:b/>
                <w:i/>
                <w:noProof/>
                <w:sz w:val="22"/>
                <w:lang w:eastAsia="en-IE"/>
              </w:rPr>
              <w:t xml:space="preserve"> </w:t>
            </w:r>
            <w:r w:rsidR="001812F9" w:rsidRPr="00FE5E06">
              <w:rPr>
                <w:rFonts w:eastAsia="Times New Roman" w:cs="Times New Roman"/>
                <w:b/>
                <w:i/>
                <w:noProof/>
                <w:sz w:val="22"/>
                <w:lang w:eastAsia="en-IE"/>
              </w:rPr>
              <w:t>EUR 2.01 billion</w:t>
            </w:r>
          </w:p>
        </w:tc>
      </w:tr>
    </w:tbl>
    <w:p w14:paraId="1C7E1A01" w14:textId="77777777" w:rsidR="00904D0A" w:rsidRDefault="00904D0A" w:rsidP="00904D0A">
      <w:pPr>
        <w:rPr>
          <w:noProof/>
        </w:rPr>
      </w:pPr>
    </w:p>
    <w:p w14:paraId="630D8858" w14:textId="77777777" w:rsidR="00A077E6" w:rsidRPr="00AB73D5" w:rsidRDefault="00A077E6" w:rsidP="00A077E6">
      <w:pPr>
        <w:pStyle w:val="JRCText"/>
        <w:rPr>
          <w:rFonts w:ascii="Times New Roman" w:eastAsia="Times New Roman" w:hAnsi="Times New Roman" w:cs="Times New Roman"/>
          <w:b/>
          <w:bCs/>
          <w:noProof/>
          <w:color w:val="000000" w:themeColor="text1"/>
          <w:sz w:val="24"/>
          <w:szCs w:val="24"/>
        </w:rPr>
      </w:pPr>
      <w:r w:rsidRPr="00AB73D5">
        <w:rPr>
          <w:rFonts w:ascii="Times New Roman" w:eastAsia="Times New Roman" w:hAnsi="Times New Roman" w:cs="Times New Roman"/>
          <w:b/>
          <w:bCs/>
          <w:noProof/>
          <w:color w:val="000000" w:themeColor="text1"/>
          <w:sz w:val="24"/>
          <w:szCs w:val="24"/>
        </w:rPr>
        <w:t xml:space="preserve">LEAD_BAT </w:t>
      </w:r>
    </w:p>
    <w:p w14:paraId="193474BC" w14:textId="77777777" w:rsidR="00A077E6" w:rsidRPr="00E71388" w:rsidRDefault="00A077E6" w:rsidP="00A077E6">
      <w:pPr>
        <w:rPr>
          <w:noProof/>
          <w:szCs w:val="24"/>
        </w:rPr>
      </w:pPr>
      <w:r w:rsidRPr="00F261DB">
        <w:rPr>
          <w:noProof/>
          <w:szCs w:val="24"/>
        </w:rPr>
        <w:t xml:space="preserve">Assumptions taken for adjustment costs: </w:t>
      </w:r>
    </w:p>
    <w:p w14:paraId="0C6EFED5" w14:textId="77777777" w:rsidR="00A077E6" w:rsidRDefault="00A077E6" w:rsidP="00A077E6">
      <w:pPr>
        <w:pStyle w:val="ListParagraph"/>
        <w:numPr>
          <w:ilvl w:val="0"/>
          <w:numId w:val="42"/>
        </w:numPr>
        <w:rPr>
          <w:rFonts w:eastAsia="Times New Roman" w:cs="Times New Roman"/>
          <w:noProof/>
          <w:color w:val="000000" w:themeColor="text1"/>
          <w:szCs w:val="24"/>
        </w:rPr>
      </w:pPr>
      <w:r w:rsidRPr="00F261DB">
        <w:rPr>
          <w:rFonts w:eastAsia="Times New Roman" w:cs="Times New Roman"/>
          <w:noProof/>
          <w:color w:val="000000" w:themeColor="text1"/>
          <w:szCs w:val="24"/>
        </w:rPr>
        <w:t xml:space="preserve">The total adjustment costs compare the average cost of manufacturing the same battery </w:t>
      </w:r>
      <w:r w:rsidRPr="00AB73D5">
        <w:rPr>
          <w:noProof/>
          <w:szCs w:val="24"/>
        </w:rPr>
        <w:t>chemistries</w:t>
      </w:r>
      <w:r w:rsidRPr="00F261DB">
        <w:rPr>
          <w:rFonts w:eastAsia="Times New Roman" w:cs="Times New Roman"/>
          <w:noProof/>
          <w:color w:val="000000" w:themeColor="text1"/>
          <w:szCs w:val="24"/>
        </w:rPr>
        <w:t xml:space="preserve"> (i.e., localised battery cells, cathodes and anodes) in the current cheapest market, China, with those manufactured in the EU with a cost differential ranging from 26% to 50%. </w:t>
      </w:r>
      <w:r w:rsidRPr="00FF63D1">
        <w:rPr>
          <w:rFonts w:eastAsia="Times New Roman" w:cs="Times New Roman"/>
          <w:noProof/>
          <w:color w:val="000000" w:themeColor="text1"/>
          <w:szCs w:val="24"/>
        </w:rPr>
        <w:t xml:space="preserve">These costs do not take into account the phased approach, which would reduce the impact on prices during the first years of entry into force. </w:t>
      </w:r>
    </w:p>
    <w:p w14:paraId="1932DD24" w14:textId="77777777" w:rsidR="00A077E6" w:rsidRDefault="00A077E6" w:rsidP="00A077E6">
      <w:pPr>
        <w:pStyle w:val="ListParagraph"/>
        <w:numPr>
          <w:ilvl w:val="1"/>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 xml:space="preserve">Battery cell manufactured in China by Tier 1 manufacturers (i.e., 60 EUR/kWh in 2024), </w:t>
      </w:r>
    </w:p>
    <w:p w14:paraId="4F5A648D" w14:textId="77777777" w:rsidR="00A077E6" w:rsidRPr="00AB73D5" w:rsidRDefault="00A077E6" w:rsidP="00A077E6">
      <w:pPr>
        <w:pStyle w:val="ListParagraph"/>
        <w:numPr>
          <w:ilvl w:val="1"/>
          <w:numId w:val="42"/>
        </w:numPr>
        <w:rPr>
          <w:rFonts w:eastAsia="Times New Roman" w:cs="Times New Roman"/>
          <w:noProof/>
          <w:color w:val="000000" w:themeColor="text1"/>
          <w:szCs w:val="24"/>
        </w:rPr>
      </w:pPr>
      <w:r w:rsidRPr="00AB73D5">
        <w:rPr>
          <w:rFonts w:eastAsia="Times New Roman" w:cs="Times New Roman"/>
          <w:noProof/>
          <w:color w:val="000000" w:themeColor="text1"/>
          <w:szCs w:val="24"/>
        </w:rPr>
        <w:t>Battery cell m</w:t>
      </w:r>
      <w:r w:rsidRPr="00F261DB">
        <w:rPr>
          <w:rFonts w:eastAsia="Times New Roman" w:cs="Times New Roman"/>
          <w:noProof/>
          <w:color w:val="000000" w:themeColor="text1"/>
          <w:szCs w:val="24"/>
        </w:rPr>
        <w:t>anufactured</w:t>
      </w:r>
      <w:r w:rsidRPr="00AB73D5">
        <w:rPr>
          <w:rFonts w:eastAsia="Times New Roman" w:cs="Times New Roman"/>
          <w:noProof/>
          <w:color w:val="000000" w:themeColor="text1"/>
          <w:szCs w:val="24"/>
        </w:rPr>
        <w:t xml:space="preserve"> in in the EU with localised CAM and AMM, (i.e., 75.6-90 EUR/kWh). </w:t>
      </w:r>
    </w:p>
    <w:p w14:paraId="2CB85FEC" w14:textId="34125A03" w:rsidR="00904D0A" w:rsidRDefault="00A077E6" w:rsidP="00904D0A">
      <w:pPr>
        <w:pStyle w:val="ListParagraph"/>
        <w:numPr>
          <w:ilvl w:val="0"/>
          <w:numId w:val="42"/>
        </w:numPr>
        <w:rPr>
          <w:noProof/>
        </w:rPr>
      </w:pPr>
      <w:r w:rsidRPr="00AB73D5">
        <w:rPr>
          <w:noProof/>
          <w:szCs w:val="24"/>
        </w:rPr>
        <w:t>Additionally, global price decreases in batteries have been accounted for, as these are expected to drop significantly in the upcoming years. As battery cell costs decline over time, the total cost differential with China is expected to decrease, ranging between 11-21 EUR/kWh in 2028, 9-17 EUR/kWh in 2030, and between 6-12 EUR/kWh in 2035.</w:t>
      </w:r>
    </w:p>
    <w:p w14:paraId="27A7EC42" w14:textId="77777777" w:rsidR="00A077E6" w:rsidRDefault="00A077E6" w:rsidP="00904D0A">
      <w:pPr>
        <w:rPr>
          <w:noProof/>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1487"/>
        <w:gridCol w:w="1690"/>
        <w:gridCol w:w="3523"/>
      </w:tblGrid>
      <w:tr w:rsidR="00904D0A" w:rsidRPr="00A111C7" w14:paraId="3B1FA524" w14:textId="77777777" w:rsidTr="00D31B04">
        <w:trPr>
          <w:trHeight w:val="285"/>
          <w:tblHeader/>
        </w:trPr>
        <w:tc>
          <w:tcPr>
            <w:tcW w:w="1282" w:type="pct"/>
            <w:tcBorders>
              <w:top w:val="single" w:sz="6" w:space="0" w:color="auto"/>
              <w:left w:val="single" w:sz="6" w:space="0" w:color="auto"/>
              <w:bottom w:val="single" w:sz="6" w:space="0" w:color="auto"/>
              <w:right w:val="single" w:sz="6" w:space="0" w:color="auto"/>
            </w:tcBorders>
            <w:vAlign w:val="center"/>
            <w:hideMark/>
          </w:tcPr>
          <w:p w14:paraId="3844A61E" w14:textId="77777777" w:rsidR="00904D0A" w:rsidRPr="00EB3532" w:rsidRDefault="00904D0A">
            <w:pPr>
              <w:pStyle w:val="JRCText"/>
              <w:jc w:val="center"/>
              <w:rPr>
                <w:rFonts w:ascii="Times New Roman" w:hAnsi="Times New Roman" w:cs="Times New Roman"/>
                <w:i/>
                <w:noProof/>
                <w:color w:val="000000" w:themeColor="text1"/>
                <w:szCs w:val="22"/>
              </w:rPr>
            </w:pPr>
            <w:r w:rsidRPr="00EB3532">
              <w:rPr>
                <w:rFonts w:ascii="Times New Roman" w:hAnsi="Times New Roman" w:cs="Times New Roman"/>
                <w:b/>
                <w:i/>
                <w:noProof/>
                <w:color w:val="000000" w:themeColor="text1"/>
                <w:szCs w:val="22"/>
              </w:rPr>
              <w:t>LEAD_BAT</w:t>
            </w:r>
          </w:p>
        </w:tc>
        <w:tc>
          <w:tcPr>
            <w:tcW w:w="3718" w:type="pct"/>
            <w:gridSpan w:val="3"/>
            <w:tcBorders>
              <w:top w:val="single" w:sz="6" w:space="0" w:color="auto"/>
              <w:left w:val="single" w:sz="6" w:space="0" w:color="auto"/>
              <w:bottom w:val="single" w:sz="6" w:space="0" w:color="auto"/>
              <w:right w:val="single" w:sz="6" w:space="0" w:color="auto"/>
            </w:tcBorders>
            <w:vAlign w:val="center"/>
            <w:hideMark/>
          </w:tcPr>
          <w:p w14:paraId="3CA5AE61" w14:textId="77777777" w:rsidR="00904D0A" w:rsidRPr="00EB3532" w:rsidRDefault="00904D0A">
            <w:pPr>
              <w:pStyle w:val="JRCText"/>
              <w:jc w:val="center"/>
              <w:rPr>
                <w:rFonts w:ascii="Times New Roman" w:hAnsi="Times New Roman" w:cs="Times New Roman"/>
                <w:noProof/>
                <w:color w:val="000000" w:themeColor="text1"/>
                <w:szCs w:val="22"/>
              </w:rPr>
            </w:pPr>
            <w:r w:rsidRPr="00EB3532">
              <w:rPr>
                <w:rFonts w:ascii="Times New Roman" w:eastAsia="Times New Roman" w:hAnsi="Times New Roman" w:cs="Times New Roman"/>
                <w:noProof/>
                <w:color w:val="000000" w:themeColor="text1"/>
                <w:szCs w:val="22"/>
              </w:rPr>
              <w:t>Difference to the baseline</w:t>
            </w:r>
          </w:p>
        </w:tc>
      </w:tr>
      <w:tr w:rsidR="00904D0A" w:rsidRPr="00A111C7" w14:paraId="75EF7074" w14:textId="77777777" w:rsidTr="00D31B04">
        <w:trPr>
          <w:trHeight w:val="285"/>
          <w:tblHeader/>
        </w:trPr>
        <w:tc>
          <w:tcPr>
            <w:tcW w:w="1282" w:type="pct"/>
            <w:tcBorders>
              <w:top w:val="single" w:sz="6" w:space="0" w:color="auto"/>
              <w:left w:val="single" w:sz="6" w:space="0" w:color="auto"/>
              <w:bottom w:val="single" w:sz="6" w:space="0" w:color="auto"/>
              <w:right w:val="single" w:sz="6" w:space="0" w:color="auto"/>
            </w:tcBorders>
            <w:vAlign w:val="center"/>
            <w:hideMark/>
          </w:tcPr>
          <w:p w14:paraId="480F311E" w14:textId="77777777" w:rsidR="00904D0A" w:rsidRPr="00EB3532" w:rsidRDefault="00904D0A">
            <w:pPr>
              <w:pStyle w:val="JRCText"/>
              <w:jc w:val="center"/>
              <w:rPr>
                <w:rFonts w:ascii="Times New Roman" w:hAnsi="Times New Roman" w:cs="Times New Roman"/>
                <w:noProof/>
                <w:color w:val="000000" w:themeColor="text1"/>
                <w:szCs w:val="22"/>
              </w:rPr>
            </w:pPr>
          </w:p>
        </w:tc>
        <w:tc>
          <w:tcPr>
            <w:tcW w:w="825" w:type="pct"/>
            <w:tcBorders>
              <w:top w:val="single" w:sz="6" w:space="0" w:color="auto"/>
              <w:left w:val="single" w:sz="6" w:space="0" w:color="auto"/>
              <w:bottom w:val="single" w:sz="6" w:space="0" w:color="auto"/>
              <w:right w:val="single" w:sz="6" w:space="0" w:color="auto"/>
            </w:tcBorders>
            <w:vAlign w:val="center"/>
            <w:hideMark/>
          </w:tcPr>
          <w:p w14:paraId="09DC19FA" w14:textId="77777777" w:rsidR="00904D0A" w:rsidRPr="00EB3532" w:rsidRDefault="00904D0A">
            <w:pPr>
              <w:pStyle w:val="JRCText"/>
              <w:ind w:right="536"/>
              <w:jc w:val="center"/>
              <w:rPr>
                <w:rFonts w:ascii="Times New Roman" w:hAnsi="Times New Roman" w:cs="Times New Roman"/>
                <w:noProof/>
                <w:color w:val="000000" w:themeColor="text1"/>
                <w:szCs w:val="22"/>
              </w:rPr>
            </w:pPr>
            <w:r w:rsidRPr="00EB3532">
              <w:rPr>
                <w:rFonts w:ascii="Times New Roman" w:hAnsi="Times New Roman" w:cs="Times New Roman"/>
                <w:b/>
                <w:noProof/>
                <w:color w:val="000000" w:themeColor="text1"/>
                <w:szCs w:val="22"/>
              </w:rPr>
              <w:t>PO1</w:t>
            </w:r>
          </w:p>
        </w:tc>
        <w:tc>
          <w:tcPr>
            <w:tcW w:w="938" w:type="pct"/>
            <w:tcBorders>
              <w:top w:val="nil"/>
              <w:left w:val="single" w:sz="6" w:space="0" w:color="auto"/>
              <w:bottom w:val="single" w:sz="6" w:space="0" w:color="auto"/>
              <w:right w:val="single" w:sz="6" w:space="0" w:color="auto"/>
            </w:tcBorders>
            <w:vAlign w:val="center"/>
            <w:hideMark/>
          </w:tcPr>
          <w:p w14:paraId="5BDD49A3" w14:textId="77777777" w:rsidR="00904D0A" w:rsidRPr="00EB3532" w:rsidRDefault="00904D0A">
            <w:pPr>
              <w:pStyle w:val="JRCText"/>
              <w:jc w:val="center"/>
              <w:rPr>
                <w:rFonts w:ascii="Times New Roman" w:hAnsi="Times New Roman" w:cs="Times New Roman"/>
                <w:noProof/>
                <w:color w:val="000000" w:themeColor="text1"/>
                <w:szCs w:val="22"/>
              </w:rPr>
            </w:pPr>
            <w:r w:rsidRPr="00EB3532">
              <w:rPr>
                <w:rFonts w:ascii="Times New Roman" w:hAnsi="Times New Roman" w:cs="Times New Roman"/>
                <w:b/>
                <w:noProof/>
                <w:color w:val="000000" w:themeColor="text1"/>
                <w:szCs w:val="22"/>
              </w:rPr>
              <w:t>PO2</w:t>
            </w:r>
          </w:p>
        </w:tc>
        <w:tc>
          <w:tcPr>
            <w:tcW w:w="1955" w:type="pct"/>
            <w:tcBorders>
              <w:top w:val="nil"/>
              <w:left w:val="single" w:sz="6" w:space="0" w:color="auto"/>
              <w:bottom w:val="single" w:sz="6" w:space="0" w:color="auto"/>
              <w:right w:val="single" w:sz="6" w:space="0" w:color="auto"/>
            </w:tcBorders>
            <w:vAlign w:val="center"/>
            <w:hideMark/>
          </w:tcPr>
          <w:p w14:paraId="535EC66F" w14:textId="77777777" w:rsidR="00904D0A" w:rsidRPr="00EB3532" w:rsidRDefault="00904D0A">
            <w:pPr>
              <w:pStyle w:val="JRCText"/>
              <w:jc w:val="center"/>
              <w:rPr>
                <w:rFonts w:ascii="Times New Roman" w:hAnsi="Times New Roman" w:cs="Times New Roman"/>
                <w:noProof/>
                <w:color w:val="000000" w:themeColor="text1"/>
                <w:szCs w:val="22"/>
              </w:rPr>
            </w:pPr>
            <w:r w:rsidRPr="00EB3532">
              <w:rPr>
                <w:rFonts w:ascii="Times New Roman" w:hAnsi="Times New Roman" w:cs="Times New Roman"/>
                <w:b/>
                <w:noProof/>
                <w:color w:val="000000" w:themeColor="text1"/>
                <w:szCs w:val="22"/>
              </w:rPr>
              <w:t>PO3</w:t>
            </w:r>
          </w:p>
        </w:tc>
      </w:tr>
      <w:tr w:rsidR="00904D0A" w:rsidRPr="00A111C7" w14:paraId="66F11453"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DBA1410" w14:textId="77777777" w:rsidR="00904D0A" w:rsidRPr="00EB3532" w:rsidRDefault="00904D0A">
            <w:pPr>
              <w:pStyle w:val="JRCText"/>
              <w:jc w:val="center"/>
              <w:rPr>
                <w:rFonts w:ascii="Times New Roman" w:hAnsi="Times New Roman" w:cs="Times New Roman"/>
                <w:noProof/>
                <w:color w:val="000000" w:themeColor="text1"/>
                <w:szCs w:val="22"/>
              </w:rPr>
            </w:pPr>
            <w:r w:rsidRPr="00EB3532">
              <w:rPr>
                <w:rFonts w:ascii="Times New Roman" w:hAnsi="Times New Roman" w:cs="Times New Roman"/>
                <w:noProof/>
                <w:color w:val="FFFFFF" w:themeColor="background1"/>
                <w:szCs w:val="22"/>
              </w:rPr>
              <w:t>Member States administrations</w:t>
            </w:r>
          </w:p>
        </w:tc>
        <w:tc>
          <w:tcPr>
            <w:tcW w:w="3718" w:type="pct"/>
            <w:gridSpan w:val="3"/>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0173FA3" w14:textId="77777777" w:rsidR="00904D0A" w:rsidRPr="00EB3532" w:rsidRDefault="00904D0A">
            <w:pPr>
              <w:pStyle w:val="JRCText"/>
              <w:jc w:val="center"/>
              <w:rPr>
                <w:rFonts w:ascii="Times New Roman" w:hAnsi="Times New Roman" w:cs="Times New Roman"/>
                <w:noProof/>
                <w:color w:val="000000" w:themeColor="text1"/>
                <w:szCs w:val="22"/>
              </w:rPr>
            </w:pPr>
          </w:p>
        </w:tc>
      </w:tr>
      <w:tr w:rsidR="00904D0A" w:rsidRPr="00A111C7" w14:paraId="1BDCAA9B"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49A59243" w14:textId="77777777" w:rsidR="00904D0A" w:rsidRPr="00EB3532" w:rsidRDefault="00904D0A">
            <w:pPr>
              <w:pStyle w:val="JRCText"/>
              <w:jc w:val="center"/>
              <w:rPr>
                <w:rFonts w:ascii="Times New Roman" w:hAnsi="Times New Roman" w:cs="Times New Roman"/>
                <w:b/>
                <w:noProof/>
                <w:color w:val="000000" w:themeColor="text1"/>
                <w:szCs w:val="22"/>
              </w:rPr>
            </w:pPr>
            <w:r w:rsidRPr="00EB3532">
              <w:rPr>
                <w:rFonts w:ascii="Times New Roman" w:hAnsi="Times New Roman" w:cs="Times New Roman"/>
                <w:b/>
                <w:noProof/>
                <w:color w:val="000000" w:themeColor="text1"/>
                <w:szCs w:val="22"/>
              </w:rPr>
              <w:t>Adjustment costs (recurring)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4A5C063B" w14:textId="661687ED" w:rsidR="00F579E3" w:rsidRDefault="009F1D82">
            <w:pPr>
              <w:pStyle w:val="JRCText"/>
              <w:jc w:val="center"/>
              <w:rPr>
                <w:rFonts w:ascii="Times New Roman" w:eastAsia="Times New Roman" w:hAnsi="Times New Roman" w:cs="Times New Roman"/>
                <w:noProof/>
                <w:color w:val="000000" w:themeColor="text1"/>
                <w:szCs w:val="22"/>
              </w:rPr>
            </w:pPr>
            <w:r w:rsidRPr="00FE5E06">
              <w:rPr>
                <w:rFonts w:ascii="Times New Roman" w:eastAsia="Times New Roman" w:hAnsi="Times New Roman" w:cs="Times New Roman"/>
                <w:noProof/>
                <w:color w:val="000000" w:themeColor="text1"/>
                <w:szCs w:val="22"/>
              </w:rPr>
              <w:t>BESS: average EUR 4</w:t>
            </w:r>
            <w:r w:rsidR="00E573E0">
              <w:rPr>
                <w:rFonts w:ascii="Times New Roman" w:eastAsia="Times New Roman" w:hAnsi="Times New Roman" w:cs="Times New Roman"/>
                <w:noProof/>
                <w:color w:val="000000" w:themeColor="text1"/>
                <w:szCs w:val="22"/>
              </w:rPr>
              <w:t>6</w:t>
            </w:r>
            <w:r w:rsidRPr="00FE5E06">
              <w:rPr>
                <w:rFonts w:ascii="Times New Roman" w:eastAsia="Times New Roman" w:hAnsi="Times New Roman" w:cs="Times New Roman"/>
                <w:noProof/>
                <w:color w:val="000000" w:themeColor="text1"/>
                <w:szCs w:val="22"/>
              </w:rPr>
              <w:t xml:space="preserve"> million</w:t>
            </w:r>
          </w:p>
          <w:p w14:paraId="635BB5A8" w14:textId="15144B39" w:rsidR="009F1D82" w:rsidRDefault="009F1D82">
            <w:pPr>
              <w:pStyle w:val="JRCText"/>
              <w:jc w:val="center"/>
              <w:rPr>
                <w:rFonts w:ascii="Times New Roman" w:eastAsia="Times New Roman" w:hAnsi="Times New Roman" w:cs="Times New Roman"/>
                <w:noProof/>
                <w:color w:val="000000" w:themeColor="text1"/>
                <w:szCs w:val="22"/>
              </w:rPr>
            </w:pPr>
            <w:r>
              <w:rPr>
                <w:rFonts w:ascii="Times New Roman" w:eastAsia="Times New Roman" w:hAnsi="Times New Roman" w:cs="Times New Roman"/>
                <w:noProof/>
                <w:color w:val="000000" w:themeColor="text1"/>
                <w:szCs w:val="22"/>
              </w:rPr>
              <w:t xml:space="preserve">EVs: </w:t>
            </w:r>
            <w:r w:rsidR="009303AB" w:rsidRPr="009303AB">
              <w:rPr>
                <w:rFonts w:ascii="Times New Roman" w:eastAsia="Times New Roman" w:hAnsi="Times New Roman" w:cs="Times New Roman"/>
                <w:noProof/>
                <w:color w:val="000000" w:themeColor="text1"/>
                <w:szCs w:val="22"/>
              </w:rPr>
              <w:t>average EUR 231.5</w:t>
            </w:r>
          </w:p>
          <w:p w14:paraId="27A743E9" w14:textId="77777777" w:rsidR="00BC5DB4" w:rsidRPr="00FE5E06" w:rsidRDefault="00BC5DB4">
            <w:pPr>
              <w:pStyle w:val="JRCText"/>
              <w:jc w:val="center"/>
              <w:rPr>
                <w:rFonts w:ascii="Times New Roman" w:eastAsia="Times New Roman" w:hAnsi="Times New Roman" w:cs="Times New Roman"/>
                <w:noProof/>
                <w:color w:val="000000" w:themeColor="text1"/>
                <w:szCs w:val="22"/>
              </w:rPr>
            </w:pPr>
          </w:p>
          <w:p w14:paraId="2AA99820" w14:textId="0497B088" w:rsidR="00F579E3" w:rsidRPr="00C4163E" w:rsidRDefault="00F579E3">
            <w:pPr>
              <w:pStyle w:val="JRCText"/>
              <w:jc w:val="center"/>
              <w:rPr>
                <w:rFonts w:ascii="Times New Roman" w:eastAsia="Times New Roman" w:hAnsi="Times New Roman" w:cs="Times New Roman"/>
                <w:i/>
                <w:noProof/>
                <w:color w:val="FF0000"/>
                <w:szCs w:val="22"/>
              </w:rPr>
            </w:pPr>
            <w:r w:rsidRPr="00C4163E">
              <w:rPr>
                <w:rFonts w:ascii="Times New Roman" w:eastAsia="Times New Roman" w:hAnsi="Times New Roman" w:cs="Times New Roman"/>
                <w:i/>
                <w:noProof/>
                <w:color w:val="FF0000"/>
                <w:szCs w:val="22"/>
              </w:rPr>
              <w:t>Sensitivity:</w:t>
            </w:r>
          </w:p>
          <w:p w14:paraId="6FE8F392" w14:textId="368BCB7E" w:rsidR="00904D0A" w:rsidRPr="00FE5E06" w:rsidRDefault="00904D0A">
            <w:pPr>
              <w:pStyle w:val="JRCText"/>
              <w:jc w:val="center"/>
              <w:rPr>
                <w:rFonts w:ascii="Times New Roman" w:hAnsi="Times New Roman" w:cs="Times New Roman"/>
                <w:i/>
                <w:noProof/>
                <w:color w:val="FF0000"/>
                <w:szCs w:val="22"/>
              </w:rPr>
            </w:pPr>
            <w:r w:rsidRPr="00FE5E06">
              <w:rPr>
                <w:rFonts w:ascii="Times New Roman" w:eastAsia="Times New Roman" w:hAnsi="Times New Roman" w:cs="Times New Roman"/>
                <w:i/>
                <w:noProof/>
                <w:color w:val="FF0000"/>
                <w:szCs w:val="22"/>
              </w:rPr>
              <w:t xml:space="preserve">Auctions for BESS: EUR 26 – 66 million </w:t>
            </w:r>
          </w:p>
          <w:p w14:paraId="56D52312" w14:textId="6EB65687" w:rsidR="00904D0A" w:rsidRPr="00EB3532" w:rsidRDefault="00904D0A">
            <w:pPr>
              <w:pStyle w:val="JRCText"/>
              <w:jc w:val="center"/>
              <w:rPr>
                <w:rFonts w:ascii="Times New Roman" w:hAnsi="Times New Roman" w:cs="Times New Roman"/>
                <w:noProof/>
                <w:color w:val="000000" w:themeColor="text1"/>
                <w:szCs w:val="22"/>
              </w:rPr>
            </w:pPr>
            <w:r w:rsidRPr="00FE5E06">
              <w:rPr>
                <w:rFonts w:ascii="Times New Roman" w:hAnsi="Times New Roman" w:cs="Times New Roman"/>
                <w:i/>
                <w:noProof/>
                <w:color w:val="FF0000"/>
                <w:szCs w:val="22"/>
              </w:rPr>
              <w:t xml:space="preserve">Public </w:t>
            </w:r>
            <w:r w:rsidR="00B44346">
              <w:rPr>
                <w:rFonts w:ascii="Times New Roman" w:hAnsi="Times New Roman" w:cs="Times New Roman"/>
                <w:i/>
                <w:noProof/>
                <w:color w:val="FF0000"/>
                <w:szCs w:val="22"/>
              </w:rPr>
              <w:t>p</w:t>
            </w:r>
            <w:r w:rsidRPr="00FE5E06">
              <w:rPr>
                <w:rFonts w:ascii="Times New Roman" w:hAnsi="Times New Roman" w:cs="Times New Roman"/>
                <w:i/>
                <w:noProof/>
                <w:color w:val="FF0000"/>
                <w:szCs w:val="22"/>
              </w:rPr>
              <w:t>rocurement for EVs</w:t>
            </w:r>
            <w:r w:rsidRPr="00FE5E06">
              <w:rPr>
                <w:rFonts w:ascii="Times New Roman" w:hAnsi="Times New Roman" w:cs="Times New Roman"/>
                <w:i/>
                <w:noProof/>
                <w:color w:val="000000" w:themeColor="text1"/>
                <w:szCs w:val="22"/>
              </w:rPr>
              <w:t xml:space="preserve">: </w:t>
            </w:r>
            <w:r w:rsidRPr="00FE5E06">
              <w:rPr>
                <w:rFonts w:ascii="Times New Roman" w:hAnsi="Times New Roman" w:cs="Times New Roman"/>
                <w:i/>
                <w:noProof/>
                <w:color w:val="FF0000"/>
                <w:szCs w:val="22"/>
              </w:rPr>
              <w:t xml:space="preserve">EUR </w:t>
            </w:r>
            <w:r w:rsidRPr="00FE5E06">
              <w:rPr>
                <w:rFonts w:ascii="Times New Roman" w:eastAsia="Times New Roman" w:hAnsi="Times New Roman" w:cs="Times New Roman"/>
                <w:i/>
                <w:noProof/>
                <w:color w:val="FF0000"/>
                <w:szCs w:val="22"/>
              </w:rPr>
              <w:t>132 – 331</w:t>
            </w:r>
            <w:r w:rsidRPr="00FE5E06">
              <w:rPr>
                <w:rFonts w:ascii="Times New Roman" w:hAnsi="Times New Roman" w:cs="Times New Roman"/>
                <w:i/>
                <w:noProof/>
                <w:color w:val="FF0000"/>
                <w:szCs w:val="22"/>
              </w:rPr>
              <w:t xml:space="preserve"> million</w:t>
            </w:r>
            <w:r w:rsidRPr="00EB3532">
              <w:rPr>
                <w:rFonts w:ascii="Times New Roman" w:hAnsi="Times New Roman" w:cs="Times New Roman"/>
                <w:noProof/>
                <w:color w:val="000000" w:themeColor="text1"/>
                <w:szCs w:val="22"/>
              </w:rPr>
              <w:t xml:space="preserve"> </w:t>
            </w:r>
          </w:p>
        </w:tc>
        <w:tc>
          <w:tcPr>
            <w:tcW w:w="1955" w:type="pct"/>
            <w:tcBorders>
              <w:top w:val="single" w:sz="6" w:space="0" w:color="auto"/>
              <w:left w:val="nil"/>
              <w:bottom w:val="single" w:sz="6" w:space="0" w:color="auto"/>
              <w:right w:val="single" w:sz="6" w:space="0" w:color="auto"/>
            </w:tcBorders>
            <w:vAlign w:val="center"/>
            <w:hideMark/>
          </w:tcPr>
          <w:p w14:paraId="584F9078" w14:textId="62984C75" w:rsidR="00F579E3" w:rsidRDefault="009F1D82">
            <w:pPr>
              <w:pStyle w:val="JRCText"/>
              <w:jc w:val="center"/>
              <w:rPr>
                <w:rFonts w:ascii="Times New Roman" w:hAnsi="Times New Roman" w:cs="Times New Roman"/>
                <w:noProof/>
                <w:color w:val="000000" w:themeColor="text1"/>
                <w:szCs w:val="22"/>
              </w:rPr>
            </w:pPr>
            <w:r w:rsidRPr="00FE5E06">
              <w:rPr>
                <w:rFonts w:ascii="Times New Roman" w:hAnsi="Times New Roman" w:cs="Times New Roman"/>
                <w:noProof/>
                <w:color w:val="000000" w:themeColor="text1"/>
                <w:szCs w:val="22"/>
              </w:rPr>
              <w:t>BESS average EUR 4</w:t>
            </w:r>
            <w:r w:rsidR="00FB10F5">
              <w:rPr>
                <w:rFonts w:ascii="Times New Roman" w:hAnsi="Times New Roman" w:cs="Times New Roman"/>
                <w:noProof/>
                <w:color w:val="000000" w:themeColor="text1"/>
                <w:szCs w:val="22"/>
              </w:rPr>
              <w:t>6</w:t>
            </w:r>
            <w:r w:rsidRPr="00FE5E06">
              <w:rPr>
                <w:rFonts w:ascii="Times New Roman" w:hAnsi="Times New Roman" w:cs="Times New Roman"/>
                <w:noProof/>
                <w:color w:val="000000" w:themeColor="text1"/>
                <w:szCs w:val="22"/>
              </w:rPr>
              <w:t xml:space="preserve"> million)</w:t>
            </w:r>
          </w:p>
          <w:p w14:paraId="7409FF2D" w14:textId="77777777" w:rsidR="00BC5DB4" w:rsidRPr="005E6028" w:rsidRDefault="00BC5DB4" w:rsidP="00BC5DB4">
            <w:pPr>
              <w:pStyle w:val="JRCText"/>
              <w:jc w:val="center"/>
              <w:rPr>
                <w:rFonts w:ascii="Times New Roman" w:eastAsia="Times New Roman" w:hAnsi="Times New Roman" w:cs="Times New Roman"/>
                <w:noProof/>
                <w:color w:val="000000" w:themeColor="text1"/>
                <w:szCs w:val="22"/>
              </w:rPr>
            </w:pPr>
            <w:r>
              <w:rPr>
                <w:rFonts w:ascii="Times New Roman" w:eastAsia="Times New Roman" w:hAnsi="Times New Roman" w:cs="Times New Roman"/>
                <w:noProof/>
                <w:color w:val="000000" w:themeColor="text1"/>
                <w:szCs w:val="22"/>
              </w:rPr>
              <w:t xml:space="preserve">EVs: </w:t>
            </w:r>
            <w:r w:rsidRPr="009303AB">
              <w:rPr>
                <w:rFonts w:ascii="Times New Roman" w:eastAsia="Times New Roman" w:hAnsi="Times New Roman" w:cs="Times New Roman"/>
                <w:noProof/>
                <w:color w:val="000000" w:themeColor="text1"/>
                <w:szCs w:val="22"/>
              </w:rPr>
              <w:t>average EUR 231.5</w:t>
            </w:r>
          </w:p>
          <w:p w14:paraId="405D0261" w14:textId="77777777" w:rsidR="00BC5DB4" w:rsidRPr="00FE5E06" w:rsidRDefault="00BC5DB4">
            <w:pPr>
              <w:pStyle w:val="JRCText"/>
              <w:jc w:val="center"/>
              <w:rPr>
                <w:rFonts w:ascii="Times New Roman" w:hAnsi="Times New Roman" w:cs="Times New Roman"/>
                <w:noProof/>
                <w:color w:val="000000" w:themeColor="text1"/>
                <w:szCs w:val="22"/>
              </w:rPr>
            </w:pPr>
          </w:p>
          <w:p w14:paraId="5C2C874D" w14:textId="1798B474" w:rsidR="00F579E3" w:rsidRPr="00C4163E" w:rsidRDefault="00F579E3">
            <w:pPr>
              <w:pStyle w:val="JRCText"/>
              <w:jc w:val="center"/>
              <w:rPr>
                <w:rFonts w:ascii="Times New Roman" w:hAnsi="Times New Roman" w:cs="Times New Roman"/>
                <w:i/>
                <w:noProof/>
                <w:color w:val="FF0000"/>
                <w:szCs w:val="22"/>
              </w:rPr>
            </w:pPr>
            <w:r w:rsidRPr="00C4163E">
              <w:rPr>
                <w:rFonts w:ascii="Times New Roman" w:hAnsi="Times New Roman" w:cs="Times New Roman"/>
                <w:i/>
                <w:noProof/>
                <w:color w:val="FF0000"/>
                <w:szCs w:val="22"/>
              </w:rPr>
              <w:t>Sensitivity:</w:t>
            </w:r>
          </w:p>
          <w:p w14:paraId="49AF4D45" w14:textId="54AB232E" w:rsidR="00904D0A" w:rsidRPr="00FE5E06" w:rsidRDefault="00904D0A">
            <w:pPr>
              <w:pStyle w:val="JRCText"/>
              <w:jc w:val="center"/>
              <w:rPr>
                <w:rFonts w:ascii="Times New Roman" w:hAnsi="Times New Roman" w:cs="Times New Roman"/>
                <w:i/>
                <w:noProof/>
                <w:color w:val="FF0000"/>
                <w:szCs w:val="22"/>
              </w:rPr>
            </w:pPr>
            <w:r w:rsidRPr="00FE5E06">
              <w:rPr>
                <w:rFonts w:ascii="Times New Roman" w:hAnsi="Times New Roman" w:cs="Times New Roman"/>
                <w:i/>
                <w:noProof/>
                <w:color w:val="FF0000"/>
                <w:szCs w:val="22"/>
              </w:rPr>
              <w:t xml:space="preserve">Auctions for BESS: EUR 26 – 66 million </w:t>
            </w:r>
          </w:p>
          <w:p w14:paraId="653420D6" w14:textId="71A4AD79" w:rsidR="00904D0A" w:rsidRPr="00EB3532" w:rsidRDefault="00904D0A" w:rsidP="00A20EEC">
            <w:pPr>
              <w:pStyle w:val="JRCText"/>
              <w:jc w:val="center"/>
              <w:rPr>
                <w:rFonts w:ascii="Times New Roman" w:hAnsi="Times New Roman" w:cs="Times New Roman"/>
                <w:noProof/>
                <w:color w:val="000000" w:themeColor="text1"/>
                <w:szCs w:val="22"/>
              </w:rPr>
            </w:pPr>
            <w:r w:rsidRPr="00FE5E06">
              <w:rPr>
                <w:rFonts w:ascii="Times New Roman" w:hAnsi="Times New Roman" w:cs="Times New Roman"/>
                <w:i/>
                <w:noProof/>
                <w:color w:val="FF0000"/>
                <w:szCs w:val="22"/>
              </w:rPr>
              <w:t xml:space="preserve">Public </w:t>
            </w:r>
            <w:r w:rsidR="00B44346">
              <w:rPr>
                <w:rFonts w:ascii="Times New Roman" w:hAnsi="Times New Roman" w:cs="Times New Roman"/>
                <w:i/>
                <w:noProof/>
                <w:color w:val="FF0000"/>
                <w:szCs w:val="22"/>
              </w:rPr>
              <w:t>p</w:t>
            </w:r>
            <w:r w:rsidRPr="00FE5E06">
              <w:rPr>
                <w:rFonts w:ascii="Times New Roman" w:hAnsi="Times New Roman" w:cs="Times New Roman"/>
                <w:i/>
                <w:noProof/>
                <w:color w:val="FF0000"/>
                <w:szCs w:val="22"/>
              </w:rPr>
              <w:t>rocurement for EVs</w:t>
            </w:r>
            <w:r w:rsidRPr="00FE5E06">
              <w:rPr>
                <w:rFonts w:ascii="Times New Roman" w:hAnsi="Times New Roman" w:cs="Times New Roman"/>
                <w:i/>
                <w:noProof/>
                <w:color w:val="000000" w:themeColor="text1"/>
                <w:szCs w:val="22"/>
              </w:rPr>
              <w:t xml:space="preserve">: </w:t>
            </w:r>
            <w:r w:rsidRPr="00FE5E06">
              <w:rPr>
                <w:rFonts w:ascii="Times New Roman" w:hAnsi="Times New Roman" w:cs="Times New Roman"/>
                <w:i/>
                <w:noProof/>
                <w:color w:val="FF0000"/>
                <w:szCs w:val="22"/>
              </w:rPr>
              <w:t xml:space="preserve">EUR </w:t>
            </w:r>
            <w:r w:rsidRPr="00FE5E06">
              <w:rPr>
                <w:rFonts w:ascii="Times New Roman" w:eastAsia="Times New Roman" w:hAnsi="Times New Roman" w:cs="Times New Roman"/>
                <w:i/>
                <w:noProof/>
                <w:color w:val="FF0000"/>
                <w:szCs w:val="22"/>
              </w:rPr>
              <w:t>132 – 331</w:t>
            </w:r>
            <w:r w:rsidRPr="00FE5E06">
              <w:rPr>
                <w:rFonts w:ascii="Times New Roman" w:hAnsi="Times New Roman" w:cs="Times New Roman"/>
                <w:i/>
                <w:noProof/>
                <w:color w:val="FF0000"/>
                <w:szCs w:val="22"/>
              </w:rPr>
              <w:t xml:space="preserve"> million</w:t>
            </w:r>
            <w:r w:rsidRPr="00EB3532">
              <w:rPr>
                <w:rFonts w:ascii="Times New Roman" w:hAnsi="Times New Roman" w:cs="Times New Roman"/>
                <w:noProof/>
                <w:color w:val="000000" w:themeColor="text1"/>
                <w:szCs w:val="22"/>
              </w:rPr>
              <w:t xml:space="preserve"> </w:t>
            </w:r>
          </w:p>
        </w:tc>
      </w:tr>
      <w:tr w:rsidR="00904D0A" w:rsidRPr="00A111C7" w14:paraId="56FA16F9"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B89AF42" w14:textId="77777777" w:rsidR="00904D0A" w:rsidRPr="00EB3532" w:rsidRDefault="00904D0A">
            <w:pPr>
              <w:pStyle w:val="JRCText"/>
              <w:jc w:val="center"/>
              <w:rPr>
                <w:rFonts w:ascii="Times New Roman" w:hAnsi="Times New Roman" w:cs="Times New Roman"/>
                <w:noProof/>
                <w:color w:val="000000" w:themeColor="text1"/>
                <w:szCs w:val="22"/>
              </w:rPr>
            </w:pPr>
            <w:r w:rsidRPr="00EB3532">
              <w:rPr>
                <w:rFonts w:ascii="Times New Roman" w:hAnsi="Times New Roman" w:cs="Times New Roman"/>
                <w:noProof/>
                <w:color w:val="FFFFFF" w:themeColor="background1"/>
                <w:szCs w:val="22"/>
              </w:rPr>
              <w:t>Citizens/Consumer</w:t>
            </w:r>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C156498" w14:textId="77777777" w:rsidR="00904D0A" w:rsidRPr="00EB3532" w:rsidRDefault="00904D0A">
            <w:pPr>
              <w:pStyle w:val="JRCText"/>
              <w:jc w:val="center"/>
              <w:rPr>
                <w:rFonts w:ascii="Times New Roman" w:hAnsi="Times New Roman" w:cs="Times New Roman"/>
                <w:noProof/>
                <w:color w:val="000000" w:themeColor="text1"/>
                <w:szCs w:val="22"/>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BC11189" w14:textId="77777777" w:rsidR="00904D0A" w:rsidRPr="00EB3532" w:rsidRDefault="00904D0A">
            <w:pPr>
              <w:pStyle w:val="JRCText"/>
              <w:jc w:val="center"/>
              <w:rPr>
                <w:rFonts w:ascii="Times New Roman" w:hAnsi="Times New Roman" w:cs="Times New Roman"/>
                <w:noProof/>
                <w:color w:val="000000" w:themeColor="text1"/>
                <w:szCs w:val="22"/>
              </w:rPr>
            </w:pPr>
          </w:p>
        </w:tc>
        <w:tc>
          <w:tcPr>
            <w:tcW w:w="195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08CA610E" w14:textId="77777777" w:rsidR="00904D0A" w:rsidRPr="00EB3532" w:rsidRDefault="00904D0A">
            <w:pPr>
              <w:pStyle w:val="JRCText"/>
              <w:jc w:val="center"/>
              <w:rPr>
                <w:rFonts w:ascii="Times New Roman" w:hAnsi="Times New Roman" w:cs="Times New Roman"/>
                <w:noProof/>
                <w:color w:val="000000" w:themeColor="text1"/>
                <w:szCs w:val="22"/>
              </w:rPr>
            </w:pPr>
          </w:p>
        </w:tc>
      </w:tr>
      <w:tr w:rsidR="00904D0A" w:rsidRPr="000F62A5" w14:paraId="313D5792"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vAlign w:val="center"/>
            <w:hideMark/>
          </w:tcPr>
          <w:p w14:paraId="535033D6" w14:textId="77777777" w:rsidR="00904D0A" w:rsidRPr="00EB3532" w:rsidRDefault="00904D0A">
            <w:pPr>
              <w:pStyle w:val="JRCText"/>
              <w:jc w:val="center"/>
              <w:rPr>
                <w:rFonts w:ascii="Times New Roman" w:hAnsi="Times New Roman" w:cs="Times New Roman"/>
                <w:b/>
                <w:noProof/>
                <w:color w:val="000000" w:themeColor="text1"/>
                <w:szCs w:val="22"/>
              </w:rPr>
            </w:pPr>
            <w:r w:rsidRPr="00EB3532">
              <w:rPr>
                <w:rFonts w:ascii="Times New Roman" w:hAnsi="Times New Roman" w:cs="Times New Roman"/>
                <w:b/>
                <w:noProof/>
                <w:color w:val="000000" w:themeColor="text1"/>
                <w:szCs w:val="22"/>
              </w:rPr>
              <w:t xml:space="preserve">Adjustment costs </w:t>
            </w:r>
            <w:r w:rsidRPr="00EB3532" w:rsidDel="00393DB1">
              <w:rPr>
                <w:rFonts w:ascii="Times New Roman" w:hAnsi="Times New Roman" w:cs="Times New Roman"/>
                <w:b/>
                <w:noProof/>
                <w:color w:val="000000" w:themeColor="text1"/>
                <w:szCs w:val="22"/>
              </w:rPr>
              <w:t>(</w:t>
            </w:r>
            <w:r w:rsidRPr="00EB3532">
              <w:rPr>
                <w:rFonts w:ascii="Times New Roman" w:hAnsi="Times New Roman" w:cs="Times New Roman"/>
                <w:b/>
                <w:noProof/>
                <w:color w:val="000000" w:themeColor="text1"/>
                <w:szCs w:val="22"/>
              </w:rPr>
              <w:t>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397A2454" w14:textId="5F6F658B" w:rsidR="00BC5DB4" w:rsidRPr="00FE5E06" w:rsidRDefault="00BC5DB4" w:rsidP="00BC5DB4">
            <w:pPr>
              <w:pStyle w:val="JRCText"/>
              <w:jc w:val="center"/>
              <w:rPr>
                <w:rFonts w:ascii="Times New Roman" w:eastAsia="Times New Roman" w:hAnsi="Times New Roman" w:cs="Times New Roman"/>
                <w:noProof/>
                <w:color w:val="000000" w:themeColor="text1"/>
                <w:szCs w:val="22"/>
              </w:rPr>
            </w:pPr>
            <w:r>
              <w:rPr>
                <w:rFonts w:ascii="Times New Roman" w:eastAsia="Times New Roman" w:hAnsi="Times New Roman" w:cs="Times New Roman"/>
                <w:noProof/>
                <w:color w:val="000000" w:themeColor="text1"/>
                <w:szCs w:val="22"/>
              </w:rPr>
              <w:t xml:space="preserve">EVs: </w:t>
            </w:r>
            <w:r w:rsidRPr="009303AB">
              <w:rPr>
                <w:rFonts w:ascii="Times New Roman" w:eastAsia="Times New Roman" w:hAnsi="Times New Roman" w:cs="Times New Roman"/>
                <w:noProof/>
                <w:color w:val="000000" w:themeColor="text1"/>
                <w:szCs w:val="22"/>
              </w:rPr>
              <w:t xml:space="preserve">average EUR </w:t>
            </w:r>
            <w:r>
              <w:rPr>
                <w:rFonts w:ascii="Times New Roman" w:eastAsia="Times New Roman" w:hAnsi="Times New Roman" w:cs="Times New Roman"/>
                <w:noProof/>
                <w:color w:val="000000" w:themeColor="text1"/>
                <w:szCs w:val="22"/>
              </w:rPr>
              <w:t>511 million</w:t>
            </w:r>
          </w:p>
          <w:p w14:paraId="46E1695D" w14:textId="7D5336DC" w:rsidR="00904D0A" w:rsidRPr="00FE5E06" w:rsidRDefault="5FCC5C75">
            <w:pPr>
              <w:pStyle w:val="JRCText"/>
              <w:jc w:val="center"/>
              <w:rPr>
                <w:rFonts w:ascii="Times New Roman" w:eastAsia="Times New Roman" w:hAnsi="Times New Roman" w:cs="Times New Roman"/>
                <w:i/>
                <w:noProof/>
                <w:color w:val="000000" w:themeColor="text1"/>
                <w:szCs w:val="22"/>
              </w:rPr>
            </w:pPr>
            <w:r w:rsidRPr="3F0F1197">
              <w:rPr>
                <w:rFonts w:ascii="Times New Roman" w:hAnsi="Times New Roman" w:cs="Times New Roman"/>
                <w:i/>
                <w:iCs/>
                <w:noProof/>
                <w:color w:val="FF0000"/>
              </w:rPr>
              <w:t>Sensitivity</w:t>
            </w:r>
            <w:r w:rsidR="46F78CD9" w:rsidRPr="3F0F1197">
              <w:rPr>
                <w:rFonts w:ascii="Times New Roman" w:hAnsi="Times New Roman" w:cs="Times New Roman"/>
                <w:i/>
                <w:iCs/>
                <w:noProof/>
                <w:color w:val="FF0000"/>
              </w:rPr>
              <w:t xml:space="preserve"> EVs</w:t>
            </w:r>
            <w:r w:rsidR="00904D0A" w:rsidRPr="3F0F1197">
              <w:rPr>
                <w:rStyle w:val="FootnoteReference"/>
                <w:rFonts w:ascii="Times New Roman" w:eastAsia="Times New Roman" w:hAnsi="Times New Roman" w:cs="Times New Roman"/>
                <w:i/>
                <w:iCs/>
                <w:noProof/>
                <w:color w:val="FF0000"/>
              </w:rPr>
              <w:footnoteReference w:id="711"/>
            </w:r>
            <w:r w:rsidR="46F78CD9" w:rsidRPr="3F0F1197">
              <w:rPr>
                <w:rFonts w:ascii="Times New Roman" w:eastAsia="Times New Roman" w:hAnsi="Times New Roman" w:cs="Times New Roman"/>
                <w:i/>
                <w:iCs/>
                <w:noProof/>
                <w:color w:val="FF0000"/>
              </w:rPr>
              <w:t xml:space="preserve">: EUR 292-730 million </w:t>
            </w:r>
          </w:p>
        </w:tc>
        <w:tc>
          <w:tcPr>
            <w:tcW w:w="1955" w:type="pct"/>
            <w:tcBorders>
              <w:top w:val="single" w:sz="6" w:space="0" w:color="auto"/>
              <w:left w:val="nil"/>
              <w:bottom w:val="single" w:sz="6" w:space="0" w:color="auto"/>
              <w:right w:val="single" w:sz="6" w:space="0" w:color="auto"/>
            </w:tcBorders>
            <w:vAlign w:val="center"/>
            <w:hideMark/>
          </w:tcPr>
          <w:p w14:paraId="08E67F1F" w14:textId="295AAE5C" w:rsidR="00BC5DB4" w:rsidRDefault="00BC5DB4" w:rsidP="00BC5DB4">
            <w:pPr>
              <w:pStyle w:val="JRCText"/>
              <w:jc w:val="center"/>
              <w:rPr>
                <w:rFonts w:ascii="Times New Roman" w:eastAsia="Times New Roman" w:hAnsi="Times New Roman" w:cs="Times New Roman"/>
                <w:noProof/>
                <w:color w:val="000000" w:themeColor="text1"/>
                <w:szCs w:val="22"/>
              </w:rPr>
            </w:pPr>
            <w:r>
              <w:rPr>
                <w:rFonts w:ascii="Times New Roman" w:eastAsia="Times New Roman" w:hAnsi="Times New Roman" w:cs="Times New Roman"/>
                <w:noProof/>
                <w:color w:val="000000" w:themeColor="text1"/>
                <w:szCs w:val="22"/>
              </w:rPr>
              <w:t xml:space="preserve">EVs: </w:t>
            </w:r>
            <w:r w:rsidRPr="009303AB">
              <w:rPr>
                <w:rFonts w:ascii="Times New Roman" w:eastAsia="Times New Roman" w:hAnsi="Times New Roman" w:cs="Times New Roman"/>
                <w:noProof/>
                <w:color w:val="000000" w:themeColor="text1"/>
                <w:szCs w:val="22"/>
              </w:rPr>
              <w:t xml:space="preserve">average EUR </w:t>
            </w:r>
            <w:r>
              <w:rPr>
                <w:rFonts w:ascii="Times New Roman" w:eastAsia="Times New Roman" w:hAnsi="Times New Roman" w:cs="Times New Roman"/>
                <w:noProof/>
                <w:color w:val="000000" w:themeColor="text1"/>
                <w:szCs w:val="22"/>
              </w:rPr>
              <w:t>0.9 billion</w:t>
            </w:r>
          </w:p>
          <w:p w14:paraId="1461FFAA" w14:textId="7D19BBFA" w:rsidR="00BC5DB4" w:rsidRPr="00FE5E06" w:rsidRDefault="00BC5DB4" w:rsidP="00BC5DB4">
            <w:pPr>
              <w:pStyle w:val="JRCText"/>
              <w:jc w:val="center"/>
              <w:rPr>
                <w:rFonts w:ascii="Times New Roman" w:eastAsia="Times New Roman" w:hAnsi="Times New Roman" w:cs="Times New Roman"/>
                <w:noProof/>
                <w:color w:val="000000" w:themeColor="text1"/>
                <w:szCs w:val="22"/>
              </w:rPr>
            </w:pPr>
            <w:r>
              <w:rPr>
                <w:rFonts w:ascii="Times New Roman" w:eastAsia="Times New Roman" w:hAnsi="Times New Roman" w:cs="Times New Roman"/>
                <w:noProof/>
                <w:color w:val="000000" w:themeColor="text1"/>
                <w:szCs w:val="22"/>
              </w:rPr>
              <w:t>BESS average: EUR 494 million</w:t>
            </w:r>
          </w:p>
          <w:p w14:paraId="5A75D139" w14:textId="1213490F" w:rsidR="00F579E3" w:rsidRPr="00C4163E" w:rsidRDefault="00F579E3">
            <w:pPr>
              <w:pStyle w:val="JRCText"/>
              <w:jc w:val="center"/>
              <w:rPr>
                <w:rFonts w:ascii="Times New Roman" w:hAnsi="Times New Roman" w:cs="Times New Roman"/>
                <w:i/>
                <w:noProof/>
                <w:color w:val="FF0000"/>
                <w:szCs w:val="22"/>
              </w:rPr>
            </w:pPr>
            <w:r w:rsidRPr="00C4163E">
              <w:rPr>
                <w:rFonts w:ascii="Times New Roman" w:hAnsi="Times New Roman" w:cs="Times New Roman"/>
                <w:i/>
                <w:noProof/>
                <w:color w:val="FF0000"/>
                <w:szCs w:val="22"/>
              </w:rPr>
              <w:t>Sensitivity:</w:t>
            </w:r>
          </w:p>
          <w:p w14:paraId="5093FFB5" w14:textId="10B9808D" w:rsidR="00904D0A" w:rsidRPr="00D31B04" w:rsidRDefault="00904D0A">
            <w:pPr>
              <w:pStyle w:val="JRCText"/>
              <w:jc w:val="center"/>
              <w:rPr>
                <w:rFonts w:ascii="Times New Roman" w:hAnsi="Times New Roman" w:cs="Times New Roman"/>
                <w:i/>
                <w:noProof/>
                <w:color w:val="FF0000"/>
                <w:szCs w:val="22"/>
                <w:lang w:val="fr-BE"/>
              </w:rPr>
            </w:pPr>
            <w:r w:rsidRPr="00D31B04">
              <w:rPr>
                <w:rFonts w:ascii="Times New Roman" w:hAnsi="Times New Roman" w:cs="Times New Roman"/>
                <w:i/>
                <w:noProof/>
                <w:color w:val="FF0000"/>
                <w:szCs w:val="22"/>
                <w:lang w:val="fr-BE"/>
              </w:rPr>
              <w:t xml:space="preserve">EVs : EUR 0.5 – 1.3 billion </w:t>
            </w:r>
          </w:p>
          <w:p w14:paraId="58C5A44F" w14:textId="7D7DF1C2" w:rsidR="00904D0A" w:rsidRPr="00D31B04" w:rsidRDefault="00904D0A">
            <w:pPr>
              <w:pStyle w:val="JRCText"/>
              <w:jc w:val="center"/>
              <w:rPr>
                <w:rFonts w:ascii="Times New Roman" w:hAnsi="Times New Roman" w:cs="Times New Roman"/>
                <w:noProof/>
                <w:color w:val="000000" w:themeColor="text1"/>
                <w:szCs w:val="22"/>
                <w:lang w:val="fr-BE"/>
              </w:rPr>
            </w:pPr>
            <w:r w:rsidRPr="00D31B04">
              <w:rPr>
                <w:rFonts w:ascii="Times New Roman" w:hAnsi="Times New Roman" w:cs="Times New Roman"/>
                <w:i/>
                <w:noProof/>
                <w:color w:val="FF0000"/>
                <w:szCs w:val="22"/>
                <w:lang w:val="fr-BE"/>
              </w:rPr>
              <w:t>BESS : EUR 282-706 million</w:t>
            </w:r>
            <w:r w:rsidRPr="00D31B04">
              <w:rPr>
                <w:rFonts w:ascii="Times New Roman" w:hAnsi="Times New Roman" w:cs="Times New Roman"/>
                <w:noProof/>
                <w:color w:val="FF0000"/>
                <w:szCs w:val="22"/>
                <w:lang w:val="fr-BE"/>
              </w:rPr>
              <w:t xml:space="preserve"> </w:t>
            </w:r>
          </w:p>
        </w:tc>
      </w:tr>
      <w:tr w:rsidR="00904D0A" w:rsidRPr="00A111C7" w14:paraId="66B1E2BD" w14:textId="77777777" w:rsidTr="3F0F1197">
        <w:trPr>
          <w:trHeight w:val="285"/>
        </w:trPr>
        <w:tc>
          <w:tcPr>
            <w:tcW w:w="1282"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195552F5" w14:textId="77777777" w:rsidR="00904D0A" w:rsidRPr="00EB3532" w:rsidRDefault="00904D0A">
            <w:pPr>
              <w:pStyle w:val="JRCText"/>
              <w:jc w:val="center"/>
              <w:rPr>
                <w:rFonts w:ascii="Times New Roman" w:hAnsi="Times New Roman" w:cs="Times New Roman"/>
                <w:noProof/>
                <w:color w:val="000000" w:themeColor="text1"/>
                <w:szCs w:val="22"/>
              </w:rPr>
            </w:pPr>
            <w:r w:rsidRPr="00EB3532">
              <w:rPr>
                <w:rFonts w:ascii="Times New Roman" w:hAnsi="Times New Roman" w:cs="Times New Roman"/>
                <w:noProof/>
                <w:color w:val="FFFFFF" w:themeColor="background1"/>
                <w:szCs w:val="22"/>
              </w:rPr>
              <w:t>Businesses</w:t>
            </w:r>
            <w:hyperlink r:id="rId120" w:anchor="_ftn5" w:tgtFrame="_blank" w:history="1">
              <w:r w:rsidRPr="00EB3532">
                <w:rPr>
                  <w:rStyle w:val="Hyperlink"/>
                  <w:rFonts w:ascii="Times New Roman" w:hAnsi="Times New Roman" w:cs="Times New Roman"/>
                  <w:noProof/>
                  <w:color w:val="FFFFFF" w:themeColor="background1"/>
                  <w:szCs w:val="22"/>
                  <w:vertAlign w:val="superscript"/>
                </w:rPr>
                <w:t>[5]</w:t>
              </w:r>
            </w:hyperlink>
          </w:p>
        </w:tc>
        <w:tc>
          <w:tcPr>
            <w:tcW w:w="82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795C4F73" w14:textId="77777777" w:rsidR="00904D0A" w:rsidRPr="00EB3532" w:rsidRDefault="00904D0A">
            <w:pPr>
              <w:pStyle w:val="JRCText"/>
              <w:jc w:val="center"/>
              <w:rPr>
                <w:rFonts w:ascii="Times New Roman" w:hAnsi="Times New Roman" w:cs="Times New Roman"/>
                <w:noProof/>
                <w:color w:val="000000" w:themeColor="text1"/>
                <w:szCs w:val="22"/>
              </w:rPr>
            </w:pPr>
          </w:p>
        </w:tc>
        <w:tc>
          <w:tcPr>
            <w:tcW w:w="938"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6560F5CC" w14:textId="77777777" w:rsidR="00904D0A" w:rsidRPr="00EB3532" w:rsidRDefault="00904D0A">
            <w:pPr>
              <w:pStyle w:val="JRCText"/>
              <w:jc w:val="center"/>
              <w:rPr>
                <w:rFonts w:ascii="Times New Roman" w:hAnsi="Times New Roman" w:cs="Times New Roman"/>
                <w:noProof/>
                <w:color w:val="000000" w:themeColor="text1"/>
                <w:szCs w:val="22"/>
              </w:rPr>
            </w:pPr>
          </w:p>
        </w:tc>
        <w:tc>
          <w:tcPr>
            <w:tcW w:w="1955" w:type="pct"/>
            <w:tcBorders>
              <w:top w:val="single" w:sz="6" w:space="0" w:color="auto"/>
              <w:left w:val="single" w:sz="6" w:space="0" w:color="auto"/>
              <w:bottom w:val="single" w:sz="6" w:space="0" w:color="auto"/>
              <w:right w:val="single" w:sz="6" w:space="0" w:color="auto"/>
            </w:tcBorders>
            <w:shd w:val="clear" w:color="auto" w:fill="215E99" w:themeFill="text2" w:themeFillTint="BF"/>
            <w:vAlign w:val="center"/>
            <w:hideMark/>
          </w:tcPr>
          <w:p w14:paraId="53C2793C" w14:textId="77777777" w:rsidR="00904D0A" w:rsidRPr="00EB3532" w:rsidRDefault="00904D0A">
            <w:pPr>
              <w:pStyle w:val="JRCText"/>
              <w:jc w:val="center"/>
              <w:rPr>
                <w:rFonts w:ascii="Times New Roman" w:hAnsi="Times New Roman" w:cs="Times New Roman"/>
                <w:noProof/>
                <w:color w:val="000000" w:themeColor="text1"/>
                <w:szCs w:val="22"/>
              </w:rPr>
            </w:pPr>
          </w:p>
        </w:tc>
      </w:tr>
      <w:tr w:rsidR="00421C45" w:rsidRPr="0035400D" w14:paraId="69DF354E" w14:textId="77777777" w:rsidTr="3F0F1197">
        <w:trPr>
          <w:trHeight w:val="810"/>
        </w:trPr>
        <w:tc>
          <w:tcPr>
            <w:tcW w:w="1282" w:type="pct"/>
            <w:tcBorders>
              <w:top w:val="single" w:sz="6" w:space="0" w:color="auto"/>
              <w:left w:val="single" w:sz="6" w:space="0" w:color="auto"/>
              <w:bottom w:val="single" w:sz="6" w:space="0" w:color="auto"/>
              <w:right w:val="single" w:sz="6" w:space="0" w:color="auto"/>
            </w:tcBorders>
            <w:vAlign w:val="center"/>
            <w:hideMark/>
          </w:tcPr>
          <w:p w14:paraId="515454BC" w14:textId="77777777" w:rsidR="00904D0A" w:rsidRPr="00EB3532" w:rsidRDefault="00904D0A">
            <w:pPr>
              <w:pStyle w:val="JRCText"/>
              <w:jc w:val="center"/>
              <w:rPr>
                <w:rFonts w:ascii="Times New Roman" w:hAnsi="Times New Roman" w:cs="Times New Roman"/>
                <w:noProof/>
                <w:color w:val="000000" w:themeColor="text1"/>
                <w:szCs w:val="22"/>
              </w:rPr>
            </w:pPr>
            <w:r w:rsidRPr="00EB3532">
              <w:rPr>
                <w:rFonts w:ascii="Times New Roman" w:hAnsi="Times New Roman" w:cs="Times New Roman"/>
                <w:noProof/>
                <w:color w:val="000000" w:themeColor="text1"/>
                <w:szCs w:val="22"/>
              </w:rPr>
              <w:t>Adjustment costs (recurring)</w:t>
            </w:r>
          </w:p>
        </w:tc>
        <w:tc>
          <w:tcPr>
            <w:tcW w:w="1763" w:type="pct"/>
            <w:gridSpan w:val="2"/>
            <w:tcBorders>
              <w:top w:val="single" w:sz="6" w:space="0" w:color="auto"/>
              <w:left w:val="single" w:sz="6" w:space="0" w:color="auto"/>
              <w:bottom w:val="single" w:sz="6" w:space="0" w:color="auto"/>
              <w:right w:val="single" w:sz="6" w:space="0" w:color="auto"/>
            </w:tcBorders>
            <w:vAlign w:val="center"/>
            <w:hideMark/>
          </w:tcPr>
          <w:p w14:paraId="69E5A5B6" w14:textId="1659D9DA" w:rsidR="00317AEC" w:rsidRDefault="00317AEC">
            <w:pPr>
              <w:jc w:val="center"/>
              <w:rPr>
                <w:rFonts w:cs="Times New Roman"/>
                <w:noProof/>
                <w:color w:val="000000" w:themeColor="text1"/>
                <w:sz w:val="22"/>
              </w:rPr>
            </w:pPr>
            <w:r w:rsidRPr="00FE5E06">
              <w:rPr>
                <w:rFonts w:cs="Times New Roman"/>
                <w:noProof/>
                <w:color w:val="000000" w:themeColor="text1"/>
                <w:sz w:val="22"/>
              </w:rPr>
              <w:t>EVs: average EUR 1.55 billion </w:t>
            </w:r>
          </w:p>
          <w:p w14:paraId="3CC12A10" w14:textId="77777777" w:rsidR="00317AEC" w:rsidRPr="00FE5E06" w:rsidRDefault="00317AEC">
            <w:pPr>
              <w:jc w:val="center"/>
              <w:rPr>
                <w:rFonts w:cs="Times New Roman"/>
                <w:noProof/>
                <w:color w:val="000000" w:themeColor="text1"/>
                <w:sz w:val="22"/>
              </w:rPr>
            </w:pPr>
          </w:p>
          <w:p w14:paraId="2B43959A" w14:textId="2F87055E" w:rsidR="00904D0A" w:rsidRPr="00FE5E06" w:rsidRDefault="00F579E3">
            <w:pPr>
              <w:jc w:val="center"/>
              <w:rPr>
                <w:rFonts w:cs="Times New Roman"/>
                <w:i/>
                <w:noProof/>
                <w:color w:val="000000" w:themeColor="text1"/>
                <w:sz w:val="22"/>
              </w:rPr>
            </w:pPr>
            <w:r w:rsidRPr="00C4163E">
              <w:rPr>
                <w:rFonts w:cs="Times New Roman"/>
                <w:i/>
                <w:noProof/>
                <w:color w:val="FF0000"/>
                <w:sz w:val="22"/>
              </w:rPr>
              <w:t>Sensitivity</w:t>
            </w:r>
            <w:r w:rsidR="00904D0A" w:rsidRPr="00FE5E06">
              <w:rPr>
                <w:rFonts w:cs="Times New Roman"/>
                <w:i/>
                <w:noProof/>
                <w:color w:val="FF0000"/>
                <w:sz w:val="22"/>
              </w:rPr>
              <w:t xml:space="preserve"> EVs : EUR 0.9-2.2 billion </w:t>
            </w:r>
          </w:p>
        </w:tc>
        <w:tc>
          <w:tcPr>
            <w:tcW w:w="1955" w:type="pct"/>
            <w:tcBorders>
              <w:top w:val="single" w:sz="6" w:space="0" w:color="auto"/>
              <w:left w:val="nil"/>
              <w:bottom w:val="single" w:sz="6" w:space="0" w:color="auto"/>
              <w:right w:val="single" w:sz="6" w:space="0" w:color="auto"/>
            </w:tcBorders>
            <w:vAlign w:val="center"/>
            <w:hideMark/>
          </w:tcPr>
          <w:p w14:paraId="1CA0E1E9" w14:textId="08A05A46" w:rsidR="00317AEC" w:rsidRPr="00D31B04" w:rsidRDefault="00317AEC">
            <w:pPr>
              <w:pStyle w:val="JRCText"/>
              <w:jc w:val="center"/>
              <w:rPr>
                <w:rFonts w:ascii="Times New Roman" w:hAnsi="Times New Roman" w:cs="Times New Roman"/>
                <w:noProof/>
                <w:color w:val="000000" w:themeColor="text1"/>
                <w:szCs w:val="22"/>
              </w:rPr>
            </w:pPr>
            <w:r w:rsidRPr="00D31B04">
              <w:rPr>
                <w:rFonts w:ascii="Times New Roman" w:hAnsi="Times New Roman" w:cs="Times New Roman"/>
                <w:noProof/>
                <w:color w:val="000000" w:themeColor="text1"/>
                <w:szCs w:val="22"/>
              </w:rPr>
              <w:t>EVs average : EUR 1.55 billion</w:t>
            </w:r>
          </w:p>
          <w:p w14:paraId="5D02070D" w14:textId="2A27DF1B" w:rsidR="00317AEC" w:rsidRPr="00D31B04" w:rsidRDefault="00317AEC">
            <w:pPr>
              <w:pStyle w:val="JRCText"/>
              <w:jc w:val="center"/>
              <w:rPr>
                <w:rFonts w:ascii="Times New Roman" w:hAnsi="Times New Roman" w:cs="Times New Roman"/>
                <w:noProof/>
                <w:color w:val="000000" w:themeColor="text1"/>
                <w:szCs w:val="22"/>
              </w:rPr>
            </w:pPr>
            <w:r w:rsidRPr="00D31B04">
              <w:rPr>
                <w:rFonts w:ascii="Times New Roman" w:hAnsi="Times New Roman" w:cs="Times New Roman"/>
                <w:noProof/>
                <w:color w:val="000000" w:themeColor="text1"/>
                <w:szCs w:val="22"/>
              </w:rPr>
              <w:t>BESS</w:t>
            </w:r>
            <w:r w:rsidR="00F16DED" w:rsidRPr="00D31B04">
              <w:rPr>
                <w:rFonts w:ascii="Times New Roman" w:hAnsi="Times New Roman" w:cs="Times New Roman"/>
                <w:noProof/>
                <w:color w:val="000000" w:themeColor="text1"/>
                <w:szCs w:val="22"/>
              </w:rPr>
              <w:t> : EUR 187.5</w:t>
            </w:r>
            <w:r w:rsidR="000C0335" w:rsidRPr="00D31B04">
              <w:rPr>
                <w:rFonts w:ascii="Times New Roman" w:hAnsi="Times New Roman" w:cs="Times New Roman"/>
                <w:noProof/>
                <w:color w:val="000000" w:themeColor="text1"/>
                <w:szCs w:val="22"/>
              </w:rPr>
              <w:t xml:space="preserve"> million</w:t>
            </w:r>
          </w:p>
          <w:p w14:paraId="6EB9294F" w14:textId="75677282" w:rsidR="00F579E3" w:rsidRPr="00D31B04" w:rsidRDefault="00F579E3">
            <w:pPr>
              <w:pStyle w:val="JRCText"/>
              <w:jc w:val="center"/>
              <w:rPr>
                <w:rFonts w:ascii="Times New Roman" w:hAnsi="Times New Roman" w:cs="Times New Roman"/>
                <w:i/>
                <w:noProof/>
                <w:color w:val="FF0000"/>
                <w:szCs w:val="22"/>
              </w:rPr>
            </w:pPr>
            <w:r w:rsidRPr="00D31B04">
              <w:rPr>
                <w:rFonts w:ascii="Times New Roman" w:hAnsi="Times New Roman" w:cs="Times New Roman"/>
                <w:i/>
                <w:noProof/>
                <w:color w:val="FF0000"/>
                <w:szCs w:val="22"/>
              </w:rPr>
              <w:t>Sensitivity :</w:t>
            </w:r>
          </w:p>
          <w:p w14:paraId="76245F9B" w14:textId="77777777" w:rsidR="00F579E3" w:rsidRPr="00D31B04" w:rsidRDefault="00904D0A" w:rsidP="00F579E3">
            <w:pPr>
              <w:pStyle w:val="JRCText"/>
              <w:jc w:val="center"/>
              <w:rPr>
                <w:rFonts w:ascii="Times New Roman" w:hAnsi="Times New Roman" w:cs="Times New Roman"/>
                <w:noProof/>
                <w:color w:val="FF0000"/>
                <w:szCs w:val="22"/>
              </w:rPr>
            </w:pPr>
            <w:r w:rsidRPr="00D31B04">
              <w:rPr>
                <w:rFonts w:ascii="Times New Roman" w:hAnsi="Times New Roman" w:cs="Times New Roman"/>
                <w:i/>
                <w:noProof/>
                <w:color w:val="FF0000"/>
                <w:szCs w:val="22"/>
              </w:rPr>
              <w:t>EVs: EUR 0.9-2.2 billion</w:t>
            </w:r>
            <w:r w:rsidRPr="00D31B04">
              <w:rPr>
                <w:rFonts w:ascii="Times New Roman" w:hAnsi="Times New Roman" w:cs="Times New Roman"/>
                <w:noProof/>
                <w:color w:val="FF0000"/>
                <w:szCs w:val="22"/>
              </w:rPr>
              <w:t xml:space="preserve"> </w:t>
            </w:r>
          </w:p>
          <w:p w14:paraId="50D8630D" w14:textId="77777777" w:rsidR="00904D0A" w:rsidRPr="00D31B04" w:rsidRDefault="00904D0A">
            <w:pPr>
              <w:pStyle w:val="JRCText"/>
              <w:jc w:val="center"/>
              <w:rPr>
                <w:rFonts w:ascii="Times New Roman" w:hAnsi="Times New Roman" w:cs="Times New Roman"/>
                <w:i/>
                <w:noProof/>
                <w:color w:val="FF0000"/>
                <w:szCs w:val="22"/>
              </w:rPr>
            </w:pPr>
            <w:r w:rsidRPr="00D31B04">
              <w:rPr>
                <w:rFonts w:ascii="Times New Roman" w:hAnsi="Times New Roman" w:cs="Times New Roman"/>
                <w:i/>
                <w:noProof/>
                <w:color w:val="FF0000"/>
                <w:szCs w:val="22"/>
              </w:rPr>
              <w:t>BESS : EUR 107-268 million</w:t>
            </w:r>
          </w:p>
          <w:p w14:paraId="520A22A0" w14:textId="17F0CB0B" w:rsidR="00904D0A" w:rsidRPr="00D31B04" w:rsidRDefault="00904D0A">
            <w:pPr>
              <w:pStyle w:val="JRCText"/>
              <w:jc w:val="center"/>
              <w:rPr>
                <w:rFonts w:ascii="Times New Roman" w:hAnsi="Times New Roman" w:cs="Times New Roman"/>
                <w:noProof/>
                <w:color w:val="000000" w:themeColor="text1"/>
                <w:szCs w:val="22"/>
              </w:rPr>
            </w:pPr>
          </w:p>
        </w:tc>
      </w:tr>
      <w:tr w:rsidR="005D1910" w:rsidRPr="005D1910" w14:paraId="1FBA6216" w14:textId="77777777" w:rsidTr="3F0F1197">
        <w:trPr>
          <w:trHeight w:val="810"/>
        </w:trPr>
        <w:tc>
          <w:tcPr>
            <w:tcW w:w="1282" w:type="pct"/>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tcPr>
          <w:p w14:paraId="54D48C7C" w14:textId="7F5DA20E" w:rsidR="005D1910" w:rsidRPr="00FE5E06" w:rsidRDefault="005D1910">
            <w:pPr>
              <w:pStyle w:val="JRCText"/>
              <w:jc w:val="center"/>
              <w:rPr>
                <w:rFonts w:ascii="Times New Roman" w:hAnsi="Times New Roman" w:cs="Times New Roman"/>
                <w:b/>
                <w:noProof/>
                <w:color w:val="000000" w:themeColor="text1"/>
                <w:szCs w:val="22"/>
              </w:rPr>
            </w:pPr>
            <w:r w:rsidRPr="00FE5E06">
              <w:rPr>
                <w:rFonts w:ascii="Times New Roman" w:hAnsi="Times New Roman" w:cs="Times New Roman"/>
                <w:b/>
                <w:noProof/>
                <w:color w:val="000000" w:themeColor="text1"/>
                <w:szCs w:val="22"/>
              </w:rPr>
              <w:t>TOTAL</w:t>
            </w:r>
            <w:r w:rsidR="00F579E3">
              <w:rPr>
                <w:rFonts w:ascii="Times New Roman" w:hAnsi="Times New Roman" w:cs="Times New Roman"/>
                <w:b/>
                <w:bCs/>
                <w:noProof/>
                <w:color w:val="000000" w:themeColor="text1"/>
                <w:szCs w:val="22"/>
              </w:rPr>
              <w:t xml:space="preserve"> sensitivity</w:t>
            </w:r>
          </w:p>
        </w:tc>
        <w:tc>
          <w:tcPr>
            <w:tcW w:w="1763" w:type="pct"/>
            <w:gridSpan w:val="2"/>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tcPr>
          <w:p w14:paraId="273BBE08" w14:textId="77777777" w:rsidR="005D1910" w:rsidRPr="00FE5E06" w:rsidRDefault="00020EBC">
            <w:pPr>
              <w:jc w:val="center"/>
              <w:rPr>
                <w:rFonts w:cs="Times New Roman"/>
                <w:b/>
                <w:i/>
                <w:noProof/>
                <w:sz w:val="22"/>
              </w:rPr>
            </w:pPr>
            <w:r w:rsidRPr="00FE5E06">
              <w:rPr>
                <w:rFonts w:cs="Times New Roman"/>
                <w:b/>
                <w:i/>
                <w:noProof/>
                <w:sz w:val="22"/>
              </w:rPr>
              <w:t xml:space="preserve">EVs </w:t>
            </w:r>
            <w:r w:rsidR="00C20ECF" w:rsidRPr="00FE5E06">
              <w:rPr>
                <w:rFonts w:cs="Times New Roman"/>
                <w:b/>
                <w:i/>
                <w:noProof/>
                <w:sz w:val="22"/>
              </w:rPr>
              <w:t xml:space="preserve">1.3 billion </w:t>
            </w:r>
            <w:r w:rsidR="00451903" w:rsidRPr="00FE5E06">
              <w:rPr>
                <w:rFonts w:cs="Times New Roman"/>
                <w:b/>
                <w:i/>
                <w:noProof/>
                <w:sz w:val="22"/>
              </w:rPr>
              <w:t>–</w:t>
            </w:r>
            <w:r w:rsidR="00C20ECF" w:rsidRPr="00FE5E06">
              <w:rPr>
                <w:rFonts w:cs="Times New Roman"/>
                <w:b/>
                <w:i/>
                <w:noProof/>
                <w:sz w:val="22"/>
              </w:rPr>
              <w:t xml:space="preserve"> </w:t>
            </w:r>
            <w:r w:rsidR="00451903" w:rsidRPr="00FE5E06">
              <w:rPr>
                <w:rFonts w:cs="Times New Roman"/>
                <w:b/>
                <w:i/>
                <w:noProof/>
                <w:sz w:val="22"/>
              </w:rPr>
              <w:t>3.26 billion</w:t>
            </w:r>
          </w:p>
          <w:p w14:paraId="791E5CB7" w14:textId="3FCF46A3" w:rsidR="002C0281" w:rsidRPr="00FE5E06" w:rsidRDefault="002C0281">
            <w:pPr>
              <w:jc w:val="center"/>
              <w:rPr>
                <w:rFonts w:cs="Times New Roman"/>
                <w:b/>
                <w:i/>
                <w:noProof/>
                <w:sz w:val="22"/>
              </w:rPr>
            </w:pPr>
            <w:r w:rsidRPr="00FE5E06">
              <w:rPr>
                <w:rFonts w:eastAsia="Times New Roman" w:cs="Times New Roman"/>
                <w:b/>
                <w:i/>
                <w:noProof/>
                <w:sz w:val="22"/>
              </w:rPr>
              <w:t>BESS: EUR 26 – 66 million</w:t>
            </w:r>
          </w:p>
        </w:tc>
        <w:tc>
          <w:tcPr>
            <w:tcW w:w="1955" w:type="pct"/>
            <w:tcBorders>
              <w:top w:val="single" w:sz="6" w:space="0" w:color="auto"/>
              <w:left w:val="nil"/>
              <w:bottom w:val="single" w:sz="6" w:space="0" w:color="auto"/>
              <w:right w:val="single" w:sz="6" w:space="0" w:color="auto"/>
            </w:tcBorders>
            <w:shd w:val="clear" w:color="auto" w:fill="DAE9F7" w:themeFill="text2" w:themeFillTint="1A"/>
            <w:vAlign w:val="center"/>
          </w:tcPr>
          <w:p w14:paraId="424EF23A" w14:textId="77777777" w:rsidR="005D1910" w:rsidRPr="00D31B04" w:rsidRDefault="002C0281">
            <w:pPr>
              <w:pStyle w:val="JRCText"/>
              <w:jc w:val="center"/>
              <w:rPr>
                <w:rFonts w:ascii="Times New Roman" w:hAnsi="Times New Roman" w:cs="Times New Roman"/>
                <w:b/>
                <w:i/>
                <w:noProof/>
                <w:szCs w:val="22"/>
              </w:rPr>
            </w:pPr>
            <w:r w:rsidRPr="00D31B04">
              <w:rPr>
                <w:rFonts w:ascii="Times New Roman" w:hAnsi="Times New Roman" w:cs="Times New Roman"/>
                <w:b/>
                <w:i/>
                <w:noProof/>
                <w:szCs w:val="22"/>
              </w:rPr>
              <w:t>EV :</w:t>
            </w:r>
            <w:r w:rsidR="00004912" w:rsidRPr="00D31B04">
              <w:rPr>
                <w:rFonts w:ascii="Times New Roman" w:hAnsi="Times New Roman" w:cs="Times New Roman"/>
                <w:b/>
                <w:i/>
                <w:noProof/>
                <w:szCs w:val="22"/>
              </w:rPr>
              <w:t xml:space="preserve"> 1.5 billion- </w:t>
            </w:r>
            <w:r w:rsidR="00857CAD" w:rsidRPr="00D31B04">
              <w:rPr>
                <w:rFonts w:ascii="Times New Roman" w:hAnsi="Times New Roman" w:cs="Times New Roman"/>
                <w:b/>
                <w:i/>
                <w:noProof/>
                <w:szCs w:val="22"/>
              </w:rPr>
              <w:t>3.8 billion</w:t>
            </w:r>
          </w:p>
          <w:p w14:paraId="1CD7D95C" w14:textId="70FFDB67" w:rsidR="00857CAD" w:rsidRPr="00D31B04" w:rsidRDefault="00857CAD">
            <w:pPr>
              <w:pStyle w:val="JRCText"/>
              <w:jc w:val="center"/>
              <w:rPr>
                <w:rFonts w:ascii="Times New Roman" w:hAnsi="Times New Roman" w:cs="Times New Roman"/>
                <w:b/>
                <w:i/>
                <w:noProof/>
                <w:szCs w:val="22"/>
              </w:rPr>
            </w:pPr>
            <w:r w:rsidRPr="00D31B04">
              <w:rPr>
                <w:rFonts w:ascii="Times New Roman" w:hAnsi="Times New Roman" w:cs="Times New Roman"/>
                <w:b/>
                <w:i/>
                <w:noProof/>
                <w:szCs w:val="22"/>
              </w:rPr>
              <w:t xml:space="preserve">BESS : </w:t>
            </w:r>
            <w:r w:rsidR="00D8420B" w:rsidRPr="00D31B04">
              <w:rPr>
                <w:rFonts w:ascii="Times New Roman" w:hAnsi="Times New Roman" w:cs="Times New Roman"/>
                <w:b/>
                <w:i/>
                <w:noProof/>
                <w:szCs w:val="22"/>
              </w:rPr>
              <w:t xml:space="preserve">415 million </w:t>
            </w:r>
            <w:r w:rsidR="00BF347E" w:rsidRPr="00D31B04">
              <w:rPr>
                <w:rFonts w:ascii="Times New Roman" w:hAnsi="Times New Roman" w:cs="Times New Roman"/>
                <w:b/>
                <w:i/>
                <w:noProof/>
                <w:szCs w:val="22"/>
              </w:rPr>
              <w:t>–</w:t>
            </w:r>
            <w:r w:rsidR="00D8420B" w:rsidRPr="00D31B04">
              <w:rPr>
                <w:rFonts w:ascii="Times New Roman" w:hAnsi="Times New Roman" w:cs="Times New Roman"/>
                <w:b/>
                <w:i/>
                <w:noProof/>
                <w:szCs w:val="22"/>
              </w:rPr>
              <w:t xml:space="preserve"> </w:t>
            </w:r>
            <w:r w:rsidR="00BF347E" w:rsidRPr="00D31B04">
              <w:rPr>
                <w:rFonts w:ascii="Times New Roman" w:hAnsi="Times New Roman" w:cs="Times New Roman"/>
                <w:b/>
                <w:i/>
                <w:noProof/>
                <w:szCs w:val="22"/>
              </w:rPr>
              <w:t>1.04 billion</w:t>
            </w:r>
          </w:p>
        </w:tc>
      </w:tr>
    </w:tbl>
    <w:p w14:paraId="330CE1BB" w14:textId="77777777" w:rsidR="00904D0A" w:rsidRPr="00FE5E06" w:rsidRDefault="00904D0A" w:rsidP="00904D0A">
      <w:pPr>
        <w:rPr>
          <w:noProof/>
          <w:lang w:val="en-IE"/>
        </w:rPr>
      </w:pPr>
    </w:p>
    <w:p w14:paraId="0B339451" w14:textId="3ED51632" w:rsidR="00AD277D" w:rsidRDefault="00AD277D" w:rsidP="00AD277D">
      <w:pPr>
        <w:pStyle w:val="JRCText"/>
        <w:rPr>
          <w:rFonts w:ascii="Times New Roman" w:eastAsia="Times New Roman" w:hAnsi="Times New Roman" w:cs="Times New Roman"/>
          <w:b/>
          <w:bCs/>
          <w:noProof/>
          <w:color w:val="000000" w:themeColor="text1"/>
          <w:sz w:val="24"/>
          <w:szCs w:val="24"/>
        </w:rPr>
      </w:pPr>
      <w:r w:rsidRPr="005060D4">
        <w:rPr>
          <w:rFonts w:ascii="Times New Roman" w:eastAsia="Times New Roman" w:hAnsi="Times New Roman" w:cs="Times New Roman"/>
          <w:b/>
          <w:noProof/>
          <w:color w:val="000000" w:themeColor="text1"/>
          <w:sz w:val="24"/>
          <w:szCs w:val="24"/>
        </w:rPr>
        <w:t>LEAD</w:t>
      </w:r>
      <w:r w:rsidR="002078E6">
        <w:rPr>
          <w:rFonts w:ascii="Times New Roman" w:eastAsia="Times New Roman" w:hAnsi="Times New Roman" w:cs="Times New Roman"/>
          <w:b/>
          <w:noProof/>
          <w:color w:val="000000" w:themeColor="text1"/>
          <w:sz w:val="24"/>
          <w:szCs w:val="24"/>
        </w:rPr>
        <w:t>_</w:t>
      </w:r>
      <w:r w:rsidRPr="005060D4">
        <w:rPr>
          <w:rFonts w:ascii="Times New Roman" w:eastAsia="Times New Roman" w:hAnsi="Times New Roman" w:cs="Times New Roman"/>
          <w:b/>
          <w:noProof/>
          <w:color w:val="000000" w:themeColor="text1"/>
          <w:sz w:val="24"/>
          <w:szCs w:val="24"/>
        </w:rPr>
        <w:t>VC</w:t>
      </w:r>
    </w:p>
    <w:p w14:paraId="10A03E90" w14:textId="77777777" w:rsidR="002D3819" w:rsidRDefault="00AD277D" w:rsidP="005060D4">
      <w:pPr>
        <w:rPr>
          <w:rFonts w:eastAsia="Aptos" w:cs="Times New Roman"/>
          <w:noProof/>
        </w:rPr>
      </w:pPr>
      <w:r w:rsidRPr="08C2D9B7">
        <w:rPr>
          <w:rFonts w:eastAsia="Aptos" w:cs="Times New Roman"/>
          <w:noProof/>
        </w:rPr>
        <w:t xml:space="preserve">In the LEAD_VC analysis, the most critical parameters are the elasticities governing consumer behaviour. We consider the demand elasticity of vehicles to capture the effect of prices on quantities (price effects), the cross-product elasticities to capture substitution between ICE and EV, and the cross-region elasticities to capture substitution between EU- and non-EU-made EVs. These elasticities determine EV demand, the type of purchased vehicles (ICE vs. EV), the source of those vehicles (EU vs. non-EU), </w:t>
      </w:r>
      <w:r w:rsidRPr="005060D4">
        <w:rPr>
          <w:noProof/>
        </w:rPr>
        <w:t>a</w:t>
      </w:r>
      <w:r w:rsidRPr="08C2D9B7">
        <w:rPr>
          <w:rFonts w:eastAsia="Aptos" w:cs="Times New Roman"/>
          <w:noProof/>
        </w:rPr>
        <w:t>nd their evolution in the aftermath of a policy intervention that alters relative prices. We define these elasticities more formally and provide the preferred values used in the impact assessment in Annex 4. In what follows, we do a sensitivity analysis on the set of elasticity parameters, decreasing and increasing them by 0.1, one by one:</w:t>
      </w:r>
    </w:p>
    <w:p w14:paraId="6D2C03FB" w14:textId="201D8ACD" w:rsidR="002D3819" w:rsidRPr="004327A2" w:rsidRDefault="00AD277D" w:rsidP="004A466F">
      <w:pPr>
        <w:pStyle w:val="ListParagraph"/>
        <w:numPr>
          <w:ilvl w:val="0"/>
          <w:numId w:val="195"/>
        </w:numPr>
        <w:rPr>
          <w:rFonts w:eastAsia="Aptos" w:cs="Times New Roman"/>
          <w:noProof/>
        </w:rPr>
      </w:pPr>
      <w:r w:rsidRPr="004A466F">
        <w:rPr>
          <w:rFonts w:eastAsia="Aptos" w:cs="Times New Roman"/>
          <w:noProof/>
        </w:rPr>
        <w:t>Demand</w:t>
      </w:r>
      <w:r w:rsidRPr="004327A2">
        <w:rPr>
          <w:rFonts w:eastAsia="Aptos" w:cs="Times New Roman"/>
          <w:noProof/>
        </w:rPr>
        <w:t xml:space="preserve"> elasticity ranges from -0.4 to -0.6, with a preferred value of -0.5.</w:t>
      </w:r>
    </w:p>
    <w:p w14:paraId="16410339" w14:textId="28629598" w:rsidR="005A401F" w:rsidRPr="004327A2" w:rsidRDefault="00AD277D" w:rsidP="004A466F">
      <w:pPr>
        <w:pStyle w:val="ListParagraph"/>
        <w:numPr>
          <w:ilvl w:val="0"/>
          <w:numId w:val="195"/>
        </w:numPr>
        <w:rPr>
          <w:rFonts w:eastAsia="Aptos" w:cs="Times New Roman"/>
          <w:noProof/>
        </w:rPr>
      </w:pPr>
      <w:r w:rsidRPr="004327A2">
        <w:rPr>
          <w:rFonts w:eastAsia="Aptos" w:cs="Times New Roman"/>
          <w:noProof/>
        </w:rPr>
        <w:t>Cross-product elasticities:</w:t>
      </w:r>
      <w:r w:rsidR="00DB182E" w:rsidRPr="004327A2">
        <w:rPr>
          <w:rFonts w:eastAsia="Aptos" w:cs="Times New Roman"/>
          <w:noProof/>
        </w:rPr>
        <w:t xml:space="preserve"> </w:t>
      </w:r>
    </w:p>
    <w:p w14:paraId="6EDB33EB" w14:textId="1970346C" w:rsidR="00F328A2" w:rsidRPr="004327A2" w:rsidRDefault="00AD277D" w:rsidP="003F08BA">
      <w:pPr>
        <w:pStyle w:val="ListParagraph"/>
        <w:numPr>
          <w:ilvl w:val="2"/>
          <w:numId w:val="195"/>
        </w:numPr>
        <w:rPr>
          <w:rFonts w:eastAsia="Aptos" w:cs="Times New Roman"/>
          <w:noProof/>
        </w:rPr>
      </w:pPr>
      <w:r w:rsidRPr="004A466F">
        <w:rPr>
          <w:rFonts w:eastAsia="Aptos" w:cs="Times New Roman"/>
          <w:noProof/>
        </w:rPr>
        <w:t>EV</w:t>
      </w:r>
      <w:r w:rsidRPr="004327A2">
        <w:rPr>
          <w:rFonts w:eastAsia="Aptos" w:cs="Times New Roman"/>
          <w:noProof/>
        </w:rPr>
        <w:t xml:space="preserve"> vs. ICE ranges from 0.2 to 0.4, with a preferred value of 0.3.</w:t>
      </w:r>
    </w:p>
    <w:p w14:paraId="12B11E94" w14:textId="09A37438" w:rsidR="00AD277D" w:rsidRPr="004327A2" w:rsidRDefault="00AD277D" w:rsidP="003F08BA">
      <w:pPr>
        <w:pStyle w:val="ListParagraph"/>
        <w:numPr>
          <w:ilvl w:val="2"/>
          <w:numId w:val="195"/>
        </w:numPr>
        <w:rPr>
          <w:rFonts w:eastAsia="Aptos" w:cs="Times New Roman"/>
          <w:noProof/>
        </w:rPr>
      </w:pPr>
      <w:r w:rsidRPr="004A466F">
        <w:rPr>
          <w:rFonts w:eastAsia="Aptos" w:cs="Times New Roman"/>
          <w:noProof/>
          <w:szCs w:val="24"/>
        </w:rPr>
        <w:t>EV</w:t>
      </w:r>
      <w:r w:rsidRPr="004327A2">
        <w:rPr>
          <w:rFonts w:eastAsia="Aptos" w:cs="Times New Roman"/>
          <w:noProof/>
          <w:szCs w:val="24"/>
        </w:rPr>
        <w:t xml:space="preserve"> vs. EV ranges from -1.6 to -1.4</w:t>
      </w:r>
      <w:r w:rsidR="001C53B2" w:rsidRPr="004327A2">
        <w:rPr>
          <w:rFonts w:eastAsia="Aptos" w:cs="Times New Roman"/>
          <w:noProof/>
          <w:szCs w:val="24"/>
        </w:rPr>
        <w:t>, with a preferred value of -1.5</w:t>
      </w:r>
      <w:r w:rsidRPr="004327A2">
        <w:rPr>
          <w:rFonts w:eastAsia="Aptos" w:cs="Times New Roman"/>
          <w:noProof/>
          <w:szCs w:val="24"/>
        </w:rPr>
        <w:t>.</w:t>
      </w:r>
    </w:p>
    <w:p w14:paraId="45C61317" w14:textId="77777777" w:rsidR="00AD277D" w:rsidRPr="005060D4" w:rsidRDefault="00AD277D" w:rsidP="005060D4">
      <w:pPr>
        <w:pStyle w:val="ListParagraph"/>
        <w:numPr>
          <w:ilvl w:val="1"/>
          <w:numId w:val="190"/>
        </w:numPr>
        <w:rPr>
          <w:rFonts w:eastAsia="Aptos" w:cs="Times New Roman"/>
          <w:noProof/>
          <w:szCs w:val="24"/>
        </w:rPr>
      </w:pPr>
      <w:r w:rsidRPr="005060D4">
        <w:rPr>
          <w:rFonts w:eastAsia="Aptos" w:cs="Times New Roman"/>
          <w:noProof/>
          <w:szCs w:val="24"/>
        </w:rPr>
        <w:t>We adjust the other two elasticities (ICE vs. ICE and ICE vs. EV) that are not critical for the analysis to preserve the demand elasticity in its preferred value of -0.5.</w:t>
      </w:r>
    </w:p>
    <w:p w14:paraId="5AD72D33" w14:textId="77777777" w:rsidR="00AD277D" w:rsidRPr="005060D4" w:rsidRDefault="00AD277D" w:rsidP="005060D4">
      <w:pPr>
        <w:pStyle w:val="ListParagraph"/>
        <w:numPr>
          <w:ilvl w:val="0"/>
          <w:numId w:val="189"/>
        </w:numPr>
        <w:rPr>
          <w:rFonts w:eastAsia="Aptos" w:cs="Times New Roman"/>
          <w:noProof/>
          <w:szCs w:val="24"/>
        </w:rPr>
      </w:pPr>
      <w:r w:rsidRPr="005060D4">
        <w:rPr>
          <w:rFonts w:eastAsia="Aptos" w:cs="Times New Roman"/>
          <w:noProof/>
          <w:szCs w:val="24"/>
        </w:rPr>
        <w:t xml:space="preserve">Cross-region elasticities: </w:t>
      </w:r>
    </w:p>
    <w:p w14:paraId="0BEDE12F" w14:textId="77777777" w:rsidR="00AD277D" w:rsidRPr="005060D4" w:rsidRDefault="00AD277D" w:rsidP="005060D4">
      <w:pPr>
        <w:pStyle w:val="ListParagraph"/>
        <w:numPr>
          <w:ilvl w:val="1"/>
          <w:numId w:val="188"/>
        </w:numPr>
        <w:rPr>
          <w:rFonts w:eastAsia="Aptos" w:cs="Times New Roman"/>
          <w:noProof/>
          <w:szCs w:val="24"/>
        </w:rPr>
      </w:pPr>
      <w:r w:rsidRPr="005060D4">
        <w:rPr>
          <w:rFonts w:eastAsia="Aptos" w:cs="Times New Roman"/>
          <w:noProof/>
          <w:szCs w:val="24"/>
        </w:rPr>
        <w:t>Non-EU vs. EU ranges from 0.9 to 1.1, with a preferred value of 1.0.</w:t>
      </w:r>
    </w:p>
    <w:p w14:paraId="3FE491E1" w14:textId="77777777" w:rsidR="00AD277D" w:rsidRPr="005060D4" w:rsidRDefault="00AD277D" w:rsidP="005060D4">
      <w:pPr>
        <w:pStyle w:val="ListParagraph"/>
        <w:numPr>
          <w:ilvl w:val="1"/>
          <w:numId w:val="187"/>
        </w:numPr>
        <w:rPr>
          <w:rFonts w:eastAsia="Aptos" w:cs="Times New Roman"/>
          <w:noProof/>
          <w:szCs w:val="24"/>
        </w:rPr>
      </w:pPr>
      <w:r w:rsidRPr="005060D4">
        <w:rPr>
          <w:rFonts w:eastAsia="Aptos" w:cs="Times New Roman"/>
          <w:noProof/>
          <w:szCs w:val="24"/>
        </w:rPr>
        <w:t>EU vs. EU ranges from -1.1 to -1.3, with a preferred value of -1.2.</w:t>
      </w:r>
    </w:p>
    <w:p w14:paraId="3EBD3B5B" w14:textId="77777777" w:rsidR="00AD277D" w:rsidRPr="005060D4" w:rsidRDefault="00AD277D" w:rsidP="005060D4">
      <w:pPr>
        <w:pStyle w:val="ListParagraph"/>
        <w:numPr>
          <w:ilvl w:val="1"/>
          <w:numId w:val="186"/>
        </w:numPr>
        <w:rPr>
          <w:rFonts w:eastAsia="Aptos" w:cs="Times New Roman"/>
          <w:noProof/>
          <w:szCs w:val="24"/>
        </w:rPr>
      </w:pPr>
      <w:r w:rsidRPr="005060D4">
        <w:rPr>
          <w:rFonts w:eastAsia="Aptos" w:cs="Times New Roman"/>
          <w:noProof/>
          <w:szCs w:val="24"/>
        </w:rPr>
        <w:t>EU vs. non-EU ranges from 0.9 to 1.1, with a preferred value of 1.0.</w:t>
      </w:r>
    </w:p>
    <w:p w14:paraId="7C9AEAFF" w14:textId="77777777" w:rsidR="00AD277D" w:rsidRPr="005060D4" w:rsidRDefault="00AD277D" w:rsidP="005060D4">
      <w:pPr>
        <w:pStyle w:val="ListParagraph"/>
        <w:numPr>
          <w:ilvl w:val="1"/>
          <w:numId w:val="185"/>
        </w:numPr>
        <w:rPr>
          <w:rFonts w:eastAsia="Aptos" w:cs="Times New Roman"/>
          <w:noProof/>
          <w:szCs w:val="24"/>
        </w:rPr>
      </w:pPr>
      <w:r w:rsidRPr="005060D4">
        <w:rPr>
          <w:rFonts w:eastAsia="Aptos" w:cs="Times New Roman"/>
          <w:noProof/>
          <w:szCs w:val="24"/>
        </w:rPr>
        <w:t>We adjust the non-EU vs. non-EU elasticity to preserve the preferred demand elasticity of -0.5.</w:t>
      </w:r>
    </w:p>
    <w:p w14:paraId="5E3629C7" w14:textId="3BC4B598" w:rsidR="00AD277D" w:rsidRPr="005060D4" w:rsidRDefault="00AD277D" w:rsidP="005060D4">
      <w:pPr>
        <w:rPr>
          <w:rFonts w:eastAsia="Aptos" w:cs="Times New Roman"/>
          <w:noProof/>
          <w:szCs w:val="24"/>
        </w:rPr>
      </w:pPr>
      <w:r w:rsidRPr="005060D4">
        <w:rPr>
          <w:rFonts w:eastAsia="Aptos" w:cs="Times New Roman"/>
          <w:noProof/>
          <w:szCs w:val="24"/>
        </w:rPr>
        <w:t>The following table summarises the results of this sensitivity analysis for LEAD</w:t>
      </w:r>
      <w:r w:rsidR="002078E6">
        <w:rPr>
          <w:rFonts w:eastAsia="Aptos" w:cs="Times New Roman"/>
          <w:noProof/>
          <w:szCs w:val="24"/>
        </w:rPr>
        <w:t>_</w:t>
      </w:r>
      <w:r w:rsidRPr="005060D4">
        <w:rPr>
          <w:rFonts w:eastAsia="Aptos" w:cs="Times New Roman"/>
          <w:noProof/>
          <w:szCs w:val="24"/>
        </w:rPr>
        <w:t>VC 1 under the “Internal market reaction” scenario in 2030.</w:t>
      </w:r>
    </w:p>
    <w:p w14:paraId="5EED9BEC" w14:textId="77777777" w:rsidR="00AD277D" w:rsidRPr="005060D4" w:rsidRDefault="00AD277D" w:rsidP="005060D4">
      <w:pPr>
        <w:rPr>
          <w:rFonts w:eastAsia="Aptos" w:cs="Times New Roman"/>
          <w:noProof/>
          <w:szCs w:val="24"/>
        </w:rPr>
      </w:pPr>
    </w:p>
    <w:tbl>
      <w:tblPr>
        <w:tblStyle w:val="TableGrid"/>
        <w:tblW w:w="0" w:type="auto"/>
        <w:tblInd w:w="0" w:type="dxa"/>
        <w:tblLook w:val="04A0" w:firstRow="1" w:lastRow="0" w:firstColumn="1" w:lastColumn="0" w:noHBand="0" w:noVBand="1"/>
      </w:tblPr>
      <w:tblGrid>
        <w:gridCol w:w="1124"/>
        <w:gridCol w:w="1902"/>
        <w:gridCol w:w="1507"/>
        <w:gridCol w:w="1501"/>
        <w:gridCol w:w="1486"/>
        <w:gridCol w:w="1496"/>
      </w:tblGrid>
      <w:tr w:rsidR="002A7266" w:rsidRPr="00B43915" w14:paraId="4C055B55" w14:textId="77777777" w:rsidTr="0033490D">
        <w:trPr>
          <w:trHeight w:val="300"/>
          <w:tblHeader/>
        </w:trPr>
        <w:tc>
          <w:tcPr>
            <w:tcW w:w="31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2ABB1577" w14:textId="77777777" w:rsidR="002A7266" w:rsidRPr="005060D4" w:rsidRDefault="002A7266" w:rsidP="00520AB4">
            <w:pPr>
              <w:jc w:val="center"/>
              <w:rPr>
                <w:rFonts w:eastAsia="Aptos"/>
                <w:b/>
                <w:noProof/>
                <w:sz w:val="24"/>
                <w:szCs w:val="24"/>
              </w:rPr>
            </w:pP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tcPr>
          <w:p w14:paraId="66332CED" w14:textId="77777777" w:rsidR="002A7266" w:rsidRPr="005060D4" w:rsidRDefault="002A7266" w:rsidP="00520AB4">
            <w:pPr>
              <w:jc w:val="center"/>
              <w:rPr>
                <w:rFonts w:eastAsia="Aptos"/>
                <w:b/>
                <w:noProof/>
                <w:sz w:val="24"/>
                <w:szCs w:val="24"/>
              </w:rPr>
            </w:pPr>
            <w:r w:rsidRPr="005060D4">
              <w:rPr>
                <w:rFonts w:eastAsia="Aptos"/>
                <w:b/>
                <w:noProof/>
                <w:sz w:val="24"/>
                <w:szCs w:val="24"/>
              </w:rPr>
              <w:t>Demand</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tcPr>
          <w:p w14:paraId="544F70DD" w14:textId="77777777" w:rsidR="002A7266" w:rsidRPr="005060D4" w:rsidRDefault="002A7266" w:rsidP="00520AB4">
            <w:pPr>
              <w:jc w:val="center"/>
              <w:rPr>
                <w:rFonts w:eastAsia="Aptos"/>
                <w:b/>
                <w:noProof/>
                <w:sz w:val="24"/>
                <w:szCs w:val="24"/>
              </w:rPr>
            </w:pPr>
            <w:r w:rsidRPr="005060D4">
              <w:rPr>
                <w:rFonts w:eastAsia="Aptos"/>
                <w:b/>
                <w:noProof/>
                <w:sz w:val="24"/>
                <w:szCs w:val="24"/>
              </w:rPr>
              <w:t>Cross-product</w:t>
            </w:r>
          </w:p>
        </w:tc>
        <w:tc>
          <w:tcPr>
            <w:tcW w:w="1560" w:type="dxa"/>
            <w:tcBorders>
              <w:top w:val="single" w:sz="4" w:space="0" w:color="auto"/>
              <w:left w:val="single" w:sz="4" w:space="0" w:color="auto"/>
              <w:bottom w:val="single" w:sz="4" w:space="0" w:color="auto"/>
              <w:right w:val="single" w:sz="4" w:space="0" w:color="auto"/>
            </w:tcBorders>
            <w:tcMar>
              <w:left w:w="108" w:type="dxa"/>
              <w:right w:w="108" w:type="dxa"/>
            </w:tcMar>
          </w:tcPr>
          <w:p w14:paraId="06A9B64A" w14:textId="77777777" w:rsidR="002A7266" w:rsidRPr="005060D4" w:rsidRDefault="002A7266" w:rsidP="00520AB4">
            <w:pPr>
              <w:jc w:val="center"/>
              <w:rPr>
                <w:rFonts w:eastAsia="Aptos"/>
                <w:b/>
                <w:noProof/>
                <w:sz w:val="24"/>
                <w:szCs w:val="24"/>
              </w:rPr>
            </w:pPr>
            <w:r w:rsidRPr="005060D4">
              <w:rPr>
                <w:rFonts w:eastAsia="Aptos"/>
                <w:b/>
                <w:noProof/>
                <w:sz w:val="24"/>
                <w:szCs w:val="24"/>
              </w:rPr>
              <w:t>Cross-region</w:t>
            </w:r>
          </w:p>
        </w:tc>
        <w:tc>
          <w:tcPr>
            <w:tcW w:w="1558" w:type="dxa"/>
            <w:tcBorders>
              <w:top w:val="single" w:sz="4" w:space="0" w:color="auto"/>
              <w:left w:val="single" w:sz="4" w:space="0" w:color="auto"/>
              <w:bottom w:val="single" w:sz="4" w:space="0" w:color="auto"/>
              <w:right w:val="single" w:sz="4" w:space="0" w:color="auto"/>
            </w:tcBorders>
            <w:tcMar>
              <w:left w:w="108" w:type="dxa"/>
              <w:right w:w="108" w:type="dxa"/>
            </w:tcMar>
          </w:tcPr>
          <w:p w14:paraId="37C2ECDB" w14:textId="77777777" w:rsidR="002A7266" w:rsidRPr="005060D4" w:rsidRDefault="002A7266" w:rsidP="00520AB4">
            <w:pPr>
              <w:jc w:val="center"/>
              <w:rPr>
                <w:rFonts w:eastAsia="Aptos"/>
                <w:b/>
                <w:noProof/>
                <w:sz w:val="24"/>
                <w:szCs w:val="24"/>
              </w:rPr>
            </w:pPr>
            <w:r w:rsidRPr="005060D4">
              <w:rPr>
                <w:rFonts w:eastAsia="Aptos"/>
                <w:b/>
                <w:noProof/>
                <w:sz w:val="24"/>
                <w:szCs w:val="24"/>
              </w:rPr>
              <w:t>Overall</w:t>
            </w:r>
          </w:p>
        </w:tc>
      </w:tr>
      <w:tr w:rsidR="002A7266" w:rsidRPr="00B43915" w14:paraId="4C3A7190" w14:textId="77777777" w:rsidTr="00520AB4">
        <w:trPr>
          <w:trHeight w:val="300"/>
        </w:trPr>
        <w:tc>
          <w:tcPr>
            <w:tcW w:w="9350" w:type="dxa"/>
            <w:gridSpan w:val="6"/>
            <w:tcBorders>
              <w:top w:val="single" w:sz="4" w:space="0" w:color="auto"/>
              <w:left w:val="single" w:sz="8" w:space="0" w:color="auto"/>
              <w:bottom w:val="single" w:sz="4" w:space="0" w:color="auto"/>
              <w:right w:val="single" w:sz="8" w:space="0" w:color="auto"/>
            </w:tcBorders>
            <w:shd w:val="clear" w:color="auto" w:fill="215E99" w:themeFill="text2" w:themeFillTint="BF"/>
            <w:tcMar>
              <w:left w:w="108" w:type="dxa"/>
              <w:right w:w="108" w:type="dxa"/>
            </w:tcMar>
          </w:tcPr>
          <w:p w14:paraId="048DBA8D" w14:textId="77777777" w:rsidR="002A7266" w:rsidRPr="00AB06BD" w:rsidRDefault="002A7266" w:rsidP="00520AB4">
            <w:pPr>
              <w:rPr>
                <w:rFonts w:eastAsia="Aptos"/>
                <w:b/>
                <w:noProof/>
                <w:sz w:val="24"/>
                <w:szCs w:val="24"/>
              </w:rPr>
            </w:pPr>
            <w:r w:rsidRPr="001D2558">
              <w:rPr>
                <w:rFonts w:eastAsia="Aptos"/>
                <w:b/>
                <w:noProof/>
                <w:color w:val="FFFFFF" w:themeColor="background1"/>
                <w:sz w:val="24"/>
                <w:szCs w:val="24"/>
              </w:rPr>
              <w:t>Impact on EU EV manufacturers</w:t>
            </w:r>
          </w:p>
        </w:tc>
      </w:tr>
      <w:tr w:rsidR="002A7266" w:rsidRPr="005A04C2" w14:paraId="360E77AE" w14:textId="77777777" w:rsidTr="00520AB4">
        <w:trPr>
          <w:trHeight w:val="300"/>
        </w:trPr>
        <w:tc>
          <w:tcPr>
            <w:tcW w:w="1129" w:type="dxa"/>
            <w:tcBorders>
              <w:top w:val="single" w:sz="4" w:space="0" w:color="auto"/>
              <w:left w:val="single" w:sz="4" w:space="0" w:color="auto"/>
              <w:bottom w:val="single" w:sz="4" w:space="0" w:color="auto"/>
              <w:right w:val="single" w:sz="4" w:space="0" w:color="auto"/>
            </w:tcBorders>
            <w:tcMar>
              <w:left w:w="108" w:type="dxa"/>
              <w:right w:w="108" w:type="dxa"/>
            </w:tcMar>
          </w:tcPr>
          <w:p w14:paraId="79237FF2" w14:textId="77777777" w:rsidR="002A7266" w:rsidRPr="0056758D" w:rsidRDefault="002A7266" w:rsidP="00520AB4">
            <w:pPr>
              <w:rPr>
                <w:rFonts w:eastAsia="Aptos"/>
                <w:noProof/>
                <w:sz w:val="22"/>
              </w:rPr>
            </w:pPr>
            <w:r w:rsidRPr="0056758D">
              <w:rPr>
                <w:rFonts w:eastAsia="Aptos"/>
                <w:noProof/>
                <w:sz w:val="22"/>
              </w:rPr>
              <w:t xml:space="preserve">Passenger cars </w:t>
            </w: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tcPr>
          <w:p w14:paraId="61F05090" w14:textId="77777777" w:rsidR="002A7266" w:rsidRPr="0056758D" w:rsidRDefault="002A7266" w:rsidP="00520AB4">
            <w:pPr>
              <w:rPr>
                <w:rFonts w:eastAsia="Aptos"/>
                <w:noProof/>
                <w:sz w:val="22"/>
              </w:rPr>
            </w:pPr>
            <w:r w:rsidRPr="0056758D">
              <w:rPr>
                <w:rFonts w:eastAsia="Aptos"/>
                <w:noProof/>
                <w:sz w:val="22"/>
              </w:rPr>
              <w:t xml:space="preserve">Sales </w:t>
            </w:r>
            <w:r>
              <w:rPr>
                <w:rFonts w:eastAsia="Aptos"/>
                <w:noProof/>
                <w:sz w:val="22"/>
              </w:rPr>
              <w:t>(</w:t>
            </w:r>
            <w:r w:rsidRPr="0056758D">
              <w:rPr>
                <w:rFonts w:eastAsia="Aptos"/>
                <w:noProof/>
                <w:sz w:val="22"/>
              </w:rPr>
              <w:t>billion euro</w:t>
            </w:r>
            <w:r>
              <w:rPr>
                <w:rFonts w:eastAsia="Aptos"/>
                <w:noProof/>
                <w:sz w:val="22"/>
              </w:rPr>
              <w:t>)</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5B4F82A5" w14:textId="77777777" w:rsidR="002A7266" w:rsidRPr="0056758D" w:rsidRDefault="002A7266" w:rsidP="00520AB4">
            <w:pPr>
              <w:jc w:val="center"/>
              <w:rPr>
                <w:rFonts w:eastAsia="Aptos"/>
                <w:noProof/>
                <w:sz w:val="22"/>
              </w:rPr>
            </w:pPr>
            <w:r w:rsidRPr="0056758D">
              <w:rPr>
                <w:rFonts w:eastAsia="Aptos"/>
                <w:noProof/>
                <w:sz w:val="22"/>
              </w:rPr>
              <w:t>6.0-6.0</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1453E815" w14:textId="77777777" w:rsidR="002A7266" w:rsidRPr="0056758D" w:rsidRDefault="002A7266" w:rsidP="00520AB4">
            <w:pPr>
              <w:jc w:val="center"/>
              <w:rPr>
                <w:rFonts w:eastAsia="Aptos"/>
                <w:noProof/>
                <w:sz w:val="22"/>
              </w:rPr>
            </w:pPr>
            <w:r w:rsidRPr="0056758D">
              <w:rPr>
                <w:rFonts w:eastAsia="Aptos"/>
                <w:noProof/>
                <w:sz w:val="22"/>
              </w:rPr>
              <w:t>5.9-6.0</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71FB35EF" w14:textId="77777777" w:rsidR="002A7266" w:rsidRPr="0056758D" w:rsidRDefault="002A7266" w:rsidP="00520AB4">
            <w:pPr>
              <w:jc w:val="center"/>
              <w:rPr>
                <w:rFonts w:eastAsia="Aptos"/>
                <w:noProof/>
                <w:sz w:val="22"/>
              </w:rPr>
            </w:pPr>
            <w:r w:rsidRPr="0056758D">
              <w:rPr>
                <w:rFonts w:eastAsia="Aptos"/>
                <w:noProof/>
                <w:sz w:val="22"/>
              </w:rPr>
              <w:t>5.6-6.3</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4D50F687" w14:textId="77777777" w:rsidR="002A7266" w:rsidRPr="0056758D" w:rsidRDefault="002A7266" w:rsidP="00520AB4">
            <w:pPr>
              <w:jc w:val="center"/>
              <w:rPr>
                <w:rFonts w:eastAsia="Aptos"/>
                <w:noProof/>
                <w:sz w:val="22"/>
              </w:rPr>
            </w:pPr>
            <w:r w:rsidRPr="0056758D">
              <w:rPr>
                <w:rFonts w:eastAsia="Aptos"/>
                <w:noProof/>
                <w:sz w:val="22"/>
              </w:rPr>
              <w:t>5.6-6.3</w:t>
            </w:r>
          </w:p>
        </w:tc>
      </w:tr>
      <w:tr w:rsidR="002A7266" w:rsidRPr="005A04C2" w14:paraId="257E9307" w14:textId="77777777" w:rsidTr="00520AB4">
        <w:trPr>
          <w:trHeight w:val="300"/>
        </w:trPr>
        <w:tc>
          <w:tcPr>
            <w:tcW w:w="1129" w:type="dxa"/>
            <w:tcBorders>
              <w:top w:val="single" w:sz="4" w:space="0" w:color="auto"/>
              <w:left w:val="single" w:sz="4" w:space="0" w:color="auto"/>
              <w:bottom w:val="single" w:sz="4" w:space="0" w:color="auto"/>
              <w:right w:val="single" w:sz="4" w:space="0" w:color="auto"/>
            </w:tcBorders>
            <w:tcMar>
              <w:left w:w="108" w:type="dxa"/>
              <w:right w:w="108" w:type="dxa"/>
            </w:tcMar>
          </w:tcPr>
          <w:p w14:paraId="6412117F" w14:textId="77777777" w:rsidR="002A7266" w:rsidRPr="0056758D" w:rsidRDefault="002A7266" w:rsidP="00520AB4">
            <w:pPr>
              <w:rPr>
                <w:rFonts w:eastAsia="Aptos"/>
                <w:noProof/>
                <w:sz w:val="22"/>
              </w:rPr>
            </w:pPr>
            <w:r w:rsidRPr="0056758D">
              <w:rPr>
                <w:rFonts w:eastAsia="Aptos"/>
                <w:noProof/>
                <w:sz w:val="22"/>
              </w:rPr>
              <w:t>LCVs</w:t>
            </w: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tcPr>
          <w:p w14:paraId="24361353" w14:textId="77777777" w:rsidR="002A7266" w:rsidRPr="0056758D" w:rsidRDefault="002A7266" w:rsidP="00520AB4">
            <w:pPr>
              <w:rPr>
                <w:rFonts w:eastAsia="Aptos"/>
                <w:noProof/>
                <w:sz w:val="22"/>
              </w:rPr>
            </w:pPr>
            <w:r w:rsidRPr="0056758D">
              <w:rPr>
                <w:rFonts w:eastAsia="Aptos"/>
                <w:noProof/>
                <w:sz w:val="22"/>
              </w:rPr>
              <w:t xml:space="preserve">Sales </w:t>
            </w:r>
            <w:r>
              <w:rPr>
                <w:rFonts w:eastAsia="Aptos"/>
                <w:noProof/>
                <w:sz w:val="22"/>
              </w:rPr>
              <w:t>(</w:t>
            </w:r>
            <w:r w:rsidRPr="0056758D">
              <w:rPr>
                <w:rFonts w:eastAsia="Aptos"/>
                <w:noProof/>
                <w:sz w:val="22"/>
              </w:rPr>
              <w:t>billion euro</w:t>
            </w:r>
            <w:r>
              <w:rPr>
                <w:rFonts w:eastAsia="Aptos"/>
                <w:noProof/>
                <w:sz w:val="22"/>
              </w:rPr>
              <w:t>)</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499016FE" w14:textId="77777777" w:rsidR="002A7266" w:rsidRPr="0056758D" w:rsidRDefault="002A7266" w:rsidP="00520AB4">
            <w:pPr>
              <w:jc w:val="center"/>
              <w:rPr>
                <w:rFonts w:eastAsia="Aptos"/>
                <w:noProof/>
                <w:sz w:val="22"/>
              </w:rPr>
            </w:pPr>
            <w:r w:rsidRPr="0056758D">
              <w:rPr>
                <w:rFonts w:eastAsia="Aptos"/>
                <w:noProof/>
                <w:sz w:val="22"/>
              </w:rPr>
              <w:t>0.8-0.8</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37CEDED2" w14:textId="77777777" w:rsidR="002A7266" w:rsidRPr="0056758D" w:rsidRDefault="002A7266" w:rsidP="00520AB4">
            <w:pPr>
              <w:jc w:val="center"/>
              <w:rPr>
                <w:rFonts w:eastAsia="Aptos"/>
                <w:noProof/>
                <w:sz w:val="22"/>
              </w:rPr>
            </w:pPr>
            <w:r w:rsidRPr="0056758D">
              <w:rPr>
                <w:rFonts w:eastAsia="Aptos"/>
                <w:noProof/>
                <w:sz w:val="22"/>
              </w:rPr>
              <w:t>0.8-0.8</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1647023F" w14:textId="77777777" w:rsidR="002A7266" w:rsidRPr="0056758D" w:rsidRDefault="002A7266" w:rsidP="00520AB4">
            <w:pPr>
              <w:jc w:val="center"/>
              <w:rPr>
                <w:rFonts w:eastAsia="Aptos"/>
                <w:noProof/>
                <w:sz w:val="22"/>
              </w:rPr>
            </w:pPr>
            <w:r w:rsidRPr="0056758D">
              <w:rPr>
                <w:rFonts w:eastAsia="Aptos"/>
                <w:noProof/>
                <w:sz w:val="22"/>
              </w:rPr>
              <w:t>0.8-0.8</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3D2DEA34" w14:textId="77777777" w:rsidR="002A7266" w:rsidRPr="0056758D" w:rsidRDefault="002A7266" w:rsidP="00520AB4">
            <w:pPr>
              <w:jc w:val="center"/>
              <w:rPr>
                <w:rFonts w:eastAsia="Aptos"/>
                <w:noProof/>
                <w:sz w:val="22"/>
              </w:rPr>
            </w:pPr>
            <w:r w:rsidRPr="0056758D">
              <w:rPr>
                <w:rFonts w:eastAsia="Aptos"/>
                <w:noProof/>
                <w:sz w:val="22"/>
              </w:rPr>
              <w:t>0.8-0.8</w:t>
            </w:r>
          </w:p>
        </w:tc>
      </w:tr>
      <w:tr w:rsidR="002A7266" w:rsidRPr="005A04C2" w14:paraId="362CE8F9" w14:textId="77777777" w:rsidTr="00520AB4">
        <w:trPr>
          <w:trHeight w:val="300"/>
        </w:trPr>
        <w:tc>
          <w:tcPr>
            <w:tcW w:w="1129" w:type="dxa"/>
            <w:tcBorders>
              <w:top w:val="single" w:sz="4" w:space="0" w:color="auto"/>
              <w:left w:val="single" w:sz="4" w:space="0" w:color="auto"/>
              <w:bottom w:val="single" w:sz="4" w:space="0" w:color="auto"/>
              <w:right w:val="single" w:sz="4" w:space="0" w:color="auto"/>
            </w:tcBorders>
            <w:tcMar>
              <w:left w:w="108" w:type="dxa"/>
              <w:right w:w="108" w:type="dxa"/>
            </w:tcMar>
          </w:tcPr>
          <w:p w14:paraId="03DB279F" w14:textId="77777777" w:rsidR="002A7266" w:rsidRPr="0056758D" w:rsidRDefault="002A7266" w:rsidP="00520AB4">
            <w:pPr>
              <w:rPr>
                <w:rFonts w:eastAsia="Aptos"/>
                <w:noProof/>
                <w:sz w:val="22"/>
              </w:rPr>
            </w:pPr>
            <w:r w:rsidRPr="0056758D">
              <w:rPr>
                <w:rFonts w:eastAsia="Aptos"/>
                <w:noProof/>
                <w:sz w:val="22"/>
              </w:rPr>
              <w:t>HDVs</w:t>
            </w: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tcPr>
          <w:p w14:paraId="098BBB75" w14:textId="77777777" w:rsidR="002A7266" w:rsidRPr="0056758D" w:rsidRDefault="002A7266" w:rsidP="00520AB4">
            <w:pPr>
              <w:rPr>
                <w:rFonts w:eastAsia="Aptos"/>
                <w:noProof/>
                <w:sz w:val="22"/>
              </w:rPr>
            </w:pPr>
            <w:r w:rsidRPr="0056758D">
              <w:rPr>
                <w:rFonts w:eastAsia="Aptos"/>
                <w:noProof/>
                <w:sz w:val="22"/>
              </w:rPr>
              <w:t xml:space="preserve">Sales </w:t>
            </w:r>
            <w:r>
              <w:rPr>
                <w:rFonts w:eastAsia="Aptos"/>
                <w:noProof/>
                <w:sz w:val="22"/>
              </w:rPr>
              <w:t>(</w:t>
            </w:r>
            <w:r w:rsidRPr="0056758D">
              <w:rPr>
                <w:rFonts w:eastAsia="Aptos"/>
                <w:noProof/>
                <w:sz w:val="22"/>
              </w:rPr>
              <w:t>billion euro</w:t>
            </w:r>
            <w:r>
              <w:rPr>
                <w:rFonts w:eastAsia="Aptos"/>
                <w:noProof/>
                <w:sz w:val="22"/>
              </w:rPr>
              <w:t>)</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50A32FED" w14:textId="77777777" w:rsidR="002A7266" w:rsidRPr="0056758D" w:rsidRDefault="002A7266" w:rsidP="00520AB4">
            <w:pPr>
              <w:jc w:val="center"/>
              <w:rPr>
                <w:rFonts w:eastAsia="Aptos"/>
                <w:noProof/>
                <w:sz w:val="22"/>
              </w:rPr>
            </w:pPr>
            <w:r w:rsidRPr="0056758D">
              <w:rPr>
                <w:rFonts w:eastAsia="Aptos"/>
                <w:noProof/>
                <w:sz w:val="22"/>
              </w:rPr>
              <w:t>0.12-0.14</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1F726852" w14:textId="77777777" w:rsidR="002A7266" w:rsidRPr="0056758D" w:rsidRDefault="002A7266" w:rsidP="00520AB4">
            <w:pPr>
              <w:jc w:val="center"/>
              <w:rPr>
                <w:rFonts w:eastAsia="Aptos"/>
                <w:noProof/>
                <w:sz w:val="22"/>
              </w:rPr>
            </w:pPr>
            <w:r w:rsidRPr="0056758D">
              <w:rPr>
                <w:rFonts w:eastAsia="Aptos"/>
                <w:noProof/>
                <w:sz w:val="22"/>
              </w:rPr>
              <w:t>0.13-0.14</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0318E7BC" w14:textId="77777777" w:rsidR="002A7266" w:rsidRPr="0056758D" w:rsidRDefault="002A7266" w:rsidP="00520AB4">
            <w:pPr>
              <w:jc w:val="center"/>
              <w:rPr>
                <w:rFonts w:eastAsia="Aptos"/>
                <w:noProof/>
                <w:sz w:val="22"/>
              </w:rPr>
            </w:pPr>
            <w:r w:rsidRPr="0056758D">
              <w:rPr>
                <w:rFonts w:eastAsia="Aptos"/>
                <w:noProof/>
                <w:sz w:val="22"/>
              </w:rPr>
              <w:t>0.12-0.14</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6D7ED7E2" w14:textId="77777777" w:rsidR="002A7266" w:rsidRPr="0056758D" w:rsidRDefault="002A7266" w:rsidP="00520AB4">
            <w:pPr>
              <w:jc w:val="center"/>
              <w:rPr>
                <w:rFonts w:eastAsia="Aptos"/>
                <w:noProof/>
                <w:sz w:val="22"/>
              </w:rPr>
            </w:pPr>
            <w:r w:rsidRPr="0056758D">
              <w:rPr>
                <w:rFonts w:eastAsia="Aptos"/>
                <w:noProof/>
                <w:sz w:val="22"/>
              </w:rPr>
              <w:t>0.12-0.14</w:t>
            </w:r>
          </w:p>
        </w:tc>
      </w:tr>
      <w:tr w:rsidR="002A7266" w:rsidRPr="005A04C2" w14:paraId="0D5A8FBA" w14:textId="77777777" w:rsidTr="004A466F">
        <w:trPr>
          <w:trHeight w:val="300"/>
        </w:trPr>
        <w:tc>
          <w:tcPr>
            <w:tcW w:w="1129"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108" w:type="dxa"/>
              <w:right w:w="108" w:type="dxa"/>
            </w:tcMar>
          </w:tcPr>
          <w:p w14:paraId="73F26A33" w14:textId="77777777" w:rsidR="002A7266" w:rsidRPr="004A466F" w:rsidRDefault="002A7266" w:rsidP="00520AB4">
            <w:pPr>
              <w:rPr>
                <w:rFonts w:eastAsia="Aptos"/>
                <w:b/>
                <w:noProof/>
                <w:sz w:val="22"/>
              </w:rPr>
            </w:pPr>
            <w:r w:rsidRPr="00E56BA9">
              <w:rPr>
                <w:rFonts w:eastAsia="Aptos"/>
                <w:b/>
                <w:noProof/>
                <w:sz w:val="22"/>
              </w:rPr>
              <w:t>TOTAL</w:t>
            </w:r>
          </w:p>
        </w:tc>
        <w:tc>
          <w:tcPr>
            <w:tcW w:w="1985"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108" w:type="dxa"/>
              <w:right w:w="108" w:type="dxa"/>
            </w:tcMar>
          </w:tcPr>
          <w:p w14:paraId="35E12D40" w14:textId="77777777" w:rsidR="002A7266" w:rsidRPr="004A466F" w:rsidRDefault="002A7266" w:rsidP="00520AB4">
            <w:pPr>
              <w:rPr>
                <w:rFonts w:eastAsia="Aptos"/>
                <w:b/>
                <w:noProof/>
                <w:sz w:val="22"/>
              </w:rPr>
            </w:pPr>
            <w:r w:rsidRPr="004A466F">
              <w:rPr>
                <w:rFonts w:eastAsia="Aptos"/>
                <w:b/>
                <w:noProof/>
                <w:sz w:val="22"/>
              </w:rPr>
              <w:t>Sales (billion euro)</w:t>
            </w:r>
          </w:p>
        </w:tc>
        <w:tc>
          <w:tcPr>
            <w:tcW w:w="1559"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1A91BA82" w14:textId="77777777" w:rsidR="002A7266" w:rsidRPr="004A466F" w:rsidRDefault="002A7266" w:rsidP="00520AB4">
            <w:pPr>
              <w:jc w:val="center"/>
              <w:rPr>
                <w:rFonts w:eastAsia="Aptos"/>
                <w:b/>
                <w:noProof/>
                <w:sz w:val="22"/>
              </w:rPr>
            </w:pPr>
            <w:r w:rsidRPr="004A466F">
              <w:rPr>
                <w:rFonts w:eastAsia="Aptos"/>
                <w:b/>
                <w:noProof/>
                <w:sz w:val="22"/>
              </w:rPr>
              <w:t>6.9-7.0</w:t>
            </w:r>
          </w:p>
        </w:tc>
        <w:tc>
          <w:tcPr>
            <w:tcW w:w="1559"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63ACC0ED" w14:textId="77777777" w:rsidR="002A7266" w:rsidRPr="004A466F" w:rsidRDefault="002A7266" w:rsidP="00520AB4">
            <w:pPr>
              <w:jc w:val="center"/>
              <w:rPr>
                <w:rFonts w:eastAsia="Aptos"/>
                <w:b/>
                <w:noProof/>
                <w:sz w:val="22"/>
              </w:rPr>
            </w:pPr>
            <w:r w:rsidRPr="004A466F">
              <w:rPr>
                <w:rFonts w:eastAsia="Aptos"/>
                <w:b/>
                <w:noProof/>
                <w:sz w:val="22"/>
              </w:rPr>
              <w:t>6.9-7.0</w:t>
            </w:r>
          </w:p>
        </w:tc>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75722AAC" w14:textId="77777777" w:rsidR="002A7266" w:rsidRPr="004A466F" w:rsidRDefault="002A7266" w:rsidP="00520AB4">
            <w:pPr>
              <w:spacing w:line="259" w:lineRule="auto"/>
              <w:jc w:val="center"/>
              <w:rPr>
                <w:rFonts w:eastAsia="Aptos"/>
                <w:b/>
                <w:noProof/>
                <w:sz w:val="22"/>
              </w:rPr>
            </w:pPr>
            <w:r w:rsidRPr="004A466F">
              <w:rPr>
                <w:rFonts w:eastAsia="Aptos"/>
                <w:b/>
                <w:noProof/>
                <w:sz w:val="22"/>
              </w:rPr>
              <w:t>6.5-7.3</w:t>
            </w:r>
          </w:p>
        </w:tc>
        <w:tc>
          <w:tcPr>
            <w:tcW w:w="1558"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37DBFBE0" w14:textId="77777777" w:rsidR="002A7266" w:rsidRPr="004A466F" w:rsidRDefault="002A7266" w:rsidP="00520AB4">
            <w:pPr>
              <w:jc w:val="center"/>
              <w:rPr>
                <w:rFonts w:eastAsia="Aptos"/>
                <w:b/>
                <w:noProof/>
                <w:sz w:val="22"/>
              </w:rPr>
            </w:pPr>
            <w:r w:rsidRPr="004A466F">
              <w:rPr>
                <w:rFonts w:eastAsia="Aptos"/>
                <w:b/>
                <w:noProof/>
                <w:sz w:val="22"/>
              </w:rPr>
              <w:t>6.5-7.3</w:t>
            </w:r>
          </w:p>
        </w:tc>
      </w:tr>
      <w:tr w:rsidR="002A7266" w:rsidRPr="002607E3" w14:paraId="0959545E" w14:textId="77777777" w:rsidTr="00520AB4">
        <w:trPr>
          <w:trHeight w:val="300"/>
        </w:trPr>
        <w:tc>
          <w:tcPr>
            <w:tcW w:w="9350" w:type="dxa"/>
            <w:gridSpan w:val="6"/>
            <w:tcBorders>
              <w:top w:val="single" w:sz="4" w:space="0" w:color="auto"/>
              <w:left w:val="single" w:sz="8" w:space="0" w:color="auto"/>
              <w:bottom w:val="single" w:sz="2" w:space="0" w:color="000000" w:themeColor="text1"/>
              <w:right w:val="single" w:sz="8" w:space="0" w:color="auto"/>
            </w:tcBorders>
            <w:shd w:val="clear" w:color="auto" w:fill="215E99" w:themeFill="text2" w:themeFillTint="BF"/>
            <w:tcMar>
              <w:left w:w="108" w:type="dxa"/>
              <w:right w:w="108" w:type="dxa"/>
            </w:tcMar>
          </w:tcPr>
          <w:p w14:paraId="664893C2" w14:textId="77777777" w:rsidR="002A7266" w:rsidRPr="0033490D" w:rsidRDefault="002A7266" w:rsidP="00520AB4">
            <w:pPr>
              <w:jc w:val="center"/>
              <w:rPr>
                <w:rFonts w:eastAsia="Aptos"/>
                <w:b/>
                <w:noProof/>
                <w:color w:val="FFFFFF" w:themeColor="background1"/>
                <w:sz w:val="24"/>
                <w:szCs w:val="24"/>
              </w:rPr>
            </w:pPr>
            <w:r w:rsidRPr="0033490D">
              <w:rPr>
                <w:rFonts w:eastAsia="Aptos"/>
                <w:b/>
                <w:noProof/>
                <w:color w:val="FFFFFF" w:themeColor="background1"/>
                <w:szCs w:val="24"/>
              </w:rPr>
              <w:t>Impact on vehicle component suppliers</w:t>
            </w:r>
          </w:p>
        </w:tc>
      </w:tr>
      <w:tr w:rsidR="002A7266" w:rsidRPr="002607E3" w14:paraId="599BE0DD" w14:textId="77777777" w:rsidTr="00520AB4">
        <w:trPr>
          <w:trHeight w:val="300"/>
        </w:trPr>
        <w:tc>
          <w:tcPr>
            <w:tcW w:w="112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3065A4A" w14:textId="77777777" w:rsidR="002A7266" w:rsidRPr="0056758D" w:rsidRDefault="002A7266" w:rsidP="00520AB4">
            <w:pPr>
              <w:rPr>
                <w:rFonts w:eastAsia="Aptos"/>
                <w:noProof/>
                <w:sz w:val="22"/>
              </w:rPr>
            </w:pPr>
            <w:r w:rsidRPr="0056758D">
              <w:rPr>
                <w:rFonts w:eastAsia="Aptos"/>
                <w:noProof/>
                <w:sz w:val="22"/>
              </w:rPr>
              <w:t>Passenger cars</w:t>
            </w:r>
          </w:p>
        </w:tc>
        <w:tc>
          <w:tcPr>
            <w:tcW w:w="1985" w:type="dxa"/>
            <w:tcBorders>
              <w:top w:val="nil"/>
              <w:left w:val="single" w:sz="8" w:space="0" w:color="auto"/>
              <w:bottom w:val="single" w:sz="8" w:space="0" w:color="auto"/>
              <w:right w:val="single" w:sz="8" w:space="0" w:color="auto"/>
            </w:tcBorders>
            <w:tcMar>
              <w:left w:w="108" w:type="dxa"/>
              <w:right w:w="108" w:type="dxa"/>
            </w:tcMar>
          </w:tcPr>
          <w:p w14:paraId="65C28EF0" w14:textId="77777777" w:rsidR="002A7266" w:rsidRPr="0056758D" w:rsidRDefault="002A7266" w:rsidP="00520AB4">
            <w:pPr>
              <w:rPr>
                <w:rFonts w:eastAsia="Aptos"/>
                <w:noProof/>
                <w:sz w:val="22"/>
              </w:rPr>
            </w:pPr>
            <w:r w:rsidRPr="0033490D">
              <w:rPr>
                <w:rFonts w:eastAsia="Aptos"/>
                <w:noProof/>
                <w:sz w:val="22"/>
              </w:rPr>
              <w:t>Cost (</w:t>
            </w:r>
            <w:r w:rsidRPr="0056758D">
              <w:rPr>
                <w:rFonts w:eastAsia="Aptos"/>
                <w:noProof/>
                <w:sz w:val="22"/>
              </w:rPr>
              <w:t>billion euro</w:t>
            </w:r>
            <w:r>
              <w:rPr>
                <w:rFonts w:eastAsia="Aptos"/>
                <w:noProof/>
                <w:sz w:val="22"/>
              </w:rPr>
              <w:t>)</w:t>
            </w:r>
          </w:p>
        </w:tc>
        <w:tc>
          <w:tcPr>
            <w:tcW w:w="1559" w:type="dxa"/>
            <w:tcBorders>
              <w:top w:val="nil"/>
              <w:left w:val="single" w:sz="8" w:space="0" w:color="auto"/>
              <w:bottom w:val="single" w:sz="8" w:space="0" w:color="auto"/>
              <w:right w:val="single" w:sz="8" w:space="0" w:color="auto"/>
            </w:tcBorders>
            <w:tcMar>
              <w:left w:w="0" w:type="dxa"/>
              <w:right w:w="0" w:type="dxa"/>
            </w:tcMar>
          </w:tcPr>
          <w:p w14:paraId="73F28705" w14:textId="77777777" w:rsidR="002A7266" w:rsidRPr="0033490D" w:rsidRDefault="002A7266" w:rsidP="00520AB4">
            <w:pPr>
              <w:jc w:val="center"/>
              <w:rPr>
                <w:rFonts w:eastAsia="Aptos"/>
                <w:noProof/>
                <w:sz w:val="22"/>
              </w:rPr>
            </w:pPr>
            <w:r w:rsidRPr="0033490D">
              <w:rPr>
                <w:rFonts w:eastAsia="Aptos"/>
                <w:noProof/>
                <w:sz w:val="22"/>
              </w:rPr>
              <w:t>1.6-1.6</w:t>
            </w:r>
          </w:p>
        </w:tc>
        <w:tc>
          <w:tcPr>
            <w:tcW w:w="1559" w:type="dxa"/>
            <w:tcBorders>
              <w:top w:val="nil"/>
              <w:left w:val="single" w:sz="8" w:space="0" w:color="auto"/>
              <w:bottom w:val="single" w:sz="8" w:space="0" w:color="auto"/>
              <w:right w:val="single" w:sz="8" w:space="0" w:color="auto"/>
            </w:tcBorders>
            <w:tcMar>
              <w:left w:w="0" w:type="dxa"/>
              <w:right w:w="0" w:type="dxa"/>
            </w:tcMar>
          </w:tcPr>
          <w:p w14:paraId="3A32B1FE" w14:textId="77777777" w:rsidR="002A7266" w:rsidRPr="0033490D" w:rsidRDefault="002A7266" w:rsidP="00520AB4">
            <w:pPr>
              <w:jc w:val="center"/>
              <w:rPr>
                <w:rFonts w:eastAsia="Aptos"/>
                <w:noProof/>
                <w:sz w:val="22"/>
              </w:rPr>
            </w:pPr>
            <w:r w:rsidRPr="0033490D">
              <w:rPr>
                <w:rFonts w:eastAsia="Aptos"/>
                <w:noProof/>
                <w:sz w:val="22"/>
              </w:rPr>
              <w:t>1.6-1.6</w:t>
            </w:r>
          </w:p>
        </w:tc>
        <w:tc>
          <w:tcPr>
            <w:tcW w:w="1560" w:type="dxa"/>
            <w:tcBorders>
              <w:top w:val="nil"/>
              <w:left w:val="single" w:sz="8" w:space="0" w:color="auto"/>
              <w:bottom w:val="single" w:sz="8" w:space="0" w:color="auto"/>
              <w:right w:val="single" w:sz="8" w:space="0" w:color="auto"/>
            </w:tcBorders>
            <w:tcMar>
              <w:left w:w="0" w:type="dxa"/>
              <w:right w:w="0" w:type="dxa"/>
            </w:tcMar>
          </w:tcPr>
          <w:p w14:paraId="45E33BC2" w14:textId="77777777" w:rsidR="002A7266" w:rsidRPr="0033490D" w:rsidRDefault="002A7266" w:rsidP="00520AB4">
            <w:pPr>
              <w:jc w:val="center"/>
              <w:rPr>
                <w:rFonts w:eastAsia="Aptos"/>
                <w:noProof/>
                <w:sz w:val="22"/>
              </w:rPr>
            </w:pPr>
            <w:r w:rsidRPr="0033490D">
              <w:rPr>
                <w:rFonts w:eastAsia="Aptos"/>
                <w:noProof/>
                <w:sz w:val="22"/>
              </w:rPr>
              <w:t>1.6-1.6</w:t>
            </w:r>
          </w:p>
        </w:tc>
        <w:tc>
          <w:tcPr>
            <w:tcW w:w="1558" w:type="dxa"/>
            <w:tcBorders>
              <w:top w:val="nil"/>
              <w:left w:val="single" w:sz="8" w:space="0" w:color="auto"/>
              <w:bottom w:val="single" w:sz="8" w:space="0" w:color="auto"/>
              <w:right w:val="single" w:sz="8" w:space="0" w:color="auto"/>
            </w:tcBorders>
            <w:tcMar>
              <w:left w:w="0" w:type="dxa"/>
              <w:right w:w="0" w:type="dxa"/>
            </w:tcMar>
          </w:tcPr>
          <w:p w14:paraId="39785D31" w14:textId="77777777" w:rsidR="002A7266" w:rsidRPr="0033490D" w:rsidRDefault="002A7266" w:rsidP="00520AB4">
            <w:pPr>
              <w:jc w:val="center"/>
              <w:rPr>
                <w:rFonts w:eastAsia="Aptos"/>
                <w:noProof/>
                <w:sz w:val="22"/>
              </w:rPr>
            </w:pPr>
            <w:r w:rsidRPr="0033490D">
              <w:rPr>
                <w:rFonts w:eastAsia="Aptos"/>
                <w:noProof/>
                <w:sz w:val="22"/>
              </w:rPr>
              <w:t>1.6-1.6</w:t>
            </w:r>
          </w:p>
        </w:tc>
      </w:tr>
      <w:tr w:rsidR="002A7266" w:rsidRPr="002607E3" w14:paraId="0F03FB51" w14:textId="77777777" w:rsidTr="00520AB4">
        <w:trPr>
          <w:trHeight w:val="300"/>
        </w:trPr>
        <w:tc>
          <w:tcPr>
            <w:tcW w:w="1129" w:type="dxa"/>
            <w:vMerge/>
            <w:tcBorders>
              <w:top w:val="single" w:sz="8" w:space="0" w:color="auto"/>
              <w:left w:val="single" w:sz="8" w:space="0" w:color="auto"/>
              <w:bottom w:val="single" w:sz="4" w:space="0" w:color="auto"/>
              <w:right w:val="single" w:sz="8" w:space="0" w:color="auto"/>
            </w:tcBorders>
            <w:vAlign w:val="center"/>
          </w:tcPr>
          <w:p w14:paraId="4C0E63BD" w14:textId="77777777" w:rsidR="002A7266" w:rsidRPr="0056758D" w:rsidRDefault="002A7266" w:rsidP="00520AB4">
            <w:pPr>
              <w:rPr>
                <w:noProof/>
                <w:sz w:val="22"/>
              </w:rPr>
            </w:pPr>
          </w:p>
        </w:tc>
        <w:tc>
          <w:tcPr>
            <w:tcW w:w="1985" w:type="dxa"/>
            <w:tcBorders>
              <w:top w:val="single" w:sz="8" w:space="0" w:color="auto"/>
              <w:left w:val="single" w:sz="8" w:space="0" w:color="auto"/>
              <w:bottom w:val="single" w:sz="4" w:space="0" w:color="auto"/>
              <w:right w:val="single" w:sz="8" w:space="0" w:color="auto"/>
            </w:tcBorders>
            <w:tcMar>
              <w:left w:w="108" w:type="dxa"/>
              <w:right w:w="108" w:type="dxa"/>
            </w:tcMar>
          </w:tcPr>
          <w:p w14:paraId="5F152140" w14:textId="77777777" w:rsidR="002A7266" w:rsidRPr="0056758D" w:rsidRDefault="002A7266" w:rsidP="00520AB4">
            <w:pPr>
              <w:rPr>
                <w:rFonts w:eastAsia="Aptos"/>
                <w:noProof/>
                <w:sz w:val="22"/>
              </w:rPr>
            </w:pPr>
            <w:r w:rsidRPr="0056758D">
              <w:rPr>
                <w:rFonts w:eastAsia="Aptos"/>
                <w:noProof/>
                <w:sz w:val="22"/>
              </w:rPr>
              <w:t xml:space="preserve">Sales </w:t>
            </w:r>
            <w:r>
              <w:rPr>
                <w:rFonts w:eastAsia="Aptos"/>
                <w:noProof/>
                <w:sz w:val="22"/>
              </w:rPr>
              <w:t>(</w:t>
            </w:r>
            <w:r w:rsidRPr="0056758D">
              <w:rPr>
                <w:rFonts w:eastAsia="Aptos"/>
                <w:noProof/>
                <w:sz w:val="22"/>
              </w:rPr>
              <w:t>billion euro</w:t>
            </w:r>
            <w:r>
              <w:rPr>
                <w:rFonts w:eastAsia="Aptos"/>
                <w:noProof/>
                <w:sz w:val="22"/>
              </w:rPr>
              <w:t>)</w:t>
            </w:r>
          </w:p>
        </w:tc>
        <w:tc>
          <w:tcPr>
            <w:tcW w:w="1559" w:type="dxa"/>
            <w:tcBorders>
              <w:top w:val="single" w:sz="8" w:space="0" w:color="auto"/>
              <w:left w:val="single" w:sz="8" w:space="0" w:color="auto"/>
              <w:bottom w:val="single" w:sz="4" w:space="0" w:color="auto"/>
              <w:right w:val="single" w:sz="8" w:space="0" w:color="auto"/>
            </w:tcBorders>
            <w:tcMar>
              <w:left w:w="0" w:type="dxa"/>
              <w:right w:w="0" w:type="dxa"/>
            </w:tcMar>
          </w:tcPr>
          <w:p w14:paraId="48A97B0D" w14:textId="77777777" w:rsidR="002A7266" w:rsidRPr="0033490D" w:rsidRDefault="002A7266" w:rsidP="00520AB4">
            <w:pPr>
              <w:jc w:val="center"/>
              <w:rPr>
                <w:rFonts w:eastAsia="Aptos"/>
                <w:noProof/>
                <w:sz w:val="22"/>
              </w:rPr>
            </w:pPr>
            <w:r w:rsidRPr="0033490D">
              <w:rPr>
                <w:rFonts w:eastAsia="Aptos"/>
                <w:noProof/>
                <w:sz w:val="22"/>
              </w:rPr>
              <w:t>7.6-7.7</w:t>
            </w:r>
          </w:p>
        </w:tc>
        <w:tc>
          <w:tcPr>
            <w:tcW w:w="1559" w:type="dxa"/>
            <w:tcBorders>
              <w:top w:val="single" w:sz="8" w:space="0" w:color="auto"/>
              <w:left w:val="single" w:sz="8" w:space="0" w:color="auto"/>
              <w:bottom w:val="single" w:sz="4" w:space="0" w:color="auto"/>
              <w:right w:val="single" w:sz="8" w:space="0" w:color="auto"/>
            </w:tcBorders>
            <w:tcMar>
              <w:left w:w="0" w:type="dxa"/>
              <w:right w:w="0" w:type="dxa"/>
            </w:tcMar>
          </w:tcPr>
          <w:p w14:paraId="28E283A8" w14:textId="77777777" w:rsidR="002A7266" w:rsidRPr="0033490D" w:rsidRDefault="002A7266" w:rsidP="00520AB4">
            <w:pPr>
              <w:jc w:val="center"/>
              <w:rPr>
                <w:rFonts w:eastAsia="Aptos"/>
                <w:noProof/>
                <w:sz w:val="22"/>
              </w:rPr>
            </w:pPr>
            <w:r w:rsidRPr="0033490D">
              <w:rPr>
                <w:rFonts w:eastAsia="Aptos"/>
                <w:noProof/>
                <w:sz w:val="22"/>
              </w:rPr>
              <w:t>7.6-7.7</w:t>
            </w:r>
          </w:p>
        </w:tc>
        <w:tc>
          <w:tcPr>
            <w:tcW w:w="1560" w:type="dxa"/>
            <w:tcBorders>
              <w:top w:val="single" w:sz="8" w:space="0" w:color="auto"/>
              <w:left w:val="single" w:sz="8" w:space="0" w:color="auto"/>
              <w:bottom w:val="single" w:sz="4" w:space="0" w:color="auto"/>
              <w:right w:val="single" w:sz="8" w:space="0" w:color="auto"/>
            </w:tcBorders>
            <w:tcMar>
              <w:left w:w="0" w:type="dxa"/>
              <w:right w:w="0" w:type="dxa"/>
            </w:tcMar>
          </w:tcPr>
          <w:p w14:paraId="14E18705" w14:textId="77777777" w:rsidR="002A7266" w:rsidRPr="0033490D" w:rsidRDefault="002A7266" w:rsidP="00520AB4">
            <w:pPr>
              <w:jc w:val="center"/>
              <w:rPr>
                <w:rFonts w:eastAsia="Aptos"/>
                <w:noProof/>
                <w:sz w:val="22"/>
              </w:rPr>
            </w:pPr>
            <w:r w:rsidRPr="0033490D">
              <w:rPr>
                <w:rFonts w:eastAsia="Aptos"/>
                <w:noProof/>
                <w:sz w:val="22"/>
              </w:rPr>
              <w:t>7.0-8.3</w:t>
            </w:r>
          </w:p>
        </w:tc>
        <w:tc>
          <w:tcPr>
            <w:tcW w:w="1558" w:type="dxa"/>
            <w:tcBorders>
              <w:top w:val="single" w:sz="8" w:space="0" w:color="auto"/>
              <w:left w:val="single" w:sz="8" w:space="0" w:color="auto"/>
              <w:bottom w:val="single" w:sz="4" w:space="0" w:color="auto"/>
              <w:right w:val="single" w:sz="8" w:space="0" w:color="auto"/>
            </w:tcBorders>
            <w:tcMar>
              <w:left w:w="0" w:type="dxa"/>
              <w:right w:w="0" w:type="dxa"/>
            </w:tcMar>
          </w:tcPr>
          <w:p w14:paraId="2B058D21" w14:textId="77777777" w:rsidR="002A7266" w:rsidRPr="0033490D" w:rsidRDefault="002A7266" w:rsidP="00520AB4">
            <w:pPr>
              <w:jc w:val="center"/>
              <w:rPr>
                <w:rFonts w:eastAsia="Aptos"/>
                <w:noProof/>
                <w:sz w:val="22"/>
              </w:rPr>
            </w:pPr>
            <w:r w:rsidRPr="0033490D">
              <w:rPr>
                <w:rFonts w:eastAsia="Aptos"/>
                <w:noProof/>
                <w:sz w:val="22"/>
              </w:rPr>
              <w:t>7.0-8.3</w:t>
            </w:r>
          </w:p>
        </w:tc>
      </w:tr>
      <w:tr w:rsidR="002A7266" w:rsidRPr="002607E3" w14:paraId="73FB358F" w14:textId="77777777" w:rsidTr="00520AB4">
        <w:trPr>
          <w:trHeight w:val="300"/>
        </w:trPr>
        <w:tc>
          <w:tcPr>
            <w:tcW w:w="1129" w:type="dxa"/>
            <w:tcBorders>
              <w:top w:val="single" w:sz="4" w:space="0" w:color="auto"/>
              <w:left w:val="single" w:sz="4" w:space="0" w:color="auto"/>
              <w:right w:val="single" w:sz="4" w:space="0" w:color="auto"/>
            </w:tcBorders>
            <w:tcMar>
              <w:left w:w="108" w:type="dxa"/>
              <w:right w:w="108" w:type="dxa"/>
            </w:tcMar>
          </w:tcPr>
          <w:p w14:paraId="26CCFB1D" w14:textId="77777777" w:rsidR="002A7266" w:rsidRPr="0056758D" w:rsidRDefault="002A7266" w:rsidP="00520AB4">
            <w:pPr>
              <w:rPr>
                <w:rFonts w:eastAsia="Aptos"/>
                <w:noProof/>
                <w:sz w:val="22"/>
              </w:rPr>
            </w:pPr>
            <w:r w:rsidRPr="0056758D">
              <w:rPr>
                <w:rFonts w:eastAsia="Aptos"/>
                <w:noProof/>
                <w:sz w:val="22"/>
              </w:rPr>
              <w:t>LCVs</w:t>
            </w: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tcPr>
          <w:p w14:paraId="20CA5337" w14:textId="77777777" w:rsidR="002A7266" w:rsidRPr="0056758D" w:rsidRDefault="002A7266" w:rsidP="00520AB4">
            <w:pPr>
              <w:rPr>
                <w:rFonts w:eastAsia="Aptos"/>
                <w:noProof/>
                <w:sz w:val="22"/>
              </w:rPr>
            </w:pPr>
            <w:r w:rsidRPr="0033490D">
              <w:rPr>
                <w:rFonts w:eastAsia="Aptos"/>
                <w:noProof/>
                <w:sz w:val="22"/>
              </w:rPr>
              <w:t>Cost (</w:t>
            </w:r>
            <w:r w:rsidRPr="0056758D">
              <w:rPr>
                <w:rFonts w:eastAsia="Aptos"/>
                <w:noProof/>
                <w:sz w:val="22"/>
              </w:rPr>
              <w:t>billion euro</w:t>
            </w:r>
            <w:r>
              <w:rPr>
                <w:rFonts w:eastAsia="Aptos"/>
                <w:noProof/>
                <w:sz w:val="22"/>
              </w:rPr>
              <w:t>)</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0CE729FE" w14:textId="77777777" w:rsidR="002A7266" w:rsidRPr="0033490D" w:rsidRDefault="002A7266" w:rsidP="00520AB4">
            <w:pPr>
              <w:jc w:val="center"/>
              <w:rPr>
                <w:rFonts w:eastAsia="Aptos"/>
                <w:noProof/>
                <w:sz w:val="22"/>
              </w:rPr>
            </w:pPr>
            <w:r w:rsidRPr="0033490D">
              <w:rPr>
                <w:rFonts w:eastAsia="Aptos"/>
                <w:noProof/>
                <w:sz w:val="22"/>
              </w:rPr>
              <w:t>0.2-0.2</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1B42B3EB" w14:textId="77777777" w:rsidR="002A7266" w:rsidRPr="0033490D" w:rsidRDefault="002A7266" w:rsidP="00520AB4">
            <w:pPr>
              <w:jc w:val="center"/>
              <w:rPr>
                <w:rFonts w:eastAsia="Aptos"/>
                <w:noProof/>
                <w:sz w:val="22"/>
              </w:rPr>
            </w:pPr>
            <w:r w:rsidRPr="0033490D">
              <w:rPr>
                <w:rFonts w:eastAsia="Aptos"/>
                <w:noProof/>
                <w:sz w:val="22"/>
              </w:rPr>
              <w:t>0.2-0.2</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68FCEC26" w14:textId="77777777" w:rsidR="002A7266" w:rsidRPr="0033490D" w:rsidRDefault="002A7266" w:rsidP="00520AB4">
            <w:pPr>
              <w:jc w:val="center"/>
              <w:rPr>
                <w:rFonts w:eastAsia="Aptos"/>
                <w:noProof/>
                <w:sz w:val="22"/>
              </w:rPr>
            </w:pPr>
            <w:r w:rsidRPr="0033490D">
              <w:rPr>
                <w:rFonts w:eastAsia="Aptos"/>
                <w:noProof/>
                <w:sz w:val="22"/>
              </w:rPr>
              <w:t>0.2-0.2</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49FC6D55" w14:textId="77777777" w:rsidR="002A7266" w:rsidRPr="0033490D" w:rsidRDefault="002A7266" w:rsidP="00520AB4">
            <w:pPr>
              <w:jc w:val="center"/>
              <w:rPr>
                <w:rFonts w:eastAsia="Aptos"/>
                <w:noProof/>
                <w:sz w:val="22"/>
              </w:rPr>
            </w:pPr>
            <w:r w:rsidRPr="0033490D">
              <w:rPr>
                <w:rFonts w:eastAsia="Aptos"/>
                <w:noProof/>
                <w:sz w:val="22"/>
              </w:rPr>
              <w:t>0.2-0.2</w:t>
            </w:r>
          </w:p>
        </w:tc>
      </w:tr>
      <w:tr w:rsidR="002A7266" w:rsidRPr="002607E3" w14:paraId="140B8F81" w14:textId="77777777" w:rsidTr="00520AB4">
        <w:trPr>
          <w:trHeight w:val="300"/>
        </w:trPr>
        <w:tc>
          <w:tcPr>
            <w:tcW w:w="1129" w:type="dxa"/>
            <w:tcBorders>
              <w:left w:val="single" w:sz="4" w:space="0" w:color="auto"/>
              <w:bottom w:val="single" w:sz="4" w:space="0" w:color="auto"/>
              <w:right w:val="single" w:sz="4" w:space="0" w:color="auto"/>
            </w:tcBorders>
            <w:tcMar>
              <w:left w:w="108" w:type="dxa"/>
              <w:right w:w="108" w:type="dxa"/>
            </w:tcMar>
          </w:tcPr>
          <w:p w14:paraId="0742AD6F" w14:textId="77777777" w:rsidR="002A7266" w:rsidRPr="0056758D" w:rsidRDefault="002A7266" w:rsidP="00520AB4">
            <w:pPr>
              <w:rPr>
                <w:rFonts w:eastAsia="Aptos"/>
                <w:noProof/>
                <w:sz w:val="22"/>
              </w:rPr>
            </w:pP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tcPr>
          <w:p w14:paraId="24041FD1" w14:textId="77777777" w:rsidR="002A7266" w:rsidRPr="0033490D" w:rsidRDefault="002A7266" w:rsidP="00520AB4">
            <w:pPr>
              <w:rPr>
                <w:rFonts w:eastAsia="Aptos"/>
                <w:noProof/>
                <w:sz w:val="22"/>
              </w:rPr>
            </w:pPr>
            <w:r w:rsidRPr="0056758D">
              <w:rPr>
                <w:rFonts w:eastAsia="Aptos"/>
                <w:noProof/>
                <w:sz w:val="22"/>
              </w:rPr>
              <w:t xml:space="preserve">Sales </w:t>
            </w:r>
            <w:r>
              <w:rPr>
                <w:rFonts w:eastAsia="Aptos"/>
                <w:noProof/>
                <w:sz w:val="22"/>
              </w:rPr>
              <w:t>(</w:t>
            </w:r>
            <w:r w:rsidRPr="0056758D">
              <w:rPr>
                <w:rFonts w:eastAsia="Aptos"/>
                <w:noProof/>
                <w:sz w:val="22"/>
              </w:rPr>
              <w:t>billion euro</w:t>
            </w:r>
            <w:r>
              <w:rPr>
                <w:rFonts w:eastAsia="Aptos"/>
                <w:noProof/>
                <w:sz w:val="22"/>
              </w:rPr>
              <w:t>)</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4D455A02" w14:textId="77777777" w:rsidR="002A7266" w:rsidRPr="0033490D" w:rsidRDefault="002A7266" w:rsidP="00520AB4">
            <w:pPr>
              <w:jc w:val="center"/>
              <w:rPr>
                <w:rFonts w:eastAsia="Aptos"/>
                <w:noProof/>
                <w:sz w:val="22"/>
              </w:rPr>
            </w:pPr>
            <w:r w:rsidRPr="0033490D">
              <w:rPr>
                <w:rFonts w:eastAsia="Aptos"/>
                <w:noProof/>
                <w:sz w:val="22"/>
              </w:rPr>
              <w:t>1.3-1.3</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789AEAB2" w14:textId="77777777" w:rsidR="002A7266" w:rsidRPr="0033490D" w:rsidRDefault="002A7266" w:rsidP="00520AB4">
            <w:pPr>
              <w:jc w:val="center"/>
              <w:rPr>
                <w:rFonts w:eastAsia="Aptos"/>
                <w:noProof/>
                <w:sz w:val="22"/>
              </w:rPr>
            </w:pPr>
            <w:r w:rsidRPr="0033490D">
              <w:rPr>
                <w:rFonts w:eastAsia="Aptos"/>
                <w:noProof/>
                <w:sz w:val="22"/>
              </w:rPr>
              <w:t>1.2-1.3</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6A2AA50C" w14:textId="77777777" w:rsidR="002A7266" w:rsidRPr="0033490D" w:rsidRDefault="002A7266" w:rsidP="00520AB4">
            <w:pPr>
              <w:jc w:val="center"/>
              <w:rPr>
                <w:rFonts w:eastAsia="Aptos"/>
                <w:noProof/>
                <w:sz w:val="22"/>
              </w:rPr>
            </w:pPr>
            <w:r w:rsidRPr="0033490D">
              <w:rPr>
                <w:rFonts w:eastAsia="Aptos"/>
                <w:noProof/>
                <w:sz w:val="22"/>
              </w:rPr>
              <w:t>1.1-1.3</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010ABD44" w14:textId="77777777" w:rsidR="002A7266" w:rsidRPr="0033490D" w:rsidRDefault="002A7266" w:rsidP="00520AB4">
            <w:pPr>
              <w:jc w:val="center"/>
              <w:rPr>
                <w:rFonts w:eastAsia="Aptos"/>
                <w:noProof/>
                <w:sz w:val="22"/>
              </w:rPr>
            </w:pPr>
            <w:r w:rsidRPr="0033490D">
              <w:rPr>
                <w:rFonts w:eastAsia="Aptos"/>
                <w:noProof/>
                <w:sz w:val="22"/>
              </w:rPr>
              <w:t>1.1-1.3</w:t>
            </w:r>
          </w:p>
        </w:tc>
      </w:tr>
      <w:tr w:rsidR="002A7266" w:rsidRPr="002607E3" w14:paraId="04AB02F0" w14:textId="77777777" w:rsidTr="00520AB4">
        <w:trPr>
          <w:trHeight w:val="300"/>
        </w:trPr>
        <w:tc>
          <w:tcPr>
            <w:tcW w:w="1129" w:type="dxa"/>
            <w:vMerge w:val="restart"/>
            <w:tcBorders>
              <w:top w:val="single" w:sz="4" w:space="0" w:color="auto"/>
              <w:left w:val="single" w:sz="4" w:space="0" w:color="auto"/>
              <w:right w:val="single" w:sz="4" w:space="0" w:color="auto"/>
            </w:tcBorders>
            <w:tcMar>
              <w:left w:w="108" w:type="dxa"/>
              <w:right w:w="108" w:type="dxa"/>
            </w:tcMar>
          </w:tcPr>
          <w:p w14:paraId="1A8D0B61" w14:textId="77777777" w:rsidR="002A7266" w:rsidRPr="0056758D" w:rsidRDefault="002A7266" w:rsidP="00520AB4">
            <w:pPr>
              <w:rPr>
                <w:rFonts w:eastAsia="Aptos"/>
                <w:noProof/>
                <w:sz w:val="22"/>
              </w:rPr>
            </w:pPr>
            <w:r w:rsidRPr="0056758D">
              <w:rPr>
                <w:rFonts w:eastAsia="Aptos"/>
                <w:noProof/>
                <w:sz w:val="22"/>
              </w:rPr>
              <w:t>HDVs</w:t>
            </w: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tcPr>
          <w:p w14:paraId="2FFA3A1B" w14:textId="77777777" w:rsidR="002A7266" w:rsidRPr="0033490D" w:rsidRDefault="002A7266" w:rsidP="00520AB4">
            <w:pPr>
              <w:rPr>
                <w:rFonts w:eastAsia="Aptos"/>
                <w:noProof/>
                <w:sz w:val="22"/>
              </w:rPr>
            </w:pPr>
            <w:r w:rsidRPr="0033490D">
              <w:rPr>
                <w:rFonts w:eastAsia="Aptos"/>
                <w:noProof/>
                <w:sz w:val="22"/>
              </w:rPr>
              <w:t>Cost (</w:t>
            </w:r>
            <w:r w:rsidRPr="0056758D">
              <w:rPr>
                <w:rFonts w:eastAsia="Aptos"/>
                <w:noProof/>
                <w:sz w:val="22"/>
              </w:rPr>
              <w:t>billion euro</w:t>
            </w:r>
            <w:r>
              <w:rPr>
                <w:rFonts w:eastAsia="Aptos"/>
                <w:noProof/>
                <w:sz w:val="22"/>
              </w:rPr>
              <w:t>)</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2D93DFEF" w14:textId="77777777" w:rsidR="002A7266" w:rsidRPr="0033490D" w:rsidRDefault="002A7266" w:rsidP="00520AB4">
            <w:pPr>
              <w:jc w:val="center"/>
              <w:rPr>
                <w:rFonts w:eastAsia="Aptos"/>
                <w:noProof/>
                <w:sz w:val="22"/>
              </w:rPr>
            </w:pPr>
            <w:r w:rsidRPr="0056758D">
              <w:rPr>
                <w:rFonts w:eastAsia="Aptos"/>
                <w:noProof/>
                <w:sz w:val="22"/>
              </w:rPr>
              <w:t>0.13-0.13</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1D02A5E9" w14:textId="77777777" w:rsidR="002A7266" w:rsidRPr="0033490D" w:rsidRDefault="002A7266" w:rsidP="00520AB4">
            <w:pPr>
              <w:jc w:val="center"/>
              <w:rPr>
                <w:rFonts w:eastAsia="Aptos"/>
                <w:noProof/>
                <w:sz w:val="22"/>
              </w:rPr>
            </w:pPr>
            <w:r w:rsidRPr="0056758D">
              <w:rPr>
                <w:rFonts w:eastAsia="Aptos"/>
                <w:noProof/>
                <w:sz w:val="22"/>
              </w:rPr>
              <w:t>0.13-0.13</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09A3A1D2" w14:textId="77777777" w:rsidR="002A7266" w:rsidRPr="0033490D" w:rsidRDefault="002A7266" w:rsidP="00520AB4">
            <w:pPr>
              <w:jc w:val="center"/>
              <w:rPr>
                <w:rFonts w:eastAsia="Aptos"/>
                <w:noProof/>
                <w:sz w:val="22"/>
              </w:rPr>
            </w:pPr>
            <w:r w:rsidRPr="0056758D">
              <w:rPr>
                <w:rFonts w:eastAsia="Aptos"/>
                <w:noProof/>
                <w:sz w:val="22"/>
              </w:rPr>
              <w:t>0.13-0.13</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658399AA" w14:textId="77777777" w:rsidR="002A7266" w:rsidRPr="0033490D" w:rsidRDefault="002A7266" w:rsidP="00520AB4">
            <w:pPr>
              <w:jc w:val="center"/>
              <w:rPr>
                <w:rFonts w:eastAsia="Aptos"/>
                <w:noProof/>
                <w:sz w:val="22"/>
              </w:rPr>
            </w:pPr>
            <w:r w:rsidRPr="0056758D">
              <w:rPr>
                <w:rFonts w:eastAsia="Aptos"/>
                <w:noProof/>
                <w:sz w:val="22"/>
              </w:rPr>
              <w:t>0.13-0.13</w:t>
            </w:r>
          </w:p>
        </w:tc>
      </w:tr>
      <w:tr w:rsidR="002A7266" w:rsidRPr="002607E3" w14:paraId="54CCC781" w14:textId="77777777" w:rsidTr="00520AB4">
        <w:trPr>
          <w:trHeight w:val="300"/>
        </w:trPr>
        <w:tc>
          <w:tcPr>
            <w:tcW w:w="1129" w:type="dxa"/>
            <w:vMerge/>
            <w:tcBorders>
              <w:left w:val="single" w:sz="4" w:space="0" w:color="auto"/>
              <w:bottom w:val="single" w:sz="4" w:space="0" w:color="auto"/>
              <w:right w:val="single" w:sz="4" w:space="0" w:color="auto"/>
            </w:tcBorders>
            <w:tcMar>
              <w:left w:w="108" w:type="dxa"/>
              <w:right w:w="108" w:type="dxa"/>
            </w:tcMar>
          </w:tcPr>
          <w:p w14:paraId="2F9C69D6" w14:textId="77777777" w:rsidR="002A7266" w:rsidRPr="0056758D" w:rsidRDefault="002A7266" w:rsidP="00520AB4">
            <w:pPr>
              <w:rPr>
                <w:rFonts w:eastAsia="Aptos"/>
                <w:noProof/>
                <w:sz w:val="22"/>
              </w:rPr>
            </w:pP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tcPr>
          <w:p w14:paraId="1E94F682" w14:textId="77777777" w:rsidR="002A7266" w:rsidRPr="0056758D" w:rsidRDefault="002A7266" w:rsidP="00520AB4">
            <w:pPr>
              <w:rPr>
                <w:rFonts w:eastAsia="Aptos"/>
                <w:noProof/>
                <w:sz w:val="22"/>
              </w:rPr>
            </w:pPr>
            <w:r w:rsidRPr="0056758D">
              <w:rPr>
                <w:rFonts w:eastAsia="Aptos"/>
                <w:noProof/>
                <w:sz w:val="22"/>
              </w:rPr>
              <w:t xml:space="preserve">Sales </w:t>
            </w:r>
            <w:r>
              <w:rPr>
                <w:rFonts w:eastAsia="Aptos"/>
                <w:noProof/>
                <w:sz w:val="22"/>
              </w:rPr>
              <w:t>(</w:t>
            </w:r>
            <w:r w:rsidRPr="0056758D">
              <w:rPr>
                <w:rFonts w:eastAsia="Aptos"/>
                <w:noProof/>
                <w:sz w:val="22"/>
              </w:rPr>
              <w:t>billion euro</w:t>
            </w:r>
            <w:r>
              <w:rPr>
                <w:rFonts w:eastAsia="Aptos"/>
                <w:noProof/>
                <w:sz w:val="22"/>
              </w:rPr>
              <w:t>)</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53C1A2CE" w14:textId="77777777" w:rsidR="002A7266" w:rsidRPr="0056758D" w:rsidRDefault="002A7266" w:rsidP="00520AB4">
            <w:pPr>
              <w:jc w:val="center"/>
              <w:rPr>
                <w:rFonts w:eastAsia="Aptos"/>
                <w:noProof/>
                <w:sz w:val="22"/>
              </w:rPr>
            </w:pPr>
            <w:r w:rsidRPr="0033490D">
              <w:rPr>
                <w:rFonts w:eastAsia="Aptos"/>
                <w:noProof/>
                <w:sz w:val="22"/>
              </w:rPr>
              <w:t>(–0.01)-0.01</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468FA0E9" w14:textId="77777777" w:rsidR="002A7266" w:rsidRPr="0056758D" w:rsidRDefault="002A7266" w:rsidP="00520AB4">
            <w:pPr>
              <w:jc w:val="center"/>
              <w:rPr>
                <w:rFonts w:eastAsia="Aptos"/>
                <w:noProof/>
                <w:sz w:val="22"/>
              </w:rPr>
            </w:pPr>
            <w:r w:rsidRPr="0033490D">
              <w:rPr>
                <w:rFonts w:eastAsia="Aptos"/>
                <w:noProof/>
                <w:sz w:val="22"/>
              </w:rPr>
              <w:t>(–0.01)-0.01</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0F1CEFF3" w14:textId="77777777" w:rsidR="002A7266" w:rsidRPr="0056758D" w:rsidRDefault="002A7266" w:rsidP="00520AB4">
            <w:pPr>
              <w:jc w:val="center"/>
              <w:rPr>
                <w:rFonts w:eastAsia="Aptos"/>
                <w:noProof/>
                <w:sz w:val="22"/>
              </w:rPr>
            </w:pPr>
            <w:r w:rsidRPr="0033490D">
              <w:rPr>
                <w:rFonts w:eastAsia="Aptos"/>
                <w:noProof/>
                <w:sz w:val="22"/>
              </w:rPr>
              <w:t>(–0.02)-0.02</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642E06EE" w14:textId="77777777" w:rsidR="002A7266" w:rsidRPr="0056758D" w:rsidRDefault="002A7266" w:rsidP="00520AB4">
            <w:pPr>
              <w:jc w:val="center"/>
              <w:rPr>
                <w:rFonts w:eastAsia="Aptos"/>
                <w:noProof/>
                <w:sz w:val="22"/>
              </w:rPr>
            </w:pPr>
            <w:r w:rsidRPr="0033490D">
              <w:rPr>
                <w:rFonts w:eastAsia="Aptos"/>
                <w:noProof/>
                <w:sz w:val="22"/>
              </w:rPr>
              <w:t>(–0.02)-0.02</w:t>
            </w:r>
          </w:p>
        </w:tc>
      </w:tr>
      <w:tr w:rsidR="002A7266" w:rsidRPr="002607E3" w14:paraId="72E10A3C" w14:textId="77777777" w:rsidTr="004A466F">
        <w:trPr>
          <w:trHeight w:val="300"/>
        </w:trPr>
        <w:tc>
          <w:tcPr>
            <w:tcW w:w="1129"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14:paraId="4F0E810B" w14:textId="77777777" w:rsidR="002A7266" w:rsidRPr="0056758D" w:rsidRDefault="002A7266" w:rsidP="00520AB4">
            <w:pPr>
              <w:rPr>
                <w:rFonts w:eastAsia="Aptos"/>
                <w:b/>
                <w:bCs/>
                <w:noProof/>
                <w:sz w:val="22"/>
              </w:rPr>
            </w:pPr>
            <w:r w:rsidRPr="0056758D">
              <w:rPr>
                <w:rFonts w:eastAsia="Aptos"/>
                <w:b/>
                <w:bCs/>
                <w:noProof/>
                <w:sz w:val="22"/>
              </w:rPr>
              <w:t>TOTAL</w:t>
            </w:r>
          </w:p>
        </w:tc>
        <w:tc>
          <w:tcPr>
            <w:tcW w:w="1985"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14:paraId="7A797363" w14:textId="77777777" w:rsidR="002A7266" w:rsidRPr="0056758D" w:rsidRDefault="002A7266" w:rsidP="00520AB4">
            <w:pPr>
              <w:spacing w:line="259" w:lineRule="auto"/>
              <w:rPr>
                <w:rFonts w:eastAsia="Aptos"/>
                <w:b/>
                <w:bCs/>
                <w:noProof/>
                <w:sz w:val="22"/>
              </w:rPr>
            </w:pPr>
            <w:r w:rsidRPr="0033490D">
              <w:rPr>
                <w:rFonts w:eastAsia="Aptos"/>
                <w:b/>
                <w:noProof/>
                <w:sz w:val="22"/>
              </w:rPr>
              <w:t>Cost (</w:t>
            </w:r>
            <w:r w:rsidRPr="0056758D">
              <w:rPr>
                <w:rFonts w:eastAsia="Aptos"/>
                <w:b/>
                <w:bCs/>
                <w:noProof/>
                <w:sz w:val="22"/>
              </w:rPr>
              <w:t>billion euro</w:t>
            </w:r>
            <w:r>
              <w:rPr>
                <w:rFonts w:eastAsia="Aptos"/>
                <w:b/>
                <w:bCs/>
                <w:noProof/>
                <w:sz w:val="22"/>
              </w:rPr>
              <w:t>)</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204C887D" w14:textId="77777777" w:rsidR="002A7266" w:rsidRPr="0033490D" w:rsidRDefault="002A7266" w:rsidP="00520AB4">
            <w:pPr>
              <w:jc w:val="center"/>
              <w:rPr>
                <w:rFonts w:eastAsia="Aptos"/>
                <w:b/>
                <w:noProof/>
                <w:sz w:val="22"/>
              </w:rPr>
            </w:pPr>
            <w:r w:rsidRPr="0033490D">
              <w:rPr>
                <w:rFonts w:eastAsia="Aptos"/>
                <w:b/>
                <w:noProof/>
                <w:sz w:val="22"/>
              </w:rPr>
              <w:t>1.9-2.0</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331CF010" w14:textId="77777777" w:rsidR="002A7266" w:rsidRPr="0033490D" w:rsidRDefault="002A7266" w:rsidP="00520AB4">
            <w:pPr>
              <w:jc w:val="center"/>
              <w:rPr>
                <w:rFonts w:eastAsia="Aptos"/>
                <w:b/>
                <w:noProof/>
                <w:sz w:val="22"/>
              </w:rPr>
            </w:pPr>
            <w:r w:rsidRPr="0033490D">
              <w:rPr>
                <w:rFonts w:eastAsia="Aptos"/>
                <w:b/>
                <w:noProof/>
                <w:sz w:val="22"/>
              </w:rPr>
              <w:t>2.0-2.0</w:t>
            </w:r>
          </w:p>
        </w:tc>
        <w:tc>
          <w:tcPr>
            <w:tcW w:w="1560"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783268AE" w14:textId="77777777" w:rsidR="002A7266" w:rsidRPr="0033490D" w:rsidRDefault="002A7266" w:rsidP="00520AB4">
            <w:pPr>
              <w:jc w:val="center"/>
              <w:rPr>
                <w:rFonts w:eastAsia="Aptos"/>
                <w:b/>
                <w:noProof/>
                <w:sz w:val="22"/>
              </w:rPr>
            </w:pPr>
            <w:r w:rsidRPr="0033490D">
              <w:rPr>
                <w:rFonts w:eastAsia="Aptos"/>
                <w:b/>
                <w:noProof/>
                <w:sz w:val="22"/>
              </w:rPr>
              <w:t>2.0-2.0</w:t>
            </w:r>
          </w:p>
        </w:tc>
        <w:tc>
          <w:tcPr>
            <w:tcW w:w="1558"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40E6D75E" w14:textId="77777777" w:rsidR="002A7266" w:rsidRPr="0033490D" w:rsidRDefault="002A7266" w:rsidP="00520AB4">
            <w:pPr>
              <w:jc w:val="center"/>
              <w:rPr>
                <w:rFonts w:eastAsia="Aptos"/>
                <w:b/>
                <w:noProof/>
                <w:sz w:val="22"/>
              </w:rPr>
            </w:pPr>
            <w:r w:rsidRPr="0033490D">
              <w:rPr>
                <w:rFonts w:eastAsia="Aptos"/>
                <w:b/>
                <w:noProof/>
                <w:sz w:val="22"/>
              </w:rPr>
              <w:t>1.9-2.0</w:t>
            </w:r>
          </w:p>
        </w:tc>
      </w:tr>
      <w:tr w:rsidR="002A7266" w:rsidRPr="005A04C2" w14:paraId="0C1E625E" w14:textId="77777777" w:rsidTr="004A466F">
        <w:trPr>
          <w:trHeight w:val="300"/>
        </w:trPr>
        <w:tc>
          <w:tcPr>
            <w:tcW w:w="1129"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tcPr>
          <w:p w14:paraId="3E529EE0" w14:textId="77777777" w:rsidR="002A7266" w:rsidRPr="0056758D" w:rsidRDefault="002A7266" w:rsidP="00520AB4">
            <w:pPr>
              <w:rPr>
                <w:b/>
                <w:bCs/>
                <w:noProof/>
                <w:sz w:val="22"/>
              </w:rPr>
            </w:pPr>
          </w:p>
        </w:tc>
        <w:tc>
          <w:tcPr>
            <w:tcW w:w="1985"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14:paraId="02A5D39E" w14:textId="77777777" w:rsidR="002A7266" w:rsidRPr="0056758D" w:rsidRDefault="002A7266" w:rsidP="00520AB4">
            <w:pPr>
              <w:rPr>
                <w:rFonts w:eastAsia="Aptos"/>
                <w:b/>
                <w:bCs/>
                <w:noProof/>
                <w:sz w:val="22"/>
              </w:rPr>
            </w:pPr>
            <w:r w:rsidRPr="0033490D">
              <w:rPr>
                <w:rFonts w:eastAsia="Aptos"/>
                <w:b/>
                <w:noProof/>
                <w:sz w:val="22"/>
              </w:rPr>
              <w:t>Sales (</w:t>
            </w:r>
            <w:r w:rsidRPr="0056758D">
              <w:rPr>
                <w:rFonts w:eastAsia="Aptos"/>
                <w:b/>
                <w:bCs/>
                <w:noProof/>
                <w:sz w:val="22"/>
              </w:rPr>
              <w:t>billion euro</w:t>
            </w:r>
            <w:r>
              <w:rPr>
                <w:rFonts w:eastAsia="Aptos"/>
                <w:b/>
                <w:bCs/>
                <w:noProof/>
                <w:sz w:val="22"/>
              </w:rPr>
              <w:t>)</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2EB3F884" w14:textId="77777777" w:rsidR="002A7266" w:rsidRPr="0033490D" w:rsidRDefault="002A7266" w:rsidP="00520AB4">
            <w:pPr>
              <w:jc w:val="center"/>
              <w:rPr>
                <w:rFonts w:eastAsia="Aptos"/>
                <w:b/>
                <w:noProof/>
                <w:sz w:val="22"/>
              </w:rPr>
            </w:pPr>
            <w:r w:rsidRPr="0033490D">
              <w:rPr>
                <w:rFonts w:eastAsia="Aptos"/>
                <w:b/>
                <w:noProof/>
                <w:sz w:val="22"/>
              </w:rPr>
              <w:t>8.9-8.9</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4951A890" w14:textId="77777777" w:rsidR="002A7266" w:rsidRPr="0033490D" w:rsidRDefault="002A7266" w:rsidP="00520AB4">
            <w:pPr>
              <w:jc w:val="center"/>
              <w:rPr>
                <w:rFonts w:eastAsia="Aptos"/>
                <w:b/>
                <w:noProof/>
                <w:sz w:val="22"/>
              </w:rPr>
            </w:pPr>
            <w:r w:rsidRPr="0033490D">
              <w:rPr>
                <w:rFonts w:eastAsia="Aptos"/>
                <w:b/>
                <w:noProof/>
                <w:sz w:val="22"/>
              </w:rPr>
              <w:t>8.9-9.0</w:t>
            </w:r>
          </w:p>
        </w:tc>
        <w:tc>
          <w:tcPr>
            <w:tcW w:w="1560"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5CBC672A" w14:textId="77777777" w:rsidR="002A7266" w:rsidRPr="0033490D" w:rsidRDefault="002A7266" w:rsidP="00520AB4">
            <w:pPr>
              <w:jc w:val="center"/>
              <w:rPr>
                <w:rFonts w:eastAsia="Aptos"/>
                <w:b/>
                <w:noProof/>
                <w:sz w:val="22"/>
              </w:rPr>
            </w:pPr>
            <w:r w:rsidRPr="0033490D">
              <w:rPr>
                <w:rFonts w:eastAsia="Aptos"/>
                <w:b/>
                <w:noProof/>
                <w:sz w:val="22"/>
              </w:rPr>
              <w:t>8.1-9.5</w:t>
            </w:r>
          </w:p>
        </w:tc>
        <w:tc>
          <w:tcPr>
            <w:tcW w:w="1558"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42CEA1B5" w14:textId="77777777" w:rsidR="002A7266" w:rsidRPr="0033490D" w:rsidRDefault="002A7266" w:rsidP="00520AB4">
            <w:pPr>
              <w:jc w:val="center"/>
              <w:rPr>
                <w:rFonts w:eastAsia="Aptos"/>
                <w:b/>
                <w:noProof/>
                <w:sz w:val="22"/>
              </w:rPr>
            </w:pPr>
            <w:r w:rsidRPr="0033490D">
              <w:rPr>
                <w:rFonts w:eastAsia="Aptos"/>
                <w:b/>
                <w:noProof/>
                <w:sz w:val="22"/>
              </w:rPr>
              <w:t>8.1-9.5</w:t>
            </w:r>
          </w:p>
        </w:tc>
      </w:tr>
      <w:tr w:rsidR="002A7266" w:rsidRPr="002607E3" w14:paraId="7C7233BC" w14:textId="77777777" w:rsidTr="00520AB4">
        <w:trPr>
          <w:trHeight w:val="300"/>
        </w:trPr>
        <w:tc>
          <w:tcPr>
            <w:tcW w:w="9350" w:type="dxa"/>
            <w:gridSpan w:val="6"/>
            <w:tcBorders>
              <w:top w:val="nil"/>
              <w:left w:val="single" w:sz="8" w:space="0" w:color="auto"/>
              <w:bottom w:val="single" w:sz="8" w:space="0" w:color="auto"/>
              <w:right w:val="single" w:sz="8" w:space="0" w:color="auto"/>
            </w:tcBorders>
            <w:shd w:val="clear" w:color="auto" w:fill="215E99" w:themeFill="text2" w:themeFillTint="BF"/>
            <w:tcMar>
              <w:left w:w="108" w:type="dxa"/>
              <w:right w:w="108" w:type="dxa"/>
            </w:tcMar>
          </w:tcPr>
          <w:p w14:paraId="04B059D0" w14:textId="77777777" w:rsidR="002A7266" w:rsidRPr="0033490D" w:rsidRDefault="002A7266" w:rsidP="00520AB4">
            <w:pPr>
              <w:jc w:val="center"/>
              <w:rPr>
                <w:rFonts w:eastAsia="Aptos"/>
                <w:b/>
                <w:noProof/>
                <w:color w:val="FFFFFF" w:themeColor="background1"/>
                <w:sz w:val="24"/>
                <w:szCs w:val="24"/>
              </w:rPr>
            </w:pPr>
            <w:r w:rsidRPr="0033490D">
              <w:rPr>
                <w:rFonts w:eastAsia="Aptos"/>
                <w:b/>
                <w:noProof/>
                <w:color w:val="FFFFFF" w:themeColor="background1"/>
                <w:szCs w:val="24"/>
              </w:rPr>
              <w:t>Value Added</w:t>
            </w:r>
          </w:p>
        </w:tc>
      </w:tr>
      <w:tr w:rsidR="002A7266" w:rsidRPr="002607E3" w14:paraId="3F62EB58" w14:textId="77777777" w:rsidTr="00520AB4">
        <w:trPr>
          <w:trHeight w:val="300"/>
        </w:trPr>
        <w:tc>
          <w:tcPr>
            <w:tcW w:w="3114" w:type="dxa"/>
            <w:gridSpan w:val="2"/>
            <w:tcBorders>
              <w:top w:val="single" w:sz="8" w:space="0" w:color="auto"/>
              <w:left w:val="single" w:sz="4" w:space="0" w:color="auto"/>
              <w:bottom w:val="single" w:sz="4" w:space="0" w:color="auto"/>
              <w:right w:val="single" w:sz="4" w:space="0" w:color="auto"/>
            </w:tcBorders>
            <w:tcMar>
              <w:left w:w="108" w:type="dxa"/>
              <w:right w:w="108" w:type="dxa"/>
            </w:tcMar>
          </w:tcPr>
          <w:p w14:paraId="4437B5D2" w14:textId="77777777" w:rsidR="002A7266" w:rsidRPr="0056758D" w:rsidRDefault="002A7266" w:rsidP="00520AB4">
            <w:pPr>
              <w:rPr>
                <w:rFonts w:eastAsia="Aptos"/>
                <w:noProof/>
                <w:sz w:val="22"/>
              </w:rPr>
            </w:pPr>
            <w:r w:rsidRPr="0056758D">
              <w:rPr>
                <w:rFonts w:eastAsia="Aptos"/>
                <w:noProof/>
                <w:sz w:val="22"/>
              </w:rPr>
              <w:t>Automotive (EV manufacturers and component suppliers)</w:t>
            </w:r>
          </w:p>
        </w:tc>
        <w:tc>
          <w:tcPr>
            <w:tcW w:w="1559" w:type="dxa"/>
            <w:tcBorders>
              <w:top w:val="nil"/>
              <w:left w:val="single" w:sz="4" w:space="0" w:color="auto"/>
              <w:bottom w:val="single" w:sz="4" w:space="0" w:color="auto"/>
              <w:right w:val="single" w:sz="4" w:space="0" w:color="auto"/>
            </w:tcBorders>
            <w:tcMar>
              <w:left w:w="0" w:type="dxa"/>
              <w:right w:w="0" w:type="dxa"/>
            </w:tcMar>
          </w:tcPr>
          <w:p w14:paraId="28472350" w14:textId="77777777" w:rsidR="002A7266" w:rsidRPr="0033490D" w:rsidRDefault="002A7266" w:rsidP="00520AB4">
            <w:pPr>
              <w:jc w:val="center"/>
              <w:rPr>
                <w:rFonts w:eastAsia="Aptos"/>
                <w:noProof/>
                <w:sz w:val="22"/>
              </w:rPr>
            </w:pPr>
            <w:r w:rsidRPr="0033490D">
              <w:rPr>
                <w:rFonts w:eastAsia="Aptos"/>
                <w:noProof/>
                <w:sz w:val="22"/>
              </w:rPr>
              <w:t>1.9-1.9</w:t>
            </w:r>
          </w:p>
        </w:tc>
        <w:tc>
          <w:tcPr>
            <w:tcW w:w="1559" w:type="dxa"/>
            <w:tcBorders>
              <w:top w:val="nil"/>
              <w:left w:val="single" w:sz="4" w:space="0" w:color="auto"/>
              <w:bottom w:val="single" w:sz="4" w:space="0" w:color="auto"/>
              <w:right w:val="single" w:sz="4" w:space="0" w:color="auto"/>
            </w:tcBorders>
            <w:tcMar>
              <w:left w:w="0" w:type="dxa"/>
              <w:right w:w="0" w:type="dxa"/>
            </w:tcMar>
          </w:tcPr>
          <w:p w14:paraId="4C228EBA" w14:textId="77777777" w:rsidR="002A7266" w:rsidRPr="0033490D" w:rsidRDefault="002A7266" w:rsidP="00520AB4">
            <w:pPr>
              <w:jc w:val="center"/>
              <w:rPr>
                <w:rFonts w:eastAsia="Aptos"/>
                <w:noProof/>
                <w:sz w:val="22"/>
              </w:rPr>
            </w:pPr>
            <w:r w:rsidRPr="0033490D">
              <w:rPr>
                <w:rFonts w:eastAsia="Aptos"/>
                <w:noProof/>
                <w:sz w:val="22"/>
              </w:rPr>
              <w:t>1.9-1.9</w:t>
            </w:r>
          </w:p>
        </w:tc>
        <w:tc>
          <w:tcPr>
            <w:tcW w:w="1560" w:type="dxa"/>
            <w:tcBorders>
              <w:top w:val="nil"/>
              <w:left w:val="single" w:sz="4" w:space="0" w:color="auto"/>
              <w:bottom w:val="single" w:sz="4" w:space="0" w:color="auto"/>
              <w:right w:val="single" w:sz="4" w:space="0" w:color="auto"/>
            </w:tcBorders>
            <w:tcMar>
              <w:left w:w="0" w:type="dxa"/>
              <w:right w:w="0" w:type="dxa"/>
            </w:tcMar>
          </w:tcPr>
          <w:p w14:paraId="64CA472A" w14:textId="77777777" w:rsidR="002A7266" w:rsidRPr="0033490D" w:rsidRDefault="002A7266" w:rsidP="00520AB4">
            <w:pPr>
              <w:jc w:val="center"/>
              <w:rPr>
                <w:rFonts w:eastAsia="Aptos"/>
                <w:noProof/>
                <w:sz w:val="22"/>
              </w:rPr>
            </w:pPr>
            <w:r w:rsidRPr="0033490D">
              <w:rPr>
                <w:rFonts w:eastAsia="Aptos"/>
                <w:noProof/>
                <w:sz w:val="22"/>
              </w:rPr>
              <w:t>1.8-2.0</w:t>
            </w:r>
          </w:p>
        </w:tc>
        <w:tc>
          <w:tcPr>
            <w:tcW w:w="1558" w:type="dxa"/>
            <w:tcBorders>
              <w:top w:val="nil"/>
              <w:left w:val="single" w:sz="4" w:space="0" w:color="auto"/>
              <w:bottom w:val="single" w:sz="4" w:space="0" w:color="auto"/>
              <w:right w:val="single" w:sz="4" w:space="0" w:color="auto"/>
            </w:tcBorders>
            <w:tcMar>
              <w:left w:w="0" w:type="dxa"/>
              <w:right w:w="0" w:type="dxa"/>
            </w:tcMar>
          </w:tcPr>
          <w:p w14:paraId="3F190F0B" w14:textId="77777777" w:rsidR="002A7266" w:rsidRPr="0033490D" w:rsidRDefault="002A7266" w:rsidP="00520AB4">
            <w:pPr>
              <w:jc w:val="center"/>
              <w:rPr>
                <w:rFonts w:eastAsia="Aptos"/>
                <w:noProof/>
                <w:sz w:val="22"/>
              </w:rPr>
            </w:pPr>
            <w:r w:rsidRPr="0033490D">
              <w:rPr>
                <w:rFonts w:eastAsia="Aptos"/>
                <w:noProof/>
                <w:sz w:val="22"/>
              </w:rPr>
              <w:t>1.8-2.0</w:t>
            </w:r>
          </w:p>
        </w:tc>
      </w:tr>
      <w:tr w:rsidR="002A7266" w:rsidRPr="002607E3" w14:paraId="5EDD8FD9" w14:textId="77777777" w:rsidTr="00520AB4">
        <w:trPr>
          <w:trHeight w:val="300"/>
        </w:trPr>
        <w:tc>
          <w:tcPr>
            <w:tcW w:w="31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50EB5A59" w14:textId="77777777" w:rsidR="002A7266" w:rsidRPr="0056758D" w:rsidRDefault="002A7266" w:rsidP="00520AB4">
            <w:pPr>
              <w:rPr>
                <w:rFonts w:eastAsia="Aptos"/>
                <w:noProof/>
                <w:sz w:val="22"/>
              </w:rPr>
            </w:pPr>
            <w:r w:rsidRPr="0056758D">
              <w:rPr>
                <w:rFonts w:eastAsia="Aptos"/>
                <w:noProof/>
                <w:sz w:val="22"/>
              </w:rPr>
              <w:t>Intermediate (out of automotive sector)</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6FF5D7D4" w14:textId="77777777" w:rsidR="002A7266" w:rsidRPr="0056758D" w:rsidRDefault="002A7266" w:rsidP="00520AB4">
            <w:pPr>
              <w:jc w:val="center"/>
              <w:rPr>
                <w:rFonts w:eastAsia="Aptos"/>
                <w:noProof/>
                <w:sz w:val="22"/>
              </w:rPr>
            </w:pPr>
            <w:r w:rsidRPr="0056758D">
              <w:rPr>
                <w:rFonts w:eastAsia="Aptos"/>
                <w:noProof/>
                <w:sz w:val="22"/>
              </w:rPr>
              <w:t>2.6-2.6</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4565D581" w14:textId="77777777" w:rsidR="002A7266" w:rsidRPr="0056758D" w:rsidRDefault="002A7266" w:rsidP="00520AB4">
            <w:pPr>
              <w:jc w:val="center"/>
              <w:rPr>
                <w:rFonts w:eastAsia="Aptos"/>
                <w:noProof/>
                <w:sz w:val="22"/>
              </w:rPr>
            </w:pPr>
            <w:r w:rsidRPr="0056758D">
              <w:rPr>
                <w:rFonts w:eastAsia="Aptos"/>
                <w:noProof/>
                <w:sz w:val="22"/>
              </w:rPr>
              <w:t>2.6-2.6</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6EBC8882" w14:textId="77777777" w:rsidR="002A7266" w:rsidRPr="0056758D" w:rsidRDefault="002A7266" w:rsidP="00520AB4">
            <w:pPr>
              <w:jc w:val="center"/>
              <w:rPr>
                <w:rFonts w:eastAsia="Aptos"/>
                <w:noProof/>
                <w:sz w:val="22"/>
              </w:rPr>
            </w:pPr>
            <w:r w:rsidRPr="0056758D">
              <w:rPr>
                <w:rFonts w:eastAsia="Aptos"/>
                <w:noProof/>
                <w:sz w:val="22"/>
              </w:rPr>
              <w:t>2.3-2.8</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51CDCA7A" w14:textId="77777777" w:rsidR="002A7266" w:rsidRPr="0056758D" w:rsidRDefault="002A7266" w:rsidP="00520AB4">
            <w:pPr>
              <w:jc w:val="center"/>
              <w:rPr>
                <w:rFonts w:eastAsia="Aptos"/>
                <w:noProof/>
                <w:sz w:val="22"/>
              </w:rPr>
            </w:pPr>
            <w:r w:rsidRPr="0056758D">
              <w:rPr>
                <w:rFonts w:eastAsia="Aptos"/>
                <w:noProof/>
                <w:sz w:val="22"/>
              </w:rPr>
              <w:t>2.3-2.8</w:t>
            </w:r>
          </w:p>
        </w:tc>
      </w:tr>
      <w:tr w:rsidR="002A7266" w:rsidRPr="002607E3" w14:paraId="325B1270" w14:textId="77777777" w:rsidTr="00520AB4">
        <w:trPr>
          <w:trHeight w:val="300"/>
        </w:trPr>
        <w:tc>
          <w:tcPr>
            <w:tcW w:w="31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74E45663" w14:textId="77777777" w:rsidR="002A7266" w:rsidRPr="0056758D" w:rsidRDefault="002A7266" w:rsidP="00520AB4">
            <w:pPr>
              <w:rPr>
                <w:rFonts w:eastAsia="Aptos"/>
                <w:noProof/>
                <w:sz w:val="22"/>
              </w:rPr>
            </w:pPr>
            <w:r w:rsidRPr="0056758D">
              <w:rPr>
                <w:rFonts w:eastAsia="Aptos"/>
                <w:noProof/>
                <w:sz w:val="22"/>
              </w:rPr>
              <w:t>Global value added - Only first round of Value Chain</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76D31D01" w14:textId="77777777" w:rsidR="002A7266" w:rsidRPr="0056758D" w:rsidRDefault="002A7266" w:rsidP="00520AB4">
            <w:pPr>
              <w:jc w:val="center"/>
              <w:rPr>
                <w:rFonts w:eastAsia="Aptos"/>
                <w:noProof/>
                <w:sz w:val="22"/>
              </w:rPr>
            </w:pPr>
            <w:r w:rsidRPr="0056758D">
              <w:rPr>
                <w:rFonts w:eastAsia="Aptos"/>
                <w:noProof/>
                <w:sz w:val="22"/>
              </w:rPr>
              <w:t>4.5-4.5</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14:paraId="1C0CB81C" w14:textId="77777777" w:rsidR="002A7266" w:rsidRPr="0056758D" w:rsidRDefault="002A7266" w:rsidP="00520AB4">
            <w:pPr>
              <w:jc w:val="center"/>
              <w:rPr>
                <w:rFonts w:eastAsia="Aptos"/>
                <w:noProof/>
                <w:sz w:val="22"/>
              </w:rPr>
            </w:pPr>
            <w:r w:rsidRPr="0056758D">
              <w:rPr>
                <w:rFonts w:eastAsia="Aptos"/>
                <w:noProof/>
                <w:sz w:val="22"/>
              </w:rPr>
              <w:t>4.5-4.5</w:t>
            </w:r>
          </w:p>
        </w:tc>
        <w:tc>
          <w:tcPr>
            <w:tcW w:w="1560" w:type="dxa"/>
            <w:tcBorders>
              <w:top w:val="single" w:sz="4" w:space="0" w:color="auto"/>
              <w:left w:val="single" w:sz="4" w:space="0" w:color="auto"/>
              <w:bottom w:val="single" w:sz="4" w:space="0" w:color="auto"/>
              <w:right w:val="single" w:sz="4" w:space="0" w:color="auto"/>
            </w:tcBorders>
            <w:tcMar>
              <w:left w:w="0" w:type="dxa"/>
              <w:right w:w="0" w:type="dxa"/>
            </w:tcMar>
          </w:tcPr>
          <w:p w14:paraId="2EFFD0AE" w14:textId="77777777" w:rsidR="002A7266" w:rsidRPr="0056758D" w:rsidRDefault="002A7266" w:rsidP="00520AB4">
            <w:pPr>
              <w:jc w:val="center"/>
              <w:rPr>
                <w:rFonts w:eastAsia="Aptos"/>
                <w:noProof/>
                <w:sz w:val="22"/>
              </w:rPr>
            </w:pPr>
            <w:r w:rsidRPr="0056758D">
              <w:rPr>
                <w:rFonts w:eastAsia="Aptos"/>
                <w:noProof/>
                <w:sz w:val="22"/>
              </w:rPr>
              <w:t>4.1-4.8</w:t>
            </w:r>
          </w:p>
        </w:tc>
        <w:tc>
          <w:tcPr>
            <w:tcW w:w="1558" w:type="dxa"/>
            <w:tcBorders>
              <w:top w:val="single" w:sz="4" w:space="0" w:color="auto"/>
              <w:left w:val="single" w:sz="4" w:space="0" w:color="auto"/>
              <w:bottom w:val="single" w:sz="4" w:space="0" w:color="auto"/>
              <w:right w:val="single" w:sz="4" w:space="0" w:color="auto"/>
            </w:tcBorders>
            <w:tcMar>
              <w:left w:w="0" w:type="dxa"/>
              <w:right w:w="0" w:type="dxa"/>
            </w:tcMar>
          </w:tcPr>
          <w:p w14:paraId="26F57A21" w14:textId="77777777" w:rsidR="002A7266" w:rsidRPr="0056758D" w:rsidRDefault="002A7266" w:rsidP="00520AB4">
            <w:pPr>
              <w:jc w:val="center"/>
              <w:rPr>
                <w:rFonts w:eastAsia="Aptos"/>
                <w:noProof/>
                <w:sz w:val="22"/>
              </w:rPr>
            </w:pPr>
            <w:r w:rsidRPr="0056758D">
              <w:rPr>
                <w:rFonts w:eastAsia="Aptos"/>
                <w:noProof/>
                <w:sz w:val="22"/>
              </w:rPr>
              <w:t>4.1-4.8</w:t>
            </w:r>
          </w:p>
        </w:tc>
      </w:tr>
      <w:tr w:rsidR="002A7266" w:rsidRPr="002607E3" w14:paraId="7D136ABF" w14:textId="77777777" w:rsidTr="004A466F">
        <w:trPr>
          <w:trHeight w:val="300"/>
        </w:trPr>
        <w:tc>
          <w:tcPr>
            <w:tcW w:w="3114"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Mar>
              <w:left w:w="108" w:type="dxa"/>
              <w:right w:w="108" w:type="dxa"/>
            </w:tcMar>
          </w:tcPr>
          <w:p w14:paraId="6ADF3358" w14:textId="77777777" w:rsidR="002A7266" w:rsidRPr="00E56BA9" w:rsidRDefault="002A7266" w:rsidP="00520AB4">
            <w:pPr>
              <w:rPr>
                <w:rFonts w:eastAsia="Aptos"/>
                <w:b/>
                <w:bCs/>
                <w:noProof/>
                <w:sz w:val="22"/>
              </w:rPr>
            </w:pPr>
            <w:r w:rsidRPr="00E56BA9">
              <w:rPr>
                <w:rFonts w:eastAsia="Aptos"/>
                <w:b/>
                <w:bCs/>
                <w:noProof/>
                <w:sz w:val="22"/>
              </w:rPr>
              <w:t>Global value added - Estimated all Value Chain</w:t>
            </w:r>
          </w:p>
        </w:tc>
        <w:tc>
          <w:tcPr>
            <w:tcW w:w="1559"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0FC19CF3" w14:textId="77777777" w:rsidR="002A7266" w:rsidRPr="00E56BA9" w:rsidRDefault="002A7266" w:rsidP="00520AB4">
            <w:pPr>
              <w:jc w:val="center"/>
              <w:rPr>
                <w:rFonts w:eastAsia="Aptos"/>
                <w:b/>
                <w:bCs/>
                <w:noProof/>
                <w:sz w:val="22"/>
              </w:rPr>
            </w:pPr>
            <w:r w:rsidRPr="00E56BA9">
              <w:rPr>
                <w:rFonts w:eastAsia="Aptos"/>
                <w:b/>
                <w:bCs/>
                <w:noProof/>
                <w:sz w:val="22"/>
              </w:rPr>
              <w:t>9.7-9.7</w:t>
            </w:r>
          </w:p>
        </w:tc>
        <w:tc>
          <w:tcPr>
            <w:tcW w:w="1559"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11AED200" w14:textId="77777777" w:rsidR="002A7266" w:rsidRPr="00E56BA9" w:rsidRDefault="002A7266" w:rsidP="00520AB4">
            <w:pPr>
              <w:jc w:val="center"/>
              <w:rPr>
                <w:rFonts w:eastAsia="Aptos"/>
                <w:b/>
                <w:bCs/>
                <w:noProof/>
                <w:sz w:val="22"/>
              </w:rPr>
            </w:pPr>
            <w:r w:rsidRPr="00E56BA9">
              <w:rPr>
                <w:rFonts w:eastAsia="Aptos"/>
                <w:b/>
                <w:bCs/>
                <w:noProof/>
                <w:sz w:val="22"/>
              </w:rPr>
              <w:t>9.6-9.8</w:t>
            </w:r>
          </w:p>
        </w:tc>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7ABAF48E" w14:textId="77777777" w:rsidR="002A7266" w:rsidRPr="00E56BA9" w:rsidRDefault="002A7266" w:rsidP="00520AB4">
            <w:pPr>
              <w:jc w:val="center"/>
              <w:rPr>
                <w:rFonts w:eastAsia="Aptos"/>
                <w:b/>
                <w:bCs/>
                <w:noProof/>
                <w:sz w:val="22"/>
              </w:rPr>
            </w:pPr>
            <w:r w:rsidRPr="00E56BA9">
              <w:rPr>
                <w:rFonts w:eastAsia="Aptos"/>
                <w:b/>
                <w:bCs/>
                <w:noProof/>
                <w:sz w:val="22"/>
              </w:rPr>
              <w:t>8.8-10.3</w:t>
            </w:r>
          </w:p>
        </w:tc>
        <w:tc>
          <w:tcPr>
            <w:tcW w:w="1558"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0" w:type="dxa"/>
              <w:right w:w="0" w:type="dxa"/>
            </w:tcMar>
          </w:tcPr>
          <w:p w14:paraId="7144F261" w14:textId="77777777" w:rsidR="002A7266" w:rsidRPr="00E56BA9" w:rsidRDefault="002A7266" w:rsidP="00520AB4">
            <w:pPr>
              <w:jc w:val="center"/>
              <w:rPr>
                <w:rFonts w:eastAsia="Aptos"/>
                <w:b/>
                <w:bCs/>
                <w:noProof/>
                <w:sz w:val="22"/>
              </w:rPr>
            </w:pPr>
            <w:r w:rsidRPr="00E56BA9">
              <w:rPr>
                <w:rFonts w:eastAsia="Aptos"/>
                <w:b/>
                <w:bCs/>
                <w:noProof/>
                <w:sz w:val="22"/>
              </w:rPr>
              <w:t>8.8-10.3</w:t>
            </w:r>
          </w:p>
        </w:tc>
      </w:tr>
      <w:tr w:rsidR="002A7266" w:rsidRPr="002607E3" w14:paraId="44BE823A" w14:textId="77777777" w:rsidTr="00520AB4">
        <w:trPr>
          <w:trHeight w:val="300"/>
        </w:trPr>
        <w:tc>
          <w:tcPr>
            <w:tcW w:w="9350" w:type="dxa"/>
            <w:gridSpan w:val="6"/>
            <w:tcBorders>
              <w:top w:val="single" w:sz="4" w:space="0" w:color="auto"/>
              <w:left w:val="single" w:sz="8" w:space="0" w:color="auto"/>
              <w:bottom w:val="single" w:sz="2" w:space="0" w:color="000000" w:themeColor="text1"/>
              <w:right w:val="single" w:sz="8" w:space="0" w:color="auto"/>
            </w:tcBorders>
            <w:shd w:val="clear" w:color="auto" w:fill="215E99" w:themeFill="text2" w:themeFillTint="BF"/>
            <w:tcMar>
              <w:left w:w="108" w:type="dxa"/>
              <w:right w:w="108" w:type="dxa"/>
            </w:tcMar>
          </w:tcPr>
          <w:p w14:paraId="6CF316CC" w14:textId="77777777" w:rsidR="002A7266" w:rsidRPr="002607E3" w:rsidRDefault="002A7266" w:rsidP="00520AB4">
            <w:pPr>
              <w:jc w:val="center"/>
              <w:rPr>
                <w:rFonts w:eastAsia="Aptos"/>
                <w:b/>
                <w:noProof/>
                <w:color w:val="FFFFFF" w:themeColor="background1"/>
                <w:sz w:val="24"/>
                <w:szCs w:val="24"/>
              </w:rPr>
            </w:pPr>
            <w:r w:rsidRPr="002607E3">
              <w:rPr>
                <w:rFonts w:eastAsia="Aptos"/>
                <w:b/>
                <w:noProof/>
                <w:color w:val="FFFFFF" w:themeColor="background1"/>
                <w:sz w:val="24"/>
                <w:szCs w:val="24"/>
              </w:rPr>
              <w:t>Impact on consumers</w:t>
            </w:r>
          </w:p>
        </w:tc>
      </w:tr>
      <w:tr w:rsidR="002A7266" w:rsidRPr="002607E3" w14:paraId="4005BF23" w14:textId="77777777" w:rsidTr="00520AB4">
        <w:trPr>
          <w:trHeight w:val="300"/>
        </w:trPr>
        <w:tc>
          <w:tcPr>
            <w:tcW w:w="1129" w:type="dxa"/>
            <w:vMerge w:val="restart"/>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8" w:type="dxa"/>
              <w:right w:w="108" w:type="dxa"/>
            </w:tcMar>
          </w:tcPr>
          <w:p w14:paraId="5B96B71F" w14:textId="77777777" w:rsidR="002A7266" w:rsidRPr="0056758D" w:rsidRDefault="002A7266" w:rsidP="00520AB4">
            <w:pPr>
              <w:rPr>
                <w:rFonts w:eastAsia="Aptos"/>
                <w:noProof/>
                <w:sz w:val="22"/>
              </w:rPr>
            </w:pPr>
            <w:r w:rsidRPr="0056758D">
              <w:rPr>
                <w:rFonts w:eastAsia="Aptos"/>
                <w:noProof/>
                <w:sz w:val="22"/>
              </w:rPr>
              <w:t>Passenger cars</w:t>
            </w:r>
          </w:p>
        </w:tc>
        <w:tc>
          <w:tcPr>
            <w:tcW w:w="1985" w:type="dxa"/>
            <w:tcBorders>
              <w:top w:val="nil"/>
              <w:left w:val="single" w:sz="2" w:space="0" w:color="000000" w:themeColor="text1"/>
              <w:bottom w:val="single" w:sz="8" w:space="0" w:color="auto"/>
              <w:right w:val="single" w:sz="8" w:space="0" w:color="auto"/>
            </w:tcBorders>
            <w:tcMar>
              <w:left w:w="108" w:type="dxa"/>
              <w:right w:w="108" w:type="dxa"/>
            </w:tcMar>
          </w:tcPr>
          <w:p w14:paraId="3FFC081D" w14:textId="77777777" w:rsidR="002A7266" w:rsidRPr="0056758D" w:rsidRDefault="002A7266" w:rsidP="00520AB4">
            <w:pPr>
              <w:rPr>
                <w:rFonts w:eastAsia="Aptos"/>
                <w:noProof/>
                <w:sz w:val="22"/>
              </w:rPr>
            </w:pPr>
            <w:r w:rsidRPr="0056758D">
              <w:rPr>
                <w:rFonts w:eastAsia="Aptos"/>
                <w:noProof/>
                <w:sz w:val="22"/>
              </w:rPr>
              <w:t>EVs price changes (%)</w:t>
            </w:r>
          </w:p>
        </w:tc>
        <w:tc>
          <w:tcPr>
            <w:tcW w:w="1559" w:type="dxa"/>
            <w:tcBorders>
              <w:top w:val="nil"/>
              <w:left w:val="single" w:sz="8" w:space="0" w:color="auto"/>
              <w:bottom w:val="single" w:sz="8" w:space="0" w:color="auto"/>
              <w:right w:val="single" w:sz="8" w:space="0" w:color="auto"/>
            </w:tcBorders>
            <w:tcMar>
              <w:left w:w="0" w:type="dxa"/>
              <w:right w:w="0" w:type="dxa"/>
            </w:tcMar>
          </w:tcPr>
          <w:p w14:paraId="42D010EF" w14:textId="77777777" w:rsidR="002A7266" w:rsidRPr="0056758D" w:rsidRDefault="002A7266" w:rsidP="00520AB4">
            <w:pPr>
              <w:jc w:val="center"/>
              <w:rPr>
                <w:rFonts w:eastAsia="Aptos"/>
                <w:noProof/>
                <w:sz w:val="22"/>
              </w:rPr>
            </w:pPr>
            <w:r w:rsidRPr="0056758D">
              <w:rPr>
                <w:rFonts w:eastAsia="Aptos"/>
                <w:noProof/>
                <w:sz w:val="22"/>
              </w:rPr>
              <w:t>1.2%-1.2%</w:t>
            </w:r>
          </w:p>
        </w:tc>
        <w:tc>
          <w:tcPr>
            <w:tcW w:w="1559" w:type="dxa"/>
            <w:tcBorders>
              <w:top w:val="nil"/>
              <w:left w:val="single" w:sz="8" w:space="0" w:color="auto"/>
              <w:bottom w:val="single" w:sz="8" w:space="0" w:color="auto"/>
              <w:right w:val="single" w:sz="8" w:space="0" w:color="auto"/>
            </w:tcBorders>
            <w:tcMar>
              <w:left w:w="0" w:type="dxa"/>
              <w:right w:w="0" w:type="dxa"/>
            </w:tcMar>
          </w:tcPr>
          <w:p w14:paraId="432676D8" w14:textId="77777777" w:rsidR="002A7266" w:rsidRPr="0056758D" w:rsidRDefault="002A7266" w:rsidP="00520AB4">
            <w:pPr>
              <w:jc w:val="center"/>
              <w:rPr>
                <w:rFonts w:eastAsia="Aptos"/>
                <w:noProof/>
                <w:sz w:val="22"/>
              </w:rPr>
            </w:pPr>
            <w:r w:rsidRPr="0056758D">
              <w:rPr>
                <w:rFonts w:eastAsia="Aptos"/>
                <w:noProof/>
                <w:sz w:val="22"/>
              </w:rPr>
              <w:t>1.2%-1.2%</w:t>
            </w:r>
          </w:p>
        </w:tc>
        <w:tc>
          <w:tcPr>
            <w:tcW w:w="1560" w:type="dxa"/>
            <w:tcBorders>
              <w:top w:val="nil"/>
              <w:left w:val="single" w:sz="8" w:space="0" w:color="auto"/>
              <w:bottom w:val="single" w:sz="8" w:space="0" w:color="auto"/>
              <w:right w:val="single" w:sz="8" w:space="0" w:color="auto"/>
            </w:tcBorders>
            <w:tcMar>
              <w:left w:w="0" w:type="dxa"/>
              <w:right w:w="0" w:type="dxa"/>
            </w:tcMar>
          </w:tcPr>
          <w:p w14:paraId="35AA0407" w14:textId="77777777" w:rsidR="002A7266" w:rsidRPr="0056758D" w:rsidRDefault="002A7266" w:rsidP="00520AB4">
            <w:pPr>
              <w:jc w:val="center"/>
              <w:rPr>
                <w:rFonts w:eastAsia="Aptos"/>
                <w:noProof/>
                <w:sz w:val="22"/>
              </w:rPr>
            </w:pPr>
            <w:r w:rsidRPr="0056758D">
              <w:rPr>
                <w:rFonts w:eastAsia="Aptos"/>
                <w:noProof/>
                <w:sz w:val="22"/>
              </w:rPr>
              <w:t>1.2%-1.2%</w:t>
            </w:r>
          </w:p>
        </w:tc>
        <w:tc>
          <w:tcPr>
            <w:tcW w:w="1558" w:type="dxa"/>
            <w:tcBorders>
              <w:top w:val="nil"/>
              <w:left w:val="single" w:sz="8" w:space="0" w:color="auto"/>
              <w:bottom w:val="single" w:sz="8" w:space="0" w:color="auto"/>
              <w:right w:val="single" w:sz="8" w:space="0" w:color="auto"/>
            </w:tcBorders>
            <w:tcMar>
              <w:left w:w="0" w:type="dxa"/>
              <w:right w:w="0" w:type="dxa"/>
            </w:tcMar>
          </w:tcPr>
          <w:p w14:paraId="566945ED" w14:textId="77777777" w:rsidR="002A7266" w:rsidRPr="0056758D" w:rsidRDefault="002A7266" w:rsidP="00520AB4">
            <w:pPr>
              <w:jc w:val="center"/>
              <w:rPr>
                <w:rFonts w:eastAsia="Aptos"/>
                <w:noProof/>
                <w:sz w:val="22"/>
              </w:rPr>
            </w:pPr>
            <w:r w:rsidRPr="0056758D">
              <w:rPr>
                <w:rFonts w:eastAsia="Aptos"/>
                <w:noProof/>
                <w:sz w:val="22"/>
              </w:rPr>
              <w:t>1.2%-1.2%</w:t>
            </w:r>
          </w:p>
        </w:tc>
      </w:tr>
      <w:tr w:rsidR="002A7266" w:rsidRPr="002607E3" w14:paraId="2B96D387" w14:textId="77777777" w:rsidTr="00520AB4">
        <w:trPr>
          <w:trHeight w:val="300"/>
        </w:trPr>
        <w:tc>
          <w:tcPr>
            <w:tcW w:w="1129" w:type="dxa"/>
            <w:vMerge/>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64DF1AB" w14:textId="77777777" w:rsidR="002A7266" w:rsidRPr="0056758D" w:rsidRDefault="002A7266" w:rsidP="00520AB4">
            <w:pPr>
              <w:rPr>
                <w:noProof/>
                <w:sz w:val="22"/>
              </w:rPr>
            </w:pPr>
          </w:p>
        </w:tc>
        <w:tc>
          <w:tcPr>
            <w:tcW w:w="1985" w:type="dxa"/>
            <w:tcBorders>
              <w:top w:val="single" w:sz="8" w:space="0" w:color="auto"/>
              <w:left w:val="single" w:sz="2" w:space="0" w:color="000000" w:themeColor="text1"/>
              <w:bottom w:val="single" w:sz="8" w:space="0" w:color="auto"/>
              <w:right w:val="single" w:sz="8" w:space="0" w:color="auto"/>
            </w:tcBorders>
            <w:tcMar>
              <w:left w:w="108" w:type="dxa"/>
              <w:right w:w="108" w:type="dxa"/>
            </w:tcMar>
          </w:tcPr>
          <w:p w14:paraId="673D0828" w14:textId="77777777" w:rsidR="002A7266" w:rsidRPr="0056758D" w:rsidRDefault="002A7266" w:rsidP="00520AB4">
            <w:pPr>
              <w:rPr>
                <w:rFonts w:eastAsia="Aptos"/>
                <w:noProof/>
                <w:sz w:val="22"/>
              </w:rPr>
            </w:pPr>
            <w:r w:rsidRPr="0056758D">
              <w:rPr>
                <w:rFonts w:eastAsia="Aptos"/>
                <w:noProof/>
                <w:sz w:val="22"/>
              </w:rPr>
              <w:t>EVs sold change (thousand)</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2B6EDAF9" w14:textId="7E8C4A5B"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88.</w:t>
            </w:r>
            <w:r w:rsidR="0009576E" w:rsidRPr="0056758D">
              <w:rPr>
                <w:rFonts w:eastAsia="Aptos"/>
                <w:noProof/>
                <w:sz w:val="22"/>
              </w:rPr>
              <w:t>4) -(</w:t>
            </w:r>
            <w:r>
              <w:rPr>
                <w:rFonts w:eastAsia="Aptos"/>
                <w:noProof/>
                <w:sz w:val="22"/>
              </w:rPr>
              <w:t>–</w:t>
            </w:r>
            <w:r w:rsidRPr="0056758D">
              <w:rPr>
                <w:rFonts w:eastAsia="Aptos"/>
                <w:noProof/>
                <w:sz w:val="22"/>
              </w:rPr>
              <w:t>64.3)</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56D34046" w14:textId="7C42AC47"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76.</w:t>
            </w:r>
            <w:r w:rsidR="0009576E" w:rsidRPr="0056758D">
              <w:rPr>
                <w:rFonts w:eastAsia="Aptos"/>
                <w:noProof/>
                <w:sz w:val="22"/>
              </w:rPr>
              <w:t>4) -(</w:t>
            </w:r>
            <w:r>
              <w:rPr>
                <w:rFonts w:eastAsia="Aptos"/>
                <w:noProof/>
                <w:sz w:val="22"/>
              </w:rPr>
              <w:t>–</w:t>
            </w:r>
            <w:r w:rsidRPr="0056758D">
              <w:rPr>
                <w:rFonts w:eastAsia="Aptos"/>
                <w:noProof/>
                <w:sz w:val="22"/>
              </w:rPr>
              <w:t>76.2)</w:t>
            </w:r>
          </w:p>
        </w:tc>
        <w:tc>
          <w:tcPr>
            <w:tcW w:w="1560" w:type="dxa"/>
            <w:tcBorders>
              <w:top w:val="single" w:sz="8" w:space="0" w:color="auto"/>
              <w:left w:val="single" w:sz="8" w:space="0" w:color="auto"/>
              <w:bottom w:val="single" w:sz="8" w:space="0" w:color="auto"/>
              <w:right w:val="single" w:sz="8" w:space="0" w:color="auto"/>
            </w:tcBorders>
            <w:tcMar>
              <w:left w:w="0" w:type="dxa"/>
              <w:right w:w="0" w:type="dxa"/>
            </w:tcMar>
          </w:tcPr>
          <w:p w14:paraId="015591A7" w14:textId="436F1C57"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77.</w:t>
            </w:r>
            <w:r w:rsidR="0009576E" w:rsidRPr="0056758D">
              <w:rPr>
                <w:rFonts w:eastAsia="Aptos"/>
                <w:noProof/>
                <w:sz w:val="22"/>
              </w:rPr>
              <w:t>8) -(</w:t>
            </w:r>
            <w:r>
              <w:rPr>
                <w:rFonts w:eastAsia="Aptos"/>
                <w:noProof/>
                <w:sz w:val="22"/>
              </w:rPr>
              <w:t>–</w:t>
            </w:r>
            <w:r w:rsidRPr="0056758D">
              <w:rPr>
                <w:rFonts w:eastAsia="Aptos"/>
                <w:noProof/>
                <w:sz w:val="22"/>
              </w:rPr>
              <w:t>74.9)</w:t>
            </w:r>
          </w:p>
        </w:tc>
        <w:tc>
          <w:tcPr>
            <w:tcW w:w="1558" w:type="dxa"/>
            <w:tcBorders>
              <w:top w:val="single" w:sz="8" w:space="0" w:color="auto"/>
              <w:left w:val="single" w:sz="8" w:space="0" w:color="auto"/>
              <w:bottom w:val="single" w:sz="8" w:space="0" w:color="auto"/>
              <w:right w:val="single" w:sz="8" w:space="0" w:color="auto"/>
            </w:tcBorders>
            <w:tcMar>
              <w:left w:w="0" w:type="dxa"/>
              <w:right w:w="0" w:type="dxa"/>
            </w:tcMar>
          </w:tcPr>
          <w:p w14:paraId="4AC16D70" w14:textId="55359C4B"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88.</w:t>
            </w:r>
            <w:r w:rsidR="0009576E" w:rsidRPr="0056758D">
              <w:rPr>
                <w:rFonts w:eastAsia="Aptos"/>
                <w:noProof/>
                <w:sz w:val="22"/>
              </w:rPr>
              <w:t>4) -(</w:t>
            </w:r>
            <w:r>
              <w:rPr>
                <w:rFonts w:eastAsia="Aptos"/>
                <w:noProof/>
                <w:sz w:val="22"/>
              </w:rPr>
              <w:t>–</w:t>
            </w:r>
            <w:r w:rsidRPr="0056758D">
              <w:rPr>
                <w:rFonts w:eastAsia="Aptos"/>
                <w:noProof/>
                <w:sz w:val="22"/>
              </w:rPr>
              <w:t>64.3)</w:t>
            </w:r>
          </w:p>
        </w:tc>
      </w:tr>
      <w:tr w:rsidR="002A7266" w:rsidRPr="002607E3" w14:paraId="68FBCFE3" w14:textId="77777777" w:rsidTr="00520AB4">
        <w:trPr>
          <w:trHeight w:val="300"/>
        </w:trPr>
        <w:tc>
          <w:tcPr>
            <w:tcW w:w="1129" w:type="dxa"/>
            <w:vMerge w:val="restart"/>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8" w:type="dxa"/>
              <w:right w:w="108" w:type="dxa"/>
            </w:tcMar>
          </w:tcPr>
          <w:p w14:paraId="2D8AA435" w14:textId="77777777" w:rsidR="002A7266" w:rsidRPr="0056758D" w:rsidRDefault="002A7266" w:rsidP="00520AB4">
            <w:pPr>
              <w:rPr>
                <w:rFonts w:eastAsia="Aptos"/>
                <w:noProof/>
                <w:sz w:val="22"/>
              </w:rPr>
            </w:pPr>
            <w:r w:rsidRPr="0056758D">
              <w:rPr>
                <w:rFonts w:eastAsia="Aptos"/>
                <w:noProof/>
                <w:sz w:val="22"/>
              </w:rPr>
              <w:t>LCVs</w:t>
            </w:r>
          </w:p>
        </w:tc>
        <w:tc>
          <w:tcPr>
            <w:tcW w:w="1985" w:type="dxa"/>
            <w:tcBorders>
              <w:top w:val="single" w:sz="8" w:space="0" w:color="auto"/>
              <w:left w:val="single" w:sz="2" w:space="0" w:color="000000" w:themeColor="text1"/>
              <w:bottom w:val="single" w:sz="8" w:space="0" w:color="auto"/>
              <w:right w:val="single" w:sz="8" w:space="0" w:color="auto"/>
            </w:tcBorders>
            <w:tcMar>
              <w:left w:w="108" w:type="dxa"/>
              <w:right w:w="108" w:type="dxa"/>
            </w:tcMar>
          </w:tcPr>
          <w:p w14:paraId="3ACA44B8" w14:textId="77777777" w:rsidR="002A7266" w:rsidRPr="0056758D" w:rsidRDefault="002A7266" w:rsidP="00520AB4">
            <w:pPr>
              <w:rPr>
                <w:rFonts w:eastAsia="Aptos"/>
                <w:noProof/>
                <w:sz w:val="22"/>
              </w:rPr>
            </w:pPr>
            <w:r w:rsidRPr="0056758D">
              <w:rPr>
                <w:rFonts w:eastAsia="Aptos"/>
                <w:noProof/>
                <w:sz w:val="22"/>
              </w:rPr>
              <w:t>EVs price changes (%)</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7CBB1AE9" w14:textId="77777777" w:rsidR="002A7266" w:rsidRPr="0056758D" w:rsidRDefault="002A7266" w:rsidP="00520AB4">
            <w:pPr>
              <w:jc w:val="center"/>
              <w:rPr>
                <w:rFonts w:eastAsia="Aptos"/>
                <w:noProof/>
                <w:sz w:val="22"/>
              </w:rPr>
            </w:pPr>
            <w:r w:rsidRPr="0056758D">
              <w:rPr>
                <w:rFonts w:eastAsia="Aptos"/>
                <w:noProof/>
                <w:sz w:val="22"/>
              </w:rPr>
              <w:t>0.4%-0.4%</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31045535" w14:textId="77777777" w:rsidR="002A7266" w:rsidRPr="0056758D" w:rsidRDefault="002A7266" w:rsidP="00520AB4">
            <w:pPr>
              <w:jc w:val="center"/>
              <w:rPr>
                <w:rFonts w:eastAsia="Aptos"/>
                <w:noProof/>
                <w:sz w:val="22"/>
              </w:rPr>
            </w:pPr>
            <w:r w:rsidRPr="0056758D">
              <w:rPr>
                <w:rFonts w:eastAsia="Aptos"/>
                <w:noProof/>
                <w:sz w:val="22"/>
              </w:rPr>
              <w:t>0.4%-0.4%</w:t>
            </w:r>
          </w:p>
        </w:tc>
        <w:tc>
          <w:tcPr>
            <w:tcW w:w="1560" w:type="dxa"/>
            <w:tcBorders>
              <w:top w:val="single" w:sz="8" w:space="0" w:color="auto"/>
              <w:left w:val="single" w:sz="8" w:space="0" w:color="auto"/>
              <w:bottom w:val="single" w:sz="8" w:space="0" w:color="auto"/>
              <w:right w:val="single" w:sz="8" w:space="0" w:color="auto"/>
            </w:tcBorders>
            <w:tcMar>
              <w:left w:w="0" w:type="dxa"/>
              <w:right w:w="0" w:type="dxa"/>
            </w:tcMar>
          </w:tcPr>
          <w:p w14:paraId="0E458FC6" w14:textId="77777777" w:rsidR="002A7266" w:rsidRPr="0056758D" w:rsidRDefault="002A7266" w:rsidP="00520AB4">
            <w:pPr>
              <w:jc w:val="center"/>
              <w:rPr>
                <w:rFonts w:eastAsia="Aptos"/>
                <w:noProof/>
                <w:sz w:val="22"/>
              </w:rPr>
            </w:pPr>
            <w:r w:rsidRPr="0056758D">
              <w:rPr>
                <w:rFonts w:eastAsia="Aptos"/>
                <w:noProof/>
                <w:sz w:val="22"/>
              </w:rPr>
              <w:t>0.4%-0.4%</w:t>
            </w:r>
          </w:p>
        </w:tc>
        <w:tc>
          <w:tcPr>
            <w:tcW w:w="1558" w:type="dxa"/>
            <w:tcBorders>
              <w:top w:val="single" w:sz="8" w:space="0" w:color="auto"/>
              <w:left w:val="single" w:sz="8" w:space="0" w:color="auto"/>
              <w:bottom w:val="single" w:sz="8" w:space="0" w:color="auto"/>
              <w:right w:val="single" w:sz="8" w:space="0" w:color="auto"/>
            </w:tcBorders>
            <w:tcMar>
              <w:left w:w="0" w:type="dxa"/>
              <w:right w:w="0" w:type="dxa"/>
            </w:tcMar>
          </w:tcPr>
          <w:p w14:paraId="1DA95747" w14:textId="77777777" w:rsidR="002A7266" w:rsidRPr="0056758D" w:rsidRDefault="002A7266" w:rsidP="00520AB4">
            <w:pPr>
              <w:jc w:val="center"/>
              <w:rPr>
                <w:rFonts w:eastAsia="Aptos"/>
                <w:noProof/>
                <w:sz w:val="22"/>
              </w:rPr>
            </w:pPr>
            <w:r w:rsidRPr="0056758D">
              <w:rPr>
                <w:rFonts w:eastAsia="Aptos"/>
                <w:noProof/>
                <w:sz w:val="22"/>
              </w:rPr>
              <w:t>0.4%-0.4%</w:t>
            </w:r>
          </w:p>
        </w:tc>
      </w:tr>
      <w:tr w:rsidR="002A7266" w:rsidRPr="002607E3" w14:paraId="0FEA7CFD" w14:textId="77777777" w:rsidTr="00520AB4">
        <w:trPr>
          <w:trHeight w:val="300"/>
        </w:trPr>
        <w:tc>
          <w:tcPr>
            <w:tcW w:w="1129" w:type="dxa"/>
            <w:vMerge/>
            <w:tcBorders>
              <w:left w:val="single" w:sz="2" w:space="0" w:color="000000" w:themeColor="text1"/>
              <w:bottom w:val="single" w:sz="2" w:space="0" w:color="000000" w:themeColor="text1"/>
              <w:right w:val="single" w:sz="2" w:space="0" w:color="000000" w:themeColor="text1"/>
            </w:tcBorders>
            <w:vAlign w:val="center"/>
          </w:tcPr>
          <w:p w14:paraId="2515EB6D" w14:textId="77777777" w:rsidR="002A7266" w:rsidRPr="0056758D" w:rsidRDefault="002A7266" w:rsidP="00520AB4">
            <w:pPr>
              <w:rPr>
                <w:noProof/>
                <w:sz w:val="22"/>
              </w:rPr>
            </w:pPr>
          </w:p>
        </w:tc>
        <w:tc>
          <w:tcPr>
            <w:tcW w:w="1985" w:type="dxa"/>
            <w:tcBorders>
              <w:top w:val="single" w:sz="8" w:space="0" w:color="auto"/>
              <w:left w:val="single" w:sz="2" w:space="0" w:color="000000" w:themeColor="text1"/>
              <w:bottom w:val="single" w:sz="8" w:space="0" w:color="auto"/>
              <w:right w:val="single" w:sz="8" w:space="0" w:color="auto"/>
            </w:tcBorders>
            <w:tcMar>
              <w:left w:w="108" w:type="dxa"/>
              <w:right w:w="108" w:type="dxa"/>
            </w:tcMar>
          </w:tcPr>
          <w:p w14:paraId="54F574CF" w14:textId="77777777" w:rsidR="002A7266" w:rsidRPr="0056758D" w:rsidRDefault="002A7266" w:rsidP="00520AB4">
            <w:pPr>
              <w:rPr>
                <w:rFonts w:eastAsia="Aptos"/>
                <w:noProof/>
                <w:sz w:val="22"/>
              </w:rPr>
            </w:pPr>
            <w:r w:rsidRPr="0056758D">
              <w:rPr>
                <w:rFonts w:eastAsia="Aptos"/>
                <w:noProof/>
                <w:sz w:val="22"/>
              </w:rPr>
              <w:t>EVs sold change (thousand)</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678F1C96" w14:textId="77777777" w:rsidR="002A7266" w:rsidRPr="0056758D" w:rsidRDefault="002A7266" w:rsidP="00520AB4">
            <w:pPr>
              <w:jc w:val="center"/>
              <w:rPr>
                <w:rFonts w:eastAsia="Aptos"/>
                <w:noProof/>
                <w:sz w:val="22"/>
              </w:rPr>
            </w:pPr>
            <w:r w:rsidRPr="0056758D">
              <w:rPr>
                <w:rFonts w:eastAsia="Aptos"/>
                <w:noProof/>
                <w:sz w:val="22"/>
              </w:rPr>
              <w:t>2.0-2.3</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78489C34" w14:textId="77777777" w:rsidR="002A7266" w:rsidRPr="0056758D" w:rsidRDefault="002A7266" w:rsidP="00520AB4">
            <w:pPr>
              <w:jc w:val="center"/>
              <w:rPr>
                <w:rFonts w:eastAsia="Aptos"/>
                <w:noProof/>
                <w:sz w:val="22"/>
              </w:rPr>
            </w:pPr>
            <w:r w:rsidRPr="0056758D">
              <w:rPr>
                <w:rFonts w:eastAsia="Aptos"/>
                <w:noProof/>
                <w:sz w:val="22"/>
              </w:rPr>
              <w:t>2.1-2.5</w:t>
            </w:r>
          </w:p>
        </w:tc>
        <w:tc>
          <w:tcPr>
            <w:tcW w:w="1560" w:type="dxa"/>
            <w:tcBorders>
              <w:top w:val="single" w:sz="8" w:space="0" w:color="auto"/>
              <w:left w:val="single" w:sz="8" w:space="0" w:color="auto"/>
              <w:bottom w:val="single" w:sz="8" w:space="0" w:color="auto"/>
              <w:right w:val="single" w:sz="8" w:space="0" w:color="auto"/>
            </w:tcBorders>
            <w:tcMar>
              <w:left w:w="0" w:type="dxa"/>
              <w:right w:w="0" w:type="dxa"/>
            </w:tcMar>
          </w:tcPr>
          <w:p w14:paraId="149D5E72" w14:textId="77777777" w:rsidR="002A7266" w:rsidRPr="0056758D" w:rsidRDefault="002A7266" w:rsidP="00520AB4">
            <w:pPr>
              <w:jc w:val="center"/>
              <w:rPr>
                <w:rFonts w:eastAsia="Aptos"/>
                <w:noProof/>
                <w:sz w:val="22"/>
              </w:rPr>
            </w:pPr>
            <w:r w:rsidRPr="0056758D">
              <w:rPr>
                <w:rFonts w:eastAsia="Aptos"/>
                <w:noProof/>
                <w:sz w:val="22"/>
              </w:rPr>
              <w:t>0.0-4.3</w:t>
            </w:r>
          </w:p>
        </w:tc>
        <w:tc>
          <w:tcPr>
            <w:tcW w:w="1558" w:type="dxa"/>
            <w:tcBorders>
              <w:top w:val="single" w:sz="8" w:space="0" w:color="auto"/>
              <w:left w:val="single" w:sz="8" w:space="0" w:color="auto"/>
              <w:bottom w:val="single" w:sz="8" w:space="0" w:color="auto"/>
              <w:right w:val="single" w:sz="8" w:space="0" w:color="auto"/>
            </w:tcBorders>
            <w:tcMar>
              <w:left w:w="0" w:type="dxa"/>
              <w:right w:w="0" w:type="dxa"/>
            </w:tcMar>
          </w:tcPr>
          <w:p w14:paraId="743CF016" w14:textId="77777777" w:rsidR="002A7266" w:rsidRPr="0056758D" w:rsidRDefault="002A7266" w:rsidP="00520AB4">
            <w:pPr>
              <w:jc w:val="center"/>
              <w:rPr>
                <w:rFonts w:eastAsia="Aptos"/>
                <w:noProof/>
                <w:sz w:val="22"/>
              </w:rPr>
            </w:pPr>
            <w:r w:rsidRPr="0056758D">
              <w:rPr>
                <w:rFonts w:eastAsia="Aptos"/>
                <w:noProof/>
                <w:sz w:val="22"/>
              </w:rPr>
              <w:t>0.0-4.3</w:t>
            </w:r>
          </w:p>
        </w:tc>
      </w:tr>
      <w:tr w:rsidR="002A7266" w:rsidRPr="002607E3" w14:paraId="6D84F20C" w14:textId="77777777" w:rsidTr="00520AB4">
        <w:trPr>
          <w:trHeight w:val="300"/>
        </w:trPr>
        <w:tc>
          <w:tcPr>
            <w:tcW w:w="1129" w:type="dxa"/>
            <w:vMerge w:val="restart"/>
            <w:tcBorders>
              <w:top w:val="single" w:sz="2" w:space="0" w:color="000000" w:themeColor="text1"/>
              <w:left w:val="single" w:sz="2" w:space="0" w:color="000000" w:themeColor="text1"/>
              <w:right w:val="single" w:sz="2" w:space="0" w:color="000000" w:themeColor="text1"/>
            </w:tcBorders>
            <w:tcMar>
              <w:left w:w="108" w:type="dxa"/>
              <w:right w:w="108" w:type="dxa"/>
            </w:tcMar>
          </w:tcPr>
          <w:p w14:paraId="2A8D104B" w14:textId="77777777" w:rsidR="002A7266" w:rsidRPr="0056758D" w:rsidRDefault="002A7266" w:rsidP="00520AB4">
            <w:pPr>
              <w:rPr>
                <w:rFonts w:eastAsia="Aptos"/>
                <w:noProof/>
                <w:sz w:val="22"/>
              </w:rPr>
            </w:pPr>
            <w:r w:rsidRPr="0056758D">
              <w:rPr>
                <w:rFonts w:eastAsia="Aptos"/>
                <w:noProof/>
                <w:sz w:val="22"/>
              </w:rPr>
              <w:t>HDVs</w:t>
            </w:r>
          </w:p>
        </w:tc>
        <w:tc>
          <w:tcPr>
            <w:tcW w:w="1985" w:type="dxa"/>
            <w:tcBorders>
              <w:top w:val="single" w:sz="8" w:space="0" w:color="auto"/>
              <w:left w:val="single" w:sz="2" w:space="0" w:color="000000" w:themeColor="text1"/>
              <w:bottom w:val="single" w:sz="8" w:space="0" w:color="auto"/>
              <w:right w:val="single" w:sz="8" w:space="0" w:color="auto"/>
            </w:tcBorders>
            <w:tcMar>
              <w:left w:w="108" w:type="dxa"/>
              <w:right w:w="108" w:type="dxa"/>
            </w:tcMar>
          </w:tcPr>
          <w:p w14:paraId="00B6C90B" w14:textId="77777777" w:rsidR="002A7266" w:rsidRPr="0056758D" w:rsidRDefault="002A7266" w:rsidP="00520AB4">
            <w:pPr>
              <w:rPr>
                <w:rFonts w:eastAsia="Aptos"/>
                <w:noProof/>
                <w:sz w:val="22"/>
              </w:rPr>
            </w:pPr>
            <w:r w:rsidRPr="0056758D">
              <w:rPr>
                <w:rFonts w:eastAsia="Aptos"/>
                <w:noProof/>
                <w:sz w:val="22"/>
              </w:rPr>
              <w:t>EVs price changes (%)</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7F4B5C85" w14:textId="77777777" w:rsidR="002A7266" w:rsidRPr="0056758D" w:rsidRDefault="002A7266" w:rsidP="00520AB4">
            <w:pPr>
              <w:jc w:val="center"/>
              <w:rPr>
                <w:rFonts w:eastAsia="Aptos"/>
                <w:noProof/>
                <w:sz w:val="22"/>
              </w:rPr>
            </w:pPr>
            <w:r w:rsidRPr="0056758D">
              <w:rPr>
                <w:rFonts w:eastAsia="Aptos"/>
                <w:noProof/>
                <w:sz w:val="22"/>
              </w:rPr>
              <w:t>1.2%-1.2%</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09295CFF" w14:textId="77777777" w:rsidR="002A7266" w:rsidRPr="0056758D" w:rsidRDefault="002A7266" w:rsidP="00520AB4">
            <w:pPr>
              <w:jc w:val="center"/>
              <w:rPr>
                <w:rFonts w:eastAsia="Aptos"/>
                <w:noProof/>
                <w:sz w:val="22"/>
              </w:rPr>
            </w:pPr>
            <w:r w:rsidRPr="0056758D">
              <w:rPr>
                <w:rFonts w:eastAsia="Aptos"/>
                <w:noProof/>
                <w:sz w:val="22"/>
              </w:rPr>
              <w:t>1.2%-1.2%</w:t>
            </w:r>
          </w:p>
        </w:tc>
        <w:tc>
          <w:tcPr>
            <w:tcW w:w="1560" w:type="dxa"/>
            <w:tcBorders>
              <w:top w:val="single" w:sz="8" w:space="0" w:color="auto"/>
              <w:left w:val="single" w:sz="8" w:space="0" w:color="auto"/>
              <w:bottom w:val="single" w:sz="8" w:space="0" w:color="auto"/>
              <w:right w:val="single" w:sz="8" w:space="0" w:color="auto"/>
            </w:tcBorders>
            <w:tcMar>
              <w:left w:w="0" w:type="dxa"/>
              <w:right w:w="0" w:type="dxa"/>
            </w:tcMar>
          </w:tcPr>
          <w:p w14:paraId="12E15943" w14:textId="77777777" w:rsidR="002A7266" w:rsidRPr="0056758D" w:rsidRDefault="002A7266" w:rsidP="00520AB4">
            <w:pPr>
              <w:jc w:val="center"/>
              <w:rPr>
                <w:rFonts w:eastAsia="Aptos"/>
                <w:noProof/>
                <w:sz w:val="22"/>
              </w:rPr>
            </w:pPr>
            <w:r w:rsidRPr="0056758D">
              <w:rPr>
                <w:rFonts w:eastAsia="Aptos"/>
                <w:noProof/>
                <w:sz w:val="22"/>
              </w:rPr>
              <w:t>1.2%-1.2%</w:t>
            </w:r>
          </w:p>
        </w:tc>
        <w:tc>
          <w:tcPr>
            <w:tcW w:w="1558" w:type="dxa"/>
            <w:tcBorders>
              <w:top w:val="single" w:sz="8" w:space="0" w:color="auto"/>
              <w:left w:val="single" w:sz="8" w:space="0" w:color="auto"/>
              <w:bottom w:val="single" w:sz="8" w:space="0" w:color="auto"/>
              <w:right w:val="single" w:sz="8" w:space="0" w:color="auto"/>
            </w:tcBorders>
            <w:tcMar>
              <w:left w:w="0" w:type="dxa"/>
              <w:right w:w="0" w:type="dxa"/>
            </w:tcMar>
          </w:tcPr>
          <w:p w14:paraId="6A2A22C6" w14:textId="77777777" w:rsidR="002A7266" w:rsidRPr="0056758D" w:rsidRDefault="002A7266" w:rsidP="00520AB4">
            <w:pPr>
              <w:jc w:val="center"/>
              <w:rPr>
                <w:rFonts w:eastAsia="Aptos"/>
                <w:noProof/>
                <w:sz w:val="22"/>
              </w:rPr>
            </w:pPr>
            <w:r w:rsidRPr="0056758D">
              <w:rPr>
                <w:rFonts w:eastAsia="Aptos"/>
                <w:noProof/>
                <w:sz w:val="22"/>
              </w:rPr>
              <w:t>1.2%-1.2%</w:t>
            </w:r>
          </w:p>
        </w:tc>
      </w:tr>
      <w:tr w:rsidR="002A7266" w:rsidRPr="002607E3" w14:paraId="6221B63A" w14:textId="77777777" w:rsidTr="00520AB4">
        <w:trPr>
          <w:trHeight w:val="300"/>
        </w:trPr>
        <w:tc>
          <w:tcPr>
            <w:tcW w:w="1129" w:type="dxa"/>
            <w:vMerge/>
            <w:tcBorders>
              <w:left w:val="single" w:sz="2" w:space="0" w:color="000000" w:themeColor="text1"/>
              <w:bottom w:val="single" w:sz="2" w:space="0" w:color="000000" w:themeColor="text1"/>
              <w:right w:val="single" w:sz="2" w:space="0" w:color="000000" w:themeColor="text1"/>
            </w:tcBorders>
            <w:tcMar>
              <w:left w:w="108" w:type="dxa"/>
              <w:right w:w="108" w:type="dxa"/>
            </w:tcMar>
          </w:tcPr>
          <w:p w14:paraId="2046BAAF" w14:textId="77777777" w:rsidR="002A7266" w:rsidRPr="0056758D" w:rsidRDefault="002A7266" w:rsidP="00520AB4">
            <w:pPr>
              <w:rPr>
                <w:rFonts w:eastAsia="Aptos"/>
                <w:noProof/>
                <w:sz w:val="22"/>
              </w:rPr>
            </w:pPr>
          </w:p>
        </w:tc>
        <w:tc>
          <w:tcPr>
            <w:tcW w:w="1985" w:type="dxa"/>
            <w:tcBorders>
              <w:top w:val="single" w:sz="8" w:space="0" w:color="auto"/>
              <w:left w:val="single" w:sz="2" w:space="0" w:color="000000" w:themeColor="text1"/>
              <w:bottom w:val="single" w:sz="8" w:space="0" w:color="auto"/>
              <w:right w:val="single" w:sz="8" w:space="0" w:color="auto"/>
            </w:tcBorders>
            <w:tcMar>
              <w:left w:w="108" w:type="dxa"/>
              <w:right w:w="108" w:type="dxa"/>
            </w:tcMar>
          </w:tcPr>
          <w:p w14:paraId="54749D05" w14:textId="77777777" w:rsidR="002A7266" w:rsidRPr="0056758D" w:rsidRDefault="002A7266" w:rsidP="00520AB4">
            <w:pPr>
              <w:rPr>
                <w:rFonts w:eastAsia="Aptos"/>
                <w:noProof/>
                <w:sz w:val="22"/>
              </w:rPr>
            </w:pPr>
            <w:r w:rsidRPr="0056758D">
              <w:rPr>
                <w:rFonts w:eastAsia="Aptos"/>
                <w:noProof/>
                <w:sz w:val="22"/>
              </w:rPr>
              <w:t>EVs sold change (thousand)</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18B8B3AB" w14:textId="306AA157"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1.</w:t>
            </w:r>
            <w:r w:rsidR="0009576E" w:rsidRPr="0056758D">
              <w:rPr>
                <w:rFonts w:eastAsia="Aptos"/>
                <w:noProof/>
                <w:sz w:val="22"/>
              </w:rPr>
              <w:t>8) -(</w:t>
            </w:r>
            <w:r>
              <w:rPr>
                <w:rFonts w:eastAsia="Aptos"/>
                <w:noProof/>
                <w:sz w:val="22"/>
              </w:rPr>
              <w:t>–</w:t>
            </w:r>
            <w:r w:rsidRPr="0056758D">
              <w:rPr>
                <w:rFonts w:eastAsia="Aptos"/>
                <w:noProof/>
                <w:sz w:val="22"/>
              </w:rPr>
              <w:t>1.5)</w:t>
            </w:r>
          </w:p>
        </w:tc>
        <w:tc>
          <w:tcPr>
            <w:tcW w:w="1559" w:type="dxa"/>
            <w:tcBorders>
              <w:top w:val="single" w:sz="8" w:space="0" w:color="auto"/>
              <w:left w:val="single" w:sz="8" w:space="0" w:color="auto"/>
              <w:bottom w:val="single" w:sz="8" w:space="0" w:color="auto"/>
              <w:right w:val="single" w:sz="8" w:space="0" w:color="auto"/>
            </w:tcBorders>
            <w:tcMar>
              <w:left w:w="0" w:type="dxa"/>
              <w:right w:w="0" w:type="dxa"/>
            </w:tcMar>
          </w:tcPr>
          <w:p w14:paraId="00D15B5A" w14:textId="69A5775A"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1.</w:t>
            </w:r>
            <w:r w:rsidR="0009576E" w:rsidRPr="0056758D">
              <w:rPr>
                <w:rFonts w:eastAsia="Aptos"/>
                <w:noProof/>
                <w:sz w:val="22"/>
              </w:rPr>
              <w:t>7) -(</w:t>
            </w:r>
            <w:r>
              <w:rPr>
                <w:rFonts w:eastAsia="Aptos"/>
                <w:noProof/>
                <w:sz w:val="22"/>
              </w:rPr>
              <w:t>–</w:t>
            </w:r>
            <w:r w:rsidRPr="0056758D">
              <w:rPr>
                <w:rFonts w:eastAsia="Aptos"/>
                <w:noProof/>
                <w:sz w:val="22"/>
              </w:rPr>
              <w:t>1.7)</w:t>
            </w:r>
          </w:p>
        </w:tc>
        <w:tc>
          <w:tcPr>
            <w:tcW w:w="1560" w:type="dxa"/>
            <w:tcBorders>
              <w:top w:val="single" w:sz="8" w:space="0" w:color="auto"/>
              <w:left w:val="single" w:sz="8" w:space="0" w:color="auto"/>
              <w:bottom w:val="single" w:sz="8" w:space="0" w:color="auto"/>
              <w:right w:val="single" w:sz="8" w:space="0" w:color="auto"/>
            </w:tcBorders>
            <w:tcMar>
              <w:left w:w="0" w:type="dxa"/>
              <w:right w:w="0" w:type="dxa"/>
            </w:tcMar>
          </w:tcPr>
          <w:p w14:paraId="7AAA2FF5" w14:textId="0570FC3E"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1.</w:t>
            </w:r>
            <w:r w:rsidR="0009576E" w:rsidRPr="0056758D">
              <w:rPr>
                <w:rFonts w:eastAsia="Aptos"/>
                <w:noProof/>
                <w:sz w:val="22"/>
              </w:rPr>
              <w:t>8) -(</w:t>
            </w:r>
            <w:r>
              <w:rPr>
                <w:rFonts w:eastAsia="Aptos"/>
                <w:noProof/>
                <w:sz w:val="22"/>
              </w:rPr>
              <w:t>–</w:t>
            </w:r>
            <w:r w:rsidRPr="0056758D">
              <w:rPr>
                <w:rFonts w:eastAsia="Aptos"/>
                <w:noProof/>
                <w:sz w:val="22"/>
              </w:rPr>
              <w:t>1.6)</w:t>
            </w:r>
          </w:p>
        </w:tc>
        <w:tc>
          <w:tcPr>
            <w:tcW w:w="1558" w:type="dxa"/>
            <w:tcBorders>
              <w:top w:val="single" w:sz="8" w:space="0" w:color="auto"/>
              <w:left w:val="single" w:sz="8" w:space="0" w:color="auto"/>
              <w:bottom w:val="single" w:sz="8" w:space="0" w:color="auto"/>
              <w:right w:val="single" w:sz="8" w:space="0" w:color="auto"/>
            </w:tcBorders>
            <w:tcMar>
              <w:left w:w="0" w:type="dxa"/>
              <w:right w:w="0" w:type="dxa"/>
            </w:tcMar>
          </w:tcPr>
          <w:p w14:paraId="6DFEC6E8" w14:textId="3136E6D2" w:rsidR="002A7266" w:rsidRPr="0056758D" w:rsidRDefault="002A7266" w:rsidP="00520AB4">
            <w:pPr>
              <w:jc w:val="center"/>
              <w:rPr>
                <w:rFonts w:eastAsia="Aptos"/>
                <w:noProof/>
                <w:sz w:val="22"/>
              </w:rPr>
            </w:pPr>
            <w:r w:rsidRPr="0056758D">
              <w:rPr>
                <w:rFonts w:eastAsia="Aptos"/>
                <w:noProof/>
                <w:sz w:val="22"/>
              </w:rPr>
              <w:t>(</w:t>
            </w:r>
            <w:r>
              <w:rPr>
                <w:rFonts w:eastAsia="Aptos"/>
                <w:noProof/>
                <w:sz w:val="22"/>
              </w:rPr>
              <w:t>–</w:t>
            </w:r>
            <w:r w:rsidRPr="0056758D">
              <w:rPr>
                <w:rFonts w:eastAsia="Aptos"/>
                <w:noProof/>
                <w:sz w:val="22"/>
              </w:rPr>
              <w:t>1.</w:t>
            </w:r>
            <w:r w:rsidR="0009576E" w:rsidRPr="0056758D">
              <w:rPr>
                <w:rFonts w:eastAsia="Aptos"/>
                <w:noProof/>
                <w:sz w:val="22"/>
              </w:rPr>
              <w:t>8) -(</w:t>
            </w:r>
            <w:r>
              <w:rPr>
                <w:rFonts w:eastAsia="Aptos"/>
                <w:noProof/>
                <w:sz w:val="22"/>
              </w:rPr>
              <w:t>–</w:t>
            </w:r>
            <w:r w:rsidRPr="0056758D">
              <w:rPr>
                <w:rFonts w:eastAsia="Aptos"/>
                <w:noProof/>
                <w:sz w:val="22"/>
              </w:rPr>
              <w:t>1.5)</w:t>
            </w:r>
          </w:p>
        </w:tc>
      </w:tr>
      <w:tr w:rsidR="00A32BA4" w:rsidRPr="002607E3" w14:paraId="0AEC9BE4" w14:textId="77777777" w:rsidTr="00E56BA9">
        <w:trPr>
          <w:trHeight w:val="300"/>
        </w:trPr>
        <w:tc>
          <w:tcPr>
            <w:tcW w:w="1129" w:type="dxa"/>
            <w:vMerge w:val="restart"/>
            <w:tcBorders>
              <w:top w:val="single" w:sz="2" w:space="0" w:color="000000" w:themeColor="text1"/>
              <w:left w:val="single" w:sz="2" w:space="0" w:color="000000" w:themeColor="text1"/>
              <w:right w:val="single" w:sz="2" w:space="0" w:color="000000" w:themeColor="text1"/>
            </w:tcBorders>
            <w:shd w:val="clear" w:color="auto" w:fill="DAE9F7" w:themeFill="text2" w:themeFillTint="1A"/>
            <w:tcMar>
              <w:left w:w="108" w:type="dxa"/>
              <w:right w:w="108" w:type="dxa"/>
            </w:tcMar>
          </w:tcPr>
          <w:p w14:paraId="4258CA54" w14:textId="77777777" w:rsidR="002A7266" w:rsidRPr="0056758D" w:rsidRDefault="002A7266" w:rsidP="00520AB4">
            <w:pPr>
              <w:rPr>
                <w:rFonts w:eastAsia="Aptos"/>
                <w:b/>
                <w:noProof/>
                <w:sz w:val="22"/>
              </w:rPr>
            </w:pPr>
            <w:r w:rsidRPr="0056758D">
              <w:rPr>
                <w:rFonts w:eastAsia="Aptos"/>
                <w:b/>
                <w:noProof/>
                <w:sz w:val="22"/>
              </w:rPr>
              <w:t>TOTAL</w:t>
            </w:r>
          </w:p>
        </w:tc>
        <w:tc>
          <w:tcPr>
            <w:tcW w:w="1985" w:type="dxa"/>
            <w:tcBorders>
              <w:top w:val="single" w:sz="8" w:space="0" w:color="auto"/>
              <w:left w:val="single" w:sz="2" w:space="0" w:color="000000" w:themeColor="text1"/>
              <w:bottom w:val="single" w:sz="8" w:space="0" w:color="auto"/>
              <w:right w:val="single" w:sz="8" w:space="0" w:color="auto"/>
            </w:tcBorders>
            <w:shd w:val="clear" w:color="auto" w:fill="DAE9F7" w:themeFill="text2" w:themeFillTint="1A"/>
            <w:tcMar>
              <w:left w:w="108" w:type="dxa"/>
              <w:right w:w="108" w:type="dxa"/>
            </w:tcMar>
          </w:tcPr>
          <w:p w14:paraId="6356CAA3" w14:textId="77777777" w:rsidR="002A7266" w:rsidRPr="0056758D" w:rsidRDefault="002A7266" w:rsidP="00520AB4">
            <w:pPr>
              <w:rPr>
                <w:rFonts w:eastAsia="Aptos"/>
                <w:b/>
                <w:noProof/>
                <w:sz w:val="22"/>
              </w:rPr>
            </w:pPr>
            <w:r w:rsidRPr="0056758D">
              <w:rPr>
                <w:rFonts w:eastAsia="Aptos"/>
                <w:b/>
                <w:noProof/>
                <w:sz w:val="22"/>
              </w:rPr>
              <w:t>EVs price changes (%)</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13A8AC0E" w14:textId="77777777" w:rsidR="002A7266" w:rsidRPr="0056758D" w:rsidRDefault="002A7266" w:rsidP="00520AB4">
            <w:pPr>
              <w:jc w:val="center"/>
              <w:rPr>
                <w:rFonts w:eastAsia="Aptos"/>
                <w:b/>
                <w:noProof/>
                <w:sz w:val="22"/>
              </w:rPr>
            </w:pPr>
            <w:r w:rsidRPr="0056758D">
              <w:rPr>
                <w:rFonts w:eastAsia="Aptos"/>
                <w:b/>
                <w:noProof/>
                <w:sz w:val="22"/>
              </w:rPr>
              <w:t>1.2%-1.2%</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48DD4A96" w14:textId="77777777" w:rsidR="002A7266" w:rsidRPr="0056758D" w:rsidRDefault="002A7266" w:rsidP="00520AB4">
            <w:pPr>
              <w:jc w:val="center"/>
              <w:rPr>
                <w:rFonts w:eastAsia="Aptos"/>
                <w:b/>
                <w:noProof/>
                <w:sz w:val="22"/>
              </w:rPr>
            </w:pPr>
            <w:r w:rsidRPr="0056758D">
              <w:rPr>
                <w:rFonts w:eastAsia="Aptos"/>
                <w:b/>
                <w:noProof/>
                <w:sz w:val="22"/>
              </w:rPr>
              <w:t>1.2%-1.2%</w:t>
            </w:r>
          </w:p>
        </w:tc>
        <w:tc>
          <w:tcPr>
            <w:tcW w:w="1560"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6C832A7D" w14:textId="77777777" w:rsidR="002A7266" w:rsidRPr="0056758D" w:rsidRDefault="002A7266" w:rsidP="00520AB4">
            <w:pPr>
              <w:jc w:val="center"/>
              <w:rPr>
                <w:rFonts w:eastAsia="Aptos"/>
                <w:b/>
                <w:noProof/>
                <w:sz w:val="22"/>
              </w:rPr>
            </w:pPr>
            <w:r w:rsidRPr="0056758D">
              <w:rPr>
                <w:rFonts w:eastAsia="Aptos"/>
                <w:b/>
                <w:noProof/>
                <w:sz w:val="22"/>
              </w:rPr>
              <w:t>1.2%-1.2%</w:t>
            </w:r>
          </w:p>
        </w:tc>
        <w:tc>
          <w:tcPr>
            <w:tcW w:w="1558"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7F0200FB" w14:textId="77777777" w:rsidR="002A7266" w:rsidRPr="0056758D" w:rsidRDefault="002A7266" w:rsidP="00520AB4">
            <w:pPr>
              <w:jc w:val="center"/>
              <w:rPr>
                <w:rFonts w:eastAsia="Aptos"/>
                <w:b/>
                <w:noProof/>
                <w:sz w:val="22"/>
              </w:rPr>
            </w:pPr>
            <w:r w:rsidRPr="0056758D">
              <w:rPr>
                <w:rFonts w:eastAsia="Aptos"/>
                <w:b/>
                <w:noProof/>
                <w:sz w:val="22"/>
              </w:rPr>
              <w:t>1.2%-1.2%</w:t>
            </w:r>
          </w:p>
        </w:tc>
      </w:tr>
      <w:tr w:rsidR="00A32BA4" w:rsidRPr="002607E3" w14:paraId="6E45E138" w14:textId="77777777" w:rsidTr="00E56BA9">
        <w:trPr>
          <w:trHeight w:val="300"/>
        </w:trPr>
        <w:tc>
          <w:tcPr>
            <w:tcW w:w="1129" w:type="dxa"/>
            <w:vMerge/>
            <w:tcBorders>
              <w:left w:val="single" w:sz="2" w:space="0" w:color="000000" w:themeColor="text1"/>
              <w:bottom w:val="single" w:sz="2" w:space="0" w:color="000000" w:themeColor="text1"/>
              <w:right w:val="single" w:sz="2" w:space="0" w:color="000000" w:themeColor="text1"/>
            </w:tcBorders>
            <w:shd w:val="clear" w:color="auto" w:fill="DAE9F7" w:themeFill="text2" w:themeFillTint="1A"/>
            <w:tcMar>
              <w:left w:w="108" w:type="dxa"/>
              <w:right w:w="108" w:type="dxa"/>
            </w:tcMar>
          </w:tcPr>
          <w:p w14:paraId="3225334D" w14:textId="77777777" w:rsidR="002A7266" w:rsidRPr="0056758D" w:rsidRDefault="002A7266" w:rsidP="00520AB4">
            <w:pPr>
              <w:rPr>
                <w:rFonts w:eastAsia="Aptos"/>
                <w:b/>
                <w:noProof/>
                <w:sz w:val="22"/>
              </w:rPr>
            </w:pPr>
          </w:p>
        </w:tc>
        <w:tc>
          <w:tcPr>
            <w:tcW w:w="1985" w:type="dxa"/>
            <w:tcBorders>
              <w:top w:val="single" w:sz="8" w:space="0" w:color="auto"/>
              <w:left w:val="single" w:sz="2" w:space="0" w:color="000000" w:themeColor="text1"/>
              <w:bottom w:val="single" w:sz="8" w:space="0" w:color="auto"/>
              <w:right w:val="single" w:sz="8" w:space="0" w:color="auto"/>
            </w:tcBorders>
            <w:shd w:val="clear" w:color="auto" w:fill="DAE9F7" w:themeFill="text2" w:themeFillTint="1A"/>
            <w:tcMar>
              <w:left w:w="108" w:type="dxa"/>
              <w:right w:w="108" w:type="dxa"/>
            </w:tcMar>
          </w:tcPr>
          <w:p w14:paraId="582DD0A9" w14:textId="77777777" w:rsidR="002A7266" w:rsidRPr="0056758D" w:rsidRDefault="002A7266" w:rsidP="00520AB4">
            <w:pPr>
              <w:rPr>
                <w:rFonts w:eastAsia="Aptos"/>
                <w:b/>
                <w:noProof/>
                <w:sz w:val="22"/>
              </w:rPr>
            </w:pPr>
            <w:r w:rsidRPr="0056758D">
              <w:rPr>
                <w:rFonts w:eastAsia="Aptos"/>
                <w:b/>
                <w:noProof/>
                <w:sz w:val="22"/>
              </w:rPr>
              <w:t>EVs sold change (thousand)</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70AACC5E" w14:textId="5856BE43" w:rsidR="002A7266" w:rsidRPr="0056758D" w:rsidRDefault="002A7266" w:rsidP="00520AB4">
            <w:pPr>
              <w:jc w:val="center"/>
              <w:rPr>
                <w:rFonts w:eastAsia="Aptos"/>
                <w:b/>
                <w:noProof/>
                <w:sz w:val="22"/>
              </w:rPr>
            </w:pPr>
            <w:r w:rsidRPr="0056758D">
              <w:rPr>
                <w:rFonts w:eastAsia="Aptos"/>
                <w:b/>
                <w:noProof/>
                <w:sz w:val="22"/>
              </w:rPr>
              <w:t>(</w:t>
            </w:r>
            <w:r>
              <w:rPr>
                <w:rFonts w:eastAsia="Aptos"/>
                <w:b/>
                <w:noProof/>
                <w:sz w:val="22"/>
              </w:rPr>
              <w:t>–</w:t>
            </w:r>
            <w:r w:rsidRPr="0056758D">
              <w:rPr>
                <w:rFonts w:eastAsia="Aptos"/>
                <w:b/>
                <w:noProof/>
                <w:sz w:val="22"/>
              </w:rPr>
              <w:t>88.</w:t>
            </w:r>
            <w:r w:rsidR="0009576E" w:rsidRPr="0056758D">
              <w:rPr>
                <w:rFonts w:eastAsia="Aptos"/>
                <w:b/>
                <w:noProof/>
                <w:sz w:val="22"/>
              </w:rPr>
              <w:t>2) -(</w:t>
            </w:r>
            <w:r>
              <w:rPr>
                <w:rFonts w:eastAsia="Aptos"/>
                <w:b/>
                <w:noProof/>
                <w:sz w:val="22"/>
              </w:rPr>
              <w:t>–</w:t>
            </w:r>
            <w:r w:rsidRPr="0056758D">
              <w:rPr>
                <w:rFonts w:eastAsia="Aptos"/>
                <w:b/>
                <w:noProof/>
                <w:sz w:val="22"/>
              </w:rPr>
              <w:t>63.5)</w:t>
            </w:r>
          </w:p>
        </w:tc>
        <w:tc>
          <w:tcPr>
            <w:tcW w:w="1559"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636F1E58" w14:textId="0CBF8CF3" w:rsidR="002A7266" w:rsidRPr="0056758D" w:rsidRDefault="002A7266" w:rsidP="00520AB4">
            <w:pPr>
              <w:jc w:val="center"/>
              <w:rPr>
                <w:rFonts w:eastAsia="Aptos"/>
                <w:b/>
                <w:noProof/>
                <w:sz w:val="22"/>
              </w:rPr>
            </w:pPr>
            <w:r w:rsidRPr="0056758D">
              <w:rPr>
                <w:rFonts w:eastAsia="Aptos"/>
                <w:b/>
                <w:noProof/>
                <w:sz w:val="22"/>
              </w:rPr>
              <w:t>(</w:t>
            </w:r>
            <w:r>
              <w:rPr>
                <w:rFonts w:eastAsia="Aptos"/>
                <w:b/>
                <w:noProof/>
                <w:sz w:val="22"/>
              </w:rPr>
              <w:t>–</w:t>
            </w:r>
            <w:r w:rsidRPr="0056758D">
              <w:rPr>
                <w:rFonts w:eastAsia="Aptos"/>
                <w:b/>
                <w:noProof/>
                <w:sz w:val="22"/>
              </w:rPr>
              <w:t>75.</w:t>
            </w:r>
            <w:r w:rsidR="0009576E" w:rsidRPr="0056758D">
              <w:rPr>
                <w:rFonts w:eastAsia="Aptos"/>
                <w:b/>
                <w:noProof/>
                <w:sz w:val="22"/>
              </w:rPr>
              <w:t>4) -(</w:t>
            </w:r>
            <w:r>
              <w:rPr>
                <w:rFonts w:eastAsia="Aptos"/>
                <w:b/>
                <w:noProof/>
                <w:sz w:val="22"/>
              </w:rPr>
              <w:t>–</w:t>
            </w:r>
            <w:r w:rsidRPr="0056758D">
              <w:rPr>
                <w:rFonts w:eastAsia="Aptos"/>
                <w:b/>
                <w:noProof/>
                <w:sz w:val="22"/>
              </w:rPr>
              <w:t>75.9)</w:t>
            </w:r>
          </w:p>
        </w:tc>
        <w:tc>
          <w:tcPr>
            <w:tcW w:w="1560"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38EBFAE6" w14:textId="1D364CDB" w:rsidR="002A7266" w:rsidRPr="0056758D" w:rsidRDefault="002A7266" w:rsidP="00520AB4">
            <w:pPr>
              <w:jc w:val="center"/>
              <w:rPr>
                <w:rFonts w:eastAsia="Aptos"/>
                <w:b/>
                <w:noProof/>
                <w:sz w:val="22"/>
              </w:rPr>
            </w:pPr>
            <w:r w:rsidRPr="0056758D">
              <w:rPr>
                <w:rFonts w:eastAsia="Aptos"/>
                <w:b/>
                <w:noProof/>
                <w:sz w:val="22"/>
              </w:rPr>
              <w:t>(</w:t>
            </w:r>
            <w:r>
              <w:rPr>
                <w:rFonts w:eastAsia="Aptos"/>
                <w:b/>
                <w:noProof/>
                <w:sz w:val="22"/>
              </w:rPr>
              <w:t>–</w:t>
            </w:r>
            <w:r w:rsidRPr="0056758D">
              <w:rPr>
                <w:rFonts w:eastAsia="Aptos"/>
                <w:b/>
                <w:noProof/>
                <w:sz w:val="22"/>
              </w:rPr>
              <w:t>72.</w:t>
            </w:r>
            <w:r w:rsidR="0009576E" w:rsidRPr="0056758D">
              <w:rPr>
                <w:rFonts w:eastAsia="Aptos"/>
                <w:b/>
                <w:noProof/>
                <w:sz w:val="22"/>
              </w:rPr>
              <w:t>2) -(</w:t>
            </w:r>
            <w:r>
              <w:rPr>
                <w:rFonts w:eastAsia="Aptos"/>
                <w:b/>
                <w:noProof/>
                <w:sz w:val="22"/>
              </w:rPr>
              <w:t>–</w:t>
            </w:r>
            <w:r w:rsidRPr="0056758D">
              <w:rPr>
                <w:rFonts w:eastAsia="Aptos"/>
                <w:b/>
                <w:noProof/>
                <w:sz w:val="22"/>
              </w:rPr>
              <w:t>79.5)</w:t>
            </w:r>
          </w:p>
        </w:tc>
        <w:tc>
          <w:tcPr>
            <w:tcW w:w="1558" w:type="dxa"/>
            <w:tcBorders>
              <w:top w:val="single" w:sz="8" w:space="0" w:color="auto"/>
              <w:left w:val="single" w:sz="8" w:space="0" w:color="auto"/>
              <w:bottom w:val="single" w:sz="8" w:space="0" w:color="auto"/>
              <w:right w:val="single" w:sz="8" w:space="0" w:color="auto"/>
            </w:tcBorders>
            <w:shd w:val="clear" w:color="auto" w:fill="DAE9F7" w:themeFill="text2" w:themeFillTint="1A"/>
            <w:tcMar>
              <w:left w:w="0" w:type="dxa"/>
              <w:right w:w="0" w:type="dxa"/>
            </w:tcMar>
          </w:tcPr>
          <w:p w14:paraId="500516BB" w14:textId="2230A050" w:rsidR="002A7266" w:rsidRPr="0056758D" w:rsidRDefault="002A7266" w:rsidP="00520AB4">
            <w:pPr>
              <w:jc w:val="center"/>
              <w:rPr>
                <w:rFonts w:eastAsia="Aptos"/>
                <w:b/>
                <w:noProof/>
                <w:sz w:val="22"/>
              </w:rPr>
            </w:pPr>
            <w:r w:rsidRPr="0056758D">
              <w:rPr>
                <w:rFonts w:eastAsia="Aptos"/>
                <w:b/>
                <w:noProof/>
                <w:sz w:val="22"/>
              </w:rPr>
              <w:t>(</w:t>
            </w:r>
            <w:r>
              <w:rPr>
                <w:rFonts w:eastAsia="Aptos"/>
                <w:b/>
                <w:noProof/>
                <w:sz w:val="22"/>
              </w:rPr>
              <w:t>–</w:t>
            </w:r>
            <w:r w:rsidRPr="0056758D">
              <w:rPr>
                <w:rFonts w:eastAsia="Aptos"/>
                <w:b/>
                <w:noProof/>
                <w:sz w:val="22"/>
              </w:rPr>
              <w:t>72.</w:t>
            </w:r>
            <w:r w:rsidR="0009576E" w:rsidRPr="0056758D">
              <w:rPr>
                <w:rFonts w:eastAsia="Aptos"/>
                <w:b/>
                <w:noProof/>
                <w:sz w:val="22"/>
              </w:rPr>
              <w:t>2) -(</w:t>
            </w:r>
            <w:r>
              <w:rPr>
                <w:rFonts w:eastAsia="Aptos"/>
                <w:b/>
                <w:noProof/>
                <w:sz w:val="22"/>
              </w:rPr>
              <w:t>–</w:t>
            </w:r>
            <w:r w:rsidRPr="0056758D">
              <w:rPr>
                <w:rFonts w:eastAsia="Aptos"/>
                <w:b/>
                <w:noProof/>
                <w:sz w:val="22"/>
              </w:rPr>
              <w:t>79.5)</w:t>
            </w:r>
          </w:p>
        </w:tc>
      </w:tr>
    </w:tbl>
    <w:p w14:paraId="09DE00A8" w14:textId="77777777" w:rsidR="002A7266" w:rsidRDefault="002A7266" w:rsidP="002A7266">
      <w:pPr>
        <w:rPr>
          <w:noProof/>
        </w:rPr>
      </w:pPr>
    </w:p>
    <w:p w14:paraId="4F579B02" w14:textId="794D7A1B" w:rsidR="00AD277D" w:rsidRPr="006D6175" w:rsidRDefault="00AD277D" w:rsidP="00AD277D">
      <w:pPr>
        <w:rPr>
          <w:rFonts w:eastAsia="Aptos" w:cs="Times New Roman"/>
          <w:noProof/>
          <w:szCs w:val="24"/>
        </w:rPr>
      </w:pPr>
      <w:r w:rsidRPr="00AB06BD">
        <w:rPr>
          <w:rFonts w:eastAsia="Aptos" w:cs="Times New Roman"/>
          <w:noProof/>
          <w:szCs w:val="24"/>
        </w:rPr>
        <w:t>The cross-region elasticity is the parameter that most affects the results for EU EV manufacturers, vehicle component suppliers, and the value added generated. Demand elasticity is the parameter that most affects consumer behaviour. However, the sensitivity analysis shows the robustness of the results presented in the impact assessment, with values falling within a small range and not significantly affecting the policy's economic effects.</w:t>
      </w:r>
    </w:p>
    <w:p w14:paraId="3B83D311" w14:textId="77777777" w:rsidR="00B412BC" w:rsidRDefault="00B412BC" w:rsidP="00904D0A">
      <w:pPr>
        <w:rPr>
          <w:noProof/>
        </w:rPr>
      </w:pPr>
    </w:p>
    <w:p w14:paraId="0D12419F" w14:textId="04AB392C" w:rsidR="00C045DA" w:rsidRDefault="00C045DA" w:rsidP="00FD77E6">
      <w:pPr>
        <w:pStyle w:val="Heading2"/>
        <w:numPr>
          <w:ilvl w:val="0"/>
          <w:numId w:val="0"/>
        </w:numPr>
        <w:ind w:left="576"/>
      </w:pPr>
      <w:bookmarkStart w:id="1583" w:name="_Toc215506363"/>
      <w:bookmarkStart w:id="1584" w:name="_Toc222490071"/>
      <w:r>
        <w:t>Environmental benefits</w:t>
      </w:r>
      <w:bookmarkEnd w:id="1583"/>
      <w:bookmarkEnd w:id="1584"/>
      <w:r>
        <w:t xml:space="preserve"> </w:t>
      </w:r>
    </w:p>
    <w:p w14:paraId="399F1B28" w14:textId="77777777" w:rsidR="00724174" w:rsidRDefault="00724174" w:rsidP="00904D0A">
      <w:pPr>
        <w:rPr>
          <w:noProof/>
        </w:rPr>
      </w:pPr>
    </w:p>
    <w:p w14:paraId="60BEDBB7" w14:textId="254155A5" w:rsidR="009E1286" w:rsidRPr="00F261DB" w:rsidRDefault="566A3AE5" w:rsidP="00724174">
      <w:pPr>
        <w:rPr>
          <w:rFonts w:cs="Times New Roman"/>
          <w:noProof/>
          <w:szCs w:val="24"/>
        </w:rPr>
      </w:pPr>
      <w:r w:rsidRPr="0005249D" w:rsidDel="0055007B">
        <w:rPr>
          <w:b/>
          <w:bCs/>
          <w:noProof/>
        </w:rPr>
        <w:t>LEAD_EII</w:t>
      </w:r>
      <w:r w:rsidRPr="3F0F1197" w:rsidDel="0055007B">
        <w:rPr>
          <w:rFonts w:eastAsia="Aptos" w:cs="Times New Roman"/>
          <w:b/>
          <w:bCs/>
          <w:i/>
          <w:iCs/>
          <w:noProof/>
        </w:rPr>
        <w:t>, LEAD_BAT, LEAD</w:t>
      </w:r>
      <w:r w:rsidRPr="3F0F1197">
        <w:rPr>
          <w:rFonts w:eastAsia="Aptos" w:cs="Times New Roman"/>
          <w:b/>
          <w:bCs/>
          <w:i/>
          <w:iCs/>
          <w:noProof/>
        </w:rPr>
        <w:t>_SOL and</w:t>
      </w:r>
      <w:r w:rsidRPr="3F0F1197" w:rsidDel="0055007B">
        <w:rPr>
          <w:rFonts w:eastAsia="Aptos" w:cs="Times New Roman"/>
          <w:b/>
          <w:bCs/>
          <w:i/>
          <w:iCs/>
          <w:noProof/>
        </w:rPr>
        <w:t xml:space="preserve"> LEAD</w:t>
      </w:r>
      <w:r w:rsidRPr="3F0F1197">
        <w:rPr>
          <w:rFonts w:eastAsia="Aptos" w:cs="Times New Roman"/>
          <w:b/>
          <w:bCs/>
          <w:i/>
          <w:iCs/>
          <w:noProof/>
        </w:rPr>
        <w:t>_VC</w:t>
      </w:r>
      <w:r w:rsidRPr="3F0F1197" w:rsidDel="0055007B">
        <w:rPr>
          <w:rFonts w:eastAsia="Aptos" w:cs="Times New Roman"/>
          <w:b/>
          <w:bCs/>
          <w:i/>
          <w:iCs/>
          <w:noProof/>
        </w:rPr>
        <w:t xml:space="preserve">: </w:t>
      </w:r>
      <w:r w:rsidRPr="00434F9E" w:rsidDel="0055007B">
        <w:rPr>
          <w:rFonts w:cs="Times New Roman"/>
          <w:noProof/>
        </w:rPr>
        <w:t xml:space="preserve">In relation to the monetisation of </w:t>
      </w:r>
      <w:r>
        <w:rPr>
          <w:rFonts w:cs="Times New Roman"/>
          <w:noProof/>
        </w:rPr>
        <w:t>GHG</w:t>
      </w:r>
      <w:r w:rsidRPr="00434F9E" w:rsidDel="0055007B">
        <w:rPr>
          <w:rFonts w:cs="Times New Roman"/>
          <w:noProof/>
        </w:rPr>
        <w:t xml:space="preserve"> emissions, a cost of carbon is used</w:t>
      </w:r>
      <w:r w:rsidR="00724174" w:rsidRPr="00434F9E" w:rsidDel="0055007B">
        <w:rPr>
          <w:rStyle w:val="FootnoteReference"/>
          <w:rFonts w:cs="Times New Roman"/>
          <w:noProof/>
        </w:rPr>
        <w:footnoteReference w:id="712"/>
      </w:r>
      <w:r w:rsidRPr="00434F9E" w:rsidDel="0055007B">
        <w:rPr>
          <w:rFonts w:cs="Times New Roman"/>
          <w:noProof/>
        </w:rPr>
        <w:t xml:space="preserve">. Figures underpinning the analysis are below, and the 2030 value used of </w:t>
      </w:r>
      <w:r w:rsidR="0024166C" w:rsidRPr="3F0F1197">
        <w:rPr>
          <w:rFonts w:cs="Times New Roman"/>
          <w:noProof/>
        </w:rPr>
        <w:t xml:space="preserve">EUR </w:t>
      </w:r>
      <w:r w:rsidR="381F1102">
        <w:rPr>
          <w:rFonts w:cs="Times New Roman"/>
          <w:noProof/>
        </w:rPr>
        <w:t>60-189</w:t>
      </w:r>
      <w:r w:rsidRPr="00434F9E" w:rsidDel="0055007B">
        <w:rPr>
          <w:rFonts w:cs="Times New Roman"/>
          <w:noProof/>
        </w:rPr>
        <w:t xml:space="preserve"> per tCO</w:t>
      </w:r>
      <w:r w:rsidRPr="3F0F1197" w:rsidDel="0055007B">
        <w:rPr>
          <w:rFonts w:asciiTheme="minorHAnsi" w:hAnsiTheme="minorHAnsi" w:cs="Times New Roman"/>
          <w:noProof/>
          <w:sz w:val="22"/>
          <w:vertAlign w:val="subscript"/>
        </w:rPr>
        <w:t>2</w:t>
      </w:r>
      <w:r w:rsidRPr="00434F9E" w:rsidDel="0055007B">
        <w:rPr>
          <w:rFonts w:cs="Times New Roman"/>
          <w:noProof/>
        </w:rPr>
        <w:t>eq</w:t>
      </w:r>
      <w:r w:rsidR="0D61274F">
        <w:rPr>
          <w:rFonts w:cs="Times New Roman"/>
          <w:noProof/>
        </w:rPr>
        <w:t xml:space="preserve"> used to give an estimation of the benefit range</w:t>
      </w:r>
      <w:r w:rsidRPr="00434F9E" w:rsidDel="0055007B">
        <w:rPr>
          <w:rFonts w:cs="Times New Roman"/>
          <w:noProof/>
        </w:rPr>
        <w:t xml:space="preserve">. This is an approximation, and no variation is made to reflect the time profile of when emissions will occur. </w:t>
      </w:r>
    </w:p>
    <w:p w14:paraId="726C75DD" w14:textId="5DD2441F" w:rsidR="00724174" w:rsidRPr="0005249D" w:rsidDel="0055007B" w:rsidRDefault="00724174" w:rsidP="00724174">
      <w:pPr>
        <w:rPr>
          <w:b/>
          <w:bCs/>
          <w:noProof/>
        </w:rPr>
      </w:pPr>
    </w:p>
    <w:p w14:paraId="45F28710" w14:textId="77777777" w:rsidR="00724174" w:rsidRDefault="00724174" w:rsidP="00724174">
      <w:pPr>
        <w:rPr>
          <w:rFonts w:eastAsia="Times New Roman" w:cs="Times New Roman"/>
          <w:b/>
          <w:noProof/>
          <w:color w:val="000000" w:themeColor="text1"/>
        </w:rPr>
      </w:pPr>
      <w:r w:rsidRPr="0005249D" w:rsidDel="0055007B">
        <w:rPr>
          <w:b/>
          <w:bCs/>
          <w:noProof/>
        </w:rPr>
        <w:t xml:space="preserve">Values in current </w:t>
      </w:r>
      <w:r w:rsidRPr="008A354D">
        <w:rPr>
          <w:b/>
          <w:bCs/>
          <w:noProof/>
        </w:rPr>
        <w:t xml:space="preserve">EUR </w:t>
      </w:r>
      <w:r w:rsidRPr="0005249D" w:rsidDel="0055007B">
        <w:rPr>
          <w:b/>
          <w:bCs/>
          <w:noProof/>
        </w:rPr>
        <w:t xml:space="preserve">per </w:t>
      </w:r>
      <w:r w:rsidRPr="0005249D" w:rsidDel="0055007B">
        <w:rPr>
          <w:b/>
          <w:noProof/>
        </w:rPr>
        <w:t>tCO</w:t>
      </w:r>
      <w:r w:rsidRPr="617D0D8B">
        <w:rPr>
          <w:rFonts w:eastAsia="Times New Roman" w:cs="Times New Roman"/>
          <w:b/>
          <w:noProof/>
          <w:color w:val="000000" w:themeColor="text1"/>
        </w:rPr>
        <w:t>2</w:t>
      </w:r>
    </w:p>
    <w:p w14:paraId="04343A52" w14:textId="77777777" w:rsidR="00724174" w:rsidRPr="00F261DB" w:rsidRDefault="00724174" w:rsidP="00724174">
      <w:pPr>
        <w:pStyle w:val="JRCText"/>
        <w:spacing w:after="0" w:line="240" w:lineRule="auto"/>
        <w:jc w:val="both"/>
        <w:rPr>
          <w:rFonts w:ascii="Times New Roman" w:eastAsia="Times New Roman" w:hAnsi="Times New Roman" w:cs="Times New Roman"/>
          <w:b/>
          <w:noProof/>
          <w:color w:val="000000" w:themeColor="text1"/>
          <w:sz w:val="24"/>
          <w:szCs w:val="24"/>
        </w:rPr>
      </w:pPr>
    </w:p>
    <w:tbl>
      <w:tblPr>
        <w:tblStyle w:val="TableGrid"/>
        <w:tblW w:w="5000" w:type="pct"/>
        <w:jc w:val="center"/>
        <w:tblInd w:w="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249"/>
        <w:gridCol w:w="2249"/>
        <w:gridCol w:w="2249"/>
        <w:gridCol w:w="2249"/>
      </w:tblGrid>
      <w:tr w:rsidR="00724174" w:rsidRPr="00F261DB" w14:paraId="2604BC02" w14:textId="77777777" w:rsidTr="005E6828">
        <w:trPr>
          <w:jc w:val="center"/>
        </w:trPr>
        <w:tc>
          <w:tcPr>
            <w:tcW w:w="1250" w:type="pct"/>
          </w:tcPr>
          <w:p w14:paraId="62AE1688"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p>
        </w:tc>
        <w:tc>
          <w:tcPr>
            <w:tcW w:w="1250" w:type="pct"/>
          </w:tcPr>
          <w:p w14:paraId="4BA348D4"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Low</w:t>
            </w:r>
          </w:p>
        </w:tc>
        <w:tc>
          <w:tcPr>
            <w:tcW w:w="1250" w:type="pct"/>
          </w:tcPr>
          <w:p w14:paraId="522DDCA8"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Central</w:t>
            </w:r>
          </w:p>
        </w:tc>
        <w:tc>
          <w:tcPr>
            <w:tcW w:w="1250" w:type="pct"/>
          </w:tcPr>
          <w:p w14:paraId="44770B99"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High</w:t>
            </w:r>
          </w:p>
        </w:tc>
      </w:tr>
      <w:tr w:rsidR="00724174" w:rsidRPr="00F261DB" w14:paraId="0B6382DE" w14:textId="77777777" w:rsidTr="005E6828">
        <w:trPr>
          <w:jc w:val="center"/>
        </w:trPr>
        <w:tc>
          <w:tcPr>
            <w:tcW w:w="1250" w:type="pct"/>
          </w:tcPr>
          <w:p w14:paraId="1EAD60E3"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Up to 2030</w:t>
            </w:r>
          </w:p>
        </w:tc>
        <w:tc>
          <w:tcPr>
            <w:tcW w:w="1250" w:type="pct"/>
          </w:tcPr>
          <w:p w14:paraId="7C6A94DD"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60</w:t>
            </w:r>
          </w:p>
        </w:tc>
        <w:tc>
          <w:tcPr>
            <w:tcW w:w="1250" w:type="pct"/>
          </w:tcPr>
          <w:p w14:paraId="1FDDEF87"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100</w:t>
            </w:r>
          </w:p>
        </w:tc>
        <w:tc>
          <w:tcPr>
            <w:tcW w:w="1250" w:type="pct"/>
          </w:tcPr>
          <w:p w14:paraId="203AD0A8"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189</w:t>
            </w:r>
          </w:p>
        </w:tc>
      </w:tr>
      <w:tr w:rsidR="00724174" w:rsidRPr="00F261DB" w14:paraId="33449D6F" w14:textId="77777777" w:rsidTr="005E6828">
        <w:trPr>
          <w:jc w:val="center"/>
        </w:trPr>
        <w:tc>
          <w:tcPr>
            <w:tcW w:w="1250" w:type="pct"/>
          </w:tcPr>
          <w:p w14:paraId="03A03D38"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Post 2030</w:t>
            </w:r>
          </w:p>
        </w:tc>
        <w:tc>
          <w:tcPr>
            <w:tcW w:w="1250" w:type="pct"/>
          </w:tcPr>
          <w:p w14:paraId="35593428"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156</w:t>
            </w:r>
          </w:p>
        </w:tc>
        <w:tc>
          <w:tcPr>
            <w:tcW w:w="1250" w:type="pct"/>
          </w:tcPr>
          <w:p w14:paraId="3A32BFD1"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269</w:t>
            </w:r>
          </w:p>
        </w:tc>
        <w:tc>
          <w:tcPr>
            <w:tcW w:w="1250" w:type="pct"/>
          </w:tcPr>
          <w:p w14:paraId="47F5943C" w14:textId="77777777" w:rsidR="00724174" w:rsidRPr="00F261DB" w:rsidRDefault="00724174">
            <w:pPr>
              <w:pStyle w:val="JRCText"/>
              <w:spacing w:after="0" w:line="240" w:lineRule="auto"/>
              <w:jc w:val="both"/>
              <w:rPr>
                <w:rFonts w:ascii="Times New Roman" w:hAnsi="Times New Roman"/>
                <w:noProof/>
                <w:color w:val="000000" w:themeColor="text1"/>
                <w:sz w:val="24"/>
                <w:szCs w:val="24"/>
              </w:rPr>
            </w:pPr>
            <w:r w:rsidRPr="00434F9E" w:rsidDel="0055007B">
              <w:rPr>
                <w:rFonts w:ascii="Times New Roman" w:hAnsi="Times New Roman"/>
                <w:noProof/>
                <w:color w:val="000000" w:themeColor="text1"/>
                <w:szCs w:val="24"/>
              </w:rPr>
              <w:t>498</w:t>
            </w:r>
          </w:p>
        </w:tc>
      </w:tr>
    </w:tbl>
    <w:p w14:paraId="2C48BDDA" w14:textId="77777777" w:rsidR="00724174" w:rsidRDefault="00724174" w:rsidP="00904D0A">
      <w:pPr>
        <w:rPr>
          <w:noProof/>
        </w:rPr>
      </w:pPr>
    </w:p>
    <w:p w14:paraId="3A89CA9F" w14:textId="77777777" w:rsidR="00904D0A" w:rsidRDefault="00904D0A" w:rsidP="00904D0A">
      <w:pPr>
        <w:rPr>
          <w:noProof/>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50"/>
        <w:gridCol w:w="2251"/>
        <w:gridCol w:w="2251"/>
      </w:tblGrid>
      <w:tr w:rsidR="00E24B5B" w:rsidRPr="00434F9E" w14:paraId="265566A2" w14:textId="77777777" w:rsidTr="0033490D">
        <w:trPr>
          <w:tblHeader/>
        </w:trPr>
        <w:tc>
          <w:tcPr>
            <w:tcW w:w="2400" w:type="dxa"/>
          </w:tcPr>
          <w:p w14:paraId="532F0855" w14:textId="77777777" w:rsidR="00904D0A" w:rsidRPr="00E71388" w:rsidRDefault="00904D0A">
            <w:pPr>
              <w:pStyle w:val="JRCText"/>
              <w:jc w:val="both"/>
              <w:rPr>
                <w:rFonts w:ascii="Times New Roman" w:hAnsi="Times New Roman"/>
                <w:noProof/>
                <w:sz w:val="24"/>
                <w:szCs w:val="24"/>
              </w:rPr>
            </w:pPr>
          </w:p>
        </w:tc>
        <w:tc>
          <w:tcPr>
            <w:tcW w:w="2400" w:type="dxa"/>
            <w:shd w:val="clear" w:color="auto" w:fill="0070C0"/>
            <w:vAlign w:val="center"/>
          </w:tcPr>
          <w:p w14:paraId="4E5F8529" w14:textId="77777777" w:rsidR="00904D0A" w:rsidRPr="00E71388" w:rsidRDefault="00904D0A">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PO1</w:t>
            </w:r>
          </w:p>
        </w:tc>
        <w:tc>
          <w:tcPr>
            <w:tcW w:w="2401" w:type="dxa"/>
            <w:shd w:val="clear" w:color="auto" w:fill="0070C0"/>
            <w:vAlign w:val="center"/>
          </w:tcPr>
          <w:p w14:paraId="41845F65" w14:textId="77777777" w:rsidR="00904D0A" w:rsidRPr="00E71388" w:rsidRDefault="00904D0A">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PO2</w:t>
            </w:r>
          </w:p>
        </w:tc>
        <w:tc>
          <w:tcPr>
            <w:tcW w:w="2401" w:type="dxa"/>
            <w:shd w:val="clear" w:color="auto" w:fill="0070C0"/>
            <w:vAlign w:val="center"/>
          </w:tcPr>
          <w:p w14:paraId="0E4C75F1" w14:textId="77777777" w:rsidR="00904D0A" w:rsidRPr="00E71388" w:rsidRDefault="00904D0A">
            <w:pPr>
              <w:pStyle w:val="JRCText"/>
              <w:jc w:val="center"/>
              <w:rPr>
                <w:rFonts w:ascii="Times New Roman" w:hAnsi="Times New Roman"/>
                <w:b/>
                <w:noProof/>
                <w:color w:val="FFFFFF" w:themeColor="background1"/>
                <w:sz w:val="24"/>
                <w:szCs w:val="24"/>
              </w:rPr>
            </w:pPr>
            <w:r w:rsidRPr="00E71388">
              <w:rPr>
                <w:rFonts w:ascii="Times New Roman" w:hAnsi="Times New Roman"/>
                <w:b/>
                <w:noProof/>
                <w:color w:val="FFFFFF" w:themeColor="background1"/>
                <w:sz w:val="24"/>
                <w:szCs w:val="24"/>
              </w:rPr>
              <w:t>PO3</w:t>
            </w:r>
          </w:p>
        </w:tc>
      </w:tr>
      <w:tr w:rsidR="00DF3592" w:rsidRPr="00434F9E" w14:paraId="7509D0EE" w14:textId="77777777" w:rsidTr="3E45D101">
        <w:tc>
          <w:tcPr>
            <w:tcW w:w="2400" w:type="dxa"/>
            <w:vAlign w:val="center"/>
          </w:tcPr>
          <w:p w14:paraId="354F24A7" w14:textId="77777777" w:rsidR="00904D0A" w:rsidRPr="00E71388" w:rsidRDefault="00904D0A" w:rsidP="3E45D101">
            <w:pPr>
              <w:pStyle w:val="JRCText"/>
              <w:jc w:val="center"/>
              <w:rPr>
                <w:rFonts w:ascii="Times New Roman" w:hAnsi="Times New Roman"/>
                <w:i/>
                <w:iCs/>
                <w:noProof/>
                <w:sz w:val="24"/>
                <w:szCs w:val="24"/>
              </w:rPr>
            </w:pPr>
            <w:r w:rsidRPr="3E45D101">
              <w:rPr>
                <w:rFonts w:ascii="Times New Roman" w:hAnsi="Times New Roman"/>
                <w:i/>
                <w:iCs/>
                <w:noProof/>
                <w:sz w:val="24"/>
                <w:szCs w:val="24"/>
              </w:rPr>
              <w:t>LEAD_EII (low-carbon steel and cement)</w:t>
            </w:r>
          </w:p>
        </w:tc>
        <w:tc>
          <w:tcPr>
            <w:tcW w:w="2400" w:type="dxa"/>
            <w:vAlign w:val="center"/>
          </w:tcPr>
          <w:p w14:paraId="4B2471E3" w14:textId="1F869C69" w:rsidR="00904D0A" w:rsidRDefault="00904D0A">
            <w:pPr>
              <w:pStyle w:val="JRCText"/>
              <w:jc w:val="center"/>
              <w:rPr>
                <w:rFonts w:ascii="Times New Roman" w:hAnsi="Times New Roman"/>
                <w:noProof/>
              </w:rPr>
            </w:pPr>
            <w:r w:rsidRPr="24E3F2C8">
              <w:rPr>
                <w:rFonts w:ascii="Times New Roman" w:hAnsi="Times New Roman"/>
                <w:noProof/>
              </w:rPr>
              <w:t>Total</w:t>
            </w:r>
            <w:r w:rsidR="00183836" w:rsidRPr="24E3F2C8">
              <w:rPr>
                <w:rFonts w:ascii="Times New Roman" w:hAnsi="Times New Roman"/>
                <w:noProof/>
              </w:rPr>
              <w:t xml:space="preserve"> steel</w:t>
            </w:r>
            <w:r w:rsidR="00A15E55">
              <w:rPr>
                <w:rFonts w:ascii="Times New Roman" w:hAnsi="Times New Roman"/>
                <w:noProof/>
              </w:rPr>
              <w:t xml:space="preserve">, </w:t>
            </w:r>
            <w:r w:rsidR="00183836" w:rsidRPr="24E3F2C8">
              <w:rPr>
                <w:rFonts w:ascii="Times New Roman" w:hAnsi="Times New Roman"/>
                <w:noProof/>
              </w:rPr>
              <w:t>cement</w:t>
            </w:r>
            <w:r w:rsidR="00A15E55">
              <w:rPr>
                <w:rFonts w:ascii="Times New Roman" w:hAnsi="Times New Roman"/>
                <w:noProof/>
              </w:rPr>
              <w:t xml:space="preserve"> and aluminium</w:t>
            </w:r>
            <w:r w:rsidRPr="24E3F2C8">
              <w:rPr>
                <w:rFonts w:ascii="Times New Roman" w:hAnsi="Times New Roman"/>
                <w:noProof/>
              </w:rPr>
              <w:t xml:space="preserve">: </w:t>
            </w:r>
            <w:r w:rsidR="00825115" w:rsidRPr="00B267DD">
              <w:rPr>
                <w:rFonts w:ascii="Times New Roman" w:hAnsi="Times New Roman"/>
                <w:noProof/>
                <w:lang w:val="en-IE"/>
              </w:rPr>
              <w:t>4.28</w:t>
            </w:r>
            <w:r w:rsidR="00284425" w:rsidRPr="00B267DD">
              <w:rPr>
                <w:rFonts w:ascii="Times New Roman" w:hAnsi="Times New Roman"/>
                <w:noProof/>
                <w:lang w:val="en-IE"/>
              </w:rPr>
              <w:t xml:space="preserve"> Mtonnes</w:t>
            </w:r>
            <w:r w:rsidR="00284425">
              <w:rPr>
                <w:rFonts w:ascii="Times New Roman" w:hAnsi="Times New Roman"/>
                <w:noProof/>
              </w:rPr>
              <w:t xml:space="preserve"> </w:t>
            </w:r>
            <w:r w:rsidRPr="24E3F2C8">
              <w:rPr>
                <w:rFonts w:ascii="Times New Roman" w:hAnsi="Times New Roman"/>
                <w:noProof/>
              </w:rPr>
              <w:t>CO</w:t>
            </w:r>
            <w:r w:rsidRPr="00825115">
              <w:rPr>
                <w:rFonts w:ascii="Times New Roman" w:hAnsi="Times New Roman"/>
                <w:noProof/>
                <w:vertAlign w:val="subscript"/>
              </w:rPr>
              <w:t>2</w:t>
            </w:r>
            <w:r w:rsidRPr="24E3F2C8">
              <w:rPr>
                <w:rFonts w:ascii="Times New Roman" w:hAnsi="Times New Roman"/>
                <w:noProof/>
              </w:rPr>
              <w:t xml:space="preserve"> (EUR </w:t>
            </w:r>
            <w:r w:rsidR="00CC670C">
              <w:rPr>
                <w:rFonts w:ascii="Times New Roman" w:hAnsi="Times New Roman"/>
                <w:noProof/>
              </w:rPr>
              <w:t>428</w:t>
            </w:r>
            <w:r w:rsidR="00CB20D8">
              <w:rPr>
                <w:rFonts w:ascii="Times New Roman" w:hAnsi="Times New Roman"/>
                <w:noProof/>
              </w:rPr>
              <w:t xml:space="preserve">  </w:t>
            </w:r>
            <w:r w:rsidRPr="24E3F2C8">
              <w:rPr>
                <w:rFonts w:ascii="Times New Roman" w:hAnsi="Times New Roman"/>
                <w:noProof/>
              </w:rPr>
              <w:t xml:space="preserve"> million)</w:t>
            </w:r>
          </w:p>
          <w:p w14:paraId="5031E8C1" w14:textId="205D1A1F" w:rsidR="00904D0A" w:rsidRPr="00E71388" w:rsidRDefault="00904D0A">
            <w:pPr>
              <w:pStyle w:val="JRCText"/>
              <w:jc w:val="center"/>
              <w:rPr>
                <w:rFonts w:ascii="Times New Roman" w:hAnsi="Times New Roman"/>
                <w:noProof/>
                <w:szCs w:val="22"/>
              </w:rPr>
            </w:pPr>
            <w:r w:rsidRPr="000C02DA">
              <w:rPr>
                <w:rFonts w:ascii="Times New Roman" w:hAnsi="Times New Roman"/>
                <w:noProof/>
                <w:color w:val="FF0000"/>
                <w:szCs w:val="22"/>
              </w:rPr>
              <w:t>Sensitivity</w:t>
            </w:r>
            <w:r w:rsidR="00271260">
              <w:rPr>
                <w:rFonts w:ascii="Times New Roman" w:hAnsi="Times New Roman"/>
                <w:noProof/>
                <w:color w:val="FF0000"/>
                <w:szCs w:val="22"/>
              </w:rPr>
              <w:t xml:space="preserve">: </w:t>
            </w:r>
            <w:r w:rsidR="00DF6E09">
              <w:rPr>
                <w:rFonts w:ascii="Times New Roman" w:hAnsi="Times New Roman"/>
                <w:noProof/>
                <w:color w:val="FF0000"/>
                <w:szCs w:val="22"/>
              </w:rPr>
              <w:t xml:space="preserve">EUR </w:t>
            </w:r>
            <w:r w:rsidR="00E01247">
              <w:rPr>
                <w:rFonts w:ascii="Times New Roman" w:hAnsi="Times New Roman"/>
                <w:noProof/>
                <w:color w:val="FF0000"/>
                <w:szCs w:val="22"/>
              </w:rPr>
              <w:t>2</w:t>
            </w:r>
            <w:r w:rsidR="000F0FC7">
              <w:rPr>
                <w:rFonts w:ascii="Times New Roman" w:hAnsi="Times New Roman"/>
                <w:noProof/>
                <w:color w:val="FF0000"/>
                <w:szCs w:val="22"/>
              </w:rPr>
              <w:t>56</w:t>
            </w:r>
            <w:r w:rsidR="00E01247">
              <w:rPr>
                <w:rFonts w:ascii="Times New Roman" w:hAnsi="Times New Roman"/>
                <w:noProof/>
                <w:color w:val="FF0000"/>
                <w:szCs w:val="22"/>
              </w:rPr>
              <w:t xml:space="preserve"> </w:t>
            </w:r>
            <w:r w:rsidR="005C7E76">
              <w:rPr>
                <w:rFonts w:ascii="Times New Roman" w:hAnsi="Times New Roman"/>
                <w:noProof/>
                <w:color w:val="FF0000"/>
                <w:szCs w:val="22"/>
              </w:rPr>
              <w:t>million</w:t>
            </w:r>
            <w:r w:rsidRPr="000C02DA">
              <w:rPr>
                <w:rFonts w:ascii="Times New Roman" w:hAnsi="Times New Roman"/>
                <w:noProof/>
                <w:color w:val="FF0000"/>
                <w:szCs w:val="22"/>
              </w:rPr>
              <w:t xml:space="preserve"> </w:t>
            </w:r>
            <w:r w:rsidR="00E01247">
              <w:rPr>
                <w:rFonts w:ascii="Times New Roman" w:hAnsi="Times New Roman"/>
                <w:noProof/>
                <w:color w:val="FF0000"/>
                <w:szCs w:val="22"/>
              </w:rPr>
              <w:t xml:space="preserve">to EUR </w:t>
            </w:r>
            <w:r w:rsidR="00A72348">
              <w:rPr>
                <w:rFonts w:ascii="Times New Roman" w:hAnsi="Times New Roman"/>
                <w:noProof/>
                <w:color w:val="FF0000"/>
                <w:szCs w:val="22"/>
              </w:rPr>
              <w:t xml:space="preserve">809 </w:t>
            </w:r>
            <w:r w:rsidRPr="000C02DA">
              <w:rPr>
                <w:rFonts w:ascii="Times New Roman" w:hAnsi="Times New Roman"/>
                <w:noProof/>
                <w:color w:val="FF0000"/>
                <w:szCs w:val="22"/>
              </w:rPr>
              <w:t>million</w:t>
            </w:r>
          </w:p>
        </w:tc>
        <w:tc>
          <w:tcPr>
            <w:tcW w:w="2401" w:type="dxa"/>
            <w:vAlign w:val="center"/>
          </w:tcPr>
          <w:p w14:paraId="10231D3C" w14:textId="2C579DCF" w:rsidR="00904D0A" w:rsidRDefault="00904D0A">
            <w:pPr>
              <w:pStyle w:val="JRCText"/>
              <w:jc w:val="center"/>
              <w:rPr>
                <w:rFonts w:ascii="Times New Roman" w:hAnsi="Times New Roman"/>
                <w:noProof/>
              </w:rPr>
            </w:pPr>
            <w:r w:rsidRPr="24E3F2C8">
              <w:rPr>
                <w:rFonts w:ascii="Times New Roman" w:hAnsi="Times New Roman"/>
                <w:noProof/>
              </w:rPr>
              <w:t>Total</w:t>
            </w:r>
            <w:r w:rsidR="00183836" w:rsidRPr="24E3F2C8">
              <w:rPr>
                <w:rFonts w:ascii="Times New Roman" w:hAnsi="Times New Roman"/>
                <w:noProof/>
              </w:rPr>
              <w:t xml:space="preserve"> steel</w:t>
            </w:r>
            <w:r w:rsidR="00A15E55">
              <w:rPr>
                <w:rFonts w:ascii="Times New Roman" w:hAnsi="Times New Roman"/>
                <w:noProof/>
              </w:rPr>
              <w:t xml:space="preserve">, </w:t>
            </w:r>
            <w:r w:rsidR="00183836" w:rsidRPr="24E3F2C8">
              <w:rPr>
                <w:rFonts w:ascii="Times New Roman" w:hAnsi="Times New Roman"/>
                <w:noProof/>
              </w:rPr>
              <w:t>cement</w:t>
            </w:r>
            <w:r w:rsidR="00A15E55">
              <w:rPr>
                <w:rFonts w:ascii="Times New Roman" w:hAnsi="Times New Roman"/>
                <w:noProof/>
              </w:rPr>
              <w:t xml:space="preserve"> and </w:t>
            </w:r>
            <w:r w:rsidR="00825115">
              <w:rPr>
                <w:rFonts w:ascii="Times New Roman" w:hAnsi="Times New Roman"/>
                <w:noProof/>
              </w:rPr>
              <w:t>aluminium</w:t>
            </w:r>
            <w:r w:rsidRPr="24E3F2C8">
              <w:rPr>
                <w:rFonts w:ascii="Times New Roman" w:hAnsi="Times New Roman"/>
                <w:noProof/>
              </w:rPr>
              <w:t xml:space="preserve">: </w:t>
            </w:r>
            <w:r w:rsidR="00281DBE">
              <w:rPr>
                <w:rFonts w:ascii="Times New Roman" w:hAnsi="Times New Roman"/>
                <w:noProof/>
              </w:rPr>
              <w:t>4.28</w:t>
            </w:r>
            <w:r w:rsidR="00284425">
              <w:rPr>
                <w:rFonts w:ascii="Times New Roman" w:hAnsi="Times New Roman"/>
                <w:noProof/>
              </w:rPr>
              <w:t xml:space="preserve"> Mtonnes </w:t>
            </w:r>
            <w:r w:rsidRPr="24E3F2C8">
              <w:rPr>
                <w:rFonts w:ascii="Times New Roman" w:hAnsi="Times New Roman"/>
                <w:noProof/>
              </w:rPr>
              <w:t>CO</w:t>
            </w:r>
            <w:r w:rsidRPr="00825115">
              <w:rPr>
                <w:rFonts w:ascii="Times New Roman" w:hAnsi="Times New Roman"/>
                <w:noProof/>
                <w:vertAlign w:val="subscript"/>
              </w:rPr>
              <w:t>2</w:t>
            </w:r>
            <w:r w:rsidRPr="24E3F2C8">
              <w:rPr>
                <w:rFonts w:ascii="Times New Roman" w:hAnsi="Times New Roman"/>
                <w:noProof/>
              </w:rPr>
              <w:t xml:space="preserve"> (EUR </w:t>
            </w:r>
            <w:r w:rsidR="00B8136D">
              <w:rPr>
                <w:rFonts w:ascii="Times New Roman" w:hAnsi="Times New Roman"/>
                <w:noProof/>
              </w:rPr>
              <w:t>428</w:t>
            </w:r>
            <w:r w:rsidR="00CB20D8">
              <w:rPr>
                <w:rFonts w:ascii="Times New Roman" w:hAnsi="Times New Roman"/>
                <w:noProof/>
              </w:rPr>
              <w:t xml:space="preserve"> </w:t>
            </w:r>
            <w:r w:rsidR="00281DBE">
              <w:rPr>
                <w:rFonts w:ascii="Times New Roman" w:hAnsi="Times New Roman"/>
                <w:noProof/>
              </w:rPr>
              <w:t>million</w:t>
            </w:r>
            <w:r w:rsidRPr="24E3F2C8">
              <w:rPr>
                <w:rFonts w:ascii="Times New Roman" w:hAnsi="Times New Roman"/>
                <w:noProof/>
              </w:rPr>
              <w:t>)</w:t>
            </w:r>
          </w:p>
          <w:p w14:paraId="2E2530D5" w14:textId="6B22F2D7" w:rsidR="00904D0A" w:rsidRPr="00E71388" w:rsidRDefault="00D3330D" w:rsidP="3E45D101">
            <w:pPr>
              <w:pStyle w:val="JRCText"/>
              <w:jc w:val="center"/>
              <w:rPr>
                <w:rFonts w:ascii="Times New Roman" w:hAnsi="Times New Roman"/>
                <w:noProof/>
              </w:rPr>
            </w:pPr>
            <w:r w:rsidRPr="000C02DA">
              <w:rPr>
                <w:rFonts w:ascii="Times New Roman" w:hAnsi="Times New Roman"/>
                <w:noProof/>
                <w:color w:val="FF0000"/>
                <w:szCs w:val="22"/>
              </w:rPr>
              <w:t>Sensitivity</w:t>
            </w:r>
            <w:r>
              <w:rPr>
                <w:rFonts w:ascii="Times New Roman" w:hAnsi="Times New Roman"/>
                <w:noProof/>
                <w:color w:val="FF0000"/>
                <w:szCs w:val="22"/>
              </w:rPr>
              <w:t xml:space="preserve">: EUR </w:t>
            </w:r>
            <w:r w:rsidR="00722CCA">
              <w:rPr>
                <w:rFonts w:ascii="Times New Roman" w:hAnsi="Times New Roman"/>
                <w:noProof/>
                <w:color w:val="FF0000"/>
                <w:szCs w:val="22"/>
              </w:rPr>
              <w:t xml:space="preserve">256 million to EUR </w:t>
            </w:r>
            <w:r w:rsidR="00A72348">
              <w:rPr>
                <w:rFonts w:ascii="Times New Roman" w:hAnsi="Times New Roman"/>
                <w:noProof/>
                <w:color w:val="FF0000"/>
                <w:szCs w:val="22"/>
              </w:rPr>
              <w:t>809</w:t>
            </w:r>
            <w:r w:rsidR="00722CCA" w:rsidRPr="000C02DA">
              <w:rPr>
                <w:rFonts w:ascii="Times New Roman" w:hAnsi="Times New Roman"/>
                <w:noProof/>
                <w:color w:val="FF0000"/>
                <w:szCs w:val="22"/>
              </w:rPr>
              <w:t xml:space="preserve"> million</w:t>
            </w:r>
          </w:p>
        </w:tc>
        <w:tc>
          <w:tcPr>
            <w:tcW w:w="2401" w:type="dxa"/>
            <w:vAlign w:val="center"/>
          </w:tcPr>
          <w:p w14:paraId="0290956C" w14:textId="54752364" w:rsidR="001910A6" w:rsidRDefault="00904D0A" w:rsidP="001910A6">
            <w:pPr>
              <w:pStyle w:val="JRCText"/>
              <w:jc w:val="center"/>
              <w:rPr>
                <w:rFonts w:ascii="Times New Roman" w:hAnsi="Times New Roman"/>
                <w:noProof/>
              </w:rPr>
            </w:pPr>
            <w:r w:rsidRPr="24E3F2C8">
              <w:rPr>
                <w:rFonts w:ascii="Times New Roman" w:hAnsi="Times New Roman"/>
                <w:noProof/>
              </w:rPr>
              <w:t>Total</w:t>
            </w:r>
            <w:r w:rsidR="00183836" w:rsidRPr="24E3F2C8">
              <w:rPr>
                <w:rFonts w:ascii="Times New Roman" w:hAnsi="Times New Roman"/>
                <w:noProof/>
              </w:rPr>
              <w:t xml:space="preserve"> steel</w:t>
            </w:r>
            <w:r w:rsidR="00A15E55">
              <w:rPr>
                <w:rFonts w:ascii="Times New Roman" w:hAnsi="Times New Roman"/>
                <w:noProof/>
              </w:rPr>
              <w:t xml:space="preserve">, </w:t>
            </w:r>
            <w:r w:rsidR="00183836" w:rsidRPr="24E3F2C8">
              <w:rPr>
                <w:rFonts w:ascii="Times New Roman" w:hAnsi="Times New Roman"/>
                <w:noProof/>
              </w:rPr>
              <w:t>cement</w:t>
            </w:r>
            <w:r w:rsidR="00A15E55">
              <w:rPr>
                <w:rFonts w:ascii="Times New Roman" w:hAnsi="Times New Roman"/>
                <w:noProof/>
              </w:rPr>
              <w:t xml:space="preserve"> and </w:t>
            </w:r>
            <w:r w:rsidR="009E1286">
              <w:rPr>
                <w:rFonts w:ascii="Times New Roman" w:hAnsi="Times New Roman"/>
                <w:noProof/>
              </w:rPr>
              <w:t>aluminium</w:t>
            </w:r>
            <w:r w:rsidRPr="24E3F2C8">
              <w:rPr>
                <w:rFonts w:ascii="Times New Roman" w:hAnsi="Times New Roman"/>
                <w:noProof/>
              </w:rPr>
              <w:t xml:space="preserve">: </w:t>
            </w:r>
            <w:r w:rsidR="00281DBE">
              <w:rPr>
                <w:rFonts w:ascii="Times New Roman" w:hAnsi="Times New Roman"/>
                <w:noProof/>
              </w:rPr>
              <w:t>13.58</w:t>
            </w:r>
            <w:r w:rsidR="00284425">
              <w:rPr>
                <w:rFonts w:ascii="Times New Roman" w:hAnsi="Times New Roman"/>
                <w:noProof/>
              </w:rPr>
              <w:t xml:space="preserve"> Mtonnes </w:t>
            </w:r>
            <w:r w:rsidRPr="24E3F2C8">
              <w:rPr>
                <w:rFonts w:ascii="Times New Roman" w:hAnsi="Times New Roman"/>
                <w:noProof/>
              </w:rPr>
              <w:t>CO</w:t>
            </w:r>
            <w:r w:rsidRPr="00825115">
              <w:rPr>
                <w:rFonts w:ascii="Times New Roman" w:hAnsi="Times New Roman"/>
                <w:noProof/>
                <w:vertAlign w:val="subscript"/>
              </w:rPr>
              <w:t>2</w:t>
            </w:r>
            <w:r w:rsidRPr="24E3F2C8">
              <w:rPr>
                <w:rFonts w:ascii="Times New Roman" w:hAnsi="Times New Roman"/>
                <w:noProof/>
              </w:rPr>
              <w:t xml:space="preserve"> (EUR 1</w:t>
            </w:r>
            <w:r w:rsidR="00CB20D8">
              <w:rPr>
                <w:rFonts w:ascii="Times New Roman" w:hAnsi="Times New Roman"/>
                <w:noProof/>
              </w:rPr>
              <w:t xml:space="preserve"> </w:t>
            </w:r>
            <w:r w:rsidR="00281DBE">
              <w:rPr>
                <w:rFonts w:ascii="Times New Roman" w:hAnsi="Times New Roman"/>
                <w:noProof/>
              </w:rPr>
              <w:t>358</w:t>
            </w:r>
            <w:r w:rsidRPr="24E3F2C8">
              <w:rPr>
                <w:rFonts w:ascii="Times New Roman" w:hAnsi="Times New Roman"/>
                <w:noProof/>
              </w:rPr>
              <w:t xml:space="preserve"> </w:t>
            </w:r>
            <w:r w:rsidR="00CB20D8">
              <w:rPr>
                <w:rFonts w:ascii="Times New Roman" w:hAnsi="Times New Roman"/>
                <w:noProof/>
              </w:rPr>
              <w:t>million</w:t>
            </w:r>
            <w:r w:rsidRPr="24E3F2C8">
              <w:rPr>
                <w:rFonts w:ascii="Times New Roman" w:hAnsi="Times New Roman"/>
                <w:noProof/>
              </w:rPr>
              <w:t>)</w:t>
            </w:r>
          </w:p>
          <w:p w14:paraId="7FC10B59" w14:textId="63E1A7BE" w:rsidR="00904D0A" w:rsidRPr="00E71388" w:rsidRDefault="00D3330D" w:rsidP="001910A6">
            <w:pPr>
              <w:pStyle w:val="JRCText"/>
              <w:jc w:val="center"/>
              <w:rPr>
                <w:rFonts w:ascii="Times New Roman" w:hAnsi="Times New Roman"/>
                <w:noProof/>
                <w:szCs w:val="22"/>
              </w:rPr>
            </w:pPr>
            <w:r w:rsidRPr="000C02DA">
              <w:rPr>
                <w:rFonts w:ascii="Times New Roman" w:hAnsi="Times New Roman"/>
                <w:noProof/>
                <w:color w:val="FF0000"/>
                <w:szCs w:val="22"/>
              </w:rPr>
              <w:t>Sensitivity</w:t>
            </w:r>
            <w:r>
              <w:rPr>
                <w:rFonts w:ascii="Times New Roman" w:hAnsi="Times New Roman"/>
                <w:noProof/>
                <w:color w:val="FF0000"/>
                <w:szCs w:val="22"/>
              </w:rPr>
              <w:t xml:space="preserve">: EUR </w:t>
            </w:r>
            <w:r w:rsidR="00EF53DF">
              <w:rPr>
                <w:rFonts w:ascii="Times New Roman" w:hAnsi="Times New Roman"/>
                <w:noProof/>
                <w:color w:val="FF0000"/>
                <w:szCs w:val="22"/>
              </w:rPr>
              <w:t>814</w:t>
            </w:r>
            <w:r w:rsidRPr="000C02DA">
              <w:rPr>
                <w:rFonts w:ascii="Times New Roman" w:hAnsi="Times New Roman"/>
                <w:noProof/>
                <w:color w:val="FF0000"/>
                <w:szCs w:val="22"/>
              </w:rPr>
              <w:t xml:space="preserve"> million</w:t>
            </w:r>
            <w:r w:rsidR="00904D0A" w:rsidRPr="000C02DA" w:rsidDel="00D3330D">
              <w:rPr>
                <w:rFonts w:ascii="Times New Roman" w:hAnsi="Times New Roman"/>
                <w:noProof/>
                <w:color w:val="FF0000"/>
                <w:szCs w:val="22"/>
              </w:rPr>
              <w:t xml:space="preserve"> </w:t>
            </w:r>
            <w:r w:rsidR="00722CCA">
              <w:rPr>
                <w:rFonts w:ascii="Times New Roman" w:hAnsi="Times New Roman"/>
                <w:noProof/>
                <w:color w:val="FF0000"/>
                <w:szCs w:val="22"/>
              </w:rPr>
              <w:t xml:space="preserve">to EUR </w:t>
            </w:r>
            <w:r w:rsidR="00722CCA" w:rsidRPr="000C02DA">
              <w:rPr>
                <w:rFonts w:ascii="Times New Roman" w:hAnsi="Times New Roman"/>
                <w:noProof/>
                <w:color w:val="FF0000"/>
                <w:szCs w:val="22"/>
              </w:rPr>
              <w:t>2</w:t>
            </w:r>
            <w:r w:rsidR="00984D6E">
              <w:rPr>
                <w:rFonts w:ascii="Times New Roman" w:hAnsi="Times New Roman"/>
                <w:noProof/>
                <w:color w:val="FF0000"/>
                <w:szCs w:val="22"/>
              </w:rPr>
              <w:t xml:space="preserve"> </w:t>
            </w:r>
            <w:r w:rsidR="00426FC5">
              <w:rPr>
                <w:rFonts w:ascii="Times New Roman" w:hAnsi="Times New Roman"/>
                <w:noProof/>
                <w:color w:val="FF0000"/>
                <w:szCs w:val="22"/>
              </w:rPr>
              <w:t>566</w:t>
            </w:r>
            <w:r w:rsidR="00722CCA" w:rsidRPr="000C02DA">
              <w:rPr>
                <w:rFonts w:ascii="Times New Roman" w:hAnsi="Times New Roman"/>
                <w:noProof/>
                <w:color w:val="FF0000"/>
                <w:szCs w:val="22"/>
              </w:rPr>
              <w:t xml:space="preserve"> </w:t>
            </w:r>
            <w:r w:rsidR="00984D6E">
              <w:rPr>
                <w:rFonts w:ascii="Times New Roman" w:hAnsi="Times New Roman"/>
                <w:noProof/>
                <w:color w:val="FF0000"/>
                <w:szCs w:val="22"/>
              </w:rPr>
              <w:t>million</w:t>
            </w:r>
          </w:p>
        </w:tc>
      </w:tr>
      <w:tr w:rsidR="00DF3592" w:rsidRPr="00434F9E" w14:paraId="02C10C44" w14:textId="77777777" w:rsidTr="3E45D101">
        <w:tc>
          <w:tcPr>
            <w:tcW w:w="2400" w:type="dxa"/>
            <w:vAlign w:val="center"/>
          </w:tcPr>
          <w:p w14:paraId="66F61CB2" w14:textId="676B623D" w:rsidR="00904D0A" w:rsidRPr="00E71388" w:rsidRDefault="006C0F76">
            <w:pPr>
              <w:pStyle w:val="JRCText"/>
              <w:jc w:val="center"/>
              <w:rPr>
                <w:rFonts w:ascii="Times New Roman" w:hAnsi="Times New Roman"/>
                <w:i/>
                <w:noProof/>
                <w:sz w:val="24"/>
                <w:szCs w:val="24"/>
              </w:rPr>
            </w:pPr>
            <w:r>
              <w:rPr>
                <w:rFonts w:ascii="Times New Roman" w:hAnsi="Times New Roman"/>
                <w:i/>
                <w:noProof/>
                <w:sz w:val="24"/>
                <w:szCs w:val="24"/>
              </w:rPr>
              <w:t xml:space="preserve">Similar question </w:t>
            </w:r>
            <w:r w:rsidR="00904D0A" w:rsidRPr="00E71388">
              <w:rPr>
                <w:rFonts w:ascii="Times New Roman" w:hAnsi="Times New Roman"/>
                <w:i/>
                <w:noProof/>
                <w:sz w:val="24"/>
                <w:szCs w:val="24"/>
              </w:rPr>
              <w:t>LEAD_BAT</w:t>
            </w:r>
          </w:p>
        </w:tc>
        <w:tc>
          <w:tcPr>
            <w:tcW w:w="2400" w:type="dxa"/>
            <w:vAlign w:val="center"/>
          </w:tcPr>
          <w:p w14:paraId="0AB7CB02" w14:textId="5850D567" w:rsidR="00904D0A" w:rsidRDefault="00904D0A">
            <w:pPr>
              <w:pStyle w:val="JRCText"/>
              <w:jc w:val="center"/>
              <w:rPr>
                <w:rFonts w:ascii="Times New Roman" w:hAnsi="Times New Roman"/>
                <w:noProof/>
                <w:szCs w:val="22"/>
              </w:rPr>
            </w:pPr>
            <w:r w:rsidRPr="00E71388">
              <w:rPr>
                <w:rFonts w:ascii="Times New Roman" w:hAnsi="Times New Roman"/>
                <w:noProof/>
                <w:color w:val="000000" w:themeColor="text1"/>
                <w:szCs w:val="22"/>
              </w:rPr>
              <w:t>25.6</w:t>
            </w:r>
            <w:r>
              <w:rPr>
                <w:rFonts w:ascii="Times New Roman" w:hAnsi="Times New Roman"/>
                <w:noProof/>
                <w:color w:val="000000" w:themeColor="text1"/>
                <w:szCs w:val="22"/>
              </w:rPr>
              <w:t xml:space="preserve"> </w:t>
            </w:r>
            <w:r w:rsidR="00284425">
              <w:rPr>
                <w:rFonts w:ascii="Times New Roman" w:hAnsi="Times New Roman"/>
                <w:noProof/>
                <w:color w:val="000000" w:themeColor="text1"/>
                <w:szCs w:val="22"/>
              </w:rPr>
              <w:t xml:space="preserve">Mtonnes </w:t>
            </w:r>
            <w:r w:rsidRPr="00E71388">
              <w:rPr>
                <w:rFonts w:ascii="Times New Roman" w:hAnsi="Times New Roman"/>
                <w:noProof/>
                <w:szCs w:val="22"/>
              </w:rPr>
              <w:t>CO</w:t>
            </w:r>
            <w:r w:rsidRPr="00825115">
              <w:rPr>
                <w:rFonts w:ascii="Times New Roman" w:hAnsi="Times New Roman"/>
                <w:noProof/>
                <w:szCs w:val="22"/>
                <w:vertAlign w:val="subscript"/>
              </w:rPr>
              <w:t>2</w:t>
            </w:r>
            <w:r w:rsidRPr="00E71388">
              <w:rPr>
                <w:rFonts w:ascii="Times New Roman" w:hAnsi="Times New Roman"/>
                <w:noProof/>
                <w:szCs w:val="22"/>
              </w:rPr>
              <w:t xml:space="preserve"> (EUR 2</w:t>
            </w:r>
            <w:r w:rsidR="007D7A39">
              <w:rPr>
                <w:rFonts w:ascii="Times New Roman" w:hAnsi="Times New Roman"/>
                <w:noProof/>
                <w:szCs w:val="22"/>
              </w:rPr>
              <w:t xml:space="preserve"> </w:t>
            </w:r>
            <w:r w:rsidRPr="00E71388">
              <w:rPr>
                <w:rFonts w:ascii="Times New Roman" w:hAnsi="Times New Roman"/>
                <w:noProof/>
                <w:szCs w:val="22"/>
              </w:rPr>
              <w:t>56</w:t>
            </w:r>
            <w:r w:rsidR="007D7A39">
              <w:rPr>
                <w:rFonts w:ascii="Times New Roman" w:hAnsi="Times New Roman"/>
                <w:noProof/>
                <w:szCs w:val="22"/>
              </w:rPr>
              <w:t>0</w:t>
            </w:r>
            <w:r w:rsidRPr="00E71388">
              <w:rPr>
                <w:rFonts w:ascii="Times New Roman" w:hAnsi="Times New Roman"/>
                <w:noProof/>
                <w:szCs w:val="22"/>
              </w:rPr>
              <w:t xml:space="preserve"> </w:t>
            </w:r>
            <w:r w:rsidR="007D7A39">
              <w:rPr>
                <w:rFonts w:ascii="Times New Roman" w:hAnsi="Times New Roman"/>
                <w:noProof/>
                <w:szCs w:val="22"/>
              </w:rPr>
              <w:t>m</w:t>
            </w:r>
            <w:r w:rsidRPr="00E71388">
              <w:rPr>
                <w:rFonts w:ascii="Times New Roman" w:hAnsi="Times New Roman"/>
                <w:noProof/>
                <w:szCs w:val="22"/>
              </w:rPr>
              <w:t>illion)</w:t>
            </w:r>
          </w:p>
          <w:p w14:paraId="47F3C63F" w14:textId="77B9E1DD" w:rsidR="00904D0A" w:rsidRPr="00E71388" w:rsidRDefault="00904D0A">
            <w:pPr>
              <w:pStyle w:val="JRCText"/>
              <w:jc w:val="center"/>
              <w:rPr>
                <w:rFonts w:ascii="Times New Roman" w:hAnsi="Times New Roman"/>
                <w:noProof/>
                <w:szCs w:val="22"/>
              </w:rPr>
            </w:pPr>
            <w:r w:rsidRPr="000C02DA">
              <w:rPr>
                <w:rFonts w:ascii="Times New Roman" w:hAnsi="Times New Roman"/>
                <w:noProof/>
                <w:color w:val="FF0000"/>
                <w:szCs w:val="22"/>
              </w:rPr>
              <w:t xml:space="preserve">Sensitivity: </w:t>
            </w:r>
            <w:r w:rsidR="001A1E7C">
              <w:rPr>
                <w:rFonts w:ascii="Times New Roman" w:hAnsi="Times New Roman"/>
                <w:noProof/>
                <w:color w:val="FF0000"/>
                <w:szCs w:val="22"/>
              </w:rPr>
              <w:t xml:space="preserve">EUR </w:t>
            </w:r>
            <w:r w:rsidR="00DF3592">
              <w:rPr>
                <w:rFonts w:ascii="Times New Roman" w:hAnsi="Times New Roman"/>
                <w:noProof/>
                <w:color w:val="FF0000"/>
                <w:szCs w:val="22"/>
              </w:rPr>
              <w:t>1</w:t>
            </w:r>
            <w:r w:rsidR="00984D6E">
              <w:rPr>
                <w:rFonts w:ascii="Times New Roman" w:hAnsi="Times New Roman"/>
                <w:noProof/>
                <w:color w:val="FF0000"/>
                <w:szCs w:val="22"/>
              </w:rPr>
              <w:t xml:space="preserve"> </w:t>
            </w:r>
            <w:r w:rsidR="00DF3592">
              <w:rPr>
                <w:rFonts w:ascii="Times New Roman" w:hAnsi="Times New Roman"/>
                <w:noProof/>
                <w:color w:val="FF0000"/>
                <w:szCs w:val="22"/>
              </w:rPr>
              <w:t>5</w:t>
            </w:r>
            <w:r w:rsidR="003409FC">
              <w:rPr>
                <w:rFonts w:ascii="Times New Roman" w:hAnsi="Times New Roman"/>
                <w:noProof/>
                <w:color w:val="FF0000"/>
                <w:szCs w:val="22"/>
              </w:rPr>
              <w:t>3</w:t>
            </w:r>
            <w:r w:rsidR="00984D6E">
              <w:rPr>
                <w:rFonts w:ascii="Times New Roman" w:hAnsi="Times New Roman"/>
                <w:noProof/>
                <w:color w:val="FF0000"/>
                <w:szCs w:val="22"/>
              </w:rPr>
              <w:t>0</w:t>
            </w:r>
            <w:r w:rsidR="00DF3592">
              <w:rPr>
                <w:rFonts w:ascii="Times New Roman" w:hAnsi="Times New Roman"/>
                <w:noProof/>
                <w:color w:val="FF0000"/>
                <w:szCs w:val="22"/>
              </w:rPr>
              <w:t xml:space="preserve"> </w:t>
            </w:r>
            <w:r w:rsidR="00984D6E">
              <w:rPr>
                <w:rFonts w:ascii="Times New Roman" w:hAnsi="Times New Roman"/>
                <w:noProof/>
                <w:color w:val="FF0000"/>
                <w:szCs w:val="22"/>
              </w:rPr>
              <w:t xml:space="preserve">million </w:t>
            </w:r>
            <w:r w:rsidR="001A1E7C">
              <w:rPr>
                <w:rFonts w:ascii="Times New Roman" w:hAnsi="Times New Roman"/>
                <w:noProof/>
                <w:color w:val="FF0000"/>
                <w:szCs w:val="22"/>
              </w:rPr>
              <w:t>to</w:t>
            </w:r>
            <w:r w:rsidR="00DF3592">
              <w:rPr>
                <w:rFonts w:ascii="Times New Roman" w:hAnsi="Times New Roman"/>
                <w:noProof/>
                <w:color w:val="FF0000"/>
                <w:szCs w:val="22"/>
              </w:rPr>
              <w:t xml:space="preserve"> </w:t>
            </w:r>
            <w:r w:rsidR="001A1E7C">
              <w:rPr>
                <w:rFonts w:ascii="Times New Roman" w:hAnsi="Times New Roman"/>
                <w:noProof/>
                <w:color w:val="FF0000"/>
                <w:szCs w:val="22"/>
              </w:rPr>
              <w:t>EUR</w:t>
            </w:r>
            <w:r w:rsidR="00DF3592">
              <w:rPr>
                <w:rFonts w:ascii="Times New Roman" w:hAnsi="Times New Roman"/>
                <w:noProof/>
                <w:color w:val="FF0000"/>
                <w:szCs w:val="22"/>
              </w:rPr>
              <w:t xml:space="preserve"> </w:t>
            </w:r>
            <w:r>
              <w:rPr>
                <w:rFonts w:ascii="Times New Roman" w:hAnsi="Times New Roman"/>
                <w:noProof/>
                <w:color w:val="FF0000"/>
                <w:szCs w:val="22"/>
              </w:rPr>
              <w:t>4</w:t>
            </w:r>
            <w:r w:rsidR="00984D6E">
              <w:rPr>
                <w:rFonts w:ascii="Times New Roman" w:hAnsi="Times New Roman"/>
                <w:noProof/>
                <w:color w:val="FF0000"/>
                <w:szCs w:val="22"/>
              </w:rPr>
              <w:t xml:space="preserve"> </w:t>
            </w:r>
            <w:r>
              <w:rPr>
                <w:rFonts w:ascii="Times New Roman" w:hAnsi="Times New Roman"/>
                <w:noProof/>
                <w:color w:val="FF0000"/>
                <w:szCs w:val="22"/>
              </w:rPr>
              <w:t>8</w:t>
            </w:r>
            <w:r w:rsidR="005134BF">
              <w:rPr>
                <w:rFonts w:ascii="Times New Roman" w:hAnsi="Times New Roman"/>
                <w:noProof/>
                <w:color w:val="FF0000"/>
                <w:szCs w:val="22"/>
              </w:rPr>
              <w:t>3</w:t>
            </w:r>
            <w:r w:rsidR="00984D6E">
              <w:rPr>
                <w:rFonts w:ascii="Times New Roman" w:hAnsi="Times New Roman"/>
                <w:noProof/>
                <w:color w:val="FF0000"/>
                <w:szCs w:val="22"/>
              </w:rPr>
              <w:t>0</w:t>
            </w:r>
            <w:r>
              <w:rPr>
                <w:rFonts w:ascii="Times New Roman" w:hAnsi="Times New Roman"/>
                <w:noProof/>
                <w:color w:val="FF0000"/>
                <w:szCs w:val="22"/>
              </w:rPr>
              <w:t xml:space="preserve"> </w:t>
            </w:r>
            <w:r w:rsidR="00984D6E">
              <w:rPr>
                <w:rFonts w:ascii="Times New Roman" w:hAnsi="Times New Roman"/>
                <w:noProof/>
                <w:color w:val="FF0000"/>
                <w:szCs w:val="22"/>
              </w:rPr>
              <w:t>million</w:t>
            </w:r>
          </w:p>
        </w:tc>
        <w:tc>
          <w:tcPr>
            <w:tcW w:w="2401" w:type="dxa"/>
            <w:vAlign w:val="center"/>
          </w:tcPr>
          <w:p w14:paraId="6E093367" w14:textId="5499B272" w:rsidR="00904D0A" w:rsidRDefault="00904D0A">
            <w:pPr>
              <w:pStyle w:val="JRCText"/>
              <w:jc w:val="center"/>
              <w:rPr>
                <w:rFonts w:ascii="Times New Roman" w:hAnsi="Times New Roman"/>
                <w:noProof/>
                <w:szCs w:val="22"/>
              </w:rPr>
            </w:pPr>
            <w:r w:rsidRPr="00E71388">
              <w:rPr>
                <w:rFonts w:ascii="Times New Roman" w:hAnsi="Times New Roman"/>
                <w:noProof/>
                <w:szCs w:val="22"/>
              </w:rPr>
              <w:t xml:space="preserve">25.6 </w:t>
            </w:r>
            <w:r w:rsidR="00284425">
              <w:rPr>
                <w:rFonts w:ascii="Times New Roman" w:hAnsi="Times New Roman"/>
                <w:noProof/>
                <w:szCs w:val="22"/>
              </w:rPr>
              <w:t xml:space="preserve">Mtonnes </w:t>
            </w:r>
            <w:r w:rsidRPr="00E71388">
              <w:rPr>
                <w:rFonts w:ascii="Times New Roman" w:hAnsi="Times New Roman"/>
                <w:noProof/>
                <w:szCs w:val="22"/>
              </w:rPr>
              <w:t>CO</w:t>
            </w:r>
            <w:r w:rsidRPr="00825115">
              <w:rPr>
                <w:rFonts w:ascii="Times New Roman" w:hAnsi="Times New Roman"/>
                <w:noProof/>
                <w:szCs w:val="22"/>
                <w:vertAlign w:val="subscript"/>
              </w:rPr>
              <w:t>2</w:t>
            </w:r>
            <w:r w:rsidRPr="00E71388">
              <w:rPr>
                <w:rFonts w:ascii="Times New Roman" w:hAnsi="Times New Roman"/>
                <w:noProof/>
                <w:szCs w:val="22"/>
              </w:rPr>
              <w:t xml:space="preserve"> (EUR 2</w:t>
            </w:r>
            <w:r w:rsidR="007D7A39">
              <w:rPr>
                <w:rFonts w:ascii="Times New Roman" w:hAnsi="Times New Roman"/>
                <w:noProof/>
                <w:szCs w:val="22"/>
              </w:rPr>
              <w:t xml:space="preserve"> </w:t>
            </w:r>
            <w:r w:rsidRPr="00E71388">
              <w:rPr>
                <w:rFonts w:ascii="Times New Roman" w:hAnsi="Times New Roman"/>
                <w:noProof/>
                <w:szCs w:val="22"/>
              </w:rPr>
              <w:t>56</w:t>
            </w:r>
            <w:r w:rsidR="007D7A39">
              <w:rPr>
                <w:rFonts w:ascii="Times New Roman" w:hAnsi="Times New Roman"/>
                <w:noProof/>
                <w:szCs w:val="22"/>
              </w:rPr>
              <w:t>0</w:t>
            </w:r>
            <w:r w:rsidRPr="00E71388">
              <w:rPr>
                <w:rFonts w:ascii="Times New Roman" w:hAnsi="Times New Roman"/>
                <w:noProof/>
                <w:szCs w:val="22"/>
              </w:rPr>
              <w:t xml:space="preserve"> billion)</w:t>
            </w:r>
          </w:p>
          <w:p w14:paraId="7205F26C" w14:textId="7822BF9F" w:rsidR="00904D0A" w:rsidRPr="00E71388" w:rsidRDefault="001A1E7C">
            <w:pPr>
              <w:pStyle w:val="JRCText"/>
              <w:jc w:val="center"/>
              <w:rPr>
                <w:rFonts w:ascii="Times New Roman" w:hAnsi="Times New Roman"/>
                <w:noProof/>
                <w:szCs w:val="22"/>
              </w:rPr>
            </w:pPr>
            <w:r w:rsidRPr="000C02DA">
              <w:rPr>
                <w:rFonts w:ascii="Times New Roman" w:hAnsi="Times New Roman"/>
                <w:noProof/>
                <w:color w:val="FF0000"/>
                <w:szCs w:val="22"/>
              </w:rPr>
              <w:t xml:space="preserve">Sensitivity: </w:t>
            </w:r>
            <w:r>
              <w:rPr>
                <w:rFonts w:ascii="Times New Roman" w:hAnsi="Times New Roman"/>
                <w:noProof/>
                <w:color w:val="FF0000"/>
                <w:szCs w:val="22"/>
              </w:rPr>
              <w:t>EUR 1</w:t>
            </w:r>
            <w:r w:rsidR="00984D6E">
              <w:rPr>
                <w:rFonts w:ascii="Times New Roman" w:hAnsi="Times New Roman"/>
                <w:noProof/>
                <w:color w:val="FF0000"/>
                <w:szCs w:val="22"/>
              </w:rPr>
              <w:t xml:space="preserve"> </w:t>
            </w:r>
            <w:r>
              <w:rPr>
                <w:rFonts w:ascii="Times New Roman" w:hAnsi="Times New Roman"/>
                <w:noProof/>
                <w:color w:val="FF0000"/>
                <w:szCs w:val="22"/>
              </w:rPr>
              <w:t>5</w:t>
            </w:r>
            <w:r w:rsidR="003409FC">
              <w:rPr>
                <w:rFonts w:ascii="Times New Roman" w:hAnsi="Times New Roman"/>
                <w:noProof/>
                <w:color w:val="FF0000"/>
                <w:szCs w:val="22"/>
              </w:rPr>
              <w:t>3</w:t>
            </w:r>
            <w:r w:rsidR="00984D6E">
              <w:rPr>
                <w:rFonts w:ascii="Times New Roman" w:hAnsi="Times New Roman"/>
                <w:noProof/>
                <w:color w:val="FF0000"/>
                <w:szCs w:val="22"/>
              </w:rPr>
              <w:t>0</w:t>
            </w:r>
            <w:r>
              <w:rPr>
                <w:rFonts w:ascii="Times New Roman" w:hAnsi="Times New Roman"/>
                <w:noProof/>
                <w:color w:val="FF0000"/>
                <w:szCs w:val="22"/>
              </w:rPr>
              <w:t xml:space="preserve"> </w:t>
            </w:r>
            <w:r w:rsidR="00984D6E">
              <w:rPr>
                <w:rFonts w:ascii="Times New Roman" w:hAnsi="Times New Roman"/>
                <w:noProof/>
                <w:color w:val="FF0000"/>
                <w:szCs w:val="22"/>
              </w:rPr>
              <w:t>million</w:t>
            </w:r>
            <w:r>
              <w:rPr>
                <w:rFonts w:ascii="Times New Roman" w:hAnsi="Times New Roman"/>
                <w:noProof/>
                <w:color w:val="FF0000"/>
                <w:szCs w:val="22"/>
              </w:rPr>
              <w:t xml:space="preserve"> to EUR 4</w:t>
            </w:r>
            <w:r w:rsidR="00984D6E">
              <w:rPr>
                <w:rFonts w:ascii="Times New Roman" w:hAnsi="Times New Roman"/>
                <w:noProof/>
                <w:color w:val="FF0000"/>
                <w:szCs w:val="22"/>
              </w:rPr>
              <w:t xml:space="preserve"> </w:t>
            </w:r>
            <w:r>
              <w:rPr>
                <w:rFonts w:ascii="Times New Roman" w:hAnsi="Times New Roman"/>
                <w:noProof/>
                <w:color w:val="FF0000"/>
                <w:szCs w:val="22"/>
              </w:rPr>
              <w:t>8</w:t>
            </w:r>
            <w:r w:rsidR="005134BF">
              <w:rPr>
                <w:rFonts w:ascii="Times New Roman" w:hAnsi="Times New Roman"/>
                <w:noProof/>
                <w:color w:val="FF0000"/>
                <w:szCs w:val="22"/>
              </w:rPr>
              <w:t>3</w:t>
            </w:r>
            <w:r w:rsidR="00984D6E">
              <w:rPr>
                <w:rFonts w:ascii="Times New Roman" w:hAnsi="Times New Roman"/>
                <w:noProof/>
                <w:color w:val="FF0000"/>
                <w:szCs w:val="22"/>
              </w:rPr>
              <w:t>0</w:t>
            </w:r>
            <w:r>
              <w:rPr>
                <w:rFonts w:ascii="Times New Roman" w:hAnsi="Times New Roman"/>
                <w:noProof/>
                <w:color w:val="FF0000"/>
                <w:szCs w:val="22"/>
              </w:rPr>
              <w:t xml:space="preserve"> </w:t>
            </w:r>
            <w:r w:rsidR="00984D6E">
              <w:rPr>
                <w:rFonts w:ascii="Times New Roman" w:hAnsi="Times New Roman"/>
                <w:noProof/>
                <w:color w:val="FF0000"/>
                <w:szCs w:val="22"/>
              </w:rPr>
              <w:t>million</w:t>
            </w:r>
          </w:p>
        </w:tc>
        <w:tc>
          <w:tcPr>
            <w:tcW w:w="2401" w:type="dxa"/>
            <w:vAlign w:val="center"/>
          </w:tcPr>
          <w:p w14:paraId="69320AC0" w14:textId="758E5046" w:rsidR="00904D0A" w:rsidRDefault="00904D0A">
            <w:pPr>
              <w:pStyle w:val="JRCText"/>
              <w:jc w:val="center"/>
              <w:rPr>
                <w:rFonts w:ascii="Times New Roman" w:hAnsi="Times New Roman"/>
                <w:noProof/>
                <w:szCs w:val="22"/>
              </w:rPr>
            </w:pPr>
            <w:r w:rsidRPr="00E71388">
              <w:rPr>
                <w:rFonts w:ascii="Times New Roman" w:hAnsi="Times New Roman"/>
                <w:noProof/>
                <w:szCs w:val="22"/>
              </w:rPr>
              <w:t xml:space="preserve">34.17 </w:t>
            </w:r>
            <w:r w:rsidR="00284425">
              <w:rPr>
                <w:rFonts w:ascii="Times New Roman" w:hAnsi="Times New Roman"/>
                <w:noProof/>
                <w:szCs w:val="22"/>
              </w:rPr>
              <w:t xml:space="preserve">Mtonnes </w:t>
            </w:r>
            <w:r w:rsidRPr="00E71388">
              <w:rPr>
                <w:rFonts w:ascii="Times New Roman" w:hAnsi="Times New Roman"/>
                <w:noProof/>
                <w:szCs w:val="22"/>
              </w:rPr>
              <w:t>CO</w:t>
            </w:r>
            <w:r w:rsidRPr="00825115">
              <w:rPr>
                <w:rFonts w:ascii="Times New Roman" w:hAnsi="Times New Roman"/>
                <w:noProof/>
                <w:szCs w:val="22"/>
                <w:vertAlign w:val="subscript"/>
              </w:rPr>
              <w:t>2</w:t>
            </w:r>
            <w:r w:rsidRPr="00E71388">
              <w:rPr>
                <w:rFonts w:ascii="Times New Roman" w:hAnsi="Times New Roman"/>
                <w:noProof/>
                <w:szCs w:val="22"/>
              </w:rPr>
              <w:t xml:space="preserve"> (EUR 3</w:t>
            </w:r>
            <w:r w:rsidR="007D7A39">
              <w:rPr>
                <w:rFonts w:ascii="Times New Roman" w:hAnsi="Times New Roman"/>
                <w:noProof/>
                <w:szCs w:val="22"/>
              </w:rPr>
              <w:t xml:space="preserve"> </w:t>
            </w:r>
            <w:r w:rsidRPr="00E71388">
              <w:rPr>
                <w:rFonts w:ascii="Times New Roman" w:hAnsi="Times New Roman"/>
                <w:noProof/>
                <w:szCs w:val="22"/>
              </w:rPr>
              <w:t>4</w:t>
            </w:r>
            <w:r w:rsidR="007D7A39">
              <w:rPr>
                <w:rFonts w:ascii="Times New Roman" w:hAnsi="Times New Roman"/>
                <w:noProof/>
                <w:szCs w:val="22"/>
              </w:rPr>
              <w:t>00</w:t>
            </w:r>
            <w:r w:rsidRPr="00E71388">
              <w:rPr>
                <w:rFonts w:ascii="Times New Roman" w:hAnsi="Times New Roman"/>
                <w:noProof/>
                <w:szCs w:val="22"/>
              </w:rPr>
              <w:t xml:space="preserve"> </w:t>
            </w:r>
            <w:r w:rsidR="007D7A39">
              <w:rPr>
                <w:rFonts w:ascii="Times New Roman" w:hAnsi="Times New Roman"/>
                <w:noProof/>
                <w:szCs w:val="22"/>
              </w:rPr>
              <w:t>m</w:t>
            </w:r>
            <w:r w:rsidRPr="00E71388">
              <w:rPr>
                <w:rFonts w:ascii="Times New Roman" w:hAnsi="Times New Roman"/>
                <w:noProof/>
                <w:szCs w:val="22"/>
              </w:rPr>
              <w:t>illion)</w:t>
            </w:r>
          </w:p>
          <w:p w14:paraId="3FD348C8" w14:textId="136AB29C" w:rsidR="00904D0A" w:rsidRPr="00E71388" w:rsidRDefault="00904D0A">
            <w:pPr>
              <w:pStyle w:val="JRCText"/>
              <w:jc w:val="center"/>
              <w:rPr>
                <w:rFonts w:ascii="Times New Roman" w:hAnsi="Times New Roman"/>
                <w:noProof/>
                <w:szCs w:val="22"/>
              </w:rPr>
            </w:pPr>
            <w:r w:rsidRPr="000C02DA">
              <w:rPr>
                <w:rFonts w:ascii="Times New Roman" w:hAnsi="Times New Roman"/>
                <w:noProof/>
                <w:color w:val="FF0000"/>
                <w:szCs w:val="22"/>
              </w:rPr>
              <w:t xml:space="preserve">Sensitivity: </w:t>
            </w:r>
            <w:r w:rsidR="001A1E7C">
              <w:rPr>
                <w:rFonts w:ascii="Times New Roman" w:hAnsi="Times New Roman"/>
                <w:noProof/>
                <w:color w:val="FF0000"/>
                <w:szCs w:val="22"/>
              </w:rPr>
              <w:t xml:space="preserve">EUR </w:t>
            </w:r>
            <w:r w:rsidR="006B1F1C">
              <w:rPr>
                <w:rFonts w:ascii="Times New Roman" w:hAnsi="Times New Roman"/>
                <w:noProof/>
                <w:color w:val="FF0000"/>
                <w:szCs w:val="22"/>
              </w:rPr>
              <w:t>2</w:t>
            </w:r>
            <w:r w:rsidR="00984D6E">
              <w:rPr>
                <w:rFonts w:ascii="Times New Roman" w:hAnsi="Times New Roman"/>
                <w:noProof/>
                <w:color w:val="FF0000"/>
                <w:szCs w:val="22"/>
              </w:rPr>
              <w:t xml:space="preserve"> </w:t>
            </w:r>
            <w:r w:rsidR="003409FC">
              <w:rPr>
                <w:rFonts w:ascii="Times New Roman" w:hAnsi="Times New Roman"/>
                <w:noProof/>
                <w:color w:val="FF0000"/>
                <w:szCs w:val="22"/>
              </w:rPr>
              <w:t>05</w:t>
            </w:r>
            <w:r w:rsidR="00984D6E">
              <w:rPr>
                <w:rFonts w:ascii="Times New Roman" w:hAnsi="Times New Roman"/>
                <w:noProof/>
                <w:color w:val="FF0000"/>
                <w:szCs w:val="22"/>
              </w:rPr>
              <w:t>0</w:t>
            </w:r>
            <w:r w:rsidR="006B1F1C">
              <w:rPr>
                <w:rFonts w:ascii="Times New Roman" w:hAnsi="Times New Roman"/>
                <w:noProof/>
                <w:color w:val="FF0000"/>
                <w:szCs w:val="22"/>
              </w:rPr>
              <w:t xml:space="preserve"> </w:t>
            </w:r>
            <w:r w:rsidR="00984D6E">
              <w:rPr>
                <w:rFonts w:ascii="Times New Roman" w:hAnsi="Times New Roman"/>
                <w:noProof/>
                <w:color w:val="FF0000"/>
                <w:szCs w:val="22"/>
              </w:rPr>
              <w:t>m</w:t>
            </w:r>
            <w:r w:rsidR="006B1F1C">
              <w:rPr>
                <w:rFonts w:ascii="Times New Roman" w:hAnsi="Times New Roman"/>
                <w:noProof/>
                <w:color w:val="FF0000"/>
                <w:szCs w:val="22"/>
              </w:rPr>
              <w:t>illion</w:t>
            </w:r>
            <w:r w:rsidR="001A1E7C">
              <w:rPr>
                <w:rFonts w:ascii="Times New Roman" w:hAnsi="Times New Roman"/>
                <w:noProof/>
                <w:color w:val="FF0000"/>
                <w:szCs w:val="22"/>
              </w:rPr>
              <w:t xml:space="preserve"> to </w:t>
            </w:r>
            <w:r>
              <w:rPr>
                <w:rFonts w:ascii="Times New Roman" w:hAnsi="Times New Roman"/>
                <w:noProof/>
                <w:color w:val="FF0000"/>
                <w:szCs w:val="22"/>
              </w:rPr>
              <w:t>6</w:t>
            </w:r>
            <w:r w:rsidR="00984D6E">
              <w:rPr>
                <w:rFonts w:ascii="Times New Roman" w:hAnsi="Times New Roman"/>
                <w:noProof/>
                <w:color w:val="FF0000"/>
                <w:szCs w:val="22"/>
              </w:rPr>
              <w:t xml:space="preserve"> </w:t>
            </w:r>
            <w:r>
              <w:rPr>
                <w:rFonts w:ascii="Times New Roman" w:hAnsi="Times New Roman"/>
                <w:noProof/>
                <w:color w:val="FF0000"/>
                <w:szCs w:val="22"/>
              </w:rPr>
              <w:t>4</w:t>
            </w:r>
            <w:r w:rsidR="005134BF">
              <w:rPr>
                <w:rFonts w:ascii="Times New Roman" w:hAnsi="Times New Roman"/>
                <w:noProof/>
                <w:color w:val="FF0000"/>
                <w:szCs w:val="22"/>
              </w:rPr>
              <w:t>5</w:t>
            </w:r>
            <w:r w:rsidR="00984D6E">
              <w:rPr>
                <w:rFonts w:ascii="Times New Roman" w:hAnsi="Times New Roman"/>
                <w:noProof/>
                <w:color w:val="FF0000"/>
                <w:szCs w:val="22"/>
              </w:rPr>
              <w:t>0</w:t>
            </w:r>
            <w:r>
              <w:rPr>
                <w:rFonts w:ascii="Times New Roman" w:hAnsi="Times New Roman"/>
                <w:noProof/>
                <w:color w:val="FF0000"/>
                <w:szCs w:val="22"/>
              </w:rPr>
              <w:t xml:space="preserve"> </w:t>
            </w:r>
            <w:r w:rsidR="00984D6E">
              <w:rPr>
                <w:rFonts w:ascii="Times New Roman" w:hAnsi="Times New Roman"/>
                <w:noProof/>
                <w:color w:val="FF0000"/>
                <w:szCs w:val="22"/>
              </w:rPr>
              <w:t>m</w:t>
            </w:r>
            <w:r>
              <w:rPr>
                <w:rFonts w:ascii="Times New Roman" w:hAnsi="Times New Roman"/>
                <w:noProof/>
                <w:color w:val="FF0000"/>
                <w:szCs w:val="22"/>
              </w:rPr>
              <w:t>illion</w:t>
            </w:r>
          </w:p>
        </w:tc>
      </w:tr>
      <w:tr w:rsidR="00DF3592" w:rsidRPr="00434F9E" w14:paraId="3D5A7B23" w14:textId="77777777" w:rsidTr="3E45D101">
        <w:tc>
          <w:tcPr>
            <w:tcW w:w="2400" w:type="dxa"/>
            <w:vAlign w:val="center"/>
          </w:tcPr>
          <w:p w14:paraId="27303CF0" w14:textId="77777777" w:rsidR="00904D0A" w:rsidRPr="00E71388" w:rsidRDefault="00904D0A">
            <w:pPr>
              <w:pStyle w:val="JRCText"/>
              <w:jc w:val="center"/>
              <w:rPr>
                <w:rFonts w:ascii="Times New Roman" w:hAnsi="Times New Roman"/>
                <w:i/>
                <w:noProof/>
                <w:sz w:val="24"/>
                <w:szCs w:val="24"/>
              </w:rPr>
            </w:pPr>
            <w:r w:rsidRPr="00E71388">
              <w:rPr>
                <w:rFonts w:ascii="Times New Roman" w:hAnsi="Times New Roman"/>
                <w:i/>
                <w:noProof/>
                <w:sz w:val="24"/>
                <w:szCs w:val="24"/>
              </w:rPr>
              <w:t>LEAD_VC</w:t>
            </w:r>
          </w:p>
        </w:tc>
        <w:tc>
          <w:tcPr>
            <w:tcW w:w="2400" w:type="dxa"/>
            <w:vAlign w:val="center"/>
          </w:tcPr>
          <w:p w14:paraId="009E8F05" w14:textId="2B3AFB47" w:rsidR="00904D0A" w:rsidRDefault="00904D0A">
            <w:pPr>
              <w:pStyle w:val="JRCText"/>
              <w:jc w:val="center"/>
              <w:rPr>
                <w:rFonts w:ascii="Times New Roman" w:hAnsi="Times New Roman"/>
                <w:noProof/>
                <w:szCs w:val="22"/>
              </w:rPr>
            </w:pPr>
            <w:r w:rsidRPr="00E71388">
              <w:rPr>
                <w:rFonts w:ascii="Times New Roman" w:hAnsi="Times New Roman"/>
                <w:noProof/>
                <w:szCs w:val="22"/>
              </w:rPr>
              <w:t xml:space="preserve">0.7 </w:t>
            </w:r>
            <w:r w:rsidR="00284425">
              <w:rPr>
                <w:rFonts w:ascii="Times New Roman" w:hAnsi="Times New Roman"/>
                <w:noProof/>
                <w:szCs w:val="22"/>
              </w:rPr>
              <w:t xml:space="preserve">Mtonnes </w:t>
            </w:r>
            <w:r w:rsidRPr="00E71388">
              <w:rPr>
                <w:rFonts w:ascii="Times New Roman" w:hAnsi="Times New Roman"/>
                <w:noProof/>
                <w:szCs w:val="22"/>
              </w:rPr>
              <w:t>CO</w:t>
            </w:r>
            <w:r w:rsidRPr="00825115">
              <w:rPr>
                <w:rFonts w:ascii="Times New Roman" w:hAnsi="Times New Roman"/>
                <w:noProof/>
                <w:szCs w:val="22"/>
                <w:vertAlign w:val="subscript"/>
              </w:rPr>
              <w:t>2</w:t>
            </w:r>
            <w:r w:rsidRPr="00E71388">
              <w:rPr>
                <w:rFonts w:ascii="Times New Roman" w:hAnsi="Times New Roman"/>
                <w:noProof/>
                <w:szCs w:val="22"/>
              </w:rPr>
              <w:t xml:space="preserve"> (EUR 70 million)</w:t>
            </w:r>
          </w:p>
          <w:p w14:paraId="5DE15F66" w14:textId="1BFB2B58" w:rsidR="00904D0A" w:rsidRPr="00E71388" w:rsidRDefault="00904D0A">
            <w:pPr>
              <w:pStyle w:val="JRCText"/>
              <w:jc w:val="center"/>
              <w:rPr>
                <w:rFonts w:ascii="Times New Roman" w:hAnsi="Times New Roman"/>
                <w:noProof/>
                <w:szCs w:val="22"/>
              </w:rPr>
            </w:pPr>
            <w:r w:rsidRPr="000C02DA">
              <w:rPr>
                <w:rFonts w:ascii="Times New Roman" w:hAnsi="Times New Roman"/>
                <w:noProof/>
                <w:color w:val="FF0000"/>
                <w:szCs w:val="22"/>
              </w:rPr>
              <w:t>Sensitivity:</w:t>
            </w:r>
            <w:r w:rsidR="001E5C95">
              <w:rPr>
                <w:rFonts w:ascii="Times New Roman" w:hAnsi="Times New Roman"/>
                <w:noProof/>
                <w:color w:val="FF0000"/>
                <w:szCs w:val="22"/>
              </w:rPr>
              <w:t xml:space="preserve"> </w:t>
            </w:r>
            <w:r w:rsidR="001A1E7C">
              <w:rPr>
                <w:rFonts w:ascii="Times New Roman" w:hAnsi="Times New Roman"/>
                <w:noProof/>
                <w:color w:val="FF0000"/>
                <w:szCs w:val="22"/>
              </w:rPr>
              <w:t>EUR</w:t>
            </w:r>
            <w:r w:rsidR="001E5C95">
              <w:rPr>
                <w:rFonts w:ascii="Times New Roman" w:hAnsi="Times New Roman"/>
                <w:noProof/>
                <w:color w:val="FF0000"/>
                <w:szCs w:val="22"/>
              </w:rPr>
              <w:t xml:space="preserve"> 42 million</w:t>
            </w:r>
            <w:r w:rsidRPr="000C02DA">
              <w:rPr>
                <w:rFonts w:ascii="Times New Roman" w:hAnsi="Times New Roman"/>
                <w:noProof/>
                <w:color w:val="FF0000"/>
                <w:szCs w:val="22"/>
              </w:rPr>
              <w:t xml:space="preserve"> </w:t>
            </w:r>
            <w:r w:rsidR="001A1E7C">
              <w:rPr>
                <w:rFonts w:ascii="Times New Roman" w:hAnsi="Times New Roman"/>
                <w:noProof/>
                <w:color w:val="FF0000"/>
                <w:szCs w:val="22"/>
              </w:rPr>
              <w:t>to</w:t>
            </w:r>
            <w:r w:rsidRPr="000C02DA">
              <w:rPr>
                <w:rFonts w:ascii="Times New Roman" w:hAnsi="Times New Roman"/>
                <w:noProof/>
                <w:color w:val="FF0000"/>
                <w:szCs w:val="22"/>
              </w:rPr>
              <w:t xml:space="preserve"> </w:t>
            </w:r>
            <w:r w:rsidR="001A1E7C">
              <w:rPr>
                <w:rFonts w:ascii="Times New Roman" w:hAnsi="Times New Roman"/>
                <w:noProof/>
                <w:color w:val="FF0000"/>
                <w:szCs w:val="22"/>
              </w:rPr>
              <w:t xml:space="preserve">EUR </w:t>
            </w:r>
            <w:r w:rsidRPr="000C02DA">
              <w:rPr>
                <w:rFonts w:ascii="Times New Roman" w:hAnsi="Times New Roman"/>
                <w:noProof/>
                <w:color w:val="FF0000"/>
                <w:szCs w:val="22"/>
              </w:rPr>
              <w:t>132 million</w:t>
            </w:r>
          </w:p>
        </w:tc>
        <w:tc>
          <w:tcPr>
            <w:tcW w:w="2401" w:type="dxa"/>
            <w:vAlign w:val="center"/>
          </w:tcPr>
          <w:p w14:paraId="2A15A8D2" w14:textId="7E6C455B" w:rsidR="00904D0A" w:rsidRDefault="00904D0A">
            <w:pPr>
              <w:pStyle w:val="JRCText"/>
              <w:jc w:val="center"/>
              <w:rPr>
                <w:rFonts w:ascii="Times New Roman" w:hAnsi="Times New Roman"/>
                <w:noProof/>
                <w:szCs w:val="22"/>
              </w:rPr>
            </w:pPr>
            <w:r w:rsidRPr="00E71388">
              <w:rPr>
                <w:rFonts w:ascii="Times New Roman" w:hAnsi="Times New Roman"/>
                <w:noProof/>
                <w:szCs w:val="22"/>
              </w:rPr>
              <w:t xml:space="preserve">0.7 </w:t>
            </w:r>
            <w:r w:rsidR="00284425">
              <w:rPr>
                <w:rFonts w:ascii="Times New Roman" w:hAnsi="Times New Roman"/>
                <w:noProof/>
                <w:szCs w:val="22"/>
              </w:rPr>
              <w:t xml:space="preserve">Mtonnes </w:t>
            </w:r>
            <w:r w:rsidRPr="00E71388">
              <w:rPr>
                <w:rFonts w:ascii="Times New Roman" w:hAnsi="Times New Roman"/>
                <w:noProof/>
                <w:szCs w:val="22"/>
              </w:rPr>
              <w:t>CO</w:t>
            </w:r>
            <w:r w:rsidRPr="00825115">
              <w:rPr>
                <w:rFonts w:ascii="Times New Roman" w:hAnsi="Times New Roman"/>
                <w:noProof/>
                <w:szCs w:val="22"/>
                <w:vertAlign w:val="subscript"/>
              </w:rPr>
              <w:t>2</w:t>
            </w:r>
            <w:r w:rsidRPr="00E71388">
              <w:rPr>
                <w:rFonts w:ascii="Times New Roman" w:hAnsi="Times New Roman"/>
                <w:noProof/>
                <w:szCs w:val="22"/>
              </w:rPr>
              <w:t xml:space="preserve"> (EUR 70 million)</w:t>
            </w:r>
          </w:p>
          <w:p w14:paraId="1BFA3A49" w14:textId="5F8970D3" w:rsidR="00904D0A" w:rsidRPr="00E71388" w:rsidRDefault="00904D0A">
            <w:pPr>
              <w:pStyle w:val="JRCText"/>
              <w:jc w:val="center"/>
              <w:rPr>
                <w:rFonts w:ascii="Times New Roman" w:hAnsi="Times New Roman"/>
                <w:noProof/>
                <w:szCs w:val="22"/>
              </w:rPr>
            </w:pPr>
            <w:r w:rsidRPr="000C02DA">
              <w:rPr>
                <w:rFonts w:ascii="Times New Roman" w:hAnsi="Times New Roman"/>
                <w:noProof/>
                <w:color w:val="FF0000"/>
                <w:szCs w:val="22"/>
              </w:rPr>
              <w:t xml:space="preserve">Sensitivity: </w:t>
            </w:r>
            <w:r w:rsidR="001A1E7C">
              <w:rPr>
                <w:rFonts w:ascii="Times New Roman" w:hAnsi="Times New Roman"/>
                <w:noProof/>
                <w:color w:val="FF0000"/>
                <w:szCs w:val="22"/>
              </w:rPr>
              <w:t>EUR</w:t>
            </w:r>
            <w:r w:rsidRPr="000C02DA">
              <w:rPr>
                <w:rFonts w:ascii="Times New Roman" w:hAnsi="Times New Roman"/>
                <w:noProof/>
                <w:color w:val="FF0000"/>
                <w:szCs w:val="22"/>
              </w:rPr>
              <w:t xml:space="preserve"> </w:t>
            </w:r>
            <w:r w:rsidR="00E24B5B">
              <w:rPr>
                <w:rFonts w:ascii="Times New Roman" w:hAnsi="Times New Roman"/>
                <w:noProof/>
                <w:color w:val="FF0000"/>
                <w:szCs w:val="22"/>
              </w:rPr>
              <w:t>42 million</w:t>
            </w:r>
            <w:r w:rsidR="00E24B5B" w:rsidRPr="000C02DA">
              <w:rPr>
                <w:rFonts w:ascii="Times New Roman" w:hAnsi="Times New Roman"/>
                <w:noProof/>
                <w:color w:val="FF0000"/>
                <w:szCs w:val="22"/>
              </w:rPr>
              <w:t xml:space="preserve"> </w:t>
            </w:r>
            <w:r w:rsidR="001A1E7C">
              <w:rPr>
                <w:rFonts w:ascii="Times New Roman" w:hAnsi="Times New Roman"/>
                <w:noProof/>
                <w:color w:val="FF0000"/>
                <w:szCs w:val="22"/>
              </w:rPr>
              <w:t xml:space="preserve">to EUR </w:t>
            </w:r>
            <w:r w:rsidRPr="000C02DA">
              <w:rPr>
                <w:rFonts w:ascii="Times New Roman" w:hAnsi="Times New Roman"/>
                <w:noProof/>
                <w:color w:val="FF0000"/>
                <w:szCs w:val="22"/>
              </w:rPr>
              <w:t>132 million</w:t>
            </w:r>
          </w:p>
        </w:tc>
        <w:tc>
          <w:tcPr>
            <w:tcW w:w="2401" w:type="dxa"/>
            <w:vAlign w:val="center"/>
          </w:tcPr>
          <w:p w14:paraId="699ACC9F" w14:textId="088E8667" w:rsidR="00904D0A" w:rsidRDefault="00904D0A">
            <w:pPr>
              <w:pStyle w:val="JRCText"/>
              <w:jc w:val="center"/>
              <w:rPr>
                <w:rFonts w:ascii="Times New Roman" w:hAnsi="Times New Roman"/>
                <w:noProof/>
                <w:szCs w:val="22"/>
              </w:rPr>
            </w:pPr>
            <w:r w:rsidRPr="00E71388">
              <w:rPr>
                <w:rFonts w:ascii="Times New Roman" w:hAnsi="Times New Roman"/>
                <w:noProof/>
                <w:szCs w:val="22"/>
              </w:rPr>
              <w:t xml:space="preserve">0.9 </w:t>
            </w:r>
            <w:r w:rsidR="00284425">
              <w:rPr>
                <w:rFonts w:ascii="Times New Roman" w:hAnsi="Times New Roman"/>
                <w:noProof/>
                <w:szCs w:val="22"/>
              </w:rPr>
              <w:t xml:space="preserve">Mtonnes </w:t>
            </w:r>
            <w:r w:rsidRPr="00E71388">
              <w:rPr>
                <w:rFonts w:ascii="Times New Roman" w:hAnsi="Times New Roman"/>
                <w:noProof/>
                <w:szCs w:val="22"/>
              </w:rPr>
              <w:t>CO</w:t>
            </w:r>
            <w:r w:rsidRPr="00825115">
              <w:rPr>
                <w:rFonts w:ascii="Times New Roman" w:hAnsi="Times New Roman"/>
                <w:noProof/>
                <w:szCs w:val="22"/>
                <w:vertAlign w:val="subscript"/>
              </w:rPr>
              <w:t>2</w:t>
            </w:r>
            <w:r w:rsidRPr="00E71388">
              <w:rPr>
                <w:rFonts w:ascii="Times New Roman" w:hAnsi="Times New Roman"/>
                <w:noProof/>
                <w:szCs w:val="22"/>
              </w:rPr>
              <w:t xml:space="preserve"> (EUR 90 million)</w:t>
            </w:r>
          </w:p>
          <w:p w14:paraId="72A8E240" w14:textId="00ACD543" w:rsidR="00904D0A" w:rsidRPr="00E71388" w:rsidRDefault="00904D0A">
            <w:pPr>
              <w:pStyle w:val="JRCText"/>
              <w:jc w:val="center"/>
              <w:rPr>
                <w:rFonts w:ascii="Times New Roman" w:hAnsi="Times New Roman"/>
                <w:noProof/>
                <w:szCs w:val="22"/>
              </w:rPr>
            </w:pPr>
            <w:r w:rsidRPr="000C02DA">
              <w:rPr>
                <w:rFonts w:ascii="Times New Roman" w:hAnsi="Times New Roman"/>
                <w:noProof/>
                <w:color w:val="FF0000"/>
                <w:szCs w:val="22"/>
              </w:rPr>
              <w:t xml:space="preserve">Sensitivity: </w:t>
            </w:r>
            <w:r w:rsidR="001A1E7C">
              <w:rPr>
                <w:rFonts w:ascii="Times New Roman" w:hAnsi="Times New Roman"/>
                <w:noProof/>
                <w:color w:val="FF0000"/>
                <w:szCs w:val="22"/>
              </w:rPr>
              <w:t>EUR</w:t>
            </w:r>
            <w:r w:rsidRPr="000C02DA">
              <w:rPr>
                <w:rFonts w:ascii="Times New Roman" w:hAnsi="Times New Roman"/>
                <w:noProof/>
                <w:color w:val="FF0000"/>
                <w:szCs w:val="22"/>
              </w:rPr>
              <w:t xml:space="preserve"> </w:t>
            </w:r>
            <w:r w:rsidR="00E24B5B">
              <w:rPr>
                <w:rFonts w:ascii="Times New Roman" w:hAnsi="Times New Roman"/>
                <w:noProof/>
                <w:color w:val="FF0000"/>
                <w:szCs w:val="22"/>
              </w:rPr>
              <w:t>54 million</w:t>
            </w:r>
            <w:r w:rsidR="001A1E7C">
              <w:rPr>
                <w:rFonts w:ascii="Times New Roman" w:hAnsi="Times New Roman"/>
                <w:noProof/>
                <w:color w:val="FF0000"/>
                <w:szCs w:val="22"/>
              </w:rPr>
              <w:t xml:space="preserve"> to EUR </w:t>
            </w:r>
            <w:r w:rsidRPr="000C02DA">
              <w:rPr>
                <w:rFonts w:ascii="Times New Roman" w:hAnsi="Times New Roman"/>
                <w:noProof/>
                <w:color w:val="FF0000"/>
                <w:szCs w:val="22"/>
              </w:rPr>
              <w:t>1</w:t>
            </w:r>
            <w:r>
              <w:rPr>
                <w:rFonts w:ascii="Times New Roman" w:hAnsi="Times New Roman"/>
                <w:noProof/>
                <w:color w:val="FF0000"/>
                <w:szCs w:val="22"/>
              </w:rPr>
              <w:t xml:space="preserve">70 </w:t>
            </w:r>
            <w:r w:rsidRPr="000C02DA">
              <w:rPr>
                <w:rFonts w:ascii="Times New Roman" w:hAnsi="Times New Roman"/>
                <w:noProof/>
                <w:color w:val="FF0000"/>
                <w:szCs w:val="22"/>
              </w:rPr>
              <w:t>million</w:t>
            </w:r>
          </w:p>
        </w:tc>
      </w:tr>
      <w:tr w:rsidR="00CF1D74" w:rsidRPr="00434F9E" w14:paraId="5B900D5B" w14:textId="77777777" w:rsidTr="3E45D101">
        <w:trPr>
          <w:trHeight w:val="531"/>
        </w:trPr>
        <w:tc>
          <w:tcPr>
            <w:tcW w:w="2400" w:type="dxa"/>
            <w:shd w:val="clear" w:color="auto" w:fill="DAE9F7" w:themeFill="text2" w:themeFillTint="1A"/>
            <w:vAlign w:val="center"/>
          </w:tcPr>
          <w:p w14:paraId="1D959EE5" w14:textId="77777777" w:rsidR="00904D0A" w:rsidRPr="00E71388" w:rsidRDefault="00904D0A">
            <w:pPr>
              <w:pStyle w:val="JRCText"/>
              <w:jc w:val="center"/>
              <w:rPr>
                <w:b/>
                <w:i/>
                <w:noProof/>
                <w:sz w:val="24"/>
                <w:szCs w:val="24"/>
              </w:rPr>
            </w:pPr>
            <w:r w:rsidRPr="00E71388">
              <w:rPr>
                <w:rFonts w:ascii="Times New Roman" w:hAnsi="Times New Roman"/>
                <w:b/>
                <w:i/>
                <w:noProof/>
                <w:sz w:val="24"/>
                <w:szCs w:val="24"/>
              </w:rPr>
              <w:t>TOTAL</w:t>
            </w:r>
          </w:p>
        </w:tc>
        <w:tc>
          <w:tcPr>
            <w:tcW w:w="2400" w:type="dxa"/>
            <w:shd w:val="clear" w:color="auto" w:fill="DAE9F7" w:themeFill="text2" w:themeFillTint="1A"/>
            <w:vAlign w:val="center"/>
          </w:tcPr>
          <w:p w14:paraId="0FFD6E31" w14:textId="470E0DC4" w:rsidR="00904D0A" w:rsidRPr="008167AC" w:rsidRDefault="00977181">
            <w:pPr>
              <w:pStyle w:val="JRCText"/>
              <w:jc w:val="center"/>
              <w:rPr>
                <w:rFonts w:ascii="Times New Roman" w:hAnsi="Times New Roman"/>
                <w:b/>
                <w:noProof/>
                <w:szCs w:val="22"/>
              </w:rPr>
            </w:pPr>
            <w:r w:rsidRPr="008167AC">
              <w:rPr>
                <w:rFonts w:ascii="Times New Roman" w:hAnsi="Times New Roman"/>
                <w:b/>
                <w:noProof/>
                <w:szCs w:val="22"/>
              </w:rPr>
              <w:t>30.58</w:t>
            </w:r>
            <w:r w:rsidR="00284425" w:rsidRPr="008167AC">
              <w:rPr>
                <w:rFonts w:ascii="Times New Roman" w:hAnsi="Times New Roman"/>
                <w:b/>
                <w:noProof/>
                <w:szCs w:val="22"/>
              </w:rPr>
              <w:t xml:space="preserve"> Mtonnes </w:t>
            </w:r>
            <w:r w:rsidR="00904D0A" w:rsidRPr="008167AC">
              <w:rPr>
                <w:rFonts w:ascii="Times New Roman" w:hAnsi="Times New Roman"/>
                <w:b/>
                <w:noProof/>
                <w:szCs w:val="22"/>
              </w:rPr>
              <w:t>CO</w:t>
            </w:r>
            <w:r w:rsidR="00904D0A" w:rsidRPr="008167AC">
              <w:rPr>
                <w:rFonts w:ascii="Times New Roman" w:hAnsi="Times New Roman"/>
                <w:b/>
                <w:noProof/>
                <w:szCs w:val="22"/>
                <w:vertAlign w:val="subscript"/>
              </w:rPr>
              <w:t>2</w:t>
            </w:r>
            <w:r w:rsidR="00904D0A" w:rsidRPr="008167AC">
              <w:rPr>
                <w:rFonts w:ascii="Times New Roman" w:hAnsi="Times New Roman"/>
                <w:b/>
                <w:noProof/>
                <w:szCs w:val="22"/>
              </w:rPr>
              <w:t xml:space="preserve"> </w:t>
            </w:r>
          </w:p>
          <w:p w14:paraId="08790DB8" w14:textId="6F88802C" w:rsidR="00904D0A" w:rsidRPr="008167AC" w:rsidRDefault="00904D0A">
            <w:pPr>
              <w:pStyle w:val="JRCText"/>
              <w:jc w:val="center"/>
              <w:rPr>
                <w:rFonts w:ascii="Times New Roman" w:hAnsi="Times New Roman"/>
                <w:b/>
                <w:noProof/>
                <w:szCs w:val="22"/>
              </w:rPr>
            </w:pPr>
            <w:r w:rsidRPr="008167AC">
              <w:rPr>
                <w:rFonts w:ascii="Times New Roman" w:hAnsi="Times New Roman"/>
                <w:b/>
                <w:noProof/>
                <w:szCs w:val="22"/>
              </w:rPr>
              <w:t xml:space="preserve">(EUR </w:t>
            </w:r>
            <w:r w:rsidR="00774E9F" w:rsidRPr="008167AC">
              <w:rPr>
                <w:rFonts w:ascii="Times New Roman" w:hAnsi="Times New Roman"/>
                <w:b/>
                <w:noProof/>
                <w:szCs w:val="22"/>
              </w:rPr>
              <w:t>3</w:t>
            </w:r>
            <w:r w:rsidR="007D7A39" w:rsidRPr="008167AC">
              <w:rPr>
                <w:rFonts w:ascii="Times New Roman" w:hAnsi="Times New Roman"/>
                <w:b/>
                <w:noProof/>
                <w:szCs w:val="22"/>
              </w:rPr>
              <w:t xml:space="preserve"> </w:t>
            </w:r>
            <w:r w:rsidR="00774E9F" w:rsidRPr="008167AC">
              <w:rPr>
                <w:rFonts w:ascii="Times New Roman" w:hAnsi="Times New Roman"/>
                <w:b/>
                <w:noProof/>
                <w:szCs w:val="22"/>
              </w:rPr>
              <w:t>058</w:t>
            </w:r>
            <w:r w:rsidRPr="008167AC">
              <w:rPr>
                <w:rFonts w:ascii="Times New Roman" w:hAnsi="Times New Roman"/>
                <w:b/>
                <w:noProof/>
                <w:szCs w:val="22"/>
              </w:rPr>
              <w:t xml:space="preserve"> </w:t>
            </w:r>
            <w:r w:rsidR="007D7A39" w:rsidRPr="008167AC">
              <w:rPr>
                <w:rFonts w:ascii="Times New Roman" w:hAnsi="Times New Roman"/>
                <w:b/>
                <w:noProof/>
                <w:szCs w:val="22"/>
              </w:rPr>
              <w:t>m</w:t>
            </w:r>
            <w:r w:rsidRPr="008167AC">
              <w:rPr>
                <w:rFonts w:ascii="Times New Roman" w:hAnsi="Times New Roman"/>
                <w:b/>
                <w:noProof/>
                <w:szCs w:val="22"/>
              </w:rPr>
              <w:t>illion)</w:t>
            </w:r>
          </w:p>
          <w:p w14:paraId="270FFD00" w14:textId="03F9A17A" w:rsidR="00904D0A" w:rsidRPr="008167AC" w:rsidRDefault="00904D0A">
            <w:pPr>
              <w:pStyle w:val="JRCText"/>
              <w:jc w:val="center"/>
              <w:rPr>
                <w:rFonts w:ascii="Times New Roman" w:hAnsi="Times New Roman"/>
                <w:b/>
                <w:i/>
                <w:noProof/>
                <w:szCs w:val="22"/>
              </w:rPr>
            </w:pPr>
            <w:r w:rsidRPr="008167AC">
              <w:rPr>
                <w:rFonts w:ascii="Times New Roman" w:hAnsi="Times New Roman"/>
                <w:b/>
                <w:i/>
                <w:noProof/>
                <w:szCs w:val="22"/>
              </w:rPr>
              <w:t>Sensitivity</w:t>
            </w:r>
            <w:r w:rsidR="00CF1D74" w:rsidRPr="008167AC">
              <w:rPr>
                <w:rFonts w:ascii="Times New Roman" w:hAnsi="Times New Roman"/>
                <w:b/>
                <w:i/>
                <w:noProof/>
                <w:szCs w:val="22"/>
              </w:rPr>
              <w:t xml:space="preserve">: </w:t>
            </w:r>
            <w:r w:rsidR="00F32127" w:rsidRPr="008167AC">
              <w:rPr>
                <w:rFonts w:ascii="Times New Roman" w:hAnsi="Times New Roman"/>
                <w:b/>
                <w:i/>
                <w:noProof/>
                <w:szCs w:val="22"/>
              </w:rPr>
              <w:t xml:space="preserve">EUR </w:t>
            </w:r>
            <w:r w:rsidR="00612AFC" w:rsidRPr="008167AC">
              <w:rPr>
                <w:rFonts w:ascii="Times New Roman" w:hAnsi="Times New Roman"/>
                <w:b/>
                <w:i/>
                <w:noProof/>
                <w:szCs w:val="22"/>
              </w:rPr>
              <w:t>1</w:t>
            </w:r>
            <w:r w:rsidR="007D7A39" w:rsidRPr="008167AC">
              <w:rPr>
                <w:rFonts w:ascii="Times New Roman" w:hAnsi="Times New Roman"/>
                <w:b/>
                <w:i/>
                <w:noProof/>
                <w:szCs w:val="22"/>
              </w:rPr>
              <w:t xml:space="preserve"> </w:t>
            </w:r>
            <w:r w:rsidR="00F40971" w:rsidRPr="008167AC">
              <w:rPr>
                <w:rFonts w:ascii="Times New Roman" w:hAnsi="Times New Roman"/>
                <w:b/>
                <w:i/>
                <w:noProof/>
                <w:szCs w:val="22"/>
              </w:rPr>
              <w:t>8</w:t>
            </w:r>
            <w:r w:rsidR="00113663" w:rsidRPr="008167AC">
              <w:rPr>
                <w:rFonts w:ascii="Times New Roman" w:hAnsi="Times New Roman"/>
                <w:b/>
                <w:i/>
                <w:noProof/>
                <w:szCs w:val="22"/>
              </w:rPr>
              <w:t>3</w:t>
            </w:r>
            <w:r w:rsidR="007D7A39" w:rsidRPr="008167AC">
              <w:rPr>
                <w:rFonts w:ascii="Times New Roman" w:hAnsi="Times New Roman"/>
                <w:b/>
                <w:i/>
                <w:noProof/>
                <w:szCs w:val="22"/>
              </w:rPr>
              <w:t>0</w:t>
            </w:r>
            <w:r w:rsidR="00612AFC" w:rsidRPr="008167AC">
              <w:rPr>
                <w:rFonts w:ascii="Times New Roman" w:hAnsi="Times New Roman"/>
                <w:b/>
                <w:i/>
                <w:noProof/>
                <w:szCs w:val="22"/>
              </w:rPr>
              <w:t xml:space="preserve"> </w:t>
            </w:r>
            <w:r w:rsidR="007D7A39" w:rsidRPr="008167AC">
              <w:rPr>
                <w:rFonts w:ascii="Times New Roman" w:hAnsi="Times New Roman"/>
                <w:b/>
                <w:i/>
                <w:noProof/>
                <w:szCs w:val="22"/>
              </w:rPr>
              <w:t>m</w:t>
            </w:r>
            <w:r w:rsidR="00612AFC" w:rsidRPr="008167AC">
              <w:rPr>
                <w:rFonts w:ascii="Times New Roman" w:hAnsi="Times New Roman"/>
                <w:b/>
                <w:i/>
                <w:noProof/>
                <w:szCs w:val="22"/>
              </w:rPr>
              <w:t>illion</w:t>
            </w:r>
            <w:r w:rsidR="00F32127" w:rsidRPr="008167AC">
              <w:rPr>
                <w:rFonts w:ascii="Times New Roman" w:hAnsi="Times New Roman"/>
                <w:b/>
                <w:i/>
                <w:noProof/>
                <w:szCs w:val="22"/>
              </w:rPr>
              <w:t xml:space="preserve"> to EUR </w:t>
            </w:r>
            <w:r w:rsidRPr="008167AC">
              <w:rPr>
                <w:rFonts w:ascii="Times New Roman" w:hAnsi="Times New Roman"/>
                <w:b/>
                <w:i/>
                <w:noProof/>
                <w:szCs w:val="22"/>
              </w:rPr>
              <w:t>5</w:t>
            </w:r>
            <w:r w:rsidR="007D7A39" w:rsidRPr="008167AC">
              <w:rPr>
                <w:rFonts w:ascii="Times New Roman" w:hAnsi="Times New Roman"/>
                <w:b/>
                <w:i/>
                <w:noProof/>
                <w:szCs w:val="22"/>
              </w:rPr>
              <w:t xml:space="preserve"> </w:t>
            </w:r>
            <w:r w:rsidR="00F32127" w:rsidRPr="008167AC">
              <w:rPr>
                <w:rFonts w:ascii="Times New Roman" w:hAnsi="Times New Roman"/>
                <w:b/>
                <w:i/>
                <w:noProof/>
                <w:szCs w:val="22"/>
              </w:rPr>
              <w:t>78</w:t>
            </w:r>
            <w:r w:rsidR="007D7A39" w:rsidRPr="008167AC">
              <w:rPr>
                <w:rFonts w:ascii="Times New Roman" w:hAnsi="Times New Roman"/>
                <w:b/>
                <w:i/>
                <w:noProof/>
                <w:szCs w:val="22"/>
              </w:rPr>
              <w:t>0</w:t>
            </w:r>
            <w:r w:rsidRPr="008167AC">
              <w:rPr>
                <w:rFonts w:ascii="Times New Roman" w:hAnsi="Times New Roman"/>
                <w:b/>
                <w:i/>
                <w:noProof/>
                <w:szCs w:val="22"/>
              </w:rPr>
              <w:t xml:space="preserve"> </w:t>
            </w:r>
            <w:r w:rsidR="007D7A39" w:rsidRPr="008167AC">
              <w:rPr>
                <w:rFonts w:ascii="Times New Roman" w:hAnsi="Times New Roman"/>
                <w:b/>
                <w:i/>
                <w:noProof/>
                <w:szCs w:val="22"/>
              </w:rPr>
              <w:t>m</w:t>
            </w:r>
            <w:r w:rsidRPr="008167AC">
              <w:rPr>
                <w:rFonts w:ascii="Times New Roman" w:hAnsi="Times New Roman"/>
                <w:b/>
                <w:i/>
                <w:noProof/>
                <w:szCs w:val="22"/>
              </w:rPr>
              <w:t>illion</w:t>
            </w:r>
          </w:p>
        </w:tc>
        <w:tc>
          <w:tcPr>
            <w:tcW w:w="2401" w:type="dxa"/>
            <w:shd w:val="clear" w:color="auto" w:fill="DAE9F7" w:themeFill="text2" w:themeFillTint="1A"/>
            <w:vAlign w:val="center"/>
          </w:tcPr>
          <w:p w14:paraId="2B69A279" w14:textId="1AB482EA" w:rsidR="00904D0A" w:rsidRPr="008167AC" w:rsidRDefault="00977181">
            <w:pPr>
              <w:pStyle w:val="JRCText"/>
              <w:jc w:val="center"/>
              <w:rPr>
                <w:rFonts w:ascii="Times New Roman" w:hAnsi="Times New Roman"/>
                <w:b/>
                <w:noProof/>
                <w:szCs w:val="22"/>
              </w:rPr>
            </w:pPr>
            <w:r w:rsidRPr="008167AC">
              <w:rPr>
                <w:rFonts w:ascii="Times New Roman" w:hAnsi="Times New Roman"/>
                <w:b/>
                <w:noProof/>
                <w:szCs w:val="22"/>
              </w:rPr>
              <w:t>30.58</w:t>
            </w:r>
            <w:r w:rsidR="00284425" w:rsidRPr="008167AC">
              <w:rPr>
                <w:rFonts w:ascii="Times New Roman" w:hAnsi="Times New Roman"/>
                <w:b/>
                <w:noProof/>
                <w:szCs w:val="22"/>
              </w:rPr>
              <w:t xml:space="preserve"> Mtonnes </w:t>
            </w:r>
            <w:r w:rsidR="00904D0A" w:rsidRPr="008167AC">
              <w:rPr>
                <w:rFonts w:ascii="Times New Roman" w:hAnsi="Times New Roman"/>
                <w:b/>
                <w:noProof/>
                <w:szCs w:val="22"/>
              </w:rPr>
              <w:t>CO</w:t>
            </w:r>
            <w:r w:rsidR="00904D0A" w:rsidRPr="008167AC">
              <w:rPr>
                <w:rFonts w:ascii="Times New Roman" w:hAnsi="Times New Roman"/>
                <w:b/>
                <w:noProof/>
                <w:szCs w:val="22"/>
                <w:vertAlign w:val="subscript"/>
              </w:rPr>
              <w:t>2</w:t>
            </w:r>
            <w:r w:rsidR="00904D0A" w:rsidRPr="008167AC">
              <w:rPr>
                <w:rFonts w:ascii="Times New Roman" w:hAnsi="Times New Roman"/>
                <w:b/>
                <w:noProof/>
                <w:szCs w:val="22"/>
              </w:rPr>
              <w:t xml:space="preserve"> </w:t>
            </w:r>
          </w:p>
          <w:p w14:paraId="0E8ABBA6" w14:textId="05ED87AD" w:rsidR="00904D0A" w:rsidRPr="008167AC" w:rsidRDefault="00904D0A">
            <w:pPr>
              <w:pStyle w:val="JRCText"/>
              <w:jc w:val="center"/>
              <w:rPr>
                <w:rFonts w:ascii="Times New Roman" w:hAnsi="Times New Roman"/>
                <w:b/>
                <w:noProof/>
                <w:szCs w:val="22"/>
              </w:rPr>
            </w:pPr>
            <w:r w:rsidRPr="008167AC">
              <w:rPr>
                <w:rFonts w:ascii="Times New Roman" w:hAnsi="Times New Roman"/>
                <w:b/>
                <w:noProof/>
                <w:szCs w:val="22"/>
              </w:rPr>
              <w:t>(EUR 3</w:t>
            </w:r>
            <w:r w:rsidR="007D7A39" w:rsidRPr="008167AC">
              <w:rPr>
                <w:rFonts w:ascii="Times New Roman" w:hAnsi="Times New Roman"/>
                <w:b/>
                <w:noProof/>
                <w:szCs w:val="22"/>
              </w:rPr>
              <w:t xml:space="preserve"> </w:t>
            </w:r>
            <w:r w:rsidR="00774E9F" w:rsidRPr="008167AC">
              <w:rPr>
                <w:rFonts w:ascii="Times New Roman" w:hAnsi="Times New Roman"/>
                <w:b/>
                <w:noProof/>
                <w:szCs w:val="22"/>
              </w:rPr>
              <w:t>058</w:t>
            </w:r>
            <w:r w:rsidRPr="008167AC">
              <w:rPr>
                <w:rFonts w:ascii="Times New Roman" w:hAnsi="Times New Roman"/>
                <w:b/>
                <w:noProof/>
                <w:szCs w:val="22"/>
              </w:rPr>
              <w:t xml:space="preserve"> </w:t>
            </w:r>
            <w:r w:rsidR="007D7A39" w:rsidRPr="008167AC">
              <w:rPr>
                <w:rFonts w:ascii="Times New Roman" w:hAnsi="Times New Roman"/>
                <w:b/>
                <w:noProof/>
                <w:szCs w:val="22"/>
              </w:rPr>
              <w:t>m</w:t>
            </w:r>
            <w:r w:rsidRPr="008167AC">
              <w:rPr>
                <w:rFonts w:ascii="Times New Roman" w:hAnsi="Times New Roman"/>
                <w:b/>
                <w:noProof/>
                <w:szCs w:val="22"/>
              </w:rPr>
              <w:t>illion)</w:t>
            </w:r>
          </w:p>
          <w:p w14:paraId="7B4D91EA" w14:textId="3EB0BAE9" w:rsidR="00904D0A" w:rsidRPr="008167AC" w:rsidRDefault="00F32127">
            <w:pPr>
              <w:pStyle w:val="JRCText"/>
              <w:jc w:val="center"/>
              <w:rPr>
                <w:rFonts w:ascii="Times New Roman" w:hAnsi="Times New Roman"/>
                <w:b/>
                <w:i/>
                <w:noProof/>
                <w:szCs w:val="22"/>
              </w:rPr>
            </w:pPr>
            <w:r w:rsidRPr="008167AC">
              <w:rPr>
                <w:rFonts w:ascii="Times New Roman" w:hAnsi="Times New Roman"/>
                <w:b/>
                <w:i/>
                <w:noProof/>
                <w:szCs w:val="22"/>
              </w:rPr>
              <w:t>Sensitivity: EUR 1</w:t>
            </w:r>
            <w:r w:rsidR="007D7A39" w:rsidRPr="008167AC">
              <w:rPr>
                <w:rFonts w:ascii="Times New Roman" w:hAnsi="Times New Roman"/>
                <w:b/>
                <w:i/>
                <w:noProof/>
                <w:szCs w:val="22"/>
              </w:rPr>
              <w:t xml:space="preserve"> </w:t>
            </w:r>
            <w:r w:rsidR="00113663" w:rsidRPr="008167AC">
              <w:rPr>
                <w:rFonts w:ascii="Times New Roman" w:hAnsi="Times New Roman"/>
                <w:b/>
                <w:i/>
                <w:noProof/>
                <w:szCs w:val="22"/>
              </w:rPr>
              <w:t>83</w:t>
            </w:r>
            <w:r w:rsidR="007D7A39" w:rsidRPr="008167AC">
              <w:rPr>
                <w:rFonts w:ascii="Times New Roman" w:hAnsi="Times New Roman"/>
                <w:b/>
                <w:i/>
                <w:noProof/>
                <w:szCs w:val="22"/>
              </w:rPr>
              <w:t>0</w:t>
            </w:r>
            <w:r w:rsidRPr="008167AC">
              <w:rPr>
                <w:rFonts w:ascii="Times New Roman" w:hAnsi="Times New Roman"/>
                <w:b/>
                <w:i/>
                <w:noProof/>
                <w:szCs w:val="22"/>
              </w:rPr>
              <w:t xml:space="preserve"> </w:t>
            </w:r>
            <w:r w:rsidR="007D7A39" w:rsidRPr="008167AC">
              <w:rPr>
                <w:rFonts w:ascii="Times New Roman" w:hAnsi="Times New Roman"/>
                <w:b/>
                <w:i/>
                <w:noProof/>
                <w:szCs w:val="22"/>
              </w:rPr>
              <w:t>m</w:t>
            </w:r>
            <w:r w:rsidRPr="008167AC">
              <w:rPr>
                <w:rFonts w:ascii="Times New Roman" w:hAnsi="Times New Roman"/>
                <w:b/>
                <w:i/>
                <w:noProof/>
                <w:szCs w:val="22"/>
              </w:rPr>
              <w:t>illion to EUR 5</w:t>
            </w:r>
            <w:r w:rsidR="007D7A39" w:rsidRPr="008167AC">
              <w:rPr>
                <w:rFonts w:ascii="Times New Roman" w:hAnsi="Times New Roman"/>
                <w:b/>
                <w:i/>
                <w:noProof/>
                <w:szCs w:val="22"/>
              </w:rPr>
              <w:t xml:space="preserve"> </w:t>
            </w:r>
            <w:r w:rsidRPr="008167AC">
              <w:rPr>
                <w:rFonts w:ascii="Times New Roman" w:hAnsi="Times New Roman"/>
                <w:b/>
                <w:i/>
                <w:noProof/>
                <w:szCs w:val="22"/>
              </w:rPr>
              <w:t>78</w:t>
            </w:r>
            <w:r w:rsidR="007D7A39" w:rsidRPr="008167AC">
              <w:rPr>
                <w:rFonts w:ascii="Times New Roman" w:hAnsi="Times New Roman"/>
                <w:b/>
                <w:i/>
                <w:noProof/>
                <w:szCs w:val="22"/>
              </w:rPr>
              <w:t>0</w:t>
            </w:r>
            <w:r w:rsidRPr="008167AC">
              <w:rPr>
                <w:rFonts w:ascii="Times New Roman" w:hAnsi="Times New Roman"/>
                <w:b/>
                <w:i/>
                <w:noProof/>
                <w:szCs w:val="22"/>
              </w:rPr>
              <w:t xml:space="preserve"> </w:t>
            </w:r>
            <w:r w:rsidR="007D7A39" w:rsidRPr="008167AC">
              <w:rPr>
                <w:rFonts w:ascii="Times New Roman" w:hAnsi="Times New Roman"/>
                <w:b/>
                <w:i/>
                <w:noProof/>
                <w:szCs w:val="22"/>
              </w:rPr>
              <w:t>m</w:t>
            </w:r>
            <w:r w:rsidRPr="008167AC">
              <w:rPr>
                <w:rFonts w:ascii="Times New Roman" w:hAnsi="Times New Roman"/>
                <w:b/>
                <w:i/>
                <w:noProof/>
                <w:szCs w:val="22"/>
              </w:rPr>
              <w:t>illion</w:t>
            </w:r>
          </w:p>
        </w:tc>
        <w:tc>
          <w:tcPr>
            <w:tcW w:w="2401" w:type="dxa"/>
            <w:shd w:val="clear" w:color="auto" w:fill="DAE9F7" w:themeFill="text2" w:themeFillTint="1A"/>
            <w:vAlign w:val="center"/>
          </w:tcPr>
          <w:p w14:paraId="69E3AA34" w14:textId="2C283507" w:rsidR="00904D0A" w:rsidRPr="008167AC" w:rsidRDefault="00904D0A">
            <w:pPr>
              <w:pStyle w:val="JRCText"/>
              <w:jc w:val="center"/>
              <w:rPr>
                <w:rFonts w:ascii="Times New Roman" w:hAnsi="Times New Roman"/>
                <w:b/>
                <w:noProof/>
                <w:szCs w:val="22"/>
              </w:rPr>
            </w:pPr>
            <w:r w:rsidRPr="008167AC">
              <w:rPr>
                <w:rFonts w:ascii="Times New Roman" w:hAnsi="Times New Roman"/>
                <w:b/>
                <w:noProof/>
                <w:szCs w:val="22"/>
              </w:rPr>
              <w:t>4</w:t>
            </w:r>
            <w:r w:rsidR="00977181" w:rsidRPr="008167AC">
              <w:rPr>
                <w:rFonts w:ascii="Times New Roman" w:hAnsi="Times New Roman"/>
                <w:b/>
                <w:noProof/>
                <w:szCs w:val="22"/>
              </w:rPr>
              <w:t>8.65</w:t>
            </w:r>
            <w:r w:rsidR="00284425" w:rsidRPr="008167AC">
              <w:rPr>
                <w:rFonts w:ascii="Times New Roman" w:hAnsi="Times New Roman"/>
                <w:b/>
                <w:noProof/>
                <w:szCs w:val="22"/>
              </w:rPr>
              <w:t xml:space="preserve"> Mtonnes </w:t>
            </w:r>
            <w:r w:rsidRPr="008167AC">
              <w:rPr>
                <w:rFonts w:ascii="Times New Roman" w:hAnsi="Times New Roman"/>
                <w:b/>
                <w:noProof/>
                <w:szCs w:val="22"/>
              </w:rPr>
              <w:t>CO</w:t>
            </w:r>
            <w:r w:rsidRPr="008167AC">
              <w:rPr>
                <w:rFonts w:ascii="Times New Roman" w:hAnsi="Times New Roman"/>
                <w:b/>
                <w:noProof/>
                <w:szCs w:val="22"/>
                <w:vertAlign w:val="subscript"/>
              </w:rPr>
              <w:t>2</w:t>
            </w:r>
            <w:r w:rsidRPr="008167AC">
              <w:rPr>
                <w:rFonts w:ascii="Times New Roman" w:hAnsi="Times New Roman"/>
                <w:b/>
                <w:noProof/>
                <w:szCs w:val="22"/>
              </w:rPr>
              <w:t xml:space="preserve"> </w:t>
            </w:r>
          </w:p>
          <w:p w14:paraId="5E0571D1" w14:textId="095120C7" w:rsidR="00904D0A" w:rsidRPr="008167AC" w:rsidRDefault="00904D0A">
            <w:pPr>
              <w:pStyle w:val="JRCText"/>
              <w:jc w:val="center"/>
              <w:rPr>
                <w:rFonts w:ascii="Times New Roman" w:hAnsi="Times New Roman"/>
                <w:b/>
                <w:noProof/>
                <w:szCs w:val="22"/>
              </w:rPr>
            </w:pPr>
            <w:r w:rsidRPr="008167AC">
              <w:rPr>
                <w:rFonts w:ascii="Times New Roman" w:hAnsi="Times New Roman"/>
                <w:b/>
                <w:noProof/>
                <w:szCs w:val="22"/>
              </w:rPr>
              <w:t>(EUR 4</w:t>
            </w:r>
            <w:r w:rsidR="007D7A39" w:rsidRPr="008167AC">
              <w:rPr>
                <w:rFonts w:ascii="Times New Roman" w:hAnsi="Times New Roman"/>
                <w:b/>
                <w:noProof/>
                <w:szCs w:val="22"/>
              </w:rPr>
              <w:t xml:space="preserve"> </w:t>
            </w:r>
            <w:r w:rsidR="00774E9F" w:rsidRPr="008167AC">
              <w:rPr>
                <w:rFonts w:ascii="Times New Roman" w:hAnsi="Times New Roman"/>
                <w:b/>
                <w:noProof/>
                <w:szCs w:val="22"/>
              </w:rPr>
              <w:t>865</w:t>
            </w:r>
            <w:r w:rsidRPr="008167AC">
              <w:rPr>
                <w:rFonts w:ascii="Times New Roman" w:hAnsi="Times New Roman"/>
                <w:b/>
                <w:noProof/>
                <w:szCs w:val="22"/>
              </w:rPr>
              <w:t xml:space="preserve"> </w:t>
            </w:r>
            <w:r w:rsidR="007D7A39" w:rsidRPr="008167AC">
              <w:rPr>
                <w:rFonts w:ascii="Times New Roman" w:hAnsi="Times New Roman"/>
                <w:b/>
                <w:noProof/>
                <w:szCs w:val="22"/>
              </w:rPr>
              <w:t>m</w:t>
            </w:r>
            <w:r w:rsidRPr="008167AC">
              <w:rPr>
                <w:rFonts w:ascii="Times New Roman" w:hAnsi="Times New Roman"/>
                <w:b/>
                <w:noProof/>
                <w:szCs w:val="22"/>
              </w:rPr>
              <w:t>illion)</w:t>
            </w:r>
          </w:p>
          <w:p w14:paraId="11EC5278" w14:textId="11CB0E46" w:rsidR="00904D0A" w:rsidRPr="008167AC" w:rsidRDefault="00F32127">
            <w:pPr>
              <w:pStyle w:val="JRCText"/>
              <w:jc w:val="center"/>
              <w:rPr>
                <w:rFonts w:ascii="Times New Roman" w:hAnsi="Times New Roman"/>
                <w:b/>
                <w:i/>
                <w:noProof/>
                <w:szCs w:val="22"/>
              </w:rPr>
            </w:pPr>
            <w:r w:rsidRPr="008167AC">
              <w:rPr>
                <w:rFonts w:ascii="Times New Roman" w:hAnsi="Times New Roman"/>
                <w:b/>
                <w:i/>
                <w:noProof/>
                <w:szCs w:val="22"/>
              </w:rPr>
              <w:t xml:space="preserve">Sensitivity: EUR </w:t>
            </w:r>
            <w:r w:rsidR="00113663" w:rsidRPr="008167AC">
              <w:rPr>
                <w:rFonts w:ascii="Times New Roman" w:hAnsi="Times New Roman"/>
                <w:b/>
                <w:i/>
                <w:noProof/>
                <w:szCs w:val="22"/>
              </w:rPr>
              <w:t>2</w:t>
            </w:r>
            <w:r w:rsidR="007D7A39" w:rsidRPr="008167AC">
              <w:rPr>
                <w:rFonts w:ascii="Times New Roman" w:hAnsi="Times New Roman"/>
                <w:b/>
                <w:i/>
                <w:noProof/>
                <w:szCs w:val="22"/>
              </w:rPr>
              <w:t xml:space="preserve"> </w:t>
            </w:r>
            <w:r w:rsidR="00113663" w:rsidRPr="008167AC">
              <w:rPr>
                <w:rFonts w:ascii="Times New Roman" w:hAnsi="Times New Roman"/>
                <w:b/>
                <w:i/>
                <w:noProof/>
                <w:szCs w:val="22"/>
              </w:rPr>
              <w:t>91</w:t>
            </w:r>
            <w:r w:rsidR="007D7A39" w:rsidRPr="008167AC">
              <w:rPr>
                <w:rFonts w:ascii="Times New Roman" w:hAnsi="Times New Roman"/>
                <w:b/>
                <w:i/>
                <w:noProof/>
                <w:szCs w:val="22"/>
              </w:rPr>
              <w:t>0</w:t>
            </w:r>
            <w:r w:rsidRPr="008167AC">
              <w:rPr>
                <w:rFonts w:ascii="Times New Roman" w:hAnsi="Times New Roman"/>
                <w:b/>
                <w:i/>
                <w:noProof/>
                <w:szCs w:val="22"/>
              </w:rPr>
              <w:t xml:space="preserve"> </w:t>
            </w:r>
            <w:r w:rsidR="007D7A39" w:rsidRPr="008167AC">
              <w:rPr>
                <w:rFonts w:ascii="Times New Roman" w:hAnsi="Times New Roman"/>
                <w:b/>
                <w:i/>
                <w:noProof/>
                <w:szCs w:val="22"/>
              </w:rPr>
              <w:t>m</w:t>
            </w:r>
            <w:r w:rsidRPr="008167AC">
              <w:rPr>
                <w:rFonts w:ascii="Times New Roman" w:hAnsi="Times New Roman"/>
                <w:b/>
                <w:i/>
                <w:noProof/>
                <w:szCs w:val="22"/>
              </w:rPr>
              <w:t xml:space="preserve">illion to EUR </w:t>
            </w:r>
            <w:r w:rsidR="00F54AFF" w:rsidRPr="008167AC">
              <w:rPr>
                <w:rFonts w:ascii="Times New Roman" w:hAnsi="Times New Roman"/>
                <w:b/>
                <w:i/>
                <w:noProof/>
                <w:szCs w:val="22"/>
              </w:rPr>
              <w:t>9</w:t>
            </w:r>
            <w:r w:rsidR="007D7A39" w:rsidRPr="008167AC">
              <w:rPr>
                <w:rFonts w:ascii="Times New Roman" w:hAnsi="Times New Roman"/>
                <w:b/>
                <w:i/>
                <w:noProof/>
                <w:szCs w:val="22"/>
              </w:rPr>
              <w:t xml:space="preserve"> </w:t>
            </w:r>
            <w:r w:rsidR="00F54AFF" w:rsidRPr="008167AC">
              <w:rPr>
                <w:rFonts w:ascii="Times New Roman" w:hAnsi="Times New Roman"/>
                <w:b/>
                <w:i/>
                <w:noProof/>
                <w:szCs w:val="22"/>
              </w:rPr>
              <w:t xml:space="preserve">195 </w:t>
            </w:r>
            <w:r w:rsidR="007D7A39" w:rsidRPr="008167AC">
              <w:rPr>
                <w:rFonts w:ascii="Times New Roman" w:hAnsi="Times New Roman"/>
                <w:b/>
                <w:i/>
                <w:noProof/>
                <w:szCs w:val="22"/>
              </w:rPr>
              <w:t>m</w:t>
            </w:r>
            <w:r w:rsidRPr="008167AC">
              <w:rPr>
                <w:rFonts w:ascii="Times New Roman" w:hAnsi="Times New Roman"/>
                <w:b/>
                <w:i/>
                <w:noProof/>
                <w:szCs w:val="22"/>
              </w:rPr>
              <w:t>illion</w:t>
            </w:r>
          </w:p>
        </w:tc>
      </w:tr>
    </w:tbl>
    <w:p w14:paraId="6419DEBF" w14:textId="77777777" w:rsidR="00147F84" w:rsidRDefault="00147F84" w:rsidP="002B0B10">
      <w:pPr>
        <w:rPr>
          <w:noProof/>
        </w:rPr>
        <w:sectPr w:rsidR="00147F84">
          <w:headerReference w:type="even" r:id="rId121"/>
          <w:headerReference w:type="default" r:id="rId122"/>
          <w:footerReference w:type="default" r:id="rId123"/>
          <w:headerReference w:type="first" r:id="rId124"/>
          <w:pgSz w:w="11906" w:h="16838"/>
          <w:pgMar w:top="1440" w:right="1440" w:bottom="1440" w:left="1440" w:header="708" w:footer="708" w:gutter="0"/>
          <w:cols w:space="708"/>
          <w:docGrid w:linePitch="360"/>
        </w:sectPr>
      </w:pPr>
    </w:p>
    <w:p w14:paraId="472BF226" w14:textId="6912425C" w:rsidR="007B3889" w:rsidRPr="007B7697" w:rsidRDefault="007B3889" w:rsidP="296E22C2">
      <w:pPr>
        <w:pStyle w:val="Heading1"/>
        <w:numPr>
          <w:ilvl w:val="0"/>
          <w:numId w:val="0"/>
        </w:numPr>
        <w:rPr>
          <w:rFonts w:ascii="Times New Roman" w:hAnsi="Times New Roman" w:cs="Times New Roman"/>
          <w:b/>
          <w:noProof/>
          <w:color w:val="auto"/>
          <w:sz w:val="28"/>
          <w:szCs w:val="28"/>
        </w:rPr>
      </w:pPr>
      <w:bookmarkStart w:id="1585" w:name="_Toc222159397"/>
      <w:bookmarkStart w:id="1586" w:name="_Toc222490072"/>
      <w:r w:rsidRPr="007B7697">
        <w:rPr>
          <w:rFonts w:ascii="Times New Roman" w:hAnsi="Times New Roman" w:cs="Times New Roman"/>
          <w:b/>
          <w:bCs/>
          <w:noProof/>
          <w:color w:val="auto"/>
          <w:sz w:val="28"/>
          <w:szCs w:val="28"/>
        </w:rPr>
        <w:t>A</w:t>
      </w:r>
      <w:r w:rsidR="00B13943">
        <w:rPr>
          <w:rFonts w:ascii="Times New Roman" w:hAnsi="Times New Roman" w:cs="Times New Roman"/>
          <w:b/>
          <w:bCs/>
          <w:noProof/>
          <w:color w:val="auto"/>
          <w:sz w:val="28"/>
          <w:szCs w:val="28"/>
        </w:rPr>
        <w:t>nnex</w:t>
      </w:r>
      <w:r w:rsidRPr="007B7697">
        <w:rPr>
          <w:rFonts w:ascii="Times New Roman" w:hAnsi="Times New Roman" w:cs="Times New Roman"/>
          <w:b/>
          <w:bCs/>
          <w:noProof/>
          <w:color w:val="auto"/>
          <w:sz w:val="28"/>
          <w:szCs w:val="28"/>
        </w:rPr>
        <w:t xml:space="preserve"> 1</w:t>
      </w:r>
      <w:r w:rsidR="007B7697" w:rsidRPr="007B7697">
        <w:rPr>
          <w:rFonts w:ascii="Times New Roman" w:hAnsi="Times New Roman" w:cs="Times New Roman"/>
          <w:b/>
          <w:bCs/>
          <w:noProof/>
          <w:color w:val="auto"/>
          <w:sz w:val="28"/>
          <w:szCs w:val="28"/>
        </w:rPr>
        <w:t>6</w:t>
      </w:r>
      <w:r w:rsidR="007B7697">
        <w:rPr>
          <w:rFonts w:ascii="Times New Roman" w:hAnsi="Times New Roman" w:cs="Times New Roman"/>
          <w:b/>
          <w:bCs/>
          <w:noProof/>
          <w:color w:val="auto"/>
          <w:sz w:val="28"/>
          <w:szCs w:val="28"/>
        </w:rPr>
        <w:t>:</w:t>
      </w:r>
      <w:r w:rsidR="004F226D">
        <w:rPr>
          <w:rFonts w:ascii="Times New Roman" w:hAnsi="Times New Roman" w:cs="Times New Roman"/>
          <w:b/>
          <w:bCs/>
          <w:noProof/>
          <w:color w:val="auto"/>
          <w:sz w:val="28"/>
          <w:szCs w:val="28"/>
        </w:rPr>
        <w:t xml:space="preserve"> </w:t>
      </w:r>
      <w:r w:rsidR="00C73CDF">
        <w:rPr>
          <w:rFonts w:ascii="Times New Roman" w:hAnsi="Times New Roman" w:cs="Times New Roman"/>
          <w:b/>
          <w:bCs/>
          <w:noProof/>
          <w:color w:val="auto"/>
          <w:sz w:val="28"/>
          <w:szCs w:val="28"/>
        </w:rPr>
        <w:t>Net</w:t>
      </w:r>
      <w:r w:rsidR="72C04681" w:rsidRPr="483C395E">
        <w:rPr>
          <w:rFonts w:ascii="Times New Roman" w:hAnsi="Times New Roman" w:cs="Times New Roman"/>
          <w:b/>
          <w:bCs/>
          <w:noProof/>
          <w:color w:val="auto"/>
          <w:sz w:val="28"/>
          <w:szCs w:val="28"/>
        </w:rPr>
        <w:t>-</w:t>
      </w:r>
      <w:r w:rsidR="00C73CDF">
        <w:rPr>
          <w:rFonts w:ascii="Times New Roman" w:hAnsi="Times New Roman" w:cs="Times New Roman"/>
          <w:b/>
          <w:bCs/>
          <w:noProof/>
          <w:color w:val="auto"/>
          <w:sz w:val="28"/>
          <w:szCs w:val="28"/>
        </w:rPr>
        <w:t>Zero Technologies</w:t>
      </w:r>
      <w:bookmarkEnd w:id="1585"/>
      <w:bookmarkEnd w:id="1586"/>
    </w:p>
    <w:p w14:paraId="61F3DED6" w14:textId="44E56970" w:rsidR="296E22C2" w:rsidRDefault="296E22C2" w:rsidP="296E22C2">
      <w:pPr>
        <w:rPr>
          <w:noProof/>
        </w:rPr>
      </w:pPr>
    </w:p>
    <w:p w14:paraId="4812A3B9" w14:textId="17C8F72D" w:rsidR="00BA4F33" w:rsidRDefault="00D85C4B" w:rsidP="00ED228A">
      <w:pPr>
        <w:rPr>
          <w:noProof/>
        </w:rPr>
      </w:pPr>
      <w:r>
        <w:rPr>
          <w:noProof/>
        </w:rPr>
        <w:t>While the impact assessment report focuses on batteries and PV</w:t>
      </w:r>
      <w:r w:rsidR="0035305A">
        <w:rPr>
          <w:noProof/>
        </w:rPr>
        <w:t xml:space="preserve"> technologies</w:t>
      </w:r>
      <w:r>
        <w:rPr>
          <w:noProof/>
        </w:rPr>
        <w:t xml:space="preserve">, this Annex expands the </w:t>
      </w:r>
      <w:r w:rsidR="00CD747B">
        <w:rPr>
          <w:noProof/>
        </w:rPr>
        <w:t xml:space="preserve">scope of </w:t>
      </w:r>
      <w:r w:rsidR="766C6A9F">
        <w:rPr>
          <w:noProof/>
        </w:rPr>
        <w:t>the analysis to</w:t>
      </w:r>
      <w:r w:rsidR="00F915A0">
        <w:rPr>
          <w:noProof/>
        </w:rPr>
        <w:t xml:space="preserve"> </w:t>
      </w:r>
      <w:r w:rsidR="00BA4F33">
        <w:rPr>
          <w:noProof/>
        </w:rPr>
        <w:t xml:space="preserve">the </w:t>
      </w:r>
      <w:r w:rsidR="00F915A0" w:rsidRPr="00F915A0">
        <w:rPr>
          <w:noProof/>
        </w:rPr>
        <w:t>additional net-zero technologies</w:t>
      </w:r>
      <w:r w:rsidR="00BA4F33">
        <w:rPr>
          <w:noProof/>
        </w:rPr>
        <w:t xml:space="preserve"> for which Made in EU requirements have been proposed.</w:t>
      </w:r>
      <w:r w:rsidR="001A61D0">
        <w:rPr>
          <w:noProof/>
        </w:rPr>
        <w:t xml:space="preserve"> </w:t>
      </w:r>
      <w:r w:rsidR="00ED228A">
        <w:rPr>
          <w:noProof/>
        </w:rPr>
        <w:t xml:space="preserve">Specifically, it provides detailed information and a comprehensive cost-benefit analysis that includes wind energy, nuclear fission energy technologies, heat pumps, electricity grid technologies, solar thermal </w:t>
      </w:r>
      <w:r w:rsidR="0035305A">
        <w:rPr>
          <w:noProof/>
        </w:rPr>
        <w:t>technologies</w:t>
      </w:r>
      <w:r w:rsidR="00ED228A">
        <w:rPr>
          <w:noProof/>
        </w:rPr>
        <w:t xml:space="preserve"> and electrolysers.</w:t>
      </w:r>
      <w:r w:rsidR="00D909D7">
        <w:rPr>
          <w:noProof/>
        </w:rPr>
        <w:t xml:space="preserve"> </w:t>
      </w:r>
      <w:r w:rsidR="00ED228A">
        <w:rPr>
          <w:noProof/>
        </w:rPr>
        <w:t xml:space="preserve">This expanded assessment not only </w:t>
      </w:r>
      <w:r w:rsidR="00D909D7">
        <w:rPr>
          <w:noProof/>
        </w:rPr>
        <w:t>illustrates</w:t>
      </w:r>
      <w:r w:rsidR="00ED228A">
        <w:rPr>
          <w:noProof/>
        </w:rPr>
        <w:t xml:space="preserve"> the rationale behind the design of Made in EU requirements for each of these technologies but also evaluates a range of socioeconomic impacts. It considers factors such as manufacturing capacity availability and geographic variations in production costs</w:t>
      </w:r>
      <w:r w:rsidR="00016292">
        <w:rPr>
          <w:noProof/>
        </w:rPr>
        <w:t xml:space="preserve"> and other pertinent dimensions</w:t>
      </w:r>
      <w:r w:rsidR="7306CD5F">
        <w:rPr>
          <w:noProof/>
        </w:rPr>
        <w:t>,</w:t>
      </w:r>
      <w:r w:rsidR="00016292">
        <w:rPr>
          <w:noProof/>
        </w:rPr>
        <w:t xml:space="preserve"> </w:t>
      </w:r>
      <w:r w:rsidR="00ED228A">
        <w:rPr>
          <w:noProof/>
        </w:rPr>
        <w:t>offering insights into the feasibility</w:t>
      </w:r>
      <w:r w:rsidR="006D1335">
        <w:rPr>
          <w:noProof/>
        </w:rPr>
        <w:t xml:space="preserve"> and </w:t>
      </w:r>
      <w:r w:rsidR="7B5D4682">
        <w:rPr>
          <w:noProof/>
        </w:rPr>
        <w:t>impact</w:t>
      </w:r>
      <w:r w:rsidR="006D1335">
        <w:rPr>
          <w:noProof/>
        </w:rPr>
        <w:t xml:space="preserve"> on consumers</w:t>
      </w:r>
      <w:r w:rsidR="72AA6C80">
        <w:rPr>
          <w:noProof/>
        </w:rPr>
        <w:t>.</w:t>
      </w:r>
      <w:r w:rsidR="00ED228A">
        <w:rPr>
          <w:noProof/>
        </w:rPr>
        <w:t xml:space="preserve"> By delving into these pertinent dimensions, the Annex aims to </w:t>
      </w:r>
      <w:r w:rsidR="21718387">
        <w:rPr>
          <w:noProof/>
        </w:rPr>
        <w:t>provide</w:t>
      </w:r>
      <w:r w:rsidR="00ED228A">
        <w:rPr>
          <w:noProof/>
        </w:rPr>
        <w:t xml:space="preserve"> a more nuanced understanding of both the potential benefits and challenges associated with regional manufacturing mandates for emerging net-zero technologies.</w:t>
      </w:r>
    </w:p>
    <w:p w14:paraId="5BA5FDDF" w14:textId="3702511B" w:rsidR="00F537BB" w:rsidRPr="00594CAF" w:rsidRDefault="00F537BB" w:rsidP="00D60BF3">
      <w:pPr>
        <w:pStyle w:val="Heading2"/>
        <w:numPr>
          <w:ilvl w:val="0"/>
          <w:numId w:val="0"/>
        </w:numPr>
        <w:ind w:left="576"/>
      </w:pPr>
      <w:bookmarkStart w:id="1587" w:name="_Toc222490073"/>
      <w:r w:rsidRPr="00C76855">
        <w:t xml:space="preserve">Identification of </w:t>
      </w:r>
      <w:r w:rsidRPr="00594CAF">
        <w:t>NZIA main specific components to be covered by Made in EU requirements</w:t>
      </w:r>
      <w:bookmarkEnd w:id="1587"/>
    </w:p>
    <w:p w14:paraId="0A0929F5" w14:textId="77777777" w:rsidR="00F537BB" w:rsidRPr="00732666" w:rsidRDefault="00F537BB" w:rsidP="00B7284B">
      <w:pPr>
        <w:spacing w:after="120"/>
        <w:rPr>
          <w:rFonts w:cs="Times New Roman"/>
          <w:noProof/>
          <w:szCs w:val="24"/>
          <w:lang w:val="en-US"/>
        </w:rPr>
      </w:pPr>
      <w:r w:rsidRPr="00732666">
        <w:rPr>
          <w:rFonts w:cs="Times New Roman"/>
          <w:noProof/>
          <w:szCs w:val="24"/>
          <w:lang w:val="en-US"/>
        </w:rPr>
        <w:t>The Net-Zero Industry Act defines main specific components of net-zero technologies as those components essential for manufacturing the final product. To ensure the EU is resilient in the deployment of net-zero technologies, it is fundamental to develop a diversified supply of main specific components. A further level of ambition that also aims at leveraging the energy transition as an industrial opportunity to create jobs and create added value within the EU – which is a necessary factor to gain broad consensus on the energy transition – entails that the EU produces some of these essential components domestically. Reshoring the entire supply chain at once is impractical; it must be carefully managed to avoid supply-demand imbalances that could hinder technology deployment.</w:t>
      </w:r>
    </w:p>
    <w:p w14:paraId="1C9B5C98" w14:textId="7CA0604D" w:rsidR="00F537BB" w:rsidRPr="00732666" w:rsidRDefault="00F537BB" w:rsidP="00B7284B">
      <w:pPr>
        <w:spacing w:after="120"/>
        <w:rPr>
          <w:rFonts w:cs="Times New Roman"/>
          <w:noProof/>
          <w:lang w:val="en-US"/>
        </w:rPr>
      </w:pPr>
      <w:r w:rsidRPr="3CA787FD">
        <w:rPr>
          <w:rFonts w:cs="Times New Roman"/>
          <w:noProof/>
          <w:lang w:val="en-US"/>
        </w:rPr>
        <w:t xml:space="preserve">A strategic and gradual approach to reshoring is essential, which prioritizes components for which the EU is best fit to compete. This has been the guiding element in the definition of the draft ‘Made in EU’ requirements in the Industrial Accelerator Act (IAA). The methodology relied on two steps: first identifying competitively producible components and then verifying sufficient manufacturing capacity is available. The degree of competitiveness of the EU in producing net-zero technologies main specific components has been analysed comparing the levelized cost of production (and its underlying drivers such as capital costs, labour costs, operational costs and energy costs) in the EU and overseas. Such assessment aimed at ensuring that the proposed made in EU requirements are tailored and guarantee proportional investments without excessive expense (see Section </w:t>
      </w:r>
      <w:r w:rsidR="007323F4" w:rsidRPr="3CA787FD">
        <w:rPr>
          <w:rFonts w:cs="Times New Roman"/>
          <w:i/>
          <w:noProof/>
          <w:lang w:val="en-US"/>
        </w:rPr>
        <w:t>‘Assessment of socioeconomic implications of IAA provisions related to net-zero technologies’</w:t>
      </w:r>
      <w:r w:rsidRPr="3CA787FD">
        <w:rPr>
          <w:rFonts w:cs="Times New Roman"/>
          <w:noProof/>
          <w:lang w:val="en-US"/>
        </w:rPr>
        <w:t xml:space="preserve">). Once the strategic components have been identified, the status and projected evolution on manufacturing capacity in the EU has been assessed vis-à-vis expected demand to ensure realistic made in EU ambitions (see </w:t>
      </w:r>
      <w:r w:rsidR="007323F4" w:rsidRPr="3CA787FD">
        <w:rPr>
          <w:rFonts w:cs="Times New Roman"/>
          <w:noProof/>
          <w:lang w:val="en-US"/>
        </w:rPr>
        <w:t xml:space="preserve">section </w:t>
      </w:r>
      <w:r w:rsidR="007323F4" w:rsidRPr="3CA787FD">
        <w:rPr>
          <w:rFonts w:cs="Times New Roman"/>
          <w:i/>
          <w:noProof/>
          <w:lang w:val="en-US"/>
        </w:rPr>
        <w:t>‘EU capacity to supply its demand for net-zero technologies’</w:t>
      </w:r>
      <w:r w:rsidRPr="3CA787FD">
        <w:rPr>
          <w:rFonts w:cs="Times New Roman"/>
          <w:noProof/>
          <w:lang w:val="en-US"/>
        </w:rPr>
        <w:t>). When manufacturing capacity falls short of demand, made in EU requirements have been either postponed or adjusted to prevent demand-supply imbalances and longer lead times. In such cases, requirements may be generalized to promote flexibility: rather than stipulating that specific components like PV cells must be EU-made, the requirement could be "one component should be made in the EU." This flexibility encourages the industry to produce competitively viable components while adapting to capacity constraints.</w:t>
      </w:r>
    </w:p>
    <w:p w14:paraId="5FF9E4AB" w14:textId="06262787" w:rsidR="00C76855" w:rsidRPr="00732666" w:rsidRDefault="00F537BB" w:rsidP="00B347F7">
      <w:pPr>
        <w:spacing w:after="120"/>
        <w:rPr>
          <w:rFonts w:cs="Times New Roman"/>
          <w:noProof/>
          <w:lang w:val="en-US"/>
        </w:rPr>
      </w:pPr>
      <w:r w:rsidRPr="3CA787FD">
        <w:rPr>
          <w:rFonts w:cs="Times New Roman"/>
          <w:noProof/>
          <w:lang w:val="en-US"/>
        </w:rPr>
        <w:t>This section outlines for various net-zero technologies how strategic components that should feature Made in EU requirements have been identified.</w:t>
      </w:r>
    </w:p>
    <w:p w14:paraId="0B5B2651" w14:textId="77777777" w:rsidR="00F537BB" w:rsidRPr="00204D9E" w:rsidRDefault="00F537BB" w:rsidP="00B347F7">
      <w:pPr>
        <w:spacing w:before="240"/>
        <w:rPr>
          <w:rFonts w:cs="Times New Roman"/>
          <w:b/>
          <w:i/>
          <w:noProof/>
          <w:szCs w:val="24"/>
          <w:lang w:val="en-US"/>
        </w:rPr>
      </w:pPr>
      <w:r w:rsidRPr="00204D9E">
        <w:rPr>
          <w:rFonts w:cs="Times New Roman"/>
          <w:b/>
          <w:i/>
          <w:noProof/>
          <w:szCs w:val="24"/>
          <w:lang w:val="en-US"/>
        </w:rPr>
        <w:t>PV</w:t>
      </w:r>
    </w:p>
    <w:p w14:paraId="42D9B47D" w14:textId="5C76B630" w:rsidR="00F537BB" w:rsidRPr="00732666" w:rsidRDefault="00F537BB" w:rsidP="00B7284B">
      <w:pPr>
        <w:spacing w:after="120"/>
        <w:rPr>
          <w:rFonts w:cs="Times New Roman"/>
          <w:noProof/>
        </w:rPr>
      </w:pPr>
      <w:r w:rsidRPr="3CA787FD">
        <w:rPr>
          <w:rFonts w:cs="Times New Roman"/>
          <w:noProof/>
        </w:rPr>
        <w:t>Cells and modules are crucial stages in the PV value chain, offering significant added value and job creation opportunities</w:t>
      </w:r>
      <w:r w:rsidR="00D370DC" w:rsidRPr="3CA787FD">
        <w:rPr>
          <w:rStyle w:val="FootnoteReference"/>
          <w:rFonts w:cs="Times New Roman"/>
          <w:noProof/>
        </w:rPr>
        <w:footnoteReference w:id="713"/>
      </w:r>
      <w:r w:rsidRPr="3CA787FD">
        <w:rPr>
          <w:rFonts w:cs="Times New Roman"/>
          <w:noProof/>
        </w:rPr>
        <w:t>, making them strategic priorities for EU industries to leverage the benefits of PV adoption. Additionally, cells and modules have the lowest energy intensity in the PV value chain. With EU energy prices higher than those of many competitors, the EU is most likely to be competitive in producing components of lower energy intensity, such as PV cells and modules.</w:t>
      </w:r>
    </w:p>
    <w:p w14:paraId="34EDE8B1" w14:textId="77777777" w:rsidR="00F537BB" w:rsidRPr="00732666" w:rsidRDefault="00F537BB" w:rsidP="00B7284B">
      <w:pPr>
        <w:spacing w:after="120"/>
        <w:rPr>
          <w:rFonts w:cs="Times New Roman"/>
          <w:noProof/>
        </w:rPr>
      </w:pPr>
      <w:r w:rsidRPr="3CA787FD">
        <w:rPr>
          <w:rFonts w:cs="Times New Roman"/>
          <w:noProof/>
        </w:rPr>
        <w:t>The PV inverter industry in the EU is well-established but faces growing competition from third countries. Inverters are also a crucial component from a cybersecurity standpoint. As such, PV inverters should be prioritized as a strategic component, ensuring they are manufactured within the EU.</w:t>
      </w:r>
    </w:p>
    <w:p w14:paraId="0EB9D0A8" w14:textId="1AE63F95" w:rsidR="00EB7705" w:rsidRPr="00732666" w:rsidRDefault="00F537BB" w:rsidP="296E22C2">
      <w:pPr>
        <w:spacing w:after="120"/>
        <w:rPr>
          <w:rFonts w:cs="Times New Roman"/>
          <w:noProof/>
        </w:rPr>
      </w:pPr>
      <w:r w:rsidRPr="296E22C2">
        <w:rPr>
          <w:rFonts w:cs="Times New Roman"/>
          <w:noProof/>
        </w:rPr>
        <w:t xml:space="preserve">Therefore, </w:t>
      </w:r>
      <w:r w:rsidR="53946197" w:rsidRPr="296E22C2">
        <w:rPr>
          <w:rFonts w:cs="Times New Roman"/>
          <w:noProof/>
        </w:rPr>
        <w:t xml:space="preserve">building on the analysis </w:t>
      </w:r>
      <w:r w:rsidR="00A1532C" w:rsidRPr="3CA787FD">
        <w:rPr>
          <w:rFonts w:cs="Times New Roman"/>
          <w:noProof/>
        </w:rPr>
        <w:t>on</w:t>
      </w:r>
      <w:r w:rsidR="53946197" w:rsidRPr="296E22C2">
        <w:rPr>
          <w:rFonts w:cs="Times New Roman"/>
          <w:noProof/>
        </w:rPr>
        <w:t xml:space="preserve"> the design of policy measure conducted in </w:t>
      </w:r>
      <w:r w:rsidR="315D5302" w:rsidRPr="296E22C2">
        <w:rPr>
          <w:rFonts w:cs="Times New Roman"/>
          <w:noProof/>
        </w:rPr>
        <w:t xml:space="preserve">Annex 9 of this report, </w:t>
      </w:r>
      <w:r w:rsidRPr="296E22C2">
        <w:rPr>
          <w:rFonts w:cs="Times New Roman"/>
          <w:noProof/>
        </w:rPr>
        <w:t xml:space="preserve">Made in EU requirements for solar PV </w:t>
      </w:r>
      <w:r w:rsidR="0C852AAB" w:rsidRPr="296E22C2">
        <w:rPr>
          <w:rFonts w:cs="Times New Roman"/>
          <w:noProof/>
        </w:rPr>
        <w:t>could</w:t>
      </w:r>
      <w:r w:rsidRPr="296E22C2">
        <w:rPr>
          <w:rFonts w:cs="Times New Roman"/>
          <w:noProof/>
        </w:rPr>
        <w:t xml:space="preserve"> initially target inverters, modules, and cells. However, due to capacity constraints, as determined by conservative assessments of projected manufacturing capabilities, this requirement would be adjusted to: "inverters and at least two main specific components." This flexible approach prioritizes strategic components while allowing for the production in the EU of other main specific components (e.g. solar glass, PV trackers, and polysilicon) to meet demand effectively.</w:t>
      </w:r>
    </w:p>
    <w:p w14:paraId="19A8164A" w14:textId="77777777" w:rsidR="00F537BB" w:rsidRPr="00D27762" w:rsidRDefault="00F537BB" w:rsidP="00631B90">
      <w:pPr>
        <w:spacing w:before="240"/>
        <w:rPr>
          <w:rFonts w:cs="Times New Roman"/>
          <w:b/>
          <w:i/>
          <w:noProof/>
          <w:szCs w:val="24"/>
        </w:rPr>
      </w:pPr>
      <w:r w:rsidRPr="00D27762">
        <w:rPr>
          <w:rFonts w:cs="Times New Roman"/>
          <w:b/>
          <w:i/>
          <w:noProof/>
          <w:szCs w:val="24"/>
        </w:rPr>
        <w:t>Heat pumps</w:t>
      </w:r>
    </w:p>
    <w:p w14:paraId="606BDD09" w14:textId="7C22C497" w:rsidR="00F537BB" w:rsidRPr="00732666" w:rsidRDefault="001C0DBF" w:rsidP="00B7284B">
      <w:pPr>
        <w:spacing w:after="120"/>
        <w:rPr>
          <w:rFonts w:cs="Times New Roman"/>
          <w:noProof/>
          <w:szCs w:val="24"/>
        </w:rPr>
      </w:pPr>
      <w:r w:rsidRPr="2E6543FA">
        <w:rPr>
          <w:rFonts w:cs="Times New Roman"/>
          <w:noProof/>
        </w:rPr>
        <w:t>H</w:t>
      </w:r>
      <w:r w:rsidR="00F537BB" w:rsidRPr="2E6543FA">
        <w:rPr>
          <w:rFonts w:cs="Times New Roman"/>
          <w:noProof/>
        </w:rPr>
        <w:t>eat pumps</w:t>
      </w:r>
      <w:r w:rsidR="00F537BB" w:rsidRPr="00404879">
        <w:rPr>
          <w:noProof/>
        </w:rPr>
        <w:t xml:space="preserve"> </w:t>
      </w:r>
      <w:r w:rsidR="00F537BB" w:rsidRPr="2E6543FA">
        <w:rPr>
          <w:rFonts w:cs="Times New Roman"/>
          <w:noProof/>
        </w:rPr>
        <w:t>assembly is neither energy-intensive nor labour-intensive, indicating that the EU can undertake this phase domestically without significantly increasing costs</w:t>
      </w:r>
      <w:r w:rsidR="002F6584" w:rsidRPr="2E6543FA">
        <w:rPr>
          <w:rStyle w:val="FootnoteReference"/>
          <w:rFonts w:cs="Times New Roman"/>
          <w:noProof/>
        </w:rPr>
        <w:footnoteReference w:id="714"/>
      </w:r>
      <w:r w:rsidR="00F537BB" w:rsidRPr="2E6543FA">
        <w:rPr>
          <w:rFonts w:cs="Times New Roman"/>
          <w:noProof/>
        </w:rPr>
        <w:t>. The majority of heat pump production costs stem from the manufacturing of key components, particularly compressors, which make up approximately 70% of the cost differential across countries. Producing affordable heat pumps requires large-scale compressor production to achieve economies of scale, ideally in locations with lower energy costs. Consequently, Made in EU requirements are proposed only for the final assembly of heat pumps, excluding other main specific components.</w:t>
      </w:r>
    </w:p>
    <w:p w14:paraId="46EE84A6" w14:textId="7F6DCEBB" w:rsidR="00EB7705" w:rsidRPr="00732666" w:rsidRDefault="00F537BB" w:rsidP="00631B90">
      <w:pPr>
        <w:spacing w:after="120"/>
        <w:rPr>
          <w:rFonts w:cs="Times New Roman"/>
          <w:noProof/>
          <w:szCs w:val="24"/>
        </w:rPr>
      </w:pPr>
      <w:r w:rsidRPr="00732666">
        <w:rPr>
          <w:rFonts w:cs="Times New Roman"/>
          <w:noProof/>
          <w:szCs w:val="24"/>
        </w:rPr>
        <w:t>The current heavy reliance on compressors from China will be addressed through the NZIA's resilience contribution, aiming for supply chain diversification toward third countries with lower energy costs than the EU. Thus, Made in EU requirements for heat pumps could initially focus on final assembly. However, due to limited manufacturing capacity for air-to-air heat pumps, the focus will be on hydronic heat pumps, which have sufficient manufacturing capacity that risks underutilization if proposed measures in the IAA are not implemented. While manufacturing capacity for hydronic heat pumps already exists (see Section</w:t>
      </w:r>
      <w:r w:rsidR="007323F4" w:rsidRPr="007323F4">
        <w:rPr>
          <w:rFonts w:cs="Times New Roman"/>
          <w:i/>
          <w:iCs/>
          <w:noProof/>
          <w:szCs w:val="24"/>
          <w:lang w:val="en-US"/>
        </w:rPr>
        <w:t>‘EU capacity to supply its demand for net-zero technologies’</w:t>
      </w:r>
      <w:r w:rsidRPr="00732666">
        <w:rPr>
          <w:rFonts w:cs="Times New Roman"/>
          <w:noProof/>
          <w:szCs w:val="24"/>
        </w:rPr>
        <w:t>), the Made in EU requirements are suggested to take effect three years post-adoption to level the playing field and allow companies with less presence in Europe to adapt.</w:t>
      </w:r>
    </w:p>
    <w:p w14:paraId="49EEF2EE" w14:textId="77777777" w:rsidR="00F537BB" w:rsidRPr="00D27762" w:rsidRDefault="00F537BB" w:rsidP="00631B90">
      <w:pPr>
        <w:spacing w:before="240"/>
        <w:rPr>
          <w:rFonts w:eastAsia="Times New Roman" w:cs="Times New Roman"/>
          <w:b/>
          <w:i/>
          <w:noProof/>
          <w:szCs w:val="24"/>
        </w:rPr>
      </w:pPr>
      <w:r w:rsidRPr="00D27762">
        <w:rPr>
          <w:rFonts w:eastAsia="Times New Roman" w:cs="Times New Roman"/>
          <w:b/>
          <w:i/>
          <w:noProof/>
          <w:szCs w:val="24"/>
        </w:rPr>
        <w:t>Electrolysers</w:t>
      </w:r>
    </w:p>
    <w:p w14:paraId="6EEA7D5C" w14:textId="5F4CA67E" w:rsidR="00F537BB" w:rsidRPr="00732666" w:rsidRDefault="00F537BB" w:rsidP="00B7284B">
      <w:pPr>
        <w:spacing w:after="120"/>
        <w:rPr>
          <w:rFonts w:cs="Times New Roman"/>
          <w:noProof/>
          <w:szCs w:val="24"/>
        </w:rPr>
      </w:pPr>
      <w:r w:rsidRPr="00732666">
        <w:rPr>
          <w:rFonts w:cs="Times New Roman"/>
          <w:noProof/>
          <w:szCs w:val="24"/>
        </w:rPr>
        <w:t xml:space="preserve">In hydrogen electrolysers, the stack is the most strategic component because it houses the core elements essential for the electrochemical process. The assembly of the stack is characterized by relatively lower energy and labour costs, making the EU competitive in this stage of the value chain. Moreover, there is already ample manufacturing capacity in the EU (see Section </w:t>
      </w:r>
      <w:r w:rsidR="007323F4" w:rsidRPr="007323F4">
        <w:rPr>
          <w:rFonts w:cs="Times New Roman"/>
          <w:i/>
          <w:iCs/>
          <w:noProof/>
          <w:szCs w:val="24"/>
          <w:lang w:val="en-US"/>
        </w:rPr>
        <w:t>‘EU capacity to supply its demand for net-zero technologies’</w:t>
      </w:r>
      <w:r w:rsidRPr="00732666">
        <w:rPr>
          <w:rFonts w:cs="Times New Roman"/>
          <w:noProof/>
          <w:szCs w:val="24"/>
        </w:rPr>
        <w:t>), which risks being underutilized if the proposed measures in the IAA are not executed. Therefore, Made in EU requirements are explicitly established for the electrolyser stack.</w:t>
      </w:r>
    </w:p>
    <w:p w14:paraId="34D817A7" w14:textId="6F32A1DC" w:rsidR="00F537BB" w:rsidRPr="00732666" w:rsidRDefault="00B7284B" w:rsidP="00B7284B">
      <w:pPr>
        <w:spacing w:after="120"/>
        <w:rPr>
          <w:rFonts w:cs="Times New Roman"/>
          <w:noProof/>
          <w:szCs w:val="24"/>
        </w:rPr>
      </w:pPr>
      <w:r w:rsidRPr="2E6543FA">
        <w:rPr>
          <w:rFonts w:cs="Times New Roman"/>
          <w:noProof/>
        </w:rPr>
        <w:t>T</w:t>
      </w:r>
      <w:r w:rsidR="00F537BB" w:rsidRPr="2E6543FA">
        <w:rPr>
          <w:rFonts w:cs="Times New Roman"/>
          <w:noProof/>
        </w:rPr>
        <w:t>he bipolar plate ranks next to the stack in terms of production cost share for electrolysers</w:t>
      </w:r>
      <w:r w:rsidR="001C0DBF" w:rsidRPr="2E6543FA">
        <w:rPr>
          <w:rStyle w:val="FootnoteReference"/>
          <w:rFonts w:cs="Times New Roman"/>
          <w:noProof/>
        </w:rPr>
        <w:footnoteReference w:id="715"/>
      </w:r>
      <w:r w:rsidR="00F537BB" w:rsidRPr="2E6543FA">
        <w:rPr>
          <w:rFonts w:cs="Times New Roman"/>
          <w:noProof/>
        </w:rPr>
        <w:t>. This plate, made from metal, graphite, or composite materials, does not offer significant added value in its production. Due to its energy-intensive manufacturing process, the EU is unlikely to produce it competitively, thus it should not be regarded a strategic component necessitating Made in EU requirements.</w:t>
      </w:r>
    </w:p>
    <w:p w14:paraId="6110246D" w14:textId="63F6C42F" w:rsidR="00F537BB" w:rsidRPr="00732666" w:rsidRDefault="00F537BB" w:rsidP="00B7284B">
      <w:pPr>
        <w:spacing w:after="120"/>
        <w:rPr>
          <w:rFonts w:cs="Times New Roman"/>
          <w:noProof/>
          <w:szCs w:val="24"/>
        </w:rPr>
      </w:pPr>
      <w:r w:rsidRPr="00732666">
        <w:rPr>
          <w:rFonts w:cs="Times New Roman"/>
          <w:noProof/>
          <w:szCs w:val="24"/>
        </w:rPr>
        <w:t xml:space="preserve">Separators, membrane electrode assemblies, electrodes, gaskets, and porous transport layers constitute a relatively small portion of electrolyser production costs. Therefore, also in light of the fact that Made in EU requirements for bipolar plates are excluded, setting such requirements for these components would not lead to the cost increase presented in Figure EL </w:t>
      </w:r>
      <w:r w:rsidR="00016292" w:rsidRPr="00732666">
        <w:rPr>
          <w:rFonts w:cs="Times New Roman"/>
          <w:noProof/>
          <w:szCs w:val="24"/>
        </w:rPr>
        <w:t>for</w:t>
      </w:r>
      <w:r w:rsidRPr="00732666">
        <w:rPr>
          <w:rFonts w:cs="Times New Roman"/>
          <w:noProof/>
          <w:szCs w:val="24"/>
        </w:rPr>
        <w:t xml:space="preserve"> ‘non-stack equipment’. Given that these components should be subject to Made in EU requirements, and given the existing EU manufacturing capacity to meet current demand - with the potential for quickly scaling up to meet the 2030 demand (see Figure EL in Section </w:t>
      </w:r>
      <w:r w:rsidR="007323F4" w:rsidRPr="007323F4">
        <w:rPr>
          <w:rFonts w:cs="Times New Roman"/>
          <w:i/>
          <w:iCs/>
          <w:noProof/>
          <w:szCs w:val="24"/>
          <w:lang w:val="en-US"/>
        </w:rPr>
        <w:t>‘EU capacity to supply its demand for net-zero technologies’</w:t>
      </w:r>
      <w:r w:rsidRPr="00732666">
        <w:rPr>
          <w:rFonts w:cs="Times New Roman"/>
          <w:noProof/>
          <w:szCs w:val="24"/>
        </w:rPr>
        <w:t>) - the IAA's proposed requirements could have been framed to explicitly include these components. However, this presents challenges due to differing main specific components across various electrolyser types covered in NZIA, making explicit references complex. Instead, stating “stack and at least two additional main specific components of the electrolyser originate within the Union” offers needed flexibility.</w:t>
      </w:r>
    </w:p>
    <w:p w14:paraId="36851FD5" w14:textId="78D0728F" w:rsidR="00EB7705" w:rsidRPr="00732666" w:rsidRDefault="00F537BB" w:rsidP="00631B90">
      <w:pPr>
        <w:spacing w:after="120"/>
        <w:rPr>
          <w:rFonts w:cs="Times New Roman"/>
          <w:noProof/>
          <w:szCs w:val="24"/>
        </w:rPr>
      </w:pPr>
      <w:r w:rsidRPr="00732666">
        <w:rPr>
          <w:rFonts w:cs="Times New Roman"/>
          <w:noProof/>
          <w:szCs w:val="24"/>
        </w:rPr>
        <w:t>While the proposed Made in EU requirements align with the number of components to be diversified away of the dominant supplier in the NZIA, EU electrolyser producers have consistently warned that the NZIA's ambition is insufficient and diminishes the protection that was provided in the second Innovation Fund hydrogen auction.</w:t>
      </w:r>
    </w:p>
    <w:p w14:paraId="4AC8D99F" w14:textId="77777777" w:rsidR="00F537BB" w:rsidRPr="00D27762" w:rsidRDefault="00F537BB" w:rsidP="00631B90">
      <w:pPr>
        <w:spacing w:before="240"/>
        <w:rPr>
          <w:rFonts w:cs="Times New Roman"/>
          <w:b/>
          <w:i/>
          <w:noProof/>
          <w:szCs w:val="24"/>
        </w:rPr>
      </w:pPr>
      <w:r w:rsidRPr="00D27762">
        <w:rPr>
          <w:rFonts w:cs="Times New Roman"/>
          <w:b/>
          <w:i/>
          <w:noProof/>
          <w:szCs w:val="24"/>
        </w:rPr>
        <w:t>Batteries</w:t>
      </w:r>
    </w:p>
    <w:p w14:paraId="165176B1" w14:textId="335B4A7E" w:rsidR="00F537BB" w:rsidRPr="00732666" w:rsidRDefault="0F22A41B" w:rsidP="00B7284B">
      <w:pPr>
        <w:spacing w:after="120"/>
        <w:rPr>
          <w:rFonts w:cs="Times New Roman"/>
          <w:noProof/>
        </w:rPr>
      </w:pPr>
      <w:r w:rsidRPr="296E22C2">
        <w:rPr>
          <w:rFonts w:cs="Times New Roman"/>
          <w:noProof/>
        </w:rPr>
        <w:t xml:space="preserve">As analysed in </w:t>
      </w:r>
      <w:r w:rsidR="59B6CEE5" w:rsidRPr="296E22C2">
        <w:rPr>
          <w:rFonts w:cs="Times New Roman"/>
          <w:noProof/>
        </w:rPr>
        <w:t xml:space="preserve">Section 5.2 and subsequent </w:t>
      </w:r>
      <w:r w:rsidR="614383E8" w:rsidRPr="296E22C2">
        <w:rPr>
          <w:rFonts w:cs="Times New Roman"/>
          <w:noProof/>
        </w:rPr>
        <w:t>A</w:t>
      </w:r>
      <w:r w:rsidR="59B6CEE5" w:rsidRPr="296E22C2">
        <w:rPr>
          <w:rFonts w:cs="Times New Roman"/>
          <w:noProof/>
        </w:rPr>
        <w:t xml:space="preserve">nnex </w:t>
      </w:r>
      <w:r w:rsidR="17C0710A" w:rsidRPr="296E22C2">
        <w:rPr>
          <w:rFonts w:cs="Times New Roman"/>
          <w:noProof/>
        </w:rPr>
        <w:t xml:space="preserve">9 of this impact assessment report, </w:t>
      </w:r>
      <w:r w:rsidR="174B8543" w:rsidRPr="296E22C2">
        <w:rPr>
          <w:rFonts w:cs="Times New Roman"/>
          <w:noProof/>
        </w:rPr>
        <w:t xml:space="preserve">the LEAD_BAT policy </w:t>
      </w:r>
      <w:r w:rsidR="799C831D" w:rsidRPr="3CA787FD">
        <w:rPr>
          <w:rFonts w:cs="Times New Roman"/>
          <w:noProof/>
        </w:rPr>
        <w:t>measure</w:t>
      </w:r>
      <w:r w:rsidR="799C831D" w:rsidRPr="296E22C2">
        <w:rPr>
          <w:rFonts w:cs="Times New Roman"/>
          <w:noProof/>
        </w:rPr>
        <w:t xml:space="preserve"> </w:t>
      </w:r>
      <w:r w:rsidR="00F537BB" w:rsidRPr="296E22C2">
        <w:rPr>
          <w:rFonts w:cs="Times New Roman"/>
          <w:noProof/>
        </w:rPr>
        <w:t>proposes Made in EU requirements</w:t>
      </w:r>
      <w:r w:rsidR="00F537BB">
        <w:rPr>
          <w:rFonts w:cs="Times New Roman"/>
          <w:noProof/>
        </w:rPr>
        <w:t xml:space="preserve"> </w:t>
      </w:r>
      <w:r w:rsidR="00BB2E80">
        <w:rPr>
          <w:rFonts w:cs="Times New Roman"/>
          <w:noProof/>
        </w:rPr>
        <w:t>for</w:t>
      </w:r>
      <w:r w:rsidR="00C92636">
        <w:rPr>
          <w:rFonts w:cs="Times New Roman"/>
          <w:noProof/>
        </w:rPr>
        <w:t xml:space="preserve"> up to six </w:t>
      </w:r>
      <w:r w:rsidR="00C13816">
        <w:rPr>
          <w:rFonts w:cs="Times New Roman"/>
          <w:noProof/>
        </w:rPr>
        <w:t xml:space="preserve">main specific components </w:t>
      </w:r>
      <w:r w:rsidR="00A111F1">
        <w:rPr>
          <w:rFonts w:cs="Times New Roman"/>
          <w:noProof/>
        </w:rPr>
        <w:t>among</w:t>
      </w:r>
      <w:r w:rsidR="003C1C28">
        <w:rPr>
          <w:rFonts w:cs="Times New Roman"/>
          <w:noProof/>
        </w:rPr>
        <w:t xml:space="preserve"> </w:t>
      </w:r>
      <w:r w:rsidR="00A71792">
        <w:rPr>
          <w:rFonts w:cs="Times New Roman"/>
          <w:noProof/>
        </w:rPr>
        <w:t>the</w:t>
      </w:r>
      <w:r w:rsidR="009D5280">
        <w:rPr>
          <w:rFonts w:cs="Times New Roman"/>
          <w:noProof/>
        </w:rPr>
        <w:t xml:space="preserve"> ten</w:t>
      </w:r>
      <w:r w:rsidR="008B5D15">
        <w:rPr>
          <w:rFonts w:cs="Times New Roman"/>
          <w:noProof/>
        </w:rPr>
        <w:t xml:space="preserve"> </w:t>
      </w:r>
      <w:r w:rsidR="004002EC">
        <w:rPr>
          <w:rFonts w:cs="Times New Roman"/>
          <w:noProof/>
        </w:rPr>
        <w:t xml:space="preserve">listed in the </w:t>
      </w:r>
      <w:r w:rsidR="00E12E10" w:rsidRPr="00E12E10">
        <w:rPr>
          <w:rFonts w:cs="Times New Roman"/>
          <w:noProof/>
        </w:rPr>
        <w:t>Commission Implementing Regulation 2025/1178</w:t>
      </w:r>
      <w:r w:rsidR="00E12E10">
        <w:rPr>
          <w:rFonts w:cs="Times New Roman"/>
          <w:noProof/>
        </w:rPr>
        <w:t>.</w:t>
      </w:r>
      <w:r w:rsidR="00AA2645">
        <w:rPr>
          <w:rFonts w:cs="Times New Roman"/>
          <w:noProof/>
        </w:rPr>
        <w:t xml:space="preserve"> </w:t>
      </w:r>
      <w:r w:rsidR="00681121">
        <w:rPr>
          <w:rFonts w:cs="Times New Roman"/>
          <w:noProof/>
        </w:rPr>
        <w:t xml:space="preserve">While there is flexibility </w:t>
      </w:r>
      <w:r w:rsidR="00FC55ED">
        <w:rPr>
          <w:rFonts w:cs="Times New Roman"/>
          <w:noProof/>
        </w:rPr>
        <w:t>regarding which main specific components</w:t>
      </w:r>
      <w:r w:rsidR="00681121">
        <w:rPr>
          <w:rFonts w:cs="Times New Roman"/>
          <w:noProof/>
        </w:rPr>
        <w:t xml:space="preserve"> </w:t>
      </w:r>
      <w:r w:rsidR="000C554B">
        <w:rPr>
          <w:rFonts w:cs="Times New Roman"/>
          <w:noProof/>
        </w:rPr>
        <w:t xml:space="preserve">may </w:t>
      </w:r>
      <w:r w:rsidR="00681121">
        <w:rPr>
          <w:rFonts w:cs="Times New Roman"/>
          <w:noProof/>
        </w:rPr>
        <w:t>comply with the requirements, t</w:t>
      </w:r>
      <w:r w:rsidR="002208CC">
        <w:rPr>
          <w:rFonts w:cs="Times New Roman"/>
          <w:noProof/>
        </w:rPr>
        <w:t xml:space="preserve">hree of </w:t>
      </w:r>
      <w:r w:rsidR="00B407EB">
        <w:rPr>
          <w:rFonts w:cs="Times New Roman"/>
          <w:noProof/>
        </w:rPr>
        <w:t>them</w:t>
      </w:r>
      <w:r w:rsidR="002208CC">
        <w:rPr>
          <w:rFonts w:cs="Times New Roman"/>
          <w:noProof/>
        </w:rPr>
        <w:t xml:space="preserve"> are</w:t>
      </w:r>
      <w:r w:rsidR="00F537BB" w:rsidRPr="296E22C2">
        <w:rPr>
          <w:rFonts w:cs="Times New Roman"/>
          <w:noProof/>
        </w:rPr>
        <w:t xml:space="preserve"> </w:t>
      </w:r>
      <w:r w:rsidR="00F537BB" w:rsidRPr="2BCD3DBA">
        <w:rPr>
          <w:rFonts w:cs="Times New Roman"/>
          <w:noProof/>
        </w:rPr>
        <w:t>explicitly</w:t>
      </w:r>
      <w:r w:rsidR="00F537BB" w:rsidRPr="296E22C2">
        <w:rPr>
          <w:rFonts w:cs="Times New Roman"/>
          <w:noProof/>
        </w:rPr>
        <w:t xml:space="preserve"> </w:t>
      </w:r>
      <w:r w:rsidR="58BF87FB" w:rsidRPr="3CA787FD">
        <w:rPr>
          <w:rFonts w:cs="Times New Roman"/>
          <w:noProof/>
        </w:rPr>
        <w:t>mentioned</w:t>
      </w:r>
      <w:r w:rsidR="00681121">
        <w:rPr>
          <w:rFonts w:cs="Times New Roman"/>
          <w:noProof/>
        </w:rPr>
        <w:t xml:space="preserve"> as mandatory</w:t>
      </w:r>
      <w:r w:rsidR="54822957" w:rsidRPr="3CA787FD">
        <w:rPr>
          <w:rFonts w:cs="Times New Roman"/>
          <w:noProof/>
        </w:rPr>
        <w:t>, meaning the</w:t>
      </w:r>
      <w:r w:rsidR="26502515" w:rsidRPr="3CA787FD">
        <w:rPr>
          <w:rFonts w:cs="Times New Roman"/>
          <w:noProof/>
        </w:rPr>
        <w:t xml:space="preserve">y </w:t>
      </w:r>
      <w:r w:rsidR="42D7D41B" w:rsidRPr="3CA787FD">
        <w:rPr>
          <w:rFonts w:cs="Times New Roman"/>
          <w:noProof/>
        </w:rPr>
        <w:t>shall</w:t>
      </w:r>
      <w:r w:rsidR="26502515" w:rsidRPr="3CA787FD">
        <w:rPr>
          <w:rFonts w:cs="Times New Roman"/>
          <w:noProof/>
        </w:rPr>
        <w:t xml:space="preserve"> be originated from the EU</w:t>
      </w:r>
      <w:r w:rsidR="00F537BB" w:rsidRPr="296E22C2">
        <w:rPr>
          <w:rFonts w:cs="Times New Roman"/>
          <w:noProof/>
        </w:rPr>
        <w:t>: the battery cell, the cathode active material (CAM) and the Battery Management System (BMS).</w:t>
      </w:r>
      <w:r w:rsidR="12D80376" w:rsidRPr="296E22C2">
        <w:rPr>
          <w:rFonts w:cs="Times New Roman"/>
          <w:noProof/>
        </w:rPr>
        <w:t xml:space="preserve">  </w:t>
      </w:r>
    </w:p>
    <w:p w14:paraId="4E43142E" w14:textId="3AEC6578" w:rsidR="00F537BB" w:rsidRPr="00732666" w:rsidRDefault="00F537BB" w:rsidP="00B7284B">
      <w:pPr>
        <w:spacing w:after="120"/>
        <w:rPr>
          <w:rFonts w:cs="Times New Roman"/>
          <w:noProof/>
        </w:rPr>
      </w:pPr>
      <w:r w:rsidRPr="3CA787FD">
        <w:rPr>
          <w:rFonts w:cs="Times New Roman"/>
          <w:noProof/>
        </w:rPr>
        <w:t>Battery cells are the fundamental components of a battery, where chemical energy is stored and transformed into electrical energy. This component is key for battery innovation, as it continually enhances energy density and safety. Furthermore, battery cells make up for around 70% of the total battery price. For Electric Vehicle (EV) batteries, a conservative assessment of operational and under construction manufacturing capacity in the EU indicates that it is possible to satisfy the made in EU requirements for battery cells one year of entry into force of the IAA. For stationary battery energy storage systems (BESS), the Made in EU requirements are proposed to kick in three years after the entry into force of the IAA, when a robust EU-based battery cell manufacturing capacity for stationary storage is expected to be established. Additionally, although battery cell production in the EU is more expensive than in Asian countries, an increase in the scale of production and an improvement in the manufacturing processes is expected to bring down battery cell manufacturing costs in the EU, closing the competitiveness gap considerably</w:t>
      </w:r>
      <w:r w:rsidR="00411C44" w:rsidRPr="3CA787FD">
        <w:rPr>
          <w:rStyle w:val="FootnoteReference"/>
          <w:rFonts w:cs="Times New Roman"/>
          <w:noProof/>
        </w:rPr>
        <w:footnoteReference w:id="716"/>
      </w:r>
      <w:r w:rsidRPr="3CA787FD">
        <w:rPr>
          <w:rFonts w:cs="Times New Roman"/>
          <w:noProof/>
        </w:rPr>
        <w:t>.</w:t>
      </w:r>
    </w:p>
    <w:p w14:paraId="7E6A052B" w14:textId="07E5CD91" w:rsidR="00F537BB" w:rsidRPr="00732666" w:rsidRDefault="00F537BB" w:rsidP="00B7284B">
      <w:pPr>
        <w:spacing w:after="120"/>
        <w:rPr>
          <w:rFonts w:cs="Times New Roman"/>
          <w:noProof/>
          <w:szCs w:val="24"/>
        </w:rPr>
      </w:pPr>
      <w:r w:rsidRPr="00732666">
        <w:rPr>
          <w:rFonts w:cs="Times New Roman"/>
          <w:noProof/>
          <w:szCs w:val="24"/>
        </w:rPr>
        <w:t>The BMS is essential for ensuring the safety and efficiency of batteries by overseeing their overall state and controlling factors such as charge balance and temperature. BMS systems often include connectivity features for real-time monitoring, which make them important for energy security to protect data integrity and prevent tampering. Therefore, for BESS Made in EU requirements are proposed to kick in one year after the entry into force of IAA. For EV batteries, the requirement</w:t>
      </w:r>
      <w:r w:rsidR="003816C6">
        <w:rPr>
          <w:rFonts w:cs="Times New Roman"/>
          <w:noProof/>
          <w:szCs w:val="24"/>
        </w:rPr>
        <w:t>s</w:t>
      </w:r>
      <w:r w:rsidRPr="00732666">
        <w:rPr>
          <w:rFonts w:cs="Times New Roman"/>
          <w:noProof/>
          <w:szCs w:val="24"/>
        </w:rPr>
        <w:t xml:space="preserve"> are proposed from three years after the entry into force of IAA, giving more flexibility and time to battery manufacturers.</w:t>
      </w:r>
    </w:p>
    <w:p w14:paraId="4455485E" w14:textId="1AC437E1" w:rsidR="00F537BB" w:rsidRPr="00732666" w:rsidRDefault="00F537BB" w:rsidP="00B7284B">
      <w:pPr>
        <w:spacing w:after="120"/>
        <w:rPr>
          <w:rFonts w:cs="Times New Roman"/>
          <w:noProof/>
          <w:szCs w:val="24"/>
        </w:rPr>
      </w:pPr>
      <w:r w:rsidRPr="00732666">
        <w:rPr>
          <w:rFonts w:cs="Times New Roman"/>
          <w:noProof/>
          <w:szCs w:val="24"/>
        </w:rPr>
        <w:t>The Cathode Active Material (CAM) in a battery significantly influences its performance, as the type of material used affects energy density, cycle life, and thermal stability. Besides, the CAM accounts for the largest cost share of the battery cell. Given the importance of the CAM, both technologically and economically, Made in EU requirements are proposed for both EV batteries and BESS. Such requirements are proposed to apply from three years after entry into force of the IAA recognising that although some manufacturing capacity of CAM in the EU is already operational, this has to expand to fully meet the expected demand.</w:t>
      </w:r>
    </w:p>
    <w:p w14:paraId="44FE9F28" w14:textId="09624A2C" w:rsidR="00EB7705" w:rsidRPr="00732666" w:rsidRDefault="00F537BB" w:rsidP="00631B90">
      <w:pPr>
        <w:spacing w:after="120"/>
        <w:rPr>
          <w:rFonts w:cs="Times New Roman"/>
          <w:noProof/>
          <w:szCs w:val="24"/>
        </w:rPr>
      </w:pPr>
      <w:r w:rsidRPr="483C395E">
        <w:rPr>
          <w:rFonts w:cs="Times New Roman"/>
          <w:noProof/>
        </w:rPr>
        <w:t>Besides the Made in EU requirements explicitly to battery cells, BMS and CAM, requirements have also been set for an additional number of generically defined main specific components. This is meant to provide flexibility to manufacturers to choose which components are better off manufactured in the EU. Given that the Made in EU requirements are set for battery cells, it is expected that battery modules, battery packs, and battery thermal management systems will be also made in the EU (as there is already sufficient manufacturing capacity) thus complying with the requirements of “three additional main specific components originating in the EU”. When it comes to other downstream main specific components, it is worth noting that the EU already has operational manufacturing capacity in separators, electrolytes and Anode Active Materials, and there are announcements to expand these capacities (see Annex 9</w:t>
      </w:r>
      <w:r w:rsidR="74FF4EB1" w:rsidRPr="483C395E">
        <w:rPr>
          <w:rFonts w:cs="Times New Roman"/>
          <w:noProof/>
        </w:rPr>
        <w:t xml:space="preserve">). </w:t>
      </w:r>
    </w:p>
    <w:p w14:paraId="49E64752" w14:textId="77777777" w:rsidR="00F537BB" w:rsidRPr="00D27762" w:rsidRDefault="00F537BB" w:rsidP="00631B90">
      <w:pPr>
        <w:spacing w:before="240"/>
        <w:rPr>
          <w:rFonts w:cs="Times New Roman"/>
          <w:b/>
          <w:i/>
          <w:noProof/>
          <w:szCs w:val="24"/>
        </w:rPr>
      </w:pPr>
      <w:r w:rsidRPr="00D27762">
        <w:rPr>
          <w:rFonts w:cs="Times New Roman"/>
          <w:b/>
          <w:i/>
          <w:noProof/>
          <w:szCs w:val="24"/>
        </w:rPr>
        <w:t>Wind</w:t>
      </w:r>
    </w:p>
    <w:p w14:paraId="224AFA9E" w14:textId="5021A34C" w:rsidR="00F537BB" w:rsidRPr="00732666" w:rsidRDefault="00F537BB" w:rsidP="00331DA9">
      <w:pPr>
        <w:spacing w:after="120"/>
        <w:rPr>
          <w:rFonts w:cs="Times New Roman"/>
          <w:noProof/>
          <w:szCs w:val="24"/>
        </w:rPr>
      </w:pPr>
      <w:r w:rsidRPr="00732666">
        <w:rPr>
          <w:rFonts w:cs="Times New Roman"/>
          <w:noProof/>
          <w:szCs w:val="24"/>
        </w:rPr>
        <w:t>The manufacturing of wind turbines is highly adapted to the specific project, i.e. far less commoditised than other net-zero technologies like solar PV and batteries. At the same time, quality requirements are very high, and the production of wind turbines and their components is very knowledge-intensive. The energy intensity is high for the manufacturing of components like blades or permanent magnets. For most other components like e.g. gearboxes or drivetrains, a higher share of energy is required for producing the primary materials than for producing the components out of the primary materials. Generally, the material cost accounts for more than half of the cost of the final turbine. The labour intensity varies by component, with e.g. the blade being a main specific component of wind turbines with relatively high labour intensity.</w:t>
      </w:r>
    </w:p>
    <w:p w14:paraId="317D5378" w14:textId="273B045A" w:rsidR="00F537BB" w:rsidRPr="00732666" w:rsidRDefault="00F537BB" w:rsidP="00331DA9">
      <w:pPr>
        <w:spacing w:after="120"/>
        <w:rPr>
          <w:rFonts w:cs="Times New Roman"/>
          <w:noProof/>
          <w:szCs w:val="24"/>
        </w:rPr>
      </w:pPr>
      <w:r w:rsidRPr="2E6543FA">
        <w:rPr>
          <w:rFonts w:cs="Times New Roman"/>
          <w:noProof/>
        </w:rPr>
        <w:t xml:space="preserve">These aspects – high material intensity, high knowledge intensity, varying labour and energy intensity – determine how the supply chains that shape the EU’s wind energy deployment look today: a strong footprint in the EU with international supply chains for input materials and specific components. At the same time, China has wind manufacturing overcapacities and is pushing further into international markets. Looking at deployment, the EU’s current deployment can for most components (except e.g. permanent magnets and foundations, while the capacity to produce foundations will be expanded) be supplied from producers in the EU, while the deployment needed to reach the 2030 renewable energy goals could not be met by domestic production, except for nacelles and towers (see Figure W in Section </w:t>
      </w:r>
      <w:r w:rsidR="007323F4" w:rsidRPr="2E6543FA">
        <w:rPr>
          <w:rFonts w:cs="Times New Roman"/>
          <w:i/>
          <w:noProof/>
          <w:lang w:val="en-US"/>
        </w:rPr>
        <w:t>‘EU capacity to supply its demand for net-zero technologies’</w:t>
      </w:r>
      <w:r w:rsidRPr="2E6543FA">
        <w:rPr>
          <w:rFonts w:cs="Times New Roman"/>
          <w:noProof/>
        </w:rPr>
        <w:t>). Currently, high dependencies from a single country of supply exist for permanent magnets (China, 93%) which require access to the necessary input materials and energy</w:t>
      </w:r>
      <w:r w:rsidR="00377259" w:rsidRPr="2E6543FA">
        <w:rPr>
          <w:rStyle w:val="FootnoteReference"/>
          <w:rFonts w:cs="Times New Roman"/>
          <w:noProof/>
        </w:rPr>
        <w:footnoteReference w:id="717"/>
      </w:r>
      <w:r w:rsidRPr="2E6543FA">
        <w:rPr>
          <w:rFonts w:cs="Times New Roman"/>
          <w:noProof/>
        </w:rPr>
        <w:t>.</w:t>
      </w:r>
    </w:p>
    <w:p w14:paraId="5925F83B" w14:textId="5F81715A" w:rsidR="00EB7705" w:rsidRPr="00732666" w:rsidRDefault="00F537BB" w:rsidP="00631B90">
      <w:pPr>
        <w:spacing w:after="120"/>
        <w:rPr>
          <w:rFonts w:cs="Times New Roman"/>
          <w:noProof/>
          <w:szCs w:val="24"/>
          <w:u w:val="single"/>
        </w:rPr>
      </w:pPr>
      <w:r w:rsidRPr="00732666">
        <w:rPr>
          <w:rFonts w:cs="Times New Roman"/>
          <w:noProof/>
          <w:szCs w:val="24"/>
        </w:rPr>
        <w:t>The high dependency on permanent magnets needs to be addressed gradually, as it is done in the NZIA. Further to that, based on the above considerations it is deemed appropriate to require that one year after the IAA’s entry into force one main specific components of the wind turbine originates in the EU, and two years later two main specific components. This maintains EU value chains, as well as ensuring high flexibility to source in a way that aids the overall competitiveness of the European wind industry and ensures the necessary deployment.</w:t>
      </w:r>
    </w:p>
    <w:p w14:paraId="5676CD30" w14:textId="77777777" w:rsidR="00F537BB" w:rsidRPr="000A5F48" w:rsidRDefault="00F537BB" w:rsidP="00631B90">
      <w:pPr>
        <w:spacing w:before="240"/>
        <w:rPr>
          <w:rFonts w:cs="Times New Roman"/>
          <w:b/>
          <w:i/>
          <w:noProof/>
          <w:szCs w:val="24"/>
        </w:rPr>
      </w:pPr>
      <w:r w:rsidRPr="000A5F48">
        <w:rPr>
          <w:rFonts w:cs="Times New Roman"/>
          <w:b/>
          <w:i/>
          <w:noProof/>
          <w:szCs w:val="24"/>
        </w:rPr>
        <w:t>Nuclear fission energy technologies</w:t>
      </w:r>
    </w:p>
    <w:p w14:paraId="26AA822E" w14:textId="48B1DB53" w:rsidR="00F537BB" w:rsidRPr="00732666" w:rsidRDefault="00F537BB" w:rsidP="00722673">
      <w:pPr>
        <w:spacing w:after="120"/>
        <w:rPr>
          <w:rFonts w:cs="Times New Roman"/>
          <w:noProof/>
          <w:szCs w:val="24"/>
        </w:rPr>
      </w:pPr>
      <w:r w:rsidRPr="00732666">
        <w:rPr>
          <w:rFonts w:cs="Times New Roman"/>
          <w:noProof/>
          <w:szCs w:val="24"/>
        </w:rPr>
        <w:t>Europe possesses world‑class expertise in nuclear fission energy technology, yet the EU supply chain has been eroded by decades of under‑investment. To meet the growing demand for nuclear power while advancing the broader goals of European autonomy and technology sovereignty, the supply chain must be revitalised. Targeted Made in EU requirements can, over the long term, contribute to rebuild a competent, resilient and autonomous nuclear‑sector supply base without compromising the availability of critical components or the overall functioning of the market, especially at a time when nuclear generation is expected to expand. Therefore, a rather cautious strategy is proposed that (i) limits the scope to a reduced set of main specific components and (ii) introduces a sufficient transition period. This approach minimises short‑term cost spikes and gives manufacturers sufficient time to adapt, ensuring a smooth and sustainable upgrade of the EU nuclear supply chain that is crucial for the upcoming years to properly address the electrification challenges of the European economy.</w:t>
      </w:r>
    </w:p>
    <w:p w14:paraId="7650ED15" w14:textId="3674449B" w:rsidR="00F537BB" w:rsidRPr="00732666" w:rsidRDefault="00F537BB" w:rsidP="00722673">
      <w:pPr>
        <w:spacing w:after="120"/>
        <w:rPr>
          <w:rFonts w:cs="Times New Roman"/>
          <w:noProof/>
          <w:szCs w:val="24"/>
        </w:rPr>
      </w:pPr>
      <w:r w:rsidRPr="00732666">
        <w:rPr>
          <w:rFonts w:cs="Times New Roman"/>
          <w:noProof/>
          <w:szCs w:val="24"/>
        </w:rPr>
        <w:t>Made‑in‑EU content requirements are, in principle, vital for every main specific component because of the sensitivity of nuclear assets and the need to revitalise the European supply chain. However, to avoid supply‑chain bottlenecks, preserve fair competition among the few existing players, and compensate for the absence of detailed data on cost differences across regions, the proposed requirements have been deliberately softened and framed in a way that eases compliance. As a result, the Made in EU obligations apply to only four main specific components out of seven, without explicitly referring to any of those components - to provide extra flexibility to manufacturers - and will become operative three years after the IAA enters into force.</w:t>
      </w:r>
    </w:p>
    <w:p w14:paraId="1447BC61" w14:textId="34038682" w:rsidR="00EB7705" w:rsidRPr="00732666" w:rsidRDefault="00F537BB" w:rsidP="00631B90">
      <w:pPr>
        <w:spacing w:after="120"/>
        <w:rPr>
          <w:rFonts w:cs="Times New Roman"/>
          <w:noProof/>
          <w:szCs w:val="24"/>
        </w:rPr>
      </w:pPr>
      <w:r w:rsidRPr="00732666">
        <w:rPr>
          <w:rFonts w:cs="Times New Roman"/>
          <w:noProof/>
          <w:szCs w:val="24"/>
        </w:rPr>
        <w:t xml:space="preserve">The proposed Made in EU obligations are fully achievable, as the EU has sufficient manufacturing capacity to meet its immediate deployment needs for all main components, except two in the short term, and is projected to fully satisfy its needs by 2030 (see Figure NU in Section </w:t>
      </w:r>
      <w:r w:rsidR="007323F4" w:rsidRPr="007323F4">
        <w:rPr>
          <w:rFonts w:cs="Times New Roman"/>
          <w:i/>
          <w:iCs/>
          <w:noProof/>
          <w:szCs w:val="24"/>
          <w:lang w:val="en-US"/>
        </w:rPr>
        <w:t>‘EU capacity to supply its demand for net-zero technologies’</w:t>
      </w:r>
      <w:r w:rsidRPr="00732666">
        <w:rPr>
          <w:rFonts w:cs="Times New Roman"/>
          <w:noProof/>
          <w:szCs w:val="24"/>
        </w:rPr>
        <w:t>).</w:t>
      </w:r>
    </w:p>
    <w:p w14:paraId="4D058362" w14:textId="77777777" w:rsidR="00F537BB" w:rsidRPr="000A5F48" w:rsidRDefault="00F537BB" w:rsidP="00631B90">
      <w:pPr>
        <w:spacing w:before="240"/>
        <w:rPr>
          <w:rFonts w:cs="Times New Roman"/>
          <w:b/>
          <w:i/>
          <w:noProof/>
          <w:szCs w:val="24"/>
        </w:rPr>
      </w:pPr>
      <w:r w:rsidRPr="000A5F48">
        <w:rPr>
          <w:rFonts w:cs="Times New Roman"/>
          <w:b/>
          <w:i/>
          <w:noProof/>
          <w:szCs w:val="24"/>
        </w:rPr>
        <w:t>Solar thermal</w:t>
      </w:r>
    </w:p>
    <w:p w14:paraId="19E3C283" w14:textId="494245B2" w:rsidR="00F7537A" w:rsidRDefault="00F537BB" w:rsidP="000A5F48">
      <w:pPr>
        <w:rPr>
          <w:rFonts w:cs="Times New Roman"/>
          <w:noProof/>
          <w:szCs w:val="24"/>
        </w:rPr>
      </w:pPr>
      <w:r w:rsidRPr="00732666">
        <w:rPr>
          <w:rFonts w:cs="Times New Roman"/>
          <w:noProof/>
          <w:szCs w:val="24"/>
        </w:rPr>
        <w:t xml:space="preserve">In solar thermal systems, the solar thermal collector is the most strategic main specific component, responsible for capturing and converting solar energy into heat. Its manufacturing process involves the highest added value and highest job creation opportunities within the solar thermal sector. The production of solar thermal technologies is primarily driven by material costs, which tend to be consistent across regions, indicating that the EU can competitively manufacture these products. As explained in Section </w:t>
      </w:r>
      <w:r w:rsidR="007323F4" w:rsidRPr="007323F4">
        <w:rPr>
          <w:rFonts w:cs="Times New Roman"/>
          <w:i/>
          <w:iCs/>
          <w:noProof/>
          <w:szCs w:val="24"/>
          <w:lang w:val="en-US"/>
        </w:rPr>
        <w:t>‘Assessment of socioeconomic implications of IAA provisions related to net-zero technologies’</w:t>
      </w:r>
      <w:r w:rsidRPr="00732666">
        <w:rPr>
          <w:rFonts w:cs="Times New Roman"/>
          <w:noProof/>
          <w:szCs w:val="24"/>
        </w:rPr>
        <w:t xml:space="preserve">, regional cost differences in producing complete solar thermal systems are limited and are largely offset once transportation costs are considered. Therefore, limiting Made in EU requirements exclusively to the solar thermal collector further reduces risks of cost disparities. Given the already ample manufacturing capacity in the EU (refer to Figure ST in Section </w:t>
      </w:r>
      <w:r w:rsidR="007323F4" w:rsidRPr="007323F4">
        <w:rPr>
          <w:rFonts w:cs="Times New Roman"/>
          <w:i/>
          <w:iCs/>
          <w:noProof/>
          <w:szCs w:val="24"/>
          <w:lang w:val="en-US"/>
        </w:rPr>
        <w:t>‘EU capacity to supply its demand for net-zero technologies’</w:t>
      </w:r>
      <w:r w:rsidRPr="00732666">
        <w:rPr>
          <w:rFonts w:cs="Times New Roman"/>
          <w:noProof/>
          <w:szCs w:val="24"/>
        </w:rPr>
        <w:t>), these requirements could be enforced immediately upon entry into force.</w:t>
      </w:r>
    </w:p>
    <w:p w14:paraId="58A99311" w14:textId="0F30905C" w:rsidR="00F537BB" w:rsidRPr="00D161D6" w:rsidRDefault="00F537BB" w:rsidP="00D161D6">
      <w:pPr>
        <w:spacing w:before="240"/>
        <w:rPr>
          <w:rFonts w:cs="Times New Roman"/>
          <w:b/>
          <w:i/>
          <w:noProof/>
          <w:szCs w:val="24"/>
        </w:rPr>
      </w:pPr>
      <w:r w:rsidRPr="00D161D6">
        <w:rPr>
          <w:rFonts w:cs="Times New Roman"/>
          <w:b/>
          <w:i/>
          <w:noProof/>
          <w:szCs w:val="24"/>
        </w:rPr>
        <w:t>Electricity grid technologies</w:t>
      </w:r>
    </w:p>
    <w:p w14:paraId="57DDEF0E" w14:textId="327C6BAE" w:rsidR="00F537BB" w:rsidRPr="00732666" w:rsidRDefault="00F537BB" w:rsidP="00722673">
      <w:pPr>
        <w:spacing w:after="120"/>
        <w:rPr>
          <w:rFonts w:eastAsia="Aptos" w:cs="Times New Roman"/>
          <w:noProof/>
          <w:szCs w:val="24"/>
        </w:rPr>
      </w:pPr>
      <w:r w:rsidRPr="2E6543FA">
        <w:rPr>
          <w:rFonts w:cs="Times New Roman"/>
          <w:noProof/>
        </w:rPr>
        <w:t xml:space="preserve">EU grid technology and cable manufacturers are global leaders in their fields. However, rising component costs, extended procurement lead times, and a backlog of orders have created supply chain voids that China is strategically positioned to fill. This dynamic intensifies national security risks due to the growing reliance on China, including potential vulnerabilities to espionage, economic coercion, and military threats. The significance of this risk is heightened given that certain electricity grid technologies are complex electronic systems that communicate, can be remotely controlled and updated by software throughout their lifetime. These devices can be compromised during production, </w:t>
      </w:r>
      <w:r w:rsidR="00B771B6" w:rsidRPr="2E6543FA">
        <w:rPr>
          <w:rFonts w:cs="Times New Roman"/>
          <w:noProof/>
        </w:rPr>
        <w:t>as c</w:t>
      </w:r>
      <w:r w:rsidRPr="2E6543FA">
        <w:rPr>
          <w:rFonts w:eastAsia="Aptos" w:cs="Times New Roman"/>
          <w:noProof/>
        </w:rPr>
        <w:t xml:space="preserve">ybersecurity vulnerabilities can be introduced through supply chain breaches with hardware or software </w:t>
      </w:r>
      <w:r w:rsidR="008B4CF5" w:rsidRPr="2E6543FA">
        <w:rPr>
          <w:rFonts w:eastAsia="Aptos" w:cs="Times New Roman"/>
          <w:noProof/>
        </w:rPr>
        <w:t xml:space="preserve">tampered </w:t>
      </w:r>
      <w:r w:rsidRPr="2E6543FA">
        <w:rPr>
          <w:rFonts w:eastAsia="Aptos" w:cs="Times New Roman"/>
          <w:noProof/>
        </w:rPr>
        <w:t>during production, testing, or distribution. Such breaches are included via "hardware Trojans" or pre-installed backdoors that enable remote exploitation without the need for external network access</w:t>
      </w:r>
      <w:r w:rsidR="00C46682" w:rsidRPr="2E6543FA">
        <w:rPr>
          <w:rFonts w:eastAsia="Aptos" w:cs="Times New Roman"/>
          <w:noProof/>
        </w:rPr>
        <w:t>,</w:t>
      </w:r>
      <w:r w:rsidR="009B35B9" w:rsidRPr="009B35B9">
        <w:rPr>
          <w:noProof/>
        </w:rPr>
        <w:t xml:space="preserve"> </w:t>
      </w:r>
      <w:r w:rsidR="009B35B9" w:rsidRPr="2E6543FA">
        <w:rPr>
          <w:rFonts w:eastAsia="Aptos" w:cs="Times New Roman"/>
          <w:noProof/>
        </w:rPr>
        <w:t>and cyber attackers might use them to manipulate power flows and disrupt grid stability</w:t>
      </w:r>
      <w:r w:rsidRPr="2E6543FA">
        <w:rPr>
          <w:rFonts w:eastAsia="Aptos" w:cs="Times New Roman"/>
          <w:noProof/>
        </w:rPr>
        <w:t>. For instance, around 80% of all new PV systems in Europe are now equipped with inverters from China</w:t>
      </w:r>
      <w:r w:rsidR="00722673" w:rsidRPr="2E6543FA">
        <w:rPr>
          <w:rStyle w:val="FootnoteReference"/>
          <w:rFonts w:eastAsia="Aptos" w:cs="Times New Roman"/>
          <w:noProof/>
        </w:rPr>
        <w:footnoteReference w:id="718"/>
      </w:r>
      <w:r w:rsidRPr="2E6543FA">
        <w:rPr>
          <w:rFonts w:eastAsia="Aptos" w:cs="Times New Roman"/>
          <w:noProof/>
        </w:rPr>
        <w:t>. Companies like Huawei and Sungrow control 170 GW of solar PV capacity remotely, totalling over 200 GW when accounting all Chinese brands - equivalent to the output of 200 nuclear power plants.</w:t>
      </w:r>
    </w:p>
    <w:p w14:paraId="52CFFDA5" w14:textId="0C5CBB10" w:rsidR="00F537BB" w:rsidRDefault="008F0812" w:rsidP="00631B90">
      <w:pPr>
        <w:spacing w:after="120"/>
        <w:rPr>
          <w:rFonts w:cs="Times New Roman"/>
          <w:noProof/>
        </w:rPr>
      </w:pPr>
      <w:r w:rsidRPr="3CA787FD">
        <w:rPr>
          <w:rFonts w:eastAsia="Aptos" w:cs="Times New Roman"/>
          <w:noProof/>
        </w:rPr>
        <w:t>E</w:t>
      </w:r>
      <w:r w:rsidR="00EA5D2E" w:rsidRPr="3CA787FD">
        <w:rPr>
          <w:rFonts w:eastAsia="Aptos" w:cs="Times New Roman"/>
          <w:noProof/>
        </w:rPr>
        <w:t xml:space="preserve">nsuring </w:t>
      </w:r>
      <w:r w:rsidRPr="3CA787FD">
        <w:rPr>
          <w:rFonts w:eastAsia="Aptos" w:cs="Times New Roman"/>
          <w:noProof/>
        </w:rPr>
        <w:t>EU</w:t>
      </w:r>
      <w:r w:rsidR="00EA5D2E" w:rsidRPr="3CA787FD">
        <w:rPr>
          <w:rFonts w:eastAsia="Aptos" w:cs="Times New Roman"/>
          <w:noProof/>
        </w:rPr>
        <w:t xml:space="preserve"> origin for electricity grid technologies significantly mitigates the risk of compromised hardware or software being exploited in cyberattacks</w:t>
      </w:r>
      <w:r w:rsidRPr="3CA787FD">
        <w:rPr>
          <w:rFonts w:eastAsia="Aptos" w:cs="Times New Roman"/>
          <w:noProof/>
        </w:rPr>
        <w:t xml:space="preserve"> and thus </w:t>
      </w:r>
      <w:r w:rsidR="00F537BB" w:rsidRPr="3CA787FD">
        <w:rPr>
          <w:rFonts w:eastAsia="Aptos" w:cs="Times New Roman"/>
          <w:noProof/>
        </w:rPr>
        <w:t>safeguard</w:t>
      </w:r>
      <w:r w:rsidRPr="3CA787FD">
        <w:rPr>
          <w:rFonts w:eastAsia="Aptos" w:cs="Times New Roman"/>
          <w:noProof/>
        </w:rPr>
        <w:t>s</w:t>
      </w:r>
      <w:r w:rsidR="00F537BB" w:rsidRPr="3CA787FD">
        <w:rPr>
          <w:rFonts w:eastAsia="Aptos" w:cs="Times New Roman"/>
          <w:noProof/>
        </w:rPr>
        <w:t xml:space="preserve"> the EU energy security and ensure strategic autonomy. </w:t>
      </w:r>
      <w:r w:rsidR="00F537BB" w:rsidRPr="3CA787FD">
        <w:rPr>
          <w:rFonts w:eastAsia="Times New Roman" w:cs="Times New Roman"/>
          <w:noProof/>
        </w:rPr>
        <w:t>In line with the Joint Communication on strengthening Economic Security</w:t>
      </w:r>
      <w:r w:rsidR="00A613FB" w:rsidRPr="3CA787FD">
        <w:rPr>
          <w:rStyle w:val="FootnoteReference"/>
          <w:rFonts w:eastAsia="Times New Roman" w:cs="Times New Roman"/>
          <w:noProof/>
        </w:rPr>
        <w:footnoteReference w:id="719"/>
      </w:r>
      <w:r w:rsidR="00F537BB" w:rsidRPr="3CA787FD">
        <w:rPr>
          <w:rFonts w:eastAsia="Times New Roman" w:cs="Times New Roman"/>
          <w:noProof/>
        </w:rPr>
        <w:t>, Made in EU requirements for net-zero technologies aim to support the development of trustworthy suppliers of critical subcomponents within the EU. Technologies like i</w:t>
      </w:r>
      <w:r w:rsidR="00F537BB" w:rsidRPr="3CA787FD">
        <w:rPr>
          <w:rFonts w:eastAsia="Aptos" w:cs="Times New Roman"/>
          <w:noProof/>
        </w:rPr>
        <w:t xml:space="preserve">nverters, converters, electric cabinets, and other technologies to digitalize the grid are connected grid electricity technologies critical for the energy system and must be protected from risky software and firmware updates, remote access vulnerabilities, and supply-chain dependencies. Similarly, electric charging technologies for transport are crucial for cybersecurity due to their connectivity and integration with broader power grids and payment systems. </w:t>
      </w:r>
      <w:r w:rsidR="00C00062" w:rsidRPr="3CA787FD">
        <w:rPr>
          <w:rFonts w:eastAsia="Aptos" w:cs="Times New Roman"/>
          <w:noProof/>
        </w:rPr>
        <w:t>Power</w:t>
      </w:r>
      <w:r w:rsidR="006352C1" w:rsidRPr="3CA787FD">
        <w:rPr>
          <w:rFonts w:eastAsia="Aptos" w:cs="Times New Roman"/>
          <w:noProof/>
        </w:rPr>
        <w:t xml:space="preserve"> cables are especially critical as they form the backbone of </w:t>
      </w:r>
      <w:r w:rsidR="00C00062" w:rsidRPr="3CA787FD">
        <w:rPr>
          <w:rFonts w:eastAsia="Aptos" w:cs="Times New Roman"/>
          <w:noProof/>
        </w:rPr>
        <w:t>electricity</w:t>
      </w:r>
      <w:r w:rsidR="006352C1" w:rsidRPr="3CA787FD">
        <w:rPr>
          <w:rFonts w:eastAsia="Aptos" w:cs="Times New Roman"/>
          <w:noProof/>
        </w:rPr>
        <w:t xml:space="preserve"> transmission and distribution, ensuring the stable and efficient delivery of electricity across regions, and any compromise can have widespread impacts on energy security and infrastructure integrity.</w:t>
      </w:r>
      <w:r w:rsidR="00DB17E0" w:rsidRPr="3CA787FD">
        <w:rPr>
          <w:rFonts w:eastAsia="Aptos" w:cs="Times New Roman"/>
          <w:noProof/>
        </w:rPr>
        <w:t xml:space="preserve"> </w:t>
      </w:r>
      <w:r w:rsidR="00F537BB" w:rsidRPr="3CA787FD">
        <w:rPr>
          <w:rFonts w:eastAsia="Aptos" w:cs="Times New Roman"/>
          <w:noProof/>
        </w:rPr>
        <w:t xml:space="preserve">Therefore, </w:t>
      </w:r>
      <w:r w:rsidR="00102B51" w:rsidRPr="3CA787FD">
        <w:rPr>
          <w:rFonts w:eastAsia="Aptos" w:cs="Times New Roman"/>
          <w:noProof/>
        </w:rPr>
        <w:t xml:space="preserve">the IAA proposes targeted Made in EU requirements </w:t>
      </w:r>
      <w:r w:rsidR="00F537BB" w:rsidRPr="3CA787FD">
        <w:rPr>
          <w:rFonts w:eastAsia="Aptos" w:cs="Times New Roman"/>
          <w:noProof/>
        </w:rPr>
        <w:t>for these electricity grid technologies to enter into force three years after adoption. A</w:t>
      </w:r>
      <w:r w:rsidR="00F537BB" w:rsidRPr="3CA787FD">
        <w:rPr>
          <w:rFonts w:cs="Times New Roman"/>
          <w:noProof/>
        </w:rPr>
        <w:t>cknowledging the</w:t>
      </w:r>
      <w:r w:rsidR="00F537BB" w:rsidRPr="3CA787FD">
        <w:rPr>
          <w:rFonts w:eastAsia="Aptos" w:cs="Times New Roman"/>
          <w:noProof/>
        </w:rPr>
        <w:t xml:space="preserve"> lack of precise data on EU manufacturing capacity </w:t>
      </w:r>
      <w:r w:rsidR="00787C0A" w:rsidRPr="3CA787FD">
        <w:rPr>
          <w:rFonts w:eastAsia="Aptos" w:cs="Times New Roman"/>
          <w:noProof/>
        </w:rPr>
        <w:t>and production cost differences across regions</w:t>
      </w:r>
      <w:r w:rsidR="00F537BB" w:rsidRPr="3CA787FD">
        <w:rPr>
          <w:rFonts w:eastAsia="Aptos" w:cs="Times New Roman"/>
          <w:noProof/>
        </w:rPr>
        <w:t xml:space="preserve"> </w:t>
      </w:r>
      <w:r w:rsidR="007014AD" w:rsidRPr="3CA787FD">
        <w:rPr>
          <w:rFonts w:eastAsia="Aptos" w:cs="Times New Roman"/>
          <w:noProof/>
        </w:rPr>
        <w:t>for some of these devices</w:t>
      </w:r>
      <w:r w:rsidR="00F537BB" w:rsidRPr="3CA787FD">
        <w:rPr>
          <w:rFonts w:cs="Times New Roman"/>
          <w:noProof/>
        </w:rPr>
        <w:t>, t</w:t>
      </w:r>
      <w:r w:rsidR="00F537BB" w:rsidRPr="3CA787FD">
        <w:rPr>
          <w:rFonts w:eastAsia="Aptos" w:cs="Times New Roman"/>
          <w:noProof/>
        </w:rPr>
        <w:t xml:space="preserve">his cautious timeline is intended to provide manufacturers flexibility to adapt to the </w:t>
      </w:r>
      <w:r w:rsidR="00F537BB" w:rsidRPr="3CA787FD">
        <w:rPr>
          <w:rFonts w:cs="Times New Roman"/>
          <w:noProof/>
        </w:rPr>
        <w:t xml:space="preserve">requirements </w:t>
      </w:r>
      <w:r w:rsidR="0031702E" w:rsidRPr="3CA787FD">
        <w:rPr>
          <w:rFonts w:cs="Times New Roman"/>
          <w:noProof/>
        </w:rPr>
        <w:t>and</w:t>
      </w:r>
      <w:r w:rsidR="00F537BB" w:rsidRPr="3CA787FD">
        <w:rPr>
          <w:rFonts w:cs="Times New Roman"/>
          <w:noProof/>
        </w:rPr>
        <w:t xml:space="preserve"> prevent supply bottlenecks, the formation of oligopolies and disproportionate cost increases. </w:t>
      </w:r>
      <w:r w:rsidR="000829F4" w:rsidRPr="3CA787FD">
        <w:rPr>
          <w:rFonts w:cs="Times New Roman"/>
          <w:noProof/>
        </w:rPr>
        <w:t xml:space="preserve">Besides, </w:t>
      </w:r>
      <w:r w:rsidR="003E3DD6" w:rsidRPr="3CA787FD">
        <w:rPr>
          <w:rFonts w:cs="Times New Roman"/>
          <w:noProof/>
        </w:rPr>
        <w:t xml:space="preserve">for </w:t>
      </w:r>
      <w:r w:rsidR="003F4497" w:rsidRPr="3CA787FD">
        <w:rPr>
          <w:rFonts w:cs="Times New Roman"/>
          <w:noProof/>
        </w:rPr>
        <w:t xml:space="preserve">electricity grid </w:t>
      </w:r>
      <w:r w:rsidR="003E3DD6" w:rsidRPr="3CA787FD">
        <w:rPr>
          <w:rFonts w:cs="Times New Roman"/>
          <w:noProof/>
        </w:rPr>
        <w:t xml:space="preserve">technologies </w:t>
      </w:r>
      <w:r w:rsidR="000829F4" w:rsidRPr="3CA787FD">
        <w:rPr>
          <w:rFonts w:cs="Times New Roman"/>
          <w:noProof/>
        </w:rPr>
        <w:t xml:space="preserve">where shortages of supply have been identified </w:t>
      </w:r>
      <w:r w:rsidR="003E3DD6" w:rsidRPr="3CA787FD">
        <w:rPr>
          <w:rFonts w:cs="Times New Roman"/>
          <w:noProof/>
        </w:rPr>
        <w:t>Made in EU requirements have not been proposed.</w:t>
      </w:r>
    </w:p>
    <w:p w14:paraId="4CCDD32C" w14:textId="77777777" w:rsidR="00D565F8" w:rsidRPr="00631B90" w:rsidRDefault="00D565F8" w:rsidP="00631B90">
      <w:pPr>
        <w:spacing w:after="120"/>
        <w:rPr>
          <w:rFonts w:eastAsia="Aptos" w:cs="Times New Roman"/>
          <w:noProof/>
          <w:szCs w:val="24"/>
        </w:rPr>
      </w:pPr>
    </w:p>
    <w:p w14:paraId="10427631" w14:textId="77777777" w:rsidR="00F537BB" w:rsidRPr="00141B3D" w:rsidRDefault="00F537BB" w:rsidP="002433AA">
      <w:pPr>
        <w:pStyle w:val="Heading2"/>
        <w:numPr>
          <w:ilvl w:val="0"/>
          <w:numId w:val="0"/>
        </w:numPr>
        <w:ind w:left="720"/>
        <w:rPr>
          <w:b w:val="0"/>
          <w:bCs/>
          <w:sz w:val="22"/>
        </w:rPr>
      </w:pPr>
      <w:bookmarkStart w:id="1588" w:name="_Toc222490074"/>
      <w:r w:rsidRPr="00732666">
        <w:rPr>
          <w:szCs w:val="24"/>
        </w:rPr>
        <w:t>EU capacity to supply its demand for net-zero technologies</w:t>
      </w:r>
      <w:bookmarkEnd w:id="1588"/>
    </w:p>
    <w:p w14:paraId="60BCE1B5" w14:textId="680AD956" w:rsidR="00F537BB" w:rsidRPr="00732666" w:rsidRDefault="00F537BB" w:rsidP="008F0CF4">
      <w:pPr>
        <w:spacing w:after="120"/>
        <w:rPr>
          <w:rFonts w:eastAsia="Times New Roman" w:cs="Times New Roman"/>
          <w:noProof/>
          <w:szCs w:val="24"/>
        </w:rPr>
      </w:pPr>
      <w:r w:rsidRPr="00732666">
        <w:rPr>
          <w:rFonts w:eastAsia="Times New Roman" w:cs="Times New Roman"/>
          <w:noProof/>
          <w:szCs w:val="24"/>
        </w:rPr>
        <w:t>Net-zero technologies in the EU face manufacturing challenges posed by global competition, and particularly by China. European producers often struggle to remain cost-competitive: solar PV modules imported from China are sold at prices that are roughly half the production cost and only about one-third of the break-even level needed for EU firms to sustain their operations. Chinese wind turbines are 10–45% cheaper than European equivalents. In batteries, China dominates 86% of global cell supply and controls over 90% of key materials, while Chinese electrolysers are sold 33–50% cheaper than EU equipment.</w:t>
      </w:r>
    </w:p>
    <w:p w14:paraId="681FD152" w14:textId="3B390546" w:rsidR="008F0CF4" w:rsidRPr="00732666" w:rsidRDefault="00F537BB" w:rsidP="00631B90">
      <w:pPr>
        <w:spacing w:after="120"/>
        <w:rPr>
          <w:rFonts w:eastAsia="Times New Roman" w:cs="Times New Roman"/>
          <w:noProof/>
          <w:szCs w:val="24"/>
        </w:rPr>
      </w:pPr>
      <w:r w:rsidRPr="00732666">
        <w:rPr>
          <w:rFonts w:eastAsia="Times New Roman" w:cs="Times New Roman"/>
          <w:noProof/>
          <w:szCs w:val="24"/>
        </w:rPr>
        <w:t>EU manufacturing in solar PV is limited primarily to modules, inverters, and polysilicon, while the battery manufacturing landscape is heavily dominated by Asian companies. At the same time, several technologies reveal a problem of overcapacity within Europe itself. Heat pump factories can deliver more than 6 million units per year, exceeding the estimated 5 million needed annually by 2030, leaving many lines idle. Electrolyser plants likewise suffer from low utilisation, running at just below 20% of their nameplate capacity in 2024. In batteries, announced projects could boost capacity from 188 GWh in 2024 to 872 GWh by 2030, yet more than 250 GWh of planned projects have already been cancelled due to weak demand for EU batteries. This reflects the volatility of EU policy signals and the limited coordination between deployment needs and industrial production capacity.</w:t>
      </w:r>
    </w:p>
    <w:p w14:paraId="2F9259AA" w14:textId="77777777" w:rsidR="00F537BB" w:rsidRPr="000A5F48" w:rsidRDefault="00F537BB" w:rsidP="007F3010">
      <w:pPr>
        <w:spacing w:before="240"/>
        <w:rPr>
          <w:rFonts w:eastAsia="Times New Roman" w:cs="Times New Roman"/>
          <w:b/>
          <w:i/>
          <w:noProof/>
          <w:szCs w:val="24"/>
        </w:rPr>
      </w:pPr>
      <w:r w:rsidRPr="000A5F48">
        <w:rPr>
          <w:rFonts w:eastAsia="Times New Roman" w:cs="Times New Roman"/>
          <w:b/>
          <w:i/>
          <w:noProof/>
          <w:szCs w:val="24"/>
        </w:rPr>
        <w:t>Electrolysers</w:t>
      </w:r>
    </w:p>
    <w:p w14:paraId="1C869D83" w14:textId="50915665" w:rsidR="00F537BB" w:rsidRPr="00732666" w:rsidRDefault="00F537BB" w:rsidP="00EB7705">
      <w:pPr>
        <w:spacing w:after="240"/>
        <w:rPr>
          <w:rFonts w:eastAsia="Times New Roman" w:cs="Times New Roman"/>
          <w:noProof/>
          <w:szCs w:val="24"/>
        </w:rPr>
      </w:pPr>
      <w:r w:rsidRPr="00732666">
        <w:rPr>
          <w:rFonts w:eastAsia="Times New Roman" w:cs="Times New Roman"/>
          <w:noProof/>
          <w:szCs w:val="24"/>
        </w:rPr>
        <w:t>The deployment of electrolysers in the EU is characterised by a significant gap with ambitions, primarily due to delays in renewable hydrogen projects. Currently, EU manufacturing capacity can sufficiently meet deployment demands for most elements within the electrolyser value chain, except for bipolar plates and diaphragms (see Figure EL). These components can be swiftly scaled up once market signals are established. The Made in E</w:t>
      </w:r>
      <w:r w:rsidR="008F0CF4">
        <w:rPr>
          <w:rFonts w:eastAsia="Times New Roman" w:cs="Times New Roman"/>
          <w:noProof/>
          <w:szCs w:val="24"/>
        </w:rPr>
        <w:t>U</w:t>
      </w:r>
      <w:r w:rsidRPr="00732666">
        <w:rPr>
          <w:rFonts w:eastAsia="Times New Roman" w:cs="Times New Roman"/>
          <w:noProof/>
          <w:szCs w:val="24"/>
        </w:rPr>
        <w:t xml:space="preserve"> requirements for electrolysers can be met already in the short-term and would contribute to develop a resilient and robust hydrogen economy.</w:t>
      </w:r>
    </w:p>
    <w:p w14:paraId="73555A64" w14:textId="77777777" w:rsidR="00F537BB" w:rsidRPr="00732666" w:rsidRDefault="00F537BB" w:rsidP="00F537BB">
      <w:pPr>
        <w:ind w:left="1080"/>
        <w:jc w:val="center"/>
        <w:rPr>
          <w:rFonts w:cs="Times New Roman"/>
          <w:i/>
          <w:noProof/>
          <w:sz w:val="20"/>
          <w:szCs w:val="20"/>
        </w:rPr>
      </w:pPr>
      <w:r w:rsidRPr="00732666">
        <w:rPr>
          <w:rFonts w:cs="Times New Roman"/>
          <w:i/>
          <w:noProof/>
          <w:sz w:val="20"/>
          <w:szCs w:val="20"/>
        </w:rPr>
        <w:t>Figure EL: Manufacturing capacity of hydrogen electrolyser components vis a vis deployment needs, 2025 and 2030</w:t>
      </w:r>
    </w:p>
    <w:p w14:paraId="2C79AA30" w14:textId="77777777" w:rsidR="00F537BB" w:rsidRPr="00141B3D" w:rsidRDefault="00F537BB" w:rsidP="00F537BB">
      <w:pPr>
        <w:jc w:val="center"/>
        <w:rPr>
          <w:rFonts w:eastAsia="Times New Roman" w:cs="Times New Roman"/>
          <w:noProof/>
          <w:sz w:val="22"/>
        </w:rPr>
      </w:pPr>
      <w:r w:rsidRPr="00C76855">
        <w:rPr>
          <w:rFonts w:eastAsia="Times New Roman" w:cs="Times New Roman"/>
          <w:noProof/>
          <w:sz w:val="22"/>
          <w:lang w:eastAsia="en-GB"/>
        </w:rPr>
        <w:drawing>
          <wp:inline distT="0" distB="0" distL="0" distR="0" wp14:anchorId="0B3E0266" wp14:editId="2194A07D">
            <wp:extent cx="4066964" cy="2587925"/>
            <wp:effectExtent l="0" t="0" r="0" b="3175"/>
            <wp:docPr id="2109469927" name="Picture 1" descr="A graph of different types of lay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469927" name="Picture 1" descr="A graph of different types of layers&#10;&#10;AI-generated content may be incorrect."/>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075643" cy="2593448"/>
                    </a:xfrm>
                    <a:prstGeom prst="rect">
                      <a:avLst/>
                    </a:prstGeom>
                    <a:noFill/>
                  </pic:spPr>
                </pic:pic>
              </a:graphicData>
            </a:graphic>
          </wp:inline>
        </w:drawing>
      </w:r>
    </w:p>
    <w:p w14:paraId="7ABFDFDD" w14:textId="2FD5AE88" w:rsidR="00F537BB" w:rsidRPr="004D1DF5" w:rsidRDefault="00F537BB" w:rsidP="004D1DF5">
      <w:pPr>
        <w:jc w:val="center"/>
        <w:rPr>
          <w:rFonts w:cs="Times New Roman"/>
          <w:i/>
          <w:noProof/>
          <w:sz w:val="20"/>
          <w:szCs w:val="20"/>
        </w:rPr>
      </w:pPr>
      <w:r w:rsidRPr="00732666">
        <w:rPr>
          <w:rFonts w:cs="Times New Roman"/>
          <w:i/>
          <w:noProof/>
          <w:sz w:val="20"/>
          <w:szCs w:val="20"/>
        </w:rPr>
        <w:t xml:space="preserve">Source: </w:t>
      </w:r>
      <w:r w:rsidR="005F1CDE">
        <w:rPr>
          <w:rFonts w:cs="Times New Roman"/>
          <w:i/>
          <w:noProof/>
          <w:sz w:val="20"/>
          <w:szCs w:val="20"/>
        </w:rPr>
        <w:t>European Commission (2026)</w:t>
      </w:r>
      <w:r w:rsidR="005F1CDE">
        <w:rPr>
          <w:rStyle w:val="FootnoteReference"/>
          <w:rFonts w:cs="Times New Roman"/>
          <w:i/>
          <w:noProof/>
          <w:sz w:val="20"/>
          <w:szCs w:val="20"/>
        </w:rPr>
        <w:footnoteReference w:id="720"/>
      </w:r>
      <w:r w:rsidR="005F1CDE" w:rsidRPr="00732666">
        <w:rPr>
          <w:rFonts w:cs="Times New Roman"/>
          <w:i/>
          <w:noProof/>
          <w:sz w:val="20"/>
          <w:szCs w:val="20"/>
        </w:rPr>
        <w:t xml:space="preserve"> </w:t>
      </w:r>
    </w:p>
    <w:p w14:paraId="2DFC2263" w14:textId="77777777" w:rsidR="00F537BB" w:rsidRPr="000A5F48" w:rsidRDefault="00F537BB" w:rsidP="004D1DF5">
      <w:pPr>
        <w:spacing w:before="240"/>
        <w:rPr>
          <w:rFonts w:eastAsia="Times New Roman" w:cs="Times New Roman"/>
          <w:b/>
          <w:i/>
          <w:noProof/>
          <w:szCs w:val="24"/>
        </w:rPr>
      </w:pPr>
      <w:r w:rsidRPr="000A5F48">
        <w:rPr>
          <w:rFonts w:eastAsia="Times New Roman" w:cs="Times New Roman"/>
          <w:b/>
          <w:i/>
          <w:noProof/>
          <w:szCs w:val="24"/>
        </w:rPr>
        <w:t>Heat pumps</w:t>
      </w:r>
    </w:p>
    <w:p w14:paraId="3CC0089B" w14:textId="77777777" w:rsidR="00F537BB" w:rsidRPr="00732666" w:rsidRDefault="00F537BB" w:rsidP="002A3EF2">
      <w:pPr>
        <w:spacing w:after="120"/>
        <w:rPr>
          <w:rFonts w:eastAsia="Times New Roman" w:cs="Times New Roman"/>
          <w:noProof/>
          <w:szCs w:val="24"/>
        </w:rPr>
      </w:pPr>
      <w:r w:rsidRPr="00732666">
        <w:rPr>
          <w:rFonts w:eastAsia="Times New Roman" w:cs="Times New Roman"/>
          <w:noProof/>
          <w:szCs w:val="24"/>
        </w:rPr>
        <w:t xml:space="preserve">Following the RepowerEU initiative, numerous industry stakeholders have proactively increased heat pump manufacturing capacity across the EU to accommodate anticipated demand surges. Although the EU heat pump assembly ecosystem is now characterized by overcapacity, particularly for hydronic heat pumps, there remains a notable deficit in manufacturing essential components such as compressors and four-way valves, which are predominantly imported from China (see Figure HP). To enhance supply chain resilience and reduce dependency on external sources, it is critical to strategically diversify the supply of these components. The resilience contribution in the context of the Net-Zero Industry Act (NZIA) is the main measure to achieve such diversification. In addition, encouraging the assembling of heat pumps within the EU will minimize the risk of national initiatives fragmenting the Single Market, ensuring a more cohesive and robust approach to heat pump deployment across Member States. </w:t>
      </w:r>
    </w:p>
    <w:p w14:paraId="2E16F794" w14:textId="77777777" w:rsidR="00F537BB" w:rsidRPr="00EB7705" w:rsidRDefault="00F537BB" w:rsidP="00F537BB">
      <w:pPr>
        <w:jc w:val="center"/>
        <w:rPr>
          <w:rFonts w:cs="Times New Roman"/>
          <w:i/>
          <w:noProof/>
          <w:sz w:val="20"/>
          <w:szCs w:val="20"/>
        </w:rPr>
      </w:pPr>
      <w:r w:rsidRPr="00EB7705">
        <w:rPr>
          <w:rFonts w:cs="Times New Roman"/>
          <w:i/>
          <w:noProof/>
          <w:sz w:val="20"/>
          <w:szCs w:val="20"/>
        </w:rPr>
        <w:t>Figure HP: Manufacturing capacity of heat pump components vis a vis deployment needs, 2025 and 2030</w:t>
      </w:r>
    </w:p>
    <w:p w14:paraId="4224B75E" w14:textId="77777777" w:rsidR="00F537BB" w:rsidRPr="00141B3D" w:rsidRDefault="00F537BB" w:rsidP="00F537BB">
      <w:pPr>
        <w:jc w:val="center"/>
        <w:rPr>
          <w:rFonts w:cs="Times New Roman"/>
          <w:noProof/>
          <w:sz w:val="22"/>
        </w:rPr>
      </w:pPr>
      <w:r w:rsidRPr="00141B3D">
        <w:rPr>
          <w:rFonts w:cs="Times New Roman"/>
          <w:noProof/>
          <w:sz w:val="22"/>
          <w:lang w:eastAsia="en-GB"/>
        </w:rPr>
        <w:drawing>
          <wp:inline distT="0" distB="0" distL="0" distR="0" wp14:anchorId="37ABF0BF" wp14:editId="5A3FAE52">
            <wp:extent cx="4965405" cy="3148736"/>
            <wp:effectExtent l="0" t="0" r="6985" b="0"/>
            <wp:docPr id="163709285" name="Picture 1" descr="A graph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9285" name="Picture 1" descr="A graph of a diagram&#10;&#10;AI-generated content may be incorrect."/>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977932" cy="3156680"/>
                    </a:xfrm>
                    <a:prstGeom prst="rect">
                      <a:avLst/>
                    </a:prstGeom>
                    <a:noFill/>
                  </pic:spPr>
                </pic:pic>
              </a:graphicData>
            </a:graphic>
          </wp:inline>
        </w:drawing>
      </w:r>
    </w:p>
    <w:p w14:paraId="159B5962" w14:textId="646A94BC" w:rsidR="00F537BB" w:rsidRPr="00EB7705" w:rsidRDefault="00F537BB" w:rsidP="00EB7705">
      <w:pPr>
        <w:spacing w:after="240"/>
        <w:jc w:val="center"/>
        <w:rPr>
          <w:rFonts w:cs="Times New Roman"/>
          <w:i/>
          <w:noProof/>
          <w:sz w:val="20"/>
          <w:szCs w:val="20"/>
        </w:rPr>
      </w:pPr>
      <w:r w:rsidRPr="00EB7705">
        <w:rPr>
          <w:rFonts w:cs="Times New Roman"/>
          <w:i/>
          <w:noProof/>
          <w:sz w:val="20"/>
          <w:szCs w:val="20"/>
        </w:rPr>
        <w:t xml:space="preserve">Source: </w:t>
      </w:r>
      <w:r w:rsidR="002A3EF2">
        <w:rPr>
          <w:rFonts w:cs="Times New Roman"/>
          <w:i/>
          <w:noProof/>
          <w:sz w:val="20"/>
          <w:szCs w:val="20"/>
        </w:rPr>
        <w:t>European Commission (2026)</w:t>
      </w:r>
      <w:r w:rsidR="002A3EF2" w:rsidRPr="002A3EF2">
        <w:rPr>
          <w:rFonts w:cs="Times New Roman"/>
          <w:i/>
          <w:noProof/>
          <w:sz w:val="20"/>
          <w:szCs w:val="20"/>
          <w:vertAlign w:val="superscript"/>
        </w:rPr>
        <w:t>688</w:t>
      </w:r>
    </w:p>
    <w:p w14:paraId="03C0BBFA" w14:textId="77777777" w:rsidR="00F537BB" w:rsidRPr="000A5F48" w:rsidRDefault="00F537BB" w:rsidP="00E074B6">
      <w:pPr>
        <w:spacing w:before="240"/>
        <w:rPr>
          <w:rFonts w:eastAsia="Times New Roman" w:cs="Times New Roman"/>
          <w:b/>
          <w:i/>
          <w:noProof/>
          <w:szCs w:val="24"/>
        </w:rPr>
      </w:pPr>
      <w:r w:rsidRPr="000A5F48">
        <w:rPr>
          <w:rFonts w:eastAsia="Times New Roman" w:cs="Times New Roman"/>
          <w:b/>
          <w:i/>
          <w:noProof/>
          <w:szCs w:val="24"/>
        </w:rPr>
        <w:t>Nuclear fission energy technologies</w:t>
      </w:r>
    </w:p>
    <w:p w14:paraId="13F82237" w14:textId="31A7432C" w:rsidR="00F537BB" w:rsidRPr="00732666" w:rsidRDefault="00F537BB" w:rsidP="002A3EF2">
      <w:pPr>
        <w:spacing w:after="120"/>
        <w:rPr>
          <w:rFonts w:eastAsia="Times New Roman" w:cs="Times New Roman"/>
          <w:noProof/>
          <w:szCs w:val="24"/>
        </w:rPr>
      </w:pPr>
      <w:r w:rsidRPr="00732666">
        <w:rPr>
          <w:rFonts w:eastAsia="Times New Roman" w:cs="Times New Roman"/>
          <w:noProof/>
          <w:szCs w:val="24"/>
        </w:rPr>
        <w:t>Throughout this decade, the EU is poised to satisfy its nuclear fission energy technologies deployment needs with sufficient manufacturing capacity (see Figure NU). For each main specific component of nuclear fission energy technology, at least five suppliers exist across the EU. However, short-term fulfilment of demands for nuclear fuel elements and steam generators with domestic production might be challenging. The nuclear component manufacturing ecosystem is not as developed as it was thirty years ago, due to a three-decade shortage of new nuclear fission energy projects that resulted in many original equipment manufacturers for the EU nuclear fleet disappearing. The EU nuclear supply chain relies heavily on a limited number of suppliers concentrated in a handful of countries, principally France, Germany, Italy, Spain, Sweden, Romandia, Slovakia and the Czech Republic, each hosting specialized factories for nuclear components.</w:t>
      </w:r>
      <w:r w:rsidRPr="00732666">
        <w:rPr>
          <w:rFonts w:cs="Times New Roman"/>
          <w:noProof/>
          <w:szCs w:val="24"/>
        </w:rPr>
        <w:t xml:space="preserve"> </w:t>
      </w:r>
      <w:r w:rsidRPr="00732666">
        <w:rPr>
          <w:rFonts w:eastAsia="Times New Roman" w:cs="Times New Roman"/>
          <w:noProof/>
          <w:szCs w:val="24"/>
        </w:rPr>
        <w:t xml:space="preserve">Besides, the production market's limited appeal—arising from high costs, technological barriers, and limited deployment—creates an environment that does not encourage the entrance of new market actors. Therefore, Made in EU requirements should not be introduced before 2030 to guarantee a level playing field in a sector that demands adherence to specific nuclear codes. Moreover, these requirements should apply only to new nuclear plants, ensuring there is adequate time to align the compatibility of reactor designs with components developed in Europe, while thereby avoiding disruption of established supply chains with limited flexibility. </w:t>
      </w:r>
    </w:p>
    <w:p w14:paraId="31455AE5" w14:textId="77777777" w:rsidR="00F537BB" w:rsidRPr="00141B3D" w:rsidRDefault="00F537BB" w:rsidP="00EB7705">
      <w:pPr>
        <w:spacing w:before="240"/>
        <w:jc w:val="center"/>
        <w:rPr>
          <w:rFonts w:cs="Times New Roman"/>
          <w:bCs/>
          <w:i/>
          <w:iCs/>
          <w:noProof/>
          <w:sz w:val="22"/>
        </w:rPr>
      </w:pPr>
      <w:r w:rsidRPr="00EB7705">
        <w:rPr>
          <w:rFonts w:cs="Times New Roman"/>
          <w:i/>
          <w:noProof/>
          <w:sz w:val="20"/>
          <w:szCs w:val="20"/>
        </w:rPr>
        <w:t xml:space="preserve">Figure NU: Manufacturing capacity of nuclear components vis a vis deployment needs, 2025 and </w:t>
      </w:r>
      <w:r w:rsidRPr="00141B3D">
        <w:rPr>
          <w:rFonts w:cs="Times New Roman"/>
          <w:bCs/>
          <w:i/>
          <w:iCs/>
          <w:noProof/>
          <w:sz w:val="22"/>
        </w:rPr>
        <w:t>2030</w:t>
      </w:r>
    </w:p>
    <w:p w14:paraId="4CBCBE89" w14:textId="77777777" w:rsidR="00F537BB" w:rsidRPr="00141B3D" w:rsidRDefault="00F537BB" w:rsidP="00F537BB">
      <w:pPr>
        <w:jc w:val="center"/>
        <w:rPr>
          <w:rFonts w:cs="Times New Roman"/>
          <w:noProof/>
          <w:sz w:val="22"/>
        </w:rPr>
      </w:pPr>
      <w:r w:rsidRPr="00C76855">
        <w:rPr>
          <w:rFonts w:cs="Times New Roman"/>
          <w:noProof/>
          <w:sz w:val="22"/>
          <w:lang w:eastAsia="en-GB"/>
        </w:rPr>
        <w:drawing>
          <wp:inline distT="0" distB="0" distL="0" distR="0" wp14:anchorId="580F5EF2" wp14:editId="34D045A9">
            <wp:extent cx="4796287" cy="2681996"/>
            <wp:effectExtent l="0" t="0" r="4445" b="4445"/>
            <wp:docPr id="1211989615" name="Picture 1" descr="A graph of different types of p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89615" name="Picture 1" descr="A graph of different types of pipes&#10;&#10;AI-generated content may be incorrect."/>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817287" cy="2693739"/>
                    </a:xfrm>
                    <a:prstGeom prst="rect">
                      <a:avLst/>
                    </a:prstGeom>
                    <a:noFill/>
                  </pic:spPr>
                </pic:pic>
              </a:graphicData>
            </a:graphic>
          </wp:inline>
        </w:drawing>
      </w:r>
    </w:p>
    <w:p w14:paraId="7FE66236" w14:textId="77777777" w:rsidR="00F537BB" w:rsidRPr="00EB7705" w:rsidRDefault="00F537BB" w:rsidP="00EB7705">
      <w:pPr>
        <w:spacing w:after="240"/>
        <w:jc w:val="center"/>
        <w:rPr>
          <w:rFonts w:eastAsia="Times New Roman" w:cs="Times New Roman"/>
          <w:noProof/>
          <w:sz w:val="20"/>
          <w:szCs w:val="20"/>
        </w:rPr>
      </w:pPr>
      <w:r w:rsidRPr="00EB7705">
        <w:rPr>
          <w:rFonts w:cs="Times New Roman"/>
          <w:i/>
          <w:noProof/>
          <w:sz w:val="20"/>
          <w:szCs w:val="20"/>
        </w:rPr>
        <w:t>Source: NuclearEurope</w:t>
      </w:r>
    </w:p>
    <w:p w14:paraId="4452A6A8" w14:textId="77777777" w:rsidR="00F537BB" w:rsidRPr="000A5F48" w:rsidRDefault="00F537BB" w:rsidP="004E05F2">
      <w:pPr>
        <w:spacing w:before="240"/>
        <w:rPr>
          <w:rFonts w:eastAsia="Times New Roman" w:cs="Times New Roman"/>
          <w:b/>
          <w:i/>
          <w:noProof/>
          <w:szCs w:val="24"/>
        </w:rPr>
      </w:pPr>
      <w:r w:rsidRPr="000A5F48">
        <w:rPr>
          <w:rFonts w:eastAsia="Times New Roman" w:cs="Times New Roman"/>
          <w:b/>
          <w:i/>
          <w:noProof/>
          <w:szCs w:val="24"/>
        </w:rPr>
        <w:t>Solar thermal technologies</w:t>
      </w:r>
    </w:p>
    <w:p w14:paraId="31D04A62" w14:textId="77777777" w:rsidR="00F537BB" w:rsidRPr="00732666" w:rsidRDefault="00F537BB" w:rsidP="00EB7705">
      <w:pPr>
        <w:spacing w:after="240"/>
        <w:rPr>
          <w:rFonts w:eastAsia="Times New Roman" w:cs="Times New Roman"/>
          <w:noProof/>
          <w:szCs w:val="24"/>
        </w:rPr>
      </w:pPr>
      <w:r w:rsidRPr="00732666">
        <w:rPr>
          <w:rFonts w:eastAsia="Times New Roman" w:cs="Times New Roman"/>
          <w:noProof/>
          <w:szCs w:val="24"/>
        </w:rPr>
        <w:t xml:space="preserve">The EU has robust manufacturing capacity for solar thermal collectors (see Figure ST). In 2024, the capacity significantly exceeded current deployment needs, with EU companies planning expansions to boost exports. The European industry specializes in flat plate collectors, while has limited capacity to manufacture vacuum tube collectors, which are largely imported from China. Notably, the absorber (the part of the collectors that absorbs the solar heat) is predominantly produced in Europe. </w:t>
      </w:r>
    </w:p>
    <w:p w14:paraId="1EC252CB" w14:textId="77777777" w:rsidR="00F537BB" w:rsidRPr="00EB7705" w:rsidRDefault="00F537BB" w:rsidP="00F537BB">
      <w:pPr>
        <w:jc w:val="center"/>
        <w:rPr>
          <w:rFonts w:cs="Times New Roman"/>
          <w:i/>
          <w:noProof/>
          <w:sz w:val="20"/>
          <w:szCs w:val="20"/>
        </w:rPr>
      </w:pPr>
      <w:r w:rsidRPr="00EB7705">
        <w:rPr>
          <w:rFonts w:cs="Times New Roman"/>
          <w:i/>
          <w:noProof/>
          <w:sz w:val="20"/>
          <w:szCs w:val="20"/>
        </w:rPr>
        <w:t>Figure ST: Manufacturing capacity of solar thermal components vis a vis deployment needs, 2025 and 2030</w:t>
      </w:r>
    </w:p>
    <w:p w14:paraId="1FEEEA46" w14:textId="77777777" w:rsidR="00F537BB" w:rsidRPr="00141B3D" w:rsidRDefault="00F537BB" w:rsidP="00F537BB">
      <w:pPr>
        <w:jc w:val="center"/>
        <w:rPr>
          <w:rFonts w:cs="Times New Roman"/>
          <w:noProof/>
          <w:sz w:val="22"/>
        </w:rPr>
      </w:pPr>
      <w:r w:rsidRPr="00C76855">
        <w:rPr>
          <w:rFonts w:cs="Times New Roman"/>
          <w:noProof/>
          <w:sz w:val="22"/>
          <w:lang w:eastAsia="en-GB"/>
        </w:rPr>
        <w:drawing>
          <wp:inline distT="0" distB="0" distL="0" distR="0" wp14:anchorId="68B42785" wp14:editId="350D2BA7">
            <wp:extent cx="4244196" cy="2638751"/>
            <wp:effectExtent l="0" t="0" r="4445" b="9525"/>
            <wp:docPr id="327995556" name="Picture 2" descr="A graph of different colored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95556" name="Picture 2" descr="A graph of different colored columns&#10;&#10;AI-generated content may be incorrect."/>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274433" cy="2657550"/>
                    </a:xfrm>
                    <a:prstGeom prst="rect">
                      <a:avLst/>
                    </a:prstGeom>
                    <a:noFill/>
                  </pic:spPr>
                </pic:pic>
              </a:graphicData>
            </a:graphic>
          </wp:inline>
        </w:drawing>
      </w:r>
    </w:p>
    <w:p w14:paraId="2B9E3F92" w14:textId="7EB357CE" w:rsidR="00F537BB" w:rsidRPr="00EB7705" w:rsidRDefault="00F537BB" w:rsidP="00EB7705">
      <w:pPr>
        <w:spacing w:after="240"/>
        <w:jc w:val="center"/>
        <w:rPr>
          <w:rFonts w:cs="Times New Roman"/>
          <w:i/>
          <w:noProof/>
          <w:sz w:val="20"/>
          <w:szCs w:val="20"/>
        </w:rPr>
      </w:pPr>
      <w:r w:rsidRPr="00EB7705">
        <w:rPr>
          <w:rFonts w:cs="Times New Roman"/>
          <w:i/>
          <w:noProof/>
          <w:sz w:val="20"/>
          <w:szCs w:val="20"/>
        </w:rPr>
        <w:t xml:space="preserve">Source: </w:t>
      </w:r>
      <w:r w:rsidR="002A3EF2">
        <w:rPr>
          <w:rFonts w:cs="Times New Roman"/>
          <w:i/>
          <w:noProof/>
          <w:sz w:val="20"/>
          <w:szCs w:val="20"/>
        </w:rPr>
        <w:t>European Commission (2026)</w:t>
      </w:r>
      <w:r w:rsidR="002A3EF2" w:rsidRPr="002A3EF2">
        <w:rPr>
          <w:rFonts w:cs="Times New Roman"/>
          <w:i/>
          <w:noProof/>
          <w:sz w:val="20"/>
          <w:szCs w:val="20"/>
          <w:vertAlign w:val="superscript"/>
        </w:rPr>
        <w:t>688</w:t>
      </w:r>
    </w:p>
    <w:p w14:paraId="70F98A18" w14:textId="77777777" w:rsidR="00F537BB" w:rsidRPr="000A5F48" w:rsidRDefault="00F537BB" w:rsidP="004E05F2">
      <w:pPr>
        <w:spacing w:before="240"/>
        <w:rPr>
          <w:rFonts w:eastAsia="Times New Roman" w:cs="Times New Roman"/>
          <w:b/>
          <w:i/>
          <w:noProof/>
          <w:szCs w:val="24"/>
        </w:rPr>
      </w:pPr>
      <w:r w:rsidRPr="000A5F48">
        <w:rPr>
          <w:rFonts w:eastAsia="Times New Roman" w:cs="Times New Roman"/>
          <w:b/>
          <w:i/>
          <w:noProof/>
          <w:szCs w:val="24"/>
        </w:rPr>
        <w:t>Wind technologies</w:t>
      </w:r>
    </w:p>
    <w:p w14:paraId="3033B48E" w14:textId="79FDDFD3" w:rsidR="00F537BB" w:rsidRPr="00732666" w:rsidRDefault="00F537BB" w:rsidP="00EB7705">
      <w:pPr>
        <w:spacing w:after="240"/>
        <w:rPr>
          <w:rFonts w:eastAsia="Times New Roman" w:cs="Times New Roman"/>
          <w:noProof/>
          <w:szCs w:val="24"/>
        </w:rPr>
      </w:pPr>
      <w:r w:rsidRPr="00732666">
        <w:rPr>
          <w:rFonts w:eastAsia="Times New Roman" w:cs="Times New Roman"/>
          <w:noProof/>
          <w:szCs w:val="24"/>
        </w:rPr>
        <w:t xml:space="preserve">According to WindEurope, the EU currently has adequate manufacturing capacity across the wind technology value chain to meet its current deployment needs inside the EU (see Figure W), which are however not meeting the deployment needs to comply with the 2030 goals. Hence, further capacity expansion beyond present plans is needed. Chinese wind turbine manufacturers are working towards expanding in the EU market, exemplified by MingYang's collaboration with Italian firms. The NZIA's resilience contribution has prompted some EU companies to receive manufacturing requests from Chinese OEMs. </w:t>
      </w:r>
    </w:p>
    <w:p w14:paraId="4AA26C8C" w14:textId="77777777" w:rsidR="00F537BB" w:rsidRPr="00EB7705" w:rsidRDefault="00F537BB" w:rsidP="00F537BB">
      <w:pPr>
        <w:jc w:val="center"/>
        <w:rPr>
          <w:rFonts w:cs="Times New Roman"/>
          <w:i/>
          <w:noProof/>
          <w:sz w:val="20"/>
          <w:szCs w:val="20"/>
        </w:rPr>
      </w:pPr>
      <w:r w:rsidRPr="00EB7705">
        <w:rPr>
          <w:rFonts w:cs="Times New Roman"/>
          <w:i/>
          <w:noProof/>
          <w:sz w:val="20"/>
          <w:szCs w:val="20"/>
        </w:rPr>
        <w:t>Figure W: Manufacturing capacity of wind components vis a vis deployment needs, 2025 and 2030</w:t>
      </w:r>
    </w:p>
    <w:p w14:paraId="542B2334" w14:textId="77777777" w:rsidR="00F537BB" w:rsidRPr="00141B3D" w:rsidRDefault="00F537BB" w:rsidP="00F537BB">
      <w:pPr>
        <w:jc w:val="center"/>
        <w:rPr>
          <w:rFonts w:cs="Times New Roman"/>
          <w:noProof/>
          <w:sz w:val="22"/>
        </w:rPr>
      </w:pPr>
      <w:r w:rsidRPr="00C76855">
        <w:rPr>
          <w:rFonts w:cs="Times New Roman"/>
          <w:noProof/>
          <w:sz w:val="22"/>
          <w:lang w:eastAsia="en-GB"/>
        </w:rPr>
        <w:drawing>
          <wp:inline distT="0" distB="0" distL="0" distR="0" wp14:anchorId="2527FD57" wp14:editId="5550758A">
            <wp:extent cx="4287329" cy="2521447"/>
            <wp:effectExtent l="0" t="0" r="0" b="0"/>
            <wp:docPr id="1566841351" name="Picture 4"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841351" name="Picture 4" descr="A graph of a number of different colored bars&#10;&#10;AI-generated content may be incorrect."/>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300271" cy="2529059"/>
                    </a:xfrm>
                    <a:prstGeom prst="rect">
                      <a:avLst/>
                    </a:prstGeom>
                    <a:noFill/>
                  </pic:spPr>
                </pic:pic>
              </a:graphicData>
            </a:graphic>
          </wp:inline>
        </w:drawing>
      </w:r>
    </w:p>
    <w:p w14:paraId="15F274C2" w14:textId="77777777" w:rsidR="00F537BB" w:rsidRPr="00141B3D" w:rsidRDefault="00F537BB" w:rsidP="00EB7705">
      <w:pPr>
        <w:spacing w:after="240"/>
        <w:jc w:val="center"/>
        <w:rPr>
          <w:rFonts w:cs="Times New Roman"/>
          <w:i/>
          <w:iCs/>
          <w:noProof/>
          <w:sz w:val="22"/>
        </w:rPr>
      </w:pPr>
      <w:r w:rsidRPr="00EB7705">
        <w:rPr>
          <w:rFonts w:cs="Times New Roman"/>
          <w:i/>
          <w:noProof/>
          <w:sz w:val="20"/>
          <w:szCs w:val="20"/>
        </w:rPr>
        <w:t>Source: Wind Europe (2025), How much can Europe manufacture and install</w:t>
      </w:r>
      <w:r w:rsidRPr="00141B3D">
        <w:rPr>
          <w:rFonts w:cs="Times New Roman"/>
          <w:i/>
          <w:iCs/>
          <w:noProof/>
          <w:sz w:val="22"/>
        </w:rPr>
        <w:t>?</w:t>
      </w:r>
    </w:p>
    <w:p w14:paraId="1175FB6A" w14:textId="77777777" w:rsidR="00F537BB" w:rsidRPr="00075284" w:rsidRDefault="00F537BB" w:rsidP="00F537BB">
      <w:pPr>
        <w:rPr>
          <w:rFonts w:eastAsia="Times New Roman" w:cs="Times New Roman"/>
          <w:b/>
          <w:i/>
          <w:noProof/>
          <w:szCs w:val="24"/>
        </w:rPr>
      </w:pPr>
      <w:r w:rsidRPr="00075284">
        <w:rPr>
          <w:rFonts w:eastAsia="Times New Roman" w:cs="Times New Roman"/>
          <w:b/>
          <w:i/>
          <w:noProof/>
          <w:szCs w:val="24"/>
        </w:rPr>
        <w:t>Electricity grid technologies</w:t>
      </w:r>
    </w:p>
    <w:p w14:paraId="7498C45D" w14:textId="77777777" w:rsidR="00515C26" w:rsidRDefault="00F537BB" w:rsidP="002A3EF2">
      <w:pPr>
        <w:pStyle w:val="paragraph"/>
        <w:spacing w:before="0" w:beforeAutospacing="0" w:after="120" w:afterAutospacing="0"/>
        <w:jc w:val="both"/>
        <w:textAlignment w:val="baseline"/>
        <w:rPr>
          <w:noProof/>
          <w:color w:val="212529"/>
          <w:shd w:val="clear" w:color="auto" w:fill="FFFFFF"/>
          <w:lang w:val="en-GB"/>
        </w:rPr>
      </w:pPr>
      <w:bookmarkStart w:id="1589" w:name="_Hlk220415728"/>
      <w:r w:rsidRPr="00732666">
        <w:rPr>
          <w:noProof/>
          <w:color w:val="212529"/>
          <w:shd w:val="clear" w:color="auto" w:fill="FFFFFF"/>
          <w:lang w:val="en-GB"/>
        </w:rPr>
        <w:t>EU electricity grid technologies are projected to witness substantial expansion to enable the clean energy transition. Significant developments and massive investments are needed across manufacturing and infrastructure enhancement to ensure readiness for future energy demands.</w:t>
      </w:r>
    </w:p>
    <w:p w14:paraId="63767C4E" w14:textId="0019F694" w:rsidR="002F3CCE" w:rsidRDefault="00F537BB" w:rsidP="008621CC">
      <w:pPr>
        <w:pStyle w:val="paragraph"/>
        <w:spacing w:after="120"/>
        <w:jc w:val="both"/>
        <w:textAlignment w:val="baseline"/>
        <w:rPr>
          <w:noProof/>
          <w:lang w:val="en-GB"/>
        </w:rPr>
      </w:pPr>
      <w:r w:rsidRPr="00732666">
        <w:rPr>
          <w:noProof/>
          <w:color w:val="212529"/>
          <w:shd w:val="clear" w:color="auto" w:fill="FFFFFF"/>
          <w:lang w:val="en-GB"/>
        </w:rPr>
        <w:t xml:space="preserve">The EU has </w:t>
      </w:r>
      <w:r w:rsidRPr="00732666">
        <w:rPr>
          <w:noProof/>
          <w:lang w:val="en-GB"/>
        </w:rPr>
        <w:t>a sizable production base for electricity transmission and distribution cables, enabl</w:t>
      </w:r>
      <w:r w:rsidR="00565294">
        <w:rPr>
          <w:noProof/>
          <w:lang w:val="en-GB"/>
        </w:rPr>
        <w:t>ing</w:t>
      </w:r>
      <w:r w:rsidRPr="00732666">
        <w:rPr>
          <w:noProof/>
          <w:lang w:val="en-GB"/>
        </w:rPr>
        <w:t xml:space="preserve"> it to closely m</w:t>
      </w:r>
      <w:r w:rsidR="00565294">
        <w:rPr>
          <w:noProof/>
          <w:lang w:val="en-GB"/>
        </w:rPr>
        <w:t>eet</w:t>
      </w:r>
      <w:r w:rsidRPr="00732666">
        <w:rPr>
          <w:noProof/>
          <w:lang w:val="en-GB"/>
        </w:rPr>
        <w:t xml:space="preserve"> deployment needs. </w:t>
      </w:r>
      <w:r w:rsidR="003C6EB8">
        <w:rPr>
          <w:noProof/>
          <w:lang w:val="en-GB"/>
        </w:rPr>
        <w:t>F</w:t>
      </w:r>
      <w:r w:rsidR="00350581">
        <w:rPr>
          <w:noProof/>
          <w:lang w:val="en-GB"/>
        </w:rPr>
        <w:t xml:space="preserve">or </w:t>
      </w:r>
      <w:r w:rsidR="00816551">
        <w:rPr>
          <w:noProof/>
          <w:lang w:val="en-GB"/>
        </w:rPr>
        <w:t>high voltage</w:t>
      </w:r>
      <w:r w:rsidR="00E96AE0">
        <w:rPr>
          <w:noProof/>
          <w:lang w:val="en-GB"/>
        </w:rPr>
        <w:t>,</w:t>
      </w:r>
      <w:r w:rsidR="00816551">
        <w:rPr>
          <w:noProof/>
          <w:lang w:val="en-GB"/>
        </w:rPr>
        <w:t xml:space="preserve"> extra-high voltage </w:t>
      </w:r>
      <w:r w:rsidR="00E96AE0">
        <w:rPr>
          <w:noProof/>
          <w:lang w:val="en-GB"/>
        </w:rPr>
        <w:t>and medium voltage array</w:t>
      </w:r>
      <w:r w:rsidR="00816551">
        <w:rPr>
          <w:noProof/>
          <w:lang w:val="en-GB"/>
        </w:rPr>
        <w:t xml:space="preserve"> </w:t>
      </w:r>
      <w:r w:rsidR="00350581">
        <w:rPr>
          <w:noProof/>
          <w:lang w:val="en-GB"/>
        </w:rPr>
        <w:t xml:space="preserve">subsea cables, the EU and the United </w:t>
      </w:r>
      <w:r w:rsidR="00577A4B">
        <w:rPr>
          <w:noProof/>
          <w:lang w:val="en-GB"/>
        </w:rPr>
        <w:t>Kingdom</w:t>
      </w:r>
      <w:r w:rsidR="00350581">
        <w:rPr>
          <w:noProof/>
          <w:lang w:val="en-GB"/>
        </w:rPr>
        <w:t xml:space="preserve"> combined </w:t>
      </w:r>
      <w:r w:rsidR="00577A4B">
        <w:rPr>
          <w:noProof/>
          <w:lang w:val="en-GB"/>
        </w:rPr>
        <w:t xml:space="preserve">currently </w:t>
      </w:r>
      <w:r w:rsidR="00350581">
        <w:rPr>
          <w:noProof/>
          <w:lang w:val="en-GB"/>
        </w:rPr>
        <w:t xml:space="preserve">have a </w:t>
      </w:r>
      <w:r w:rsidR="00F55638">
        <w:rPr>
          <w:noProof/>
          <w:lang w:val="en-GB"/>
        </w:rPr>
        <w:t xml:space="preserve">conservative estimate of </w:t>
      </w:r>
      <w:r w:rsidR="00577A4B">
        <w:rPr>
          <w:noProof/>
          <w:lang w:val="en-GB"/>
        </w:rPr>
        <w:t xml:space="preserve">manufacturing capacity </w:t>
      </w:r>
      <w:r w:rsidR="00BD3C05">
        <w:rPr>
          <w:noProof/>
          <w:lang w:val="en-GB"/>
        </w:rPr>
        <w:t>of about 7 700 km/year</w:t>
      </w:r>
      <w:r w:rsidR="00F41A17">
        <w:rPr>
          <w:rStyle w:val="FootnoteReference"/>
          <w:noProof/>
          <w:lang w:val="en-GB"/>
        </w:rPr>
        <w:footnoteReference w:id="721"/>
      </w:r>
      <w:r w:rsidR="00951F7A">
        <w:rPr>
          <w:noProof/>
          <w:lang w:val="en-GB"/>
        </w:rPr>
        <w:t>. This is measure</w:t>
      </w:r>
      <w:r w:rsidR="00757F83">
        <w:rPr>
          <w:noProof/>
          <w:lang w:val="en-GB"/>
        </w:rPr>
        <w:t>d</w:t>
      </w:r>
      <w:r w:rsidR="00951F7A">
        <w:rPr>
          <w:noProof/>
          <w:lang w:val="en-GB"/>
        </w:rPr>
        <w:t xml:space="preserve"> against </w:t>
      </w:r>
      <w:r w:rsidR="00BD3C05">
        <w:rPr>
          <w:noProof/>
        </w:rPr>
        <w:t xml:space="preserve">an </w:t>
      </w:r>
      <w:r w:rsidR="006736B4">
        <w:rPr>
          <w:noProof/>
        </w:rPr>
        <w:t xml:space="preserve">average </w:t>
      </w:r>
      <w:r w:rsidR="004C3F53">
        <w:rPr>
          <w:noProof/>
        </w:rPr>
        <w:t xml:space="preserve">projected </w:t>
      </w:r>
      <w:r w:rsidR="006736B4">
        <w:rPr>
          <w:noProof/>
        </w:rPr>
        <w:t xml:space="preserve">demand from 2026 to 2040 of about </w:t>
      </w:r>
      <w:r w:rsidR="008A5E11">
        <w:rPr>
          <w:noProof/>
        </w:rPr>
        <w:t xml:space="preserve">8 </w:t>
      </w:r>
      <w:r w:rsidR="003F666B">
        <w:rPr>
          <w:noProof/>
        </w:rPr>
        <w:t>2</w:t>
      </w:r>
      <w:r w:rsidR="008A5E11">
        <w:rPr>
          <w:noProof/>
        </w:rPr>
        <w:t>00</w:t>
      </w:r>
      <w:r w:rsidR="006736B4">
        <w:rPr>
          <w:noProof/>
        </w:rPr>
        <w:t xml:space="preserve"> km/year</w:t>
      </w:r>
      <w:r w:rsidR="00B16FF5">
        <w:rPr>
          <w:rStyle w:val="FootnoteReference"/>
          <w:noProof/>
        </w:rPr>
        <w:footnoteReference w:id="722"/>
      </w:r>
      <w:r w:rsidR="006736B4">
        <w:rPr>
          <w:noProof/>
        </w:rPr>
        <w:t xml:space="preserve">, </w:t>
      </w:r>
      <w:r w:rsidR="00E16503">
        <w:rPr>
          <w:noProof/>
        </w:rPr>
        <w:t>largely</w:t>
      </w:r>
      <w:r w:rsidR="004C3F53">
        <w:rPr>
          <w:noProof/>
        </w:rPr>
        <w:t xml:space="preserve"> based on political decisions rather than committed orders</w:t>
      </w:r>
      <w:r w:rsidR="00E16503">
        <w:rPr>
          <w:noProof/>
        </w:rPr>
        <w:t xml:space="preserve">, suggesting a potential </w:t>
      </w:r>
      <w:r w:rsidR="008A5E11">
        <w:rPr>
          <w:noProof/>
        </w:rPr>
        <w:t xml:space="preserve">shortage </w:t>
      </w:r>
      <w:r w:rsidR="006736B4">
        <w:rPr>
          <w:noProof/>
        </w:rPr>
        <w:t xml:space="preserve">of about </w:t>
      </w:r>
      <w:r w:rsidR="00021152">
        <w:rPr>
          <w:noProof/>
        </w:rPr>
        <w:t>550</w:t>
      </w:r>
      <w:r w:rsidR="006736B4">
        <w:rPr>
          <w:noProof/>
        </w:rPr>
        <w:t xml:space="preserve"> km/year.</w:t>
      </w:r>
      <w:r w:rsidR="00097FAB">
        <w:rPr>
          <w:noProof/>
        </w:rPr>
        <w:t xml:space="preserve"> </w:t>
      </w:r>
      <w:r w:rsidR="00E16503">
        <w:rPr>
          <w:noProof/>
        </w:rPr>
        <w:t>However, t</w:t>
      </w:r>
      <w:r w:rsidR="00097FAB">
        <w:rPr>
          <w:noProof/>
        </w:rPr>
        <w:t xml:space="preserve">his </w:t>
      </w:r>
      <w:r w:rsidR="007D45CF">
        <w:rPr>
          <w:noProof/>
        </w:rPr>
        <w:t>short-term</w:t>
      </w:r>
      <w:r w:rsidR="00097FAB">
        <w:rPr>
          <w:noProof/>
        </w:rPr>
        <w:t xml:space="preserve"> </w:t>
      </w:r>
      <w:r w:rsidR="00782C7F">
        <w:rPr>
          <w:noProof/>
        </w:rPr>
        <w:t>deficit</w:t>
      </w:r>
      <w:r w:rsidR="00097FAB">
        <w:rPr>
          <w:noProof/>
        </w:rPr>
        <w:t xml:space="preserve"> is expected to</w:t>
      </w:r>
      <w:r w:rsidR="006E5C06">
        <w:rPr>
          <w:noProof/>
        </w:rPr>
        <w:t xml:space="preserve"> </w:t>
      </w:r>
      <w:r w:rsidR="00097FAB">
        <w:rPr>
          <w:noProof/>
        </w:rPr>
        <w:t xml:space="preserve">be </w:t>
      </w:r>
      <w:r w:rsidR="00E16503">
        <w:rPr>
          <w:noProof/>
        </w:rPr>
        <w:t>swiftly addressed</w:t>
      </w:r>
      <w:r w:rsidR="00097FAB">
        <w:rPr>
          <w:noProof/>
        </w:rPr>
        <w:t xml:space="preserve"> by</w:t>
      </w:r>
      <w:r w:rsidR="00501EF5">
        <w:rPr>
          <w:noProof/>
        </w:rPr>
        <w:t xml:space="preserve"> the </w:t>
      </w:r>
      <w:r w:rsidR="002C727B">
        <w:rPr>
          <w:noProof/>
        </w:rPr>
        <w:t xml:space="preserve">planned </w:t>
      </w:r>
      <w:r w:rsidR="00501EF5">
        <w:rPr>
          <w:noProof/>
        </w:rPr>
        <w:t xml:space="preserve">manufacturing capacity </w:t>
      </w:r>
      <w:r w:rsidR="00FF463C">
        <w:rPr>
          <w:noProof/>
        </w:rPr>
        <w:t>expansions. Existing EU</w:t>
      </w:r>
      <w:r w:rsidR="00220568">
        <w:rPr>
          <w:noProof/>
        </w:rPr>
        <w:t xml:space="preserve"> cable manufacturers have committed to invest over EUR 4 billion to expand their manufacturing capabilities, aiming to significantly increase manufacturing capacity of </w:t>
      </w:r>
      <w:r w:rsidR="00491282">
        <w:rPr>
          <w:noProof/>
        </w:rPr>
        <w:t>subsea</w:t>
      </w:r>
      <w:r w:rsidR="00220568">
        <w:rPr>
          <w:noProof/>
        </w:rPr>
        <w:t xml:space="preserve"> cables by 2030. With these investment plans expected to be realized in the next few years, manufacturing capacity will </w:t>
      </w:r>
      <w:r w:rsidR="00B0656B">
        <w:rPr>
          <w:noProof/>
        </w:rPr>
        <w:t>reach</w:t>
      </w:r>
      <w:r w:rsidR="0074339F">
        <w:rPr>
          <w:noProof/>
        </w:rPr>
        <w:t xml:space="preserve"> about 12 500 km/year</w:t>
      </w:r>
      <w:r w:rsidR="00BE13DF" w:rsidRPr="00BE13DF">
        <w:rPr>
          <w:noProof/>
          <w:vertAlign w:val="superscript"/>
        </w:rPr>
        <w:t>698</w:t>
      </w:r>
      <w:r w:rsidR="00717E28">
        <w:rPr>
          <w:noProof/>
        </w:rPr>
        <w:t>, thus</w:t>
      </w:r>
      <w:r w:rsidR="00220568">
        <w:rPr>
          <w:noProof/>
        </w:rPr>
        <w:t xml:space="preserve"> significantly exceed</w:t>
      </w:r>
      <w:r w:rsidR="00717E28">
        <w:rPr>
          <w:noProof/>
        </w:rPr>
        <w:t>ing</w:t>
      </w:r>
      <w:r w:rsidR="00220568">
        <w:rPr>
          <w:noProof/>
        </w:rPr>
        <w:t xml:space="preserve"> deployment needs, which are projected to increase by 40% in 2030</w:t>
      </w:r>
      <w:r w:rsidR="00401FE2">
        <w:rPr>
          <w:rStyle w:val="FootnoteReference"/>
          <w:noProof/>
        </w:rPr>
        <w:footnoteReference w:id="723"/>
      </w:r>
      <w:r w:rsidR="00401FE2" w:rsidRPr="00732666">
        <w:rPr>
          <w:noProof/>
          <w:lang w:val="en-GB"/>
        </w:rPr>
        <w:t>.</w:t>
      </w:r>
      <w:r w:rsidR="00F6015C">
        <w:rPr>
          <w:noProof/>
          <w:lang w:val="en-GB"/>
        </w:rPr>
        <w:t xml:space="preserve"> </w:t>
      </w:r>
      <w:r w:rsidR="003C6EB8">
        <w:rPr>
          <w:noProof/>
        </w:rPr>
        <w:t>For high voltage</w:t>
      </w:r>
      <w:r w:rsidR="00C42ECD">
        <w:rPr>
          <w:noProof/>
        </w:rPr>
        <w:t xml:space="preserve"> direct current underground cables, </w:t>
      </w:r>
      <w:r w:rsidR="00F93A19">
        <w:rPr>
          <w:noProof/>
        </w:rPr>
        <w:t>t</w:t>
      </w:r>
      <w:r w:rsidR="00C42ECD">
        <w:rPr>
          <w:noProof/>
        </w:rPr>
        <w:t>he EU has</w:t>
      </w:r>
      <w:r w:rsidR="007A6F1F">
        <w:rPr>
          <w:noProof/>
        </w:rPr>
        <w:t xml:space="preserve"> a manufacturing capacity of about 3 500 km/yea</w:t>
      </w:r>
      <w:r w:rsidR="005D4B35">
        <w:rPr>
          <w:noProof/>
        </w:rPr>
        <w:t xml:space="preserve">r. This is measured against </w:t>
      </w:r>
      <w:r w:rsidR="007574BC">
        <w:rPr>
          <w:noProof/>
        </w:rPr>
        <w:t>an average projected demand f</w:t>
      </w:r>
      <w:r w:rsidR="000C69E1">
        <w:rPr>
          <w:noProof/>
        </w:rPr>
        <w:t xml:space="preserve">rom 2026 to 2040 of about </w:t>
      </w:r>
      <w:r w:rsidR="005D4B35">
        <w:rPr>
          <w:noProof/>
        </w:rPr>
        <w:t>2 300 km/year</w:t>
      </w:r>
      <w:r w:rsidR="001875BC">
        <w:rPr>
          <w:noProof/>
        </w:rPr>
        <w:t xml:space="preserve">, which suggests </w:t>
      </w:r>
      <w:r w:rsidR="00C43C8A">
        <w:rPr>
          <w:noProof/>
        </w:rPr>
        <w:t>that the EU has sufficient capacity to fully meet its domestic deployment needs</w:t>
      </w:r>
      <w:r w:rsidR="003807F1">
        <w:rPr>
          <w:noProof/>
        </w:rPr>
        <w:t>.</w:t>
      </w:r>
      <w:r w:rsidR="00F74049">
        <w:rPr>
          <w:noProof/>
        </w:rPr>
        <w:t xml:space="preserve"> </w:t>
      </w:r>
    </w:p>
    <w:p w14:paraId="6A2F99F7" w14:textId="25267E00" w:rsidR="00515C26" w:rsidRDefault="00106B7A" w:rsidP="002A3EF2">
      <w:pPr>
        <w:pStyle w:val="paragraph"/>
        <w:spacing w:before="0" w:beforeAutospacing="0" w:after="120" w:afterAutospacing="0"/>
        <w:jc w:val="both"/>
        <w:textAlignment w:val="baseline"/>
        <w:rPr>
          <w:noProof/>
          <w:lang w:val="en-GB"/>
        </w:rPr>
      </w:pPr>
      <w:r>
        <w:rPr>
          <w:noProof/>
          <w:lang w:val="en-GB"/>
        </w:rPr>
        <w:t xml:space="preserve">In addition, </w:t>
      </w:r>
      <w:r w:rsidR="00BB0D22">
        <w:rPr>
          <w:noProof/>
          <w:lang w:val="en-GB"/>
        </w:rPr>
        <w:t xml:space="preserve">Europe </w:t>
      </w:r>
      <w:r w:rsidR="00813240">
        <w:rPr>
          <w:noProof/>
          <w:lang w:val="en-GB"/>
        </w:rPr>
        <w:t xml:space="preserve">is </w:t>
      </w:r>
      <w:r w:rsidR="003B2095">
        <w:rPr>
          <w:noProof/>
          <w:lang w:val="en-GB"/>
        </w:rPr>
        <w:t xml:space="preserve">already </w:t>
      </w:r>
      <w:r w:rsidR="00813240">
        <w:rPr>
          <w:noProof/>
          <w:lang w:val="en-GB"/>
        </w:rPr>
        <w:t xml:space="preserve">home to </w:t>
      </w:r>
      <w:r w:rsidR="00D82665">
        <w:rPr>
          <w:noProof/>
          <w:lang w:val="en-GB"/>
        </w:rPr>
        <w:t xml:space="preserve">several </w:t>
      </w:r>
      <w:r w:rsidR="00813240">
        <w:rPr>
          <w:noProof/>
          <w:lang w:val="en-GB"/>
        </w:rPr>
        <w:t>well-</w:t>
      </w:r>
      <w:r w:rsidR="00D82665">
        <w:rPr>
          <w:noProof/>
          <w:lang w:val="en-GB"/>
        </w:rPr>
        <w:t xml:space="preserve">established companies in the subsea </w:t>
      </w:r>
      <w:r w:rsidR="00AB633D">
        <w:rPr>
          <w:noProof/>
          <w:lang w:val="en-GB"/>
        </w:rPr>
        <w:t xml:space="preserve">cable </w:t>
      </w:r>
      <w:r w:rsidR="00D82665">
        <w:rPr>
          <w:noProof/>
          <w:lang w:val="en-GB"/>
        </w:rPr>
        <w:t xml:space="preserve">manufacturing </w:t>
      </w:r>
      <w:r w:rsidR="00D013CC">
        <w:rPr>
          <w:noProof/>
          <w:lang w:val="en-GB"/>
        </w:rPr>
        <w:t>industry, along with</w:t>
      </w:r>
      <w:r w:rsidR="005A5228">
        <w:rPr>
          <w:noProof/>
          <w:lang w:val="en-GB"/>
        </w:rPr>
        <w:t xml:space="preserve"> even more in the onshore cable</w:t>
      </w:r>
      <w:r w:rsidR="00937F1A">
        <w:rPr>
          <w:noProof/>
          <w:lang w:val="en-GB"/>
        </w:rPr>
        <w:t xml:space="preserve"> </w:t>
      </w:r>
      <w:r w:rsidR="00D82665">
        <w:rPr>
          <w:noProof/>
          <w:lang w:val="en-GB"/>
        </w:rPr>
        <w:t>sector, fostering healthy competition</w:t>
      </w:r>
      <w:r w:rsidR="00CE6146">
        <w:rPr>
          <w:noProof/>
          <w:lang w:val="en-GB"/>
        </w:rPr>
        <w:t xml:space="preserve">. In </w:t>
      </w:r>
      <w:r w:rsidR="0041694F">
        <w:rPr>
          <w:noProof/>
          <w:lang w:val="en-GB"/>
        </w:rPr>
        <w:t xml:space="preserve">niche markets where oligopolies </w:t>
      </w:r>
      <w:r w:rsidR="00CE6146">
        <w:rPr>
          <w:noProof/>
          <w:lang w:val="en-GB"/>
        </w:rPr>
        <w:t>might arise due to</w:t>
      </w:r>
      <w:r w:rsidR="00CE58F7">
        <w:rPr>
          <w:noProof/>
          <w:lang w:val="en-GB"/>
        </w:rPr>
        <w:t xml:space="preserve"> Made</w:t>
      </w:r>
      <w:r w:rsidR="00AD6103">
        <w:rPr>
          <w:noProof/>
          <w:lang w:val="en-GB"/>
        </w:rPr>
        <w:t xml:space="preserve"> </w:t>
      </w:r>
      <w:r w:rsidR="00CE58F7">
        <w:rPr>
          <w:noProof/>
          <w:lang w:val="en-GB"/>
        </w:rPr>
        <w:t>in E</w:t>
      </w:r>
      <w:r w:rsidR="005724AB">
        <w:rPr>
          <w:noProof/>
          <w:lang w:val="en-GB"/>
        </w:rPr>
        <w:t>U</w:t>
      </w:r>
      <w:r w:rsidR="00CE58F7">
        <w:rPr>
          <w:noProof/>
          <w:lang w:val="en-GB"/>
        </w:rPr>
        <w:t xml:space="preserve"> requirements, </w:t>
      </w:r>
      <w:r w:rsidR="00CE6146">
        <w:rPr>
          <w:noProof/>
          <w:lang w:val="en-GB"/>
        </w:rPr>
        <w:t xml:space="preserve">the </w:t>
      </w:r>
      <w:r w:rsidR="007E4750">
        <w:rPr>
          <w:noProof/>
          <w:lang w:val="en-GB"/>
        </w:rPr>
        <w:t>geographic scope of the Made in EU concept serves to mitigate such risks</w:t>
      </w:r>
      <w:r w:rsidR="00AD6103">
        <w:rPr>
          <w:noProof/>
          <w:lang w:val="en-GB"/>
        </w:rPr>
        <w:t>.</w:t>
      </w:r>
      <w:r w:rsidR="007E4750">
        <w:rPr>
          <w:noProof/>
          <w:lang w:val="en-GB"/>
        </w:rPr>
        <w:t xml:space="preserve"> </w:t>
      </w:r>
    </w:p>
    <w:bookmarkEnd w:id="1589"/>
    <w:p w14:paraId="763AC92D" w14:textId="3746AF34" w:rsidR="00F537BB" w:rsidRPr="00732666" w:rsidRDefault="00515C26" w:rsidP="002A3EF2">
      <w:pPr>
        <w:pStyle w:val="paragraph"/>
        <w:spacing w:before="0" w:beforeAutospacing="0" w:after="120" w:afterAutospacing="0"/>
        <w:jc w:val="both"/>
        <w:textAlignment w:val="baseline"/>
        <w:rPr>
          <w:noProof/>
          <w:lang w:val="en-GB"/>
        </w:rPr>
      </w:pPr>
      <w:r w:rsidRPr="00732666">
        <w:rPr>
          <w:noProof/>
          <w:color w:val="212529"/>
          <w:shd w:val="clear" w:color="auto" w:fill="FFFFFF"/>
          <w:lang w:val="en-GB"/>
        </w:rPr>
        <w:t xml:space="preserve">The EU </w:t>
      </w:r>
      <w:r>
        <w:rPr>
          <w:noProof/>
          <w:color w:val="212529"/>
          <w:shd w:val="clear" w:color="auto" w:fill="FFFFFF"/>
          <w:lang w:val="en-GB"/>
        </w:rPr>
        <w:t>also has</w:t>
      </w:r>
      <w:r w:rsidRPr="00732666">
        <w:rPr>
          <w:noProof/>
          <w:color w:val="212529"/>
          <w:shd w:val="clear" w:color="auto" w:fill="FFFFFF"/>
          <w:lang w:val="en-GB"/>
        </w:rPr>
        <w:t xml:space="preserve"> a robust power electronics sector with capabilities in design, production, software development, and maintenance.</w:t>
      </w:r>
      <w:r>
        <w:rPr>
          <w:noProof/>
          <w:color w:val="212529"/>
          <w:shd w:val="clear" w:color="auto" w:fill="FFFFFF"/>
          <w:lang w:val="en-GB"/>
        </w:rPr>
        <w:t xml:space="preserve"> </w:t>
      </w:r>
      <w:r w:rsidR="00F537BB" w:rsidRPr="00732666">
        <w:rPr>
          <w:noProof/>
          <w:lang w:val="en-GB"/>
        </w:rPr>
        <w:t>Where EU manufacturing capacity related to electricity grid lags behind is in transformers: domestic supply of transformers is tight because of limited manufacturing capacity, which causes long lead times for transformers to be installed</w:t>
      </w:r>
      <w:r w:rsidR="00E53FBA">
        <w:rPr>
          <w:rStyle w:val="FootnoteReference"/>
          <w:noProof/>
          <w:lang w:val="en-GB"/>
        </w:rPr>
        <w:footnoteReference w:id="724"/>
      </w:r>
      <w:r w:rsidR="00F537BB" w:rsidRPr="00732666">
        <w:rPr>
          <w:noProof/>
          <w:lang w:val="en-GB"/>
        </w:rPr>
        <w:t>.</w:t>
      </w:r>
    </w:p>
    <w:p w14:paraId="73A33F9E" w14:textId="6176DB7D" w:rsidR="00F537BB" w:rsidRPr="00141B3D" w:rsidRDefault="65BE4A37" w:rsidP="296E22C2">
      <w:pPr>
        <w:pStyle w:val="Heading2"/>
        <w:numPr>
          <w:ilvl w:val="0"/>
          <w:numId w:val="0"/>
        </w:numPr>
        <w:ind w:left="720"/>
        <w:rPr>
          <w:b w:val="0"/>
          <w:sz w:val="22"/>
          <w:szCs w:val="22"/>
        </w:rPr>
      </w:pPr>
      <w:bookmarkStart w:id="1590" w:name="_Toc222490075"/>
      <w:bookmarkStart w:id="1591" w:name="_Hlk219808499"/>
      <w:r w:rsidRPr="296E22C2">
        <w:rPr>
          <w:sz w:val="28"/>
          <w:szCs w:val="28"/>
        </w:rPr>
        <w:t>S</w:t>
      </w:r>
      <w:r w:rsidR="00F537BB" w:rsidRPr="296E22C2">
        <w:rPr>
          <w:sz w:val="28"/>
          <w:szCs w:val="28"/>
        </w:rPr>
        <w:t xml:space="preserve">ocioeconomic implications of IAA </w:t>
      </w:r>
      <w:r w:rsidR="59E00702" w:rsidRPr="296E22C2">
        <w:rPr>
          <w:sz w:val="28"/>
          <w:szCs w:val="28"/>
        </w:rPr>
        <w:t>proposed measures</w:t>
      </w:r>
      <w:r w:rsidR="00F537BB" w:rsidRPr="296E22C2">
        <w:rPr>
          <w:sz w:val="28"/>
          <w:szCs w:val="28"/>
        </w:rPr>
        <w:t xml:space="preserve"> related to net-zero technologies</w:t>
      </w:r>
      <w:bookmarkEnd w:id="1590"/>
      <w:r w:rsidR="00F537BB" w:rsidRPr="296E22C2">
        <w:rPr>
          <w:b w:val="0"/>
          <w:sz w:val="22"/>
          <w:szCs w:val="22"/>
        </w:rPr>
        <w:t xml:space="preserve"> </w:t>
      </w:r>
    </w:p>
    <w:bookmarkEnd w:id="1591"/>
    <w:p w14:paraId="58CC74E0" w14:textId="77777777" w:rsidR="00F537BB" w:rsidRPr="00075284" w:rsidRDefault="00F537BB" w:rsidP="00732666">
      <w:pPr>
        <w:spacing w:before="240"/>
        <w:rPr>
          <w:rFonts w:eastAsia="Times New Roman" w:cs="Times New Roman"/>
          <w:b/>
          <w:i/>
          <w:noProof/>
          <w:szCs w:val="24"/>
        </w:rPr>
      </w:pPr>
      <w:r w:rsidRPr="00075284">
        <w:rPr>
          <w:rFonts w:eastAsia="Times New Roman" w:cs="Times New Roman"/>
          <w:b/>
          <w:i/>
          <w:noProof/>
          <w:szCs w:val="24"/>
        </w:rPr>
        <w:t>Electrolysers</w:t>
      </w:r>
    </w:p>
    <w:p w14:paraId="36ACA58B" w14:textId="6E3E86C1" w:rsidR="00F537BB" w:rsidRPr="00732666" w:rsidRDefault="00F537BB" w:rsidP="003C3EEB">
      <w:pPr>
        <w:spacing w:after="120"/>
        <w:rPr>
          <w:rFonts w:eastAsia="Times New Roman" w:cs="Times New Roman"/>
          <w:noProof/>
          <w:szCs w:val="24"/>
        </w:rPr>
      </w:pPr>
      <w:r w:rsidRPr="2E6543FA">
        <w:rPr>
          <w:rFonts w:eastAsia="Times New Roman" w:cs="Times New Roman"/>
          <w:noProof/>
        </w:rPr>
        <w:t>Today, entirely EU-made electrolysers have a CAPEX 50% more expensive than electrolysers imported from China, and by 2030 they are projected to be twice as expensive (see Figure ELY2). While this presents a cost challenge, EU-made electrolysers offer higher efficiency and lifecycle performance</w:t>
      </w:r>
      <w:r w:rsidR="0070480D" w:rsidRPr="2E6543FA">
        <w:rPr>
          <w:rStyle w:val="FootnoteReference"/>
          <w:rFonts w:eastAsia="Times New Roman" w:cs="Times New Roman"/>
          <w:noProof/>
        </w:rPr>
        <w:footnoteReference w:id="725"/>
      </w:r>
      <w:r w:rsidRPr="2E6543FA">
        <w:rPr>
          <w:rFonts w:eastAsia="Times New Roman" w:cs="Times New Roman"/>
          <w:noProof/>
        </w:rPr>
        <w:t xml:space="preserve">. Despite higher </w:t>
      </w:r>
      <w:r w:rsidR="00DF0BD5" w:rsidRPr="2E6543FA">
        <w:rPr>
          <w:rFonts w:eastAsia="Times New Roman" w:cs="Times New Roman"/>
          <w:noProof/>
        </w:rPr>
        <w:t>CAPEX</w:t>
      </w:r>
      <w:r w:rsidRPr="2E6543FA">
        <w:rPr>
          <w:rFonts w:eastAsia="Times New Roman" w:cs="Times New Roman"/>
          <w:noProof/>
        </w:rPr>
        <w:t xml:space="preserve">, the superior efficiency and longer durability of entirely EU-made electrolysers </w:t>
      </w:r>
      <w:r w:rsidR="001B1DF4" w:rsidRPr="2E6543FA">
        <w:rPr>
          <w:rFonts w:eastAsia="Times New Roman" w:cs="Times New Roman"/>
          <w:noProof/>
        </w:rPr>
        <w:t>translate</w:t>
      </w:r>
      <w:r w:rsidRPr="2E6543FA">
        <w:rPr>
          <w:rFonts w:eastAsia="Times New Roman" w:cs="Times New Roman"/>
          <w:noProof/>
        </w:rPr>
        <w:t xml:space="preserve"> into smaller differences in </w:t>
      </w:r>
      <w:r w:rsidR="00761984" w:rsidRPr="2E6543FA">
        <w:rPr>
          <w:rFonts w:eastAsia="Times New Roman" w:cs="Times New Roman"/>
          <w:noProof/>
        </w:rPr>
        <w:t>hydrogen production costs</w:t>
      </w:r>
      <w:r w:rsidRPr="2E6543FA">
        <w:rPr>
          <w:rFonts w:eastAsia="Times New Roman" w:cs="Times New Roman"/>
          <w:noProof/>
        </w:rPr>
        <w:t xml:space="preserve">: </w:t>
      </w:r>
      <w:r w:rsidR="00752B58" w:rsidRPr="2E6543FA">
        <w:rPr>
          <w:rFonts w:eastAsia="Times New Roman" w:cs="Times New Roman"/>
          <w:noProof/>
        </w:rPr>
        <w:t xml:space="preserve">a conservative analysis finds that </w:t>
      </w:r>
      <w:r w:rsidR="00F4533F" w:rsidRPr="2E6543FA">
        <w:rPr>
          <w:rFonts w:eastAsia="Times New Roman" w:cs="Times New Roman"/>
          <w:noProof/>
        </w:rPr>
        <w:t xml:space="preserve">from now until 2050 </w:t>
      </w:r>
      <w:r w:rsidRPr="2E6543FA">
        <w:rPr>
          <w:rFonts w:eastAsia="Times New Roman" w:cs="Times New Roman"/>
          <w:noProof/>
        </w:rPr>
        <w:t>hydrogen produced with EU-made electrolysers w</w:t>
      </w:r>
      <w:r w:rsidR="009A7A96" w:rsidRPr="2E6543FA">
        <w:rPr>
          <w:rFonts w:eastAsia="Times New Roman" w:cs="Times New Roman"/>
          <w:noProof/>
        </w:rPr>
        <w:t>ill</w:t>
      </w:r>
      <w:r w:rsidRPr="2E6543FA">
        <w:rPr>
          <w:rFonts w:eastAsia="Times New Roman" w:cs="Times New Roman"/>
          <w:noProof/>
        </w:rPr>
        <w:t xml:space="preserve"> cost </w:t>
      </w:r>
      <w:r w:rsidR="00620A36" w:rsidRPr="2E6543FA">
        <w:rPr>
          <w:rFonts w:eastAsia="Times New Roman" w:cs="Times New Roman"/>
          <w:noProof/>
        </w:rPr>
        <w:t>less than 10</w:t>
      </w:r>
      <w:r w:rsidRPr="2E6543FA">
        <w:rPr>
          <w:rFonts w:eastAsia="Times New Roman" w:cs="Times New Roman"/>
          <w:noProof/>
        </w:rPr>
        <w:t xml:space="preserve">% more than </w:t>
      </w:r>
      <w:r w:rsidR="00C6222C" w:rsidRPr="2E6543FA">
        <w:rPr>
          <w:rFonts w:eastAsia="Times New Roman" w:cs="Times New Roman"/>
          <w:noProof/>
        </w:rPr>
        <w:t>hydrogen produced using</w:t>
      </w:r>
      <w:r w:rsidRPr="2E6543FA">
        <w:rPr>
          <w:rFonts w:eastAsia="Times New Roman" w:cs="Times New Roman"/>
          <w:noProof/>
        </w:rPr>
        <w:t xml:space="preserve"> Chinese electrolysers</w:t>
      </w:r>
      <w:r w:rsidR="003D0B76">
        <w:rPr>
          <w:rStyle w:val="FootnoteReference"/>
          <w:rFonts w:eastAsia="Times New Roman" w:cs="Times New Roman"/>
          <w:noProof/>
        </w:rPr>
        <w:footnoteReference w:id="726"/>
      </w:r>
      <w:r w:rsidRPr="2E6543FA">
        <w:rPr>
          <w:rFonts w:eastAsia="Times New Roman" w:cs="Times New Roman"/>
          <w:noProof/>
        </w:rPr>
        <w:t xml:space="preserve">. Moreover, as explained in Section </w:t>
      </w:r>
      <w:r w:rsidR="001F47F3" w:rsidRPr="2E6543FA">
        <w:rPr>
          <w:rFonts w:eastAsia="Times New Roman" w:cs="Times New Roman"/>
          <w:noProof/>
        </w:rPr>
        <w:t>‘</w:t>
      </w:r>
      <w:r w:rsidR="001F47F3" w:rsidRPr="2E6543FA">
        <w:rPr>
          <w:rFonts w:eastAsia="Times New Roman" w:cs="Times New Roman"/>
          <w:i/>
          <w:noProof/>
        </w:rPr>
        <w:t>Identification of NZIA main specific components to be covered by Made in EU requirements’</w:t>
      </w:r>
      <w:r w:rsidRPr="2E6543FA">
        <w:rPr>
          <w:rFonts w:eastAsia="Times New Roman" w:cs="Times New Roman"/>
          <w:noProof/>
        </w:rPr>
        <w:t>, the IAA proposes to set Made in EU requirements only for a subset of electrolysers’ main specific components, which will significantly minimise impact on cost. Procurement decisions favour lower upfront costs, which risk accelerating market share losses for EU manufacturers in a critical phase up scale, which highlights the importance of strategic investments and policy initiatives that emphasize quality and performance.</w:t>
      </w:r>
    </w:p>
    <w:p w14:paraId="18579C1E" w14:textId="77777777" w:rsidR="00F537BB" w:rsidRPr="00732666" w:rsidRDefault="00F537BB" w:rsidP="00F537BB">
      <w:pPr>
        <w:jc w:val="center"/>
        <w:rPr>
          <w:rFonts w:cs="Times New Roman"/>
          <w:i/>
          <w:noProof/>
          <w:sz w:val="20"/>
          <w:szCs w:val="20"/>
        </w:rPr>
      </w:pPr>
      <w:r w:rsidRPr="00732666">
        <w:rPr>
          <w:rFonts w:cs="Times New Roman"/>
          <w:i/>
          <w:noProof/>
          <w:sz w:val="20"/>
          <w:szCs w:val="20"/>
        </w:rPr>
        <w:t>Figure EL: Price of stack and non-stack components of electrolysers based on origin</w:t>
      </w:r>
    </w:p>
    <w:p w14:paraId="740CDD79" w14:textId="77777777" w:rsidR="00F537BB" w:rsidRPr="00732666" w:rsidRDefault="00F537BB" w:rsidP="00F537BB">
      <w:pPr>
        <w:jc w:val="center"/>
        <w:rPr>
          <w:rFonts w:cs="Times New Roman"/>
          <w:noProof/>
          <w:sz w:val="20"/>
          <w:szCs w:val="20"/>
        </w:rPr>
      </w:pPr>
      <w:r w:rsidRPr="00732666">
        <w:rPr>
          <w:noProof/>
          <w:sz w:val="22"/>
          <w:szCs w:val="20"/>
          <w:lang w:eastAsia="en-GB"/>
        </w:rPr>
        <w:drawing>
          <wp:inline distT="0" distB="0" distL="0" distR="0" wp14:anchorId="3D8BE3EF" wp14:editId="57FD7A99">
            <wp:extent cx="5207019" cy="1990725"/>
            <wp:effectExtent l="0" t="0" r="0" b="0"/>
            <wp:docPr id="2064875460" name="Picture 1" descr="A graph of different orig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98313" name="Picture 1" descr="A graph of different origin&#10;&#10;AI-generated content may be incorrect."/>
                    <pic:cNvPicPr/>
                  </pic:nvPicPr>
                  <pic:blipFill rotWithShape="1">
                    <a:blip r:embed="rId130"/>
                    <a:srcRect t="7726" b="15915"/>
                    <a:stretch/>
                  </pic:blipFill>
                  <pic:spPr bwMode="auto">
                    <a:xfrm>
                      <a:off x="0" y="0"/>
                      <a:ext cx="5218345" cy="1995055"/>
                    </a:xfrm>
                    <a:prstGeom prst="rect">
                      <a:avLst/>
                    </a:prstGeom>
                    <a:ln>
                      <a:noFill/>
                    </a:ln>
                    <a:extLst>
                      <a:ext uri="{53640926-AAD7-44D8-BBD7-CCE9431645EC}">
                        <a14:shadowObscured xmlns:a14="http://schemas.microsoft.com/office/drawing/2010/main"/>
                      </a:ext>
                    </a:extLst>
                  </pic:spPr>
                </pic:pic>
              </a:graphicData>
            </a:graphic>
          </wp:inline>
        </w:drawing>
      </w:r>
    </w:p>
    <w:p w14:paraId="2C995C1A" w14:textId="70B8111D" w:rsidR="00F537BB" w:rsidRDefault="00F537BB" w:rsidP="00167F12">
      <w:pPr>
        <w:pStyle w:val="ListParagraph"/>
        <w:spacing w:after="240"/>
        <w:ind w:left="1440"/>
        <w:jc w:val="center"/>
        <w:rPr>
          <w:rFonts w:cs="Times New Roman"/>
          <w:i/>
          <w:noProof/>
          <w:sz w:val="20"/>
          <w:szCs w:val="20"/>
          <w:vertAlign w:val="superscript"/>
        </w:rPr>
      </w:pPr>
      <w:r w:rsidRPr="00732666">
        <w:rPr>
          <w:rFonts w:cs="Times New Roman"/>
          <w:i/>
          <w:noProof/>
          <w:sz w:val="20"/>
          <w:szCs w:val="20"/>
        </w:rPr>
        <w:t>Source: BloombergNEF</w:t>
      </w:r>
      <w:r w:rsidR="00167F12" w:rsidRPr="00167F12">
        <w:rPr>
          <w:rFonts w:cs="Times New Roman"/>
          <w:i/>
          <w:noProof/>
          <w:sz w:val="20"/>
          <w:szCs w:val="20"/>
          <w:vertAlign w:val="superscript"/>
        </w:rPr>
        <w:t>690</w:t>
      </w:r>
    </w:p>
    <w:p w14:paraId="72EF7A1E" w14:textId="77777777" w:rsidR="003D4494" w:rsidRDefault="003D4494" w:rsidP="00167F12">
      <w:pPr>
        <w:pStyle w:val="ListParagraph"/>
        <w:spacing w:after="240"/>
        <w:ind w:left="1440"/>
        <w:jc w:val="center"/>
        <w:rPr>
          <w:rFonts w:cs="Times New Roman"/>
          <w:i/>
          <w:noProof/>
          <w:sz w:val="20"/>
          <w:szCs w:val="20"/>
          <w:vertAlign w:val="superscript"/>
        </w:rPr>
      </w:pPr>
    </w:p>
    <w:p w14:paraId="1A840270" w14:textId="77777777" w:rsidR="003D4494" w:rsidRPr="00732666" w:rsidRDefault="003D4494" w:rsidP="00167F12">
      <w:pPr>
        <w:pStyle w:val="ListParagraph"/>
        <w:spacing w:after="240"/>
        <w:ind w:left="1440"/>
        <w:jc w:val="center"/>
        <w:rPr>
          <w:rFonts w:cs="Times New Roman"/>
          <w:i/>
          <w:noProof/>
          <w:sz w:val="20"/>
          <w:szCs w:val="20"/>
        </w:rPr>
      </w:pPr>
    </w:p>
    <w:p w14:paraId="126F0FB7" w14:textId="77777777" w:rsidR="00F537BB" w:rsidRPr="00075284" w:rsidRDefault="00F537BB" w:rsidP="0045662C">
      <w:pPr>
        <w:spacing w:before="240"/>
        <w:rPr>
          <w:rFonts w:eastAsia="Times New Roman" w:cs="Times New Roman"/>
          <w:b/>
          <w:i/>
          <w:noProof/>
          <w:szCs w:val="24"/>
        </w:rPr>
      </w:pPr>
      <w:r w:rsidRPr="00075284">
        <w:rPr>
          <w:rFonts w:eastAsia="Times New Roman" w:cs="Times New Roman"/>
          <w:b/>
          <w:i/>
          <w:noProof/>
          <w:szCs w:val="24"/>
        </w:rPr>
        <w:t>Heat pumps</w:t>
      </w:r>
    </w:p>
    <w:p w14:paraId="49BA90C8" w14:textId="6281752F" w:rsidR="00F537BB" w:rsidRPr="00732666" w:rsidRDefault="00F537BB" w:rsidP="00732666">
      <w:pPr>
        <w:spacing w:after="240"/>
        <w:rPr>
          <w:rFonts w:eastAsia="Times New Roman" w:cs="Times New Roman"/>
          <w:noProof/>
          <w:szCs w:val="24"/>
        </w:rPr>
      </w:pPr>
      <w:r w:rsidRPr="00732666">
        <w:rPr>
          <w:rFonts w:eastAsia="Times New Roman" w:cs="Times New Roman"/>
          <w:noProof/>
          <w:szCs w:val="24"/>
        </w:rPr>
        <w:t xml:space="preserve">The International Energy Agency indicates that producing heat pumps in the EU is generally more costly compared to other countries (see Figure HP2). Specifically, a hydronic heat pump entirely manufactured in the EU can cost twice as much as one made in China and 10% more than one manufactured in Japan. Similarly, air-to-air heat pumps produced in the EU cost about twice as much as their Chinese and Japanese counterparts. However, when considering installation costs and ancillary services, the price difference for consumers purchasing a heat pump </w:t>
      </w:r>
      <w:r w:rsidR="001E73BD">
        <w:rPr>
          <w:rFonts w:eastAsia="Times New Roman" w:cs="Times New Roman"/>
          <w:noProof/>
          <w:szCs w:val="24"/>
        </w:rPr>
        <w:t>is</w:t>
      </w:r>
      <w:r w:rsidRPr="00732666">
        <w:rPr>
          <w:rFonts w:eastAsia="Times New Roman" w:cs="Times New Roman"/>
          <w:noProof/>
          <w:szCs w:val="24"/>
        </w:rPr>
        <w:t xml:space="preserve"> smaller, thereby having limited influence on consumer choice. Moreover, as explained in Section </w:t>
      </w:r>
      <w:r w:rsidR="001F47F3">
        <w:rPr>
          <w:rFonts w:eastAsia="Times New Roman" w:cs="Times New Roman"/>
          <w:noProof/>
          <w:szCs w:val="24"/>
        </w:rPr>
        <w:t>‘</w:t>
      </w:r>
      <w:r w:rsidR="001F47F3" w:rsidRPr="001F47F3">
        <w:rPr>
          <w:rFonts w:eastAsia="Times New Roman" w:cs="Times New Roman"/>
          <w:i/>
          <w:iCs/>
          <w:noProof/>
          <w:szCs w:val="24"/>
        </w:rPr>
        <w:t>Identification of NZIA main specific components to be covered by Made in EU requirements’</w:t>
      </w:r>
      <w:r w:rsidRPr="00732666">
        <w:rPr>
          <w:rFonts w:eastAsia="Times New Roman" w:cs="Times New Roman"/>
          <w:noProof/>
          <w:szCs w:val="24"/>
        </w:rPr>
        <w:t>, the IAA proposes to set Made in EU requirements only for the final assembly of heat pumps, excluding other main specific components, which will significantly minimise impact on cost.</w:t>
      </w:r>
    </w:p>
    <w:p w14:paraId="1551366E" w14:textId="77777777" w:rsidR="00F537BB" w:rsidRPr="00732666" w:rsidRDefault="00F537BB" w:rsidP="00F537BB">
      <w:pPr>
        <w:jc w:val="center"/>
        <w:rPr>
          <w:rFonts w:cs="Times New Roman"/>
          <w:i/>
          <w:noProof/>
          <w:sz w:val="20"/>
          <w:szCs w:val="20"/>
        </w:rPr>
      </w:pPr>
      <w:r w:rsidRPr="00732666">
        <w:rPr>
          <w:rFonts w:cs="Times New Roman"/>
          <w:i/>
          <w:noProof/>
          <w:sz w:val="20"/>
          <w:szCs w:val="20"/>
        </w:rPr>
        <w:t>Figure HP2: Levelised cost of production for heat pumps in selected countries/regions by type, 2023</w:t>
      </w:r>
    </w:p>
    <w:p w14:paraId="67A1D168" w14:textId="77777777" w:rsidR="00F537BB" w:rsidRPr="003E316B" w:rsidRDefault="00F537BB" w:rsidP="00F537BB">
      <w:pPr>
        <w:jc w:val="center"/>
        <w:rPr>
          <w:rFonts w:eastAsia="Times New Roman" w:cs="Times New Roman"/>
          <w:noProof/>
          <w:sz w:val="22"/>
        </w:rPr>
      </w:pPr>
      <w:r w:rsidRPr="00C76855">
        <w:rPr>
          <w:rFonts w:eastAsia="Times New Roman" w:cs="Times New Roman"/>
          <w:noProof/>
          <w:sz w:val="22"/>
          <w:lang w:eastAsia="en-GB"/>
        </w:rPr>
        <w:drawing>
          <wp:inline distT="0" distB="0" distL="0" distR="0" wp14:anchorId="2D0EB653" wp14:editId="0ABA211A">
            <wp:extent cx="4347713" cy="1625825"/>
            <wp:effectExtent l="0" t="0" r="0" b="0"/>
            <wp:docPr id="1203097840"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97840" name="Picture 1" descr="A graph of different colored bars&#10;&#10;AI-generated content may be incorrect."/>
                    <pic:cNvPicPr/>
                  </pic:nvPicPr>
                  <pic:blipFill>
                    <a:blip r:embed="rId131"/>
                    <a:stretch>
                      <a:fillRect/>
                    </a:stretch>
                  </pic:blipFill>
                  <pic:spPr>
                    <a:xfrm>
                      <a:off x="0" y="0"/>
                      <a:ext cx="4352524" cy="1627624"/>
                    </a:xfrm>
                    <a:prstGeom prst="rect">
                      <a:avLst/>
                    </a:prstGeom>
                  </pic:spPr>
                </pic:pic>
              </a:graphicData>
            </a:graphic>
          </wp:inline>
        </w:drawing>
      </w:r>
    </w:p>
    <w:p w14:paraId="45EB6C81" w14:textId="200647EF" w:rsidR="00F537BB" w:rsidRPr="00732666" w:rsidRDefault="00F537BB" w:rsidP="00732666">
      <w:pPr>
        <w:spacing w:after="240"/>
        <w:jc w:val="center"/>
        <w:rPr>
          <w:rFonts w:cs="Times New Roman"/>
          <w:i/>
          <w:noProof/>
          <w:sz w:val="20"/>
          <w:szCs w:val="20"/>
        </w:rPr>
      </w:pPr>
      <w:r w:rsidRPr="00732666">
        <w:rPr>
          <w:rFonts w:cs="Times New Roman"/>
          <w:i/>
          <w:noProof/>
          <w:sz w:val="20"/>
          <w:szCs w:val="20"/>
        </w:rPr>
        <w:t>Source: I</w:t>
      </w:r>
      <w:r w:rsidR="00246303">
        <w:rPr>
          <w:rFonts w:cs="Times New Roman"/>
          <w:i/>
          <w:noProof/>
          <w:sz w:val="20"/>
          <w:szCs w:val="20"/>
        </w:rPr>
        <w:t>nternational Energy Agency</w:t>
      </w:r>
      <w:r w:rsidR="00246303">
        <w:rPr>
          <w:rStyle w:val="FootnoteReference"/>
          <w:rFonts w:cs="Times New Roman"/>
          <w:i/>
          <w:noProof/>
          <w:sz w:val="20"/>
          <w:szCs w:val="20"/>
        </w:rPr>
        <w:footnoteReference w:id="727"/>
      </w:r>
    </w:p>
    <w:p w14:paraId="0628BB1A" w14:textId="3A2A189A" w:rsidR="00732666" w:rsidRPr="00732666" w:rsidRDefault="00F537BB" w:rsidP="00C76855">
      <w:pPr>
        <w:rPr>
          <w:rFonts w:eastAsia="Times New Roman" w:cs="Times New Roman"/>
          <w:noProof/>
          <w:szCs w:val="24"/>
        </w:rPr>
      </w:pPr>
      <w:r w:rsidRPr="00732666">
        <w:rPr>
          <w:rFonts w:eastAsia="Times New Roman" w:cs="Times New Roman"/>
          <w:noProof/>
          <w:szCs w:val="24"/>
        </w:rPr>
        <w:t>In response to the slower deployment of heat pumps and increased imports, EU manufacturers have had to cut jobs or starting partial unemployment, affecting more than 1000 employees in 2023 and more than 7000 in 2024 (European Heat Pump Association, 2025). Implementing Made in EU requirements can play a crucial role in safeguarding existing jobs, fostering new employment opportunities, and encouraging investment. According to the EHPA, the sector employs approximately 430 000 people in the EU, with a significant portion of direct jobs tied to manufacturing. Given that the manufacturing ecosystem consists of around 250 sites across the EU, often in rural areas and constituted by SMEs, encouraging EU production would bolster local economies and small businesses.</w:t>
      </w:r>
    </w:p>
    <w:p w14:paraId="06F2598A" w14:textId="77777777" w:rsidR="00F537BB" w:rsidRPr="00075284" w:rsidRDefault="00F537BB" w:rsidP="00075284">
      <w:pPr>
        <w:spacing w:before="240"/>
        <w:rPr>
          <w:rFonts w:eastAsia="Times New Roman" w:cs="Times New Roman"/>
          <w:b/>
          <w:i/>
          <w:noProof/>
          <w:szCs w:val="24"/>
        </w:rPr>
      </w:pPr>
      <w:r w:rsidRPr="00075284">
        <w:rPr>
          <w:rFonts w:eastAsia="Times New Roman" w:cs="Times New Roman"/>
          <w:b/>
          <w:i/>
          <w:noProof/>
          <w:szCs w:val="24"/>
        </w:rPr>
        <w:t>Nuclear fission energy technologies</w:t>
      </w:r>
    </w:p>
    <w:p w14:paraId="1A61ADC5" w14:textId="097A1BE9" w:rsidR="00F537BB" w:rsidRPr="00732666" w:rsidRDefault="00F77B92" w:rsidP="00246303">
      <w:pPr>
        <w:spacing w:after="120"/>
        <w:rPr>
          <w:rFonts w:cs="Times New Roman"/>
          <w:noProof/>
          <w:szCs w:val="24"/>
        </w:rPr>
      </w:pPr>
      <w:r>
        <w:rPr>
          <w:noProof/>
        </w:rPr>
        <w:t>According to t</w:t>
      </w:r>
      <w:r w:rsidR="002F1162">
        <w:rPr>
          <w:noProof/>
        </w:rPr>
        <w:t xml:space="preserve">rade statistics </w:t>
      </w:r>
      <w:r>
        <w:rPr>
          <w:noProof/>
        </w:rPr>
        <w:t>from</w:t>
      </w:r>
      <w:r w:rsidR="00E808C9">
        <w:rPr>
          <w:noProof/>
        </w:rPr>
        <w:t xml:space="preserve"> 2025</w:t>
      </w:r>
      <w:r>
        <w:rPr>
          <w:noProof/>
        </w:rPr>
        <w:t>,</w:t>
      </w:r>
      <w:r w:rsidR="00E808C9">
        <w:rPr>
          <w:noProof/>
        </w:rPr>
        <w:t xml:space="preserve"> </w:t>
      </w:r>
      <w:r w:rsidR="00FF7C97" w:rsidRPr="2E6543FA">
        <w:rPr>
          <w:rFonts w:cs="Times New Roman"/>
          <w:noProof/>
        </w:rPr>
        <w:t>fuel elem</w:t>
      </w:r>
      <w:r w:rsidR="00D83586" w:rsidRPr="2E6543FA">
        <w:rPr>
          <w:rFonts w:cs="Times New Roman"/>
          <w:noProof/>
        </w:rPr>
        <w:t xml:space="preserve">ents </w:t>
      </w:r>
      <w:r w:rsidR="00E808C9" w:rsidRPr="2E6543FA">
        <w:rPr>
          <w:rFonts w:cs="Times New Roman"/>
          <w:noProof/>
        </w:rPr>
        <w:t>imported from Russia were</w:t>
      </w:r>
      <w:r w:rsidR="00D83586" w:rsidRPr="2E6543FA">
        <w:rPr>
          <w:rFonts w:cs="Times New Roman"/>
          <w:noProof/>
        </w:rPr>
        <w:t xml:space="preserve"> about 10% </w:t>
      </w:r>
      <w:r w:rsidR="00E808C9" w:rsidRPr="2E6543FA">
        <w:rPr>
          <w:rFonts w:cs="Times New Roman"/>
          <w:noProof/>
        </w:rPr>
        <w:t xml:space="preserve">cheaper than those </w:t>
      </w:r>
      <w:r w:rsidR="00541C2F" w:rsidRPr="2E6543FA">
        <w:rPr>
          <w:rFonts w:cs="Times New Roman"/>
          <w:noProof/>
        </w:rPr>
        <w:t xml:space="preserve">produced </w:t>
      </w:r>
      <w:r w:rsidR="00E454C8" w:rsidRPr="2E6543FA">
        <w:rPr>
          <w:rFonts w:cs="Times New Roman"/>
          <w:noProof/>
        </w:rPr>
        <w:t>in the EU</w:t>
      </w:r>
      <w:r w:rsidR="00541C2F" w:rsidRPr="2E6543FA">
        <w:rPr>
          <w:rFonts w:cs="Times New Roman"/>
          <w:noProof/>
        </w:rPr>
        <w:t xml:space="preserve">, while those </w:t>
      </w:r>
      <w:r w:rsidR="002329F5" w:rsidRPr="2E6543FA">
        <w:rPr>
          <w:rFonts w:cs="Times New Roman"/>
          <w:noProof/>
        </w:rPr>
        <w:t xml:space="preserve">imported from the US </w:t>
      </w:r>
      <w:r w:rsidR="00F05B5C" w:rsidRPr="2E6543FA">
        <w:rPr>
          <w:rFonts w:cs="Times New Roman"/>
          <w:noProof/>
        </w:rPr>
        <w:t>were 30% cheaper</w:t>
      </w:r>
      <w:r w:rsidR="00457504" w:rsidRPr="2E6543FA">
        <w:rPr>
          <w:rStyle w:val="FootnoteReference"/>
          <w:rFonts w:cs="Times New Roman"/>
          <w:noProof/>
        </w:rPr>
        <w:footnoteReference w:id="728"/>
      </w:r>
      <w:r w:rsidR="00457504" w:rsidRPr="2E6543FA">
        <w:rPr>
          <w:rFonts w:cs="Times New Roman"/>
          <w:noProof/>
        </w:rPr>
        <w:t>.</w:t>
      </w:r>
      <w:r w:rsidR="00F05B5C" w:rsidRPr="2E6543FA">
        <w:rPr>
          <w:rFonts w:cs="Times New Roman"/>
          <w:noProof/>
        </w:rPr>
        <w:t xml:space="preserve"> </w:t>
      </w:r>
      <w:r w:rsidR="00F92C27" w:rsidRPr="2E6543FA">
        <w:rPr>
          <w:rFonts w:cs="Times New Roman"/>
          <w:noProof/>
        </w:rPr>
        <w:t>In contrast, fuel elements imported from the UK were</w:t>
      </w:r>
      <w:r w:rsidR="00457504" w:rsidRPr="2E6543FA">
        <w:rPr>
          <w:rFonts w:cs="Times New Roman"/>
          <w:noProof/>
        </w:rPr>
        <w:t xml:space="preserve"> 70% more expensive than those made in the EU. </w:t>
      </w:r>
      <w:r w:rsidR="00F537BB" w:rsidRPr="2E6543FA">
        <w:rPr>
          <w:rFonts w:cs="Times New Roman"/>
          <w:noProof/>
        </w:rPr>
        <w:t>The cost of producing nuclear fission energy technologies main specific components in the EU differs from other regions due to several key factors. For instance, compared to Asian manufacturers, EU labour costs today are generally higher because the salaries of the highly qualified professionals required for specialised engineering tasks are higher. Compliance with stringent regulatory and safety standards adds another layer of expense, as significant investment is needed for specialized testing and certification processes. Furthermore, energy prices in the EU are generally above the EU average, impacting the energy costs of manufacturing processes especially for some nuclear main specific components. Consequently, for a limited transitional period imposing Made in EU requirements is expected to increase the production cost of these component</w:t>
      </w:r>
      <w:r w:rsidR="00A55158" w:rsidRPr="2E6543FA">
        <w:rPr>
          <w:rFonts w:cs="Times New Roman"/>
          <w:noProof/>
        </w:rPr>
        <w:t>s</w:t>
      </w:r>
      <w:r w:rsidR="00F537BB" w:rsidRPr="2E6543FA">
        <w:rPr>
          <w:rFonts w:cs="Times New Roman"/>
          <w:noProof/>
        </w:rPr>
        <w:t>. However, labour costs in Asia are already trending upward, and energy prices are expected to stabilise at levels comparable to those in the EU, which will narrow the cost gap over time. Moreover, while in the short‑term energy and labour costs play against the EU competitiveness in producing nuclear fission energy technologies, this will partially be offset by the Union’s emphasis on technological innovation and advanced‑manufacturing techniques. These innovations boost production efficiency and enable the delivery of components that meet the highest standards of quality and safety. In addition, any cost premium should be weighed against the long‑term benefits of investing in safety, reliability and the overall resilience of the nuclear‑energy supply chain.</w:t>
      </w:r>
    </w:p>
    <w:p w14:paraId="702D323A" w14:textId="1528FE31" w:rsidR="00732666" w:rsidRPr="00732666" w:rsidRDefault="00F537BB" w:rsidP="00075284">
      <w:pPr>
        <w:spacing w:after="120"/>
        <w:rPr>
          <w:rFonts w:eastAsia="Times New Roman" w:cs="Times New Roman"/>
          <w:noProof/>
          <w:szCs w:val="24"/>
        </w:rPr>
      </w:pPr>
      <w:r w:rsidRPr="00732666">
        <w:rPr>
          <w:rFonts w:eastAsia="Times New Roman" w:cs="Times New Roman"/>
          <w:noProof/>
          <w:szCs w:val="24"/>
        </w:rPr>
        <w:t>The nuclear sector in the EU employs approximately 500 000 people, including 230 000 in direct positions within the sector. Notably, many of these jobs are highly specialised and require advanced skills,</w:t>
      </w:r>
      <w:r w:rsidRPr="0064638D">
        <w:rPr>
          <w:noProof/>
        </w:rPr>
        <w:t xml:space="preserve"> </w:t>
      </w:r>
      <w:r w:rsidRPr="00732666">
        <w:rPr>
          <w:rFonts w:eastAsia="Times New Roman" w:cs="Times New Roman"/>
          <w:noProof/>
          <w:szCs w:val="24"/>
        </w:rPr>
        <w:t>underscoring the importance of maintaining such expertise in the EU - especially to effectively manage strategic assets like nuclear fission power plants.</w:t>
      </w:r>
    </w:p>
    <w:p w14:paraId="264D4A43" w14:textId="77777777" w:rsidR="00F537BB" w:rsidRPr="002433AA" w:rsidRDefault="00F537BB" w:rsidP="00075284">
      <w:pPr>
        <w:spacing w:before="240"/>
        <w:rPr>
          <w:rFonts w:eastAsia="Times New Roman" w:cs="Times New Roman"/>
          <w:b/>
          <w:i/>
          <w:noProof/>
          <w:szCs w:val="24"/>
        </w:rPr>
      </w:pPr>
      <w:r w:rsidRPr="002433AA">
        <w:rPr>
          <w:rFonts w:eastAsia="Times New Roman" w:cs="Times New Roman"/>
          <w:b/>
          <w:i/>
          <w:noProof/>
          <w:szCs w:val="24"/>
        </w:rPr>
        <w:t>Solar thermal technologies</w:t>
      </w:r>
    </w:p>
    <w:p w14:paraId="7E26B4B8" w14:textId="6B61A410" w:rsidR="00F537BB" w:rsidRPr="00732666" w:rsidRDefault="00F537BB" w:rsidP="00246303">
      <w:pPr>
        <w:spacing w:after="120"/>
        <w:rPr>
          <w:rFonts w:eastAsia="Times New Roman" w:cs="Times New Roman"/>
          <w:noProof/>
          <w:szCs w:val="24"/>
        </w:rPr>
      </w:pPr>
      <w:r w:rsidRPr="00732666">
        <w:rPr>
          <w:rFonts w:eastAsia="Times New Roman" w:cs="Times New Roman"/>
          <w:noProof/>
          <w:szCs w:val="24"/>
        </w:rPr>
        <w:t>Manufacturing solar thermal technologies within the EU is generally more expensive than in many other global regions. As per Solar Heat Europe, the complete solar thermal system with flat plate collectors has a production cost in the EU about 40% higher than in China and approximately 20% higher than in Turkey. Similarly, the entire solar thermal system with vacuum tubes has a production cost in the EU about 35% higher than in China and 20% higher than in Turkey. These cost differences primarily stem from regional variations in the prices of materials such as glass, copper, and aluminum. Despite these disparities, the</w:t>
      </w:r>
      <w:r w:rsidRPr="00D83F5E">
        <w:rPr>
          <w:noProof/>
        </w:rPr>
        <w:t xml:space="preserve"> </w:t>
      </w:r>
      <w:r w:rsidRPr="00732666">
        <w:rPr>
          <w:rFonts w:eastAsia="Times New Roman" w:cs="Times New Roman"/>
          <w:noProof/>
          <w:szCs w:val="24"/>
        </w:rPr>
        <w:t xml:space="preserve">bulky nature of solar thermal products often eliminates the price advantage of imported products due to the higher transportation costs, historically enabling EU producers to remain competitive. However, these dynamics are shifting as fierce competition from third-country producers begins to affect certain EU Member States. By improving key competitiveness drivers and implementing policy measures such as local content requirements, the EU can better maintain its competitive edge while supporting domestic industry growth and stability. Finally, as explained in Section </w:t>
      </w:r>
      <w:r w:rsidR="00F06233" w:rsidRPr="00F06233">
        <w:rPr>
          <w:rFonts w:eastAsia="Times New Roman" w:cs="Times New Roman"/>
          <w:i/>
          <w:iCs/>
          <w:noProof/>
          <w:szCs w:val="24"/>
        </w:rPr>
        <w:t>Identification of NZIA main specific components to be covered by Made in EU requirements</w:t>
      </w:r>
      <w:r w:rsidRPr="00732666">
        <w:rPr>
          <w:rFonts w:eastAsia="Times New Roman" w:cs="Times New Roman"/>
          <w:noProof/>
          <w:szCs w:val="24"/>
        </w:rPr>
        <w:t>, the IAA proposes to set Made in EU requirements only for solar thermal collector, excluding other main specific components, which will significantly minimise impact on cost.</w:t>
      </w:r>
    </w:p>
    <w:p w14:paraId="3EBCC034" w14:textId="5018E25D" w:rsidR="00732666" w:rsidRPr="00732666" w:rsidRDefault="00AB6D8F" w:rsidP="00075284">
      <w:pPr>
        <w:spacing w:after="120"/>
        <w:rPr>
          <w:rFonts w:eastAsia="Times New Roman" w:cs="Times New Roman"/>
          <w:noProof/>
          <w:szCs w:val="24"/>
        </w:rPr>
      </w:pPr>
      <w:r w:rsidRPr="2E6543FA">
        <w:rPr>
          <w:rFonts w:eastAsia="Times New Roman" w:cs="Times New Roman"/>
          <w:noProof/>
        </w:rPr>
        <w:t>T</w:t>
      </w:r>
      <w:r w:rsidR="00F537BB" w:rsidRPr="2E6543FA">
        <w:rPr>
          <w:rFonts w:eastAsia="Times New Roman" w:cs="Times New Roman"/>
          <w:noProof/>
        </w:rPr>
        <w:t>he industrial ecosystem for solar thermal technologies is widespread across the EU, with a high concentration of companies located in Greece and in Cyprus</w:t>
      </w:r>
      <w:r w:rsidRPr="2E6543FA">
        <w:rPr>
          <w:rStyle w:val="FootnoteReference"/>
          <w:rFonts w:eastAsia="Times New Roman" w:cs="Times New Roman"/>
          <w:noProof/>
        </w:rPr>
        <w:footnoteReference w:id="729"/>
      </w:r>
      <w:r w:rsidR="00F537BB" w:rsidRPr="2E6543FA">
        <w:rPr>
          <w:rFonts w:eastAsia="Times New Roman" w:cs="Times New Roman"/>
          <w:noProof/>
        </w:rPr>
        <w:t>. Around 90% of such companies are SME. The sector employs around 10000 people in the EU</w:t>
      </w:r>
      <w:r w:rsidR="00C71FA4">
        <w:rPr>
          <w:rStyle w:val="FootnoteReference"/>
          <w:noProof/>
        </w:rPr>
        <w:footnoteReference w:id="730"/>
      </w:r>
      <w:r w:rsidR="00F537BB" w:rsidRPr="2E6543FA">
        <w:rPr>
          <w:rFonts w:eastAsia="Times New Roman" w:cs="Times New Roman"/>
          <w:noProof/>
        </w:rPr>
        <w:t>.</w:t>
      </w:r>
    </w:p>
    <w:p w14:paraId="2C8E7358" w14:textId="77777777" w:rsidR="00DA099B" w:rsidRPr="00D161D6" w:rsidRDefault="00DA099B" w:rsidP="00DA099B">
      <w:pPr>
        <w:spacing w:before="240"/>
        <w:rPr>
          <w:rFonts w:cs="Times New Roman"/>
          <w:b/>
          <w:i/>
          <w:noProof/>
          <w:szCs w:val="24"/>
        </w:rPr>
      </w:pPr>
      <w:r w:rsidRPr="00D161D6">
        <w:rPr>
          <w:rFonts w:cs="Times New Roman"/>
          <w:b/>
          <w:i/>
          <w:noProof/>
          <w:szCs w:val="24"/>
        </w:rPr>
        <w:t>Electricity grid technologies</w:t>
      </w:r>
    </w:p>
    <w:p w14:paraId="2C58C409" w14:textId="077EC29D" w:rsidR="00C93BFB" w:rsidRDefault="00E8281E" w:rsidP="00E20B2A">
      <w:pPr>
        <w:spacing w:after="120"/>
        <w:rPr>
          <w:noProof/>
        </w:rPr>
      </w:pPr>
      <w:r w:rsidRPr="00E8281E">
        <w:rPr>
          <w:noProof/>
        </w:rPr>
        <w:t xml:space="preserve">Manufacturing </w:t>
      </w:r>
      <w:r w:rsidR="00EA45F8">
        <w:rPr>
          <w:noProof/>
        </w:rPr>
        <w:t xml:space="preserve">high voltage and extra-high </w:t>
      </w:r>
      <w:r w:rsidR="00045D27">
        <w:rPr>
          <w:noProof/>
        </w:rPr>
        <w:t>voltage</w:t>
      </w:r>
      <w:r w:rsidR="00EA45F8">
        <w:rPr>
          <w:noProof/>
        </w:rPr>
        <w:t xml:space="preserve"> subsea and underground cables</w:t>
      </w:r>
      <w:r w:rsidR="00045D27">
        <w:rPr>
          <w:noProof/>
        </w:rPr>
        <w:t xml:space="preserve"> is no</w:t>
      </w:r>
      <w:r w:rsidR="00826ADF">
        <w:rPr>
          <w:noProof/>
        </w:rPr>
        <w:t xml:space="preserve">t </w:t>
      </w:r>
      <w:r w:rsidR="00045D27">
        <w:rPr>
          <w:noProof/>
        </w:rPr>
        <w:t xml:space="preserve">a </w:t>
      </w:r>
      <w:r w:rsidR="009D3649">
        <w:rPr>
          <w:noProof/>
        </w:rPr>
        <w:t>labour-intensive</w:t>
      </w:r>
      <w:r w:rsidR="000725EC">
        <w:rPr>
          <w:noProof/>
        </w:rPr>
        <w:t xml:space="preserve"> process, </w:t>
      </w:r>
      <w:r w:rsidR="003C08E9">
        <w:rPr>
          <w:noProof/>
        </w:rPr>
        <w:t>instead</w:t>
      </w:r>
      <w:r w:rsidR="000725EC">
        <w:rPr>
          <w:noProof/>
        </w:rPr>
        <w:t xml:space="preserve"> </w:t>
      </w:r>
      <w:r w:rsidR="00326F9D">
        <w:rPr>
          <w:noProof/>
        </w:rPr>
        <w:t>materials cost</w:t>
      </w:r>
      <w:r w:rsidR="003C08E9">
        <w:rPr>
          <w:noProof/>
        </w:rPr>
        <w:t>s</w:t>
      </w:r>
      <w:r w:rsidR="00326F9D">
        <w:rPr>
          <w:noProof/>
        </w:rPr>
        <w:t xml:space="preserve"> account for the lion share of total production costs</w:t>
      </w:r>
      <w:r w:rsidR="00BD7DD7">
        <w:rPr>
          <w:noProof/>
        </w:rPr>
        <w:t xml:space="preserve">. Since these materials are globally traded and </w:t>
      </w:r>
      <w:r w:rsidR="003C08E9">
        <w:rPr>
          <w:noProof/>
        </w:rPr>
        <w:t>typically exhibit limited price variation</w:t>
      </w:r>
      <w:r w:rsidR="00E40287">
        <w:rPr>
          <w:noProof/>
        </w:rPr>
        <w:t xml:space="preserve"> across regions</w:t>
      </w:r>
      <w:r w:rsidR="00DB38F4">
        <w:rPr>
          <w:noProof/>
        </w:rPr>
        <w:t xml:space="preserve">, </w:t>
      </w:r>
      <w:r w:rsidR="00C075CA">
        <w:rPr>
          <w:noProof/>
        </w:rPr>
        <w:t>differences</w:t>
      </w:r>
      <w:r w:rsidR="00DB38F4">
        <w:rPr>
          <w:noProof/>
        </w:rPr>
        <w:t xml:space="preserve"> in production costs </w:t>
      </w:r>
      <w:r w:rsidR="00800D03">
        <w:rPr>
          <w:noProof/>
        </w:rPr>
        <w:t xml:space="preserve">are </w:t>
      </w:r>
      <w:r w:rsidR="000D647D">
        <w:rPr>
          <w:noProof/>
        </w:rPr>
        <w:t>expected</w:t>
      </w:r>
      <w:r w:rsidR="00800D03">
        <w:rPr>
          <w:noProof/>
        </w:rPr>
        <w:t xml:space="preserve"> to be </w:t>
      </w:r>
      <w:r w:rsidR="000D647D">
        <w:rPr>
          <w:noProof/>
        </w:rPr>
        <w:t>relatively small</w:t>
      </w:r>
      <w:r w:rsidR="004F589B">
        <w:rPr>
          <w:noProof/>
        </w:rPr>
        <w:t xml:space="preserve">. Although </w:t>
      </w:r>
      <w:r w:rsidR="000D647D">
        <w:rPr>
          <w:noProof/>
        </w:rPr>
        <w:t xml:space="preserve">some </w:t>
      </w:r>
      <w:r w:rsidR="004F589B">
        <w:rPr>
          <w:noProof/>
        </w:rPr>
        <w:t xml:space="preserve">Asian countries may </w:t>
      </w:r>
      <w:r w:rsidR="000D647D">
        <w:rPr>
          <w:noProof/>
        </w:rPr>
        <w:t xml:space="preserve">benefit from </w:t>
      </w:r>
      <w:r w:rsidR="004F589B">
        <w:rPr>
          <w:noProof/>
        </w:rPr>
        <w:t xml:space="preserve">lower energy and </w:t>
      </w:r>
      <w:r w:rsidR="00C075CA">
        <w:rPr>
          <w:noProof/>
        </w:rPr>
        <w:t xml:space="preserve">CAPEX costs, </w:t>
      </w:r>
      <w:r w:rsidR="005F18EA">
        <w:rPr>
          <w:noProof/>
        </w:rPr>
        <w:t>these advantages</w:t>
      </w:r>
      <w:r w:rsidR="00F145AE">
        <w:rPr>
          <w:noProof/>
        </w:rPr>
        <w:t xml:space="preserve"> should </w:t>
      </w:r>
      <w:r w:rsidR="005F18EA">
        <w:rPr>
          <w:noProof/>
        </w:rPr>
        <w:t xml:space="preserve">largely </w:t>
      </w:r>
      <w:r w:rsidR="00F145AE">
        <w:rPr>
          <w:noProof/>
        </w:rPr>
        <w:t xml:space="preserve">be </w:t>
      </w:r>
      <w:r w:rsidR="005F18EA">
        <w:rPr>
          <w:noProof/>
        </w:rPr>
        <w:t>offset by</w:t>
      </w:r>
      <w:r w:rsidR="00F145AE">
        <w:rPr>
          <w:noProof/>
        </w:rPr>
        <w:t xml:space="preserve"> transport</w:t>
      </w:r>
      <w:r w:rsidR="005F18EA">
        <w:rPr>
          <w:noProof/>
        </w:rPr>
        <w:t>ation</w:t>
      </w:r>
      <w:r w:rsidR="00F145AE">
        <w:rPr>
          <w:noProof/>
        </w:rPr>
        <w:t xml:space="preserve"> costs</w:t>
      </w:r>
      <w:r w:rsidR="00E93D66">
        <w:rPr>
          <w:noProof/>
        </w:rPr>
        <w:t xml:space="preserve"> to Europe, especially considering </w:t>
      </w:r>
      <w:r w:rsidR="00183BE1">
        <w:rPr>
          <w:noProof/>
        </w:rPr>
        <w:t xml:space="preserve">the need for </w:t>
      </w:r>
      <w:r w:rsidR="00E93D66">
        <w:rPr>
          <w:noProof/>
        </w:rPr>
        <w:t>special</w:t>
      </w:r>
      <w:r w:rsidR="00183BE1">
        <w:rPr>
          <w:noProof/>
        </w:rPr>
        <w:t>ised</w:t>
      </w:r>
      <w:r w:rsidR="00E93D66">
        <w:rPr>
          <w:noProof/>
        </w:rPr>
        <w:t xml:space="preserve"> vessels </w:t>
      </w:r>
      <w:r w:rsidR="00183BE1">
        <w:rPr>
          <w:noProof/>
        </w:rPr>
        <w:t>with high operational costs</w:t>
      </w:r>
      <w:r w:rsidR="007668AA">
        <w:rPr>
          <w:noProof/>
        </w:rPr>
        <w:t>.</w:t>
      </w:r>
      <w:r w:rsidR="003801A8">
        <w:rPr>
          <w:noProof/>
        </w:rPr>
        <w:t xml:space="preserve"> However, trade statistics indicate that</w:t>
      </w:r>
      <w:r w:rsidR="00505FDE">
        <w:rPr>
          <w:noProof/>
        </w:rPr>
        <w:t xml:space="preserve"> in 2025</w:t>
      </w:r>
      <w:r w:rsidR="00AF3C48">
        <w:rPr>
          <w:noProof/>
        </w:rPr>
        <w:t xml:space="preserve"> high-voltage power cables imported from China</w:t>
      </w:r>
      <w:r w:rsidR="003801A8">
        <w:rPr>
          <w:noProof/>
        </w:rPr>
        <w:t xml:space="preserve"> </w:t>
      </w:r>
      <w:r w:rsidR="00505FDE">
        <w:rPr>
          <w:noProof/>
        </w:rPr>
        <w:t>we</w:t>
      </w:r>
      <w:r w:rsidR="000C78ED">
        <w:rPr>
          <w:noProof/>
        </w:rPr>
        <w:t xml:space="preserve">re </w:t>
      </w:r>
      <w:r w:rsidR="00954F6A">
        <w:rPr>
          <w:noProof/>
        </w:rPr>
        <w:t xml:space="preserve">20% </w:t>
      </w:r>
      <w:r w:rsidR="00AF3C48">
        <w:rPr>
          <w:noProof/>
        </w:rPr>
        <w:t>cheaper</w:t>
      </w:r>
      <w:r w:rsidR="00F16D20">
        <w:rPr>
          <w:noProof/>
        </w:rPr>
        <w:t xml:space="preserve"> than those</w:t>
      </w:r>
      <w:r w:rsidR="00AF3C48">
        <w:rPr>
          <w:noProof/>
        </w:rPr>
        <w:t xml:space="preserve"> manufactured in the EU</w:t>
      </w:r>
      <w:r w:rsidR="005C6626">
        <w:rPr>
          <w:rStyle w:val="FootnoteReference"/>
          <w:noProof/>
        </w:rPr>
        <w:footnoteReference w:id="731"/>
      </w:r>
      <w:r w:rsidR="009C62FC">
        <w:rPr>
          <w:noProof/>
        </w:rPr>
        <w:t xml:space="preserve">. </w:t>
      </w:r>
      <w:r w:rsidR="00942659">
        <w:rPr>
          <w:noProof/>
        </w:rPr>
        <w:t>This price differential</w:t>
      </w:r>
      <w:r w:rsidR="009C62FC">
        <w:rPr>
          <w:noProof/>
        </w:rPr>
        <w:t xml:space="preserve"> </w:t>
      </w:r>
      <w:r w:rsidR="00692BFB">
        <w:rPr>
          <w:noProof/>
        </w:rPr>
        <w:t xml:space="preserve">is unlikely to be solely attributed to </w:t>
      </w:r>
      <w:r w:rsidR="009C62FC">
        <w:rPr>
          <w:noProof/>
        </w:rPr>
        <w:t>production cost drivers</w:t>
      </w:r>
      <w:r w:rsidR="00C93BFB">
        <w:rPr>
          <w:noProof/>
        </w:rPr>
        <w:t xml:space="preserve">, </w:t>
      </w:r>
      <w:r w:rsidR="00A66C48">
        <w:rPr>
          <w:noProof/>
        </w:rPr>
        <w:t>s</w:t>
      </w:r>
      <w:r w:rsidR="00C93BFB">
        <w:rPr>
          <w:noProof/>
        </w:rPr>
        <w:t>uggest</w:t>
      </w:r>
      <w:r w:rsidR="00A66C48">
        <w:rPr>
          <w:noProof/>
        </w:rPr>
        <w:t>ing</w:t>
      </w:r>
      <w:r w:rsidR="00C93BFB">
        <w:rPr>
          <w:noProof/>
        </w:rPr>
        <w:t xml:space="preserve"> the </w:t>
      </w:r>
      <w:r w:rsidR="00A66C48">
        <w:rPr>
          <w:noProof/>
        </w:rPr>
        <w:t>possible presence</w:t>
      </w:r>
      <w:r w:rsidR="00C93BFB">
        <w:rPr>
          <w:noProof/>
        </w:rPr>
        <w:t xml:space="preserve"> </w:t>
      </w:r>
      <w:r w:rsidR="00E47957">
        <w:rPr>
          <w:noProof/>
        </w:rPr>
        <w:t>of direct or indirect State aid compensatio</w:t>
      </w:r>
      <w:r w:rsidR="00E20553">
        <w:rPr>
          <w:noProof/>
        </w:rPr>
        <w:t xml:space="preserve">ns and/or price dumping </w:t>
      </w:r>
      <w:r w:rsidR="00DF6211">
        <w:rPr>
          <w:noProof/>
        </w:rPr>
        <w:t xml:space="preserve">practices by extra-EU producers. </w:t>
      </w:r>
    </w:p>
    <w:p w14:paraId="5E188A4F" w14:textId="6D9C9090" w:rsidR="0088402F" w:rsidRDefault="00FB79C6" w:rsidP="00E20B2A">
      <w:pPr>
        <w:spacing w:after="120"/>
        <w:rPr>
          <w:noProof/>
        </w:rPr>
      </w:pPr>
      <w:r>
        <w:rPr>
          <w:noProof/>
        </w:rPr>
        <w:t>For other</w:t>
      </w:r>
      <w:r w:rsidR="00E20B2A">
        <w:rPr>
          <w:noProof/>
        </w:rPr>
        <w:t xml:space="preserve"> electricity grid technologies, </w:t>
      </w:r>
      <w:r w:rsidR="00913E3F">
        <w:rPr>
          <w:noProof/>
        </w:rPr>
        <w:t xml:space="preserve">trade </w:t>
      </w:r>
      <w:r w:rsidR="00765268">
        <w:rPr>
          <w:noProof/>
        </w:rPr>
        <w:t>statistics</w:t>
      </w:r>
      <w:r w:rsidR="00913E3F">
        <w:rPr>
          <w:noProof/>
        </w:rPr>
        <w:t xml:space="preserve"> depict a mixed picture</w:t>
      </w:r>
      <w:r w:rsidR="002E320D">
        <w:rPr>
          <w:noProof/>
        </w:rPr>
        <w:t>.</w:t>
      </w:r>
      <w:r w:rsidR="002E320D" w:rsidRPr="002E320D">
        <w:rPr>
          <w:noProof/>
        </w:rPr>
        <w:t xml:space="preserve"> </w:t>
      </w:r>
      <w:r w:rsidR="002E320D">
        <w:rPr>
          <w:noProof/>
        </w:rPr>
        <w:t xml:space="preserve">Devices manufactured in the EU are generally more expensive than imports from </w:t>
      </w:r>
      <w:r w:rsidR="00FC115F">
        <w:rPr>
          <w:noProof/>
        </w:rPr>
        <w:t>China but</w:t>
      </w:r>
      <w:r w:rsidR="002E320D">
        <w:rPr>
          <w:noProof/>
        </w:rPr>
        <w:t xml:space="preserve"> are cheaper compared to imports from other third countries</w:t>
      </w:r>
      <w:r w:rsidR="006010D6">
        <w:rPr>
          <w:noProof/>
        </w:rPr>
        <w:t xml:space="preserve">. </w:t>
      </w:r>
      <w:r w:rsidR="00FC115F">
        <w:rPr>
          <w:noProof/>
        </w:rPr>
        <w:t xml:space="preserve">Specifically, for </w:t>
      </w:r>
      <w:r w:rsidR="00BE0D10">
        <w:rPr>
          <w:noProof/>
        </w:rPr>
        <w:t xml:space="preserve">converters, devices </w:t>
      </w:r>
      <w:r w:rsidR="00DF4DB1">
        <w:rPr>
          <w:noProof/>
        </w:rPr>
        <w:t>imported from China in 2025 were</w:t>
      </w:r>
      <w:r w:rsidR="00484A8E">
        <w:rPr>
          <w:noProof/>
        </w:rPr>
        <w:t xml:space="preserve"> about 30% cheaper than </w:t>
      </w:r>
      <w:r w:rsidR="00FC115F">
        <w:rPr>
          <w:noProof/>
        </w:rPr>
        <w:t>their EU-manufactured counterparts</w:t>
      </w:r>
      <w:r w:rsidR="00F909ED">
        <w:rPr>
          <w:noProof/>
        </w:rPr>
        <w:t xml:space="preserve">, while devices imported from Thailand were </w:t>
      </w:r>
      <w:r w:rsidR="00F909ED" w:rsidRPr="00A61AC4">
        <w:rPr>
          <w:noProof/>
        </w:rPr>
        <w:t>a</w:t>
      </w:r>
      <w:r w:rsidR="00BE0D10" w:rsidRPr="00A61AC4">
        <w:rPr>
          <w:noProof/>
        </w:rPr>
        <w:t xml:space="preserve">bout </w:t>
      </w:r>
      <w:r w:rsidR="00F909ED" w:rsidRPr="00A61AC4">
        <w:rPr>
          <w:noProof/>
        </w:rPr>
        <w:t>20% more expensive than</w:t>
      </w:r>
      <w:r w:rsidR="00A61AC4" w:rsidRPr="00A61AC4">
        <w:rPr>
          <w:noProof/>
        </w:rPr>
        <w:t xml:space="preserve"> EU-manufactured ones.</w:t>
      </w:r>
      <w:r w:rsidR="00DF7E2A">
        <w:rPr>
          <w:noProof/>
        </w:rPr>
        <w:t xml:space="preserve"> </w:t>
      </w:r>
      <w:r w:rsidR="00CF78BE">
        <w:rPr>
          <w:noProof/>
        </w:rPr>
        <w:t xml:space="preserve">Similarly, </w:t>
      </w:r>
      <w:r w:rsidR="00DF7E2A">
        <w:rPr>
          <w:noProof/>
        </w:rPr>
        <w:t>electric cabinets</w:t>
      </w:r>
      <w:r w:rsidR="00CF78BE">
        <w:rPr>
          <w:noProof/>
        </w:rPr>
        <w:t xml:space="preserve"> </w:t>
      </w:r>
      <w:r w:rsidR="0088402F">
        <w:rPr>
          <w:noProof/>
        </w:rPr>
        <w:t>imported from China in 2025 were almost 40% cheaper than those manufactured in the EU, while devices imported from Turkey</w:t>
      </w:r>
      <w:r w:rsidR="00351FBF">
        <w:rPr>
          <w:noProof/>
        </w:rPr>
        <w:t xml:space="preserve"> were</w:t>
      </w:r>
      <w:r w:rsidR="007B536E">
        <w:rPr>
          <w:noProof/>
        </w:rPr>
        <w:t xml:space="preserve"> slightly</w:t>
      </w:r>
      <w:r w:rsidR="0088402F" w:rsidRPr="00A61AC4">
        <w:rPr>
          <w:noProof/>
        </w:rPr>
        <w:t xml:space="preserve"> more expensive than EU-manufactured ones.</w:t>
      </w:r>
      <w:r w:rsidR="0088402F">
        <w:rPr>
          <w:noProof/>
        </w:rPr>
        <w:t xml:space="preserve"> </w:t>
      </w:r>
    </w:p>
    <w:p w14:paraId="66D1BC8A" w14:textId="567DFE66" w:rsidR="00F537BB" w:rsidRPr="002433AA" w:rsidRDefault="00F537BB" w:rsidP="00075284">
      <w:pPr>
        <w:spacing w:before="240"/>
        <w:rPr>
          <w:rFonts w:eastAsia="Times New Roman" w:cs="Times New Roman"/>
          <w:b/>
          <w:i/>
          <w:noProof/>
          <w:szCs w:val="24"/>
        </w:rPr>
      </w:pPr>
      <w:r w:rsidRPr="002433AA">
        <w:rPr>
          <w:rFonts w:eastAsia="Times New Roman" w:cs="Times New Roman"/>
          <w:b/>
          <w:i/>
          <w:noProof/>
          <w:szCs w:val="24"/>
        </w:rPr>
        <w:t xml:space="preserve">Wind technologies </w:t>
      </w:r>
    </w:p>
    <w:p w14:paraId="173AEB21" w14:textId="77777777" w:rsidR="00F537BB" w:rsidRPr="00732666" w:rsidRDefault="00F537BB" w:rsidP="00107EB7">
      <w:pPr>
        <w:spacing w:after="120"/>
        <w:rPr>
          <w:rFonts w:eastAsia="Times New Roman" w:cs="Times New Roman"/>
          <w:noProof/>
          <w:szCs w:val="24"/>
        </w:rPr>
      </w:pPr>
      <w:r w:rsidRPr="00732666">
        <w:rPr>
          <w:rFonts w:eastAsia="Times New Roman" w:cs="Times New Roman"/>
          <w:noProof/>
          <w:szCs w:val="24"/>
        </w:rPr>
        <w:t xml:space="preserve">The price gap between Chinese wind turbines and Western turbines ranges between 10% and 45%. Interest for Chinese turbines in diverse markets is hence growing, and Chinese manufacturers use strategic pricing (including deferred payment) to enter new markets. In that, the price difference is also due to market entry strategies and might not remain this high. Additionally, Chinese manufacturers offer larger wind turbines than those produced and offered by EU manufacturers. </w:t>
      </w:r>
    </w:p>
    <w:p w14:paraId="41A3AC00" w14:textId="70128177" w:rsidR="00732666" w:rsidRPr="00732666" w:rsidRDefault="00F537BB" w:rsidP="00075284">
      <w:pPr>
        <w:spacing w:after="120"/>
        <w:rPr>
          <w:rFonts w:eastAsia="Times New Roman" w:cs="Times New Roman"/>
          <w:noProof/>
          <w:szCs w:val="24"/>
        </w:rPr>
      </w:pPr>
      <w:r w:rsidRPr="00732666">
        <w:rPr>
          <w:rFonts w:eastAsia="Times New Roman" w:cs="Times New Roman"/>
          <w:noProof/>
          <w:szCs w:val="24"/>
        </w:rPr>
        <w:t>On the other hand, wind turbine production and the broader wind energy industry deliver substantial economic benefits to the EU: according to WindEurope, the sector had an annual turnover of EUR 60 billion, 65% of this adding value to the EU economy, in 2019. The sector represents 300.000 jobs in the EU. A strong European wind supply chain, with roughly 250 factories and major turbine OEMs holding a large global market share, boosts local industry, high-value jobs, and regional development while generating taxes (EUR 5 bn in 2019) and supporting exports. According to WindEurope, wind farms pay €2.3/MWh in local taxes on average.</w:t>
      </w:r>
    </w:p>
    <w:p w14:paraId="2048A098" w14:textId="77777777" w:rsidR="00F537BB" w:rsidRPr="00075284" w:rsidRDefault="00F537BB" w:rsidP="00075284">
      <w:pPr>
        <w:spacing w:before="240"/>
        <w:rPr>
          <w:rFonts w:eastAsia="Times New Roman" w:cs="Times New Roman"/>
          <w:b/>
          <w:i/>
          <w:noProof/>
          <w:szCs w:val="24"/>
        </w:rPr>
      </w:pPr>
      <w:r w:rsidRPr="00075284">
        <w:rPr>
          <w:rFonts w:eastAsia="Times New Roman" w:cs="Times New Roman"/>
          <w:b/>
          <w:i/>
          <w:noProof/>
          <w:szCs w:val="24"/>
        </w:rPr>
        <w:t>Impact on electricity prices</w:t>
      </w:r>
    </w:p>
    <w:p w14:paraId="1D45B61F" w14:textId="1404FD99" w:rsidR="00F537BB" w:rsidRPr="00732666" w:rsidRDefault="00F537BB" w:rsidP="00107EB7">
      <w:pPr>
        <w:spacing w:after="120"/>
        <w:rPr>
          <w:rFonts w:eastAsia="Times New Roman" w:cs="Times New Roman"/>
          <w:noProof/>
        </w:rPr>
      </w:pPr>
      <w:r w:rsidRPr="59070993">
        <w:rPr>
          <w:rFonts w:eastAsia="Times New Roman" w:cs="Times New Roman"/>
          <w:noProof/>
        </w:rPr>
        <w:t xml:space="preserve">Assessing the impact of establishing Made in EU requirements on solar PV, wind, and nuclear sectors on electricity prices is challenging. Although the previous paragraphs indicate that these requirements could lead to not-negligible CAPEX increases, their effect on the levelized cost of electricity is mitigated. For instance, if a PV module is assembled in the EU, using EU-produced PV cells and solar glass, along with three main specific components diversified according to the NZIA resilience requirements, its levelized cost of electricity </w:t>
      </w:r>
      <w:r w:rsidR="0047047C">
        <w:rPr>
          <w:rFonts w:eastAsia="Times New Roman" w:cs="Times New Roman"/>
          <w:noProof/>
        </w:rPr>
        <w:t xml:space="preserve">(LCoE) </w:t>
      </w:r>
      <w:r w:rsidRPr="59070993">
        <w:rPr>
          <w:rFonts w:eastAsia="Times New Roman" w:cs="Times New Roman"/>
          <w:noProof/>
        </w:rPr>
        <w:t>would be 6 EUR c/</w:t>
      </w:r>
      <w:r w:rsidR="7C08B713" w:rsidRPr="59070993">
        <w:rPr>
          <w:rFonts w:eastAsia="Times New Roman" w:cs="Times New Roman"/>
          <w:noProof/>
        </w:rPr>
        <w:t>k</w:t>
      </w:r>
      <w:r w:rsidR="44CDDBBA" w:rsidRPr="59070993">
        <w:rPr>
          <w:rFonts w:eastAsia="Times New Roman" w:cs="Times New Roman"/>
          <w:noProof/>
        </w:rPr>
        <w:t>W</w:t>
      </w:r>
      <w:r w:rsidR="4B95B200" w:rsidRPr="59070993">
        <w:rPr>
          <w:rFonts w:eastAsia="Times New Roman" w:cs="Times New Roman"/>
          <w:noProof/>
        </w:rPr>
        <w:t>h</w:t>
      </w:r>
      <w:r w:rsidRPr="59070993">
        <w:rPr>
          <w:rFonts w:eastAsia="Times New Roman" w:cs="Times New Roman"/>
          <w:noProof/>
        </w:rPr>
        <w:t>. This represents a modest increase from the levelized cost of electricity of 5.2 EUR c/</w:t>
      </w:r>
      <w:r w:rsidR="4CD12D3A" w:rsidRPr="59070993">
        <w:rPr>
          <w:rFonts w:eastAsia="Times New Roman" w:cs="Times New Roman"/>
          <w:noProof/>
        </w:rPr>
        <w:t>k</w:t>
      </w:r>
      <w:r w:rsidR="44CDDBBA" w:rsidRPr="59070993">
        <w:rPr>
          <w:rFonts w:eastAsia="Times New Roman" w:cs="Times New Roman"/>
          <w:noProof/>
        </w:rPr>
        <w:t>W</w:t>
      </w:r>
      <w:r w:rsidR="515A0BE9" w:rsidRPr="59070993">
        <w:rPr>
          <w:rFonts w:eastAsia="Times New Roman" w:cs="Times New Roman"/>
          <w:noProof/>
        </w:rPr>
        <w:t>h</w:t>
      </w:r>
      <w:r w:rsidRPr="59070993">
        <w:rPr>
          <w:rFonts w:eastAsia="Times New Roman" w:cs="Times New Roman"/>
          <w:noProof/>
        </w:rPr>
        <w:t xml:space="preserve"> for PV modules at current market prices</w:t>
      </w:r>
      <w:r w:rsidR="44CDDBBA" w:rsidRPr="2E6543FA">
        <w:rPr>
          <w:rStyle w:val="FootnoteReference"/>
          <w:rFonts w:asciiTheme="minorHAnsi" w:eastAsiaTheme="minorEastAsia" w:hAnsiTheme="minorHAnsi"/>
          <w:noProof/>
        </w:rPr>
        <w:footnoteReference w:id="732"/>
      </w:r>
      <w:r w:rsidR="44CDDBBA" w:rsidRPr="59070993">
        <w:rPr>
          <w:rFonts w:eastAsia="Times New Roman" w:cs="Times New Roman"/>
          <w:noProof/>
        </w:rPr>
        <w:t>.</w:t>
      </w:r>
      <w:r w:rsidRPr="59070993">
        <w:rPr>
          <w:rFonts w:eastAsia="Times New Roman" w:cs="Times New Roman"/>
          <w:noProof/>
        </w:rPr>
        <w:t xml:space="preserve"> </w:t>
      </w:r>
      <w:r w:rsidR="00536D5D">
        <w:rPr>
          <w:rFonts w:eastAsia="Times New Roman" w:cs="Times New Roman"/>
          <w:noProof/>
        </w:rPr>
        <w:t>A</w:t>
      </w:r>
      <w:r w:rsidR="002E1F80">
        <w:rPr>
          <w:rFonts w:eastAsia="Times New Roman" w:cs="Times New Roman"/>
          <w:noProof/>
        </w:rPr>
        <w:t>n onshore</w:t>
      </w:r>
      <w:r w:rsidR="00536D5D">
        <w:rPr>
          <w:rFonts w:eastAsia="Times New Roman" w:cs="Times New Roman"/>
          <w:noProof/>
        </w:rPr>
        <w:t xml:space="preserve"> wind</w:t>
      </w:r>
      <w:r w:rsidR="00547778">
        <w:rPr>
          <w:rFonts w:eastAsia="Times New Roman" w:cs="Times New Roman"/>
          <w:noProof/>
        </w:rPr>
        <w:t xml:space="preserve"> turbine with two main specific components</w:t>
      </w:r>
      <w:r w:rsidR="003B29BB">
        <w:rPr>
          <w:rFonts w:eastAsia="Times New Roman" w:cs="Times New Roman"/>
          <w:noProof/>
        </w:rPr>
        <w:t xml:space="preserve"> produced in the EU would have a </w:t>
      </w:r>
      <w:r w:rsidR="0047047C">
        <w:rPr>
          <w:rFonts w:eastAsia="Times New Roman" w:cs="Times New Roman"/>
          <w:noProof/>
        </w:rPr>
        <w:t xml:space="preserve">LCoE 4% </w:t>
      </w:r>
      <w:r w:rsidR="002E1F80">
        <w:rPr>
          <w:rFonts w:eastAsia="Times New Roman" w:cs="Times New Roman"/>
          <w:noProof/>
        </w:rPr>
        <w:t xml:space="preserve">higher than an equivalent turbine </w:t>
      </w:r>
      <w:r w:rsidR="00DC409C">
        <w:rPr>
          <w:rFonts w:eastAsia="Times New Roman" w:cs="Times New Roman"/>
          <w:noProof/>
        </w:rPr>
        <w:t xml:space="preserve">with those components supplied from China (i.e. </w:t>
      </w:r>
      <w:r w:rsidR="008D6825">
        <w:rPr>
          <w:rFonts w:eastAsia="Times New Roman" w:cs="Times New Roman"/>
          <w:noProof/>
        </w:rPr>
        <w:t>48</w:t>
      </w:r>
      <w:r w:rsidR="002F5CF5">
        <w:rPr>
          <w:rFonts w:eastAsia="Times New Roman" w:cs="Times New Roman"/>
          <w:noProof/>
        </w:rPr>
        <w:t xml:space="preserve"> EUR/MWh and </w:t>
      </w:r>
      <w:r w:rsidR="008D6825">
        <w:rPr>
          <w:rFonts w:eastAsia="Times New Roman" w:cs="Times New Roman"/>
          <w:noProof/>
        </w:rPr>
        <w:t>46</w:t>
      </w:r>
      <w:r w:rsidR="002F5CF5">
        <w:rPr>
          <w:rFonts w:eastAsia="Times New Roman" w:cs="Times New Roman"/>
          <w:noProof/>
        </w:rPr>
        <w:t xml:space="preserve"> EUR/MWh respectively).</w:t>
      </w:r>
      <w:r w:rsidR="002E1F80">
        <w:rPr>
          <w:rFonts w:eastAsia="Times New Roman" w:cs="Times New Roman"/>
          <w:noProof/>
        </w:rPr>
        <w:t xml:space="preserve"> </w:t>
      </w:r>
      <w:r w:rsidR="00944A14">
        <w:rPr>
          <w:rFonts w:eastAsia="Times New Roman" w:cs="Times New Roman"/>
          <w:noProof/>
        </w:rPr>
        <w:t>Similarly, a nuclear fission power plant with four main specific components produced in the EU is expected to have a LCoE</w:t>
      </w:r>
      <w:r w:rsidR="002E1F80">
        <w:rPr>
          <w:rFonts w:eastAsia="Times New Roman" w:cs="Times New Roman"/>
          <w:noProof/>
        </w:rPr>
        <w:t xml:space="preserve"> </w:t>
      </w:r>
      <w:r w:rsidR="001622A0">
        <w:rPr>
          <w:rFonts w:eastAsia="Times New Roman" w:cs="Times New Roman"/>
          <w:noProof/>
        </w:rPr>
        <w:t xml:space="preserve">1% higher than an equivalent power plant with </w:t>
      </w:r>
      <w:r w:rsidR="004D3DE9">
        <w:rPr>
          <w:rFonts w:eastAsia="Times New Roman" w:cs="Times New Roman"/>
          <w:noProof/>
        </w:rPr>
        <w:t xml:space="preserve">those components supplied from extra-EU countries (i.e. </w:t>
      </w:r>
      <w:r w:rsidR="00C2108F">
        <w:rPr>
          <w:rFonts w:eastAsia="Times New Roman" w:cs="Times New Roman"/>
          <w:noProof/>
        </w:rPr>
        <w:t>79</w:t>
      </w:r>
      <w:r w:rsidR="00E14A21">
        <w:rPr>
          <w:rFonts w:eastAsia="Times New Roman" w:cs="Times New Roman"/>
          <w:noProof/>
        </w:rPr>
        <w:t xml:space="preserve"> EUR/MWh</w:t>
      </w:r>
      <w:r w:rsidR="00C2108F">
        <w:rPr>
          <w:rFonts w:eastAsia="Times New Roman" w:cs="Times New Roman"/>
          <w:noProof/>
        </w:rPr>
        <w:t xml:space="preserve"> and 78 EUR/MWh respectively</w:t>
      </w:r>
      <w:r w:rsidR="00E14A21">
        <w:rPr>
          <w:rFonts w:eastAsia="Times New Roman" w:cs="Times New Roman"/>
          <w:noProof/>
        </w:rPr>
        <w:t>).</w:t>
      </w:r>
      <w:r w:rsidR="002E1F80">
        <w:rPr>
          <w:rFonts w:eastAsia="Times New Roman" w:cs="Times New Roman"/>
          <w:noProof/>
        </w:rPr>
        <w:t xml:space="preserve"> </w:t>
      </w:r>
      <w:r w:rsidRPr="59070993">
        <w:rPr>
          <w:rFonts w:eastAsia="Times New Roman" w:cs="Times New Roman"/>
          <w:noProof/>
        </w:rPr>
        <w:t>Despite this rise, the impact on the merit order in the power market is minimal. PV, wind or nuclear would only set the electricity price during limited hours of exclusive clean energy production. Even then, the resulting price increase would be limited and overall, electricity costs would remain significantly lower than those determined by fossil fuel generators.</w:t>
      </w:r>
    </w:p>
    <w:p w14:paraId="4229D09D" w14:textId="60320996" w:rsidR="00F537BB" w:rsidRDefault="00F537BB" w:rsidP="296E22C2">
      <w:pPr>
        <w:spacing w:after="120"/>
        <w:rPr>
          <w:rFonts w:eastAsia="Times New Roman" w:cs="Times New Roman"/>
          <w:noProof/>
        </w:rPr>
      </w:pPr>
      <w:r w:rsidRPr="59070993">
        <w:rPr>
          <w:rFonts w:eastAsia="Times New Roman" w:cs="Times New Roman"/>
          <w:noProof/>
        </w:rPr>
        <w:t xml:space="preserve">Although Made in EU requirements might lead to higher costs in renewable energy auctions, </w:t>
      </w:r>
      <w:r w:rsidR="08667E82" w:rsidRPr="59070993">
        <w:rPr>
          <w:rFonts w:eastAsia="Times New Roman" w:cs="Times New Roman"/>
          <w:noProof/>
        </w:rPr>
        <w:t>as explained in the impacts Section of the report,</w:t>
      </w:r>
      <w:r w:rsidRPr="59070993">
        <w:rPr>
          <w:rFonts w:eastAsia="Times New Roman" w:cs="Times New Roman"/>
          <w:noProof/>
        </w:rPr>
        <w:t xml:space="preserve"> understanding the extent to which these costs might be </w:t>
      </w:r>
      <w:r w:rsidR="009B1E89">
        <w:rPr>
          <w:rFonts w:eastAsia="Times New Roman" w:cs="Times New Roman"/>
          <w:noProof/>
        </w:rPr>
        <w:t>transferred</w:t>
      </w:r>
      <w:r w:rsidRPr="59070993">
        <w:rPr>
          <w:rFonts w:eastAsia="Times New Roman" w:cs="Times New Roman"/>
          <w:noProof/>
        </w:rPr>
        <w:t xml:space="preserve"> to consumers through additional levies or surcharges on electricity bills is complex. This depends on various factors, including auction types (such as feed-in tariffs versus contracts for difference), specific auction designs, </w:t>
      </w:r>
      <w:r w:rsidR="00BD52DA">
        <w:rPr>
          <w:rFonts w:eastAsia="Times New Roman" w:cs="Times New Roman"/>
          <w:noProof/>
        </w:rPr>
        <w:t xml:space="preserve">the level of </w:t>
      </w:r>
      <w:r w:rsidRPr="59070993">
        <w:rPr>
          <w:rFonts w:eastAsia="Times New Roman" w:cs="Times New Roman"/>
          <w:noProof/>
        </w:rPr>
        <w:t xml:space="preserve">renewable energy penetration, wholesale market conditions, and cost allocation mechanisms. </w:t>
      </w:r>
      <w:r w:rsidR="00BD52DA">
        <w:rPr>
          <w:rFonts w:eastAsia="Times New Roman" w:cs="Times New Roman"/>
          <w:noProof/>
        </w:rPr>
        <w:t>I</w:t>
      </w:r>
      <w:r w:rsidRPr="59070993">
        <w:rPr>
          <w:rFonts w:eastAsia="Times New Roman" w:cs="Times New Roman"/>
          <w:noProof/>
        </w:rPr>
        <w:t>n 2024</w:t>
      </w:r>
      <w:r w:rsidR="00BD52DA">
        <w:rPr>
          <w:rFonts w:eastAsia="Times New Roman" w:cs="Times New Roman"/>
          <w:noProof/>
        </w:rPr>
        <w:t>,</w:t>
      </w:r>
      <w:r w:rsidRPr="59070993">
        <w:rPr>
          <w:rFonts w:eastAsia="Times New Roman" w:cs="Times New Roman"/>
          <w:noProof/>
        </w:rPr>
        <w:t xml:space="preserve"> taxes and levies </w:t>
      </w:r>
      <w:r w:rsidR="00BD52DA">
        <w:rPr>
          <w:rFonts w:eastAsia="Times New Roman" w:cs="Times New Roman"/>
          <w:noProof/>
        </w:rPr>
        <w:t xml:space="preserve">- </w:t>
      </w:r>
      <w:r w:rsidR="00D840A5">
        <w:rPr>
          <w:rFonts w:eastAsia="Times New Roman" w:cs="Times New Roman"/>
          <w:noProof/>
        </w:rPr>
        <w:t xml:space="preserve">the </w:t>
      </w:r>
      <w:r w:rsidR="005C7851">
        <w:rPr>
          <w:rFonts w:eastAsia="Times New Roman" w:cs="Times New Roman"/>
          <w:noProof/>
        </w:rPr>
        <w:t xml:space="preserve">typical </w:t>
      </w:r>
      <w:r w:rsidR="00D840A5">
        <w:rPr>
          <w:rFonts w:eastAsia="Times New Roman" w:cs="Times New Roman"/>
          <w:noProof/>
        </w:rPr>
        <w:t>means</w:t>
      </w:r>
      <w:r w:rsidR="005C7851">
        <w:rPr>
          <w:rFonts w:eastAsia="Times New Roman" w:cs="Times New Roman"/>
          <w:noProof/>
        </w:rPr>
        <w:t xml:space="preserve"> for recovering</w:t>
      </w:r>
      <w:r w:rsidR="00D840A5">
        <w:rPr>
          <w:rFonts w:eastAsia="Times New Roman" w:cs="Times New Roman"/>
          <w:noProof/>
        </w:rPr>
        <w:t xml:space="preserve"> the cost of renewable auctions</w:t>
      </w:r>
      <w:r w:rsidR="005C7851">
        <w:rPr>
          <w:rFonts w:eastAsia="Times New Roman" w:cs="Times New Roman"/>
          <w:noProof/>
        </w:rPr>
        <w:t xml:space="preserve"> -</w:t>
      </w:r>
      <w:r w:rsidR="00D840A5">
        <w:rPr>
          <w:rFonts w:eastAsia="Times New Roman" w:cs="Times New Roman"/>
          <w:noProof/>
        </w:rPr>
        <w:t xml:space="preserve"> </w:t>
      </w:r>
      <w:r w:rsidRPr="59070993">
        <w:rPr>
          <w:rFonts w:eastAsia="Times New Roman" w:cs="Times New Roman"/>
          <w:noProof/>
        </w:rPr>
        <w:t>accounted for approximately 20% of total electricity prices on average in the EU</w:t>
      </w:r>
      <w:r w:rsidR="00107EB7" w:rsidRPr="59070993">
        <w:rPr>
          <w:rStyle w:val="FootnoteReference"/>
          <w:rFonts w:eastAsia="Times New Roman" w:cs="Times New Roman"/>
          <w:noProof/>
        </w:rPr>
        <w:footnoteReference w:id="733"/>
      </w:r>
      <w:r w:rsidRPr="59070993">
        <w:rPr>
          <w:rFonts w:eastAsia="Times New Roman" w:cs="Times New Roman"/>
          <w:noProof/>
        </w:rPr>
        <w:t xml:space="preserve">, </w:t>
      </w:r>
      <w:r w:rsidR="005C7851">
        <w:rPr>
          <w:rFonts w:eastAsia="Times New Roman" w:cs="Times New Roman"/>
          <w:noProof/>
        </w:rPr>
        <w:t xml:space="preserve">indicating </w:t>
      </w:r>
      <w:r w:rsidRPr="59070993">
        <w:rPr>
          <w:rFonts w:eastAsia="Times New Roman" w:cs="Times New Roman"/>
          <w:noProof/>
        </w:rPr>
        <w:t>that any pass-through effects</w:t>
      </w:r>
      <w:r>
        <w:rPr>
          <w:rFonts w:eastAsia="Times New Roman" w:cs="Times New Roman"/>
          <w:noProof/>
        </w:rPr>
        <w:t xml:space="preserve"> </w:t>
      </w:r>
      <w:r w:rsidR="005F4F32">
        <w:rPr>
          <w:rFonts w:eastAsia="Times New Roman" w:cs="Times New Roman"/>
          <w:noProof/>
        </w:rPr>
        <w:t>on consumers</w:t>
      </w:r>
      <w:r w:rsidRPr="59070993">
        <w:rPr>
          <w:rFonts w:eastAsia="Times New Roman" w:cs="Times New Roman"/>
          <w:noProof/>
        </w:rPr>
        <w:t xml:space="preserve"> would remain limited.</w:t>
      </w:r>
    </w:p>
    <w:p w14:paraId="22E06A1F" w14:textId="2A6E2D5A" w:rsidR="00DB3F9A" w:rsidRPr="00732666" w:rsidRDefault="003E302E" w:rsidP="296E22C2">
      <w:pPr>
        <w:spacing w:after="120"/>
        <w:rPr>
          <w:rFonts w:eastAsia="Times New Roman" w:cs="Times New Roman"/>
          <w:noProof/>
        </w:rPr>
      </w:pPr>
      <w:r>
        <w:rPr>
          <w:rFonts w:eastAsia="Times New Roman" w:cs="Times New Roman"/>
          <w:noProof/>
        </w:rPr>
        <w:t xml:space="preserve">Similarly, </w:t>
      </w:r>
      <w:r w:rsidR="005F4F32">
        <w:rPr>
          <w:rFonts w:eastAsia="Times New Roman" w:cs="Times New Roman"/>
          <w:noProof/>
        </w:rPr>
        <w:t xml:space="preserve">while </w:t>
      </w:r>
      <w:r>
        <w:rPr>
          <w:rFonts w:eastAsia="Times New Roman" w:cs="Times New Roman"/>
          <w:noProof/>
        </w:rPr>
        <w:t xml:space="preserve">Made in EU requirements </w:t>
      </w:r>
      <w:r w:rsidR="00493C6D">
        <w:rPr>
          <w:rFonts w:eastAsia="Times New Roman" w:cs="Times New Roman"/>
          <w:noProof/>
        </w:rPr>
        <w:t>for</w:t>
      </w:r>
      <w:r>
        <w:rPr>
          <w:rFonts w:eastAsia="Times New Roman" w:cs="Times New Roman"/>
          <w:noProof/>
        </w:rPr>
        <w:t xml:space="preserve"> electricity grid technologies </w:t>
      </w:r>
      <w:r w:rsidR="00AC5E49">
        <w:rPr>
          <w:rFonts w:eastAsia="Times New Roman" w:cs="Times New Roman"/>
          <w:noProof/>
        </w:rPr>
        <w:t>are</w:t>
      </w:r>
      <w:r w:rsidR="005052F9">
        <w:rPr>
          <w:rFonts w:eastAsia="Times New Roman" w:cs="Times New Roman"/>
          <w:noProof/>
        </w:rPr>
        <w:t xml:space="preserve"> expected to</w:t>
      </w:r>
      <w:r w:rsidR="009B1E89">
        <w:rPr>
          <w:rFonts w:eastAsia="Times New Roman" w:cs="Times New Roman"/>
          <w:noProof/>
        </w:rPr>
        <w:t xml:space="preserve"> result in increased</w:t>
      </w:r>
      <w:r>
        <w:rPr>
          <w:rFonts w:eastAsia="Times New Roman" w:cs="Times New Roman"/>
          <w:noProof/>
        </w:rPr>
        <w:t xml:space="preserve"> costs </w:t>
      </w:r>
      <w:r w:rsidR="005F4F32">
        <w:rPr>
          <w:rFonts w:eastAsia="Times New Roman" w:cs="Times New Roman"/>
          <w:noProof/>
        </w:rPr>
        <w:t xml:space="preserve">in </w:t>
      </w:r>
      <w:r w:rsidR="007C6CF7">
        <w:rPr>
          <w:rFonts w:eastAsia="Times New Roman" w:cs="Times New Roman"/>
          <w:noProof/>
        </w:rPr>
        <w:t>public procurement</w:t>
      </w:r>
      <w:r w:rsidR="00AC4079">
        <w:rPr>
          <w:rFonts w:eastAsia="Times New Roman" w:cs="Times New Roman"/>
          <w:noProof/>
        </w:rPr>
        <w:t xml:space="preserve">, determining how the </w:t>
      </w:r>
      <w:r w:rsidR="005000D1">
        <w:rPr>
          <w:rFonts w:eastAsia="Times New Roman" w:cs="Times New Roman"/>
          <w:noProof/>
        </w:rPr>
        <w:t>potential</w:t>
      </w:r>
      <w:r w:rsidR="00165390">
        <w:rPr>
          <w:rFonts w:eastAsia="Times New Roman" w:cs="Times New Roman"/>
          <w:noProof/>
        </w:rPr>
        <w:t xml:space="preserve"> </w:t>
      </w:r>
      <w:r w:rsidR="00AC4079">
        <w:rPr>
          <w:rFonts w:eastAsia="Times New Roman" w:cs="Times New Roman"/>
          <w:noProof/>
        </w:rPr>
        <w:t xml:space="preserve">higher CAPEX is </w:t>
      </w:r>
      <w:r w:rsidR="00165390">
        <w:rPr>
          <w:rFonts w:eastAsia="Times New Roman" w:cs="Times New Roman"/>
          <w:noProof/>
        </w:rPr>
        <w:t>passed</w:t>
      </w:r>
      <w:r w:rsidR="00AC4079">
        <w:rPr>
          <w:rFonts w:eastAsia="Times New Roman" w:cs="Times New Roman"/>
          <w:noProof/>
        </w:rPr>
        <w:t xml:space="preserve"> </w:t>
      </w:r>
      <w:r w:rsidR="005000D1">
        <w:rPr>
          <w:rFonts w:eastAsia="Times New Roman" w:cs="Times New Roman"/>
          <w:noProof/>
        </w:rPr>
        <w:t xml:space="preserve">on </w:t>
      </w:r>
      <w:r w:rsidR="00AC4079">
        <w:rPr>
          <w:rFonts w:eastAsia="Times New Roman" w:cs="Times New Roman"/>
          <w:noProof/>
        </w:rPr>
        <w:t>to consume</w:t>
      </w:r>
      <w:r w:rsidR="00D3196A">
        <w:rPr>
          <w:rFonts w:eastAsia="Times New Roman" w:cs="Times New Roman"/>
          <w:noProof/>
        </w:rPr>
        <w:t xml:space="preserve">rs </w:t>
      </w:r>
      <w:r w:rsidR="00AC4079">
        <w:rPr>
          <w:rFonts w:eastAsia="Times New Roman" w:cs="Times New Roman"/>
          <w:noProof/>
        </w:rPr>
        <w:t xml:space="preserve">is not </w:t>
      </w:r>
      <w:r w:rsidR="00D3196A">
        <w:rPr>
          <w:rFonts w:eastAsia="Times New Roman" w:cs="Times New Roman"/>
          <w:noProof/>
        </w:rPr>
        <w:t>straightforward</w:t>
      </w:r>
      <w:r w:rsidR="002A51C0">
        <w:rPr>
          <w:rFonts w:eastAsia="Times New Roman" w:cs="Times New Roman"/>
          <w:noProof/>
        </w:rPr>
        <w:t xml:space="preserve">. </w:t>
      </w:r>
      <w:r w:rsidR="008F7045">
        <w:rPr>
          <w:rFonts w:eastAsia="Times New Roman" w:cs="Times New Roman"/>
          <w:noProof/>
        </w:rPr>
        <w:t>On</w:t>
      </w:r>
      <w:r w:rsidR="005000D1">
        <w:rPr>
          <w:rFonts w:eastAsia="Times New Roman" w:cs="Times New Roman"/>
          <w:noProof/>
        </w:rPr>
        <w:t>c</w:t>
      </w:r>
      <w:r w:rsidR="008F7045">
        <w:rPr>
          <w:rFonts w:eastAsia="Times New Roman" w:cs="Times New Roman"/>
          <w:noProof/>
        </w:rPr>
        <w:t>e the additional costs associated to the fulfilment of Made in E</w:t>
      </w:r>
      <w:r w:rsidR="00B0156A">
        <w:rPr>
          <w:rFonts w:eastAsia="Times New Roman" w:cs="Times New Roman"/>
          <w:noProof/>
        </w:rPr>
        <w:t>U</w:t>
      </w:r>
      <w:r w:rsidR="008F7045">
        <w:rPr>
          <w:rFonts w:eastAsia="Times New Roman" w:cs="Times New Roman"/>
          <w:noProof/>
        </w:rPr>
        <w:t xml:space="preserve"> requirements for electricity grid technologies are taken into consideration, the </w:t>
      </w:r>
      <w:r w:rsidR="00F90C6A">
        <w:rPr>
          <w:rFonts w:eastAsia="Times New Roman" w:cs="Times New Roman"/>
          <w:noProof/>
        </w:rPr>
        <w:t>levelized cost of the electricity network</w:t>
      </w:r>
      <w:r w:rsidR="008F7045">
        <w:rPr>
          <w:rFonts w:eastAsia="Times New Roman" w:cs="Times New Roman"/>
          <w:noProof/>
        </w:rPr>
        <w:t xml:space="preserve"> i</w:t>
      </w:r>
      <w:r w:rsidR="003814DA">
        <w:rPr>
          <w:rFonts w:eastAsia="Times New Roman" w:cs="Times New Roman"/>
          <w:noProof/>
        </w:rPr>
        <w:t xml:space="preserve">s expected to </w:t>
      </w:r>
      <w:r w:rsidR="008F7BB4">
        <w:rPr>
          <w:rFonts w:eastAsia="Times New Roman" w:cs="Times New Roman"/>
          <w:noProof/>
        </w:rPr>
        <w:t>increase</w:t>
      </w:r>
      <w:r w:rsidR="003814DA">
        <w:rPr>
          <w:rFonts w:eastAsia="Times New Roman" w:cs="Times New Roman"/>
          <w:noProof/>
        </w:rPr>
        <w:t xml:space="preserve"> from 2</w:t>
      </w:r>
      <w:r w:rsidR="00DC66E2">
        <w:rPr>
          <w:rFonts w:eastAsia="Times New Roman" w:cs="Times New Roman"/>
          <w:noProof/>
        </w:rPr>
        <w:t>2.7</w:t>
      </w:r>
      <w:r w:rsidR="008F7BB4">
        <w:rPr>
          <w:rFonts w:eastAsia="Times New Roman" w:cs="Times New Roman"/>
          <w:noProof/>
        </w:rPr>
        <w:t xml:space="preserve"> EUR/MWh to </w:t>
      </w:r>
      <w:r w:rsidR="006E2B7F">
        <w:rPr>
          <w:rFonts w:eastAsia="Times New Roman" w:cs="Times New Roman"/>
          <w:noProof/>
        </w:rPr>
        <w:t>23-23.4</w:t>
      </w:r>
      <w:r w:rsidR="008F7BB4">
        <w:rPr>
          <w:rFonts w:eastAsia="Times New Roman" w:cs="Times New Roman"/>
          <w:noProof/>
        </w:rPr>
        <w:t xml:space="preserve"> EUR/MWh</w:t>
      </w:r>
      <w:r w:rsidR="00824217">
        <w:rPr>
          <w:rFonts w:eastAsia="Times New Roman" w:cs="Times New Roman"/>
          <w:noProof/>
        </w:rPr>
        <w:t xml:space="preserve"> (an increase </w:t>
      </w:r>
      <w:r w:rsidR="006E2B7F">
        <w:rPr>
          <w:rFonts w:eastAsia="Times New Roman" w:cs="Times New Roman"/>
          <w:noProof/>
        </w:rPr>
        <w:t>between 1% and 3%</w:t>
      </w:r>
      <w:r w:rsidR="00824217">
        <w:rPr>
          <w:rFonts w:eastAsia="Times New Roman" w:cs="Times New Roman"/>
          <w:noProof/>
        </w:rPr>
        <w:t>)</w:t>
      </w:r>
      <w:r w:rsidR="00B878A7">
        <w:rPr>
          <w:rStyle w:val="FootnoteReference"/>
          <w:rFonts w:eastAsia="Times New Roman" w:cs="Times New Roman"/>
          <w:noProof/>
        </w:rPr>
        <w:footnoteReference w:id="734"/>
      </w:r>
      <w:r w:rsidR="00502CCD">
        <w:rPr>
          <w:rFonts w:eastAsia="Times New Roman" w:cs="Times New Roman"/>
          <w:noProof/>
        </w:rPr>
        <w:t xml:space="preserve">. </w:t>
      </w:r>
      <w:r w:rsidR="00B2791C">
        <w:rPr>
          <w:rFonts w:eastAsia="Times New Roman" w:cs="Times New Roman"/>
          <w:noProof/>
        </w:rPr>
        <w:t xml:space="preserve">To </w:t>
      </w:r>
      <w:r w:rsidR="005A1957">
        <w:rPr>
          <w:rFonts w:eastAsia="Times New Roman" w:cs="Times New Roman"/>
          <w:noProof/>
        </w:rPr>
        <w:t>p</w:t>
      </w:r>
      <w:r w:rsidR="00B2791C">
        <w:rPr>
          <w:rFonts w:eastAsia="Times New Roman" w:cs="Times New Roman"/>
          <w:noProof/>
        </w:rPr>
        <w:t xml:space="preserve">ut </w:t>
      </w:r>
      <w:r w:rsidR="005A1957">
        <w:rPr>
          <w:rFonts w:eastAsia="Times New Roman" w:cs="Times New Roman"/>
          <w:noProof/>
        </w:rPr>
        <w:t>this in</w:t>
      </w:r>
      <w:r w:rsidR="00B2791C">
        <w:rPr>
          <w:rFonts w:eastAsia="Times New Roman" w:cs="Times New Roman"/>
          <w:noProof/>
        </w:rPr>
        <w:t xml:space="preserve"> perspective, for an average household such </w:t>
      </w:r>
      <w:r w:rsidR="005A1957">
        <w:rPr>
          <w:rFonts w:eastAsia="Times New Roman" w:cs="Times New Roman"/>
          <w:noProof/>
        </w:rPr>
        <w:t xml:space="preserve">an </w:t>
      </w:r>
      <w:r w:rsidR="00B2791C">
        <w:rPr>
          <w:rFonts w:eastAsia="Times New Roman" w:cs="Times New Roman"/>
          <w:noProof/>
        </w:rPr>
        <w:t>increase translates into</w:t>
      </w:r>
      <w:r w:rsidR="005A1957">
        <w:rPr>
          <w:rFonts w:eastAsia="Times New Roman" w:cs="Times New Roman"/>
          <w:noProof/>
        </w:rPr>
        <w:t xml:space="preserve"> an additional </w:t>
      </w:r>
      <w:r w:rsidR="001C60FE">
        <w:rPr>
          <w:rFonts w:eastAsia="Times New Roman" w:cs="Times New Roman"/>
          <w:noProof/>
        </w:rPr>
        <w:t xml:space="preserve">EUR </w:t>
      </w:r>
      <w:r w:rsidR="00835E06">
        <w:rPr>
          <w:rFonts w:eastAsia="Times New Roman" w:cs="Times New Roman"/>
          <w:noProof/>
        </w:rPr>
        <w:t>1-</w:t>
      </w:r>
      <w:r w:rsidR="001C60FE">
        <w:rPr>
          <w:rFonts w:eastAsia="Times New Roman" w:cs="Times New Roman"/>
          <w:noProof/>
        </w:rPr>
        <w:t xml:space="preserve">3 per year in network charges </w:t>
      </w:r>
      <w:r w:rsidR="005A1957">
        <w:rPr>
          <w:rFonts w:eastAsia="Times New Roman" w:cs="Times New Roman"/>
          <w:noProof/>
        </w:rPr>
        <w:t>o</w:t>
      </w:r>
      <w:r w:rsidR="001C60FE">
        <w:rPr>
          <w:rFonts w:eastAsia="Times New Roman" w:cs="Times New Roman"/>
          <w:noProof/>
        </w:rPr>
        <w:t xml:space="preserve">n the electricity bill. </w:t>
      </w:r>
    </w:p>
    <w:p w14:paraId="5934FB4A" w14:textId="77777777" w:rsidR="00F537BB" w:rsidRPr="00E758A7" w:rsidRDefault="00F537BB" w:rsidP="002433AA">
      <w:pPr>
        <w:pStyle w:val="Heading2"/>
        <w:numPr>
          <w:ilvl w:val="0"/>
          <w:numId w:val="0"/>
        </w:numPr>
        <w:ind w:left="720"/>
        <w:rPr>
          <w:sz w:val="28"/>
          <w:szCs w:val="28"/>
          <w:u w:val="single"/>
        </w:rPr>
      </w:pPr>
      <w:bookmarkStart w:id="1592" w:name="_Toc222490076"/>
      <w:r w:rsidRPr="00E758A7">
        <w:rPr>
          <w:sz w:val="28"/>
          <w:szCs w:val="28"/>
        </w:rPr>
        <w:t>The role of public procurement, auctions and public schemes in deploying net-zero technologies</w:t>
      </w:r>
      <w:bookmarkEnd w:id="1592"/>
      <w:r w:rsidRPr="00E758A7">
        <w:rPr>
          <w:sz w:val="28"/>
          <w:szCs w:val="28"/>
        </w:rPr>
        <w:t xml:space="preserve"> </w:t>
      </w:r>
    </w:p>
    <w:p w14:paraId="60992112" w14:textId="77777777" w:rsidR="00F537BB" w:rsidRPr="00075284" w:rsidRDefault="00F537BB" w:rsidP="00732666">
      <w:pPr>
        <w:spacing w:before="240"/>
        <w:rPr>
          <w:rFonts w:eastAsia="Times New Roman" w:cs="Times New Roman"/>
          <w:b/>
          <w:i/>
          <w:noProof/>
          <w:szCs w:val="24"/>
        </w:rPr>
      </w:pPr>
      <w:r w:rsidRPr="00075284">
        <w:rPr>
          <w:rFonts w:eastAsia="Times New Roman" w:cs="Times New Roman"/>
          <w:b/>
          <w:i/>
          <w:noProof/>
          <w:szCs w:val="24"/>
        </w:rPr>
        <w:t>Electrolysers</w:t>
      </w:r>
    </w:p>
    <w:p w14:paraId="773B2C99" w14:textId="25421FBB" w:rsidR="00732666" w:rsidRPr="00732666" w:rsidRDefault="00F537BB" w:rsidP="00C76855">
      <w:pPr>
        <w:rPr>
          <w:rFonts w:eastAsia="Times New Roman" w:cs="Times New Roman"/>
          <w:noProof/>
          <w:szCs w:val="24"/>
        </w:rPr>
      </w:pPr>
      <w:r w:rsidRPr="00732666">
        <w:rPr>
          <w:rFonts w:eastAsia="Times New Roman" w:cs="Times New Roman"/>
          <w:noProof/>
          <w:szCs w:val="24"/>
        </w:rPr>
        <w:t xml:space="preserve">Public procurement, auctions and public support schemes to households account for almost none of the deployed electrolyser capacity. Most of the current capacity has been supported through State Aid, while programs such as Horizon Europe and the Innovation Fund have also contributed. Although auctions for hydrogen have been conducted, no capacity has yet been deployed through this method. </w:t>
      </w:r>
    </w:p>
    <w:p w14:paraId="43747C29" w14:textId="77777777" w:rsidR="00F537BB" w:rsidRPr="00075284" w:rsidRDefault="00F537BB" w:rsidP="00075284">
      <w:pPr>
        <w:spacing w:before="240"/>
        <w:rPr>
          <w:rFonts w:eastAsia="Times New Roman" w:cs="Times New Roman"/>
          <w:b/>
          <w:i/>
          <w:noProof/>
          <w:szCs w:val="24"/>
        </w:rPr>
      </w:pPr>
      <w:r w:rsidRPr="00075284">
        <w:rPr>
          <w:rFonts w:eastAsia="Times New Roman" w:cs="Times New Roman"/>
          <w:b/>
          <w:i/>
          <w:noProof/>
          <w:szCs w:val="24"/>
        </w:rPr>
        <w:t>Heat pumps</w:t>
      </w:r>
    </w:p>
    <w:p w14:paraId="13AC2AA1" w14:textId="6FA7D024" w:rsidR="00732666" w:rsidRPr="00732666" w:rsidRDefault="00F537BB" w:rsidP="00C76855">
      <w:pPr>
        <w:rPr>
          <w:rFonts w:cs="Times New Roman"/>
          <w:noProof/>
          <w:szCs w:val="24"/>
        </w:rPr>
      </w:pPr>
      <w:r w:rsidRPr="59070993">
        <w:rPr>
          <w:rFonts w:cs="Times New Roman"/>
          <w:noProof/>
        </w:rPr>
        <w:t>While precise data on the share of heat pump deployment covered by public procurement, auctions, and public support schemes is unavailable, it is evident that public support schemes currently play the most significant role in heat pump deployment. Though auctions are not yet implemented, they are anticipated to gain relevance, also as part of the Innovation Fund auction to decarbonise industrial heat</w:t>
      </w:r>
      <w:r w:rsidR="002B1260">
        <w:rPr>
          <w:rStyle w:val="FootnoteReference"/>
          <w:noProof/>
        </w:rPr>
        <w:footnoteReference w:id="735"/>
      </w:r>
      <w:r w:rsidRPr="59070993">
        <w:rPr>
          <w:rFonts w:cs="Times New Roman"/>
          <w:noProof/>
        </w:rPr>
        <w:t>. Public procurement, although presently modest in scale, is expected to become increasingly significant, especially in light of the Energy Performance of Building Directive, which aims to bolster energy efficiency and heat pump use.</w:t>
      </w:r>
    </w:p>
    <w:p w14:paraId="3C0CA83F" w14:textId="77777777" w:rsidR="00F537BB" w:rsidRPr="00075284" w:rsidRDefault="00F537BB" w:rsidP="00075284">
      <w:pPr>
        <w:spacing w:before="240"/>
        <w:rPr>
          <w:rFonts w:eastAsia="Times New Roman" w:cs="Times New Roman"/>
          <w:b/>
          <w:i/>
          <w:noProof/>
          <w:szCs w:val="24"/>
        </w:rPr>
      </w:pPr>
      <w:r w:rsidRPr="00075284">
        <w:rPr>
          <w:rFonts w:eastAsia="Times New Roman" w:cs="Times New Roman"/>
          <w:b/>
          <w:i/>
          <w:noProof/>
          <w:szCs w:val="24"/>
        </w:rPr>
        <w:t>Nuclear fission energy technologies</w:t>
      </w:r>
    </w:p>
    <w:p w14:paraId="110B7594" w14:textId="3F485603" w:rsidR="00732666" w:rsidRPr="00732666" w:rsidRDefault="00F537BB" w:rsidP="00C76855">
      <w:pPr>
        <w:rPr>
          <w:rFonts w:cs="Times New Roman"/>
          <w:noProof/>
          <w:szCs w:val="24"/>
        </w:rPr>
      </w:pPr>
      <w:r w:rsidRPr="00732666">
        <w:rPr>
          <w:rFonts w:cs="Times New Roman"/>
          <w:noProof/>
          <w:szCs w:val="24"/>
        </w:rPr>
        <w:t xml:space="preserve">Though exact data is lacking, the deployment of nuclear fission power plants typically includes various forms of State aid, mainly through Article 107 of the TFEU. Public procurement is pivotal in this sector, as utilities are mandated by Procurement Directive 2014/25/EU to follow public procurement procedures when sourcing nuclear components. In practice, public utilities and partially public utilities often regard public procurement rules overly restrictive, especially for critical products and equipment, possibly leading them to seek exemptions based on national security or technology exclusivity. </w:t>
      </w:r>
    </w:p>
    <w:p w14:paraId="166C444C" w14:textId="77777777" w:rsidR="00F537BB" w:rsidRPr="00D04AD4" w:rsidRDefault="00F537BB" w:rsidP="00D04AD4">
      <w:pPr>
        <w:spacing w:before="240"/>
        <w:rPr>
          <w:rFonts w:eastAsia="Times New Roman" w:cs="Times New Roman"/>
          <w:b/>
          <w:i/>
          <w:noProof/>
          <w:szCs w:val="24"/>
        </w:rPr>
      </w:pPr>
      <w:r w:rsidRPr="00D04AD4">
        <w:rPr>
          <w:rFonts w:eastAsia="Times New Roman" w:cs="Times New Roman"/>
          <w:b/>
          <w:i/>
          <w:noProof/>
          <w:szCs w:val="24"/>
        </w:rPr>
        <w:t>Solar thermal technologies</w:t>
      </w:r>
    </w:p>
    <w:p w14:paraId="14F7F1C7" w14:textId="00069709" w:rsidR="00732666" w:rsidRPr="00732666" w:rsidRDefault="00F537BB" w:rsidP="00C76855">
      <w:pPr>
        <w:rPr>
          <w:rFonts w:cs="Times New Roman"/>
          <w:noProof/>
          <w:szCs w:val="24"/>
        </w:rPr>
      </w:pPr>
      <w:r w:rsidRPr="00732666">
        <w:rPr>
          <w:rFonts w:cs="Times New Roman"/>
          <w:noProof/>
          <w:szCs w:val="24"/>
        </w:rPr>
        <w:t xml:space="preserve">While precise deployment data through public procurement, auctions, and public support schemes is not available, public support schemes are evidently the primary in solar thermal technologies deployment. Though auctions are not yet implemented, they are anticipated to gain relevance, also as part of the </w:t>
      </w:r>
      <w:r w:rsidRPr="000E70EB">
        <w:rPr>
          <w:rFonts w:cs="Times New Roman"/>
          <w:noProof/>
          <w:szCs w:val="24"/>
        </w:rPr>
        <w:t>Innovation Fund auction to decarbonise industrial heat</w:t>
      </w:r>
      <w:r w:rsidR="000E70EB" w:rsidRPr="000E70EB">
        <w:rPr>
          <w:rFonts w:cs="Times New Roman"/>
          <w:noProof/>
          <w:szCs w:val="24"/>
          <w:vertAlign w:val="superscript"/>
        </w:rPr>
        <w:t>695</w:t>
      </w:r>
      <w:r w:rsidRPr="00732666">
        <w:rPr>
          <w:rFonts w:cs="Times New Roman"/>
          <w:noProof/>
          <w:szCs w:val="24"/>
        </w:rPr>
        <w:t>. Public procurement, although presently modest in scale, is expected to become increasingly significant, especially in light of the Energy Performance of Building Directive, which aims to bolster energy efficiency and solar thermal systems.</w:t>
      </w:r>
    </w:p>
    <w:p w14:paraId="4E5B3B0A" w14:textId="77777777" w:rsidR="00F537BB" w:rsidRPr="00452AAC" w:rsidRDefault="00F537BB" w:rsidP="00452AAC">
      <w:pPr>
        <w:spacing w:before="240"/>
        <w:rPr>
          <w:rFonts w:eastAsia="Times New Roman" w:cs="Times New Roman"/>
          <w:b/>
          <w:i/>
          <w:noProof/>
          <w:szCs w:val="24"/>
        </w:rPr>
      </w:pPr>
      <w:r w:rsidRPr="00452AAC">
        <w:rPr>
          <w:rFonts w:eastAsia="Times New Roman" w:cs="Times New Roman"/>
          <w:b/>
          <w:i/>
          <w:noProof/>
          <w:szCs w:val="24"/>
        </w:rPr>
        <w:t>Wind technologies</w:t>
      </w:r>
    </w:p>
    <w:p w14:paraId="68ECEFCF" w14:textId="29E7B3C1" w:rsidR="00B218BF" w:rsidRPr="00732666" w:rsidRDefault="00F537BB" w:rsidP="00C76855">
      <w:pPr>
        <w:rPr>
          <w:rFonts w:cs="Times New Roman"/>
          <w:noProof/>
          <w:szCs w:val="24"/>
        </w:rPr>
      </w:pPr>
      <w:r w:rsidRPr="00732666">
        <w:rPr>
          <w:rFonts w:cs="Times New Roman"/>
          <w:noProof/>
          <w:szCs w:val="24"/>
        </w:rPr>
        <w:t>Auctions are the predominant allocation mechanism for wind energy in the EU, accounting for about 60% of total wind energy deployment depending on the year. Exact data on public procurement of wind energy is not available, but while Denmark prominently uses it and Finland makes limited use of it, other Member States reliance on public procurement to deploy wind energy is negligible. Publicly owned utilities are also found to apply public procurement to deploy wind energy, however no data is available on the size of that market. Member States other than Denmark generally rely on auctions to deploy wind energy. Public support schemes hold little relevance for onshore and offshore wind energy deployment.</w:t>
      </w:r>
    </w:p>
    <w:p w14:paraId="7611D7BF" w14:textId="77777777" w:rsidR="00F537BB" w:rsidRPr="00452AAC" w:rsidRDefault="00F537BB" w:rsidP="00452AAC">
      <w:pPr>
        <w:spacing w:before="240"/>
        <w:rPr>
          <w:rFonts w:eastAsia="Times New Roman" w:cs="Times New Roman"/>
          <w:b/>
          <w:i/>
          <w:noProof/>
          <w:szCs w:val="24"/>
        </w:rPr>
      </w:pPr>
      <w:r w:rsidRPr="00452AAC">
        <w:rPr>
          <w:rFonts w:eastAsia="Times New Roman" w:cs="Times New Roman"/>
          <w:b/>
          <w:i/>
          <w:noProof/>
          <w:szCs w:val="24"/>
        </w:rPr>
        <w:t>Electricity grid technologies</w:t>
      </w:r>
    </w:p>
    <w:p w14:paraId="258EB199" w14:textId="5597816A" w:rsidR="00F537BB" w:rsidRPr="00141B3D" w:rsidRDefault="00F537BB" w:rsidP="000E70EB">
      <w:pPr>
        <w:spacing w:after="120"/>
        <w:rPr>
          <w:rFonts w:eastAsiaTheme="majorEastAsia"/>
          <w:noProof/>
          <w:sz w:val="22"/>
        </w:rPr>
      </w:pPr>
      <w:r w:rsidRPr="00732666">
        <w:rPr>
          <w:rStyle w:val="normaltextrun"/>
          <w:rFonts w:eastAsiaTheme="majorEastAsia" w:cs="Times New Roman"/>
          <w:noProof/>
          <w:szCs w:val="24"/>
        </w:rPr>
        <w:t xml:space="preserve">In the EU, most deployment of electricity grid technologies is done by Transmission System Operators (TSOs), which are normally public undertakings that operate through public procurement processes abiding to Regulation 2014/25/EU. </w:t>
      </w:r>
      <w:r w:rsidRPr="00141B3D">
        <w:rPr>
          <w:rFonts w:eastAsiaTheme="majorEastAsia"/>
          <w:noProof/>
          <w:sz w:val="22"/>
        </w:rPr>
        <w:t>Notably, over 70% of new transmission cables are expected to comply with these public procurement rules.</w:t>
      </w:r>
    </w:p>
    <w:p w14:paraId="606E4E85" w14:textId="15609D3B" w:rsidR="000E70EB" w:rsidRPr="00732666" w:rsidRDefault="00F537BB" w:rsidP="000E70EB">
      <w:pPr>
        <w:spacing w:after="120"/>
        <w:rPr>
          <w:rStyle w:val="normaltextrun"/>
          <w:rFonts w:eastAsiaTheme="majorEastAsia"/>
          <w:noProof/>
        </w:rPr>
      </w:pPr>
      <w:r w:rsidRPr="00732666">
        <w:rPr>
          <w:rStyle w:val="normaltextrun"/>
          <w:rFonts w:eastAsiaTheme="majorEastAsia"/>
          <w:noProof/>
        </w:rPr>
        <w:t>At the European distribution network level, approximately two-thirds of the European electricity grid infrastructure is operated by 19 corporate groups from the energy sector. Of these, 11 are majority publicly owned and eight are privately owned. At present, this means that approximately 2.837 million kilometers of distribution networks are operated by the 11 public operators and 4.813 million kilometers by private suppliers.</w:t>
      </w:r>
    </w:p>
    <w:p w14:paraId="2B50C56D" w14:textId="77777777" w:rsidR="00F537BB" w:rsidRPr="00E758A7" w:rsidRDefault="00F537BB" w:rsidP="002433AA">
      <w:pPr>
        <w:pStyle w:val="Heading2"/>
        <w:numPr>
          <w:ilvl w:val="0"/>
          <w:numId w:val="0"/>
        </w:numPr>
        <w:ind w:left="720"/>
        <w:rPr>
          <w:b w:val="0"/>
          <w:szCs w:val="22"/>
        </w:rPr>
      </w:pPr>
      <w:bookmarkStart w:id="1593" w:name="_Toc222490077"/>
      <w:r w:rsidRPr="00E758A7">
        <w:rPr>
          <w:sz w:val="28"/>
          <w:szCs w:val="22"/>
        </w:rPr>
        <w:t>EU trade balance</w:t>
      </w:r>
      <w:bookmarkEnd w:id="1593"/>
    </w:p>
    <w:p w14:paraId="54B2AA42" w14:textId="77777777" w:rsidR="00F537BB" w:rsidRPr="001807A7" w:rsidRDefault="00F537BB" w:rsidP="00B218BF">
      <w:pPr>
        <w:spacing w:before="240"/>
        <w:rPr>
          <w:rFonts w:eastAsia="Times New Roman" w:cs="Times New Roman"/>
          <w:b/>
          <w:i/>
          <w:noProof/>
          <w:szCs w:val="24"/>
        </w:rPr>
      </w:pPr>
      <w:r w:rsidRPr="001807A7">
        <w:rPr>
          <w:rFonts w:eastAsia="Times New Roman" w:cs="Times New Roman"/>
          <w:b/>
          <w:i/>
          <w:noProof/>
          <w:szCs w:val="24"/>
        </w:rPr>
        <w:t>Electrolysers</w:t>
      </w:r>
    </w:p>
    <w:p w14:paraId="20C9AAC3" w14:textId="248BDF30" w:rsidR="00B218BF" w:rsidRPr="001807A7" w:rsidRDefault="00F537BB" w:rsidP="00C76855">
      <w:pPr>
        <w:rPr>
          <w:rFonts w:eastAsia="Times New Roman" w:cs="Times New Roman"/>
          <w:noProof/>
          <w:szCs w:val="24"/>
        </w:rPr>
      </w:pPr>
      <w:r w:rsidRPr="59070993">
        <w:rPr>
          <w:rFonts w:eastAsia="Times New Roman" w:cs="Times New Roman"/>
          <w:noProof/>
        </w:rPr>
        <w:t>In 2024, nearly 90% of electrolysers deployed in Europe were domestically manufactured. Nevertheless, there is a significant risk of increased reliance on Chinese imports, which could jeopardize the EU’s security of supply. This concern is underscored by comparing current and projected global supply and demand trends, alongside China's dominance. Chinese production capacity exceeds 50% of global production</w:t>
      </w:r>
      <w:r w:rsidRPr="59070993">
        <w:rPr>
          <w:rFonts w:cs="Times New Roman"/>
          <w:noProof/>
        </w:rPr>
        <w:t>,</w:t>
      </w:r>
      <w:r w:rsidRPr="59070993">
        <w:rPr>
          <w:rFonts w:eastAsia="Times New Roman" w:cs="Times New Roman"/>
          <w:noProof/>
        </w:rPr>
        <w:t xml:space="preserve"> its projected production significantly exceeds its domestic deployment targets and foreseeable demand, which could influence international markets and trade dependencies</w:t>
      </w:r>
      <w:r w:rsidR="007C0ED7" w:rsidRPr="59070993">
        <w:rPr>
          <w:rStyle w:val="FootnoteReference"/>
          <w:rFonts w:eastAsia="Times New Roman" w:cs="Times New Roman"/>
          <w:noProof/>
        </w:rPr>
        <w:footnoteReference w:id="736"/>
      </w:r>
      <w:r w:rsidRPr="59070993">
        <w:rPr>
          <w:rFonts w:eastAsia="Times New Roman" w:cs="Times New Roman"/>
          <w:noProof/>
        </w:rPr>
        <w:t>. To mitigate these risks, the EU must strategically bolster local production to develop a robust domestic supply chain.</w:t>
      </w:r>
    </w:p>
    <w:p w14:paraId="1065E52E" w14:textId="77777777" w:rsidR="00F537BB" w:rsidRPr="001807A7" w:rsidRDefault="00F537BB" w:rsidP="001807A7">
      <w:pPr>
        <w:spacing w:before="240"/>
        <w:rPr>
          <w:rFonts w:eastAsia="Times New Roman" w:cs="Times New Roman"/>
          <w:b/>
          <w:i/>
          <w:noProof/>
          <w:szCs w:val="24"/>
        </w:rPr>
      </w:pPr>
      <w:r w:rsidRPr="001807A7">
        <w:rPr>
          <w:rFonts w:eastAsia="Times New Roman" w:cs="Times New Roman"/>
          <w:b/>
          <w:i/>
          <w:noProof/>
          <w:szCs w:val="24"/>
        </w:rPr>
        <w:t>Heat pumps</w:t>
      </w:r>
    </w:p>
    <w:p w14:paraId="38C250E5" w14:textId="5AF0996F" w:rsidR="00B218BF" w:rsidRPr="00732666" w:rsidRDefault="00F537BB" w:rsidP="00C76855">
      <w:pPr>
        <w:rPr>
          <w:rFonts w:cs="Times New Roman"/>
          <w:noProof/>
          <w:szCs w:val="24"/>
        </w:rPr>
      </w:pPr>
      <w:r w:rsidRPr="59070993">
        <w:rPr>
          <w:rFonts w:cs="Times New Roman"/>
          <w:noProof/>
        </w:rPr>
        <w:t>The EU is a net importer of hydronic heat pumps (EUR 580 million in 2024), mainly from China. However, this EU trade deficit does not yet indicate concerning dependencies: the EU relied on third countries for 22% of the total EU supply in 2023</w:t>
      </w:r>
      <w:r w:rsidR="00F94263" w:rsidRPr="59070993">
        <w:rPr>
          <w:rStyle w:val="FootnoteReference"/>
          <w:rFonts w:cs="Times New Roman"/>
          <w:noProof/>
        </w:rPr>
        <w:footnoteReference w:id="737"/>
      </w:r>
      <w:r w:rsidRPr="59070993">
        <w:rPr>
          <w:rFonts w:cs="Times New Roman"/>
          <w:noProof/>
        </w:rPr>
        <w:t xml:space="preserve">. In contrast, the EU exhibits pronounced dependency for air-to-air heat pumps (EUR 560 million of trade deficit in 2024), mainly from China, due to limited domestic manufacturing capacity. </w:t>
      </w:r>
    </w:p>
    <w:p w14:paraId="4DB774E9" w14:textId="77777777" w:rsidR="00F537BB" w:rsidRPr="00B0751C" w:rsidRDefault="00F537BB" w:rsidP="00C66210">
      <w:pPr>
        <w:spacing w:before="240"/>
        <w:rPr>
          <w:rFonts w:eastAsia="Times New Roman" w:cs="Times New Roman"/>
          <w:b/>
          <w:i/>
          <w:noProof/>
          <w:szCs w:val="24"/>
        </w:rPr>
      </w:pPr>
      <w:r w:rsidRPr="00B0751C">
        <w:rPr>
          <w:rFonts w:eastAsia="Times New Roman" w:cs="Times New Roman"/>
          <w:b/>
          <w:i/>
          <w:noProof/>
          <w:szCs w:val="24"/>
        </w:rPr>
        <w:t>Nuclear fission energy technologies</w:t>
      </w:r>
    </w:p>
    <w:p w14:paraId="1BC8B631" w14:textId="7E287844" w:rsidR="00B218BF" w:rsidRPr="00B012C9" w:rsidRDefault="00F537BB" w:rsidP="00C76855">
      <w:pPr>
        <w:rPr>
          <w:rFonts w:cs="Times New Roman"/>
          <w:noProof/>
        </w:rPr>
      </w:pPr>
      <w:r w:rsidRPr="00B012C9">
        <w:rPr>
          <w:rFonts w:cs="Times New Roman"/>
          <w:noProof/>
        </w:rPr>
        <w:t xml:space="preserve">The EU is a net importer of nuclear fission fuel elements (EUR 63 million in 2024), mainly from Russia. Imports of other fission nuclear components to the EU remain limited, correlating with the restrained nuclear deployment within the region. </w:t>
      </w:r>
    </w:p>
    <w:p w14:paraId="17D4A577" w14:textId="77777777" w:rsidR="00F537BB" w:rsidRPr="00B0751C" w:rsidRDefault="00F537BB" w:rsidP="00C66210">
      <w:pPr>
        <w:spacing w:before="240"/>
        <w:rPr>
          <w:rFonts w:eastAsia="Times New Roman" w:cs="Times New Roman"/>
          <w:b/>
          <w:i/>
          <w:noProof/>
          <w:szCs w:val="24"/>
        </w:rPr>
      </w:pPr>
      <w:r w:rsidRPr="00B0751C">
        <w:rPr>
          <w:rFonts w:eastAsia="Times New Roman" w:cs="Times New Roman"/>
          <w:b/>
          <w:i/>
          <w:noProof/>
          <w:szCs w:val="24"/>
        </w:rPr>
        <w:t>Solar thermal technologies</w:t>
      </w:r>
    </w:p>
    <w:p w14:paraId="05CC91CD" w14:textId="0E96983A" w:rsidR="00B218BF" w:rsidRPr="00732666" w:rsidRDefault="00F537BB" w:rsidP="00C76855">
      <w:pPr>
        <w:rPr>
          <w:rFonts w:cs="Times New Roman"/>
          <w:noProof/>
          <w:szCs w:val="24"/>
        </w:rPr>
      </w:pPr>
      <w:r w:rsidRPr="00732666">
        <w:rPr>
          <w:rFonts w:cs="Times New Roman"/>
          <w:noProof/>
          <w:szCs w:val="24"/>
        </w:rPr>
        <w:t>The EU is a net exporter of solar thermal technologies (EUR 170 million in 2024), mainly to Switzerland. This positive trade balance highlights the quality and innovation within the EU's solar thermal sector, suggesting opportunities to further expand export markets.</w:t>
      </w:r>
    </w:p>
    <w:p w14:paraId="505A96B4" w14:textId="77777777" w:rsidR="00F537BB" w:rsidRPr="00B0751C" w:rsidRDefault="00F537BB" w:rsidP="00C66210">
      <w:pPr>
        <w:spacing w:before="240"/>
        <w:rPr>
          <w:rFonts w:eastAsia="Times New Roman" w:cs="Times New Roman"/>
          <w:b/>
          <w:i/>
          <w:noProof/>
          <w:szCs w:val="24"/>
        </w:rPr>
      </w:pPr>
      <w:r w:rsidRPr="00B0751C">
        <w:rPr>
          <w:rFonts w:eastAsia="Times New Roman" w:cs="Times New Roman"/>
          <w:b/>
          <w:i/>
          <w:noProof/>
          <w:szCs w:val="24"/>
        </w:rPr>
        <w:t>Wind technologies</w:t>
      </w:r>
    </w:p>
    <w:p w14:paraId="17B9FDE7" w14:textId="77777777" w:rsidR="00B218BF" w:rsidRDefault="00F537BB" w:rsidP="00F94263">
      <w:pPr>
        <w:spacing w:after="120"/>
        <w:rPr>
          <w:rFonts w:eastAsia="Times New Roman" w:cs="Times New Roman"/>
          <w:noProof/>
          <w:szCs w:val="24"/>
        </w:rPr>
      </w:pPr>
      <w:r w:rsidRPr="00732666">
        <w:rPr>
          <w:rFonts w:eastAsia="Times New Roman" w:cs="Times New Roman"/>
          <w:noProof/>
          <w:szCs w:val="24"/>
        </w:rPr>
        <w:t xml:space="preserve">The global market share of EU manufacturers is declining rapidly: from 30% in 2022 it fell to 23% in 2023, while Chinese manufacturers increased their share from 46% to 55%. EU companies continue to dominate in the EU with a market share of 89% in 2023.  </w:t>
      </w:r>
      <w:r w:rsidRPr="00732666">
        <w:rPr>
          <w:rFonts w:eastAsia="Times New Roman" w:cs="Times New Roman"/>
          <w:noProof/>
          <w:szCs w:val="24"/>
        </w:rPr>
        <w:tab/>
      </w:r>
    </w:p>
    <w:p w14:paraId="1513C793" w14:textId="4F165FD9" w:rsidR="00B218BF" w:rsidRPr="00732666" w:rsidRDefault="00F537BB" w:rsidP="00C66210">
      <w:pPr>
        <w:spacing w:after="120"/>
        <w:rPr>
          <w:rFonts w:eastAsia="Times New Roman" w:cs="Times New Roman"/>
          <w:noProof/>
          <w:szCs w:val="24"/>
        </w:rPr>
      </w:pPr>
      <w:r w:rsidRPr="00732666">
        <w:rPr>
          <w:rFonts w:eastAsia="Times New Roman" w:cs="Times New Roman"/>
          <w:noProof/>
          <w:szCs w:val="24"/>
        </w:rPr>
        <w:t>The EU is still a net exporter of wind turbines and many of its underlying components. However, it faces a severe dependency for permanent magnets (used in wind turbine generators), which are almost entirely imported from China.</w:t>
      </w:r>
    </w:p>
    <w:p w14:paraId="45BF9EF5" w14:textId="77777777" w:rsidR="00F537BB" w:rsidRPr="00C66210" w:rsidRDefault="00F537BB" w:rsidP="00B012C9">
      <w:pPr>
        <w:spacing w:before="240" w:after="120"/>
        <w:rPr>
          <w:rFonts w:eastAsia="Times New Roman" w:cs="Times New Roman"/>
          <w:b/>
          <w:i/>
          <w:noProof/>
          <w:szCs w:val="24"/>
        </w:rPr>
      </w:pPr>
      <w:r w:rsidRPr="00C66210">
        <w:rPr>
          <w:rFonts w:eastAsia="Times New Roman" w:cs="Times New Roman"/>
          <w:b/>
          <w:i/>
          <w:noProof/>
          <w:szCs w:val="24"/>
        </w:rPr>
        <w:t>Electricity grid technologies</w:t>
      </w:r>
    </w:p>
    <w:p w14:paraId="10E03A9C" w14:textId="02E9B65F" w:rsidR="000A7E8E" w:rsidRPr="00B012C9" w:rsidRDefault="00F537BB" w:rsidP="00B012C9">
      <w:pPr>
        <w:spacing w:after="120"/>
        <w:rPr>
          <w:rFonts w:cs="Times New Roman"/>
          <w:noProof/>
        </w:rPr>
      </w:pPr>
      <w:r w:rsidRPr="00B012C9">
        <w:rPr>
          <w:rFonts w:cs="Times New Roman"/>
          <w:noProof/>
        </w:rPr>
        <w:t xml:space="preserve">The EU faces a trade deficit for inverters and converters, importing </w:t>
      </w:r>
      <w:r w:rsidR="001F68C8" w:rsidRPr="00B012C9">
        <w:rPr>
          <w:rFonts w:cs="Times New Roman"/>
          <w:noProof/>
        </w:rPr>
        <w:t xml:space="preserve">large volumes of </w:t>
      </w:r>
      <w:r w:rsidRPr="00B012C9">
        <w:rPr>
          <w:rFonts w:cs="Times New Roman"/>
          <w:noProof/>
        </w:rPr>
        <w:t xml:space="preserve">these </w:t>
      </w:r>
      <w:r w:rsidR="001F68C8" w:rsidRPr="00B012C9">
        <w:rPr>
          <w:rFonts w:cs="Times New Roman"/>
          <w:noProof/>
        </w:rPr>
        <w:t>products</w:t>
      </w:r>
      <w:r w:rsidRPr="00B012C9">
        <w:rPr>
          <w:rFonts w:cs="Times New Roman"/>
          <w:noProof/>
        </w:rPr>
        <w:t xml:space="preserve"> from China. For most other electricity grid </w:t>
      </w:r>
      <w:r w:rsidR="001F68C8" w:rsidRPr="00B012C9">
        <w:rPr>
          <w:rFonts w:cs="Times New Roman"/>
          <w:noProof/>
        </w:rPr>
        <w:t>technologies</w:t>
      </w:r>
      <w:r w:rsidRPr="00B012C9">
        <w:rPr>
          <w:rFonts w:cs="Times New Roman"/>
          <w:noProof/>
        </w:rPr>
        <w:t>, the EU has a positive trade balance, exporting mostly to the Unites States and the United Kingdom.</w:t>
      </w:r>
      <w:r w:rsidR="00BF60F7" w:rsidRPr="00B012C9">
        <w:rPr>
          <w:rFonts w:cs="Times New Roman"/>
          <w:noProof/>
        </w:rPr>
        <w:t xml:space="preserve"> However, </w:t>
      </w:r>
      <w:r w:rsidR="00653470" w:rsidRPr="00B012C9">
        <w:rPr>
          <w:rFonts w:cs="Times New Roman"/>
          <w:noProof/>
        </w:rPr>
        <w:t>for certain</w:t>
      </w:r>
      <w:r w:rsidR="00697494" w:rsidRPr="00B012C9">
        <w:rPr>
          <w:rFonts w:cs="Times New Roman"/>
          <w:noProof/>
        </w:rPr>
        <w:t xml:space="preserve"> electricity grid technologies </w:t>
      </w:r>
      <w:r w:rsidR="00BF60F7" w:rsidRPr="00B012C9">
        <w:rPr>
          <w:rFonts w:cs="Times New Roman"/>
          <w:noProof/>
        </w:rPr>
        <w:t>there is a</w:t>
      </w:r>
      <w:r w:rsidR="00ED05AD" w:rsidRPr="00B012C9">
        <w:rPr>
          <w:rFonts w:cs="Times New Roman"/>
          <w:noProof/>
        </w:rPr>
        <w:t xml:space="preserve"> significant risk of increased reliance on Chinese imports, which could jeopardize the </w:t>
      </w:r>
      <w:r w:rsidR="00D16915" w:rsidRPr="00B012C9">
        <w:rPr>
          <w:rFonts w:cs="Times New Roman"/>
          <w:noProof/>
        </w:rPr>
        <w:t>resilience, reliability and cyber-security of the EU electricity system.</w:t>
      </w:r>
      <w:r w:rsidR="00B11462" w:rsidRPr="00B012C9">
        <w:rPr>
          <w:rFonts w:cs="Times New Roman"/>
          <w:noProof/>
        </w:rPr>
        <w:t xml:space="preserve"> For instance, for high</w:t>
      </w:r>
      <w:r w:rsidR="0036349A">
        <w:rPr>
          <w:rFonts w:cs="Times New Roman"/>
          <w:noProof/>
        </w:rPr>
        <w:t xml:space="preserve"> </w:t>
      </w:r>
      <w:r w:rsidR="00B11462" w:rsidRPr="00B012C9">
        <w:rPr>
          <w:rFonts w:cs="Times New Roman"/>
          <w:noProof/>
        </w:rPr>
        <w:t>voltage</w:t>
      </w:r>
      <w:r w:rsidR="0036349A">
        <w:rPr>
          <w:rFonts w:cs="Times New Roman"/>
          <w:noProof/>
        </w:rPr>
        <w:t>, extra-high voltage and medium voltage array</w:t>
      </w:r>
      <w:r w:rsidR="00B81FA3" w:rsidRPr="00B012C9">
        <w:rPr>
          <w:rFonts w:cs="Times New Roman"/>
          <w:noProof/>
        </w:rPr>
        <w:t xml:space="preserve"> subsea cables</w:t>
      </w:r>
      <w:r w:rsidR="00230096" w:rsidRPr="00B012C9">
        <w:rPr>
          <w:rFonts w:cs="Times New Roman"/>
          <w:noProof/>
        </w:rPr>
        <w:t xml:space="preserve"> China has developed </w:t>
      </w:r>
      <w:r w:rsidR="00C229F9" w:rsidRPr="00B012C9">
        <w:rPr>
          <w:rFonts w:cs="Times New Roman"/>
          <w:noProof/>
        </w:rPr>
        <w:t xml:space="preserve">a </w:t>
      </w:r>
      <w:r w:rsidR="00A61326" w:rsidRPr="00B012C9">
        <w:rPr>
          <w:rFonts w:cs="Times New Roman"/>
          <w:noProof/>
        </w:rPr>
        <w:t>manufacturing</w:t>
      </w:r>
      <w:r w:rsidR="00C229F9" w:rsidRPr="00B012C9">
        <w:rPr>
          <w:rFonts w:cs="Times New Roman"/>
          <w:noProof/>
        </w:rPr>
        <w:t xml:space="preserve"> capacity </w:t>
      </w:r>
      <w:r w:rsidR="00011EF3">
        <w:rPr>
          <w:rFonts w:cs="Times New Roman"/>
          <w:noProof/>
        </w:rPr>
        <w:t>(</w:t>
      </w:r>
      <w:r w:rsidR="00416263">
        <w:rPr>
          <w:rFonts w:cs="Times New Roman"/>
          <w:noProof/>
        </w:rPr>
        <w:t>about 11 000 km/year</w:t>
      </w:r>
      <w:r w:rsidR="00747877">
        <w:rPr>
          <w:rStyle w:val="FootnoteReference"/>
          <w:rFonts w:cs="Times New Roman"/>
          <w:noProof/>
        </w:rPr>
        <w:footnoteReference w:id="738"/>
      </w:r>
      <w:r w:rsidR="00416263">
        <w:rPr>
          <w:rFonts w:cs="Times New Roman"/>
          <w:noProof/>
        </w:rPr>
        <w:t xml:space="preserve">) </w:t>
      </w:r>
      <w:r w:rsidR="00325623" w:rsidRPr="00B012C9">
        <w:rPr>
          <w:rFonts w:cs="Times New Roman"/>
          <w:noProof/>
        </w:rPr>
        <w:t xml:space="preserve">more than twice higher than its </w:t>
      </w:r>
      <w:r w:rsidR="00697494" w:rsidRPr="00B012C9">
        <w:rPr>
          <w:rFonts w:cs="Times New Roman"/>
          <w:noProof/>
        </w:rPr>
        <w:t xml:space="preserve">foreseeable </w:t>
      </w:r>
      <w:r w:rsidR="00325623" w:rsidRPr="00B012C9">
        <w:rPr>
          <w:rFonts w:cs="Times New Roman"/>
          <w:noProof/>
        </w:rPr>
        <w:t>domestic demand</w:t>
      </w:r>
      <w:r w:rsidR="00416263">
        <w:rPr>
          <w:rFonts w:cs="Times New Roman"/>
          <w:noProof/>
        </w:rPr>
        <w:t xml:space="preserve"> (about</w:t>
      </w:r>
      <w:r w:rsidR="007D2994">
        <w:rPr>
          <w:rFonts w:cs="Times New Roman"/>
          <w:noProof/>
        </w:rPr>
        <w:t xml:space="preserve"> </w:t>
      </w:r>
      <w:r w:rsidR="0028509B">
        <w:rPr>
          <w:rFonts w:cs="Times New Roman"/>
          <w:noProof/>
        </w:rPr>
        <w:t>4</w:t>
      </w:r>
      <w:r w:rsidR="007D2994">
        <w:rPr>
          <w:rFonts w:cs="Times New Roman"/>
          <w:noProof/>
        </w:rPr>
        <w:t xml:space="preserve"> </w:t>
      </w:r>
      <w:r w:rsidR="0028509B">
        <w:rPr>
          <w:rFonts w:cs="Times New Roman"/>
          <w:noProof/>
        </w:rPr>
        <w:t>7</w:t>
      </w:r>
      <w:r w:rsidR="007D2994">
        <w:rPr>
          <w:rFonts w:cs="Times New Roman"/>
          <w:noProof/>
        </w:rPr>
        <w:t>00 km/year</w:t>
      </w:r>
      <w:r w:rsidR="00290553">
        <w:rPr>
          <w:rStyle w:val="FootnoteReference"/>
          <w:rFonts w:cs="Times New Roman"/>
          <w:noProof/>
        </w:rPr>
        <w:footnoteReference w:id="739"/>
      </w:r>
      <w:r w:rsidR="007D2994">
        <w:rPr>
          <w:rFonts w:cs="Times New Roman"/>
          <w:noProof/>
        </w:rPr>
        <w:t>)</w:t>
      </w:r>
      <w:r w:rsidR="00FE5742" w:rsidRPr="00B012C9">
        <w:rPr>
          <w:rFonts w:cs="Times New Roman"/>
          <w:noProof/>
        </w:rPr>
        <w:t xml:space="preserve">. </w:t>
      </w:r>
      <w:r w:rsidR="00431D95" w:rsidRPr="00B012C9">
        <w:rPr>
          <w:rFonts w:cs="Times New Roman"/>
          <w:noProof/>
        </w:rPr>
        <w:t xml:space="preserve">Moreover, </w:t>
      </w:r>
      <w:r w:rsidR="00EF447F" w:rsidRPr="00B012C9">
        <w:rPr>
          <w:rFonts w:cs="Times New Roman"/>
          <w:noProof/>
        </w:rPr>
        <w:t xml:space="preserve">this surplus in Chinese production </w:t>
      </w:r>
      <w:r w:rsidR="000B7B8D" w:rsidRPr="00B012C9">
        <w:rPr>
          <w:rFonts w:cs="Times New Roman"/>
          <w:noProof/>
        </w:rPr>
        <w:t xml:space="preserve">closely matches </w:t>
      </w:r>
      <w:r w:rsidR="008F3AC6" w:rsidRPr="00B012C9">
        <w:rPr>
          <w:rFonts w:cs="Times New Roman"/>
          <w:noProof/>
        </w:rPr>
        <w:t xml:space="preserve">the total </w:t>
      </w:r>
      <w:r w:rsidR="00AB0776" w:rsidRPr="00B012C9">
        <w:rPr>
          <w:rFonts w:cs="Times New Roman"/>
          <w:noProof/>
        </w:rPr>
        <w:t>EU annual demand</w:t>
      </w:r>
      <w:r w:rsidR="000B7B8D" w:rsidRPr="00B012C9">
        <w:rPr>
          <w:rFonts w:cs="Times New Roman"/>
          <w:noProof/>
        </w:rPr>
        <w:t xml:space="preserve">, suggesting a </w:t>
      </w:r>
      <w:r w:rsidR="006E25DC" w:rsidRPr="00B012C9">
        <w:rPr>
          <w:rFonts w:cs="Times New Roman"/>
          <w:noProof/>
        </w:rPr>
        <w:t xml:space="preserve">possible </w:t>
      </w:r>
      <w:r w:rsidR="00BE0823" w:rsidRPr="00B012C9">
        <w:rPr>
          <w:rFonts w:cs="Times New Roman"/>
          <w:noProof/>
        </w:rPr>
        <w:t xml:space="preserve">strategic positioning by China to potentially expand its </w:t>
      </w:r>
      <w:r w:rsidR="006E25DC" w:rsidRPr="00B012C9">
        <w:rPr>
          <w:rFonts w:cs="Times New Roman"/>
          <w:noProof/>
        </w:rPr>
        <w:t>presence</w:t>
      </w:r>
      <w:r w:rsidR="00BE0823" w:rsidRPr="00B012C9">
        <w:rPr>
          <w:rFonts w:cs="Times New Roman"/>
          <w:noProof/>
        </w:rPr>
        <w:t xml:space="preserve"> in the European market.</w:t>
      </w:r>
    </w:p>
    <w:p w14:paraId="2BEDC3F2" w14:textId="77777777" w:rsidR="00B943F7" w:rsidRDefault="00B943F7" w:rsidP="00F537BB">
      <w:pPr>
        <w:rPr>
          <w:rFonts w:cs="Times New Roman"/>
          <w:noProof/>
          <w:szCs w:val="24"/>
        </w:rPr>
      </w:pPr>
    </w:p>
    <w:p w14:paraId="4A70BD97" w14:textId="77777777" w:rsidR="00B012C9" w:rsidRPr="00B012C9" w:rsidRDefault="00B012C9" w:rsidP="00B012C9">
      <w:pPr>
        <w:pStyle w:val="Heading2"/>
        <w:numPr>
          <w:ilvl w:val="0"/>
          <w:numId w:val="0"/>
        </w:numPr>
        <w:ind w:left="576"/>
        <w:rPr>
          <w:sz w:val="28"/>
          <w:szCs w:val="22"/>
        </w:rPr>
      </w:pPr>
      <w:bookmarkStart w:id="1594" w:name="_Toc222490078"/>
      <w:r w:rsidRPr="00B012C9">
        <w:rPr>
          <w:sz w:val="28"/>
          <w:szCs w:val="22"/>
        </w:rPr>
        <w:t>Administrative costs</w:t>
      </w:r>
      <w:bookmarkEnd w:id="1594"/>
    </w:p>
    <w:p w14:paraId="6226372D" w14:textId="77777777" w:rsidR="00B012C9" w:rsidRDefault="00B012C9" w:rsidP="00B012C9">
      <w:pPr>
        <w:spacing w:after="120"/>
        <w:rPr>
          <w:noProof/>
        </w:rPr>
      </w:pPr>
      <w:r>
        <w:rPr>
          <w:noProof/>
        </w:rPr>
        <w:t>The assessment of administrative costs incurred by Member States and businesses due to the implementation of the Made in EE requirements for electrolysers, heat pumps, nuclear fission energy technologies, solar thermal technologies, wind technologies and electricity grid technologies has estimated recurring costs to be approximately EUR 5 million. Most of such administrative costs is associated to Member States (EUR 4.95 million), while businesses account for about EUR 45 000.</w:t>
      </w:r>
    </w:p>
    <w:p w14:paraId="6F1F93B5" w14:textId="77777777" w:rsidR="00B012C9" w:rsidRDefault="00B012C9" w:rsidP="00B012C9">
      <w:pPr>
        <w:spacing w:after="120"/>
        <w:rPr>
          <w:noProof/>
        </w:rPr>
      </w:pPr>
      <w:r>
        <w:rPr>
          <w:noProof/>
        </w:rPr>
        <w:t xml:space="preserve">Table ADMS offers a detailed breakdown of administrative costs for Member State by net-zero technology, while Table ADBU provides a similar overview for businesses. </w:t>
      </w:r>
    </w:p>
    <w:p w14:paraId="4975E77A" w14:textId="77777777" w:rsidR="00B943F7" w:rsidRDefault="00B943F7" w:rsidP="00F537BB">
      <w:pPr>
        <w:rPr>
          <w:rFonts w:cs="Times New Roman"/>
          <w:noProof/>
          <w:szCs w:val="24"/>
        </w:rPr>
      </w:pPr>
    </w:p>
    <w:p w14:paraId="5FFDEE30" w14:textId="77777777" w:rsidR="00610838" w:rsidRPr="00A55158" w:rsidRDefault="00610838" w:rsidP="00610838">
      <w:pPr>
        <w:jc w:val="center"/>
        <w:rPr>
          <w:rFonts w:cs="Times New Roman"/>
          <w:i/>
          <w:iCs/>
          <w:noProof/>
          <w:sz w:val="20"/>
          <w:szCs w:val="18"/>
        </w:rPr>
      </w:pPr>
      <w:r w:rsidRPr="00A55158">
        <w:rPr>
          <w:rFonts w:cs="Times New Roman"/>
          <w:i/>
          <w:iCs/>
          <w:noProof/>
          <w:sz w:val="20"/>
          <w:szCs w:val="18"/>
        </w:rPr>
        <w:t>Table ADMS – Administrative costs for Member States associated to the implementation of the IAA Made in EU requirements for net-zero technologies beyond batteries and solar PV</w:t>
      </w:r>
    </w:p>
    <w:tbl>
      <w:tblPr>
        <w:tblStyle w:val="TableGrid1"/>
        <w:tblW w:w="0" w:type="auto"/>
        <w:tblLook w:val="04A0" w:firstRow="1" w:lastRow="0" w:firstColumn="1" w:lastColumn="0" w:noHBand="0" w:noVBand="1"/>
      </w:tblPr>
      <w:tblGrid>
        <w:gridCol w:w="4497"/>
        <w:gridCol w:w="4519"/>
      </w:tblGrid>
      <w:tr w:rsidR="00A55158" w:rsidRPr="00A55158" w14:paraId="205F7C98" w14:textId="77777777" w:rsidTr="00F4047B">
        <w:tc>
          <w:tcPr>
            <w:tcW w:w="4497" w:type="dxa"/>
          </w:tcPr>
          <w:p w14:paraId="42596926" w14:textId="77777777" w:rsidR="00A55158" w:rsidRPr="00A55158" w:rsidRDefault="00A55158" w:rsidP="00A55158">
            <w:pPr>
              <w:jc w:val="center"/>
              <w:rPr>
                <w:rFonts w:eastAsia="Aptos" w:cs="Times New Roman"/>
                <w:b/>
                <w:noProof/>
                <w:kern w:val="2"/>
                <w:sz w:val="24"/>
                <w:szCs w:val="24"/>
                <w14:ligatures w14:val="standardContextual"/>
              </w:rPr>
            </w:pPr>
            <w:r w:rsidRPr="00A55158">
              <w:rPr>
                <w:rFonts w:eastAsia="Aptos" w:cs="Times New Roman"/>
                <w:b/>
                <w:noProof/>
                <w:kern w:val="2"/>
                <w:sz w:val="24"/>
                <w:szCs w:val="24"/>
                <w14:ligatures w14:val="standardContextual"/>
              </w:rPr>
              <w:t>Net-zero technology</w:t>
            </w:r>
          </w:p>
        </w:tc>
        <w:tc>
          <w:tcPr>
            <w:tcW w:w="4519" w:type="dxa"/>
          </w:tcPr>
          <w:p w14:paraId="7B239D89" w14:textId="77777777" w:rsidR="00A55158" w:rsidRPr="00A55158" w:rsidRDefault="00A55158" w:rsidP="00A55158">
            <w:pPr>
              <w:jc w:val="center"/>
              <w:rPr>
                <w:rFonts w:eastAsia="Aptos" w:cs="Times New Roman"/>
                <w:b/>
                <w:noProof/>
                <w:kern w:val="2"/>
                <w:sz w:val="24"/>
                <w:szCs w:val="24"/>
                <w14:ligatures w14:val="standardContextual"/>
              </w:rPr>
            </w:pPr>
            <w:r w:rsidRPr="00A55158">
              <w:rPr>
                <w:rFonts w:eastAsia="Aptos" w:cs="Times New Roman"/>
                <w:b/>
                <w:noProof/>
                <w:kern w:val="2"/>
                <w:sz w:val="24"/>
                <w:szCs w:val="24"/>
                <w14:ligatures w14:val="standardContextual"/>
              </w:rPr>
              <w:t>Administrative costs (recurring)</w:t>
            </w:r>
          </w:p>
        </w:tc>
      </w:tr>
      <w:tr w:rsidR="00A55158" w:rsidRPr="00A55158" w14:paraId="6DB554D1" w14:textId="77777777" w:rsidTr="00F4047B">
        <w:tc>
          <w:tcPr>
            <w:tcW w:w="4497" w:type="dxa"/>
            <w:vAlign w:val="bottom"/>
          </w:tcPr>
          <w:p w14:paraId="0A3B9562" w14:textId="77777777" w:rsidR="00A55158" w:rsidRPr="00A55158" w:rsidRDefault="00A55158" w:rsidP="00A55158">
            <w:pPr>
              <w:rPr>
                <w:rFonts w:eastAsia="Aptos" w:cs="Times New Roman"/>
                <w:noProof/>
                <w:kern w:val="2"/>
                <w14:ligatures w14:val="standardContextual"/>
              </w:rPr>
            </w:pPr>
            <w:r w:rsidRPr="00A55158">
              <w:rPr>
                <w:rFonts w:eastAsia="Aptos" w:cs="Times New Roman"/>
                <w:noProof/>
                <w:color w:val="000000"/>
                <w:kern w:val="2"/>
                <w14:ligatures w14:val="standardContextual"/>
              </w:rPr>
              <w:t>Electrolysers</w:t>
            </w:r>
          </w:p>
        </w:tc>
        <w:tc>
          <w:tcPr>
            <w:tcW w:w="4519" w:type="dxa"/>
          </w:tcPr>
          <w:p w14:paraId="2ADE92FD"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¼ FTE x 27 Member States</w:t>
            </w:r>
          </w:p>
          <w:p w14:paraId="37B9CB34"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Total cost: EUR 412 800</w:t>
            </w:r>
          </w:p>
        </w:tc>
      </w:tr>
      <w:tr w:rsidR="00A55158" w:rsidRPr="00A55158" w14:paraId="50A9F6D3" w14:textId="77777777" w:rsidTr="00F4047B">
        <w:tc>
          <w:tcPr>
            <w:tcW w:w="4497" w:type="dxa"/>
            <w:vAlign w:val="bottom"/>
          </w:tcPr>
          <w:p w14:paraId="6083C857" w14:textId="77777777" w:rsidR="00A55158" w:rsidRPr="00A55158" w:rsidRDefault="00A55158" w:rsidP="00A55158">
            <w:pPr>
              <w:rPr>
                <w:rFonts w:eastAsia="Aptos" w:cs="Times New Roman"/>
                <w:noProof/>
                <w:kern w:val="2"/>
                <w14:ligatures w14:val="standardContextual"/>
              </w:rPr>
            </w:pPr>
            <w:r w:rsidRPr="00A55158">
              <w:rPr>
                <w:rFonts w:eastAsia="Aptos" w:cs="Times New Roman"/>
                <w:noProof/>
                <w:color w:val="000000"/>
                <w:kern w:val="2"/>
                <w14:ligatures w14:val="standardContextual"/>
              </w:rPr>
              <w:t>Heat pumps</w:t>
            </w:r>
          </w:p>
        </w:tc>
        <w:tc>
          <w:tcPr>
            <w:tcW w:w="4519" w:type="dxa"/>
          </w:tcPr>
          <w:p w14:paraId="3AA99988"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¼ FTE x 27 Member States</w:t>
            </w:r>
          </w:p>
          <w:p w14:paraId="1773CDC7"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Total cost: EUR 412 800</w:t>
            </w:r>
          </w:p>
        </w:tc>
      </w:tr>
      <w:tr w:rsidR="00A55158" w:rsidRPr="00A55158" w14:paraId="55256391" w14:textId="77777777" w:rsidTr="00F4047B">
        <w:tc>
          <w:tcPr>
            <w:tcW w:w="4497" w:type="dxa"/>
            <w:vAlign w:val="bottom"/>
          </w:tcPr>
          <w:p w14:paraId="236EEAF3" w14:textId="77777777" w:rsidR="00A55158" w:rsidRPr="00A55158" w:rsidRDefault="00A55158" w:rsidP="00A55158">
            <w:pPr>
              <w:rPr>
                <w:rFonts w:eastAsia="Aptos" w:cs="Times New Roman"/>
                <w:noProof/>
                <w:kern w:val="2"/>
                <w14:ligatures w14:val="standardContextual"/>
              </w:rPr>
            </w:pPr>
            <w:r w:rsidRPr="00A55158">
              <w:rPr>
                <w:rFonts w:eastAsia="Aptos" w:cs="Times New Roman"/>
                <w:noProof/>
                <w:color w:val="000000"/>
                <w:kern w:val="2"/>
                <w14:ligatures w14:val="standardContextual"/>
              </w:rPr>
              <w:t>Nuclear fission energy technologies</w:t>
            </w:r>
          </w:p>
        </w:tc>
        <w:tc>
          <w:tcPr>
            <w:tcW w:w="4519" w:type="dxa"/>
          </w:tcPr>
          <w:p w14:paraId="71382E23"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¼ FTE x 27 Member States</w:t>
            </w:r>
          </w:p>
          <w:p w14:paraId="134EE7F5"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Total cost: EUR 412 800</w:t>
            </w:r>
          </w:p>
        </w:tc>
      </w:tr>
      <w:tr w:rsidR="00A55158" w:rsidRPr="00A55158" w14:paraId="7C31BE7C" w14:textId="77777777" w:rsidTr="00F4047B">
        <w:tc>
          <w:tcPr>
            <w:tcW w:w="4497" w:type="dxa"/>
            <w:vAlign w:val="bottom"/>
          </w:tcPr>
          <w:p w14:paraId="1669890C" w14:textId="77777777" w:rsidR="00A55158" w:rsidRPr="00A55158" w:rsidRDefault="00A55158" w:rsidP="00A55158">
            <w:pPr>
              <w:rPr>
                <w:rFonts w:eastAsia="Aptos" w:cs="Times New Roman"/>
                <w:noProof/>
                <w:kern w:val="2"/>
                <w14:ligatures w14:val="standardContextual"/>
              </w:rPr>
            </w:pPr>
            <w:r w:rsidRPr="00A55158">
              <w:rPr>
                <w:rFonts w:eastAsia="Aptos" w:cs="Times New Roman"/>
                <w:noProof/>
                <w:color w:val="000000"/>
                <w:kern w:val="2"/>
                <w14:ligatures w14:val="standardContextual"/>
              </w:rPr>
              <w:t>Solar thermal technologies</w:t>
            </w:r>
          </w:p>
        </w:tc>
        <w:tc>
          <w:tcPr>
            <w:tcW w:w="4519" w:type="dxa"/>
          </w:tcPr>
          <w:p w14:paraId="69BB3CE4"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¼ FTE x 27 Member States</w:t>
            </w:r>
          </w:p>
          <w:p w14:paraId="4F1BE51F"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Total cost: EUR 412 800</w:t>
            </w:r>
          </w:p>
        </w:tc>
      </w:tr>
      <w:tr w:rsidR="00A55158" w:rsidRPr="00A55158" w14:paraId="582DE48D" w14:textId="77777777" w:rsidTr="00F4047B">
        <w:tc>
          <w:tcPr>
            <w:tcW w:w="4497" w:type="dxa"/>
            <w:vAlign w:val="bottom"/>
          </w:tcPr>
          <w:p w14:paraId="1B658E4A" w14:textId="77777777" w:rsidR="00A55158" w:rsidRPr="00A55158" w:rsidRDefault="00A55158" w:rsidP="00A55158">
            <w:pPr>
              <w:rPr>
                <w:rFonts w:eastAsia="Aptos" w:cs="Times New Roman"/>
                <w:noProof/>
                <w:kern w:val="2"/>
                <w14:ligatures w14:val="standardContextual"/>
              </w:rPr>
            </w:pPr>
            <w:r w:rsidRPr="00A55158">
              <w:rPr>
                <w:rFonts w:eastAsia="Aptos" w:cs="Times New Roman"/>
                <w:noProof/>
                <w:color w:val="000000"/>
                <w:kern w:val="2"/>
                <w14:ligatures w14:val="standardContextual"/>
              </w:rPr>
              <w:t>Wind</w:t>
            </w:r>
          </w:p>
        </w:tc>
        <w:tc>
          <w:tcPr>
            <w:tcW w:w="4519" w:type="dxa"/>
          </w:tcPr>
          <w:p w14:paraId="22106E72"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¼ FTE x 27 Member States</w:t>
            </w:r>
          </w:p>
          <w:p w14:paraId="6B69E2C7"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Total cost: EUR 412 800</w:t>
            </w:r>
          </w:p>
        </w:tc>
      </w:tr>
      <w:tr w:rsidR="00A55158" w:rsidRPr="00A55158" w14:paraId="140C9E79" w14:textId="77777777" w:rsidTr="00F4047B">
        <w:tc>
          <w:tcPr>
            <w:tcW w:w="4497" w:type="dxa"/>
            <w:vAlign w:val="bottom"/>
          </w:tcPr>
          <w:p w14:paraId="73A5E397" w14:textId="77777777" w:rsidR="00A55158" w:rsidRPr="00A55158" w:rsidRDefault="00A55158" w:rsidP="00A55158">
            <w:pPr>
              <w:rPr>
                <w:rFonts w:eastAsia="Aptos" w:cs="Times New Roman"/>
                <w:noProof/>
                <w:kern w:val="2"/>
                <w14:ligatures w14:val="standardContextual"/>
              </w:rPr>
            </w:pPr>
            <w:r w:rsidRPr="00A55158">
              <w:rPr>
                <w:rFonts w:eastAsia="Aptos" w:cs="Times New Roman"/>
                <w:noProof/>
                <w:color w:val="000000"/>
                <w:kern w:val="2"/>
                <w14:ligatures w14:val="standardContextual"/>
              </w:rPr>
              <w:t>Electricity grid technologies</w:t>
            </w:r>
          </w:p>
        </w:tc>
        <w:tc>
          <w:tcPr>
            <w:tcW w:w="4519" w:type="dxa"/>
          </w:tcPr>
          <w:p w14:paraId="3E19070D"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1 FTE x 27 Member States</w:t>
            </w:r>
          </w:p>
          <w:p w14:paraId="6130467A" w14:textId="77777777" w:rsidR="00A55158" w:rsidRPr="00A55158" w:rsidRDefault="00A55158" w:rsidP="00A55158">
            <w:pPr>
              <w:jc w:val="center"/>
              <w:rPr>
                <w:rFonts w:eastAsia="Aptos" w:cs="Times New Roman"/>
                <w:noProof/>
                <w:kern w:val="2"/>
                <w14:ligatures w14:val="standardContextual"/>
              </w:rPr>
            </w:pPr>
            <w:r w:rsidRPr="00A55158">
              <w:rPr>
                <w:rFonts w:eastAsia="Aptos" w:cs="Times New Roman"/>
                <w:noProof/>
                <w:kern w:val="2"/>
                <w14:ligatures w14:val="standardContextual"/>
              </w:rPr>
              <w:t>Total cost: EUR 1 651 100</w:t>
            </w:r>
          </w:p>
        </w:tc>
      </w:tr>
    </w:tbl>
    <w:p w14:paraId="460A3363" w14:textId="77777777" w:rsidR="00F4047B" w:rsidRPr="0083787B" w:rsidRDefault="00F4047B" w:rsidP="00F4047B">
      <w:pPr>
        <w:jc w:val="center"/>
        <w:rPr>
          <w:i/>
          <w:iCs/>
          <w:noProof/>
          <w:sz w:val="20"/>
          <w:szCs w:val="18"/>
        </w:rPr>
      </w:pPr>
      <w:r w:rsidRPr="0083787B">
        <w:rPr>
          <w:i/>
          <w:iCs/>
          <w:noProof/>
          <w:sz w:val="20"/>
          <w:szCs w:val="18"/>
        </w:rPr>
        <w:t>Table ADBU – Administrative costs for Businesses associated to the implementation of the IAA Made in EU requirements for net-zero technologies beyond batteries and solar PV</w:t>
      </w:r>
    </w:p>
    <w:tbl>
      <w:tblPr>
        <w:tblStyle w:val="TableGrid2"/>
        <w:tblW w:w="0" w:type="auto"/>
        <w:tblLook w:val="04A0" w:firstRow="1" w:lastRow="0" w:firstColumn="1" w:lastColumn="0" w:noHBand="0" w:noVBand="1"/>
      </w:tblPr>
      <w:tblGrid>
        <w:gridCol w:w="4497"/>
        <w:gridCol w:w="4519"/>
      </w:tblGrid>
      <w:tr w:rsidR="0083787B" w:rsidRPr="0083787B" w14:paraId="36B5BCDE" w14:textId="77777777" w:rsidTr="007601BB">
        <w:tc>
          <w:tcPr>
            <w:tcW w:w="4675" w:type="dxa"/>
          </w:tcPr>
          <w:p w14:paraId="4679F26D" w14:textId="77777777" w:rsidR="0083787B" w:rsidRPr="0083787B" w:rsidRDefault="0083787B" w:rsidP="0083787B">
            <w:pPr>
              <w:jc w:val="center"/>
              <w:rPr>
                <w:rFonts w:eastAsia="Aptos" w:cs="Times New Roman"/>
                <w:b/>
                <w:noProof/>
                <w:kern w:val="2"/>
                <w:sz w:val="24"/>
                <w:szCs w:val="24"/>
                <w14:ligatures w14:val="standardContextual"/>
              </w:rPr>
            </w:pPr>
            <w:r w:rsidRPr="0083787B">
              <w:rPr>
                <w:rFonts w:eastAsia="Aptos" w:cs="Times New Roman"/>
                <w:b/>
                <w:noProof/>
                <w:kern w:val="2"/>
                <w:sz w:val="24"/>
                <w:szCs w:val="24"/>
                <w14:ligatures w14:val="standardContextual"/>
              </w:rPr>
              <w:t>Net-zero technology</w:t>
            </w:r>
          </w:p>
        </w:tc>
        <w:tc>
          <w:tcPr>
            <w:tcW w:w="4675" w:type="dxa"/>
          </w:tcPr>
          <w:p w14:paraId="4F562427" w14:textId="77777777" w:rsidR="0083787B" w:rsidRPr="0083787B" w:rsidRDefault="0083787B" w:rsidP="0083787B">
            <w:pPr>
              <w:jc w:val="center"/>
              <w:rPr>
                <w:rFonts w:eastAsia="Aptos" w:cs="Times New Roman"/>
                <w:b/>
                <w:noProof/>
                <w:kern w:val="2"/>
                <w:sz w:val="24"/>
                <w:szCs w:val="24"/>
                <w14:ligatures w14:val="standardContextual"/>
              </w:rPr>
            </w:pPr>
            <w:r w:rsidRPr="0083787B">
              <w:rPr>
                <w:rFonts w:eastAsia="Aptos" w:cs="Times New Roman"/>
                <w:b/>
                <w:noProof/>
                <w:kern w:val="2"/>
                <w:sz w:val="24"/>
                <w:szCs w:val="24"/>
                <w14:ligatures w14:val="standardContextual"/>
              </w:rPr>
              <w:t>Administrative costs (recurring)</w:t>
            </w:r>
          </w:p>
        </w:tc>
      </w:tr>
      <w:tr w:rsidR="0083787B" w:rsidRPr="0083787B" w14:paraId="05F4442A" w14:textId="77777777" w:rsidTr="007601BB">
        <w:tc>
          <w:tcPr>
            <w:tcW w:w="4675" w:type="dxa"/>
            <w:vAlign w:val="bottom"/>
          </w:tcPr>
          <w:p w14:paraId="751B5C2C" w14:textId="77777777" w:rsidR="0083787B" w:rsidRPr="0083787B" w:rsidRDefault="0083787B" w:rsidP="0083787B">
            <w:pPr>
              <w:rPr>
                <w:rFonts w:eastAsia="Aptos" w:cs="Times New Roman"/>
                <w:noProof/>
                <w:kern w:val="2"/>
                <w14:ligatures w14:val="standardContextual"/>
              </w:rPr>
            </w:pPr>
            <w:r w:rsidRPr="0083787B">
              <w:rPr>
                <w:rFonts w:eastAsia="Aptos" w:cs="Times New Roman"/>
                <w:noProof/>
                <w:color w:val="000000"/>
                <w:kern w:val="2"/>
                <w14:ligatures w14:val="standardContextual"/>
              </w:rPr>
              <w:t>Electrolysers</w:t>
            </w:r>
          </w:p>
        </w:tc>
        <w:tc>
          <w:tcPr>
            <w:tcW w:w="4675" w:type="dxa"/>
          </w:tcPr>
          <w:p w14:paraId="35AC07C9"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½ week FTE</w:t>
            </w:r>
          </w:p>
          <w:p w14:paraId="23B370FB"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Nr companies affected: 4 (20 large companies x 18%)</w:t>
            </w:r>
          </w:p>
          <w:p w14:paraId="3602012F"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Total cost: EUR 2 100</w:t>
            </w:r>
          </w:p>
        </w:tc>
      </w:tr>
      <w:tr w:rsidR="0083787B" w:rsidRPr="0083787B" w14:paraId="73ECC0D5" w14:textId="77777777" w:rsidTr="007601BB">
        <w:tc>
          <w:tcPr>
            <w:tcW w:w="4675" w:type="dxa"/>
            <w:vAlign w:val="bottom"/>
          </w:tcPr>
          <w:p w14:paraId="06E7BBCE" w14:textId="77777777" w:rsidR="0083787B" w:rsidRPr="0083787B" w:rsidRDefault="0083787B" w:rsidP="0083787B">
            <w:pPr>
              <w:rPr>
                <w:rFonts w:eastAsia="Aptos" w:cs="Times New Roman"/>
                <w:noProof/>
                <w:kern w:val="2"/>
                <w14:ligatures w14:val="standardContextual"/>
              </w:rPr>
            </w:pPr>
            <w:r w:rsidRPr="0083787B">
              <w:rPr>
                <w:rFonts w:eastAsia="Aptos" w:cs="Times New Roman"/>
                <w:noProof/>
                <w:color w:val="000000"/>
                <w:kern w:val="2"/>
                <w14:ligatures w14:val="standardContextual"/>
              </w:rPr>
              <w:t>Heat pumps</w:t>
            </w:r>
          </w:p>
        </w:tc>
        <w:tc>
          <w:tcPr>
            <w:tcW w:w="4675" w:type="dxa"/>
          </w:tcPr>
          <w:p w14:paraId="031C7853"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½ week FTE</w:t>
            </w:r>
          </w:p>
          <w:p w14:paraId="7640BB40"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Nr companies affected: 29 (160 large companies x 18%)</w:t>
            </w:r>
          </w:p>
          <w:p w14:paraId="2C5C81D0"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Total cost: EUR 16 900</w:t>
            </w:r>
          </w:p>
        </w:tc>
      </w:tr>
      <w:tr w:rsidR="0083787B" w:rsidRPr="0083787B" w14:paraId="0292BCAF" w14:textId="77777777" w:rsidTr="007601BB">
        <w:tc>
          <w:tcPr>
            <w:tcW w:w="4675" w:type="dxa"/>
            <w:vAlign w:val="bottom"/>
          </w:tcPr>
          <w:p w14:paraId="5CAE9507" w14:textId="77777777" w:rsidR="0083787B" w:rsidRPr="0083787B" w:rsidRDefault="0083787B" w:rsidP="0083787B">
            <w:pPr>
              <w:rPr>
                <w:rFonts w:eastAsia="Aptos" w:cs="Times New Roman"/>
                <w:noProof/>
                <w:kern w:val="2"/>
                <w14:ligatures w14:val="standardContextual"/>
              </w:rPr>
            </w:pPr>
            <w:r w:rsidRPr="0083787B">
              <w:rPr>
                <w:rFonts w:eastAsia="Aptos" w:cs="Times New Roman"/>
                <w:noProof/>
                <w:color w:val="000000"/>
                <w:kern w:val="2"/>
                <w14:ligatures w14:val="standardContextual"/>
              </w:rPr>
              <w:t>Nuclear fission energy technologies</w:t>
            </w:r>
          </w:p>
        </w:tc>
        <w:tc>
          <w:tcPr>
            <w:tcW w:w="4675" w:type="dxa"/>
          </w:tcPr>
          <w:p w14:paraId="30980BE1"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½ week FTE</w:t>
            </w:r>
          </w:p>
          <w:p w14:paraId="540C8483"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Nr companies affected: 4 (20 large companies x 18%)</w:t>
            </w:r>
          </w:p>
          <w:p w14:paraId="7F448441"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Total cost: EUR 2 100</w:t>
            </w:r>
          </w:p>
        </w:tc>
      </w:tr>
      <w:tr w:rsidR="0083787B" w:rsidRPr="0083787B" w14:paraId="272AF15D" w14:textId="77777777" w:rsidTr="007601BB">
        <w:tc>
          <w:tcPr>
            <w:tcW w:w="4675" w:type="dxa"/>
            <w:vAlign w:val="bottom"/>
          </w:tcPr>
          <w:p w14:paraId="525D3DD8" w14:textId="77777777" w:rsidR="0083787B" w:rsidRPr="0083787B" w:rsidRDefault="0083787B" w:rsidP="0083787B">
            <w:pPr>
              <w:rPr>
                <w:rFonts w:eastAsia="Aptos" w:cs="Times New Roman"/>
                <w:noProof/>
                <w:kern w:val="2"/>
                <w14:ligatures w14:val="standardContextual"/>
              </w:rPr>
            </w:pPr>
            <w:r w:rsidRPr="0083787B">
              <w:rPr>
                <w:rFonts w:eastAsia="Aptos" w:cs="Times New Roman"/>
                <w:noProof/>
                <w:color w:val="000000"/>
                <w:kern w:val="2"/>
                <w14:ligatures w14:val="standardContextual"/>
              </w:rPr>
              <w:t>Solar thermal technologies</w:t>
            </w:r>
          </w:p>
        </w:tc>
        <w:tc>
          <w:tcPr>
            <w:tcW w:w="4675" w:type="dxa"/>
          </w:tcPr>
          <w:p w14:paraId="5E1A711E"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½ week FTE</w:t>
            </w:r>
          </w:p>
          <w:p w14:paraId="37728116"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Nr companies affected: 22 (120 large companies x 18%)</w:t>
            </w:r>
          </w:p>
          <w:p w14:paraId="3ECF0621"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Total cost: EUR 12 700</w:t>
            </w:r>
          </w:p>
        </w:tc>
      </w:tr>
      <w:tr w:rsidR="0083787B" w:rsidRPr="0083787B" w14:paraId="5C9165D7" w14:textId="77777777" w:rsidTr="007601BB">
        <w:tc>
          <w:tcPr>
            <w:tcW w:w="4675" w:type="dxa"/>
            <w:vAlign w:val="bottom"/>
          </w:tcPr>
          <w:p w14:paraId="357A3A4D" w14:textId="77777777" w:rsidR="0083787B" w:rsidRPr="0083787B" w:rsidRDefault="0083787B" w:rsidP="0083787B">
            <w:pPr>
              <w:rPr>
                <w:rFonts w:eastAsia="Aptos" w:cs="Times New Roman"/>
                <w:noProof/>
                <w:kern w:val="2"/>
                <w14:ligatures w14:val="standardContextual"/>
              </w:rPr>
            </w:pPr>
            <w:r w:rsidRPr="0083787B">
              <w:rPr>
                <w:rFonts w:eastAsia="Aptos" w:cs="Times New Roman"/>
                <w:noProof/>
                <w:color w:val="000000"/>
                <w:kern w:val="2"/>
                <w14:ligatures w14:val="standardContextual"/>
              </w:rPr>
              <w:t>Wind</w:t>
            </w:r>
          </w:p>
        </w:tc>
        <w:tc>
          <w:tcPr>
            <w:tcW w:w="4675" w:type="dxa"/>
          </w:tcPr>
          <w:p w14:paraId="2D1B7AAF"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½ week FTE</w:t>
            </w:r>
          </w:p>
          <w:p w14:paraId="123E55D5"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Nr companies affected: 4 (20 large companies x 18%)</w:t>
            </w:r>
          </w:p>
          <w:p w14:paraId="7C6F8013"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Total cost: EUR 2 100</w:t>
            </w:r>
          </w:p>
        </w:tc>
      </w:tr>
      <w:tr w:rsidR="0083787B" w:rsidRPr="0083787B" w14:paraId="533E8C77" w14:textId="77777777" w:rsidTr="007601BB">
        <w:tc>
          <w:tcPr>
            <w:tcW w:w="4675" w:type="dxa"/>
            <w:vAlign w:val="bottom"/>
          </w:tcPr>
          <w:p w14:paraId="50FCDC92" w14:textId="77777777" w:rsidR="0083787B" w:rsidRPr="0083787B" w:rsidRDefault="0083787B" w:rsidP="0083787B">
            <w:pPr>
              <w:rPr>
                <w:rFonts w:eastAsia="Aptos" w:cs="Times New Roman"/>
                <w:noProof/>
                <w:kern w:val="2"/>
                <w14:ligatures w14:val="standardContextual"/>
              </w:rPr>
            </w:pPr>
            <w:r w:rsidRPr="0083787B">
              <w:rPr>
                <w:rFonts w:eastAsia="Aptos" w:cs="Times New Roman"/>
                <w:noProof/>
                <w:color w:val="000000"/>
                <w:kern w:val="2"/>
                <w14:ligatures w14:val="standardContextual"/>
              </w:rPr>
              <w:t>Electricity grid technologies</w:t>
            </w:r>
          </w:p>
        </w:tc>
        <w:tc>
          <w:tcPr>
            <w:tcW w:w="4675" w:type="dxa"/>
          </w:tcPr>
          <w:p w14:paraId="0FA6A35C"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½ week FTE</w:t>
            </w:r>
          </w:p>
          <w:p w14:paraId="06D5BD7E"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Nr companies affected: 8 (40 large companies x 18%)</w:t>
            </w:r>
          </w:p>
          <w:p w14:paraId="50D33FAC" w14:textId="77777777" w:rsidR="0083787B" w:rsidRPr="0083787B" w:rsidRDefault="0083787B" w:rsidP="0083787B">
            <w:pPr>
              <w:jc w:val="center"/>
              <w:rPr>
                <w:rFonts w:eastAsia="Aptos" w:cs="Times New Roman"/>
                <w:noProof/>
                <w:kern w:val="2"/>
                <w14:ligatures w14:val="standardContextual"/>
              </w:rPr>
            </w:pPr>
            <w:r w:rsidRPr="0083787B">
              <w:rPr>
                <w:rFonts w:eastAsia="Aptos" w:cs="Times New Roman"/>
                <w:noProof/>
                <w:kern w:val="2"/>
                <w14:ligatures w14:val="standardContextual"/>
              </w:rPr>
              <w:t>Total cost: EUR 4 200</w:t>
            </w:r>
          </w:p>
        </w:tc>
      </w:tr>
    </w:tbl>
    <w:p w14:paraId="4C7B6175" w14:textId="7EF06468" w:rsidR="008C58A7" w:rsidRDefault="008C58A7" w:rsidP="00480E84">
      <w:pPr>
        <w:rPr>
          <w:noProof/>
        </w:rPr>
      </w:pPr>
    </w:p>
    <w:p w14:paraId="3E02C48F" w14:textId="6EAFB963" w:rsidR="008C58A7" w:rsidRPr="00480E84" w:rsidRDefault="007601BB" w:rsidP="00480E84">
      <w:pPr>
        <w:rPr>
          <w:noProof/>
        </w:rPr>
      </w:pPr>
      <w:r w:rsidRPr="007601BB">
        <w:rPr>
          <w:noProof/>
        </w:rPr>
        <w:t>Full Time Equivalents and number of affected companies are estimated using the same methodology and assumptions described in Annex 4 Section 2.1.</w:t>
      </w:r>
    </w:p>
    <w:sectPr w:rsidR="008C58A7" w:rsidRPr="00480E84">
      <w:headerReference w:type="even" r:id="rId132"/>
      <w:headerReference w:type="default" r:id="rId133"/>
      <w:footerReference w:type="default" r:id="rId134"/>
      <w:headerReference w:type="first" r:id="rId1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B70F7" w14:textId="77777777" w:rsidR="007642E2" w:rsidRPr="00FF63D1" w:rsidRDefault="007642E2" w:rsidP="00232A52">
      <w:r w:rsidRPr="00FF63D1">
        <w:separator/>
      </w:r>
    </w:p>
  </w:endnote>
  <w:endnote w:type="continuationSeparator" w:id="0">
    <w:p w14:paraId="2D061C65" w14:textId="77777777" w:rsidR="007642E2" w:rsidRPr="00FF63D1" w:rsidRDefault="007642E2" w:rsidP="00232A52">
      <w:r w:rsidRPr="00FF63D1">
        <w:continuationSeparator/>
      </w:r>
    </w:p>
  </w:endnote>
  <w:endnote w:type="continuationNotice" w:id="1">
    <w:p w14:paraId="5B48A54B" w14:textId="77777777" w:rsidR="007642E2" w:rsidRPr="00FF63D1" w:rsidRDefault="007642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Light">
    <w:panose1 w:val="020B0506000000020004"/>
    <w:charset w:val="00"/>
    <w:family w:val="swiss"/>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ystem-ui">
    <w:altName w:val="Cambria"/>
    <w:panose1 w:val="00000000000000000000"/>
    <w:charset w:val="00"/>
    <w:family w:val="roman"/>
    <w:notTrueType/>
    <w:pitch w:val="default"/>
  </w:font>
  <w:font w:name="Aptos Narrow">
    <w:altName w:val="Arial"/>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ontserrat">
    <w:charset w:val="00"/>
    <w:family w:val="auto"/>
    <w:pitch w:val="variable"/>
    <w:sig w:usb0="2000020F" w:usb1="00000003" w:usb2="00000000" w:usb3="00000000" w:csb0="00000197"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74EE" w14:textId="1D54985E" w:rsidR="005B5DB1" w:rsidRPr="005B5DB1" w:rsidRDefault="005B5DB1" w:rsidP="005B5DB1">
    <w:pPr>
      <w:pStyle w:val="FooterCoverPage"/>
      <w:rPr>
        <w:rFonts w:ascii="Arial" w:hAnsi="Arial" w:cs="Arial"/>
        <w:b/>
        <w:sz w:val="48"/>
      </w:rPr>
    </w:pPr>
    <w:r w:rsidRPr="005B5DB1">
      <w:rPr>
        <w:rFonts w:ascii="Arial" w:hAnsi="Arial" w:cs="Arial"/>
        <w:b/>
        <w:sz w:val="48"/>
      </w:rPr>
      <w:t>EN</w:t>
    </w:r>
    <w:r w:rsidRPr="005B5DB1">
      <w:rPr>
        <w:rFonts w:ascii="Arial" w:hAnsi="Arial" w:cs="Arial"/>
        <w:b/>
        <w:sz w:val="48"/>
      </w:rPr>
      <w:tab/>
    </w:r>
    <w:r w:rsidRPr="005B5DB1">
      <w:rPr>
        <w:rFonts w:ascii="Arial" w:hAnsi="Arial" w:cs="Arial"/>
        <w:b/>
        <w:sz w:val="48"/>
      </w:rPr>
      <w:tab/>
    </w:r>
    <w:r w:rsidRPr="005B5DB1">
      <w:tab/>
    </w:r>
    <w:r w:rsidRPr="005B5DB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8E3C" w14:textId="5785BD0D" w:rsidR="005B5DB1" w:rsidRPr="005B5DB1" w:rsidRDefault="005B5DB1" w:rsidP="005B5DB1">
    <w:pPr>
      <w:pStyle w:val="FooterCoverPage"/>
      <w:rPr>
        <w:rFonts w:ascii="Arial" w:hAnsi="Arial" w:cs="Arial"/>
        <w:b/>
        <w:sz w:val="48"/>
      </w:rPr>
    </w:pPr>
    <w:r w:rsidRPr="005B5DB1">
      <w:rPr>
        <w:rFonts w:ascii="Arial" w:hAnsi="Arial" w:cs="Arial"/>
        <w:b/>
        <w:sz w:val="48"/>
      </w:rPr>
      <w:t>EN</w:t>
    </w:r>
    <w:r w:rsidRPr="005B5DB1">
      <w:rPr>
        <w:rFonts w:ascii="Arial" w:hAnsi="Arial" w:cs="Arial"/>
        <w:b/>
        <w:sz w:val="48"/>
      </w:rPr>
      <w:tab/>
    </w:r>
    <w:r w:rsidRPr="005B5DB1">
      <w:rPr>
        <w:rFonts w:ascii="Arial" w:hAnsi="Arial" w:cs="Arial"/>
        <w:b/>
        <w:sz w:val="48"/>
      </w:rPr>
      <w:tab/>
    </w:r>
    <w:r w:rsidRPr="005B5DB1">
      <w:tab/>
    </w:r>
    <w:r w:rsidRPr="005B5DB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90DB" w14:textId="77777777" w:rsidR="005B5DB1" w:rsidRPr="005B5DB1" w:rsidRDefault="005B5DB1" w:rsidP="005B5DB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7091" w14:textId="77777777" w:rsidR="004F2FDB" w:rsidRPr="008F2465" w:rsidRDefault="004F2FDB" w:rsidP="008F2465">
    <w:pPr>
      <w:pStyle w:val="FooterCoverPage"/>
      <w:rPr>
        <w:rFonts w:ascii="Arial" w:hAnsi="Arial" w:cs="Arial"/>
        <w:b/>
        <w:sz w:val="48"/>
      </w:rPr>
    </w:pPr>
    <w:r w:rsidRPr="008F2465">
      <w:rPr>
        <w:rFonts w:ascii="Arial" w:hAnsi="Arial" w:cs="Arial"/>
        <w:b/>
        <w:sz w:val="48"/>
      </w:rPr>
      <w:t>EN</w:t>
    </w:r>
    <w:r w:rsidRPr="008F2465">
      <w:rPr>
        <w:rFonts w:ascii="Arial" w:hAnsi="Arial" w:cs="Arial"/>
        <w:b/>
        <w:sz w:val="48"/>
      </w:rPr>
      <w:tab/>
    </w:r>
    <w:r w:rsidRPr="008F2465">
      <w:rPr>
        <w:rFonts w:ascii="Arial" w:hAnsi="Arial" w:cs="Arial"/>
        <w:b/>
        <w:sz w:val="48"/>
      </w:rPr>
      <w:tab/>
    </w:r>
    <w:r w:rsidRPr="008F2465">
      <w:tab/>
    </w:r>
    <w:r w:rsidRPr="008F246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072286"/>
      <w:docPartObj>
        <w:docPartGallery w:val="Page Numbers (Bottom of Page)"/>
        <w:docPartUnique/>
      </w:docPartObj>
    </w:sdtPr>
    <w:sdtEndPr>
      <w:rPr>
        <w:noProof/>
      </w:rPr>
    </w:sdtEndPr>
    <w:sdtContent>
      <w:p w14:paraId="2D98D891" w14:textId="2152E9F1" w:rsidR="002E6B16" w:rsidRDefault="002E6B16">
        <w:pPr>
          <w:pStyle w:val="Footer"/>
          <w:jc w:val="center"/>
        </w:pPr>
        <w:r>
          <w:fldChar w:fldCharType="begin"/>
        </w:r>
        <w:r>
          <w:instrText xml:space="preserve"> PAGE   \* MERGEFORMAT </w:instrText>
        </w:r>
        <w:r>
          <w:fldChar w:fldCharType="separate"/>
        </w:r>
        <w:r w:rsidR="00E83312">
          <w:rPr>
            <w:noProof/>
          </w:rPr>
          <w:t>2</w:t>
        </w:r>
        <w:r>
          <w:rPr>
            <w:noProof/>
          </w:rPr>
          <w:fldChar w:fldCharType="end"/>
        </w:r>
      </w:p>
    </w:sdtContent>
  </w:sdt>
  <w:p w14:paraId="7DA7E5A5" w14:textId="68194C81" w:rsidR="004F2FDB" w:rsidRPr="008F2465" w:rsidRDefault="004F2FDB" w:rsidP="008F2465">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EF1F" w14:textId="77777777" w:rsidR="004F2FDB" w:rsidRDefault="004F2FD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0DAC" w14:textId="77777777" w:rsidR="0065662F" w:rsidRDefault="006566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EB02" w14:textId="77777777" w:rsidR="00266B6C" w:rsidRDefault="00266B6C">
    <w:pPr>
      <w:pStyle w:val="Footer"/>
      <w:jc w:val="center"/>
    </w:pPr>
    <w:r>
      <w:fldChar w:fldCharType="begin"/>
    </w:r>
    <w:r>
      <w:instrText>PAGE</w:instrText>
    </w:r>
    <w:r>
      <w:fldChar w:fldCharType="separate"/>
    </w:r>
    <w:r w:rsidRPr="00E447EE">
      <w:t>93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85973191"/>
      <w:docPartObj>
        <w:docPartGallery w:val="Page Numbers (Bottom of Page)"/>
        <w:docPartUnique/>
      </w:docPartObj>
    </w:sdtPr>
    <w:sdtEndPr/>
    <w:sdtContent>
      <w:p w14:paraId="01242078" w14:textId="77777777" w:rsidR="00AC557C" w:rsidRPr="009D4C15" w:rsidRDefault="00AC557C">
        <w:pPr>
          <w:pStyle w:val="Footer"/>
          <w:jc w:val="center"/>
          <w:rPr>
            <w:sz w:val="20"/>
          </w:rPr>
        </w:pPr>
        <w:r w:rsidRPr="00E447EE">
          <w:rPr>
            <w:sz w:val="20"/>
          </w:rPr>
          <w:fldChar w:fldCharType="begin"/>
        </w:r>
        <w:r w:rsidRPr="009D4C15">
          <w:rPr>
            <w:sz w:val="20"/>
          </w:rPr>
          <w:instrText xml:space="preserve"> PAGE   \* MERGEFORMAT </w:instrText>
        </w:r>
        <w:r w:rsidRPr="00E447EE">
          <w:rPr>
            <w:sz w:val="20"/>
          </w:rPr>
          <w:fldChar w:fldCharType="separate"/>
        </w:r>
        <w:r w:rsidRPr="00E447EE">
          <w:rPr>
            <w:sz w:val="20"/>
          </w:rPr>
          <w:t>9</w:t>
        </w:r>
        <w:r w:rsidRPr="00E447EE">
          <w:rPr>
            <w:sz w:val="20"/>
          </w:rPr>
          <w:fldChar w:fldCharType="end"/>
        </w:r>
      </w:p>
    </w:sdtContent>
  </w:sdt>
  <w:p w14:paraId="61FE3D89" w14:textId="77777777" w:rsidR="00AC557C" w:rsidRDefault="00AC55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5DC2" w14:textId="77777777" w:rsidR="00143334" w:rsidRPr="00FF63D1" w:rsidRDefault="0014333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059747"/>
      <w:docPartObj>
        <w:docPartGallery w:val="Page Numbers (Bottom of Page)"/>
        <w:docPartUnique/>
      </w:docPartObj>
    </w:sdtPr>
    <w:sdtEndPr/>
    <w:sdtContent>
      <w:p w14:paraId="57FE2845" w14:textId="40457E95" w:rsidR="00020031" w:rsidRPr="000B0C1B" w:rsidRDefault="00B94EFA" w:rsidP="00E431D5">
        <w:pPr>
          <w:pStyle w:val="Footer"/>
          <w:jc w:val="center"/>
        </w:pPr>
        <w:r w:rsidRPr="00E2646F">
          <w:fldChar w:fldCharType="begin"/>
        </w:r>
        <w:r w:rsidRPr="00FF63D1">
          <w:instrText xml:space="preserve"> PAGE   \* MERGEFORMAT </w:instrText>
        </w:r>
        <w:r w:rsidRPr="00E2646F">
          <w:fldChar w:fldCharType="separate"/>
        </w:r>
        <w:r w:rsidRPr="00E431D5">
          <w:t>2</w:t>
        </w:r>
        <w:r w:rsidRPr="00E2646F">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6C173" w14:textId="77777777" w:rsidR="00020031" w:rsidRPr="00F261DB" w:rsidRDefault="00020031" w:rsidP="00E713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641305"/>
      <w:docPartObj>
        <w:docPartGallery w:val="Page Numbers (Bottom of Page)"/>
        <w:docPartUnique/>
      </w:docPartObj>
    </w:sdtPr>
    <w:sdtEndPr/>
    <w:sdtContent>
      <w:p w14:paraId="1D2A71FC" w14:textId="77777777" w:rsidR="002E6B16" w:rsidRPr="000B0C1B" w:rsidRDefault="002E6B16" w:rsidP="00E431D5">
        <w:pPr>
          <w:pStyle w:val="Footer"/>
          <w:jc w:val="center"/>
        </w:pPr>
        <w:r w:rsidRPr="00E2646F">
          <w:fldChar w:fldCharType="begin"/>
        </w:r>
        <w:r w:rsidRPr="00FF63D1">
          <w:instrText xml:space="preserve"> PAGE   \* MERGEFORMAT </w:instrText>
        </w:r>
        <w:r w:rsidRPr="00E2646F">
          <w:fldChar w:fldCharType="separate"/>
        </w:r>
        <w:r w:rsidRPr="00E431D5">
          <w:t>2</w:t>
        </w:r>
        <w:r w:rsidRPr="00E2646F">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477311"/>
      <w:docPartObj>
        <w:docPartGallery w:val="Page Numbers (Bottom of Page)"/>
        <w:docPartUnique/>
      </w:docPartObj>
    </w:sdtPr>
    <w:sdtEndPr/>
    <w:sdtContent>
      <w:p w14:paraId="4281D5FD" w14:textId="77777777" w:rsidR="002E6B16" w:rsidRPr="000B0C1B" w:rsidRDefault="002E6B16" w:rsidP="00E431D5">
        <w:pPr>
          <w:pStyle w:val="Footer"/>
          <w:jc w:val="center"/>
        </w:pPr>
        <w:r w:rsidRPr="00E2646F">
          <w:fldChar w:fldCharType="begin"/>
        </w:r>
        <w:r w:rsidRPr="00FF63D1">
          <w:instrText xml:space="preserve"> PAGE   \* MERGEFORMAT </w:instrText>
        </w:r>
        <w:r w:rsidRPr="00E2646F">
          <w:fldChar w:fldCharType="separate"/>
        </w:r>
        <w:r w:rsidRPr="00E431D5">
          <w:t>2</w:t>
        </w:r>
        <w:r w:rsidRPr="00E2646F">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757601"/>
      <w:docPartObj>
        <w:docPartGallery w:val="Page Numbers (Bottom of Page)"/>
        <w:docPartUnique/>
      </w:docPartObj>
    </w:sdtPr>
    <w:sdtEndPr/>
    <w:sdtContent>
      <w:p w14:paraId="2C4A59DA" w14:textId="77777777" w:rsidR="00AC50EF" w:rsidRPr="000B0C1B" w:rsidRDefault="00AC50EF" w:rsidP="00E431D5">
        <w:pPr>
          <w:pStyle w:val="Footer"/>
          <w:jc w:val="center"/>
        </w:pPr>
        <w:r w:rsidRPr="00E2646F">
          <w:fldChar w:fldCharType="begin"/>
        </w:r>
        <w:r w:rsidRPr="00FF63D1">
          <w:instrText xml:space="preserve"> PAGE   \* MERGEFORMAT </w:instrText>
        </w:r>
        <w:r w:rsidRPr="00E2646F">
          <w:fldChar w:fldCharType="separate"/>
        </w:r>
        <w:r w:rsidRPr="00E431D5">
          <w:t>2</w:t>
        </w:r>
        <w:r w:rsidRPr="00E2646F">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4C995" w14:textId="77777777" w:rsidR="00AC50EF" w:rsidRPr="00F261DB" w:rsidRDefault="00AC50EF" w:rsidP="00E713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833271"/>
      <w:docPartObj>
        <w:docPartGallery w:val="Page Numbers (Bottom of Page)"/>
        <w:docPartUnique/>
      </w:docPartObj>
    </w:sdtPr>
    <w:sdtEndPr/>
    <w:sdtContent>
      <w:p w14:paraId="08AACFC2" w14:textId="77777777" w:rsidR="00AC50EF" w:rsidRPr="000B0C1B" w:rsidRDefault="00AC50EF" w:rsidP="00E431D5">
        <w:pPr>
          <w:pStyle w:val="Footer"/>
          <w:jc w:val="center"/>
        </w:pPr>
        <w:r w:rsidRPr="00E2646F">
          <w:fldChar w:fldCharType="begin"/>
        </w:r>
        <w:r w:rsidRPr="00FF63D1">
          <w:instrText xml:space="preserve"> PAGE   \* MERGEFORMAT </w:instrText>
        </w:r>
        <w:r w:rsidRPr="00E2646F">
          <w:fldChar w:fldCharType="separate"/>
        </w:r>
        <w:r w:rsidRPr="00E431D5">
          <w:t>2</w:t>
        </w:r>
        <w:r w:rsidRPr="00E2646F">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1E02" w14:textId="77777777" w:rsidR="00AC50EF" w:rsidRPr="00F261DB" w:rsidRDefault="00AC50EF" w:rsidP="00E713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295160"/>
      <w:docPartObj>
        <w:docPartGallery w:val="Page Numbers (Bottom of Page)"/>
        <w:docPartUnique/>
      </w:docPartObj>
    </w:sdtPr>
    <w:sdtEndPr/>
    <w:sdtContent>
      <w:p w14:paraId="17878092" w14:textId="77777777" w:rsidR="00AC50EF" w:rsidRPr="000B0C1B" w:rsidRDefault="00AC50EF" w:rsidP="00E431D5">
        <w:pPr>
          <w:pStyle w:val="Footer"/>
          <w:jc w:val="center"/>
        </w:pPr>
        <w:r w:rsidRPr="00E2646F">
          <w:fldChar w:fldCharType="begin"/>
        </w:r>
        <w:r w:rsidRPr="00FF63D1">
          <w:instrText xml:space="preserve"> PAGE   \* MERGEFORMAT </w:instrText>
        </w:r>
        <w:r w:rsidRPr="00E2646F">
          <w:fldChar w:fldCharType="separate"/>
        </w:r>
        <w:r w:rsidRPr="00E431D5">
          <w:t>2</w:t>
        </w:r>
        <w:r w:rsidRPr="00E2646F">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B464" w14:textId="77777777" w:rsidR="00AC50EF" w:rsidRPr="00F261DB" w:rsidRDefault="00AC50EF" w:rsidP="00E7138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832F" w14:textId="77777777" w:rsidR="00020031" w:rsidRPr="00FF63D1" w:rsidRDefault="0002003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F004B" w14:textId="53C3EEC9" w:rsidR="139CCFDC" w:rsidRPr="00FF63D1" w:rsidRDefault="139CCFDC" w:rsidP="139CCFDC">
    <w:pPr>
      <w:pStyle w:val="Footer"/>
      <w:jc w:val="center"/>
    </w:pPr>
    <w:r w:rsidRPr="00FF63D1">
      <w:fldChar w:fldCharType="begin"/>
    </w:r>
    <w:r w:rsidRPr="00FF63D1">
      <w:instrText>PAGE</w:instrText>
    </w:r>
    <w:r w:rsidRPr="00FF63D1">
      <w:fldChar w:fldCharType="separate"/>
    </w:r>
    <w:r w:rsidR="000E1B25" w:rsidRPr="00FF63D1">
      <w:t>93</w:t>
    </w:r>
    <w:r w:rsidRPr="00FF63D1">
      <w:fldChar w:fldCharType="end"/>
    </w:r>
  </w:p>
  <w:p w14:paraId="1C956726" w14:textId="28E4EC34" w:rsidR="00020031" w:rsidRPr="00FF63D1" w:rsidRDefault="000200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827466"/>
      <w:docPartObj>
        <w:docPartGallery w:val="Page Numbers (Bottom of Page)"/>
        <w:docPartUnique/>
      </w:docPartObj>
    </w:sdtPr>
    <w:sdtEndPr/>
    <w:sdtContent>
      <w:p w14:paraId="529F222B" w14:textId="77777777" w:rsidR="00020031" w:rsidRPr="00FF63D1" w:rsidRDefault="00020031">
        <w:pPr>
          <w:pStyle w:val="Footer"/>
          <w:jc w:val="center"/>
          <w:rPr>
            <w:sz w:val="20"/>
          </w:rPr>
        </w:pPr>
        <w:r w:rsidRPr="00FF63D1">
          <w:rPr>
            <w:sz w:val="20"/>
          </w:rPr>
          <w:fldChar w:fldCharType="begin"/>
        </w:r>
        <w:r w:rsidRPr="00FF63D1">
          <w:rPr>
            <w:sz w:val="20"/>
          </w:rPr>
          <w:instrText xml:space="preserve"> PAGE   \* MERGEFORMAT </w:instrText>
        </w:r>
        <w:r w:rsidRPr="00FF63D1">
          <w:rPr>
            <w:sz w:val="20"/>
          </w:rPr>
          <w:fldChar w:fldCharType="separate"/>
        </w:r>
        <w:r w:rsidRPr="00FF63D1">
          <w:rPr>
            <w:sz w:val="20"/>
          </w:rPr>
          <w:t>9</w:t>
        </w:r>
        <w:r w:rsidRPr="00FF63D1">
          <w:rPr>
            <w:sz w:val="20"/>
          </w:rPr>
          <w:fldChar w:fldCharType="end"/>
        </w:r>
      </w:p>
    </w:sdtContent>
  </w:sdt>
  <w:p w14:paraId="3DEEA875" w14:textId="77777777" w:rsidR="00020031" w:rsidRPr="00FF63D1" w:rsidRDefault="000200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3A1A" w14:textId="77777777" w:rsidR="00AC50EF" w:rsidRPr="00FF63D1" w:rsidRDefault="00AC50EF" w:rsidP="139CCFDC">
    <w:pPr>
      <w:pStyle w:val="Footer"/>
      <w:jc w:val="center"/>
    </w:pPr>
    <w:r w:rsidRPr="00FF63D1">
      <w:fldChar w:fldCharType="begin"/>
    </w:r>
    <w:r w:rsidRPr="00FF63D1">
      <w:instrText>PAGE</w:instrText>
    </w:r>
    <w:r w:rsidRPr="00FF63D1">
      <w:fldChar w:fldCharType="separate"/>
    </w:r>
    <w:r w:rsidRPr="00FF63D1">
      <w:t>93</w:t>
    </w:r>
    <w:r w:rsidRPr="00FF63D1">
      <w:fldChar w:fldCharType="end"/>
    </w:r>
  </w:p>
  <w:p w14:paraId="161FC779" w14:textId="77777777" w:rsidR="00AC50EF" w:rsidRPr="00FF63D1" w:rsidRDefault="00AC50E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0ED3" w14:textId="77777777" w:rsidR="00AC50EF" w:rsidRPr="00FF63D1" w:rsidRDefault="00AC50EF" w:rsidP="139CCFDC">
    <w:pPr>
      <w:pStyle w:val="Footer"/>
      <w:jc w:val="center"/>
    </w:pPr>
    <w:r w:rsidRPr="00FF63D1">
      <w:fldChar w:fldCharType="begin"/>
    </w:r>
    <w:r w:rsidRPr="00FF63D1">
      <w:instrText>PAGE</w:instrText>
    </w:r>
    <w:r w:rsidRPr="00FF63D1">
      <w:fldChar w:fldCharType="separate"/>
    </w:r>
    <w:r w:rsidRPr="00FF63D1">
      <w:t>93</w:t>
    </w:r>
    <w:r w:rsidRPr="00FF63D1">
      <w:fldChar w:fldCharType="end"/>
    </w:r>
  </w:p>
  <w:p w14:paraId="0D028162" w14:textId="77777777" w:rsidR="00AC50EF" w:rsidRPr="00FF63D1" w:rsidRDefault="00AC50E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D925" w14:textId="77777777" w:rsidR="008F2465" w:rsidRPr="00FF63D1" w:rsidRDefault="008F2465" w:rsidP="139CCFDC">
    <w:pPr>
      <w:pStyle w:val="Footer"/>
      <w:jc w:val="center"/>
    </w:pPr>
    <w:r w:rsidRPr="00FF63D1">
      <w:fldChar w:fldCharType="begin"/>
    </w:r>
    <w:r w:rsidRPr="00FF63D1">
      <w:instrText>PAGE</w:instrText>
    </w:r>
    <w:r w:rsidRPr="00FF63D1">
      <w:fldChar w:fldCharType="separate"/>
    </w:r>
    <w:r w:rsidRPr="00FF63D1">
      <w:t>93</w:t>
    </w:r>
    <w:r w:rsidRPr="00FF63D1">
      <w:fldChar w:fldCharType="end"/>
    </w:r>
  </w:p>
  <w:p w14:paraId="7F6F4943" w14:textId="77777777" w:rsidR="008F2465" w:rsidRPr="00FF63D1" w:rsidRDefault="008F2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AC97" w14:textId="77777777" w:rsidR="007642E2" w:rsidRPr="00F261DB" w:rsidRDefault="007642E2" w:rsidP="00232A52">
      <w:r w:rsidRPr="00F261DB">
        <w:separator/>
      </w:r>
    </w:p>
  </w:footnote>
  <w:footnote w:type="continuationSeparator" w:id="0">
    <w:p w14:paraId="0DB12E21" w14:textId="77777777" w:rsidR="007642E2" w:rsidRPr="00FF63D1" w:rsidRDefault="007642E2" w:rsidP="00232A52">
      <w:r w:rsidRPr="00FF63D1">
        <w:continuationSeparator/>
      </w:r>
    </w:p>
  </w:footnote>
  <w:footnote w:type="continuationNotice" w:id="1">
    <w:p w14:paraId="72157F02" w14:textId="77777777" w:rsidR="007642E2" w:rsidRPr="00FF63D1" w:rsidRDefault="007642E2"/>
  </w:footnote>
  <w:footnote w:id="2">
    <w:p w14:paraId="5C63EFFD" w14:textId="1560A9BF"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2238E5">
        <w:rPr>
          <w:rFonts w:cs="Times New Roman"/>
          <w:sz w:val="16"/>
          <w:szCs w:val="16"/>
        </w:rPr>
        <w:t xml:space="preserve">Eurostat. </w:t>
      </w:r>
      <w:hyperlink r:id="rId1" w:history="1">
        <w:r w:rsidR="00D60E36" w:rsidRPr="005D2DD4">
          <w:rPr>
            <w:rStyle w:val="Hyperlink"/>
            <w:rFonts w:cs="Times New Roman"/>
            <w:sz w:val="16"/>
            <w:szCs w:val="16"/>
          </w:rPr>
          <w:t>Enterprises by detailed NACE Rev. 2 activity and special aggregates</w:t>
        </w:r>
      </w:hyperlink>
      <w:r w:rsidR="00D60E36">
        <w:rPr>
          <w:rFonts w:cs="Times New Roman"/>
          <w:sz w:val="16"/>
          <w:szCs w:val="16"/>
        </w:rPr>
        <w:t>.</w:t>
      </w:r>
    </w:p>
  </w:footnote>
  <w:footnote w:id="3">
    <w:p w14:paraId="13A4DDBC" w14:textId="7EF040E6" w:rsidR="00705B3C" w:rsidRPr="00266243" w:rsidRDefault="00705B3C">
      <w:pPr>
        <w:pStyle w:val="FootnoteText"/>
        <w:rPr>
          <w:sz w:val="18"/>
          <w:szCs w:val="18"/>
          <w:lang w:val="en-IE"/>
        </w:rPr>
      </w:pPr>
      <w:r w:rsidRPr="00266243">
        <w:rPr>
          <w:rStyle w:val="FootnoteReference"/>
          <w:sz w:val="18"/>
          <w:szCs w:val="18"/>
        </w:rPr>
        <w:footnoteRef/>
      </w:r>
      <w:r w:rsidRPr="00266243">
        <w:rPr>
          <w:sz w:val="18"/>
          <w:szCs w:val="18"/>
        </w:rPr>
        <w:t xml:space="preserve"> </w:t>
      </w:r>
      <w:r w:rsidRPr="00705B3C">
        <w:rPr>
          <w:sz w:val="18"/>
          <w:szCs w:val="18"/>
          <w:lang w:val="en-IE"/>
        </w:rPr>
        <w:t>Eurostat</w:t>
      </w:r>
      <w:r>
        <w:rPr>
          <w:sz w:val="18"/>
          <w:szCs w:val="18"/>
          <w:lang w:val="en-IE"/>
        </w:rPr>
        <w:t xml:space="preserve">. </w:t>
      </w:r>
      <w:hyperlink r:id="rId2" w:history="1">
        <w:r w:rsidR="00A37C0E" w:rsidRPr="00A37C0E">
          <w:rPr>
            <w:rStyle w:val="Hyperlink"/>
            <w:sz w:val="18"/>
            <w:szCs w:val="18"/>
            <w:lang w:val="en-IE"/>
          </w:rPr>
          <w:t>Gross value added and income by main industry (NACE Rev.2 )</w:t>
        </w:r>
      </w:hyperlink>
      <w:r w:rsidR="00A37C0E">
        <w:rPr>
          <w:sz w:val="18"/>
          <w:szCs w:val="18"/>
          <w:lang w:val="en-IE"/>
        </w:rPr>
        <w:t>.</w:t>
      </w:r>
    </w:p>
  </w:footnote>
  <w:footnote w:id="4">
    <w:p w14:paraId="00FAB300" w14:textId="22C17483"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A06C0" w:rsidRPr="00720DA1">
        <w:rPr>
          <w:rFonts w:cs="Times New Roman"/>
          <w:sz w:val="16"/>
          <w:szCs w:val="16"/>
        </w:rPr>
        <w:t>ERT</w:t>
      </w:r>
      <w:r w:rsidR="00BC2734" w:rsidRPr="00720DA1">
        <w:rPr>
          <w:rFonts w:cs="Times New Roman"/>
          <w:sz w:val="16"/>
          <w:szCs w:val="16"/>
        </w:rPr>
        <w:t xml:space="preserve"> (</w:t>
      </w:r>
      <w:r w:rsidR="007A06C0" w:rsidRPr="00720DA1">
        <w:rPr>
          <w:rFonts w:cs="Times New Roman"/>
          <w:sz w:val="16"/>
          <w:szCs w:val="16"/>
        </w:rPr>
        <w:t>2022</w:t>
      </w:r>
      <w:r w:rsidR="00BC2734" w:rsidRPr="00720DA1">
        <w:rPr>
          <w:rFonts w:cs="Times New Roman"/>
          <w:sz w:val="16"/>
          <w:szCs w:val="16"/>
        </w:rPr>
        <w:t>)</w:t>
      </w:r>
      <w:r w:rsidR="00B16AF7" w:rsidRPr="00720DA1">
        <w:rPr>
          <w:rFonts w:cs="Times New Roman"/>
          <w:sz w:val="16"/>
          <w:szCs w:val="16"/>
        </w:rPr>
        <w:t>.</w:t>
      </w:r>
      <w:r w:rsidR="00CE2864" w:rsidRPr="00720DA1">
        <w:rPr>
          <w:rFonts w:cs="Times New Roman"/>
          <w:sz w:val="16"/>
          <w:szCs w:val="16"/>
        </w:rPr>
        <w:t xml:space="preserve"> </w:t>
      </w:r>
      <w:hyperlink r:id="rId3" w:history="1">
        <w:r w:rsidR="00CE2864" w:rsidRPr="00720DA1">
          <w:rPr>
            <w:rStyle w:val="Hyperlink"/>
            <w:rFonts w:cs="Times New Roman"/>
            <w:sz w:val="16"/>
            <w:szCs w:val="16"/>
          </w:rPr>
          <w:t>European Competitiveness and Industry – Benchmarking Report 2022.</w:t>
        </w:r>
      </w:hyperlink>
    </w:p>
  </w:footnote>
  <w:footnote w:id="5">
    <w:p w14:paraId="2CB1C4AB" w14:textId="7EF5B479"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005A0E70" w:rsidRPr="00720DA1">
        <w:rPr>
          <w:rFonts w:cs="Times New Roman"/>
          <w:sz w:val="16"/>
          <w:szCs w:val="16"/>
        </w:rPr>
        <w:t xml:space="preserve"> </w:t>
      </w:r>
      <w:r w:rsidR="008D3DC4" w:rsidRPr="00720DA1">
        <w:rPr>
          <w:rFonts w:cs="Times New Roman"/>
          <w:sz w:val="16"/>
          <w:szCs w:val="16"/>
        </w:rPr>
        <w:t xml:space="preserve">Draghi, M. (2024). </w:t>
      </w:r>
      <w:hyperlink r:id="rId4" w:history="1">
        <w:r w:rsidR="008D3DC4">
          <w:rPr>
            <w:rStyle w:val="Hyperlink"/>
            <w:rFonts w:cs="Times New Roman"/>
            <w:sz w:val="16"/>
            <w:szCs w:val="16"/>
          </w:rPr>
          <w:t>The future of European competitiveness: A competitiveness strategy for Europe (Part A)</w:t>
        </w:r>
      </w:hyperlink>
      <w:r w:rsidR="00A576F6" w:rsidRPr="00720DA1">
        <w:rPr>
          <w:rFonts w:cs="Times New Roman"/>
          <w:sz w:val="16"/>
          <w:szCs w:val="16"/>
        </w:rPr>
        <w:t>, p.28</w:t>
      </w:r>
    </w:p>
  </w:footnote>
  <w:footnote w:id="6">
    <w:p w14:paraId="3AD29A68" w14:textId="77777777" w:rsidR="00285741" w:rsidRPr="00720DA1" w:rsidRDefault="00285741">
      <w:pPr>
        <w:pStyle w:val="FootnoteText"/>
        <w:rPr>
          <w:rStyle w:val="FootnoteReference"/>
          <w:rFonts w:cs="Times New Roman"/>
          <w:sz w:val="16"/>
          <w:szCs w:val="16"/>
        </w:rPr>
      </w:pPr>
      <w:r w:rsidRPr="00720DA1">
        <w:rPr>
          <w:rStyle w:val="FootnoteReference"/>
          <w:rFonts w:cs="Times New Roman"/>
          <w:sz w:val="16"/>
          <w:szCs w:val="16"/>
        </w:rPr>
        <w:footnoteRef/>
      </w:r>
      <w:r w:rsidRPr="00720DA1">
        <w:rPr>
          <w:rStyle w:val="FootnoteReference"/>
          <w:rFonts w:cs="Times New Roman"/>
          <w:sz w:val="16"/>
          <w:szCs w:val="16"/>
        </w:rPr>
        <w:t xml:space="preserve"> </w:t>
      </w:r>
      <w:r w:rsidRPr="00720DA1">
        <w:rPr>
          <w:rFonts w:cs="Times New Roman"/>
          <w:sz w:val="16"/>
          <w:szCs w:val="16"/>
        </w:rPr>
        <w:t>Steel, aluminium and chemicals.</w:t>
      </w:r>
    </w:p>
  </w:footnote>
  <w:footnote w:id="7">
    <w:p w14:paraId="3C7A554C" w14:textId="51CF176A" w:rsidR="00285741" w:rsidRPr="00720DA1" w:rsidRDefault="00285741" w:rsidP="00793CFD">
      <w:pPr>
        <w:pStyle w:val="FootnoteText"/>
        <w:rPr>
          <w:sz w:val="16"/>
          <w:szCs w:val="16"/>
        </w:rPr>
      </w:pPr>
      <w:r w:rsidRPr="00720DA1">
        <w:rPr>
          <w:rStyle w:val="FootnoteReference"/>
          <w:sz w:val="16"/>
          <w:szCs w:val="16"/>
        </w:rPr>
        <w:footnoteRef/>
      </w:r>
      <w:r w:rsidR="009F0533">
        <w:rPr>
          <w:sz w:val="16"/>
          <w:szCs w:val="16"/>
        </w:rPr>
        <w:t xml:space="preserve"> </w:t>
      </w:r>
      <w:r w:rsidR="009F0533" w:rsidRPr="009E641A">
        <w:rPr>
          <w:sz w:val="16"/>
          <w:szCs w:val="16"/>
        </w:rPr>
        <w:t>Eurostat (2023).</w:t>
      </w:r>
      <w:r w:rsidRPr="009E641A">
        <w:rPr>
          <w:sz w:val="16"/>
          <w:szCs w:val="16"/>
        </w:rPr>
        <w:t xml:space="preserve"> </w:t>
      </w:r>
      <w:hyperlink r:id="rId5" w:history="1">
        <w:r w:rsidR="009F0533" w:rsidRPr="009E641A">
          <w:rPr>
            <w:rStyle w:val="Hyperlink"/>
            <w:sz w:val="16"/>
            <w:szCs w:val="16"/>
          </w:rPr>
          <w:t>Air emissions accounts by NACE Rev. 2 activity</w:t>
        </w:r>
      </w:hyperlink>
      <w:r w:rsidR="009F0533">
        <w:t>.</w:t>
      </w:r>
    </w:p>
  </w:footnote>
  <w:footnote w:id="8">
    <w:p w14:paraId="3C2707BF" w14:textId="0A1892AF" w:rsidR="00285741" w:rsidRPr="00720DA1" w:rsidRDefault="00285741" w:rsidP="00CE1464">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14927">
        <w:rPr>
          <w:rFonts w:cs="Times New Roman"/>
          <w:sz w:val="16"/>
          <w:szCs w:val="16"/>
        </w:rPr>
        <w:t xml:space="preserve">European Commission (2021). </w:t>
      </w:r>
      <w:hyperlink r:id="rId6" w:history="1">
        <w:r w:rsidR="00EF65EA" w:rsidRPr="000475CE">
          <w:rPr>
            <w:rStyle w:val="Hyperlink"/>
            <w:rFonts w:cs="Times New Roman"/>
            <w:sz w:val="16"/>
            <w:szCs w:val="16"/>
          </w:rPr>
          <w:t>Commission Staff Working Document, Annual Single Market Report 2021, accompanying the Communication from the Commission to the Eur</w:t>
        </w:r>
        <w:bookmarkStart w:id="10" w:name="_Hlt222054663"/>
        <w:bookmarkStart w:id="11" w:name="_Hlt222054664"/>
        <w:r w:rsidR="00EF65EA" w:rsidRPr="000475CE">
          <w:rPr>
            <w:rStyle w:val="Hyperlink"/>
            <w:rFonts w:cs="Times New Roman"/>
            <w:sz w:val="16"/>
            <w:szCs w:val="16"/>
          </w:rPr>
          <w:t>o</w:t>
        </w:r>
        <w:bookmarkEnd w:id="10"/>
        <w:bookmarkEnd w:id="11"/>
        <w:r w:rsidR="00EF65EA" w:rsidRPr="000475CE">
          <w:rPr>
            <w:rStyle w:val="Hyperlink"/>
            <w:rFonts w:cs="Times New Roman"/>
            <w:sz w:val="16"/>
            <w:szCs w:val="16"/>
          </w:rPr>
          <w:t>pean Parliament, the Council, the European Economic and Social Committee and the Committee of the Regions: Updating the 2020 New Industrial Strategy: Building a stronger Single Market for Europe's recovery</w:t>
        </w:r>
      </w:hyperlink>
      <w:r w:rsidR="000475CE">
        <w:rPr>
          <w:rFonts w:cs="Times New Roman"/>
          <w:sz w:val="16"/>
          <w:szCs w:val="16"/>
        </w:rPr>
        <w:t>,</w:t>
      </w:r>
      <w:r w:rsidR="00CE1464">
        <w:rPr>
          <w:rFonts w:cs="Times New Roman"/>
          <w:sz w:val="16"/>
          <w:szCs w:val="16"/>
        </w:rPr>
        <w:t xml:space="preserve"> </w:t>
      </w:r>
      <w:r w:rsidR="000475CE" w:rsidRPr="000475CE">
        <w:rPr>
          <w:rFonts w:cs="Times New Roman"/>
          <w:sz w:val="16"/>
          <w:szCs w:val="16"/>
        </w:rPr>
        <w:t>COM(2021) 350 final</w:t>
      </w:r>
      <w:r w:rsidRPr="00720DA1">
        <w:rPr>
          <w:rFonts w:cs="Times New Roman"/>
          <w:sz w:val="16"/>
          <w:szCs w:val="16"/>
        </w:rPr>
        <w:t>, p.12</w:t>
      </w:r>
      <w:r w:rsidR="00A823D7">
        <w:rPr>
          <w:rFonts w:cs="Times New Roman"/>
          <w:sz w:val="16"/>
          <w:szCs w:val="16"/>
        </w:rPr>
        <w:t>0</w:t>
      </w:r>
      <w:r w:rsidRPr="00720DA1">
        <w:rPr>
          <w:rFonts w:cs="Times New Roman"/>
          <w:sz w:val="16"/>
          <w:szCs w:val="16"/>
        </w:rPr>
        <w:t>.</w:t>
      </w:r>
    </w:p>
  </w:footnote>
  <w:footnote w:id="9">
    <w:p w14:paraId="4060FAA3" w14:textId="45A1630A"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7256C" w:rsidRPr="00720DA1">
        <w:rPr>
          <w:rFonts w:cs="Times New Roman"/>
          <w:sz w:val="16"/>
          <w:szCs w:val="16"/>
        </w:rPr>
        <w:t>European Commission</w:t>
      </w:r>
      <w:r w:rsidR="00B16AF7" w:rsidRPr="00720DA1">
        <w:rPr>
          <w:rFonts w:cs="Times New Roman"/>
          <w:sz w:val="16"/>
          <w:szCs w:val="16"/>
        </w:rPr>
        <w:t xml:space="preserve"> (</w:t>
      </w:r>
      <w:r w:rsidR="00F469D4" w:rsidRPr="00720DA1">
        <w:rPr>
          <w:rFonts w:cs="Times New Roman"/>
          <w:sz w:val="16"/>
          <w:szCs w:val="16"/>
        </w:rPr>
        <w:t>2025</w:t>
      </w:r>
      <w:r w:rsidR="00B16AF7" w:rsidRPr="00720DA1">
        <w:rPr>
          <w:rFonts w:cs="Times New Roman"/>
          <w:sz w:val="16"/>
          <w:szCs w:val="16"/>
        </w:rPr>
        <w:t>)</w:t>
      </w:r>
      <w:r w:rsidR="00F469D4" w:rsidRPr="00720DA1">
        <w:rPr>
          <w:rFonts w:cs="Times New Roman"/>
          <w:sz w:val="16"/>
          <w:szCs w:val="16"/>
        </w:rPr>
        <w:t>.</w:t>
      </w:r>
      <w:r w:rsidR="0077256C" w:rsidRPr="00720DA1">
        <w:rPr>
          <w:rFonts w:cs="Times New Roman"/>
          <w:sz w:val="16"/>
          <w:szCs w:val="16"/>
        </w:rPr>
        <w:t xml:space="preserve"> </w:t>
      </w:r>
      <w:hyperlink r:id="rId7" w:history="1">
        <w:r w:rsidRPr="00720DA1">
          <w:rPr>
            <w:rStyle w:val="Hyperlink"/>
            <w:rFonts w:cs="Times New Roman"/>
            <w:color w:val="auto"/>
            <w:sz w:val="16"/>
            <w:szCs w:val="16"/>
          </w:rPr>
          <w:t>A Competitiveness Compass for the EU, COM(2025) 30 final</w:t>
        </w:r>
      </w:hyperlink>
      <w:r w:rsidRPr="00720DA1">
        <w:rPr>
          <w:rFonts w:cs="Times New Roman"/>
          <w:sz w:val="16"/>
          <w:szCs w:val="16"/>
        </w:rPr>
        <w:t xml:space="preserve">, 29 January 2025. </w:t>
      </w:r>
    </w:p>
  </w:footnote>
  <w:footnote w:id="10">
    <w:p w14:paraId="637C074B"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Net-zero technologies include solar technologies, onshore wind and offshore renewable, battery and energy storage, heat pumps, hydrogen technologies, electricity grid, and other technologies listed under Article 4 of the NZIA.</w:t>
      </w:r>
    </w:p>
  </w:footnote>
  <w:footnote w:id="11">
    <w:p w14:paraId="2830BE69" w14:textId="0F680CE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3568B" w:rsidRPr="00720DA1">
        <w:rPr>
          <w:rFonts w:cs="Times New Roman"/>
          <w:sz w:val="16"/>
          <w:szCs w:val="16"/>
        </w:rPr>
        <w:t xml:space="preserve">IEA (2024). </w:t>
      </w:r>
      <w:hyperlink r:id="rId8" w:history="1">
        <w:r w:rsidR="0093568B" w:rsidRPr="00720DA1">
          <w:rPr>
            <w:rStyle w:val="Hyperlink"/>
            <w:rFonts w:cs="Times New Roman"/>
            <w:sz w:val="16"/>
            <w:szCs w:val="16"/>
          </w:rPr>
          <w:t>Energy Technology Perspectives 2024</w:t>
        </w:r>
      </w:hyperlink>
      <w:r w:rsidR="0093568B" w:rsidRPr="00720DA1">
        <w:rPr>
          <w:sz w:val="16"/>
          <w:szCs w:val="16"/>
        </w:rPr>
        <w:t>.</w:t>
      </w:r>
      <w:r w:rsidRPr="00720DA1">
        <w:rPr>
          <w:rFonts w:cs="Times New Roman"/>
          <w:sz w:val="16"/>
          <w:szCs w:val="16"/>
        </w:rPr>
        <w:t xml:space="preserve"> </w:t>
      </w:r>
    </w:p>
  </w:footnote>
  <w:footnote w:id="12">
    <w:p w14:paraId="710586C7" w14:textId="7885D51D"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3568B" w:rsidRPr="00720DA1">
        <w:rPr>
          <w:rFonts w:cs="Times New Roman"/>
          <w:sz w:val="16"/>
          <w:szCs w:val="16"/>
        </w:rPr>
        <w:t xml:space="preserve">IEA (2024). </w:t>
      </w:r>
      <w:hyperlink r:id="rId9" w:history="1">
        <w:r w:rsidR="0093568B" w:rsidRPr="00720DA1">
          <w:rPr>
            <w:rStyle w:val="Hyperlink"/>
            <w:rFonts w:cs="Times New Roman"/>
            <w:sz w:val="16"/>
            <w:szCs w:val="16"/>
          </w:rPr>
          <w:t>Energy Technology Perspectives 2024</w:t>
        </w:r>
      </w:hyperlink>
      <w:r w:rsidR="0093568B" w:rsidRPr="00720DA1">
        <w:rPr>
          <w:sz w:val="16"/>
          <w:szCs w:val="16"/>
        </w:rPr>
        <w:t>.</w:t>
      </w:r>
      <w:r w:rsidRPr="00720DA1">
        <w:rPr>
          <w:rFonts w:cs="Times New Roman"/>
          <w:sz w:val="16"/>
          <w:szCs w:val="16"/>
        </w:rPr>
        <w:t xml:space="preserve"> </w:t>
      </w:r>
    </w:p>
  </w:footnote>
  <w:footnote w:id="13">
    <w:p w14:paraId="7C1068D1" w14:textId="49BBFDB0"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DD4944" w:rsidRPr="00720DA1">
        <w:rPr>
          <w:rFonts w:cs="Times New Roman"/>
          <w:sz w:val="16"/>
          <w:szCs w:val="16"/>
        </w:rPr>
        <w:t>European Commission (2025).</w:t>
      </w:r>
      <w:r w:rsidRPr="00720DA1">
        <w:rPr>
          <w:rFonts w:cs="Times New Roman"/>
          <w:sz w:val="16"/>
          <w:szCs w:val="16"/>
        </w:rPr>
        <w:t xml:space="preserve"> </w:t>
      </w:r>
      <w:hyperlink r:id="rId10" w:history="1">
        <w:r w:rsidRPr="00720DA1">
          <w:rPr>
            <w:rStyle w:val="Hyperlink"/>
            <w:rFonts w:cs="Times New Roman"/>
            <w:color w:val="auto"/>
            <w:sz w:val="16"/>
            <w:szCs w:val="16"/>
          </w:rPr>
          <w:t>Competitiveness Progress Report on Clean Energy Technologies</w:t>
        </w:r>
      </w:hyperlink>
      <w:r w:rsidRPr="00720DA1">
        <w:rPr>
          <w:rFonts w:cs="Times New Roman"/>
          <w:sz w:val="16"/>
          <w:szCs w:val="16"/>
        </w:rPr>
        <w:t>, COM(2025) 74 final, 26 February 2025.</w:t>
      </w:r>
    </w:p>
  </w:footnote>
  <w:footnote w:id="14">
    <w:p w14:paraId="1C9202C1" w14:textId="4542B39F"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E641A" w:rsidRPr="009E641A">
        <w:rPr>
          <w:rFonts w:cs="Times New Roman"/>
          <w:sz w:val="16"/>
          <w:szCs w:val="16"/>
        </w:rPr>
        <w:t>The Antwerp Declaration for a European Industrial Deal</w:t>
      </w:r>
      <w:r w:rsidR="00D95E8E" w:rsidRPr="009E641A">
        <w:rPr>
          <w:sz w:val="16"/>
          <w:szCs w:val="16"/>
        </w:rPr>
        <w:t xml:space="preserve"> </w:t>
      </w:r>
      <w:r w:rsidR="00031057">
        <w:rPr>
          <w:sz w:val="16"/>
          <w:szCs w:val="16"/>
        </w:rPr>
        <w:t xml:space="preserve">webpage </w:t>
      </w:r>
      <w:r w:rsidR="00D95E8E" w:rsidRPr="009E641A">
        <w:rPr>
          <w:sz w:val="16"/>
          <w:szCs w:val="16"/>
        </w:rPr>
        <w:t>(2024).</w:t>
      </w:r>
      <w:r w:rsidR="00031057" w:rsidRPr="00031057">
        <w:t xml:space="preserve"> </w:t>
      </w:r>
      <w:hyperlink r:id="rId11" w:history="1">
        <w:r w:rsidR="00031057" w:rsidRPr="00031057">
          <w:rPr>
            <w:rStyle w:val="Hyperlink"/>
            <w:rFonts w:cs="Times New Roman"/>
            <w:sz w:val="16"/>
            <w:szCs w:val="16"/>
          </w:rPr>
          <w:t>About the Antwerp Declaration</w:t>
        </w:r>
      </w:hyperlink>
      <w:r w:rsidR="00031057">
        <w:rPr>
          <w:rFonts w:cs="Times New Roman"/>
          <w:sz w:val="16"/>
          <w:szCs w:val="16"/>
        </w:rPr>
        <w:t xml:space="preserve">. </w:t>
      </w:r>
    </w:p>
  </w:footnote>
  <w:footnote w:id="15">
    <w:p w14:paraId="28805E16" w14:textId="6D2BBC68"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C15FD6" w:rsidRPr="00720DA1">
        <w:rPr>
          <w:sz w:val="16"/>
          <w:szCs w:val="16"/>
        </w:rPr>
        <w:t>European Commission (2023).</w:t>
      </w:r>
      <w:r w:rsidRPr="00720DA1">
        <w:rPr>
          <w:sz w:val="16"/>
          <w:szCs w:val="16"/>
        </w:rPr>
        <w:t xml:space="preserve"> </w:t>
      </w:r>
      <w:hyperlink r:id="rId12" w:history="1">
        <w:r w:rsidRPr="00720DA1">
          <w:rPr>
            <w:rStyle w:val="Hyperlink"/>
            <w:sz w:val="16"/>
            <w:szCs w:val="16"/>
          </w:rPr>
          <w:t xml:space="preserve">Joint Communication to </w:t>
        </w:r>
        <w:r w:rsidR="00E3710D" w:rsidRPr="00720DA1">
          <w:rPr>
            <w:rStyle w:val="Hyperlink"/>
            <w:sz w:val="16"/>
            <w:szCs w:val="16"/>
          </w:rPr>
          <w:t>t</w:t>
        </w:r>
        <w:r w:rsidRPr="00720DA1">
          <w:rPr>
            <w:rStyle w:val="Hyperlink"/>
            <w:sz w:val="16"/>
            <w:szCs w:val="16"/>
          </w:rPr>
          <w:t xml:space="preserve">he European Parliament, </w:t>
        </w:r>
        <w:r w:rsidR="00E3710D" w:rsidRPr="00720DA1">
          <w:rPr>
            <w:rStyle w:val="Hyperlink"/>
            <w:sz w:val="16"/>
            <w:szCs w:val="16"/>
          </w:rPr>
          <w:t>t</w:t>
        </w:r>
        <w:r w:rsidRPr="00720DA1">
          <w:rPr>
            <w:rStyle w:val="Hyperlink"/>
            <w:sz w:val="16"/>
            <w:szCs w:val="16"/>
          </w:rPr>
          <w:t xml:space="preserve">he European Council and </w:t>
        </w:r>
        <w:r w:rsidR="00E3710D" w:rsidRPr="00720DA1">
          <w:rPr>
            <w:rStyle w:val="Hyperlink"/>
            <w:sz w:val="16"/>
            <w:szCs w:val="16"/>
          </w:rPr>
          <w:t>t</w:t>
        </w:r>
        <w:r w:rsidRPr="00720DA1">
          <w:rPr>
            <w:rStyle w:val="Hyperlink"/>
            <w:sz w:val="16"/>
            <w:szCs w:val="16"/>
          </w:rPr>
          <w:t xml:space="preserve">he Council </w:t>
        </w:r>
        <w:r w:rsidR="00E3710D" w:rsidRPr="00720DA1">
          <w:rPr>
            <w:rStyle w:val="Hyperlink"/>
            <w:sz w:val="16"/>
            <w:szCs w:val="16"/>
          </w:rPr>
          <w:t>o</w:t>
        </w:r>
        <w:r w:rsidRPr="00720DA1">
          <w:rPr>
            <w:rStyle w:val="Hyperlink"/>
            <w:sz w:val="16"/>
            <w:szCs w:val="16"/>
          </w:rPr>
          <w:t>n “European Economic Security Strategy”</w:t>
        </w:r>
      </w:hyperlink>
      <w:r w:rsidR="00E3710D" w:rsidRPr="00720DA1">
        <w:rPr>
          <w:sz w:val="16"/>
          <w:szCs w:val="16"/>
        </w:rPr>
        <w:t>.</w:t>
      </w:r>
    </w:p>
  </w:footnote>
  <w:footnote w:id="16">
    <w:p w14:paraId="5FA63FC4"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Style w:val="FootnoteReference"/>
          <w:rFonts w:cs="Times New Roman"/>
          <w:sz w:val="16"/>
          <w:szCs w:val="16"/>
        </w:rPr>
        <w:t xml:space="preserve"> </w:t>
      </w:r>
      <w:hyperlink r:id="rId13" w:history="1">
        <w:r w:rsidRPr="00720DA1">
          <w:rPr>
            <w:rStyle w:val="Hyperlink"/>
            <w:rFonts w:cs="Times New Roman"/>
            <w:sz w:val="16"/>
            <w:szCs w:val="16"/>
          </w:rPr>
          <w:t>Commission Recommendation C(2023) 6689</w:t>
        </w:r>
      </w:hyperlink>
      <w:r w:rsidRPr="00720DA1">
        <w:rPr>
          <w:rFonts w:cs="Times New Roman"/>
          <w:sz w:val="16"/>
          <w:szCs w:val="16"/>
        </w:rPr>
        <w:t xml:space="preserve"> identifies ten critical technology areas for the EU’s economic security: 1) Advanced semiconductors technologies; 2) Artificial intelligence technologies; 3) Quantum technologies; 4) Biotechnologies; 5) Advanced connectivity, navigation and digital technologies; 6) Advanced sensing technologies; 7) Space and propulsion technologies; 8) Energy technologies; 9) Robotics and autonomous systems; and 10) Advanced materials, manufacturing and recycling technologies.</w:t>
      </w:r>
    </w:p>
  </w:footnote>
  <w:footnote w:id="17">
    <w:p w14:paraId="07E930E0" w14:textId="0AE04F67" w:rsidR="00285741" w:rsidRPr="00720DA1" w:rsidRDefault="00285741" w:rsidP="00793CFD">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367A8B" w:rsidRPr="00720DA1">
        <w:rPr>
          <w:rFonts w:cs="Times New Roman"/>
          <w:sz w:val="16"/>
          <w:szCs w:val="16"/>
        </w:rPr>
        <w:t>European Commission (2025),</w:t>
      </w:r>
      <w:r w:rsidRPr="00720DA1">
        <w:rPr>
          <w:rFonts w:cs="Times New Roman"/>
          <w:sz w:val="16"/>
          <w:szCs w:val="16"/>
        </w:rPr>
        <w:t xml:space="preserve"> </w:t>
      </w:r>
      <w:hyperlink r:id="rId14" w:history="1">
        <w:r w:rsidRPr="00720DA1">
          <w:rPr>
            <w:rStyle w:val="Hyperlink"/>
            <w:rFonts w:cs="Times New Roman"/>
            <w:sz w:val="16"/>
            <w:szCs w:val="16"/>
          </w:rPr>
          <w:t>The Clean Industrial Deal: A joint roadmap for competitiveness and decarbonisation</w:t>
        </w:r>
      </w:hyperlink>
      <w:r w:rsidRPr="00720DA1">
        <w:rPr>
          <w:rFonts w:cs="Times New Roman"/>
          <w:sz w:val="16"/>
          <w:szCs w:val="16"/>
        </w:rPr>
        <w:t xml:space="preserve">, COM(2025) 85 final, 26 February 2025. </w:t>
      </w:r>
    </w:p>
  </w:footnote>
  <w:footnote w:id="18">
    <w:p w14:paraId="1804BFB8" w14:textId="7C9B3A29"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26FCA" w:rsidRPr="00720DA1">
        <w:rPr>
          <w:rFonts w:cs="Times New Roman"/>
          <w:sz w:val="16"/>
          <w:szCs w:val="16"/>
        </w:rPr>
        <w:t>European Council</w:t>
      </w:r>
      <w:r w:rsidR="008B3C23" w:rsidRPr="00720DA1">
        <w:rPr>
          <w:rFonts w:cs="Times New Roman"/>
          <w:sz w:val="16"/>
          <w:szCs w:val="16"/>
        </w:rPr>
        <w:t xml:space="preserve"> (2024). </w:t>
      </w:r>
      <w:hyperlink r:id="rId15" w:history="1">
        <w:r w:rsidR="008B3C23" w:rsidRPr="00720DA1">
          <w:rPr>
            <w:rStyle w:val="Hyperlink"/>
            <w:rFonts w:cs="Times New Roman"/>
            <w:sz w:val="16"/>
            <w:szCs w:val="16"/>
          </w:rPr>
          <w:t>Budapest Declaration on the New European Competitiveness Dea</w:t>
        </w:r>
        <w:r w:rsidR="00F41BCA" w:rsidRPr="00720DA1">
          <w:rPr>
            <w:rStyle w:val="Hyperlink"/>
            <w:rFonts w:cs="Times New Roman"/>
            <w:sz w:val="16"/>
            <w:szCs w:val="16"/>
          </w:rPr>
          <w:t>l</w:t>
        </w:r>
      </w:hyperlink>
      <w:r w:rsidR="00E82265" w:rsidRPr="00720DA1">
        <w:rPr>
          <w:rFonts w:cs="Times New Roman"/>
          <w:sz w:val="16"/>
          <w:szCs w:val="16"/>
        </w:rPr>
        <w:t>, adopted 8 November 2024.</w:t>
      </w:r>
    </w:p>
  </w:footnote>
  <w:footnote w:id="19">
    <w:p w14:paraId="093BAE1E"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16" w:history="1">
        <w:r w:rsidRPr="00720DA1">
          <w:rPr>
            <w:rStyle w:val="Hyperlink"/>
            <w:rFonts w:cs="Times New Roman"/>
            <w:sz w:val="16"/>
            <w:szCs w:val="16"/>
          </w:rPr>
          <w:t>European Council Conclusions, March 2025</w:t>
        </w:r>
      </w:hyperlink>
      <w:r w:rsidRPr="00720DA1">
        <w:rPr>
          <w:rFonts w:cs="Times New Roman"/>
          <w:sz w:val="16"/>
          <w:szCs w:val="16"/>
        </w:rPr>
        <w:t xml:space="preserve">. </w:t>
      </w:r>
    </w:p>
  </w:footnote>
  <w:footnote w:id="20">
    <w:p w14:paraId="5193782F" w14:textId="4375930B"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European Parliament</w:t>
      </w:r>
      <w:r w:rsidR="00195EC2" w:rsidRPr="00720DA1">
        <w:rPr>
          <w:rFonts w:cs="Times New Roman"/>
          <w:sz w:val="16"/>
          <w:szCs w:val="16"/>
        </w:rPr>
        <w:t xml:space="preserve"> (2025).</w:t>
      </w:r>
      <w:r w:rsidRPr="00720DA1">
        <w:rPr>
          <w:rFonts w:cs="Times New Roman"/>
          <w:sz w:val="16"/>
          <w:szCs w:val="16"/>
        </w:rPr>
        <w:t xml:space="preserve"> </w:t>
      </w:r>
      <w:hyperlink r:id="rId17" w:history="1">
        <w:r w:rsidRPr="00720DA1">
          <w:rPr>
            <w:rStyle w:val="Hyperlink"/>
            <w:rFonts w:cs="Times New Roman"/>
            <w:sz w:val="16"/>
            <w:szCs w:val="16"/>
          </w:rPr>
          <w:t>Resolution on energy-intensive industries</w:t>
        </w:r>
      </w:hyperlink>
      <w:r w:rsidRPr="00720DA1">
        <w:rPr>
          <w:rFonts w:cs="Times New Roman"/>
          <w:sz w:val="16"/>
          <w:szCs w:val="16"/>
        </w:rPr>
        <w:t xml:space="preserve">, 3 April 2025. </w:t>
      </w:r>
    </w:p>
  </w:footnote>
  <w:footnote w:id="21">
    <w:p w14:paraId="21768143" w14:textId="4BAC93FF"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01072" w:rsidRPr="00720DA1">
        <w:rPr>
          <w:rFonts w:cs="Times New Roman"/>
          <w:sz w:val="16"/>
          <w:szCs w:val="16"/>
        </w:rPr>
        <w:t>European Commission (2025).</w:t>
      </w:r>
      <w:r w:rsidRPr="00720DA1">
        <w:rPr>
          <w:rFonts w:cs="Times New Roman"/>
          <w:sz w:val="16"/>
          <w:szCs w:val="16"/>
        </w:rPr>
        <w:t xml:space="preserve"> </w:t>
      </w:r>
      <w:hyperlink r:id="rId18" w:history="1">
        <w:r w:rsidRPr="00720DA1">
          <w:rPr>
            <w:rStyle w:val="Hyperlink"/>
            <w:rFonts w:cs="Times New Roman"/>
            <w:sz w:val="16"/>
            <w:szCs w:val="16"/>
          </w:rPr>
          <w:t>A European Steel and Metals Action Plan</w:t>
        </w:r>
      </w:hyperlink>
      <w:r w:rsidRPr="00720DA1">
        <w:rPr>
          <w:rFonts w:cs="Times New Roman"/>
          <w:sz w:val="16"/>
          <w:szCs w:val="16"/>
        </w:rPr>
        <w:t>, COM(2025) 125 final, 19 March 2025.</w:t>
      </w:r>
    </w:p>
  </w:footnote>
  <w:footnote w:id="22">
    <w:p w14:paraId="5A49A72D" w14:textId="5D37F659"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000A3EC5" w:rsidRPr="00720DA1">
        <w:rPr>
          <w:rFonts w:cs="Times New Roman"/>
          <w:sz w:val="16"/>
          <w:szCs w:val="16"/>
        </w:rPr>
        <w:t xml:space="preserve"> European Commission (2025).</w:t>
      </w:r>
      <w:r w:rsidRPr="00720DA1">
        <w:rPr>
          <w:rFonts w:cs="Times New Roman"/>
          <w:sz w:val="16"/>
          <w:szCs w:val="16"/>
        </w:rPr>
        <w:t xml:space="preserve"> </w:t>
      </w:r>
      <w:hyperlink r:id="rId19" w:history="1">
        <w:r w:rsidRPr="00720DA1">
          <w:rPr>
            <w:rStyle w:val="Hyperlink"/>
            <w:rFonts w:cs="Times New Roman"/>
            <w:sz w:val="16"/>
            <w:szCs w:val="16"/>
          </w:rPr>
          <w:t>A European Chemicals Industry Action Plan</w:t>
        </w:r>
      </w:hyperlink>
      <w:r w:rsidRPr="00720DA1">
        <w:rPr>
          <w:rFonts w:cs="Times New Roman"/>
          <w:sz w:val="16"/>
          <w:szCs w:val="16"/>
        </w:rPr>
        <w:t>, COM 2025 530 final, 8 July 2025.</w:t>
      </w:r>
    </w:p>
  </w:footnote>
  <w:footnote w:id="23">
    <w:p w14:paraId="569F6042" w14:textId="272D8084"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0A3EC5" w:rsidRPr="00720DA1">
        <w:rPr>
          <w:rFonts w:cs="Times New Roman"/>
          <w:sz w:val="16"/>
          <w:szCs w:val="16"/>
        </w:rPr>
        <w:t>European Commission (2025).</w:t>
      </w:r>
      <w:r w:rsidRPr="00720DA1">
        <w:rPr>
          <w:rFonts w:cs="Times New Roman"/>
          <w:sz w:val="16"/>
          <w:szCs w:val="16"/>
        </w:rPr>
        <w:t xml:space="preserve"> </w:t>
      </w:r>
      <w:hyperlink r:id="rId20" w:history="1">
        <w:r w:rsidRPr="00720DA1">
          <w:rPr>
            <w:rStyle w:val="Hyperlink"/>
            <w:rFonts w:cs="Times New Roman"/>
            <w:sz w:val="16"/>
            <w:szCs w:val="16"/>
          </w:rPr>
          <w:t>Industrial Action Plan for the European automotive sector</w:t>
        </w:r>
      </w:hyperlink>
      <w:r w:rsidRPr="00720DA1">
        <w:rPr>
          <w:rFonts w:cs="Times New Roman"/>
          <w:sz w:val="16"/>
          <w:szCs w:val="16"/>
        </w:rPr>
        <w:t>, COM(2025) 95 final, 5 March 2025.</w:t>
      </w:r>
    </w:p>
  </w:footnote>
  <w:footnote w:id="24">
    <w:p w14:paraId="3B3CA7EE"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21" w:history="1">
        <w:r w:rsidRPr="00720DA1">
          <w:rPr>
            <w:rStyle w:val="Hyperlink"/>
            <w:rFonts w:cs="Times New Roman"/>
            <w:sz w:val="16"/>
            <w:szCs w:val="16"/>
          </w:rPr>
          <w:t>Directive 2003/87/EC establishing a system for greenhouse gas emission allowance trading within the Union and amending Council Directive 96/61/EC</w:t>
        </w:r>
      </w:hyperlink>
      <w:r w:rsidRPr="00720DA1">
        <w:rPr>
          <w:rFonts w:cs="Times New Roman"/>
          <w:sz w:val="16"/>
          <w:szCs w:val="16"/>
        </w:rPr>
        <w:t>.</w:t>
      </w:r>
    </w:p>
  </w:footnote>
  <w:footnote w:id="25">
    <w:p w14:paraId="21033B24" w14:textId="47E4B85A"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Style w:val="Hyperlink"/>
          <w:rFonts w:cs="Times New Roman"/>
          <w:sz w:val="16"/>
          <w:szCs w:val="16"/>
        </w:rPr>
        <w:t>Regulation (EU) 2024/1735 of the European Parliament and of the Council of 13 June 2024 on establishing a framework of measures for strengthening Europe’s net-zero technology manufacturing ecosystem</w:t>
      </w:r>
      <w:r w:rsidR="004A6656" w:rsidRPr="00720DA1">
        <w:rPr>
          <w:rStyle w:val="Hyperlink"/>
          <w:rFonts w:cs="Times New Roman"/>
          <w:sz w:val="16"/>
          <w:szCs w:val="16"/>
        </w:rPr>
        <w:t>.</w:t>
      </w:r>
    </w:p>
  </w:footnote>
  <w:footnote w:id="26">
    <w:p w14:paraId="14009A37" w14:textId="6DE50A82" w:rsidR="00285741" w:rsidRPr="00720DA1" w:rsidRDefault="00285741" w:rsidP="00AC50EF">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22" w:history="1">
        <w:r w:rsidRPr="00720DA1">
          <w:rPr>
            <w:rStyle w:val="Hyperlink"/>
            <w:rFonts w:cs="Times New Roman"/>
            <w:sz w:val="16"/>
            <w:szCs w:val="16"/>
          </w:rPr>
          <w:t>Regulation (EU) 2023/1542 of the European Parliament and of the Council of 12 July 2023 concerning batteries and waste batteries, amending Directive 2008/98/EC and Regulation (EU) 2019/1020 and repealing Directive 2006/66/EC</w:t>
        </w:r>
      </w:hyperlink>
      <w:r w:rsidR="004A6656" w:rsidRPr="00720DA1">
        <w:rPr>
          <w:sz w:val="16"/>
          <w:szCs w:val="16"/>
        </w:rPr>
        <w:t>.</w:t>
      </w:r>
    </w:p>
  </w:footnote>
  <w:footnote w:id="27">
    <w:p w14:paraId="7628E40D" w14:textId="325A7830"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Such as such as demand slowdown, higher energy and feedstock supply costs in the EU than in certain trading partners, overcapacities and unfair trade policies by some third countries</w:t>
      </w:r>
      <w:r w:rsidR="00831D34" w:rsidRPr="00720DA1">
        <w:rPr>
          <w:rFonts w:cs="Times New Roman"/>
          <w:sz w:val="16"/>
          <w:szCs w:val="16"/>
        </w:rPr>
        <w:t>.</w:t>
      </w:r>
      <w:r w:rsidRPr="00720DA1">
        <w:rPr>
          <w:rFonts w:cs="Times New Roman"/>
          <w:sz w:val="16"/>
          <w:szCs w:val="16"/>
        </w:rPr>
        <w:t xml:space="preserve"> The Draghi Report identifies several key factors contributing to the declining competitiveness of the EU industry and EIIs: higher energy prices and emissions costs relative to global competitors, substantial investment needs for decarbonisation, regulatory burdens, and an uneven playing field at the international level, exacerbated by limited market demand for greener products and net-zero technologies (</w:t>
      </w:r>
      <w:r w:rsidR="00087477">
        <w:rPr>
          <w:rFonts w:cs="Times New Roman"/>
          <w:sz w:val="16"/>
          <w:szCs w:val="16"/>
        </w:rPr>
        <w:t xml:space="preserve">Source: </w:t>
      </w:r>
      <w:r w:rsidR="00087477" w:rsidRPr="00720DA1">
        <w:rPr>
          <w:sz w:val="16"/>
          <w:szCs w:val="16"/>
        </w:rPr>
        <w:t xml:space="preserve">Draghi, M. (2024). </w:t>
      </w:r>
      <w:hyperlink r:id="rId23" w:history="1">
        <w:r w:rsidR="00087477">
          <w:rPr>
            <w:rStyle w:val="Hyperlink"/>
            <w:sz w:val="16"/>
            <w:szCs w:val="16"/>
          </w:rPr>
          <w:t>The future of European competitiveness: In‑depth analysis and recommendations (Part B)</w:t>
        </w:r>
      </w:hyperlink>
      <w:r w:rsidR="00087477">
        <w:rPr>
          <w:sz w:val="16"/>
          <w:szCs w:val="16"/>
        </w:rPr>
        <w:t>,</w:t>
      </w:r>
      <w:r w:rsidRPr="00720DA1">
        <w:rPr>
          <w:rFonts w:eastAsia="Times New Roman" w:cs="Times New Roman"/>
          <w:sz w:val="16"/>
          <w:szCs w:val="16"/>
        </w:rPr>
        <w:t xml:space="preserve"> p. 97-100). Similarly, </w:t>
      </w:r>
      <w:hyperlink r:id="rId24" w:history="1">
        <w:r w:rsidRPr="00720DA1">
          <w:rPr>
            <w:rStyle w:val="Hyperlink"/>
            <w:rFonts w:eastAsia="Times New Roman" w:cs="Times New Roman"/>
            <w:sz w:val="16"/>
            <w:szCs w:val="16"/>
          </w:rPr>
          <w:t>Letta´s report</w:t>
        </w:r>
      </w:hyperlink>
      <w:r w:rsidRPr="00720DA1">
        <w:rPr>
          <w:rFonts w:eastAsia="Times New Roman" w:cs="Times New Roman"/>
          <w:sz w:val="16"/>
          <w:szCs w:val="16"/>
        </w:rPr>
        <w:t xml:space="preserve"> notes that EIIs are particularly vulnerable and transitioning them to clean energy is challenging due to cost uncertainties, capital barriers, and technology scale issues.</w:t>
      </w:r>
    </w:p>
  </w:footnote>
  <w:footnote w:id="28">
    <w:p w14:paraId="19C1D025" w14:textId="0F1DE4B1"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European electricity prices are expected to be up to twice as high as prices in the US by 2030. Electricity wholesale prices are forecasted to reach EUR 55-100/MWh and gas prices </w:t>
      </w:r>
      <w:r w:rsidR="0002326A" w:rsidRPr="00720DA1">
        <w:rPr>
          <w:rFonts w:cs="Times New Roman"/>
          <w:sz w:val="16"/>
          <w:szCs w:val="16"/>
        </w:rPr>
        <w:t xml:space="preserve">EUR </w:t>
      </w:r>
      <w:r w:rsidRPr="00720DA1">
        <w:rPr>
          <w:rFonts w:cs="Times New Roman"/>
          <w:sz w:val="16"/>
          <w:szCs w:val="16"/>
        </w:rPr>
        <w:t>20- 40/MWh</w:t>
      </w:r>
      <w:r w:rsidR="004B11EF" w:rsidRPr="00720DA1">
        <w:rPr>
          <w:rFonts w:cs="Times New Roman"/>
          <w:sz w:val="16"/>
          <w:szCs w:val="16"/>
        </w:rPr>
        <w:t>.</w:t>
      </w:r>
      <w:r w:rsidR="004A0C25" w:rsidRPr="00720DA1">
        <w:rPr>
          <w:rFonts w:cs="Times New Roman"/>
          <w:sz w:val="16"/>
          <w:szCs w:val="16"/>
        </w:rPr>
        <w:t xml:space="preserve"> </w:t>
      </w:r>
      <w:r w:rsidRPr="00720DA1">
        <w:rPr>
          <w:rFonts w:cs="Times New Roman"/>
          <w:sz w:val="16"/>
          <w:szCs w:val="16"/>
        </w:rPr>
        <w:t>Source</w:t>
      </w:r>
      <w:r w:rsidR="0002326A" w:rsidRPr="00720DA1">
        <w:rPr>
          <w:rFonts w:cs="Times New Roman"/>
          <w:sz w:val="16"/>
          <w:szCs w:val="16"/>
        </w:rPr>
        <w:t>:</w:t>
      </w:r>
      <w:r w:rsidR="004A0C25" w:rsidRPr="00720DA1">
        <w:rPr>
          <w:rFonts w:cs="Times New Roman"/>
          <w:sz w:val="16"/>
          <w:szCs w:val="16"/>
        </w:rPr>
        <w:t xml:space="preserve"> ERT (2024). </w:t>
      </w:r>
      <w:hyperlink r:id="rId25" w:history="1">
        <w:r w:rsidR="004A0C25" w:rsidRPr="00720DA1">
          <w:rPr>
            <w:rStyle w:val="Hyperlink"/>
            <w:rFonts w:cs="Times New Roman"/>
            <w:sz w:val="16"/>
            <w:szCs w:val="16"/>
          </w:rPr>
          <w:t>Competitiveness of European Energy-Intensive Industries</w:t>
        </w:r>
      </w:hyperlink>
      <w:r w:rsidR="004A0C25" w:rsidRPr="00720DA1">
        <w:rPr>
          <w:rFonts w:cs="Times New Roman"/>
          <w:sz w:val="16"/>
          <w:szCs w:val="16"/>
        </w:rPr>
        <w:t>.</w:t>
      </w:r>
    </w:p>
  </w:footnote>
  <w:footnote w:id="29">
    <w:p w14:paraId="3B5AD403" w14:textId="482D42DE"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Eurofer</w:t>
      </w:r>
      <w:r w:rsidR="00A26C65" w:rsidRPr="00720DA1">
        <w:rPr>
          <w:rFonts w:cs="Times New Roman"/>
          <w:sz w:val="16"/>
          <w:szCs w:val="16"/>
        </w:rPr>
        <w:t xml:space="preserve"> (2024).</w:t>
      </w:r>
      <w:r w:rsidRPr="00720DA1">
        <w:rPr>
          <w:rFonts w:cs="Times New Roman"/>
          <w:sz w:val="16"/>
          <w:szCs w:val="16"/>
        </w:rPr>
        <w:t xml:space="preserve"> </w:t>
      </w:r>
      <w:hyperlink r:id="rId26" w:history="1">
        <w:r w:rsidRPr="00720DA1">
          <w:rPr>
            <w:rStyle w:val="Hyperlink"/>
            <w:rFonts w:cs="Times New Roman"/>
            <w:sz w:val="16"/>
            <w:szCs w:val="16"/>
          </w:rPr>
          <w:t>European Steel in Figures</w:t>
        </w:r>
      </w:hyperlink>
      <w:r w:rsidRPr="00720DA1">
        <w:rPr>
          <w:rFonts w:cs="Times New Roman"/>
          <w:sz w:val="16"/>
          <w:szCs w:val="16"/>
        </w:rPr>
        <w:t>.</w:t>
      </w:r>
    </w:p>
  </w:footnote>
  <w:footnote w:id="30">
    <w:p w14:paraId="26845640" w14:textId="46CCA631"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IEA</w:t>
      </w:r>
      <w:r w:rsidR="00A26C65" w:rsidRPr="00720DA1">
        <w:rPr>
          <w:rFonts w:cs="Times New Roman"/>
          <w:sz w:val="16"/>
          <w:szCs w:val="16"/>
        </w:rPr>
        <w:t xml:space="preserve"> (2023).</w:t>
      </w:r>
      <w:r w:rsidRPr="00720DA1">
        <w:rPr>
          <w:rFonts w:cs="Times New Roman"/>
          <w:sz w:val="16"/>
          <w:szCs w:val="16"/>
        </w:rPr>
        <w:t xml:space="preserve"> </w:t>
      </w:r>
      <w:hyperlink r:id="rId27" w:history="1">
        <w:r w:rsidRPr="00720DA1">
          <w:rPr>
            <w:rStyle w:val="Hyperlink"/>
            <w:rFonts w:cs="Times New Roman"/>
            <w:sz w:val="16"/>
            <w:szCs w:val="16"/>
          </w:rPr>
          <w:t>Clean energy supply chains vulnerabilities</w:t>
        </w:r>
      </w:hyperlink>
      <w:r w:rsidRPr="00720DA1">
        <w:rPr>
          <w:rFonts w:cs="Times New Roman"/>
          <w:sz w:val="16"/>
          <w:szCs w:val="16"/>
        </w:rPr>
        <w:t>.</w:t>
      </w:r>
    </w:p>
  </w:footnote>
  <w:footnote w:id="31">
    <w:p w14:paraId="367F72B4" w14:textId="32B832FE" w:rsidR="0081173C" w:rsidRPr="00720DA1" w:rsidRDefault="0081173C">
      <w:pPr>
        <w:pStyle w:val="FootnoteText"/>
        <w:rPr>
          <w:sz w:val="16"/>
          <w:szCs w:val="16"/>
          <w:lang w:val="en-IE"/>
        </w:rPr>
      </w:pPr>
      <w:r w:rsidRPr="00720DA1">
        <w:rPr>
          <w:rStyle w:val="FootnoteReference"/>
          <w:sz w:val="16"/>
          <w:szCs w:val="16"/>
        </w:rPr>
        <w:footnoteRef/>
      </w:r>
      <w:r w:rsidRPr="00720DA1">
        <w:rPr>
          <w:sz w:val="16"/>
          <w:szCs w:val="16"/>
        </w:rPr>
        <w:t xml:space="preserve"> </w:t>
      </w:r>
      <w:r w:rsidR="00172ED1" w:rsidRPr="00720DA1">
        <w:rPr>
          <w:sz w:val="16"/>
          <w:szCs w:val="16"/>
        </w:rPr>
        <w:t xml:space="preserve">European Commission, </w:t>
      </w:r>
      <w:hyperlink r:id="rId28" w:history="1">
        <w:r w:rsidR="00172ED1" w:rsidRPr="00720DA1">
          <w:rPr>
            <w:rStyle w:val="Hyperlink"/>
            <w:sz w:val="16"/>
            <w:szCs w:val="16"/>
          </w:rPr>
          <w:t>An enhanced methodology to monitor the EU’s strategic dependencies and vulnerabilities</w:t>
        </w:r>
      </w:hyperlink>
      <w:r w:rsidR="00172ED1" w:rsidRPr="00720DA1">
        <w:rPr>
          <w:sz w:val="16"/>
          <w:szCs w:val="16"/>
        </w:rPr>
        <w:t>, Single Market Economics Paper, 18 April 2023, doi:10.2873/768035.</w:t>
      </w:r>
    </w:p>
  </w:footnote>
  <w:footnote w:id="32">
    <w:p w14:paraId="3DEDA2F3" w14:textId="4B0452BF"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European Commission, JRC internal calculation, based on EUROSTAT table “Air emissions accounts by NACE Rev. 2 activity</w:t>
      </w:r>
      <w:r w:rsidR="00E61E22" w:rsidRPr="00720DA1">
        <w:rPr>
          <w:sz w:val="16"/>
          <w:szCs w:val="16"/>
        </w:rPr>
        <w:t xml:space="preserve">” </w:t>
      </w:r>
      <w:r w:rsidRPr="00720DA1">
        <w:rPr>
          <w:sz w:val="16"/>
          <w:szCs w:val="16"/>
        </w:rPr>
        <w:t>– see figure 6 in Annex 7.</w:t>
      </w:r>
    </w:p>
  </w:footnote>
  <w:footnote w:id="33">
    <w:p w14:paraId="60912BFA" w14:textId="38181238" w:rsidR="00285741" w:rsidRPr="00720DA1" w:rsidDel="00FE730D" w:rsidRDefault="00285741">
      <w:pPr>
        <w:pStyle w:val="FootnoteText"/>
        <w:rPr>
          <w:sz w:val="16"/>
          <w:szCs w:val="16"/>
        </w:rPr>
      </w:pPr>
      <w:r w:rsidRPr="00720DA1" w:rsidDel="00FE730D">
        <w:rPr>
          <w:rFonts w:cs="Times New Roman"/>
          <w:sz w:val="16"/>
          <w:szCs w:val="16"/>
          <w:vertAlign w:val="superscript"/>
        </w:rPr>
        <w:footnoteRef/>
      </w:r>
      <w:r w:rsidRPr="00720DA1">
        <w:rPr>
          <w:rFonts w:cs="Times New Roman"/>
          <w:sz w:val="16"/>
          <w:szCs w:val="16"/>
        </w:rPr>
        <w:t xml:space="preserve"> Emission intensity defined as emissions per unit of value added.</w:t>
      </w:r>
      <w:r w:rsidRPr="00720DA1" w:rsidDel="00FE730D">
        <w:rPr>
          <w:rFonts w:cs="Times New Roman"/>
          <w:sz w:val="16"/>
          <w:szCs w:val="16"/>
        </w:rPr>
        <w:t xml:space="preserve"> </w:t>
      </w:r>
      <w:r w:rsidR="004B11EF" w:rsidRPr="00720DA1">
        <w:rPr>
          <w:rFonts w:cs="Times New Roman"/>
          <w:sz w:val="16"/>
          <w:szCs w:val="16"/>
        </w:rPr>
        <w:t xml:space="preserve">Source: </w:t>
      </w:r>
      <w:r w:rsidRPr="00720DA1" w:rsidDel="00FE730D">
        <w:rPr>
          <w:rFonts w:cs="Times New Roman"/>
          <w:sz w:val="16"/>
          <w:szCs w:val="16"/>
        </w:rPr>
        <w:t>OECD</w:t>
      </w:r>
      <w:r w:rsidR="004B11EF" w:rsidRPr="00720DA1">
        <w:rPr>
          <w:rFonts w:cs="Times New Roman"/>
          <w:sz w:val="16"/>
          <w:szCs w:val="16"/>
        </w:rPr>
        <w:t xml:space="preserve"> (2025)</w:t>
      </w:r>
      <w:r w:rsidRPr="00720DA1" w:rsidDel="00FE730D">
        <w:rPr>
          <w:rFonts w:cs="Times New Roman"/>
          <w:sz w:val="16"/>
          <w:szCs w:val="16"/>
        </w:rPr>
        <w:t xml:space="preserve">, </w:t>
      </w:r>
      <w:hyperlink r:id="rId29" w:history="1">
        <w:r w:rsidRPr="00720DA1" w:rsidDel="00FE730D">
          <w:rPr>
            <w:rStyle w:val="Hyperlink"/>
            <w:rFonts w:cs="Times New Roman"/>
            <w:sz w:val="16"/>
            <w:szCs w:val="16"/>
          </w:rPr>
          <w:t>A comprehensive overview of the Energy Intensive Industries ecosystem</w:t>
        </w:r>
      </w:hyperlink>
      <w:r w:rsidRPr="00720DA1" w:rsidDel="00FE730D">
        <w:rPr>
          <w:rFonts w:cs="Times New Roman"/>
          <w:sz w:val="16"/>
          <w:szCs w:val="16"/>
        </w:rPr>
        <w:t>,</w:t>
      </w:r>
      <w:r w:rsidR="0031055A" w:rsidRPr="00720DA1">
        <w:rPr>
          <w:rFonts w:cs="Times New Roman"/>
          <w:sz w:val="16"/>
          <w:szCs w:val="16"/>
        </w:rPr>
        <w:t>2025/09.</w:t>
      </w:r>
    </w:p>
  </w:footnote>
  <w:footnote w:id="34">
    <w:p w14:paraId="3C50FEA5" w14:textId="6FEE3B30"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Draghi, M. (2024). </w:t>
      </w:r>
      <w:hyperlink r:id="rId30" w:history="1">
        <w:r w:rsidR="002769C9">
          <w:rPr>
            <w:rStyle w:val="Hyperlink"/>
            <w:sz w:val="16"/>
            <w:szCs w:val="16"/>
          </w:rPr>
          <w:t>The future of European competitiveness: In‑depth analysis and recommendations (Part B)</w:t>
        </w:r>
      </w:hyperlink>
      <w:r w:rsidRPr="00720DA1">
        <w:rPr>
          <w:rFonts w:cs="Times New Roman"/>
          <w:sz w:val="16"/>
          <w:szCs w:val="16"/>
        </w:rPr>
        <w:t>, p. 95</w:t>
      </w:r>
      <w:r w:rsidR="004B11EF" w:rsidRPr="00720DA1">
        <w:rPr>
          <w:rFonts w:cs="Times New Roman"/>
          <w:sz w:val="16"/>
          <w:szCs w:val="16"/>
        </w:rPr>
        <w:t>.</w:t>
      </w:r>
    </w:p>
  </w:footnote>
  <w:footnote w:id="35">
    <w:p w14:paraId="0A45DE34" w14:textId="78DD64DD" w:rsidR="00285741" w:rsidRPr="00F42101" w:rsidRDefault="00285741" w:rsidP="007002E0">
      <w:pPr>
        <w:pStyle w:val="FootnoteText"/>
        <w:rPr>
          <w:rFonts w:cs="Times New Roman"/>
          <w:sz w:val="16"/>
          <w:szCs w:val="16"/>
        </w:rPr>
      </w:pPr>
      <w:r w:rsidRPr="00720DA1">
        <w:rPr>
          <w:rStyle w:val="FootnoteReference"/>
          <w:rFonts w:cs="Times New Roman"/>
          <w:sz w:val="16"/>
          <w:szCs w:val="16"/>
        </w:rPr>
        <w:footnoteRef/>
      </w:r>
      <w:r w:rsidRPr="00720DA1">
        <w:rPr>
          <w:rStyle w:val="FootnoteReference"/>
          <w:rFonts w:cs="Times New Roman"/>
          <w:sz w:val="16"/>
          <w:szCs w:val="16"/>
          <w:vertAlign w:val="baseline"/>
        </w:rPr>
        <w:t xml:space="preserve"> </w:t>
      </w:r>
      <w:r w:rsidR="004B11EF" w:rsidRPr="00720DA1">
        <w:rPr>
          <w:rFonts w:cs="Times New Roman"/>
          <w:sz w:val="16"/>
          <w:szCs w:val="16"/>
        </w:rPr>
        <w:t>European Commission (2025).</w:t>
      </w:r>
      <w:r w:rsidRPr="00720DA1">
        <w:rPr>
          <w:rFonts w:cs="Times New Roman"/>
          <w:sz w:val="16"/>
          <w:szCs w:val="16"/>
        </w:rPr>
        <w:t xml:space="preserve"> </w:t>
      </w:r>
      <w:hyperlink r:id="rId31" w:history="1">
        <w:r w:rsidR="007002E0" w:rsidRPr="006154DB">
          <w:rPr>
            <w:rStyle w:val="Hyperlink"/>
            <w:rFonts w:cs="Times New Roman"/>
            <w:sz w:val="16"/>
            <w:szCs w:val="16"/>
          </w:rPr>
          <w:t>Communication from the Commission to the European Parliament, the Council, the European Economic and Social Committee and the Committee of the Regions: A European Steel and Metals Action Plan</w:t>
        </w:r>
      </w:hyperlink>
      <w:r w:rsidRPr="00720DA1">
        <w:rPr>
          <w:rStyle w:val="FootnoteReference"/>
          <w:rFonts w:cs="Times New Roman"/>
          <w:sz w:val="16"/>
          <w:szCs w:val="16"/>
          <w:vertAlign w:val="baseline"/>
        </w:rPr>
        <w:t>, COM (2025) 125 final, 19 March 2025</w:t>
      </w:r>
    </w:p>
  </w:footnote>
  <w:footnote w:id="36">
    <w:p w14:paraId="356A37B3" w14:textId="6C490B3A"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B30BA1" w:rsidRPr="00720DA1">
        <w:rPr>
          <w:rFonts w:cs="Times New Roman"/>
          <w:sz w:val="16"/>
          <w:szCs w:val="16"/>
        </w:rPr>
        <w:t>CEFIC (2025).</w:t>
      </w:r>
      <w:r w:rsidRPr="00720DA1">
        <w:rPr>
          <w:rFonts w:cs="Times New Roman"/>
          <w:sz w:val="16"/>
          <w:szCs w:val="16"/>
        </w:rPr>
        <w:t xml:space="preserve"> </w:t>
      </w:r>
      <w:hyperlink r:id="rId32" w:history="1">
        <w:r w:rsidRPr="00720DA1">
          <w:rPr>
            <w:rStyle w:val="Hyperlink"/>
            <w:rFonts w:cs="Times New Roman"/>
            <w:sz w:val="16"/>
            <w:szCs w:val="16"/>
          </w:rPr>
          <w:t>The Competitiveness of the European Chemical Industry</w:t>
        </w:r>
      </w:hyperlink>
      <w:r w:rsidRPr="00720DA1">
        <w:rPr>
          <w:rFonts w:cs="Times New Roman"/>
          <w:sz w:val="16"/>
          <w:szCs w:val="16"/>
        </w:rPr>
        <w:t xml:space="preserve">, January 2025. </w:t>
      </w:r>
    </w:p>
  </w:footnote>
  <w:footnote w:id="37">
    <w:p w14:paraId="46E79A74"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See figure 21 in Annex 10.</w:t>
      </w:r>
    </w:p>
  </w:footnote>
  <w:footnote w:id="38">
    <w:p w14:paraId="3E1D3878" w14:textId="7605361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OECD </w:t>
      </w:r>
      <w:r w:rsidR="0095408B" w:rsidRPr="00720DA1">
        <w:rPr>
          <w:sz w:val="16"/>
          <w:szCs w:val="16"/>
        </w:rPr>
        <w:t>(2025).</w:t>
      </w:r>
      <w:r w:rsidRPr="00720DA1">
        <w:rPr>
          <w:sz w:val="16"/>
          <w:szCs w:val="16"/>
        </w:rPr>
        <w:t xml:space="preserve"> </w:t>
      </w:r>
      <w:hyperlink r:id="rId33" w:history="1">
        <w:r w:rsidRPr="00720DA1">
          <w:rPr>
            <w:rStyle w:val="Hyperlink"/>
            <w:sz w:val="16"/>
            <w:szCs w:val="16"/>
          </w:rPr>
          <w:t>A comprehensive overview of the Energy Intensive Industries ecosystem</w:t>
        </w:r>
      </w:hyperlink>
      <w:r w:rsidRPr="00720DA1">
        <w:rPr>
          <w:sz w:val="16"/>
          <w:szCs w:val="16"/>
        </w:rPr>
        <w:t>, 2025/09</w:t>
      </w:r>
      <w:r w:rsidR="0095408B" w:rsidRPr="00720DA1">
        <w:rPr>
          <w:sz w:val="16"/>
          <w:szCs w:val="16"/>
        </w:rPr>
        <w:t>.</w:t>
      </w:r>
    </w:p>
  </w:footnote>
  <w:footnote w:id="39">
    <w:p w14:paraId="2A67E4CE" w14:textId="1ACC49E8" w:rsidR="0055471E" w:rsidRPr="0055471E" w:rsidRDefault="0055471E">
      <w:pPr>
        <w:pStyle w:val="FootnoteText"/>
        <w:rPr>
          <w:sz w:val="16"/>
          <w:szCs w:val="16"/>
          <w:lang w:val="en-IE"/>
        </w:rPr>
      </w:pPr>
      <w:r w:rsidRPr="0055471E">
        <w:rPr>
          <w:rStyle w:val="FootnoteReference"/>
          <w:sz w:val="16"/>
          <w:szCs w:val="16"/>
        </w:rPr>
        <w:footnoteRef/>
      </w:r>
      <w:r w:rsidRPr="0055471E">
        <w:rPr>
          <w:sz w:val="16"/>
          <w:szCs w:val="16"/>
        </w:rPr>
        <w:t xml:space="preserve"> </w:t>
      </w:r>
      <w:r w:rsidRPr="0055471E">
        <w:rPr>
          <w:rFonts w:cs="Times New Roman"/>
          <w:sz w:val="16"/>
          <w:szCs w:val="16"/>
        </w:rPr>
        <w:t xml:space="preserve">European Commission (2024). </w:t>
      </w:r>
      <w:hyperlink r:id="rId34" w:history="1">
        <w:r w:rsidRPr="0055471E">
          <w:rPr>
            <w:rStyle w:val="Hyperlink"/>
            <w:rFonts w:cs="Times New Roman"/>
            <w:sz w:val="16"/>
            <w:szCs w:val="16"/>
          </w:rPr>
          <w:t>Commission Staff Working Document: Impact Assessment Report (Part 3), accompanying the document Communication from the Commission to the European Parliament, the Council, the European Economic and Social Committee and the Committee of the Regions: Securing our future - Europe's 2040 climate target and path to climate neutrality by 2050, building a sustainable, just and prosperous society</w:t>
        </w:r>
      </w:hyperlink>
      <w:r w:rsidRPr="0055471E">
        <w:rPr>
          <w:rFonts w:cs="Times New Roman"/>
          <w:sz w:val="16"/>
          <w:szCs w:val="16"/>
        </w:rPr>
        <w:t>, COM(2024) 63 final, pp.164-167.</w:t>
      </w:r>
    </w:p>
  </w:footnote>
  <w:footnote w:id="40">
    <w:p w14:paraId="071970E2" w14:textId="77777777" w:rsidR="007173D9" w:rsidRPr="00720DA1" w:rsidRDefault="007173D9" w:rsidP="007173D9">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sz w:val="16"/>
          <w:szCs w:val="16"/>
        </w:rPr>
        <w:t xml:space="preserve">Draghi, M. (2024). </w:t>
      </w:r>
      <w:hyperlink r:id="rId35" w:history="1">
        <w:r>
          <w:rPr>
            <w:rStyle w:val="Hyperlink"/>
            <w:sz w:val="16"/>
            <w:szCs w:val="16"/>
          </w:rPr>
          <w:t>The future of European competitiveness: In‑depth analysis and recommendations (Part B)</w:t>
        </w:r>
      </w:hyperlink>
      <w:r w:rsidRPr="00720DA1">
        <w:rPr>
          <w:sz w:val="16"/>
          <w:szCs w:val="16"/>
        </w:rPr>
        <w:t xml:space="preserve">, </w:t>
      </w:r>
      <w:r w:rsidRPr="00720DA1">
        <w:rPr>
          <w:rFonts w:eastAsia="Times New Roman" w:cs="Times New Roman"/>
          <w:sz w:val="16"/>
          <w:szCs w:val="16"/>
        </w:rPr>
        <w:t xml:space="preserve">p. </w:t>
      </w:r>
      <w:r w:rsidRPr="0055471E">
        <w:rPr>
          <w:rFonts w:cs="Times New Roman"/>
          <w:sz w:val="16"/>
          <w:szCs w:val="16"/>
        </w:rPr>
        <w:t xml:space="preserve">99. </w:t>
      </w:r>
    </w:p>
  </w:footnote>
  <w:footnote w:id="41">
    <w:p w14:paraId="2976DEA5" w14:textId="06AD9CD1"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4377A" w:rsidRPr="00720DA1">
        <w:rPr>
          <w:rFonts w:cs="Times New Roman"/>
          <w:sz w:val="16"/>
          <w:szCs w:val="16"/>
        </w:rPr>
        <w:t>European Commission (2025).</w:t>
      </w:r>
      <w:r w:rsidRPr="00720DA1">
        <w:rPr>
          <w:rFonts w:cs="Times New Roman"/>
          <w:sz w:val="16"/>
          <w:szCs w:val="16"/>
        </w:rPr>
        <w:t xml:space="preserve"> </w:t>
      </w:r>
      <w:hyperlink r:id="rId36" w:history="1">
        <w:r w:rsidRPr="00720DA1">
          <w:rPr>
            <w:rStyle w:val="Hyperlink"/>
            <w:rFonts w:cs="Times New Roman"/>
            <w:sz w:val="16"/>
            <w:szCs w:val="16"/>
          </w:rPr>
          <w:t>Competitiveness Progress Report on Clean Energy Technologies</w:t>
        </w:r>
      </w:hyperlink>
      <w:r w:rsidRPr="00720DA1">
        <w:rPr>
          <w:rFonts w:cs="Times New Roman"/>
          <w:sz w:val="16"/>
          <w:szCs w:val="16"/>
        </w:rPr>
        <w:t>, COM(2025) 74 final, 26 February 2025.</w:t>
      </w:r>
    </w:p>
  </w:footnote>
  <w:footnote w:id="42">
    <w:p w14:paraId="504815E4" w14:textId="13C9894F"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D902AA" w:rsidRPr="00720DA1">
        <w:rPr>
          <w:rFonts w:cs="Times New Roman"/>
          <w:sz w:val="16"/>
          <w:szCs w:val="16"/>
        </w:rPr>
        <w:t>McKinsey (2025).</w:t>
      </w:r>
      <w:r w:rsidRPr="00720DA1">
        <w:rPr>
          <w:rFonts w:cs="Times New Roman"/>
          <w:sz w:val="16"/>
          <w:szCs w:val="16"/>
        </w:rPr>
        <w:t xml:space="preserve"> </w:t>
      </w:r>
      <w:hyperlink r:id="rId37" w:history="1">
        <w:r w:rsidRPr="00720DA1">
          <w:rPr>
            <w:rStyle w:val="Hyperlink"/>
            <w:rFonts w:cs="Times New Roman"/>
            <w:sz w:val="16"/>
            <w:szCs w:val="16"/>
          </w:rPr>
          <w:t>European automotive industry: What it takes to regain competitiveness, 10 March 2025</w:t>
        </w:r>
      </w:hyperlink>
      <w:r w:rsidRPr="00720DA1">
        <w:rPr>
          <w:rFonts w:cs="Times New Roman"/>
          <w:sz w:val="16"/>
          <w:szCs w:val="16"/>
        </w:rPr>
        <w:t>.</w:t>
      </w:r>
    </w:p>
  </w:footnote>
  <w:footnote w:id="43">
    <w:p w14:paraId="787CB446"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In this context, industrial products are considered intermediate industrial goods that are not used by end-consumers as such but require further transformation.</w:t>
      </w:r>
    </w:p>
  </w:footnote>
  <w:footnote w:id="44">
    <w:p w14:paraId="631CE993" w14:textId="77777777" w:rsidR="00285741" w:rsidRPr="00720DA1" w:rsidRDefault="00285741" w:rsidP="00793CFD">
      <w:pPr>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While this process is relatively straightforward for standardised products such as electricity, it becomes much more complex for industrial goods with long and intricate production chains, such as plastics. As described in Annex 9, similar work is ongoing in the context of the CBAM methodology being developed for the definitive phase. </w:t>
      </w:r>
    </w:p>
  </w:footnote>
  <w:footnote w:id="45">
    <w:p w14:paraId="673987E3" w14:textId="7772EB1D"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2F0B22">
        <w:rPr>
          <w:rFonts w:cs="Times New Roman"/>
          <w:sz w:val="16"/>
          <w:szCs w:val="16"/>
          <w:lang w:val="en-IE"/>
        </w:rPr>
        <w:t xml:space="preserve"> </w:t>
      </w:r>
      <w:r w:rsidR="002251CA" w:rsidRPr="00720DA1">
        <w:rPr>
          <w:sz w:val="16"/>
          <w:szCs w:val="16"/>
        </w:rPr>
        <w:t xml:space="preserve">JRC (2024). </w:t>
      </w:r>
      <w:hyperlink r:id="rId38" w:history="1">
        <w:r w:rsidR="002251CA" w:rsidRPr="00720DA1">
          <w:rPr>
            <w:rStyle w:val="Hyperlink"/>
            <w:rFonts w:cs="Times New Roman"/>
            <w:sz w:val="16"/>
            <w:szCs w:val="16"/>
          </w:rPr>
          <w:t xml:space="preserve">Draft </w:t>
        </w:r>
        <w:r w:rsidR="002251CA" w:rsidRPr="00720DA1">
          <w:rPr>
            <w:rStyle w:val="Hyperlink"/>
            <w:sz w:val="16"/>
            <w:szCs w:val="16"/>
          </w:rPr>
          <w:t>preparatory</w:t>
        </w:r>
        <w:r w:rsidR="002251CA" w:rsidRPr="00720DA1">
          <w:rPr>
            <w:rStyle w:val="Hyperlink"/>
            <w:rFonts w:cs="Times New Roman"/>
            <w:sz w:val="16"/>
            <w:szCs w:val="16"/>
          </w:rPr>
          <w:t xml:space="preserve"> study on iron and steel – ecodesign measures under the ESPR</w:t>
        </w:r>
      </w:hyperlink>
      <w:r w:rsidRPr="00720DA1">
        <w:rPr>
          <w:rFonts w:cs="Times New Roman"/>
          <w:sz w:val="16"/>
          <w:szCs w:val="16"/>
        </w:rPr>
        <w:t>, p. 41.</w:t>
      </w:r>
    </w:p>
  </w:footnote>
  <w:footnote w:id="46">
    <w:p w14:paraId="251F075A"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Some of these frameworks are mentioned in Annex 8: Interplay with other legislation and policies and baseline scenario</w:t>
      </w:r>
    </w:p>
  </w:footnote>
  <w:footnote w:id="47">
    <w:p w14:paraId="3269D326" w14:textId="79C4B6E0" w:rsidR="00285741" w:rsidRPr="00720DA1" w:rsidRDefault="00285741">
      <w:pPr>
        <w:pStyle w:val="FootnoteText"/>
        <w:rPr>
          <w:sz w:val="16"/>
          <w:szCs w:val="16"/>
        </w:rPr>
      </w:pPr>
      <w:r w:rsidRPr="00720DA1">
        <w:rPr>
          <w:rStyle w:val="FootnoteReference"/>
          <w:sz w:val="16"/>
          <w:szCs w:val="16"/>
        </w:rPr>
        <w:footnoteRef/>
      </w:r>
      <w:r w:rsidR="00720DA1" w:rsidRPr="0040703F">
        <w:rPr>
          <w:rFonts w:cs="Times New Roman"/>
          <w:sz w:val="16"/>
          <w:szCs w:val="16"/>
        </w:rPr>
        <w:t>Mission Possible Partnership (MPP), E3G and the Industrial Transition Accelerator (ITA</w:t>
      </w:r>
      <w:r w:rsidR="00720DA1" w:rsidRPr="0040703F">
        <w:rPr>
          <w:sz w:val="16"/>
          <w:szCs w:val="16"/>
        </w:rPr>
        <w:t>) (2025).</w:t>
      </w:r>
      <w:r w:rsidR="00720DA1" w:rsidRPr="0040703F">
        <w:rPr>
          <w:rFonts w:cs="Times New Roman"/>
          <w:sz w:val="16"/>
          <w:szCs w:val="16"/>
        </w:rPr>
        <w:t xml:space="preserve"> </w:t>
      </w:r>
      <w:hyperlink r:id="rId39" w:history="1">
        <w:r w:rsidR="00720DA1" w:rsidRPr="0040703F">
          <w:rPr>
            <w:rStyle w:val="Hyperlink"/>
            <w:rFonts w:cs="Times New Roman"/>
            <w:sz w:val="16"/>
            <w:szCs w:val="16"/>
          </w:rPr>
          <w:t>Building the EU’s Clean Industrial Future: Unlocking Investment through Lead Markets</w:t>
        </w:r>
      </w:hyperlink>
      <w:r w:rsidRPr="00720DA1">
        <w:rPr>
          <w:rFonts w:cs="Times New Roman"/>
          <w:sz w:val="16"/>
          <w:szCs w:val="16"/>
        </w:rPr>
        <w:t>.</w:t>
      </w:r>
    </w:p>
  </w:footnote>
  <w:footnote w:id="48">
    <w:p w14:paraId="20D62F46" w14:textId="75D64046"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EC6FA1" w:rsidRPr="00720DA1">
        <w:rPr>
          <w:rFonts w:cs="Times New Roman"/>
          <w:sz w:val="16"/>
          <w:szCs w:val="16"/>
        </w:rPr>
        <w:t>VUB</w:t>
      </w:r>
      <w:r w:rsidRPr="00720DA1">
        <w:rPr>
          <w:rFonts w:cs="Times New Roman"/>
          <w:sz w:val="16"/>
          <w:szCs w:val="16"/>
        </w:rPr>
        <w:t xml:space="preserve"> </w:t>
      </w:r>
      <w:r w:rsidR="000C1A67" w:rsidRPr="00720DA1">
        <w:rPr>
          <w:rFonts w:cs="Times New Roman"/>
          <w:sz w:val="16"/>
          <w:szCs w:val="16"/>
        </w:rPr>
        <w:t>Brussels School of Governance (2024).</w:t>
      </w:r>
      <w:hyperlink r:id="rId40" w:history="1">
        <w:r w:rsidRPr="00720DA1">
          <w:rPr>
            <w:rStyle w:val="Hyperlink"/>
            <w:rFonts w:cs="Times New Roman"/>
            <w:sz w:val="16"/>
            <w:szCs w:val="16"/>
          </w:rPr>
          <w:t>Public procurement of steel and cement for construction, assessing the potential of lead markets for green steel and cement in the EU</w:t>
        </w:r>
      </w:hyperlink>
      <w:r w:rsidRPr="00720DA1">
        <w:rPr>
          <w:rFonts w:cs="Times New Roman"/>
          <w:sz w:val="16"/>
          <w:szCs w:val="16"/>
        </w:rPr>
        <w:t xml:space="preserve">. </w:t>
      </w:r>
      <w:r w:rsidR="0032698D" w:rsidRPr="00720DA1">
        <w:rPr>
          <w:rFonts w:cs="Times New Roman"/>
          <w:sz w:val="16"/>
          <w:szCs w:val="16"/>
        </w:rPr>
        <w:t>Note:</w:t>
      </w:r>
      <w:r w:rsidR="00E84384" w:rsidRPr="00720DA1">
        <w:rPr>
          <w:rFonts w:cs="Times New Roman"/>
          <w:sz w:val="16"/>
          <w:szCs w:val="16"/>
        </w:rPr>
        <w:t xml:space="preserve"> Based on 2020 estimates, the cost gap is expected to narrow by 2030 due to technological maturation and higher CO₂ prices.</w:t>
      </w:r>
      <w:r w:rsidR="0032698D" w:rsidRPr="00720DA1">
        <w:rPr>
          <w:rFonts w:cs="Times New Roman"/>
          <w:sz w:val="16"/>
          <w:szCs w:val="16"/>
        </w:rPr>
        <w:t xml:space="preserve"> </w:t>
      </w:r>
    </w:p>
  </w:footnote>
  <w:footnote w:id="49">
    <w:p w14:paraId="53E05B6F" w14:textId="118AFC1A"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Somers, J.</w:t>
      </w:r>
      <w:r w:rsidR="00DD4C71" w:rsidRPr="00720DA1">
        <w:rPr>
          <w:rFonts w:cs="Times New Roman"/>
          <w:sz w:val="16"/>
          <w:szCs w:val="16"/>
        </w:rPr>
        <w:t xml:space="preserve"> (2022)</w:t>
      </w:r>
      <w:r w:rsidRPr="00720DA1">
        <w:rPr>
          <w:rFonts w:cs="Times New Roman"/>
          <w:sz w:val="16"/>
          <w:szCs w:val="16"/>
        </w:rPr>
        <w:t>, Technologies to decarbonise the EU steel industry, Publications Office of the European Union, doi:</w:t>
      </w:r>
      <w:hyperlink r:id="rId41" w:history="1">
        <w:r w:rsidRPr="00720DA1">
          <w:rPr>
            <w:rStyle w:val="Hyperlink"/>
            <w:rFonts w:cs="Times New Roman"/>
            <w:sz w:val="16"/>
            <w:szCs w:val="16"/>
          </w:rPr>
          <w:t>10.2760/069150</w:t>
        </w:r>
      </w:hyperlink>
      <w:r w:rsidRPr="00720DA1">
        <w:rPr>
          <w:rFonts w:cs="Times New Roman"/>
          <w:sz w:val="16"/>
          <w:szCs w:val="16"/>
        </w:rPr>
        <w:t>.</w:t>
      </w:r>
    </w:p>
  </w:footnote>
  <w:footnote w:id="50">
    <w:p w14:paraId="61208458" w14:textId="7373FA11"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295330" w:rsidRPr="00720DA1">
        <w:rPr>
          <w:rFonts w:cs="Times New Roman"/>
          <w:sz w:val="16"/>
          <w:szCs w:val="16"/>
        </w:rPr>
        <w:t xml:space="preserve">McKinsey (2024). </w:t>
      </w:r>
      <w:hyperlink r:id="rId42" w:history="1">
        <w:r w:rsidR="00295330" w:rsidRPr="00720DA1">
          <w:rPr>
            <w:rStyle w:val="Hyperlink"/>
            <w:rFonts w:cs="Times New Roman"/>
            <w:sz w:val="16"/>
            <w:szCs w:val="16"/>
          </w:rPr>
          <w:t>Materials ‘green’ premia: Trends and outlook to 2030</w:t>
        </w:r>
      </w:hyperlink>
      <w:r w:rsidR="00295330" w:rsidRPr="00720DA1">
        <w:rPr>
          <w:rFonts w:cs="Times New Roman"/>
          <w:sz w:val="16"/>
          <w:szCs w:val="16"/>
        </w:rPr>
        <w:t xml:space="preserve">. </w:t>
      </w:r>
    </w:p>
  </w:footnote>
  <w:footnote w:id="51">
    <w:p w14:paraId="378207B3"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Directive (EU) 2024/1275 of the European Parliament and of the Council of 24 April 2024 on the energy performance of buildings</w:t>
      </w:r>
    </w:p>
  </w:footnote>
  <w:footnote w:id="52">
    <w:p w14:paraId="126E2ECE" w14:textId="434D5DEE"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101DE" w:rsidRPr="00720DA1">
        <w:rPr>
          <w:rFonts w:cs="Times New Roman"/>
          <w:sz w:val="16"/>
          <w:szCs w:val="16"/>
        </w:rPr>
        <w:t xml:space="preserve">BloombergNEF (2023). </w:t>
      </w:r>
      <w:hyperlink r:id="rId43" w:history="1">
        <w:r w:rsidR="007101DE" w:rsidRPr="00720DA1">
          <w:rPr>
            <w:rStyle w:val="Hyperlink"/>
            <w:rFonts w:cs="Times New Roman"/>
            <w:sz w:val="16"/>
            <w:szCs w:val="16"/>
          </w:rPr>
          <w:t>Green Steel Demand is Rising Faster Than Production Can Ramp Up</w:t>
        </w:r>
      </w:hyperlink>
      <w:r w:rsidRPr="00720DA1" w:rsidDel="00F502C3">
        <w:rPr>
          <w:rFonts w:cs="Times New Roman"/>
          <w:sz w:val="16"/>
          <w:szCs w:val="16"/>
        </w:rPr>
        <w:t>.</w:t>
      </w:r>
    </w:p>
  </w:footnote>
  <w:footnote w:id="53">
    <w:p w14:paraId="280640F8" w14:textId="1AD70CF3" w:rsidR="00285741" w:rsidRPr="00720DA1" w:rsidRDefault="00285741" w:rsidP="00793CFD">
      <w:pPr>
        <w:pStyle w:val="FootnoteText"/>
        <w:rPr>
          <w:rFonts w:cs="Times New Roman"/>
          <w:b/>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F171BF" w:rsidRPr="00720DA1">
        <w:rPr>
          <w:rFonts w:cs="Times New Roman"/>
          <w:sz w:val="16"/>
          <w:szCs w:val="16"/>
        </w:rPr>
        <w:t>ICCT (2024).</w:t>
      </w:r>
      <w:r w:rsidRPr="00720DA1">
        <w:rPr>
          <w:rFonts w:cs="Times New Roman"/>
          <w:sz w:val="16"/>
          <w:szCs w:val="16"/>
        </w:rPr>
        <w:t xml:space="preserve"> </w:t>
      </w:r>
      <w:hyperlink r:id="rId44" w:history="1">
        <w:r w:rsidRPr="00720DA1">
          <w:rPr>
            <w:rStyle w:val="Hyperlink"/>
            <w:rFonts w:cs="Times New Roman"/>
            <w:sz w:val="16"/>
            <w:szCs w:val="16"/>
          </w:rPr>
          <w:t>Which automakers are shifting to green steel? An analysis of steel supply chains and future commitments to fossil-free steel</w:t>
        </w:r>
      </w:hyperlink>
      <w:r w:rsidRPr="00720DA1">
        <w:rPr>
          <w:rFonts w:cs="Times New Roman"/>
          <w:sz w:val="16"/>
          <w:szCs w:val="16"/>
        </w:rPr>
        <w:t>.</w:t>
      </w:r>
    </w:p>
  </w:footnote>
  <w:footnote w:id="54">
    <w:p w14:paraId="12F74369"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Based on GROW calculations from </w:t>
      </w:r>
      <w:hyperlink r:id="rId45" w:history="1">
        <w:r w:rsidRPr="00720DA1">
          <w:rPr>
            <w:rStyle w:val="Hyperlink"/>
            <w:rFonts w:cs="Times New Roman"/>
            <w:sz w:val="16"/>
            <w:szCs w:val="16"/>
          </w:rPr>
          <w:t>WTO GPA publications</w:t>
        </w:r>
      </w:hyperlink>
      <w:r w:rsidRPr="00720DA1">
        <w:rPr>
          <w:rFonts w:cs="Times New Roman"/>
          <w:sz w:val="16"/>
          <w:szCs w:val="16"/>
        </w:rPr>
        <w:t xml:space="preserve"> and statistics on </w:t>
      </w:r>
      <w:hyperlink r:id="rId46" w:history="1">
        <w:r w:rsidRPr="00720DA1">
          <w:rPr>
            <w:rStyle w:val="Hyperlink"/>
            <w:rFonts w:cs="Times New Roman"/>
            <w:sz w:val="16"/>
            <w:szCs w:val="16"/>
          </w:rPr>
          <w:t>EU public procurement</w:t>
        </w:r>
      </w:hyperlink>
      <w:r w:rsidRPr="00720DA1">
        <w:rPr>
          <w:rFonts w:cs="Times New Roman"/>
          <w:sz w:val="16"/>
          <w:szCs w:val="16"/>
        </w:rPr>
        <w:t xml:space="preserve"> sourced from TED (Tenders Electronic Daily) contract award data and the Public Procurement Data Space (PPDS), filtered for procurement in construction-related CPV codes linked to energy-intensive construction works. This is irrespective to whether procurement was low-carbon or not. In 2023, contracted value for procurements above EU thresholds involving EIIs materials totalled EUR 189B over almost 12k contracts awarded and in 2024, this increased to EUR 214B over more than 13k contracts awarded</w:t>
      </w:r>
    </w:p>
  </w:footnote>
  <w:footnote w:id="55">
    <w:p w14:paraId="32E1DA67" w14:textId="32FC9C8B"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00C758FD" w:rsidRPr="00720DA1">
        <w:rPr>
          <w:rFonts w:cs="Times New Roman"/>
          <w:sz w:val="16"/>
          <w:szCs w:val="16"/>
        </w:rPr>
        <w:t xml:space="preserve"> Bellona </w:t>
      </w:r>
      <w:r w:rsidR="00502B97" w:rsidRPr="00720DA1">
        <w:rPr>
          <w:rFonts w:cs="Times New Roman"/>
          <w:sz w:val="16"/>
          <w:szCs w:val="16"/>
        </w:rPr>
        <w:t>Foundation</w:t>
      </w:r>
      <w:r w:rsidR="00C758FD" w:rsidRPr="00720DA1">
        <w:rPr>
          <w:rFonts w:cs="Times New Roman"/>
          <w:sz w:val="16"/>
          <w:szCs w:val="16"/>
        </w:rPr>
        <w:t xml:space="preserve"> (2024).</w:t>
      </w:r>
      <w:r w:rsidRPr="00720DA1">
        <w:rPr>
          <w:rFonts w:cs="Times New Roman"/>
          <w:sz w:val="16"/>
          <w:szCs w:val="16"/>
        </w:rPr>
        <w:t xml:space="preserve"> </w:t>
      </w:r>
      <w:hyperlink r:id="rId47" w:history="1">
        <w:r w:rsidRPr="00720DA1">
          <w:rPr>
            <w:rStyle w:val="Hyperlink"/>
            <w:rFonts w:cs="Times New Roman"/>
            <w:sz w:val="16"/>
            <w:szCs w:val="16"/>
          </w:rPr>
          <w:t>Green public procurement of cement and steel in the EU</w:t>
        </w:r>
        <w:r w:rsidR="00C758FD" w:rsidRPr="00720DA1">
          <w:rPr>
            <w:rStyle w:val="Hyperlink"/>
            <w:rFonts w:cs="Times New Roman"/>
            <w:sz w:val="16"/>
            <w:szCs w:val="16"/>
          </w:rPr>
          <w:t xml:space="preserve"> -</w:t>
        </w:r>
        <w:r w:rsidRPr="00720DA1">
          <w:rPr>
            <w:rStyle w:val="Hyperlink"/>
            <w:rFonts w:cs="Times New Roman"/>
            <w:sz w:val="16"/>
            <w:szCs w:val="16"/>
          </w:rPr>
          <w:t>An overview of the state of play</w:t>
        </w:r>
      </w:hyperlink>
      <w:r w:rsidRPr="00720DA1">
        <w:rPr>
          <w:rFonts w:cs="Times New Roman"/>
          <w:sz w:val="16"/>
          <w:szCs w:val="16"/>
        </w:rPr>
        <w:t xml:space="preserve">. </w:t>
      </w:r>
    </w:p>
  </w:footnote>
  <w:footnote w:id="56">
    <w:p w14:paraId="1D84714B"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EUROFER contribution.</w:t>
      </w:r>
    </w:p>
  </w:footnote>
  <w:footnote w:id="57">
    <w:p w14:paraId="7CFB15D8"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COM(2025) 484 final – European Commission </w:t>
      </w:r>
      <w:hyperlink r:id="rId48" w:history="1">
        <w:r w:rsidRPr="00720DA1">
          <w:rPr>
            <w:rStyle w:val="Hyperlink"/>
            <w:sz w:val="16"/>
            <w:szCs w:val="16"/>
          </w:rPr>
          <w:t>2025 Strategic Foresight Report</w:t>
        </w:r>
      </w:hyperlink>
    </w:p>
  </w:footnote>
  <w:footnote w:id="58">
    <w:p w14:paraId="47820A3C" w14:textId="6C731D15"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Just for steel, in 2024, global overcapacity was estimated to be more than four and a half times the EU’s yearly consumption (</w:t>
      </w:r>
      <w:hyperlink r:id="rId49" w:history="1">
        <w:r w:rsidRPr="00720DA1">
          <w:rPr>
            <w:rStyle w:val="Hyperlink"/>
            <w:rFonts w:cs="Times New Roman"/>
            <w:sz w:val="16"/>
            <w:szCs w:val="16"/>
          </w:rPr>
          <w:t>OECD, 96th Session of the Steel Committee: Statement by the Chair | OECD</w:t>
        </w:r>
      </w:hyperlink>
      <w:r w:rsidRPr="00720DA1">
        <w:rPr>
          <w:rFonts w:cs="Times New Roman"/>
          <w:sz w:val="16"/>
          <w:szCs w:val="16"/>
        </w:rPr>
        <w:t xml:space="preserve">). </w:t>
      </w:r>
    </w:p>
  </w:footnote>
  <w:footnote w:id="59">
    <w:p w14:paraId="7D8949A2" w14:textId="504F4B8F" w:rsidR="00285741" w:rsidRPr="00720DA1" w:rsidRDefault="002C407F">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OECD</w:t>
      </w:r>
      <w:r w:rsidR="00F6385C" w:rsidRPr="00720DA1">
        <w:rPr>
          <w:rFonts w:cs="Times New Roman"/>
          <w:sz w:val="16"/>
          <w:szCs w:val="16"/>
        </w:rPr>
        <w:t xml:space="preserve"> (2025).</w:t>
      </w:r>
      <w:r w:rsidRPr="00720DA1">
        <w:rPr>
          <w:rFonts w:cs="Times New Roman"/>
          <w:sz w:val="16"/>
          <w:szCs w:val="16"/>
        </w:rPr>
        <w:t xml:space="preserve"> </w:t>
      </w:r>
      <w:hyperlink r:id="rId50" w:history="1">
        <w:r w:rsidR="00E70619" w:rsidRPr="00720DA1">
          <w:rPr>
            <w:rStyle w:val="Hyperlink"/>
            <w:rFonts w:cs="Times New Roman"/>
            <w:sz w:val="16"/>
            <w:szCs w:val="16"/>
          </w:rPr>
          <w:t>A comprehensive overview of the Energy Intensive Industries ecosystem</w:t>
        </w:r>
      </w:hyperlink>
      <w:r w:rsidR="00F6385C" w:rsidRPr="00720DA1">
        <w:rPr>
          <w:rFonts w:cs="Times New Roman"/>
          <w:sz w:val="16"/>
          <w:szCs w:val="16"/>
        </w:rPr>
        <w:t>.</w:t>
      </w:r>
    </w:p>
  </w:footnote>
  <w:footnote w:id="60">
    <w:p w14:paraId="4EC49981" w14:textId="25B7656A"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F6385C" w:rsidRPr="00720DA1">
        <w:rPr>
          <w:sz w:val="16"/>
          <w:szCs w:val="16"/>
        </w:rPr>
        <w:t>European Commission (2025).</w:t>
      </w:r>
      <w:r w:rsidRPr="00720DA1">
        <w:rPr>
          <w:sz w:val="16"/>
          <w:szCs w:val="16"/>
        </w:rPr>
        <w:t xml:space="preserve"> </w:t>
      </w:r>
      <w:hyperlink r:id="rId51" w:history="1">
        <w:r w:rsidRPr="00720DA1">
          <w:rPr>
            <w:rStyle w:val="Hyperlink"/>
            <w:rFonts w:cs="Times New Roman"/>
            <w:sz w:val="16"/>
            <w:szCs w:val="16"/>
          </w:rPr>
          <w:t>A European Steel and Metals Action Plan</w:t>
        </w:r>
      </w:hyperlink>
      <w:r w:rsidRPr="00720DA1">
        <w:rPr>
          <w:rFonts w:cs="Times New Roman"/>
          <w:sz w:val="16"/>
          <w:szCs w:val="16"/>
        </w:rPr>
        <w:t>, COM(2025) 125 final, 19 March 2025.</w:t>
      </w:r>
    </w:p>
  </w:footnote>
  <w:footnote w:id="61">
    <w:p w14:paraId="6741C68C" w14:textId="028CF6AB"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hyperlink r:id="rId52" w:history="1">
        <w:r w:rsidRPr="00720DA1">
          <w:rPr>
            <w:rStyle w:val="Hyperlink"/>
            <w:sz w:val="16"/>
            <w:szCs w:val="16"/>
          </w:rPr>
          <w:t>SCAN</w:t>
        </w:r>
      </w:hyperlink>
      <w:r w:rsidRPr="00720DA1">
        <w:rPr>
          <w:sz w:val="16"/>
          <w:szCs w:val="16"/>
        </w:rPr>
        <w:t xml:space="preserve"> (</w:t>
      </w:r>
      <w:hyperlink r:id="rId53" w:history="1">
        <w:r w:rsidRPr="00720DA1">
          <w:rPr>
            <w:rStyle w:val="Hyperlink"/>
            <w:sz w:val="16"/>
            <w:szCs w:val="16"/>
          </w:rPr>
          <w:t>Supply Chain Alert Notification</w:t>
        </w:r>
      </w:hyperlink>
      <w:r w:rsidRPr="00720DA1">
        <w:rPr>
          <w:sz w:val="16"/>
          <w:szCs w:val="16"/>
        </w:rPr>
        <w:t xml:space="preserve">) is an indicator-based mechanism to monitor the evolution of supply chains in the EU and identify their distress. It aims at contributing to a better risk assessment of supply chains, particularly in strategic areas, with the goal of detecting disruptions as early as possible </w:t>
      </w:r>
      <w:r w:rsidR="005F3121" w:rsidRPr="00720DA1">
        <w:rPr>
          <w:sz w:val="16"/>
          <w:szCs w:val="16"/>
        </w:rPr>
        <w:t>to</w:t>
      </w:r>
      <w:r w:rsidRPr="00720DA1">
        <w:rPr>
          <w:sz w:val="16"/>
          <w:szCs w:val="16"/>
        </w:rPr>
        <w:t xml:space="preserve"> avoid potential adverse effects.</w:t>
      </w:r>
    </w:p>
  </w:footnote>
  <w:footnote w:id="62">
    <w:p w14:paraId="616ADD25"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A large share of the distressed products also falls within the highest Single-Point-of-Failure (SPOF) risk categories, meaning that global production is heavily concentrated in just a few countries. The top supplier for over 60% of these products is China, followed by the United States (15%) and India (8%). While the dataset captures only trade dynamics, these patterns are consistent with wider evidence of industrial contraction and growing import dependence observed in the sector.</w:t>
      </w:r>
    </w:p>
  </w:footnote>
  <w:footnote w:id="63">
    <w:p w14:paraId="5BB2D10C"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European Commission, JRC internal analysis based on Europe Media Monitor.</w:t>
      </w:r>
    </w:p>
  </w:footnote>
  <w:footnote w:id="64">
    <w:p w14:paraId="760A95D1" w14:textId="2CC2F1F0"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377523" w:rsidRPr="00720DA1">
        <w:rPr>
          <w:sz w:val="16"/>
          <w:szCs w:val="16"/>
        </w:rPr>
        <w:t xml:space="preserve">European Commission (2025), </w:t>
      </w:r>
      <w:hyperlink r:id="rId54" w:history="1">
        <w:r w:rsidRPr="00720DA1">
          <w:rPr>
            <w:rStyle w:val="Hyperlink"/>
            <w:sz w:val="16"/>
            <w:szCs w:val="16"/>
          </w:rPr>
          <w:t>Clean Industrial Deal</w:t>
        </w:r>
      </w:hyperlink>
      <w:r w:rsidR="00377523" w:rsidRPr="00720DA1">
        <w:rPr>
          <w:sz w:val="16"/>
          <w:szCs w:val="16"/>
        </w:rPr>
        <w:t>,</w:t>
      </w:r>
      <w:r w:rsidRPr="00720DA1">
        <w:rPr>
          <w:sz w:val="16"/>
          <w:szCs w:val="16"/>
        </w:rPr>
        <w:t xml:space="preserve"> COM/2025/85 final, 26 February 2025.</w:t>
      </w:r>
    </w:p>
  </w:footnote>
  <w:footnote w:id="65">
    <w:p w14:paraId="0F2278AD"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BloombergNEF, Decarbonizing Steel Project Database (1.0.5), 2025. Commission analysis. More details in Annex 8.</w:t>
      </w:r>
    </w:p>
  </w:footnote>
  <w:footnote w:id="66">
    <w:p w14:paraId="387C412A" w14:textId="3A5212BE"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Bruegel</w:t>
      </w:r>
      <w:r w:rsidR="001F105D" w:rsidRPr="00720DA1">
        <w:rPr>
          <w:rFonts w:cs="Times New Roman"/>
          <w:sz w:val="16"/>
          <w:szCs w:val="16"/>
        </w:rPr>
        <w:t>,</w:t>
      </w:r>
      <w:r w:rsidRPr="00720DA1" w:rsidDel="001F105D">
        <w:rPr>
          <w:rFonts w:cs="Times New Roman"/>
          <w:sz w:val="16"/>
          <w:szCs w:val="16"/>
        </w:rPr>
        <w:t xml:space="preserve"> </w:t>
      </w:r>
      <w:hyperlink r:id="rId55" w:history="1">
        <w:r w:rsidRPr="00720DA1">
          <w:rPr>
            <w:rStyle w:val="Hyperlink"/>
            <w:rFonts w:cs="Times New Roman"/>
            <w:sz w:val="16"/>
            <w:szCs w:val="16"/>
          </w:rPr>
          <w:t>European Clean Tech Tracker</w:t>
        </w:r>
      </w:hyperlink>
      <w:r w:rsidRPr="00720DA1">
        <w:rPr>
          <w:rFonts w:cs="Times New Roman"/>
          <w:sz w:val="16"/>
          <w:szCs w:val="16"/>
        </w:rPr>
        <w:t>.</w:t>
      </w:r>
    </w:p>
  </w:footnote>
  <w:footnote w:id="67">
    <w:p w14:paraId="11DCCA91" w14:textId="4B1D5585" w:rsidR="00285741" w:rsidRPr="00720DA1" w:rsidRDefault="00285741" w:rsidP="00F62F01">
      <w:pPr>
        <w:pStyle w:val="FootnoteText"/>
        <w:jc w:val="left"/>
        <w:rPr>
          <w:rFonts w:cs="Times New Roman"/>
          <w:sz w:val="16"/>
          <w:szCs w:val="16"/>
        </w:rPr>
      </w:pPr>
      <w:r w:rsidRPr="00720DA1">
        <w:rPr>
          <w:rStyle w:val="FootnoteReference"/>
          <w:rFonts w:cs="Times New Roman"/>
          <w:sz w:val="16"/>
          <w:szCs w:val="16"/>
        </w:rPr>
        <w:footnoteRef/>
      </w:r>
      <w:r w:rsidRPr="00761984">
        <w:rPr>
          <w:rFonts w:cs="Times New Roman"/>
          <w:sz w:val="16"/>
          <w:szCs w:val="16"/>
          <w:lang w:val="fr-BE"/>
        </w:rPr>
        <w:t xml:space="preserve"> </w:t>
      </w:r>
      <w:r w:rsidR="0007039C" w:rsidRPr="0007039C">
        <w:rPr>
          <w:rFonts w:cs="Times New Roman"/>
          <w:sz w:val="16"/>
          <w:szCs w:val="16"/>
          <w:lang w:val="fr-BE"/>
        </w:rPr>
        <w:t xml:space="preserve">Ericher, M. et al. (2024). </w:t>
      </w:r>
      <w:r w:rsidR="0007039C" w:rsidRPr="00F10268">
        <w:rPr>
          <w:rFonts w:cs="Times New Roman"/>
          <w:sz w:val="16"/>
          <w:szCs w:val="16"/>
          <w:lang w:val="fr-BE"/>
        </w:rPr>
        <w:t xml:space="preserve">Les Themas de la DG. </w:t>
      </w:r>
      <w:r w:rsidR="0007039C" w:rsidRPr="00F10268">
        <w:rPr>
          <w:rFonts w:cs="Times New Roman"/>
          <w:sz w:val="16"/>
          <w:szCs w:val="16"/>
          <w:lang w:val="en-US"/>
        </w:rPr>
        <w:t>Deployment of electromobility: How to develop the European battery supply</w:t>
      </w:r>
      <w:r w:rsidR="0007039C" w:rsidRPr="0007039C">
        <w:rPr>
          <w:sz w:val="16"/>
          <w:szCs w:val="16"/>
        </w:rPr>
        <w:t>.</w:t>
      </w:r>
    </w:p>
  </w:footnote>
  <w:footnote w:id="68">
    <w:p w14:paraId="5E53DC23"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BloombergNEF.</w:t>
      </w:r>
    </w:p>
  </w:footnote>
  <w:footnote w:id="69">
    <w:p w14:paraId="52312526"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By 2025, it is projected to control 87% of global battery cell production, 88% of Cathode Active Material (CAM), 95% of Anode Active Material (AAM), 89% of separators and over 90% of electrolyte production. Source: BloombergNEF.</w:t>
      </w:r>
    </w:p>
  </w:footnote>
  <w:footnote w:id="70">
    <w:p w14:paraId="67AA411C" w14:textId="77777777" w:rsidR="006D67E3" w:rsidRPr="00720DA1" w:rsidRDefault="006D67E3" w:rsidP="006D67E3">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European Battery Alliance.</w:t>
      </w:r>
    </w:p>
  </w:footnote>
  <w:footnote w:id="71">
    <w:p w14:paraId="1C45E4CF" w14:textId="3DDFBF8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933EBE" w:rsidRPr="00720DA1">
        <w:rPr>
          <w:sz w:val="16"/>
          <w:szCs w:val="16"/>
        </w:rPr>
        <w:t xml:space="preserve">SolarPower Europe (2025). </w:t>
      </w:r>
      <w:hyperlink r:id="rId56" w:history="1">
        <w:r w:rsidRPr="00720DA1">
          <w:rPr>
            <w:rStyle w:val="Hyperlink"/>
            <w:sz w:val="16"/>
            <w:szCs w:val="16"/>
          </w:rPr>
          <w:t>Reshoring Solar Manufacturing to Europe</w:t>
        </w:r>
      </w:hyperlink>
      <w:r w:rsidR="00933EBE" w:rsidRPr="00720DA1">
        <w:rPr>
          <w:sz w:val="16"/>
          <w:szCs w:val="16"/>
        </w:rPr>
        <w:t>,</w:t>
      </w:r>
      <w:r w:rsidRPr="00720DA1">
        <w:rPr>
          <w:sz w:val="16"/>
          <w:szCs w:val="16"/>
        </w:rPr>
        <w:t xml:space="preserve"> </w:t>
      </w:r>
      <w:r w:rsidR="00933EBE" w:rsidRPr="00720DA1">
        <w:rPr>
          <w:sz w:val="16"/>
          <w:szCs w:val="16"/>
        </w:rPr>
        <w:t>f</w:t>
      </w:r>
      <w:r w:rsidRPr="00720DA1">
        <w:rPr>
          <w:sz w:val="16"/>
          <w:szCs w:val="16"/>
        </w:rPr>
        <w:t>igure 7.</w:t>
      </w:r>
    </w:p>
  </w:footnote>
  <w:footnote w:id="72">
    <w:p w14:paraId="40678A94" w14:textId="0B287011"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3568B" w:rsidRPr="00720DA1">
        <w:rPr>
          <w:rFonts w:cs="Times New Roman"/>
          <w:sz w:val="16"/>
          <w:szCs w:val="16"/>
        </w:rPr>
        <w:t>IEA</w:t>
      </w:r>
      <w:r w:rsidR="0093568B" w:rsidRPr="00720DA1">
        <w:rPr>
          <w:sz w:val="16"/>
          <w:szCs w:val="16"/>
        </w:rPr>
        <w:t xml:space="preserve"> (2024)</w:t>
      </w:r>
      <w:r w:rsidR="0093568B" w:rsidRPr="00720DA1">
        <w:rPr>
          <w:rFonts w:cs="Times New Roman"/>
          <w:sz w:val="16"/>
          <w:szCs w:val="16"/>
        </w:rPr>
        <w:t xml:space="preserve">. </w:t>
      </w:r>
      <w:hyperlink r:id="rId57" w:history="1">
        <w:r w:rsidR="0093568B" w:rsidRPr="00720DA1">
          <w:rPr>
            <w:rStyle w:val="Hyperlink"/>
            <w:rFonts w:cs="Times New Roman"/>
            <w:sz w:val="16"/>
            <w:szCs w:val="16"/>
          </w:rPr>
          <w:t>Energy Technology Perspectives 2024</w:t>
        </w:r>
      </w:hyperlink>
      <w:r w:rsidRPr="00720DA1">
        <w:rPr>
          <w:rFonts w:cs="Times New Roman"/>
          <w:sz w:val="16"/>
          <w:szCs w:val="16"/>
        </w:rPr>
        <w:t>.</w:t>
      </w:r>
    </w:p>
  </w:footnote>
  <w:footnote w:id="73">
    <w:p w14:paraId="5F3C1E24" w14:textId="03227562"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B6BB4" w:rsidRPr="00720DA1">
        <w:rPr>
          <w:rFonts w:cs="Times New Roman"/>
          <w:sz w:val="16"/>
          <w:szCs w:val="16"/>
        </w:rPr>
        <w:t>European Commission (2025).</w:t>
      </w:r>
      <w:r w:rsidRPr="00720DA1">
        <w:rPr>
          <w:rFonts w:cs="Times New Roman"/>
          <w:sz w:val="16"/>
          <w:szCs w:val="16"/>
        </w:rPr>
        <w:t xml:space="preserve"> </w:t>
      </w:r>
      <w:hyperlink r:id="rId58" w:history="1">
        <w:r w:rsidRPr="00720DA1">
          <w:rPr>
            <w:rStyle w:val="Hyperlink"/>
            <w:rFonts w:cs="Times New Roman"/>
            <w:sz w:val="16"/>
            <w:szCs w:val="16"/>
          </w:rPr>
          <w:t>Competitiveness Progress Report on Clean Energy Technologies</w:t>
        </w:r>
      </w:hyperlink>
      <w:r w:rsidRPr="00720DA1">
        <w:rPr>
          <w:rFonts w:cs="Times New Roman"/>
          <w:sz w:val="16"/>
          <w:szCs w:val="16"/>
        </w:rPr>
        <w:t>, COM(2025) 74 final, 26 February 2025.</w:t>
      </w:r>
    </w:p>
  </w:footnote>
  <w:footnote w:id="74">
    <w:p w14:paraId="205D24C5" w14:textId="29D2D27E"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1D137E" w:rsidRPr="00720DA1">
        <w:rPr>
          <w:sz w:val="16"/>
          <w:szCs w:val="16"/>
        </w:rPr>
        <w:t>European Commission,</w:t>
      </w:r>
      <w:r w:rsidRPr="00720DA1">
        <w:rPr>
          <w:sz w:val="16"/>
          <w:szCs w:val="16"/>
        </w:rPr>
        <w:t xml:space="preserve"> : </w:t>
      </w:r>
      <w:hyperlink r:id="rId59" w:history="1">
        <w:r w:rsidRPr="00720DA1">
          <w:rPr>
            <w:rStyle w:val="Hyperlink"/>
            <w:sz w:val="16"/>
            <w:szCs w:val="16"/>
          </w:rPr>
          <w:t>Summary - Net-Zero Technologies (NZT) Monitoring Dashboard - Power BI</w:t>
        </w:r>
      </w:hyperlink>
    </w:p>
  </w:footnote>
  <w:footnote w:id="75">
    <w:p w14:paraId="30585D4E" w14:textId="31BF9931"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4C6CC1" w:rsidRPr="00720DA1">
        <w:rPr>
          <w:sz w:val="16"/>
          <w:szCs w:val="16"/>
        </w:rPr>
        <w:t>SolarPower Europe</w:t>
      </w:r>
      <w:r w:rsidR="00E976EC" w:rsidRPr="00720DA1">
        <w:rPr>
          <w:sz w:val="16"/>
          <w:szCs w:val="16"/>
        </w:rPr>
        <w:t xml:space="preserve"> (2024)</w:t>
      </w:r>
      <w:r w:rsidR="004C6CC1" w:rsidRPr="00720DA1">
        <w:rPr>
          <w:sz w:val="16"/>
          <w:szCs w:val="16"/>
        </w:rPr>
        <w:t>,</w:t>
      </w:r>
      <w:r w:rsidRPr="00720DA1">
        <w:rPr>
          <w:sz w:val="16"/>
          <w:szCs w:val="16"/>
        </w:rPr>
        <w:t xml:space="preserve"> </w:t>
      </w:r>
      <w:hyperlink r:id="rId60" w:history="1">
        <w:r w:rsidRPr="00720DA1">
          <w:rPr>
            <w:rStyle w:val="Hyperlink"/>
            <w:sz w:val="16"/>
            <w:szCs w:val="16"/>
          </w:rPr>
          <w:t xml:space="preserve">Inverters Explained 2.0: Strengthening Europe's Inverter Industry </w:t>
        </w:r>
      </w:hyperlink>
      <w:r w:rsidRPr="00720DA1">
        <w:rPr>
          <w:sz w:val="16"/>
          <w:szCs w:val="16"/>
        </w:rPr>
        <w:t>.</w:t>
      </w:r>
    </w:p>
  </w:footnote>
  <w:footnote w:id="76">
    <w:p w14:paraId="4900349B"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European Commission (2025). Communication providing updated information under Regulation (EU) 2024/1735. </w:t>
      </w:r>
      <w:hyperlink r:id="rId61" w:history="1">
        <w:r w:rsidRPr="00720DA1">
          <w:rPr>
            <w:rStyle w:val="Hyperlink"/>
            <w:rFonts w:cs="Times New Roman"/>
            <w:sz w:val="16"/>
            <w:szCs w:val="16"/>
          </w:rPr>
          <w:t>OJ C 2025/3236</w:t>
        </w:r>
      </w:hyperlink>
      <w:r w:rsidRPr="00720DA1">
        <w:rPr>
          <w:rFonts w:cs="Times New Roman"/>
          <w:sz w:val="16"/>
          <w:szCs w:val="16"/>
        </w:rPr>
        <w:t>.</w:t>
      </w:r>
    </w:p>
  </w:footnote>
  <w:footnote w:id="77">
    <w:p w14:paraId="27EEEBC9"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 70 billion a year when considering the whole automotive supply-chain – vehicle manufacturers and suppliers, EUR 30 billion when considering only the automotive suppliers </w:t>
      </w:r>
      <w:hyperlink r:id="rId62" w:history="1">
        <w:r w:rsidRPr="00720DA1">
          <w:rPr>
            <w:rStyle w:val="Hyperlink"/>
            <w:rFonts w:cs="Times New Roman"/>
            <w:sz w:val="16"/>
            <w:szCs w:val="16"/>
          </w:rPr>
          <w:t>Automotive R&amp;D investment, by world region</w:t>
        </w:r>
      </w:hyperlink>
      <w:r w:rsidRPr="00720DA1">
        <w:rPr>
          <w:rFonts w:cs="Times New Roman"/>
          <w:sz w:val="16"/>
          <w:szCs w:val="16"/>
        </w:rPr>
        <w:t>, ACEA, 11 Sept 2024.</w:t>
      </w:r>
    </w:p>
    <w:p w14:paraId="13D850D1" w14:textId="77777777" w:rsidR="00285741" w:rsidRPr="00720DA1" w:rsidRDefault="00285741">
      <w:pPr>
        <w:pStyle w:val="FootnoteText"/>
        <w:rPr>
          <w:rFonts w:cs="Times New Roman"/>
          <w:sz w:val="16"/>
          <w:szCs w:val="16"/>
        </w:rPr>
      </w:pPr>
      <w:hyperlink r:id="rId63" w:history="1">
        <w:r w:rsidRPr="00720DA1">
          <w:rPr>
            <w:rStyle w:val="Hyperlink"/>
            <w:rFonts w:cs="Times New Roman"/>
            <w:sz w:val="16"/>
            <w:szCs w:val="16"/>
          </w:rPr>
          <w:t>Automotive suppliers in the EU – R&amp;I vision on circularity</w:t>
        </w:r>
      </w:hyperlink>
      <w:r w:rsidRPr="00720DA1">
        <w:rPr>
          <w:rFonts w:cs="Times New Roman"/>
          <w:sz w:val="16"/>
          <w:szCs w:val="16"/>
        </w:rPr>
        <w:t>, CLEPA, 11 September 2023.</w:t>
      </w:r>
    </w:p>
  </w:footnote>
  <w:footnote w:id="78">
    <w:p w14:paraId="6CA130BF"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For example, the trade balance with China on passenger vehicles became negative in 2025 (EUR 1.2 billion in the first half of the year) and imports of automotive parts from China increased by around EUR 4 billion between 2021 and 2025 (+66%) – compared with a decline in exports to China of around 50%. This is due to a 30-35% price differential between European and Chinese products. See: </w:t>
      </w:r>
      <w:r w:rsidRPr="00720DA1">
        <w:rPr>
          <w:rFonts w:cs="Times New Roman"/>
          <w:sz w:val="16"/>
          <w:szCs w:val="16"/>
        </w:rPr>
        <w:t>Made in Europe Local content policy for the European automotive industry. Gerpisa, April 2025.</w:t>
      </w:r>
    </w:p>
  </w:footnote>
  <w:footnote w:id="79">
    <w:p w14:paraId="7ED812E2" w14:textId="4F6FFFA6"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2769C9" w:rsidRPr="00720DA1">
        <w:rPr>
          <w:sz w:val="16"/>
          <w:szCs w:val="16"/>
        </w:rPr>
        <w:t xml:space="preserve">Draghi, M. (2024). </w:t>
      </w:r>
      <w:hyperlink r:id="rId64" w:history="1">
        <w:r w:rsidR="002769C9">
          <w:rPr>
            <w:rStyle w:val="Hyperlink"/>
            <w:sz w:val="16"/>
            <w:szCs w:val="16"/>
          </w:rPr>
          <w:t>The future of European competitiveness: In‑depth analysis and recommendations (Part B)</w:t>
        </w:r>
      </w:hyperlink>
      <w:r w:rsidRPr="00720DA1">
        <w:rPr>
          <w:rFonts w:cs="Times New Roman"/>
          <w:sz w:val="16"/>
          <w:szCs w:val="16"/>
        </w:rPr>
        <w:t>, p. 145.</w:t>
      </w:r>
      <w:r w:rsidRPr="00720DA1" w:rsidDel="001D1646">
        <w:rPr>
          <w:rFonts w:cs="Times New Roman"/>
          <w:sz w:val="16"/>
          <w:szCs w:val="16"/>
        </w:rPr>
        <w:t xml:space="preserve"> </w:t>
      </w:r>
    </w:p>
  </w:footnote>
  <w:footnote w:id="80">
    <w:p w14:paraId="42595FE9" w14:textId="744384C4" w:rsidR="00285741" w:rsidRPr="0040703F"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20DA1" w:rsidRPr="0040703F">
        <w:rPr>
          <w:rFonts w:cs="Times New Roman"/>
          <w:sz w:val="16"/>
          <w:szCs w:val="16"/>
        </w:rPr>
        <w:t>Mission Possible Partnership (MPP), E3G and the Industrial Transition Accelerator (ITA</w:t>
      </w:r>
      <w:r w:rsidR="00720DA1" w:rsidRPr="0040703F">
        <w:rPr>
          <w:sz w:val="16"/>
          <w:szCs w:val="16"/>
        </w:rPr>
        <w:t>) (2025).</w:t>
      </w:r>
      <w:r w:rsidR="00720DA1" w:rsidRPr="0040703F">
        <w:rPr>
          <w:rFonts w:cs="Times New Roman"/>
          <w:sz w:val="16"/>
          <w:szCs w:val="16"/>
        </w:rPr>
        <w:t xml:space="preserve"> </w:t>
      </w:r>
      <w:hyperlink r:id="rId65" w:history="1">
        <w:r w:rsidR="00720DA1" w:rsidRPr="0040703F">
          <w:rPr>
            <w:rStyle w:val="Hyperlink"/>
            <w:rFonts w:cs="Times New Roman"/>
            <w:sz w:val="16"/>
            <w:szCs w:val="16"/>
          </w:rPr>
          <w:t>Building the EU’s Clean Industrial Future: Unlocking Investment through Lead Markets</w:t>
        </w:r>
      </w:hyperlink>
      <w:r w:rsidRPr="00720DA1">
        <w:rPr>
          <w:rFonts w:cs="Times New Roman"/>
          <w:sz w:val="16"/>
          <w:szCs w:val="16"/>
        </w:rPr>
        <w:t>.</w:t>
      </w:r>
    </w:p>
  </w:footnote>
  <w:footnote w:id="81">
    <w:p w14:paraId="79C15890"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lang w:val="it-IT"/>
        </w:rPr>
        <w:t xml:space="preserve"> Damioli, G., Marin, G., &amp; Zanfei, A. (2024). </w:t>
      </w:r>
      <w:r w:rsidRPr="00720DA1">
        <w:rPr>
          <w:rFonts w:cs="Times New Roman"/>
          <w:sz w:val="16"/>
          <w:szCs w:val="16"/>
        </w:rPr>
        <w:t xml:space="preserve">The effects of foreign entry on local innovation by entry mode. Research Policy, 53(2), 104807. </w:t>
      </w:r>
      <w:hyperlink r:id="rId66" w:history="1">
        <w:r w:rsidRPr="00720DA1">
          <w:rPr>
            <w:rStyle w:val="Hyperlink"/>
            <w:rFonts w:cs="Times New Roman"/>
            <w:sz w:val="16"/>
            <w:szCs w:val="16"/>
          </w:rPr>
          <w:t>https://doi.org/10.1016/j.respol.2024.104807</w:t>
        </w:r>
      </w:hyperlink>
      <w:r w:rsidRPr="00720DA1">
        <w:rPr>
          <w:rFonts w:cs="Times New Roman"/>
          <w:sz w:val="16"/>
          <w:szCs w:val="16"/>
        </w:rPr>
        <w:t>.</w:t>
      </w:r>
    </w:p>
  </w:footnote>
  <w:footnote w:id="82">
    <w:p w14:paraId="0ADF250D" w14:textId="77777777" w:rsidR="00911575" w:rsidRPr="00720DA1" w:rsidRDefault="00911575" w:rsidP="00911575">
      <w:pPr>
        <w:pStyle w:val="FootnoteText"/>
        <w:rPr>
          <w:sz w:val="16"/>
          <w:szCs w:val="16"/>
        </w:rPr>
      </w:pPr>
      <w:r w:rsidRPr="00720DA1">
        <w:rPr>
          <w:rStyle w:val="FootnoteReference"/>
          <w:rFonts w:cs="Times New Roman"/>
          <w:sz w:val="16"/>
          <w:szCs w:val="16"/>
        </w:rPr>
        <w:footnoteRef/>
      </w:r>
      <w:r w:rsidRPr="00720DA1">
        <w:rPr>
          <w:rStyle w:val="FootnoteReference"/>
          <w:rFonts w:cs="Times New Roman"/>
          <w:sz w:val="16"/>
          <w:szCs w:val="16"/>
        </w:rPr>
        <w:t xml:space="preserve"> </w:t>
      </w:r>
      <w:r w:rsidRPr="00720DA1">
        <w:rPr>
          <w:rFonts w:cs="Times New Roman"/>
          <w:sz w:val="16"/>
          <w:szCs w:val="16"/>
        </w:rPr>
        <w:t xml:space="preserve">Coveri, A., Paglialunga, E. and Zanfei, A. (2024). </w:t>
      </w:r>
      <w:hyperlink r:id="rId67" w:history="1">
        <w:r w:rsidRPr="00720DA1">
          <w:rPr>
            <w:rStyle w:val="Hyperlink"/>
            <w:rFonts w:cs="Times New Roman"/>
            <w:sz w:val="16"/>
            <w:szCs w:val="16"/>
          </w:rPr>
          <w:t>Functional specialisation and upgrading in European regions: new insights from FDI data</w:t>
        </w:r>
      </w:hyperlink>
      <w:r w:rsidRPr="00720DA1">
        <w:rPr>
          <w:rFonts w:cs="Times New Roman"/>
          <w:sz w:val="16"/>
          <w:szCs w:val="16"/>
        </w:rPr>
        <w:t>. WP-EMS #2024/01.</w:t>
      </w:r>
      <w:r w:rsidRPr="00720DA1">
        <w:rPr>
          <w:sz w:val="16"/>
          <w:szCs w:val="16"/>
        </w:rPr>
        <w:t xml:space="preserve"> </w:t>
      </w:r>
    </w:p>
  </w:footnote>
  <w:footnote w:id="83">
    <w:p w14:paraId="096F943C"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68" w:history="1">
        <w:r w:rsidRPr="00720DA1">
          <w:rPr>
            <w:rStyle w:val="Hyperlink"/>
            <w:rFonts w:cs="Times New Roman"/>
            <w:sz w:val="16"/>
            <w:szCs w:val="16"/>
          </w:rPr>
          <w:t>SWD(2025) 11</w:t>
        </w:r>
      </w:hyperlink>
      <w:r w:rsidRPr="00720DA1">
        <w:rPr>
          <w:rFonts w:cs="Times New Roman"/>
          <w:sz w:val="16"/>
          <w:szCs w:val="16"/>
        </w:rPr>
        <w:t xml:space="preserve"> - Key Performance Indicators (KPIs) - Overview of Resilience Measures by Selected Global Players accompanying the 2025 Annual Single Market and Competitiveness Report and Annex 10 of this Impact Assessment.</w:t>
      </w:r>
    </w:p>
  </w:footnote>
  <w:footnote w:id="84">
    <w:p w14:paraId="18968875"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Jonathan E. Hillman, The Digital Silk Road: China’s Quest to Wire the World and Win the Future (New York: Harper Business, 2021).</w:t>
      </w:r>
    </w:p>
  </w:footnote>
  <w:footnote w:id="85">
    <w:p w14:paraId="61FDAEFE" w14:textId="77777777" w:rsidR="00285741" w:rsidRPr="00720DA1" w:rsidRDefault="00285741">
      <w:pPr>
        <w:pStyle w:val="FootnoteText"/>
        <w:rPr>
          <w:sz w:val="16"/>
          <w:szCs w:val="16"/>
        </w:rPr>
      </w:pPr>
      <w:r w:rsidRPr="00720DA1">
        <w:rPr>
          <w:rStyle w:val="FootnoteReference"/>
          <w:sz w:val="16"/>
          <w:szCs w:val="16"/>
        </w:rPr>
        <w:footnoteRef/>
      </w:r>
      <w:r w:rsidRPr="00720DA1">
        <w:rPr>
          <w:rStyle w:val="FootnoteReference"/>
          <w:sz w:val="16"/>
          <w:szCs w:val="16"/>
        </w:rPr>
        <w:t xml:space="preserve"> </w:t>
      </w:r>
      <w:r w:rsidRPr="00720DA1">
        <w:rPr>
          <w:rFonts w:cs="Times New Roman"/>
          <w:sz w:val="16"/>
          <w:szCs w:val="16"/>
        </w:rPr>
        <w:t>Many (but not all) Member States screen FDI for possible security risks. This however is done only for some FDI, with conditions differing between Member States (such as regards the extent to which clean tech/EEI are covered), and only as regards risks to security and public order.</w:t>
      </w:r>
    </w:p>
  </w:footnote>
  <w:footnote w:id="86">
    <w:p w14:paraId="5C49F00C" w14:textId="71C20A2E" w:rsidR="00FA17D7" w:rsidRPr="00720DA1" w:rsidRDefault="00FA17D7">
      <w:pPr>
        <w:pStyle w:val="FootnoteText"/>
        <w:rPr>
          <w:rFonts w:cs="Times New Roman"/>
          <w:sz w:val="16"/>
          <w:szCs w:val="16"/>
          <w:lang w:val="en-IE"/>
        </w:rPr>
      </w:pPr>
      <w:r w:rsidRPr="00720DA1">
        <w:rPr>
          <w:rStyle w:val="FootnoteReference"/>
          <w:rFonts w:cs="Times New Roman"/>
          <w:sz w:val="16"/>
          <w:szCs w:val="16"/>
        </w:rPr>
        <w:footnoteRef/>
      </w:r>
      <w:r w:rsidRPr="00720DA1">
        <w:rPr>
          <w:rFonts w:cs="Times New Roman"/>
          <w:sz w:val="16"/>
          <w:szCs w:val="16"/>
        </w:rPr>
        <w:t xml:space="preserve"> CEPII (2024), “</w:t>
      </w:r>
      <w:hyperlink r:id="rId69" w:history="1">
        <w:r w:rsidRPr="00720DA1">
          <w:rPr>
            <w:rStyle w:val="Hyperlink"/>
            <w:rFonts w:cs="Times New Roman"/>
            <w:sz w:val="16"/>
            <w:szCs w:val="16"/>
          </w:rPr>
          <w:t>Will Chinese Auto Export Boom Transform into Local Production in Europe?</w:t>
        </w:r>
      </w:hyperlink>
      <w:r w:rsidRPr="00720DA1">
        <w:rPr>
          <w:rFonts w:cs="Times New Roman"/>
          <w:sz w:val="16"/>
          <w:szCs w:val="16"/>
        </w:rPr>
        <w:t>”, CEPII Policy Brief No. 45, Paris.</w:t>
      </w:r>
    </w:p>
  </w:footnote>
  <w:footnote w:id="87">
    <w:p w14:paraId="3380E607" w14:textId="47AF9EEF" w:rsidR="006F19A6" w:rsidRPr="00720DA1" w:rsidRDefault="006F19A6">
      <w:pPr>
        <w:pStyle w:val="FootnoteText"/>
        <w:rPr>
          <w:rFonts w:cs="Times New Roman"/>
          <w:sz w:val="16"/>
          <w:szCs w:val="16"/>
          <w:lang w:val="en-IE"/>
        </w:rPr>
      </w:pPr>
      <w:r w:rsidRPr="00720DA1">
        <w:rPr>
          <w:rStyle w:val="FootnoteReference"/>
          <w:rFonts w:cs="Times New Roman"/>
          <w:sz w:val="16"/>
          <w:szCs w:val="16"/>
        </w:rPr>
        <w:footnoteRef/>
      </w:r>
      <w:r w:rsidRPr="00720DA1">
        <w:rPr>
          <w:rFonts w:cs="Times New Roman"/>
          <w:sz w:val="16"/>
          <w:szCs w:val="16"/>
        </w:rPr>
        <w:t xml:space="preserve"> </w:t>
      </w:r>
      <w:r w:rsidRPr="00720DA1">
        <w:rPr>
          <w:rStyle w:val="Hyperlink"/>
          <w:rFonts w:cs="Times New Roman"/>
          <w:sz w:val="16"/>
          <w:szCs w:val="16"/>
        </w:rPr>
        <w:t>Head, K., Mayer, T., Melitz, M., Yang, C. (2025), “</w:t>
      </w:r>
      <w:hyperlink r:id="rId70" w:history="1">
        <w:r w:rsidRPr="00720DA1">
          <w:rPr>
            <w:rStyle w:val="Hyperlink"/>
            <w:rFonts w:cs="Times New Roman"/>
            <w:sz w:val="16"/>
            <w:szCs w:val="16"/>
          </w:rPr>
          <w:t>Industrial policies for multi-stage production: the battle for battery-powered vehicles</w:t>
        </w:r>
      </w:hyperlink>
      <w:r w:rsidRPr="00720DA1">
        <w:rPr>
          <w:rStyle w:val="Hyperlink"/>
          <w:rFonts w:cs="Times New Roman"/>
          <w:sz w:val="16"/>
          <w:szCs w:val="16"/>
        </w:rPr>
        <w:t>”, CEPR / HMMY Working Paper.</w:t>
      </w:r>
    </w:p>
  </w:footnote>
  <w:footnote w:id="88">
    <w:p w14:paraId="1DBD3F81" w14:textId="6627B969" w:rsidR="003A44D6" w:rsidRPr="00720DA1" w:rsidRDefault="003A44D6">
      <w:pPr>
        <w:pStyle w:val="FootnoteText"/>
        <w:rPr>
          <w:rFonts w:cs="Times New Roman"/>
          <w:sz w:val="16"/>
          <w:szCs w:val="16"/>
          <w:lang w:val="en-IE"/>
        </w:rPr>
      </w:pPr>
      <w:r w:rsidRPr="00720DA1">
        <w:rPr>
          <w:rStyle w:val="FootnoteReference"/>
          <w:rFonts w:cs="Times New Roman"/>
          <w:sz w:val="16"/>
          <w:szCs w:val="16"/>
        </w:rPr>
        <w:footnoteRef/>
      </w:r>
      <w:r w:rsidRPr="00720DA1">
        <w:rPr>
          <w:rFonts w:cs="Times New Roman"/>
          <w:sz w:val="16"/>
          <w:szCs w:val="16"/>
        </w:rPr>
        <w:t xml:space="preserve"> CEPII (2024), “</w:t>
      </w:r>
      <w:hyperlink r:id="rId71" w:history="1">
        <w:r w:rsidRPr="00720DA1">
          <w:rPr>
            <w:rStyle w:val="Hyperlink"/>
            <w:rFonts w:cs="Times New Roman"/>
            <w:sz w:val="16"/>
            <w:szCs w:val="16"/>
          </w:rPr>
          <w:t>Will Chinese Auto Export Boom Transform into Local Production in Europe?</w:t>
        </w:r>
      </w:hyperlink>
      <w:r w:rsidRPr="00720DA1">
        <w:rPr>
          <w:rFonts w:cs="Times New Roman"/>
          <w:sz w:val="16"/>
          <w:szCs w:val="16"/>
        </w:rPr>
        <w:t>”, CEPII Policy Brief No. 45, Paris.</w:t>
      </w:r>
    </w:p>
  </w:footnote>
  <w:footnote w:id="89">
    <w:p w14:paraId="5C2F32D8" w14:textId="6DE3080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2769C9" w:rsidRPr="00720DA1">
        <w:rPr>
          <w:sz w:val="16"/>
          <w:szCs w:val="16"/>
        </w:rPr>
        <w:t xml:space="preserve">Draghi, M. (2024). </w:t>
      </w:r>
      <w:hyperlink r:id="rId72" w:history="1">
        <w:r w:rsidR="002769C9">
          <w:rPr>
            <w:rStyle w:val="Hyperlink"/>
            <w:sz w:val="16"/>
            <w:szCs w:val="16"/>
          </w:rPr>
          <w:t>The future of European competitiveness: In‑depth analysis and recommendations (Part B)</w:t>
        </w:r>
      </w:hyperlink>
      <w:r w:rsidRPr="00720DA1">
        <w:rPr>
          <w:sz w:val="16"/>
          <w:szCs w:val="16"/>
        </w:rPr>
        <w:t>.</w:t>
      </w:r>
    </w:p>
  </w:footnote>
  <w:footnote w:id="90">
    <w:p w14:paraId="19BE69E1" w14:textId="2B4C88BF"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2769C9" w:rsidRPr="00720DA1">
        <w:rPr>
          <w:sz w:val="16"/>
          <w:szCs w:val="16"/>
        </w:rPr>
        <w:t xml:space="preserve">Draghi, M. (2024). </w:t>
      </w:r>
      <w:hyperlink r:id="rId73" w:history="1">
        <w:r w:rsidR="002769C9">
          <w:rPr>
            <w:rStyle w:val="Hyperlink"/>
            <w:sz w:val="16"/>
            <w:szCs w:val="16"/>
          </w:rPr>
          <w:t>The future of European competitiveness: In‑depth analysis and recommendations (Part B)</w:t>
        </w:r>
      </w:hyperlink>
      <w:r w:rsidRPr="00720DA1">
        <w:rPr>
          <w:sz w:val="16"/>
          <w:szCs w:val="16"/>
        </w:rPr>
        <w:t>, p. 99.</w:t>
      </w:r>
    </w:p>
  </w:footnote>
  <w:footnote w:id="91">
    <w:p w14:paraId="38F0954F" w14:textId="11ECEE94" w:rsidR="00285741" w:rsidRPr="00720DA1" w:rsidRDefault="00285741">
      <w:pPr>
        <w:pStyle w:val="FootnoteText"/>
        <w:rPr>
          <w:sz w:val="16"/>
          <w:szCs w:val="16"/>
          <w:highlight w:val="yellow"/>
        </w:rPr>
      </w:pPr>
      <w:r w:rsidRPr="00720DA1">
        <w:rPr>
          <w:rStyle w:val="FootnoteReference"/>
          <w:sz w:val="16"/>
          <w:szCs w:val="16"/>
        </w:rPr>
        <w:footnoteRef/>
      </w:r>
      <w:r w:rsidRPr="00720DA1">
        <w:rPr>
          <w:sz w:val="16"/>
          <w:szCs w:val="16"/>
        </w:rPr>
        <w:t xml:space="preserve"> </w:t>
      </w:r>
      <w:r w:rsidRPr="00720DA1">
        <w:rPr>
          <w:rFonts w:cs="Times New Roman"/>
          <w:sz w:val="16"/>
          <w:szCs w:val="16"/>
        </w:rPr>
        <w:t xml:space="preserve">BloombergNEF </w:t>
      </w:r>
      <w:r w:rsidR="00E976EC" w:rsidRPr="00720DA1">
        <w:rPr>
          <w:rFonts w:cs="Times New Roman"/>
          <w:sz w:val="16"/>
          <w:szCs w:val="16"/>
        </w:rPr>
        <w:t>(</w:t>
      </w:r>
      <w:r w:rsidRPr="00720DA1">
        <w:rPr>
          <w:rFonts w:cs="Times New Roman"/>
          <w:sz w:val="16"/>
          <w:szCs w:val="16"/>
        </w:rPr>
        <w:t>2024</w:t>
      </w:r>
      <w:r w:rsidR="00E976EC" w:rsidRPr="00720DA1">
        <w:rPr>
          <w:rFonts w:cs="Times New Roman"/>
          <w:sz w:val="16"/>
          <w:szCs w:val="16"/>
        </w:rPr>
        <w:t>).</w:t>
      </w:r>
      <w:r w:rsidRPr="00720DA1">
        <w:rPr>
          <w:rFonts w:cs="Times New Roman"/>
          <w:sz w:val="16"/>
          <w:szCs w:val="16"/>
        </w:rPr>
        <w:t xml:space="preserve"> Numbers are averages and may vary due to the abundance of cheaper renewable energy</w:t>
      </w:r>
      <w:r w:rsidR="00E976EC" w:rsidRPr="00720DA1">
        <w:rPr>
          <w:rFonts w:cs="Times New Roman"/>
          <w:sz w:val="16"/>
          <w:szCs w:val="16"/>
        </w:rPr>
        <w:t>.</w:t>
      </w:r>
    </w:p>
  </w:footnote>
  <w:footnote w:id="92">
    <w:p w14:paraId="009CD6DD" w14:textId="6C443438"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3C668A" w:rsidRPr="00720DA1">
        <w:rPr>
          <w:rFonts w:cs="Times New Roman"/>
          <w:sz w:val="16"/>
          <w:szCs w:val="16"/>
        </w:rPr>
        <w:t>Marmier, A</w:t>
      </w:r>
      <w:r w:rsidR="003C668A" w:rsidRPr="00720DA1">
        <w:rPr>
          <w:sz w:val="16"/>
          <w:szCs w:val="16"/>
        </w:rPr>
        <w:t xml:space="preserve">. </w:t>
      </w:r>
      <w:r w:rsidR="003C668A">
        <w:rPr>
          <w:sz w:val="16"/>
          <w:szCs w:val="16"/>
        </w:rPr>
        <w:t xml:space="preserve">(JRC) </w:t>
      </w:r>
      <w:r w:rsidR="003C668A" w:rsidRPr="00720DA1">
        <w:rPr>
          <w:sz w:val="16"/>
          <w:szCs w:val="16"/>
        </w:rPr>
        <w:t>(2023)</w:t>
      </w:r>
      <w:r w:rsidR="003C668A">
        <w:rPr>
          <w:sz w:val="16"/>
          <w:szCs w:val="16"/>
        </w:rPr>
        <w:t>.</w:t>
      </w:r>
      <w:r w:rsidR="003C668A" w:rsidRPr="00720DA1">
        <w:rPr>
          <w:sz w:val="16"/>
          <w:szCs w:val="16"/>
        </w:rPr>
        <w:t xml:space="preserve"> </w:t>
      </w:r>
      <w:hyperlink r:id="rId74" w:history="1">
        <w:r w:rsidR="003C668A" w:rsidRPr="003C668A">
          <w:rPr>
            <w:rStyle w:val="Hyperlink"/>
            <w:sz w:val="16"/>
            <w:szCs w:val="16"/>
          </w:rPr>
          <w:t>Decarbonisation options for the cement industry</w:t>
        </w:r>
      </w:hyperlink>
      <w:r w:rsidR="003C668A" w:rsidRPr="00720DA1">
        <w:rPr>
          <w:sz w:val="16"/>
          <w:szCs w:val="16"/>
        </w:rPr>
        <w:t>.</w:t>
      </w:r>
    </w:p>
  </w:footnote>
  <w:footnote w:id="93">
    <w:p w14:paraId="1BEB83A0"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Style w:val="FootnoteReference"/>
          <w:sz w:val="16"/>
          <w:szCs w:val="16"/>
          <w:vertAlign w:val="baseline"/>
        </w:rPr>
        <w:t>2025 annual knowledge sharing report of the Innovation Fund: De-risking innovative low-carbon technologies</w:t>
      </w:r>
      <w:r w:rsidRPr="00720DA1">
        <w:rPr>
          <w:sz w:val="16"/>
          <w:szCs w:val="16"/>
        </w:rPr>
        <w:t>.</w:t>
      </w:r>
    </w:p>
  </w:footnote>
  <w:footnote w:id="94">
    <w:p w14:paraId="35255277" w14:textId="77777777" w:rsidR="00285741" w:rsidRPr="00720DA1" w:rsidDel="009429A2" w:rsidRDefault="00285741">
      <w:pPr>
        <w:rPr>
          <w:rFonts w:cs="Times New Roman"/>
          <w:sz w:val="16"/>
          <w:szCs w:val="16"/>
        </w:rPr>
      </w:pPr>
      <w:r w:rsidRPr="00720DA1" w:rsidDel="009429A2">
        <w:rPr>
          <w:rFonts w:cs="Times New Roman"/>
          <w:sz w:val="16"/>
          <w:szCs w:val="16"/>
          <w:vertAlign w:val="superscript"/>
        </w:rPr>
        <w:footnoteRef/>
      </w:r>
      <w:r w:rsidRPr="00720DA1">
        <w:rPr>
          <w:rFonts w:cs="Times New Roman"/>
          <w:sz w:val="16"/>
          <w:szCs w:val="16"/>
        </w:rPr>
        <w:t xml:space="preserve"> Permitting novel production processes is addressed to some extent at the EU level by the revised Industrial Emissions Directive, which contains specific permitting flexibilities for the implementation of 'deep industrial transformation’, where more time is granted for innovative installations to comply with permit conditions. </w:t>
      </w:r>
    </w:p>
  </w:footnote>
  <w:footnote w:id="95">
    <w:p w14:paraId="73D96D31"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27% of respondents indicated 12 to 24 months, 9% from 24 to 36 months and 9% from 36 to 48 months.</w:t>
      </w:r>
    </w:p>
  </w:footnote>
  <w:footnote w:id="96">
    <w:p w14:paraId="773EDDB5"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Most of them (12 projects) required less than one additional year to have their permits granted. 8 projects used the same amount of time as they had estimated, and only a few projects (5) could save time in the permission process. Within the group of 28 projects, all biofuels and bio-refineries projects (3) and chemicals projects (3) needed more time for the permitting process than anticipated. Fund projects participating in the survey were signed between late 2021 and late 2023 and results may therefore be skewed towards projects with shorter permitting periods.</w:t>
      </w:r>
    </w:p>
  </w:footnote>
  <w:footnote w:id="97">
    <w:p w14:paraId="41CC5660"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Innovation Fund survey on permitting showed that 51% of the respondents found the high number of public authorities involved in the permitting procedures as a challenge.</w:t>
      </w:r>
    </w:p>
  </w:footnote>
  <w:footnote w:id="98">
    <w:p w14:paraId="571A70D3" w14:textId="77777777" w:rsidR="00285741" w:rsidRPr="00720DA1" w:rsidRDefault="00285741" w:rsidP="006D0C21">
      <w:pPr>
        <w:pStyle w:val="FootnoteText"/>
        <w:rPr>
          <w:rFonts w:eastAsia="Arial" w:cs="Times New Roman"/>
          <w:b/>
          <w:color w:val="112250"/>
          <w:sz w:val="16"/>
          <w:szCs w:val="16"/>
        </w:rPr>
      </w:pPr>
      <w:r w:rsidRPr="00720DA1">
        <w:rPr>
          <w:rStyle w:val="FootnoteReference"/>
          <w:rFonts w:cs="Times New Roman"/>
          <w:sz w:val="16"/>
          <w:szCs w:val="16"/>
        </w:rPr>
        <w:footnoteRef/>
      </w:r>
      <w:r w:rsidRPr="00720DA1" w:rsidDel="00CA152C">
        <w:rPr>
          <w:rFonts w:cs="Times New Roman"/>
          <w:color w:val="000000" w:themeColor="text1"/>
          <w:sz w:val="16"/>
          <w:szCs w:val="16"/>
        </w:rPr>
        <w:t xml:space="preserve"> </w:t>
      </w:r>
      <w:hyperlink r:id="rId75">
        <w:r w:rsidRPr="00720DA1">
          <w:rPr>
            <w:rStyle w:val="Hyperlink"/>
            <w:rFonts w:eastAsia="Times" w:cs="Times New Roman"/>
            <w:sz w:val="16"/>
            <w:szCs w:val="16"/>
          </w:rPr>
          <w:t>2025 annual knowledge sharing report of the Innovation Fund.</w:t>
        </w:r>
      </w:hyperlink>
      <w:r w:rsidRPr="00720DA1">
        <w:rPr>
          <w:rFonts w:eastAsia="Times" w:cs="Times New Roman"/>
          <w:color w:val="000000" w:themeColor="text1"/>
          <w:sz w:val="16"/>
          <w:szCs w:val="16"/>
        </w:rPr>
        <w:t xml:space="preserve"> </w:t>
      </w:r>
    </w:p>
  </w:footnote>
  <w:footnote w:id="99">
    <w:p w14:paraId="2C67213A" w14:textId="77777777" w:rsidR="00285741" w:rsidRPr="00720DA1" w:rsidRDefault="00285741">
      <w:pPr>
        <w:pStyle w:val="FootnoteText"/>
        <w:rPr>
          <w:rFonts w:cs="Times New Roman"/>
          <w:b/>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 xml:space="preserve">Almost half (47%) of the Innovation Fund survey respondents highlighted their </w:t>
      </w:r>
      <w:r w:rsidRPr="00720DA1">
        <w:rPr>
          <w:rFonts w:cs="Times New Roman"/>
          <w:b/>
          <w:sz w:val="16"/>
          <w:szCs w:val="16"/>
        </w:rPr>
        <w:t xml:space="preserve">energy connections as an issue. </w:t>
      </w:r>
    </w:p>
  </w:footnote>
  <w:footnote w:id="100">
    <w:p w14:paraId="0B7267FE" w14:textId="783B191F" w:rsidR="00285741" w:rsidRPr="00720DA1" w:rsidRDefault="00285741">
      <w:pPr>
        <w:rPr>
          <w:rFonts w:eastAsia="Times New Roman" w:cs="Times New Roman"/>
          <w:sz w:val="16"/>
          <w:szCs w:val="16"/>
          <w:highlight w:val="yellow"/>
        </w:rPr>
      </w:pPr>
      <w:r w:rsidRPr="00720DA1">
        <w:rPr>
          <w:rFonts w:cs="Times New Roman"/>
          <w:sz w:val="16"/>
          <w:szCs w:val="16"/>
          <w:vertAlign w:val="superscript"/>
        </w:rPr>
        <w:footnoteRef/>
      </w:r>
      <w:r w:rsidRPr="00720DA1">
        <w:rPr>
          <w:rFonts w:cs="Times New Roman"/>
          <w:sz w:val="16"/>
          <w:szCs w:val="16"/>
          <w:vertAlign w:val="superscript"/>
        </w:rPr>
        <w:t xml:space="preserve"> </w:t>
      </w:r>
      <w:r w:rsidRPr="00720DA1">
        <w:rPr>
          <w:rFonts w:eastAsia="Times New Roman" w:cs="Times New Roman"/>
          <w:sz w:val="16"/>
          <w:szCs w:val="16"/>
        </w:rPr>
        <w:t xml:space="preserve">Study on network development planning, tariff structures and connection requests for electricity distribution grids, 2025,Publications Office of the EU, [forthcoming]. </w:t>
      </w:r>
    </w:p>
  </w:footnote>
  <w:footnote w:id="101">
    <w:p w14:paraId="3F0C3E69" w14:textId="4DCA4422"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002769C9" w:rsidRPr="00720DA1">
        <w:rPr>
          <w:sz w:val="16"/>
          <w:szCs w:val="16"/>
        </w:rPr>
        <w:t xml:space="preserve">Draghi, M. (2024). </w:t>
      </w:r>
      <w:hyperlink r:id="rId76" w:history="1">
        <w:r w:rsidR="002769C9">
          <w:rPr>
            <w:rStyle w:val="Hyperlink"/>
            <w:sz w:val="16"/>
            <w:szCs w:val="16"/>
          </w:rPr>
          <w:t>The future of European competitiveness: In‑depth analysis and recommendations (Part B)</w:t>
        </w:r>
      </w:hyperlink>
      <w:r w:rsidR="003D08EC">
        <w:rPr>
          <w:sz w:val="16"/>
          <w:szCs w:val="16"/>
        </w:rPr>
        <w:t xml:space="preserve">, </w:t>
      </w:r>
      <w:r w:rsidRPr="00720DA1">
        <w:rPr>
          <w:rFonts w:eastAsia="Times New Roman" w:cs="Times New Roman"/>
          <w:sz w:val="16"/>
          <w:szCs w:val="16"/>
        </w:rPr>
        <w:t>p. 100</w:t>
      </w:r>
      <w:r w:rsidR="003D08EC">
        <w:rPr>
          <w:rFonts w:eastAsia="Times New Roman" w:cs="Times New Roman"/>
          <w:sz w:val="16"/>
          <w:szCs w:val="16"/>
        </w:rPr>
        <w:t>.</w:t>
      </w:r>
      <w:r w:rsidRPr="00720DA1">
        <w:rPr>
          <w:rFonts w:eastAsia="Times New Roman" w:cs="Times New Roman"/>
          <w:sz w:val="16"/>
          <w:szCs w:val="16"/>
        </w:rPr>
        <w:t xml:space="preserve"> In 2023, 67% of </w:t>
      </w:r>
      <w:r w:rsidRPr="00720DA1">
        <w:rPr>
          <w:rFonts w:eastAsia="Times New Roman" w:cs="Times New Roman"/>
          <w:b/>
          <w:sz w:val="16"/>
          <w:szCs w:val="16"/>
        </w:rPr>
        <w:t>revenue</w:t>
      </w:r>
      <w:r w:rsidRPr="00720DA1">
        <w:rPr>
          <w:rFonts w:eastAsia="Times New Roman" w:cs="Times New Roman"/>
          <w:sz w:val="16"/>
          <w:szCs w:val="16"/>
        </w:rPr>
        <w:t> </w:t>
      </w:r>
      <w:r w:rsidRPr="00720DA1">
        <w:rPr>
          <w:rFonts w:eastAsia="Times New Roman" w:cs="Times New Roman"/>
          <w:b/>
          <w:sz w:val="16"/>
          <w:szCs w:val="16"/>
        </w:rPr>
        <w:t>used</w:t>
      </w:r>
      <w:r w:rsidRPr="00720DA1">
        <w:rPr>
          <w:rFonts w:eastAsia="Times New Roman" w:cs="Times New Roman"/>
          <w:sz w:val="16"/>
          <w:szCs w:val="16"/>
        </w:rPr>
        <w:t> domestically went to domains of energy supply, grids and storage (e.g. renewables, self-consumers), and public transport and active mobility (</w:t>
      </w:r>
      <w:hyperlink r:id="rId77" w:anchor=":~:text=Total%20auctioning%20revenues%20generated%20under%20the%20ETS%20system,the%20EFTA%20countries%20and%20Northern%20Ireland%20%28%E2%82%AC0%2C3%20billion%29." w:history="1">
        <w:r w:rsidRPr="00720DA1">
          <w:rPr>
            <w:rStyle w:val="Hyperlink"/>
            <w:rFonts w:eastAsia="Times New Roman" w:cs="Times New Roman"/>
            <w:sz w:val="16"/>
            <w:szCs w:val="16"/>
          </w:rPr>
          <w:t>Use of auctioning revenues generated under the EU Emissions Trading System | European Environment Agency's home page</w:t>
        </w:r>
      </w:hyperlink>
      <w:r w:rsidRPr="00720DA1">
        <w:rPr>
          <w:rFonts w:eastAsia="Times New Roman" w:cs="Times New Roman"/>
          <w:sz w:val="16"/>
          <w:szCs w:val="16"/>
        </w:rPr>
        <w:t>).</w:t>
      </w:r>
      <w:r w:rsidRPr="00720DA1">
        <w:rPr>
          <w:rFonts w:cs="Times New Roman"/>
          <w:sz w:val="16"/>
          <w:szCs w:val="16"/>
        </w:rPr>
        <w:t xml:space="preserve"> ETS investment is channelled to priority areas, such as renewable energy production, energy networks and interconnectors, energy efficiency and the just transition.</w:t>
      </w:r>
    </w:p>
  </w:footnote>
  <w:footnote w:id="102">
    <w:p w14:paraId="53C31264" w14:textId="77777777" w:rsidR="00285741" w:rsidRPr="00720DA1" w:rsidRDefault="00285741">
      <w:pPr>
        <w:pStyle w:val="FootnoteText"/>
        <w:rPr>
          <w:rFonts w:eastAsia="Times New Roman" w:cs="Times New Roman"/>
          <w:sz w:val="16"/>
          <w:szCs w:val="16"/>
        </w:rPr>
      </w:pPr>
      <w:r w:rsidRPr="00720DA1">
        <w:rPr>
          <w:rStyle w:val="FootnoteReference"/>
          <w:sz w:val="16"/>
          <w:szCs w:val="16"/>
        </w:rPr>
        <w:footnoteRef/>
      </w:r>
      <w:r w:rsidRPr="00720DA1">
        <w:rPr>
          <w:sz w:val="16"/>
          <w:szCs w:val="16"/>
        </w:rPr>
        <w:t xml:space="preserve"> </w:t>
      </w:r>
      <w:r w:rsidRPr="00720DA1">
        <w:rPr>
          <w:rFonts w:eastAsia="Times New Roman" w:cs="Times New Roman"/>
          <w:sz w:val="16"/>
          <w:szCs w:val="16"/>
        </w:rPr>
        <w:t xml:space="preserve">China’s new export controls now require government approval for the export of magnets containing rare earths, and plans to add five more elements (holmium, erbium, thulium, europium, ytterbium) to its control list. </w:t>
      </w:r>
      <w:hyperlink r:id="rId78" w:history="1">
        <w:r w:rsidRPr="00720DA1">
          <w:rPr>
            <w:rStyle w:val="Hyperlink"/>
            <w:rFonts w:eastAsia="Times New Roman" w:cs="Times New Roman"/>
            <w:sz w:val="16"/>
            <w:szCs w:val="16"/>
          </w:rPr>
          <w:t>Financial Times</w:t>
        </w:r>
      </w:hyperlink>
      <w:r w:rsidRPr="00720DA1">
        <w:rPr>
          <w:rFonts w:eastAsia="Times New Roman" w:cs="Times New Roman"/>
          <w:sz w:val="16"/>
          <w:szCs w:val="16"/>
        </w:rPr>
        <w:t xml:space="preserve">, 20 October. </w:t>
      </w:r>
    </w:p>
  </w:footnote>
  <w:footnote w:id="103">
    <w:p w14:paraId="7DA574C5"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The Commission </w:t>
      </w:r>
      <w:hyperlink r:id="rId79" w:history="1">
        <w:r w:rsidRPr="00720DA1">
          <w:rPr>
            <w:rStyle w:val="Hyperlink"/>
            <w:sz w:val="16"/>
            <w:szCs w:val="16"/>
          </w:rPr>
          <w:t>noted</w:t>
        </w:r>
      </w:hyperlink>
      <w:r w:rsidRPr="00720DA1">
        <w:rPr>
          <w:sz w:val="16"/>
          <w:szCs w:val="16"/>
        </w:rPr>
        <w:t xml:space="preserve"> declining scrap availability in the EU due to “scrap leakage” to third countries and has activated a customs surveillance system for ferrous, aluminium and copper scrap to ensure sufficient access for EU industries.</w:t>
      </w:r>
    </w:p>
  </w:footnote>
  <w:footnote w:id="104">
    <w:p w14:paraId="4F7D9FBA" w14:textId="5E779953"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724F36" w:rsidRPr="00720DA1">
        <w:rPr>
          <w:sz w:val="16"/>
          <w:szCs w:val="16"/>
        </w:rPr>
        <w:t>European Commission</w:t>
      </w:r>
      <w:r w:rsidR="00CE3EE9" w:rsidRPr="00720DA1">
        <w:rPr>
          <w:sz w:val="16"/>
          <w:szCs w:val="16"/>
        </w:rPr>
        <w:t xml:space="preserve"> (2025).</w:t>
      </w:r>
      <w:r w:rsidR="00724F36" w:rsidRPr="00720DA1">
        <w:rPr>
          <w:sz w:val="16"/>
          <w:szCs w:val="16"/>
        </w:rPr>
        <w:t xml:space="preserve"> </w:t>
      </w:r>
      <w:r w:rsidRPr="00720DA1">
        <w:rPr>
          <w:sz w:val="16"/>
          <w:szCs w:val="16"/>
        </w:rPr>
        <w:t>2025 Strategic Foresight Report</w:t>
      </w:r>
      <w:r w:rsidR="00CE3EE9" w:rsidRPr="00720DA1">
        <w:rPr>
          <w:sz w:val="16"/>
          <w:szCs w:val="16"/>
        </w:rPr>
        <w:t xml:space="preserve">, </w:t>
      </w:r>
      <w:hyperlink r:id="rId80" w:history="1">
        <w:r w:rsidRPr="00720DA1">
          <w:rPr>
            <w:rStyle w:val="Hyperlink"/>
            <w:sz w:val="16"/>
            <w:szCs w:val="16"/>
          </w:rPr>
          <w:t>COM(2025) 484 final</w:t>
        </w:r>
      </w:hyperlink>
      <w:r w:rsidR="00CE3EE9" w:rsidRPr="00720DA1">
        <w:rPr>
          <w:sz w:val="16"/>
          <w:szCs w:val="16"/>
        </w:rPr>
        <w:t>.</w:t>
      </w:r>
    </w:p>
  </w:footnote>
  <w:footnote w:id="105">
    <w:p w14:paraId="21658DA5"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According to Agora Industry, by 2030, the average CO</w:t>
      </w:r>
      <w:r w:rsidRPr="00720DA1">
        <w:rPr>
          <w:sz w:val="16"/>
          <w:szCs w:val="16"/>
          <w:vertAlign w:val="subscript"/>
        </w:rPr>
        <w:t>2</w:t>
      </w:r>
      <w:r w:rsidRPr="00720DA1">
        <w:rPr>
          <w:sz w:val="16"/>
          <w:szCs w:val="16"/>
        </w:rPr>
        <w:t xml:space="preserve"> abatement costs of all steel breakthrough technologies expected to be commercially available will be well above EUR 86/tCO</w:t>
      </w:r>
      <w:r w:rsidRPr="00720DA1">
        <w:rPr>
          <w:sz w:val="16"/>
          <w:szCs w:val="16"/>
          <w:vertAlign w:val="subscript"/>
        </w:rPr>
        <w:t>2</w:t>
      </w:r>
      <w:r w:rsidRPr="00720DA1">
        <w:rPr>
          <w:sz w:val="16"/>
          <w:szCs w:val="16"/>
        </w:rPr>
        <w:t>. They range from EUR 111/ tCO</w:t>
      </w:r>
      <w:r w:rsidRPr="00720DA1">
        <w:rPr>
          <w:sz w:val="16"/>
          <w:szCs w:val="16"/>
          <w:vertAlign w:val="subscript"/>
        </w:rPr>
        <w:t>2</w:t>
      </w:r>
      <w:r w:rsidRPr="00720DA1">
        <w:rPr>
          <w:sz w:val="16"/>
          <w:szCs w:val="16"/>
        </w:rPr>
        <w:t xml:space="preserve"> (NG-DRI-EAF-CCS) to USD 171/tCO</w:t>
      </w:r>
      <w:r w:rsidRPr="00720DA1">
        <w:rPr>
          <w:sz w:val="16"/>
          <w:szCs w:val="16"/>
          <w:vertAlign w:val="subscript"/>
        </w:rPr>
        <w:t>2</w:t>
      </w:r>
      <w:r w:rsidRPr="00720DA1">
        <w:rPr>
          <w:sz w:val="16"/>
          <w:szCs w:val="16"/>
        </w:rPr>
        <w:t xml:space="preserve"> (100% H2-DRI-SMELT-BOF). A CO</w:t>
      </w:r>
      <w:r w:rsidRPr="00720DA1">
        <w:rPr>
          <w:sz w:val="16"/>
          <w:szCs w:val="16"/>
          <w:vertAlign w:val="subscript"/>
        </w:rPr>
        <w:t>2</w:t>
      </w:r>
      <w:r w:rsidRPr="00720DA1">
        <w:rPr>
          <w:sz w:val="16"/>
          <w:szCs w:val="16"/>
        </w:rPr>
        <w:t xml:space="preserve"> price of EUR 86/tCO</w:t>
      </w:r>
      <w:r w:rsidRPr="00720DA1">
        <w:rPr>
          <w:sz w:val="16"/>
          <w:szCs w:val="16"/>
          <w:vertAlign w:val="subscript"/>
        </w:rPr>
        <w:t>2</w:t>
      </w:r>
      <w:r w:rsidRPr="00720DA1">
        <w:rPr>
          <w:sz w:val="16"/>
          <w:szCs w:val="16"/>
        </w:rPr>
        <w:t xml:space="preserve">, in isolation, would likely not be enough to make these technologies competitive. Source: Agora Industry, Wuppertal Institute and Lund University (2024): </w:t>
      </w:r>
      <w:hyperlink r:id="rId81" w:history="1">
        <w:r w:rsidRPr="00720DA1">
          <w:rPr>
            <w:rStyle w:val="Hyperlink"/>
            <w:sz w:val="16"/>
            <w:szCs w:val="16"/>
          </w:rPr>
          <w:t>Low-carbon technologies for the global steel transformation</w:t>
        </w:r>
      </w:hyperlink>
      <w:r w:rsidRPr="00720DA1">
        <w:rPr>
          <w:sz w:val="16"/>
          <w:szCs w:val="16"/>
        </w:rPr>
        <w:t>, 2024.</w:t>
      </w:r>
    </w:p>
  </w:footnote>
  <w:footnote w:id="106">
    <w:p w14:paraId="4FF7BC12"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See Annex 7 – Overview of cost evolution of industrial decarbonisation technologies.</w:t>
      </w:r>
    </w:p>
  </w:footnote>
  <w:footnote w:id="107">
    <w:p w14:paraId="6DF6E32A" w14:textId="6E0A0C25"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European Commission</w:t>
      </w:r>
      <w:r w:rsidR="00CE3EE9" w:rsidRPr="00720DA1">
        <w:rPr>
          <w:sz w:val="16"/>
          <w:szCs w:val="16"/>
        </w:rPr>
        <w:t xml:space="preserve"> (202</w:t>
      </w:r>
      <w:r w:rsidR="00537BD6">
        <w:rPr>
          <w:sz w:val="16"/>
          <w:szCs w:val="16"/>
        </w:rPr>
        <w:t>5</w:t>
      </w:r>
      <w:r w:rsidR="00CE3EE9" w:rsidRPr="00720DA1">
        <w:rPr>
          <w:sz w:val="16"/>
          <w:szCs w:val="16"/>
        </w:rPr>
        <w:t>)</w:t>
      </w:r>
      <w:r w:rsidRPr="00720DA1">
        <w:rPr>
          <w:sz w:val="16"/>
          <w:szCs w:val="16"/>
        </w:rPr>
        <w:t xml:space="preserve">, </w:t>
      </w:r>
      <w:hyperlink r:id="rId82" w:history="1">
        <w:r w:rsidRPr="00720DA1">
          <w:rPr>
            <w:rStyle w:val="Hyperlink"/>
            <w:sz w:val="16"/>
            <w:szCs w:val="16"/>
          </w:rPr>
          <w:t>Climate Action Progress Report</w:t>
        </w:r>
      </w:hyperlink>
      <w:r w:rsidR="004C4F2E">
        <w:rPr>
          <w:sz w:val="16"/>
          <w:szCs w:val="16"/>
        </w:rPr>
        <w:t>, p.94.</w:t>
      </w:r>
    </w:p>
  </w:footnote>
  <w:footnote w:id="108">
    <w:p w14:paraId="3375C04A" w14:textId="0654B376"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Internal calculation based on JRC-IDEES and CETO 2024/ LMD</w:t>
      </w:r>
      <w:r w:rsidR="00131CEC" w:rsidRPr="00720DA1">
        <w:rPr>
          <w:sz w:val="16"/>
          <w:szCs w:val="16"/>
        </w:rPr>
        <w:t>I</w:t>
      </w:r>
      <w:r w:rsidRPr="00720DA1">
        <w:rPr>
          <w:sz w:val="16"/>
          <w:szCs w:val="16"/>
        </w:rPr>
        <w:t>. The Log-Mean Divisia Index (LMDI) is a method used to decompose changes in an aggregate variable, like CO</w:t>
      </w:r>
      <w:r w:rsidRPr="00720DA1">
        <w:rPr>
          <w:sz w:val="16"/>
          <w:szCs w:val="16"/>
          <w:vertAlign w:val="subscript"/>
        </w:rPr>
        <w:t>2</w:t>
      </w:r>
      <w:r w:rsidRPr="00720DA1">
        <w:rPr>
          <w:sz w:val="16"/>
          <w:szCs w:val="16"/>
        </w:rPr>
        <w:t xml:space="preserve"> emissions, into the contributions of its constituent factors over time. Sectoral analysis </w:t>
      </w:r>
      <w:r w:rsidRPr="00720DA1">
        <w:rPr>
          <w:rFonts w:cs="Times New Roman"/>
          <w:sz w:val="16"/>
          <w:szCs w:val="16"/>
        </w:rPr>
        <w:t>in</w:t>
      </w:r>
      <w:r w:rsidRPr="00720DA1">
        <w:rPr>
          <w:sz w:val="16"/>
          <w:szCs w:val="16"/>
        </w:rPr>
        <w:t xml:space="preserve"> Annex 7.</w:t>
      </w:r>
    </w:p>
  </w:footnote>
  <w:footnote w:id="109">
    <w:p w14:paraId="475E9E70"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This is the case of the Construction Products Regulation (CPR), or the Ecodesign for Sustainable Products (ESPR), the End-Of-Life Vehicles and the EPBD. See more details in Annex 8.</w:t>
      </w:r>
    </w:p>
  </w:footnote>
  <w:footnote w:id="110">
    <w:p w14:paraId="13F11A70" w14:textId="46D25D54"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BloombergNEF</w:t>
      </w:r>
      <w:r w:rsidR="00FA6630" w:rsidRPr="00720DA1">
        <w:rPr>
          <w:sz w:val="16"/>
          <w:szCs w:val="16"/>
        </w:rPr>
        <w:t>.</w:t>
      </w:r>
      <w:r w:rsidRPr="00720DA1">
        <w:rPr>
          <w:sz w:val="16"/>
          <w:szCs w:val="16"/>
        </w:rPr>
        <w:t>Clean Tech in the Time of Tariffs.</w:t>
      </w:r>
    </w:p>
  </w:footnote>
  <w:footnote w:id="111">
    <w:p w14:paraId="238FF5CF" w14:textId="3D2F5CFB" w:rsidR="00285741" w:rsidRPr="00720DA1" w:rsidRDefault="00285741">
      <w:pPr>
        <w:pStyle w:val="FootnoteText"/>
        <w:rPr>
          <w:rFonts w:eastAsia="Calibri" w:cs="Times New Roman"/>
          <w:kern w:val="2"/>
          <w:sz w:val="16"/>
          <w:szCs w:val="16"/>
          <w14:ligatures w14:val="standardContextual"/>
        </w:rPr>
      </w:pPr>
      <w:r w:rsidRPr="00720DA1">
        <w:rPr>
          <w:rStyle w:val="FootnoteReference"/>
          <w:sz w:val="16"/>
          <w:szCs w:val="16"/>
        </w:rPr>
        <w:footnoteRef/>
      </w:r>
      <w:r w:rsidRPr="00720DA1">
        <w:rPr>
          <w:rStyle w:val="FootnoteReference"/>
          <w:sz w:val="16"/>
          <w:szCs w:val="16"/>
        </w:rPr>
        <w:t xml:space="preserve"> </w:t>
      </w:r>
      <w:r w:rsidR="0091308D" w:rsidRPr="00720DA1">
        <w:rPr>
          <w:rFonts w:cs="Times New Roman"/>
          <w:sz w:val="16"/>
          <w:szCs w:val="16"/>
        </w:rPr>
        <w:t xml:space="preserve">Volta Foundation (2025). </w:t>
      </w:r>
      <w:hyperlink r:id="rId83" w:history="1">
        <w:r w:rsidR="0091308D" w:rsidRPr="00720DA1">
          <w:rPr>
            <w:rStyle w:val="Hyperlink"/>
            <w:rFonts w:cs="Times New Roman"/>
            <w:sz w:val="16"/>
            <w:szCs w:val="16"/>
          </w:rPr>
          <w:t>2024 Battery Report</w:t>
        </w:r>
      </w:hyperlink>
      <w:r w:rsidR="0091308D" w:rsidRPr="00720DA1">
        <w:rPr>
          <w:rFonts w:cs="Times New Roman"/>
          <w:sz w:val="16"/>
          <w:szCs w:val="16"/>
        </w:rPr>
        <w:t>.</w:t>
      </w:r>
    </w:p>
  </w:footnote>
  <w:footnote w:id="112">
    <w:p w14:paraId="64D5C5BD" w14:textId="11279FAF" w:rsidR="00285741" w:rsidRPr="00720DA1" w:rsidRDefault="00285741">
      <w:pPr>
        <w:pStyle w:val="FootnoteText"/>
        <w:rPr>
          <w:sz w:val="16"/>
          <w:szCs w:val="16"/>
        </w:rPr>
      </w:pPr>
      <w:r w:rsidRPr="00720DA1">
        <w:rPr>
          <w:rStyle w:val="FootnoteReference"/>
          <w:sz w:val="16"/>
          <w:szCs w:val="16"/>
        </w:rPr>
        <w:footnoteRef/>
      </w:r>
      <w:r w:rsidRPr="00720DA1">
        <w:rPr>
          <w:rStyle w:val="FootnoteReference"/>
          <w:sz w:val="16"/>
          <w:szCs w:val="16"/>
        </w:rPr>
        <w:t xml:space="preserve"> </w:t>
      </w:r>
      <w:r w:rsidR="00DA4B5D" w:rsidRPr="00720DA1">
        <w:rPr>
          <w:rFonts w:eastAsia="Calibri" w:cs="Times New Roman"/>
          <w:kern w:val="2"/>
          <w:sz w:val="16"/>
          <w:szCs w:val="16"/>
          <w14:ligatures w14:val="standardContextual"/>
        </w:rPr>
        <w:t>BloombergNEF.</w:t>
      </w:r>
      <w:r w:rsidRPr="00720DA1">
        <w:rPr>
          <w:rFonts w:eastAsia="Calibri" w:cs="Times New Roman"/>
          <w:kern w:val="2"/>
          <w:sz w:val="16"/>
          <w:szCs w:val="16"/>
          <w14:ligatures w14:val="standardContextual"/>
        </w:rPr>
        <w:t xml:space="preserve"> Clean Tech at Heart of Growing Tariff Storm</w:t>
      </w:r>
      <w:r w:rsidR="00DA4B5D" w:rsidRPr="00720DA1">
        <w:rPr>
          <w:rFonts w:eastAsia="Calibri" w:cs="Times New Roman"/>
          <w:kern w:val="2"/>
          <w:sz w:val="16"/>
          <w:szCs w:val="16"/>
          <w14:ligatures w14:val="standardContextual"/>
        </w:rPr>
        <w:t>.</w:t>
      </w:r>
      <w:r w:rsidRPr="00720DA1">
        <w:rPr>
          <w:rFonts w:eastAsia="Calibri" w:cs="Times New Roman"/>
          <w:kern w:val="2"/>
          <w:sz w:val="16"/>
          <w:szCs w:val="16"/>
          <w14:ligatures w14:val="standardContextual"/>
        </w:rPr>
        <w:t>.</w:t>
      </w:r>
    </w:p>
  </w:footnote>
  <w:footnote w:id="113">
    <w:p w14:paraId="780FBEB2" w14:textId="4FD1EB4A"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DA4B5D" w:rsidRPr="00720DA1">
        <w:rPr>
          <w:sz w:val="16"/>
          <w:szCs w:val="16"/>
        </w:rPr>
        <w:t>European Commission (2025).</w:t>
      </w:r>
      <w:r w:rsidRPr="00720DA1">
        <w:rPr>
          <w:sz w:val="16"/>
          <w:szCs w:val="16"/>
        </w:rPr>
        <w:t xml:space="preserve"> 2025 Strategic Foresight Repor</w:t>
      </w:r>
      <w:r w:rsidR="00000834" w:rsidRPr="00720DA1">
        <w:rPr>
          <w:sz w:val="16"/>
          <w:szCs w:val="16"/>
        </w:rPr>
        <w:t xml:space="preserve">, </w:t>
      </w:r>
      <w:hyperlink r:id="rId84" w:history="1">
        <w:r w:rsidR="00000834" w:rsidRPr="00720DA1">
          <w:rPr>
            <w:rStyle w:val="Hyperlink"/>
            <w:sz w:val="16"/>
            <w:szCs w:val="16"/>
          </w:rPr>
          <w:t>COM(2025) 484 final</w:t>
        </w:r>
      </w:hyperlink>
      <w:r w:rsidR="00000834" w:rsidRPr="00720DA1">
        <w:rPr>
          <w:sz w:val="16"/>
          <w:szCs w:val="16"/>
        </w:rPr>
        <w:t>.</w:t>
      </w:r>
    </w:p>
  </w:footnote>
  <w:footnote w:id="114">
    <w:p w14:paraId="0F13A71B" w14:textId="613832B6" w:rsidR="00285741" w:rsidRPr="00720DA1" w:rsidRDefault="00285741" w:rsidP="00E932E8">
      <w:pPr>
        <w:pStyle w:val="FootnoteText"/>
        <w:rPr>
          <w:sz w:val="16"/>
          <w:szCs w:val="16"/>
        </w:rPr>
      </w:pPr>
      <w:r w:rsidRPr="00720DA1">
        <w:rPr>
          <w:rStyle w:val="FootnoteReference"/>
          <w:sz w:val="16"/>
          <w:szCs w:val="16"/>
        </w:rPr>
        <w:footnoteRef/>
      </w:r>
      <w:r w:rsidR="00251BD1" w:rsidRPr="00720DA1">
        <w:rPr>
          <w:sz w:val="16"/>
          <w:szCs w:val="16"/>
        </w:rPr>
        <w:t xml:space="preserve"> European Commission (2023). </w:t>
      </w:r>
      <w:r w:rsidRPr="00720DA1">
        <w:rPr>
          <w:sz w:val="16"/>
          <w:szCs w:val="16"/>
        </w:rPr>
        <w:t xml:space="preserve">Joint Communication to </w:t>
      </w:r>
      <w:r w:rsidR="00251BD1" w:rsidRPr="00720DA1">
        <w:rPr>
          <w:sz w:val="16"/>
          <w:szCs w:val="16"/>
        </w:rPr>
        <w:t>t</w:t>
      </w:r>
      <w:r w:rsidRPr="00720DA1">
        <w:rPr>
          <w:sz w:val="16"/>
          <w:szCs w:val="16"/>
        </w:rPr>
        <w:t xml:space="preserve">he European Parliament, </w:t>
      </w:r>
      <w:r w:rsidR="00251BD1" w:rsidRPr="00720DA1">
        <w:rPr>
          <w:sz w:val="16"/>
          <w:szCs w:val="16"/>
        </w:rPr>
        <w:t>t</w:t>
      </w:r>
      <w:r w:rsidRPr="00720DA1">
        <w:rPr>
          <w:sz w:val="16"/>
          <w:szCs w:val="16"/>
        </w:rPr>
        <w:t xml:space="preserve">he European Council and </w:t>
      </w:r>
      <w:r w:rsidR="00251BD1" w:rsidRPr="00720DA1">
        <w:rPr>
          <w:sz w:val="16"/>
          <w:szCs w:val="16"/>
        </w:rPr>
        <w:t>t</w:t>
      </w:r>
      <w:r w:rsidRPr="00720DA1">
        <w:rPr>
          <w:sz w:val="16"/>
          <w:szCs w:val="16"/>
        </w:rPr>
        <w:t xml:space="preserve">he Council </w:t>
      </w:r>
      <w:r w:rsidR="00251BD1" w:rsidRPr="00720DA1">
        <w:rPr>
          <w:sz w:val="16"/>
          <w:szCs w:val="16"/>
        </w:rPr>
        <w:t>o</w:t>
      </w:r>
      <w:r w:rsidRPr="00720DA1">
        <w:rPr>
          <w:sz w:val="16"/>
          <w:szCs w:val="16"/>
        </w:rPr>
        <w:t>n “European Economic Security Strategy”</w:t>
      </w:r>
      <w:r w:rsidR="00251BD1" w:rsidRPr="00720DA1">
        <w:rPr>
          <w:sz w:val="16"/>
          <w:szCs w:val="16"/>
        </w:rPr>
        <w:t>.</w:t>
      </w:r>
      <w:r w:rsidRPr="00720DA1">
        <w:rPr>
          <w:sz w:val="16"/>
          <w:szCs w:val="16"/>
        </w:rPr>
        <w:t xml:space="preserve"> </w:t>
      </w:r>
    </w:p>
  </w:footnote>
  <w:footnote w:id="115">
    <w:p w14:paraId="40CD1097" w14:textId="24661A40" w:rsidR="009712B0"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8D3DC4" w:rsidRPr="00720DA1">
        <w:rPr>
          <w:rFonts w:cs="Times New Roman"/>
          <w:sz w:val="16"/>
          <w:szCs w:val="16"/>
        </w:rPr>
        <w:t xml:space="preserve">Draghi, M. (2024). </w:t>
      </w:r>
      <w:hyperlink r:id="rId85" w:history="1">
        <w:r w:rsidR="008D3DC4">
          <w:rPr>
            <w:rStyle w:val="Hyperlink"/>
            <w:rFonts w:cs="Times New Roman"/>
            <w:sz w:val="16"/>
            <w:szCs w:val="16"/>
          </w:rPr>
          <w:t>The future of European competitiveness: A competitiveness strategy for Europe (Part A)</w:t>
        </w:r>
      </w:hyperlink>
      <w:r w:rsidR="009712B0" w:rsidRPr="00720DA1">
        <w:rPr>
          <w:rFonts w:cs="Times New Roman"/>
          <w:sz w:val="16"/>
          <w:szCs w:val="16"/>
        </w:rPr>
        <w:t>, p.13</w:t>
      </w:r>
    </w:p>
    <w:p w14:paraId="7FFE74C5" w14:textId="194B0D56" w:rsidR="00285741" w:rsidRPr="00720DA1" w:rsidRDefault="00285741">
      <w:pPr>
        <w:pStyle w:val="FootnoteText"/>
        <w:rPr>
          <w:rFonts w:cs="Times New Roman"/>
          <w:sz w:val="16"/>
          <w:szCs w:val="16"/>
        </w:rPr>
      </w:pPr>
    </w:p>
  </w:footnote>
  <w:footnote w:id="116">
    <w:p w14:paraId="5FD2B216"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eastAsia="Calibri" w:cs="Times New Roman"/>
          <w:kern w:val="2"/>
          <w:sz w:val="16"/>
          <w:szCs w:val="16"/>
          <w14:ligatures w14:val="standardContextual"/>
        </w:rPr>
        <w:t>China Issues New Rules on Exports of EV Batteries and Materials, Institute for Energy Research, and MOFCOM &amp; GAC Announcement (2025) N. 58: Decision to Impose Export Controls on Items related to Lithium Batteries and Artificial-Graphite Anode Materials</w:t>
      </w:r>
    </w:p>
  </w:footnote>
  <w:footnote w:id="117">
    <w:p w14:paraId="3106CE09" w14:textId="2F4EFE7F" w:rsidR="00285741" w:rsidRPr="00720DA1" w:rsidRDefault="00285741">
      <w:pPr>
        <w:pStyle w:val="FootnoteText"/>
        <w:rPr>
          <w:sz w:val="16"/>
          <w:szCs w:val="16"/>
        </w:rPr>
      </w:pPr>
      <w:r w:rsidRPr="00720DA1">
        <w:rPr>
          <w:rStyle w:val="FootnoteReference"/>
          <w:sz w:val="16"/>
          <w:szCs w:val="16"/>
        </w:rPr>
        <w:footnoteRef/>
      </w:r>
      <w:r w:rsidR="001506FD">
        <w:t xml:space="preserve"> </w:t>
      </w:r>
      <w:r w:rsidR="001506FD" w:rsidRPr="00E21036">
        <w:rPr>
          <w:sz w:val="16"/>
          <w:szCs w:val="16"/>
        </w:rPr>
        <w:t xml:space="preserve">SolarPower Europe (2025). </w:t>
      </w:r>
      <w:hyperlink r:id="rId86" w:history="1">
        <w:r w:rsidR="00E21036" w:rsidRPr="00E21036">
          <w:rPr>
            <w:rStyle w:val="Hyperlink"/>
            <w:sz w:val="16"/>
            <w:szCs w:val="16"/>
          </w:rPr>
          <w:t>EU Solar Jobs Report 2025</w:t>
        </w:r>
      </w:hyperlink>
      <w:r w:rsidR="00E21036" w:rsidRPr="00E21036">
        <w:rPr>
          <w:sz w:val="16"/>
          <w:szCs w:val="16"/>
        </w:rPr>
        <w:t>.</w:t>
      </w:r>
    </w:p>
  </w:footnote>
  <w:footnote w:id="118">
    <w:p w14:paraId="6D1AF327" w14:textId="1C3B809B"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More details </w:t>
      </w:r>
      <w:r w:rsidR="005A5348" w:rsidRPr="00720DA1">
        <w:rPr>
          <w:rFonts w:cs="Times New Roman"/>
          <w:sz w:val="16"/>
          <w:szCs w:val="16"/>
        </w:rPr>
        <w:t xml:space="preserve">(also related to local content requirements in public procurement procedures) </w:t>
      </w:r>
      <w:r w:rsidRPr="00720DA1">
        <w:rPr>
          <w:rFonts w:cs="Times New Roman"/>
          <w:sz w:val="16"/>
          <w:szCs w:val="16"/>
        </w:rPr>
        <w:t>in Annex 10, Subproblem 1, Driver 2: Limited willingness to pay a premium for low-carbon industrial products.</w:t>
      </w:r>
    </w:p>
  </w:footnote>
  <w:footnote w:id="119">
    <w:p w14:paraId="3DEF0EBD" w14:textId="77777777" w:rsidR="00285741" w:rsidRPr="00720DA1" w:rsidRDefault="00285741">
      <w:pPr>
        <w:pStyle w:val="FootnoteText"/>
        <w:rPr>
          <w:rFonts w:cs="Times New Roman"/>
          <w:sz w:val="16"/>
          <w:szCs w:val="16"/>
        </w:rPr>
      </w:pPr>
      <w:r w:rsidRPr="00720DA1">
        <w:rPr>
          <w:rStyle w:val="FootnoteReference"/>
          <w:sz w:val="16"/>
          <w:szCs w:val="16"/>
        </w:rPr>
        <w:footnoteRef/>
      </w:r>
      <w:r w:rsidRPr="00720DA1">
        <w:rPr>
          <w:rFonts w:cs="Times New Roman"/>
          <w:sz w:val="16"/>
          <w:szCs w:val="16"/>
        </w:rPr>
        <w:t xml:space="preserve"> CLEPA – Eurofund, Geripsa (2025). </w:t>
      </w:r>
    </w:p>
  </w:footnote>
  <w:footnote w:id="120">
    <w:p w14:paraId="17152DF9"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hyperlink r:id="rId87" w:history="1">
        <w:r w:rsidRPr="00720DA1">
          <w:rPr>
            <w:rStyle w:val="Hyperlink"/>
            <w:rFonts w:cs="Times New Roman"/>
            <w:sz w:val="16"/>
            <w:szCs w:val="16"/>
          </w:rPr>
          <w:t>Source</w:t>
        </w:r>
      </w:hyperlink>
      <w:r w:rsidRPr="00720DA1">
        <w:rPr>
          <w:rFonts w:cs="Times New Roman"/>
          <w:sz w:val="16"/>
          <w:szCs w:val="16"/>
        </w:rPr>
        <w:t xml:space="preserve"> data 2005-2023: </w:t>
      </w:r>
      <w:hyperlink r:id="rId88" w:history="1">
        <w:r w:rsidRPr="00720DA1">
          <w:rPr>
            <w:rStyle w:val="Hyperlink"/>
            <w:rFonts w:cs="Times New Roman"/>
            <w:sz w:val="16"/>
            <w:szCs w:val="16"/>
          </w:rPr>
          <w:t>JRC-IDEES</w:t>
        </w:r>
      </w:hyperlink>
      <w:r w:rsidRPr="00720DA1">
        <w:rPr>
          <w:rFonts w:cs="Times New Roman"/>
          <w:sz w:val="16"/>
          <w:szCs w:val="16"/>
        </w:rPr>
        <w:t xml:space="preserve">, consistent with EUROSTAT data. Source projections 2024-2050: internal calculations and JRC CETO 2025, developed with </w:t>
      </w:r>
      <w:hyperlink r:id="rId89" w:history="1">
        <w:r w:rsidRPr="00720DA1">
          <w:rPr>
            <w:rStyle w:val="Hyperlink"/>
            <w:rFonts w:cs="Times New Roman"/>
            <w:sz w:val="16"/>
            <w:szCs w:val="16"/>
          </w:rPr>
          <w:t>POTENCIA</w:t>
        </w:r>
      </w:hyperlink>
      <w:r w:rsidRPr="00720DA1">
        <w:rPr>
          <w:rFonts w:cs="Times New Roman"/>
          <w:sz w:val="16"/>
          <w:szCs w:val="16"/>
        </w:rPr>
        <w:t>.</w:t>
      </w:r>
    </w:p>
  </w:footnote>
  <w:footnote w:id="121">
    <w:p w14:paraId="22915D9C" w14:textId="3607BCE0"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9712B0" w:rsidRPr="00720DA1">
        <w:rPr>
          <w:sz w:val="16"/>
          <w:szCs w:val="16"/>
        </w:rPr>
        <w:t>European Commission (2025).</w:t>
      </w:r>
      <w:r w:rsidRPr="00720DA1">
        <w:rPr>
          <w:sz w:val="16"/>
          <w:szCs w:val="16"/>
        </w:rPr>
        <w:t xml:space="preserve"> </w:t>
      </w:r>
      <w:hyperlink r:id="rId90" w:history="1">
        <w:r w:rsidRPr="00720DA1">
          <w:rPr>
            <w:rStyle w:val="Hyperlink"/>
            <w:rFonts w:cs="Times New Roman"/>
            <w:sz w:val="16"/>
            <w:szCs w:val="16"/>
          </w:rPr>
          <w:t>The Clean Industrial Deal: A joint roadmap for competitiveness and decarbonisation</w:t>
        </w:r>
      </w:hyperlink>
      <w:r w:rsidRPr="00720DA1">
        <w:rPr>
          <w:rFonts w:cs="Times New Roman"/>
          <w:sz w:val="16"/>
          <w:szCs w:val="16"/>
        </w:rPr>
        <w:t>, COM(2025) 85 final, 26 February 2025.</w:t>
      </w:r>
    </w:p>
  </w:footnote>
  <w:footnote w:id="122">
    <w:p w14:paraId="5E8B6054" w14:textId="77777777" w:rsidR="00454322" w:rsidRPr="00720DA1" w:rsidRDefault="00454322" w:rsidP="00454322">
      <w:pPr>
        <w:pStyle w:val="FootnoteText"/>
        <w:rPr>
          <w:sz w:val="16"/>
          <w:szCs w:val="16"/>
        </w:rPr>
      </w:pPr>
      <w:r w:rsidRPr="00720DA1">
        <w:rPr>
          <w:rStyle w:val="FootnoteReference"/>
          <w:sz w:val="16"/>
          <w:szCs w:val="16"/>
        </w:rPr>
        <w:footnoteRef/>
      </w:r>
      <w:r w:rsidRPr="00720DA1">
        <w:rPr>
          <w:sz w:val="16"/>
          <w:szCs w:val="16"/>
        </w:rPr>
        <w:t xml:space="preserve"> IEA (2024), </w:t>
      </w:r>
      <w:hyperlink r:id="rId91" w:history="1">
        <w:r w:rsidRPr="00720DA1">
          <w:rPr>
            <w:rStyle w:val="Hyperlink"/>
            <w:sz w:val="16"/>
            <w:szCs w:val="16"/>
          </w:rPr>
          <w:t>Energy Technologies Perspectives 2024</w:t>
        </w:r>
      </w:hyperlink>
      <w:r w:rsidRPr="00720DA1">
        <w:rPr>
          <w:sz w:val="16"/>
          <w:szCs w:val="16"/>
        </w:rPr>
        <w:t>.</w:t>
      </w:r>
    </w:p>
  </w:footnote>
  <w:footnote w:id="123">
    <w:p w14:paraId="2D5DB08B"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European Battery Alliance and industry announcements.</w:t>
      </w:r>
    </w:p>
  </w:footnote>
  <w:footnote w:id="124">
    <w:p w14:paraId="1371E736" w14:textId="6A259D45" w:rsidR="00ED1815" w:rsidRPr="00720DA1" w:rsidRDefault="00ED1815">
      <w:pPr>
        <w:pStyle w:val="FootnoteText"/>
        <w:rPr>
          <w:sz w:val="16"/>
          <w:szCs w:val="16"/>
          <w:lang w:val="en-IE"/>
        </w:rPr>
      </w:pPr>
      <w:r w:rsidRPr="00720DA1">
        <w:rPr>
          <w:rStyle w:val="FootnoteReference"/>
          <w:sz w:val="16"/>
          <w:szCs w:val="16"/>
        </w:rPr>
        <w:footnoteRef/>
      </w:r>
      <w:r w:rsidRPr="00720DA1">
        <w:rPr>
          <w:sz w:val="16"/>
          <w:szCs w:val="16"/>
        </w:rPr>
        <w:t xml:space="preserve"> </w:t>
      </w:r>
      <w:hyperlink r:id="rId92" w:history="1">
        <w:r w:rsidR="0004516D" w:rsidRPr="00720DA1">
          <w:rPr>
            <w:rStyle w:val="Hyperlink"/>
            <w:sz w:val="16"/>
            <w:szCs w:val="16"/>
          </w:rPr>
          <w:t>COM(2025) 981 final</w:t>
        </w:r>
      </w:hyperlink>
    </w:p>
  </w:footnote>
  <w:footnote w:id="125">
    <w:p w14:paraId="7E4A9617" w14:textId="667B69C7" w:rsidR="00285741" w:rsidRPr="00720DA1" w:rsidRDefault="00285741">
      <w:pPr>
        <w:tabs>
          <w:tab w:val="num" w:pos="480"/>
        </w:tabs>
        <w:outlineLvl w:val="0"/>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Calibri" w:cs="Times New Roman"/>
          <w:sz w:val="16"/>
          <w:szCs w:val="16"/>
        </w:rPr>
        <w:t xml:space="preserve">CARMEN is a linear model, where a 10% decrease/increase in global final demand would yield a result 10 times worse/better than the baseline. To facilitate understanding, a 1% reduction is used as a reference point, providing a more manageable and comparable outcome. See Annex 4 </w:t>
      </w:r>
      <w:r w:rsidR="005F071C" w:rsidRPr="00720DA1">
        <w:rPr>
          <w:rFonts w:eastAsia="Calibri" w:cs="Times New Roman"/>
          <w:sz w:val="16"/>
          <w:szCs w:val="16"/>
        </w:rPr>
        <w:t>S</w:t>
      </w:r>
      <w:r w:rsidRPr="00720DA1">
        <w:rPr>
          <w:rFonts w:eastAsia="Calibri" w:cs="Times New Roman"/>
          <w:sz w:val="16"/>
          <w:szCs w:val="16"/>
        </w:rPr>
        <w:t xml:space="preserve">ection 2.4 for the original values on impact on global final demand. </w:t>
      </w:r>
    </w:p>
  </w:footnote>
  <w:footnote w:id="126">
    <w:p w14:paraId="0E6CE925"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A detailed overview of all LEAD measures including scope considerations and targets definition for specific objective 2 can be found in Annex 9</w:t>
      </w:r>
    </w:p>
  </w:footnote>
  <w:footnote w:id="127">
    <w:p w14:paraId="0338DC6E"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The definition of public procurement used here includes procedures that concern 1) contracts for the purchase, lease, rent or hire-purchase of vehicles and 2) the public service contracts having as their subject matter the provision of services that imply the usage of vehicles. To avoid distortions, vehicles first registered on the Union territory before the entry into force of the measure should be deemed to comply with the requirement until a certain date.</w:t>
      </w:r>
    </w:p>
  </w:footnote>
  <w:footnote w:id="128">
    <w:p w14:paraId="376D0CFA"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In the present document, ICE includes mild hybrids, and EVs include battery electric, plug-in hybrid and fuel-cell electric vehicles. However, the model used to assess the impact of the measures does not include the FCEVs due to the current statistical irrelevance. When referring to vehicles, the definition includes passenger cars, light commercial vehicles, buses and lorries</w:t>
      </w:r>
      <w:r w:rsidRPr="00720DA1">
        <w:rPr>
          <w:sz w:val="16"/>
          <w:szCs w:val="16"/>
        </w:rPr>
        <w:t>.</w:t>
      </w:r>
    </w:p>
  </w:footnote>
  <w:footnote w:id="129">
    <w:p w14:paraId="6D97A252"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Vehicle components are valued at ex-works prices. The methodology used in this Impact Assessment to determine the targets may be subjected to fine-tuning based on further development and additional information that may become available over time.</w:t>
      </w:r>
    </w:p>
  </w:footnote>
  <w:footnote w:id="130">
    <w:p w14:paraId="6D3B09EA"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The list of incomplete but possible conditionalities considered for the legislative initiative is presented in Annex 9, while examples of conditionalities applied by third countries are provided in Annex 13.</w:t>
      </w:r>
    </w:p>
  </w:footnote>
  <w:footnote w:id="131">
    <w:p w14:paraId="0CF84607"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Mandating the storage/depository and re-use of data in electronic forms for interoperability purposes.</w:t>
      </w:r>
    </w:p>
  </w:footnote>
  <w:footnote w:id="132">
    <w:p w14:paraId="7D9FD092"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 content will be designed in line with the Union’s international commitments. Requirements will be of a temporary nature, include periodic review clauses, and feature safeguards in case of insufficient competition or supply constraints, ensuring proportionality and policy coherence. These elements are integral to all options considered.</w:t>
      </w:r>
    </w:p>
  </w:footnote>
  <w:footnote w:id="133">
    <w:p w14:paraId="77117522"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For the objective of lead markets in the construction sector, the requirement may be established at the level of concrete, as the carbon impact of energy intensive materials depends heavily on the specific design and material mix. </w:t>
      </w:r>
    </w:p>
  </w:footnote>
  <w:footnote w:id="134">
    <w:p w14:paraId="4197CB78" w14:textId="4D564857" w:rsidR="009757E7" w:rsidRPr="00720DA1" w:rsidRDefault="009757E7" w:rsidP="00F02DEA">
      <w:pPr>
        <w:pStyle w:val="FootnoteText"/>
        <w:rPr>
          <w:rFonts w:cs="Times New Roman"/>
          <w:sz w:val="16"/>
          <w:szCs w:val="16"/>
        </w:rPr>
      </w:pPr>
      <w:r w:rsidRPr="00720DA1">
        <w:rPr>
          <w:rStyle w:val="FootnoteReference"/>
          <w:rFonts w:cs="Times New Roman"/>
          <w:sz w:val="16"/>
          <w:szCs w:val="16"/>
        </w:rPr>
        <w:footnoteRef/>
      </w:r>
      <w:r w:rsidR="002D3022" w:rsidRPr="00720DA1">
        <w:rPr>
          <w:rFonts w:cs="Times New Roman"/>
          <w:sz w:val="16"/>
          <w:szCs w:val="16"/>
        </w:rPr>
        <w:t xml:space="preserve"> </w:t>
      </w:r>
      <w:r w:rsidR="00746790" w:rsidRPr="00720DA1">
        <w:rPr>
          <w:rFonts w:cs="Times New Roman"/>
          <w:sz w:val="16"/>
          <w:szCs w:val="16"/>
        </w:rPr>
        <w:t>Ibid.</w:t>
      </w:r>
      <w:r w:rsidR="002D3022" w:rsidRPr="00720DA1">
        <w:rPr>
          <w:rFonts w:cs="Times New Roman"/>
          <w:sz w:val="16"/>
          <w:szCs w:val="16"/>
        </w:rPr>
        <w:t xml:space="preserve"> </w:t>
      </w:r>
    </w:p>
  </w:footnote>
  <w:footnote w:id="135">
    <w:p w14:paraId="0B97DB2E" w14:textId="10A9074F" w:rsidR="00B41155" w:rsidRPr="00720DA1" w:rsidRDefault="00B41155" w:rsidP="00B41155">
      <w:pPr>
        <w:pStyle w:val="FootnoteText"/>
        <w:rPr>
          <w:rFonts w:cs="Times New Roman"/>
          <w:sz w:val="16"/>
          <w:szCs w:val="16"/>
        </w:rPr>
      </w:pPr>
      <w:r w:rsidRPr="00720DA1">
        <w:rPr>
          <w:rStyle w:val="FootnoteReference"/>
          <w:rFonts w:cs="Times New Roman"/>
          <w:sz w:val="16"/>
          <w:szCs w:val="16"/>
        </w:rPr>
        <w:footnoteRef/>
      </w:r>
      <w:r w:rsidR="00EF2BC3" w:rsidRPr="00720DA1">
        <w:rPr>
          <w:rFonts w:cs="Times New Roman"/>
          <w:sz w:val="16"/>
          <w:szCs w:val="16"/>
        </w:rPr>
        <w:t xml:space="preserve"> </w:t>
      </w:r>
      <w:r w:rsidR="00746790" w:rsidRPr="00720DA1">
        <w:rPr>
          <w:rFonts w:cs="Times New Roman"/>
          <w:sz w:val="16"/>
          <w:szCs w:val="16"/>
        </w:rPr>
        <w:t>Ibid.</w:t>
      </w:r>
      <w:r w:rsidR="00EF2BC3" w:rsidRPr="00720DA1">
        <w:rPr>
          <w:rFonts w:cs="Times New Roman"/>
          <w:sz w:val="16"/>
          <w:szCs w:val="16"/>
        </w:rPr>
        <w:t xml:space="preserve"> </w:t>
      </w:r>
    </w:p>
  </w:footnote>
  <w:footnote w:id="136">
    <w:p w14:paraId="73C7A28B"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Vehicle components are valued at ex-works prices.</w:t>
      </w:r>
    </w:p>
  </w:footnote>
  <w:footnote w:id="137">
    <w:p w14:paraId="4CB39ED0"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The definition of public procurement used here includes: 1) procedures that concerns contracts for the purchase, lease, rent or hire-purchase of vehicles; 2) procedures that concern the public service contracts having as their subject matter the provision of services that imply the usage of vehicles. To avoid distortions, vehicles first registered on the Union territory before the entry into force of the measure should be deemed to comply with the requirement until a certain date.</w:t>
      </w:r>
    </w:p>
  </w:footnote>
  <w:footnote w:id="138">
    <w:p w14:paraId="21E07631"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In the present document, ICE includes mild hybrids, and EVs include battery electric, plug-in hybrid and fuel-cell EVs. However, the model used to assess the impact of the measures does not include the FCEVs due to the current statistical irrelevance. When referring to vehicles, the definition includes passenger cars, light commercial vehicles, buses and lorries.</w:t>
      </w:r>
    </w:p>
  </w:footnote>
  <w:footnote w:id="139">
    <w:p w14:paraId="7A728FE2" w14:textId="0038874B" w:rsidR="004E1448" w:rsidRPr="00720DA1" w:rsidRDefault="004E1448" w:rsidP="004E1448">
      <w:pPr>
        <w:pStyle w:val="FootnoteText"/>
        <w:rPr>
          <w:sz w:val="16"/>
          <w:szCs w:val="16"/>
        </w:rPr>
      </w:pPr>
      <w:r w:rsidRPr="00720DA1">
        <w:rPr>
          <w:rStyle w:val="FootnoteReference"/>
          <w:sz w:val="16"/>
          <w:szCs w:val="16"/>
        </w:rPr>
        <w:footnoteRef/>
      </w:r>
      <w:r w:rsidRPr="00720DA1">
        <w:rPr>
          <w:sz w:val="16"/>
          <w:szCs w:val="16"/>
        </w:rPr>
        <w:t xml:space="preserve"> </w:t>
      </w:r>
      <w:r w:rsidR="00AC573E" w:rsidRPr="00720DA1">
        <w:rPr>
          <w:sz w:val="16"/>
          <w:szCs w:val="16"/>
        </w:rPr>
        <w:t xml:space="preserve">Bellona </w:t>
      </w:r>
      <w:r w:rsidR="00502B97" w:rsidRPr="00720DA1">
        <w:rPr>
          <w:sz w:val="16"/>
          <w:szCs w:val="16"/>
        </w:rPr>
        <w:t>Foundation</w:t>
      </w:r>
      <w:r w:rsidR="00AC573E" w:rsidRPr="00720DA1">
        <w:rPr>
          <w:sz w:val="16"/>
          <w:szCs w:val="16"/>
        </w:rPr>
        <w:t xml:space="preserve"> (2024). </w:t>
      </w:r>
      <w:r w:rsidRPr="00720DA1">
        <w:rPr>
          <w:sz w:val="16"/>
          <w:szCs w:val="16"/>
        </w:rPr>
        <w:t>Green Public Procurement of cement and steel in the EU: An overview of the state of play</w:t>
      </w:r>
      <w:r w:rsidR="00AC573E" w:rsidRPr="00720DA1">
        <w:rPr>
          <w:sz w:val="16"/>
          <w:szCs w:val="16"/>
        </w:rPr>
        <w:t>.</w:t>
      </w:r>
    </w:p>
  </w:footnote>
  <w:footnote w:id="140">
    <w:p w14:paraId="000E88CE" w14:textId="7969E783" w:rsidR="00502B97"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EC6FA1" w:rsidRPr="00720DA1">
        <w:rPr>
          <w:rFonts w:cs="Times New Roman"/>
          <w:sz w:val="16"/>
          <w:szCs w:val="16"/>
        </w:rPr>
        <w:t>VUB</w:t>
      </w:r>
      <w:r w:rsidRPr="00720DA1">
        <w:rPr>
          <w:rFonts w:cs="Times New Roman"/>
          <w:sz w:val="16"/>
          <w:szCs w:val="16"/>
        </w:rPr>
        <w:t xml:space="preserve"> </w:t>
      </w:r>
      <w:r w:rsidR="00AC573E" w:rsidRPr="00720DA1">
        <w:rPr>
          <w:rFonts w:cs="Times New Roman"/>
          <w:sz w:val="16"/>
          <w:szCs w:val="16"/>
        </w:rPr>
        <w:t>Brussels School of Governance</w:t>
      </w:r>
      <w:r w:rsidR="00AC573E" w:rsidRPr="00720DA1">
        <w:rPr>
          <w:sz w:val="16"/>
          <w:szCs w:val="16"/>
        </w:rPr>
        <w:t xml:space="preserve"> (2024).</w:t>
      </w:r>
      <w:r w:rsidRPr="00720DA1">
        <w:rPr>
          <w:sz w:val="16"/>
          <w:szCs w:val="16"/>
        </w:rPr>
        <w:t xml:space="preserve"> </w:t>
      </w:r>
      <w:hyperlink r:id="rId93">
        <w:r w:rsidRPr="00720DA1">
          <w:rPr>
            <w:rStyle w:val="Hyperlink"/>
            <w:rFonts w:cs="Times New Roman"/>
            <w:sz w:val="16"/>
            <w:szCs w:val="16"/>
          </w:rPr>
          <w:t>Public procurement of steel and cement for construction, assessing the potential of lead markets for green steel and cement in the EU</w:t>
        </w:r>
      </w:hyperlink>
      <w:r w:rsidR="00502B97" w:rsidRPr="00720DA1">
        <w:rPr>
          <w:rFonts w:cs="Times New Roman"/>
          <w:sz w:val="16"/>
          <w:szCs w:val="16"/>
        </w:rPr>
        <w:t>.</w:t>
      </w:r>
      <w:r w:rsidRPr="00720DA1">
        <w:rPr>
          <w:rFonts w:cs="Times New Roman"/>
          <w:sz w:val="16"/>
          <w:szCs w:val="16"/>
        </w:rPr>
        <w:t xml:space="preserve"> </w:t>
      </w:r>
    </w:p>
    <w:p w14:paraId="3B230D78" w14:textId="20593A7C" w:rsidR="00285741" w:rsidRPr="00720DA1" w:rsidRDefault="00AC573E" w:rsidP="00793CFD">
      <w:pPr>
        <w:pStyle w:val="FootnoteText"/>
        <w:rPr>
          <w:rFonts w:cs="Times New Roman"/>
          <w:sz w:val="16"/>
          <w:szCs w:val="16"/>
        </w:rPr>
      </w:pPr>
      <w:r w:rsidRPr="00720DA1">
        <w:rPr>
          <w:rFonts w:cs="Times New Roman"/>
          <w:sz w:val="16"/>
          <w:szCs w:val="16"/>
        </w:rPr>
        <w:t xml:space="preserve">Bellona </w:t>
      </w:r>
      <w:r w:rsidR="00502B97" w:rsidRPr="00720DA1">
        <w:rPr>
          <w:rFonts w:cs="Times New Roman"/>
          <w:sz w:val="16"/>
          <w:szCs w:val="16"/>
        </w:rPr>
        <w:t>Foundation</w:t>
      </w:r>
      <w:r w:rsidRPr="00720DA1">
        <w:rPr>
          <w:rFonts w:cs="Times New Roman"/>
          <w:sz w:val="16"/>
          <w:szCs w:val="16"/>
        </w:rPr>
        <w:t xml:space="preserve"> (2024). </w:t>
      </w:r>
      <w:hyperlink r:id="rId94">
        <w:r w:rsidR="00285741" w:rsidRPr="00720DA1">
          <w:rPr>
            <w:rStyle w:val="Hyperlink"/>
            <w:rFonts w:cs="Times New Roman"/>
            <w:sz w:val="16"/>
            <w:szCs w:val="16"/>
          </w:rPr>
          <w:t>Green Public Procurement of cement and steel in the EU: An overview of the state of play</w:t>
        </w:r>
      </w:hyperlink>
      <w:r w:rsidR="00285741" w:rsidRPr="00720DA1">
        <w:rPr>
          <w:rFonts w:cs="Times New Roman"/>
          <w:sz w:val="16"/>
          <w:szCs w:val="16"/>
        </w:rPr>
        <w:t>.</w:t>
      </w:r>
    </w:p>
  </w:footnote>
  <w:footnote w:id="141">
    <w:p w14:paraId="6B480579" w14:textId="33537B13" w:rsidR="00472816" w:rsidRPr="00720DA1" w:rsidRDefault="00472816">
      <w:pPr>
        <w:pStyle w:val="FootnoteText"/>
        <w:rPr>
          <w:sz w:val="16"/>
          <w:szCs w:val="16"/>
          <w:lang w:val="en-IE"/>
        </w:rPr>
      </w:pPr>
      <w:r w:rsidRPr="00720DA1">
        <w:rPr>
          <w:rStyle w:val="FootnoteReference"/>
          <w:sz w:val="16"/>
          <w:szCs w:val="16"/>
        </w:rPr>
        <w:footnoteRef/>
      </w:r>
      <w:r w:rsidR="00023C91" w:rsidRPr="00720DA1">
        <w:rPr>
          <w:sz w:val="16"/>
          <w:szCs w:val="16"/>
        </w:rPr>
        <w:t xml:space="preserve"> European Aluminium (2023).</w:t>
      </w:r>
      <w:r w:rsidRPr="00720DA1">
        <w:rPr>
          <w:sz w:val="16"/>
          <w:szCs w:val="16"/>
        </w:rPr>
        <w:t xml:space="preserve"> </w:t>
      </w:r>
      <w:hyperlink r:id="rId95" w:history="1">
        <w:r w:rsidR="00890901" w:rsidRPr="00720DA1">
          <w:rPr>
            <w:rStyle w:val="Hyperlink"/>
            <w:sz w:val="16"/>
            <w:szCs w:val="16"/>
          </w:rPr>
          <w:t>Aluminium</w:t>
        </w:r>
        <w:r w:rsidR="001B3CD1" w:rsidRPr="00720DA1">
          <w:rPr>
            <w:rStyle w:val="Hyperlink"/>
            <w:sz w:val="16"/>
            <w:szCs w:val="16"/>
          </w:rPr>
          <w:t xml:space="preserve"> Content in Passenger Vehicles (Europe) </w:t>
        </w:r>
        <w:r w:rsidR="00DC1AD4" w:rsidRPr="00720DA1">
          <w:rPr>
            <w:rStyle w:val="Hyperlink"/>
            <w:sz w:val="16"/>
            <w:szCs w:val="16"/>
          </w:rPr>
          <w:t xml:space="preserve">- </w:t>
        </w:r>
        <w:r w:rsidR="001B3CD1" w:rsidRPr="00720DA1">
          <w:rPr>
            <w:rStyle w:val="Hyperlink"/>
            <w:sz w:val="16"/>
            <w:szCs w:val="16"/>
          </w:rPr>
          <w:t>Assessment 2022 and Outlook 2026, 2030</w:t>
        </w:r>
      </w:hyperlink>
      <w:r w:rsidR="001B3CD1" w:rsidRPr="00720DA1">
        <w:rPr>
          <w:sz w:val="16"/>
          <w:szCs w:val="16"/>
        </w:rPr>
        <w:t xml:space="preserve">. </w:t>
      </w:r>
    </w:p>
  </w:footnote>
  <w:footnote w:id="142">
    <w:p w14:paraId="5B2EE981" w14:textId="4BE01507" w:rsidR="00E82215" w:rsidRPr="00720DA1" w:rsidRDefault="00E82215" w:rsidP="00442025">
      <w:pPr>
        <w:rPr>
          <w:rFonts w:ascii="Times" w:eastAsia="Times" w:hAnsi="Times" w:cs="Times"/>
          <w:sz w:val="16"/>
          <w:szCs w:val="16"/>
        </w:rPr>
      </w:pPr>
      <w:r w:rsidRPr="00720DA1">
        <w:rPr>
          <w:rStyle w:val="FootnoteReference"/>
          <w:rFonts w:ascii="Times" w:hAnsi="Times" w:cs="Times"/>
          <w:sz w:val="16"/>
          <w:szCs w:val="16"/>
        </w:rPr>
        <w:footnoteRef/>
      </w:r>
      <w:r w:rsidRPr="00720DA1">
        <w:rPr>
          <w:rFonts w:ascii="Times" w:hAnsi="Times" w:cs="Times"/>
          <w:sz w:val="16"/>
          <w:szCs w:val="16"/>
        </w:rPr>
        <w:t xml:space="preserve"> </w:t>
      </w:r>
      <w:r w:rsidR="00FB7C8B" w:rsidRPr="00720DA1">
        <w:rPr>
          <w:rFonts w:ascii="Times" w:hAnsi="Times" w:cs="Times"/>
          <w:sz w:val="16"/>
          <w:szCs w:val="16"/>
        </w:rPr>
        <w:t>JRC (2022).</w:t>
      </w:r>
      <w:r w:rsidRPr="00720DA1">
        <w:rPr>
          <w:rFonts w:ascii="Times" w:hAnsi="Times" w:cs="Times"/>
          <w:sz w:val="16"/>
          <w:szCs w:val="16"/>
        </w:rPr>
        <w:t xml:space="preserve"> </w:t>
      </w:r>
      <w:r w:rsidRPr="00720DA1">
        <w:rPr>
          <w:rFonts w:ascii="Times" w:eastAsia="Times" w:hAnsi="Times" w:cs="Times"/>
          <w:color w:val="467886"/>
          <w:sz w:val="16"/>
          <w:szCs w:val="16"/>
          <w:u w:val="single"/>
        </w:rPr>
        <w:t xml:space="preserve">Revision of the EU Green Public Procurement Criteria for Road </w:t>
      </w:r>
      <w:r w:rsidR="00FB7C8B" w:rsidRPr="00720DA1">
        <w:rPr>
          <w:rFonts w:ascii="Times" w:eastAsia="Times" w:hAnsi="Times" w:cs="Times"/>
          <w:color w:val="467886"/>
          <w:sz w:val="16"/>
          <w:szCs w:val="16"/>
          <w:u w:val="single"/>
        </w:rPr>
        <w:t>T</w:t>
      </w:r>
      <w:r w:rsidRPr="00720DA1">
        <w:rPr>
          <w:rFonts w:ascii="Times" w:eastAsia="Times" w:hAnsi="Times" w:cs="Times"/>
          <w:color w:val="467886"/>
          <w:sz w:val="16"/>
          <w:szCs w:val="16"/>
          <w:u w:val="single"/>
        </w:rPr>
        <w:t>ransport</w:t>
      </w:r>
      <w:r w:rsidRPr="00720DA1">
        <w:rPr>
          <w:rFonts w:ascii="Times" w:eastAsia="Times" w:hAnsi="Times" w:cs="Times"/>
          <w:sz w:val="16"/>
          <w:szCs w:val="16"/>
        </w:rPr>
        <w:t>.</w:t>
      </w:r>
    </w:p>
  </w:footnote>
  <w:footnote w:id="143">
    <w:p w14:paraId="5CC75287" w14:textId="2BCFF08A" w:rsidR="00570DE0" w:rsidRPr="00720DA1" w:rsidRDefault="00570DE0" w:rsidP="001F6591">
      <w:pPr>
        <w:pStyle w:val="FootnoteText"/>
        <w:rPr>
          <w:sz w:val="16"/>
          <w:szCs w:val="16"/>
        </w:rPr>
      </w:pPr>
      <w:r w:rsidRPr="00720DA1">
        <w:rPr>
          <w:rStyle w:val="FootnoteReference"/>
          <w:sz w:val="16"/>
          <w:szCs w:val="16"/>
        </w:rPr>
        <w:footnoteRef/>
      </w:r>
      <w:r w:rsidR="00024CA3" w:rsidRPr="00720DA1">
        <w:rPr>
          <w:sz w:val="16"/>
          <w:szCs w:val="16"/>
        </w:rPr>
        <w:t xml:space="preserve"> European Commission (2025).</w:t>
      </w:r>
      <w:r w:rsidR="00CD3736" w:rsidRPr="00720DA1">
        <w:rPr>
          <w:sz w:val="16"/>
          <w:szCs w:val="16"/>
        </w:rPr>
        <w:t xml:space="preserve"> </w:t>
      </w:r>
      <w:r w:rsidR="00EA1AAF" w:rsidRPr="00720DA1">
        <w:rPr>
          <w:sz w:val="16"/>
          <w:szCs w:val="16"/>
        </w:rPr>
        <w:t xml:space="preserve">Communication </w:t>
      </w:r>
      <w:r w:rsidR="003E7AAA" w:rsidRPr="00720DA1">
        <w:rPr>
          <w:sz w:val="16"/>
          <w:szCs w:val="16"/>
          <w:lang w:val="en-IE"/>
        </w:rPr>
        <w:t>f</w:t>
      </w:r>
      <w:r w:rsidR="00EA1AAF" w:rsidRPr="00720DA1">
        <w:rPr>
          <w:sz w:val="16"/>
          <w:szCs w:val="16"/>
          <w:lang w:val="en-IE"/>
        </w:rPr>
        <w:t>rom</w:t>
      </w:r>
      <w:r w:rsidR="00EA1AAF" w:rsidRPr="00720DA1">
        <w:rPr>
          <w:sz w:val="16"/>
          <w:szCs w:val="16"/>
        </w:rPr>
        <w:t xml:space="preserve"> </w:t>
      </w:r>
      <w:r w:rsidR="003E7AAA" w:rsidRPr="00720DA1">
        <w:rPr>
          <w:sz w:val="16"/>
          <w:szCs w:val="16"/>
        </w:rPr>
        <w:t>t</w:t>
      </w:r>
      <w:r w:rsidR="00EA1AAF" w:rsidRPr="00720DA1">
        <w:rPr>
          <w:sz w:val="16"/>
          <w:szCs w:val="16"/>
        </w:rPr>
        <w:t xml:space="preserve">he Commission </w:t>
      </w:r>
      <w:r w:rsidR="003E7AAA" w:rsidRPr="00720DA1">
        <w:rPr>
          <w:sz w:val="16"/>
          <w:szCs w:val="16"/>
        </w:rPr>
        <w:t>t</w:t>
      </w:r>
      <w:r w:rsidR="00EA1AAF" w:rsidRPr="00720DA1">
        <w:rPr>
          <w:sz w:val="16"/>
          <w:szCs w:val="16"/>
        </w:rPr>
        <w:t xml:space="preserve">o </w:t>
      </w:r>
      <w:r w:rsidR="003E7AAA" w:rsidRPr="00720DA1">
        <w:rPr>
          <w:sz w:val="16"/>
          <w:szCs w:val="16"/>
        </w:rPr>
        <w:t>t</w:t>
      </w:r>
      <w:r w:rsidR="00EA1AAF" w:rsidRPr="00720DA1">
        <w:rPr>
          <w:sz w:val="16"/>
          <w:szCs w:val="16"/>
        </w:rPr>
        <w:t xml:space="preserve">he European Parliament, </w:t>
      </w:r>
      <w:r w:rsidR="00024CA3" w:rsidRPr="00720DA1">
        <w:rPr>
          <w:sz w:val="16"/>
          <w:szCs w:val="16"/>
        </w:rPr>
        <w:t>t</w:t>
      </w:r>
      <w:r w:rsidR="00EA1AAF" w:rsidRPr="00720DA1">
        <w:rPr>
          <w:sz w:val="16"/>
          <w:szCs w:val="16"/>
        </w:rPr>
        <w:t xml:space="preserve">he Council, </w:t>
      </w:r>
      <w:r w:rsidR="00024CA3" w:rsidRPr="00720DA1">
        <w:rPr>
          <w:sz w:val="16"/>
          <w:szCs w:val="16"/>
        </w:rPr>
        <w:t>t</w:t>
      </w:r>
      <w:r w:rsidR="00EA1AAF" w:rsidRPr="00720DA1">
        <w:rPr>
          <w:sz w:val="16"/>
          <w:szCs w:val="16"/>
        </w:rPr>
        <w:t xml:space="preserve">he European Economic </w:t>
      </w:r>
      <w:r w:rsidR="003E7AAA" w:rsidRPr="00720DA1">
        <w:rPr>
          <w:sz w:val="16"/>
          <w:szCs w:val="16"/>
        </w:rPr>
        <w:t>a</w:t>
      </w:r>
      <w:r w:rsidR="00EA1AAF" w:rsidRPr="00720DA1">
        <w:rPr>
          <w:sz w:val="16"/>
          <w:szCs w:val="16"/>
        </w:rPr>
        <w:t xml:space="preserve">nd Social Committee </w:t>
      </w:r>
      <w:r w:rsidR="003E7AAA" w:rsidRPr="00720DA1">
        <w:rPr>
          <w:sz w:val="16"/>
          <w:szCs w:val="16"/>
        </w:rPr>
        <w:t>a</w:t>
      </w:r>
      <w:r w:rsidR="00EA1AAF" w:rsidRPr="00720DA1">
        <w:rPr>
          <w:sz w:val="16"/>
          <w:szCs w:val="16"/>
        </w:rPr>
        <w:t>nd</w:t>
      </w:r>
      <w:r w:rsidR="003E7AAA" w:rsidRPr="00720DA1">
        <w:rPr>
          <w:sz w:val="16"/>
          <w:szCs w:val="16"/>
        </w:rPr>
        <w:t xml:space="preserve"> t</w:t>
      </w:r>
      <w:r w:rsidR="00EA1AAF" w:rsidRPr="00720DA1">
        <w:rPr>
          <w:sz w:val="16"/>
          <w:szCs w:val="16"/>
        </w:rPr>
        <w:t xml:space="preserve">he Committee </w:t>
      </w:r>
      <w:r w:rsidR="009B7255" w:rsidRPr="00720DA1">
        <w:rPr>
          <w:sz w:val="16"/>
          <w:szCs w:val="16"/>
        </w:rPr>
        <w:t>o</w:t>
      </w:r>
      <w:r w:rsidR="00EA1AAF" w:rsidRPr="00720DA1">
        <w:rPr>
          <w:sz w:val="16"/>
          <w:szCs w:val="16"/>
        </w:rPr>
        <w:t xml:space="preserve">f </w:t>
      </w:r>
      <w:r w:rsidR="00024CA3" w:rsidRPr="00720DA1">
        <w:rPr>
          <w:sz w:val="16"/>
          <w:szCs w:val="16"/>
        </w:rPr>
        <w:t>t</w:t>
      </w:r>
      <w:r w:rsidR="00EA1AAF" w:rsidRPr="00720DA1">
        <w:rPr>
          <w:sz w:val="16"/>
          <w:szCs w:val="16"/>
        </w:rPr>
        <w:t>he Regions Decarbonise Corporate Fleets, COM(2025)96 Final</w:t>
      </w:r>
      <w:r w:rsidR="003E7AAA" w:rsidRPr="00720DA1">
        <w:rPr>
          <w:sz w:val="16"/>
          <w:szCs w:val="16"/>
        </w:rPr>
        <w:t>, 5 March 2025</w:t>
      </w:r>
    </w:p>
  </w:footnote>
  <w:footnote w:id="144">
    <w:p w14:paraId="08F6463E" w14:textId="4A68EC9C" w:rsidR="00C649CD" w:rsidRPr="00720DA1" w:rsidRDefault="00C649CD" w:rsidP="00C649CD">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 xml:space="preserve">Impacts are measured during 2025-2030. </w:t>
      </w:r>
      <w:r w:rsidRPr="00720DA1">
        <w:rPr>
          <w:sz w:val="16"/>
          <w:szCs w:val="16"/>
        </w:rPr>
        <w:t>These figures result from a simulation of the F</w:t>
      </w:r>
      <w:r w:rsidR="00205877">
        <w:rPr>
          <w:sz w:val="16"/>
          <w:szCs w:val="16"/>
        </w:rPr>
        <w:t>IDELIO</w:t>
      </w:r>
      <w:r w:rsidRPr="00720DA1">
        <w:rPr>
          <w:sz w:val="16"/>
          <w:szCs w:val="16"/>
        </w:rPr>
        <w:t xml:space="preserve"> model, when prices in the automotive and construction sectors are shocked by 0.225% and 0.4499 % respectively, and the resulting general equilibrium effects of higher prices on final demand, incomes and value added are computed.</w:t>
      </w:r>
    </w:p>
  </w:footnote>
  <w:footnote w:id="145">
    <w:p w14:paraId="40FDD643" w14:textId="77777777" w:rsidR="00C47957" w:rsidRPr="00720DA1" w:rsidRDefault="00C47957" w:rsidP="00C47957">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 xml:space="preserve">Estimate based on data from BloombergNEF’s Steel Decarbonization Project Database 1.0.5. The cumulative figures of 41 Mtpa of low-carbon steel capacity and the associated EUR 15.5. billion in investments represent only projects whose output meets the indicative IAA’s carbon intensity label classes of performance (Class A-C). </w:t>
      </w:r>
    </w:p>
  </w:footnote>
  <w:footnote w:id="146">
    <w:p w14:paraId="25CAC2C7" w14:textId="77777777" w:rsidR="007173D9" w:rsidRPr="0055471E" w:rsidRDefault="007173D9" w:rsidP="007173D9">
      <w:pPr>
        <w:pStyle w:val="FootnoteText"/>
        <w:rPr>
          <w:sz w:val="16"/>
          <w:szCs w:val="16"/>
          <w:lang w:val="en-IE"/>
        </w:rPr>
      </w:pPr>
      <w:r w:rsidRPr="0055471E">
        <w:rPr>
          <w:rStyle w:val="FootnoteReference"/>
          <w:sz w:val="16"/>
          <w:szCs w:val="16"/>
        </w:rPr>
        <w:footnoteRef/>
      </w:r>
      <w:r w:rsidRPr="0055471E">
        <w:rPr>
          <w:sz w:val="16"/>
          <w:szCs w:val="16"/>
        </w:rPr>
        <w:t xml:space="preserve"> </w:t>
      </w:r>
      <w:r w:rsidRPr="0055471E">
        <w:rPr>
          <w:rFonts w:cs="Times New Roman"/>
          <w:sz w:val="16"/>
          <w:szCs w:val="16"/>
        </w:rPr>
        <w:t xml:space="preserve">European Commission (2024)., </w:t>
      </w:r>
      <w:hyperlink r:id="rId96" w:history="1">
        <w:r w:rsidRPr="0055471E">
          <w:rPr>
            <w:rStyle w:val="Hyperlink"/>
            <w:rFonts w:cs="Times New Roman"/>
            <w:sz w:val="16"/>
            <w:szCs w:val="16"/>
          </w:rPr>
          <w:t>Commission Staff Working Document: Impact Assessment Report (Part 3), accompanying the document Communication from the Commission to the European Parliament, the Council, the European Economic and Social Committee and the Committee of the Regions: Securing our future - Europe's 2040 climate target and path to climate neutrality by 2050, building a sustainable, just and prosperous society</w:t>
        </w:r>
      </w:hyperlink>
      <w:r w:rsidRPr="0055471E">
        <w:rPr>
          <w:rFonts w:cs="Times New Roman"/>
          <w:sz w:val="16"/>
          <w:szCs w:val="16"/>
        </w:rPr>
        <w:t>, COM(2024) 63 final, pp.164-167.</w:t>
      </w:r>
    </w:p>
  </w:footnote>
  <w:footnote w:id="147">
    <w:p w14:paraId="7D16334A" w14:textId="77777777" w:rsidR="00345341" w:rsidRPr="0055471E" w:rsidRDefault="00345341" w:rsidP="00345341">
      <w:pPr>
        <w:pStyle w:val="FootnoteText"/>
        <w:rPr>
          <w:rFonts w:cs="Times New Roman"/>
          <w:sz w:val="16"/>
          <w:szCs w:val="16"/>
        </w:rPr>
      </w:pPr>
      <w:r w:rsidRPr="0055471E">
        <w:rPr>
          <w:rStyle w:val="FootnoteReference"/>
          <w:rFonts w:cs="Times New Roman"/>
          <w:sz w:val="16"/>
          <w:szCs w:val="16"/>
        </w:rPr>
        <w:footnoteRef/>
      </w:r>
      <w:r w:rsidRPr="0055471E">
        <w:rPr>
          <w:rFonts w:cs="Times New Roman"/>
          <w:sz w:val="16"/>
          <w:szCs w:val="16"/>
        </w:rPr>
        <w:t xml:space="preserve"> </w:t>
      </w:r>
      <w:r w:rsidRPr="0055471E">
        <w:rPr>
          <w:sz w:val="16"/>
          <w:szCs w:val="16"/>
        </w:rPr>
        <w:t xml:space="preserve">Draghi, M. (2024). </w:t>
      </w:r>
      <w:hyperlink r:id="rId97" w:history="1">
        <w:r w:rsidRPr="0055471E">
          <w:rPr>
            <w:rStyle w:val="Hyperlink"/>
            <w:sz w:val="16"/>
            <w:szCs w:val="16"/>
          </w:rPr>
          <w:t>The future of European competitiveness: In‑depth analysis and recommendations (Part B)</w:t>
        </w:r>
      </w:hyperlink>
      <w:r w:rsidRPr="0055471E">
        <w:rPr>
          <w:sz w:val="16"/>
          <w:szCs w:val="16"/>
        </w:rPr>
        <w:t xml:space="preserve">, </w:t>
      </w:r>
      <w:r w:rsidRPr="0055471E">
        <w:rPr>
          <w:rFonts w:eastAsia="Times New Roman" w:cs="Times New Roman"/>
          <w:sz w:val="16"/>
          <w:szCs w:val="16"/>
        </w:rPr>
        <w:t xml:space="preserve">p. </w:t>
      </w:r>
      <w:r w:rsidRPr="0055471E">
        <w:rPr>
          <w:rFonts w:cs="Times New Roman"/>
          <w:sz w:val="16"/>
          <w:szCs w:val="16"/>
        </w:rPr>
        <w:t xml:space="preserve">99. </w:t>
      </w:r>
    </w:p>
  </w:footnote>
  <w:footnote w:id="148">
    <w:p w14:paraId="6986A9E3"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eastAsia="Times New Roman" w:cs="Times New Roman"/>
          <w:sz w:val="16"/>
          <w:szCs w:val="16"/>
        </w:rPr>
        <w:t>One from the ceramics sector, one from the non-ferrous metals and two from other sectors.</w:t>
      </w:r>
    </w:p>
  </w:footnote>
  <w:footnote w:id="149">
    <w:p w14:paraId="6E304B8B" w14:textId="021F5E86" w:rsidR="00285741" w:rsidRPr="00720DA1" w:rsidRDefault="00285741">
      <w:pPr>
        <w:pStyle w:val="FootnoteText"/>
        <w:rPr>
          <w:rFonts w:eastAsia="Times New Roman" w:cs="Times New Roman"/>
          <w:sz w:val="16"/>
          <w:szCs w:val="16"/>
        </w:rPr>
      </w:pPr>
      <w:r w:rsidRPr="00720DA1">
        <w:rPr>
          <w:rStyle w:val="FootnoteReference"/>
          <w:sz w:val="16"/>
          <w:szCs w:val="16"/>
        </w:rPr>
        <w:footnoteRef/>
      </w:r>
      <w:r w:rsidRPr="00720DA1">
        <w:rPr>
          <w:rFonts w:eastAsia="Times New Roman" w:cs="Times New Roman"/>
          <w:sz w:val="16"/>
          <w:szCs w:val="16"/>
        </w:rPr>
        <w:t xml:space="preserve"> European Battery Alliance and BloombergNEF.</w:t>
      </w:r>
    </w:p>
  </w:footnote>
  <w:footnote w:id="150">
    <w:p w14:paraId="4DCF0AC8" w14:textId="0E7BCBF8" w:rsidR="00285741" w:rsidRPr="00720DA1" w:rsidRDefault="00285741">
      <w:pPr>
        <w:pStyle w:val="FootnoteText"/>
        <w:rPr>
          <w:rFonts w:eastAsia="Times New Roman" w:cs="Times New Roman"/>
          <w:sz w:val="16"/>
          <w:szCs w:val="16"/>
        </w:rPr>
      </w:pPr>
      <w:r w:rsidRPr="00720DA1">
        <w:rPr>
          <w:rStyle w:val="FootnoteReference"/>
          <w:rFonts w:cs="Times New Roman"/>
          <w:sz w:val="16"/>
          <w:szCs w:val="16"/>
        </w:rPr>
        <w:footnoteRef/>
      </w:r>
      <w:r w:rsidRPr="00720DA1">
        <w:rPr>
          <w:rFonts w:eastAsia="Times New Roman" w:cs="Times New Roman"/>
          <w:sz w:val="16"/>
          <w:szCs w:val="16"/>
          <w:vertAlign w:val="superscript"/>
        </w:rPr>
        <w:t xml:space="preserve"> </w:t>
      </w:r>
      <w:r w:rsidR="00A14760" w:rsidRPr="00720DA1">
        <w:rPr>
          <w:rFonts w:eastAsia="Times New Roman" w:cs="Times New Roman"/>
          <w:sz w:val="16"/>
          <w:szCs w:val="16"/>
        </w:rPr>
        <w:t xml:space="preserve">MIT CEEPR. </w:t>
      </w:r>
      <w:r w:rsidRPr="00720DA1">
        <w:rPr>
          <w:rFonts w:eastAsia="Times New Roman" w:cs="Times New Roman"/>
          <w:sz w:val="16"/>
          <w:szCs w:val="16"/>
        </w:rPr>
        <w:t xml:space="preserve">Global Clean Investment Monitor: Government Support for Electric Vehicles and Batteries. Data represents the EU-27 </w:t>
      </w:r>
      <w:r w:rsidR="009412F3" w:rsidRPr="00720DA1">
        <w:rPr>
          <w:rFonts w:eastAsia="Times New Roman" w:cs="Times New Roman"/>
          <w:sz w:val="16"/>
          <w:szCs w:val="16"/>
        </w:rPr>
        <w:t xml:space="preserve">and </w:t>
      </w:r>
      <w:r w:rsidRPr="00720DA1">
        <w:rPr>
          <w:rFonts w:eastAsia="Times New Roman" w:cs="Times New Roman"/>
          <w:sz w:val="16"/>
          <w:szCs w:val="16"/>
        </w:rPr>
        <w:t>the United Kingdom.</w:t>
      </w:r>
      <w:r w:rsidR="007A12B6" w:rsidRPr="00720DA1">
        <w:rPr>
          <w:rFonts w:eastAsia="Times New Roman" w:cs="Times New Roman"/>
          <w:sz w:val="16"/>
          <w:szCs w:val="16"/>
        </w:rPr>
        <w:t xml:space="preserve"> </w:t>
      </w:r>
      <w:r w:rsidR="00EC37AB" w:rsidRPr="00720DA1">
        <w:rPr>
          <w:rFonts w:eastAsia="Times New Roman" w:cs="Times New Roman"/>
          <w:sz w:val="16"/>
          <w:szCs w:val="16"/>
        </w:rPr>
        <w:t xml:space="preserve">– The value has been </w:t>
      </w:r>
      <w:r w:rsidR="00ED0D2B" w:rsidRPr="00720DA1">
        <w:rPr>
          <w:rFonts w:eastAsia="Times New Roman" w:cs="Times New Roman"/>
          <w:sz w:val="16"/>
          <w:szCs w:val="16"/>
        </w:rPr>
        <w:t>exchanged from USD to EUR.</w:t>
      </w:r>
      <w:r w:rsidR="00EC37AB" w:rsidRPr="00720DA1">
        <w:rPr>
          <w:rFonts w:eastAsia="Times New Roman" w:cs="Times New Roman"/>
          <w:sz w:val="16"/>
          <w:szCs w:val="16"/>
        </w:rPr>
        <w:t xml:space="preserve"> </w:t>
      </w:r>
    </w:p>
  </w:footnote>
  <w:footnote w:id="151">
    <w:p w14:paraId="1ADD7B17"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The first list of EU strategic raw materials projects is expected to make a significant contribution to the EU’s demand for raw materials needed for the batteries supply chain. </w:t>
      </w:r>
    </w:p>
  </w:footnote>
  <w:footnote w:id="152">
    <w:p w14:paraId="3DC7F26E" w14:textId="77777777" w:rsidR="00285741" w:rsidRPr="002F0B22" w:rsidRDefault="00285741">
      <w:pPr>
        <w:pStyle w:val="FootnoteText"/>
        <w:rPr>
          <w:sz w:val="16"/>
          <w:szCs w:val="16"/>
          <w:lang w:val="it-IT"/>
        </w:rPr>
      </w:pPr>
      <w:r w:rsidRPr="00720DA1">
        <w:rPr>
          <w:rStyle w:val="FootnoteReference"/>
          <w:sz w:val="16"/>
          <w:szCs w:val="16"/>
        </w:rPr>
        <w:footnoteRef/>
      </w:r>
      <w:r w:rsidRPr="002F0B22">
        <w:rPr>
          <w:sz w:val="16"/>
          <w:szCs w:val="16"/>
          <w:lang w:val="it-IT"/>
        </w:rPr>
        <w:t xml:space="preserve"> </w:t>
      </w:r>
      <w:r w:rsidRPr="002F0B22">
        <w:rPr>
          <w:rFonts w:cs="Times New Roman"/>
          <w:sz w:val="16"/>
          <w:szCs w:val="16"/>
          <w:lang w:val="it-IT"/>
        </w:rPr>
        <w:t>European Commission internal calculation</w:t>
      </w:r>
    </w:p>
  </w:footnote>
  <w:footnote w:id="153">
    <w:p w14:paraId="3AAC2DF8" w14:textId="77777777" w:rsidR="00285741" w:rsidRPr="002F0B22" w:rsidRDefault="00285741">
      <w:pPr>
        <w:pStyle w:val="FootnoteText"/>
        <w:rPr>
          <w:sz w:val="16"/>
          <w:szCs w:val="16"/>
          <w:lang w:val="it-IT"/>
        </w:rPr>
      </w:pPr>
      <w:r w:rsidRPr="00720DA1">
        <w:rPr>
          <w:rStyle w:val="FootnoteReference"/>
          <w:sz w:val="16"/>
          <w:szCs w:val="16"/>
        </w:rPr>
        <w:footnoteRef/>
      </w:r>
      <w:r w:rsidRPr="002F0B22">
        <w:rPr>
          <w:sz w:val="16"/>
          <w:szCs w:val="16"/>
          <w:lang w:val="it-IT"/>
        </w:rPr>
        <w:t xml:space="preserve"> </w:t>
      </w:r>
      <w:r w:rsidRPr="002F0B22">
        <w:rPr>
          <w:rFonts w:cs="Times New Roman"/>
          <w:sz w:val="16"/>
          <w:szCs w:val="16"/>
          <w:lang w:val="it-IT"/>
        </w:rPr>
        <w:t>Statista.</w:t>
      </w:r>
    </w:p>
  </w:footnote>
  <w:footnote w:id="154">
    <w:p w14:paraId="7A6C4BEC" w14:textId="7DF215A2" w:rsidR="00285741" w:rsidRPr="00720DA1" w:rsidRDefault="00285741">
      <w:pPr>
        <w:pStyle w:val="FootnoteText"/>
        <w:rPr>
          <w:sz w:val="16"/>
          <w:szCs w:val="16"/>
        </w:rPr>
      </w:pPr>
      <w:r w:rsidRPr="00720DA1">
        <w:rPr>
          <w:rStyle w:val="FootnoteReference"/>
          <w:sz w:val="16"/>
          <w:szCs w:val="16"/>
        </w:rPr>
        <w:footnoteRef/>
      </w:r>
      <w:r w:rsidRPr="002F0B22">
        <w:rPr>
          <w:sz w:val="16"/>
          <w:szCs w:val="16"/>
          <w:lang w:val="it-IT"/>
        </w:rPr>
        <w:t xml:space="preserve"> </w:t>
      </w:r>
      <w:r w:rsidR="0026270D" w:rsidRPr="002F0B22">
        <w:rPr>
          <w:sz w:val="16"/>
          <w:szCs w:val="16"/>
          <w:lang w:val="it-IT"/>
        </w:rPr>
        <w:t>A</w:t>
      </w:r>
      <w:r w:rsidR="000A71A9" w:rsidRPr="002F0B22">
        <w:rPr>
          <w:sz w:val="16"/>
          <w:szCs w:val="16"/>
          <w:lang w:val="it-IT"/>
        </w:rPr>
        <w:t xml:space="preserve">CEA (2024). </w:t>
      </w:r>
      <w:hyperlink r:id="rId98" w:history="1">
        <w:r w:rsidRPr="00720DA1">
          <w:rPr>
            <w:rStyle w:val="Hyperlink"/>
            <w:rFonts w:cs="Times New Roman"/>
            <w:sz w:val="16"/>
            <w:szCs w:val="16"/>
          </w:rPr>
          <w:t>Electric cars: Tax benefits and incentives (2024)</w:t>
        </w:r>
      </w:hyperlink>
      <w:r w:rsidR="000A71A9" w:rsidRPr="00720DA1">
        <w:rPr>
          <w:rFonts w:cs="Times New Roman"/>
          <w:sz w:val="16"/>
          <w:szCs w:val="16"/>
        </w:rPr>
        <w:t>.</w:t>
      </w:r>
    </w:p>
  </w:footnote>
  <w:footnote w:id="155">
    <w:p w14:paraId="27A98BDB" w14:textId="345314A8"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European Battery Alliance</w:t>
      </w:r>
      <w:r w:rsidR="000A71A9" w:rsidRPr="00720DA1">
        <w:rPr>
          <w:rFonts w:cs="Times New Roman"/>
          <w:sz w:val="16"/>
          <w:szCs w:val="16"/>
        </w:rPr>
        <w:t>.</w:t>
      </w:r>
    </w:p>
  </w:footnote>
  <w:footnote w:id="156">
    <w:p w14:paraId="2E67126C" w14:textId="77777777"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eastAsia="Times New Roman" w:cs="Times New Roman"/>
          <w:sz w:val="16"/>
          <w:szCs w:val="16"/>
        </w:rPr>
        <w:t>See Annex 11 for projected EU supply chain developments as a consequence of NZIA implementation and IAA measures.</w:t>
      </w:r>
    </w:p>
  </w:footnote>
  <w:footnote w:id="157">
    <w:p w14:paraId="433A861C" w14:textId="0C0FC9EC" w:rsidR="00285741" w:rsidRPr="00720DA1" w:rsidRDefault="00285741">
      <w:pPr>
        <w:pStyle w:val="FootnoteText"/>
        <w:rPr>
          <w:sz w:val="16"/>
          <w:szCs w:val="16"/>
        </w:rPr>
      </w:pPr>
      <w:r w:rsidRPr="00720DA1">
        <w:rPr>
          <w:rStyle w:val="FootnoteReference"/>
          <w:sz w:val="16"/>
          <w:szCs w:val="16"/>
        </w:rPr>
        <w:footnoteRef/>
      </w:r>
      <w:r w:rsidR="00D538D4">
        <w:rPr>
          <w:sz w:val="16"/>
          <w:szCs w:val="16"/>
        </w:rPr>
        <w:t xml:space="preserve"> European Commission – internal analysis.</w:t>
      </w:r>
      <w:r w:rsidRPr="00720DA1">
        <w:rPr>
          <w:sz w:val="16"/>
          <w:szCs w:val="16"/>
        </w:rPr>
        <w:t xml:space="preserve"> </w:t>
      </w:r>
      <w:hyperlink r:id="rId99" w:history="1">
        <w:r w:rsidRPr="00720DA1">
          <w:rPr>
            <w:rStyle w:val="Hyperlink"/>
            <w:sz w:val="16"/>
            <w:szCs w:val="16"/>
          </w:rPr>
          <w:t>Summary - Net-Zero Technologies (NZT) Monitoring Dashboard - Power BI</w:t>
        </w:r>
      </w:hyperlink>
    </w:p>
  </w:footnote>
  <w:footnote w:id="158">
    <w:p w14:paraId="3737C7F3"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In the HDV segment, the impact is difficult to assess due to the unavailability of data and the limitations of the applied model when it comes to estimating the current share of EU content in this vehicle segment. For this reason, the same assumptions are taken as for the passenger cars for the sake of this Impact Assessment. Given that anecdotal evidence suggests a higher market share for EU vehicle component manufacturers, it is expected that the costs estimated for the HDV sector represent the higher bounds of potential impacts. </w:t>
      </w:r>
    </w:p>
  </w:footnote>
  <w:footnote w:id="159">
    <w:p w14:paraId="71FE7EB4"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As a single assessment report would be prepared.</w:t>
      </w:r>
    </w:p>
  </w:footnote>
  <w:footnote w:id="160">
    <w:p w14:paraId="4B4FBFE4"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 xml:space="preserve">A study on business procedures carried out to underpin the </w:t>
      </w:r>
      <w:hyperlink r:id="rId100" w:anchor="footnote189" w:history="1">
        <w:r w:rsidRPr="00720DA1">
          <w:rPr>
            <w:rStyle w:val="Hyperlink"/>
            <w:rFonts w:cs="Times New Roman"/>
            <w:sz w:val="16"/>
            <w:szCs w:val="16"/>
          </w:rPr>
          <w:t>Single Digital Gateway impact assessment</w:t>
        </w:r>
      </w:hyperlink>
      <w:r w:rsidRPr="00720DA1">
        <w:rPr>
          <w:rFonts w:cs="Times New Roman"/>
          <w:sz w:val="16"/>
          <w:szCs w:val="16"/>
        </w:rPr>
        <w:t xml:space="preserve"> concluded that for 9 procedures, the cost savings for all EU businesses - if e-procedures were introduced where missing - would be in the order of </w:t>
      </w:r>
    </w:p>
    <w:p w14:paraId="4D817B73" w14:textId="77777777" w:rsidR="00285741" w:rsidRPr="00720DA1" w:rsidRDefault="00285741" w:rsidP="00793CFD">
      <w:pPr>
        <w:pStyle w:val="FootnoteText"/>
        <w:rPr>
          <w:rFonts w:cs="Times New Roman"/>
          <w:sz w:val="16"/>
          <w:szCs w:val="16"/>
        </w:rPr>
      </w:pPr>
      <w:r w:rsidRPr="00720DA1">
        <w:rPr>
          <w:rFonts w:cs="Times New Roman"/>
          <w:sz w:val="16"/>
          <w:szCs w:val="16"/>
        </w:rPr>
        <w:t xml:space="preserve"> of EUR 6.5 billion. For more information on how the estimate of EUR 240 million was derived, see Annex 4.</w:t>
      </w:r>
    </w:p>
  </w:footnote>
  <w:footnote w:id="161">
    <w:p w14:paraId="7B69BAA6" w14:textId="77777777" w:rsidR="00285741" w:rsidRPr="00720DA1" w:rsidRDefault="00285741" w:rsidP="00793CFD">
      <w:pPr>
        <w:pStyle w:val="ListParagraph"/>
        <w:ind w:left="0"/>
        <w:contextualSpacing w:val="0"/>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eastAsiaTheme="minorEastAsia" w:cs="Times New Roman"/>
          <w:sz w:val="16"/>
          <w:szCs w:val="16"/>
        </w:rPr>
        <w:t xml:space="preserve">The Single Digital Gateway is a one-stop-shop for citizens and companies who want to work, study or do business in another EU country that provides (i) access to reliable information, (ii) online procedures and (iii) assistance services. By drastically reducing the administrative burden and improving the European business environment, it is key to the smooth functioning of the Single Market; </w:t>
      </w:r>
      <w:hyperlink r:id="rId101" w:history="1">
        <w:r w:rsidRPr="00720DA1">
          <w:rPr>
            <w:rStyle w:val="Hyperlink"/>
            <w:rFonts w:cs="Times New Roman"/>
            <w:sz w:val="16"/>
            <w:szCs w:val="16"/>
          </w:rPr>
          <w:t>Regulation (EU) 2018/1724 of the European Parliament and of the Council of 2 October 2018 establishing a single digital gateway to provide access to information, to procedures and to assistance and problem-solving services and amending Regulation (EU) No 1024/2012</w:t>
        </w:r>
      </w:hyperlink>
      <w:r w:rsidRPr="00720DA1">
        <w:rPr>
          <w:rFonts w:cs="Times New Roman"/>
          <w:sz w:val="16"/>
          <w:szCs w:val="16"/>
        </w:rPr>
        <w:t>.</w:t>
      </w:r>
    </w:p>
  </w:footnote>
  <w:footnote w:id="162">
    <w:p w14:paraId="222A6446" w14:textId="3D5ACEC8" w:rsidR="00285741" w:rsidRPr="00720DA1" w:rsidRDefault="00285741">
      <w:pPr>
        <w:pStyle w:val="FootnoteText"/>
        <w:rPr>
          <w:sz w:val="16"/>
          <w:szCs w:val="16"/>
        </w:rPr>
      </w:pPr>
      <w:r w:rsidRPr="00720DA1">
        <w:rPr>
          <w:rStyle w:val="FootnoteReference"/>
          <w:sz w:val="16"/>
          <w:szCs w:val="16"/>
        </w:rPr>
        <w:footnoteRef/>
      </w:r>
      <w:r w:rsidRPr="00720DA1">
        <w:rPr>
          <w:sz w:val="16"/>
          <w:szCs w:val="16"/>
          <w:vertAlign w:val="superscript"/>
        </w:rPr>
        <w:t xml:space="preserve"> </w:t>
      </w:r>
      <w:r w:rsidRPr="00720DA1">
        <w:rPr>
          <w:sz w:val="16"/>
          <w:szCs w:val="16"/>
        </w:rPr>
        <w:t>JRC</w:t>
      </w:r>
      <w:r w:rsidR="00B03FC9" w:rsidRPr="00720DA1">
        <w:rPr>
          <w:sz w:val="16"/>
          <w:szCs w:val="16"/>
        </w:rPr>
        <w:t xml:space="preserve"> (2024).</w:t>
      </w:r>
      <w:r w:rsidRPr="00720DA1">
        <w:rPr>
          <w:sz w:val="16"/>
          <w:szCs w:val="16"/>
        </w:rPr>
        <w:t xml:space="preserve"> </w:t>
      </w:r>
      <w:hyperlink r:id="rId102" w:history="1">
        <w:r w:rsidRPr="00720DA1">
          <w:rPr>
            <w:rStyle w:val="Hyperlink"/>
            <w:sz w:val="16"/>
            <w:szCs w:val="16"/>
          </w:rPr>
          <w:t>Draft preparatory study on iron and steel – ecodesign measures under the ESPR</w:t>
        </w:r>
      </w:hyperlink>
      <w:r w:rsidRPr="00720DA1">
        <w:rPr>
          <w:sz w:val="16"/>
          <w:szCs w:val="16"/>
        </w:rPr>
        <w:t>. See Annex 4 for more details.</w:t>
      </w:r>
    </w:p>
  </w:footnote>
  <w:footnote w:id="163">
    <w:p w14:paraId="545548E2" w14:textId="3A398478" w:rsidR="00CE3BD1" w:rsidRPr="00720DA1" w:rsidRDefault="00CE3BD1">
      <w:pPr>
        <w:pStyle w:val="FootnoteText"/>
        <w:rPr>
          <w:sz w:val="16"/>
          <w:szCs w:val="16"/>
          <w:lang w:val="en-IE"/>
        </w:rPr>
      </w:pPr>
      <w:r w:rsidRPr="00720DA1">
        <w:rPr>
          <w:rStyle w:val="FootnoteReference"/>
          <w:sz w:val="16"/>
          <w:szCs w:val="16"/>
        </w:rPr>
        <w:footnoteRef/>
      </w:r>
      <w:r w:rsidRPr="00720DA1">
        <w:rPr>
          <w:rStyle w:val="FootnoteReference"/>
          <w:sz w:val="16"/>
          <w:szCs w:val="16"/>
        </w:rPr>
        <w:t xml:space="preserve"> </w:t>
      </w:r>
      <w:r w:rsidR="005E4D1E" w:rsidRPr="00720DA1">
        <w:rPr>
          <w:rFonts w:eastAsia="Times New Roman" w:cs="Times New Roman"/>
          <w:sz w:val="16"/>
          <w:szCs w:val="16"/>
        </w:rPr>
        <w:t>T&amp;E</w:t>
      </w:r>
      <w:r w:rsidR="00B03FC9" w:rsidRPr="00720DA1">
        <w:rPr>
          <w:rFonts w:eastAsia="Times New Roman" w:cs="Times New Roman"/>
          <w:sz w:val="16"/>
          <w:szCs w:val="16"/>
        </w:rPr>
        <w:t xml:space="preserve"> (2025).</w:t>
      </w:r>
      <w:r w:rsidR="005E4D1E" w:rsidRPr="00720DA1">
        <w:rPr>
          <w:rFonts w:eastAsia="Times New Roman" w:cs="Times New Roman"/>
          <w:sz w:val="16"/>
          <w:szCs w:val="16"/>
        </w:rPr>
        <w:t xml:space="preserve"> </w:t>
      </w:r>
      <w:hyperlink r:id="rId103" w:history="1">
        <w:r w:rsidR="005E4D1E" w:rsidRPr="00720DA1">
          <w:rPr>
            <w:rStyle w:val="Hyperlink"/>
            <w:rFonts w:eastAsia="Times New Roman" w:cs="Times New Roman"/>
            <w:sz w:val="16"/>
            <w:szCs w:val="16"/>
          </w:rPr>
          <w:t>Reducing the carbon footprint of aluminium in cars: why and how?</w:t>
        </w:r>
      </w:hyperlink>
      <w:r w:rsidR="006E548B" w:rsidRPr="00720DA1">
        <w:rPr>
          <w:sz w:val="16"/>
          <w:szCs w:val="16"/>
        </w:rPr>
        <w:t>,</w:t>
      </w:r>
    </w:p>
  </w:footnote>
  <w:footnote w:id="164">
    <w:p w14:paraId="4F558F8B" w14:textId="624F8340"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JRC</w:t>
      </w:r>
      <w:r w:rsidR="00626CFD" w:rsidRPr="00720DA1">
        <w:rPr>
          <w:rFonts w:cs="Times New Roman"/>
          <w:sz w:val="16"/>
          <w:szCs w:val="16"/>
        </w:rPr>
        <w:t xml:space="preserve"> (2024).</w:t>
      </w:r>
      <w:r w:rsidRPr="00720DA1">
        <w:rPr>
          <w:rFonts w:cs="Times New Roman"/>
          <w:sz w:val="16"/>
          <w:szCs w:val="16"/>
        </w:rPr>
        <w:t xml:space="preserve"> </w:t>
      </w:r>
      <w:hyperlink r:id="rId104">
        <w:r w:rsidRPr="00720DA1">
          <w:rPr>
            <w:rStyle w:val="Hyperlink"/>
            <w:rFonts w:cs="Times New Roman"/>
            <w:sz w:val="16"/>
            <w:szCs w:val="16"/>
          </w:rPr>
          <w:t>Draft preparatory study on iron and steel – ecodesign measures under the ESPR</w:t>
        </w:r>
      </w:hyperlink>
      <w:r w:rsidRPr="00720DA1">
        <w:rPr>
          <w:rFonts w:cs="Times New Roman"/>
          <w:sz w:val="16"/>
          <w:szCs w:val="16"/>
        </w:rPr>
        <w:t>; Global Efficiency Intelligence, TransitionAsia and Solutions for Our Climate (SFOC)</w:t>
      </w:r>
      <w:r w:rsidR="004E7811" w:rsidRPr="00720DA1">
        <w:rPr>
          <w:rFonts w:cs="Times New Roman"/>
          <w:sz w:val="16"/>
          <w:szCs w:val="16"/>
        </w:rPr>
        <w:t xml:space="preserve"> (2024).</w:t>
      </w:r>
      <w:r w:rsidRPr="00720DA1">
        <w:rPr>
          <w:rFonts w:cs="Times New Roman"/>
          <w:sz w:val="16"/>
          <w:szCs w:val="16"/>
        </w:rPr>
        <w:t xml:space="preserve"> </w:t>
      </w:r>
      <w:hyperlink r:id="rId105">
        <w:r w:rsidRPr="00720DA1">
          <w:rPr>
            <w:rStyle w:val="Hyperlink"/>
            <w:rFonts w:cs="Times New Roman"/>
            <w:sz w:val="16"/>
            <w:szCs w:val="16"/>
          </w:rPr>
          <w:t>Green Steel Economics</w:t>
        </w:r>
      </w:hyperlink>
      <w:r w:rsidRPr="00720DA1">
        <w:rPr>
          <w:rFonts w:cs="Times New Roman"/>
          <w:sz w:val="16"/>
          <w:szCs w:val="16"/>
        </w:rPr>
        <w:t xml:space="preserve">. </w:t>
      </w:r>
    </w:p>
  </w:footnote>
  <w:footnote w:id="165">
    <w:p w14:paraId="10CF8EFF" w14:textId="1FA71A2E" w:rsidR="00092ECC" w:rsidRPr="00720DA1" w:rsidRDefault="00092ECC">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rFonts w:eastAsia="Times New Roman" w:cs="Times New Roman"/>
          <w:sz w:val="16"/>
          <w:szCs w:val="16"/>
        </w:rPr>
        <w:t>T&amp;E</w:t>
      </w:r>
      <w:r w:rsidR="004E7811" w:rsidRPr="00720DA1">
        <w:rPr>
          <w:rFonts w:eastAsia="Times New Roman" w:cs="Times New Roman"/>
          <w:sz w:val="16"/>
          <w:szCs w:val="16"/>
        </w:rPr>
        <w:t xml:space="preserve"> (2025).</w:t>
      </w:r>
      <w:r w:rsidRPr="00720DA1">
        <w:rPr>
          <w:rFonts w:eastAsia="Times New Roman" w:cs="Times New Roman"/>
          <w:sz w:val="16"/>
          <w:szCs w:val="16"/>
        </w:rPr>
        <w:t xml:space="preserve"> </w:t>
      </w:r>
      <w:hyperlink r:id="rId106" w:history="1">
        <w:r w:rsidR="00AA1D9B">
          <w:rPr>
            <w:rStyle w:val="Hyperlink"/>
            <w:rFonts w:eastAsia="Times New Roman" w:cs="Times New Roman"/>
            <w:sz w:val="16"/>
            <w:szCs w:val="16"/>
          </w:rPr>
          <w:t>Reducing the carbon footprint of aluminium in cars: why and how</w:t>
        </w:r>
      </w:hyperlink>
      <w:r w:rsidR="00AA1D9B">
        <w:rPr>
          <w:sz w:val="16"/>
          <w:szCs w:val="16"/>
        </w:rPr>
        <w:t>.</w:t>
      </w:r>
    </w:p>
  </w:footnote>
  <w:footnote w:id="166">
    <w:p w14:paraId="48AC068A" w14:textId="12F3496C" w:rsidR="00502B97" w:rsidRPr="00720DA1" w:rsidRDefault="00285741" w:rsidP="00793CFD">
      <w:pPr>
        <w:pStyle w:val="FootnoteText"/>
        <w:rPr>
          <w:rFonts w:eastAsia="Times New Roman"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eastAsia="Times New Roman" w:cs="Times New Roman"/>
          <w:sz w:val="16"/>
          <w:szCs w:val="16"/>
        </w:rPr>
        <w:t>Agora Industry</w:t>
      </w:r>
      <w:r w:rsidR="00C36841" w:rsidRPr="00720DA1">
        <w:rPr>
          <w:rFonts w:eastAsia="Times New Roman" w:cs="Times New Roman"/>
          <w:sz w:val="16"/>
          <w:szCs w:val="16"/>
        </w:rPr>
        <w:t xml:space="preserve"> (2024).</w:t>
      </w:r>
      <w:r w:rsidRPr="00720DA1">
        <w:rPr>
          <w:rFonts w:eastAsia="Times New Roman" w:cs="Times New Roman"/>
          <w:sz w:val="16"/>
          <w:szCs w:val="16"/>
        </w:rPr>
        <w:t xml:space="preserve"> </w:t>
      </w:r>
      <w:hyperlink r:id="rId107">
        <w:r w:rsidRPr="00720DA1">
          <w:rPr>
            <w:rStyle w:val="Hyperlink"/>
            <w:rFonts w:eastAsia="Times New Roman" w:cs="Times New Roman"/>
            <w:color w:val="467886"/>
            <w:sz w:val="16"/>
            <w:szCs w:val="16"/>
          </w:rPr>
          <w:t>Creating markets for climate-friendly basic materials. Potentials and policy options</w:t>
        </w:r>
      </w:hyperlink>
      <w:r w:rsidRPr="00720DA1">
        <w:rPr>
          <w:rFonts w:eastAsia="Times New Roman" w:cs="Times New Roman"/>
          <w:sz w:val="16"/>
          <w:szCs w:val="16"/>
        </w:rPr>
        <w:t>, p. 13</w:t>
      </w:r>
      <w:r w:rsidR="00502B97" w:rsidRPr="00720DA1">
        <w:rPr>
          <w:rFonts w:eastAsia="Times New Roman" w:cs="Times New Roman"/>
          <w:sz w:val="16"/>
          <w:szCs w:val="16"/>
        </w:rPr>
        <w:t>.</w:t>
      </w:r>
      <w:r w:rsidRPr="00720DA1">
        <w:rPr>
          <w:rFonts w:eastAsia="Times New Roman" w:cs="Times New Roman"/>
          <w:sz w:val="16"/>
          <w:szCs w:val="16"/>
        </w:rPr>
        <w:t xml:space="preserve"> </w:t>
      </w:r>
    </w:p>
    <w:p w14:paraId="2070B797" w14:textId="357727A2" w:rsidR="00285741" w:rsidRPr="00720DA1" w:rsidRDefault="00C36841" w:rsidP="00793CFD">
      <w:pPr>
        <w:pStyle w:val="FootnoteText"/>
        <w:rPr>
          <w:rFonts w:cs="Times New Roman"/>
          <w:sz w:val="16"/>
          <w:szCs w:val="16"/>
        </w:rPr>
      </w:pPr>
      <w:r w:rsidRPr="00720DA1">
        <w:rPr>
          <w:rFonts w:eastAsia="Times New Roman" w:cs="Times New Roman"/>
          <w:sz w:val="16"/>
          <w:szCs w:val="16"/>
        </w:rPr>
        <w:t>Bellona Foundation (2018).</w:t>
      </w:r>
      <w:r w:rsidR="00285741" w:rsidRPr="00720DA1">
        <w:rPr>
          <w:rFonts w:eastAsia="Times New Roman" w:cs="Times New Roman"/>
          <w:sz w:val="16"/>
          <w:szCs w:val="16"/>
        </w:rPr>
        <w:t xml:space="preserve"> </w:t>
      </w:r>
      <w:hyperlink r:id="rId108">
        <w:r w:rsidR="00285741" w:rsidRPr="00720DA1">
          <w:rPr>
            <w:rStyle w:val="Hyperlink"/>
            <w:rFonts w:eastAsia="Times New Roman" w:cs="Times New Roman"/>
            <w:sz w:val="16"/>
            <w:szCs w:val="16"/>
          </w:rPr>
          <w:t>Building with Low Carbon Cement is Affordable</w:t>
        </w:r>
      </w:hyperlink>
      <w:r w:rsidR="00285741" w:rsidRPr="00720DA1">
        <w:rPr>
          <w:rFonts w:eastAsia="Times New Roman" w:cs="Times New Roman"/>
          <w:sz w:val="16"/>
          <w:szCs w:val="16"/>
        </w:rPr>
        <w:t>, ,.</w:t>
      </w:r>
    </w:p>
  </w:footnote>
  <w:footnote w:id="167">
    <w:p w14:paraId="1F3FEB82" w14:textId="77777777" w:rsidR="00285741" w:rsidRPr="00720DA1" w:rsidRDefault="00285741" w:rsidP="00793CFD">
      <w:pPr>
        <w:rPr>
          <w:rFonts w:cs="Times New Roman"/>
          <w:sz w:val="16"/>
          <w:szCs w:val="16"/>
        </w:rPr>
      </w:pPr>
      <w:r w:rsidRPr="00720DA1">
        <w:rPr>
          <w:rFonts w:eastAsia="Times New Roman" w:cs="Times New Roman"/>
          <w:sz w:val="16"/>
          <w:szCs w:val="16"/>
          <w:vertAlign w:val="superscript"/>
        </w:rPr>
        <w:footnoteRef/>
      </w:r>
      <w:r w:rsidRPr="00720DA1">
        <w:rPr>
          <w:rFonts w:eastAsia="Times New Roman" w:cs="Times New Roman"/>
          <w:sz w:val="16"/>
          <w:szCs w:val="16"/>
          <w:vertAlign w:val="superscript"/>
        </w:rPr>
        <w:t xml:space="preserve"> </w:t>
      </w:r>
      <w:r w:rsidRPr="00720DA1">
        <w:rPr>
          <w:rFonts w:eastAsia="Times New Roman" w:cs="Times New Roman"/>
          <w:sz w:val="16"/>
          <w:szCs w:val="16"/>
        </w:rPr>
        <w:t>Respondents include companies from the steel value chain, trade association and think tanks</w:t>
      </w:r>
    </w:p>
  </w:footnote>
  <w:footnote w:id="168">
    <w:p w14:paraId="0C772F6B" w14:textId="02CBA7D5" w:rsidR="009C1004" w:rsidRPr="00720DA1" w:rsidRDefault="009C1004" w:rsidP="009C1004">
      <w:pPr>
        <w:pStyle w:val="FootnoteText"/>
        <w:rPr>
          <w:sz w:val="16"/>
          <w:szCs w:val="16"/>
          <w:lang w:val="en-IE"/>
        </w:rPr>
      </w:pPr>
      <w:r w:rsidRPr="009F014C">
        <w:rPr>
          <w:rStyle w:val="FootnoteReference"/>
          <w:sz w:val="16"/>
          <w:szCs w:val="16"/>
        </w:rPr>
        <w:footnoteRef/>
      </w:r>
      <w:r w:rsidRPr="009F014C">
        <w:rPr>
          <w:sz w:val="16"/>
          <w:szCs w:val="16"/>
        </w:rPr>
        <w:t xml:space="preserve"> </w:t>
      </w:r>
      <w:r w:rsidR="009F014C" w:rsidRPr="009F014C">
        <w:rPr>
          <w:sz w:val="16"/>
          <w:szCs w:val="16"/>
        </w:rPr>
        <w:t>COMMISSION IMPLEMENTING DECISION of 28.7.2025 on a standardisation request to the European Committee for Standardisation as regards cement, lime and other hydraulic binders in support of Regulation (EU) 2024/3110 of the European Parliament and of the Council</w:t>
      </w:r>
      <w:r w:rsidRPr="009F014C">
        <w:rPr>
          <w:sz w:val="16"/>
          <w:szCs w:val="16"/>
        </w:rPr>
        <w:t>.</w:t>
      </w:r>
    </w:p>
  </w:footnote>
  <w:footnote w:id="169">
    <w:p w14:paraId="723A90EC" w14:textId="6C0B439E" w:rsidR="00285741" w:rsidRPr="009C504E" w:rsidRDefault="00285741" w:rsidP="001D0436">
      <w:pPr>
        <w:pStyle w:val="FootnoteText"/>
        <w:jc w:val="left"/>
        <w:rPr>
          <w:rFonts w:eastAsia="Times New Roman" w:cs="Times New Roman"/>
          <w:sz w:val="16"/>
          <w:szCs w:val="16"/>
          <w:lang w:val="en-IE"/>
        </w:rPr>
      </w:pPr>
      <w:r w:rsidRPr="00720DA1">
        <w:rPr>
          <w:rStyle w:val="FootnoteReference"/>
          <w:sz w:val="16"/>
          <w:szCs w:val="16"/>
        </w:rPr>
        <w:footnoteRef/>
      </w:r>
      <w:r w:rsidR="009C504E" w:rsidRPr="00AE4107">
        <w:rPr>
          <w:rFonts w:eastAsia="Times New Roman" w:cs="Times New Roman"/>
          <w:sz w:val="16"/>
          <w:szCs w:val="16"/>
          <w:lang w:val="fr-BE"/>
        </w:rPr>
        <w:t xml:space="preserve"> </w:t>
      </w:r>
      <w:r w:rsidR="009C504E" w:rsidRPr="00AE4107">
        <w:rPr>
          <w:rFonts w:cs="Times New Roman"/>
          <w:sz w:val="16"/>
          <w:szCs w:val="16"/>
          <w:lang w:val="fr-BE"/>
        </w:rPr>
        <w:t xml:space="preserve">Ericher, M. et al. </w:t>
      </w:r>
      <w:r w:rsidR="009C504E" w:rsidRPr="0007039C">
        <w:rPr>
          <w:rFonts w:cs="Times New Roman"/>
          <w:sz w:val="16"/>
          <w:szCs w:val="16"/>
          <w:lang w:val="fr-BE"/>
        </w:rPr>
        <w:t xml:space="preserve">(2024). </w:t>
      </w:r>
      <w:hyperlink r:id="rId109" w:history="1">
        <w:r w:rsidR="009C504E" w:rsidRPr="00F469CA">
          <w:rPr>
            <w:rStyle w:val="Hyperlink"/>
            <w:rFonts w:cs="Times New Roman"/>
            <w:sz w:val="16"/>
            <w:szCs w:val="16"/>
            <w:lang w:val="fr-FR"/>
          </w:rPr>
          <w:t xml:space="preserve">Les Themas de la DG. </w:t>
        </w:r>
        <w:r w:rsidR="009C504E" w:rsidRPr="0007039C">
          <w:rPr>
            <w:rStyle w:val="Hyperlink"/>
            <w:rFonts w:cs="Times New Roman"/>
            <w:sz w:val="16"/>
            <w:szCs w:val="16"/>
            <w:lang w:val="en-US"/>
          </w:rPr>
          <w:t>Deployment of electromobility: How to develop the European battery supply</w:t>
        </w:r>
      </w:hyperlink>
      <w:r w:rsidR="009C504E" w:rsidRPr="0007039C">
        <w:rPr>
          <w:sz w:val="16"/>
          <w:szCs w:val="16"/>
        </w:rPr>
        <w:t>.</w:t>
      </w:r>
    </w:p>
  </w:footnote>
  <w:footnote w:id="170">
    <w:p w14:paraId="4BD69E80" w14:textId="73472D98"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eastAsia="Times New Roman" w:cs="Times New Roman"/>
          <w:sz w:val="16"/>
          <w:szCs w:val="16"/>
        </w:rPr>
        <w:t>Bruegel Clean Tech Tracker and Eurostat</w:t>
      </w:r>
      <w:r w:rsidR="00D306F4" w:rsidRPr="00720DA1">
        <w:rPr>
          <w:rFonts w:eastAsia="Times New Roman" w:cs="Times New Roman"/>
          <w:sz w:val="16"/>
          <w:szCs w:val="16"/>
        </w:rPr>
        <w:t>.</w:t>
      </w:r>
    </w:p>
  </w:footnote>
  <w:footnote w:id="171">
    <w:p w14:paraId="038B7C94" w14:textId="4192D139"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D306F4" w:rsidRPr="00720DA1">
        <w:rPr>
          <w:sz w:val="16"/>
          <w:szCs w:val="16"/>
        </w:rPr>
        <w:t xml:space="preserve">European Alternative Fuels Observatory. </w:t>
      </w:r>
      <w:hyperlink r:id="rId110" w:history="1">
        <w:r w:rsidRPr="00720DA1">
          <w:rPr>
            <w:rFonts w:cs="Times New Roman"/>
            <w:sz w:val="16"/>
            <w:szCs w:val="16"/>
          </w:rPr>
          <w:t>Electric vehicle model statistics</w:t>
        </w:r>
        <w:r w:rsidR="00D306F4" w:rsidRPr="00720DA1">
          <w:rPr>
            <w:rFonts w:cs="Times New Roman"/>
            <w:sz w:val="16"/>
            <w:szCs w:val="16"/>
          </w:rPr>
          <w:t>.</w:t>
        </w:r>
      </w:hyperlink>
    </w:p>
  </w:footnote>
  <w:footnote w:id="172">
    <w:p w14:paraId="1936F8B5" w14:textId="7012A55B"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AC0320" w:rsidRPr="00720DA1">
        <w:rPr>
          <w:rFonts w:cs="Times New Roman"/>
          <w:sz w:val="16"/>
          <w:szCs w:val="16"/>
        </w:rPr>
        <w:t>BloombergNEF</w:t>
      </w:r>
      <w:r w:rsidR="00CC2C38" w:rsidRPr="00720DA1">
        <w:rPr>
          <w:rFonts w:cs="Times New Roman"/>
          <w:sz w:val="16"/>
          <w:szCs w:val="16"/>
        </w:rPr>
        <w:t xml:space="preserve"> (2024)</w:t>
      </w:r>
      <w:r w:rsidR="00AC0320" w:rsidRPr="00720DA1">
        <w:rPr>
          <w:rFonts w:cs="Times New Roman"/>
          <w:sz w:val="16"/>
          <w:szCs w:val="16"/>
        </w:rPr>
        <w:t>.</w:t>
      </w:r>
      <w:r w:rsidRPr="00720DA1">
        <w:rPr>
          <w:sz w:val="16"/>
          <w:szCs w:val="16"/>
        </w:rPr>
        <w:t xml:space="preserve"> </w:t>
      </w:r>
      <w:r w:rsidRPr="00720DA1">
        <w:rPr>
          <w:rFonts w:cs="Times New Roman"/>
          <w:sz w:val="16"/>
          <w:szCs w:val="16"/>
        </w:rPr>
        <w:t>2024 Lithium-ion Battery Price Survey</w:t>
      </w:r>
      <w:r w:rsidR="00CC2C38" w:rsidRPr="00720DA1">
        <w:rPr>
          <w:rFonts w:cs="Times New Roman"/>
          <w:sz w:val="16"/>
          <w:szCs w:val="16"/>
        </w:rPr>
        <w:t>.</w:t>
      </w:r>
      <w:r w:rsidRPr="00720DA1">
        <w:rPr>
          <w:rFonts w:cs="Times New Roman"/>
          <w:sz w:val="16"/>
          <w:szCs w:val="16"/>
        </w:rPr>
        <w:t xml:space="preserve"> </w:t>
      </w:r>
    </w:p>
  </w:footnote>
  <w:footnote w:id="173">
    <w:p w14:paraId="6CF00168" w14:textId="165E76BE"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CC2C38" w:rsidRPr="00720DA1">
        <w:rPr>
          <w:rFonts w:cs="Times New Roman"/>
          <w:sz w:val="16"/>
          <w:szCs w:val="16"/>
        </w:rPr>
        <w:t>BloombergNEF (2024).</w:t>
      </w:r>
      <w:r w:rsidRPr="00720DA1">
        <w:rPr>
          <w:sz w:val="16"/>
          <w:szCs w:val="16"/>
        </w:rPr>
        <w:t xml:space="preserve"> </w:t>
      </w:r>
      <w:r w:rsidRPr="00720DA1">
        <w:rPr>
          <w:rFonts w:cs="Times New Roman"/>
          <w:sz w:val="16"/>
          <w:szCs w:val="16"/>
        </w:rPr>
        <w:t>2024 Lithium-ion Battery Price Survey</w:t>
      </w:r>
      <w:r w:rsidR="00CC2C38" w:rsidRPr="00720DA1">
        <w:rPr>
          <w:rFonts w:cs="Times New Roman"/>
          <w:sz w:val="16"/>
          <w:szCs w:val="16"/>
        </w:rPr>
        <w:t>.</w:t>
      </w:r>
    </w:p>
  </w:footnote>
  <w:footnote w:id="174">
    <w:p w14:paraId="4E72E1D3" w14:textId="5BE672E8"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Bruegel</w:t>
      </w:r>
      <w:r w:rsidR="001D7F2A" w:rsidRPr="00720DA1">
        <w:rPr>
          <w:rFonts w:cs="Times New Roman"/>
          <w:sz w:val="16"/>
          <w:szCs w:val="16"/>
        </w:rPr>
        <w:t xml:space="preserve"> (2024)</w:t>
      </w:r>
      <w:r w:rsidRPr="00720DA1">
        <w:rPr>
          <w:rFonts w:cs="Times New Roman"/>
          <w:sz w:val="16"/>
          <w:szCs w:val="16"/>
        </w:rPr>
        <w:t xml:space="preserve">, </w:t>
      </w:r>
      <w:hyperlink r:id="rId111" w:history="1">
        <w:r w:rsidRPr="00720DA1">
          <w:rPr>
            <w:rStyle w:val="Hyperlink"/>
            <w:rFonts w:cs="Times New Roman"/>
            <w:sz w:val="16"/>
            <w:szCs w:val="16"/>
          </w:rPr>
          <w:t>Smarter European Union industrial policy for solar panels</w:t>
        </w:r>
      </w:hyperlink>
      <w:r w:rsidRPr="00720DA1">
        <w:rPr>
          <w:rFonts w:cs="Times New Roman"/>
          <w:sz w:val="16"/>
          <w:szCs w:val="16"/>
        </w:rPr>
        <w:t>, Policy Brief , 08 February 2024.</w:t>
      </w:r>
    </w:p>
  </w:footnote>
  <w:footnote w:id="175">
    <w:p w14:paraId="284E3CFC" w14:textId="32D3274B"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F40F5B" w:rsidRPr="00720DA1">
        <w:rPr>
          <w:sz w:val="16"/>
          <w:szCs w:val="16"/>
        </w:rPr>
        <w:t xml:space="preserve">SolarPower Europe (2025). </w:t>
      </w:r>
      <w:hyperlink r:id="rId112" w:history="1">
        <w:r w:rsidRPr="00720DA1">
          <w:rPr>
            <w:rStyle w:val="Hyperlink"/>
            <w:sz w:val="16"/>
            <w:szCs w:val="16"/>
          </w:rPr>
          <w:t>New study reveals path to reshore solar manufacturing in Europe</w:t>
        </w:r>
        <w:r w:rsidR="00F40F5B" w:rsidRPr="00720DA1">
          <w:rPr>
            <w:rStyle w:val="Hyperlink"/>
            <w:sz w:val="16"/>
            <w:szCs w:val="16"/>
          </w:rPr>
          <w:t>.</w:t>
        </w:r>
      </w:hyperlink>
    </w:p>
  </w:footnote>
  <w:footnote w:id="176">
    <w:p w14:paraId="5C866783"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As currently Tier 1 Chinese manufacturers suffer vast annual losses in 2024 and 2025: </w:t>
      </w:r>
      <w:hyperlink r:id="rId113" w:anchor=":~:text=Longi%2C%20JinkoSolar%2C%20JA%20Solar%20and%20Trina%20Solar%20have,strong%20shipments%20of%20high-efficiency%20modules%20and%20storage%20systems." w:history="1">
        <w:r w:rsidRPr="00720DA1">
          <w:rPr>
            <w:rStyle w:val="Hyperlink"/>
            <w:sz w:val="16"/>
            <w:szCs w:val="16"/>
          </w:rPr>
          <w:t>Chinese PV Industry Brief: Top solar module makers report H1 losses – pv magazine International</w:t>
        </w:r>
      </w:hyperlink>
    </w:p>
  </w:footnote>
  <w:footnote w:id="177">
    <w:p w14:paraId="2B3DEFDF" w14:textId="69972922" w:rsidR="00285741" w:rsidRPr="00720DA1" w:rsidRDefault="00285741">
      <w:pPr>
        <w:pStyle w:val="FootnoteText"/>
        <w:rPr>
          <w:sz w:val="16"/>
          <w:szCs w:val="16"/>
        </w:rPr>
      </w:pPr>
      <w:r w:rsidRPr="00720DA1">
        <w:rPr>
          <w:rStyle w:val="FootnoteReference"/>
          <w:sz w:val="16"/>
          <w:szCs w:val="16"/>
        </w:rPr>
        <w:footnoteRef/>
      </w:r>
      <w:r w:rsidR="006B1259" w:rsidRPr="00720DA1">
        <w:rPr>
          <w:sz w:val="16"/>
          <w:szCs w:val="16"/>
        </w:rPr>
        <w:t xml:space="preserve"> SolarPower Europe (2025).</w:t>
      </w:r>
      <w:r w:rsidRPr="00720DA1">
        <w:rPr>
          <w:sz w:val="16"/>
          <w:szCs w:val="16"/>
        </w:rPr>
        <w:t xml:space="preserve"> </w:t>
      </w:r>
      <w:hyperlink r:id="rId114" w:history="1">
        <w:r w:rsidRPr="00720DA1">
          <w:rPr>
            <w:rStyle w:val="Hyperlink"/>
            <w:sz w:val="16"/>
            <w:szCs w:val="16"/>
          </w:rPr>
          <w:t>Reshoring Solar Manufacturing to Europe</w:t>
        </w:r>
        <w:r w:rsidR="006B1259" w:rsidRPr="00720DA1">
          <w:rPr>
            <w:rStyle w:val="Hyperlink"/>
            <w:sz w:val="16"/>
            <w:szCs w:val="16"/>
          </w:rPr>
          <w:t>.</w:t>
        </w:r>
      </w:hyperlink>
    </w:p>
  </w:footnote>
  <w:footnote w:id="178">
    <w:p w14:paraId="62351309"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Ibid.</w:t>
      </w:r>
    </w:p>
  </w:footnote>
  <w:footnote w:id="179">
    <w:p w14:paraId="5547CD77" w14:textId="7FAA0FEE" w:rsidR="00285741" w:rsidRPr="00720DA1" w:rsidRDefault="00285741" w:rsidP="00793CFD">
      <w:pPr>
        <w:pStyle w:val="FootnoteText"/>
        <w:rPr>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B1259" w:rsidRPr="00720DA1">
        <w:rPr>
          <w:sz w:val="16"/>
          <w:szCs w:val="16"/>
        </w:rPr>
        <w:t>SolarPower Europe (2025).</w:t>
      </w:r>
      <w:r w:rsidRPr="00720DA1">
        <w:rPr>
          <w:rFonts w:cs="Times New Roman"/>
          <w:sz w:val="16"/>
          <w:szCs w:val="16"/>
        </w:rPr>
        <w:t xml:space="preserve"> </w:t>
      </w:r>
      <w:hyperlink r:id="rId115" w:history="1">
        <w:r w:rsidRPr="00720DA1">
          <w:rPr>
            <w:rStyle w:val="Hyperlink"/>
            <w:rFonts w:cs="Times New Roman"/>
            <w:sz w:val="16"/>
            <w:szCs w:val="16"/>
          </w:rPr>
          <w:t>Global Market Outlook for Solar Power 2025-2029</w:t>
        </w:r>
      </w:hyperlink>
      <w:r w:rsidR="008A70A6">
        <w:t>.</w:t>
      </w:r>
    </w:p>
  </w:footnote>
  <w:footnote w:id="180">
    <w:p w14:paraId="7D35B43B" w14:textId="46B868F1" w:rsidR="002245F0" w:rsidRPr="00720DA1" w:rsidRDefault="00016E55">
      <w:pPr>
        <w:pStyle w:val="FootnoteText"/>
        <w:rPr>
          <w:sz w:val="16"/>
          <w:szCs w:val="16"/>
          <w:lang w:val="en-IE"/>
        </w:rPr>
      </w:pPr>
      <w:r w:rsidRPr="00720DA1">
        <w:rPr>
          <w:rStyle w:val="FootnoteReference"/>
          <w:sz w:val="16"/>
          <w:szCs w:val="16"/>
        </w:rPr>
        <w:footnoteRef/>
      </w:r>
      <w:r w:rsidRPr="00720DA1">
        <w:rPr>
          <w:rFonts w:cs="Times New Roman"/>
          <w:sz w:val="16"/>
          <w:szCs w:val="16"/>
        </w:rPr>
        <w:t xml:space="preserve"> </w:t>
      </w:r>
      <w:r w:rsidR="00976743" w:rsidRPr="00720DA1">
        <w:rPr>
          <w:rFonts w:cs="Times New Roman"/>
          <w:sz w:val="16"/>
          <w:szCs w:val="16"/>
        </w:rPr>
        <w:t>Eurosta</w:t>
      </w:r>
      <w:r w:rsidR="00D5008B">
        <w:rPr>
          <w:rFonts w:cs="Times New Roman"/>
          <w:sz w:val="16"/>
          <w:szCs w:val="16"/>
        </w:rPr>
        <w:t>t</w:t>
      </w:r>
      <w:r w:rsidR="008F0770">
        <w:rPr>
          <w:rFonts w:cs="Times New Roman"/>
          <w:sz w:val="16"/>
          <w:szCs w:val="16"/>
        </w:rPr>
        <w:t xml:space="preserve"> (2025).</w:t>
      </w:r>
      <w:r w:rsidR="00976743" w:rsidRPr="00720DA1">
        <w:rPr>
          <w:rFonts w:cs="Times New Roman"/>
          <w:sz w:val="16"/>
          <w:szCs w:val="16"/>
        </w:rPr>
        <w:t xml:space="preserve"> </w:t>
      </w:r>
      <w:hyperlink r:id="rId116" w:history="1">
        <w:r w:rsidR="008F0770">
          <w:rPr>
            <w:rStyle w:val="Hyperlink"/>
            <w:rFonts w:cs="Times New Roman"/>
            <w:sz w:val="16"/>
            <w:szCs w:val="16"/>
          </w:rPr>
          <w:t>Solar: main source of EU electricity in June with 22%</w:t>
        </w:r>
      </w:hyperlink>
      <w:r w:rsidR="008F0770">
        <w:t>.</w:t>
      </w:r>
    </w:p>
  </w:footnote>
  <w:footnote w:id="181">
    <w:p w14:paraId="3C243257" w14:textId="7AA21900" w:rsidR="0096318D" w:rsidRPr="00720DA1" w:rsidRDefault="0096318D">
      <w:pPr>
        <w:pStyle w:val="FootnoteText"/>
        <w:rPr>
          <w:sz w:val="16"/>
          <w:szCs w:val="16"/>
          <w:lang w:val="de-DE"/>
        </w:rPr>
      </w:pPr>
      <w:r w:rsidRPr="00720DA1">
        <w:rPr>
          <w:rStyle w:val="FootnoteReference"/>
          <w:sz w:val="16"/>
          <w:szCs w:val="16"/>
        </w:rPr>
        <w:footnoteRef/>
      </w:r>
      <w:r w:rsidRPr="00720DA1">
        <w:rPr>
          <w:sz w:val="16"/>
          <w:szCs w:val="16"/>
          <w:lang w:val="de-DE"/>
        </w:rPr>
        <w:t xml:space="preserve"> </w:t>
      </w:r>
      <w:r w:rsidR="00787F36" w:rsidRPr="00787F36">
        <w:rPr>
          <w:sz w:val="16"/>
          <w:szCs w:val="16"/>
          <w:lang w:val="de-DE"/>
        </w:rPr>
        <w:t>The Federal Ministry for Economic Affairs and Energy (Bundesministerium für Wirtschaft und Energie</w:t>
      </w:r>
      <w:r w:rsidR="00787F36">
        <w:rPr>
          <w:sz w:val="16"/>
          <w:szCs w:val="16"/>
          <w:lang w:val="de-DE"/>
        </w:rPr>
        <w:t xml:space="preserve">) </w:t>
      </w:r>
      <w:r w:rsidR="007E091F">
        <w:rPr>
          <w:sz w:val="16"/>
          <w:szCs w:val="16"/>
          <w:lang w:val="de-DE"/>
        </w:rPr>
        <w:t xml:space="preserve">webpage </w:t>
      </w:r>
      <w:r w:rsidR="006C493E">
        <w:rPr>
          <w:sz w:val="16"/>
          <w:szCs w:val="16"/>
          <w:lang w:val="de-DE"/>
        </w:rPr>
        <w:t>(2017).</w:t>
      </w:r>
      <w:r w:rsidR="007E091F">
        <w:rPr>
          <w:sz w:val="16"/>
          <w:szCs w:val="16"/>
          <w:lang w:val="de-DE"/>
        </w:rPr>
        <w:t xml:space="preserve"> </w:t>
      </w:r>
      <w:hyperlink r:id="rId117" w:history="1">
        <w:r w:rsidR="007E091F" w:rsidRPr="00E13CBB">
          <w:rPr>
            <w:rStyle w:val="Hyperlink"/>
            <w:sz w:val="16"/>
            <w:szCs w:val="16"/>
            <w:lang w:val="de-DE"/>
          </w:rPr>
          <w:t>Fragen und Antworten zum Erneuerbare-Energien-Gesetz 2017</w:t>
        </w:r>
      </w:hyperlink>
      <w:r w:rsidR="00D5008B" w:rsidRPr="0008146F">
        <w:rPr>
          <w:lang w:val="de-DE"/>
        </w:rPr>
        <w:t>.</w:t>
      </w:r>
    </w:p>
  </w:footnote>
  <w:footnote w:id="182">
    <w:p w14:paraId="61E578F5" w14:textId="29D269FA"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B82128">
        <w:rPr>
          <w:rFonts w:cs="Times New Roman"/>
          <w:sz w:val="16"/>
          <w:szCs w:val="16"/>
          <w:lang w:val="da-DK"/>
        </w:rPr>
        <w:t xml:space="preserve"> ERM</w:t>
      </w:r>
      <w:r w:rsidR="00B82128">
        <w:rPr>
          <w:rFonts w:cs="Times New Roman"/>
          <w:sz w:val="16"/>
          <w:szCs w:val="16"/>
          <w:lang w:val="da-DK"/>
        </w:rPr>
        <w:t>,</w:t>
      </w:r>
      <w:r w:rsidRPr="00B82128">
        <w:rPr>
          <w:rFonts w:cs="Times New Roman"/>
          <w:sz w:val="16"/>
          <w:szCs w:val="16"/>
          <w:lang w:val="da-DK"/>
        </w:rPr>
        <w:t xml:space="preserve"> T&amp;E</w:t>
      </w:r>
      <w:r w:rsidR="00B82128">
        <w:rPr>
          <w:rFonts w:cs="Times New Roman"/>
          <w:sz w:val="16"/>
          <w:szCs w:val="16"/>
          <w:lang w:val="da-DK"/>
        </w:rPr>
        <w:t xml:space="preserve"> </w:t>
      </w:r>
      <w:r w:rsidR="00401F17" w:rsidRPr="00B82128">
        <w:rPr>
          <w:rFonts w:cs="Times New Roman"/>
          <w:sz w:val="16"/>
          <w:szCs w:val="16"/>
          <w:lang w:val="da-DK"/>
        </w:rPr>
        <w:t>(</w:t>
      </w:r>
      <w:r w:rsidRPr="00B82128">
        <w:rPr>
          <w:rFonts w:cs="Times New Roman"/>
          <w:sz w:val="16"/>
          <w:szCs w:val="16"/>
          <w:lang w:val="da-DK"/>
        </w:rPr>
        <w:t>2024</w:t>
      </w:r>
      <w:r w:rsidR="00401F17" w:rsidRPr="00B82128">
        <w:rPr>
          <w:rFonts w:cs="Times New Roman"/>
          <w:sz w:val="16"/>
          <w:szCs w:val="16"/>
          <w:lang w:val="da-DK"/>
        </w:rPr>
        <w:t>)</w:t>
      </w:r>
      <w:r w:rsidRPr="00B82128">
        <w:rPr>
          <w:rFonts w:cs="Times New Roman"/>
          <w:sz w:val="16"/>
          <w:szCs w:val="16"/>
          <w:lang w:val="da-DK"/>
        </w:rPr>
        <w:t>.</w:t>
      </w:r>
      <w:r w:rsidR="00C51B38" w:rsidRPr="00B82128">
        <w:rPr>
          <w:rFonts w:cs="Times New Roman"/>
          <w:sz w:val="16"/>
          <w:szCs w:val="16"/>
          <w:lang w:val="da-DK"/>
        </w:rPr>
        <w:t xml:space="preserve"> </w:t>
      </w:r>
      <w:hyperlink r:id="rId118" w:history="1">
        <w:r w:rsidR="00C51B38" w:rsidRPr="00FE603A">
          <w:rPr>
            <w:rStyle w:val="Hyperlink"/>
            <w:rFonts w:cs="Times New Roman"/>
            <w:sz w:val="16"/>
            <w:szCs w:val="16"/>
          </w:rPr>
          <w:t>Company car fossil fuel subsidies in Europe</w:t>
        </w:r>
      </w:hyperlink>
      <w:r w:rsidR="00C51B38" w:rsidRPr="00720DA1">
        <w:rPr>
          <w:rFonts w:cs="Times New Roman"/>
          <w:sz w:val="16"/>
          <w:szCs w:val="16"/>
        </w:rPr>
        <w:t>.</w:t>
      </w:r>
    </w:p>
  </w:footnote>
  <w:footnote w:id="183">
    <w:p w14:paraId="3B5E30DC"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Data on the percentage of the market potentially covered by public subsidies in construction was not available, therefore PO1 only counts with costs on public procurement for Member States. </w:t>
      </w:r>
    </w:p>
  </w:footnote>
  <w:footnote w:id="184">
    <w:p w14:paraId="27854A4E" w14:textId="4B521FE1" w:rsidR="00285741" w:rsidRPr="00720DA1" w:rsidRDefault="00285741">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007A11E0" w:rsidRPr="00720DA1">
        <w:rPr>
          <w:rFonts w:cs="Times New Roman"/>
          <w:sz w:val="16"/>
          <w:szCs w:val="16"/>
        </w:rPr>
        <w:t>MIT CEEPR.</w:t>
      </w:r>
      <w:r w:rsidRPr="00720DA1">
        <w:rPr>
          <w:sz w:val="16"/>
          <w:szCs w:val="16"/>
        </w:rPr>
        <w:t xml:space="preserve"> </w:t>
      </w:r>
      <w:hyperlink r:id="rId119" w:history="1">
        <w:r w:rsidRPr="00B82128">
          <w:rPr>
            <w:rStyle w:val="Hyperlink"/>
            <w:rFonts w:cs="Times New Roman"/>
            <w:sz w:val="16"/>
            <w:szCs w:val="16"/>
          </w:rPr>
          <w:t>Global Clean Investment Monitor: Government Support for Electric Vehicles and Batteries</w:t>
        </w:r>
      </w:hyperlink>
      <w:r w:rsidRPr="00720DA1">
        <w:rPr>
          <w:rFonts w:cs="Times New Roman"/>
          <w:sz w:val="16"/>
          <w:szCs w:val="16"/>
        </w:rPr>
        <w:t>. Data covers the EU and the UK.</w:t>
      </w:r>
    </w:p>
  </w:footnote>
  <w:footnote w:id="185">
    <w:p w14:paraId="3F8058C5" w14:textId="4CEBD548"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European Solar Industry Alliance. Net Zero Industry Act: Positions on the Implementation for Photovoltaic Technologies, by Fraunhofer Institute for Solar Energy Systems ISE.</w:t>
      </w:r>
    </w:p>
  </w:footnote>
  <w:footnote w:id="186">
    <w:p w14:paraId="39DA4D84" w14:textId="3E18B712"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SolarPower Europe</w:t>
      </w:r>
      <w:r w:rsidR="000C5E21" w:rsidRPr="00720DA1">
        <w:rPr>
          <w:rFonts w:cs="Times New Roman"/>
          <w:sz w:val="16"/>
          <w:szCs w:val="16"/>
        </w:rPr>
        <w:t xml:space="preserve"> (2024).</w:t>
      </w:r>
      <w:r w:rsidRPr="00720DA1">
        <w:rPr>
          <w:rFonts w:cs="Times New Roman"/>
          <w:sz w:val="16"/>
          <w:szCs w:val="16"/>
        </w:rPr>
        <w:t xml:space="preserve"> </w:t>
      </w:r>
      <w:hyperlink r:id="rId120" w:history="1">
        <w:r w:rsidRPr="00720DA1">
          <w:rPr>
            <w:rStyle w:val="Hyperlink"/>
            <w:rFonts w:cs="Times New Roman"/>
            <w:sz w:val="16"/>
            <w:szCs w:val="16"/>
          </w:rPr>
          <w:t>New Report: Growth of EU solar jobs stagnates as rooftop market slows</w:t>
        </w:r>
      </w:hyperlink>
      <w:r w:rsidRPr="00720DA1">
        <w:rPr>
          <w:rFonts w:cs="Times New Roman"/>
          <w:sz w:val="16"/>
          <w:szCs w:val="16"/>
        </w:rPr>
        <w:t>; European Commission</w:t>
      </w:r>
      <w:r w:rsidR="003C4C16" w:rsidRPr="00720DA1">
        <w:rPr>
          <w:rFonts w:cs="Times New Roman"/>
          <w:sz w:val="16"/>
          <w:szCs w:val="16"/>
        </w:rPr>
        <w:t xml:space="preserve"> </w:t>
      </w:r>
      <w:r w:rsidR="005D3A7C">
        <w:rPr>
          <w:rFonts w:cs="Times New Roman"/>
          <w:sz w:val="16"/>
          <w:szCs w:val="16"/>
        </w:rPr>
        <w:t xml:space="preserve">webpage </w:t>
      </w:r>
      <w:r w:rsidR="003C4C16" w:rsidRPr="00720DA1">
        <w:rPr>
          <w:rFonts w:cs="Times New Roman"/>
          <w:sz w:val="16"/>
          <w:szCs w:val="16"/>
        </w:rPr>
        <w:t>(2025).</w:t>
      </w:r>
      <w:r w:rsidRPr="00720DA1">
        <w:rPr>
          <w:rFonts w:cs="Times New Roman"/>
          <w:sz w:val="16"/>
          <w:szCs w:val="16"/>
        </w:rPr>
        <w:t xml:space="preserve"> </w:t>
      </w:r>
      <w:hyperlink r:id="rId121" w:history="1">
        <w:r w:rsidRPr="00720DA1">
          <w:rPr>
            <w:rStyle w:val="Hyperlink"/>
            <w:rFonts w:cs="Times New Roman"/>
            <w:sz w:val="16"/>
            <w:szCs w:val="16"/>
          </w:rPr>
          <w:t>Solar energy</w:t>
        </w:r>
      </w:hyperlink>
      <w:r w:rsidRPr="00720DA1">
        <w:rPr>
          <w:rFonts w:cs="Times New Roman"/>
          <w:sz w:val="16"/>
          <w:szCs w:val="16"/>
        </w:rPr>
        <w:t>.</w:t>
      </w:r>
    </w:p>
  </w:footnote>
  <w:footnote w:id="187">
    <w:p w14:paraId="06DC9387" w14:textId="20FC0D21"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Strategic Perspectives</w:t>
      </w:r>
      <w:r w:rsidR="006E66A8" w:rsidRPr="00720DA1">
        <w:rPr>
          <w:rFonts w:cs="Times New Roman"/>
          <w:sz w:val="16"/>
          <w:szCs w:val="16"/>
        </w:rPr>
        <w:t xml:space="preserve"> (</w:t>
      </w:r>
      <w:r w:rsidRPr="00720DA1">
        <w:rPr>
          <w:rFonts w:cs="Times New Roman"/>
          <w:sz w:val="16"/>
          <w:szCs w:val="16"/>
        </w:rPr>
        <w:t>2025</w:t>
      </w:r>
      <w:r w:rsidR="006E66A8" w:rsidRPr="00720DA1">
        <w:rPr>
          <w:rFonts w:cs="Times New Roman"/>
          <w:sz w:val="16"/>
          <w:szCs w:val="16"/>
        </w:rPr>
        <w:t>)</w:t>
      </w:r>
      <w:r w:rsidRPr="00720DA1">
        <w:rPr>
          <w:rFonts w:cs="Times New Roman"/>
          <w:sz w:val="16"/>
          <w:szCs w:val="16"/>
        </w:rPr>
        <w:t xml:space="preserve">. </w:t>
      </w:r>
      <w:hyperlink r:id="rId122" w:history="1">
        <w:r w:rsidRPr="00720DA1">
          <w:rPr>
            <w:rStyle w:val="Hyperlink"/>
            <w:sz w:val="16"/>
            <w:szCs w:val="16"/>
          </w:rPr>
          <w:t>Lead markets: driving net-zero industries made in Europe</w:t>
        </w:r>
      </w:hyperlink>
      <w:r w:rsidRPr="00720DA1">
        <w:rPr>
          <w:rFonts w:cs="Times New Roman"/>
          <w:sz w:val="16"/>
          <w:szCs w:val="16"/>
        </w:rPr>
        <w:t>.</w:t>
      </w:r>
    </w:p>
  </w:footnote>
  <w:footnote w:id="188">
    <w:p w14:paraId="57145BF6" w14:textId="744E7952" w:rsidR="00285741" w:rsidRPr="00720DA1" w:rsidRDefault="00285741">
      <w:pPr>
        <w:pStyle w:val="FootnoteText"/>
        <w:rPr>
          <w:sz w:val="16"/>
          <w:szCs w:val="16"/>
        </w:rPr>
      </w:pPr>
      <w:r w:rsidRPr="00720DA1">
        <w:rPr>
          <w:rStyle w:val="FootnoteReference"/>
          <w:sz w:val="16"/>
          <w:szCs w:val="16"/>
        </w:rPr>
        <w:footnoteRef/>
      </w:r>
      <w:r w:rsidR="00194147" w:rsidRPr="00720DA1">
        <w:rPr>
          <w:sz w:val="16"/>
          <w:szCs w:val="16"/>
        </w:rPr>
        <w:t xml:space="preserve"> </w:t>
      </w:r>
      <w:r w:rsidR="00861EA3">
        <w:rPr>
          <w:sz w:val="16"/>
          <w:szCs w:val="16"/>
        </w:rPr>
        <w:t xml:space="preserve">European Commission (2025). </w:t>
      </w:r>
      <w:hyperlink r:id="rId123" w:history="1">
        <w:r w:rsidR="00861EA3" w:rsidRPr="00F656D3">
          <w:rPr>
            <w:rStyle w:val="Hyperlink"/>
            <w:sz w:val="16"/>
            <w:szCs w:val="16"/>
          </w:rPr>
          <w:t>Proposal for a Regulation of the European Parliament and of the Council addressing the negative trade-related effects of global overcapacity on the Union steel market</w:t>
        </w:r>
      </w:hyperlink>
      <w:r w:rsidR="00861EA3">
        <w:rPr>
          <w:sz w:val="16"/>
          <w:szCs w:val="16"/>
        </w:rPr>
        <w:t xml:space="preserve">. </w:t>
      </w:r>
      <w:r w:rsidR="00861EA3" w:rsidRPr="00F656D3">
        <w:rPr>
          <w:sz w:val="16"/>
          <w:szCs w:val="16"/>
        </w:rPr>
        <w:t>COM(2025) 726 final</w:t>
      </w:r>
      <w:r w:rsidR="00861EA3" w:rsidRPr="00720DA1">
        <w:rPr>
          <w:sz w:val="16"/>
          <w:szCs w:val="16"/>
        </w:rPr>
        <w:t>.</w:t>
      </w:r>
    </w:p>
  </w:footnote>
  <w:footnote w:id="189">
    <w:p w14:paraId="4318D5DE"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See Section 2. This is partly because EIIs outside the EU generally face less ambitious decarbonisation targets and, therefore, require lower levels of investment.</w:t>
      </w:r>
    </w:p>
  </w:footnote>
  <w:footnote w:id="190">
    <w:p w14:paraId="2AD175E6" w14:textId="32C05AA3"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7E60DE" w:rsidRPr="00720DA1">
        <w:rPr>
          <w:sz w:val="16"/>
          <w:szCs w:val="16"/>
        </w:rPr>
        <w:t>SolarPower Europe</w:t>
      </w:r>
      <w:r w:rsidR="004D43E9">
        <w:rPr>
          <w:sz w:val="16"/>
          <w:szCs w:val="16"/>
        </w:rPr>
        <w:t xml:space="preserve"> webpage</w:t>
      </w:r>
      <w:r w:rsidR="007E60DE" w:rsidRPr="00720DA1">
        <w:rPr>
          <w:sz w:val="16"/>
          <w:szCs w:val="16"/>
        </w:rPr>
        <w:t>.</w:t>
      </w:r>
      <w:r w:rsidRPr="00720DA1">
        <w:rPr>
          <w:sz w:val="16"/>
          <w:szCs w:val="16"/>
        </w:rPr>
        <w:t xml:space="preserve"> </w:t>
      </w:r>
      <w:hyperlink r:id="rId124" w:history="1">
        <w:r w:rsidRPr="00720DA1">
          <w:rPr>
            <w:rStyle w:val="Hyperlink"/>
            <w:sz w:val="16"/>
            <w:szCs w:val="16"/>
          </w:rPr>
          <w:t>EU Solar Manufacturing Map</w:t>
        </w:r>
      </w:hyperlink>
      <w:r w:rsidRPr="00720DA1">
        <w:rPr>
          <w:sz w:val="16"/>
          <w:szCs w:val="16"/>
        </w:rPr>
        <w:t>.</w:t>
      </w:r>
    </w:p>
  </w:footnote>
  <w:footnote w:id="191">
    <w:p w14:paraId="40A4C0A3" w14:textId="56C7530B"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MERICS (2025)</w:t>
      </w:r>
      <w:r w:rsidR="007E60DE" w:rsidRPr="00720DA1">
        <w:rPr>
          <w:sz w:val="16"/>
          <w:szCs w:val="16"/>
        </w:rPr>
        <w:t>.</w:t>
      </w:r>
      <w:r w:rsidRPr="00720DA1">
        <w:rPr>
          <w:sz w:val="16"/>
          <w:szCs w:val="16"/>
        </w:rPr>
        <w:t xml:space="preserve"> </w:t>
      </w:r>
      <w:hyperlink r:id="rId125" w:history="1">
        <w:r w:rsidRPr="00720DA1">
          <w:rPr>
            <w:rStyle w:val="Hyperlink"/>
            <w:sz w:val="16"/>
            <w:szCs w:val="16"/>
          </w:rPr>
          <w:t>Chinese investment rebounds despite growing frictions – Chinese FDI in Europe: 2024 Update</w:t>
        </w:r>
      </w:hyperlink>
      <w:r w:rsidR="00BE5403" w:rsidRPr="00720DA1">
        <w:rPr>
          <w:sz w:val="16"/>
          <w:szCs w:val="16"/>
        </w:rPr>
        <w:t xml:space="preserve">; </w:t>
      </w:r>
      <w:r w:rsidRPr="00720DA1">
        <w:rPr>
          <w:sz w:val="16"/>
          <w:szCs w:val="16"/>
        </w:rPr>
        <w:t>Bruegel (2025)</w:t>
      </w:r>
      <w:r w:rsidR="004F021C" w:rsidRPr="00720DA1">
        <w:rPr>
          <w:sz w:val="16"/>
          <w:szCs w:val="16"/>
        </w:rPr>
        <w:t>.</w:t>
      </w:r>
      <w:r w:rsidRPr="00720DA1">
        <w:rPr>
          <w:sz w:val="16"/>
          <w:szCs w:val="16"/>
        </w:rPr>
        <w:t xml:space="preserve"> </w:t>
      </w:r>
      <w:hyperlink r:id="rId126" w:history="1">
        <w:r w:rsidRPr="00720DA1">
          <w:rPr>
            <w:rStyle w:val="Hyperlink"/>
            <w:sz w:val="16"/>
            <w:szCs w:val="16"/>
          </w:rPr>
          <w:t>A smart European strategy for electric vehicle investment from China</w:t>
        </w:r>
      </w:hyperlink>
      <w:r w:rsidRPr="00720DA1">
        <w:rPr>
          <w:sz w:val="16"/>
          <w:szCs w:val="16"/>
        </w:rPr>
        <w:t>.</w:t>
      </w:r>
    </w:p>
  </w:footnote>
  <w:footnote w:id="192">
    <w:p w14:paraId="6F08B9C3" w14:textId="59F94920" w:rsidR="003F6250" w:rsidRPr="00720DA1" w:rsidRDefault="003F6250" w:rsidP="003F6250">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00EC6FA1" w:rsidRPr="00720DA1">
        <w:rPr>
          <w:rFonts w:cs="Times New Roman"/>
          <w:sz w:val="16"/>
          <w:szCs w:val="16"/>
        </w:rPr>
        <w:t>VUB</w:t>
      </w:r>
      <w:r w:rsidRPr="00720DA1">
        <w:rPr>
          <w:rFonts w:cs="Times New Roman"/>
          <w:sz w:val="16"/>
          <w:szCs w:val="16"/>
        </w:rPr>
        <w:t xml:space="preserve"> </w:t>
      </w:r>
      <w:r w:rsidR="004F021C" w:rsidRPr="00720DA1">
        <w:rPr>
          <w:rFonts w:cs="Times New Roman"/>
          <w:sz w:val="16"/>
          <w:szCs w:val="16"/>
        </w:rPr>
        <w:t xml:space="preserve">Brussels School of Governance (2024). </w:t>
      </w:r>
      <w:hyperlink r:id="rId127">
        <w:r w:rsidRPr="00720DA1">
          <w:rPr>
            <w:rStyle w:val="Hyperlink"/>
            <w:rFonts w:cs="Times New Roman"/>
            <w:sz w:val="16"/>
            <w:szCs w:val="16"/>
          </w:rPr>
          <w:t>Public procurement of steel and cement for construction, assessing the potential of lead markets for green steel and cement in the EU</w:t>
        </w:r>
      </w:hyperlink>
      <w:r w:rsidR="004F021C" w:rsidRPr="00720DA1">
        <w:rPr>
          <w:rFonts w:cs="Times New Roman"/>
          <w:sz w:val="16"/>
          <w:szCs w:val="16"/>
        </w:rPr>
        <w:t>.</w:t>
      </w:r>
      <w:r w:rsidRPr="00720DA1">
        <w:rPr>
          <w:rFonts w:cs="Times New Roman"/>
          <w:sz w:val="16"/>
          <w:szCs w:val="16"/>
        </w:rPr>
        <w:t>.</w:t>
      </w:r>
    </w:p>
  </w:footnote>
  <w:footnote w:id="193">
    <w:p w14:paraId="0B7EFD04" w14:textId="3A54F23E"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The estimates are based on the following study: </w:t>
      </w:r>
      <w:r w:rsidR="00EC6FA1" w:rsidRPr="00720DA1">
        <w:rPr>
          <w:rFonts w:cs="Times New Roman"/>
          <w:sz w:val="16"/>
          <w:szCs w:val="16"/>
        </w:rPr>
        <w:t xml:space="preserve">VUB </w:t>
      </w:r>
      <w:r w:rsidR="0042609F" w:rsidRPr="00720DA1">
        <w:rPr>
          <w:rFonts w:cs="Times New Roman"/>
          <w:sz w:val="16"/>
          <w:szCs w:val="16"/>
        </w:rPr>
        <w:t xml:space="preserve">Brussels School of Governance (2024). </w:t>
      </w:r>
      <w:r w:rsidRPr="00720DA1">
        <w:rPr>
          <w:rFonts w:cs="Times New Roman"/>
          <w:sz w:val="16"/>
          <w:szCs w:val="16"/>
        </w:rPr>
        <w:t>“</w:t>
      </w:r>
      <w:hyperlink r:id="rId128" w:history="1">
        <w:r w:rsidRPr="00720DA1">
          <w:rPr>
            <w:rStyle w:val="Hyperlink"/>
            <w:rFonts w:cs="Times New Roman"/>
            <w:sz w:val="16"/>
            <w:szCs w:val="16"/>
          </w:rPr>
          <w:t>Public procurement of steel and cement for construction, assessing the potential of lead markets for green steel and cement in the EU</w:t>
        </w:r>
      </w:hyperlink>
      <w:r w:rsidRPr="00720DA1">
        <w:rPr>
          <w:rFonts w:cs="Times New Roman"/>
          <w:sz w:val="16"/>
          <w:szCs w:val="16"/>
        </w:rPr>
        <w:t xml:space="preserve">”. Low-carbon steel and cement are defined in the referenced study as reducing emissions by at least 80% compared to current production methods. </w:t>
      </w:r>
    </w:p>
  </w:footnote>
  <w:footnote w:id="194">
    <w:p w14:paraId="441E8A3C" w14:textId="1D8A50D2" w:rsidR="00FE66EF" w:rsidRPr="00720DA1" w:rsidRDefault="00FE66EF" w:rsidP="00FE66EF">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A11E0" w:rsidRPr="00720DA1">
        <w:rPr>
          <w:rFonts w:cs="Times New Roman"/>
          <w:sz w:val="16"/>
          <w:szCs w:val="16"/>
        </w:rPr>
        <w:t>MIT CEEPR.</w:t>
      </w:r>
      <w:r w:rsidRPr="00720DA1">
        <w:rPr>
          <w:rFonts w:cs="Times New Roman"/>
          <w:sz w:val="16"/>
          <w:szCs w:val="16"/>
        </w:rPr>
        <w:t xml:space="preserve"> Global Clean Investment Monitor: Government Support for Electric Vehicles and Batteries, Data represents the EU </w:t>
      </w:r>
      <w:r w:rsidR="007A11E0" w:rsidRPr="00720DA1">
        <w:rPr>
          <w:rFonts w:cs="Times New Roman"/>
          <w:sz w:val="16"/>
          <w:szCs w:val="16"/>
        </w:rPr>
        <w:t>and</w:t>
      </w:r>
      <w:r w:rsidRPr="00720DA1">
        <w:rPr>
          <w:rFonts w:cs="Times New Roman"/>
          <w:sz w:val="16"/>
          <w:szCs w:val="16"/>
        </w:rPr>
        <w:t xml:space="preserve"> the United Kingdom. </w:t>
      </w:r>
    </w:p>
  </w:footnote>
  <w:footnote w:id="195">
    <w:p w14:paraId="1F236795" w14:textId="081277E5" w:rsidR="00D8324F" w:rsidRPr="00720DA1" w:rsidRDefault="00D8324F">
      <w:pPr>
        <w:pStyle w:val="FootnoteText"/>
        <w:rPr>
          <w:sz w:val="16"/>
          <w:szCs w:val="16"/>
          <w:lang w:val="en-IE"/>
        </w:rPr>
      </w:pPr>
      <w:r w:rsidRPr="00720DA1">
        <w:rPr>
          <w:rStyle w:val="FootnoteReference"/>
          <w:sz w:val="16"/>
          <w:szCs w:val="16"/>
        </w:rPr>
        <w:footnoteRef/>
      </w:r>
      <w:r w:rsidR="00993244" w:rsidRPr="00720DA1">
        <w:rPr>
          <w:sz w:val="16"/>
          <w:szCs w:val="16"/>
        </w:rPr>
        <w:t xml:space="preserve">ACEA (2025). </w:t>
      </w:r>
      <w:hyperlink r:id="rId129" w:history="1">
        <w:r w:rsidR="00993244" w:rsidRPr="00720DA1">
          <w:rPr>
            <w:rStyle w:val="Hyperlink"/>
            <w:sz w:val="16"/>
            <w:szCs w:val="16"/>
          </w:rPr>
          <w:t>Electric cars: Tax benefits and incentives (2025)</w:t>
        </w:r>
      </w:hyperlink>
      <w:r w:rsidR="00993244" w:rsidRPr="00720DA1">
        <w:rPr>
          <w:sz w:val="16"/>
          <w:szCs w:val="16"/>
        </w:rPr>
        <w:t>.</w:t>
      </w:r>
    </w:p>
  </w:footnote>
  <w:footnote w:id="196">
    <w:p w14:paraId="42EC57B2" w14:textId="77777777" w:rsidR="00285741" w:rsidRPr="00720DA1" w:rsidRDefault="00285741">
      <w:pPr>
        <w:rPr>
          <w:sz w:val="16"/>
          <w:szCs w:val="16"/>
        </w:rPr>
      </w:pPr>
      <w:r w:rsidRPr="00720DA1">
        <w:rPr>
          <w:sz w:val="16"/>
          <w:szCs w:val="16"/>
          <w:vertAlign w:val="superscript"/>
        </w:rPr>
        <w:footnoteRef/>
      </w:r>
      <w:r w:rsidRPr="00720DA1">
        <w:rPr>
          <w:sz w:val="16"/>
          <w:szCs w:val="16"/>
          <w:vertAlign w:val="superscript"/>
        </w:rPr>
        <w:t xml:space="preserve"> </w:t>
      </w:r>
      <w:r w:rsidRPr="00720DA1">
        <w:rPr>
          <w:sz w:val="16"/>
          <w:szCs w:val="16"/>
        </w:rPr>
        <w:t>The estimates for the net present value assume a 2% intertemporal discount rate.</w:t>
      </w:r>
    </w:p>
  </w:footnote>
  <w:footnote w:id="197">
    <w:p w14:paraId="49616A0F" w14:textId="05838C69"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European Commission, Commission Staff Working Document – Evaluation of Regulation (EU) 2019/452 establishing a framework for the screening of foreign direct investments into the Union, </w:t>
      </w:r>
      <w:hyperlink r:id="rId130" w:history="1">
        <w:r w:rsidRPr="00720DA1">
          <w:rPr>
            <w:rStyle w:val="Hyperlink"/>
            <w:sz w:val="16"/>
            <w:szCs w:val="16"/>
          </w:rPr>
          <w:t>SWD(2024) 23 final</w:t>
        </w:r>
      </w:hyperlink>
      <w:r w:rsidR="002B019A" w:rsidRPr="00720DA1">
        <w:rPr>
          <w:sz w:val="16"/>
          <w:szCs w:val="16"/>
        </w:rPr>
        <w:t>.</w:t>
      </w:r>
    </w:p>
  </w:footnote>
  <w:footnote w:id="198">
    <w:p w14:paraId="392E94B2" w14:textId="3888F5FB"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See Study on eGovernment and the Reduction of Administrative Burden, estimating that </w:t>
      </w:r>
      <w:r w:rsidR="00CB191A" w:rsidRPr="00720DA1">
        <w:rPr>
          <w:rFonts w:cs="Times New Roman"/>
          <w:sz w:val="16"/>
          <w:szCs w:val="16"/>
        </w:rPr>
        <w:t xml:space="preserve">following </w:t>
      </w:r>
      <w:r w:rsidRPr="00720DA1">
        <w:rPr>
          <w:rFonts w:cs="Times New Roman"/>
          <w:sz w:val="16"/>
          <w:szCs w:val="16"/>
        </w:rPr>
        <w:t xml:space="preserve">the Danish Mandatory Digital Self-service </w:t>
      </w:r>
      <w:r w:rsidR="007D2469" w:rsidRPr="00720DA1">
        <w:rPr>
          <w:rFonts w:cs="Times New Roman"/>
          <w:sz w:val="16"/>
          <w:szCs w:val="16"/>
        </w:rPr>
        <w:t xml:space="preserve">approach </w:t>
      </w:r>
      <w:r w:rsidRPr="00720DA1">
        <w:rPr>
          <w:rFonts w:cs="Times New Roman"/>
          <w:sz w:val="16"/>
          <w:szCs w:val="16"/>
        </w:rPr>
        <w:t>was expected to produce annual savings for government for around EUR 6</w:t>
      </w:r>
      <w:r w:rsidR="00A14EC8" w:rsidRPr="00720DA1">
        <w:rPr>
          <w:rFonts w:cs="Times New Roman"/>
          <w:sz w:val="16"/>
          <w:szCs w:val="16"/>
        </w:rPr>
        <w:t>.</w:t>
      </w:r>
      <w:r w:rsidRPr="00720DA1">
        <w:rPr>
          <w:rFonts w:cs="Times New Roman"/>
          <w:sz w:val="16"/>
          <w:szCs w:val="16"/>
        </w:rPr>
        <w:t>5 billion at EU 28 level by 2017, while the United Kingdom Digital Government Strategy was estimated at around EUR</w:t>
      </w:r>
      <w:r w:rsidR="001A1955" w:rsidRPr="00720DA1">
        <w:rPr>
          <w:rFonts w:cs="Times New Roman"/>
          <w:sz w:val="16"/>
          <w:szCs w:val="16"/>
        </w:rPr>
        <w:t xml:space="preserve"> </w:t>
      </w:r>
      <w:r w:rsidRPr="00720DA1">
        <w:rPr>
          <w:rFonts w:cs="Times New Roman"/>
          <w:sz w:val="16"/>
          <w:szCs w:val="16"/>
        </w:rPr>
        <w:t>10 billion of annual savings.</w:t>
      </w:r>
    </w:p>
  </w:footnote>
  <w:footnote w:id="199">
    <w:p w14:paraId="20111ED0" w14:textId="7D03F5F0" w:rsidR="00DD1824" w:rsidRPr="00720DA1" w:rsidRDefault="00DD1824">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B33C2" w:rsidRPr="00720DA1">
        <w:rPr>
          <w:rFonts w:cs="Times New Roman"/>
          <w:sz w:val="16"/>
          <w:szCs w:val="16"/>
        </w:rPr>
        <w:t>See Study on eGovernment and the Reduction of Administrative Burden, estimating that following the Danish Mandatory Digital Self-service approach was expected to produce annual savings for government for around EUR 6</w:t>
      </w:r>
      <w:r w:rsidR="00A14EC8" w:rsidRPr="00720DA1">
        <w:rPr>
          <w:rFonts w:cs="Times New Roman"/>
          <w:sz w:val="16"/>
          <w:szCs w:val="16"/>
        </w:rPr>
        <w:t>.</w:t>
      </w:r>
      <w:r w:rsidR="007B33C2" w:rsidRPr="00720DA1">
        <w:rPr>
          <w:rFonts w:cs="Times New Roman"/>
          <w:sz w:val="16"/>
          <w:szCs w:val="16"/>
        </w:rPr>
        <w:t>5 billion at EU 28 level by 2017, while the United Kingdom Digital Government Strategy was estimated at around EUR</w:t>
      </w:r>
      <w:r w:rsidR="001A1955" w:rsidRPr="00720DA1">
        <w:rPr>
          <w:rFonts w:cs="Times New Roman"/>
          <w:sz w:val="16"/>
          <w:szCs w:val="16"/>
        </w:rPr>
        <w:t xml:space="preserve"> </w:t>
      </w:r>
      <w:r w:rsidR="007B33C2" w:rsidRPr="00720DA1">
        <w:rPr>
          <w:rFonts w:cs="Times New Roman"/>
          <w:sz w:val="16"/>
          <w:szCs w:val="16"/>
        </w:rPr>
        <w:t>10 billion of annual savings.</w:t>
      </w:r>
    </w:p>
  </w:footnote>
  <w:footnote w:id="200">
    <w:p w14:paraId="40BE9037" w14:textId="543E50D5" w:rsidR="00225815" w:rsidRPr="00720DA1" w:rsidRDefault="002258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Estimates based on</w:t>
      </w:r>
      <w:r w:rsidR="006646FB" w:rsidRPr="00720DA1">
        <w:rPr>
          <w:rFonts w:cs="Times New Roman"/>
          <w:sz w:val="16"/>
          <w:szCs w:val="16"/>
        </w:rPr>
        <w:t xml:space="preserve"> digitalisation of procedures in</w:t>
      </w:r>
      <w:r w:rsidRPr="00720DA1">
        <w:rPr>
          <w:rFonts w:cs="Times New Roman"/>
          <w:sz w:val="16"/>
          <w:szCs w:val="16"/>
        </w:rPr>
        <w:t xml:space="preserve"> the Netherlands</w:t>
      </w:r>
      <w:r w:rsidR="006646FB" w:rsidRPr="00720DA1">
        <w:rPr>
          <w:rFonts w:cs="Times New Roman"/>
          <w:sz w:val="16"/>
          <w:szCs w:val="16"/>
        </w:rPr>
        <w:t>, following a stakeholder consultation on the single digital gateway.</w:t>
      </w:r>
      <w:r w:rsidR="004B40F4" w:rsidRPr="00720DA1">
        <w:rPr>
          <w:rFonts w:cs="Times New Roman"/>
          <w:sz w:val="16"/>
          <w:szCs w:val="16"/>
        </w:rPr>
        <w:t xml:space="preserve"> </w:t>
      </w:r>
      <w:r w:rsidR="00BB4A3D" w:rsidRPr="00720DA1">
        <w:rPr>
          <w:rFonts w:cs="Times New Roman"/>
          <w:sz w:val="16"/>
          <w:szCs w:val="16"/>
        </w:rPr>
        <w:t>These figures could be an overestimation</w:t>
      </w:r>
      <w:r w:rsidR="004B40F4" w:rsidRPr="00720DA1">
        <w:rPr>
          <w:rFonts w:cs="Times New Roman"/>
          <w:sz w:val="16"/>
          <w:szCs w:val="16"/>
        </w:rPr>
        <w:t xml:space="preserve">, since costs and savings depend largely on the type of administrative procedure </w:t>
      </w:r>
      <w:r w:rsidR="005C1A68" w:rsidRPr="00720DA1">
        <w:rPr>
          <w:rFonts w:cs="Times New Roman"/>
          <w:sz w:val="16"/>
          <w:szCs w:val="16"/>
        </w:rPr>
        <w:t>to be digitalised</w:t>
      </w:r>
      <w:r w:rsidR="007448AA" w:rsidRPr="00720DA1">
        <w:rPr>
          <w:rFonts w:cs="Times New Roman"/>
          <w:sz w:val="16"/>
          <w:szCs w:val="16"/>
        </w:rPr>
        <w:t xml:space="preserve">, </w:t>
      </w:r>
      <w:r w:rsidR="00D03111" w:rsidRPr="00720DA1">
        <w:rPr>
          <w:rFonts w:cs="Times New Roman"/>
          <w:sz w:val="16"/>
          <w:szCs w:val="16"/>
        </w:rPr>
        <w:t>the</w:t>
      </w:r>
      <w:r w:rsidR="00F065DC" w:rsidRPr="00720DA1">
        <w:rPr>
          <w:rFonts w:cs="Times New Roman"/>
          <w:sz w:val="16"/>
          <w:szCs w:val="16"/>
        </w:rPr>
        <w:t xml:space="preserve"> number of transactions/uses per procedure, </w:t>
      </w:r>
      <w:r w:rsidR="00070A20" w:rsidRPr="00720DA1">
        <w:rPr>
          <w:rFonts w:cs="Times New Roman"/>
          <w:sz w:val="16"/>
          <w:szCs w:val="16"/>
        </w:rPr>
        <w:t>amongst others.</w:t>
      </w:r>
      <w:r w:rsidR="00CF456A" w:rsidRPr="00720DA1">
        <w:rPr>
          <w:rFonts w:cs="Times New Roman"/>
          <w:sz w:val="16"/>
          <w:szCs w:val="16"/>
        </w:rPr>
        <w:t xml:space="preserve"> EUR-Lex - 52017SC0213 - EN - EUR-Lex</w:t>
      </w:r>
    </w:p>
  </w:footnote>
  <w:footnote w:id="201">
    <w:p w14:paraId="0A13B59A"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 xml:space="preserve">Defined in the referenced study as a maximum carbon intensity of 0.7 tonnes of </w:t>
      </w:r>
      <w:r w:rsidRPr="00720DA1">
        <w:rPr>
          <w:rFonts w:cs="Times New Roman"/>
          <w:color w:val="000000" w:themeColor="text1"/>
          <w:sz w:val="16"/>
          <w:szCs w:val="16"/>
        </w:rPr>
        <w:t>CO</w:t>
      </w:r>
      <w:r w:rsidRPr="00720DA1">
        <w:rPr>
          <w:rFonts w:cs="Times New Roman"/>
          <w:color w:val="000000" w:themeColor="text1"/>
          <w:sz w:val="16"/>
          <w:szCs w:val="16"/>
          <w:vertAlign w:val="subscript"/>
        </w:rPr>
        <w:t>2</w:t>
      </w:r>
      <w:r w:rsidRPr="00720DA1">
        <w:rPr>
          <w:rFonts w:cs="Times New Roman"/>
          <w:sz w:val="16"/>
          <w:szCs w:val="16"/>
        </w:rPr>
        <w:t xml:space="preserve">e/tonne of steel for flat products and of 0.35 tonnes of </w:t>
      </w:r>
      <w:r w:rsidRPr="00720DA1">
        <w:rPr>
          <w:rFonts w:cs="Times New Roman"/>
          <w:color w:val="000000" w:themeColor="text1"/>
          <w:sz w:val="16"/>
          <w:szCs w:val="16"/>
        </w:rPr>
        <w:t>CO</w:t>
      </w:r>
      <w:r w:rsidRPr="00720DA1">
        <w:rPr>
          <w:rFonts w:cs="Times New Roman"/>
          <w:color w:val="000000" w:themeColor="text1"/>
          <w:sz w:val="16"/>
          <w:szCs w:val="16"/>
          <w:vertAlign w:val="subscript"/>
        </w:rPr>
        <w:t>2</w:t>
      </w:r>
      <w:r w:rsidRPr="00720DA1">
        <w:rPr>
          <w:rFonts w:cs="Times New Roman"/>
          <w:sz w:val="16"/>
          <w:szCs w:val="16"/>
        </w:rPr>
        <w:t>e/tonne of steel for long products in 2030.</w:t>
      </w:r>
    </w:p>
  </w:footnote>
  <w:footnote w:id="202">
    <w:p w14:paraId="312A8234" w14:textId="3DB39849"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0017134D" w:rsidRPr="00720DA1">
        <w:rPr>
          <w:rFonts w:cs="Times New Roman"/>
          <w:sz w:val="16"/>
          <w:szCs w:val="16"/>
        </w:rPr>
        <w:t xml:space="preserve"> Strategic Perspectives (2025). </w:t>
      </w:r>
      <w:hyperlink r:id="rId131" w:history="1">
        <w:r w:rsidR="0017134D" w:rsidRPr="00720DA1">
          <w:rPr>
            <w:rStyle w:val="Hyperlink"/>
            <w:sz w:val="16"/>
            <w:szCs w:val="16"/>
          </w:rPr>
          <w:t>Lead markets: driving net-zero industries made in Europe</w:t>
        </w:r>
      </w:hyperlink>
      <w:r w:rsidR="0017134D" w:rsidRPr="00720DA1">
        <w:rPr>
          <w:rFonts w:cs="Times New Roman"/>
          <w:sz w:val="16"/>
          <w:szCs w:val="16"/>
        </w:rPr>
        <w:t>. Estimate from dataset used in report’s underlying analysis.</w:t>
      </w:r>
    </w:p>
  </w:footnote>
  <w:footnote w:id="203">
    <w:p w14:paraId="46D1D3A4" w14:textId="77777777" w:rsidR="00285741" w:rsidRPr="00720DA1" w:rsidRDefault="00285741">
      <w:pPr>
        <w:pStyle w:val="FootnoteText"/>
        <w:rPr>
          <w:sz w:val="16"/>
          <w:szCs w:val="16"/>
        </w:rPr>
      </w:pPr>
      <w:r w:rsidRPr="00720DA1">
        <w:rPr>
          <w:rStyle w:val="FootnoteReference"/>
          <w:rFonts w:cs="Times New Roman"/>
          <w:sz w:val="16"/>
          <w:szCs w:val="16"/>
        </w:rPr>
        <w:footnoteRef/>
      </w:r>
      <w:r w:rsidRPr="00720DA1">
        <w:rPr>
          <w:rStyle w:val="FootnoteReference"/>
          <w:rFonts w:cs="Times New Roman"/>
          <w:sz w:val="16"/>
          <w:szCs w:val="16"/>
        </w:rPr>
        <w:t xml:space="preserve"> </w:t>
      </w:r>
      <w:r w:rsidRPr="00720DA1">
        <w:rPr>
          <w:rFonts w:eastAsia="Times New Roman" w:cs="Times New Roman"/>
          <w:sz w:val="16"/>
          <w:szCs w:val="16"/>
        </w:rPr>
        <w:t>European Battery Alliance</w:t>
      </w:r>
    </w:p>
  </w:footnote>
  <w:footnote w:id="204">
    <w:p w14:paraId="7AB110BE" w14:textId="627F07DC"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A22B29" w:rsidRPr="00720DA1">
        <w:rPr>
          <w:rFonts w:eastAsia="Times New Roman" w:cs="Times New Roman"/>
          <w:sz w:val="16"/>
          <w:szCs w:val="16"/>
        </w:rPr>
        <w:t>T&amp;E</w:t>
      </w:r>
      <w:r w:rsidR="001C4B10" w:rsidRPr="00720DA1">
        <w:rPr>
          <w:rFonts w:eastAsia="Times New Roman" w:cs="Times New Roman"/>
          <w:sz w:val="16"/>
          <w:szCs w:val="16"/>
        </w:rPr>
        <w:t xml:space="preserve"> (2025).</w:t>
      </w:r>
      <w:r w:rsidRPr="00720DA1">
        <w:rPr>
          <w:rFonts w:eastAsia="Times New Roman" w:cs="Times New Roman"/>
          <w:sz w:val="16"/>
          <w:szCs w:val="16"/>
        </w:rPr>
        <w:t xml:space="preserve"> </w:t>
      </w:r>
      <w:hyperlink r:id="rId132" w:history="1">
        <w:r w:rsidRPr="00720DA1">
          <w:rPr>
            <w:rStyle w:val="Hyperlink"/>
            <w:rFonts w:eastAsia="Times New Roman" w:cs="Times New Roman"/>
            <w:sz w:val="16"/>
            <w:szCs w:val="16"/>
          </w:rPr>
          <w:t>Europe’s automotive industry at a crossroads</w:t>
        </w:r>
      </w:hyperlink>
      <w:r w:rsidR="001C4B10" w:rsidRPr="00720DA1">
        <w:rPr>
          <w:rFonts w:eastAsia="Times New Roman" w:cs="Times New Roman"/>
          <w:sz w:val="16"/>
          <w:szCs w:val="16"/>
        </w:rPr>
        <w:t>.</w:t>
      </w:r>
      <w:r w:rsidRPr="00720DA1">
        <w:rPr>
          <w:rFonts w:eastAsia="Times New Roman" w:cs="Times New Roman"/>
          <w:sz w:val="16"/>
          <w:szCs w:val="16"/>
        </w:rPr>
        <w:t xml:space="preserve"> </w:t>
      </w:r>
    </w:p>
  </w:footnote>
  <w:footnote w:id="205">
    <w:p w14:paraId="75DC44E0" w14:textId="73418B32"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InnoEnergy, </w:t>
      </w:r>
      <w:hyperlink r:id="rId133" w:history="1">
        <w:r w:rsidRPr="00720DA1">
          <w:rPr>
            <w:rStyle w:val="Hyperlink"/>
            <w:sz w:val="16"/>
            <w:szCs w:val="16"/>
          </w:rPr>
          <w:t>European Solar Academy</w:t>
        </w:r>
      </w:hyperlink>
      <w:r w:rsidR="00F633A6" w:rsidRPr="00720DA1">
        <w:rPr>
          <w:sz w:val="16"/>
          <w:szCs w:val="16"/>
        </w:rPr>
        <w:t>.</w:t>
      </w:r>
    </w:p>
  </w:footnote>
  <w:footnote w:id="206">
    <w:p w14:paraId="1E4B4F52" w14:textId="541FF8BC"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According to Fraunhofer, at full GW-scale production, each GW of solar PV manufacturing capacity is estimated to generate around 1</w:t>
      </w:r>
      <w:r w:rsidR="00B8591D" w:rsidRPr="00720DA1">
        <w:rPr>
          <w:sz w:val="16"/>
          <w:szCs w:val="16"/>
        </w:rPr>
        <w:t xml:space="preserve"> </w:t>
      </w:r>
      <w:r w:rsidRPr="00720DA1">
        <w:rPr>
          <w:sz w:val="16"/>
          <w:szCs w:val="16"/>
        </w:rPr>
        <w:t>065 direct full-time jobs, including approximately 70 in polysilicon, 75 in ingot production, 75 in wafering, 200 in cell manufacturing, 85 in solar glass, 200 in module assembly, and 360 in inverter production. This would result in an additional 1</w:t>
      </w:r>
      <w:r w:rsidR="00B114A4" w:rsidRPr="00720DA1">
        <w:rPr>
          <w:sz w:val="16"/>
          <w:szCs w:val="16"/>
        </w:rPr>
        <w:t xml:space="preserve"> </w:t>
      </w:r>
      <w:r w:rsidRPr="00720DA1">
        <w:rPr>
          <w:sz w:val="16"/>
          <w:szCs w:val="16"/>
        </w:rPr>
        <w:t>598 of indirect jobs, bringing the total employment impact to roughly 2</w:t>
      </w:r>
      <w:r w:rsidR="00B114A4" w:rsidRPr="00720DA1">
        <w:rPr>
          <w:sz w:val="16"/>
          <w:szCs w:val="16"/>
        </w:rPr>
        <w:t xml:space="preserve"> </w:t>
      </w:r>
      <w:r w:rsidRPr="00720DA1">
        <w:rPr>
          <w:sz w:val="16"/>
          <w:szCs w:val="16"/>
        </w:rPr>
        <w:t>663 jobs per GW. In terms of the policy segments assessed in the impact assessment, this corresponds to an estimated 5</w:t>
      </w:r>
      <w:r w:rsidR="00D7393A" w:rsidRPr="00720DA1">
        <w:rPr>
          <w:sz w:val="16"/>
          <w:szCs w:val="16"/>
        </w:rPr>
        <w:t xml:space="preserve"> </w:t>
      </w:r>
      <w:r w:rsidRPr="00720DA1">
        <w:rPr>
          <w:sz w:val="16"/>
          <w:szCs w:val="16"/>
        </w:rPr>
        <w:t>193 jobs created by the public procurement provisions, 32</w:t>
      </w:r>
      <w:r w:rsidR="00BE0D66" w:rsidRPr="00720DA1">
        <w:rPr>
          <w:sz w:val="16"/>
          <w:szCs w:val="16"/>
        </w:rPr>
        <w:t xml:space="preserve"> </w:t>
      </w:r>
      <w:r w:rsidRPr="00720DA1">
        <w:rPr>
          <w:sz w:val="16"/>
          <w:szCs w:val="16"/>
        </w:rPr>
        <w:t>888 jobs by auctions, and 20</w:t>
      </w:r>
      <w:r w:rsidR="00BE0D66" w:rsidRPr="00720DA1">
        <w:rPr>
          <w:sz w:val="16"/>
          <w:szCs w:val="16"/>
        </w:rPr>
        <w:t xml:space="preserve"> </w:t>
      </w:r>
      <w:r w:rsidRPr="00720DA1">
        <w:rPr>
          <w:sz w:val="16"/>
          <w:szCs w:val="16"/>
        </w:rPr>
        <w:t>771 jobs by public support schemes.</w:t>
      </w:r>
    </w:p>
  </w:footnote>
  <w:footnote w:id="207">
    <w:p w14:paraId="4A2EBFB3" w14:textId="1FE8BC30"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In 2024 alone, automotive suppliers announced that 54</w:t>
      </w:r>
      <w:r w:rsidR="00B8591D" w:rsidRPr="00720DA1">
        <w:rPr>
          <w:sz w:val="16"/>
          <w:szCs w:val="16"/>
        </w:rPr>
        <w:t xml:space="preserve"> </w:t>
      </w:r>
      <w:r w:rsidRPr="00720DA1">
        <w:rPr>
          <w:sz w:val="16"/>
          <w:szCs w:val="16"/>
        </w:rPr>
        <w:t>000 jobs will be cut, with most of these in the next two to five years.</w:t>
      </w:r>
      <w:r w:rsidR="007F277D" w:rsidRPr="00720DA1">
        <w:rPr>
          <w:sz w:val="16"/>
          <w:szCs w:val="16"/>
        </w:rPr>
        <w:t xml:space="preserve"> Source: CLEPA (2025). </w:t>
      </w:r>
      <w:r w:rsidRPr="00720DA1">
        <w:rPr>
          <w:sz w:val="16"/>
          <w:szCs w:val="16"/>
        </w:rPr>
        <w:t>Job losses escalate as demand stays below expectations</w:t>
      </w:r>
      <w:r w:rsidR="007F277D" w:rsidRPr="00720DA1">
        <w:rPr>
          <w:sz w:val="16"/>
          <w:szCs w:val="16"/>
        </w:rPr>
        <w:t>.</w:t>
      </w:r>
    </w:p>
  </w:footnote>
  <w:footnote w:id="208">
    <w:p w14:paraId="7E7D17BB" w14:textId="7A025503" w:rsidR="00285741" w:rsidRPr="00720DA1" w:rsidRDefault="00285741" w:rsidP="00793CFD">
      <w:pPr>
        <w:pStyle w:val="FootnoteText"/>
        <w:rPr>
          <w:sz w:val="16"/>
          <w:szCs w:val="16"/>
        </w:rPr>
      </w:pPr>
      <w:r w:rsidRPr="00720DA1">
        <w:rPr>
          <w:rStyle w:val="FootnoteReference"/>
          <w:sz w:val="16"/>
          <w:szCs w:val="16"/>
        </w:rPr>
        <w:footnoteRef/>
      </w:r>
      <w:r w:rsidRPr="00720DA1">
        <w:rPr>
          <w:sz w:val="16"/>
          <w:szCs w:val="16"/>
        </w:rPr>
        <w:t xml:space="preserve"> Calculations explained in Annex 4 </w:t>
      </w:r>
      <w:r w:rsidR="005F071C" w:rsidRPr="00720DA1">
        <w:rPr>
          <w:sz w:val="16"/>
          <w:szCs w:val="16"/>
        </w:rPr>
        <w:t>S</w:t>
      </w:r>
      <w:r w:rsidRPr="00720DA1">
        <w:rPr>
          <w:sz w:val="16"/>
          <w:szCs w:val="16"/>
        </w:rPr>
        <w:t xml:space="preserve">ection </w:t>
      </w:r>
      <w:r w:rsidRPr="00720DA1" w:rsidDel="00765286">
        <w:rPr>
          <w:sz w:val="16"/>
          <w:szCs w:val="16"/>
        </w:rPr>
        <w:t>2</w:t>
      </w:r>
      <w:r w:rsidRPr="00720DA1">
        <w:rPr>
          <w:sz w:val="16"/>
          <w:szCs w:val="16"/>
        </w:rPr>
        <w:t>.</w:t>
      </w:r>
      <w:r w:rsidR="00ED43B1" w:rsidRPr="00720DA1">
        <w:rPr>
          <w:sz w:val="16"/>
          <w:szCs w:val="16"/>
        </w:rPr>
        <w:t>3</w:t>
      </w:r>
      <w:r w:rsidR="005F071C" w:rsidRPr="00720DA1">
        <w:rPr>
          <w:sz w:val="16"/>
          <w:szCs w:val="16"/>
        </w:rPr>
        <w:t>.</w:t>
      </w:r>
    </w:p>
  </w:footnote>
  <w:footnote w:id="209">
    <w:p w14:paraId="20045BBE" w14:textId="6F71A4CD"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Calculations explained in Annex 4 </w:t>
      </w:r>
      <w:r w:rsidR="005F071C" w:rsidRPr="00720DA1">
        <w:rPr>
          <w:sz w:val="16"/>
          <w:szCs w:val="16"/>
        </w:rPr>
        <w:t>S</w:t>
      </w:r>
      <w:r w:rsidRPr="00720DA1">
        <w:rPr>
          <w:sz w:val="16"/>
          <w:szCs w:val="16"/>
        </w:rPr>
        <w:t>ection 2.</w:t>
      </w:r>
      <w:r w:rsidR="00ED43B1" w:rsidRPr="00720DA1">
        <w:rPr>
          <w:sz w:val="16"/>
          <w:szCs w:val="16"/>
        </w:rPr>
        <w:t>3</w:t>
      </w:r>
      <w:r w:rsidR="005F071C" w:rsidRPr="00720DA1">
        <w:rPr>
          <w:sz w:val="16"/>
          <w:szCs w:val="16"/>
        </w:rPr>
        <w:t>.</w:t>
      </w:r>
    </w:p>
  </w:footnote>
  <w:footnote w:id="210">
    <w:p w14:paraId="624056C5" w14:textId="2D12BFE0"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T&amp;E</w:t>
      </w:r>
      <w:r w:rsidR="00570DCC" w:rsidRPr="00720DA1">
        <w:rPr>
          <w:rFonts w:cs="Times New Roman"/>
          <w:sz w:val="16"/>
          <w:szCs w:val="16"/>
        </w:rPr>
        <w:t xml:space="preserve"> (2024).</w:t>
      </w:r>
      <w:r w:rsidRPr="00720DA1">
        <w:rPr>
          <w:rFonts w:cs="Times New Roman"/>
          <w:sz w:val="16"/>
          <w:szCs w:val="16"/>
        </w:rPr>
        <w:t xml:space="preserve"> </w:t>
      </w:r>
      <w:hyperlink r:id="rId134" w:history="1">
        <w:r w:rsidRPr="00720DA1">
          <w:rPr>
            <w:rStyle w:val="Hyperlink"/>
            <w:rFonts w:cs="Times New Roman"/>
            <w:sz w:val="16"/>
            <w:szCs w:val="16"/>
          </w:rPr>
          <w:t>An Industrial blueprint for batteries in Europe</w:t>
        </w:r>
      </w:hyperlink>
      <w:r w:rsidR="00570DCC" w:rsidRPr="00720DA1">
        <w:rPr>
          <w:rFonts w:cs="Times New Roman"/>
          <w:sz w:val="16"/>
          <w:szCs w:val="16"/>
        </w:rPr>
        <w:t>.</w:t>
      </w:r>
    </w:p>
  </w:footnote>
  <w:footnote w:id="211">
    <w:p w14:paraId="594DC019"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 CAM production achieves a 12% reduction in </w:t>
      </w:r>
      <w:r w:rsidRPr="00720DA1">
        <w:rPr>
          <w:rFonts w:cs="Times New Roman"/>
          <w:color w:val="000000" w:themeColor="text1"/>
          <w:sz w:val="16"/>
          <w:szCs w:val="16"/>
        </w:rPr>
        <w:t>CO</w:t>
      </w:r>
      <w:r w:rsidRPr="00720DA1">
        <w:rPr>
          <w:rFonts w:cs="Times New Roman"/>
          <w:color w:val="000000" w:themeColor="text1"/>
          <w:sz w:val="16"/>
          <w:szCs w:val="16"/>
          <w:vertAlign w:val="subscript"/>
        </w:rPr>
        <w:t>2</w:t>
      </w:r>
      <w:r w:rsidRPr="00720DA1">
        <w:rPr>
          <w:rFonts w:cs="Times New Roman"/>
          <w:sz w:val="16"/>
          <w:szCs w:val="16"/>
        </w:rPr>
        <w:t xml:space="preserve"> emissions, while battery materials such as lithium hydroxide, nickel sulphate, and manganese sulphate see reductions of up to 71%.</w:t>
      </w:r>
    </w:p>
  </w:footnote>
  <w:footnote w:id="212">
    <w:p w14:paraId="16CF5494" w14:textId="4357BD35"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 xml:space="preserve">T&amp;E </w:t>
      </w:r>
      <w:r w:rsidR="00940713" w:rsidRPr="00720DA1">
        <w:rPr>
          <w:rFonts w:cs="Times New Roman"/>
          <w:sz w:val="16"/>
          <w:szCs w:val="16"/>
        </w:rPr>
        <w:t xml:space="preserve">(2024). </w:t>
      </w:r>
      <w:hyperlink r:id="rId135" w:history="1">
        <w:r w:rsidRPr="00720DA1">
          <w:rPr>
            <w:rStyle w:val="Hyperlink"/>
            <w:rFonts w:cs="Times New Roman"/>
            <w:sz w:val="16"/>
            <w:szCs w:val="16"/>
          </w:rPr>
          <w:t>An Industrial blueprint for batteries in Europe</w:t>
        </w:r>
      </w:hyperlink>
      <w:r w:rsidR="00940713" w:rsidRPr="00720DA1">
        <w:rPr>
          <w:rFonts w:cs="Times New Roman"/>
          <w:sz w:val="16"/>
          <w:szCs w:val="16"/>
        </w:rPr>
        <w:t>.</w:t>
      </w:r>
    </w:p>
  </w:footnote>
  <w:footnote w:id="213">
    <w:p w14:paraId="2AEC6EE9" w14:textId="36EDE700"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sz w:val="16"/>
          <w:szCs w:val="16"/>
        </w:rPr>
        <w:t xml:space="preserve"> </w:t>
      </w:r>
      <w:r w:rsidR="00E5532E" w:rsidRPr="00720DA1">
        <w:rPr>
          <w:sz w:val="16"/>
          <w:szCs w:val="16"/>
        </w:rPr>
        <w:t xml:space="preserve">Eurostat. </w:t>
      </w:r>
      <w:hyperlink r:id="rId136" w:anchor="Greenhouse_gas_emissions" w:history="1">
        <w:r w:rsidRPr="00720DA1">
          <w:rPr>
            <w:rStyle w:val="Hyperlink"/>
            <w:rFonts w:cs="Times New Roman"/>
            <w:sz w:val="16"/>
            <w:szCs w:val="16"/>
          </w:rPr>
          <w:t>Quarterly greenhouse gas emissions in the EU</w:t>
        </w:r>
      </w:hyperlink>
      <w:r w:rsidR="00E5532E" w:rsidRPr="00720DA1">
        <w:rPr>
          <w:sz w:val="16"/>
          <w:szCs w:val="16"/>
        </w:rPr>
        <w:t>.</w:t>
      </w:r>
    </w:p>
  </w:footnote>
  <w:footnote w:id="214">
    <w:p w14:paraId="4B679C83" w14:textId="2B19A13F" w:rsidR="00285741" w:rsidRPr="00720DA1" w:rsidRDefault="0028574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The low</w:t>
      </w:r>
      <w:r w:rsidR="008251C5" w:rsidRPr="00720DA1">
        <w:rPr>
          <w:rFonts w:cs="Times New Roman"/>
          <w:sz w:val="16"/>
          <w:szCs w:val="16"/>
        </w:rPr>
        <w:t>-</w:t>
      </w:r>
      <w:r w:rsidRPr="00720DA1">
        <w:rPr>
          <w:rFonts w:cs="Times New Roman"/>
          <w:sz w:val="16"/>
          <w:szCs w:val="16"/>
        </w:rPr>
        <w:t>carbon steel label costs for businesses can be estimated using the cost structure from ResponsibleSteel. This estimate took the average between costs for normal and large companies</w:t>
      </w:r>
    </w:p>
  </w:footnote>
  <w:footnote w:id="215">
    <w:p w14:paraId="4E65C036" w14:textId="53245FFA" w:rsidR="00450D38" w:rsidRPr="00720DA1" w:rsidRDefault="00450D38" w:rsidP="006529E1">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006529E1" w:rsidRPr="00720DA1">
        <w:rPr>
          <w:rFonts w:cs="Times New Roman"/>
          <w:sz w:val="16"/>
          <w:szCs w:val="16"/>
        </w:rPr>
        <w:t xml:space="preserve">EU production is </w:t>
      </w:r>
      <w:r w:rsidR="00DF6C23" w:rsidRPr="00720DA1">
        <w:rPr>
          <w:rFonts w:cs="Times New Roman"/>
          <w:sz w:val="16"/>
          <w:szCs w:val="16"/>
        </w:rPr>
        <w:t xml:space="preserve">still </w:t>
      </w:r>
      <w:r w:rsidR="006529E1" w:rsidRPr="00720DA1">
        <w:rPr>
          <w:rFonts w:cs="Times New Roman"/>
          <w:sz w:val="16"/>
          <w:szCs w:val="16"/>
        </w:rPr>
        <w:t xml:space="preserve">able to cover between 80 and 90% of the EU’s domestic demand of </w:t>
      </w:r>
      <w:r w:rsidR="000A2CC9" w:rsidRPr="00720DA1">
        <w:rPr>
          <w:rFonts w:cs="Times New Roman"/>
          <w:sz w:val="16"/>
          <w:szCs w:val="16"/>
        </w:rPr>
        <w:t>steel and about 45% of the EU’s domestic</w:t>
      </w:r>
      <w:r w:rsidR="003A630E" w:rsidRPr="00720DA1">
        <w:rPr>
          <w:rFonts w:cs="Times New Roman"/>
          <w:sz w:val="16"/>
          <w:szCs w:val="16"/>
        </w:rPr>
        <w:t xml:space="preserve"> demand of aluminium. </w:t>
      </w:r>
      <w:hyperlink r:id="rId137" w:history="1">
        <w:r w:rsidR="00016FAB" w:rsidRPr="00720DA1">
          <w:rPr>
            <w:rStyle w:val="Hyperlink"/>
            <w:rFonts w:cs="Times New Roman"/>
            <w:sz w:val="16"/>
            <w:szCs w:val="16"/>
          </w:rPr>
          <w:t>COM(2025) 125 final</w:t>
        </w:r>
      </w:hyperlink>
    </w:p>
  </w:footnote>
  <w:footnote w:id="216">
    <w:p w14:paraId="4EA7468B" w14:textId="6611CF5D" w:rsidR="001A4D6B" w:rsidRPr="00720DA1" w:rsidRDefault="001A4D6B">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Estimate based on BloombergNEF’s Steel Decarbonization Project Database 1.0.5. The cumulative figures of 41 Mtpa of low-carbon steel capacity and the associated EUR 15.5. billion in investments represent only projects whose output meets the indicative IAA’s carbon intensity label classes of performance (Class A-C).</w:t>
      </w:r>
    </w:p>
  </w:footnote>
  <w:footnote w:id="217">
    <w:p w14:paraId="3F72A35B" w14:textId="5D6A073E" w:rsidR="00577521" w:rsidRPr="00720DA1" w:rsidRDefault="00577521" w:rsidP="00577521">
      <w:pPr>
        <w:pStyle w:val="FootnoteText"/>
        <w:rPr>
          <w:sz w:val="16"/>
          <w:szCs w:val="16"/>
          <w:lang w:val="en-IE"/>
        </w:rPr>
      </w:pPr>
      <w:r w:rsidRPr="00720DA1">
        <w:rPr>
          <w:rStyle w:val="FootnoteReference"/>
          <w:sz w:val="16"/>
          <w:szCs w:val="16"/>
        </w:rPr>
        <w:footnoteRef/>
      </w:r>
      <w:r w:rsidRPr="00720DA1">
        <w:rPr>
          <w:sz w:val="16"/>
          <w:szCs w:val="16"/>
        </w:rPr>
        <w:t xml:space="preserve"> </w:t>
      </w:r>
      <w:r>
        <w:rPr>
          <w:sz w:val="16"/>
          <w:szCs w:val="16"/>
          <w:lang w:val="en-IE"/>
        </w:rPr>
        <w:t>Ibid.</w:t>
      </w:r>
    </w:p>
  </w:footnote>
  <w:footnote w:id="218">
    <w:p w14:paraId="3BE1415D" w14:textId="77777777" w:rsidR="007173D9" w:rsidRPr="0055471E" w:rsidRDefault="007173D9" w:rsidP="007173D9">
      <w:pPr>
        <w:pStyle w:val="FootnoteText"/>
        <w:rPr>
          <w:sz w:val="16"/>
          <w:szCs w:val="16"/>
          <w:lang w:val="en-IE"/>
        </w:rPr>
      </w:pPr>
      <w:r w:rsidRPr="0055471E">
        <w:rPr>
          <w:rStyle w:val="FootnoteReference"/>
          <w:sz w:val="16"/>
          <w:szCs w:val="16"/>
        </w:rPr>
        <w:footnoteRef/>
      </w:r>
      <w:r w:rsidRPr="0055471E">
        <w:rPr>
          <w:sz w:val="16"/>
          <w:szCs w:val="16"/>
        </w:rPr>
        <w:t xml:space="preserve"> </w:t>
      </w:r>
      <w:r w:rsidRPr="0055471E">
        <w:rPr>
          <w:rFonts w:cs="Times New Roman"/>
          <w:sz w:val="16"/>
          <w:szCs w:val="16"/>
        </w:rPr>
        <w:t xml:space="preserve">European Commission (2024)., </w:t>
      </w:r>
      <w:hyperlink r:id="rId138" w:history="1">
        <w:r w:rsidRPr="0055471E">
          <w:rPr>
            <w:rStyle w:val="Hyperlink"/>
            <w:rFonts w:cs="Times New Roman"/>
            <w:sz w:val="16"/>
            <w:szCs w:val="16"/>
          </w:rPr>
          <w:t>Commission Staff Working Document: Impact Assessment Report (Part 3), accompanying the document Communication from the Commission to the European Parliament, the Council, the European Economic and Social Committee and the Committee of the Regions: Securing our future - Europe's 2040 climate target and path to climate neutrality by 2050, building a sustainable, just and prosperous society</w:t>
        </w:r>
      </w:hyperlink>
      <w:r w:rsidRPr="0055471E">
        <w:rPr>
          <w:rFonts w:cs="Times New Roman"/>
          <w:sz w:val="16"/>
          <w:szCs w:val="16"/>
        </w:rPr>
        <w:t>, COM(2024) 63 final, pp.164-167.</w:t>
      </w:r>
    </w:p>
  </w:footnote>
  <w:footnote w:id="219">
    <w:p w14:paraId="7C1E00D9" w14:textId="77777777" w:rsidR="0007577F" w:rsidRPr="0055471E" w:rsidRDefault="0007577F" w:rsidP="0007577F">
      <w:pPr>
        <w:pStyle w:val="FootnoteText"/>
        <w:rPr>
          <w:rFonts w:cs="Times New Roman"/>
          <w:sz w:val="16"/>
          <w:szCs w:val="16"/>
        </w:rPr>
      </w:pPr>
      <w:r w:rsidRPr="0055471E">
        <w:rPr>
          <w:rStyle w:val="FootnoteReference"/>
          <w:rFonts w:cs="Times New Roman"/>
          <w:sz w:val="16"/>
          <w:szCs w:val="16"/>
        </w:rPr>
        <w:footnoteRef/>
      </w:r>
      <w:r w:rsidRPr="0055471E">
        <w:rPr>
          <w:rFonts w:cs="Times New Roman"/>
          <w:sz w:val="16"/>
          <w:szCs w:val="16"/>
        </w:rPr>
        <w:t xml:space="preserve"> </w:t>
      </w:r>
      <w:r w:rsidRPr="0055471E">
        <w:rPr>
          <w:sz w:val="16"/>
          <w:szCs w:val="16"/>
        </w:rPr>
        <w:t xml:space="preserve">Draghi, M. (2024). </w:t>
      </w:r>
      <w:hyperlink r:id="rId139" w:history="1">
        <w:r w:rsidRPr="0055471E">
          <w:rPr>
            <w:rStyle w:val="Hyperlink"/>
            <w:sz w:val="16"/>
            <w:szCs w:val="16"/>
          </w:rPr>
          <w:t>The future of European competitiveness: In‑depth analysis and recommendations (Part B)</w:t>
        </w:r>
      </w:hyperlink>
      <w:r w:rsidRPr="0055471E">
        <w:rPr>
          <w:sz w:val="16"/>
          <w:szCs w:val="16"/>
        </w:rPr>
        <w:t xml:space="preserve">, </w:t>
      </w:r>
      <w:r w:rsidRPr="0055471E">
        <w:rPr>
          <w:rFonts w:eastAsia="Times New Roman" w:cs="Times New Roman"/>
          <w:sz w:val="16"/>
          <w:szCs w:val="16"/>
        </w:rPr>
        <w:t xml:space="preserve">p. </w:t>
      </w:r>
      <w:r w:rsidRPr="0055471E">
        <w:rPr>
          <w:rFonts w:cs="Times New Roman"/>
          <w:sz w:val="16"/>
          <w:szCs w:val="16"/>
        </w:rPr>
        <w:t xml:space="preserve">99. </w:t>
      </w:r>
    </w:p>
  </w:footnote>
  <w:footnote w:id="220">
    <w:p w14:paraId="35DB6EEB"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All respondents from glass (4), pulp &amp; paper (1) and ceramics (3) agreed. Among respondents from the iron &amp; steel sector, 16 out of 18 agreed, while support was also strong among non-ferrous metals (4 out of 5) and cement (6 out of 7). The chemical showed lower agreement (2 out of 4).</w:t>
      </w:r>
    </w:p>
  </w:footnote>
  <w:footnote w:id="221">
    <w:p w14:paraId="3E3AEE56" w14:textId="2D0EE9DC"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Mistura, F. and C. Roulet (2019)</w:t>
      </w:r>
      <w:r w:rsidR="00CD22B3" w:rsidRPr="00720DA1">
        <w:rPr>
          <w:sz w:val="16"/>
          <w:szCs w:val="16"/>
        </w:rPr>
        <w:t>.</w:t>
      </w:r>
      <w:r w:rsidRPr="00720DA1">
        <w:rPr>
          <w:sz w:val="16"/>
          <w:szCs w:val="16"/>
        </w:rPr>
        <w:t xml:space="preserve"> The determinants of Foreign Direct Investment: Do statutory restrictions matter?, OECD Working Papers on International Investment, No. 2019/01, OECD Publishing, Paris, https://doi.org/10.1787/641507ce-en.</w:t>
      </w:r>
    </w:p>
  </w:footnote>
  <w:footnote w:id="222">
    <w:p w14:paraId="75D61F39" w14:textId="5AF1A24C"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187604" w:rsidRPr="00720DA1">
        <w:rPr>
          <w:sz w:val="16"/>
          <w:szCs w:val="16"/>
        </w:rPr>
        <w:t xml:space="preserve">European Commission (2025). </w:t>
      </w:r>
      <w:hyperlink r:id="rId140">
        <w:r w:rsidRPr="00720DA1">
          <w:rPr>
            <w:rStyle w:val="Hyperlink"/>
            <w:rFonts w:eastAsia="Times" w:cs="Times New Roman"/>
            <w:sz w:val="16"/>
            <w:szCs w:val="16"/>
          </w:rPr>
          <w:t xml:space="preserve">2025 </w:t>
        </w:r>
        <w:r w:rsidR="00187604" w:rsidRPr="00720DA1">
          <w:rPr>
            <w:rStyle w:val="Hyperlink"/>
            <w:rFonts w:eastAsia="Times" w:cs="Times New Roman"/>
            <w:sz w:val="16"/>
            <w:szCs w:val="16"/>
          </w:rPr>
          <w:t>A</w:t>
        </w:r>
        <w:r w:rsidRPr="00720DA1">
          <w:rPr>
            <w:rStyle w:val="Hyperlink"/>
            <w:rFonts w:eastAsia="Times" w:cs="Times New Roman"/>
            <w:sz w:val="16"/>
            <w:szCs w:val="16"/>
          </w:rPr>
          <w:t>nnual knowledge sharing report of the Innovation Fund.</w:t>
        </w:r>
      </w:hyperlink>
    </w:p>
  </w:footnote>
  <w:footnote w:id="223">
    <w:p w14:paraId="17A2328B" w14:textId="77777777" w:rsidR="00DF728B" w:rsidRPr="00720DA1" w:rsidRDefault="00DF728B" w:rsidP="00DF728B">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 xml:space="preserve">EU production is still able to cover between 80 and 90% of the EU’s domestic demand of steel and about 45% of the EU’s domestic demand of aluminium. </w:t>
      </w:r>
      <w:hyperlink r:id="rId141" w:history="1">
        <w:r w:rsidRPr="00720DA1">
          <w:rPr>
            <w:rStyle w:val="Hyperlink"/>
            <w:rFonts w:cs="Times New Roman"/>
            <w:sz w:val="16"/>
            <w:szCs w:val="16"/>
          </w:rPr>
          <w:t>COM(2025) 125 final</w:t>
        </w:r>
      </w:hyperlink>
    </w:p>
  </w:footnote>
  <w:footnote w:id="224">
    <w:p w14:paraId="79A8EEF2" w14:textId="77777777"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This assessment is</w:t>
      </w:r>
      <w:r w:rsidRPr="00720DA1">
        <w:rPr>
          <w:sz w:val="16"/>
          <w:szCs w:val="16"/>
        </w:rPr>
        <w:t xml:space="preserve"> </w:t>
      </w:r>
      <w:r w:rsidRPr="00720DA1">
        <w:rPr>
          <w:rFonts w:cs="Times New Roman"/>
          <w:sz w:val="16"/>
          <w:szCs w:val="16"/>
        </w:rPr>
        <w:t xml:space="preserve">consistent with the modelling framework used in </w:t>
      </w:r>
      <w:hyperlink r:id="rId142" w:history="1">
        <w:r w:rsidRPr="00720DA1">
          <w:rPr>
            <w:rStyle w:val="Hyperlink"/>
            <w:rFonts w:cs="Times New Roman"/>
            <w:sz w:val="16"/>
            <w:szCs w:val="16"/>
          </w:rPr>
          <w:t>COM(2025) 780 final</w:t>
        </w:r>
      </w:hyperlink>
      <w:r w:rsidRPr="00720DA1">
        <w:rPr>
          <w:rFonts w:cs="Times New Roman"/>
          <w:sz w:val="16"/>
          <w:szCs w:val="16"/>
        </w:rPr>
        <w:t>, applying the same behavioural parameters and elasticity assumptions. More detailed results and the full calculation methodology are presented in Annex 11.</w:t>
      </w:r>
    </w:p>
  </w:footnote>
  <w:footnote w:id="225">
    <w:p w14:paraId="139B26C7"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Defined in the study as a maximum carbon intensity of 0.7 tonnes of CO</w:t>
      </w:r>
      <w:r w:rsidRPr="00720DA1">
        <w:rPr>
          <w:rFonts w:cs="Times New Roman"/>
          <w:sz w:val="16"/>
          <w:szCs w:val="16"/>
          <w:vertAlign w:val="subscript"/>
        </w:rPr>
        <w:t>2</w:t>
      </w:r>
      <w:r w:rsidRPr="00720DA1">
        <w:rPr>
          <w:rFonts w:cs="Times New Roman"/>
          <w:sz w:val="16"/>
          <w:szCs w:val="16"/>
        </w:rPr>
        <w:t>e/tonne of steel for flat products and of 0.35 tonnes of CO</w:t>
      </w:r>
      <w:r w:rsidRPr="00720DA1">
        <w:rPr>
          <w:rFonts w:cs="Times New Roman"/>
          <w:sz w:val="16"/>
          <w:szCs w:val="16"/>
          <w:vertAlign w:val="subscript"/>
        </w:rPr>
        <w:t>2</w:t>
      </w:r>
      <w:r w:rsidRPr="00720DA1">
        <w:rPr>
          <w:rFonts w:cs="Times New Roman"/>
          <w:sz w:val="16"/>
          <w:szCs w:val="16"/>
        </w:rPr>
        <w:t>e/tonne of steel for long products in 2030.</w:t>
      </w:r>
    </w:p>
  </w:footnote>
  <w:footnote w:id="226">
    <w:p w14:paraId="46046F28" w14:textId="472378DC" w:rsidR="003326F1" w:rsidRPr="00720DA1" w:rsidRDefault="003326F1" w:rsidP="003326F1">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Strategic Perspectives (2025). </w:t>
      </w:r>
      <w:hyperlink r:id="rId143" w:history="1">
        <w:r w:rsidRPr="00720DA1">
          <w:rPr>
            <w:rStyle w:val="Hyperlink"/>
            <w:sz w:val="16"/>
            <w:szCs w:val="16"/>
          </w:rPr>
          <w:t>Lead markets: driving net-zero industries made in Europe</w:t>
        </w:r>
      </w:hyperlink>
      <w:r w:rsidRPr="00720DA1">
        <w:rPr>
          <w:rFonts w:cs="Times New Roman"/>
          <w:sz w:val="16"/>
          <w:szCs w:val="16"/>
        </w:rPr>
        <w:t>.</w:t>
      </w:r>
      <w:r w:rsidR="007C2B74" w:rsidRPr="00720DA1">
        <w:rPr>
          <w:rFonts w:cs="Times New Roman"/>
          <w:sz w:val="16"/>
          <w:szCs w:val="16"/>
        </w:rPr>
        <w:t xml:space="preserve"> </w:t>
      </w:r>
      <w:r w:rsidR="000E73A5" w:rsidRPr="00720DA1">
        <w:rPr>
          <w:rFonts w:cs="Times New Roman"/>
          <w:sz w:val="16"/>
          <w:szCs w:val="16"/>
        </w:rPr>
        <w:t xml:space="preserve">Estimate </w:t>
      </w:r>
      <w:r w:rsidR="00614039" w:rsidRPr="00720DA1">
        <w:rPr>
          <w:rFonts w:cs="Times New Roman"/>
          <w:sz w:val="16"/>
          <w:szCs w:val="16"/>
        </w:rPr>
        <w:t>from</w:t>
      </w:r>
      <w:r w:rsidR="007C2B74" w:rsidRPr="00720DA1">
        <w:rPr>
          <w:rFonts w:cs="Times New Roman"/>
          <w:sz w:val="16"/>
          <w:szCs w:val="16"/>
        </w:rPr>
        <w:t xml:space="preserve"> </w:t>
      </w:r>
      <w:r w:rsidR="00614039" w:rsidRPr="00720DA1">
        <w:rPr>
          <w:rFonts w:cs="Times New Roman"/>
          <w:sz w:val="16"/>
          <w:szCs w:val="16"/>
        </w:rPr>
        <w:t>dataset</w:t>
      </w:r>
      <w:r w:rsidR="000C47FF" w:rsidRPr="00720DA1">
        <w:rPr>
          <w:rFonts w:cs="Times New Roman"/>
          <w:sz w:val="16"/>
          <w:szCs w:val="16"/>
        </w:rPr>
        <w:t xml:space="preserve"> used in report’s underlying analysis.</w:t>
      </w:r>
    </w:p>
  </w:footnote>
  <w:footnote w:id="227">
    <w:p w14:paraId="422B544B" w14:textId="6D27182C" w:rsidR="00285741" w:rsidRPr="00720DA1" w:rsidRDefault="00285741" w:rsidP="00793CFD">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vertAlign w:val="superscript"/>
        </w:rPr>
        <w:t xml:space="preserve"> </w:t>
      </w:r>
      <w:r w:rsidRPr="00720DA1">
        <w:rPr>
          <w:rFonts w:cs="Times New Roman"/>
          <w:sz w:val="16"/>
          <w:szCs w:val="16"/>
        </w:rPr>
        <w:t xml:space="preserve">EIIs account for approximately </w:t>
      </w:r>
      <w:r w:rsidR="008F79EE">
        <w:rPr>
          <w:rFonts w:cs="Times New Roman"/>
          <w:sz w:val="16"/>
          <w:szCs w:val="16"/>
        </w:rPr>
        <w:t>22</w:t>
      </w:r>
      <w:r w:rsidRPr="00720DA1">
        <w:rPr>
          <w:rFonts w:cs="Times New Roman"/>
          <w:sz w:val="16"/>
          <w:szCs w:val="16"/>
        </w:rPr>
        <w:t xml:space="preserve">% of the European Union's total greenhouse gas (GHG) emissions. Time gained through a more efficient permitting process will help to decrease the </w:t>
      </w:r>
      <w:r w:rsidR="008F79EE">
        <w:rPr>
          <w:rFonts w:cs="Times New Roman"/>
          <w:sz w:val="16"/>
          <w:szCs w:val="16"/>
        </w:rPr>
        <w:t>22</w:t>
      </w:r>
      <w:r w:rsidRPr="00720DA1">
        <w:rPr>
          <w:rFonts w:cs="Times New Roman"/>
          <w:sz w:val="16"/>
          <w:szCs w:val="16"/>
        </w:rPr>
        <w:t>% and achieve wider climate targets earlier.</w:t>
      </w:r>
    </w:p>
  </w:footnote>
  <w:footnote w:id="228">
    <w:p w14:paraId="790A994F" w14:textId="5F3C7400" w:rsidR="001E26DA" w:rsidRPr="00720DA1" w:rsidRDefault="001E26DA">
      <w:pPr>
        <w:pStyle w:val="FootnoteText"/>
        <w:rPr>
          <w:sz w:val="16"/>
          <w:szCs w:val="16"/>
          <w:lang w:val="en-IE"/>
        </w:rPr>
      </w:pPr>
      <w:r w:rsidRPr="00720DA1">
        <w:rPr>
          <w:rStyle w:val="FootnoteReference"/>
          <w:sz w:val="16"/>
          <w:szCs w:val="16"/>
        </w:rPr>
        <w:footnoteRef/>
      </w:r>
      <w:r w:rsidRPr="00720DA1">
        <w:rPr>
          <w:sz w:val="16"/>
          <w:szCs w:val="16"/>
        </w:rPr>
        <w:t xml:space="preserve"> Estimate based on data from BloombergNEF’s Steel Decarbonization Project Database 1.0.5. The cumulative figures of 41 Mtpa of low-carbon steel capacity and the associated EUR 15.5. billion in investments represent only projects whose output meets the indicative IAA’s carbon intensity label classes of performance (Class A-C).</w:t>
      </w:r>
    </w:p>
  </w:footnote>
  <w:footnote w:id="229">
    <w:p w14:paraId="23271615" w14:textId="77777777" w:rsidR="00111EF5" w:rsidRPr="0055471E" w:rsidRDefault="00111EF5" w:rsidP="00111EF5">
      <w:pPr>
        <w:pStyle w:val="FootnoteText"/>
        <w:rPr>
          <w:sz w:val="16"/>
          <w:szCs w:val="16"/>
          <w:lang w:val="en-IE"/>
        </w:rPr>
      </w:pPr>
      <w:r w:rsidRPr="0055471E">
        <w:rPr>
          <w:rStyle w:val="FootnoteReference"/>
          <w:sz w:val="16"/>
          <w:szCs w:val="16"/>
        </w:rPr>
        <w:footnoteRef/>
      </w:r>
      <w:r w:rsidRPr="0055471E">
        <w:rPr>
          <w:sz w:val="16"/>
          <w:szCs w:val="16"/>
        </w:rPr>
        <w:t xml:space="preserve"> </w:t>
      </w:r>
      <w:r w:rsidRPr="0055471E">
        <w:rPr>
          <w:rFonts w:cs="Times New Roman"/>
          <w:sz w:val="16"/>
          <w:szCs w:val="16"/>
        </w:rPr>
        <w:t xml:space="preserve">European Commission (2024)., </w:t>
      </w:r>
      <w:hyperlink r:id="rId144" w:history="1">
        <w:r w:rsidRPr="0055471E">
          <w:rPr>
            <w:rStyle w:val="Hyperlink"/>
            <w:rFonts w:cs="Times New Roman"/>
            <w:sz w:val="16"/>
            <w:szCs w:val="16"/>
          </w:rPr>
          <w:t>Commission Staff Working Document: Impact Assessment Report (Part 3), accompanying the document Communication from the Commission to the European Parliament, the Council, the European Economic and Social Committee and the Committee of the Regions: Securing our future - Europe's 2040 climate target and path to climate neutrality by 2050, building a sustainable, just and prosperous society</w:t>
        </w:r>
      </w:hyperlink>
      <w:r w:rsidRPr="0055471E">
        <w:rPr>
          <w:rFonts w:cs="Times New Roman"/>
          <w:sz w:val="16"/>
          <w:szCs w:val="16"/>
        </w:rPr>
        <w:t>, COM(2024) 63 final, pp.164-167.</w:t>
      </w:r>
    </w:p>
  </w:footnote>
  <w:footnote w:id="230">
    <w:p w14:paraId="65DD8E13" w14:textId="77777777" w:rsidR="007173D9" w:rsidRPr="0055471E" w:rsidRDefault="007173D9" w:rsidP="007173D9">
      <w:pPr>
        <w:pStyle w:val="FootnoteText"/>
        <w:rPr>
          <w:rFonts w:cs="Times New Roman"/>
          <w:sz w:val="16"/>
          <w:szCs w:val="16"/>
        </w:rPr>
      </w:pPr>
      <w:r w:rsidRPr="0055471E">
        <w:rPr>
          <w:rStyle w:val="FootnoteReference"/>
          <w:rFonts w:cs="Times New Roman"/>
          <w:sz w:val="16"/>
          <w:szCs w:val="16"/>
        </w:rPr>
        <w:footnoteRef/>
      </w:r>
      <w:r w:rsidRPr="0055471E">
        <w:rPr>
          <w:rFonts w:cs="Times New Roman"/>
          <w:sz w:val="16"/>
          <w:szCs w:val="16"/>
        </w:rPr>
        <w:t xml:space="preserve"> </w:t>
      </w:r>
      <w:r w:rsidRPr="0055471E">
        <w:rPr>
          <w:sz w:val="16"/>
          <w:szCs w:val="16"/>
        </w:rPr>
        <w:t xml:space="preserve">Draghi, M. (2024). </w:t>
      </w:r>
      <w:hyperlink r:id="rId145" w:history="1">
        <w:r w:rsidRPr="0055471E">
          <w:rPr>
            <w:rStyle w:val="Hyperlink"/>
            <w:sz w:val="16"/>
            <w:szCs w:val="16"/>
          </w:rPr>
          <w:t>The future of European competitiveness: In‑depth analysis and recommendations (Part B)</w:t>
        </w:r>
      </w:hyperlink>
      <w:r w:rsidRPr="0055471E">
        <w:rPr>
          <w:sz w:val="16"/>
          <w:szCs w:val="16"/>
        </w:rPr>
        <w:t xml:space="preserve">, </w:t>
      </w:r>
      <w:r w:rsidRPr="0055471E">
        <w:rPr>
          <w:rFonts w:eastAsia="Times New Roman" w:cs="Times New Roman"/>
          <w:sz w:val="16"/>
          <w:szCs w:val="16"/>
        </w:rPr>
        <w:t xml:space="preserve">p. </w:t>
      </w:r>
      <w:r w:rsidRPr="0055471E">
        <w:rPr>
          <w:rFonts w:cs="Times New Roman"/>
          <w:sz w:val="16"/>
          <w:szCs w:val="16"/>
        </w:rPr>
        <w:t xml:space="preserve">99. </w:t>
      </w:r>
    </w:p>
  </w:footnote>
  <w:footnote w:id="231">
    <w:p w14:paraId="134D9D56" w14:textId="77777777" w:rsidR="00285741" w:rsidRPr="00720DA1" w:rsidRDefault="00285741">
      <w:pPr>
        <w:pStyle w:val="FootnoteText"/>
        <w:rPr>
          <w:i/>
          <w:sz w:val="16"/>
          <w:szCs w:val="16"/>
        </w:rPr>
      </w:pPr>
      <w:r w:rsidRPr="00720DA1">
        <w:rPr>
          <w:rStyle w:val="FootnoteReference"/>
          <w:sz w:val="16"/>
          <w:szCs w:val="16"/>
        </w:rPr>
        <w:footnoteRef/>
      </w:r>
      <w:r w:rsidRPr="00720DA1">
        <w:rPr>
          <w:sz w:val="16"/>
          <w:szCs w:val="16"/>
        </w:rPr>
        <w:t xml:space="preserve"> According to European Commission estimates based on </w:t>
      </w:r>
      <w:hyperlink r:id="rId146" w:history="1">
        <w:r w:rsidRPr="00720DA1">
          <w:rPr>
            <w:rStyle w:val="Hyperlink"/>
            <w:sz w:val="16"/>
            <w:szCs w:val="16"/>
          </w:rPr>
          <w:t>FIDELIO</w:t>
        </w:r>
      </w:hyperlink>
      <w:r w:rsidRPr="00720DA1">
        <w:rPr>
          <w:sz w:val="16"/>
          <w:szCs w:val="16"/>
        </w:rPr>
        <w:t xml:space="preserve"> model (Rocchi, P. et al. 2025)</w:t>
      </w:r>
      <w:r w:rsidRPr="00720DA1">
        <w:rPr>
          <w:i/>
          <w:iCs/>
          <w:sz w:val="16"/>
          <w:szCs w:val="16"/>
        </w:rPr>
        <w:t>.</w:t>
      </w:r>
    </w:p>
  </w:footnote>
  <w:footnote w:id="232">
    <w:p w14:paraId="2399A8C9"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Based on industry announcements, the EU is expected to reach an installed battery cell manufacturing capacity of 892 GWh by 2030, matching an estimated internal demand of 890 GWh.</w:t>
      </w:r>
    </w:p>
  </w:footnote>
  <w:footnote w:id="233">
    <w:p w14:paraId="58ECF7DE" w14:textId="3F0B4560" w:rsidR="00285741" w:rsidRPr="00720DA1" w:rsidRDefault="00285741" w:rsidP="00793CFD">
      <w:pPr>
        <w:rPr>
          <w:rFonts w:eastAsia="Calibri" w:cs="Times New Roman"/>
          <w:sz w:val="16"/>
          <w:szCs w:val="16"/>
        </w:rPr>
      </w:pPr>
      <w:r w:rsidRPr="00720DA1">
        <w:rPr>
          <w:rFonts w:cs="Times New Roman"/>
          <w:sz w:val="16"/>
          <w:szCs w:val="16"/>
          <w:vertAlign w:val="superscript"/>
        </w:rPr>
        <w:footnoteRef/>
      </w:r>
      <w:r w:rsidRPr="00720DA1">
        <w:rPr>
          <w:rFonts w:cs="Times New Roman"/>
          <w:sz w:val="16"/>
          <w:szCs w:val="16"/>
          <w:vertAlign w:val="superscript"/>
        </w:rPr>
        <w:t xml:space="preserve"> </w:t>
      </w:r>
      <w:r w:rsidRPr="00720DA1">
        <w:rPr>
          <w:rFonts w:eastAsia="Calibri" w:cs="Times New Roman"/>
          <w:sz w:val="16"/>
          <w:szCs w:val="16"/>
        </w:rPr>
        <w:t>Solar Power Europe input and Commission calculation.</w:t>
      </w:r>
    </w:p>
    <w:p w14:paraId="15EDD91E" w14:textId="77777777" w:rsidR="00285741" w:rsidRPr="00720DA1" w:rsidRDefault="00285741" w:rsidP="00793CFD">
      <w:pPr>
        <w:rPr>
          <w:rFonts w:cs="Times New Roman"/>
          <w:sz w:val="16"/>
          <w:szCs w:val="16"/>
        </w:rPr>
      </w:pPr>
    </w:p>
  </w:footnote>
  <w:footnote w:id="234">
    <w:p w14:paraId="282BCCE5" w14:textId="71C4942A" w:rsidR="00A814C8" w:rsidRPr="00720DA1" w:rsidRDefault="00A814C8">
      <w:pPr>
        <w:pStyle w:val="FootnoteText"/>
        <w:rPr>
          <w:sz w:val="16"/>
          <w:szCs w:val="16"/>
          <w:lang w:val="en-IE"/>
        </w:rPr>
      </w:pPr>
      <w:r w:rsidRPr="00720DA1">
        <w:rPr>
          <w:rStyle w:val="FootnoteReference"/>
          <w:sz w:val="16"/>
          <w:szCs w:val="16"/>
        </w:rPr>
        <w:footnoteRef/>
      </w:r>
      <w:r w:rsidRPr="00720DA1">
        <w:rPr>
          <w:sz w:val="16"/>
          <w:szCs w:val="16"/>
        </w:rPr>
        <w:t xml:space="preserve"> </w:t>
      </w:r>
      <w:r w:rsidR="00E976B2" w:rsidRPr="00720DA1">
        <w:rPr>
          <w:sz w:val="16"/>
          <w:szCs w:val="16"/>
        </w:rPr>
        <w:t>F</w:t>
      </w:r>
      <w:r w:rsidRPr="00720DA1">
        <w:rPr>
          <w:sz w:val="16"/>
          <w:szCs w:val="16"/>
        </w:rPr>
        <w:t>igures result from a simulation of the F</w:t>
      </w:r>
      <w:r w:rsidR="006F08CF">
        <w:rPr>
          <w:sz w:val="16"/>
          <w:szCs w:val="16"/>
        </w:rPr>
        <w:t>IDELIO</w:t>
      </w:r>
      <w:r w:rsidRPr="00720DA1">
        <w:rPr>
          <w:sz w:val="16"/>
          <w:szCs w:val="16"/>
        </w:rPr>
        <w:t xml:space="preserve"> model, when prices in the automotive and construction sectors are shocked by 0.225% and 0.4499 % respectively, and the resulting general equilibrium effects of higher prices on final demand, incomes and value added are computed.</w:t>
      </w:r>
    </w:p>
  </w:footnote>
  <w:footnote w:id="235">
    <w:p w14:paraId="35088791" w14:textId="1E9412C2" w:rsidR="00285741" w:rsidRPr="00720DA1" w:rsidRDefault="00285741" w:rsidP="00793CFD">
      <w:pPr>
        <w:pStyle w:val="FootnoteText"/>
        <w:rPr>
          <w:rFonts w:cs="Times New Roman"/>
          <w:sz w:val="16"/>
          <w:szCs w:val="16"/>
          <w:highlight w:val="cyan"/>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S&amp;P Mobility</w:t>
      </w:r>
      <w:r w:rsidR="00E67FBA" w:rsidRPr="00720DA1">
        <w:rPr>
          <w:rFonts w:cs="Times New Roman"/>
          <w:sz w:val="16"/>
          <w:szCs w:val="16"/>
        </w:rPr>
        <w:t>.</w:t>
      </w:r>
    </w:p>
  </w:footnote>
  <w:footnote w:id="236">
    <w:p w14:paraId="23459208" w14:textId="3D74A7D5" w:rsidR="00285741" w:rsidRPr="00720DA1" w:rsidRDefault="00285741">
      <w:pPr>
        <w:pStyle w:val="FootnoteText"/>
        <w:rPr>
          <w:i/>
          <w:sz w:val="16"/>
          <w:szCs w:val="16"/>
        </w:rPr>
      </w:pPr>
      <w:r w:rsidRPr="00720DA1">
        <w:rPr>
          <w:rStyle w:val="FootnoteReference"/>
          <w:sz w:val="16"/>
          <w:szCs w:val="16"/>
        </w:rPr>
        <w:footnoteRef/>
      </w:r>
      <w:r w:rsidRPr="00720DA1">
        <w:rPr>
          <w:sz w:val="16"/>
          <w:szCs w:val="16"/>
        </w:rPr>
        <w:t xml:space="preserve"> According to European Commission estimates based on </w:t>
      </w:r>
      <w:hyperlink r:id="rId147" w:history="1">
        <w:r w:rsidRPr="00720DA1">
          <w:rPr>
            <w:rStyle w:val="Hyperlink"/>
            <w:sz w:val="16"/>
            <w:szCs w:val="16"/>
          </w:rPr>
          <w:t>FIDELIO</w:t>
        </w:r>
      </w:hyperlink>
      <w:r w:rsidRPr="00720DA1">
        <w:rPr>
          <w:sz w:val="16"/>
          <w:szCs w:val="16"/>
        </w:rPr>
        <w:t xml:space="preserve"> model (Rocchi, P. et al. 2025)</w:t>
      </w:r>
      <w:r w:rsidR="007A09D0" w:rsidRPr="00720DA1">
        <w:rPr>
          <w:sz w:val="16"/>
          <w:szCs w:val="16"/>
        </w:rPr>
        <w:t>.</w:t>
      </w:r>
    </w:p>
  </w:footnote>
  <w:footnote w:id="237">
    <w:p w14:paraId="3EFFF3E7" w14:textId="77777777" w:rsidR="00285741" w:rsidRPr="00720DA1" w:rsidRDefault="00285741">
      <w:pPr>
        <w:pStyle w:val="FootnoteText"/>
        <w:rPr>
          <w:i/>
          <w:sz w:val="16"/>
          <w:szCs w:val="16"/>
        </w:rPr>
      </w:pPr>
      <w:r w:rsidRPr="00720DA1">
        <w:rPr>
          <w:rStyle w:val="FootnoteReference"/>
          <w:sz w:val="16"/>
          <w:szCs w:val="16"/>
        </w:rPr>
        <w:footnoteRef/>
      </w:r>
      <w:r w:rsidRPr="00720DA1">
        <w:rPr>
          <w:sz w:val="16"/>
          <w:szCs w:val="16"/>
        </w:rPr>
        <w:t xml:space="preserve"> Ibid</w:t>
      </w:r>
      <w:r w:rsidRPr="00720DA1">
        <w:rPr>
          <w:i/>
          <w:sz w:val="16"/>
          <w:szCs w:val="16"/>
        </w:rPr>
        <w:t>.</w:t>
      </w:r>
    </w:p>
  </w:footnote>
  <w:footnote w:id="238">
    <w:p w14:paraId="7C3CCB31" w14:textId="40085567" w:rsidR="00285741" w:rsidRPr="00720DA1" w:rsidRDefault="00285741" w:rsidP="003C668A">
      <w:pPr>
        <w:pStyle w:val="FootnoteText"/>
        <w:rPr>
          <w:rFonts w:eastAsia="Arial" w:cs="Times New Roman"/>
          <w:sz w:val="16"/>
          <w:szCs w:val="16"/>
        </w:rPr>
      </w:pPr>
      <w:r w:rsidRPr="00720DA1">
        <w:rPr>
          <w:rFonts w:eastAsia="Times New Roman" w:cs="Times New Roman"/>
          <w:sz w:val="16"/>
          <w:szCs w:val="16"/>
          <w:vertAlign w:val="superscript"/>
        </w:rPr>
        <w:footnoteRef/>
      </w:r>
      <w:r w:rsidRPr="00720DA1">
        <w:rPr>
          <w:rFonts w:eastAsia="Times New Roman" w:cs="Times New Roman"/>
          <w:sz w:val="16"/>
          <w:szCs w:val="16"/>
          <w:vertAlign w:val="superscript"/>
        </w:rPr>
        <w:t xml:space="preserve"> </w:t>
      </w:r>
      <w:r w:rsidR="003C668A" w:rsidRPr="00720DA1">
        <w:rPr>
          <w:rFonts w:cs="Times New Roman"/>
          <w:sz w:val="16"/>
          <w:szCs w:val="16"/>
        </w:rPr>
        <w:t>Marmier, A</w:t>
      </w:r>
      <w:r w:rsidR="003C668A" w:rsidRPr="00720DA1">
        <w:rPr>
          <w:sz w:val="16"/>
          <w:szCs w:val="16"/>
        </w:rPr>
        <w:t xml:space="preserve">. </w:t>
      </w:r>
      <w:r w:rsidR="003C668A">
        <w:rPr>
          <w:sz w:val="16"/>
          <w:szCs w:val="16"/>
        </w:rPr>
        <w:t xml:space="preserve">(JRC) </w:t>
      </w:r>
      <w:r w:rsidR="003C668A" w:rsidRPr="00720DA1">
        <w:rPr>
          <w:sz w:val="16"/>
          <w:szCs w:val="16"/>
        </w:rPr>
        <w:t>(2023)</w:t>
      </w:r>
      <w:r w:rsidR="003C668A">
        <w:rPr>
          <w:sz w:val="16"/>
          <w:szCs w:val="16"/>
        </w:rPr>
        <w:t>.</w:t>
      </w:r>
      <w:r w:rsidR="003C668A" w:rsidRPr="00720DA1">
        <w:rPr>
          <w:sz w:val="16"/>
          <w:szCs w:val="16"/>
        </w:rPr>
        <w:t xml:space="preserve"> </w:t>
      </w:r>
      <w:hyperlink r:id="rId148" w:history="1">
        <w:r w:rsidR="003C668A" w:rsidRPr="003C668A">
          <w:rPr>
            <w:rStyle w:val="Hyperlink"/>
            <w:sz w:val="16"/>
            <w:szCs w:val="16"/>
          </w:rPr>
          <w:t>Decarbonisation options for the cement industry</w:t>
        </w:r>
      </w:hyperlink>
      <w:r w:rsidR="003C668A" w:rsidRPr="00720DA1">
        <w:rPr>
          <w:sz w:val="16"/>
          <w:szCs w:val="16"/>
        </w:rPr>
        <w:t>.</w:t>
      </w:r>
    </w:p>
  </w:footnote>
  <w:footnote w:id="239">
    <w:p w14:paraId="3437C056" w14:textId="26579162"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 content is defined as EU Member States </w:t>
      </w:r>
      <w:r w:rsidR="007A09D0" w:rsidRPr="00720DA1">
        <w:rPr>
          <w:rFonts w:cs="Times New Roman"/>
          <w:sz w:val="16"/>
          <w:szCs w:val="16"/>
        </w:rPr>
        <w:t>and</w:t>
      </w:r>
      <w:r w:rsidR="00165328" w:rsidRPr="00720DA1">
        <w:rPr>
          <w:rFonts w:cs="Times New Roman"/>
          <w:sz w:val="16"/>
          <w:szCs w:val="16"/>
        </w:rPr>
        <w:t xml:space="preserve"> </w:t>
      </w:r>
      <w:r w:rsidR="00EE063B" w:rsidRPr="00720DA1">
        <w:rPr>
          <w:rFonts w:cs="Times New Roman"/>
          <w:sz w:val="16"/>
          <w:szCs w:val="16"/>
        </w:rPr>
        <w:t>EEA countries</w:t>
      </w:r>
      <w:r w:rsidRPr="00720DA1">
        <w:rPr>
          <w:rFonts w:cs="Times New Roman"/>
          <w:sz w:val="16"/>
          <w:szCs w:val="16"/>
        </w:rPr>
        <w:t xml:space="preserve"> . Moreover, the JRC results are modelled for construction and automotive, two sectors in total, which could have an impact on overall results. </w:t>
      </w:r>
    </w:p>
  </w:footnote>
  <w:footnote w:id="240">
    <w:p w14:paraId="2AFDE2D5" w14:textId="4721F3A3"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European EIIs have already decreased their GHG (greenhouse gas) emissions by almost 40% between 1990 and 2017, which is why Europe has a lower emissions intensity than the rest of the world for many sectors</w:t>
      </w:r>
      <w:r w:rsidR="00871068" w:rsidRPr="00720DA1">
        <w:rPr>
          <w:rFonts w:cs="Times New Roman"/>
          <w:sz w:val="16"/>
          <w:szCs w:val="16"/>
        </w:rPr>
        <w:t>. Source:</w:t>
      </w:r>
      <w:r w:rsidRPr="00720DA1">
        <w:rPr>
          <w:rFonts w:cs="Times New Roman"/>
          <w:sz w:val="16"/>
          <w:szCs w:val="16"/>
        </w:rPr>
        <w:t xml:space="preserve"> </w:t>
      </w:r>
      <w:r w:rsidR="00871068" w:rsidRPr="00720DA1">
        <w:rPr>
          <w:rFonts w:cs="Times New Roman"/>
          <w:sz w:val="16"/>
          <w:szCs w:val="16"/>
        </w:rPr>
        <w:t xml:space="preserve">ERT (2024). </w:t>
      </w:r>
      <w:hyperlink r:id="rId149" w:history="1">
        <w:r w:rsidR="00871068" w:rsidRPr="00720DA1">
          <w:rPr>
            <w:rStyle w:val="Hyperlink"/>
            <w:rFonts w:cs="Times New Roman"/>
            <w:sz w:val="16"/>
            <w:szCs w:val="16"/>
          </w:rPr>
          <w:t>Competitiveness of European Energy-Intensive Industries</w:t>
        </w:r>
      </w:hyperlink>
      <w:r w:rsidRPr="00720DA1">
        <w:rPr>
          <w:rFonts w:cs="Times New Roman"/>
          <w:sz w:val="16"/>
          <w:szCs w:val="16"/>
        </w:rPr>
        <w:t xml:space="preserve">, pp. 7 and 38. For a detailed analysis on the GHG intensity of EU steel and its trading partners, see </w:t>
      </w:r>
      <w:hyperlink r:id="rId150" w:history="1">
        <w:r w:rsidRPr="00720DA1">
          <w:rPr>
            <w:rStyle w:val="Hyperlink"/>
            <w:rFonts w:cs="Times New Roman"/>
            <w:sz w:val="16"/>
            <w:szCs w:val="16"/>
          </w:rPr>
          <w:t>JRC129297</w:t>
        </w:r>
      </w:hyperlink>
      <w:r w:rsidRPr="00720DA1">
        <w:rPr>
          <w:rFonts w:cs="Times New Roman"/>
          <w:sz w:val="16"/>
          <w:szCs w:val="16"/>
        </w:rPr>
        <w:t>.</w:t>
      </w:r>
    </w:p>
  </w:footnote>
  <w:footnote w:id="241">
    <w:p w14:paraId="1476E2E3" w14:textId="7211C1A3" w:rsidR="00DB7648" w:rsidRPr="00720DA1" w:rsidRDefault="00DB7648" w:rsidP="00DB7648">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Estimate</w:t>
      </w:r>
      <w:r w:rsidR="00BA18A8" w:rsidRPr="00720DA1">
        <w:rPr>
          <w:sz w:val="16"/>
          <w:szCs w:val="16"/>
          <w:lang w:val="en-IE"/>
        </w:rPr>
        <w:t>d</w:t>
      </w:r>
      <w:r w:rsidRPr="00720DA1">
        <w:rPr>
          <w:sz w:val="16"/>
          <w:szCs w:val="16"/>
          <w:lang w:val="en-IE"/>
        </w:rPr>
        <w:t xml:space="preserve"> based on data from BloombergNEF’s Steel Decarbonization Project Database 1.0.5. The </w:t>
      </w:r>
      <w:r w:rsidR="007B3D44" w:rsidRPr="00720DA1">
        <w:rPr>
          <w:sz w:val="16"/>
          <w:szCs w:val="16"/>
          <w:lang w:val="en-IE"/>
        </w:rPr>
        <w:t>potential investment value of</w:t>
      </w:r>
      <w:r w:rsidRPr="00720DA1">
        <w:rPr>
          <w:sz w:val="16"/>
          <w:szCs w:val="16"/>
          <w:lang w:val="en-IE"/>
        </w:rPr>
        <w:t xml:space="preserve"> EUR 15.5. billion represent</w:t>
      </w:r>
      <w:r w:rsidR="007B3D44" w:rsidRPr="00720DA1">
        <w:rPr>
          <w:sz w:val="16"/>
          <w:szCs w:val="16"/>
          <w:lang w:val="en-IE"/>
        </w:rPr>
        <w:t>s</w:t>
      </w:r>
      <w:r w:rsidRPr="00720DA1">
        <w:rPr>
          <w:sz w:val="16"/>
          <w:szCs w:val="16"/>
          <w:lang w:val="en-IE"/>
        </w:rPr>
        <w:t xml:space="preserve"> only projects whose output meets the indicative IAA’s carbon intensity label classes of performance (Class A-C). </w:t>
      </w:r>
    </w:p>
  </w:footnote>
  <w:footnote w:id="242">
    <w:p w14:paraId="21E4DC7E" w14:textId="745BCF15" w:rsidR="00C458A8" w:rsidRPr="00720DA1" w:rsidRDefault="006B1724" w:rsidP="00CE1615">
      <w:pPr>
        <w:pStyle w:val="FootnoteText"/>
        <w:rPr>
          <w:sz w:val="16"/>
          <w:szCs w:val="16"/>
        </w:rPr>
      </w:pPr>
      <w:r w:rsidRPr="00720DA1">
        <w:rPr>
          <w:rStyle w:val="FootnoteReference"/>
          <w:sz w:val="16"/>
          <w:szCs w:val="16"/>
        </w:rPr>
        <w:footnoteRef/>
      </w:r>
      <w:r w:rsidRPr="00720DA1">
        <w:rPr>
          <w:sz w:val="16"/>
          <w:szCs w:val="16"/>
        </w:rPr>
        <w:t xml:space="preserve"> Explanations and the breakdown of the calculations are detailed Annex 4.</w:t>
      </w:r>
    </w:p>
  </w:footnote>
  <w:footnote w:id="243">
    <w:p w14:paraId="6CE16EDF" w14:textId="029C29CD" w:rsidR="00285741" w:rsidRPr="00720DA1" w:rsidRDefault="00285741">
      <w:pPr>
        <w:pStyle w:val="FootnoteText"/>
        <w:rPr>
          <w:sz w:val="16"/>
          <w:szCs w:val="16"/>
        </w:rPr>
      </w:pPr>
      <w:r w:rsidRPr="00720DA1">
        <w:rPr>
          <w:rStyle w:val="FootnoteReference"/>
          <w:sz w:val="16"/>
          <w:szCs w:val="16"/>
        </w:rPr>
        <w:footnoteRef/>
      </w:r>
      <w:r w:rsidRPr="00720DA1">
        <w:rPr>
          <w:sz w:val="16"/>
          <w:szCs w:val="16"/>
        </w:rPr>
        <w:t xml:space="preserve"> </w:t>
      </w:r>
      <w:r w:rsidR="00BA18A8" w:rsidRPr="00720DA1">
        <w:rPr>
          <w:sz w:val="16"/>
          <w:szCs w:val="16"/>
        </w:rPr>
        <w:t>European Commission (2023).</w:t>
      </w:r>
      <w:r w:rsidRPr="00720DA1">
        <w:rPr>
          <w:sz w:val="16"/>
          <w:szCs w:val="16"/>
        </w:rPr>
        <w:t xml:space="preserve"> Joint Communication to </w:t>
      </w:r>
      <w:r w:rsidR="00BA18A8" w:rsidRPr="00720DA1">
        <w:rPr>
          <w:sz w:val="16"/>
          <w:szCs w:val="16"/>
        </w:rPr>
        <w:t>t</w:t>
      </w:r>
      <w:r w:rsidRPr="00720DA1">
        <w:rPr>
          <w:sz w:val="16"/>
          <w:szCs w:val="16"/>
        </w:rPr>
        <w:t xml:space="preserve">he European Parliament, </w:t>
      </w:r>
      <w:r w:rsidR="00BA18A8" w:rsidRPr="00720DA1">
        <w:rPr>
          <w:sz w:val="16"/>
          <w:szCs w:val="16"/>
        </w:rPr>
        <w:t>t</w:t>
      </w:r>
      <w:r w:rsidRPr="00720DA1">
        <w:rPr>
          <w:sz w:val="16"/>
          <w:szCs w:val="16"/>
        </w:rPr>
        <w:t xml:space="preserve">he European Council and </w:t>
      </w:r>
      <w:r w:rsidR="00BA18A8" w:rsidRPr="00720DA1">
        <w:rPr>
          <w:sz w:val="16"/>
          <w:szCs w:val="16"/>
        </w:rPr>
        <w:t>t</w:t>
      </w:r>
      <w:r w:rsidRPr="00720DA1">
        <w:rPr>
          <w:sz w:val="16"/>
          <w:szCs w:val="16"/>
        </w:rPr>
        <w:t xml:space="preserve">he Council </w:t>
      </w:r>
      <w:r w:rsidR="00BA18A8" w:rsidRPr="00720DA1">
        <w:rPr>
          <w:sz w:val="16"/>
          <w:szCs w:val="16"/>
        </w:rPr>
        <w:t>o</w:t>
      </w:r>
      <w:r w:rsidRPr="00720DA1">
        <w:rPr>
          <w:sz w:val="16"/>
          <w:szCs w:val="16"/>
        </w:rPr>
        <w:t>n “European Economic Security Strategy”</w:t>
      </w:r>
      <w:r w:rsidR="00BA18A8" w:rsidRPr="00720DA1">
        <w:rPr>
          <w:sz w:val="16"/>
          <w:szCs w:val="16"/>
        </w:rPr>
        <w:t xml:space="preserve">, </w:t>
      </w:r>
      <w:hyperlink r:id="rId151" w:history="1">
        <w:r w:rsidR="00BA18A8" w:rsidRPr="00720DA1">
          <w:rPr>
            <w:rStyle w:val="Hyperlink"/>
            <w:sz w:val="16"/>
            <w:szCs w:val="16"/>
          </w:rPr>
          <w:t>JOIN(2023) 20 Final</w:t>
        </w:r>
      </w:hyperlink>
      <w:r w:rsidR="00BA18A8" w:rsidRPr="00720DA1">
        <w:rPr>
          <w:sz w:val="16"/>
          <w:szCs w:val="16"/>
        </w:rPr>
        <w:t>.</w:t>
      </w:r>
    </w:p>
  </w:footnote>
  <w:footnote w:id="244">
    <w:p w14:paraId="1F674053" w14:textId="77777777" w:rsidR="00285741" w:rsidRPr="00720DA1" w:rsidRDefault="00285741" w:rsidP="00793CFD">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eastAsia="Aptos" w:cs="Times New Roman"/>
          <w:color w:val="000000" w:themeColor="text1"/>
          <w:kern w:val="2"/>
          <w:sz w:val="16"/>
          <w:szCs w:val="16"/>
          <w:lang w:eastAsia="en-GB"/>
        </w:rPr>
        <w:t>I</w:t>
      </w:r>
      <w:r w:rsidRPr="00720DA1">
        <w:rPr>
          <w:rStyle w:val="normaltextrun"/>
          <w:rFonts w:eastAsia="Aptos" w:cs="Times New Roman"/>
          <w:sz w:val="16"/>
          <w:szCs w:val="16"/>
        </w:rPr>
        <w:t>ncrease sustainable and resilient industrial production in the industrial manufacturing with a special attention on EII sectors in the EU by supporting decarbonisation investments.</w:t>
      </w:r>
    </w:p>
  </w:footnote>
  <w:footnote w:id="245">
    <w:p w14:paraId="133C2EB8" w14:textId="423991EB" w:rsidR="007E25D2" w:rsidRPr="00720DA1" w:rsidRDefault="007E25D2">
      <w:pPr>
        <w:pStyle w:val="FootnoteText"/>
        <w:rPr>
          <w:sz w:val="16"/>
          <w:szCs w:val="16"/>
        </w:rPr>
      </w:pPr>
      <w:r w:rsidRPr="00720DA1">
        <w:rPr>
          <w:rStyle w:val="FootnoteReference"/>
          <w:sz w:val="16"/>
          <w:szCs w:val="16"/>
        </w:rPr>
        <w:footnoteRef/>
      </w:r>
      <w:r w:rsidRPr="00720DA1">
        <w:rPr>
          <w:sz w:val="16"/>
          <w:szCs w:val="16"/>
        </w:rPr>
        <w:t xml:space="preserve"> 42 (13%) are neutral, 32 (10%) slightly disagree, 17 (5%) strongly disagree, 17 (5%) </w:t>
      </w:r>
      <w:r w:rsidR="004870BF" w:rsidRPr="00720DA1">
        <w:rPr>
          <w:sz w:val="16"/>
          <w:szCs w:val="16"/>
        </w:rPr>
        <w:t>do not</w:t>
      </w:r>
      <w:r w:rsidRPr="00720DA1">
        <w:rPr>
          <w:sz w:val="16"/>
          <w:szCs w:val="16"/>
        </w:rPr>
        <w:t xml:space="preserve"> know and 17 (5%) </w:t>
      </w:r>
      <w:r w:rsidR="004870BF" w:rsidRPr="00720DA1">
        <w:rPr>
          <w:sz w:val="16"/>
          <w:szCs w:val="16"/>
        </w:rPr>
        <w:t>did not</w:t>
      </w:r>
      <w:r w:rsidRPr="00720DA1">
        <w:rPr>
          <w:sz w:val="16"/>
          <w:szCs w:val="16"/>
        </w:rPr>
        <w:t xml:space="preserve"> respond</w:t>
      </w:r>
    </w:p>
  </w:footnote>
  <w:footnote w:id="246">
    <w:p w14:paraId="61A684BF" w14:textId="77777777" w:rsidR="002077FB" w:rsidRPr="00720DA1" w:rsidRDefault="002077FB"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To note, some of the replies received via the consultation are not EU legislation per se but are covered by legislation mentioned earlier. </w:t>
      </w:r>
    </w:p>
  </w:footnote>
  <w:footnote w:id="247">
    <w:p w14:paraId="65192051" w14:textId="4D4FAA8F" w:rsidR="00DD1008" w:rsidRPr="00720DA1" w:rsidRDefault="00DD1008">
      <w:pPr>
        <w:pStyle w:val="FootnoteText"/>
        <w:rPr>
          <w:sz w:val="16"/>
          <w:szCs w:val="16"/>
        </w:rPr>
      </w:pPr>
      <w:r w:rsidRPr="00720DA1">
        <w:rPr>
          <w:rStyle w:val="FootnoteReference"/>
          <w:sz w:val="16"/>
          <w:szCs w:val="16"/>
        </w:rPr>
        <w:footnoteRef/>
      </w:r>
      <w:r w:rsidRPr="00720DA1">
        <w:rPr>
          <w:sz w:val="16"/>
          <w:szCs w:val="16"/>
        </w:rPr>
        <w:t xml:space="preserve"> </w:t>
      </w:r>
      <w:hyperlink r:id="rId152" w:history="1">
        <w:r w:rsidRPr="00720DA1">
          <w:rPr>
            <w:rStyle w:val="Hyperlink"/>
            <w:sz w:val="16"/>
            <w:szCs w:val="16"/>
          </w:rPr>
          <w:t>Meet our members – European Solar PV Industry Alliance</w:t>
        </w:r>
      </w:hyperlink>
    </w:p>
  </w:footnote>
  <w:footnote w:id="248">
    <w:p w14:paraId="461FA991" w14:textId="4D8BD3C2" w:rsidR="00020031" w:rsidRPr="00720DA1" w:rsidRDefault="00020031" w:rsidP="00CE1615">
      <w:pPr>
        <w:rPr>
          <w:rFonts w:eastAsia="Apto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Commission estimations based on a</w:t>
      </w:r>
      <w:r w:rsidRPr="00720DA1">
        <w:rPr>
          <w:rFonts w:eastAsia="Aptos" w:cs="Times New Roman"/>
          <w:color w:val="000000" w:themeColor="text1"/>
          <w:sz w:val="16"/>
          <w:szCs w:val="16"/>
        </w:rPr>
        <w:t xml:space="preserve"> study on business procedures carried out to underpin the </w:t>
      </w:r>
      <w:hyperlink r:id="rId153" w:anchor="footnote189">
        <w:r w:rsidRPr="00720DA1">
          <w:rPr>
            <w:rStyle w:val="Hyperlink"/>
            <w:rFonts w:eastAsia="Aptos" w:cs="Times New Roman"/>
            <w:sz w:val="16"/>
            <w:szCs w:val="16"/>
          </w:rPr>
          <w:t>Single Digital Gateway impact assessment</w:t>
        </w:r>
      </w:hyperlink>
      <w:r w:rsidRPr="00720DA1">
        <w:rPr>
          <w:rFonts w:eastAsia="Aptos" w:cs="Times New Roman"/>
          <w:color w:val="000000" w:themeColor="text1"/>
          <w:sz w:val="16"/>
          <w:szCs w:val="16"/>
        </w:rPr>
        <w:t xml:space="preserve"> concluded that for 9 procedures, the cost savings for all EU businesses - if e-procedures were introduced where missing - would be in the order of magnitude of EUR 7 billion.</w:t>
      </w:r>
      <w:r w:rsidR="00B5456B" w:rsidRPr="00720DA1">
        <w:rPr>
          <w:rFonts w:eastAsia="Aptos" w:cs="Times New Roman"/>
          <w:color w:val="000000" w:themeColor="text1"/>
          <w:sz w:val="16"/>
          <w:szCs w:val="16"/>
        </w:rPr>
        <w:t xml:space="preserve"> </w:t>
      </w:r>
      <w:r w:rsidR="003F5EC7" w:rsidRPr="00720DA1">
        <w:rPr>
          <w:rFonts w:eastAsia="Aptos" w:cs="Times New Roman"/>
          <w:color w:val="000000" w:themeColor="text1"/>
          <w:sz w:val="16"/>
          <w:szCs w:val="16"/>
        </w:rPr>
        <w:t>Procedures in the scope of the</w:t>
      </w:r>
      <w:r w:rsidR="00EE1F97" w:rsidRPr="00720DA1">
        <w:rPr>
          <w:rFonts w:eastAsia="Aptos" w:cs="Times New Roman"/>
          <w:color w:val="000000" w:themeColor="text1"/>
          <w:sz w:val="16"/>
          <w:szCs w:val="16"/>
        </w:rPr>
        <w:t xml:space="preserve"> study were linked to</w:t>
      </w:r>
      <w:r w:rsidR="008941ED" w:rsidRPr="00720DA1">
        <w:rPr>
          <w:rFonts w:eastAsia="Aptos" w:cs="Times New Roman"/>
          <w:color w:val="000000" w:themeColor="text1"/>
          <w:sz w:val="16"/>
          <w:szCs w:val="16"/>
        </w:rPr>
        <w:t xml:space="preserve"> ten tax procedures</w:t>
      </w:r>
      <w:r w:rsidR="004D361E" w:rsidRPr="00720DA1">
        <w:rPr>
          <w:rFonts w:eastAsia="Aptos" w:cs="Times New Roman"/>
          <w:color w:val="000000" w:themeColor="text1"/>
          <w:sz w:val="16"/>
          <w:szCs w:val="16"/>
        </w:rPr>
        <w:t>.</w:t>
      </w:r>
      <w:r w:rsidR="001752B8" w:rsidRPr="00720DA1">
        <w:rPr>
          <w:rFonts w:eastAsia="Aptos" w:cs="Times New Roman"/>
          <w:color w:val="000000" w:themeColor="text1"/>
          <w:sz w:val="16"/>
          <w:szCs w:val="16"/>
        </w:rPr>
        <w:t xml:space="preserve"> </w:t>
      </w:r>
      <w:r w:rsidR="009A13BE" w:rsidRPr="00720DA1">
        <w:rPr>
          <w:rFonts w:eastAsia="Aptos" w:cs="Times New Roman"/>
          <w:color w:val="000000" w:themeColor="text1"/>
          <w:sz w:val="16"/>
          <w:szCs w:val="16"/>
        </w:rPr>
        <w:t xml:space="preserve">An adjustment was made to reflect lower volume of processes, and </w:t>
      </w:r>
      <w:r w:rsidR="00CC3A1C" w:rsidRPr="00720DA1">
        <w:rPr>
          <w:rFonts w:eastAsia="Aptos" w:cs="Times New Roman"/>
          <w:color w:val="000000" w:themeColor="text1"/>
          <w:sz w:val="16"/>
          <w:szCs w:val="16"/>
        </w:rPr>
        <w:t xml:space="preserve">to reflect industrial manufacturing companies only. </w:t>
      </w:r>
    </w:p>
  </w:footnote>
  <w:footnote w:id="249">
    <w:p w14:paraId="1943C0B7" w14:textId="1BF1A109" w:rsidR="006C4E92" w:rsidRPr="00720DA1" w:rsidRDefault="006C4E92">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rFonts w:cs="Times New Roman"/>
          <w:sz w:val="16"/>
          <w:szCs w:val="16"/>
        </w:rPr>
        <w:t>Estimates based on digitalisation of procedures in the Netherlands, following a stakeholder consultation on the single digital gateway. These figures could be an overestimation, since costs and savings depend largely on the type of administrative procedure to be digitalised, the number of transactions/uses per procedure, amongst others. EUR-Lex - 52017SC0213 - EN - EUR-Lex</w:t>
      </w:r>
    </w:p>
  </w:footnote>
  <w:footnote w:id="250">
    <w:p w14:paraId="697738CA" w14:textId="20A80B8A" w:rsidR="00C8690B" w:rsidRPr="00720DA1" w:rsidRDefault="00C8690B">
      <w:pPr>
        <w:pStyle w:val="FootnoteText"/>
        <w:rPr>
          <w:sz w:val="16"/>
          <w:szCs w:val="16"/>
        </w:rPr>
      </w:pPr>
      <w:r w:rsidRPr="00720DA1">
        <w:rPr>
          <w:rStyle w:val="FootnoteReference"/>
          <w:sz w:val="16"/>
          <w:szCs w:val="16"/>
        </w:rPr>
        <w:footnoteRef/>
      </w:r>
      <w:r w:rsidRPr="00720DA1">
        <w:rPr>
          <w:sz w:val="16"/>
          <w:szCs w:val="16"/>
        </w:rPr>
        <w:t xml:space="preserve"> </w:t>
      </w:r>
      <w:r w:rsidR="00450EE2" w:rsidRPr="00720DA1">
        <w:rPr>
          <w:sz w:val="16"/>
          <w:szCs w:val="16"/>
        </w:rPr>
        <w:t xml:space="preserve">For the calculations of the costs, including the assumptions made, see Annex 4, under </w:t>
      </w:r>
      <w:r w:rsidR="0075558D" w:rsidRPr="00720DA1">
        <w:rPr>
          <w:sz w:val="16"/>
          <w:szCs w:val="16"/>
        </w:rPr>
        <w:t>2. Analysis of impacts</w:t>
      </w:r>
    </w:p>
  </w:footnote>
  <w:footnote w:id="251">
    <w:p w14:paraId="4F1E63DC" w14:textId="4F632E74" w:rsidR="006C2900" w:rsidRPr="00720DA1" w:rsidRDefault="006C2900">
      <w:pPr>
        <w:pStyle w:val="FootnoteText"/>
        <w:rPr>
          <w:sz w:val="16"/>
          <w:szCs w:val="16"/>
        </w:rPr>
      </w:pPr>
      <w:r w:rsidRPr="00720DA1">
        <w:rPr>
          <w:rStyle w:val="FootnoteReference"/>
          <w:sz w:val="16"/>
          <w:szCs w:val="16"/>
        </w:rPr>
        <w:footnoteRef/>
      </w:r>
      <w:r w:rsidRPr="00720DA1">
        <w:rPr>
          <w:sz w:val="16"/>
          <w:szCs w:val="16"/>
        </w:rPr>
        <w:t xml:space="preserve"> Recurring costs are yearly, unless otherwise stated. Applicable for citizens and businesses as well</w:t>
      </w:r>
    </w:p>
  </w:footnote>
  <w:footnote w:id="252">
    <w:p w14:paraId="56AD5591" w14:textId="4A908377" w:rsidR="00CF5668" w:rsidRPr="00720DA1" w:rsidRDefault="00CF5668" w:rsidP="00CE1615">
      <w:pPr>
        <w:pStyle w:val="FootnoteText"/>
        <w:rPr>
          <w:sz w:val="16"/>
          <w:szCs w:val="16"/>
        </w:rPr>
      </w:pPr>
      <w:r w:rsidRPr="00720DA1">
        <w:rPr>
          <w:rStyle w:val="FootnoteReference"/>
          <w:sz w:val="16"/>
          <w:szCs w:val="16"/>
        </w:rPr>
        <w:footnoteRef/>
      </w:r>
      <w:r w:rsidRPr="00720DA1">
        <w:rPr>
          <w:sz w:val="16"/>
          <w:szCs w:val="16"/>
        </w:rPr>
        <w:t xml:space="preserve"> The annualised values were calculated using the one-off estimates from the main text</w:t>
      </w:r>
      <w:r w:rsidR="001D0513" w:rsidRPr="00720DA1">
        <w:rPr>
          <w:sz w:val="16"/>
          <w:szCs w:val="16"/>
        </w:rPr>
        <w:t xml:space="preserve">, </w:t>
      </w:r>
      <w:r w:rsidR="00616640" w:rsidRPr="00720DA1">
        <w:rPr>
          <w:sz w:val="16"/>
          <w:szCs w:val="16"/>
        </w:rPr>
        <w:t>allocating them over a 10</w:t>
      </w:r>
      <w:r w:rsidR="00A819E1" w:rsidRPr="00720DA1">
        <w:rPr>
          <w:sz w:val="16"/>
          <w:szCs w:val="16"/>
        </w:rPr>
        <w:t>-</w:t>
      </w:r>
      <w:r w:rsidR="00616640" w:rsidRPr="00720DA1">
        <w:rPr>
          <w:sz w:val="16"/>
          <w:szCs w:val="16"/>
        </w:rPr>
        <w:t>year period and applying a 3% discount rate</w:t>
      </w:r>
      <w:r w:rsidR="007B73DF" w:rsidRPr="00720DA1">
        <w:rPr>
          <w:sz w:val="16"/>
          <w:szCs w:val="16"/>
        </w:rPr>
        <w:t>.</w:t>
      </w:r>
    </w:p>
  </w:footnote>
  <w:footnote w:id="253">
    <w:p w14:paraId="2069EECC" w14:textId="46AEA239" w:rsidR="000A1CE2" w:rsidRPr="00720DA1" w:rsidRDefault="000A1CE2" w:rsidP="00CE1615">
      <w:pPr>
        <w:pStyle w:val="FootnoteText"/>
        <w:rPr>
          <w:sz w:val="16"/>
          <w:szCs w:val="16"/>
        </w:rPr>
      </w:pPr>
      <w:r w:rsidRPr="00720DA1">
        <w:rPr>
          <w:rStyle w:val="FootnoteReference"/>
          <w:sz w:val="16"/>
          <w:szCs w:val="16"/>
        </w:rPr>
        <w:footnoteRef/>
      </w:r>
      <w:r w:rsidRPr="00720DA1">
        <w:rPr>
          <w:sz w:val="16"/>
          <w:szCs w:val="16"/>
        </w:rPr>
        <w:t xml:space="preserve"> This is the annualised value corresponding to </w:t>
      </w:r>
      <w:r w:rsidR="001B6AB6" w:rsidRPr="00720DA1">
        <w:rPr>
          <w:sz w:val="16"/>
          <w:szCs w:val="16"/>
        </w:rPr>
        <w:t xml:space="preserve">one-off cost savings of EUR 240 </w:t>
      </w:r>
      <w:r w:rsidR="00760CE8" w:rsidRPr="00720DA1">
        <w:rPr>
          <w:sz w:val="16"/>
          <w:szCs w:val="16"/>
        </w:rPr>
        <w:t xml:space="preserve">million </w:t>
      </w:r>
      <w:r w:rsidR="00F55049" w:rsidRPr="00720DA1">
        <w:rPr>
          <w:sz w:val="16"/>
          <w:szCs w:val="16"/>
        </w:rPr>
        <w:t>under Annex 4 -</w:t>
      </w:r>
      <w:r w:rsidR="00760CE8" w:rsidRPr="00720DA1">
        <w:rPr>
          <w:sz w:val="16"/>
          <w:szCs w:val="16"/>
        </w:rPr>
        <w:t xml:space="preserve"> </w:t>
      </w:r>
      <w:r w:rsidR="00F55049" w:rsidRPr="00720DA1">
        <w:rPr>
          <w:sz w:val="16"/>
          <w:szCs w:val="16"/>
        </w:rPr>
        <w:t>savings for PERM</w:t>
      </w:r>
      <w:r w:rsidR="001B6AB6" w:rsidRPr="00720DA1">
        <w:rPr>
          <w:sz w:val="16"/>
          <w:szCs w:val="16"/>
        </w:rPr>
        <w:t>.</w:t>
      </w:r>
    </w:p>
  </w:footnote>
  <w:footnote w:id="254">
    <w:p w14:paraId="20799569"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Other modules are related to the territorial impact analyses of supply chain disruptions of economic activities (Rueda-Cantuche et al., 2024a) or the analysis of the EU regional trade exposure to specific protectionist measures of non-EU countries (Rueda-Cantuche et al., 2024b).</w:t>
      </w:r>
    </w:p>
  </w:footnote>
  <w:footnote w:id="255">
    <w:p w14:paraId="73659231" w14:textId="0C64434C"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GVA is obtained as the sum of gross operating surplus, </w:t>
      </w:r>
      <w:r w:rsidR="001F4025" w:rsidRPr="00720DA1">
        <w:rPr>
          <w:rFonts w:cs="Times New Roman"/>
          <w:sz w:val="16"/>
          <w:szCs w:val="16"/>
        </w:rPr>
        <w:t>compensation</w:t>
      </w:r>
      <w:r w:rsidRPr="00720DA1">
        <w:rPr>
          <w:rFonts w:cs="Times New Roman"/>
          <w:sz w:val="16"/>
          <w:szCs w:val="16"/>
        </w:rPr>
        <w:t xml:space="preserve"> of employees and other taxes less subsidies on production.</w:t>
      </w:r>
    </w:p>
  </w:footnote>
  <w:footnote w:id="256">
    <w:p w14:paraId="79C02C7D" w14:textId="5C85305B" w:rsidR="00020031" w:rsidRPr="00720DA1" w:rsidRDefault="00020031" w:rsidP="00CE1615">
      <w:pPr>
        <w:pStyle w:val="JRCText"/>
        <w:spacing w:after="0"/>
        <w:jc w:val="both"/>
        <w:rPr>
          <w:rFonts w:ascii="Times New Roman" w:hAnsi="Times New Roman" w:cs="Times New Roman"/>
          <w:sz w:val="16"/>
          <w:szCs w:val="16"/>
        </w:rPr>
      </w:pPr>
      <w:r w:rsidRPr="00720DA1">
        <w:rPr>
          <w:rStyle w:val="FootnoteReference"/>
          <w:rFonts w:ascii="Times New Roman" w:hAnsi="Times New Roman" w:cs="Times New Roman"/>
          <w:sz w:val="16"/>
          <w:szCs w:val="16"/>
        </w:rPr>
        <w:footnoteRef/>
      </w:r>
      <w:r w:rsidRPr="00720DA1">
        <w:rPr>
          <w:rFonts w:ascii="Times New Roman" w:hAnsi="Times New Roman" w:cs="Times New Roman"/>
          <w:sz w:val="16"/>
          <w:szCs w:val="16"/>
        </w:rPr>
        <w:t xml:space="preserve"> </w:t>
      </w:r>
      <w:r w:rsidRPr="00720DA1">
        <w:rPr>
          <w:rFonts w:ascii="Times New Roman" w:eastAsia="Calibri" w:hAnsi="Times New Roman" w:cs="Times New Roman"/>
          <w:sz w:val="16"/>
          <w:szCs w:val="16"/>
        </w:rPr>
        <w:t xml:space="preserve">Further information on FIDELIO and its underlying equations and data can be found in the </w:t>
      </w:r>
      <w:hyperlink r:id="rId154">
        <w:r w:rsidRPr="00720DA1">
          <w:rPr>
            <w:rStyle w:val="Hyperlink"/>
            <w:rFonts w:ascii="Times New Roman" w:eastAsia="Calibri" w:hAnsi="Times New Roman" w:cs="Times New Roman"/>
            <w:sz w:val="16"/>
            <w:szCs w:val="16"/>
          </w:rPr>
          <w:t>FIDELIO manual</w:t>
        </w:r>
      </w:hyperlink>
    </w:p>
  </w:footnote>
  <w:footnote w:id="257">
    <w:p w14:paraId="0BB49625" w14:textId="0F502D4B" w:rsidR="003F0A88" w:rsidRPr="00720DA1" w:rsidRDefault="003F0A88" w:rsidP="00CE1615">
      <w:pPr>
        <w:pStyle w:val="FootnoteText"/>
        <w:rPr>
          <w:sz w:val="16"/>
          <w:szCs w:val="16"/>
          <w:lang w:val="en-IE"/>
        </w:rPr>
      </w:pPr>
      <w:r w:rsidRPr="00720DA1">
        <w:rPr>
          <w:rStyle w:val="FootnoteReference"/>
          <w:sz w:val="16"/>
          <w:szCs w:val="16"/>
        </w:rPr>
        <w:footnoteRef/>
      </w:r>
      <w:r w:rsidRPr="002F0B22">
        <w:rPr>
          <w:sz w:val="16"/>
          <w:szCs w:val="16"/>
          <w:lang w:val="en-IE"/>
        </w:rPr>
        <w:t xml:space="preserve"> </w:t>
      </w:r>
      <w:r w:rsidR="0060794B" w:rsidRPr="002F0B22">
        <w:rPr>
          <w:sz w:val="16"/>
          <w:szCs w:val="16"/>
          <w:lang w:val="en-IE"/>
        </w:rPr>
        <w:t xml:space="preserve">Rocchi et al. </w:t>
      </w:r>
      <w:r w:rsidR="00E45855" w:rsidRPr="00720DA1">
        <w:rPr>
          <w:sz w:val="16"/>
          <w:szCs w:val="16"/>
          <w:lang w:val="en-IE"/>
        </w:rPr>
        <w:t>(JRC)</w:t>
      </w:r>
      <w:r w:rsidR="0060794B" w:rsidRPr="00720DA1">
        <w:rPr>
          <w:sz w:val="16"/>
          <w:szCs w:val="16"/>
          <w:lang w:val="en-IE"/>
        </w:rPr>
        <w:t xml:space="preserve"> </w:t>
      </w:r>
      <w:r w:rsidR="00B15E51" w:rsidRPr="00720DA1">
        <w:rPr>
          <w:sz w:val="16"/>
          <w:szCs w:val="16"/>
          <w:lang w:val="en-IE"/>
        </w:rPr>
        <w:t>(</w:t>
      </w:r>
      <w:r w:rsidR="0060794B" w:rsidRPr="00720DA1">
        <w:rPr>
          <w:sz w:val="16"/>
          <w:szCs w:val="16"/>
          <w:lang w:val="en-IE"/>
        </w:rPr>
        <w:t>2025</w:t>
      </w:r>
      <w:r w:rsidR="00B15E51" w:rsidRPr="00720DA1">
        <w:rPr>
          <w:sz w:val="16"/>
          <w:szCs w:val="16"/>
          <w:lang w:val="en-IE"/>
        </w:rPr>
        <w:t xml:space="preserve">). </w:t>
      </w:r>
      <w:hyperlink r:id="rId155" w:history="1">
        <w:r w:rsidR="00B15E51" w:rsidRPr="00720DA1">
          <w:rPr>
            <w:rStyle w:val="Hyperlink"/>
            <w:sz w:val="16"/>
            <w:szCs w:val="16"/>
            <w:lang w:val="en-IE"/>
          </w:rPr>
          <w:t>FIDELIO Manual: Model description, equations, data sources and econometric estimations</w:t>
        </w:r>
      </w:hyperlink>
      <w:r w:rsidR="00B15E51" w:rsidRPr="00720DA1">
        <w:rPr>
          <w:sz w:val="16"/>
          <w:szCs w:val="16"/>
          <w:lang w:val="en-IE"/>
        </w:rPr>
        <w:t>.</w:t>
      </w:r>
    </w:p>
  </w:footnote>
  <w:footnote w:id="258">
    <w:p w14:paraId="1608F7C1" w14:textId="11E64827" w:rsidR="002455D8" w:rsidRPr="00720DA1" w:rsidRDefault="002455D8">
      <w:pPr>
        <w:pStyle w:val="FootnoteText"/>
        <w:rPr>
          <w:sz w:val="16"/>
          <w:szCs w:val="16"/>
        </w:rPr>
      </w:pPr>
      <w:r w:rsidRPr="00720DA1">
        <w:rPr>
          <w:rStyle w:val="FootnoteReference"/>
          <w:sz w:val="16"/>
          <w:szCs w:val="16"/>
        </w:rPr>
        <w:footnoteRef/>
      </w:r>
      <w:r w:rsidRPr="00720DA1">
        <w:rPr>
          <w:sz w:val="16"/>
          <w:szCs w:val="16"/>
        </w:rPr>
        <w:t xml:space="preserve"> </w:t>
      </w:r>
      <w:r w:rsidR="00FD299F" w:rsidRPr="00720DA1">
        <w:rPr>
          <w:sz w:val="16"/>
          <w:szCs w:val="16"/>
        </w:rPr>
        <w:t>Remond Tiedrez</w:t>
      </w:r>
      <w:r w:rsidR="00E45855" w:rsidRPr="00720DA1">
        <w:rPr>
          <w:sz w:val="16"/>
          <w:szCs w:val="16"/>
        </w:rPr>
        <w:t xml:space="preserve"> (Eurostat)</w:t>
      </w:r>
      <w:r w:rsidR="00FD299F" w:rsidRPr="00720DA1">
        <w:rPr>
          <w:sz w:val="16"/>
          <w:szCs w:val="16"/>
        </w:rPr>
        <w:t xml:space="preserve"> </w:t>
      </w:r>
      <w:r w:rsidR="00E45855" w:rsidRPr="00720DA1">
        <w:rPr>
          <w:sz w:val="16"/>
          <w:szCs w:val="16"/>
        </w:rPr>
        <w:t>(</w:t>
      </w:r>
      <w:r w:rsidR="00FD299F" w:rsidRPr="00720DA1">
        <w:rPr>
          <w:sz w:val="16"/>
          <w:szCs w:val="16"/>
        </w:rPr>
        <w:t>2019</w:t>
      </w:r>
      <w:r w:rsidR="00E45855" w:rsidRPr="00720DA1">
        <w:rPr>
          <w:sz w:val="16"/>
          <w:szCs w:val="16"/>
        </w:rPr>
        <w:t>).</w:t>
      </w:r>
      <w:r w:rsidR="00FD299F" w:rsidRPr="00720DA1">
        <w:rPr>
          <w:sz w:val="16"/>
          <w:szCs w:val="16"/>
        </w:rPr>
        <w:t xml:space="preserve"> </w:t>
      </w:r>
      <w:hyperlink r:id="rId156" w:history="1">
        <w:r w:rsidR="00182830" w:rsidRPr="00720DA1">
          <w:rPr>
            <w:rStyle w:val="Hyperlink"/>
            <w:sz w:val="16"/>
            <w:szCs w:val="16"/>
          </w:rPr>
          <w:t>European Union inter-country supply, use and input-output tables — Full international and global accounts for research in input-output analysis (FIGARO)</w:t>
        </w:r>
      </w:hyperlink>
      <w:r w:rsidR="00182830" w:rsidRPr="00720DA1">
        <w:rPr>
          <w:sz w:val="16"/>
          <w:szCs w:val="16"/>
        </w:rPr>
        <w:t>.</w:t>
      </w:r>
    </w:p>
  </w:footnote>
  <w:footnote w:id="259">
    <w:p w14:paraId="7A423499" w14:textId="6C0DBF27" w:rsidR="005C2B5E" w:rsidRPr="00720DA1" w:rsidRDefault="005C2B5E">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rFonts w:eastAsia="Calibri" w:cs="Times New Roman"/>
          <w:sz w:val="16"/>
          <w:szCs w:val="16"/>
        </w:rPr>
        <w:t>The calibration of these shocks resulted in estimated EU average price increases of 0.225% for automotive products and 0.45% for construction, reflecting the anticipated inflationary impact of the green transition.</w:t>
      </w:r>
    </w:p>
  </w:footnote>
  <w:footnote w:id="260">
    <w:p w14:paraId="0AAD6FCD" w14:textId="2ADD1204" w:rsidR="004C0244" w:rsidRPr="00720DA1" w:rsidRDefault="004C0244" w:rsidP="0039560D">
      <w:pPr>
        <w:pStyle w:val="FootnoteText"/>
        <w:rPr>
          <w:sz w:val="16"/>
          <w:szCs w:val="16"/>
        </w:rPr>
      </w:pPr>
      <w:r w:rsidRPr="00720DA1">
        <w:rPr>
          <w:rStyle w:val="FootnoteReference"/>
          <w:sz w:val="16"/>
          <w:szCs w:val="16"/>
        </w:rPr>
        <w:footnoteRef/>
      </w:r>
      <w:r w:rsidR="0033726E">
        <w:rPr>
          <w:sz w:val="16"/>
          <w:szCs w:val="16"/>
        </w:rPr>
        <w:t xml:space="preserve"> European Commission </w:t>
      </w:r>
      <w:r w:rsidR="00012EB8">
        <w:rPr>
          <w:sz w:val="16"/>
          <w:szCs w:val="16"/>
        </w:rPr>
        <w:t>(2024).</w:t>
      </w:r>
      <w:r w:rsidRPr="00720DA1">
        <w:rPr>
          <w:sz w:val="16"/>
          <w:szCs w:val="16"/>
        </w:rPr>
        <w:t xml:space="preserve"> </w:t>
      </w:r>
      <w:hyperlink r:id="rId157" w:history="1">
        <w:r w:rsidR="0039560D" w:rsidRPr="002A0443">
          <w:rPr>
            <w:rStyle w:val="Hyperlink"/>
            <w:sz w:val="16"/>
            <w:szCs w:val="16"/>
          </w:rPr>
          <w:t>Commission Staff Working Document: Impact Assessment Report Part 1. Accompanying the document: Communication from the Commission to the European Parliament, the Council, the European Economic and Social Committee and the Committee of the Regions. Securing our future: Europe's 2040 climate target and path to climate neutrality by 2050, building a sustainable, just and prosperous society</w:t>
        </w:r>
      </w:hyperlink>
      <w:r w:rsidR="00500137">
        <w:rPr>
          <w:sz w:val="16"/>
          <w:szCs w:val="16"/>
        </w:rPr>
        <w:t xml:space="preserve">, </w:t>
      </w:r>
      <w:r w:rsidRPr="00720DA1">
        <w:rPr>
          <w:sz w:val="16"/>
          <w:szCs w:val="16"/>
        </w:rPr>
        <w:t>SWD/2024/63 final</w:t>
      </w:r>
      <w:r w:rsidR="00500137">
        <w:rPr>
          <w:sz w:val="16"/>
          <w:szCs w:val="16"/>
        </w:rPr>
        <w:t>.</w:t>
      </w:r>
    </w:p>
  </w:footnote>
  <w:footnote w:id="261">
    <w:p w14:paraId="77877DEA" w14:textId="5E5CE67A" w:rsidR="00E34318" w:rsidRPr="00F469CA" w:rsidRDefault="00E34318" w:rsidP="00CE1615">
      <w:pPr>
        <w:pStyle w:val="FootnoteText"/>
        <w:rPr>
          <w:sz w:val="16"/>
          <w:szCs w:val="16"/>
          <w:lang w:val="en-IE"/>
        </w:rPr>
      </w:pPr>
      <w:r w:rsidRPr="00720DA1">
        <w:rPr>
          <w:rStyle w:val="FootnoteReference"/>
          <w:sz w:val="16"/>
          <w:szCs w:val="16"/>
        </w:rPr>
        <w:footnoteRef/>
      </w:r>
      <w:r w:rsidRPr="00F469CA">
        <w:rPr>
          <w:sz w:val="16"/>
          <w:szCs w:val="16"/>
          <w:lang w:val="en-IE"/>
        </w:rPr>
        <w:t xml:space="preserve"> Based on internal Commission documents</w:t>
      </w:r>
      <w:r w:rsidR="00BF0528" w:rsidRPr="00F469CA">
        <w:rPr>
          <w:sz w:val="16"/>
          <w:szCs w:val="16"/>
          <w:lang w:val="en-IE"/>
        </w:rPr>
        <w:t>.</w:t>
      </w:r>
    </w:p>
  </w:footnote>
  <w:footnote w:id="262">
    <w:p w14:paraId="5DA4059C" w14:textId="37183606" w:rsidR="00C2032C" w:rsidRPr="00FE7DE9" w:rsidRDefault="00C2032C" w:rsidP="00BF0528">
      <w:pPr>
        <w:pStyle w:val="FootnoteText"/>
        <w:rPr>
          <w:sz w:val="16"/>
          <w:szCs w:val="16"/>
          <w:lang w:val="en-IE"/>
        </w:rPr>
      </w:pPr>
      <w:r w:rsidRPr="00720DA1">
        <w:rPr>
          <w:rStyle w:val="FootnoteReference"/>
          <w:sz w:val="16"/>
          <w:szCs w:val="16"/>
        </w:rPr>
        <w:footnoteRef/>
      </w:r>
      <w:r w:rsidRPr="000C14FA">
        <w:rPr>
          <w:sz w:val="16"/>
          <w:szCs w:val="16"/>
          <w:lang w:val="en-IE"/>
        </w:rPr>
        <w:t xml:space="preserve"> </w:t>
      </w:r>
      <w:r w:rsidR="008009A1" w:rsidRPr="000C14FA">
        <w:rPr>
          <w:sz w:val="16"/>
          <w:szCs w:val="16"/>
          <w:lang w:val="en-IE"/>
        </w:rPr>
        <w:t>Uni Europa (2025)</w:t>
      </w:r>
      <w:r w:rsidR="007F3814" w:rsidRPr="000C14FA">
        <w:rPr>
          <w:sz w:val="16"/>
          <w:szCs w:val="16"/>
          <w:lang w:val="en-IE"/>
        </w:rPr>
        <w:t xml:space="preserve">, </w:t>
      </w:r>
      <w:hyperlink r:id="rId158" w:history="1">
        <w:r w:rsidR="007F3814" w:rsidRPr="000C14FA">
          <w:rPr>
            <w:rStyle w:val="Hyperlink"/>
            <w:sz w:val="16"/>
            <w:szCs w:val="16"/>
            <w:lang w:val="en-IE"/>
          </w:rPr>
          <w:t>European data shows: companies fear lowest price tendering</w:t>
        </w:r>
      </w:hyperlink>
    </w:p>
  </w:footnote>
  <w:footnote w:id="263">
    <w:p w14:paraId="780E04BE" w14:textId="77777777" w:rsidR="00D15768" w:rsidRPr="00720DA1" w:rsidRDefault="00D15768" w:rsidP="00CE1615">
      <w:pPr>
        <w:pStyle w:val="FootnoteText"/>
        <w:rPr>
          <w:sz w:val="16"/>
          <w:szCs w:val="16"/>
        </w:rPr>
      </w:pPr>
      <w:r w:rsidRPr="00720DA1">
        <w:rPr>
          <w:rStyle w:val="FootnoteReference"/>
          <w:sz w:val="16"/>
          <w:szCs w:val="16"/>
        </w:rPr>
        <w:footnoteRef/>
      </w:r>
      <w:r w:rsidRPr="00720DA1">
        <w:rPr>
          <w:sz w:val="16"/>
          <w:szCs w:val="16"/>
        </w:rPr>
        <w:t xml:space="preserve"> Responsible Steel Certification: </w:t>
      </w:r>
      <w:hyperlink r:id="rId159" w:history="1">
        <w:r w:rsidRPr="00720DA1">
          <w:rPr>
            <w:rStyle w:val="Hyperlink"/>
            <w:sz w:val="16"/>
            <w:szCs w:val="16"/>
          </w:rPr>
          <w:t>cdn.prod.website-files.com/6538e481169ed7220c330f0a/6602e990a68fb2bab0a7ce49_Certification-Fees.pdf</w:t>
        </w:r>
      </w:hyperlink>
    </w:p>
  </w:footnote>
  <w:footnote w:id="264">
    <w:p w14:paraId="00178ADD" w14:textId="77777777" w:rsidR="00A75317" w:rsidRPr="00720DA1" w:rsidRDefault="00A75317" w:rsidP="00CE1615">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Pr="00720DA1">
        <w:rPr>
          <w:rFonts w:eastAsia="Roboto" w:cs="Times New Roman"/>
          <w:sz w:val="16"/>
          <w:szCs w:val="16"/>
        </w:rPr>
        <w:t>SWD/2017/0213 final - 2017/086 (COD)</w:t>
      </w:r>
    </w:p>
  </w:footnote>
  <w:footnote w:id="265">
    <w:p w14:paraId="2236F9FC" w14:textId="77777777" w:rsidR="00A75317" w:rsidRPr="00720DA1" w:rsidRDefault="00A75317"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160" w:history="1">
        <w:r w:rsidRPr="00720DA1">
          <w:rPr>
            <w:rStyle w:val="Hyperlink"/>
            <w:rFonts w:eastAsia="Times New Roman" w:cs="Times New Roman"/>
            <w:sz w:val="16"/>
            <w:szCs w:val="16"/>
          </w:rPr>
          <w:t>Large businesses make up only 0.2% of EU enterprises - News articles - Eurostat</w:t>
        </w:r>
      </w:hyperlink>
    </w:p>
  </w:footnote>
  <w:footnote w:id="266">
    <w:p w14:paraId="3E982C51" w14:textId="7D06D158" w:rsidR="001E1E23" w:rsidRPr="00720DA1" w:rsidRDefault="001E1E23">
      <w:pPr>
        <w:pStyle w:val="FootnoteText"/>
        <w:rPr>
          <w:sz w:val="16"/>
          <w:szCs w:val="16"/>
        </w:rPr>
      </w:pPr>
      <w:r w:rsidRPr="00720DA1">
        <w:rPr>
          <w:rStyle w:val="FootnoteReference"/>
          <w:sz w:val="16"/>
          <w:szCs w:val="16"/>
        </w:rPr>
        <w:footnoteRef/>
      </w:r>
      <w:r w:rsidRPr="00720DA1">
        <w:rPr>
          <w:sz w:val="16"/>
          <w:szCs w:val="16"/>
        </w:rPr>
        <w:t xml:space="preserve"> </w:t>
      </w:r>
      <w:r w:rsidR="00305A9C" w:rsidRPr="00720DA1">
        <w:rPr>
          <w:sz w:val="16"/>
          <w:szCs w:val="16"/>
        </w:rPr>
        <w:t>https://eur-lex.europa.eu/legal-content/EN/TXT/?uri=CELEX%3A52017SC0213#footnote176</w:t>
      </w:r>
    </w:p>
  </w:footnote>
  <w:footnote w:id="267">
    <w:p w14:paraId="7A3FBCA9" w14:textId="0074C612" w:rsidR="0097683A" w:rsidRPr="00720DA1" w:rsidRDefault="0097683A">
      <w:pPr>
        <w:pStyle w:val="FootnoteText"/>
        <w:rPr>
          <w:sz w:val="16"/>
          <w:szCs w:val="16"/>
        </w:rPr>
      </w:pPr>
      <w:r w:rsidRPr="00720DA1">
        <w:rPr>
          <w:rStyle w:val="FootnoteReference"/>
          <w:sz w:val="16"/>
          <w:szCs w:val="16"/>
        </w:rPr>
        <w:footnoteRef/>
      </w:r>
      <w:r w:rsidRPr="00720DA1">
        <w:rPr>
          <w:sz w:val="16"/>
          <w:szCs w:val="16"/>
        </w:rPr>
        <w:t xml:space="preserve"> https://eur-lex.europa.eu/legal-content/EN/TXT/?uri=CELEX%3A52017SC0213#footnote176</w:t>
      </w:r>
    </w:p>
  </w:footnote>
  <w:footnote w:id="268">
    <w:p w14:paraId="4338F9A4" w14:textId="727C0506" w:rsidR="000F7913" w:rsidRPr="00720DA1" w:rsidRDefault="000F7913">
      <w:pPr>
        <w:pStyle w:val="FootnoteText"/>
        <w:rPr>
          <w:sz w:val="16"/>
          <w:szCs w:val="16"/>
          <w:lang w:val="en-IE"/>
        </w:rPr>
      </w:pPr>
      <w:r w:rsidRPr="00720DA1">
        <w:rPr>
          <w:rStyle w:val="FootnoteReference"/>
          <w:sz w:val="16"/>
          <w:szCs w:val="16"/>
        </w:rPr>
        <w:footnoteRef/>
      </w:r>
      <w:r w:rsidRPr="00720DA1">
        <w:rPr>
          <w:sz w:val="16"/>
          <w:szCs w:val="16"/>
        </w:rPr>
        <w:t xml:space="preserve"> </w:t>
      </w:r>
      <w:r w:rsidR="00C23898" w:rsidRPr="00720DA1">
        <w:rPr>
          <w:sz w:val="16"/>
          <w:szCs w:val="16"/>
        </w:rPr>
        <w:t>https://european-union.europa.eu/principles-countries-history/eu-countries/netherlands_en</w:t>
      </w:r>
    </w:p>
  </w:footnote>
  <w:footnote w:id="269">
    <w:p w14:paraId="10D2A69D" w14:textId="77777777" w:rsidR="00B9190A" w:rsidRPr="00720DA1" w:rsidRDefault="00B9190A"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S&amp;P Database</w:t>
      </w:r>
    </w:p>
  </w:footnote>
  <w:footnote w:id="270">
    <w:p w14:paraId="7777F889" w14:textId="77777777" w:rsidR="00434FB4" w:rsidRPr="00720DA1" w:rsidRDefault="00434FB4" w:rsidP="00CE1615">
      <w:pPr>
        <w:pStyle w:val="FootnoteText"/>
        <w:rPr>
          <w:sz w:val="16"/>
          <w:szCs w:val="16"/>
        </w:rPr>
      </w:pPr>
      <w:r w:rsidRPr="00720DA1">
        <w:rPr>
          <w:rStyle w:val="FootnoteReference"/>
          <w:sz w:val="16"/>
          <w:szCs w:val="16"/>
        </w:rPr>
        <w:footnoteRef/>
      </w:r>
      <w:r w:rsidRPr="00720DA1">
        <w:rPr>
          <w:sz w:val="16"/>
          <w:szCs w:val="16"/>
        </w:rPr>
        <w:t xml:space="preserve"> EUROSTAT (NACE Rev. 2)</w:t>
      </w:r>
    </w:p>
  </w:footnote>
  <w:footnote w:id="271">
    <w:p w14:paraId="677EB977" w14:textId="1B05BC58" w:rsidR="00AD5C08" w:rsidRPr="00720DA1" w:rsidRDefault="00AD5C08" w:rsidP="00AD5C08">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eastAsia="Times New Roman" w:cs="Times New Roman"/>
          <w:color w:val="000000" w:themeColor="text1"/>
          <w:sz w:val="16"/>
          <w:szCs w:val="16"/>
        </w:rPr>
        <w:t xml:space="preserve">The number of steel sites was based on </w:t>
      </w:r>
      <w:r w:rsidR="00727F80">
        <w:rPr>
          <w:rFonts w:eastAsia="Times New Roman" w:cs="Times New Roman"/>
          <w:color w:val="000000" w:themeColor="text1"/>
          <w:sz w:val="16"/>
          <w:szCs w:val="16"/>
        </w:rPr>
        <w:t>i</w:t>
      </w:r>
      <w:r w:rsidRPr="00720DA1">
        <w:rPr>
          <w:rFonts w:eastAsia="Times New Roman" w:cs="Times New Roman"/>
          <w:color w:val="000000" w:themeColor="text1"/>
          <w:sz w:val="16"/>
          <w:szCs w:val="16"/>
        </w:rPr>
        <w:t xml:space="preserve">nternal Commission </w:t>
      </w:r>
      <w:r w:rsidR="00FE40E7">
        <w:rPr>
          <w:rFonts w:eastAsia="Times New Roman" w:cs="Times New Roman"/>
          <w:color w:val="000000" w:themeColor="text1"/>
          <w:sz w:val="16"/>
          <w:szCs w:val="16"/>
        </w:rPr>
        <w:t>a</w:t>
      </w:r>
      <w:r w:rsidRPr="00720DA1">
        <w:rPr>
          <w:rFonts w:eastAsia="Times New Roman" w:cs="Times New Roman"/>
          <w:color w:val="000000" w:themeColor="text1"/>
          <w:sz w:val="16"/>
          <w:szCs w:val="16"/>
        </w:rPr>
        <w:t>nalysis o</w:t>
      </w:r>
      <w:r w:rsidR="00B81EA1">
        <w:rPr>
          <w:rFonts w:eastAsia="Times New Roman" w:cs="Times New Roman"/>
          <w:color w:val="000000" w:themeColor="text1"/>
          <w:sz w:val="16"/>
          <w:szCs w:val="16"/>
        </w:rPr>
        <w:t>f</w:t>
      </w:r>
      <w:r w:rsidRPr="00720DA1">
        <w:rPr>
          <w:rFonts w:eastAsia="Times New Roman" w:cs="Times New Roman"/>
          <w:color w:val="000000" w:themeColor="text1"/>
          <w:sz w:val="16"/>
          <w:szCs w:val="16"/>
        </w:rPr>
        <w:t xml:space="preserve"> projected low-carbon steel projects in the EU</w:t>
      </w:r>
    </w:p>
  </w:footnote>
  <w:footnote w:id="272">
    <w:p w14:paraId="05C01AFB" w14:textId="77777777" w:rsidR="00AD5C08" w:rsidRPr="00720DA1" w:rsidRDefault="00AD5C08" w:rsidP="00CE1615">
      <w:pPr>
        <w:pStyle w:val="FootnoteText"/>
        <w:rPr>
          <w:sz w:val="16"/>
          <w:szCs w:val="16"/>
        </w:rPr>
      </w:pPr>
      <w:r w:rsidRPr="00720DA1">
        <w:rPr>
          <w:rStyle w:val="FootnoteReference"/>
          <w:sz w:val="16"/>
          <w:szCs w:val="16"/>
        </w:rPr>
        <w:footnoteRef/>
      </w:r>
      <w:r w:rsidR="004525EA">
        <w:rPr>
          <w:sz w:val="16"/>
          <w:szCs w:val="16"/>
        </w:rPr>
        <w:t xml:space="preserve"> </w:t>
      </w:r>
      <w:hyperlink r:id="rId161" w:tgtFrame="_blank" w:history="1">
        <w:r w:rsidRPr="00720DA1">
          <w:rPr>
            <w:rStyle w:val="Hyperlink"/>
            <w:sz w:val="16"/>
            <w:szCs w:val="16"/>
          </w:rPr>
          <w:t>Europe Battery Energy Storage System (BESS) Companies - Top Company List</w:t>
        </w:r>
      </w:hyperlink>
    </w:p>
  </w:footnote>
  <w:footnote w:id="273">
    <w:p w14:paraId="11CCC2B8" w14:textId="48A6ACD5" w:rsidR="00AD5C08" w:rsidRPr="00720DA1" w:rsidRDefault="00AD5C08" w:rsidP="00CE1615">
      <w:pPr>
        <w:pStyle w:val="FootnoteText"/>
        <w:rPr>
          <w:sz w:val="16"/>
          <w:szCs w:val="16"/>
        </w:rPr>
      </w:pPr>
      <w:r w:rsidRPr="00720DA1">
        <w:rPr>
          <w:rStyle w:val="FootnoteReference"/>
          <w:sz w:val="16"/>
          <w:szCs w:val="16"/>
        </w:rPr>
        <w:footnoteRef/>
      </w:r>
      <w:r w:rsidRPr="00720DA1">
        <w:rPr>
          <w:sz w:val="16"/>
          <w:szCs w:val="16"/>
        </w:rPr>
        <w:t xml:space="preserve"> SolarPower Europe </w:t>
      </w:r>
      <w:r w:rsidR="004D43E9">
        <w:rPr>
          <w:sz w:val="16"/>
          <w:szCs w:val="16"/>
        </w:rPr>
        <w:t xml:space="preserve">webpage. </w:t>
      </w:r>
      <w:hyperlink r:id="rId162" w:tgtFrame="_blank" w:history="1">
        <w:r w:rsidR="00CC7837">
          <w:rPr>
            <w:rStyle w:val="Hyperlink"/>
            <w:sz w:val="16"/>
            <w:szCs w:val="16"/>
          </w:rPr>
          <w:t>Our Members</w:t>
        </w:r>
      </w:hyperlink>
      <w:r w:rsidR="004D43E9">
        <w:t>.</w:t>
      </w:r>
      <w:r w:rsidRPr="00720DA1">
        <w:rPr>
          <w:sz w:val="16"/>
          <w:szCs w:val="16"/>
        </w:rPr>
        <w:t> </w:t>
      </w:r>
    </w:p>
  </w:footnote>
  <w:footnote w:id="274">
    <w:p w14:paraId="7F4B00D4" w14:textId="77777777" w:rsidR="00FE1560" w:rsidRPr="00720DA1" w:rsidRDefault="00FE1560"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eastAsia="Times New Roman" w:cs="Times New Roman"/>
          <w:color w:val="000000" w:themeColor="text1"/>
          <w:sz w:val="16"/>
          <w:szCs w:val="16"/>
        </w:rPr>
        <w:t>Operational, announced and under construction battery factories. Source: internal Commission documents</w:t>
      </w:r>
    </w:p>
  </w:footnote>
  <w:footnote w:id="275">
    <w:p w14:paraId="01CCCFFB" w14:textId="7322B5B9" w:rsidR="0097683A" w:rsidRPr="00BC7572" w:rsidRDefault="0097683A">
      <w:pPr>
        <w:pStyle w:val="FootnoteText"/>
        <w:rPr>
          <w:sz w:val="16"/>
          <w:szCs w:val="16"/>
        </w:rPr>
      </w:pPr>
      <w:r w:rsidRPr="00BC7572">
        <w:rPr>
          <w:rStyle w:val="FootnoteReference"/>
          <w:sz w:val="16"/>
          <w:szCs w:val="16"/>
        </w:rPr>
        <w:footnoteRef/>
      </w:r>
      <w:r w:rsidR="00521136" w:rsidRPr="00BC7572">
        <w:rPr>
          <w:sz w:val="16"/>
          <w:szCs w:val="16"/>
        </w:rPr>
        <w:t xml:space="preserve"> </w:t>
      </w:r>
      <w:r w:rsidR="00D60AED" w:rsidRPr="00BC7572">
        <w:rPr>
          <w:sz w:val="16"/>
          <w:szCs w:val="16"/>
        </w:rPr>
        <w:t>European Commission (2017)</w:t>
      </w:r>
      <w:r w:rsidR="003A3EEE" w:rsidRPr="00BC7572">
        <w:rPr>
          <w:sz w:val="16"/>
          <w:szCs w:val="16"/>
        </w:rPr>
        <w:t xml:space="preserve">. </w:t>
      </w:r>
      <w:hyperlink r:id="rId163" w:anchor="footnote176" w:history="1">
        <w:r w:rsidR="003A3EEE" w:rsidRPr="00BC7572">
          <w:rPr>
            <w:rStyle w:val="Hyperlink"/>
            <w:sz w:val="16"/>
            <w:szCs w:val="16"/>
          </w:rPr>
          <w:t>Commission Staff Working Document</w:t>
        </w:r>
        <w:r w:rsidR="00A62CAC" w:rsidRPr="00BC7572">
          <w:rPr>
            <w:rStyle w:val="Hyperlink"/>
            <w:sz w:val="16"/>
            <w:szCs w:val="16"/>
          </w:rPr>
          <w:t xml:space="preserve"> -</w:t>
        </w:r>
        <w:r w:rsidR="003A3EEE" w:rsidRPr="00BC7572">
          <w:rPr>
            <w:rStyle w:val="Hyperlink"/>
            <w:sz w:val="16"/>
            <w:szCs w:val="16"/>
          </w:rPr>
          <w:t xml:space="preserve"> Impact Assessment</w:t>
        </w:r>
        <w:r w:rsidR="00A62CAC" w:rsidRPr="00BC7572">
          <w:rPr>
            <w:rStyle w:val="Hyperlink"/>
            <w:sz w:val="16"/>
            <w:szCs w:val="16"/>
          </w:rPr>
          <w:t xml:space="preserve"> </w:t>
        </w:r>
        <w:r w:rsidR="003A3EEE" w:rsidRPr="00BC7572">
          <w:rPr>
            <w:rStyle w:val="Hyperlink"/>
            <w:sz w:val="16"/>
            <w:szCs w:val="16"/>
          </w:rPr>
          <w:t xml:space="preserve">Accompanying </w:t>
        </w:r>
        <w:r w:rsidR="00A62CAC" w:rsidRPr="00BC7572">
          <w:rPr>
            <w:rStyle w:val="Hyperlink"/>
            <w:sz w:val="16"/>
            <w:szCs w:val="16"/>
          </w:rPr>
          <w:t>the D</w:t>
        </w:r>
        <w:r w:rsidR="003A3EEE" w:rsidRPr="00BC7572">
          <w:rPr>
            <w:rStyle w:val="Hyperlink"/>
            <w:sz w:val="16"/>
            <w:szCs w:val="16"/>
          </w:rPr>
          <w:t>ocument</w:t>
        </w:r>
        <w:r w:rsidR="00965B53" w:rsidRPr="00BC7572">
          <w:rPr>
            <w:rStyle w:val="Hyperlink"/>
            <w:sz w:val="16"/>
            <w:szCs w:val="16"/>
          </w:rPr>
          <w:t>.</w:t>
        </w:r>
        <w:r w:rsidR="003A3EEE" w:rsidRPr="00BC7572">
          <w:rPr>
            <w:rStyle w:val="Hyperlink"/>
            <w:sz w:val="16"/>
            <w:szCs w:val="16"/>
          </w:rPr>
          <w:t xml:space="preserve"> Proposal for a Regulation of the European Parliament and of the Council on establishing a single digital gateway</w:t>
        </w:r>
      </w:hyperlink>
      <w:r w:rsidR="003A3EEE" w:rsidRPr="00BC7572">
        <w:rPr>
          <w:sz w:val="16"/>
          <w:szCs w:val="16"/>
        </w:rPr>
        <w:t xml:space="preserve">, </w:t>
      </w:r>
      <w:r w:rsidR="001C2D7A" w:rsidRPr="00BC7572">
        <w:rPr>
          <w:sz w:val="16"/>
          <w:szCs w:val="16"/>
        </w:rPr>
        <w:t>COM(2017) 256 final</w:t>
      </w:r>
      <w:r w:rsidR="003A3EEE" w:rsidRPr="00BC7572">
        <w:rPr>
          <w:sz w:val="16"/>
          <w:szCs w:val="16"/>
        </w:rPr>
        <w:t>, Brussels, 2 May 2017</w:t>
      </w:r>
      <w:r w:rsidR="00753918" w:rsidRPr="00BC7572">
        <w:rPr>
          <w:sz w:val="16"/>
          <w:szCs w:val="16"/>
        </w:rPr>
        <w:t>, t</w:t>
      </w:r>
      <w:r w:rsidR="00521136" w:rsidRPr="00BC7572">
        <w:rPr>
          <w:sz w:val="16"/>
          <w:szCs w:val="16"/>
        </w:rPr>
        <w:t>able 6.6</w:t>
      </w:r>
      <w:r w:rsidR="00961DF9" w:rsidRPr="00BC7572">
        <w:rPr>
          <w:sz w:val="16"/>
          <w:szCs w:val="16"/>
        </w:rPr>
        <w:t>.</w:t>
      </w:r>
    </w:p>
  </w:footnote>
  <w:footnote w:id="276">
    <w:p w14:paraId="1AC57A2A" w14:textId="754AAB52" w:rsidR="00514646" w:rsidRPr="00720DA1" w:rsidRDefault="00514646">
      <w:pPr>
        <w:pStyle w:val="FootnoteText"/>
        <w:rPr>
          <w:sz w:val="16"/>
          <w:szCs w:val="16"/>
        </w:rPr>
      </w:pPr>
      <w:r w:rsidRPr="00BC7572">
        <w:rPr>
          <w:rStyle w:val="FootnoteReference"/>
          <w:sz w:val="16"/>
          <w:szCs w:val="16"/>
        </w:rPr>
        <w:footnoteRef/>
      </w:r>
      <w:r w:rsidRPr="00BC7572">
        <w:rPr>
          <w:sz w:val="16"/>
          <w:szCs w:val="16"/>
        </w:rPr>
        <w:t xml:space="preserve"> </w:t>
      </w:r>
      <w:r w:rsidR="003D7666" w:rsidRPr="00BC7572">
        <w:rPr>
          <w:sz w:val="16"/>
          <w:szCs w:val="16"/>
        </w:rPr>
        <w:t xml:space="preserve">European Union webpage. </w:t>
      </w:r>
      <w:hyperlink r:id="rId164" w:history="1">
        <w:r w:rsidR="004D2C3C" w:rsidRPr="00BC7572">
          <w:rPr>
            <w:rStyle w:val="Hyperlink"/>
            <w:sz w:val="16"/>
            <w:szCs w:val="16"/>
          </w:rPr>
          <w:t>Netherlands</w:t>
        </w:r>
      </w:hyperlink>
      <w:r w:rsidR="004D2C3C" w:rsidRPr="00BC7572">
        <w:rPr>
          <w:sz w:val="16"/>
          <w:szCs w:val="16"/>
        </w:rPr>
        <w:t>.</w:t>
      </w:r>
    </w:p>
  </w:footnote>
  <w:footnote w:id="277">
    <w:p w14:paraId="4B20DC6E" w14:textId="60072460" w:rsidR="004E4956" w:rsidRPr="00720DA1" w:rsidRDefault="004E4956">
      <w:pPr>
        <w:pStyle w:val="FootnoteText"/>
        <w:rPr>
          <w:sz w:val="16"/>
          <w:szCs w:val="16"/>
        </w:rPr>
      </w:pPr>
      <w:r w:rsidRPr="00720DA1">
        <w:rPr>
          <w:rStyle w:val="FootnoteReference"/>
          <w:sz w:val="16"/>
          <w:szCs w:val="16"/>
        </w:rPr>
        <w:footnoteRef/>
      </w:r>
      <w:r w:rsidRPr="00720DA1">
        <w:rPr>
          <w:sz w:val="16"/>
          <w:szCs w:val="16"/>
        </w:rPr>
        <w:t xml:space="preserve"> This figure could be an overestimation</w:t>
      </w:r>
      <w:r w:rsidR="00F5586D" w:rsidRPr="00720DA1">
        <w:rPr>
          <w:sz w:val="16"/>
          <w:szCs w:val="16"/>
        </w:rPr>
        <w:t>, as it is based on business procedures with a volume of at least 100 000 transactions</w:t>
      </w:r>
      <w:r w:rsidR="009970E1" w:rsidRPr="00720DA1">
        <w:rPr>
          <w:sz w:val="16"/>
          <w:szCs w:val="16"/>
        </w:rPr>
        <w:t xml:space="preserve"> and costs for the procedure at hand can vary greatly</w:t>
      </w:r>
      <w:r w:rsidR="00DF26F9" w:rsidRPr="00720DA1">
        <w:rPr>
          <w:sz w:val="16"/>
          <w:szCs w:val="16"/>
        </w:rPr>
        <w:t>.</w:t>
      </w:r>
      <w:r w:rsidR="004E5237" w:rsidRPr="00720DA1">
        <w:rPr>
          <w:sz w:val="16"/>
          <w:szCs w:val="16"/>
        </w:rPr>
        <w:t xml:space="preserve"> </w:t>
      </w:r>
      <w:r w:rsidR="00DF26F9" w:rsidRPr="00720DA1">
        <w:rPr>
          <w:sz w:val="16"/>
          <w:szCs w:val="16"/>
        </w:rPr>
        <w:t>The reference values (EUR 79.4 million) come from The Netherlands</w:t>
      </w:r>
      <w:r w:rsidR="002F70FC" w:rsidRPr="00720DA1">
        <w:rPr>
          <w:sz w:val="16"/>
          <w:szCs w:val="16"/>
        </w:rPr>
        <w:t xml:space="preserve">’s feedback to the Single Digital Gateway Impact Assessment. </w:t>
      </w:r>
      <w:r w:rsidR="00DF26F9" w:rsidRPr="00720DA1">
        <w:rPr>
          <w:sz w:val="16"/>
          <w:szCs w:val="16"/>
        </w:rPr>
        <w:t>To have a more nuanced and proportionate representation between the different Member States and their economic sizes</w:t>
      </w:r>
      <w:r w:rsidR="002F70FC" w:rsidRPr="00720DA1">
        <w:rPr>
          <w:sz w:val="16"/>
          <w:szCs w:val="16"/>
        </w:rPr>
        <w:t xml:space="preserve">, we use the EU’s GDP </w:t>
      </w:r>
      <w:r w:rsidR="00DF26F9" w:rsidRPr="00720DA1">
        <w:rPr>
          <w:sz w:val="16"/>
          <w:szCs w:val="16"/>
        </w:rPr>
        <w:t>as a proxy to the use of permitting systems by companies</w:t>
      </w:r>
      <w:r w:rsidR="00803930" w:rsidRPr="00720DA1">
        <w:rPr>
          <w:sz w:val="16"/>
          <w:szCs w:val="16"/>
        </w:rPr>
        <w:t>. A</w:t>
      </w:r>
      <w:r w:rsidR="00DF26F9" w:rsidRPr="00720DA1">
        <w:rPr>
          <w:sz w:val="16"/>
          <w:szCs w:val="16"/>
        </w:rPr>
        <w:t xml:space="preserve"> calculation based on Netherlands</w:t>
      </w:r>
      <w:r w:rsidR="009360F3" w:rsidRPr="00720DA1">
        <w:rPr>
          <w:sz w:val="16"/>
          <w:szCs w:val="16"/>
        </w:rPr>
        <w:t>’s share of the EU’s</w:t>
      </w:r>
      <w:r w:rsidR="00DF26F9" w:rsidRPr="00720DA1">
        <w:rPr>
          <w:sz w:val="16"/>
          <w:szCs w:val="16"/>
        </w:rPr>
        <w:t xml:space="preserve"> GDP</w:t>
      </w:r>
      <w:r w:rsidR="00803930" w:rsidRPr="00720DA1">
        <w:rPr>
          <w:sz w:val="16"/>
          <w:szCs w:val="16"/>
        </w:rPr>
        <w:t xml:space="preserve"> </w:t>
      </w:r>
      <w:r w:rsidR="00DF26F9" w:rsidRPr="00720DA1">
        <w:rPr>
          <w:sz w:val="16"/>
          <w:szCs w:val="16"/>
        </w:rPr>
        <w:t>in relation to the EU total is done (6.1% out of the EU 100%</w:t>
      </w:r>
      <w:r w:rsidR="00F025CC" w:rsidRPr="00720DA1">
        <w:rPr>
          <w:sz w:val="16"/>
          <w:szCs w:val="16"/>
        </w:rPr>
        <w:t xml:space="preserve">. </w:t>
      </w:r>
      <w:r w:rsidR="007E4AF5" w:rsidRPr="00720DA1">
        <w:rPr>
          <w:sz w:val="16"/>
          <w:szCs w:val="16"/>
        </w:rPr>
        <w:t xml:space="preserve">(79.4x100)/6.1= </w:t>
      </w:r>
      <w:r w:rsidR="00D2024B" w:rsidRPr="00720DA1">
        <w:rPr>
          <w:sz w:val="16"/>
          <w:szCs w:val="16"/>
        </w:rPr>
        <w:t>1.3 billion</w:t>
      </w:r>
      <w:r w:rsidR="00DF26F9" w:rsidRPr="00720DA1">
        <w:rPr>
          <w:sz w:val="16"/>
          <w:szCs w:val="16"/>
        </w:rPr>
        <w:t>).</w:t>
      </w:r>
    </w:p>
  </w:footnote>
  <w:footnote w:id="278">
    <w:p w14:paraId="4275F553" w14:textId="1C0DAD79" w:rsidR="0043706C" w:rsidRPr="00720DA1" w:rsidRDefault="0043706C">
      <w:pPr>
        <w:pStyle w:val="FootnoteText"/>
        <w:rPr>
          <w:sz w:val="16"/>
          <w:szCs w:val="16"/>
        </w:rPr>
      </w:pPr>
      <w:r w:rsidRPr="00720DA1">
        <w:rPr>
          <w:rStyle w:val="FootnoteReference"/>
          <w:sz w:val="16"/>
          <w:szCs w:val="16"/>
        </w:rPr>
        <w:footnoteRef/>
      </w:r>
      <w:r w:rsidR="007E0FE9">
        <w:rPr>
          <w:rFonts w:cs="Times New Roman"/>
          <w:sz w:val="16"/>
          <w:szCs w:val="16"/>
        </w:rPr>
        <w:t>BCG (</w:t>
      </w:r>
      <w:r w:rsidR="00240D7D">
        <w:rPr>
          <w:rFonts w:cs="Times New Roman"/>
          <w:sz w:val="16"/>
          <w:szCs w:val="16"/>
        </w:rPr>
        <w:t xml:space="preserve">2022). </w:t>
      </w:r>
      <w:hyperlink r:id="rId165" w:history="1">
        <w:r w:rsidR="00580A9A" w:rsidRPr="00580A9A">
          <w:rPr>
            <w:rStyle w:val="Hyperlink"/>
            <w:rFonts w:cs="Times New Roman"/>
            <w:sz w:val="16"/>
            <w:szCs w:val="16"/>
          </w:rPr>
          <w:t>Transforming the Steel Industry May Be the Ultimate Climate Challenge</w:t>
        </w:r>
      </w:hyperlink>
      <w:r w:rsidR="00580A9A">
        <w:rPr>
          <w:rFonts w:cs="Times New Roman"/>
          <w:sz w:val="16"/>
          <w:szCs w:val="16"/>
        </w:rPr>
        <w:t>.</w:t>
      </w:r>
    </w:p>
  </w:footnote>
  <w:footnote w:id="279">
    <w:p w14:paraId="7F22B971" w14:textId="4BFD29BF" w:rsidR="00A96790" w:rsidRPr="00720DA1" w:rsidRDefault="00A96790" w:rsidP="00A96790">
      <w:pPr>
        <w:pStyle w:val="FootnoteText"/>
        <w:rPr>
          <w:sz w:val="16"/>
          <w:szCs w:val="16"/>
          <w:lang w:val="en-IE"/>
        </w:rPr>
      </w:pPr>
      <w:r w:rsidRPr="00720DA1">
        <w:rPr>
          <w:rStyle w:val="FootnoteReference"/>
          <w:sz w:val="16"/>
          <w:szCs w:val="16"/>
        </w:rPr>
        <w:footnoteRef/>
      </w:r>
      <w:r w:rsidRPr="00720DA1">
        <w:rPr>
          <w:sz w:val="16"/>
          <w:szCs w:val="16"/>
        </w:rPr>
        <w:t xml:space="preserve"> </w:t>
      </w:r>
      <w:r w:rsidR="001D3556">
        <w:rPr>
          <w:sz w:val="16"/>
          <w:szCs w:val="16"/>
        </w:rPr>
        <w:t>M</w:t>
      </w:r>
      <w:r w:rsidR="001D3556" w:rsidRPr="001D3556">
        <w:rPr>
          <w:sz w:val="16"/>
          <w:szCs w:val="16"/>
        </w:rPr>
        <w:t xml:space="preserve">ission Possible Partnership (2022). </w:t>
      </w:r>
      <w:hyperlink r:id="rId166" w:history="1">
        <w:r w:rsidR="001D3556">
          <w:rPr>
            <w:rStyle w:val="Hyperlink"/>
            <w:sz w:val="16"/>
            <w:szCs w:val="16"/>
          </w:rPr>
          <w:t>Making net-zero aluminium possible. An industry-backed, 1.5ºC-aligned transition strategy.</w:t>
        </w:r>
      </w:hyperlink>
    </w:p>
  </w:footnote>
  <w:footnote w:id="280">
    <w:p w14:paraId="72311B2F" w14:textId="56FF8940" w:rsidR="00A96790" w:rsidRPr="00720DA1" w:rsidRDefault="00A96790" w:rsidP="00A96790">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 xml:space="preserve">Underlying assumptions were that the average cost of an EV in 2030 is approximately EUR 28.500 (internal estimation, JRC) and an EV utilizes 0.31 tonnes of aluminium in 2030 </w:t>
      </w:r>
      <w:hyperlink r:id="rId167" w:history="1">
        <w:r w:rsidRPr="00720DA1">
          <w:rPr>
            <w:rStyle w:val="Hyperlink"/>
            <w:sz w:val="16"/>
            <w:szCs w:val="16"/>
            <w:lang w:val="en-IE"/>
          </w:rPr>
          <w:t>(European Aluminium).</w:t>
        </w:r>
      </w:hyperlink>
      <w:r w:rsidR="002B5E15" w:rsidRPr="00720DA1">
        <w:rPr>
          <w:sz w:val="16"/>
          <w:szCs w:val="16"/>
          <w:lang w:val="en-IE"/>
        </w:rPr>
        <w:t xml:space="preserve"> </w:t>
      </w:r>
      <w:r w:rsidR="008B18C8" w:rsidRPr="00720DA1">
        <w:rPr>
          <w:sz w:val="16"/>
          <w:szCs w:val="16"/>
          <w:lang w:val="en-IE"/>
        </w:rPr>
        <w:t>The cost for</w:t>
      </w:r>
      <w:r w:rsidR="005323ED" w:rsidRPr="00720DA1">
        <w:rPr>
          <w:sz w:val="16"/>
          <w:szCs w:val="16"/>
          <w:lang w:val="en-IE"/>
        </w:rPr>
        <w:t xml:space="preserve"> ICE or</w:t>
      </w:r>
      <w:r w:rsidR="008B18C8" w:rsidRPr="00720DA1">
        <w:rPr>
          <w:sz w:val="16"/>
          <w:szCs w:val="16"/>
          <w:lang w:val="en-IE"/>
        </w:rPr>
        <w:t xml:space="preserve"> other types of motors will be lower as </w:t>
      </w:r>
      <w:r w:rsidR="005323ED" w:rsidRPr="00720DA1">
        <w:rPr>
          <w:sz w:val="16"/>
          <w:szCs w:val="16"/>
          <w:lang w:val="en-IE"/>
        </w:rPr>
        <w:t xml:space="preserve">the electric motor is a key </w:t>
      </w:r>
      <w:r w:rsidR="00356004" w:rsidRPr="00720DA1">
        <w:rPr>
          <w:sz w:val="16"/>
          <w:szCs w:val="16"/>
          <w:lang w:val="en-IE"/>
        </w:rPr>
        <w:t>driver for aluminium usage in the overall amount per car</w:t>
      </w:r>
      <w:r w:rsidR="00C27141" w:rsidRPr="00720DA1">
        <w:rPr>
          <w:sz w:val="16"/>
          <w:szCs w:val="16"/>
          <w:lang w:val="en-IE"/>
        </w:rPr>
        <w:t>.</w:t>
      </w:r>
    </w:p>
  </w:footnote>
  <w:footnote w:id="281">
    <w:p w14:paraId="504C199C" w14:textId="555698A6" w:rsidR="00B754E2" w:rsidRPr="00720DA1" w:rsidRDefault="00B754E2">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JRC</w:t>
      </w:r>
      <w:r w:rsidR="00182830" w:rsidRPr="00720DA1">
        <w:rPr>
          <w:rFonts w:cs="Times New Roman"/>
          <w:sz w:val="16"/>
          <w:szCs w:val="16"/>
        </w:rPr>
        <w:t xml:space="preserve"> (2024).</w:t>
      </w:r>
      <w:r w:rsidRPr="00720DA1">
        <w:rPr>
          <w:rFonts w:cs="Times New Roman"/>
          <w:sz w:val="16"/>
          <w:szCs w:val="16"/>
        </w:rPr>
        <w:t xml:space="preserve"> </w:t>
      </w:r>
      <w:hyperlink r:id="rId168">
        <w:r w:rsidRPr="00720DA1">
          <w:rPr>
            <w:rStyle w:val="Hyperlink"/>
            <w:rFonts w:cs="Times New Roman"/>
            <w:sz w:val="16"/>
            <w:szCs w:val="16"/>
          </w:rPr>
          <w:t>Draft preparatory study on iron and steel – ecodesign measures under the ESPR</w:t>
        </w:r>
      </w:hyperlink>
      <w:r w:rsidRPr="00720DA1">
        <w:rPr>
          <w:rFonts w:cs="Times New Roman"/>
          <w:sz w:val="16"/>
          <w:szCs w:val="16"/>
        </w:rPr>
        <w:t xml:space="preserve">; Global Efficiency Intelligence, TransitionAsia and Solutions for Our Climate (SFOC) </w:t>
      </w:r>
      <w:r w:rsidR="00182830" w:rsidRPr="00720DA1">
        <w:rPr>
          <w:rFonts w:cs="Times New Roman"/>
          <w:sz w:val="16"/>
          <w:szCs w:val="16"/>
        </w:rPr>
        <w:t>(2024).</w:t>
      </w:r>
      <w:r w:rsidRPr="00720DA1">
        <w:rPr>
          <w:rFonts w:cs="Times New Roman"/>
          <w:sz w:val="16"/>
          <w:szCs w:val="16"/>
        </w:rPr>
        <w:t xml:space="preserve"> </w:t>
      </w:r>
      <w:hyperlink r:id="rId169">
        <w:r w:rsidRPr="00720DA1">
          <w:rPr>
            <w:rStyle w:val="Hyperlink"/>
            <w:rFonts w:cs="Times New Roman"/>
            <w:sz w:val="16"/>
            <w:szCs w:val="16"/>
          </w:rPr>
          <w:t>Green Steel Economics</w:t>
        </w:r>
      </w:hyperlink>
      <w:r w:rsidRPr="00720DA1">
        <w:rPr>
          <w:rFonts w:cs="Times New Roman"/>
          <w:sz w:val="16"/>
          <w:szCs w:val="16"/>
        </w:rPr>
        <w:t>.</w:t>
      </w:r>
    </w:p>
  </w:footnote>
  <w:footnote w:id="282">
    <w:p w14:paraId="401C09EB" w14:textId="4AAE37AA" w:rsidR="00F126EC" w:rsidRPr="00720DA1" w:rsidRDefault="00F126EC">
      <w:pPr>
        <w:pStyle w:val="FootnoteText"/>
        <w:rPr>
          <w:sz w:val="16"/>
          <w:szCs w:val="16"/>
        </w:rPr>
      </w:pPr>
      <w:r w:rsidRPr="00720DA1">
        <w:rPr>
          <w:rStyle w:val="FootnoteReference"/>
          <w:sz w:val="16"/>
          <w:szCs w:val="16"/>
        </w:rPr>
        <w:footnoteRef/>
      </w:r>
      <w:r w:rsidRPr="00720DA1">
        <w:rPr>
          <w:sz w:val="16"/>
          <w:szCs w:val="16"/>
        </w:rPr>
        <w:t xml:space="preserve"> </w:t>
      </w:r>
      <w:r w:rsidR="000524B6" w:rsidRPr="00720DA1">
        <w:rPr>
          <w:rFonts w:eastAsia="Times New Roman" w:cs="Times New Roman"/>
          <w:sz w:val="16"/>
          <w:szCs w:val="16"/>
        </w:rPr>
        <w:t>Agora Industry</w:t>
      </w:r>
      <w:r w:rsidR="00182830" w:rsidRPr="00720DA1">
        <w:rPr>
          <w:rFonts w:eastAsia="Times New Roman" w:cs="Times New Roman"/>
          <w:sz w:val="16"/>
          <w:szCs w:val="16"/>
        </w:rPr>
        <w:t xml:space="preserve"> (2024).</w:t>
      </w:r>
      <w:r w:rsidR="000524B6" w:rsidRPr="00720DA1">
        <w:rPr>
          <w:rFonts w:eastAsia="Times New Roman" w:cs="Times New Roman"/>
          <w:sz w:val="16"/>
          <w:szCs w:val="16"/>
        </w:rPr>
        <w:t xml:space="preserve"> </w:t>
      </w:r>
      <w:hyperlink r:id="rId170">
        <w:r w:rsidR="000524B6" w:rsidRPr="00720DA1">
          <w:rPr>
            <w:rStyle w:val="Hyperlink"/>
            <w:rFonts w:eastAsia="Times New Roman" w:cs="Times New Roman"/>
            <w:color w:val="467886"/>
            <w:sz w:val="16"/>
            <w:szCs w:val="16"/>
          </w:rPr>
          <w:t>Creating markets for climate-friendly basic materials. Potentials and policy options</w:t>
        </w:r>
      </w:hyperlink>
      <w:r w:rsidR="000524B6" w:rsidRPr="00720DA1">
        <w:rPr>
          <w:rFonts w:eastAsia="Times New Roman" w:cs="Times New Roman"/>
          <w:sz w:val="16"/>
          <w:szCs w:val="16"/>
        </w:rPr>
        <w:t xml:space="preserve">, p. 13; </w:t>
      </w:r>
      <w:r w:rsidR="00182830" w:rsidRPr="00720DA1">
        <w:rPr>
          <w:rFonts w:eastAsia="Times New Roman" w:cs="Times New Roman"/>
          <w:sz w:val="16"/>
          <w:szCs w:val="16"/>
        </w:rPr>
        <w:t>Bellona</w:t>
      </w:r>
      <w:r w:rsidR="004D4888" w:rsidRPr="00720DA1">
        <w:rPr>
          <w:rFonts w:eastAsia="Times New Roman" w:cs="Times New Roman"/>
          <w:sz w:val="16"/>
          <w:szCs w:val="16"/>
        </w:rPr>
        <w:t xml:space="preserve"> Foundation</w:t>
      </w:r>
      <w:r w:rsidR="00182830" w:rsidRPr="00720DA1">
        <w:rPr>
          <w:rFonts w:eastAsia="Times New Roman" w:cs="Times New Roman"/>
          <w:sz w:val="16"/>
          <w:szCs w:val="16"/>
        </w:rPr>
        <w:t xml:space="preserve"> (2018).</w:t>
      </w:r>
      <w:r w:rsidR="000524B6" w:rsidRPr="00720DA1">
        <w:rPr>
          <w:rFonts w:eastAsia="Times New Roman" w:cs="Times New Roman"/>
          <w:sz w:val="16"/>
          <w:szCs w:val="16"/>
        </w:rPr>
        <w:t xml:space="preserve"> </w:t>
      </w:r>
      <w:hyperlink r:id="rId171">
        <w:r w:rsidR="000524B6" w:rsidRPr="00720DA1">
          <w:rPr>
            <w:rStyle w:val="Hyperlink"/>
            <w:rFonts w:eastAsia="Times New Roman" w:cs="Times New Roman"/>
            <w:sz w:val="16"/>
            <w:szCs w:val="16"/>
          </w:rPr>
          <w:t>Building with Low Carbon Cement is Affordable</w:t>
        </w:r>
      </w:hyperlink>
      <w:r w:rsidR="000524B6" w:rsidRPr="00720DA1">
        <w:rPr>
          <w:rFonts w:eastAsia="Times New Roman" w:cs="Times New Roman"/>
          <w:sz w:val="16"/>
          <w:szCs w:val="16"/>
        </w:rPr>
        <w:t>.</w:t>
      </w:r>
    </w:p>
  </w:footnote>
  <w:footnote w:id="283">
    <w:p w14:paraId="632873FA" w14:textId="31837E02" w:rsidR="002B019C" w:rsidRPr="00720DA1" w:rsidRDefault="002B019C">
      <w:pPr>
        <w:pStyle w:val="FootnoteText"/>
        <w:rPr>
          <w:sz w:val="16"/>
          <w:szCs w:val="16"/>
        </w:rPr>
      </w:pPr>
      <w:r w:rsidRPr="00720DA1">
        <w:rPr>
          <w:rStyle w:val="FootnoteReference"/>
          <w:sz w:val="16"/>
          <w:szCs w:val="16"/>
        </w:rPr>
        <w:footnoteRef/>
      </w:r>
      <w:r w:rsidRPr="00720DA1">
        <w:rPr>
          <w:sz w:val="16"/>
          <w:szCs w:val="16"/>
        </w:rPr>
        <w:t xml:space="preserve"> Assuming traditional supply chains for steel, aluminium and cement remain the same</w:t>
      </w:r>
      <w:r w:rsidR="00146DCD" w:rsidRPr="00720DA1">
        <w:rPr>
          <w:sz w:val="16"/>
          <w:szCs w:val="16"/>
        </w:rPr>
        <w:t xml:space="preserve">, the domestic supply for these materials is already higher than </w:t>
      </w:r>
      <w:r w:rsidR="00A24309" w:rsidRPr="00720DA1">
        <w:rPr>
          <w:sz w:val="16"/>
          <w:szCs w:val="16"/>
        </w:rPr>
        <w:t xml:space="preserve">the </w:t>
      </w:r>
      <w:r w:rsidR="001D3A9D">
        <w:rPr>
          <w:sz w:val="16"/>
          <w:szCs w:val="16"/>
        </w:rPr>
        <w:t>proposed</w:t>
      </w:r>
      <w:r w:rsidR="001D3A9D" w:rsidRPr="00720DA1">
        <w:rPr>
          <w:sz w:val="16"/>
          <w:szCs w:val="16"/>
        </w:rPr>
        <w:t xml:space="preserve"> </w:t>
      </w:r>
      <w:r w:rsidR="0085540A" w:rsidRPr="00720DA1">
        <w:rPr>
          <w:sz w:val="16"/>
          <w:szCs w:val="16"/>
        </w:rPr>
        <w:t>targets</w:t>
      </w:r>
      <w:r w:rsidR="00A24309" w:rsidRPr="00720DA1">
        <w:rPr>
          <w:sz w:val="16"/>
          <w:szCs w:val="16"/>
        </w:rPr>
        <w:t xml:space="preserve"> for PO2. </w:t>
      </w:r>
      <w:r w:rsidR="0085540A" w:rsidRPr="00720DA1">
        <w:rPr>
          <w:sz w:val="16"/>
          <w:szCs w:val="16"/>
        </w:rPr>
        <w:t>Therefore,</w:t>
      </w:r>
      <w:r w:rsidR="00A24309" w:rsidRPr="00720DA1">
        <w:rPr>
          <w:sz w:val="16"/>
          <w:szCs w:val="16"/>
        </w:rPr>
        <w:t xml:space="preserve"> no additional costs would be expected from Made in EU requirements, only from the </w:t>
      </w:r>
      <w:r w:rsidR="000F3DC5" w:rsidRPr="00720DA1">
        <w:rPr>
          <w:sz w:val="16"/>
          <w:szCs w:val="16"/>
        </w:rPr>
        <w:t xml:space="preserve">additional low-carbon cost. </w:t>
      </w:r>
    </w:p>
  </w:footnote>
  <w:footnote w:id="284">
    <w:p w14:paraId="70E9D00A" w14:textId="5754822E" w:rsidR="004B6A96" w:rsidRPr="00C652A5" w:rsidRDefault="004B6A96">
      <w:pPr>
        <w:pStyle w:val="FootnoteText"/>
        <w:rPr>
          <w:sz w:val="16"/>
          <w:szCs w:val="16"/>
        </w:rPr>
      </w:pPr>
      <w:r w:rsidRPr="00C652A5">
        <w:rPr>
          <w:rStyle w:val="FootnoteReference"/>
          <w:sz w:val="16"/>
          <w:szCs w:val="16"/>
        </w:rPr>
        <w:footnoteRef/>
      </w:r>
      <w:r w:rsidRPr="00C652A5">
        <w:rPr>
          <w:sz w:val="16"/>
          <w:szCs w:val="16"/>
        </w:rPr>
        <w:t xml:space="preserve"> SolarPower Europe and Fraunhofer</w:t>
      </w:r>
      <w:r w:rsidR="00C652A5">
        <w:rPr>
          <w:sz w:val="16"/>
          <w:szCs w:val="16"/>
        </w:rPr>
        <w:t xml:space="preserve"> (2025).</w:t>
      </w:r>
      <w:r w:rsidRPr="00C652A5">
        <w:rPr>
          <w:sz w:val="16"/>
          <w:szCs w:val="16"/>
        </w:rPr>
        <w:t xml:space="preserve"> </w:t>
      </w:r>
      <w:hyperlink r:id="rId172" w:history="1">
        <w:r w:rsidRPr="00C652A5">
          <w:rPr>
            <w:rStyle w:val="Hyperlink"/>
            <w:sz w:val="16"/>
            <w:szCs w:val="16"/>
          </w:rPr>
          <w:t>Reshoring Solar Module Manufacturing to Europe</w:t>
        </w:r>
      </w:hyperlink>
      <w:r w:rsidR="00C652A5">
        <w:rPr>
          <w:sz w:val="16"/>
          <w:szCs w:val="16"/>
        </w:rPr>
        <w:t>.</w:t>
      </w:r>
    </w:p>
  </w:footnote>
  <w:footnote w:id="285">
    <w:p w14:paraId="4EB5758D" w14:textId="77777777" w:rsidR="00956FB9" w:rsidRPr="00720DA1" w:rsidRDefault="00956FB9" w:rsidP="00956FB9">
      <w:pPr>
        <w:pStyle w:val="FootnoteText"/>
        <w:rPr>
          <w:sz w:val="16"/>
          <w:szCs w:val="16"/>
        </w:rPr>
      </w:pPr>
      <w:r w:rsidRPr="00720DA1">
        <w:rPr>
          <w:rStyle w:val="FootnoteReference"/>
          <w:sz w:val="16"/>
          <w:szCs w:val="16"/>
        </w:rPr>
        <w:footnoteRef/>
      </w:r>
      <w:hyperlink r:id="rId173" w:history="1">
        <w:r w:rsidRPr="00720DA1">
          <w:rPr>
            <w:rFonts w:cs="Times New Roman"/>
            <w:sz w:val="16"/>
            <w:szCs w:val="16"/>
          </w:rPr>
          <w:t>Weighted average truck battery pack size and cost, 2020-2024, IEA</w:t>
        </w:r>
      </w:hyperlink>
    </w:p>
  </w:footnote>
  <w:footnote w:id="286">
    <w:p w14:paraId="0D69E2BA" w14:textId="04C93D78" w:rsidR="009E5F2D" w:rsidRPr="00720DA1" w:rsidRDefault="009E5F2D"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We assume that there is public support to buy EV vehicles in Europe for corporate purchases. In contrast, public support is only available for consumers in Austria, Belgium, Croatia, Cyprus, Czechia, Estonia, France, Greece, Hungary, Ireland, Lithuania, Luxembourg, Malta, the Netherlands, Poland, Slovenia, Spain, and Sweden (ACEA, 2025). Against this background, we estimate that LEAD_VC 1 would affect 80.2% of EV registrations, including 60.0% from corporate purchases, and 20.2% from consumers.</w:t>
      </w:r>
    </w:p>
  </w:footnote>
  <w:footnote w:id="287">
    <w:p w14:paraId="1A6941BB" w14:textId="77777777" w:rsidR="00780BA9" w:rsidRPr="00720DA1" w:rsidRDefault="00780BA9" w:rsidP="00780BA9">
      <w:pPr>
        <w:pStyle w:val="FootnoteText"/>
        <w:rPr>
          <w:sz w:val="16"/>
          <w:szCs w:val="16"/>
        </w:rPr>
      </w:pPr>
      <w:r w:rsidRPr="00720DA1">
        <w:rPr>
          <w:rStyle w:val="FootnoteReference"/>
          <w:sz w:val="16"/>
          <w:szCs w:val="16"/>
        </w:rPr>
        <w:footnoteRef/>
      </w:r>
      <w:r w:rsidRPr="00720DA1">
        <w:rPr>
          <w:sz w:val="16"/>
          <w:szCs w:val="16"/>
        </w:rPr>
        <w:t xml:space="preserve"> Definition of EU and non-EU manufacturers has been derived from PRODCOM and COMEXT databases.</w:t>
      </w:r>
    </w:p>
  </w:footnote>
  <w:footnote w:id="288">
    <w:p w14:paraId="530B54E9" w14:textId="20D641AE" w:rsidR="00780BA9" w:rsidRPr="00720DA1" w:rsidRDefault="00780BA9" w:rsidP="00780BA9">
      <w:pPr>
        <w:pStyle w:val="FootnoteText"/>
        <w:rPr>
          <w:sz w:val="16"/>
          <w:szCs w:val="16"/>
        </w:rPr>
      </w:pPr>
      <w:r w:rsidRPr="00720DA1">
        <w:rPr>
          <w:rStyle w:val="FootnoteReference"/>
          <w:sz w:val="16"/>
          <w:szCs w:val="16"/>
        </w:rPr>
        <w:footnoteRef/>
      </w:r>
      <w:r w:rsidRPr="00720DA1">
        <w:rPr>
          <w:sz w:val="16"/>
          <w:szCs w:val="16"/>
        </w:rPr>
        <w:t xml:space="preserve"> As a baseline, this Impact Assessment assumes </w:t>
      </w:r>
      <w:r w:rsidR="001B7A6B" w:rsidRPr="00720DA1">
        <w:rPr>
          <w:sz w:val="16"/>
          <w:szCs w:val="16"/>
        </w:rPr>
        <w:t>EUR</w:t>
      </w:r>
      <w:r w:rsidRPr="00720DA1">
        <w:rPr>
          <w:sz w:val="16"/>
          <w:szCs w:val="16"/>
        </w:rPr>
        <w:t xml:space="preserve"> 14 billion of public subsidies for passenger cars and LCVs, which is based on existing public support schemes already put in place. The findings of CEEPR in the </w:t>
      </w:r>
      <w:hyperlink r:id="rId174" w:history="1">
        <w:r w:rsidRPr="00720DA1">
          <w:rPr>
            <w:rStyle w:val="Hyperlink"/>
            <w:sz w:val="16"/>
            <w:szCs w:val="16"/>
          </w:rPr>
          <w:t>Global Clean Investment Monitor: Government Support for Electric Vehicles and Batteries - CEEPR</w:t>
        </w:r>
      </w:hyperlink>
      <w:r w:rsidRPr="00720DA1">
        <w:rPr>
          <w:sz w:val="16"/>
          <w:szCs w:val="16"/>
        </w:rPr>
        <w:t xml:space="preserve"> (2025). In the model, it is assumed that 50% of the subsidies that would have been used for non-EU manufacturers is redistributed among the EU manufacturers. The model is taking into account the fact that Member States may decide to allocate the liberated resources elsewhere, hence for the sake of a conservative calculation, it is assumed that only 50% of this liberated amount is used to subsidy EU manufacturers.</w:t>
      </w:r>
      <w:r w:rsidR="00760CE8" w:rsidRPr="00720DA1">
        <w:rPr>
          <w:sz w:val="16"/>
          <w:szCs w:val="16"/>
        </w:rPr>
        <w:t xml:space="preserve"> </w:t>
      </w:r>
    </w:p>
  </w:footnote>
  <w:footnote w:id="289">
    <w:p w14:paraId="74C54E66" w14:textId="2C101CFC" w:rsidR="00780BA9" w:rsidRPr="00720DA1" w:rsidRDefault="00780BA9" w:rsidP="00780BA9">
      <w:pPr>
        <w:pStyle w:val="FootnoteText"/>
        <w:rPr>
          <w:sz w:val="16"/>
          <w:szCs w:val="16"/>
        </w:rPr>
      </w:pPr>
      <w:r w:rsidRPr="00720DA1">
        <w:rPr>
          <w:rStyle w:val="FootnoteReference"/>
          <w:sz w:val="16"/>
          <w:szCs w:val="16"/>
        </w:rPr>
        <w:footnoteRef/>
      </w:r>
      <w:r w:rsidRPr="00720DA1">
        <w:rPr>
          <w:sz w:val="16"/>
          <w:szCs w:val="16"/>
        </w:rPr>
        <w:t xml:space="preserve"> </w:t>
      </w:r>
      <w:r w:rsidR="00F66701" w:rsidRPr="00720DA1">
        <w:rPr>
          <w:sz w:val="16"/>
          <w:szCs w:val="16"/>
        </w:rPr>
        <w:t xml:space="preserve">European Commission. </w:t>
      </w:r>
      <w:hyperlink r:id="rId175" w:history="1">
        <w:r w:rsidRPr="00720DA1">
          <w:rPr>
            <w:rStyle w:val="Hyperlink"/>
            <w:sz w:val="16"/>
            <w:szCs w:val="16"/>
          </w:rPr>
          <w:t>Fit for 55</w:t>
        </w:r>
      </w:hyperlink>
      <w:r w:rsidR="00D242CE" w:rsidRPr="00720DA1">
        <w:rPr>
          <w:sz w:val="16"/>
          <w:szCs w:val="16"/>
        </w:rPr>
        <w:t>.</w:t>
      </w:r>
    </w:p>
  </w:footnote>
  <w:footnote w:id="290">
    <w:p w14:paraId="505DA480" w14:textId="77777777" w:rsidR="00780BA9" w:rsidRPr="00720DA1" w:rsidRDefault="00780BA9" w:rsidP="00780BA9">
      <w:pPr>
        <w:pStyle w:val="FootnoteText"/>
        <w:rPr>
          <w:sz w:val="16"/>
          <w:szCs w:val="16"/>
        </w:rPr>
      </w:pPr>
      <w:r w:rsidRPr="00720DA1">
        <w:rPr>
          <w:rStyle w:val="FootnoteReference"/>
          <w:sz w:val="16"/>
          <w:szCs w:val="16"/>
        </w:rPr>
        <w:footnoteRef/>
      </w:r>
      <w:r w:rsidRPr="00720DA1">
        <w:rPr>
          <w:sz w:val="16"/>
          <w:szCs w:val="16"/>
        </w:rPr>
        <w:t xml:space="preserve"> We assume that public and corporate purchases account for 3.5% (</w:t>
      </w:r>
      <w:hyperlink r:id="rId176" w:tgtFrame="_blank" w:history="1">
        <w:r w:rsidRPr="00720DA1">
          <w:rPr>
            <w:rStyle w:val="Hyperlink"/>
            <w:sz w:val="16"/>
            <w:szCs w:val="16"/>
          </w:rPr>
          <w:t>JRC technical report, 2022</w:t>
        </w:r>
      </w:hyperlink>
      <w:r w:rsidRPr="00720DA1">
        <w:rPr>
          <w:sz w:val="16"/>
          <w:szCs w:val="16"/>
        </w:rPr>
        <w:t>) and 60.0% (</w:t>
      </w:r>
      <w:hyperlink r:id="rId177" w:tgtFrame="_blank" w:history="1">
        <w:r w:rsidRPr="00720DA1">
          <w:rPr>
            <w:rStyle w:val="Hyperlink"/>
            <w:sz w:val="16"/>
            <w:szCs w:val="16"/>
          </w:rPr>
          <w:t>COM(2025) 96 final</w:t>
        </w:r>
      </w:hyperlink>
      <w:r w:rsidRPr="00720DA1">
        <w:rPr>
          <w:sz w:val="16"/>
          <w:szCs w:val="16"/>
        </w:rPr>
        <w:t>), respectively, of total vehicle registrations in the EU, while the remaining 36.5% corresponds to consumer purchases. We assume that there is public support to buy EV vehicles in Europe for corporate purchases. In contrast, public support is only available for consumers in Austria, Belgium, Croatia, Cyprus, Czechia, Estonia, France, Greece, Hungary, Ireland, Lithuania, Luxembourg, Malta, the Netherlands, Poland, Slovenia, Spain, and Sweden (</w:t>
      </w:r>
      <w:hyperlink r:id="rId178" w:tgtFrame="_blank" w:history="1">
        <w:r w:rsidRPr="00720DA1">
          <w:rPr>
            <w:rStyle w:val="Hyperlink"/>
            <w:sz w:val="16"/>
            <w:szCs w:val="16"/>
          </w:rPr>
          <w:t>ACEA, 2025</w:t>
        </w:r>
      </w:hyperlink>
      <w:r w:rsidRPr="00720DA1">
        <w:rPr>
          <w:sz w:val="16"/>
          <w:szCs w:val="16"/>
        </w:rPr>
        <w:t>). Against this background, we estimate that LEAD_VC 1 would affect 83.7% of EV registrations, including 3.5% from public procurement, 60.0% from corporate purchases, and 20.2% from consumers. </w:t>
      </w:r>
    </w:p>
  </w:footnote>
  <w:footnote w:id="291">
    <w:p w14:paraId="550D6192" w14:textId="77777777" w:rsidR="00F8044F" w:rsidRPr="00720DA1" w:rsidRDefault="00F8044F" w:rsidP="00F8044F">
      <w:pPr>
        <w:pStyle w:val="FootnoteText"/>
        <w:rPr>
          <w:sz w:val="16"/>
          <w:szCs w:val="16"/>
        </w:rPr>
      </w:pPr>
      <w:r w:rsidRPr="00720DA1">
        <w:rPr>
          <w:rStyle w:val="FootnoteReference"/>
          <w:sz w:val="16"/>
          <w:szCs w:val="16"/>
        </w:rPr>
        <w:footnoteRef/>
      </w:r>
      <w:r w:rsidRPr="00720DA1">
        <w:rPr>
          <w:sz w:val="16"/>
          <w:szCs w:val="16"/>
        </w:rPr>
        <w:t xml:space="preserve"> In this Impact Assessment, LCVs refer to Light Commercial Vehicles below 3.5 tonnes of GVW. </w:t>
      </w:r>
    </w:p>
  </w:footnote>
  <w:footnote w:id="292">
    <w:p w14:paraId="71A7FDF1" w14:textId="77777777" w:rsidR="00F8044F" w:rsidRPr="00720DA1" w:rsidRDefault="00F8044F" w:rsidP="00F8044F">
      <w:pPr>
        <w:pStyle w:val="FootnoteText"/>
        <w:rPr>
          <w:sz w:val="16"/>
          <w:szCs w:val="16"/>
        </w:rPr>
      </w:pPr>
      <w:r w:rsidRPr="00720DA1">
        <w:rPr>
          <w:rStyle w:val="FootnoteReference"/>
          <w:sz w:val="16"/>
          <w:szCs w:val="16"/>
        </w:rPr>
        <w:footnoteRef/>
      </w:r>
      <w:r w:rsidRPr="00720DA1">
        <w:rPr>
          <w:sz w:val="16"/>
          <w:szCs w:val="16"/>
        </w:rPr>
        <w:t xml:space="preserve"> In this Impact Assessment, HDVs refer to 3 sub-categories: Medium Commercial Vehicles (between 3.5 and 32 tonnes of GVW), Heavy Commercial Vehicles (above 32 tonnes of GVW) and Buses (between 20 and 30 tonnes of GVW).</w:t>
      </w:r>
    </w:p>
  </w:footnote>
  <w:footnote w:id="293">
    <w:p w14:paraId="3CF73FF9" w14:textId="00AD6D86" w:rsidR="00780BA9" w:rsidRPr="00720DA1" w:rsidRDefault="00780BA9" w:rsidP="00780BA9">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 xml:space="preserve">This means that a 70% share of EU content is assumed in the HDV segment as well. Furthermore, owing to limitations of data regarding the amount of public subsidies, for HDVs, we estimate a public subsidy of </w:t>
      </w:r>
      <w:r w:rsidR="00326B64" w:rsidRPr="00720DA1">
        <w:rPr>
          <w:rFonts w:cs="Times New Roman"/>
          <w:sz w:val="16"/>
          <w:szCs w:val="16"/>
        </w:rPr>
        <w:t xml:space="preserve">EUR </w:t>
      </w:r>
      <w:r w:rsidRPr="00720DA1">
        <w:rPr>
          <w:rFonts w:cs="Times New Roman"/>
          <w:sz w:val="16"/>
          <w:szCs w:val="16"/>
        </w:rPr>
        <w:t>1 billion, taking into account already existing schemes in the EU Member States.</w:t>
      </w:r>
    </w:p>
  </w:footnote>
  <w:footnote w:id="294">
    <w:p w14:paraId="415CE0BB" w14:textId="5705043F" w:rsidR="00AB6196" w:rsidRPr="00720DA1" w:rsidRDefault="00AB6196">
      <w:pPr>
        <w:pStyle w:val="FootnoteText"/>
        <w:rPr>
          <w:sz w:val="16"/>
          <w:szCs w:val="16"/>
        </w:rPr>
      </w:pPr>
      <w:r w:rsidRPr="00720DA1">
        <w:rPr>
          <w:rStyle w:val="FootnoteReference"/>
          <w:sz w:val="16"/>
          <w:szCs w:val="16"/>
        </w:rPr>
        <w:footnoteRef/>
      </w:r>
      <w:r w:rsidRPr="00720DA1">
        <w:rPr>
          <w:sz w:val="16"/>
          <w:szCs w:val="16"/>
        </w:rPr>
        <w:t xml:space="preserve"> When measuring the impacts for LEAD_VC, two scenarios were modelled</w:t>
      </w:r>
      <w:r w:rsidR="00751F80" w:rsidRPr="00720DA1">
        <w:rPr>
          <w:sz w:val="16"/>
          <w:szCs w:val="16"/>
        </w:rPr>
        <w:t xml:space="preserve"> to take into account uncertainties regarding the possible reaction of non-EU manufacturers</w:t>
      </w:r>
      <w:r w:rsidRPr="00720DA1">
        <w:rPr>
          <w:sz w:val="16"/>
          <w:szCs w:val="16"/>
        </w:rPr>
        <w:t>: one purely based on the “Internal market reaction” and an alternative scenario in which “non-EU manufacturers absorb the price increase”. The scenario based on the “Internal market reaction” was used to assess impacts through the Impact Assessment and are the costs and benefits reflected for final calculations. However, for comparative analysis of both scenarios see Annex 14.</w:t>
      </w:r>
    </w:p>
  </w:footnote>
  <w:footnote w:id="295">
    <w:p w14:paraId="745E159C" w14:textId="77777777" w:rsidR="00780BA9" w:rsidRPr="00720DA1" w:rsidRDefault="00780BA9" w:rsidP="00780BA9">
      <w:pPr>
        <w:pStyle w:val="FootnoteText"/>
        <w:rPr>
          <w:sz w:val="16"/>
          <w:szCs w:val="16"/>
        </w:rPr>
      </w:pPr>
      <w:r w:rsidRPr="00720DA1">
        <w:rPr>
          <w:rStyle w:val="FootnoteReference"/>
          <w:sz w:val="16"/>
          <w:szCs w:val="16"/>
        </w:rPr>
        <w:footnoteRef/>
      </w:r>
      <w:r w:rsidRPr="00720DA1">
        <w:rPr>
          <w:sz w:val="16"/>
          <w:szCs w:val="16"/>
        </w:rPr>
        <w:t xml:space="preserve"> We assume a demand price elasticity for the car industry of -0.5 (</w:t>
      </w:r>
      <w:hyperlink r:id="rId179" w:tgtFrame="_blank" w:history="1">
        <w:r w:rsidRPr="00720DA1">
          <w:rPr>
            <w:rStyle w:val="Hyperlink"/>
            <w:sz w:val="16"/>
            <w:szCs w:val="16"/>
          </w:rPr>
          <w:t>Leard and Wu, 2023</w:t>
        </w:r>
      </w:hyperlink>
      <w:r w:rsidRPr="00720DA1">
        <w:rPr>
          <w:sz w:val="16"/>
          <w:szCs w:val="16"/>
        </w:rPr>
        <w:t>). This elasticity implies that a 1% increase in the average car price results in a 0.5% decrease in the number of cars sold in the EU.</w:t>
      </w:r>
    </w:p>
  </w:footnote>
  <w:footnote w:id="296">
    <w:p w14:paraId="472CE8D0" w14:textId="1B722896" w:rsidR="00BD6086" w:rsidRPr="00720DA1" w:rsidRDefault="00BD6086">
      <w:pPr>
        <w:pStyle w:val="FootnoteText"/>
        <w:rPr>
          <w:sz w:val="16"/>
          <w:szCs w:val="16"/>
        </w:rPr>
      </w:pPr>
      <w:r w:rsidRPr="00720DA1">
        <w:rPr>
          <w:rStyle w:val="FootnoteReference"/>
          <w:sz w:val="16"/>
          <w:szCs w:val="16"/>
        </w:rPr>
        <w:footnoteRef/>
      </w:r>
      <w:r w:rsidRPr="00720DA1">
        <w:rPr>
          <w:sz w:val="16"/>
          <w:szCs w:val="16"/>
        </w:rPr>
        <w:t xml:space="preserve"> </w:t>
      </w:r>
      <w:r w:rsidR="00491AB0" w:rsidRPr="00720DA1">
        <w:rPr>
          <w:sz w:val="16"/>
          <w:szCs w:val="16"/>
        </w:rPr>
        <w:t xml:space="preserve">All </w:t>
      </w:r>
      <w:r w:rsidR="007A35A9" w:rsidRPr="00720DA1">
        <w:rPr>
          <w:sz w:val="16"/>
          <w:szCs w:val="16"/>
        </w:rPr>
        <w:t xml:space="preserve">cost </w:t>
      </w:r>
      <w:r w:rsidR="00491AB0" w:rsidRPr="00720DA1">
        <w:rPr>
          <w:sz w:val="16"/>
          <w:szCs w:val="16"/>
        </w:rPr>
        <w:t xml:space="preserve">results from LEAD_EII </w:t>
      </w:r>
      <w:r w:rsidR="007A35A9" w:rsidRPr="00720DA1">
        <w:rPr>
          <w:sz w:val="16"/>
          <w:szCs w:val="16"/>
        </w:rPr>
        <w:t xml:space="preserve">in the automotive sector have been allocated to the automotive industry, in the business category. However, some </w:t>
      </w:r>
      <w:r w:rsidR="000F7559" w:rsidRPr="00720DA1">
        <w:rPr>
          <w:sz w:val="16"/>
          <w:szCs w:val="16"/>
        </w:rPr>
        <w:t xml:space="preserve">or all </w:t>
      </w:r>
      <w:r w:rsidR="007A35A9" w:rsidRPr="00720DA1">
        <w:rPr>
          <w:sz w:val="16"/>
          <w:szCs w:val="16"/>
        </w:rPr>
        <w:t>of these costs</w:t>
      </w:r>
      <w:r w:rsidR="000F7559" w:rsidRPr="00720DA1">
        <w:rPr>
          <w:sz w:val="16"/>
          <w:szCs w:val="16"/>
        </w:rPr>
        <w:t xml:space="preserve"> may be transferred to consumers (either citizens or companies for corporate fleets)</w:t>
      </w:r>
      <w:r w:rsidR="00D242CE" w:rsidRPr="00720DA1">
        <w:rPr>
          <w:sz w:val="16"/>
          <w:szCs w:val="16"/>
        </w:rPr>
        <w:t>.</w:t>
      </w:r>
    </w:p>
  </w:footnote>
  <w:footnote w:id="297">
    <w:p w14:paraId="0EF8361E" w14:textId="6681BC0A" w:rsidR="00A75B7E" w:rsidRPr="00720DA1" w:rsidRDefault="00A75B7E">
      <w:pPr>
        <w:pStyle w:val="FootnoteText"/>
        <w:rPr>
          <w:sz w:val="16"/>
          <w:szCs w:val="16"/>
          <w:lang w:val="en-IE"/>
        </w:rPr>
      </w:pPr>
      <w:r w:rsidRPr="00720DA1">
        <w:rPr>
          <w:sz w:val="16"/>
          <w:szCs w:val="16"/>
          <w:vertAlign w:val="superscript"/>
        </w:rPr>
        <w:footnoteRef/>
      </w:r>
      <w:r w:rsidRPr="00720DA1">
        <w:rPr>
          <w:sz w:val="16"/>
          <w:szCs w:val="16"/>
          <w:vertAlign w:val="superscript"/>
        </w:rPr>
        <w:t xml:space="preserve"> </w:t>
      </w:r>
      <w:r w:rsidRPr="00720DA1">
        <w:rPr>
          <w:sz w:val="16"/>
          <w:szCs w:val="16"/>
        </w:rPr>
        <w:t>Where the costs for the downstream sector are cumulative of the costs reflected under citizens &amp; businesses, and Member States, assuming cost increases are passed down to consumers.</w:t>
      </w:r>
    </w:p>
  </w:footnote>
  <w:footnote w:id="298">
    <w:p w14:paraId="218E6EDA" w14:textId="41367C4E" w:rsidR="00124896" w:rsidRPr="00720DA1" w:rsidDel="0055007B" w:rsidRDefault="00124896" w:rsidP="00CE1615">
      <w:pPr>
        <w:pStyle w:val="FootnoteText"/>
        <w:rPr>
          <w:sz w:val="16"/>
          <w:szCs w:val="16"/>
        </w:rPr>
      </w:pPr>
      <w:r w:rsidRPr="00720DA1" w:rsidDel="0055007B">
        <w:rPr>
          <w:rStyle w:val="FootnoteReference"/>
          <w:sz w:val="16"/>
          <w:szCs w:val="16"/>
        </w:rPr>
        <w:footnoteRef/>
      </w:r>
      <w:r w:rsidRPr="00720DA1" w:rsidDel="0055007B">
        <w:rPr>
          <w:sz w:val="16"/>
          <w:szCs w:val="16"/>
        </w:rPr>
        <w:t xml:space="preserve"> </w:t>
      </w:r>
      <w:r w:rsidR="006E097C" w:rsidRPr="00720DA1">
        <w:rPr>
          <w:sz w:val="16"/>
          <w:szCs w:val="16"/>
        </w:rPr>
        <w:t>European Commission (2019).</w:t>
      </w:r>
      <w:r w:rsidR="006E097C" w:rsidRPr="00720DA1" w:rsidDel="0055007B">
        <w:rPr>
          <w:sz w:val="16"/>
          <w:szCs w:val="16"/>
        </w:rPr>
        <w:t xml:space="preserve"> </w:t>
      </w:r>
      <w:hyperlink r:id="rId180" w:history="1">
        <w:r w:rsidR="006E097C" w:rsidRPr="00720DA1" w:rsidDel="0055007B">
          <w:rPr>
            <w:rStyle w:val="Hyperlink"/>
            <w:sz w:val="16"/>
            <w:szCs w:val="16"/>
          </w:rPr>
          <w:t>Handbook on the external costs of transport</w:t>
        </w:r>
      </w:hyperlink>
      <w:r w:rsidR="006E097C" w:rsidRPr="00720DA1">
        <w:rPr>
          <w:sz w:val="16"/>
          <w:szCs w:val="16"/>
        </w:rPr>
        <w:t>.</w:t>
      </w:r>
      <w:r w:rsidR="00596089">
        <w:rPr>
          <w:sz w:val="16"/>
          <w:szCs w:val="16"/>
        </w:rPr>
        <w:t xml:space="preserve"> </w:t>
      </w:r>
    </w:p>
  </w:footnote>
  <w:footnote w:id="299">
    <w:p w14:paraId="72BA990D" w14:textId="755DFE0A" w:rsidR="00DD17D3" w:rsidRPr="00D16D92" w:rsidRDefault="00DD17D3" w:rsidP="00DD17D3">
      <w:pPr>
        <w:pStyle w:val="FootnoteText"/>
        <w:rPr>
          <w:sz w:val="16"/>
          <w:szCs w:val="16"/>
        </w:rPr>
      </w:pPr>
      <w:r w:rsidRPr="00720DA1">
        <w:rPr>
          <w:rStyle w:val="FootnoteReference"/>
          <w:sz w:val="16"/>
          <w:szCs w:val="16"/>
        </w:rPr>
        <w:footnoteRef/>
      </w:r>
      <w:r w:rsidR="00D16D92" w:rsidRPr="00D16D92">
        <w:rPr>
          <w:sz w:val="16"/>
          <w:szCs w:val="16"/>
        </w:rPr>
        <w:t xml:space="preserve">VUB Brussels School of Governance </w:t>
      </w:r>
      <w:r w:rsidR="00D16D92" w:rsidRPr="00D16D92">
        <w:rPr>
          <w:rFonts w:cs="Times New Roman"/>
          <w:sz w:val="16"/>
          <w:szCs w:val="16"/>
        </w:rPr>
        <w:t xml:space="preserve">(2024). </w:t>
      </w:r>
      <w:hyperlink r:id="rId181" w:history="1">
        <w:r w:rsidR="00D16D92" w:rsidRPr="00E42DEC">
          <w:rPr>
            <w:rStyle w:val="Hyperlink"/>
            <w:sz w:val="16"/>
            <w:szCs w:val="16"/>
          </w:rPr>
          <w:t xml:space="preserve">Public procurement </w:t>
        </w:r>
        <w:r w:rsidR="00D16D92" w:rsidRPr="00D16D92">
          <w:rPr>
            <w:rStyle w:val="Hyperlink"/>
            <w:rFonts w:cs="Times New Roman"/>
            <w:sz w:val="16"/>
            <w:szCs w:val="16"/>
          </w:rPr>
          <w:t>of</w:t>
        </w:r>
        <w:r w:rsidR="00D16D92" w:rsidRPr="00E42DEC">
          <w:rPr>
            <w:rStyle w:val="Hyperlink"/>
            <w:sz w:val="16"/>
            <w:szCs w:val="16"/>
          </w:rPr>
          <w:t xml:space="preserve"> steel and cement </w:t>
        </w:r>
        <w:r w:rsidR="00D16D92" w:rsidRPr="00D16D92">
          <w:rPr>
            <w:rStyle w:val="Hyperlink"/>
            <w:rFonts w:cs="Times New Roman"/>
            <w:sz w:val="16"/>
            <w:szCs w:val="16"/>
          </w:rPr>
          <w:t xml:space="preserve">for construction. Assessing the potential of lead markets for green steel and cement in the </w:t>
        </w:r>
        <w:r w:rsidR="00D16D92" w:rsidRPr="00E42DEC">
          <w:rPr>
            <w:rStyle w:val="Hyperlink"/>
            <w:sz w:val="16"/>
            <w:szCs w:val="16"/>
          </w:rPr>
          <w:t>EU</w:t>
        </w:r>
      </w:hyperlink>
      <w:r w:rsidR="00D16D92" w:rsidRPr="00D16D92">
        <w:rPr>
          <w:sz w:val="16"/>
          <w:szCs w:val="16"/>
        </w:rPr>
        <w:t>.</w:t>
      </w:r>
    </w:p>
  </w:footnote>
  <w:footnote w:id="300">
    <w:p w14:paraId="7B8E6DD9" w14:textId="465DC045" w:rsidR="00DD17D3" w:rsidRPr="00D16D92" w:rsidRDefault="00DD17D3" w:rsidP="00DD17D3">
      <w:pPr>
        <w:pStyle w:val="FootnoteText"/>
        <w:rPr>
          <w:sz w:val="16"/>
          <w:szCs w:val="16"/>
        </w:rPr>
      </w:pPr>
      <w:r w:rsidRPr="00D16D92">
        <w:rPr>
          <w:rStyle w:val="FootnoteReference"/>
          <w:sz w:val="16"/>
          <w:szCs w:val="16"/>
        </w:rPr>
        <w:footnoteRef/>
      </w:r>
      <w:r w:rsidRPr="00D16D92">
        <w:rPr>
          <w:sz w:val="16"/>
          <w:szCs w:val="16"/>
        </w:rPr>
        <w:t xml:space="preserve"> EUROFER </w:t>
      </w:r>
      <w:r w:rsidR="00B8272B" w:rsidRPr="00D16D92">
        <w:rPr>
          <w:sz w:val="16"/>
          <w:szCs w:val="16"/>
        </w:rPr>
        <w:t>(</w:t>
      </w:r>
      <w:r w:rsidRPr="00D16D92">
        <w:rPr>
          <w:sz w:val="16"/>
          <w:szCs w:val="16"/>
        </w:rPr>
        <w:t>2025</w:t>
      </w:r>
      <w:r w:rsidR="00B8272B" w:rsidRPr="00D16D92">
        <w:rPr>
          <w:sz w:val="16"/>
          <w:szCs w:val="16"/>
        </w:rPr>
        <w:t>).</w:t>
      </w:r>
      <w:r w:rsidRPr="00D16D92">
        <w:rPr>
          <w:sz w:val="16"/>
          <w:szCs w:val="16"/>
        </w:rPr>
        <w:t xml:space="preserve"> </w:t>
      </w:r>
      <w:hyperlink r:id="rId182" w:history="1">
        <w:r w:rsidRPr="00D16D92">
          <w:rPr>
            <w:rStyle w:val="Hyperlink"/>
            <w:sz w:val="16"/>
            <w:szCs w:val="16"/>
          </w:rPr>
          <w:t>European Steel Figures 2025</w:t>
        </w:r>
      </w:hyperlink>
      <w:r w:rsidRPr="00D16D92">
        <w:rPr>
          <w:sz w:val="16"/>
          <w:szCs w:val="16"/>
        </w:rPr>
        <w:t xml:space="preserve">. </w:t>
      </w:r>
    </w:p>
  </w:footnote>
  <w:footnote w:id="301">
    <w:p w14:paraId="52088A0F" w14:textId="327CE97E" w:rsidR="001F5277" w:rsidRPr="00D16D92" w:rsidRDefault="001F5277">
      <w:pPr>
        <w:pStyle w:val="FootnoteText"/>
        <w:rPr>
          <w:sz w:val="16"/>
          <w:szCs w:val="16"/>
          <w:lang w:val="en-IE"/>
        </w:rPr>
      </w:pPr>
      <w:r w:rsidRPr="00D16D92">
        <w:rPr>
          <w:rStyle w:val="FootnoteReference"/>
          <w:sz w:val="16"/>
          <w:szCs w:val="16"/>
        </w:rPr>
        <w:footnoteRef/>
      </w:r>
      <w:r w:rsidRPr="00D16D92">
        <w:rPr>
          <w:sz w:val="16"/>
          <w:szCs w:val="16"/>
        </w:rPr>
        <w:t xml:space="preserve"> </w:t>
      </w:r>
      <w:r w:rsidR="007343C4" w:rsidRPr="00D16D92">
        <w:rPr>
          <w:sz w:val="16"/>
          <w:szCs w:val="16"/>
        </w:rPr>
        <w:t>VUB</w:t>
      </w:r>
      <w:r w:rsidR="003B4985" w:rsidRPr="00D16D92">
        <w:rPr>
          <w:sz w:val="16"/>
          <w:szCs w:val="16"/>
        </w:rPr>
        <w:t xml:space="preserve"> </w:t>
      </w:r>
      <w:r w:rsidR="0088276A" w:rsidRPr="00D16D92">
        <w:rPr>
          <w:sz w:val="16"/>
          <w:szCs w:val="16"/>
        </w:rPr>
        <w:t xml:space="preserve">Brussels School of Governance </w:t>
      </w:r>
      <w:r w:rsidR="0088276A" w:rsidRPr="00D16D92">
        <w:rPr>
          <w:rFonts w:cs="Times New Roman"/>
          <w:sz w:val="16"/>
          <w:szCs w:val="16"/>
        </w:rPr>
        <w:t xml:space="preserve">(2024). </w:t>
      </w:r>
      <w:hyperlink r:id="rId183" w:history="1">
        <w:r w:rsidR="006F37A1" w:rsidRPr="00D16D92">
          <w:rPr>
            <w:rStyle w:val="Hyperlink"/>
            <w:rFonts w:cs="Times New Roman"/>
            <w:sz w:val="16"/>
            <w:szCs w:val="16"/>
          </w:rPr>
          <w:t>Public procurement of steel and cement for construction. Assessing the potential of lead markets for green steel and cement in the EU</w:t>
        </w:r>
      </w:hyperlink>
      <w:r w:rsidR="003B4985" w:rsidRPr="00D16D92">
        <w:rPr>
          <w:sz w:val="16"/>
          <w:szCs w:val="16"/>
        </w:rPr>
        <w:t>.</w:t>
      </w:r>
    </w:p>
  </w:footnote>
  <w:footnote w:id="302">
    <w:p w14:paraId="22190DDA" w14:textId="7CCBBAA7" w:rsidR="00DD17D3" w:rsidRPr="00D16D92" w:rsidRDefault="00DD17D3" w:rsidP="00DD17D3">
      <w:pPr>
        <w:pStyle w:val="FootnoteText"/>
        <w:rPr>
          <w:sz w:val="16"/>
          <w:szCs w:val="16"/>
        </w:rPr>
      </w:pPr>
      <w:r w:rsidRPr="00D16D92">
        <w:rPr>
          <w:rStyle w:val="FootnoteReference"/>
          <w:sz w:val="16"/>
          <w:szCs w:val="16"/>
        </w:rPr>
        <w:footnoteRef/>
      </w:r>
      <w:r w:rsidRPr="00D16D92">
        <w:rPr>
          <w:sz w:val="16"/>
          <w:szCs w:val="16"/>
        </w:rPr>
        <w:t xml:space="preserve"> EUROFER </w:t>
      </w:r>
      <w:r w:rsidR="006F0FCC" w:rsidRPr="00D16D92">
        <w:rPr>
          <w:sz w:val="16"/>
          <w:szCs w:val="16"/>
        </w:rPr>
        <w:t>(2025).</w:t>
      </w:r>
      <w:r w:rsidRPr="00D16D92">
        <w:rPr>
          <w:sz w:val="16"/>
          <w:szCs w:val="16"/>
        </w:rPr>
        <w:t xml:space="preserve"> </w:t>
      </w:r>
      <w:hyperlink r:id="rId184" w:history="1">
        <w:r w:rsidRPr="00D16D92">
          <w:rPr>
            <w:rStyle w:val="Hyperlink"/>
            <w:sz w:val="16"/>
            <w:szCs w:val="16"/>
          </w:rPr>
          <w:t>European Steel Figures 2025</w:t>
        </w:r>
      </w:hyperlink>
      <w:r w:rsidRPr="00D16D92">
        <w:rPr>
          <w:sz w:val="16"/>
          <w:szCs w:val="16"/>
        </w:rPr>
        <w:t xml:space="preserve">. </w:t>
      </w:r>
    </w:p>
  </w:footnote>
  <w:footnote w:id="303">
    <w:p w14:paraId="60C17EA6" w14:textId="43454572" w:rsidR="001F5277" w:rsidRPr="00D16D92" w:rsidRDefault="001F5277" w:rsidP="001F5277">
      <w:pPr>
        <w:pStyle w:val="FootnoteText"/>
        <w:rPr>
          <w:sz w:val="16"/>
          <w:szCs w:val="16"/>
          <w:lang w:val="en-IE"/>
        </w:rPr>
      </w:pPr>
      <w:r w:rsidRPr="00D16D92">
        <w:rPr>
          <w:rStyle w:val="FootnoteReference"/>
          <w:sz w:val="16"/>
          <w:szCs w:val="16"/>
        </w:rPr>
        <w:footnoteRef/>
      </w:r>
      <w:r w:rsidRPr="00D16D92">
        <w:rPr>
          <w:sz w:val="16"/>
          <w:szCs w:val="16"/>
        </w:rPr>
        <w:t xml:space="preserve"> </w:t>
      </w:r>
      <w:r w:rsidR="00B074FD" w:rsidRPr="00D16D92">
        <w:rPr>
          <w:sz w:val="16"/>
          <w:szCs w:val="16"/>
        </w:rPr>
        <w:t xml:space="preserve">European </w:t>
      </w:r>
      <w:r w:rsidR="00AC0A59" w:rsidRPr="00D16D92">
        <w:rPr>
          <w:sz w:val="16"/>
          <w:szCs w:val="16"/>
        </w:rPr>
        <w:t xml:space="preserve">Commission </w:t>
      </w:r>
      <w:r w:rsidR="00BD3A02" w:rsidRPr="00D16D92">
        <w:rPr>
          <w:sz w:val="16"/>
          <w:szCs w:val="16"/>
        </w:rPr>
        <w:t>i</w:t>
      </w:r>
      <w:r w:rsidR="00AC0A59" w:rsidRPr="00D16D92">
        <w:rPr>
          <w:sz w:val="16"/>
          <w:szCs w:val="16"/>
        </w:rPr>
        <w:t>nternal</w:t>
      </w:r>
      <w:r w:rsidR="00B074FD" w:rsidRPr="00D16D92">
        <w:rPr>
          <w:sz w:val="16"/>
          <w:szCs w:val="16"/>
        </w:rPr>
        <w:t xml:space="preserve"> </w:t>
      </w:r>
      <w:r w:rsidR="00BD3A02" w:rsidRPr="00D16D92">
        <w:rPr>
          <w:sz w:val="16"/>
          <w:szCs w:val="16"/>
        </w:rPr>
        <w:t>a</w:t>
      </w:r>
      <w:r w:rsidR="00B074FD" w:rsidRPr="00D16D92">
        <w:rPr>
          <w:sz w:val="16"/>
          <w:szCs w:val="16"/>
        </w:rPr>
        <w:t xml:space="preserve">nalysis </w:t>
      </w:r>
      <w:r w:rsidR="00123727" w:rsidRPr="00D16D92">
        <w:rPr>
          <w:sz w:val="16"/>
          <w:szCs w:val="16"/>
        </w:rPr>
        <w:t>(2025)</w:t>
      </w:r>
      <w:r w:rsidR="00BD3A02" w:rsidRPr="00D16D92">
        <w:rPr>
          <w:sz w:val="16"/>
          <w:szCs w:val="16"/>
        </w:rPr>
        <w:t>.</w:t>
      </w:r>
    </w:p>
  </w:footnote>
  <w:footnote w:id="304">
    <w:p w14:paraId="36352CF4" w14:textId="301478E8" w:rsidR="00DD17D3" w:rsidRPr="00D16D92" w:rsidRDefault="00DD17D3" w:rsidP="00DD17D3">
      <w:pPr>
        <w:pStyle w:val="FootnoteText"/>
        <w:rPr>
          <w:sz w:val="16"/>
          <w:szCs w:val="16"/>
        </w:rPr>
      </w:pPr>
      <w:r w:rsidRPr="00D16D92">
        <w:rPr>
          <w:rStyle w:val="FootnoteReference"/>
          <w:sz w:val="16"/>
          <w:szCs w:val="16"/>
        </w:rPr>
        <w:footnoteRef/>
      </w:r>
      <w:r w:rsidRPr="00D16D92">
        <w:rPr>
          <w:sz w:val="16"/>
          <w:szCs w:val="16"/>
        </w:rPr>
        <w:t xml:space="preserve"> </w:t>
      </w:r>
      <w:r w:rsidR="006F0FCC" w:rsidRPr="00D16D92">
        <w:rPr>
          <w:sz w:val="16"/>
          <w:szCs w:val="16"/>
        </w:rPr>
        <w:t>OEC</w:t>
      </w:r>
      <w:r w:rsidR="00F057C0" w:rsidRPr="00D16D92">
        <w:rPr>
          <w:sz w:val="16"/>
          <w:szCs w:val="16"/>
        </w:rPr>
        <w:t>D</w:t>
      </w:r>
      <w:r w:rsidR="006F0FCC" w:rsidRPr="00D16D92">
        <w:rPr>
          <w:sz w:val="16"/>
          <w:szCs w:val="16"/>
        </w:rPr>
        <w:t xml:space="preserve"> (</w:t>
      </w:r>
      <w:r w:rsidRPr="00D16D92">
        <w:rPr>
          <w:sz w:val="16"/>
          <w:szCs w:val="16"/>
        </w:rPr>
        <w:t>2025</w:t>
      </w:r>
      <w:r w:rsidR="006F0FCC" w:rsidRPr="00D16D92">
        <w:rPr>
          <w:sz w:val="16"/>
          <w:szCs w:val="16"/>
        </w:rPr>
        <w:t xml:space="preserve">). </w:t>
      </w:r>
      <w:hyperlink r:id="rId185" w:history="1">
        <w:r w:rsidRPr="00D16D92">
          <w:rPr>
            <w:rStyle w:val="Hyperlink"/>
            <w:sz w:val="16"/>
            <w:szCs w:val="16"/>
          </w:rPr>
          <w:t>OECD Steel Outlook 2025</w:t>
        </w:r>
      </w:hyperlink>
      <w:r w:rsidRPr="00D16D92">
        <w:rPr>
          <w:sz w:val="16"/>
          <w:szCs w:val="16"/>
        </w:rPr>
        <w:t xml:space="preserve">. </w:t>
      </w:r>
    </w:p>
  </w:footnote>
  <w:footnote w:id="305">
    <w:p w14:paraId="0985E780" w14:textId="0279F914" w:rsidR="004E1145" w:rsidRPr="00D16D92" w:rsidRDefault="004E1145" w:rsidP="004E1145">
      <w:pPr>
        <w:pStyle w:val="FootnoteText"/>
        <w:rPr>
          <w:sz w:val="16"/>
          <w:szCs w:val="16"/>
          <w:lang w:val="en-IE"/>
        </w:rPr>
      </w:pPr>
      <w:r w:rsidRPr="00D16D92">
        <w:rPr>
          <w:rStyle w:val="FootnoteReference"/>
          <w:sz w:val="16"/>
          <w:szCs w:val="16"/>
        </w:rPr>
        <w:footnoteRef/>
      </w:r>
      <w:r w:rsidRPr="00D16D92">
        <w:rPr>
          <w:sz w:val="16"/>
          <w:szCs w:val="16"/>
        </w:rPr>
        <w:t xml:space="preserve"> European Aluminium (2023). </w:t>
      </w:r>
      <w:hyperlink r:id="rId186" w:history="1">
        <w:r w:rsidR="001F2B62" w:rsidRPr="00D16D92">
          <w:rPr>
            <w:rStyle w:val="Hyperlink"/>
            <w:sz w:val="16"/>
            <w:szCs w:val="16"/>
          </w:rPr>
          <w:t>Net-Zero By 2050: Science-Based Decarbonisation Pathways for The European Aluminium Industry</w:t>
        </w:r>
      </w:hyperlink>
      <w:r w:rsidRPr="00D16D92">
        <w:rPr>
          <w:sz w:val="16"/>
          <w:szCs w:val="16"/>
        </w:rPr>
        <w:t>.</w:t>
      </w:r>
    </w:p>
  </w:footnote>
  <w:footnote w:id="306">
    <w:p w14:paraId="710EDC7C" w14:textId="274E6B6D" w:rsidR="004E1145" w:rsidRPr="00D16D92" w:rsidRDefault="004E1145" w:rsidP="004E1145">
      <w:pPr>
        <w:pStyle w:val="FootnoteText"/>
        <w:rPr>
          <w:sz w:val="16"/>
          <w:szCs w:val="16"/>
        </w:rPr>
      </w:pPr>
      <w:r w:rsidRPr="00D16D92">
        <w:rPr>
          <w:rStyle w:val="FootnoteReference"/>
          <w:sz w:val="16"/>
          <w:szCs w:val="16"/>
        </w:rPr>
        <w:footnoteRef/>
      </w:r>
      <w:r w:rsidRPr="00D16D92">
        <w:rPr>
          <w:sz w:val="16"/>
          <w:szCs w:val="16"/>
        </w:rPr>
        <w:t xml:space="preserve"> </w:t>
      </w:r>
      <w:r w:rsidR="00597DFA">
        <w:rPr>
          <w:sz w:val="16"/>
          <w:szCs w:val="16"/>
        </w:rPr>
        <w:t>Agora</w:t>
      </w:r>
      <w:r w:rsidR="00B738E8">
        <w:rPr>
          <w:sz w:val="16"/>
          <w:szCs w:val="16"/>
        </w:rPr>
        <w:t xml:space="preserve"> Industry (</w:t>
      </w:r>
      <w:r w:rsidR="00FD5B75">
        <w:rPr>
          <w:sz w:val="16"/>
          <w:szCs w:val="16"/>
        </w:rPr>
        <w:t xml:space="preserve">2024). </w:t>
      </w:r>
      <w:hyperlink r:id="rId187" w:history="1">
        <w:r w:rsidR="00FD5B75" w:rsidRPr="00FD5B75">
          <w:rPr>
            <w:rStyle w:val="Hyperlink"/>
            <w:sz w:val="16"/>
            <w:szCs w:val="16"/>
          </w:rPr>
          <w:t>Creating markets for climate-friendly basic materials. Potentials and policy options</w:t>
        </w:r>
      </w:hyperlink>
      <w:r w:rsidR="00FD5B75" w:rsidRPr="00FD5B75">
        <w:rPr>
          <w:sz w:val="16"/>
          <w:szCs w:val="16"/>
        </w:rPr>
        <w:t>.</w:t>
      </w:r>
    </w:p>
  </w:footnote>
  <w:footnote w:id="307">
    <w:p w14:paraId="622D69B8" w14:textId="460D3F93" w:rsidR="004E1145" w:rsidRPr="0078457C" w:rsidRDefault="004E1145" w:rsidP="006F37A1">
      <w:pPr>
        <w:pStyle w:val="FootnoteText"/>
        <w:rPr>
          <w:sz w:val="16"/>
          <w:szCs w:val="16"/>
          <w:lang w:val="en-IE"/>
        </w:rPr>
      </w:pPr>
      <w:r w:rsidRPr="00D16D92">
        <w:rPr>
          <w:rStyle w:val="FootnoteReference"/>
          <w:sz w:val="16"/>
          <w:szCs w:val="16"/>
        </w:rPr>
        <w:footnoteRef/>
      </w:r>
      <w:r w:rsidRPr="00D16D92">
        <w:rPr>
          <w:sz w:val="16"/>
          <w:szCs w:val="16"/>
        </w:rPr>
        <w:t xml:space="preserve"> </w:t>
      </w:r>
      <w:r w:rsidR="006F37A1" w:rsidRPr="00D16D92">
        <w:rPr>
          <w:rFonts w:cs="Times New Roman"/>
          <w:sz w:val="16"/>
          <w:szCs w:val="16"/>
        </w:rPr>
        <w:t>VUB Brussels School of Governance</w:t>
      </w:r>
      <w:r w:rsidR="006F37A1" w:rsidRPr="00D16D92">
        <w:rPr>
          <w:sz w:val="16"/>
          <w:szCs w:val="16"/>
        </w:rPr>
        <w:t xml:space="preserve"> (2024). </w:t>
      </w:r>
      <w:hyperlink r:id="rId188" w:history="1">
        <w:r w:rsidR="006F37A1" w:rsidRPr="0078457C">
          <w:rPr>
            <w:rStyle w:val="Hyperlink"/>
            <w:sz w:val="16"/>
            <w:szCs w:val="16"/>
          </w:rPr>
          <w:t xml:space="preserve">Public procurement </w:t>
        </w:r>
        <w:r w:rsidR="006F37A1" w:rsidRPr="0078457C">
          <w:rPr>
            <w:rStyle w:val="Hyperlink"/>
            <w:rFonts w:cs="Times New Roman"/>
            <w:sz w:val="16"/>
            <w:szCs w:val="16"/>
          </w:rPr>
          <w:t>of</w:t>
        </w:r>
        <w:r w:rsidR="006F37A1" w:rsidRPr="0078457C">
          <w:rPr>
            <w:rStyle w:val="Hyperlink"/>
            <w:sz w:val="16"/>
            <w:szCs w:val="16"/>
          </w:rPr>
          <w:t xml:space="preserve"> steel and cement for construction</w:t>
        </w:r>
        <w:r w:rsidR="006F37A1" w:rsidRPr="0078457C">
          <w:rPr>
            <w:rStyle w:val="Hyperlink"/>
            <w:rFonts w:cs="Times New Roman"/>
            <w:sz w:val="16"/>
            <w:szCs w:val="16"/>
          </w:rPr>
          <w:t>. Assessing the potential of lead markets for green steel and cement in the EU</w:t>
        </w:r>
      </w:hyperlink>
      <w:r w:rsidR="006001B3" w:rsidRPr="0078457C">
        <w:rPr>
          <w:sz w:val="16"/>
          <w:szCs w:val="16"/>
        </w:rPr>
        <w:t>.</w:t>
      </w:r>
      <w:r w:rsidR="004756B2" w:rsidRPr="0078457C">
        <w:rPr>
          <w:sz w:val="16"/>
          <w:szCs w:val="16"/>
        </w:rPr>
        <w:t xml:space="preserve"> </w:t>
      </w:r>
      <w:r w:rsidRPr="0078457C">
        <w:rPr>
          <w:sz w:val="16"/>
          <w:szCs w:val="16"/>
        </w:rPr>
        <w:t>The 30</w:t>
      </w:r>
      <w:r w:rsidR="004756B2" w:rsidRPr="0078457C">
        <w:rPr>
          <w:sz w:val="16"/>
          <w:szCs w:val="16"/>
        </w:rPr>
        <w:t>.</w:t>
      </w:r>
      <w:r w:rsidRPr="0078457C">
        <w:rPr>
          <w:sz w:val="16"/>
          <w:szCs w:val="16"/>
        </w:rPr>
        <w:t>2%</w:t>
      </w:r>
      <w:r w:rsidR="006001B3" w:rsidRPr="0078457C">
        <w:rPr>
          <w:sz w:val="16"/>
          <w:szCs w:val="16"/>
        </w:rPr>
        <w:t xml:space="preserve"> share</w:t>
      </w:r>
      <w:r w:rsidRPr="0078457C">
        <w:rPr>
          <w:sz w:val="16"/>
          <w:szCs w:val="16"/>
        </w:rPr>
        <w:t xml:space="preserve"> </w:t>
      </w:r>
      <w:r w:rsidR="006001B3" w:rsidRPr="0078457C">
        <w:rPr>
          <w:sz w:val="16"/>
          <w:szCs w:val="16"/>
        </w:rPr>
        <w:t>was</w:t>
      </w:r>
      <w:r w:rsidRPr="0078457C">
        <w:rPr>
          <w:sz w:val="16"/>
          <w:szCs w:val="16"/>
        </w:rPr>
        <w:t xml:space="preserve"> calculated dividing the value of the public procurement construction industry EU by the value of the construction industry EU </w:t>
      </w:r>
      <w:r w:rsidR="006001B3" w:rsidRPr="0078457C">
        <w:rPr>
          <w:sz w:val="16"/>
          <w:szCs w:val="16"/>
        </w:rPr>
        <w:t xml:space="preserve">in </w:t>
      </w:r>
      <w:r w:rsidRPr="0078457C">
        <w:rPr>
          <w:sz w:val="16"/>
          <w:szCs w:val="16"/>
        </w:rPr>
        <w:t>2019.</w:t>
      </w:r>
    </w:p>
  </w:footnote>
  <w:footnote w:id="308">
    <w:p w14:paraId="033DAE9C" w14:textId="58C0F30F" w:rsidR="004E1145" w:rsidRPr="0078457C" w:rsidRDefault="004E1145" w:rsidP="004E1145">
      <w:pPr>
        <w:pStyle w:val="FootnoteText"/>
        <w:rPr>
          <w:sz w:val="16"/>
          <w:szCs w:val="16"/>
        </w:rPr>
      </w:pPr>
      <w:r w:rsidRPr="0078457C">
        <w:rPr>
          <w:rStyle w:val="FootnoteReference"/>
          <w:sz w:val="16"/>
          <w:szCs w:val="16"/>
        </w:rPr>
        <w:footnoteRef/>
      </w:r>
      <w:r w:rsidRPr="0078457C">
        <w:rPr>
          <w:sz w:val="16"/>
          <w:szCs w:val="16"/>
        </w:rPr>
        <w:t xml:space="preserve"> 2025. </w:t>
      </w:r>
      <w:r w:rsidR="00597DFA" w:rsidRPr="0078457C">
        <w:rPr>
          <w:sz w:val="16"/>
          <w:szCs w:val="16"/>
        </w:rPr>
        <w:t>Agora</w:t>
      </w:r>
      <w:r w:rsidR="00FD5B75" w:rsidRPr="0078457C">
        <w:rPr>
          <w:sz w:val="16"/>
          <w:szCs w:val="16"/>
        </w:rPr>
        <w:t xml:space="preserve"> Industry (2024). </w:t>
      </w:r>
      <w:hyperlink r:id="rId189" w:history="1">
        <w:r w:rsidR="00FD5B75" w:rsidRPr="0078457C">
          <w:rPr>
            <w:rStyle w:val="Hyperlink"/>
            <w:sz w:val="16"/>
            <w:szCs w:val="16"/>
          </w:rPr>
          <w:t>Creating markets for climate-friendly basic materials. Potentials and policy options</w:t>
        </w:r>
      </w:hyperlink>
      <w:r w:rsidR="00FD5B75" w:rsidRPr="0078457C">
        <w:rPr>
          <w:sz w:val="16"/>
          <w:szCs w:val="16"/>
        </w:rPr>
        <w:t>.</w:t>
      </w:r>
    </w:p>
  </w:footnote>
  <w:footnote w:id="309">
    <w:p w14:paraId="70604653" w14:textId="5CFAC96B" w:rsidR="004E1145" w:rsidRPr="0078457C" w:rsidRDefault="004E1145" w:rsidP="004E1145">
      <w:pPr>
        <w:pStyle w:val="FootnoteText"/>
        <w:rPr>
          <w:sz w:val="16"/>
          <w:szCs w:val="16"/>
          <w:lang w:val="en-IE"/>
        </w:rPr>
      </w:pPr>
      <w:r w:rsidRPr="0078457C">
        <w:rPr>
          <w:rStyle w:val="FootnoteReference"/>
          <w:sz w:val="16"/>
          <w:szCs w:val="16"/>
        </w:rPr>
        <w:footnoteRef/>
      </w:r>
      <w:r w:rsidRPr="0078457C">
        <w:rPr>
          <w:sz w:val="16"/>
          <w:szCs w:val="16"/>
        </w:rPr>
        <w:t xml:space="preserve"> European Commission internal</w:t>
      </w:r>
      <w:r w:rsidR="00F42AAD" w:rsidRPr="0078457C">
        <w:rPr>
          <w:sz w:val="16"/>
          <w:szCs w:val="16"/>
        </w:rPr>
        <w:t xml:space="preserve"> </w:t>
      </w:r>
      <w:r w:rsidRPr="0078457C">
        <w:rPr>
          <w:sz w:val="16"/>
          <w:szCs w:val="16"/>
        </w:rPr>
        <w:t>analysis (2025).</w:t>
      </w:r>
    </w:p>
  </w:footnote>
  <w:footnote w:id="310">
    <w:p w14:paraId="413936BC" w14:textId="45AC0BF3" w:rsidR="0078457C" w:rsidRPr="0078457C" w:rsidRDefault="0078457C">
      <w:pPr>
        <w:pStyle w:val="FootnoteText"/>
        <w:rPr>
          <w:sz w:val="16"/>
          <w:szCs w:val="16"/>
          <w:lang w:val="en-IE"/>
        </w:rPr>
      </w:pPr>
      <w:r w:rsidRPr="0078457C">
        <w:rPr>
          <w:rStyle w:val="FootnoteReference"/>
          <w:sz w:val="16"/>
          <w:szCs w:val="16"/>
        </w:rPr>
        <w:footnoteRef/>
      </w:r>
      <w:r w:rsidRPr="0078457C">
        <w:rPr>
          <w:sz w:val="16"/>
          <w:szCs w:val="16"/>
        </w:rPr>
        <w:t xml:space="preserve"> European Aluminium (2023). </w:t>
      </w:r>
      <w:hyperlink r:id="rId190" w:history="1">
        <w:r w:rsidRPr="0078457C">
          <w:rPr>
            <w:rStyle w:val="Hyperlink"/>
            <w:sz w:val="16"/>
            <w:szCs w:val="16"/>
          </w:rPr>
          <w:t>Net-Zero By 2050: Science-Based Decarbonisation Pathways for The European Aluminium Industry</w:t>
        </w:r>
      </w:hyperlink>
      <w:r w:rsidRPr="0078457C">
        <w:rPr>
          <w:sz w:val="16"/>
          <w:szCs w:val="16"/>
        </w:rPr>
        <w:t>, p. 32.</w:t>
      </w:r>
    </w:p>
  </w:footnote>
  <w:footnote w:id="311">
    <w:p w14:paraId="3876CC13" w14:textId="2EBF8088" w:rsidR="004E1145" w:rsidRPr="0078457C" w:rsidRDefault="004E1145" w:rsidP="004E1145">
      <w:pPr>
        <w:pStyle w:val="FootnoteText"/>
        <w:rPr>
          <w:sz w:val="16"/>
          <w:szCs w:val="16"/>
        </w:rPr>
      </w:pPr>
      <w:r w:rsidRPr="0078457C">
        <w:rPr>
          <w:rStyle w:val="FootnoteReference"/>
          <w:sz w:val="16"/>
          <w:szCs w:val="16"/>
        </w:rPr>
        <w:footnoteRef/>
      </w:r>
      <w:r w:rsidRPr="0078457C">
        <w:rPr>
          <w:sz w:val="16"/>
          <w:szCs w:val="16"/>
        </w:rPr>
        <w:t xml:space="preserve"> </w:t>
      </w:r>
      <w:r w:rsidR="008216B4" w:rsidRPr="0078457C">
        <w:rPr>
          <w:rFonts w:cs="Times New Roman"/>
          <w:sz w:val="16"/>
          <w:szCs w:val="16"/>
        </w:rPr>
        <w:t xml:space="preserve">Eurometaux and </w:t>
      </w:r>
      <w:r w:rsidR="008216B4" w:rsidRPr="0078457C">
        <w:rPr>
          <w:sz w:val="16"/>
          <w:szCs w:val="16"/>
        </w:rPr>
        <w:t>KU Leuven</w:t>
      </w:r>
      <w:r w:rsidR="008216B4" w:rsidRPr="0078457C">
        <w:rPr>
          <w:rFonts w:cs="Times New Roman"/>
          <w:sz w:val="16"/>
          <w:szCs w:val="16"/>
        </w:rPr>
        <w:t xml:space="preserve"> (2022).</w:t>
      </w:r>
      <w:r w:rsidR="008216B4" w:rsidRPr="0078457C">
        <w:rPr>
          <w:sz w:val="16"/>
          <w:szCs w:val="16"/>
        </w:rPr>
        <w:t xml:space="preserve"> </w:t>
      </w:r>
      <w:hyperlink r:id="rId191" w:history="1">
        <w:r w:rsidR="008216B4" w:rsidRPr="00022C4E">
          <w:rPr>
            <w:rStyle w:val="Hyperlink"/>
            <w:sz w:val="16"/>
            <w:szCs w:val="16"/>
          </w:rPr>
          <w:t>Metals for Clean Energy: Pathways to solving Europe’s raw materials challenge</w:t>
        </w:r>
      </w:hyperlink>
      <w:r w:rsidR="00022C4E">
        <w:rPr>
          <w:sz w:val="16"/>
          <w:szCs w:val="16"/>
        </w:rPr>
        <w:t>, p. 36.</w:t>
      </w:r>
    </w:p>
  </w:footnote>
  <w:footnote w:id="312">
    <w:p w14:paraId="75974F92" w14:textId="1865147F" w:rsidR="00BF126E" w:rsidRPr="0078457C" w:rsidRDefault="00BF126E">
      <w:pPr>
        <w:pStyle w:val="FootnoteText"/>
        <w:rPr>
          <w:sz w:val="16"/>
          <w:szCs w:val="16"/>
        </w:rPr>
      </w:pPr>
      <w:r w:rsidRPr="0078457C">
        <w:rPr>
          <w:rStyle w:val="FootnoteReference"/>
          <w:sz w:val="16"/>
          <w:szCs w:val="16"/>
        </w:rPr>
        <w:footnoteRef/>
      </w:r>
      <w:r w:rsidR="00405C49" w:rsidRPr="0078457C">
        <w:rPr>
          <w:sz w:val="16"/>
          <w:szCs w:val="16"/>
        </w:rPr>
        <w:t xml:space="preserve"> </w:t>
      </w:r>
      <w:r w:rsidR="008D00D8" w:rsidRPr="0078457C">
        <w:rPr>
          <w:sz w:val="16"/>
          <w:szCs w:val="16"/>
        </w:rPr>
        <w:t>Onestone Consulting</w:t>
      </w:r>
      <w:r w:rsidR="00AE24CA" w:rsidRPr="0078457C">
        <w:rPr>
          <w:sz w:val="16"/>
          <w:szCs w:val="16"/>
        </w:rPr>
        <w:t xml:space="preserve"> (2023)</w:t>
      </w:r>
      <w:r w:rsidR="008D00D8" w:rsidRPr="0078457C">
        <w:rPr>
          <w:sz w:val="16"/>
          <w:szCs w:val="16"/>
        </w:rPr>
        <w:t xml:space="preserve">. </w:t>
      </w:r>
      <w:hyperlink r:id="rId192" w:history="1">
        <w:r w:rsidR="00405C49" w:rsidRPr="0078457C">
          <w:rPr>
            <w:rStyle w:val="Hyperlink"/>
            <w:sz w:val="16"/>
            <w:szCs w:val="16"/>
          </w:rPr>
          <w:t>The cement industry in Euro</w:t>
        </w:r>
        <w:bookmarkStart w:id="293" w:name="_Hlt219392600"/>
        <w:bookmarkStart w:id="294" w:name="_Hlt219392601"/>
        <w:r w:rsidR="00405C49" w:rsidRPr="0078457C">
          <w:rPr>
            <w:rStyle w:val="Hyperlink"/>
            <w:sz w:val="16"/>
            <w:szCs w:val="16"/>
          </w:rPr>
          <w:t>p</w:t>
        </w:r>
        <w:bookmarkEnd w:id="293"/>
        <w:bookmarkEnd w:id="294"/>
        <w:r w:rsidR="00405C49" w:rsidRPr="0078457C">
          <w:rPr>
            <w:rStyle w:val="Hyperlink"/>
            <w:sz w:val="16"/>
            <w:szCs w:val="16"/>
          </w:rPr>
          <w:t>e at the crossroads</w:t>
        </w:r>
        <w:r w:rsidR="008D00D8" w:rsidRPr="0078457C">
          <w:rPr>
            <w:rStyle w:val="Hyperlink"/>
            <w:sz w:val="16"/>
            <w:szCs w:val="16"/>
          </w:rPr>
          <w:t>.</w:t>
        </w:r>
      </w:hyperlink>
      <w:r w:rsidR="008D00D8" w:rsidRPr="0078457C">
        <w:rPr>
          <w:sz w:val="16"/>
          <w:szCs w:val="16"/>
        </w:rPr>
        <w:t xml:space="preserve"> Published in ZKG International.</w:t>
      </w:r>
    </w:p>
  </w:footnote>
  <w:footnote w:id="313">
    <w:p w14:paraId="310A4E6E" w14:textId="5F73F15C" w:rsidR="00DD17D3" w:rsidRPr="0078457C" w:rsidRDefault="00DD17D3" w:rsidP="00DD17D3">
      <w:pPr>
        <w:pStyle w:val="FootnoteText"/>
        <w:rPr>
          <w:sz w:val="16"/>
          <w:szCs w:val="16"/>
        </w:rPr>
      </w:pPr>
      <w:r w:rsidRPr="0078457C">
        <w:rPr>
          <w:rStyle w:val="FootnoteReference"/>
          <w:sz w:val="16"/>
          <w:szCs w:val="16"/>
        </w:rPr>
        <w:footnoteRef/>
      </w:r>
      <w:r w:rsidRPr="0078457C">
        <w:rPr>
          <w:sz w:val="16"/>
          <w:szCs w:val="16"/>
        </w:rPr>
        <w:t xml:space="preserve"> </w:t>
      </w:r>
      <w:r w:rsidR="004D4888" w:rsidRPr="0078457C">
        <w:rPr>
          <w:sz w:val="16"/>
          <w:szCs w:val="16"/>
        </w:rPr>
        <w:t>Bellona Foundation (</w:t>
      </w:r>
      <w:r w:rsidR="00E56123" w:rsidRPr="0078457C">
        <w:rPr>
          <w:sz w:val="16"/>
          <w:szCs w:val="16"/>
        </w:rPr>
        <w:t>2024).</w:t>
      </w:r>
      <w:r w:rsidR="004D4888" w:rsidRPr="0078457C">
        <w:rPr>
          <w:sz w:val="16"/>
          <w:szCs w:val="16"/>
        </w:rPr>
        <w:t xml:space="preserve"> </w:t>
      </w:r>
      <w:hyperlink r:id="rId193" w:anchor=":~:text=The%20report%20highlights%20that%20the%20size%20of%20the,estimated%20at%20approximately%2011%25%2C%20representing%20about%20%E2%82%AC8.3%20billion." w:history="1">
        <w:r w:rsidRPr="0078457C">
          <w:rPr>
            <w:rStyle w:val="Hyperlink"/>
            <w:sz w:val="16"/>
            <w:szCs w:val="16"/>
          </w:rPr>
          <w:t>Green Public Procurement of c</w:t>
        </w:r>
        <w:bookmarkStart w:id="295" w:name="_Hlt219392231"/>
        <w:bookmarkStart w:id="296" w:name="_Hlt219392232"/>
        <w:r w:rsidRPr="0078457C">
          <w:rPr>
            <w:rStyle w:val="Hyperlink"/>
            <w:sz w:val="16"/>
            <w:szCs w:val="16"/>
          </w:rPr>
          <w:t>e</w:t>
        </w:r>
        <w:bookmarkEnd w:id="295"/>
        <w:bookmarkEnd w:id="296"/>
        <w:r w:rsidRPr="0078457C">
          <w:rPr>
            <w:rStyle w:val="Hyperlink"/>
            <w:sz w:val="16"/>
            <w:szCs w:val="16"/>
          </w:rPr>
          <w:t>ment and steel in the EU: An overview of the state of play</w:t>
        </w:r>
        <w:r w:rsidR="00E56123" w:rsidRPr="0078457C">
          <w:rPr>
            <w:rStyle w:val="Hyperlink"/>
            <w:sz w:val="16"/>
            <w:szCs w:val="16"/>
          </w:rPr>
          <w:t>.</w:t>
        </w:r>
        <w:r w:rsidRPr="0078457C">
          <w:rPr>
            <w:rStyle w:val="Hyperlink"/>
            <w:sz w:val="16"/>
            <w:szCs w:val="16"/>
          </w:rPr>
          <w:t xml:space="preserve"> </w:t>
        </w:r>
      </w:hyperlink>
    </w:p>
  </w:footnote>
  <w:footnote w:id="314">
    <w:p w14:paraId="7A6F3C00" w14:textId="360401D6" w:rsidR="007A4721" w:rsidRPr="0078457C" w:rsidRDefault="007A4721">
      <w:pPr>
        <w:pStyle w:val="FootnoteText"/>
        <w:rPr>
          <w:rFonts w:cs="Times New Roman"/>
          <w:sz w:val="16"/>
          <w:szCs w:val="16"/>
        </w:rPr>
      </w:pPr>
      <w:r w:rsidRPr="0078457C">
        <w:rPr>
          <w:rStyle w:val="FootnoteReference"/>
          <w:sz w:val="16"/>
          <w:szCs w:val="16"/>
        </w:rPr>
        <w:footnoteRef/>
      </w:r>
      <w:r w:rsidRPr="0078457C">
        <w:rPr>
          <w:sz w:val="16"/>
          <w:szCs w:val="16"/>
        </w:rPr>
        <w:t xml:space="preserve"> </w:t>
      </w:r>
      <w:r w:rsidRPr="0078457C">
        <w:rPr>
          <w:rFonts w:cs="Times New Roman"/>
          <w:sz w:val="16"/>
          <w:szCs w:val="16"/>
        </w:rPr>
        <w:t xml:space="preserve">T&amp;E (2024). </w:t>
      </w:r>
      <w:hyperlink r:id="rId194" w:history="1">
        <w:r w:rsidRPr="0078457C">
          <w:rPr>
            <w:rStyle w:val="Hyperlink"/>
            <w:rFonts w:cs="Times New Roman"/>
            <w:sz w:val="16"/>
            <w:szCs w:val="16"/>
          </w:rPr>
          <w:t>An Industrial blueprint for batteries in Europe</w:t>
        </w:r>
      </w:hyperlink>
      <w:r w:rsidRPr="0078457C">
        <w:rPr>
          <w:rFonts w:cs="Times New Roman"/>
          <w:sz w:val="16"/>
          <w:szCs w:val="16"/>
        </w:rPr>
        <w:t>.</w:t>
      </w:r>
    </w:p>
  </w:footnote>
  <w:footnote w:id="315">
    <w:p w14:paraId="1E798FE0" w14:textId="00920FB5" w:rsidR="002B1A9C" w:rsidRPr="00720DA1" w:rsidRDefault="002B1A9C" w:rsidP="002B1A9C">
      <w:pPr>
        <w:pStyle w:val="FootnoteText"/>
        <w:rPr>
          <w:sz w:val="16"/>
          <w:szCs w:val="16"/>
        </w:rPr>
      </w:pPr>
      <w:r w:rsidRPr="00720DA1">
        <w:rPr>
          <w:rStyle w:val="FootnoteReference"/>
          <w:sz w:val="16"/>
          <w:szCs w:val="16"/>
        </w:rPr>
        <w:footnoteRef/>
      </w:r>
      <w:r w:rsidRPr="00720DA1">
        <w:rPr>
          <w:sz w:val="16"/>
          <w:szCs w:val="16"/>
        </w:rPr>
        <w:t xml:space="preserve"> This is in line with the results for Buberger, J., Kersten, A., Kuder, M., Eckerle, R., Weyh, T., &amp; Thiringer, T. (2022). Total CO2-equivalent life-cycle emissions from commercially available passenger cars. </w:t>
      </w:r>
      <w:r w:rsidRPr="00720DA1">
        <w:rPr>
          <w:i/>
          <w:sz w:val="16"/>
          <w:szCs w:val="16"/>
        </w:rPr>
        <w:t>Renewable and Sustainable Energy Reviews</w:t>
      </w:r>
      <w:r w:rsidRPr="00720DA1">
        <w:rPr>
          <w:sz w:val="16"/>
          <w:szCs w:val="16"/>
        </w:rPr>
        <w:t xml:space="preserve">, </w:t>
      </w:r>
      <w:r w:rsidRPr="00720DA1">
        <w:rPr>
          <w:i/>
          <w:sz w:val="16"/>
          <w:szCs w:val="16"/>
        </w:rPr>
        <w:t>159</w:t>
      </w:r>
      <w:r w:rsidRPr="00720DA1">
        <w:rPr>
          <w:sz w:val="16"/>
          <w:szCs w:val="16"/>
        </w:rPr>
        <w:t>, 112158. Emissions from utili</w:t>
      </w:r>
      <w:r w:rsidR="00C93E5C" w:rsidRPr="00720DA1">
        <w:rPr>
          <w:sz w:val="16"/>
          <w:szCs w:val="16"/>
        </w:rPr>
        <w:t>sation</w:t>
      </w:r>
      <w:r w:rsidRPr="00720DA1">
        <w:rPr>
          <w:sz w:val="16"/>
          <w:szCs w:val="16"/>
        </w:rPr>
        <w:t xml:space="preserve"> are only quantified for passenger cars.</w:t>
      </w:r>
    </w:p>
  </w:footnote>
  <w:footnote w:id="316">
    <w:p w14:paraId="6DF8A81A" w14:textId="46B3ABDE" w:rsidR="00C331D7" w:rsidRPr="00720DA1" w:rsidRDefault="00C331D7" w:rsidP="00BA6C11">
      <w:pPr>
        <w:pStyle w:val="FootnoteText"/>
        <w:rPr>
          <w:sz w:val="16"/>
          <w:szCs w:val="16"/>
          <w:lang w:val="en-US"/>
        </w:rPr>
      </w:pPr>
      <w:r w:rsidRPr="00720DA1">
        <w:rPr>
          <w:rStyle w:val="FootnoteReference"/>
          <w:sz w:val="16"/>
          <w:szCs w:val="16"/>
        </w:rPr>
        <w:footnoteRef/>
      </w:r>
      <w:r w:rsidR="00C6390A" w:rsidRPr="00720DA1">
        <w:rPr>
          <w:sz w:val="16"/>
          <w:szCs w:val="16"/>
        </w:rPr>
        <w:t xml:space="preserve"> </w:t>
      </w:r>
      <w:r w:rsidR="00C6390A" w:rsidRPr="00720DA1">
        <w:rPr>
          <w:rFonts w:cs="Times New Roman"/>
          <w:sz w:val="16"/>
          <w:szCs w:val="16"/>
        </w:rPr>
        <w:t xml:space="preserve">Strategic Perspectives (2025). </w:t>
      </w:r>
      <w:hyperlink r:id="rId195" w:history="1">
        <w:r w:rsidR="00C6390A" w:rsidRPr="00720DA1">
          <w:rPr>
            <w:rStyle w:val="Hyperlink"/>
            <w:sz w:val="16"/>
            <w:szCs w:val="16"/>
          </w:rPr>
          <w:t>Lead markets: driving net-zero industries made in Europe</w:t>
        </w:r>
      </w:hyperlink>
      <w:r w:rsidR="00C6390A" w:rsidRPr="00720DA1">
        <w:rPr>
          <w:rFonts w:cs="Times New Roman"/>
          <w:sz w:val="16"/>
          <w:szCs w:val="16"/>
        </w:rPr>
        <w:t>. Estimate from dataset used in report’s underlying analysis.</w:t>
      </w:r>
    </w:p>
  </w:footnote>
  <w:footnote w:id="317">
    <w:p w14:paraId="557DA860" w14:textId="77777777" w:rsidR="006063A4" w:rsidRPr="00720DA1" w:rsidRDefault="006063A4" w:rsidP="00BA6C11">
      <w:pPr>
        <w:tabs>
          <w:tab w:val="num" w:pos="480"/>
        </w:tabs>
        <w:outlineLvl w:val="0"/>
        <w:rPr>
          <w:rFonts w:eastAsia="Calibri"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Calibri" w:cs="Times New Roman"/>
          <w:sz w:val="16"/>
          <w:szCs w:val="16"/>
        </w:rPr>
        <w:t>CARMEN is a linear model, where a 10% decrease/increase in global final demand would yield a result 10 times worse/better than the baseline. To facilitate understanding, a 1% reduction is used as a reference point, providing a more manageable and comparable outcome.</w:t>
      </w:r>
    </w:p>
    <w:p w14:paraId="50B13BA6" w14:textId="77777777" w:rsidR="006063A4" w:rsidRPr="00720DA1" w:rsidRDefault="006063A4" w:rsidP="006063A4">
      <w:pPr>
        <w:pStyle w:val="FootnoteText"/>
        <w:rPr>
          <w:sz w:val="16"/>
          <w:szCs w:val="16"/>
        </w:rPr>
      </w:pPr>
    </w:p>
  </w:footnote>
  <w:footnote w:id="318">
    <w:p w14:paraId="675F292E"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A</w:t>
      </w:r>
      <w:r w:rsidRPr="00720DA1" w:rsidDel="56745421">
        <w:rPr>
          <w:rFonts w:cs="Times New Roman"/>
          <w:sz w:val="16"/>
          <w:szCs w:val="16"/>
        </w:rPr>
        <w:t>s related technologies matures</w:t>
      </w:r>
      <w:r w:rsidRPr="00720DA1" w:rsidDel="217328DB">
        <w:rPr>
          <w:rFonts w:cs="Times New Roman"/>
          <w:sz w:val="16"/>
          <w:szCs w:val="16"/>
        </w:rPr>
        <w:t xml:space="preserve"> and</w:t>
      </w:r>
      <w:r w:rsidRPr="00720DA1" w:rsidDel="68877256">
        <w:rPr>
          <w:rFonts w:cs="Times New Roman"/>
          <w:sz w:val="16"/>
          <w:szCs w:val="16"/>
        </w:rPr>
        <w:t xml:space="preserve"> demand </w:t>
      </w:r>
      <w:r w:rsidRPr="00720DA1" w:rsidDel="217328DB">
        <w:rPr>
          <w:rFonts w:cs="Times New Roman"/>
          <w:sz w:val="16"/>
          <w:szCs w:val="16"/>
        </w:rPr>
        <w:t>for low-carbon materials move from niche</w:t>
      </w:r>
      <w:r w:rsidRPr="00720DA1" w:rsidDel="6E1EE50E">
        <w:rPr>
          <w:rFonts w:cs="Times New Roman"/>
          <w:sz w:val="16"/>
          <w:szCs w:val="16"/>
        </w:rPr>
        <w:t>, lead markets</w:t>
      </w:r>
      <w:r w:rsidRPr="00720DA1" w:rsidDel="217328DB">
        <w:rPr>
          <w:rFonts w:cs="Times New Roman"/>
          <w:sz w:val="16"/>
          <w:szCs w:val="16"/>
        </w:rPr>
        <w:t xml:space="preserve"> to </w:t>
      </w:r>
      <w:r w:rsidRPr="00720DA1" w:rsidDel="27D893A4">
        <w:rPr>
          <w:rFonts w:cs="Times New Roman"/>
          <w:sz w:val="16"/>
          <w:szCs w:val="16"/>
        </w:rPr>
        <w:t>larger scale markets</w:t>
      </w:r>
      <w:r w:rsidRPr="00720DA1" w:rsidDel="56745421">
        <w:rPr>
          <w:rFonts w:cs="Times New Roman"/>
          <w:sz w:val="16"/>
          <w:szCs w:val="16"/>
        </w:rPr>
        <w:t>.</w:t>
      </w:r>
    </w:p>
  </w:footnote>
  <w:footnote w:id="319">
    <w:p w14:paraId="66B3EDE3"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And complemented in Annex 7.</w:t>
      </w:r>
    </w:p>
  </w:footnote>
  <w:footnote w:id="320">
    <w:p w14:paraId="344D8FCF" w14:textId="5D3D4291" w:rsidR="00D567F5" w:rsidRPr="00720DA1" w:rsidRDefault="00D567F5" w:rsidP="00CE1615">
      <w:pPr>
        <w:pStyle w:val="FootnoteText"/>
        <w:rPr>
          <w:sz w:val="16"/>
          <w:szCs w:val="16"/>
        </w:rPr>
      </w:pPr>
      <w:r w:rsidRPr="00720DA1">
        <w:rPr>
          <w:rStyle w:val="FootnoteReference"/>
          <w:sz w:val="16"/>
          <w:szCs w:val="16"/>
        </w:rPr>
        <w:footnoteRef/>
      </w:r>
      <w:r w:rsidRPr="00720DA1">
        <w:rPr>
          <w:sz w:val="16"/>
          <w:szCs w:val="16"/>
        </w:rPr>
        <w:t xml:space="preserve"> Chief Economist Unit, DG GROW, based on Eurostat regional structural business statistics (sbs_r_nuts2021). </w:t>
      </w:r>
    </w:p>
  </w:footnote>
  <w:footnote w:id="321">
    <w:p w14:paraId="1FB9FCDA"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Eurostat 2022.</w:t>
      </w:r>
    </w:p>
  </w:footnote>
  <w:footnote w:id="322">
    <w:p w14:paraId="3D25F370"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Industrial Ecosystem key SME figures 2025, link: </w:t>
      </w:r>
      <w:hyperlink r:id="rId196" w:history="1">
        <w:r w:rsidRPr="00720DA1">
          <w:rPr>
            <w:rStyle w:val="Hyperlink"/>
            <w:rFonts w:cs="Times New Roman"/>
            <w:sz w:val="16"/>
            <w:szCs w:val="16"/>
          </w:rPr>
          <w:t>SME Performance Review - European Commission</w:t>
        </w:r>
      </w:hyperlink>
    </w:p>
  </w:footnote>
  <w:footnote w:id="323">
    <w:p w14:paraId="73F8EB06" w14:textId="14B1C9E4"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460974">
        <w:rPr>
          <w:rFonts w:cs="Times New Roman"/>
          <w:sz w:val="16"/>
          <w:szCs w:val="16"/>
        </w:rPr>
        <w:t>INNO</w:t>
      </w:r>
      <w:r w:rsidR="002F79D5">
        <w:rPr>
          <w:rFonts w:cs="Times New Roman"/>
          <w:sz w:val="16"/>
          <w:szCs w:val="16"/>
        </w:rPr>
        <w:t>/Solar Alliance</w:t>
      </w:r>
      <w:r w:rsidR="00460974">
        <w:rPr>
          <w:rFonts w:cs="Times New Roman"/>
          <w:sz w:val="16"/>
          <w:szCs w:val="16"/>
        </w:rPr>
        <w:t xml:space="preserve"> webpage. </w:t>
      </w:r>
      <w:hyperlink r:id="rId197" w:history="1">
        <w:r w:rsidRPr="00720DA1">
          <w:rPr>
            <w:rStyle w:val="Hyperlink"/>
            <w:rFonts w:cs="Times New Roman"/>
            <w:sz w:val="16"/>
            <w:szCs w:val="16"/>
          </w:rPr>
          <w:t>Meet our members – European Solar PV Industry Alliance</w:t>
        </w:r>
      </w:hyperlink>
      <w:r w:rsidR="002F79D5">
        <w:rPr>
          <w:sz w:val="16"/>
          <w:szCs w:val="16"/>
        </w:rPr>
        <w:t>.</w:t>
      </w:r>
    </w:p>
  </w:footnote>
  <w:footnote w:id="324">
    <w:p w14:paraId="2F5D2F21" w14:textId="4B50441E" w:rsidR="00020031" w:rsidRPr="00720DA1" w:rsidRDefault="00020031" w:rsidP="00B37A92">
      <w:pPr>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D6452A">
        <w:rPr>
          <w:rFonts w:cs="Times New Roman"/>
          <w:sz w:val="16"/>
          <w:szCs w:val="16"/>
        </w:rPr>
        <w:t>Euroclusters and RESIST (</w:t>
      </w:r>
      <w:r w:rsidR="006239D3">
        <w:rPr>
          <w:rFonts w:cs="Times New Roman"/>
          <w:sz w:val="16"/>
          <w:szCs w:val="16"/>
        </w:rPr>
        <w:t xml:space="preserve">2023). </w:t>
      </w:r>
      <w:hyperlink r:id="rId198" w:history="1">
        <w:r w:rsidRPr="006239D3">
          <w:rPr>
            <w:rStyle w:val="Hyperlink"/>
            <w:rFonts w:cs="Times New Roman"/>
            <w:sz w:val="16"/>
            <w:szCs w:val="16"/>
          </w:rPr>
          <w:t>Future challenges for SMEs in automotive, transport and mobility vehicle production and their manufacturing suppliers</w:t>
        </w:r>
      </w:hyperlink>
      <w:r w:rsidR="006239D3">
        <w:rPr>
          <w:rFonts w:cs="Times New Roman"/>
          <w:sz w:val="16"/>
          <w:szCs w:val="16"/>
        </w:rPr>
        <w:t>.</w:t>
      </w:r>
    </w:p>
  </w:footnote>
  <w:footnote w:id="325">
    <w:p w14:paraId="71FDEE12" w14:textId="39D14228" w:rsidR="00020031" w:rsidRPr="00720DA1" w:rsidRDefault="00020031" w:rsidP="00B37A92">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22AF8" w:rsidRPr="00720DA1">
        <w:rPr>
          <w:rFonts w:cs="Times New Roman"/>
          <w:sz w:val="16"/>
          <w:szCs w:val="16"/>
        </w:rPr>
        <w:t>European Commission</w:t>
      </w:r>
      <w:r w:rsidR="00322AF8">
        <w:rPr>
          <w:rFonts w:cs="Times New Roman"/>
          <w:sz w:val="16"/>
          <w:szCs w:val="16"/>
        </w:rPr>
        <w:t xml:space="preserve"> (</w:t>
      </w:r>
      <w:r w:rsidR="00322AF8" w:rsidRPr="00720DA1">
        <w:rPr>
          <w:rFonts w:cs="Times New Roman"/>
          <w:sz w:val="16"/>
          <w:szCs w:val="16"/>
        </w:rPr>
        <w:t>2023</w:t>
      </w:r>
      <w:r w:rsidR="00322AF8">
        <w:rPr>
          <w:rFonts w:cs="Times New Roman"/>
          <w:sz w:val="16"/>
          <w:szCs w:val="16"/>
        </w:rPr>
        <w:t xml:space="preserve">). </w:t>
      </w:r>
      <w:hyperlink r:id="rId199">
        <w:r w:rsidRPr="00720DA1">
          <w:rPr>
            <w:rStyle w:val="Hyperlink"/>
            <w:rFonts w:cs="Times New Roman"/>
            <w:sz w:val="16"/>
            <w:szCs w:val="16"/>
          </w:rPr>
          <w:t>Transition Pathway for Construction</w:t>
        </w:r>
      </w:hyperlink>
      <w:r w:rsidR="00E27855">
        <w:rPr>
          <w:sz w:val="16"/>
          <w:szCs w:val="16"/>
        </w:rPr>
        <w:t>.</w:t>
      </w:r>
    </w:p>
  </w:footnote>
  <w:footnote w:id="326">
    <w:p w14:paraId="7DF206C0" w14:textId="77777777" w:rsidR="00020031" w:rsidRPr="00720DA1" w:rsidRDefault="00020031" w:rsidP="00B37A92">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Eurostat 2022</w:t>
      </w:r>
    </w:p>
  </w:footnote>
  <w:footnote w:id="327">
    <w:p w14:paraId="48F9FE98" w14:textId="77777777" w:rsidR="00020031" w:rsidRPr="00720DA1" w:rsidRDefault="00020031" w:rsidP="00B37A92">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Industrial Ecosystem key SME figures 2025, link: </w:t>
      </w:r>
      <w:hyperlink r:id="rId200" w:history="1">
        <w:r w:rsidRPr="00720DA1">
          <w:rPr>
            <w:rStyle w:val="Hyperlink"/>
            <w:rFonts w:cs="Times New Roman"/>
            <w:sz w:val="16"/>
            <w:szCs w:val="16"/>
          </w:rPr>
          <w:t>SME Performance Review - European Commission</w:t>
        </w:r>
      </w:hyperlink>
    </w:p>
  </w:footnote>
  <w:footnote w:id="328">
    <w:p w14:paraId="4E5C860C" w14:textId="18F32A27" w:rsidR="00020031" w:rsidRPr="00B37A92" w:rsidRDefault="00020031" w:rsidP="00B37A92">
      <w:pPr>
        <w:pStyle w:val="FootnoteText"/>
        <w:jc w:val="left"/>
        <w:rPr>
          <w:rFonts w:cs="Times New Roman"/>
          <w:sz w:val="16"/>
          <w:szCs w:val="16"/>
          <w:lang w:val="en-IE"/>
        </w:rPr>
      </w:pPr>
      <w:r w:rsidRPr="00720DA1">
        <w:rPr>
          <w:rStyle w:val="FootnoteReference"/>
          <w:rFonts w:cs="Times New Roman"/>
          <w:sz w:val="16"/>
          <w:szCs w:val="16"/>
        </w:rPr>
        <w:footnoteRef/>
      </w:r>
      <w:r w:rsidRPr="00B37A92">
        <w:rPr>
          <w:rFonts w:cs="Times New Roman"/>
          <w:sz w:val="16"/>
          <w:szCs w:val="16"/>
          <w:lang w:val="en-IE"/>
        </w:rPr>
        <w:t xml:space="preserve"> </w:t>
      </w:r>
      <w:r w:rsidR="00E27855" w:rsidRPr="00B37A92">
        <w:rPr>
          <w:rFonts w:cs="Times New Roman"/>
          <w:sz w:val="16"/>
          <w:szCs w:val="16"/>
          <w:lang w:val="en-IE"/>
        </w:rPr>
        <w:t>SolarPower E</w:t>
      </w:r>
      <w:r w:rsidR="0074269C" w:rsidRPr="00B37A92">
        <w:rPr>
          <w:rFonts w:cs="Times New Roman"/>
          <w:sz w:val="16"/>
          <w:szCs w:val="16"/>
          <w:lang w:val="en-IE"/>
        </w:rPr>
        <w:t>urope</w:t>
      </w:r>
      <w:r w:rsidR="00E27855" w:rsidRPr="00B37A92">
        <w:rPr>
          <w:rFonts w:cs="Times New Roman"/>
          <w:sz w:val="16"/>
          <w:szCs w:val="16"/>
          <w:lang w:val="en-IE"/>
        </w:rPr>
        <w:t xml:space="preserve"> (2023).</w:t>
      </w:r>
      <w:r w:rsidR="00760CE8" w:rsidRPr="00B37A92">
        <w:rPr>
          <w:rFonts w:cs="Times New Roman"/>
          <w:sz w:val="16"/>
          <w:szCs w:val="16"/>
          <w:lang w:val="en-IE"/>
        </w:rPr>
        <w:t xml:space="preserve"> </w:t>
      </w:r>
      <w:hyperlink r:id="rId201" w:anchor="download">
        <w:r w:rsidR="00E27855" w:rsidRPr="00B37A92">
          <w:rPr>
            <w:rStyle w:val="Hyperlink"/>
            <w:rFonts w:eastAsia="Times New Roman" w:cs="Times New Roman"/>
            <w:sz w:val="16"/>
            <w:szCs w:val="16"/>
            <w:lang w:val="en-IE"/>
          </w:rPr>
          <w:t>EU Solar Jobs Report 2023</w:t>
        </w:r>
      </w:hyperlink>
      <w:r w:rsidR="00E27855" w:rsidRPr="00B37A92">
        <w:rPr>
          <w:sz w:val="16"/>
          <w:szCs w:val="16"/>
          <w:lang w:val="en-IE"/>
        </w:rPr>
        <w:t>.</w:t>
      </w:r>
    </w:p>
  </w:footnote>
  <w:footnote w:id="329">
    <w:p w14:paraId="4E8F6B80" w14:textId="137FCB60" w:rsidR="00020031" w:rsidRPr="00720DA1" w:rsidRDefault="00020031" w:rsidP="00B37A92">
      <w:pPr>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A3193E">
        <w:rPr>
          <w:rFonts w:cs="Times New Roman"/>
          <w:sz w:val="16"/>
          <w:szCs w:val="16"/>
        </w:rPr>
        <w:t xml:space="preserve">Euroclusters and RESIST (2023). </w:t>
      </w:r>
      <w:hyperlink r:id="rId202" w:history="1">
        <w:r w:rsidR="00A3193E" w:rsidRPr="006239D3">
          <w:rPr>
            <w:rStyle w:val="Hyperlink"/>
            <w:rFonts w:cs="Times New Roman"/>
            <w:sz w:val="16"/>
            <w:szCs w:val="16"/>
          </w:rPr>
          <w:t>Future challenges for SMEs in automotive, transport and mobility vehicle production and their manufacturing suppliers</w:t>
        </w:r>
      </w:hyperlink>
      <w:r w:rsidR="00A3193E">
        <w:rPr>
          <w:rFonts w:cs="Times New Roman"/>
          <w:sz w:val="16"/>
          <w:szCs w:val="16"/>
        </w:rPr>
        <w:t>.</w:t>
      </w:r>
    </w:p>
  </w:footnote>
  <w:footnote w:id="330">
    <w:p w14:paraId="6F1BF1FA" w14:textId="2F4FAE74" w:rsidR="00020031" w:rsidRPr="00720DA1" w:rsidRDefault="00020031" w:rsidP="00B37A92">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B7832">
        <w:rPr>
          <w:rFonts w:cs="Times New Roman"/>
          <w:sz w:val="16"/>
          <w:szCs w:val="16"/>
        </w:rPr>
        <w:t xml:space="preserve">WindEurope webpage. </w:t>
      </w:r>
      <w:hyperlink r:id="rId203" w:history="1">
        <w:r w:rsidR="00E5240C">
          <w:rPr>
            <w:rStyle w:val="Hyperlink"/>
            <w:rFonts w:cs="Times New Roman"/>
            <w:sz w:val="16"/>
            <w:szCs w:val="16"/>
          </w:rPr>
          <w:t>Wind energy and the economy</w:t>
        </w:r>
      </w:hyperlink>
      <w:r w:rsidR="00E5240C">
        <w:rPr>
          <w:rFonts w:cs="Times New Roman"/>
          <w:sz w:val="16"/>
          <w:szCs w:val="16"/>
        </w:rPr>
        <w:t xml:space="preserve">. </w:t>
      </w:r>
    </w:p>
  </w:footnote>
  <w:footnote w:id="331">
    <w:p w14:paraId="1E1EF3EA" w14:textId="76D0909F" w:rsidR="00020031" w:rsidRPr="00720DA1" w:rsidRDefault="00020031" w:rsidP="00B37A92">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E5240C" w:rsidRPr="00E5240C">
        <w:rPr>
          <w:rFonts w:cs="Times New Roman"/>
          <w:sz w:val="16"/>
          <w:szCs w:val="16"/>
        </w:rPr>
        <w:t>European Commission</w:t>
      </w:r>
      <w:r w:rsidR="00E5240C">
        <w:rPr>
          <w:rFonts w:cs="Times New Roman"/>
          <w:sz w:val="16"/>
          <w:szCs w:val="16"/>
        </w:rPr>
        <w:t xml:space="preserve"> (2025). </w:t>
      </w:r>
      <w:hyperlink r:id="rId204">
        <w:r w:rsidR="006F6630">
          <w:rPr>
            <w:rStyle w:val="Hyperlink"/>
            <w:rFonts w:cs="Times New Roman"/>
            <w:sz w:val="16"/>
            <w:szCs w:val="16"/>
          </w:rPr>
          <w:t>SME Performance Review - Annual report on European SMEs</w:t>
        </w:r>
      </w:hyperlink>
      <w:r w:rsidR="006F6630">
        <w:rPr>
          <w:sz w:val="16"/>
          <w:szCs w:val="16"/>
        </w:rPr>
        <w:t>.</w:t>
      </w:r>
    </w:p>
  </w:footnote>
  <w:footnote w:id="332">
    <w:p w14:paraId="248027A9" w14:textId="0A72374A"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The costs and benefits data in this annex are consistent with the data in annex 3. The preferred option includes the mitigating measures listed in </w:t>
      </w:r>
      <w:r w:rsidR="005F071C" w:rsidRPr="00720DA1">
        <w:rPr>
          <w:rFonts w:cs="Times New Roman"/>
          <w:sz w:val="16"/>
          <w:szCs w:val="16"/>
        </w:rPr>
        <w:t>S</w:t>
      </w:r>
      <w:r w:rsidRPr="00720DA1">
        <w:rPr>
          <w:rFonts w:cs="Times New Roman"/>
          <w:sz w:val="16"/>
          <w:szCs w:val="16"/>
        </w:rPr>
        <w:t xml:space="preserve">ection 4. </w:t>
      </w:r>
    </w:p>
  </w:footnote>
  <w:footnote w:id="333">
    <w:p w14:paraId="121ECFA2" w14:textId="77777777" w:rsidR="00E6269E" w:rsidRPr="0055471E" w:rsidRDefault="00E6269E" w:rsidP="00E6269E">
      <w:pPr>
        <w:pStyle w:val="FootnoteText"/>
        <w:rPr>
          <w:sz w:val="16"/>
          <w:szCs w:val="16"/>
          <w:lang w:val="en-IE"/>
        </w:rPr>
      </w:pPr>
      <w:r w:rsidRPr="0055471E">
        <w:rPr>
          <w:rStyle w:val="FootnoteReference"/>
          <w:sz w:val="16"/>
          <w:szCs w:val="16"/>
        </w:rPr>
        <w:footnoteRef/>
      </w:r>
      <w:r w:rsidRPr="0055471E">
        <w:rPr>
          <w:sz w:val="16"/>
          <w:szCs w:val="16"/>
        </w:rPr>
        <w:t xml:space="preserve"> </w:t>
      </w:r>
      <w:r w:rsidRPr="0055471E">
        <w:rPr>
          <w:rFonts w:cs="Times New Roman"/>
          <w:sz w:val="16"/>
          <w:szCs w:val="16"/>
        </w:rPr>
        <w:t xml:space="preserve">European Commission (2024)., </w:t>
      </w:r>
      <w:hyperlink r:id="rId205" w:history="1">
        <w:r w:rsidRPr="0055471E">
          <w:rPr>
            <w:rStyle w:val="Hyperlink"/>
            <w:rFonts w:cs="Times New Roman"/>
            <w:sz w:val="16"/>
            <w:szCs w:val="16"/>
          </w:rPr>
          <w:t>Commission Staff Working Document: Impact Assessment Report (Part 3), accompanying the document Communication from the Commission to the European Parliament, the Council, the European Economic and Social Committee and the Committee of the Regions: Securing our future - Europe's 2040 climate target and path to climate neutrality by 2050, building a sustainable, just and prosperous society</w:t>
        </w:r>
      </w:hyperlink>
      <w:r w:rsidRPr="0055471E">
        <w:rPr>
          <w:rFonts w:cs="Times New Roman"/>
          <w:sz w:val="16"/>
          <w:szCs w:val="16"/>
        </w:rPr>
        <w:t>, COM(2024) 63 final, pp.164-167.</w:t>
      </w:r>
    </w:p>
  </w:footnote>
  <w:footnote w:id="334">
    <w:p w14:paraId="3C093A0E" w14:textId="7EC2E57B" w:rsidR="00327FE6" w:rsidRPr="0055471E" w:rsidRDefault="00D15740">
      <w:pPr>
        <w:pStyle w:val="FootnoteText"/>
        <w:rPr>
          <w:rFonts w:cs="Times New Roman"/>
          <w:sz w:val="16"/>
          <w:szCs w:val="16"/>
        </w:rPr>
      </w:pPr>
      <w:r w:rsidRPr="0055471E">
        <w:rPr>
          <w:rStyle w:val="FootnoteReference"/>
          <w:rFonts w:cs="Times New Roman"/>
          <w:sz w:val="16"/>
          <w:szCs w:val="16"/>
        </w:rPr>
        <w:footnoteRef/>
      </w:r>
      <w:r w:rsidRPr="0055471E">
        <w:rPr>
          <w:rFonts w:cs="Times New Roman"/>
          <w:sz w:val="16"/>
          <w:szCs w:val="16"/>
        </w:rPr>
        <w:t xml:space="preserve"> </w:t>
      </w:r>
      <w:r w:rsidRPr="0055471E">
        <w:rPr>
          <w:sz w:val="16"/>
          <w:szCs w:val="16"/>
        </w:rPr>
        <w:t xml:space="preserve">Draghi, M. (2024). </w:t>
      </w:r>
      <w:hyperlink r:id="rId206" w:history="1">
        <w:r w:rsidRPr="0055471E">
          <w:rPr>
            <w:rStyle w:val="Hyperlink"/>
            <w:sz w:val="16"/>
            <w:szCs w:val="16"/>
          </w:rPr>
          <w:t>The future of European competitivene</w:t>
        </w:r>
        <w:bookmarkStart w:id="523" w:name="_Hlt222240936"/>
        <w:bookmarkStart w:id="524" w:name="_Hlt222240937"/>
        <w:r w:rsidRPr="0055471E">
          <w:rPr>
            <w:rStyle w:val="Hyperlink"/>
            <w:sz w:val="16"/>
            <w:szCs w:val="16"/>
          </w:rPr>
          <w:t>s</w:t>
        </w:r>
        <w:bookmarkEnd w:id="523"/>
        <w:bookmarkEnd w:id="524"/>
        <w:r w:rsidRPr="0055471E">
          <w:rPr>
            <w:rStyle w:val="Hyperlink"/>
            <w:sz w:val="16"/>
            <w:szCs w:val="16"/>
          </w:rPr>
          <w:t>s: In‑depth analysis and recommendations (Part B)</w:t>
        </w:r>
      </w:hyperlink>
      <w:r w:rsidRPr="0055471E">
        <w:rPr>
          <w:sz w:val="16"/>
          <w:szCs w:val="16"/>
        </w:rPr>
        <w:t xml:space="preserve">, </w:t>
      </w:r>
      <w:r w:rsidRPr="0055471E">
        <w:rPr>
          <w:rFonts w:eastAsia="Times New Roman" w:cs="Times New Roman"/>
          <w:sz w:val="16"/>
          <w:szCs w:val="16"/>
        </w:rPr>
        <w:t xml:space="preserve">p. </w:t>
      </w:r>
      <w:r w:rsidRPr="0055471E">
        <w:rPr>
          <w:rFonts w:cs="Times New Roman"/>
          <w:sz w:val="16"/>
          <w:szCs w:val="16"/>
        </w:rPr>
        <w:t xml:space="preserve">99. </w:t>
      </w:r>
    </w:p>
  </w:footnote>
  <w:footnote w:id="335">
    <w:p w14:paraId="2F14E211" w14:textId="446D619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BE09CD" w:rsidRPr="00720DA1">
        <w:rPr>
          <w:rFonts w:cs="Times New Roman"/>
          <w:sz w:val="16"/>
          <w:szCs w:val="16"/>
        </w:rPr>
        <w:t>European Commission (2019).</w:t>
      </w:r>
      <w:r w:rsidRPr="00720DA1">
        <w:rPr>
          <w:rFonts w:cs="Times New Roman"/>
          <w:sz w:val="16"/>
          <w:szCs w:val="16"/>
        </w:rPr>
        <w:t xml:space="preserve"> </w:t>
      </w:r>
      <w:hyperlink r:id="rId207" w:history="1">
        <w:r w:rsidRPr="00720DA1">
          <w:rPr>
            <w:rStyle w:val="Hyperlink"/>
            <w:rFonts w:eastAsia="Times New Roman" w:cs="Times New Roman"/>
            <w:color w:val="467886"/>
            <w:sz w:val="16"/>
            <w:szCs w:val="16"/>
          </w:rPr>
          <w:t>Masterplan for a competitive transfor</w:t>
        </w:r>
        <w:bookmarkStart w:id="533" w:name="_Hlt219453051"/>
        <w:bookmarkStart w:id="534" w:name="_Hlt219453052"/>
        <w:r w:rsidRPr="00720DA1">
          <w:rPr>
            <w:rStyle w:val="Hyperlink"/>
            <w:rFonts w:eastAsia="Times New Roman" w:cs="Times New Roman"/>
            <w:color w:val="467886"/>
            <w:sz w:val="16"/>
            <w:szCs w:val="16"/>
          </w:rPr>
          <w:t>m</w:t>
        </w:r>
        <w:bookmarkEnd w:id="533"/>
        <w:bookmarkEnd w:id="534"/>
        <w:r w:rsidRPr="00720DA1">
          <w:rPr>
            <w:rStyle w:val="Hyperlink"/>
            <w:rFonts w:eastAsia="Times New Roman" w:cs="Times New Roman"/>
            <w:color w:val="467886"/>
            <w:sz w:val="16"/>
            <w:szCs w:val="16"/>
          </w:rPr>
          <w:t>ation of EU energy-intensive industries enabling a climate-neutral, circular economy by 2050</w:t>
        </w:r>
      </w:hyperlink>
      <w:r w:rsidRPr="00720DA1">
        <w:rPr>
          <w:rFonts w:cs="Times New Roman"/>
          <w:sz w:val="16"/>
          <w:szCs w:val="16"/>
        </w:rPr>
        <w:t>.</w:t>
      </w:r>
    </w:p>
  </w:footnote>
  <w:footnote w:id="336">
    <w:p w14:paraId="354BB631" w14:textId="1D908C00"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A033E" w:rsidRPr="00720DA1">
        <w:rPr>
          <w:rFonts w:cs="Times New Roman"/>
          <w:sz w:val="16"/>
          <w:szCs w:val="16"/>
        </w:rPr>
        <w:t>European Commission (2021)</w:t>
      </w:r>
      <w:r w:rsidR="0092474B">
        <w:rPr>
          <w:rFonts w:cs="Times New Roman"/>
          <w:sz w:val="16"/>
          <w:szCs w:val="16"/>
        </w:rPr>
        <w:t>.</w:t>
      </w:r>
      <w:r w:rsidR="007A033E" w:rsidRPr="00720DA1">
        <w:rPr>
          <w:rFonts w:cs="Times New Roman"/>
          <w:sz w:val="16"/>
          <w:szCs w:val="16"/>
        </w:rPr>
        <w:t>.</w:t>
      </w:r>
      <w:r w:rsidRPr="00720DA1">
        <w:rPr>
          <w:rFonts w:cs="Times New Roman"/>
          <w:sz w:val="16"/>
          <w:szCs w:val="16"/>
        </w:rPr>
        <w:t xml:space="preserve"> </w:t>
      </w:r>
      <w:hyperlink r:id="rId208" w:history="1">
        <w:r w:rsidR="000A6FD2" w:rsidRPr="00720DA1">
          <w:rPr>
            <w:rStyle w:val="Hyperlink"/>
            <w:rFonts w:cs="Times New Roman"/>
            <w:sz w:val="16"/>
            <w:szCs w:val="16"/>
          </w:rPr>
          <w:t xml:space="preserve">Commission Staff Working Document. </w:t>
        </w:r>
        <w:r w:rsidRPr="00720DA1">
          <w:rPr>
            <w:rStyle w:val="Hyperlink"/>
            <w:rFonts w:cs="Times New Roman"/>
            <w:sz w:val="16"/>
            <w:szCs w:val="16"/>
          </w:rPr>
          <w:t>For a resilient, innovative, sustainable and digital energy-intensive industries ecosystem:</w:t>
        </w:r>
        <w:r w:rsidR="007A033E" w:rsidRPr="00720DA1">
          <w:rPr>
            <w:rStyle w:val="Hyperlink"/>
            <w:rFonts w:cs="Times New Roman"/>
            <w:sz w:val="16"/>
            <w:szCs w:val="16"/>
          </w:rPr>
          <w:t xml:space="preserve"> </w:t>
        </w:r>
        <w:r w:rsidRPr="00720DA1">
          <w:rPr>
            <w:rStyle w:val="Hyperlink"/>
            <w:rFonts w:cs="Times New Roman"/>
            <w:sz w:val="16"/>
            <w:szCs w:val="16"/>
          </w:rPr>
          <w:t>Scenarios for a transition pathway</w:t>
        </w:r>
      </w:hyperlink>
      <w:r w:rsidR="0092474B">
        <w:rPr>
          <w:rFonts w:cs="Times New Roman"/>
          <w:sz w:val="16"/>
          <w:szCs w:val="16"/>
        </w:rPr>
        <w:t>,</w:t>
      </w:r>
      <w:r w:rsidR="007A033E" w:rsidRPr="00720DA1">
        <w:rPr>
          <w:rFonts w:cs="Times New Roman"/>
          <w:sz w:val="16"/>
          <w:szCs w:val="16"/>
        </w:rPr>
        <w:t xml:space="preserve"> </w:t>
      </w:r>
      <w:r w:rsidR="000A6FD2" w:rsidRPr="00720DA1">
        <w:rPr>
          <w:rFonts w:cs="Times New Roman"/>
          <w:sz w:val="16"/>
          <w:szCs w:val="16"/>
        </w:rPr>
        <w:t>SWD(2021) 277 final.</w:t>
      </w:r>
    </w:p>
  </w:footnote>
  <w:footnote w:id="337">
    <w:p w14:paraId="3499466D" w14:textId="6065035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JRC</w:t>
      </w:r>
      <w:r w:rsidR="00D84214">
        <w:rPr>
          <w:rFonts w:cs="Times New Roman"/>
          <w:sz w:val="16"/>
          <w:szCs w:val="16"/>
        </w:rPr>
        <w:t xml:space="preserve"> (2025). </w:t>
      </w:r>
      <w:hyperlink r:id="rId209" w:history="1">
        <w:r w:rsidR="00187AF0" w:rsidRPr="003B59E4">
          <w:rPr>
            <w:rStyle w:val="Hyperlink"/>
            <w:rFonts w:cs="Times New Roman"/>
            <w:sz w:val="16"/>
            <w:szCs w:val="16"/>
          </w:rPr>
          <w:t>Energy and Industry Geography Lab (EIGL</w:t>
        </w:r>
      </w:hyperlink>
      <w:r w:rsidR="003B59E4">
        <w:rPr>
          <w:rFonts w:cs="Times New Roman"/>
          <w:sz w:val="16"/>
          <w:szCs w:val="16"/>
        </w:rPr>
        <w:t>)</w:t>
      </w:r>
      <w:r w:rsidRPr="00720DA1">
        <w:rPr>
          <w:rFonts w:cs="Times New Roman"/>
          <w:sz w:val="16"/>
          <w:szCs w:val="16"/>
        </w:rPr>
        <w:t>.</w:t>
      </w:r>
    </w:p>
  </w:footnote>
  <w:footnote w:id="338">
    <w:p w14:paraId="3B440758" w14:textId="49D7419D" w:rsidR="008607C6" w:rsidRPr="00720DA1" w:rsidRDefault="00CA15B8">
      <w:pPr>
        <w:pStyle w:val="FootnoteText"/>
        <w:rPr>
          <w:sz w:val="16"/>
          <w:szCs w:val="16"/>
          <w:lang w:val="en-IE"/>
        </w:rPr>
      </w:pPr>
      <w:r w:rsidRPr="00720DA1">
        <w:rPr>
          <w:sz w:val="16"/>
          <w:szCs w:val="16"/>
          <w:vertAlign w:val="superscript"/>
        </w:rPr>
        <w:footnoteRef/>
      </w:r>
      <w:r w:rsidRPr="00720DA1">
        <w:rPr>
          <w:sz w:val="16"/>
          <w:szCs w:val="16"/>
        </w:rPr>
        <w:t xml:space="preserve"> European Aluminium (2024). </w:t>
      </w:r>
      <w:hyperlink r:id="rId210" w:history="1">
        <w:r w:rsidR="00B50D15" w:rsidRPr="00720DA1">
          <w:rPr>
            <w:rStyle w:val="Hyperlink"/>
            <w:sz w:val="16"/>
            <w:szCs w:val="16"/>
          </w:rPr>
          <w:t>The Strategic Role of European Aluminium</w:t>
        </w:r>
      </w:hyperlink>
      <w:r w:rsidRPr="00720DA1">
        <w:rPr>
          <w:sz w:val="16"/>
          <w:szCs w:val="16"/>
        </w:rPr>
        <w:t>.</w:t>
      </w:r>
    </w:p>
  </w:footnote>
  <w:footnote w:id="339">
    <w:p w14:paraId="772F8827" w14:textId="3B809F2B"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1A2040" w:rsidRPr="00720DA1">
        <w:rPr>
          <w:rFonts w:cs="Times New Roman"/>
          <w:sz w:val="16"/>
          <w:szCs w:val="16"/>
        </w:rPr>
        <w:t xml:space="preserve"> </w:t>
      </w:r>
      <w:r w:rsidR="00CA15B8" w:rsidRPr="00720DA1">
        <w:rPr>
          <w:rFonts w:eastAsia="Times New Roman" w:cs="Times New Roman"/>
          <w:sz w:val="16"/>
          <w:szCs w:val="16"/>
        </w:rPr>
        <w:t>European</w:t>
      </w:r>
      <w:r w:rsidR="001A2040" w:rsidRPr="00720DA1">
        <w:rPr>
          <w:sz w:val="16"/>
          <w:szCs w:val="16"/>
        </w:rPr>
        <w:t xml:space="preserve"> Aluminium</w:t>
      </w:r>
      <w:r w:rsidR="00DE57F8" w:rsidRPr="00720DA1">
        <w:rPr>
          <w:sz w:val="16"/>
          <w:szCs w:val="16"/>
        </w:rPr>
        <w:t xml:space="preserve"> (2024). </w:t>
      </w:r>
      <w:hyperlink r:id="rId211" w:history="1">
        <w:r w:rsidR="00DE57F8" w:rsidRPr="00720DA1">
          <w:rPr>
            <w:rStyle w:val="Hyperlink"/>
            <w:sz w:val="16"/>
            <w:szCs w:val="16"/>
          </w:rPr>
          <w:t>The Strategic Role of European Aluminium</w:t>
        </w:r>
      </w:hyperlink>
      <w:r w:rsidR="00DE57F8" w:rsidRPr="00720DA1">
        <w:rPr>
          <w:sz w:val="16"/>
          <w:szCs w:val="16"/>
        </w:rPr>
        <w:t>.</w:t>
      </w:r>
    </w:p>
  </w:footnote>
  <w:footnote w:id="340">
    <w:p w14:paraId="75874816" w14:textId="0C396E9C" w:rsidR="00020031" w:rsidRPr="00720DA1" w:rsidRDefault="00020031" w:rsidP="00CE1615">
      <w:pPr>
        <w:rPr>
          <w:rFonts w:eastAsia="Helvetica" w:cs="Times New Roman"/>
          <w:color w:val="212529"/>
          <w:sz w:val="16"/>
          <w:szCs w:val="16"/>
        </w:rPr>
      </w:pPr>
      <w:r w:rsidRPr="00720DA1">
        <w:rPr>
          <w:rStyle w:val="FootnoteReference"/>
          <w:rFonts w:cs="Times New Roman"/>
          <w:sz w:val="16"/>
          <w:szCs w:val="16"/>
        </w:rPr>
        <w:footnoteRef/>
      </w:r>
      <w:r w:rsidR="00680CF5" w:rsidRPr="00720DA1">
        <w:rPr>
          <w:sz w:val="16"/>
          <w:szCs w:val="16"/>
        </w:rPr>
        <w:t xml:space="preserve"> </w:t>
      </w:r>
      <w:r w:rsidR="008A613B" w:rsidRPr="00720DA1">
        <w:rPr>
          <w:sz w:val="16"/>
          <w:szCs w:val="16"/>
        </w:rPr>
        <w:t>JRC</w:t>
      </w:r>
      <w:r w:rsidR="002739D4" w:rsidRPr="00720DA1">
        <w:rPr>
          <w:sz w:val="16"/>
          <w:szCs w:val="16"/>
        </w:rPr>
        <w:t xml:space="preserve"> </w:t>
      </w:r>
      <w:r w:rsidR="00CA15B8" w:rsidRPr="00720DA1">
        <w:rPr>
          <w:sz w:val="16"/>
          <w:szCs w:val="16"/>
        </w:rPr>
        <w:t>a</w:t>
      </w:r>
      <w:r w:rsidR="002739D4" w:rsidRPr="00720DA1">
        <w:rPr>
          <w:sz w:val="16"/>
          <w:szCs w:val="16"/>
        </w:rPr>
        <w:t>nalysis based on JRC IDEES 2026 Database</w:t>
      </w:r>
      <w:r w:rsidR="00CA15B8" w:rsidRPr="00720DA1">
        <w:rPr>
          <w:sz w:val="16"/>
          <w:szCs w:val="16"/>
        </w:rPr>
        <w:t>.</w:t>
      </w:r>
    </w:p>
  </w:footnote>
  <w:footnote w:id="341">
    <w:p w14:paraId="37C79505" w14:textId="41E099A6"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F745BB" w:rsidRPr="00720DA1">
        <w:rPr>
          <w:rFonts w:cs="Times New Roman"/>
          <w:sz w:val="16"/>
          <w:szCs w:val="16"/>
        </w:rPr>
        <w:t>Eurostat</w:t>
      </w:r>
      <w:r w:rsidR="0075744C" w:rsidRPr="00720DA1">
        <w:rPr>
          <w:rFonts w:cs="Times New Roman"/>
          <w:sz w:val="16"/>
          <w:szCs w:val="16"/>
        </w:rPr>
        <w:t xml:space="preserve"> (2025).</w:t>
      </w:r>
      <w:r w:rsidR="00F745BB" w:rsidRPr="00720DA1">
        <w:rPr>
          <w:rFonts w:cs="Times New Roman"/>
          <w:sz w:val="16"/>
          <w:szCs w:val="16"/>
        </w:rPr>
        <w:t xml:space="preserve"> </w:t>
      </w:r>
      <w:hyperlink r:id="rId212" w:tgtFrame="_blank" w:history="1">
        <w:r w:rsidRPr="00720DA1">
          <w:rPr>
            <w:rStyle w:val="Hyperlink"/>
            <w:rFonts w:cs="Times New Roman"/>
            <w:sz w:val="16"/>
            <w:szCs w:val="16"/>
          </w:rPr>
          <w:t xml:space="preserve">EU recorded a trade deficit of €11.1 billion in </w:t>
        </w:r>
        <w:bookmarkStart w:id="542" w:name="_Hlt219453196"/>
        <w:bookmarkStart w:id="543" w:name="_Hlt219453197"/>
        <w:r w:rsidRPr="00720DA1">
          <w:rPr>
            <w:rStyle w:val="Hyperlink"/>
            <w:rFonts w:cs="Times New Roman"/>
            <w:sz w:val="16"/>
            <w:szCs w:val="16"/>
          </w:rPr>
          <w:t>a</w:t>
        </w:r>
        <w:bookmarkEnd w:id="542"/>
        <w:bookmarkEnd w:id="543"/>
        <w:r w:rsidRPr="00720DA1">
          <w:rPr>
            <w:rStyle w:val="Hyperlink"/>
            <w:rFonts w:cs="Times New Roman"/>
            <w:sz w:val="16"/>
            <w:szCs w:val="16"/>
          </w:rPr>
          <w:t>luminium</w:t>
        </w:r>
        <w:r w:rsidR="0075744C" w:rsidRPr="00720DA1">
          <w:rPr>
            <w:rStyle w:val="Hyperlink"/>
            <w:rFonts w:cs="Times New Roman"/>
            <w:sz w:val="16"/>
            <w:szCs w:val="16"/>
          </w:rPr>
          <w:t>.</w:t>
        </w:r>
      </w:hyperlink>
    </w:p>
  </w:footnote>
  <w:footnote w:id="342">
    <w:p w14:paraId="7EACADFD" w14:textId="559E207F"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5744C" w:rsidRPr="00720DA1">
        <w:rPr>
          <w:rFonts w:cs="Times New Roman"/>
          <w:sz w:val="16"/>
          <w:szCs w:val="16"/>
        </w:rPr>
        <w:t>European Commission (2025).</w:t>
      </w:r>
      <w:r w:rsidRPr="00720DA1">
        <w:rPr>
          <w:rFonts w:cs="Times New Roman"/>
          <w:sz w:val="16"/>
          <w:szCs w:val="16"/>
        </w:rPr>
        <w:t xml:space="preserve"> </w:t>
      </w:r>
      <w:hyperlink r:id="rId213" w:history="1">
        <w:r w:rsidRPr="00720DA1">
          <w:rPr>
            <w:rStyle w:val="Hyperlink"/>
            <w:rFonts w:cs="Times New Roman"/>
            <w:sz w:val="16"/>
            <w:szCs w:val="16"/>
          </w:rPr>
          <w:t>A European Steel and Metals Action Plan</w:t>
        </w:r>
      </w:hyperlink>
      <w:r w:rsidRPr="00720DA1">
        <w:rPr>
          <w:rFonts w:cs="Times New Roman"/>
          <w:sz w:val="16"/>
          <w:szCs w:val="16"/>
        </w:rPr>
        <w:t>, COM(2025) 125 final, 19 March 2025.</w:t>
      </w:r>
    </w:p>
  </w:footnote>
  <w:footnote w:id="343">
    <w:p w14:paraId="419BC68F" w14:textId="5E503DAC"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5744C" w:rsidRPr="00720DA1">
        <w:rPr>
          <w:rFonts w:cs="Times New Roman"/>
          <w:sz w:val="16"/>
          <w:szCs w:val="16"/>
        </w:rPr>
        <w:t>European Commission (2025).</w:t>
      </w:r>
      <w:r w:rsidRPr="00720DA1">
        <w:rPr>
          <w:rFonts w:cs="Times New Roman"/>
          <w:sz w:val="16"/>
          <w:szCs w:val="16"/>
        </w:rPr>
        <w:t xml:space="preserve"> </w:t>
      </w:r>
      <w:hyperlink r:id="rId214" w:history="1">
        <w:r w:rsidRPr="00720DA1">
          <w:rPr>
            <w:rStyle w:val="Hyperlink"/>
            <w:rFonts w:cs="Times New Roman"/>
            <w:sz w:val="16"/>
            <w:szCs w:val="16"/>
          </w:rPr>
          <w:t>A European Steel and Metals Action Plan</w:t>
        </w:r>
      </w:hyperlink>
      <w:r w:rsidRPr="00720DA1">
        <w:rPr>
          <w:rFonts w:cs="Times New Roman"/>
          <w:sz w:val="16"/>
          <w:szCs w:val="16"/>
        </w:rPr>
        <w:t>, COM(2025) 125 final, 19 March 2025.</w:t>
      </w:r>
    </w:p>
  </w:footnote>
  <w:footnote w:id="344">
    <w:p w14:paraId="101D3B56" w14:textId="2389283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5744C" w:rsidRPr="00720DA1">
        <w:rPr>
          <w:rFonts w:cs="Times New Roman"/>
          <w:sz w:val="16"/>
          <w:szCs w:val="16"/>
        </w:rPr>
        <w:t>European Commission (2025).</w:t>
      </w:r>
      <w:r w:rsidRPr="00720DA1">
        <w:rPr>
          <w:rFonts w:cs="Times New Roman"/>
          <w:sz w:val="16"/>
          <w:szCs w:val="16"/>
        </w:rPr>
        <w:t xml:space="preserve"> </w:t>
      </w:r>
      <w:hyperlink r:id="rId215" w:history="1">
        <w:r w:rsidRPr="00720DA1">
          <w:rPr>
            <w:rStyle w:val="Hyperlink"/>
            <w:rFonts w:cs="Times New Roman"/>
            <w:sz w:val="16"/>
            <w:szCs w:val="16"/>
          </w:rPr>
          <w:t>A European Steel and Metals Action Plan</w:t>
        </w:r>
      </w:hyperlink>
      <w:r w:rsidRPr="00720DA1">
        <w:rPr>
          <w:rFonts w:cs="Times New Roman"/>
          <w:sz w:val="16"/>
          <w:szCs w:val="16"/>
        </w:rPr>
        <w:t>, COM(2025) 125 final, 19 March 2025.</w:t>
      </w:r>
    </w:p>
  </w:footnote>
  <w:footnote w:id="345">
    <w:p w14:paraId="4C7A0E7C" w14:textId="3F60D61A"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206A8C" w:rsidRPr="00206A8C">
        <w:rPr>
          <w:rFonts w:cs="Times New Roman"/>
          <w:sz w:val="16"/>
          <w:szCs w:val="16"/>
        </w:rPr>
        <w:t xml:space="preserve">Eurometaux </w:t>
      </w:r>
      <w:r w:rsidR="000E17BA">
        <w:rPr>
          <w:rFonts w:cs="Times New Roman"/>
          <w:sz w:val="16"/>
          <w:szCs w:val="16"/>
        </w:rPr>
        <w:t xml:space="preserve">and KU Leuven </w:t>
      </w:r>
      <w:r w:rsidR="00206A8C" w:rsidRPr="00206A8C">
        <w:rPr>
          <w:rFonts w:cs="Times New Roman"/>
          <w:sz w:val="16"/>
          <w:szCs w:val="16"/>
        </w:rPr>
        <w:t xml:space="preserve">(2022). </w:t>
      </w:r>
      <w:hyperlink r:id="rId216" w:history="1">
        <w:r w:rsidR="00206A8C">
          <w:rPr>
            <w:rStyle w:val="Hyperlink"/>
            <w:sz w:val="16"/>
            <w:szCs w:val="16"/>
          </w:rPr>
          <w:t>Metals for Clean Energy: Pathways to solving Europe’s raw materials challenge.</w:t>
        </w:r>
      </w:hyperlink>
    </w:p>
  </w:footnote>
  <w:footnote w:id="346">
    <w:p w14:paraId="018A8663" w14:textId="12550A3A" w:rsidR="00020031" w:rsidRPr="00720DA1" w:rsidRDefault="00020031" w:rsidP="00CE1615">
      <w:pPr>
        <w:pStyle w:val="FootnoteText"/>
        <w:rPr>
          <w:rFonts w:cs="Times New Roman"/>
          <w:sz w:val="16"/>
          <w:szCs w:val="16"/>
          <w:lang w:val="en-IE"/>
        </w:rPr>
      </w:pPr>
      <w:r w:rsidRPr="00720DA1">
        <w:rPr>
          <w:rStyle w:val="FootnoteReference"/>
          <w:rFonts w:cs="Times New Roman"/>
          <w:sz w:val="16"/>
          <w:szCs w:val="16"/>
        </w:rPr>
        <w:footnoteRef/>
      </w:r>
      <w:r w:rsidR="004A5EE4" w:rsidRPr="00720DA1">
        <w:rPr>
          <w:rFonts w:cs="Times New Roman"/>
          <w:sz w:val="16"/>
          <w:szCs w:val="16"/>
        </w:rPr>
        <w:t xml:space="preserve"> </w:t>
      </w:r>
      <w:r w:rsidR="00BA06A3" w:rsidRPr="00720DA1">
        <w:rPr>
          <w:sz w:val="16"/>
          <w:szCs w:val="16"/>
        </w:rPr>
        <w:t xml:space="preserve">European Aluminium (2025). </w:t>
      </w:r>
      <w:bookmarkStart w:id="544" w:name="_Hlt219454467"/>
      <w:bookmarkStart w:id="545" w:name="_Hlt219454468"/>
      <w:r w:rsidR="004A5EE4" w:rsidRPr="00720DA1">
        <w:rPr>
          <w:sz w:val="16"/>
          <w:szCs w:val="16"/>
        </w:rPr>
        <w:fldChar w:fldCharType="begin"/>
      </w:r>
      <w:r w:rsidR="004A5EE4" w:rsidRPr="00720DA1">
        <w:rPr>
          <w:sz w:val="16"/>
          <w:szCs w:val="16"/>
        </w:rPr>
        <w:instrText>HYPERLINK "https://european-aluminium.eu/wp-content/uploads/2025/07/Environmental-Profile-Report_2024-V20.pdf"</w:instrText>
      </w:r>
      <w:r w:rsidR="004A5EE4" w:rsidRPr="00720DA1">
        <w:rPr>
          <w:sz w:val="16"/>
          <w:szCs w:val="16"/>
        </w:rPr>
      </w:r>
      <w:r w:rsidR="004A5EE4" w:rsidRPr="00720DA1">
        <w:rPr>
          <w:sz w:val="16"/>
          <w:szCs w:val="16"/>
        </w:rPr>
        <w:fldChar w:fldCharType="separate"/>
      </w:r>
      <w:r w:rsidR="004A5EE4" w:rsidRPr="00720DA1">
        <w:rPr>
          <w:rStyle w:val="Hyperlink"/>
          <w:sz w:val="16"/>
          <w:szCs w:val="16"/>
        </w:rPr>
        <w:t>Environmental Profile Report 2024 V.2.0</w:t>
      </w:r>
      <w:r w:rsidR="006D3838" w:rsidRPr="00720DA1">
        <w:rPr>
          <w:rStyle w:val="Hyperlink"/>
          <w:sz w:val="16"/>
          <w:szCs w:val="16"/>
        </w:rPr>
        <w:t xml:space="preserve"> – Executive Summary</w:t>
      </w:r>
      <w:r w:rsidR="004A5EE4" w:rsidRPr="00720DA1">
        <w:rPr>
          <w:sz w:val="16"/>
          <w:szCs w:val="16"/>
        </w:rPr>
        <w:fldChar w:fldCharType="end"/>
      </w:r>
      <w:bookmarkEnd w:id="544"/>
      <w:bookmarkEnd w:id="545"/>
      <w:r w:rsidR="00BA06A3" w:rsidRPr="00720DA1">
        <w:rPr>
          <w:sz w:val="16"/>
          <w:szCs w:val="16"/>
        </w:rPr>
        <w:t>.</w:t>
      </w:r>
    </w:p>
  </w:footnote>
  <w:footnote w:id="347">
    <w:p w14:paraId="755E8769" w14:textId="77777777" w:rsidR="004144F2" w:rsidRDefault="004144F2" w:rsidP="004144F2">
      <w:pPr>
        <w:pStyle w:val="FootnoteText"/>
      </w:pPr>
      <w:r w:rsidRPr="00723E67">
        <w:rPr>
          <w:rStyle w:val="FootnoteReference"/>
          <w:sz w:val="16"/>
          <w:szCs w:val="16"/>
        </w:rPr>
        <w:footnoteRef/>
      </w:r>
      <w:r>
        <w:t xml:space="preserve"> </w:t>
      </w:r>
      <w:r w:rsidRPr="00413C92">
        <w:rPr>
          <w:rFonts w:cs="Times New Roman"/>
          <w:sz w:val="16"/>
          <w:szCs w:val="16"/>
        </w:rPr>
        <w:t xml:space="preserve">JRC (2026). </w:t>
      </w:r>
      <w:hyperlink r:id="rId217" w:history="1">
        <w:r w:rsidRPr="00413C92">
          <w:rPr>
            <w:rStyle w:val="Hyperlink"/>
            <w:rFonts w:cs="Times New Roman"/>
            <w:sz w:val="16"/>
            <w:szCs w:val="16"/>
          </w:rPr>
          <w:t>Mapping the transition of the EU aluminium industry to carbon neutrality</w:t>
        </w:r>
      </w:hyperlink>
      <w:r>
        <w:rPr>
          <w:rFonts w:cs="Times New Roman"/>
          <w:sz w:val="16"/>
          <w:szCs w:val="16"/>
        </w:rPr>
        <w:t>.</w:t>
      </w:r>
    </w:p>
  </w:footnote>
  <w:footnote w:id="348">
    <w:p w14:paraId="3A52478D" w14:textId="1DC48518" w:rsidR="00020031" w:rsidRPr="00720DA1" w:rsidRDefault="00020031" w:rsidP="00CE1615">
      <w:pPr>
        <w:rPr>
          <w:rFonts w:eastAsia="Helvetica" w:cs="Times New Roman"/>
          <w:color w:val="212529"/>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10B50" w:rsidRPr="00720DA1">
        <w:rPr>
          <w:rFonts w:cs="Times New Roman"/>
          <w:sz w:val="16"/>
          <w:szCs w:val="16"/>
        </w:rPr>
        <w:t>European</w:t>
      </w:r>
      <w:r w:rsidR="00710B50" w:rsidRPr="00720DA1">
        <w:rPr>
          <w:sz w:val="16"/>
          <w:szCs w:val="16"/>
        </w:rPr>
        <w:t xml:space="preserve"> </w:t>
      </w:r>
      <w:r w:rsidR="00710B50" w:rsidRPr="00720DA1">
        <w:rPr>
          <w:rFonts w:cs="Times New Roman"/>
          <w:sz w:val="16"/>
          <w:szCs w:val="16"/>
        </w:rPr>
        <w:t>Aluminium (2024).</w:t>
      </w:r>
      <w:r w:rsidR="00710B50" w:rsidRPr="00720DA1">
        <w:rPr>
          <w:sz w:val="16"/>
          <w:szCs w:val="16"/>
        </w:rPr>
        <w:t xml:space="preserve"> </w:t>
      </w:r>
      <w:hyperlink r:id="rId218" w:history="1">
        <w:r w:rsidR="00710B50" w:rsidRPr="00720DA1">
          <w:rPr>
            <w:rStyle w:val="Hyperlink"/>
            <w:sz w:val="16"/>
            <w:szCs w:val="16"/>
          </w:rPr>
          <w:t xml:space="preserve">Our </w:t>
        </w:r>
        <w:r w:rsidR="00710B50" w:rsidRPr="00720DA1">
          <w:rPr>
            <w:rStyle w:val="Hyperlink"/>
            <w:rFonts w:cs="Times New Roman"/>
            <w:sz w:val="16"/>
            <w:szCs w:val="16"/>
          </w:rPr>
          <w:t>Policy</w:t>
        </w:r>
        <w:r w:rsidR="00710B50" w:rsidRPr="00720DA1">
          <w:rPr>
            <w:rStyle w:val="Hyperlink"/>
            <w:sz w:val="16"/>
            <w:szCs w:val="16"/>
          </w:rPr>
          <w:t xml:space="preserve"> Recommendations </w:t>
        </w:r>
        <w:r w:rsidR="00710B50" w:rsidRPr="00720DA1">
          <w:rPr>
            <w:rStyle w:val="Hyperlink"/>
            <w:rFonts w:cs="Times New Roman"/>
            <w:sz w:val="16"/>
            <w:szCs w:val="16"/>
          </w:rPr>
          <w:t>for</w:t>
        </w:r>
        <w:r w:rsidR="00710B50" w:rsidRPr="00720DA1">
          <w:rPr>
            <w:rStyle w:val="Hyperlink"/>
            <w:sz w:val="16"/>
            <w:szCs w:val="16"/>
          </w:rPr>
          <w:t xml:space="preserve"> </w:t>
        </w:r>
        <w:r w:rsidR="00710B50" w:rsidRPr="00720DA1">
          <w:rPr>
            <w:rStyle w:val="Hyperlink"/>
            <w:rFonts w:cs="Times New Roman"/>
            <w:sz w:val="16"/>
            <w:szCs w:val="16"/>
          </w:rPr>
          <w:t>an</w:t>
        </w:r>
        <w:r w:rsidR="00710B50" w:rsidRPr="00720DA1">
          <w:rPr>
            <w:rStyle w:val="Hyperlink"/>
            <w:sz w:val="16"/>
            <w:szCs w:val="16"/>
          </w:rPr>
          <w:t xml:space="preserve"> </w:t>
        </w:r>
        <w:r w:rsidR="00710B50" w:rsidRPr="00720DA1">
          <w:rPr>
            <w:rStyle w:val="Hyperlink"/>
            <w:rFonts w:cs="Times New Roman"/>
            <w:sz w:val="16"/>
            <w:szCs w:val="16"/>
          </w:rPr>
          <w:t>Ambitious</w:t>
        </w:r>
        <w:r w:rsidR="00710B50" w:rsidRPr="00720DA1">
          <w:rPr>
            <w:rStyle w:val="Hyperlink"/>
            <w:sz w:val="16"/>
            <w:szCs w:val="16"/>
          </w:rPr>
          <w:t xml:space="preserve"> </w:t>
        </w:r>
        <w:r w:rsidR="00710B50" w:rsidRPr="00720DA1">
          <w:rPr>
            <w:rStyle w:val="Hyperlink"/>
            <w:rFonts w:cs="Times New Roman"/>
            <w:sz w:val="16"/>
            <w:szCs w:val="16"/>
          </w:rPr>
          <w:t>Clean</w:t>
        </w:r>
        <w:r w:rsidR="00710B50" w:rsidRPr="00720DA1">
          <w:rPr>
            <w:rStyle w:val="Hyperlink"/>
            <w:sz w:val="16"/>
            <w:szCs w:val="16"/>
          </w:rPr>
          <w:t xml:space="preserve"> </w:t>
        </w:r>
        <w:r w:rsidR="00710B50" w:rsidRPr="00720DA1">
          <w:rPr>
            <w:rStyle w:val="Hyperlink"/>
            <w:rFonts w:cs="Times New Roman"/>
            <w:sz w:val="16"/>
            <w:szCs w:val="16"/>
          </w:rPr>
          <w:t>Industrial</w:t>
        </w:r>
        <w:r w:rsidR="00710B50" w:rsidRPr="00720DA1">
          <w:rPr>
            <w:rStyle w:val="Hyperlink"/>
            <w:sz w:val="16"/>
            <w:szCs w:val="16"/>
          </w:rPr>
          <w:t xml:space="preserve"> </w:t>
        </w:r>
        <w:r w:rsidR="00710B50" w:rsidRPr="00720DA1">
          <w:rPr>
            <w:rStyle w:val="Hyperlink"/>
            <w:rFonts w:cs="Times New Roman"/>
            <w:sz w:val="16"/>
            <w:szCs w:val="16"/>
          </w:rPr>
          <w:t>Deal</w:t>
        </w:r>
        <w:r w:rsidR="00710B50" w:rsidRPr="00720DA1">
          <w:rPr>
            <w:rStyle w:val="Hyperlink"/>
            <w:sz w:val="16"/>
            <w:szCs w:val="16"/>
          </w:rPr>
          <w:t xml:space="preserve"> </w:t>
        </w:r>
        <w:r w:rsidR="00710B50" w:rsidRPr="00720DA1">
          <w:rPr>
            <w:rStyle w:val="Hyperlink"/>
            <w:rFonts w:cs="Times New Roman"/>
            <w:sz w:val="16"/>
            <w:szCs w:val="16"/>
          </w:rPr>
          <w:t>and</w:t>
        </w:r>
        <w:r w:rsidR="00710B50" w:rsidRPr="00720DA1">
          <w:rPr>
            <w:rStyle w:val="Hyperlink"/>
            <w:sz w:val="16"/>
            <w:szCs w:val="16"/>
          </w:rPr>
          <w:t xml:space="preserve"> </w:t>
        </w:r>
        <w:r w:rsidR="00710B50" w:rsidRPr="00720DA1">
          <w:rPr>
            <w:rStyle w:val="Hyperlink"/>
            <w:rFonts w:cs="Times New Roman"/>
            <w:sz w:val="16"/>
            <w:szCs w:val="16"/>
          </w:rPr>
          <w:t>Metals</w:t>
        </w:r>
        <w:r w:rsidR="00710B50" w:rsidRPr="00720DA1">
          <w:rPr>
            <w:rStyle w:val="Hyperlink"/>
            <w:sz w:val="16"/>
            <w:szCs w:val="16"/>
          </w:rPr>
          <w:t xml:space="preserve"> </w:t>
        </w:r>
        <w:r w:rsidR="00710B50" w:rsidRPr="00720DA1">
          <w:rPr>
            <w:rStyle w:val="Hyperlink"/>
            <w:rFonts w:cs="Times New Roman"/>
            <w:sz w:val="16"/>
            <w:szCs w:val="16"/>
          </w:rPr>
          <w:t>Action</w:t>
        </w:r>
        <w:r w:rsidR="00710B50" w:rsidRPr="00720DA1">
          <w:rPr>
            <w:rStyle w:val="Hyperlink"/>
            <w:sz w:val="16"/>
            <w:szCs w:val="16"/>
          </w:rPr>
          <w:t xml:space="preserve"> </w:t>
        </w:r>
        <w:r w:rsidR="00710B50" w:rsidRPr="00720DA1">
          <w:rPr>
            <w:rStyle w:val="Hyperlink"/>
            <w:rFonts w:cs="Times New Roman"/>
            <w:sz w:val="16"/>
            <w:szCs w:val="16"/>
          </w:rPr>
          <w:t>Plan</w:t>
        </w:r>
      </w:hyperlink>
      <w:r w:rsidR="00710B50" w:rsidRPr="00720DA1">
        <w:rPr>
          <w:sz w:val="16"/>
          <w:szCs w:val="16"/>
        </w:rPr>
        <w:t>.</w:t>
      </w:r>
    </w:p>
  </w:footnote>
  <w:footnote w:id="349">
    <w:p w14:paraId="018FBFEC" w14:textId="5F7E6FA8" w:rsidR="00020031" w:rsidRPr="00720DA1" w:rsidRDefault="00020031" w:rsidP="00CE1615">
      <w:pPr>
        <w:pStyle w:val="FootnoteText"/>
        <w:rPr>
          <w:rFonts w:cs="Times New Roman"/>
          <w:sz w:val="16"/>
          <w:szCs w:val="16"/>
          <w:lang w:val="en-IE"/>
        </w:rPr>
      </w:pPr>
      <w:r w:rsidRPr="00720DA1">
        <w:rPr>
          <w:rStyle w:val="FootnoteReference"/>
          <w:rFonts w:cs="Times New Roman"/>
          <w:sz w:val="16"/>
          <w:szCs w:val="16"/>
        </w:rPr>
        <w:footnoteRef/>
      </w:r>
      <w:r w:rsidR="008977A9" w:rsidRPr="00720DA1">
        <w:rPr>
          <w:rFonts w:cs="Times New Roman"/>
          <w:sz w:val="16"/>
          <w:szCs w:val="16"/>
        </w:rPr>
        <w:t xml:space="preserve"> Eurometa</w:t>
      </w:r>
      <w:r w:rsidR="00FA57B1" w:rsidRPr="00720DA1">
        <w:rPr>
          <w:rFonts w:cs="Times New Roman"/>
          <w:sz w:val="16"/>
          <w:szCs w:val="16"/>
        </w:rPr>
        <w:t xml:space="preserve">ux webpage. </w:t>
      </w:r>
      <w:hyperlink r:id="rId219" w:history="1">
        <w:r w:rsidR="00FA57B1" w:rsidRPr="00720DA1">
          <w:rPr>
            <w:rStyle w:val="Hyperlink"/>
            <w:rFonts w:cs="Times New Roman"/>
            <w:sz w:val="16"/>
            <w:szCs w:val="16"/>
          </w:rPr>
          <w:t>About our industry</w:t>
        </w:r>
      </w:hyperlink>
      <w:r w:rsidR="00FA57B1" w:rsidRPr="00720DA1">
        <w:rPr>
          <w:rFonts w:cs="Times New Roman"/>
          <w:sz w:val="16"/>
          <w:szCs w:val="16"/>
        </w:rPr>
        <w:t>.</w:t>
      </w:r>
      <w:r w:rsidRPr="00720DA1">
        <w:rPr>
          <w:rFonts w:cs="Times New Roman"/>
          <w:sz w:val="16"/>
          <w:szCs w:val="16"/>
        </w:rPr>
        <w:t xml:space="preserve"> </w:t>
      </w:r>
    </w:p>
  </w:footnote>
  <w:footnote w:id="350">
    <w:p w14:paraId="64EF8414" w14:textId="1D8740F6" w:rsidR="00661AB2" w:rsidRPr="00720DA1" w:rsidRDefault="00661AB2" w:rsidP="00CE1615">
      <w:pPr>
        <w:rPr>
          <w:rFonts w:cs="Times New Roman"/>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Mission Possible Partnership</w:t>
      </w:r>
      <w:r w:rsidR="006B1AB7" w:rsidRPr="00720DA1">
        <w:rPr>
          <w:rFonts w:cs="Times New Roman"/>
          <w:sz w:val="16"/>
          <w:szCs w:val="16"/>
        </w:rPr>
        <w:t xml:space="preserve"> (2022)</w:t>
      </w:r>
      <w:r w:rsidRPr="00720DA1">
        <w:rPr>
          <w:rFonts w:cs="Times New Roman"/>
          <w:sz w:val="16"/>
          <w:szCs w:val="16"/>
        </w:rPr>
        <w:t xml:space="preserve">. </w:t>
      </w:r>
      <w:hyperlink r:id="rId220" w:history="1">
        <w:r w:rsidRPr="00720DA1">
          <w:rPr>
            <w:rStyle w:val="Hyperlink"/>
            <w:rFonts w:cs="Times New Roman"/>
            <w:sz w:val="16"/>
            <w:szCs w:val="16"/>
          </w:rPr>
          <w:t>Making Net-Zero Aluminium Possible. An industry-backed, 1.5-aligned transition strategy</w:t>
        </w:r>
      </w:hyperlink>
      <w:r w:rsidRPr="00720DA1">
        <w:rPr>
          <w:rFonts w:cs="Times New Roman"/>
          <w:sz w:val="16"/>
          <w:szCs w:val="16"/>
        </w:rPr>
        <w:t xml:space="preserve">. </w:t>
      </w:r>
    </w:p>
  </w:footnote>
  <w:footnote w:id="351">
    <w:p w14:paraId="53AAECE0" w14:textId="76910C42" w:rsidR="00661AB2" w:rsidRPr="00720DA1" w:rsidRDefault="00661AB2" w:rsidP="00CE1615">
      <w:pPr>
        <w:rPr>
          <w:rFonts w:cs="Times New Roman"/>
          <w:sz w:val="16"/>
          <w:szCs w:val="16"/>
        </w:rPr>
      </w:pPr>
      <w:r w:rsidRPr="00720DA1">
        <w:rPr>
          <w:rStyle w:val="FootnoteReference"/>
          <w:sz w:val="16"/>
          <w:szCs w:val="16"/>
        </w:rPr>
        <w:footnoteRef/>
      </w:r>
      <w:r w:rsidRPr="00720DA1">
        <w:rPr>
          <w:rFonts w:cs="Times New Roman"/>
          <w:sz w:val="16"/>
          <w:szCs w:val="16"/>
        </w:rPr>
        <w:t xml:space="preserve"> European Aluminium. </w:t>
      </w:r>
      <w:r w:rsidR="00D274FE" w:rsidRPr="00720DA1">
        <w:rPr>
          <w:rFonts w:cs="Times New Roman"/>
          <w:sz w:val="16"/>
          <w:szCs w:val="16"/>
        </w:rPr>
        <w:t>(</w:t>
      </w:r>
      <w:r w:rsidRPr="00720DA1">
        <w:rPr>
          <w:rFonts w:cs="Times New Roman"/>
          <w:sz w:val="16"/>
          <w:szCs w:val="16"/>
        </w:rPr>
        <w:t>2023</w:t>
      </w:r>
      <w:r w:rsidR="00D274FE" w:rsidRPr="00720DA1">
        <w:rPr>
          <w:rFonts w:cs="Times New Roman"/>
          <w:sz w:val="16"/>
          <w:szCs w:val="16"/>
        </w:rPr>
        <w:t>)</w:t>
      </w:r>
      <w:r w:rsidRPr="00720DA1">
        <w:rPr>
          <w:rFonts w:cs="Times New Roman"/>
          <w:sz w:val="16"/>
          <w:szCs w:val="16"/>
        </w:rPr>
        <w:t xml:space="preserve">. </w:t>
      </w:r>
      <w:hyperlink r:id="rId221" w:history="1">
        <w:r w:rsidR="00D274FE" w:rsidRPr="00720DA1">
          <w:rPr>
            <w:rStyle w:val="Hyperlink"/>
            <w:rFonts w:cs="Times New Roman"/>
            <w:sz w:val="16"/>
            <w:szCs w:val="16"/>
          </w:rPr>
          <w:t>Net-Zero by 2050: Science-based decarbonisation pathways for the European aluminium industry</w:t>
        </w:r>
      </w:hyperlink>
      <w:r w:rsidRPr="00720DA1">
        <w:rPr>
          <w:rFonts w:cs="Times New Roman"/>
          <w:sz w:val="16"/>
          <w:szCs w:val="16"/>
        </w:rPr>
        <w:t xml:space="preserve">. </w:t>
      </w:r>
    </w:p>
  </w:footnote>
  <w:footnote w:id="352">
    <w:p w14:paraId="5F4E1FA5" w14:textId="194E06CB" w:rsidR="00661AB2" w:rsidRPr="00720DA1" w:rsidRDefault="00661AB2" w:rsidP="00CE1615">
      <w:pPr>
        <w:rPr>
          <w:rFonts w:cs="Times New Roman"/>
          <w:sz w:val="16"/>
          <w:szCs w:val="16"/>
        </w:rPr>
      </w:pPr>
      <w:r w:rsidRPr="00720DA1">
        <w:rPr>
          <w:rStyle w:val="FootnoteReference"/>
          <w:sz w:val="16"/>
          <w:szCs w:val="16"/>
        </w:rPr>
        <w:footnoteRef/>
      </w:r>
      <w:r w:rsidRPr="00720DA1">
        <w:rPr>
          <w:sz w:val="16"/>
          <w:szCs w:val="16"/>
        </w:rPr>
        <w:t xml:space="preserve"> </w:t>
      </w:r>
      <w:r w:rsidR="00371244" w:rsidRPr="00720DA1">
        <w:rPr>
          <w:rFonts w:cs="Times New Roman"/>
          <w:sz w:val="16"/>
          <w:szCs w:val="16"/>
        </w:rPr>
        <w:t xml:space="preserve">Mission Possible Partnership (2022). </w:t>
      </w:r>
      <w:hyperlink r:id="rId222" w:history="1">
        <w:r w:rsidR="00371244" w:rsidRPr="00720DA1">
          <w:rPr>
            <w:rStyle w:val="Hyperlink"/>
            <w:rFonts w:cs="Times New Roman"/>
            <w:sz w:val="16"/>
            <w:szCs w:val="16"/>
          </w:rPr>
          <w:t>Making Net-Zero Aluminium Possible. An industry-backed, 1.5-aligned transition strategy</w:t>
        </w:r>
      </w:hyperlink>
    </w:p>
  </w:footnote>
  <w:footnote w:id="353">
    <w:p w14:paraId="5320E7B7" w14:textId="77777777" w:rsidR="00661AB2" w:rsidRPr="00720DA1" w:rsidRDefault="00661AB2" w:rsidP="00CE1615">
      <w:pPr>
        <w:rPr>
          <w:rFonts w:cs="Times New Roman"/>
          <w:sz w:val="16"/>
          <w:szCs w:val="16"/>
        </w:rPr>
      </w:pPr>
      <w:r w:rsidRPr="00720DA1">
        <w:rPr>
          <w:rStyle w:val="FootnoteReference"/>
          <w:sz w:val="16"/>
          <w:szCs w:val="16"/>
        </w:rPr>
        <w:footnoteRef/>
      </w:r>
      <w:r w:rsidRPr="00720DA1">
        <w:rPr>
          <w:rFonts w:cs="Times New Roman"/>
          <w:sz w:val="16"/>
          <w:szCs w:val="16"/>
        </w:rPr>
        <w:t xml:space="preserve"> Ibid.</w:t>
      </w:r>
    </w:p>
  </w:footnote>
  <w:footnote w:id="354">
    <w:p w14:paraId="30662B1A" w14:textId="2DF5DDA0" w:rsidR="00661AB2" w:rsidRPr="00DC0B54" w:rsidRDefault="00661AB2" w:rsidP="00CE1615">
      <w:pPr>
        <w:rPr>
          <w:rFonts w:cs="Times New Roman"/>
          <w:sz w:val="16"/>
          <w:szCs w:val="16"/>
        </w:rPr>
      </w:pPr>
      <w:r w:rsidRPr="00DC0B54">
        <w:rPr>
          <w:rStyle w:val="FootnoteReference"/>
          <w:sz w:val="16"/>
          <w:szCs w:val="16"/>
        </w:rPr>
        <w:footnoteRef/>
      </w:r>
      <w:r w:rsidRPr="00DC0B54">
        <w:rPr>
          <w:sz w:val="16"/>
          <w:szCs w:val="16"/>
        </w:rPr>
        <w:t xml:space="preserve"> </w:t>
      </w:r>
      <w:r w:rsidR="00DC0B54" w:rsidRPr="00DC0B54">
        <w:rPr>
          <w:rFonts w:cs="Times New Roman"/>
          <w:sz w:val="16"/>
          <w:szCs w:val="16"/>
        </w:rPr>
        <w:t xml:space="preserve">Zore, L. (JRC) (2024). </w:t>
      </w:r>
      <w:hyperlink r:id="rId223" w:history="1">
        <w:r w:rsidR="00DC0B54" w:rsidRPr="00DC0B54">
          <w:rPr>
            <w:rStyle w:val="Hyperlink"/>
            <w:rFonts w:cs="Times New Roman"/>
            <w:sz w:val="16"/>
            <w:szCs w:val="16"/>
          </w:rPr>
          <w:t>Decarbonisation Options for the Aluminium Industry</w:t>
        </w:r>
      </w:hyperlink>
      <w:r w:rsidR="00DC0B54" w:rsidRPr="00DC0B54">
        <w:rPr>
          <w:sz w:val="16"/>
          <w:szCs w:val="16"/>
        </w:rPr>
        <w:t>.</w:t>
      </w:r>
    </w:p>
  </w:footnote>
  <w:footnote w:id="355">
    <w:p w14:paraId="5A905332" w14:textId="6D9F7353" w:rsidR="00661AB2" w:rsidRPr="00720DA1" w:rsidRDefault="00661AB2" w:rsidP="00CE1615">
      <w:pPr>
        <w:rPr>
          <w:rFonts w:cs="Times New Roman"/>
          <w:sz w:val="16"/>
          <w:szCs w:val="16"/>
        </w:rPr>
      </w:pPr>
      <w:r w:rsidRPr="00720DA1">
        <w:rPr>
          <w:rStyle w:val="FootnoteReference"/>
          <w:sz w:val="16"/>
          <w:szCs w:val="16"/>
        </w:rPr>
        <w:footnoteRef/>
      </w:r>
      <w:r w:rsidRPr="00720DA1">
        <w:rPr>
          <w:rFonts w:cs="Times New Roman"/>
          <w:sz w:val="16"/>
          <w:szCs w:val="16"/>
        </w:rPr>
        <w:t xml:space="preserve"> </w:t>
      </w:r>
      <w:r w:rsidR="0033358E">
        <w:rPr>
          <w:rFonts w:cs="Times New Roman"/>
          <w:sz w:val="16"/>
          <w:szCs w:val="16"/>
        </w:rPr>
        <w:t>European Aluminium</w:t>
      </w:r>
      <w:r w:rsidR="0033358E" w:rsidRPr="00720DA1">
        <w:rPr>
          <w:rFonts w:cs="Times New Roman"/>
          <w:sz w:val="16"/>
          <w:szCs w:val="16"/>
        </w:rPr>
        <w:t xml:space="preserve"> (202</w:t>
      </w:r>
      <w:r w:rsidR="0033358E">
        <w:rPr>
          <w:rFonts w:cs="Times New Roman"/>
          <w:sz w:val="16"/>
          <w:szCs w:val="16"/>
        </w:rPr>
        <w:t>3</w:t>
      </w:r>
      <w:r w:rsidR="0033358E" w:rsidRPr="00720DA1">
        <w:rPr>
          <w:rFonts w:cs="Times New Roman"/>
          <w:sz w:val="16"/>
          <w:szCs w:val="16"/>
        </w:rPr>
        <w:t>).</w:t>
      </w:r>
      <w:hyperlink r:id="rId224" w:history="1">
        <w:r w:rsidR="00D52388">
          <w:rPr>
            <w:rStyle w:val="Hyperlink"/>
            <w:rFonts w:cs="Times New Roman"/>
            <w:sz w:val="16"/>
            <w:szCs w:val="16"/>
          </w:rPr>
          <w:t>Net-Zero by 2050: Science based decarbonisation for the European aluminium industry</w:t>
        </w:r>
      </w:hyperlink>
      <w:r w:rsidR="0033358E">
        <w:rPr>
          <w:rFonts w:cs="Times New Roman"/>
          <w:sz w:val="16"/>
          <w:szCs w:val="16"/>
        </w:rPr>
        <w:t xml:space="preserve">. </w:t>
      </w:r>
    </w:p>
  </w:footnote>
  <w:footnote w:id="356">
    <w:p w14:paraId="6DD47B54" w14:textId="2C427F89" w:rsidR="00661AB2" w:rsidRPr="00BF0528" w:rsidRDefault="00661AB2" w:rsidP="00BF0528">
      <w:pPr>
        <w:jc w:val="left"/>
        <w:rPr>
          <w:rFonts w:cs="Times New Roman"/>
          <w:sz w:val="16"/>
          <w:szCs w:val="16"/>
        </w:rPr>
      </w:pPr>
      <w:r w:rsidRPr="00DC0B54">
        <w:rPr>
          <w:rStyle w:val="FootnoteReference"/>
          <w:sz w:val="16"/>
          <w:szCs w:val="16"/>
        </w:rPr>
        <w:footnoteRef/>
      </w:r>
      <w:r w:rsidRPr="00BF0528">
        <w:rPr>
          <w:rFonts w:cs="Times New Roman"/>
          <w:sz w:val="16"/>
          <w:szCs w:val="16"/>
        </w:rPr>
        <w:t xml:space="preserve"> </w:t>
      </w:r>
      <w:r w:rsidR="001C4592" w:rsidRPr="00BF0528">
        <w:rPr>
          <w:rFonts w:cs="Times New Roman"/>
          <w:sz w:val="16"/>
          <w:szCs w:val="16"/>
        </w:rPr>
        <w:t xml:space="preserve">European Aluminium. (2023). </w:t>
      </w:r>
      <w:hyperlink r:id="rId225" w:history="1">
        <w:r w:rsidR="001C4592" w:rsidRPr="00BF0528">
          <w:rPr>
            <w:rStyle w:val="Hyperlink"/>
            <w:rFonts w:cs="Times New Roman"/>
            <w:sz w:val="16"/>
            <w:szCs w:val="16"/>
          </w:rPr>
          <w:t>Net-Zero by 2050: Science-based decarbonisation pathways for the European aluminium industry</w:t>
        </w:r>
      </w:hyperlink>
      <w:r w:rsidR="001C4592" w:rsidRPr="00BF0528">
        <w:rPr>
          <w:rFonts w:cs="Times New Roman"/>
          <w:sz w:val="16"/>
          <w:szCs w:val="16"/>
        </w:rPr>
        <w:t xml:space="preserve">. </w:t>
      </w:r>
    </w:p>
  </w:footnote>
  <w:footnote w:id="357">
    <w:p w14:paraId="0B8C4160" w14:textId="0E236AFD" w:rsidR="00661AB2" w:rsidRPr="00BF0528" w:rsidRDefault="00661AB2" w:rsidP="00BF0528">
      <w:pPr>
        <w:jc w:val="left"/>
        <w:rPr>
          <w:rFonts w:cs="Times New Roman"/>
          <w:sz w:val="16"/>
          <w:szCs w:val="16"/>
        </w:rPr>
      </w:pPr>
      <w:r w:rsidRPr="00DC0B54">
        <w:rPr>
          <w:rStyle w:val="FootnoteReference"/>
          <w:sz w:val="16"/>
          <w:szCs w:val="16"/>
        </w:rPr>
        <w:footnoteRef/>
      </w:r>
      <w:r w:rsidRPr="00BF0528">
        <w:rPr>
          <w:rFonts w:cs="Times New Roman"/>
          <w:sz w:val="16"/>
          <w:szCs w:val="16"/>
        </w:rPr>
        <w:t xml:space="preserve"> </w:t>
      </w:r>
      <w:r w:rsidR="001C4592" w:rsidRPr="00BF0528">
        <w:rPr>
          <w:rFonts w:cs="Times New Roman"/>
          <w:sz w:val="16"/>
          <w:szCs w:val="16"/>
        </w:rPr>
        <w:t xml:space="preserve">Mission Possible Partnership (2022). </w:t>
      </w:r>
      <w:hyperlink r:id="rId226" w:history="1">
        <w:r w:rsidR="001C4592" w:rsidRPr="00BF0528">
          <w:rPr>
            <w:rStyle w:val="Hyperlink"/>
            <w:rFonts w:cs="Times New Roman"/>
            <w:sz w:val="16"/>
            <w:szCs w:val="16"/>
          </w:rPr>
          <w:t>Making Net-Zero Aluminium Possible. An industry-backed, 1.5-aligned transition strategy</w:t>
        </w:r>
      </w:hyperlink>
      <w:r w:rsidR="001C4592" w:rsidRPr="00BF0528">
        <w:rPr>
          <w:rFonts w:cs="Times New Roman"/>
          <w:sz w:val="16"/>
          <w:szCs w:val="16"/>
        </w:rPr>
        <w:t xml:space="preserve">. </w:t>
      </w:r>
    </w:p>
  </w:footnote>
  <w:footnote w:id="358">
    <w:p w14:paraId="1EB4BD18" w14:textId="6D7BDBB6" w:rsidR="00661AB2" w:rsidRPr="00BF0528" w:rsidRDefault="00661AB2" w:rsidP="00BF0528">
      <w:pPr>
        <w:jc w:val="left"/>
        <w:rPr>
          <w:rFonts w:cs="Times New Roman"/>
          <w:sz w:val="16"/>
          <w:szCs w:val="16"/>
        </w:rPr>
      </w:pPr>
      <w:r w:rsidRPr="00DC0B54">
        <w:rPr>
          <w:rStyle w:val="FootnoteReference"/>
          <w:sz w:val="16"/>
          <w:szCs w:val="16"/>
        </w:rPr>
        <w:footnoteRef/>
      </w:r>
      <w:r w:rsidRPr="00DC0B54">
        <w:rPr>
          <w:sz w:val="16"/>
          <w:szCs w:val="16"/>
        </w:rPr>
        <w:t xml:space="preserve"> </w:t>
      </w:r>
      <w:r w:rsidR="00DC0B54" w:rsidRPr="00BF0528">
        <w:rPr>
          <w:rFonts w:cs="Times New Roman"/>
          <w:sz w:val="16"/>
          <w:szCs w:val="16"/>
        </w:rPr>
        <w:t xml:space="preserve">Zore, L. (JRC) (2024). </w:t>
      </w:r>
      <w:hyperlink r:id="rId227" w:history="1">
        <w:r w:rsidR="00DC0B54" w:rsidRPr="00BF0528">
          <w:rPr>
            <w:rStyle w:val="Hyperlink"/>
            <w:rFonts w:cs="Times New Roman"/>
            <w:sz w:val="16"/>
            <w:szCs w:val="16"/>
          </w:rPr>
          <w:t>Decarbonisation Options for the Aluminium Industry</w:t>
        </w:r>
      </w:hyperlink>
      <w:r w:rsidR="00DC0B54" w:rsidRPr="00DC0B54">
        <w:rPr>
          <w:sz w:val="16"/>
          <w:szCs w:val="16"/>
        </w:rPr>
        <w:t>.</w:t>
      </w:r>
    </w:p>
  </w:footnote>
  <w:footnote w:id="359">
    <w:p w14:paraId="16C7048F" w14:textId="37633F97" w:rsidR="00661AB2" w:rsidRPr="00BF0528" w:rsidRDefault="00661AB2" w:rsidP="00BF0528">
      <w:pPr>
        <w:jc w:val="left"/>
        <w:rPr>
          <w:rFonts w:cs="Times New Roman"/>
          <w:sz w:val="16"/>
          <w:szCs w:val="16"/>
        </w:rPr>
      </w:pPr>
      <w:r w:rsidRPr="00DC0B54">
        <w:rPr>
          <w:rStyle w:val="FootnoteReference"/>
          <w:sz w:val="16"/>
          <w:szCs w:val="16"/>
        </w:rPr>
        <w:footnoteRef/>
      </w:r>
      <w:r w:rsidR="00D21474" w:rsidRPr="00BF0528">
        <w:rPr>
          <w:rFonts w:cs="Times New Roman"/>
          <w:sz w:val="16"/>
          <w:szCs w:val="16"/>
        </w:rPr>
        <w:t xml:space="preserve"> </w:t>
      </w:r>
      <w:r w:rsidR="00633899" w:rsidRPr="00BF0528">
        <w:rPr>
          <w:rFonts w:cs="Times New Roman"/>
          <w:sz w:val="16"/>
          <w:szCs w:val="16"/>
        </w:rPr>
        <w:t xml:space="preserve">European Aluminium (2023). </w:t>
      </w:r>
      <w:hyperlink r:id="rId228" w:history="1">
        <w:r w:rsidR="00633899" w:rsidRPr="00BF0528">
          <w:rPr>
            <w:rStyle w:val="Hyperlink"/>
            <w:rFonts w:cs="Times New Roman"/>
            <w:sz w:val="16"/>
            <w:szCs w:val="16"/>
          </w:rPr>
          <w:t>Net-Zero by 2050: Science-based decarbonisation pathways for the European aluminium industry</w:t>
        </w:r>
      </w:hyperlink>
      <w:r w:rsidR="00633899" w:rsidRPr="00BF0528">
        <w:rPr>
          <w:rFonts w:cs="Times New Roman"/>
          <w:sz w:val="16"/>
          <w:szCs w:val="16"/>
        </w:rPr>
        <w:t xml:space="preserve">. </w:t>
      </w:r>
    </w:p>
  </w:footnote>
  <w:footnote w:id="360">
    <w:p w14:paraId="7FC6B677" w14:textId="77777777" w:rsidR="00DB3A83" w:rsidRPr="00BF0528" w:rsidRDefault="00DB3A83" w:rsidP="00BF0528">
      <w:pPr>
        <w:pStyle w:val="FootnoteText"/>
        <w:jc w:val="left"/>
        <w:rPr>
          <w:rFonts w:cs="Times New Roman"/>
          <w:sz w:val="16"/>
          <w:szCs w:val="16"/>
          <w:lang w:val="en-IE"/>
        </w:rPr>
      </w:pPr>
      <w:r w:rsidRPr="00041AF7">
        <w:rPr>
          <w:rStyle w:val="FootnoteReference"/>
          <w:sz w:val="16"/>
          <w:szCs w:val="16"/>
        </w:rPr>
        <w:footnoteRef/>
      </w:r>
      <w:r w:rsidRPr="00041AF7">
        <w:rPr>
          <w:sz w:val="16"/>
          <w:szCs w:val="16"/>
        </w:rPr>
        <w:t xml:space="preserve"> </w:t>
      </w:r>
      <w:r w:rsidRPr="00BF0528">
        <w:rPr>
          <w:rFonts w:cs="Times New Roman"/>
          <w:sz w:val="16"/>
          <w:szCs w:val="16"/>
          <w:lang w:val="en-IE"/>
        </w:rPr>
        <w:t>Ibid.</w:t>
      </w:r>
    </w:p>
  </w:footnote>
  <w:footnote w:id="361">
    <w:p w14:paraId="6C069652" w14:textId="7352269F" w:rsidR="00661AB2" w:rsidRPr="00BF0528" w:rsidRDefault="00661AB2" w:rsidP="00BF0528">
      <w:pPr>
        <w:jc w:val="left"/>
        <w:rPr>
          <w:rFonts w:cs="Times New Roman"/>
          <w:sz w:val="16"/>
          <w:szCs w:val="16"/>
        </w:rPr>
      </w:pPr>
      <w:r w:rsidRPr="00DC0B54">
        <w:rPr>
          <w:rStyle w:val="FootnoteReference"/>
          <w:sz w:val="16"/>
          <w:szCs w:val="16"/>
        </w:rPr>
        <w:footnoteRef/>
      </w:r>
      <w:r w:rsidRPr="00DC0B54">
        <w:rPr>
          <w:sz w:val="16"/>
          <w:szCs w:val="16"/>
        </w:rPr>
        <w:t xml:space="preserve"> </w:t>
      </w:r>
      <w:r w:rsidR="00DC0B54" w:rsidRPr="00BF0528">
        <w:rPr>
          <w:rFonts w:cs="Times New Roman"/>
          <w:sz w:val="16"/>
          <w:szCs w:val="16"/>
        </w:rPr>
        <w:t xml:space="preserve">Zore, L. (JRC) (2024). </w:t>
      </w:r>
      <w:hyperlink r:id="rId229" w:history="1">
        <w:r w:rsidR="00DC0B54" w:rsidRPr="00BF0528">
          <w:rPr>
            <w:rStyle w:val="Hyperlink"/>
            <w:rFonts w:cs="Times New Roman"/>
            <w:sz w:val="16"/>
            <w:szCs w:val="16"/>
          </w:rPr>
          <w:t>Decarbonisation Options for the Aluminium Industry</w:t>
        </w:r>
      </w:hyperlink>
    </w:p>
  </w:footnote>
  <w:footnote w:id="362">
    <w:p w14:paraId="53C1C6B7" w14:textId="758B609D" w:rsidR="00661AB2" w:rsidRPr="00DC0B54" w:rsidRDefault="00661AB2" w:rsidP="00BF0528">
      <w:pPr>
        <w:jc w:val="left"/>
        <w:rPr>
          <w:rFonts w:cs="Times New Roman"/>
          <w:sz w:val="16"/>
          <w:szCs w:val="16"/>
        </w:rPr>
      </w:pPr>
      <w:r w:rsidRPr="00DC0B54">
        <w:rPr>
          <w:rStyle w:val="FootnoteReference"/>
          <w:sz w:val="16"/>
          <w:szCs w:val="16"/>
        </w:rPr>
        <w:footnoteRef/>
      </w:r>
      <w:r w:rsidR="00633899" w:rsidRPr="00BF0528">
        <w:rPr>
          <w:rFonts w:cs="Times New Roman"/>
          <w:sz w:val="16"/>
          <w:szCs w:val="16"/>
        </w:rPr>
        <w:t xml:space="preserve"> European Aluminium (2023). </w:t>
      </w:r>
      <w:hyperlink r:id="rId230" w:history="1">
        <w:r w:rsidR="00633899" w:rsidRPr="00BF0528">
          <w:rPr>
            <w:rStyle w:val="Hyperlink"/>
            <w:rFonts w:cs="Times New Roman"/>
            <w:sz w:val="16"/>
            <w:szCs w:val="16"/>
          </w:rPr>
          <w:t>Net-Zero by 2050: Science-based decarbonisation pathways for the European aluminium industry</w:t>
        </w:r>
      </w:hyperlink>
      <w:r w:rsidR="00633899" w:rsidRPr="00BF0528">
        <w:rPr>
          <w:rFonts w:cs="Times New Roman"/>
          <w:sz w:val="16"/>
          <w:szCs w:val="16"/>
        </w:rPr>
        <w:t>.</w:t>
      </w:r>
    </w:p>
  </w:footnote>
  <w:footnote w:id="363">
    <w:p w14:paraId="6AACEFD8" w14:textId="3AE6156E" w:rsidR="009F1F30" w:rsidRPr="00720DA1" w:rsidRDefault="009F1F30"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136B91" w:rsidRPr="00136B91">
        <w:rPr>
          <w:rFonts w:cs="Times New Roman"/>
          <w:sz w:val="16"/>
          <w:szCs w:val="16"/>
        </w:rPr>
        <w:t xml:space="preserve">Cembureau (2025). </w:t>
      </w:r>
      <w:hyperlink r:id="rId231" w:history="1">
        <w:r w:rsidR="00136B91">
          <w:rPr>
            <w:rStyle w:val="Hyperlink"/>
            <w:sz w:val="16"/>
            <w:szCs w:val="16"/>
          </w:rPr>
          <w:t>Cembureau Key Facts &amp; Figures</w:t>
        </w:r>
      </w:hyperlink>
    </w:p>
  </w:footnote>
  <w:footnote w:id="364">
    <w:p w14:paraId="3D09B65A" w14:textId="7D27F3CE" w:rsidR="00020031" w:rsidRPr="00720DA1" w:rsidRDefault="00020031" w:rsidP="00CE1615">
      <w:pPr>
        <w:pStyle w:val="FootnoteText"/>
        <w:rPr>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AE24CA" w:rsidRPr="00720DA1">
        <w:rPr>
          <w:sz w:val="16"/>
          <w:szCs w:val="16"/>
        </w:rPr>
        <w:t>Onestone Consulting (2023)</w:t>
      </w:r>
      <w:r w:rsidR="00482CED">
        <w:rPr>
          <w:sz w:val="16"/>
          <w:szCs w:val="16"/>
        </w:rPr>
        <w:t>.</w:t>
      </w:r>
      <w:r w:rsidRPr="00720DA1">
        <w:rPr>
          <w:rFonts w:cs="Times New Roman"/>
          <w:sz w:val="16"/>
          <w:szCs w:val="16"/>
        </w:rPr>
        <w:t xml:space="preserve"> The cement industry in Europe at the crossroads</w:t>
      </w:r>
      <w:r w:rsidR="00AE24CA" w:rsidRPr="00720DA1">
        <w:rPr>
          <w:sz w:val="16"/>
          <w:szCs w:val="16"/>
        </w:rPr>
        <w:t xml:space="preserve">. Published in </w:t>
      </w:r>
      <w:r w:rsidR="00AE24CA" w:rsidRPr="00720DA1">
        <w:rPr>
          <w:rFonts w:cs="Times New Roman"/>
          <w:sz w:val="16"/>
          <w:szCs w:val="16"/>
        </w:rPr>
        <w:t>ZKG International</w:t>
      </w:r>
      <w:r w:rsidR="00AE24CA" w:rsidRPr="00720DA1">
        <w:rPr>
          <w:sz w:val="16"/>
          <w:szCs w:val="16"/>
        </w:rPr>
        <w:t>.</w:t>
      </w:r>
    </w:p>
  </w:footnote>
  <w:footnote w:id="365">
    <w:p w14:paraId="098C3E0F" w14:textId="1699D9EA"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136B91" w:rsidRPr="00136B91">
        <w:rPr>
          <w:rFonts w:cs="Times New Roman"/>
          <w:sz w:val="16"/>
          <w:szCs w:val="16"/>
        </w:rPr>
        <w:t>Cembureau (202</w:t>
      </w:r>
      <w:r w:rsidR="00136B91">
        <w:rPr>
          <w:rFonts w:cs="Times New Roman"/>
          <w:sz w:val="16"/>
          <w:szCs w:val="16"/>
        </w:rPr>
        <w:t>3</w:t>
      </w:r>
      <w:r w:rsidR="00136B91" w:rsidRPr="00136B91">
        <w:rPr>
          <w:rFonts w:cs="Times New Roman"/>
          <w:sz w:val="16"/>
          <w:szCs w:val="16"/>
        </w:rPr>
        <w:t>).</w:t>
      </w:r>
      <w:hyperlink r:id="rId232" w:history="1">
        <w:r w:rsidR="00CA5398" w:rsidRPr="00720DA1">
          <w:rPr>
            <w:rStyle w:val="Hyperlink"/>
            <w:rFonts w:cs="Times New Roman"/>
            <w:sz w:val="16"/>
            <w:szCs w:val="16"/>
          </w:rPr>
          <w:t xml:space="preserve">Cembureau, </w:t>
        </w:r>
        <w:r w:rsidRPr="00720DA1">
          <w:rPr>
            <w:rStyle w:val="Hyperlink"/>
            <w:rFonts w:cs="Times New Roman"/>
            <w:sz w:val="16"/>
            <w:szCs w:val="16"/>
          </w:rPr>
          <w:t>Activity Report 2023</w:t>
        </w:r>
      </w:hyperlink>
      <w:r w:rsidR="00136B91">
        <w:rPr>
          <w:sz w:val="16"/>
          <w:szCs w:val="16"/>
        </w:rPr>
        <w:t>.</w:t>
      </w:r>
    </w:p>
  </w:footnote>
  <w:footnote w:id="366">
    <w:p w14:paraId="643589B5" w14:textId="7A03628E"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136B91">
        <w:rPr>
          <w:sz w:val="16"/>
          <w:szCs w:val="16"/>
        </w:rPr>
        <w:t xml:space="preserve"> JRC</w:t>
      </w:r>
      <w:r w:rsidR="007A5CCF">
        <w:rPr>
          <w:sz w:val="16"/>
          <w:szCs w:val="16"/>
        </w:rPr>
        <w:t xml:space="preserve"> </w:t>
      </w:r>
      <w:r w:rsidR="007B0B84">
        <w:rPr>
          <w:sz w:val="16"/>
          <w:szCs w:val="16"/>
        </w:rPr>
        <w:t>(2021).</w:t>
      </w:r>
      <w:r w:rsidR="00136B91">
        <w:rPr>
          <w:sz w:val="16"/>
          <w:szCs w:val="16"/>
        </w:rPr>
        <w:t xml:space="preserve"> </w:t>
      </w:r>
      <w:hyperlink r:id="rId233" w:history="1">
        <w:r w:rsidR="007B0B84">
          <w:rPr>
            <w:rStyle w:val="Hyperlink"/>
            <w:sz w:val="16"/>
            <w:szCs w:val="16"/>
          </w:rPr>
          <w:t>Deep decarbonisation of industry: The cement sector</w:t>
        </w:r>
      </w:hyperlink>
      <w:r w:rsidR="007B0B84">
        <w:rPr>
          <w:sz w:val="16"/>
          <w:szCs w:val="16"/>
        </w:rPr>
        <w:t>.</w:t>
      </w:r>
      <w:r w:rsidR="00774EEC" w:rsidRPr="00720DA1">
        <w:rPr>
          <w:sz w:val="16"/>
          <w:szCs w:val="16"/>
        </w:rPr>
        <w:t xml:space="preserve"> </w:t>
      </w:r>
    </w:p>
  </w:footnote>
  <w:footnote w:id="367">
    <w:p w14:paraId="761C0E7F" w14:textId="3CDFC3F7" w:rsidR="00923834" w:rsidRPr="00483F48" w:rsidRDefault="00923834" w:rsidP="00923834">
      <w:pPr>
        <w:pStyle w:val="FootnoteText"/>
        <w:rPr>
          <w:sz w:val="16"/>
          <w:szCs w:val="16"/>
        </w:rPr>
      </w:pPr>
      <w:r w:rsidRPr="00483F48">
        <w:rPr>
          <w:rStyle w:val="FootnoteReference"/>
          <w:sz w:val="16"/>
          <w:szCs w:val="16"/>
        </w:rPr>
        <w:footnoteRef/>
      </w:r>
      <w:r w:rsidRPr="00483F48">
        <w:rPr>
          <w:sz w:val="16"/>
          <w:szCs w:val="16"/>
        </w:rPr>
        <w:t xml:space="preserve"> JRC144123 (2026)</w:t>
      </w:r>
      <w:r w:rsidR="00F55700">
        <w:rPr>
          <w:sz w:val="16"/>
          <w:szCs w:val="16"/>
        </w:rPr>
        <w:t>.</w:t>
      </w:r>
      <w:r w:rsidRPr="00483F48">
        <w:rPr>
          <w:sz w:val="16"/>
          <w:szCs w:val="16"/>
        </w:rPr>
        <w:t xml:space="preserve"> </w:t>
      </w:r>
      <w:hyperlink r:id="rId234" w:history="1">
        <w:r w:rsidRPr="00483F48">
          <w:rPr>
            <w:rStyle w:val="Hyperlink"/>
            <w:sz w:val="16"/>
            <w:szCs w:val="16"/>
          </w:rPr>
          <w:t>Mapping the transition of the EU Cement Industry to Carbon Neutrality</w:t>
        </w:r>
      </w:hyperlink>
      <w:r>
        <w:rPr>
          <w:sz w:val="16"/>
          <w:szCs w:val="16"/>
        </w:rPr>
        <w:t>.</w:t>
      </w:r>
    </w:p>
  </w:footnote>
  <w:footnote w:id="368">
    <w:p w14:paraId="48FB8E42" w14:textId="626BEACB" w:rsidR="004901C3" w:rsidRPr="00483F48" w:rsidRDefault="004901C3" w:rsidP="004901C3">
      <w:pPr>
        <w:pStyle w:val="FootnoteText"/>
        <w:rPr>
          <w:sz w:val="16"/>
          <w:szCs w:val="16"/>
          <w:lang w:val="en-US"/>
        </w:rPr>
      </w:pPr>
      <w:r w:rsidRPr="00483F48">
        <w:rPr>
          <w:rStyle w:val="FootnoteReference"/>
          <w:sz w:val="16"/>
          <w:szCs w:val="16"/>
        </w:rPr>
        <w:footnoteRef/>
      </w:r>
      <w:r w:rsidRPr="00483F48">
        <w:rPr>
          <w:sz w:val="16"/>
          <w:szCs w:val="16"/>
        </w:rPr>
        <w:t xml:space="preserve"> </w:t>
      </w:r>
      <w:r w:rsidRPr="00483F48">
        <w:rPr>
          <w:sz w:val="16"/>
          <w:szCs w:val="16"/>
          <w:lang w:val="en-US"/>
        </w:rPr>
        <w:t>JRC (2024)</w:t>
      </w:r>
      <w:r w:rsidR="00F55700">
        <w:rPr>
          <w:sz w:val="16"/>
          <w:szCs w:val="16"/>
          <w:lang w:val="en-US"/>
        </w:rPr>
        <w:t>.</w:t>
      </w:r>
      <w:r w:rsidRPr="00483F48">
        <w:rPr>
          <w:sz w:val="16"/>
          <w:szCs w:val="16"/>
          <w:lang w:val="en-US"/>
        </w:rPr>
        <w:t xml:space="preserve"> </w:t>
      </w:r>
      <w:hyperlink r:id="rId235" w:history="1">
        <w:r w:rsidRPr="00C27AA1">
          <w:rPr>
            <w:rStyle w:val="Hyperlink"/>
            <w:sz w:val="16"/>
            <w:szCs w:val="16"/>
            <w:lang w:val="en-US"/>
          </w:rPr>
          <w:t>The role of carbon capture across hard-to-abate industries in the EU</w:t>
        </w:r>
        <w:r w:rsidR="00F55700" w:rsidRPr="00C27AA1">
          <w:rPr>
            <w:rStyle w:val="Hyperlink"/>
            <w:sz w:val="16"/>
            <w:szCs w:val="16"/>
            <w:lang w:val="en-US"/>
          </w:rPr>
          <w:t>.</w:t>
        </w:r>
      </w:hyperlink>
    </w:p>
  </w:footnote>
  <w:footnote w:id="369">
    <w:p w14:paraId="74F0D0CC" w14:textId="46AD6B40"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Cavalett, O. </w:t>
      </w:r>
      <w:r w:rsidR="002B7EEE" w:rsidRPr="00720DA1">
        <w:rPr>
          <w:rFonts w:cs="Times New Roman"/>
          <w:sz w:val="16"/>
          <w:szCs w:val="16"/>
        </w:rPr>
        <w:t>(2024).</w:t>
      </w:r>
      <w:r w:rsidRPr="00720DA1">
        <w:rPr>
          <w:rFonts w:cs="Times New Roman"/>
          <w:sz w:val="16"/>
          <w:szCs w:val="16"/>
        </w:rPr>
        <w:t xml:space="preserve"> </w:t>
      </w:r>
      <w:hyperlink r:id="rId236" w:history="1">
        <w:r w:rsidRPr="00482CED">
          <w:rPr>
            <w:rStyle w:val="Hyperlink"/>
            <w:rFonts w:cs="Times New Roman"/>
            <w:sz w:val="16"/>
            <w:szCs w:val="16"/>
          </w:rPr>
          <w:t>Paving the way for sustainable decarbonization of the European cement industry</w:t>
        </w:r>
      </w:hyperlink>
      <w:r w:rsidRPr="00720DA1">
        <w:rPr>
          <w:rFonts w:cs="Times New Roman"/>
          <w:sz w:val="16"/>
          <w:szCs w:val="16"/>
        </w:rPr>
        <w:t xml:space="preserve">. </w:t>
      </w:r>
      <w:r w:rsidRPr="00720DA1">
        <w:rPr>
          <w:rFonts w:cs="Times New Roman"/>
          <w:i/>
          <w:sz w:val="16"/>
          <w:szCs w:val="16"/>
        </w:rPr>
        <w:t>Nat Sustain</w:t>
      </w:r>
      <w:r w:rsidRPr="00720DA1">
        <w:rPr>
          <w:rFonts w:cs="Times New Roman"/>
          <w:sz w:val="16"/>
          <w:szCs w:val="16"/>
        </w:rPr>
        <w:t xml:space="preserve"> </w:t>
      </w:r>
      <w:r w:rsidRPr="00720DA1">
        <w:rPr>
          <w:rFonts w:cs="Times New Roman"/>
          <w:b/>
          <w:sz w:val="16"/>
          <w:szCs w:val="16"/>
        </w:rPr>
        <w:t>7</w:t>
      </w:r>
      <w:r w:rsidRPr="00720DA1">
        <w:rPr>
          <w:rFonts w:cs="Times New Roman"/>
          <w:sz w:val="16"/>
          <w:szCs w:val="16"/>
        </w:rPr>
        <w:t>, 568–580 (2024)</w:t>
      </w:r>
      <w:r w:rsidR="00482CED">
        <w:rPr>
          <w:rFonts w:cs="Times New Roman"/>
          <w:sz w:val="16"/>
          <w:szCs w:val="16"/>
        </w:rPr>
        <w:t>.</w:t>
      </w:r>
    </w:p>
  </w:footnote>
  <w:footnote w:id="370">
    <w:p w14:paraId="234641E4" w14:textId="4373E8A0" w:rsidR="00661AB2" w:rsidRPr="00720DA1" w:rsidRDefault="00661AB2"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 xml:space="preserve">ECRA </w:t>
      </w:r>
      <w:r w:rsidR="00316F95" w:rsidRPr="00720DA1">
        <w:rPr>
          <w:sz w:val="16"/>
          <w:szCs w:val="16"/>
        </w:rPr>
        <w:t>(</w:t>
      </w:r>
      <w:r w:rsidRPr="00720DA1">
        <w:rPr>
          <w:rFonts w:cs="Times New Roman"/>
          <w:sz w:val="16"/>
          <w:szCs w:val="16"/>
        </w:rPr>
        <w:t>2022</w:t>
      </w:r>
      <w:r w:rsidR="00316F95" w:rsidRPr="00720DA1">
        <w:rPr>
          <w:sz w:val="16"/>
          <w:szCs w:val="16"/>
        </w:rPr>
        <w:t>).</w:t>
      </w:r>
      <w:r w:rsidRPr="00720DA1">
        <w:rPr>
          <w:sz w:val="16"/>
          <w:szCs w:val="16"/>
        </w:rPr>
        <w:t xml:space="preserve"> </w:t>
      </w:r>
      <w:hyperlink r:id="rId237" w:history="1">
        <w:r w:rsidRPr="00720DA1">
          <w:rPr>
            <w:rStyle w:val="Hyperlink"/>
            <w:rFonts w:cs="Times New Roman"/>
            <w:sz w:val="16"/>
            <w:szCs w:val="16"/>
          </w:rPr>
          <w:t>ECRA Technology Papers</w:t>
        </w:r>
      </w:hyperlink>
      <w:r w:rsidR="00316F95" w:rsidRPr="00720DA1">
        <w:rPr>
          <w:rFonts w:cs="Times New Roman"/>
          <w:sz w:val="16"/>
          <w:szCs w:val="16"/>
        </w:rPr>
        <w:t>.</w:t>
      </w:r>
    </w:p>
  </w:footnote>
  <w:footnote w:id="371">
    <w:p w14:paraId="595A8558" w14:textId="26A0E7B8" w:rsidR="00661AB2" w:rsidRPr="00720DA1" w:rsidRDefault="00661AB2" w:rsidP="00CE1615">
      <w:pPr>
        <w:rPr>
          <w:rFonts w:cs="Times New Roman"/>
          <w:sz w:val="16"/>
          <w:szCs w:val="16"/>
        </w:rPr>
      </w:pPr>
      <w:r w:rsidRPr="00720DA1">
        <w:rPr>
          <w:rStyle w:val="FootnoteReference"/>
          <w:sz w:val="16"/>
          <w:szCs w:val="16"/>
        </w:rPr>
        <w:footnoteRef/>
      </w:r>
      <w:r w:rsidR="00CE2B25">
        <w:rPr>
          <w:sz w:val="16"/>
          <w:szCs w:val="16"/>
        </w:rPr>
        <w:t xml:space="preserve"> </w:t>
      </w:r>
      <w:r w:rsidR="005D6057" w:rsidRPr="005852B7">
        <w:rPr>
          <w:rFonts w:cs="Times New Roman"/>
          <w:sz w:val="16"/>
          <w:szCs w:val="16"/>
        </w:rPr>
        <w:t xml:space="preserve">Voldsund et al. (2019). </w:t>
      </w:r>
      <w:hyperlink r:id="rId238" w:history="1">
        <w:r w:rsidR="005D6057" w:rsidRPr="005D6057">
          <w:rPr>
            <w:rStyle w:val="Hyperlink"/>
            <w:rFonts w:cs="Times New Roman"/>
            <w:sz w:val="16"/>
            <w:szCs w:val="16"/>
          </w:rPr>
          <w:t>D4.6 CEMCAP comparative techno-economic analysis of CO₂ capture in cement plants</w:t>
        </w:r>
      </w:hyperlink>
      <w:r w:rsidR="005D6057">
        <w:rPr>
          <w:rFonts w:cs="Times New Roman"/>
          <w:sz w:val="16"/>
          <w:szCs w:val="16"/>
        </w:rPr>
        <w:t>.</w:t>
      </w:r>
    </w:p>
  </w:footnote>
  <w:footnote w:id="372">
    <w:p w14:paraId="00BA5FAF" w14:textId="61CD3B4B" w:rsidR="00661AB2" w:rsidRPr="00720DA1" w:rsidRDefault="00661AB2" w:rsidP="00CE1615">
      <w:pPr>
        <w:rPr>
          <w:sz w:val="16"/>
          <w:szCs w:val="16"/>
        </w:rPr>
      </w:pPr>
      <w:r w:rsidRPr="00720DA1">
        <w:rPr>
          <w:rStyle w:val="FootnoteReference"/>
          <w:sz w:val="16"/>
          <w:szCs w:val="16"/>
        </w:rPr>
        <w:footnoteRef/>
      </w:r>
      <w:r w:rsidRPr="00720DA1">
        <w:rPr>
          <w:sz w:val="16"/>
          <w:szCs w:val="16"/>
        </w:rPr>
        <w:t xml:space="preserve"> </w:t>
      </w:r>
      <w:r w:rsidR="00CE5342" w:rsidRPr="00720DA1">
        <w:rPr>
          <w:rFonts w:cs="Times New Roman"/>
          <w:sz w:val="16"/>
          <w:szCs w:val="16"/>
        </w:rPr>
        <w:t xml:space="preserve">ECRA </w:t>
      </w:r>
      <w:r w:rsidR="00CE5342" w:rsidRPr="00720DA1">
        <w:rPr>
          <w:sz w:val="16"/>
          <w:szCs w:val="16"/>
        </w:rPr>
        <w:t>(</w:t>
      </w:r>
      <w:r w:rsidR="00CE5342" w:rsidRPr="00720DA1">
        <w:rPr>
          <w:rFonts w:cs="Times New Roman"/>
          <w:sz w:val="16"/>
          <w:szCs w:val="16"/>
        </w:rPr>
        <w:t>2022</w:t>
      </w:r>
      <w:r w:rsidR="00CE5342" w:rsidRPr="00720DA1">
        <w:rPr>
          <w:sz w:val="16"/>
          <w:szCs w:val="16"/>
        </w:rPr>
        <w:t xml:space="preserve">). </w:t>
      </w:r>
      <w:hyperlink r:id="rId239" w:history="1">
        <w:r w:rsidRPr="00720DA1">
          <w:rPr>
            <w:rStyle w:val="Hyperlink"/>
            <w:rFonts w:cs="Times New Roman"/>
            <w:sz w:val="16"/>
            <w:szCs w:val="16"/>
          </w:rPr>
          <w:t>ECRA Technology Papers</w:t>
        </w:r>
      </w:hyperlink>
      <w:r w:rsidRPr="00720DA1">
        <w:rPr>
          <w:rFonts w:cs="Times New Roman"/>
          <w:sz w:val="16"/>
          <w:szCs w:val="16"/>
        </w:rPr>
        <w:t xml:space="preserve">. </w:t>
      </w:r>
    </w:p>
  </w:footnote>
  <w:footnote w:id="373">
    <w:p w14:paraId="6264C461" w14:textId="3E80949E" w:rsidR="00661AB2" w:rsidRPr="00720DA1" w:rsidRDefault="00661AB2" w:rsidP="00BF0528">
      <w:pPr>
        <w:jc w:val="left"/>
        <w:rPr>
          <w:sz w:val="16"/>
          <w:szCs w:val="16"/>
        </w:rPr>
      </w:pPr>
      <w:r w:rsidRPr="00720DA1">
        <w:rPr>
          <w:rStyle w:val="FootnoteReference"/>
          <w:sz w:val="16"/>
          <w:szCs w:val="16"/>
        </w:rPr>
        <w:footnoteRef/>
      </w:r>
      <w:r w:rsidR="00022883" w:rsidRPr="00720DA1">
        <w:rPr>
          <w:sz w:val="16"/>
          <w:szCs w:val="16"/>
        </w:rPr>
        <w:t xml:space="preserve"> </w:t>
      </w:r>
      <w:r w:rsidR="000E7CB6" w:rsidRPr="005D6057">
        <w:rPr>
          <w:sz w:val="16"/>
          <w:szCs w:val="16"/>
        </w:rPr>
        <w:t>V</w:t>
      </w:r>
      <w:r w:rsidR="000E7CB6" w:rsidRPr="00720DA1">
        <w:rPr>
          <w:sz w:val="16"/>
          <w:szCs w:val="16"/>
        </w:rPr>
        <w:t xml:space="preserve">oldsund et al. (2019). </w:t>
      </w:r>
      <w:hyperlink r:id="rId240" w:history="1">
        <w:r w:rsidR="000E7CB6" w:rsidRPr="00720DA1">
          <w:rPr>
            <w:rStyle w:val="Hyperlink"/>
            <w:sz w:val="16"/>
            <w:szCs w:val="16"/>
          </w:rPr>
          <w:t>D4.6 CEMCAP comparative techno-economic analysis of CO₂ capture in cement plants</w:t>
        </w:r>
      </w:hyperlink>
      <w:r w:rsidR="000E7CB6" w:rsidRPr="00BF0528">
        <w:rPr>
          <w:rFonts w:cs="Times New Roman"/>
          <w:sz w:val="16"/>
          <w:szCs w:val="16"/>
        </w:rPr>
        <w:t>.</w:t>
      </w:r>
    </w:p>
  </w:footnote>
  <w:footnote w:id="374">
    <w:p w14:paraId="48828F4C" w14:textId="49519D25" w:rsidR="00661AB2" w:rsidRPr="00720DA1" w:rsidRDefault="00661AB2" w:rsidP="00BF0528">
      <w:pPr>
        <w:jc w:val="lef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 xml:space="preserve">ECRA </w:t>
      </w:r>
      <w:r w:rsidR="00CE5342" w:rsidRPr="00720DA1">
        <w:rPr>
          <w:sz w:val="16"/>
          <w:szCs w:val="16"/>
        </w:rPr>
        <w:t>(</w:t>
      </w:r>
      <w:r w:rsidR="00CE5342" w:rsidRPr="00BF0528">
        <w:rPr>
          <w:rFonts w:cs="Times New Roman"/>
          <w:sz w:val="16"/>
          <w:szCs w:val="16"/>
        </w:rPr>
        <w:t>2022</w:t>
      </w:r>
      <w:r w:rsidR="00CE5342" w:rsidRPr="00720DA1">
        <w:rPr>
          <w:sz w:val="16"/>
          <w:szCs w:val="16"/>
        </w:rPr>
        <w:t xml:space="preserve">). </w:t>
      </w:r>
      <w:hyperlink r:id="rId241" w:history="1">
        <w:r w:rsidR="00CE5342" w:rsidRPr="00BF0528">
          <w:rPr>
            <w:rStyle w:val="Hyperlink"/>
            <w:rFonts w:cs="Times New Roman"/>
            <w:sz w:val="16"/>
            <w:szCs w:val="16"/>
          </w:rPr>
          <w:t>ECRA Technology Papers</w:t>
        </w:r>
      </w:hyperlink>
      <w:r w:rsidRPr="00BF0528">
        <w:rPr>
          <w:rFonts w:cs="Times New Roman"/>
          <w:sz w:val="16"/>
          <w:szCs w:val="16"/>
        </w:rPr>
        <w:t xml:space="preserve">. </w:t>
      </w:r>
    </w:p>
  </w:footnote>
  <w:footnote w:id="375">
    <w:p w14:paraId="53C02253" w14:textId="307FBF25" w:rsidR="00661AB2" w:rsidRPr="00BF0528" w:rsidRDefault="00661AB2" w:rsidP="00BF0528">
      <w:pPr>
        <w:jc w:val="left"/>
        <w:rPr>
          <w:rFonts w:cs="Times New Roman"/>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 xml:space="preserve">IEAGHG </w:t>
      </w:r>
      <w:r w:rsidR="00F55C93" w:rsidRPr="00BF0528">
        <w:rPr>
          <w:rFonts w:cs="Times New Roman"/>
          <w:sz w:val="16"/>
          <w:szCs w:val="16"/>
        </w:rPr>
        <w:t xml:space="preserve">(2013). </w:t>
      </w:r>
      <w:hyperlink r:id="rId242" w:history="1">
        <w:r w:rsidR="00F55C93" w:rsidRPr="00BF0528">
          <w:rPr>
            <w:rStyle w:val="Hyperlink"/>
            <w:rFonts w:cs="Times New Roman"/>
            <w:sz w:val="16"/>
            <w:szCs w:val="16"/>
          </w:rPr>
          <w:t>Deployment of CCS in the Cement Industry</w:t>
        </w:r>
      </w:hyperlink>
      <w:r w:rsidRPr="00BF0528">
        <w:rPr>
          <w:rFonts w:cs="Times New Roman"/>
          <w:sz w:val="16"/>
          <w:szCs w:val="16"/>
        </w:rPr>
        <w:t xml:space="preserve">. </w:t>
      </w:r>
    </w:p>
  </w:footnote>
  <w:footnote w:id="376">
    <w:p w14:paraId="0CF1A5DE" w14:textId="46AE4679" w:rsidR="00661AB2" w:rsidRPr="00720DA1" w:rsidRDefault="00661AB2" w:rsidP="00BF0528">
      <w:pPr>
        <w:jc w:val="lef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 xml:space="preserve">ECRA </w:t>
      </w:r>
      <w:r w:rsidR="00CE5342" w:rsidRPr="00720DA1">
        <w:rPr>
          <w:sz w:val="16"/>
          <w:szCs w:val="16"/>
        </w:rPr>
        <w:t>(</w:t>
      </w:r>
      <w:r w:rsidR="00CE5342" w:rsidRPr="00BF0528">
        <w:rPr>
          <w:rFonts w:cs="Times New Roman"/>
          <w:sz w:val="16"/>
          <w:szCs w:val="16"/>
        </w:rPr>
        <w:t>2022</w:t>
      </w:r>
      <w:r w:rsidR="00CE5342" w:rsidRPr="00720DA1">
        <w:rPr>
          <w:sz w:val="16"/>
          <w:szCs w:val="16"/>
        </w:rPr>
        <w:t xml:space="preserve">). </w:t>
      </w:r>
      <w:hyperlink r:id="rId243" w:history="1">
        <w:r w:rsidR="00CE5342" w:rsidRPr="00BF0528">
          <w:rPr>
            <w:rStyle w:val="Hyperlink"/>
            <w:rFonts w:cs="Times New Roman"/>
            <w:sz w:val="16"/>
            <w:szCs w:val="16"/>
          </w:rPr>
          <w:t>ECRA Technology Papers</w:t>
        </w:r>
      </w:hyperlink>
      <w:r w:rsidR="00194E56" w:rsidRPr="00BF0528">
        <w:rPr>
          <w:rFonts w:cs="Times New Roman"/>
          <w:sz w:val="16"/>
          <w:szCs w:val="16"/>
        </w:rPr>
        <w:t>.</w:t>
      </w:r>
    </w:p>
  </w:footnote>
  <w:footnote w:id="377">
    <w:p w14:paraId="7610EA25" w14:textId="4A9E5CCC" w:rsidR="001F3CC3" w:rsidRPr="00BF0528" w:rsidRDefault="001F3CC3" w:rsidP="00BF0528">
      <w:pPr>
        <w:pStyle w:val="FootnoteText"/>
        <w:jc w:val="left"/>
        <w:rPr>
          <w:rFonts w:cs="Times New Roman"/>
          <w:sz w:val="16"/>
          <w:szCs w:val="16"/>
          <w:lang w:val="en-IE"/>
        </w:rPr>
      </w:pPr>
      <w:r w:rsidRPr="005D6057">
        <w:rPr>
          <w:rStyle w:val="FootnoteReference"/>
          <w:sz w:val="16"/>
          <w:szCs w:val="16"/>
        </w:rPr>
        <w:footnoteRef/>
      </w:r>
      <w:r w:rsidRPr="005D6057">
        <w:rPr>
          <w:sz w:val="16"/>
          <w:szCs w:val="16"/>
        </w:rPr>
        <w:t xml:space="preserve"> </w:t>
      </w:r>
      <w:r w:rsidR="0057356B" w:rsidRPr="005D6057">
        <w:rPr>
          <w:sz w:val="16"/>
          <w:szCs w:val="16"/>
        </w:rPr>
        <w:t>V</w:t>
      </w:r>
      <w:r w:rsidR="0057356B" w:rsidRPr="00720DA1">
        <w:rPr>
          <w:sz w:val="16"/>
          <w:szCs w:val="16"/>
        </w:rPr>
        <w:t xml:space="preserve">oldsund et al. (2019). </w:t>
      </w:r>
      <w:hyperlink r:id="rId244" w:history="1">
        <w:r w:rsidR="0057356B" w:rsidRPr="00720DA1">
          <w:rPr>
            <w:rStyle w:val="Hyperlink"/>
            <w:sz w:val="16"/>
            <w:szCs w:val="16"/>
          </w:rPr>
          <w:t>D4.6 CEMCAP comparative techno-economic analysis of CO₂ capture in cement plants</w:t>
        </w:r>
      </w:hyperlink>
      <w:r w:rsidR="0057356B" w:rsidRPr="00BF0528">
        <w:rPr>
          <w:rFonts w:cs="Times New Roman"/>
          <w:sz w:val="16"/>
          <w:szCs w:val="16"/>
        </w:rPr>
        <w:t>.</w:t>
      </w:r>
    </w:p>
  </w:footnote>
  <w:footnote w:id="378">
    <w:p w14:paraId="1C1B1C1A" w14:textId="5FE9DC13" w:rsidR="00661AB2" w:rsidRPr="00BF0528" w:rsidRDefault="00661AB2" w:rsidP="00BF0528">
      <w:pPr>
        <w:jc w:val="left"/>
        <w:rPr>
          <w:rFonts w:cs="Times New Roman"/>
          <w:sz w:val="16"/>
          <w:szCs w:val="16"/>
        </w:rPr>
      </w:pPr>
      <w:r w:rsidRPr="00720DA1">
        <w:rPr>
          <w:rStyle w:val="FootnoteReference"/>
          <w:sz w:val="16"/>
          <w:szCs w:val="16"/>
        </w:rPr>
        <w:footnoteRef/>
      </w:r>
      <w:r w:rsidR="0057356B">
        <w:rPr>
          <w:sz w:val="16"/>
          <w:szCs w:val="16"/>
        </w:rPr>
        <w:t xml:space="preserve"> </w:t>
      </w:r>
      <w:r w:rsidR="000E7CB6">
        <w:rPr>
          <w:sz w:val="16"/>
          <w:szCs w:val="16"/>
        </w:rPr>
        <w:t>Ibid.</w:t>
      </w:r>
    </w:p>
  </w:footnote>
  <w:footnote w:id="379">
    <w:p w14:paraId="7B032C91" w14:textId="21B5E6D6" w:rsidR="00661AB2" w:rsidRPr="00720DA1" w:rsidRDefault="00661AB2" w:rsidP="00BF0528">
      <w:pPr>
        <w:jc w:val="lef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 xml:space="preserve">ECRA </w:t>
      </w:r>
      <w:r w:rsidR="00CE5342" w:rsidRPr="00720DA1">
        <w:rPr>
          <w:sz w:val="16"/>
          <w:szCs w:val="16"/>
        </w:rPr>
        <w:t>(</w:t>
      </w:r>
      <w:r w:rsidR="00CE5342" w:rsidRPr="00BF0528">
        <w:rPr>
          <w:rFonts w:cs="Times New Roman"/>
          <w:sz w:val="16"/>
          <w:szCs w:val="16"/>
        </w:rPr>
        <w:t>2022</w:t>
      </w:r>
      <w:r w:rsidR="00CE5342" w:rsidRPr="00720DA1">
        <w:rPr>
          <w:sz w:val="16"/>
          <w:szCs w:val="16"/>
        </w:rPr>
        <w:t xml:space="preserve">). </w:t>
      </w:r>
      <w:hyperlink r:id="rId245" w:history="1">
        <w:r w:rsidR="00CE5342" w:rsidRPr="00BF0528">
          <w:rPr>
            <w:rStyle w:val="Hyperlink"/>
            <w:rFonts w:cs="Times New Roman"/>
            <w:sz w:val="16"/>
            <w:szCs w:val="16"/>
          </w:rPr>
          <w:t>ECRA Technology Papers</w:t>
        </w:r>
      </w:hyperlink>
      <w:r w:rsidR="00194E56" w:rsidRPr="00BF0528">
        <w:rPr>
          <w:rFonts w:cs="Times New Roman"/>
          <w:sz w:val="16"/>
          <w:szCs w:val="16"/>
        </w:rPr>
        <w:t>.</w:t>
      </w:r>
    </w:p>
  </w:footnote>
  <w:footnote w:id="380">
    <w:p w14:paraId="43D1B4A1" w14:textId="77777777" w:rsidR="00661AB2" w:rsidRPr="00720DA1" w:rsidRDefault="00661AB2" w:rsidP="00BF0528">
      <w:pPr>
        <w:jc w:val="lef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Ibid.</w:t>
      </w:r>
    </w:p>
  </w:footnote>
  <w:footnote w:id="381">
    <w:p w14:paraId="5F0B6B5D" w14:textId="77777777" w:rsidR="00661AB2" w:rsidRPr="00720DA1" w:rsidRDefault="00661AB2" w:rsidP="00BF0528">
      <w:pPr>
        <w:jc w:val="lef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Ibid.</w:t>
      </w:r>
    </w:p>
  </w:footnote>
  <w:footnote w:id="382">
    <w:p w14:paraId="5422B7AF" w14:textId="77777777" w:rsidR="00661AB2" w:rsidRPr="00720DA1" w:rsidRDefault="00661AB2" w:rsidP="00CE1615">
      <w:pPr>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Ibid.</w:t>
      </w:r>
    </w:p>
  </w:footnote>
  <w:footnote w:id="383">
    <w:p w14:paraId="52ED99CD" w14:textId="7A1C568F" w:rsidR="00661AB2" w:rsidRPr="00720DA1" w:rsidRDefault="00661AB2" w:rsidP="00CE1615">
      <w:pPr>
        <w:pStyle w:val="FootnoteText"/>
        <w:rPr>
          <w:sz w:val="16"/>
          <w:szCs w:val="16"/>
        </w:rPr>
      </w:pPr>
      <w:r w:rsidRPr="00720DA1">
        <w:rPr>
          <w:rStyle w:val="FootnoteReference"/>
          <w:sz w:val="16"/>
          <w:szCs w:val="16"/>
        </w:rPr>
        <w:footnoteRef/>
      </w:r>
      <w:r w:rsidR="00CF776F" w:rsidRPr="00720DA1">
        <w:rPr>
          <w:sz w:val="16"/>
          <w:szCs w:val="16"/>
        </w:rPr>
        <w:t xml:space="preserve"> Leilac (</w:t>
      </w:r>
      <w:r w:rsidR="00CB0F85" w:rsidRPr="00720DA1">
        <w:rPr>
          <w:sz w:val="16"/>
          <w:szCs w:val="16"/>
        </w:rPr>
        <w:t>2023).</w:t>
      </w:r>
      <w:r w:rsidRPr="00720DA1">
        <w:rPr>
          <w:sz w:val="16"/>
          <w:szCs w:val="16"/>
        </w:rPr>
        <w:t xml:space="preserve"> </w:t>
      </w:r>
      <w:hyperlink r:id="rId246" w:history="1">
        <w:r w:rsidRPr="00720DA1">
          <w:rPr>
            <w:rStyle w:val="Hyperlink"/>
            <w:rFonts w:cs="Times New Roman"/>
            <w:sz w:val="16"/>
            <w:szCs w:val="16"/>
          </w:rPr>
          <w:t>A techno-economic analysis of the Leilac technology at full commercial scale</w:t>
        </w:r>
      </w:hyperlink>
      <w:r w:rsidRPr="00720DA1">
        <w:rPr>
          <w:rFonts w:cs="Times New Roman"/>
          <w:sz w:val="16"/>
          <w:szCs w:val="16"/>
        </w:rPr>
        <w:t xml:space="preserve">. </w:t>
      </w:r>
    </w:p>
  </w:footnote>
  <w:footnote w:id="384">
    <w:p w14:paraId="00323687" w14:textId="0C9E41E4" w:rsidR="00661AB2" w:rsidRPr="00720DA1" w:rsidRDefault="00661AB2" w:rsidP="00CE1615">
      <w:pPr>
        <w:rPr>
          <w:sz w:val="16"/>
          <w:szCs w:val="16"/>
        </w:rPr>
      </w:pPr>
      <w:r w:rsidRPr="00720DA1">
        <w:rPr>
          <w:rStyle w:val="FootnoteReference"/>
          <w:sz w:val="16"/>
          <w:szCs w:val="16"/>
        </w:rPr>
        <w:footnoteRef/>
      </w:r>
      <w:r w:rsidRPr="00720DA1">
        <w:rPr>
          <w:sz w:val="16"/>
          <w:szCs w:val="16"/>
        </w:rPr>
        <w:t xml:space="preserve"> </w:t>
      </w:r>
      <w:r w:rsidR="00597368" w:rsidRPr="00720DA1">
        <w:rPr>
          <w:sz w:val="16"/>
          <w:szCs w:val="16"/>
        </w:rPr>
        <w:t xml:space="preserve">ECRA (2022). </w:t>
      </w:r>
      <w:hyperlink r:id="rId247" w:history="1">
        <w:r w:rsidR="00597368" w:rsidRPr="00720DA1">
          <w:rPr>
            <w:rStyle w:val="Hyperlink"/>
            <w:rFonts w:cs="Times New Roman"/>
            <w:sz w:val="16"/>
            <w:szCs w:val="16"/>
          </w:rPr>
          <w:t>ECRA Technology Papers</w:t>
        </w:r>
      </w:hyperlink>
      <w:r w:rsidR="00597368" w:rsidRPr="00720DA1">
        <w:rPr>
          <w:rFonts w:cs="Times New Roman"/>
          <w:sz w:val="16"/>
          <w:szCs w:val="16"/>
        </w:rPr>
        <w:t>.</w:t>
      </w:r>
    </w:p>
  </w:footnote>
  <w:footnote w:id="385">
    <w:p w14:paraId="21627F7C" w14:textId="77777777" w:rsidR="00661AB2" w:rsidRPr="00720DA1" w:rsidRDefault="00661AB2" w:rsidP="00CE1615">
      <w:pPr>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Ibid.</w:t>
      </w:r>
    </w:p>
  </w:footnote>
  <w:footnote w:id="386">
    <w:p w14:paraId="5AC1727E" w14:textId="0E9FA81E" w:rsidR="00661AB2" w:rsidRPr="00720DA1" w:rsidRDefault="00661AB2" w:rsidP="00022883">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Marmier, A</w:t>
      </w:r>
      <w:r w:rsidR="00CB0F85" w:rsidRPr="00720DA1">
        <w:rPr>
          <w:sz w:val="16"/>
          <w:szCs w:val="16"/>
        </w:rPr>
        <w:t xml:space="preserve">. </w:t>
      </w:r>
      <w:r w:rsidR="00745DEF">
        <w:rPr>
          <w:sz w:val="16"/>
          <w:szCs w:val="16"/>
        </w:rPr>
        <w:t xml:space="preserve">(JRC) </w:t>
      </w:r>
      <w:r w:rsidR="00CB0F85" w:rsidRPr="00720DA1">
        <w:rPr>
          <w:sz w:val="16"/>
          <w:szCs w:val="16"/>
        </w:rPr>
        <w:t>(2023)</w:t>
      </w:r>
      <w:r w:rsidR="00136B91">
        <w:rPr>
          <w:sz w:val="16"/>
          <w:szCs w:val="16"/>
        </w:rPr>
        <w:t>.</w:t>
      </w:r>
      <w:r w:rsidR="00CB0F85" w:rsidRPr="00720DA1">
        <w:rPr>
          <w:sz w:val="16"/>
          <w:szCs w:val="16"/>
        </w:rPr>
        <w:t xml:space="preserve"> </w:t>
      </w:r>
      <w:hyperlink r:id="rId248" w:history="1">
        <w:r w:rsidR="00CB0F85" w:rsidRPr="003C668A">
          <w:rPr>
            <w:rStyle w:val="Hyperlink"/>
            <w:sz w:val="16"/>
            <w:szCs w:val="16"/>
          </w:rPr>
          <w:t>Decarbonisation options for the cement industry</w:t>
        </w:r>
      </w:hyperlink>
      <w:r w:rsidR="00CB0F85" w:rsidRPr="00720DA1">
        <w:rPr>
          <w:sz w:val="16"/>
          <w:szCs w:val="16"/>
        </w:rPr>
        <w:t>.</w:t>
      </w:r>
    </w:p>
  </w:footnote>
  <w:footnote w:id="387">
    <w:p w14:paraId="4A5227B6" w14:textId="53151705" w:rsidR="00661AB2" w:rsidRPr="00720DA1" w:rsidRDefault="00661AB2" w:rsidP="00661AB2">
      <w:pPr>
        <w:pStyle w:val="FootnoteText"/>
        <w:rPr>
          <w:sz w:val="16"/>
          <w:szCs w:val="16"/>
        </w:rPr>
      </w:pPr>
      <w:r w:rsidRPr="00720DA1">
        <w:rPr>
          <w:rStyle w:val="FootnoteReference"/>
          <w:sz w:val="16"/>
          <w:szCs w:val="16"/>
        </w:rPr>
        <w:footnoteRef/>
      </w:r>
      <w:r w:rsidRPr="00720DA1">
        <w:rPr>
          <w:sz w:val="16"/>
          <w:szCs w:val="16"/>
        </w:rPr>
        <w:t xml:space="preserve"> </w:t>
      </w:r>
      <w:r w:rsidR="00720DA1" w:rsidRPr="0040703F">
        <w:rPr>
          <w:sz w:val="16"/>
          <w:szCs w:val="16"/>
        </w:rPr>
        <w:t xml:space="preserve">Mission Possible Partnership (MPP), E3G and the Industrial Transition Accelerator (ITA) (2025). </w:t>
      </w:r>
      <w:hyperlink r:id="rId249" w:history="1">
        <w:r w:rsidR="00720DA1" w:rsidRPr="0040703F">
          <w:rPr>
            <w:rStyle w:val="Hyperlink"/>
            <w:sz w:val="16"/>
            <w:szCs w:val="16"/>
          </w:rPr>
          <w:t>Building the EU’s Clean Industrial Future: Unlocking Investment through Lead Markets</w:t>
        </w:r>
      </w:hyperlink>
      <w:r w:rsidRPr="00720DA1">
        <w:rPr>
          <w:sz w:val="16"/>
          <w:szCs w:val="16"/>
        </w:rPr>
        <w:t>.</w:t>
      </w:r>
    </w:p>
  </w:footnote>
  <w:footnote w:id="388">
    <w:p w14:paraId="4CCA4616" w14:textId="22BDA602" w:rsidR="00661AB2" w:rsidRPr="00720DA1" w:rsidRDefault="00661AB2" w:rsidP="00CE1615">
      <w:pPr>
        <w:pStyle w:val="FootnoteText"/>
        <w:rPr>
          <w:sz w:val="16"/>
          <w:szCs w:val="16"/>
        </w:rPr>
      </w:pPr>
      <w:r w:rsidRPr="00720DA1">
        <w:rPr>
          <w:rStyle w:val="FootnoteReference"/>
          <w:sz w:val="16"/>
          <w:szCs w:val="16"/>
        </w:rPr>
        <w:footnoteRef/>
      </w:r>
      <w:r w:rsidRPr="00720DA1">
        <w:rPr>
          <w:sz w:val="16"/>
          <w:szCs w:val="16"/>
        </w:rPr>
        <w:t xml:space="preserve"> </w:t>
      </w:r>
      <w:r w:rsidR="00597368" w:rsidRPr="00720DA1">
        <w:rPr>
          <w:sz w:val="16"/>
          <w:szCs w:val="16"/>
        </w:rPr>
        <w:t xml:space="preserve">ECRA (2022). </w:t>
      </w:r>
      <w:hyperlink r:id="rId250" w:history="1">
        <w:r w:rsidR="00597368" w:rsidRPr="00720DA1">
          <w:rPr>
            <w:rStyle w:val="Hyperlink"/>
            <w:rFonts w:cs="Times New Roman"/>
            <w:sz w:val="16"/>
            <w:szCs w:val="16"/>
          </w:rPr>
          <w:t>ECRA Technology Papers</w:t>
        </w:r>
      </w:hyperlink>
      <w:r w:rsidR="00597368" w:rsidRPr="00720DA1">
        <w:rPr>
          <w:rFonts w:cs="Times New Roman"/>
          <w:sz w:val="16"/>
          <w:szCs w:val="16"/>
        </w:rPr>
        <w:t>.</w:t>
      </w:r>
    </w:p>
  </w:footnote>
  <w:footnote w:id="389">
    <w:p w14:paraId="4C80BEEE" w14:textId="61C4960C" w:rsidR="0013050A" w:rsidRPr="0013050A" w:rsidRDefault="00661AB2" w:rsidP="00CE1615">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005852B7" w:rsidRPr="005852B7">
        <w:rPr>
          <w:rFonts w:cs="Times New Roman"/>
          <w:sz w:val="16"/>
          <w:szCs w:val="16"/>
        </w:rPr>
        <w:t xml:space="preserve">Voldsund et al. (2019). </w:t>
      </w:r>
      <w:hyperlink r:id="rId251" w:history="1">
        <w:r w:rsidR="005852B7" w:rsidRPr="005D6057">
          <w:rPr>
            <w:rStyle w:val="Hyperlink"/>
            <w:rFonts w:cs="Times New Roman"/>
            <w:sz w:val="16"/>
            <w:szCs w:val="16"/>
          </w:rPr>
          <w:t>D4.6 CEMCAP comparative techno-economic analysis of CO₂ capture in cement plants</w:t>
        </w:r>
      </w:hyperlink>
      <w:r w:rsidR="005D6057">
        <w:rPr>
          <w:rFonts w:cs="Times New Roman"/>
          <w:sz w:val="16"/>
          <w:szCs w:val="16"/>
        </w:rPr>
        <w:t>.</w:t>
      </w:r>
    </w:p>
  </w:footnote>
  <w:footnote w:id="390">
    <w:p w14:paraId="55871F77" w14:textId="7A03CED4"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70CC3">
        <w:rPr>
          <w:rFonts w:cs="Times New Roman"/>
          <w:sz w:val="16"/>
          <w:szCs w:val="16"/>
        </w:rPr>
        <w:t xml:space="preserve">European Commission webpage. </w:t>
      </w:r>
      <w:hyperlink r:id="rId252">
        <w:r w:rsidR="00770CC3">
          <w:rPr>
            <w:rStyle w:val="Hyperlink"/>
            <w:rFonts w:cs="Times New Roman"/>
            <w:sz w:val="16"/>
            <w:szCs w:val="16"/>
          </w:rPr>
          <w:t>Ceramics</w:t>
        </w:r>
      </w:hyperlink>
      <w:r w:rsidR="00770CC3">
        <w:rPr>
          <w:sz w:val="16"/>
          <w:szCs w:val="16"/>
        </w:rPr>
        <w:t>.</w:t>
      </w:r>
    </w:p>
  </w:footnote>
  <w:footnote w:id="391">
    <w:p w14:paraId="3BCEEDB9" w14:textId="7F72531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770CC3">
        <w:rPr>
          <w:rFonts w:cs="Times New Roman"/>
          <w:sz w:val="16"/>
          <w:szCs w:val="16"/>
        </w:rPr>
        <w:t xml:space="preserve"> Market Data Forecast (2025).</w:t>
      </w:r>
      <w:r w:rsidRPr="00720DA1">
        <w:rPr>
          <w:rFonts w:cs="Times New Roman"/>
          <w:sz w:val="16"/>
          <w:szCs w:val="16"/>
        </w:rPr>
        <w:t xml:space="preserve"> </w:t>
      </w:r>
      <w:hyperlink r:id="rId253">
        <w:r w:rsidR="00770CC3">
          <w:rPr>
            <w:rStyle w:val="Hyperlink"/>
            <w:rFonts w:cs="Times New Roman"/>
            <w:sz w:val="16"/>
            <w:szCs w:val="16"/>
          </w:rPr>
          <w:t>Europe Ceramic Tiles Market</w:t>
        </w:r>
      </w:hyperlink>
      <w:r w:rsidR="00770CC3">
        <w:rPr>
          <w:sz w:val="16"/>
          <w:szCs w:val="16"/>
        </w:rPr>
        <w:t>.</w:t>
      </w:r>
    </w:p>
  </w:footnote>
  <w:footnote w:id="392">
    <w:p w14:paraId="0C82B5B7" w14:textId="1CC9E29A"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F3288" w:rsidRPr="006F3288">
        <w:rPr>
          <w:rFonts w:cs="Times New Roman"/>
          <w:sz w:val="16"/>
          <w:szCs w:val="16"/>
        </w:rPr>
        <w:t>Cerame-Unie</w:t>
      </w:r>
      <w:r w:rsidR="006F3288">
        <w:rPr>
          <w:rFonts w:cs="Times New Roman"/>
          <w:sz w:val="16"/>
          <w:szCs w:val="16"/>
        </w:rPr>
        <w:t xml:space="preserve"> webpage.</w:t>
      </w:r>
      <w:r w:rsidR="006F3288" w:rsidRPr="006F3288">
        <w:rPr>
          <w:rFonts w:cs="Times New Roman"/>
          <w:sz w:val="16"/>
          <w:szCs w:val="16"/>
        </w:rPr>
        <w:t xml:space="preserve"> </w:t>
      </w:r>
      <w:hyperlink r:id="rId254">
        <w:r w:rsidR="006F3288">
          <w:rPr>
            <w:rStyle w:val="Hyperlink"/>
            <w:rFonts w:cs="Times New Roman"/>
            <w:sz w:val="16"/>
            <w:szCs w:val="16"/>
          </w:rPr>
          <w:t>Ceramic Industry</w:t>
        </w:r>
      </w:hyperlink>
      <w:r w:rsidR="006F3288">
        <w:rPr>
          <w:sz w:val="16"/>
          <w:szCs w:val="16"/>
        </w:rPr>
        <w:t>.</w:t>
      </w:r>
    </w:p>
  </w:footnote>
  <w:footnote w:id="393">
    <w:p w14:paraId="0D81E95A" w14:textId="67038AA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E03A0B">
        <w:rPr>
          <w:rFonts w:cs="Times New Roman"/>
          <w:sz w:val="16"/>
          <w:szCs w:val="16"/>
        </w:rPr>
        <w:t xml:space="preserve">Blog Sicer (2024). </w:t>
      </w:r>
      <w:hyperlink r:id="rId255">
        <w:r w:rsidR="00E03A0B">
          <w:rPr>
            <w:rStyle w:val="Hyperlink"/>
            <w:rFonts w:cs="Times New Roman"/>
            <w:sz w:val="16"/>
            <w:szCs w:val="16"/>
          </w:rPr>
          <w:t>From the record of 2022 to the decline of 2023: fluctuations in the Italian Ceramic Industry</w:t>
        </w:r>
      </w:hyperlink>
      <w:r w:rsidR="00E03A0B">
        <w:rPr>
          <w:sz w:val="16"/>
          <w:szCs w:val="16"/>
        </w:rPr>
        <w:t>.</w:t>
      </w:r>
    </w:p>
  </w:footnote>
  <w:footnote w:id="394">
    <w:p w14:paraId="4BE1DA31" w14:textId="75BAE80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8642F" w:rsidRPr="006F3288">
        <w:rPr>
          <w:rFonts w:cs="Times New Roman"/>
          <w:sz w:val="16"/>
          <w:szCs w:val="16"/>
        </w:rPr>
        <w:t>Cerame-Unie</w:t>
      </w:r>
      <w:r w:rsidR="0038642F">
        <w:rPr>
          <w:rFonts w:cs="Times New Roman"/>
          <w:sz w:val="16"/>
          <w:szCs w:val="16"/>
        </w:rPr>
        <w:t xml:space="preserve"> webpage</w:t>
      </w:r>
      <w:r w:rsidR="0038642F">
        <w:rPr>
          <w:sz w:val="16"/>
          <w:szCs w:val="16"/>
        </w:rPr>
        <w:t xml:space="preserve">. </w:t>
      </w:r>
      <w:hyperlink r:id="rId256">
        <w:r w:rsidRPr="00720DA1">
          <w:rPr>
            <w:rStyle w:val="Hyperlink"/>
            <w:rFonts w:cs="Times New Roman"/>
            <w:sz w:val="16"/>
            <w:szCs w:val="16"/>
          </w:rPr>
          <w:t>Continuing our Path towards Climate Neutrality - Ceramic Roadmap 2050</w:t>
        </w:r>
      </w:hyperlink>
      <w:r w:rsidR="0038642F">
        <w:rPr>
          <w:sz w:val="16"/>
          <w:szCs w:val="16"/>
        </w:rPr>
        <w:t>.</w:t>
      </w:r>
    </w:p>
  </w:footnote>
  <w:footnote w:id="395">
    <w:p w14:paraId="5F2933DC" w14:textId="14841DA4" w:rsidR="0015182F" w:rsidRPr="005571ED" w:rsidRDefault="0015182F" w:rsidP="0015182F">
      <w:pPr>
        <w:pStyle w:val="FootnoteText"/>
        <w:rPr>
          <w:sz w:val="16"/>
          <w:szCs w:val="16"/>
          <w:lang w:val="en-US"/>
        </w:rPr>
      </w:pPr>
      <w:r w:rsidRPr="005571ED">
        <w:rPr>
          <w:rStyle w:val="FootnoteReference"/>
          <w:sz w:val="16"/>
          <w:szCs w:val="16"/>
        </w:rPr>
        <w:footnoteRef/>
      </w:r>
      <w:r w:rsidRPr="005571ED">
        <w:rPr>
          <w:sz w:val="16"/>
          <w:szCs w:val="16"/>
        </w:rPr>
        <w:t xml:space="preserve"> </w:t>
      </w:r>
      <w:r>
        <w:rPr>
          <w:sz w:val="16"/>
          <w:szCs w:val="16"/>
        </w:rPr>
        <w:t>JRC (2026)</w:t>
      </w:r>
      <w:r w:rsidR="005A0CF6">
        <w:rPr>
          <w:sz w:val="16"/>
          <w:szCs w:val="16"/>
        </w:rPr>
        <w:t>.</w:t>
      </w:r>
      <w:r>
        <w:rPr>
          <w:sz w:val="16"/>
          <w:szCs w:val="16"/>
        </w:rPr>
        <w:t xml:space="preserve"> </w:t>
      </w:r>
      <w:hyperlink r:id="rId257" w:history="1">
        <w:r w:rsidRPr="005571ED">
          <w:rPr>
            <w:rStyle w:val="Hyperlink"/>
            <w:sz w:val="16"/>
            <w:szCs w:val="16"/>
          </w:rPr>
          <w:t>Mapping the Transition of the EU Ceramics Industry to Carbon Neutrality</w:t>
        </w:r>
      </w:hyperlink>
      <w:r w:rsidR="005A0CF6">
        <w:rPr>
          <w:sz w:val="16"/>
          <w:szCs w:val="16"/>
        </w:rPr>
        <w:t>.</w:t>
      </w:r>
    </w:p>
  </w:footnote>
  <w:footnote w:id="396">
    <w:p w14:paraId="327C61FE" w14:textId="650F40A5"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38642F">
        <w:rPr>
          <w:rFonts w:cs="Times New Roman"/>
          <w:sz w:val="16"/>
          <w:szCs w:val="16"/>
        </w:rPr>
        <w:t xml:space="preserve"> Statista.</w:t>
      </w:r>
      <w:r w:rsidRPr="00720DA1">
        <w:rPr>
          <w:rFonts w:cs="Times New Roman"/>
          <w:sz w:val="16"/>
          <w:szCs w:val="16"/>
        </w:rPr>
        <w:t xml:space="preserve"> </w:t>
      </w:r>
      <w:hyperlink r:id="rId258">
        <w:r w:rsidR="0038642F">
          <w:rPr>
            <w:rStyle w:val="Hyperlink"/>
            <w:rFonts w:cs="Times New Roman"/>
            <w:sz w:val="16"/>
            <w:szCs w:val="16"/>
          </w:rPr>
          <w:t>Revenue distribution of the chemical industry in the European Union from 2016 to 2022, by country</w:t>
        </w:r>
      </w:hyperlink>
      <w:r w:rsidR="0038642F">
        <w:rPr>
          <w:sz w:val="16"/>
          <w:szCs w:val="16"/>
        </w:rPr>
        <w:t>.</w:t>
      </w:r>
    </w:p>
  </w:footnote>
  <w:footnote w:id="397">
    <w:p w14:paraId="68C81F18" w14:textId="6D24FA4C"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136B91">
        <w:rPr>
          <w:rFonts w:cs="Times New Roman"/>
          <w:sz w:val="16"/>
          <w:szCs w:val="16"/>
        </w:rPr>
        <w:t xml:space="preserve"> Statista.</w:t>
      </w:r>
      <w:r w:rsidRPr="00720DA1">
        <w:rPr>
          <w:rFonts w:cs="Times New Roman"/>
          <w:sz w:val="16"/>
          <w:szCs w:val="16"/>
        </w:rPr>
        <w:t xml:space="preserve"> </w:t>
      </w:r>
      <w:hyperlink r:id="rId259" w:history="1">
        <w:r w:rsidR="00136B91">
          <w:rPr>
            <w:rStyle w:val="Hyperlink"/>
            <w:rFonts w:cs="Times New Roman"/>
            <w:sz w:val="16"/>
            <w:szCs w:val="16"/>
          </w:rPr>
          <w:t>Number of employees in the European Union's chemical industry from 2008 to 2023</w:t>
        </w:r>
      </w:hyperlink>
      <w:r w:rsidR="00136B91">
        <w:rPr>
          <w:rFonts w:cs="Times New Roman"/>
          <w:sz w:val="16"/>
          <w:szCs w:val="16"/>
        </w:rPr>
        <w:t>.</w:t>
      </w:r>
    </w:p>
  </w:footnote>
  <w:footnote w:id="398">
    <w:p w14:paraId="605DC30B" w14:textId="2AA2EF9E"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800E87">
        <w:rPr>
          <w:rFonts w:cs="Times New Roman"/>
          <w:sz w:val="16"/>
          <w:szCs w:val="16"/>
        </w:rPr>
        <w:t xml:space="preserve"> Statista. </w:t>
      </w:r>
      <w:hyperlink r:id="rId260">
        <w:r w:rsidR="009802FD">
          <w:rPr>
            <w:rStyle w:val="Hyperlink"/>
            <w:rFonts w:cs="Times New Roman"/>
            <w:sz w:val="16"/>
            <w:szCs w:val="16"/>
          </w:rPr>
          <w:t>Revenue distribution of the chemical industry in the European Union from 2016 to 2022, by country</w:t>
        </w:r>
      </w:hyperlink>
      <w:r w:rsidR="009802FD">
        <w:rPr>
          <w:sz w:val="16"/>
          <w:szCs w:val="16"/>
        </w:rPr>
        <w:t>.</w:t>
      </w:r>
    </w:p>
  </w:footnote>
  <w:footnote w:id="399">
    <w:p w14:paraId="08106959" w14:textId="785AC42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521152" w:rsidRPr="00521152">
        <w:rPr>
          <w:sz w:val="16"/>
          <w:szCs w:val="16"/>
        </w:rPr>
        <w:t xml:space="preserve"> </w:t>
      </w:r>
      <w:r w:rsidR="00521152">
        <w:rPr>
          <w:sz w:val="16"/>
          <w:szCs w:val="16"/>
        </w:rPr>
        <w:t xml:space="preserve">Commission staff working document, impact assessment report, </w:t>
      </w:r>
      <w:r w:rsidR="00521152" w:rsidRPr="00733F90">
        <w:rPr>
          <w:sz w:val="16"/>
          <w:szCs w:val="16"/>
        </w:rPr>
        <w:t xml:space="preserve">Securing our future Europe's 2040 climate target and path to climate neutrality by 2050 building a sustainable, just and prosperous society, </w:t>
      </w:r>
      <w:hyperlink r:id="rId261" w:history="1">
        <w:r w:rsidR="00521152" w:rsidRPr="00733F90">
          <w:rPr>
            <w:rStyle w:val="Hyperlink"/>
            <w:sz w:val="16"/>
            <w:szCs w:val="16"/>
          </w:rPr>
          <w:t>SWD/2024/63 final</w:t>
        </w:r>
      </w:hyperlink>
      <w:r w:rsidR="00521152">
        <w:rPr>
          <w:sz w:val="16"/>
          <w:szCs w:val="16"/>
        </w:rPr>
        <w:t>.</w:t>
      </w:r>
    </w:p>
  </w:footnote>
  <w:footnote w:id="400">
    <w:p w14:paraId="27D61CF5" w14:textId="449FD821" w:rsidR="00931F96" w:rsidRPr="00483F48" w:rsidRDefault="00931F96" w:rsidP="00931F96">
      <w:pPr>
        <w:pStyle w:val="FootnoteText"/>
        <w:rPr>
          <w:sz w:val="16"/>
          <w:szCs w:val="16"/>
          <w:lang w:val="en-US"/>
        </w:rPr>
      </w:pPr>
      <w:r w:rsidRPr="00483F48">
        <w:rPr>
          <w:rStyle w:val="FootnoteReference"/>
          <w:sz w:val="16"/>
          <w:szCs w:val="16"/>
        </w:rPr>
        <w:footnoteRef/>
      </w:r>
      <w:r w:rsidRPr="00483F48">
        <w:rPr>
          <w:sz w:val="16"/>
          <w:szCs w:val="16"/>
        </w:rPr>
        <w:t xml:space="preserve"> </w:t>
      </w:r>
      <w:r w:rsidR="005A0CF6" w:rsidRPr="00483F48">
        <w:rPr>
          <w:sz w:val="16"/>
          <w:szCs w:val="16"/>
          <w:lang w:val="en-US"/>
        </w:rPr>
        <w:t>JRC (2024)</w:t>
      </w:r>
      <w:r w:rsidR="005A0CF6">
        <w:rPr>
          <w:sz w:val="16"/>
          <w:szCs w:val="16"/>
          <w:lang w:val="en-US"/>
        </w:rPr>
        <w:t>.</w:t>
      </w:r>
      <w:r w:rsidR="005A0CF6" w:rsidRPr="00483F48">
        <w:rPr>
          <w:sz w:val="16"/>
          <w:szCs w:val="16"/>
          <w:lang w:val="en-US"/>
        </w:rPr>
        <w:t xml:space="preserve"> </w:t>
      </w:r>
      <w:hyperlink r:id="rId262" w:history="1">
        <w:r w:rsidR="005A0CF6" w:rsidRPr="00C27AA1">
          <w:rPr>
            <w:rStyle w:val="Hyperlink"/>
            <w:sz w:val="16"/>
            <w:szCs w:val="16"/>
            <w:lang w:val="en-US"/>
          </w:rPr>
          <w:t>The role of carbon capture across hard-to-abate industries in the EU.</w:t>
        </w:r>
      </w:hyperlink>
    </w:p>
  </w:footnote>
  <w:footnote w:id="401">
    <w:p w14:paraId="78A62178" w14:textId="1741AA55"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E7361">
        <w:rPr>
          <w:rFonts w:cs="Times New Roman"/>
          <w:sz w:val="16"/>
          <w:szCs w:val="16"/>
        </w:rPr>
        <w:t xml:space="preserve">Cefic (2024). </w:t>
      </w:r>
      <w:hyperlink r:id="rId263">
        <w:r w:rsidR="006E7361">
          <w:rPr>
            <w:rStyle w:val="Hyperlink"/>
            <w:rFonts w:cs="Times New Roman"/>
            <w:sz w:val="16"/>
            <w:szCs w:val="16"/>
          </w:rPr>
          <w:t>2024 Facts and Figures of the European Chemical Industry</w:t>
        </w:r>
      </w:hyperlink>
      <w:r w:rsidRPr="00720DA1">
        <w:rPr>
          <w:rFonts w:cs="Times New Roman"/>
          <w:sz w:val="16"/>
          <w:szCs w:val="16"/>
        </w:rPr>
        <w:t>.</w:t>
      </w:r>
    </w:p>
  </w:footnote>
  <w:footnote w:id="402">
    <w:p w14:paraId="185EE3E5" w14:textId="2C6B2949" w:rsidR="00020031" w:rsidRPr="001E7EBC" w:rsidRDefault="00020031" w:rsidP="00CE1615">
      <w:pPr>
        <w:pStyle w:val="FootnoteText"/>
        <w:rPr>
          <w:rFonts w:cs="Times New Roman"/>
          <w:sz w:val="16"/>
          <w:szCs w:val="16"/>
        </w:rPr>
      </w:pPr>
      <w:r w:rsidRPr="001E7EBC">
        <w:rPr>
          <w:rStyle w:val="FootnoteReference"/>
          <w:rFonts w:cs="Times New Roman"/>
          <w:sz w:val="16"/>
          <w:szCs w:val="16"/>
        </w:rPr>
        <w:footnoteRef/>
      </w:r>
      <w:r w:rsidRPr="001E7EBC">
        <w:rPr>
          <w:rFonts w:cs="Times New Roman"/>
          <w:sz w:val="16"/>
          <w:szCs w:val="16"/>
        </w:rPr>
        <w:t xml:space="preserve"> </w:t>
      </w:r>
      <w:r w:rsidR="00A218D7" w:rsidRPr="001E7EBC">
        <w:rPr>
          <w:sz w:val="16"/>
          <w:szCs w:val="16"/>
        </w:rPr>
        <w:t xml:space="preserve"> </w:t>
      </w:r>
      <w:r w:rsidR="00A218D7" w:rsidRPr="001E7EBC">
        <w:rPr>
          <w:rFonts w:cs="Times New Roman"/>
          <w:sz w:val="16"/>
          <w:szCs w:val="16"/>
        </w:rPr>
        <w:t xml:space="preserve">European Commission (2024). </w:t>
      </w:r>
      <w:hyperlink r:id="rId264" w:history="1">
        <w:r w:rsidR="00A218D7" w:rsidRPr="001E7EBC">
          <w:rPr>
            <w:rStyle w:val="Hyperlink"/>
            <w:rFonts w:cs="Times New Roman"/>
            <w:sz w:val="16"/>
            <w:szCs w:val="16"/>
          </w:rPr>
          <w:t>Commission Staff Working Document: Impact Assessment Report (Part 3), accompanying the document Communication from the Commission to the European Parliament, the Council, the European Economic and Social Committee and the Committee of the Regions: Securing our future - Europe's 2040 climate target and path to climate neutrality by 2050, building a sustainable, just and prosperous society</w:t>
        </w:r>
      </w:hyperlink>
      <w:r w:rsidR="00A218D7" w:rsidRPr="001E7EBC">
        <w:rPr>
          <w:rFonts w:cs="Times New Roman"/>
          <w:sz w:val="16"/>
          <w:szCs w:val="16"/>
        </w:rPr>
        <w:t>, COM(2024) 63 final, p</w:t>
      </w:r>
      <w:r w:rsidR="001E7EBC" w:rsidRPr="001E7EBC">
        <w:rPr>
          <w:rFonts w:cs="Times New Roman"/>
          <w:sz w:val="16"/>
          <w:szCs w:val="16"/>
        </w:rPr>
        <w:t>.</w:t>
      </w:r>
      <w:r w:rsidR="00DF6101">
        <w:rPr>
          <w:rFonts w:cs="Times New Roman"/>
          <w:sz w:val="16"/>
          <w:szCs w:val="16"/>
        </w:rPr>
        <w:t xml:space="preserve"> </w:t>
      </w:r>
      <w:r w:rsidR="00A218D7" w:rsidRPr="001E7EBC">
        <w:rPr>
          <w:rFonts w:cs="Times New Roman"/>
          <w:sz w:val="16"/>
          <w:szCs w:val="16"/>
        </w:rPr>
        <w:t>167.</w:t>
      </w:r>
    </w:p>
  </w:footnote>
  <w:footnote w:id="403">
    <w:p w14:paraId="473BC175" w14:textId="242CBB4E" w:rsidR="002315CD" w:rsidRPr="00720DA1" w:rsidRDefault="002315CD" w:rsidP="00CE1615">
      <w:pPr>
        <w:rPr>
          <w:rFonts w:cs="Times New Roman"/>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Hydrogen Europe</w:t>
      </w:r>
      <w:r w:rsidR="009B1A3D" w:rsidRPr="00720DA1">
        <w:rPr>
          <w:rFonts w:cs="Times New Roman"/>
          <w:sz w:val="16"/>
          <w:szCs w:val="16"/>
        </w:rPr>
        <w:t xml:space="preserve"> (</w:t>
      </w:r>
      <w:r w:rsidRPr="00720DA1">
        <w:rPr>
          <w:rFonts w:cs="Times New Roman"/>
          <w:sz w:val="16"/>
          <w:szCs w:val="16"/>
        </w:rPr>
        <w:t>2024</w:t>
      </w:r>
      <w:r w:rsidR="009B1A3D" w:rsidRPr="00720DA1">
        <w:rPr>
          <w:rFonts w:cs="Times New Roman"/>
          <w:sz w:val="16"/>
          <w:szCs w:val="16"/>
        </w:rPr>
        <w:t>)</w:t>
      </w:r>
      <w:r w:rsidRPr="00720DA1">
        <w:rPr>
          <w:rFonts w:cs="Times New Roman"/>
          <w:sz w:val="16"/>
          <w:szCs w:val="16"/>
        </w:rPr>
        <w:t xml:space="preserve">. </w:t>
      </w:r>
      <w:hyperlink r:id="rId265" w:history="1">
        <w:r w:rsidRPr="00720DA1">
          <w:rPr>
            <w:rStyle w:val="Hyperlink"/>
            <w:rFonts w:cs="Times New Roman"/>
            <w:sz w:val="16"/>
            <w:szCs w:val="16"/>
          </w:rPr>
          <w:t xml:space="preserve">Clean Hydrogen Production Pathways </w:t>
        </w:r>
        <w:r w:rsidR="009B1A3D" w:rsidRPr="00720DA1">
          <w:rPr>
            <w:rStyle w:val="Hyperlink"/>
            <w:rFonts w:cs="Times New Roman"/>
            <w:sz w:val="16"/>
            <w:szCs w:val="16"/>
          </w:rPr>
          <w:t xml:space="preserve">- </w:t>
        </w:r>
        <w:r w:rsidRPr="00720DA1">
          <w:rPr>
            <w:rStyle w:val="Hyperlink"/>
            <w:rFonts w:cs="Times New Roman"/>
            <w:sz w:val="16"/>
            <w:szCs w:val="16"/>
          </w:rPr>
          <w:t>Report 2024</w:t>
        </w:r>
      </w:hyperlink>
      <w:r w:rsidRPr="00720DA1">
        <w:rPr>
          <w:rFonts w:cs="Times New Roman"/>
          <w:sz w:val="16"/>
          <w:szCs w:val="16"/>
        </w:rPr>
        <w:t xml:space="preserve">. </w:t>
      </w:r>
    </w:p>
  </w:footnote>
  <w:footnote w:id="404">
    <w:p w14:paraId="5A7972E7" w14:textId="2A4BA047" w:rsidR="002315CD" w:rsidRPr="00720DA1" w:rsidRDefault="002315CD" w:rsidP="00CE1615">
      <w:pPr>
        <w:rPr>
          <w:rFonts w:cs="Times New Roman"/>
          <w:sz w:val="16"/>
          <w:szCs w:val="16"/>
        </w:rPr>
      </w:pPr>
      <w:r w:rsidRPr="00720DA1">
        <w:rPr>
          <w:rStyle w:val="FootnoteReference"/>
          <w:sz w:val="16"/>
          <w:szCs w:val="16"/>
        </w:rPr>
        <w:footnoteRef/>
      </w:r>
      <w:r w:rsidRPr="00720DA1">
        <w:rPr>
          <w:rFonts w:cs="Times New Roman"/>
          <w:sz w:val="16"/>
          <w:szCs w:val="16"/>
        </w:rPr>
        <w:t xml:space="preserve"> Fuel </w:t>
      </w:r>
      <w:r w:rsidR="00A614D1" w:rsidRPr="00720DA1">
        <w:rPr>
          <w:rFonts w:cs="Times New Roman"/>
          <w:sz w:val="16"/>
          <w:szCs w:val="16"/>
        </w:rPr>
        <w:t>Cells</w:t>
      </w:r>
      <w:r w:rsidRPr="00720DA1">
        <w:rPr>
          <w:rFonts w:cs="Times New Roman"/>
          <w:sz w:val="16"/>
          <w:szCs w:val="16"/>
        </w:rPr>
        <w:t xml:space="preserve"> and </w:t>
      </w:r>
      <w:r w:rsidR="00A614D1" w:rsidRPr="00720DA1">
        <w:rPr>
          <w:rFonts w:cs="Times New Roman"/>
          <w:sz w:val="16"/>
          <w:szCs w:val="16"/>
        </w:rPr>
        <w:t>Hydrogen</w:t>
      </w:r>
      <w:r w:rsidRPr="00720DA1">
        <w:rPr>
          <w:rFonts w:cs="Times New Roman"/>
          <w:sz w:val="16"/>
          <w:szCs w:val="16"/>
        </w:rPr>
        <w:t xml:space="preserve"> Joint </w:t>
      </w:r>
      <w:r w:rsidR="00A614D1" w:rsidRPr="00720DA1">
        <w:rPr>
          <w:rFonts w:cs="Times New Roman"/>
          <w:sz w:val="16"/>
          <w:szCs w:val="16"/>
        </w:rPr>
        <w:t>Undertaking (</w:t>
      </w:r>
      <w:r w:rsidRPr="00720DA1">
        <w:rPr>
          <w:rFonts w:cs="Times New Roman"/>
          <w:sz w:val="16"/>
          <w:szCs w:val="16"/>
        </w:rPr>
        <w:t>2014</w:t>
      </w:r>
      <w:r w:rsidR="00A614D1" w:rsidRPr="00720DA1">
        <w:rPr>
          <w:rFonts w:cs="Times New Roman"/>
          <w:sz w:val="16"/>
          <w:szCs w:val="16"/>
        </w:rPr>
        <w:t>).</w:t>
      </w:r>
      <w:r w:rsidRPr="00720DA1">
        <w:rPr>
          <w:rFonts w:cs="Times New Roman"/>
          <w:sz w:val="16"/>
          <w:szCs w:val="16"/>
        </w:rPr>
        <w:t xml:space="preserve"> </w:t>
      </w:r>
      <w:hyperlink r:id="rId266" w:history="1">
        <w:r w:rsidRPr="00720DA1">
          <w:rPr>
            <w:rStyle w:val="Hyperlink"/>
            <w:rFonts w:cs="Times New Roman"/>
            <w:sz w:val="16"/>
            <w:szCs w:val="16"/>
          </w:rPr>
          <w:t>Development of water electrolysis in the European Union</w:t>
        </w:r>
      </w:hyperlink>
      <w:r w:rsidRPr="00720DA1">
        <w:rPr>
          <w:rFonts w:cs="Times New Roman"/>
          <w:sz w:val="16"/>
          <w:szCs w:val="16"/>
        </w:rPr>
        <w:t xml:space="preserve">. </w:t>
      </w:r>
    </w:p>
  </w:footnote>
  <w:footnote w:id="405">
    <w:p w14:paraId="0039FA1D" w14:textId="1A4113B5" w:rsidR="002315CD" w:rsidRPr="00720DA1" w:rsidRDefault="002315CD" w:rsidP="00CE1615">
      <w:pPr>
        <w:pStyle w:val="FootnoteText"/>
        <w:rPr>
          <w:sz w:val="16"/>
          <w:szCs w:val="16"/>
        </w:rPr>
      </w:pPr>
      <w:r w:rsidRPr="00720DA1">
        <w:rPr>
          <w:rStyle w:val="FootnoteReference"/>
          <w:sz w:val="16"/>
          <w:szCs w:val="16"/>
        </w:rPr>
        <w:footnoteRef/>
      </w:r>
      <w:r w:rsidRPr="00720DA1">
        <w:rPr>
          <w:rFonts w:cs="Times New Roman"/>
          <w:sz w:val="16"/>
          <w:szCs w:val="16"/>
        </w:rPr>
        <w:t xml:space="preserve"> CEFIC</w:t>
      </w:r>
      <w:r w:rsidR="00EB6DAF" w:rsidRPr="00720DA1">
        <w:rPr>
          <w:rFonts w:cs="Times New Roman"/>
          <w:sz w:val="16"/>
          <w:szCs w:val="16"/>
        </w:rPr>
        <w:t xml:space="preserve"> webpage</w:t>
      </w:r>
      <w:r w:rsidRPr="00720DA1">
        <w:rPr>
          <w:rFonts w:cs="Times New Roman"/>
          <w:sz w:val="16"/>
          <w:szCs w:val="16"/>
        </w:rPr>
        <w:t xml:space="preserve">. </w:t>
      </w:r>
      <w:hyperlink r:id="rId267" w:history="1">
        <w:r w:rsidRPr="00720DA1">
          <w:rPr>
            <w:rStyle w:val="Hyperlink"/>
            <w:rFonts w:cs="Times New Roman"/>
            <w:sz w:val="16"/>
            <w:szCs w:val="16"/>
          </w:rPr>
          <w:t>The carbon managers - iC2050 model</w:t>
        </w:r>
      </w:hyperlink>
      <w:r w:rsidRPr="00720DA1">
        <w:rPr>
          <w:rFonts w:cs="Times New Roman"/>
          <w:sz w:val="16"/>
          <w:szCs w:val="16"/>
        </w:rPr>
        <w:t xml:space="preserve">. </w:t>
      </w:r>
    </w:p>
  </w:footnote>
  <w:footnote w:id="406">
    <w:p w14:paraId="4B3CD71E" w14:textId="77777777" w:rsidR="002315CD" w:rsidRPr="00720DA1" w:rsidRDefault="002315CD" w:rsidP="00CE1615">
      <w:pPr>
        <w:pStyle w:val="FootnoteText"/>
        <w:rPr>
          <w:sz w:val="16"/>
          <w:szCs w:val="16"/>
        </w:rPr>
      </w:pPr>
      <w:r w:rsidRPr="00720DA1">
        <w:rPr>
          <w:rStyle w:val="FootnoteReference"/>
          <w:sz w:val="16"/>
          <w:szCs w:val="16"/>
        </w:rPr>
        <w:footnoteRef/>
      </w:r>
      <w:r w:rsidRPr="00720DA1">
        <w:rPr>
          <w:rFonts w:cs="Times New Roman"/>
          <w:sz w:val="16"/>
          <w:szCs w:val="16"/>
        </w:rPr>
        <w:t xml:space="preserve"> Ibid.</w:t>
      </w:r>
    </w:p>
  </w:footnote>
  <w:footnote w:id="407">
    <w:p w14:paraId="781576A8" w14:textId="77777777" w:rsidR="002315CD" w:rsidRPr="00720DA1" w:rsidRDefault="002315CD" w:rsidP="00CE1615">
      <w:pPr>
        <w:pStyle w:val="FootnoteText"/>
        <w:rPr>
          <w:sz w:val="16"/>
          <w:szCs w:val="16"/>
        </w:rPr>
      </w:pPr>
      <w:r w:rsidRPr="00720DA1">
        <w:rPr>
          <w:rStyle w:val="FootnoteReference"/>
          <w:sz w:val="16"/>
          <w:szCs w:val="16"/>
        </w:rPr>
        <w:footnoteRef/>
      </w:r>
      <w:r w:rsidRPr="00720DA1">
        <w:rPr>
          <w:rFonts w:cs="Times New Roman"/>
          <w:sz w:val="16"/>
          <w:szCs w:val="16"/>
        </w:rPr>
        <w:t xml:space="preserve"> Ibid.</w:t>
      </w:r>
    </w:p>
  </w:footnote>
  <w:footnote w:id="408">
    <w:p w14:paraId="6A7614AC" w14:textId="77777777" w:rsidR="002315CD" w:rsidRPr="00720DA1" w:rsidRDefault="002315CD" w:rsidP="00CE1615">
      <w:pPr>
        <w:pStyle w:val="FootnoteText"/>
        <w:rPr>
          <w:sz w:val="16"/>
          <w:szCs w:val="16"/>
        </w:rPr>
      </w:pPr>
      <w:r w:rsidRPr="00720DA1">
        <w:rPr>
          <w:rStyle w:val="FootnoteReference"/>
          <w:sz w:val="16"/>
          <w:szCs w:val="16"/>
        </w:rPr>
        <w:footnoteRef/>
      </w:r>
      <w:r w:rsidRPr="00720DA1">
        <w:rPr>
          <w:rFonts w:cs="Times New Roman"/>
          <w:sz w:val="16"/>
          <w:szCs w:val="16"/>
        </w:rPr>
        <w:t xml:space="preserve"> Ibid.</w:t>
      </w:r>
    </w:p>
  </w:footnote>
  <w:footnote w:id="409">
    <w:p w14:paraId="4F03FE3F" w14:textId="77777777" w:rsidR="002315CD" w:rsidRPr="00720DA1" w:rsidRDefault="002315CD" w:rsidP="00CE1615">
      <w:pPr>
        <w:pStyle w:val="FootnoteText"/>
        <w:rPr>
          <w:sz w:val="16"/>
          <w:szCs w:val="16"/>
        </w:rPr>
      </w:pPr>
      <w:r w:rsidRPr="00720DA1">
        <w:rPr>
          <w:rStyle w:val="FootnoteReference"/>
          <w:sz w:val="16"/>
          <w:szCs w:val="16"/>
        </w:rPr>
        <w:footnoteRef/>
      </w:r>
      <w:r w:rsidRPr="00720DA1">
        <w:rPr>
          <w:rFonts w:cs="Times New Roman"/>
          <w:sz w:val="16"/>
          <w:szCs w:val="16"/>
        </w:rPr>
        <w:t xml:space="preserve"> Ibid.</w:t>
      </w:r>
    </w:p>
  </w:footnote>
  <w:footnote w:id="410">
    <w:p w14:paraId="673DA913" w14:textId="50370473" w:rsidR="002315CD" w:rsidRPr="00720DA1" w:rsidRDefault="002315CD" w:rsidP="00CE1615">
      <w:pPr>
        <w:rPr>
          <w:rFonts w:cs="Times New Roman"/>
          <w:sz w:val="16"/>
          <w:szCs w:val="16"/>
        </w:rPr>
      </w:pPr>
      <w:r w:rsidRPr="00720DA1">
        <w:rPr>
          <w:rStyle w:val="FootnoteReference"/>
          <w:sz w:val="16"/>
          <w:szCs w:val="16"/>
        </w:rPr>
        <w:footnoteRef/>
      </w:r>
      <w:r w:rsidRPr="00720DA1">
        <w:rPr>
          <w:sz w:val="16"/>
          <w:szCs w:val="16"/>
        </w:rPr>
        <w:t xml:space="preserve"> </w:t>
      </w:r>
      <w:r w:rsidR="009E52B3" w:rsidRPr="00720DA1">
        <w:rPr>
          <w:sz w:val="16"/>
          <w:szCs w:val="16"/>
        </w:rPr>
        <w:t>A.SPIRE aisbl (2021).</w:t>
      </w:r>
      <w:r w:rsidRPr="00720DA1">
        <w:rPr>
          <w:sz w:val="16"/>
          <w:szCs w:val="16"/>
        </w:rPr>
        <w:t xml:space="preserve"> </w:t>
      </w:r>
      <w:hyperlink r:id="rId268" w:history="1">
        <w:r w:rsidRPr="00720DA1">
          <w:rPr>
            <w:rStyle w:val="Hyperlink"/>
            <w:rFonts w:cs="Times New Roman"/>
            <w:sz w:val="16"/>
            <w:szCs w:val="16"/>
          </w:rPr>
          <w:t>SPIRE. Processes4Planet 2050 Roadmap</w:t>
        </w:r>
      </w:hyperlink>
      <w:r w:rsidRPr="00720DA1">
        <w:rPr>
          <w:rFonts w:cs="Times New Roman"/>
          <w:sz w:val="16"/>
          <w:szCs w:val="16"/>
        </w:rPr>
        <w:t>.</w:t>
      </w:r>
    </w:p>
  </w:footnote>
  <w:footnote w:id="411">
    <w:p w14:paraId="171AF840" w14:textId="77777777" w:rsidR="00C304D9" w:rsidRPr="00E12B8B" w:rsidRDefault="00C304D9" w:rsidP="00C304D9">
      <w:pPr>
        <w:pStyle w:val="FootnoteText"/>
        <w:rPr>
          <w:rFonts w:eastAsia="Arial" w:cs="Times New Roman"/>
          <w:sz w:val="16"/>
          <w:szCs w:val="16"/>
        </w:rPr>
      </w:pPr>
      <w:r w:rsidRPr="00E12B8B">
        <w:rPr>
          <w:rStyle w:val="FootnoteReference"/>
          <w:sz w:val="16"/>
          <w:szCs w:val="16"/>
        </w:rPr>
        <w:footnoteRef/>
      </w:r>
      <w:r w:rsidRPr="00E12B8B">
        <w:rPr>
          <w:sz w:val="16"/>
          <w:szCs w:val="16"/>
        </w:rPr>
        <w:t xml:space="preserve"> </w:t>
      </w:r>
      <w:r w:rsidRPr="00E12B8B">
        <w:rPr>
          <w:rFonts w:eastAsia="Arial" w:cs="Times New Roman"/>
          <w:sz w:val="16"/>
          <w:szCs w:val="16"/>
        </w:rPr>
        <w:t xml:space="preserve">JRC (2026). </w:t>
      </w:r>
      <w:hyperlink r:id="rId269" w:history="1">
        <w:r w:rsidRPr="00E12B8B">
          <w:rPr>
            <w:rStyle w:val="Hyperlink"/>
            <w:rFonts w:eastAsia="Arial" w:cs="Times New Roman"/>
            <w:sz w:val="16"/>
            <w:szCs w:val="16"/>
          </w:rPr>
          <w:t>Mapping the transition of the EU ammonia industry to carbon neutrality</w:t>
        </w:r>
      </w:hyperlink>
      <w:r w:rsidRPr="00E12B8B">
        <w:rPr>
          <w:rFonts w:eastAsia="Arial" w:cs="Times New Roman"/>
          <w:sz w:val="16"/>
          <w:szCs w:val="16"/>
        </w:rPr>
        <w:t>.</w:t>
      </w:r>
    </w:p>
  </w:footnote>
  <w:footnote w:id="412">
    <w:p w14:paraId="7B714C69" w14:textId="4E8E27CA" w:rsidR="2E6543FA" w:rsidRPr="00BA5509" w:rsidRDefault="2E6543FA" w:rsidP="2E6543FA">
      <w:pPr>
        <w:rPr>
          <w:rFonts w:eastAsia="Times New Roman" w:cs="Times New Roman"/>
          <w:sz w:val="16"/>
          <w:szCs w:val="16"/>
        </w:rPr>
      </w:pPr>
      <w:r w:rsidRPr="00F23B02">
        <w:rPr>
          <w:rFonts w:cs="Times New Roman"/>
          <w:sz w:val="16"/>
          <w:szCs w:val="16"/>
          <w:vertAlign w:val="superscript"/>
        </w:rPr>
        <w:footnoteRef/>
      </w:r>
      <w:r w:rsidRPr="00BA5509">
        <w:rPr>
          <w:rFonts w:cs="Times New Roman"/>
          <w:sz w:val="16"/>
          <w:szCs w:val="16"/>
        </w:rPr>
        <w:t xml:space="preserve"> </w:t>
      </w:r>
      <w:r w:rsidRPr="00BA5509">
        <w:rPr>
          <w:rFonts w:eastAsia="Arial" w:cs="Times New Roman"/>
          <w:sz w:val="16"/>
          <w:szCs w:val="16"/>
        </w:rPr>
        <w:t>ING Economics Department, "How the plastics industry can go green and at what cost". Available at: think.ing.com/articles/how-the-plastics-industry-can-go-green-and-at-what-cost/</w:t>
      </w:r>
    </w:p>
  </w:footnote>
  <w:footnote w:id="413">
    <w:p w14:paraId="3912A4BF" w14:textId="75CC9846" w:rsidR="2E6543FA" w:rsidRPr="00BA5509" w:rsidRDefault="2E6543FA">
      <w:pPr>
        <w:rPr>
          <w:rFonts w:cs="Times New Roman"/>
          <w:sz w:val="16"/>
          <w:szCs w:val="16"/>
        </w:rPr>
      </w:pPr>
      <w:r w:rsidRPr="00F23B02">
        <w:rPr>
          <w:rFonts w:cs="Times New Roman"/>
          <w:sz w:val="16"/>
          <w:szCs w:val="16"/>
          <w:vertAlign w:val="superscript"/>
        </w:rPr>
        <w:footnoteRef/>
      </w:r>
      <w:r w:rsidRPr="00BA5509">
        <w:rPr>
          <w:rFonts w:cs="Times New Roman"/>
          <w:sz w:val="16"/>
          <w:szCs w:val="16"/>
        </w:rPr>
        <w:t xml:space="preserve"> bvse Market Report – Plastics 2025. Available at: plasticker.de/docs/preise/bvse_market_report_plastics_2025_05.pdf</w:t>
      </w:r>
    </w:p>
  </w:footnote>
  <w:footnote w:id="414">
    <w:p w14:paraId="661F2153" w14:textId="77CD6418" w:rsidR="2E6543FA" w:rsidRDefault="2E6543FA">
      <w:r w:rsidRPr="00F23B02">
        <w:rPr>
          <w:rFonts w:cs="Times New Roman"/>
          <w:sz w:val="16"/>
          <w:szCs w:val="16"/>
          <w:vertAlign w:val="superscript"/>
        </w:rPr>
        <w:footnoteRef/>
      </w:r>
      <w:r w:rsidRPr="00BA5509">
        <w:rPr>
          <w:rFonts w:cs="Times New Roman"/>
          <w:sz w:val="16"/>
          <w:szCs w:val="16"/>
        </w:rPr>
        <w:t xml:space="preserve"> European Environment Agency, "Competitiveness of secondary materials". Available at: eea.europa.eu/en/circularity/thematic-metrics/business/competitiveness-of-secondary-materials</w:t>
      </w:r>
    </w:p>
  </w:footnote>
  <w:footnote w:id="415">
    <w:p w14:paraId="14861C03" w14:textId="755A91B4" w:rsidR="2E6543FA" w:rsidRPr="00874E90" w:rsidRDefault="2E6543FA" w:rsidP="00890B79">
      <w:pPr>
        <w:rPr>
          <w:sz w:val="16"/>
          <w:szCs w:val="16"/>
        </w:rPr>
      </w:pPr>
      <w:r w:rsidRPr="00F23B02">
        <w:rPr>
          <w:sz w:val="16"/>
          <w:szCs w:val="16"/>
          <w:vertAlign w:val="superscript"/>
        </w:rPr>
        <w:footnoteRef/>
      </w:r>
      <w:r w:rsidRPr="00874E90">
        <w:rPr>
          <w:sz w:val="16"/>
          <w:szCs w:val="16"/>
        </w:rPr>
        <w:t xml:space="preserve"> Packaging Gateway, "Europe chemical recycling vs virgin plastics". Available at: packaging-gateway.com/news/europe-chemical-recycling-virgin-plastics/</w:t>
      </w:r>
    </w:p>
    <w:p w14:paraId="490B8550" w14:textId="4617A087" w:rsidR="2E6543FA" w:rsidRPr="00874E90" w:rsidRDefault="2E6543FA">
      <w:pPr>
        <w:rPr>
          <w:sz w:val="16"/>
          <w:szCs w:val="16"/>
        </w:rPr>
      </w:pPr>
    </w:p>
  </w:footnote>
  <w:footnote w:id="416">
    <w:p w14:paraId="3512BDA7" w14:textId="726AEAE1" w:rsidR="2E6543FA" w:rsidRPr="00874E90" w:rsidRDefault="2E6543FA">
      <w:pPr>
        <w:rPr>
          <w:sz w:val="16"/>
          <w:szCs w:val="16"/>
        </w:rPr>
      </w:pPr>
      <w:r w:rsidRPr="00D8555B">
        <w:rPr>
          <w:sz w:val="16"/>
          <w:szCs w:val="16"/>
          <w:vertAlign w:val="superscript"/>
        </w:rPr>
        <w:footnoteRef/>
      </w:r>
      <w:r w:rsidRPr="00874E90">
        <w:rPr>
          <w:sz w:val="16"/>
          <w:szCs w:val="16"/>
        </w:rPr>
        <w:t xml:space="preserve"> Based on volume in construction sector of 11Mt, a 60% share of the 3 product categories, a 40% share of public procurement, and the 30% target for the products covered.</w:t>
      </w:r>
    </w:p>
  </w:footnote>
  <w:footnote w:id="417">
    <w:p w14:paraId="2F0A6F19" w14:textId="6DEA3072" w:rsidR="00ED5ADA" w:rsidRPr="00874E90" w:rsidRDefault="2E6543FA" w:rsidP="2E6543FA">
      <w:pPr>
        <w:rPr>
          <w:rFonts w:eastAsia="Times New Roman" w:cs="Times New Roman"/>
          <w:sz w:val="16"/>
          <w:szCs w:val="16"/>
        </w:rPr>
      </w:pPr>
      <w:r w:rsidRPr="00D8555B">
        <w:rPr>
          <w:sz w:val="16"/>
          <w:szCs w:val="16"/>
          <w:vertAlign w:val="superscript"/>
        </w:rPr>
        <w:footnoteRef/>
      </w:r>
      <w:r w:rsidRPr="00874E90">
        <w:rPr>
          <w:sz w:val="16"/>
          <w:szCs w:val="16"/>
        </w:rPr>
        <w:t xml:space="preserve"> </w:t>
      </w:r>
      <w:r w:rsidRPr="00874E90">
        <w:rPr>
          <w:rFonts w:eastAsia="Times New Roman" w:cs="Times New Roman"/>
          <w:sz w:val="16"/>
          <w:szCs w:val="16"/>
        </w:rPr>
        <w:t xml:space="preserve">The estimate is </w:t>
      </w:r>
      <w:r w:rsidR="00ED5771" w:rsidRPr="00874E90">
        <w:rPr>
          <w:rFonts w:eastAsia="Times New Roman" w:cs="Times New Roman"/>
          <w:sz w:val="16"/>
          <w:szCs w:val="16"/>
        </w:rPr>
        <w:t>strongly influenced by assumptions</w:t>
      </w:r>
      <w:r w:rsidRPr="00874E90">
        <w:rPr>
          <w:rFonts w:eastAsia="Times New Roman" w:cs="Times New Roman"/>
          <w:sz w:val="16"/>
          <w:szCs w:val="16"/>
        </w:rPr>
        <w:t xml:space="preserve"> on </w:t>
      </w:r>
      <w:r w:rsidR="003F575C" w:rsidRPr="00874E90">
        <w:rPr>
          <w:rFonts w:eastAsia="Times New Roman" w:cs="Times New Roman"/>
          <w:sz w:val="16"/>
          <w:szCs w:val="16"/>
        </w:rPr>
        <w:t>the</w:t>
      </w:r>
      <w:r w:rsidRPr="00874E90">
        <w:rPr>
          <w:rFonts w:eastAsia="Times New Roman" w:cs="Times New Roman"/>
          <w:sz w:val="16"/>
          <w:szCs w:val="16"/>
        </w:rPr>
        <w:t xml:space="preserve"> building renovation </w:t>
      </w:r>
      <w:r w:rsidR="001A72BC" w:rsidRPr="00874E90">
        <w:rPr>
          <w:rFonts w:eastAsia="Times New Roman" w:cs="Times New Roman"/>
          <w:sz w:val="16"/>
          <w:szCs w:val="16"/>
        </w:rPr>
        <w:t>rate</w:t>
      </w:r>
      <w:r w:rsidRPr="00874E90">
        <w:rPr>
          <w:rFonts w:eastAsia="Times New Roman" w:cs="Times New Roman"/>
          <w:sz w:val="16"/>
          <w:szCs w:val="16"/>
        </w:rPr>
        <w:t xml:space="preserve">, </w:t>
      </w:r>
      <w:r w:rsidR="003A2970" w:rsidRPr="00874E90">
        <w:rPr>
          <w:rFonts w:eastAsia="Times New Roman" w:cs="Times New Roman"/>
          <w:sz w:val="16"/>
          <w:szCs w:val="16"/>
        </w:rPr>
        <w:t xml:space="preserve">and </w:t>
      </w:r>
      <w:r w:rsidR="008C0817" w:rsidRPr="00874E90">
        <w:rPr>
          <w:rFonts w:eastAsia="Times New Roman" w:cs="Times New Roman"/>
          <w:sz w:val="16"/>
          <w:szCs w:val="16"/>
        </w:rPr>
        <w:t>availab</w:t>
      </w:r>
      <w:r w:rsidR="003A2970" w:rsidRPr="00874E90">
        <w:rPr>
          <w:rFonts w:eastAsia="Times New Roman" w:cs="Times New Roman"/>
          <w:sz w:val="16"/>
          <w:szCs w:val="16"/>
        </w:rPr>
        <w:t>ility</w:t>
      </w:r>
      <w:r w:rsidR="008C0817" w:rsidRPr="00874E90">
        <w:rPr>
          <w:rFonts w:eastAsia="Times New Roman" w:cs="Times New Roman"/>
          <w:sz w:val="16"/>
          <w:szCs w:val="16"/>
        </w:rPr>
        <w:t xml:space="preserve"> and form</w:t>
      </w:r>
      <w:r w:rsidR="002B0C2A" w:rsidRPr="00874E90">
        <w:rPr>
          <w:rFonts w:eastAsia="Times New Roman" w:cs="Times New Roman"/>
          <w:sz w:val="16"/>
          <w:szCs w:val="16"/>
        </w:rPr>
        <w:t xml:space="preserve"> of </w:t>
      </w:r>
      <w:r w:rsidRPr="00874E90">
        <w:rPr>
          <w:rFonts w:eastAsia="Times New Roman" w:cs="Times New Roman"/>
          <w:sz w:val="16"/>
          <w:szCs w:val="16"/>
        </w:rPr>
        <w:t>public financing</w:t>
      </w:r>
      <w:r w:rsidR="00AA6BA6" w:rsidRPr="00874E90">
        <w:rPr>
          <w:rFonts w:eastAsia="Times New Roman" w:cs="Times New Roman"/>
          <w:sz w:val="16"/>
          <w:szCs w:val="16"/>
        </w:rPr>
        <w:t>.</w:t>
      </w:r>
      <w:r w:rsidRPr="00874E90">
        <w:rPr>
          <w:rFonts w:eastAsia="Times New Roman" w:cs="Times New Roman"/>
          <w:sz w:val="16"/>
          <w:szCs w:val="16"/>
        </w:rPr>
        <w:t xml:space="preserve"> </w:t>
      </w:r>
      <w:r w:rsidR="009625E2" w:rsidRPr="00874E90">
        <w:rPr>
          <w:rFonts w:eastAsia="Times New Roman" w:cs="Times New Roman"/>
          <w:sz w:val="16"/>
          <w:szCs w:val="16"/>
        </w:rPr>
        <w:t xml:space="preserve">The </w:t>
      </w:r>
      <w:r w:rsidR="00AC63CF" w:rsidRPr="00874E90">
        <w:rPr>
          <w:rFonts w:eastAsia="Times New Roman" w:cs="Times New Roman"/>
          <w:sz w:val="16"/>
          <w:szCs w:val="16"/>
        </w:rPr>
        <w:t xml:space="preserve">total </w:t>
      </w:r>
      <w:r w:rsidR="001A4BA3" w:rsidRPr="00874E90">
        <w:rPr>
          <w:rFonts w:eastAsia="Times New Roman" w:cs="Times New Roman"/>
          <w:sz w:val="16"/>
          <w:szCs w:val="16"/>
        </w:rPr>
        <w:t>renovation activities in scope are</w:t>
      </w:r>
      <w:r w:rsidR="00AC63CF" w:rsidRPr="00874E90">
        <w:rPr>
          <w:rFonts w:eastAsia="Times New Roman" w:cs="Times New Roman"/>
          <w:sz w:val="16"/>
          <w:szCs w:val="16"/>
        </w:rPr>
        <w:t xml:space="preserve"> difficult </w:t>
      </w:r>
      <w:r w:rsidR="00B57242" w:rsidRPr="00874E90">
        <w:rPr>
          <w:rFonts w:eastAsia="Times New Roman" w:cs="Times New Roman"/>
          <w:sz w:val="16"/>
          <w:szCs w:val="16"/>
        </w:rPr>
        <w:t>to</w:t>
      </w:r>
      <w:r w:rsidR="00AC63CF" w:rsidRPr="00874E90">
        <w:rPr>
          <w:rFonts w:eastAsia="Times New Roman" w:cs="Times New Roman"/>
          <w:sz w:val="16"/>
          <w:szCs w:val="16"/>
        </w:rPr>
        <w:t xml:space="preserve"> assess</w:t>
      </w:r>
      <w:r w:rsidR="0038249A" w:rsidRPr="00874E90">
        <w:rPr>
          <w:rFonts w:eastAsia="Times New Roman" w:cs="Times New Roman"/>
          <w:sz w:val="16"/>
          <w:szCs w:val="16"/>
        </w:rPr>
        <w:t xml:space="preserve"> due to many and heterogeneous public support </w:t>
      </w:r>
      <w:r w:rsidR="00AC63CF" w:rsidRPr="00874E90">
        <w:rPr>
          <w:rFonts w:eastAsia="Times New Roman" w:cs="Times New Roman"/>
          <w:sz w:val="16"/>
          <w:szCs w:val="16"/>
        </w:rPr>
        <w:t>programs</w:t>
      </w:r>
      <w:r w:rsidR="0038249A" w:rsidRPr="00874E90">
        <w:rPr>
          <w:rFonts w:eastAsia="Times New Roman" w:cs="Times New Roman"/>
          <w:sz w:val="16"/>
          <w:szCs w:val="16"/>
        </w:rPr>
        <w:t>.</w:t>
      </w:r>
      <w:r w:rsidR="00B57242" w:rsidRPr="00874E90">
        <w:rPr>
          <w:rFonts w:eastAsia="Times New Roman" w:cs="Times New Roman"/>
          <w:sz w:val="16"/>
          <w:szCs w:val="16"/>
        </w:rPr>
        <w:t xml:space="preserve"> </w:t>
      </w:r>
      <w:r w:rsidR="00AB100D" w:rsidRPr="00874E90">
        <w:rPr>
          <w:rFonts w:eastAsia="Times New Roman" w:cs="Times New Roman"/>
          <w:sz w:val="16"/>
          <w:szCs w:val="16"/>
        </w:rPr>
        <w:t>Annu</w:t>
      </w:r>
      <w:r w:rsidR="00D71E4E" w:rsidRPr="00874E90">
        <w:rPr>
          <w:rFonts w:eastAsia="Times New Roman" w:cs="Times New Roman"/>
          <w:sz w:val="16"/>
          <w:szCs w:val="16"/>
        </w:rPr>
        <w:t xml:space="preserve">al </w:t>
      </w:r>
      <w:r w:rsidRPr="00874E90">
        <w:rPr>
          <w:rFonts w:eastAsia="Times New Roman" w:cs="Times New Roman"/>
          <w:sz w:val="16"/>
          <w:szCs w:val="16"/>
        </w:rPr>
        <w:t>renovation needs are estimated at €300bn</w:t>
      </w:r>
      <w:r w:rsidR="00186B53" w:rsidRPr="00874E90">
        <w:rPr>
          <w:rFonts w:eastAsia="Times New Roman" w:cs="Times New Roman"/>
          <w:sz w:val="16"/>
          <w:szCs w:val="16"/>
        </w:rPr>
        <w:t xml:space="preserve"> but has a </w:t>
      </w:r>
      <w:r w:rsidR="00CB1A6E" w:rsidRPr="00874E90">
        <w:rPr>
          <w:rFonts w:eastAsia="Times New Roman" w:cs="Times New Roman"/>
          <w:sz w:val="16"/>
          <w:szCs w:val="16"/>
        </w:rPr>
        <w:t>€</w:t>
      </w:r>
      <w:r w:rsidR="00186B53" w:rsidRPr="00874E90">
        <w:rPr>
          <w:rFonts w:eastAsia="Times New Roman" w:cs="Times New Roman"/>
          <w:sz w:val="16"/>
          <w:szCs w:val="16"/>
        </w:rPr>
        <w:t xml:space="preserve">165bn </w:t>
      </w:r>
      <w:r w:rsidR="00B81A43" w:rsidRPr="00874E90">
        <w:rPr>
          <w:rFonts w:eastAsia="Times New Roman" w:cs="Times New Roman"/>
          <w:sz w:val="16"/>
          <w:szCs w:val="16"/>
        </w:rPr>
        <w:t xml:space="preserve">financing </w:t>
      </w:r>
      <w:r w:rsidR="00186B53" w:rsidRPr="00874E90">
        <w:rPr>
          <w:rFonts w:eastAsia="Times New Roman" w:cs="Times New Roman"/>
          <w:sz w:val="16"/>
          <w:szCs w:val="16"/>
        </w:rPr>
        <w:t xml:space="preserve">gap, which indicate that </w:t>
      </w:r>
      <w:r w:rsidR="001D456C" w:rsidRPr="00874E90">
        <w:rPr>
          <w:rFonts w:eastAsia="Times New Roman" w:cs="Times New Roman"/>
          <w:sz w:val="16"/>
          <w:szCs w:val="16"/>
        </w:rPr>
        <w:t xml:space="preserve">significant renovation volume </w:t>
      </w:r>
      <w:r w:rsidR="002E0768" w:rsidRPr="00874E90">
        <w:rPr>
          <w:rFonts w:eastAsia="Times New Roman" w:cs="Times New Roman"/>
          <w:sz w:val="16"/>
          <w:szCs w:val="16"/>
        </w:rPr>
        <w:t>will exist beyond 2030</w:t>
      </w:r>
      <w:r w:rsidR="00294905" w:rsidRPr="00874E90">
        <w:rPr>
          <w:rFonts w:eastAsia="Times New Roman" w:cs="Times New Roman"/>
          <w:sz w:val="16"/>
          <w:szCs w:val="16"/>
        </w:rPr>
        <w:t xml:space="preserve">. </w:t>
      </w:r>
      <w:r w:rsidR="005C6908" w:rsidRPr="00874E90">
        <w:rPr>
          <w:rFonts w:eastAsia="Times New Roman" w:cs="Times New Roman"/>
          <w:sz w:val="16"/>
          <w:szCs w:val="16"/>
        </w:rPr>
        <w:t>If</w:t>
      </w:r>
      <w:r w:rsidR="00E93D33" w:rsidRPr="00874E90">
        <w:rPr>
          <w:rFonts w:eastAsia="Times New Roman" w:cs="Times New Roman"/>
          <w:sz w:val="16"/>
          <w:szCs w:val="16"/>
        </w:rPr>
        <w:t xml:space="preserve"> </w:t>
      </w:r>
      <w:r w:rsidR="00E37B65" w:rsidRPr="00874E90">
        <w:rPr>
          <w:rFonts w:eastAsia="Times New Roman" w:cs="Times New Roman"/>
          <w:sz w:val="16"/>
          <w:szCs w:val="16"/>
        </w:rPr>
        <w:t xml:space="preserve">annual </w:t>
      </w:r>
      <w:r w:rsidR="00E93D33" w:rsidRPr="00874E90">
        <w:rPr>
          <w:rFonts w:eastAsia="Times New Roman" w:cs="Times New Roman"/>
          <w:sz w:val="16"/>
          <w:szCs w:val="16"/>
        </w:rPr>
        <w:t>€</w:t>
      </w:r>
      <w:r w:rsidR="001A29F2" w:rsidRPr="00874E90">
        <w:rPr>
          <w:rFonts w:eastAsia="Times New Roman" w:cs="Times New Roman"/>
          <w:sz w:val="16"/>
          <w:szCs w:val="16"/>
        </w:rPr>
        <w:t>2</w:t>
      </w:r>
      <w:r w:rsidR="00E93D33" w:rsidRPr="00874E90">
        <w:rPr>
          <w:rFonts w:eastAsia="Times New Roman" w:cs="Times New Roman"/>
          <w:sz w:val="16"/>
          <w:szCs w:val="16"/>
        </w:rPr>
        <w:t>0bn public</w:t>
      </w:r>
      <w:r w:rsidR="00CC175B" w:rsidRPr="00874E90">
        <w:rPr>
          <w:rFonts w:eastAsia="Times New Roman" w:cs="Times New Roman"/>
          <w:sz w:val="16"/>
          <w:szCs w:val="16"/>
        </w:rPr>
        <w:t>ly</w:t>
      </w:r>
      <w:r w:rsidR="00E93D33" w:rsidRPr="00874E90">
        <w:rPr>
          <w:rFonts w:eastAsia="Times New Roman" w:cs="Times New Roman"/>
          <w:sz w:val="16"/>
          <w:szCs w:val="16"/>
        </w:rPr>
        <w:t xml:space="preserve"> support</w:t>
      </w:r>
      <w:r w:rsidR="00CC175B" w:rsidRPr="00874E90">
        <w:rPr>
          <w:rFonts w:eastAsia="Times New Roman" w:cs="Times New Roman"/>
          <w:sz w:val="16"/>
          <w:szCs w:val="16"/>
        </w:rPr>
        <w:t xml:space="preserve">ed renovation </w:t>
      </w:r>
      <w:r w:rsidR="007B5EE3" w:rsidRPr="00874E90">
        <w:rPr>
          <w:rFonts w:eastAsia="Times New Roman" w:cs="Times New Roman"/>
          <w:sz w:val="16"/>
          <w:szCs w:val="16"/>
        </w:rPr>
        <w:t xml:space="preserve">materialise </w:t>
      </w:r>
      <w:r w:rsidR="008F2499" w:rsidRPr="00874E90">
        <w:rPr>
          <w:rFonts w:eastAsia="Times New Roman" w:cs="Times New Roman"/>
          <w:sz w:val="16"/>
          <w:szCs w:val="16"/>
        </w:rPr>
        <w:t xml:space="preserve">post-2030, </w:t>
      </w:r>
      <w:r w:rsidR="00315FC6" w:rsidRPr="00874E90">
        <w:rPr>
          <w:rFonts w:eastAsia="Times New Roman" w:cs="Times New Roman"/>
          <w:sz w:val="16"/>
          <w:szCs w:val="16"/>
        </w:rPr>
        <w:t xml:space="preserve">and </w:t>
      </w:r>
      <w:r w:rsidR="007B5EE3" w:rsidRPr="00874E90">
        <w:rPr>
          <w:rFonts w:eastAsia="Times New Roman" w:cs="Times New Roman"/>
          <w:sz w:val="16"/>
          <w:szCs w:val="16"/>
        </w:rPr>
        <w:t xml:space="preserve">is </w:t>
      </w:r>
      <w:r w:rsidR="00315FC6" w:rsidRPr="00874E90">
        <w:rPr>
          <w:rFonts w:eastAsia="Times New Roman" w:cs="Times New Roman"/>
          <w:sz w:val="16"/>
          <w:szCs w:val="16"/>
        </w:rPr>
        <w:t xml:space="preserve">in scope of this regulation, </w:t>
      </w:r>
      <w:r w:rsidR="00041F0C" w:rsidRPr="00874E90">
        <w:rPr>
          <w:rFonts w:eastAsia="Times New Roman" w:cs="Times New Roman"/>
          <w:sz w:val="16"/>
          <w:szCs w:val="16"/>
        </w:rPr>
        <w:t xml:space="preserve">with </w:t>
      </w:r>
      <w:r w:rsidR="00B2009F" w:rsidRPr="00874E90">
        <w:rPr>
          <w:rFonts w:eastAsia="Times New Roman" w:cs="Times New Roman"/>
          <w:sz w:val="16"/>
          <w:szCs w:val="16"/>
        </w:rPr>
        <w:t>a</w:t>
      </w:r>
      <w:r w:rsidR="00F807A9" w:rsidRPr="00874E90">
        <w:rPr>
          <w:rFonts w:eastAsia="Times New Roman" w:cs="Times New Roman"/>
          <w:sz w:val="16"/>
          <w:szCs w:val="16"/>
        </w:rPr>
        <w:t>n</w:t>
      </w:r>
      <w:r w:rsidR="00B2009F" w:rsidRPr="00874E90">
        <w:rPr>
          <w:rFonts w:eastAsia="Times New Roman" w:cs="Times New Roman"/>
          <w:sz w:val="16"/>
          <w:szCs w:val="16"/>
        </w:rPr>
        <w:t xml:space="preserve"> </w:t>
      </w:r>
      <w:r w:rsidR="00F65C7A" w:rsidRPr="00874E90">
        <w:rPr>
          <w:rFonts w:eastAsia="Times New Roman" w:cs="Times New Roman"/>
          <w:sz w:val="16"/>
          <w:szCs w:val="16"/>
        </w:rPr>
        <w:t xml:space="preserve">average </w:t>
      </w:r>
      <w:r w:rsidR="00B2009F" w:rsidRPr="00874E90">
        <w:rPr>
          <w:rFonts w:eastAsia="Times New Roman" w:cs="Times New Roman"/>
          <w:sz w:val="16"/>
          <w:szCs w:val="16"/>
        </w:rPr>
        <w:t xml:space="preserve">share of </w:t>
      </w:r>
      <w:r w:rsidR="00041F0C" w:rsidRPr="00874E90">
        <w:rPr>
          <w:rFonts w:eastAsia="Times New Roman" w:cs="Times New Roman"/>
          <w:sz w:val="16"/>
          <w:szCs w:val="16"/>
        </w:rPr>
        <w:t>15-19% of spend</w:t>
      </w:r>
      <w:r w:rsidR="00B2009F" w:rsidRPr="00874E90">
        <w:rPr>
          <w:rFonts w:eastAsia="Times New Roman" w:cs="Times New Roman"/>
          <w:sz w:val="16"/>
          <w:szCs w:val="16"/>
        </w:rPr>
        <w:t xml:space="preserve">ing </w:t>
      </w:r>
      <w:r w:rsidR="00041F0C" w:rsidRPr="00874E90">
        <w:rPr>
          <w:rFonts w:eastAsia="Times New Roman" w:cs="Times New Roman"/>
          <w:sz w:val="16"/>
          <w:szCs w:val="16"/>
        </w:rPr>
        <w:t>into the 3 plastic products</w:t>
      </w:r>
      <w:r w:rsidR="0088509F" w:rsidRPr="00874E90">
        <w:rPr>
          <w:rFonts w:eastAsia="Times New Roman" w:cs="Times New Roman"/>
          <w:sz w:val="16"/>
          <w:szCs w:val="16"/>
        </w:rPr>
        <w:t xml:space="preserve"> </w:t>
      </w:r>
      <w:r w:rsidR="005C6908" w:rsidRPr="00874E90">
        <w:rPr>
          <w:rFonts w:eastAsia="Times New Roman" w:cs="Times New Roman"/>
          <w:sz w:val="16"/>
          <w:szCs w:val="16"/>
        </w:rPr>
        <w:t xml:space="preserve">at </w:t>
      </w:r>
      <w:r w:rsidR="0088509F" w:rsidRPr="00874E90">
        <w:rPr>
          <w:rFonts w:eastAsia="Times New Roman" w:cs="Times New Roman"/>
          <w:sz w:val="16"/>
          <w:szCs w:val="16"/>
        </w:rPr>
        <w:t xml:space="preserve">an average </w:t>
      </w:r>
      <w:r w:rsidR="00B2009F" w:rsidRPr="00874E90">
        <w:rPr>
          <w:rFonts w:eastAsia="Times New Roman" w:cs="Times New Roman"/>
          <w:sz w:val="16"/>
          <w:szCs w:val="16"/>
        </w:rPr>
        <w:t xml:space="preserve">cost </w:t>
      </w:r>
      <w:r w:rsidR="0088509F" w:rsidRPr="00874E90">
        <w:rPr>
          <w:rFonts w:eastAsia="Times New Roman" w:cs="Times New Roman"/>
          <w:sz w:val="16"/>
          <w:szCs w:val="16"/>
        </w:rPr>
        <w:t>of €1</w:t>
      </w:r>
      <w:r w:rsidR="009674F0" w:rsidRPr="00874E90">
        <w:rPr>
          <w:rFonts w:eastAsia="Times New Roman" w:cs="Times New Roman"/>
          <w:sz w:val="16"/>
          <w:szCs w:val="16"/>
        </w:rPr>
        <w:t>5</w:t>
      </w:r>
      <w:r w:rsidR="0088509F" w:rsidRPr="00874E90">
        <w:rPr>
          <w:rFonts w:eastAsia="Times New Roman" w:cs="Times New Roman"/>
          <w:sz w:val="16"/>
          <w:szCs w:val="16"/>
        </w:rPr>
        <w:t>00/t</w:t>
      </w:r>
      <w:r w:rsidR="00464566" w:rsidRPr="00874E90">
        <w:rPr>
          <w:rFonts w:eastAsia="Times New Roman" w:cs="Times New Roman"/>
          <w:sz w:val="16"/>
          <w:szCs w:val="16"/>
        </w:rPr>
        <w:t xml:space="preserve">, the </w:t>
      </w:r>
      <w:r w:rsidR="00361D41" w:rsidRPr="00874E90">
        <w:rPr>
          <w:rFonts w:eastAsia="Times New Roman" w:cs="Times New Roman"/>
          <w:sz w:val="16"/>
          <w:szCs w:val="16"/>
        </w:rPr>
        <w:t xml:space="preserve">plastics </w:t>
      </w:r>
      <w:r w:rsidR="00152A62" w:rsidRPr="00874E90">
        <w:rPr>
          <w:rFonts w:eastAsia="Times New Roman" w:cs="Times New Roman"/>
          <w:sz w:val="16"/>
          <w:szCs w:val="16"/>
        </w:rPr>
        <w:t xml:space="preserve">demand </w:t>
      </w:r>
      <w:r w:rsidR="00464566" w:rsidRPr="00874E90">
        <w:rPr>
          <w:rFonts w:eastAsia="Times New Roman" w:cs="Times New Roman"/>
          <w:sz w:val="16"/>
          <w:szCs w:val="16"/>
        </w:rPr>
        <w:t xml:space="preserve">is </w:t>
      </w:r>
      <w:r w:rsidR="00C60447" w:rsidRPr="00874E90">
        <w:rPr>
          <w:rFonts w:eastAsia="Times New Roman" w:cs="Times New Roman"/>
          <w:sz w:val="16"/>
          <w:szCs w:val="16"/>
        </w:rPr>
        <w:t>2</w:t>
      </w:r>
      <w:r w:rsidR="00BA4AC2" w:rsidRPr="00874E90">
        <w:rPr>
          <w:rFonts w:eastAsia="Times New Roman" w:cs="Times New Roman"/>
          <w:sz w:val="16"/>
          <w:szCs w:val="16"/>
        </w:rPr>
        <w:t>-</w:t>
      </w:r>
      <w:r w:rsidR="00C60447" w:rsidRPr="00874E90">
        <w:rPr>
          <w:rFonts w:eastAsia="Times New Roman" w:cs="Times New Roman"/>
          <w:sz w:val="16"/>
          <w:szCs w:val="16"/>
        </w:rPr>
        <w:t>2</w:t>
      </w:r>
      <w:r w:rsidR="00E11007" w:rsidRPr="00874E90">
        <w:rPr>
          <w:rFonts w:eastAsia="Times New Roman" w:cs="Times New Roman"/>
          <w:sz w:val="16"/>
          <w:szCs w:val="16"/>
        </w:rPr>
        <w:t>,</w:t>
      </w:r>
      <w:r w:rsidR="00C60447" w:rsidRPr="00874E90">
        <w:rPr>
          <w:rFonts w:eastAsia="Times New Roman" w:cs="Times New Roman"/>
          <w:sz w:val="16"/>
          <w:szCs w:val="16"/>
        </w:rPr>
        <w:t>5</w:t>
      </w:r>
      <w:r w:rsidR="00E11007" w:rsidRPr="00874E90">
        <w:rPr>
          <w:rFonts w:eastAsia="Times New Roman" w:cs="Times New Roman"/>
          <w:sz w:val="16"/>
          <w:szCs w:val="16"/>
        </w:rPr>
        <w:t xml:space="preserve">mt, </w:t>
      </w:r>
      <w:r w:rsidR="00464566" w:rsidRPr="00874E90">
        <w:rPr>
          <w:rFonts w:eastAsia="Times New Roman" w:cs="Times New Roman"/>
          <w:sz w:val="16"/>
          <w:szCs w:val="16"/>
        </w:rPr>
        <w:t>wh</w:t>
      </w:r>
      <w:r w:rsidR="00A914D2" w:rsidRPr="00874E90">
        <w:rPr>
          <w:rFonts w:eastAsia="Times New Roman" w:cs="Times New Roman"/>
          <w:sz w:val="16"/>
          <w:szCs w:val="16"/>
        </w:rPr>
        <w:t>e</w:t>
      </w:r>
      <w:r w:rsidR="00464566" w:rsidRPr="00874E90">
        <w:rPr>
          <w:rFonts w:eastAsia="Times New Roman" w:cs="Times New Roman"/>
          <w:sz w:val="16"/>
          <w:szCs w:val="16"/>
        </w:rPr>
        <w:t xml:space="preserve">reof 30% is </w:t>
      </w:r>
      <w:r w:rsidR="000176AF" w:rsidRPr="00874E90">
        <w:rPr>
          <w:rFonts w:eastAsia="Times New Roman" w:cs="Times New Roman"/>
          <w:sz w:val="16"/>
          <w:szCs w:val="16"/>
        </w:rPr>
        <w:t>0,6-0,76Mt</w:t>
      </w:r>
      <w:r w:rsidR="00AA2475" w:rsidRPr="00874E90">
        <w:rPr>
          <w:rFonts w:eastAsia="Times New Roman" w:cs="Times New Roman"/>
          <w:sz w:val="16"/>
          <w:szCs w:val="16"/>
        </w:rPr>
        <w:t xml:space="preserve">. However, with the large uncertainty on the </w:t>
      </w:r>
      <w:r w:rsidR="00B02D1D" w:rsidRPr="00874E90">
        <w:rPr>
          <w:rFonts w:eastAsia="Times New Roman" w:cs="Times New Roman"/>
          <w:sz w:val="16"/>
          <w:szCs w:val="16"/>
        </w:rPr>
        <w:t xml:space="preserve">assumptions and </w:t>
      </w:r>
      <w:r w:rsidR="00AA2475" w:rsidRPr="00874E90">
        <w:rPr>
          <w:rFonts w:eastAsia="Times New Roman" w:cs="Times New Roman"/>
          <w:sz w:val="16"/>
          <w:szCs w:val="16"/>
        </w:rPr>
        <w:t xml:space="preserve">support programs </w:t>
      </w:r>
      <w:r w:rsidR="00D20082" w:rsidRPr="00874E90">
        <w:rPr>
          <w:rFonts w:eastAsia="Times New Roman" w:cs="Times New Roman"/>
          <w:sz w:val="16"/>
          <w:szCs w:val="16"/>
        </w:rPr>
        <w:t xml:space="preserve">a </w:t>
      </w:r>
      <w:r w:rsidR="00C23BB2" w:rsidRPr="00874E90">
        <w:rPr>
          <w:rFonts w:eastAsia="Times New Roman" w:cs="Times New Roman"/>
          <w:sz w:val="16"/>
          <w:szCs w:val="16"/>
        </w:rPr>
        <w:t xml:space="preserve">significantly </w:t>
      </w:r>
      <w:r w:rsidR="00D20082" w:rsidRPr="00874E90">
        <w:rPr>
          <w:rFonts w:eastAsia="Times New Roman" w:cs="Times New Roman"/>
          <w:sz w:val="16"/>
          <w:szCs w:val="16"/>
        </w:rPr>
        <w:t>large</w:t>
      </w:r>
      <w:r w:rsidR="00C23BB2" w:rsidRPr="00874E90">
        <w:rPr>
          <w:rFonts w:eastAsia="Times New Roman" w:cs="Times New Roman"/>
          <w:sz w:val="16"/>
          <w:szCs w:val="16"/>
        </w:rPr>
        <w:t>r</w:t>
      </w:r>
      <w:r w:rsidR="00D20082" w:rsidRPr="00874E90">
        <w:rPr>
          <w:rFonts w:eastAsia="Times New Roman" w:cs="Times New Roman"/>
          <w:sz w:val="16"/>
          <w:szCs w:val="16"/>
        </w:rPr>
        <w:t xml:space="preserve"> bracket of 0,3-0,9Mt is </w:t>
      </w:r>
      <w:r w:rsidR="00B3704A" w:rsidRPr="00874E90">
        <w:rPr>
          <w:rFonts w:eastAsia="Times New Roman" w:cs="Times New Roman"/>
          <w:sz w:val="16"/>
          <w:szCs w:val="16"/>
        </w:rPr>
        <w:t>considered</w:t>
      </w:r>
      <w:r w:rsidRPr="00874E90">
        <w:rPr>
          <w:rFonts w:eastAsia="Times New Roman" w:cs="Times New Roman"/>
          <w:sz w:val="16"/>
          <w:szCs w:val="16"/>
        </w:rPr>
        <w:t>.</w:t>
      </w:r>
      <w:r w:rsidR="009F7F88" w:rsidRPr="00874E90">
        <w:rPr>
          <w:rFonts w:eastAsia="Times New Roman" w:cs="Times New Roman"/>
          <w:sz w:val="16"/>
          <w:szCs w:val="16"/>
        </w:rPr>
        <w:t xml:space="preserve"> </w:t>
      </w:r>
    </w:p>
    <w:p w14:paraId="2348F97C" w14:textId="5C01C61C" w:rsidR="00186739" w:rsidRPr="00874E90" w:rsidRDefault="00186739" w:rsidP="2E6543FA">
      <w:pPr>
        <w:rPr>
          <w:sz w:val="16"/>
          <w:szCs w:val="16"/>
        </w:rPr>
      </w:pPr>
      <w:hyperlink r:id="rId270" w:history="1">
        <w:r w:rsidRPr="00874E90">
          <w:rPr>
            <w:rStyle w:val="Hyperlink"/>
            <w:rFonts w:eastAsia="Times New Roman" w:cs="Times New Roman"/>
            <w:color w:val="467886"/>
            <w:sz w:val="16"/>
            <w:szCs w:val="16"/>
          </w:rPr>
          <w:t>https://energy.ec.europa.eu/topics/energy-efficiency/financing/financing-building-renovations_en</w:t>
        </w:r>
      </w:hyperlink>
    </w:p>
    <w:p w14:paraId="1D643FE3" w14:textId="585B0326" w:rsidR="2E6543FA" w:rsidRDefault="2E6543FA" w:rsidP="2E6543FA">
      <w:pPr>
        <w:rPr>
          <w:rFonts w:eastAsia="Times New Roman" w:cs="Times New Roman"/>
          <w:szCs w:val="24"/>
        </w:rPr>
      </w:pPr>
      <w:hyperlink r:id="rId271" w:history="1">
        <w:r w:rsidRPr="00874E90">
          <w:rPr>
            <w:rStyle w:val="Hyperlink"/>
            <w:rFonts w:eastAsia="Times New Roman" w:cs="Times New Roman"/>
            <w:color w:val="467886"/>
            <w:sz w:val="16"/>
            <w:szCs w:val="16"/>
          </w:rPr>
          <w:t>https://energy.ec.europa.eu/topics/funding-and-financing/recovery-and-resilience-facility-clean-energy_en</w:t>
        </w:r>
      </w:hyperlink>
    </w:p>
  </w:footnote>
  <w:footnote w:id="418">
    <w:p w14:paraId="43958B41" w14:textId="56DF96F4" w:rsidR="6EE12E2E" w:rsidRPr="00B45DAC" w:rsidRDefault="6EE12E2E">
      <w:pPr>
        <w:rPr>
          <w:sz w:val="16"/>
          <w:szCs w:val="16"/>
        </w:rPr>
      </w:pPr>
      <w:r w:rsidRPr="00B45DAC">
        <w:rPr>
          <w:sz w:val="16"/>
          <w:szCs w:val="16"/>
          <w:vertAlign w:val="superscript"/>
        </w:rPr>
        <w:footnoteRef/>
      </w:r>
      <w:r w:rsidR="43456B75" w:rsidRPr="00B45DAC">
        <w:rPr>
          <w:sz w:val="16"/>
          <w:szCs w:val="16"/>
        </w:rPr>
        <w:t xml:space="preserve"> </w:t>
      </w:r>
      <w:r w:rsidR="43456B75" w:rsidRPr="43456B75">
        <w:rPr>
          <w:sz w:val="16"/>
          <w:szCs w:val="16"/>
        </w:rPr>
        <w:t xml:space="preserve"> The plastic sector turnover</w:t>
      </w:r>
      <w:r w:rsidR="62B5D095" w:rsidRPr="62B5D095">
        <w:rPr>
          <w:sz w:val="16"/>
          <w:szCs w:val="16"/>
        </w:rPr>
        <w:t xml:space="preserve"> share</w:t>
      </w:r>
      <w:r w:rsidR="43456B75" w:rsidRPr="43456B75">
        <w:rPr>
          <w:sz w:val="16"/>
          <w:szCs w:val="16"/>
        </w:rPr>
        <w:t>, based on 10Mtonnes, of the construction sector</w:t>
      </w:r>
      <w:r w:rsidR="002C0305">
        <w:rPr>
          <w:sz w:val="16"/>
          <w:szCs w:val="16"/>
        </w:rPr>
        <w:t xml:space="preserve"> turnover of </w:t>
      </w:r>
      <w:r w:rsidR="64D3EC15" w:rsidRPr="00B45DAC">
        <w:rPr>
          <w:sz w:val="16"/>
          <w:szCs w:val="16"/>
        </w:rPr>
        <w:t>€1500bn</w:t>
      </w:r>
      <w:r w:rsidR="00533A8A">
        <w:rPr>
          <w:sz w:val="16"/>
          <w:szCs w:val="16"/>
        </w:rPr>
        <w:t xml:space="preserve"> is a function of </w:t>
      </w:r>
      <w:r w:rsidR="64D3EC15" w:rsidRPr="00B45DAC">
        <w:rPr>
          <w:sz w:val="16"/>
          <w:szCs w:val="16"/>
        </w:rPr>
        <w:t xml:space="preserve">the </w:t>
      </w:r>
      <w:r w:rsidR="00545E83">
        <w:rPr>
          <w:sz w:val="16"/>
          <w:szCs w:val="16"/>
        </w:rPr>
        <w:t>mix</w:t>
      </w:r>
      <w:r w:rsidR="4E8D2F72" w:rsidRPr="4E8D2F72">
        <w:rPr>
          <w:sz w:val="16"/>
          <w:szCs w:val="16"/>
        </w:rPr>
        <w:t xml:space="preserve"> of different products</w:t>
      </w:r>
      <w:r w:rsidR="2C843858" w:rsidRPr="2C843858">
        <w:rPr>
          <w:sz w:val="16"/>
          <w:szCs w:val="16"/>
        </w:rPr>
        <w:t>,</w:t>
      </w:r>
      <w:r w:rsidR="64D3EC15" w:rsidRPr="64D3EC15">
        <w:rPr>
          <w:sz w:val="16"/>
          <w:szCs w:val="16"/>
        </w:rPr>
        <w:t xml:space="preserve"> resulting in </w:t>
      </w:r>
      <w:r w:rsidR="491C250A" w:rsidRPr="491C250A">
        <w:rPr>
          <w:sz w:val="16"/>
          <w:szCs w:val="16"/>
        </w:rPr>
        <w:t xml:space="preserve">plastic </w:t>
      </w:r>
      <w:r w:rsidR="43456B75" w:rsidRPr="43456B75">
        <w:rPr>
          <w:sz w:val="16"/>
          <w:szCs w:val="16"/>
        </w:rPr>
        <w:t xml:space="preserve">sector </w:t>
      </w:r>
      <w:r w:rsidR="64D3EC15" w:rsidRPr="00B45DAC">
        <w:rPr>
          <w:sz w:val="16"/>
          <w:szCs w:val="16"/>
        </w:rPr>
        <w:t>turnover</w:t>
      </w:r>
      <w:r w:rsidR="491C250A" w:rsidRPr="491C250A">
        <w:rPr>
          <w:sz w:val="16"/>
          <w:szCs w:val="16"/>
        </w:rPr>
        <w:t xml:space="preserve"> of</w:t>
      </w:r>
      <w:r w:rsidR="43456B75" w:rsidRPr="43456B75">
        <w:rPr>
          <w:sz w:val="16"/>
          <w:szCs w:val="16"/>
        </w:rPr>
        <w:t xml:space="preserve"> </w:t>
      </w:r>
      <w:r w:rsidR="64D3EC15" w:rsidRPr="64D3EC15">
        <w:rPr>
          <w:sz w:val="16"/>
          <w:szCs w:val="16"/>
        </w:rPr>
        <w:t xml:space="preserve"> between </w:t>
      </w:r>
      <w:r w:rsidR="43456B75" w:rsidRPr="43456B75">
        <w:rPr>
          <w:sz w:val="16"/>
          <w:szCs w:val="16"/>
        </w:rPr>
        <w:t>€30bn and €60-70bn</w:t>
      </w:r>
      <w:r w:rsidR="64D3EC15" w:rsidRPr="64D3EC15">
        <w:rPr>
          <w:sz w:val="16"/>
          <w:szCs w:val="16"/>
        </w:rPr>
        <w:t>. The</w:t>
      </w:r>
      <w:r w:rsidR="43456B75" w:rsidRPr="43456B75">
        <w:rPr>
          <w:sz w:val="16"/>
          <w:szCs w:val="16"/>
        </w:rPr>
        <w:t xml:space="preserve"> lower bracket is set by plastic pipes in civil engineering and profiles at €3000/ton, and the upper bracket by higher-spec insulation at €6000-7000/ton in product </w:t>
      </w:r>
      <w:r w:rsidR="64D3EC15" w:rsidRPr="64D3EC15">
        <w:rPr>
          <w:sz w:val="16"/>
          <w:szCs w:val="16"/>
        </w:rPr>
        <w:t xml:space="preserve">market </w:t>
      </w:r>
      <w:r w:rsidR="43456B75" w:rsidRPr="43456B75">
        <w:rPr>
          <w:sz w:val="16"/>
          <w:szCs w:val="16"/>
        </w:rPr>
        <w:t>value. This is 2-4% of the total construction sector turnover. [sources: https://www.ela.europa.eu/sites/default/files/2023-09/ELA_construction-sector-report-2023.pdf ; https://www.teppfa.eu/about-us ;  https://www.eurowindoor.eu ; https://publications.jrc.ec.europa.eu/repository/bitstream/JRC108692/kj1a28816enn.pdf ; https://www.acrplus.org/docs/2024104804_guide-en.pdf]</w:t>
      </w:r>
    </w:p>
  </w:footnote>
  <w:footnote w:id="419">
    <w:p w14:paraId="390E3BEB" w14:textId="3A17EF7C" w:rsidR="64D3EC15" w:rsidRPr="00B45DAC" w:rsidRDefault="64D3EC15">
      <w:pPr>
        <w:rPr>
          <w:sz w:val="16"/>
          <w:szCs w:val="16"/>
        </w:rPr>
      </w:pPr>
      <w:r w:rsidRPr="005F089A">
        <w:rPr>
          <w:sz w:val="16"/>
          <w:szCs w:val="16"/>
          <w:vertAlign w:val="superscript"/>
        </w:rPr>
        <w:footnoteRef/>
      </w:r>
      <w:r w:rsidRPr="00B45DAC">
        <w:rPr>
          <w:sz w:val="16"/>
          <w:szCs w:val="16"/>
        </w:rPr>
        <w:t xml:space="preserve"> </w:t>
      </w:r>
      <w:r w:rsidRPr="64D3EC15">
        <w:rPr>
          <w:sz w:val="16"/>
          <w:szCs w:val="16"/>
        </w:rPr>
        <w:t>The bracket is a calculation of the values referenced in text, with 0.036-0.14% calculated as [0.02*0.6*0.3*0.1 - 0.04*0.6*0.3*0.2].</w:t>
      </w:r>
    </w:p>
  </w:footnote>
  <w:footnote w:id="420">
    <w:p w14:paraId="229E3E6A" w14:textId="7101048E" w:rsidR="2E6543FA" w:rsidRDefault="2E6543FA" w:rsidP="00F23B02">
      <w:pPr>
        <w:keepNext/>
        <w:keepLines/>
      </w:pPr>
      <w:r w:rsidRPr="005F089A">
        <w:rPr>
          <w:sz w:val="16"/>
          <w:szCs w:val="16"/>
          <w:vertAlign w:val="superscript"/>
        </w:rPr>
        <w:footnoteRef/>
      </w:r>
      <w:r w:rsidRPr="00B45DAC">
        <w:rPr>
          <w:sz w:val="16"/>
          <w:szCs w:val="16"/>
        </w:rPr>
        <w:t xml:space="preserve"> </w:t>
      </w:r>
      <w:r w:rsidRPr="00874E90">
        <w:rPr>
          <w:sz w:val="16"/>
          <w:szCs w:val="16"/>
        </w:rPr>
        <w:t xml:space="preserve">Based on 1.1-1.7Mt /13*37, extrapolating from </w:t>
      </w:r>
      <w:r w:rsidR="005C6908" w:rsidRPr="00874E90">
        <w:rPr>
          <w:sz w:val="16"/>
          <w:szCs w:val="16"/>
        </w:rPr>
        <w:t xml:space="preserve">a </w:t>
      </w:r>
      <w:r w:rsidRPr="00874E90">
        <w:rPr>
          <w:sz w:val="16"/>
          <w:szCs w:val="16"/>
        </w:rPr>
        <w:t xml:space="preserve">national transition scenario: CE Delft, "Mandatory percentage of recycled or bio-based plastic" (Dutch Transition Agenda for Plastics). </w:t>
      </w:r>
      <w:r w:rsidR="00F147D0">
        <w:rPr>
          <w:sz w:val="16"/>
          <w:szCs w:val="16"/>
        </w:rPr>
        <w:t>[</w:t>
      </w:r>
      <w:r w:rsidRPr="00874E90">
        <w:rPr>
          <w:sz w:val="16"/>
          <w:szCs w:val="16"/>
        </w:rPr>
        <w:t>cedelft.eu/wp-content/uploads/sites/2/2022/03/CE_Delft_200289_Mandatory_percentage_of_recycled_or_bio-based_plastic_Def.pdf</w:t>
      </w:r>
      <w:r w:rsidR="00F147D0">
        <w:rPr>
          <w:sz w:val="16"/>
          <w:szCs w:val="16"/>
        </w:rPr>
        <w:t>]</w:t>
      </w:r>
    </w:p>
  </w:footnote>
  <w:footnote w:id="421">
    <w:p w14:paraId="63C72E0C" w14:textId="12CCB216" w:rsidR="2E6543FA" w:rsidRPr="00874E90" w:rsidRDefault="2E6543FA" w:rsidP="00874E90">
      <w:pPr>
        <w:pStyle w:val="FootnoteText"/>
        <w:rPr>
          <w:rStyle w:val="FootnoteReference"/>
          <w:rFonts w:cs="Times New Roman"/>
          <w:sz w:val="16"/>
          <w:szCs w:val="16"/>
        </w:rPr>
      </w:pPr>
      <w:r w:rsidRPr="00874E90">
        <w:rPr>
          <w:rStyle w:val="FootnoteReference"/>
          <w:rFonts w:cs="Times New Roman"/>
          <w:sz w:val="16"/>
          <w:szCs w:val="16"/>
        </w:rPr>
        <w:footnoteRef/>
      </w:r>
      <w:r w:rsidRPr="00874E90">
        <w:rPr>
          <w:rStyle w:val="FootnoteReference"/>
          <w:rFonts w:cs="Times New Roman"/>
          <w:sz w:val="16"/>
          <w:szCs w:val="16"/>
        </w:rPr>
        <w:t xml:space="preserve"> </w:t>
      </w:r>
      <w:r w:rsidRPr="00874E90">
        <w:rPr>
          <w:sz w:val="16"/>
          <w:szCs w:val="16"/>
          <w:lang w:val="en-US"/>
        </w:rPr>
        <w:t>As example, annual certification and verification costs of €40,000 for a 100,000 ton facility would increase plastics production costs by €0.40 per tonne, equivalent to 0.04% for a polymer priced at €1,000</w:t>
      </w:r>
      <w:r w:rsidR="002A16D5" w:rsidRPr="00874E90">
        <w:rPr>
          <w:sz w:val="16"/>
          <w:szCs w:val="16"/>
          <w:lang w:val="en-US"/>
        </w:rPr>
        <w:t>/</w:t>
      </w:r>
      <w:r w:rsidR="002A16D5" w:rsidRPr="00874E90">
        <w:rPr>
          <w:rFonts w:cs="Times New Roman"/>
          <w:sz w:val="16"/>
          <w:szCs w:val="16"/>
          <w:lang w:val="en-US"/>
        </w:rPr>
        <w:t>t</w:t>
      </w:r>
      <w:r w:rsidR="00E13D1C" w:rsidRPr="00874E90">
        <w:rPr>
          <w:rFonts w:cs="Times New Roman"/>
          <w:sz w:val="16"/>
          <w:szCs w:val="16"/>
          <w:lang w:val="en-US"/>
        </w:rPr>
        <w:t>.</w:t>
      </w:r>
    </w:p>
  </w:footnote>
  <w:footnote w:id="422">
    <w:p w14:paraId="1F3A7DD6"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JRC Analysis.</w:t>
      </w:r>
    </w:p>
  </w:footnote>
  <w:footnote w:id="423">
    <w:p w14:paraId="21FA3351"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272" w:history="1">
        <w:r w:rsidRPr="00720DA1">
          <w:rPr>
            <w:rStyle w:val="Hyperlink"/>
            <w:rFonts w:eastAsia="system-ui" w:cs="Times New Roman"/>
            <w:sz w:val="16"/>
            <w:szCs w:val="16"/>
          </w:rPr>
          <w:t>statistical-report-glass-alliance-europe.pdf</w:t>
        </w:r>
      </w:hyperlink>
      <w:r w:rsidRPr="00720DA1">
        <w:rPr>
          <w:rFonts w:cs="Times New Roman"/>
          <w:sz w:val="16"/>
          <w:szCs w:val="16"/>
        </w:rPr>
        <w:t>.</w:t>
      </w:r>
    </w:p>
  </w:footnote>
  <w:footnote w:id="424">
    <w:p w14:paraId="168F6339" w14:textId="1F36EF81"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A1355B">
        <w:rPr>
          <w:sz w:val="16"/>
          <w:szCs w:val="16"/>
        </w:rPr>
        <w:t xml:space="preserve"> </w:t>
      </w:r>
      <w:r w:rsidR="000C3A21" w:rsidRPr="00720DA1">
        <w:rPr>
          <w:sz w:val="16"/>
          <w:szCs w:val="16"/>
        </w:rPr>
        <w:t>Ibid.</w:t>
      </w:r>
    </w:p>
  </w:footnote>
  <w:footnote w:id="425">
    <w:p w14:paraId="15DE4F69" w14:textId="35FCFB9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5946C0" w:rsidRPr="00720DA1">
        <w:rPr>
          <w:rFonts w:cs="Times New Roman"/>
          <w:sz w:val="16"/>
          <w:szCs w:val="16"/>
        </w:rPr>
        <w:t>Tendate.</w:t>
      </w:r>
      <w:r w:rsidRPr="00720DA1">
        <w:rPr>
          <w:rFonts w:cs="Times New Roman"/>
          <w:sz w:val="16"/>
          <w:szCs w:val="16"/>
        </w:rPr>
        <w:t xml:space="preserve"> </w:t>
      </w:r>
      <w:hyperlink r:id="rId273" w:anchor=":~:text=Here%20are%20the%20top%2015%20countries%20by%20the,8%208.%20Japan:%20$2.6%20billion%20(2.9%)%20More%20items">
        <w:r w:rsidRPr="00720DA1">
          <w:rPr>
            <w:rStyle w:val="Hyperlink"/>
            <w:rFonts w:eastAsia="Times New Roman" w:cs="Times New Roman"/>
            <w:sz w:val="16"/>
            <w:szCs w:val="16"/>
          </w:rPr>
          <w:t>Global Glass Export</w:t>
        </w:r>
        <w:bookmarkStart w:id="577" w:name="_Hlt219453945"/>
        <w:r w:rsidRPr="00720DA1">
          <w:rPr>
            <w:rStyle w:val="Hyperlink"/>
            <w:rFonts w:eastAsia="Times New Roman" w:cs="Times New Roman"/>
            <w:sz w:val="16"/>
            <w:szCs w:val="16"/>
          </w:rPr>
          <w:t>s</w:t>
        </w:r>
        <w:bookmarkEnd w:id="577"/>
        <w:r w:rsidRPr="00720DA1">
          <w:rPr>
            <w:rStyle w:val="Hyperlink"/>
            <w:rFonts w:eastAsia="Times New Roman" w:cs="Times New Roman"/>
            <w:sz w:val="16"/>
            <w:szCs w:val="16"/>
          </w:rPr>
          <w:t xml:space="preserve"> by Nation in 2023 -</w:t>
        </w:r>
      </w:hyperlink>
      <w:r w:rsidRPr="00720DA1">
        <w:rPr>
          <w:rFonts w:cs="Times New Roman"/>
          <w:sz w:val="16"/>
          <w:szCs w:val="16"/>
        </w:rPr>
        <w:t>.</w:t>
      </w:r>
    </w:p>
  </w:footnote>
  <w:footnote w:id="426">
    <w:p w14:paraId="0C99307C" w14:textId="477929B6" w:rsidR="00020031" w:rsidRPr="00761984" w:rsidRDefault="00020031" w:rsidP="00CE1615">
      <w:pPr>
        <w:pStyle w:val="FootnoteText"/>
        <w:rPr>
          <w:rFonts w:cs="Times New Roman"/>
          <w:sz w:val="16"/>
          <w:szCs w:val="16"/>
          <w:lang w:val="en-US"/>
        </w:rPr>
      </w:pPr>
      <w:r w:rsidRPr="00720DA1">
        <w:rPr>
          <w:rStyle w:val="FootnoteReference"/>
          <w:rFonts w:cs="Times New Roman"/>
          <w:sz w:val="16"/>
          <w:szCs w:val="16"/>
        </w:rPr>
        <w:footnoteRef/>
      </w:r>
      <w:r w:rsidRPr="00761984">
        <w:rPr>
          <w:rFonts w:cs="Times New Roman"/>
          <w:sz w:val="16"/>
          <w:szCs w:val="16"/>
          <w:lang w:val="en-US"/>
        </w:rPr>
        <w:t xml:space="preserve"> </w:t>
      </w:r>
      <w:r w:rsidR="0041724B" w:rsidRPr="00761984">
        <w:rPr>
          <w:rFonts w:cs="Times New Roman"/>
          <w:sz w:val="16"/>
          <w:szCs w:val="16"/>
          <w:lang w:val="en-US"/>
        </w:rPr>
        <w:t xml:space="preserve">Glass Alliance Europe (2025). </w:t>
      </w:r>
      <w:hyperlink r:id="rId274" w:history="1">
        <w:r w:rsidR="0041724B" w:rsidRPr="00761984">
          <w:rPr>
            <w:rStyle w:val="Hyperlink"/>
            <w:rFonts w:cs="Times New Roman"/>
            <w:sz w:val="16"/>
            <w:szCs w:val="16"/>
            <w:lang w:val="en-US"/>
          </w:rPr>
          <w:t>Statistical Report 2024-2025</w:t>
        </w:r>
      </w:hyperlink>
      <w:r w:rsidR="0041724B" w:rsidRPr="00761984">
        <w:rPr>
          <w:rFonts w:cs="Times New Roman"/>
          <w:sz w:val="16"/>
          <w:szCs w:val="16"/>
          <w:lang w:val="en-US"/>
        </w:rPr>
        <w:t>.</w:t>
      </w:r>
      <w:hyperlink r:id="rId275" w:history="1">
        <w:hyperlink r:id="rId276" w:history="1">
          <w:r>
            <w:rPr>
              <w:rStyle w:val="Hyperlink"/>
            </w:rPr>
            <w:t>https://www.wko.at/bgld/industrie/glasindustrie/statistical-report-glass-alliance-europe.pdf</w:t>
          </w:r>
        </w:hyperlink>
      </w:hyperlink>
    </w:p>
  </w:footnote>
  <w:footnote w:id="427">
    <w:p w14:paraId="6BE5C782" w14:textId="48B772BA" w:rsidR="00020031" w:rsidRPr="00761984" w:rsidRDefault="00020031" w:rsidP="00CE1615">
      <w:pPr>
        <w:pStyle w:val="FootnoteText"/>
        <w:rPr>
          <w:rFonts w:cs="Times New Roman"/>
          <w:sz w:val="16"/>
          <w:szCs w:val="16"/>
          <w:lang w:val="en-US"/>
        </w:rPr>
      </w:pPr>
      <w:r w:rsidRPr="00720DA1">
        <w:rPr>
          <w:rStyle w:val="FootnoteReference"/>
          <w:rFonts w:cs="Times New Roman"/>
          <w:sz w:val="16"/>
          <w:szCs w:val="16"/>
        </w:rPr>
        <w:footnoteRef/>
      </w:r>
      <w:r w:rsidRPr="00761984">
        <w:rPr>
          <w:rFonts w:cs="Times New Roman"/>
          <w:sz w:val="16"/>
          <w:szCs w:val="16"/>
          <w:lang w:val="en-US"/>
        </w:rPr>
        <w:t xml:space="preserve"> </w:t>
      </w:r>
      <w:hyperlink r:id="rId277" w:tgtFrame="_blank" w:history="1">
        <w:r w:rsidR="000C3A21" w:rsidRPr="00761984">
          <w:rPr>
            <w:rStyle w:val="Hyperlink"/>
            <w:rFonts w:cs="Times New Roman"/>
            <w:sz w:val="16"/>
            <w:szCs w:val="16"/>
            <w:lang w:val="en-US"/>
          </w:rPr>
          <w:t>Ibid.</w:t>
        </w:r>
      </w:hyperlink>
    </w:p>
  </w:footnote>
  <w:footnote w:id="428">
    <w:p w14:paraId="6923A47C" w14:textId="73B1A303" w:rsidR="00020031" w:rsidRPr="00761984" w:rsidRDefault="00020031" w:rsidP="00CE1615">
      <w:pPr>
        <w:pStyle w:val="FootnoteText"/>
        <w:rPr>
          <w:rFonts w:cs="Times New Roman"/>
          <w:sz w:val="16"/>
          <w:szCs w:val="16"/>
          <w:lang w:val="en-US"/>
        </w:rPr>
      </w:pPr>
      <w:r w:rsidRPr="00720DA1">
        <w:rPr>
          <w:rStyle w:val="FootnoteReference"/>
          <w:rFonts w:cs="Times New Roman"/>
          <w:sz w:val="16"/>
          <w:szCs w:val="16"/>
        </w:rPr>
        <w:footnoteRef/>
      </w:r>
      <w:r w:rsidRPr="00761984">
        <w:rPr>
          <w:rFonts w:cs="Times New Roman"/>
          <w:sz w:val="16"/>
          <w:szCs w:val="16"/>
          <w:lang w:val="en-US"/>
        </w:rPr>
        <w:t xml:space="preserve"> </w:t>
      </w:r>
      <w:r w:rsidR="00896389" w:rsidRPr="00761984">
        <w:rPr>
          <w:rFonts w:cs="Times New Roman"/>
          <w:sz w:val="16"/>
          <w:szCs w:val="16"/>
          <w:lang w:val="en-US"/>
        </w:rPr>
        <w:t xml:space="preserve">European Commission (2022). </w:t>
      </w:r>
      <w:hyperlink r:id="rId278" w:history="1">
        <w:r w:rsidR="00896389" w:rsidRPr="00761984">
          <w:rPr>
            <w:rStyle w:val="Hyperlink"/>
            <w:rFonts w:cs="Times New Roman"/>
            <w:sz w:val="16"/>
            <w:szCs w:val="16"/>
            <w:lang w:val="en-US"/>
          </w:rPr>
          <w:t>How LIFE is reducing emissions from glass production</w:t>
        </w:r>
      </w:hyperlink>
      <w:r w:rsidR="00896389" w:rsidRPr="00761984">
        <w:rPr>
          <w:rFonts w:cs="Times New Roman"/>
          <w:sz w:val="16"/>
          <w:szCs w:val="16"/>
          <w:lang w:val="en-US"/>
        </w:rPr>
        <w:t>.</w:t>
      </w:r>
    </w:p>
  </w:footnote>
  <w:footnote w:id="429">
    <w:p w14:paraId="176A165F" w14:textId="1DB8FB91" w:rsidR="00020031" w:rsidRPr="00800E87" w:rsidRDefault="00020031" w:rsidP="00800E87">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800E87">
        <w:rPr>
          <w:rFonts w:cs="Times New Roman"/>
          <w:sz w:val="16"/>
          <w:szCs w:val="16"/>
        </w:rPr>
        <w:t xml:space="preserve">FEVE (2024). </w:t>
      </w:r>
      <w:hyperlink r:id="rId279" w:history="1">
        <w:r w:rsidR="00800E87" w:rsidRPr="00800E87">
          <w:rPr>
            <w:rStyle w:val="Hyperlink"/>
            <w:rFonts w:cs="Times New Roman"/>
            <w:sz w:val="16"/>
            <w:szCs w:val="16"/>
          </w:rPr>
          <w:t>One des</w:t>
        </w:r>
        <w:r w:rsidR="00800E87" w:rsidRPr="00800E87">
          <w:rPr>
            <w:rStyle w:val="Hyperlink"/>
            <w:rFonts w:cs="Times New Roman"/>
            <w:sz w:val="16"/>
            <w:szCs w:val="16"/>
          </w:rPr>
          <w:softHyphen/>
          <w:t>tination, mul</w:t>
        </w:r>
        <w:r w:rsidR="00800E87" w:rsidRPr="00800E87">
          <w:rPr>
            <w:rStyle w:val="Hyperlink"/>
            <w:rFonts w:cs="Times New Roman"/>
            <w:sz w:val="16"/>
            <w:szCs w:val="16"/>
          </w:rPr>
          <w:softHyphen/>
          <w:t>tiple pathways: How the European container glass industry is decarbonising glassmaking</w:t>
        </w:r>
      </w:hyperlink>
      <w:r w:rsidR="00800E87">
        <w:rPr>
          <w:rFonts w:cs="Times New Roman"/>
          <w:sz w:val="16"/>
          <w:szCs w:val="16"/>
        </w:rPr>
        <w:t>.</w:t>
      </w:r>
    </w:p>
  </w:footnote>
  <w:footnote w:id="430">
    <w:p w14:paraId="5BE8EE83" w14:textId="65DEC079" w:rsidR="00020031" w:rsidRPr="00720DA1" w:rsidRDefault="00020031" w:rsidP="001A42CE">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1A42CE">
        <w:rPr>
          <w:rFonts w:cs="Times New Roman"/>
          <w:sz w:val="16"/>
          <w:szCs w:val="16"/>
        </w:rPr>
        <w:t xml:space="preserve">FEVE (2024). </w:t>
      </w:r>
      <w:hyperlink r:id="rId280" w:history="1">
        <w:r w:rsidR="001A42CE" w:rsidRPr="00800E87">
          <w:rPr>
            <w:rStyle w:val="Hyperlink"/>
            <w:rFonts w:cs="Times New Roman"/>
            <w:sz w:val="16"/>
            <w:szCs w:val="16"/>
          </w:rPr>
          <w:t>One des</w:t>
        </w:r>
        <w:r w:rsidR="001A42CE" w:rsidRPr="00800E87">
          <w:rPr>
            <w:rStyle w:val="Hyperlink"/>
            <w:rFonts w:cs="Times New Roman"/>
            <w:sz w:val="16"/>
            <w:szCs w:val="16"/>
          </w:rPr>
          <w:softHyphen/>
          <w:t>tination, mul</w:t>
        </w:r>
        <w:r w:rsidR="001A42CE" w:rsidRPr="00800E87">
          <w:rPr>
            <w:rStyle w:val="Hyperlink"/>
            <w:rFonts w:cs="Times New Roman"/>
            <w:sz w:val="16"/>
            <w:szCs w:val="16"/>
          </w:rPr>
          <w:softHyphen/>
          <w:t>tiple pathways: How the European container glass industry is decarbonising glassmaking</w:t>
        </w:r>
      </w:hyperlink>
      <w:r w:rsidR="00800E87">
        <w:rPr>
          <w:rFonts w:cs="Times New Roman"/>
          <w:sz w:val="16"/>
          <w:szCs w:val="16"/>
        </w:rPr>
        <w:t>.</w:t>
      </w:r>
    </w:p>
  </w:footnote>
  <w:footnote w:id="431">
    <w:p w14:paraId="11C45AE7" w14:textId="77777777" w:rsidR="00436131" w:rsidRPr="00720DA1" w:rsidRDefault="004361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Cepi (2023). </w:t>
      </w:r>
      <w:hyperlink r:id="rId281" w:history="1">
        <w:r w:rsidRPr="00720DA1">
          <w:rPr>
            <w:rStyle w:val="Hyperlink"/>
            <w:rFonts w:cs="Times New Roman"/>
            <w:sz w:val="16"/>
            <w:szCs w:val="16"/>
          </w:rPr>
          <w:t>Key Statistics 2023 - European pulp &amp; paper industry</w:t>
        </w:r>
      </w:hyperlink>
      <w:r w:rsidRPr="00720DA1">
        <w:rPr>
          <w:rFonts w:cs="Times New Roman"/>
          <w:sz w:val="16"/>
          <w:szCs w:val="16"/>
        </w:rPr>
        <w:t xml:space="preserve">, </w:t>
      </w:r>
    </w:p>
  </w:footnote>
  <w:footnote w:id="432">
    <w:p w14:paraId="08873337" w14:textId="532DE516" w:rsidR="002926BB" w:rsidRPr="00720DA1" w:rsidRDefault="002926BB">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Ibid.</w:t>
      </w:r>
    </w:p>
  </w:footnote>
  <w:footnote w:id="433">
    <w:p w14:paraId="1A750071" w14:textId="77777777" w:rsidR="00436131" w:rsidRPr="00720DA1" w:rsidRDefault="004361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Ibid.</w:t>
      </w:r>
    </w:p>
  </w:footnote>
  <w:footnote w:id="434">
    <w:p w14:paraId="05C548E9" w14:textId="212B8FC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A1355B">
        <w:rPr>
          <w:rFonts w:cs="Times New Roman"/>
          <w:sz w:val="16"/>
          <w:szCs w:val="16"/>
        </w:rPr>
        <w:t xml:space="preserve">European Commission webpage. </w:t>
      </w:r>
      <w:hyperlink r:id="rId282">
        <w:r w:rsidR="00A1355B">
          <w:rPr>
            <w:rStyle w:val="Hyperlink"/>
            <w:rFonts w:eastAsia="system-ui" w:cs="Times New Roman"/>
            <w:sz w:val="16"/>
            <w:szCs w:val="16"/>
          </w:rPr>
          <w:t>Pulp and paper industry</w:t>
        </w:r>
      </w:hyperlink>
      <w:r w:rsidR="00A1355B">
        <w:rPr>
          <w:sz w:val="16"/>
          <w:szCs w:val="16"/>
        </w:rPr>
        <w:t>.</w:t>
      </w:r>
    </w:p>
  </w:footnote>
  <w:footnote w:id="435">
    <w:p w14:paraId="7C8AC871" w14:textId="7A7DAD80" w:rsidR="00020031" w:rsidRPr="00720DA1" w:rsidRDefault="00020031" w:rsidP="00CE1615">
      <w:pPr>
        <w:rPr>
          <w:rFonts w:eastAsia="Times New Roman"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800D94">
        <w:rPr>
          <w:rFonts w:cs="Times New Roman"/>
          <w:sz w:val="16"/>
          <w:szCs w:val="16"/>
        </w:rPr>
        <w:t xml:space="preserve">Cepi (2024). </w:t>
      </w:r>
      <w:hyperlink r:id="rId283">
        <w:r w:rsidR="00800D94">
          <w:rPr>
            <w:rStyle w:val="Hyperlink"/>
            <w:rFonts w:eastAsia="Times New Roman" w:cs="Times New Roman"/>
            <w:sz w:val="16"/>
            <w:szCs w:val="16"/>
          </w:rPr>
          <w:t>Key statistics 2023 - European pulp &amp; paper industry</w:t>
        </w:r>
      </w:hyperlink>
      <w:r w:rsidR="00800D94">
        <w:rPr>
          <w:sz w:val="16"/>
          <w:szCs w:val="16"/>
        </w:rPr>
        <w:t>.</w:t>
      </w:r>
    </w:p>
  </w:footnote>
  <w:footnote w:id="436">
    <w:p w14:paraId="733880EC" w14:textId="396F98BE" w:rsidR="00020031" w:rsidRPr="00720DA1" w:rsidRDefault="00020031" w:rsidP="00CE1615">
      <w:pPr>
        <w:rPr>
          <w:rFonts w:eastAsia="system-ui" w:cs="Times New Roman"/>
          <w:color w:val="000000" w:themeColor="text1"/>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800D94">
        <w:rPr>
          <w:rFonts w:cs="Times New Roman"/>
          <w:sz w:val="16"/>
          <w:szCs w:val="16"/>
        </w:rPr>
        <w:t xml:space="preserve">Cepi (2024). </w:t>
      </w:r>
      <w:hyperlink r:id="rId284" w:history="1">
        <w:r w:rsidR="00800D94" w:rsidRPr="00911EF4">
          <w:rPr>
            <w:rStyle w:val="Hyperlink"/>
            <w:rFonts w:cs="Times New Roman"/>
            <w:sz w:val="16"/>
            <w:szCs w:val="16"/>
          </w:rPr>
          <w:t>Press release: In a very difficult context, pulp and paper industry has shown resilience in 2023</w:t>
        </w:r>
      </w:hyperlink>
      <w:r w:rsidR="00800D94">
        <w:rPr>
          <w:rFonts w:cs="Times New Roman"/>
          <w:sz w:val="16"/>
          <w:szCs w:val="16"/>
        </w:rPr>
        <w:t>.</w:t>
      </w:r>
    </w:p>
  </w:footnote>
  <w:footnote w:id="437">
    <w:p w14:paraId="59B6D0E6" w14:textId="1E61E950" w:rsidR="00020031" w:rsidRPr="00720DA1" w:rsidRDefault="00020031" w:rsidP="00CE1615">
      <w:pPr>
        <w:pStyle w:val="FootnoteText"/>
        <w:rPr>
          <w:rFonts w:eastAsia="system-ui" w:cs="Times New Roman"/>
          <w:color w:val="0000FF"/>
          <w:sz w:val="16"/>
          <w:szCs w:val="16"/>
          <w:u w:val="single"/>
        </w:rPr>
      </w:pPr>
      <w:r w:rsidRPr="00720DA1">
        <w:rPr>
          <w:rStyle w:val="FootnoteReference"/>
          <w:rFonts w:cs="Times New Roman"/>
          <w:sz w:val="16"/>
          <w:szCs w:val="16"/>
        </w:rPr>
        <w:footnoteRef/>
      </w:r>
      <w:r w:rsidRPr="00720DA1">
        <w:rPr>
          <w:rFonts w:cs="Times New Roman"/>
          <w:sz w:val="16"/>
          <w:szCs w:val="16"/>
        </w:rPr>
        <w:t xml:space="preserve"> </w:t>
      </w:r>
      <w:r w:rsidR="00365ADD">
        <w:rPr>
          <w:rFonts w:cs="Times New Roman"/>
          <w:sz w:val="16"/>
          <w:szCs w:val="16"/>
        </w:rPr>
        <w:t xml:space="preserve">EMGE (2025). </w:t>
      </w:r>
      <w:hyperlink r:id="rId285">
        <w:r w:rsidR="00365ADD">
          <w:rPr>
            <w:rStyle w:val="Hyperlink"/>
            <w:rFonts w:eastAsia="system-ui" w:cs="Times New Roman"/>
            <w:sz w:val="16"/>
            <w:szCs w:val="16"/>
          </w:rPr>
          <w:t>EMGE Paper and Pulp Industry Outlook: 2026</w:t>
        </w:r>
      </w:hyperlink>
      <w:r w:rsidR="00365ADD">
        <w:rPr>
          <w:sz w:val="16"/>
          <w:szCs w:val="16"/>
        </w:rPr>
        <w:t>.</w:t>
      </w:r>
    </w:p>
  </w:footnote>
  <w:footnote w:id="438">
    <w:p w14:paraId="5578E870" w14:textId="43849C19" w:rsidR="00020031" w:rsidRPr="00720DA1" w:rsidRDefault="00020031" w:rsidP="00911EF4">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11EF4">
        <w:rPr>
          <w:rFonts w:cs="Times New Roman"/>
          <w:sz w:val="16"/>
          <w:szCs w:val="16"/>
        </w:rPr>
        <w:t xml:space="preserve">Cepi (2024). </w:t>
      </w:r>
      <w:hyperlink r:id="rId286" w:history="1">
        <w:r w:rsidR="00911EF4" w:rsidRPr="00911EF4">
          <w:rPr>
            <w:rStyle w:val="Hyperlink"/>
            <w:rFonts w:cs="Times New Roman"/>
            <w:sz w:val="16"/>
            <w:szCs w:val="16"/>
          </w:rPr>
          <w:t>Press release: In a very difficult context, pulp and paper industry has shown resilience in 2023</w:t>
        </w:r>
      </w:hyperlink>
      <w:r w:rsidR="00911EF4">
        <w:rPr>
          <w:rFonts w:cs="Times New Roman"/>
          <w:sz w:val="16"/>
          <w:szCs w:val="16"/>
        </w:rPr>
        <w:t>.</w:t>
      </w:r>
    </w:p>
  </w:footnote>
  <w:footnote w:id="439">
    <w:p w14:paraId="1A79E536" w14:textId="57970874"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526022" w:rsidRPr="00720DA1">
        <w:rPr>
          <w:rFonts w:cs="Times New Roman"/>
          <w:sz w:val="16"/>
          <w:szCs w:val="16"/>
        </w:rPr>
        <w:t xml:space="preserve">Reinvent webpage. </w:t>
      </w:r>
      <w:hyperlink r:id="rId287" w:history="1">
        <w:r w:rsidR="00526022" w:rsidRPr="00720DA1">
          <w:rPr>
            <w:rStyle w:val="Hyperlink"/>
            <w:rFonts w:cs="Times New Roman"/>
            <w:sz w:val="16"/>
            <w:szCs w:val="16"/>
          </w:rPr>
          <w:t>Paper</w:t>
        </w:r>
      </w:hyperlink>
      <w:r w:rsidR="00526022" w:rsidRPr="00720DA1">
        <w:rPr>
          <w:sz w:val="16"/>
          <w:szCs w:val="16"/>
        </w:rPr>
        <w:t>.</w:t>
      </w:r>
      <w:r w:rsidRPr="00720DA1">
        <w:rPr>
          <w:rFonts w:cs="Times New Roman"/>
          <w:sz w:val="16"/>
          <w:szCs w:val="16"/>
        </w:rPr>
        <w:t xml:space="preserve"> </w:t>
      </w:r>
    </w:p>
  </w:footnote>
  <w:footnote w:id="440">
    <w:p w14:paraId="515AF7E5" w14:textId="582C330A" w:rsidR="00020031" w:rsidRPr="00720DA1" w:rsidRDefault="00020031" w:rsidP="00CE1615">
      <w:pPr>
        <w:rPr>
          <w:rFonts w:eastAsia="system-ui" w:cs="Times New Roman"/>
          <w:color w:val="000000" w:themeColor="text1"/>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E8737A" w:rsidRPr="00720DA1">
        <w:rPr>
          <w:rFonts w:cs="Times New Roman"/>
          <w:sz w:val="16"/>
          <w:szCs w:val="16"/>
        </w:rPr>
        <w:t xml:space="preserve">Cepi (2023). </w:t>
      </w:r>
      <w:hyperlink r:id="rId288" w:history="1">
        <w:r w:rsidRPr="00720DA1">
          <w:rPr>
            <w:rStyle w:val="Hyperlink"/>
            <w:rFonts w:eastAsia="system-ui" w:cs="Times New Roman"/>
            <w:sz w:val="16"/>
            <w:szCs w:val="16"/>
          </w:rPr>
          <w:t>Press release: Pulp and paper manufacturers are innovating their way out of CO</w:t>
        </w:r>
        <w:r w:rsidRPr="00720DA1">
          <w:rPr>
            <w:rStyle w:val="Hyperlink"/>
            <w:rFonts w:eastAsia="system-ui" w:cs="Times New Roman"/>
            <w:sz w:val="16"/>
            <w:szCs w:val="16"/>
            <w:vertAlign w:val="subscript"/>
          </w:rPr>
          <w:t>2</w:t>
        </w:r>
        <w:r w:rsidRPr="00720DA1">
          <w:rPr>
            <w:rStyle w:val="Hyperlink"/>
            <w:rFonts w:eastAsia="system-ui" w:cs="Times New Roman"/>
            <w:sz w:val="16"/>
            <w:szCs w:val="16"/>
          </w:rPr>
          <w:t xml:space="preserve"> emissions</w:t>
        </w:r>
      </w:hyperlink>
      <w:r w:rsidR="00E8737A" w:rsidRPr="00720DA1">
        <w:rPr>
          <w:rFonts w:eastAsia="system-ui" w:cs="Times New Roman"/>
          <w:sz w:val="16"/>
          <w:szCs w:val="16"/>
        </w:rPr>
        <w:t>.</w:t>
      </w:r>
    </w:p>
  </w:footnote>
  <w:footnote w:id="441">
    <w:p w14:paraId="29E4FDA2" w14:textId="36F924DB"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126F42" w:rsidRPr="00126F42">
        <w:rPr>
          <w:rFonts w:cs="Times New Roman"/>
          <w:sz w:val="16"/>
          <w:szCs w:val="16"/>
        </w:rPr>
        <w:t>Lipiäinen, S</w:t>
      </w:r>
      <w:r w:rsidR="00126F42">
        <w:rPr>
          <w:rFonts w:cs="Times New Roman"/>
          <w:sz w:val="16"/>
          <w:szCs w:val="16"/>
        </w:rPr>
        <w:t>. et al.</w:t>
      </w:r>
      <w:r w:rsidR="00126F42" w:rsidRPr="00126F42">
        <w:rPr>
          <w:rFonts w:cs="Times New Roman"/>
          <w:sz w:val="16"/>
          <w:szCs w:val="16"/>
        </w:rPr>
        <w:t xml:space="preserve"> (2023). </w:t>
      </w:r>
      <w:hyperlink r:id="rId289" w:history="1">
        <w:r w:rsidR="00126F42" w:rsidRPr="00126F42">
          <w:rPr>
            <w:rStyle w:val="Hyperlink"/>
            <w:rFonts w:cs="Times New Roman"/>
            <w:sz w:val="16"/>
            <w:szCs w:val="16"/>
          </w:rPr>
          <w:t>Decarbonization Prospects for the European Pulp and Paper Industry: Different Development Pathways and Needed Actions</w:t>
        </w:r>
      </w:hyperlink>
      <w:r w:rsidR="00126F42" w:rsidRPr="00126F42">
        <w:rPr>
          <w:rFonts w:cs="Times New Roman"/>
          <w:sz w:val="16"/>
          <w:szCs w:val="16"/>
        </w:rPr>
        <w:t>, Energies, 16(2), 746.</w:t>
      </w:r>
    </w:p>
  </w:footnote>
  <w:footnote w:id="442">
    <w:p w14:paraId="50E309D7" w14:textId="380B6B41"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D0AB9">
        <w:rPr>
          <w:rFonts w:cs="Times New Roman"/>
          <w:sz w:val="16"/>
          <w:szCs w:val="16"/>
        </w:rPr>
        <w:t xml:space="preserve">Engie Impact (2024). </w:t>
      </w:r>
      <w:hyperlink r:id="rId290" w:history="1">
        <w:r w:rsidR="007D0AB9">
          <w:rPr>
            <w:rStyle w:val="Hyperlink"/>
            <w:rFonts w:cs="Times New Roman"/>
            <w:sz w:val="16"/>
            <w:szCs w:val="16"/>
          </w:rPr>
          <w:t>Overcoming Decarbonization Hurdles in the Pulp and Paper Industry</w:t>
        </w:r>
      </w:hyperlink>
      <w:r w:rsidR="007D0AB9">
        <w:rPr>
          <w:sz w:val="16"/>
          <w:szCs w:val="16"/>
        </w:rPr>
        <w:t>.</w:t>
      </w:r>
    </w:p>
  </w:footnote>
  <w:footnote w:id="443">
    <w:p w14:paraId="30FD5CB7" w14:textId="76D6875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65284" w:rsidRPr="00720DA1">
        <w:rPr>
          <w:rFonts w:cs="Times New Roman"/>
          <w:sz w:val="16"/>
          <w:szCs w:val="16"/>
        </w:rPr>
        <w:t xml:space="preserve">Cepi (2025). </w:t>
      </w:r>
      <w:hyperlink r:id="rId291" w:history="1">
        <w:r w:rsidR="00FC42EB" w:rsidRPr="00720DA1">
          <w:rPr>
            <w:rStyle w:val="Hyperlink"/>
            <w:rFonts w:eastAsia="Times New Roman" w:cs="Times New Roman"/>
            <w:sz w:val="16"/>
            <w:szCs w:val="16"/>
          </w:rPr>
          <w:t>Press Release: Pulp and Paper Industry Showcases Commitment to Phase out Fossil Energies, at European Parliament Event</w:t>
        </w:r>
      </w:hyperlink>
      <w:r w:rsidR="00FC42EB" w:rsidRPr="00720DA1">
        <w:rPr>
          <w:rFonts w:eastAsia="Times New Roman" w:cs="Times New Roman"/>
          <w:color w:val="0000FF"/>
          <w:sz w:val="16"/>
          <w:szCs w:val="16"/>
          <w:u w:val="single"/>
        </w:rPr>
        <w:t>.</w:t>
      </w:r>
    </w:p>
  </w:footnote>
  <w:footnote w:id="444">
    <w:p w14:paraId="3CB0976B" w14:textId="747B73E8" w:rsidR="002315CD" w:rsidRPr="00720DA1" w:rsidRDefault="002315CD" w:rsidP="007D0AB9">
      <w:pPr>
        <w:pStyle w:val="FootnoteText"/>
        <w:jc w:val="left"/>
        <w:rPr>
          <w:sz w:val="16"/>
          <w:szCs w:val="16"/>
        </w:rPr>
      </w:pPr>
      <w:r w:rsidRPr="00720DA1">
        <w:rPr>
          <w:rStyle w:val="FootnoteReference"/>
          <w:sz w:val="16"/>
          <w:szCs w:val="16"/>
        </w:rPr>
        <w:footnoteRef/>
      </w:r>
      <w:r w:rsidRPr="00720DA1">
        <w:rPr>
          <w:sz w:val="16"/>
          <w:szCs w:val="16"/>
        </w:rPr>
        <w:t xml:space="preserve"> </w:t>
      </w:r>
      <w:r w:rsidR="007D0AB9" w:rsidRPr="00720DA1">
        <w:rPr>
          <w:rFonts w:cs="Times New Roman"/>
          <w:sz w:val="16"/>
          <w:szCs w:val="16"/>
        </w:rPr>
        <w:t>ECN, TNO</w:t>
      </w:r>
      <w:r w:rsidR="007D0AB9">
        <w:rPr>
          <w:rFonts w:cs="Times New Roman"/>
          <w:sz w:val="16"/>
          <w:szCs w:val="16"/>
        </w:rPr>
        <w:t xml:space="preserve"> and </w:t>
      </w:r>
      <w:r w:rsidR="007D0AB9" w:rsidRPr="009E44FE">
        <w:rPr>
          <w:rFonts w:cs="Times New Roman"/>
          <w:sz w:val="16"/>
          <w:szCs w:val="16"/>
        </w:rPr>
        <w:t>PBL Netherlands Environmental Assessment Agency</w:t>
      </w:r>
      <w:r w:rsidR="007D0AB9">
        <w:rPr>
          <w:rFonts w:cs="Times New Roman"/>
          <w:sz w:val="16"/>
          <w:szCs w:val="16"/>
        </w:rPr>
        <w:t xml:space="preserve"> (2019)</w:t>
      </w:r>
      <w:r w:rsidR="007D0AB9" w:rsidRPr="00720DA1">
        <w:rPr>
          <w:rFonts w:cs="Times New Roman"/>
          <w:sz w:val="16"/>
          <w:szCs w:val="16"/>
        </w:rPr>
        <w:t xml:space="preserve">. </w:t>
      </w:r>
      <w:hyperlink r:id="rId292" w:history="1">
        <w:r w:rsidR="007D0AB9" w:rsidRPr="009E44FE">
          <w:rPr>
            <w:rStyle w:val="Hyperlink"/>
            <w:rFonts w:cs="Times New Roman"/>
            <w:sz w:val="16"/>
            <w:szCs w:val="16"/>
          </w:rPr>
          <w:t>Decarbonisation options for the Dutch paper and board industry</w:t>
        </w:r>
      </w:hyperlink>
      <w:r w:rsidR="007D0AB9" w:rsidRPr="00720DA1">
        <w:rPr>
          <w:rFonts w:cs="Times New Roman"/>
          <w:sz w:val="16"/>
          <w:szCs w:val="16"/>
        </w:rPr>
        <w:t xml:space="preserve">. </w:t>
      </w:r>
    </w:p>
  </w:footnote>
  <w:footnote w:id="445">
    <w:p w14:paraId="5DADBAB6" w14:textId="5C08AD8D" w:rsidR="002315CD" w:rsidRPr="00720DA1" w:rsidRDefault="002315CD" w:rsidP="00CE1615">
      <w:pPr>
        <w:pStyle w:val="FootnoteText"/>
        <w:rPr>
          <w:sz w:val="16"/>
          <w:szCs w:val="16"/>
        </w:rPr>
      </w:pPr>
      <w:r w:rsidRPr="00720DA1">
        <w:rPr>
          <w:rStyle w:val="FootnoteReference"/>
          <w:sz w:val="16"/>
          <w:szCs w:val="16"/>
        </w:rPr>
        <w:footnoteRef/>
      </w:r>
      <w:r w:rsidRPr="00720DA1">
        <w:rPr>
          <w:sz w:val="16"/>
          <w:szCs w:val="16"/>
        </w:rPr>
        <w:t xml:space="preserve"> </w:t>
      </w:r>
      <w:r w:rsidR="008D2897" w:rsidRPr="00720DA1">
        <w:rPr>
          <w:rFonts w:cs="Times New Roman"/>
          <w:sz w:val="16"/>
          <w:szCs w:val="16"/>
        </w:rPr>
        <w:t>Ibid</w:t>
      </w:r>
      <w:r w:rsidRPr="00720DA1">
        <w:rPr>
          <w:rFonts w:cs="Times New Roman"/>
          <w:sz w:val="16"/>
          <w:szCs w:val="16"/>
        </w:rPr>
        <w:t>.</w:t>
      </w:r>
    </w:p>
  </w:footnote>
  <w:footnote w:id="446">
    <w:p w14:paraId="6CE0C5F6" w14:textId="7B9B3FF8" w:rsidR="002315CD" w:rsidRPr="00720DA1" w:rsidRDefault="002315CD" w:rsidP="00CE1615">
      <w:pPr>
        <w:pStyle w:val="FootnoteText"/>
        <w:rPr>
          <w:sz w:val="16"/>
          <w:szCs w:val="16"/>
        </w:rPr>
      </w:pPr>
      <w:r w:rsidRPr="00720DA1">
        <w:rPr>
          <w:rStyle w:val="FootnoteReference"/>
          <w:sz w:val="16"/>
          <w:szCs w:val="16"/>
        </w:rPr>
        <w:footnoteRef/>
      </w:r>
      <w:r w:rsidRPr="00720DA1">
        <w:rPr>
          <w:sz w:val="16"/>
          <w:szCs w:val="16"/>
        </w:rPr>
        <w:t xml:space="preserve"> </w:t>
      </w:r>
      <w:r w:rsidR="00FE3929" w:rsidRPr="00720DA1">
        <w:rPr>
          <w:sz w:val="16"/>
          <w:szCs w:val="16"/>
        </w:rPr>
        <w:t xml:space="preserve">Ciambellotti et al. (2024). </w:t>
      </w:r>
      <w:hyperlink r:id="rId293" w:history="1">
        <w:r w:rsidRPr="00720DA1">
          <w:rPr>
            <w:rStyle w:val="Hyperlink"/>
            <w:rFonts w:cs="Times New Roman"/>
            <w:sz w:val="16"/>
            <w:szCs w:val="16"/>
          </w:rPr>
          <w:t>High-Temperature Heat Pumps for Electrification and Cost-Effective Decarbonization in the Tissue Paper Industry</w:t>
        </w:r>
      </w:hyperlink>
      <w:r w:rsidRPr="00720DA1">
        <w:rPr>
          <w:rFonts w:cs="Times New Roman"/>
          <w:sz w:val="16"/>
          <w:szCs w:val="16"/>
        </w:rPr>
        <w:t>.</w:t>
      </w:r>
      <w:r w:rsidR="00FE3929" w:rsidRPr="00720DA1" w:rsidDel="00FE3929">
        <w:rPr>
          <w:rFonts w:cs="Times New Roman"/>
          <w:sz w:val="16"/>
          <w:szCs w:val="16"/>
        </w:rPr>
        <w:t xml:space="preserve"> </w:t>
      </w:r>
    </w:p>
  </w:footnote>
  <w:footnote w:id="447">
    <w:p w14:paraId="06175326" w14:textId="50C14E92" w:rsidR="002315CD" w:rsidRPr="00720DA1" w:rsidRDefault="002315CD" w:rsidP="00087586">
      <w:pPr>
        <w:pStyle w:val="FootnoteText"/>
        <w:jc w:val="lef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ECN, TNO</w:t>
      </w:r>
      <w:r w:rsidR="009E44FE">
        <w:rPr>
          <w:rFonts w:cs="Times New Roman"/>
          <w:sz w:val="16"/>
          <w:szCs w:val="16"/>
        </w:rPr>
        <w:t xml:space="preserve"> and </w:t>
      </w:r>
      <w:r w:rsidR="009E44FE" w:rsidRPr="009E44FE">
        <w:rPr>
          <w:rFonts w:cs="Times New Roman"/>
          <w:sz w:val="16"/>
          <w:szCs w:val="16"/>
        </w:rPr>
        <w:t>PBL Netherlands Environmental Assessment Agency</w:t>
      </w:r>
      <w:r w:rsidR="009E44FE">
        <w:rPr>
          <w:rFonts w:cs="Times New Roman"/>
          <w:sz w:val="16"/>
          <w:szCs w:val="16"/>
        </w:rPr>
        <w:t xml:space="preserve"> (2019)</w:t>
      </w:r>
      <w:r w:rsidRPr="00720DA1">
        <w:rPr>
          <w:rFonts w:cs="Times New Roman"/>
          <w:sz w:val="16"/>
          <w:szCs w:val="16"/>
        </w:rPr>
        <w:t xml:space="preserve">. </w:t>
      </w:r>
      <w:hyperlink r:id="rId294" w:history="1">
        <w:r w:rsidRPr="009E44FE">
          <w:rPr>
            <w:rStyle w:val="Hyperlink"/>
            <w:rFonts w:cs="Times New Roman"/>
            <w:sz w:val="16"/>
            <w:szCs w:val="16"/>
          </w:rPr>
          <w:t>Decarbonisation options for the Dutch paper and board industry</w:t>
        </w:r>
      </w:hyperlink>
      <w:r w:rsidRPr="00720DA1">
        <w:rPr>
          <w:rFonts w:cs="Times New Roman"/>
          <w:sz w:val="16"/>
          <w:szCs w:val="16"/>
        </w:rPr>
        <w:t xml:space="preserve">. </w:t>
      </w:r>
    </w:p>
  </w:footnote>
  <w:footnote w:id="448">
    <w:p w14:paraId="47DD981E" w14:textId="384451DC" w:rsidR="002315CD" w:rsidRPr="00720DA1" w:rsidRDefault="002315CD" w:rsidP="00087586">
      <w:pPr>
        <w:pStyle w:val="FootnoteText"/>
        <w:jc w:val="lef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ACCSESS</w:t>
      </w:r>
      <w:r w:rsidR="003B501D">
        <w:rPr>
          <w:rFonts w:cs="Times New Roman"/>
          <w:sz w:val="16"/>
          <w:szCs w:val="16"/>
        </w:rPr>
        <w:t xml:space="preserve"> (2024)</w:t>
      </w:r>
      <w:r w:rsidRPr="00720DA1">
        <w:rPr>
          <w:rFonts w:cs="Times New Roman"/>
          <w:sz w:val="16"/>
          <w:szCs w:val="16"/>
        </w:rPr>
        <w:t xml:space="preserve">. </w:t>
      </w:r>
      <w:hyperlink r:id="rId295" w:history="1">
        <w:r w:rsidRPr="008E142D">
          <w:rPr>
            <w:rStyle w:val="Hyperlink"/>
            <w:rFonts w:cs="Times New Roman"/>
            <w:sz w:val="16"/>
            <w:szCs w:val="16"/>
          </w:rPr>
          <w:t>Providing access to cost-efficient, replicable, safe and flexible CCUS. D5.3 Advanced capture configurations for selected pulp and paper plants incl. technoeconomic analysis</w:t>
        </w:r>
      </w:hyperlink>
      <w:r w:rsidRPr="00720DA1">
        <w:rPr>
          <w:rFonts w:cs="Times New Roman"/>
          <w:sz w:val="16"/>
          <w:szCs w:val="16"/>
        </w:rPr>
        <w:t>.</w:t>
      </w:r>
    </w:p>
  </w:footnote>
  <w:footnote w:id="449">
    <w:p w14:paraId="74863421" w14:textId="75E1156B" w:rsidR="002315CD" w:rsidRPr="00720DA1" w:rsidRDefault="002315CD" w:rsidP="00087586">
      <w:pPr>
        <w:jc w:val="left"/>
        <w:rPr>
          <w:sz w:val="16"/>
          <w:szCs w:val="16"/>
        </w:rPr>
      </w:pPr>
      <w:r w:rsidRPr="00720DA1">
        <w:rPr>
          <w:rStyle w:val="FootnoteReference"/>
          <w:sz w:val="16"/>
          <w:szCs w:val="16"/>
        </w:rPr>
        <w:footnoteRef/>
      </w:r>
      <w:r w:rsidR="005042CC" w:rsidRPr="00720DA1">
        <w:rPr>
          <w:sz w:val="16"/>
          <w:szCs w:val="16"/>
        </w:rPr>
        <w:t xml:space="preserve"> ECRA (2022).</w:t>
      </w:r>
      <w:r w:rsidRPr="00720DA1">
        <w:rPr>
          <w:sz w:val="16"/>
          <w:szCs w:val="16"/>
        </w:rPr>
        <w:t xml:space="preserve"> </w:t>
      </w:r>
      <w:hyperlink r:id="rId296" w:history="1">
        <w:r w:rsidRPr="00720DA1">
          <w:rPr>
            <w:rStyle w:val="Hyperlink"/>
            <w:rFonts w:cs="Times New Roman"/>
            <w:sz w:val="16"/>
            <w:szCs w:val="16"/>
          </w:rPr>
          <w:t>ECRA Technology Papers</w:t>
        </w:r>
      </w:hyperlink>
      <w:r w:rsidR="005042CC" w:rsidRPr="00720DA1">
        <w:rPr>
          <w:rFonts w:cs="Times New Roman"/>
          <w:sz w:val="16"/>
          <w:szCs w:val="16"/>
        </w:rPr>
        <w:t>.</w:t>
      </w:r>
    </w:p>
  </w:footnote>
  <w:footnote w:id="450">
    <w:p w14:paraId="02DAA9A2" w14:textId="2039CBAF" w:rsidR="00020031" w:rsidRPr="00720DA1" w:rsidRDefault="00020031" w:rsidP="00087586">
      <w:pPr>
        <w:pStyle w:val="FootnoteText"/>
        <w:jc w:val="left"/>
        <w:rPr>
          <w:rFonts w:cs="Times New Roman"/>
          <w:sz w:val="16"/>
          <w:szCs w:val="16"/>
        </w:rPr>
      </w:pPr>
      <w:r w:rsidRPr="00720DA1">
        <w:rPr>
          <w:rStyle w:val="FootnoteReference"/>
          <w:rFonts w:cs="Times New Roman"/>
          <w:sz w:val="16"/>
          <w:szCs w:val="16"/>
        </w:rPr>
        <w:footnoteRef/>
      </w:r>
      <w:r w:rsidR="00355086" w:rsidRPr="00720DA1">
        <w:rPr>
          <w:rFonts w:cs="Times New Roman"/>
          <w:sz w:val="16"/>
          <w:szCs w:val="16"/>
        </w:rPr>
        <w:t xml:space="preserve"> ERT (2024).</w:t>
      </w:r>
      <w:r w:rsidRPr="00720DA1">
        <w:rPr>
          <w:rFonts w:cs="Times New Roman"/>
          <w:sz w:val="16"/>
          <w:szCs w:val="16"/>
        </w:rPr>
        <w:t xml:space="preserve"> </w:t>
      </w:r>
      <w:hyperlink r:id="rId297" w:anchor=":~:text=The%20first%20report%2C%20entitled%20%E2%80%9CCompetitiveness%20of%20the%20European,energy-intensive%20industries%20(EIIs)%2C%20compared%20to%20their%20competitors%20elsewhere.">
        <w:r w:rsidRPr="00720DA1">
          <w:rPr>
            <w:rStyle w:val="Hyperlink"/>
            <w:rFonts w:cs="Times New Roman"/>
            <w:sz w:val="16"/>
            <w:szCs w:val="16"/>
          </w:rPr>
          <w:t>Europe’s energy transition: ERT releases analysis on the EU’s competitiveness for energy-intensive industries and state of energy infrastructure</w:t>
        </w:r>
      </w:hyperlink>
      <w:r w:rsidR="00355086" w:rsidRPr="00720DA1">
        <w:rPr>
          <w:sz w:val="16"/>
          <w:szCs w:val="16"/>
        </w:rPr>
        <w:t>.</w:t>
      </w:r>
    </w:p>
  </w:footnote>
  <w:footnote w:id="451">
    <w:p w14:paraId="19AA5477" w14:textId="6447B8B6" w:rsidR="00020031" w:rsidRPr="00720DA1" w:rsidRDefault="00020031" w:rsidP="00087586">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A76F81" w:rsidRPr="00720DA1">
        <w:rPr>
          <w:rFonts w:cs="Times New Roman"/>
          <w:sz w:val="16"/>
          <w:szCs w:val="16"/>
        </w:rPr>
        <w:t xml:space="preserve">T&amp;E (2023). </w:t>
      </w:r>
      <w:hyperlink r:id="rId298" w:history="1">
        <w:r w:rsidR="00A76F81" w:rsidRPr="00720DA1">
          <w:rPr>
            <w:rStyle w:val="Hyperlink"/>
            <w:rFonts w:cs="Times New Roman"/>
            <w:sz w:val="16"/>
            <w:szCs w:val="16"/>
          </w:rPr>
          <w:t>The ‘biofuels first, e-fuels later’strategy of European refining sector. What future for European refining?</w:t>
        </w:r>
      </w:hyperlink>
      <w:r w:rsidR="00A76F81" w:rsidRPr="00720DA1">
        <w:rPr>
          <w:rFonts w:cs="Times New Roman"/>
          <w:sz w:val="16"/>
          <w:szCs w:val="16"/>
        </w:rPr>
        <w:t xml:space="preserve"> </w:t>
      </w:r>
    </w:p>
  </w:footnote>
  <w:footnote w:id="452">
    <w:p w14:paraId="36771DF1" w14:textId="30B10679" w:rsidR="00020031" w:rsidRPr="00720DA1" w:rsidRDefault="00020031" w:rsidP="00087586">
      <w:pPr>
        <w:pStyle w:val="FootnoteText"/>
        <w:jc w:val="left"/>
        <w:rPr>
          <w:rFonts w:cs="Times New Roman"/>
          <w:sz w:val="16"/>
          <w:szCs w:val="16"/>
        </w:rPr>
      </w:pPr>
      <w:r w:rsidRPr="00720DA1">
        <w:rPr>
          <w:rStyle w:val="FootnoteReference"/>
          <w:rFonts w:cs="Times New Roman"/>
          <w:sz w:val="16"/>
          <w:szCs w:val="16"/>
        </w:rPr>
        <w:footnoteRef/>
      </w:r>
      <w:r w:rsidR="006D6FE8" w:rsidRPr="00720DA1">
        <w:rPr>
          <w:rFonts w:cs="Times New Roman"/>
          <w:sz w:val="16"/>
          <w:szCs w:val="16"/>
        </w:rPr>
        <w:t xml:space="preserve"> </w:t>
      </w:r>
      <w:r w:rsidR="005042CC" w:rsidRPr="00720DA1">
        <w:rPr>
          <w:rFonts w:cs="Times New Roman"/>
          <w:sz w:val="16"/>
          <w:szCs w:val="16"/>
        </w:rPr>
        <w:t>Insight EU Monitoring (2024).</w:t>
      </w:r>
      <w:r w:rsidRPr="00720DA1">
        <w:rPr>
          <w:rFonts w:cs="Times New Roman"/>
          <w:sz w:val="16"/>
          <w:szCs w:val="16"/>
        </w:rPr>
        <w:t xml:space="preserve"> </w:t>
      </w:r>
      <w:hyperlink r:id="rId299" w:history="1">
        <w:r w:rsidR="005042CC" w:rsidRPr="00720DA1">
          <w:rPr>
            <w:rStyle w:val="Hyperlink"/>
            <w:rFonts w:cs="Times New Roman"/>
            <w:sz w:val="16"/>
            <w:szCs w:val="16"/>
          </w:rPr>
          <w:t>Eurostat reports drop in imports of energy products to the EU</w:t>
        </w:r>
      </w:hyperlink>
      <w:r w:rsidR="005042CC" w:rsidRPr="00720DA1">
        <w:rPr>
          <w:sz w:val="16"/>
          <w:szCs w:val="16"/>
        </w:rPr>
        <w:t>.</w:t>
      </w:r>
    </w:p>
  </w:footnote>
  <w:footnote w:id="453">
    <w:p w14:paraId="12C486B0" w14:textId="3759202C"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5354A">
        <w:rPr>
          <w:rFonts w:cs="Times New Roman"/>
          <w:sz w:val="16"/>
          <w:szCs w:val="16"/>
        </w:rPr>
        <w:t xml:space="preserve">Eurostat webpage. </w:t>
      </w:r>
      <w:hyperlink r:id="rId300">
        <w:r w:rsidR="0065354A">
          <w:rPr>
            <w:rStyle w:val="Hyperlink"/>
            <w:rFonts w:cs="Times New Roman"/>
            <w:sz w:val="16"/>
            <w:szCs w:val="16"/>
          </w:rPr>
          <w:t>EU imports of energy products</w:t>
        </w:r>
      </w:hyperlink>
      <w:r w:rsidR="0065354A">
        <w:rPr>
          <w:sz w:val="16"/>
          <w:szCs w:val="16"/>
        </w:rPr>
        <w:t>.</w:t>
      </w:r>
    </w:p>
  </w:footnote>
  <w:footnote w:id="454">
    <w:p w14:paraId="186FC324" w14:textId="2A5BE8B8"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0821D5" w:rsidRPr="00720DA1">
        <w:rPr>
          <w:rFonts w:cs="Times New Roman"/>
          <w:sz w:val="16"/>
          <w:szCs w:val="16"/>
        </w:rPr>
        <w:t xml:space="preserve"> Sector Analyses (2024). </w:t>
      </w:r>
      <w:hyperlink r:id="rId301" w:history="1">
        <w:r w:rsidR="000821D5" w:rsidRPr="00720DA1">
          <w:rPr>
            <w:rStyle w:val="Hyperlink"/>
            <w:rFonts w:cs="Times New Roman"/>
            <w:sz w:val="16"/>
            <w:szCs w:val="16"/>
          </w:rPr>
          <w:t>Chemical Industry</w:t>
        </w:r>
      </w:hyperlink>
      <w:r w:rsidR="000821D5" w:rsidRPr="00720DA1">
        <w:rPr>
          <w:rFonts w:cs="Times New Roman"/>
          <w:sz w:val="16"/>
          <w:szCs w:val="16"/>
        </w:rPr>
        <w:t>.</w:t>
      </w:r>
      <w:r w:rsidRPr="00720DA1">
        <w:rPr>
          <w:rFonts w:cs="Times New Roman"/>
          <w:sz w:val="16"/>
          <w:szCs w:val="16"/>
        </w:rPr>
        <w:t xml:space="preserve"> </w:t>
      </w:r>
    </w:p>
  </w:footnote>
  <w:footnote w:id="455">
    <w:p w14:paraId="129DEE35" w14:textId="22FB9FB4"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00B73148" w:rsidRPr="00720DA1">
        <w:rPr>
          <w:rFonts w:cs="Times New Roman"/>
          <w:sz w:val="16"/>
          <w:szCs w:val="16"/>
        </w:rPr>
        <w:t xml:space="preserve"> Eurofer (2025).</w:t>
      </w:r>
      <w:r w:rsidRPr="00720DA1">
        <w:rPr>
          <w:rFonts w:cs="Times New Roman"/>
          <w:sz w:val="16"/>
          <w:szCs w:val="16"/>
        </w:rPr>
        <w:t xml:space="preserve"> </w:t>
      </w:r>
      <w:hyperlink r:id="rId302" w:history="1">
        <w:r w:rsidRPr="00720DA1">
          <w:rPr>
            <w:rStyle w:val="Hyperlink"/>
            <w:rFonts w:eastAsia="Times New Roman" w:cs="Times New Roman"/>
            <w:sz w:val="16"/>
            <w:szCs w:val="16"/>
          </w:rPr>
          <w:t>Europe</w:t>
        </w:r>
        <w:bookmarkStart w:id="601" w:name="_Hlt219455960"/>
        <w:bookmarkStart w:id="602" w:name="_Hlt219455961"/>
        <w:r w:rsidRPr="00720DA1">
          <w:rPr>
            <w:rStyle w:val="Hyperlink"/>
            <w:rFonts w:eastAsia="Times New Roman" w:cs="Times New Roman"/>
            <w:sz w:val="16"/>
            <w:szCs w:val="16"/>
          </w:rPr>
          <w:t>a</w:t>
        </w:r>
        <w:bookmarkEnd w:id="601"/>
        <w:bookmarkEnd w:id="602"/>
        <w:r w:rsidRPr="00720DA1">
          <w:rPr>
            <w:rStyle w:val="Hyperlink"/>
            <w:rFonts w:eastAsia="Times New Roman" w:cs="Times New Roman"/>
            <w:sz w:val="16"/>
            <w:szCs w:val="16"/>
          </w:rPr>
          <w:t>n Steel in Figures 2025</w:t>
        </w:r>
      </w:hyperlink>
      <w:r w:rsidR="00B73148" w:rsidRPr="00720DA1">
        <w:rPr>
          <w:sz w:val="16"/>
          <w:szCs w:val="16"/>
        </w:rPr>
        <w:t>.</w:t>
      </w:r>
    </w:p>
  </w:footnote>
  <w:footnote w:id="456">
    <w:p w14:paraId="4FC82E96" w14:textId="63193C7C"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03" w:history="1">
        <w:r w:rsidR="00551414" w:rsidRPr="00720DA1">
          <w:rPr>
            <w:rStyle w:val="Hyperlink"/>
            <w:rFonts w:eastAsia="Times New Roman" w:cs="Times New Roman"/>
            <w:sz w:val="16"/>
            <w:szCs w:val="16"/>
          </w:rPr>
          <w:t>Ibid.</w:t>
        </w:r>
      </w:hyperlink>
    </w:p>
  </w:footnote>
  <w:footnote w:id="457">
    <w:p w14:paraId="4DB00755" w14:textId="5A3253E9"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04" w:history="1">
        <w:r w:rsidR="008C2FEB" w:rsidRPr="00720DA1">
          <w:rPr>
            <w:rStyle w:val="Hyperlink"/>
            <w:rFonts w:eastAsia="Times New Roman" w:cs="Times New Roman"/>
            <w:sz w:val="16"/>
            <w:szCs w:val="16"/>
          </w:rPr>
          <w:t>Ibid.</w:t>
        </w:r>
      </w:hyperlink>
    </w:p>
  </w:footnote>
  <w:footnote w:id="458">
    <w:p w14:paraId="751635B9" w14:textId="5D0902C8"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4D1E52" w:rsidRPr="00720DA1">
        <w:rPr>
          <w:rFonts w:cs="Times New Roman"/>
          <w:sz w:val="16"/>
          <w:szCs w:val="16"/>
        </w:rPr>
        <w:t xml:space="preserve">Deloitte (2023). </w:t>
      </w:r>
      <w:hyperlink r:id="rId305" w:history="1">
        <w:r w:rsidR="004D1E52" w:rsidRPr="00720DA1">
          <w:rPr>
            <w:rStyle w:val="Hyperlink"/>
            <w:rFonts w:cs="Times New Roman"/>
            <w:sz w:val="16"/>
            <w:szCs w:val="16"/>
          </w:rPr>
          <w:t>Steel – Pathways to decarbonization</w:t>
        </w:r>
      </w:hyperlink>
      <w:r w:rsidR="004D1E52" w:rsidRPr="00720DA1">
        <w:rPr>
          <w:rFonts w:cs="Times New Roman"/>
          <w:sz w:val="16"/>
          <w:szCs w:val="16"/>
        </w:rPr>
        <w:t>.</w:t>
      </w:r>
      <w:r w:rsidRPr="00720DA1">
        <w:rPr>
          <w:rFonts w:cs="Times New Roman"/>
          <w:sz w:val="16"/>
          <w:szCs w:val="16"/>
        </w:rPr>
        <w:t xml:space="preserve"> </w:t>
      </w:r>
    </w:p>
  </w:footnote>
  <w:footnote w:id="459">
    <w:p w14:paraId="7017DEFC" w14:textId="2AB2DE4B"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D52FA2" w:rsidRPr="00720DA1">
        <w:rPr>
          <w:rFonts w:cs="Times New Roman"/>
          <w:sz w:val="16"/>
          <w:szCs w:val="16"/>
        </w:rPr>
        <w:t>Steel Times International (2024).</w:t>
      </w:r>
      <w:r w:rsidRPr="00720DA1">
        <w:rPr>
          <w:rFonts w:cs="Times New Roman"/>
          <w:sz w:val="16"/>
          <w:szCs w:val="16"/>
        </w:rPr>
        <w:t xml:space="preserve"> </w:t>
      </w:r>
      <w:hyperlink r:id="rId306" w:anchor=":~:text=EU%20steel%20production%20has%20plummeted%20by%2034Mt%20since,the%20past%2015%20years,%20with%20more%20cuts%20looming." w:history="1">
        <w:r w:rsidRPr="00720DA1">
          <w:rPr>
            <w:rStyle w:val="Hyperlink"/>
            <w:rFonts w:cs="Times New Roman"/>
            <w:sz w:val="16"/>
            <w:szCs w:val="16"/>
          </w:rPr>
          <w:t>European steel industry facing irreversible decline, says Eggert</w:t>
        </w:r>
        <w:r w:rsidR="005042CC" w:rsidRPr="00720DA1">
          <w:rPr>
            <w:rStyle w:val="Hyperlink"/>
            <w:rFonts w:cs="Times New Roman"/>
            <w:sz w:val="16"/>
            <w:szCs w:val="16"/>
          </w:rPr>
          <w:t>.</w:t>
        </w:r>
        <w:r w:rsidRPr="00720DA1">
          <w:rPr>
            <w:rFonts w:cs="Times New Roman"/>
            <w:sz w:val="16"/>
            <w:szCs w:val="16"/>
          </w:rPr>
          <w:t xml:space="preserve">  </w:t>
        </w:r>
      </w:hyperlink>
      <w:r w:rsidR="00B24928" w:rsidRPr="00720DA1">
        <w:rPr>
          <w:sz w:val="16"/>
          <w:szCs w:val="16"/>
        </w:rPr>
        <w:t>ERT (</w:t>
      </w:r>
      <w:r w:rsidR="007D15A6" w:rsidRPr="00720DA1">
        <w:rPr>
          <w:sz w:val="16"/>
          <w:szCs w:val="16"/>
        </w:rPr>
        <w:t xml:space="preserve">2024). </w:t>
      </w:r>
      <w:hyperlink r:id="rId307" w:history="1">
        <w:r w:rsidRPr="00720DA1">
          <w:rPr>
            <w:rStyle w:val="Hyperlink"/>
            <w:rFonts w:cs="Times New Roman"/>
            <w:sz w:val="16"/>
            <w:szCs w:val="16"/>
          </w:rPr>
          <w:t>Competitiveness of European Energy Intensive Industries</w:t>
        </w:r>
      </w:hyperlink>
      <w:r w:rsidR="007D15A6" w:rsidRPr="00720DA1">
        <w:rPr>
          <w:rFonts w:cs="Times New Roman"/>
          <w:sz w:val="16"/>
          <w:szCs w:val="16"/>
        </w:rPr>
        <w:t>.</w:t>
      </w:r>
    </w:p>
  </w:footnote>
  <w:footnote w:id="460">
    <w:p w14:paraId="5ED24F39" w14:textId="72F443C3" w:rsidR="00020031" w:rsidRPr="00761984" w:rsidRDefault="00020031" w:rsidP="00A3377E">
      <w:pPr>
        <w:pStyle w:val="FootnoteText"/>
        <w:jc w:val="left"/>
        <w:rPr>
          <w:rFonts w:cs="Times New Roman"/>
          <w:sz w:val="16"/>
          <w:szCs w:val="16"/>
          <w:lang w:val="en-US"/>
        </w:rPr>
      </w:pPr>
      <w:r w:rsidRPr="00720DA1">
        <w:rPr>
          <w:rStyle w:val="FootnoteReference"/>
          <w:rFonts w:cs="Times New Roman"/>
          <w:sz w:val="16"/>
          <w:szCs w:val="16"/>
        </w:rPr>
        <w:footnoteRef/>
      </w:r>
      <w:r w:rsidR="00AB5799" w:rsidRPr="00720DA1">
        <w:rPr>
          <w:rFonts w:cs="Times New Roman"/>
          <w:sz w:val="16"/>
          <w:szCs w:val="16"/>
        </w:rPr>
        <w:t>Eurofer (2024</w:t>
      </w:r>
      <w:r w:rsidR="00740EDC" w:rsidRPr="00720DA1">
        <w:rPr>
          <w:rFonts w:cs="Times New Roman"/>
          <w:sz w:val="16"/>
          <w:szCs w:val="16"/>
        </w:rPr>
        <w:t>)</w:t>
      </w:r>
      <w:r w:rsidR="00AB5799" w:rsidRPr="00720DA1">
        <w:rPr>
          <w:rFonts w:cs="Times New Roman"/>
          <w:sz w:val="16"/>
          <w:szCs w:val="16"/>
        </w:rPr>
        <w:t xml:space="preserve">. </w:t>
      </w:r>
      <w:hyperlink r:id="rId308" w:history="1">
        <w:r w:rsidR="00340BB6" w:rsidRPr="00720DA1">
          <w:rPr>
            <w:rStyle w:val="Hyperlink"/>
            <w:rFonts w:cs="Times New Roman"/>
            <w:sz w:val="16"/>
            <w:szCs w:val="16"/>
          </w:rPr>
          <w:t>European Steel in Figures</w:t>
        </w:r>
      </w:hyperlink>
      <w:r w:rsidR="00340BB6" w:rsidRPr="00720DA1">
        <w:rPr>
          <w:rFonts w:cs="Times New Roman"/>
          <w:sz w:val="16"/>
          <w:szCs w:val="16"/>
        </w:rPr>
        <w:t>.</w:t>
      </w:r>
      <w:r w:rsidRPr="00720DA1">
        <w:rPr>
          <w:rFonts w:cs="Times New Roman"/>
          <w:sz w:val="16"/>
          <w:szCs w:val="16"/>
        </w:rPr>
        <w:t xml:space="preserve"> </w:t>
      </w:r>
    </w:p>
  </w:footnote>
  <w:footnote w:id="461">
    <w:p w14:paraId="45362A47" w14:textId="4A510CCF"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Times New Roman" w:cs="Times New Roman"/>
          <w:sz w:val="16"/>
          <w:szCs w:val="16"/>
        </w:rPr>
        <w:t xml:space="preserve">UN </w:t>
      </w:r>
      <w:r w:rsidR="00B03ACE" w:rsidRPr="00720DA1">
        <w:rPr>
          <w:rFonts w:eastAsia="Times New Roman" w:cs="Times New Roman"/>
          <w:sz w:val="16"/>
          <w:szCs w:val="16"/>
        </w:rPr>
        <w:t>C</w:t>
      </w:r>
      <w:r w:rsidRPr="00720DA1">
        <w:rPr>
          <w:rFonts w:eastAsia="Times New Roman" w:cs="Times New Roman"/>
          <w:sz w:val="16"/>
          <w:szCs w:val="16"/>
        </w:rPr>
        <w:t xml:space="preserve">omtrade data; </w:t>
      </w:r>
      <w:r w:rsidR="00C51BA0" w:rsidRPr="00720DA1">
        <w:rPr>
          <w:rFonts w:eastAsia="Times New Roman" w:cs="Times New Roman"/>
          <w:sz w:val="16"/>
          <w:szCs w:val="16"/>
        </w:rPr>
        <w:t>ERT (2024).</w:t>
      </w:r>
      <w:r w:rsidRPr="00720DA1">
        <w:rPr>
          <w:rFonts w:eastAsia="Times New Roman" w:cs="Times New Roman"/>
          <w:sz w:val="16"/>
          <w:szCs w:val="16"/>
        </w:rPr>
        <w:t xml:space="preserve"> </w:t>
      </w:r>
      <w:hyperlink r:id="rId309">
        <w:r w:rsidRPr="00720DA1">
          <w:rPr>
            <w:rStyle w:val="Hyperlink"/>
            <w:rFonts w:eastAsia="Times New Roman" w:cs="Times New Roman"/>
            <w:color w:val="467886"/>
            <w:sz w:val="16"/>
            <w:szCs w:val="16"/>
          </w:rPr>
          <w:t>Competitiveness of European Energy-Intensive Industries</w:t>
        </w:r>
      </w:hyperlink>
      <w:r w:rsidRPr="00720DA1">
        <w:rPr>
          <w:rFonts w:eastAsia="Times New Roman" w:cs="Times New Roman"/>
          <w:sz w:val="16"/>
          <w:szCs w:val="16"/>
        </w:rPr>
        <w:t>.</w:t>
      </w:r>
    </w:p>
  </w:footnote>
  <w:footnote w:id="462">
    <w:p w14:paraId="4A00C733" w14:textId="6C5D697C"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00807388" w:rsidRPr="00720DA1">
        <w:rPr>
          <w:rFonts w:cs="Times New Roman"/>
          <w:sz w:val="16"/>
          <w:szCs w:val="16"/>
        </w:rPr>
        <w:t xml:space="preserve"> World Steel</w:t>
      </w:r>
      <w:r w:rsidR="006F20C6" w:rsidRPr="00720DA1">
        <w:rPr>
          <w:rFonts w:cs="Times New Roman"/>
          <w:sz w:val="16"/>
          <w:szCs w:val="16"/>
        </w:rPr>
        <w:t xml:space="preserve"> (2025). </w:t>
      </w:r>
      <w:hyperlink r:id="rId310" w:history="1">
        <w:r w:rsidR="006F20C6" w:rsidRPr="00720DA1">
          <w:rPr>
            <w:rStyle w:val="Hyperlink"/>
            <w:rFonts w:cs="Times New Roman"/>
            <w:sz w:val="16"/>
            <w:szCs w:val="16"/>
          </w:rPr>
          <w:t>Sustainability Indicators Report 2025</w:t>
        </w:r>
      </w:hyperlink>
      <w:r w:rsidR="00655F75" w:rsidRPr="00720DA1">
        <w:rPr>
          <w:rFonts w:cs="Times New Roman"/>
          <w:sz w:val="16"/>
          <w:szCs w:val="16"/>
        </w:rPr>
        <w:t>.</w:t>
      </w:r>
    </w:p>
  </w:footnote>
  <w:footnote w:id="463">
    <w:p w14:paraId="573B22F0" w14:textId="77777777" w:rsidR="00CC1E24" w:rsidRPr="005A0CF6" w:rsidRDefault="00CC1E24" w:rsidP="00A3377E">
      <w:pPr>
        <w:pStyle w:val="FootnoteText"/>
        <w:jc w:val="left"/>
        <w:rPr>
          <w:sz w:val="16"/>
          <w:szCs w:val="16"/>
          <w:lang w:val="en-US"/>
        </w:rPr>
      </w:pPr>
      <w:r w:rsidRPr="00A3377E">
        <w:rPr>
          <w:rStyle w:val="FootnoteReference"/>
          <w:sz w:val="16"/>
          <w:szCs w:val="16"/>
        </w:rPr>
        <w:footnoteRef/>
      </w:r>
      <w:r w:rsidRPr="00A3377E">
        <w:rPr>
          <w:sz w:val="16"/>
          <w:szCs w:val="16"/>
        </w:rPr>
        <w:t xml:space="preserve"> </w:t>
      </w:r>
      <w:r w:rsidRPr="005A0CF6">
        <w:rPr>
          <w:sz w:val="16"/>
          <w:szCs w:val="16"/>
          <w:lang w:val="en-US"/>
        </w:rPr>
        <w:t xml:space="preserve">JRC144070 (2026) </w:t>
      </w:r>
      <w:hyperlink r:id="rId311" w:history="1">
        <w:r w:rsidRPr="005A0CF6">
          <w:rPr>
            <w:rStyle w:val="Hyperlink"/>
            <w:sz w:val="16"/>
            <w:szCs w:val="16"/>
            <w:lang w:val="en-US"/>
          </w:rPr>
          <w:t>Mapping the Transition of the EU Steel Industry to Carbon Neutrality</w:t>
        </w:r>
      </w:hyperlink>
      <w:r w:rsidRPr="005A0CF6">
        <w:rPr>
          <w:sz w:val="16"/>
          <w:szCs w:val="16"/>
          <w:lang w:val="en-US"/>
        </w:rPr>
        <w:t>.</w:t>
      </w:r>
      <w:r w:rsidRPr="00A3377E">
        <w:rPr>
          <w:sz w:val="16"/>
          <w:szCs w:val="16"/>
        </w:rPr>
        <w:t xml:space="preserve"> </w:t>
      </w:r>
    </w:p>
  </w:footnote>
  <w:footnote w:id="464">
    <w:p w14:paraId="12B831D9" w14:textId="411AF66E" w:rsidR="00CC1E24" w:rsidRPr="005A0CF6" w:rsidRDefault="00CC1E24" w:rsidP="00A3377E">
      <w:pPr>
        <w:pStyle w:val="FootnoteText"/>
        <w:jc w:val="left"/>
        <w:rPr>
          <w:sz w:val="16"/>
          <w:szCs w:val="16"/>
          <w:lang w:val="en-US"/>
        </w:rPr>
      </w:pPr>
      <w:r w:rsidRPr="00A3377E">
        <w:rPr>
          <w:rStyle w:val="FootnoteReference"/>
          <w:sz w:val="16"/>
          <w:szCs w:val="16"/>
        </w:rPr>
        <w:footnoteRef/>
      </w:r>
      <w:r w:rsidRPr="00A3377E">
        <w:rPr>
          <w:sz w:val="16"/>
          <w:szCs w:val="16"/>
        </w:rPr>
        <w:t xml:space="preserve"> </w:t>
      </w:r>
      <w:r w:rsidR="005A0CF6" w:rsidRPr="005A0CF6">
        <w:rPr>
          <w:sz w:val="16"/>
          <w:szCs w:val="16"/>
          <w:lang w:val="en-US"/>
        </w:rPr>
        <w:t xml:space="preserve">JRC (2024). </w:t>
      </w:r>
      <w:hyperlink r:id="rId312" w:history="1">
        <w:r w:rsidR="005A0CF6" w:rsidRPr="005A0CF6">
          <w:rPr>
            <w:rStyle w:val="Hyperlink"/>
            <w:sz w:val="16"/>
            <w:szCs w:val="16"/>
            <w:lang w:val="en-US"/>
          </w:rPr>
          <w:t>The role of carbon capture across hard-to-abate industries in the EU.</w:t>
        </w:r>
      </w:hyperlink>
    </w:p>
  </w:footnote>
  <w:footnote w:id="465">
    <w:p w14:paraId="1AE6CE77" w14:textId="05F4D8BF" w:rsidR="00CC1E24" w:rsidRPr="005A0CF6" w:rsidRDefault="00CC1E24" w:rsidP="00A3377E">
      <w:pPr>
        <w:pStyle w:val="FootnoteText"/>
        <w:jc w:val="left"/>
        <w:rPr>
          <w:rFonts w:cs="Times New Roman"/>
          <w:sz w:val="16"/>
          <w:szCs w:val="16"/>
        </w:rPr>
      </w:pPr>
      <w:r w:rsidRPr="005A0CF6">
        <w:rPr>
          <w:rStyle w:val="FootnoteReference"/>
          <w:rFonts w:cs="Times New Roman"/>
          <w:sz w:val="16"/>
          <w:szCs w:val="16"/>
        </w:rPr>
        <w:footnoteRef/>
      </w:r>
      <w:r w:rsidRPr="005A0CF6">
        <w:rPr>
          <w:rFonts w:cs="Times New Roman"/>
          <w:sz w:val="16"/>
          <w:szCs w:val="16"/>
        </w:rPr>
        <w:t xml:space="preserve"> Deloitte (2023). </w:t>
      </w:r>
      <w:hyperlink r:id="rId313" w:history="1">
        <w:r w:rsidRPr="005A0CF6">
          <w:rPr>
            <w:rStyle w:val="Hyperlink"/>
            <w:rFonts w:cs="Times New Roman"/>
            <w:sz w:val="16"/>
            <w:szCs w:val="16"/>
          </w:rPr>
          <w:t>Steel – Pathways to decarbonization</w:t>
        </w:r>
      </w:hyperlink>
      <w:r w:rsidRPr="005A0CF6">
        <w:rPr>
          <w:rFonts w:cs="Times New Roman"/>
          <w:sz w:val="16"/>
          <w:szCs w:val="16"/>
        </w:rPr>
        <w:t>.</w:t>
      </w:r>
    </w:p>
  </w:footnote>
  <w:footnote w:id="466">
    <w:p w14:paraId="30A59E19" w14:textId="4BF2C2DC" w:rsidR="001D02B0" w:rsidRPr="00483F48" w:rsidRDefault="001D02B0" w:rsidP="00A3377E">
      <w:pPr>
        <w:pStyle w:val="FootnoteText"/>
        <w:jc w:val="left"/>
        <w:rPr>
          <w:lang w:val="en-US"/>
        </w:rPr>
      </w:pPr>
      <w:r w:rsidRPr="00A3377E">
        <w:rPr>
          <w:rStyle w:val="FootnoteReference"/>
          <w:sz w:val="16"/>
          <w:szCs w:val="16"/>
        </w:rPr>
        <w:footnoteRef/>
      </w:r>
      <w:r w:rsidRPr="00A3377E">
        <w:rPr>
          <w:sz w:val="16"/>
          <w:szCs w:val="16"/>
        </w:rPr>
        <w:t xml:space="preserve"> </w:t>
      </w:r>
      <w:r w:rsidRPr="005A0CF6">
        <w:rPr>
          <w:sz w:val="16"/>
          <w:szCs w:val="16"/>
          <w:lang w:val="en-US"/>
        </w:rPr>
        <w:t>Eurofer (2025)</w:t>
      </w:r>
      <w:r w:rsidR="0020784E">
        <w:rPr>
          <w:sz w:val="16"/>
          <w:szCs w:val="16"/>
          <w:lang w:val="en-US"/>
        </w:rPr>
        <w:t>.</w:t>
      </w:r>
      <w:r w:rsidRPr="005A0CF6">
        <w:rPr>
          <w:sz w:val="16"/>
          <w:szCs w:val="16"/>
          <w:lang w:val="en-US"/>
        </w:rPr>
        <w:t xml:space="preserve"> </w:t>
      </w:r>
      <w:hyperlink r:id="rId314" w:history="1">
        <w:r w:rsidRPr="005A0CF6">
          <w:rPr>
            <w:rStyle w:val="Hyperlink"/>
            <w:sz w:val="16"/>
            <w:szCs w:val="16"/>
          </w:rPr>
          <w:t>Lo</w:t>
        </w:r>
        <w:r w:rsidRPr="005A0CF6">
          <w:rPr>
            <w:rStyle w:val="Hyperlink"/>
            <w:sz w:val="16"/>
            <w:szCs w:val="16"/>
            <w:lang w:val="en-US"/>
          </w:rPr>
          <w:t>w-CO2 emissions projects in the EU steel industry</w:t>
        </w:r>
      </w:hyperlink>
      <w:r w:rsidR="0020784E">
        <w:rPr>
          <w:sz w:val="16"/>
          <w:szCs w:val="16"/>
          <w:lang w:val="en-US"/>
        </w:rPr>
        <w:t>.</w:t>
      </w:r>
    </w:p>
  </w:footnote>
  <w:footnote w:id="467">
    <w:p w14:paraId="238B6407" w14:textId="0641FA8E" w:rsidR="00020031" w:rsidRPr="00720DA1" w:rsidRDefault="00020031" w:rsidP="00A3377E">
      <w:pPr>
        <w:pStyle w:val="FootnoteText"/>
        <w:jc w:val="lef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E32D10" w:rsidRPr="00720DA1">
        <w:rPr>
          <w:rFonts w:cs="Times New Roman"/>
          <w:sz w:val="16"/>
          <w:szCs w:val="16"/>
        </w:rPr>
        <w:t xml:space="preserve">Deloitte (2023). </w:t>
      </w:r>
      <w:hyperlink r:id="rId315" w:history="1">
        <w:r w:rsidR="00E32D10" w:rsidRPr="00720DA1">
          <w:rPr>
            <w:rStyle w:val="Hyperlink"/>
            <w:rFonts w:cs="Times New Roman"/>
            <w:sz w:val="16"/>
            <w:szCs w:val="16"/>
          </w:rPr>
          <w:t>Steel – Pathways to decarbonization</w:t>
        </w:r>
      </w:hyperlink>
      <w:r w:rsidR="00E32D10" w:rsidRPr="00720DA1">
        <w:rPr>
          <w:rFonts w:cs="Times New Roman"/>
          <w:sz w:val="16"/>
          <w:szCs w:val="16"/>
        </w:rPr>
        <w:t xml:space="preserve">. </w:t>
      </w:r>
    </w:p>
  </w:footnote>
  <w:footnote w:id="468">
    <w:p w14:paraId="10F96CA9" w14:textId="2687564E" w:rsidR="00661AB2" w:rsidRPr="00720DA1" w:rsidRDefault="00661AB2" w:rsidP="00BF0528">
      <w:pPr>
        <w:pStyle w:val="FootnoteTex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Huttel A, Lehner J.</w:t>
      </w:r>
      <w:r w:rsidR="005E1EA0" w:rsidRPr="00BF0528">
        <w:rPr>
          <w:rFonts w:cs="Times New Roman"/>
          <w:sz w:val="16"/>
          <w:szCs w:val="16"/>
        </w:rPr>
        <w:t xml:space="preserve"> (2024).</w:t>
      </w:r>
      <w:r w:rsidRPr="00BF0528">
        <w:rPr>
          <w:rFonts w:cs="Times New Roman"/>
          <w:sz w:val="16"/>
          <w:szCs w:val="16"/>
        </w:rPr>
        <w:t xml:space="preserve"> </w:t>
      </w:r>
      <w:hyperlink r:id="rId316" w:history="1">
        <w:r w:rsidRPr="00BF0528">
          <w:rPr>
            <w:rStyle w:val="Hyperlink"/>
            <w:rFonts w:cs="Times New Roman"/>
            <w:sz w:val="16"/>
            <w:szCs w:val="16"/>
          </w:rPr>
          <w:t>Revisiting investment costs for green steel: Capital expenditures, firm level impacts, and policy implications</w:t>
        </w:r>
      </w:hyperlink>
      <w:r w:rsidRPr="00BF0528">
        <w:rPr>
          <w:rFonts w:cs="Times New Roman"/>
          <w:sz w:val="16"/>
          <w:szCs w:val="16"/>
        </w:rPr>
        <w:t xml:space="preserve">. </w:t>
      </w:r>
    </w:p>
  </w:footnote>
  <w:footnote w:id="469">
    <w:p w14:paraId="4BCA577A" w14:textId="087DB525" w:rsidR="00661AB2" w:rsidRPr="0033657F" w:rsidRDefault="00661AB2" w:rsidP="00BF0528">
      <w:pPr>
        <w:pStyle w:val="p1"/>
        <w:jc w:val="both"/>
        <w:rPr>
          <w:rFonts w:ascii="Times New Roman" w:hAnsi="Times New Roman"/>
          <w:color w:val="141413"/>
          <w:sz w:val="16"/>
          <w:szCs w:val="16"/>
          <w:lang w:val="en-IE" w:eastAsia="es-ES_tradnl"/>
        </w:rPr>
      </w:pPr>
      <w:r w:rsidRPr="00BF0528">
        <w:rPr>
          <w:rStyle w:val="FootnoteReference"/>
          <w:rFonts w:ascii="Times New Roman" w:hAnsi="Times New Roman"/>
          <w:sz w:val="16"/>
          <w:szCs w:val="16"/>
        </w:rPr>
        <w:footnoteRef/>
      </w:r>
      <w:r w:rsidRPr="00BF0528">
        <w:rPr>
          <w:rFonts w:ascii="Times New Roman" w:hAnsi="Times New Roman"/>
          <w:sz w:val="16"/>
          <w:szCs w:val="16"/>
          <w:lang w:val="en-IE"/>
        </w:rPr>
        <w:t xml:space="preserve"> </w:t>
      </w:r>
      <w:r w:rsidR="0019536D" w:rsidRPr="00BF0528">
        <w:rPr>
          <w:rFonts w:ascii="Times New Roman" w:hAnsi="Times New Roman"/>
          <w:color w:val="141413"/>
          <w:sz w:val="16"/>
          <w:szCs w:val="16"/>
          <w:lang w:val="en-US" w:eastAsia="es-ES_tradnl"/>
        </w:rPr>
        <w:t>Agora Industry, Wuppertal Institute and Lund University (2024)</w:t>
      </w:r>
      <w:r w:rsidR="009C04BB">
        <w:rPr>
          <w:rFonts w:ascii="Times New Roman" w:hAnsi="Times New Roman"/>
          <w:color w:val="141413"/>
          <w:sz w:val="16"/>
          <w:szCs w:val="16"/>
          <w:lang w:val="en-US" w:eastAsia="es-ES_tradnl"/>
        </w:rPr>
        <w:t>:</w:t>
      </w:r>
      <w:r w:rsidR="0033657F">
        <w:rPr>
          <w:rFonts w:ascii="Times New Roman" w:hAnsi="Times New Roman"/>
          <w:color w:val="141413"/>
          <w:sz w:val="16"/>
          <w:szCs w:val="16"/>
          <w:lang w:val="en-US" w:eastAsia="es-ES_tradnl"/>
        </w:rPr>
        <w:t xml:space="preserve"> </w:t>
      </w:r>
      <w:hyperlink r:id="rId317" w:history="1">
        <w:r w:rsidR="0033657F" w:rsidRPr="00D775B0">
          <w:rPr>
            <w:rStyle w:val="Hyperlink"/>
            <w:rFonts w:ascii="Times New Roman" w:hAnsi="Times New Roman"/>
            <w:sz w:val="16"/>
            <w:szCs w:val="16"/>
            <w:lang w:val="en-US" w:eastAsia="es-ES_tradnl"/>
          </w:rPr>
          <w:t>Low-carbon technologies for the global steel transformation</w:t>
        </w:r>
        <w:r w:rsidR="009C04BB" w:rsidRPr="00D775B0">
          <w:rPr>
            <w:rStyle w:val="Hyperlink"/>
            <w:rFonts w:ascii="Times New Roman" w:hAnsi="Times New Roman"/>
            <w:sz w:val="16"/>
            <w:szCs w:val="16"/>
            <w:lang w:val="en-US" w:eastAsia="es-ES_tradnl"/>
          </w:rPr>
          <w:t>.</w:t>
        </w:r>
      </w:hyperlink>
      <w:r w:rsidR="009C04BB">
        <w:rPr>
          <w:rFonts w:ascii="Times New Roman" w:hAnsi="Times New Roman"/>
          <w:color w:val="141413"/>
          <w:sz w:val="16"/>
          <w:szCs w:val="16"/>
          <w:lang w:val="en-US" w:eastAsia="es-ES_tradnl"/>
        </w:rPr>
        <w:t xml:space="preserve"> </w:t>
      </w:r>
      <w:r w:rsidR="009C04BB" w:rsidRPr="009C04BB">
        <w:rPr>
          <w:rFonts w:ascii="Times New Roman" w:hAnsi="Times New Roman"/>
          <w:color w:val="141413"/>
          <w:sz w:val="16"/>
          <w:szCs w:val="16"/>
          <w:lang w:val="en-US" w:eastAsia="es-ES_tradnl"/>
        </w:rPr>
        <w:t>A guide to the most effective ways to cut emissions in steelmaking</w:t>
      </w:r>
    </w:p>
  </w:footnote>
  <w:footnote w:id="470">
    <w:p w14:paraId="2C8AB31F" w14:textId="2CC068A6" w:rsidR="00661AB2" w:rsidRPr="00720DA1" w:rsidRDefault="00661AB2" w:rsidP="00BF0528">
      <w:pPr>
        <w:pStyle w:val="FootnoteTex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Huttel A, Lehner J.</w:t>
      </w:r>
      <w:r w:rsidR="00C371D6" w:rsidRPr="00BF0528">
        <w:rPr>
          <w:rFonts w:cs="Times New Roman"/>
          <w:sz w:val="16"/>
          <w:szCs w:val="16"/>
        </w:rPr>
        <w:t xml:space="preserve"> (2024). </w:t>
      </w:r>
      <w:hyperlink r:id="rId318" w:history="1">
        <w:r w:rsidR="00C371D6" w:rsidRPr="00BF0528">
          <w:rPr>
            <w:rStyle w:val="Hyperlink"/>
            <w:rFonts w:cs="Times New Roman"/>
            <w:sz w:val="16"/>
            <w:szCs w:val="16"/>
          </w:rPr>
          <w:t>Revisiting investment costs for green steel: Capital expenditures, firm level impacts, and policy implications</w:t>
        </w:r>
      </w:hyperlink>
      <w:r w:rsidR="00C371D6" w:rsidRPr="00BF0528">
        <w:rPr>
          <w:rFonts w:cs="Times New Roman"/>
          <w:sz w:val="16"/>
          <w:szCs w:val="16"/>
        </w:rPr>
        <w:t>.</w:t>
      </w:r>
    </w:p>
  </w:footnote>
  <w:footnote w:id="471">
    <w:p w14:paraId="0C956124" w14:textId="4C7C8B1B" w:rsidR="00BF35F5" w:rsidRPr="00BF0528" w:rsidRDefault="00661AB2" w:rsidP="00BF0528">
      <w:pPr>
        <w:pStyle w:val="p1"/>
        <w:jc w:val="both"/>
        <w:rPr>
          <w:rStyle w:val="Hyperlink"/>
          <w:rFonts w:ascii="Times New Roman" w:hAnsi="Times New Roman"/>
          <w:sz w:val="16"/>
          <w:szCs w:val="16"/>
          <w:lang w:val="en-US" w:eastAsia="es-ES_tradnl"/>
        </w:rPr>
      </w:pPr>
      <w:r w:rsidRPr="00BF0528">
        <w:rPr>
          <w:rStyle w:val="FootnoteReference"/>
          <w:rFonts w:ascii="Times New Roman" w:hAnsi="Times New Roman"/>
          <w:sz w:val="16"/>
          <w:szCs w:val="16"/>
        </w:rPr>
        <w:footnoteRef/>
      </w:r>
      <w:r w:rsidR="00AE3BDB" w:rsidRPr="00BF0528">
        <w:rPr>
          <w:rFonts w:ascii="Times New Roman" w:hAnsi="Times New Roman"/>
          <w:color w:val="141413"/>
          <w:sz w:val="16"/>
          <w:szCs w:val="16"/>
          <w:lang w:val="en-US" w:eastAsia="es-ES_tradnl"/>
        </w:rPr>
        <w:t xml:space="preserve"> </w:t>
      </w:r>
      <w:r w:rsidR="00BF35F5" w:rsidRPr="00BF0528">
        <w:rPr>
          <w:rFonts w:ascii="Times New Roman" w:hAnsi="Times New Roman"/>
          <w:color w:val="141413"/>
          <w:sz w:val="16"/>
          <w:szCs w:val="16"/>
          <w:lang w:val="en-US" w:eastAsia="es-ES_tradnl"/>
        </w:rPr>
        <w:t xml:space="preserve">Agora Industry, Wuppertal Institute and Lund University (2024): </w:t>
      </w:r>
      <w:r w:rsidR="00BF35F5" w:rsidRPr="00BF0528">
        <w:rPr>
          <w:rFonts w:ascii="Times New Roman" w:hAnsi="Times New Roman"/>
          <w:color w:val="141413"/>
          <w:sz w:val="16"/>
          <w:szCs w:val="16"/>
          <w:lang w:val="en-US" w:eastAsia="es-ES_tradnl"/>
        </w:rPr>
        <w:fldChar w:fldCharType="begin"/>
      </w:r>
      <w:r w:rsidR="00BF35F5" w:rsidRPr="00BF0528">
        <w:rPr>
          <w:rFonts w:ascii="Times New Roman" w:hAnsi="Times New Roman"/>
          <w:color w:val="141413"/>
          <w:sz w:val="16"/>
          <w:szCs w:val="16"/>
          <w:lang w:val="en-US" w:eastAsia="es-ES_tradnl"/>
        </w:rPr>
        <w:instrText>HYPERLINK "https://www.agora-industry.org/fileadmin/Projekte/2021/2021-06_IND_INT_GlobalSteel/A-IND_324_Low-Carbon-Technologies_WEB.pdf"</w:instrText>
      </w:r>
      <w:r w:rsidR="00BF35F5" w:rsidRPr="00BF0528">
        <w:rPr>
          <w:rFonts w:ascii="Times New Roman" w:hAnsi="Times New Roman"/>
          <w:color w:val="141413"/>
          <w:sz w:val="16"/>
          <w:szCs w:val="16"/>
          <w:lang w:val="en-US" w:eastAsia="es-ES_tradnl"/>
        </w:rPr>
      </w:r>
      <w:r w:rsidR="00BF35F5" w:rsidRPr="00BF0528">
        <w:rPr>
          <w:rFonts w:ascii="Times New Roman" w:hAnsi="Times New Roman"/>
          <w:color w:val="141413"/>
          <w:sz w:val="16"/>
          <w:szCs w:val="16"/>
          <w:lang w:val="en-US" w:eastAsia="es-ES_tradnl"/>
        </w:rPr>
        <w:fldChar w:fldCharType="separate"/>
      </w:r>
      <w:r w:rsidR="00BF35F5" w:rsidRPr="00BF0528">
        <w:rPr>
          <w:rStyle w:val="Hyperlink"/>
          <w:rFonts w:ascii="Times New Roman" w:hAnsi="Times New Roman"/>
          <w:sz w:val="16"/>
          <w:szCs w:val="16"/>
          <w:lang w:val="en-US" w:eastAsia="es-ES_tradnl"/>
        </w:rPr>
        <w:t>Low-carbon technologies for the global</w:t>
      </w:r>
    </w:p>
    <w:p w14:paraId="600670E5" w14:textId="53C81612" w:rsidR="00661AB2" w:rsidRPr="00BF0528" w:rsidRDefault="00BF35F5" w:rsidP="00BF0528">
      <w:pPr>
        <w:rPr>
          <w:rFonts w:eastAsia="Times New Roman" w:cs="Times New Roman"/>
          <w:color w:val="141413"/>
          <w:sz w:val="16"/>
          <w:szCs w:val="16"/>
          <w:lang w:val="en-US" w:eastAsia="es-ES_tradnl"/>
        </w:rPr>
      </w:pPr>
      <w:r w:rsidRPr="00BF0528">
        <w:rPr>
          <w:rStyle w:val="Hyperlink"/>
          <w:rFonts w:eastAsia="Times New Roman" w:cs="Times New Roman"/>
          <w:sz w:val="16"/>
          <w:szCs w:val="16"/>
          <w:lang w:val="en-US" w:eastAsia="es-ES_tradnl"/>
        </w:rPr>
        <w:t>steel transformation. A guide to the most effective ways to cut emissions in steelmaking</w:t>
      </w:r>
      <w:r w:rsidRPr="00BF0528">
        <w:rPr>
          <w:rFonts w:eastAsia="Times New Roman" w:cs="Times New Roman"/>
          <w:color w:val="141413"/>
          <w:sz w:val="16"/>
          <w:szCs w:val="16"/>
          <w:lang w:val="en-US" w:eastAsia="es-ES_tradnl"/>
        </w:rPr>
        <w:fldChar w:fldCharType="end"/>
      </w:r>
      <w:r w:rsidRPr="00BF0528">
        <w:rPr>
          <w:rFonts w:eastAsia="Times New Roman" w:cs="Times New Roman"/>
          <w:color w:val="141413"/>
          <w:sz w:val="16"/>
          <w:szCs w:val="16"/>
          <w:lang w:val="en-US" w:eastAsia="es-ES_tradnl"/>
        </w:rPr>
        <w:t>.</w:t>
      </w:r>
    </w:p>
  </w:footnote>
  <w:footnote w:id="472">
    <w:p w14:paraId="7225E9B7" w14:textId="5D7C4D27" w:rsidR="00661AB2" w:rsidRPr="00720DA1" w:rsidRDefault="00661AB2" w:rsidP="00BF0528">
      <w:pPr>
        <w:pStyle w:val="FootnoteTex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Ibid</w:t>
      </w:r>
      <w:r w:rsidR="00AB5799" w:rsidRPr="00BF0528">
        <w:rPr>
          <w:rFonts w:cs="Times New Roman"/>
          <w:sz w:val="16"/>
          <w:szCs w:val="16"/>
        </w:rPr>
        <w:t>.</w:t>
      </w:r>
    </w:p>
  </w:footnote>
  <w:footnote w:id="473">
    <w:p w14:paraId="3383FA3B" w14:textId="77777777" w:rsidR="00661AB2" w:rsidRPr="00720DA1" w:rsidRDefault="00661AB2" w:rsidP="00BF0528">
      <w:pPr>
        <w:pStyle w:val="FootnoteTex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Ibid.</w:t>
      </w:r>
    </w:p>
  </w:footnote>
  <w:footnote w:id="474">
    <w:p w14:paraId="692380DF" w14:textId="77777777" w:rsidR="00661AB2" w:rsidRPr="00720DA1" w:rsidRDefault="00661AB2" w:rsidP="00BF0528">
      <w:pPr>
        <w:pStyle w:val="FootnoteTex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Ibid.</w:t>
      </w:r>
    </w:p>
  </w:footnote>
  <w:footnote w:id="475">
    <w:p w14:paraId="1213EA3E" w14:textId="2173B2D6" w:rsidR="00661AB2" w:rsidRPr="00720DA1" w:rsidRDefault="00661AB2" w:rsidP="00BF0528">
      <w:pPr>
        <w:pStyle w:val="FootnoteTex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IEAGHG</w:t>
      </w:r>
      <w:r w:rsidR="00E61EC4" w:rsidRPr="00BF0528">
        <w:rPr>
          <w:rFonts w:cs="Times New Roman"/>
          <w:sz w:val="16"/>
          <w:szCs w:val="16"/>
        </w:rPr>
        <w:t xml:space="preserve"> (2024).</w:t>
      </w:r>
      <w:r w:rsidRPr="00BF0528">
        <w:rPr>
          <w:rFonts w:cs="Times New Roman"/>
          <w:sz w:val="16"/>
          <w:szCs w:val="16"/>
        </w:rPr>
        <w:t xml:space="preserve"> </w:t>
      </w:r>
      <w:hyperlink r:id="rId319" w:history="1">
        <w:r w:rsidRPr="00BF0528">
          <w:rPr>
            <w:rStyle w:val="Hyperlink"/>
            <w:rFonts w:cs="Times New Roman"/>
            <w:sz w:val="16"/>
            <w:szCs w:val="16"/>
          </w:rPr>
          <w:t xml:space="preserve">Clean Steel: </w:t>
        </w:r>
        <w:r w:rsidR="00B86120" w:rsidRPr="00BF0528">
          <w:rPr>
            <w:rStyle w:val="Hyperlink"/>
            <w:rFonts w:cs="Times New Roman"/>
            <w:sz w:val="16"/>
            <w:szCs w:val="16"/>
          </w:rPr>
          <w:t>An</w:t>
        </w:r>
        <w:r w:rsidRPr="00BF0528">
          <w:rPr>
            <w:rStyle w:val="Hyperlink"/>
            <w:rFonts w:cs="Times New Roman"/>
            <w:sz w:val="16"/>
            <w:szCs w:val="16"/>
          </w:rPr>
          <w:t xml:space="preserve"> Environmental and Technoeconomic Outlook of a Disruptive Technology</w:t>
        </w:r>
      </w:hyperlink>
      <w:r w:rsidRPr="00BF0528">
        <w:rPr>
          <w:rFonts w:cs="Times New Roman"/>
          <w:sz w:val="16"/>
          <w:szCs w:val="16"/>
        </w:rPr>
        <w:t xml:space="preserve"> March 2024. </w:t>
      </w:r>
    </w:p>
  </w:footnote>
  <w:footnote w:id="476">
    <w:p w14:paraId="3D7CF788" w14:textId="509FF842" w:rsidR="001459B6" w:rsidRPr="00BF0528" w:rsidRDefault="00661AB2" w:rsidP="00BF0528">
      <w:pPr>
        <w:pStyle w:val="p1"/>
        <w:jc w:val="both"/>
        <w:rPr>
          <w:rStyle w:val="Hyperlink"/>
          <w:rFonts w:ascii="Times New Roman" w:hAnsi="Times New Roman"/>
          <w:sz w:val="16"/>
          <w:szCs w:val="16"/>
          <w:lang w:val="en-US" w:eastAsia="es-ES_tradnl"/>
        </w:rPr>
      </w:pPr>
      <w:r w:rsidRPr="00BF0528">
        <w:rPr>
          <w:rStyle w:val="FootnoteReference"/>
          <w:rFonts w:ascii="Times New Roman" w:hAnsi="Times New Roman"/>
          <w:sz w:val="16"/>
          <w:szCs w:val="16"/>
        </w:rPr>
        <w:footnoteRef/>
      </w:r>
      <w:r w:rsidRPr="00BF0528">
        <w:rPr>
          <w:rFonts w:ascii="Times New Roman" w:hAnsi="Times New Roman"/>
          <w:sz w:val="16"/>
          <w:szCs w:val="16"/>
          <w:lang w:val="en-IE"/>
        </w:rPr>
        <w:t xml:space="preserve"> </w:t>
      </w:r>
      <w:r w:rsidR="001459B6" w:rsidRPr="00BF0528">
        <w:rPr>
          <w:rFonts w:ascii="Times New Roman" w:hAnsi="Times New Roman"/>
          <w:color w:val="141413"/>
          <w:sz w:val="16"/>
          <w:szCs w:val="16"/>
          <w:lang w:val="en-US" w:eastAsia="es-ES_tradnl"/>
        </w:rPr>
        <w:t xml:space="preserve">Agora Industry, Wuppertal Institute and Lund University (2024): </w:t>
      </w:r>
      <w:r w:rsidR="001459B6" w:rsidRPr="00BF0528">
        <w:rPr>
          <w:rFonts w:ascii="Times New Roman" w:hAnsi="Times New Roman"/>
          <w:color w:val="141413"/>
          <w:sz w:val="16"/>
          <w:szCs w:val="16"/>
          <w:lang w:val="en-US" w:eastAsia="es-ES_tradnl"/>
        </w:rPr>
        <w:fldChar w:fldCharType="begin"/>
      </w:r>
      <w:r w:rsidR="001459B6" w:rsidRPr="00BF0528">
        <w:rPr>
          <w:rFonts w:ascii="Times New Roman" w:hAnsi="Times New Roman"/>
          <w:color w:val="141413"/>
          <w:sz w:val="16"/>
          <w:szCs w:val="16"/>
          <w:lang w:val="en-US" w:eastAsia="es-ES_tradnl"/>
        </w:rPr>
        <w:instrText>HYPERLINK "https://www.agora-industry.org/fileadmin/Projekte/2021/2021-06_IND_INT_GlobalSteel/A-IND_324_Low-Carbon-Technologies_WEB.pdf"</w:instrText>
      </w:r>
      <w:r w:rsidR="001459B6" w:rsidRPr="00BF0528">
        <w:rPr>
          <w:rFonts w:ascii="Times New Roman" w:hAnsi="Times New Roman"/>
          <w:color w:val="141413"/>
          <w:sz w:val="16"/>
          <w:szCs w:val="16"/>
          <w:lang w:val="en-US" w:eastAsia="es-ES_tradnl"/>
        </w:rPr>
      </w:r>
      <w:r w:rsidR="001459B6" w:rsidRPr="00BF0528">
        <w:rPr>
          <w:rFonts w:ascii="Times New Roman" w:hAnsi="Times New Roman"/>
          <w:color w:val="141413"/>
          <w:sz w:val="16"/>
          <w:szCs w:val="16"/>
          <w:lang w:val="en-US" w:eastAsia="es-ES_tradnl"/>
        </w:rPr>
        <w:fldChar w:fldCharType="separate"/>
      </w:r>
      <w:r w:rsidR="001459B6" w:rsidRPr="00BF0528">
        <w:rPr>
          <w:rStyle w:val="Hyperlink"/>
          <w:rFonts w:ascii="Times New Roman" w:hAnsi="Times New Roman"/>
          <w:sz w:val="16"/>
          <w:szCs w:val="16"/>
          <w:lang w:val="en-US" w:eastAsia="es-ES_tradnl"/>
        </w:rPr>
        <w:t>Low-carbon technologies for the global</w:t>
      </w:r>
    </w:p>
    <w:p w14:paraId="210E1056" w14:textId="506E3847" w:rsidR="00661AB2" w:rsidRPr="00720DA1" w:rsidRDefault="001459B6" w:rsidP="00BF0528">
      <w:pPr>
        <w:rPr>
          <w:sz w:val="16"/>
          <w:szCs w:val="16"/>
        </w:rPr>
      </w:pPr>
      <w:r w:rsidRPr="00BF0528">
        <w:rPr>
          <w:rStyle w:val="Hyperlink"/>
          <w:rFonts w:eastAsia="Times New Roman" w:cs="Times New Roman"/>
          <w:sz w:val="16"/>
          <w:szCs w:val="16"/>
          <w:lang w:val="en-US" w:eastAsia="es-ES_tradnl"/>
        </w:rPr>
        <w:t>steel transformation. A guide to the most effective ways to cut emissions in steelmaking</w:t>
      </w:r>
      <w:r w:rsidRPr="00BF0528">
        <w:rPr>
          <w:rFonts w:eastAsia="Times New Roman" w:cs="Times New Roman"/>
          <w:color w:val="141413"/>
          <w:sz w:val="16"/>
          <w:szCs w:val="16"/>
          <w:lang w:val="en-US" w:eastAsia="es-ES_tradnl"/>
        </w:rPr>
        <w:fldChar w:fldCharType="end"/>
      </w:r>
    </w:p>
  </w:footnote>
  <w:footnote w:id="477">
    <w:p w14:paraId="3395757B" w14:textId="77777777" w:rsidR="00661AB2" w:rsidRPr="00720DA1" w:rsidRDefault="00661AB2" w:rsidP="00BF0528">
      <w:pPr>
        <w:pStyle w:val="FootnoteText"/>
        <w:rPr>
          <w:sz w:val="16"/>
          <w:szCs w:val="16"/>
        </w:rPr>
      </w:pPr>
      <w:r w:rsidRPr="00720DA1">
        <w:rPr>
          <w:rStyle w:val="FootnoteReference"/>
          <w:sz w:val="16"/>
          <w:szCs w:val="16"/>
        </w:rPr>
        <w:footnoteRef/>
      </w:r>
      <w:r w:rsidRPr="00720DA1">
        <w:rPr>
          <w:sz w:val="16"/>
          <w:szCs w:val="16"/>
        </w:rPr>
        <w:t xml:space="preserve"> </w:t>
      </w:r>
      <w:r w:rsidRPr="00BF0528">
        <w:rPr>
          <w:rFonts w:cs="Times New Roman"/>
          <w:sz w:val="16"/>
          <w:szCs w:val="16"/>
        </w:rPr>
        <w:t>Ibid.</w:t>
      </w:r>
    </w:p>
  </w:footnote>
  <w:footnote w:id="478">
    <w:p w14:paraId="07C8B90B" w14:textId="77777777" w:rsidR="00661AB2" w:rsidRPr="00720DA1" w:rsidRDefault="00661AB2"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Ibid.</w:t>
      </w:r>
    </w:p>
  </w:footnote>
  <w:footnote w:id="479">
    <w:p w14:paraId="3A6F87CE" w14:textId="65743B45" w:rsidR="00661AB2" w:rsidRPr="00720DA1" w:rsidRDefault="00661AB2" w:rsidP="00661AB2">
      <w:pPr>
        <w:pStyle w:val="FootnoteText"/>
        <w:rPr>
          <w:sz w:val="16"/>
          <w:szCs w:val="16"/>
        </w:rPr>
      </w:pPr>
      <w:r w:rsidRPr="00720DA1">
        <w:rPr>
          <w:rStyle w:val="FootnoteReference"/>
          <w:sz w:val="16"/>
          <w:szCs w:val="16"/>
        </w:rPr>
        <w:footnoteRef/>
      </w:r>
      <w:r w:rsidRPr="00720DA1">
        <w:rPr>
          <w:sz w:val="16"/>
          <w:szCs w:val="16"/>
        </w:rPr>
        <w:t xml:space="preserve"> Mission Possible Partnership (MPP), E3G and the Industrial Transition Accelerator (ITA)</w:t>
      </w:r>
      <w:r w:rsidR="00857256" w:rsidRPr="00720DA1">
        <w:rPr>
          <w:sz w:val="16"/>
          <w:szCs w:val="16"/>
        </w:rPr>
        <w:t xml:space="preserve"> (2025).</w:t>
      </w:r>
      <w:r w:rsidRPr="00720DA1">
        <w:rPr>
          <w:sz w:val="16"/>
          <w:szCs w:val="16"/>
        </w:rPr>
        <w:t xml:space="preserve"> </w:t>
      </w:r>
      <w:hyperlink r:id="rId320" w:history="1">
        <w:r w:rsidRPr="00720DA1">
          <w:rPr>
            <w:rStyle w:val="Hyperlink"/>
            <w:sz w:val="16"/>
            <w:szCs w:val="16"/>
          </w:rPr>
          <w:t>Building the EU’s Clean Industrial Future: Unlocking Inve</w:t>
        </w:r>
        <w:bookmarkStart w:id="605" w:name="_Hlt219456035"/>
        <w:bookmarkStart w:id="606" w:name="_Hlt219456036"/>
        <w:r w:rsidRPr="00720DA1">
          <w:rPr>
            <w:rStyle w:val="Hyperlink"/>
            <w:sz w:val="16"/>
            <w:szCs w:val="16"/>
          </w:rPr>
          <w:t>s</w:t>
        </w:r>
        <w:bookmarkEnd w:id="605"/>
        <w:bookmarkEnd w:id="606"/>
        <w:r w:rsidRPr="00720DA1">
          <w:rPr>
            <w:rStyle w:val="Hyperlink"/>
            <w:sz w:val="16"/>
            <w:szCs w:val="16"/>
          </w:rPr>
          <w:t>tment through Lead Markets</w:t>
        </w:r>
      </w:hyperlink>
      <w:r w:rsidRPr="00720DA1">
        <w:rPr>
          <w:sz w:val="16"/>
          <w:szCs w:val="16"/>
        </w:rPr>
        <w:t>.</w:t>
      </w:r>
    </w:p>
  </w:footnote>
  <w:footnote w:id="480">
    <w:p w14:paraId="63B9B523" w14:textId="77777777" w:rsidR="00661AB2" w:rsidRPr="00720DA1" w:rsidRDefault="00661AB2"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 xml:space="preserve">Huttel A, Lehner J., Revisiting investment costs for green steel: Capital expenditures, firm level impacts, and policy implications. </w:t>
      </w:r>
      <w:hyperlink r:id="rId321" w:history="1">
        <w:r w:rsidRPr="00720DA1">
          <w:rPr>
            <w:rStyle w:val="Hyperlink"/>
            <w:rFonts w:cs="Times New Roman"/>
            <w:sz w:val="16"/>
            <w:szCs w:val="16"/>
          </w:rPr>
          <w:t>https://www.diw.de/de/diw</w:t>
        </w:r>
        <w:bookmarkStart w:id="607" w:name="_Hlt215221778"/>
        <w:bookmarkStart w:id="608" w:name="_Hlt215221779"/>
        <w:r w:rsidRPr="00720DA1">
          <w:rPr>
            <w:rStyle w:val="Hyperlink"/>
            <w:rFonts w:cs="Times New Roman"/>
            <w:sz w:val="16"/>
            <w:szCs w:val="16"/>
          </w:rPr>
          <w:t>_</w:t>
        </w:r>
        <w:bookmarkEnd w:id="607"/>
        <w:bookmarkEnd w:id="608"/>
        <w:r w:rsidRPr="00720DA1">
          <w:rPr>
            <w:rStyle w:val="Hyperlink"/>
            <w:rFonts w:cs="Times New Roman"/>
            <w:sz w:val="16"/>
            <w:szCs w:val="16"/>
          </w:rPr>
          <w:t>01.c.901042.de/publikationen/diskussionspapiere/2024_2082/revisiting_investment_costs_for_green_steel__capital_expenditures__firm_level_impacts__and_policy_implications.html</w:t>
        </w:r>
      </w:hyperlink>
    </w:p>
  </w:footnote>
  <w:footnote w:id="481">
    <w:p w14:paraId="6666EE9B" w14:textId="28183A4E" w:rsidR="00661AB2" w:rsidRPr="002F0B22" w:rsidRDefault="00661AB2" w:rsidP="00006005">
      <w:pPr>
        <w:jc w:val="left"/>
        <w:rPr>
          <w:rFonts w:cs="Times New Roman"/>
          <w:sz w:val="16"/>
          <w:szCs w:val="16"/>
          <w:lang w:val="en-US"/>
        </w:rPr>
      </w:pPr>
      <w:r w:rsidRPr="00720DA1">
        <w:rPr>
          <w:rStyle w:val="FootnoteReference"/>
          <w:sz w:val="16"/>
          <w:szCs w:val="16"/>
        </w:rPr>
        <w:footnoteRef/>
      </w:r>
      <w:r w:rsidRPr="00720DA1">
        <w:rPr>
          <w:sz w:val="16"/>
          <w:szCs w:val="16"/>
        </w:rPr>
        <w:t xml:space="preserve"> </w:t>
      </w:r>
      <w:r w:rsidRPr="00006005">
        <w:rPr>
          <w:rFonts w:cs="Times New Roman"/>
          <w:sz w:val="16"/>
          <w:szCs w:val="16"/>
        </w:rPr>
        <w:t>Somers, J.</w:t>
      </w:r>
      <w:r w:rsidR="00006005" w:rsidRPr="00006005">
        <w:rPr>
          <w:rFonts w:cs="Times New Roman"/>
          <w:sz w:val="16"/>
          <w:szCs w:val="16"/>
        </w:rPr>
        <w:t xml:space="preserve"> (JRC)</w:t>
      </w:r>
      <w:r w:rsidR="00C80B76" w:rsidRPr="00006005">
        <w:rPr>
          <w:rFonts w:cs="Times New Roman"/>
          <w:sz w:val="16"/>
          <w:szCs w:val="16"/>
        </w:rPr>
        <w:t xml:space="preserve"> (2022).</w:t>
      </w:r>
      <w:r w:rsidR="00006005">
        <w:rPr>
          <w:rFonts w:cs="Times New Roman"/>
          <w:sz w:val="16"/>
          <w:szCs w:val="16"/>
        </w:rPr>
        <w:t xml:space="preserve"> </w:t>
      </w:r>
      <w:hyperlink r:id="rId322" w:history="1">
        <w:r w:rsidRPr="00006005">
          <w:rPr>
            <w:rStyle w:val="Hyperlink"/>
            <w:rFonts w:cs="Times New Roman"/>
            <w:sz w:val="16"/>
            <w:szCs w:val="16"/>
          </w:rPr>
          <w:t>Technologies to decarbonise the EU steel industry</w:t>
        </w:r>
      </w:hyperlink>
      <w:r w:rsidR="00006005">
        <w:rPr>
          <w:rFonts w:cs="Times New Roman"/>
          <w:sz w:val="16"/>
          <w:szCs w:val="16"/>
        </w:rPr>
        <w:t>.</w:t>
      </w:r>
    </w:p>
  </w:footnote>
  <w:footnote w:id="482">
    <w:p w14:paraId="783CC66F" w14:textId="0AE50203" w:rsidR="0042512C" w:rsidRPr="00720DA1" w:rsidRDefault="0042512C" w:rsidP="0042512C">
      <w:pPr>
        <w:rPr>
          <w:rFonts w:eastAsia="Times New Roman" w:cs="Times New Roman"/>
          <w:sz w:val="16"/>
          <w:szCs w:val="16"/>
        </w:rPr>
      </w:pPr>
      <w:r w:rsidRPr="00720DA1">
        <w:rPr>
          <w:rFonts w:cs="Times New Roman"/>
          <w:sz w:val="16"/>
          <w:szCs w:val="16"/>
          <w:vertAlign w:val="superscript"/>
        </w:rPr>
        <w:footnoteRef/>
      </w:r>
      <w:r w:rsidRPr="00505FDE">
        <w:rPr>
          <w:rFonts w:cs="Times New Roman"/>
          <w:sz w:val="16"/>
          <w:szCs w:val="16"/>
          <w:vertAlign w:val="superscript"/>
          <w:lang w:val="en-US"/>
        </w:rPr>
        <w:t xml:space="preserve"> </w:t>
      </w:r>
      <w:r w:rsidR="002769C9" w:rsidRPr="00505FDE">
        <w:rPr>
          <w:sz w:val="16"/>
          <w:szCs w:val="16"/>
          <w:lang w:val="en-US"/>
        </w:rPr>
        <w:t xml:space="preserve">Draghi, M. (2024). </w:t>
      </w:r>
      <w:hyperlink r:id="rId323" w:history="1">
        <w:r w:rsidR="002769C9">
          <w:rPr>
            <w:rStyle w:val="Hyperlink"/>
            <w:sz w:val="16"/>
            <w:szCs w:val="16"/>
          </w:rPr>
          <w:t>The future of European competitiveness: In‑depth analysis and recommendations (Part B)</w:t>
        </w:r>
      </w:hyperlink>
      <w:r w:rsidRPr="00720DA1">
        <w:rPr>
          <w:rFonts w:eastAsia="Times New Roman" w:cs="Times New Roman"/>
          <w:sz w:val="16"/>
          <w:szCs w:val="16"/>
        </w:rPr>
        <w:t>, p. 140.</w:t>
      </w:r>
    </w:p>
  </w:footnote>
  <w:footnote w:id="483">
    <w:p w14:paraId="4E9595D9" w14:textId="2DF3FF9C" w:rsidR="0042512C" w:rsidRPr="00720DA1" w:rsidRDefault="0042512C" w:rsidP="0042512C">
      <w:pPr>
        <w:rPr>
          <w:rFonts w:cs="Times New Roman"/>
          <w:sz w:val="16"/>
          <w:szCs w:val="16"/>
        </w:rPr>
      </w:pPr>
      <w:r w:rsidRPr="00720DA1">
        <w:rPr>
          <w:rFonts w:cs="Times New Roman"/>
          <w:sz w:val="16"/>
          <w:szCs w:val="16"/>
          <w:vertAlign w:val="superscript"/>
        </w:rPr>
        <w:footnoteRef/>
      </w:r>
      <w:r w:rsidRPr="0033384A">
        <w:rPr>
          <w:rFonts w:cs="Times New Roman"/>
          <w:sz w:val="16"/>
          <w:szCs w:val="16"/>
          <w:lang w:val="da-DK"/>
        </w:rPr>
        <w:t xml:space="preserve"> </w:t>
      </w:r>
      <w:r w:rsidR="000465FB" w:rsidRPr="003379E2">
        <w:rPr>
          <w:rFonts w:eastAsia="Times New Roman"/>
          <w:sz w:val="16"/>
          <w:szCs w:val="16"/>
        </w:rPr>
        <w:t>European C</w:t>
      </w:r>
      <w:r w:rsidR="003379E2" w:rsidRPr="003379E2">
        <w:rPr>
          <w:rFonts w:eastAsia="Times New Roman"/>
          <w:sz w:val="16"/>
          <w:szCs w:val="16"/>
        </w:rPr>
        <w:t xml:space="preserve">ommission, </w:t>
      </w:r>
      <w:r w:rsidR="000465FB" w:rsidRPr="003379E2">
        <w:rPr>
          <w:rFonts w:eastAsia="Times New Roman"/>
          <w:sz w:val="16"/>
          <w:szCs w:val="16"/>
        </w:rPr>
        <w:t>Joint Research Centre</w:t>
      </w:r>
      <w:r w:rsidR="003379E2" w:rsidRPr="003379E2">
        <w:rPr>
          <w:rFonts w:eastAsia="Times New Roman"/>
          <w:sz w:val="16"/>
          <w:szCs w:val="16"/>
        </w:rPr>
        <w:t xml:space="preserve"> (</w:t>
      </w:r>
      <w:r w:rsidR="000465FB" w:rsidRPr="003379E2">
        <w:rPr>
          <w:rFonts w:eastAsia="Times New Roman"/>
          <w:sz w:val="16"/>
          <w:szCs w:val="16"/>
        </w:rPr>
        <w:t>2024</w:t>
      </w:r>
      <w:r w:rsidR="003379E2" w:rsidRPr="003379E2">
        <w:rPr>
          <w:rFonts w:eastAsia="Times New Roman"/>
          <w:sz w:val="16"/>
          <w:szCs w:val="16"/>
        </w:rPr>
        <w:t xml:space="preserve">) </w:t>
      </w:r>
      <w:hyperlink r:id="rId324" w:history="1">
        <w:r w:rsidR="000465FB" w:rsidRPr="00830C7B">
          <w:rPr>
            <w:rStyle w:val="Hyperlink"/>
            <w:rFonts w:eastAsia="Times New Roman"/>
            <w:sz w:val="16"/>
            <w:szCs w:val="16"/>
          </w:rPr>
          <w:t>EU Industrial R&amp;D Investment scoreboard</w:t>
        </w:r>
      </w:hyperlink>
      <w:r w:rsidR="000465FB" w:rsidRPr="003379E2">
        <w:rPr>
          <w:rFonts w:eastAsia="Times New Roman"/>
          <w:sz w:val="16"/>
          <w:szCs w:val="16"/>
        </w:rPr>
        <w:t>, Publications Office of the Euro</w:t>
      </w:r>
      <w:r w:rsidR="00830C7B">
        <w:rPr>
          <w:rFonts w:eastAsia="Times New Roman"/>
          <w:sz w:val="16"/>
          <w:szCs w:val="16"/>
        </w:rPr>
        <w:t xml:space="preserve">pean Union </w:t>
      </w:r>
    </w:p>
  </w:footnote>
  <w:footnote w:id="484">
    <w:p w14:paraId="5BA273AE" w14:textId="77777777" w:rsidR="0042512C" w:rsidRPr="00720DA1" w:rsidRDefault="0042512C" w:rsidP="0042512C">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eastAsia="Times New Roman"/>
          <w:sz w:val="16"/>
          <w:szCs w:val="16"/>
        </w:rPr>
        <w:t>Such key components include, among others, controllers, transformers, electric motors, charge ports and chargers, AC/DC converters, power inverters, alternators, control units that are essential for the operations of the powertrain, regenerative braking systems, thermal management systems, transmission systems, fuel-cells, hydrogen storing and fuelling systems; but also connected and automated driving (CAD) systems (software and hardware) such as cameras, lidars, radars, ultrasonic sensors, vehicle-to-everything (V2X) communication systems, navigation and mapping systems, human-machine interface (HMI) systems, vehicle-to-grid (V2G) systems, advanced driver-assistance systems (ADAS).</w:t>
      </w:r>
    </w:p>
  </w:footnote>
  <w:footnote w:id="485">
    <w:p w14:paraId="023CCFDA" w14:textId="657B7958" w:rsidR="0042512C" w:rsidRPr="00720DA1" w:rsidRDefault="0042512C" w:rsidP="0042512C">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China’s subsidies, price and technical advantage, and overcapacity in parts of the industry keep Chinese vehicles and components cost-competitive despite shipping costs, localization advantages, and trade barriers. China and the Future of Global Supply Chains, </w:t>
      </w:r>
      <w:r w:rsidR="003249FF" w:rsidRPr="00720DA1">
        <w:rPr>
          <w:rFonts w:cs="Times New Roman"/>
          <w:sz w:val="16"/>
          <w:szCs w:val="16"/>
        </w:rPr>
        <w:t>Rhodium</w:t>
      </w:r>
      <w:r w:rsidRPr="00720DA1">
        <w:rPr>
          <w:rFonts w:cs="Times New Roman"/>
          <w:sz w:val="16"/>
          <w:szCs w:val="16"/>
        </w:rPr>
        <w:t xml:space="preserve"> Group, 4 February 2025</w:t>
      </w:r>
    </w:p>
  </w:footnote>
  <w:footnote w:id="486">
    <w:p w14:paraId="71FE9869" w14:textId="77777777" w:rsidR="0042512C" w:rsidRPr="00720DA1" w:rsidRDefault="0042512C" w:rsidP="0042512C">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Pr="00720DA1">
        <w:rPr>
          <w:rFonts w:eastAsia="Times New Roman" w:cs="Times New Roman"/>
          <w:sz w:val="16"/>
          <w:szCs w:val="16"/>
        </w:rPr>
        <w:t>Data refers to Industry C29 (NACE Rev. 2.1) Manufacture of motor vehicles, trailers, and semitrailers.</w:t>
      </w:r>
    </w:p>
  </w:footnote>
  <w:footnote w:id="487">
    <w:p w14:paraId="4F29F985" w14:textId="2F404857" w:rsidR="0042512C" w:rsidRPr="00720DA1" w:rsidRDefault="0042512C" w:rsidP="0042512C">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Pr="00720DA1">
        <w:rPr>
          <w:rFonts w:eastAsia="Times New Roman" w:cs="Times New Roman"/>
          <w:sz w:val="16"/>
          <w:szCs w:val="16"/>
        </w:rPr>
        <w:t xml:space="preserve">This finding is consistent with other studies that estimate the EU's value content at approximately 85–90% for ICE vehicles and 70–75% for EVs. </w:t>
      </w:r>
      <w:r w:rsidR="00670899">
        <w:rPr>
          <w:rFonts w:eastAsia="Times New Roman" w:cs="Times New Roman"/>
          <w:sz w:val="16"/>
          <w:szCs w:val="16"/>
        </w:rPr>
        <w:t xml:space="preserve">Source: </w:t>
      </w:r>
      <w:r w:rsidRPr="00720DA1">
        <w:rPr>
          <w:rFonts w:eastAsia="Times New Roman" w:cs="Times New Roman"/>
          <w:sz w:val="16"/>
          <w:szCs w:val="16"/>
        </w:rPr>
        <w:t xml:space="preserve">McKinsey (2024). </w:t>
      </w:r>
      <w:hyperlink r:id="rId325" w:history="1">
        <w:r w:rsidRPr="00720DA1">
          <w:rPr>
            <w:rStyle w:val="Hyperlink"/>
            <w:rFonts w:eastAsia="Times New Roman" w:cs="Times New Roman"/>
            <w:sz w:val="16"/>
            <w:szCs w:val="16"/>
          </w:rPr>
          <w:t>Europe's economic potential in the shift to electric vehicles</w:t>
        </w:r>
      </w:hyperlink>
      <w:r w:rsidRPr="00720DA1">
        <w:rPr>
          <w:rFonts w:eastAsia="Times New Roman" w:cs="Times New Roman"/>
          <w:sz w:val="16"/>
          <w:szCs w:val="16"/>
        </w:rPr>
        <w:t>.</w:t>
      </w:r>
    </w:p>
  </w:footnote>
  <w:footnote w:id="488">
    <w:p w14:paraId="699ABA38" w14:textId="77777777" w:rsidR="00A1272E" w:rsidRPr="00720DA1" w:rsidRDefault="00A1272E" w:rsidP="00A1272E">
      <w:pPr>
        <w:rPr>
          <w:rFonts w:cs="Times New Roman"/>
          <w:sz w:val="16"/>
          <w:szCs w:val="16"/>
        </w:rPr>
      </w:pPr>
      <w:r w:rsidRPr="00720DA1">
        <w:rPr>
          <w:rFonts w:cs="Times New Roman"/>
          <w:sz w:val="16"/>
          <w:szCs w:val="16"/>
          <w:vertAlign w:val="superscript"/>
        </w:rPr>
        <w:footnoteRef/>
      </w:r>
      <w:r w:rsidRPr="00720DA1">
        <w:rPr>
          <w:rFonts w:cs="Times New Roman"/>
          <w:sz w:val="16"/>
          <w:szCs w:val="16"/>
          <w:vertAlign w:val="superscript"/>
        </w:rPr>
        <w:t xml:space="preserve"> </w:t>
      </w:r>
      <w:r w:rsidRPr="00720DA1">
        <w:rPr>
          <w:rFonts w:eastAsia="Times New Roman" w:cs="Times New Roman"/>
          <w:sz w:val="16"/>
          <w:szCs w:val="16"/>
        </w:rPr>
        <w:t>ICE includes mild hybrids. EV includes battery electric and plug-in hybrid electric vehicles.</w:t>
      </w:r>
    </w:p>
  </w:footnote>
  <w:footnote w:id="489">
    <w:p w14:paraId="1A1F28AE" w14:textId="77777777" w:rsidR="0039596D" w:rsidRPr="00720DA1" w:rsidRDefault="0039596D" w:rsidP="0042512C">
      <w:pPr>
        <w:rPr>
          <w:rFonts w:cs="Times New Roman"/>
          <w:sz w:val="16"/>
          <w:szCs w:val="16"/>
        </w:rPr>
      </w:pPr>
      <w:r w:rsidRPr="00720DA1">
        <w:rPr>
          <w:rFonts w:cs="Times New Roman"/>
          <w:sz w:val="16"/>
          <w:szCs w:val="16"/>
          <w:vertAlign w:val="superscript"/>
        </w:rPr>
        <w:footnoteRef/>
      </w:r>
      <w:r w:rsidRPr="00720DA1">
        <w:rPr>
          <w:rFonts w:cs="Times New Roman"/>
          <w:sz w:val="16"/>
          <w:szCs w:val="16"/>
          <w:vertAlign w:val="superscript"/>
        </w:rPr>
        <w:t xml:space="preserve"> </w:t>
      </w:r>
      <w:r w:rsidRPr="00720DA1">
        <w:rPr>
          <w:rFonts w:eastAsia="Times New Roman" w:cs="Times New Roman"/>
          <w:sz w:val="16"/>
          <w:szCs w:val="16"/>
        </w:rPr>
        <w:t>Sectors were aggregated following the Eurostat technological intensity classification for the manufacturing segments and the Eurostat knowledge-intensive services (KIS) for the services segments. Only direct effects of the value chain are considered.</w:t>
      </w:r>
    </w:p>
  </w:footnote>
  <w:footnote w:id="490">
    <w:p w14:paraId="1464C2FD" w14:textId="77777777" w:rsidR="00391528" w:rsidRPr="00720DA1" w:rsidRDefault="00391528" w:rsidP="0042512C">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Pr="00720DA1">
        <w:rPr>
          <w:rFonts w:eastAsia="Times New Roman" w:cs="Times New Roman"/>
          <w:sz w:val="16"/>
          <w:szCs w:val="16"/>
        </w:rPr>
        <w:t>Data refers to Industry 22.11.11.00 (NACE Rev. 2.1) New pneumatic rubber tyres for motor cars.</w:t>
      </w:r>
    </w:p>
  </w:footnote>
  <w:footnote w:id="491">
    <w:p w14:paraId="789927B8" w14:textId="77777777" w:rsidR="00391528" w:rsidRPr="00720DA1" w:rsidRDefault="00391528" w:rsidP="0042512C">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Pr="00720DA1">
        <w:rPr>
          <w:rFonts w:eastAsia="Times New Roman" w:cs="Times New Roman"/>
          <w:sz w:val="16"/>
          <w:szCs w:val="16"/>
        </w:rPr>
        <w:t>Data refers to Industry 40.11.10 (HS nomenclature) New pneumatic tyres, of rubber of a kind used on motor cars.</w:t>
      </w:r>
    </w:p>
  </w:footnote>
  <w:footnote w:id="492">
    <w:p w14:paraId="35892E3F" w14:textId="07EF179A" w:rsidR="00020031" w:rsidRPr="00720DA1" w:rsidRDefault="00020031"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634C48" w:rsidRPr="00720DA1">
        <w:rPr>
          <w:rFonts w:eastAsia="Times New Roman" w:cs="Times New Roman"/>
          <w:sz w:val="16"/>
          <w:szCs w:val="16"/>
        </w:rPr>
        <w:t xml:space="preserve">IEA (2024). </w:t>
      </w:r>
      <w:hyperlink r:id="rId326" w:history="1">
        <w:r w:rsidR="00634C48" w:rsidRPr="00720DA1">
          <w:rPr>
            <w:rStyle w:val="Hyperlink"/>
            <w:rFonts w:eastAsia="Times New Roman" w:cs="Times New Roman"/>
            <w:sz w:val="16"/>
            <w:szCs w:val="16"/>
          </w:rPr>
          <w:t>Energy Technology Perspectives</w:t>
        </w:r>
        <w:r w:rsidR="00E308C3" w:rsidRPr="00720DA1">
          <w:rPr>
            <w:rStyle w:val="Hyperlink"/>
            <w:rFonts w:eastAsia="Times New Roman" w:cs="Times New Roman"/>
            <w:sz w:val="16"/>
            <w:szCs w:val="16"/>
          </w:rPr>
          <w:t xml:space="preserve"> 2024</w:t>
        </w:r>
      </w:hyperlink>
      <w:r w:rsidR="00634C48" w:rsidRPr="00720DA1">
        <w:rPr>
          <w:rFonts w:eastAsia="Times New Roman" w:cs="Times New Roman"/>
          <w:sz w:val="16"/>
          <w:szCs w:val="16"/>
        </w:rPr>
        <w:t>.</w:t>
      </w:r>
    </w:p>
  </w:footnote>
  <w:footnote w:id="493">
    <w:p w14:paraId="6ABFE839" w14:textId="5BC3D719" w:rsidR="00020031" w:rsidRPr="00720DA1" w:rsidRDefault="00020031" w:rsidP="00CE1615">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Pr="00720DA1">
        <w:rPr>
          <w:rFonts w:eastAsia="Times New Roman" w:cs="Times New Roman"/>
          <w:sz w:val="16"/>
          <w:szCs w:val="16"/>
        </w:rPr>
        <w:t xml:space="preserve">European Commission (2025). Communication from the Commission providing updated information to determine the shares of the European Union supply of final products and their main specific components originating in different third countries under Regulation (EU) 2024/1735 (C/2025/3236). Official Journal of the European Union C, 2025/C 3236. </w:t>
      </w:r>
      <w:hyperlink r:id="rId327">
        <w:r w:rsidRPr="00720DA1">
          <w:rPr>
            <w:rStyle w:val="Hyperlink"/>
            <w:rFonts w:eastAsia="Times New Roman" w:cs="Times New Roman"/>
            <w:sz w:val="16"/>
            <w:szCs w:val="16"/>
          </w:rPr>
          <w:t>https://eur-l</w:t>
        </w:r>
        <w:bookmarkStart w:id="630" w:name="_Hlt219456891"/>
        <w:r w:rsidRPr="00720DA1">
          <w:rPr>
            <w:rStyle w:val="Hyperlink"/>
            <w:rFonts w:eastAsia="Times New Roman" w:cs="Times New Roman"/>
            <w:sz w:val="16"/>
            <w:szCs w:val="16"/>
          </w:rPr>
          <w:t>e</w:t>
        </w:r>
        <w:bookmarkEnd w:id="630"/>
        <w:r w:rsidRPr="00720DA1">
          <w:rPr>
            <w:rStyle w:val="Hyperlink"/>
            <w:rFonts w:eastAsia="Times New Roman" w:cs="Times New Roman"/>
            <w:sz w:val="16"/>
            <w:szCs w:val="16"/>
          </w:rPr>
          <w:t>x.europa.eu/eli/C/2025/3236/oj/eng</w:t>
        </w:r>
      </w:hyperlink>
    </w:p>
  </w:footnote>
  <w:footnote w:id="494">
    <w:p w14:paraId="5F3CBB88" w14:textId="117960CF" w:rsidR="00020031" w:rsidRPr="009C3D45" w:rsidRDefault="00020031" w:rsidP="00CE1615">
      <w:pPr>
        <w:pStyle w:val="FootnoteText"/>
        <w:rPr>
          <w:rFonts w:cs="Times New Roman"/>
          <w:sz w:val="16"/>
          <w:szCs w:val="16"/>
          <w:lang w:val="en-IE"/>
        </w:rPr>
      </w:pPr>
      <w:r w:rsidRPr="00720DA1">
        <w:rPr>
          <w:rStyle w:val="FootnoteReference"/>
          <w:rFonts w:cs="Times New Roman"/>
          <w:sz w:val="16"/>
          <w:szCs w:val="16"/>
        </w:rPr>
        <w:footnoteRef/>
      </w:r>
      <w:r w:rsidRPr="009C3D45">
        <w:rPr>
          <w:rFonts w:cs="Times New Roman"/>
          <w:sz w:val="16"/>
          <w:szCs w:val="16"/>
          <w:lang w:val="en-IE"/>
        </w:rPr>
        <w:t xml:space="preserve"> </w:t>
      </w:r>
      <w:r w:rsidR="009C3D45">
        <w:rPr>
          <w:rFonts w:cs="Times New Roman"/>
          <w:sz w:val="16"/>
          <w:szCs w:val="16"/>
          <w:lang w:val="en-IE"/>
        </w:rPr>
        <w:t xml:space="preserve">Bruegel. </w:t>
      </w:r>
      <w:hyperlink r:id="rId328" w:history="1">
        <w:r w:rsidR="009C3D45" w:rsidRPr="009C3D45">
          <w:rPr>
            <w:rStyle w:val="Hyperlink"/>
            <w:rFonts w:cs="Times New Roman"/>
            <w:sz w:val="16"/>
            <w:szCs w:val="16"/>
            <w:lang w:val="en-IE"/>
          </w:rPr>
          <w:t>European</w:t>
        </w:r>
        <w:r w:rsidR="00FF41C1" w:rsidRPr="009C3D45">
          <w:rPr>
            <w:rStyle w:val="Hyperlink"/>
            <w:rFonts w:cs="Times New Roman"/>
            <w:sz w:val="16"/>
            <w:szCs w:val="16"/>
            <w:lang w:val="en-IE"/>
          </w:rPr>
          <w:t xml:space="preserve"> Clean Tech</w:t>
        </w:r>
        <w:r w:rsidR="00981833" w:rsidRPr="009C3D45">
          <w:rPr>
            <w:rStyle w:val="Hyperlink"/>
            <w:rFonts w:cs="Times New Roman"/>
            <w:sz w:val="16"/>
            <w:szCs w:val="16"/>
            <w:lang w:val="en-IE"/>
          </w:rPr>
          <w:t xml:space="preserve"> Tracker</w:t>
        </w:r>
      </w:hyperlink>
      <w:r w:rsidR="00990EB8" w:rsidRPr="009C3D45">
        <w:rPr>
          <w:rFonts w:cs="Times New Roman"/>
          <w:sz w:val="16"/>
          <w:szCs w:val="16"/>
          <w:lang w:val="en-IE"/>
        </w:rPr>
        <w:t>.</w:t>
      </w:r>
    </w:p>
  </w:footnote>
  <w:footnote w:id="495">
    <w:p w14:paraId="3F86D242" w14:textId="5A3C4575" w:rsidR="00020031" w:rsidRPr="009A1C15" w:rsidRDefault="00020031" w:rsidP="00CE1615">
      <w:pPr>
        <w:pStyle w:val="FootnoteText"/>
        <w:rPr>
          <w:rFonts w:cs="Times New Roman"/>
          <w:sz w:val="16"/>
          <w:szCs w:val="16"/>
          <w:lang w:val="en-IE"/>
        </w:rPr>
      </w:pPr>
      <w:r w:rsidRPr="0007039C">
        <w:rPr>
          <w:rStyle w:val="FootnoteReference"/>
          <w:rFonts w:cs="Times New Roman"/>
          <w:sz w:val="16"/>
          <w:szCs w:val="16"/>
        </w:rPr>
        <w:footnoteRef/>
      </w:r>
      <w:r w:rsidR="00E37E5C" w:rsidRPr="00F469CA">
        <w:rPr>
          <w:rFonts w:cs="Times New Roman"/>
          <w:sz w:val="16"/>
          <w:szCs w:val="16"/>
          <w:lang w:val="en-IE"/>
        </w:rPr>
        <w:t xml:space="preserve"> Ericher, M. et al. </w:t>
      </w:r>
      <w:r w:rsidR="00E37E5C" w:rsidRPr="009A1C15">
        <w:rPr>
          <w:rFonts w:cs="Times New Roman"/>
          <w:sz w:val="16"/>
          <w:szCs w:val="16"/>
          <w:lang w:val="en-IE"/>
        </w:rPr>
        <w:t>(2024)</w:t>
      </w:r>
      <w:r w:rsidR="002F61F4" w:rsidRPr="009A1C15">
        <w:rPr>
          <w:rFonts w:cs="Times New Roman"/>
          <w:sz w:val="16"/>
          <w:szCs w:val="16"/>
          <w:lang w:val="en-IE"/>
        </w:rPr>
        <w:t xml:space="preserve">, Les Thémas de la </w:t>
      </w:r>
      <w:r w:rsidR="009A1C15" w:rsidRPr="009A1C15">
        <w:rPr>
          <w:rFonts w:cs="Times New Roman"/>
          <w:sz w:val="16"/>
          <w:szCs w:val="16"/>
          <w:lang w:val="en-IE"/>
        </w:rPr>
        <w:t xml:space="preserve">DGE: </w:t>
      </w:r>
      <w:hyperlink r:id="rId329" w:history="1">
        <w:r w:rsidR="009A1C15" w:rsidRPr="009A1C15">
          <w:rPr>
            <w:rStyle w:val="Hyperlink"/>
            <w:rFonts w:cs="Times New Roman"/>
            <w:sz w:val="16"/>
            <w:szCs w:val="16"/>
          </w:rPr>
          <w:t>Deployment of electromobility: how to develop the European battery supply?</w:t>
        </w:r>
      </w:hyperlink>
    </w:p>
  </w:footnote>
  <w:footnote w:id="496">
    <w:p w14:paraId="752234D7" w14:textId="1EC5C2B5" w:rsidR="00104A58" w:rsidRPr="00720DA1" w:rsidRDefault="00104A58" w:rsidP="00CE1615">
      <w:pPr>
        <w:pStyle w:val="FootnoteText"/>
        <w:rPr>
          <w:rFonts w:cs="Times New Roman"/>
          <w:sz w:val="16"/>
          <w:szCs w:val="16"/>
        </w:rPr>
      </w:pPr>
      <w:r w:rsidRPr="00720DA1">
        <w:rPr>
          <w:rStyle w:val="FootnoteReference"/>
          <w:sz w:val="16"/>
          <w:szCs w:val="16"/>
        </w:rPr>
        <w:footnoteRef/>
      </w:r>
      <w:r w:rsidRPr="00F469CA">
        <w:rPr>
          <w:sz w:val="16"/>
          <w:szCs w:val="16"/>
          <w:lang w:val="en-IE"/>
        </w:rPr>
        <w:t xml:space="preserve"> </w:t>
      </w:r>
      <w:r w:rsidR="00CE7996" w:rsidRPr="00F469CA">
        <w:rPr>
          <w:rFonts w:cs="Times New Roman"/>
          <w:sz w:val="16"/>
          <w:szCs w:val="16"/>
          <w:lang w:val="en-IE"/>
        </w:rPr>
        <w:t>BloombergNEF (2025).</w:t>
      </w:r>
      <w:r w:rsidRPr="00F469CA">
        <w:rPr>
          <w:sz w:val="16"/>
          <w:szCs w:val="16"/>
          <w:lang w:val="en-IE"/>
        </w:rPr>
        <w:t xml:space="preserve"> </w:t>
      </w:r>
      <w:r w:rsidR="009E58BD" w:rsidRPr="00720DA1">
        <w:rPr>
          <w:rFonts w:cs="Times New Roman"/>
          <w:sz w:val="16"/>
          <w:szCs w:val="16"/>
        </w:rPr>
        <w:t>Energy Transition Investment Trends in Europe 2025</w:t>
      </w:r>
      <w:r w:rsidR="002F6955" w:rsidRPr="00720DA1">
        <w:rPr>
          <w:rFonts w:cs="Times New Roman"/>
          <w:sz w:val="16"/>
          <w:szCs w:val="16"/>
        </w:rPr>
        <w:t>.</w:t>
      </w:r>
      <w:r w:rsidR="009E58BD" w:rsidRPr="00720DA1">
        <w:rPr>
          <w:rFonts w:cs="Times New Roman"/>
          <w:sz w:val="16"/>
          <w:szCs w:val="16"/>
        </w:rPr>
        <w:t xml:space="preserve"> </w:t>
      </w:r>
    </w:p>
  </w:footnote>
  <w:footnote w:id="497">
    <w:p w14:paraId="07521CEF" w14:textId="6829E5B9"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A22B29" w:rsidRPr="00720DA1">
        <w:rPr>
          <w:rFonts w:cs="Times New Roman"/>
          <w:sz w:val="16"/>
          <w:szCs w:val="16"/>
        </w:rPr>
        <w:t>T&amp;E (2024)</w:t>
      </w:r>
      <w:r w:rsidR="00990EB8" w:rsidRPr="00720DA1">
        <w:rPr>
          <w:rFonts w:cs="Times New Roman"/>
          <w:sz w:val="16"/>
          <w:szCs w:val="16"/>
        </w:rPr>
        <w:t>.</w:t>
      </w:r>
      <w:r w:rsidRPr="00720DA1">
        <w:rPr>
          <w:rFonts w:cs="Times New Roman"/>
          <w:sz w:val="16"/>
          <w:szCs w:val="16"/>
        </w:rPr>
        <w:t xml:space="preserve"> </w:t>
      </w:r>
      <w:hyperlink r:id="rId330">
        <w:r w:rsidRPr="00720DA1">
          <w:rPr>
            <w:rStyle w:val="Hyperlink"/>
            <w:rFonts w:cs="Times New Roman"/>
            <w:sz w:val="16"/>
            <w:szCs w:val="16"/>
          </w:rPr>
          <w:t>An Industrial Blueprint for Batteries in Europe</w:t>
        </w:r>
      </w:hyperlink>
      <w:r w:rsidR="00A22B29" w:rsidRPr="00720DA1">
        <w:rPr>
          <w:rFonts w:cs="Times New Roman"/>
          <w:sz w:val="16"/>
          <w:szCs w:val="16"/>
        </w:rPr>
        <w:t>.</w:t>
      </w:r>
    </w:p>
  </w:footnote>
  <w:footnote w:id="498">
    <w:p w14:paraId="742CA2E3" w14:textId="43222F29"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Idem</w:t>
      </w:r>
      <w:r w:rsidR="00990EB8" w:rsidRPr="00720DA1">
        <w:rPr>
          <w:rFonts w:cs="Times New Roman"/>
          <w:sz w:val="16"/>
          <w:szCs w:val="16"/>
        </w:rPr>
        <w:t>.</w:t>
      </w:r>
    </w:p>
  </w:footnote>
  <w:footnote w:id="499">
    <w:p w14:paraId="77839766" w14:textId="4780E842" w:rsidR="00020031" w:rsidRPr="00720DA1" w:rsidRDefault="00020031" w:rsidP="00CE1615">
      <w:pPr>
        <w:pStyle w:val="FootnoteText"/>
        <w:rPr>
          <w:sz w:val="16"/>
          <w:szCs w:val="16"/>
        </w:rPr>
      </w:pPr>
      <w:r w:rsidRPr="00720DA1">
        <w:rPr>
          <w:rStyle w:val="FootnoteReference"/>
          <w:sz w:val="16"/>
          <w:szCs w:val="16"/>
        </w:rPr>
        <w:footnoteRef/>
      </w:r>
      <w:r w:rsidRPr="00720DA1">
        <w:rPr>
          <w:sz w:val="16"/>
          <w:szCs w:val="16"/>
        </w:rPr>
        <w:t xml:space="preserve"> </w:t>
      </w:r>
      <w:r w:rsidR="00100000" w:rsidRPr="00720DA1">
        <w:rPr>
          <w:rFonts w:eastAsia="Times New Roman" w:cs="Times New Roman"/>
          <w:sz w:val="16"/>
          <w:szCs w:val="16"/>
        </w:rPr>
        <w:t>MIT CEEPR</w:t>
      </w:r>
      <w:r w:rsidR="002E1CBE" w:rsidRPr="00720DA1">
        <w:rPr>
          <w:rFonts w:eastAsia="Times New Roman" w:cs="Times New Roman"/>
          <w:sz w:val="16"/>
          <w:szCs w:val="16"/>
        </w:rPr>
        <w:t xml:space="preserve"> (2025)</w:t>
      </w:r>
      <w:r w:rsidR="00100000" w:rsidRPr="00720DA1">
        <w:rPr>
          <w:rFonts w:cs="Times New Roman"/>
          <w:sz w:val="16"/>
          <w:szCs w:val="16"/>
        </w:rPr>
        <w:t>.</w:t>
      </w:r>
      <w:r w:rsidRPr="00720DA1">
        <w:rPr>
          <w:sz w:val="16"/>
          <w:szCs w:val="16"/>
        </w:rPr>
        <w:t xml:space="preserve"> </w:t>
      </w:r>
      <w:hyperlink r:id="rId331" w:history="1">
        <w:r w:rsidRPr="00720DA1">
          <w:rPr>
            <w:rStyle w:val="Hyperlink"/>
            <w:rFonts w:cs="Times New Roman"/>
            <w:sz w:val="16"/>
            <w:szCs w:val="16"/>
          </w:rPr>
          <w:t>Global Clean Investment Monitor: Government Support for Electric Vehicles and Batteries</w:t>
        </w:r>
      </w:hyperlink>
      <w:r w:rsidR="00100000" w:rsidRPr="00720DA1">
        <w:rPr>
          <w:rFonts w:cs="Times New Roman"/>
          <w:sz w:val="16"/>
          <w:szCs w:val="16"/>
        </w:rPr>
        <w:t>.</w:t>
      </w:r>
    </w:p>
  </w:footnote>
  <w:footnote w:id="500">
    <w:p w14:paraId="7A4AC7F9" w14:textId="25ECB5D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BloombergNEF</w:t>
      </w:r>
      <w:r w:rsidR="002E1CBE" w:rsidRPr="00720DA1">
        <w:rPr>
          <w:rFonts w:cs="Times New Roman"/>
          <w:sz w:val="16"/>
          <w:szCs w:val="16"/>
        </w:rPr>
        <w:t>.</w:t>
      </w:r>
    </w:p>
  </w:footnote>
  <w:footnote w:id="501">
    <w:p w14:paraId="21E6A0C2" w14:textId="31443F23"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C371D6" w:rsidRPr="00720DA1">
        <w:rPr>
          <w:rFonts w:cs="Times New Roman"/>
          <w:sz w:val="16"/>
          <w:szCs w:val="16"/>
        </w:rPr>
        <w:t xml:space="preserve">Volta Foundation (2025). </w:t>
      </w:r>
      <w:hyperlink r:id="rId332" w:history="1">
        <w:r w:rsidRPr="00720DA1">
          <w:rPr>
            <w:rStyle w:val="Hyperlink"/>
            <w:rFonts w:cs="Times New Roman"/>
            <w:sz w:val="16"/>
            <w:szCs w:val="16"/>
          </w:rPr>
          <w:t>2024 Battery Report</w:t>
        </w:r>
      </w:hyperlink>
      <w:r w:rsidR="00C371D6" w:rsidRPr="00720DA1">
        <w:rPr>
          <w:rFonts w:cs="Times New Roman"/>
          <w:sz w:val="16"/>
          <w:szCs w:val="16"/>
        </w:rPr>
        <w:t>.</w:t>
      </w:r>
      <w:r w:rsidRPr="00720DA1">
        <w:rPr>
          <w:rFonts w:cs="Times New Roman"/>
          <w:sz w:val="16"/>
          <w:szCs w:val="16"/>
        </w:rPr>
        <w:t xml:space="preserve"> </w:t>
      </w:r>
    </w:p>
  </w:footnote>
  <w:footnote w:id="502">
    <w:p w14:paraId="6F9E8A00" w14:textId="6CFA6D55" w:rsidR="00020031" w:rsidRPr="00720DA1" w:rsidRDefault="00020031" w:rsidP="00CE1615">
      <w:pPr>
        <w:rPr>
          <w:rFonts w:eastAsia="Times New Roman" w:cs="Times New Roman"/>
          <w:sz w:val="16"/>
          <w:szCs w:val="16"/>
        </w:rPr>
      </w:pPr>
      <w:r w:rsidRPr="00720DA1">
        <w:rPr>
          <w:rFonts w:cs="Times New Roman"/>
          <w:sz w:val="16"/>
          <w:szCs w:val="16"/>
          <w:vertAlign w:val="superscript"/>
        </w:rPr>
        <w:footnoteRef/>
      </w:r>
      <w:r w:rsidRPr="00720DA1">
        <w:rPr>
          <w:rFonts w:eastAsia="Times New Roman" w:cs="Times New Roman"/>
          <w:sz w:val="16"/>
          <w:szCs w:val="16"/>
        </w:rPr>
        <w:t xml:space="preserve"> </w:t>
      </w:r>
      <w:r w:rsidR="0014542B" w:rsidRPr="00720DA1">
        <w:rPr>
          <w:rFonts w:eastAsia="Times New Roman" w:cs="Times New Roman"/>
          <w:sz w:val="16"/>
          <w:szCs w:val="16"/>
        </w:rPr>
        <w:t xml:space="preserve">European Commission (2025). </w:t>
      </w:r>
      <w:hyperlink r:id="rId333" w:history="1">
        <w:r w:rsidR="00B66725" w:rsidRPr="00720DA1">
          <w:rPr>
            <w:rStyle w:val="Hyperlink"/>
            <w:rFonts w:eastAsia="Times New Roman" w:cs="Times New Roman"/>
            <w:sz w:val="16"/>
            <w:szCs w:val="16"/>
          </w:rPr>
          <w:t xml:space="preserve">Report from </w:t>
        </w:r>
        <w:r w:rsidR="00B66725" w:rsidRPr="00720DA1">
          <w:rPr>
            <w:rStyle w:val="Hyperlink"/>
            <w:rFonts w:eastAsia="Times New Roman" w:cs="Times New Roman"/>
            <w:sz w:val="16"/>
            <w:szCs w:val="16"/>
            <w:lang w:val="en-US"/>
          </w:rPr>
          <w:t xml:space="preserve">the Commission </w:t>
        </w:r>
        <w:r w:rsidR="00D9265B" w:rsidRPr="00720DA1">
          <w:rPr>
            <w:rStyle w:val="Hyperlink"/>
            <w:rFonts w:eastAsia="Times New Roman" w:cs="Times New Roman"/>
            <w:sz w:val="16"/>
            <w:szCs w:val="16"/>
            <w:lang w:val="en-US"/>
          </w:rPr>
          <w:t>to the European Parliament and the Council</w:t>
        </w:r>
        <w:r w:rsidR="003A276B">
          <w:rPr>
            <w:rStyle w:val="Hyperlink"/>
            <w:rFonts w:eastAsia="Times New Roman" w:cs="Times New Roman"/>
            <w:sz w:val="16"/>
            <w:szCs w:val="16"/>
            <w:lang w:val="en-US"/>
          </w:rPr>
          <w:t>:</w:t>
        </w:r>
        <w:r w:rsidR="00D9265B" w:rsidRPr="00720DA1">
          <w:rPr>
            <w:rStyle w:val="Hyperlink"/>
            <w:rFonts w:eastAsia="Times New Roman" w:cs="Times New Roman"/>
            <w:sz w:val="16"/>
            <w:szCs w:val="16"/>
            <w:lang w:val="en-US"/>
          </w:rPr>
          <w:t xml:space="preserve"> </w:t>
        </w:r>
        <w:r w:rsidRPr="00720DA1">
          <w:rPr>
            <w:rStyle w:val="Hyperlink"/>
            <w:rFonts w:eastAsia="Times New Roman" w:cs="Times New Roman"/>
            <w:sz w:val="16"/>
            <w:szCs w:val="16"/>
          </w:rPr>
          <w:t>Progress on competitiveness of clean energy technologies</w:t>
        </w:r>
      </w:hyperlink>
      <w:r w:rsidR="00B66725" w:rsidRPr="00720DA1">
        <w:rPr>
          <w:rFonts w:eastAsia="Times New Roman" w:cs="Times New Roman"/>
          <w:sz w:val="16"/>
          <w:szCs w:val="16"/>
        </w:rPr>
        <w:t>. 26.2.2025 COM(2025) 74 final.</w:t>
      </w:r>
    </w:p>
  </w:footnote>
  <w:footnote w:id="503">
    <w:p w14:paraId="30210595" w14:textId="585D6081" w:rsidR="00020031" w:rsidRPr="00720DA1" w:rsidRDefault="00020031" w:rsidP="00CE1615">
      <w:pPr>
        <w:rPr>
          <w:rFonts w:cs="Times New Roman"/>
          <w:sz w:val="16"/>
          <w:szCs w:val="16"/>
        </w:rPr>
      </w:pPr>
      <w:r w:rsidRPr="00720DA1">
        <w:rPr>
          <w:rFonts w:cs="Times New Roman"/>
          <w:sz w:val="16"/>
          <w:szCs w:val="16"/>
          <w:vertAlign w:val="superscript"/>
        </w:rPr>
        <w:footnoteRef/>
      </w:r>
      <w:r w:rsidR="00A45990" w:rsidRPr="00720DA1">
        <w:rPr>
          <w:rFonts w:cs="Times New Roman"/>
          <w:sz w:val="16"/>
          <w:szCs w:val="16"/>
        </w:rPr>
        <w:t xml:space="preserve"> JRC.</w:t>
      </w:r>
      <w:r w:rsidRPr="00720DA1">
        <w:rPr>
          <w:rFonts w:cs="Times New Roman"/>
          <w:sz w:val="16"/>
          <w:szCs w:val="16"/>
        </w:rPr>
        <w:t xml:space="preserve"> Clean energy technology observatory.</w:t>
      </w:r>
    </w:p>
  </w:footnote>
  <w:footnote w:id="504">
    <w:p w14:paraId="7DDFE809" w14:textId="2DF6BFE6"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0E52A1" w:rsidRPr="00720DA1">
        <w:rPr>
          <w:rFonts w:cs="Times New Roman"/>
          <w:sz w:val="16"/>
          <w:szCs w:val="16"/>
        </w:rPr>
        <w:t xml:space="preserve">PV Magazine (2024). </w:t>
      </w:r>
      <w:hyperlink r:id="rId334" w:history="1">
        <w:r w:rsidRPr="00720DA1">
          <w:rPr>
            <w:rStyle w:val="Hyperlink"/>
            <w:rFonts w:cs="Times New Roman"/>
            <w:sz w:val="16"/>
            <w:szCs w:val="16"/>
          </w:rPr>
          <w:t>Solar modules now selling for less than €0.06/W in Europe</w:t>
        </w:r>
      </w:hyperlink>
      <w:r w:rsidR="000E52A1" w:rsidRPr="00720DA1">
        <w:rPr>
          <w:sz w:val="16"/>
          <w:szCs w:val="16"/>
        </w:rPr>
        <w:t>.</w:t>
      </w:r>
    </w:p>
  </w:footnote>
  <w:footnote w:id="505">
    <w:p w14:paraId="11D5A958" w14:textId="33E6FA05"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PV wafer capacity planned to expand from less than 1 GW today to around 8 GW in 2030, PV ingots capacity from less than 1 GW to around 6 GW, PV cells capacity from around 2 GW to more than 20 GW, PV module capacity from around 8 GW to more than 30 GW</w:t>
      </w:r>
      <w:r w:rsidR="0014542B" w:rsidRPr="00720DA1">
        <w:rPr>
          <w:rFonts w:cs="Times New Roman"/>
          <w:sz w:val="16"/>
          <w:szCs w:val="16"/>
        </w:rPr>
        <w:t>.</w:t>
      </w:r>
      <w:r w:rsidRPr="00720DA1">
        <w:rPr>
          <w:rFonts w:cs="Times New Roman"/>
          <w:sz w:val="16"/>
          <w:szCs w:val="16"/>
        </w:rPr>
        <w:t xml:space="preserve"> </w:t>
      </w:r>
    </w:p>
  </w:footnote>
  <w:footnote w:id="506">
    <w:p w14:paraId="14996DE0" w14:textId="4F669659" w:rsidR="0091471B" w:rsidRPr="00720DA1" w:rsidRDefault="0091471B"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35" w:history="1">
        <w:r w:rsidR="00B05845" w:rsidRPr="00720DA1">
          <w:rPr>
            <w:rStyle w:val="Hyperlink"/>
            <w:rFonts w:cs="Times New Roman"/>
            <w:sz w:val="16"/>
            <w:szCs w:val="16"/>
          </w:rPr>
          <w:t>Regulation (EU) 2021/1119 establishing the framework for achieving climate neutrality and amending Regulations (EC) No 401/2009 and (EU) 2018/1999 (‘European Climate Law’)</w:t>
        </w:r>
      </w:hyperlink>
      <w:r w:rsidR="00372C5B" w:rsidRPr="00720DA1">
        <w:rPr>
          <w:rFonts w:cs="Times New Roman"/>
          <w:sz w:val="16"/>
          <w:szCs w:val="16"/>
        </w:rPr>
        <w:t>.</w:t>
      </w:r>
    </w:p>
  </w:footnote>
  <w:footnote w:id="507">
    <w:p w14:paraId="0DCD9CEC" w14:textId="37DA9FAE" w:rsidR="00372C5B" w:rsidRPr="00720DA1" w:rsidRDefault="00372C5B"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36" w:history="1">
        <w:r w:rsidR="001779A5" w:rsidRPr="00720DA1">
          <w:rPr>
            <w:rStyle w:val="Hyperlink"/>
            <w:rFonts w:cs="Times New Roman"/>
            <w:sz w:val="16"/>
            <w:szCs w:val="16"/>
          </w:rPr>
          <w:t>Directive 2003/87/EC establishing a system for greenhouse gas emission allowance trading within the European Union</w:t>
        </w:r>
      </w:hyperlink>
      <w:r w:rsidR="001779A5" w:rsidRPr="00720DA1">
        <w:rPr>
          <w:rFonts w:cs="Times New Roman"/>
          <w:sz w:val="16"/>
          <w:szCs w:val="16"/>
        </w:rPr>
        <w:t>.</w:t>
      </w:r>
    </w:p>
  </w:footnote>
  <w:footnote w:id="508">
    <w:p w14:paraId="1F4D273B" w14:textId="58A96934"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37" w:history="1">
        <w:r w:rsidRPr="00720DA1">
          <w:rPr>
            <w:rStyle w:val="Hyperlink"/>
            <w:rFonts w:cs="Times New Roman"/>
            <w:sz w:val="16"/>
            <w:szCs w:val="16"/>
          </w:rPr>
          <w:t>Regulation (EU) 2023/956establishing a carbon border adjustment mechanism</w:t>
        </w:r>
      </w:hyperlink>
      <w:r w:rsidRPr="00720DA1">
        <w:rPr>
          <w:rFonts w:cs="Times New Roman"/>
          <w:sz w:val="16"/>
          <w:szCs w:val="16"/>
        </w:rPr>
        <w:t>.</w:t>
      </w:r>
    </w:p>
  </w:footnote>
  <w:footnote w:id="509">
    <w:p w14:paraId="17BCD88F" w14:textId="74ED7E5E" w:rsidR="00020031" w:rsidRPr="00720DA1" w:rsidRDefault="00020031" w:rsidP="00CE1615">
      <w:pPr>
        <w:pStyle w:val="FootnoteText"/>
        <w:rPr>
          <w:rFonts w:cs="Times New Roman"/>
          <w:sz w:val="16"/>
          <w:szCs w:val="16"/>
          <w:highlight w:val="yellow"/>
        </w:rPr>
      </w:pPr>
      <w:r w:rsidRPr="00720DA1">
        <w:rPr>
          <w:rStyle w:val="FootnoteReference"/>
          <w:rFonts w:cs="Times New Roman"/>
          <w:sz w:val="16"/>
          <w:szCs w:val="16"/>
        </w:rPr>
        <w:footnoteRef/>
      </w:r>
      <w:r w:rsidRPr="00720DA1">
        <w:rPr>
          <w:rFonts w:cs="Times New Roman"/>
          <w:sz w:val="16"/>
          <w:szCs w:val="16"/>
        </w:rPr>
        <w:t xml:space="preserve"> </w:t>
      </w:r>
      <w:r w:rsidR="00B11B30" w:rsidRPr="00720DA1">
        <w:rPr>
          <w:sz w:val="16"/>
          <w:szCs w:val="16"/>
        </w:rPr>
        <w:t>Ibid.</w:t>
      </w:r>
    </w:p>
  </w:footnote>
  <w:footnote w:id="510">
    <w:p w14:paraId="0BAB0CC7" w14:textId="25BC027A" w:rsidR="004A3285" w:rsidRPr="00720DA1" w:rsidRDefault="004A3285"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38" w:history="1">
        <w:r w:rsidR="009D6CF9" w:rsidRPr="00720DA1">
          <w:rPr>
            <w:rStyle w:val="Hyperlink"/>
            <w:rFonts w:cs="Times New Roman"/>
            <w:sz w:val="16"/>
            <w:szCs w:val="16"/>
          </w:rPr>
          <w:t>Directive 2001/42/EC on the assessment of the effects of certain plans and programmes on the environment</w:t>
        </w:r>
      </w:hyperlink>
      <w:r w:rsidR="009D6CF9" w:rsidRPr="00720DA1">
        <w:rPr>
          <w:rFonts w:cs="Times New Roman"/>
          <w:sz w:val="16"/>
          <w:szCs w:val="16"/>
        </w:rPr>
        <w:t>.</w:t>
      </w:r>
    </w:p>
  </w:footnote>
  <w:footnote w:id="511">
    <w:p w14:paraId="2FC6DEB5" w14:textId="3DD3841B" w:rsidR="00B834EA" w:rsidRPr="00720DA1" w:rsidRDefault="00B834EA"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39" w:history="1">
        <w:r w:rsidR="00A93181" w:rsidRPr="00720DA1">
          <w:rPr>
            <w:rStyle w:val="Hyperlink"/>
            <w:rFonts w:cs="Times New Roman"/>
            <w:sz w:val="16"/>
            <w:szCs w:val="16"/>
          </w:rPr>
          <w:t>Directive 2011/92/EU on the assessment of the effects of certain public and private projects on the environment (codification)</w:t>
        </w:r>
      </w:hyperlink>
      <w:r w:rsidR="00A93181" w:rsidRPr="00720DA1">
        <w:rPr>
          <w:rFonts w:cs="Times New Roman"/>
          <w:sz w:val="16"/>
          <w:szCs w:val="16"/>
        </w:rPr>
        <w:t>.</w:t>
      </w:r>
    </w:p>
  </w:footnote>
  <w:footnote w:id="512">
    <w:p w14:paraId="58142D3F" w14:textId="77777777" w:rsidR="001779A5" w:rsidRPr="00720DA1" w:rsidRDefault="001779A5"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40" w:history="1">
        <w:r w:rsidRPr="00720DA1">
          <w:rPr>
            <w:rStyle w:val="Hyperlink"/>
            <w:rFonts w:cs="Times New Roman"/>
            <w:sz w:val="16"/>
            <w:szCs w:val="16"/>
          </w:rPr>
          <w:t>Council Directive 92/43/EEC of 21 May 1992 on the conservation of natural habitats and of wild fauna and flora.</w:t>
        </w:r>
      </w:hyperlink>
    </w:p>
  </w:footnote>
  <w:footnote w:id="513">
    <w:p w14:paraId="1918B5B6" w14:textId="77777777" w:rsidR="001779A5" w:rsidRPr="00720DA1" w:rsidRDefault="001779A5"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41" w:history="1">
        <w:r w:rsidRPr="00720DA1">
          <w:rPr>
            <w:rStyle w:val="Hyperlink"/>
            <w:rFonts w:cs="Times New Roman"/>
            <w:sz w:val="16"/>
            <w:szCs w:val="16"/>
          </w:rPr>
          <w:t>Directive 2009/147/EC of the European Parliament and of the Council of 30 November 2009 on the conservation of wild birds (Codified version).</w:t>
        </w:r>
      </w:hyperlink>
    </w:p>
  </w:footnote>
  <w:footnote w:id="514">
    <w:p w14:paraId="750C2936" w14:textId="4FB2926E" w:rsidR="0091471B" w:rsidRPr="00720DA1" w:rsidRDefault="0091471B"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DA4A13" w:rsidRPr="00720DA1">
        <w:rPr>
          <w:rFonts w:cs="Times New Roman"/>
          <w:sz w:val="16"/>
          <w:szCs w:val="16"/>
        </w:rPr>
        <w:t>Directive 2000/60/EC establishing a framework for Community action in the field of water policy.</w:t>
      </w:r>
    </w:p>
  </w:footnote>
  <w:footnote w:id="515">
    <w:p w14:paraId="169486E7" w14:textId="1E50B51D" w:rsidR="0091471B" w:rsidRPr="00720DA1" w:rsidRDefault="0091471B"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085E0F" w:rsidRPr="00720DA1">
        <w:rPr>
          <w:rFonts w:cs="Times New Roman"/>
          <w:sz w:val="16"/>
          <w:szCs w:val="16"/>
        </w:rPr>
        <w:t>Directive (EU) 2024/1788 on common rules for the internal markets for renewable gas, natural gas and hydrogen, amending Directive (EU) 2023/1791 and repealing Directive 2009/73/EC</w:t>
      </w:r>
      <w:r w:rsidR="00B168C9" w:rsidRPr="00720DA1">
        <w:rPr>
          <w:rFonts w:cs="Times New Roman"/>
          <w:sz w:val="16"/>
          <w:szCs w:val="16"/>
        </w:rPr>
        <w:t xml:space="preserve"> and </w:t>
      </w:r>
      <w:r w:rsidR="00DE005F" w:rsidRPr="00720DA1">
        <w:rPr>
          <w:rFonts w:cs="Times New Roman"/>
          <w:sz w:val="16"/>
          <w:szCs w:val="16"/>
        </w:rPr>
        <w:t>Regulation (EU) 2024/1789 on the internal markets for renewable gas, natural gas and hydrogen, amending Regulations (EU) No 1227/2011, (EU) 2017/1938, (EU) 2019/942 and (EU) 2022/869 and Decision (EU) 2017/684 and repealing Regulation (EC) No 715/2009</w:t>
      </w:r>
    </w:p>
  </w:footnote>
  <w:footnote w:id="516">
    <w:p w14:paraId="4841ED48" w14:textId="2D657890"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8C2FEB" w:rsidRPr="00720DA1">
        <w:rPr>
          <w:sz w:val="16"/>
          <w:szCs w:val="16"/>
        </w:rPr>
        <w:t xml:space="preserve"> </w:t>
      </w:r>
      <w:hyperlink r:id="rId342" w:history="1">
        <w:r w:rsidRPr="00720DA1">
          <w:rPr>
            <w:rStyle w:val="Hyperlink"/>
            <w:rFonts w:cs="Times New Roman"/>
            <w:sz w:val="16"/>
            <w:szCs w:val="16"/>
          </w:rPr>
          <w:t>Directive (EU) 2018/2001 on the promotion of the use of energy from renewable sources.</w:t>
        </w:r>
      </w:hyperlink>
    </w:p>
  </w:footnote>
  <w:footnote w:id="517">
    <w:p w14:paraId="2438B069" w14:textId="3C5B10C1" w:rsidR="00020031" w:rsidRPr="00720DA1" w:rsidRDefault="00020031"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hyperlink r:id="rId343" w:history="1">
        <w:r w:rsidRPr="00720DA1">
          <w:rPr>
            <w:rStyle w:val="Hyperlink"/>
            <w:rFonts w:eastAsiaTheme="minorEastAsia" w:cs="Times New Roman"/>
            <w:sz w:val="16"/>
            <w:szCs w:val="16"/>
          </w:rPr>
          <w:t>Directive (EU) 2023/1791 on energy efficiency and amending Regulation (EU) 2023/955 (recast)</w:t>
        </w:r>
      </w:hyperlink>
      <w:r w:rsidRPr="00720DA1">
        <w:rPr>
          <w:rFonts w:eastAsiaTheme="minorEastAsia" w:cs="Times New Roman"/>
          <w:color w:val="467886" w:themeColor="hyperlink"/>
          <w:sz w:val="16"/>
          <w:szCs w:val="16"/>
          <w:u w:val="single"/>
        </w:rPr>
        <w:t>. </w:t>
      </w:r>
    </w:p>
  </w:footnote>
  <w:footnote w:id="518">
    <w:p w14:paraId="2DD46A09" w14:textId="55A08E24"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44" w:history="1">
        <w:r w:rsidRPr="00720DA1">
          <w:rPr>
            <w:rStyle w:val="Hyperlink"/>
            <w:rFonts w:cs="Times New Roman"/>
            <w:sz w:val="16"/>
            <w:szCs w:val="16"/>
          </w:rPr>
          <w:t>Directive (EU) 2024/1788 on common rules for the internal markets for renewable gas, natural gas and hydrogen, amending Directive (EU) 2023/1791 and repealing Directive 2009/73/EC (recast)</w:t>
        </w:r>
      </w:hyperlink>
      <w:r w:rsidRPr="00720DA1">
        <w:rPr>
          <w:rFonts w:cs="Times New Roman"/>
          <w:sz w:val="16"/>
          <w:szCs w:val="16"/>
        </w:rPr>
        <w:t xml:space="preserve"> and </w:t>
      </w:r>
      <w:hyperlink r:id="rId345" w:history="1">
        <w:r w:rsidRPr="00720DA1">
          <w:rPr>
            <w:rStyle w:val="Hyperlink"/>
            <w:rFonts w:cs="Times New Roman"/>
            <w:sz w:val="16"/>
            <w:szCs w:val="16"/>
          </w:rPr>
          <w:t>Regulation (EU) 2024/1789 on the internal markets for renewable gas, natural gas and hydrogen, amending Regulations (EU) No 1227/2011, (EU) 2017/1938, (EU) 2019/942 and (EU) 2022/869 and Decision (EU) 2017/684 and repealing Regulation (EC) No 715/2009 (recast).</w:t>
        </w:r>
      </w:hyperlink>
    </w:p>
  </w:footnote>
  <w:footnote w:id="519">
    <w:p w14:paraId="6F7464D5" w14:textId="0B79EACD" w:rsidR="00BE382D" w:rsidRPr="00720DA1" w:rsidRDefault="00BE382D"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A50274" w:rsidRPr="00720DA1">
        <w:rPr>
          <w:rFonts w:cs="Times New Roman"/>
          <w:sz w:val="16"/>
          <w:szCs w:val="16"/>
        </w:rPr>
        <w:t>Directive (EU) 2023/2413 amending Directive (EU) 2018/2001, Regulation (EU) 2018/1999 and Directive 98/70/EC as regards the promotion of energy from renewable sources, and repealing Council Directive (EU) 2015/652</w:t>
      </w:r>
    </w:p>
  </w:footnote>
  <w:footnote w:id="520">
    <w:p w14:paraId="1D818249" w14:textId="5F316747" w:rsidR="00E06236" w:rsidRPr="00720DA1" w:rsidRDefault="00E06236"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874720" w:rsidRPr="00720DA1">
        <w:rPr>
          <w:rFonts w:cs="Times New Roman"/>
          <w:sz w:val="16"/>
          <w:szCs w:val="16"/>
        </w:rPr>
        <w:t xml:space="preserve">Directive (EU) 2024/1711 amending Directives (EU) 2018/2001 and (EU) 2019/944 as regards improving the Union’s electricity market design </w:t>
      </w:r>
      <w:r w:rsidR="007B7E69" w:rsidRPr="00720DA1">
        <w:rPr>
          <w:rFonts w:cs="Times New Roman"/>
          <w:sz w:val="16"/>
          <w:szCs w:val="16"/>
        </w:rPr>
        <w:t>a</w:t>
      </w:r>
      <w:r w:rsidR="00874720" w:rsidRPr="00720DA1">
        <w:rPr>
          <w:rFonts w:cs="Times New Roman"/>
          <w:sz w:val="16"/>
          <w:szCs w:val="16"/>
        </w:rPr>
        <w:t>nd</w:t>
      </w:r>
      <w:r w:rsidR="00DA2345" w:rsidRPr="00720DA1">
        <w:rPr>
          <w:rFonts w:cs="Times New Roman"/>
          <w:sz w:val="16"/>
          <w:szCs w:val="16"/>
        </w:rPr>
        <w:t xml:space="preserve"> Regulation (EU) 2024/1747 amending Regulations (EU) 2019/942 and (EU) 2019/943 as regards improving the Union’s electricity market design</w:t>
      </w:r>
    </w:p>
  </w:footnote>
  <w:footnote w:id="521">
    <w:p w14:paraId="48F4B675"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46" w:history="1">
        <w:r w:rsidRPr="00720DA1">
          <w:rPr>
            <w:rStyle w:val="Hyperlink"/>
            <w:rFonts w:cs="Times New Roman"/>
            <w:sz w:val="16"/>
            <w:szCs w:val="16"/>
          </w:rPr>
          <w:t>An Action Plan for Affordable Energy, COM(2025) 79 final, 26.2.2025</w:t>
        </w:r>
      </w:hyperlink>
    </w:p>
  </w:footnote>
  <w:footnote w:id="522">
    <w:p w14:paraId="6F088283" w14:textId="4E911C53" w:rsidR="00020031" w:rsidRPr="008E3F69" w:rsidRDefault="00020031" w:rsidP="00EA0CFA">
      <w:pPr>
        <w:pStyle w:val="FootnoteText"/>
      </w:pPr>
      <w:r w:rsidRPr="00720DA1">
        <w:rPr>
          <w:rStyle w:val="FootnoteReference"/>
          <w:rFonts w:cs="Times New Roman"/>
          <w:sz w:val="16"/>
          <w:szCs w:val="16"/>
        </w:rPr>
        <w:footnoteRef/>
      </w:r>
      <w:r w:rsidRPr="00720DA1">
        <w:rPr>
          <w:rFonts w:cs="Times New Roman"/>
          <w:sz w:val="16"/>
          <w:szCs w:val="16"/>
        </w:rPr>
        <w:t xml:space="preserve"> </w:t>
      </w:r>
      <w:r w:rsidR="00D54D21">
        <w:rPr>
          <w:rFonts w:cs="Times New Roman"/>
          <w:sz w:val="16"/>
          <w:szCs w:val="16"/>
        </w:rPr>
        <w:t>European Commission</w:t>
      </w:r>
      <w:r w:rsidR="00EA0CFA">
        <w:rPr>
          <w:rFonts w:cs="Times New Roman"/>
          <w:sz w:val="16"/>
          <w:szCs w:val="16"/>
        </w:rPr>
        <w:t xml:space="preserve"> (2024).</w:t>
      </w:r>
      <w:r w:rsidR="008E3F69">
        <w:rPr>
          <w:rFonts w:cs="Times New Roman"/>
          <w:sz w:val="16"/>
          <w:szCs w:val="16"/>
        </w:rPr>
        <w:t xml:space="preserve"> </w:t>
      </w:r>
      <w:hyperlink r:id="rId347" w:history="1">
        <w:r w:rsidR="00EA0CFA" w:rsidRPr="008E3F69">
          <w:rPr>
            <w:rStyle w:val="Hyperlink"/>
            <w:rFonts w:cs="Times New Roman"/>
            <w:sz w:val="16"/>
            <w:szCs w:val="16"/>
          </w:rPr>
          <w:t>Regulation (EU) 2024/1781 establishing a framework for the setting of ecodesign requirements for sustainable products, amending Directive (EU) 2020/1828 and Regulation (EU) 2023/1542 and repealing Directive 2009/125/EC</w:t>
        </w:r>
      </w:hyperlink>
      <w:r w:rsidR="008E3F69">
        <w:rPr>
          <w:rFonts w:cs="Times New Roman"/>
          <w:sz w:val="16"/>
          <w:szCs w:val="16"/>
        </w:rPr>
        <w:t>.</w:t>
      </w:r>
    </w:p>
  </w:footnote>
  <w:footnote w:id="523">
    <w:p w14:paraId="3483DDE4" w14:textId="2111C043" w:rsidR="00020031" w:rsidRPr="00720DA1" w:rsidRDefault="00020031"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741166">
        <w:rPr>
          <w:rFonts w:cs="Times New Roman"/>
          <w:sz w:val="16"/>
          <w:szCs w:val="16"/>
        </w:rPr>
        <w:t xml:space="preserve">European Commission (2025). </w:t>
      </w:r>
      <w:hyperlink r:id="rId348" w:history="1">
        <w:r w:rsidR="00CE0C8F" w:rsidRPr="003A276B">
          <w:rPr>
            <w:rStyle w:val="Hyperlink"/>
            <w:rFonts w:cs="Times New Roman"/>
            <w:sz w:val="16"/>
            <w:szCs w:val="16"/>
          </w:rPr>
          <w:t>Communication from the Commission: Ecodesign for Sustainable Products and Energy Labelling Working Plan 2025</w:t>
        </w:r>
        <w:r w:rsidR="003A276B">
          <w:rPr>
            <w:rStyle w:val="Hyperlink"/>
            <w:rFonts w:cs="Times New Roman"/>
            <w:sz w:val="16"/>
            <w:szCs w:val="16"/>
          </w:rPr>
          <w:t>-</w:t>
        </w:r>
        <w:r w:rsidR="00CE0C8F" w:rsidRPr="003A276B">
          <w:rPr>
            <w:rStyle w:val="Hyperlink"/>
            <w:rFonts w:cs="Times New Roman"/>
            <w:sz w:val="16"/>
            <w:szCs w:val="16"/>
          </w:rPr>
          <w:t>2030</w:t>
        </w:r>
      </w:hyperlink>
      <w:r w:rsidR="00D7430F">
        <w:rPr>
          <w:rFonts w:cs="Times New Roman"/>
          <w:sz w:val="16"/>
          <w:szCs w:val="16"/>
        </w:rPr>
        <w:t xml:space="preserve">. </w:t>
      </w:r>
      <w:r w:rsidR="00D7430F" w:rsidRPr="00D7430F">
        <w:rPr>
          <w:rFonts w:cs="Times New Roman"/>
          <w:sz w:val="16"/>
          <w:szCs w:val="16"/>
        </w:rPr>
        <w:t>COM(2025) 187 final</w:t>
      </w:r>
      <w:r w:rsidRPr="00720DA1">
        <w:rPr>
          <w:rFonts w:cs="Times New Roman"/>
          <w:sz w:val="16"/>
          <w:szCs w:val="16"/>
        </w:rPr>
        <w:t xml:space="preserve">. </w:t>
      </w:r>
    </w:p>
  </w:footnote>
  <w:footnote w:id="524">
    <w:p w14:paraId="41E448DF" w14:textId="2DCB574D"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49" w:history="1">
        <w:r w:rsidR="00F902BC" w:rsidRPr="00720DA1">
          <w:rPr>
            <w:rStyle w:val="Hyperlink"/>
            <w:rFonts w:cs="Times New Roman"/>
            <w:sz w:val="16"/>
            <w:szCs w:val="16"/>
          </w:rPr>
          <w:t>Regulation (EU) No 305/2011 laying down harmonised conditions for the marketing of construction products and repealing Council Directive 89/106/EEC</w:t>
        </w:r>
      </w:hyperlink>
      <w:r w:rsidR="00F902BC" w:rsidRPr="00720DA1">
        <w:rPr>
          <w:rFonts w:cs="Times New Roman"/>
          <w:sz w:val="16"/>
          <w:szCs w:val="16"/>
        </w:rPr>
        <w:t>.</w:t>
      </w:r>
    </w:p>
  </w:footnote>
  <w:footnote w:id="525">
    <w:p w14:paraId="56BF6775" w14:textId="4DE5B50A" w:rsidR="00E06236" w:rsidRPr="00720DA1" w:rsidRDefault="00E06236"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50" w:history="1">
        <w:r w:rsidR="000441B4" w:rsidRPr="00720DA1">
          <w:rPr>
            <w:rStyle w:val="Hyperlink"/>
            <w:rFonts w:cs="Times New Roman"/>
            <w:sz w:val="16"/>
            <w:szCs w:val="16"/>
          </w:rPr>
          <w:t>Directive (EU) 2024/1275 on the energy performance of buildings (recast)</w:t>
        </w:r>
      </w:hyperlink>
      <w:r w:rsidR="000441B4" w:rsidRPr="00720DA1">
        <w:rPr>
          <w:rFonts w:cs="Times New Roman"/>
          <w:sz w:val="16"/>
          <w:szCs w:val="16"/>
        </w:rPr>
        <w:t>.</w:t>
      </w:r>
    </w:p>
  </w:footnote>
  <w:footnote w:id="526">
    <w:p w14:paraId="57674E22" w14:textId="6CE0F73E"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51" w:history="1">
        <w:r w:rsidRPr="00720DA1">
          <w:rPr>
            <w:rStyle w:val="Hyperlink"/>
            <w:rFonts w:cs="Times New Roman"/>
            <w:sz w:val="16"/>
            <w:szCs w:val="16"/>
          </w:rPr>
          <w:t>Regulation (EU) 2023/1542 concerning batteries and waste batteries, amending Directive 2008/98/EC and Regulation (EU) 2019/1020 and repealing Directive 2006/66/EC</w:t>
        </w:r>
      </w:hyperlink>
      <w:r w:rsidRPr="00720DA1">
        <w:rPr>
          <w:rStyle w:val="Hyperlink"/>
          <w:rFonts w:cs="Times New Roman"/>
          <w:sz w:val="16"/>
          <w:szCs w:val="16"/>
        </w:rPr>
        <w:t>.</w:t>
      </w:r>
    </w:p>
  </w:footnote>
  <w:footnote w:id="527">
    <w:p w14:paraId="286D861E" w14:textId="0C6E0578" w:rsidR="00962389" w:rsidRPr="00720DA1" w:rsidRDefault="00962389"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1E08F3" w:rsidRPr="00720DA1">
        <w:rPr>
          <w:rFonts w:eastAsia="Times" w:cs="Times New Roman"/>
          <w:sz w:val="16"/>
          <w:szCs w:val="16"/>
        </w:rPr>
        <w:t>Regulation (EU) 2024/1252 establishing a framework for ensuring a secure and sustainable supply of critical raw materials and amending Regulations (EU) No 168/2013, (EU) 2018/858, (EU) 2018/1724 and (EU) 2019/1020</w:t>
      </w:r>
      <w:r w:rsidR="003234C9" w:rsidRPr="00720DA1">
        <w:rPr>
          <w:rFonts w:eastAsia="Times" w:cs="Times New Roman"/>
          <w:sz w:val="16"/>
          <w:szCs w:val="16"/>
        </w:rPr>
        <w:t>.</w:t>
      </w:r>
    </w:p>
  </w:footnote>
  <w:footnote w:id="528">
    <w:p w14:paraId="6573B92E" w14:textId="26EE9F5D" w:rsidR="00962389" w:rsidRPr="00720DA1" w:rsidRDefault="00962389"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52" w:history="1">
        <w:r w:rsidR="003234C9" w:rsidRPr="00720DA1">
          <w:rPr>
            <w:rStyle w:val="Hyperlink"/>
            <w:rFonts w:cs="Times New Roman"/>
            <w:sz w:val="16"/>
            <w:szCs w:val="16"/>
          </w:rPr>
          <w:t>Regulation (EU) 2023/1804 on the deployment of alternative fuels infrastructure</w:t>
        </w:r>
      </w:hyperlink>
      <w:r w:rsidR="003234C9" w:rsidRPr="00720DA1">
        <w:rPr>
          <w:rFonts w:cs="Times New Roman"/>
          <w:sz w:val="16"/>
          <w:szCs w:val="16"/>
        </w:rPr>
        <w:t>.</w:t>
      </w:r>
    </w:p>
  </w:footnote>
  <w:footnote w:id="529">
    <w:p w14:paraId="70518274" w14:textId="681E0616" w:rsidR="003234C9" w:rsidRPr="00720DA1" w:rsidRDefault="003234C9"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53" w:history="1">
        <w:r w:rsidR="00A12820" w:rsidRPr="00720DA1">
          <w:rPr>
            <w:rStyle w:val="Hyperlink"/>
            <w:rFonts w:cs="Times New Roman"/>
            <w:sz w:val="16"/>
            <w:szCs w:val="16"/>
          </w:rPr>
          <w:t>Regulation (EU) 2023/2405 on ensuring a level playing field for sustainable air transport (refuelEU aviation)</w:t>
        </w:r>
      </w:hyperlink>
      <w:r w:rsidR="00A12820" w:rsidRPr="00720DA1">
        <w:rPr>
          <w:rFonts w:cs="Times New Roman"/>
          <w:sz w:val="16"/>
          <w:szCs w:val="16"/>
        </w:rPr>
        <w:t>.</w:t>
      </w:r>
    </w:p>
  </w:footnote>
  <w:footnote w:id="530">
    <w:p w14:paraId="3B82CD4A" w14:textId="712A065F" w:rsidR="00891A1C" w:rsidRPr="00720DA1" w:rsidRDefault="00891A1C"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54" w:history="1">
        <w:r w:rsidR="00CB09DB" w:rsidRPr="00720DA1">
          <w:rPr>
            <w:rStyle w:val="Hyperlink"/>
            <w:rFonts w:cs="Times New Roman"/>
            <w:sz w:val="16"/>
            <w:szCs w:val="16"/>
          </w:rPr>
          <w:t>Regulation (EU) 2023/1805 on the use of renewable and low-carbon fuels in maritime transport, and amending Directive 2009/16/EC</w:t>
        </w:r>
      </w:hyperlink>
      <w:r w:rsidR="00CB09DB" w:rsidRPr="00720DA1">
        <w:rPr>
          <w:rFonts w:cs="Times New Roman"/>
          <w:sz w:val="16"/>
          <w:szCs w:val="16"/>
        </w:rPr>
        <w:t>.</w:t>
      </w:r>
    </w:p>
  </w:footnote>
  <w:footnote w:id="531">
    <w:p w14:paraId="592CF26F" w14:textId="32DF2FB8" w:rsidR="00D73EC4" w:rsidRPr="00720DA1" w:rsidRDefault="00D73EC4" w:rsidP="00CE1615">
      <w:pPr>
        <w:rPr>
          <w:sz w:val="16"/>
          <w:szCs w:val="16"/>
        </w:rPr>
      </w:pPr>
      <w:r w:rsidRPr="00720DA1">
        <w:rPr>
          <w:rStyle w:val="FootnoteReference"/>
          <w:rFonts w:cs="Times New Roman"/>
          <w:sz w:val="16"/>
          <w:szCs w:val="16"/>
        </w:rPr>
        <w:footnoteRef/>
      </w:r>
      <w:r w:rsidRPr="00720DA1">
        <w:rPr>
          <w:rStyle w:val="FootnoteReference"/>
          <w:rFonts w:cs="Times New Roman"/>
          <w:sz w:val="16"/>
          <w:szCs w:val="16"/>
        </w:rPr>
        <w:t xml:space="preserve"> </w:t>
      </w:r>
      <w:hyperlink r:id="rId355" w:history="1">
        <w:r w:rsidR="00323881" w:rsidRPr="00720DA1">
          <w:rPr>
            <w:rStyle w:val="Hyperlink"/>
            <w:sz w:val="16"/>
            <w:szCs w:val="16"/>
          </w:rPr>
          <w:t>Council Regulation (EU, Euratom) 2020/2093 laying down the multiannual financial framework for the years 2021 to 2027</w:t>
        </w:r>
      </w:hyperlink>
    </w:p>
  </w:footnote>
  <w:footnote w:id="532">
    <w:p w14:paraId="4F6E73A4" w14:textId="37D0E164" w:rsidR="00476FB0" w:rsidRPr="00720DA1" w:rsidRDefault="00476FB0" w:rsidP="00CE1615">
      <w:pPr>
        <w:rPr>
          <w:rStyle w:val="Hyperlink"/>
          <w:sz w:val="16"/>
          <w:szCs w:val="16"/>
        </w:rPr>
      </w:pPr>
      <w:r w:rsidRPr="00720DA1">
        <w:rPr>
          <w:rStyle w:val="FootnoteReference"/>
          <w:rFonts w:cs="Times New Roman"/>
          <w:sz w:val="16"/>
          <w:szCs w:val="16"/>
        </w:rPr>
        <w:footnoteRef/>
      </w:r>
      <w:r w:rsidRPr="00720DA1">
        <w:rPr>
          <w:rStyle w:val="FootnoteReference"/>
          <w:rFonts w:cs="Times New Roman"/>
          <w:sz w:val="16"/>
          <w:szCs w:val="16"/>
        </w:rPr>
        <w:t xml:space="preserve"> </w:t>
      </w:r>
      <w:hyperlink r:id="rId356" w:history="1">
        <w:r w:rsidRPr="00720DA1">
          <w:rPr>
            <w:rStyle w:val="Hyperlink"/>
            <w:sz w:val="16"/>
            <w:szCs w:val="16"/>
          </w:rPr>
          <w:t>Regulation (EU) 2024/795 establishing the Strategic Technologies for Europe Platform (STEP)</w:t>
        </w:r>
      </w:hyperlink>
    </w:p>
  </w:footnote>
  <w:footnote w:id="533">
    <w:p w14:paraId="4F03D725" w14:textId="792DDDA2" w:rsidR="00962389" w:rsidRPr="00720DA1" w:rsidRDefault="00962389"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57" w:history="1">
        <w:r w:rsidR="00062FCF" w:rsidRPr="00720DA1">
          <w:rPr>
            <w:rStyle w:val="Hyperlink"/>
            <w:rFonts w:cs="Times New Roman"/>
            <w:sz w:val="16"/>
            <w:szCs w:val="16"/>
          </w:rPr>
          <w:t>Regulation (EU) 2019/452 establishing a framework for the screening of foreign direct investments into the Union</w:t>
        </w:r>
      </w:hyperlink>
      <w:r w:rsidR="00777B8F" w:rsidRPr="00720DA1">
        <w:rPr>
          <w:rFonts w:cs="Times New Roman"/>
          <w:sz w:val="16"/>
          <w:szCs w:val="16"/>
        </w:rPr>
        <w:t>.</w:t>
      </w:r>
    </w:p>
  </w:footnote>
  <w:footnote w:id="534">
    <w:p w14:paraId="793CE32E" w14:textId="00538E2C" w:rsidR="00F23A96" w:rsidRPr="00720DA1" w:rsidRDefault="00F23A96" w:rsidP="00CE1615">
      <w:pPr>
        <w:rPr>
          <w:color w:val="467886" w:themeColor="hyperlink"/>
          <w:sz w:val="16"/>
          <w:szCs w:val="16"/>
          <w:u w:val="single"/>
        </w:rPr>
      </w:pPr>
      <w:r w:rsidRPr="00720DA1">
        <w:rPr>
          <w:rStyle w:val="FootnoteReference"/>
          <w:sz w:val="16"/>
          <w:szCs w:val="16"/>
        </w:rPr>
        <w:footnoteRef/>
      </w:r>
      <w:r w:rsidRPr="00720DA1">
        <w:rPr>
          <w:sz w:val="16"/>
          <w:szCs w:val="16"/>
        </w:rPr>
        <w:t xml:space="preserve"> </w:t>
      </w:r>
      <w:hyperlink r:id="rId358" w:history="1">
        <w:r w:rsidRPr="00720DA1">
          <w:rPr>
            <w:rStyle w:val="Hyperlink"/>
            <w:sz w:val="16"/>
            <w:szCs w:val="16"/>
          </w:rPr>
          <w:t xml:space="preserve">Proposal for a Council Regulation </w:t>
        </w:r>
        <w:r w:rsidR="00E7485F" w:rsidRPr="00720DA1">
          <w:rPr>
            <w:rStyle w:val="Hyperlink"/>
            <w:sz w:val="16"/>
            <w:szCs w:val="16"/>
          </w:rPr>
          <w:t xml:space="preserve">COM/2025/571 final, </w:t>
        </w:r>
        <w:r w:rsidRPr="00720DA1">
          <w:rPr>
            <w:rStyle w:val="Hyperlink"/>
            <w:sz w:val="16"/>
            <w:szCs w:val="16"/>
          </w:rPr>
          <w:t>laying down the multiannual financial framework for the years 2028 to 2034</w:t>
        </w:r>
      </w:hyperlink>
    </w:p>
    <w:p w14:paraId="2FCF0662" w14:textId="2FE45BB1" w:rsidR="00F23A96" w:rsidRPr="00720DA1" w:rsidRDefault="00F23A96" w:rsidP="00CE1615">
      <w:pPr>
        <w:pStyle w:val="FootnoteText"/>
        <w:rPr>
          <w:sz w:val="16"/>
          <w:szCs w:val="16"/>
        </w:rPr>
      </w:pPr>
    </w:p>
  </w:footnote>
  <w:footnote w:id="535">
    <w:p w14:paraId="2A9BCB0E" w14:textId="2471058C" w:rsidR="00FE0A54" w:rsidRPr="00720DA1" w:rsidRDefault="00FE0A54" w:rsidP="00CE1615">
      <w:pPr>
        <w:pStyle w:val="FootnoteText"/>
        <w:rPr>
          <w:sz w:val="16"/>
          <w:szCs w:val="16"/>
        </w:rPr>
      </w:pPr>
      <w:r w:rsidRPr="00720DA1">
        <w:rPr>
          <w:rStyle w:val="FootnoteReference"/>
          <w:sz w:val="16"/>
          <w:szCs w:val="16"/>
        </w:rPr>
        <w:footnoteRef/>
      </w:r>
      <w:r w:rsidRPr="00720DA1">
        <w:rPr>
          <w:sz w:val="16"/>
          <w:szCs w:val="16"/>
        </w:rPr>
        <w:t xml:space="preserve"> </w:t>
      </w:r>
      <w:r w:rsidR="003C1878" w:rsidRPr="00720DA1">
        <w:rPr>
          <w:rFonts w:cs="Times New Roman"/>
          <w:sz w:val="16"/>
          <w:szCs w:val="16"/>
        </w:rPr>
        <w:t xml:space="preserve">European Commission (2025). </w:t>
      </w:r>
      <w:hyperlink r:id="rId359" w:history="1">
        <w:r w:rsidR="003C1878" w:rsidRPr="00720DA1">
          <w:rPr>
            <w:rStyle w:val="Hyperlink"/>
            <w:rFonts w:cs="Times New Roman"/>
            <w:sz w:val="16"/>
            <w:szCs w:val="16"/>
          </w:rPr>
          <w:t>A European Steel and Metals Action Plan</w:t>
        </w:r>
      </w:hyperlink>
      <w:r w:rsidR="0057770E">
        <w:rPr>
          <w:sz w:val="16"/>
          <w:szCs w:val="16"/>
        </w:rPr>
        <w:t>.</w:t>
      </w:r>
      <w:r w:rsidR="003C1878" w:rsidRPr="00720DA1">
        <w:rPr>
          <w:rFonts w:cs="Times New Roman"/>
          <w:sz w:val="16"/>
          <w:szCs w:val="16"/>
        </w:rPr>
        <w:t xml:space="preserve"> COM(2025) 125 final, 19 March 2025.</w:t>
      </w:r>
    </w:p>
  </w:footnote>
  <w:footnote w:id="536">
    <w:p w14:paraId="44A45C37" w14:textId="31FE8A2D" w:rsidR="005C701D" w:rsidRPr="00720DA1" w:rsidRDefault="005C701D" w:rsidP="00CE1615">
      <w:pPr>
        <w:pStyle w:val="FootnoteText"/>
        <w:rPr>
          <w:sz w:val="16"/>
          <w:szCs w:val="16"/>
        </w:rPr>
      </w:pPr>
      <w:r w:rsidRPr="00720DA1">
        <w:rPr>
          <w:rStyle w:val="FootnoteReference"/>
          <w:sz w:val="16"/>
          <w:szCs w:val="16"/>
        </w:rPr>
        <w:footnoteRef/>
      </w:r>
      <w:r w:rsidR="00B97D55" w:rsidRPr="00720DA1">
        <w:rPr>
          <w:sz w:val="16"/>
          <w:szCs w:val="16"/>
        </w:rPr>
        <w:t xml:space="preserve"> </w:t>
      </w:r>
      <w:r w:rsidR="00861EA3" w:rsidRPr="00720DA1">
        <w:rPr>
          <w:rFonts w:cs="Times New Roman"/>
          <w:sz w:val="16"/>
          <w:szCs w:val="16"/>
        </w:rPr>
        <w:t xml:space="preserve">European Commission (2025). </w:t>
      </w:r>
      <w:hyperlink r:id="rId360" w:history="1">
        <w:r w:rsidR="00861EA3" w:rsidRPr="00F656D3">
          <w:rPr>
            <w:rStyle w:val="Hyperlink"/>
            <w:sz w:val="16"/>
            <w:szCs w:val="16"/>
          </w:rPr>
          <w:t>Proposal for a Regulation of the European Parliament and of the Council addressing the negative trade-related effects of global overcapacity on the Union steel market</w:t>
        </w:r>
      </w:hyperlink>
      <w:r w:rsidR="00861EA3">
        <w:rPr>
          <w:sz w:val="16"/>
          <w:szCs w:val="16"/>
        </w:rPr>
        <w:t xml:space="preserve">. </w:t>
      </w:r>
      <w:r w:rsidR="00861EA3" w:rsidRPr="00F656D3">
        <w:rPr>
          <w:sz w:val="16"/>
          <w:szCs w:val="16"/>
        </w:rPr>
        <w:t>COM(2025) 726 final</w:t>
      </w:r>
      <w:r w:rsidR="00861EA3" w:rsidRPr="00720DA1">
        <w:rPr>
          <w:sz w:val="16"/>
          <w:szCs w:val="16"/>
        </w:rPr>
        <w:t>.</w:t>
      </w:r>
    </w:p>
  </w:footnote>
  <w:footnote w:id="537">
    <w:p w14:paraId="010651CB" w14:textId="77777777" w:rsidR="008B569F" w:rsidRPr="00720DA1" w:rsidRDefault="008B569F"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61" w:history="1">
        <w:r w:rsidRPr="00720DA1">
          <w:rPr>
            <w:rStyle w:val="Hyperlink"/>
            <w:rFonts w:cs="Times New Roman"/>
            <w:sz w:val="16"/>
            <w:szCs w:val="16"/>
          </w:rPr>
          <w:t>Communication from the Commission to the European Parliament, the Council, the European Economic and Social Committee and the Committee of the Regions, Decarbonise Corporate Fleets</w:t>
        </w:r>
      </w:hyperlink>
      <w:r w:rsidRPr="00720DA1">
        <w:rPr>
          <w:rFonts w:cs="Times New Roman"/>
          <w:sz w:val="16"/>
          <w:szCs w:val="16"/>
        </w:rPr>
        <w:t>, COM(2025) 96 final, 5 March 2025.</w:t>
      </w:r>
    </w:p>
  </w:footnote>
  <w:footnote w:id="538">
    <w:p w14:paraId="0D17FBB9" w14:textId="77777777" w:rsidR="008B569F" w:rsidRPr="00720DA1" w:rsidRDefault="008B569F"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62" w:history="1">
        <w:r w:rsidRPr="00720DA1">
          <w:rPr>
            <w:rStyle w:val="Hyperlink"/>
            <w:rFonts w:cs="Times New Roman"/>
            <w:sz w:val="16"/>
            <w:szCs w:val="16"/>
          </w:rPr>
          <w:t>Regulation (EU) 2019/631 setting CO</w:t>
        </w:r>
        <w:r w:rsidRPr="00720DA1">
          <w:rPr>
            <w:rStyle w:val="Hyperlink"/>
            <w:rFonts w:cs="Times New Roman"/>
            <w:sz w:val="16"/>
            <w:szCs w:val="16"/>
            <w:vertAlign w:val="subscript"/>
          </w:rPr>
          <w:t>2</w:t>
        </w:r>
        <w:r w:rsidRPr="00720DA1">
          <w:rPr>
            <w:rStyle w:val="Hyperlink"/>
            <w:rFonts w:cs="Times New Roman"/>
            <w:sz w:val="16"/>
            <w:szCs w:val="16"/>
          </w:rPr>
          <w:t xml:space="preserve"> emission performance standards for new passenger cars and for new light commercial vehicles, and repealing Regulations (EC) No 443/2009 and (EU) No 510/2011 (recast)</w:t>
        </w:r>
      </w:hyperlink>
      <w:r w:rsidRPr="00720DA1">
        <w:rPr>
          <w:rFonts w:cs="Times New Roman"/>
          <w:sz w:val="16"/>
          <w:szCs w:val="16"/>
        </w:rPr>
        <w:t>.</w:t>
      </w:r>
    </w:p>
  </w:footnote>
  <w:footnote w:id="539">
    <w:p w14:paraId="1A83C7E0" w14:textId="02B43EED" w:rsidR="008B569F" w:rsidRPr="00720DA1" w:rsidRDefault="008B569F"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B34F30">
        <w:rPr>
          <w:rFonts w:cs="Times New Roman"/>
          <w:sz w:val="16"/>
          <w:szCs w:val="16"/>
        </w:rPr>
        <w:t xml:space="preserve">European Commission (2025). </w:t>
      </w:r>
      <w:hyperlink r:id="rId363" w:history="1">
        <w:r w:rsidRPr="00720DA1">
          <w:rPr>
            <w:rStyle w:val="Hyperlink"/>
            <w:rFonts w:cs="Times New Roman"/>
            <w:sz w:val="16"/>
            <w:szCs w:val="16"/>
          </w:rPr>
          <w:t>Communication from the Commission to the European Parliament, the Council, the European Economic and Social Committee and the Committee of the Regions</w:t>
        </w:r>
        <w:r w:rsidR="00B34F30">
          <w:rPr>
            <w:rStyle w:val="Hyperlink"/>
            <w:rFonts w:cs="Times New Roman"/>
            <w:sz w:val="16"/>
            <w:szCs w:val="16"/>
          </w:rPr>
          <w:t xml:space="preserve"> -</w:t>
        </w:r>
        <w:r w:rsidRPr="00720DA1">
          <w:rPr>
            <w:rStyle w:val="Hyperlink"/>
            <w:rFonts w:cs="Times New Roman"/>
            <w:sz w:val="16"/>
            <w:szCs w:val="16"/>
          </w:rPr>
          <w:t xml:space="preserve"> A European Chemicals Industry Action Plan</w:t>
        </w:r>
      </w:hyperlink>
      <w:r w:rsidR="00B34F30">
        <w:rPr>
          <w:rFonts w:cs="Times New Roman"/>
          <w:sz w:val="16"/>
          <w:szCs w:val="16"/>
        </w:rPr>
        <w:t>.</w:t>
      </w:r>
      <w:r w:rsidRPr="00720DA1">
        <w:rPr>
          <w:rFonts w:cs="Times New Roman"/>
          <w:sz w:val="16"/>
          <w:szCs w:val="16"/>
        </w:rPr>
        <w:t xml:space="preserve"> COM/2025/530 final, 8 July 2025.</w:t>
      </w:r>
    </w:p>
  </w:footnote>
  <w:footnote w:id="540">
    <w:p w14:paraId="4E805C5C" w14:textId="12EA27D4" w:rsidR="004D166D" w:rsidRPr="00720DA1" w:rsidRDefault="004D166D"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255445">
        <w:rPr>
          <w:rFonts w:cs="Times New Roman"/>
          <w:sz w:val="16"/>
          <w:szCs w:val="16"/>
        </w:rPr>
        <w:t xml:space="preserve">European Commission (2025). </w:t>
      </w:r>
      <w:hyperlink r:id="rId364" w:history="1">
        <w:r w:rsidRPr="00720DA1">
          <w:rPr>
            <w:rStyle w:val="Hyperlink"/>
            <w:rFonts w:cs="Times New Roman"/>
            <w:sz w:val="16"/>
            <w:szCs w:val="16"/>
          </w:rPr>
          <w:t>Communication from the Commission to the European Parliament, the Council, the European Economic and Social Committee and the Committee of the Regions</w:t>
        </w:r>
        <w:r w:rsidR="00255445">
          <w:rPr>
            <w:rStyle w:val="Hyperlink"/>
            <w:rFonts w:cs="Times New Roman"/>
            <w:sz w:val="16"/>
            <w:szCs w:val="16"/>
          </w:rPr>
          <w:t xml:space="preserve"> -</w:t>
        </w:r>
        <w:r w:rsidRPr="00720DA1">
          <w:rPr>
            <w:rStyle w:val="Hyperlink"/>
            <w:rFonts w:cs="Times New Roman"/>
            <w:sz w:val="16"/>
            <w:szCs w:val="16"/>
          </w:rPr>
          <w:t xml:space="preserve"> Industrial Action Plan for the European automotive sector</w:t>
        </w:r>
      </w:hyperlink>
      <w:r w:rsidRPr="00720DA1">
        <w:rPr>
          <w:rFonts w:cs="Times New Roman"/>
          <w:sz w:val="16"/>
          <w:szCs w:val="16"/>
        </w:rPr>
        <w:t>, COM(2025) 95 final, 5 March 2025.</w:t>
      </w:r>
    </w:p>
  </w:footnote>
  <w:footnote w:id="541">
    <w:p w14:paraId="31E8F86F" w14:textId="77777777" w:rsidR="007073B8" w:rsidRPr="00C42AEE" w:rsidRDefault="007073B8">
      <w:pPr>
        <w:rPr>
          <w:sz w:val="16"/>
          <w:szCs w:val="16"/>
        </w:rPr>
      </w:pPr>
    </w:p>
  </w:footnote>
  <w:footnote w:id="542">
    <w:p w14:paraId="58EEBA14" w14:textId="584F4C39" w:rsidR="006C6864" w:rsidRPr="00402D89" w:rsidRDefault="006C6864" w:rsidP="00402D89">
      <w:pPr>
        <w:pStyle w:val="FootnoteText"/>
        <w:rPr>
          <w:sz w:val="16"/>
          <w:szCs w:val="16"/>
        </w:rPr>
      </w:pPr>
      <w:r w:rsidRPr="00720DA1">
        <w:rPr>
          <w:rStyle w:val="FootnoteReference"/>
          <w:rFonts w:cs="Times New Roman"/>
          <w:sz w:val="16"/>
          <w:szCs w:val="16"/>
        </w:rPr>
        <w:footnoteRef/>
      </w:r>
      <w:r w:rsidR="00E76944">
        <w:rPr>
          <w:sz w:val="16"/>
          <w:szCs w:val="16"/>
        </w:rPr>
        <w:t xml:space="preserve"> </w:t>
      </w:r>
      <w:r w:rsidR="00402D89" w:rsidRPr="00402D89">
        <w:rPr>
          <w:sz w:val="16"/>
          <w:szCs w:val="16"/>
        </w:rPr>
        <w:t>Official Journal of the European Union (2024</w:t>
      </w:r>
      <w:r w:rsidR="003812A5">
        <w:rPr>
          <w:sz w:val="16"/>
          <w:szCs w:val="16"/>
        </w:rPr>
        <w:t xml:space="preserve">). </w:t>
      </w:r>
      <w:hyperlink r:id="rId365" w:history="1">
        <w:r w:rsidR="003812A5">
          <w:rPr>
            <w:rStyle w:val="Hyperlink"/>
            <w:sz w:val="16"/>
            <w:szCs w:val="16"/>
          </w:rPr>
          <w:t>Regulation (EU) 2024/1781 establishing a framework for the setting of ecodesign requirements for sustainable products, amending Directive (EU) 2020/1828 and Regulation (EU) 2023/1542 and repealing Directive 2009/125/EC</w:t>
        </w:r>
      </w:hyperlink>
      <w:r w:rsidR="00402D89">
        <w:rPr>
          <w:sz w:val="16"/>
          <w:szCs w:val="16"/>
        </w:rPr>
        <w:t>.</w:t>
      </w:r>
    </w:p>
  </w:footnote>
  <w:footnote w:id="543">
    <w:p w14:paraId="2D811B46" w14:textId="3CEBC43E" w:rsidR="00FB4296" w:rsidRPr="003812A5" w:rsidRDefault="00E76944" w:rsidP="00B70588">
      <w:pPr>
        <w:pStyle w:val="FootnoteText"/>
        <w:rPr>
          <w:rFonts w:cs="Times New Roman"/>
          <w:sz w:val="16"/>
          <w:szCs w:val="16"/>
        </w:rPr>
      </w:pPr>
      <w:r w:rsidRPr="003812A5">
        <w:rPr>
          <w:rStyle w:val="FootnoteReference"/>
          <w:sz w:val="16"/>
          <w:szCs w:val="16"/>
        </w:rPr>
        <w:footnoteRef/>
      </w:r>
      <w:r w:rsidR="003812A5" w:rsidRPr="003812A5">
        <w:rPr>
          <w:rFonts w:cs="Times New Roman"/>
          <w:sz w:val="16"/>
          <w:szCs w:val="16"/>
        </w:rPr>
        <w:t xml:space="preserve"> </w:t>
      </w:r>
      <w:r w:rsidR="003812A5" w:rsidRPr="003812A5">
        <w:rPr>
          <w:sz w:val="16"/>
          <w:szCs w:val="16"/>
        </w:rPr>
        <w:t xml:space="preserve">Official Journal of the European Union (2017). </w:t>
      </w:r>
      <w:hyperlink r:id="rId366" w:history="1">
        <w:r w:rsidR="003812A5" w:rsidRPr="003812A5">
          <w:rPr>
            <w:rStyle w:val="Hyperlink"/>
            <w:rFonts w:cs="Times New Roman"/>
            <w:sz w:val="16"/>
            <w:szCs w:val="16"/>
          </w:rPr>
          <w:t>Regulation (EU) 2017/1369 setting a framework for energy labelling and repealing Directive 2010/30/EU</w:t>
        </w:r>
      </w:hyperlink>
      <w:r w:rsidR="003812A5" w:rsidRPr="003812A5">
        <w:rPr>
          <w:rFonts w:cs="Times New Roman"/>
          <w:sz w:val="16"/>
          <w:szCs w:val="16"/>
        </w:rPr>
        <w:t>.</w:t>
      </w:r>
    </w:p>
    <w:p w14:paraId="021A7376" w14:textId="123427F6" w:rsidR="00E76944" w:rsidRPr="00E76944" w:rsidRDefault="00E76944">
      <w:pPr>
        <w:pStyle w:val="FootnoteText"/>
        <w:rPr>
          <w:lang w:val="en-IE"/>
        </w:rPr>
      </w:pPr>
      <w:r>
        <w:t xml:space="preserve"> </w:t>
      </w:r>
    </w:p>
  </w:footnote>
  <w:footnote w:id="544">
    <w:p w14:paraId="1B50A31C" w14:textId="37756885" w:rsidR="005375BF" w:rsidRPr="00720DA1" w:rsidRDefault="005375BF" w:rsidP="00CE1615">
      <w:pPr>
        <w:pStyle w:val="FootnoteText"/>
        <w:rPr>
          <w:rFonts w:cs="Times New Roman"/>
          <w:sz w:val="16"/>
          <w:szCs w:val="16"/>
        </w:rPr>
      </w:pPr>
    </w:p>
  </w:footnote>
  <w:footnote w:id="545">
    <w:p w14:paraId="610BE339" w14:textId="7F31509F" w:rsidR="005375BF" w:rsidRPr="00720DA1" w:rsidRDefault="005375BF" w:rsidP="00CE1615">
      <w:pPr>
        <w:pStyle w:val="FootnoteText"/>
        <w:rPr>
          <w:rFonts w:cs="Times New Roman"/>
          <w:sz w:val="16"/>
          <w:szCs w:val="16"/>
        </w:rPr>
      </w:pPr>
    </w:p>
  </w:footnote>
  <w:footnote w:id="546">
    <w:p w14:paraId="10B12032" w14:textId="5815ABC5"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67" w:history="1">
        <w:r w:rsidRPr="00720DA1">
          <w:rPr>
            <w:rStyle w:val="Hyperlink"/>
            <w:rFonts w:cs="Times New Roman"/>
            <w:sz w:val="16"/>
            <w:szCs w:val="16"/>
          </w:rPr>
          <w:t>Regulation (EU) 2024/1735 on establishing a framework of measures for strengthening Europe’s net-zero technology manufacturing ecosystem and amending Regulation (EU) 2018/1724</w:t>
        </w:r>
      </w:hyperlink>
      <w:r w:rsidRPr="00720DA1">
        <w:rPr>
          <w:rFonts w:cs="Times New Roman"/>
          <w:sz w:val="16"/>
          <w:szCs w:val="16"/>
        </w:rPr>
        <w:t>.</w:t>
      </w:r>
    </w:p>
  </w:footnote>
  <w:footnote w:id="547">
    <w:p w14:paraId="1725C981" w14:textId="77777777" w:rsidR="007808DC" w:rsidRPr="00720DA1" w:rsidRDefault="007808DC" w:rsidP="007808DC">
      <w:pPr>
        <w:pStyle w:val="FootnoteText"/>
        <w:rPr>
          <w:sz w:val="16"/>
          <w:szCs w:val="16"/>
        </w:rPr>
      </w:pPr>
      <w:r w:rsidRPr="00720DA1">
        <w:rPr>
          <w:rStyle w:val="FootnoteReference"/>
          <w:sz w:val="16"/>
          <w:szCs w:val="16"/>
        </w:rPr>
        <w:footnoteRef/>
      </w:r>
      <w:r w:rsidRPr="00720DA1">
        <w:rPr>
          <w:sz w:val="16"/>
          <w:szCs w:val="16"/>
        </w:rPr>
        <w:t xml:space="preserve"> EII sectors include C171, C19, C20, C231, C233, C234, C235, C244, all other manufacturing sectors form the comparison group. For each group, the production volume index is value-added weighted: each sector’s index is multiplied by its share of total group value added (average 2021–2023). The weighted sector indices are then summed and rescaled so that 2019-Q1 = 100.</w:t>
      </w:r>
    </w:p>
  </w:footnote>
  <w:footnote w:id="548">
    <w:p w14:paraId="3C998337" w14:textId="51502AB9" w:rsidR="00D25B40" w:rsidRPr="00720DA1" w:rsidRDefault="00D25B40" w:rsidP="00CE1615">
      <w:pPr>
        <w:pStyle w:val="FootnoteText"/>
        <w:rPr>
          <w:sz w:val="16"/>
          <w:szCs w:val="16"/>
        </w:rPr>
      </w:pPr>
      <w:r w:rsidRPr="00720DA1">
        <w:rPr>
          <w:rStyle w:val="FootnoteReference"/>
          <w:rFonts w:cs="Times New Roman"/>
          <w:sz w:val="16"/>
          <w:szCs w:val="16"/>
        </w:rPr>
        <w:footnoteRef/>
      </w:r>
      <w:r w:rsidRPr="00720DA1">
        <w:rPr>
          <w:rFonts w:cs="Times New Roman"/>
          <w:sz w:val="16"/>
          <w:szCs w:val="16"/>
        </w:rPr>
        <w:t xml:space="preserve"> See Section 5.1 </w:t>
      </w:r>
      <w:r w:rsidRPr="00720DA1">
        <w:rPr>
          <w:rFonts w:cs="Times New Roman"/>
          <w:i/>
          <w:sz w:val="16"/>
          <w:szCs w:val="16"/>
        </w:rPr>
        <w:t xml:space="preserve">What is the baseline from which options are assessed? </w:t>
      </w:r>
      <w:r w:rsidRPr="00720DA1">
        <w:rPr>
          <w:rFonts w:cs="Times New Roman"/>
          <w:sz w:val="16"/>
          <w:szCs w:val="16"/>
        </w:rPr>
        <w:t>in the main text.</w:t>
      </w:r>
    </w:p>
  </w:footnote>
  <w:footnote w:id="549">
    <w:p w14:paraId="3A60A46E" w14:textId="77777777" w:rsidR="00F10FB9" w:rsidRPr="00720DA1" w:rsidRDefault="00F10FB9" w:rsidP="00F10FB9">
      <w:pPr>
        <w:pStyle w:val="FootnoteText"/>
        <w:rPr>
          <w:sz w:val="16"/>
          <w:szCs w:val="16"/>
        </w:rPr>
      </w:pPr>
      <w:r w:rsidRPr="00720DA1">
        <w:rPr>
          <w:rStyle w:val="FootnoteReference"/>
          <w:sz w:val="16"/>
          <w:szCs w:val="16"/>
        </w:rPr>
        <w:footnoteRef/>
      </w:r>
      <w:r w:rsidRPr="00720DA1">
        <w:rPr>
          <w:sz w:val="16"/>
          <w:szCs w:val="16"/>
        </w:rPr>
        <w:t xml:space="preserve"> BloombergNEF, Decarbonizing Steel Project Database (1.0.5), 2025. Commission analysis.</w:t>
      </w:r>
    </w:p>
  </w:footnote>
  <w:footnote w:id="550">
    <w:p w14:paraId="7CC5053F" w14:textId="77777777" w:rsidR="00FC7EF1" w:rsidRPr="00720DA1" w:rsidRDefault="00FC7EF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368" w:history="1">
        <w:r w:rsidRPr="00720DA1">
          <w:rPr>
            <w:rStyle w:val="Hyperlink"/>
            <w:rFonts w:cs="Times New Roman"/>
            <w:sz w:val="16"/>
            <w:szCs w:val="16"/>
          </w:rPr>
          <w:t>Source</w:t>
        </w:r>
      </w:hyperlink>
      <w:r w:rsidRPr="00720DA1">
        <w:rPr>
          <w:rFonts w:cs="Times New Roman"/>
          <w:sz w:val="16"/>
          <w:szCs w:val="16"/>
        </w:rPr>
        <w:t xml:space="preserve"> data 2005-2023: </w:t>
      </w:r>
      <w:hyperlink r:id="rId369" w:history="1">
        <w:r w:rsidRPr="00720DA1">
          <w:rPr>
            <w:rStyle w:val="Hyperlink"/>
            <w:rFonts w:cs="Times New Roman"/>
            <w:sz w:val="16"/>
            <w:szCs w:val="16"/>
          </w:rPr>
          <w:t>JRC-IDEES</w:t>
        </w:r>
      </w:hyperlink>
      <w:r w:rsidRPr="00720DA1">
        <w:rPr>
          <w:rFonts w:cs="Times New Roman"/>
          <w:sz w:val="16"/>
          <w:szCs w:val="16"/>
        </w:rPr>
        <w:t xml:space="preserve">, consistent with EUROSTAT data. Source projections 2024-2050: internal calculations and JRC CETO 2025, developed with </w:t>
      </w:r>
      <w:hyperlink r:id="rId370" w:history="1">
        <w:r w:rsidRPr="00720DA1">
          <w:rPr>
            <w:rStyle w:val="Hyperlink"/>
            <w:rFonts w:cs="Times New Roman"/>
            <w:sz w:val="16"/>
            <w:szCs w:val="16"/>
          </w:rPr>
          <w:t>POTENCIA</w:t>
        </w:r>
      </w:hyperlink>
      <w:r w:rsidRPr="00720DA1">
        <w:rPr>
          <w:rFonts w:cs="Times New Roman"/>
          <w:sz w:val="16"/>
          <w:szCs w:val="16"/>
        </w:rPr>
        <w:t>.</w:t>
      </w:r>
    </w:p>
  </w:footnote>
  <w:footnote w:id="551">
    <w:p w14:paraId="243AE7F3" w14:textId="639ED518" w:rsidR="009E24FA" w:rsidRPr="00720DA1" w:rsidRDefault="009E24FA"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Implementing the OECD Recommendation on Public Procurement in OECD and Partner Countries</w:t>
      </w:r>
      <w:r w:rsidR="00E6737B">
        <w:rPr>
          <w:rFonts w:cs="Times New Roman"/>
          <w:sz w:val="16"/>
          <w:szCs w:val="16"/>
        </w:rPr>
        <w:t>.</w:t>
      </w:r>
    </w:p>
  </w:footnote>
  <w:footnote w:id="552">
    <w:p w14:paraId="02E11B1D" w14:textId="77777777" w:rsidR="009E24FA" w:rsidRPr="00720DA1" w:rsidRDefault="009E24FA"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Directive (EU) 2024/1275 (“recast EPBD”).</w:t>
      </w:r>
    </w:p>
  </w:footnote>
  <w:footnote w:id="553">
    <w:p w14:paraId="10D9E61A" w14:textId="77777777" w:rsidR="009E24FA" w:rsidRPr="00720DA1" w:rsidRDefault="009E24FA"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In addition, the CO</w:t>
      </w:r>
      <w:r w:rsidRPr="00720DA1">
        <w:rPr>
          <w:rFonts w:cs="Times New Roman"/>
          <w:sz w:val="16"/>
          <w:szCs w:val="16"/>
          <w:vertAlign w:val="subscript"/>
        </w:rPr>
        <w:t>2</w:t>
      </w:r>
      <w:r w:rsidRPr="00720DA1">
        <w:rPr>
          <w:rFonts w:cs="Times New Roman"/>
          <w:sz w:val="16"/>
          <w:szCs w:val="16"/>
        </w:rPr>
        <w:t xml:space="preserve"> Emission Performance Standards for Cars Regulation also empowers the Commission to develop a methodology that could allow manufacturers to voluntarily report on the life-cycle emissions of vehicles.</w:t>
      </w:r>
    </w:p>
  </w:footnote>
  <w:footnote w:id="554">
    <w:p w14:paraId="125D40A0" w14:textId="5F76F6FA" w:rsidR="009E24FA" w:rsidRPr="00720DA1" w:rsidRDefault="009E24FA"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3568B" w:rsidRPr="00720DA1">
        <w:rPr>
          <w:rFonts w:cs="Times New Roman"/>
          <w:sz w:val="16"/>
          <w:szCs w:val="16"/>
        </w:rPr>
        <w:t>IEA</w:t>
      </w:r>
      <w:r w:rsidR="0093568B" w:rsidRPr="00720DA1">
        <w:rPr>
          <w:sz w:val="16"/>
          <w:szCs w:val="16"/>
        </w:rPr>
        <w:t xml:space="preserve"> (2024)</w:t>
      </w:r>
      <w:r w:rsidR="0093568B" w:rsidRPr="00720DA1">
        <w:rPr>
          <w:rFonts w:cs="Times New Roman"/>
          <w:sz w:val="16"/>
          <w:szCs w:val="16"/>
        </w:rPr>
        <w:t xml:space="preserve">. </w:t>
      </w:r>
      <w:hyperlink r:id="rId371" w:history="1">
        <w:r w:rsidR="0093568B" w:rsidRPr="00720DA1">
          <w:rPr>
            <w:rStyle w:val="Hyperlink"/>
            <w:rFonts w:cs="Times New Roman"/>
            <w:sz w:val="16"/>
            <w:szCs w:val="16"/>
          </w:rPr>
          <w:t>Energy Technology Perspectives 2024</w:t>
        </w:r>
      </w:hyperlink>
      <w:r w:rsidR="0093568B" w:rsidRPr="00720DA1">
        <w:rPr>
          <w:sz w:val="16"/>
          <w:szCs w:val="16"/>
        </w:rPr>
        <w:t>.</w:t>
      </w:r>
    </w:p>
  </w:footnote>
  <w:footnote w:id="555">
    <w:p w14:paraId="2DAA6F12" w14:textId="77777777" w:rsidR="006C2E7A" w:rsidRPr="00720DA1" w:rsidRDefault="006C2E7A" w:rsidP="00CE1615">
      <w:pPr>
        <w:pStyle w:val="FootnoteText"/>
        <w:rPr>
          <w:sz w:val="16"/>
          <w:szCs w:val="16"/>
        </w:rPr>
      </w:pPr>
      <w:r w:rsidRPr="00720DA1">
        <w:rPr>
          <w:rStyle w:val="FootnoteReference"/>
          <w:sz w:val="16"/>
          <w:szCs w:val="16"/>
        </w:rPr>
        <w:footnoteRef/>
      </w:r>
      <w:r w:rsidRPr="00720DA1">
        <w:rPr>
          <w:sz w:val="16"/>
          <w:szCs w:val="16"/>
        </w:rPr>
        <w:t xml:space="preserve"> </w:t>
      </w:r>
      <w:hyperlink r:id="rId372" w:history="1">
        <w:r w:rsidRPr="00720DA1">
          <w:rPr>
            <w:rStyle w:val="Hyperlink"/>
            <w:sz w:val="16"/>
            <w:szCs w:val="16"/>
          </w:rPr>
          <w:t>Regulation (EU) 2019/452</w:t>
        </w:r>
      </w:hyperlink>
      <w:r w:rsidRPr="00720DA1">
        <w:rPr>
          <w:rFonts w:eastAsia="Times New Roman" w:cs="Times New Roman"/>
          <w:sz w:val="16"/>
          <w:szCs w:val="16"/>
        </w:rPr>
        <w:t xml:space="preserve"> of the European Parliament and of the Council of 19 March 2019 establishing a framework for the screening of foreign direct investments into the Union</w:t>
      </w:r>
    </w:p>
  </w:footnote>
  <w:footnote w:id="556">
    <w:p w14:paraId="6568C7FA" w14:textId="0F7B8316" w:rsidR="006C2E7A" w:rsidRPr="00720DA1" w:rsidRDefault="006C2E7A" w:rsidP="00CE1615">
      <w:pPr>
        <w:pStyle w:val="FootnoteText"/>
        <w:rPr>
          <w:sz w:val="16"/>
          <w:szCs w:val="16"/>
        </w:rPr>
      </w:pPr>
      <w:r w:rsidRPr="00720DA1">
        <w:rPr>
          <w:rStyle w:val="FootnoteReference"/>
          <w:sz w:val="16"/>
          <w:szCs w:val="16"/>
        </w:rPr>
        <w:footnoteRef/>
      </w:r>
      <w:r w:rsidRPr="00720DA1">
        <w:rPr>
          <w:sz w:val="16"/>
          <w:szCs w:val="16"/>
        </w:rPr>
        <w:t xml:space="preserve"> </w:t>
      </w:r>
      <w:r w:rsidR="003F4E93">
        <w:rPr>
          <w:sz w:val="16"/>
          <w:szCs w:val="16"/>
        </w:rPr>
        <w:t>E</w:t>
      </w:r>
      <w:r w:rsidR="003F4E93" w:rsidRPr="003F4E93">
        <w:rPr>
          <w:sz w:val="16"/>
          <w:szCs w:val="16"/>
        </w:rPr>
        <w:t xml:space="preserve">uropean Commission (2025). </w:t>
      </w:r>
      <w:hyperlink r:id="rId373" w:history="1">
        <w:r w:rsidR="003F4E93" w:rsidRPr="00E6737B">
          <w:rPr>
            <w:rStyle w:val="Hyperlink"/>
            <w:sz w:val="16"/>
            <w:szCs w:val="16"/>
          </w:rPr>
          <w:t>Report from the Commission to the European Parliament and the Council</w:t>
        </w:r>
        <w:r w:rsidR="00E6737B" w:rsidRPr="00E6737B">
          <w:rPr>
            <w:rStyle w:val="Hyperlink"/>
            <w:sz w:val="16"/>
            <w:szCs w:val="16"/>
          </w:rPr>
          <w:t xml:space="preserve"> -</w:t>
        </w:r>
        <w:r w:rsidR="003F4E93" w:rsidRPr="00E6737B">
          <w:rPr>
            <w:rStyle w:val="Hyperlink"/>
            <w:sz w:val="16"/>
            <w:szCs w:val="16"/>
          </w:rPr>
          <w:t xml:space="preserve"> </w:t>
        </w:r>
        <w:r w:rsidR="00E6737B" w:rsidRPr="00E6737B">
          <w:rPr>
            <w:rStyle w:val="Hyperlink"/>
            <w:sz w:val="16"/>
            <w:szCs w:val="16"/>
          </w:rPr>
          <w:t>Fifth Annual Report on the screening of foreign direct investments into the Union</w:t>
        </w:r>
      </w:hyperlink>
      <w:r w:rsidR="00E6737B">
        <w:rPr>
          <w:sz w:val="16"/>
          <w:szCs w:val="16"/>
        </w:rPr>
        <w:t xml:space="preserve">. </w:t>
      </w:r>
      <w:r w:rsidR="0015447A" w:rsidRPr="00E6737B">
        <w:rPr>
          <w:sz w:val="16"/>
          <w:szCs w:val="16"/>
        </w:rPr>
        <w:t>COM(2025)632</w:t>
      </w:r>
      <w:r w:rsidR="00E6737B">
        <w:rPr>
          <w:sz w:val="16"/>
          <w:szCs w:val="16"/>
        </w:rPr>
        <w:t xml:space="preserve"> final.</w:t>
      </w:r>
    </w:p>
  </w:footnote>
  <w:footnote w:id="557">
    <w:p w14:paraId="7092B0F6" w14:textId="33FF7BC4" w:rsidR="009E24FA" w:rsidRPr="00720DA1" w:rsidRDefault="009E24FA" w:rsidP="00CE1615">
      <w:pPr>
        <w:tabs>
          <w:tab w:val="num" w:pos="480"/>
        </w:tabs>
        <w:outlineLvl w:val="0"/>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Calibri" w:cs="Times New Roman"/>
          <w:sz w:val="16"/>
          <w:szCs w:val="16"/>
        </w:rPr>
        <w:t>CARMEN is a linear model, where a 10% decrease/increase in global final demand would yield a result 10 times worse/better than the baseline. To facilitate understanding, a 1% reduction is used as a reference point, providing a more manageable and comparable outcome.</w:t>
      </w:r>
    </w:p>
  </w:footnote>
  <w:footnote w:id="558">
    <w:p w14:paraId="762CD442" w14:textId="34E40EFA"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See, </w:t>
      </w:r>
      <w:r w:rsidR="005F071C" w:rsidRPr="00720DA1">
        <w:rPr>
          <w:rFonts w:cs="Times New Roman"/>
          <w:sz w:val="16"/>
          <w:szCs w:val="16"/>
        </w:rPr>
        <w:t>S</w:t>
      </w:r>
      <w:r w:rsidRPr="00720DA1">
        <w:rPr>
          <w:rFonts w:cs="Times New Roman"/>
          <w:sz w:val="16"/>
          <w:szCs w:val="16"/>
        </w:rPr>
        <w:t xml:space="preserve">ection 2.3.1, Driver 1. </w:t>
      </w:r>
    </w:p>
  </w:footnote>
  <w:footnote w:id="559">
    <w:p w14:paraId="20F4404B" w14:textId="4FDAE97F" w:rsidR="00463C9D" w:rsidRPr="00720DA1" w:rsidRDefault="00463C9D"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Times New Roman" w:cs="Times New Roman"/>
          <w:sz w:val="16"/>
          <w:szCs w:val="16"/>
        </w:rPr>
        <w:t xml:space="preserve">EU production of primary aluminium is about 6.8 kg of </w:t>
      </w:r>
      <w:r w:rsidRPr="00720DA1">
        <w:rPr>
          <w:rFonts w:cs="Times New Roman"/>
          <w:color w:val="000000" w:themeColor="text1"/>
          <w:sz w:val="16"/>
          <w:szCs w:val="16"/>
        </w:rPr>
        <w:t>CO</w:t>
      </w:r>
      <w:r w:rsidRPr="00720DA1">
        <w:rPr>
          <w:rFonts w:cs="Times New Roman"/>
          <w:color w:val="000000" w:themeColor="text1"/>
          <w:sz w:val="16"/>
          <w:szCs w:val="16"/>
          <w:vertAlign w:val="subscript"/>
        </w:rPr>
        <w:t>2</w:t>
      </w:r>
      <w:r w:rsidRPr="00720DA1">
        <w:rPr>
          <w:rFonts w:eastAsia="Times New Roman" w:cs="Times New Roman"/>
          <w:sz w:val="16"/>
          <w:szCs w:val="16"/>
        </w:rPr>
        <w:t xml:space="preserve"> per kg of primary aluminium</w:t>
      </w:r>
      <w:r w:rsidR="00855000">
        <w:rPr>
          <w:rFonts w:cs="Times New Roman"/>
          <w:sz w:val="16"/>
          <w:szCs w:val="16"/>
        </w:rPr>
        <w:t xml:space="preserve">. Source: </w:t>
      </w:r>
      <w:r w:rsidR="00E70094" w:rsidRPr="00E70094">
        <w:rPr>
          <w:rFonts w:cs="Times New Roman"/>
          <w:sz w:val="16"/>
          <w:szCs w:val="16"/>
        </w:rPr>
        <w:t>Zore, L.</w:t>
      </w:r>
      <w:r w:rsidR="00305F2C">
        <w:rPr>
          <w:rFonts w:cs="Times New Roman"/>
          <w:sz w:val="16"/>
          <w:szCs w:val="16"/>
        </w:rPr>
        <w:t xml:space="preserve"> (JRC)</w:t>
      </w:r>
      <w:r w:rsidR="00855000">
        <w:rPr>
          <w:rFonts w:cs="Times New Roman"/>
          <w:sz w:val="16"/>
          <w:szCs w:val="16"/>
        </w:rPr>
        <w:t xml:space="preserve"> (2024).</w:t>
      </w:r>
      <w:r w:rsidRPr="00720DA1">
        <w:rPr>
          <w:rFonts w:cs="Times New Roman"/>
          <w:sz w:val="16"/>
          <w:szCs w:val="16"/>
        </w:rPr>
        <w:t xml:space="preserve"> </w:t>
      </w:r>
      <w:hyperlink r:id="rId374" w:history="1">
        <w:r w:rsidR="00855000" w:rsidRPr="00855000">
          <w:rPr>
            <w:rStyle w:val="Hyperlink"/>
            <w:rFonts w:cs="Times New Roman"/>
            <w:sz w:val="16"/>
            <w:szCs w:val="16"/>
          </w:rPr>
          <w:t>Decarbonisation Options for the Aluminium Industry</w:t>
        </w:r>
      </w:hyperlink>
      <w:r w:rsidR="00305F2C">
        <w:rPr>
          <w:rFonts w:cs="Times New Roman"/>
          <w:sz w:val="16"/>
          <w:szCs w:val="16"/>
        </w:rPr>
        <w:t>.</w:t>
      </w:r>
    </w:p>
  </w:footnote>
  <w:footnote w:id="560">
    <w:p w14:paraId="30D7EDBA" w14:textId="490D0A5B" w:rsidR="00020031" w:rsidRPr="006869C5" w:rsidRDefault="00020031" w:rsidP="006869C5">
      <w:pPr>
        <w:pStyle w:val="FootnoteText"/>
        <w:jc w:val="left"/>
        <w:rPr>
          <w:rFonts w:cs="Times New Roman"/>
          <w:sz w:val="16"/>
          <w:szCs w:val="16"/>
        </w:rPr>
      </w:pPr>
      <w:r w:rsidRPr="006869C5">
        <w:rPr>
          <w:rStyle w:val="FootnoteReference"/>
          <w:rFonts w:cs="Times New Roman"/>
          <w:sz w:val="16"/>
          <w:szCs w:val="16"/>
        </w:rPr>
        <w:footnoteRef/>
      </w:r>
      <w:r w:rsidRPr="006869C5">
        <w:rPr>
          <w:rFonts w:cs="Times New Roman"/>
          <w:sz w:val="16"/>
          <w:szCs w:val="16"/>
        </w:rPr>
        <w:t xml:space="preserve"> </w:t>
      </w:r>
      <w:r w:rsidR="002769C9" w:rsidRPr="006869C5">
        <w:rPr>
          <w:sz w:val="16"/>
          <w:szCs w:val="16"/>
        </w:rPr>
        <w:t xml:space="preserve">Draghi, M. (2024). </w:t>
      </w:r>
      <w:hyperlink r:id="rId375" w:history="1">
        <w:r w:rsidR="002769C9" w:rsidRPr="006869C5">
          <w:rPr>
            <w:rStyle w:val="Hyperlink"/>
            <w:sz w:val="16"/>
            <w:szCs w:val="16"/>
          </w:rPr>
          <w:t>The future of European competitiveness: In‑depth analysis and recommendations (Part B)</w:t>
        </w:r>
      </w:hyperlink>
      <w:r w:rsidRPr="006869C5">
        <w:rPr>
          <w:rFonts w:eastAsia="Times New Roman" w:cs="Times New Roman"/>
          <w:sz w:val="16"/>
          <w:szCs w:val="16"/>
        </w:rPr>
        <w:t>, p. 111.</w:t>
      </w:r>
    </w:p>
  </w:footnote>
  <w:footnote w:id="561">
    <w:p w14:paraId="16734AC6" w14:textId="459C8534" w:rsidR="00020031" w:rsidRPr="006869C5" w:rsidRDefault="00020031" w:rsidP="006869C5">
      <w:pPr>
        <w:pStyle w:val="FootnoteText"/>
        <w:jc w:val="left"/>
        <w:rPr>
          <w:rFonts w:cs="Times New Roman"/>
          <w:sz w:val="16"/>
          <w:szCs w:val="16"/>
        </w:rPr>
      </w:pPr>
      <w:r w:rsidRPr="006869C5">
        <w:rPr>
          <w:rFonts w:eastAsia="Times New Roman" w:cs="Times New Roman"/>
          <w:sz w:val="16"/>
          <w:szCs w:val="16"/>
          <w:vertAlign w:val="superscript"/>
        </w:rPr>
        <w:footnoteRef/>
      </w:r>
      <w:r w:rsidRPr="006869C5">
        <w:rPr>
          <w:rFonts w:eastAsia="Times New Roman" w:cs="Times New Roman"/>
          <w:sz w:val="16"/>
          <w:szCs w:val="16"/>
        </w:rPr>
        <w:t xml:space="preserve"> JRC analysis. Source: Analysis based on data from European Aluminium (2023), CemBureau (2025), EUROFER (2025).</w:t>
      </w:r>
      <w:r w:rsidR="00760CE8" w:rsidRPr="006869C5">
        <w:rPr>
          <w:rFonts w:eastAsia="Times New Roman" w:cs="Times New Roman"/>
          <w:sz w:val="16"/>
          <w:szCs w:val="16"/>
        </w:rPr>
        <w:t xml:space="preserve"> </w:t>
      </w:r>
      <w:r w:rsidRPr="006869C5">
        <w:rPr>
          <w:rFonts w:eastAsia="Times New Roman" w:cs="Times New Roman"/>
          <w:sz w:val="16"/>
          <w:szCs w:val="16"/>
        </w:rPr>
        <w:t xml:space="preserve">The data used correspond to the following years: NA for aluminium, 2023 for cement, 2024 for steel. </w:t>
      </w:r>
    </w:p>
  </w:footnote>
  <w:footnote w:id="562">
    <w:p w14:paraId="12024C2D" w14:textId="2528BF58" w:rsidR="00E32A53" w:rsidRPr="006869C5" w:rsidRDefault="00E32A53" w:rsidP="006869C5">
      <w:pPr>
        <w:pStyle w:val="FootnoteText"/>
        <w:jc w:val="left"/>
        <w:rPr>
          <w:sz w:val="16"/>
          <w:szCs w:val="16"/>
          <w:lang w:val="en-IE"/>
        </w:rPr>
      </w:pPr>
      <w:r w:rsidRPr="006869C5">
        <w:rPr>
          <w:rStyle w:val="FootnoteReference"/>
          <w:sz w:val="16"/>
          <w:szCs w:val="16"/>
        </w:rPr>
        <w:footnoteRef/>
      </w:r>
      <w:r w:rsidR="001A70E0" w:rsidRPr="006869C5">
        <w:rPr>
          <w:sz w:val="16"/>
          <w:szCs w:val="16"/>
          <w:lang w:val="en-IE"/>
        </w:rPr>
        <w:t xml:space="preserve"> </w:t>
      </w:r>
      <w:r w:rsidR="00D45470" w:rsidRPr="006869C5">
        <w:rPr>
          <w:sz w:val="16"/>
          <w:szCs w:val="16"/>
          <w:lang w:val="en-IE"/>
        </w:rPr>
        <w:t>Deloitte</w:t>
      </w:r>
      <w:r w:rsidR="006869C5" w:rsidRPr="006869C5">
        <w:rPr>
          <w:sz w:val="16"/>
          <w:szCs w:val="16"/>
          <w:lang w:val="en-IE"/>
        </w:rPr>
        <w:t xml:space="preserve"> </w:t>
      </w:r>
      <w:r w:rsidR="00D45470" w:rsidRPr="006869C5">
        <w:rPr>
          <w:sz w:val="16"/>
          <w:szCs w:val="16"/>
          <w:lang w:val="en-IE"/>
        </w:rPr>
        <w:t>(2025)</w:t>
      </w:r>
      <w:r w:rsidR="006869C5" w:rsidRPr="006869C5">
        <w:rPr>
          <w:sz w:val="16"/>
          <w:szCs w:val="16"/>
          <w:lang w:val="en-IE"/>
        </w:rPr>
        <w:t>.</w:t>
      </w:r>
      <w:r w:rsidR="00D45470" w:rsidRPr="006869C5">
        <w:rPr>
          <w:sz w:val="16"/>
          <w:szCs w:val="16"/>
          <w:lang w:val="en-IE"/>
        </w:rPr>
        <w:t xml:space="preserve"> </w:t>
      </w:r>
      <w:hyperlink r:id="rId376" w:history="1">
        <w:r w:rsidR="00D45470" w:rsidRPr="006869C5">
          <w:rPr>
            <w:rStyle w:val="Hyperlink"/>
            <w:sz w:val="16"/>
            <w:szCs w:val="16"/>
          </w:rPr>
          <w:t>Mobilizing consumer demand for sustainable investments</w:t>
        </w:r>
      </w:hyperlink>
      <w:r w:rsidR="00D45470" w:rsidRPr="006869C5">
        <w:rPr>
          <w:sz w:val="16"/>
          <w:szCs w:val="16"/>
        </w:rPr>
        <w:t>.</w:t>
      </w:r>
    </w:p>
  </w:footnote>
  <w:footnote w:id="563">
    <w:p w14:paraId="4CF162A0" w14:textId="77777777" w:rsidR="004A5722" w:rsidRPr="00720DA1" w:rsidRDefault="004A5722"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Pr="00720DA1">
        <w:rPr>
          <w:rFonts w:cs="Times New Roman"/>
          <w:sz w:val="16"/>
          <w:szCs w:val="16"/>
        </w:rPr>
        <w:t xml:space="preserve">Analysis by Industrial Transition Accelerator (ITA) and Third Generation Environmentalism (E3G). </w:t>
      </w:r>
    </w:p>
  </w:footnote>
  <w:footnote w:id="564">
    <w:p w14:paraId="6489BEF9" w14:textId="77777777" w:rsidR="00010025" w:rsidRPr="00720DA1" w:rsidRDefault="00010025"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BloombergNEF (BNEF), Decarbonised Steel Projects Database, Version 1.0.5 (2025). Commission analysis.</w:t>
      </w:r>
    </w:p>
  </w:footnote>
  <w:footnote w:id="565">
    <w:p w14:paraId="1824EB27" w14:textId="7C275F88" w:rsidR="00D0100E" w:rsidRPr="00720DA1" w:rsidRDefault="00D0100E" w:rsidP="00CE1615">
      <w:pPr>
        <w:pStyle w:val="FootnoteText"/>
        <w:rPr>
          <w:sz w:val="16"/>
          <w:szCs w:val="16"/>
        </w:rPr>
      </w:pPr>
      <w:r w:rsidRPr="00720DA1">
        <w:rPr>
          <w:rStyle w:val="FootnoteReference"/>
          <w:sz w:val="16"/>
          <w:szCs w:val="16"/>
        </w:rPr>
        <w:footnoteRef/>
      </w:r>
      <w:r w:rsidRPr="00720DA1">
        <w:rPr>
          <w:sz w:val="16"/>
          <w:szCs w:val="16"/>
        </w:rPr>
        <w:t xml:space="preserve"> OECD (2025)</w:t>
      </w:r>
      <w:r w:rsidR="00F656D3">
        <w:rPr>
          <w:sz w:val="16"/>
          <w:szCs w:val="16"/>
        </w:rPr>
        <w:t>.</w:t>
      </w:r>
      <w:r w:rsidRPr="00720DA1">
        <w:rPr>
          <w:sz w:val="16"/>
          <w:szCs w:val="16"/>
        </w:rPr>
        <w:t xml:space="preserve"> </w:t>
      </w:r>
      <w:hyperlink r:id="rId377" w:history="1">
        <w:r w:rsidRPr="00B03929">
          <w:rPr>
            <w:rStyle w:val="Hyperlink"/>
            <w:sz w:val="16"/>
            <w:szCs w:val="16"/>
          </w:rPr>
          <w:t>OECD Steel Outlook 2025</w:t>
        </w:r>
      </w:hyperlink>
      <w:r w:rsidRPr="00720DA1">
        <w:rPr>
          <w:sz w:val="16"/>
          <w:szCs w:val="16"/>
        </w:rPr>
        <w:t xml:space="preserve">. </w:t>
      </w:r>
    </w:p>
  </w:footnote>
  <w:footnote w:id="566">
    <w:p w14:paraId="291FA40F" w14:textId="52901D30" w:rsidR="009C742B" w:rsidRPr="00720DA1" w:rsidRDefault="009C742B" w:rsidP="00CE1615">
      <w:pPr>
        <w:pStyle w:val="FootnoteText"/>
        <w:rPr>
          <w:sz w:val="16"/>
          <w:szCs w:val="16"/>
        </w:rPr>
      </w:pPr>
      <w:r w:rsidRPr="00720DA1">
        <w:rPr>
          <w:rStyle w:val="FootnoteReference"/>
          <w:sz w:val="16"/>
          <w:szCs w:val="16"/>
        </w:rPr>
        <w:footnoteRef/>
      </w:r>
      <w:r w:rsidRPr="00720DA1">
        <w:rPr>
          <w:sz w:val="16"/>
          <w:szCs w:val="16"/>
        </w:rPr>
        <w:t xml:space="preserve"> </w:t>
      </w:r>
      <w:r w:rsidRPr="00536C43">
        <w:rPr>
          <w:sz w:val="16"/>
          <w:szCs w:val="16"/>
        </w:rPr>
        <w:t>World Steel Association</w:t>
      </w:r>
      <w:r w:rsidR="00536C43">
        <w:rPr>
          <w:sz w:val="16"/>
          <w:szCs w:val="16"/>
        </w:rPr>
        <w:t xml:space="preserve"> (2025).</w:t>
      </w:r>
      <w:r w:rsidRPr="00720DA1">
        <w:rPr>
          <w:sz w:val="16"/>
          <w:szCs w:val="16"/>
        </w:rPr>
        <w:t xml:space="preserve"> </w:t>
      </w:r>
      <w:hyperlink r:id="rId378" w:history="1">
        <w:r w:rsidRPr="00536C43">
          <w:rPr>
            <w:rStyle w:val="Hyperlink"/>
            <w:sz w:val="16"/>
            <w:szCs w:val="16"/>
          </w:rPr>
          <w:t>World Steel in Figures 2025</w:t>
        </w:r>
      </w:hyperlink>
      <w:r w:rsidRPr="00720DA1">
        <w:rPr>
          <w:sz w:val="16"/>
          <w:szCs w:val="16"/>
        </w:rPr>
        <w:t>.</w:t>
      </w:r>
    </w:p>
  </w:footnote>
  <w:footnote w:id="567">
    <w:p w14:paraId="0609C22F" w14:textId="100040EA" w:rsidR="00680C26" w:rsidRPr="00720DA1" w:rsidRDefault="00680C26" w:rsidP="008C6B45">
      <w:pPr>
        <w:pStyle w:val="FootnoteText"/>
        <w:jc w:val="left"/>
        <w:rPr>
          <w:sz w:val="16"/>
          <w:szCs w:val="16"/>
        </w:rPr>
      </w:pPr>
      <w:r w:rsidRPr="00720DA1">
        <w:rPr>
          <w:rStyle w:val="FootnoteReference"/>
          <w:sz w:val="16"/>
          <w:szCs w:val="16"/>
        </w:rPr>
        <w:footnoteRef/>
      </w:r>
      <w:r w:rsidRPr="00720DA1">
        <w:rPr>
          <w:sz w:val="16"/>
          <w:szCs w:val="16"/>
        </w:rPr>
        <w:t xml:space="preserve"> </w:t>
      </w:r>
      <w:r w:rsidR="00B864E0">
        <w:rPr>
          <w:sz w:val="16"/>
          <w:szCs w:val="16"/>
        </w:rPr>
        <w:t xml:space="preserve">European Commission (2025). </w:t>
      </w:r>
      <w:hyperlink r:id="rId379" w:history="1">
        <w:r w:rsidR="00F656D3" w:rsidRPr="00F656D3">
          <w:rPr>
            <w:rStyle w:val="Hyperlink"/>
            <w:sz w:val="16"/>
            <w:szCs w:val="16"/>
          </w:rPr>
          <w:t>Proposal for a Regulation of the European Parliament and of the Council addressing the negative trade-related effects of global overcapacity on the Union steel market</w:t>
        </w:r>
      </w:hyperlink>
      <w:r w:rsidR="00F656D3">
        <w:rPr>
          <w:sz w:val="16"/>
          <w:szCs w:val="16"/>
        </w:rPr>
        <w:t xml:space="preserve">. </w:t>
      </w:r>
      <w:r w:rsidR="00B864E0" w:rsidRPr="00F656D3">
        <w:rPr>
          <w:sz w:val="16"/>
          <w:szCs w:val="16"/>
        </w:rPr>
        <w:t>COM(2025) 726 final</w:t>
      </w:r>
      <w:r w:rsidR="00B864E0" w:rsidRPr="00720DA1">
        <w:rPr>
          <w:sz w:val="16"/>
          <w:szCs w:val="16"/>
        </w:rPr>
        <w:t>.</w:t>
      </w:r>
    </w:p>
  </w:footnote>
  <w:footnote w:id="568">
    <w:p w14:paraId="1EC99810" w14:textId="3624D8B4" w:rsidR="00454CCC" w:rsidRPr="00720DA1" w:rsidRDefault="00454CCC" w:rsidP="008C6B45">
      <w:pPr>
        <w:pStyle w:val="FootnoteText"/>
        <w:jc w:val="left"/>
        <w:rPr>
          <w:sz w:val="16"/>
          <w:szCs w:val="16"/>
        </w:rPr>
      </w:pPr>
      <w:r w:rsidRPr="00720DA1">
        <w:rPr>
          <w:rStyle w:val="FootnoteReference"/>
          <w:sz w:val="16"/>
          <w:szCs w:val="16"/>
        </w:rPr>
        <w:footnoteRef/>
      </w:r>
      <w:r w:rsidRPr="00720DA1">
        <w:rPr>
          <w:sz w:val="16"/>
          <w:szCs w:val="16"/>
        </w:rPr>
        <w:t xml:space="preserve"> </w:t>
      </w:r>
      <w:r w:rsidR="00720DA1" w:rsidRPr="0040703F">
        <w:rPr>
          <w:rFonts w:cs="Times New Roman"/>
          <w:sz w:val="16"/>
          <w:szCs w:val="16"/>
        </w:rPr>
        <w:t>Mission Possible Partnership (MPP), E3G and the Industrial Transition Accelerator (ITA</w:t>
      </w:r>
      <w:r w:rsidR="00720DA1" w:rsidRPr="00720DA1">
        <w:rPr>
          <w:sz w:val="16"/>
          <w:szCs w:val="16"/>
        </w:rPr>
        <w:t>) (2025).</w:t>
      </w:r>
      <w:r w:rsidR="00720DA1" w:rsidRPr="0040703F">
        <w:rPr>
          <w:rFonts w:cs="Times New Roman"/>
          <w:sz w:val="16"/>
          <w:szCs w:val="16"/>
        </w:rPr>
        <w:t xml:space="preserve"> </w:t>
      </w:r>
      <w:hyperlink r:id="rId380" w:history="1">
        <w:r w:rsidR="00720DA1" w:rsidRPr="0040703F">
          <w:rPr>
            <w:rStyle w:val="Hyperlink"/>
            <w:rFonts w:cs="Times New Roman"/>
            <w:sz w:val="16"/>
            <w:szCs w:val="16"/>
          </w:rPr>
          <w:t>Building the EU’s Clean Industrial Future: Unlocking Investment through Lead Markets</w:t>
        </w:r>
      </w:hyperlink>
      <w:r w:rsidR="00720DA1" w:rsidRPr="00720DA1">
        <w:rPr>
          <w:sz w:val="16"/>
          <w:szCs w:val="16"/>
        </w:rPr>
        <w:t>.</w:t>
      </w:r>
    </w:p>
  </w:footnote>
  <w:footnote w:id="569">
    <w:p w14:paraId="5F865537" w14:textId="7733F7B9" w:rsidR="00B1261C" w:rsidRPr="00720DA1" w:rsidRDefault="00B1261C" w:rsidP="008C6B45">
      <w:pPr>
        <w:pStyle w:val="FootnoteText"/>
        <w:jc w:val="left"/>
        <w:rPr>
          <w:sz w:val="16"/>
          <w:szCs w:val="16"/>
        </w:rPr>
      </w:pPr>
      <w:r w:rsidRPr="00720DA1">
        <w:rPr>
          <w:rStyle w:val="FootnoteReference"/>
          <w:sz w:val="16"/>
          <w:szCs w:val="16"/>
        </w:rPr>
        <w:footnoteRef/>
      </w:r>
      <w:r w:rsidRPr="00720DA1">
        <w:rPr>
          <w:sz w:val="16"/>
          <w:szCs w:val="16"/>
        </w:rPr>
        <w:t xml:space="preserve"> </w:t>
      </w:r>
      <w:r w:rsidR="000E17BA" w:rsidRPr="00206A8C">
        <w:rPr>
          <w:rFonts w:cs="Times New Roman"/>
          <w:sz w:val="16"/>
          <w:szCs w:val="16"/>
        </w:rPr>
        <w:t xml:space="preserve">Eurometaux </w:t>
      </w:r>
      <w:r w:rsidR="000E17BA">
        <w:rPr>
          <w:rFonts w:cs="Times New Roman"/>
          <w:sz w:val="16"/>
          <w:szCs w:val="16"/>
        </w:rPr>
        <w:t xml:space="preserve">and KU Leuven </w:t>
      </w:r>
      <w:r w:rsidR="000E17BA" w:rsidRPr="00206A8C">
        <w:rPr>
          <w:rFonts w:cs="Times New Roman"/>
          <w:sz w:val="16"/>
          <w:szCs w:val="16"/>
        </w:rPr>
        <w:t xml:space="preserve">(2022). </w:t>
      </w:r>
      <w:hyperlink r:id="rId381" w:history="1">
        <w:r w:rsidR="000E17BA">
          <w:rPr>
            <w:rStyle w:val="Hyperlink"/>
            <w:sz w:val="16"/>
            <w:szCs w:val="16"/>
          </w:rPr>
          <w:t>Metals for Clean Energy: Pathways to solving Europe’s raw materials challenge.</w:t>
        </w:r>
      </w:hyperlink>
      <w:r w:rsidRPr="00720DA1">
        <w:rPr>
          <w:sz w:val="16"/>
          <w:szCs w:val="16"/>
        </w:rPr>
        <w:t xml:space="preserve"> </w:t>
      </w:r>
    </w:p>
  </w:footnote>
  <w:footnote w:id="570">
    <w:p w14:paraId="2C3CB6FE" w14:textId="61C0BBCA" w:rsidR="00B1261C" w:rsidRPr="00720DA1" w:rsidRDefault="00B1261C" w:rsidP="008C6B45">
      <w:pPr>
        <w:pStyle w:val="FootnoteText"/>
        <w:jc w:val="left"/>
        <w:rPr>
          <w:sz w:val="16"/>
          <w:szCs w:val="16"/>
        </w:rPr>
      </w:pPr>
      <w:r w:rsidRPr="00720DA1">
        <w:rPr>
          <w:rStyle w:val="FootnoteReference"/>
          <w:sz w:val="16"/>
          <w:szCs w:val="16"/>
        </w:rPr>
        <w:footnoteRef/>
      </w:r>
      <w:r w:rsidRPr="00720DA1">
        <w:rPr>
          <w:sz w:val="16"/>
          <w:szCs w:val="16"/>
        </w:rPr>
        <w:t xml:space="preserve"> </w:t>
      </w:r>
      <w:r w:rsidR="00050249" w:rsidRPr="00720DA1">
        <w:rPr>
          <w:sz w:val="16"/>
          <w:szCs w:val="16"/>
        </w:rPr>
        <w:t xml:space="preserve">European Aluminium (2023). </w:t>
      </w:r>
      <w:hyperlink r:id="rId382" w:history="1">
        <w:r w:rsidR="000F061A">
          <w:rPr>
            <w:rStyle w:val="Hyperlink"/>
            <w:sz w:val="16"/>
            <w:szCs w:val="16"/>
          </w:rPr>
          <w:t>Net-Zero By 2050: Science-Based Decarbonisation Pathways for The European Aluminium Industry</w:t>
        </w:r>
      </w:hyperlink>
      <w:r w:rsidR="00050249" w:rsidRPr="00720DA1">
        <w:rPr>
          <w:sz w:val="16"/>
          <w:szCs w:val="16"/>
        </w:rPr>
        <w:t>.</w:t>
      </w:r>
    </w:p>
  </w:footnote>
  <w:footnote w:id="571">
    <w:p w14:paraId="3F7BAE62" w14:textId="61C852EB" w:rsidR="00FC473A" w:rsidRPr="00D96920" w:rsidRDefault="00FC473A" w:rsidP="008C6B45">
      <w:pPr>
        <w:pStyle w:val="FootnoteText"/>
        <w:jc w:val="left"/>
        <w:rPr>
          <w:sz w:val="16"/>
          <w:szCs w:val="16"/>
          <w:lang w:val="en-IE"/>
        </w:rPr>
      </w:pPr>
      <w:r w:rsidRPr="00720DA1">
        <w:rPr>
          <w:rStyle w:val="FootnoteReference"/>
          <w:sz w:val="16"/>
          <w:szCs w:val="16"/>
        </w:rPr>
        <w:footnoteRef/>
      </w:r>
      <w:r w:rsidR="003D265C" w:rsidRPr="00720DA1">
        <w:rPr>
          <w:sz w:val="16"/>
          <w:szCs w:val="16"/>
          <w:lang w:val="en-IE"/>
        </w:rPr>
        <w:t xml:space="preserve"> </w:t>
      </w:r>
      <w:r w:rsidR="003D265C" w:rsidRPr="00720DA1">
        <w:rPr>
          <w:rStyle w:val="Hyperlink"/>
          <w:sz w:val="16"/>
          <w:szCs w:val="16"/>
        </w:rPr>
        <w:t>Ibid</w:t>
      </w:r>
      <w:r w:rsidR="00D96920">
        <w:rPr>
          <w:sz w:val="16"/>
          <w:szCs w:val="16"/>
          <w:lang w:val="en-IE"/>
        </w:rPr>
        <w:t>.</w:t>
      </w:r>
    </w:p>
  </w:footnote>
  <w:footnote w:id="572">
    <w:p w14:paraId="61C9870A" w14:textId="78B24FB7" w:rsidR="00E1537E" w:rsidRPr="00720DA1" w:rsidRDefault="00E1537E" w:rsidP="008C6B45">
      <w:pPr>
        <w:pStyle w:val="FootnoteText"/>
        <w:jc w:val="left"/>
        <w:rPr>
          <w:sz w:val="16"/>
          <w:szCs w:val="16"/>
        </w:rPr>
      </w:pPr>
      <w:r w:rsidRPr="00720DA1">
        <w:rPr>
          <w:rStyle w:val="FootnoteReference"/>
          <w:sz w:val="16"/>
          <w:szCs w:val="16"/>
        </w:rPr>
        <w:footnoteRef/>
      </w:r>
      <w:r w:rsidRPr="00720DA1">
        <w:rPr>
          <w:sz w:val="16"/>
          <w:szCs w:val="16"/>
        </w:rPr>
        <w:t xml:space="preserve"> </w:t>
      </w:r>
      <w:r w:rsidR="00BD3066" w:rsidRPr="00720DA1">
        <w:rPr>
          <w:sz w:val="16"/>
          <w:szCs w:val="16"/>
        </w:rPr>
        <w:t>European Aluminium (202</w:t>
      </w:r>
      <w:r w:rsidR="00E87588">
        <w:rPr>
          <w:sz w:val="16"/>
          <w:szCs w:val="16"/>
        </w:rPr>
        <w:t>2</w:t>
      </w:r>
      <w:r w:rsidR="00BD3066" w:rsidRPr="00720DA1">
        <w:rPr>
          <w:sz w:val="16"/>
          <w:szCs w:val="16"/>
        </w:rPr>
        <w:t>).</w:t>
      </w:r>
      <w:r w:rsidR="00E87588">
        <w:rPr>
          <w:sz w:val="16"/>
          <w:szCs w:val="16"/>
        </w:rPr>
        <w:t xml:space="preserve"> </w:t>
      </w:r>
      <w:hyperlink r:id="rId383" w:history="1">
        <w:r w:rsidR="00E87588" w:rsidRPr="000F061A">
          <w:rPr>
            <w:rStyle w:val="Hyperlink"/>
            <w:sz w:val="16"/>
            <w:szCs w:val="16"/>
          </w:rPr>
          <w:t>C</w:t>
        </w:r>
        <w:r w:rsidR="00714746" w:rsidRPr="000F061A">
          <w:rPr>
            <w:rStyle w:val="Hyperlink"/>
            <w:sz w:val="16"/>
            <w:szCs w:val="16"/>
          </w:rPr>
          <w:t>ircular Aluminium Action Plan</w:t>
        </w:r>
        <w:r w:rsidR="000F061A" w:rsidRPr="000F061A">
          <w:rPr>
            <w:rStyle w:val="Hyperlink"/>
            <w:sz w:val="16"/>
            <w:szCs w:val="16"/>
          </w:rPr>
          <w:t xml:space="preserve"> -</w:t>
        </w:r>
        <w:r w:rsidR="00714746" w:rsidRPr="000F061A">
          <w:rPr>
            <w:rStyle w:val="Hyperlink"/>
            <w:sz w:val="16"/>
            <w:szCs w:val="16"/>
          </w:rPr>
          <w:t xml:space="preserve"> A Strategy </w:t>
        </w:r>
        <w:r w:rsidR="000F061A" w:rsidRPr="000F061A">
          <w:rPr>
            <w:rStyle w:val="Hyperlink"/>
            <w:sz w:val="16"/>
            <w:szCs w:val="16"/>
          </w:rPr>
          <w:t>f</w:t>
        </w:r>
        <w:r w:rsidR="00714746" w:rsidRPr="000F061A">
          <w:rPr>
            <w:rStyle w:val="Hyperlink"/>
            <w:sz w:val="16"/>
            <w:szCs w:val="16"/>
          </w:rPr>
          <w:t xml:space="preserve">or Achieving Aluminium’s Full Potential </w:t>
        </w:r>
        <w:r w:rsidR="000F061A" w:rsidRPr="000F061A">
          <w:rPr>
            <w:rStyle w:val="Hyperlink"/>
            <w:sz w:val="16"/>
            <w:szCs w:val="16"/>
          </w:rPr>
          <w:t>f</w:t>
        </w:r>
        <w:r w:rsidR="00714746" w:rsidRPr="000F061A">
          <w:rPr>
            <w:rStyle w:val="Hyperlink"/>
            <w:sz w:val="16"/>
            <w:szCs w:val="16"/>
          </w:rPr>
          <w:t xml:space="preserve">or Circular Economy </w:t>
        </w:r>
        <w:r w:rsidR="000F061A" w:rsidRPr="000F061A">
          <w:rPr>
            <w:rStyle w:val="Hyperlink"/>
            <w:sz w:val="16"/>
            <w:szCs w:val="16"/>
          </w:rPr>
          <w:t>b</w:t>
        </w:r>
        <w:r w:rsidR="00714746" w:rsidRPr="000F061A">
          <w:rPr>
            <w:rStyle w:val="Hyperlink"/>
            <w:sz w:val="16"/>
            <w:szCs w:val="16"/>
          </w:rPr>
          <w:t>y 2030</w:t>
        </w:r>
      </w:hyperlink>
      <w:r w:rsidR="000F061A">
        <w:rPr>
          <w:sz w:val="16"/>
          <w:szCs w:val="16"/>
        </w:rPr>
        <w:t>.</w:t>
      </w:r>
    </w:p>
  </w:footnote>
  <w:footnote w:id="573">
    <w:p w14:paraId="182123F4" w14:textId="31A2B874" w:rsidR="00A240CB" w:rsidRPr="00720DA1" w:rsidRDefault="00A240CB" w:rsidP="008C6B45">
      <w:pPr>
        <w:pStyle w:val="FootnoteText"/>
        <w:jc w:val="lef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 xml:space="preserve">Where </w:t>
      </w:r>
      <w:r w:rsidR="007732EE" w:rsidRPr="00720DA1">
        <w:rPr>
          <w:sz w:val="16"/>
          <w:szCs w:val="16"/>
          <w:lang w:val="en-IE"/>
        </w:rPr>
        <w:t xml:space="preserve">22.5% is calculated </w:t>
      </w:r>
      <w:r w:rsidR="001A31F0" w:rsidRPr="00720DA1">
        <w:rPr>
          <w:sz w:val="16"/>
          <w:szCs w:val="16"/>
          <w:lang w:val="en-IE"/>
        </w:rPr>
        <w:t xml:space="preserve">by </w:t>
      </w:r>
      <w:r w:rsidR="007A662F" w:rsidRPr="00720DA1">
        <w:rPr>
          <w:sz w:val="16"/>
          <w:szCs w:val="16"/>
          <w:lang w:val="en-IE"/>
        </w:rPr>
        <w:t>dividing</w:t>
      </w:r>
      <w:r w:rsidR="001A31F0" w:rsidRPr="00720DA1">
        <w:rPr>
          <w:sz w:val="16"/>
          <w:szCs w:val="16"/>
          <w:lang w:val="en-IE"/>
        </w:rPr>
        <w:t xml:space="preserve"> </w:t>
      </w:r>
      <w:r w:rsidR="007A662F" w:rsidRPr="00720DA1">
        <w:rPr>
          <w:sz w:val="16"/>
          <w:szCs w:val="16"/>
          <w:lang w:val="en-IE"/>
        </w:rPr>
        <w:t xml:space="preserve">the projected increase in EU aluminium demand in 2030 (16 Mtonnes) </w:t>
      </w:r>
      <w:r w:rsidR="00920FAF" w:rsidRPr="00720DA1">
        <w:rPr>
          <w:sz w:val="16"/>
          <w:szCs w:val="16"/>
          <w:lang w:val="en-IE"/>
        </w:rPr>
        <w:t>with the projected supply</w:t>
      </w:r>
      <w:r w:rsidR="000639E3" w:rsidRPr="00720DA1">
        <w:rPr>
          <w:sz w:val="16"/>
          <w:szCs w:val="16"/>
          <w:lang w:val="en-IE"/>
        </w:rPr>
        <w:t xml:space="preserve"> low</w:t>
      </w:r>
      <w:r w:rsidR="008251C5" w:rsidRPr="00720DA1">
        <w:rPr>
          <w:sz w:val="16"/>
          <w:szCs w:val="16"/>
          <w:lang w:val="en-IE"/>
        </w:rPr>
        <w:t>-</w:t>
      </w:r>
      <w:r w:rsidR="000639E3" w:rsidRPr="00720DA1">
        <w:rPr>
          <w:sz w:val="16"/>
          <w:szCs w:val="16"/>
          <w:lang w:val="en-IE"/>
        </w:rPr>
        <w:t>carbon capacity (3.6 Mtonnes) by 2030.</w:t>
      </w:r>
    </w:p>
  </w:footnote>
  <w:footnote w:id="574">
    <w:p w14:paraId="398DEFC3"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For the objective of lead markets in the construction sector, the requirement may be established at the level of concrete, as the carbon impact of energy intensive materials depends heavily on the specific design and material mix. </w:t>
      </w:r>
    </w:p>
  </w:footnote>
  <w:footnote w:id="575">
    <w:p w14:paraId="7BC4C01B" w14:textId="1559B761" w:rsidR="00E060C8" w:rsidRPr="00720DA1" w:rsidRDefault="00E060C8">
      <w:pPr>
        <w:pStyle w:val="FootnoteText"/>
        <w:rPr>
          <w:sz w:val="16"/>
          <w:szCs w:val="16"/>
        </w:rPr>
      </w:pPr>
      <w:r w:rsidRPr="00720DA1">
        <w:rPr>
          <w:rStyle w:val="FootnoteReference"/>
          <w:sz w:val="16"/>
          <w:szCs w:val="16"/>
        </w:rPr>
        <w:footnoteRef/>
      </w:r>
      <w:r w:rsidRPr="00720DA1">
        <w:rPr>
          <w:sz w:val="16"/>
          <w:szCs w:val="16"/>
        </w:rPr>
        <w:t xml:space="preserve"> </w:t>
      </w:r>
      <w:r w:rsidR="00B24629" w:rsidRPr="00720DA1">
        <w:rPr>
          <w:rFonts w:cs="Times New Roman"/>
          <w:sz w:val="16"/>
          <w:szCs w:val="16"/>
        </w:rPr>
        <w:t>European Battery Alliance</w:t>
      </w:r>
      <w:r w:rsidR="005924DD" w:rsidRPr="00720DA1">
        <w:rPr>
          <w:rFonts w:cs="Times New Roman"/>
          <w:sz w:val="16"/>
          <w:szCs w:val="16"/>
        </w:rPr>
        <w:t>,</w:t>
      </w:r>
      <w:r w:rsidR="00B24629" w:rsidRPr="00720DA1">
        <w:rPr>
          <w:rFonts w:cs="Times New Roman"/>
          <w:sz w:val="16"/>
          <w:szCs w:val="16"/>
        </w:rPr>
        <w:t xml:space="preserve"> BloombergNEF</w:t>
      </w:r>
      <w:r w:rsidR="005924DD" w:rsidRPr="00720DA1">
        <w:rPr>
          <w:rFonts w:cs="Times New Roman"/>
          <w:sz w:val="16"/>
          <w:szCs w:val="16"/>
        </w:rPr>
        <w:t xml:space="preserve"> and </w:t>
      </w:r>
      <w:r w:rsidR="00304D70">
        <w:rPr>
          <w:rFonts w:cs="Times New Roman"/>
          <w:sz w:val="16"/>
          <w:szCs w:val="16"/>
        </w:rPr>
        <w:t xml:space="preserve">European </w:t>
      </w:r>
      <w:r w:rsidR="005924DD" w:rsidRPr="00720DA1">
        <w:rPr>
          <w:rFonts w:cs="Times New Roman"/>
          <w:sz w:val="16"/>
          <w:szCs w:val="16"/>
        </w:rPr>
        <w:t>Commission internal analysis.</w:t>
      </w:r>
    </w:p>
  </w:footnote>
  <w:footnote w:id="576">
    <w:p w14:paraId="4170FE2F" w14:textId="77777777" w:rsidR="003F7ED8" w:rsidRPr="00720DA1" w:rsidRDefault="003F7ED8"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BloombergNEF and European Battery Alliance</w:t>
      </w:r>
    </w:p>
  </w:footnote>
  <w:footnote w:id="577">
    <w:p w14:paraId="26D43867" w14:textId="5EBEE703" w:rsidR="003F7ED8" w:rsidRPr="00720DA1" w:rsidRDefault="003F7ED8"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w:t>
      </w:r>
      <w:r w:rsidR="005546C0" w:rsidRPr="00720DA1">
        <w:rPr>
          <w:rFonts w:cs="Times New Roman"/>
          <w:sz w:val="16"/>
          <w:szCs w:val="16"/>
        </w:rPr>
        <w:t>bid.</w:t>
      </w:r>
    </w:p>
  </w:footnote>
  <w:footnote w:id="578">
    <w:p w14:paraId="36848D67" w14:textId="77777777" w:rsidR="003F7ED8" w:rsidRPr="00720DA1" w:rsidRDefault="003F7ED8" w:rsidP="00CE1615">
      <w:pPr>
        <w:pStyle w:val="FootnoteText"/>
        <w:rPr>
          <w:sz w:val="16"/>
          <w:szCs w:val="16"/>
        </w:rPr>
      </w:pPr>
      <w:r w:rsidRPr="00720DA1">
        <w:rPr>
          <w:rStyle w:val="FootnoteReference"/>
          <w:rFonts w:cs="Times New Roman"/>
          <w:sz w:val="16"/>
          <w:szCs w:val="16"/>
        </w:rPr>
        <w:footnoteRef/>
      </w:r>
      <w:r w:rsidRPr="00720DA1">
        <w:rPr>
          <w:rFonts w:cs="Times New Roman"/>
          <w:sz w:val="16"/>
          <w:szCs w:val="16"/>
        </w:rPr>
        <w:t xml:space="preserve"> BloombergNEF</w:t>
      </w:r>
    </w:p>
  </w:footnote>
  <w:footnote w:id="579">
    <w:p w14:paraId="789A2F11" w14:textId="28B8B0B1" w:rsidR="00650A58" w:rsidRPr="00720DA1" w:rsidRDefault="00650A58" w:rsidP="00CE1615">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003B3DEB" w:rsidRPr="00720DA1">
        <w:rPr>
          <w:rFonts w:cs="Times New Roman"/>
          <w:sz w:val="16"/>
          <w:szCs w:val="16"/>
        </w:rPr>
        <w:t>Up to s</w:t>
      </w:r>
      <w:r w:rsidRPr="00720DA1">
        <w:rPr>
          <w:rFonts w:cs="Times New Roman"/>
          <w:sz w:val="16"/>
          <w:szCs w:val="16"/>
        </w:rPr>
        <w:t xml:space="preserve">ix operational projects do not </w:t>
      </w:r>
      <w:r w:rsidR="008A7F7B" w:rsidRPr="00720DA1">
        <w:rPr>
          <w:rFonts w:cs="Times New Roman"/>
          <w:sz w:val="16"/>
          <w:szCs w:val="16"/>
        </w:rPr>
        <w:t xml:space="preserve">have available </w:t>
      </w:r>
      <w:r w:rsidR="003B3DEB" w:rsidRPr="00720DA1">
        <w:rPr>
          <w:rFonts w:cs="Times New Roman"/>
          <w:sz w:val="16"/>
          <w:szCs w:val="16"/>
        </w:rPr>
        <w:t>information on their</w:t>
      </w:r>
      <w:r w:rsidR="008A7F7B" w:rsidRPr="00720DA1">
        <w:rPr>
          <w:rFonts w:cs="Times New Roman"/>
          <w:sz w:val="16"/>
          <w:szCs w:val="16"/>
        </w:rPr>
        <w:t xml:space="preserve"> installed capacities.</w:t>
      </w:r>
      <w:r w:rsidR="003F105D" w:rsidRPr="00720DA1">
        <w:rPr>
          <w:rFonts w:cs="Times New Roman"/>
          <w:sz w:val="16"/>
          <w:szCs w:val="16"/>
        </w:rPr>
        <w:t xml:space="preserve"> Current installed capacity for </w:t>
      </w:r>
      <w:r w:rsidR="00F51D39" w:rsidRPr="00720DA1">
        <w:rPr>
          <w:rFonts w:cs="Times New Roman"/>
          <w:sz w:val="16"/>
          <w:szCs w:val="16"/>
        </w:rPr>
        <w:t xml:space="preserve">modules and packs must </w:t>
      </w:r>
      <w:r w:rsidR="007B067B" w:rsidRPr="00720DA1">
        <w:rPr>
          <w:rFonts w:cs="Times New Roman"/>
          <w:sz w:val="16"/>
          <w:szCs w:val="16"/>
        </w:rPr>
        <w:t>abso</w:t>
      </w:r>
      <w:r w:rsidR="00575909" w:rsidRPr="00720DA1">
        <w:rPr>
          <w:rFonts w:cs="Times New Roman"/>
          <w:sz w:val="16"/>
          <w:szCs w:val="16"/>
        </w:rPr>
        <w:t>rb both EU made and imported cells.</w:t>
      </w:r>
    </w:p>
  </w:footnote>
  <w:footnote w:id="580">
    <w:p w14:paraId="57794326" w14:textId="7DE7A91F" w:rsidR="00DD2271" w:rsidRPr="00720DA1" w:rsidRDefault="00DD2271" w:rsidP="00CE1615">
      <w:pPr>
        <w:pStyle w:val="FootnoteText"/>
        <w:rPr>
          <w:sz w:val="16"/>
          <w:szCs w:val="16"/>
        </w:rPr>
      </w:pPr>
      <w:r w:rsidRPr="00720DA1">
        <w:rPr>
          <w:rStyle w:val="FootnoteReference"/>
          <w:sz w:val="16"/>
          <w:szCs w:val="16"/>
        </w:rPr>
        <w:footnoteRef/>
      </w:r>
      <w:r w:rsidRPr="00720DA1">
        <w:rPr>
          <w:sz w:val="16"/>
          <w:szCs w:val="16"/>
        </w:rPr>
        <w:t xml:space="preserve"> </w:t>
      </w:r>
      <w:r w:rsidR="00D66501" w:rsidRPr="00720DA1">
        <w:rPr>
          <w:rFonts w:cs="Times New Roman"/>
          <w:sz w:val="16"/>
          <w:szCs w:val="16"/>
        </w:rPr>
        <w:t>Battery Pack Manufacturing Assets</w:t>
      </w:r>
      <w:r w:rsidR="00D66501" w:rsidRPr="00720DA1">
        <w:rPr>
          <w:sz w:val="16"/>
          <w:szCs w:val="16"/>
        </w:rPr>
        <w:t xml:space="preserve">, </w:t>
      </w:r>
      <w:r w:rsidRPr="00720DA1">
        <w:rPr>
          <w:rFonts w:cs="Times New Roman"/>
          <w:sz w:val="16"/>
          <w:szCs w:val="16"/>
        </w:rPr>
        <w:t>BloombergNEF</w:t>
      </w:r>
    </w:p>
  </w:footnote>
  <w:footnote w:id="581">
    <w:p w14:paraId="163174EC" w14:textId="77777777" w:rsidR="003F7ED8" w:rsidRPr="00720DA1" w:rsidRDefault="003F7ED8"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BMS Manufacturers, Battery News</w:t>
      </w:r>
    </w:p>
  </w:footnote>
  <w:footnote w:id="582">
    <w:p w14:paraId="025F46AC" w14:textId="77777777" w:rsidR="003F7ED8" w:rsidRPr="00720DA1" w:rsidRDefault="003F7ED8"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Top Companies in Battery Thermal Management System Industry, Markets and Markets</w:t>
      </w:r>
    </w:p>
  </w:footnote>
  <w:footnote w:id="583">
    <w:p w14:paraId="254B6E96" w14:textId="5252DA7D" w:rsidR="00AC367B" w:rsidRPr="00720DA1" w:rsidRDefault="00AC367B" w:rsidP="00AC367B">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00100000" w:rsidRPr="00720DA1">
        <w:rPr>
          <w:rFonts w:eastAsia="Times New Roman" w:cs="Times New Roman"/>
          <w:sz w:val="16"/>
          <w:szCs w:val="16"/>
        </w:rPr>
        <w:t>MIT CEEPR</w:t>
      </w:r>
      <w:r w:rsidR="00100000" w:rsidRPr="00720DA1">
        <w:rPr>
          <w:rFonts w:cs="Times New Roman"/>
          <w:sz w:val="16"/>
          <w:szCs w:val="16"/>
        </w:rPr>
        <w:t>.</w:t>
      </w:r>
      <w:r w:rsidRPr="00720DA1">
        <w:rPr>
          <w:sz w:val="16"/>
          <w:szCs w:val="16"/>
        </w:rPr>
        <w:t xml:space="preserve"> </w:t>
      </w:r>
      <w:r w:rsidRPr="00720DA1">
        <w:rPr>
          <w:rFonts w:cs="Times New Roman"/>
          <w:sz w:val="16"/>
          <w:szCs w:val="16"/>
        </w:rPr>
        <w:t>Global Clean Investment Monitor: Government Support for Electric Vehicles and Batteries. In 2024, Europe allocated approximately EUR 2.15 billion in subsidies for both electric vehicles and battery manufacturing. By comparison, China and the United States allocated EUR 6.32 billion and EUR 7.4 billion, respectively, for battery manufacturing alone.</w:t>
      </w:r>
    </w:p>
  </w:footnote>
  <w:footnote w:id="584">
    <w:p w14:paraId="59DE3CC5" w14:textId="6C402941" w:rsidR="00AC367B" w:rsidRPr="00720DA1" w:rsidRDefault="00AC367B" w:rsidP="00AC367B">
      <w:pPr>
        <w:pStyle w:val="FootnoteText"/>
        <w:rPr>
          <w:rFonts w:cs="Times New Roman"/>
          <w:sz w:val="16"/>
          <w:szCs w:val="16"/>
        </w:rPr>
      </w:pPr>
      <w:r w:rsidRPr="00720DA1">
        <w:rPr>
          <w:rStyle w:val="FootnoteReference"/>
          <w:sz w:val="16"/>
          <w:szCs w:val="16"/>
        </w:rPr>
        <w:footnoteRef/>
      </w:r>
      <w:r w:rsidRPr="00720DA1">
        <w:rPr>
          <w:sz w:val="16"/>
          <w:szCs w:val="16"/>
        </w:rPr>
        <w:t xml:space="preserve"> </w:t>
      </w:r>
      <w:r w:rsidR="0093568B" w:rsidRPr="00720DA1">
        <w:rPr>
          <w:rFonts w:cs="Times New Roman"/>
          <w:sz w:val="16"/>
          <w:szCs w:val="16"/>
        </w:rPr>
        <w:t>IEA</w:t>
      </w:r>
      <w:r w:rsidR="0093568B" w:rsidRPr="00720DA1">
        <w:rPr>
          <w:sz w:val="16"/>
          <w:szCs w:val="16"/>
        </w:rPr>
        <w:t xml:space="preserve"> (2024)</w:t>
      </w:r>
      <w:r w:rsidR="0093568B" w:rsidRPr="00720DA1">
        <w:rPr>
          <w:rFonts w:cs="Times New Roman"/>
          <w:sz w:val="16"/>
          <w:szCs w:val="16"/>
        </w:rPr>
        <w:t xml:space="preserve">. </w:t>
      </w:r>
      <w:hyperlink r:id="rId384" w:history="1">
        <w:r w:rsidR="0093568B" w:rsidRPr="00720DA1">
          <w:rPr>
            <w:rStyle w:val="Hyperlink"/>
            <w:rFonts w:cs="Times New Roman"/>
            <w:sz w:val="16"/>
            <w:szCs w:val="16"/>
          </w:rPr>
          <w:t>Energy Technology Perspectives 2024</w:t>
        </w:r>
      </w:hyperlink>
      <w:r w:rsidR="0083693E" w:rsidRPr="00720DA1">
        <w:rPr>
          <w:sz w:val="16"/>
          <w:szCs w:val="16"/>
        </w:rPr>
        <w:t>.</w:t>
      </w:r>
    </w:p>
  </w:footnote>
  <w:footnote w:id="585">
    <w:p w14:paraId="3DCE27F6" w14:textId="77777777" w:rsidR="00AC367B" w:rsidRPr="00720DA1" w:rsidRDefault="00AC367B" w:rsidP="00AC367B">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 xml:space="preserve">Battery manufacturing cost differentials are assessed at battery cell level and include battery cells as well as cathode and anode active materials. These components account for the largest share of total battery costs and also due to their energy-intensive nature and the importance of manufacturing efficiency, they are where cost disparities between China and other regions are most pronounced. Costs for separators, electrolytes, current collectors, and other upstream materials are based on global average estimates. </w:t>
      </w:r>
    </w:p>
  </w:footnote>
  <w:footnote w:id="586">
    <w:p w14:paraId="28DFCC67" w14:textId="5B5FCBB4" w:rsidR="00AC367B" w:rsidRPr="00720DA1" w:rsidRDefault="00AC367B" w:rsidP="00AC367B">
      <w:pPr>
        <w:pStyle w:val="FootnoteText"/>
        <w:rPr>
          <w:sz w:val="16"/>
          <w:szCs w:val="16"/>
        </w:rPr>
      </w:pPr>
      <w:r w:rsidRPr="00720DA1">
        <w:rPr>
          <w:rStyle w:val="FootnoteReference"/>
          <w:sz w:val="16"/>
          <w:szCs w:val="16"/>
        </w:rPr>
        <w:footnoteRef/>
      </w:r>
      <w:r w:rsidRPr="00720DA1">
        <w:rPr>
          <w:sz w:val="16"/>
          <w:szCs w:val="16"/>
        </w:rPr>
        <w:t xml:space="preserve"> </w:t>
      </w:r>
      <w:r w:rsidR="0083693E" w:rsidRPr="00720DA1">
        <w:rPr>
          <w:rFonts w:cs="Times New Roman"/>
          <w:sz w:val="16"/>
          <w:szCs w:val="16"/>
        </w:rPr>
        <w:t>IEA</w:t>
      </w:r>
      <w:r w:rsidR="0083693E" w:rsidRPr="00720DA1">
        <w:rPr>
          <w:sz w:val="16"/>
          <w:szCs w:val="16"/>
        </w:rPr>
        <w:t xml:space="preserve"> (2024)</w:t>
      </w:r>
      <w:r w:rsidR="0083693E" w:rsidRPr="00720DA1">
        <w:rPr>
          <w:rFonts w:cs="Times New Roman"/>
          <w:sz w:val="16"/>
          <w:szCs w:val="16"/>
        </w:rPr>
        <w:t xml:space="preserve">, </w:t>
      </w:r>
      <w:hyperlink r:id="rId385" w:history="1">
        <w:r w:rsidR="0083693E" w:rsidRPr="00720DA1">
          <w:rPr>
            <w:rStyle w:val="Hyperlink"/>
            <w:rFonts w:cs="Times New Roman"/>
            <w:sz w:val="16"/>
            <w:szCs w:val="16"/>
          </w:rPr>
          <w:t>Energy Technology Perspectives 2024</w:t>
        </w:r>
      </w:hyperlink>
      <w:r w:rsidR="0083693E" w:rsidRPr="00720DA1">
        <w:rPr>
          <w:sz w:val="16"/>
          <w:szCs w:val="16"/>
        </w:rPr>
        <w:t>.</w:t>
      </w:r>
    </w:p>
  </w:footnote>
  <w:footnote w:id="587">
    <w:p w14:paraId="2CB16290" w14:textId="77777777" w:rsidR="00AC367B" w:rsidRPr="00720DA1" w:rsidRDefault="00AC367B" w:rsidP="00AC367B">
      <w:pPr>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Intercalaction Station, 2023</w:t>
      </w:r>
    </w:p>
  </w:footnote>
  <w:footnote w:id="588">
    <w:p w14:paraId="2C1EEB4E" w14:textId="74697E9F" w:rsidR="00AC367B" w:rsidRPr="00720DA1" w:rsidRDefault="00AC367B" w:rsidP="00AC367B">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Battery Report 2024</w:t>
      </w:r>
      <w:r w:rsidRPr="00720DA1">
        <w:rPr>
          <w:sz w:val="16"/>
          <w:szCs w:val="16"/>
        </w:rPr>
        <w:t xml:space="preserve">, </w:t>
      </w:r>
      <w:r w:rsidRPr="00720DA1">
        <w:rPr>
          <w:rFonts w:cs="Times New Roman"/>
          <w:sz w:val="16"/>
          <w:szCs w:val="16"/>
        </w:rPr>
        <w:t>Volta Foundation</w:t>
      </w:r>
      <w:r w:rsidR="00EC5FA4">
        <w:rPr>
          <w:rFonts w:cs="Times New Roman"/>
          <w:sz w:val="16"/>
          <w:szCs w:val="16"/>
        </w:rPr>
        <w:t xml:space="preserve">. </w:t>
      </w:r>
      <w:r w:rsidR="0019517D" w:rsidRPr="0019517D">
        <w:rPr>
          <w:rFonts w:cs="Times New Roman"/>
          <w:sz w:val="16"/>
          <w:szCs w:val="16"/>
        </w:rPr>
        <w:t>Model parameters</w:t>
      </w:r>
      <w:r w:rsidR="0019517D">
        <w:rPr>
          <w:rFonts w:cs="Times New Roman"/>
          <w:sz w:val="16"/>
          <w:szCs w:val="16"/>
        </w:rPr>
        <w:t>: s</w:t>
      </w:r>
      <w:r w:rsidR="0019517D" w:rsidRPr="0019517D">
        <w:rPr>
          <w:rFonts w:cs="Times New Roman"/>
          <w:sz w:val="16"/>
          <w:szCs w:val="16"/>
        </w:rPr>
        <w:t>ame yields, factory automation, material margins</w:t>
      </w:r>
      <w:r w:rsidR="00D5418C">
        <w:rPr>
          <w:rFonts w:cs="Times New Roman"/>
          <w:sz w:val="16"/>
          <w:szCs w:val="16"/>
        </w:rPr>
        <w:t>; n</w:t>
      </w:r>
      <w:r w:rsidR="0019517D" w:rsidRPr="0019517D">
        <w:rPr>
          <w:rFonts w:cs="Times New Roman"/>
          <w:sz w:val="16"/>
          <w:szCs w:val="16"/>
        </w:rPr>
        <w:t>o import tariffs or local premiums on materials</w:t>
      </w:r>
      <w:r w:rsidR="00854F37">
        <w:rPr>
          <w:rFonts w:cs="Times New Roman"/>
          <w:sz w:val="16"/>
          <w:szCs w:val="16"/>
        </w:rPr>
        <w:t xml:space="preserve"> and </w:t>
      </w:r>
      <w:r w:rsidR="00D5418C">
        <w:rPr>
          <w:rFonts w:cs="Times New Roman"/>
          <w:sz w:val="16"/>
          <w:szCs w:val="16"/>
        </w:rPr>
        <w:t>r</w:t>
      </w:r>
      <w:r w:rsidR="0019517D" w:rsidRPr="0019517D">
        <w:rPr>
          <w:rFonts w:cs="Times New Roman"/>
          <w:sz w:val="16"/>
          <w:szCs w:val="16"/>
        </w:rPr>
        <w:t>egion-average energy prices</w:t>
      </w:r>
      <w:r w:rsidR="00854F37">
        <w:rPr>
          <w:rFonts w:cs="Times New Roman"/>
          <w:sz w:val="16"/>
          <w:szCs w:val="16"/>
        </w:rPr>
        <w:t>.</w:t>
      </w:r>
    </w:p>
  </w:footnote>
  <w:footnote w:id="589">
    <w:p w14:paraId="3935E3A2" w14:textId="0B2E9774" w:rsidR="00AC367B" w:rsidRPr="00720DA1" w:rsidRDefault="00AC367B" w:rsidP="00AC367B">
      <w:pPr>
        <w:pStyle w:val="FootnoteText"/>
        <w:rPr>
          <w:sz w:val="16"/>
          <w:szCs w:val="16"/>
        </w:rPr>
      </w:pPr>
      <w:r w:rsidRPr="00720DA1">
        <w:rPr>
          <w:rStyle w:val="FootnoteReference"/>
          <w:sz w:val="16"/>
          <w:szCs w:val="16"/>
        </w:rPr>
        <w:footnoteRef/>
      </w:r>
      <w:r w:rsidRPr="00720DA1">
        <w:rPr>
          <w:sz w:val="16"/>
          <w:szCs w:val="16"/>
        </w:rPr>
        <w:t xml:space="preserve"> </w:t>
      </w:r>
      <w:r w:rsidR="0093568B" w:rsidRPr="00720DA1">
        <w:rPr>
          <w:rFonts w:cs="Times New Roman"/>
          <w:sz w:val="16"/>
          <w:szCs w:val="16"/>
        </w:rPr>
        <w:t>IEA</w:t>
      </w:r>
      <w:r w:rsidR="0093568B" w:rsidRPr="00720DA1">
        <w:rPr>
          <w:sz w:val="16"/>
          <w:szCs w:val="16"/>
        </w:rPr>
        <w:t xml:space="preserve"> (2024)</w:t>
      </w:r>
      <w:r w:rsidR="0093568B" w:rsidRPr="00720DA1">
        <w:rPr>
          <w:rFonts w:cs="Times New Roman"/>
          <w:sz w:val="16"/>
          <w:szCs w:val="16"/>
        </w:rPr>
        <w:t xml:space="preserve">. </w:t>
      </w:r>
      <w:hyperlink r:id="rId386" w:history="1">
        <w:r w:rsidR="0093568B" w:rsidRPr="00720DA1">
          <w:rPr>
            <w:rStyle w:val="Hyperlink"/>
            <w:rFonts w:cs="Times New Roman"/>
            <w:sz w:val="16"/>
            <w:szCs w:val="16"/>
          </w:rPr>
          <w:t>Energy Technology Perspectives 2024</w:t>
        </w:r>
      </w:hyperlink>
      <w:r w:rsidR="0083693E" w:rsidRPr="00720DA1">
        <w:rPr>
          <w:sz w:val="16"/>
          <w:szCs w:val="16"/>
        </w:rPr>
        <w:t>.</w:t>
      </w:r>
    </w:p>
  </w:footnote>
  <w:footnote w:id="590">
    <w:p w14:paraId="1EE927A5"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C(2025) 9033 final ANNEX </w:t>
      </w:r>
    </w:p>
  </w:footnote>
  <w:footnote w:id="591">
    <w:p w14:paraId="71A2B351"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Highlighted in the Commission Communication on shares of the Union supply under NZIA; Communication of the Commission of 23 May 2025 providing updated information to determine the shares of the European Union supply of final products and their main specific components originating in different third countries under Regulation (EU) 2024/1735 on establishing a framework of measures for strengthening Europe’s net-zero technology manufacturing ecosystem (Net-Zero Industry Act).</w:t>
      </w:r>
    </w:p>
  </w:footnote>
  <w:footnote w:id="592">
    <w:p w14:paraId="09C61B1F"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Parties to the GPA include Armenia, Australia, Canada, Chinese Taipei, EU, Hong Kong SAR, Iceland, Israel, Japan, Liechtenstein, Moldova, Montenegro, New Zealand, North Macedonia, Norway, Singapore, South Korea, Switzerland, Ukraine, United Kingdom, and the United States.</w:t>
      </w:r>
    </w:p>
  </w:footnote>
  <w:footnote w:id="593">
    <w:p w14:paraId="100B2EEF"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An mapping of the EU’s trade agreements is available at </w:t>
      </w:r>
      <w:hyperlink r:id="rId387" w:history="1">
        <w:r w:rsidRPr="00720DA1">
          <w:rPr>
            <w:rStyle w:val="Hyperlink"/>
            <w:rFonts w:cs="Times New Roman"/>
            <w:sz w:val="16"/>
            <w:szCs w:val="16"/>
          </w:rPr>
          <w:t>0e05d6f3-64f5-4661-ae0c-aefb68094d19</w:t>
        </w:r>
      </w:hyperlink>
      <w:r w:rsidRPr="00720DA1">
        <w:rPr>
          <w:rFonts w:cs="Times New Roman"/>
          <w:sz w:val="16"/>
          <w:szCs w:val="16"/>
        </w:rPr>
        <w:t xml:space="preserve">. More information is available at </w:t>
      </w:r>
      <w:hyperlink r:id="rId388" w:history="1">
        <w:r w:rsidRPr="00720DA1">
          <w:rPr>
            <w:rStyle w:val="Hyperlink"/>
            <w:rFonts w:cs="Times New Roman"/>
            <w:sz w:val="16"/>
            <w:szCs w:val="16"/>
          </w:rPr>
          <w:t>https://policy.trade.ec.europa.eu/eu-trade-relationships-country-and-region/negotiations-and-agreements_en</w:t>
        </w:r>
      </w:hyperlink>
      <w:r w:rsidRPr="00720DA1">
        <w:rPr>
          <w:rFonts w:cs="Times New Roman"/>
          <w:sz w:val="16"/>
          <w:szCs w:val="16"/>
        </w:rPr>
        <w:t xml:space="preserve">. </w:t>
      </w:r>
    </w:p>
  </w:footnote>
  <w:footnote w:id="594">
    <w:p w14:paraId="5D3CE324" w14:textId="5979FFB6" w:rsidR="00913ABF" w:rsidRPr="00720DA1" w:rsidRDefault="00913ABF" w:rsidP="00CE1615">
      <w:pPr>
        <w:pStyle w:val="FootnoteText"/>
        <w:rPr>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72B3E" w:rsidRPr="00720DA1">
        <w:rPr>
          <w:sz w:val="16"/>
          <w:szCs w:val="16"/>
        </w:rPr>
        <w:t xml:space="preserve">SolarPower Europe (2025). </w:t>
      </w:r>
      <w:hyperlink r:id="rId389" w:history="1">
        <w:r w:rsidR="008C04B7">
          <w:rPr>
            <w:rStyle w:val="Hyperlink"/>
            <w:rFonts w:cs="Times New Roman"/>
            <w:sz w:val="16"/>
            <w:szCs w:val="16"/>
          </w:rPr>
          <w:t>Reshoring Solar Manufacturing to Europe.</w:t>
        </w:r>
      </w:hyperlink>
    </w:p>
  </w:footnote>
  <w:footnote w:id="595">
    <w:p w14:paraId="03E2BD44" w14:textId="5217EB24" w:rsidR="00913ABF" w:rsidRPr="00720DA1" w:rsidRDefault="00913ABF" w:rsidP="00CE1615">
      <w:pPr>
        <w:pStyle w:val="FootnoteText"/>
        <w:rPr>
          <w:sz w:val="16"/>
          <w:szCs w:val="16"/>
        </w:rPr>
      </w:pPr>
      <w:r w:rsidRPr="00720DA1">
        <w:rPr>
          <w:rStyle w:val="FootnoteReference"/>
          <w:sz w:val="16"/>
          <w:szCs w:val="16"/>
        </w:rPr>
        <w:footnoteRef/>
      </w:r>
      <w:r w:rsidRPr="00720DA1">
        <w:rPr>
          <w:sz w:val="16"/>
          <w:szCs w:val="16"/>
        </w:rPr>
        <w:t xml:space="preserve"> </w:t>
      </w:r>
      <w:r w:rsidR="001B36A3">
        <w:rPr>
          <w:sz w:val="16"/>
          <w:szCs w:val="16"/>
        </w:rPr>
        <w:t xml:space="preserve">PV Magazine (2024). </w:t>
      </w:r>
      <w:hyperlink r:id="rId390" w:anchor=":~:text=Developers%20deployed%2065.5%20GW%20of%20solar%20across%20the,the%2053%25%20growth%20recorded%20between%202022%20and%202023.">
        <w:r w:rsidR="008D18AE" w:rsidRPr="00720DA1">
          <w:rPr>
            <w:rStyle w:val="Hyperlink"/>
            <w:sz w:val="16"/>
            <w:szCs w:val="16"/>
          </w:rPr>
          <w:t>EU solar installations hit 65.5 GW in 2024, says SolarPower Europe</w:t>
        </w:r>
      </w:hyperlink>
      <w:r w:rsidR="001B36A3">
        <w:t>.</w:t>
      </w:r>
    </w:p>
  </w:footnote>
  <w:footnote w:id="596">
    <w:p w14:paraId="1C29AE88" w14:textId="3F73068D" w:rsidR="003B0988" w:rsidRPr="00C219DC" w:rsidRDefault="003B0988" w:rsidP="0016716E">
      <w:pPr>
        <w:pStyle w:val="FootnoteText"/>
        <w:rPr>
          <w:sz w:val="16"/>
          <w:szCs w:val="16"/>
        </w:rPr>
      </w:pPr>
      <w:r w:rsidRPr="00C219DC">
        <w:rPr>
          <w:rStyle w:val="FootnoteReference"/>
          <w:sz w:val="16"/>
          <w:szCs w:val="16"/>
        </w:rPr>
        <w:footnoteRef/>
      </w:r>
      <w:r w:rsidR="0016716E">
        <w:rPr>
          <w:sz w:val="16"/>
          <w:szCs w:val="16"/>
        </w:rPr>
        <w:t xml:space="preserve"> European Commission (2022). </w:t>
      </w:r>
      <w:hyperlink r:id="rId391" w:history="1">
        <w:r w:rsidR="0016716E" w:rsidRPr="00C219DC">
          <w:rPr>
            <w:rStyle w:val="Hyperlink"/>
            <w:sz w:val="16"/>
            <w:szCs w:val="16"/>
          </w:rPr>
          <w:t>Communication from the Commission to the European Parliament, the Council, the European Economic and Social Committee and the Committee of the Regions - EU Solar Energy Strategy</w:t>
        </w:r>
      </w:hyperlink>
      <w:r w:rsidR="00C219DC">
        <w:rPr>
          <w:sz w:val="16"/>
          <w:szCs w:val="16"/>
        </w:rPr>
        <w:t>,</w:t>
      </w:r>
      <w:r w:rsidRPr="00C219DC">
        <w:rPr>
          <w:sz w:val="16"/>
          <w:szCs w:val="16"/>
        </w:rPr>
        <w:t xml:space="preserve"> COM/2022/221 final</w:t>
      </w:r>
      <w:r w:rsidR="00C219DC">
        <w:rPr>
          <w:sz w:val="16"/>
          <w:szCs w:val="16"/>
        </w:rPr>
        <w:t>.</w:t>
      </w:r>
    </w:p>
  </w:footnote>
  <w:footnote w:id="597">
    <w:p w14:paraId="5878A4D7" w14:textId="6304B65F" w:rsidR="007A457F" w:rsidRPr="00720DA1" w:rsidRDefault="007A457F">
      <w:pPr>
        <w:pStyle w:val="FootnoteText"/>
        <w:rPr>
          <w:sz w:val="16"/>
          <w:szCs w:val="16"/>
        </w:rPr>
      </w:pPr>
      <w:r w:rsidRPr="00720DA1">
        <w:rPr>
          <w:rStyle w:val="FootnoteReference"/>
          <w:sz w:val="16"/>
          <w:szCs w:val="16"/>
        </w:rPr>
        <w:footnoteRef/>
      </w:r>
      <w:r w:rsidR="003D0535" w:rsidRPr="00720DA1">
        <w:rPr>
          <w:sz w:val="16"/>
          <w:szCs w:val="16"/>
        </w:rPr>
        <w:t xml:space="preserve"> European Commission (2025), Communication from the Commission providing updated information to determine the shares of the European Union supply of final products and their main specific components originating in different third countries under Regulation (EU) 2024/1735 on establishing a framework of measures for strengthening Europe’s net-zero technology manufacturing ecosystem (Net-Zero Industry Act), </w:t>
      </w:r>
      <w:hyperlink r:id="rId392" w:history="1">
        <w:r w:rsidR="003D0535" w:rsidRPr="00720DA1">
          <w:rPr>
            <w:rStyle w:val="Hyperlink"/>
            <w:sz w:val="16"/>
            <w:szCs w:val="16"/>
          </w:rPr>
          <w:t>C(2025) 3236</w:t>
        </w:r>
      </w:hyperlink>
      <w:r w:rsidR="003D0535" w:rsidRPr="00720DA1">
        <w:rPr>
          <w:sz w:val="16"/>
          <w:szCs w:val="16"/>
        </w:rPr>
        <w:t>, 18 June 2025.</w:t>
      </w:r>
    </w:p>
  </w:footnote>
  <w:footnote w:id="598">
    <w:p w14:paraId="46C45419" w14:textId="465B0BB2" w:rsidR="00531B18" w:rsidRPr="00720DA1" w:rsidRDefault="00531B18" w:rsidP="00531B18">
      <w:pPr>
        <w:pStyle w:val="FootnoteText"/>
        <w:rPr>
          <w:sz w:val="16"/>
          <w:szCs w:val="16"/>
        </w:rPr>
      </w:pPr>
      <w:r w:rsidRPr="00720DA1">
        <w:rPr>
          <w:rStyle w:val="FootnoteReference"/>
          <w:sz w:val="16"/>
          <w:szCs w:val="16"/>
        </w:rPr>
        <w:footnoteRef/>
      </w:r>
      <w:r w:rsidR="003D0535" w:rsidRPr="00720DA1">
        <w:rPr>
          <w:sz w:val="16"/>
          <w:szCs w:val="16"/>
        </w:rPr>
        <w:t xml:space="preserve">European Commission (2025), Communication from the Commission providing updated information to determine the shares of the European Union supply of final products and their main specific components originating in different third countries under Regulation (EU) 2024/1735 on establishing a framework of measures for strengthening Europe’s net-zero technology manufacturing ecosystem (Net-Zero Industry Act), </w:t>
      </w:r>
      <w:hyperlink r:id="rId393" w:history="1">
        <w:r w:rsidR="003D0535" w:rsidRPr="00720DA1">
          <w:rPr>
            <w:rStyle w:val="Hyperlink"/>
            <w:sz w:val="16"/>
            <w:szCs w:val="16"/>
          </w:rPr>
          <w:t>C(2025) 3236</w:t>
        </w:r>
      </w:hyperlink>
      <w:r w:rsidR="003D0535" w:rsidRPr="00720DA1">
        <w:rPr>
          <w:sz w:val="16"/>
          <w:szCs w:val="16"/>
        </w:rPr>
        <w:t>, 18 June 2025.</w:t>
      </w:r>
    </w:p>
  </w:footnote>
  <w:footnote w:id="599">
    <w:p w14:paraId="1DBE817F" w14:textId="77777777" w:rsidR="00B26AD0" w:rsidRPr="00720DA1" w:rsidRDefault="00B26AD0" w:rsidP="00B26AD0">
      <w:pPr>
        <w:pStyle w:val="FootnoteText"/>
        <w:rPr>
          <w:sz w:val="16"/>
          <w:szCs w:val="16"/>
        </w:rPr>
      </w:pPr>
      <w:r w:rsidRPr="00720DA1">
        <w:rPr>
          <w:rFonts w:cs="Times New Roman"/>
          <w:sz w:val="16"/>
          <w:szCs w:val="16"/>
          <w:vertAlign w:val="superscript"/>
        </w:rPr>
        <w:footnoteRef/>
      </w:r>
      <w:r w:rsidRPr="00720DA1">
        <w:rPr>
          <w:rFonts w:cs="Times New Roman"/>
          <w:sz w:val="16"/>
          <w:szCs w:val="16"/>
        </w:rPr>
        <w:t xml:space="preserve"> These estimates are in line with the ones provided by McKinsey: 85-90% and 70-75% of EU content for an ICE and a battery electric vehicle, respectively, produced in Europe in 2023. </w:t>
      </w:r>
      <w:hyperlink r:id="rId394" w:history="1">
        <w:r w:rsidRPr="00720DA1">
          <w:rPr>
            <w:rStyle w:val="Hyperlink"/>
            <w:rFonts w:cs="Times New Roman"/>
            <w:sz w:val="16"/>
            <w:szCs w:val="16"/>
          </w:rPr>
          <w:t>https://www.mckinsey.com/industries/automotive-and-assembly/our-insights/europes-economic-potential-in-the-shift-to-electric-vehicles</w:t>
        </w:r>
      </w:hyperlink>
    </w:p>
  </w:footnote>
  <w:footnote w:id="600">
    <w:p w14:paraId="307AB370" w14:textId="77777777" w:rsidR="00B26AD0" w:rsidRPr="00720DA1" w:rsidRDefault="00B26AD0" w:rsidP="00B26AD0">
      <w:pPr>
        <w:pStyle w:val="FootnoteText"/>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For instance, McKinsey estimated 20% of EU content for a battery electric vehicle imported in Europe in 2023: </w:t>
      </w:r>
      <w:hyperlink r:id="rId395" w:history="1">
        <w:r w:rsidRPr="00720DA1">
          <w:rPr>
            <w:rStyle w:val="Hyperlink"/>
            <w:rFonts w:cs="Times New Roman"/>
            <w:sz w:val="16"/>
            <w:szCs w:val="16"/>
          </w:rPr>
          <w:t>https://www.mckinsey.com/industries/automotive-and-assembly/our-insights/europes-economic-potential-in-the-shift-to-electric-vehicles</w:t>
        </w:r>
      </w:hyperlink>
    </w:p>
  </w:footnote>
  <w:footnote w:id="601">
    <w:p w14:paraId="160CA55C" w14:textId="77777777" w:rsidR="00364972" w:rsidRPr="00720DA1" w:rsidRDefault="00364972" w:rsidP="00364972">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This category includes BEVs and PHEVs. The target reflects on the aggregated value and the weighted average of both BEVs and PHEVs. </w:t>
      </w:r>
    </w:p>
  </w:footnote>
  <w:footnote w:id="602">
    <w:p w14:paraId="5AEC3312" w14:textId="4CEB0EEB" w:rsidR="00F315D4" w:rsidRPr="00720DA1" w:rsidRDefault="00F315D4" w:rsidP="00F315D4">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This category includes BEVs and PHEVs. The target reflects on the aggregated value and the weighted average of both BEVs and PHEVs.</w:t>
      </w:r>
    </w:p>
  </w:footnote>
  <w:footnote w:id="603">
    <w:p w14:paraId="5CC50D25" w14:textId="080BE2A4" w:rsidR="002A5EBA" w:rsidRPr="00720DA1" w:rsidRDefault="002A5EBA" w:rsidP="002A5EBA">
      <w:pPr>
        <w:pStyle w:val="FootnoteText"/>
        <w:rPr>
          <w:rFonts w:cs="Times New Roman"/>
          <w:sz w:val="16"/>
          <w:szCs w:val="16"/>
          <w:lang w:val="en-IE"/>
        </w:rPr>
      </w:pPr>
      <w:r w:rsidRPr="00720DA1">
        <w:rPr>
          <w:rStyle w:val="FootnoteReference"/>
          <w:rFonts w:cs="Times New Roman"/>
          <w:sz w:val="16"/>
          <w:szCs w:val="16"/>
        </w:rPr>
        <w:footnoteRef/>
      </w:r>
      <w:r w:rsidRPr="00720DA1">
        <w:rPr>
          <w:rFonts w:cs="Times New Roman"/>
          <w:sz w:val="16"/>
          <w:szCs w:val="16"/>
        </w:rPr>
        <w:t xml:space="preserve"> </w:t>
      </w:r>
      <w:r w:rsidR="00BA18A8" w:rsidRPr="00720DA1">
        <w:rPr>
          <w:rFonts w:cs="Times New Roman"/>
          <w:sz w:val="16"/>
          <w:szCs w:val="16"/>
        </w:rPr>
        <w:t>European Commission (2023).</w:t>
      </w:r>
      <w:r w:rsidRPr="00720DA1">
        <w:rPr>
          <w:rFonts w:cs="Times New Roman"/>
          <w:sz w:val="16"/>
          <w:szCs w:val="16"/>
        </w:rPr>
        <w:t xml:space="preserve"> </w:t>
      </w:r>
      <w:r w:rsidRPr="00720DA1">
        <w:rPr>
          <w:sz w:val="16"/>
          <w:szCs w:val="16"/>
        </w:rPr>
        <w:t xml:space="preserve">Joint Communication to </w:t>
      </w:r>
      <w:r w:rsidR="00BA18A8" w:rsidRPr="00720DA1">
        <w:rPr>
          <w:sz w:val="16"/>
          <w:szCs w:val="16"/>
        </w:rPr>
        <w:t>t</w:t>
      </w:r>
      <w:r w:rsidRPr="00720DA1">
        <w:rPr>
          <w:sz w:val="16"/>
          <w:szCs w:val="16"/>
        </w:rPr>
        <w:t xml:space="preserve">he European Parliament, </w:t>
      </w:r>
      <w:r w:rsidR="00BA18A8" w:rsidRPr="00720DA1">
        <w:rPr>
          <w:sz w:val="16"/>
          <w:szCs w:val="16"/>
        </w:rPr>
        <w:t>t</w:t>
      </w:r>
      <w:r w:rsidRPr="00720DA1">
        <w:rPr>
          <w:sz w:val="16"/>
          <w:szCs w:val="16"/>
        </w:rPr>
        <w:t xml:space="preserve">he European Council and </w:t>
      </w:r>
      <w:r w:rsidR="00BA18A8" w:rsidRPr="00720DA1">
        <w:rPr>
          <w:sz w:val="16"/>
          <w:szCs w:val="16"/>
        </w:rPr>
        <w:t>t</w:t>
      </w:r>
      <w:r w:rsidRPr="00720DA1">
        <w:rPr>
          <w:sz w:val="16"/>
          <w:szCs w:val="16"/>
        </w:rPr>
        <w:t xml:space="preserve">he Council </w:t>
      </w:r>
      <w:r w:rsidR="00BA18A8" w:rsidRPr="00720DA1">
        <w:rPr>
          <w:sz w:val="16"/>
          <w:szCs w:val="16"/>
        </w:rPr>
        <w:t>o</w:t>
      </w:r>
      <w:r w:rsidRPr="00720DA1">
        <w:rPr>
          <w:sz w:val="16"/>
          <w:szCs w:val="16"/>
        </w:rPr>
        <w:t>n “European Economic Security Strategy”</w:t>
      </w:r>
      <w:r w:rsidR="00BA18A8" w:rsidRPr="00720DA1">
        <w:rPr>
          <w:sz w:val="16"/>
          <w:szCs w:val="16"/>
        </w:rPr>
        <w:t xml:space="preserve">, </w:t>
      </w:r>
      <w:hyperlink r:id="rId396" w:history="1">
        <w:r w:rsidR="00BA18A8" w:rsidRPr="00720DA1">
          <w:rPr>
            <w:rStyle w:val="Hyperlink"/>
            <w:sz w:val="16"/>
            <w:szCs w:val="16"/>
          </w:rPr>
          <w:t>JOIN(2023) 20 Final</w:t>
        </w:r>
      </w:hyperlink>
      <w:r w:rsidR="00BA18A8" w:rsidRPr="00720DA1">
        <w:rPr>
          <w:sz w:val="16"/>
          <w:szCs w:val="16"/>
        </w:rPr>
        <w:t>.</w:t>
      </w:r>
    </w:p>
  </w:footnote>
  <w:footnote w:id="604">
    <w:p w14:paraId="46AAACCC" w14:textId="77777777" w:rsidR="00D71466" w:rsidRPr="00720DA1" w:rsidRDefault="00D71466" w:rsidP="00D71466">
      <w:pPr>
        <w:pStyle w:val="FootnoteText"/>
        <w:rPr>
          <w:rFonts w:cs="Times New Roman"/>
          <w:sz w:val="16"/>
          <w:szCs w:val="16"/>
        </w:rPr>
      </w:pPr>
      <w:r w:rsidRPr="00720DA1">
        <w:rPr>
          <w:rStyle w:val="FootnoteReference"/>
          <w:rFonts w:cs="Times New Roman"/>
          <w:sz w:val="16"/>
          <w:szCs w:val="16"/>
        </w:rPr>
        <w:footnoteRef/>
      </w:r>
      <w:r w:rsidRPr="00720DA1">
        <w:rPr>
          <w:rStyle w:val="FootnoteReference"/>
          <w:rFonts w:cs="Times New Roman"/>
          <w:sz w:val="16"/>
          <w:szCs w:val="16"/>
        </w:rPr>
        <w:t xml:space="preserve"> </w:t>
      </w:r>
      <w:hyperlink r:id="rId397" w:history="1">
        <w:r w:rsidRPr="00720DA1">
          <w:rPr>
            <w:rStyle w:val="Hyperlink"/>
            <w:rFonts w:cs="Times New Roman"/>
            <w:sz w:val="16"/>
            <w:szCs w:val="16"/>
          </w:rPr>
          <w:t>Commission Recommendation C(2023) 6689</w:t>
        </w:r>
      </w:hyperlink>
      <w:r w:rsidRPr="00720DA1">
        <w:rPr>
          <w:rFonts w:cs="Times New Roman"/>
          <w:sz w:val="16"/>
          <w:szCs w:val="16"/>
        </w:rPr>
        <w:t xml:space="preserve"> on critical technology areas for the EU's economic security for further risk assessment with Member States.</w:t>
      </w:r>
    </w:p>
  </w:footnote>
  <w:footnote w:id="605">
    <w:p w14:paraId="7A6A0D56" w14:textId="265E5126" w:rsidR="00020031" w:rsidRPr="00720DA1" w:rsidRDefault="00020031" w:rsidP="00CE1615">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A27B67" w:rsidRPr="00720DA1">
        <w:rPr>
          <w:rFonts w:cs="Times New Roman"/>
          <w:sz w:val="16"/>
          <w:szCs w:val="16"/>
        </w:rPr>
        <w:t>Eurelectric (</w:t>
      </w:r>
      <w:r w:rsidR="008B1A08" w:rsidRPr="00720DA1">
        <w:rPr>
          <w:rFonts w:cs="Times New Roman"/>
          <w:sz w:val="16"/>
          <w:szCs w:val="16"/>
        </w:rPr>
        <w:t xml:space="preserve">2025). </w:t>
      </w:r>
      <w:hyperlink r:id="rId398">
        <w:r w:rsidR="00066BD8" w:rsidRPr="00720DA1">
          <w:rPr>
            <w:rStyle w:val="Hyperlink"/>
            <w:rFonts w:eastAsia="Times" w:cs="Times New Roman"/>
            <w:sz w:val="16"/>
            <w:szCs w:val="16"/>
          </w:rPr>
          <w:t>Power Barometer</w:t>
        </w:r>
      </w:hyperlink>
      <w:r w:rsidR="00066BD8" w:rsidRPr="00720DA1">
        <w:rPr>
          <w:sz w:val="16"/>
          <w:szCs w:val="16"/>
        </w:rPr>
        <w:t>.</w:t>
      </w:r>
    </w:p>
  </w:footnote>
  <w:footnote w:id="606">
    <w:p w14:paraId="79557E89" w14:textId="1455C1B0" w:rsidR="0027084E" w:rsidRPr="00720DA1" w:rsidRDefault="0027084E">
      <w:pPr>
        <w:pStyle w:val="FootnoteText"/>
        <w:rPr>
          <w:sz w:val="16"/>
          <w:szCs w:val="16"/>
        </w:rPr>
      </w:pPr>
      <w:r w:rsidRPr="00720DA1">
        <w:rPr>
          <w:rStyle w:val="FootnoteReference"/>
          <w:sz w:val="16"/>
          <w:szCs w:val="16"/>
        </w:rPr>
        <w:footnoteRef/>
      </w:r>
      <w:r w:rsidRPr="00720DA1">
        <w:rPr>
          <w:sz w:val="16"/>
          <w:szCs w:val="16"/>
        </w:rPr>
        <w:t xml:space="preserve"> </w:t>
      </w:r>
      <w:r w:rsidR="004B3F07" w:rsidRPr="00720DA1">
        <w:rPr>
          <w:sz w:val="16"/>
          <w:szCs w:val="16"/>
        </w:rPr>
        <w:t>European Commission, JRC internal analysis based on Europe Media Monitor.</w:t>
      </w:r>
      <w:r w:rsidRPr="00720DA1">
        <w:rPr>
          <w:sz w:val="16"/>
          <w:szCs w:val="16"/>
        </w:rPr>
        <w:t xml:space="preserve"> </w:t>
      </w:r>
    </w:p>
  </w:footnote>
  <w:footnote w:id="607">
    <w:p w14:paraId="76DCB6A3" w14:textId="67BC97E9" w:rsidR="00D17FC2" w:rsidRPr="00720DA1" w:rsidRDefault="00D17FC2">
      <w:pPr>
        <w:pStyle w:val="FootnoteText"/>
        <w:rPr>
          <w:sz w:val="16"/>
          <w:szCs w:val="16"/>
        </w:rPr>
      </w:pPr>
      <w:r w:rsidRPr="00720DA1">
        <w:rPr>
          <w:rStyle w:val="FootnoteReference"/>
          <w:sz w:val="16"/>
          <w:szCs w:val="16"/>
        </w:rPr>
        <w:footnoteRef/>
      </w:r>
      <w:r w:rsidR="00720DA1" w:rsidRPr="0040703F">
        <w:rPr>
          <w:sz w:val="16"/>
          <w:szCs w:val="16"/>
        </w:rPr>
        <w:t xml:space="preserve">Mission Possible Partnership (MPP), E3G and the Industrial Transition Accelerator (ITA) (2025). </w:t>
      </w:r>
      <w:hyperlink r:id="rId399" w:history="1">
        <w:r w:rsidR="00720DA1" w:rsidRPr="0040703F">
          <w:rPr>
            <w:rStyle w:val="Hyperlink"/>
            <w:sz w:val="16"/>
            <w:szCs w:val="16"/>
          </w:rPr>
          <w:t>Building the EU’s Clean Industrial Future: Unlocking Investment through Lead Markets</w:t>
        </w:r>
      </w:hyperlink>
      <w:r w:rsidR="00720DA1" w:rsidRPr="0040703F">
        <w:rPr>
          <w:sz w:val="16"/>
          <w:szCs w:val="16"/>
        </w:rPr>
        <w:t>.</w:t>
      </w:r>
    </w:p>
  </w:footnote>
  <w:footnote w:id="608">
    <w:p w14:paraId="518EA6EF"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400" w:history="1">
        <w:r w:rsidRPr="00720DA1">
          <w:rPr>
            <w:rStyle w:val="Hyperlink"/>
            <w:rFonts w:eastAsia="Times New Roman" w:cs="Times New Roman"/>
            <w:sz w:val="16"/>
            <w:szCs w:val="16"/>
          </w:rPr>
          <w:t>RTL Today - Steel sector crisis: ArcelorMittal says to cut some 600 jobs in France</w:t>
        </w:r>
      </w:hyperlink>
      <w:r w:rsidRPr="00720DA1">
        <w:rPr>
          <w:rFonts w:cs="Times New Roman"/>
          <w:sz w:val="16"/>
          <w:szCs w:val="16"/>
        </w:rPr>
        <w:t>.</w:t>
      </w:r>
    </w:p>
  </w:footnote>
  <w:footnote w:id="609">
    <w:p w14:paraId="68A7010E" w14:textId="2F30E699"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C1878" w:rsidRPr="00720DA1">
        <w:rPr>
          <w:rFonts w:cs="Times New Roman"/>
          <w:sz w:val="16"/>
          <w:szCs w:val="16"/>
        </w:rPr>
        <w:t xml:space="preserve">European Commission (2025). </w:t>
      </w:r>
      <w:hyperlink r:id="rId401" w:history="1">
        <w:r w:rsidR="003C1878" w:rsidRPr="00720DA1">
          <w:rPr>
            <w:rStyle w:val="Hyperlink"/>
            <w:rFonts w:cs="Times New Roman"/>
            <w:sz w:val="16"/>
            <w:szCs w:val="16"/>
          </w:rPr>
          <w:t>A European Steel and Metals Action Plan</w:t>
        </w:r>
      </w:hyperlink>
      <w:r w:rsidR="003C1878" w:rsidRPr="00720DA1">
        <w:rPr>
          <w:rFonts w:cs="Times New Roman"/>
          <w:sz w:val="16"/>
          <w:szCs w:val="16"/>
        </w:rPr>
        <w:t>, COM(2025) 125 final, 19 March 2025.</w:t>
      </w:r>
    </w:p>
  </w:footnote>
  <w:footnote w:id="610">
    <w:p w14:paraId="69E054F1" w14:textId="299296F0"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734A45" w:rsidRPr="00720DA1">
        <w:rPr>
          <w:rFonts w:cs="Times New Roman"/>
          <w:sz w:val="16"/>
          <w:szCs w:val="16"/>
        </w:rPr>
        <w:t xml:space="preserve"> Cefic, Advancy (2025).</w:t>
      </w:r>
      <w:r w:rsidRPr="00720DA1">
        <w:rPr>
          <w:rFonts w:cs="Times New Roman"/>
          <w:sz w:val="16"/>
          <w:szCs w:val="16"/>
        </w:rPr>
        <w:t xml:space="preserve"> </w:t>
      </w:r>
      <w:hyperlink r:id="rId402" w:history="1">
        <w:r w:rsidR="00E84AA6" w:rsidRPr="00720DA1">
          <w:rPr>
            <w:rStyle w:val="Hyperlink"/>
            <w:rFonts w:eastAsia="Times New Roman" w:cs="Times New Roman"/>
            <w:sz w:val="16"/>
            <w:szCs w:val="16"/>
          </w:rPr>
          <w:t>The Competitiveness of the European Chemical Industry</w:t>
        </w:r>
      </w:hyperlink>
      <w:r w:rsidRPr="00720DA1">
        <w:rPr>
          <w:rFonts w:cs="Times New Roman"/>
          <w:sz w:val="16"/>
          <w:szCs w:val="16"/>
        </w:rPr>
        <w:t xml:space="preserve">. </w:t>
      </w:r>
    </w:p>
  </w:footnote>
  <w:footnote w:id="611">
    <w:p w14:paraId="5E27A01A" w14:textId="5B1A30AF"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160A61" w:rsidRPr="00720DA1">
        <w:rPr>
          <w:rFonts w:cs="Times New Roman"/>
          <w:sz w:val="16"/>
          <w:szCs w:val="16"/>
        </w:rPr>
        <w:t>Glass for Europe (</w:t>
      </w:r>
      <w:r w:rsidR="008509F6" w:rsidRPr="00720DA1">
        <w:rPr>
          <w:rFonts w:cs="Times New Roman"/>
          <w:sz w:val="16"/>
          <w:szCs w:val="16"/>
        </w:rPr>
        <w:t xml:space="preserve">2025). </w:t>
      </w:r>
      <w:hyperlink r:id="rId403" w:anchor=":~:text=The%20sector%20is%20grappling%20with%20declining%20demand%2C%20stalled,plant%20closures%20since%20the%20start%20of%20the%20year." w:history="1">
        <w:r w:rsidR="008509F6" w:rsidRPr="00720DA1">
          <w:rPr>
            <w:rStyle w:val="Hyperlink"/>
            <w:rFonts w:eastAsia="Times New Roman" w:cs="Times New Roman"/>
            <w:sz w:val="16"/>
            <w:szCs w:val="16"/>
          </w:rPr>
          <w:t>Glass for Europe Board Directors discuss the EU's lack of competitiveness and circularity at first 2025 meeting</w:t>
        </w:r>
      </w:hyperlink>
      <w:r w:rsidRPr="00720DA1">
        <w:rPr>
          <w:rFonts w:cs="Times New Roman"/>
          <w:sz w:val="16"/>
          <w:szCs w:val="16"/>
        </w:rPr>
        <w:t>.</w:t>
      </w:r>
    </w:p>
  </w:footnote>
  <w:footnote w:id="612">
    <w:p w14:paraId="3135FDA2"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404" w:history="1">
        <w:r w:rsidRPr="00720DA1">
          <w:rPr>
            <w:rStyle w:val="Hyperlink"/>
            <w:rFonts w:eastAsia="Times New Roman" w:cs="Times New Roman"/>
            <w:sz w:val="16"/>
            <w:szCs w:val="16"/>
          </w:rPr>
          <w:t>O-I Glass to Close European Facility, Approves Severance Plan - MarketWatch</w:t>
        </w:r>
      </w:hyperlink>
      <w:r w:rsidRPr="00720DA1">
        <w:rPr>
          <w:rFonts w:cs="Times New Roman"/>
          <w:sz w:val="16"/>
          <w:szCs w:val="16"/>
        </w:rPr>
        <w:t>.</w:t>
      </w:r>
    </w:p>
  </w:footnote>
  <w:footnote w:id="613">
    <w:p w14:paraId="7F4FF0D0" w14:textId="454B093A"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90751" w:rsidRPr="00720DA1">
        <w:rPr>
          <w:rFonts w:cs="Times New Roman"/>
          <w:sz w:val="16"/>
          <w:szCs w:val="16"/>
        </w:rPr>
        <w:t xml:space="preserve">CLEPA, Strategy&amp; (2022). </w:t>
      </w:r>
      <w:hyperlink r:id="rId405" w:history="1">
        <w:r w:rsidRPr="00720DA1">
          <w:rPr>
            <w:rStyle w:val="Hyperlink"/>
            <w:rFonts w:cs="Times New Roman"/>
            <w:sz w:val="16"/>
            <w:szCs w:val="16"/>
          </w:rPr>
          <w:t>Electric Vehicle Impact Assessment Report 2020-2040</w:t>
        </w:r>
      </w:hyperlink>
      <w:r w:rsidRPr="00720DA1">
        <w:rPr>
          <w:rFonts w:cs="Times New Roman"/>
          <w:sz w:val="16"/>
          <w:szCs w:val="16"/>
        </w:rPr>
        <w:t>.</w:t>
      </w:r>
    </w:p>
  </w:footnote>
  <w:footnote w:id="614">
    <w:p w14:paraId="0F3BE8D7" w14:textId="4F3815E0" w:rsidR="00020031" w:rsidRPr="00720DA1" w:rsidRDefault="00020031" w:rsidP="00CE1615">
      <w:pPr>
        <w:rPr>
          <w:rFonts w:eastAsia="Times New Roman" w:cs="Times New Roman"/>
          <w:sz w:val="16"/>
          <w:szCs w:val="16"/>
        </w:rPr>
      </w:pPr>
      <w:r w:rsidRPr="00720DA1">
        <w:rPr>
          <w:rFonts w:cs="Times New Roman"/>
          <w:sz w:val="16"/>
          <w:szCs w:val="16"/>
          <w:vertAlign w:val="superscript"/>
        </w:rPr>
        <w:footnoteRef/>
      </w:r>
      <w:r w:rsidR="00BE5647" w:rsidRPr="00720DA1">
        <w:rPr>
          <w:rFonts w:cs="Times New Roman"/>
          <w:sz w:val="16"/>
          <w:szCs w:val="16"/>
        </w:rPr>
        <w:t xml:space="preserve"> ERT (2024).</w:t>
      </w:r>
      <w:r w:rsidRPr="00720DA1">
        <w:rPr>
          <w:rFonts w:cs="Times New Roman"/>
          <w:sz w:val="16"/>
          <w:szCs w:val="16"/>
        </w:rPr>
        <w:t xml:space="preserve"> </w:t>
      </w:r>
      <w:hyperlink r:id="rId406" w:history="1">
        <w:r w:rsidRPr="00720DA1">
          <w:rPr>
            <w:rStyle w:val="Hyperlink"/>
            <w:rFonts w:cs="Times New Roman"/>
            <w:sz w:val="16"/>
            <w:szCs w:val="16"/>
          </w:rPr>
          <w:t>Competitiveness of European Energy-Intensive Industries</w:t>
        </w:r>
      </w:hyperlink>
      <w:r w:rsidRPr="00720DA1">
        <w:rPr>
          <w:rFonts w:cs="Times New Roman"/>
          <w:sz w:val="16"/>
          <w:szCs w:val="16"/>
        </w:rPr>
        <w:t>.</w:t>
      </w:r>
    </w:p>
  </w:footnote>
  <w:footnote w:id="615">
    <w:p w14:paraId="086043FF" w14:textId="13E8D63D"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8076C3" w:rsidRPr="00720DA1">
        <w:rPr>
          <w:rFonts w:cs="Times New Roman"/>
          <w:sz w:val="16"/>
          <w:szCs w:val="16"/>
        </w:rPr>
        <w:t xml:space="preserve"> </w:t>
      </w:r>
      <w:r w:rsidRPr="00720DA1">
        <w:rPr>
          <w:rFonts w:cs="Times New Roman"/>
          <w:sz w:val="16"/>
          <w:szCs w:val="16"/>
        </w:rPr>
        <w:t>CEFIC</w:t>
      </w:r>
      <w:r w:rsidR="008076C3" w:rsidRPr="00720DA1">
        <w:rPr>
          <w:rFonts w:cs="Times New Roman"/>
          <w:sz w:val="16"/>
          <w:szCs w:val="16"/>
        </w:rPr>
        <w:t xml:space="preserve"> </w:t>
      </w:r>
      <w:r w:rsidR="009F5903" w:rsidRPr="00720DA1">
        <w:rPr>
          <w:rFonts w:cs="Times New Roman"/>
          <w:sz w:val="16"/>
          <w:szCs w:val="16"/>
        </w:rPr>
        <w:t xml:space="preserve">webpage. </w:t>
      </w:r>
      <w:hyperlink r:id="rId407" w:history="1">
        <w:r w:rsidR="009F5903" w:rsidRPr="00720DA1">
          <w:rPr>
            <w:rStyle w:val="Hyperlink"/>
            <w:rFonts w:cs="Times New Roman"/>
            <w:sz w:val="16"/>
            <w:szCs w:val="16"/>
          </w:rPr>
          <w:t>The Carbon Managers – iC2050 model</w:t>
        </w:r>
      </w:hyperlink>
      <w:r w:rsidR="009F5903" w:rsidRPr="00720DA1">
        <w:rPr>
          <w:rFonts w:cs="Times New Roman"/>
          <w:sz w:val="16"/>
          <w:szCs w:val="16"/>
        </w:rPr>
        <w:t>.</w:t>
      </w:r>
    </w:p>
  </w:footnote>
  <w:footnote w:id="616">
    <w:p w14:paraId="701D307A" w14:textId="5DF1DF7E"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Polyethylene terephthalate “PET”</w:t>
      </w:r>
      <w:r w:rsidR="00F74668" w:rsidRPr="00720DA1">
        <w:rPr>
          <w:rFonts w:cs="Times New Roman"/>
          <w:sz w:val="16"/>
          <w:szCs w:val="16"/>
        </w:rPr>
        <w:t>.</w:t>
      </w:r>
    </w:p>
  </w:footnote>
  <w:footnote w:id="617">
    <w:p w14:paraId="2AD9A3EB" w14:textId="2317CF66"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Chemical process where polymers are broken down into oligomer or monomer building blocks, by means of a solvent</w:t>
      </w:r>
      <w:r w:rsidR="00F74668" w:rsidRPr="00720DA1">
        <w:rPr>
          <w:rFonts w:cs="Times New Roman"/>
          <w:sz w:val="16"/>
          <w:szCs w:val="16"/>
        </w:rPr>
        <w:t>.</w:t>
      </w:r>
    </w:p>
  </w:footnote>
  <w:footnote w:id="618">
    <w:p w14:paraId="7A7241EA" w14:textId="4A3737D5"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Internal Commission estimates based on the upcoming JRC study on the “Economic viability of chemical recycling”, due for publication by the end of the year.</w:t>
      </w:r>
      <w:r w:rsidR="00760CE8" w:rsidRPr="00720DA1">
        <w:rPr>
          <w:rFonts w:cs="Times New Roman"/>
          <w:sz w:val="16"/>
          <w:szCs w:val="16"/>
        </w:rPr>
        <w:t xml:space="preserve"> </w:t>
      </w:r>
    </w:p>
  </w:footnote>
  <w:footnote w:id="619">
    <w:p w14:paraId="6B776B4D" w14:textId="4C897474" w:rsidR="0061007D" w:rsidRPr="00720DA1" w:rsidRDefault="0061007D" w:rsidP="00CE1615">
      <w:pPr>
        <w:pStyle w:val="FootnoteText"/>
        <w:rPr>
          <w:sz w:val="16"/>
          <w:szCs w:val="16"/>
        </w:rPr>
      </w:pPr>
      <w:r w:rsidRPr="00720DA1">
        <w:rPr>
          <w:rStyle w:val="FootnoteReference"/>
          <w:sz w:val="16"/>
          <w:szCs w:val="16"/>
        </w:rPr>
        <w:footnoteRef/>
      </w:r>
      <w:r w:rsidRPr="00720DA1">
        <w:rPr>
          <w:sz w:val="16"/>
          <w:szCs w:val="16"/>
        </w:rPr>
        <w:t xml:space="preserve"> </w:t>
      </w:r>
      <w:hyperlink r:id="rId408" w:anchor="_ftn1" w:history="1">
        <w:r w:rsidRPr="00720DA1">
          <w:rPr>
            <w:sz w:val="16"/>
            <w:szCs w:val="16"/>
          </w:rPr>
          <w:t>Increase in the subsidy for the purchase of an electric vehicle that meets European production criteria from 1 October – Press – Ministry of Finance</w:t>
        </w:r>
      </w:hyperlink>
      <w:r w:rsidR="00850772" w:rsidRPr="00720DA1">
        <w:rPr>
          <w:sz w:val="16"/>
          <w:szCs w:val="16"/>
        </w:rPr>
        <w:t>.</w:t>
      </w:r>
    </w:p>
  </w:footnote>
  <w:footnote w:id="620">
    <w:p w14:paraId="077C3861" w14:textId="0A369E13" w:rsidR="000965CE" w:rsidRPr="00720DA1" w:rsidRDefault="000965CE" w:rsidP="00CE1615">
      <w:pPr>
        <w:pStyle w:val="FootnoteText"/>
        <w:rPr>
          <w:sz w:val="16"/>
          <w:szCs w:val="16"/>
          <w:lang w:val="en-IE"/>
        </w:rPr>
      </w:pPr>
      <w:r w:rsidRPr="00720DA1">
        <w:rPr>
          <w:rStyle w:val="FootnoteReference"/>
          <w:sz w:val="16"/>
          <w:szCs w:val="16"/>
        </w:rPr>
        <w:footnoteRef/>
      </w:r>
      <w:r w:rsidRPr="00720DA1">
        <w:rPr>
          <w:sz w:val="16"/>
          <w:szCs w:val="16"/>
          <w:lang w:val="en-IE"/>
        </w:rPr>
        <w:t xml:space="preserve"> </w:t>
      </w:r>
      <w:r w:rsidR="00850772" w:rsidRPr="00720DA1">
        <w:rPr>
          <w:sz w:val="16"/>
          <w:szCs w:val="16"/>
          <w:lang w:val="en-IE"/>
        </w:rPr>
        <w:t>Hochbahn</w:t>
      </w:r>
      <w:r w:rsidR="008706DF" w:rsidRPr="00720DA1">
        <w:rPr>
          <w:sz w:val="16"/>
          <w:szCs w:val="16"/>
          <w:lang w:val="en-IE"/>
        </w:rPr>
        <w:t xml:space="preserve"> webpage</w:t>
      </w:r>
      <w:r w:rsidR="00850772" w:rsidRPr="00720DA1">
        <w:rPr>
          <w:sz w:val="16"/>
          <w:szCs w:val="16"/>
          <w:lang w:val="en-IE"/>
        </w:rPr>
        <w:t xml:space="preserve">. </w:t>
      </w:r>
      <w:hyperlink r:id="rId409" w:history="1">
        <w:r w:rsidR="008706DF" w:rsidRPr="00720DA1">
          <w:rPr>
            <w:rStyle w:val="Hyperlink"/>
            <w:rFonts w:cs="Times New Roman"/>
            <w:sz w:val="16"/>
            <w:szCs w:val="16"/>
            <w:lang w:val="en-IE"/>
          </w:rPr>
          <w:t>May we introduce? Germany's largest underground railway project!</w:t>
        </w:r>
      </w:hyperlink>
    </w:p>
  </w:footnote>
  <w:footnote w:id="621">
    <w:p w14:paraId="27DE28AF" w14:textId="739F8F04" w:rsidR="00CF1449" w:rsidRPr="00720DA1" w:rsidRDefault="00CF1449" w:rsidP="00B07E63">
      <w:pPr>
        <w:pStyle w:val="FootnoteText"/>
        <w:rPr>
          <w:sz w:val="16"/>
          <w:szCs w:val="16"/>
        </w:rPr>
      </w:pPr>
      <w:r w:rsidRPr="00720DA1">
        <w:rPr>
          <w:rStyle w:val="FootnoteReference"/>
          <w:sz w:val="16"/>
          <w:szCs w:val="16"/>
        </w:rPr>
        <w:footnoteRef/>
      </w:r>
      <w:r w:rsidRPr="00720DA1">
        <w:rPr>
          <w:sz w:val="16"/>
          <w:szCs w:val="16"/>
        </w:rPr>
        <w:t xml:space="preserve"> </w:t>
      </w:r>
      <w:r w:rsidR="00B07E63" w:rsidRPr="00720DA1">
        <w:rPr>
          <w:sz w:val="16"/>
          <w:szCs w:val="16"/>
        </w:rPr>
        <w:t xml:space="preserve">Strabag webpage. </w:t>
      </w:r>
      <w:hyperlink r:id="rId410" w:history="1">
        <w:r w:rsidR="00B07E63" w:rsidRPr="00720DA1">
          <w:rPr>
            <w:rStyle w:val="Hyperlink"/>
            <w:rFonts w:cs="Times New Roman"/>
            <w:sz w:val="16"/>
            <w:szCs w:val="16"/>
          </w:rPr>
          <w:t>Factsheet</w:t>
        </w:r>
        <w:r w:rsidR="00B07E63" w:rsidRPr="00720DA1">
          <w:rPr>
            <w:rStyle w:val="Hyperlink"/>
            <w:sz w:val="16"/>
            <w:szCs w:val="16"/>
          </w:rPr>
          <w:t xml:space="preserve">: Großprojekt </w:t>
        </w:r>
        <w:r w:rsidR="00B07E63" w:rsidRPr="00720DA1">
          <w:rPr>
            <w:rStyle w:val="Hyperlink"/>
            <w:rFonts w:cs="Times New Roman"/>
            <w:sz w:val="16"/>
            <w:szCs w:val="16"/>
          </w:rPr>
          <w:t>U5</w:t>
        </w:r>
        <w:r w:rsidR="00B07E63" w:rsidRPr="00720DA1">
          <w:rPr>
            <w:rStyle w:val="Hyperlink"/>
            <w:sz w:val="16"/>
            <w:szCs w:val="16"/>
          </w:rPr>
          <w:t xml:space="preserve"> </w:t>
        </w:r>
        <w:r w:rsidR="00B07E63" w:rsidRPr="00720DA1">
          <w:rPr>
            <w:rStyle w:val="Hyperlink"/>
            <w:rFonts w:cs="Times New Roman"/>
            <w:sz w:val="16"/>
            <w:szCs w:val="16"/>
          </w:rPr>
          <w:t>Hamburg</w:t>
        </w:r>
      </w:hyperlink>
      <w:r w:rsidR="00B07E63" w:rsidRPr="00720DA1">
        <w:rPr>
          <w:sz w:val="16"/>
          <w:szCs w:val="16"/>
        </w:rPr>
        <w:t>.</w:t>
      </w:r>
    </w:p>
  </w:footnote>
  <w:footnote w:id="622">
    <w:p w14:paraId="10CB9BA4" w14:textId="77777777" w:rsidR="00CF1449" w:rsidRPr="00720DA1" w:rsidRDefault="00CF1449"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Ibid.</w:t>
      </w:r>
    </w:p>
  </w:footnote>
  <w:footnote w:id="623">
    <w:p w14:paraId="3A383774" w14:textId="1A519D77" w:rsidR="00CF1449" w:rsidRPr="00720DA1" w:rsidRDefault="00CF1449" w:rsidP="00CE1615">
      <w:pPr>
        <w:pStyle w:val="FootnoteText"/>
        <w:rPr>
          <w:sz w:val="16"/>
          <w:szCs w:val="16"/>
        </w:rPr>
      </w:pPr>
      <w:r w:rsidRPr="00720DA1">
        <w:rPr>
          <w:rStyle w:val="FootnoteReference"/>
          <w:sz w:val="16"/>
          <w:szCs w:val="16"/>
        </w:rPr>
        <w:footnoteRef/>
      </w:r>
      <w:r w:rsidRPr="00720DA1">
        <w:rPr>
          <w:sz w:val="16"/>
          <w:szCs w:val="16"/>
        </w:rPr>
        <w:t xml:space="preserve"> </w:t>
      </w:r>
      <w:r w:rsidR="004F6B8A" w:rsidRPr="00720DA1">
        <w:rPr>
          <w:sz w:val="16"/>
          <w:szCs w:val="16"/>
        </w:rPr>
        <w:t xml:space="preserve">SEI (2023). </w:t>
      </w:r>
      <w:hyperlink r:id="rId411" w:history="1">
        <w:r w:rsidR="004F6B8A" w:rsidRPr="00720DA1">
          <w:rPr>
            <w:rStyle w:val="Hyperlink"/>
            <w:sz w:val="16"/>
            <w:szCs w:val="16"/>
          </w:rPr>
          <w:t>Green Public Procurement: a key to decarbonizing construction and road transport in the EU</w:t>
        </w:r>
      </w:hyperlink>
      <w:r w:rsidR="004F6B8A" w:rsidRPr="00720DA1">
        <w:rPr>
          <w:sz w:val="16"/>
          <w:szCs w:val="16"/>
        </w:rPr>
        <w:t>.</w:t>
      </w:r>
    </w:p>
  </w:footnote>
  <w:footnote w:id="624">
    <w:p w14:paraId="19B43C4D" w14:textId="3F59935D" w:rsidR="00CF1449" w:rsidRPr="00720DA1" w:rsidRDefault="00CF1449" w:rsidP="00CE1615">
      <w:pPr>
        <w:pStyle w:val="FootnoteText"/>
        <w:rPr>
          <w:sz w:val="16"/>
          <w:szCs w:val="16"/>
          <w:lang w:val="de-DE"/>
        </w:rPr>
      </w:pPr>
      <w:r w:rsidRPr="00720DA1">
        <w:rPr>
          <w:rStyle w:val="FootnoteReference"/>
          <w:sz w:val="16"/>
          <w:szCs w:val="16"/>
        </w:rPr>
        <w:footnoteRef/>
      </w:r>
      <w:r w:rsidRPr="00720DA1">
        <w:rPr>
          <w:sz w:val="16"/>
          <w:szCs w:val="16"/>
          <w:lang w:val="de-DE"/>
        </w:rPr>
        <w:t xml:space="preserve"> Senatsverwaltung für Wirtschaft, Energie und Betriebe, 2017</w:t>
      </w:r>
      <w:r w:rsidR="006269A2" w:rsidRPr="00720DA1">
        <w:rPr>
          <w:sz w:val="16"/>
          <w:szCs w:val="16"/>
          <w:lang w:val="de-DE"/>
        </w:rPr>
        <w:t>.</w:t>
      </w:r>
    </w:p>
  </w:footnote>
  <w:footnote w:id="625">
    <w:p w14:paraId="00C1D340" w14:textId="79067F27" w:rsidR="00CF1449" w:rsidRPr="00720DA1" w:rsidRDefault="00CF1449"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The Environmental Cost Indicator is defined through a life cycle assessment (LCA) expressed in euros; it </w:t>
      </w:r>
      <w:r w:rsidR="009C72E8" w:rsidRPr="00720DA1">
        <w:rPr>
          <w:rFonts w:cs="Times New Roman"/>
          <w:sz w:val="16"/>
          <w:szCs w:val="16"/>
        </w:rPr>
        <w:t>analys</w:t>
      </w:r>
      <w:r w:rsidR="002A3B2D" w:rsidRPr="00720DA1">
        <w:rPr>
          <w:rFonts w:cs="Times New Roman"/>
          <w:sz w:val="16"/>
          <w:szCs w:val="16"/>
        </w:rPr>
        <w:t>es</w:t>
      </w:r>
      <w:r w:rsidRPr="00720DA1">
        <w:rPr>
          <w:rFonts w:cs="Times New Roman"/>
          <w:sz w:val="16"/>
          <w:szCs w:val="16"/>
        </w:rPr>
        <w:t xml:space="preserve"> the environmental impact of a supply, work or contract over different life stages and expresses the expected social costs of reversing these environmental impacts. The lower the ECI value, the more durable. </w:t>
      </w:r>
      <w:r w:rsidR="004D043F" w:rsidRPr="00720DA1">
        <w:rPr>
          <w:rFonts w:cs="Times New Roman"/>
          <w:sz w:val="16"/>
          <w:szCs w:val="16"/>
        </w:rPr>
        <w:t xml:space="preserve">Source: </w:t>
      </w:r>
      <w:r w:rsidR="004B48B6" w:rsidRPr="00720DA1">
        <w:rPr>
          <w:rFonts w:cs="Times New Roman"/>
          <w:sz w:val="16"/>
          <w:szCs w:val="16"/>
        </w:rPr>
        <w:t>PIANO (</w:t>
      </w:r>
      <w:r w:rsidR="004D043F" w:rsidRPr="00720DA1">
        <w:rPr>
          <w:rFonts w:cs="Times New Roman"/>
          <w:sz w:val="16"/>
          <w:szCs w:val="16"/>
        </w:rPr>
        <w:t xml:space="preserve">2024). </w:t>
      </w:r>
      <w:hyperlink r:id="rId412" w:history="1">
        <w:r w:rsidR="004D043F" w:rsidRPr="00720DA1">
          <w:rPr>
            <w:rStyle w:val="Hyperlink"/>
            <w:rFonts w:cs="Times New Roman"/>
            <w:sz w:val="16"/>
            <w:szCs w:val="16"/>
          </w:rPr>
          <w:t>Purchasing with the Environmental Cost Indicator</w:t>
        </w:r>
      </w:hyperlink>
      <w:r w:rsidR="004D043F" w:rsidRPr="00720DA1">
        <w:rPr>
          <w:sz w:val="16"/>
          <w:szCs w:val="16"/>
        </w:rPr>
        <w:t>.</w:t>
      </w:r>
    </w:p>
  </w:footnote>
  <w:footnote w:id="626">
    <w:p w14:paraId="53E81F2C" w14:textId="50B4F12E" w:rsidR="00CF1449" w:rsidRPr="00720DA1" w:rsidRDefault="00CF1449" w:rsidP="00CE1615">
      <w:pPr>
        <w:pStyle w:val="FootnoteText"/>
        <w:rPr>
          <w:sz w:val="16"/>
          <w:szCs w:val="16"/>
        </w:rPr>
      </w:pPr>
      <w:r w:rsidRPr="00720DA1">
        <w:rPr>
          <w:rStyle w:val="FootnoteReference"/>
          <w:sz w:val="16"/>
          <w:szCs w:val="16"/>
        </w:rPr>
        <w:footnoteRef/>
      </w:r>
      <w:r w:rsidRPr="00720DA1">
        <w:rPr>
          <w:sz w:val="16"/>
          <w:szCs w:val="16"/>
        </w:rPr>
        <w:t xml:space="preserve"> </w:t>
      </w:r>
      <w:r w:rsidR="0086392D" w:rsidRPr="00720DA1">
        <w:rPr>
          <w:sz w:val="16"/>
          <w:szCs w:val="16"/>
        </w:rPr>
        <w:t xml:space="preserve">SEI (2023). </w:t>
      </w:r>
      <w:hyperlink r:id="rId413" w:history="1">
        <w:r w:rsidRPr="00720DA1">
          <w:rPr>
            <w:rStyle w:val="Hyperlink"/>
            <w:sz w:val="16"/>
            <w:szCs w:val="16"/>
          </w:rPr>
          <w:t>Green Public Procurement: a key to decarbonizing construction and road transport in the EU</w:t>
        </w:r>
      </w:hyperlink>
      <w:r w:rsidR="0086392D" w:rsidRPr="00720DA1">
        <w:rPr>
          <w:sz w:val="16"/>
          <w:szCs w:val="16"/>
        </w:rPr>
        <w:t>.</w:t>
      </w:r>
    </w:p>
  </w:footnote>
  <w:footnote w:id="627">
    <w:p w14:paraId="12132BC5" w14:textId="34BA0C5B" w:rsidR="00CF1449" w:rsidRPr="00720DA1" w:rsidRDefault="00CF1449" w:rsidP="00CE1615">
      <w:pPr>
        <w:pStyle w:val="FootnoteText"/>
        <w:rPr>
          <w:sz w:val="16"/>
          <w:szCs w:val="16"/>
        </w:rPr>
      </w:pPr>
      <w:r w:rsidRPr="00720DA1">
        <w:rPr>
          <w:rStyle w:val="FootnoteReference"/>
          <w:sz w:val="16"/>
          <w:szCs w:val="16"/>
        </w:rPr>
        <w:footnoteRef/>
      </w:r>
      <w:r w:rsidR="00581053" w:rsidRPr="00720DA1">
        <w:rPr>
          <w:sz w:val="16"/>
          <w:szCs w:val="16"/>
        </w:rPr>
        <w:t xml:space="preserve"> European Commission webpage.</w:t>
      </w:r>
      <w:r w:rsidRPr="00720DA1">
        <w:rPr>
          <w:sz w:val="16"/>
          <w:szCs w:val="16"/>
        </w:rPr>
        <w:t xml:space="preserve"> </w:t>
      </w:r>
      <w:hyperlink r:id="rId414" w:history="1">
        <w:r w:rsidR="0060647E" w:rsidRPr="00720DA1">
          <w:rPr>
            <w:rStyle w:val="Hyperlink"/>
            <w:rFonts w:cs="Times New Roman"/>
            <w:sz w:val="16"/>
            <w:szCs w:val="16"/>
          </w:rPr>
          <w:t>Competitive dialogue for a circular and sustainable bridge</w:t>
        </w:r>
      </w:hyperlink>
      <w:r w:rsidR="0060647E" w:rsidRPr="00720DA1">
        <w:rPr>
          <w:sz w:val="16"/>
          <w:szCs w:val="16"/>
        </w:rPr>
        <w:t>.</w:t>
      </w:r>
    </w:p>
  </w:footnote>
  <w:footnote w:id="628">
    <w:p w14:paraId="2159EA56" w14:textId="77777777" w:rsidR="00CF1449" w:rsidRPr="00720DA1" w:rsidRDefault="00CF1449" w:rsidP="00CE1615">
      <w:pPr>
        <w:pStyle w:val="FootnoteText"/>
        <w:rPr>
          <w:sz w:val="16"/>
          <w:szCs w:val="16"/>
        </w:rPr>
      </w:pPr>
      <w:r w:rsidRPr="00720DA1">
        <w:rPr>
          <w:rStyle w:val="FootnoteReference"/>
          <w:sz w:val="16"/>
          <w:szCs w:val="16"/>
        </w:rPr>
        <w:footnoteRef/>
      </w:r>
      <w:r w:rsidRPr="00720DA1">
        <w:rPr>
          <w:sz w:val="16"/>
          <w:szCs w:val="16"/>
        </w:rPr>
        <w:t xml:space="preserve"> Ibid.</w:t>
      </w:r>
    </w:p>
  </w:footnote>
  <w:footnote w:id="629">
    <w:p w14:paraId="16CE8604" w14:textId="77777777" w:rsidR="00CF1449" w:rsidRPr="00720DA1" w:rsidRDefault="00CF1449" w:rsidP="00CE1615">
      <w:pPr>
        <w:pStyle w:val="FootnoteText"/>
        <w:rPr>
          <w:sz w:val="16"/>
          <w:szCs w:val="16"/>
        </w:rPr>
      </w:pPr>
      <w:r w:rsidRPr="00720DA1">
        <w:rPr>
          <w:rStyle w:val="FootnoteReference"/>
          <w:sz w:val="16"/>
          <w:szCs w:val="16"/>
        </w:rPr>
        <w:footnoteRef/>
      </w:r>
      <w:r w:rsidRPr="00720DA1">
        <w:rPr>
          <w:sz w:val="16"/>
          <w:szCs w:val="16"/>
        </w:rPr>
        <w:t xml:space="preserve"> Ibid.</w:t>
      </w:r>
    </w:p>
  </w:footnote>
  <w:footnote w:id="630">
    <w:p w14:paraId="3FC0C971" w14:textId="28A3E26D" w:rsidR="00515A75" w:rsidRPr="00720DA1" w:rsidRDefault="00515A75"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ITA</w:t>
      </w:r>
      <w:r w:rsidR="0027331A" w:rsidRPr="00720DA1">
        <w:rPr>
          <w:rFonts w:cs="Times New Roman"/>
          <w:sz w:val="16"/>
          <w:szCs w:val="16"/>
        </w:rPr>
        <w:t xml:space="preserve"> (2024). </w:t>
      </w:r>
      <w:hyperlink r:id="rId415" w:history="1">
        <w:r w:rsidRPr="00720DA1">
          <w:rPr>
            <w:rStyle w:val="Hyperlink"/>
            <w:rFonts w:cs="Times New Roman"/>
            <w:sz w:val="16"/>
            <w:szCs w:val="16"/>
          </w:rPr>
          <w:t>Green Demand Policy Playbook</w:t>
        </w:r>
      </w:hyperlink>
      <w:r w:rsidR="00AB0535" w:rsidRPr="00720DA1">
        <w:rPr>
          <w:rFonts w:cs="Times New Roman"/>
          <w:sz w:val="16"/>
          <w:szCs w:val="16"/>
        </w:rPr>
        <w:t>.</w:t>
      </w:r>
    </w:p>
  </w:footnote>
  <w:footnote w:id="631">
    <w:p w14:paraId="634ADFB9" w14:textId="29149788" w:rsidR="001901C8" w:rsidRPr="00720DA1" w:rsidRDefault="001901C8" w:rsidP="00AB0535">
      <w:pPr>
        <w:pStyle w:val="FootnoteText"/>
        <w:jc w:val="left"/>
        <w:rPr>
          <w:sz w:val="16"/>
          <w:szCs w:val="16"/>
        </w:rPr>
      </w:pPr>
      <w:r w:rsidRPr="00720DA1">
        <w:rPr>
          <w:rStyle w:val="FootnoteReference"/>
          <w:sz w:val="16"/>
          <w:szCs w:val="16"/>
        </w:rPr>
        <w:footnoteRef/>
      </w:r>
      <w:r w:rsidRPr="00720DA1">
        <w:rPr>
          <w:sz w:val="16"/>
          <w:szCs w:val="16"/>
        </w:rPr>
        <w:t xml:space="preserve"> Government of Canada</w:t>
      </w:r>
      <w:r w:rsidR="009946BD" w:rsidRPr="00720DA1">
        <w:rPr>
          <w:sz w:val="16"/>
          <w:szCs w:val="16"/>
        </w:rPr>
        <w:t xml:space="preserve"> webpage</w:t>
      </w:r>
      <w:r w:rsidRPr="00720DA1">
        <w:rPr>
          <w:sz w:val="16"/>
          <w:szCs w:val="16"/>
        </w:rPr>
        <w:t xml:space="preserve">. </w:t>
      </w:r>
      <w:hyperlink r:id="rId416" w:history="1">
        <w:r w:rsidR="009946BD" w:rsidRPr="00720DA1">
          <w:rPr>
            <w:rStyle w:val="Hyperlink"/>
            <w:sz w:val="16"/>
            <w:szCs w:val="16"/>
          </w:rPr>
          <w:t>Interim Policy on Reciprocal Procurement</w:t>
        </w:r>
      </w:hyperlink>
      <w:r w:rsidR="009946BD" w:rsidRPr="00720DA1">
        <w:rPr>
          <w:sz w:val="16"/>
          <w:szCs w:val="16"/>
        </w:rPr>
        <w:t>.</w:t>
      </w:r>
    </w:p>
  </w:footnote>
  <w:footnote w:id="632">
    <w:p w14:paraId="3BBB26C2" w14:textId="3EF68ADF" w:rsidR="00515A75" w:rsidRPr="00720DA1" w:rsidRDefault="00515A75" w:rsidP="00CE1615">
      <w:pPr>
        <w:pStyle w:val="FootnoteText"/>
        <w:rPr>
          <w:sz w:val="16"/>
          <w:szCs w:val="16"/>
        </w:rPr>
      </w:pPr>
      <w:r w:rsidRPr="00720DA1">
        <w:rPr>
          <w:rStyle w:val="FootnoteReference"/>
          <w:sz w:val="16"/>
          <w:szCs w:val="16"/>
        </w:rPr>
        <w:footnoteRef/>
      </w:r>
      <w:r w:rsidRPr="00720DA1">
        <w:rPr>
          <w:sz w:val="16"/>
          <w:szCs w:val="16"/>
        </w:rPr>
        <w:t xml:space="preserve"> Government of Canada</w:t>
      </w:r>
      <w:r w:rsidR="00F23030" w:rsidRPr="00720DA1">
        <w:rPr>
          <w:sz w:val="16"/>
          <w:szCs w:val="16"/>
        </w:rPr>
        <w:t xml:space="preserve"> webpage</w:t>
      </w:r>
      <w:r w:rsidRPr="00720DA1">
        <w:rPr>
          <w:sz w:val="16"/>
          <w:szCs w:val="16"/>
        </w:rPr>
        <w:t>.</w:t>
      </w:r>
      <w:r w:rsidR="00760CE8" w:rsidRPr="00720DA1">
        <w:rPr>
          <w:sz w:val="16"/>
          <w:szCs w:val="16"/>
        </w:rPr>
        <w:t xml:space="preserve"> </w:t>
      </w:r>
      <w:hyperlink r:id="rId417" w:history="1">
        <w:r w:rsidRPr="00720DA1">
          <w:rPr>
            <w:rStyle w:val="Hyperlink"/>
            <w:sz w:val="16"/>
            <w:szCs w:val="16"/>
          </w:rPr>
          <w:t>Buy Canadian Policy</w:t>
        </w:r>
      </w:hyperlink>
      <w:r w:rsidR="005C4320" w:rsidRPr="00720DA1">
        <w:rPr>
          <w:sz w:val="16"/>
          <w:szCs w:val="16"/>
        </w:rPr>
        <w:t>.</w:t>
      </w:r>
    </w:p>
  </w:footnote>
  <w:footnote w:id="633">
    <w:p w14:paraId="3A8A446D" w14:textId="234A8FA4" w:rsidR="00790108" w:rsidRPr="00720DA1" w:rsidRDefault="00790108" w:rsidP="00CE1615">
      <w:pPr>
        <w:pStyle w:val="FootnoteText"/>
        <w:rPr>
          <w:sz w:val="16"/>
          <w:szCs w:val="16"/>
        </w:rPr>
      </w:pPr>
      <w:r w:rsidRPr="00720DA1">
        <w:rPr>
          <w:rStyle w:val="FootnoteReference"/>
          <w:sz w:val="16"/>
          <w:szCs w:val="16"/>
        </w:rPr>
        <w:footnoteRef/>
      </w:r>
      <w:r w:rsidRPr="00720DA1">
        <w:rPr>
          <w:sz w:val="16"/>
          <w:szCs w:val="16"/>
        </w:rPr>
        <w:t xml:space="preserve"> </w:t>
      </w:r>
      <w:r w:rsidR="00BE5647" w:rsidRPr="00720DA1">
        <w:rPr>
          <w:sz w:val="16"/>
          <w:szCs w:val="16"/>
        </w:rPr>
        <w:t xml:space="preserve">Government of India, </w:t>
      </w:r>
      <w:r w:rsidRPr="00720DA1">
        <w:rPr>
          <w:sz w:val="16"/>
          <w:szCs w:val="16"/>
        </w:rPr>
        <w:t>Ministry of Steel</w:t>
      </w:r>
      <w:r w:rsidR="00E62EE4" w:rsidRPr="00720DA1">
        <w:rPr>
          <w:sz w:val="16"/>
          <w:szCs w:val="16"/>
        </w:rPr>
        <w:t xml:space="preserve"> webpage</w:t>
      </w:r>
      <w:r w:rsidRPr="00720DA1">
        <w:rPr>
          <w:sz w:val="16"/>
          <w:szCs w:val="16"/>
        </w:rPr>
        <w:t>.</w:t>
      </w:r>
      <w:r w:rsidR="00E62EE4" w:rsidRPr="00720DA1">
        <w:rPr>
          <w:sz w:val="16"/>
          <w:szCs w:val="16"/>
        </w:rPr>
        <w:t xml:space="preserve"> </w:t>
      </w:r>
      <w:hyperlink r:id="rId418" w:history="1">
        <w:r w:rsidR="00E62EE4" w:rsidRPr="00720DA1">
          <w:rPr>
            <w:rStyle w:val="Hyperlink"/>
            <w:sz w:val="16"/>
            <w:szCs w:val="16"/>
          </w:rPr>
          <w:t>Policy for providing preference to domestically manufactured iron and steel products in government procurement (DMI&amp;SP)</w:t>
        </w:r>
      </w:hyperlink>
      <w:r w:rsidR="00E62EE4" w:rsidRPr="00720DA1">
        <w:rPr>
          <w:sz w:val="16"/>
          <w:szCs w:val="16"/>
        </w:rPr>
        <w:t>.</w:t>
      </w:r>
    </w:p>
  </w:footnote>
  <w:footnote w:id="634">
    <w:p w14:paraId="1BDF182C" w14:textId="47275FDD" w:rsidR="00515A75" w:rsidRPr="00720DA1" w:rsidRDefault="00515A75" w:rsidP="00515A75">
      <w:pPr>
        <w:pStyle w:val="FootnoteText"/>
        <w:rPr>
          <w:sz w:val="16"/>
          <w:szCs w:val="16"/>
        </w:rPr>
      </w:pPr>
      <w:r w:rsidRPr="00720DA1">
        <w:rPr>
          <w:rStyle w:val="FootnoteReference"/>
          <w:sz w:val="16"/>
          <w:szCs w:val="16"/>
        </w:rPr>
        <w:footnoteRef/>
      </w:r>
      <w:r w:rsidRPr="00720DA1">
        <w:rPr>
          <w:sz w:val="16"/>
          <w:szCs w:val="16"/>
        </w:rPr>
        <w:t xml:space="preserve"> </w:t>
      </w:r>
      <w:r w:rsidR="004A035A" w:rsidRPr="00720DA1">
        <w:rPr>
          <w:sz w:val="16"/>
          <w:szCs w:val="16"/>
        </w:rPr>
        <w:t xml:space="preserve">Government of India, Ministry of Finance (2018). </w:t>
      </w:r>
      <w:hyperlink r:id="rId419" w:history="1">
        <w:r w:rsidRPr="00720DA1">
          <w:rPr>
            <w:rStyle w:val="Hyperlink"/>
            <w:rFonts w:cs="Times New Roman"/>
            <w:sz w:val="16"/>
            <w:szCs w:val="16"/>
          </w:rPr>
          <w:t>Department of Expenditures</w:t>
        </w:r>
      </w:hyperlink>
      <w:r w:rsidR="003E1DD8" w:rsidRPr="00720DA1">
        <w:rPr>
          <w:sz w:val="16"/>
          <w:szCs w:val="16"/>
        </w:rPr>
        <w:t>; Government</w:t>
      </w:r>
      <w:r w:rsidR="00BE5647" w:rsidRPr="00720DA1">
        <w:rPr>
          <w:sz w:val="16"/>
          <w:szCs w:val="16"/>
        </w:rPr>
        <w:t xml:space="preserve"> of India</w:t>
      </w:r>
      <w:r w:rsidR="003E1DD8" w:rsidRPr="00720DA1">
        <w:rPr>
          <w:sz w:val="16"/>
          <w:szCs w:val="16"/>
        </w:rPr>
        <w:t>, Ministry of Heavy Industries</w:t>
      </w:r>
      <w:r w:rsidR="00D719D1" w:rsidRPr="00720DA1">
        <w:rPr>
          <w:sz w:val="16"/>
          <w:szCs w:val="16"/>
        </w:rPr>
        <w:t xml:space="preserve"> webpage.</w:t>
      </w:r>
      <w:r w:rsidR="003E1DD8" w:rsidRPr="00720DA1">
        <w:rPr>
          <w:sz w:val="16"/>
          <w:szCs w:val="16"/>
        </w:rPr>
        <w:t xml:space="preserve"> </w:t>
      </w:r>
      <w:hyperlink r:id="rId420" w:history="1">
        <w:r w:rsidR="00D719D1" w:rsidRPr="00720DA1">
          <w:rPr>
            <w:rStyle w:val="Hyperlink"/>
            <w:rFonts w:cs="Times New Roman"/>
            <w:sz w:val="16"/>
            <w:szCs w:val="16"/>
          </w:rPr>
          <w:t>Product Linked Incentive (PLI) Scheme for Automobile and Auto Components Industry</w:t>
        </w:r>
      </w:hyperlink>
      <w:r w:rsidR="00D719D1" w:rsidRPr="00720DA1">
        <w:rPr>
          <w:sz w:val="16"/>
          <w:szCs w:val="16"/>
        </w:rPr>
        <w:t>.</w:t>
      </w:r>
    </w:p>
  </w:footnote>
  <w:footnote w:id="635">
    <w:p w14:paraId="7664659D" w14:textId="0F1BF920" w:rsidR="00D345A1" w:rsidRPr="00720DA1" w:rsidRDefault="00D345A1">
      <w:pPr>
        <w:pStyle w:val="FootnoteText"/>
        <w:rPr>
          <w:sz w:val="16"/>
          <w:szCs w:val="16"/>
          <w:lang w:val="en-IE"/>
        </w:rPr>
      </w:pPr>
      <w:r w:rsidRPr="00720DA1">
        <w:rPr>
          <w:rStyle w:val="FootnoteReference"/>
          <w:sz w:val="16"/>
          <w:szCs w:val="16"/>
        </w:rPr>
        <w:footnoteRef/>
      </w:r>
      <w:r w:rsidRPr="00720DA1">
        <w:rPr>
          <w:sz w:val="16"/>
          <w:szCs w:val="16"/>
        </w:rPr>
        <w:t xml:space="preserve"> </w:t>
      </w:r>
      <w:r w:rsidR="0060417D" w:rsidRPr="00720DA1">
        <w:rPr>
          <w:sz w:val="16"/>
          <w:szCs w:val="16"/>
        </w:rPr>
        <w:t xml:space="preserve">Petromindo.com (2025). </w:t>
      </w:r>
      <w:hyperlink r:id="rId421" w:history="1">
        <w:r w:rsidR="0060417D" w:rsidRPr="00720DA1">
          <w:rPr>
            <w:rStyle w:val="Hyperlink"/>
            <w:rFonts w:cs="Times New Roman"/>
            <w:sz w:val="16"/>
            <w:szCs w:val="16"/>
          </w:rPr>
          <w:t>New regulation requires minimum 25% local input in public projects</w:t>
        </w:r>
      </w:hyperlink>
      <w:r w:rsidR="0060417D" w:rsidRPr="00720DA1">
        <w:rPr>
          <w:sz w:val="16"/>
          <w:szCs w:val="16"/>
        </w:rPr>
        <w:t>.</w:t>
      </w:r>
    </w:p>
  </w:footnote>
  <w:footnote w:id="636">
    <w:p w14:paraId="58AF09E7" w14:textId="72246F51" w:rsidR="00515A75" w:rsidRPr="00720DA1" w:rsidRDefault="00515A75" w:rsidP="00515A75">
      <w:pPr>
        <w:pStyle w:val="FootnoteText"/>
        <w:rPr>
          <w:sz w:val="16"/>
          <w:szCs w:val="16"/>
        </w:rPr>
      </w:pPr>
      <w:r w:rsidRPr="00720DA1">
        <w:rPr>
          <w:rStyle w:val="FootnoteReference"/>
          <w:sz w:val="16"/>
          <w:szCs w:val="16"/>
        </w:rPr>
        <w:footnoteRef/>
      </w:r>
      <w:r w:rsidR="004013AF" w:rsidRPr="00720DA1">
        <w:rPr>
          <w:sz w:val="16"/>
          <w:szCs w:val="16"/>
        </w:rPr>
        <w:t xml:space="preserve"> Rhodium Group</w:t>
      </w:r>
      <w:r w:rsidR="00324900" w:rsidRPr="00720DA1">
        <w:rPr>
          <w:sz w:val="16"/>
          <w:szCs w:val="16"/>
        </w:rPr>
        <w:t xml:space="preserve"> (2025).</w:t>
      </w:r>
      <w:r w:rsidRPr="00720DA1">
        <w:rPr>
          <w:sz w:val="16"/>
          <w:szCs w:val="16"/>
        </w:rPr>
        <w:t xml:space="preserve"> </w:t>
      </w:r>
      <w:hyperlink r:id="rId422" w:history="1">
        <w:r w:rsidRPr="00720DA1">
          <w:rPr>
            <w:rStyle w:val="Hyperlink"/>
            <w:rFonts w:cs="Times New Roman"/>
            <w:sz w:val="16"/>
            <w:szCs w:val="16"/>
          </w:rPr>
          <w:t>China and the Future of Global Supply Chains</w:t>
        </w:r>
      </w:hyperlink>
      <w:r w:rsidR="00C83644" w:rsidRPr="00720DA1">
        <w:rPr>
          <w:sz w:val="16"/>
          <w:szCs w:val="16"/>
        </w:rPr>
        <w:t xml:space="preserve">; </w:t>
      </w:r>
      <w:r w:rsidRPr="00720DA1">
        <w:rPr>
          <w:sz w:val="16"/>
          <w:szCs w:val="16"/>
        </w:rPr>
        <w:t>Pardi,</w:t>
      </w:r>
      <w:r w:rsidR="00C83644" w:rsidRPr="00720DA1">
        <w:rPr>
          <w:sz w:val="16"/>
          <w:szCs w:val="16"/>
        </w:rPr>
        <w:t xml:space="preserve"> T. et al. </w:t>
      </w:r>
      <w:r w:rsidRPr="00720DA1">
        <w:rPr>
          <w:sz w:val="16"/>
          <w:szCs w:val="16"/>
        </w:rPr>
        <w:t xml:space="preserve">(2025). </w:t>
      </w:r>
      <w:hyperlink r:id="rId423" w:history="1">
        <w:r w:rsidRPr="00720DA1">
          <w:rPr>
            <w:rStyle w:val="Hyperlink"/>
            <w:sz w:val="16"/>
            <w:szCs w:val="16"/>
          </w:rPr>
          <w:t>Made in Europe. Local Content Policy for the European Automotive Industry</w:t>
        </w:r>
      </w:hyperlink>
      <w:r w:rsidRPr="00720DA1">
        <w:rPr>
          <w:sz w:val="16"/>
          <w:szCs w:val="16"/>
        </w:rPr>
        <w:t>. Actes du Gerpisa, Volume 44. Gif-sur-Yvette: Gerpisa – The International Network of Automobile.</w:t>
      </w:r>
    </w:p>
  </w:footnote>
  <w:footnote w:id="637">
    <w:p w14:paraId="4E1BCC6B" w14:textId="2EB576A5" w:rsidR="00515A75" w:rsidRPr="00720DA1" w:rsidRDefault="00515A75" w:rsidP="00CE1615">
      <w:pPr>
        <w:pStyle w:val="FootnoteText"/>
        <w:rPr>
          <w:sz w:val="16"/>
          <w:szCs w:val="16"/>
        </w:rPr>
      </w:pPr>
      <w:r w:rsidRPr="00720DA1">
        <w:rPr>
          <w:rStyle w:val="FootnoteReference"/>
          <w:sz w:val="16"/>
          <w:szCs w:val="16"/>
        </w:rPr>
        <w:footnoteRef/>
      </w:r>
      <w:r w:rsidRPr="00720DA1">
        <w:rPr>
          <w:sz w:val="16"/>
          <w:szCs w:val="16"/>
        </w:rPr>
        <w:t xml:space="preserve"> </w:t>
      </w:r>
      <w:r w:rsidR="00504CEF" w:rsidRPr="00720DA1">
        <w:rPr>
          <w:sz w:val="16"/>
          <w:szCs w:val="16"/>
        </w:rPr>
        <w:t xml:space="preserve">State Council General Office, China (2025). </w:t>
      </w:r>
      <w:r w:rsidRPr="00720DA1">
        <w:rPr>
          <w:sz w:val="16"/>
          <w:szCs w:val="16"/>
        </w:rPr>
        <w:t>Notice of the General Office of the State Council on the Implementation of Domestic Product Standards. https://www.gov.cn/zhengce/content/202509/content_7042999.html</w:t>
      </w:r>
    </w:p>
  </w:footnote>
  <w:footnote w:id="638">
    <w:p w14:paraId="0C579C28"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Batteries can play a significant role by allowing a constant and reliable clean power supply. Additionally, it can support the electrification of industrial logistics and transport. </w:t>
      </w:r>
    </w:p>
  </w:footnote>
  <w:footnote w:id="639">
    <w:p w14:paraId="180E5E9C" w14:textId="18EC8A21"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Similarly, for key battery components such as cathode active materials (CAM) and anode active materials (AAM), a total of 513 GWh and 110 GWh of planned capacity have been cancelled, compared to an estimated current installed capacity of just 88 GWh and 6 GWh respectively.</w:t>
      </w:r>
      <w:r w:rsidR="001D3F6C" w:rsidRPr="00720DA1">
        <w:rPr>
          <w:rFonts w:cs="Times New Roman"/>
          <w:sz w:val="16"/>
          <w:szCs w:val="16"/>
        </w:rPr>
        <w:t xml:space="preserve"> Source: European Battery Alliance.</w:t>
      </w:r>
    </w:p>
  </w:footnote>
  <w:footnote w:id="640">
    <w:p w14:paraId="03B0E0C6" w14:textId="163004B2" w:rsidR="009A4C67" w:rsidRPr="00720DA1" w:rsidRDefault="009A4C67" w:rsidP="009A4C67">
      <w:pPr>
        <w:pStyle w:val="FootnoteText"/>
        <w:rPr>
          <w:sz w:val="16"/>
          <w:szCs w:val="16"/>
        </w:rPr>
      </w:pPr>
      <w:r w:rsidRPr="00720DA1">
        <w:rPr>
          <w:rStyle w:val="FootnoteReference"/>
          <w:sz w:val="16"/>
          <w:szCs w:val="16"/>
        </w:rPr>
        <w:footnoteRef/>
      </w:r>
      <w:r w:rsidRPr="00720DA1">
        <w:rPr>
          <w:sz w:val="16"/>
          <w:szCs w:val="16"/>
        </w:rPr>
        <w:t xml:space="preserve"> </w:t>
      </w:r>
      <w:r w:rsidR="005E039C" w:rsidRPr="00720DA1">
        <w:rPr>
          <w:rFonts w:cs="Times New Roman"/>
          <w:sz w:val="16"/>
          <w:szCs w:val="16"/>
        </w:rPr>
        <w:t>IEA</w:t>
      </w:r>
      <w:r w:rsidR="005E039C" w:rsidRPr="00720DA1">
        <w:rPr>
          <w:sz w:val="16"/>
          <w:szCs w:val="16"/>
        </w:rPr>
        <w:t xml:space="preserve"> (2024)</w:t>
      </w:r>
      <w:r w:rsidR="005E039C" w:rsidRPr="00720DA1">
        <w:rPr>
          <w:rFonts w:cs="Times New Roman"/>
          <w:sz w:val="16"/>
          <w:szCs w:val="16"/>
        </w:rPr>
        <w:t xml:space="preserve">. </w:t>
      </w:r>
      <w:hyperlink r:id="rId424" w:history="1">
        <w:r w:rsidR="005E039C" w:rsidRPr="00720DA1">
          <w:rPr>
            <w:rStyle w:val="Hyperlink"/>
            <w:rFonts w:cs="Times New Roman"/>
            <w:sz w:val="16"/>
            <w:szCs w:val="16"/>
          </w:rPr>
          <w:t>Energy Technology Perspectives 2024</w:t>
        </w:r>
      </w:hyperlink>
      <w:r w:rsidRPr="00720DA1">
        <w:rPr>
          <w:rFonts w:cs="Times New Roman"/>
          <w:sz w:val="16"/>
          <w:szCs w:val="16"/>
        </w:rPr>
        <w:t>, p.75</w:t>
      </w:r>
      <w:r w:rsidR="005E039C" w:rsidRPr="00720DA1">
        <w:rPr>
          <w:rFonts w:cs="Times New Roman"/>
          <w:sz w:val="16"/>
          <w:szCs w:val="16"/>
        </w:rPr>
        <w:t>.</w:t>
      </w:r>
    </w:p>
  </w:footnote>
  <w:footnote w:id="641">
    <w:p w14:paraId="7A50435C" w14:textId="6EDF09FA"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5E039C" w:rsidRPr="00720DA1">
        <w:rPr>
          <w:rFonts w:cs="Times New Roman"/>
          <w:sz w:val="16"/>
          <w:szCs w:val="16"/>
        </w:rPr>
        <w:t>IEA</w:t>
      </w:r>
      <w:r w:rsidR="005E039C" w:rsidRPr="00720DA1">
        <w:rPr>
          <w:sz w:val="16"/>
          <w:szCs w:val="16"/>
        </w:rPr>
        <w:t xml:space="preserve"> (2024)</w:t>
      </w:r>
      <w:r w:rsidR="005E039C" w:rsidRPr="00720DA1">
        <w:rPr>
          <w:rFonts w:cs="Times New Roman"/>
          <w:sz w:val="16"/>
          <w:szCs w:val="16"/>
        </w:rPr>
        <w:t xml:space="preserve">. </w:t>
      </w:r>
      <w:hyperlink r:id="rId425" w:history="1">
        <w:r w:rsidR="005E039C" w:rsidRPr="00720DA1">
          <w:rPr>
            <w:rStyle w:val="Hyperlink"/>
            <w:rFonts w:cs="Times New Roman"/>
            <w:sz w:val="16"/>
            <w:szCs w:val="16"/>
          </w:rPr>
          <w:t>Energy Technology Perspectives 2024</w:t>
        </w:r>
      </w:hyperlink>
      <w:r w:rsidR="005E039C" w:rsidRPr="00720DA1">
        <w:rPr>
          <w:sz w:val="16"/>
          <w:szCs w:val="16"/>
        </w:rPr>
        <w:t>.</w:t>
      </w:r>
    </w:p>
  </w:footnote>
  <w:footnote w:id="642">
    <w:p w14:paraId="74352591" w14:textId="77777777"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NZIA does not cover, for instance, brakes with drag reduction technologies, or thermal management systems), nor either essential connected and automated driving (CAD) systems.</w:t>
      </w:r>
    </w:p>
  </w:footnote>
  <w:footnote w:id="643">
    <w:p w14:paraId="35EF2356" w14:textId="0DADE57D"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B3645E" w:rsidRPr="00720DA1">
        <w:rPr>
          <w:rFonts w:cs="Times New Roman"/>
          <w:sz w:val="16"/>
          <w:szCs w:val="16"/>
        </w:rPr>
        <w:t>ERT (2024).</w:t>
      </w:r>
      <w:r w:rsidR="00B3645E" w:rsidRPr="00720DA1" w:rsidDel="00151664">
        <w:rPr>
          <w:rFonts w:cs="Times New Roman"/>
          <w:sz w:val="16"/>
          <w:szCs w:val="16"/>
        </w:rPr>
        <w:t xml:space="preserve"> </w:t>
      </w:r>
      <w:hyperlink r:id="rId426" w:history="1">
        <w:r w:rsidR="00B3645E" w:rsidRPr="00720DA1" w:rsidDel="00151664">
          <w:rPr>
            <w:rStyle w:val="Hyperlink"/>
            <w:rFonts w:cs="Times New Roman"/>
            <w:sz w:val="16"/>
            <w:szCs w:val="16"/>
          </w:rPr>
          <w:t>Competitiveness of European Energy-Intensive Industries</w:t>
        </w:r>
      </w:hyperlink>
      <w:r w:rsidR="00B3645E" w:rsidRPr="00720DA1" w:rsidDel="00151664">
        <w:rPr>
          <w:rFonts w:cs="Times New Roman"/>
          <w:sz w:val="16"/>
          <w:szCs w:val="16"/>
        </w:rPr>
        <w:t>.</w:t>
      </w:r>
    </w:p>
  </w:footnote>
  <w:footnote w:id="644">
    <w:p w14:paraId="322B773B" w14:textId="7C8C8B5A" w:rsidR="00020031" w:rsidRPr="00720DA1" w:rsidRDefault="00020031" w:rsidP="00CE1615">
      <w:pPr>
        <w:pStyle w:val="FootnoteText"/>
        <w:rPr>
          <w:rFonts w:cs="Times New Roman"/>
          <w:i/>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B837C7" w:rsidRPr="00720DA1">
        <w:rPr>
          <w:rFonts w:cs="Times New Roman"/>
          <w:sz w:val="16"/>
          <w:szCs w:val="16"/>
        </w:rPr>
        <w:t xml:space="preserve">T&amp;E (2025). </w:t>
      </w:r>
      <w:hyperlink r:id="rId427">
        <w:r w:rsidR="00B837C7" w:rsidRPr="00720DA1">
          <w:rPr>
            <w:rStyle w:val="Hyperlink"/>
            <w:rFonts w:cs="Times New Roman"/>
            <w:sz w:val="16"/>
            <w:szCs w:val="16"/>
          </w:rPr>
          <w:t>Assembly plant or battery powerhouse? Analysis of foreign battery investments in EU.</w:t>
        </w:r>
      </w:hyperlink>
    </w:p>
  </w:footnote>
  <w:footnote w:id="645">
    <w:p w14:paraId="4889D5DE" w14:textId="7BA6301C" w:rsidR="00020031" w:rsidRPr="00720DA1" w:rsidDel="00151664" w:rsidRDefault="00020031" w:rsidP="00CE1615">
      <w:pPr>
        <w:pStyle w:val="FootnoteText"/>
        <w:rPr>
          <w:rFonts w:cs="Times New Roman"/>
          <w:sz w:val="16"/>
          <w:szCs w:val="16"/>
        </w:rPr>
      </w:pPr>
      <w:r w:rsidRPr="00720DA1" w:rsidDel="00151664">
        <w:rPr>
          <w:rStyle w:val="FootnoteReference"/>
          <w:rFonts w:cs="Times New Roman"/>
          <w:sz w:val="16"/>
          <w:szCs w:val="16"/>
        </w:rPr>
        <w:footnoteRef/>
      </w:r>
      <w:r w:rsidRPr="00720DA1" w:rsidDel="00151664">
        <w:rPr>
          <w:rFonts w:cs="Times New Roman"/>
          <w:sz w:val="16"/>
          <w:szCs w:val="16"/>
        </w:rPr>
        <w:t xml:space="preserve"> ‘First-mover disadvantage’, which generally refers to higher costs and uncertainties for early adopters, due e.g. to technology and performance risks, higher technology costs, smaller production scale, less developed infrastructure (electricity supply, hydrogen, CCS), evolving methodologies (including definitions of low-carbon production and low-carbon products), and unrewarded knowledge externalities (learning) that benefit later adopters</w:t>
      </w:r>
      <w:r w:rsidR="0084023F">
        <w:rPr>
          <w:rFonts w:cs="Times New Roman"/>
          <w:sz w:val="16"/>
          <w:szCs w:val="16"/>
        </w:rPr>
        <w:t xml:space="preserve">. Source: </w:t>
      </w:r>
      <w:r w:rsidR="002769C9" w:rsidRPr="00720DA1">
        <w:rPr>
          <w:sz w:val="16"/>
          <w:szCs w:val="16"/>
        </w:rPr>
        <w:t xml:space="preserve">Draghi, M. (2024). </w:t>
      </w:r>
      <w:hyperlink r:id="rId428" w:history="1">
        <w:r w:rsidR="002769C9">
          <w:rPr>
            <w:rStyle w:val="Hyperlink"/>
            <w:sz w:val="16"/>
            <w:szCs w:val="16"/>
          </w:rPr>
          <w:t>The future of European competitiveness: In‑depth analysis and recommendations (Part B)</w:t>
        </w:r>
      </w:hyperlink>
      <w:r w:rsidRPr="00720DA1" w:rsidDel="00151664">
        <w:rPr>
          <w:rFonts w:eastAsia="Times New Roman" w:cs="Times New Roman"/>
          <w:sz w:val="16"/>
          <w:szCs w:val="16"/>
        </w:rPr>
        <w:t xml:space="preserve">, </w:t>
      </w:r>
      <w:r w:rsidRPr="00720DA1" w:rsidDel="00151664">
        <w:rPr>
          <w:rFonts w:cs="Times New Roman"/>
          <w:sz w:val="16"/>
          <w:szCs w:val="16"/>
        </w:rPr>
        <w:t>p. 99</w:t>
      </w:r>
      <w:r w:rsidR="0084023F">
        <w:rPr>
          <w:rFonts w:cs="Times New Roman"/>
          <w:sz w:val="16"/>
          <w:szCs w:val="16"/>
        </w:rPr>
        <w:t>.</w:t>
      </w:r>
    </w:p>
  </w:footnote>
  <w:footnote w:id="646">
    <w:p w14:paraId="6ADE91C5" w14:textId="2FFE2944" w:rsidR="00020031" w:rsidRPr="00720DA1" w:rsidDel="00151664" w:rsidRDefault="00020031" w:rsidP="00CE1615">
      <w:pPr>
        <w:pStyle w:val="FootnoteText"/>
        <w:rPr>
          <w:rFonts w:cs="Times New Roman"/>
          <w:sz w:val="16"/>
          <w:szCs w:val="16"/>
        </w:rPr>
      </w:pPr>
      <w:r w:rsidRPr="00720DA1" w:rsidDel="00151664">
        <w:rPr>
          <w:rStyle w:val="FootnoteReference"/>
          <w:rFonts w:cs="Times New Roman"/>
          <w:sz w:val="16"/>
          <w:szCs w:val="16"/>
        </w:rPr>
        <w:footnoteRef/>
      </w:r>
      <w:r w:rsidRPr="00720DA1" w:rsidDel="00151664">
        <w:rPr>
          <w:rFonts w:cs="Times New Roman"/>
          <w:sz w:val="16"/>
          <w:szCs w:val="16"/>
        </w:rPr>
        <w:t xml:space="preserve"> </w:t>
      </w:r>
      <w:r w:rsidR="00B837C7" w:rsidRPr="00720DA1">
        <w:rPr>
          <w:rFonts w:cs="Times New Roman"/>
          <w:sz w:val="16"/>
          <w:szCs w:val="16"/>
        </w:rPr>
        <w:t>ERT (2024).</w:t>
      </w:r>
      <w:r w:rsidRPr="00720DA1" w:rsidDel="00151664">
        <w:rPr>
          <w:rFonts w:cs="Times New Roman"/>
          <w:sz w:val="16"/>
          <w:szCs w:val="16"/>
        </w:rPr>
        <w:t xml:space="preserve"> </w:t>
      </w:r>
      <w:hyperlink r:id="rId429" w:history="1">
        <w:r w:rsidRPr="00720DA1" w:rsidDel="00151664">
          <w:rPr>
            <w:rStyle w:val="Hyperlink"/>
            <w:rFonts w:cs="Times New Roman"/>
            <w:sz w:val="16"/>
            <w:szCs w:val="16"/>
          </w:rPr>
          <w:t>Competitiveness of European Energy-Intensive Industries</w:t>
        </w:r>
      </w:hyperlink>
      <w:r w:rsidRPr="00720DA1" w:rsidDel="00151664">
        <w:rPr>
          <w:rFonts w:cs="Times New Roman"/>
          <w:sz w:val="16"/>
          <w:szCs w:val="16"/>
        </w:rPr>
        <w:t>.</w:t>
      </w:r>
    </w:p>
  </w:footnote>
  <w:footnote w:id="647">
    <w:p w14:paraId="778B1086" w14:textId="77777777" w:rsidR="00020031" w:rsidRPr="00720DA1" w:rsidDel="00151664" w:rsidRDefault="00020031" w:rsidP="00CE1615">
      <w:pPr>
        <w:pStyle w:val="FootnoteText"/>
        <w:rPr>
          <w:rFonts w:cs="Times New Roman"/>
          <w:sz w:val="16"/>
          <w:szCs w:val="16"/>
        </w:rPr>
      </w:pPr>
      <w:r w:rsidRPr="00720DA1" w:rsidDel="00151664">
        <w:rPr>
          <w:rStyle w:val="FootnoteReference"/>
          <w:rFonts w:cs="Times New Roman"/>
          <w:sz w:val="16"/>
          <w:szCs w:val="16"/>
        </w:rPr>
        <w:footnoteRef/>
      </w:r>
      <w:r w:rsidRPr="00720DA1" w:rsidDel="00151664">
        <w:rPr>
          <w:rFonts w:cs="Times New Roman"/>
          <w:sz w:val="16"/>
          <w:szCs w:val="16"/>
        </w:rPr>
        <w:t xml:space="preserve"> For additional background on decarbonisation technologies, see Annex 7.</w:t>
      </w:r>
    </w:p>
  </w:footnote>
  <w:footnote w:id="648">
    <w:p w14:paraId="2D05DC7E" w14:textId="23423B8A" w:rsidR="00020031" w:rsidRPr="00720DA1" w:rsidDel="00151664" w:rsidRDefault="00020031" w:rsidP="00CE1615">
      <w:pPr>
        <w:rPr>
          <w:rFonts w:eastAsia="Times New Roman" w:cs="Times New Roman"/>
          <w:sz w:val="16"/>
          <w:szCs w:val="16"/>
        </w:rPr>
      </w:pPr>
      <w:r w:rsidRPr="00720DA1" w:rsidDel="00151664">
        <w:rPr>
          <w:rFonts w:cs="Times New Roman"/>
          <w:sz w:val="16"/>
          <w:szCs w:val="16"/>
          <w:vertAlign w:val="superscript"/>
        </w:rPr>
        <w:footnoteRef/>
      </w:r>
      <w:r w:rsidRPr="00720DA1" w:rsidDel="00151664">
        <w:rPr>
          <w:rFonts w:cs="Times New Roman"/>
          <w:sz w:val="16"/>
          <w:szCs w:val="16"/>
        </w:rPr>
        <w:t xml:space="preserve"> </w:t>
      </w:r>
      <w:r w:rsidR="00261DEF" w:rsidRPr="00720DA1">
        <w:rPr>
          <w:rFonts w:cs="Times New Roman"/>
          <w:sz w:val="16"/>
          <w:szCs w:val="16"/>
        </w:rPr>
        <w:t xml:space="preserve">Business Europe (2024). </w:t>
      </w:r>
      <w:hyperlink r:id="rId430" w:history="1">
        <w:r w:rsidR="004137AF" w:rsidRPr="00720DA1">
          <w:rPr>
            <w:rStyle w:val="Hyperlink"/>
            <w:rFonts w:cs="Times New Roman"/>
            <w:sz w:val="16"/>
            <w:szCs w:val="16"/>
          </w:rPr>
          <w:t>Licence to transform – SWOT analysis of industrial permitting in Europe</w:t>
        </w:r>
      </w:hyperlink>
      <w:r w:rsidR="004137AF" w:rsidRPr="00720DA1">
        <w:rPr>
          <w:rFonts w:cs="Times New Roman"/>
          <w:sz w:val="16"/>
          <w:szCs w:val="16"/>
        </w:rPr>
        <w:t>.</w:t>
      </w:r>
    </w:p>
  </w:footnote>
  <w:footnote w:id="649">
    <w:p w14:paraId="54E89255" w14:textId="671410EE" w:rsidR="00020031" w:rsidRPr="00720DA1" w:rsidDel="00151664" w:rsidRDefault="00020031" w:rsidP="00CE1615">
      <w:pPr>
        <w:rPr>
          <w:rFonts w:cs="Times New Roman"/>
          <w:sz w:val="16"/>
          <w:szCs w:val="16"/>
        </w:rPr>
      </w:pPr>
      <w:r w:rsidRPr="00720DA1" w:rsidDel="00151664">
        <w:rPr>
          <w:rFonts w:cs="Times New Roman"/>
          <w:sz w:val="16"/>
          <w:szCs w:val="16"/>
          <w:vertAlign w:val="superscript"/>
        </w:rPr>
        <w:footnoteRef/>
      </w:r>
      <w:r w:rsidRPr="00720DA1" w:rsidDel="00151664">
        <w:rPr>
          <w:rFonts w:cs="Times New Roman"/>
          <w:sz w:val="16"/>
          <w:szCs w:val="16"/>
        </w:rPr>
        <w:t xml:space="preserve"> </w:t>
      </w:r>
      <w:r w:rsidR="004137AF" w:rsidRPr="00720DA1">
        <w:rPr>
          <w:rFonts w:cs="Times New Roman"/>
          <w:sz w:val="16"/>
          <w:szCs w:val="16"/>
        </w:rPr>
        <w:t>European Commission (2025).</w:t>
      </w:r>
      <w:r w:rsidR="00AE5F82" w:rsidRPr="00720DA1">
        <w:rPr>
          <w:rFonts w:cs="Times New Roman"/>
          <w:sz w:val="16"/>
          <w:szCs w:val="16"/>
        </w:rPr>
        <w:t xml:space="preserve"> </w:t>
      </w:r>
      <w:hyperlink r:id="rId431">
        <w:r w:rsidR="0055212E" w:rsidRPr="00720DA1">
          <w:rPr>
            <w:rStyle w:val="Hyperlink"/>
            <w:rFonts w:cs="Times New Roman"/>
            <w:sz w:val="16"/>
            <w:szCs w:val="16"/>
          </w:rPr>
          <w:t>Communication from the Commission to the European Parliament, the Council, the European Economic and Social Committee and the Committee of the Regions - The 2025 Annual Single Market and Competitiveness Report.</w:t>
        </w:r>
      </w:hyperlink>
      <w:r w:rsidRPr="00720DA1" w:rsidDel="00151664">
        <w:rPr>
          <w:rFonts w:cs="Times New Roman"/>
          <w:sz w:val="16"/>
          <w:szCs w:val="16"/>
        </w:rPr>
        <w:t xml:space="preserve"> </w:t>
      </w:r>
      <w:r w:rsidR="00413E53" w:rsidRPr="00720DA1">
        <w:rPr>
          <w:rFonts w:cs="Times New Roman"/>
          <w:sz w:val="16"/>
          <w:szCs w:val="16"/>
        </w:rPr>
        <w:t>SWD(2025) 11 final and SWD(2025) 12 final</w:t>
      </w:r>
      <w:r w:rsidR="00651E22" w:rsidRPr="00720DA1">
        <w:rPr>
          <w:rFonts w:cs="Times New Roman"/>
          <w:sz w:val="16"/>
          <w:szCs w:val="16"/>
        </w:rPr>
        <w:t>.</w:t>
      </w:r>
    </w:p>
  </w:footnote>
  <w:footnote w:id="650">
    <w:p w14:paraId="7942A86F" w14:textId="7922C3FD" w:rsidR="00020031" w:rsidRPr="00720DA1" w:rsidDel="00151664" w:rsidRDefault="00020031" w:rsidP="00CE1615">
      <w:pPr>
        <w:rPr>
          <w:rFonts w:cs="Times New Roman"/>
          <w:sz w:val="16"/>
          <w:szCs w:val="16"/>
        </w:rPr>
      </w:pPr>
      <w:r w:rsidRPr="00720DA1" w:rsidDel="00151664">
        <w:rPr>
          <w:rFonts w:cs="Times New Roman"/>
          <w:sz w:val="16"/>
          <w:szCs w:val="16"/>
          <w:vertAlign w:val="superscript"/>
        </w:rPr>
        <w:footnoteRef/>
      </w:r>
      <w:r w:rsidR="00F57FAA" w:rsidRPr="00720DA1">
        <w:rPr>
          <w:rFonts w:cs="Times New Roman"/>
          <w:sz w:val="16"/>
          <w:szCs w:val="16"/>
        </w:rPr>
        <w:t xml:space="preserve"> </w:t>
      </w:r>
      <w:r w:rsidR="00414855" w:rsidRPr="00720DA1">
        <w:rPr>
          <w:rFonts w:cs="Times New Roman"/>
          <w:sz w:val="16"/>
          <w:szCs w:val="16"/>
        </w:rPr>
        <w:t xml:space="preserve">European Commission (2025). </w:t>
      </w:r>
      <w:hyperlink r:id="rId432" w:history="1">
        <w:r w:rsidR="00414855" w:rsidRPr="00720DA1">
          <w:rPr>
            <w:rStyle w:val="Hyperlink"/>
            <w:rFonts w:cs="Times New Roman"/>
            <w:sz w:val="16"/>
            <w:szCs w:val="16"/>
          </w:rPr>
          <w:t xml:space="preserve">2025 </w:t>
        </w:r>
        <w:r w:rsidRPr="00720DA1" w:rsidDel="00151664">
          <w:rPr>
            <w:rStyle w:val="Hyperlink"/>
            <w:rFonts w:cs="Times New Roman"/>
            <w:sz w:val="16"/>
            <w:szCs w:val="16"/>
          </w:rPr>
          <w:t xml:space="preserve">Annual Knowledge Sharing </w:t>
        </w:r>
        <w:r w:rsidR="003E613B" w:rsidRPr="00720DA1">
          <w:rPr>
            <w:rStyle w:val="Hyperlink"/>
            <w:rFonts w:cs="Times New Roman"/>
            <w:sz w:val="16"/>
            <w:szCs w:val="16"/>
          </w:rPr>
          <w:t>R</w:t>
        </w:r>
        <w:r w:rsidRPr="00720DA1" w:rsidDel="00151664">
          <w:rPr>
            <w:rStyle w:val="Hyperlink"/>
            <w:rFonts w:cs="Times New Roman"/>
            <w:sz w:val="16"/>
            <w:szCs w:val="16"/>
          </w:rPr>
          <w:t>eport of the Innovation Fund</w:t>
        </w:r>
        <w:r w:rsidR="00F57FAA" w:rsidRPr="00720DA1">
          <w:rPr>
            <w:rStyle w:val="Hyperlink"/>
            <w:rFonts w:cs="Times New Roman"/>
            <w:sz w:val="16"/>
            <w:szCs w:val="16"/>
          </w:rPr>
          <w:t xml:space="preserve"> </w:t>
        </w:r>
        <w:r w:rsidR="003E613B" w:rsidRPr="00720DA1">
          <w:rPr>
            <w:rStyle w:val="Hyperlink"/>
            <w:rFonts w:cs="Times New Roman"/>
            <w:sz w:val="16"/>
            <w:szCs w:val="16"/>
          </w:rPr>
          <w:t>– Derisking Innovative Low-Carbon Technologies</w:t>
        </w:r>
      </w:hyperlink>
      <w:r w:rsidR="00F57FAA" w:rsidRPr="00720DA1">
        <w:rPr>
          <w:rFonts w:cs="Times New Roman"/>
          <w:sz w:val="16"/>
          <w:szCs w:val="16"/>
        </w:rPr>
        <w:t>.</w:t>
      </w:r>
    </w:p>
  </w:footnote>
  <w:footnote w:id="651">
    <w:p w14:paraId="0D449733" w14:textId="098301B4" w:rsidR="00020031" w:rsidRPr="00720DA1" w:rsidDel="00151664" w:rsidRDefault="00020031" w:rsidP="00CE1615">
      <w:pPr>
        <w:rPr>
          <w:rFonts w:eastAsia="Times New Roman" w:cs="Times New Roman"/>
          <w:sz w:val="16"/>
          <w:szCs w:val="16"/>
        </w:rPr>
      </w:pPr>
      <w:r w:rsidRPr="00720DA1" w:rsidDel="00151664">
        <w:rPr>
          <w:rFonts w:cs="Times New Roman"/>
          <w:sz w:val="16"/>
          <w:szCs w:val="16"/>
          <w:vertAlign w:val="superscript"/>
        </w:rPr>
        <w:footnoteRef/>
      </w:r>
      <w:r w:rsidRPr="00720DA1" w:rsidDel="00151664">
        <w:rPr>
          <w:rFonts w:cs="Times New Roman"/>
          <w:sz w:val="16"/>
          <w:szCs w:val="16"/>
          <w:vertAlign w:val="superscript"/>
        </w:rPr>
        <w:t xml:space="preserve"> </w:t>
      </w:r>
      <w:r w:rsidR="00261DEF" w:rsidRPr="00720DA1">
        <w:rPr>
          <w:rFonts w:cs="Times New Roman"/>
          <w:sz w:val="16"/>
          <w:szCs w:val="16"/>
        </w:rPr>
        <w:t>ERT (2024).</w:t>
      </w:r>
      <w:r w:rsidRPr="00720DA1" w:rsidDel="00151664">
        <w:rPr>
          <w:rFonts w:cs="Times New Roman"/>
          <w:sz w:val="16"/>
          <w:szCs w:val="16"/>
        </w:rPr>
        <w:t xml:space="preserve"> </w:t>
      </w:r>
      <w:hyperlink r:id="rId433" w:history="1">
        <w:r w:rsidRPr="00720DA1" w:rsidDel="00151664">
          <w:rPr>
            <w:rStyle w:val="Hyperlink"/>
            <w:rFonts w:cs="Times New Roman"/>
            <w:sz w:val="16"/>
            <w:szCs w:val="16"/>
          </w:rPr>
          <w:t>Competitiveness of European Energy-Intensive Industries</w:t>
        </w:r>
      </w:hyperlink>
      <w:r w:rsidRPr="00720DA1" w:rsidDel="00151664">
        <w:rPr>
          <w:rFonts w:cs="Times New Roman"/>
          <w:sz w:val="16"/>
          <w:szCs w:val="16"/>
        </w:rPr>
        <w:t>.</w:t>
      </w:r>
    </w:p>
  </w:footnote>
  <w:footnote w:id="652">
    <w:p w14:paraId="1B693029" w14:textId="5C4D2206" w:rsidR="00020031" w:rsidRPr="00720DA1" w:rsidDel="00151664" w:rsidRDefault="00020031" w:rsidP="00CE1615">
      <w:pPr>
        <w:pStyle w:val="FootnoteText"/>
        <w:rPr>
          <w:rFonts w:cs="Times New Roman"/>
          <w:sz w:val="16"/>
          <w:szCs w:val="16"/>
        </w:rPr>
      </w:pPr>
      <w:r w:rsidRPr="00720DA1" w:rsidDel="00151664">
        <w:rPr>
          <w:rStyle w:val="FootnoteReference"/>
          <w:rFonts w:cs="Times New Roman"/>
          <w:sz w:val="16"/>
          <w:szCs w:val="16"/>
        </w:rPr>
        <w:footnoteRef/>
      </w:r>
      <w:r w:rsidRPr="00720DA1" w:rsidDel="00151664">
        <w:rPr>
          <w:rFonts w:cs="Times New Roman"/>
          <w:sz w:val="16"/>
          <w:szCs w:val="16"/>
        </w:rPr>
        <w:t xml:space="preserve"> </w:t>
      </w:r>
      <w:r w:rsidR="00950250" w:rsidRPr="00720DA1" w:rsidDel="00151664">
        <w:rPr>
          <w:rFonts w:cs="Times New Roman"/>
          <w:sz w:val="16"/>
          <w:szCs w:val="16"/>
        </w:rPr>
        <w:t>Deloitte</w:t>
      </w:r>
      <w:r w:rsidR="00261DEF" w:rsidRPr="00720DA1">
        <w:rPr>
          <w:rFonts w:cs="Times New Roman"/>
          <w:sz w:val="16"/>
          <w:szCs w:val="16"/>
        </w:rPr>
        <w:t xml:space="preserve"> (2024).</w:t>
      </w:r>
      <w:r w:rsidR="00950250" w:rsidRPr="00720DA1" w:rsidDel="00151664">
        <w:rPr>
          <w:rFonts w:cs="Times New Roman"/>
          <w:sz w:val="16"/>
          <w:szCs w:val="16"/>
        </w:rPr>
        <w:t xml:space="preserve"> </w:t>
      </w:r>
      <w:hyperlink r:id="rId434" w:history="1">
        <w:r w:rsidR="00261DEF" w:rsidRPr="00720DA1">
          <w:rPr>
            <w:rStyle w:val="Hyperlink"/>
            <w:rFonts w:cs="Times New Roman"/>
            <w:sz w:val="16"/>
            <w:szCs w:val="16"/>
          </w:rPr>
          <w:t>Carbon Contracts for Difference (CCfDs) as an instrument of choice</w:t>
        </w:r>
      </w:hyperlink>
      <w:r w:rsidR="00261DEF" w:rsidRPr="00720DA1">
        <w:rPr>
          <w:rFonts w:cs="Times New Roman"/>
          <w:sz w:val="16"/>
          <w:szCs w:val="16"/>
        </w:rPr>
        <w:t>.</w:t>
      </w:r>
    </w:p>
  </w:footnote>
  <w:footnote w:id="653">
    <w:p w14:paraId="527EF9EE" w14:textId="62B86915" w:rsidR="00CF41EA" w:rsidRPr="00720DA1" w:rsidRDefault="00CF41EA" w:rsidP="00CF41EA">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vertAlign w:val="superscript"/>
        </w:rPr>
        <w:t xml:space="preserve"> </w:t>
      </w:r>
      <w:r w:rsidR="002251CA" w:rsidRPr="00720DA1">
        <w:rPr>
          <w:sz w:val="16"/>
          <w:szCs w:val="16"/>
        </w:rPr>
        <w:t xml:space="preserve">JRC (2024). </w:t>
      </w:r>
      <w:hyperlink r:id="rId435" w:history="1">
        <w:r w:rsidR="002251CA" w:rsidRPr="00720DA1">
          <w:rPr>
            <w:rStyle w:val="Hyperlink"/>
            <w:sz w:val="16"/>
            <w:szCs w:val="16"/>
          </w:rPr>
          <w:t>Draft preparatory study on iron and steel – ecodesign measures under the ESPR</w:t>
        </w:r>
      </w:hyperlink>
      <w:r w:rsidRPr="00720DA1">
        <w:rPr>
          <w:rFonts w:cs="Times New Roman"/>
          <w:sz w:val="16"/>
          <w:szCs w:val="16"/>
        </w:rPr>
        <w:t>.</w:t>
      </w:r>
    </w:p>
  </w:footnote>
  <w:footnote w:id="654">
    <w:p w14:paraId="218CC3C1" w14:textId="5701407F"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PV</w:t>
      </w:r>
      <w:r w:rsidR="002251CA" w:rsidRPr="00720DA1">
        <w:rPr>
          <w:rFonts w:cs="Times New Roman"/>
          <w:sz w:val="16"/>
          <w:szCs w:val="16"/>
        </w:rPr>
        <w:t xml:space="preserve"> Magazine (2024).</w:t>
      </w:r>
      <w:r w:rsidRPr="00720DA1">
        <w:rPr>
          <w:rFonts w:cs="Times New Roman"/>
          <w:sz w:val="16"/>
          <w:szCs w:val="16"/>
        </w:rPr>
        <w:t xml:space="preserve"> </w:t>
      </w:r>
      <w:hyperlink r:id="rId436" w:history="1">
        <w:r w:rsidRPr="00720DA1">
          <w:rPr>
            <w:rStyle w:val="Hyperlink"/>
            <w:rFonts w:cs="Times New Roman"/>
            <w:sz w:val="16"/>
            <w:szCs w:val="16"/>
          </w:rPr>
          <w:t>PV Manufacturing in Europe: Ensuring Resilience through Industrial Policy</w:t>
        </w:r>
      </w:hyperlink>
      <w:r w:rsidR="002251CA" w:rsidRPr="00720DA1">
        <w:rPr>
          <w:rFonts w:cs="Times New Roman"/>
          <w:sz w:val="16"/>
          <w:szCs w:val="16"/>
        </w:rPr>
        <w:t>.</w:t>
      </w:r>
    </w:p>
  </w:footnote>
  <w:footnote w:id="655">
    <w:p w14:paraId="7895E033" w14:textId="5BC0707E"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hyperlink r:id="rId437" w:history="1">
        <w:r w:rsidRPr="00720DA1">
          <w:rPr>
            <w:rFonts w:cs="Times New Roman"/>
            <w:sz w:val="16"/>
            <w:szCs w:val="16"/>
          </w:rPr>
          <w:t>COMMISSION STAFF WORKING DOCUMENT EVALUATION of Regulation (EU) 2019/452 of the European Parliament and of the Council of 19 March 2019 establishing a framework for the screening of foreign direct investments into the Union Accompanying the document Proposal for a Regulation of the European Parliament and of the Council on the screening of foreign investments in the Union and repealing Regulation (EU) 2019/452 of the European Parliament and of the Council - Publications Office of the EU</w:t>
        </w:r>
      </w:hyperlink>
      <w:r w:rsidRPr="00720DA1">
        <w:rPr>
          <w:rFonts w:cs="Times New Roman"/>
          <w:sz w:val="16"/>
          <w:szCs w:val="16"/>
        </w:rPr>
        <w:t>.</w:t>
      </w:r>
    </w:p>
  </w:footnote>
  <w:footnote w:id="656">
    <w:p w14:paraId="7373A993" w14:textId="55CBB42E" w:rsidR="00851903" w:rsidRPr="00720DA1" w:rsidRDefault="00851903">
      <w:pPr>
        <w:pStyle w:val="FootnoteText"/>
        <w:rPr>
          <w:sz w:val="16"/>
          <w:szCs w:val="16"/>
          <w:lang w:val="en-IE"/>
        </w:rPr>
      </w:pPr>
      <w:r w:rsidRPr="00720DA1">
        <w:rPr>
          <w:rStyle w:val="FootnoteReference"/>
          <w:sz w:val="16"/>
          <w:szCs w:val="16"/>
        </w:rPr>
        <w:footnoteRef/>
      </w:r>
      <w:r w:rsidRPr="00720DA1">
        <w:rPr>
          <w:sz w:val="16"/>
          <w:szCs w:val="16"/>
        </w:rPr>
        <w:t xml:space="preserve"> </w:t>
      </w:r>
      <w:r w:rsidRPr="00720DA1">
        <w:rPr>
          <w:sz w:val="16"/>
          <w:szCs w:val="16"/>
          <w:lang w:val="en-IE"/>
        </w:rPr>
        <w:t>The JRC analysis presented an alternative scenario</w:t>
      </w:r>
      <w:r w:rsidR="00852E4E" w:rsidRPr="00720DA1">
        <w:rPr>
          <w:sz w:val="16"/>
          <w:szCs w:val="16"/>
          <w:lang w:val="en-IE"/>
        </w:rPr>
        <w:t xml:space="preserve">. For comparative analysis, see: Annex 14 </w:t>
      </w:r>
    </w:p>
  </w:footnote>
  <w:footnote w:id="657">
    <w:p w14:paraId="233C3B4E" w14:textId="77777777" w:rsidR="001E41B7" w:rsidRPr="00720DA1" w:rsidRDefault="001E41B7" w:rsidP="001E41B7">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The revised Industrial Emissions Directive contributes to de-risk investments as it sets up a new Innovation Centre on Industrial Transformation and Emissions (INCITE). </w:t>
      </w:r>
      <w:r w:rsidRPr="00720DA1">
        <w:rPr>
          <w:rFonts w:eastAsia="Times New Roman" w:cs="Times New Roman"/>
          <w:sz w:val="16"/>
          <w:szCs w:val="16"/>
        </w:rPr>
        <w:t xml:space="preserve">The most effective and viable innovative techniques </w:t>
      </w:r>
      <w:r w:rsidRPr="00720DA1">
        <w:rPr>
          <w:rFonts w:cs="Times New Roman"/>
          <w:sz w:val="16"/>
          <w:szCs w:val="16"/>
        </w:rPr>
        <w:t>could be</w:t>
      </w:r>
      <w:r w:rsidRPr="00720DA1">
        <w:rPr>
          <w:rFonts w:eastAsia="Times New Roman" w:cs="Times New Roman"/>
          <w:sz w:val="16"/>
          <w:szCs w:val="16"/>
        </w:rPr>
        <w:t xml:space="preserve"> </w:t>
      </w:r>
      <w:r w:rsidRPr="00720DA1">
        <w:rPr>
          <w:rFonts w:cs="Times New Roman"/>
          <w:sz w:val="16"/>
          <w:szCs w:val="16"/>
        </w:rPr>
        <w:t>incorporated in the Sevilla process for the development of environmental norms.</w:t>
      </w:r>
    </w:p>
  </w:footnote>
  <w:footnote w:id="658">
    <w:p w14:paraId="267321FB" w14:textId="22CD8729" w:rsidR="00A465E3" w:rsidRPr="00720DA1" w:rsidRDefault="00A465E3" w:rsidP="00A465E3">
      <w:pPr>
        <w:pStyle w:val="FootnoteText"/>
        <w:rPr>
          <w:rFonts w:cs="Times New Roman"/>
          <w:sz w:val="16"/>
          <w:szCs w:val="16"/>
        </w:rPr>
      </w:pPr>
      <w:r w:rsidRPr="00720DA1">
        <w:rPr>
          <w:rStyle w:val="FootnoteReference"/>
          <w:rFonts w:cs="Times New Roman"/>
          <w:sz w:val="16"/>
          <w:szCs w:val="16"/>
        </w:rPr>
        <w:footnoteRef/>
      </w:r>
      <w:r w:rsidR="00752771" w:rsidRPr="00720DA1">
        <w:rPr>
          <w:rFonts w:cs="Times New Roman"/>
          <w:sz w:val="16"/>
          <w:szCs w:val="16"/>
        </w:rPr>
        <w:t xml:space="preserve"> European Commission (</w:t>
      </w:r>
      <w:r w:rsidR="009B1E95" w:rsidRPr="00720DA1">
        <w:rPr>
          <w:rFonts w:cs="Times New Roman"/>
          <w:sz w:val="16"/>
          <w:szCs w:val="16"/>
        </w:rPr>
        <w:t>2022).</w:t>
      </w:r>
      <w:r w:rsidRPr="00720DA1">
        <w:rPr>
          <w:rFonts w:cs="Times New Roman"/>
          <w:sz w:val="16"/>
          <w:szCs w:val="16"/>
        </w:rPr>
        <w:t xml:space="preserve"> </w:t>
      </w:r>
      <w:hyperlink r:id="rId438" w:history="1">
        <w:r w:rsidRPr="00720DA1">
          <w:rPr>
            <w:rStyle w:val="Hyperlink"/>
            <w:rFonts w:cs="Times New Roman"/>
            <w:sz w:val="16"/>
            <w:szCs w:val="16"/>
          </w:rPr>
          <w:t xml:space="preserve">Revision of the EU </w:t>
        </w:r>
        <w:r w:rsidR="00AC4AD8" w:rsidRPr="00720DA1">
          <w:rPr>
            <w:rStyle w:val="Hyperlink"/>
            <w:rFonts w:cs="Times New Roman"/>
            <w:sz w:val="16"/>
            <w:szCs w:val="16"/>
          </w:rPr>
          <w:t>green public procurement criteria for roa</w:t>
        </w:r>
        <w:r w:rsidRPr="00720DA1">
          <w:rPr>
            <w:rStyle w:val="Hyperlink"/>
            <w:rFonts w:cs="Times New Roman"/>
            <w:sz w:val="16"/>
            <w:szCs w:val="16"/>
          </w:rPr>
          <w:t>d transport</w:t>
        </w:r>
      </w:hyperlink>
      <w:r w:rsidRPr="00720DA1">
        <w:rPr>
          <w:rFonts w:cs="Times New Roman"/>
          <w:sz w:val="16"/>
          <w:szCs w:val="16"/>
        </w:rPr>
        <w:t>.</w:t>
      </w:r>
    </w:p>
  </w:footnote>
  <w:footnote w:id="659">
    <w:p w14:paraId="1C0F57D5" w14:textId="2ECCA649" w:rsidR="00A465E3" w:rsidRPr="00720DA1" w:rsidRDefault="00A465E3" w:rsidP="00A465E3">
      <w:pPr>
        <w:pStyle w:val="FootnoteText"/>
        <w:rPr>
          <w:sz w:val="16"/>
          <w:szCs w:val="16"/>
          <w:lang w:val="en-IE"/>
        </w:rPr>
      </w:pPr>
      <w:r w:rsidRPr="00720DA1">
        <w:rPr>
          <w:rStyle w:val="FootnoteReference"/>
          <w:sz w:val="16"/>
          <w:szCs w:val="16"/>
        </w:rPr>
        <w:footnoteRef/>
      </w:r>
      <w:r w:rsidR="00B0613D" w:rsidRPr="00720DA1">
        <w:rPr>
          <w:rStyle w:val="Hyperlink"/>
          <w:rFonts w:cs="Times New Roman"/>
          <w:sz w:val="16"/>
          <w:szCs w:val="16"/>
        </w:rPr>
        <w:t xml:space="preserve"> </w:t>
      </w:r>
      <w:r w:rsidR="00B0613D" w:rsidRPr="00720DA1">
        <w:rPr>
          <w:sz w:val="16"/>
          <w:szCs w:val="16"/>
        </w:rPr>
        <w:t>E</w:t>
      </w:r>
      <w:r w:rsidR="004500BE" w:rsidRPr="00720DA1">
        <w:rPr>
          <w:sz w:val="16"/>
          <w:szCs w:val="16"/>
        </w:rPr>
        <w:t xml:space="preserve">uropean Commission (2025). </w:t>
      </w:r>
      <w:r w:rsidR="00CE1615" w:rsidRPr="00720DA1">
        <w:rPr>
          <w:sz w:val="16"/>
          <w:szCs w:val="16"/>
        </w:rPr>
        <w:t>Communication from the Commission to the European Parliament, the Council, the European Economic and Social Committee and the Committee of Regions, Decarbonise Corporate Fleets, COM(2025)96 final, 5 March 2025.</w:t>
      </w:r>
    </w:p>
  </w:footnote>
  <w:footnote w:id="660">
    <w:p w14:paraId="14830D19" w14:textId="62B74A73" w:rsidR="00A465E3" w:rsidRPr="00720DA1" w:rsidRDefault="00A465E3" w:rsidP="00A465E3">
      <w:pPr>
        <w:pStyle w:val="FootnoteText"/>
        <w:rPr>
          <w:sz w:val="16"/>
          <w:szCs w:val="16"/>
          <w:lang w:val="en-IE"/>
        </w:rPr>
      </w:pPr>
      <w:r w:rsidRPr="00720DA1">
        <w:rPr>
          <w:rStyle w:val="FootnoteReference"/>
          <w:sz w:val="16"/>
          <w:szCs w:val="16"/>
        </w:rPr>
        <w:footnoteRef/>
      </w:r>
      <w:r w:rsidR="00CE1615" w:rsidRPr="00720DA1">
        <w:rPr>
          <w:sz w:val="16"/>
          <w:szCs w:val="16"/>
        </w:rPr>
        <w:t xml:space="preserve">ACEA (2025). </w:t>
      </w:r>
      <w:hyperlink r:id="rId439" w:history="1">
        <w:r w:rsidR="004500BE" w:rsidRPr="00720DA1">
          <w:rPr>
            <w:rStyle w:val="Hyperlink"/>
            <w:sz w:val="16"/>
            <w:szCs w:val="16"/>
          </w:rPr>
          <w:t>Electric cars: Tax benefits and incentives (2025)</w:t>
        </w:r>
      </w:hyperlink>
      <w:r w:rsidR="004500BE" w:rsidRPr="00720DA1">
        <w:rPr>
          <w:sz w:val="16"/>
          <w:szCs w:val="16"/>
        </w:rPr>
        <w:t>.</w:t>
      </w:r>
    </w:p>
  </w:footnote>
  <w:footnote w:id="661">
    <w:p w14:paraId="43AEDF55" w14:textId="5586F7D2" w:rsidR="00A465E3" w:rsidRPr="00720DA1" w:rsidRDefault="00A465E3" w:rsidP="00A465E3">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DA15C0" w:rsidRPr="00720DA1">
        <w:rPr>
          <w:rFonts w:cs="Times New Roman"/>
          <w:sz w:val="16"/>
          <w:szCs w:val="16"/>
        </w:rPr>
        <w:t xml:space="preserve">ERM (for T&amp;E) (2024). </w:t>
      </w:r>
      <w:hyperlink r:id="rId440" w:history="1">
        <w:r w:rsidRPr="00720DA1">
          <w:rPr>
            <w:rStyle w:val="Hyperlink"/>
            <w:rFonts w:cs="Times New Roman"/>
            <w:sz w:val="16"/>
            <w:szCs w:val="16"/>
          </w:rPr>
          <w:t>Company car fossil fuel subsidies in Europe</w:t>
        </w:r>
      </w:hyperlink>
      <w:r w:rsidRPr="00720DA1">
        <w:rPr>
          <w:rFonts w:cs="Times New Roman"/>
          <w:sz w:val="16"/>
          <w:szCs w:val="16"/>
        </w:rPr>
        <w:t xml:space="preserve">. </w:t>
      </w:r>
    </w:p>
  </w:footnote>
  <w:footnote w:id="662">
    <w:p w14:paraId="38F5D239" w14:textId="128C3AA5" w:rsidR="00245C4A" w:rsidRPr="00720DA1" w:rsidRDefault="00245C4A">
      <w:pPr>
        <w:pStyle w:val="FootnoteText"/>
        <w:rPr>
          <w:sz w:val="16"/>
          <w:szCs w:val="16"/>
        </w:rPr>
      </w:pPr>
      <w:r w:rsidRPr="00720DA1">
        <w:rPr>
          <w:rStyle w:val="FootnoteReference"/>
          <w:sz w:val="16"/>
          <w:szCs w:val="16"/>
        </w:rPr>
        <w:footnoteRef/>
      </w:r>
      <w:r w:rsidRPr="00720DA1">
        <w:rPr>
          <w:sz w:val="16"/>
          <w:szCs w:val="16"/>
        </w:rPr>
        <w:t xml:space="preserve"> It is important to note that for the calculation, it is assumed that the allocated subsidy is </w:t>
      </w:r>
      <w:r w:rsidR="00FB367B" w:rsidRPr="00720DA1">
        <w:rPr>
          <w:sz w:val="16"/>
          <w:szCs w:val="16"/>
        </w:rPr>
        <w:t xml:space="preserve">kept constant over time, but </w:t>
      </w:r>
      <w:r w:rsidR="00C3031D" w:rsidRPr="00720DA1">
        <w:rPr>
          <w:sz w:val="16"/>
          <w:szCs w:val="16"/>
        </w:rPr>
        <w:t xml:space="preserve">as projected </w:t>
      </w:r>
      <w:r w:rsidR="00FB367B" w:rsidRPr="00720DA1">
        <w:rPr>
          <w:sz w:val="16"/>
          <w:szCs w:val="16"/>
        </w:rPr>
        <w:t>sales keep increasing</w:t>
      </w:r>
      <w:r w:rsidR="00C3031D" w:rsidRPr="00720DA1">
        <w:rPr>
          <w:sz w:val="16"/>
          <w:szCs w:val="16"/>
        </w:rPr>
        <w:t>, over time, the subsidy may become insufficient to compensate for the cost increase.</w:t>
      </w:r>
    </w:p>
  </w:footnote>
  <w:footnote w:id="663">
    <w:p w14:paraId="75BCA578" w14:textId="5F8A7AFC" w:rsidR="00EC0084" w:rsidRPr="00720DA1" w:rsidRDefault="00EC0084">
      <w:pPr>
        <w:pStyle w:val="FootnoteText"/>
        <w:rPr>
          <w:sz w:val="16"/>
          <w:szCs w:val="16"/>
          <w:lang w:val="en-IE"/>
        </w:rPr>
      </w:pPr>
      <w:r w:rsidRPr="00720DA1">
        <w:rPr>
          <w:rStyle w:val="FootnoteReference"/>
          <w:sz w:val="16"/>
          <w:szCs w:val="16"/>
        </w:rPr>
        <w:footnoteRef/>
      </w:r>
      <w:r w:rsidRPr="00720DA1">
        <w:rPr>
          <w:sz w:val="16"/>
          <w:szCs w:val="16"/>
        </w:rPr>
        <w:t xml:space="preserve"> Global Value Added (GVA) refers to the total economic value generated by the projected production of EU EV manufacturers and the EU suppliers, as well as further intermediate inputs necessary to increase the </w:t>
      </w:r>
      <w:r w:rsidR="00EB3532" w:rsidRPr="00720DA1">
        <w:rPr>
          <w:sz w:val="16"/>
          <w:szCs w:val="16"/>
        </w:rPr>
        <w:t>Made in EU</w:t>
      </w:r>
      <w:r w:rsidRPr="00720DA1">
        <w:rPr>
          <w:sz w:val="16"/>
          <w:szCs w:val="16"/>
        </w:rPr>
        <w:t xml:space="preserve"> requirement of the measure and increase production of EU EVs</w:t>
      </w:r>
    </w:p>
  </w:footnote>
  <w:footnote w:id="664">
    <w:p w14:paraId="6083F606" w14:textId="77777777" w:rsidR="0076297F" w:rsidRPr="00720DA1" w:rsidRDefault="0076297F" w:rsidP="0076297F">
      <w:pPr>
        <w:pStyle w:val="FootnoteText"/>
        <w:rPr>
          <w:sz w:val="16"/>
          <w:szCs w:val="16"/>
        </w:rPr>
      </w:pPr>
      <w:r w:rsidRPr="00720DA1">
        <w:rPr>
          <w:rStyle w:val="FootnoteReference"/>
          <w:sz w:val="16"/>
          <w:szCs w:val="16"/>
        </w:rPr>
        <w:footnoteRef/>
      </w:r>
      <w:r w:rsidRPr="00720DA1">
        <w:rPr>
          <w:sz w:val="16"/>
          <w:szCs w:val="16"/>
        </w:rPr>
        <w:t xml:space="preserve"> As a result of the reallocation of subsidies, EU manufacturers reduce the price of their vehicles, but they do not compensate for the high price increase that the non-EU manufacturers would face as a result – further incentivising compliance to this measure. </w:t>
      </w:r>
    </w:p>
  </w:footnote>
  <w:footnote w:id="665">
    <w:p w14:paraId="0AD59A66" w14:textId="6B8A493C" w:rsidR="00073E17" w:rsidRPr="00720DA1" w:rsidRDefault="00073E17" w:rsidP="00073E17">
      <w:pPr>
        <w:rPr>
          <w:sz w:val="16"/>
          <w:szCs w:val="16"/>
        </w:rPr>
      </w:pPr>
      <w:r w:rsidRPr="00720DA1">
        <w:rPr>
          <w:sz w:val="16"/>
          <w:szCs w:val="16"/>
          <w:vertAlign w:val="superscript"/>
        </w:rPr>
        <w:footnoteRef/>
      </w:r>
      <w:r w:rsidRPr="00720DA1">
        <w:rPr>
          <w:sz w:val="16"/>
          <w:szCs w:val="16"/>
        </w:rPr>
        <w:t xml:space="preserve"> This effect could disappear if ICE vehicles were also made subject to the EU content requirement under LEAD_VC</w:t>
      </w:r>
      <w:r w:rsidR="00CF00BD" w:rsidRPr="00720DA1">
        <w:rPr>
          <w:sz w:val="16"/>
          <w:szCs w:val="16"/>
        </w:rPr>
        <w:t xml:space="preserve"> </w:t>
      </w:r>
      <w:r w:rsidRPr="00720DA1">
        <w:rPr>
          <w:sz w:val="16"/>
          <w:szCs w:val="16"/>
        </w:rPr>
        <w:t>1</w:t>
      </w:r>
    </w:p>
  </w:footnote>
  <w:footnote w:id="666">
    <w:p w14:paraId="2E0ECEF6" w14:textId="77777777" w:rsidR="00016C31" w:rsidRPr="00720DA1" w:rsidRDefault="00016C31" w:rsidP="00016C31">
      <w:pPr>
        <w:pStyle w:val="FootnoteText"/>
        <w:rPr>
          <w:sz w:val="16"/>
          <w:szCs w:val="16"/>
        </w:rPr>
      </w:pPr>
      <w:r w:rsidRPr="00720DA1">
        <w:rPr>
          <w:rStyle w:val="FootnoteReference"/>
          <w:sz w:val="16"/>
          <w:szCs w:val="16"/>
        </w:rPr>
        <w:footnoteRef/>
      </w:r>
      <w:r w:rsidRPr="00720DA1">
        <w:rPr>
          <w:sz w:val="16"/>
          <w:szCs w:val="16"/>
        </w:rPr>
        <w:t xml:space="preserve"> SolarPower Europe (2025). </w:t>
      </w:r>
      <w:hyperlink r:id="rId441" w:history="1">
        <w:r w:rsidRPr="00720DA1">
          <w:rPr>
            <w:rStyle w:val="Hyperlink"/>
            <w:sz w:val="16"/>
            <w:szCs w:val="16"/>
          </w:rPr>
          <w:t>New study reveals path to reshore solar manufacturing in Europe.</w:t>
        </w:r>
      </w:hyperlink>
    </w:p>
  </w:footnote>
  <w:footnote w:id="667">
    <w:p w14:paraId="6C013ADB" w14:textId="08A60894"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00E9075F" w:rsidRPr="00720DA1">
        <w:rPr>
          <w:sz w:val="16"/>
          <w:szCs w:val="16"/>
        </w:rPr>
        <w:t xml:space="preserve">Fraunhofer ISI (2025). </w:t>
      </w:r>
      <w:hyperlink r:id="rId442" w:history="1">
        <w:r w:rsidR="00F16994" w:rsidRPr="00720DA1">
          <w:rPr>
            <w:rStyle w:val="Hyperlink"/>
            <w:sz w:val="16"/>
            <w:szCs w:val="16"/>
          </w:rPr>
          <w:t>Photovoltaics</w:t>
        </w:r>
        <w:bookmarkStart w:id="706" w:name="_Hlt220942884"/>
        <w:bookmarkStart w:id="707" w:name="_Hlt220942885"/>
        <w:bookmarkEnd w:id="706"/>
        <w:bookmarkEnd w:id="707"/>
        <w:r w:rsidR="00F16994" w:rsidRPr="00720DA1">
          <w:rPr>
            <w:rStyle w:val="Hyperlink"/>
            <w:sz w:val="16"/>
            <w:szCs w:val="16"/>
          </w:rPr>
          <w:t xml:space="preserve"> Report</w:t>
        </w:r>
      </w:hyperlink>
      <w:r w:rsidRPr="00720DA1">
        <w:rPr>
          <w:rFonts w:cs="Times New Roman"/>
          <w:sz w:val="16"/>
          <w:szCs w:val="16"/>
        </w:rPr>
        <w:t>;</w:t>
      </w:r>
      <w:r w:rsidR="00DD2073" w:rsidRPr="00720DA1">
        <w:rPr>
          <w:rFonts w:cs="Times New Roman"/>
          <w:sz w:val="16"/>
          <w:szCs w:val="16"/>
        </w:rPr>
        <w:t xml:space="preserve"> </w:t>
      </w:r>
      <w:r w:rsidR="008E7039" w:rsidRPr="00720DA1">
        <w:rPr>
          <w:sz w:val="16"/>
          <w:szCs w:val="16"/>
        </w:rPr>
        <w:t>SolarPower</w:t>
      </w:r>
      <w:r w:rsidR="00850952">
        <w:rPr>
          <w:sz w:val="16"/>
          <w:szCs w:val="16"/>
        </w:rPr>
        <w:t xml:space="preserve"> webpage</w:t>
      </w:r>
      <w:r w:rsidR="003B31A0" w:rsidRPr="00720DA1">
        <w:rPr>
          <w:sz w:val="16"/>
          <w:szCs w:val="16"/>
        </w:rPr>
        <w:t xml:space="preserve">. </w:t>
      </w:r>
      <w:hyperlink r:id="rId443" w:history="1">
        <w:r w:rsidR="003B31A0" w:rsidRPr="00720DA1">
          <w:rPr>
            <w:rStyle w:val="Hyperlink"/>
            <w:sz w:val="16"/>
            <w:szCs w:val="16"/>
          </w:rPr>
          <w:t>Rebuilding European solar manufacturing</w:t>
        </w:r>
      </w:hyperlink>
      <w:r w:rsidR="00390D29" w:rsidRPr="00720DA1">
        <w:rPr>
          <w:sz w:val="16"/>
          <w:szCs w:val="16"/>
        </w:rPr>
        <w:t>;</w:t>
      </w:r>
      <w:r w:rsidR="00DD2073" w:rsidRPr="00720DA1">
        <w:rPr>
          <w:sz w:val="16"/>
          <w:szCs w:val="16"/>
        </w:rPr>
        <w:t xml:space="preserve"> ESMC</w:t>
      </w:r>
      <w:r w:rsidR="00F27ECC">
        <w:rPr>
          <w:sz w:val="16"/>
          <w:szCs w:val="16"/>
        </w:rPr>
        <w:t xml:space="preserve"> (2020). </w:t>
      </w:r>
      <w:hyperlink r:id="rId444" w:history="1">
        <w:r w:rsidR="00F27ECC" w:rsidRPr="00B12F38">
          <w:rPr>
            <w:rStyle w:val="Hyperlink"/>
            <w:sz w:val="16"/>
            <w:szCs w:val="16"/>
          </w:rPr>
          <w:t>ESMC Policy Proposals for the EU Strategy for Solar Ene</w:t>
        </w:r>
        <w:r w:rsidR="00B12F38" w:rsidRPr="00B12F38">
          <w:rPr>
            <w:rStyle w:val="Hyperlink"/>
            <w:sz w:val="16"/>
            <w:szCs w:val="16"/>
          </w:rPr>
          <w:t>rgy</w:t>
        </w:r>
      </w:hyperlink>
      <w:r w:rsidR="00B12F38">
        <w:rPr>
          <w:sz w:val="16"/>
          <w:szCs w:val="16"/>
        </w:rPr>
        <w:t xml:space="preserve">. </w:t>
      </w:r>
    </w:p>
  </w:footnote>
  <w:footnote w:id="668">
    <w:p w14:paraId="0F193E7C" w14:textId="3716BD16" w:rsidR="00020031" w:rsidRPr="00720DA1" w:rsidRDefault="00020031"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846B8C" w:rsidRPr="00720DA1">
        <w:rPr>
          <w:rFonts w:cs="Times New Roman"/>
          <w:sz w:val="16"/>
          <w:szCs w:val="16"/>
        </w:rPr>
        <w:t>VUB</w:t>
      </w:r>
      <w:r w:rsidR="00EC6FA1" w:rsidRPr="00720DA1">
        <w:rPr>
          <w:rFonts w:cs="Times New Roman"/>
          <w:sz w:val="16"/>
          <w:szCs w:val="16"/>
        </w:rPr>
        <w:t xml:space="preserve"> </w:t>
      </w:r>
      <w:r w:rsidR="006344CE" w:rsidRPr="00720DA1">
        <w:rPr>
          <w:rFonts w:cs="Times New Roman"/>
          <w:sz w:val="16"/>
          <w:szCs w:val="16"/>
        </w:rPr>
        <w:t>Brussels School of Governance (2024).</w:t>
      </w:r>
      <w:r w:rsidRPr="00720DA1">
        <w:rPr>
          <w:rFonts w:cs="Times New Roman"/>
          <w:sz w:val="16"/>
          <w:szCs w:val="16"/>
        </w:rPr>
        <w:t xml:space="preserve"> </w:t>
      </w:r>
      <w:hyperlink r:id="rId445" w:history="1">
        <w:r w:rsidRPr="00720DA1">
          <w:rPr>
            <w:rStyle w:val="Hyperlink"/>
            <w:rFonts w:cs="Times New Roman"/>
            <w:sz w:val="16"/>
            <w:szCs w:val="16"/>
          </w:rPr>
          <w:t>Public procurement of steel and cement for construction, assessing the potential of lead markets for green steel and cement in the EU</w:t>
        </w:r>
      </w:hyperlink>
      <w:r w:rsidRPr="00720DA1">
        <w:rPr>
          <w:rFonts w:cs="Times New Roman"/>
          <w:sz w:val="16"/>
          <w:szCs w:val="16"/>
        </w:rPr>
        <w:t>.</w:t>
      </w:r>
    </w:p>
  </w:footnote>
  <w:footnote w:id="669">
    <w:p w14:paraId="57FC751D" w14:textId="77777777" w:rsidR="006766CC" w:rsidRPr="00720DA1" w:rsidRDefault="006766CC"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Ibid.</w:t>
      </w:r>
    </w:p>
  </w:footnote>
  <w:footnote w:id="670">
    <w:p w14:paraId="1BDCF764" w14:textId="77777777" w:rsidR="00282646" w:rsidRPr="00720DA1" w:rsidRDefault="00943193"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411C24" w:rsidRPr="00720DA1">
        <w:rPr>
          <w:rFonts w:cs="Times New Roman"/>
          <w:sz w:val="16"/>
          <w:szCs w:val="16"/>
        </w:rPr>
        <w:t>I</w:t>
      </w:r>
      <w:r w:rsidR="003C744F" w:rsidRPr="00720DA1">
        <w:rPr>
          <w:rFonts w:cs="Times New Roman"/>
          <w:sz w:val="16"/>
          <w:szCs w:val="16"/>
        </w:rPr>
        <w:t>bid.</w:t>
      </w:r>
    </w:p>
  </w:footnote>
  <w:footnote w:id="671">
    <w:p w14:paraId="357E364C" w14:textId="77777777" w:rsidR="005E070D" w:rsidRPr="00720DA1" w:rsidRDefault="005E070D" w:rsidP="005E070D">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Ibid.</w:t>
      </w:r>
    </w:p>
  </w:footnote>
  <w:footnote w:id="672">
    <w:p w14:paraId="46A0DDC5" w14:textId="404C5E99" w:rsidR="00020031" w:rsidRPr="00720DA1" w:rsidRDefault="00020031" w:rsidP="00CE1615">
      <w:pPr>
        <w:rPr>
          <w:rFonts w:cs="Times New Roman"/>
          <w:sz w:val="16"/>
          <w:szCs w:val="16"/>
        </w:rPr>
      </w:pPr>
      <w:r w:rsidRPr="00720DA1">
        <w:rPr>
          <w:rStyle w:val="FootnoteReference"/>
          <w:rFonts w:cs="Times New Roman"/>
          <w:sz w:val="16"/>
          <w:szCs w:val="16"/>
        </w:rPr>
        <w:footnoteRef/>
      </w:r>
      <w:r w:rsidR="00411C24" w:rsidRPr="00720DA1">
        <w:rPr>
          <w:sz w:val="16"/>
          <w:szCs w:val="16"/>
        </w:rPr>
        <w:t xml:space="preserve"> </w:t>
      </w:r>
      <w:r w:rsidR="00390D29" w:rsidRPr="00720DA1">
        <w:rPr>
          <w:sz w:val="16"/>
          <w:szCs w:val="16"/>
        </w:rPr>
        <w:t xml:space="preserve">European Commission (2024). </w:t>
      </w:r>
      <w:hyperlink r:id="rId446" w:history="1">
        <w:r w:rsidRPr="00720DA1">
          <w:rPr>
            <w:rFonts w:eastAsiaTheme="minorEastAsia" w:cs="Times New Roman"/>
            <w:sz w:val="16"/>
            <w:szCs w:val="16"/>
          </w:rPr>
          <w:t>COMMISSION STAFF WORKING DOCUMENT EVALUATION of Regulation (EU) 2019/452 of the European Parliament and of the Council of 19 March 2019 establishing a framework for the screening of foreign direct investments into the Union Accompanying the document Proposal for a Regulation of the European Parliament and of the Council on the screening of foreign investments in the Union and repealing Regulation (EU) 2019/452 of the European Parliament and of the Council - Publications Office of the EU</w:t>
        </w:r>
      </w:hyperlink>
      <w:r w:rsidRPr="00720DA1">
        <w:rPr>
          <w:rFonts w:cs="Times New Roman"/>
          <w:sz w:val="16"/>
          <w:szCs w:val="16"/>
        </w:rPr>
        <w:t>.</w:t>
      </w:r>
    </w:p>
  </w:footnote>
  <w:footnote w:id="673">
    <w:p w14:paraId="554DA815" w14:textId="6804BEB1" w:rsidR="00A6388C" w:rsidRPr="00720DA1" w:rsidRDefault="00A6388C" w:rsidP="00BE5403">
      <w:pPr>
        <w:pStyle w:val="FootnoteText"/>
        <w:rPr>
          <w:sz w:val="16"/>
          <w:szCs w:val="16"/>
        </w:rPr>
      </w:pPr>
      <w:r w:rsidRPr="00720DA1">
        <w:rPr>
          <w:rStyle w:val="FootnoteReference"/>
          <w:sz w:val="16"/>
          <w:szCs w:val="16"/>
        </w:rPr>
        <w:footnoteRef/>
      </w:r>
      <w:r w:rsidRPr="00720DA1" w:rsidDel="007660D2">
        <w:rPr>
          <w:sz w:val="16"/>
          <w:szCs w:val="16"/>
        </w:rPr>
        <w:t xml:space="preserve"> </w:t>
      </w:r>
      <w:r w:rsidR="00BE5403" w:rsidRPr="00720DA1">
        <w:rPr>
          <w:sz w:val="16"/>
          <w:szCs w:val="16"/>
        </w:rPr>
        <w:t xml:space="preserve">MERICS (2025). </w:t>
      </w:r>
      <w:hyperlink r:id="rId447" w:history="1">
        <w:r w:rsidR="00BE5403" w:rsidRPr="00720DA1">
          <w:rPr>
            <w:rStyle w:val="Hyperlink"/>
            <w:sz w:val="16"/>
            <w:szCs w:val="16"/>
          </w:rPr>
          <w:t>Chinese investment rebounds despite growing frictions – Chinese FDI in Europe: 2024 Update</w:t>
        </w:r>
      </w:hyperlink>
      <w:r w:rsidR="00BE5403" w:rsidRPr="00720DA1">
        <w:rPr>
          <w:sz w:val="16"/>
          <w:szCs w:val="16"/>
        </w:rPr>
        <w:t xml:space="preserve">; Bruegel (2025). </w:t>
      </w:r>
      <w:hyperlink r:id="rId448" w:history="1">
        <w:r w:rsidR="00BE5403" w:rsidRPr="00720DA1">
          <w:rPr>
            <w:rStyle w:val="Hyperlink"/>
            <w:sz w:val="16"/>
            <w:szCs w:val="16"/>
          </w:rPr>
          <w:t>A smart European strategy for electric vehicle investment from China</w:t>
        </w:r>
      </w:hyperlink>
      <w:r w:rsidR="00BE5403" w:rsidRPr="00720DA1">
        <w:rPr>
          <w:sz w:val="16"/>
          <w:szCs w:val="16"/>
        </w:rPr>
        <w:t>.</w:t>
      </w:r>
    </w:p>
  </w:footnote>
  <w:footnote w:id="674">
    <w:p w14:paraId="5952917C" w14:textId="77777777" w:rsidR="00843724" w:rsidRPr="00720DA1" w:rsidRDefault="00843724" w:rsidP="00843724">
      <w:pPr>
        <w:pStyle w:val="FootnoteText"/>
        <w:rPr>
          <w:sz w:val="16"/>
          <w:szCs w:val="16"/>
        </w:rPr>
      </w:pPr>
      <w:r w:rsidRPr="00720DA1">
        <w:rPr>
          <w:rStyle w:val="FootnoteReference"/>
          <w:sz w:val="16"/>
          <w:szCs w:val="16"/>
        </w:rPr>
        <w:footnoteRef/>
      </w:r>
      <w:r w:rsidRPr="00720DA1">
        <w:rPr>
          <w:sz w:val="16"/>
          <w:szCs w:val="16"/>
        </w:rPr>
        <w:t xml:space="preserve"> As a result of the reallocation of subsidies, EU manufacturers reduce the price of their vehicles, but they do not compensate for the high price increase that the non-EU manufacturers would face as a result – further incentivising compliance to this measure. </w:t>
      </w:r>
    </w:p>
  </w:footnote>
  <w:footnote w:id="675">
    <w:p w14:paraId="535179B7" w14:textId="069FD083" w:rsidR="00D93209" w:rsidRPr="00720DA1" w:rsidRDefault="00D93209"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333167" w:rsidRPr="00720DA1">
        <w:rPr>
          <w:rFonts w:cs="Times New Roman"/>
          <w:sz w:val="16"/>
          <w:szCs w:val="16"/>
        </w:rPr>
        <w:t xml:space="preserve">JRC (2020). </w:t>
      </w:r>
      <w:hyperlink r:id="rId449" w:history="1">
        <w:r w:rsidR="00056E42" w:rsidRPr="00720DA1">
          <w:rPr>
            <w:rStyle w:val="Hyperlink"/>
            <w:rFonts w:cs="Times New Roman"/>
            <w:sz w:val="16"/>
            <w:szCs w:val="16"/>
          </w:rPr>
          <w:t>Production costs from iron and steel industry in the EU and third countries</w:t>
        </w:r>
      </w:hyperlink>
      <w:r w:rsidR="00056E42" w:rsidRPr="00720DA1">
        <w:rPr>
          <w:rFonts w:cs="Times New Roman"/>
          <w:sz w:val="16"/>
          <w:szCs w:val="16"/>
        </w:rPr>
        <w:t>.</w:t>
      </w:r>
    </w:p>
  </w:footnote>
  <w:footnote w:id="676">
    <w:p w14:paraId="4A699189" w14:textId="244DDF36" w:rsidR="001079DC" w:rsidRPr="00720DA1" w:rsidRDefault="001079DC"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7B05CB" w:rsidRPr="00720DA1">
        <w:rPr>
          <w:rFonts w:cs="Times New Roman"/>
          <w:sz w:val="16"/>
          <w:szCs w:val="16"/>
        </w:rPr>
        <w:t xml:space="preserve">For this calculation, ETS coverage is limited to the scope of the </w:t>
      </w:r>
      <w:r w:rsidR="00A10596" w:rsidRPr="00720DA1">
        <w:rPr>
          <w:rFonts w:cs="Times New Roman"/>
          <w:sz w:val="16"/>
          <w:szCs w:val="16"/>
        </w:rPr>
        <w:t xml:space="preserve">key </w:t>
      </w:r>
      <w:r w:rsidR="007B05CB" w:rsidRPr="00720DA1">
        <w:rPr>
          <w:rFonts w:cs="Times New Roman"/>
          <w:sz w:val="16"/>
          <w:szCs w:val="16"/>
        </w:rPr>
        <w:t>ETS product benchmarks for the steel sector, excluding for example ETS-covered products such as lime</w:t>
      </w:r>
      <w:r w:rsidR="00A10596" w:rsidRPr="00720DA1">
        <w:rPr>
          <w:rFonts w:cs="Times New Roman"/>
          <w:sz w:val="16"/>
          <w:szCs w:val="16"/>
        </w:rPr>
        <w:t xml:space="preserve"> that is only used in small quantities in the steel making process.</w:t>
      </w:r>
    </w:p>
  </w:footnote>
  <w:footnote w:id="677">
    <w:p w14:paraId="31EEC6BF" w14:textId="2A7932BF" w:rsidR="007E759E" w:rsidRPr="00720DA1" w:rsidRDefault="007E759E" w:rsidP="00CE1615">
      <w:pPr>
        <w:spacing w:line="278" w:lineRule="auto"/>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98174B" w:rsidRPr="00720DA1">
        <w:rPr>
          <w:rFonts w:cs="Times New Roman"/>
          <w:sz w:val="16"/>
          <w:szCs w:val="16"/>
        </w:rPr>
        <w:t xml:space="preserve">According to Eurofer’s </w:t>
      </w:r>
      <w:hyperlink r:id="rId450" w:history="1">
        <w:r w:rsidR="0098174B" w:rsidRPr="00720DA1">
          <w:rPr>
            <w:rFonts w:cs="Times New Roman"/>
            <w:sz w:val="16"/>
            <w:szCs w:val="16"/>
          </w:rPr>
          <w:t>European Steel in Figures</w:t>
        </w:r>
      </w:hyperlink>
      <w:r w:rsidR="0098174B" w:rsidRPr="00720DA1">
        <w:rPr>
          <w:rFonts w:cs="Times New Roman"/>
          <w:sz w:val="16"/>
          <w:szCs w:val="16"/>
        </w:rPr>
        <w:t xml:space="preserve"> 2025 report, in 2024, 44.6% of EU-manufactured steel was produced via the Electric Arc Furnace route, while 55.4% came from the Blast Oxygen Furnace and other routes.</w:t>
      </w:r>
    </w:p>
  </w:footnote>
  <w:footnote w:id="678">
    <w:p w14:paraId="51ED1D61" w14:textId="4917006B" w:rsidR="589B691B" w:rsidRPr="00720DA1" w:rsidRDefault="589B691B"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Based on </w:t>
      </w:r>
      <w:r w:rsidR="008A227B" w:rsidRPr="00720DA1">
        <w:rPr>
          <w:rFonts w:cs="Times New Roman"/>
          <w:sz w:val="16"/>
          <w:szCs w:val="16"/>
        </w:rPr>
        <w:t>internal Commission calculations.</w:t>
      </w:r>
    </w:p>
  </w:footnote>
  <w:footnote w:id="679">
    <w:p w14:paraId="60B09678" w14:textId="7C6C56D5" w:rsidR="589B691B" w:rsidRPr="00720DA1" w:rsidRDefault="589B691B"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Based on JRC calculation</w:t>
      </w:r>
      <w:r w:rsidR="003F7CC9" w:rsidRPr="00720DA1">
        <w:rPr>
          <w:rFonts w:cs="Times New Roman"/>
          <w:sz w:val="16"/>
          <w:szCs w:val="16"/>
        </w:rPr>
        <w:t>s performed in the framework of ESPR activities</w:t>
      </w:r>
      <w:r w:rsidR="008A227B" w:rsidRPr="00720DA1">
        <w:rPr>
          <w:rFonts w:cs="Times New Roman"/>
          <w:sz w:val="16"/>
          <w:szCs w:val="16"/>
        </w:rPr>
        <w:t>.</w:t>
      </w:r>
    </w:p>
  </w:footnote>
  <w:footnote w:id="680">
    <w:p w14:paraId="7F6963B0" w14:textId="309ED20C" w:rsidR="589B691B" w:rsidRPr="00720DA1" w:rsidRDefault="589B691B"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BE5403" w:rsidRPr="00720DA1">
        <w:rPr>
          <w:rFonts w:cs="Times New Roman"/>
          <w:sz w:val="16"/>
          <w:szCs w:val="16"/>
        </w:rPr>
        <w:t xml:space="preserve">JRC (2025). </w:t>
      </w:r>
      <w:hyperlink r:id="rId451" w:history="1">
        <w:r w:rsidR="00BE5403" w:rsidRPr="00720DA1">
          <w:rPr>
            <w:rStyle w:val="Hyperlink"/>
            <w:rFonts w:cs="Times New Roman"/>
            <w:sz w:val="16"/>
            <w:szCs w:val="16"/>
          </w:rPr>
          <w:t>Defining low-carbon emissions steel: A comparative analysis of international initiatives and standards</w:t>
        </w:r>
      </w:hyperlink>
      <w:r w:rsidR="00BE5403" w:rsidRPr="00720DA1">
        <w:rPr>
          <w:rFonts w:cs="Times New Roman"/>
          <w:sz w:val="16"/>
          <w:szCs w:val="16"/>
        </w:rPr>
        <w:t>.</w:t>
      </w:r>
    </w:p>
  </w:footnote>
  <w:footnote w:id="681">
    <w:p w14:paraId="00A18581" w14:textId="7A102E87" w:rsidR="001D6C0E" w:rsidRPr="00720DA1" w:rsidRDefault="001D6C0E" w:rsidP="00CE1615">
      <w:pPr>
        <w:rPr>
          <w:rFonts w:cs="Times New Roman"/>
          <w:sz w:val="16"/>
          <w:szCs w:val="16"/>
          <w:vertAlign w:val="superscript"/>
        </w:rPr>
      </w:pPr>
    </w:p>
  </w:footnote>
  <w:footnote w:id="682">
    <w:p w14:paraId="4481383F" w14:textId="77F7A69E" w:rsidR="589B691B" w:rsidRPr="00720DA1" w:rsidRDefault="589B691B" w:rsidP="00CE1615">
      <w:pPr>
        <w:rPr>
          <w:rFonts w:cs="Times New Roman"/>
          <w:color w:val="467886" w:themeColor="hyperlink"/>
          <w:sz w:val="16"/>
          <w:szCs w:val="16"/>
          <w:u w:val="single"/>
        </w:rPr>
      </w:pPr>
      <w:r w:rsidRPr="00720DA1">
        <w:rPr>
          <w:rFonts w:cs="Times New Roman"/>
          <w:sz w:val="16"/>
          <w:szCs w:val="16"/>
          <w:vertAlign w:val="superscript"/>
        </w:rPr>
        <w:footnoteRef/>
      </w:r>
      <w:r w:rsidRPr="00720DA1">
        <w:rPr>
          <w:rFonts w:cs="Times New Roman"/>
          <w:sz w:val="16"/>
          <w:szCs w:val="16"/>
        </w:rPr>
        <w:t xml:space="preserve"> </w:t>
      </w:r>
      <w:r w:rsidR="00BE5403" w:rsidRPr="00720DA1">
        <w:rPr>
          <w:rFonts w:cs="Times New Roman"/>
          <w:sz w:val="16"/>
          <w:szCs w:val="16"/>
        </w:rPr>
        <w:t>JRC</w:t>
      </w:r>
      <w:r w:rsidR="00340B4C">
        <w:rPr>
          <w:rFonts w:cs="Times New Roman"/>
          <w:sz w:val="16"/>
          <w:szCs w:val="16"/>
        </w:rPr>
        <w:t xml:space="preserve"> </w:t>
      </w:r>
      <w:r w:rsidR="00BE5403" w:rsidRPr="00720DA1">
        <w:rPr>
          <w:rFonts w:cs="Times New Roman"/>
          <w:sz w:val="16"/>
          <w:szCs w:val="16"/>
        </w:rPr>
        <w:t xml:space="preserve">(2025). </w:t>
      </w:r>
      <w:hyperlink r:id="rId452" w:history="1">
        <w:r w:rsidRPr="00720DA1">
          <w:rPr>
            <w:rStyle w:val="Hyperlink"/>
            <w:rFonts w:cs="Times New Roman"/>
            <w:sz w:val="16"/>
            <w:szCs w:val="16"/>
          </w:rPr>
          <w:t>Defining low-carbon emissions steel: A comparative analysis of international initiatives and standards</w:t>
        </w:r>
      </w:hyperlink>
      <w:r w:rsidR="00BE5403" w:rsidRPr="00720DA1">
        <w:rPr>
          <w:rFonts w:cs="Times New Roman"/>
          <w:sz w:val="16"/>
          <w:szCs w:val="16"/>
        </w:rPr>
        <w:t>.</w:t>
      </w:r>
      <w:r w:rsidR="00BE5403" w:rsidRPr="00720DA1">
        <w:rPr>
          <w:rFonts w:cs="Times New Roman"/>
          <w:color w:val="467886" w:themeColor="hyperlink"/>
          <w:sz w:val="16"/>
          <w:szCs w:val="16"/>
          <w:u w:val="single"/>
        </w:rPr>
        <w:t xml:space="preserve"> </w:t>
      </w:r>
    </w:p>
  </w:footnote>
  <w:footnote w:id="683">
    <w:p w14:paraId="01A6D710" w14:textId="6788E674" w:rsidR="48C0810D" w:rsidRPr="00720DA1" w:rsidRDefault="48C0810D" w:rsidP="00CE1615">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587ACE" w:rsidRPr="00720DA1">
        <w:rPr>
          <w:rFonts w:cs="Times New Roman"/>
          <w:sz w:val="16"/>
          <w:szCs w:val="16"/>
        </w:rPr>
        <w:t>European Environment Agency (</w:t>
      </w:r>
      <w:r w:rsidR="008E5A9C" w:rsidRPr="00720DA1">
        <w:rPr>
          <w:rFonts w:cs="Times New Roman"/>
          <w:sz w:val="16"/>
          <w:szCs w:val="16"/>
        </w:rPr>
        <w:t xml:space="preserve">2025). </w:t>
      </w:r>
      <w:hyperlink r:id="rId453" w:history="1">
        <w:r w:rsidRPr="00720DA1">
          <w:rPr>
            <w:rStyle w:val="Hyperlink"/>
            <w:rFonts w:eastAsia="Calibri" w:cs="Times New Roman"/>
            <w:sz w:val="16"/>
            <w:szCs w:val="16"/>
          </w:rPr>
          <w:t>Greenhouse gas emission intensity of electr</w:t>
        </w:r>
        <w:bookmarkStart w:id="1545" w:name="_Hlt219390864"/>
        <w:r w:rsidRPr="00720DA1">
          <w:rPr>
            <w:rStyle w:val="Hyperlink"/>
            <w:rFonts w:eastAsia="Calibri" w:cs="Times New Roman"/>
            <w:sz w:val="16"/>
            <w:szCs w:val="16"/>
          </w:rPr>
          <w:t>i</w:t>
        </w:r>
        <w:bookmarkEnd w:id="1545"/>
        <w:r w:rsidRPr="00720DA1">
          <w:rPr>
            <w:rStyle w:val="Hyperlink"/>
            <w:rFonts w:eastAsia="Calibri" w:cs="Times New Roman"/>
            <w:sz w:val="16"/>
            <w:szCs w:val="16"/>
          </w:rPr>
          <w:t xml:space="preserve">city </w:t>
        </w:r>
        <w:bookmarkStart w:id="1546" w:name="_Hlt219390901"/>
        <w:bookmarkStart w:id="1547" w:name="_Hlt219390902"/>
        <w:r w:rsidRPr="00720DA1">
          <w:rPr>
            <w:rStyle w:val="Hyperlink"/>
            <w:rFonts w:eastAsia="Calibri" w:cs="Times New Roman"/>
            <w:sz w:val="16"/>
            <w:szCs w:val="16"/>
          </w:rPr>
          <w:t>g</w:t>
        </w:r>
        <w:bookmarkEnd w:id="1546"/>
        <w:bookmarkEnd w:id="1547"/>
        <w:r w:rsidRPr="00720DA1">
          <w:rPr>
            <w:rStyle w:val="Hyperlink"/>
            <w:rFonts w:eastAsia="Calibri" w:cs="Times New Roman"/>
            <w:sz w:val="16"/>
            <w:szCs w:val="16"/>
          </w:rPr>
          <w:t>eneration in Europe</w:t>
        </w:r>
        <w:r w:rsidR="008E5A9C" w:rsidRPr="00720DA1">
          <w:rPr>
            <w:rStyle w:val="Hyperlink"/>
            <w:rFonts w:eastAsia="Calibri" w:cs="Times New Roman"/>
            <w:sz w:val="16"/>
            <w:szCs w:val="16"/>
          </w:rPr>
          <w:t>.</w:t>
        </w:r>
      </w:hyperlink>
    </w:p>
  </w:footnote>
  <w:footnote w:id="684">
    <w:p w14:paraId="7196F3B1" w14:textId="09FDE5B5" w:rsidR="48C0810D" w:rsidRPr="00720DA1" w:rsidRDefault="48C0810D" w:rsidP="00CE1615">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8E5A9C" w:rsidRPr="00720DA1">
        <w:rPr>
          <w:rFonts w:cs="Times New Roman"/>
          <w:sz w:val="16"/>
          <w:szCs w:val="16"/>
        </w:rPr>
        <w:t>EMBER</w:t>
      </w:r>
      <w:r w:rsidR="003C31B4" w:rsidRPr="00720DA1">
        <w:rPr>
          <w:rFonts w:cs="Times New Roman"/>
          <w:sz w:val="16"/>
          <w:szCs w:val="16"/>
        </w:rPr>
        <w:t xml:space="preserve"> (2025). </w:t>
      </w:r>
      <w:hyperlink r:id="rId454" w:history="1">
        <w:r w:rsidRPr="00720DA1">
          <w:rPr>
            <w:rStyle w:val="Hyperlink"/>
            <w:rFonts w:eastAsia="Calibri" w:cs="Times New Roman"/>
            <w:sz w:val="16"/>
            <w:szCs w:val="16"/>
          </w:rPr>
          <w:t xml:space="preserve">Global Electricity </w:t>
        </w:r>
        <w:bookmarkStart w:id="1548" w:name="_Hlt219390904"/>
        <w:bookmarkStart w:id="1549" w:name="_Hlt219390905"/>
        <w:r w:rsidRPr="00720DA1">
          <w:rPr>
            <w:rStyle w:val="Hyperlink"/>
            <w:rFonts w:eastAsia="Calibri" w:cs="Times New Roman"/>
            <w:sz w:val="16"/>
            <w:szCs w:val="16"/>
          </w:rPr>
          <w:t>R</w:t>
        </w:r>
        <w:bookmarkEnd w:id="1548"/>
        <w:bookmarkEnd w:id="1549"/>
        <w:r w:rsidRPr="00720DA1">
          <w:rPr>
            <w:rStyle w:val="Hyperlink"/>
            <w:rFonts w:eastAsia="Calibri" w:cs="Times New Roman"/>
            <w:sz w:val="16"/>
            <w:szCs w:val="16"/>
          </w:rPr>
          <w:t>eview 2025</w:t>
        </w:r>
        <w:r w:rsidR="003C31B4" w:rsidRPr="00720DA1">
          <w:rPr>
            <w:rStyle w:val="Hyperlink"/>
            <w:rFonts w:eastAsia="Calibri" w:cs="Times New Roman"/>
            <w:sz w:val="16"/>
            <w:szCs w:val="16"/>
          </w:rPr>
          <w:t>.</w:t>
        </w:r>
      </w:hyperlink>
    </w:p>
  </w:footnote>
  <w:footnote w:id="685">
    <w:p w14:paraId="35ADCDAE" w14:textId="6F9D823E" w:rsidR="00E43B27" w:rsidRPr="00423933" w:rsidRDefault="00E43B27" w:rsidP="00423933">
      <w:pPr>
        <w:pStyle w:val="FootnoteText"/>
        <w:rPr>
          <w:sz w:val="16"/>
          <w:szCs w:val="16"/>
        </w:rPr>
      </w:pPr>
      <w:r w:rsidRPr="00325A1E">
        <w:rPr>
          <w:rStyle w:val="FootnoteReference"/>
          <w:sz w:val="16"/>
          <w:szCs w:val="16"/>
        </w:rPr>
        <w:footnoteRef/>
      </w:r>
      <w:r w:rsidRPr="00325A1E">
        <w:rPr>
          <w:sz w:val="16"/>
          <w:szCs w:val="16"/>
        </w:rPr>
        <w:t xml:space="preserve"> </w:t>
      </w:r>
      <w:r w:rsidR="004C7517">
        <w:rPr>
          <w:sz w:val="16"/>
          <w:szCs w:val="16"/>
        </w:rPr>
        <w:t xml:space="preserve">European Commission (2024). </w:t>
      </w:r>
      <w:hyperlink r:id="rId455" w:history="1">
        <w:r w:rsidR="00423933" w:rsidRPr="00423933">
          <w:rPr>
            <w:rStyle w:val="Hyperlink"/>
            <w:sz w:val="16"/>
            <w:szCs w:val="16"/>
          </w:rPr>
          <w:t>Commission staff working document impact assessment report, part 1, accompanying the document Communication from the Commission to the European Parliament, the Council, the European Economic and Social Committee and the Committee of the Regions: Securing our future, Europe's 2040 climate target and path to climate neutrality by 2050, building a sustainable, just and prosperous society</w:t>
        </w:r>
      </w:hyperlink>
      <w:r w:rsidR="00423933">
        <w:rPr>
          <w:sz w:val="16"/>
          <w:szCs w:val="16"/>
        </w:rPr>
        <w:t xml:space="preserve">, </w:t>
      </w:r>
      <w:hyperlink r:id="rId456" w:history="1">
        <w:r w:rsidRPr="00325A1E">
          <w:rPr>
            <w:rStyle w:val="Hyperlink"/>
            <w:sz w:val="16"/>
            <w:szCs w:val="16"/>
          </w:rPr>
          <w:t>SWD/2024/63 final</w:t>
        </w:r>
      </w:hyperlink>
    </w:p>
  </w:footnote>
  <w:footnote w:id="686">
    <w:p w14:paraId="20D07CC6" w14:textId="13A79933" w:rsidR="48C0810D" w:rsidRPr="00720DA1" w:rsidRDefault="48C0810D" w:rsidP="00CE1615">
      <w:pPr>
        <w:rPr>
          <w:rFonts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00FA57E6" w:rsidRPr="00720DA1">
        <w:rPr>
          <w:rFonts w:cs="Times New Roman"/>
          <w:sz w:val="16"/>
          <w:szCs w:val="16"/>
        </w:rPr>
        <w:t xml:space="preserve">IEA (2023). </w:t>
      </w:r>
      <w:hyperlink r:id="rId457" w:history="1">
        <w:r w:rsidR="00B7160F" w:rsidRPr="00720DA1">
          <w:rPr>
            <w:rStyle w:val="Hyperlink"/>
            <w:rFonts w:cs="Times New Roman"/>
            <w:sz w:val="16"/>
            <w:szCs w:val="16"/>
          </w:rPr>
          <w:t xml:space="preserve">Comparison </w:t>
        </w:r>
        <w:r w:rsidRPr="00720DA1">
          <w:rPr>
            <w:rStyle w:val="Hyperlink"/>
            <w:rFonts w:cs="Times New Roman"/>
            <w:sz w:val="16"/>
            <w:szCs w:val="16"/>
          </w:rPr>
          <w:t>of</w:t>
        </w:r>
        <w:r w:rsidR="00B7160F" w:rsidRPr="00720DA1">
          <w:rPr>
            <w:rStyle w:val="Hyperlink"/>
            <w:rFonts w:cs="Times New Roman"/>
            <w:sz w:val="16"/>
            <w:szCs w:val="16"/>
          </w:rPr>
          <w:t xml:space="preserve"> </w:t>
        </w:r>
        <w:r w:rsidRPr="00720DA1">
          <w:rPr>
            <w:rStyle w:val="Hyperlink"/>
            <w:rFonts w:cs="Times New Roman"/>
            <w:sz w:val="16"/>
            <w:szCs w:val="16"/>
          </w:rPr>
          <w:t>the</w:t>
        </w:r>
        <w:r w:rsidR="00B7160F" w:rsidRPr="00720DA1">
          <w:rPr>
            <w:rStyle w:val="Hyperlink"/>
            <w:rFonts w:cs="Times New Roman"/>
            <w:sz w:val="16"/>
            <w:szCs w:val="16"/>
          </w:rPr>
          <w:t xml:space="preserve"> </w:t>
        </w:r>
        <w:r w:rsidRPr="00720DA1">
          <w:rPr>
            <w:rStyle w:val="Hyperlink"/>
            <w:rFonts w:cs="Times New Roman"/>
            <w:sz w:val="16"/>
            <w:szCs w:val="16"/>
          </w:rPr>
          <w:t>emissions</w:t>
        </w:r>
        <w:r w:rsidR="00B7160F" w:rsidRPr="00720DA1">
          <w:rPr>
            <w:rStyle w:val="Hyperlink"/>
            <w:rFonts w:cs="Times New Roman"/>
            <w:sz w:val="16"/>
            <w:szCs w:val="16"/>
          </w:rPr>
          <w:t xml:space="preserve"> </w:t>
        </w:r>
        <w:r w:rsidRPr="00720DA1">
          <w:rPr>
            <w:rStyle w:val="Hyperlink"/>
            <w:rFonts w:cs="Times New Roman"/>
            <w:sz w:val="16"/>
            <w:szCs w:val="16"/>
          </w:rPr>
          <w:t>intensity</w:t>
        </w:r>
        <w:r w:rsidR="00B7160F" w:rsidRPr="00720DA1">
          <w:rPr>
            <w:rStyle w:val="Hyperlink"/>
            <w:rFonts w:cs="Times New Roman"/>
            <w:sz w:val="16"/>
            <w:szCs w:val="16"/>
          </w:rPr>
          <w:t xml:space="preserve"> </w:t>
        </w:r>
        <w:r w:rsidRPr="00720DA1">
          <w:rPr>
            <w:rStyle w:val="Hyperlink"/>
            <w:rFonts w:cs="Times New Roman"/>
            <w:sz w:val="16"/>
            <w:szCs w:val="16"/>
          </w:rPr>
          <w:t>of</w:t>
        </w:r>
        <w:r w:rsidR="00B7160F" w:rsidRPr="00720DA1">
          <w:rPr>
            <w:rStyle w:val="Hyperlink"/>
            <w:rFonts w:cs="Times New Roman"/>
            <w:sz w:val="16"/>
            <w:szCs w:val="16"/>
          </w:rPr>
          <w:t xml:space="preserve"> </w:t>
        </w:r>
        <w:r w:rsidRPr="00720DA1">
          <w:rPr>
            <w:rStyle w:val="Hyperlink"/>
            <w:rFonts w:cs="Times New Roman"/>
            <w:sz w:val="16"/>
            <w:szCs w:val="16"/>
          </w:rPr>
          <w:t>different</w:t>
        </w:r>
        <w:r w:rsidR="00B7160F" w:rsidRPr="00720DA1">
          <w:rPr>
            <w:rStyle w:val="Hyperlink"/>
            <w:rFonts w:cs="Times New Roman"/>
            <w:sz w:val="16"/>
            <w:szCs w:val="16"/>
          </w:rPr>
          <w:t xml:space="preserve"> </w:t>
        </w:r>
        <w:r w:rsidRPr="00720DA1">
          <w:rPr>
            <w:rStyle w:val="Hyperlink"/>
            <w:rFonts w:cs="Times New Roman"/>
            <w:sz w:val="16"/>
            <w:szCs w:val="16"/>
          </w:rPr>
          <w:t>hydrogen</w:t>
        </w:r>
        <w:r w:rsidR="00B7160F" w:rsidRPr="00720DA1">
          <w:rPr>
            <w:rStyle w:val="Hyperlink"/>
            <w:rFonts w:cs="Times New Roman"/>
            <w:sz w:val="16"/>
            <w:szCs w:val="16"/>
          </w:rPr>
          <w:t xml:space="preserve"> </w:t>
        </w:r>
        <w:r w:rsidRPr="00720DA1">
          <w:rPr>
            <w:rStyle w:val="Hyperlink"/>
            <w:rFonts w:cs="Times New Roman"/>
            <w:sz w:val="16"/>
            <w:szCs w:val="16"/>
          </w:rPr>
          <w:t>production</w:t>
        </w:r>
        <w:r w:rsidR="00B7160F" w:rsidRPr="00720DA1">
          <w:rPr>
            <w:rStyle w:val="Hyperlink"/>
            <w:rFonts w:cs="Times New Roman"/>
            <w:sz w:val="16"/>
            <w:szCs w:val="16"/>
          </w:rPr>
          <w:t xml:space="preserve"> </w:t>
        </w:r>
        <w:r w:rsidRPr="00720DA1">
          <w:rPr>
            <w:rStyle w:val="Hyperlink"/>
            <w:rFonts w:cs="Times New Roman"/>
            <w:sz w:val="16"/>
            <w:szCs w:val="16"/>
          </w:rPr>
          <w:t>routes</w:t>
        </w:r>
        <w:r w:rsidR="00B7160F" w:rsidRPr="00720DA1">
          <w:rPr>
            <w:rStyle w:val="Hyperlink"/>
            <w:rFonts w:cs="Times New Roman"/>
            <w:sz w:val="16"/>
            <w:szCs w:val="16"/>
          </w:rPr>
          <w:t xml:space="preserve">, </w:t>
        </w:r>
        <w:r w:rsidRPr="00720DA1">
          <w:rPr>
            <w:rStyle w:val="Hyperlink"/>
            <w:rFonts w:cs="Times New Roman"/>
            <w:sz w:val="16"/>
            <w:szCs w:val="16"/>
          </w:rPr>
          <w:t>2021</w:t>
        </w:r>
      </w:hyperlink>
      <w:r w:rsidR="00B7160F" w:rsidRPr="00720DA1">
        <w:rPr>
          <w:rFonts w:cs="Times New Roman"/>
          <w:sz w:val="16"/>
          <w:szCs w:val="16"/>
        </w:rPr>
        <w:t>.</w:t>
      </w:r>
    </w:p>
  </w:footnote>
  <w:footnote w:id="687">
    <w:p w14:paraId="4FD1DA5D" w14:textId="1D3ACA98" w:rsidR="48C0810D" w:rsidRPr="00720DA1" w:rsidRDefault="48C0810D" w:rsidP="00CE1615">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lang w:val="de-DE"/>
        </w:rPr>
        <w:t xml:space="preserve"> </w:t>
      </w:r>
      <w:r w:rsidR="000504D8" w:rsidRPr="00720DA1">
        <w:rPr>
          <w:rFonts w:cs="Times New Roman"/>
          <w:sz w:val="16"/>
          <w:szCs w:val="16"/>
          <w:lang w:val="de-DE"/>
        </w:rPr>
        <w:t xml:space="preserve">Fan, Z., </w:t>
      </w:r>
      <w:r w:rsidR="00B02CBA" w:rsidRPr="00720DA1">
        <w:rPr>
          <w:rFonts w:cs="Times New Roman"/>
          <w:sz w:val="16"/>
          <w:szCs w:val="16"/>
          <w:lang w:val="de-DE"/>
        </w:rPr>
        <w:t xml:space="preserve">Friedmann, S.J. (2021). </w:t>
      </w:r>
      <w:hyperlink r:id="rId458" w:history="1">
        <w:r w:rsidR="00B02CBA" w:rsidRPr="00720DA1">
          <w:rPr>
            <w:rStyle w:val="Hyperlink"/>
            <w:rFonts w:cs="Times New Roman"/>
            <w:sz w:val="16"/>
            <w:szCs w:val="16"/>
          </w:rPr>
          <w:t>Low-carbon production of iron and steel: Technology options, economic assessment, and policy</w:t>
        </w:r>
      </w:hyperlink>
      <w:r w:rsidR="001E3428" w:rsidRPr="00720DA1">
        <w:rPr>
          <w:rFonts w:cs="Times New Roman"/>
          <w:sz w:val="16"/>
          <w:szCs w:val="16"/>
        </w:rPr>
        <w:t>. Joule, Volume 5, Issue 4, 21 April 2021, pages 829-862.</w:t>
      </w:r>
    </w:p>
  </w:footnote>
  <w:footnote w:id="688">
    <w:p w14:paraId="5467BA93" w14:textId="17F186BE" w:rsidR="48C0810D" w:rsidRPr="00720DA1" w:rsidRDefault="48C0810D" w:rsidP="00CE1615">
      <w:pPr>
        <w:rPr>
          <w:sz w:val="16"/>
          <w:szCs w:val="16"/>
        </w:rPr>
      </w:pPr>
      <w:r w:rsidRPr="00720DA1">
        <w:rPr>
          <w:rFonts w:cs="Times New Roman"/>
          <w:sz w:val="16"/>
          <w:szCs w:val="16"/>
          <w:vertAlign w:val="superscript"/>
        </w:rPr>
        <w:footnoteRef/>
      </w:r>
      <w:r w:rsidRPr="00720DA1">
        <w:rPr>
          <w:rFonts w:cs="Times New Roman"/>
          <w:sz w:val="16"/>
          <w:szCs w:val="16"/>
        </w:rPr>
        <w:t xml:space="preserve"> </w:t>
      </w:r>
      <w:r w:rsidR="00ED21C9" w:rsidRPr="00720DA1">
        <w:rPr>
          <w:rFonts w:cs="Times New Roman"/>
          <w:sz w:val="16"/>
          <w:szCs w:val="16"/>
        </w:rPr>
        <w:t>IEEFA</w:t>
      </w:r>
      <w:r w:rsidR="005400E4" w:rsidRPr="00720DA1">
        <w:rPr>
          <w:rFonts w:cs="Times New Roman"/>
          <w:sz w:val="16"/>
          <w:szCs w:val="16"/>
        </w:rPr>
        <w:t xml:space="preserve"> (2024). </w:t>
      </w:r>
      <w:hyperlink r:id="rId459" w:history="1">
        <w:r w:rsidR="005400E4" w:rsidRPr="00720DA1">
          <w:rPr>
            <w:rStyle w:val="Hyperlink"/>
            <w:rFonts w:cs="Times New Roman"/>
            <w:sz w:val="16"/>
            <w:szCs w:val="16"/>
          </w:rPr>
          <w:t>Carbon capture for steel?</w:t>
        </w:r>
      </w:hyperlink>
    </w:p>
  </w:footnote>
  <w:footnote w:id="689">
    <w:p w14:paraId="132C241B" w14:textId="74136BE3" w:rsidR="00B028E4" w:rsidRPr="00720DA1" w:rsidRDefault="00B028E4" w:rsidP="00CE1615">
      <w:pPr>
        <w:pStyle w:val="FootnoteText"/>
        <w:rPr>
          <w:sz w:val="16"/>
          <w:szCs w:val="16"/>
        </w:rPr>
      </w:pPr>
      <w:r w:rsidRPr="00720DA1">
        <w:rPr>
          <w:rStyle w:val="FootnoteReference"/>
          <w:sz w:val="16"/>
          <w:szCs w:val="16"/>
        </w:rPr>
        <w:footnoteRef/>
      </w:r>
      <w:r w:rsidRPr="00720DA1">
        <w:rPr>
          <w:sz w:val="16"/>
          <w:szCs w:val="16"/>
        </w:rPr>
        <w:t xml:space="preserve"> </w:t>
      </w:r>
      <w:r w:rsidR="00075C40" w:rsidRPr="00720DA1">
        <w:rPr>
          <w:sz w:val="16"/>
          <w:szCs w:val="16"/>
        </w:rPr>
        <w:t xml:space="preserve">European Commission (2025). </w:t>
      </w:r>
      <w:hyperlink r:id="rId460" w:history="1">
        <w:r w:rsidR="00CB3EBF" w:rsidRPr="00720DA1">
          <w:rPr>
            <w:rStyle w:val="Hyperlink"/>
            <w:sz w:val="16"/>
            <w:szCs w:val="16"/>
          </w:rPr>
          <w:t>COMMISSION STAFF WORKING DOCUMENT Key Performance Indicators (KPIs)</w:t>
        </w:r>
        <w:r w:rsidR="00075C40" w:rsidRPr="00720DA1">
          <w:rPr>
            <w:rStyle w:val="Hyperlink"/>
            <w:sz w:val="16"/>
            <w:szCs w:val="16"/>
          </w:rPr>
          <w:t>/</w:t>
        </w:r>
        <w:r w:rsidR="00CB3EBF" w:rsidRPr="00720DA1">
          <w:rPr>
            <w:rStyle w:val="Hyperlink"/>
            <w:sz w:val="16"/>
            <w:szCs w:val="16"/>
          </w:rPr>
          <w:t>Overview of Resilience Measures by Selected Global Players</w:t>
        </w:r>
      </w:hyperlink>
      <w:r w:rsidR="00075C40" w:rsidRPr="00720DA1">
        <w:rPr>
          <w:sz w:val="16"/>
          <w:szCs w:val="16"/>
        </w:rPr>
        <w:t>.</w:t>
      </w:r>
    </w:p>
  </w:footnote>
  <w:footnote w:id="690">
    <w:p w14:paraId="08A2AB47" w14:textId="143BD1D4" w:rsidR="00153BBF" w:rsidRPr="00720DA1" w:rsidRDefault="00153BBF" w:rsidP="00CE1615">
      <w:pPr>
        <w:pStyle w:val="FootnoteText"/>
        <w:rPr>
          <w:sz w:val="16"/>
          <w:szCs w:val="16"/>
        </w:rPr>
      </w:pPr>
      <w:r w:rsidRPr="00720DA1">
        <w:rPr>
          <w:rStyle w:val="FootnoteReference"/>
          <w:sz w:val="16"/>
          <w:szCs w:val="16"/>
        </w:rPr>
        <w:footnoteRef/>
      </w:r>
      <w:r w:rsidR="001F4AB5" w:rsidRPr="00720DA1">
        <w:rPr>
          <w:sz w:val="16"/>
          <w:szCs w:val="16"/>
        </w:rPr>
        <w:t xml:space="preserve"> European Parliament (</w:t>
      </w:r>
      <w:r w:rsidR="006F1326" w:rsidRPr="00720DA1">
        <w:rPr>
          <w:sz w:val="16"/>
          <w:szCs w:val="16"/>
        </w:rPr>
        <w:t>2023).</w:t>
      </w:r>
      <w:r w:rsidRPr="00720DA1">
        <w:rPr>
          <w:sz w:val="16"/>
          <w:szCs w:val="16"/>
        </w:rPr>
        <w:t xml:space="preserve"> </w:t>
      </w:r>
      <w:hyperlink r:id="rId461" w:history="1">
        <w:r w:rsidRPr="00720DA1">
          <w:rPr>
            <w:rStyle w:val="Hyperlink"/>
            <w:sz w:val="16"/>
            <w:szCs w:val="16"/>
          </w:rPr>
          <w:t>EU’s response to the US Inflation R</w:t>
        </w:r>
        <w:bookmarkStart w:id="1562" w:name="_Hlt219391509"/>
        <w:bookmarkStart w:id="1563" w:name="_Hlt219391510"/>
        <w:r w:rsidRPr="00720DA1">
          <w:rPr>
            <w:rStyle w:val="Hyperlink"/>
            <w:sz w:val="16"/>
            <w:szCs w:val="16"/>
          </w:rPr>
          <w:t>e</w:t>
        </w:r>
        <w:bookmarkEnd w:id="1562"/>
        <w:bookmarkEnd w:id="1563"/>
        <w:r w:rsidRPr="00720DA1">
          <w:rPr>
            <w:rStyle w:val="Hyperlink"/>
            <w:sz w:val="16"/>
            <w:szCs w:val="16"/>
          </w:rPr>
          <w:t>duction Act (IRA)</w:t>
        </w:r>
      </w:hyperlink>
      <w:r w:rsidR="006F1326" w:rsidRPr="00720DA1">
        <w:rPr>
          <w:sz w:val="16"/>
          <w:szCs w:val="16"/>
        </w:rPr>
        <w:t>.</w:t>
      </w:r>
    </w:p>
  </w:footnote>
  <w:footnote w:id="691">
    <w:p w14:paraId="4B10C286" w14:textId="4E464A64" w:rsidR="005E272C" w:rsidRPr="00720DA1" w:rsidRDefault="005E272C" w:rsidP="00CE1615">
      <w:pPr>
        <w:pStyle w:val="FootnoteText"/>
        <w:rPr>
          <w:sz w:val="16"/>
          <w:szCs w:val="16"/>
        </w:rPr>
      </w:pPr>
      <w:r w:rsidRPr="00720DA1">
        <w:rPr>
          <w:rStyle w:val="FootnoteReference"/>
          <w:sz w:val="16"/>
          <w:szCs w:val="16"/>
        </w:rPr>
        <w:footnoteRef/>
      </w:r>
      <w:r w:rsidRPr="00720DA1">
        <w:rPr>
          <w:sz w:val="16"/>
          <w:szCs w:val="16"/>
        </w:rPr>
        <w:t xml:space="preserve"> </w:t>
      </w:r>
      <w:r w:rsidR="00786439" w:rsidRPr="00720DA1">
        <w:rPr>
          <w:sz w:val="16"/>
          <w:szCs w:val="16"/>
        </w:rPr>
        <w:t>Energy Monitor (2023).</w:t>
      </w:r>
      <w:r w:rsidRPr="00720DA1">
        <w:rPr>
          <w:sz w:val="16"/>
          <w:szCs w:val="16"/>
        </w:rPr>
        <w:t xml:space="preserve"> </w:t>
      </w:r>
      <w:hyperlink r:id="rId462" w:history="1">
        <w:r w:rsidR="00786439" w:rsidRPr="00720DA1">
          <w:rPr>
            <w:rStyle w:val="Hyperlink"/>
            <w:sz w:val="16"/>
            <w:szCs w:val="16"/>
          </w:rPr>
          <w:t>Weekly data: US outpaces EU in the race to build EV batteries</w:t>
        </w:r>
      </w:hyperlink>
      <w:r w:rsidR="00786439" w:rsidRPr="00720DA1">
        <w:rPr>
          <w:sz w:val="16"/>
          <w:szCs w:val="16"/>
        </w:rPr>
        <w:t xml:space="preserve">. </w:t>
      </w:r>
    </w:p>
  </w:footnote>
  <w:footnote w:id="692">
    <w:p w14:paraId="604572DF" w14:textId="77777777" w:rsidR="00780B8E" w:rsidRPr="00720DA1" w:rsidRDefault="00780B8E" w:rsidP="00780B8E">
      <w:pPr>
        <w:pStyle w:val="FootnoteText"/>
        <w:rPr>
          <w:sz w:val="16"/>
          <w:szCs w:val="16"/>
        </w:rPr>
      </w:pPr>
      <w:r w:rsidRPr="00720DA1">
        <w:rPr>
          <w:rStyle w:val="FootnoteReference"/>
          <w:sz w:val="16"/>
          <w:szCs w:val="16"/>
        </w:rPr>
        <w:footnoteRef/>
      </w:r>
      <w:r w:rsidRPr="00720DA1">
        <w:rPr>
          <w:sz w:val="16"/>
          <w:szCs w:val="16"/>
        </w:rPr>
        <w:t xml:space="preserve"> </w:t>
      </w:r>
      <w:hyperlink r:id="rId463" w:history="1">
        <w:r w:rsidRPr="00720DA1">
          <w:rPr>
            <w:rStyle w:val="Hyperlink"/>
            <w:sz w:val="16"/>
            <w:szCs w:val="16"/>
          </w:rPr>
          <w:t>Ib</w:t>
        </w:r>
        <w:bookmarkStart w:id="1564" w:name="_Hlt219391416"/>
        <w:bookmarkStart w:id="1565" w:name="_Hlt219391417"/>
        <w:r w:rsidRPr="00720DA1">
          <w:rPr>
            <w:rStyle w:val="Hyperlink"/>
            <w:sz w:val="16"/>
            <w:szCs w:val="16"/>
          </w:rPr>
          <w:t>i</w:t>
        </w:r>
        <w:bookmarkEnd w:id="1564"/>
        <w:bookmarkEnd w:id="1565"/>
        <w:r w:rsidRPr="00720DA1">
          <w:rPr>
            <w:rStyle w:val="Hyperlink"/>
            <w:sz w:val="16"/>
            <w:szCs w:val="16"/>
          </w:rPr>
          <w:t>d.</w:t>
        </w:r>
      </w:hyperlink>
    </w:p>
  </w:footnote>
  <w:footnote w:id="693">
    <w:p w14:paraId="352DB302" w14:textId="15463834" w:rsidR="00E0794C" w:rsidRPr="00720DA1" w:rsidRDefault="00E0794C" w:rsidP="00CE1615">
      <w:pPr>
        <w:pStyle w:val="FootnoteText"/>
        <w:rPr>
          <w:sz w:val="16"/>
          <w:szCs w:val="16"/>
        </w:rPr>
      </w:pPr>
      <w:r w:rsidRPr="00720DA1">
        <w:rPr>
          <w:rStyle w:val="FootnoteReference"/>
          <w:sz w:val="16"/>
          <w:szCs w:val="16"/>
        </w:rPr>
        <w:footnoteRef/>
      </w:r>
      <w:r w:rsidRPr="00720DA1">
        <w:rPr>
          <w:sz w:val="16"/>
          <w:szCs w:val="16"/>
        </w:rPr>
        <w:t xml:space="preserve"> Ibid</w:t>
      </w:r>
      <w:r w:rsidR="00CF1A5A" w:rsidRPr="00720DA1">
        <w:rPr>
          <w:sz w:val="16"/>
          <w:szCs w:val="16"/>
        </w:rPr>
        <w:t>.</w:t>
      </w:r>
    </w:p>
  </w:footnote>
  <w:footnote w:id="694">
    <w:p w14:paraId="30A57756" w14:textId="0BD24392" w:rsidR="00D36EC2" w:rsidRPr="00720DA1" w:rsidRDefault="00D36EC2" w:rsidP="00CE1615">
      <w:pPr>
        <w:pStyle w:val="FootnoteText"/>
        <w:rPr>
          <w:sz w:val="16"/>
          <w:szCs w:val="16"/>
        </w:rPr>
      </w:pPr>
      <w:r w:rsidRPr="00720DA1">
        <w:rPr>
          <w:rStyle w:val="FootnoteReference"/>
          <w:sz w:val="16"/>
          <w:szCs w:val="16"/>
        </w:rPr>
        <w:footnoteRef/>
      </w:r>
      <w:r w:rsidRPr="00720DA1">
        <w:rPr>
          <w:sz w:val="16"/>
          <w:szCs w:val="16"/>
        </w:rPr>
        <w:t xml:space="preserve"> </w:t>
      </w:r>
      <w:r w:rsidR="000F34CA" w:rsidRPr="00720DA1">
        <w:rPr>
          <w:sz w:val="16"/>
          <w:szCs w:val="16"/>
        </w:rPr>
        <w:t xml:space="preserve">European Commission (2025). </w:t>
      </w:r>
      <w:hyperlink r:id="rId464" w:history="1">
        <w:r w:rsidR="000F34CA" w:rsidRPr="00720DA1">
          <w:rPr>
            <w:rStyle w:val="Hyperlink"/>
            <w:sz w:val="16"/>
            <w:szCs w:val="16"/>
          </w:rPr>
          <w:t>COMMISSION STAFF WORKING DOCUMENT Key Performance Indicators (KPIs)/Overview of Resilience Measures by Selected Global Players</w:t>
        </w:r>
      </w:hyperlink>
    </w:p>
  </w:footnote>
  <w:footnote w:id="695">
    <w:p w14:paraId="1462E040" w14:textId="1B61FAE1" w:rsidR="00381E29" w:rsidRPr="00720DA1" w:rsidRDefault="00381E29" w:rsidP="00CE1615">
      <w:pPr>
        <w:pStyle w:val="FootnoteText"/>
        <w:rPr>
          <w:sz w:val="16"/>
          <w:szCs w:val="16"/>
        </w:rPr>
      </w:pPr>
      <w:r w:rsidRPr="00720DA1">
        <w:rPr>
          <w:rStyle w:val="FootnoteReference"/>
          <w:sz w:val="16"/>
          <w:szCs w:val="16"/>
        </w:rPr>
        <w:footnoteRef/>
      </w:r>
      <w:r w:rsidRPr="00720DA1">
        <w:rPr>
          <w:sz w:val="16"/>
          <w:szCs w:val="16"/>
        </w:rPr>
        <w:t xml:space="preserve"> </w:t>
      </w:r>
      <w:r w:rsidR="00D86244" w:rsidRPr="00720DA1">
        <w:rPr>
          <w:sz w:val="16"/>
          <w:szCs w:val="16"/>
        </w:rPr>
        <w:t>Battery Industry</w:t>
      </w:r>
      <w:r w:rsidR="00475700" w:rsidRPr="00720DA1">
        <w:rPr>
          <w:sz w:val="16"/>
          <w:szCs w:val="16"/>
        </w:rPr>
        <w:t xml:space="preserve"> (2025).</w:t>
      </w:r>
      <w:r w:rsidR="00D86244" w:rsidRPr="00720DA1">
        <w:rPr>
          <w:sz w:val="16"/>
          <w:szCs w:val="16"/>
        </w:rPr>
        <w:t xml:space="preserve"> </w:t>
      </w:r>
      <w:hyperlink r:id="rId465" w:anchor=":~:text=The%20government%20of%20Canada%20has%20announced%20investments%20in,The%20projects%20are%20split%20into%20three%20main%20categories." w:history="1">
        <w:r w:rsidRPr="00720DA1">
          <w:rPr>
            <w:rStyle w:val="Hyperlink"/>
            <w:sz w:val="16"/>
            <w:szCs w:val="16"/>
          </w:rPr>
          <w:t>Canadian governm</w:t>
        </w:r>
        <w:bookmarkStart w:id="1566" w:name="_Hlt219391419"/>
        <w:bookmarkStart w:id="1567" w:name="_Hlt219391420"/>
        <w:r w:rsidRPr="00720DA1">
          <w:rPr>
            <w:rStyle w:val="Hyperlink"/>
            <w:sz w:val="16"/>
            <w:szCs w:val="16"/>
          </w:rPr>
          <w:t>e</w:t>
        </w:r>
        <w:bookmarkEnd w:id="1566"/>
        <w:bookmarkEnd w:id="1567"/>
        <w:r w:rsidRPr="00720DA1">
          <w:rPr>
            <w:rStyle w:val="Hyperlink"/>
            <w:sz w:val="16"/>
            <w:szCs w:val="16"/>
          </w:rPr>
          <w:t>nt announces $25m of EV investments</w:t>
        </w:r>
        <w:r w:rsidR="009C16C5" w:rsidRPr="00720DA1">
          <w:rPr>
            <w:rStyle w:val="Hyperlink"/>
            <w:sz w:val="16"/>
            <w:szCs w:val="16"/>
          </w:rPr>
          <w:t>.</w:t>
        </w:r>
      </w:hyperlink>
    </w:p>
  </w:footnote>
  <w:footnote w:id="696">
    <w:p w14:paraId="04E1F0EA" w14:textId="5E75DF98" w:rsidR="00A35921" w:rsidRPr="00720DA1" w:rsidRDefault="00A35921" w:rsidP="00CE1615">
      <w:pPr>
        <w:pStyle w:val="FootnoteText"/>
        <w:rPr>
          <w:sz w:val="16"/>
          <w:szCs w:val="16"/>
        </w:rPr>
      </w:pPr>
      <w:r w:rsidRPr="00720DA1">
        <w:rPr>
          <w:rStyle w:val="FootnoteReference"/>
          <w:sz w:val="16"/>
          <w:szCs w:val="16"/>
        </w:rPr>
        <w:footnoteRef/>
      </w:r>
      <w:r w:rsidRPr="00720DA1">
        <w:rPr>
          <w:sz w:val="16"/>
          <w:szCs w:val="16"/>
        </w:rPr>
        <w:t xml:space="preserve"> </w:t>
      </w:r>
      <w:r w:rsidR="009C16C5" w:rsidRPr="00720DA1">
        <w:rPr>
          <w:sz w:val="16"/>
          <w:szCs w:val="16"/>
        </w:rPr>
        <w:t>Volkswagen Group (</w:t>
      </w:r>
      <w:r w:rsidR="006F6353" w:rsidRPr="00720DA1">
        <w:rPr>
          <w:sz w:val="16"/>
          <w:szCs w:val="16"/>
        </w:rPr>
        <w:t xml:space="preserve">2023). </w:t>
      </w:r>
      <w:hyperlink r:id="rId466" w:history="1">
        <w:r w:rsidR="00B73259" w:rsidRPr="00720DA1">
          <w:rPr>
            <w:rStyle w:val="Hyperlink"/>
            <w:sz w:val="16"/>
            <w:szCs w:val="16"/>
          </w:rPr>
          <w:t>Volkswagen-backed</w:t>
        </w:r>
        <w:bookmarkStart w:id="1568" w:name="_Hlt219391478"/>
        <w:bookmarkStart w:id="1569" w:name="_Hlt219391479"/>
        <w:r w:rsidR="00B73259" w:rsidRPr="00720DA1">
          <w:rPr>
            <w:rStyle w:val="Hyperlink"/>
            <w:sz w:val="16"/>
            <w:szCs w:val="16"/>
          </w:rPr>
          <w:t xml:space="preserve"> </w:t>
        </w:r>
        <w:bookmarkEnd w:id="1568"/>
        <w:bookmarkEnd w:id="1569"/>
        <w:r w:rsidR="00B73259" w:rsidRPr="00720DA1">
          <w:rPr>
            <w:rStyle w:val="Hyperlink"/>
            <w:sz w:val="16"/>
            <w:szCs w:val="16"/>
          </w:rPr>
          <w:t>PowerCo SE reaches significant milestone in St. Thomas gigafactory project</w:t>
        </w:r>
        <w:r w:rsidR="006F6353" w:rsidRPr="00720DA1">
          <w:rPr>
            <w:rStyle w:val="Hyperlink"/>
            <w:sz w:val="16"/>
            <w:szCs w:val="16"/>
          </w:rPr>
          <w:t>.</w:t>
        </w:r>
      </w:hyperlink>
    </w:p>
  </w:footnote>
  <w:footnote w:id="697">
    <w:p w14:paraId="071498E9" w14:textId="19C2E675" w:rsidR="00B73259" w:rsidRPr="00720DA1" w:rsidRDefault="00B73259" w:rsidP="00CE1615">
      <w:pPr>
        <w:pStyle w:val="FootnoteText"/>
        <w:rPr>
          <w:sz w:val="16"/>
          <w:szCs w:val="16"/>
        </w:rPr>
      </w:pPr>
      <w:r w:rsidRPr="00720DA1">
        <w:rPr>
          <w:rStyle w:val="FootnoteReference"/>
          <w:sz w:val="16"/>
          <w:szCs w:val="16"/>
        </w:rPr>
        <w:footnoteRef/>
      </w:r>
      <w:r w:rsidRPr="00720DA1">
        <w:rPr>
          <w:sz w:val="16"/>
          <w:szCs w:val="16"/>
        </w:rPr>
        <w:t xml:space="preserve"> </w:t>
      </w:r>
      <w:r w:rsidR="00DA5760" w:rsidRPr="00720DA1">
        <w:rPr>
          <w:sz w:val="16"/>
          <w:szCs w:val="16"/>
        </w:rPr>
        <w:t>Stellantis (2022).</w:t>
      </w:r>
      <w:hyperlink r:id="rId467" w:anchor=":~:text=The%20joint%20venture%20company%20will%20invest%20more%20than,battery%20manufacturing%20plant%20located%20in%20Windsor%2C%20Ontario%2C%20Canada." w:history="1">
        <w:r w:rsidR="002212FB" w:rsidRPr="00720DA1">
          <w:rPr>
            <w:rStyle w:val="Hyperlink"/>
            <w:sz w:val="16"/>
            <w:szCs w:val="16"/>
          </w:rPr>
          <w:t xml:space="preserve"> Stellantis and LG Energy Solution to Invest Over $5 Billion CAD in Joint Venture for First Large-scale Lithium-ion Battery P</w:t>
        </w:r>
        <w:bookmarkStart w:id="1570" w:name="_Hlt219391680"/>
        <w:bookmarkStart w:id="1571" w:name="_Hlt219391681"/>
        <w:r w:rsidR="002212FB" w:rsidRPr="00720DA1">
          <w:rPr>
            <w:rStyle w:val="Hyperlink"/>
            <w:sz w:val="16"/>
            <w:szCs w:val="16"/>
          </w:rPr>
          <w:t>r</w:t>
        </w:r>
        <w:bookmarkEnd w:id="1570"/>
        <w:bookmarkEnd w:id="1571"/>
        <w:r w:rsidR="002212FB" w:rsidRPr="00720DA1">
          <w:rPr>
            <w:rStyle w:val="Hyperlink"/>
            <w:sz w:val="16"/>
            <w:szCs w:val="16"/>
          </w:rPr>
          <w:t>oduction Plant in Canada</w:t>
        </w:r>
      </w:hyperlink>
      <w:r w:rsidR="00DA5760" w:rsidRPr="00720DA1">
        <w:rPr>
          <w:sz w:val="16"/>
          <w:szCs w:val="16"/>
        </w:rPr>
        <w:t>.</w:t>
      </w:r>
    </w:p>
  </w:footnote>
  <w:footnote w:id="698">
    <w:p w14:paraId="13872517" w14:textId="036EE472" w:rsidR="00A701A8" w:rsidRPr="00720DA1" w:rsidRDefault="00A701A8" w:rsidP="00CE1615">
      <w:pPr>
        <w:pStyle w:val="FootnoteText"/>
        <w:rPr>
          <w:sz w:val="16"/>
          <w:szCs w:val="16"/>
        </w:rPr>
      </w:pPr>
      <w:r w:rsidRPr="00720DA1">
        <w:rPr>
          <w:rStyle w:val="FootnoteReference"/>
          <w:sz w:val="16"/>
          <w:szCs w:val="16"/>
        </w:rPr>
        <w:footnoteRef/>
      </w:r>
      <w:r w:rsidRPr="00720DA1">
        <w:rPr>
          <w:sz w:val="16"/>
          <w:szCs w:val="16"/>
          <w:lang w:val="de-DE"/>
        </w:rPr>
        <w:t xml:space="preserve"> F. Scheifele, M. Bräuning, B. Probst</w:t>
      </w:r>
      <w:r w:rsidR="00DA5760" w:rsidRPr="00720DA1">
        <w:rPr>
          <w:sz w:val="16"/>
          <w:szCs w:val="16"/>
          <w:lang w:val="de-DE"/>
        </w:rPr>
        <w:t xml:space="preserve"> (2022).</w:t>
      </w:r>
      <w:r w:rsidRPr="00720DA1">
        <w:rPr>
          <w:sz w:val="16"/>
          <w:szCs w:val="16"/>
          <w:lang w:val="de-DE"/>
        </w:rPr>
        <w:t xml:space="preserve"> </w:t>
      </w:r>
      <w:r w:rsidRPr="00720DA1">
        <w:rPr>
          <w:sz w:val="16"/>
          <w:szCs w:val="16"/>
        </w:rPr>
        <w:t>The impact of local content requirements on the development of export competitiveness in solar and wind technologies</w:t>
      </w:r>
      <w:r w:rsidR="00DA5760" w:rsidRPr="00720DA1">
        <w:rPr>
          <w:sz w:val="16"/>
          <w:szCs w:val="16"/>
        </w:rPr>
        <w:t>.</w:t>
      </w:r>
      <w:r w:rsidRPr="00720DA1">
        <w:rPr>
          <w:sz w:val="16"/>
          <w:szCs w:val="16"/>
        </w:rPr>
        <w:t xml:space="preserve"> Renewable and Sustainable Energy Reviews</w:t>
      </w:r>
      <w:r w:rsidR="00DA5760" w:rsidRPr="00720DA1">
        <w:rPr>
          <w:sz w:val="16"/>
          <w:szCs w:val="16"/>
        </w:rPr>
        <w:t>.</w:t>
      </w:r>
      <w:r w:rsidRPr="00720DA1">
        <w:rPr>
          <w:sz w:val="16"/>
          <w:szCs w:val="16"/>
        </w:rPr>
        <w:t xml:space="preserve"> ,</w:t>
      </w:r>
    </w:p>
  </w:footnote>
  <w:footnote w:id="699">
    <w:p w14:paraId="18E5CA7A" w14:textId="29BDF485" w:rsidR="00A701A8" w:rsidRPr="00720DA1" w:rsidRDefault="00A701A8" w:rsidP="00CE1615">
      <w:pPr>
        <w:pStyle w:val="FootnoteText"/>
        <w:rPr>
          <w:sz w:val="16"/>
          <w:szCs w:val="16"/>
        </w:rPr>
      </w:pPr>
      <w:r w:rsidRPr="00720DA1">
        <w:rPr>
          <w:rStyle w:val="FootnoteReference"/>
          <w:sz w:val="16"/>
          <w:szCs w:val="16"/>
        </w:rPr>
        <w:footnoteRef/>
      </w:r>
      <w:r w:rsidRPr="00720DA1">
        <w:rPr>
          <w:sz w:val="16"/>
          <w:szCs w:val="16"/>
        </w:rPr>
        <w:t xml:space="preserve"> </w:t>
      </w:r>
      <w:r w:rsidR="00E74112" w:rsidRPr="00720DA1">
        <w:rPr>
          <w:sz w:val="16"/>
          <w:szCs w:val="16"/>
        </w:rPr>
        <w:t xml:space="preserve">Ado, R., (2013), </w:t>
      </w:r>
      <w:hyperlink r:id="rId468" w:history="1">
        <w:r w:rsidR="006D1E00" w:rsidRPr="00720DA1">
          <w:rPr>
            <w:rStyle w:val="Hyperlink"/>
            <w:sz w:val="16"/>
            <w:szCs w:val="16"/>
          </w:rPr>
          <w:t>Local Content Policy and the WTO Rules of Trade-Related Investment Measures</w:t>
        </w:r>
      </w:hyperlink>
      <w:r w:rsidR="00E74112" w:rsidRPr="00720DA1">
        <w:rPr>
          <w:sz w:val="16"/>
          <w:szCs w:val="16"/>
        </w:rPr>
        <w:t>.</w:t>
      </w:r>
      <w:r w:rsidR="00E74112" w:rsidRPr="00720DA1" w:rsidDel="00E74112">
        <w:rPr>
          <w:sz w:val="16"/>
          <w:szCs w:val="16"/>
        </w:rPr>
        <w:t xml:space="preserve"> </w:t>
      </w:r>
    </w:p>
  </w:footnote>
  <w:footnote w:id="700">
    <w:p w14:paraId="6D9A8462" w14:textId="3F23293F" w:rsidR="00571C4D" w:rsidRPr="00720DA1" w:rsidRDefault="00571C4D" w:rsidP="00CE1615">
      <w:pPr>
        <w:pStyle w:val="FootnoteText"/>
        <w:rPr>
          <w:sz w:val="16"/>
          <w:szCs w:val="16"/>
        </w:rPr>
      </w:pPr>
      <w:r w:rsidRPr="00720DA1">
        <w:rPr>
          <w:rStyle w:val="FootnoteReference"/>
          <w:sz w:val="16"/>
          <w:szCs w:val="16"/>
        </w:rPr>
        <w:footnoteRef/>
      </w:r>
      <w:r w:rsidRPr="00720DA1">
        <w:rPr>
          <w:sz w:val="16"/>
          <w:szCs w:val="16"/>
        </w:rPr>
        <w:t xml:space="preserve"> </w:t>
      </w:r>
      <w:r w:rsidR="00772B3E" w:rsidRPr="00720DA1">
        <w:rPr>
          <w:sz w:val="16"/>
          <w:szCs w:val="16"/>
        </w:rPr>
        <w:t xml:space="preserve">Railway Technology (2017). </w:t>
      </w:r>
      <w:hyperlink r:id="rId469" w:history="1">
        <w:r w:rsidR="00DE7C73" w:rsidRPr="00720DA1">
          <w:rPr>
            <w:rStyle w:val="Hyperlink"/>
            <w:sz w:val="16"/>
            <w:szCs w:val="16"/>
          </w:rPr>
          <w:t>The importance of China’s h</w:t>
        </w:r>
        <w:bookmarkStart w:id="1572" w:name="_Hlt219391793"/>
        <w:bookmarkStart w:id="1573" w:name="_Hlt219391794"/>
        <w:r w:rsidR="00DE7C73" w:rsidRPr="00720DA1">
          <w:rPr>
            <w:rStyle w:val="Hyperlink"/>
            <w:sz w:val="16"/>
            <w:szCs w:val="16"/>
          </w:rPr>
          <w:t>i</w:t>
        </w:r>
        <w:bookmarkEnd w:id="1572"/>
        <w:bookmarkEnd w:id="1573"/>
        <w:r w:rsidR="00DE7C73" w:rsidRPr="00720DA1">
          <w:rPr>
            <w:rStyle w:val="Hyperlink"/>
            <w:sz w:val="16"/>
            <w:szCs w:val="16"/>
          </w:rPr>
          <w:t>gh-speed tech transfer policy</w:t>
        </w:r>
        <w:r w:rsidR="00772B3E" w:rsidRPr="00720DA1">
          <w:rPr>
            <w:rStyle w:val="Hyperlink"/>
            <w:sz w:val="16"/>
            <w:szCs w:val="16"/>
          </w:rPr>
          <w:t>.</w:t>
        </w:r>
      </w:hyperlink>
    </w:p>
  </w:footnote>
  <w:footnote w:id="701">
    <w:p w14:paraId="2565C741" w14:textId="604BEE6F" w:rsidR="0044272D" w:rsidRPr="00720DA1" w:rsidRDefault="0044272D" w:rsidP="0044272D">
      <w:pPr>
        <w:pStyle w:val="FootnoteText"/>
        <w:rPr>
          <w:sz w:val="16"/>
          <w:szCs w:val="16"/>
          <w:lang w:val="en-IE"/>
        </w:rPr>
      </w:pPr>
      <w:r w:rsidRPr="00720DA1">
        <w:rPr>
          <w:rStyle w:val="FootnoteReference"/>
          <w:sz w:val="16"/>
          <w:szCs w:val="16"/>
        </w:rPr>
        <w:footnoteRef/>
      </w:r>
      <w:r w:rsidRPr="00720DA1">
        <w:rPr>
          <w:sz w:val="16"/>
          <w:szCs w:val="16"/>
        </w:rPr>
        <w:t xml:space="preserve"> Global Value Added (GVA) refers to the total economic value generated by the projected production of EU EV manufacturers and the EU suppliers, as well as further intermediate inputs necessary to increase the </w:t>
      </w:r>
      <w:r w:rsidR="00EB3532" w:rsidRPr="00720DA1">
        <w:rPr>
          <w:sz w:val="16"/>
          <w:szCs w:val="16"/>
        </w:rPr>
        <w:t>Made in EU</w:t>
      </w:r>
      <w:r w:rsidRPr="00720DA1">
        <w:rPr>
          <w:sz w:val="16"/>
          <w:szCs w:val="16"/>
        </w:rPr>
        <w:t xml:space="preserve"> requirement of the measure and increase production of EU EVs</w:t>
      </w:r>
    </w:p>
  </w:footnote>
  <w:footnote w:id="702">
    <w:p w14:paraId="1F0C113F" w14:textId="77777777" w:rsidR="00D46CEE" w:rsidRPr="00720DA1" w:rsidRDefault="00D46CEE" w:rsidP="00CE1615">
      <w:pPr>
        <w:rPr>
          <w:rFonts w:eastAsia="Times New Roman" w:cs="Times New Roman"/>
          <w:sz w:val="16"/>
          <w:szCs w:val="16"/>
        </w:rPr>
      </w:pPr>
      <w:r w:rsidRPr="00720DA1">
        <w:rPr>
          <w:rFonts w:cs="Times New Roman"/>
          <w:sz w:val="16"/>
          <w:szCs w:val="16"/>
          <w:vertAlign w:val="superscript"/>
        </w:rPr>
        <w:footnoteRef/>
      </w:r>
      <w:r w:rsidRPr="00720DA1">
        <w:rPr>
          <w:rFonts w:cs="Times New Roman"/>
          <w:sz w:val="16"/>
          <w:szCs w:val="16"/>
        </w:rPr>
        <w:t xml:space="preserve"> </w:t>
      </w:r>
      <w:r w:rsidRPr="00720DA1">
        <w:rPr>
          <w:rFonts w:eastAsia="Roboto" w:cs="Times New Roman"/>
          <w:sz w:val="16"/>
          <w:szCs w:val="16"/>
        </w:rPr>
        <w:t>SWD/2017/0213 final - 2017/086 (COD)</w:t>
      </w:r>
    </w:p>
  </w:footnote>
  <w:footnote w:id="703">
    <w:p w14:paraId="2CFE5F9A" w14:textId="4B703E99" w:rsidR="00D46CEE" w:rsidRPr="00720DA1" w:rsidRDefault="00D46CEE" w:rsidP="00CE1615">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00693661" w:rsidRPr="00720DA1">
        <w:rPr>
          <w:rFonts w:cs="Times New Roman"/>
          <w:sz w:val="16"/>
          <w:szCs w:val="16"/>
        </w:rPr>
        <w:t xml:space="preserve">Eurostat (2024). </w:t>
      </w:r>
      <w:hyperlink r:id="rId470" w:history="1">
        <w:r w:rsidRPr="00720DA1">
          <w:rPr>
            <w:rStyle w:val="Hyperlink"/>
            <w:rFonts w:eastAsia="Times New Roman" w:cs="Times New Roman"/>
            <w:sz w:val="16"/>
            <w:szCs w:val="16"/>
          </w:rPr>
          <w:t>Large businesses make up only 0.2% of EU enterprises</w:t>
        </w:r>
        <w:r w:rsidR="00693661" w:rsidRPr="00720DA1">
          <w:rPr>
            <w:rStyle w:val="Hyperlink"/>
            <w:rFonts w:eastAsia="Times New Roman" w:cs="Times New Roman"/>
            <w:sz w:val="16"/>
            <w:szCs w:val="16"/>
          </w:rPr>
          <w:t>.</w:t>
        </w:r>
      </w:hyperlink>
    </w:p>
  </w:footnote>
  <w:footnote w:id="704">
    <w:p w14:paraId="7BC8DFC1" w14:textId="328A81BE" w:rsidR="0015753C" w:rsidRPr="00720DA1" w:rsidRDefault="0015753C" w:rsidP="0015753C">
      <w:pPr>
        <w:pStyle w:val="FootnoteText"/>
        <w:rPr>
          <w:sz w:val="16"/>
          <w:szCs w:val="16"/>
        </w:rPr>
      </w:pPr>
      <w:r w:rsidRPr="00720DA1">
        <w:rPr>
          <w:rStyle w:val="FootnoteReference"/>
          <w:sz w:val="16"/>
          <w:szCs w:val="16"/>
        </w:rPr>
        <w:footnoteRef/>
      </w:r>
      <w:r w:rsidR="00014B51" w:rsidRPr="00014B51">
        <w:rPr>
          <w:rFonts w:cs="Times New Roman"/>
          <w:sz w:val="16"/>
          <w:szCs w:val="16"/>
        </w:rPr>
        <w:t xml:space="preserve"> </w:t>
      </w:r>
      <w:r w:rsidR="00014B51">
        <w:rPr>
          <w:rFonts w:cs="Times New Roman"/>
          <w:sz w:val="16"/>
          <w:szCs w:val="16"/>
        </w:rPr>
        <w:t xml:space="preserve">BCG (2022). </w:t>
      </w:r>
      <w:hyperlink r:id="rId471" w:history="1">
        <w:r w:rsidR="00014B51" w:rsidRPr="00580A9A">
          <w:rPr>
            <w:rStyle w:val="Hyperlink"/>
            <w:rFonts w:cs="Times New Roman"/>
            <w:sz w:val="16"/>
            <w:szCs w:val="16"/>
          </w:rPr>
          <w:t>Transforming the Steel Industry May Be the Ultimate Climate Challenge</w:t>
        </w:r>
      </w:hyperlink>
      <w:r w:rsidR="00014B51">
        <w:rPr>
          <w:rFonts w:cs="Times New Roman"/>
          <w:sz w:val="16"/>
          <w:szCs w:val="16"/>
        </w:rPr>
        <w:t>.</w:t>
      </w:r>
    </w:p>
  </w:footnote>
  <w:footnote w:id="705">
    <w:p w14:paraId="643CED5E" w14:textId="313891EA" w:rsidR="0015753C" w:rsidRPr="00720DA1" w:rsidRDefault="0015753C" w:rsidP="0015753C">
      <w:pPr>
        <w:pStyle w:val="FootnoteText"/>
        <w:rPr>
          <w:sz w:val="16"/>
          <w:szCs w:val="16"/>
        </w:rPr>
      </w:pPr>
      <w:r w:rsidRPr="00720DA1">
        <w:rPr>
          <w:rStyle w:val="FootnoteReference"/>
          <w:sz w:val="16"/>
          <w:szCs w:val="16"/>
        </w:rPr>
        <w:footnoteRef/>
      </w:r>
      <w:r w:rsidRPr="00720DA1">
        <w:rPr>
          <w:sz w:val="16"/>
          <w:szCs w:val="16"/>
        </w:rPr>
        <w:t xml:space="preserve"> Based on JRC modelling of LEAD_VC impacts</w:t>
      </w:r>
      <w:r w:rsidR="00F127E1">
        <w:rPr>
          <w:sz w:val="16"/>
          <w:szCs w:val="16"/>
        </w:rPr>
        <w:t>.</w:t>
      </w:r>
    </w:p>
  </w:footnote>
  <w:footnote w:id="706">
    <w:p w14:paraId="4D9B5C3B" w14:textId="62428B08" w:rsidR="00CD2BFF" w:rsidRPr="00720DA1" w:rsidRDefault="00E5408F" w:rsidP="00CD2BFF">
      <w:pPr>
        <w:pStyle w:val="FootnoteText"/>
        <w:rPr>
          <w:sz w:val="16"/>
          <w:szCs w:val="16"/>
          <w:lang w:val="en-IE"/>
        </w:rPr>
      </w:pPr>
      <w:r w:rsidRPr="00720DA1">
        <w:rPr>
          <w:rStyle w:val="FootnoteReference"/>
          <w:sz w:val="16"/>
          <w:szCs w:val="16"/>
        </w:rPr>
        <w:footnoteRef/>
      </w:r>
      <w:r w:rsidRPr="00720DA1">
        <w:rPr>
          <w:sz w:val="16"/>
          <w:szCs w:val="16"/>
        </w:rPr>
        <w:t xml:space="preserve"> Based on JRC modelling of LEAD_VC impacts</w:t>
      </w:r>
      <w:r w:rsidR="00F127E1">
        <w:rPr>
          <w:sz w:val="16"/>
          <w:szCs w:val="16"/>
        </w:rPr>
        <w:t>.</w:t>
      </w:r>
    </w:p>
  </w:footnote>
  <w:footnote w:id="707">
    <w:p w14:paraId="30002A3B" w14:textId="7E60D353" w:rsidR="009E06DB" w:rsidRPr="00720DA1" w:rsidRDefault="009E06DB" w:rsidP="009E06DB">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Times New Roman" w:cs="Times New Roman"/>
          <w:color w:val="000000" w:themeColor="text1"/>
          <w:sz w:val="16"/>
          <w:szCs w:val="16"/>
        </w:rPr>
        <w:t>A 25% low</w:t>
      </w:r>
      <w:r w:rsidR="008251C5" w:rsidRPr="00720DA1">
        <w:rPr>
          <w:rFonts w:eastAsia="Times New Roman" w:cs="Times New Roman"/>
          <w:color w:val="000000" w:themeColor="text1"/>
          <w:sz w:val="16"/>
          <w:szCs w:val="16"/>
        </w:rPr>
        <w:t>-</w:t>
      </w:r>
      <w:r w:rsidRPr="00720DA1">
        <w:rPr>
          <w:rFonts w:eastAsia="Times New Roman" w:cs="Times New Roman"/>
          <w:color w:val="000000" w:themeColor="text1"/>
          <w:sz w:val="16"/>
          <w:szCs w:val="16"/>
        </w:rPr>
        <w:t>carbon steel target would see a price increase ranging from 0.075% to 0.175% (EUR 28 – 65 per passenger vehicle).</w:t>
      </w:r>
    </w:p>
  </w:footnote>
  <w:footnote w:id="708">
    <w:p w14:paraId="1160EF28" w14:textId="63980B4A" w:rsidR="009E06DB" w:rsidRPr="00720DA1" w:rsidRDefault="009E06DB" w:rsidP="009E06DB">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Times New Roman" w:cs="Times New Roman"/>
          <w:color w:val="000000" w:themeColor="text1"/>
          <w:sz w:val="16"/>
          <w:szCs w:val="16"/>
        </w:rPr>
        <w:t>A 25% low</w:t>
      </w:r>
      <w:r w:rsidR="008251C5" w:rsidRPr="00720DA1">
        <w:rPr>
          <w:rFonts w:eastAsia="Times New Roman" w:cs="Times New Roman"/>
          <w:color w:val="000000" w:themeColor="text1"/>
          <w:sz w:val="16"/>
          <w:szCs w:val="16"/>
        </w:rPr>
        <w:t>-</w:t>
      </w:r>
      <w:r w:rsidRPr="00720DA1">
        <w:rPr>
          <w:rFonts w:eastAsia="Times New Roman" w:cs="Times New Roman"/>
          <w:color w:val="000000" w:themeColor="text1"/>
          <w:sz w:val="16"/>
          <w:szCs w:val="16"/>
        </w:rPr>
        <w:t>carbon steel target would see a price increase ranging from 0.075% to 0.175% (EUR 28 – 65 per passenger vehicle).</w:t>
      </w:r>
    </w:p>
  </w:footnote>
  <w:footnote w:id="709">
    <w:p w14:paraId="4EC37D37" w14:textId="5AF604B3" w:rsidR="009E06DB" w:rsidRPr="00720DA1" w:rsidRDefault="009E06DB" w:rsidP="009E06DB">
      <w:pPr>
        <w:pStyle w:val="FootnoteText"/>
        <w:rPr>
          <w:rFonts w:cs="Times New Roman"/>
          <w:sz w:val="16"/>
          <w:szCs w:val="16"/>
        </w:rPr>
      </w:pPr>
      <w:r w:rsidRPr="00720DA1">
        <w:rPr>
          <w:rStyle w:val="FootnoteReference"/>
          <w:rFonts w:cs="Times New Roman"/>
          <w:sz w:val="16"/>
          <w:szCs w:val="16"/>
        </w:rPr>
        <w:footnoteRef/>
      </w:r>
      <w:r w:rsidRPr="00720DA1">
        <w:rPr>
          <w:rFonts w:cs="Times New Roman"/>
          <w:sz w:val="16"/>
          <w:szCs w:val="16"/>
        </w:rPr>
        <w:t xml:space="preserve"> </w:t>
      </w:r>
      <w:r w:rsidRPr="00720DA1">
        <w:rPr>
          <w:rFonts w:eastAsia="Times New Roman" w:cs="Times New Roman"/>
          <w:color w:val="000000" w:themeColor="text1"/>
          <w:sz w:val="16"/>
          <w:szCs w:val="16"/>
        </w:rPr>
        <w:t>A 25% low</w:t>
      </w:r>
      <w:r w:rsidR="008251C5" w:rsidRPr="00720DA1">
        <w:rPr>
          <w:rFonts w:eastAsia="Times New Roman" w:cs="Times New Roman"/>
          <w:color w:val="000000" w:themeColor="text1"/>
          <w:sz w:val="16"/>
          <w:szCs w:val="16"/>
        </w:rPr>
        <w:t>-</w:t>
      </w:r>
      <w:r w:rsidRPr="00720DA1">
        <w:rPr>
          <w:rFonts w:eastAsia="Times New Roman" w:cs="Times New Roman"/>
          <w:color w:val="000000" w:themeColor="text1"/>
          <w:sz w:val="16"/>
          <w:szCs w:val="16"/>
        </w:rPr>
        <w:t>carbon steel target would see a price increase ranging from 0.075% to 0.175% (EUR 28 – 65 per passenger vehicle).</w:t>
      </w:r>
    </w:p>
  </w:footnote>
  <w:footnote w:id="710">
    <w:p w14:paraId="34938E1C" w14:textId="5D52201E" w:rsidR="00887D82" w:rsidRPr="00720DA1" w:rsidRDefault="00887D82" w:rsidP="008B4E07">
      <w:pPr>
        <w:pStyle w:val="FootnoteText"/>
        <w:rPr>
          <w:sz w:val="16"/>
          <w:szCs w:val="16"/>
        </w:rPr>
      </w:pPr>
      <w:r w:rsidRPr="00720DA1">
        <w:rPr>
          <w:rStyle w:val="FootnoteReference"/>
          <w:sz w:val="16"/>
          <w:szCs w:val="16"/>
        </w:rPr>
        <w:footnoteRef/>
      </w:r>
      <w:r w:rsidR="00BD53C4" w:rsidRPr="00720DA1">
        <w:rPr>
          <w:sz w:val="16"/>
          <w:szCs w:val="16"/>
        </w:rPr>
        <w:t xml:space="preserve"> SolarPower Europe (2025).</w:t>
      </w:r>
      <w:r w:rsidRPr="00720DA1">
        <w:rPr>
          <w:sz w:val="16"/>
          <w:szCs w:val="16"/>
        </w:rPr>
        <w:t xml:space="preserve"> </w:t>
      </w:r>
      <w:hyperlink r:id="rId472" w:history="1">
        <w:r w:rsidR="008B4E07" w:rsidRPr="00720DA1">
          <w:rPr>
            <w:rStyle w:val="Hyperlink"/>
            <w:sz w:val="16"/>
            <w:szCs w:val="16"/>
          </w:rPr>
          <w:t>Reshoring Solar Manufacturing to Europe. A cost gap analysis and a policy impact simulation</w:t>
        </w:r>
      </w:hyperlink>
      <w:r w:rsidR="008B4E07" w:rsidRPr="00720DA1">
        <w:rPr>
          <w:sz w:val="16"/>
          <w:szCs w:val="16"/>
        </w:rPr>
        <w:t>.</w:t>
      </w:r>
    </w:p>
  </w:footnote>
  <w:footnote w:id="711">
    <w:p w14:paraId="0FD6021D" w14:textId="77777777" w:rsidR="00904D0A" w:rsidRPr="00720DA1" w:rsidRDefault="00904D0A" w:rsidP="00CE1615">
      <w:pPr>
        <w:pStyle w:val="FootnoteText"/>
        <w:rPr>
          <w:sz w:val="16"/>
          <w:szCs w:val="16"/>
        </w:rPr>
      </w:pPr>
      <w:r w:rsidRPr="00720DA1">
        <w:rPr>
          <w:rStyle w:val="FootnoteReference"/>
          <w:sz w:val="16"/>
          <w:szCs w:val="16"/>
        </w:rPr>
        <w:footnoteRef/>
      </w:r>
      <w:r w:rsidRPr="00720DA1">
        <w:rPr>
          <w:sz w:val="16"/>
          <w:szCs w:val="16"/>
        </w:rPr>
        <w:t xml:space="preserve"> </w:t>
      </w:r>
      <w:r w:rsidRPr="00720DA1">
        <w:rPr>
          <w:rFonts w:cs="Times New Roman"/>
          <w:sz w:val="16"/>
          <w:szCs w:val="16"/>
        </w:rPr>
        <w:t>We assume that there is public support to buy EV vehicles in Europe for corporate purchases. In contrast, public support is only available for consumers in Austria, Belgium, Croatia, Cyprus, Czechia, Estonia, France, Greece, Hungary, Ireland, Lithuania, Luxembourg, Malta, the Netherlands, Poland, Slovenia, Spain, and Sweden (ACEA, 2025). Against this background, we estimate that LEAD_VC 1 would affect 80.2% of EV registrations, including 60.0% from corporate purchases, and 20.2% from consumers.</w:t>
      </w:r>
    </w:p>
  </w:footnote>
  <w:footnote w:id="712">
    <w:p w14:paraId="6A588AC8" w14:textId="578BAB84" w:rsidR="00724174" w:rsidRPr="00720DA1" w:rsidDel="0055007B" w:rsidRDefault="00724174" w:rsidP="00CE1615">
      <w:pPr>
        <w:pStyle w:val="FootnoteText"/>
        <w:rPr>
          <w:sz w:val="16"/>
          <w:szCs w:val="16"/>
        </w:rPr>
      </w:pPr>
      <w:r w:rsidRPr="00720DA1" w:rsidDel="0055007B">
        <w:rPr>
          <w:rStyle w:val="FootnoteReference"/>
          <w:sz w:val="16"/>
          <w:szCs w:val="16"/>
        </w:rPr>
        <w:footnoteRef/>
      </w:r>
      <w:r w:rsidRPr="00720DA1" w:rsidDel="0055007B">
        <w:rPr>
          <w:sz w:val="16"/>
          <w:szCs w:val="16"/>
        </w:rPr>
        <w:t xml:space="preserve"> </w:t>
      </w:r>
      <w:r w:rsidR="003A11F0" w:rsidRPr="00720DA1">
        <w:rPr>
          <w:sz w:val="16"/>
          <w:szCs w:val="16"/>
        </w:rPr>
        <w:t>European Commission (2019).</w:t>
      </w:r>
      <w:r w:rsidRPr="00720DA1" w:rsidDel="0055007B">
        <w:rPr>
          <w:sz w:val="16"/>
          <w:szCs w:val="16"/>
        </w:rPr>
        <w:t xml:space="preserve"> </w:t>
      </w:r>
      <w:hyperlink r:id="rId473" w:history="1">
        <w:r w:rsidRPr="00720DA1" w:rsidDel="0055007B">
          <w:rPr>
            <w:rStyle w:val="Hyperlink"/>
            <w:sz w:val="16"/>
            <w:szCs w:val="16"/>
          </w:rPr>
          <w:t>Handbook on the external costs of transport</w:t>
        </w:r>
      </w:hyperlink>
      <w:r w:rsidR="000E478E" w:rsidRPr="00720DA1">
        <w:rPr>
          <w:sz w:val="16"/>
          <w:szCs w:val="16"/>
        </w:rPr>
        <w:t>.</w:t>
      </w:r>
    </w:p>
  </w:footnote>
  <w:footnote w:id="713">
    <w:p w14:paraId="2D40B66F" w14:textId="7C2AD76D" w:rsidR="00D370DC" w:rsidRPr="00D370DC" w:rsidRDefault="00D370DC">
      <w:pPr>
        <w:pStyle w:val="FootnoteText"/>
        <w:rPr>
          <w:lang w:val="en-US"/>
        </w:rPr>
      </w:pPr>
      <w:r w:rsidRPr="00347741">
        <w:rPr>
          <w:rStyle w:val="FootnoteReference"/>
          <w:sz w:val="16"/>
          <w:szCs w:val="16"/>
        </w:rPr>
        <w:footnoteRef/>
      </w:r>
      <w:r w:rsidRPr="00347741">
        <w:rPr>
          <w:sz w:val="16"/>
          <w:szCs w:val="16"/>
        </w:rPr>
        <w:t xml:space="preserve"> </w:t>
      </w:r>
      <w:r w:rsidRPr="00347741">
        <w:rPr>
          <w:sz w:val="16"/>
          <w:szCs w:val="16"/>
          <w:lang w:val="en-US"/>
        </w:rPr>
        <w:t>Bruegel</w:t>
      </w:r>
      <w:r w:rsidR="00A449FB" w:rsidRPr="00347741">
        <w:rPr>
          <w:sz w:val="16"/>
          <w:szCs w:val="16"/>
          <w:lang w:val="en-US"/>
        </w:rPr>
        <w:t xml:space="preserve"> (2024). </w:t>
      </w:r>
      <w:hyperlink r:id="rId474" w:history="1">
        <w:r w:rsidR="00A449FB" w:rsidRPr="00347741">
          <w:rPr>
            <w:rStyle w:val="Hyperlink"/>
            <w:sz w:val="16"/>
            <w:szCs w:val="16"/>
            <w:lang w:val="en-US"/>
          </w:rPr>
          <w:t>Smarter European Union industrial policy for solar panels</w:t>
        </w:r>
      </w:hyperlink>
    </w:p>
  </w:footnote>
  <w:footnote w:id="714">
    <w:p w14:paraId="71F39730" w14:textId="3BC554B5" w:rsidR="002F6584" w:rsidRPr="00347741" w:rsidRDefault="002F6584">
      <w:pPr>
        <w:pStyle w:val="FootnoteText"/>
        <w:rPr>
          <w:sz w:val="16"/>
          <w:szCs w:val="16"/>
          <w:lang w:val="en-US"/>
        </w:rPr>
      </w:pPr>
      <w:r w:rsidRPr="00347741">
        <w:rPr>
          <w:rStyle w:val="FootnoteReference"/>
          <w:sz w:val="16"/>
          <w:szCs w:val="16"/>
        </w:rPr>
        <w:footnoteRef/>
      </w:r>
      <w:r w:rsidRPr="00347741">
        <w:rPr>
          <w:sz w:val="16"/>
          <w:szCs w:val="16"/>
        </w:rPr>
        <w:t xml:space="preserve"> </w:t>
      </w:r>
      <w:r w:rsidRPr="00347741">
        <w:rPr>
          <w:sz w:val="16"/>
          <w:szCs w:val="16"/>
          <w:lang w:val="en-US"/>
        </w:rPr>
        <w:t xml:space="preserve">International Energy Agency (2024). </w:t>
      </w:r>
      <w:hyperlink r:id="rId475" w:history="1">
        <w:r w:rsidR="001C0DBF" w:rsidRPr="00347741">
          <w:rPr>
            <w:rStyle w:val="Hyperlink"/>
            <w:sz w:val="16"/>
            <w:szCs w:val="16"/>
            <w:lang w:val="en-US"/>
          </w:rPr>
          <w:t>Energy Technology Perspectives 2024</w:t>
        </w:r>
      </w:hyperlink>
    </w:p>
  </w:footnote>
  <w:footnote w:id="715">
    <w:p w14:paraId="6194E6E5" w14:textId="777D546B" w:rsidR="001C0DBF" w:rsidRPr="001C0DBF" w:rsidRDefault="001C0DBF">
      <w:pPr>
        <w:pStyle w:val="FootnoteText"/>
        <w:rPr>
          <w:lang w:val="en-US"/>
        </w:rPr>
      </w:pPr>
      <w:r w:rsidRPr="00347741">
        <w:rPr>
          <w:rStyle w:val="FootnoteReference"/>
          <w:sz w:val="16"/>
          <w:szCs w:val="16"/>
        </w:rPr>
        <w:footnoteRef/>
      </w:r>
      <w:r w:rsidRPr="00347741">
        <w:rPr>
          <w:sz w:val="16"/>
          <w:szCs w:val="16"/>
        </w:rPr>
        <w:t xml:space="preserve"> Bloomberg New Energy Finance</w:t>
      </w:r>
      <w:r w:rsidR="00B7284B" w:rsidRPr="00347741">
        <w:rPr>
          <w:sz w:val="16"/>
          <w:szCs w:val="16"/>
        </w:rPr>
        <w:t xml:space="preserve"> (2024). </w:t>
      </w:r>
      <w:hyperlink r:id="rId476" w:history="1">
        <w:r w:rsidR="00B7284B" w:rsidRPr="00347741">
          <w:rPr>
            <w:rStyle w:val="Hyperlink"/>
            <w:sz w:val="16"/>
            <w:szCs w:val="16"/>
          </w:rPr>
          <w:t>Electrolyzer Price Survey 2024: Rising Costs, Glitchy Tech</w:t>
        </w:r>
      </w:hyperlink>
    </w:p>
  </w:footnote>
  <w:footnote w:id="716">
    <w:p w14:paraId="577CD6A6" w14:textId="13CBFFF0" w:rsidR="00411C44" w:rsidRPr="00411C44" w:rsidRDefault="00411C44">
      <w:pPr>
        <w:pStyle w:val="FootnoteText"/>
        <w:rPr>
          <w:lang w:val="en-US"/>
        </w:rPr>
      </w:pPr>
      <w:r w:rsidRPr="00347741">
        <w:rPr>
          <w:rStyle w:val="FootnoteReference"/>
          <w:sz w:val="16"/>
          <w:szCs w:val="16"/>
        </w:rPr>
        <w:footnoteRef/>
      </w:r>
      <w:r w:rsidRPr="00347741">
        <w:rPr>
          <w:sz w:val="16"/>
          <w:szCs w:val="16"/>
        </w:rPr>
        <w:t xml:space="preserve"> International Energy Agency (202</w:t>
      </w:r>
      <w:r w:rsidR="00246303" w:rsidRPr="00347741">
        <w:rPr>
          <w:sz w:val="16"/>
          <w:szCs w:val="16"/>
        </w:rPr>
        <w:t>5</w:t>
      </w:r>
      <w:r w:rsidRPr="00347741">
        <w:rPr>
          <w:sz w:val="16"/>
          <w:szCs w:val="16"/>
        </w:rPr>
        <w:t xml:space="preserve">). </w:t>
      </w:r>
      <w:hyperlink r:id="rId477" w:history="1">
        <w:r w:rsidR="002331F3" w:rsidRPr="00347741">
          <w:rPr>
            <w:rStyle w:val="Hyperlink"/>
            <w:sz w:val="16"/>
            <w:szCs w:val="16"/>
          </w:rPr>
          <w:t>What Next for the Global Car Industry</w:t>
        </w:r>
      </w:hyperlink>
    </w:p>
  </w:footnote>
  <w:footnote w:id="717">
    <w:p w14:paraId="498C4652" w14:textId="6F0C81DA" w:rsidR="00377259" w:rsidRPr="00347741" w:rsidRDefault="00377259" w:rsidP="00445194">
      <w:pPr>
        <w:rPr>
          <w:sz w:val="16"/>
          <w:szCs w:val="16"/>
        </w:rPr>
      </w:pPr>
      <w:r w:rsidRPr="00347741">
        <w:rPr>
          <w:rStyle w:val="FootnoteReference"/>
          <w:sz w:val="16"/>
          <w:szCs w:val="16"/>
        </w:rPr>
        <w:footnoteRef/>
      </w:r>
      <w:r w:rsidRPr="00347741">
        <w:rPr>
          <w:sz w:val="16"/>
          <w:szCs w:val="16"/>
        </w:rPr>
        <w:t xml:space="preserve"> </w:t>
      </w:r>
      <w:r w:rsidR="003A363F" w:rsidRPr="00347741">
        <w:rPr>
          <w:sz w:val="16"/>
          <w:szCs w:val="16"/>
        </w:rPr>
        <w:t xml:space="preserve">European Commission (2025). </w:t>
      </w:r>
      <w:r w:rsidR="00C0346E" w:rsidRPr="00347741">
        <w:rPr>
          <w:sz w:val="16"/>
          <w:szCs w:val="16"/>
        </w:rPr>
        <w:t xml:space="preserve">Communication from the Commission providing updated information to determine the shares of the European Union supply of final products and their main specific components originating in different third countries under Regulation (EU) 2024/1735 on establishing a framework of measures for strengthening Europe’s net-zero technology manufacturing ecosystem (Net-Zero Industry Act). </w:t>
      </w:r>
      <w:r w:rsidR="008A4CFC" w:rsidRPr="00347741">
        <w:rPr>
          <w:sz w:val="16"/>
          <w:szCs w:val="16"/>
        </w:rPr>
        <w:t xml:space="preserve">18.6.2025 </w:t>
      </w:r>
      <w:r w:rsidR="00445194" w:rsidRPr="00347741">
        <w:rPr>
          <w:sz w:val="16"/>
          <w:szCs w:val="16"/>
        </w:rPr>
        <w:t>C/2025/3236</w:t>
      </w:r>
    </w:p>
  </w:footnote>
  <w:footnote w:id="718">
    <w:p w14:paraId="4D4A9261" w14:textId="113361A8" w:rsidR="00722673" w:rsidRPr="00722673" w:rsidRDefault="00722673">
      <w:pPr>
        <w:pStyle w:val="FootnoteText"/>
        <w:rPr>
          <w:lang w:val="en-US"/>
        </w:rPr>
      </w:pPr>
      <w:r w:rsidRPr="00347741">
        <w:rPr>
          <w:rStyle w:val="FootnoteReference"/>
          <w:sz w:val="16"/>
          <w:szCs w:val="16"/>
        </w:rPr>
        <w:footnoteRef/>
      </w:r>
      <w:r w:rsidRPr="00347741">
        <w:rPr>
          <w:sz w:val="16"/>
          <w:szCs w:val="16"/>
        </w:rPr>
        <w:t xml:space="preserve"> </w:t>
      </w:r>
      <w:r w:rsidR="00AC7E26" w:rsidRPr="00347741">
        <w:rPr>
          <w:sz w:val="16"/>
          <w:szCs w:val="16"/>
        </w:rPr>
        <w:t>European Solar Manufacturing Council</w:t>
      </w:r>
      <w:r w:rsidR="00FD3080" w:rsidRPr="00347741">
        <w:rPr>
          <w:sz w:val="16"/>
          <w:szCs w:val="16"/>
        </w:rPr>
        <w:t xml:space="preserve"> (</w:t>
      </w:r>
      <w:r w:rsidR="00AC7E26" w:rsidRPr="00347741">
        <w:rPr>
          <w:sz w:val="16"/>
          <w:szCs w:val="16"/>
        </w:rPr>
        <w:t>2026</w:t>
      </w:r>
      <w:r w:rsidR="00FD3080" w:rsidRPr="00347741">
        <w:rPr>
          <w:sz w:val="16"/>
          <w:szCs w:val="16"/>
        </w:rPr>
        <w:t xml:space="preserve">). </w:t>
      </w:r>
      <w:r w:rsidR="00601DC6" w:rsidRPr="00347741">
        <w:rPr>
          <w:sz w:val="16"/>
          <w:szCs w:val="16"/>
        </w:rPr>
        <w:t>Updated Recommendation for the Commission to publish Guidance on improving Cyber Security for Solar PV and Battery Storage</w:t>
      </w:r>
    </w:p>
  </w:footnote>
  <w:footnote w:id="719">
    <w:p w14:paraId="0612ED2A" w14:textId="6F4DBDBE" w:rsidR="00A613FB" w:rsidRPr="00A613FB" w:rsidRDefault="00A613FB">
      <w:pPr>
        <w:pStyle w:val="FootnoteText"/>
        <w:rPr>
          <w:lang w:val="en-US"/>
        </w:rPr>
      </w:pPr>
      <w:r w:rsidRPr="00347741">
        <w:rPr>
          <w:rStyle w:val="FootnoteReference"/>
          <w:sz w:val="16"/>
          <w:szCs w:val="16"/>
        </w:rPr>
        <w:footnoteRef/>
      </w:r>
      <w:r w:rsidRPr="00347741">
        <w:rPr>
          <w:sz w:val="16"/>
          <w:szCs w:val="16"/>
        </w:rPr>
        <w:t xml:space="preserve"> </w:t>
      </w:r>
      <w:r w:rsidRPr="00347741">
        <w:rPr>
          <w:sz w:val="16"/>
          <w:szCs w:val="16"/>
          <w:lang w:val="en-US"/>
        </w:rPr>
        <w:t xml:space="preserve">European Commission (2025). </w:t>
      </w:r>
      <w:hyperlink r:id="rId478" w:history="1">
        <w:r w:rsidRPr="00347741">
          <w:rPr>
            <w:rStyle w:val="Hyperlink"/>
            <w:sz w:val="16"/>
            <w:szCs w:val="16"/>
            <w:lang w:val="en-US"/>
          </w:rPr>
          <w:t>Joint Communication to the European Parliament and the Council</w:t>
        </w:r>
        <w:r w:rsidR="00261902" w:rsidRPr="00347741">
          <w:rPr>
            <w:rStyle w:val="Hyperlink"/>
            <w:sz w:val="16"/>
            <w:szCs w:val="16"/>
            <w:lang w:val="en-US"/>
          </w:rPr>
          <w:t xml:space="preserve"> – </w:t>
        </w:r>
        <w:r w:rsidR="008F0CF4" w:rsidRPr="00347741">
          <w:rPr>
            <w:rStyle w:val="Hyperlink"/>
            <w:sz w:val="16"/>
            <w:szCs w:val="16"/>
            <w:lang w:val="en-US"/>
          </w:rPr>
          <w:t>Strengthening</w:t>
        </w:r>
        <w:r w:rsidR="00261902" w:rsidRPr="00347741">
          <w:rPr>
            <w:rStyle w:val="Hyperlink"/>
            <w:sz w:val="16"/>
            <w:szCs w:val="16"/>
            <w:lang w:val="en-US"/>
          </w:rPr>
          <w:t xml:space="preserve"> EU economic security</w:t>
        </w:r>
      </w:hyperlink>
      <w:r w:rsidR="00261902" w:rsidRPr="00347741">
        <w:rPr>
          <w:sz w:val="16"/>
          <w:szCs w:val="16"/>
          <w:lang w:val="en-US"/>
        </w:rPr>
        <w:t xml:space="preserve">. 3.12.2025 </w:t>
      </w:r>
    </w:p>
  </w:footnote>
  <w:footnote w:id="720">
    <w:p w14:paraId="0EFD0725" w14:textId="4524D6EE" w:rsidR="005F1CDE" w:rsidRPr="005F1CDE" w:rsidRDefault="005F1CDE">
      <w:pPr>
        <w:pStyle w:val="FootnoteText"/>
        <w:rPr>
          <w:lang w:val="en-US"/>
        </w:rPr>
      </w:pPr>
      <w:r w:rsidRPr="00347741">
        <w:rPr>
          <w:rStyle w:val="FootnoteReference"/>
          <w:sz w:val="16"/>
          <w:szCs w:val="16"/>
        </w:rPr>
        <w:footnoteRef/>
      </w:r>
      <w:r w:rsidRPr="00347741">
        <w:rPr>
          <w:sz w:val="16"/>
          <w:szCs w:val="16"/>
        </w:rPr>
        <w:t xml:space="preserve"> European Commission (2026). Net-Zero Technology Monitoring Dashboards</w:t>
      </w:r>
    </w:p>
  </w:footnote>
  <w:footnote w:id="721">
    <w:p w14:paraId="330CEC25" w14:textId="627D4AB1" w:rsidR="00F41A17" w:rsidRPr="002F3CCE" w:rsidRDefault="00F41A17">
      <w:pPr>
        <w:pStyle w:val="FootnoteText"/>
      </w:pPr>
      <w:r w:rsidRPr="002F3CCE">
        <w:rPr>
          <w:rStyle w:val="FootnoteReference"/>
          <w:sz w:val="16"/>
          <w:szCs w:val="16"/>
        </w:rPr>
        <w:footnoteRef/>
      </w:r>
      <w:r w:rsidRPr="002F3CCE">
        <w:rPr>
          <w:sz w:val="16"/>
          <w:szCs w:val="16"/>
        </w:rPr>
        <w:t xml:space="preserve"> </w:t>
      </w:r>
      <w:r w:rsidR="00D41E4F" w:rsidRPr="002F3CCE">
        <w:rPr>
          <w:sz w:val="16"/>
          <w:szCs w:val="16"/>
        </w:rPr>
        <w:t>4c Offshore (2025). Transmission and Cables Outlook Q3 2025</w:t>
      </w:r>
    </w:p>
  </w:footnote>
  <w:footnote w:id="722">
    <w:p w14:paraId="0A5DDAA1" w14:textId="498F383E" w:rsidR="00B16FF5" w:rsidRPr="00A1532C" w:rsidRDefault="00B16FF5">
      <w:pPr>
        <w:pStyle w:val="FootnoteText"/>
        <w:rPr>
          <w:lang w:val="en-US"/>
        </w:rPr>
      </w:pPr>
      <w:r w:rsidRPr="002F3CCE">
        <w:rPr>
          <w:rStyle w:val="FootnoteReference"/>
          <w:sz w:val="16"/>
          <w:szCs w:val="16"/>
        </w:rPr>
        <w:footnoteRef/>
      </w:r>
      <w:r w:rsidRPr="002F3CCE">
        <w:rPr>
          <w:sz w:val="16"/>
          <w:szCs w:val="16"/>
        </w:rPr>
        <w:t xml:space="preserve"> 4c Offshore (2025).</w:t>
      </w:r>
      <w:r w:rsidR="00CE7B65" w:rsidRPr="002F3CCE">
        <w:rPr>
          <w:sz w:val="16"/>
          <w:szCs w:val="16"/>
        </w:rPr>
        <w:t xml:space="preserve"> </w:t>
      </w:r>
      <w:r w:rsidR="00CE7B65" w:rsidRPr="00A1532C">
        <w:rPr>
          <w:sz w:val="16"/>
          <w:szCs w:val="16"/>
          <w:lang w:val="en-US"/>
        </w:rPr>
        <w:t>Database</w:t>
      </w:r>
    </w:p>
  </w:footnote>
  <w:footnote w:id="723">
    <w:p w14:paraId="26648F03" w14:textId="77777777" w:rsidR="00401FE2" w:rsidRPr="00E03212" w:rsidRDefault="00401FE2" w:rsidP="00401FE2">
      <w:pPr>
        <w:pStyle w:val="FootnoteText"/>
        <w:rPr>
          <w:sz w:val="16"/>
          <w:szCs w:val="16"/>
          <w:lang w:val="en-US"/>
        </w:rPr>
      </w:pPr>
      <w:r w:rsidRPr="00E03212">
        <w:rPr>
          <w:rStyle w:val="FootnoteReference"/>
          <w:sz w:val="16"/>
          <w:szCs w:val="16"/>
        </w:rPr>
        <w:footnoteRef/>
      </w:r>
      <w:r w:rsidRPr="00E03212">
        <w:rPr>
          <w:sz w:val="16"/>
          <w:szCs w:val="16"/>
        </w:rPr>
        <w:t xml:space="preserve"> DSO Entity (2025). </w:t>
      </w:r>
      <w:hyperlink r:id="rId479" w:history="1">
        <w:r w:rsidRPr="00E03212">
          <w:rPr>
            <w:rStyle w:val="Hyperlink"/>
            <w:sz w:val="16"/>
            <w:szCs w:val="16"/>
          </w:rPr>
          <w:t>ENTSO-E, Europacable, DSO Entity and T&amp;D Europe publish Joint Roadmap for Future Proof Grids</w:t>
        </w:r>
      </w:hyperlink>
    </w:p>
  </w:footnote>
  <w:footnote w:id="724">
    <w:p w14:paraId="0A75FEFE" w14:textId="27CF185C" w:rsidR="00E53FBA" w:rsidRPr="00E53FBA" w:rsidRDefault="00E53FBA" w:rsidP="00F4779E">
      <w:pPr>
        <w:pStyle w:val="FootnoteText"/>
        <w:rPr>
          <w:lang w:val="en-US"/>
        </w:rPr>
      </w:pPr>
      <w:r w:rsidRPr="00F4779E">
        <w:rPr>
          <w:rStyle w:val="FootnoteReference"/>
          <w:sz w:val="16"/>
          <w:szCs w:val="16"/>
        </w:rPr>
        <w:footnoteRef/>
      </w:r>
      <w:r w:rsidRPr="00F4779E">
        <w:rPr>
          <w:sz w:val="16"/>
          <w:szCs w:val="16"/>
        </w:rPr>
        <w:t xml:space="preserve"> </w:t>
      </w:r>
      <w:r w:rsidRPr="00F4779E">
        <w:rPr>
          <w:sz w:val="16"/>
          <w:szCs w:val="16"/>
          <w:lang w:val="en-US"/>
        </w:rPr>
        <w:t xml:space="preserve">BloombergNEF(2025). </w:t>
      </w:r>
      <w:hyperlink r:id="rId480" w:history="1">
        <w:r w:rsidR="00F4779E" w:rsidRPr="00F4779E">
          <w:rPr>
            <w:rStyle w:val="Hyperlink"/>
            <w:sz w:val="16"/>
            <w:szCs w:val="16"/>
            <w:lang w:val="en-US"/>
          </w:rPr>
          <w:t>Power Transformer Trends 2025</w:t>
        </w:r>
      </w:hyperlink>
    </w:p>
  </w:footnote>
  <w:footnote w:id="725">
    <w:p w14:paraId="4C6444E7" w14:textId="661EEDF7" w:rsidR="0070480D" w:rsidRPr="0070480D" w:rsidRDefault="0070480D">
      <w:pPr>
        <w:pStyle w:val="FootnoteText"/>
        <w:rPr>
          <w:lang w:val="en-US"/>
        </w:rPr>
      </w:pPr>
      <w:r w:rsidRPr="00E03212">
        <w:rPr>
          <w:rStyle w:val="FootnoteReference"/>
          <w:sz w:val="16"/>
          <w:szCs w:val="16"/>
        </w:rPr>
        <w:footnoteRef/>
      </w:r>
      <w:r w:rsidRPr="00E03212">
        <w:rPr>
          <w:sz w:val="16"/>
          <w:szCs w:val="16"/>
        </w:rPr>
        <w:t xml:space="preserve"> </w:t>
      </w:r>
      <w:r w:rsidRPr="00E03212">
        <w:rPr>
          <w:sz w:val="16"/>
          <w:szCs w:val="16"/>
          <w:lang w:val="en-US"/>
        </w:rPr>
        <w:t xml:space="preserve">Bloomberg New Energy Finance (2025). </w:t>
      </w:r>
      <w:hyperlink r:id="rId481" w:history="1">
        <w:r w:rsidR="000B5796" w:rsidRPr="00E03212">
          <w:rPr>
            <w:rStyle w:val="Hyperlink"/>
            <w:sz w:val="16"/>
            <w:szCs w:val="16"/>
            <w:lang w:val="en-US"/>
          </w:rPr>
          <w:t>Electrolysis System Cost Forecast 2050: Higher for Longer</w:t>
        </w:r>
      </w:hyperlink>
    </w:p>
  </w:footnote>
  <w:footnote w:id="726">
    <w:p w14:paraId="0B46937F" w14:textId="7CC1B042" w:rsidR="003D0B76" w:rsidRPr="003D0B76" w:rsidRDefault="003D0B76">
      <w:pPr>
        <w:pStyle w:val="FootnoteText"/>
      </w:pPr>
      <w:r w:rsidRPr="009908D3">
        <w:rPr>
          <w:rStyle w:val="FootnoteReference"/>
          <w:sz w:val="16"/>
          <w:szCs w:val="16"/>
        </w:rPr>
        <w:footnoteRef/>
      </w:r>
      <w:r w:rsidRPr="009908D3">
        <w:rPr>
          <w:sz w:val="16"/>
          <w:szCs w:val="16"/>
        </w:rPr>
        <w:t xml:space="preserve"> </w:t>
      </w:r>
      <w:r w:rsidR="000C6261" w:rsidRPr="009908D3">
        <w:rPr>
          <w:sz w:val="16"/>
          <w:szCs w:val="16"/>
        </w:rPr>
        <w:t xml:space="preserve">The </w:t>
      </w:r>
      <w:r w:rsidR="00FA2CB8" w:rsidRPr="009908D3">
        <w:rPr>
          <w:sz w:val="16"/>
          <w:szCs w:val="16"/>
        </w:rPr>
        <w:t>levelised</w:t>
      </w:r>
      <w:r w:rsidR="000C6261" w:rsidRPr="009908D3">
        <w:rPr>
          <w:sz w:val="16"/>
          <w:szCs w:val="16"/>
        </w:rPr>
        <w:t xml:space="preserve"> cost of hydrogen </w:t>
      </w:r>
      <w:r w:rsidR="000C5900">
        <w:rPr>
          <w:sz w:val="16"/>
          <w:szCs w:val="16"/>
        </w:rPr>
        <w:t xml:space="preserve">produced with </w:t>
      </w:r>
      <w:r w:rsidR="000C6261" w:rsidRPr="009908D3">
        <w:rPr>
          <w:sz w:val="16"/>
          <w:szCs w:val="16"/>
        </w:rPr>
        <w:t>E</w:t>
      </w:r>
      <w:r w:rsidR="000C5900">
        <w:rPr>
          <w:sz w:val="16"/>
          <w:szCs w:val="16"/>
        </w:rPr>
        <w:t>U-made elec</w:t>
      </w:r>
      <w:r w:rsidR="000C6261" w:rsidRPr="009908D3">
        <w:rPr>
          <w:sz w:val="16"/>
          <w:szCs w:val="16"/>
        </w:rPr>
        <w:t xml:space="preserve">trolysers is </w:t>
      </w:r>
      <w:r w:rsidR="000C5900">
        <w:rPr>
          <w:sz w:val="16"/>
          <w:szCs w:val="16"/>
        </w:rPr>
        <w:t>estimated at</w:t>
      </w:r>
      <w:r w:rsidR="00D668E9" w:rsidRPr="009908D3">
        <w:rPr>
          <w:sz w:val="16"/>
          <w:szCs w:val="16"/>
        </w:rPr>
        <w:t xml:space="preserve"> 5.8 EUR/kg, wh</w:t>
      </w:r>
      <w:r w:rsidR="000C5900">
        <w:rPr>
          <w:sz w:val="16"/>
          <w:szCs w:val="16"/>
        </w:rPr>
        <w:t xml:space="preserve">ereas for </w:t>
      </w:r>
      <w:r w:rsidR="00D668E9" w:rsidRPr="009908D3">
        <w:rPr>
          <w:sz w:val="16"/>
          <w:szCs w:val="16"/>
        </w:rPr>
        <w:t>electrolysers</w:t>
      </w:r>
      <w:r w:rsidR="000C5900">
        <w:rPr>
          <w:sz w:val="16"/>
          <w:szCs w:val="16"/>
        </w:rPr>
        <w:t xml:space="preserve"> with</w:t>
      </w:r>
      <w:r w:rsidR="00FA2CB8" w:rsidRPr="009908D3">
        <w:rPr>
          <w:sz w:val="16"/>
          <w:szCs w:val="16"/>
        </w:rPr>
        <w:t xml:space="preserve"> components sourced from China to an extent that fulfils the IAA requirements</w:t>
      </w:r>
      <w:r w:rsidR="00514D64">
        <w:rPr>
          <w:sz w:val="16"/>
          <w:szCs w:val="16"/>
        </w:rPr>
        <w:t>, the cost</w:t>
      </w:r>
      <w:r w:rsidR="00FA2CB8" w:rsidRPr="009908D3">
        <w:rPr>
          <w:sz w:val="16"/>
          <w:szCs w:val="16"/>
        </w:rPr>
        <w:t xml:space="preserve"> is calculated to be </w:t>
      </w:r>
      <w:r w:rsidR="00514D64">
        <w:rPr>
          <w:sz w:val="16"/>
          <w:szCs w:val="16"/>
        </w:rPr>
        <w:t xml:space="preserve">at </w:t>
      </w:r>
      <w:r w:rsidR="00FA2CB8" w:rsidRPr="009908D3">
        <w:rPr>
          <w:sz w:val="16"/>
          <w:szCs w:val="16"/>
        </w:rPr>
        <w:t>5.</w:t>
      </w:r>
      <w:r w:rsidR="008C1483" w:rsidRPr="009908D3">
        <w:rPr>
          <w:sz w:val="16"/>
          <w:szCs w:val="16"/>
        </w:rPr>
        <w:t>3 EUR/kg</w:t>
      </w:r>
      <w:r w:rsidR="009908D3">
        <w:rPr>
          <w:sz w:val="16"/>
          <w:szCs w:val="16"/>
        </w:rPr>
        <w:t>.</w:t>
      </w:r>
    </w:p>
  </w:footnote>
  <w:footnote w:id="727">
    <w:p w14:paraId="2C025033" w14:textId="1E0812B7" w:rsidR="00246303" w:rsidRPr="00246303" w:rsidRDefault="00246303">
      <w:pPr>
        <w:pStyle w:val="FootnoteText"/>
        <w:rPr>
          <w:lang w:val="en-US"/>
        </w:rPr>
      </w:pPr>
      <w:r w:rsidRPr="00E03212">
        <w:rPr>
          <w:rStyle w:val="FootnoteReference"/>
          <w:sz w:val="16"/>
          <w:szCs w:val="16"/>
        </w:rPr>
        <w:footnoteRef/>
      </w:r>
      <w:r w:rsidRPr="00E03212">
        <w:rPr>
          <w:sz w:val="16"/>
          <w:szCs w:val="16"/>
        </w:rPr>
        <w:t xml:space="preserve"> </w:t>
      </w:r>
      <w:r w:rsidRPr="00E03212">
        <w:rPr>
          <w:sz w:val="16"/>
          <w:szCs w:val="16"/>
          <w:lang w:val="en-US"/>
        </w:rPr>
        <w:t xml:space="preserve">International Energy Agency (2024). </w:t>
      </w:r>
      <w:hyperlink r:id="rId482" w:history="1">
        <w:r w:rsidRPr="00E03212">
          <w:rPr>
            <w:rStyle w:val="Hyperlink"/>
            <w:sz w:val="16"/>
            <w:szCs w:val="16"/>
            <w:lang w:val="en-US"/>
          </w:rPr>
          <w:t>Energy Technology Perspectives 2024</w:t>
        </w:r>
      </w:hyperlink>
    </w:p>
  </w:footnote>
  <w:footnote w:id="728">
    <w:p w14:paraId="433F9246" w14:textId="77777777" w:rsidR="00457504" w:rsidRPr="002329F5" w:rsidRDefault="00457504" w:rsidP="00457504">
      <w:pPr>
        <w:pStyle w:val="FootnoteText"/>
        <w:rPr>
          <w:lang w:val="en-US"/>
        </w:rPr>
      </w:pPr>
      <w:r>
        <w:rPr>
          <w:rStyle w:val="FootnoteReference"/>
        </w:rPr>
        <w:footnoteRef/>
      </w:r>
      <w:r>
        <w:t xml:space="preserve"> </w:t>
      </w:r>
      <w:r w:rsidRPr="00E81448">
        <w:rPr>
          <w:sz w:val="16"/>
          <w:szCs w:val="16"/>
        </w:rPr>
        <w:t>EUROSTAT</w:t>
      </w:r>
      <w:r>
        <w:rPr>
          <w:sz w:val="16"/>
          <w:szCs w:val="16"/>
        </w:rPr>
        <w:t xml:space="preserve"> </w:t>
      </w:r>
      <w:r w:rsidRPr="00E81448">
        <w:rPr>
          <w:sz w:val="16"/>
          <w:szCs w:val="16"/>
        </w:rPr>
        <w:t xml:space="preserve">(2026). </w:t>
      </w:r>
      <w:hyperlink r:id="rId483" w:history="1">
        <w:r w:rsidRPr="00E81448">
          <w:rPr>
            <w:rStyle w:val="Hyperlink"/>
            <w:sz w:val="16"/>
            <w:szCs w:val="16"/>
          </w:rPr>
          <w:t>COMEXT database</w:t>
        </w:r>
      </w:hyperlink>
    </w:p>
  </w:footnote>
  <w:footnote w:id="729">
    <w:p w14:paraId="5F67F290" w14:textId="556FD5DB" w:rsidR="00AB6D8F" w:rsidRPr="00E03212" w:rsidRDefault="00AB6D8F">
      <w:pPr>
        <w:pStyle w:val="FootnoteText"/>
        <w:rPr>
          <w:sz w:val="16"/>
          <w:szCs w:val="16"/>
          <w:lang w:val="en-US"/>
        </w:rPr>
      </w:pPr>
      <w:r w:rsidRPr="00E03212">
        <w:rPr>
          <w:rStyle w:val="FootnoteReference"/>
          <w:sz w:val="16"/>
          <w:szCs w:val="16"/>
        </w:rPr>
        <w:footnoteRef/>
      </w:r>
      <w:r w:rsidRPr="00E03212">
        <w:rPr>
          <w:sz w:val="16"/>
          <w:szCs w:val="16"/>
        </w:rPr>
        <w:t xml:space="preserve"> </w:t>
      </w:r>
      <w:r w:rsidRPr="00E03212">
        <w:rPr>
          <w:sz w:val="16"/>
          <w:szCs w:val="16"/>
          <w:lang w:val="en-US"/>
        </w:rPr>
        <w:t xml:space="preserve">Solar Heat Europe (2026). </w:t>
      </w:r>
      <w:hyperlink r:id="rId484" w:history="1">
        <w:r w:rsidR="00D72D26" w:rsidRPr="00E03212">
          <w:rPr>
            <w:rStyle w:val="Hyperlink"/>
            <w:sz w:val="16"/>
            <w:szCs w:val="16"/>
            <w:lang w:val="en-US"/>
          </w:rPr>
          <w:t>Market Data</w:t>
        </w:r>
      </w:hyperlink>
    </w:p>
  </w:footnote>
  <w:footnote w:id="730">
    <w:p w14:paraId="33B8F35B" w14:textId="762FAAF7" w:rsidR="00C71FA4" w:rsidRPr="00E03212" w:rsidRDefault="00C71FA4" w:rsidP="00E9715A">
      <w:pPr>
        <w:pStyle w:val="FootnoteText"/>
        <w:rPr>
          <w:sz w:val="16"/>
          <w:szCs w:val="16"/>
          <w:lang w:val="en-US"/>
        </w:rPr>
      </w:pPr>
      <w:r w:rsidRPr="00E03212">
        <w:rPr>
          <w:rStyle w:val="FootnoteReference"/>
          <w:sz w:val="16"/>
          <w:szCs w:val="16"/>
        </w:rPr>
        <w:footnoteRef/>
      </w:r>
      <w:r w:rsidRPr="00E03212">
        <w:rPr>
          <w:sz w:val="16"/>
          <w:szCs w:val="16"/>
        </w:rPr>
        <w:t xml:space="preserve"> </w:t>
      </w:r>
      <w:r w:rsidR="00E9715A" w:rsidRPr="00E03212">
        <w:rPr>
          <w:sz w:val="16"/>
          <w:szCs w:val="16"/>
        </w:rPr>
        <w:t xml:space="preserve">Roca Reina, J.C., Taylor, N., Volt, J., Carlsson, J., Georgakaki, A. et al., </w:t>
      </w:r>
      <w:hyperlink r:id="rId485" w:history="1">
        <w:r w:rsidR="00E9715A" w:rsidRPr="00E03212">
          <w:rPr>
            <w:rStyle w:val="Hyperlink"/>
            <w:sz w:val="16"/>
            <w:szCs w:val="16"/>
          </w:rPr>
          <w:t>Clean Energy Technology Observatory: Solar Thermal Energy in the European Union - 2025 Status Report on Technology Development, Trends, Value Chains and Markets</w:t>
        </w:r>
      </w:hyperlink>
      <w:r w:rsidR="00E9715A" w:rsidRPr="00E03212">
        <w:rPr>
          <w:sz w:val="16"/>
          <w:szCs w:val="16"/>
        </w:rPr>
        <w:t>, Publications Office of the European Union, Luxembourg, 2025, https://data.europa.eu/doi/10.2760/8841716, JRC143924.</w:t>
      </w:r>
    </w:p>
  </w:footnote>
  <w:footnote w:id="731">
    <w:p w14:paraId="29938AC4" w14:textId="377CB9BA" w:rsidR="005C6626" w:rsidRPr="005C6626" w:rsidRDefault="005C6626">
      <w:pPr>
        <w:pStyle w:val="FootnoteText"/>
      </w:pPr>
      <w:r w:rsidRPr="00E81448">
        <w:rPr>
          <w:rStyle w:val="FootnoteReference"/>
          <w:sz w:val="16"/>
          <w:szCs w:val="16"/>
        </w:rPr>
        <w:footnoteRef/>
      </w:r>
      <w:r w:rsidRPr="00E81448">
        <w:rPr>
          <w:sz w:val="16"/>
          <w:szCs w:val="16"/>
        </w:rPr>
        <w:t xml:space="preserve"> EUROSTAT</w:t>
      </w:r>
      <w:r w:rsidR="00E81448">
        <w:rPr>
          <w:sz w:val="16"/>
          <w:szCs w:val="16"/>
        </w:rPr>
        <w:t xml:space="preserve"> </w:t>
      </w:r>
      <w:r w:rsidR="00E81448" w:rsidRPr="00E81448">
        <w:rPr>
          <w:sz w:val="16"/>
          <w:szCs w:val="16"/>
        </w:rPr>
        <w:t xml:space="preserve">(2026). </w:t>
      </w:r>
      <w:hyperlink r:id="rId486" w:history="1">
        <w:r w:rsidR="00E81448" w:rsidRPr="00E81448">
          <w:rPr>
            <w:rStyle w:val="Hyperlink"/>
            <w:sz w:val="16"/>
            <w:szCs w:val="16"/>
          </w:rPr>
          <w:t>COMEXT database</w:t>
        </w:r>
      </w:hyperlink>
    </w:p>
  </w:footnote>
  <w:footnote w:id="732">
    <w:p w14:paraId="28F5B8A6" w14:textId="7FE7AD92" w:rsidR="59070993" w:rsidRPr="00660BAE" w:rsidRDefault="59070993">
      <w:pPr>
        <w:rPr>
          <w:sz w:val="16"/>
          <w:szCs w:val="16"/>
        </w:rPr>
      </w:pPr>
      <w:r w:rsidRPr="00850952">
        <w:rPr>
          <w:sz w:val="16"/>
          <w:szCs w:val="16"/>
          <w:vertAlign w:val="superscript"/>
        </w:rPr>
        <w:footnoteRef/>
      </w:r>
      <w:r w:rsidRPr="00660BAE">
        <w:rPr>
          <w:sz w:val="16"/>
          <w:szCs w:val="16"/>
        </w:rPr>
        <w:t xml:space="preserve"> SolarPower Europe and Fraunhofer ISE (2025). </w:t>
      </w:r>
      <w:hyperlink r:id="rId487">
        <w:r w:rsidRPr="00660BAE">
          <w:rPr>
            <w:rStyle w:val="Hyperlink"/>
            <w:sz w:val="16"/>
            <w:szCs w:val="16"/>
          </w:rPr>
          <w:t>Reshoring Solar Manufacturing to Europe</w:t>
        </w:r>
      </w:hyperlink>
      <w:r w:rsidR="00850952" w:rsidRPr="00850952">
        <w:rPr>
          <w:sz w:val="16"/>
          <w:szCs w:val="16"/>
        </w:rPr>
        <w:t>.</w:t>
      </w:r>
    </w:p>
  </w:footnote>
  <w:footnote w:id="733">
    <w:p w14:paraId="33DF66A9" w14:textId="504B8B50" w:rsidR="00107EB7" w:rsidRPr="00107EB7" w:rsidRDefault="00107EB7">
      <w:pPr>
        <w:pStyle w:val="FootnoteText"/>
        <w:rPr>
          <w:lang w:val="en-US"/>
        </w:rPr>
      </w:pPr>
      <w:r w:rsidRPr="00E03212">
        <w:rPr>
          <w:rStyle w:val="FootnoteReference"/>
          <w:sz w:val="16"/>
          <w:szCs w:val="16"/>
        </w:rPr>
        <w:footnoteRef/>
      </w:r>
      <w:r w:rsidRPr="00E03212">
        <w:rPr>
          <w:sz w:val="16"/>
          <w:szCs w:val="16"/>
        </w:rPr>
        <w:t xml:space="preserve"> </w:t>
      </w:r>
      <w:r w:rsidRPr="00E03212">
        <w:rPr>
          <w:sz w:val="16"/>
          <w:szCs w:val="16"/>
          <w:lang w:val="en-US"/>
        </w:rPr>
        <w:t>EUROSTAT (2026)</w:t>
      </w:r>
      <w:r w:rsidR="00644665" w:rsidRPr="00E03212">
        <w:rPr>
          <w:sz w:val="16"/>
          <w:szCs w:val="16"/>
          <w:lang w:val="en-US"/>
        </w:rPr>
        <w:t xml:space="preserve">. </w:t>
      </w:r>
      <w:hyperlink r:id="rId488" w:history="1">
        <w:r w:rsidR="00644665" w:rsidRPr="00E03212">
          <w:rPr>
            <w:rStyle w:val="Hyperlink"/>
            <w:sz w:val="16"/>
            <w:szCs w:val="16"/>
            <w:lang w:val="en-US"/>
          </w:rPr>
          <w:t>Electricity price statistics</w:t>
        </w:r>
      </w:hyperlink>
    </w:p>
  </w:footnote>
  <w:footnote w:id="734">
    <w:p w14:paraId="5FCEA0B2" w14:textId="26D3B117" w:rsidR="00B878A7" w:rsidRPr="00A11EFB" w:rsidRDefault="00B878A7">
      <w:pPr>
        <w:pStyle w:val="FootnoteText"/>
        <w:rPr>
          <w:lang w:val="en-US"/>
        </w:rPr>
      </w:pPr>
      <w:r w:rsidRPr="00A11EFB">
        <w:rPr>
          <w:rStyle w:val="FootnoteReference"/>
          <w:sz w:val="16"/>
          <w:szCs w:val="16"/>
        </w:rPr>
        <w:footnoteRef/>
      </w:r>
      <w:r w:rsidRPr="00A11EFB">
        <w:rPr>
          <w:sz w:val="16"/>
          <w:szCs w:val="16"/>
        </w:rPr>
        <w:t xml:space="preserve"> </w:t>
      </w:r>
      <w:r w:rsidRPr="00A11EFB">
        <w:rPr>
          <w:sz w:val="16"/>
          <w:szCs w:val="16"/>
          <w:lang w:val="en-US"/>
        </w:rPr>
        <w:t xml:space="preserve">Calculated </w:t>
      </w:r>
      <w:r w:rsidR="00A34339" w:rsidRPr="00A11EFB">
        <w:rPr>
          <w:sz w:val="16"/>
          <w:szCs w:val="16"/>
          <w:lang w:val="en-US"/>
        </w:rPr>
        <w:t>including, beyond</w:t>
      </w:r>
      <w:r w:rsidRPr="00A11EFB">
        <w:rPr>
          <w:sz w:val="16"/>
          <w:szCs w:val="16"/>
          <w:lang w:val="en-US"/>
        </w:rPr>
        <w:t xml:space="preserve"> the </w:t>
      </w:r>
      <w:r w:rsidR="00A34339" w:rsidRPr="00A11EFB">
        <w:rPr>
          <w:sz w:val="16"/>
          <w:szCs w:val="16"/>
          <w:lang w:val="en-US"/>
        </w:rPr>
        <w:t xml:space="preserve">EUR 1.2 trillion </w:t>
      </w:r>
      <w:r w:rsidR="00672D6C" w:rsidRPr="00A11EFB">
        <w:rPr>
          <w:sz w:val="16"/>
          <w:szCs w:val="16"/>
          <w:lang w:val="en-US"/>
        </w:rPr>
        <w:t xml:space="preserve">investment </w:t>
      </w:r>
      <w:r w:rsidR="00A34339" w:rsidRPr="00A11EFB">
        <w:rPr>
          <w:sz w:val="16"/>
          <w:szCs w:val="16"/>
          <w:lang w:val="en-US"/>
        </w:rPr>
        <w:t xml:space="preserve">required </w:t>
      </w:r>
      <w:r w:rsidR="00672D6C" w:rsidRPr="00A11EFB">
        <w:rPr>
          <w:sz w:val="16"/>
          <w:szCs w:val="16"/>
          <w:lang w:val="en-US"/>
        </w:rPr>
        <w:t xml:space="preserve">in electricity grid by 2040 </w:t>
      </w:r>
      <w:hyperlink r:id="rId489" w:history="1">
        <w:r w:rsidR="00475ED1" w:rsidRPr="00A11EFB">
          <w:rPr>
            <w:rStyle w:val="Hyperlink"/>
            <w:sz w:val="16"/>
            <w:szCs w:val="16"/>
            <w:lang w:val="en-US"/>
          </w:rPr>
          <w:t>(</w:t>
        </w:r>
        <w:r w:rsidR="00397946" w:rsidRPr="00A11EFB">
          <w:rPr>
            <w:rStyle w:val="Hyperlink"/>
            <w:sz w:val="16"/>
            <w:szCs w:val="16"/>
            <w:lang w:val="en-US"/>
          </w:rPr>
          <w:t xml:space="preserve">as outlined in the </w:t>
        </w:r>
        <w:r w:rsidR="00475ED1" w:rsidRPr="00A11EFB">
          <w:rPr>
            <w:rStyle w:val="Hyperlink"/>
            <w:sz w:val="16"/>
            <w:szCs w:val="16"/>
            <w:lang w:val="en-US"/>
          </w:rPr>
          <w:t>European Commission</w:t>
        </w:r>
        <w:r w:rsidR="00397946" w:rsidRPr="00A11EFB">
          <w:rPr>
            <w:rStyle w:val="Hyperlink"/>
            <w:sz w:val="16"/>
            <w:szCs w:val="16"/>
            <w:lang w:val="en-US"/>
          </w:rPr>
          <w:t>’s</w:t>
        </w:r>
        <w:r w:rsidR="003516DD" w:rsidRPr="00A11EFB">
          <w:rPr>
            <w:rStyle w:val="Hyperlink"/>
            <w:sz w:val="16"/>
            <w:szCs w:val="16"/>
            <w:lang w:val="en-US"/>
          </w:rPr>
          <w:t xml:space="preserve"> European Grids Package</w:t>
        </w:r>
      </w:hyperlink>
      <w:r w:rsidR="00D0621E" w:rsidRPr="00A11EFB">
        <w:rPr>
          <w:sz w:val="16"/>
          <w:szCs w:val="16"/>
          <w:lang w:val="en-US"/>
        </w:rPr>
        <w:t>, COM(2025) 1005 final</w:t>
      </w:r>
      <w:r w:rsidR="003516DD" w:rsidRPr="00A11EFB">
        <w:rPr>
          <w:sz w:val="16"/>
          <w:szCs w:val="16"/>
          <w:lang w:val="en-US"/>
        </w:rPr>
        <w:t>)</w:t>
      </w:r>
      <w:r w:rsidR="00C01CBE" w:rsidRPr="00A11EFB">
        <w:rPr>
          <w:sz w:val="16"/>
          <w:szCs w:val="16"/>
          <w:lang w:val="en-US"/>
        </w:rPr>
        <w:t>,</w:t>
      </w:r>
      <w:r w:rsidR="003516DD" w:rsidRPr="00A11EFB">
        <w:rPr>
          <w:sz w:val="16"/>
          <w:szCs w:val="16"/>
          <w:lang w:val="en-US"/>
        </w:rPr>
        <w:t xml:space="preserve"> the additional investment </w:t>
      </w:r>
      <w:r w:rsidR="00C01CBE" w:rsidRPr="00A11EFB">
        <w:rPr>
          <w:sz w:val="16"/>
          <w:szCs w:val="16"/>
          <w:lang w:val="en-US"/>
        </w:rPr>
        <w:t xml:space="preserve">necessary </w:t>
      </w:r>
      <w:r w:rsidR="00F761EE" w:rsidRPr="00A11EFB">
        <w:rPr>
          <w:sz w:val="16"/>
          <w:szCs w:val="16"/>
          <w:lang w:val="en-US"/>
        </w:rPr>
        <w:t xml:space="preserve">to deploy power cables, </w:t>
      </w:r>
      <w:r w:rsidR="00432B85" w:rsidRPr="00A11EFB">
        <w:rPr>
          <w:sz w:val="16"/>
          <w:szCs w:val="16"/>
          <w:lang w:val="en-US"/>
        </w:rPr>
        <w:t xml:space="preserve">inverters, converters and </w:t>
      </w:r>
      <w:r w:rsidR="00F761EE" w:rsidRPr="00A11EFB">
        <w:rPr>
          <w:sz w:val="16"/>
          <w:szCs w:val="16"/>
          <w:lang w:val="en-US"/>
        </w:rPr>
        <w:t>Electric Vehicle Supp</w:t>
      </w:r>
      <w:r w:rsidR="00432B85" w:rsidRPr="00A11EFB">
        <w:rPr>
          <w:sz w:val="16"/>
          <w:szCs w:val="16"/>
          <w:lang w:val="en-US"/>
        </w:rPr>
        <w:t>ly Equipment</w:t>
      </w:r>
      <w:r w:rsidR="00D0621E" w:rsidRPr="00A11EFB">
        <w:rPr>
          <w:sz w:val="16"/>
          <w:szCs w:val="16"/>
          <w:lang w:val="en-US"/>
        </w:rPr>
        <w:t xml:space="preserve"> </w:t>
      </w:r>
      <w:r w:rsidR="004F3EF0" w:rsidRPr="00A11EFB">
        <w:rPr>
          <w:sz w:val="16"/>
          <w:szCs w:val="16"/>
          <w:lang w:val="en-US"/>
        </w:rPr>
        <w:t>manufactured within</w:t>
      </w:r>
      <w:r w:rsidR="00D0621E" w:rsidRPr="00A11EFB">
        <w:rPr>
          <w:sz w:val="16"/>
          <w:szCs w:val="16"/>
          <w:lang w:val="en-US"/>
        </w:rPr>
        <w:t xml:space="preserve"> the EU </w:t>
      </w:r>
      <w:r w:rsidR="004F3EF0" w:rsidRPr="00A11EFB">
        <w:rPr>
          <w:sz w:val="16"/>
          <w:szCs w:val="16"/>
          <w:lang w:val="en-US"/>
        </w:rPr>
        <w:t>instead of</w:t>
      </w:r>
      <w:r w:rsidR="00D0621E" w:rsidRPr="00A11EFB">
        <w:rPr>
          <w:sz w:val="16"/>
          <w:szCs w:val="16"/>
          <w:lang w:val="en-US"/>
        </w:rPr>
        <w:t xml:space="preserve"> imported from third countries. </w:t>
      </w:r>
    </w:p>
  </w:footnote>
  <w:footnote w:id="735">
    <w:p w14:paraId="49D99C89" w14:textId="78DE805F" w:rsidR="002B1260" w:rsidRPr="002B1260" w:rsidRDefault="002B1260">
      <w:pPr>
        <w:pStyle w:val="FootnoteText"/>
        <w:rPr>
          <w:lang w:val="en-US"/>
        </w:rPr>
      </w:pPr>
      <w:r w:rsidRPr="00E03212">
        <w:rPr>
          <w:rStyle w:val="FootnoteReference"/>
          <w:sz w:val="16"/>
          <w:szCs w:val="16"/>
        </w:rPr>
        <w:footnoteRef/>
      </w:r>
      <w:r w:rsidRPr="00E03212">
        <w:rPr>
          <w:sz w:val="16"/>
          <w:szCs w:val="16"/>
        </w:rPr>
        <w:t xml:space="preserve"> </w:t>
      </w:r>
      <w:r w:rsidRPr="00E03212">
        <w:rPr>
          <w:sz w:val="16"/>
          <w:szCs w:val="16"/>
          <w:lang w:val="en-US"/>
        </w:rPr>
        <w:t xml:space="preserve">European Commission (2025). </w:t>
      </w:r>
      <w:hyperlink r:id="rId490" w:history="1">
        <w:r w:rsidR="00D017C3" w:rsidRPr="00E03212">
          <w:rPr>
            <w:rStyle w:val="Hyperlink"/>
            <w:sz w:val="16"/>
            <w:szCs w:val="16"/>
            <w:lang w:val="en-US"/>
          </w:rPr>
          <w:t>Commission publishes Terms and Conditions for the first pilot auction for industrial heat decarbonisation with a budget of €1 billion</w:t>
        </w:r>
      </w:hyperlink>
    </w:p>
  </w:footnote>
  <w:footnote w:id="736">
    <w:p w14:paraId="1A0ACD28" w14:textId="333323D4" w:rsidR="007C0ED7" w:rsidRPr="00E03212" w:rsidRDefault="007C0ED7">
      <w:pPr>
        <w:pStyle w:val="FootnoteText"/>
        <w:rPr>
          <w:sz w:val="16"/>
          <w:szCs w:val="16"/>
          <w:lang w:val="en-US"/>
        </w:rPr>
      </w:pPr>
      <w:r w:rsidRPr="00E03212">
        <w:rPr>
          <w:rStyle w:val="FootnoteReference"/>
          <w:sz w:val="16"/>
          <w:szCs w:val="16"/>
        </w:rPr>
        <w:footnoteRef/>
      </w:r>
      <w:r w:rsidRPr="00E03212">
        <w:rPr>
          <w:sz w:val="16"/>
          <w:szCs w:val="16"/>
        </w:rPr>
        <w:t xml:space="preserve"> </w:t>
      </w:r>
      <w:r w:rsidRPr="00E03212">
        <w:rPr>
          <w:sz w:val="16"/>
          <w:szCs w:val="16"/>
          <w:lang w:val="en-US"/>
        </w:rPr>
        <w:t xml:space="preserve">International Energy Agency (2024). </w:t>
      </w:r>
      <w:hyperlink r:id="rId491" w:history="1">
        <w:r w:rsidRPr="00E03212">
          <w:rPr>
            <w:rStyle w:val="Hyperlink"/>
            <w:sz w:val="16"/>
            <w:szCs w:val="16"/>
            <w:lang w:val="en-US"/>
          </w:rPr>
          <w:t>Energy Technology Perspectives 2024</w:t>
        </w:r>
      </w:hyperlink>
    </w:p>
  </w:footnote>
  <w:footnote w:id="737">
    <w:p w14:paraId="1C19AD2D" w14:textId="198A9708" w:rsidR="00F94263" w:rsidRPr="00F94263" w:rsidRDefault="00F94263">
      <w:pPr>
        <w:pStyle w:val="FootnoteText"/>
        <w:rPr>
          <w:lang w:val="en-US"/>
        </w:rPr>
      </w:pPr>
      <w:r w:rsidRPr="00E03212">
        <w:rPr>
          <w:rStyle w:val="FootnoteReference"/>
          <w:sz w:val="16"/>
          <w:szCs w:val="16"/>
        </w:rPr>
        <w:footnoteRef/>
      </w:r>
      <w:r w:rsidRPr="00E03212">
        <w:rPr>
          <w:sz w:val="16"/>
          <w:szCs w:val="16"/>
        </w:rPr>
        <w:t xml:space="preserve"> European Commission (2025). Communication from the Commission providing updated information to determine the shares of the European Union supply of final products and their main specific components originating in different third countries under Regulation (EU) 2024/1735 on establishing a framework of measures for strengthening Europe’s net-zero technology manufacturing ecosystem (Net-Zero Industry Act). 18.6.2025 C/2025/3236</w:t>
      </w:r>
    </w:p>
  </w:footnote>
  <w:footnote w:id="738">
    <w:p w14:paraId="1A18424E" w14:textId="4D2285B1" w:rsidR="00747877" w:rsidRPr="00747877" w:rsidRDefault="00747877">
      <w:pPr>
        <w:pStyle w:val="FootnoteText"/>
      </w:pPr>
      <w:r w:rsidRPr="00747877">
        <w:rPr>
          <w:rStyle w:val="FootnoteReference"/>
          <w:sz w:val="16"/>
          <w:szCs w:val="16"/>
        </w:rPr>
        <w:footnoteRef/>
      </w:r>
      <w:r w:rsidRPr="00747877">
        <w:rPr>
          <w:sz w:val="16"/>
          <w:szCs w:val="16"/>
        </w:rPr>
        <w:t xml:space="preserve"> 4c Offshore (2025). Transmission and Cables Outlook Q3 2025</w:t>
      </w:r>
    </w:p>
  </w:footnote>
  <w:footnote w:id="739">
    <w:p w14:paraId="5B05FEED" w14:textId="72197439" w:rsidR="00290553" w:rsidRPr="00290553" w:rsidRDefault="00290553">
      <w:pPr>
        <w:pStyle w:val="FootnoteText"/>
      </w:pPr>
      <w:r>
        <w:rPr>
          <w:rStyle w:val="FootnoteReference"/>
        </w:rPr>
        <w:footnoteRef/>
      </w:r>
      <w:r>
        <w:t xml:space="preserve"> </w:t>
      </w:r>
      <w:r w:rsidRPr="00290553">
        <w:rPr>
          <w:sz w:val="16"/>
          <w:szCs w:val="16"/>
        </w:rPr>
        <w:t>4c Offshore (2025). Database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DC1F" w14:textId="77777777" w:rsidR="005B5DB1" w:rsidRPr="005B5DB1" w:rsidRDefault="005B5DB1" w:rsidP="005B5DB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74F4" w14:textId="77777777" w:rsidR="005B5DB1" w:rsidRPr="005B5DB1" w:rsidRDefault="005B5DB1" w:rsidP="005B5DB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F0B9" w14:textId="77777777" w:rsidR="005B5DB1" w:rsidRPr="005B5DB1" w:rsidRDefault="005B5DB1" w:rsidP="005B5DB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CB1F9" w14:textId="77777777" w:rsidR="004F2FDB" w:rsidRDefault="004F2F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A90A" w14:textId="77777777" w:rsidR="004F2FDB" w:rsidRDefault="004F2F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995C" w14:textId="77777777" w:rsidR="004F2FDB" w:rsidRDefault="004F2F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F56C" w14:textId="77777777" w:rsidR="00BD5F71" w:rsidRDefault="00BD5F71">
    <w:pPr>
      <w:pStyle w:val="Header"/>
    </w:pPr>
    <w:r>
      <w:rPr>
        <w:noProof/>
        <w:lang w:eastAsia="en-GB"/>
      </w:rPr>
      <mc:AlternateContent>
        <mc:Choice Requires="wps">
          <w:drawing>
            <wp:anchor distT="0" distB="0" distL="114300" distR="114300" simplePos="0" relativeHeight="251656192" behindDoc="1" locked="0" layoutInCell="0" allowOverlap="1" wp14:anchorId="69B5FD69" wp14:editId="05C7826F">
              <wp:simplePos x="0" y="0"/>
              <wp:positionH relativeFrom="margin">
                <wp:align>center</wp:align>
              </wp:positionH>
              <wp:positionV relativeFrom="margin">
                <wp:align>center</wp:align>
              </wp:positionV>
              <wp:extent cx="5801360" cy="2320290"/>
              <wp:effectExtent l="0" t="0" r="0" b="0"/>
              <wp:wrapNone/>
              <wp:docPr id="1211113740" name="PowerPlusWaterMarkObject60640188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1EBDB5" w14:textId="77777777" w:rsidR="00BD5F71" w:rsidRDefault="00BD5F71">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9B5FD69" id="_x0000_t202" coordsize="21600,21600" o:spt="202" path="m,l,21600r21600,l21600,xe">
              <v:stroke joinstyle="miter"/>
              <v:path gradientshapeok="t" o:connecttype="rect"/>
            </v:shapetype>
            <v:shape id="PowerPlusWaterMarkObject606401882" o:spid="_x0000_s1027" type="#_x0000_t202" style="position:absolute;left:0;text-align:left;margin-left:0;margin-top:0;width:456.8pt;height:182.7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" o:allowincell="f" filled="f" stroked="f">
              <v:stroke joinstyle="round"/>
              <o:lock v:ext="edit" rotation="t" aspectratio="t" verticies="t" adjusthandles="t" grouping="t" shapetype="t"/>
              <v:textbox>
                <w:txbxContent>
                  <w:p w14:paraId="0E1EBDB5" w14:textId="77777777" w:rsidR="00BD5F71" w:rsidRDefault="00BD5F71">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F63F" w14:textId="77777777" w:rsidR="00EC60C2" w:rsidRDefault="00EC60C2">
    <w:pPr>
      <w:pStyle w:val="Header"/>
    </w:pPr>
    <w:r>
      <w:rPr>
        <w:noProof/>
        <w:lang w:eastAsia="en-GB"/>
      </w:rPr>
      <mc:AlternateContent>
        <mc:Choice Requires="wps">
          <w:drawing>
            <wp:anchor distT="0" distB="0" distL="114300" distR="114300" simplePos="0" relativeHeight="251657216" behindDoc="1" locked="0" layoutInCell="0" allowOverlap="1" wp14:anchorId="26DC9FBC" wp14:editId="78E8C8C2">
              <wp:simplePos x="0" y="0"/>
              <wp:positionH relativeFrom="margin">
                <wp:align>center</wp:align>
              </wp:positionH>
              <wp:positionV relativeFrom="margin">
                <wp:align>center</wp:align>
              </wp:positionV>
              <wp:extent cx="5801360" cy="2320290"/>
              <wp:effectExtent l="0" t="0" r="0" b="0"/>
              <wp:wrapNone/>
              <wp:docPr id="549174144" name="PowerPlusWaterMarkObject60640188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F8B912" w14:textId="7A80D873" w:rsidR="00EC60C2" w:rsidRDefault="00EC60C2">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6DC9FBC" id="_x0000_t202" coordsize="21600,21600" o:spt="202" path="m,l,21600r21600,l21600,xe">
              <v:stroke joinstyle="miter"/>
              <v:path gradientshapeok="t" o:connecttype="rect"/>
            </v:shapetype>
            <v:shape id="PowerPlusWaterMarkObject606401883" o:spid="_x0000_s1028" type="#_x0000_t202" style="position:absolute;left:0;text-align:left;margin-left:0;margin-top:0;width:456.8pt;height:182.7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" o:allowincell="f" filled="f" stroked="f">
              <v:stroke joinstyle="round"/>
              <o:lock v:ext="edit" rotation="t" aspectratio="t" verticies="t" adjusthandles="t" grouping="t" shapetype="t"/>
              <v:textbox>
                <w:txbxContent>
                  <w:p w14:paraId="0EF8B912" w14:textId="7A80D873" w:rsidR="00EC60C2" w:rsidRDefault="00EC60C2">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53A8" w14:textId="77777777" w:rsidR="00920812" w:rsidRDefault="00920812">
    <w:pPr>
      <w:pStyle w:val="Header"/>
    </w:pPr>
    <w:r>
      <w:rPr>
        <w:noProof/>
        <w:lang w:eastAsia="en-GB"/>
      </w:rPr>
      <mc:AlternateContent>
        <mc:Choice Requires="wps">
          <w:drawing>
            <wp:anchor distT="0" distB="0" distL="114300" distR="114300" simplePos="0" relativeHeight="251658240" behindDoc="1" locked="0" layoutInCell="0" allowOverlap="1" wp14:anchorId="702533A3" wp14:editId="5E3AEBB9">
              <wp:simplePos x="0" y="0"/>
              <wp:positionH relativeFrom="margin">
                <wp:align>center</wp:align>
              </wp:positionH>
              <wp:positionV relativeFrom="margin">
                <wp:align>center</wp:align>
              </wp:positionV>
              <wp:extent cx="5801360" cy="2320290"/>
              <wp:effectExtent l="0" t="0" r="0" b="0"/>
              <wp:wrapNone/>
              <wp:docPr id="1239808400" name="PowerPlusWaterMarkObject60640188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D296BF" w14:textId="77777777" w:rsidR="00920812" w:rsidRDefault="00920812">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02533A3" id="_x0000_t202" coordsize="21600,21600" o:spt="202" path="m,l,21600r21600,l21600,xe">
              <v:stroke joinstyle="miter"/>
              <v:path gradientshapeok="t" o:connecttype="rect"/>
            </v:shapetype>
            <v:shape id="PowerPlusWaterMarkObject606401881" o:spid="_x0000_s1029" type="#_x0000_t202" style="position:absolute;left:0;text-align:left;margin-left:0;margin-top:0;width:456.8pt;height:182.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" o:allowincell="f" filled="f" stroked="f">
              <v:stroke joinstyle="round"/>
              <o:lock v:ext="edit" rotation="t" aspectratio="t" verticies="t" adjusthandles="t" grouping="t" shapetype="t"/>
              <v:textbox>
                <w:txbxContent>
                  <w:p w14:paraId="7FD296BF" w14:textId="77777777" w:rsidR="00920812" w:rsidRDefault="00920812">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3CC7" w14:textId="68AF6A6E" w:rsidR="00143334" w:rsidRPr="00FF63D1" w:rsidRDefault="001433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1D68" w14:textId="2C92F58C" w:rsidR="00020031" w:rsidRPr="00F261DB" w:rsidRDefault="00020031">
    <w:pPr>
      <w:pStyle w:val="Foo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0529" w14:textId="2E03F3DE" w:rsidR="00020031" w:rsidRPr="00F261DB" w:rsidRDefault="00020031">
    <w:pPr>
      <w:pStyle w:val="Foo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3440" w14:textId="77777777" w:rsidR="0005436C" w:rsidRDefault="0005436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61C9" w14:textId="2E16CD28" w:rsidR="002E6B16" w:rsidRPr="008F2EC5" w:rsidRDefault="002E6B16" w:rsidP="008F2EC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3D87" w14:textId="77777777" w:rsidR="0005436C" w:rsidRDefault="0005436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4633" w14:textId="77777777" w:rsidR="0005436C" w:rsidRDefault="0005436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C8F0" w14:textId="269F585A" w:rsidR="002E6B16" w:rsidRPr="008F2EC5" w:rsidRDefault="002E6B16" w:rsidP="008F2EC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F39F" w14:textId="77777777" w:rsidR="0005436C" w:rsidRDefault="0005436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35FB" w14:textId="77777777" w:rsidR="0005436C" w:rsidRDefault="0005436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46D3" w14:textId="7F025522" w:rsidR="00AC50EF" w:rsidRPr="00601032" w:rsidRDefault="00AC50EF" w:rsidP="0060103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086D" w14:textId="7794F2A2" w:rsidR="00AC50EF" w:rsidRPr="00601032" w:rsidRDefault="00AC50EF" w:rsidP="0060103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5794" w14:textId="77777777" w:rsidR="0005436C" w:rsidRDefault="0005436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13F0" w14:textId="6719DB47" w:rsidR="00AC50EF" w:rsidRPr="00956F70" w:rsidRDefault="00AC50EF" w:rsidP="00956F7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E6AB" w14:textId="177C6D95" w:rsidR="00AC50EF" w:rsidRPr="00601032" w:rsidRDefault="00AC50EF" w:rsidP="0060103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346E" w14:textId="77777777" w:rsidR="0005436C" w:rsidRDefault="0005436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60F8" w14:textId="77777777" w:rsidR="00AC50EF" w:rsidRPr="00F261DB" w:rsidRDefault="005B5DB1">
    <w:pPr>
      <w:pStyle w:val="Header"/>
    </w:pPr>
    <w:r>
      <w:pict w14:anchorId="0E1989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left:0;text-align:left;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A1F2" w14:textId="3857397C" w:rsidR="00AC50EF" w:rsidRPr="00956F70" w:rsidRDefault="00AC50EF" w:rsidP="00956F7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E73F" w14:textId="44978C6D" w:rsidR="00020031" w:rsidRPr="00FF63D1" w:rsidRDefault="0002003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2B43" w14:textId="04F2FB1B" w:rsidR="00020031" w:rsidRPr="00FF63D1" w:rsidRDefault="00020031">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7583" w14:textId="1CE2D1CE" w:rsidR="00020031" w:rsidRPr="00FF63D1" w:rsidRDefault="000200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6AFFC" w14:textId="77777777" w:rsidR="0005436C" w:rsidRDefault="0005436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0E57" w14:textId="5BDE7D65" w:rsidR="00AC50EF" w:rsidRPr="00EB45EB" w:rsidRDefault="00AC50EF" w:rsidP="00EB45E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5AA7" w14:textId="77777777" w:rsidR="0005436C" w:rsidRDefault="0005436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9DA3" w14:textId="77777777" w:rsidR="0005436C" w:rsidRDefault="0005436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14D7" w14:textId="1172D8D7" w:rsidR="00AC50EF" w:rsidRPr="00EB45EB" w:rsidRDefault="00AC50EF" w:rsidP="00EB45E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0EBB" w14:textId="77777777" w:rsidR="0005436C" w:rsidRDefault="0005436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F133" w14:textId="77777777" w:rsidR="0005436C" w:rsidRDefault="0005436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905F" w14:textId="17C1BF2D" w:rsidR="008F2465" w:rsidRPr="0009576E" w:rsidRDefault="008F2465" w:rsidP="0009576E">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4174" w14:textId="77777777" w:rsidR="0005436C" w:rsidRDefault="0005436C">
    <w:pPr>
      <w:pStyle w:val="Header"/>
    </w:pPr>
  </w:p>
</w:hdr>
</file>

<file path=word/intelligence2.xml><?xml version="1.0" encoding="utf-8"?>
<int2:intelligence xmlns:int2="http://schemas.microsoft.com/office/intelligence/2020/intelligence" xmlns:oel="http://schemas.microsoft.com/office/2019/extlst">
  <int2:observations>
    <int2:textHash int2:hashCode="0df5Q3iVli9Mgn" int2:id="nIIf5bF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59A6"/>
    <w:multiLevelType w:val="hybridMultilevel"/>
    <w:tmpl w:val="77D236CC"/>
    <w:lvl w:ilvl="0" w:tplc="B3B6D648">
      <w:start w:val="1"/>
      <w:numFmt w:val="lowerLetter"/>
      <w:lvlText w:val="%1."/>
      <w:lvlJc w:val="left"/>
      <w:pPr>
        <w:ind w:left="1080" w:hanging="360"/>
      </w:pPr>
    </w:lvl>
    <w:lvl w:ilvl="1" w:tplc="276A70E0">
      <w:start w:val="1"/>
      <w:numFmt w:val="lowerLetter"/>
      <w:lvlText w:val="%2."/>
      <w:lvlJc w:val="left"/>
      <w:pPr>
        <w:ind w:left="1800" w:hanging="360"/>
      </w:pPr>
    </w:lvl>
    <w:lvl w:ilvl="2" w:tplc="C0308C0E">
      <w:start w:val="1"/>
      <w:numFmt w:val="lowerRoman"/>
      <w:lvlText w:val="%3."/>
      <w:lvlJc w:val="right"/>
      <w:pPr>
        <w:ind w:left="2520" w:hanging="180"/>
      </w:pPr>
    </w:lvl>
    <w:lvl w:ilvl="3" w:tplc="6F546684">
      <w:start w:val="1"/>
      <w:numFmt w:val="decimal"/>
      <w:lvlText w:val="%4."/>
      <w:lvlJc w:val="left"/>
      <w:pPr>
        <w:ind w:left="3240" w:hanging="360"/>
      </w:pPr>
    </w:lvl>
    <w:lvl w:ilvl="4" w:tplc="59AC87FE">
      <w:start w:val="1"/>
      <w:numFmt w:val="lowerLetter"/>
      <w:lvlText w:val="%5."/>
      <w:lvlJc w:val="left"/>
      <w:pPr>
        <w:ind w:left="3960" w:hanging="360"/>
      </w:pPr>
    </w:lvl>
    <w:lvl w:ilvl="5" w:tplc="C47A0DE2">
      <w:start w:val="1"/>
      <w:numFmt w:val="lowerRoman"/>
      <w:lvlText w:val="%6."/>
      <w:lvlJc w:val="right"/>
      <w:pPr>
        <w:ind w:left="4680" w:hanging="180"/>
      </w:pPr>
    </w:lvl>
    <w:lvl w:ilvl="6" w:tplc="D4369CBE">
      <w:start w:val="1"/>
      <w:numFmt w:val="decimal"/>
      <w:lvlText w:val="%7."/>
      <w:lvlJc w:val="left"/>
      <w:pPr>
        <w:ind w:left="5400" w:hanging="360"/>
      </w:pPr>
    </w:lvl>
    <w:lvl w:ilvl="7" w:tplc="AE2691E8">
      <w:start w:val="1"/>
      <w:numFmt w:val="lowerLetter"/>
      <w:lvlText w:val="%8."/>
      <w:lvlJc w:val="left"/>
      <w:pPr>
        <w:ind w:left="6120" w:hanging="360"/>
      </w:pPr>
    </w:lvl>
    <w:lvl w:ilvl="8" w:tplc="F2427ED2">
      <w:start w:val="1"/>
      <w:numFmt w:val="lowerRoman"/>
      <w:lvlText w:val="%9."/>
      <w:lvlJc w:val="right"/>
      <w:pPr>
        <w:ind w:left="6840" w:hanging="180"/>
      </w:pPr>
    </w:lvl>
  </w:abstractNum>
  <w:abstractNum w:abstractNumId="1" w15:restartNumberingAfterBreak="0">
    <w:nsid w:val="006548DD"/>
    <w:multiLevelType w:val="hybridMultilevel"/>
    <w:tmpl w:val="FFFFFFFF"/>
    <w:lvl w:ilvl="0" w:tplc="15CA68B2">
      <w:start w:val="1"/>
      <w:numFmt w:val="bullet"/>
      <w:lvlText w:val=""/>
      <w:lvlJc w:val="left"/>
      <w:pPr>
        <w:ind w:left="720" w:hanging="360"/>
      </w:pPr>
      <w:rPr>
        <w:rFonts w:ascii="Symbol" w:hAnsi="Symbol" w:hint="default"/>
      </w:rPr>
    </w:lvl>
    <w:lvl w:ilvl="1" w:tplc="D65ACAC8">
      <w:start w:val="1"/>
      <w:numFmt w:val="bullet"/>
      <w:lvlText w:val=""/>
      <w:lvlJc w:val="left"/>
      <w:pPr>
        <w:ind w:left="1440" w:hanging="360"/>
      </w:pPr>
      <w:rPr>
        <w:rFonts w:ascii="Symbol" w:hAnsi="Symbol" w:hint="default"/>
      </w:rPr>
    </w:lvl>
    <w:lvl w:ilvl="2" w:tplc="DE4A5150">
      <w:start w:val="1"/>
      <w:numFmt w:val="bullet"/>
      <w:lvlText w:val=""/>
      <w:lvlJc w:val="left"/>
      <w:pPr>
        <w:ind w:left="2160" w:hanging="360"/>
      </w:pPr>
      <w:rPr>
        <w:rFonts w:ascii="Wingdings" w:hAnsi="Wingdings" w:hint="default"/>
      </w:rPr>
    </w:lvl>
    <w:lvl w:ilvl="3" w:tplc="FD3CB494">
      <w:start w:val="1"/>
      <w:numFmt w:val="bullet"/>
      <w:lvlText w:val=""/>
      <w:lvlJc w:val="left"/>
      <w:pPr>
        <w:ind w:left="2880" w:hanging="360"/>
      </w:pPr>
      <w:rPr>
        <w:rFonts w:ascii="Symbol" w:hAnsi="Symbol" w:hint="default"/>
      </w:rPr>
    </w:lvl>
    <w:lvl w:ilvl="4" w:tplc="34B0A768">
      <w:start w:val="1"/>
      <w:numFmt w:val="bullet"/>
      <w:lvlText w:val="o"/>
      <w:lvlJc w:val="left"/>
      <w:pPr>
        <w:ind w:left="3600" w:hanging="360"/>
      </w:pPr>
      <w:rPr>
        <w:rFonts w:ascii="Courier New" w:hAnsi="Courier New" w:hint="default"/>
      </w:rPr>
    </w:lvl>
    <w:lvl w:ilvl="5" w:tplc="ACD8909C">
      <w:start w:val="1"/>
      <w:numFmt w:val="bullet"/>
      <w:lvlText w:val=""/>
      <w:lvlJc w:val="left"/>
      <w:pPr>
        <w:ind w:left="4320" w:hanging="360"/>
      </w:pPr>
      <w:rPr>
        <w:rFonts w:ascii="Wingdings" w:hAnsi="Wingdings" w:hint="default"/>
      </w:rPr>
    </w:lvl>
    <w:lvl w:ilvl="6" w:tplc="5C5EDF02">
      <w:start w:val="1"/>
      <w:numFmt w:val="bullet"/>
      <w:lvlText w:val=""/>
      <w:lvlJc w:val="left"/>
      <w:pPr>
        <w:ind w:left="5040" w:hanging="360"/>
      </w:pPr>
      <w:rPr>
        <w:rFonts w:ascii="Symbol" w:hAnsi="Symbol" w:hint="default"/>
      </w:rPr>
    </w:lvl>
    <w:lvl w:ilvl="7" w:tplc="D7186FD6">
      <w:start w:val="1"/>
      <w:numFmt w:val="bullet"/>
      <w:lvlText w:val="o"/>
      <w:lvlJc w:val="left"/>
      <w:pPr>
        <w:ind w:left="5760" w:hanging="360"/>
      </w:pPr>
      <w:rPr>
        <w:rFonts w:ascii="Courier New" w:hAnsi="Courier New" w:hint="default"/>
      </w:rPr>
    </w:lvl>
    <w:lvl w:ilvl="8" w:tplc="C4A8F318">
      <w:start w:val="1"/>
      <w:numFmt w:val="bullet"/>
      <w:lvlText w:val=""/>
      <w:lvlJc w:val="left"/>
      <w:pPr>
        <w:ind w:left="6480" w:hanging="360"/>
      </w:pPr>
      <w:rPr>
        <w:rFonts w:ascii="Wingdings" w:hAnsi="Wingdings" w:hint="default"/>
      </w:rPr>
    </w:lvl>
  </w:abstractNum>
  <w:abstractNum w:abstractNumId="2" w15:restartNumberingAfterBreak="0">
    <w:nsid w:val="00AF79A1"/>
    <w:multiLevelType w:val="hybridMultilevel"/>
    <w:tmpl w:val="8A14A8F6"/>
    <w:lvl w:ilvl="0" w:tplc="1809000F">
      <w:start w:val="1"/>
      <w:numFmt w:val="decimal"/>
      <w:lvlText w:val="%1."/>
      <w:lvlJc w:val="left"/>
      <w:pPr>
        <w:ind w:left="720" w:hanging="360"/>
      </w:pPr>
      <w:rPr>
        <w:rFonts w:eastAsia="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507DCB"/>
    <w:multiLevelType w:val="hybridMultilevel"/>
    <w:tmpl w:val="FFFFFFFF"/>
    <w:lvl w:ilvl="0" w:tplc="B262D02A">
      <w:start w:val="1"/>
      <w:numFmt w:val="bullet"/>
      <w:lvlText w:val=""/>
      <w:lvlJc w:val="left"/>
      <w:pPr>
        <w:ind w:left="720" w:hanging="360"/>
      </w:pPr>
      <w:rPr>
        <w:rFonts w:ascii="Symbol" w:hAnsi="Symbol" w:hint="default"/>
      </w:rPr>
    </w:lvl>
    <w:lvl w:ilvl="1" w:tplc="98D00CFE">
      <w:start w:val="1"/>
      <w:numFmt w:val="bullet"/>
      <w:lvlText w:val="o"/>
      <w:lvlJc w:val="left"/>
      <w:pPr>
        <w:ind w:left="1440" w:hanging="360"/>
      </w:pPr>
      <w:rPr>
        <w:rFonts w:ascii="Courier New" w:hAnsi="Courier New" w:hint="default"/>
      </w:rPr>
    </w:lvl>
    <w:lvl w:ilvl="2" w:tplc="EC24D87C">
      <w:start w:val="1"/>
      <w:numFmt w:val="bullet"/>
      <w:lvlText w:val=""/>
      <w:lvlJc w:val="left"/>
      <w:pPr>
        <w:ind w:left="2160" w:hanging="360"/>
      </w:pPr>
      <w:rPr>
        <w:rFonts w:ascii="Wingdings" w:hAnsi="Wingdings" w:hint="default"/>
      </w:rPr>
    </w:lvl>
    <w:lvl w:ilvl="3" w:tplc="84D67A28">
      <w:start w:val="1"/>
      <w:numFmt w:val="bullet"/>
      <w:lvlText w:val=""/>
      <w:lvlJc w:val="left"/>
      <w:pPr>
        <w:ind w:left="2880" w:hanging="360"/>
      </w:pPr>
      <w:rPr>
        <w:rFonts w:ascii="Symbol" w:hAnsi="Symbol" w:hint="default"/>
      </w:rPr>
    </w:lvl>
    <w:lvl w:ilvl="4" w:tplc="B044AE12">
      <w:start w:val="1"/>
      <w:numFmt w:val="bullet"/>
      <w:lvlText w:val="o"/>
      <w:lvlJc w:val="left"/>
      <w:pPr>
        <w:ind w:left="3600" w:hanging="360"/>
      </w:pPr>
      <w:rPr>
        <w:rFonts w:ascii="Courier New" w:hAnsi="Courier New" w:hint="default"/>
      </w:rPr>
    </w:lvl>
    <w:lvl w:ilvl="5" w:tplc="8D8A9056">
      <w:start w:val="1"/>
      <w:numFmt w:val="bullet"/>
      <w:lvlText w:val=""/>
      <w:lvlJc w:val="left"/>
      <w:pPr>
        <w:ind w:left="4320" w:hanging="360"/>
      </w:pPr>
      <w:rPr>
        <w:rFonts w:ascii="Wingdings" w:hAnsi="Wingdings" w:hint="default"/>
      </w:rPr>
    </w:lvl>
    <w:lvl w:ilvl="6" w:tplc="AE00DD96">
      <w:start w:val="1"/>
      <w:numFmt w:val="bullet"/>
      <w:lvlText w:val=""/>
      <w:lvlJc w:val="left"/>
      <w:pPr>
        <w:ind w:left="5040" w:hanging="360"/>
      </w:pPr>
      <w:rPr>
        <w:rFonts w:ascii="Symbol" w:hAnsi="Symbol" w:hint="default"/>
      </w:rPr>
    </w:lvl>
    <w:lvl w:ilvl="7" w:tplc="50E61158">
      <w:start w:val="1"/>
      <w:numFmt w:val="bullet"/>
      <w:lvlText w:val="o"/>
      <w:lvlJc w:val="left"/>
      <w:pPr>
        <w:ind w:left="5760" w:hanging="360"/>
      </w:pPr>
      <w:rPr>
        <w:rFonts w:ascii="Courier New" w:hAnsi="Courier New" w:hint="default"/>
      </w:rPr>
    </w:lvl>
    <w:lvl w:ilvl="8" w:tplc="C1AC9C34">
      <w:start w:val="1"/>
      <w:numFmt w:val="bullet"/>
      <w:lvlText w:val=""/>
      <w:lvlJc w:val="left"/>
      <w:pPr>
        <w:ind w:left="6480" w:hanging="360"/>
      </w:pPr>
      <w:rPr>
        <w:rFonts w:ascii="Wingdings" w:hAnsi="Wingdings" w:hint="default"/>
      </w:rPr>
    </w:lvl>
  </w:abstractNum>
  <w:abstractNum w:abstractNumId="4" w15:restartNumberingAfterBreak="0">
    <w:nsid w:val="01FC5AB3"/>
    <w:multiLevelType w:val="multilevel"/>
    <w:tmpl w:val="A3F6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B909C0"/>
    <w:multiLevelType w:val="hybridMultilevel"/>
    <w:tmpl w:val="FFFFFFFF"/>
    <w:lvl w:ilvl="0" w:tplc="E77E6FE2">
      <w:start w:val="1"/>
      <w:numFmt w:val="bullet"/>
      <w:lvlText w:val=""/>
      <w:lvlJc w:val="left"/>
      <w:pPr>
        <w:ind w:left="1080" w:hanging="360"/>
      </w:pPr>
      <w:rPr>
        <w:rFonts w:ascii="Symbol" w:hAnsi="Symbol" w:hint="default"/>
      </w:rPr>
    </w:lvl>
    <w:lvl w:ilvl="1" w:tplc="9C54CD6A">
      <w:start w:val="1"/>
      <w:numFmt w:val="bullet"/>
      <w:lvlText w:val="o"/>
      <w:lvlJc w:val="left"/>
      <w:pPr>
        <w:ind w:left="1800" w:hanging="360"/>
      </w:pPr>
      <w:rPr>
        <w:rFonts w:ascii="Courier New" w:hAnsi="Courier New" w:hint="default"/>
      </w:rPr>
    </w:lvl>
    <w:lvl w:ilvl="2" w:tplc="D97E6CCE">
      <w:start w:val="1"/>
      <w:numFmt w:val="bullet"/>
      <w:lvlText w:val=""/>
      <w:lvlJc w:val="left"/>
      <w:pPr>
        <w:ind w:left="2520" w:hanging="360"/>
      </w:pPr>
      <w:rPr>
        <w:rFonts w:ascii="Wingdings" w:hAnsi="Wingdings" w:hint="default"/>
      </w:rPr>
    </w:lvl>
    <w:lvl w:ilvl="3" w:tplc="7F206038">
      <w:start w:val="1"/>
      <w:numFmt w:val="bullet"/>
      <w:lvlText w:val=""/>
      <w:lvlJc w:val="left"/>
      <w:pPr>
        <w:ind w:left="3240" w:hanging="360"/>
      </w:pPr>
      <w:rPr>
        <w:rFonts w:ascii="Symbol" w:hAnsi="Symbol" w:hint="default"/>
      </w:rPr>
    </w:lvl>
    <w:lvl w:ilvl="4" w:tplc="AF64193C">
      <w:start w:val="1"/>
      <w:numFmt w:val="bullet"/>
      <w:lvlText w:val="o"/>
      <w:lvlJc w:val="left"/>
      <w:pPr>
        <w:ind w:left="3960" w:hanging="360"/>
      </w:pPr>
      <w:rPr>
        <w:rFonts w:ascii="Courier New" w:hAnsi="Courier New" w:hint="default"/>
      </w:rPr>
    </w:lvl>
    <w:lvl w:ilvl="5" w:tplc="8E805462">
      <w:start w:val="1"/>
      <w:numFmt w:val="bullet"/>
      <w:lvlText w:val=""/>
      <w:lvlJc w:val="left"/>
      <w:pPr>
        <w:ind w:left="4680" w:hanging="360"/>
      </w:pPr>
      <w:rPr>
        <w:rFonts w:ascii="Wingdings" w:hAnsi="Wingdings" w:hint="default"/>
      </w:rPr>
    </w:lvl>
    <w:lvl w:ilvl="6" w:tplc="9F7838FC">
      <w:start w:val="1"/>
      <w:numFmt w:val="bullet"/>
      <w:lvlText w:val=""/>
      <w:lvlJc w:val="left"/>
      <w:pPr>
        <w:ind w:left="5400" w:hanging="360"/>
      </w:pPr>
      <w:rPr>
        <w:rFonts w:ascii="Symbol" w:hAnsi="Symbol" w:hint="default"/>
      </w:rPr>
    </w:lvl>
    <w:lvl w:ilvl="7" w:tplc="7A10466A">
      <w:start w:val="1"/>
      <w:numFmt w:val="bullet"/>
      <w:lvlText w:val="o"/>
      <w:lvlJc w:val="left"/>
      <w:pPr>
        <w:ind w:left="6120" w:hanging="360"/>
      </w:pPr>
      <w:rPr>
        <w:rFonts w:ascii="Courier New" w:hAnsi="Courier New" w:hint="default"/>
      </w:rPr>
    </w:lvl>
    <w:lvl w:ilvl="8" w:tplc="B0AAD6D8">
      <w:start w:val="1"/>
      <w:numFmt w:val="bullet"/>
      <w:lvlText w:val=""/>
      <w:lvlJc w:val="left"/>
      <w:pPr>
        <w:ind w:left="6840" w:hanging="360"/>
      </w:pPr>
      <w:rPr>
        <w:rFonts w:ascii="Wingdings" w:hAnsi="Wingdings" w:hint="default"/>
      </w:rPr>
    </w:lvl>
  </w:abstractNum>
  <w:abstractNum w:abstractNumId="6" w15:restartNumberingAfterBreak="0">
    <w:nsid w:val="031B4C12"/>
    <w:multiLevelType w:val="hybridMultilevel"/>
    <w:tmpl w:val="10E4434E"/>
    <w:lvl w:ilvl="0" w:tplc="EA4CFF92">
      <w:start w:val="2"/>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03684DB5"/>
    <w:multiLevelType w:val="hybridMultilevel"/>
    <w:tmpl w:val="A8BE0D7A"/>
    <w:lvl w:ilvl="0" w:tplc="6396DEE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3C305AB"/>
    <w:multiLevelType w:val="hybridMultilevel"/>
    <w:tmpl w:val="D724345E"/>
    <w:lvl w:ilvl="0" w:tplc="C11842C4">
      <w:start w:val="100"/>
      <w:numFmt w:val="bullet"/>
      <w:lvlText w:val="-"/>
      <w:lvlJc w:val="left"/>
      <w:pPr>
        <w:ind w:left="1080" w:hanging="360"/>
      </w:pPr>
      <w:rPr>
        <w:rFonts w:ascii="Times New Roman" w:eastAsia="Times New Roman" w:hAnsi="Times New Roman" w:cs="Times New Roman" w:hint="default"/>
        <w:color w:val="000000" w:themeColor="text1"/>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03E15C42"/>
    <w:multiLevelType w:val="hybridMultilevel"/>
    <w:tmpl w:val="C896D28C"/>
    <w:lvl w:ilvl="0" w:tplc="E1B8F086">
      <w:start w:val="1"/>
      <w:numFmt w:val="decimal"/>
      <w:lvlText w:val="%1."/>
      <w:lvlJc w:val="left"/>
      <w:pPr>
        <w:ind w:left="720" w:hanging="360"/>
      </w:pPr>
    </w:lvl>
    <w:lvl w:ilvl="1" w:tplc="D6C0116A">
      <w:start w:val="1"/>
      <w:numFmt w:val="lowerLetter"/>
      <w:lvlText w:val="%2."/>
      <w:lvlJc w:val="left"/>
      <w:pPr>
        <w:ind w:left="1440" w:hanging="360"/>
      </w:pPr>
    </w:lvl>
    <w:lvl w:ilvl="2" w:tplc="7D56EE0C">
      <w:start w:val="1"/>
      <w:numFmt w:val="lowerRoman"/>
      <w:lvlText w:val="%3."/>
      <w:lvlJc w:val="right"/>
      <w:pPr>
        <w:ind w:left="2160" w:hanging="180"/>
      </w:pPr>
    </w:lvl>
    <w:lvl w:ilvl="3" w:tplc="D1DC73A6">
      <w:start w:val="1"/>
      <w:numFmt w:val="decimal"/>
      <w:lvlText w:val="%4."/>
      <w:lvlJc w:val="left"/>
      <w:pPr>
        <w:ind w:left="2880" w:hanging="360"/>
      </w:pPr>
    </w:lvl>
    <w:lvl w:ilvl="4" w:tplc="418607FC">
      <w:start w:val="1"/>
      <w:numFmt w:val="lowerLetter"/>
      <w:lvlText w:val="%5."/>
      <w:lvlJc w:val="left"/>
      <w:pPr>
        <w:ind w:left="3600" w:hanging="360"/>
      </w:pPr>
    </w:lvl>
    <w:lvl w:ilvl="5" w:tplc="B53C6572">
      <w:start w:val="1"/>
      <w:numFmt w:val="lowerRoman"/>
      <w:lvlText w:val="%6."/>
      <w:lvlJc w:val="right"/>
      <w:pPr>
        <w:ind w:left="4320" w:hanging="180"/>
      </w:pPr>
    </w:lvl>
    <w:lvl w:ilvl="6" w:tplc="5BBA73E0">
      <w:start w:val="1"/>
      <w:numFmt w:val="decimal"/>
      <w:lvlText w:val="%7."/>
      <w:lvlJc w:val="left"/>
      <w:pPr>
        <w:ind w:left="5040" w:hanging="360"/>
      </w:pPr>
    </w:lvl>
    <w:lvl w:ilvl="7" w:tplc="DB46C85E">
      <w:start w:val="1"/>
      <w:numFmt w:val="lowerLetter"/>
      <w:lvlText w:val="%8."/>
      <w:lvlJc w:val="left"/>
      <w:pPr>
        <w:ind w:left="5760" w:hanging="360"/>
      </w:pPr>
    </w:lvl>
    <w:lvl w:ilvl="8" w:tplc="7622990C">
      <w:start w:val="1"/>
      <w:numFmt w:val="lowerRoman"/>
      <w:lvlText w:val="%9."/>
      <w:lvlJc w:val="right"/>
      <w:pPr>
        <w:ind w:left="6480" w:hanging="180"/>
      </w:pPr>
    </w:lvl>
  </w:abstractNum>
  <w:abstractNum w:abstractNumId="10" w15:restartNumberingAfterBreak="0">
    <w:nsid w:val="03FD2FE2"/>
    <w:multiLevelType w:val="multilevel"/>
    <w:tmpl w:val="AD32E2EE"/>
    <w:lvl w:ilvl="0">
      <w:start w:val="1"/>
      <w:numFmt w:val="decimal"/>
      <w:lvlText w:val="%1."/>
      <w:lvlJc w:val="left"/>
      <w:pPr>
        <w:ind w:left="360" w:hanging="360"/>
      </w:pPr>
      <w:rPr>
        <w:rFonts w:hint="default"/>
      </w:rPr>
    </w:lvl>
    <w:lvl w:ilvl="1">
      <w:start w:val="1"/>
      <w:numFmt w:val="decimal"/>
      <w:lvlText w:val="%1.%2."/>
      <w:lvlJc w:val="left"/>
      <w:pPr>
        <w:ind w:left="716" w:hanging="432"/>
      </w:pPr>
      <w:rPr>
        <w:b/>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0E35AF"/>
    <w:multiLevelType w:val="multilevel"/>
    <w:tmpl w:val="BDC60EE8"/>
    <w:lvl w:ilvl="0">
      <w:start w:val="1"/>
      <w:numFmt w:val="bullet"/>
      <w:lvlText w:val=""/>
      <w:lvlJc w:val="left"/>
      <w:pPr>
        <w:tabs>
          <w:tab w:val="num" w:pos="360"/>
        </w:tabs>
        <w:ind w:left="360" w:hanging="360"/>
      </w:pPr>
      <w:rPr>
        <w:rFonts w:ascii="Symbol" w:hAnsi="Symbol" w:hint="default"/>
        <w:sz w:val="20"/>
      </w:rPr>
    </w:lvl>
    <w:lvl w:ilvl="1">
      <w:start w:val="3"/>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43213B4"/>
    <w:multiLevelType w:val="hybridMultilevel"/>
    <w:tmpl w:val="220EB3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5AE1922"/>
    <w:multiLevelType w:val="hybridMultilevel"/>
    <w:tmpl w:val="8B3052BE"/>
    <w:lvl w:ilvl="0" w:tplc="52A28A58">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4" w15:restartNumberingAfterBreak="0">
    <w:nsid w:val="06B737E6"/>
    <w:multiLevelType w:val="hybridMultilevel"/>
    <w:tmpl w:val="43CE9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06BF060F"/>
    <w:multiLevelType w:val="hybridMultilevel"/>
    <w:tmpl w:val="C1F8F4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07625C94"/>
    <w:multiLevelType w:val="hybridMultilevel"/>
    <w:tmpl w:val="C6040D1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7" w15:restartNumberingAfterBreak="0">
    <w:nsid w:val="07740BC0"/>
    <w:multiLevelType w:val="hybridMultilevel"/>
    <w:tmpl w:val="ED8EFC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07A02A03"/>
    <w:multiLevelType w:val="hybridMultilevel"/>
    <w:tmpl w:val="2640B51E"/>
    <w:lvl w:ilvl="0" w:tplc="AFB4340C">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07A57FE6"/>
    <w:multiLevelType w:val="hybridMultilevel"/>
    <w:tmpl w:val="9A44C8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07B14045"/>
    <w:multiLevelType w:val="hybridMultilevel"/>
    <w:tmpl w:val="689A3580"/>
    <w:lvl w:ilvl="0" w:tplc="382EBFFA">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07EC188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07F20CA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8B3E61E"/>
    <w:multiLevelType w:val="hybridMultilevel"/>
    <w:tmpl w:val="119CD5AE"/>
    <w:lvl w:ilvl="0" w:tplc="1BC01418">
      <w:start w:val="1"/>
      <w:numFmt w:val="bullet"/>
      <w:lvlText w:val=""/>
      <w:lvlJc w:val="left"/>
      <w:pPr>
        <w:ind w:left="720" w:hanging="360"/>
      </w:pPr>
      <w:rPr>
        <w:rFonts w:ascii="Symbol" w:hAnsi="Symbol" w:hint="default"/>
      </w:rPr>
    </w:lvl>
    <w:lvl w:ilvl="1" w:tplc="3A36AE02">
      <w:start w:val="1"/>
      <w:numFmt w:val="bullet"/>
      <w:lvlText w:val="o"/>
      <w:lvlJc w:val="left"/>
      <w:pPr>
        <w:ind w:left="1440" w:hanging="360"/>
      </w:pPr>
      <w:rPr>
        <w:rFonts w:ascii="Courier New" w:hAnsi="Courier New" w:hint="default"/>
      </w:rPr>
    </w:lvl>
    <w:lvl w:ilvl="2" w:tplc="2C88E4E4">
      <w:start w:val="1"/>
      <w:numFmt w:val="bullet"/>
      <w:lvlText w:val=""/>
      <w:lvlJc w:val="left"/>
      <w:pPr>
        <w:ind w:left="2160" w:hanging="360"/>
      </w:pPr>
      <w:rPr>
        <w:rFonts w:ascii="Wingdings" w:hAnsi="Wingdings" w:hint="default"/>
      </w:rPr>
    </w:lvl>
    <w:lvl w:ilvl="3" w:tplc="B4C44962">
      <w:start w:val="1"/>
      <w:numFmt w:val="bullet"/>
      <w:lvlText w:val=""/>
      <w:lvlJc w:val="left"/>
      <w:pPr>
        <w:ind w:left="2880" w:hanging="360"/>
      </w:pPr>
      <w:rPr>
        <w:rFonts w:ascii="Symbol" w:hAnsi="Symbol" w:hint="default"/>
      </w:rPr>
    </w:lvl>
    <w:lvl w:ilvl="4" w:tplc="B58C3CEC">
      <w:start w:val="1"/>
      <w:numFmt w:val="bullet"/>
      <w:lvlText w:val="o"/>
      <w:lvlJc w:val="left"/>
      <w:pPr>
        <w:ind w:left="3600" w:hanging="360"/>
      </w:pPr>
      <w:rPr>
        <w:rFonts w:ascii="Courier New" w:hAnsi="Courier New" w:hint="default"/>
      </w:rPr>
    </w:lvl>
    <w:lvl w:ilvl="5" w:tplc="ADCE48C0">
      <w:start w:val="1"/>
      <w:numFmt w:val="bullet"/>
      <w:lvlText w:val=""/>
      <w:lvlJc w:val="left"/>
      <w:pPr>
        <w:ind w:left="4320" w:hanging="360"/>
      </w:pPr>
      <w:rPr>
        <w:rFonts w:ascii="Wingdings" w:hAnsi="Wingdings" w:hint="default"/>
      </w:rPr>
    </w:lvl>
    <w:lvl w:ilvl="6" w:tplc="717636D0">
      <w:start w:val="1"/>
      <w:numFmt w:val="bullet"/>
      <w:lvlText w:val=""/>
      <w:lvlJc w:val="left"/>
      <w:pPr>
        <w:ind w:left="5040" w:hanging="360"/>
      </w:pPr>
      <w:rPr>
        <w:rFonts w:ascii="Symbol" w:hAnsi="Symbol" w:hint="default"/>
      </w:rPr>
    </w:lvl>
    <w:lvl w:ilvl="7" w:tplc="31A86B02">
      <w:start w:val="1"/>
      <w:numFmt w:val="bullet"/>
      <w:lvlText w:val="o"/>
      <w:lvlJc w:val="left"/>
      <w:pPr>
        <w:ind w:left="5760" w:hanging="360"/>
      </w:pPr>
      <w:rPr>
        <w:rFonts w:ascii="Courier New" w:hAnsi="Courier New" w:hint="default"/>
      </w:rPr>
    </w:lvl>
    <w:lvl w:ilvl="8" w:tplc="B0066C68">
      <w:start w:val="1"/>
      <w:numFmt w:val="bullet"/>
      <w:lvlText w:val=""/>
      <w:lvlJc w:val="left"/>
      <w:pPr>
        <w:ind w:left="6480" w:hanging="360"/>
      </w:pPr>
      <w:rPr>
        <w:rFonts w:ascii="Wingdings" w:hAnsi="Wingdings" w:hint="default"/>
      </w:rPr>
    </w:lvl>
  </w:abstractNum>
  <w:abstractNum w:abstractNumId="24" w15:restartNumberingAfterBreak="0">
    <w:nsid w:val="094673CB"/>
    <w:multiLevelType w:val="hybridMultilevel"/>
    <w:tmpl w:val="0C346250"/>
    <w:lvl w:ilvl="0" w:tplc="6130084C">
      <w:start w:val="1"/>
      <w:numFmt w:val="bullet"/>
      <w:lvlText w:val=""/>
      <w:lvlJc w:val="left"/>
      <w:pPr>
        <w:ind w:left="720" w:hanging="360"/>
      </w:pPr>
      <w:rPr>
        <w:rFonts w:ascii="Symbol" w:hAnsi="Symbol" w:hint="default"/>
      </w:rPr>
    </w:lvl>
    <w:lvl w:ilvl="1" w:tplc="AA76DD94" w:tentative="1">
      <w:start w:val="1"/>
      <w:numFmt w:val="bullet"/>
      <w:lvlText w:val="o"/>
      <w:lvlJc w:val="left"/>
      <w:pPr>
        <w:ind w:left="1440" w:hanging="360"/>
      </w:pPr>
      <w:rPr>
        <w:rFonts w:ascii="Courier New" w:hAnsi="Courier New" w:hint="default"/>
      </w:rPr>
    </w:lvl>
    <w:lvl w:ilvl="2" w:tplc="1D78D744" w:tentative="1">
      <w:start w:val="1"/>
      <w:numFmt w:val="bullet"/>
      <w:lvlText w:val=""/>
      <w:lvlJc w:val="left"/>
      <w:pPr>
        <w:ind w:left="2160" w:hanging="360"/>
      </w:pPr>
      <w:rPr>
        <w:rFonts w:ascii="Wingdings" w:hAnsi="Wingdings" w:hint="default"/>
      </w:rPr>
    </w:lvl>
    <w:lvl w:ilvl="3" w:tplc="0DD2B3F8" w:tentative="1">
      <w:start w:val="1"/>
      <w:numFmt w:val="bullet"/>
      <w:lvlText w:val=""/>
      <w:lvlJc w:val="left"/>
      <w:pPr>
        <w:ind w:left="2880" w:hanging="360"/>
      </w:pPr>
      <w:rPr>
        <w:rFonts w:ascii="Symbol" w:hAnsi="Symbol" w:hint="default"/>
      </w:rPr>
    </w:lvl>
    <w:lvl w:ilvl="4" w:tplc="9F04EADA" w:tentative="1">
      <w:start w:val="1"/>
      <w:numFmt w:val="bullet"/>
      <w:lvlText w:val="o"/>
      <w:lvlJc w:val="left"/>
      <w:pPr>
        <w:ind w:left="3600" w:hanging="360"/>
      </w:pPr>
      <w:rPr>
        <w:rFonts w:ascii="Courier New" w:hAnsi="Courier New" w:hint="default"/>
      </w:rPr>
    </w:lvl>
    <w:lvl w:ilvl="5" w:tplc="312A6DF8" w:tentative="1">
      <w:start w:val="1"/>
      <w:numFmt w:val="bullet"/>
      <w:lvlText w:val=""/>
      <w:lvlJc w:val="left"/>
      <w:pPr>
        <w:ind w:left="4320" w:hanging="360"/>
      </w:pPr>
      <w:rPr>
        <w:rFonts w:ascii="Wingdings" w:hAnsi="Wingdings" w:hint="default"/>
      </w:rPr>
    </w:lvl>
    <w:lvl w:ilvl="6" w:tplc="5B809BD4" w:tentative="1">
      <w:start w:val="1"/>
      <w:numFmt w:val="bullet"/>
      <w:lvlText w:val=""/>
      <w:lvlJc w:val="left"/>
      <w:pPr>
        <w:ind w:left="5040" w:hanging="360"/>
      </w:pPr>
      <w:rPr>
        <w:rFonts w:ascii="Symbol" w:hAnsi="Symbol" w:hint="default"/>
      </w:rPr>
    </w:lvl>
    <w:lvl w:ilvl="7" w:tplc="7ABE309E" w:tentative="1">
      <w:start w:val="1"/>
      <w:numFmt w:val="bullet"/>
      <w:lvlText w:val="o"/>
      <w:lvlJc w:val="left"/>
      <w:pPr>
        <w:ind w:left="5760" w:hanging="360"/>
      </w:pPr>
      <w:rPr>
        <w:rFonts w:ascii="Courier New" w:hAnsi="Courier New" w:hint="default"/>
      </w:rPr>
    </w:lvl>
    <w:lvl w:ilvl="8" w:tplc="92C294E0" w:tentative="1">
      <w:start w:val="1"/>
      <w:numFmt w:val="bullet"/>
      <w:lvlText w:val=""/>
      <w:lvlJc w:val="left"/>
      <w:pPr>
        <w:ind w:left="6480" w:hanging="360"/>
      </w:pPr>
      <w:rPr>
        <w:rFonts w:ascii="Wingdings" w:hAnsi="Wingdings" w:hint="default"/>
      </w:rPr>
    </w:lvl>
  </w:abstractNum>
  <w:abstractNum w:abstractNumId="25" w15:restartNumberingAfterBreak="0">
    <w:nsid w:val="097B71B9"/>
    <w:multiLevelType w:val="multilevel"/>
    <w:tmpl w:val="06DC62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ABB8B6C"/>
    <w:multiLevelType w:val="hybridMultilevel"/>
    <w:tmpl w:val="FFFFFFFF"/>
    <w:lvl w:ilvl="0" w:tplc="FA9E38F0">
      <w:start w:val="1"/>
      <w:numFmt w:val="bullet"/>
      <w:lvlText w:val=""/>
      <w:lvlJc w:val="left"/>
      <w:pPr>
        <w:ind w:left="720" w:hanging="360"/>
      </w:pPr>
      <w:rPr>
        <w:rFonts w:ascii="Symbol" w:hAnsi="Symbol" w:hint="default"/>
      </w:rPr>
    </w:lvl>
    <w:lvl w:ilvl="1" w:tplc="BBB4744C">
      <w:start w:val="1"/>
      <w:numFmt w:val="bullet"/>
      <w:lvlText w:val="o"/>
      <w:lvlJc w:val="left"/>
      <w:pPr>
        <w:ind w:left="1440" w:hanging="360"/>
      </w:pPr>
      <w:rPr>
        <w:rFonts w:ascii="Courier New" w:hAnsi="Courier New" w:hint="default"/>
      </w:rPr>
    </w:lvl>
    <w:lvl w:ilvl="2" w:tplc="1408E1E4">
      <w:start w:val="1"/>
      <w:numFmt w:val="bullet"/>
      <w:lvlText w:val=""/>
      <w:lvlJc w:val="left"/>
      <w:pPr>
        <w:ind w:left="2160" w:hanging="360"/>
      </w:pPr>
      <w:rPr>
        <w:rFonts w:ascii="Wingdings" w:hAnsi="Wingdings" w:hint="default"/>
      </w:rPr>
    </w:lvl>
    <w:lvl w:ilvl="3" w:tplc="9C94531C">
      <w:start w:val="1"/>
      <w:numFmt w:val="bullet"/>
      <w:lvlText w:val=""/>
      <w:lvlJc w:val="left"/>
      <w:pPr>
        <w:ind w:left="2880" w:hanging="360"/>
      </w:pPr>
      <w:rPr>
        <w:rFonts w:ascii="Symbol" w:hAnsi="Symbol" w:hint="default"/>
      </w:rPr>
    </w:lvl>
    <w:lvl w:ilvl="4" w:tplc="B4E41B3A">
      <w:start w:val="1"/>
      <w:numFmt w:val="bullet"/>
      <w:lvlText w:val="o"/>
      <w:lvlJc w:val="left"/>
      <w:pPr>
        <w:ind w:left="3600" w:hanging="360"/>
      </w:pPr>
      <w:rPr>
        <w:rFonts w:ascii="Courier New" w:hAnsi="Courier New" w:hint="default"/>
      </w:rPr>
    </w:lvl>
    <w:lvl w:ilvl="5" w:tplc="E66E87A2">
      <w:start w:val="1"/>
      <w:numFmt w:val="bullet"/>
      <w:lvlText w:val=""/>
      <w:lvlJc w:val="left"/>
      <w:pPr>
        <w:ind w:left="4320" w:hanging="360"/>
      </w:pPr>
      <w:rPr>
        <w:rFonts w:ascii="Wingdings" w:hAnsi="Wingdings" w:hint="default"/>
      </w:rPr>
    </w:lvl>
    <w:lvl w:ilvl="6" w:tplc="CD5AAEE2">
      <w:start w:val="1"/>
      <w:numFmt w:val="bullet"/>
      <w:lvlText w:val=""/>
      <w:lvlJc w:val="left"/>
      <w:pPr>
        <w:ind w:left="5040" w:hanging="360"/>
      </w:pPr>
      <w:rPr>
        <w:rFonts w:ascii="Symbol" w:hAnsi="Symbol" w:hint="default"/>
      </w:rPr>
    </w:lvl>
    <w:lvl w:ilvl="7" w:tplc="C898EBD4">
      <w:start w:val="1"/>
      <w:numFmt w:val="bullet"/>
      <w:lvlText w:val="o"/>
      <w:lvlJc w:val="left"/>
      <w:pPr>
        <w:ind w:left="5760" w:hanging="360"/>
      </w:pPr>
      <w:rPr>
        <w:rFonts w:ascii="Courier New" w:hAnsi="Courier New" w:hint="default"/>
      </w:rPr>
    </w:lvl>
    <w:lvl w:ilvl="8" w:tplc="D6BC7300">
      <w:start w:val="1"/>
      <w:numFmt w:val="bullet"/>
      <w:lvlText w:val=""/>
      <w:lvlJc w:val="left"/>
      <w:pPr>
        <w:ind w:left="6480" w:hanging="360"/>
      </w:pPr>
      <w:rPr>
        <w:rFonts w:ascii="Wingdings" w:hAnsi="Wingdings" w:hint="default"/>
      </w:rPr>
    </w:lvl>
  </w:abstractNum>
  <w:abstractNum w:abstractNumId="27" w15:restartNumberingAfterBreak="0">
    <w:nsid w:val="0CD5088D"/>
    <w:multiLevelType w:val="hybridMultilevel"/>
    <w:tmpl w:val="94CA9D4C"/>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0D162B29"/>
    <w:multiLevelType w:val="hybridMultilevel"/>
    <w:tmpl w:val="1C0C76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DB63638"/>
    <w:multiLevelType w:val="hybridMultilevel"/>
    <w:tmpl w:val="1A92C42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0DDC625B"/>
    <w:multiLevelType w:val="hybridMultilevel"/>
    <w:tmpl w:val="2C88AC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0E7C4AE2"/>
    <w:multiLevelType w:val="hybridMultilevel"/>
    <w:tmpl w:val="48B81836"/>
    <w:lvl w:ilvl="0" w:tplc="E9D891F8">
      <w:numFmt w:val="bullet"/>
      <w:lvlText w:val="-"/>
      <w:lvlJc w:val="left"/>
      <w:pPr>
        <w:ind w:left="720" w:hanging="360"/>
      </w:pPr>
      <w:rPr>
        <w:rFonts w:ascii="Times New Roman" w:eastAsia="Times New Roman" w:hAnsi="Times New Roman" w:cs="Times New Roman"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0E8DEA5F"/>
    <w:multiLevelType w:val="hybridMultilevel"/>
    <w:tmpl w:val="15DC11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0F8C10B1"/>
    <w:multiLevelType w:val="hybridMultilevel"/>
    <w:tmpl w:val="054A22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10856756"/>
    <w:multiLevelType w:val="hybridMultilevel"/>
    <w:tmpl w:val="8B060A70"/>
    <w:lvl w:ilvl="0" w:tplc="89EC9550">
      <w:start w:val="2"/>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1091491C"/>
    <w:multiLevelType w:val="hybridMultilevel"/>
    <w:tmpl w:val="8D8CD0F4"/>
    <w:lvl w:ilvl="0" w:tplc="CA96521C">
      <w:start w:val="1"/>
      <w:numFmt w:val="lowerRoman"/>
      <w:lvlText w:val="%1)"/>
      <w:lvlJc w:val="left"/>
      <w:pPr>
        <w:ind w:left="1080" w:hanging="72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11350D5D"/>
    <w:multiLevelType w:val="hybridMultilevel"/>
    <w:tmpl w:val="FFFFFFFF"/>
    <w:lvl w:ilvl="0" w:tplc="FAB8EB94">
      <w:start w:val="1"/>
      <w:numFmt w:val="bullet"/>
      <w:lvlText w:val=""/>
      <w:lvlJc w:val="left"/>
      <w:pPr>
        <w:ind w:left="720" w:hanging="360"/>
      </w:pPr>
      <w:rPr>
        <w:rFonts w:ascii="Symbol" w:hAnsi="Symbol" w:hint="default"/>
      </w:rPr>
    </w:lvl>
    <w:lvl w:ilvl="1" w:tplc="4FE6BC2A">
      <w:start w:val="1"/>
      <w:numFmt w:val="bullet"/>
      <w:lvlText w:val=""/>
      <w:lvlJc w:val="left"/>
      <w:pPr>
        <w:ind w:left="1440" w:hanging="360"/>
      </w:pPr>
      <w:rPr>
        <w:rFonts w:ascii="Symbol" w:hAnsi="Symbol" w:hint="default"/>
      </w:rPr>
    </w:lvl>
    <w:lvl w:ilvl="2" w:tplc="24985004">
      <w:start w:val="1"/>
      <w:numFmt w:val="bullet"/>
      <w:lvlText w:val=""/>
      <w:lvlJc w:val="left"/>
      <w:pPr>
        <w:ind w:left="2160" w:hanging="360"/>
      </w:pPr>
      <w:rPr>
        <w:rFonts w:ascii="Wingdings" w:hAnsi="Wingdings" w:hint="default"/>
      </w:rPr>
    </w:lvl>
    <w:lvl w:ilvl="3" w:tplc="34FE7D1A">
      <w:start w:val="1"/>
      <w:numFmt w:val="bullet"/>
      <w:lvlText w:val=""/>
      <w:lvlJc w:val="left"/>
      <w:pPr>
        <w:ind w:left="2880" w:hanging="360"/>
      </w:pPr>
      <w:rPr>
        <w:rFonts w:ascii="Symbol" w:hAnsi="Symbol" w:hint="default"/>
      </w:rPr>
    </w:lvl>
    <w:lvl w:ilvl="4" w:tplc="EF543118">
      <w:start w:val="1"/>
      <w:numFmt w:val="bullet"/>
      <w:lvlText w:val="o"/>
      <w:lvlJc w:val="left"/>
      <w:pPr>
        <w:ind w:left="3600" w:hanging="360"/>
      </w:pPr>
      <w:rPr>
        <w:rFonts w:ascii="Courier New" w:hAnsi="Courier New" w:hint="default"/>
      </w:rPr>
    </w:lvl>
    <w:lvl w:ilvl="5" w:tplc="B3B24ED0">
      <w:start w:val="1"/>
      <w:numFmt w:val="bullet"/>
      <w:lvlText w:val=""/>
      <w:lvlJc w:val="left"/>
      <w:pPr>
        <w:ind w:left="4320" w:hanging="360"/>
      </w:pPr>
      <w:rPr>
        <w:rFonts w:ascii="Wingdings" w:hAnsi="Wingdings" w:hint="default"/>
      </w:rPr>
    </w:lvl>
    <w:lvl w:ilvl="6" w:tplc="13922FC4">
      <w:start w:val="1"/>
      <w:numFmt w:val="bullet"/>
      <w:lvlText w:val=""/>
      <w:lvlJc w:val="left"/>
      <w:pPr>
        <w:ind w:left="5040" w:hanging="360"/>
      </w:pPr>
      <w:rPr>
        <w:rFonts w:ascii="Symbol" w:hAnsi="Symbol" w:hint="default"/>
      </w:rPr>
    </w:lvl>
    <w:lvl w:ilvl="7" w:tplc="FF92070C">
      <w:start w:val="1"/>
      <w:numFmt w:val="bullet"/>
      <w:lvlText w:val="o"/>
      <w:lvlJc w:val="left"/>
      <w:pPr>
        <w:ind w:left="5760" w:hanging="360"/>
      </w:pPr>
      <w:rPr>
        <w:rFonts w:ascii="Courier New" w:hAnsi="Courier New" w:hint="default"/>
      </w:rPr>
    </w:lvl>
    <w:lvl w:ilvl="8" w:tplc="B4F842E8">
      <w:start w:val="1"/>
      <w:numFmt w:val="bullet"/>
      <w:lvlText w:val=""/>
      <w:lvlJc w:val="left"/>
      <w:pPr>
        <w:ind w:left="6480" w:hanging="360"/>
      </w:pPr>
      <w:rPr>
        <w:rFonts w:ascii="Wingdings" w:hAnsi="Wingdings" w:hint="default"/>
      </w:rPr>
    </w:lvl>
  </w:abstractNum>
  <w:abstractNum w:abstractNumId="37" w15:restartNumberingAfterBreak="0">
    <w:nsid w:val="12C54C9C"/>
    <w:multiLevelType w:val="hybridMultilevel"/>
    <w:tmpl w:val="D8FA98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133212B5"/>
    <w:multiLevelType w:val="hybridMultilevel"/>
    <w:tmpl w:val="CEA058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13333BBC"/>
    <w:multiLevelType w:val="hybridMultilevel"/>
    <w:tmpl w:val="B0C868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155F008E"/>
    <w:multiLevelType w:val="multilevel"/>
    <w:tmpl w:val="D10AFFB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158552D0"/>
    <w:multiLevelType w:val="hybridMultilevel"/>
    <w:tmpl w:val="17FECB28"/>
    <w:lvl w:ilvl="0" w:tplc="918AD4A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1592289E"/>
    <w:multiLevelType w:val="hybridMultilevel"/>
    <w:tmpl w:val="19E492E2"/>
    <w:lvl w:ilvl="0" w:tplc="BFCEDCB8">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16586D61"/>
    <w:multiLevelType w:val="hybridMultilevel"/>
    <w:tmpl w:val="DCDA47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177F7003"/>
    <w:multiLevelType w:val="hybridMultilevel"/>
    <w:tmpl w:val="DBE8D57C"/>
    <w:lvl w:ilvl="0" w:tplc="B35EB526">
      <w:start w:val="1"/>
      <w:numFmt w:val="decimal"/>
      <w:lvlText w:val="[1]"/>
      <w:lvlJc w:val="left"/>
      <w:pPr>
        <w:ind w:left="720" w:hanging="360"/>
      </w:pPr>
    </w:lvl>
    <w:lvl w:ilvl="1" w:tplc="130C2EB8">
      <w:start w:val="1"/>
      <w:numFmt w:val="lowerLetter"/>
      <w:lvlText w:val="%2."/>
      <w:lvlJc w:val="left"/>
      <w:pPr>
        <w:ind w:left="1440" w:hanging="360"/>
      </w:pPr>
    </w:lvl>
    <w:lvl w:ilvl="2" w:tplc="C67AB3C8">
      <w:start w:val="1"/>
      <w:numFmt w:val="lowerRoman"/>
      <w:lvlText w:val="%3."/>
      <w:lvlJc w:val="right"/>
      <w:pPr>
        <w:ind w:left="2160" w:hanging="180"/>
      </w:pPr>
    </w:lvl>
    <w:lvl w:ilvl="3" w:tplc="72B4C97C">
      <w:start w:val="1"/>
      <w:numFmt w:val="decimal"/>
      <w:lvlText w:val="%4."/>
      <w:lvlJc w:val="left"/>
      <w:pPr>
        <w:ind w:left="2880" w:hanging="360"/>
      </w:pPr>
    </w:lvl>
    <w:lvl w:ilvl="4" w:tplc="0D0AAE50">
      <w:start w:val="1"/>
      <w:numFmt w:val="lowerLetter"/>
      <w:lvlText w:val="%5."/>
      <w:lvlJc w:val="left"/>
      <w:pPr>
        <w:ind w:left="3600" w:hanging="360"/>
      </w:pPr>
    </w:lvl>
    <w:lvl w:ilvl="5" w:tplc="CAFA795E">
      <w:start w:val="1"/>
      <w:numFmt w:val="lowerRoman"/>
      <w:lvlText w:val="%6."/>
      <w:lvlJc w:val="right"/>
      <w:pPr>
        <w:ind w:left="4320" w:hanging="180"/>
      </w:pPr>
    </w:lvl>
    <w:lvl w:ilvl="6" w:tplc="8E7EFF7E">
      <w:start w:val="1"/>
      <w:numFmt w:val="decimal"/>
      <w:lvlText w:val="%7."/>
      <w:lvlJc w:val="left"/>
      <w:pPr>
        <w:ind w:left="5040" w:hanging="360"/>
      </w:pPr>
    </w:lvl>
    <w:lvl w:ilvl="7" w:tplc="49A6C5D4">
      <w:start w:val="1"/>
      <w:numFmt w:val="lowerLetter"/>
      <w:lvlText w:val="%8."/>
      <w:lvlJc w:val="left"/>
      <w:pPr>
        <w:ind w:left="5760" w:hanging="360"/>
      </w:pPr>
    </w:lvl>
    <w:lvl w:ilvl="8" w:tplc="CCE4DCE8">
      <w:start w:val="1"/>
      <w:numFmt w:val="lowerRoman"/>
      <w:lvlText w:val="%9."/>
      <w:lvlJc w:val="right"/>
      <w:pPr>
        <w:ind w:left="6480" w:hanging="180"/>
      </w:pPr>
    </w:lvl>
  </w:abstractNum>
  <w:abstractNum w:abstractNumId="45" w15:restartNumberingAfterBreak="0">
    <w:nsid w:val="186C0D2B"/>
    <w:multiLevelType w:val="hybridMultilevel"/>
    <w:tmpl w:val="8B3052B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6" w15:restartNumberingAfterBreak="0">
    <w:nsid w:val="18EC468B"/>
    <w:multiLevelType w:val="hybridMultilevel"/>
    <w:tmpl w:val="F1E09E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192A172F"/>
    <w:multiLevelType w:val="hybridMultilevel"/>
    <w:tmpl w:val="6D62B9D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8" w15:restartNumberingAfterBreak="0">
    <w:nsid w:val="195D3480"/>
    <w:multiLevelType w:val="hybridMultilevel"/>
    <w:tmpl w:val="BE9E5D40"/>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9" w15:restartNumberingAfterBreak="0">
    <w:nsid w:val="1A4B5B83"/>
    <w:multiLevelType w:val="multilevel"/>
    <w:tmpl w:val="D36ECF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1A9865FC"/>
    <w:multiLevelType w:val="multilevel"/>
    <w:tmpl w:val="AD32E2EE"/>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1AFF6704"/>
    <w:multiLevelType w:val="hybridMultilevel"/>
    <w:tmpl w:val="A886CC90"/>
    <w:lvl w:ilvl="0" w:tplc="6396DEE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1B90484C"/>
    <w:multiLevelType w:val="hybridMultilevel"/>
    <w:tmpl w:val="5BB6B2BA"/>
    <w:lvl w:ilvl="0" w:tplc="03EE2522">
      <w:start w:val="1"/>
      <w:numFmt w:val="decimal"/>
      <w:lvlText w:val="[1]"/>
      <w:lvlJc w:val="left"/>
      <w:pPr>
        <w:ind w:left="720" w:hanging="360"/>
      </w:pPr>
    </w:lvl>
    <w:lvl w:ilvl="1" w:tplc="EAEABE70">
      <w:start w:val="1"/>
      <w:numFmt w:val="lowerLetter"/>
      <w:lvlText w:val="%2."/>
      <w:lvlJc w:val="left"/>
      <w:pPr>
        <w:ind w:left="1440" w:hanging="360"/>
      </w:pPr>
    </w:lvl>
    <w:lvl w:ilvl="2" w:tplc="59488C16">
      <w:start w:val="1"/>
      <w:numFmt w:val="lowerRoman"/>
      <w:lvlText w:val="%3."/>
      <w:lvlJc w:val="right"/>
      <w:pPr>
        <w:ind w:left="2160" w:hanging="180"/>
      </w:pPr>
    </w:lvl>
    <w:lvl w:ilvl="3" w:tplc="BD38BB54">
      <w:start w:val="1"/>
      <w:numFmt w:val="decimal"/>
      <w:lvlText w:val="%4."/>
      <w:lvlJc w:val="left"/>
      <w:pPr>
        <w:ind w:left="2880" w:hanging="360"/>
      </w:pPr>
    </w:lvl>
    <w:lvl w:ilvl="4" w:tplc="2AA09FAE">
      <w:start w:val="1"/>
      <w:numFmt w:val="lowerLetter"/>
      <w:lvlText w:val="%5."/>
      <w:lvlJc w:val="left"/>
      <w:pPr>
        <w:ind w:left="3600" w:hanging="360"/>
      </w:pPr>
    </w:lvl>
    <w:lvl w:ilvl="5" w:tplc="531CCCFC">
      <w:start w:val="1"/>
      <w:numFmt w:val="lowerRoman"/>
      <w:lvlText w:val="%6."/>
      <w:lvlJc w:val="right"/>
      <w:pPr>
        <w:ind w:left="4320" w:hanging="180"/>
      </w:pPr>
    </w:lvl>
    <w:lvl w:ilvl="6" w:tplc="62C0C522">
      <w:start w:val="1"/>
      <w:numFmt w:val="decimal"/>
      <w:lvlText w:val="%7."/>
      <w:lvlJc w:val="left"/>
      <w:pPr>
        <w:ind w:left="5040" w:hanging="360"/>
      </w:pPr>
    </w:lvl>
    <w:lvl w:ilvl="7" w:tplc="3B9E9AAE">
      <w:start w:val="1"/>
      <w:numFmt w:val="lowerLetter"/>
      <w:lvlText w:val="%8."/>
      <w:lvlJc w:val="left"/>
      <w:pPr>
        <w:ind w:left="5760" w:hanging="360"/>
      </w:pPr>
    </w:lvl>
    <w:lvl w:ilvl="8" w:tplc="6EE498A8">
      <w:start w:val="1"/>
      <w:numFmt w:val="lowerRoman"/>
      <w:lvlText w:val="%9."/>
      <w:lvlJc w:val="right"/>
      <w:pPr>
        <w:ind w:left="6480" w:hanging="180"/>
      </w:pPr>
    </w:lvl>
  </w:abstractNum>
  <w:abstractNum w:abstractNumId="53" w15:restartNumberingAfterBreak="0">
    <w:nsid w:val="1BAF8322"/>
    <w:multiLevelType w:val="hybridMultilevel"/>
    <w:tmpl w:val="FFFFFFFF"/>
    <w:lvl w:ilvl="0" w:tplc="CB724798">
      <w:start w:val="1"/>
      <w:numFmt w:val="bullet"/>
      <w:lvlText w:val=""/>
      <w:lvlJc w:val="left"/>
      <w:pPr>
        <w:ind w:left="720" w:hanging="360"/>
      </w:pPr>
      <w:rPr>
        <w:rFonts w:ascii="Symbol" w:hAnsi="Symbol" w:hint="default"/>
      </w:rPr>
    </w:lvl>
    <w:lvl w:ilvl="1" w:tplc="048CE274">
      <w:start w:val="1"/>
      <w:numFmt w:val="bullet"/>
      <w:lvlText w:val="o"/>
      <w:lvlJc w:val="left"/>
      <w:pPr>
        <w:ind w:left="1440" w:hanging="360"/>
      </w:pPr>
      <w:rPr>
        <w:rFonts w:ascii="Courier New" w:hAnsi="Courier New" w:hint="default"/>
      </w:rPr>
    </w:lvl>
    <w:lvl w:ilvl="2" w:tplc="01627472">
      <w:start w:val="1"/>
      <w:numFmt w:val="bullet"/>
      <w:lvlText w:val=""/>
      <w:lvlJc w:val="left"/>
      <w:pPr>
        <w:ind w:left="2160" w:hanging="360"/>
      </w:pPr>
      <w:rPr>
        <w:rFonts w:ascii="Wingdings" w:hAnsi="Wingdings" w:hint="default"/>
      </w:rPr>
    </w:lvl>
    <w:lvl w:ilvl="3" w:tplc="95F67496">
      <w:start w:val="1"/>
      <w:numFmt w:val="bullet"/>
      <w:lvlText w:val=""/>
      <w:lvlJc w:val="left"/>
      <w:pPr>
        <w:ind w:left="2880" w:hanging="360"/>
      </w:pPr>
      <w:rPr>
        <w:rFonts w:ascii="Symbol" w:hAnsi="Symbol" w:hint="default"/>
      </w:rPr>
    </w:lvl>
    <w:lvl w:ilvl="4" w:tplc="0BA042E4">
      <w:start w:val="1"/>
      <w:numFmt w:val="bullet"/>
      <w:lvlText w:val="o"/>
      <w:lvlJc w:val="left"/>
      <w:pPr>
        <w:ind w:left="3600" w:hanging="360"/>
      </w:pPr>
      <w:rPr>
        <w:rFonts w:ascii="Courier New" w:hAnsi="Courier New" w:hint="default"/>
      </w:rPr>
    </w:lvl>
    <w:lvl w:ilvl="5" w:tplc="82021EE8">
      <w:start w:val="1"/>
      <w:numFmt w:val="bullet"/>
      <w:lvlText w:val=""/>
      <w:lvlJc w:val="left"/>
      <w:pPr>
        <w:ind w:left="4320" w:hanging="360"/>
      </w:pPr>
      <w:rPr>
        <w:rFonts w:ascii="Wingdings" w:hAnsi="Wingdings" w:hint="default"/>
      </w:rPr>
    </w:lvl>
    <w:lvl w:ilvl="6" w:tplc="2B6889F2">
      <w:start w:val="1"/>
      <w:numFmt w:val="bullet"/>
      <w:lvlText w:val=""/>
      <w:lvlJc w:val="left"/>
      <w:pPr>
        <w:ind w:left="5040" w:hanging="360"/>
      </w:pPr>
      <w:rPr>
        <w:rFonts w:ascii="Symbol" w:hAnsi="Symbol" w:hint="default"/>
      </w:rPr>
    </w:lvl>
    <w:lvl w:ilvl="7" w:tplc="8670EBFA">
      <w:start w:val="1"/>
      <w:numFmt w:val="bullet"/>
      <w:lvlText w:val="o"/>
      <w:lvlJc w:val="left"/>
      <w:pPr>
        <w:ind w:left="5760" w:hanging="360"/>
      </w:pPr>
      <w:rPr>
        <w:rFonts w:ascii="Courier New" w:hAnsi="Courier New" w:hint="default"/>
      </w:rPr>
    </w:lvl>
    <w:lvl w:ilvl="8" w:tplc="89E6C37E">
      <w:start w:val="1"/>
      <w:numFmt w:val="bullet"/>
      <w:lvlText w:val=""/>
      <w:lvlJc w:val="left"/>
      <w:pPr>
        <w:ind w:left="6480" w:hanging="360"/>
      </w:pPr>
      <w:rPr>
        <w:rFonts w:ascii="Wingdings" w:hAnsi="Wingdings" w:hint="default"/>
      </w:rPr>
    </w:lvl>
  </w:abstractNum>
  <w:abstractNum w:abstractNumId="54" w15:restartNumberingAfterBreak="0">
    <w:nsid w:val="1BB47978"/>
    <w:multiLevelType w:val="multilevel"/>
    <w:tmpl w:val="90383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C760558"/>
    <w:multiLevelType w:val="hybridMultilevel"/>
    <w:tmpl w:val="85767C36"/>
    <w:lvl w:ilvl="0" w:tplc="A9D01DE8">
      <w:start w:val="1"/>
      <w:numFmt w:val="decimal"/>
      <w:lvlText w:val="%1."/>
      <w:lvlJc w:val="left"/>
      <w:pPr>
        <w:ind w:left="1020" w:hanging="360"/>
      </w:pPr>
    </w:lvl>
    <w:lvl w:ilvl="1" w:tplc="8CB0A8CC">
      <w:start w:val="1"/>
      <w:numFmt w:val="decimal"/>
      <w:lvlText w:val="%2."/>
      <w:lvlJc w:val="left"/>
      <w:pPr>
        <w:ind w:left="1020" w:hanging="360"/>
      </w:pPr>
    </w:lvl>
    <w:lvl w:ilvl="2" w:tplc="1114A798">
      <w:start w:val="1"/>
      <w:numFmt w:val="decimal"/>
      <w:lvlText w:val="%3."/>
      <w:lvlJc w:val="left"/>
      <w:pPr>
        <w:ind w:left="1020" w:hanging="360"/>
      </w:pPr>
    </w:lvl>
    <w:lvl w:ilvl="3" w:tplc="F45E7EC0">
      <w:start w:val="1"/>
      <w:numFmt w:val="decimal"/>
      <w:lvlText w:val="%4."/>
      <w:lvlJc w:val="left"/>
      <w:pPr>
        <w:ind w:left="1020" w:hanging="360"/>
      </w:pPr>
    </w:lvl>
    <w:lvl w:ilvl="4" w:tplc="1D70932A">
      <w:start w:val="1"/>
      <w:numFmt w:val="decimal"/>
      <w:lvlText w:val="%5."/>
      <w:lvlJc w:val="left"/>
      <w:pPr>
        <w:ind w:left="1020" w:hanging="360"/>
      </w:pPr>
    </w:lvl>
    <w:lvl w:ilvl="5" w:tplc="22F476B4">
      <w:start w:val="1"/>
      <w:numFmt w:val="decimal"/>
      <w:lvlText w:val="%6."/>
      <w:lvlJc w:val="left"/>
      <w:pPr>
        <w:ind w:left="1020" w:hanging="360"/>
      </w:pPr>
    </w:lvl>
    <w:lvl w:ilvl="6" w:tplc="4448F7AC">
      <w:start w:val="1"/>
      <w:numFmt w:val="decimal"/>
      <w:lvlText w:val="%7."/>
      <w:lvlJc w:val="left"/>
      <w:pPr>
        <w:ind w:left="1020" w:hanging="360"/>
      </w:pPr>
    </w:lvl>
    <w:lvl w:ilvl="7" w:tplc="2624AD3E">
      <w:start w:val="1"/>
      <w:numFmt w:val="decimal"/>
      <w:lvlText w:val="%8."/>
      <w:lvlJc w:val="left"/>
      <w:pPr>
        <w:ind w:left="1020" w:hanging="360"/>
      </w:pPr>
    </w:lvl>
    <w:lvl w:ilvl="8" w:tplc="A80C5572">
      <w:start w:val="1"/>
      <w:numFmt w:val="decimal"/>
      <w:lvlText w:val="%9."/>
      <w:lvlJc w:val="left"/>
      <w:pPr>
        <w:ind w:left="1020" w:hanging="360"/>
      </w:pPr>
    </w:lvl>
  </w:abstractNum>
  <w:abstractNum w:abstractNumId="56" w15:restartNumberingAfterBreak="0">
    <w:nsid w:val="1CD70E96"/>
    <w:multiLevelType w:val="hybridMultilevel"/>
    <w:tmpl w:val="9264A3C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7" w15:restartNumberingAfterBreak="0">
    <w:nsid w:val="1D020C43"/>
    <w:multiLevelType w:val="multilevel"/>
    <w:tmpl w:val="AD32E2EE"/>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1D296A08"/>
    <w:multiLevelType w:val="multilevel"/>
    <w:tmpl w:val="15E4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D7F48F2"/>
    <w:multiLevelType w:val="hybridMultilevel"/>
    <w:tmpl w:val="73E6CC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F1A58AD"/>
    <w:multiLevelType w:val="hybridMultilevel"/>
    <w:tmpl w:val="96BADE12"/>
    <w:lvl w:ilvl="0" w:tplc="ED208820">
      <w:start w:val="2"/>
      <w:numFmt w:val="decimal"/>
      <w:lvlText w:val="(%1)"/>
      <w:lvlJc w:val="left"/>
      <w:pPr>
        <w:ind w:left="720" w:hanging="360"/>
      </w:pPr>
      <w:rPr>
        <w:b/>
      </w:rPr>
    </w:lvl>
    <w:lvl w:ilvl="1" w:tplc="C09A7710" w:tentative="1">
      <w:start w:val="1"/>
      <w:numFmt w:val="lowerLetter"/>
      <w:lvlText w:val="%2."/>
      <w:lvlJc w:val="left"/>
      <w:pPr>
        <w:ind w:left="1440" w:hanging="360"/>
      </w:pPr>
    </w:lvl>
    <w:lvl w:ilvl="2" w:tplc="2ABA9618" w:tentative="1">
      <w:start w:val="1"/>
      <w:numFmt w:val="lowerRoman"/>
      <w:lvlText w:val="%3."/>
      <w:lvlJc w:val="right"/>
      <w:pPr>
        <w:ind w:left="2160" w:hanging="180"/>
      </w:pPr>
    </w:lvl>
    <w:lvl w:ilvl="3" w:tplc="BE6AA350" w:tentative="1">
      <w:start w:val="1"/>
      <w:numFmt w:val="decimal"/>
      <w:lvlText w:val="%4."/>
      <w:lvlJc w:val="left"/>
      <w:pPr>
        <w:ind w:left="2880" w:hanging="360"/>
      </w:pPr>
    </w:lvl>
    <w:lvl w:ilvl="4" w:tplc="C2D2741C" w:tentative="1">
      <w:start w:val="1"/>
      <w:numFmt w:val="lowerLetter"/>
      <w:lvlText w:val="%5."/>
      <w:lvlJc w:val="left"/>
      <w:pPr>
        <w:ind w:left="3600" w:hanging="360"/>
      </w:pPr>
    </w:lvl>
    <w:lvl w:ilvl="5" w:tplc="B796851C" w:tentative="1">
      <w:start w:val="1"/>
      <w:numFmt w:val="lowerRoman"/>
      <w:lvlText w:val="%6."/>
      <w:lvlJc w:val="right"/>
      <w:pPr>
        <w:ind w:left="4320" w:hanging="180"/>
      </w:pPr>
    </w:lvl>
    <w:lvl w:ilvl="6" w:tplc="ED84926E" w:tentative="1">
      <w:start w:val="1"/>
      <w:numFmt w:val="decimal"/>
      <w:lvlText w:val="%7."/>
      <w:lvlJc w:val="left"/>
      <w:pPr>
        <w:ind w:left="5040" w:hanging="360"/>
      </w:pPr>
    </w:lvl>
    <w:lvl w:ilvl="7" w:tplc="FDC891D6" w:tentative="1">
      <w:start w:val="1"/>
      <w:numFmt w:val="lowerLetter"/>
      <w:lvlText w:val="%8."/>
      <w:lvlJc w:val="left"/>
      <w:pPr>
        <w:ind w:left="5760" w:hanging="360"/>
      </w:pPr>
    </w:lvl>
    <w:lvl w:ilvl="8" w:tplc="581CB4DA" w:tentative="1">
      <w:start w:val="1"/>
      <w:numFmt w:val="lowerRoman"/>
      <w:lvlText w:val="%9."/>
      <w:lvlJc w:val="right"/>
      <w:pPr>
        <w:ind w:left="6480" w:hanging="180"/>
      </w:pPr>
    </w:lvl>
  </w:abstractNum>
  <w:abstractNum w:abstractNumId="61" w15:restartNumberingAfterBreak="0">
    <w:nsid w:val="1F360697"/>
    <w:multiLevelType w:val="hybridMultilevel"/>
    <w:tmpl w:val="E8FA67FE"/>
    <w:lvl w:ilvl="0" w:tplc="EEF82FC8">
      <w:start w:val="1"/>
      <w:numFmt w:val="bullet"/>
      <w:lvlText w:val=""/>
      <w:lvlJc w:val="left"/>
      <w:pPr>
        <w:ind w:left="1440" w:hanging="360"/>
      </w:pPr>
      <w:rPr>
        <w:rFonts w:ascii="Symbol" w:hAnsi="Symbol"/>
      </w:rPr>
    </w:lvl>
    <w:lvl w:ilvl="1" w:tplc="83000920">
      <w:start w:val="1"/>
      <w:numFmt w:val="bullet"/>
      <w:lvlText w:val=""/>
      <w:lvlJc w:val="left"/>
      <w:pPr>
        <w:ind w:left="1440" w:hanging="360"/>
      </w:pPr>
      <w:rPr>
        <w:rFonts w:ascii="Symbol" w:hAnsi="Symbol"/>
      </w:rPr>
    </w:lvl>
    <w:lvl w:ilvl="2" w:tplc="919222AA">
      <w:start w:val="1"/>
      <w:numFmt w:val="bullet"/>
      <w:lvlText w:val=""/>
      <w:lvlJc w:val="left"/>
      <w:pPr>
        <w:ind w:left="1440" w:hanging="360"/>
      </w:pPr>
      <w:rPr>
        <w:rFonts w:ascii="Symbol" w:hAnsi="Symbol"/>
      </w:rPr>
    </w:lvl>
    <w:lvl w:ilvl="3" w:tplc="3FAAB628">
      <w:start w:val="1"/>
      <w:numFmt w:val="bullet"/>
      <w:lvlText w:val=""/>
      <w:lvlJc w:val="left"/>
      <w:pPr>
        <w:ind w:left="1440" w:hanging="360"/>
      </w:pPr>
      <w:rPr>
        <w:rFonts w:ascii="Symbol" w:hAnsi="Symbol"/>
      </w:rPr>
    </w:lvl>
    <w:lvl w:ilvl="4" w:tplc="96D6F838">
      <w:start w:val="1"/>
      <w:numFmt w:val="bullet"/>
      <w:lvlText w:val=""/>
      <w:lvlJc w:val="left"/>
      <w:pPr>
        <w:ind w:left="1440" w:hanging="360"/>
      </w:pPr>
      <w:rPr>
        <w:rFonts w:ascii="Symbol" w:hAnsi="Symbol"/>
      </w:rPr>
    </w:lvl>
    <w:lvl w:ilvl="5" w:tplc="1572162C">
      <w:start w:val="1"/>
      <w:numFmt w:val="bullet"/>
      <w:lvlText w:val=""/>
      <w:lvlJc w:val="left"/>
      <w:pPr>
        <w:ind w:left="1440" w:hanging="360"/>
      </w:pPr>
      <w:rPr>
        <w:rFonts w:ascii="Symbol" w:hAnsi="Symbol"/>
      </w:rPr>
    </w:lvl>
    <w:lvl w:ilvl="6" w:tplc="E7F6498C">
      <w:start w:val="1"/>
      <w:numFmt w:val="bullet"/>
      <w:lvlText w:val=""/>
      <w:lvlJc w:val="left"/>
      <w:pPr>
        <w:ind w:left="1440" w:hanging="360"/>
      </w:pPr>
      <w:rPr>
        <w:rFonts w:ascii="Symbol" w:hAnsi="Symbol"/>
      </w:rPr>
    </w:lvl>
    <w:lvl w:ilvl="7" w:tplc="11D699C4">
      <w:start w:val="1"/>
      <w:numFmt w:val="bullet"/>
      <w:lvlText w:val=""/>
      <w:lvlJc w:val="left"/>
      <w:pPr>
        <w:ind w:left="1440" w:hanging="360"/>
      </w:pPr>
      <w:rPr>
        <w:rFonts w:ascii="Symbol" w:hAnsi="Symbol"/>
      </w:rPr>
    </w:lvl>
    <w:lvl w:ilvl="8" w:tplc="9020A972">
      <w:start w:val="1"/>
      <w:numFmt w:val="bullet"/>
      <w:lvlText w:val=""/>
      <w:lvlJc w:val="left"/>
      <w:pPr>
        <w:ind w:left="1440" w:hanging="360"/>
      </w:pPr>
      <w:rPr>
        <w:rFonts w:ascii="Symbol" w:hAnsi="Symbol"/>
      </w:rPr>
    </w:lvl>
  </w:abstractNum>
  <w:abstractNum w:abstractNumId="62" w15:restartNumberingAfterBreak="0">
    <w:nsid w:val="2037146E"/>
    <w:multiLevelType w:val="hybridMultilevel"/>
    <w:tmpl w:val="94144B5A"/>
    <w:lvl w:ilvl="0" w:tplc="18AAAE7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212F50BA"/>
    <w:multiLevelType w:val="multilevel"/>
    <w:tmpl w:val="AD32E2EE"/>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2159146E"/>
    <w:multiLevelType w:val="hybridMultilevel"/>
    <w:tmpl w:val="D0BEAD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21A437BA"/>
    <w:multiLevelType w:val="multilevel"/>
    <w:tmpl w:val="1BC6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1C6FC49"/>
    <w:multiLevelType w:val="hybridMultilevel"/>
    <w:tmpl w:val="89F6405A"/>
    <w:lvl w:ilvl="0" w:tplc="A4B0850E">
      <w:start w:val="1"/>
      <w:numFmt w:val="bullet"/>
      <w:lvlText w:val=""/>
      <w:lvlJc w:val="left"/>
      <w:pPr>
        <w:ind w:left="720" w:hanging="360"/>
      </w:pPr>
      <w:rPr>
        <w:rFonts w:ascii="Symbol" w:hAnsi="Symbol" w:hint="default"/>
      </w:rPr>
    </w:lvl>
    <w:lvl w:ilvl="1" w:tplc="D64A7854">
      <w:start w:val="1"/>
      <w:numFmt w:val="bullet"/>
      <w:lvlText w:val="o"/>
      <w:lvlJc w:val="left"/>
      <w:pPr>
        <w:ind w:left="1440" w:hanging="360"/>
      </w:pPr>
      <w:rPr>
        <w:rFonts w:ascii="Courier New" w:hAnsi="Courier New" w:hint="default"/>
      </w:rPr>
    </w:lvl>
    <w:lvl w:ilvl="2" w:tplc="955EC280">
      <w:start w:val="1"/>
      <w:numFmt w:val="bullet"/>
      <w:lvlText w:val=""/>
      <w:lvlJc w:val="left"/>
      <w:pPr>
        <w:ind w:left="2160" w:hanging="360"/>
      </w:pPr>
      <w:rPr>
        <w:rFonts w:ascii="Wingdings" w:hAnsi="Wingdings" w:hint="default"/>
      </w:rPr>
    </w:lvl>
    <w:lvl w:ilvl="3" w:tplc="2A1CF552">
      <w:start w:val="1"/>
      <w:numFmt w:val="bullet"/>
      <w:lvlText w:val=""/>
      <w:lvlJc w:val="left"/>
      <w:pPr>
        <w:ind w:left="2880" w:hanging="360"/>
      </w:pPr>
      <w:rPr>
        <w:rFonts w:ascii="Symbol" w:hAnsi="Symbol" w:hint="default"/>
      </w:rPr>
    </w:lvl>
    <w:lvl w:ilvl="4" w:tplc="EE942EF8">
      <w:start w:val="1"/>
      <w:numFmt w:val="bullet"/>
      <w:lvlText w:val="o"/>
      <w:lvlJc w:val="left"/>
      <w:pPr>
        <w:ind w:left="3600" w:hanging="360"/>
      </w:pPr>
      <w:rPr>
        <w:rFonts w:ascii="Courier New" w:hAnsi="Courier New" w:hint="default"/>
      </w:rPr>
    </w:lvl>
    <w:lvl w:ilvl="5" w:tplc="4DC608BE">
      <w:start w:val="1"/>
      <w:numFmt w:val="bullet"/>
      <w:lvlText w:val=""/>
      <w:lvlJc w:val="left"/>
      <w:pPr>
        <w:ind w:left="4320" w:hanging="360"/>
      </w:pPr>
      <w:rPr>
        <w:rFonts w:ascii="Wingdings" w:hAnsi="Wingdings" w:hint="default"/>
      </w:rPr>
    </w:lvl>
    <w:lvl w:ilvl="6" w:tplc="D8A0F250">
      <w:start w:val="1"/>
      <w:numFmt w:val="bullet"/>
      <w:lvlText w:val=""/>
      <w:lvlJc w:val="left"/>
      <w:pPr>
        <w:ind w:left="5040" w:hanging="360"/>
      </w:pPr>
      <w:rPr>
        <w:rFonts w:ascii="Symbol" w:hAnsi="Symbol" w:hint="default"/>
      </w:rPr>
    </w:lvl>
    <w:lvl w:ilvl="7" w:tplc="66287ACE">
      <w:start w:val="1"/>
      <w:numFmt w:val="bullet"/>
      <w:lvlText w:val="o"/>
      <w:lvlJc w:val="left"/>
      <w:pPr>
        <w:ind w:left="5760" w:hanging="360"/>
      </w:pPr>
      <w:rPr>
        <w:rFonts w:ascii="Courier New" w:hAnsi="Courier New" w:hint="default"/>
      </w:rPr>
    </w:lvl>
    <w:lvl w:ilvl="8" w:tplc="AA145320">
      <w:start w:val="1"/>
      <w:numFmt w:val="bullet"/>
      <w:lvlText w:val=""/>
      <w:lvlJc w:val="left"/>
      <w:pPr>
        <w:ind w:left="6480" w:hanging="360"/>
      </w:pPr>
      <w:rPr>
        <w:rFonts w:ascii="Wingdings" w:hAnsi="Wingdings" w:hint="default"/>
      </w:rPr>
    </w:lvl>
  </w:abstractNum>
  <w:abstractNum w:abstractNumId="67" w15:restartNumberingAfterBreak="0">
    <w:nsid w:val="220E37DD"/>
    <w:multiLevelType w:val="hybridMultilevel"/>
    <w:tmpl w:val="4E5807DA"/>
    <w:lvl w:ilvl="0" w:tplc="D97E778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22F126E3"/>
    <w:multiLevelType w:val="hybridMultilevel"/>
    <w:tmpl w:val="FFFFFFFF"/>
    <w:lvl w:ilvl="0" w:tplc="E2DCD09A">
      <w:start w:val="1"/>
      <w:numFmt w:val="bullet"/>
      <w:lvlText w:val=""/>
      <w:lvlJc w:val="left"/>
      <w:pPr>
        <w:ind w:left="720" w:hanging="360"/>
      </w:pPr>
      <w:rPr>
        <w:rFonts w:ascii="Symbol" w:hAnsi="Symbol" w:hint="default"/>
      </w:rPr>
    </w:lvl>
    <w:lvl w:ilvl="1" w:tplc="40349E32">
      <w:start w:val="1"/>
      <w:numFmt w:val="bullet"/>
      <w:lvlText w:val="o"/>
      <w:lvlJc w:val="left"/>
      <w:pPr>
        <w:ind w:left="1440" w:hanging="360"/>
      </w:pPr>
      <w:rPr>
        <w:rFonts w:ascii="Courier New" w:hAnsi="Courier New" w:hint="default"/>
      </w:rPr>
    </w:lvl>
    <w:lvl w:ilvl="2" w:tplc="4C3C2EFE">
      <w:start w:val="1"/>
      <w:numFmt w:val="bullet"/>
      <w:lvlText w:val=""/>
      <w:lvlJc w:val="left"/>
      <w:pPr>
        <w:ind w:left="2160" w:hanging="360"/>
      </w:pPr>
      <w:rPr>
        <w:rFonts w:ascii="Wingdings" w:hAnsi="Wingdings" w:hint="default"/>
      </w:rPr>
    </w:lvl>
    <w:lvl w:ilvl="3" w:tplc="49ACB60E">
      <w:start w:val="1"/>
      <w:numFmt w:val="bullet"/>
      <w:lvlText w:val=""/>
      <w:lvlJc w:val="left"/>
      <w:pPr>
        <w:ind w:left="2880" w:hanging="360"/>
      </w:pPr>
      <w:rPr>
        <w:rFonts w:ascii="Symbol" w:hAnsi="Symbol" w:hint="default"/>
      </w:rPr>
    </w:lvl>
    <w:lvl w:ilvl="4" w:tplc="C8143640">
      <w:start w:val="1"/>
      <w:numFmt w:val="bullet"/>
      <w:lvlText w:val="o"/>
      <w:lvlJc w:val="left"/>
      <w:pPr>
        <w:ind w:left="3600" w:hanging="360"/>
      </w:pPr>
      <w:rPr>
        <w:rFonts w:ascii="Courier New" w:hAnsi="Courier New" w:hint="default"/>
      </w:rPr>
    </w:lvl>
    <w:lvl w:ilvl="5" w:tplc="AF26F2E2">
      <w:start w:val="1"/>
      <w:numFmt w:val="bullet"/>
      <w:lvlText w:val=""/>
      <w:lvlJc w:val="left"/>
      <w:pPr>
        <w:ind w:left="4320" w:hanging="360"/>
      </w:pPr>
      <w:rPr>
        <w:rFonts w:ascii="Wingdings" w:hAnsi="Wingdings" w:hint="default"/>
      </w:rPr>
    </w:lvl>
    <w:lvl w:ilvl="6" w:tplc="491E6F20">
      <w:start w:val="1"/>
      <w:numFmt w:val="bullet"/>
      <w:lvlText w:val=""/>
      <w:lvlJc w:val="left"/>
      <w:pPr>
        <w:ind w:left="5040" w:hanging="360"/>
      </w:pPr>
      <w:rPr>
        <w:rFonts w:ascii="Symbol" w:hAnsi="Symbol" w:hint="default"/>
      </w:rPr>
    </w:lvl>
    <w:lvl w:ilvl="7" w:tplc="95DA45C8">
      <w:start w:val="1"/>
      <w:numFmt w:val="bullet"/>
      <w:lvlText w:val="o"/>
      <w:lvlJc w:val="left"/>
      <w:pPr>
        <w:ind w:left="5760" w:hanging="360"/>
      </w:pPr>
      <w:rPr>
        <w:rFonts w:ascii="Courier New" w:hAnsi="Courier New" w:hint="default"/>
      </w:rPr>
    </w:lvl>
    <w:lvl w:ilvl="8" w:tplc="58844EEA">
      <w:start w:val="1"/>
      <w:numFmt w:val="bullet"/>
      <w:lvlText w:val=""/>
      <w:lvlJc w:val="left"/>
      <w:pPr>
        <w:ind w:left="6480" w:hanging="360"/>
      </w:pPr>
      <w:rPr>
        <w:rFonts w:ascii="Wingdings" w:hAnsi="Wingdings" w:hint="default"/>
      </w:rPr>
    </w:lvl>
  </w:abstractNum>
  <w:abstractNum w:abstractNumId="69" w15:restartNumberingAfterBreak="0">
    <w:nsid w:val="24336853"/>
    <w:multiLevelType w:val="hybridMultilevel"/>
    <w:tmpl w:val="EEA0F1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25457B6A"/>
    <w:multiLevelType w:val="multilevel"/>
    <w:tmpl w:val="C1E6455A"/>
    <w:lvl w:ilvl="0">
      <w:start w:val="1"/>
      <w:numFmt w:val="decimal"/>
      <w:pStyle w:val="Style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1" w15:restartNumberingAfterBreak="0">
    <w:nsid w:val="2548745E"/>
    <w:multiLevelType w:val="hybridMultilevel"/>
    <w:tmpl w:val="E8E42DC4"/>
    <w:lvl w:ilvl="0" w:tplc="7B9E032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25BF3A8B"/>
    <w:multiLevelType w:val="hybridMultilevel"/>
    <w:tmpl w:val="4016E3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3" w15:restartNumberingAfterBreak="0">
    <w:nsid w:val="284B7A0F"/>
    <w:multiLevelType w:val="hybridMultilevel"/>
    <w:tmpl w:val="E2928D80"/>
    <w:lvl w:ilvl="0" w:tplc="E9D891F8">
      <w:numFmt w:val="bullet"/>
      <w:lvlText w:val="-"/>
      <w:lvlJc w:val="left"/>
      <w:pPr>
        <w:ind w:left="1571" w:hanging="360"/>
      </w:pPr>
      <w:rPr>
        <w:rFonts w:ascii="Times New Roman" w:eastAsia="Times New Roman" w:hAnsi="Times New Roman" w:cs="Times New Roman" w:hint="default"/>
        <w:sz w:val="22"/>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4" w15:restartNumberingAfterBreak="0">
    <w:nsid w:val="28587BB7"/>
    <w:multiLevelType w:val="multilevel"/>
    <w:tmpl w:val="F2E618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85D78A6"/>
    <w:multiLevelType w:val="hybridMultilevel"/>
    <w:tmpl w:val="FFFFFFFF"/>
    <w:lvl w:ilvl="0" w:tplc="DF402698">
      <w:start w:val="1"/>
      <w:numFmt w:val="bullet"/>
      <w:lvlText w:val=""/>
      <w:lvlJc w:val="left"/>
      <w:pPr>
        <w:ind w:left="720" w:hanging="360"/>
      </w:pPr>
      <w:rPr>
        <w:rFonts w:ascii="Symbol" w:hAnsi="Symbol" w:hint="default"/>
      </w:rPr>
    </w:lvl>
    <w:lvl w:ilvl="1" w:tplc="227076CA">
      <w:start w:val="1"/>
      <w:numFmt w:val="bullet"/>
      <w:lvlText w:val="o"/>
      <w:lvlJc w:val="left"/>
      <w:pPr>
        <w:ind w:left="1440" w:hanging="360"/>
      </w:pPr>
      <w:rPr>
        <w:rFonts w:ascii="Courier New" w:hAnsi="Courier New" w:hint="default"/>
      </w:rPr>
    </w:lvl>
    <w:lvl w:ilvl="2" w:tplc="9BC69E50">
      <w:start w:val="1"/>
      <w:numFmt w:val="bullet"/>
      <w:lvlText w:val=""/>
      <w:lvlJc w:val="left"/>
      <w:pPr>
        <w:ind w:left="2160" w:hanging="360"/>
      </w:pPr>
      <w:rPr>
        <w:rFonts w:ascii="Wingdings" w:hAnsi="Wingdings" w:hint="default"/>
      </w:rPr>
    </w:lvl>
    <w:lvl w:ilvl="3" w:tplc="FF82EAEA">
      <w:start w:val="1"/>
      <w:numFmt w:val="bullet"/>
      <w:lvlText w:val=""/>
      <w:lvlJc w:val="left"/>
      <w:pPr>
        <w:ind w:left="2880" w:hanging="360"/>
      </w:pPr>
      <w:rPr>
        <w:rFonts w:ascii="Symbol" w:hAnsi="Symbol" w:hint="default"/>
      </w:rPr>
    </w:lvl>
    <w:lvl w:ilvl="4" w:tplc="CA7E0184">
      <w:start w:val="1"/>
      <w:numFmt w:val="bullet"/>
      <w:lvlText w:val="o"/>
      <w:lvlJc w:val="left"/>
      <w:pPr>
        <w:ind w:left="3600" w:hanging="360"/>
      </w:pPr>
      <w:rPr>
        <w:rFonts w:ascii="Courier New" w:hAnsi="Courier New" w:hint="default"/>
      </w:rPr>
    </w:lvl>
    <w:lvl w:ilvl="5" w:tplc="9C841630">
      <w:start w:val="1"/>
      <w:numFmt w:val="bullet"/>
      <w:lvlText w:val=""/>
      <w:lvlJc w:val="left"/>
      <w:pPr>
        <w:ind w:left="4320" w:hanging="360"/>
      </w:pPr>
      <w:rPr>
        <w:rFonts w:ascii="Wingdings" w:hAnsi="Wingdings" w:hint="default"/>
      </w:rPr>
    </w:lvl>
    <w:lvl w:ilvl="6" w:tplc="9A8426E2">
      <w:start w:val="1"/>
      <w:numFmt w:val="bullet"/>
      <w:lvlText w:val=""/>
      <w:lvlJc w:val="left"/>
      <w:pPr>
        <w:ind w:left="5040" w:hanging="360"/>
      </w:pPr>
      <w:rPr>
        <w:rFonts w:ascii="Symbol" w:hAnsi="Symbol" w:hint="default"/>
      </w:rPr>
    </w:lvl>
    <w:lvl w:ilvl="7" w:tplc="14788E64">
      <w:start w:val="1"/>
      <w:numFmt w:val="bullet"/>
      <w:lvlText w:val="o"/>
      <w:lvlJc w:val="left"/>
      <w:pPr>
        <w:ind w:left="5760" w:hanging="360"/>
      </w:pPr>
      <w:rPr>
        <w:rFonts w:ascii="Courier New" w:hAnsi="Courier New" w:hint="default"/>
      </w:rPr>
    </w:lvl>
    <w:lvl w:ilvl="8" w:tplc="15689D98">
      <w:start w:val="1"/>
      <w:numFmt w:val="bullet"/>
      <w:lvlText w:val=""/>
      <w:lvlJc w:val="left"/>
      <w:pPr>
        <w:ind w:left="6480" w:hanging="360"/>
      </w:pPr>
      <w:rPr>
        <w:rFonts w:ascii="Wingdings" w:hAnsi="Wingdings" w:hint="default"/>
      </w:rPr>
    </w:lvl>
  </w:abstractNum>
  <w:abstractNum w:abstractNumId="76" w15:restartNumberingAfterBreak="0">
    <w:nsid w:val="28A91A20"/>
    <w:multiLevelType w:val="hybridMultilevel"/>
    <w:tmpl w:val="9E661AE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28C7275C"/>
    <w:multiLevelType w:val="hybridMultilevel"/>
    <w:tmpl w:val="6312144A"/>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8" w15:restartNumberingAfterBreak="0">
    <w:nsid w:val="29F261D5"/>
    <w:multiLevelType w:val="hybridMultilevel"/>
    <w:tmpl w:val="CAF834EC"/>
    <w:lvl w:ilvl="0" w:tplc="89EC9550">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2AED0440"/>
    <w:multiLevelType w:val="hybridMultilevel"/>
    <w:tmpl w:val="96F259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2AFE7E53"/>
    <w:multiLevelType w:val="hybridMultilevel"/>
    <w:tmpl w:val="0F128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2B1B6312"/>
    <w:multiLevelType w:val="multilevel"/>
    <w:tmpl w:val="C95678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2B8B2BED"/>
    <w:multiLevelType w:val="hybridMultilevel"/>
    <w:tmpl w:val="9ABA65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2C68509B"/>
    <w:multiLevelType w:val="multilevel"/>
    <w:tmpl w:val="459825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C8B1E9F"/>
    <w:multiLevelType w:val="hybridMultilevel"/>
    <w:tmpl w:val="6BAE8334"/>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2CDC6A3B"/>
    <w:multiLevelType w:val="hybridMultilevel"/>
    <w:tmpl w:val="1C2AFF02"/>
    <w:lvl w:ilvl="0" w:tplc="A8706A56">
      <w:start w:val="1"/>
      <w:numFmt w:val="decimal"/>
      <w:lvlText w:val="[1]"/>
      <w:lvlJc w:val="left"/>
      <w:pPr>
        <w:ind w:left="720" w:hanging="360"/>
      </w:pPr>
    </w:lvl>
    <w:lvl w:ilvl="1" w:tplc="D96EDA34">
      <w:start w:val="1"/>
      <w:numFmt w:val="lowerLetter"/>
      <w:lvlText w:val="%2."/>
      <w:lvlJc w:val="left"/>
      <w:pPr>
        <w:ind w:left="1440" w:hanging="360"/>
      </w:pPr>
    </w:lvl>
    <w:lvl w:ilvl="2" w:tplc="9D1012FC">
      <w:start w:val="1"/>
      <w:numFmt w:val="lowerRoman"/>
      <w:lvlText w:val="%3."/>
      <w:lvlJc w:val="right"/>
      <w:pPr>
        <w:ind w:left="2160" w:hanging="180"/>
      </w:pPr>
    </w:lvl>
    <w:lvl w:ilvl="3" w:tplc="D416F992">
      <w:start w:val="1"/>
      <w:numFmt w:val="decimal"/>
      <w:lvlText w:val="%4."/>
      <w:lvlJc w:val="left"/>
      <w:pPr>
        <w:ind w:left="2880" w:hanging="360"/>
      </w:pPr>
    </w:lvl>
    <w:lvl w:ilvl="4" w:tplc="DC1A4AD8">
      <w:start w:val="1"/>
      <w:numFmt w:val="lowerLetter"/>
      <w:lvlText w:val="%5."/>
      <w:lvlJc w:val="left"/>
      <w:pPr>
        <w:ind w:left="3600" w:hanging="360"/>
      </w:pPr>
    </w:lvl>
    <w:lvl w:ilvl="5" w:tplc="CFBE4C42">
      <w:start w:val="1"/>
      <w:numFmt w:val="lowerRoman"/>
      <w:lvlText w:val="%6."/>
      <w:lvlJc w:val="right"/>
      <w:pPr>
        <w:ind w:left="4320" w:hanging="180"/>
      </w:pPr>
    </w:lvl>
    <w:lvl w:ilvl="6" w:tplc="ECE81E90">
      <w:start w:val="1"/>
      <w:numFmt w:val="decimal"/>
      <w:lvlText w:val="%7."/>
      <w:lvlJc w:val="left"/>
      <w:pPr>
        <w:ind w:left="5040" w:hanging="360"/>
      </w:pPr>
    </w:lvl>
    <w:lvl w:ilvl="7" w:tplc="FBE880FE">
      <w:start w:val="1"/>
      <w:numFmt w:val="lowerLetter"/>
      <w:lvlText w:val="%8."/>
      <w:lvlJc w:val="left"/>
      <w:pPr>
        <w:ind w:left="5760" w:hanging="360"/>
      </w:pPr>
    </w:lvl>
    <w:lvl w:ilvl="8" w:tplc="07861F88">
      <w:start w:val="1"/>
      <w:numFmt w:val="lowerRoman"/>
      <w:lvlText w:val="%9."/>
      <w:lvlJc w:val="right"/>
      <w:pPr>
        <w:ind w:left="6480" w:hanging="180"/>
      </w:pPr>
    </w:lvl>
  </w:abstractNum>
  <w:abstractNum w:abstractNumId="86" w15:restartNumberingAfterBreak="0">
    <w:nsid w:val="2D3B6786"/>
    <w:multiLevelType w:val="hybridMultilevel"/>
    <w:tmpl w:val="1D64D60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2D4F7095"/>
    <w:multiLevelType w:val="hybridMultilevel"/>
    <w:tmpl w:val="AFC478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2D91571B"/>
    <w:multiLevelType w:val="hybridMultilevel"/>
    <w:tmpl w:val="CBB8CC92"/>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2D9D682E"/>
    <w:multiLevelType w:val="hybridMultilevel"/>
    <w:tmpl w:val="5CC8BFE2"/>
    <w:lvl w:ilvl="0" w:tplc="D0F86FD4">
      <w:start w:val="1"/>
      <w:numFmt w:val="bullet"/>
      <w:lvlText w:val="-"/>
      <w:lvlJc w:val="left"/>
      <w:pPr>
        <w:ind w:left="720" w:hanging="360"/>
      </w:pPr>
      <w:rPr>
        <w:rFonts w:ascii="Aptos" w:hAnsi="Aptos" w:hint="default"/>
      </w:rPr>
    </w:lvl>
    <w:lvl w:ilvl="1" w:tplc="8252E824">
      <w:start w:val="1"/>
      <w:numFmt w:val="bullet"/>
      <w:lvlText w:val="o"/>
      <w:lvlJc w:val="left"/>
      <w:pPr>
        <w:ind w:left="1440" w:hanging="360"/>
      </w:pPr>
      <w:rPr>
        <w:rFonts w:ascii="Courier New" w:hAnsi="Courier New" w:hint="default"/>
      </w:rPr>
    </w:lvl>
    <w:lvl w:ilvl="2" w:tplc="70D893DE">
      <w:start w:val="1"/>
      <w:numFmt w:val="bullet"/>
      <w:lvlText w:val=""/>
      <w:lvlJc w:val="left"/>
      <w:pPr>
        <w:ind w:left="2160" w:hanging="360"/>
      </w:pPr>
      <w:rPr>
        <w:rFonts w:ascii="Wingdings" w:hAnsi="Wingdings" w:hint="default"/>
      </w:rPr>
    </w:lvl>
    <w:lvl w:ilvl="3" w:tplc="53660282">
      <w:start w:val="1"/>
      <w:numFmt w:val="bullet"/>
      <w:lvlText w:val=""/>
      <w:lvlJc w:val="left"/>
      <w:pPr>
        <w:ind w:left="2880" w:hanging="360"/>
      </w:pPr>
      <w:rPr>
        <w:rFonts w:ascii="Symbol" w:hAnsi="Symbol" w:hint="default"/>
      </w:rPr>
    </w:lvl>
    <w:lvl w:ilvl="4" w:tplc="737E3A0E">
      <w:start w:val="1"/>
      <w:numFmt w:val="bullet"/>
      <w:lvlText w:val="o"/>
      <w:lvlJc w:val="left"/>
      <w:pPr>
        <w:ind w:left="3600" w:hanging="360"/>
      </w:pPr>
      <w:rPr>
        <w:rFonts w:ascii="Courier New" w:hAnsi="Courier New" w:hint="default"/>
      </w:rPr>
    </w:lvl>
    <w:lvl w:ilvl="5" w:tplc="76062820">
      <w:start w:val="1"/>
      <w:numFmt w:val="bullet"/>
      <w:lvlText w:val=""/>
      <w:lvlJc w:val="left"/>
      <w:pPr>
        <w:ind w:left="4320" w:hanging="360"/>
      </w:pPr>
      <w:rPr>
        <w:rFonts w:ascii="Wingdings" w:hAnsi="Wingdings" w:hint="default"/>
      </w:rPr>
    </w:lvl>
    <w:lvl w:ilvl="6" w:tplc="A4BA1BF8">
      <w:start w:val="1"/>
      <w:numFmt w:val="bullet"/>
      <w:lvlText w:val=""/>
      <w:lvlJc w:val="left"/>
      <w:pPr>
        <w:ind w:left="5040" w:hanging="360"/>
      </w:pPr>
      <w:rPr>
        <w:rFonts w:ascii="Symbol" w:hAnsi="Symbol" w:hint="default"/>
      </w:rPr>
    </w:lvl>
    <w:lvl w:ilvl="7" w:tplc="68DEAC88">
      <w:start w:val="1"/>
      <w:numFmt w:val="bullet"/>
      <w:lvlText w:val="o"/>
      <w:lvlJc w:val="left"/>
      <w:pPr>
        <w:ind w:left="5760" w:hanging="360"/>
      </w:pPr>
      <w:rPr>
        <w:rFonts w:ascii="Courier New" w:hAnsi="Courier New" w:hint="default"/>
      </w:rPr>
    </w:lvl>
    <w:lvl w:ilvl="8" w:tplc="81A655E0">
      <w:start w:val="1"/>
      <w:numFmt w:val="bullet"/>
      <w:lvlText w:val=""/>
      <w:lvlJc w:val="left"/>
      <w:pPr>
        <w:ind w:left="6480" w:hanging="360"/>
      </w:pPr>
      <w:rPr>
        <w:rFonts w:ascii="Wingdings" w:hAnsi="Wingdings" w:hint="default"/>
      </w:rPr>
    </w:lvl>
  </w:abstractNum>
  <w:abstractNum w:abstractNumId="90" w15:restartNumberingAfterBreak="0">
    <w:nsid w:val="2E9E11FC"/>
    <w:multiLevelType w:val="multilevel"/>
    <w:tmpl w:val="67080CBA"/>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1" w15:restartNumberingAfterBreak="0">
    <w:nsid w:val="2EB95768"/>
    <w:multiLevelType w:val="hybridMultilevel"/>
    <w:tmpl w:val="FFFFFFFF"/>
    <w:lvl w:ilvl="0" w:tplc="4FEA3D5E">
      <w:start w:val="1"/>
      <w:numFmt w:val="bullet"/>
      <w:lvlText w:val=""/>
      <w:lvlJc w:val="left"/>
      <w:pPr>
        <w:ind w:left="720" w:hanging="360"/>
      </w:pPr>
      <w:rPr>
        <w:rFonts w:ascii="Symbol" w:hAnsi="Symbol" w:hint="default"/>
      </w:rPr>
    </w:lvl>
    <w:lvl w:ilvl="1" w:tplc="9F38B980">
      <w:start w:val="1"/>
      <w:numFmt w:val="bullet"/>
      <w:lvlText w:val=""/>
      <w:lvlJc w:val="left"/>
      <w:pPr>
        <w:ind w:left="1440" w:hanging="360"/>
      </w:pPr>
      <w:rPr>
        <w:rFonts w:ascii="Symbol" w:hAnsi="Symbol" w:hint="default"/>
      </w:rPr>
    </w:lvl>
    <w:lvl w:ilvl="2" w:tplc="F91E9830">
      <w:start w:val="1"/>
      <w:numFmt w:val="bullet"/>
      <w:lvlText w:val=""/>
      <w:lvlJc w:val="left"/>
      <w:pPr>
        <w:ind w:left="2160" w:hanging="360"/>
      </w:pPr>
      <w:rPr>
        <w:rFonts w:ascii="Wingdings" w:hAnsi="Wingdings" w:hint="default"/>
      </w:rPr>
    </w:lvl>
    <w:lvl w:ilvl="3" w:tplc="CEBEE424">
      <w:start w:val="1"/>
      <w:numFmt w:val="bullet"/>
      <w:lvlText w:val=""/>
      <w:lvlJc w:val="left"/>
      <w:pPr>
        <w:ind w:left="2880" w:hanging="360"/>
      </w:pPr>
      <w:rPr>
        <w:rFonts w:ascii="Symbol" w:hAnsi="Symbol" w:hint="default"/>
      </w:rPr>
    </w:lvl>
    <w:lvl w:ilvl="4" w:tplc="BCCA0F5C">
      <w:start w:val="1"/>
      <w:numFmt w:val="bullet"/>
      <w:lvlText w:val="o"/>
      <w:lvlJc w:val="left"/>
      <w:pPr>
        <w:ind w:left="3600" w:hanging="360"/>
      </w:pPr>
      <w:rPr>
        <w:rFonts w:ascii="Courier New" w:hAnsi="Courier New" w:hint="default"/>
      </w:rPr>
    </w:lvl>
    <w:lvl w:ilvl="5" w:tplc="A8E4DAAE">
      <w:start w:val="1"/>
      <w:numFmt w:val="bullet"/>
      <w:lvlText w:val=""/>
      <w:lvlJc w:val="left"/>
      <w:pPr>
        <w:ind w:left="4320" w:hanging="360"/>
      </w:pPr>
      <w:rPr>
        <w:rFonts w:ascii="Wingdings" w:hAnsi="Wingdings" w:hint="default"/>
      </w:rPr>
    </w:lvl>
    <w:lvl w:ilvl="6" w:tplc="FFD64248">
      <w:start w:val="1"/>
      <w:numFmt w:val="bullet"/>
      <w:lvlText w:val=""/>
      <w:lvlJc w:val="left"/>
      <w:pPr>
        <w:ind w:left="5040" w:hanging="360"/>
      </w:pPr>
      <w:rPr>
        <w:rFonts w:ascii="Symbol" w:hAnsi="Symbol" w:hint="default"/>
      </w:rPr>
    </w:lvl>
    <w:lvl w:ilvl="7" w:tplc="574EB5A2">
      <w:start w:val="1"/>
      <w:numFmt w:val="bullet"/>
      <w:lvlText w:val="o"/>
      <w:lvlJc w:val="left"/>
      <w:pPr>
        <w:ind w:left="5760" w:hanging="360"/>
      </w:pPr>
      <w:rPr>
        <w:rFonts w:ascii="Courier New" w:hAnsi="Courier New" w:hint="default"/>
      </w:rPr>
    </w:lvl>
    <w:lvl w:ilvl="8" w:tplc="7DF6E9A4">
      <w:start w:val="1"/>
      <w:numFmt w:val="bullet"/>
      <w:lvlText w:val=""/>
      <w:lvlJc w:val="left"/>
      <w:pPr>
        <w:ind w:left="6480" w:hanging="360"/>
      </w:pPr>
      <w:rPr>
        <w:rFonts w:ascii="Wingdings" w:hAnsi="Wingdings" w:hint="default"/>
      </w:rPr>
    </w:lvl>
  </w:abstractNum>
  <w:abstractNum w:abstractNumId="92" w15:restartNumberingAfterBreak="0">
    <w:nsid w:val="2EE42488"/>
    <w:multiLevelType w:val="hybridMultilevel"/>
    <w:tmpl w:val="EF24BE7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2FF338CD"/>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302E18BF"/>
    <w:multiLevelType w:val="hybridMultilevel"/>
    <w:tmpl w:val="688E94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5" w15:restartNumberingAfterBreak="0">
    <w:nsid w:val="314F5059"/>
    <w:multiLevelType w:val="hybridMultilevel"/>
    <w:tmpl w:val="7CCAE80E"/>
    <w:lvl w:ilvl="0" w:tplc="1D06BE22">
      <w:start w:val="1"/>
      <w:numFmt w:val="decimal"/>
      <w:lvlText w:val="%1."/>
      <w:lvlJc w:val="left"/>
      <w:pPr>
        <w:ind w:left="1020" w:hanging="360"/>
      </w:pPr>
    </w:lvl>
    <w:lvl w:ilvl="1" w:tplc="C0145924">
      <w:start w:val="1"/>
      <w:numFmt w:val="decimal"/>
      <w:lvlText w:val="%2."/>
      <w:lvlJc w:val="left"/>
      <w:pPr>
        <w:ind w:left="1020" w:hanging="360"/>
      </w:pPr>
    </w:lvl>
    <w:lvl w:ilvl="2" w:tplc="4AD8CDCC">
      <w:start w:val="1"/>
      <w:numFmt w:val="decimal"/>
      <w:lvlText w:val="%3."/>
      <w:lvlJc w:val="left"/>
      <w:pPr>
        <w:ind w:left="1020" w:hanging="360"/>
      </w:pPr>
    </w:lvl>
    <w:lvl w:ilvl="3" w:tplc="A8C413E0">
      <w:start w:val="1"/>
      <w:numFmt w:val="decimal"/>
      <w:lvlText w:val="%4."/>
      <w:lvlJc w:val="left"/>
      <w:pPr>
        <w:ind w:left="1020" w:hanging="360"/>
      </w:pPr>
    </w:lvl>
    <w:lvl w:ilvl="4" w:tplc="D5081BAE">
      <w:start w:val="1"/>
      <w:numFmt w:val="decimal"/>
      <w:lvlText w:val="%5."/>
      <w:lvlJc w:val="left"/>
      <w:pPr>
        <w:ind w:left="1020" w:hanging="360"/>
      </w:pPr>
    </w:lvl>
    <w:lvl w:ilvl="5" w:tplc="34367914">
      <w:start w:val="1"/>
      <w:numFmt w:val="decimal"/>
      <w:lvlText w:val="%6."/>
      <w:lvlJc w:val="left"/>
      <w:pPr>
        <w:ind w:left="1020" w:hanging="360"/>
      </w:pPr>
    </w:lvl>
    <w:lvl w:ilvl="6" w:tplc="58A63AF0">
      <w:start w:val="1"/>
      <w:numFmt w:val="decimal"/>
      <w:lvlText w:val="%7."/>
      <w:lvlJc w:val="left"/>
      <w:pPr>
        <w:ind w:left="1020" w:hanging="360"/>
      </w:pPr>
    </w:lvl>
    <w:lvl w:ilvl="7" w:tplc="743484D2">
      <w:start w:val="1"/>
      <w:numFmt w:val="decimal"/>
      <w:lvlText w:val="%8."/>
      <w:lvlJc w:val="left"/>
      <w:pPr>
        <w:ind w:left="1020" w:hanging="360"/>
      </w:pPr>
    </w:lvl>
    <w:lvl w:ilvl="8" w:tplc="E8A495EE">
      <w:start w:val="1"/>
      <w:numFmt w:val="decimal"/>
      <w:lvlText w:val="%9."/>
      <w:lvlJc w:val="left"/>
      <w:pPr>
        <w:ind w:left="1020" w:hanging="360"/>
      </w:pPr>
    </w:lvl>
  </w:abstractNum>
  <w:abstractNum w:abstractNumId="96" w15:restartNumberingAfterBreak="0">
    <w:nsid w:val="31846356"/>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325E0823"/>
    <w:multiLevelType w:val="hybridMultilevel"/>
    <w:tmpl w:val="B07651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32BC00E3"/>
    <w:multiLevelType w:val="hybridMultilevel"/>
    <w:tmpl w:val="899219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32EA78E0"/>
    <w:multiLevelType w:val="hybridMultilevel"/>
    <w:tmpl w:val="DBDE8B6A"/>
    <w:lvl w:ilvl="0" w:tplc="45BEFFE0">
      <w:numFmt w:val="bullet"/>
      <w:lvlText w:val=""/>
      <w:lvlJc w:val="left"/>
      <w:pPr>
        <w:ind w:left="1080" w:hanging="72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0" w15:restartNumberingAfterBreak="0">
    <w:nsid w:val="332E2F6D"/>
    <w:multiLevelType w:val="multilevel"/>
    <w:tmpl w:val="3788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3451E0E"/>
    <w:multiLevelType w:val="hybridMultilevel"/>
    <w:tmpl w:val="5E7C0FF4"/>
    <w:lvl w:ilvl="0" w:tplc="296679D2">
      <w:start w:val="1"/>
      <w:numFmt w:val="bullet"/>
      <w:lvlText w:val=""/>
      <w:lvlJc w:val="left"/>
      <w:pPr>
        <w:ind w:left="720" w:hanging="360"/>
      </w:pPr>
      <w:rPr>
        <w:rFonts w:ascii="Symbol" w:hAnsi="Symbol" w:hint="default"/>
      </w:rPr>
    </w:lvl>
    <w:lvl w:ilvl="1" w:tplc="D18C9BBA" w:tentative="1">
      <w:start w:val="1"/>
      <w:numFmt w:val="bullet"/>
      <w:lvlText w:val="o"/>
      <w:lvlJc w:val="left"/>
      <w:pPr>
        <w:ind w:left="1440" w:hanging="360"/>
      </w:pPr>
      <w:rPr>
        <w:rFonts w:ascii="Courier New" w:hAnsi="Courier New" w:hint="default"/>
      </w:rPr>
    </w:lvl>
    <w:lvl w:ilvl="2" w:tplc="D6143F3E" w:tentative="1">
      <w:start w:val="1"/>
      <w:numFmt w:val="bullet"/>
      <w:lvlText w:val=""/>
      <w:lvlJc w:val="left"/>
      <w:pPr>
        <w:ind w:left="2160" w:hanging="360"/>
      </w:pPr>
      <w:rPr>
        <w:rFonts w:ascii="Wingdings" w:hAnsi="Wingdings" w:hint="default"/>
      </w:rPr>
    </w:lvl>
    <w:lvl w:ilvl="3" w:tplc="AF083966" w:tentative="1">
      <w:start w:val="1"/>
      <w:numFmt w:val="bullet"/>
      <w:lvlText w:val=""/>
      <w:lvlJc w:val="left"/>
      <w:pPr>
        <w:ind w:left="2880" w:hanging="360"/>
      </w:pPr>
      <w:rPr>
        <w:rFonts w:ascii="Symbol" w:hAnsi="Symbol" w:hint="default"/>
      </w:rPr>
    </w:lvl>
    <w:lvl w:ilvl="4" w:tplc="8E4C5CE2" w:tentative="1">
      <w:start w:val="1"/>
      <w:numFmt w:val="bullet"/>
      <w:lvlText w:val="o"/>
      <w:lvlJc w:val="left"/>
      <w:pPr>
        <w:ind w:left="3600" w:hanging="360"/>
      </w:pPr>
      <w:rPr>
        <w:rFonts w:ascii="Courier New" w:hAnsi="Courier New" w:hint="default"/>
      </w:rPr>
    </w:lvl>
    <w:lvl w:ilvl="5" w:tplc="D1B8384C" w:tentative="1">
      <w:start w:val="1"/>
      <w:numFmt w:val="bullet"/>
      <w:lvlText w:val=""/>
      <w:lvlJc w:val="left"/>
      <w:pPr>
        <w:ind w:left="4320" w:hanging="360"/>
      </w:pPr>
      <w:rPr>
        <w:rFonts w:ascii="Wingdings" w:hAnsi="Wingdings" w:hint="default"/>
      </w:rPr>
    </w:lvl>
    <w:lvl w:ilvl="6" w:tplc="100CD81A" w:tentative="1">
      <w:start w:val="1"/>
      <w:numFmt w:val="bullet"/>
      <w:lvlText w:val=""/>
      <w:lvlJc w:val="left"/>
      <w:pPr>
        <w:ind w:left="5040" w:hanging="360"/>
      </w:pPr>
      <w:rPr>
        <w:rFonts w:ascii="Symbol" w:hAnsi="Symbol" w:hint="default"/>
      </w:rPr>
    </w:lvl>
    <w:lvl w:ilvl="7" w:tplc="DC203592" w:tentative="1">
      <w:start w:val="1"/>
      <w:numFmt w:val="bullet"/>
      <w:lvlText w:val="o"/>
      <w:lvlJc w:val="left"/>
      <w:pPr>
        <w:ind w:left="5760" w:hanging="360"/>
      </w:pPr>
      <w:rPr>
        <w:rFonts w:ascii="Courier New" w:hAnsi="Courier New" w:hint="default"/>
      </w:rPr>
    </w:lvl>
    <w:lvl w:ilvl="8" w:tplc="91B667C0" w:tentative="1">
      <w:start w:val="1"/>
      <w:numFmt w:val="bullet"/>
      <w:lvlText w:val=""/>
      <w:lvlJc w:val="left"/>
      <w:pPr>
        <w:ind w:left="6480" w:hanging="360"/>
      </w:pPr>
      <w:rPr>
        <w:rFonts w:ascii="Wingdings" w:hAnsi="Wingdings" w:hint="default"/>
      </w:rPr>
    </w:lvl>
  </w:abstractNum>
  <w:abstractNum w:abstractNumId="102" w15:restartNumberingAfterBreak="0">
    <w:nsid w:val="343F587D"/>
    <w:multiLevelType w:val="hybridMultilevel"/>
    <w:tmpl w:val="FFFFFFFF"/>
    <w:lvl w:ilvl="0" w:tplc="D6AC441E">
      <w:start w:val="1"/>
      <w:numFmt w:val="bullet"/>
      <w:lvlText w:val=""/>
      <w:lvlJc w:val="left"/>
      <w:pPr>
        <w:ind w:left="720" w:hanging="360"/>
      </w:pPr>
      <w:rPr>
        <w:rFonts w:ascii="Symbol" w:hAnsi="Symbol" w:hint="default"/>
      </w:rPr>
    </w:lvl>
    <w:lvl w:ilvl="1" w:tplc="BDA86EE0">
      <w:start w:val="1"/>
      <w:numFmt w:val="bullet"/>
      <w:lvlText w:val="o"/>
      <w:lvlJc w:val="left"/>
      <w:pPr>
        <w:ind w:left="1440" w:hanging="360"/>
      </w:pPr>
      <w:rPr>
        <w:rFonts w:ascii="Courier New" w:hAnsi="Courier New" w:hint="default"/>
      </w:rPr>
    </w:lvl>
    <w:lvl w:ilvl="2" w:tplc="0AAEF688">
      <w:start w:val="1"/>
      <w:numFmt w:val="bullet"/>
      <w:lvlText w:val=""/>
      <w:lvlJc w:val="left"/>
      <w:pPr>
        <w:ind w:left="2160" w:hanging="360"/>
      </w:pPr>
      <w:rPr>
        <w:rFonts w:ascii="Wingdings" w:hAnsi="Wingdings" w:hint="default"/>
      </w:rPr>
    </w:lvl>
    <w:lvl w:ilvl="3" w:tplc="5B22910A">
      <w:start w:val="1"/>
      <w:numFmt w:val="bullet"/>
      <w:lvlText w:val=""/>
      <w:lvlJc w:val="left"/>
      <w:pPr>
        <w:ind w:left="2880" w:hanging="360"/>
      </w:pPr>
      <w:rPr>
        <w:rFonts w:ascii="Symbol" w:hAnsi="Symbol" w:hint="default"/>
      </w:rPr>
    </w:lvl>
    <w:lvl w:ilvl="4" w:tplc="98DCBE1A">
      <w:start w:val="1"/>
      <w:numFmt w:val="bullet"/>
      <w:lvlText w:val="o"/>
      <w:lvlJc w:val="left"/>
      <w:pPr>
        <w:ind w:left="3600" w:hanging="360"/>
      </w:pPr>
      <w:rPr>
        <w:rFonts w:ascii="Courier New" w:hAnsi="Courier New" w:hint="default"/>
      </w:rPr>
    </w:lvl>
    <w:lvl w:ilvl="5" w:tplc="72EEA39E">
      <w:start w:val="1"/>
      <w:numFmt w:val="bullet"/>
      <w:lvlText w:val=""/>
      <w:lvlJc w:val="left"/>
      <w:pPr>
        <w:ind w:left="4320" w:hanging="360"/>
      </w:pPr>
      <w:rPr>
        <w:rFonts w:ascii="Wingdings" w:hAnsi="Wingdings" w:hint="default"/>
      </w:rPr>
    </w:lvl>
    <w:lvl w:ilvl="6" w:tplc="5734CC10">
      <w:start w:val="1"/>
      <w:numFmt w:val="bullet"/>
      <w:lvlText w:val=""/>
      <w:lvlJc w:val="left"/>
      <w:pPr>
        <w:ind w:left="5040" w:hanging="360"/>
      </w:pPr>
      <w:rPr>
        <w:rFonts w:ascii="Symbol" w:hAnsi="Symbol" w:hint="default"/>
      </w:rPr>
    </w:lvl>
    <w:lvl w:ilvl="7" w:tplc="11E4A424">
      <w:start w:val="1"/>
      <w:numFmt w:val="bullet"/>
      <w:lvlText w:val="o"/>
      <w:lvlJc w:val="left"/>
      <w:pPr>
        <w:ind w:left="5760" w:hanging="360"/>
      </w:pPr>
      <w:rPr>
        <w:rFonts w:ascii="Courier New" w:hAnsi="Courier New" w:hint="default"/>
      </w:rPr>
    </w:lvl>
    <w:lvl w:ilvl="8" w:tplc="8B3E4F30">
      <w:start w:val="1"/>
      <w:numFmt w:val="bullet"/>
      <w:lvlText w:val=""/>
      <w:lvlJc w:val="left"/>
      <w:pPr>
        <w:ind w:left="6480" w:hanging="360"/>
      </w:pPr>
      <w:rPr>
        <w:rFonts w:ascii="Wingdings" w:hAnsi="Wingdings" w:hint="default"/>
      </w:rPr>
    </w:lvl>
  </w:abstractNum>
  <w:abstractNum w:abstractNumId="103" w15:restartNumberingAfterBreak="0">
    <w:nsid w:val="346A7153"/>
    <w:multiLevelType w:val="hybridMultilevel"/>
    <w:tmpl w:val="5AE470A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4" w15:restartNumberingAfterBreak="0">
    <w:nsid w:val="354D15C8"/>
    <w:multiLevelType w:val="hybridMultilevel"/>
    <w:tmpl w:val="AD16B6E6"/>
    <w:lvl w:ilvl="0" w:tplc="1809000F">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05" w15:restartNumberingAfterBreak="0">
    <w:nsid w:val="35B6327E"/>
    <w:multiLevelType w:val="hybridMultilevel"/>
    <w:tmpl w:val="74EAB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6" w15:restartNumberingAfterBreak="0">
    <w:nsid w:val="36E23736"/>
    <w:multiLevelType w:val="multilevel"/>
    <w:tmpl w:val="7F3A653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7" w15:restartNumberingAfterBreak="0">
    <w:nsid w:val="37724AED"/>
    <w:multiLevelType w:val="hybridMultilevel"/>
    <w:tmpl w:val="3A821E02"/>
    <w:lvl w:ilvl="0" w:tplc="9B942D1C">
      <w:start w:val="1"/>
      <w:numFmt w:val="bullet"/>
      <w:lvlText w:val=""/>
      <w:lvlJc w:val="left"/>
      <w:pPr>
        <w:ind w:left="720" w:hanging="360"/>
      </w:pPr>
      <w:rPr>
        <w:rFonts w:ascii="Symbol" w:hAnsi="Symbol"/>
      </w:rPr>
    </w:lvl>
    <w:lvl w:ilvl="1" w:tplc="1B363E8C">
      <w:start w:val="1"/>
      <w:numFmt w:val="bullet"/>
      <w:lvlText w:val=""/>
      <w:lvlJc w:val="left"/>
      <w:pPr>
        <w:ind w:left="720" w:hanging="360"/>
      </w:pPr>
      <w:rPr>
        <w:rFonts w:ascii="Symbol" w:hAnsi="Symbol"/>
      </w:rPr>
    </w:lvl>
    <w:lvl w:ilvl="2" w:tplc="CF688560">
      <w:start w:val="1"/>
      <w:numFmt w:val="bullet"/>
      <w:lvlText w:val=""/>
      <w:lvlJc w:val="left"/>
      <w:pPr>
        <w:ind w:left="720" w:hanging="360"/>
      </w:pPr>
      <w:rPr>
        <w:rFonts w:ascii="Symbol" w:hAnsi="Symbol"/>
      </w:rPr>
    </w:lvl>
    <w:lvl w:ilvl="3" w:tplc="291EA80A">
      <w:start w:val="1"/>
      <w:numFmt w:val="bullet"/>
      <w:lvlText w:val=""/>
      <w:lvlJc w:val="left"/>
      <w:pPr>
        <w:ind w:left="720" w:hanging="360"/>
      </w:pPr>
      <w:rPr>
        <w:rFonts w:ascii="Symbol" w:hAnsi="Symbol"/>
      </w:rPr>
    </w:lvl>
    <w:lvl w:ilvl="4" w:tplc="2B466866">
      <w:start w:val="1"/>
      <w:numFmt w:val="bullet"/>
      <w:lvlText w:val=""/>
      <w:lvlJc w:val="left"/>
      <w:pPr>
        <w:ind w:left="720" w:hanging="360"/>
      </w:pPr>
      <w:rPr>
        <w:rFonts w:ascii="Symbol" w:hAnsi="Symbol"/>
      </w:rPr>
    </w:lvl>
    <w:lvl w:ilvl="5" w:tplc="AC14ED54">
      <w:start w:val="1"/>
      <w:numFmt w:val="bullet"/>
      <w:lvlText w:val=""/>
      <w:lvlJc w:val="left"/>
      <w:pPr>
        <w:ind w:left="720" w:hanging="360"/>
      </w:pPr>
      <w:rPr>
        <w:rFonts w:ascii="Symbol" w:hAnsi="Symbol"/>
      </w:rPr>
    </w:lvl>
    <w:lvl w:ilvl="6" w:tplc="30E8C2FE">
      <w:start w:val="1"/>
      <w:numFmt w:val="bullet"/>
      <w:lvlText w:val=""/>
      <w:lvlJc w:val="left"/>
      <w:pPr>
        <w:ind w:left="720" w:hanging="360"/>
      </w:pPr>
      <w:rPr>
        <w:rFonts w:ascii="Symbol" w:hAnsi="Symbol"/>
      </w:rPr>
    </w:lvl>
    <w:lvl w:ilvl="7" w:tplc="130C10E8">
      <w:start w:val="1"/>
      <w:numFmt w:val="bullet"/>
      <w:lvlText w:val=""/>
      <w:lvlJc w:val="left"/>
      <w:pPr>
        <w:ind w:left="720" w:hanging="360"/>
      </w:pPr>
      <w:rPr>
        <w:rFonts w:ascii="Symbol" w:hAnsi="Symbol"/>
      </w:rPr>
    </w:lvl>
    <w:lvl w:ilvl="8" w:tplc="0CFA210A">
      <w:start w:val="1"/>
      <w:numFmt w:val="bullet"/>
      <w:lvlText w:val=""/>
      <w:lvlJc w:val="left"/>
      <w:pPr>
        <w:ind w:left="720" w:hanging="360"/>
      </w:pPr>
      <w:rPr>
        <w:rFonts w:ascii="Symbol" w:hAnsi="Symbol"/>
      </w:rPr>
    </w:lvl>
  </w:abstractNum>
  <w:abstractNum w:abstractNumId="108" w15:restartNumberingAfterBreak="0">
    <w:nsid w:val="387931BC"/>
    <w:multiLevelType w:val="hybridMultilevel"/>
    <w:tmpl w:val="F01850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9" w15:restartNumberingAfterBreak="0">
    <w:nsid w:val="393B4A4B"/>
    <w:multiLevelType w:val="hybridMultilevel"/>
    <w:tmpl w:val="607AACD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0" w15:restartNumberingAfterBreak="0">
    <w:nsid w:val="397632B4"/>
    <w:multiLevelType w:val="hybridMultilevel"/>
    <w:tmpl w:val="C06ECBC0"/>
    <w:lvl w:ilvl="0" w:tplc="18090001">
      <w:start w:val="1"/>
      <w:numFmt w:val="bullet"/>
      <w:lvlText w:val=""/>
      <w:lvlJc w:val="left"/>
      <w:pPr>
        <w:ind w:left="502"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11" w15:restartNumberingAfterBreak="0">
    <w:nsid w:val="39DD19F9"/>
    <w:multiLevelType w:val="multilevel"/>
    <w:tmpl w:val="2304A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A410F5D"/>
    <w:multiLevelType w:val="hybridMultilevel"/>
    <w:tmpl w:val="8B3052B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3" w15:restartNumberingAfterBreak="0">
    <w:nsid w:val="3AE524B4"/>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3C5D0226"/>
    <w:multiLevelType w:val="multilevel"/>
    <w:tmpl w:val="18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15" w15:restartNumberingAfterBreak="0">
    <w:nsid w:val="3C6F2291"/>
    <w:multiLevelType w:val="hybridMultilevel"/>
    <w:tmpl w:val="7540A8C6"/>
    <w:lvl w:ilvl="0" w:tplc="B2FE6D04">
      <w:start w:val="1"/>
      <w:numFmt w:val="bullet"/>
      <w:lvlText w:val=""/>
      <w:lvlJc w:val="left"/>
      <w:pPr>
        <w:ind w:left="720" w:hanging="360"/>
      </w:pPr>
      <w:rPr>
        <w:rFonts w:ascii="Symbol" w:hAnsi="Symbol" w:hint="default"/>
      </w:rPr>
    </w:lvl>
    <w:lvl w:ilvl="1" w:tplc="AEB26F80">
      <w:start w:val="1"/>
      <w:numFmt w:val="bullet"/>
      <w:lvlText w:val="o"/>
      <w:lvlJc w:val="left"/>
      <w:pPr>
        <w:ind w:left="1069" w:hanging="360"/>
      </w:pPr>
      <w:rPr>
        <w:rFonts w:ascii="Courier New" w:hAnsi="Courier New" w:hint="default"/>
      </w:rPr>
    </w:lvl>
    <w:lvl w:ilvl="2" w:tplc="24FAE960" w:tentative="1">
      <w:start w:val="1"/>
      <w:numFmt w:val="bullet"/>
      <w:lvlText w:val=""/>
      <w:lvlJc w:val="left"/>
      <w:pPr>
        <w:ind w:left="2160" w:hanging="360"/>
      </w:pPr>
      <w:rPr>
        <w:rFonts w:ascii="Wingdings" w:hAnsi="Wingdings" w:hint="default"/>
      </w:rPr>
    </w:lvl>
    <w:lvl w:ilvl="3" w:tplc="9F46DDBC" w:tentative="1">
      <w:start w:val="1"/>
      <w:numFmt w:val="bullet"/>
      <w:lvlText w:val=""/>
      <w:lvlJc w:val="left"/>
      <w:pPr>
        <w:ind w:left="2880" w:hanging="360"/>
      </w:pPr>
      <w:rPr>
        <w:rFonts w:ascii="Symbol" w:hAnsi="Symbol" w:hint="default"/>
      </w:rPr>
    </w:lvl>
    <w:lvl w:ilvl="4" w:tplc="F7CA9616" w:tentative="1">
      <w:start w:val="1"/>
      <w:numFmt w:val="bullet"/>
      <w:lvlText w:val="o"/>
      <w:lvlJc w:val="left"/>
      <w:pPr>
        <w:ind w:left="3600" w:hanging="360"/>
      </w:pPr>
      <w:rPr>
        <w:rFonts w:ascii="Courier New" w:hAnsi="Courier New" w:hint="default"/>
      </w:rPr>
    </w:lvl>
    <w:lvl w:ilvl="5" w:tplc="5106EC12" w:tentative="1">
      <w:start w:val="1"/>
      <w:numFmt w:val="bullet"/>
      <w:lvlText w:val=""/>
      <w:lvlJc w:val="left"/>
      <w:pPr>
        <w:ind w:left="4320" w:hanging="360"/>
      </w:pPr>
      <w:rPr>
        <w:rFonts w:ascii="Wingdings" w:hAnsi="Wingdings" w:hint="default"/>
      </w:rPr>
    </w:lvl>
    <w:lvl w:ilvl="6" w:tplc="2F1CC13E" w:tentative="1">
      <w:start w:val="1"/>
      <w:numFmt w:val="bullet"/>
      <w:lvlText w:val=""/>
      <w:lvlJc w:val="left"/>
      <w:pPr>
        <w:ind w:left="5040" w:hanging="360"/>
      </w:pPr>
      <w:rPr>
        <w:rFonts w:ascii="Symbol" w:hAnsi="Symbol" w:hint="default"/>
      </w:rPr>
    </w:lvl>
    <w:lvl w:ilvl="7" w:tplc="FD5EB746" w:tentative="1">
      <w:start w:val="1"/>
      <w:numFmt w:val="bullet"/>
      <w:lvlText w:val="o"/>
      <w:lvlJc w:val="left"/>
      <w:pPr>
        <w:ind w:left="5760" w:hanging="360"/>
      </w:pPr>
      <w:rPr>
        <w:rFonts w:ascii="Courier New" w:hAnsi="Courier New" w:hint="default"/>
      </w:rPr>
    </w:lvl>
    <w:lvl w:ilvl="8" w:tplc="A0DA6520" w:tentative="1">
      <w:start w:val="1"/>
      <w:numFmt w:val="bullet"/>
      <w:lvlText w:val=""/>
      <w:lvlJc w:val="left"/>
      <w:pPr>
        <w:ind w:left="6480" w:hanging="360"/>
      </w:pPr>
      <w:rPr>
        <w:rFonts w:ascii="Wingdings" w:hAnsi="Wingdings" w:hint="default"/>
      </w:rPr>
    </w:lvl>
  </w:abstractNum>
  <w:abstractNum w:abstractNumId="116"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hint="default"/>
      </w:rPr>
    </w:lvl>
  </w:abstractNum>
  <w:abstractNum w:abstractNumId="117" w15:restartNumberingAfterBreak="0">
    <w:nsid w:val="3D32797C"/>
    <w:multiLevelType w:val="multilevel"/>
    <w:tmpl w:val="7FCAE65C"/>
    <w:lvl w:ilvl="0">
      <w:start w:val="1"/>
      <w:numFmt w:val="decimal"/>
      <w:pStyle w:val="Heading1"/>
      <w:lvlText w:val="%1"/>
      <w:lvlJc w:val="left"/>
      <w:pPr>
        <w:ind w:left="432" w:hanging="432"/>
      </w:pPr>
      <w:rPr>
        <w:rFonts w:ascii="Times New Roman" w:hAnsi="Times New Roman" w:cs="Times New Roman" w:hint="default"/>
        <w:b/>
        <w:bCs/>
        <w:i w:val="0"/>
        <w:iCs w:val="0"/>
        <w:sz w:val="28"/>
        <w:szCs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8" w15:restartNumberingAfterBreak="0">
    <w:nsid w:val="3D9C49FA"/>
    <w:multiLevelType w:val="hybridMultilevel"/>
    <w:tmpl w:val="82EAEA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9" w15:restartNumberingAfterBreak="0">
    <w:nsid w:val="3E4239D3"/>
    <w:multiLevelType w:val="hybridMultilevel"/>
    <w:tmpl w:val="FDC2BB5E"/>
    <w:lvl w:ilvl="0" w:tplc="18090001">
      <w:start w:val="1"/>
      <w:numFmt w:val="bullet"/>
      <w:lvlText w:val=""/>
      <w:lvlJc w:val="left"/>
      <w:pPr>
        <w:ind w:left="1070" w:hanging="360"/>
      </w:pPr>
      <w:rPr>
        <w:rFonts w:ascii="Symbol" w:hAnsi="Symbol" w:hint="default"/>
      </w:rPr>
    </w:lvl>
    <w:lvl w:ilvl="1" w:tplc="18090003" w:tentative="1">
      <w:start w:val="1"/>
      <w:numFmt w:val="bullet"/>
      <w:lvlText w:val="o"/>
      <w:lvlJc w:val="left"/>
      <w:pPr>
        <w:ind w:left="1790" w:hanging="360"/>
      </w:pPr>
      <w:rPr>
        <w:rFonts w:ascii="Courier New" w:hAnsi="Courier New" w:cs="Courier New" w:hint="default"/>
      </w:rPr>
    </w:lvl>
    <w:lvl w:ilvl="2" w:tplc="18090005" w:tentative="1">
      <w:start w:val="1"/>
      <w:numFmt w:val="bullet"/>
      <w:lvlText w:val=""/>
      <w:lvlJc w:val="left"/>
      <w:pPr>
        <w:ind w:left="2510" w:hanging="360"/>
      </w:pPr>
      <w:rPr>
        <w:rFonts w:ascii="Wingdings" w:hAnsi="Wingdings" w:hint="default"/>
      </w:rPr>
    </w:lvl>
    <w:lvl w:ilvl="3" w:tplc="18090001" w:tentative="1">
      <w:start w:val="1"/>
      <w:numFmt w:val="bullet"/>
      <w:lvlText w:val=""/>
      <w:lvlJc w:val="left"/>
      <w:pPr>
        <w:ind w:left="3230" w:hanging="360"/>
      </w:pPr>
      <w:rPr>
        <w:rFonts w:ascii="Symbol" w:hAnsi="Symbol" w:hint="default"/>
      </w:rPr>
    </w:lvl>
    <w:lvl w:ilvl="4" w:tplc="18090003" w:tentative="1">
      <w:start w:val="1"/>
      <w:numFmt w:val="bullet"/>
      <w:lvlText w:val="o"/>
      <w:lvlJc w:val="left"/>
      <w:pPr>
        <w:ind w:left="3950" w:hanging="360"/>
      </w:pPr>
      <w:rPr>
        <w:rFonts w:ascii="Courier New" w:hAnsi="Courier New" w:cs="Courier New" w:hint="default"/>
      </w:rPr>
    </w:lvl>
    <w:lvl w:ilvl="5" w:tplc="18090005" w:tentative="1">
      <w:start w:val="1"/>
      <w:numFmt w:val="bullet"/>
      <w:lvlText w:val=""/>
      <w:lvlJc w:val="left"/>
      <w:pPr>
        <w:ind w:left="4670" w:hanging="360"/>
      </w:pPr>
      <w:rPr>
        <w:rFonts w:ascii="Wingdings" w:hAnsi="Wingdings" w:hint="default"/>
      </w:rPr>
    </w:lvl>
    <w:lvl w:ilvl="6" w:tplc="18090001" w:tentative="1">
      <w:start w:val="1"/>
      <w:numFmt w:val="bullet"/>
      <w:lvlText w:val=""/>
      <w:lvlJc w:val="left"/>
      <w:pPr>
        <w:ind w:left="5390" w:hanging="360"/>
      </w:pPr>
      <w:rPr>
        <w:rFonts w:ascii="Symbol" w:hAnsi="Symbol" w:hint="default"/>
      </w:rPr>
    </w:lvl>
    <w:lvl w:ilvl="7" w:tplc="18090003" w:tentative="1">
      <w:start w:val="1"/>
      <w:numFmt w:val="bullet"/>
      <w:lvlText w:val="o"/>
      <w:lvlJc w:val="left"/>
      <w:pPr>
        <w:ind w:left="6110" w:hanging="360"/>
      </w:pPr>
      <w:rPr>
        <w:rFonts w:ascii="Courier New" w:hAnsi="Courier New" w:cs="Courier New" w:hint="default"/>
      </w:rPr>
    </w:lvl>
    <w:lvl w:ilvl="8" w:tplc="18090005" w:tentative="1">
      <w:start w:val="1"/>
      <w:numFmt w:val="bullet"/>
      <w:lvlText w:val=""/>
      <w:lvlJc w:val="left"/>
      <w:pPr>
        <w:ind w:left="6830" w:hanging="360"/>
      </w:pPr>
      <w:rPr>
        <w:rFonts w:ascii="Wingdings" w:hAnsi="Wingdings" w:hint="default"/>
      </w:rPr>
    </w:lvl>
  </w:abstractNum>
  <w:abstractNum w:abstractNumId="120" w15:restartNumberingAfterBreak="0">
    <w:nsid w:val="3E4F2726"/>
    <w:multiLevelType w:val="hybridMultilevel"/>
    <w:tmpl w:val="32400B98"/>
    <w:lvl w:ilvl="0" w:tplc="17941102">
      <w:start w:val="1"/>
      <w:numFmt w:val="bullet"/>
      <w:lvlText w:val=""/>
      <w:lvlJc w:val="left"/>
      <w:pPr>
        <w:ind w:left="720" w:hanging="360"/>
      </w:pPr>
      <w:rPr>
        <w:rFonts w:ascii="Symbol" w:hAnsi="Symbol"/>
      </w:rPr>
    </w:lvl>
    <w:lvl w:ilvl="1" w:tplc="FDDEDFD4">
      <w:start w:val="1"/>
      <w:numFmt w:val="bullet"/>
      <w:lvlText w:val=""/>
      <w:lvlJc w:val="left"/>
      <w:pPr>
        <w:ind w:left="720" w:hanging="360"/>
      </w:pPr>
      <w:rPr>
        <w:rFonts w:ascii="Symbol" w:hAnsi="Symbol"/>
      </w:rPr>
    </w:lvl>
    <w:lvl w:ilvl="2" w:tplc="8C60B0DC">
      <w:start w:val="1"/>
      <w:numFmt w:val="bullet"/>
      <w:lvlText w:val=""/>
      <w:lvlJc w:val="left"/>
      <w:pPr>
        <w:ind w:left="720" w:hanging="360"/>
      </w:pPr>
      <w:rPr>
        <w:rFonts w:ascii="Symbol" w:hAnsi="Symbol"/>
      </w:rPr>
    </w:lvl>
    <w:lvl w:ilvl="3" w:tplc="73BC70CA">
      <w:start w:val="1"/>
      <w:numFmt w:val="bullet"/>
      <w:lvlText w:val=""/>
      <w:lvlJc w:val="left"/>
      <w:pPr>
        <w:ind w:left="720" w:hanging="360"/>
      </w:pPr>
      <w:rPr>
        <w:rFonts w:ascii="Symbol" w:hAnsi="Symbol"/>
      </w:rPr>
    </w:lvl>
    <w:lvl w:ilvl="4" w:tplc="640A5242">
      <w:start w:val="1"/>
      <w:numFmt w:val="bullet"/>
      <w:lvlText w:val=""/>
      <w:lvlJc w:val="left"/>
      <w:pPr>
        <w:ind w:left="720" w:hanging="360"/>
      </w:pPr>
      <w:rPr>
        <w:rFonts w:ascii="Symbol" w:hAnsi="Symbol"/>
      </w:rPr>
    </w:lvl>
    <w:lvl w:ilvl="5" w:tplc="274E1FB6">
      <w:start w:val="1"/>
      <w:numFmt w:val="bullet"/>
      <w:lvlText w:val=""/>
      <w:lvlJc w:val="left"/>
      <w:pPr>
        <w:ind w:left="720" w:hanging="360"/>
      </w:pPr>
      <w:rPr>
        <w:rFonts w:ascii="Symbol" w:hAnsi="Symbol"/>
      </w:rPr>
    </w:lvl>
    <w:lvl w:ilvl="6" w:tplc="D0A25FA0">
      <w:start w:val="1"/>
      <w:numFmt w:val="bullet"/>
      <w:lvlText w:val=""/>
      <w:lvlJc w:val="left"/>
      <w:pPr>
        <w:ind w:left="720" w:hanging="360"/>
      </w:pPr>
      <w:rPr>
        <w:rFonts w:ascii="Symbol" w:hAnsi="Symbol"/>
      </w:rPr>
    </w:lvl>
    <w:lvl w:ilvl="7" w:tplc="D0B8C97A">
      <w:start w:val="1"/>
      <w:numFmt w:val="bullet"/>
      <w:lvlText w:val=""/>
      <w:lvlJc w:val="left"/>
      <w:pPr>
        <w:ind w:left="720" w:hanging="360"/>
      </w:pPr>
      <w:rPr>
        <w:rFonts w:ascii="Symbol" w:hAnsi="Symbol"/>
      </w:rPr>
    </w:lvl>
    <w:lvl w:ilvl="8" w:tplc="D5D02450">
      <w:start w:val="1"/>
      <w:numFmt w:val="bullet"/>
      <w:lvlText w:val=""/>
      <w:lvlJc w:val="left"/>
      <w:pPr>
        <w:ind w:left="720" w:hanging="360"/>
      </w:pPr>
      <w:rPr>
        <w:rFonts w:ascii="Symbol" w:hAnsi="Symbol"/>
      </w:rPr>
    </w:lvl>
  </w:abstractNum>
  <w:abstractNum w:abstractNumId="121" w15:restartNumberingAfterBreak="0">
    <w:nsid w:val="3E806C0A"/>
    <w:multiLevelType w:val="hybridMultilevel"/>
    <w:tmpl w:val="61625B4E"/>
    <w:lvl w:ilvl="0" w:tplc="20B646AA">
      <w:start w:val="1"/>
      <w:numFmt w:val="bullet"/>
      <w:lvlText w:val="-"/>
      <w:lvlJc w:val="left"/>
      <w:pPr>
        <w:ind w:left="4188" w:hanging="360"/>
      </w:pPr>
      <w:rPr>
        <w:rFonts w:ascii="Aptos" w:hAnsi="Aptos" w:hint="default"/>
      </w:rPr>
    </w:lvl>
    <w:lvl w:ilvl="1" w:tplc="570243C6">
      <w:start w:val="1"/>
      <w:numFmt w:val="bullet"/>
      <w:lvlText w:val="o"/>
      <w:lvlJc w:val="left"/>
      <w:pPr>
        <w:ind w:left="4908" w:hanging="360"/>
      </w:pPr>
      <w:rPr>
        <w:rFonts w:ascii="Courier New" w:hAnsi="Courier New" w:hint="default"/>
      </w:rPr>
    </w:lvl>
    <w:lvl w:ilvl="2" w:tplc="9744BB4C">
      <w:start w:val="1"/>
      <w:numFmt w:val="bullet"/>
      <w:lvlText w:val=""/>
      <w:lvlJc w:val="left"/>
      <w:pPr>
        <w:ind w:left="5628" w:hanging="360"/>
      </w:pPr>
      <w:rPr>
        <w:rFonts w:ascii="Wingdings" w:hAnsi="Wingdings" w:hint="default"/>
      </w:rPr>
    </w:lvl>
    <w:lvl w:ilvl="3" w:tplc="C6066C80">
      <w:start w:val="1"/>
      <w:numFmt w:val="bullet"/>
      <w:lvlText w:val=""/>
      <w:lvlJc w:val="left"/>
      <w:pPr>
        <w:ind w:left="6348" w:hanging="360"/>
      </w:pPr>
      <w:rPr>
        <w:rFonts w:ascii="Symbol" w:hAnsi="Symbol" w:hint="default"/>
      </w:rPr>
    </w:lvl>
    <w:lvl w:ilvl="4" w:tplc="0D502230">
      <w:start w:val="1"/>
      <w:numFmt w:val="bullet"/>
      <w:lvlText w:val="o"/>
      <w:lvlJc w:val="left"/>
      <w:pPr>
        <w:ind w:left="7068" w:hanging="360"/>
      </w:pPr>
      <w:rPr>
        <w:rFonts w:ascii="Courier New" w:hAnsi="Courier New" w:hint="default"/>
      </w:rPr>
    </w:lvl>
    <w:lvl w:ilvl="5" w:tplc="EB8C2280">
      <w:start w:val="1"/>
      <w:numFmt w:val="bullet"/>
      <w:lvlText w:val=""/>
      <w:lvlJc w:val="left"/>
      <w:pPr>
        <w:ind w:left="7788" w:hanging="360"/>
      </w:pPr>
      <w:rPr>
        <w:rFonts w:ascii="Wingdings" w:hAnsi="Wingdings" w:hint="default"/>
      </w:rPr>
    </w:lvl>
    <w:lvl w:ilvl="6" w:tplc="F94092DE">
      <w:start w:val="1"/>
      <w:numFmt w:val="bullet"/>
      <w:lvlText w:val=""/>
      <w:lvlJc w:val="left"/>
      <w:pPr>
        <w:ind w:left="8508" w:hanging="360"/>
      </w:pPr>
      <w:rPr>
        <w:rFonts w:ascii="Symbol" w:hAnsi="Symbol" w:hint="default"/>
      </w:rPr>
    </w:lvl>
    <w:lvl w:ilvl="7" w:tplc="F82E9544">
      <w:start w:val="1"/>
      <w:numFmt w:val="bullet"/>
      <w:lvlText w:val="o"/>
      <w:lvlJc w:val="left"/>
      <w:pPr>
        <w:ind w:left="9228" w:hanging="360"/>
      </w:pPr>
      <w:rPr>
        <w:rFonts w:ascii="Courier New" w:hAnsi="Courier New" w:hint="default"/>
      </w:rPr>
    </w:lvl>
    <w:lvl w:ilvl="8" w:tplc="ECDA0E3E">
      <w:start w:val="1"/>
      <w:numFmt w:val="bullet"/>
      <w:lvlText w:val=""/>
      <w:lvlJc w:val="left"/>
      <w:pPr>
        <w:ind w:left="9948" w:hanging="360"/>
      </w:pPr>
      <w:rPr>
        <w:rFonts w:ascii="Wingdings" w:hAnsi="Wingdings" w:hint="default"/>
      </w:rPr>
    </w:lvl>
  </w:abstractNum>
  <w:abstractNum w:abstractNumId="122" w15:restartNumberingAfterBreak="0">
    <w:nsid w:val="3F51400D"/>
    <w:multiLevelType w:val="hybridMultilevel"/>
    <w:tmpl w:val="FD2074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3" w15:restartNumberingAfterBreak="0">
    <w:nsid w:val="3F8C2B97"/>
    <w:multiLevelType w:val="hybridMultilevel"/>
    <w:tmpl w:val="FC3E869E"/>
    <w:lvl w:ilvl="0" w:tplc="C98CB8B6">
      <w:start w:val="1"/>
      <w:numFmt w:val="bullet"/>
      <w:lvlText w:val=""/>
      <w:lvlJc w:val="left"/>
      <w:pPr>
        <w:ind w:left="720" w:hanging="360"/>
      </w:pPr>
      <w:rPr>
        <w:rFonts w:ascii="Symbol" w:hAnsi="Symbol" w:hint="default"/>
      </w:rPr>
    </w:lvl>
    <w:lvl w:ilvl="1" w:tplc="9BB86E00">
      <w:start w:val="1"/>
      <w:numFmt w:val="bullet"/>
      <w:lvlText w:val="o"/>
      <w:lvlJc w:val="left"/>
      <w:pPr>
        <w:ind w:left="502" w:hanging="360"/>
      </w:pPr>
      <w:rPr>
        <w:rFonts w:ascii="Courier New" w:hAnsi="Courier New" w:hint="default"/>
      </w:rPr>
    </w:lvl>
    <w:lvl w:ilvl="2" w:tplc="6EAC5E20">
      <w:start w:val="1"/>
      <w:numFmt w:val="bullet"/>
      <w:lvlText w:val=""/>
      <w:lvlJc w:val="left"/>
      <w:pPr>
        <w:ind w:left="2160" w:hanging="360"/>
      </w:pPr>
      <w:rPr>
        <w:rFonts w:ascii="Wingdings" w:hAnsi="Wingdings" w:hint="default"/>
      </w:rPr>
    </w:lvl>
    <w:lvl w:ilvl="3" w:tplc="86AAAC9C" w:tentative="1">
      <w:start w:val="1"/>
      <w:numFmt w:val="bullet"/>
      <w:lvlText w:val=""/>
      <w:lvlJc w:val="left"/>
      <w:pPr>
        <w:ind w:left="2880" w:hanging="360"/>
      </w:pPr>
      <w:rPr>
        <w:rFonts w:ascii="Symbol" w:hAnsi="Symbol" w:hint="default"/>
      </w:rPr>
    </w:lvl>
    <w:lvl w:ilvl="4" w:tplc="8962209A" w:tentative="1">
      <w:start w:val="1"/>
      <w:numFmt w:val="bullet"/>
      <w:lvlText w:val="o"/>
      <w:lvlJc w:val="left"/>
      <w:pPr>
        <w:ind w:left="3600" w:hanging="360"/>
      </w:pPr>
      <w:rPr>
        <w:rFonts w:ascii="Courier New" w:hAnsi="Courier New" w:hint="default"/>
      </w:rPr>
    </w:lvl>
    <w:lvl w:ilvl="5" w:tplc="1BE472C4" w:tentative="1">
      <w:start w:val="1"/>
      <w:numFmt w:val="bullet"/>
      <w:lvlText w:val=""/>
      <w:lvlJc w:val="left"/>
      <w:pPr>
        <w:ind w:left="4320" w:hanging="360"/>
      </w:pPr>
      <w:rPr>
        <w:rFonts w:ascii="Wingdings" w:hAnsi="Wingdings" w:hint="default"/>
      </w:rPr>
    </w:lvl>
    <w:lvl w:ilvl="6" w:tplc="398C0F36" w:tentative="1">
      <w:start w:val="1"/>
      <w:numFmt w:val="bullet"/>
      <w:lvlText w:val=""/>
      <w:lvlJc w:val="left"/>
      <w:pPr>
        <w:ind w:left="5040" w:hanging="360"/>
      </w:pPr>
      <w:rPr>
        <w:rFonts w:ascii="Symbol" w:hAnsi="Symbol" w:hint="default"/>
      </w:rPr>
    </w:lvl>
    <w:lvl w:ilvl="7" w:tplc="F1CCABC8" w:tentative="1">
      <w:start w:val="1"/>
      <w:numFmt w:val="bullet"/>
      <w:lvlText w:val="o"/>
      <w:lvlJc w:val="left"/>
      <w:pPr>
        <w:ind w:left="5760" w:hanging="360"/>
      </w:pPr>
      <w:rPr>
        <w:rFonts w:ascii="Courier New" w:hAnsi="Courier New" w:hint="default"/>
      </w:rPr>
    </w:lvl>
    <w:lvl w:ilvl="8" w:tplc="979EFD9E" w:tentative="1">
      <w:start w:val="1"/>
      <w:numFmt w:val="bullet"/>
      <w:lvlText w:val=""/>
      <w:lvlJc w:val="left"/>
      <w:pPr>
        <w:ind w:left="6480" w:hanging="360"/>
      </w:pPr>
      <w:rPr>
        <w:rFonts w:ascii="Wingdings" w:hAnsi="Wingdings" w:hint="default"/>
      </w:rPr>
    </w:lvl>
  </w:abstractNum>
  <w:abstractNum w:abstractNumId="124" w15:restartNumberingAfterBreak="0">
    <w:nsid w:val="40170664"/>
    <w:multiLevelType w:val="hybridMultilevel"/>
    <w:tmpl w:val="899CC356"/>
    <w:lvl w:ilvl="0" w:tplc="ADDEA66A">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40FA6DCF"/>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41FA6651"/>
    <w:multiLevelType w:val="hybridMultilevel"/>
    <w:tmpl w:val="005ABD18"/>
    <w:lvl w:ilvl="0" w:tplc="F1445EBE">
      <w:start w:val="1"/>
      <w:numFmt w:val="bullet"/>
      <w:lvlText w:val=""/>
      <w:lvlJc w:val="left"/>
      <w:pPr>
        <w:ind w:left="2160" w:hanging="360"/>
      </w:pPr>
      <w:rPr>
        <w:rFonts w:ascii="Symbol" w:hAnsi="Symbol"/>
      </w:rPr>
    </w:lvl>
    <w:lvl w:ilvl="1" w:tplc="2E98CA7A">
      <w:start w:val="1"/>
      <w:numFmt w:val="bullet"/>
      <w:lvlText w:val=""/>
      <w:lvlJc w:val="left"/>
      <w:pPr>
        <w:ind w:left="2160" w:hanging="360"/>
      </w:pPr>
      <w:rPr>
        <w:rFonts w:ascii="Symbol" w:hAnsi="Symbol"/>
      </w:rPr>
    </w:lvl>
    <w:lvl w:ilvl="2" w:tplc="2CA4F950">
      <w:start w:val="1"/>
      <w:numFmt w:val="bullet"/>
      <w:lvlText w:val=""/>
      <w:lvlJc w:val="left"/>
      <w:pPr>
        <w:ind w:left="2160" w:hanging="360"/>
      </w:pPr>
      <w:rPr>
        <w:rFonts w:ascii="Symbol" w:hAnsi="Symbol"/>
      </w:rPr>
    </w:lvl>
    <w:lvl w:ilvl="3" w:tplc="12E076A0">
      <w:start w:val="1"/>
      <w:numFmt w:val="bullet"/>
      <w:lvlText w:val=""/>
      <w:lvlJc w:val="left"/>
      <w:pPr>
        <w:ind w:left="2160" w:hanging="360"/>
      </w:pPr>
      <w:rPr>
        <w:rFonts w:ascii="Symbol" w:hAnsi="Symbol"/>
      </w:rPr>
    </w:lvl>
    <w:lvl w:ilvl="4" w:tplc="53D6B6E4">
      <w:start w:val="1"/>
      <w:numFmt w:val="bullet"/>
      <w:lvlText w:val=""/>
      <w:lvlJc w:val="left"/>
      <w:pPr>
        <w:ind w:left="2160" w:hanging="360"/>
      </w:pPr>
      <w:rPr>
        <w:rFonts w:ascii="Symbol" w:hAnsi="Symbol"/>
      </w:rPr>
    </w:lvl>
    <w:lvl w:ilvl="5" w:tplc="CB8C63D6">
      <w:start w:val="1"/>
      <w:numFmt w:val="bullet"/>
      <w:lvlText w:val=""/>
      <w:lvlJc w:val="left"/>
      <w:pPr>
        <w:ind w:left="2160" w:hanging="360"/>
      </w:pPr>
      <w:rPr>
        <w:rFonts w:ascii="Symbol" w:hAnsi="Symbol"/>
      </w:rPr>
    </w:lvl>
    <w:lvl w:ilvl="6" w:tplc="68A887EE">
      <w:start w:val="1"/>
      <w:numFmt w:val="bullet"/>
      <w:lvlText w:val=""/>
      <w:lvlJc w:val="left"/>
      <w:pPr>
        <w:ind w:left="2160" w:hanging="360"/>
      </w:pPr>
      <w:rPr>
        <w:rFonts w:ascii="Symbol" w:hAnsi="Symbol"/>
      </w:rPr>
    </w:lvl>
    <w:lvl w:ilvl="7" w:tplc="41BE7674">
      <w:start w:val="1"/>
      <w:numFmt w:val="bullet"/>
      <w:lvlText w:val=""/>
      <w:lvlJc w:val="left"/>
      <w:pPr>
        <w:ind w:left="2160" w:hanging="360"/>
      </w:pPr>
      <w:rPr>
        <w:rFonts w:ascii="Symbol" w:hAnsi="Symbol"/>
      </w:rPr>
    </w:lvl>
    <w:lvl w:ilvl="8" w:tplc="C930D098">
      <w:start w:val="1"/>
      <w:numFmt w:val="bullet"/>
      <w:lvlText w:val=""/>
      <w:lvlJc w:val="left"/>
      <w:pPr>
        <w:ind w:left="2160" w:hanging="360"/>
      </w:pPr>
      <w:rPr>
        <w:rFonts w:ascii="Symbol" w:hAnsi="Symbol"/>
      </w:rPr>
    </w:lvl>
  </w:abstractNum>
  <w:abstractNum w:abstractNumId="127" w15:restartNumberingAfterBreak="0">
    <w:nsid w:val="420B1C48"/>
    <w:multiLevelType w:val="hybridMultilevel"/>
    <w:tmpl w:val="FFFFFFFF"/>
    <w:lvl w:ilvl="0" w:tplc="27E00AFE">
      <w:start w:val="1"/>
      <w:numFmt w:val="bullet"/>
      <w:lvlText w:val="-"/>
      <w:lvlJc w:val="left"/>
      <w:pPr>
        <w:ind w:left="720" w:hanging="360"/>
      </w:pPr>
      <w:rPr>
        <w:rFonts w:ascii="Aptos" w:hAnsi="Aptos" w:hint="default"/>
      </w:rPr>
    </w:lvl>
    <w:lvl w:ilvl="1" w:tplc="18E66D2C">
      <w:start w:val="1"/>
      <w:numFmt w:val="bullet"/>
      <w:lvlText w:val="o"/>
      <w:lvlJc w:val="left"/>
      <w:pPr>
        <w:ind w:left="1440" w:hanging="360"/>
      </w:pPr>
      <w:rPr>
        <w:rFonts w:ascii="Courier New" w:hAnsi="Courier New" w:hint="default"/>
      </w:rPr>
    </w:lvl>
    <w:lvl w:ilvl="2" w:tplc="99DAEE38">
      <w:start w:val="1"/>
      <w:numFmt w:val="bullet"/>
      <w:lvlText w:val=""/>
      <w:lvlJc w:val="left"/>
      <w:pPr>
        <w:ind w:left="2160" w:hanging="360"/>
      </w:pPr>
      <w:rPr>
        <w:rFonts w:ascii="Wingdings" w:hAnsi="Wingdings" w:hint="default"/>
      </w:rPr>
    </w:lvl>
    <w:lvl w:ilvl="3" w:tplc="853E2E3E">
      <w:start w:val="1"/>
      <w:numFmt w:val="bullet"/>
      <w:lvlText w:val=""/>
      <w:lvlJc w:val="left"/>
      <w:pPr>
        <w:ind w:left="2880" w:hanging="360"/>
      </w:pPr>
      <w:rPr>
        <w:rFonts w:ascii="Symbol" w:hAnsi="Symbol" w:hint="default"/>
      </w:rPr>
    </w:lvl>
    <w:lvl w:ilvl="4" w:tplc="72080130">
      <w:start w:val="1"/>
      <w:numFmt w:val="bullet"/>
      <w:lvlText w:val="o"/>
      <w:lvlJc w:val="left"/>
      <w:pPr>
        <w:ind w:left="3600" w:hanging="360"/>
      </w:pPr>
      <w:rPr>
        <w:rFonts w:ascii="Courier New" w:hAnsi="Courier New" w:hint="default"/>
      </w:rPr>
    </w:lvl>
    <w:lvl w:ilvl="5" w:tplc="FC9475A4">
      <w:start w:val="1"/>
      <w:numFmt w:val="bullet"/>
      <w:lvlText w:val=""/>
      <w:lvlJc w:val="left"/>
      <w:pPr>
        <w:ind w:left="4320" w:hanging="360"/>
      </w:pPr>
      <w:rPr>
        <w:rFonts w:ascii="Wingdings" w:hAnsi="Wingdings" w:hint="default"/>
      </w:rPr>
    </w:lvl>
    <w:lvl w:ilvl="6" w:tplc="B72822B8">
      <w:start w:val="1"/>
      <w:numFmt w:val="bullet"/>
      <w:lvlText w:val=""/>
      <w:lvlJc w:val="left"/>
      <w:pPr>
        <w:ind w:left="5040" w:hanging="360"/>
      </w:pPr>
      <w:rPr>
        <w:rFonts w:ascii="Symbol" w:hAnsi="Symbol" w:hint="default"/>
      </w:rPr>
    </w:lvl>
    <w:lvl w:ilvl="7" w:tplc="3C2E22E4">
      <w:start w:val="1"/>
      <w:numFmt w:val="bullet"/>
      <w:lvlText w:val="o"/>
      <w:lvlJc w:val="left"/>
      <w:pPr>
        <w:ind w:left="5760" w:hanging="360"/>
      </w:pPr>
      <w:rPr>
        <w:rFonts w:ascii="Courier New" w:hAnsi="Courier New" w:hint="default"/>
      </w:rPr>
    </w:lvl>
    <w:lvl w:ilvl="8" w:tplc="F806A43E">
      <w:start w:val="1"/>
      <w:numFmt w:val="bullet"/>
      <w:lvlText w:val=""/>
      <w:lvlJc w:val="left"/>
      <w:pPr>
        <w:ind w:left="6480" w:hanging="360"/>
      </w:pPr>
      <w:rPr>
        <w:rFonts w:ascii="Wingdings" w:hAnsi="Wingdings" w:hint="default"/>
      </w:rPr>
    </w:lvl>
  </w:abstractNum>
  <w:abstractNum w:abstractNumId="128" w15:restartNumberingAfterBreak="0">
    <w:nsid w:val="42C0B34A"/>
    <w:multiLevelType w:val="hybridMultilevel"/>
    <w:tmpl w:val="FFFFFFFF"/>
    <w:lvl w:ilvl="0" w:tplc="60CCF55A">
      <w:start w:val="1"/>
      <w:numFmt w:val="decimal"/>
      <w:lvlText w:val="2-"/>
      <w:lvlJc w:val="left"/>
      <w:pPr>
        <w:ind w:left="720" w:hanging="360"/>
      </w:pPr>
    </w:lvl>
    <w:lvl w:ilvl="1" w:tplc="364ED6D8">
      <w:start w:val="1"/>
      <w:numFmt w:val="lowerLetter"/>
      <w:lvlText w:val="%2."/>
      <w:lvlJc w:val="left"/>
      <w:pPr>
        <w:ind w:left="1440" w:hanging="360"/>
      </w:pPr>
    </w:lvl>
    <w:lvl w:ilvl="2" w:tplc="9FDC69E4">
      <w:start w:val="1"/>
      <w:numFmt w:val="lowerRoman"/>
      <w:lvlText w:val="%3."/>
      <w:lvlJc w:val="right"/>
      <w:pPr>
        <w:ind w:left="2160" w:hanging="180"/>
      </w:pPr>
    </w:lvl>
    <w:lvl w:ilvl="3" w:tplc="BF4A1F24">
      <w:start w:val="1"/>
      <w:numFmt w:val="decimal"/>
      <w:lvlText w:val="%4."/>
      <w:lvlJc w:val="left"/>
      <w:pPr>
        <w:ind w:left="2880" w:hanging="360"/>
      </w:pPr>
    </w:lvl>
    <w:lvl w:ilvl="4" w:tplc="02FCB948">
      <w:start w:val="1"/>
      <w:numFmt w:val="lowerLetter"/>
      <w:lvlText w:val="%5."/>
      <w:lvlJc w:val="left"/>
      <w:pPr>
        <w:ind w:left="3600" w:hanging="360"/>
      </w:pPr>
    </w:lvl>
    <w:lvl w:ilvl="5" w:tplc="B7744C1E">
      <w:start w:val="1"/>
      <w:numFmt w:val="lowerRoman"/>
      <w:lvlText w:val="%6."/>
      <w:lvlJc w:val="right"/>
      <w:pPr>
        <w:ind w:left="4320" w:hanging="180"/>
      </w:pPr>
    </w:lvl>
    <w:lvl w:ilvl="6" w:tplc="8DB27230">
      <w:start w:val="1"/>
      <w:numFmt w:val="decimal"/>
      <w:lvlText w:val="%7."/>
      <w:lvlJc w:val="left"/>
      <w:pPr>
        <w:ind w:left="5040" w:hanging="360"/>
      </w:pPr>
    </w:lvl>
    <w:lvl w:ilvl="7" w:tplc="0442ABBE">
      <w:start w:val="1"/>
      <w:numFmt w:val="lowerLetter"/>
      <w:lvlText w:val="%8."/>
      <w:lvlJc w:val="left"/>
      <w:pPr>
        <w:ind w:left="5760" w:hanging="360"/>
      </w:pPr>
    </w:lvl>
    <w:lvl w:ilvl="8" w:tplc="0A441E58">
      <w:start w:val="1"/>
      <w:numFmt w:val="lowerRoman"/>
      <w:lvlText w:val="%9."/>
      <w:lvlJc w:val="right"/>
      <w:pPr>
        <w:ind w:left="6480" w:hanging="180"/>
      </w:pPr>
    </w:lvl>
  </w:abstractNum>
  <w:abstractNum w:abstractNumId="129" w15:restartNumberingAfterBreak="0">
    <w:nsid w:val="434A278C"/>
    <w:multiLevelType w:val="hybridMultilevel"/>
    <w:tmpl w:val="8B3052B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0" w15:restartNumberingAfterBreak="0">
    <w:nsid w:val="43B664BA"/>
    <w:multiLevelType w:val="multilevel"/>
    <w:tmpl w:val="240A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3E06CFC"/>
    <w:multiLevelType w:val="hybridMultilevel"/>
    <w:tmpl w:val="D7DC9D10"/>
    <w:lvl w:ilvl="0" w:tplc="1DB2C142">
      <w:start w:val="1"/>
      <w:numFmt w:val="bullet"/>
      <w:lvlText w:val=""/>
      <w:lvlJc w:val="left"/>
      <w:pPr>
        <w:ind w:left="720" w:hanging="360"/>
      </w:pPr>
      <w:rPr>
        <w:rFonts w:ascii="Symbol" w:hAnsi="Symbol" w:hint="default"/>
      </w:rPr>
    </w:lvl>
    <w:lvl w:ilvl="1" w:tplc="87C88E92">
      <w:start w:val="1"/>
      <w:numFmt w:val="bullet"/>
      <w:lvlText w:val="o"/>
      <w:lvlJc w:val="left"/>
      <w:pPr>
        <w:ind w:left="1440" w:hanging="360"/>
      </w:pPr>
      <w:rPr>
        <w:rFonts w:ascii="Courier New" w:hAnsi="Courier New" w:hint="default"/>
      </w:rPr>
    </w:lvl>
    <w:lvl w:ilvl="2" w:tplc="0726B0E2">
      <w:start w:val="1"/>
      <w:numFmt w:val="bullet"/>
      <w:lvlText w:val=""/>
      <w:lvlJc w:val="left"/>
      <w:pPr>
        <w:ind w:left="2160" w:hanging="360"/>
      </w:pPr>
      <w:rPr>
        <w:rFonts w:ascii="Wingdings" w:hAnsi="Wingdings" w:hint="default"/>
      </w:rPr>
    </w:lvl>
    <w:lvl w:ilvl="3" w:tplc="3FC82AD2">
      <w:start w:val="1"/>
      <w:numFmt w:val="bullet"/>
      <w:lvlText w:val=""/>
      <w:lvlJc w:val="left"/>
      <w:pPr>
        <w:ind w:left="2880" w:hanging="360"/>
      </w:pPr>
      <w:rPr>
        <w:rFonts w:ascii="Symbol" w:hAnsi="Symbol" w:hint="default"/>
      </w:rPr>
    </w:lvl>
    <w:lvl w:ilvl="4" w:tplc="45729C4C">
      <w:start w:val="1"/>
      <w:numFmt w:val="bullet"/>
      <w:lvlText w:val="o"/>
      <w:lvlJc w:val="left"/>
      <w:pPr>
        <w:ind w:left="3600" w:hanging="360"/>
      </w:pPr>
      <w:rPr>
        <w:rFonts w:ascii="Courier New" w:hAnsi="Courier New" w:hint="default"/>
      </w:rPr>
    </w:lvl>
    <w:lvl w:ilvl="5" w:tplc="BA1654DA">
      <w:start w:val="1"/>
      <w:numFmt w:val="bullet"/>
      <w:lvlText w:val=""/>
      <w:lvlJc w:val="left"/>
      <w:pPr>
        <w:ind w:left="4320" w:hanging="360"/>
      </w:pPr>
      <w:rPr>
        <w:rFonts w:ascii="Wingdings" w:hAnsi="Wingdings" w:hint="default"/>
      </w:rPr>
    </w:lvl>
    <w:lvl w:ilvl="6" w:tplc="9D486590">
      <w:start w:val="1"/>
      <w:numFmt w:val="bullet"/>
      <w:lvlText w:val=""/>
      <w:lvlJc w:val="left"/>
      <w:pPr>
        <w:ind w:left="5040" w:hanging="360"/>
      </w:pPr>
      <w:rPr>
        <w:rFonts w:ascii="Symbol" w:hAnsi="Symbol" w:hint="default"/>
      </w:rPr>
    </w:lvl>
    <w:lvl w:ilvl="7" w:tplc="B9160130">
      <w:start w:val="1"/>
      <w:numFmt w:val="bullet"/>
      <w:lvlText w:val="o"/>
      <w:lvlJc w:val="left"/>
      <w:pPr>
        <w:ind w:left="5760" w:hanging="360"/>
      </w:pPr>
      <w:rPr>
        <w:rFonts w:ascii="Courier New" w:hAnsi="Courier New" w:hint="default"/>
      </w:rPr>
    </w:lvl>
    <w:lvl w:ilvl="8" w:tplc="E6365996">
      <w:start w:val="1"/>
      <w:numFmt w:val="bullet"/>
      <w:lvlText w:val=""/>
      <w:lvlJc w:val="left"/>
      <w:pPr>
        <w:ind w:left="6480" w:hanging="360"/>
      </w:pPr>
      <w:rPr>
        <w:rFonts w:ascii="Wingdings" w:hAnsi="Wingdings" w:hint="default"/>
      </w:rPr>
    </w:lvl>
  </w:abstractNum>
  <w:abstractNum w:abstractNumId="132" w15:restartNumberingAfterBreak="0">
    <w:nsid w:val="44775591"/>
    <w:multiLevelType w:val="multilevel"/>
    <w:tmpl w:val="42AAD16E"/>
    <w:lvl w:ilvl="0">
      <w:start w:val="1"/>
      <w:numFmt w:val="decimal"/>
      <w:lvlText w:val="%1."/>
      <w:lvlJc w:val="left"/>
      <w:pPr>
        <w:tabs>
          <w:tab w:val="num" w:pos="720"/>
        </w:tabs>
        <w:ind w:left="720" w:hanging="360"/>
      </w:pPr>
    </w:lvl>
    <w:lvl w:ilvl="1">
      <w:start w:val="17"/>
      <w:numFmt w:val="low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50F772D"/>
    <w:multiLevelType w:val="hybridMultilevel"/>
    <w:tmpl w:val="FFFFFFFF"/>
    <w:lvl w:ilvl="0" w:tplc="B7BC282E">
      <w:start w:val="1"/>
      <w:numFmt w:val="bullet"/>
      <w:lvlText w:val=""/>
      <w:lvlJc w:val="left"/>
      <w:pPr>
        <w:ind w:left="720" w:hanging="360"/>
      </w:pPr>
      <w:rPr>
        <w:rFonts w:ascii="Symbol" w:hAnsi="Symbol" w:hint="default"/>
      </w:rPr>
    </w:lvl>
    <w:lvl w:ilvl="1" w:tplc="C234C24C">
      <w:start w:val="1"/>
      <w:numFmt w:val="bullet"/>
      <w:lvlText w:val=""/>
      <w:lvlJc w:val="left"/>
      <w:pPr>
        <w:ind w:left="1440" w:hanging="360"/>
      </w:pPr>
      <w:rPr>
        <w:rFonts w:ascii="Symbol" w:hAnsi="Symbol" w:hint="default"/>
      </w:rPr>
    </w:lvl>
    <w:lvl w:ilvl="2" w:tplc="53BCD722">
      <w:start w:val="1"/>
      <w:numFmt w:val="bullet"/>
      <w:lvlText w:val=""/>
      <w:lvlJc w:val="left"/>
      <w:pPr>
        <w:ind w:left="2160" w:hanging="360"/>
      </w:pPr>
      <w:rPr>
        <w:rFonts w:ascii="Wingdings" w:hAnsi="Wingdings" w:hint="default"/>
      </w:rPr>
    </w:lvl>
    <w:lvl w:ilvl="3" w:tplc="B2E8F578">
      <w:start w:val="1"/>
      <w:numFmt w:val="bullet"/>
      <w:lvlText w:val=""/>
      <w:lvlJc w:val="left"/>
      <w:pPr>
        <w:ind w:left="2880" w:hanging="360"/>
      </w:pPr>
      <w:rPr>
        <w:rFonts w:ascii="Symbol" w:hAnsi="Symbol" w:hint="default"/>
      </w:rPr>
    </w:lvl>
    <w:lvl w:ilvl="4" w:tplc="9AB454B8">
      <w:start w:val="1"/>
      <w:numFmt w:val="bullet"/>
      <w:lvlText w:val="o"/>
      <w:lvlJc w:val="left"/>
      <w:pPr>
        <w:ind w:left="3600" w:hanging="360"/>
      </w:pPr>
      <w:rPr>
        <w:rFonts w:ascii="Courier New" w:hAnsi="Courier New" w:hint="default"/>
      </w:rPr>
    </w:lvl>
    <w:lvl w:ilvl="5" w:tplc="6C6E1882">
      <w:start w:val="1"/>
      <w:numFmt w:val="bullet"/>
      <w:lvlText w:val=""/>
      <w:lvlJc w:val="left"/>
      <w:pPr>
        <w:ind w:left="4320" w:hanging="360"/>
      </w:pPr>
      <w:rPr>
        <w:rFonts w:ascii="Wingdings" w:hAnsi="Wingdings" w:hint="default"/>
      </w:rPr>
    </w:lvl>
    <w:lvl w:ilvl="6" w:tplc="915C0332">
      <w:start w:val="1"/>
      <w:numFmt w:val="bullet"/>
      <w:lvlText w:val=""/>
      <w:lvlJc w:val="left"/>
      <w:pPr>
        <w:ind w:left="5040" w:hanging="360"/>
      </w:pPr>
      <w:rPr>
        <w:rFonts w:ascii="Symbol" w:hAnsi="Symbol" w:hint="default"/>
      </w:rPr>
    </w:lvl>
    <w:lvl w:ilvl="7" w:tplc="CE307F22">
      <w:start w:val="1"/>
      <w:numFmt w:val="bullet"/>
      <w:lvlText w:val="o"/>
      <w:lvlJc w:val="left"/>
      <w:pPr>
        <w:ind w:left="5760" w:hanging="360"/>
      </w:pPr>
      <w:rPr>
        <w:rFonts w:ascii="Courier New" w:hAnsi="Courier New" w:hint="default"/>
      </w:rPr>
    </w:lvl>
    <w:lvl w:ilvl="8" w:tplc="AA38B680">
      <w:start w:val="1"/>
      <w:numFmt w:val="bullet"/>
      <w:lvlText w:val=""/>
      <w:lvlJc w:val="left"/>
      <w:pPr>
        <w:ind w:left="6480" w:hanging="360"/>
      </w:pPr>
      <w:rPr>
        <w:rFonts w:ascii="Wingdings" w:hAnsi="Wingdings" w:hint="default"/>
      </w:rPr>
    </w:lvl>
  </w:abstractNum>
  <w:abstractNum w:abstractNumId="134" w15:restartNumberingAfterBreak="0">
    <w:nsid w:val="45A456D1"/>
    <w:multiLevelType w:val="hybridMultilevel"/>
    <w:tmpl w:val="9E14DD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46100C62"/>
    <w:multiLevelType w:val="hybridMultilevel"/>
    <w:tmpl w:val="5EA8AF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6" w15:restartNumberingAfterBreak="0">
    <w:nsid w:val="46100ED6"/>
    <w:multiLevelType w:val="hybridMultilevel"/>
    <w:tmpl w:val="B8647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465164F5"/>
    <w:multiLevelType w:val="hybridMultilevel"/>
    <w:tmpl w:val="9362B3B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8" w15:restartNumberingAfterBreak="0">
    <w:nsid w:val="4741D46E"/>
    <w:multiLevelType w:val="hybridMultilevel"/>
    <w:tmpl w:val="90CEA364"/>
    <w:lvl w:ilvl="0" w:tplc="B204B2F6">
      <w:start w:val="1"/>
      <w:numFmt w:val="bullet"/>
      <w:lvlText w:val=""/>
      <w:lvlJc w:val="left"/>
      <w:pPr>
        <w:ind w:left="720" w:hanging="360"/>
      </w:pPr>
      <w:rPr>
        <w:rFonts w:ascii="Symbol" w:hAnsi="Symbol" w:hint="default"/>
      </w:rPr>
    </w:lvl>
    <w:lvl w:ilvl="1" w:tplc="3822C270">
      <w:start w:val="1"/>
      <w:numFmt w:val="bullet"/>
      <w:lvlText w:val="o"/>
      <w:lvlJc w:val="left"/>
      <w:pPr>
        <w:ind w:left="1440" w:hanging="360"/>
      </w:pPr>
      <w:rPr>
        <w:rFonts w:ascii="Courier New" w:hAnsi="Courier New" w:hint="default"/>
      </w:rPr>
    </w:lvl>
    <w:lvl w:ilvl="2" w:tplc="E2B6102E">
      <w:start w:val="1"/>
      <w:numFmt w:val="bullet"/>
      <w:lvlText w:val=""/>
      <w:lvlJc w:val="left"/>
      <w:pPr>
        <w:ind w:left="2160" w:hanging="360"/>
      </w:pPr>
      <w:rPr>
        <w:rFonts w:ascii="Wingdings" w:hAnsi="Wingdings" w:hint="default"/>
      </w:rPr>
    </w:lvl>
    <w:lvl w:ilvl="3" w:tplc="2A16DB44">
      <w:start w:val="1"/>
      <w:numFmt w:val="bullet"/>
      <w:lvlText w:val=""/>
      <w:lvlJc w:val="left"/>
      <w:pPr>
        <w:ind w:left="2880" w:hanging="360"/>
      </w:pPr>
      <w:rPr>
        <w:rFonts w:ascii="Symbol" w:hAnsi="Symbol" w:hint="default"/>
      </w:rPr>
    </w:lvl>
    <w:lvl w:ilvl="4" w:tplc="7C78A994">
      <w:start w:val="1"/>
      <w:numFmt w:val="bullet"/>
      <w:lvlText w:val="o"/>
      <w:lvlJc w:val="left"/>
      <w:pPr>
        <w:ind w:left="3600" w:hanging="360"/>
      </w:pPr>
      <w:rPr>
        <w:rFonts w:ascii="Courier New" w:hAnsi="Courier New" w:hint="default"/>
      </w:rPr>
    </w:lvl>
    <w:lvl w:ilvl="5" w:tplc="387C4FD8">
      <w:start w:val="1"/>
      <w:numFmt w:val="bullet"/>
      <w:lvlText w:val=""/>
      <w:lvlJc w:val="left"/>
      <w:pPr>
        <w:ind w:left="4320" w:hanging="360"/>
      </w:pPr>
      <w:rPr>
        <w:rFonts w:ascii="Wingdings" w:hAnsi="Wingdings" w:hint="default"/>
      </w:rPr>
    </w:lvl>
    <w:lvl w:ilvl="6" w:tplc="7C4CCCA4">
      <w:start w:val="1"/>
      <w:numFmt w:val="bullet"/>
      <w:lvlText w:val=""/>
      <w:lvlJc w:val="left"/>
      <w:pPr>
        <w:ind w:left="5040" w:hanging="360"/>
      </w:pPr>
      <w:rPr>
        <w:rFonts w:ascii="Symbol" w:hAnsi="Symbol" w:hint="default"/>
      </w:rPr>
    </w:lvl>
    <w:lvl w:ilvl="7" w:tplc="3B94E98E">
      <w:start w:val="1"/>
      <w:numFmt w:val="bullet"/>
      <w:lvlText w:val="o"/>
      <w:lvlJc w:val="left"/>
      <w:pPr>
        <w:ind w:left="5760" w:hanging="360"/>
      </w:pPr>
      <w:rPr>
        <w:rFonts w:ascii="Courier New" w:hAnsi="Courier New" w:hint="default"/>
      </w:rPr>
    </w:lvl>
    <w:lvl w:ilvl="8" w:tplc="A1F266FE">
      <w:start w:val="1"/>
      <w:numFmt w:val="bullet"/>
      <w:lvlText w:val=""/>
      <w:lvlJc w:val="left"/>
      <w:pPr>
        <w:ind w:left="6480" w:hanging="360"/>
      </w:pPr>
      <w:rPr>
        <w:rFonts w:ascii="Wingdings" w:hAnsi="Wingdings" w:hint="default"/>
      </w:rPr>
    </w:lvl>
  </w:abstractNum>
  <w:abstractNum w:abstractNumId="139" w15:restartNumberingAfterBreak="0">
    <w:nsid w:val="477B59E9"/>
    <w:multiLevelType w:val="hybridMultilevel"/>
    <w:tmpl w:val="0868FF96"/>
    <w:lvl w:ilvl="0" w:tplc="C0F0277A">
      <w:start w:val="1"/>
      <w:numFmt w:val="bullet"/>
      <w:lvlText w:val="-"/>
      <w:lvlJc w:val="left"/>
      <w:pPr>
        <w:ind w:left="720" w:hanging="360"/>
      </w:pPr>
      <w:rPr>
        <w:rFonts w:ascii="Aptos" w:hAnsi="Aptos" w:hint="default"/>
      </w:rPr>
    </w:lvl>
    <w:lvl w:ilvl="1" w:tplc="C8064790">
      <w:start w:val="1"/>
      <w:numFmt w:val="bullet"/>
      <w:lvlText w:val="o"/>
      <w:lvlJc w:val="left"/>
      <w:pPr>
        <w:ind w:left="1440" w:hanging="360"/>
      </w:pPr>
      <w:rPr>
        <w:rFonts w:ascii="Courier New" w:hAnsi="Courier New" w:hint="default"/>
      </w:rPr>
    </w:lvl>
    <w:lvl w:ilvl="2" w:tplc="C072468C">
      <w:start w:val="1"/>
      <w:numFmt w:val="bullet"/>
      <w:lvlText w:val=""/>
      <w:lvlJc w:val="left"/>
      <w:pPr>
        <w:ind w:left="2160" w:hanging="360"/>
      </w:pPr>
      <w:rPr>
        <w:rFonts w:ascii="Wingdings" w:hAnsi="Wingdings" w:hint="default"/>
      </w:rPr>
    </w:lvl>
    <w:lvl w:ilvl="3" w:tplc="E24AB1FA">
      <w:start w:val="1"/>
      <w:numFmt w:val="bullet"/>
      <w:lvlText w:val=""/>
      <w:lvlJc w:val="left"/>
      <w:pPr>
        <w:ind w:left="2880" w:hanging="360"/>
      </w:pPr>
      <w:rPr>
        <w:rFonts w:ascii="Symbol" w:hAnsi="Symbol" w:hint="default"/>
      </w:rPr>
    </w:lvl>
    <w:lvl w:ilvl="4" w:tplc="671AB2E2">
      <w:start w:val="1"/>
      <w:numFmt w:val="bullet"/>
      <w:lvlText w:val="o"/>
      <w:lvlJc w:val="left"/>
      <w:pPr>
        <w:ind w:left="3600" w:hanging="360"/>
      </w:pPr>
      <w:rPr>
        <w:rFonts w:ascii="Courier New" w:hAnsi="Courier New" w:hint="default"/>
      </w:rPr>
    </w:lvl>
    <w:lvl w:ilvl="5" w:tplc="377CD842">
      <w:start w:val="1"/>
      <w:numFmt w:val="bullet"/>
      <w:lvlText w:val=""/>
      <w:lvlJc w:val="left"/>
      <w:pPr>
        <w:ind w:left="4320" w:hanging="360"/>
      </w:pPr>
      <w:rPr>
        <w:rFonts w:ascii="Wingdings" w:hAnsi="Wingdings" w:hint="default"/>
      </w:rPr>
    </w:lvl>
    <w:lvl w:ilvl="6" w:tplc="F9F4B22E">
      <w:start w:val="1"/>
      <w:numFmt w:val="bullet"/>
      <w:lvlText w:val=""/>
      <w:lvlJc w:val="left"/>
      <w:pPr>
        <w:ind w:left="5040" w:hanging="360"/>
      </w:pPr>
      <w:rPr>
        <w:rFonts w:ascii="Symbol" w:hAnsi="Symbol" w:hint="default"/>
      </w:rPr>
    </w:lvl>
    <w:lvl w:ilvl="7" w:tplc="2D8836F6">
      <w:start w:val="1"/>
      <w:numFmt w:val="bullet"/>
      <w:lvlText w:val="o"/>
      <w:lvlJc w:val="left"/>
      <w:pPr>
        <w:ind w:left="5760" w:hanging="360"/>
      </w:pPr>
      <w:rPr>
        <w:rFonts w:ascii="Courier New" w:hAnsi="Courier New" w:hint="default"/>
      </w:rPr>
    </w:lvl>
    <w:lvl w:ilvl="8" w:tplc="0100C6BA">
      <w:start w:val="1"/>
      <w:numFmt w:val="bullet"/>
      <w:lvlText w:val=""/>
      <w:lvlJc w:val="left"/>
      <w:pPr>
        <w:ind w:left="6480" w:hanging="360"/>
      </w:pPr>
      <w:rPr>
        <w:rFonts w:ascii="Wingdings" w:hAnsi="Wingdings" w:hint="default"/>
      </w:rPr>
    </w:lvl>
  </w:abstractNum>
  <w:abstractNum w:abstractNumId="140" w15:restartNumberingAfterBreak="0">
    <w:nsid w:val="478738AD"/>
    <w:multiLevelType w:val="hybridMultilevel"/>
    <w:tmpl w:val="79EA767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1" w15:restartNumberingAfterBreak="0">
    <w:nsid w:val="4795503A"/>
    <w:multiLevelType w:val="hybridMultilevel"/>
    <w:tmpl w:val="08E800AC"/>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4879F62A"/>
    <w:multiLevelType w:val="hybridMultilevel"/>
    <w:tmpl w:val="C784AAF0"/>
    <w:lvl w:ilvl="0" w:tplc="3946C4D4">
      <w:start w:val="1"/>
      <w:numFmt w:val="bullet"/>
      <w:lvlText w:val=""/>
      <w:lvlJc w:val="left"/>
      <w:pPr>
        <w:ind w:left="720" w:hanging="360"/>
      </w:pPr>
      <w:rPr>
        <w:rFonts w:ascii="Symbol" w:hAnsi="Symbol" w:hint="default"/>
      </w:rPr>
    </w:lvl>
    <w:lvl w:ilvl="1" w:tplc="8DEE4564">
      <w:start w:val="1"/>
      <w:numFmt w:val="bullet"/>
      <w:lvlText w:val="o"/>
      <w:lvlJc w:val="left"/>
      <w:pPr>
        <w:ind w:left="1440" w:hanging="360"/>
      </w:pPr>
      <w:rPr>
        <w:rFonts w:ascii="Courier New" w:hAnsi="Courier New" w:hint="default"/>
      </w:rPr>
    </w:lvl>
    <w:lvl w:ilvl="2" w:tplc="6F5EC8BA">
      <w:start w:val="1"/>
      <w:numFmt w:val="bullet"/>
      <w:lvlText w:val=""/>
      <w:lvlJc w:val="left"/>
      <w:pPr>
        <w:ind w:left="2160" w:hanging="360"/>
      </w:pPr>
      <w:rPr>
        <w:rFonts w:ascii="Wingdings" w:hAnsi="Wingdings" w:hint="default"/>
      </w:rPr>
    </w:lvl>
    <w:lvl w:ilvl="3" w:tplc="0EC4F670">
      <w:start w:val="1"/>
      <w:numFmt w:val="bullet"/>
      <w:lvlText w:val=""/>
      <w:lvlJc w:val="left"/>
      <w:pPr>
        <w:ind w:left="2880" w:hanging="360"/>
      </w:pPr>
      <w:rPr>
        <w:rFonts w:ascii="Symbol" w:hAnsi="Symbol" w:hint="default"/>
      </w:rPr>
    </w:lvl>
    <w:lvl w:ilvl="4" w:tplc="BA18A352">
      <w:start w:val="1"/>
      <w:numFmt w:val="bullet"/>
      <w:lvlText w:val="o"/>
      <w:lvlJc w:val="left"/>
      <w:pPr>
        <w:ind w:left="3600" w:hanging="360"/>
      </w:pPr>
      <w:rPr>
        <w:rFonts w:ascii="Courier New" w:hAnsi="Courier New" w:hint="default"/>
      </w:rPr>
    </w:lvl>
    <w:lvl w:ilvl="5" w:tplc="24949C2A">
      <w:start w:val="1"/>
      <w:numFmt w:val="bullet"/>
      <w:lvlText w:val=""/>
      <w:lvlJc w:val="left"/>
      <w:pPr>
        <w:ind w:left="4320" w:hanging="360"/>
      </w:pPr>
      <w:rPr>
        <w:rFonts w:ascii="Wingdings" w:hAnsi="Wingdings" w:hint="default"/>
      </w:rPr>
    </w:lvl>
    <w:lvl w:ilvl="6" w:tplc="9C5E3CA2">
      <w:start w:val="1"/>
      <w:numFmt w:val="bullet"/>
      <w:lvlText w:val=""/>
      <w:lvlJc w:val="left"/>
      <w:pPr>
        <w:ind w:left="5040" w:hanging="360"/>
      </w:pPr>
      <w:rPr>
        <w:rFonts w:ascii="Symbol" w:hAnsi="Symbol" w:hint="default"/>
      </w:rPr>
    </w:lvl>
    <w:lvl w:ilvl="7" w:tplc="84F2C46A">
      <w:start w:val="1"/>
      <w:numFmt w:val="bullet"/>
      <w:lvlText w:val="o"/>
      <w:lvlJc w:val="left"/>
      <w:pPr>
        <w:ind w:left="5760" w:hanging="360"/>
      </w:pPr>
      <w:rPr>
        <w:rFonts w:ascii="Courier New" w:hAnsi="Courier New" w:hint="default"/>
      </w:rPr>
    </w:lvl>
    <w:lvl w:ilvl="8" w:tplc="8FD419BA">
      <w:start w:val="1"/>
      <w:numFmt w:val="bullet"/>
      <w:lvlText w:val=""/>
      <w:lvlJc w:val="left"/>
      <w:pPr>
        <w:ind w:left="6480" w:hanging="360"/>
      </w:pPr>
      <w:rPr>
        <w:rFonts w:ascii="Wingdings" w:hAnsi="Wingdings" w:hint="default"/>
      </w:rPr>
    </w:lvl>
  </w:abstractNum>
  <w:abstractNum w:abstractNumId="143" w15:restartNumberingAfterBreak="0">
    <w:nsid w:val="49051018"/>
    <w:multiLevelType w:val="hybridMultilevel"/>
    <w:tmpl w:val="370080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4" w15:restartNumberingAfterBreak="0">
    <w:nsid w:val="49340A54"/>
    <w:multiLevelType w:val="hybridMultilevel"/>
    <w:tmpl w:val="BB9830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5" w15:restartNumberingAfterBreak="0">
    <w:nsid w:val="49B31D24"/>
    <w:multiLevelType w:val="hybridMultilevel"/>
    <w:tmpl w:val="284EC2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6" w15:restartNumberingAfterBreak="0">
    <w:nsid w:val="49DBD293"/>
    <w:multiLevelType w:val="hybridMultilevel"/>
    <w:tmpl w:val="FFFFFFFF"/>
    <w:lvl w:ilvl="0" w:tplc="1230F7E8">
      <w:start w:val="1"/>
      <w:numFmt w:val="bullet"/>
      <w:lvlText w:val=""/>
      <w:lvlJc w:val="left"/>
      <w:pPr>
        <w:ind w:left="720" w:hanging="360"/>
      </w:pPr>
      <w:rPr>
        <w:rFonts w:ascii="Symbol" w:hAnsi="Symbol" w:hint="default"/>
      </w:rPr>
    </w:lvl>
    <w:lvl w:ilvl="1" w:tplc="35B4BD92">
      <w:start w:val="1"/>
      <w:numFmt w:val="bullet"/>
      <w:lvlText w:val=""/>
      <w:lvlJc w:val="left"/>
      <w:pPr>
        <w:ind w:left="1440" w:hanging="360"/>
      </w:pPr>
      <w:rPr>
        <w:rFonts w:ascii="Symbol" w:hAnsi="Symbol" w:hint="default"/>
      </w:rPr>
    </w:lvl>
    <w:lvl w:ilvl="2" w:tplc="4066104E">
      <w:start w:val="1"/>
      <w:numFmt w:val="bullet"/>
      <w:lvlText w:val=""/>
      <w:lvlJc w:val="left"/>
      <w:pPr>
        <w:ind w:left="2160" w:hanging="360"/>
      </w:pPr>
      <w:rPr>
        <w:rFonts w:ascii="Wingdings" w:hAnsi="Wingdings" w:hint="default"/>
      </w:rPr>
    </w:lvl>
    <w:lvl w:ilvl="3" w:tplc="EFC27490">
      <w:start w:val="1"/>
      <w:numFmt w:val="bullet"/>
      <w:lvlText w:val=""/>
      <w:lvlJc w:val="left"/>
      <w:pPr>
        <w:ind w:left="2880" w:hanging="360"/>
      </w:pPr>
      <w:rPr>
        <w:rFonts w:ascii="Symbol" w:hAnsi="Symbol" w:hint="default"/>
      </w:rPr>
    </w:lvl>
    <w:lvl w:ilvl="4" w:tplc="56A0A28E">
      <w:start w:val="1"/>
      <w:numFmt w:val="bullet"/>
      <w:lvlText w:val="o"/>
      <w:lvlJc w:val="left"/>
      <w:pPr>
        <w:ind w:left="3600" w:hanging="360"/>
      </w:pPr>
      <w:rPr>
        <w:rFonts w:ascii="Courier New" w:hAnsi="Courier New" w:hint="default"/>
      </w:rPr>
    </w:lvl>
    <w:lvl w:ilvl="5" w:tplc="C1DEEEA2">
      <w:start w:val="1"/>
      <w:numFmt w:val="bullet"/>
      <w:lvlText w:val=""/>
      <w:lvlJc w:val="left"/>
      <w:pPr>
        <w:ind w:left="4320" w:hanging="360"/>
      </w:pPr>
      <w:rPr>
        <w:rFonts w:ascii="Wingdings" w:hAnsi="Wingdings" w:hint="default"/>
      </w:rPr>
    </w:lvl>
    <w:lvl w:ilvl="6" w:tplc="5ED0C28A">
      <w:start w:val="1"/>
      <w:numFmt w:val="bullet"/>
      <w:lvlText w:val=""/>
      <w:lvlJc w:val="left"/>
      <w:pPr>
        <w:ind w:left="5040" w:hanging="360"/>
      </w:pPr>
      <w:rPr>
        <w:rFonts w:ascii="Symbol" w:hAnsi="Symbol" w:hint="default"/>
      </w:rPr>
    </w:lvl>
    <w:lvl w:ilvl="7" w:tplc="E070D83C">
      <w:start w:val="1"/>
      <w:numFmt w:val="bullet"/>
      <w:lvlText w:val="o"/>
      <w:lvlJc w:val="left"/>
      <w:pPr>
        <w:ind w:left="5760" w:hanging="360"/>
      </w:pPr>
      <w:rPr>
        <w:rFonts w:ascii="Courier New" w:hAnsi="Courier New" w:hint="default"/>
      </w:rPr>
    </w:lvl>
    <w:lvl w:ilvl="8" w:tplc="FDD0DE32">
      <w:start w:val="1"/>
      <w:numFmt w:val="bullet"/>
      <w:lvlText w:val=""/>
      <w:lvlJc w:val="left"/>
      <w:pPr>
        <w:ind w:left="6480" w:hanging="360"/>
      </w:pPr>
      <w:rPr>
        <w:rFonts w:ascii="Wingdings" w:hAnsi="Wingdings" w:hint="default"/>
      </w:rPr>
    </w:lvl>
  </w:abstractNum>
  <w:abstractNum w:abstractNumId="147" w15:restartNumberingAfterBreak="0">
    <w:nsid w:val="4A642666"/>
    <w:multiLevelType w:val="multilevel"/>
    <w:tmpl w:val="96FE1A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4A6B24DE"/>
    <w:multiLevelType w:val="hybridMultilevel"/>
    <w:tmpl w:val="3F2CE2C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4A83A81D"/>
    <w:multiLevelType w:val="hybridMultilevel"/>
    <w:tmpl w:val="8410B95E"/>
    <w:lvl w:ilvl="0" w:tplc="EB049FE4">
      <w:start w:val="1"/>
      <w:numFmt w:val="decimal"/>
      <w:lvlText w:val="%1."/>
      <w:lvlJc w:val="left"/>
      <w:pPr>
        <w:ind w:left="720" w:hanging="360"/>
      </w:pPr>
    </w:lvl>
    <w:lvl w:ilvl="1" w:tplc="739CA542">
      <w:start w:val="1"/>
      <w:numFmt w:val="lowerLetter"/>
      <w:lvlText w:val="%2."/>
      <w:lvlJc w:val="left"/>
      <w:pPr>
        <w:ind w:left="1440" w:hanging="360"/>
      </w:pPr>
    </w:lvl>
    <w:lvl w:ilvl="2" w:tplc="842CF474">
      <w:start w:val="1"/>
      <w:numFmt w:val="lowerRoman"/>
      <w:lvlText w:val="%3."/>
      <w:lvlJc w:val="right"/>
      <w:pPr>
        <w:ind w:left="2160" w:hanging="180"/>
      </w:pPr>
    </w:lvl>
    <w:lvl w:ilvl="3" w:tplc="A02667B0">
      <w:start w:val="1"/>
      <w:numFmt w:val="decimal"/>
      <w:lvlText w:val="%4."/>
      <w:lvlJc w:val="left"/>
      <w:pPr>
        <w:ind w:left="2880" w:hanging="360"/>
      </w:pPr>
    </w:lvl>
    <w:lvl w:ilvl="4" w:tplc="486A57FA">
      <w:start w:val="1"/>
      <w:numFmt w:val="lowerLetter"/>
      <w:lvlText w:val="%5."/>
      <w:lvlJc w:val="left"/>
      <w:pPr>
        <w:ind w:left="3600" w:hanging="360"/>
      </w:pPr>
    </w:lvl>
    <w:lvl w:ilvl="5" w:tplc="96165882">
      <w:start w:val="1"/>
      <w:numFmt w:val="lowerRoman"/>
      <w:lvlText w:val="%6."/>
      <w:lvlJc w:val="right"/>
      <w:pPr>
        <w:ind w:left="4320" w:hanging="180"/>
      </w:pPr>
    </w:lvl>
    <w:lvl w:ilvl="6" w:tplc="C93803AA">
      <w:start w:val="1"/>
      <w:numFmt w:val="decimal"/>
      <w:lvlText w:val="%7."/>
      <w:lvlJc w:val="left"/>
      <w:pPr>
        <w:ind w:left="5040" w:hanging="360"/>
      </w:pPr>
    </w:lvl>
    <w:lvl w:ilvl="7" w:tplc="11506960">
      <w:start w:val="1"/>
      <w:numFmt w:val="lowerLetter"/>
      <w:lvlText w:val="%8."/>
      <w:lvlJc w:val="left"/>
      <w:pPr>
        <w:ind w:left="5760" w:hanging="360"/>
      </w:pPr>
    </w:lvl>
    <w:lvl w:ilvl="8" w:tplc="E7CC3E52">
      <w:start w:val="1"/>
      <w:numFmt w:val="lowerRoman"/>
      <w:lvlText w:val="%9."/>
      <w:lvlJc w:val="right"/>
      <w:pPr>
        <w:ind w:left="6480" w:hanging="180"/>
      </w:pPr>
    </w:lvl>
  </w:abstractNum>
  <w:abstractNum w:abstractNumId="150" w15:restartNumberingAfterBreak="0">
    <w:nsid w:val="4B891262"/>
    <w:multiLevelType w:val="hybridMultilevel"/>
    <w:tmpl w:val="0330B51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1" w15:restartNumberingAfterBreak="0">
    <w:nsid w:val="4BC74C4D"/>
    <w:multiLevelType w:val="hybridMultilevel"/>
    <w:tmpl w:val="FB5483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2" w15:restartNumberingAfterBreak="0">
    <w:nsid w:val="4C2209D8"/>
    <w:multiLevelType w:val="hybridMultilevel"/>
    <w:tmpl w:val="8578F090"/>
    <w:lvl w:ilvl="0" w:tplc="70BC4492">
      <w:start w:val="1"/>
      <w:numFmt w:val="bullet"/>
      <w:lvlText w:val=""/>
      <w:lvlJc w:val="left"/>
      <w:pPr>
        <w:ind w:left="720" w:hanging="360"/>
      </w:pPr>
      <w:rPr>
        <w:rFonts w:ascii="Symbol" w:hAnsi="Symbol"/>
      </w:rPr>
    </w:lvl>
    <w:lvl w:ilvl="1" w:tplc="076403AA">
      <w:start w:val="1"/>
      <w:numFmt w:val="bullet"/>
      <w:lvlText w:val=""/>
      <w:lvlJc w:val="left"/>
      <w:pPr>
        <w:ind w:left="720" w:hanging="360"/>
      </w:pPr>
      <w:rPr>
        <w:rFonts w:ascii="Symbol" w:hAnsi="Symbol"/>
      </w:rPr>
    </w:lvl>
    <w:lvl w:ilvl="2" w:tplc="02DAB37C">
      <w:start w:val="1"/>
      <w:numFmt w:val="bullet"/>
      <w:lvlText w:val=""/>
      <w:lvlJc w:val="left"/>
      <w:pPr>
        <w:ind w:left="720" w:hanging="360"/>
      </w:pPr>
      <w:rPr>
        <w:rFonts w:ascii="Symbol" w:hAnsi="Symbol"/>
      </w:rPr>
    </w:lvl>
    <w:lvl w:ilvl="3" w:tplc="473076B0">
      <w:start w:val="1"/>
      <w:numFmt w:val="bullet"/>
      <w:lvlText w:val=""/>
      <w:lvlJc w:val="left"/>
      <w:pPr>
        <w:ind w:left="720" w:hanging="360"/>
      </w:pPr>
      <w:rPr>
        <w:rFonts w:ascii="Symbol" w:hAnsi="Symbol"/>
      </w:rPr>
    </w:lvl>
    <w:lvl w:ilvl="4" w:tplc="980C962E">
      <w:start w:val="1"/>
      <w:numFmt w:val="bullet"/>
      <w:lvlText w:val=""/>
      <w:lvlJc w:val="left"/>
      <w:pPr>
        <w:ind w:left="720" w:hanging="360"/>
      </w:pPr>
      <w:rPr>
        <w:rFonts w:ascii="Symbol" w:hAnsi="Symbol"/>
      </w:rPr>
    </w:lvl>
    <w:lvl w:ilvl="5" w:tplc="FD7873F4">
      <w:start w:val="1"/>
      <w:numFmt w:val="bullet"/>
      <w:lvlText w:val=""/>
      <w:lvlJc w:val="left"/>
      <w:pPr>
        <w:ind w:left="720" w:hanging="360"/>
      </w:pPr>
      <w:rPr>
        <w:rFonts w:ascii="Symbol" w:hAnsi="Symbol"/>
      </w:rPr>
    </w:lvl>
    <w:lvl w:ilvl="6" w:tplc="B494140C">
      <w:start w:val="1"/>
      <w:numFmt w:val="bullet"/>
      <w:lvlText w:val=""/>
      <w:lvlJc w:val="left"/>
      <w:pPr>
        <w:ind w:left="720" w:hanging="360"/>
      </w:pPr>
      <w:rPr>
        <w:rFonts w:ascii="Symbol" w:hAnsi="Symbol"/>
      </w:rPr>
    </w:lvl>
    <w:lvl w:ilvl="7" w:tplc="57D4DC72">
      <w:start w:val="1"/>
      <w:numFmt w:val="bullet"/>
      <w:lvlText w:val=""/>
      <w:lvlJc w:val="left"/>
      <w:pPr>
        <w:ind w:left="720" w:hanging="360"/>
      </w:pPr>
      <w:rPr>
        <w:rFonts w:ascii="Symbol" w:hAnsi="Symbol"/>
      </w:rPr>
    </w:lvl>
    <w:lvl w:ilvl="8" w:tplc="8F368254">
      <w:start w:val="1"/>
      <w:numFmt w:val="bullet"/>
      <w:lvlText w:val=""/>
      <w:lvlJc w:val="left"/>
      <w:pPr>
        <w:ind w:left="720" w:hanging="360"/>
      </w:pPr>
      <w:rPr>
        <w:rFonts w:ascii="Symbol" w:hAnsi="Symbol"/>
      </w:rPr>
    </w:lvl>
  </w:abstractNum>
  <w:abstractNum w:abstractNumId="153" w15:restartNumberingAfterBreak="0">
    <w:nsid w:val="4E0A11DD"/>
    <w:multiLevelType w:val="hybridMultilevel"/>
    <w:tmpl w:val="94CA9D4C"/>
    <w:styleLink w:val="CurrentList1"/>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4" w15:restartNumberingAfterBreak="0">
    <w:nsid w:val="4E1A7ED1"/>
    <w:multiLevelType w:val="hybridMultilevel"/>
    <w:tmpl w:val="BF2A31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5" w15:restartNumberingAfterBreak="0">
    <w:nsid w:val="4F192E9E"/>
    <w:multiLevelType w:val="hybridMultilevel"/>
    <w:tmpl w:val="464C40EA"/>
    <w:lvl w:ilvl="0" w:tplc="FFFFFFFF">
      <w:start w:val="1"/>
      <w:numFmt w:val="bullet"/>
      <w:lvlText w:val="-"/>
      <w:lvlJc w:val="left"/>
      <w:pPr>
        <w:ind w:left="720" w:hanging="360"/>
      </w:pPr>
      <w:rPr>
        <w:rFonts w:ascii="Times New Roman" w:hAnsi="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6" w15:restartNumberingAfterBreak="0">
    <w:nsid w:val="4F442812"/>
    <w:multiLevelType w:val="hybridMultilevel"/>
    <w:tmpl w:val="FD9AB21A"/>
    <w:lvl w:ilvl="0" w:tplc="FD4861A0">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7" w15:restartNumberingAfterBreak="0">
    <w:nsid w:val="4F4C67C2"/>
    <w:multiLevelType w:val="hybridMultilevel"/>
    <w:tmpl w:val="A19E917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4FBE03C7"/>
    <w:multiLevelType w:val="multilevel"/>
    <w:tmpl w:val="06DC62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150410A"/>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0" w15:restartNumberingAfterBreak="0">
    <w:nsid w:val="51532334"/>
    <w:multiLevelType w:val="hybridMultilevel"/>
    <w:tmpl w:val="6D0281F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1" w15:restartNumberingAfterBreak="0">
    <w:nsid w:val="51894851"/>
    <w:multiLevelType w:val="hybridMultilevel"/>
    <w:tmpl w:val="04989AD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2" w15:restartNumberingAfterBreak="0">
    <w:nsid w:val="51D81EDB"/>
    <w:multiLevelType w:val="hybridMultilevel"/>
    <w:tmpl w:val="948091AE"/>
    <w:lvl w:ilvl="0" w:tplc="4FD06AB8">
      <w:numFmt w:val="bullet"/>
      <w:lvlText w:val=""/>
      <w:lvlJc w:val="left"/>
      <w:pPr>
        <w:ind w:left="720" w:hanging="360"/>
      </w:pPr>
      <w:rPr>
        <w:rFonts w:ascii="Wingdings" w:eastAsia="Times New Roman"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3" w15:restartNumberingAfterBreak="0">
    <w:nsid w:val="52764469"/>
    <w:multiLevelType w:val="hybridMultilevel"/>
    <w:tmpl w:val="08E800AC"/>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528D35C2"/>
    <w:multiLevelType w:val="multilevel"/>
    <w:tmpl w:val="14CE9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2DC7CE0"/>
    <w:multiLevelType w:val="multilevel"/>
    <w:tmpl w:val="C620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535D5779"/>
    <w:multiLevelType w:val="hybridMultilevel"/>
    <w:tmpl w:val="D58883A2"/>
    <w:lvl w:ilvl="0" w:tplc="7ED64254">
      <w:start w:val="1"/>
      <w:numFmt w:val="decimal"/>
      <w:lvlText w:val="%1."/>
      <w:lvlJc w:val="left"/>
      <w:pPr>
        <w:ind w:left="720" w:hanging="360"/>
      </w:pPr>
      <w:rPr>
        <w:rFonts w:ascii="Times New Roman" w:hAnsi="Times New Roman" w:cs="Times New Roman" w:hint="default"/>
        <w:b/>
        <w:bCs/>
        <w:color w:val="auto"/>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7" w15:restartNumberingAfterBreak="0">
    <w:nsid w:val="53733509"/>
    <w:multiLevelType w:val="hybridMultilevel"/>
    <w:tmpl w:val="8B748D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8" w15:restartNumberingAfterBreak="0">
    <w:nsid w:val="53FC3BC5"/>
    <w:multiLevelType w:val="hybridMultilevel"/>
    <w:tmpl w:val="9A44C884"/>
    <w:lvl w:ilvl="0" w:tplc="E89C6D5A">
      <w:start w:val="1"/>
      <w:numFmt w:val="decimal"/>
      <w:lvlText w:val="%1."/>
      <w:lvlJc w:val="left"/>
      <w:pPr>
        <w:ind w:left="720" w:hanging="360"/>
      </w:pPr>
    </w:lvl>
    <w:lvl w:ilvl="1" w:tplc="9A88D0A6">
      <w:start w:val="1"/>
      <w:numFmt w:val="lowerLetter"/>
      <w:lvlText w:val="%2."/>
      <w:lvlJc w:val="left"/>
      <w:pPr>
        <w:ind w:left="1440" w:hanging="360"/>
      </w:pPr>
    </w:lvl>
    <w:lvl w:ilvl="2" w:tplc="143CB966">
      <w:start w:val="1"/>
      <w:numFmt w:val="lowerRoman"/>
      <w:lvlText w:val="%3."/>
      <w:lvlJc w:val="right"/>
      <w:pPr>
        <w:ind w:left="2160" w:hanging="180"/>
      </w:pPr>
    </w:lvl>
    <w:lvl w:ilvl="3" w:tplc="F52424D4">
      <w:start w:val="1"/>
      <w:numFmt w:val="decimal"/>
      <w:lvlText w:val="%4."/>
      <w:lvlJc w:val="left"/>
      <w:pPr>
        <w:ind w:left="2880" w:hanging="360"/>
      </w:pPr>
    </w:lvl>
    <w:lvl w:ilvl="4" w:tplc="1F36DCD6">
      <w:start w:val="1"/>
      <w:numFmt w:val="lowerLetter"/>
      <w:lvlText w:val="%5."/>
      <w:lvlJc w:val="left"/>
      <w:pPr>
        <w:ind w:left="3600" w:hanging="360"/>
      </w:pPr>
    </w:lvl>
    <w:lvl w:ilvl="5" w:tplc="9B6ADD68">
      <w:start w:val="1"/>
      <w:numFmt w:val="lowerRoman"/>
      <w:lvlText w:val="%6."/>
      <w:lvlJc w:val="right"/>
      <w:pPr>
        <w:ind w:left="4320" w:hanging="180"/>
      </w:pPr>
    </w:lvl>
    <w:lvl w:ilvl="6" w:tplc="706C74F0">
      <w:start w:val="1"/>
      <w:numFmt w:val="decimal"/>
      <w:lvlText w:val="%7."/>
      <w:lvlJc w:val="left"/>
      <w:pPr>
        <w:ind w:left="5040" w:hanging="360"/>
      </w:pPr>
    </w:lvl>
    <w:lvl w:ilvl="7" w:tplc="9280C624">
      <w:start w:val="1"/>
      <w:numFmt w:val="lowerLetter"/>
      <w:lvlText w:val="%8."/>
      <w:lvlJc w:val="left"/>
      <w:pPr>
        <w:ind w:left="5760" w:hanging="360"/>
      </w:pPr>
    </w:lvl>
    <w:lvl w:ilvl="8" w:tplc="F37A2106">
      <w:start w:val="1"/>
      <w:numFmt w:val="lowerRoman"/>
      <w:lvlText w:val="%9."/>
      <w:lvlJc w:val="right"/>
      <w:pPr>
        <w:ind w:left="6480" w:hanging="180"/>
      </w:pPr>
    </w:lvl>
  </w:abstractNum>
  <w:abstractNum w:abstractNumId="169" w15:restartNumberingAfterBreak="0">
    <w:nsid w:val="548F2FF1"/>
    <w:multiLevelType w:val="hybridMultilevel"/>
    <w:tmpl w:val="FFFFFFFF"/>
    <w:lvl w:ilvl="0" w:tplc="C4E2BDCA">
      <w:start w:val="1"/>
      <w:numFmt w:val="bullet"/>
      <w:lvlText w:val=""/>
      <w:lvlJc w:val="left"/>
      <w:pPr>
        <w:ind w:left="720" w:hanging="360"/>
      </w:pPr>
      <w:rPr>
        <w:rFonts w:ascii="Symbol" w:hAnsi="Symbol" w:hint="default"/>
      </w:rPr>
    </w:lvl>
    <w:lvl w:ilvl="1" w:tplc="86A273C8">
      <w:start w:val="1"/>
      <w:numFmt w:val="bullet"/>
      <w:lvlText w:val="o"/>
      <w:lvlJc w:val="left"/>
      <w:pPr>
        <w:ind w:left="1440" w:hanging="360"/>
      </w:pPr>
      <w:rPr>
        <w:rFonts w:ascii="Courier New" w:hAnsi="Courier New" w:hint="default"/>
      </w:rPr>
    </w:lvl>
    <w:lvl w:ilvl="2" w:tplc="62B8975E">
      <w:start w:val="1"/>
      <w:numFmt w:val="bullet"/>
      <w:lvlText w:val=""/>
      <w:lvlJc w:val="left"/>
      <w:pPr>
        <w:ind w:left="2160" w:hanging="360"/>
      </w:pPr>
      <w:rPr>
        <w:rFonts w:ascii="Wingdings" w:hAnsi="Wingdings" w:hint="default"/>
      </w:rPr>
    </w:lvl>
    <w:lvl w:ilvl="3" w:tplc="689A48D4">
      <w:start w:val="1"/>
      <w:numFmt w:val="bullet"/>
      <w:lvlText w:val=""/>
      <w:lvlJc w:val="left"/>
      <w:pPr>
        <w:ind w:left="2880" w:hanging="360"/>
      </w:pPr>
      <w:rPr>
        <w:rFonts w:ascii="Symbol" w:hAnsi="Symbol" w:hint="default"/>
      </w:rPr>
    </w:lvl>
    <w:lvl w:ilvl="4" w:tplc="74068288">
      <w:start w:val="1"/>
      <w:numFmt w:val="bullet"/>
      <w:lvlText w:val="o"/>
      <w:lvlJc w:val="left"/>
      <w:pPr>
        <w:ind w:left="3600" w:hanging="360"/>
      </w:pPr>
      <w:rPr>
        <w:rFonts w:ascii="Courier New" w:hAnsi="Courier New" w:hint="default"/>
      </w:rPr>
    </w:lvl>
    <w:lvl w:ilvl="5" w:tplc="2520AF72">
      <w:start w:val="1"/>
      <w:numFmt w:val="bullet"/>
      <w:lvlText w:val=""/>
      <w:lvlJc w:val="left"/>
      <w:pPr>
        <w:ind w:left="4320" w:hanging="360"/>
      </w:pPr>
      <w:rPr>
        <w:rFonts w:ascii="Wingdings" w:hAnsi="Wingdings" w:hint="default"/>
      </w:rPr>
    </w:lvl>
    <w:lvl w:ilvl="6" w:tplc="2E9C7CC2">
      <w:start w:val="1"/>
      <w:numFmt w:val="bullet"/>
      <w:lvlText w:val=""/>
      <w:lvlJc w:val="left"/>
      <w:pPr>
        <w:ind w:left="5040" w:hanging="360"/>
      </w:pPr>
      <w:rPr>
        <w:rFonts w:ascii="Symbol" w:hAnsi="Symbol" w:hint="default"/>
      </w:rPr>
    </w:lvl>
    <w:lvl w:ilvl="7" w:tplc="7B4696A0">
      <w:start w:val="1"/>
      <w:numFmt w:val="bullet"/>
      <w:lvlText w:val="o"/>
      <w:lvlJc w:val="left"/>
      <w:pPr>
        <w:ind w:left="5760" w:hanging="360"/>
      </w:pPr>
      <w:rPr>
        <w:rFonts w:ascii="Courier New" w:hAnsi="Courier New" w:hint="default"/>
      </w:rPr>
    </w:lvl>
    <w:lvl w:ilvl="8" w:tplc="0B24B3F2">
      <w:start w:val="1"/>
      <w:numFmt w:val="bullet"/>
      <w:lvlText w:val=""/>
      <w:lvlJc w:val="left"/>
      <w:pPr>
        <w:ind w:left="6480" w:hanging="360"/>
      </w:pPr>
      <w:rPr>
        <w:rFonts w:ascii="Wingdings" w:hAnsi="Wingdings" w:hint="default"/>
      </w:rPr>
    </w:lvl>
  </w:abstractNum>
  <w:abstractNum w:abstractNumId="170" w15:restartNumberingAfterBreak="0">
    <w:nsid w:val="54BA3B24"/>
    <w:multiLevelType w:val="hybridMultilevel"/>
    <w:tmpl w:val="B202893A"/>
    <w:lvl w:ilvl="0" w:tplc="3F400694">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55321A68"/>
    <w:multiLevelType w:val="hybridMultilevel"/>
    <w:tmpl w:val="7A244D7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2" w15:restartNumberingAfterBreak="0">
    <w:nsid w:val="55C06D3B"/>
    <w:multiLevelType w:val="hybridMultilevel"/>
    <w:tmpl w:val="297019B6"/>
    <w:lvl w:ilvl="0" w:tplc="99803B56">
      <w:start w:val="1"/>
      <w:numFmt w:val="bullet"/>
      <w:lvlText w:val=""/>
      <w:lvlJc w:val="left"/>
      <w:pPr>
        <w:ind w:left="720" w:hanging="360"/>
      </w:pPr>
      <w:rPr>
        <w:rFonts w:ascii="Symbol" w:hAnsi="Symbol" w:hint="default"/>
      </w:rPr>
    </w:lvl>
    <w:lvl w:ilvl="1" w:tplc="AB2C512E">
      <w:start w:val="1"/>
      <w:numFmt w:val="bullet"/>
      <w:lvlText w:val="o"/>
      <w:lvlJc w:val="left"/>
      <w:pPr>
        <w:ind w:left="1440" w:hanging="360"/>
      </w:pPr>
      <w:rPr>
        <w:rFonts w:ascii="Courier New" w:hAnsi="Courier New" w:hint="default"/>
      </w:rPr>
    </w:lvl>
    <w:lvl w:ilvl="2" w:tplc="AE185558">
      <w:start w:val="1"/>
      <w:numFmt w:val="bullet"/>
      <w:lvlText w:val=""/>
      <w:lvlJc w:val="left"/>
      <w:pPr>
        <w:ind w:left="2160" w:hanging="360"/>
      </w:pPr>
      <w:rPr>
        <w:rFonts w:ascii="Wingdings" w:hAnsi="Wingdings" w:hint="default"/>
      </w:rPr>
    </w:lvl>
    <w:lvl w:ilvl="3" w:tplc="84646B72">
      <w:start w:val="1"/>
      <w:numFmt w:val="bullet"/>
      <w:lvlText w:val=""/>
      <w:lvlJc w:val="left"/>
      <w:pPr>
        <w:ind w:left="2880" w:hanging="360"/>
      </w:pPr>
      <w:rPr>
        <w:rFonts w:ascii="Symbol" w:hAnsi="Symbol" w:hint="default"/>
      </w:rPr>
    </w:lvl>
    <w:lvl w:ilvl="4" w:tplc="6B923F8A">
      <w:start w:val="1"/>
      <w:numFmt w:val="bullet"/>
      <w:lvlText w:val="o"/>
      <w:lvlJc w:val="left"/>
      <w:pPr>
        <w:ind w:left="3600" w:hanging="360"/>
      </w:pPr>
      <w:rPr>
        <w:rFonts w:ascii="Courier New" w:hAnsi="Courier New" w:hint="default"/>
      </w:rPr>
    </w:lvl>
    <w:lvl w:ilvl="5" w:tplc="EB92C82E">
      <w:start w:val="1"/>
      <w:numFmt w:val="bullet"/>
      <w:lvlText w:val=""/>
      <w:lvlJc w:val="left"/>
      <w:pPr>
        <w:ind w:left="4320" w:hanging="360"/>
      </w:pPr>
      <w:rPr>
        <w:rFonts w:ascii="Wingdings" w:hAnsi="Wingdings" w:hint="default"/>
      </w:rPr>
    </w:lvl>
    <w:lvl w:ilvl="6" w:tplc="FF446F8E">
      <w:start w:val="1"/>
      <w:numFmt w:val="bullet"/>
      <w:lvlText w:val=""/>
      <w:lvlJc w:val="left"/>
      <w:pPr>
        <w:ind w:left="5040" w:hanging="360"/>
      </w:pPr>
      <w:rPr>
        <w:rFonts w:ascii="Symbol" w:hAnsi="Symbol" w:hint="default"/>
      </w:rPr>
    </w:lvl>
    <w:lvl w:ilvl="7" w:tplc="0FC2F1BC">
      <w:start w:val="1"/>
      <w:numFmt w:val="bullet"/>
      <w:lvlText w:val="o"/>
      <w:lvlJc w:val="left"/>
      <w:pPr>
        <w:ind w:left="5760" w:hanging="360"/>
      </w:pPr>
      <w:rPr>
        <w:rFonts w:ascii="Courier New" w:hAnsi="Courier New" w:hint="default"/>
      </w:rPr>
    </w:lvl>
    <w:lvl w:ilvl="8" w:tplc="5D6ED448">
      <w:start w:val="1"/>
      <w:numFmt w:val="bullet"/>
      <w:lvlText w:val=""/>
      <w:lvlJc w:val="left"/>
      <w:pPr>
        <w:ind w:left="6480" w:hanging="360"/>
      </w:pPr>
      <w:rPr>
        <w:rFonts w:ascii="Wingdings" w:hAnsi="Wingdings" w:hint="default"/>
      </w:rPr>
    </w:lvl>
  </w:abstractNum>
  <w:abstractNum w:abstractNumId="173" w15:restartNumberingAfterBreak="0">
    <w:nsid w:val="55E1B6B6"/>
    <w:multiLevelType w:val="hybridMultilevel"/>
    <w:tmpl w:val="FFFFFFFF"/>
    <w:lvl w:ilvl="0" w:tplc="6E3C6F1A">
      <w:start w:val="1"/>
      <w:numFmt w:val="bullet"/>
      <w:lvlText w:val=""/>
      <w:lvlJc w:val="left"/>
      <w:pPr>
        <w:ind w:left="720" w:hanging="360"/>
      </w:pPr>
      <w:rPr>
        <w:rFonts w:ascii="Symbol" w:hAnsi="Symbol" w:hint="default"/>
      </w:rPr>
    </w:lvl>
    <w:lvl w:ilvl="1" w:tplc="AB205AEC">
      <w:start w:val="1"/>
      <w:numFmt w:val="bullet"/>
      <w:lvlText w:val="o"/>
      <w:lvlJc w:val="left"/>
      <w:pPr>
        <w:ind w:left="1440" w:hanging="360"/>
      </w:pPr>
      <w:rPr>
        <w:rFonts w:ascii="Courier New" w:hAnsi="Courier New" w:hint="default"/>
      </w:rPr>
    </w:lvl>
    <w:lvl w:ilvl="2" w:tplc="6748BB86">
      <w:start w:val="1"/>
      <w:numFmt w:val="bullet"/>
      <w:lvlText w:val=""/>
      <w:lvlJc w:val="left"/>
      <w:pPr>
        <w:ind w:left="2160" w:hanging="360"/>
      </w:pPr>
      <w:rPr>
        <w:rFonts w:ascii="Wingdings" w:hAnsi="Wingdings" w:hint="default"/>
      </w:rPr>
    </w:lvl>
    <w:lvl w:ilvl="3" w:tplc="8BF6CD04">
      <w:start w:val="1"/>
      <w:numFmt w:val="bullet"/>
      <w:lvlText w:val=""/>
      <w:lvlJc w:val="left"/>
      <w:pPr>
        <w:ind w:left="2880" w:hanging="360"/>
      </w:pPr>
      <w:rPr>
        <w:rFonts w:ascii="Symbol" w:hAnsi="Symbol" w:hint="default"/>
      </w:rPr>
    </w:lvl>
    <w:lvl w:ilvl="4" w:tplc="BF8A904A">
      <w:start w:val="1"/>
      <w:numFmt w:val="bullet"/>
      <w:lvlText w:val="o"/>
      <w:lvlJc w:val="left"/>
      <w:pPr>
        <w:ind w:left="3600" w:hanging="360"/>
      </w:pPr>
      <w:rPr>
        <w:rFonts w:ascii="Courier New" w:hAnsi="Courier New" w:hint="default"/>
      </w:rPr>
    </w:lvl>
    <w:lvl w:ilvl="5" w:tplc="DB2CE7AE">
      <w:start w:val="1"/>
      <w:numFmt w:val="bullet"/>
      <w:lvlText w:val=""/>
      <w:lvlJc w:val="left"/>
      <w:pPr>
        <w:ind w:left="4320" w:hanging="360"/>
      </w:pPr>
      <w:rPr>
        <w:rFonts w:ascii="Wingdings" w:hAnsi="Wingdings" w:hint="default"/>
      </w:rPr>
    </w:lvl>
    <w:lvl w:ilvl="6" w:tplc="869449F0">
      <w:start w:val="1"/>
      <w:numFmt w:val="bullet"/>
      <w:lvlText w:val=""/>
      <w:lvlJc w:val="left"/>
      <w:pPr>
        <w:ind w:left="5040" w:hanging="360"/>
      </w:pPr>
      <w:rPr>
        <w:rFonts w:ascii="Symbol" w:hAnsi="Symbol" w:hint="default"/>
      </w:rPr>
    </w:lvl>
    <w:lvl w:ilvl="7" w:tplc="E1EE1636">
      <w:start w:val="1"/>
      <w:numFmt w:val="bullet"/>
      <w:lvlText w:val="o"/>
      <w:lvlJc w:val="left"/>
      <w:pPr>
        <w:ind w:left="5760" w:hanging="360"/>
      </w:pPr>
      <w:rPr>
        <w:rFonts w:ascii="Courier New" w:hAnsi="Courier New" w:hint="default"/>
      </w:rPr>
    </w:lvl>
    <w:lvl w:ilvl="8" w:tplc="9118B5E0">
      <w:start w:val="1"/>
      <w:numFmt w:val="bullet"/>
      <w:lvlText w:val=""/>
      <w:lvlJc w:val="left"/>
      <w:pPr>
        <w:ind w:left="6480" w:hanging="360"/>
      </w:pPr>
      <w:rPr>
        <w:rFonts w:ascii="Wingdings" w:hAnsi="Wingdings" w:hint="default"/>
      </w:rPr>
    </w:lvl>
  </w:abstractNum>
  <w:abstractNum w:abstractNumId="174" w15:restartNumberingAfterBreak="0">
    <w:nsid w:val="55FA12D3"/>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15:restartNumberingAfterBreak="0">
    <w:nsid w:val="56BA69FC"/>
    <w:multiLevelType w:val="hybridMultilevel"/>
    <w:tmpl w:val="6F26723A"/>
    <w:lvl w:ilvl="0" w:tplc="18090001">
      <w:start w:val="1"/>
      <w:numFmt w:val="bullet"/>
      <w:lvlText w:val=""/>
      <w:lvlJc w:val="left"/>
      <w:pPr>
        <w:ind w:left="502"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76" w15:restartNumberingAfterBreak="0">
    <w:nsid w:val="57384469"/>
    <w:multiLevelType w:val="hybridMultilevel"/>
    <w:tmpl w:val="46406038"/>
    <w:lvl w:ilvl="0" w:tplc="18090019">
      <w:start w:val="1"/>
      <w:numFmt w:val="lowerLetter"/>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77" w15:restartNumberingAfterBreak="0">
    <w:nsid w:val="5783E661"/>
    <w:multiLevelType w:val="hybridMultilevel"/>
    <w:tmpl w:val="FFFFFFFF"/>
    <w:lvl w:ilvl="0" w:tplc="6CE4E7C8">
      <w:start w:val="1"/>
      <w:numFmt w:val="bullet"/>
      <w:lvlText w:val="·"/>
      <w:lvlJc w:val="left"/>
      <w:pPr>
        <w:ind w:left="720" w:hanging="360"/>
      </w:pPr>
      <w:rPr>
        <w:rFonts w:ascii="Symbol" w:hAnsi="Symbol" w:hint="default"/>
      </w:rPr>
    </w:lvl>
    <w:lvl w:ilvl="1" w:tplc="6FEACD02">
      <w:start w:val="1"/>
      <w:numFmt w:val="bullet"/>
      <w:lvlText w:val="o"/>
      <w:lvlJc w:val="left"/>
      <w:pPr>
        <w:ind w:left="1440" w:hanging="360"/>
      </w:pPr>
      <w:rPr>
        <w:rFonts w:ascii="Courier New" w:hAnsi="Courier New" w:hint="default"/>
      </w:rPr>
    </w:lvl>
    <w:lvl w:ilvl="2" w:tplc="7400844C">
      <w:start w:val="1"/>
      <w:numFmt w:val="bullet"/>
      <w:lvlText w:val=""/>
      <w:lvlJc w:val="left"/>
      <w:pPr>
        <w:ind w:left="2160" w:hanging="360"/>
      </w:pPr>
      <w:rPr>
        <w:rFonts w:ascii="Wingdings" w:hAnsi="Wingdings" w:hint="default"/>
      </w:rPr>
    </w:lvl>
    <w:lvl w:ilvl="3" w:tplc="B644C5FE">
      <w:start w:val="1"/>
      <w:numFmt w:val="bullet"/>
      <w:lvlText w:val=""/>
      <w:lvlJc w:val="left"/>
      <w:pPr>
        <w:ind w:left="2880" w:hanging="360"/>
      </w:pPr>
      <w:rPr>
        <w:rFonts w:ascii="Symbol" w:hAnsi="Symbol" w:hint="default"/>
      </w:rPr>
    </w:lvl>
    <w:lvl w:ilvl="4" w:tplc="41385FDE">
      <w:start w:val="1"/>
      <w:numFmt w:val="bullet"/>
      <w:lvlText w:val="o"/>
      <w:lvlJc w:val="left"/>
      <w:pPr>
        <w:ind w:left="3600" w:hanging="360"/>
      </w:pPr>
      <w:rPr>
        <w:rFonts w:ascii="Courier New" w:hAnsi="Courier New" w:hint="default"/>
      </w:rPr>
    </w:lvl>
    <w:lvl w:ilvl="5" w:tplc="277AFFAC">
      <w:start w:val="1"/>
      <w:numFmt w:val="bullet"/>
      <w:lvlText w:val=""/>
      <w:lvlJc w:val="left"/>
      <w:pPr>
        <w:ind w:left="4320" w:hanging="360"/>
      </w:pPr>
      <w:rPr>
        <w:rFonts w:ascii="Wingdings" w:hAnsi="Wingdings" w:hint="default"/>
      </w:rPr>
    </w:lvl>
    <w:lvl w:ilvl="6" w:tplc="132A9098">
      <w:start w:val="1"/>
      <w:numFmt w:val="bullet"/>
      <w:lvlText w:val=""/>
      <w:lvlJc w:val="left"/>
      <w:pPr>
        <w:ind w:left="5040" w:hanging="360"/>
      </w:pPr>
      <w:rPr>
        <w:rFonts w:ascii="Symbol" w:hAnsi="Symbol" w:hint="default"/>
      </w:rPr>
    </w:lvl>
    <w:lvl w:ilvl="7" w:tplc="BD36544E">
      <w:start w:val="1"/>
      <w:numFmt w:val="bullet"/>
      <w:lvlText w:val="o"/>
      <w:lvlJc w:val="left"/>
      <w:pPr>
        <w:ind w:left="5760" w:hanging="360"/>
      </w:pPr>
      <w:rPr>
        <w:rFonts w:ascii="Courier New" w:hAnsi="Courier New" w:hint="default"/>
      </w:rPr>
    </w:lvl>
    <w:lvl w:ilvl="8" w:tplc="8B3E46BC">
      <w:start w:val="1"/>
      <w:numFmt w:val="bullet"/>
      <w:lvlText w:val=""/>
      <w:lvlJc w:val="left"/>
      <w:pPr>
        <w:ind w:left="6480" w:hanging="360"/>
      </w:pPr>
      <w:rPr>
        <w:rFonts w:ascii="Wingdings" w:hAnsi="Wingdings" w:hint="default"/>
      </w:rPr>
    </w:lvl>
  </w:abstractNum>
  <w:abstractNum w:abstractNumId="178" w15:restartNumberingAfterBreak="0">
    <w:nsid w:val="57EE1D94"/>
    <w:multiLevelType w:val="hybridMultilevel"/>
    <w:tmpl w:val="44A4D1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586B51E9"/>
    <w:multiLevelType w:val="hybridMultilevel"/>
    <w:tmpl w:val="E2C66290"/>
    <w:lvl w:ilvl="0" w:tplc="3E70BD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0" w15:restartNumberingAfterBreak="0">
    <w:nsid w:val="58D72A72"/>
    <w:multiLevelType w:val="hybridMultilevel"/>
    <w:tmpl w:val="24B47DCA"/>
    <w:lvl w:ilvl="0" w:tplc="25103F66">
      <w:start w:val="1"/>
      <w:numFmt w:val="decimal"/>
      <w:lvlText w:val="%1."/>
      <w:lvlJc w:val="left"/>
      <w:pPr>
        <w:ind w:left="720" w:hanging="360"/>
      </w:pPr>
    </w:lvl>
    <w:lvl w:ilvl="1" w:tplc="80D4D492">
      <w:start w:val="1"/>
      <w:numFmt w:val="lowerLetter"/>
      <w:lvlText w:val="%2."/>
      <w:lvlJc w:val="left"/>
      <w:pPr>
        <w:ind w:left="1440" w:hanging="360"/>
      </w:pPr>
    </w:lvl>
    <w:lvl w:ilvl="2" w:tplc="6EFC1294">
      <w:start w:val="1"/>
      <w:numFmt w:val="lowerRoman"/>
      <w:lvlText w:val="%3."/>
      <w:lvlJc w:val="right"/>
      <w:pPr>
        <w:ind w:left="2160" w:hanging="180"/>
      </w:pPr>
    </w:lvl>
    <w:lvl w:ilvl="3" w:tplc="3662DE56">
      <w:start w:val="1"/>
      <w:numFmt w:val="decimal"/>
      <w:lvlText w:val="%4."/>
      <w:lvlJc w:val="left"/>
      <w:pPr>
        <w:ind w:left="2880" w:hanging="360"/>
      </w:pPr>
    </w:lvl>
    <w:lvl w:ilvl="4" w:tplc="1674A9EC">
      <w:start w:val="1"/>
      <w:numFmt w:val="lowerLetter"/>
      <w:lvlText w:val="%5."/>
      <w:lvlJc w:val="left"/>
      <w:pPr>
        <w:ind w:left="3600" w:hanging="360"/>
      </w:pPr>
    </w:lvl>
    <w:lvl w:ilvl="5" w:tplc="5E4C1020">
      <w:start w:val="1"/>
      <w:numFmt w:val="lowerRoman"/>
      <w:lvlText w:val="%6."/>
      <w:lvlJc w:val="right"/>
      <w:pPr>
        <w:ind w:left="4320" w:hanging="180"/>
      </w:pPr>
    </w:lvl>
    <w:lvl w:ilvl="6" w:tplc="F288F120">
      <w:start w:val="1"/>
      <w:numFmt w:val="decimal"/>
      <w:lvlText w:val="%7."/>
      <w:lvlJc w:val="left"/>
      <w:pPr>
        <w:ind w:left="5040" w:hanging="360"/>
      </w:pPr>
    </w:lvl>
    <w:lvl w:ilvl="7" w:tplc="0388E378">
      <w:start w:val="1"/>
      <w:numFmt w:val="lowerLetter"/>
      <w:lvlText w:val="%8."/>
      <w:lvlJc w:val="left"/>
      <w:pPr>
        <w:ind w:left="5760" w:hanging="360"/>
      </w:pPr>
    </w:lvl>
    <w:lvl w:ilvl="8" w:tplc="20D01F78">
      <w:start w:val="1"/>
      <w:numFmt w:val="lowerRoman"/>
      <w:lvlText w:val="%9."/>
      <w:lvlJc w:val="right"/>
      <w:pPr>
        <w:ind w:left="6480" w:hanging="180"/>
      </w:pPr>
    </w:lvl>
  </w:abstractNum>
  <w:abstractNum w:abstractNumId="181" w15:restartNumberingAfterBreak="0">
    <w:nsid w:val="58F14EB8"/>
    <w:multiLevelType w:val="hybridMultilevel"/>
    <w:tmpl w:val="FFFFFFFF"/>
    <w:lvl w:ilvl="0" w:tplc="3CA84F7A">
      <w:start w:val="1"/>
      <w:numFmt w:val="bullet"/>
      <w:lvlText w:val=""/>
      <w:lvlJc w:val="left"/>
      <w:pPr>
        <w:ind w:left="720" w:hanging="360"/>
      </w:pPr>
      <w:rPr>
        <w:rFonts w:ascii="Symbol" w:hAnsi="Symbol" w:hint="default"/>
      </w:rPr>
    </w:lvl>
    <w:lvl w:ilvl="1" w:tplc="694CDEA8">
      <w:start w:val="1"/>
      <w:numFmt w:val="bullet"/>
      <w:lvlText w:val="o"/>
      <w:lvlJc w:val="left"/>
      <w:pPr>
        <w:ind w:left="1440" w:hanging="360"/>
      </w:pPr>
      <w:rPr>
        <w:rFonts w:ascii="Courier New" w:hAnsi="Courier New" w:hint="default"/>
      </w:rPr>
    </w:lvl>
    <w:lvl w:ilvl="2" w:tplc="6ED445E8">
      <w:start w:val="1"/>
      <w:numFmt w:val="bullet"/>
      <w:lvlText w:val=""/>
      <w:lvlJc w:val="left"/>
      <w:pPr>
        <w:ind w:left="2160" w:hanging="360"/>
      </w:pPr>
      <w:rPr>
        <w:rFonts w:ascii="Wingdings" w:hAnsi="Wingdings" w:hint="default"/>
      </w:rPr>
    </w:lvl>
    <w:lvl w:ilvl="3" w:tplc="5252867C">
      <w:start w:val="1"/>
      <w:numFmt w:val="bullet"/>
      <w:lvlText w:val=""/>
      <w:lvlJc w:val="left"/>
      <w:pPr>
        <w:ind w:left="2880" w:hanging="360"/>
      </w:pPr>
      <w:rPr>
        <w:rFonts w:ascii="Symbol" w:hAnsi="Symbol" w:hint="default"/>
      </w:rPr>
    </w:lvl>
    <w:lvl w:ilvl="4" w:tplc="B960223C">
      <w:start w:val="1"/>
      <w:numFmt w:val="bullet"/>
      <w:lvlText w:val="o"/>
      <w:lvlJc w:val="left"/>
      <w:pPr>
        <w:ind w:left="3600" w:hanging="360"/>
      </w:pPr>
      <w:rPr>
        <w:rFonts w:ascii="Courier New" w:hAnsi="Courier New" w:hint="default"/>
      </w:rPr>
    </w:lvl>
    <w:lvl w:ilvl="5" w:tplc="C270CAFA">
      <w:start w:val="1"/>
      <w:numFmt w:val="bullet"/>
      <w:lvlText w:val=""/>
      <w:lvlJc w:val="left"/>
      <w:pPr>
        <w:ind w:left="4320" w:hanging="360"/>
      </w:pPr>
      <w:rPr>
        <w:rFonts w:ascii="Wingdings" w:hAnsi="Wingdings" w:hint="default"/>
      </w:rPr>
    </w:lvl>
    <w:lvl w:ilvl="6" w:tplc="8766BE76">
      <w:start w:val="1"/>
      <w:numFmt w:val="bullet"/>
      <w:lvlText w:val=""/>
      <w:lvlJc w:val="left"/>
      <w:pPr>
        <w:ind w:left="5040" w:hanging="360"/>
      </w:pPr>
      <w:rPr>
        <w:rFonts w:ascii="Symbol" w:hAnsi="Symbol" w:hint="default"/>
      </w:rPr>
    </w:lvl>
    <w:lvl w:ilvl="7" w:tplc="7040CFE4">
      <w:start w:val="1"/>
      <w:numFmt w:val="bullet"/>
      <w:lvlText w:val="o"/>
      <w:lvlJc w:val="left"/>
      <w:pPr>
        <w:ind w:left="5760" w:hanging="360"/>
      </w:pPr>
      <w:rPr>
        <w:rFonts w:ascii="Courier New" w:hAnsi="Courier New" w:hint="default"/>
      </w:rPr>
    </w:lvl>
    <w:lvl w:ilvl="8" w:tplc="D90A0AAA">
      <w:start w:val="1"/>
      <w:numFmt w:val="bullet"/>
      <w:lvlText w:val=""/>
      <w:lvlJc w:val="left"/>
      <w:pPr>
        <w:ind w:left="6480" w:hanging="360"/>
      </w:pPr>
      <w:rPr>
        <w:rFonts w:ascii="Wingdings" w:hAnsi="Wingdings" w:hint="default"/>
      </w:rPr>
    </w:lvl>
  </w:abstractNum>
  <w:abstractNum w:abstractNumId="182" w15:restartNumberingAfterBreak="0">
    <w:nsid w:val="5A2A5609"/>
    <w:multiLevelType w:val="hybridMultilevel"/>
    <w:tmpl w:val="EE1EA734"/>
    <w:lvl w:ilvl="0" w:tplc="18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5BC43D86"/>
    <w:multiLevelType w:val="hybridMultilevel"/>
    <w:tmpl w:val="01243D62"/>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4" w15:restartNumberingAfterBreak="0">
    <w:nsid w:val="5CB42C47"/>
    <w:multiLevelType w:val="multilevel"/>
    <w:tmpl w:val="D316A7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5CB60540"/>
    <w:multiLevelType w:val="multilevel"/>
    <w:tmpl w:val="278EBC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5F1913FF"/>
    <w:multiLevelType w:val="hybridMultilevel"/>
    <w:tmpl w:val="1826EFD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6024E410"/>
    <w:multiLevelType w:val="hybridMultilevel"/>
    <w:tmpl w:val="FFFFFFFF"/>
    <w:lvl w:ilvl="0" w:tplc="8E1A0E78">
      <w:start w:val="1"/>
      <w:numFmt w:val="bullet"/>
      <w:lvlText w:val=""/>
      <w:lvlJc w:val="left"/>
      <w:pPr>
        <w:ind w:left="720" w:hanging="360"/>
      </w:pPr>
      <w:rPr>
        <w:rFonts w:ascii="Symbol" w:hAnsi="Symbol" w:hint="default"/>
      </w:rPr>
    </w:lvl>
    <w:lvl w:ilvl="1" w:tplc="5C44F264">
      <w:start w:val="1"/>
      <w:numFmt w:val="bullet"/>
      <w:lvlText w:val="o"/>
      <w:lvlJc w:val="left"/>
      <w:pPr>
        <w:ind w:left="1440" w:hanging="360"/>
      </w:pPr>
      <w:rPr>
        <w:rFonts w:ascii="Courier New" w:hAnsi="Courier New" w:hint="default"/>
      </w:rPr>
    </w:lvl>
    <w:lvl w:ilvl="2" w:tplc="7AE8AF38">
      <w:start w:val="1"/>
      <w:numFmt w:val="bullet"/>
      <w:lvlText w:val=""/>
      <w:lvlJc w:val="left"/>
      <w:pPr>
        <w:ind w:left="2160" w:hanging="360"/>
      </w:pPr>
      <w:rPr>
        <w:rFonts w:ascii="Wingdings" w:hAnsi="Wingdings" w:hint="default"/>
      </w:rPr>
    </w:lvl>
    <w:lvl w:ilvl="3" w:tplc="A4A2534E">
      <w:start w:val="1"/>
      <w:numFmt w:val="bullet"/>
      <w:lvlText w:val=""/>
      <w:lvlJc w:val="left"/>
      <w:pPr>
        <w:ind w:left="2880" w:hanging="360"/>
      </w:pPr>
      <w:rPr>
        <w:rFonts w:ascii="Symbol" w:hAnsi="Symbol" w:hint="default"/>
      </w:rPr>
    </w:lvl>
    <w:lvl w:ilvl="4" w:tplc="30C6AD4C">
      <w:start w:val="1"/>
      <w:numFmt w:val="bullet"/>
      <w:lvlText w:val="o"/>
      <w:lvlJc w:val="left"/>
      <w:pPr>
        <w:ind w:left="3600" w:hanging="360"/>
      </w:pPr>
      <w:rPr>
        <w:rFonts w:ascii="Courier New" w:hAnsi="Courier New" w:hint="default"/>
      </w:rPr>
    </w:lvl>
    <w:lvl w:ilvl="5" w:tplc="ACDABB78">
      <w:start w:val="1"/>
      <w:numFmt w:val="bullet"/>
      <w:lvlText w:val=""/>
      <w:lvlJc w:val="left"/>
      <w:pPr>
        <w:ind w:left="4320" w:hanging="360"/>
      </w:pPr>
      <w:rPr>
        <w:rFonts w:ascii="Wingdings" w:hAnsi="Wingdings" w:hint="default"/>
      </w:rPr>
    </w:lvl>
    <w:lvl w:ilvl="6" w:tplc="81867756">
      <w:start w:val="1"/>
      <w:numFmt w:val="bullet"/>
      <w:lvlText w:val=""/>
      <w:lvlJc w:val="left"/>
      <w:pPr>
        <w:ind w:left="5040" w:hanging="360"/>
      </w:pPr>
      <w:rPr>
        <w:rFonts w:ascii="Symbol" w:hAnsi="Symbol" w:hint="default"/>
      </w:rPr>
    </w:lvl>
    <w:lvl w:ilvl="7" w:tplc="B156C336">
      <w:start w:val="1"/>
      <w:numFmt w:val="bullet"/>
      <w:lvlText w:val="o"/>
      <w:lvlJc w:val="left"/>
      <w:pPr>
        <w:ind w:left="5760" w:hanging="360"/>
      </w:pPr>
      <w:rPr>
        <w:rFonts w:ascii="Courier New" w:hAnsi="Courier New" w:hint="default"/>
      </w:rPr>
    </w:lvl>
    <w:lvl w:ilvl="8" w:tplc="7B224B22">
      <w:start w:val="1"/>
      <w:numFmt w:val="bullet"/>
      <w:lvlText w:val=""/>
      <w:lvlJc w:val="left"/>
      <w:pPr>
        <w:ind w:left="6480" w:hanging="360"/>
      </w:pPr>
      <w:rPr>
        <w:rFonts w:ascii="Wingdings" w:hAnsi="Wingdings" w:hint="default"/>
      </w:rPr>
    </w:lvl>
  </w:abstractNum>
  <w:abstractNum w:abstractNumId="18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hint="default"/>
      </w:rPr>
    </w:lvl>
  </w:abstractNum>
  <w:abstractNum w:abstractNumId="189" w15:restartNumberingAfterBreak="0">
    <w:nsid w:val="60707FC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0" w15:restartNumberingAfterBreak="0">
    <w:nsid w:val="60764B87"/>
    <w:multiLevelType w:val="hybridMultilevel"/>
    <w:tmpl w:val="A9DA89F0"/>
    <w:lvl w:ilvl="0" w:tplc="FFFFFFF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1" w15:restartNumberingAfterBreak="0">
    <w:nsid w:val="608068C7"/>
    <w:multiLevelType w:val="multilevel"/>
    <w:tmpl w:val="B6EE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0ED3C9E"/>
    <w:multiLevelType w:val="hybridMultilevel"/>
    <w:tmpl w:val="27BA80F4"/>
    <w:lvl w:ilvl="0" w:tplc="AE325AC8">
      <w:numFmt w:val="bullet"/>
      <w:lvlText w:val="-"/>
      <w:lvlJc w:val="left"/>
      <w:pPr>
        <w:ind w:left="360" w:hanging="360"/>
      </w:pPr>
      <w:rPr>
        <w:rFonts w:ascii="Calibri" w:hAnsi="Calibri" w:hint="default"/>
      </w:rPr>
    </w:lvl>
    <w:lvl w:ilvl="1" w:tplc="02A23C08" w:tentative="1">
      <w:start w:val="1"/>
      <w:numFmt w:val="bullet"/>
      <w:lvlText w:val="o"/>
      <w:lvlJc w:val="left"/>
      <w:pPr>
        <w:ind w:left="1080" w:hanging="360"/>
      </w:pPr>
      <w:rPr>
        <w:rFonts w:ascii="Courier New" w:hAnsi="Courier New" w:hint="default"/>
      </w:rPr>
    </w:lvl>
    <w:lvl w:ilvl="2" w:tplc="91AAC6D6" w:tentative="1">
      <w:start w:val="1"/>
      <w:numFmt w:val="bullet"/>
      <w:lvlText w:val=""/>
      <w:lvlJc w:val="left"/>
      <w:pPr>
        <w:ind w:left="1800" w:hanging="360"/>
      </w:pPr>
      <w:rPr>
        <w:rFonts w:ascii="Wingdings" w:hAnsi="Wingdings" w:hint="default"/>
      </w:rPr>
    </w:lvl>
    <w:lvl w:ilvl="3" w:tplc="9CF85750" w:tentative="1">
      <w:start w:val="1"/>
      <w:numFmt w:val="bullet"/>
      <w:lvlText w:val=""/>
      <w:lvlJc w:val="left"/>
      <w:pPr>
        <w:ind w:left="2520" w:hanging="360"/>
      </w:pPr>
      <w:rPr>
        <w:rFonts w:ascii="Symbol" w:hAnsi="Symbol" w:hint="default"/>
      </w:rPr>
    </w:lvl>
    <w:lvl w:ilvl="4" w:tplc="ED9ABFEA" w:tentative="1">
      <w:start w:val="1"/>
      <w:numFmt w:val="bullet"/>
      <w:lvlText w:val="o"/>
      <w:lvlJc w:val="left"/>
      <w:pPr>
        <w:ind w:left="3240" w:hanging="360"/>
      </w:pPr>
      <w:rPr>
        <w:rFonts w:ascii="Courier New" w:hAnsi="Courier New" w:hint="default"/>
      </w:rPr>
    </w:lvl>
    <w:lvl w:ilvl="5" w:tplc="1CB0F250" w:tentative="1">
      <w:start w:val="1"/>
      <w:numFmt w:val="bullet"/>
      <w:lvlText w:val=""/>
      <w:lvlJc w:val="left"/>
      <w:pPr>
        <w:ind w:left="3960" w:hanging="360"/>
      </w:pPr>
      <w:rPr>
        <w:rFonts w:ascii="Wingdings" w:hAnsi="Wingdings" w:hint="default"/>
      </w:rPr>
    </w:lvl>
    <w:lvl w:ilvl="6" w:tplc="6FFC6F24" w:tentative="1">
      <w:start w:val="1"/>
      <w:numFmt w:val="bullet"/>
      <w:lvlText w:val=""/>
      <w:lvlJc w:val="left"/>
      <w:pPr>
        <w:ind w:left="4680" w:hanging="360"/>
      </w:pPr>
      <w:rPr>
        <w:rFonts w:ascii="Symbol" w:hAnsi="Symbol" w:hint="default"/>
      </w:rPr>
    </w:lvl>
    <w:lvl w:ilvl="7" w:tplc="52BE928A" w:tentative="1">
      <w:start w:val="1"/>
      <w:numFmt w:val="bullet"/>
      <w:lvlText w:val="o"/>
      <w:lvlJc w:val="left"/>
      <w:pPr>
        <w:ind w:left="5400" w:hanging="360"/>
      </w:pPr>
      <w:rPr>
        <w:rFonts w:ascii="Courier New" w:hAnsi="Courier New" w:hint="default"/>
      </w:rPr>
    </w:lvl>
    <w:lvl w:ilvl="8" w:tplc="339E885C" w:tentative="1">
      <w:start w:val="1"/>
      <w:numFmt w:val="bullet"/>
      <w:lvlText w:val=""/>
      <w:lvlJc w:val="left"/>
      <w:pPr>
        <w:ind w:left="6120" w:hanging="360"/>
      </w:pPr>
      <w:rPr>
        <w:rFonts w:ascii="Wingdings" w:hAnsi="Wingdings" w:hint="default"/>
      </w:rPr>
    </w:lvl>
  </w:abstractNum>
  <w:abstractNum w:abstractNumId="193" w15:restartNumberingAfterBreak="0">
    <w:nsid w:val="620D5943"/>
    <w:multiLevelType w:val="hybridMultilevel"/>
    <w:tmpl w:val="500AEF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4" w15:restartNumberingAfterBreak="0">
    <w:nsid w:val="62398D1C"/>
    <w:multiLevelType w:val="hybridMultilevel"/>
    <w:tmpl w:val="8188A466"/>
    <w:lvl w:ilvl="0" w:tplc="712AE654">
      <w:start w:val="1"/>
      <w:numFmt w:val="decimal"/>
      <w:lvlText w:val="%1."/>
      <w:lvlJc w:val="left"/>
      <w:pPr>
        <w:ind w:left="720" w:hanging="360"/>
      </w:pPr>
    </w:lvl>
    <w:lvl w:ilvl="1" w:tplc="C2BC4128">
      <w:start w:val="1"/>
      <w:numFmt w:val="lowerLetter"/>
      <w:lvlText w:val="%2."/>
      <w:lvlJc w:val="left"/>
      <w:pPr>
        <w:ind w:left="1440" w:hanging="360"/>
      </w:pPr>
    </w:lvl>
    <w:lvl w:ilvl="2" w:tplc="EEE8D38C">
      <w:start w:val="1"/>
      <w:numFmt w:val="lowerRoman"/>
      <w:lvlText w:val="%3."/>
      <w:lvlJc w:val="right"/>
      <w:pPr>
        <w:ind w:left="2160" w:hanging="180"/>
      </w:pPr>
    </w:lvl>
    <w:lvl w:ilvl="3" w:tplc="3438B662">
      <w:start w:val="1"/>
      <w:numFmt w:val="decimal"/>
      <w:lvlText w:val="%4."/>
      <w:lvlJc w:val="left"/>
      <w:pPr>
        <w:ind w:left="2880" w:hanging="360"/>
      </w:pPr>
    </w:lvl>
    <w:lvl w:ilvl="4" w:tplc="430EC7A6">
      <w:start w:val="1"/>
      <w:numFmt w:val="lowerLetter"/>
      <w:lvlText w:val="%5."/>
      <w:lvlJc w:val="left"/>
      <w:pPr>
        <w:ind w:left="3600" w:hanging="360"/>
      </w:pPr>
    </w:lvl>
    <w:lvl w:ilvl="5" w:tplc="C26068C8">
      <w:start w:val="1"/>
      <w:numFmt w:val="lowerRoman"/>
      <w:lvlText w:val="%6."/>
      <w:lvlJc w:val="right"/>
      <w:pPr>
        <w:ind w:left="4320" w:hanging="180"/>
      </w:pPr>
    </w:lvl>
    <w:lvl w:ilvl="6" w:tplc="3A2CFC10">
      <w:start w:val="1"/>
      <w:numFmt w:val="decimal"/>
      <w:lvlText w:val="%7."/>
      <w:lvlJc w:val="left"/>
      <w:pPr>
        <w:ind w:left="5040" w:hanging="360"/>
      </w:pPr>
    </w:lvl>
    <w:lvl w:ilvl="7" w:tplc="9100364E">
      <w:start w:val="1"/>
      <w:numFmt w:val="lowerLetter"/>
      <w:lvlText w:val="%8."/>
      <w:lvlJc w:val="left"/>
      <w:pPr>
        <w:ind w:left="5760" w:hanging="360"/>
      </w:pPr>
    </w:lvl>
    <w:lvl w:ilvl="8" w:tplc="DB0016D6">
      <w:start w:val="1"/>
      <w:numFmt w:val="lowerRoman"/>
      <w:lvlText w:val="%9."/>
      <w:lvlJc w:val="right"/>
      <w:pPr>
        <w:ind w:left="6480" w:hanging="180"/>
      </w:pPr>
    </w:lvl>
  </w:abstractNum>
  <w:abstractNum w:abstractNumId="195" w15:restartNumberingAfterBreak="0">
    <w:nsid w:val="645C75F7"/>
    <w:multiLevelType w:val="hybridMultilevel"/>
    <w:tmpl w:val="BB343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66DD68D5"/>
    <w:multiLevelType w:val="hybridMultilevel"/>
    <w:tmpl w:val="08608D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7" w15:restartNumberingAfterBreak="0">
    <w:nsid w:val="68280416"/>
    <w:multiLevelType w:val="hybridMultilevel"/>
    <w:tmpl w:val="6DACC5A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8" w15:restartNumberingAfterBreak="0">
    <w:nsid w:val="68680C4B"/>
    <w:multiLevelType w:val="hybridMultilevel"/>
    <w:tmpl w:val="FFFFFFFF"/>
    <w:lvl w:ilvl="0" w:tplc="6396DEE0">
      <w:start w:val="1"/>
      <w:numFmt w:val="bullet"/>
      <w:lvlText w:val="-"/>
      <w:lvlJc w:val="left"/>
      <w:pPr>
        <w:ind w:left="720" w:hanging="360"/>
      </w:pPr>
      <w:rPr>
        <w:rFonts w:ascii="Aptos" w:hAnsi="Aptos" w:hint="default"/>
      </w:rPr>
    </w:lvl>
    <w:lvl w:ilvl="1" w:tplc="E33E7020">
      <w:start w:val="1"/>
      <w:numFmt w:val="bullet"/>
      <w:lvlText w:val="o"/>
      <w:lvlJc w:val="left"/>
      <w:pPr>
        <w:ind w:left="1440" w:hanging="360"/>
      </w:pPr>
      <w:rPr>
        <w:rFonts w:ascii="Courier New" w:hAnsi="Courier New" w:hint="default"/>
      </w:rPr>
    </w:lvl>
    <w:lvl w:ilvl="2" w:tplc="E19236BA">
      <w:start w:val="1"/>
      <w:numFmt w:val="bullet"/>
      <w:lvlText w:val=""/>
      <w:lvlJc w:val="left"/>
      <w:pPr>
        <w:ind w:left="2160" w:hanging="360"/>
      </w:pPr>
      <w:rPr>
        <w:rFonts w:ascii="Wingdings" w:hAnsi="Wingdings" w:hint="default"/>
      </w:rPr>
    </w:lvl>
    <w:lvl w:ilvl="3" w:tplc="D256C072">
      <w:start w:val="1"/>
      <w:numFmt w:val="bullet"/>
      <w:lvlText w:val=""/>
      <w:lvlJc w:val="left"/>
      <w:pPr>
        <w:ind w:left="2880" w:hanging="360"/>
      </w:pPr>
      <w:rPr>
        <w:rFonts w:ascii="Symbol" w:hAnsi="Symbol" w:hint="default"/>
      </w:rPr>
    </w:lvl>
    <w:lvl w:ilvl="4" w:tplc="7D92F220">
      <w:start w:val="1"/>
      <w:numFmt w:val="bullet"/>
      <w:lvlText w:val="o"/>
      <w:lvlJc w:val="left"/>
      <w:pPr>
        <w:ind w:left="3600" w:hanging="360"/>
      </w:pPr>
      <w:rPr>
        <w:rFonts w:ascii="Courier New" w:hAnsi="Courier New" w:hint="default"/>
      </w:rPr>
    </w:lvl>
    <w:lvl w:ilvl="5" w:tplc="5E44BDDC">
      <w:start w:val="1"/>
      <w:numFmt w:val="bullet"/>
      <w:lvlText w:val=""/>
      <w:lvlJc w:val="left"/>
      <w:pPr>
        <w:ind w:left="4320" w:hanging="360"/>
      </w:pPr>
      <w:rPr>
        <w:rFonts w:ascii="Wingdings" w:hAnsi="Wingdings" w:hint="default"/>
      </w:rPr>
    </w:lvl>
    <w:lvl w:ilvl="6" w:tplc="58D8BFCC">
      <w:start w:val="1"/>
      <w:numFmt w:val="bullet"/>
      <w:lvlText w:val=""/>
      <w:lvlJc w:val="left"/>
      <w:pPr>
        <w:ind w:left="5040" w:hanging="360"/>
      </w:pPr>
      <w:rPr>
        <w:rFonts w:ascii="Symbol" w:hAnsi="Symbol" w:hint="default"/>
      </w:rPr>
    </w:lvl>
    <w:lvl w:ilvl="7" w:tplc="AF40D694">
      <w:start w:val="1"/>
      <w:numFmt w:val="bullet"/>
      <w:lvlText w:val="o"/>
      <w:lvlJc w:val="left"/>
      <w:pPr>
        <w:ind w:left="5760" w:hanging="360"/>
      </w:pPr>
      <w:rPr>
        <w:rFonts w:ascii="Courier New" w:hAnsi="Courier New" w:hint="default"/>
      </w:rPr>
    </w:lvl>
    <w:lvl w:ilvl="8" w:tplc="AA865D72">
      <w:start w:val="1"/>
      <w:numFmt w:val="bullet"/>
      <w:lvlText w:val=""/>
      <w:lvlJc w:val="left"/>
      <w:pPr>
        <w:ind w:left="6480" w:hanging="360"/>
      </w:pPr>
      <w:rPr>
        <w:rFonts w:ascii="Wingdings" w:hAnsi="Wingdings" w:hint="default"/>
      </w:rPr>
    </w:lvl>
  </w:abstractNum>
  <w:abstractNum w:abstractNumId="199" w15:restartNumberingAfterBreak="0">
    <w:nsid w:val="6A9C422E"/>
    <w:multiLevelType w:val="multilevel"/>
    <w:tmpl w:val="533805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6BB44760"/>
    <w:multiLevelType w:val="hybridMultilevel"/>
    <w:tmpl w:val="FFFFFFFF"/>
    <w:lvl w:ilvl="0" w:tplc="D8FA6852">
      <w:start w:val="1"/>
      <w:numFmt w:val="bullet"/>
      <w:lvlText w:val=""/>
      <w:lvlJc w:val="left"/>
      <w:pPr>
        <w:ind w:left="720" w:hanging="360"/>
      </w:pPr>
      <w:rPr>
        <w:rFonts w:ascii="Symbol" w:hAnsi="Symbol" w:hint="default"/>
      </w:rPr>
    </w:lvl>
    <w:lvl w:ilvl="1" w:tplc="928469B2">
      <w:start w:val="1"/>
      <w:numFmt w:val="bullet"/>
      <w:lvlText w:val="o"/>
      <w:lvlJc w:val="left"/>
      <w:pPr>
        <w:ind w:left="1440" w:hanging="360"/>
      </w:pPr>
      <w:rPr>
        <w:rFonts w:ascii="Courier New" w:hAnsi="Courier New" w:hint="default"/>
      </w:rPr>
    </w:lvl>
    <w:lvl w:ilvl="2" w:tplc="3E2A2F9C">
      <w:start w:val="1"/>
      <w:numFmt w:val="bullet"/>
      <w:lvlText w:val=""/>
      <w:lvlJc w:val="left"/>
      <w:pPr>
        <w:ind w:left="2160" w:hanging="360"/>
      </w:pPr>
      <w:rPr>
        <w:rFonts w:ascii="Wingdings" w:hAnsi="Wingdings" w:hint="default"/>
      </w:rPr>
    </w:lvl>
    <w:lvl w:ilvl="3" w:tplc="C4C666C6">
      <w:start w:val="1"/>
      <w:numFmt w:val="bullet"/>
      <w:lvlText w:val=""/>
      <w:lvlJc w:val="left"/>
      <w:pPr>
        <w:ind w:left="2880" w:hanging="360"/>
      </w:pPr>
      <w:rPr>
        <w:rFonts w:ascii="Symbol" w:hAnsi="Symbol" w:hint="default"/>
      </w:rPr>
    </w:lvl>
    <w:lvl w:ilvl="4" w:tplc="50702E0E">
      <w:start w:val="1"/>
      <w:numFmt w:val="bullet"/>
      <w:lvlText w:val="o"/>
      <w:lvlJc w:val="left"/>
      <w:pPr>
        <w:ind w:left="3600" w:hanging="360"/>
      </w:pPr>
      <w:rPr>
        <w:rFonts w:ascii="Courier New" w:hAnsi="Courier New" w:hint="default"/>
      </w:rPr>
    </w:lvl>
    <w:lvl w:ilvl="5" w:tplc="2222C766">
      <w:start w:val="1"/>
      <w:numFmt w:val="bullet"/>
      <w:lvlText w:val=""/>
      <w:lvlJc w:val="left"/>
      <w:pPr>
        <w:ind w:left="4320" w:hanging="360"/>
      </w:pPr>
      <w:rPr>
        <w:rFonts w:ascii="Wingdings" w:hAnsi="Wingdings" w:hint="default"/>
      </w:rPr>
    </w:lvl>
    <w:lvl w:ilvl="6" w:tplc="1EDAFA50">
      <w:start w:val="1"/>
      <w:numFmt w:val="bullet"/>
      <w:lvlText w:val=""/>
      <w:lvlJc w:val="left"/>
      <w:pPr>
        <w:ind w:left="5040" w:hanging="360"/>
      </w:pPr>
      <w:rPr>
        <w:rFonts w:ascii="Symbol" w:hAnsi="Symbol" w:hint="default"/>
      </w:rPr>
    </w:lvl>
    <w:lvl w:ilvl="7" w:tplc="8792863E">
      <w:start w:val="1"/>
      <w:numFmt w:val="bullet"/>
      <w:lvlText w:val="o"/>
      <w:lvlJc w:val="left"/>
      <w:pPr>
        <w:ind w:left="5760" w:hanging="360"/>
      </w:pPr>
      <w:rPr>
        <w:rFonts w:ascii="Courier New" w:hAnsi="Courier New" w:hint="default"/>
      </w:rPr>
    </w:lvl>
    <w:lvl w:ilvl="8" w:tplc="58A04DD2">
      <w:start w:val="1"/>
      <w:numFmt w:val="bullet"/>
      <w:lvlText w:val=""/>
      <w:lvlJc w:val="left"/>
      <w:pPr>
        <w:ind w:left="6480" w:hanging="360"/>
      </w:pPr>
      <w:rPr>
        <w:rFonts w:ascii="Wingdings" w:hAnsi="Wingdings" w:hint="default"/>
      </w:rPr>
    </w:lvl>
  </w:abstractNum>
  <w:abstractNum w:abstractNumId="201" w15:restartNumberingAfterBreak="0">
    <w:nsid w:val="6E15E902"/>
    <w:multiLevelType w:val="hybridMultilevel"/>
    <w:tmpl w:val="FFFFFFFF"/>
    <w:lvl w:ilvl="0" w:tplc="8166B8C0">
      <w:start w:val="1"/>
      <w:numFmt w:val="decimal"/>
      <w:lvlText w:val="(%1)"/>
      <w:lvlJc w:val="left"/>
      <w:pPr>
        <w:ind w:left="720" w:hanging="360"/>
      </w:pPr>
    </w:lvl>
    <w:lvl w:ilvl="1" w:tplc="0FF820FC">
      <w:start w:val="1"/>
      <w:numFmt w:val="lowerLetter"/>
      <w:lvlText w:val="%2."/>
      <w:lvlJc w:val="left"/>
      <w:pPr>
        <w:ind w:left="1440" w:hanging="360"/>
      </w:pPr>
    </w:lvl>
    <w:lvl w:ilvl="2" w:tplc="A94A2706">
      <w:start w:val="1"/>
      <w:numFmt w:val="lowerRoman"/>
      <w:lvlText w:val="%3."/>
      <w:lvlJc w:val="right"/>
      <w:pPr>
        <w:ind w:left="2160" w:hanging="180"/>
      </w:pPr>
    </w:lvl>
    <w:lvl w:ilvl="3" w:tplc="53BCD208">
      <w:start w:val="1"/>
      <w:numFmt w:val="decimal"/>
      <w:lvlText w:val="%4."/>
      <w:lvlJc w:val="left"/>
      <w:pPr>
        <w:ind w:left="2880" w:hanging="360"/>
      </w:pPr>
    </w:lvl>
    <w:lvl w:ilvl="4" w:tplc="08BA2C2A">
      <w:start w:val="1"/>
      <w:numFmt w:val="lowerLetter"/>
      <w:lvlText w:val="%5."/>
      <w:lvlJc w:val="left"/>
      <w:pPr>
        <w:ind w:left="3600" w:hanging="360"/>
      </w:pPr>
    </w:lvl>
    <w:lvl w:ilvl="5" w:tplc="CF8A9334">
      <w:start w:val="1"/>
      <w:numFmt w:val="lowerRoman"/>
      <w:lvlText w:val="%6."/>
      <w:lvlJc w:val="right"/>
      <w:pPr>
        <w:ind w:left="4320" w:hanging="180"/>
      </w:pPr>
    </w:lvl>
    <w:lvl w:ilvl="6" w:tplc="B13490E6">
      <w:start w:val="1"/>
      <w:numFmt w:val="decimal"/>
      <w:lvlText w:val="%7."/>
      <w:lvlJc w:val="left"/>
      <w:pPr>
        <w:ind w:left="5040" w:hanging="360"/>
      </w:pPr>
    </w:lvl>
    <w:lvl w:ilvl="7" w:tplc="6B68CEF0">
      <w:start w:val="1"/>
      <w:numFmt w:val="lowerLetter"/>
      <w:lvlText w:val="%8."/>
      <w:lvlJc w:val="left"/>
      <w:pPr>
        <w:ind w:left="5760" w:hanging="360"/>
      </w:pPr>
    </w:lvl>
    <w:lvl w:ilvl="8" w:tplc="6E44BBC4">
      <w:start w:val="1"/>
      <w:numFmt w:val="lowerRoman"/>
      <w:lvlText w:val="%9."/>
      <w:lvlJc w:val="right"/>
      <w:pPr>
        <w:ind w:left="6480" w:hanging="180"/>
      </w:pPr>
    </w:lvl>
  </w:abstractNum>
  <w:abstractNum w:abstractNumId="202" w15:restartNumberingAfterBreak="0">
    <w:nsid w:val="6E211329"/>
    <w:multiLevelType w:val="hybridMultilevel"/>
    <w:tmpl w:val="783E66BE"/>
    <w:lvl w:ilvl="0" w:tplc="F7D08194">
      <w:start w:val="1"/>
      <w:numFmt w:val="decimal"/>
      <w:lvlText w:val="[1]"/>
      <w:lvlJc w:val="left"/>
      <w:pPr>
        <w:ind w:left="720" w:hanging="360"/>
      </w:pPr>
    </w:lvl>
    <w:lvl w:ilvl="1" w:tplc="6A5CCE18">
      <w:start w:val="1"/>
      <w:numFmt w:val="lowerLetter"/>
      <w:lvlText w:val="%2."/>
      <w:lvlJc w:val="left"/>
      <w:pPr>
        <w:ind w:left="1440" w:hanging="360"/>
      </w:pPr>
    </w:lvl>
    <w:lvl w:ilvl="2" w:tplc="21CE342A">
      <w:start w:val="1"/>
      <w:numFmt w:val="lowerRoman"/>
      <w:lvlText w:val="%3."/>
      <w:lvlJc w:val="right"/>
      <w:pPr>
        <w:ind w:left="2160" w:hanging="180"/>
      </w:pPr>
    </w:lvl>
    <w:lvl w:ilvl="3" w:tplc="94E8FE42">
      <w:start w:val="1"/>
      <w:numFmt w:val="decimal"/>
      <w:lvlText w:val="%4."/>
      <w:lvlJc w:val="left"/>
      <w:pPr>
        <w:ind w:left="2880" w:hanging="360"/>
      </w:pPr>
    </w:lvl>
    <w:lvl w:ilvl="4" w:tplc="E7BCBC82">
      <w:start w:val="1"/>
      <w:numFmt w:val="lowerLetter"/>
      <w:lvlText w:val="%5."/>
      <w:lvlJc w:val="left"/>
      <w:pPr>
        <w:ind w:left="3600" w:hanging="360"/>
      </w:pPr>
    </w:lvl>
    <w:lvl w:ilvl="5" w:tplc="7E4807FE">
      <w:start w:val="1"/>
      <w:numFmt w:val="lowerRoman"/>
      <w:lvlText w:val="%6."/>
      <w:lvlJc w:val="right"/>
      <w:pPr>
        <w:ind w:left="4320" w:hanging="180"/>
      </w:pPr>
    </w:lvl>
    <w:lvl w:ilvl="6" w:tplc="FFD0717C">
      <w:start w:val="1"/>
      <w:numFmt w:val="decimal"/>
      <w:lvlText w:val="%7."/>
      <w:lvlJc w:val="left"/>
      <w:pPr>
        <w:ind w:left="5040" w:hanging="360"/>
      </w:pPr>
    </w:lvl>
    <w:lvl w:ilvl="7" w:tplc="3F9CC830">
      <w:start w:val="1"/>
      <w:numFmt w:val="lowerLetter"/>
      <w:lvlText w:val="%8."/>
      <w:lvlJc w:val="left"/>
      <w:pPr>
        <w:ind w:left="5760" w:hanging="360"/>
      </w:pPr>
    </w:lvl>
    <w:lvl w:ilvl="8" w:tplc="821016DC">
      <w:start w:val="1"/>
      <w:numFmt w:val="lowerRoman"/>
      <w:lvlText w:val="%9."/>
      <w:lvlJc w:val="right"/>
      <w:pPr>
        <w:ind w:left="6480" w:hanging="180"/>
      </w:pPr>
    </w:lvl>
  </w:abstractNum>
  <w:abstractNum w:abstractNumId="203" w15:restartNumberingAfterBreak="0">
    <w:nsid w:val="6EAD4420"/>
    <w:multiLevelType w:val="hybridMultilevel"/>
    <w:tmpl w:val="F842A5F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4" w15:restartNumberingAfterBreak="0">
    <w:nsid w:val="6ED949F8"/>
    <w:multiLevelType w:val="hybridMultilevel"/>
    <w:tmpl w:val="D7D23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5" w15:restartNumberingAfterBreak="0">
    <w:nsid w:val="6F8A5E28"/>
    <w:multiLevelType w:val="multilevel"/>
    <w:tmpl w:val="AD32E2EE"/>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6" w15:restartNumberingAfterBreak="0">
    <w:nsid w:val="6FB65749"/>
    <w:multiLevelType w:val="hybridMultilevel"/>
    <w:tmpl w:val="EF08BFD8"/>
    <w:lvl w:ilvl="0" w:tplc="18090001">
      <w:start w:val="1"/>
      <w:numFmt w:val="bullet"/>
      <w:lvlText w:val=""/>
      <w:lvlJc w:val="left"/>
      <w:pPr>
        <w:ind w:left="502"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07" w15:restartNumberingAfterBreak="0">
    <w:nsid w:val="6FB673AA"/>
    <w:multiLevelType w:val="hybridMultilevel"/>
    <w:tmpl w:val="FF7266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8" w15:restartNumberingAfterBreak="0">
    <w:nsid w:val="6FCFFE85"/>
    <w:multiLevelType w:val="hybridMultilevel"/>
    <w:tmpl w:val="FFFFFFFF"/>
    <w:lvl w:ilvl="0" w:tplc="7E18D23A">
      <w:start w:val="1"/>
      <w:numFmt w:val="lowerLetter"/>
      <w:lvlText w:val="%1."/>
      <w:lvlJc w:val="left"/>
      <w:pPr>
        <w:ind w:left="720" w:hanging="360"/>
      </w:pPr>
    </w:lvl>
    <w:lvl w:ilvl="1" w:tplc="A3EAEDFC">
      <w:start w:val="1"/>
      <w:numFmt w:val="lowerLetter"/>
      <w:lvlText w:val="%2."/>
      <w:lvlJc w:val="left"/>
      <w:pPr>
        <w:ind w:left="1440" w:hanging="360"/>
      </w:pPr>
    </w:lvl>
    <w:lvl w:ilvl="2" w:tplc="9B0A4178">
      <w:start w:val="1"/>
      <w:numFmt w:val="lowerRoman"/>
      <w:lvlText w:val="%3."/>
      <w:lvlJc w:val="right"/>
      <w:pPr>
        <w:ind w:left="2160" w:hanging="180"/>
      </w:pPr>
    </w:lvl>
    <w:lvl w:ilvl="3" w:tplc="1744C8EA">
      <w:start w:val="1"/>
      <w:numFmt w:val="decimal"/>
      <w:lvlText w:val="%4."/>
      <w:lvlJc w:val="left"/>
      <w:pPr>
        <w:ind w:left="2880" w:hanging="360"/>
      </w:pPr>
    </w:lvl>
    <w:lvl w:ilvl="4" w:tplc="53681578">
      <w:start w:val="1"/>
      <w:numFmt w:val="lowerLetter"/>
      <w:lvlText w:val="%5."/>
      <w:lvlJc w:val="left"/>
      <w:pPr>
        <w:ind w:left="3600" w:hanging="360"/>
      </w:pPr>
    </w:lvl>
    <w:lvl w:ilvl="5" w:tplc="165ADF8E">
      <w:start w:val="1"/>
      <w:numFmt w:val="lowerRoman"/>
      <w:lvlText w:val="%6."/>
      <w:lvlJc w:val="right"/>
      <w:pPr>
        <w:ind w:left="4320" w:hanging="180"/>
      </w:pPr>
    </w:lvl>
    <w:lvl w:ilvl="6" w:tplc="F8DC98AE">
      <w:start w:val="1"/>
      <w:numFmt w:val="decimal"/>
      <w:lvlText w:val="%7."/>
      <w:lvlJc w:val="left"/>
      <w:pPr>
        <w:ind w:left="5040" w:hanging="360"/>
      </w:pPr>
    </w:lvl>
    <w:lvl w:ilvl="7" w:tplc="EA4AACAA">
      <w:start w:val="1"/>
      <w:numFmt w:val="lowerLetter"/>
      <w:lvlText w:val="%8."/>
      <w:lvlJc w:val="left"/>
      <w:pPr>
        <w:ind w:left="5760" w:hanging="360"/>
      </w:pPr>
    </w:lvl>
    <w:lvl w:ilvl="8" w:tplc="69B835D4">
      <w:start w:val="1"/>
      <w:numFmt w:val="lowerRoman"/>
      <w:lvlText w:val="%9."/>
      <w:lvlJc w:val="right"/>
      <w:pPr>
        <w:ind w:left="6480" w:hanging="180"/>
      </w:pPr>
    </w:lvl>
  </w:abstractNum>
  <w:abstractNum w:abstractNumId="209" w15:restartNumberingAfterBreak="0">
    <w:nsid w:val="6FF7313A"/>
    <w:multiLevelType w:val="hybridMultilevel"/>
    <w:tmpl w:val="65726660"/>
    <w:lvl w:ilvl="0" w:tplc="CBEA6830">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0" w15:restartNumberingAfterBreak="0">
    <w:nsid w:val="6FF9705F"/>
    <w:multiLevelType w:val="hybridMultilevel"/>
    <w:tmpl w:val="22349D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720" w:hanging="360"/>
      </w:pPr>
      <w:rPr>
        <w:rFonts w:ascii="Courier New" w:hAnsi="Courier New" w:cs="Courier New" w:hint="default"/>
      </w:rPr>
    </w:lvl>
    <w:lvl w:ilvl="2" w:tplc="18090005" w:tentative="1">
      <w:start w:val="1"/>
      <w:numFmt w:val="bullet"/>
      <w:lvlText w:val=""/>
      <w:lvlJc w:val="left"/>
      <w:pPr>
        <w:ind w:left="1440" w:hanging="360"/>
      </w:pPr>
      <w:rPr>
        <w:rFonts w:ascii="Wingdings" w:hAnsi="Wingdings" w:hint="default"/>
      </w:rPr>
    </w:lvl>
    <w:lvl w:ilvl="3" w:tplc="18090001" w:tentative="1">
      <w:start w:val="1"/>
      <w:numFmt w:val="bullet"/>
      <w:lvlText w:val=""/>
      <w:lvlJc w:val="left"/>
      <w:pPr>
        <w:ind w:left="2160" w:hanging="360"/>
      </w:pPr>
      <w:rPr>
        <w:rFonts w:ascii="Symbol" w:hAnsi="Symbol" w:hint="default"/>
      </w:rPr>
    </w:lvl>
    <w:lvl w:ilvl="4" w:tplc="18090003" w:tentative="1">
      <w:start w:val="1"/>
      <w:numFmt w:val="bullet"/>
      <w:lvlText w:val="o"/>
      <w:lvlJc w:val="left"/>
      <w:pPr>
        <w:ind w:left="2880" w:hanging="360"/>
      </w:pPr>
      <w:rPr>
        <w:rFonts w:ascii="Courier New" w:hAnsi="Courier New" w:cs="Courier New" w:hint="default"/>
      </w:rPr>
    </w:lvl>
    <w:lvl w:ilvl="5" w:tplc="18090005" w:tentative="1">
      <w:start w:val="1"/>
      <w:numFmt w:val="bullet"/>
      <w:lvlText w:val=""/>
      <w:lvlJc w:val="left"/>
      <w:pPr>
        <w:ind w:left="3600" w:hanging="360"/>
      </w:pPr>
      <w:rPr>
        <w:rFonts w:ascii="Wingdings" w:hAnsi="Wingdings" w:hint="default"/>
      </w:rPr>
    </w:lvl>
    <w:lvl w:ilvl="6" w:tplc="18090001" w:tentative="1">
      <w:start w:val="1"/>
      <w:numFmt w:val="bullet"/>
      <w:lvlText w:val=""/>
      <w:lvlJc w:val="left"/>
      <w:pPr>
        <w:ind w:left="4320" w:hanging="360"/>
      </w:pPr>
      <w:rPr>
        <w:rFonts w:ascii="Symbol" w:hAnsi="Symbol" w:hint="default"/>
      </w:rPr>
    </w:lvl>
    <w:lvl w:ilvl="7" w:tplc="18090003" w:tentative="1">
      <w:start w:val="1"/>
      <w:numFmt w:val="bullet"/>
      <w:lvlText w:val="o"/>
      <w:lvlJc w:val="left"/>
      <w:pPr>
        <w:ind w:left="5040" w:hanging="360"/>
      </w:pPr>
      <w:rPr>
        <w:rFonts w:ascii="Courier New" w:hAnsi="Courier New" w:cs="Courier New" w:hint="default"/>
      </w:rPr>
    </w:lvl>
    <w:lvl w:ilvl="8" w:tplc="18090005" w:tentative="1">
      <w:start w:val="1"/>
      <w:numFmt w:val="bullet"/>
      <w:lvlText w:val=""/>
      <w:lvlJc w:val="left"/>
      <w:pPr>
        <w:ind w:left="5760" w:hanging="360"/>
      </w:pPr>
      <w:rPr>
        <w:rFonts w:ascii="Wingdings" w:hAnsi="Wingdings" w:hint="default"/>
      </w:rPr>
    </w:lvl>
  </w:abstractNum>
  <w:abstractNum w:abstractNumId="211" w15:restartNumberingAfterBreak="0">
    <w:nsid w:val="70567A86"/>
    <w:multiLevelType w:val="hybridMultilevel"/>
    <w:tmpl w:val="A83239C8"/>
    <w:lvl w:ilvl="0" w:tplc="FECC7114">
      <w:start w:val="1"/>
      <w:numFmt w:val="decimal"/>
      <w:lvlText w:val="[1]"/>
      <w:lvlJc w:val="left"/>
      <w:pPr>
        <w:ind w:left="720" w:hanging="360"/>
      </w:pPr>
    </w:lvl>
    <w:lvl w:ilvl="1" w:tplc="8CB225F4">
      <w:start w:val="1"/>
      <w:numFmt w:val="lowerLetter"/>
      <w:lvlText w:val="%2."/>
      <w:lvlJc w:val="left"/>
      <w:pPr>
        <w:ind w:left="1440" w:hanging="360"/>
      </w:pPr>
    </w:lvl>
    <w:lvl w:ilvl="2" w:tplc="44F27A52">
      <w:start w:val="1"/>
      <w:numFmt w:val="lowerRoman"/>
      <w:lvlText w:val="%3."/>
      <w:lvlJc w:val="right"/>
      <w:pPr>
        <w:ind w:left="2160" w:hanging="180"/>
      </w:pPr>
    </w:lvl>
    <w:lvl w:ilvl="3" w:tplc="08AE7AE2">
      <w:start w:val="1"/>
      <w:numFmt w:val="decimal"/>
      <w:lvlText w:val="%4."/>
      <w:lvlJc w:val="left"/>
      <w:pPr>
        <w:ind w:left="2880" w:hanging="360"/>
      </w:pPr>
    </w:lvl>
    <w:lvl w:ilvl="4" w:tplc="B6F44298">
      <w:start w:val="1"/>
      <w:numFmt w:val="lowerLetter"/>
      <w:lvlText w:val="%5."/>
      <w:lvlJc w:val="left"/>
      <w:pPr>
        <w:ind w:left="3600" w:hanging="360"/>
      </w:pPr>
    </w:lvl>
    <w:lvl w:ilvl="5" w:tplc="399A2E3C">
      <w:start w:val="1"/>
      <w:numFmt w:val="lowerRoman"/>
      <w:lvlText w:val="%6."/>
      <w:lvlJc w:val="right"/>
      <w:pPr>
        <w:ind w:left="4320" w:hanging="180"/>
      </w:pPr>
    </w:lvl>
    <w:lvl w:ilvl="6" w:tplc="F9C6E668">
      <w:start w:val="1"/>
      <w:numFmt w:val="decimal"/>
      <w:lvlText w:val="%7."/>
      <w:lvlJc w:val="left"/>
      <w:pPr>
        <w:ind w:left="5040" w:hanging="360"/>
      </w:pPr>
    </w:lvl>
    <w:lvl w:ilvl="7" w:tplc="A0149DAE">
      <w:start w:val="1"/>
      <w:numFmt w:val="lowerLetter"/>
      <w:lvlText w:val="%8."/>
      <w:lvlJc w:val="left"/>
      <w:pPr>
        <w:ind w:left="5760" w:hanging="360"/>
      </w:pPr>
    </w:lvl>
    <w:lvl w:ilvl="8" w:tplc="BF20CC78">
      <w:start w:val="1"/>
      <w:numFmt w:val="lowerRoman"/>
      <w:lvlText w:val="%9."/>
      <w:lvlJc w:val="right"/>
      <w:pPr>
        <w:ind w:left="6480" w:hanging="180"/>
      </w:pPr>
    </w:lvl>
  </w:abstractNum>
  <w:abstractNum w:abstractNumId="212" w15:restartNumberingAfterBreak="0">
    <w:nsid w:val="70B05AE5"/>
    <w:multiLevelType w:val="hybridMultilevel"/>
    <w:tmpl w:val="08E800AC"/>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717B5B8B"/>
    <w:multiLevelType w:val="hybridMultilevel"/>
    <w:tmpl w:val="64E04B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4" w15:restartNumberingAfterBreak="0">
    <w:nsid w:val="71CF6C9B"/>
    <w:multiLevelType w:val="hybridMultilevel"/>
    <w:tmpl w:val="08E800AC"/>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71D80CBC"/>
    <w:multiLevelType w:val="hybridMultilevel"/>
    <w:tmpl w:val="FFFFFFFF"/>
    <w:lvl w:ilvl="0" w:tplc="DB34F1AE">
      <w:start w:val="1"/>
      <w:numFmt w:val="bullet"/>
      <w:lvlText w:val=""/>
      <w:lvlJc w:val="left"/>
      <w:pPr>
        <w:ind w:left="720" w:hanging="360"/>
      </w:pPr>
      <w:rPr>
        <w:rFonts w:ascii="Symbol" w:hAnsi="Symbol" w:hint="default"/>
      </w:rPr>
    </w:lvl>
    <w:lvl w:ilvl="1" w:tplc="5AFAC4D4">
      <w:start w:val="1"/>
      <w:numFmt w:val="bullet"/>
      <w:lvlText w:val="o"/>
      <w:lvlJc w:val="left"/>
      <w:pPr>
        <w:ind w:left="1440" w:hanging="360"/>
      </w:pPr>
      <w:rPr>
        <w:rFonts w:ascii="Courier New" w:hAnsi="Courier New" w:hint="default"/>
      </w:rPr>
    </w:lvl>
    <w:lvl w:ilvl="2" w:tplc="778CD390">
      <w:start w:val="1"/>
      <w:numFmt w:val="bullet"/>
      <w:lvlText w:val=""/>
      <w:lvlJc w:val="left"/>
      <w:pPr>
        <w:ind w:left="2160" w:hanging="360"/>
      </w:pPr>
      <w:rPr>
        <w:rFonts w:ascii="Wingdings" w:hAnsi="Wingdings" w:hint="default"/>
      </w:rPr>
    </w:lvl>
    <w:lvl w:ilvl="3" w:tplc="E10073E2">
      <w:start w:val="1"/>
      <w:numFmt w:val="bullet"/>
      <w:lvlText w:val=""/>
      <w:lvlJc w:val="left"/>
      <w:pPr>
        <w:ind w:left="2880" w:hanging="360"/>
      </w:pPr>
      <w:rPr>
        <w:rFonts w:ascii="Symbol" w:hAnsi="Symbol" w:hint="default"/>
      </w:rPr>
    </w:lvl>
    <w:lvl w:ilvl="4" w:tplc="2410CFEC">
      <w:start w:val="1"/>
      <w:numFmt w:val="bullet"/>
      <w:lvlText w:val="o"/>
      <w:lvlJc w:val="left"/>
      <w:pPr>
        <w:ind w:left="3600" w:hanging="360"/>
      </w:pPr>
      <w:rPr>
        <w:rFonts w:ascii="Courier New" w:hAnsi="Courier New" w:hint="default"/>
      </w:rPr>
    </w:lvl>
    <w:lvl w:ilvl="5" w:tplc="3AB6B2EA">
      <w:start w:val="1"/>
      <w:numFmt w:val="bullet"/>
      <w:lvlText w:val=""/>
      <w:lvlJc w:val="left"/>
      <w:pPr>
        <w:ind w:left="4320" w:hanging="360"/>
      </w:pPr>
      <w:rPr>
        <w:rFonts w:ascii="Wingdings" w:hAnsi="Wingdings" w:hint="default"/>
      </w:rPr>
    </w:lvl>
    <w:lvl w:ilvl="6" w:tplc="3062942E">
      <w:start w:val="1"/>
      <w:numFmt w:val="bullet"/>
      <w:lvlText w:val=""/>
      <w:lvlJc w:val="left"/>
      <w:pPr>
        <w:ind w:left="5040" w:hanging="360"/>
      </w:pPr>
      <w:rPr>
        <w:rFonts w:ascii="Symbol" w:hAnsi="Symbol" w:hint="default"/>
      </w:rPr>
    </w:lvl>
    <w:lvl w:ilvl="7" w:tplc="34D6406A">
      <w:start w:val="1"/>
      <w:numFmt w:val="bullet"/>
      <w:lvlText w:val="o"/>
      <w:lvlJc w:val="left"/>
      <w:pPr>
        <w:ind w:left="5760" w:hanging="360"/>
      </w:pPr>
      <w:rPr>
        <w:rFonts w:ascii="Courier New" w:hAnsi="Courier New" w:hint="default"/>
      </w:rPr>
    </w:lvl>
    <w:lvl w:ilvl="8" w:tplc="8F82EDC0">
      <w:start w:val="1"/>
      <w:numFmt w:val="bullet"/>
      <w:lvlText w:val=""/>
      <w:lvlJc w:val="left"/>
      <w:pPr>
        <w:ind w:left="6480" w:hanging="360"/>
      </w:pPr>
      <w:rPr>
        <w:rFonts w:ascii="Wingdings" w:hAnsi="Wingdings" w:hint="default"/>
      </w:rPr>
    </w:lvl>
  </w:abstractNum>
  <w:abstractNum w:abstractNumId="216" w15:restartNumberingAfterBreak="0">
    <w:nsid w:val="724D4C06"/>
    <w:multiLevelType w:val="hybridMultilevel"/>
    <w:tmpl w:val="D416DA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72A90C81"/>
    <w:multiLevelType w:val="hybridMultilevel"/>
    <w:tmpl w:val="EC3AF68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8" w15:restartNumberingAfterBreak="0">
    <w:nsid w:val="72F27215"/>
    <w:multiLevelType w:val="hybridMultilevel"/>
    <w:tmpl w:val="B01CA4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9" w15:restartNumberingAfterBreak="0">
    <w:nsid w:val="7317CFCE"/>
    <w:multiLevelType w:val="hybridMultilevel"/>
    <w:tmpl w:val="51B8660E"/>
    <w:lvl w:ilvl="0" w:tplc="A35A3500">
      <w:start w:val="1"/>
      <w:numFmt w:val="bullet"/>
      <w:lvlText w:val="-"/>
      <w:lvlJc w:val="left"/>
      <w:pPr>
        <w:ind w:left="1080" w:hanging="360"/>
      </w:pPr>
      <w:rPr>
        <w:rFonts w:ascii="Aptos" w:hAnsi="Aptos" w:hint="default"/>
      </w:rPr>
    </w:lvl>
    <w:lvl w:ilvl="1" w:tplc="9E021D20">
      <w:start w:val="1"/>
      <w:numFmt w:val="bullet"/>
      <w:lvlText w:val="o"/>
      <w:lvlJc w:val="left"/>
      <w:pPr>
        <w:ind w:left="1800" w:hanging="360"/>
      </w:pPr>
      <w:rPr>
        <w:rFonts w:ascii="Courier New" w:hAnsi="Courier New" w:hint="default"/>
      </w:rPr>
    </w:lvl>
    <w:lvl w:ilvl="2" w:tplc="AF8631F8">
      <w:start w:val="1"/>
      <w:numFmt w:val="bullet"/>
      <w:lvlText w:val=""/>
      <w:lvlJc w:val="left"/>
      <w:pPr>
        <w:ind w:left="2520" w:hanging="360"/>
      </w:pPr>
      <w:rPr>
        <w:rFonts w:ascii="Wingdings" w:hAnsi="Wingdings" w:hint="default"/>
      </w:rPr>
    </w:lvl>
    <w:lvl w:ilvl="3" w:tplc="55EE2124">
      <w:start w:val="1"/>
      <w:numFmt w:val="bullet"/>
      <w:lvlText w:val=""/>
      <w:lvlJc w:val="left"/>
      <w:pPr>
        <w:ind w:left="3240" w:hanging="360"/>
      </w:pPr>
      <w:rPr>
        <w:rFonts w:ascii="Symbol" w:hAnsi="Symbol" w:hint="default"/>
      </w:rPr>
    </w:lvl>
    <w:lvl w:ilvl="4" w:tplc="EE560058">
      <w:start w:val="1"/>
      <w:numFmt w:val="bullet"/>
      <w:lvlText w:val="o"/>
      <w:lvlJc w:val="left"/>
      <w:pPr>
        <w:ind w:left="3960" w:hanging="360"/>
      </w:pPr>
      <w:rPr>
        <w:rFonts w:ascii="Courier New" w:hAnsi="Courier New" w:hint="default"/>
      </w:rPr>
    </w:lvl>
    <w:lvl w:ilvl="5" w:tplc="8FD69AE4">
      <w:start w:val="1"/>
      <w:numFmt w:val="bullet"/>
      <w:lvlText w:val=""/>
      <w:lvlJc w:val="left"/>
      <w:pPr>
        <w:ind w:left="4680" w:hanging="360"/>
      </w:pPr>
      <w:rPr>
        <w:rFonts w:ascii="Wingdings" w:hAnsi="Wingdings" w:hint="default"/>
      </w:rPr>
    </w:lvl>
    <w:lvl w:ilvl="6" w:tplc="8EDC154C">
      <w:start w:val="1"/>
      <w:numFmt w:val="bullet"/>
      <w:lvlText w:val=""/>
      <w:lvlJc w:val="left"/>
      <w:pPr>
        <w:ind w:left="5400" w:hanging="360"/>
      </w:pPr>
      <w:rPr>
        <w:rFonts w:ascii="Symbol" w:hAnsi="Symbol" w:hint="default"/>
      </w:rPr>
    </w:lvl>
    <w:lvl w:ilvl="7" w:tplc="81A075CE">
      <w:start w:val="1"/>
      <w:numFmt w:val="bullet"/>
      <w:lvlText w:val="o"/>
      <w:lvlJc w:val="left"/>
      <w:pPr>
        <w:ind w:left="6120" w:hanging="360"/>
      </w:pPr>
      <w:rPr>
        <w:rFonts w:ascii="Courier New" w:hAnsi="Courier New" w:hint="default"/>
      </w:rPr>
    </w:lvl>
    <w:lvl w:ilvl="8" w:tplc="01660DCE">
      <w:start w:val="1"/>
      <w:numFmt w:val="bullet"/>
      <w:lvlText w:val=""/>
      <w:lvlJc w:val="left"/>
      <w:pPr>
        <w:ind w:left="6840" w:hanging="360"/>
      </w:pPr>
      <w:rPr>
        <w:rFonts w:ascii="Wingdings" w:hAnsi="Wingdings" w:hint="default"/>
      </w:rPr>
    </w:lvl>
  </w:abstractNum>
  <w:abstractNum w:abstractNumId="220" w15:restartNumberingAfterBreak="0">
    <w:nsid w:val="73F2689C"/>
    <w:multiLevelType w:val="hybridMultilevel"/>
    <w:tmpl w:val="EFFADA80"/>
    <w:lvl w:ilvl="0" w:tplc="1860881E">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1" w15:restartNumberingAfterBreak="0">
    <w:nsid w:val="743F5CA2"/>
    <w:multiLevelType w:val="multilevel"/>
    <w:tmpl w:val="F25066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2" w15:restartNumberingAfterBreak="0">
    <w:nsid w:val="7667FF97"/>
    <w:multiLevelType w:val="hybridMultilevel"/>
    <w:tmpl w:val="FFFFFFFF"/>
    <w:lvl w:ilvl="0" w:tplc="539844CA">
      <w:start w:val="1"/>
      <w:numFmt w:val="bullet"/>
      <w:lvlText w:val=""/>
      <w:lvlJc w:val="left"/>
      <w:pPr>
        <w:ind w:left="720" w:hanging="360"/>
      </w:pPr>
      <w:rPr>
        <w:rFonts w:ascii="Symbol" w:hAnsi="Symbol" w:hint="default"/>
      </w:rPr>
    </w:lvl>
    <w:lvl w:ilvl="1" w:tplc="814EEC88">
      <w:start w:val="1"/>
      <w:numFmt w:val="bullet"/>
      <w:lvlText w:val="o"/>
      <w:lvlJc w:val="left"/>
      <w:pPr>
        <w:ind w:left="1440" w:hanging="360"/>
      </w:pPr>
      <w:rPr>
        <w:rFonts w:ascii="Courier New" w:hAnsi="Courier New" w:hint="default"/>
      </w:rPr>
    </w:lvl>
    <w:lvl w:ilvl="2" w:tplc="9D7E6AC2">
      <w:start w:val="1"/>
      <w:numFmt w:val="bullet"/>
      <w:lvlText w:val=""/>
      <w:lvlJc w:val="left"/>
      <w:pPr>
        <w:ind w:left="2160" w:hanging="360"/>
      </w:pPr>
      <w:rPr>
        <w:rFonts w:ascii="Wingdings" w:hAnsi="Wingdings" w:hint="default"/>
      </w:rPr>
    </w:lvl>
    <w:lvl w:ilvl="3" w:tplc="22D0D998">
      <w:start w:val="1"/>
      <w:numFmt w:val="bullet"/>
      <w:lvlText w:val=""/>
      <w:lvlJc w:val="left"/>
      <w:pPr>
        <w:ind w:left="2880" w:hanging="360"/>
      </w:pPr>
      <w:rPr>
        <w:rFonts w:ascii="Symbol" w:hAnsi="Symbol" w:hint="default"/>
      </w:rPr>
    </w:lvl>
    <w:lvl w:ilvl="4" w:tplc="52B2E174">
      <w:start w:val="1"/>
      <w:numFmt w:val="bullet"/>
      <w:lvlText w:val="o"/>
      <w:lvlJc w:val="left"/>
      <w:pPr>
        <w:ind w:left="3600" w:hanging="360"/>
      </w:pPr>
      <w:rPr>
        <w:rFonts w:ascii="Courier New" w:hAnsi="Courier New" w:hint="default"/>
      </w:rPr>
    </w:lvl>
    <w:lvl w:ilvl="5" w:tplc="DB4C9A9C">
      <w:start w:val="1"/>
      <w:numFmt w:val="bullet"/>
      <w:lvlText w:val=""/>
      <w:lvlJc w:val="left"/>
      <w:pPr>
        <w:ind w:left="4320" w:hanging="360"/>
      </w:pPr>
      <w:rPr>
        <w:rFonts w:ascii="Wingdings" w:hAnsi="Wingdings" w:hint="default"/>
      </w:rPr>
    </w:lvl>
    <w:lvl w:ilvl="6" w:tplc="EE3AD3B4">
      <w:start w:val="1"/>
      <w:numFmt w:val="bullet"/>
      <w:lvlText w:val=""/>
      <w:lvlJc w:val="left"/>
      <w:pPr>
        <w:ind w:left="5040" w:hanging="360"/>
      </w:pPr>
      <w:rPr>
        <w:rFonts w:ascii="Symbol" w:hAnsi="Symbol" w:hint="default"/>
      </w:rPr>
    </w:lvl>
    <w:lvl w:ilvl="7" w:tplc="3058F5FE">
      <w:start w:val="1"/>
      <w:numFmt w:val="bullet"/>
      <w:lvlText w:val="o"/>
      <w:lvlJc w:val="left"/>
      <w:pPr>
        <w:ind w:left="5760" w:hanging="360"/>
      </w:pPr>
      <w:rPr>
        <w:rFonts w:ascii="Courier New" w:hAnsi="Courier New" w:hint="default"/>
      </w:rPr>
    </w:lvl>
    <w:lvl w:ilvl="8" w:tplc="CB84247E">
      <w:start w:val="1"/>
      <w:numFmt w:val="bullet"/>
      <w:lvlText w:val=""/>
      <w:lvlJc w:val="left"/>
      <w:pPr>
        <w:ind w:left="6480" w:hanging="360"/>
      </w:pPr>
      <w:rPr>
        <w:rFonts w:ascii="Wingdings" w:hAnsi="Wingdings" w:hint="default"/>
      </w:rPr>
    </w:lvl>
  </w:abstractNum>
  <w:abstractNum w:abstractNumId="223" w15:restartNumberingAfterBreak="0">
    <w:nsid w:val="766DC310"/>
    <w:multiLevelType w:val="hybridMultilevel"/>
    <w:tmpl w:val="9B80EFF6"/>
    <w:lvl w:ilvl="0" w:tplc="436CEAE6">
      <w:start w:val="1"/>
      <w:numFmt w:val="decimal"/>
      <w:lvlText w:val="%1."/>
      <w:lvlJc w:val="left"/>
      <w:pPr>
        <w:ind w:left="720" w:hanging="360"/>
      </w:pPr>
    </w:lvl>
    <w:lvl w:ilvl="1" w:tplc="F67CB61A">
      <w:start w:val="1"/>
      <w:numFmt w:val="lowerLetter"/>
      <w:lvlText w:val="%2."/>
      <w:lvlJc w:val="left"/>
      <w:pPr>
        <w:ind w:left="1440" w:hanging="360"/>
      </w:pPr>
    </w:lvl>
    <w:lvl w:ilvl="2" w:tplc="81ECC37E">
      <w:start w:val="1"/>
      <w:numFmt w:val="lowerRoman"/>
      <w:lvlText w:val="%3."/>
      <w:lvlJc w:val="right"/>
      <w:pPr>
        <w:ind w:left="2160" w:hanging="180"/>
      </w:pPr>
    </w:lvl>
    <w:lvl w:ilvl="3" w:tplc="45C6531E">
      <w:start w:val="1"/>
      <w:numFmt w:val="decimal"/>
      <w:lvlText w:val="%4."/>
      <w:lvlJc w:val="left"/>
      <w:pPr>
        <w:ind w:left="2880" w:hanging="360"/>
      </w:pPr>
    </w:lvl>
    <w:lvl w:ilvl="4" w:tplc="254C2376">
      <w:start w:val="1"/>
      <w:numFmt w:val="lowerLetter"/>
      <w:lvlText w:val="%5."/>
      <w:lvlJc w:val="left"/>
      <w:pPr>
        <w:ind w:left="3600" w:hanging="360"/>
      </w:pPr>
    </w:lvl>
    <w:lvl w:ilvl="5" w:tplc="B086A036">
      <w:start w:val="1"/>
      <w:numFmt w:val="lowerRoman"/>
      <w:lvlText w:val="%6."/>
      <w:lvlJc w:val="right"/>
      <w:pPr>
        <w:ind w:left="4320" w:hanging="180"/>
      </w:pPr>
    </w:lvl>
    <w:lvl w:ilvl="6" w:tplc="DFD216F4">
      <w:start w:val="1"/>
      <w:numFmt w:val="decimal"/>
      <w:lvlText w:val="%7."/>
      <w:lvlJc w:val="left"/>
      <w:pPr>
        <w:ind w:left="5040" w:hanging="360"/>
      </w:pPr>
    </w:lvl>
    <w:lvl w:ilvl="7" w:tplc="D18438B0">
      <w:start w:val="1"/>
      <w:numFmt w:val="lowerLetter"/>
      <w:lvlText w:val="%8."/>
      <w:lvlJc w:val="left"/>
      <w:pPr>
        <w:ind w:left="5760" w:hanging="360"/>
      </w:pPr>
    </w:lvl>
    <w:lvl w:ilvl="8" w:tplc="09F8E9C6">
      <w:start w:val="1"/>
      <w:numFmt w:val="lowerRoman"/>
      <w:lvlText w:val="%9."/>
      <w:lvlJc w:val="right"/>
      <w:pPr>
        <w:ind w:left="6480" w:hanging="180"/>
      </w:pPr>
    </w:lvl>
  </w:abstractNum>
  <w:abstractNum w:abstractNumId="224" w15:restartNumberingAfterBreak="0">
    <w:nsid w:val="768C1DE4"/>
    <w:multiLevelType w:val="multilevel"/>
    <w:tmpl w:val="E6E2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77147D04"/>
    <w:multiLevelType w:val="hybridMultilevel"/>
    <w:tmpl w:val="71065000"/>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6" w15:restartNumberingAfterBreak="0">
    <w:nsid w:val="77293FDF"/>
    <w:multiLevelType w:val="hybridMultilevel"/>
    <w:tmpl w:val="1E7614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7" w15:restartNumberingAfterBreak="0">
    <w:nsid w:val="77913FC2"/>
    <w:multiLevelType w:val="hybridMultilevel"/>
    <w:tmpl w:val="CB481522"/>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8" w15:restartNumberingAfterBreak="0">
    <w:nsid w:val="77E31112"/>
    <w:multiLevelType w:val="hybridMultilevel"/>
    <w:tmpl w:val="34482C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78372958"/>
    <w:multiLevelType w:val="hybridMultilevel"/>
    <w:tmpl w:val="A3F0E1E2"/>
    <w:lvl w:ilvl="0" w:tplc="FD4861A0">
      <w:numFmt w:val="bullet"/>
      <w:lvlText w:val="-"/>
      <w:lvlJc w:val="left"/>
      <w:pPr>
        <w:ind w:left="360" w:hanging="360"/>
      </w:pPr>
      <w:rPr>
        <w:rFonts w:ascii="Aptos" w:eastAsiaTheme="minorHAnsi" w:hAnsi="Aptos" w:cstheme="minorBidi"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0" w15:restartNumberingAfterBreak="0">
    <w:nsid w:val="79199F24"/>
    <w:multiLevelType w:val="hybridMultilevel"/>
    <w:tmpl w:val="FFFFFFFF"/>
    <w:lvl w:ilvl="0" w:tplc="1A162006">
      <w:start w:val="1"/>
      <w:numFmt w:val="bullet"/>
      <w:lvlText w:val=""/>
      <w:lvlJc w:val="left"/>
      <w:pPr>
        <w:ind w:left="720" w:hanging="360"/>
      </w:pPr>
      <w:rPr>
        <w:rFonts w:ascii="Symbol" w:hAnsi="Symbol" w:hint="default"/>
      </w:rPr>
    </w:lvl>
    <w:lvl w:ilvl="1" w:tplc="008C3ECE">
      <w:start w:val="1"/>
      <w:numFmt w:val="bullet"/>
      <w:lvlText w:val=""/>
      <w:lvlJc w:val="left"/>
      <w:pPr>
        <w:ind w:left="1440" w:hanging="360"/>
      </w:pPr>
      <w:rPr>
        <w:rFonts w:ascii="Symbol" w:hAnsi="Symbol" w:hint="default"/>
      </w:rPr>
    </w:lvl>
    <w:lvl w:ilvl="2" w:tplc="EBD03044">
      <w:start w:val="1"/>
      <w:numFmt w:val="bullet"/>
      <w:lvlText w:val=""/>
      <w:lvlJc w:val="left"/>
      <w:pPr>
        <w:ind w:left="2160" w:hanging="360"/>
      </w:pPr>
      <w:rPr>
        <w:rFonts w:ascii="Wingdings" w:hAnsi="Wingdings" w:hint="default"/>
      </w:rPr>
    </w:lvl>
    <w:lvl w:ilvl="3" w:tplc="1C3A6642">
      <w:start w:val="1"/>
      <w:numFmt w:val="bullet"/>
      <w:lvlText w:val=""/>
      <w:lvlJc w:val="left"/>
      <w:pPr>
        <w:ind w:left="2880" w:hanging="360"/>
      </w:pPr>
      <w:rPr>
        <w:rFonts w:ascii="Symbol" w:hAnsi="Symbol" w:hint="default"/>
      </w:rPr>
    </w:lvl>
    <w:lvl w:ilvl="4" w:tplc="523ACA72">
      <w:start w:val="1"/>
      <w:numFmt w:val="bullet"/>
      <w:lvlText w:val="o"/>
      <w:lvlJc w:val="left"/>
      <w:pPr>
        <w:ind w:left="3600" w:hanging="360"/>
      </w:pPr>
      <w:rPr>
        <w:rFonts w:ascii="Courier New" w:hAnsi="Courier New" w:hint="default"/>
      </w:rPr>
    </w:lvl>
    <w:lvl w:ilvl="5" w:tplc="FE06DBA2">
      <w:start w:val="1"/>
      <w:numFmt w:val="bullet"/>
      <w:lvlText w:val=""/>
      <w:lvlJc w:val="left"/>
      <w:pPr>
        <w:ind w:left="4320" w:hanging="360"/>
      </w:pPr>
      <w:rPr>
        <w:rFonts w:ascii="Wingdings" w:hAnsi="Wingdings" w:hint="default"/>
      </w:rPr>
    </w:lvl>
    <w:lvl w:ilvl="6" w:tplc="58C296E8">
      <w:start w:val="1"/>
      <w:numFmt w:val="bullet"/>
      <w:lvlText w:val=""/>
      <w:lvlJc w:val="left"/>
      <w:pPr>
        <w:ind w:left="5040" w:hanging="360"/>
      </w:pPr>
      <w:rPr>
        <w:rFonts w:ascii="Symbol" w:hAnsi="Symbol" w:hint="default"/>
      </w:rPr>
    </w:lvl>
    <w:lvl w:ilvl="7" w:tplc="E4A2BE9C">
      <w:start w:val="1"/>
      <w:numFmt w:val="bullet"/>
      <w:lvlText w:val="o"/>
      <w:lvlJc w:val="left"/>
      <w:pPr>
        <w:ind w:left="5760" w:hanging="360"/>
      </w:pPr>
      <w:rPr>
        <w:rFonts w:ascii="Courier New" w:hAnsi="Courier New" w:hint="default"/>
      </w:rPr>
    </w:lvl>
    <w:lvl w:ilvl="8" w:tplc="E046754C">
      <w:start w:val="1"/>
      <w:numFmt w:val="bullet"/>
      <w:lvlText w:val=""/>
      <w:lvlJc w:val="left"/>
      <w:pPr>
        <w:ind w:left="6480" w:hanging="360"/>
      </w:pPr>
      <w:rPr>
        <w:rFonts w:ascii="Wingdings" w:hAnsi="Wingdings" w:hint="default"/>
      </w:rPr>
    </w:lvl>
  </w:abstractNum>
  <w:abstractNum w:abstractNumId="231" w15:restartNumberingAfterBreak="0">
    <w:nsid w:val="798514A6"/>
    <w:multiLevelType w:val="hybridMultilevel"/>
    <w:tmpl w:val="FFFFFFFF"/>
    <w:lvl w:ilvl="0" w:tplc="2DFC73E8">
      <w:start w:val="1"/>
      <w:numFmt w:val="bullet"/>
      <w:lvlText w:val=""/>
      <w:lvlJc w:val="left"/>
      <w:pPr>
        <w:ind w:left="720" w:hanging="360"/>
      </w:pPr>
      <w:rPr>
        <w:rFonts w:ascii="Symbol" w:hAnsi="Symbol" w:hint="default"/>
      </w:rPr>
    </w:lvl>
    <w:lvl w:ilvl="1" w:tplc="1860881E">
      <w:start w:val="1"/>
      <w:numFmt w:val="bullet"/>
      <w:lvlText w:val=""/>
      <w:lvlJc w:val="left"/>
      <w:pPr>
        <w:ind w:left="1440" w:hanging="360"/>
      </w:pPr>
      <w:rPr>
        <w:rFonts w:ascii="Symbol" w:hAnsi="Symbol" w:hint="default"/>
      </w:rPr>
    </w:lvl>
    <w:lvl w:ilvl="2" w:tplc="76563CA2">
      <w:start w:val="1"/>
      <w:numFmt w:val="bullet"/>
      <w:lvlText w:val=""/>
      <w:lvlJc w:val="left"/>
      <w:pPr>
        <w:ind w:left="2160" w:hanging="360"/>
      </w:pPr>
      <w:rPr>
        <w:rFonts w:ascii="Wingdings" w:hAnsi="Wingdings" w:hint="default"/>
      </w:rPr>
    </w:lvl>
    <w:lvl w:ilvl="3" w:tplc="8624BCEE">
      <w:start w:val="1"/>
      <w:numFmt w:val="bullet"/>
      <w:lvlText w:val=""/>
      <w:lvlJc w:val="left"/>
      <w:pPr>
        <w:ind w:left="2880" w:hanging="360"/>
      </w:pPr>
      <w:rPr>
        <w:rFonts w:ascii="Symbol" w:hAnsi="Symbol" w:hint="default"/>
      </w:rPr>
    </w:lvl>
    <w:lvl w:ilvl="4" w:tplc="8D80E748">
      <w:start w:val="1"/>
      <w:numFmt w:val="bullet"/>
      <w:lvlText w:val="o"/>
      <w:lvlJc w:val="left"/>
      <w:pPr>
        <w:ind w:left="3600" w:hanging="360"/>
      </w:pPr>
      <w:rPr>
        <w:rFonts w:ascii="Courier New" w:hAnsi="Courier New" w:hint="default"/>
      </w:rPr>
    </w:lvl>
    <w:lvl w:ilvl="5" w:tplc="75C22A44">
      <w:start w:val="1"/>
      <w:numFmt w:val="bullet"/>
      <w:lvlText w:val=""/>
      <w:lvlJc w:val="left"/>
      <w:pPr>
        <w:ind w:left="4320" w:hanging="360"/>
      </w:pPr>
      <w:rPr>
        <w:rFonts w:ascii="Wingdings" w:hAnsi="Wingdings" w:hint="default"/>
      </w:rPr>
    </w:lvl>
    <w:lvl w:ilvl="6" w:tplc="E1CE517A">
      <w:start w:val="1"/>
      <w:numFmt w:val="bullet"/>
      <w:lvlText w:val=""/>
      <w:lvlJc w:val="left"/>
      <w:pPr>
        <w:ind w:left="5040" w:hanging="360"/>
      </w:pPr>
      <w:rPr>
        <w:rFonts w:ascii="Symbol" w:hAnsi="Symbol" w:hint="default"/>
      </w:rPr>
    </w:lvl>
    <w:lvl w:ilvl="7" w:tplc="257EAA1C">
      <w:start w:val="1"/>
      <w:numFmt w:val="bullet"/>
      <w:lvlText w:val="o"/>
      <w:lvlJc w:val="left"/>
      <w:pPr>
        <w:ind w:left="5760" w:hanging="360"/>
      </w:pPr>
      <w:rPr>
        <w:rFonts w:ascii="Courier New" w:hAnsi="Courier New" w:hint="default"/>
      </w:rPr>
    </w:lvl>
    <w:lvl w:ilvl="8" w:tplc="7A36CA54">
      <w:start w:val="1"/>
      <w:numFmt w:val="bullet"/>
      <w:lvlText w:val=""/>
      <w:lvlJc w:val="left"/>
      <w:pPr>
        <w:ind w:left="6480" w:hanging="360"/>
      </w:pPr>
      <w:rPr>
        <w:rFonts w:ascii="Wingdings" w:hAnsi="Wingdings" w:hint="default"/>
      </w:rPr>
    </w:lvl>
  </w:abstractNum>
  <w:abstractNum w:abstractNumId="232" w15:restartNumberingAfterBreak="0">
    <w:nsid w:val="79E63D68"/>
    <w:multiLevelType w:val="hybridMultilevel"/>
    <w:tmpl w:val="E07A62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3" w15:restartNumberingAfterBreak="0">
    <w:nsid w:val="7A735E81"/>
    <w:multiLevelType w:val="hybridMultilevel"/>
    <w:tmpl w:val="74A8C64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4" w15:restartNumberingAfterBreak="0">
    <w:nsid w:val="7A764910"/>
    <w:multiLevelType w:val="multilevel"/>
    <w:tmpl w:val="7E0E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B1775DD"/>
    <w:multiLevelType w:val="hybridMultilevel"/>
    <w:tmpl w:val="1CA668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7B51387A"/>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7" w15:restartNumberingAfterBreak="0">
    <w:nsid w:val="7C343706"/>
    <w:multiLevelType w:val="hybridMultilevel"/>
    <w:tmpl w:val="4F6C42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8" w15:restartNumberingAfterBreak="0">
    <w:nsid w:val="7CBDE9C7"/>
    <w:multiLevelType w:val="hybridMultilevel"/>
    <w:tmpl w:val="37C610D2"/>
    <w:lvl w:ilvl="0" w:tplc="CBF2A220">
      <w:start w:val="1"/>
      <w:numFmt w:val="bullet"/>
      <w:lvlText w:val=""/>
      <w:lvlJc w:val="left"/>
      <w:pPr>
        <w:ind w:left="720" w:hanging="360"/>
      </w:pPr>
      <w:rPr>
        <w:rFonts w:ascii="Symbol" w:hAnsi="Symbol" w:hint="default"/>
      </w:rPr>
    </w:lvl>
    <w:lvl w:ilvl="1" w:tplc="521461E6">
      <w:start w:val="1"/>
      <w:numFmt w:val="bullet"/>
      <w:lvlText w:val="o"/>
      <w:lvlJc w:val="left"/>
      <w:pPr>
        <w:ind w:left="1440" w:hanging="360"/>
      </w:pPr>
      <w:rPr>
        <w:rFonts w:ascii="Courier New" w:hAnsi="Courier New" w:hint="default"/>
      </w:rPr>
    </w:lvl>
    <w:lvl w:ilvl="2" w:tplc="4DDEAD84">
      <w:start w:val="1"/>
      <w:numFmt w:val="bullet"/>
      <w:lvlText w:val=""/>
      <w:lvlJc w:val="left"/>
      <w:pPr>
        <w:ind w:left="2160" w:hanging="360"/>
      </w:pPr>
      <w:rPr>
        <w:rFonts w:ascii="Wingdings" w:hAnsi="Wingdings" w:hint="default"/>
      </w:rPr>
    </w:lvl>
    <w:lvl w:ilvl="3" w:tplc="558A1C2A">
      <w:start w:val="1"/>
      <w:numFmt w:val="bullet"/>
      <w:lvlText w:val=""/>
      <w:lvlJc w:val="left"/>
      <w:pPr>
        <w:ind w:left="2880" w:hanging="360"/>
      </w:pPr>
      <w:rPr>
        <w:rFonts w:ascii="Symbol" w:hAnsi="Symbol" w:hint="default"/>
      </w:rPr>
    </w:lvl>
    <w:lvl w:ilvl="4" w:tplc="C3D8BE94">
      <w:start w:val="1"/>
      <w:numFmt w:val="bullet"/>
      <w:lvlText w:val="o"/>
      <w:lvlJc w:val="left"/>
      <w:pPr>
        <w:ind w:left="3600" w:hanging="360"/>
      </w:pPr>
      <w:rPr>
        <w:rFonts w:ascii="Courier New" w:hAnsi="Courier New" w:hint="default"/>
      </w:rPr>
    </w:lvl>
    <w:lvl w:ilvl="5" w:tplc="E326B02A">
      <w:start w:val="1"/>
      <w:numFmt w:val="bullet"/>
      <w:lvlText w:val=""/>
      <w:lvlJc w:val="left"/>
      <w:pPr>
        <w:ind w:left="4320" w:hanging="360"/>
      </w:pPr>
      <w:rPr>
        <w:rFonts w:ascii="Wingdings" w:hAnsi="Wingdings" w:hint="default"/>
      </w:rPr>
    </w:lvl>
    <w:lvl w:ilvl="6" w:tplc="DF54510E">
      <w:start w:val="1"/>
      <w:numFmt w:val="bullet"/>
      <w:lvlText w:val=""/>
      <w:lvlJc w:val="left"/>
      <w:pPr>
        <w:ind w:left="5040" w:hanging="360"/>
      </w:pPr>
      <w:rPr>
        <w:rFonts w:ascii="Symbol" w:hAnsi="Symbol" w:hint="default"/>
      </w:rPr>
    </w:lvl>
    <w:lvl w:ilvl="7" w:tplc="0FE2B290">
      <w:start w:val="1"/>
      <w:numFmt w:val="bullet"/>
      <w:lvlText w:val="o"/>
      <w:lvlJc w:val="left"/>
      <w:pPr>
        <w:ind w:left="5760" w:hanging="360"/>
      </w:pPr>
      <w:rPr>
        <w:rFonts w:ascii="Courier New" w:hAnsi="Courier New" w:hint="default"/>
      </w:rPr>
    </w:lvl>
    <w:lvl w:ilvl="8" w:tplc="C4EE6CFA">
      <w:start w:val="1"/>
      <w:numFmt w:val="bullet"/>
      <w:lvlText w:val=""/>
      <w:lvlJc w:val="left"/>
      <w:pPr>
        <w:ind w:left="6480" w:hanging="360"/>
      </w:pPr>
      <w:rPr>
        <w:rFonts w:ascii="Wingdings" w:hAnsi="Wingdings" w:hint="default"/>
      </w:rPr>
    </w:lvl>
  </w:abstractNum>
  <w:abstractNum w:abstractNumId="239" w15:restartNumberingAfterBreak="0">
    <w:nsid w:val="7DA68886"/>
    <w:multiLevelType w:val="hybridMultilevel"/>
    <w:tmpl w:val="F30A5A6C"/>
    <w:lvl w:ilvl="0" w:tplc="7756BD84">
      <w:start w:val="1"/>
      <w:numFmt w:val="decimal"/>
      <w:lvlText w:val="%1."/>
      <w:lvlJc w:val="left"/>
      <w:pPr>
        <w:ind w:left="927" w:hanging="360"/>
      </w:pPr>
      <w:rPr>
        <w:b w:val="0"/>
        <w:bCs/>
        <w:i w:val="0"/>
        <w:iCs/>
      </w:rPr>
    </w:lvl>
    <w:lvl w:ilvl="1" w:tplc="747AD85A">
      <w:start w:val="1"/>
      <w:numFmt w:val="lowerLetter"/>
      <w:lvlText w:val="%2."/>
      <w:lvlJc w:val="left"/>
      <w:pPr>
        <w:ind w:left="1440" w:hanging="360"/>
      </w:pPr>
    </w:lvl>
    <w:lvl w:ilvl="2" w:tplc="8AB600C2">
      <w:start w:val="1"/>
      <w:numFmt w:val="lowerRoman"/>
      <w:lvlText w:val="%3."/>
      <w:lvlJc w:val="right"/>
      <w:pPr>
        <w:ind w:left="2160" w:hanging="180"/>
      </w:pPr>
    </w:lvl>
    <w:lvl w:ilvl="3" w:tplc="89EEFED6">
      <w:start w:val="1"/>
      <w:numFmt w:val="decimal"/>
      <w:lvlText w:val="%4."/>
      <w:lvlJc w:val="left"/>
      <w:pPr>
        <w:ind w:left="2880" w:hanging="360"/>
      </w:pPr>
    </w:lvl>
    <w:lvl w:ilvl="4" w:tplc="EFF0613E">
      <w:start w:val="1"/>
      <w:numFmt w:val="lowerLetter"/>
      <w:lvlText w:val="%5."/>
      <w:lvlJc w:val="left"/>
      <w:pPr>
        <w:ind w:left="3600" w:hanging="360"/>
      </w:pPr>
    </w:lvl>
    <w:lvl w:ilvl="5" w:tplc="1A6CF7D6">
      <w:start w:val="1"/>
      <w:numFmt w:val="lowerRoman"/>
      <w:lvlText w:val="%6."/>
      <w:lvlJc w:val="right"/>
      <w:pPr>
        <w:ind w:left="4320" w:hanging="180"/>
      </w:pPr>
    </w:lvl>
    <w:lvl w:ilvl="6" w:tplc="76A280BE">
      <w:start w:val="1"/>
      <w:numFmt w:val="decimal"/>
      <w:lvlText w:val="%7."/>
      <w:lvlJc w:val="left"/>
      <w:pPr>
        <w:ind w:left="5040" w:hanging="360"/>
      </w:pPr>
    </w:lvl>
    <w:lvl w:ilvl="7" w:tplc="58460F18">
      <w:start w:val="1"/>
      <w:numFmt w:val="lowerLetter"/>
      <w:lvlText w:val="%8."/>
      <w:lvlJc w:val="left"/>
      <w:pPr>
        <w:ind w:left="5760" w:hanging="360"/>
      </w:pPr>
    </w:lvl>
    <w:lvl w:ilvl="8" w:tplc="62DE50FA">
      <w:start w:val="1"/>
      <w:numFmt w:val="lowerRoman"/>
      <w:lvlText w:val="%9."/>
      <w:lvlJc w:val="right"/>
      <w:pPr>
        <w:ind w:left="6480" w:hanging="180"/>
      </w:pPr>
    </w:lvl>
  </w:abstractNum>
  <w:abstractNum w:abstractNumId="240" w15:restartNumberingAfterBreak="0">
    <w:nsid w:val="7DB117FF"/>
    <w:multiLevelType w:val="hybridMultilevel"/>
    <w:tmpl w:val="9C62F9AA"/>
    <w:lvl w:ilvl="0" w:tplc="A1085910">
      <w:start w:val="1"/>
      <w:numFmt w:val="decimal"/>
      <w:lvlText w:val="[1]"/>
      <w:lvlJc w:val="left"/>
      <w:pPr>
        <w:ind w:left="720" w:hanging="360"/>
      </w:pPr>
    </w:lvl>
    <w:lvl w:ilvl="1" w:tplc="4B7C4AC6">
      <w:start w:val="1"/>
      <w:numFmt w:val="lowerLetter"/>
      <w:lvlText w:val="%2."/>
      <w:lvlJc w:val="left"/>
      <w:pPr>
        <w:ind w:left="1440" w:hanging="360"/>
      </w:pPr>
    </w:lvl>
    <w:lvl w:ilvl="2" w:tplc="DC9A9FAA">
      <w:start w:val="1"/>
      <w:numFmt w:val="lowerRoman"/>
      <w:lvlText w:val="%3."/>
      <w:lvlJc w:val="right"/>
      <w:pPr>
        <w:ind w:left="2160" w:hanging="180"/>
      </w:pPr>
    </w:lvl>
    <w:lvl w:ilvl="3" w:tplc="DAEE6272">
      <w:start w:val="1"/>
      <w:numFmt w:val="decimal"/>
      <w:lvlText w:val="%4."/>
      <w:lvlJc w:val="left"/>
      <w:pPr>
        <w:ind w:left="2880" w:hanging="360"/>
      </w:pPr>
    </w:lvl>
    <w:lvl w:ilvl="4" w:tplc="255C96E2">
      <w:start w:val="1"/>
      <w:numFmt w:val="lowerLetter"/>
      <w:lvlText w:val="%5."/>
      <w:lvlJc w:val="left"/>
      <w:pPr>
        <w:ind w:left="3600" w:hanging="360"/>
      </w:pPr>
    </w:lvl>
    <w:lvl w:ilvl="5" w:tplc="FED60CF6">
      <w:start w:val="1"/>
      <w:numFmt w:val="lowerRoman"/>
      <w:lvlText w:val="%6."/>
      <w:lvlJc w:val="right"/>
      <w:pPr>
        <w:ind w:left="4320" w:hanging="180"/>
      </w:pPr>
    </w:lvl>
    <w:lvl w:ilvl="6" w:tplc="BF20B370">
      <w:start w:val="1"/>
      <w:numFmt w:val="decimal"/>
      <w:lvlText w:val="%7."/>
      <w:lvlJc w:val="left"/>
      <w:pPr>
        <w:ind w:left="5040" w:hanging="360"/>
      </w:pPr>
    </w:lvl>
    <w:lvl w:ilvl="7" w:tplc="80106F1A">
      <w:start w:val="1"/>
      <w:numFmt w:val="lowerLetter"/>
      <w:lvlText w:val="%8."/>
      <w:lvlJc w:val="left"/>
      <w:pPr>
        <w:ind w:left="5760" w:hanging="360"/>
      </w:pPr>
    </w:lvl>
    <w:lvl w:ilvl="8" w:tplc="B69032CE">
      <w:start w:val="1"/>
      <w:numFmt w:val="lowerRoman"/>
      <w:lvlText w:val="%9."/>
      <w:lvlJc w:val="right"/>
      <w:pPr>
        <w:ind w:left="6480" w:hanging="180"/>
      </w:pPr>
    </w:lvl>
  </w:abstractNum>
  <w:abstractNum w:abstractNumId="241" w15:restartNumberingAfterBreak="0">
    <w:nsid w:val="7DE45FB7"/>
    <w:multiLevelType w:val="hybridMultilevel"/>
    <w:tmpl w:val="6CC09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2" w15:restartNumberingAfterBreak="0">
    <w:nsid w:val="7E0B47B4"/>
    <w:multiLevelType w:val="hybridMultilevel"/>
    <w:tmpl w:val="EACAFF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7E7C3449"/>
    <w:multiLevelType w:val="hybridMultilevel"/>
    <w:tmpl w:val="40FC65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7EAC6F43"/>
    <w:multiLevelType w:val="hybridMultilevel"/>
    <w:tmpl w:val="56544278"/>
    <w:lvl w:ilvl="0" w:tplc="20000001">
      <w:start w:val="1"/>
      <w:numFmt w:val="bullet"/>
      <w:lvlText w:val=""/>
      <w:lvlJc w:val="left"/>
      <w:pPr>
        <w:ind w:left="2160" w:hanging="360"/>
      </w:pPr>
      <w:rPr>
        <w:rFonts w:ascii="Symbol" w:hAnsi="Symbol"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245" w15:restartNumberingAfterBreak="0">
    <w:nsid w:val="7F0EAFA7"/>
    <w:multiLevelType w:val="hybridMultilevel"/>
    <w:tmpl w:val="FFFFFFFF"/>
    <w:lvl w:ilvl="0" w:tplc="B100BA84">
      <w:start w:val="1"/>
      <w:numFmt w:val="bullet"/>
      <w:lvlText w:val=""/>
      <w:lvlJc w:val="left"/>
      <w:pPr>
        <w:ind w:left="720" w:hanging="360"/>
      </w:pPr>
      <w:rPr>
        <w:rFonts w:ascii="Symbol" w:hAnsi="Symbol" w:hint="default"/>
      </w:rPr>
    </w:lvl>
    <w:lvl w:ilvl="1" w:tplc="08063864">
      <w:start w:val="1"/>
      <w:numFmt w:val="bullet"/>
      <w:lvlText w:val="o"/>
      <w:lvlJc w:val="left"/>
      <w:pPr>
        <w:ind w:left="1440" w:hanging="360"/>
      </w:pPr>
      <w:rPr>
        <w:rFonts w:ascii="Courier New" w:hAnsi="Courier New" w:hint="default"/>
      </w:rPr>
    </w:lvl>
    <w:lvl w:ilvl="2" w:tplc="D1E27D3A">
      <w:start w:val="1"/>
      <w:numFmt w:val="bullet"/>
      <w:lvlText w:val=""/>
      <w:lvlJc w:val="left"/>
      <w:pPr>
        <w:ind w:left="2160" w:hanging="360"/>
      </w:pPr>
      <w:rPr>
        <w:rFonts w:ascii="Wingdings" w:hAnsi="Wingdings" w:hint="default"/>
      </w:rPr>
    </w:lvl>
    <w:lvl w:ilvl="3" w:tplc="761EF94C">
      <w:start w:val="1"/>
      <w:numFmt w:val="bullet"/>
      <w:lvlText w:val=""/>
      <w:lvlJc w:val="left"/>
      <w:pPr>
        <w:ind w:left="2880" w:hanging="360"/>
      </w:pPr>
      <w:rPr>
        <w:rFonts w:ascii="Symbol" w:hAnsi="Symbol" w:hint="default"/>
      </w:rPr>
    </w:lvl>
    <w:lvl w:ilvl="4" w:tplc="83E0C1C6">
      <w:start w:val="1"/>
      <w:numFmt w:val="bullet"/>
      <w:lvlText w:val="o"/>
      <w:lvlJc w:val="left"/>
      <w:pPr>
        <w:ind w:left="3600" w:hanging="360"/>
      </w:pPr>
      <w:rPr>
        <w:rFonts w:ascii="Courier New" w:hAnsi="Courier New" w:hint="default"/>
      </w:rPr>
    </w:lvl>
    <w:lvl w:ilvl="5" w:tplc="858010B2">
      <w:start w:val="1"/>
      <w:numFmt w:val="bullet"/>
      <w:lvlText w:val=""/>
      <w:lvlJc w:val="left"/>
      <w:pPr>
        <w:ind w:left="4320" w:hanging="360"/>
      </w:pPr>
      <w:rPr>
        <w:rFonts w:ascii="Wingdings" w:hAnsi="Wingdings" w:hint="default"/>
      </w:rPr>
    </w:lvl>
    <w:lvl w:ilvl="6" w:tplc="CE2AD540">
      <w:start w:val="1"/>
      <w:numFmt w:val="bullet"/>
      <w:lvlText w:val=""/>
      <w:lvlJc w:val="left"/>
      <w:pPr>
        <w:ind w:left="5040" w:hanging="360"/>
      </w:pPr>
      <w:rPr>
        <w:rFonts w:ascii="Symbol" w:hAnsi="Symbol" w:hint="default"/>
      </w:rPr>
    </w:lvl>
    <w:lvl w:ilvl="7" w:tplc="81FE4D02">
      <w:start w:val="1"/>
      <w:numFmt w:val="bullet"/>
      <w:lvlText w:val="o"/>
      <w:lvlJc w:val="left"/>
      <w:pPr>
        <w:ind w:left="5760" w:hanging="360"/>
      </w:pPr>
      <w:rPr>
        <w:rFonts w:ascii="Courier New" w:hAnsi="Courier New" w:hint="default"/>
      </w:rPr>
    </w:lvl>
    <w:lvl w:ilvl="8" w:tplc="DF32413C">
      <w:start w:val="1"/>
      <w:numFmt w:val="bullet"/>
      <w:lvlText w:val=""/>
      <w:lvlJc w:val="left"/>
      <w:pPr>
        <w:ind w:left="6480" w:hanging="360"/>
      </w:pPr>
      <w:rPr>
        <w:rFonts w:ascii="Wingdings" w:hAnsi="Wingdings" w:hint="default"/>
      </w:rPr>
    </w:lvl>
  </w:abstractNum>
  <w:abstractNum w:abstractNumId="246" w15:restartNumberingAfterBreak="0">
    <w:nsid w:val="7F152161"/>
    <w:multiLevelType w:val="hybridMultilevel"/>
    <w:tmpl w:val="739E16F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7" w15:restartNumberingAfterBreak="0">
    <w:nsid w:val="7F9F3E0E"/>
    <w:multiLevelType w:val="multilevel"/>
    <w:tmpl w:val="9C2C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860967">
    <w:abstractNumId w:val="131"/>
  </w:num>
  <w:num w:numId="2" w16cid:durableId="2141921510">
    <w:abstractNumId w:val="238"/>
  </w:num>
  <w:num w:numId="3" w16cid:durableId="665059850">
    <w:abstractNumId w:val="23"/>
  </w:num>
  <w:num w:numId="4" w16cid:durableId="668796160">
    <w:abstractNumId w:val="0"/>
  </w:num>
  <w:num w:numId="5" w16cid:durableId="1302154712">
    <w:abstractNumId w:val="178"/>
  </w:num>
  <w:num w:numId="6" w16cid:durableId="794519411">
    <w:abstractNumId w:val="25"/>
  </w:num>
  <w:num w:numId="7" w16cid:durableId="682585415">
    <w:abstractNumId w:val="70"/>
  </w:num>
  <w:num w:numId="8" w16cid:durableId="1873835330">
    <w:abstractNumId w:val="117"/>
  </w:num>
  <w:num w:numId="9" w16cid:durableId="1611545661">
    <w:abstractNumId w:val="190"/>
  </w:num>
  <w:num w:numId="10" w16cid:durableId="994187947">
    <w:abstractNumId w:val="244"/>
  </w:num>
  <w:num w:numId="11" w16cid:durableId="420101261">
    <w:abstractNumId w:val="172"/>
  </w:num>
  <w:num w:numId="12" w16cid:durableId="1262881801">
    <w:abstractNumId w:val="139"/>
  </w:num>
  <w:num w:numId="13" w16cid:durableId="314266451">
    <w:abstractNumId w:val="89"/>
  </w:num>
  <w:num w:numId="14" w16cid:durableId="1967346555">
    <w:abstractNumId w:val="116"/>
  </w:num>
  <w:num w:numId="15" w16cid:durableId="1382704323">
    <w:abstractNumId w:val="188"/>
  </w:num>
  <w:num w:numId="16" w16cid:durableId="852190473">
    <w:abstractNumId w:val="60"/>
  </w:num>
  <w:num w:numId="17" w16cid:durableId="1724284903">
    <w:abstractNumId w:val="127"/>
  </w:num>
  <w:num w:numId="18" w16cid:durableId="2122608264">
    <w:abstractNumId w:val="15"/>
  </w:num>
  <w:num w:numId="19" w16cid:durableId="868110411">
    <w:abstractNumId w:val="32"/>
  </w:num>
  <w:num w:numId="20" w16cid:durableId="873158388">
    <w:abstractNumId w:val="239"/>
  </w:num>
  <w:num w:numId="21" w16cid:durableId="1063986050">
    <w:abstractNumId w:val="92"/>
  </w:num>
  <w:num w:numId="22" w16cid:durableId="349600112">
    <w:abstractNumId w:val="24"/>
  </w:num>
  <w:num w:numId="23" w16cid:durableId="588780072">
    <w:abstractNumId w:val="208"/>
  </w:num>
  <w:num w:numId="24" w16cid:durableId="1643315906">
    <w:abstractNumId w:val="123"/>
  </w:num>
  <w:num w:numId="25" w16cid:durableId="660694241">
    <w:abstractNumId w:val="227"/>
  </w:num>
  <w:num w:numId="26" w16cid:durableId="488643785">
    <w:abstractNumId w:val="206"/>
  </w:num>
  <w:num w:numId="27" w16cid:durableId="1438406482">
    <w:abstractNumId w:val="38"/>
  </w:num>
  <w:num w:numId="28" w16cid:durableId="561912325">
    <w:abstractNumId w:val="218"/>
  </w:num>
  <w:num w:numId="29" w16cid:durableId="932779093">
    <w:abstractNumId w:val="80"/>
  </w:num>
  <w:num w:numId="30" w16cid:durableId="998653574">
    <w:abstractNumId w:val="153"/>
  </w:num>
  <w:num w:numId="31" w16cid:durableId="300039272">
    <w:abstractNumId w:val="148"/>
  </w:num>
  <w:num w:numId="32" w16cid:durableId="2120832482">
    <w:abstractNumId w:val="115"/>
  </w:num>
  <w:num w:numId="33" w16cid:durableId="168447181">
    <w:abstractNumId w:val="183"/>
  </w:num>
  <w:num w:numId="34" w16cid:durableId="1669208050">
    <w:abstractNumId w:val="5"/>
  </w:num>
  <w:num w:numId="35" w16cid:durableId="1536313292">
    <w:abstractNumId w:val="162"/>
  </w:num>
  <w:num w:numId="36" w16cid:durableId="1593928135">
    <w:abstractNumId w:val="121"/>
  </w:num>
  <w:num w:numId="37" w16cid:durableId="1369139479">
    <w:abstractNumId w:val="219"/>
  </w:num>
  <w:num w:numId="38" w16cid:durableId="151257977">
    <w:abstractNumId w:val="166"/>
  </w:num>
  <w:num w:numId="39" w16cid:durableId="7370509">
    <w:abstractNumId w:val="215"/>
  </w:num>
  <w:num w:numId="40" w16cid:durableId="617757931">
    <w:abstractNumId w:val="102"/>
  </w:num>
  <w:num w:numId="41" w16cid:durableId="600530420">
    <w:abstractNumId w:val="68"/>
  </w:num>
  <w:num w:numId="42" w16cid:durableId="1139998850">
    <w:abstractNumId w:val="66"/>
  </w:num>
  <w:num w:numId="43" w16cid:durableId="1759447601">
    <w:abstractNumId w:val="245"/>
  </w:num>
  <w:num w:numId="44" w16cid:durableId="1057901713">
    <w:abstractNumId w:val="181"/>
  </w:num>
  <w:num w:numId="45" w16cid:durableId="1686055234">
    <w:abstractNumId w:val="182"/>
  </w:num>
  <w:num w:numId="46" w16cid:durableId="2092196614">
    <w:abstractNumId w:val="76"/>
  </w:num>
  <w:num w:numId="47" w16cid:durableId="248849493">
    <w:abstractNumId w:val="150"/>
  </w:num>
  <w:num w:numId="48" w16cid:durableId="622536268">
    <w:abstractNumId w:val="12"/>
  </w:num>
  <w:num w:numId="49" w16cid:durableId="1688671557">
    <w:abstractNumId w:val="201"/>
  </w:num>
  <w:num w:numId="50" w16cid:durableId="1375689665">
    <w:abstractNumId w:val="132"/>
  </w:num>
  <w:num w:numId="51" w16cid:durableId="676730870">
    <w:abstractNumId w:val="83"/>
  </w:num>
  <w:num w:numId="52" w16cid:durableId="176040438">
    <w:abstractNumId w:val="37"/>
  </w:num>
  <w:num w:numId="53" w16cid:durableId="631444943">
    <w:abstractNumId w:val="235"/>
  </w:num>
  <w:num w:numId="54" w16cid:durableId="160897309">
    <w:abstractNumId w:val="225"/>
  </w:num>
  <w:num w:numId="55" w16cid:durableId="1552569566">
    <w:abstractNumId w:val="175"/>
  </w:num>
  <w:num w:numId="56" w16cid:durableId="837304406">
    <w:abstractNumId w:val="110"/>
  </w:num>
  <w:num w:numId="57" w16cid:durableId="139158968">
    <w:abstractNumId w:val="27"/>
  </w:num>
  <w:num w:numId="58" w16cid:durableId="568200200">
    <w:abstractNumId w:val="88"/>
  </w:num>
  <w:num w:numId="59" w16cid:durableId="1569074130">
    <w:abstractNumId w:val="41"/>
  </w:num>
  <w:num w:numId="60" w16cid:durableId="1350987172">
    <w:abstractNumId w:val="84"/>
  </w:num>
  <w:num w:numId="61" w16cid:durableId="205799991">
    <w:abstractNumId w:val="233"/>
  </w:num>
  <w:num w:numId="62" w16cid:durableId="560136483">
    <w:abstractNumId w:val="176"/>
  </w:num>
  <w:num w:numId="63" w16cid:durableId="1661739062">
    <w:abstractNumId w:val="155"/>
  </w:num>
  <w:num w:numId="64" w16cid:durableId="1069183165">
    <w:abstractNumId w:val="117"/>
  </w:num>
  <w:num w:numId="65" w16cid:durableId="2057313341">
    <w:abstractNumId w:val="198"/>
  </w:num>
  <w:num w:numId="66" w16cid:durableId="1189491157">
    <w:abstractNumId w:val="77"/>
  </w:num>
  <w:num w:numId="67" w16cid:durableId="724180922">
    <w:abstractNumId w:val="48"/>
  </w:num>
  <w:num w:numId="68" w16cid:durableId="1585526901">
    <w:abstractNumId w:val="90"/>
  </w:num>
  <w:num w:numId="69" w16cid:durableId="1262447106">
    <w:abstractNumId w:val="108"/>
  </w:num>
  <w:num w:numId="70" w16cid:durableId="1573346247">
    <w:abstractNumId w:val="130"/>
  </w:num>
  <w:num w:numId="71" w16cid:durableId="1848060633">
    <w:abstractNumId w:val="4"/>
  </w:num>
  <w:num w:numId="72" w16cid:durableId="579562232">
    <w:abstractNumId w:val="210"/>
  </w:num>
  <w:num w:numId="73" w16cid:durableId="1855149972">
    <w:abstractNumId w:val="124"/>
  </w:num>
  <w:num w:numId="74" w16cid:durableId="391930325">
    <w:abstractNumId w:val="147"/>
  </w:num>
  <w:num w:numId="75" w16cid:durableId="1757360649">
    <w:abstractNumId w:val="185"/>
  </w:num>
  <w:num w:numId="76" w16cid:durableId="741026089">
    <w:abstractNumId w:val="74"/>
  </w:num>
  <w:num w:numId="77" w16cid:durableId="347024450">
    <w:abstractNumId w:val="171"/>
  </w:num>
  <w:num w:numId="78" w16cid:durableId="449396963">
    <w:abstractNumId w:val="65"/>
  </w:num>
  <w:num w:numId="79" w16cid:durableId="1148864982">
    <w:abstractNumId w:val="177"/>
  </w:num>
  <w:num w:numId="80" w16cid:durableId="1608386542">
    <w:abstractNumId w:val="30"/>
  </w:num>
  <w:num w:numId="81" w16cid:durableId="1375420754">
    <w:abstractNumId w:val="21"/>
  </w:num>
  <w:num w:numId="82" w16cid:durableId="1569413328">
    <w:abstractNumId w:val="1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18643723">
    <w:abstractNumId w:val="76"/>
  </w:num>
  <w:num w:numId="84" w16cid:durableId="1990405055">
    <w:abstractNumId w:val="209"/>
  </w:num>
  <w:num w:numId="85" w16cid:durableId="99418391">
    <w:abstractNumId w:val="34"/>
  </w:num>
  <w:num w:numId="86" w16cid:durableId="696199602">
    <w:abstractNumId w:val="20"/>
  </w:num>
  <w:num w:numId="87" w16cid:durableId="541282410">
    <w:abstractNumId w:val="234"/>
  </w:num>
  <w:num w:numId="88" w16cid:durableId="207575771">
    <w:abstractNumId w:val="203"/>
  </w:num>
  <w:num w:numId="89" w16cid:durableId="1802570934">
    <w:abstractNumId w:val="229"/>
  </w:num>
  <w:num w:numId="90" w16cid:durableId="657003382">
    <w:abstractNumId w:val="187"/>
  </w:num>
  <w:num w:numId="91" w16cid:durableId="962422256">
    <w:abstractNumId w:val="200"/>
  </w:num>
  <w:num w:numId="92" w16cid:durableId="197089721">
    <w:abstractNumId w:val="75"/>
  </w:num>
  <w:num w:numId="93" w16cid:durableId="810514578">
    <w:abstractNumId w:val="128"/>
  </w:num>
  <w:num w:numId="94" w16cid:durableId="1084495032">
    <w:abstractNumId w:val="122"/>
  </w:num>
  <w:num w:numId="95" w16cid:durableId="688022219">
    <w:abstractNumId w:val="145"/>
  </w:num>
  <w:num w:numId="96" w16cid:durableId="608044839">
    <w:abstractNumId w:val="87"/>
  </w:num>
  <w:num w:numId="97" w16cid:durableId="117844336">
    <w:abstractNumId w:val="64"/>
  </w:num>
  <w:num w:numId="98" w16cid:durableId="195167409">
    <w:abstractNumId w:val="193"/>
  </w:num>
  <w:num w:numId="99" w16cid:durableId="1762601561">
    <w:abstractNumId w:val="28"/>
  </w:num>
  <w:num w:numId="100" w16cid:durableId="1372657767">
    <w:abstractNumId w:val="59"/>
  </w:num>
  <w:num w:numId="101" w16cid:durableId="1735200036">
    <w:abstractNumId w:val="157"/>
  </w:num>
  <w:num w:numId="102" w16cid:durableId="785461583">
    <w:abstractNumId w:val="18"/>
  </w:num>
  <w:num w:numId="103" w16cid:durableId="391658772">
    <w:abstractNumId w:val="107"/>
  </w:num>
  <w:num w:numId="104" w16cid:durableId="1232696135">
    <w:abstractNumId w:val="120"/>
  </w:num>
  <w:num w:numId="105" w16cid:durableId="2066684760">
    <w:abstractNumId w:val="152"/>
  </w:num>
  <w:num w:numId="106" w16cid:durableId="524363716">
    <w:abstractNumId w:val="125"/>
  </w:num>
  <w:num w:numId="107" w16cid:durableId="904948775">
    <w:abstractNumId w:val="156"/>
  </w:num>
  <w:num w:numId="108" w16cid:durableId="1675911934">
    <w:abstractNumId w:val="61"/>
  </w:num>
  <w:num w:numId="109" w16cid:durableId="710883545">
    <w:abstractNumId w:val="161"/>
  </w:num>
  <w:num w:numId="110" w16cid:durableId="920021327">
    <w:abstractNumId w:val="40"/>
  </w:num>
  <w:num w:numId="111" w16cid:durableId="326204238">
    <w:abstractNumId w:val="81"/>
  </w:num>
  <w:num w:numId="112" w16cid:durableId="1289236059">
    <w:abstractNumId w:val="228"/>
  </w:num>
  <w:num w:numId="113" w16cid:durableId="851993448">
    <w:abstractNumId w:val="86"/>
  </w:num>
  <w:num w:numId="114" w16cid:durableId="277837692">
    <w:abstractNumId w:val="111"/>
  </w:num>
  <w:num w:numId="115" w16cid:durableId="539703073">
    <w:abstractNumId w:val="199"/>
  </w:num>
  <w:num w:numId="116" w16cid:durableId="15038630">
    <w:abstractNumId w:val="184"/>
  </w:num>
  <w:num w:numId="117" w16cid:durableId="1098135913">
    <w:abstractNumId w:val="167"/>
  </w:num>
  <w:num w:numId="118" w16cid:durableId="1163349680">
    <w:abstractNumId w:val="144"/>
  </w:num>
  <w:num w:numId="119" w16cid:durableId="980577415">
    <w:abstractNumId w:val="237"/>
  </w:num>
  <w:num w:numId="120" w16cid:durableId="773981825">
    <w:abstractNumId w:val="46"/>
  </w:num>
  <w:num w:numId="121" w16cid:durableId="259681801">
    <w:abstractNumId w:val="7"/>
  </w:num>
  <w:num w:numId="122" w16cid:durableId="1038166940">
    <w:abstractNumId w:val="104"/>
  </w:num>
  <w:num w:numId="123" w16cid:durableId="872235252">
    <w:abstractNumId w:val="13"/>
  </w:num>
  <w:num w:numId="124" w16cid:durableId="2109429099">
    <w:abstractNumId w:val="189"/>
  </w:num>
  <w:num w:numId="125" w16cid:durableId="1533834613">
    <w:abstractNumId w:val="114"/>
  </w:num>
  <w:num w:numId="126" w16cid:durableId="1947762016">
    <w:abstractNumId w:val="106"/>
  </w:num>
  <w:num w:numId="127" w16cid:durableId="1520048670">
    <w:abstractNumId w:val="22"/>
  </w:num>
  <w:num w:numId="128" w16cid:durableId="762069053">
    <w:abstractNumId w:val="51"/>
  </w:num>
  <w:num w:numId="129" w16cid:durableId="1540507761">
    <w:abstractNumId w:val="82"/>
  </w:num>
  <w:num w:numId="130" w16cid:durableId="577402438">
    <w:abstractNumId w:val="105"/>
  </w:num>
  <w:num w:numId="131" w16cid:durableId="1379360470">
    <w:abstractNumId w:val="14"/>
  </w:num>
  <w:num w:numId="132" w16cid:durableId="476344024">
    <w:abstractNumId w:val="241"/>
  </w:num>
  <w:num w:numId="133" w16cid:durableId="675495159">
    <w:abstractNumId w:val="243"/>
  </w:num>
  <w:num w:numId="134" w16cid:durableId="2100979520">
    <w:abstractNumId w:val="242"/>
  </w:num>
  <w:num w:numId="135" w16cid:durableId="1262838529">
    <w:abstractNumId w:val="135"/>
  </w:num>
  <w:num w:numId="136" w16cid:durableId="2016153287">
    <w:abstractNumId w:val="216"/>
  </w:num>
  <w:num w:numId="137" w16cid:durableId="86855315">
    <w:abstractNumId w:val="72"/>
  </w:num>
  <w:num w:numId="138" w16cid:durableId="692221636">
    <w:abstractNumId w:val="232"/>
  </w:num>
  <w:num w:numId="139" w16cid:durableId="1026057704">
    <w:abstractNumId w:val="134"/>
  </w:num>
  <w:num w:numId="140" w16cid:durableId="1762293071">
    <w:abstractNumId w:val="56"/>
  </w:num>
  <w:num w:numId="141" w16cid:durableId="392239491">
    <w:abstractNumId w:val="119"/>
  </w:num>
  <w:num w:numId="142" w16cid:durableId="1907495962">
    <w:abstractNumId w:val="192"/>
  </w:num>
  <w:num w:numId="143" w16cid:durableId="2002929411">
    <w:abstractNumId w:val="101"/>
  </w:num>
  <w:num w:numId="144" w16cid:durableId="421532756">
    <w:abstractNumId w:val="223"/>
  </w:num>
  <w:num w:numId="145" w16cid:durableId="250479416">
    <w:abstractNumId w:val="54"/>
  </w:num>
  <w:num w:numId="146" w16cid:durableId="1844274236">
    <w:abstractNumId w:val="95"/>
  </w:num>
  <w:num w:numId="147" w16cid:durableId="101994040">
    <w:abstractNumId w:val="55"/>
  </w:num>
  <w:num w:numId="148" w16cid:durableId="45097463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360129676">
    <w:abstractNumId w:val="129"/>
  </w:num>
  <w:num w:numId="150" w16cid:durableId="963122208">
    <w:abstractNumId w:val="45"/>
  </w:num>
  <w:num w:numId="151" w16cid:durableId="1244417702">
    <w:abstractNumId w:val="93"/>
  </w:num>
  <w:num w:numId="152" w16cid:durableId="206032598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483006785">
    <w:abstractNumId w:val="112"/>
  </w:num>
  <w:num w:numId="154" w16cid:durableId="512766142">
    <w:abstractNumId w:val="113"/>
  </w:num>
  <w:num w:numId="155" w16cid:durableId="1930772097">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443958962">
    <w:abstractNumId w:val="174"/>
  </w:num>
  <w:num w:numId="157" w16cid:durableId="1088192042">
    <w:abstractNumId w:val="10"/>
  </w:num>
  <w:num w:numId="158" w16cid:durableId="996305157">
    <w:abstractNumId w:val="236"/>
  </w:num>
  <w:num w:numId="159" w16cid:durableId="338851463">
    <w:abstractNumId w:val="96"/>
  </w:num>
  <w:num w:numId="160" w16cid:durableId="1268193507">
    <w:abstractNumId w:val="98"/>
  </w:num>
  <w:num w:numId="161" w16cid:durableId="1909920297">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433357758">
    <w:abstractNumId w:val="63"/>
  </w:num>
  <w:num w:numId="163" w16cid:durableId="1388457160">
    <w:abstractNumId w:val="2"/>
  </w:num>
  <w:num w:numId="164" w16cid:durableId="179621396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758217304">
    <w:abstractNumId w:val="57"/>
  </w:num>
  <w:num w:numId="166" w16cid:durableId="820148953">
    <w:abstractNumId w:val="50"/>
  </w:num>
  <w:num w:numId="167" w16cid:durableId="1472676306">
    <w:abstractNumId w:val="205"/>
  </w:num>
  <w:num w:numId="168" w16cid:durableId="549145633">
    <w:abstractNumId w:val="204"/>
  </w:num>
  <w:num w:numId="169" w16cid:durableId="1807426709">
    <w:abstractNumId w:val="118"/>
  </w:num>
  <w:num w:numId="170" w16cid:durableId="1893231021">
    <w:abstractNumId w:val="78"/>
  </w:num>
  <w:num w:numId="171" w16cid:durableId="1722555506">
    <w:abstractNumId w:val="197"/>
  </w:num>
  <w:num w:numId="172" w16cid:durableId="1121071425">
    <w:abstractNumId w:val="43"/>
  </w:num>
  <w:num w:numId="173" w16cid:durableId="1685747198">
    <w:abstractNumId w:val="207"/>
  </w:num>
  <w:num w:numId="174" w16cid:durableId="788201961">
    <w:abstractNumId w:val="170"/>
  </w:num>
  <w:num w:numId="175" w16cid:durableId="1359309454">
    <w:abstractNumId w:val="35"/>
  </w:num>
  <w:num w:numId="176" w16cid:durableId="80874204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57176496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69816550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210056426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204656376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4459300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474493375">
    <w:abstractNumId w:val="221"/>
  </w:num>
  <w:num w:numId="183" w16cid:durableId="1947469341">
    <w:abstractNumId w:val="159"/>
  </w:num>
  <w:num w:numId="184" w16cid:durableId="193009341">
    <w:abstractNumId w:val="49"/>
  </w:num>
  <w:num w:numId="185" w16cid:durableId="238252857">
    <w:abstractNumId w:val="133"/>
  </w:num>
  <w:num w:numId="186" w16cid:durableId="1650091865">
    <w:abstractNumId w:val="1"/>
  </w:num>
  <w:num w:numId="187" w16cid:durableId="324669062">
    <w:abstractNumId w:val="36"/>
  </w:num>
  <w:num w:numId="188" w16cid:durableId="1806966386">
    <w:abstractNumId w:val="91"/>
  </w:num>
  <w:num w:numId="189" w16cid:durableId="411003155">
    <w:abstractNumId w:val="3"/>
  </w:num>
  <w:num w:numId="190" w16cid:durableId="1734548078">
    <w:abstractNumId w:val="231"/>
  </w:num>
  <w:num w:numId="191" w16cid:durableId="1982886426">
    <w:abstractNumId w:val="230"/>
  </w:num>
  <w:num w:numId="192" w16cid:durableId="1557161866">
    <w:abstractNumId w:val="146"/>
  </w:num>
  <w:num w:numId="193" w16cid:durableId="113645025">
    <w:abstractNumId w:val="169"/>
  </w:num>
  <w:num w:numId="194" w16cid:durableId="8865710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096756233">
    <w:abstractNumId w:val="220"/>
  </w:num>
  <w:num w:numId="196" w16cid:durableId="677469694">
    <w:abstractNumId w:val="143"/>
  </w:num>
  <w:num w:numId="197" w16cid:durableId="268584728">
    <w:abstractNumId w:val="17"/>
  </w:num>
  <w:num w:numId="198" w16cid:durableId="146240785">
    <w:abstractNumId w:val="94"/>
  </w:num>
  <w:num w:numId="199" w16cid:durableId="1136409310">
    <w:abstractNumId w:val="66"/>
  </w:num>
  <w:num w:numId="200" w16cid:durableId="1626622728">
    <w:abstractNumId w:val="59"/>
  </w:num>
  <w:num w:numId="201" w16cid:durableId="1837722348">
    <w:abstractNumId w:val="136"/>
  </w:num>
  <w:num w:numId="202" w16cid:durableId="132915288">
    <w:abstractNumId w:val="39"/>
  </w:num>
  <w:num w:numId="203" w16cid:durableId="1655184036">
    <w:abstractNumId w:val="194"/>
  </w:num>
  <w:num w:numId="204" w16cid:durableId="1369261460">
    <w:abstractNumId w:val="9"/>
  </w:num>
  <w:num w:numId="205" w16cid:durableId="997079729">
    <w:abstractNumId w:val="149"/>
  </w:num>
  <w:num w:numId="206" w16cid:durableId="1196117568">
    <w:abstractNumId w:val="180"/>
  </w:num>
  <w:num w:numId="207" w16cid:durableId="1485927108">
    <w:abstractNumId w:val="168"/>
  </w:num>
  <w:num w:numId="208" w16cid:durableId="673800083">
    <w:abstractNumId w:val="138"/>
  </w:num>
  <w:num w:numId="209" w16cid:durableId="1004012500">
    <w:abstractNumId w:val="71"/>
  </w:num>
  <w:num w:numId="210" w16cid:durableId="2145999627">
    <w:abstractNumId w:val="6"/>
  </w:num>
  <w:num w:numId="211" w16cid:durableId="1696081556">
    <w:abstractNumId w:val="16"/>
  </w:num>
  <w:num w:numId="212" w16cid:durableId="308901111">
    <w:abstractNumId w:val="103"/>
  </w:num>
  <w:num w:numId="213" w16cid:durableId="1283148764">
    <w:abstractNumId w:val="47"/>
  </w:num>
  <w:num w:numId="214" w16cid:durableId="186723843">
    <w:abstractNumId w:val="19"/>
  </w:num>
  <w:num w:numId="215" w16cid:durableId="2098020405">
    <w:abstractNumId w:val="140"/>
  </w:num>
  <w:num w:numId="216" w16cid:durableId="1924217361">
    <w:abstractNumId w:val="246"/>
  </w:num>
  <w:num w:numId="217" w16cid:durableId="1946308299">
    <w:abstractNumId w:val="217"/>
  </w:num>
  <w:num w:numId="218" w16cid:durableId="1407067290">
    <w:abstractNumId w:val="226"/>
  </w:num>
  <w:num w:numId="219" w16cid:durableId="186456669">
    <w:abstractNumId w:val="109"/>
  </w:num>
  <w:num w:numId="220" w16cid:durableId="2114354164">
    <w:abstractNumId w:val="67"/>
  </w:num>
  <w:num w:numId="221" w16cid:durableId="446893383">
    <w:abstractNumId w:val="179"/>
  </w:num>
  <w:num w:numId="222" w16cid:durableId="1867327621">
    <w:abstractNumId w:val="31"/>
  </w:num>
  <w:num w:numId="223" w16cid:durableId="982778531">
    <w:abstractNumId w:val="165"/>
  </w:num>
  <w:num w:numId="224" w16cid:durableId="1211916692">
    <w:abstractNumId w:val="58"/>
  </w:num>
  <w:num w:numId="225" w16cid:durableId="1308820591">
    <w:abstractNumId w:val="247"/>
  </w:num>
  <w:num w:numId="226" w16cid:durableId="229775560">
    <w:abstractNumId w:val="224"/>
  </w:num>
  <w:num w:numId="227" w16cid:durableId="83576344">
    <w:abstractNumId w:val="137"/>
  </w:num>
  <w:num w:numId="228" w16cid:durableId="329256598">
    <w:abstractNumId w:val="164"/>
  </w:num>
  <w:num w:numId="229" w16cid:durableId="404767607">
    <w:abstractNumId w:val="191"/>
  </w:num>
  <w:num w:numId="230" w16cid:durableId="727219020">
    <w:abstractNumId w:val="100"/>
  </w:num>
  <w:num w:numId="231" w16cid:durableId="1042096752">
    <w:abstractNumId w:val="73"/>
  </w:num>
  <w:num w:numId="232" w16cid:durableId="37974925">
    <w:abstractNumId w:val="33"/>
  </w:num>
  <w:num w:numId="233" w16cid:durableId="1901309">
    <w:abstractNumId w:val="62"/>
  </w:num>
  <w:num w:numId="234" w16cid:durableId="1323773773">
    <w:abstractNumId w:val="26"/>
  </w:num>
  <w:num w:numId="235" w16cid:durableId="1908764491">
    <w:abstractNumId w:val="11"/>
  </w:num>
  <w:num w:numId="236" w16cid:durableId="905527990">
    <w:abstractNumId w:val="160"/>
  </w:num>
  <w:num w:numId="237" w16cid:durableId="818688506">
    <w:abstractNumId w:val="222"/>
  </w:num>
  <w:num w:numId="238" w16cid:durableId="385950756">
    <w:abstractNumId w:val="29"/>
  </w:num>
  <w:num w:numId="239" w16cid:durableId="116415267">
    <w:abstractNumId w:val="186"/>
  </w:num>
  <w:num w:numId="240" w16cid:durableId="850145679">
    <w:abstractNumId w:val="151"/>
  </w:num>
  <w:num w:numId="241" w16cid:durableId="1155685850">
    <w:abstractNumId w:val="79"/>
  </w:num>
  <w:num w:numId="242" w16cid:durableId="595947173">
    <w:abstractNumId w:val="195"/>
  </w:num>
  <w:num w:numId="243" w16cid:durableId="1701513628">
    <w:abstractNumId w:val="69"/>
  </w:num>
  <w:num w:numId="244" w16cid:durableId="243104245">
    <w:abstractNumId w:val="154"/>
  </w:num>
  <w:num w:numId="245" w16cid:durableId="1362785727">
    <w:abstractNumId w:val="196"/>
  </w:num>
  <w:num w:numId="246" w16cid:durableId="813059464">
    <w:abstractNumId w:val="8"/>
  </w:num>
  <w:num w:numId="247" w16cid:durableId="1351638841">
    <w:abstractNumId w:val="97"/>
  </w:num>
  <w:num w:numId="248" w16cid:durableId="546600908">
    <w:abstractNumId w:val="141"/>
  </w:num>
  <w:num w:numId="249" w16cid:durableId="154271837">
    <w:abstractNumId w:val="212"/>
  </w:num>
  <w:num w:numId="250" w16cid:durableId="2142723726">
    <w:abstractNumId w:val="214"/>
  </w:num>
  <w:num w:numId="251" w16cid:durableId="1078863896">
    <w:abstractNumId w:val="163"/>
  </w:num>
  <w:num w:numId="252" w16cid:durableId="1487210011">
    <w:abstractNumId w:val="99"/>
  </w:num>
  <w:num w:numId="253" w16cid:durableId="1062753586">
    <w:abstractNumId w:val="53"/>
  </w:num>
  <w:num w:numId="254" w16cid:durableId="1232229281">
    <w:abstractNumId w:val="173"/>
  </w:num>
  <w:num w:numId="255" w16cid:durableId="1438405644">
    <w:abstractNumId w:val="158"/>
  </w:num>
  <w:num w:numId="256" w16cid:durableId="208612012">
    <w:abstractNumId w:val="126"/>
  </w:num>
  <w:num w:numId="257" w16cid:durableId="1614438234">
    <w:abstractNumId w:val="142"/>
  </w:num>
  <w:num w:numId="258" w16cid:durableId="345836671">
    <w:abstractNumId w:val="240"/>
  </w:num>
  <w:num w:numId="259" w16cid:durableId="1635721840">
    <w:abstractNumId w:val="44"/>
  </w:num>
  <w:num w:numId="260" w16cid:durableId="1515268260">
    <w:abstractNumId w:val="202"/>
  </w:num>
  <w:num w:numId="261" w16cid:durableId="652487031">
    <w:abstractNumId w:val="52"/>
  </w:num>
  <w:num w:numId="262" w16cid:durableId="2121489181">
    <w:abstractNumId w:val="85"/>
  </w:num>
  <w:num w:numId="263" w16cid:durableId="771323508">
    <w:abstractNumId w:val="211"/>
  </w:num>
  <w:num w:numId="264" w16cid:durableId="1040088580">
    <w:abstractNumId w:val="213"/>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B76BDBD1-1DA7-48D3-A2C8-C7483722E0F5"/>
    <w:docVar w:name="LW_COVERPAGE_TYPE" w:val="1"/>
    <w:docVar w:name="LW_CROSSREFERENCE" w:val="{COM(2026) 100 final} - {SEC(2026) 70 final} - {SWD(2026) 70 final} - {SWD(2026) 72 final}"/>
    <w:docVar w:name="LW_DocType" w:val="NORMAL"/>
    <w:docVar w:name="LW_EMISSION" w:val="4.3.2026"/>
    <w:docVar w:name="LW_EMISSION_ISODATE" w:val="2026-03-0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establishing a framework of measures for the acceleration of industrial capacity and decarbonisation in strategic sectors and amending Regulations (EU) 2018/1724, _x000d__x000d__x000b_(EU) 2024/1735 and (EU) 2024/3110"/>
    <w:docVar w:name="LW_PART_NBR" w:val="1"/>
    <w:docVar w:name="LW_PART_NBR_TOTAL" w:val="1"/>
    <w:docVar w:name="LW_REF.INST.NEW" w:val="SWD"/>
    <w:docVar w:name="LW_REF.INST.NEW_ADOPTED" w:val="final"/>
    <w:docVar w:name="LW_REF.INST.NEW_TEXT" w:val="(2026) 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REGULATION OF THE EUROPEAN PARLIAMENT AND OF THE COUNCIL"/>
    <w:docVar w:name="LwApiVersions" w:val="LW4CoDe 1.24.5.0; LW 9.2, Build 20251112"/>
  </w:docVars>
  <w:rsids>
    <w:rsidRoot w:val="007767EA"/>
    <w:rsid w:val="00000033"/>
    <w:rsid w:val="000000B2"/>
    <w:rsid w:val="000000DF"/>
    <w:rsid w:val="00000154"/>
    <w:rsid w:val="000001C3"/>
    <w:rsid w:val="00000218"/>
    <w:rsid w:val="000002A3"/>
    <w:rsid w:val="00000319"/>
    <w:rsid w:val="000003EE"/>
    <w:rsid w:val="00000423"/>
    <w:rsid w:val="00000671"/>
    <w:rsid w:val="00000673"/>
    <w:rsid w:val="000006C3"/>
    <w:rsid w:val="00000751"/>
    <w:rsid w:val="000007B5"/>
    <w:rsid w:val="000007B6"/>
    <w:rsid w:val="00000832"/>
    <w:rsid w:val="00000834"/>
    <w:rsid w:val="00000854"/>
    <w:rsid w:val="00000917"/>
    <w:rsid w:val="00000A17"/>
    <w:rsid w:val="00000A41"/>
    <w:rsid w:val="00000B43"/>
    <w:rsid w:val="00000B85"/>
    <w:rsid w:val="00000B88"/>
    <w:rsid w:val="00000C87"/>
    <w:rsid w:val="00000CAC"/>
    <w:rsid w:val="00000E8C"/>
    <w:rsid w:val="00000F31"/>
    <w:rsid w:val="00000F79"/>
    <w:rsid w:val="00001458"/>
    <w:rsid w:val="000014CA"/>
    <w:rsid w:val="0000156B"/>
    <w:rsid w:val="00001588"/>
    <w:rsid w:val="000015BA"/>
    <w:rsid w:val="00001666"/>
    <w:rsid w:val="0000181C"/>
    <w:rsid w:val="000018AB"/>
    <w:rsid w:val="0000196D"/>
    <w:rsid w:val="000019A4"/>
    <w:rsid w:val="00001A9A"/>
    <w:rsid w:val="00001B4E"/>
    <w:rsid w:val="00001B7E"/>
    <w:rsid w:val="00001BC8"/>
    <w:rsid w:val="00001C1F"/>
    <w:rsid w:val="00001CC8"/>
    <w:rsid w:val="00001CF0"/>
    <w:rsid w:val="00001D66"/>
    <w:rsid w:val="00001FCF"/>
    <w:rsid w:val="00002075"/>
    <w:rsid w:val="000021A6"/>
    <w:rsid w:val="000021FA"/>
    <w:rsid w:val="0000221F"/>
    <w:rsid w:val="00002260"/>
    <w:rsid w:val="0000227A"/>
    <w:rsid w:val="00002293"/>
    <w:rsid w:val="000022B0"/>
    <w:rsid w:val="00002347"/>
    <w:rsid w:val="0000234A"/>
    <w:rsid w:val="0000235A"/>
    <w:rsid w:val="00002421"/>
    <w:rsid w:val="000025C7"/>
    <w:rsid w:val="00002712"/>
    <w:rsid w:val="00002783"/>
    <w:rsid w:val="000028A5"/>
    <w:rsid w:val="0000297A"/>
    <w:rsid w:val="00002982"/>
    <w:rsid w:val="00002A0F"/>
    <w:rsid w:val="00002BA5"/>
    <w:rsid w:val="00002BE8"/>
    <w:rsid w:val="00002C57"/>
    <w:rsid w:val="00002D55"/>
    <w:rsid w:val="00002E1B"/>
    <w:rsid w:val="00002F0C"/>
    <w:rsid w:val="00003045"/>
    <w:rsid w:val="00003134"/>
    <w:rsid w:val="000031A8"/>
    <w:rsid w:val="000032DB"/>
    <w:rsid w:val="0000346E"/>
    <w:rsid w:val="000034B0"/>
    <w:rsid w:val="000034C2"/>
    <w:rsid w:val="0000362B"/>
    <w:rsid w:val="000036A6"/>
    <w:rsid w:val="00003729"/>
    <w:rsid w:val="000037E5"/>
    <w:rsid w:val="00003894"/>
    <w:rsid w:val="000039D9"/>
    <w:rsid w:val="000039FD"/>
    <w:rsid w:val="00003AFA"/>
    <w:rsid w:val="00003B74"/>
    <w:rsid w:val="00003BC6"/>
    <w:rsid w:val="00003C35"/>
    <w:rsid w:val="00003E48"/>
    <w:rsid w:val="00003F50"/>
    <w:rsid w:val="00003FF8"/>
    <w:rsid w:val="0000403C"/>
    <w:rsid w:val="00004128"/>
    <w:rsid w:val="0000418B"/>
    <w:rsid w:val="0000423D"/>
    <w:rsid w:val="00004250"/>
    <w:rsid w:val="0000429A"/>
    <w:rsid w:val="00004329"/>
    <w:rsid w:val="0000438C"/>
    <w:rsid w:val="000043FF"/>
    <w:rsid w:val="000045A6"/>
    <w:rsid w:val="000046B2"/>
    <w:rsid w:val="000047C2"/>
    <w:rsid w:val="000047C3"/>
    <w:rsid w:val="00004845"/>
    <w:rsid w:val="00004861"/>
    <w:rsid w:val="000048AB"/>
    <w:rsid w:val="00004912"/>
    <w:rsid w:val="00004963"/>
    <w:rsid w:val="00004979"/>
    <w:rsid w:val="0000498F"/>
    <w:rsid w:val="000049A1"/>
    <w:rsid w:val="00004AC2"/>
    <w:rsid w:val="00004B51"/>
    <w:rsid w:val="00004C12"/>
    <w:rsid w:val="00004C84"/>
    <w:rsid w:val="00004D22"/>
    <w:rsid w:val="00004E3A"/>
    <w:rsid w:val="00004EB3"/>
    <w:rsid w:val="00004EC2"/>
    <w:rsid w:val="00004EF0"/>
    <w:rsid w:val="0000520F"/>
    <w:rsid w:val="00005269"/>
    <w:rsid w:val="00005296"/>
    <w:rsid w:val="00005402"/>
    <w:rsid w:val="0000542B"/>
    <w:rsid w:val="0000552C"/>
    <w:rsid w:val="00005571"/>
    <w:rsid w:val="000055A4"/>
    <w:rsid w:val="0000569A"/>
    <w:rsid w:val="000057CC"/>
    <w:rsid w:val="0000581F"/>
    <w:rsid w:val="00005836"/>
    <w:rsid w:val="00005848"/>
    <w:rsid w:val="000058D2"/>
    <w:rsid w:val="00005999"/>
    <w:rsid w:val="00005AE8"/>
    <w:rsid w:val="00005D3E"/>
    <w:rsid w:val="00005D63"/>
    <w:rsid w:val="00005DBF"/>
    <w:rsid w:val="00005DF2"/>
    <w:rsid w:val="00005E03"/>
    <w:rsid w:val="00005F16"/>
    <w:rsid w:val="00005FA7"/>
    <w:rsid w:val="00005FC3"/>
    <w:rsid w:val="00006005"/>
    <w:rsid w:val="00006150"/>
    <w:rsid w:val="00006203"/>
    <w:rsid w:val="00006275"/>
    <w:rsid w:val="00006319"/>
    <w:rsid w:val="000063F7"/>
    <w:rsid w:val="0000646E"/>
    <w:rsid w:val="0000653B"/>
    <w:rsid w:val="0000656E"/>
    <w:rsid w:val="000065F5"/>
    <w:rsid w:val="0000664B"/>
    <w:rsid w:val="000066AC"/>
    <w:rsid w:val="000067A0"/>
    <w:rsid w:val="0000692E"/>
    <w:rsid w:val="0000696D"/>
    <w:rsid w:val="000069B9"/>
    <w:rsid w:val="00006ADC"/>
    <w:rsid w:val="00006BA4"/>
    <w:rsid w:val="00006C3B"/>
    <w:rsid w:val="00006C6D"/>
    <w:rsid w:val="00006D7F"/>
    <w:rsid w:val="00006DB8"/>
    <w:rsid w:val="00006E96"/>
    <w:rsid w:val="00006FD8"/>
    <w:rsid w:val="0000701F"/>
    <w:rsid w:val="0000707A"/>
    <w:rsid w:val="000071D1"/>
    <w:rsid w:val="00007258"/>
    <w:rsid w:val="000072FE"/>
    <w:rsid w:val="000073AD"/>
    <w:rsid w:val="000074C4"/>
    <w:rsid w:val="000075AD"/>
    <w:rsid w:val="00007603"/>
    <w:rsid w:val="00007628"/>
    <w:rsid w:val="00007721"/>
    <w:rsid w:val="00007766"/>
    <w:rsid w:val="000077E9"/>
    <w:rsid w:val="00007870"/>
    <w:rsid w:val="0000793C"/>
    <w:rsid w:val="000079A1"/>
    <w:rsid w:val="000079A8"/>
    <w:rsid w:val="000079B5"/>
    <w:rsid w:val="00007A1F"/>
    <w:rsid w:val="00007AE0"/>
    <w:rsid w:val="00007B0C"/>
    <w:rsid w:val="00007BE6"/>
    <w:rsid w:val="00007CF5"/>
    <w:rsid w:val="00007EC1"/>
    <w:rsid w:val="0000CF79"/>
    <w:rsid w:val="00010025"/>
    <w:rsid w:val="00010168"/>
    <w:rsid w:val="0001017D"/>
    <w:rsid w:val="0001025B"/>
    <w:rsid w:val="000102A4"/>
    <w:rsid w:val="000102B1"/>
    <w:rsid w:val="000104F5"/>
    <w:rsid w:val="000104FB"/>
    <w:rsid w:val="0001058D"/>
    <w:rsid w:val="00010736"/>
    <w:rsid w:val="00010807"/>
    <w:rsid w:val="00010809"/>
    <w:rsid w:val="000109A0"/>
    <w:rsid w:val="00010A53"/>
    <w:rsid w:val="00010A57"/>
    <w:rsid w:val="00010AAD"/>
    <w:rsid w:val="00010ACD"/>
    <w:rsid w:val="00010BA3"/>
    <w:rsid w:val="00010BEF"/>
    <w:rsid w:val="00010C4C"/>
    <w:rsid w:val="00010D6D"/>
    <w:rsid w:val="00010D7C"/>
    <w:rsid w:val="00010DED"/>
    <w:rsid w:val="00010E6F"/>
    <w:rsid w:val="00010E89"/>
    <w:rsid w:val="00010F7C"/>
    <w:rsid w:val="00010F94"/>
    <w:rsid w:val="000110C6"/>
    <w:rsid w:val="00011127"/>
    <w:rsid w:val="00011175"/>
    <w:rsid w:val="00011176"/>
    <w:rsid w:val="00011177"/>
    <w:rsid w:val="00011181"/>
    <w:rsid w:val="000111D6"/>
    <w:rsid w:val="0001121D"/>
    <w:rsid w:val="00011242"/>
    <w:rsid w:val="0001126F"/>
    <w:rsid w:val="0001135B"/>
    <w:rsid w:val="000113A9"/>
    <w:rsid w:val="00011434"/>
    <w:rsid w:val="0001155E"/>
    <w:rsid w:val="000115F4"/>
    <w:rsid w:val="00011649"/>
    <w:rsid w:val="00011880"/>
    <w:rsid w:val="0001189F"/>
    <w:rsid w:val="000118B2"/>
    <w:rsid w:val="000118E8"/>
    <w:rsid w:val="00011902"/>
    <w:rsid w:val="000119DE"/>
    <w:rsid w:val="00011CDF"/>
    <w:rsid w:val="00011D09"/>
    <w:rsid w:val="00011E26"/>
    <w:rsid w:val="00011E45"/>
    <w:rsid w:val="00011EF3"/>
    <w:rsid w:val="00011F55"/>
    <w:rsid w:val="00011F69"/>
    <w:rsid w:val="00012079"/>
    <w:rsid w:val="000120C4"/>
    <w:rsid w:val="00012235"/>
    <w:rsid w:val="00012290"/>
    <w:rsid w:val="000122DD"/>
    <w:rsid w:val="000122F2"/>
    <w:rsid w:val="00012370"/>
    <w:rsid w:val="000124BE"/>
    <w:rsid w:val="00012513"/>
    <w:rsid w:val="00012532"/>
    <w:rsid w:val="000125AA"/>
    <w:rsid w:val="000125CA"/>
    <w:rsid w:val="00012733"/>
    <w:rsid w:val="00012779"/>
    <w:rsid w:val="000127AE"/>
    <w:rsid w:val="000127CD"/>
    <w:rsid w:val="0001284C"/>
    <w:rsid w:val="00012983"/>
    <w:rsid w:val="00012996"/>
    <w:rsid w:val="000129AA"/>
    <w:rsid w:val="000129BB"/>
    <w:rsid w:val="00012A06"/>
    <w:rsid w:val="00012C25"/>
    <w:rsid w:val="00012C94"/>
    <w:rsid w:val="00012D80"/>
    <w:rsid w:val="00012DF5"/>
    <w:rsid w:val="00012EB8"/>
    <w:rsid w:val="00012F0F"/>
    <w:rsid w:val="00012F76"/>
    <w:rsid w:val="00012F88"/>
    <w:rsid w:val="00013013"/>
    <w:rsid w:val="00013041"/>
    <w:rsid w:val="000130FA"/>
    <w:rsid w:val="0001310D"/>
    <w:rsid w:val="0001325C"/>
    <w:rsid w:val="00013262"/>
    <w:rsid w:val="0001332E"/>
    <w:rsid w:val="0001334D"/>
    <w:rsid w:val="0001343D"/>
    <w:rsid w:val="000134BA"/>
    <w:rsid w:val="000135FC"/>
    <w:rsid w:val="00013674"/>
    <w:rsid w:val="00013699"/>
    <w:rsid w:val="000137EA"/>
    <w:rsid w:val="00013813"/>
    <w:rsid w:val="00013833"/>
    <w:rsid w:val="000138C2"/>
    <w:rsid w:val="0001392E"/>
    <w:rsid w:val="00013A98"/>
    <w:rsid w:val="00013ACD"/>
    <w:rsid w:val="00013B22"/>
    <w:rsid w:val="00013B23"/>
    <w:rsid w:val="00013B4A"/>
    <w:rsid w:val="00013B54"/>
    <w:rsid w:val="00013C88"/>
    <w:rsid w:val="00013CE7"/>
    <w:rsid w:val="00013D85"/>
    <w:rsid w:val="00013D95"/>
    <w:rsid w:val="00013DF1"/>
    <w:rsid w:val="00013E6D"/>
    <w:rsid w:val="00013EF4"/>
    <w:rsid w:val="00013FD7"/>
    <w:rsid w:val="00013FF1"/>
    <w:rsid w:val="00014041"/>
    <w:rsid w:val="0001408B"/>
    <w:rsid w:val="00014096"/>
    <w:rsid w:val="000140A2"/>
    <w:rsid w:val="000140EA"/>
    <w:rsid w:val="00014194"/>
    <w:rsid w:val="000141B3"/>
    <w:rsid w:val="00014402"/>
    <w:rsid w:val="0001445E"/>
    <w:rsid w:val="000144FC"/>
    <w:rsid w:val="00014503"/>
    <w:rsid w:val="0001464B"/>
    <w:rsid w:val="0001464C"/>
    <w:rsid w:val="00014830"/>
    <w:rsid w:val="000148A3"/>
    <w:rsid w:val="0001497E"/>
    <w:rsid w:val="00014B35"/>
    <w:rsid w:val="00014B51"/>
    <w:rsid w:val="00014B8B"/>
    <w:rsid w:val="00014BC9"/>
    <w:rsid w:val="00014C02"/>
    <w:rsid w:val="00014C6E"/>
    <w:rsid w:val="00014CB4"/>
    <w:rsid w:val="00014E0E"/>
    <w:rsid w:val="00015018"/>
    <w:rsid w:val="000150E6"/>
    <w:rsid w:val="00015126"/>
    <w:rsid w:val="00015157"/>
    <w:rsid w:val="000151F1"/>
    <w:rsid w:val="0001520A"/>
    <w:rsid w:val="00015240"/>
    <w:rsid w:val="000152B4"/>
    <w:rsid w:val="000152C8"/>
    <w:rsid w:val="000152F0"/>
    <w:rsid w:val="0001545F"/>
    <w:rsid w:val="0001554A"/>
    <w:rsid w:val="0001564D"/>
    <w:rsid w:val="000156D3"/>
    <w:rsid w:val="0001573D"/>
    <w:rsid w:val="000157B6"/>
    <w:rsid w:val="00015845"/>
    <w:rsid w:val="00015AE1"/>
    <w:rsid w:val="00015B4E"/>
    <w:rsid w:val="00015BEC"/>
    <w:rsid w:val="00015CA9"/>
    <w:rsid w:val="00015D36"/>
    <w:rsid w:val="00015D5A"/>
    <w:rsid w:val="00015DC5"/>
    <w:rsid w:val="00015E3E"/>
    <w:rsid w:val="00015EB0"/>
    <w:rsid w:val="00015FA9"/>
    <w:rsid w:val="00016005"/>
    <w:rsid w:val="00016082"/>
    <w:rsid w:val="000160B5"/>
    <w:rsid w:val="0001624E"/>
    <w:rsid w:val="00016292"/>
    <w:rsid w:val="000162A9"/>
    <w:rsid w:val="000163A6"/>
    <w:rsid w:val="000164A1"/>
    <w:rsid w:val="0001658D"/>
    <w:rsid w:val="0001663F"/>
    <w:rsid w:val="00016655"/>
    <w:rsid w:val="0001665E"/>
    <w:rsid w:val="000166B3"/>
    <w:rsid w:val="000167A1"/>
    <w:rsid w:val="00016802"/>
    <w:rsid w:val="00016833"/>
    <w:rsid w:val="00016845"/>
    <w:rsid w:val="000168CB"/>
    <w:rsid w:val="000168DB"/>
    <w:rsid w:val="000169E5"/>
    <w:rsid w:val="00016A16"/>
    <w:rsid w:val="00016BFF"/>
    <w:rsid w:val="00016C31"/>
    <w:rsid w:val="00016D1F"/>
    <w:rsid w:val="00016D24"/>
    <w:rsid w:val="00016DA8"/>
    <w:rsid w:val="00016E25"/>
    <w:rsid w:val="00016E55"/>
    <w:rsid w:val="00016E74"/>
    <w:rsid w:val="00016FAB"/>
    <w:rsid w:val="00016FB6"/>
    <w:rsid w:val="00016FC4"/>
    <w:rsid w:val="00017081"/>
    <w:rsid w:val="000171B1"/>
    <w:rsid w:val="000171E3"/>
    <w:rsid w:val="000171E4"/>
    <w:rsid w:val="00017222"/>
    <w:rsid w:val="000172CB"/>
    <w:rsid w:val="0001733F"/>
    <w:rsid w:val="0001737C"/>
    <w:rsid w:val="000176A6"/>
    <w:rsid w:val="000176AF"/>
    <w:rsid w:val="00017746"/>
    <w:rsid w:val="00017801"/>
    <w:rsid w:val="000179D4"/>
    <w:rsid w:val="00017A81"/>
    <w:rsid w:val="00017B66"/>
    <w:rsid w:val="00017C75"/>
    <w:rsid w:val="00017DF3"/>
    <w:rsid w:val="00017E59"/>
    <w:rsid w:val="00017E64"/>
    <w:rsid w:val="00017F2E"/>
    <w:rsid w:val="00020031"/>
    <w:rsid w:val="00020178"/>
    <w:rsid w:val="00020276"/>
    <w:rsid w:val="000202B5"/>
    <w:rsid w:val="0002036F"/>
    <w:rsid w:val="00020382"/>
    <w:rsid w:val="000204A7"/>
    <w:rsid w:val="000204E9"/>
    <w:rsid w:val="00020524"/>
    <w:rsid w:val="00020566"/>
    <w:rsid w:val="000205E5"/>
    <w:rsid w:val="00020609"/>
    <w:rsid w:val="00020628"/>
    <w:rsid w:val="0002069A"/>
    <w:rsid w:val="000206DB"/>
    <w:rsid w:val="000206E3"/>
    <w:rsid w:val="00020718"/>
    <w:rsid w:val="00020808"/>
    <w:rsid w:val="00020844"/>
    <w:rsid w:val="00020871"/>
    <w:rsid w:val="0002088D"/>
    <w:rsid w:val="000208A0"/>
    <w:rsid w:val="00020945"/>
    <w:rsid w:val="00020978"/>
    <w:rsid w:val="000209D2"/>
    <w:rsid w:val="000209ED"/>
    <w:rsid w:val="00020A04"/>
    <w:rsid w:val="00020B30"/>
    <w:rsid w:val="00020B55"/>
    <w:rsid w:val="00020C03"/>
    <w:rsid w:val="00020C20"/>
    <w:rsid w:val="00020E00"/>
    <w:rsid w:val="00020E70"/>
    <w:rsid w:val="00020EBC"/>
    <w:rsid w:val="00020F99"/>
    <w:rsid w:val="00020FA2"/>
    <w:rsid w:val="00021008"/>
    <w:rsid w:val="0002100D"/>
    <w:rsid w:val="0002112A"/>
    <w:rsid w:val="00021152"/>
    <w:rsid w:val="00021217"/>
    <w:rsid w:val="000213BD"/>
    <w:rsid w:val="00021420"/>
    <w:rsid w:val="00021484"/>
    <w:rsid w:val="000215CD"/>
    <w:rsid w:val="0002176C"/>
    <w:rsid w:val="000217DE"/>
    <w:rsid w:val="000219AD"/>
    <w:rsid w:val="00021A99"/>
    <w:rsid w:val="00021C5E"/>
    <w:rsid w:val="00021DC4"/>
    <w:rsid w:val="00021E36"/>
    <w:rsid w:val="00021E96"/>
    <w:rsid w:val="00021F73"/>
    <w:rsid w:val="00021F9D"/>
    <w:rsid w:val="0002205D"/>
    <w:rsid w:val="000220FB"/>
    <w:rsid w:val="0002211C"/>
    <w:rsid w:val="00022282"/>
    <w:rsid w:val="000222A7"/>
    <w:rsid w:val="000222FE"/>
    <w:rsid w:val="0002246C"/>
    <w:rsid w:val="000224CA"/>
    <w:rsid w:val="00022503"/>
    <w:rsid w:val="00022712"/>
    <w:rsid w:val="00022764"/>
    <w:rsid w:val="00022788"/>
    <w:rsid w:val="000227D9"/>
    <w:rsid w:val="00022804"/>
    <w:rsid w:val="00022883"/>
    <w:rsid w:val="000228A0"/>
    <w:rsid w:val="00022C2C"/>
    <w:rsid w:val="00022C36"/>
    <w:rsid w:val="00022C4E"/>
    <w:rsid w:val="00022CD3"/>
    <w:rsid w:val="00022D17"/>
    <w:rsid w:val="00022D39"/>
    <w:rsid w:val="00022EDE"/>
    <w:rsid w:val="00022EE7"/>
    <w:rsid w:val="00022F70"/>
    <w:rsid w:val="00023258"/>
    <w:rsid w:val="00023262"/>
    <w:rsid w:val="0002326A"/>
    <w:rsid w:val="000232A5"/>
    <w:rsid w:val="000232D8"/>
    <w:rsid w:val="000233E1"/>
    <w:rsid w:val="00023532"/>
    <w:rsid w:val="00023579"/>
    <w:rsid w:val="0002371B"/>
    <w:rsid w:val="00023734"/>
    <w:rsid w:val="0002378A"/>
    <w:rsid w:val="00023997"/>
    <w:rsid w:val="000239F9"/>
    <w:rsid w:val="000239FE"/>
    <w:rsid w:val="00023A75"/>
    <w:rsid w:val="00023AA0"/>
    <w:rsid w:val="00023BBC"/>
    <w:rsid w:val="00023C13"/>
    <w:rsid w:val="00023C89"/>
    <w:rsid w:val="00023C91"/>
    <w:rsid w:val="00023C97"/>
    <w:rsid w:val="00023CB5"/>
    <w:rsid w:val="00023CC4"/>
    <w:rsid w:val="00023CE0"/>
    <w:rsid w:val="00023D3D"/>
    <w:rsid w:val="00023D63"/>
    <w:rsid w:val="00023E86"/>
    <w:rsid w:val="00023F1A"/>
    <w:rsid w:val="00023FB2"/>
    <w:rsid w:val="00024083"/>
    <w:rsid w:val="000243F3"/>
    <w:rsid w:val="000244A2"/>
    <w:rsid w:val="000245D3"/>
    <w:rsid w:val="00024695"/>
    <w:rsid w:val="0002475B"/>
    <w:rsid w:val="00024789"/>
    <w:rsid w:val="0002479B"/>
    <w:rsid w:val="0002493E"/>
    <w:rsid w:val="0002495F"/>
    <w:rsid w:val="00024A3B"/>
    <w:rsid w:val="00024A76"/>
    <w:rsid w:val="00024B8F"/>
    <w:rsid w:val="00024BC9"/>
    <w:rsid w:val="00024CA3"/>
    <w:rsid w:val="00024D54"/>
    <w:rsid w:val="00024D97"/>
    <w:rsid w:val="00024DB3"/>
    <w:rsid w:val="00024E25"/>
    <w:rsid w:val="00024EB0"/>
    <w:rsid w:val="00024EBF"/>
    <w:rsid w:val="00025012"/>
    <w:rsid w:val="000250F1"/>
    <w:rsid w:val="0002528C"/>
    <w:rsid w:val="0002529C"/>
    <w:rsid w:val="00025346"/>
    <w:rsid w:val="000253B6"/>
    <w:rsid w:val="000253BA"/>
    <w:rsid w:val="00025521"/>
    <w:rsid w:val="00025570"/>
    <w:rsid w:val="00025607"/>
    <w:rsid w:val="00025649"/>
    <w:rsid w:val="00025731"/>
    <w:rsid w:val="000257B8"/>
    <w:rsid w:val="0002583E"/>
    <w:rsid w:val="0002584E"/>
    <w:rsid w:val="00025B10"/>
    <w:rsid w:val="00025B5D"/>
    <w:rsid w:val="00025C45"/>
    <w:rsid w:val="00025C6F"/>
    <w:rsid w:val="00025CE4"/>
    <w:rsid w:val="00025D8B"/>
    <w:rsid w:val="00025DBA"/>
    <w:rsid w:val="00025E74"/>
    <w:rsid w:val="00025F02"/>
    <w:rsid w:val="00025F97"/>
    <w:rsid w:val="00026002"/>
    <w:rsid w:val="00026037"/>
    <w:rsid w:val="000261AC"/>
    <w:rsid w:val="00026244"/>
    <w:rsid w:val="0002624A"/>
    <w:rsid w:val="0002630A"/>
    <w:rsid w:val="0002631F"/>
    <w:rsid w:val="00026351"/>
    <w:rsid w:val="00026407"/>
    <w:rsid w:val="000264B0"/>
    <w:rsid w:val="000264D7"/>
    <w:rsid w:val="00026519"/>
    <w:rsid w:val="00026570"/>
    <w:rsid w:val="000265DF"/>
    <w:rsid w:val="000266B1"/>
    <w:rsid w:val="0002679F"/>
    <w:rsid w:val="000267E2"/>
    <w:rsid w:val="000267E7"/>
    <w:rsid w:val="000267FE"/>
    <w:rsid w:val="00026899"/>
    <w:rsid w:val="000269A6"/>
    <w:rsid w:val="00026A30"/>
    <w:rsid w:val="00026B75"/>
    <w:rsid w:val="00026BCE"/>
    <w:rsid w:val="00026CB7"/>
    <w:rsid w:val="00026CFD"/>
    <w:rsid w:val="00026D17"/>
    <w:rsid w:val="00026E6C"/>
    <w:rsid w:val="00026FD8"/>
    <w:rsid w:val="00027014"/>
    <w:rsid w:val="00027283"/>
    <w:rsid w:val="000272B2"/>
    <w:rsid w:val="00027552"/>
    <w:rsid w:val="000275C7"/>
    <w:rsid w:val="000275EA"/>
    <w:rsid w:val="00027604"/>
    <w:rsid w:val="0002770A"/>
    <w:rsid w:val="00027737"/>
    <w:rsid w:val="00027876"/>
    <w:rsid w:val="00027A96"/>
    <w:rsid w:val="00027B45"/>
    <w:rsid w:val="00027B7D"/>
    <w:rsid w:val="00027BDC"/>
    <w:rsid w:val="00027C94"/>
    <w:rsid w:val="00027CDA"/>
    <w:rsid w:val="00027CDF"/>
    <w:rsid w:val="00027E9D"/>
    <w:rsid w:val="00027EFD"/>
    <w:rsid w:val="00027F76"/>
    <w:rsid w:val="00030247"/>
    <w:rsid w:val="00030519"/>
    <w:rsid w:val="0003058D"/>
    <w:rsid w:val="000305CD"/>
    <w:rsid w:val="00030751"/>
    <w:rsid w:val="000307A8"/>
    <w:rsid w:val="00030828"/>
    <w:rsid w:val="0003082D"/>
    <w:rsid w:val="0003087B"/>
    <w:rsid w:val="00030A0D"/>
    <w:rsid w:val="00030ACB"/>
    <w:rsid w:val="00030BB3"/>
    <w:rsid w:val="00030C40"/>
    <w:rsid w:val="00030C95"/>
    <w:rsid w:val="00030E37"/>
    <w:rsid w:val="00030F02"/>
    <w:rsid w:val="00030F78"/>
    <w:rsid w:val="00030FCA"/>
    <w:rsid w:val="00031015"/>
    <w:rsid w:val="00031057"/>
    <w:rsid w:val="000311E6"/>
    <w:rsid w:val="000311F7"/>
    <w:rsid w:val="00031226"/>
    <w:rsid w:val="000312B3"/>
    <w:rsid w:val="000312E1"/>
    <w:rsid w:val="000312F4"/>
    <w:rsid w:val="0003151E"/>
    <w:rsid w:val="000316B9"/>
    <w:rsid w:val="00031741"/>
    <w:rsid w:val="0003174A"/>
    <w:rsid w:val="0003174F"/>
    <w:rsid w:val="0003176C"/>
    <w:rsid w:val="00031778"/>
    <w:rsid w:val="000318BE"/>
    <w:rsid w:val="000318C2"/>
    <w:rsid w:val="000318CB"/>
    <w:rsid w:val="00031929"/>
    <w:rsid w:val="00031941"/>
    <w:rsid w:val="000319A6"/>
    <w:rsid w:val="00031B2B"/>
    <w:rsid w:val="00031C28"/>
    <w:rsid w:val="00031C4B"/>
    <w:rsid w:val="00031D46"/>
    <w:rsid w:val="00031E19"/>
    <w:rsid w:val="00031E5B"/>
    <w:rsid w:val="00031E94"/>
    <w:rsid w:val="00031F33"/>
    <w:rsid w:val="00031F3D"/>
    <w:rsid w:val="00032044"/>
    <w:rsid w:val="00032052"/>
    <w:rsid w:val="0003206E"/>
    <w:rsid w:val="0003207E"/>
    <w:rsid w:val="000321DD"/>
    <w:rsid w:val="00032201"/>
    <w:rsid w:val="0003235E"/>
    <w:rsid w:val="0003238B"/>
    <w:rsid w:val="000323EA"/>
    <w:rsid w:val="0003240C"/>
    <w:rsid w:val="000324A8"/>
    <w:rsid w:val="000324DD"/>
    <w:rsid w:val="000326BD"/>
    <w:rsid w:val="00032884"/>
    <w:rsid w:val="000328D4"/>
    <w:rsid w:val="000329F9"/>
    <w:rsid w:val="00032ABC"/>
    <w:rsid w:val="00032B0A"/>
    <w:rsid w:val="00032B2E"/>
    <w:rsid w:val="00032BEB"/>
    <w:rsid w:val="00032CE4"/>
    <w:rsid w:val="00032CEA"/>
    <w:rsid w:val="00032DA4"/>
    <w:rsid w:val="00032E16"/>
    <w:rsid w:val="00032E1B"/>
    <w:rsid w:val="00032ED9"/>
    <w:rsid w:val="00032EE4"/>
    <w:rsid w:val="00032F70"/>
    <w:rsid w:val="00032FC2"/>
    <w:rsid w:val="00032FFB"/>
    <w:rsid w:val="0003301E"/>
    <w:rsid w:val="00033050"/>
    <w:rsid w:val="0003305C"/>
    <w:rsid w:val="00033206"/>
    <w:rsid w:val="000332B4"/>
    <w:rsid w:val="00033403"/>
    <w:rsid w:val="00033420"/>
    <w:rsid w:val="00033440"/>
    <w:rsid w:val="00033476"/>
    <w:rsid w:val="000334B0"/>
    <w:rsid w:val="0003359B"/>
    <w:rsid w:val="0003362D"/>
    <w:rsid w:val="000336DB"/>
    <w:rsid w:val="00033718"/>
    <w:rsid w:val="00033740"/>
    <w:rsid w:val="00033758"/>
    <w:rsid w:val="00033763"/>
    <w:rsid w:val="00033A6D"/>
    <w:rsid w:val="00033AD3"/>
    <w:rsid w:val="00033AE4"/>
    <w:rsid w:val="00033B36"/>
    <w:rsid w:val="00033BE7"/>
    <w:rsid w:val="00033BFB"/>
    <w:rsid w:val="00033C37"/>
    <w:rsid w:val="00033C41"/>
    <w:rsid w:val="00033D0B"/>
    <w:rsid w:val="00033D61"/>
    <w:rsid w:val="00033D73"/>
    <w:rsid w:val="00033D8D"/>
    <w:rsid w:val="00033E34"/>
    <w:rsid w:val="00033EED"/>
    <w:rsid w:val="00033F26"/>
    <w:rsid w:val="00033F30"/>
    <w:rsid w:val="00034093"/>
    <w:rsid w:val="000340C0"/>
    <w:rsid w:val="000341C3"/>
    <w:rsid w:val="000341EC"/>
    <w:rsid w:val="00034373"/>
    <w:rsid w:val="00034498"/>
    <w:rsid w:val="000346FD"/>
    <w:rsid w:val="0003489C"/>
    <w:rsid w:val="00034955"/>
    <w:rsid w:val="00034A5A"/>
    <w:rsid w:val="00034AC2"/>
    <w:rsid w:val="00034C82"/>
    <w:rsid w:val="00034DFB"/>
    <w:rsid w:val="00034DFD"/>
    <w:rsid w:val="00034E24"/>
    <w:rsid w:val="00034E7D"/>
    <w:rsid w:val="00034EE2"/>
    <w:rsid w:val="00034F6E"/>
    <w:rsid w:val="0003505C"/>
    <w:rsid w:val="00035069"/>
    <w:rsid w:val="0003507E"/>
    <w:rsid w:val="00035098"/>
    <w:rsid w:val="000350DE"/>
    <w:rsid w:val="000352CF"/>
    <w:rsid w:val="0003536E"/>
    <w:rsid w:val="00035386"/>
    <w:rsid w:val="00035395"/>
    <w:rsid w:val="0003545F"/>
    <w:rsid w:val="00035574"/>
    <w:rsid w:val="0003560C"/>
    <w:rsid w:val="000356BE"/>
    <w:rsid w:val="00035765"/>
    <w:rsid w:val="000359A4"/>
    <w:rsid w:val="00035A5D"/>
    <w:rsid w:val="00035AD3"/>
    <w:rsid w:val="00035B93"/>
    <w:rsid w:val="00035C3C"/>
    <w:rsid w:val="00035C59"/>
    <w:rsid w:val="00035EEA"/>
    <w:rsid w:val="0003608F"/>
    <w:rsid w:val="00036130"/>
    <w:rsid w:val="00036151"/>
    <w:rsid w:val="000361AA"/>
    <w:rsid w:val="00036247"/>
    <w:rsid w:val="000362D7"/>
    <w:rsid w:val="0003631B"/>
    <w:rsid w:val="0003634B"/>
    <w:rsid w:val="000364C8"/>
    <w:rsid w:val="000364CF"/>
    <w:rsid w:val="000365C0"/>
    <w:rsid w:val="00036740"/>
    <w:rsid w:val="000367A8"/>
    <w:rsid w:val="00036837"/>
    <w:rsid w:val="0003692F"/>
    <w:rsid w:val="000369E7"/>
    <w:rsid w:val="00036A02"/>
    <w:rsid w:val="00036B02"/>
    <w:rsid w:val="00036B10"/>
    <w:rsid w:val="00036B3E"/>
    <w:rsid w:val="00036BEE"/>
    <w:rsid w:val="00036BFD"/>
    <w:rsid w:val="00036D30"/>
    <w:rsid w:val="00036E39"/>
    <w:rsid w:val="00036EA8"/>
    <w:rsid w:val="00036F6E"/>
    <w:rsid w:val="00036F91"/>
    <w:rsid w:val="0003710A"/>
    <w:rsid w:val="0003718B"/>
    <w:rsid w:val="0003725A"/>
    <w:rsid w:val="00037296"/>
    <w:rsid w:val="000372BC"/>
    <w:rsid w:val="000372BF"/>
    <w:rsid w:val="000372E7"/>
    <w:rsid w:val="00037388"/>
    <w:rsid w:val="00037485"/>
    <w:rsid w:val="000374ED"/>
    <w:rsid w:val="00037524"/>
    <w:rsid w:val="000376A9"/>
    <w:rsid w:val="000377B8"/>
    <w:rsid w:val="000377EF"/>
    <w:rsid w:val="00037826"/>
    <w:rsid w:val="00037928"/>
    <w:rsid w:val="00037929"/>
    <w:rsid w:val="00037963"/>
    <w:rsid w:val="000379A6"/>
    <w:rsid w:val="00037A81"/>
    <w:rsid w:val="00037CB4"/>
    <w:rsid w:val="00037CE4"/>
    <w:rsid w:val="00037D93"/>
    <w:rsid w:val="00037DAB"/>
    <w:rsid w:val="00037E14"/>
    <w:rsid w:val="00037E17"/>
    <w:rsid w:val="00037E4B"/>
    <w:rsid w:val="00037E94"/>
    <w:rsid w:val="00037F53"/>
    <w:rsid w:val="00037F6F"/>
    <w:rsid w:val="00037F8E"/>
    <w:rsid w:val="00037FFA"/>
    <w:rsid w:val="000400D7"/>
    <w:rsid w:val="0004013B"/>
    <w:rsid w:val="0004043A"/>
    <w:rsid w:val="000404DE"/>
    <w:rsid w:val="000404FA"/>
    <w:rsid w:val="000405FE"/>
    <w:rsid w:val="000406B9"/>
    <w:rsid w:val="000407B5"/>
    <w:rsid w:val="000409F9"/>
    <w:rsid w:val="00040A37"/>
    <w:rsid w:val="00040A4D"/>
    <w:rsid w:val="00040B3C"/>
    <w:rsid w:val="00040BF2"/>
    <w:rsid w:val="00040D1E"/>
    <w:rsid w:val="00040D87"/>
    <w:rsid w:val="00040ED1"/>
    <w:rsid w:val="00040EFD"/>
    <w:rsid w:val="00040FFC"/>
    <w:rsid w:val="000410E2"/>
    <w:rsid w:val="000413C8"/>
    <w:rsid w:val="0004147D"/>
    <w:rsid w:val="000415FC"/>
    <w:rsid w:val="00041685"/>
    <w:rsid w:val="000416EC"/>
    <w:rsid w:val="0004177C"/>
    <w:rsid w:val="00041803"/>
    <w:rsid w:val="00041A06"/>
    <w:rsid w:val="00041A98"/>
    <w:rsid w:val="00041AF7"/>
    <w:rsid w:val="00041BF6"/>
    <w:rsid w:val="00041D78"/>
    <w:rsid w:val="00041D79"/>
    <w:rsid w:val="00041E83"/>
    <w:rsid w:val="00041EAB"/>
    <w:rsid w:val="00041F0C"/>
    <w:rsid w:val="00041FC8"/>
    <w:rsid w:val="000420A8"/>
    <w:rsid w:val="00042239"/>
    <w:rsid w:val="0004236A"/>
    <w:rsid w:val="000423B6"/>
    <w:rsid w:val="000423B8"/>
    <w:rsid w:val="000423BE"/>
    <w:rsid w:val="0004248D"/>
    <w:rsid w:val="0004266E"/>
    <w:rsid w:val="00042764"/>
    <w:rsid w:val="000428DF"/>
    <w:rsid w:val="00042958"/>
    <w:rsid w:val="00042AD8"/>
    <w:rsid w:val="00042B20"/>
    <w:rsid w:val="00042B90"/>
    <w:rsid w:val="00042C61"/>
    <w:rsid w:val="00042CA1"/>
    <w:rsid w:val="00042DAB"/>
    <w:rsid w:val="00042DC9"/>
    <w:rsid w:val="00042E0B"/>
    <w:rsid w:val="00042EAD"/>
    <w:rsid w:val="00043015"/>
    <w:rsid w:val="0004301B"/>
    <w:rsid w:val="00043082"/>
    <w:rsid w:val="0004309C"/>
    <w:rsid w:val="000430C1"/>
    <w:rsid w:val="00043287"/>
    <w:rsid w:val="000432AC"/>
    <w:rsid w:val="000432F1"/>
    <w:rsid w:val="00043313"/>
    <w:rsid w:val="00043355"/>
    <w:rsid w:val="0004337F"/>
    <w:rsid w:val="000433B2"/>
    <w:rsid w:val="00043438"/>
    <w:rsid w:val="00043480"/>
    <w:rsid w:val="00043495"/>
    <w:rsid w:val="000434F4"/>
    <w:rsid w:val="0004355B"/>
    <w:rsid w:val="000435B8"/>
    <w:rsid w:val="000435C2"/>
    <w:rsid w:val="00043651"/>
    <w:rsid w:val="0004374E"/>
    <w:rsid w:val="00043760"/>
    <w:rsid w:val="00043810"/>
    <w:rsid w:val="00043853"/>
    <w:rsid w:val="0004386E"/>
    <w:rsid w:val="00043935"/>
    <w:rsid w:val="00043942"/>
    <w:rsid w:val="00043991"/>
    <w:rsid w:val="000439A6"/>
    <w:rsid w:val="000439A9"/>
    <w:rsid w:val="00043A71"/>
    <w:rsid w:val="00043A7F"/>
    <w:rsid w:val="00043CD0"/>
    <w:rsid w:val="00043DDA"/>
    <w:rsid w:val="00043E19"/>
    <w:rsid w:val="00043F0F"/>
    <w:rsid w:val="00044050"/>
    <w:rsid w:val="00044058"/>
    <w:rsid w:val="000441B4"/>
    <w:rsid w:val="000444D1"/>
    <w:rsid w:val="0004458E"/>
    <w:rsid w:val="00044621"/>
    <w:rsid w:val="00044714"/>
    <w:rsid w:val="0004472E"/>
    <w:rsid w:val="00044750"/>
    <w:rsid w:val="0004481E"/>
    <w:rsid w:val="000448E2"/>
    <w:rsid w:val="00044913"/>
    <w:rsid w:val="000449E4"/>
    <w:rsid w:val="00044A6A"/>
    <w:rsid w:val="00044BD7"/>
    <w:rsid w:val="00044CE7"/>
    <w:rsid w:val="00044D41"/>
    <w:rsid w:val="00044D73"/>
    <w:rsid w:val="00044F61"/>
    <w:rsid w:val="00044F81"/>
    <w:rsid w:val="00044FA0"/>
    <w:rsid w:val="000450A1"/>
    <w:rsid w:val="000450A3"/>
    <w:rsid w:val="000450C3"/>
    <w:rsid w:val="000450EA"/>
    <w:rsid w:val="00045160"/>
    <w:rsid w:val="0004516D"/>
    <w:rsid w:val="000451D2"/>
    <w:rsid w:val="000452B6"/>
    <w:rsid w:val="00045311"/>
    <w:rsid w:val="00045341"/>
    <w:rsid w:val="00045451"/>
    <w:rsid w:val="000454AD"/>
    <w:rsid w:val="000458DE"/>
    <w:rsid w:val="000458FB"/>
    <w:rsid w:val="000459B7"/>
    <w:rsid w:val="00045A3F"/>
    <w:rsid w:val="00045AAB"/>
    <w:rsid w:val="00045B1C"/>
    <w:rsid w:val="00045B60"/>
    <w:rsid w:val="00045BA5"/>
    <w:rsid w:val="00045D23"/>
    <w:rsid w:val="00045D27"/>
    <w:rsid w:val="00045D42"/>
    <w:rsid w:val="00045D7F"/>
    <w:rsid w:val="00046062"/>
    <w:rsid w:val="0004609B"/>
    <w:rsid w:val="0004645C"/>
    <w:rsid w:val="000464AC"/>
    <w:rsid w:val="000464E2"/>
    <w:rsid w:val="000465E7"/>
    <w:rsid w:val="000465FB"/>
    <w:rsid w:val="00046638"/>
    <w:rsid w:val="0004663E"/>
    <w:rsid w:val="0004672C"/>
    <w:rsid w:val="00046752"/>
    <w:rsid w:val="00046836"/>
    <w:rsid w:val="000468A5"/>
    <w:rsid w:val="000468D0"/>
    <w:rsid w:val="000469C7"/>
    <w:rsid w:val="00046B0A"/>
    <w:rsid w:val="00046C3D"/>
    <w:rsid w:val="00046CD4"/>
    <w:rsid w:val="00046EB1"/>
    <w:rsid w:val="00046F08"/>
    <w:rsid w:val="00046F51"/>
    <w:rsid w:val="00046FA0"/>
    <w:rsid w:val="00047017"/>
    <w:rsid w:val="000470A5"/>
    <w:rsid w:val="000470E1"/>
    <w:rsid w:val="000471E5"/>
    <w:rsid w:val="00047233"/>
    <w:rsid w:val="000472DE"/>
    <w:rsid w:val="000472E3"/>
    <w:rsid w:val="000472F7"/>
    <w:rsid w:val="00047341"/>
    <w:rsid w:val="00047382"/>
    <w:rsid w:val="000473A5"/>
    <w:rsid w:val="000474D5"/>
    <w:rsid w:val="00047502"/>
    <w:rsid w:val="00047553"/>
    <w:rsid w:val="00047561"/>
    <w:rsid w:val="000475A0"/>
    <w:rsid w:val="000475CE"/>
    <w:rsid w:val="00047708"/>
    <w:rsid w:val="0004772A"/>
    <w:rsid w:val="000477CF"/>
    <w:rsid w:val="0004792D"/>
    <w:rsid w:val="0004796C"/>
    <w:rsid w:val="00047B2F"/>
    <w:rsid w:val="00047B7E"/>
    <w:rsid w:val="00047BB8"/>
    <w:rsid w:val="00047BEF"/>
    <w:rsid w:val="00047CB0"/>
    <w:rsid w:val="00047CD2"/>
    <w:rsid w:val="00047D41"/>
    <w:rsid w:val="00047D99"/>
    <w:rsid w:val="00047E29"/>
    <w:rsid w:val="00047E74"/>
    <w:rsid w:val="00047E82"/>
    <w:rsid w:val="00047ED7"/>
    <w:rsid w:val="00047EDD"/>
    <w:rsid w:val="00047FE1"/>
    <w:rsid w:val="00047FEB"/>
    <w:rsid w:val="0004A6AA"/>
    <w:rsid w:val="00050249"/>
    <w:rsid w:val="00050280"/>
    <w:rsid w:val="00050289"/>
    <w:rsid w:val="000504D8"/>
    <w:rsid w:val="000504DE"/>
    <w:rsid w:val="00050626"/>
    <w:rsid w:val="00050760"/>
    <w:rsid w:val="00050806"/>
    <w:rsid w:val="00050809"/>
    <w:rsid w:val="0005082A"/>
    <w:rsid w:val="0005084A"/>
    <w:rsid w:val="00050869"/>
    <w:rsid w:val="0005088A"/>
    <w:rsid w:val="000508C2"/>
    <w:rsid w:val="00050912"/>
    <w:rsid w:val="00050A91"/>
    <w:rsid w:val="00050BC2"/>
    <w:rsid w:val="00050BDC"/>
    <w:rsid w:val="00050CCC"/>
    <w:rsid w:val="00050D21"/>
    <w:rsid w:val="00050D6C"/>
    <w:rsid w:val="00050E22"/>
    <w:rsid w:val="00050E42"/>
    <w:rsid w:val="00050E7D"/>
    <w:rsid w:val="0005101C"/>
    <w:rsid w:val="0005114D"/>
    <w:rsid w:val="00051225"/>
    <w:rsid w:val="00051280"/>
    <w:rsid w:val="00051300"/>
    <w:rsid w:val="0005149E"/>
    <w:rsid w:val="000514A1"/>
    <w:rsid w:val="000514BD"/>
    <w:rsid w:val="0005150C"/>
    <w:rsid w:val="00051539"/>
    <w:rsid w:val="000515A9"/>
    <w:rsid w:val="000516CB"/>
    <w:rsid w:val="00051752"/>
    <w:rsid w:val="000517BB"/>
    <w:rsid w:val="0005188A"/>
    <w:rsid w:val="000519DD"/>
    <w:rsid w:val="000519FF"/>
    <w:rsid w:val="00051BDD"/>
    <w:rsid w:val="00051CB6"/>
    <w:rsid w:val="00051D64"/>
    <w:rsid w:val="00051D90"/>
    <w:rsid w:val="00051E5A"/>
    <w:rsid w:val="00051E96"/>
    <w:rsid w:val="00051EA6"/>
    <w:rsid w:val="00051EBE"/>
    <w:rsid w:val="00051F06"/>
    <w:rsid w:val="0005202B"/>
    <w:rsid w:val="000522C9"/>
    <w:rsid w:val="0005249D"/>
    <w:rsid w:val="000524B6"/>
    <w:rsid w:val="00052559"/>
    <w:rsid w:val="00052598"/>
    <w:rsid w:val="000526DB"/>
    <w:rsid w:val="00052735"/>
    <w:rsid w:val="00052777"/>
    <w:rsid w:val="000527CB"/>
    <w:rsid w:val="000527EA"/>
    <w:rsid w:val="00052841"/>
    <w:rsid w:val="00052881"/>
    <w:rsid w:val="00052956"/>
    <w:rsid w:val="00052B1D"/>
    <w:rsid w:val="00052B29"/>
    <w:rsid w:val="00052BC3"/>
    <w:rsid w:val="00052BDF"/>
    <w:rsid w:val="00052CEA"/>
    <w:rsid w:val="00052D45"/>
    <w:rsid w:val="00052D94"/>
    <w:rsid w:val="00052DC8"/>
    <w:rsid w:val="00052DD6"/>
    <w:rsid w:val="00052E68"/>
    <w:rsid w:val="00052F98"/>
    <w:rsid w:val="00052FCD"/>
    <w:rsid w:val="00053024"/>
    <w:rsid w:val="0005307D"/>
    <w:rsid w:val="000530EC"/>
    <w:rsid w:val="00053105"/>
    <w:rsid w:val="000532C4"/>
    <w:rsid w:val="00053393"/>
    <w:rsid w:val="000533D5"/>
    <w:rsid w:val="0005344F"/>
    <w:rsid w:val="000535B4"/>
    <w:rsid w:val="00053660"/>
    <w:rsid w:val="000536E1"/>
    <w:rsid w:val="00053858"/>
    <w:rsid w:val="00053940"/>
    <w:rsid w:val="0005397B"/>
    <w:rsid w:val="000539AC"/>
    <w:rsid w:val="00053A87"/>
    <w:rsid w:val="00053C6E"/>
    <w:rsid w:val="00053CDC"/>
    <w:rsid w:val="00053D27"/>
    <w:rsid w:val="00053DBE"/>
    <w:rsid w:val="00053E29"/>
    <w:rsid w:val="00053E86"/>
    <w:rsid w:val="00053F9E"/>
    <w:rsid w:val="00054232"/>
    <w:rsid w:val="0005431A"/>
    <w:rsid w:val="0005436C"/>
    <w:rsid w:val="000543CD"/>
    <w:rsid w:val="00054458"/>
    <w:rsid w:val="0005446C"/>
    <w:rsid w:val="0005452C"/>
    <w:rsid w:val="000546CC"/>
    <w:rsid w:val="00054790"/>
    <w:rsid w:val="0005479A"/>
    <w:rsid w:val="000547A1"/>
    <w:rsid w:val="0005481E"/>
    <w:rsid w:val="000549B9"/>
    <w:rsid w:val="00054A47"/>
    <w:rsid w:val="00054ABB"/>
    <w:rsid w:val="00054B07"/>
    <w:rsid w:val="00054C3A"/>
    <w:rsid w:val="00054CC5"/>
    <w:rsid w:val="00054CDC"/>
    <w:rsid w:val="00054DE3"/>
    <w:rsid w:val="00054EBC"/>
    <w:rsid w:val="00054F43"/>
    <w:rsid w:val="00054F6C"/>
    <w:rsid w:val="0005512C"/>
    <w:rsid w:val="0005517B"/>
    <w:rsid w:val="000551F7"/>
    <w:rsid w:val="0005523E"/>
    <w:rsid w:val="00055272"/>
    <w:rsid w:val="00055289"/>
    <w:rsid w:val="000552B8"/>
    <w:rsid w:val="000553CE"/>
    <w:rsid w:val="000553F0"/>
    <w:rsid w:val="00055447"/>
    <w:rsid w:val="000555A1"/>
    <w:rsid w:val="000555DA"/>
    <w:rsid w:val="0005569B"/>
    <w:rsid w:val="000556A9"/>
    <w:rsid w:val="0005570E"/>
    <w:rsid w:val="000559FE"/>
    <w:rsid w:val="00055A89"/>
    <w:rsid w:val="00055B15"/>
    <w:rsid w:val="00055B37"/>
    <w:rsid w:val="00055BA0"/>
    <w:rsid w:val="00055BF7"/>
    <w:rsid w:val="00055C02"/>
    <w:rsid w:val="00055CE6"/>
    <w:rsid w:val="00055D18"/>
    <w:rsid w:val="00055D9C"/>
    <w:rsid w:val="00055DA4"/>
    <w:rsid w:val="00055E9E"/>
    <w:rsid w:val="00055ED4"/>
    <w:rsid w:val="00055F08"/>
    <w:rsid w:val="00055F18"/>
    <w:rsid w:val="00056067"/>
    <w:rsid w:val="0005606F"/>
    <w:rsid w:val="00056118"/>
    <w:rsid w:val="000561DF"/>
    <w:rsid w:val="00056240"/>
    <w:rsid w:val="0005632F"/>
    <w:rsid w:val="00056368"/>
    <w:rsid w:val="00056455"/>
    <w:rsid w:val="0005669D"/>
    <w:rsid w:val="000566CF"/>
    <w:rsid w:val="000566E6"/>
    <w:rsid w:val="00056704"/>
    <w:rsid w:val="0005674B"/>
    <w:rsid w:val="0005681D"/>
    <w:rsid w:val="0005685F"/>
    <w:rsid w:val="000568EA"/>
    <w:rsid w:val="00056914"/>
    <w:rsid w:val="0005694B"/>
    <w:rsid w:val="00056A0E"/>
    <w:rsid w:val="00056A25"/>
    <w:rsid w:val="00056AA1"/>
    <w:rsid w:val="00056B5E"/>
    <w:rsid w:val="00056BE9"/>
    <w:rsid w:val="00056C0E"/>
    <w:rsid w:val="00056C9D"/>
    <w:rsid w:val="00056D09"/>
    <w:rsid w:val="00056E1B"/>
    <w:rsid w:val="00056E42"/>
    <w:rsid w:val="00056E83"/>
    <w:rsid w:val="00057114"/>
    <w:rsid w:val="0005728A"/>
    <w:rsid w:val="000573B9"/>
    <w:rsid w:val="000574A5"/>
    <w:rsid w:val="000574E2"/>
    <w:rsid w:val="000574F6"/>
    <w:rsid w:val="00057523"/>
    <w:rsid w:val="0005756E"/>
    <w:rsid w:val="000576A7"/>
    <w:rsid w:val="000576B6"/>
    <w:rsid w:val="00057712"/>
    <w:rsid w:val="0005779B"/>
    <w:rsid w:val="00057815"/>
    <w:rsid w:val="000578DC"/>
    <w:rsid w:val="00057ABE"/>
    <w:rsid w:val="00057B2B"/>
    <w:rsid w:val="00057B30"/>
    <w:rsid w:val="00057BA9"/>
    <w:rsid w:val="00057C38"/>
    <w:rsid w:val="00057C4A"/>
    <w:rsid w:val="00057C79"/>
    <w:rsid w:val="00057D53"/>
    <w:rsid w:val="00057D5D"/>
    <w:rsid w:val="00057D93"/>
    <w:rsid w:val="00057E63"/>
    <w:rsid w:val="00057F02"/>
    <w:rsid w:val="00057F8A"/>
    <w:rsid w:val="00057F91"/>
    <w:rsid w:val="00057FBF"/>
    <w:rsid w:val="000600FF"/>
    <w:rsid w:val="000601BA"/>
    <w:rsid w:val="000602C2"/>
    <w:rsid w:val="000602EE"/>
    <w:rsid w:val="0006053C"/>
    <w:rsid w:val="00060565"/>
    <w:rsid w:val="0006059E"/>
    <w:rsid w:val="0006064A"/>
    <w:rsid w:val="0006069A"/>
    <w:rsid w:val="00060739"/>
    <w:rsid w:val="000607E1"/>
    <w:rsid w:val="00060924"/>
    <w:rsid w:val="00060A14"/>
    <w:rsid w:val="00060A66"/>
    <w:rsid w:val="00060A85"/>
    <w:rsid w:val="00060B27"/>
    <w:rsid w:val="00060C6B"/>
    <w:rsid w:val="00060CCF"/>
    <w:rsid w:val="00060CFD"/>
    <w:rsid w:val="00060D6C"/>
    <w:rsid w:val="00060E34"/>
    <w:rsid w:val="00060EBE"/>
    <w:rsid w:val="00060F7F"/>
    <w:rsid w:val="00060FF2"/>
    <w:rsid w:val="00061018"/>
    <w:rsid w:val="00061131"/>
    <w:rsid w:val="00061224"/>
    <w:rsid w:val="00061268"/>
    <w:rsid w:val="000614A5"/>
    <w:rsid w:val="000614F4"/>
    <w:rsid w:val="00061756"/>
    <w:rsid w:val="00061779"/>
    <w:rsid w:val="0006178C"/>
    <w:rsid w:val="000617CF"/>
    <w:rsid w:val="0006181A"/>
    <w:rsid w:val="00061869"/>
    <w:rsid w:val="0006190F"/>
    <w:rsid w:val="000619CE"/>
    <w:rsid w:val="00061A14"/>
    <w:rsid w:val="00061A33"/>
    <w:rsid w:val="00061BE5"/>
    <w:rsid w:val="00061C32"/>
    <w:rsid w:val="00061C39"/>
    <w:rsid w:val="00061C6C"/>
    <w:rsid w:val="00061C8C"/>
    <w:rsid w:val="00061E5A"/>
    <w:rsid w:val="00061EA6"/>
    <w:rsid w:val="00061EC0"/>
    <w:rsid w:val="00062144"/>
    <w:rsid w:val="0006223B"/>
    <w:rsid w:val="0006233E"/>
    <w:rsid w:val="00062358"/>
    <w:rsid w:val="000624A0"/>
    <w:rsid w:val="000625FD"/>
    <w:rsid w:val="00062793"/>
    <w:rsid w:val="000628B1"/>
    <w:rsid w:val="00062A04"/>
    <w:rsid w:val="00062A29"/>
    <w:rsid w:val="00062B55"/>
    <w:rsid w:val="00062E99"/>
    <w:rsid w:val="00062ED0"/>
    <w:rsid w:val="00062F8D"/>
    <w:rsid w:val="00062FB9"/>
    <w:rsid w:val="00062FCF"/>
    <w:rsid w:val="000630B1"/>
    <w:rsid w:val="00063165"/>
    <w:rsid w:val="0006317F"/>
    <w:rsid w:val="000631AA"/>
    <w:rsid w:val="00063255"/>
    <w:rsid w:val="000632DF"/>
    <w:rsid w:val="00063486"/>
    <w:rsid w:val="0006348B"/>
    <w:rsid w:val="000634F3"/>
    <w:rsid w:val="0006356F"/>
    <w:rsid w:val="00063587"/>
    <w:rsid w:val="00063603"/>
    <w:rsid w:val="00063630"/>
    <w:rsid w:val="00063633"/>
    <w:rsid w:val="00063722"/>
    <w:rsid w:val="00063840"/>
    <w:rsid w:val="000638FA"/>
    <w:rsid w:val="00063969"/>
    <w:rsid w:val="00063990"/>
    <w:rsid w:val="000639E3"/>
    <w:rsid w:val="00063A03"/>
    <w:rsid w:val="00063A5B"/>
    <w:rsid w:val="00063A91"/>
    <w:rsid w:val="00063B43"/>
    <w:rsid w:val="00063C31"/>
    <w:rsid w:val="00063D16"/>
    <w:rsid w:val="00063E9E"/>
    <w:rsid w:val="00063EB5"/>
    <w:rsid w:val="00063EEE"/>
    <w:rsid w:val="00063EF1"/>
    <w:rsid w:val="00063FF7"/>
    <w:rsid w:val="000640C1"/>
    <w:rsid w:val="00064112"/>
    <w:rsid w:val="00064332"/>
    <w:rsid w:val="000643FB"/>
    <w:rsid w:val="000644F1"/>
    <w:rsid w:val="00064536"/>
    <w:rsid w:val="00064644"/>
    <w:rsid w:val="000646B7"/>
    <w:rsid w:val="000646DA"/>
    <w:rsid w:val="00064740"/>
    <w:rsid w:val="0006482E"/>
    <w:rsid w:val="00064842"/>
    <w:rsid w:val="0006490E"/>
    <w:rsid w:val="00064A25"/>
    <w:rsid w:val="00064A4F"/>
    <w:rsid w:val="00064ADB"/>
    <w:rsid w:val="00064BB6"/>
    <w:rsid w:val="00064BD7"/>
    <w:rsid w:val="00064C2F"/>
    <w:rsid w:val="00064C88"/>
    <w:rsid w:val="00064D42"/>
    <w:rsid w:val="00064D4F"/>
    <w:rsid w:val="00064D60"/>
    <w:rsid w:val="00064DD6"/>
    <w:rsid w:val="00064EE5"/>
    <w:rsid w:val="00064FDF"/>
    <w:rsid w:val="00064FFE"/>
    <w:rsid w:val="00065003"/>
    <w:rsid w:val="000650DE"/>
    <w:rsid w:val="00065236"/>
    <w:rsid w:val="000653EA"/>
    <w:rsid w:val="000654E0"/>
    <w:rsid w:val="00065574"/>
    <w:rsid w:val="00065684"/>
    <w:rsid w:val="000656FB"/>
    <w:rsid w:val="0006576E"/>
    <w:rsid w:val="000657AA"/>
    <w:rsid w:val="000657C1"/>
    <w:rsid w:val="000657EA"/>
    <w:rsid w:val="00065813"/>
    <w:rsid w:val="000658BE"/>
    <w:rsid w:val="000658D0"/>
    <w:rsid w:val="000659A6"/>
    <w:rsid w:val="00065ADE"/>
    <w:rsid w:val="00065BAA"/>
    <w:rsid w:val="00065CC8"/>
    <w:rsid w:val="00065ED9"/>
    <w:rsid w:val="00065F28"/>
    <w:rsid w:val="0006611C"/>
    <w:rsid w:val="000663C4"/>
    <w:rsid w:val="000663FD"/>
    <w:rsid w:val="00066459"/>
    <w:rsid w:val="000664BE"/>
    <w:rsid w:val="000665F1"/>
    <w:rsid w:val="0006666B"/>
    <w:rsid w:val="00066755"/>
    <w:rsid w:val="00066763"/>
    <w:rsid w:val="0006691C"/>
    <w:rsid w:val="00066981"/>
    <w:rsid w:val="00066AC8"/>
    <w:rsid w:val="00066AD2"/>
    <w:rsid w:val="00066B2C"/>
    <w:rsid w:val="00066BD8"/>
    <w:rsid w:val="00066D21"/>
    <w:rsid w:val="00066D61"/>
    <w:rsid w:val="00066E2B"/>
    <w:rsid w:val="00066E77"/>
    <w:rsid w:val="00066E7B"/>
    <w:rsid w:val="00066EF2"/>
    <w:rsid w:val="00067098"/>
    <w:rsid w:val="00067123"/>
    <w:rsid w:val="00067306"/>
    <w:rsid w:val="000673C4"/>
    <w:rsid w:val="000674D4"/>
    <w:rsid w:val="000675AD"/>
    <w:rsid w:val="000675C9"/>
    <w:rsid w:val="000675E0"/>
    <w:rsid w:val="00067668"/>
    <w:rsid w:val="0006766C"/>
    <w:rsid w:val="000676DE"/>
    <w:rsid w:val="00067709"/>
    <w:rsid w:val="000677B8"/>
    <w:rsid w:val="000677D6"/>
    <w:rsid w:val="000679B1"/>
    <w:rsid w:val="00067A7F"/>
    <w:rsid w:val="00067BD9"/>
    <w:rsid w:val="00067C38"/>
    <w:rsid w:val="00067C69"/>
    <w:rsid w:val="00067C7C"/>
    <w:rsid w:val="00067CA2"/>
    <w:rsid w:val="00067DEE"/>
    <w:rsid w:val="00067EA5"/>
    <w:rsid w:val="000700C9"/>
    <w:rsid w:val="000700CD"/>
    <w:rsid w:val="00070298"/>
    <w:rsid w:val="000702A5"/>
    <w:rsid w:val="000702AE"/>
    <w:rsid w:val="000702E8"/>
    <w:rsid w:val="00070333"/>
    <w:rsid w:val="0007039C"/>
    <w:rsid w:val="000704B6"/>
    <w:rsid w:val="000706C5"/>
    <w:rsid w:val="00070779"/>
    <w:rsid w:val="0007083E"/>
    <w:rsid w:val="0007086F"/>
    <w:rsid w:val="00070A20"/>
    <w:rsid w:val="00070A95"/>
    <w:rsid w:val="00070B9D"/>
    <w:rsid w:val="00070DC8"/>
    <w:rsid w:val="00070DD5"/>
    <w:rsid w:val="00070E11"/>
    <w:rsid w:val="00070E61"/>
    <w:rsid w:val="000711DB"/>
    <w:rsid w:val="000711E9"/>
    <w:rsid w:val="0007127D"/>
    <w:rsid w:val="000712DF"/>
    <w:rsid w:val="0007149B"/>
    <w:rsid w:val="00071539"/>
    <w:rsid w:val="00071606"/>
    <w:rsid w:val="000716E6"/>
    <w:rsid w:val="0007171D"/>
    <w:rsid w:val="00071750"/>
    <w:rsid w:val="000717D0"/>
    <w:rsid w:val="000717F5"/>
    <w:rsid w:val="0007198D"/>
    <w:rsid w:val="000719C5"/>
    <w:rsid w:val="000719E5"/>
    <w:rsid w:val="00071B09"/>
    <w:rsid w:val="00071C44"/>
    <w:rsid w:val="00071CCA"/>
    <w:rsid w:val="00071EE6"/>
    <w:rsid w:val="00071F6C"/>
    <w:rsid w:val="00071FE6"/>
    <w:rsid w:val="00072191"/>
    <w:rsid w:val="000721A6"/>
    <w:rsid w:val="000721DF"/>
    <w:rsid w:val="000721F8"/>
    <w:rsid w:val="000723E1"/>
    <w:rsid w:val="000724EF"/>
    <w:rsid w:val="00072544"/>
    <w:rsid w:val="000725EC"/>
    <w:rsid w:val="0007260F"/>
    <w:rsid w:val="00072644"/>
    <w:rsid w:val="00072672"/>
    <w:rsid w:val="000726B6"/>
    <w:rsid w:val="0007280B"/>
    <w:rsid w:val="0007288B"/>
    <w:rsid w:val="0007295B"/>
    <w:rsid w:val="00072A57"/>
    <w:rsid w:val="00072AD9"/>
    <w:rsid w:val="00072B10"/>
    <w:rsid w:val="00072C34"/>
    <w:rsid w:val="00072DA3"/>
    <w:rsid w:val="00072EFC"/>
    <w:rsid w:val="00072F29"/>
    <w:rsid w:val="00072FA5"/>
    <w:rsid w:val="00072FB6"/>
    <w:rsid w:val="00073070"/>
    <w:rsid w:val="00073123"/>
    <w:rsid w:val="000732B0"/>
    <w:rsid w:val="00073372"/>
    <w:rsid w:val="000733DB"/>
    <w:rsid w:val="000733FD"/>
    <w:rsid w:val="00073403"/>
    <w:rsid w:val="00073498"/>
    <w:rsid w:val="000734D5"/>
    <w:rsid w:val="00073626"/>
    <w:rsid w:val="00073636"/>
    <w:rsid w:val="000737AE"/>
    <w:rsid w:val="000737B1"/>
    <w:rsid w:val="00073840"/>
    <w:rsid w:val="00073846"/>
    <w:rsid w:val="00073883"/>
    <w:rsid w:val="000738B0"/>
    <w:rsid w:val="000738BD"/>
    <w:rsid w:val="00073938"/>
    <w:rsid w:val="00073B28"/>
    <w:rsid w:val="00073BA8"/>
    <w:rsid w:val="00073C07"/>
    <w:rsid w:val="00073C29"/>
    <w:rsid w:val="00073C59"/>
    <w:rsid w:val="00073E17"/>
    <w:rsid w:val="00073E81"/>
    <w:rsid w:val="00073F34"/>
    <w:rsid w:val="00073FD6"/>
    <w:rsid w:val="00074053"/>
    <w:rsid w:val="00074055"/>
    <w:rsid w:val="00074145"/>
    <w:rsid w:val="000741C5"/>
    <w:rsid w:val="000741D1"/>
    <w:rsid w:val="000741E5"/>
    <w:rsid w:val="000742CD"/>
    <w:rsid w:val="00074395"/>
    <w:rsid w:val="000743F8"/>
    <w:rsid w:val="0007442D"/>
    <w:rsid w:val="0007446E"/>
    <w:rsid w:val="000744D2"/>
    <w:rsid w:val="00074510"/>
    <w:rsid w:val="00074537"/>
    <w:rsid w:val="00074577"/>
    <w:rsid w:val="00074631"/>
    <w:rsid w:val="00074641"/>
    <w:rsid w:val="00074729"/>
    <w:rsid w:val="0007474F"/>
    <w:rsid w:val="00074988"/>
    <w:rsid w:val="000749D5"/>
    <w:rsid w:val="00074AC8"/>
    <w:rsid w:val="00074AE2"/>
    <w:rsid w:val="00074C6A"/>
    <w:rsid w:val="00074D99"/>
    <w:rsid w:val="00074E9D"/>
    <w:rsid w:val="00074EBD"/>
    <w:rsid w:val="00074F06"/>
    <w:rsid w:val="00074FBC"/>
    <w:rsid w:val="00074FE6"/>
    <w:rsid w:val="00075101"/>
    <w:rsid w:val="0007513A"/>
    <w:rsid w:val="0007516E"/>
    <w:rsid w:val="00075190"/>
    <w:rsid w:val="00075284"/>
    <w:rsid w:val="00075362"/>
    <w:rsid w:val="00075435"/>
    <w:rsid w:val="0007548F"/>
    <w:rsid w:val="00075532"/>
    <w:rsid w:val="00075534"/>
    <w:rsid w:val="000756BB"/>
    <w:rsid w:val="0007571B"/>
    <w:rsid w:val="00075751"/>
    <w:rsid w:val="0007577F"/>
    <w:rsid w:val="000757FD"/>
    <w:rsid w:val="00075822"/>
    <w:rsid w:val="00075834"/>
    <w:rsid w:val="0007586C"/>
    <w:rsid w:val="00075921"/>
    <w:rsid w:val="00075927"/>
    <w:rsid w:val="00075B21"/>
    <w:rsid w:val="00075BF9"/>
    <w:rsid w:val="00075C40"/>
    <w:rsid w:val="00075CC2"/>
    <w:rsid w:val="00075CD7"/>
    <w:rsid w:val="00075E19"/>
    <w:rsid w:val="00075E58"/>
    <w:rsid w:val="00075F39"/>
    <w:rsid w:val="00076000"/>
    <w:rsid w:val="00076358"/>
    <w:rsid w:val="0007644E"/>
    <w:rsid w:val="0007648B"/>
    <w:rsid w:val="00076490"/>
    <w:rsid w:val="000764C7"/>
    <w:rsid w:val="0007666A"/>
    <w:rsid w:val="000766A5"/>
    <w:rsid w:val="0007692A"/>
    <w:rsid w:val="00076995"/>
    <w:rsid w:val="000769BC"/>
    <w:rsid w:val="000769C6"/>
    <w:rsid w:val="000769D8"/>
    <w:rsid w:val="00076A08"/>
    <w:rsid w:val="00076A1D"/>
    <w:rsid w:val="00076A25"/>
    <w:rsid w:val="00076A2E"/>
    <w:rsid w:val="00076AB6"/>
    <w:rsid w:val="00076C11"/>
    <w:rsid w:val="00076C23"/>
    <w:rsid w:val="00076C33"/>
    <w:rsid w:val="00076C56"/>
    <w:rsid w:val="00076CD6"/>
    <w:rsid w:val="00076DEB"/>
    <w:rsid w:val="00076E73"/>
    <w:rsid w:val="00076E99"/>
    <w:rsid w:val="00076EA0"/>
    <w:rsid w:val="00077048"/>
    <w:rsid w:val="00077165"/>
    <w:rsid w:val="0007716D"/>
    <w:rsid w:val="0007721F"/>
    <w:rsid w:val="00077451"/>
    <w:rsid w:val="000774AD"/>
    <w:rsid w:val="00077561"/>
    <w:rsid w:val="000776F6"/>
    <w:rsid w:val="0007785E"/>
    <w:rsid w:val="000778D3"/>
    <w:rsid w:val="00077966"/>
    <w:rsid w:val="000779F2"/>
    <w:rsid w:val="00077B8C"/>
    <w:rsid w:val="00077BF1"/>
    <w:rsid w:val="00077C2A"/>
    <w:rsid w:val="00077C3C"/>
    <w:rsid w:val="00077C70"/>
    <w:rsid w:val="00077C92"/>
    <w:rsid w:val="00077CAF"/>
    <w:rsid w:val="00077D49"/>
    <w:rsid w:val="00077DC5"/>
    <w:rsid w:val="00077DDD"/>
    <w:rsid w:val="00077E0D"/>
    <w:rsid w:val="00077E80"/>
    <w:rsid w:val="00077EBB"/>
    <w:rsid w:val="00077F1E"/>
    <w:rsid w:val="0007FAA7"/>
    <w:rsid w:val="00080011"/>
    <w:rsid w:val="00080031"/>
    <w:rsid w:val="0008007D"/>
    <w:rsid w:val="0008015F"/>
    <w:rsid w:val="00080223"/>
    <w:rsid w:val="000802C7"/>
    <w:rsid w:val="000802FE"/>
    <w:rsid w:val="00080543"/>
    <w:rsid w:val="000805F3"/>
    <w:rsid w:val="000805FA"/>
    <w:rsid w:val="00080751"/>
    <w:rsid w:val="00080756"/>
    <w:rsid w:val="00080761"/>
    <w:rsid w:val="00080776"/>
    <w:rsid w:val="00080838"/>
    <w:rsid w:val="000808C9"/>
    <w:rsid w:val="00080AE8"/>
    <w:rsid w:val="00080B0E"/>
    <w:rsid w:val="00080CAE"/>
    <w:rsid w:val="00080CE8"/>
    <w:rsid w:val="00080D09"/>
    <w:rsid w:val="00080D2E"/>
    <w:rsid w:val="00080D67"/>
    <w:rsid w:val="00080D87"/>
    <w:rsid w:val="00080EC1"/>
    <w:rsid w:val="00080F0B"/>
    <w:rsid w:val="00080F26"/>
    <w:rsid w:val="00080F7C"/>
    <w:rsid w:val="00080FB9"/>
    <w:rsid w:val="00081269"/>
    <w:rsid w:val="000812B7"/>
    <w:rsid w:val="0008135F"/>
    <w:rsid w:val="00081365"/>
    <w:rsid w:val="000813BC"/>
    <w:rsid w:val="000813E9"/>
    <w:rsid w:val="0008146F"/>
    <w:rsid w:val="000814C1"/>
    <w:rsid w:val="00081657"/>
    <w:rsid w:val="00081751"/>
    <w:rsid w:val="0008178A"/>
    <w:rsid w:val="0008188F"/>
    <w:rsid w:val="00081915"/>
    <w:rsid w:val="00081940"/>
    <w:rsid w:val="000819D3"/>
    <w:rsid w:val="000819E3"/>
    <w:rsid w:val="000819FF"/>
    <w:rsid w:val="00081AE0"/>
    <w:rsid w:val="00081BC7"/>
    <w:rsid w:val="00081BD9"/>
    <w:rsid w:val="00081CE0"/>
    <w:rsid w:val="00081D80"/>
    <w:rsid w:val="00081E83"/>
    <w:rsid w:val="00081F7E"/>
    <w:rsid w:val="00081FDB"/>
    <w:rsid w:val="00082167"/>
    <w:rsid w:val="000821D5"/>
    <w:rsid w:val="000822AA"/>
    <w:rsid w:val="000823A7"/>
    <w:rsid w:val="000824D9"/>
    <w:rsid w:val="000825A6"/>
    <w:rsid w:val="000826C1"/>
    <w:rsid w:val="000826DF"/>
    <w:rsid w:val="00082735"/>
    <w:rsid w:val="000829B4"/>
    <w:rsid w:val="000829F4"/>
    <w:rsid w:val="00082C75"/>
    <w:rsid w:val="00082D9B"/>
    <w:rsid w:val="00082E79"/>
    <w:rsid w:val="00082F0C"/>
    <w:rsid w:val="00082F54"/>
    <w:rsid w:val="00082F9B"/>
    <w:rsid w:val="000830A5"/>
    <w:rsid w:val="0008315F"/>
    <w:rsid w:val="00083163"/>
    <w:rsid w:val="00083182"/>
    <w:rsid w:val="00083326"/>
    <w:rsid w:val="00083377"/>
    <w:rsid w:val="000835BC"/>
    <w:rsid w:val="00083637"/>
    <w:rsid w:val="0008365A"/>
    <w:rsid w:val="00083739"/>
    <w:rsid w:val="0008374A"/>
    <w:rsid w:val="000837D6"/>
    <w:rsid w:val="000837F0"/>
    <w:rsid w:val="000838D5"/>
    <w:rsid w:val="000839AA"/>
    <w:rsid w:val="00083C39"/>
    <w:rsid w:val="00083C98"/>
    <w:rsid w:val="00083D5C"/>
    <w:rsid w:val="00083D7C"/>
    <w:rsid w:val="00083D99"/>
    <w:rsid w:val="00083E98"/>
    <w:rsid w:val="00083FC1"/>
    <w:rsid w:val="0008401D"/>
    <w:rsid w:val="00084192"/>
    <w:rsid w:val="000841ED"/>
    <w:rsid w:val="0008426C"/>
    <w:rsid w:val="000842AB"/>
    <w:rsid w:val="000842E8"/>
    <w:rsid w:val="00084319"/>
    <w:rsid w:val="000843DA"/>
    <w:rsid w:val="000843E2"/>
    <w:rsid w:val="0008454B"/>
    <w:rsid w:val="000845F4"/>
    <w:rsid w:val="000846E0"/>
    <w:rsid w:val="000847A1"/>
    <w:rsid w:val="000847C2"/>
    <w:rsid w:val="0008481D"/>
    <w:rsid w:val="000848E2"/>
    <w:rsid w:val="0008494B"/>
    <w:rsid w:val="0008498E"/>
    <w:rsid w:val="000849D6"/>
    <w:rsid w:val="00084A9C"/>
    <w:rsid w:val="00084B7A"/>
    <w:rsid w:val="00084C97"/>
    <w:rsid w:val="00084D58"/>
    <w:rsid w:val="00084DA1"/>
    <w:rsid w:val="00084EBE"/>
    <w:rsid w:val="00084EE3"/>
    <w:rsid w:val="00084F83"/>
    <w:rsid w:val="0008508B"/>
    <w:rsid w:val="000850A3"/>
    <w:rsid w:val="000851B0"/>
    <w:rsid w:val="00085239"/>
    <w:rsid w:val="0008535D"/>
    <w:rsid w:val="000853A5"/>
    <w:rsid w:val="00085538"/>
    <w:rsid w:val="0008554D"/>
    <w:rsid w:val="000855D1"/>
    <w:rsid w:val="00085803"/>
    <w:rsid w:val="00085873"/>
    <w:rsid w:val="00085899"/>
    <w:rsid w:val="0008597A"/>
    <w:rsid w:val="00085AD5"/>
    <w:rsid w:val="00085B83"/>
    <w:rsid w:val="00085C15"/>
    <w:rsid w:val="00085C1E"/>
    <w:rsid w:val="00085C36"/>
    <w:rsid w:val="00085CF0"/>
    <w:rsid w:val="00085DDF"/>
    <w:rsid w:val="00085E0F"/>
    <w:rsid w:val="00085E24"/>
    <w:rsid w:val="00085E58"/>
    <w:rsid w:val="00085E93"/>
    <w:rsid w:val="00085F5D"/>
    <w:rsid w:val="00085FD3"/>
    <w:rsid w:val="00085FF0"/>
    <w:rsid w:val="00086008"/>
    <w:rsid w:val="00086156"/>
    <w:rsid w:val="00086191"/>
    <w:rsid w:val="000861EC"/>
    <w:rsid w:val="00086294"/>
    <w:rsid w:val="0008655A"/>
    <w:rsid w:val="00086631"/>
    <w:rsid w:val="00086675"/>
    <w:rsid w:val="000867DE"/>
    <w:rsid w:val="00086827"/>
    <w:rsid w:val="00086840"/>
    <w:rsid w:val="00086992"/>
    <w:rsid w:val="00086A01"/>
    <w:rsid w:val="00086AA6"/>
    <w:rsid w:val="00086BF8"/>
    <w:rsid w:val="00086CA8"/>
    <w:rsid w:val="00086D9D"/>
    <w:rsid w:val="00086DCF"/>
    <w:rsid w:val="00086EAF"/>
    <w:rsid w:val="00086F1C"/>
    <w:rsid w:val="00087028"/>
    <w:rsid w:val="00087179"/>
    <w:rsid w:val="000871DE"/>
    <w:rsid w:val="00087265"/>
    <w:rsid w:val="0008726D"/>
    <w:rsid w:val="00087429"/>
    <w:rsid w:val="00087477"/>
    <w:rsid w:val="00087586"/>
    <w:rsid w:val="000876DB"/>
    <w:rsid w:val="000876EA"/>
    <w:rsid w:val="00087819"/>
    <w:rsid w:val="000878CA"/>
    <w:rsid w:val="000879BE"/>
    <w:rsid w:val="000879C2"/>
    <w:rsid w:val="00087A42"/>
    <w:rsid w:val="00087B09"/>
    <w:rsid w:val="00087B8B"/>
    <w:rsid w:val="00087B91"/>
    <w:rsid w:val="00087C96"/>
    <w:rsid w:val="00087D6A"/>
    <w:rsid w:val="00087D7C"/>
    <w:rsid w:val="00087DA1"/>
    <w:rsid w:val="00087DA8"/>
    <w:rsid w:val="00087DAF"/>
    <w:rsid w:val="00087FBB"/>
    <w:rsid w:val="000902E8"/>
    <w:rsid w:val="0009039C"/>
    <w:rsid w:val="000904B5"/>
    <w:rsid w:val="00090657"/>
    <w:rsid w:val="00090677"/>
    <w:rsid w:val="000907AF"/>
    <w:rsid w:val="00090848"/>
    <w:rsid w:val="0009090B"/>
    <w:rsid w:val="0009098A"/>
    <w:rsid w:val="000909DA"/>
    <w:rsid w:val="00090A03"/>
    <w:rsid w:val="00090A11"/>
    <w:rsid w:val="00090AA4"/>
    <w:rsid w:val="00090C03"/>
    <w:rsid w:val="00090C8D"/>
    <w:rsid w:val="00090D77"/>
    <w:rsid w:val="00090DB7"/>
    <w:rsid w:val="00090EB2"/>
    <w:rsid w:val="00090ED1"/>
    <w:rsid w:val="00090F46"/>
    <w:rsid w:val="00090FAA"/>
    <w:rsid w:val="00091006"/>
    <w:rsid w:val="00091023"/>
    <w:rsid w:val="0009104E"/>
    <w:rsid w:val="00091103"/>
    <w:rsid w:val="000911A3"/>
    <w:rsid w:val="0009123A"/>
    <w:rsid w:val="00091331"/>
    <w:rsid w:val="000914BD"/>
    <w:rsid w:val="0009154E"/>
    <w:rsid w:val="00091572"/>
    <w:rsid w:val="00091605"/>
    <w:rsid w:val="00091683"/>
    <w:rsid w:val="00091691"/>
    <w:rsid w:val="000916B4"/>
    <w:rsid w:val="000916D6"/>
    <w:rsid w:val="000916F4"/>
    <w:rsid w:val="0009193D"/>
    <w:rsid w:val="0009195D"/>
    <w:rsid w:val="000919A5"/>
    <w:rsid w:val="00091A18"/>
    <w:rsid w:val="00091AE5"/>
    <w:rsid w:val="00091B77"/>
    <w:rsid w:val="00091BAC"/>
    <w:rsid w:val="00091BF2"/>
    <w:rsid w:val="00091BFB"/>
    <w:rsid w:val="00091D19"/>
    <w:rsid w:val="00091DB2"/>
    <w:rsid w:val="00091EB6"/>
    <w:rsid w:val="00092064"/>
    <w:rsid w:val="00092066"/>
    <w:rsid w:val="00092315"/>
    <w:rsid w:val="00092372"/>
    <w:rsid w:val="000923C0"/>
    <w:rsid w:val="00092433"/>
    <w:rsid w:val="000926B8"/>
    <w:rsid w:val="00092865"/>
    <w:rsid w:val="00092870"/>
    <w:rsid w:val="00092895"/>
    <w:rsid w:val="000928C4"/>
    <w:rsid w:val="0009292E"/>
    <w:rsid w:val="00092930"/>
    <w:rsid w:val="00092A4D"/>
    <w:rsid w:val="00092B62"/>
    <w:rsid w:val="00092C1C"/>
    <w:rsid w:val="00092D9E"/>
    <w:rsid w:val="00092E0A"/>
    <w:rsid w:val="00092E82"/>
    <w:rsid w:val="00092EA0"/>
    <w:rsid w:val="00092ECC"/>
    <w:rsid w:val="00093051"/>
    <w:rsid w:val="0009308A"/>
    <w:rsid w:val="0009319A"/>
    <w:rsid w:val="00093223"/>
    <w:rsid w:val="000932D4"/>
    <w:rsid w:val="00093331"/>
    <w:rsid w:val="00093373"/>
    <w:rsid w:val="000933FC"/>
    <w:rsid w:val="000934FD"/>
    <w:rsid w:val="00093506"/>
    <w:rsid w:val="00093571"/>
    <w:rsid w:val="00093886"/>
    <w:rsid w:val="00093B87"/>
    <w:rsid w:val="00093C43"/>
    <w:rsid w:val="00093CF3"/>
    <w:rsid w:val="00093E30"/>
    <w:rsid w:val="00093EE3"/>
    <w:rsid w:val="00093F93"/>
    <w:rsid w:val="00093F98"/>
    <w:rsid w:val="00093FB9"/>
    <w:rsid w:val="00093FCA"/>
    <w:rsid w:val="00094010"/>
    <w:rsid w:val="000940EC"/>
    <w:rsid w:val="00094131"/>
    <w:rsid w:val="000941BF"/>
    <w:rsid w:val="000942A7"/>
    <w:rsid w:val="000942EF"/>
    <w:rsid w:val="0009444F"/>
    <w:rsid w:val="000944B2"/>
    <w:rsid w:val="000945A7"/>
    <w:rsid w:val="00094622"/>
    <w:rsid w:val="000946C9"/>
    <w:rsid w:val="00094732"/>
    <w:rsid w:val="00094816"/>
    <w:rsid w:val="0009484C"/>
    <w:rsid w:val="0009488F"/>
    <w:rsid w:val="0009490D"/>
    <w:rsid w:val="00094A07"/>
    <w:rsid w:val="00094A3A"/>
    <w:rsid w:val="00094A94"/>
    <w:rsid w:val="00094C6D"/>
    <w:rsid w:val="00094D8D"/>
    <w:rsid w:val="00094DBA"/>
    <w:rsid w:val="00095033"/>
    <w:rsid w:val="000950A5"/>
    <w:rsid w:val="0009518B"/>
    <w:rsid w:val="000951C9"/>
    <w:rsid w:val="000951E7"/>
    <w:rsid w:val="000952FB"/>
    <w:rsid w:val="00095442"/>
    <w:rsid w:val="000955A4"/>
    <w:rsid w:val="00095661"/>
    <w:rsid w:val="0009576E"/>
    <w:rsid w:val="000957C9"/>
    <w:rsid w:val="000957E1"/>
    <w:rsid w:val="00095864"/>
    <w:rsid w:val="000958CF"/>
    <w:rsid w:val="000958DD"/>
    <w:rsid w:val="00095991"/>
    <w:rsid w:val="0009599E"/>
    <w:rsid w:val="000959C6"/>
    <w:rsid w:val="000959CB"/>
    <w:rsid w:val="00095A99"/>
    <w:rsid w:val="00095B1E"/>
    <w:rsid w:val="00095BF2"/>
    <w:rsid w:val="00095CED"/>
    <w:rsid w:val="00095CF5"/>
    <w:rsid w:val="00095D3A"/>
    <w:rsid w:val="00095D5F"/>
    <w:rsid w:val="00095E18"/>
    <w:rsid w:val="00095E6B"/>
    <w:rsid w:val="00095EEB"/>
    <w:rsid w:val="00095FD5"/>
    <w:rsid w:val="00095FFA"/>
    <w:rsid w:val="00096083"/>
    <w:rsid w:val="000960E8"/>
    <w:rsid w:val="0009616E"/>
    <w:rsid w:val="0009624A"/>
    <w:rsid w:val="00096261"/>
    <w:rsid w:val="0009641A"/>
    <w:rsid w:val="0009644D"/>
    <w:rsid w:val="000964EC"/>
    <w:rsid w:val="00096508"/>
    <w:rsid w:val="000965CE"/>
    <w:rsid w:val="000966B3"/>
    <w:rsid w:val="0009673D"/>
    <w:rsid w:val="00096798"/>
    <w:rsid w:val="000967B3"/>
    <w:rsid w:val="00096815"/>
    <w:rsid w:val="00096A29"/>
    <w:rsid w:val="00096A3C"/>
    <w:rsid w:val="00096A45"/>
    <w:rsid w:val="00096C42"/>
    <w:rsid w:val="00096C46"/>
    <w:rsid w:val="00096C69"/>
    <w:rsid w:val="00096C92"/>
    <w:rsid w:val="00096DF6"/>
    <w:rsid w:val="00096F10"/>
    <w:rsid w:val="00096F15"/>
    <w:rsid w:val="00096FD3"/>
    <w:rsid w:val="00097160"/>
    <w:rsid w:val="000971B3"/>
    <w:rsid w:val="000971F2"/>
    <w:rsid w:val="0009736B"/>
    <w:rsid w:val="00097377"/>
    <w:rsid w:val="0009740C"/>
    <w:rsid w:val="000975CE"/>
    <w:rsid w:val="000975EF"/>
    <w:rsid w:val="000976BF"/>
    <w:rsid w:val="000976C5"/>
    <w:rsid w:val="0009772F"/>
    <w:rsid w:val="000977BB"/>
    <w:rsid w:val="00097810"/>
    <w:rsid w:val="00097A81"/>
    <w:rsid w:val="00097C2D"/>
    <w:rsid w:val="00097E76"/>
    <w:rsid w:val="00097E9E"/>
    <w:rsid w:val="00097F2D"/>
    <w:rsid w:val="00097F3F"/>
    <w:rsid w:val="00097F96"/>
    <w:rsid w:val="00097FAB"/>
    <w:rsid w:val="00097FE6"/>
    <w:rsid w:val="000A003E"/>
    <w:rsid w:val="000A003F"/>
    <w:rsid w:val="000A00A7"/>
    <w:rsid w:val="000A014A"/>
    <w:rsid w:val="000A0180"/>
    <w:rsid w:val="000A0399"/>
    <w:rsid w:val="000A03FB"/>
    <w:rsid w:val="000A05EA"/>
    <w:rsid w:val="000A0649"/>
    <w:rsid w:val="000A065F"/>
    <w:rsid w:val="000A0799"/>
    <w:rsid w:val="000A07C8"/>
    <w:rsid w:val="000A08D4"/>
    <w:rsid w:val="000A0944"/>
    <w:rsid w:val="000A094C"/>
    <w:rsid w:val="000A09AF"/>
    <w:rsid w:val="000A0A48"/>
    <w:rsid w:val="000A0B1B"/>
    <w:rsid w:val="000A0B52"/>
    <w:rsid w:val="000A0B55"/>
    <w:rsid w:val="000A0BF6"/>
    <w:rsid w:val="000A0C34"/>
    <w:rsid w:val="000A0CD8"/>
    <w:rsid w:val="000A0E10"/>
    <w:rsid w:val="000A0EFC"/>
    <w:rsid w:val="000A0EFF"/>
    <w:rsid w:val="000A0F7B"/>
    <w:rsid w:val="000A0FB9"/>
    <w:rsid w:val="000A1155"/>
    <w:rsid w:val="000A115E"/>
    <w:rsid w:val="000A12E7"/>
    <w:rsid w:val="000A131B"/>
    <w:rsid w:val="000A143B"/>
    <w:rsid w:val="000A154A"/>
    <w:rsid w:val="000A15C1"/>
    <w:rsid w:val="000A1652"/>
    <w:rsid w:val="000A16F5"/>
    <w:rsid w:val="000A1723"/>
    <w:rsid w:val="000A1766"/>
    <w:rsid w:val="000A186E"/>
    <w:rsid w:val="000A186F"/>
    <w:rsid w:val="000A18CD"/>
    <w:rsid w:val="000A18CE"/>
    <w:rsid w:val="000A1A88"/>
    <w:rsid w:val="000A1B33"/>
    <w:rsid w:val="000A1B78"/>
    <w:rsid w:val="000A1BE7"/>
    <w:rsid w:val="000A1C0C"/>
    <w:rsid w:val="000A1C24"/>
    <w:rsid w:val="000A1C78"/>
    <w:rsid w:val="000A1C9D"/>
    <w:rsid w:val="000A1CB8"/>
    <w:rsid w:val="000A1CE2"/>
    <w:rsid w:val="000A1CFA"/>
    <w:rsid w:val="000A1D49"/>
    <w:rsid w:val="000A1D65"/>
    <w:rsid w:val="000A1D98"/>
    <w:rsid w:val="000A1E5A"/>
    <w:rsid w:val="000A1F4A"/>
    <w:rsid w:val="000A1FFC"/>
    <w:rsid w:val="000A226B"/>
    <w:rsid w:val="000A2274"/>
    <w:rsid w:val="000A23AE"/>
    <w:rsid w:val="000A241D"/>
    <w:rsid w:val="000A25A5"/>
    <w:rsid w:val="000A26D6"/>
    <w:rsid w:val="000A29C5"/>
    <w:rsid w:val="000A2A1E"/>
    <w:rsid w:val="000A2B1B"/>
    <w:rsid w:val="000A2B9F"/>
    <w:rsid w:val="000A2BAE"/>
    <w:rsid w:val="000A2CBE"/>
    <w:rsid w:val="000A2CC9"/>
    <w:rsid w:val="000A2DAF"/>
    <w:rsid w:val="000A2E21"/>
    <w:rsid w:val="000A30F8"/>
    <w:rsid w:val="000A319B"/>
    <w:rsid w:val="000A31E7"/>
    <w:rsid w:val="000A3298"/>
    <w:rsid w:val="000A343B"/>
    <w:rsid w:val="000A3468"/>
    <w:rsid w:val="000A35E3"/>
    <w:rsid w:val="000A3634"/>
    <w:rsid w:val="000A368A"/>
    <w:rsid w:val="000A375D"/>
    <w:rsid w:val="000A379C"/>
    <w:rsid w:val="000A38BA"/>
    <w:rsid w:val="000A3AE1"/>
    <w:rsid w:val="000A3BEB"/>
    <w:rsid w:val="000A3BF8"/>
    <w:rsid w:val="000A3D96"/>
    <w:rsid w:val="000A3DDE"/>
    <w:rsid w:val="000A3EB7"/>
    <w:rsid w:val="000A3EC5"/>
    <w:rsid w:val="000A3F5A"/>
    <w:rsid w:val="000A3F88"/>
    <w:rsid w:val="000A40E7"/>
    <w:rsid w:val="000A4241"/>
    <w:rsid w:val="000A429C"/>
    <w:rsid w:val="000A43A8"/>
    <w:rsid w:val="000A4502"/>
    <w:rsid w:val="000A4530"/>
    <w:rsid w:val="000A453F"/>
    <w:rsid w:val="000A4636"/>
    <w:rsid w:val="000A4680"/>
    <w:rsid w:val="000A4698"/>
    <w:rsid w:val="000A4740"/>
    <w:rsid w:val="000A4862"/>
    <w:rsid w:val="000A4901"/>
    <w:rsid w:val="000A4987"/>
    <w:rsid w:val="000A4993"/>
    <w:rsid w:val="000A4B3B"/>
    <w:rsid w:val="000A4BA9"/>
    <w:rsid w:val="000A4C60"/>
    <w:rsid w:val="000A4DE9"/>
    <w:rsid w:val="000A4E72"/>
    <w:rsid w:val="000A4EE5"/>
    <w:rsid w:val="000A51E8"/>
    <w:rsid w:val="000A5244"/>
    <w:rsid w:val="000A5344"/>
    <w:rsid w:val="000A5536"/>
    <w:rsid w:val="000A5599"/>
    <w:rsid w:val="000A5681"/>
    <w:rsid w:val="000A56A6"/>
    <w:rsid w:val="000A5704"/>
    <w:rsid w:val="000A5778"/>
    <w:rsid w:val="000A5802"/>
    <w:rsid w:val="000A5806"/>
    <w:rsid w:val="000A586A"/>
    <w:rsid w:val="000A5898"/>
    <w:rsid w:val="000A5952"/>
    <w:rsid w:val="000A5962"/>
    <w:rsid w:val="000A59A0"/>
    <w:rsid w:val="000A5A4B"/>
    <w:rsid w:val="000A5AD0"/>
    <w:rsid w:val="000A5B7B"/>
    <w:rsid w:val="000A5CF1"/>
    <w:rsid w:val="000A5E24"/>
    <w:rsid w:val="000A5E71"/>
    <w:rsid w:val="000A5EEF"/>
    <w:rsid w:val="000A5F48"/>
    <w:rsid w:val="000A6052"/>
    <w:rsid w:val="000A6078"/>
    <w:rsid w:val="000A60C0"/>
    <w:rsid w:val="000A60E8"/>
    <w:rsid w:val="000A60FC"/>
    <w:rsid w:val="000A6219"/>
    <w:rsid w:val="000A6230"/>
    <w:rsid w:val="000A629A"/>
    <w:rsid w:val="000A6331"/>
    <w:rsid w:val="000A63BE"/>
    <w:rsid w:val="000A63F6"/>
    <w:rsid w:val="000A6477"/>
    <w:rsid w:val="000A64A5"/>
    <w:rsid w:val="000A64A6"/>
    <w:rsid w:val="000A655E"/>
    <w:rsid w:val="000A66D1"/>
    <w:rsid w:val="000A66DB"/>
    <w:rsid w:val="000A67AF"/>
    <w:rsid w:val="000A682C"/>
    <w:rsid w:val="000A684E"/>
    <w:rsid w:val="000A698C"/>
    <w:rsid w:val="000A699B"/>
    <w:rsid w:val="000A69D3"/>
    <w:rsid w:val="000A6A43"/>
    <w:rsid w:val="000A6A66"/>
    <w:rsid w:val="000A6ADC"/>
    <w:rsid w:val="000A6B3F"/>
    <w:rsid w:val="000A6B8E"/>
    <w:rsid w:val="000A6C12"/>
    <w:rsid w:val="000A6C1A"/>
    <w:rsid w:val="000A6D20"/>
    <w:rsid w:val="000A6D85"/>
    <w:rsid w:val="000A6DBB"/>
    <w:rsid w:val="000A6DC1"/>
    <w:rsid w:val="000A6DF6"/>
    <w:rsid w:val="000A6E74"/>
    <w:rsid w:val="000A6FB4"/>
    <w:rsid w:val="000A6FD2"/>
    <w:rsid w:val="000A70F7"/>
    <w:rsid w:val="000A7156"/>
    <w:rsid w:val="000A71A9"/>
    <w:rsid w:val="000A71D3"/>
    <w:rsid w:val="000A7312"/>
    <w:rsid w:val="000A7395"/>
    <w:rsid w:val="000A748D"/>
    <w:rsid w:val="000A7492"/>
    <w:rsid w:val="000A74B8"/>
    <w:rsid w:val="000A757B"/>
    <w:rsid w:val="000A765F"/>
    <w:rsid w:val="000A769C"/>
    <w:rsid w:val="000A7705"/>
    <w:rsid w:val="000A7749"/>
    <w:rsid w:val="000A77DF"/>
    <w:rsid w:val="000A7852"/>
    <w:rsid w:val="000A7975"/>
    <w:rsid w:val="000A79CA"/>
    <w:rsid w:val="000A7A29"/>
    <w:rsid w:val="000A7B21"/>
    <w:rsid w:val="000A7BC6"/>
    <w:rsid w:val="000A7C95"/>
    <w:rsid w:val="000A7D27"/>
    <w:rsid w:val="000A7D2F"/>
    <w:rsid w:val="000A7E8E"/>
    <w:rsid w:val="000A7F58"/>
    <w:rsid w:val="000A7FB3"/>
    <w:rsid w:val="000A7FF7"/>
    <w:rsid w:val="000B004C"/>
    <w:rsid w:val="000B00AA"/>
    <w:rsid w:val="000B00ED"/>
    <w:rsid w:val="000B015C"/>
    <w:rsid w:val="000B031F"/>
    <w:rsid w:val="000B0349"/>
    <w:rsid w:val="000B034C"/>
    <w:rsid w:val="000B043B"/>
    <w:rsid w:val="000B04F6"/>
    <w:rsid w:val="000B05B4"/>
    <w:rsid w:val="000B0633"/>
    <w:rsid w:val="000B06E4"/>
    <w:rsid w:val="000B0725"/>
    <w:rsid w:val="000B0906"/>
    <w:rsid w:val="000B090F"/>
    <w:rsid w:val="000B09E1"/>
    <w:rsid w:val="000B0B36"/>
    <w:rsid w:val="000B0BB2"/>
    <w:rsid w:val="000B0C1B"/>
    <w:rsid w:val="000B0DD7"/>
    <w:rsid w:val="000B0E34"/>
    <w:rsid w:val="000B0E39"/>
    <w:rsid w:val="000B0F11"/>
    <w:rsid w:val="000B0F1A"/>
    <w:rsid w:val="000B109E"/>
    <w:rsid w:val="000B1103"/>
    <w:rsid w:val="000B1106"/>
    <w:rsid w:val="000B11E7"/>
    <w:rsid w:val="000B12BF"/>
    <w:rsid w:val="000B13A3"/>
    <w:rsid w:val="000B13F2"/>
    <w:rsid w:val="000B145B"/>
    <w:rsid w:val="000B153C"/>
    <w:rsid w:val="000B15B9"/>
    <w:rsid w:val="000B15DD"/>
    <w:rsid w:val="000B168C"/>
    <w:rsid w:val="000B1711"/>
    <w:rsid w:val="000B174A"/>
    <w:rsid w:val="000B17AA"/>
    <w:rsid w:val="000B1A08"/>
    <w:rsid w:val="000B1AF5"/>
    <w:rsid w:val="000B1B23"/>
    <w:rsid w:val="000B1B26"/>
    <w:rsid w:val="000B1BD4"/>
    <w:rsid w:val="000B1BD7"/>
    <w:rsid w:val="000B1C76"/>
    <w:rsid w:val="000B1CE9"/>
    <w:rsid w:val="000B1D5C"/>
    <w:rsid w:val="000B1E69"/>
    <w:rsid w:val="000B1EB4"/>
    <w:rsid w:val="000B20A1"/>
    <w:rsid w:val="000B20BB"/>
    <w:rsid w:val="000B22E8"/>
    <w:rsid w:val="000B22F4"/>
    <w:rsid w:val="000B232C"/>
    <w:rsid w:val="000B234D"/>
    <w:rsid w:val="000B237B"/>
    <w:rsid w:val="000B2387"/>
    <w:rsid w:val="000B24EB"/>
    <w:rsid w:val="000B2624"/>
    <w:rsid w:val="000B271A"/>
    <w:rsid w:val="000B278D"/>
    <w:rsid w:val="000B27F7"/>
    <w:rsid w:val="000B2AEF"/>
    <w:rsid w:val="000B2B54"/>
    <w:rsid w:val="000B2B69"/>
    <w:rsid w:val="000B2C4C"/>
    <w:rsid w:val="000B2C52"/>
    <w:rsid w:val="000B2CFC"/>
    <w:rsid w:val="000B2D51"/>
    <w:rsid w:val="000B2D7A"/>
    <w:rsid w:val="000B2E3F"/>
    <w:rsid w:val="000B2E49"/>
    <w:rsid w:val="000B2F9E"/>
    <w:rsid w:val="000B32AC"/>
    <w:rsid w:val="000B3333"/>
    <w:rsid w:val="000B334A"/>
    <w:rsid w:val="000B3414"/>
    <w:rsid w:val="000B353D"/>
    <w:rsid w:val="000B3585"/>
    <w:rsid w:val="000B35F0"/>
    <w:rsid w:val="000B3622"/>
    <w:rsid w:val="000B3767"/>
    <w:rsid w:val="000B381A"/>
    <w:rsid w:val="000B38A8"/>
    <w:rsid w:val="000B3902"/>
    <w:rsid w:val="000B39C6"/>
    <w:rsid w:val="000B3AB1"/>
    <w:rsid w:val="000B3AD1"/>
    <w:rsid w:val="000B3C00"/>
    <w:rsid w:val="000B3C9C"/>
    <w:rsid w:val="000B3E43"/>
    <w:rsid w:val="000B3EBA"/>
    <w:rsid w:val="000B3F58"/>
    <w:rsid w:val="000B3F6F"/>
    <w:rsid w:val="000B3FC0"/>
    <w:rsid w:val="000B4014"/>
    <w:rsid w:val="000B4031"/>
    <w:rsid w:val="000B4083"/>
    <w:rsid w:val="000B413D"/>
    <w:rsid w:val="000B418A"/>
    <w:rsid w:val="000B41A0"/>
    <w:rsid w:val="000B4217"/>
    <w:rsid w:val="000B433A"/>
    <w:rsid w:val="000B43E1"/>
    <w:rsid w:val="000B4423"/>
    <w:rsid w:val="000B458D"/>
    <w:rsid w:val="000B47FC"/>
    <w:rsid w:val="000B4862"/>
    <w:rsid w:val="000B498E"/>
    <w:rsid w:val="000B49F7"/>
    <w:rsid w:val="000B4A7F"/>
    <w:rsid w:val="000B4BFB"/>
    <w:rsid w:val="000B4D59"/>
    <w:rsid w:val="000B4EE9"/>
    <w:rsid w:val="000B4F33"/>
    <w:rsid w:val="000B4F9B"/>
    <w:rsid w:val="000B50BF"/>
    <w:rsid w:val="000B51B2"/>
    <w:rsid w:val="000B528D"/>
    <w:rsid w:val="000B52ED"/>
    <w:rsid w:val="000B538E"/>
    <w:rsid w:val="000B53C9"/>
    <w:rsid w:val="000B54DE"/>
    <w:rsid w:val="000B550F"/>
    <w:rsid w:val="000B56A2"/>
    <w:rsid w:val="000B5796"/>
    <w:rsid w:val="000B57E5"/>
    <w:rsid w:val="000B592F"/>
    <w:rsid w:val="000B5A03"/>
    <w:rsid w:val="000B5A30"/>
    <w:rsid w:val="000B5A6D"/>
    <w:rsid w:val="000B5C7A"/>
    <w:rsid w:val="000B5C87"/>
    <w:rsid w:val="000B5D78"/>
    <w:rsid w:val="000B5E3A"/>
    <w:rsid w:val="000B5E65"/>
    <w:rsid w:val="000B60FF"/>
    <w:rsid w:val="000B62CA"/>
    <w:rsid w:val="000B62E5"/>
    <w:rsid w:val="000B648C"/>
    <w:rsid w:val="000B6512"/>
    <w:rsid w:val="000B6625"/>
    <w:rsid w:val="000B6660"/>
    <w:rsid w:val="000B67CF"/>
    <w:rsid w:val="000B69D4"/>
    <w:rsid w:val="000B69E1"/>
    <w:rsid w:val="000B6BDD"/>
    <w:rsid w:val="000B6C97"/>
    <w:rsid w:val="000B6E3C"/>
    <w:rsid w:val="000B6E69"/>
    <w:rsid w:val="000B6F93"/>
    <w:rsid w:val="000B6FF5"/>
    <w:rsid w:val="000B7010"/>
    <w:rsid w:val="000B7029"/>
    <w:rsid w:val="000B7062"/>
    <w:rsid w:val="000B713E"/>
    <w:rsid w:val="000B7160"/>
    <w:rsid w:val="000B7240"/>
    <w:rsid w:val="000B72A6"/>
    <w:rsid w:val="000B7310"/>
    <w:rsid w:val="000B73C9"/>
    <w:rsid w:val="000B743D"/>
    <w:rsid w:val="000B7549"/>
    <w:rsid w:val="000B7718"/>
    <w:rsid w:val="000B77FA"/>
    <w:rsid w:val="000B7828"/>
    <w:rsid w:val="000B795C"/>
    <w:rsid w:val="000B7964"/>
    <w:rsid w:val="000B79C2"/>
    <w:rsid w:val="000B7A7F"/>
    <w:rsid w:val="000B7AE7"/>
    <w:rsid w:val="000B7B23"/>
    <w:rsid w:val="000B7B8D"/>
    <w:rsid w:val="000B7BBC"/>
    <w:rsid w:val="000B7C3F"/>
    <w:rsid w:val="000B7DF2"/>
    <w:rsid w:val="000B7E2F"/>
    <w:rsid w:val="000B7F60"/>
    <w:rsid w:val="000B7FC3"/>
    <w:rsid w:val="000C0146"/>
    <w:rsid w:val="000C01D0"/>
    <w:rsid w:val="000C0287"/>
    <w:rsid w:val="000C02DC"/>
    <w:rsid w:val="000C0335"/>
    <w:rsid w:val="000C0446"/>
    <w:rsid w:val="000C0493"/>
    <w:rsid w:val="000C0519"/>
    <w:rsid w:val="000C060B"/>
    <w:rsid w:val="000C065D"/>
    <w:rsid w:val="000C07EB"/>
    <w:rsid w:val="000C0800"/>
    <w:rsid w:val="000C083B"/>
    <w:rsid w:val="000C0864"/>
    <w:rsid w:val="000C095D"/>
    <w:rsid w:val="000C0AC0"/>
    <w:rsid w:val="000C0B0F"/>
    <w:rsid w:val="000C0BB9"/>
    <w:rsid w:val="000C0BD6"/>
    <w:rsid w:val="000C0C7B"/>
    <w:rsid w:val="000C0CCF"/>
    <w:rsid w:val="000C0D7E"/>
    <w:rsid w:val="000C0DA8"/>
    <w:rsid w:val="000C0EBA"/>
    <w:rsid w:val="000C0ED9"/>
    <w:rsid w:val="000C0F60"/>
    <w:rsid w:val="000C10A0"/>
    <w:rsid w:val="000C10F9"/>
    <w:rsid w:val="000C1115"/>
    <w:rsid w:val="000C111C"/>
    <w:rsid w:val="000C11BA"/>
    <w:rsid w:val="000C121B"/>
    <w:rsid w:val="000C14B0"/>
    <w:rsid w:val="000C14FA"/>
    <w:rsid w:val="000C1579"/>
    <w:rsid w:val="000C1717"/>
    <w:rsid w:val="000C1849"/>
    <w:rsid w:val="000C18C2"/>
    <w:rsid w:val="000C1918"/>
    <w:rsid w:val="000C19CD"/>
    <w:rsid w:val="000C1A67"/>
    <w:rsid w:val="000C1AF8"/>
    <w:rsid w:val="000C1B28"/>
    <w:rsid w:val="000C1BEE"/>
    <w:rsid w:val="000C1D0B"/>
    <w:rsid w:val="000C1D43"/>
    <w:rsid w:val="000C1E1B"/>
    <w:rsid w:val="000C1F12"/>
    <w:rsid w:val="000C1FB9"/>
    <w:rsid w:val="000C216F"/>
    <w:rsid w:val="000C2171"/>
    <w:rsid w:val="000C2261"/>
    <w:rsid w:val="000C237D"/>
    <w:rsid w:val="000C2426"/>
    <w:rsid w:val="000C26BD"/>
    <w:rsid w:val="000C2711"/>
    <w:rsid w:val="000C2719"/>
    <w:rsid w:val="000C275E"/>
    <w:rsid w:val="000C2770"/>
    <w:rsid w:val="000C27B1"/>
    <w:rsid w:val="000C2849"/>
    <w:rsid w:val="000C28A8"/>
    <w:rsid w:val="000C28CC"/>
    <w:rsid w:val="000C2926"/>
    <w:rsid w:val="000C2B7A"/>
    <w:rsid w:val="000C2BE0"/>
    <w:rsid w:val="000C2C2A"/>
    <w:rsid w:val="000C2C30"/>
    <w:rsid w:val="000C2F1C"/>
    <w:rsid w:val="000C2F3B"/>
    <w:rsid w:val="000C2F4F"/>
    <w:rsid w:val="000C302D"/>
    <w:rsid w:val="000C3127"/>
    <w:rsid w:val="000C32F0"/>
    <w:rsid w:val="000C3360"/>
    <w:rsid w:val="000C33C1"/>
    <w:rsid w:val="000C33D1"/>
    <w:rsid w:val="000C3484"/>
    <w:rsid w:val="000C36BA"/>
    <w:rsid w:val="000C3821"/>
    <w:rsid w:val="000C3854"/>
    <w:rsid w:val="000C397C"/>
    <w:rsid w:val="000C39D7"/>
    <w:rsid w:val="000C3A21"/>
    <w:rsid w:val="000C3A58"/>
    <w:rsid w:val="000C3AC7"/>
    <w:rsid w:val="000C3BB3"/>
    <w:rsid w:val="000C3E37"/>
    <w:rsid w:val="000C3E63"/>
    <w:rsid w:val="000C3EC4"/>
    <w:rsid w:val="000C3F8A"/>
    <w:rsid w:val="000C40A3"/>
    <w:rsid w:val="000C40F7"/>
    <w:rsid w:val="000C4142"/>
    <w:rsid w:val="000C41D7"/>
    <w:rsid w:val="000C42A7"/>
    <w:rsid w:val="000C42F3"/>
    <w:rsid w:val="000C43A7"/>
    <w:rsid w:val="000C43B9"/>
    <w:rsid w:val="000C43D3"/>
    <w:rsid w:val="000C442A"/>
    <w:rsid w:val="000C4495"/>
    <w:rsid w:val="000C44A2"/>
    <w:rsid w:val="000C4561"/>
    <w:rsid w:val="000C45D8"/>
    <w:rsid w:val="000C461D"/>
    <w:rsid w:val="000C46D3"/>
    <w:rsid w:val="000C472B"/>
    <w:rsid w:val="000C4736"/>
    <w:rsid w:val="000C476C"/>
    <w:rsid w:val="000C478E"/>
    <w:rsid w:val="000C47FF"/>
    <w:rsid w:val="000C481C"/>
    <w:rsid w:val="000C484E"/>
    <w:rsid w:val="000C4B26"/>
    <w:rsid w:val="000C4B91"/>
    <w:rsid w:val="000C4C1E"/>
    <w:rsid w:val="000C4C51"/>
    <w:rsid w:val="000C4C8B"/>
    <w:rsid w:val="000C4D42"/>
    <w:rsid w:val="000C4EBB"/>
    <w:rsid w:val="000C4F71"/>
    <w:rsid w:val="000C4F75"/>
    <w:rsid w:val="000C4FA7"/>
    <w:rsid w:val="000C5000"/>
    <w:rsid w:val="000C50A4"/>
    <w:rsid w:val="000C50A6"/>
    <w:rsid w:val="000C512B"/>
    <w:rsid w:val="000C51B9"/>
    <w:rsid w:val="000C5218"/>
    <w:rsid w:val="000C5276"/>
    <w:rsid w:val="000C52FF"/>
    <w:rsid w:val="000C5306"/>
    <w:rsid w:val="000C5375"/>
    <w:rsid w:val="000C53CB"/>
    <w:rsid w:val="000C53EA"/>
    <w:rsid w:val="000C554B"/>
    <w:rsid w:val="000C55D7"/>
    <w:rsid w:val="000C55EE"/>
    <w:rsid w:val="000C5611"/>
    <w:rsid w:val="000C5658"/>
    <w:rsid w:val="000C567B"/>
    <w:rsid w:val="000C56BD"/>
    <w:rsid w:val="000C56F0"/>
    <w:rsid w:val="000C56FA"/>
    <w:rsid w:val="000C5830"/>
    <w:rsid w:val="000C5900"/>
    <w:rsid w:val="000C5950"/>
    <w:rsid w:val="000C59EE"/>
    <w:rsid w:val="000C5ADB"/>
    <w:rsid w:val="000C5B6C"/>
    <w:rsid w:val="000C5C39"/>
    <w:rsid w:val="000C5C7F"/>
    <w:rsid w:val="000C5CE9"/>
    <w:rsid w:val="000C5E12"/>
    <w:rsid w:val="000C5E21"/>
    <w:rsid w:val="000C5E45"/>
    <w:rsid w:val="000C5E6D"/>
    <w:rsid w:val="000C5E91"/>
    <w:rsid w:val="000C5EA6"/>
    <w:rsid w:val="000C5ED0"/>
    <w:rsid w:val="000C5FA2"/>
    <w:rsid w:val="000C5FC5"/>
    <w:rsid w:val="000C6079"/>
    <w:rsid w:val="000C6186"/>
    <w:rsid w:val="000C618B"/>
    <w:rsid w:val="000C625A"/>
    <w:rsid w:val="000C6261"/>
    <w:rsid w:val="000C63C8"/>
    <w:rsid w:val="000C6470"/>
    <w:rsid w:val="000C6548"/>
    <w:rsid w:val="000C6658"/>
    <w:rsid w:val="000C6693"/>
    <w:rsid w:val="000C6734"/>
    <w:rsid w:val="000C679A"/>
    <w:rsid w:val="000C68BD"/>
    <w:rsid w:val="000C68D2"/>
    <w:rsid w:val="000C68D5"/>
    <w:rsid w:val="000C6954"/>
    <w:rsid w:val="000C69C3"/>
    <w:rsid w:val="000C69D6"/>
    <w:rsid w:val="000C69E1"/>
    <w:rsid w:val="000C6B0C"/>
    <w:rsid w:val="000C6C77"/>
    <w:rsid w:val="000C6D3A"/>
    <w:rsid w:val="000C6DEB"/>
    <w:rsid w:val="000C6E4C"/>
    <w:rsid w:val="000C6EF7"/>
    <w:rsid w:val="000C6F33"/>
    <w:rsid w:val="000C6F37"/>
    <w:rsid w:val="000C6F94"/>
    <w:rsid w:val="000C6FC3"/>
    <w:rsid w:val="000C7009"/>
    <w:rsid w:val="000C70AE"/>
    <w:rsid w:val="000C70B4"/>
    <w:rsid w:val="000C717D"/>
    <w:rsid w:val="000C756C"/>
    <w:rsid w:val="000C762C"/>
    <w:rsid w:val="000C7754"/>
    <w:rsid w:val="000C778C"/>
    <w:rsid w:val="000C77FB"/>
    <w:rsid w:val="000C7846"/>
    <w:rsid w:val="000C78A8"/>
    <w:rsid w:val="000C78ED"/>
    <w:rsid w:val="000C794F"/>
    <w:rsid w:val="000C7A74"/>
    <w:rsid w:val="000C7C5C"/>
    <w:rsid w:val="000C7C86"/>
    <w:rsid w:val="000C7CBB"/>
    <w:rsid w:val="000C7F06"/>
    <w:rsid w:val="000D028E"/>
    <w:rsid w:val="000D02C4"/>
    <w:rsid w:val="000D0361"/>
    <w:rsid w:val="000D042A"/>
    <w:rsid w:val="000D0481"/>
    <w:rsid w:val="000D0522"/>
    <w:rsid w:val="000D0628"/>
    <w:rsid w:val="000D071C"/>
    <w:rsid w:val="000D0722"/>
    <w:rsid w:val="000D094E"/>
    <w:rsid w:val="000D0971"/>
    <w:rsid w:val="000D0972"/>
    <w:rsid w:val="000D0B1B"/>
    <w:rsid w:val="000D0B1E"/>
    <w:rsid w:val="000D0CB8"/>
    <w:rsid w:val="000D0D30"/>
    <w:rsid w:val="000D0D83"/>
    <w:rsid w:val="000D0E04"/>
    <w:rsid w:val="000D1045"/>
    <w:rsid w:val="000D10B7"/>
    <w:rsid w:val="000D1172"/>
    <w:rsid w:val="000D1236"/>
    <w:rsid w:val="000D1414"/>
    <w:rsid w:val="000D14F1"/>
    <w:rsid w:val="000D150D"/>
    <w:rsid w:val="000D1573"/>
    <w:rsid w:val="000D15B7"/>
    <w:rsid w:val="000D169F"/>
    <w:rsid w:val="000D179B"/>
    <w:rsid w:val="000D17F8"/>
    <w:rsid w:val="000D186B"/>
    <w:rsid w:val="000D18B6"/>
    <w:rsid w:val="000D18C6"/>
    <w:rsid w:val="000D18E8"/>
    <w:rsid w:val="000D18EC"/>
    <w:rsid w:val="000D19AF"/>
    <w:rsid w:val="000D19D0"/>
    <w:rsid w:val="000D1B05"/>
    <w:rsid w:val="000D1B42"/>
    <w:rsid w:val="000D1BD5"/>
    <w:rsid w:val="000D1CE5"/>
    <w:rsid w:val="000D1E02"/>
    <w:rsid w:val="000D1EF6"/>
    <w:rsid w:val="000D1F57"/>
    <w:rsid w:val="000D1F91"/>
    <w:rsid w:val="000D20CF"/>
    <w:rsid w:val="000D20D3"/>
    <w:rsid w:val="000D218D"/>
    <w:rsid w:val="000D21E7"/>
    <w:rsid w:val="000D224C"/>
    <w:rsid w:val="000D22CC"/>
    <w:rsid w:val="000D2428"/>
    <w:rsid w:val="000D25BD"/>
    <w:rsid w:val="000D25E6"/>
    <w:rsid w:val="000D26AC"/>
    <w:rsid w:val="000D26B7"/>
    <w:rsid w:val="000D2765"/>
    <w:rsid w:val="000D27AC"/>
    <w:rsid w:val="000D2893"/>
    <w:rsid w:val="000D29D4"/>
    <w:rsid w:val="000D2A02"/>
    <w:rsid w:val="000D2A34"/>
    <w:rsid w:val="000D2A83"/>
    <w:rsid w:val="000D2AFE"/>
    <w:rsid w:val="000D2CFB"/>
    <w:rsid w:val="000D2F0E"/>
    <w:rsid w:val="000D3087"/>
    <w:rsid w:val="000D30E4"/>
    <w:rsid w:val="000D310A"/>
    <w:rsid w:val="000D3198"/>
    <w:rsid w:val="000D3224"/>
    <w:rsid w:val="000D32C0"/>
    <w:rsid w:val="000D334A"/>
    <w:rsid w:val="000D3395"/>
    <w:rsid w:val="000D33A6"/>
    <w:rsid w:val="000D33B8"/>
    <w:rsid w:val="000D34D7"/>
    <w:rsid w:val="000D3707"/>
    <w:rsid w:val="000D3924"/>
    <w:rsid w:val="000D39DB"/>
    <w:rsid w:val="000D39F1"/>
    <w:rsid w:val="000D3A5E"/>
    <w:rsid w:val="000D3A66"/>
    <w:rsid w:val="000D3A98"/>
    <w:rsid w:val="000D3B10"/>
    <w:rsid w:val="000D3B47"/>
    <w:rsid w:val="000D3D65"/>
    <w:rsid w:val="000D3DD9"/>
    <w:rsid w:val="000D3E05"/>
    <w:rsid w:val="000D3E3F"/>
    <w:rsid w:val="000D3E47"/>
    <w:rsid w:val="000D3E9D"/>
    <w:rsid w:val="000D3EB0"/>
    <w:rsid w:val="000D3F06"/>
    <w:rsid w:val="000D3F84"/>
    <w:rsid w:val="000D3F90"/>
    <w:rsid w:val="000D3FB6"/>
    <w:rsid w:val="000D3FCF"/>
    <w:rsid w:val="000D4087"/>
    <w:rsid w:val="000D40AC"/>
    <w:rsid w:val="000D412C"/>
    <w:rsid w:val="000D416F"/>
    <w:rsid w:val="000D42AA"/>
    <w:rsid w:val="000D4423"/>
    <w:rsid w:val="000D4424"/>
    <w:rsid w:val="000D44CB"/>
    <w:rsid w:val="000D457D"/>
    <w:rsid w:val="000D4690"/>
    <w:rsid w:val="000D46D9"/>
    <w:rsid w:val="000D4761"/>
    <w:rsid w:val="000D47D9"/>
    <w:rsid w:val="000D488D"/>
    <w:rsid w:val="000D4935"/>
    <w:rsid w:val="000D498A"/>
    <w:rsid w:val="000D49C2"/>
    <w:rsid w:val="000D49EE"/>
    <w:rsid w:val="000D4A04"/>
    <w:rsid w:val="000D4A17"/>
    <w:rsid w:val="000D4A28"/>
    <w:rsid w:val="000D4B07"/>
    <w:rsid w:val="000D4B08"/>
    <w:rsid w:val="000D4B2F"/>
    <w:rsid w:val="000D4CFF"/>
    <w:rsid w:val="000D4D28"/>
    <w:rsid w:val="000D4DCE"/>
    <w:rsid w:val="000D4E63"/>
    <w:rsid w:val="000D4EB6"/>
    <w:rsid w:val="000D4ECE"/>
    <w:rsid w:val="000D4EE3"/>
    <w:rsid w:val="000D4F73"/>
    <w:rsid w:val="000D5092"/>
    <w:rsid w:val="000D51BA"/>
    <w:rsid w:val="000D51C0"/>
    <w:rsid w:val="000D52BF"/>
    <w:rsid w:val="000D52E4"/>
    <w:rsid w:val="000D53BA"/>
    <w:rsid w:val="000D5469"/>
    <w:rsid w:val="000D54AA"/>
    <w:rsid w:val="000D54FB"/>
    <w:rsid w:val="000D551A"/>
    <w:rsid w:val="000D5620"/>
    <w:rsid w:val="000D5670"/>
    <w:rsid w:val="000D5718"/>
    <w:rsid w:val="000D5719"/>
    <w:rsid w:val="000D5765"/>
    <w:rsid w:val="000D579E"/>
    <w:rsid w:val="000D57BC"/>
    <w:rsid w:val="000D57F0"/>
    <w:rsid w:val="000D5870"/>
    <w:rsid w:val="000D5A57"/>
    <w:rsid w:val="000D5BBD"/>
    <w:rsid w:val="000D5C65"/>
    <w:rsid w:val="000D5DDB"/>
    <w:rsid w:val="000D5ED9"/>
    <w:rsid w:val="000D5F5D"/>
    <w:rsid w:val="000D5FCD"/>
    <w:rsid w:val="000D615B"/>
    <w:rsid w:val="000D616A"/>
    <w:rsid w:val="000D621F"/>
    <w:rsid w:val="000D622F"/>
    <w:rsid w:val="000D6279"/>
    <w:rsid w:val="000D63D7"/>
    <w:rsid w:val="000D641B"/>
    <w:rsid w:val="000D647A"/>
    <w:rsid w:val="000D647D"/>
    <w:rsid w:val="000D6562"/>
    <w:rsid w:val="000D65AF"/>
    <w:rsid w:val="000D65DB"/>
    <w:rsid w:val="000D6650"/>
    <w:rsid w:val="000D6677"/>
    <w:rsid w:val="000D668B"/>
    <w:rsid w:val="000D672F"/>
    <w:rsid w:val="000D680E"/>
    <w:rsid w:val="000D69C5"/>
    <w:rsid w:val="000D69F4"/>
    <w:rsid w:val="000D6A9F"/>
    <w:rsid w:val="000D6BC1"/>
    <w:rsid w:val="000D6C2B"/>
    <w:rsid w:val="000D6CD7"/>
    <w:rsid w:val="000D6CEC"/>
    <w:rsid w:val="000D6DB8"/>
    <w:rsid w:val="000D6EB5"/>
    <w:rsid w:val="000D6EEC"/>
    <w:rsid w:val="000D6EF1"/>
    <w:rsid w:val="000D6F10"/>
    <w:rsid w:val="000D7059"/>
    <w:rsid w:val="000D7100"/>
    <w:rsid w:val="000D7349"/>
    <w:rsid w:val="000D7424"/>
    <w:rsid w:val="000D7586"/>
    <w:rsid w:val="000D76DB"/>
    <w:rsid w:val="000D772D"/>
    <w:rsid w:val="000D77CE"/>
    <w:rsid w:val="000D79B7"/>
    <w:rsid w:val="000D7A54"/>
    <w:rsid w:val="000D7AEE"/>
    <w:rsid w:val="000D7B42"/>
    <w:rsid w:val="000D7C81"/>
    <w:rsid w:val="000D7D05"/>
    <w:rsid w:val="000D7DA5"/>
    <w:rsid w:val="000D7F1D"/>
    <w:rsid w:val="000D7F6F"/>
    <w:rsid w:val="000D7FA8"/>
    <w:rsid w:val="000D7FB8"/>
    <w:rsid w:val="000E0034"/>
    <w:rsid w:val="000E00A8"/>
    <w:rsid w:val="000E0147"/>
    <w:rsid w:val="000E015D"/>
    <w:rsid w:val="000E018F"/>
    <w:rsid w:val="000E026C"/>
    <w:rsid w:val="000E038F"/>
    <w:rsid w:val="000E03DA"/>
    <w:rsid w:val="000E0520"/>
    <w:rsid w:val="000E0527"/>
    <w:rsid w:val="000E0614"/>
    <w:rsid w:val="000E06A5"/>
    <w:rsid w:val="000E07A1"/>
    <w:rsid w:val="000E0818"/>
    <w:rsid w:val="000E092D"/>
    <w:rsid w:val="000E09B4"/>
    <w:rsid w:val="000E0BF3"/>
    <w:rsid w:val="000E0BF5"/>
    <w:rsid w:val="000E0C62"/>
    <w:rsid w:val="000E0C63"/>
    <w:rsid w:val="000E0D0A"/>
    <w:rsid w:val="000E0D37"/>
    <w:rsid w:val="000E0DF2"/>
    <w:rsid w:val="000E0E80"/>
    <w:rsid w:val="000E0F41"/>
    <w:rsid w:val="000E105C"/>
    <w:rsid w:val="000E10DB"/>
    <w:rsid w:val="000E114A"/>
    <w:rsid w:val="000E1241"/>
    <w:rsid w:val="000E1258"/>
    <w:rsid w:val="000E12E4"/>
    <w:rsid w:val="000E1356"/>
    <w:rsid w:val="000E14A0"/>
    <w:rsid w:val="000E1501"/>
    <w:rsid w:val="000E1512"/>
    <w:rsid w:val="000E15B6"/>
    <w:rsid w:val="000E17BA"/>
    <w:rsid w:val="000E17EA"/>
    <w:rsid w:val="000E17EB"/>
    <w:rsid w:val="000E18DE"/>
    <w:rsid w:val="000E1998"/>
    <w:rsid w:val="000E19D5"/>
    <w:rsid w:val="000E1A98"/>
    <w:rsid w:val="000E1AC9"/>
    <w:rsid w:val="000E1AF0"/>
    <w:rsid w:val="000E1B25"/>
    <w:rsid w:val="000E1C39"/>
    <w:rsid w:val="000E1C3A"/>
    <w:rsid w:val="000E1C99"/>
    <w:rsid w:val="000E1E04"/>
    <w:rsid w:val="000E1E0D"/>
    <w:rsid w:val="000E1EBC"/>
    <w:rsid w:val="000E1ED1"/>
    <w:rsid w:val="000E1F37"/>
    <w:rsid w:val="000E1FB0"/>
    <w:rsid w:val="000E2009"/>
    <w:rsid w:val="000E203C"/>
    <w:rsid w:val="000E2067"/>
    <w:rsid w:val="000E21A4"/>
    <w:rsid w:val="000E21EF"/>
    <w:rsid w:val="000E2377"/>
    <w:rsid w:val="000E245C"/>
    <w:rsid w:val="000E24AB"/>
    <w:rsid w:val="000E24B7"/>
    <w:rsid w:val="000E251A"/>
    <w:rsid w:val="000E2617"/>
    <w:rsid w:val="000E2637"/>
    <w:rsid w:val="000E2676"/>
    <w:rsid w:val="000E269F"/>
    <w:rsid w:val="000E26A5"/>
    <w:rsid w:val="000E2732"/>
    <w:rsid w:val="000E2797"/>
    <w:rsid w:val="000E27A6"/>
    <w:rsid w:val="000E2860"/>
    <w:rsid w:val="000E2969"/>
    <w:rsid w:val="000E2976"/>
    <w:rsid w:val="000E2B2C"/>
    <w:rsid w:val="000E2DD1"/>
    <w:rsid w:val="000E2E70"/>
    <w:rsid w:val="000E2FD8"/>
    <w:rsid w:val="000E3157"/>
    <w:rsid w:val="000E315D"/>
    <w:rsid w:val="000E3179"/>
    <w:rsid w:val="000E31D2"/>
    <w:rsid w:val="000E3229"/>
    <w:rsid w:val="000E3230"/>
    <w:rsid w:val="000E3255"/>
    <w:rsid w:val="000E32BA"/>
    <w:rsid w:val="000E358E"/>
    <w:rsid w:val="000E35B5"/>
    <w:rsid w:val="000E35BF"/>
    <w:rsid w:val="000E35DB"/>
    <w:rsid w:val="000E35F4"/>
    <w:rsid w:val="000E375A"/>
    <w:rsid w:val="000E37A2"/>
    <w:rsid w:val="000E37F4"/>
    <w:rsid w:val="000E3932"/>
    <w:rsid w:val="000E3959"/>
    <w:rsid w:val="000E395D"/>
    <w:rsid w:val="000E39E6"/>
    <w:rsid w:val="000E3A25"/>
    <w:rsid w:val="000E3C77"/>
    <w:rsid w:val="000E3C9D"/>
    <w:rsid w:val="000E3CCA"/>
    <w:rsid w:val="000E3D77"/>
    <w:rsid w:val="000E3DE3"/>
    <w:rsid w:val="000E411C"/>
    <w:rsid w:val="000E4262"/>
    <w:rsid w:val="000E42F9"/>
    <w:rsid w:val="000E4380"/>
    <w:rsid w:val="000E44D6"/>
    <w:rsid w:val="000E450C"/>
    <w:rsid w:val="000E464D"/>
    <w:rsid w:val="000E465D"/>
    <w:rsid w:val="000E4730"/>
    <w:rsid w:val="000E478E"/>
    <w:rsid w:val="000E488A"/>
    <w:rsid w:val="000E491B"/>
    <w:rsid w:val="000E4AE8"/>
    <w:rsid w:val="000E4C5B"/>
    <w:rsid w:val="000E4C83"/>
    <w:rsid w:val="000E4CD1"/>
    <w:rsid w:val="000E4D63"/>
    <w:rsid w:val="000E4E27"/>
    <w:rsid w:val="000E4EB6"/>
    <w:rsid w:val="000E4FFD"/>
    <w:rsid w:val="000E50B2"/>
    <w:rsid w:val="000E50E2"/>
    <w:rsid w:val="000E5110"/>
    <w:rsid w:val="000E511C"/>
    <w:rsid w:val="000E5177"/>
    <w:rsid w:val="000E51D5"/>
    <w:rsid w:val="000E52A1"/>
    <w:rsid w:val="000E5305"/>
    <w:rsid w:val="000E5360"/>
    <w:rsid w:val="000E5388"/>
    <w:rsid w:val="000E5534"/>
    <w:rsid w:val="000E565B"/>
    <w:rsid w:val="000E566C"/>
    <w:rsid w:val="000E5697"/>
    <w:rsid w:val="000E56D2"/>
    <w:rsid w:val="000E5716"/>
    <w:rsid w:val="000E597F"/>
    <w:rsid w:val="000E59E3"/>
    <w:rsid w:val="000E59F1"/>
    <w:rsid w:val="000E5A10"/>
    <w:rsid w:val="000E5B37"/>
    <w:rsid w:val="000E5BC6"/>
    <w:rsid w:val="000E5BE4"/>
    <w:rsid w:val="000E5D67"/>
    <w:rsid w:val="000E5DA5"/>
    <w:rsid w:val="000E5EBC"/>
    <w:rsid w:val="000E5FC3"/>
    <w:rsid w:val="000E5FF3"/>
    <w:rsid w:val="000E6058"/>
    <w:rsid w:val="000E615E"/>
    <w:rsid w:val="000E61D6"/>
    <w:rsid w:val="000E6505"/>
    <w:rsid w:val="000E6506"/>
    <w:rsid w:val="000E659B"/>
    <w:rsid w:val="000E65E2"/>
    <w:rsid w:val="000E6673"/>
    <w:rsid w:val="000E66DA"/>
    <w:rsid w:val="000E66E8"/>
    <w:rsid w:val="000E6719"/>
    <w:rsid w:val="000E67AC"/>
    <w:rsid w:val="000E6942"/>
    <w:rsid w:val="000E699B"/>
    <w:rsid w:val="000E6B48"/>
    <w:rsid w:val="000E6B90"/>
    <w:rsid w:val="000E6E49"/>
    <w:rsid w:val="000E708D"/>
    <w:rsid w:val="000E70EB"/>
    <w:rsid w:val="000E710B"/>
    <w:rsid w:val="000E7126"/>
    <w:rsid w:val="000E72DC"/>
    <w:rsid w:val="000E72DE"/>
    <w:rsid w:val="000E7399"/>
    <w:rsid w:val="000E739D"/>
    <w:rsid w:val="000E739E"/>
    <w:rsid w:val="000E73A5"/>
    <w:rsid w:val="000E751A"/>
    <w:rsid w:val="000E75D4"/>
    <w:rsid w:val="000E7626"/>
    <w:rsid w:val="000E76A9"/>
    <w:rsid w:val="000E76D5"/>
    <w:rsid w:val="000E7720"/>
    <w:rsid w:val="000E7723"/>
    <w:rsid w:val="000E773E"/>
    <w:rsid w:val="000E7887"/>
    <w:rsid w:val="000E7996"/>
    <w:rsid w:val="000E79F9"/>
    <w:rsid w:val="000E7A17"/>
    <w:rsid w:val="000E7AF9"/>
    <w:rsid w:val="000E7B45"/>
    <w:rsid w:val="000E7BD4"/>
    <w:rsid w:val="000E7C55"/>
    <w:rsid w:val="000E7CB6"/>
    <w:rsid w:val="000E7D68"/>
    <w:rsid w:val="000E7D8B"/>
    <w:rsid w:val="000E7DA0"/>
    <w:rsid w:val="000E7DF4"/>
    <w:rsid w:val="000E7E23"/>
    <w:rsid w:val="000E7EBB"/>
    <w:rsid w:val="000E7F6D"/>
    <w:rsid w:val="000E7FC9"/>
    <w:rsid w:val="000F002B"/>
    <w:rsid w:val="000F0343"/>
    <w:rsid w:val="000F0383"/>
    <w:rsid w:val="000F041B"/>
    <w:rsid w:val="000F04F6"/>
    <w:rsid w:val="000F052C"/>
    <w:rsid w:val="000F052E"/>
    <w:rsid w:val="000F0609"/>
    <w:rsid w:val="000F061A"/>
    <w:rsid w:val="000F0754"/>
    <w:rsid w:val="000F0804"/>
    <w:rsid w:val="000F08BC"/>
    <w:rsid w:val="000F08C2"/>
    <w:rsid w:val="000F08D3"/>
    <w:rsid w:val="000F08DE"/>
    <w:rsid w:val="000F09C9"/>
    <w:rsid w:val="000F0A5D"/>
    <w:rsid w:val="000F0C75"/>
    <w:rsid w:val="000F0D79"/>
    <w:rsid w:val="000F0DA0"/>
    <w:rsid w:val="000F0DE1"/>
    <w:rsid w:val="000F0DF9"/>
    <w:rsid w:val="000F0EA1"/>
    <w:rsid w:val="000F0F9C"/>
    <w:rsid w:val="000F0FC7"/>
    <w:rsid w:val="000F1217"/>
    <w:rsid w:val="000F12A8"/>
    <w:rsid w:val="000F1395"/>
    <w:rsid w:val="000F13E4"/>
    <w:rsid w:val="000F14F0"/>
    <w:rsid w:val="000F1573"/>
    <w:rsid w:val="000F15F7"/>
    <w:rsid w:val="000F1639"/>
    <w:rsid w:val="000F166F"/>
    <w:rsid w:val="000F16CF"/>
    <w:rsid w:val="000F16D9"/>
    <w:rsid w:val="000F17E3"/>
    <w:rsid w:val="000F1896"/>
    <w:rsid w:val="000F18D0"/>
    <w:rsid w:val="000F196D"/>
    <w:rsid w:val="000F1A39"/>
    <w:rsid w:val="000F1A9F"/>
    <w:rsid w:val="000F1B21"/>
    <w:rsid w:val="000F1C85"/>
    <w:rsid w:val="000F1CF4"/>
    <w:rsid w:val="000F1D26"/>
    <w:rsid w:val="000F1D4C"/>
    <w:rsid w:val="000F1E5D"/>
    <w:rsid w:val="000F1E5E"/>
    <w:rsid w:val="000F1E90"/>
    <w:rsid w:val="000F1EA5"/>
    <w:rsid w:val="000F1F69"/>
    <w:rsid w:val="000F204C"/>
    <w:rsid w:val="000F2078"/>
    <w:rsid w:val="000F20A6"/>
    <w:rsid w:val="000F22F1"/>
    <w:rsid w:val="000F238E"/>
    <w:rsid w:val="000F24BE"/>
    <w:rsid w:val="000F2623"/>
    <w:rsid w:val="000F270B"/>
    <w:rsid w:val="000F2731"/>
    <w:rsid w:val="000F29BF"/>
    <w:rsid w:val="000F29D4"/>
    <w:rsid w:val="000F2A07"/>
    <w:rsid w:val="000F2C0E"/>
    <w:rsid w:val="000F2C37"/>
    <w:rsid w:val="000F2CD9"/>
    <w:rsid w:val="000F2D29"/>
    <w:rsid w:val="000F2D49"/>
    <w:rsid w:val="000F2DB5"/>
    <w:rsid w:val="000F2E66"/>
    <w:rsid w:val="000F2F57"/>
    <w:rsid w:val="000F3210"/>
    <w:rsid w:val="000F331F"/>
    <w:rsid w:val="000F33BC"/>
    <w:rsid w:val="000F34B4"/>
    <w:rsid w:val="000F34CA"/>
    <w:rsid w:val="000F3564"/>
    <w:rsid w:val="000F365F"/>
    <w:rsid w:val="000F3679"/>
    <w:rsid w:val="000F36BD"/>
    <w:rsid w:val="000F3829"/>
    <w:rsid w:val="000F3891"/>
    <w:rsid w:val="000F390A"/>
    <w:rsid w:val="000F391F"/>
    <w:rsid w:val="000F39D6"/>
    <w:rsid w:val="000F3C29"/>
    <w:rsid w:val="000F3C9F"/>
    <w:rsid w:val="000F3DC5"/>
    <w:rsid w:val="000F3EC7"/>
    <w:rsid w:val="000F3EC9"/>
    <w:rsid w:val="000F3F43"/>
    <w:rsid w:val="000F400B"/>
    <w:rsid w:val="000F40A4"/>
    <w:rsid w:val="000F411E"/>
    <w:rsid w:val="000F4154"/>
    <w:rsid w:val="000F4161"/>
    <w:rsid w:val="000F42E0"/>
    <w:rsid w:val="000F43D5"/>
    <w:rsid w:val="000F43F9"/>
    <w:rsid w:val="000F442C"/>
    <w:rsid w:val="000F44F8"/>
    <w:rsid w:val="000F46E0"/>
    <w:rsid w:val="000F46FF"/>
    <w:rsid w:val="000F4761"/>
    <w:rsid w:val="000F4799"/>
    <w:rsid w:val="000F4902"/>
    <w:rsid w:val="000F4914"/>
    <w:rsid w:val="000F495B"/>
    <w:rsid w:val="000F4B4B"/>
    <w:rsid w:val="000F4C75"/>
    <w:rsid w:val="000F4D1D"/>
    <w:rsid w:val="000F4D5C"/>
    <w:rsid w:val="000F4E4B"/>
    <w:rsid w:val="000F4E54"/>
    <w:rsid w:val="000F4E85"/>
    <w:rsid w:val="000F4E9B"/>
    <w:rsid w:val="000F4EAB"/>
    <w:rsid w:val="000F4EE0"/>
    <w:rsid w:val="000F4F3F"/>
    <w:rsid w:val="000F4FA9"/>
    <w:rsid w:val="000F50D7"/>
    <w:rsid w:val="000F5343"/>
    <w:rsid w:val="000F5481"/>
    <w:rsid w:val="000F5493"/>
    <w:rsid w:val="000F54E6"/>
    <w:rsid w:val="000F5541"/>
    <w:rsid w:val="000F558D"/>
    <w:rsid w:val="000F5618"/>
    <w:rsid w:val="000F564C"/>
    <w:rsid w:val="000F57AC"/>
    <w:rsid w:val="000F57F0"/>
    <w:rsid w:val="000F58DA"/>
    <w:rsid w:val="000F5931"/>
    <w:rsid w:val="000F59A1"/>
    <w:rsid w:val="000F59B7"/>
    <w:rsid w:val="000F5A01"/>
    <w:rsid w:val="000F5AFC"/>
    <w:rsid w:val="000F5DDC"/>
    <w:rsid w:val="000F5F06"/>
    <w:rsid w:val="000F5F94"/>
    <w:rsid w:val="000F5FC1"/>
    <w:rsid w:val="000F6050"/>
    <w:rsid w:val="000F613F"/>
    <w:rsid w:val="000F61E4"/>
    <w:rsid w:val="000F62A5"/>
    <w:rsid w:val="000F6373"/>
    <w:rsid w:val="000F643C"/>
    <w:rsid w:val="000F6460"/>
    <w:rsid w:val="000F646E"/>
    <w:rsid w:val="000F6489"/>
    <w:rsid w:val="000F64EB"/>
    <w:rsid w:val="000F667A"/>
    <w:rsid w:val="000F6846"/>
    <w:rsid w:val="000F6852"/>
    <w:rsid w:val="000F6873"/>
    <w:rsid w:val="000F691D"/>
    <w:rsid w:val="000F6965"/>
    <w:rsid w:val="000F69A5"/>
    <w:rsid w:val="000F69BE"/>
    <w:rsid w:val="000F6A06"/>
    <w:rsid w:val="000F6A0D"/>
    <w:rsid w:val="000F6CAB"/>
    <w:rsid w:val="000F6E4F"/>
    <w:rsid w:val="000F6E57"/>
    <w:rsid w:val="000F6F53"/>
    <w:rsid w:val="000F6F61"/>
    <w:rsid w:val="000F70A8"/>
    <w:rsid w:val="000F738C"/>
    <w:rsid w:val="000F73A2"/>
    <w:rsid w:val="000F74A8"/>
    <w:rsid w:val="000F7559"/>
    <w:rsid w:val="000F7692"/>
    <w:rsid w:val="000F7707"/>
    <w:rsid w:val="000F7730"/>
    <w:rsid w:val="000F77AE"/>
    <w:rsid w:val="000F7913"/>
    <w:rsid w:val="000F7920"/>
    <w:rsid w:val="000F7928"/>
    <w:rsid w:val="000F79D1"/>
    <w:rsid w:val="000F7A24"/>
    <w:rsid w:val="000F7A47"/>
    <w:rsid w:val="000F7AEA"/>
    <w:rsid w:val="000F7B3B"/>
    <w:rsid w:val="000F7CB1"/>
    <w:rsid w:val="000F7CE7"/>
    <w:rsid w:val="000F7CFE"/>
    <w:rsid w:val="000F7D0A"/>
    <w:rsid w:val="000F7D5D"/>
    <w:rsid w:val="000F7DE4"/>
    <w:rsid w:val="00100000"/>
    <w:rsid w:val="0010000A"/>
    <w:rsid w:val="0010002D"/>
    <w:rsid w:val="00100294"/>
    <w:rsid w:val="001002A0"/>
    <w:rsid w:val="001002D0"/>
    <w:rsid w:val="0010030B"/>
    <w:rsid w:val="00100331"/>
    <w:rsid w:val="00100366"/>
    <w:rsid w:val="001004A7"/>
    <w:rsid w:val="001004BD"/>
    <w:rsid w:val="001004C3"/>
    <w:rsid w:val="001004F1"/>
    <w:rsid w:val="001005D2"/>
    <w:rsid w:val="0010075F"/>
    <w:rsid w:val="001007F6"/>
    <w:rsid w:val="00100819"/>
    <w:rsid w:val="0010081E"/>
    <w:rsid w:val="001008B6"/>
    <w:rsid w:val="0010099F"/>
    <w:rsid w:val="00100A8C"/>
    <w:rsid w:val="00100AB6"/>
    <w:rsid w:val="00100B64"/>
    <w:rsid w:val="00100BA0"/>
    <w:rsid w:val="00100BEA"/>
    <w:rsid w:val="00100C0D"/>
    <w:rsid w:val="00100C24"/>
    <w:rsid w:val="00100C26"/>
    <w:rsid w:val="00100C2F"/>
    <w:rsid w:val="00100E04"/>
    <w:rsid w:val="00100E6D"/>
    <w:rsid w:val="00100F59"/>
    <w:rsid w:val="00100F88"/>
    <w:rsid w:val="00100FAA"/>
    <w:rsid w:val="00100FB6"/>
    <w:rsid w:val="00100FBF"/>
    <w:rsid w:val="00100FCA"/>
    <w:rsid w:val="00101167"/>
    <w:rsid w:val="00101198"/>
    <w:rsid w:val="00101229"/>
    <w:rsid w:val="00101363"/>
    <w:rsid w:val="001013A9"/>
    <w:rsid w:val="0010143B"/>
    <w:rsid w:val="00101447"/>
    <w:rsid w:val="0010149C"/>
    <w:rsid w:val="00101514"/>
    <w:rsid w:val="0010154C"/>
    <w:rsid w:val="0010156E"/>
    <w:rsid w:val="001015A0"/>
    <w:rsid w:val="001015A9"/>
    <w:rsid w:val="001015EC"/>
    <w:rsid w:val="00101730"/>
    <w:rsid w:val="00101792"/>
    <w:rsid w:val="00101811"/>
    <w:rsid w:val="00101888"/>
    <w:rsid w:val="00101A08"/>
    <w:rsid w:val="00101A43"/>
    <w:rsid w:val="00101A71"/>
    <w:rsid w:val="00101A7F"/>
    <w:rsid w:val="00101B7B"/>
    <w:rsid w:val="00101C98"/>
    <w:rsid w:val="00101CF0"/>
    <w:rsid w:val="00101D1D"/>
    <w:rsid w:val="00101EB4"/>
    <w:rsid w:val="00101EB6"/>
    <w:rsid w:val="00101F2E"/>
    <w:rsid w:val="00101FD8"/>
    <w:rsid w:val="00102091"/>
    <w:rsid w:val="001021C5"/>
    <w:rsid w:val="00102343"/>
    <w:rsid w:val="0010247D"/>
    <w:rsid w:val="001024EB"/>
    <w:rsid w:val="001025F0"/>
    <w:rsid w:val="001027BE"/>
    <w:rsid w:val="001027CB"/>
    <w:rsid w:val="001027FA"/>
    <w:rsid w:val="00102906"/>
    <w:rsid w:val="00102992"/>
    <w:rsid w:val="0010299C"/>
    <w:rsid w:val="00102A1D"/>
    <w:rsid w:val="00102A5B"/>
    <w:rsid w:val="00102B51"/>
    <w:rsid w:val="00102BC0"/>
    <w:rsid w:val="00102C85"/>
    <w:rsid w:val="00102CC5"/>
    <w:rsid w:val="00102D8D"/>
    <w:rsid w:val="00102E69"/>
    <w:rsid w:val="00102E6F"/>
    <w:rsid w:val="00102EAF"/>
    <w:rsid w:val="00102FAF"/>
    <w:rsid w:val="00103259"/>
    <w:rsid w:val="001032E9"/>
    <w:rsid w:val="001032F6"/>
    <w:rsid w:val="00103419"/>
    <w:rsid w:val="001037A0"/>
    <w:rsid w:val="00103804"/>
    <w:rsid w:val="0010385B"/>
    <w:rsid w:val="00103882"/>
    <w:rsid w:val="001039E4"/>
    <w:rsid w:val="00103A4C"/>
    <w:rsid w:val="00103A86"/>
    <w:rsid w:val="00103AC1"/>
    <w:rsid w:val="00103ACD"/>
    <w:rsid w:val="00103AE2"/>
    <w:rsid w:val="00103B5F"/>
    <w:rsid w:val="00103C13"/>
    <w:rsid w:val="00103DA5"/>
    <w:rsid w:val="00103EA1"/>
    <w:rsid w:val="00103EE2"/>
    <w:rsid w:val="00103EFE"/>
    <w:rsid w:val="00103F4A"/>
    <w:rsid w:val="00103FDB"/>
    <w:rsid w:val="00104007"/>
    <w:rsid w:val="00104026"/>
    <w:rsid w:val="00104234"/>
    <w:rsid w:val="0010428E"/>
    <w:rsid w:val="00104294"/>
    <w:rsid w:val="001042BF"/>
    <w:rsid w:val="00104315"/>
    <w:rsid w:val="00104418"/>
    <w:rsid w:val="001044DA"/>
    <w:rsid w:val="001045EB"/>
    <w:rsid w:val="0010460A"/>
    <w:rsid w:val="00104662"/>
    <w:rsid w:val="001046C3"/>
    <w:rsid w:val="001046D3"/>
    <w:rsid w:val="00104731"/>
    <w:rsid w:val="0010474F"/>
    <w:rsid w:val="001047CC"/>
    <w:rsid w:val="0010482B"/>
    <w:rsid w:val="00104855"/>
    <w:rsid w:val="001048B6"/>
    <w:rsid w:val="00104A41"/>
    <w:rsid w:val="00104A58"/>
    <w:rsid w:val="00104AF1"/>
    <w:rsid w:val="00104B3E"/>
    <w:rsid w:val="00104B5A"/>
    <w:rsid w:val="00104B92"/>
    <w:rsid w:val="00104CC1"/>
    <w:rsid w:val="00104D8B"/>
    <w:rsid w:val="00104DC9"/>
    <w:rsid w:val="00104E3F"/>
    <w:rsid w:val="00104EE7"/>
    <w:rsid w:val="00104FFC"/>
    <w:rsid w:val="00105005"/>
    <w:rsid w:val="00105069"/>
    <w:rsid w:val="00105133"/>
    <w:rsid w:val="001051DE"/>
    <w:rsid w:val="00105200"/>
    <w:rsid w:val="0010524B"/>
    <w:rsid w:val="00105353"/>
    <w:rsid w:val="0010536B"/>
    <w:rsid w:val="00105513"/>
    <w:rsid w:val="00105584"/>
    <w:rsid w:val="0010559E"/>
    <w:rsid w:val="001055D3"/>
    <w:rsid w:val="001055D5"/>
    <w:rsid w:val="001055E0"/>
    <w:rsid w:val="0010563A"/>
    <w:rsid w:val="001056E5"/>
    <w:rsid w:val="0010571A"/>
    <w:rsid w:val="0010578C"/>
    <w:rsid w:val="0010579A"/>
    <w:rsid w:val="0010580A"/>
    <w:rsid w:val="0010581A"/>
    <w:rsid w:val="0010583F"/>
    <w:rsid w:val="00105859"/>
    <w:rsid w:val="0010589F"/>
    <w:rsid w:val="001058F0"/>
    <w:rsid w:val="00105912"/>
    <w:rsid w:val="00105930"/>
    <w:rsid w:val="00105A0F"/>
    <w:rsid w:val="00105A3A"/>
    <w:rsid w:val="00105A8A"/>
    <w:rsid w:val="00105D23"/>
    <w:rsid w:val="00105DCE"/>
    <w:rsid w:val="00105E39"/>
    <w:rsid w:val="00105EB6"/>
    <w:rsid w:val="00105EB7"/>
    <w:rsid w:val="00105FD2"/>
    <w:rsid w:val="00106101"/>
    <w:rsid w:val="00106351"/>
    <w:rsid w:val="0010635D"/>
    <w:rsid w:val="001063A1"/>
    <w:rsid w:val="00106497"/>
    <w:rsid w:val="001065E7"/>
    <w:rsid w:val="00106692"/>
    <w:rsid w:val="0010672A"/>
    <w:rsid w:val="0010673E"/>
    <w:rsid w:val="0010676E"/>
    <w:rsid w:val="0010679D"/>
    <w:rsid w:val="001067BB"/>
    <w:rsid w:val="001068F1"/>
    <w:rsid w:val="001069D0"/>
    <w:rsid w:val="00106A44"/>
    <w:rsid w:val="00106A57"/>
    <w:rsid w:val="00106B7A"/>
    <w:rsid w:val="00106BD5"/>
    <w:rsid w:val="00106BF7"/>
    <w:rsid w:val="00106C03"/>
    <w:rsid w:val="00106CC1"/>
    <w:rsid w:val="00106D42"/>
    <w:rsid w:val="00106E02"/>
    <w:rsid w:val="00106E79"/>
    <w:rsid w:val="00106F31"/>
    <w:rsid w:val="00106FB1"/>
    <w:rsid w:val="001071D6"/>
    <w:rsid w:val="00107259"/>
    <w:rsid w:val="00107346"/>
    <w:rsid w:val="001073D1"/>
    <w:rsid w:val="001074DC"/>
    <w:rsid w:val="00107551"/>
    <w:rsid w:val="00107738"/>
    <w:rsid w:val="001077C6"/>
    <w:rsid w:val="001079DC"/>
    <w:rsid w:val="001079EC"/>
    <w:rsid w:val="00107AF2"/>
    <w:rsid w:val="00107B27"/>
    <w:rsid w:val="00107B4D"/>
    <w:rsid w:val="00107BF8"/>
    <w:rsid w:val="00107BFA"/>
    <w:rsid w:val="00107C3A"/>
    <w:rsid w:val="00107C50"/>
    <w:rsid w:val="00107D98"/>
    <w:rsid w:val="00107E06"/>
    <w:rsid w:val="00107E35"/>
    <w:rsid w:val="00107EB7"/>
    <w:rsid w:val="00107F4B"/>
    <w:rsid w:val="00107FF7"/>
    <w:rsid w:val="0010C0DD"/>
    <w:rsid w:val="001100FB"/>
    <w:rsid w:val="00110185"/>
    <w:rsid w:val="00110213"/>
    <w:rsid w:val="001102DC"/>
    <w:rsid w:val="00110357"/>
    <w:rsid w:val="00110452"/>
    <w:rsid w:val="00110459"/>
    <w:rsid w:val="00110470"/>
    <w:rsid w:val="001105A9"/>
    <w:rsid w:val="001105EB"/>
    <w:rsid w:val="0011069B"/>
    <w:rsid w:val="0011076A"/>
    <w:rsid w:val="00110827"/>
    <w:rsid w:val="00110853"/>
    <w:rsid w:val="00110969"/>
    <w:rsid w:val="00110A37"/>
    <w:rsid w:val="00110AB8"/>
    <w:rsid w:val="00110B04"/>
    <w:rsid w:val="00110BAF"/>
    <w:rsid w:val="00110BE2"/>
    <w:rsid w:val="00110C09"/>
    <w:rsid w:val="00110D1B"/>
    <w:rsid w:val="00110D92"/>
    <w:rsid w:val="00110F4D"/>
    <w:rsid w:val="00110FB4"/>
    <w:rsid w:val="00110FDE"/>
    <w:rsid w:val="0011102D"/>
    <w:rsid w:val="00111070"/>
    <w:rsid w:val="001110B1"/>
    <w:rsid w:val="00111198"/>
    <w:rsid w:val="0011130D"/>
    <w:rsid w:val="001113AA"/>
    <w:rsid w:val="0011144B"/>
    <w:rsid w:val="001114D0"/>
    <w:rsid w:val="001114E0"/>
    <w:rsid w:val="001114FE"/>
    <w:rsid w:val="0011152B"/>
    <w:rsid w:val="00111649"/>
    <w:rsid w:val="0011165A"/>
    <w:rsid w:val="0011165F"/>
    <w:rsid w:val="001116A0"/>
    <w:rsid w:val="00111710"/>
    <w:rsid w:val="00111781"/>
    <w:rsid w:val="0011184B"/>
    <w:rsid w:val="001118F0"/>
    <w:rsid w:val="00111B48"/>
    <w:rsid w:val="00111B4C"/>
    <w:rsid w:val="00111C1F"/>
    <w:rsid w:val="00111CA8"/>
    <w:rsid w:val="00111D4D"/>
    <w:rsid w:val="00111EF5"/>
    <w:rsid w:val="00111F59"/>
    <w:rsid w:val="00111F88"/>
    <w:rsid w:val="001120F7"/>
    <w:rsid w:val="0011213E"/>
    <w:rsid w:val="0011229F"/>
    <w:rsid w:val="0011242E"/>
    <w:rsid w:val="00112511"/>
    <w:rsid w:val="00112573"/>
    <w:rsid w:val="00112655"/>
    <w:rsid w:val="001127F3"/>
    <w:rsid w:val="001127F6"/>
    <w:rsid w:val="00112832"/>
    <w:rsid w:val="001129AE"/>
    <w:rsid w:val="001129E4"/>
    <w:rsid w:val="00112A74"/>
    <w:rsid w:val="00112B28"/>
    <w:rsid w:val="00112B2D"/>
    <w:rsid w:val="00112BA5"/>
    <w:rsid w:val="00112C12"/>
    <w:rsid w:val="00112CC2"/>
    <w:rsid w:val="00112CF4"/>
    <w:rsid w:val="00112D90"/>
    <w:rsid w:val="00112DDB"/>
    <w:rsid w:val="00112DFA"/>
    <w:rsid w:val="00112E18"/>
    <w:rsid w:val="00112F3A"/>
    <w:rsid w:val="00113078"/>
    <w:rsid w:val="0011310A"/>
    <w:rsid w:val="00113180"/>
    <w:rsid w:val="001132DE"/>
    <w:rsid w:val="001132EA"/>
    <w:rsid w:val="00113309"/>
    <w:rsid w:val="001133CB"/>
    <w:rsid w:val="001133D5"/>
    <w:rsid w:val="001133DF"/>
    <w:rsid w:val="001135D7"/>
    <w:rsid w:val="00113647"/>
    <w:rsid w:val="00113663"/>
    <w:rsid w:val="00113679"/>
    <w:rsid w:val="001137EA"/>
    <w:rsid w:val="0011389D"/>
    <w:rsid w:val="00113949"/>
    <w:rsid w:val="00113954"/>
    <w:rsid w:val="00113A13"/>
    <w:rsid w:val="00113A23"/>
    <w:rsid w:val="00113A37"/>
    <w:rsid w:val="00113A4F"/>
    <w:rsid w:val="00113A58"/>
    <w:rsid w:val="00113B4A"/>
    <w:rsid w:val="00113D16"/>
    <w:rsid w:val="00113DBC"/>
    <w:rsid w:val="00113DBE"/>
    <w:rsid w:val="00113E24"/>
    <w:rsid w:val="00113E40"/>
    <w:rsid w:val="00113EF8"/>
    <w:rsid w:val="00114032"/>
    <w:rsid w:val="001140F7"/>
    <w:rsid w:val="0011419B"/>
    <w:rsid w:val="00114234"/>
    <w:rsid w:val="001142A4"/>
    <w:rsid w:val="00114389"/>
    <w:rsid w:val="001143D8"/>
    <w:rsid w:val="001145C0"/>
    <w:rsid w:val="001146A0"/>
    <w:rsid w:val="00114789"/>
    <w:rsid w:val="001147B1"/>
    <w:rsid w:val="001147BF"/>
    <w:rsid w:val="001149B0"/>
    <w:rsid w:val="00114A6F"/>
    <w:rsid w:val="00114AB4"/>
    <w:rsid w:val="00114B7E"/>
    <w:rsid w:val="00114BFF"/>
    <w:rsid w:val="00114C6A"/>
    <w:rsid w:val="00114CD8"/>
    <w:rsid w:val="00114D42"/>
    <w:rsid w:val="00114DBD"/>
    <w:rsid w:val="00114F27"/>
    <w:rsid w:val="00115014"/>
    <w:rsid w:val="00115022"/>
    <w:rsid w:val="001151B5"/>
    <w:rsid w:val="0011535C"/>
    <w:rsid w:val="00115407"/>
    <w:rsid w:val="0011551C"/>
    <w:rsid w:val="00115528"/>
    <w:rsid w:val="00115585"/>
    <w:rsid w:val="001155C0"/>
    <w:rsid w:val="001155D0"/>
    <w:rsid w:val="00115620"/>
    <w:rsid w:val="0011562A"/>
    <w:rsid w:val="00115750"/>
    <w:rsid w:val="0011576A"/>
    <w:rsid w:val="00115AE4"/>
    <w:rsid w:val="00115CC4"/>
    <w:rsid w:val="00115D28"/>
    <w:rsid w:val="00115E1F"/>
    <w:rsid w:val="00115E40"/>
    <w:rsid w:val="00115E4D"/>
    <w:rsid w:val="00115EC5"/>
    <w:rsid w:val="00115EF0"/>
    <w:rsid w:val="00115F8C"/>
    <w:rsid w:val="00115F93"/>
    <w:rsid w:val="00115FDA"/>
    <w:rsid w:val="00116037"/>
    <w:rsid w:val="001160E9"/>
    <w:rsid w:val="0011615D"/>
    <w:rsid w:val="001161C7"/>
    <w:rsid w:val="001164C6"/>
    <w:rsid w:val="0011663C"/>
    <w:rsid w:val="00116696"/>
    <w:rsid w:val="00116866"/>
    <w:rsid w:val="00116B76"/>
    <w:rsid w:val="00116BBB"/>
    <w:rsid w:val="00116C91"/>
    <w:rsid w:val="00116D07"/>
    <w:rsid w:val="00116DBB"/>
    <w:rsid w:val="00116DF9"/>
    <w:rsid w:val="00116EBE"/>
    <w:rsid w:val="00116EF0"/>
    <w:rsid w:val="0011706F"/>
    <w:rsid w:val="001170B1"/>
    <w:rsid w:val="001170EC"/>
    <w:rsid w:val="0011714D"/>
    <w:rsid w:val="001171D1"/>
    <w:rsid w:val="001171E3"/>
    <w:rsid w:val="001171F4"/>
    <w:rsid w:val="0011721A"/>
    <w:rsid w:val="001174B1"/>
    <w:rsid w:val="001174F8"/>
    <w:rsid w:val="00117548"/>
    <w:rsid w:val="00117669"/>
    <w:rsid w:val="00117697"/>
    <w:rsid w:val="001177E8"/>
    <w:rsid w:val="001177F6"/>
    <w:rsid w:val="0011788E"/>
    <w:rsid w:val="00117952"/>
    <w:rsid w:val="001179EB"/>
    <w:rsid w:val="00117B6B"/>
    <w:rsid w:val="00117B77"/>
    <w:rsid w:val="00117BC9"/>
    <w:rsid w:val="00117C74"/>
    <w:rsid w:val="00117C79"/>
    <w:rsid w:val="00117E06"/>
    <w:rsid w:val="00117E0D"/>
    <w:rsid w:val="00117E47"/>
    <w:rsid w:val="00117EAD"/>
    <w:rsid w:val="00117EB1"/>
    <w:rsid w:val="00117EC8"/>
    <w:rsid w:val="0012010A"/>
    <w:rsid w:val="00120245"/>
    <w:rsid w:val="001202DD"/>
    <w:rsid w:val="00120329"/>
    <w:rsid w:val="00120403"/>
    <w:rsid w:val="00120495"/>
    <w:rsid w:val="001204E4"/>
    <w:rsid w:val="0012059A"/>
    <w:rsid w:val="001205BC"/>
    <w:rsid w:val="00120722"/>
    <w:rsid w:val="00120793"/>
    <w:rsid w:val="00120837"/>
    <w:rsid w:val="001208CE"/>
    <w:rsid w:val="00120A40"/>
    <w:rsid w:val="00120AEC"/>
    <w:rsid w:val="00120B04"/>
    <w:rsid w:val="00120CD3"/>
    <w:rsid w:val="00120CF7"/>
    <w:rsid w:val="00120E45"/>
    <w:rsid w:val="00120E88"/>
    <w:rsid w:val="00120F8B"/>
    <w:rsid w:val="0012101F"/>
    <w:rsid w:val="0012116E"/>
    <w:rsid w:val="001211F6"/>
    <w:rsid w:val="0012120B"/>
    <w:rsid w:val="001213DB"/>
    <w:rsid w:val="001213E2"/>
    <w:rsid w:val="00121421"/>
    <w:rsid w:val="00121460"/>
    <w:rsid w:val="00121511"/>
    <w:rsid w:val="00121515"/>
    <w:rsid w:val="00121539"/>
    <w:rsid w:val="00121588"/>
    <w:rsid w:val="001216A6"/>
    <w:rsid w:val="0012172E"/>
    <w:rsid w:val="001217C4"/>
    <w:rsid w:val="00121889"/>
    <w:rsid w:val="001218B2"/>
    <w:rsid w:val="00121946"/>
    <w:rsid w:val="00121964"/>
    <w:rsid w:val="001219E7"/>
    <w:rsid w:val="00121A6C"/>
    <w:rsid w:val="00121AB2"/>
    <w:rsid w:val="00121D99"/>
    <w:rsid w:val="00121DA3"/>
    <w:rsid w:val="00121DF6"/>
    <w:rsid w:val="00121EA3"/>
    <w:rsid w:val="00121F2A"/>
    <w:rsid w:val="00122180"/>
    <w:rsid w:val="0012226C"/>
    <w:rsid w:val="001223DC"/>
    <w:rsid w:val="0012248F"/>
    <w:rsid w:val="00122538"/>
    <w:rsid w:val="00122658"/>
    <w:rsid w:val="001226DB"/>
    <w:rsid w:val="001226DC"/>
    <w:rsid w:val="0012272D"/>
    <w:rsid w:val="00122874"/>
    <w:rsid w:val="0012290C"/>
    <w:rsid w:val="00122A01"/>
    <w:rsid w:val="00122B6D"/>
    <w:rsid w:val="00122C26"/>
    <w:rsid w:val="00122C47"/>
    <w:rsid w:val="00122C7E"/>
    <w:rsid w:val="00122C80"/>
    <w:rsid w:val="00122CCD"/>
    <w:rsid w:val="00122CE2"/>
    <w:rsid w:val="00122E70"/>
    <w:rsid w:val="00122ED8"/>
    <w:rsid w:val="00122F15"/>
    <w:rsid w:val="00122F3E"/>
    <w:rsid w:val="0012310A"/>
    <w:rsid w:val="00123322"/>
    <w:rsid w:val="00123499"/>
    <w:rsid w:val="001234E8"/>
    <w:rsid w:val="0012350D"/>
    <w:rsid w:val="001235ED"/>
    <w:rsid w:val="00123601"/>
    <w:rsid w:val="00123727"/>
    <w:rsid w:val="00123842"/>
    <w:rsid w:val="00123887"/>
    <w:rsid w:val="001238C5"/>
    <w:rsid w:val="001239F9"/>
    <w:rsid w:val="00123A9D"/>
    <w:rsid w:val="00123B91"/>
    <w:rsid w:val="00123BC9"/>
    <w:rsid w:val="00123DA7"/>
    <w:rsid w:val="00123E70"/>
    <w:rsid w:val="00123ED4"/>
    <w:rsid w:val="00123FBD"/>
    <w:rsid w:val="00123FD7"/>
    <w:rsid w:val="00123FFF"/>
    <w:rsid w:val="001240B5"/>
    <w:rsid w:val="001241CD"/>
    <w:rsid w:val="001242B0"/>
    <w:rsid w:val="00124306"/>
    <w:rsid w:val="00124463"/>
    <w:rsid w:val="001244AB"/>
    <w:rsid w:val="00124524"/>
    <w:rsid w:val="00124781"/>
    <w:rsid w:val="00124853"/>
    <w:rsid w:val="00124896"/>
    <w:rsid w:val="001248AB"/>
    <w:rsid w:val="001248DF"/>
    <w:rsid w:val="001249DE"/>
    <w:rsid w:val="00124A16"/>
    <w:rsid w:val="00124AA5"/>
    <w:rsid w:val="00124B8B"/>
    <w:rsid w:val="00124C18"/>
    <w:rsid w:val="00124C3B"/>
    <w:rsid w:val="00124C8D"/>
    <w:rsid w:val="00124CA1"/>
    <w:rsid w:val="00124EC4"/>
    <w:rsid w:val="00124F26"/>
    <w:rsid w:val="00124F98"/>
    <w:rsid w:val="00124FDD"/>
    <w:rsid w:val="0012503D"/>
    <w:rsid w:val="001250C8"/>
    <w:rsid w:val="0012517C"/>
    <w:rsid w:val="001251B8"/>
    <w:rsid w:val="0012530D"/>
    <w:rsid w:val="001253E0"/>
    <w:rsid w:val="0012541F"/>
    <w:rsid w:val="0012542A"/>
    <w:rsid w:val="00125438"/>
    <w:rsid w:val="001255B4"/>
    <w:rsid w:val="001255E5"/>
    <w:rsid w:val="001255E8"/>
    <w:rsid w:val="001256B9"/>
    <w:rsid w:val="001256D7"/>
    <w:rsid w:val="00125750"/>
    <w:rsid w:val="0012578B"/>
    <w:rsid w:val="001257F8"/>
    <w:rsid w:val="00125872"/>
    <w:rsid w:val="0012589B"/>
    <w:rsid w:val="001258DB"/>
    <w:rsid w:val="00125909"/>
    <w:rsid w:val="00125973"/>
    <w:rsid w:val="00125974"/>
    <w:rsid w:val="001259DF"/>
    <w:rsid w:val="00125A70"/>
    <w:rsid w:val="00125A8A"/>
    <w:rsid w:val="00125B12"/>
    <w:rsid w:val="00125B82"/>
    <w:rsid w:val="00125BAC"/>
    <w:rsid w:val="00125D65"/>
    <w:rsid w:val="00125EDD"/>
    <w:rsid w:val="00125FE4"/>
    <w:rsid w:val="00126036"/>
    <w:rsid w:val="0012605D"/>
    <w:rsid w:val="00126081"/>
    <w:rsid w:val="001260DA"/>
    <w:rsid w:val="001262C7"/>
    <w:rsid w:val="00126324"/>
    <w:rsid w:val="00126365"/>
    <w:rsid w:val="00126366"/>
    <w:rsid w:val="001263DD"/>
    <w:rsid w:val="00126421"/>
    <w:rsid w:val="0012649E"/>
    <w:rsid w:val="001264A6"/>
    <w:rsid w:val="00126561"/>
    <w:rsid w:val="0012656B"/>
    <w:rsid w:val="0012669B"/>
    <w:rsid w:val="001266E3"/>
    <w:rsid w:val="00126737"/>
    <w:rsid w:val="0012678D"/>
    <w:rsid w:val="001267A4"/>
    <w:rsid w:val="00126965"/>
    <w:rsid w:val="001269E4"/>
    <w:rsid w:val="001269F4"/>
    <w:rsid w:val="00126A15"/>
    <w:rsid w:val="00126C2E"/>
    <w:rsid w:val="00126D80"/>
    <w:rsid w:val="00126DA1"/>
    <w:rsid w:val="00126EF2"/>
    <w:rsid w:val="00126F41"/>
    <w:rsid w:val="00126F42"/>
    <w:rsid w:val="00126F73"/>
    <w:rsid w:val="00127129"/>
    <w:rsid w:val="0012716B"/>
    <w:rsid w:val="0012717F"/>
    <w:rsid w:val="001271D2"/>
    <w:rsid w:val="001271F0"/>
    <w:rsid w:val="00127226"/>
    <w:rsid w:val="0012733D"/>
    <w:rsid w:val="00127377"/>
    <w:rsid w:val="001274B2"/>
    <w:rsid w:val="001274C1"/>
    <w:rsid w:val="00127505"/>
    <w:rsid w:val="0012761C"/>
    <w:rsid w:val="001277BE"/>
    <w:rsid w:val="00127843"/>
    <w:rsid w:val="0012792C"/>
    <w:rsid w:val="00127982"/>
    <w:rsid w:val="00127AEB"/>
    <w:rsid w:val="00127C69"/>
    <w:rsid w:val="00127CC9"/>
    <w:rsid w:val="00127DF1"/>
    <w:rsid w:val="00127E8F"/>
    <w:rsid w:val="00127ECD"/>
    <w:rsid w:val="00127F86"/>
    <w:rsid w:val="00130113"/>
    <w:rsid w:val="001301D9"/>
    <w:rsid w:val="0013021B"/>
    <w:rsid w:val="001303C2"/>
    <w:rsid w:val="001303D0"/>
    <w:rsid w:val="0013042A"/>
    <w:rsid w:val="0013050A"/>
    <w:rsid w:val="0013052E"/>
    <w:rsid w:val="0013055A"/>
    <w:rsid w:val="00130568"/>
    <w:rsid w:val="00130571"/>
    <w:rsid w:val="00130613"/>
    <w:rsid w:val="0013062C"/>
    <w:rsid w:val="00130633"/>
    <w:rsid w:val="0013063E"/>
    <w:rsid w:val="001307F9"/>
    <w:rsid w:val="001308AD"/>
    <w:rsid w:val="001308F6"/>
    <w:rsid w:val="00130AD4"/>
    <w:rsid w:val="00130B0E"/>
    <w:rsid w:val="00130B15"/>
    <w:rsid w:val="00130D34"/>
    <w:rsid w:val="00130E18"/>
    <w:rsid w:val="00130F69"/>
    <w:rsid w:val="00131074"/>
    <w:rsid w:val="001310C5"/>
    <w:rsid w:val="00131101"/>
    <w:rsid w:val="00131121"/>
    <w:rsid w:val="0013112A"/>
    <w:rsid w:val="0013114E"/>
    <w:rsid w:val="0013116B"/>
    <w:rsid w:val="001311C9"/>
    <w:rsid w:val="0013122F"/>
    <w:rsid w:val="0013128E"/>
    <w:rsid w:val="001312C3"/>
    <w:rsid w:val="00131397"/>
    <w:rsid w:val="00131426"/>
    <w:rsid w:val="001314F9"/>
    <w:rsid w:val="00131546"/>
    <w:rsid w:val="00131578"/>
    <w:rsid w:val="001317C6"/>
    <w:rsid w:val="00131804"/>
    <w:rsid w:val="001318EA"/>
    <w:rsid w:val="001318FC"/>
    <w:rsid w:val="00131975"/>
    <w:rsid w:val="00131A1E"/>
    <w:rsid w:val="00131B0C"/>
    <w:rsid w:val="00131B4D"/>
    <w:rsid w:val="00131BA2"/>
    <w:rsid w:val="00131BCF"/>
    <w:rsid w:val="00131CC4"/>
    <w:rsid w:val="00131CD5"/>
    <w:rsid w:val="00131CEC"/>
    <w:rsid w:val="00131D25"/>
    <w:rsid w:val="00131DA5"/>
    <w:rsid w:val="00131E46"/>
    <w:rsid w:val="00131E6D"/>
    <w:rsid w:val="00131FB0"/>
    <w:rsid w:val="00131FD8"/>
    <w:rsid w:val="00132066"/>
    <w:rsid w:val="00132143"/>
    <w:rsid w:val="001321E2"/>
    <w:rsid w:val="0013223C"/>
    <w:rsid w:val="001323EF"/>
    <w:rsid w:val="001324BD"/>
    <w:rsid w:val="001325AD"/>
    <w:rsid w:val="00132616"/>
    <w:rsid w:val="00132686"/>
    <w:rsid w:val="00132722"/>
    <w:rsid w:val="0013277D"/>
    <w:rsid w:val="001327B0"/>
    <w:rsid w:val="00132986"/>
    <w:rsid w:val="001329D2"/>
    <w:rsid w:val="00132AB4"/>
    <w:rsid w:val="00132C7F"/>
    <w:rsid w:val="00132C8C"/>
    <w:rsid w:val="00132CAF"/>
    <w:rsid w:val="00132D4E"/>
    <w:rsid w:val="00132D67"/>
    <w:rsid w:val="00132DF1"/>
    <w:rsid w:val="00132E73"/>
    <w:rsid w:val="00132F0A"/>
    <w:rsid w:val="0013307B"/>
    <w:rsid w:val="0013308F"/>
    <w:rsid w:val="0013310A"/>
    <w:rsid w:val="001331F7"/>
    <w:rsid w:val="00133240"/>
    <w:rsid w:val="001332E5"/>
    <w:rsid w:val="001332EB"/>
    <w:rsid w:val="0013337F"/>
    <w:rsid w:val="00133454"/>
    <w:rsid w:val="00133511"/>
    <w:rsid w:val="00133653"/>
    <w:rsid w:val="00133725"/>
    <w:rsid w:val="00133727"/>
    <w:rsid w:val="0013383E"/>
    <w:rsid w:val="0013386C"/>
    <w:rsid w:val="001339ED"/>
    <w:rsid w:val="00133B01"/>
    <w:rsid w:val="00133B02"/>
    <w:rsid w:val="00133B10"/>
    <w:rsid w:val="00133BA4"/>
    <w:rsid w:val="00133C0A"/>
    <w:rsid w:val="00133CD2"/>
    <w:rsid w:val="00133E87"/>
    <w:rsid w:val="00133EE6"/>
    <w:rsid w:val="00133F52"/>
    <w:rsid w:val="00134086"/>
    <w:rsid w:val="001340E6"/>
    <w:rsid w:val="0013410B"/>
    <w:rsid w:val="0013416F"/>
    <w:rsid w:val="001341DB"/>
    <w:rsid w:val="00134297"/>
    <w:rsid w:val="001342A0"/>
    <w:rsid w:val="001342AB"/>
    <w:rsid w:val="001343A6"/>
    <w:rsid w:val="001343CC"/>
    <w:rsid w:val="001343DA"/>
    <w:rsid w:val="00134465"/>
    <w:rsid w:val="0013458B"/>
    <w:rsid w:val="001347DE"/>
    <w:rsid w:val="001349D2"/>
    <w:rsid w:val="00134AB1"/>
    <w:rsid w:val="00134B8D"/>
    <w:rsid w:val="00134CD1"/>
    <w:rsid w:val="00134DB1"/>
    <w:rsid w:val="00134DD1"/>
    <w:rsid w:val="00134EAA"/>
    <w:rsid w:val="00134EBF"/>
    <w:rsid w:val="00134EDC"/>
    <w:rsid w:val="00134FC9"/>
    <w:rsid w:val="00135036"/>
    <w:rsid w:val="001350D2"/>
    <w:rsid w:val="001350F3"/>
    <w:rsid w:val="00135188"/>
    <w:rsid w:val="001351B7"/>
    <w:rsid w:val="00135245"/>
    <w:rsid w:val="00135258"/>
    <w:rsid w:val="0013543E"/>
    <w:rsid w:val="001354D9"/>
    <w:rsid w:val="001355E8"/>
    <w:rsid w:val="0013578C"/>
    <w:rsid w:val="0013580D"/>
    <w:rsid w:val="001358AA"/>
    <w:rsid w:val="0013590D"/>
    <w:rsid w:val="00135960"/>
    <w:rsid w:val="0013598B"/>
    <w:rsid w:val="00135A57"/>
    <w:rsid w:val="00135B76"/>
    <w:rsid w:val="00135BA0"/>
    <w:rsid w:val="00135C57"/>
    <w:rsid w:val="00135C9D"/>
    <w:rsid w:val="00135EFC"/>
    <w:rsid w:val="00135F0B"/>
    <w:rsid w:val="00135F96"/>
    <w:rsid w:val="00135FE6"/>
    <w:rsid w:val="00136258"/>
    <w:rsid w:val="00136408"/>
    <w:rsid w:val="001364A7"/>
    <w:rsid w:val="001364AD"/>
    <w:rsid w:val="0013652C"/>
    <w:rsid w:val="0013655E"/>
    <w:rsid w:val="001366DA"/>
    <w:rsid w:val="001366FF"/>
    <w:rsid w:val="001367C1"/>
    <w:rsid w:val="00136852"/>
    <w:rsid w:val="0013686E"/>
    <w:rsid w:val="001368D8"/>
    <w:rsid w:val="00136912"/>
    <w:rsid w:val="001369D0"/>
    <w:rsid w:val="00136B91"/>
    <w:rsid w:val="00136CB1"/>
    <w:rsid w:val="00136CBA"/>
    <w:rsid w:val="00136D91"/>
    <w:rsid w:val="00136E31"/>
    <w:rsid w:val="00136F2E"/>
    <w:rsid w:val="00136FA6"/>
    <w:rsid w:val="00137080"/>
    <w:rsid w:val="001370C0"/>
    <w:rsid w:val="00137100"/>
    <w:rsid w:val="00137123"/>
    <w:rsid w:val="00137181"/>
    <w:rsid w:val="001371E4"/>
    <w:rsid w:val="001373D0"/>
    <w:rsid w:val="0013749A"/>
    <w:rsid w:val="001374B6"/>
    <w:rsid w:val="00137513"/>
    <w:rsid w:val="001375E5"/>
    <w:rsid w:val="0013763A"/>
    <w:rsid w:val="001376A5"/>
    <w:rsid w:val="001376CA"/>
    <w:rsid w:val="0013777B"/>
    <w:rsid w:val="0013777E"/>
    <w:rsid w:val="0013779A"/>
    <w:rsid w:val="0013780A"/>
    <w:rsid w:val="00137987"/>
    <w:rsid w:val="001379A2"/>
    <w:rsid w:val="001379B5"/>
    <w:rsid w:val="00137A94"/>
    <w:rsid w:val="00137C3A"/>
    <w:rsid w:val="00137D3F"/>
    <w:rsid w:val="00137D64"/>
    <w:rsid w:val="00137E3B"/>
    <w:rsid w:val="00137E89"/>
    <w:rsid w:val="00137EDE"/>
    <w:rsid w:val="00137F79"/>
    <w:rsid w:val="00137FF7"/>
    <w:rsid w:val="0014002F"/>
    <w:rsid w:val="00140127"/>
    <w:rsid w:val="00140199"/>
    <w:rsid w:val="001403AF"/>
    <w:rsid w:val="001403C3"/>
    <w:rsid w:val="001403EE"/>
    <w:rsid w:val="00140535"/>
    <w:rsid w:val="001406F4"/>
    <w:rsid w:val="00140960"/>
    <w:rsid w:val="00140A69"/>
    <w:rsid w:val="00140A70"/>
    <w:rsid w:val="00140BA0"/>
    <w:rsid w:val="00140BC2"/>
    <w:rsid w:val="00140C21"/>
    <w:rsid w:val="00140C32"/>
    <w:rsid w:val="00140C5A"/>
    <w:rsid w:val="00140C85"/>
    <w:rsid w:val="00140CA2"/>
    <w:rsid w:val="00140CFC"/>
    <w:rsid w:val="00140D15"/>
    <w:rsid w:val="00140D2A"/>
    <w:rsid w:val="00140D9A"/>
    <w:rsid w:val="00140DB7"/>
    <w:rsid w:val="00140EC9"/>
    <w:rsid w:val="00140F86"/>
    <w:rsid w:val="00140FBB"/>
    <w:rsid w:val="00140FEC"/>
    <w:rsid w:val="00141030"/>
    <w:rsid w:val="0014109F"/>
    <w:rsid w:val="001410B8"/>
    <w:rsid w:val="00141123"/>
    <w:rsid w:val="001411DB"/>
    <w:rsid w:val="0014127B"/>
    <w:rsid w:val="0014132C"/>
    <w:rsid w:val="00141397"/>
    <w:rsid w:val="001413D6"/>
    <w:rsid w:val="00141458"/>
    <w:rsid w:val="0014152F"/>
    <w:rsid w:val="00141541"/>
    <w:rsid w:val="001416B0"/>
    <w:rsid w:val="0014171A"/>
    <w:rsid w:val="0014184C"/>
    <w:rsid w:val="0014186B"/>
    <w:rsid w:val="00141960"/>
    <w:rsid w:val="00141A17"/>
    <w:rsid w:val="00141BDE"/>
    <w:rsid w:val="00141F18"/>
    <w:rsid w:val="00141F4A"/>
    <w:rsid w:val="00141FB2"/>
    <w:rsid w:val="001420FA"/>
    <w:rsid w:val="0014210E"/>
    <w:rsid w:val="00142286"/>
    <w:rsid w:val="001422D2"/>
    <w:rsid w:val="0014251D"/>
    <w:rsid w:val="00142535"/>
    <w:rsid w:val="0014258C"/>
    <w:rsid w:val="00142610"/>
    <w:rsid w:val="00142621"/>
    <w:rsid w:val="001428CA"/>
    <w:rsid w:val="001428D6"/>
    <w:rsid w:val="00142A78"/>
    <w:rsid w:val="00142A82"/>
    <w:rsid w:val="00142A9C"/>
    <w:rsid w:val="00142B74"/>
    <w:rsid w:val="00142C59"/>
    <w:rsid w:val="00142CB3"/>
    <w:rsid w:val="00142D88"/>
    <w:rsid w:val="00142DDF"/>
    <w:rsid w:val="00142E16"/>
    <w:rsid w:val="00142EEE"/>
    <w:rsid w:val="00142F0B"/>
    <w:rsid w:val="00142FB7"/>
    <w:rsid w:val="0014312D"/>
    <w:rsid w:val="001431D2"/>
    <w:rsid w:val="001431DF"/>
    <w:rsid w:val="0014320C"/>
    <w:rsid w:val="0014322A"/>
    <w:rsid w:val="00143247"/>
    <w:rsid w:val="00143250"/>
    <w:rsid w:val="00143253"/>
    <w:rsid w:val="001432C2"/>
    <w:rsid w:val="00143334"/>
    <w:rsid w:val="00143546"/>
    <w:rsid w:val="0014357C"/>
    <w:rsid w:val="001435AC"/>
    <w:rsid w:val="001436A0"/>
    <w:rsid w:val="001436B5"/>
    <w:rsid w:val="001436CF"/>
    <w:rsid w:val="001438DB"/>
    <w:rsid w:val="001438F0"/>
    <w:rsid w:val="00143909"/>
    <w:rsid w:val="00143911"/>
    <w:rsid w:val="00143941"/>
    <w:rsid w:val="00143970"/>
    <w:rsid w:val="00143997"/>
    <w:rsid w:val="001439ED"/>
    <w:rsid w:val="001439FF"/>
    <w:rsid w:val="00143AE9"/>
    <w:rsid w:val="00143B12"/>
    <w:rsid w:val="00143C73"/>
    <w:rsid w:val="00143DE1"/>
    <w:rsid w:val="00143F03"/>
    <w:rsid w:val="00144040"/>
    <w:rsid w:val="001440AD"/>
    <w:rsid w:val="001440B8"/>
    <w:rsid w:val="00144188"/>
    <w:rsid w:val="001441F8"/>
    <w:rsid w:val="001442A7"/>
    <w:rsid w:val="001442C3"/>
    <w:rsid w:val="001442FA"/>
    <w:rsid w:val="00144392"/>
    <w:rsid w:val="00144455"/>
    <w:rsid w:val="00144486"/>
    <w:rsid w:val="0014453B"/>
    <w:rsid w:val="001445A7"/>
    <w:rsid w:val="001446DB"/>
    <w:rsid w:val="001447D1"/>
    <w:rsid w:val="00144AA0"/>
    <w:rsid w:val="00144AB9"/>
    <w:rsid w:val="00144C08"/>
    <w:rsid w:val="00144DA0"/>
    <w:rsid w:val="00144DC2"/>
    <w:rsid w:val="00144F4B"/>
    <w:rsid w:val="00144FFA"/>
    <w:rsid w:val="0014512B"/>
    <w:rsid w:val="0014515E"/>
    <w:rsid w:val="001451CB"/>
    <w:rsid w:val="001451DE"/>
    <w:rsid w:val="00145245"/>
    <w:rsid w:val="00145259"/>
    <w:rsid w:val="001452D1"/>
    <w:rsid w:val="00145326"/>
    <w:rsid w:val="0014542B"/>
    <w:rsid w:val="00145515"/>
    <w:rsid w:val="00145683"/>
    <w:rsid w:val="001456D2"/>
    <w:rsid w:val="00145763"/>
    <w:rsid w:val="001457F1"/>
    <w:rsid w:val="0014582E"/>
    <w:rsid w:val="00145839"/>
    <w:rsid w:val="001458D4"/>
    <w:rsid w:val="001459B6"/>
    <w:rsid w:val="001459C2"/>
    <w:rsid w:val="00145A38"/>
    <w:rsid w:val="00145B2E"/>
    <w:rsid w:val="00145BB1"/>
    <w:rsid w:val="00145CBA"/>
    <w:rsid w:val="00145E1B"/>
    <w:rsid w:val="00145E6D"/>
    <w:rsid w:val="00145EAF"/>
    <w:rsid w:val="00145FA6"/>
    <w:rsid w:val="00146048"/>
    <w:rsid w:val="00146064"/>
    <w:rsid w:val="00146105"/>
    <w:rsid w:val="00146155"/>
    <w:rsid w:val="0014617B"/>
    <w:rsid w:val="0014623C"/>
    <w:rsid w:val="00146254"/>
    <w:rsid w:val="00146422"/>
    <w:rsid w:val="001466F0"/>
    <w:rsid w:val="001468FF"/>
    <w:rsid w:val="001469BE"/>
    <w:rsid w:val="001469E1"/>
    <w:rsid w:val="00146A66"/>
    <w:rsid w:val="00146A97"/>
    <w:rsid w:val="00146C84"/>
    <w:rsid w:val="00146CBC"/>
    <w:rsid w:val="00146DCD"/>
    <w:rsid w:val="00146E13"/>
    <w:rsid w:val="00146E26"/>
    <w:rsid w:val="00146E9A"/>
    <w:rsid w:val="00146F41"/>
    <w:rsid w:val="00147006"/>
    <w:rsid w:val="001470A5"/>
    <w:rsid w:val="0014729E"/>
    <w:rsid w:val="001473EC"/>
    <w:rsid w:val="00147482"/>
    <w:rsid w:val="00147558"/>
    <w:rsid w:val="001475D6"/>
    <w:rsid w:val="00147649"/>
    <w:rsid w:val="001476FE"/>
    <w:rsid w:val="001477E6"/>
    <w:rsid w:val="00147898"/>
    <w:rsid w:val="001478A6"/>
    <w:rsid w:val="001478D9"/>
    <w:rsid w:val="0014793B"/>
    <w:rsid w:val="001479B4"/>
    <w:rsid w:val="00147A77"/>
    <w:rsid w:val="00147CEF"/>
    <w:rsid w:val="00147D1A"/>
    <w:rsid w:val="00147D75"/>
    <w:rsid w:val="00147D8A"/>
    <w:rsid w:val="00147E98"/>
    <w:rsid w:val="00147EF7"/>
    <w:rsid w:val="00147F84"/>
    <w:rsid w:val="00150026"/>
    <w:rsid w:val="0015007B"/>
    <w:rsid w:val="00150153"/>
    <w:rsid w:val="00150477"/>
    <w:rsid w:val="00150554"/>
    <w:rsid w:val="001505B4"/>
    <w:rsid w:val="001506A9"/>
    <w:rsid w:val="001506AE"/>
    <w:rsid w:val="001506FD"/>
    <w:rsid w:val="00150862"/>
    <w:rsid w:val="001508D6"/>
    <w:rsid w:val="001508E9"/>
    <w:rsid w:val="00150920"/>
    <w:rsid w:val="001509F6"/>
    <w:rsid w:val="00150A55"/>
    <w:rsid w:val="00150B6D"/>
    <w:rsid w:val="00150C1D"/>
    <w:rsid w:val="00150DF8"/>
    <w:rsid w:val="00150E4F"/>
    <w:rsid w:val="00150EF1"/>
    <w:rsid w:val="00150F1D"/>
    <w:rsid w:val="00150F9F"/>
    <w:rsid w:val="0015102A"/>
    <w:rsid w:val="0015103E"/>
    <w:rsid w:val="00151075"/>
    <w:rsid w:val="0015115F"/>
    <w:rsid w:val="001511EA"/>
    <w:rsid w:val="0015125F"/>
    <w:rsid w:val="001512C1"/>
    <w:rsid w:val="001512CA"/>
    <w:rsid w:val="0015137E"/>
    <w:rsid w:val="0015149F"/>
    <w:rsid w:val="00151551"/>
    <w:rsid w:val="0015157D"/>
    <w:rsid w:val="0015159C"/>
    <w:rsid w:val="00151664"/>
    <w:rsid w:val="00151695"/>
    <w:rsid w:val="001516C1"/>
    <w:rsid w:val="001517CE"/>
    <w:rsid w:val="0015182F"/>
    <w:rsid w:val="0015188F"/>
    <w:rsid w:val="001518CD"/>
    <w:rsid w:val="00151A3F"/>
    <w:rsid w:val="00151ADA"/>
    <w:rsid w:val="00151B09"/>
    <w:rsid w:val="00151BB7"/>
    <w:rsid w:val="00151C22"/>
    <w:rsid w:val="00151C81"/>
    <w:rsid w:val="00151C92"/>
    <w:rsid w:val="00151D04"/>
    <w:rsid w:val="00151DF3"/>
    <w:rsid w:val="00151E16"/>
    <w:rsid w:val="00151ED6"/>
    <w:rsid w:val="00151F4F"/>
    <w:rsid w:val="00152024"/>
    <w:rsid w:val="00152087"/>
    <w:rsid w:val="001520B5"/>
    <w:rsid w:val="00152154"/>
    <w:rsid w:val="00152338"/>
    <w:rsid w:val="0015235C"/>
    <w:rsid w:val="001523A3"/>
    <w:rsid w:val="0015248F"/>
    <w:rsid w:val="00152628"/>
    <w:rsid w:val="0015267E"/>
    <w:rsid w:val="001526CF"/>
    <w:rsid w:val="0015276C"/>
    <w:rsid w:val="00152795"/>
    <w:rsid w:val="001527BE"/>
    <w:rsid w:val="00152904"/>
    <w:rsid w:val="00152924"/>
    <w:rsid w:val="001529AF"/>
    <w:rsid w:val="001529F1"/>
    <w:rsid w:val="00152A06"/>
    <w:rsid w:val="00152A07"/>
    <w:rsid w:val="00152A62"/>
    <w:rsid w:val="00152A78"/>
    <w:rsid w:val="00152B38"/>
    <w:rsid w:val="00152B40"/>
    <w:rsid w:val="00152B65"/>
    <w:rsid w:val="00152CC4"/>
    <w:rsid w:val="00152DE7"/>
    <w:rsid w:val="00152E50"/>
    <w:rsid w:val="00152EB1"/>
    <w:rsid w:val="00153027"/>
    <w:rsid w:val="001531FA"/>
    <w:rsid w:val="0015327F"/>
    <w:rsid w:val="0015356F"/>
    <w:rsid w:val="00153576"/>
    <w:rsid w:val="001535CC"/>
    <w:rsid w:val="00153696"/>
    <w:rsid w:val="00153856"/>
    <w:rsid w:val="0015387F"/>
    <w:rsid w:val="0015389A"/>
    <w:rsid w:val="001538E5"/>
    <w:rsid w:val="00153988"/>
    <w:rsid w:val="00153AEB"/>
    <w:rsid w:val="00153AEF"/>
    <w:rsid w:val="00153B47"/>
    <w:rsid w:val="00153B9F"/>
    <w:rsid w:val="00153BBF"/>
    <w:rsid w:val="00153BD6"/>
    <w:rsid w:val="00153D6C"/>
    <w:rsid w:val="00153E60"/>
    <w:rsid w:val="00154032"/>
    <w:rsid w:val="00154178"/>
    <w:rsid w:val="00154186"/>
    <w:rsid w:val="001541AD"/>
    <w:rsid w:val="0015437E"/>
    <w:rsid w:val="001543CE"/>
    <w:rsid w:val="0015447A"/>
    <w:rsid w:val="001544BA"/>
    <w:rsid w:val="001545EB"/>
    <w:rsid w:val="001545F1"/>
    <w:rsid w:val="0015460A"/>
    <w:rsid w:val="001546DF"/>
    <w:rsid w:val="001546E7"/>
    <w:rsid w:val="00154729"/>
    <w:rsid w:val="00154730"/>
    <w:rsid w:val="00154881"/>
    <w:rsid w:val="00154968"/>
    <w:rsid w:val="00154986"/>
    <w:rsid w:val="00154A24"/>
    <w:rsid w:val="00154A39"/>
    <w:rsid w:val="00154BA5"/>
    <w:rsid w:val="00154C46"/>
    <w:rsid w:val="00154CEE"/>
    <w:rsid w:val="00154DF3"/>
    <w:rsid w:val="00154E83"/>
    <w:rsid w:val="00155006"/>
    <w:rsid w:val="001550CA"/>
    <w:rsid w:val="00155132"/>
    <w:rsid w:val="00155249"/>
    <w:rsid w:val="00155274"/>
    <w:rsid w:val="001552CD"/>
    <w:rsid w:val="001552E5"/>
    <w:rsid w:val="001552EB"/>
    <w:rsid w:val="00155438"/>
    <w:rsid w:val="00155509"/>
    <w:rsid w:val="0015555B"/>
    <w:rsid w:val="0015563A"/>
    <w:rsid w:val="0015581B"/>
    <w:rsid w:val="0015583E"/>
    <w:rsid w:val="0015584C"/>
    <w:rsid w:val="00155854"/>
    <w:rsid w:val="001558C4"/>
    <w:rsid w:val="001558DC"/>
    <w:rsid w:val="00155956"/>
    <w:rsid w:val="00155977"/>
    <w:rsid w:val="00155A5D"/>
    <w:rsid w:val="00155A72"/>
    <w:rsid w:val="00155B25"/>
    <w:rsid w:val="00155D66"/>
    <w:rsid w:val="00155DAD"/>
    <w:rsid w:val="00155DF7"/>
    <w:rsid w:val="00155E6C"/>
    <w:rsid w:val="00155EFC"/>
    <w:rsid w:val="00155F53"/>
    <w:rsid w:val="00156030"/>
    <w:rsid w:val="00156036"/>
    <w:rsid w:val="001560F9"/>
    <w:rsid w:val="001561D1"/>
    <w:rsid w:val="00156342"/>
    <w:rsid w:val="001563A4"/>
    <w:rsid w:val="0015653C"/>
    <w:rsid w:val="001566BC"/>
    <w:rsid w:val="001566C3"/>
    <w:rsid w:val="00156729"/>
    <w:rsid w:val="00156824"/>
    <w:rsid w:val="00156861"/>
    <w:rsid w:val="001568BA"/>
    <w:rsid w:val="001568C8"/>
    <w:rsid w:val="00156903"/>
    <w:rsid w:val="0015690F"/>
    <w:rsid w:val="00156971"/>
    <w:rsid w:val="00156AB4"/>
    <w:rsid w:val="00156B13"/>
    <w:rsid w:val="00156CB0"/>
    <w:rsid w:val="00156CD7"/>
    <w:rsid w:val="00156CDC"/>
    <w:rsid w:val="00156E0E"/>
    <w:rsid w:val="00156E14"/>
    <w:rsid w:val="00156E98"/>
    <w:rsid w:val="00156ED2"/>
    <w:rsid w:val="00156EE1"/>
    <w:rsid w:val="00156F66"/>
    <w:rsid w:val="00156FF3"/>
    <w:rsid w:val="00156FFB"/>
    <w:rsid w:val="00157136"/>
    <w:rsid w:val="001571DE"/>
    <w:rsid w:val="001571E2"/>
    <w:rsid w:val="001571FD"/>
    <w:rsid w:val="0015727F"/>
    <w:rsid w:val="001572CA"/>
    <w:rsid w:val="0015753C"/>
    <w:rsid w:val="0015757B"/>
    <w:rsid w:val="001575E7"/>
    <w:rsid w:val="00157701"/>
    <w:rsid w:val="00157761"/>
    <w:rsid w:val="00157891"/>
    <w:rsid w:val="00157922"/>
    <w:rsid w:val="0015794B"/>
    <w:rsid w:val="00157A4E"/>
    <w:rsid w:val="00157AAC"/>
    <w:rsid w:val="00157B64"/>
    <w:rsid w:val="00157B84"/>
    <w:rsid w:val="00157BBA"/>
    <w:rsid w:val="00157C03"/>
    <w:rsid w:val="00157F44"/>
    <w:rsid w:val="00160058"/>
    <w:rsid w:val="00160140"/>
    <w:rsid w:val="001603FC"/>
    <w:rsid w:val="00160565"/>
    <w:rsid w:val="00160584"/>
    <w:rsid w:val="00160596"/>
    <w:rsid w:val="00160607"/>
    <w:rsid w:val="00160675"/>
    <w:rsid w:val="0016068C"/>
    <w:rsid w:val="001606E1"/>
    <w:rsid w:val="001606E5"/>
    <w:rsid w:val="0016077D"/>
    <w:rsid w:val="001607EA"/>
    <w:rsid w:val="0016082A"/>
    <w:rsid w:val="001609A6"/>
    <w:rsid w:val="001609E0"/>
    <w:rsid w:val="00160A24"/>
    <w:rsid w:val="00160A61"/>
    <w:rsid w:val="00160AD9"/>
    <w:rsid w:val="00160B26"/>
    <w:rsid w:val="00160C52"/>
    <w:rsid w:val="00160E33"/>
    <w:rsid w:val="00160E85"/>
    <w:rsid w:val="00161076"/>
    <w:rsid w:val="0016120F"/>
    <w:rsid w:val="0016122C"/>
    <w:rsid w:val="00161343"/>
    <w:rsid w:val="0016134C"/>
    <w:rsid w:val="001614C5"/>
    <w:rsid w:val="001614E5"/>
    <w:rsid w:val="00161639"/>
    <w:rsid w:val="001616A1"/>
    <w:rsid w:val="001616DA"/>
    <w:rsid w:val="00161722"/>
    <w:rsid w:val="0016179B"/>
    <w:rsid w:val="00161866"/>
    <w:rsid w:val="00161941"/>
    <w:rsid w:val="00161A1F"/>
    <w:rsid w:val="00161A28"/>
    <w:rsid w:val="00161A6C"/>
    <w:rsid w:val="00161BA3"/>
    <w:rsid w:val="00161C1C"/>
    <w:rsid w:val="00161D55"/>
    <w:rsid w:val="00161DD0"/>
    <w:rsid w:val="00161EFA"/>
    <w:rsid w:val="00161F84"/>
    <w:rsid w:val="00161FAF"/>
    <w:rsid w:val="00161FC2"/>
    <w:rsid w:val="0016202C"/>
    <w:rsid w:val="00162092"/>
    <w:rsid w:val="0016226E"/>
    <w:rsid w:val="001622A0"/>
    <w:rsid w:val="001622AF"/>
    <w:rsid w:val="001622F2"/>
    <w:rsid w:val="001623D5"/>
    <w:rsid w:val="00162462"/>
    <w:rsid w:val="0016246D"/>
    <w:rsid w:val="0016246E"/>
    <w:rsid w:val="00162511"/>
    <w:rsid w:val="00162527"/>
    <w:rsid w:val="001625CB"/>
    <w:rsid w:val="0016262D"/>
    <w:rsid w:val="0016266D"/>
    <w:rsid w:val="00162699"/>
    <w:rsid w:val="00162704"/>
    <w:rsid w:val="00162764"/>
    <w:rsid w:val="0016283F"/>
    <w:rsid w:val="00162857"/>
    <w:rsid w:val="00162887"/>
    <w:rsid w:val="00162892"/>
    <w:rsid w:val="00162928"/>
    <w:rsid w:val="0016297C"/>
    <w:rsid w:val="00162996"/>
    <w:rsid w:val="00162999"/>
    <w:rsid w:val="001629CD"/>
    <w:rsid w:val="00162AAE"/>
    <w:rsid w:val="00162B07"/>
    <w:rsid w:val="00162BAF"/>
    <w:rsid w:val="00162C75"/>
    <w:rsid w:val="00162D25"/>
    <w:rsid w:val="00162D2F"/>
    <w:rsid w:val="00162D66"/>
    <w:rsid w:val="00162E2B"/>
    <w:rsid w:val="00162F8A"/>
    <w:rsid w:val="00162F95"/>
    <w:rsid w:val="00162FAE"/>
    <w:rsid w:val="0016303C"/>
    <w:rsid w:val="0016303E"/>
    <w:rsid w:val="00163050"/>
    <w:rsid w:val="001630C0"/>
    <w:rsid w:val="00163192"/>
    <w:rsid w:val="001631FE"/>
    <w:rsid w:val="0016325C"/>
    <w:rsid w:val="0016336D"/>
    <w:rsid w:val="00163455"/>
    <w:rsid w:val="00163531"/>
    <w:rsid w:val="00163568"/>
    <w:rsid w:val="00163586"/>
    <w:rsid w:val="00163657"/>
    <w:rsid w:val="0016366C"/>
    <w:rsid w:val="0016372E"/>
    <w:rsid w:val="00163801"/>
    <w:rsid w:val="001638DC"/>
    <w:rsid w:val="001638DF"/>
    <w:rsid w:val="00163988"/>
    <w:rsid w:val="00163AFA"/>
    <w:rsid w:val="00163AFC"/>
    <w:rsid w:val="00163B01"/>
    <w:rsid w:val="00163B32"/>
    <w:rsid w:val="00163BFC"/>
    <w:rsid w:val="00163C29"/>
    <w:rsid w:val="00163C59"/>
    <w:rsid w:val="00163D2E"/>
    <w:rsid w:val="00163D4A"/>
    <w:rsid w:val="00163D9B"/>
    <w:rsid w:val="00163DB3"/>
    <w:rsid w:val="00163F13"/>
    <w:rsid w:val="00163F7B"/>
    <w:rsid w:val="0016404E"/>
    <w:rsid w:val="00164064"/>
    <w:rsid w:val="001640C0"/>
    <w:rsid w:val="0016411D"/>
    <w:rsid w:val="00164130"/>
    <w:rsid w:val="00164181"/>
    <w:rsid w:val="001642E2"/>
    <w:rsid w:val="00164307"/>
    <w:rsid w:val="00164347"/>
    <w:rsid w:val="001643B0"/>
    <w:rsid w:val="0016440F"/>
    <w:rsid w:val="00164496"/>
    <w:rsid w:val="00164512"/>
    <w:rsid w:val="0016451A"/>
    <w:rsid w:val="00164659"/>
    <w:rsid w:val="001647F6"/>
    <w:rsid w:val="001649EB"/>
    <w:rsid w:val="00164A91"/>
    <w:rsid w:val="00164AFD"/>
    <w:rsid w:val="00164B43"/>
    <w:rsid w:val="00164BE5"/>
    <w:rsid w:val="00164D5F"/>
    <w:rsid w:val="00164E3F"/>
    <w:rsid w:val="00164E79"/>
    <w:rsid w:val="00165267"/>
    <w:rsid w:val="001652FA"/>
    <w:rsid w:val="00165328"/>
    <w:rsid w:val="00165365"/>
    <w:rsid w:val="00165390"/>
    <w:rsid w:val="001654E7"/>
    <w:rsid w:val="001655D4"/>
    <w:rsid w:val="001657E4"/>
    <w:rsid w:val="001657ED"/>
    <w:rsid w:val="0016582B"/>
    <w:rsid w:val="00165847"/>
    <w:rsid w:val="001658D2"/>
    <w:rsid w:val="00165989"/>
    <w:rsid w:val="00165A3C"/>
    <w:rsid w:val="00165A99"/>
    <w:rsid w:val="00165ADE"/>
    <w:rsid w:val="00165C70"/>
    <w:rsid w:val="00165CE3"/>
    <w:rsid w:val="00165CFA"/>
    <w:rsid w:val="00165F10"/>
    <w:rsid w:val="00165F44"/>
    <w:rsid w:val="0016608D"/>
    <w:rsid w:val="00166118"/>
    <w:rsid w:val="0016618D"/>
    <w:rsid w:val="001661EB"/>
    <w:rsid w:val="0016631F"/>
    <w:rsid w:val="001663A1"/>
    <w:rsid w:val="0016647C"/>
    <w:rsid w:val="00166593"/>
    <w:rsid w:val="00166695"/>
    <w:rsid w:val="001666B1"/>
    <w:rsid w:val="0016671F"/>
    <w:rsid w:val="0016679E"/>
    <w:rsid w:val="0016680E"/>
    <w:rsid w:val="00166879"/>
    <w:rsid w:val="0016687C"/>
    <w:rsid w:val="0016698E"/>
    <w:rsid w:val="00166A83"/>
    <w:rsid w:val="00166B60"/>
    <w:rsid w:val="00166BE7"/>
    <w:rsid w:val="00166C51"/>
    <w:rsid w:val="00166DBB"/>
    <w:rsid w:val="00166DC6"/>
    <w:rsid w:val="00166DDC"/>
    <w:rsid w:val="00166E05"/>
    <w:rsid w:val="00166E23"/>
    <w:rsid w:val="00166E64"/>
    <w:rsid w:val="00166E79"/>
    <w:rsid w:val="00166F55"/>
    <w:rsid w:val="00166F56"/>
    <w:rsid w:val="00166F5D"/>
    <w:rsid w:val="0016716E"/>
    <w:rsid w:val="00167243"/>
    <w:rsid w:val="0016728B"/>
    <w:rsid w:val="00167344"/>
    <w:rsid w:val="001673F6"/>
    <w:rsid w:val="00167577"/>
    <w:rsid w:val="001676A4"/>
    <w:rsid w:val="001676A8"/>
    <w:rsid w:val="00167715"/>
    <w:rsid w:val="00167837"/>
    <w:rsid w:val="00167915"/>
    <w:rsid w:val="00167988"/>
    <w:rsid w:val="00167A60"/>
    <w:rsid w:val="00167B31"/>
    <w:rsid w:val="00167C84"/>
    <w:rsid w:val="00167E33"/>
    <w:rsid w:val="00167F12"/>
    <w:rsid w:val="00167F2A"/>
    <w:rsid w:val="00167FAF"/>
    <w:rsid w:val="00167FC0"/>
    <w:rsid w:val="0016B074"/>
    <w:rsid w:val="001700B5"/>
    <w:rsid w:val="00170100"/>
    <w:rsid w:val="00170138"/>
    <w:rsid w:val="00170198"/>
    <w:rsid w:val="001701C1"/>
    <w:rsid w:val="001705A3"/>
    <w:rsid w:val="00170677"/>
    <w:rsid w:val="00170682"/>
    <w:rsid w:val="001706FD"/>
    <w:rsid w:val="00170778"/>
    <w:rsid w:val="00170797"/>
    <w:rsid w:val="001707A7"/>
    <w:rsid w:val="001708E1"/>
    <w:rsid w:val="001708E7"/>
    <w:rsid w:val="0017094D"/>
    <w:rsid w:val="00170A66"/>
    <w:rsid w:val="00170A72"/>
    <w:rsid w:val="00170A74"/>
    <w:rsid w:val="00170C81"/>
    <w:rsid w:val="00170CA2"/>
    <w:rsid w:val="00170E08"/>
    <w:rsid w:val="00170E82"/>
    <w:rsid w:val="00170EAD"/>
    <w:rsid w:val="00170F9C"/>
    <w:rsid w:val="00171003"/>
    <w:rsid w:val="001710B3"/>
    <w:rsid w:val="001710D0"/>
    <w:rsid w:val="0017110B"/>
    <w:rsid w:val="00171111"/>
    <w:rsid w:val="001711B3"/>
    <w:rsid w:val="0017120A"/>
    <w:rsid w:val="00171267"/>
    <w:rsid w:val="001712DD"/>
    <w:rsid w:val="0017134D"/>
    <w:rsid w:val="0017149D"/>
    <w:rsid w:val="001714A6"/>
    <w:rsid w:val="001714E9"/>
    <w:rsid w:val="00171522"/>
    <w:rsid w:val="0017164C"/>
    <w:rsid w:val="001717F6"/>
    <w:rsid w:val="0017182C"/>
    <w:rsid w:val="00171875"/>
    <w:rsid w:val="00171882"/>
    <w:rsid w:val="001718E5"/>
    <w:rsid w:val="00171992"/>
    <w:rsid w:val="001719FE"/>
    <w:rsid w:val="00171ADB"/>
    <w:rsid w:val="00171AE4"/>
    <w:rsid w:val="00171B2F"/>
    <w:rsid w:val="00171B6C"/>
    <w:rsid w:val="00171BF2"/>
    <w:rsid w:val="00171BF4"/>
    <w:rsid w:val="00171C84"/>
    <w:rsid w:val="00171D34"/>
    <w:rsid w:val="00171D38"/>
    <w:rsid w:val="00171DE0"/>
    <w:rsid w:val="00171F9E"/>
    <w:rsid w:val="00172021"/>
    <w:rsid w:val="00172260"/>
    <w:rsid w:val="00172288"/>
    <w:rsid w:val="001723E2"/>
    <w:rsid w:val="001724B0"/>
    <w:rsid w:val="00172776"/>
    <w:rsid w:val="0017277F"/>
    <w:rsid w:val="001727A1"/>
    <w:rsid w:val="0017287B"/>
    <w:rsid w:val="00172959"/>
    <w:rsid w:val="00172A72"/>
    <w:rsid w:val="00172AD0"/>
    <w:rsid w:val="00172BD3"/>
    <w:rsid w:val="00172DC1"/>
    <w:rsid w:val="00172E6F"/>
    <w:rsid w:val="00172EA1"/>
    <w:rsid w:val="00172ED1"/>
    <w:rsid w:val="00172F16"/>
    <w:rsid w:val="001730C2"/>
    <w:rsid w:val="001731B9"/>
    <w:rsid w:val="001731ED"/>
    <w:rsid w:val="0017325D"/>
    <w:rsid w:val="001732FC"/>
    <w:rsid w:val="0017350E"/>
    <w:rsid w:val="00173559"/>
    <w:rsid w:val="00173599"/>
    <w:rsid w:val="00173629"/>
    <w:rsid w:val="0017365D"/>
    <w:rsid w:val="00173719"/>
    <w:rsid w:val="001737E5"/>
    <w:rsid w:val="00173806"/>
    <w:rsid w:val="0017386A"/>
    <w:rsid w:val="0017390E"/>
    <w:rsid w:val="00173994"/>
    <w:rsid w:val="001739E9"/>
    <w:rsid w:val="00173A3C"/>
    <w:rsid w:val="00173AE3"/>
    <w:rsid w:val="00173B8A"/>
    <w:rsid w:val="00173B91"/>
    <w:rsid w:val="00173BBC"/>
    <w:rsid w:val="00173D1C"/>
    <w:rsid w:val="00173D6C"/>
    <w:rsid w:val="00173F66"/>
    <w:rsid w:val="00174098"/>
    <w:rsid w:val="001741C1"/>
    <w:rsid w:val="0017427E"/>
    <w:rsid w:val="00174420"/>
    <w:rsid w:val="0017456A"/>
    <w:rsid w:val="001745B3"/>
    <w:rsid w:val="001745B9"/>
    <w:rsid w:val="001745CD"/>
    <w:rsid w:val="001747DA"/>
    <w:rsid w:val="0017491C"/>
    <w:rsid w:val="001749F6"/>
    <w:rsid w:val="00174B26"/>
    <w:rsid w:val="00174C03"/>
    <w:rsid w:val="00174C3F"/>
    <w:rsid w:val="00174C4C"/>
    <w:rsid w:val="00174D8E"/>
    <w:rsid w:val="00174E38"/>
    <w:rsid w:val="00174EB0"/>
    <w:rsid w:val="00174EF6"/>
    <w:rsid w:val="00174FB7"/>
    <w:rsid w:val="00175173"/>
    <w:rsid w:val="00175287"/>
    <w:rsid w:val="001752B8"/>
    <w:rsid w:val="001752CF"/>
    <w:rsid w:val="001753C9"/>
    <w:rsid w:val="0017543F"/>
    <w:rsid w:val="001754C1"/>
    <w:rsid w:val="0017550F"/>
    <w:rsid w:val="001755B3"/>
    <w:rsid w:val="00175645"/>
    <w:rsid w:val="00175670"/>
    <w:rsid w:val="00175716"/>
    <w:rsid w:val="00175792"/>
    <w:rsid w:val="001757E5"/>
    <w:rsid w:val="00175938"/>
    <w:rsid w:val="0017597B"/>
    <w:rsid w:val="00175A16"/>
    <w:rsid w:val="00175B7D"/>
    <w:rsid w:val="00175B97"/>
    <w:rsid w:val="00175C1C"/>
    <w:rsid w:val="00175C6F"/>
    <w:rsid w:val="00175DC8"/>
    <w:rsid w:val="00175EB3"/>
    <w:rsid w:val="00175F26"/>
    <w:rsid w:val="00175F49"/>
    <w:rsid w:val="00175FDC"/>
    <w:rsid w:val="0017608C"/>
    <w:rsid w:val="00176298"/>
    <w:rsid w:val="001763A2"/>
    <w:rsid w:val="001763DC"/>
    <w:rsid w:val="001763E6"/>
    <w:rsid w:val="00176610"/>
    <w:rsid w:val="00176638"/>
    <w:rsid w:val="001767CE"/>
    <w:rsid w:val="0017682F"/>
    <w:rsid w:val="00176868"/>
    <w:rsid w:val="00176994"/>
    <w:rsid w:val="001769A7"/>
    <w:rsid w:val="00176A2C"/>
    <w:rsid w:val="00176A59"/>
    <w:rsid w:val="00176A65"/>
    <w:rsid w:val="00176BD1"/>
    <w:rsid w:val="00176D16"/>
    <w:rsid w:val="00176DD4"/>
    <w:rsid w:val="00176DF6"/>
    <w:rsid w:val="00176EE8"/>
    <w:rsid w:val="00176FA4"/>
    <w:rsid w:val="001772DB"/>
    <w:rsid w:val="001772DC"/>
    <w:rsid w:val="0017735F"/>
    <w:rsid w:val="001773BE"/>
    <w:rsid w:val="0017741F"/>
    <w:rsid w:val="00177525"/>
    <w:rsid w:val="001775E3"/>
    <w:rsid w:val="0017764F"/>
    <w:rsid w:val="001776E8"/>
    <w:rsid w:val="0017772D"/>
    <w:rsid w:val="0017776A"/>
    <w:rsid w:val="00177898"/>
    <w:rsid w:val="00177991"/>
    <w:rsid w:val="001779A5"/>
    <w:rsid w:val="001779CC"/>
    <w:rsid w:val="001779E8"/>
    <w:rsid w:val="00177B86"/>
    <w:rsid w:val="00177CD6"/>
    <w:rsid w:val="00177D40"/>
    <w:rsid w:val="00177D90"/>
    <w:rsid w:val="00177DC3"/>
    <w:rsid w:val="00177E66"/>
    <w:rsid w:val="00177EE9"/>
    <w:rsid w:val="00177EF5"/>
    <w:rsid w:val="00177FB9"/>
    <w:rsid w:val="001800C7"/>
    <w:rsid w:val="0018017F"/>
    <w:rsid w:val="00180230"/>
    <w:rsid w:val="0018034E"/>
    <w:rsid w:val="00180365"/>
    <w:rsid w:val="0018037D"/>
    <w:rsid w:val="0018039E"/>
    <w:rsid w:val="0018048A"/>
    <w:rsid w:val="001804A0"/>
    <w:rsid w:val="0018056C"/>
    <w:rsid w:val="0018059E"/>
    <w:rsid w:val="001805C2"/>
    <w:rsid w:val="00180609"/>
    <w:rsid w:val="0018062F"/>
    <w:rsid w:val="0018069E"/>
    <w:rsid w:val="001806C5"/>
    <w:rsid w:val="001806FC"/>
    <w:rsid w:val="0018076A"/>
    <w:rsid w:val="0018077B"/>
    <w:rsid w:val="001807A7"/>
    <w:rsid w:val="0018081A"/>
    <w:rsid w:val="0018081C"/>
    <w:rsid w:val="001808B8"/>
    <w:rsid w:val="001809D5"/>
    <w:rsid w:val="00180B09"/>
    <w:rsid w:val="00180B58"/>
    <w:rsid w:val="00180C23"/>
    <w:rsid w:val="00180C54"/>
    <w:rsid w:val="00180DB5"/>
    <w:rsid w:val="00180DE3"/>
    <w:rsid w:val="00180EB1"/>
    <w:rsid w:val="00180EBD"/>
    <w:rsid w:val="00180ED6"/>
    <w:rsid w:val="00180FE3"/>
    <w:rsid w:val="00181002"/>
    <w:rsid w:val="0018106D"/>
    <w:rsid w:val="00181121"/>
    <w:rsid w:val="001812F9"/>
    <w:rsid w:val="001813A8"/>
    <w:rsid w:val="001813CE"/>
    <w:rsid w:val="001813D5"/>
    <w:rsid w:val="001814CF"/>
    <w:rsid w:val="00181632"/>
    <w:rsid w:val="001816BB"/>
    <w:rsid w:val="001816FB"/>
    <w:rsid w:val="001818C9"/>
    <w:rsid w:val="0018197D"/>
    <w:rsid w:val="001819C3"/>
    <w:rsid w:val="001819E7"/>
    <w:rsid w:val="001819FA"/>
    <w:rsid w:val="001819FB"/>
    <w:rsid w:val="00181A5F"/>
    <w:rsid w:val="00181AA5"/>
    <w:rsid w:val="00181B59"/>
    <w:rsid w:val="00181DAA"/>
    <w:rsid w:val="00181DD6"/>
    <w:rsid w:val="00181E59"/>
    <w:rsid w:val="00181F00"/>
    <w:rsid w:val="00181FC9"/>
    <w:rsid w:val="00182039"/>
    <w:rsid w:val="00182078"/>
    <w:rsid w:val="00182111"/>
    <w:rsid w:val="001821E2"/>
    <w:rsid w:val="0018221B"/>
    <w:rsid w:val="0018221D"/>
    <w:rsid w:val="0018222D"/>
    <w:rsid w:val="0018222E"/>
    <w:rsid w:val="00182254"/>
    <w:rsid w:val="001823EF"/>
    <w:rsid w:val="0018258B"/>
    <w:rsid w:val="00182656"/>
    <w:rsid w:val="00182669"/>
    <w:rsid w:val="00182686"/>
    <w:rsid w:val="0018274A"/>
    <w:rsid w:val="0018277C"/>
    <w:rsid w:val="00182791"/>
    <w:rsid w:val="00182830"/>
    <w:rsid w:val="0018299E"/>
    <w:rsid w:val="00182A5A"/>
    <w:rsid w:val="00182A9F"/>
    <w:rsid w:val="00182AEC"/>
    <w:rsid w:val="00182BBF"/>
    <w:rsid w:val="00182CE2"/>
    <w:rsid w:val="00182E9C"/>
    <w:rsid w:val="00182F30"/>
    <w:rsid w:val="0018310C"/>
    <w:rsid w:val="001831AA"/>
    <w:rsid w:val="0018322E"/>
    <w:rsid w:val="00183392"/>
    <w:rsid w:val="00183393"/>
    <w:rsid w:val="001835B4"/>
    <w:rsid w:val="001835F8"/>
    <w:rsid w:val="00183609"/>
    <w:rsid w:val="0018361B"/>
    <w:rsid w:val="00183775"/>
    <w:rsid w:val="00183836"/>
    <w:rsid w:val="001839FE"/>
    <w:rsid w:val="00183A5A"/>
    <w:rsid w:val="00183A71"/>
    <w:rsid w:val="00183A7A"/>
    <w:rsid w:val="00183AC9"/>
    <w:rsid w:val="00183AFA"/>
    <w:rsid w:val="00183BE1"/>
    <w:rsid w:val="00183BEE"/>
    <w:rsid w:val="00183BFF"/>
    <w:rsid w:val="00183C00"/>
    <w:rsid w:val="00183C57"/>
    <w:rsid w:val="00183D70"/>
    <w:rsid w:val="00183E36"/>
    <w:rsid w:val="00183E9D"/>
    <w:rsid w:val="00183F4E"/>
    <w:rsid w:val="00183FB2"/>
    <w:rsid w:val="0018418E"/>
    <w:rsid w:val="0018422F"/>
    <w:rsid w:val="00184266"/>
    <w:rsid w:val="001842CD"/>
    <w:rsid w:val="0018438C"/>
    <w:rsid w:val="001843BD"/>
    <w:rsid w:val="00184470"/>
    <w:rsid w:val="0018449C"/>
    <w:rsid w:val="0018468D"/>
    <w:rsid w:val="001846AC"/>
    <w:rsid w:val="00184752"/>
    <w:rsid w:val="00184863"/>
    <w:rsid w:val="00184887"/>
    <w:rsid w:val="001848D6"/>
    <w:rsid w:val="001849A7"/>
    <w:rsid w:val="00184A6D"/>
    <w:rsid w:val="00184B56"/>
    <w:rsid w:val="00184BAB"/>
    <w:rsid w:val="00184BFB"/>
    <w:rsid w:val="00184C8D"/>
    <w:rsid w:val="00184D34"/>
    <w:rsid w:val="00184DC1"/>
    <w:rsid w:val="00184F3A"/>
    <w:rsid w:val="00184FAE"/>
    <w:rsid w:val="00185397"/>
    <w:rsid w:val="001854AF"/>
    <w:rsid w:val="0018556A"/>
    <w:rsid w:val="00185635"/>
    <w:rsid w:val="0018566F"/>
    <w:rsid w:val="0018572F"/>
    <w:rsid w:val="00185752"/>
    <w:rsid w:val="001858A7"/>
    <w:rsid w:val="0018598D"/>
    <w:rsid w:val="001859FE"/>
    <w:rsid w:val="00185A1D"/>
    <w:rsid w:val="00185AE6"/>
    <w:rsid w:val="00185CF9"/>
    <w:rsid w:val="00185E56"/>
    <w:rsid w:val="00185EB3"/>
    <w:rsid w:val="00186008"/>
    <w:rsid w:val="0018605E"/>
    <w:rsid w:val="00186235"/>
    <w:rsid w:val="001862A3"/>
    <w:rsid w:val="0018635D"/>
    <w:rsid w:val="001863DB"/>
    <w:rsid w:val="001863E3"/>
    <w:rsid w:val="00186406"/>
    <w:rsid w:val="00186451"/>
    <w:rsid w:val="0018649F"/>
    <w:rsid w:val="001865F9"/>
    <w:rsid w:val="0018667F"/>
    <w:rsid w:val="00186680"/>
    <w:rsid w:val="00186716"/>
    <w:rsid w:val="00186739"/>
    <w:rsid w:val="00186796"/>
    <w:rsid w:val="00186808"/>
    <w:rsid w:val="0018685E"/>
    <w:rsid w:val="00186892"/>
    <w:rsid w:val="001868AE"/>
    <w:rsid w:val="00186A4B"/>
    <w:rsid w:val="00186A80"/>
    <w:rsid w:val="00186B53"/>
    <w:rsid w:val="00186BE8"/>
    <w:rsid w:val="00186C3F"/>
    <w:rsid w:val="00186CAC"/>
    <w:rsid w:val="00186DB7"/>
    <w:rsid w:val="00186E28"/>
    <w:rsid w:val="00186E98"/>
    <w:rsid w:val="00186EA2"/>
    <w:rsid w:val="00186EAD"/>
    <w:rsid w:val="00186F37"/>
    <w:rsid w:val="00186F5F"/>
    <w:rsid w:val="001870C8"/>
    <w:rsid w:val="001871F0"/>
    <w:rsid w:val="00187253"/>
    <w:rsid w:val="001872C1"/>
    <w:rsid w:val="001873F2"/>
    <w:rsid w:val="001875BC"/>
    <w:rsid w:val="00187604"/>
    <w:rsid w:val="001877C2"/>
    <w:rsid w:val="001878FA"/>
    <w:rsid w:val="00187951"/>
    <w:rsid w:val="00187AF0"/>
    <w:rsid w:val="00187C3D"/>
    <w:rsid w:val="00187C7F"/>
    <w:rsid w:val="00187D4A"/>
    <w:rsid w:val="00187D5E"/>
    <w:rsid w:val="00187D9D"/>
    <w:rsid w:val="00187F72"/>
    <w:rsid w:val="00187FBB"/>
    <w:rsid w:val="00187FE4"/>
    <w:rsid w:val="0019008F"/>
    <w:rsid w:val="0019011D"/>
    <w:rsid w:val="001901C8"/>
    <w:rsid w:val="00190238"/>
    <w:rsid w:val="001903BD"/>
    <w:rsid w:val="001903CF"/>
    <w:rsid w:val="0019049F"/>
    <w:rsid w:val="001904B6"/>
    <w:rsid w:val="00190503"/>
    <w:rsid w:val="00190543"/>
    <w:rsid w:val="00190598"/>
    <w:rsid w:val="0019067E"/>
    <w:rsid w:val="00190748"/>
    <w:rsid w:val="00190786"/>
    <w:rsid w:val="001908A2"/>
    <w:rsid w:val="001908D7"/>
    <w:rsid w:val="00190938"/>
    <w:rsid w:val="00190A7B"/>
    <w:rsid w:val="00190A82"/>
    <w:rsid w:val="00190AF0"/>
    <w:rsid w:val="00190C34"/>
    <w:rsid w:val="00190C3E"/>
    <w:rsid w:val="00190C4A"/>
    <w:rsid w:val="00190C66"/>
    <w:rsid w:val="00190C88"/>
    <w:rsid w:val="00190C8F"/>
    <w:rsid w:val="00190CF1"/>
    <w:rsid w:val="00190D45"/>
    <w:rsid w:val="00190D4E"/>
    <w:rsid w:val="00190D77"/>
    <w:rsid w:val="00190D93"/>
    <w:rsid w:val="00190D94"/>
    <w:rsid w:val="00190EB5"/>
    <w:rsid w:val="001910A6"/>
    <w:rsid w:val="001911AB"/>
    <w:rsid w:val="001911F8"/>
    <w:rsid w:val="0019126E"/>
    <w:rsid w:val="00191379"/>
    <w:rsid w:val="001915A2"/>
    <w:rsid w:val="001917BF"/>
    <w:rsid w:val="00191860"/>
    <w:rsid w:val="0019191B"/>
    <w:rsid w:val="0019194F"/>
    <w:rsid w:val="0019197F"/>
    <w:rsid w:val="00191A22"/>
    <w:rsid w:val="00191A99"/>
    <w:rsid w:val="00191AAD"/>
    <w:rsid w:val="00191B75"/>
    <w:rsid w:val="00191C18"/>
    <w:rsid w:val="00191C3A"/>
    <w:rsid w:val="00191C7C"/>
    <w:rsid w:val="00191CB3"/>
    <w:rsid w:val="00191CF5"/>
    <w:rsid w:val="00191D45"/>
    <w:rsid w:val="00191D7B"/>
    <w:rsid w:val="00191DA6"/>
    <w:rsid w:val="00191DC4"/>
    <w:rsid w:val="00191DD3"/>
    <w:rsid w:val="00191DDB"/>
    <w:rsid w:val="00191DFF"/>
    <w:rsid w:val="00191E60"/>
    <w:rsid w:val="00191FBA"/>
    <w:rsid w:val="00191FBB"/>
    <w:rsid w:val="00191FFB"/>
    <w:rsid w:val="0019204F"/>
    <w:rsid w:val="001920B8"/>
    <w:rsid w:val="00192127"/>
    <w:rsid w:val="0019217E"/>
    <w:rsid w:val="001921A6"/>
    <w:rsid w:val="00192285"/>
    <w:rsid w:val="001922A7"/>
    <w:rsid w:val="001922E0"/>
    <w:rsid w:val="00192413"/>
    <w:rsid w:val="0019244C"/>
    <w:rsid w:val="00192643"/>
    <w:rsid w:val="001926F7"/>
    <w:rsid w:val="00192706"/>
    <w:rsid w:val="00192713"/>
    <w:rsid w:val="00192716"/>
    <w:rsid w:val="00192718"/>
    <w:rsid w:val="001927B8"/>
    <w:rsid w:val="00192861"/>
    <w:rsid w:val="0019286E"/>
    <w:rsid w:val="00192926"/>
    <w:rsid w:val="00192979"/>
    <w:rsid w:val="001929AF"/>
    <w:rsid w:val="001929F0"/>
    <w:rsid w:val="00192B8C"/>
    <w:rsid w:val="00192BA5"/>
    <w:rsid w:val="00192BCA"/>
    <w:rsid w:val="00192C0F"/>
    <w:rsid w:val="00192D72"/>
    <w:rsid w:val="00192DD3"/>
    <w:rsid w:val="00192DE2"/>
    <w:rsid w:val="00192E13"/>
    <w:rsid w:val="00192E71"/>
    <w:rsid w:val="00192EEA"/>
    <w:rsid w:val="00192FCC"/>
    <w:rsid w:val="001930B4"/>
    <w:rsid w:val="0019312F"/>
    <w:rsid w:val="00193185"/>
    <w:rsid w:val="001931A4"/>
    <w:rsid w:val="001931E7"/>
    <w:rsid w:val="00193201"/>
    <w:rsid w:val="0019328F"/>
    <w:rsid w:val="001932AA"/>
    <w:rsid w:val="001932C0"/>
    <w:rsid w:val="001933B1"/>
    <w:rsid w:val="00193446"/>
    <w:rsid w:val="00193527"/>
    <w:rsid w:val="00193535"/>
    <w:rsid w:val="001935A0"/>
    <w:rsid w:val="001935B9"/>
    <w:rsid w:val="001935EE"/>
    <w:rsid w:val="001935FE"/>
    <w:rsid w:val="00193833"/>
    <w:rsid w:val="001938FF"/>
    <w:rsid w:val="001939FB"/>
    <w:rsid w:val="00193A50"/>
    <w:rsid w:val="00193AC2"/>
    <w:rsid w:val="00193C1A"/>
    <w:rsid w:val="00193C22"/>
    <w:rsid w:val="00193E58"/>
    <w:rsid w:val="00193F32"/>
    <w:rsid w:val="00194002"/>
    <w:rsid w:val="0019400D"/>
    <w:rsid w:val="0019402C"/>
    <w:rsid w:val="00194056"/>
    <w:rsid w:val="00194147"/>
    <w:rsid w:val="001941E6"/>
    <w:rsid w:val="00194273"/>
    <w:rsid w:val="0019428F"/>
    <w:rsid w:val="00194329"/>
    <w:rsid w:val="00194451"/>
    <w:rsid w:val="0019447F"/>
    <w:rsid w:val="00194488"/>
    <w:rsid w:val="001946F4"/>
    <w:rsid w:val="001947BC"/>
    <w:rsid w:val="00194BD6"/>
    <w:rsid w:val="00194C8C"/>
    <w:rsid w:val="00194CB6"/>
    <w:rsid w:val="00194D33"/>
    <w:rsid w:val="00194E15"/>
    <w:rsid w:val="00194E2A"/>
    <w:rsid w:val="00194E56"/>
    <w:rsid w:val="00194E65"/>
    <w:rsid w:val="00194EA4"/>
    <w:rsid w:val="00194FB9"/>
    <w:rsid w:val="0019501E"/>
    <w:rsid w:val="00195159"/>
    <w:rsid w:val="0019517D"/>
    <w:rsid w:val="001951CE"/>
    <w:rsid w:val="00195225"/>
    <w:rsid w:val="00195263"/>
    <w:rsid w:val="0019529A"/>
    <w:rsid w:val="0019529F"/>
    <w:rsid w:val="001952D9"/>
    <w:rsid w:val="0019536D"/>
    <w:rsid w:val="001954D1"/>
    <w:rsid w:val="001954F1"/>
    <w:rsid w:val="00195543"/>
    <w:rsid w:val="00195568"/>
    <w:rsid w:val="0019557C"/>
    <w:rsid w:val="0019569C"/>
    <w:rsid w:val="001956EB"/>
    <w:rsid w:val="001957A1"/>
    <w:rsid w:val="00195891"/>
    <w:rsid w:val="00195A1E"/>
    <w:rsid w:val="00195AA9"/>
    <w:rsid w:val="00195B43"/>
    <w:rsid w:val="00195B49"/>
    <w:rsid w:val="00195B4F"/>
    <w:rsid w:val="00195B71"/>
    <w:rsid w:val="00195C70"/>
    <w:rsid w:val="00195C8A"/>
    <w:rsid w:val="00195CF3"/>
    <w:rsid w:val="00195E84"/>
    <w:rsid w:val="00195EC2"/>
    <w:rsid w:val="00195EC6"/>
    <w:rsid w:val="00195ED0"/>
    <w:rsid w:val="00196010"/>
    <w:rsid w:val="001960CB"/>
    <w:rsid w:val="0019611A"/>
    <w:rsid w:val="00196132"/>
    <w:rsid w:val="001961FA"/>
    <w:rsid w:val="00196254"/>
    <w:rsid w:val="00196269"/>
    <w:rsid w:val="001962D1"/>
    <w:rsid w:val="00196380"/>
    <w:rsid w:val="0019639F"/>
    <w:rsid w:val="001963D9"/>
    <w:rsid w:val="001963E3"/>
    <w:rsid w:val="00196406"/>
    <w:rsid w:val="0019688C"/>
    <w:rsid w:val="001968D5"/>
    <w:rsid w:val="00196996"/>
    <w:rsid w:val="001969BF"/>
    <w:rsid w:val="00196B60"/>
    <w:rsid w:val="00196F84"/>
    <w:rsid w:val="00197072"/>
    <w:rsid w:val="0019707A"/>
    <w:rsid w:val="0019713C"/>
    <w:rsid w:val="00197260"/>
    <w:rsid w:val="00197382"/>
    <w:rsid w:val="001973A1"/>
    <w:rsid w:val="00197483"/>
    <w:rsid w:val="001976B3"/>
    <w:rsid w:val="0019770F"/>
    <w:rsid w:val="001977C5"/>
    <w:rsid w:val="0019783A"/>
    <w:rsid w:val="001978A3"/>
    <w:rsid w:val="001979B1"/>
    <w:rsid w:val="00197A03"/>
    <w:rsid w:val="00197A5E"/>
    <w:rsid w:val="00197B11"/>
    <w:rsid w:val="00197B2E"/>
    <w:rsid w:val="00197B51"/>
    <w:rsid w:val="00197B7B"/>
    <w:rsid w:val="00197CD0"/>
    <w:rsid w:val="00197D67"/>
    <w:rsid w:val="00197D7A"/>
    <w:rsid w:val="00197DDE"/>
    <w:rsid w:val="00197E0E"/>
    <w:rsid w:val="00197E75"/>
    <w:rsid w:val="001A0139"/>
    <w:rsid w:val="001A015D"/>
    <w:rsid w:val="001A0163"/>
    <w:rsid w:val="001A0186"/>
    <w:rsid w:val="001A022D"/>
    <w:rsid w:val="001A0265"/>
    <w:rsid w:val="001A0301"/>
    <w:rsid w:val="001A030F"/>
    <w:rsid w:val="001A0367"/>
    <w:rsid w:val="001A037E"/>
    <w:rsid w:val="001A03F4"/>
    <w:rsid w:val="001A042D"/>
    <w:rsid w:val="001A0463"/>
    <w:rsid w:val="001A04C0"/>
    <w:rsid w:val="001A07C5"/>
    <w:rsid w:val="001A0803"/>
    <w:rsid w:val="001A0AD1"/>
    <w:rsid w:val="001A0B55"/>
    <w:rsid w:val="001A0B58"/>
    <w:rsid w:val="001A0B84"/>
    <w:rsid w:val="001A0B97"/>
    <w:rsid w:val="001A0C22"/>
    <w:rsid w:val="001A0E4A"/>
    <w:rsid w:val="001A0E59"/>
    <w:rsid w:val="001A0EA1"/>
    <w:rsid w:val="001A0F54"/>
    <w:rsid w:val="001A0FC2"/>
    <w:rsid w:val="001A0FEA"/>
    <w:rsid w:val="001A10EA"/>
    <w:rsid w:val="001A111A"/>
    <w:rsid w:val="001A111D"/>
    <w:rsid w:val="001A1327"/>
    <w:rsid w:val="001A1397"/>
    <w:rsid w:val="001A13A8"/>
    <w:rsid w:val="001A13B9"/>
    <w:rsid w:val="001A141A"/>
    <w:rsid w:val="001A141B"/>
    <w:rsid w:val="001A14B1"/>
    <w:rsid w:val="001A14C2"/>
    <w:rsid w:val="001A156F"/>
    <w:rsid w:val="001A1572"/>
    <w:rsid w:val="001A163F"/>
    <w:rsid w:val="001A17E5"/>
    <w:rsid w:val="001A17FF"/>
    <w:rsid w:val="001A181F"/>
    <w:rsid w:val="001A184C"/>
    <w:rsid w:val="001A186F"/>
    <w:rsid w:val="001A18A0"/>
    <w:rsid w:val="001A18C7"/>
    <w:rsid w:val="001A1955"/>
    <w:rsid w:val="001A1956"/>
    <w:rsid w:val="001A19C3"/>
    <w:rsid w:val="001A19CA"/>
    <w:rsid w:val="001A19EE"/>
    <w:rsid w:val="001A1A76"/>
    <w:rsid w:val="001A1A81"/>
    <w:rsid w:val="001A1BC4"/>
    <w:rsid w:val="001A1C56"/>
    <w:rsid w:val="001A1D8C"/>
    <w:rsid w:val="001A1DF2"/>
    <w:rsid w:val="001A1E27"/>
    <w:rsid w:val="001A1E7C"/>
    <w:rsid w:val="001A1F19"/>
    <w:rsid w:val="001A1FFF"/>
    <w:rsid w:val="001A2040"/>
    <w:rsid w:val="001A2068"/>
    <w:rsid w:val="001A21DF"/>
    <w:rsid w:val="001A22EE"/>
    <w:rsid w:val="001A25A8"/>
    <w:rsid w:val="001A25BC"/>
    <w:rsid w:val="001A2750"/>
    <w:rsid w:val="001A28DC"/>
    <w:rsid w:val="001A2917"/>
    <w:rsid w:val="001A2997"/>
    <w:rsid w:val="001A29F2"/>
    <w:rsid w:val="001A2CF0"/>
    <w:rsid w:val="001A2D5C"/>
    <w:rsid w:val="001A2DB4"/>
    <w:rsid w:val="001A2DD9"/>
    <w:rsid w:val="001A2DE5"/>
    <w:rsid w:val="001A2E61"/>
    <w:rsid w:val="001A304C"/>
    <w:rsid w:val="001A3121"/>
    <w:rsid w:val="001A31B6"/>
    <w:rsid w:val="001A31CC"/>
    <w:rsid w:val="001A31F0"/>
    <w:rsid w:val="001A31F6"/>
    <w:rsid w:val="001A3215"/>
    <w:rsid w:val="001A34C4"/>
    <w:rsid w:val="001A3561"/>
    <w:rsid w:val="001A362E"/>
    <w:rsid w:val="001A37E6"/>
    <w:rsid w:val="001A39BE"/>
    <w:rsid w:val="001A39FE"/>
    <w:rsid w:val="001A3AFF"/>
    <w:rsid w:val="001A3B23"/>
    <w:rsid w:val="001A3BAA"/>
    <w:rsid w:val="001A3C18"/>
    <w:rsid w:val="001A3C8A"/>
    <w:rsid w:val="001A3D78"/>
    <w:rsid w:val="001A3E58"/>
    <w:rsid w:val="001A3E6E"/>
    <w:rsid w:val="001A3EC1"/>
    <w:rsid w:val="001A3EEA"/>
    <w:rsid w:val="001A3FCA"/>
    <w:rsid w:val="001A4097"/>
    <w:rsid w:val="001A40C1"/>
    <w:rsid w:val="001A40E3"/>
    <w:rsid w:val="001A40EA"/>
    <w:rsid w:val="001A4166"/>
    <w:rsid w:val="001A417D"/>
    <w:rsid w:val="001A4182"/>
    <w:rsid w:val="001A42CE"/>
    <w:rsid w:val="001A446A"/>
    <w:rsid w:val="001A452B"/>
    <w:rsid w:val="001A45FD"/>
    <w:rsid w:val="001A45FF"/>
    <w:rsid w:val="001A461C"/>
    <w:rsid w:val="001A4637"/>
    <w:rsid w:val="001A464C"/>
    <w:rsid w:val="001A465F"/>
    <w:rsid w:val="001A46B1"/>
    <w:rsid w:val="001A46BF"/>
    <w:rsid w:val="001A4720"/>
    <w:rsid w:val="001A4912"/>
    <w:rsid w:val="001A4969"/>
    <w:rsid w:val="001A4AAE"/>
    <w:rsid w:val="001A4B37"/>
    <w:rsid w:val="001A4B86"/>
    <w:rsid w:val="001A4BA3"/>
    <w:rsid w:val="001A4D6B"/>
    <w:rsid w:val="001A4D8D"/>
    <w:rsid w:val="001A4EF5"/>
    <w:rsid w:val="001A4F3C"/>
    <w:rsid w:val="001A4F4B"/>
    <w:rsid w:val="001A4FE0"/>
    <w:rsid w:val="001A500D"/>
    <w:rsid w:val="001A50EF"/>
    <w:rsid w:val="001A5184"/>
    <w:rsid w:val="001A528B"/>
    <w:rsid w:val="001A52AD"/>
    <w:rsid w:val="001A5350"/>
    <w:rsid w:val="001A53DA"/>
    <w:rsid w:val="001A56DE"/>
    <w:rsid w:val="001A5795"/>
    <w:rsid w:val="001A5925"/>
    <w:rsid w:val="001A594B"/>
    <w:rsid w:val="001A595F"/>
    <w:rsid w:val="001A5A17"/>
    <w:rsid w:val="001A5B48"/>
    <w:rsid w:val="001A5C69"/>
    <w:rsid w:val="001A5CBB"/>
    <w:rsid w:val="001A5CD1"/>
    <w:rsid w:val="001A5FCA"/>
    <w:rsid w:val="001A6011"/>
    <w:rsid w:val="001A60A9"/>
    <w:rsid w:val="001A60B1"/>
    <w:rsid w:val="001A60BE"/>
    <w:rsid w:val="001A611A"/>
    <w:rsid w:val="001A61D0"/>
    <w:rsid w:val="001A624B"/>
    <w:rsid w:val="001A6289"/>
    <w:rsid w:val="001A6297"/>
    <w:rsid w:val="001A632F"/>
    <w:rsid w:val="001A6340"/>
    <w:rsid w:val="001A63F4"/>
    <w:rsid w:val="001A6552"/>
    <w:rsid w:val="001A6626"/>
    <w:rsid w:val="001A66A4"/>
    <w:rsid w:val="001A6793"/>
    <w:rsid w:val="001A67C5"/>
    <w:rsid w:val="001A67EA"/>
    <w:rsid w:val="001A692A"/>
    <w:rsid w:val="001A6930"/>
    <w:rsid w:val="001A6A4E"/>
    <w:rsid w:val="001A6B17"/>
    <w:rsid w:val="001A6C48"/>
    <w:rsid w:val="001A6C83"/>
    <w:rsid w:val="001A6D01"/>
    <w:rsid w:val="001A6D24"/>
    <w:rsid w:val="001A6D5A"/>
    <w:rsid w:val="001A6F08"/>
    <w:rsid w:val="001A6F9A"/>
    <w:rsid w:val="001A708F"/>
    <w:rsid w:val="001A70DB"/>
    <w:rsid w:val="001A70DC"/>
    <w:rsid w:val="001A70E0"/>
    <w:rsid w:val="001A7125"/>
    <w:rsid w:val="001A7156"/>
    <w:rsid w:val="001A71A1"/>
    <w:rsid w:val="001A7233"/>
    <w:rsid w:val="001A72BC"/>
    <w:rsid w:val="001A731F"/>
    <w:rsid w:val="001A73A0"/>
    <w:rsid w:val="001A73C3"/>
    <w:rsid w:val="001A73D7"/>
    <w:rsid w:val="001A74FA"/>
    <w:rsid w:val="001A75B7"/>
    <w:rsid w:val="001A7703"/>
    <w:rsid w:val="001A7795"/>
    <w:rsid w:val="001A7939"/>
    <w:rsid w:val="001A796A"/>
    <w:rsid w:val="001A79FD"/>
    <w:rsid w:val="001A7A29"/>
    <w:rsid w:val="001A7AE6"/>
    <w:rsid w:val="001A7B2F"/>
    <w:rsid w:val="001A7C48"/>
    <w:rsid w:val="001A7D15"/>
    <w:rsid w:val="001A7D76"/>
    <w:rsid w:val="001A7DF2"/>
    <w:rsid w:val="001A7E51"/>
    <w:rsid w:val="001A7E64"/>
    <w:rsid w:val="001A7EBB"/>
    <w:rsid w:val="001A7F90"/>
    <w:rsid w:val="001B0001"/>
    <w:rsid w:val="001B0087"/>
    <w:rsid w:val="001B0107"/>
    <w:rsid w:val="001B016B"/>
    <w:rsid w:val="001B024A"/>
    <w:rsid w:val="001B0399"/>
    <w:rsid w:val="001B05E2"/>
    <w:rsid w:val="001B0623"/>
    <w:rsid w:val="001B0729"/>
    <w:rsid w:val="001B07AF"/>
    <w:rsid w:val="001B083D"/>
    <w:rsid w:val="001B0A92"/>
    <w:rsid w:val="001B0C47"/>
    <w:rsid w:val="001B0C80"/>
    <w:rsid w:val="001B0E33"/>
    <w:rsid w:val="001B0EAD"/>
    <w:rsid w:val="001B0F45"/>
    <w:rsid w:val="001B1096"/>
    <w:rsid w:val="001B1199"/>
    <w:rsid w:val="001B11D7"/>
    <w:rsid w:val="001B1223"/>
    <w:rsid w:val="001B1296"/>
    <w:rsid w:val="001B12E8"/>
    <w:rsid w:val="001B130A"/>
    <w:rsid w:val="001B13A0"/>
    <w:rsid w:val="001B1464"/>
    <w:rsid w:val="001B1470"/>
    <w:rsid w:val="001B162D"/>
    <w:rsid w:val="001B1700"/>
    <w:rsid w:val="001B1A92"/>
    <w:rsid w:val="001B1B01"/>
    <w:rsid w:val="001B1B3D"/>
    <w:rsid w:val="001B1B40"/>
    <w:rsid w:val="001B1B95"/>
    <w:rsid w:val="001B1C87"/>
    <w:rsid w:val="001B1CDE"/>
    <w:rsid w:val="001B1D04"/>
    <w:rsid w:val="001B1D5E"/>
    <w:rsid w:val="001B1DCE"/>
    <w:rsid w:val="001B1DF4"/>
    <w:rsid w:val="001B1F56"/>
    <w:rsid w:val="001B1FB9"/>
    <w:rsid w:val="001B201B"/>
    <w:rsid w:val="001B20BC"/>
    <w:rsid w:val="001B2281"/>
    <w:rsid w:val="001B22C3"/>
    <w:rsid w:val="001B22F7"/>
    <w:rsid w:val="001B23D8"/>
    <w:rsid w:val="001B262E"/>
    <w:rsid w:val="001B2633"/>
    <w:rsid w:val="001B274B"/>
    <w:rsid w:val="001B279C"/>
    <w:rsid w:val="001B2818"/>
    <w:rsid w:val="001B2860"/>
    <w:rsid w:val="001B2874"/>
    <w:rsid w:val="001B2B5E"/>
    <w:rsid w:val="001B2C1D"/>
    <w:rsid w:val="001B2D3C"/>
    <w:rsid w:val="001B2E7B"/>
    <w:rsid w:val="001B2ED3"/>
    <w:rsid w:val="001B2F13"/>
    <w:rsid w:val="001B30BA"/>
    <w:rsid w:val="001B3253"/>
    <w:rsid w:val="001B32E6"/>
    <w:rsid w:val="001B337D"/>
    <w:rsid w:val="001B338B"/>
    <w:rsid w:val="001B33FF"/>
    <w:rsid w:val="001B3417"/>
    <w:rsid w:val="001B34D3"/>
    <w:rsid w:val="001B34E8"/>
    <w:rsid w:val="001B35B1"/>
    <w:rsid w:val="001B35C7"/>
    <w:rsid w:val="001B35CD"/>
    <w:rsid w:val="001B3634"/>
    <w:rsid w:val="001B368A"/>
    <w:rsid w:val="001B36A3"/>
    <w:rsid w:val="001B379E"/>
    <w:rsid w:val="001B380B"/>
    <w:rsid w:val="001B39BF"/>
    <w:rsid w:val="001B3A56"/>
    <w:rsid w:val="001B3B18"/>
    <w:rsid w:val="001B3B81"/>
    <w:rsid w:val="001B3C42"/>
    <w:rsid w:val="001B3CCB"/>
    <w:rsid w:val="001B3CD1"/>
    <w:rsid w:val="001B3E34"/>
    <w:rsid w:val="001B3F12"/>
    <w:rsid w:val="001B3F27"/>
    <w:rsid w:val="001B3F57"/>
    <w:rsid w:val="001B3FF9"/>
    <w:rsid w:val="001B41B4"/>
    <w:rsid w:val="001B41CA"/>
    <w:rsid w:val="001B42AB"/>
    <w:rsid w:val="001B42EF"/>
    <w:rsid w:val="001B43E0"/>
    <w:rsid w:val="001B43F4"/>
    <w:rsid w:val="001B44EC"/>
    <w:rsid w:val="001B44F4"/>
    <w:rsid w:val="001B4605"/>
    <w:rsid w:val="001B472B"/>
    <w:rsid w:val="001B473F"/>
    <w:rsid w:val="001B493B"/>
    <w:rsid w:val="001B4B3A"/>
    <w:rsid w:val="001B4C9B"/>
    <w:rsid w:val="001B4D24"/>
    <w:rsid w:val="001B4D58"/>
    <w:rsid w:val="001B4DD5"/>
    <w:rsid w:val="001B4EC7"/>
    <w:rsid w:val="001B4F79"/>
    <w:rsid w:val="001B513A"/>
    <w:rsid w:val="001B514D"/>
    <w:rsid w:val="001B5161"/>
    <w:rsid w:val="001B51B5"/>
    <w:rsid w:val="001B5288"/>
    <w:rsid w:val="001B5304"/>
    <w:rsid w:val="001B533B"/>
    <w:rsid w:val="001B5399"/>
    <w:rsid w:val="001B54E6"/>
    <w:rsid w:val="001B5568"/>
    <w:rsid w:val="001B566B"/>
    <w:rsid w:val="001B5677"/>
    <w:rsid w:val="001B56C0"/>
    <w:rsid w:val="001B56E2"/>
    <w:rsid w:val="001B58BA"/>
    <w:rsid w:val="001B5915"/>
    <w:rsid w:val="001B5A0D"/>
    <w:rsid w:val="001B5DB5"/>
    <w:rsid w:val="001B5E37"/>
    <w:rsid w:val="001B5F39"/>
    <w:rsid w:val="001B601E"/>
    <w:rsid w:val="001B6068"/>
    <w:rsid w:val="001B61AD"/>
    <w:rsid w:val="001B61E6"/>
    <w:rsid w:val="001B62C7"/>
    <w:rsid w:val="001B62CB"/>
    <w:rsid w:val="001B62E3"/>
    <w:rsid w:val="001B656B"/>
    <w:rsid w:val="001B6659"/>
    <w:rsid w:val="001B678C"/>
    <w:rsid w:val="001B69E4"/>
    <w:rsid w:val="001B6A0C"/>
    <w:rsid w:val="001B6AB6"/>
    <w:rsid w:val="001B6B9A"/>
    <w:rsid w:val="001B6C30"/>
    <w:rsid w:val="001B6DAD"/>
    <w:rsid w:val="001B6EA5"/>
    <w:rsid w:val="001B7017"/>
    <w:rsid w:val="001B70A5"/>
    <w:rsid w:val="001B716E"/>
    <w:rsid w:val="001B71D1"/>
    <w:rsid w:val="001B725A"/>
    <w:rsid w:val="001B7283"/>
    <w:rsid w:val="001B72F1"/>
    <w:rsid w:val="001B7377"/>
    <w:rsid w:val="001B743F"/>
    <w:rsid w:val="001B7447"/>
    <w:rsid w:val="001B74B3"/>
    <w:rsid w:val="001B74FB"/>
    <w:rsid w:val="001B75C3"/>
    <w:rsid w:val="001B760B"/>
    <w:rsid w:val="001B7614"/>
    <w:rsid w:val="001B763E"/>
    <w:rsid w:val="001B7711"/>
    <w:rsid w:val="001B7722"/>
    <w:rsid w:val="001B78BD"/>
    <w:rsid w:val="001B78C6"/>
    <w:rsid w:val="001B79D7"/>
    <w:rsid w:val="001B79F2"/>
    <w:rsid w:val="001B7A19"/>
    <w:rsid w:val="001B7A6B"/>
    <w:rsid w:val="001B7B37"/>
    <w:rsid w:val="001B7BB7"/>
    <w:rsid w:val="001B7E7F"/>
    <w:rsid w:val="001B7EFB"/>
    <w:rsid w:val="001BB341"/>
    <w:rsid w:val="001BD509"/>
    <w:rsid w:val="001C002E"/>
    <w:rsid w:val="001C0168"/>
    <w:rsid w:val="001C016F"/>
    <w:rsid w:val="001C018E"/>
    <w:rsid w:val="001C03E9"/>
    <w:rsid w:val="001C04FF"/>
    <w:rsid w:val="001C059C"/>
    <w:rsid w:val="001C05E8"/>
    <w:rsid w:val="001C0650"/>
    <w:rsid w:val="001C06E1"/>
    <w:rsid w:val="001C06E6"/>
    <w:rsid w:val="001C0789"/>
    <w:rsid w:val="001C07A3"/>
    <w:rsid w:val="001C07B4"/>
    <w:rsid w:val="001C0832"/>
    <w:rsid w:val="001C097C"/>
    <w:rsid w:val="001C0A5D"/>
    <w:rsid w:val="001C0B15"/>
    <w:rsid w:val="001C0BA4"/>
    <w:rsid w:val="001C0C00"/>
    <w:rsid w:val="001C0C06"/>
    <w:rsid w:val="001C0C20"/>
    <w:rsid w:val="001C0CA2"/>
    <w:rsid w:val="001C0D24"/>
    <w:rsid w:val="001C0DBF"/>
    <w:rsid w:val="001C0DE6"/>
    <w:rsid w:val="001C0E50"/>
    <w:rsid w:val="001C0E56"/>
    <w:rsid w:val="001C0F0E"/>
    <w:rsid w:val="001C0F80"/>
    <w:rsid w:val="001C12A5"/>
    <w:rsid w:val="001C1505"/>
    <w:rsid w:val="001C1587"/>
    <w:rsid w:val="001C16CB"/>
    <w:rsid w:val="001C16CD"/>
    <w:rsid w:val="001C171C"/>
    <w:rsid w:val="001C1806"/>
    <w:rsid w:val="001C184D"/>
    <w:rsid w:val="001C18C3"/>
    <w:rsid w:val="001C1963"/>
    <w:rsid w:val="001C1991"/>
    <w:rsid w:val="001C199F"/>
    <w:rsid w:val="001C1AB4"/>
    <w:rsid w:val="001C1D0D"/>
    <w:rsid w:val="001C1D9F"/>
    <w:rsid w:val="001C1DB6"/>
    <w:rsid w:val="001C1DE2"/>
    <w:rsid w:val="001C1F81"/>
    <w:rsid w:val="001C2049"/>
    <w:rsid w:val="001C2157"/>
    <w:rsid w:val="001C21F9"/>
    <w:rsid w:val="001C23D5"/>
    <w:rsid w:val="001C24D0"/>
    <w:rsid w:val="001C24E6"/>
    <w:rsid w:val="001C24EB"/>
    <w:rsid w:val="001C2552"/>
    <w:rsid w:val="001C25FE"/>
    <w:rsid w:val="001C2666"/>
    <w:rsid w:val="001C268E"/>
    <w:rsid w:val="001C2694"/>
    <w:rsid w:val="001C2765"/>
    <w:rsid w:val="001C27D4"/>
    <w:rsid w:val="001C2832"/>
    <w:rsid w:val="001C288F"/>
    <w:rsid w:val="001C28B0"/>
    <w:rsid w:val="001C299A"/>
    <w:rsid w:val="001C2C14"/>
    <w:rsid w:val="001C2CA6"/>
    <w:rsid w:val="001C2CE1"/>
    <w:rsid w:val="001C2D7A"/>
    <w:rsid w:val="001C2E51"/>
    <w:rsid w:val="001C2EC6"/>
    <w:rsid w:val="001C2ECC"/>
    <w:rsid w:val="001C2F01"/>
    <w:rsid w:val="001C306E"/>
    <w:rsid w:val="001C3105"/>
    <w:rsid w:val="001C3106"/>
    <w:rsid w:val="001C315C"/>
    <w:rsid w:val="001C31B2"/>
    <w:rsid w:val="001C322E"/>
    <w:rsid w:val="001C33AC"/>
    <w:rsid w:val="001C34E9"/>
    <w:rsid w:val="001C357B"/>
    <w:rsid w:val="001C3803"/>
    <w:rsid w:val="001C3864"/>
    <w:rsid w:val="001C39A0"/>
    <w:rsid w:val="001C3AF5"/>
    <w:rsid w:val="001C3B05"/>
    <w:rsid w:val="001C3B8E"/>
    <w:rsid w:val="001C3BD4"/>
    <w:rsid w:val="001C3CAE"/>
    <w:rsid w:val="001C3CD5"/>
    <w:rsid w:val="001C3CEE"/>
    <w:rsid w:val="001C3E9C"/>
    <w:rsid w:val="001C3FD9"/>
    <w:rsid w:val="001C424E"/>
    <w:rsid w:val="001C42FC"/>
    <w:rsid w:val="001C4385"/>
    <w:rsid w:val="001C43AE"/>
    <w:rsid w:val="001C4592"/>
    <w:rsid w:val="001C459F"/>
    <w:rsid w:val="001C4712"/>
    <w:rsid w:val="001C482E"/>
    <w:rsid w:val="001C4A4E"/>
    <w:rsid w:val="001C4A9A"/>
    <w:rsid w:val="001C4B10"/>
    <w:rsid w:val="001C4B9E"/>
    <w:rsid w:val="001C4BA0"/>
    <w:rsid w:val="001C4BF9"/>
    <w:rsid w:val="001C4C16"/>
    <w:rsid w:val="001C4DB0"/>
    <w:rsid w:val="001C4DD1"/>
    <w:rsid w:val="001C4ED9"/>
    <w:rsid w:val="001C4FC2"/>
    <w:rsid w:val="001C503F"/>
    <w:rsid w:val="001C508C"/>
    <w:rsid w:val="001C514A"/>
    <w:rsid w:val="001C5154"/>
    <w:rsid w:val="001C5312"/>
    <w:rsid w:val="001C53B2"/>
    <w:rsid w:val="001C53BE"/>
    <w:rsid w:val="001C5494"/>
    <w:rsid w:val="001C56F3"/>
    <w:rsid w:val="001C5734"/>
    <w:rsid w:val="001C5816"/>
    <w:rsid w:val="001C5818"/>
    <w:rsid w:val="001C593B"/>
    <w:rsid w:val="001C5966"/>
    <w:rsid w:val="001C59BD"/>
    <w:rsid w:val="001C59E5"/>
    <w:rsid w:val="001C5A92"/>
    <w:rsid w:val="001C5B4D"/>
    <w:rsid w:val="001C5C38"/>
    <w:rsid w:val="001C5C4C"/>
    <w:rsid w:val="001C5FEB"/>
    <w:rsid w:val="001C600D"/>
    <w:rsid w:val="001C6084"/>
    <w:rsid w:val="001C60FE"/>
    <w:rsid w:val="001C6179"/>
    <w:rsid w:val="001C632C"/>
    <w:rsid w:val="001C643C"/>
    <w:rsid w:val="001C651B"/>
    <w:rsid w:val="001C65A6"/>
    <w:rsid w:val="001C65FE"/>
    <w:rsid w:val="001C6783"/>
    <w:rsid w:val="001C6956"/>
    <w:rsid w:val="001C6990"/>
    <w:rsid w:val="001C69F6"/>
    <w:rsid w:val="001C6A7C"/>
    <w:rsid w:val="001C6B68"/>
    <w:rsid w:val="001C6E93"/>
    <w:rsid w:val="001C6FCC"/>
    <w:rsid w:val="001C6FF8"/>
    <w:rsid w:val="001C701C"/>
    <w:rsid w:val="001C708C"/>
    <w:rsid w:val="001C711F"/>
    <w:rsid w:val="001C72CE"/>
    <w:rsid w:val="001C72E3"/>
    <w:rsid w:val="001C7435"/>
    <w:rsid w:val="001C7457"/>
    <w:rsid w:val="001C7472"/>
    <w:rsid w:val="001C74CE"/>
    <w:rsid w:val="001C7548"/>
    <w:rsid w:val="001C7632"/>
    <w:rsid w:val="001C76DA"/>
    <w:rsid w:val="001C7708"/>
    <w:rsid w:val="001C770D"/>
    <w:rsid w:val="001C7720"/>
    <w:rsid w:val="001C781E"/>
    <w:rsid w:val="001C79B0"/>
    <w:rsid w:val="001C7A08"/>
    <w:rsid w:val="001C7A8E"/>
    <w:rsid w:val="001C7C14"/>
    <w:rsid w:val="001C7C76"/>
    <w:rsid w:val="001C7D55"/>
    <w:rsid w:val="001C7DE2"/>
    <w:rsid w:val="001C7DE9"/>
    <w:rsid w:val="001C7EFC"/>
    <w:rsid w:val="001D0079"/>
    <w:rsid w:val="001D02B0"/>
    <w:rsid w:val="001D0321"/>
    <w:rsid w:val="001D0425"/>
    <w:rsid w:val="001D0436"/>
    <w:rsid w:val="001D04BB"/>
    <w:rsid w:val="001D0513"/>
    <w:rsid w:val="001D0599"/>
    <w:rsid w:val="001D05A2"/>
    <w:rsid w:val="001D0604"/>
    <w:rsid w:val="001D06B8"/>
    <w:rsid w:val="001D06F1"/>
    <w:rsid w:val="001D0709"/>
    <w:rsid w:val="001D0856"/>
    <w:rsid w:val="001D08F6"/>
    <w:rsid w:val="001D08FE"/>
    <w:rsid w:val="001D0934"/>
    <w:rsid w:val="001D095E"/>
    <w:rsid w:val="001D0986"/>
    <w:rsid w:val="001D0A6D"/>
    <w:rsid w:val="001D0A7D"/>
    <w:rsid w:val="001D0B14"/>
    <w:rsid w:val="001D0B5D"/>
    <w:rsid w:val="001D0CB5"/>
    <w:rsid w:val="001D0CF2"/>
    <w:rsid w:val="001D0DB1"/>
    <w:rsid w:val="001D0E1A"/>
    <w:rsid w:val="001D0E70"/>
    <w:rsid w:val="001D0ECE"/>
    <w:rsid w:val="001D0F7B"/>
    <w:rsid w:val="001D0FE0"/>
    <w:rsid w:val="001D1025"/>
    <w:rsid w:val="001D104E"/>
    <w:rsid w:val="001D10F9"/>
    <w:rsid w:val="001D1245"/>
    <w:rsid w:val="001D137E"/>
    <w:rsid w:val="001D1402"/>
    <w:rsid w:val="001D1484"/>
    <w:rsid w:val="001D154F"/>
    <w:rsid w:val="001D157D"/>
    <w:rsid w:val="001D1661"/>
    <w:rsid w:val="001D17B6"/>
    <w:rsid w:val="001D1A11"/>
    <w:rsid w:val="001D1A49"/>
    <w:rsid w:val="001D1A5A"/>
    <w:rsid w:val="001D1B5D"/>
    <w:rsid w:val="001D1B7B"/>
    <w:rsid w:val="001D1B9D"/>
    <w:rsid w:val="001D1BB8"/>
    <w:rsid w:val="001D1C33"/>
    <w:rsid w:val="001D1D15"/>
    <w:rsid w:val="001D1F2B"/>
    <w:rsid w:val="001D1F5D"/>
    <w:rsid w:val="001D200C"/>
    <w:rsid w:val="001D230E"/>
    <w:rsid w:val="001D2335"/>
    <w:rsid w:val="001D239E"/>
    <w:rsid w:val="001D2454"/>
    <w:rsid w:val="001D2558"/>
    <w:rsid w:val="001D26E3"/>
    <w:rsid w:val="001D272E"/>
    <w:rsid w:val="001D28CD"/>
    <w:rsid w:val="001D2905"/>
    <w:rsid w:val="001D2A97"/>
    <w:rsid w:val="001D2A9F"/>
    <w:rsid w:val="001D2AD5"/>
    <w:rsid w:val="001D2C67"/>
    <w:rsid w:val="001D2CE5"/>
    <w:rsid w:val="001D2D78"/>
    <w:rsid w:val="001D2E11"/>
    <w:rsid w:val="001D2F3E"/>
    <w:rsid w:val="001D2FAE"/>
    <w:rsid w:val="001D305D"/>
    <w:rsid w:val="001D309A"/>
    <w:rsid w:val="001D310A"/>
    <w:rsid w:val="001D3183"/>
    <w:rsid w:val="001D32F7"/>
    <w:rsid w:val="001D3327"/>
    <w:rsid w:val="001D33C4"/>
    <w:rsid w:val="001D3438"/>
    <w:rsid w:val="001D349F"/>
    <w:rsid w:val="001D34BF"/>
    <w:rsid w:val="001D3520"/>
    <w:rsid w:val="001D3556"/>
    <w:rsid w:val="001D357D"/>
    <w:rsid w:val="001D3596"/>
    <w:rsid w:val="001D35DE"/>
    <w:rsid w:val="001D3647"/>
    <w:rsid w:val="001D3666"/>
    <w:rsid w:val="001D369D"/>
    <w:rsid w:val="001D3743"/>
    <w:rsid w:val="001D3750"/>
    <w:rsid w:val="001D37FD"/>
    <w:rsid w:val="001D383F"/>
    <w:rsid w:val="001D385E"/>
    <w:rsid w:val="001D38C8"/>
    <w:rsid w:val="001D38E2"/>
    <w:rsid w:val="001D38E8"/>
    <w:rsid w:val="001D3935"/>
    <w:rsid w:val="001D397E"/>
    <w:rsid w:val="001D3A16"/>
    <w:rsid w:val="001D3A81"/>
    <w:rsid w:val="001D3A9D"/>
    <w:rsid w:val="001D3B88"/>
    <w:rsid w:val="001D3B8A"/>
    <w:rsid w:val="001D3BDA"/>
    <w:rsid w:val="001D3C5E"/>
    <w:rsid w:val="001D3D6F"/>
    <w:rsid w:val="001D3E15"/>
    <w:rsid w:val="001D3EDF"/>
    <w:rsid w:val="001D3EFE"/>
    <w:rsid w:val="001D3F6C"/>
    <w:rsid w:val="001D4125"/>
    <w:rsid w:val="001D414B"/>
    <w:rsid w:val="001D426C"/>
    <w:rsid w:val="001D429B"/>
    <w:rsid w:val="001D431D"/>
    <w:rsid w:val="001D4480"/>
    <w:rsid w:val="001D44EA"/>
    <w:rsid w:val="001D4548"/>
    <w:rsid w:val="001D455C"/>
    <w:rsid w:val="001D456C"/>
    <w:rsid w:val="001D459C"/>
    <w:rsid w:val="001D45BB"/>
    <w:rsid w:val="001D4601"/>
    <w:rsid w:val="001D464E"/>
    <w:rsid w:val="001D46CA"/>
    <w:rsid w:val="001D4712"/>
    <w:rsid w:val="001D4727"/>
    <w:rsid w:val="001D4869"/>
    <w:rsid w:val="001D4873"/>
    <w:rsid w:val="001D48A9"/>
    <w:rsid w:val="001D4AFF"/>
    <w:rsid w:val="001D4B05"/>
    <w:rsid w:val="001D4B5F"/>
    <w:rsid w:val="001D4B92"/>
    <w:rsid w:val="001D4C74"/>
    <w:rsid w:val="001D4F15"/>
    <w:rsid w:val="001D4F8B"/>
    <w:rsid w:val="001D4FA7"/>
    <w:rsid w:val="001D508F"/>
    <w:rsid w:val="001D518F"/>
    <w:rsid w:val="001D5324"/>
    <w:rsid w:val="001D56BE"/>
    <w:rsid w:val="001D57B8"/>
    <w:rsid w:val="001D57BD"/>
    <w:rsid w:val="001D57CF"/>
    <w:rsid w:val="001D58E8"/>
    <w:rsid w:val="001D58E9"/>
    <w:rsid w:val="001D598D"/>
    <w:rsid w:val="001D5A59"/>
    <w:rsid w:val="001D5AE3"/>
    <w:rsid w:val="001D5B03"/>
    <w:rsid w:val="001D5BDE"/>
    <w:rsid w:val="001D5C80"/>
    <w:rsid w:val="001D5C90"/>
    <w:rsid w:val="001D5D3B"/>
    <w:rsid w:val="001D5DCB"/>
    <w:rsid w:val="001D5DD9"/>
    <w:rsid w:val="001D6011"/>
    <w:rsid w:val="001D606A"/>
    <w:rsid w:val="001D6194"/>
    <w:rsid w:val="001D621E"/>
    <w:rsid w:val="001D62BC"/>
    <w:rsid w:val="001D6457"/>
    <w:rsid w:val="001D6560"/>
    <w:rsid w:val="001D6795"/>
    <w:rsid w:val="001D6834"/>
    <w:rsid w:val="001D68EA"/>
    <w:rsid w:val="001D691B"/>
    <w:rsid w:val="001D6A2C"/>
    <w:rsid w:val="001D6A43"/>
    <w:rsid w:val="001D6B43"/>
    <w:rsid w:val="001D6B4F"/>
    <w:rsid w:val="001D6BA6"/>
    <w:rsid w:val="001D6C0E"/>
    <w:rsid w:val="001D6C28"/>
    <w:rsid w:val="001D6CA5"/>
    <w:rsid w:val="001D6CF6"/>
    <w:rsid w:val="001D6D2E"/>
    <w:rsid w:val="001D6D59"/>
    <w:rsid w:val="001D6DA0"/>
    <w:rsid w:val="001D6DAD"/>
    <w:rsid w:val="001D6E00"/>
    <w:rsid w:val="001D70D2"/>
    <w:rsid w:val="001D71BD"/>
    <w:rsid w:val="001D726A"/>
    <w:rsid w:val="001D72C1"/>
    <w:rsid w:val="001D7386"/>
    <w:rsid w:val="001D741F"/>
    <w:rsid w:val="001D7424"/>
    <w:rsid w:val="001D7446"/>
    <w:rsid w:val="001D74E2"/>
    <w:rsid w:val="001D7549"/>
    <w:rsid w:val="001D7597"/>
    <w:rsid w:val="001D76A1"/>
    <w:rsid w:val="001D7726"/>
    <w:rsid w:val="001D7733"/>
    <w:rsid w:val="001D773E"/>
    <w:rsid w:val="001D7866"/>
    <w:rsid w:val="001D7884"/>
    <w:rsid w:val="001D78DC"/>
    <w:rsid w:val="001D7958"/>
    <w:rsid w:val="001D79C3"/>
    <w:rsid w:val="001D7A36"/>
    <w:rsid w:val="001D7BBA"/>
    <w:rsid w:val="001D7CA7"/>
    <w:rsid w:val="001D7CCE"/>
    <w:rsid w:val="001D7EBC"/>
    <w:rsid w:val="001D7F12"/>
    <w:rsid w:val="001D7F2A"/>
    <w:rsid w:val="001D7F7B"/>
    <w:rsid w:val="001D7FEC"/>
    <w:rsid w:val="001E0116"/>
    <w:rsid w:val="001E0231"/>
    <w:rsid w:val="001E0236"/>
    <w:rsid w:val="001E02FD"/>
    <w:rsid w:val="001E031D"/>
    <w:rsid w:val="001E0335"/>
    <w:rsid w:val="001E0515"/>
    <w:rsid w:val="001E0531"/>
    <w:rsid w:val="001E0566"/>
    <w:rsid w:val="001E0664"/>
    <w:rsid w:val="001E07FF"/>
    <w:rsid w:val="001E081D"/>
    <w:rsid w:val="001E0822"/>
    <w:rsid w:val="001E0884"/>
    <w:rsid w:val="001E0891"/>
    <w:rsid w:val="001E08F3"/>
    <w:rsid w:val="001E0A9B"/>
    <w:rsid w:val="001E0AC8"/>
    <w:rsid w:val="001E0BD3"/>
    <w:rsid w:val="001E0C00"/>
    <w:rsid w:val="001E0C43"/>
    <w:rsid w:val="001E0C55"/>
    <w:rsid w:val="001E0C6F"/>
    <w:rsid w:val="001E0E83"/>
    <w:rsid w:val="001E0E91"/>
    <w:rsid w:val="001E0F21"/>
    <w:rsid w:val="001E0F95"/>
    <w:rsid w:val="001E1031"/>
    <w:rsid w:val="001E11D9"/>
    <w:rsid w:val="001E1273"/>
    <w:rsid w:val="001E1277"/>
    <w:rsid w:val="001E12E9"/>
    <w:rsid w:val="001E1315"/>
    <w:rsid w:val="001E134A"/>
    <w:rsid w:val="001E1AF0"/>
    <w:rsid w:val="001E1AF5"/>
    <w:rsid w:val="001E1C03"/>
    <w:rsid w:val="001E1C32"/>
    <w:rsid w:val="001E1CEC"/>
    <w:rsid w:val="001E1D62"/>
    <w:rsid w:val="001E1DBD"/>
    <w:rsid w:val="001E1E23"/>
    <w:rsid w:val="001E1E2C"/>
    <w:rsid w:val="001E1E5C"/>
    <w:rsid w:val="001E1E98"/>
    <w:rsid w:val="001E20C4"/>
    <w:rsid w:val="001E20EE"/>
    <w:rsid w:val="001E20F9"/>
    <w:rsid w:val="001E217C"/>
    <w:rsid w:val="001E2295"/>
    <w:rsid w:val="001E23A4"/>
    <w:rsid w:val="001E23E3"/>
    <w:rsid w:val="001E24CA"/>
    <w:rsid w:val="001E25F3"/>
    <w:rsid w:val="001E2672"/>
    <w:rsid w:val="001E26DA"/>
    <w:rsid w:val="001E273B"/>
    <w:rsid w:val="001E276F"/>
    <w:rsid w:val="001E27A0"/>
    <w:rsid w:val="001E2821"/>
    <w:rsid w:val="001E2822"/>
    <w:rsid w:val="001E2A8B"/>
    <w:rsid w:val="001E2AC3"/>
    <w:rsid w:val="001E2AE3"/>
    <w:rsid w:val="001E2B10"/>
    <w:rsid w:val="001E2B9D"/>
    <w:rsid w:val="001E2C13"/>
    <w:rsid w:val="001E2C76"/>
    <w:rsid w:val="001E2CC3"/>
    <w:rsid w:val="001E2E83"/>
    <w:rsid w:val="001E2F63"/>
    <w:rsid w:val="001E3009"/>
    <w:rsid w:val="001E31A0"/>
    <w:rsid w:val="001E31A9"/>
    <w:rsid w:val="001E31D9"/>
    <w:rsid w:val="001E32BE"/>
    <w:rsid w:val="001E3373"/>
    <w:rsid w:val="001E3428"/>
    <w:rsid w:val="001E34B6"/>
    <w:rsid w:val="001E35B5"/>
    <w:rsid w:val="001E3623"/>
    <w:rsid w:val="001E366C"/>
    <w:rsid w:val="001E3AB7"/>
    <w:rsid w:val="001E3AD4"/>
    <w:rsid w:val="001E3C68"/>
    <w:rsid w:val="001E3CE0"/>
    <w:rsid w:val="001E3CF1"/>
    <w:rsid w:val="001E3D34"/>
    <w:rsid w:val="001E3E54"/>
    <w:rsid w:val="001E3F0D"/>
    <w:rsid w:val="001E3F55"/>
    <w:rsid w:val="001E3FDD"/>
    <w:rsid w:val="001E4096"/>
    <w:rsid w:val="001E40EE"/>
    <w:rsid w:val="001E4157"/>
    <w:rsid w:val="001E4172"/>
    <w:rsid w:val="001E41B7"/>
    <w:rsid w:val="001E41D8"/>
    <w:rsid w:val="001E427A"/>
    <w:rsid w:val="001E42BF"/>
    <w:rsid w:val="001E4409"/>
    <w:rsid w:val="001E44B5"/>
    <w:rsid w:val="001E450F"/>
    <w:rsid w:val="001E4659"/>
    <w:rsid w:val="001E47F9"/>
    <w:rsid w:val="001E497F"/>
    <w:rsid w:val="001E4B58"/>
    <w:rsid w:val="001E4C5D"/>
    <w:rsid w:val="001E4D54"/>
    <w:rsid w:val="001E4DDC"/>
    <w:rsid w:val="001E4E3F"/>
    <w:rsid w:val="001E4E98"/>
    <w:rsid w:val="001E4EB4"/>
    <w:rsid w:val="001E4FC4"/>
    <w:rsid w:val="001E51C4"/>
    <w:rsid w:val="001E5297"/>
    <w:rsid w:val="001E541F"/>
    <w:rsid w:val="001E54EB"/>
    <w:rsid w:val="001E5527"/>
    <w:rsid w:val="001E5605"/>
    <w:rsid w:val="001E5632"/>
    <w:rsid w:val="001E566A"/>
    <w:rsid w:val="001E5839"/>
    <w:rsid w:val="001E584A"/>
    <w:rsid w:val="001E5AC7"/>
    <w:rsid w:val="001E5C8E"/>
    <w:rsid w:val="001E5C95"/>
    <w:rsid w:val="001E5C9C"/>
    <w:rsid w:val="001E5CA9"/>
    <w:rsid w:val="001E5E35"/>
    <w:rsid w:val="001E5E66"/>
    <w:rsid w:val="001E5E6E"/>
    <w:rsid w:val="001E5EAE"/>
    <w:rsid w:val="001E5EC6"/>
    <w:rsid w:val="001E5FE8"/>
    <w:rsid w:val="001E6005"/>
    <w:rsid w:val="001E6064"/>
    <w:rsid w:val="001E6114"/>
    <w:rsid w:val="001E6203"/>
    <w:rsid w:val="001E622F"/>
    <w:rsid w:val="001E62ED"/>
    <w:rsid w:val="001E6307"/>
    <w:rsid w:val="001E6364"/>
    <w:rsid w:val="001E6462"/>
    <w:rsid w:val="001E648F"/>
    <w:rsid w:val="001E64A7"/>
    <w:rsid w:val="001E676A"/>
    <w:rsid w:val="001E689A"/>
    <w:rsid w:val="001E68CC"/>
    <w:rsid w:val="001E68D3"/>
    <w:rsid w:val="001E6B35"/>
    <w:rsid w:val="001E6BCF"/>
    <w:rsid w:val="001E6C5F"/>
    <w:rsid w:val="001E6C88"/>
    <w:rsid w:val="001E6CAA"/>
    <w:rsid w:val="001E6D54"/>
    <w:rsid w:val="001E6E6B"/>
    <w:rsid w:val="001E6E98"/>
    <w:rsid w:val="001E6FE7"/>
    <w:rsid w:val="001E6FF3"/>
    <w:rsid w:val="001E7004"/>
    <w:rsid w:val="001E7036"/>
    <w:rsid w:val="001E719F"/>
    <w:rsid w:val="001E7261"/>
    <w:rsid w:val="001E728B"/>
    <w:rsid w:val="001E72D2"/>
    <w:rsid w:val="001E72E8"/>
    <w:rsid w:val="001E7334"/>
    <w:rsid w:val="001E733D"/>
    <w:rsid w:val="001E73BD"/>
    <w:rsid w:val="001E754B"/>
    <w:rsid w:val="001E75C7"/>
    <w:rsid w:val="001E75D3"/>
    <w:rsid w:val="001E775D"/>
    <w:rsid w:val="001E7813"/>
    <w:rsid w:val="001E78BF"/>
    <w:rsid w:val="001E7975"/>
    <w:rsid w:val="001E7A2B"/>
    <w:rsid w:val="001E7AEE"/>
    <w:rsid w:val="001E7BD9"/>
    <w:rsid w:val="001E7C07"/>
    <w:rsid w:val="001E7C0A"/>
    <w:rsid w:val="001E7C16"/>
    <w:rsid w:val="001E7C41"/>
    <w:rsid w:val="001E7E1D"/>
    <w:rsid w:val="001E7E29"/>
    <w:rsid w:val="001E7E5E"/>
    <w:rsid w:val="001E7EAC"/>
    <w:rsid w:val="001E7EAE"/>
    <w:rsid w:val="001E7EBC"/>
    <w:rsid w:val="001E7EFA"/>
    <w:rsid w:val="001E7F31"/>
    <w:rsid w:val="001E7F8C"/>
    <w:rsid w:val="001F005B"/>
    <w:rsid w:val="001F006C"/>
    <w:rsid w:val="001F0179"/>
    <w:rsid w:val="001F022C"/>
    <w:rsid w:val="001F0237"/>
    <w:rsid w:val="001F0282"/>
    <w:rsid w:val="001F02B1"/>
    <w:rsid w:val="001F032A"/>
    <w:rsid w:val="001F0451"/>
    <w:rsid w:val="001F05D5"/>
    <w:rsid w:val="001F071F"/>
    <w:rsid w:val="001F08CF"/>
    <w:rsid w:val="001F08F2"/>
    <w:rsid w:val="001F0A62"/>
    <w:rsid w:val="001F0ACF"/>
    <w:rsid w:val="001F0B41"/>
    <w:rsid w:val="001F0BCE"/>
    <w:rsid w:val="001F0C10"/>
    <w:rsid w:val="001F0CB8"/>
    <w:rsid w:val="001F0E2B"/>
    <w:rsid w:val="001F0E33"/>
    <w:rsid w:val="001F0E3E"/>
    <w:rsid w:val="001F0F18"/>
    <w:rsid w:val="001F0FB4"/>
    <w:rsid w:val="001F105D"/>
    <w:rsid w:val="001F10B9"/>
    <w:rsid w:val="001F10D5"/>
    <w:rsid w:val="001F1113"/>
    <w:rsid w:val="001F11FB"/>
    <w:rsid w:val="001F13D8"/>
    <w:rsid w:val="001F15A6"/>
    <w:rsid w:val="001F15C7"/>
    <w:rsid w:val="001F1632"/>
    <w:rsid w:val="001F1793"/>
    <w:rsid w:val="001F17A0"/>
    <w:rsid w:val="001F1840"/>
    <w:rsid w:val="001F193C"/>
    <w:rsid w:val="001F1971"/>
    <w:rsid w:val="001F1AF4"/>
    <w:rsid w:val="001F1C88"/>
    <w:rsid w:val="001F1C92"/>
    <w:rsid w:val="001F1CDF"/>
    <w:rsid w:val="001F1D2D"/>
    <w:rsid w:val="001F1E6E"/>
    <w:rsid w:val="001F1EE7"/>
    <w:rsid w:val="001F2078"/>
    <w:rsid w:val="001F21A0"/>
    <w:rsid w:val="001F21EB"/>
    <w:rsid w:val="001F221D"/>
    <w:rsid w:val="001F2267"/>
    <w:rsid w:val="001F234B"/>
    <w:rsid w:val="001F2361"/>
    <w:rsid w:val="001F2366"/>
    <w:rsid w:val="001F23C2"/>
    <w:rsid w:val="001F2551"/>
    <w:rsid w:val="001F2575"/>
    <w:rsid w:val="001F276B"/>
    <w:rsid w:val="001F287A"/>
    <w:rsid w:val="001F2889"/>
    <w:rsid w:val="001F289B"/>
    <w:rsid w:val="001F29F9"/>
    <w:rsid w:val="001F2A03"/>
    <w:rsid w:val="001F2A24"/>
    <w:rsid w:val="001F2A5F"/>
    <w:rsid w:val="001F2AFF"/>
    <w:rsid w:val="001F2B62"/>
    <w:rsid w:val="001F2BB1"/>
    <w:rsid w:val="001F2BEC"/>
    <w:rsid w:val="001F2D30"/>
    <w:rsid w:val="001F2D53"/>
    <w:rsid w:val="001F2DCC"/>
    <w:rsid w:val="001F2ED0"/>
    <w:rsid w:val="001F2F3A"/>
    <w:rsid w:val="001F2F93"/>
    <w:rsid w:val="001F3042"/>
    <w:rsid w:val="001F308D"/>
    <w:rsid w:val="001F30BC"/>
    <w:rsid w:val="001F310F"/>
    <w:rsid w:val="001F3156"/>
    <w:rsid w:val="001F31DE"/>
    <w:rsid w:val="001F322F"/>
    <w:rsid w:val="001F3255"/>
    <w:rsid w:val="001F3267"/>
    <w:rsid w:val="001F3298"/>
    <w:rsid w:val="001F3520"/>
    <w:rsid w:val="001F3706"/>
    <w:rsid w:val="001F37AD"/>
    <w:rsid w:val="001F37CD"/>
    <w:rsid w:val="001F3859"/>
    <w:rsid w:val="001F3873"/>
    <w:rsid w:val="001F3895"/>
    <w:rsid w:val="001F38C0"/>
    <w:rsid w:val="001F39A5"/>
    <w:rsid w:val="001F39FB"/>
    <w:rsid w:val="001F3A2E"/>
    <w:rsid w:val="001F3AB3"/>
    <w:rsid w:val="001F3B15"/>
    <w:rsid w:val="001F3CC3"/>
    <w:rsid w:val="001F3E32"/>
    <w:rsid w:val="001F4025"/>
    <w:rsid w:val="001F414F"/>
    <w:rsid w:val="001F4295"/>
    <w:rsid w:val="001F42EB"/>
    <w:rsid w:val="001F4330"/>
    <w:rsid w:val="001F43A1"/>
    <w:rsid w:val="001F4436"/>
    <w:rsid w:val="001F45DE"/>
    <w:rsid w:val="001F463E"/>
    <w:rsid w:val="001F47F3"/>
    <w:rsid w:val="001F491E"/>
    <w:rsid w:val="001F4973"/>
    <w:rsid w:val="001F49D9"/>
    <w:rsid w:val="001F4AB5"/>
    <w:rsid w:val="001F4B47"/>
    <w:rsid w:val="001F4BFB"/>
    <w:rsid w:val="001F4CC0"/>
    <w:rsid w:val="001F4CEB"/>
    <w:rsid w:val="001F4D5E"/>
    <w:rsid w:val="001F4D94"/>
    <w:rsid w:val="001F4E0B"/>
    <w:rsid w:val="001F4E67"/>
    <w:rsid w:val="001F4EA9"/>
    <w:rsid w:val="001F4EAE"/>
    <w:rsid w:val="001F501D"/>
    <w:rsid w:val="001F5026"/>
    <w:rsid w:val="001F519A"/>
    <w:rsid w:val="001F5277"/>
    <w:rsid w:val="001F52EA"/>
    <w:rsid w:val="001F5326"/>
    <w:rsid w:val="001F5393"/>
    <w:rsid w:val="001F5538"/>
    <w:rsid w:val="001F5551"/>
    <w:rsid w:val="001F55CF"/>
    <w:rsid w:val="001F5689"/>
    <w:rsid w:val="001F569E"/>
    <w:rsid w:val="001F56E0"/>
    <w:rsid w:val="001F5799"/>
    <w:rsid w:val="001F57E6"/>
    <w:rsid w:val="001F5839"/>
    <w:rsid w:val="001F58E7"/>
    <w:rsid w:val="001F596A"/>
    <w:rsid w:val="001F5977"/>
    <w:rsid w:val="001F5D93"/>
    <w:rsid w:val="001F5E00"/>
    <w:rsid w:val="001F621E"/>
    <w:rsid w:val="001F62DD"/>
    <w:rsid w:val="001F630E"/>
    <w:rsid w:val="001F6333"/>
    <w:rsid w:val="001F63CE"/>
    <w:rsid w:val="001F6449"/>
    <w:rsid w:val="001F6500"/>
    <w:rsid w:val="001F6591"/>
    <w:rsid w:val="001F65A7"/>
    <w:rsid w:val="001F65E0"/>
    <w:rsid w:val="001F65EF"/>
    <w:rsid w:val="001F66C3"/>
    <w:rsid w:val="001F6716"/>
    <w:rsid w:val="001F67A9"/>
    <w:rsid w:val="001F67FE"/>
    <w:rsid w:val="001F6885"/>
    <w:rsid w:val="001F68C8"/>
    <w:rsid w:val="001F6C96"/>
    <w:rsid w:val="001F6CF2"/>
    <w:rsid w:val="001F6D31"/>
    <w:rsid w:val="001F6D82"/>
    <w:rsid w:val="001F6E50"/>
    <w:rsid w:val="001F6E7F"/>
    <w:rsid w:val="001F6EF9"/>
    <w:rsid w:val="001F6FEF"/>
    <w:rsid w:val="001F7013"/>
    <w:rsid w:val="001F7048"/>
    <w:rsid w:val="001F7112"/>
    <w:rsid w:val="001F711A"/>
    <w:rsid w:val="001F7137"/>
    <w:rsid w:val="001F7159"/>
    <w:rsid w:val="001F7178"/>
    <w:rsid w:val="001F71F1"/>
    <w:rsid w:val="001F721A"/>
    <w:rsid w:val="001F72CD"/>
    <w:rsid w:val="001F7300"/>
    <w:rsid w:val="001F740D"/>
    <w:rsid w:val="001F740F"/>
    <w:rsid w:val="001F7420"/>
    <w:rsid w:val="001F752F"/>
    <w:rsid w:val="001F7793"/>
    <w:rsid w:val="001F7805"/>
    <w:rsid w:val="001F78AD"/>
    <w:rsid w:val="001F7905"/>
    <w:rsid w:val="001F79E0"/>
    <w:rsid w:val="001F79FC"/>
    <w:rsid w:val="001F7A17"/>
    <w:rsid w:val="001F7A76"/>
    <w:rsid w:val="001F7B64"/>
    <w:rsid w:val="001F7C02"/>
    <w:rsid w:val="001F7D62"/>
    <w:rsid w:val="001F7DDC"/>
    <w:rsid w:val="001F7E3E"/>
    <w:rsid w:val="0020005B"/>
    <w:rsid w:val="0020007F"/>
    <w:rsid w:val="0020011D"/>
    <w:rsid w:val="00200155"/>
    <w:rsid w:val="0020015B"/>
    <w:rsid w:val="0020017E"/>
    <w:rsid w:val="0020020F"/>
    <w:rsid w:val="00200359"/>
    <w:rsid w:val="00200409"/>
    <w:rsid w:val="0020049B"/>
    <w:rsid w:val="002004E5"/>
    <w:rsid w:val="00200609"/>
    <w:rsid w:val="002007A1"/>
    <w:rsid w:val="0020087B"/>
    <w:rsid w:val="002008B7"/>
    <w:rsid w:val="00200900"/>
    <w:rsid w:val="00200919"/>
    <w:rsid w:val="0020095B"/>
    <w:rsid w:val="00200A5A"/>
    <w:rsid w:val="00200AF4"/>
    <w:rsid w:val="00200B34"/>
    <w:rsid w:val="00200B39"/>
    <w:rsid w:val="00200B4D"/>
    <w:rsid w:val="00201098"/>
    <w:rsid w:val="002011CE"/>
    <w:rsid w:val="0020125C"/>
    <w:rsid w:val="00201374"/>
    <w:rsid w:val="00201400"/>
    <w:rsid w:val="002014CF"/>
    <w:rsid w:val="002014F3"/>
    <w:rsid w:val="00201504"/>
    <w:rsid w:val="00201553"/>
    <w:rsid w:val="00201589"/>
    <w:rsid w:val="002015EF"/>
    <w:rsid w:val="0020163D"/>
    <w:rsid w:val="00201754"/>
    <w:rsid w:val="00201804"/>
    <w:rsid w:val="00201848"/>
    <w:rsid w:val="002018E7"/>
    <w:rsid w:val="002019C0"/>
    <w:rsid w:val="00201C1F"/>
    <w:rsid w:val="00201C3C"/>
    <w:rsid w:val="00201C86"/>
    <w:rsid w:val="00201CCD"/>
    <w:rsid w:val="00201CD6"/>
    <w:rsid w:val="00201D06"/>
    <w:rsid w:val="00201D2A"/>
    <w:rsid w:val="00201E66"/>
    <w:rsid w:val="00201EB9"/>
    <w:rsid w:val="00202036"/>
    <w:rsid w:val="0020205C"/>
    <w:rsid w:val="002020BC"/>
    <w:rsid w:val="002021EE"/>
    <w:rsid w:val="002022BD"/>
    <w:rsid w:val="00202390"/>
    <w:rsid w:val="002024EF"/>
    <w:rsid w:val="0020258B"/>
    <w:rsid w:val="002025F0"/>
    <w:rsid w:val="00202602"/>
    <w:rsid w:val="00202651"/>
    <w:rsid w:val="002026FC"/>
    <w:rsid w:val="0020274F"/>
    <w:rsid w:val="00202757"/>
    <w:rsid w:val="002028C9"/>
    <w:rsid w:val="00202A58"/>
    <w:rsid w:val="00202AB3"/>
    <w:rsid w:val="00202AFE"/>
    <w:rsid w:val="00202B06"/>
    <w:rsid w:val="00202B49"/>
    <w:rsid w:val="00202B4E"/>
    <w:rsid w:val="00202B5D"/>
    <w:rsid w:val="00202B87"/>
    <w:rsid w:val="00202BCF"/>
    <w:rsid w:val="00202BFB"/>
    <w:rsid w:val="00202C62"/>
    <w:rsid w:val="00202C9F"/>
    <w:rsid w:val="00202D18"/>
    <w:rsid w:val="00202D74"/>
    <w:rsid w:val="00202EA8"/>
    <w:rsid w:val="00202F5D"/>
    <w:rsid w:val="00203135"/>
    <w:rsid w:val="0020317B"/>
    <w:rsid w:val="002031FA"/>
    <w:rsid w:val="002032F1"/>
    <w:rsid w:val="00203382"/>
    <w:rsid w:val="00203457"/>
    <w:rsid w:val="0020346C"/>
    <w:rsid w:val="00203473"/>
    <w:rsid w:val="00203480"/>
    <w:rsid w:val="00203522"/>
    <w:rsid w:val="002035C3"/>
    <w:rsid w:val="00203626"/>
    <w:rsid w:val="002036A0"/>
    <w:rsid w:val="002038CE"/>
    <w:rsid w:val="00203909"/>
    <w:rsid w:val="00203A9F"/>
    <w:rsid w:val="00203BD3"/>
    <w:rsid w:val="00203D3E"/>
    <w:rsid w:val="00203D5C"/>
    <w:rsid w:val="00203E6A"/>
    <w:rsid w:val="00203E76"/>
    <w:rsid w:val="00203F39"/>
    <w:rsid w:val="00203FD1"/>
    <w:rsid w:val="00204033"/>
    <w:rsid w:val="00204133"/>
    <w:rsid w:val="00204181"/>
    <w:rsid w:val="002041AD"/>
    <w:rsid w:val="00204366"/>
    <w:rsid w:val="00204443"/>
    <w:rsid w:val="002044CD"/>
    <w:rsid w:val="0020456C"/>
    <w:rsid w:val="002045D4"/>
    <w:rsid w:val="00204636"/>
    <w:rsid w:val="00204718"/>
    <w:rsid w:val="002047AC"/>
    <w:rsid w:val="002047B0"/>
    <w:rsid w:val="002047B4"/>
    <w:rsid w:val="002047D0"/>
    <w:rsid w:val="002048C4"/>
    <w:rsid w:val="002049DC"/>
    <w:rsid w:val="00204A73"/>
    <w:rsid w:val="00204AD0"/>
    <w:rsid w:val="00204B36"/>
    <w:rsid w:val="00204C22"/>
    <w:rsid w:val="00204C2A"/>
    <w:rsid w:val="00204C35"/>
    <w:rsid w:val="00204D58"/>
    <w:rsid w:val="00204D9E"/>
    <w:rsid w:val="00204E71"/>
    <w:rsid w:val="00204F3F"/>
    <w:rsid w:val="00204FBC"/>
    <w:rsid w:val="00205046"/>
    <w:rsid w:val="0020506E"/>
    <w:rsid w:val="002050C5"/>
    <w:rsid w:val="002052B4"/>
    <w:rsid w:val="002052C4"/>
    <w:rsid w:val="002053AF"/>
    <w:rsid w:val="00205440"/>
    <w:rsid w:val="002054E2"/>
    <w:rsid w:val="00205538"/>
    <w:rsid w:val="0020558A"/>
    <w:rsid w:val="00205615"/>
    <w:rsid w:val="0020568D"/>
    <w:rsid w:val="0020569E"/>
    <w:rsid w:val="002056B5"/>
    <w:rsid w:val="002056C7"/>
    <w:rsid w:val="0020571A"/>
    <w:rsid w:val="00205784"/>
    <w:rsid w:val="00205877"/>
    <w:rsid w:val="0020589B"/>
    <w:rsid w:val="00205959"/>
    <w:rsid w:val="00205A6F"/>
    <w:rsid w:val="00205AA8"/>
    <w:rsid w:val="00205AAA"/>
    <w:rsid w:val="00205B00"/>
    <w:rsid w:val="00205B1E"/>
    <w:rsid w:val="00205B9E"/>
    <w:rsid w:val="00205BBB"/>
    <w:rsid w:val="00205D78"/>
    <w:rsid w:val="00205E7D"/>
    <w:rsid w:val="0020608C"/>
    <w:rsid w:val="002060D3"/>
    <w:rsid w:val="002060DB"/>
    <w:rsid w:val="00206116"/>
    <w:rsid w:val="00206119"/>
    <w:rsid w:val="00206147"/>
    <w:rsid w:val="00206190"/>
    <w:rsid w:val="00206248"/>
    <w:rsid w:val="0020628A"/>
    <w:rsid w:val="0020628F"/>
    <w:rsid w:val="00206325"/>
    <w:rsid w:val="0020638E"/>
    <w:rsid w:val="002063F2"/>
    <w:rsid w:val="00206412"/>
    <w:rsid w:val="00206506"/>
    <w:rsid w:val="00206530"/>
    <w:rsid w:val="00206544"/>
    <w:rsid w:val="00206637"/>
    <w:rsid w:val="00206717"/>
    <w:rsid w:val="0020671B"/>
    <w:rsid w:val="00206728"/>
    <w:rsid w:val="0020674A"/>
    <w:rsid w:val="00206789"/>
    <w:rsid w:val="00206818"/>
    <w:rsid w:val="0020692A"/>
    <w:rsid w:val="002069D5"/>
    <w:rsid w:val="00206A66"/>
    <w:rsid w:val="00206A8C"/>
    <w:rsid w:val="00206AC6"/>
    <w:rsid w:val="00206D74"/>
    <w:rsid w:val="00206E6E"/>
    <w:rsid w:val="00206EB4"/>
    <w:rsid w:val="00206EBE"/>
    <w:rsid w:val="00207032"/>
    <w:rsid w:val="002071BB"/>
    <w:rsid w:val="002072A2"/>
    <w:rsid w:val="002072B6"/>
    <w:rsid w:val="0020732A"/>
    <w:rsid w:val="0020732F"/>
    <w:rsid w:val="00207363"/>
    <w:rsid w:val="00207395"/>
    <w:rsid w:val="0020757A"/>
    <w:rsid w:val="00207713"/>
    <w:rsid w:val="002077A0"/>
    <w:rsid w:val="002077B8"/>
    <w:rsid w:val="002077FB"/>
    <w:rsid w:val="0020784E"/>
    <w:rsid w:val="002078CA"/>
    <w:rsid w:val="002078E6"/>
    <w:rsid w:val="00207990"/>
    <w:rsid w:val="00207C59"/>
    <w:rsid w:val="00207C8C"/>
    <w:rsid w:val="00207D91"/>
    <w:rsid w:val="00207EC3"/>
    <w:rsid w:val="00207F49"/>
    <w:rsid w:val="00207F64"/>
    <w:rsid w:val="0021001F"/>
    <w:rsid w:val="00210028"/>
    <w:rsid w:val="002100FE"/>
    <w:rsid w:val="00210106"/>
    <w:rsid w:val="0021021B"/>
    <w:rsid w:val="002102E5"/>
    <w:rsid w:val="002102FB"/>
    <w:rsid w:val="0021055E"/>
    <w:rsid w:val="0021057E"/>
    <w:rsid w:val="00210637"/>
    <w:rsid w:val="0021067F"/>
    <w:rsid w:val="002106C1"/>
    <w:rsid w:val="002106CD"/>
    <w:rsid w:val="0021073B"/>
    <w:rsid w:val="0021085C"/>
    <w:rsid w:val="0021096D"/>
    <w:rsid w:val="00210AC3"/>
    <w:rsid w:val="00210C9A"/>
    <w:rsid w:val="00210D65"/>
    <w:rsid w:val="00210D88"/>
    <w:rsid w:val="00210DAC"/>
    <w:rsid w:val="00210DBB"/>
    <w:rsid w:val="00210DD3"/>
    <w:rsid w:val="00210DDD"/>
    <w:rsid w:val="00210DF2"/>
    <w:rsid w:val="00210E1E"/>
    <w:rsid w:val="0021101A"/>
    <w:rsid w:val="002110A3"/>
    <w:rsid w:val="002110F8"/>
    <w:rsid w:val="00211157"/>
    <w:rsid w:val="00211233"/>
    <w:rsid w:val="002112D6"/>
    <w:rsid w:val="00211392"/>
    <w:rsid w:val="0021142C"/>
    <w:rsid w:val="00211469"/>
    <w:rsid w:val="00211483"/>
    <w:rsid w:val="002114F2"/>
    <w:rsid w:val="00211502"/>
    <w:rsid w:val="00211507"/>
    <w:rsid w:val="00211519"/>
    <w:rsid w:val="00211608"/>
    <w:rsid w:val="00211707"/>
    <w:rsid w:val="0021172B"/>
    <w:rsid w:val="00211762"/>
    <w:rsid w:val="0021176C"/>
    <w:rsid w:val="00211829"/>
    <w:rsid w:val="002118DE"/>
    <w:rsid w:val="00211935"/>
    <w:rsid w:val="002119F0"/>
    <w:rsid w:val="00211B26"/>
    <w:rsid w:val="00211B3E"/>
    <w:rsid w:val="00211B74"/>
    <w:rsid w:val="00211CB5"/>
    <w:rsid w:val="00211D90"/>
    <w:rsid w:val="00211DF0"/>
    <w:rsid w:val="00211E73"/>
    <w:rsid w:val="00211E91"/>
    <w:rsid w:val="00211EE4"/>
    <w:rsid w:val="002120F7"/>
    <w:rsid w:val="0021223D"/>
    <w:rsid w:val="0021224A"/>
    <w:rsid w:val="00212475"/>
    <w:rsid w:val="002124EF"/>
    <w:rsid w:val="00212574"/>
    <w:rsid w:val="00212656"/>
    <w:rsid w:val="00212702"/>
    <w:rsid w:val="00212710"/>
    <w:rsid w:val="002127E8"/>
    <w:rsid w:val="00212846"/>
    <w:rsid w:val="0021289B"/>
    <w:rsid w:val="002128B2"/>
    <w:rsid w:val="00212928"/>
    <w:rsid w:val="00212968"/>
    <w:rsid w:val="00212998"/>
    <w:rsid w:val="00212A33"/>
    <w:rsid w:val="00212B11"/>
    <w:rsid w:val="00212B53"/>
    <w:rsid w:val="00212B63"/>
    <w:rsid w:val="00212BEE"/>
    <w:rsid w:val="00212D36"/>
    <w:rsid w:val="00212D97"/>
    <w:rsid w:val="00212E2C"/>
    <w:rsid w:val="00212E67"/>
    <w:rsid w:val="00212E86"/>
    <w:rsid w:val="00212F76"/>
    <w:rsid w:val="00212FD1"/>
    <w:rsid w:val="00212FD7"/>
    <w:rsid w:val="0021314C"/>
    <w:rsid w:val="002131A6"/>
    <w:rsid w:val="002131BF"/>
    <w:rsid w:val="002131EC"/>
    <w:rsid w:val="00213338"/>
    <w:rsid w:val="00213355"/>
    <w:rsid w:val="00213379"/>
    <w:rsid w:val="0021342D"/>
    <w:rsid w:val="00213464"/>
    <w:rsid w:val="0021347C"/>
    <w:rsid w:val="002135C7"/>
    <w:rsid w:val="002136C5"/>
    <w:rsid w:val="0021373A"/>
    <w:rsid w:val="00213756"/>
    <w:rsid w:val="002137AC"/>
    <w:rsid w:val="002137B9"/>
    <w:rsid w:val="00213803"/>
    <w:rsid w:val="00213866"/>
    <w:rsid w:val="002138EF"/>
    <w:rsid w:val="00213907"/>
    <w:rsid w:val="0021396F"/>
    <w:rsid w:val="00213985"/>
    <w:rsid w:val="002139E2"/>
    <w:rsid w:val="00213A5B"/>
    <w:rsid w:val="00213B23"/>
    <w:rsid w:val="00213B5C"/>
    <w:rsid w:val="00213C28"/>
    <w:rsid w:val="00213C85"/>
    <w:rsid w:val="00213D27"/>
    <w:rsid w:val="00213DB4"/>
    <w:rsid w:val="00213E45"/>
    <w:rsid w:val="00213EA4"/>
    <w:rsid w:val="00213EFE"/>
    <w:rsid w:val="00213F2C"/>
    <w:rsid w:val="00214118"/>
    <w:rsid w:val="00214197"/>
    <w:rsid w:val="002143A5"/>
    <w:rsid w:val="00214417"/>
    <w:rsid w:val="0021450E"/>
    <w:rsid w:val="002145CF"/>
    <w:rsid w:val="002146F5"/>
    <w:rsid w:val="0021475C"/>
    <w:rsid w:val="0021477E"/>
    <w:rsid w:val="002147B9"/>
    <w:rsid w:val="002147C2"/>
    <w:rsid w:val="00214817"/>
    <w:rsid w:val="00214868"/>
    <w:rsid w:val="0021491F"/>
    <w:rsid w:val="00214983"/>
    <w:rsid w:val="00214A5D"/>
    <w:rsid w:val="00214B1A"/>
    <w:rsid w:val="00214B93"/>
    <w:rsid w:val="00214B95"/>
    <w:rsid w:val="00214BA0"/>
    <w:rsid w:val="00214BAF"/>
    <w:rsid w:val="00214CDA"/>
    <w:rsid w:val="00214D1C"/>
    <w:rsid w:val="00214E70"/>
    <w:rsid w:val="00214EA0"/>
    <w:rsid w:val="00214EB1"/>
    <w:rsid w:val="00214F07"/>
    <w:rsid w:val="00214F6D"/>
    <w:rsid w:val="00214FA6"/>
    <w:rsid w:val="00214FBB"/>
    <w:rsid w:val="00214FD4"/>
    <w:rsid w:val="00215138"/>
    <w:rsid w:val="0021514A"/>
    <w:rsid w:val="00215155"/>
    <w:rsid w:val="002151E7"/>
    <w:rsid w:val="002151F0"/>
    <w:rsid w:val="00215234"/>
    <w:rsid w:val="002152FC"/>
    <w:rsid w:val="00215472"/>
    <w:rsid w:val="002154C2"/>
    <w:rsid w:val="002154E2"/>
    <w:rsid w:val="00215515"/>
    <w:rsid w:val="002155EC"/>
    <w:rsid w:val="002155FB"/>
    <w:rsid w:val="00215670"/>
    <w:rsid w:val="0021570E"/>
    <w:rsid w:val="002157FA"/>
    <w:rsid w:val="0021588C"/>
    <w:rsid w:val="00215A49"/>
    <w:rsid w:val="00215AE7"/>
    <w:rsid w:val="00215AF5"/>
    <w:rsid w:val="00215BD1"/>
    <w:rsid w:val="00215DF3"/>
    <w:rsid w:val="00215E28"/>
    <w:rsid w:val="00215F87"/>
    <w:rsid w:val="00216030"/>
    <w:rsid w:val="00216183"/>
    <w:rsid w:val="0021619A"/>
    <w:rsid w:val="002161BE"/>
    <w:rsid w:val="002161DB"/>
    <w:rsid w:val="002165D4"/>
    <w:rsid w:val="002166A3"/>
    <w:rsid w:val="002166E1"/>
    <w:rsid w:val="0021673F"/>
    <w:rsid w:val="002167B7"/>
    <w:rsid w:val="00216820"/>
    <w:rsid w:val="0021683E"/>
    <w:rsid w:val="002168E3"/>
    <w:rsid w:val="00216CCA"/>
    <w:rsid w:val="00216D91"/>
    <w:rsid w:val="00216DF9"/>
    <w:rsid w:val="00216E19"/>
    <w:rsid w:val="00216E8A"/>
    <w:rsid w:val="00216EDB"/>
    <w:rsid w:val="00216F72"/>
    <w:rsid w:val="00216F8A"/>
    <w:rsid w:val="00216FBA"/>
    <w:rsid w:val="00217029"/>
    <w:rsid w:val="00217086"/>
    <w:rsid w:val="002171AA"/>
    <w:rsid w:val="002172BA"/>
    <w:rsid w:val="0021739D"/>
    <w:rsid w:val="00217401"/>
    <w:rsid w:val="00217425"/>
    <w:rsid w:val="002174DF"/>
    <w:rsid w:val="002175CF"/>
    <w:rsid w:val="002178D5"/>
    <w:rsid w:val="00217A43"/>
    <w:rsid w:val="00217B39"/>
    <w:rsid w:val="00217C22"/>
    <w:rsid w:val="00217C73"/>
    <w:rsid w:val="00217CB0"/>
    <w:rsid w:val="00217DCC"/>
    <w:rsid w:val="00217E19"/>
    <w:rsid w:val="00217E4B"/>
    <w:rsid w:val="00217EBE"/>
    <w:rsid w:val="00217F44"/>
    <w:rsid w:val="00220115"/>
    <w:rsid w:val="002201A2"/>
    <w:rsid w:val="002201F8"/>
    <w:rsid w:val="00220324"/>
    <w:rsid w:val="00220359"/>
    <w:rsid w:val="002203FC"/>
    <w:rsid w:val="00220435"/>
    <w:rsid w:val="002204A4"/>
    <w:rsid w:val="00220508"/>
    <w:rsid w:val="00220568"/>
    <w:rsid w:val="002205F6"/>
    <w:rsid w:val="0022060F"/>
    <w:rsid w:val="00220665"/>
    <w:rsid w:val="002206A6"/>
    <w:rsid w:val="002206AE"/>
    <w:rsid w:val="002206EF"/>
    <w:rsid w:val="00220764"/>
    <w:rsid w:val="00220847"/>
    <w:rsid w:val="00220874"/>
    <w:rsid w:val="002208CC"/>
    <w:rsid w:val="00220A1C"/>
    <w:rsid w:val="00220A32"/>
    <w:rsid w:val="00220B91"/>
    <w:rsid w:val="00220BD8"/>
    <w:rsid w:val="00220D09"/>
    <w:rsid w:val="00220E57"/>
    <w:rsid w:val="00220E5E"/>
    <w:rsid w:val="00220F2A"/>
    <w:rsid w:val="00221142"/>
    <w:rsid w:val="00221271"/>
    <w:rsid w:val="00221279"/>
    <w:rsid w:val="002212FB"/>
    <w:rsid w:val="00221365"/>
    <w:rsid w:val="00221506"/>
    <w:rsid w:val="002215C5"/>
    <w:rsid w:val="002215D1"/>
    <w:rsid w:val="0022177B"/>
    <w:rsid w:val="0022186B"/>
    <w:rsid w:val="00221870"/>
    <w:rsid w:val="00221932"/>
    <w:rsid w:val="00221A09"/>
    <w:rsid w:val="00221A82"/>
    <w:rsid w:val="00221ABC"/>
    <w:rsid w:val="00221B82"/>
    <w:rsid w:val="00221EA0"/>
    <w:rsid w:val="00221F9D"/>
    <w:rsid w:val="00221F9F"/>
    <w:rsid w:val="00221FC4"/>
    <w:rsid w:val="00222058"/>
    <w:rsid w:val="002220F2"/>
    <w:rsid w:val="00222146"/>
    <w:rsid w:val="002221C0"/>
    <w:rsid w:val="002221CB"/>
    <w:rsid w:val="00222282"/>
    <w:rsid w:val="0022245A"/>
    <w:rsid w:val="002224E8"/>
    <w:rsid w:val="002224F0"/>
    <w:rsid w:val="00222531"/>
    <w:rsid w:val="0022258C"/>
    <w:rsid w:val="00222786"/>
    <w:rsid w:val="00222879"/>
    <w:rsid w:val="002228ED"/>
    <w:rsid w:val="00222AC6"/>
    <w:rsid w:val="00222BD6"/>
    <w:rsid w:val="00222CF3"/>
    <w:rsid w:val="00222D3E"/>
    <w:rsid w:val="00222D7A"/>
    <w:rsid w:val="00222E2D"/>
    <w:rsid w:val="00222EFB"/>
    <w:rsid w:val="00222F62"/>
    <w:rsid w:val="00223170"/>
    <w:rsid w:val="002231C2"/>
    <w:rsid w:val="0022321A"/>
    <w:rsid w:val="00223231"/>
    <w:rsid w:val="002232B6"/>
    <w:rsid w:val="002232D5"/>
    <w:rsid w:val="002234CD"/>
    <w:rsid w:val="00223669"/>
    <w:rsid w:val="002236C1"/>
    <w:rsid w:val="00223758"/>
    <w:rsid w:val="0022377C"/>
    <w:rsid w:val="00223791"/>
    <w:rsid w:val="002237B1"/>
    <w:rsid w:val="002237B9"/>
    <w:rsid w:val="00223838"/>
    <w:rsid w:val="002238E5"/>
    <w:rsid w:val="00223949"/>
    <w:rsid w:val="0022394A"/>
    <w:rsid w:val="00223A50"/>
    <w:rsid w:val="00223CCC"/>
    <w:rsid w:val="00223CF7"/>
    <w:rsid w:val="00223DC7"/>
    <w:rsid w:val="00223ECC"/>
    <w:rsid w:val="00223F04"/>
    <w:rsid w:val="00223FD4"/>
    <w:rsid w:val="0022401A"/>
    <w:rsid w:val="0022404A"/>
    <w:rsid w:val="00224151"/>
    <w:rsid w:val="002243AE"/>
    <w:rsid w:val="00224421"/>
    <w:rsid w:val="002245F0"/>
    <w:rsid w:val="002246F4"/>
    <w:rsid w:val="0022484C"/>
    <w:rsid w:val="002248BB"/>
    <w:rsid w:val="00224A11"/>
    <w:rsid w:val="00224A9E"/>
    <w:rsid w:val="00224C1A"/>
    <w:rsid w:val="00224C69"/>
    <w:rsid w:val="00224C9D"/>
    <w:rsid w:val="00224D8C"/>
    <w:rsid w:val="00224DD9"/>
    <w:rsid w:val="00224E41"/>
    <w:rsid w:val="00224E8F"/>
    <w:rsid w:val="00224F04"/>
    <w:rsid w:val="00224F3C"/>
    <w:rsid w:val="00225095"/>
    <w:rsid w:val="002250E9"/>
    <w:rsid w:val="002250FD"/>
    <w:rsid w:val="00225117"/>
    <w:rsid w:val="002251CA"/>
    <w:rsid w:val="002251F6"/>
    <w:rsid w:val="00225261"/>
    <w:rsid w:val="00225268"/>
    <w:rsid w:val="002253AA"/>
    <w:rsid w:val="002253F3"/>
    <w:rsid w:val="0022544F"/>
    <w:rsid w:val="00225460"/>
    <w:rsid w:val="00225475"/>
    <w:rsid w:val="002254D8"/>
    <w:rsid w:val="00225580"/>
    <w:rsid w:val="00225779"/>
    <w:rsid w:val="0022578B"/>
    <w:rsid w:val="00225815"/>
    <w:rsid w:val="00225858"/>
    <w:rsid w:val="002258E4"/>
    <w:rsid w:val="002258FB"/>
    <w:rsid w:val="00225940"/>
    <w:rsid w:val="00225966"/>
    <w:rsid w:val="00225B3F"/>
    <w:rsid w:val="00225C65"/>
    <w:rsid w:val="00225CB4"/>
    <w:rsid w:val="00225DA0"/>
    <w:rsid w:val="00225DB7"/>
    <w:rsid w:val="00225F2E"/>
    <w:rsid w:val="00225F6E"/>
    <w:rsid w:val="00225F83"/>
    <w:rsid w:val="00225FC8"/>
    <w:rsid w:val="00226053"/>
    <w:rsid w:val="002260F2"/>
    <w:rsid w:val="002260F5"/>
    <w:rsid w:val="0022619A"/>
    <w:rsid w:val="002261F8"/>
    <w:rsid w:val="00226313"/>
    <w:rsid w:val="002263BC"/>
    <w:rsid w:val="002264ED"/>
    <w:rsid w:val="0022659C"/>
    <w:rsid w:val="002265CA"/>
    <w:rsid w:val="002266C0"/>
    <w:rsid w:val="0022674D"/>
    <w:rsid w:val="0022678C"/>
    <w:rsid w:val="002267DC"/>
    <w:rsid w:val="002267F5"/>
    <w:rsid w:val="00226A60"/>
    <w:rsid w:val="00226ADE"/>
    <w:rsid w:val="00226BB8"/>
    <w:rsid w:val="00226BBB"/>
    <w:rsid w:val="00226C01"/>
    <w:rsid w:val="00226CD2"/>
    <w:rsid w:val="00226DF6"/>
    <w:rsid w:val="00226F80"/>
    <w:rsid w:val="00227098"/>
    <w:rsid w:val="002270EA"/>
    <w:rsid w:val="00227183"/>
    <w:rsid w:val="00227234"/>
    <w:rsid w:val="0022737B"/>
    <w:rsid w:val="002273B4"/>
    <w:rsid w:val="0022766B"/>
    <w:rsid w:val="0022778F"/>
    <w:rsid w:val="00227854"/>
    <w:rsid w:val="0022786D"/>
    <w:rsid w:val="002278DA"/>
    <w:rsid w:val="00227A0D"/>
    <w:rsid w:val="00227B5B"/>
    <w:rsid w:val="00227C4E"/>
    <w:rsid w:val="00227C78"/>
    <w:rsid w:val="00227D0E"/>
    <w:rsid w:val="00227D4B"/>
    <w:rsid w:val="00227F35"/>
    <w:rsid w:val="00230096"/>
    <w:rsid w:val="002300A6"/>
    <w:rsid w:val="002300E6"/>
    <w:rsid w:val="002300F4"/>
    <w:rsid w:val="00230118"/>
    <w:rsid w:val="00230163"/>
    <w:rsid w:val="00230189"/>
    <w:rsid w:val="00230283"/>
    <w:rsid w:val="00230350"/>
    <w:rsid w:val="002303F5"/>
    <w:rsid w:val="0023042E"/>
    <w:rsid w:val="002304F2"/>
    <w:rsid w:val="0023062A"/>
    <w:rsid w:val="0023066A"/>
    <w:rsid w:val="002307D4"/>
    <w:rsid w:val="00230846"/>
    <w:rsid w:val="00230892"/>
    <w:rsid w:val="002308F4"/>
    <w:rsid w:val="00230B9A"/>
    <w:rsid w:val="00230C19"/>
    <w:rsid w:val="00230CE3"/>
    <w:rsid w:val="00230CE8"/>
    <w:rsid w:val="00230D7E"/>
    <w:rsid w:val="00230E6E"/>
    <w:rsid w:val="00230E7E"/>
    <w:rsid w:val="00230FA0"/>
    <w:rsid w:val="0023105F"/>
    <w:rsid w:val="00231131"/>
    <w:rsid w:val="0023122C"/>
    <w:rsid w:val="00231250"/>
    <w:rsid w:val="00231486"/>
    <w:rsid w:val="002314C6"/>
    <w:rsid w:val="002315CD"/>
    <w:rsid w:val="002316F1"/>
    <w:rsid w:val="002318D5"/>
    <w:rsid w:val="00231908"/>
    <w:rsid w:val="00231A10"/>
    <w:rsid w:val="00231A9B"/>
    <w:rsid w:val="00231C01"/>
    <w:rsid w:val="00231DB3"/>
    <w:rsid w:val="00231DDF"/>
    <w:rsid w:val="00231F38"/>
    <w:rsid w:val="00231F67"/>
    <w:rsid w:val="00231FA7"/>
    <w:rsid w:val="00231FF4"/>
    <w:rsid w:val="00232052"/>
    <w:rsid w:val="002320F0"/>
    <w:rsid w:val="00232201"/>
    <w:rsid w:val="00232290"/>
    <w:rsid w:val="002324D9"/>
    <w:rsid w:val="002324F8"/>
    <w:rsid w:val="00232614"/>
    <w:rsid w:val="0023265F"/>
    <w:rsid w:val="00232667"/>
    <w:rsid w:val="0023273C"/>
    <w:rsid w:val="002328A5"/>
    <w:rsid w:val="00232957"/>
    <w:rsid w:val="00232965"/>
    <w:rsid w:val="002329F5"/>
    <w:rsid w:val="00232A52"/>
    <w:rsid w:val="00232B07"/>
    <w:rsid w:val="00232B74"/>
    <w:rsid w:val="00232B86"/>
    <w:rsid w:val="00232C26"/>
    <w:rsid w:val="00232C45"/>
    <w:rsid w:val="00232C7F"/>
    <w:rsid w:val="00232CA0"/>
    <w:rsid w:val="00232CB3"/>
    <w:rsid w:val="00232D08"/>
    <w:rsid w:val="00232D2D"/>
    <w:rsid w:val="00232EC5"/>
    <w:rsid w:val="00232EE5"/>
    <w:rsid w:val="00232FB5"/>
    <w:rsid w:val="00232FE5"/>
    <w:rsid w:val="0023301C"/>
    <w:rsid w:val="002330C8"/>
    <w:rsid w:val="002331BD"/>
    <w:rsid w:val="002331BF"/>
    <w:rsid w:val="002331F3"/>
    <w:rsid w:val="00233369"/>
    <w:rsid w:val="00233379"/>
    <w:rsid w:val="0023346B"/>
    <w:rsid w:val="002334D5"/>
    <w:rsid w:val="00233672"/>
    <w:rsid w:val="0023378E"/>
    <w:rsid w:val="0023398D"/>
    <w:rsid w:val="002339F3"/>
    <w:rsid w:val="00233BD1"/>
    <w:rsid w:val="00233BDB"/>
    <w:rsid w:val="00233BE7"/>
    <w:rsid w:val="00233C20"/>
    <w:rsid w:val="00233C49"/>
    <w:rsid w:val="00233CC2"/>
    <w:rsid w:val="00233CD7"/>
    <w:rsid w:val="00233D51"/>
    <w:rsid w:val="00233DD6"/>
    <w:rsid w:val="00233DF4"/>
    <w:rsid w:val="00233E96"/>
    <w:rsid w:val="00233FBE"/>
    <w:rsid w:val="0023400D"/>
    <w:rsid w:val="00234186"/>
    <w:rsid w:val="0023424A"/>
    <w:rsid w:val="002342FC"/>
    <w:rsid w:val="0023430C"/>
    <w:rsid w:val="002343D6"/>
    <w:rsid w:val="0023440C"/>
    <w:rsid w:val="0023466E"/>
    <w:rsid w:val="002346F7"/>
    <w:rsid w:val="002347FC"/>
    <w:rsid w:val="00234A17"/>
    <w:rsid w:val="00234A1E"/>
    <w:rsid w:val="00234A93"/>
    <w:rsid w:val="00234AC4"/>
    <w:rsid w:val="00234B46"/>
    <w:rsid w:val="00234C37"/>
    <w:rsid w:val="00234CCA"/>
    <w:rsid w:val="00234D4F"/>
    <w:rsid w:val="00234D91"/>
    <w:rsid w:val="00234E48"/>
    <w:rsid w:val="00234E86"/>
    <w:rsid w:val="00234EFC"/>
    <w:rsid w:val="00234F0A"/>
    <w:rsid w:val="00234F7A"/>
    <w:rsid w:val="00234FE6"/>
    <w:rsid w:val="00235163"/>
    <w:rsid w:val="00235166"/>
    <w:rsid w:val="0023517D"/>
    <w:rsid w:val="002351BF"/>
    <w:rsid w:val="002351FC"/>
    <w:rsid w:val="00235220"/>
    <w:rsid w:val="00235237"/>
    <w:rsid w:val="002353E1"/>
    <w:rsid w:val="0023541B"/>
    <w:rsid w:val="0023541C"/>
    <w:rsid w:val="002354A8"/>
    <w:rsid w:val="002354FC"/>
    <w:rsid w:val="0023557B"/>
    <w:rsid w:val="002357AA"/>
    <w:rsid w:val="0023584F"/>
    <w:rsid w:val="0023593D"/>
    <w:rsid w:val="002359D4"/>
    <w:rsid w:val="00235A76"/>
    <w:rsid w:val="00235B05"/>
    <w:rsid w:val="00235BD7"/>
    <w:rsid w:val="00235CB8"/>
    <w:rsid w:val="00235D47"/>
    <w:rsid w:val="00235EDD"/>
    <w:rsid w:val="00235EEA"/>
    <w:rsid w:val="00235F80"/>
    <w:rsid w:val="00235FC7"/>
    <w:rsid w:val="00235FF3"/>
    <w:rsid w:val="0023606A"/>
    <w:rsid w:val="002360E6"/>
    <w:rsid w:val="0023610D"/>
    <w:rsid w:val="0023613E"/>
    <w:rsid w:val="002362B7"/>
    <w:rsid w:val="002362C4"/>
    <w:rsid w:val="002363CA"/>
    <w:rsid w:val="002363E4"/>
    <w:rsid w:val="0023648B"/>
    <w:rsid w:val="002364EF"/>
    <w:rsid w:val="0023655A"/>
    <w:rsid w:val="00236587"/>
    <w:rsid w:val="0023672A"/>
    <w:rsid w:val="0023673E"/>
    <w:rsid w:val="002367DB"/>
    <w:rsid w:val="00236806"/>
    <w:rsid w:val="0023695A"/>
    <w:rsid w:val="002369A5"/>
    <w:rsid w:val="002369B3"/>
    <w:rsid w:val="00236B19"/>
    <w:rsid w:val="00236B6B"/>
    <w:rsid w:val="00236BD8"/>
    <w:rsid w:val="00236C11"/>
    <w:rsid w:val="00236CFF"/>
    <w:rsid w:val="00236D59"/>
    <w:rsid w:val="00236E8F"/>
    <w:rsid w:val="00236F2A"/>
    <w:rsid w:val="002370B2"/>
    <w:rsid w:val="0023712B"/>
    <w:rsid w:val="002371D2"/>
    <w:rsid w:val="00237217"/>
    <w:rsid w:val="0023732F"/>
    <w:rsid w:val="0023737E"/>
    <w:rsid w:val="002373A7"/>
    <w:rsid w:val="00237547"/>
    <w:rsid w:val="00237693"/>
    <w:rsid w:val="00237854"/>
    <w:rsid w:val="002378FA"/>
    <w:rsid w:val="00237DF5"/>
    <w:rsid w:val="00237EA4"/>
    <w:rsid w:val="00237F59"/>
    <w:rsid w:val="00237F81"/>
    <w:rsid w:val="00240051"/>
    <w:rsid w:val="00240077"/>
    <w:rsid w:val="0024010E"/>
    <w:rsid w:val="00240117"/>
    <w:rsid w:val="00240217"/>
    <w:rsid w:val="002402A4"/>
    <w:rsid w:val="00240336"/>
    <w:rsid w:val="0024035D"/>
    <w:rsid w:val="0024041A"/>
    <w:rsid w:val="002404D6"/>
    <w:rsid w:val="0024053D"/>
    <w:rsid w:val="00240556"/>
    <w:rsid w:val="00240574"/>
    <w:rsid w:val="002405AF"/>
    <w:rsid w:val="0024061A"/>
    <w:rsid w:val="0024077F"/>
    <w:rsid w:val="00240792"/>
    <w:rsid w:val="002407A2"/>
    <w:rsid w:val="002407AB"/>
    <w:rsid w:val="00240832"/>
    <w:rsid w:val="002408C7"/>
    <w:rsid w:val="0024092B"/>
    <w:rsid w:val="00240933"/>
    <w:rsid w:val="00240B3C"/>
    <w:rsid w:val="00240B5D"/>
    <w:rsid w:val="00240CEF"/>
    <w:rsid w:val="00240D71"/>
    <w:rsid w:val="00240D7D"/>
    <w:rsid w:val="00240DCD"/>
    <w:rsid w:val="00240DE5"/>
    <w:rsid w:val="00240F35"/>
    <w:rsid w:val="00240FB8"/>
    <w:rsid w:val="00241006"/>
    <w:rsid w:val="0024100F"/>
    <w:rsid w:val="0024102E"/>
    <w:rsid w:val="002410ED"/>
    <w:rsid w:val="00241194"/>
    <w:rsid w:val="002411EA"/>
    <w:rsid w:val="00241232"/>
    <w:rsid w:val="00241290"/>
    <w:rsid w:val="002412D1"/>
    <w:rsid w:val="00241332"/>
    <w:rsid w:val="00241375"/>
    <w:rsid w:val="00241499"/>
    <w:rsid w:val="00241500"/>
    <w:rsid w:val="00241542"/>
    <w:rsid w:val="00241564"/>
    <w:rsid w:val="0024156C"/>
    <w:rsid w:val="0024166C"/>
    <w:rsid w:val="002419A6"/>
    <w:rsid w:val="002419BA"/>
    <w:rsid w:val="002419F0"/>
    <w:rsid w:val="00241AA9"/>
    <w:rsid w:val="00241AF6"/>
    <w:rsid w:val="00241B53"/>
    <w:rsid w:val="00241B5C"/>
    <w:rsid w:val="00241B5F"/>
    <w:rsid w:val="00241CC8"/>
    <w:rsid w:val="00241CFD"/>
    <w:rsid w:val="00241D39"/>
    <w:rsid w:val="00241DBC"/>
    <w:rsid w:val="00241E26"/>
    <w:rsid w:val="00241E73"/>
    <w:rsid w:val="00241ED4"/>
    <w:rsid w:val="00241FB3"/>
    <w:rsid w:val="0024201C"/>
    <w:rsid w:val="00242107"/>
    <w:rsid w:val="0024210F"/>
    <w:rsid w:val="00242164"/>
    <w:rsid w:val="00242279"/>
    <w:rsid w:val="002422E8"/>
    <w:rsid w:val="0024235C"/>
    <w:rsid w:val="00242415"/>
    <w:rsid w:val="00242710"/>
    <w:rsid w:val="0024278E"/>
    <w:rsid w:val="002427E2"/>
    <w:rsid w:val="00242972"/>
    <w:rsid w:val="00242979"/>
    <w:rsid w:val="00242A76"/>
    <w:rsid w:val="00242B47"/>
    <w:rsid w:val="00242C48"/>
    <w:rsid w:val="00242CFB"/>
    <w:rsid w:val="00242D2E"/>
    <w:rsid w:val="00242D9D"/>
    <w:rsid w:val="00242E0E"/>
    <w:rsid w:val="00242E27"/>
    <w:rsid w:val="00242E81"/>
    <w:rsid w:val="00242ECA"/>
    <w:rsid w:val="00242F95"/>
    <w:rsid w:val="00243098"/>
    <w:rsid w:val="0024313C"/>
    <w:rsid w:val="00243219"/>
    <w:rsid w:val="0024321F"/>
    <w:rsid w:val="002432A8"/>
    <w:rsid w:val="002432CB"/>
    <w:rsid w:val="00243378"/>
    <w:rsid w:val="002433AA"/>
    <w:rsid w:val="00243440"/>
    <w:rsid w:val="002434FF"/>
    <w:rsid w:val="00243650"/>
    <w:rsid w:val="002437F2"/>
    <w:rsid w:val="00243A0A"/>
    <w:rsid w:val="00243A7B"/>
    <w:rsid w:val="00243AA1"/>
    <w:rsid w:val="00243AA2"/>
    <w:rsid w:val="00243B93"/>
    <w:rsid w:val="00243BA9"/>
    <w:rsid w:val="00243D1B"/>
    <w:rsid w:val="00243D29"/>
    <w:rsid w:val="00243D80"/>
    <w:rsid w:val="00243DCD"/>
    <w:rsid w:val="00243E1C"/>
    <w:rsid w:val="00243F8A"/>
    <w:rsid w:val="00243FB8"/>
    <w:rsid w:val="00243FD2"/>
    <w:rsid w:val="00244043"/>
    <w:rsid w:val="0024443A"/>
    <w:rsid w:val="002445B6"/>
    <w:rsid w:val="00244672"/>
    <w:rsid w:val="002446A0"/>
    <w:rsid w:val="002446DF"/>
    <w:rsid w:val="002446F2"/>
    <w:rsid w:val="00244726"/>
    <w:rsid w:val="002447B2"/>
    <w:rsid w:val="002447CA"/>
    <w:rsid w:val="00244818"/>
    <w:rsid w:val="00244821"/>
    <w:rsid w:val="00244846"/>
    <w:rsid w:val="00244927"/>
    <w:rsid w:val="0024498C"/>
    <w:rsid w:val="00244B23"/>
    <w:rsid w:val="00244B5A"/>
    <w:rsid w:val="00244BF2"/>
    <w:rsid w:val="00244C59"/>
    <w:rsid w:val="00244C6D"/>
    <w:rsid w:val="00244C98"/>
    <w:rsid w:val="00244CB2"/>
    <w:rsid w:val="00244D20"/>
    <w:rsid w:val="00244DDD"/>
    <w:rsid w:val="00244E29"/>
    <w:rsid w:val="00244EA5"/>
    <w:rsid w:val="00245132"/>
    <w:rsid w:val="00245269"/>
    <w:rsid w:val="00245401"/>
    <w:rsid w:val="00245413"/>
    <w:rsid w:val="0024542E"/>
    <w:rsid w:val="0024548D"/>
    <w:rsid w:val="002455D8"/>
    <w:rsid w:val="00245600"/>
    <w:rsid w:val="00245672"/>
    <w:rsid w:val="0024579D"/>
    <w:rsid w:val="0024584E"/>
    <w:rsid w:val="002458F9"/>
    <w:rsid w:val="0024597A"/>
    <w:rsid w:val="00245995"/>
    <w:rsid w:val="00245BB5"/>
    <w:rsid w:val="00245BE5"/>
    <w:rsid w:val="00245C4A"/>
    <w:rsid w:val="00245C67"/>
    <w:rsid w:val="00245C79"/>
    <w:rsid w:val="00245CBF"/>
    <w:rsid w:val="00245EAF"/>
    <w:rsid w:val="00245EF2"/>
    <w:rsid w:val="00245F01"/>
    <w:rsid w:val="00245F63"/>
    <w:rsid w:val="00245F99"/>
    <w:rsid w:val="002460A3"/>
    <w:rsid w:val="002460D2"/>
    <w:rsid w:val="002461AF"/>
    <w:rsid w:val="002461EB"/>
    <w:rsid w:val="0024624B"/>
    <w:rsid w:val="002462F4"/>
    <w:rsid w:val="00246303"/>
    <w:rsid w:val="002463D1"/>
    <w:rsid w:val="00246550"/>
    <w:rsid w:val="00246555"/>
    <w:rsid w:val="002465FE"/>
    <w:rsid w:val="002466DC"/>
    <w:rsid w:val="00246A01"/>
    <w:rsid w:val="00246A2B"/>
    <w:rsid w:val="00246A54"/>
    <w:rsid w:val="00246CCF"/>
    <w:rsid w:val="00246D17"/>
    <w:rsid w:val="00246DE6"/>
    <w:rsid w:val="00246E43"/>
    <w:rsid w:val="00246F0D"/>
    <w:rsid w:val="00246FD9"/>
    <w:rsid w:val="0024702B"/>
    <w:rsid w:val="00247040"/>
    <w:rsid w:val="0024704B"/>
    <w:rsid w:val="002470F1"/>
    <w:rsid w:val="0024718E"/>
    <w:rsid w:val="00247205"/>
    <w:rsid w:val="0024723F"/>
    <w:rsid w:val="002472F5"/>
    <w:rsid w:val="002474D9"/>
    <w:rsid w:val="002474ED"/>
    <w:rsid w:val="00247613"/>
    <w:rsid w:val="0024767A"/>
    <w:rsid w:val="00247743"/>
    <w:rsid w:val="0024780D"/>
    <w:rsid w:val="002478F3"/>
    <w:rsid w:val="0024791C"/>
    <w:rsid w:val="00247948"/>
    <w:rsid w:val="002479A3"/>
    <w:rsid w:val="00247A30"/>
    <w:rsid w:val="00247B4E"/>
    <w:rsid w:val="00247BBB"/>
    <w:rsid w:val="00247BBD"/>
    <w:rsid w:val="00250083"/>
    <w:rsid w:val="0025010D"/>
    <w:rsid w:val="00250168"/>
    <w:rsid w:val="002501DD"/>
    <w:rsid w:val="0025024A"/>
    <w:rsid w:val="0025024E"/>
    <w:rsid w:val="00250385"/>
    <w:rsid w:val="002503AD"/>
    <w:rsid w:val="00250443"/>
    <w:rsid w:val="00250484"/>
    <w:rsid w:val="00250501"/>
    <w:rsid w:val="00250506"/>
    <w:rsid w:val="00250516"/>
    <w:rsid w:val="00250521"/>
    <w:rsid w:val="00250678"/>
    <w:rsid w:val="00250771"/>
    <w:rsid w:val="00250793"/>
    <w:rsid w:val="0025084C"/>
    <w:rsid w:val="00250944"/>
    <w:rsid w:val="00250B0C"/>
    <w:rsid w:val="00250B6B"/>
    <w:rsid w:val="00250C79"/>
    <w:rsid w:val="00250D6A"/>
    <w:rsid w:val="00250DA9"/>
    <w:rsid w:val="00250E16"/>
    <w:rsid w:val="00250F80"/>
    <w:rsid w:val="0025108F"/>
    <w:rsid w:val="0025111C"/>
    <w:rsid w:val="002511AA"/>
    <w:rsid w:val="002512F3"/>
    <w:rsid w:val="0025143D"/>
    <w:rsid w:val="00251484"/>
    <w:rsid w:val="002515BC"/>
    <w:rsid w:val="002516F2"/>
    <w:rsid w:val="0025186C"/>
    <w:rsid w:val="00251873"/>
    <w:rsid w:val="00251A6A"/>
    <w:rsid w:val="00251AB1"/>
    <w:rsid w:val="00251B02"/>
    <w:rsid w:val="00251B05"/>
    <w:rsid w:val="00251B26"/>
    <w:rsid w:val="00251B73"/>
    <w:rsid w:val="00251BD1"/>
    <w:rsid w:val="00251D4A"/>
    <w:rsid w:val="00251ECB"/>
    <w:rsid w:val="00251F37"/>
    <w:rsid w:val="00252097"/>
    <w:rsid w:val="0025219C"/>
    <w:rsid w:val="002522CF"/>
    <w:rsid w:val="00252308"/>
    <w:rsid w:val="002523AB"/>
    <w:rsid w:val="0025249C"/>
    <w:rsid w:val="002524B7"/>
    <w:rsid w:val="0025250E"/>
    <w:rsid w:val="00252571"/>
    <w:rsid w:val="0025257F"/>
    <w:rsid w:val="002526FB"/>
    <w:rsid w:val="0025276E"/>
    <w:rsid w:val="002527D3"/>
    <w:rsid w:val="0025287D"/>
    <w:rsid w:val="002528B9"/>
    <w:rsid w:val="0025291F"/>
    <w:rsid w:val="00252B03"/>
    <w:rsid w:val="00252B34"/>
    <w:rsid w:val="00252B5C"/>
    <w:rsid w:val="00252B83"/>
    <w:rsid w:val="00252C0E"/>
    <w:rsid w:val="00252D6B"/>
    <w:rsid w:val="00252DA1"/>
    <w:rsid w:val="00252F92"/>
    <w:rsid w:val="00252FD1"/>
    <w:rsid w:val="00252FED"/>
    <w:rsid w:val="00253040"/>
    <w:rsid w:val="002532CE"/>
    <w:rsid w:val="0025334A"/>
    <w:rsid w:val="00253369"/>
    <w:rsid w:val="0025338F"/>
    <w:rsid w:val="002533CB"/>
    <w:rsid w:val="002534F7"/>
    <w:rsid w:val="00253517"/>
    <w:rsid w:val="00253628"/>
    <w:rsid w:val="00253665"/>
    <w:rsid w:val="00253696"/>
    <w:rsid w:val="00253727"/>
    <w:rsid w:val="00253759"/>
    <w:rsid w:val="0025380C"/>
    <w:rsid w:val="0025384D"/>
    <w:rsid w:val="0025386B"/>
    <w:rsid w:val="00253906"/>
    <w:rsid w:val="00253C03"/>
    <w:rsid w:val="00253C78"/>
    <w:rsid w:val="00253CD5"/>
    <w:rsid w:val="00253D03"/>
    <w:rsid w:val="00253D0D"/>
    <w:rsid w:val="00253D3C"/>
    <w:rsid w:val="00253DC7"/>
    <w:rsid w:val="00253E5E"/>
    <w:rsid w:val="00253FB7"/>
    <w:rsid w:val="0025401D"/>
    <w:rsid w:val="00254104"/>
    <w:rsid w:val="0025410D"/>
    <w:rsid w:val="00254193"/>
    <w:rsid w:val="002541A2"/>
    <w:rsid w:val="00254330"/>
    <w:rsid w:val="0025446C"/>
    <w:rsid w:val="002545A6"/>
    <w:rsid w:val="002545E0"/>
    <w:rsid w:val="00254604"/>
    <w:rsid w:val="00254752"/>
    <w:rsid w:val="0025490E"/>
    <w:rsid w:val="002549C2"/>
    <w:rsid w:val="00254A20"/>
    <w:rsid w:val="00254A85"/>
    <w:rsid w:val="00254C09"/>
    <w:rsid w:val="00254E30"/>
    <w:rsid w:val="00254F05"/>
    <w:rsid w:val="0025504D"/>
    <w:rsid w:val="002550E1"/>
    <w:rsid w:val="002550FD"/>
    <w:rsid w:val="00255153"/>
    <w:rsid w:val="002551E8"/>
    <w:rsid w:val="002552CA"/>
    <w:rsid w:val="00255343"/>
    <w:rsid w:val="00255397"/>
    <w:rsid w:val="002553B0"/>
    <w:rsid w:val="002553B2"/>
    <w:rsid w:val="0025542A"/>
    <w:rsid w:val="00255445"/>
    <w:rsid w:val="0025545D"/>
    <w:rsid w:val="002555B3"/>
    <w:rsid w:val="002555B7"/>
    <w:rsid w:val="002555EA"/>
    <w:rsid w:val="00255692"/>
    <w:rsid w:val="0025577A"/>
    <w:rsid w:val="0025585F"/>
    <w:rsid w:val="002558A4"/>
    <w:rsid w:val="0025598F"/>
    <w:rsid w:val="002559AA"/>
    <w:rsid w:val="00255A0B"/>
    <w:rsid w:val="00255B2B"/>
    <w:rsid w:val="00255B71"/>
    <w:rsid w:val="00255C62"/>
    <w:rsid w:val="00255CDA"/>
    <w:rsid w:val="00255DFE"/>
    <w:rsid w:val="0025608B"/>
    <w:rsid w:val="002561BB"/>
    <w:rsid w:val="0025628B"/>
    <w:rsid w:val="002562B0"/>
    <w:rsid w:val="00256316"/>
    <w:rsid w:val="0025637D"/>
    <w:rsid w:val="002563A2"/>
    <w:rsid w:val="00256411"/>
    <w:rsid w:val="00256512"/>
    <w:rsid w:val="002566F9"/>
    <w:rsid w:val="00256703"/>
    <w:rsid w:val="002567AD"/>
    <w:rsid w:val="002568A1"/>
    <w:rsid w:val="00256A0A"/>
    <w:rsid w:val="00256A43"/>
    <w:rsid w:val="00256BAB"/>
    <w:rsid w:val="00256C03"/>
    <w:rsid w:val="00256C1B"/>
    <w:rsid w:val="00256D94"/>
    <w:rsid w:val="00256DBF"/>
    <w:rsid w:val="00256F58"/>
    <w:rsid w:val="002570A1"/>
    <w:rsid w:val="002570E5"/>
    <w:rsid w:val="002571F1"/>
    <w:rsid w:val="002572EB"/>
    <w:rsid w:val="00257531"/>
    <w:rsid w:val="002575E8"/>
    <w:rsid w:val="002576B2"/>
    <w:rsid w:val="002576DC"/>
    <w:rsid w:val="002577E1"/>
    <w:rsid w:val="0025784A"/>
    <w:rsid w:val="002578CE"/>
    <w:rsid w:val="0025798D"/>
    <w:rsid w:val="002579F2"/>
    <w:rsid w:val="00257B1B"/>
    <w:rsid w:val="00257B3D"/>
    <w:rsid w:val="00257CF2"/>
    <w:rsid w:val="00257D00"/>
    <w:rsid w:val="00257D37"/>
    <w:rsid w:val="00257E0F"/>
    <w:rsid w:val="00257F2B"/>
    <w:rsid w:val="00257F9E"/>
    <w:rsid w:val="00257FA4"/>
    <w:rsid w:val="00257FE6"/>
    <w:rsid w:val="00260050"/>
    <w:rsid w:val="0026006C"/>
    <w:rsid w:val="00260080"/>
    <w:rsid w:val="002600EA"/>
    <w:rsid w:val="0026022E"/>
    <w:rsid w:val="00260278"/>
    <w:rsid w:val="002603B9"/>
    <w:rsid w:val="002603D7"/>
    <w:rsid w:val="00260472"/>
    <w:rsid w:val="00260514"/>
    <w:rsid w:val="002605D5"/>
    <w:rsid w:val="00260621"/>
    <w:rsid w:val="002606C8"/>
    <w:rsid w:val="00260787"/>
    <w:rsid w:val="002607E3"/>
    <w:rsid w:val="00260959"/>
    <w:rsid w:val="00260A0F"/>
    <w:rsid w:val="00260A10"/>
    <w:rsid w:val="00260AEC"/>
    <w:rsid w:val="00260B36"/>
    <w:rsid w:val="00260B5B"/>
    <w:rsid w:val="00260B8E"/>
    <w:rsid w:val="00260BFD"/>
    <w:rsid w:val="00260D88"/>
    <w:rsid w:val="00261035"/>
    <w:rsid w:val="002610CB"/>
    <w:rsid w:val="0026110D"/>
    <w:rsid w:val="00261117"/>
    <w:rsid w:val="0026132B"/>
    <w:rsid w:val="002613FD"/>
    <w:rsid w:val="00261414"/>
    <w:rsid w:val="00261565"/>
    <w:rsid w:val="00261764"/>
    <w:rsid w:val="00261887"/>
    <w:rsid w:val="002618F8"/>
    <w:rsid w:val="00261902"/>
    <w:rsid w:val="00261920"/>
    <w:rsid w:val="002619CB"/>
    <w:rsid w:val="00261AF0"/>
    <w:rsid w:val="00261B04"/>
    <w:rsid w:val="00261B52"/>
    <w:rsid w:val="00261C9D"/>
    <w:rsid w:val="00261DEF"/>
    <w:rsid w:val="00261E12"/>
    <w:rsid w:val="00261E19"/>
    <w:rsid w:val="00262346"/>
    <w:rsid w:val="0026234D"/>
    <w:rsid w:val="00262375"/>
    <w:rsid w:val="002623DC"/>
    <w:rsid w:val="00262478"/>
    <w:rsid w:val="00262488"/>
    <w:rsid w:val="002626AB"/>
    <w:rsid w:val="0026270D"/>
    <w:rsid w:val="0026289E"/>
    <w:rsid w:val="00262A3C"/>
    <w:rsid w:val="00262A60"/>
    <w:rsid w:val="00262A6C"/>
    <w:rsid w:val="00262B7B"/>
    <w:rsid w:val="00262C46"/>
    <w:rsid w:val="00262C68"/>
    <w:rsid w:val="00262D7D"/>
    <w:rsid w:val="00262EAB"/>
    <w:rsid w:val="00262EDA"/>
    <w:rsid w:val="00262F11"/>
    <w:rsid w:val="00262F57"/>
    <w:rsid w:val="00263048"/>
    <w:rsid w:val="002631C4"/>
    <w:rsid w:val="002632BA"/>
    <w:rsid w:val="002632BC"/>
    <w:rsid w:val="002632EA"/>
    <w:rsid w:val="00263605"/>
    <w:rsid w:val="0026376F"/>
    <w:rsid w:val="002637B6"/>
    <w:rsid w:val="0026381C"/>
    <w:rsid w:val="00263AD3"/>
    <w:rsid w:val="00263B06"/>
    <w:rsid w:val="00263B3A"/>
    <w:rsid w:val="00263B85"/>
    <w:rsid w:val="00263CC1"/>
    <w:rsid w:val="00263D10"/>
    <w:rsid w:val="00263D54"/>
    <w:rsid w:val="00263D6B"/>
    <w:rsid w:val="00263DF2"/>
    <w:rsid w:val="00263F28"/>
    <w:rsid w:val="00264016"/>
    <w:rsid w:val="00264095"/>
    <w:rsid w:val="002640CA"/>
    <w:rsid w:val="0026412B"/>
    <w:rsid w:val="00264220"/>
    <w:rsid w:val="002642A3"/>
    <w:rsid w:val="002642F1"/>
    <w:rsid w:val="00264335"/>
    <w:rsid w:val="00264459"/>
    <w:rsid w:val="00264513"/>
    <w:rsid w:val="00264547"/>
    <w:rsid w:val="00264578"/>
    <w:rsid w:val="00264586"/>
    <w:rsid w:val="0026480E"/>
    <w:rsid w:val="00264A20"/>
    <w:rsid w:val="00264A36"/>
    <w:rsid w:val="00264AAD"/>
    <w:rsid w:val="00264B7F"/>
    <w:rsid w:val="00264CB3"/>
    <w:rsid w:val="00264CEE"/>
    <w:rsid w:val="00264CF6"/>
    <w:rsid w:val="00264E18"/>
    <w:rsid w:val="00264EE6"/>
    <w:rsid w:val="00264F68"/>
    <w:rsid w:val="00264F89"/>
    <w:rsid w:val="00265004"/>
    <w:rsid w:val="00265188"/>
    <w:rsid w:val="002651D5"/>
    <w:rsid w:val="0026525A"/>
    <w:rsid w:val="0026527E"/>
    <w:rsid w:val="0026532A"/>
    <w:rsid w:val="002653AE"/>
    <w:rsid w:val="00265429"/>
    <w:rsid w:val="002654D7"/>
    <w:rsid w:val="002654F8"/>
    <w:rsid w:val="002655C7"/>
    <w:rsid w:val="00265667"/>
    <w:rsid w:val="0026566E"/>
    <w:rsid w:val="0026581C"/>
    <w:rsid w:val="00265979"/>
    <w:rsid w:val="002659ED"/>
    <w:rsid w:val="00265A9B"/>
    <w:rsid w:val="00265ABB"/>
    <w:rsid w:val="00265ADD"/>
    <w:rsid w:val="00265AE8"/>
    <w:rsid w:val="00265C79"/>
    <w:rsid w:val="00265D67"/>
    <w:rsid w:val="00265F52"/>
    <w:rsid w:val="00265FA1"/>
    <w:rsid w:val="00266075"/>
    <w:rsid w:val="00266144"/>
    <w:rsid w:val="00266243"/>
    <w:rsid w:val="00266386"/>
    <w:rsid w:val="0026642F"/>
    <w:rsid w:val="002665A7"/>
    <w:rsid w:val="002666E2"/>
    <w:rsid w:val="002667E4"/>
    <w:rsid w:val="0026686C"/>
    <w:rsid w:val="00266984"/>
    <w:rsid w:val="002669DC"/>
    <w:rsid w:val="00266A2E"/>
    <w:rsid w:val="00266A37"/>
    <w:rsid w:val="00266B49"/>
    <w:rsid w:val="00266B6C"/>
    <w:rsid w:val="00266D21"/>
    <w:rsid w:val="00266D28"/>
    <w:rsid w:val="00266DAA"/>
    <w:rsid w:val="00266E78"/>
    <w:rsid w:val="0026707C"/>
    <w:rsid w:val="002670B0"/>
    <w:rsid w:val="002671A6"/>
    <w:rsid w:val="00267468"/>
    <w:rsid w:val="00267504"/>
    <w:rsid w:val="002675C9"/>
    <w:rsid w:val="0026765E"/>
    <w:rsid w:val="0026775D"/>
    <w:rsid w:val="00267780"/>
    <w:rsid w:val="002677EE"/>
    <w:rsid w:val="00267804"/>
    <w:rsid w:val="002678E5"/>
    <w:rsid w:val="002679D9"/>
    <w:rsid w:val="00267C42"/>
    <w:rsid w:val="00267C95"/>
    <w:rsid w:val="00267CD9"/>
    <w:rsid w:val="00267D21"/>
    <w:rsid w:val="00267D7E"/>
    <w:rsid w:val="00267DBA"/>
    <w:rsid w:val="00267DD2"/>
    <w:rsid w:val="00267DFF"/>
    <w:rsid w:val="00267E62"/>
    <w:rsid w:val="00267EA4"/>
    <w:rsid w:val="00267F78"/>
    <w:rsid w:val="00267F8F"/>
    <w:rsid w:val="002700AA"/>
    <w:rsid w:val="002700C6"/>
    <w:rsid w:val="00270124"/>
    <w:rsid w:val="0027023D"/>
    <w:rsid w:val="002702A6"/>
    <w:rsid w:val="0027033C"/>
    <w:rsid w:val="00270398"/>
    <w:rsid w:val="002703DE"/>
    <w:rsid w:val="002703E8"/>
    <w:rsid w:val="00270567"/>
    <w:rsid w:val="0027056F"/>
    <w:rsid w:val="002705E1"/>
    <w:rsid w:val="00270775"/>
    <w:rsid w:val="002707C7"/>
    <w:rsid w:val="0027084E"/>
    <w:rsid w:val="00270866"/>
    <w:rsid w:val="00270887"/>
    <w:rsid w:val="00270899"/>
    <w:rsid w:val="00270940"/>
    <w:rsid w:val="002709D0"/>
    <w:rsid w:val="00270A3F"/>
    <w:rsid w:val="00270A68"/>
    <w:rsid w:val="00270AE8"/>
    <w:rsid w:val="00270EF4"/>
    <w:rsid w:val="00270F5C"/>
    <w:rsid w:val="00270F8B"/>
    <w:rsid w:val="00270F8F"/>
    <w:rsid w:val="00270FDB"/>
    <w:rsid w:val="00271011"/>
    <w:rsid w:val="0027103A"/>
    <w:rsid w:val="00271065"/>
    <w:rsid w:val="002711E6"/>
    <w:rsid w:val="00271260"/>
    <w:rsid w:val="00271310"/>
    <w:rsid w:val="0027138F"/>
    <w:rsid w:val="00271446"/>
    <w:rsid w:val="0027145C"/>
    <w:rsid w:val="0027147A"/>
    <w:rsid w:val="00271501"/>
    <w:rsid w:val="00271532"/>
    <w:rsid w:val="0027159F"/>
    <w:rsid w:val="002715F1"/>
    <w:rsid w:val="00271696"/>
    <w:rsid w:val="002716B3"/>
    <w:rsid w:val="002716D1"/>
    <w:rsid w:val="00271710"/>
    <w:rsid w:val="002718CA"/>
    <w:rsid w:val="00271A28"/>
    <w:rsid w:val="00271C88"/>
    <w:rsid w:val="00271CB8"/>
    <w:rsid w:val="00271EB2"/>
    <w:rsid w:val="00271F5D"/>
    <w:rsid w:val="00272053"/>
    <w:rsid w:val="00272270"/>
    <w:rsid w:val="002722E5"/>
    <w:rsid w:val="0027246B"/>
    <w:rsid w:val="00272481"/>
    <w:rsid w:val="002725DB"/>
    <w:rsid w:val="0027267B"/>
    <w:rsid w:val="0027269D"/>
    <w:rsid w:val="00272882"/>
    <w:rsid w:val="0027288C"/>
    <w:rsid w:val="00272893"/>
    <w:rsid w:val="0027294C"/>
    <w:rsid w:val="00272A40"/>
    <w:rsid w:val="00272A6C"/>
    <w:rsid w:val="00272A8D"/>
    <w:rsid w:val="00272BDE"/>
    <w:rsid w:val="00272C00"/>
    <w:rsid w:val="00272C27"/>
    <w:rsid w:val="00272C92"/>
    <w:rsid w:val="00272DB6"/>
    <w:rsid w:val="00272E13"/>
    <w:rsid w:val="00273007"/>
    <w:rsid w:val="00273031"/>
    <w:rsid w:val="00273082"/>
    <w:rsid w:val="00273085"/>
    <w:rsid w:val="002730FA"/>
    <w:rsid w:val="002731AF"/>
    <w:rsid w:val="00273206"/>
    <w:rsid w:val="002732E7"/>
    <w:rsid w:val="0027331A"/>
    <w:rsid w:val="00273520"/>
    <w:rsid w:val="00273539"/>
    <w:rsid w:val="00273616"/>
    <w:rsid w:val="00273819"/>
    <w:rsid w:val="0027396B"/>
    <w:rsid w:val="002739A4"/>
    <w:rsid w:val="002739D4"/>
    <w:rsid w:val="00273A67"/>
    <w:rsid w:val="00273AF4"/>
    <w:rsid w:val="00273B51"/>
    <w:rsid w:val="00273C7F"/>
    <w:rsid w:val="00273CB0"/>
    <w:rsid w:val="00273CB9"/>
    <w:rsid w:val="00273CBA"/>
    <w:rsid w:val="00273E10"/>
    <w:rsid w:val="00273F10"/>
    <w:rsid w:val="00273F74"/>
    <w:rsid w:val="00273FF5"/>
    <w:rsid w:val="00274009"/>
    <w:rsid w:val="0027425E"/>
    <w:rsid w:val="002742E8"/>
    <w:rsid w:val="002742EA"/>
    <w:rsid w:val="002742EF"/>
    <w:rsid w:val="0027430F"/>
    <w:rsid w:val="00274420"/>
    <w:rsid w:val="0027448F"/>
    <w:rsid w:val="00274571"/>
    <w:rsid w:val="00274587"/>
    <w:rsid w:val="002746CD"/>
    <w:rsid w:val="00274784"/>
    <w:rsid w:val="0027485A"/>
    <w:rsid w:val="00274903"/>
    <w:rsid w:val="002749E4"/>
    <w:rsid w:val="00274A07"/>
    <w:rsid w:val="00274A24"/>
    <w:rsid w:val="00274A74"/>
    <w:rsid w:val="00274B49"/>
    <w:rsid w:val="00274C1D"/>
    <w:rsid w:val="00274C4C"/>
    <w:rsid w:val="00274CD9"/>
    <w:rsid w:val="00274D2A"/>
    <w:rsid w:val="00274ED9"/>
    <w:rsid w:val="00274F09"/>
    <w:rsid w:val="00274FDC"/>
    <w:rsid w:val="00275007"/>
    <w:rsid w:val="002750E2"/>
    <w:rsid w:val="0027515F"/>
    <w:rsid w:val="00275204"/>
    <w:rsid w:val="0027531F"/>
    <w:rsid w:val="0027537A"/>
    <w:rsid w:val="002753DE"/>
    <w:rsid w:val="0027541D"/>
    <w:rsid w:val="00275439"/>
    <w:rsid w:val="0027543D"/>
    <w:rsid w:val="00275534"/>
    <w:rsid w:val="0027558F"/>
    <w:rsid w:val="002755B0"/>
    <w:rsid w:val="002757A6"/>
    <w:rsid w:val="002757BE"/>
    <w:rsid w:val="002757DF"/>
    <w:rsid w:val="002758DE"/>
    <w:rsid w:val="0027596A"/>
    <w:rsid w:val="002759C9"/>
    <w:rsid w:val="00275AA2"/>
    <w:rsid w:val="00275BB2"/>
    <w:rsid w:val="00275C1D"/>
    <w:rsid w:val="00275CF6"/>
    <w:rsid w:val="00275D1F"/>
    <w:rsid w:val="00275DB8"/>
    <w:rsid w:val="00275DBA"/>
    <w:rsid w:val="00275E10"/>
    <w:rsid w:val="00275E46"/>
    <w:rsid w:val="00275E71"/>
    <w:rsid w:val="00275FAC"/>
    <w:rsid w:val="00276094"/>
    <w:rsid w:val="0027611A"/>
    <w:rsid w:val="002761EF"/>
    <w:rsid w:val="002761F7"/>
    <w:rsid w:val="0027621E"/>
    <w:rsid w:val="0027626B"/>
    <w:rsid w:val="0027642B"/>
    <w:rsid w:val="002765EF"/>
    <w:rsid w:val="0027665F"/>
    <w:rsid w:val="00276742"/>
    <w:rsid w:val="00276743"/>
    <w:rsid w:val="002767C1"/>
    <w:rsid w:val="002768C3"/>
    <w:rsid w:val="00276938"/>
    <w:rsid w:val="00276999"/>
    <w:rsid w:val="002769C9"/>
    <w:rsid w:val="00276A77"/>
    <w:rsid w:val="00276C47"/>
    <w:rsid w:val="00276C85"/>
    <w:rsid w:val="00276E1A"/>
    <w:rsid w:val="00276E6F"/>
    <w:rsid w:val="00276EFA"/>
    <w:rsid w:val="00276F05"/>
    <w:rsid w:val="00276F75"/>
    <w:rsid w:val="00276F91"/>
    <w:rsid w:val="002770F4"/>
    <w:rsid w:val="002771A3"/>
    <w:rsid w:val="002771C0"/>
    <w:rsid w:val="0027723E"/>
    <w:rsid w:val="00277265"/>
    <w:rsid w:val="00277488"/>
    <w:rsid w:val="00277524"/>
    <w:rsid w:val="0027768C"/>
    <w:rsid w:val="0027780C"/>
    <w:rsid w:val="002778F6"/>
    <w:rsid w:val="00277C0A"/>
    <w:rsid w:val="00277C75"/>
    <w:rsid w:val="00277CA1"/>
    <w:rsid w:val="0027926A"/>
    <w:rsid w:val="0028002F"/>
    <w:rsid w:val="00280107"/>
    <w:rsid w:val="002802A5"/>
    <w:rsid w:val="002802A6"/>
    <w:rsid w:val="00280375"/>
    <w:rsid w:val="0028037A"/>
    <w:rsid w:val="002803B5"/>
    <w:rsid w:val="00280491"/>
    <w:rsid w:val="00280533"/>
    <w:rsid w:val="00280602"/>
    <w:rsid w:val="00280604"/>
    <w:rsid w:val="00280756"/>
    <w:rsid w:val="002808AF"/>
    <w:rsid w:val="002808CD"/>
    <w:rsid w:val="00280A9A"/>
    <w:rsid w:val="00280AAE"/>
    <w:rsid w:val="00280AB7"/>
    <w:rsid w:val="00280BE9"/>
    <w:rsid w:val="00280E06"/>
    <w:rsid w:val="002810B1"/>
    <w:rsid w:val="002810C0"/>
    <w:rsid w:val="002810C2"/>
    <w:rsid w:val="00281128"/>
    <w:rsid w:val="0028119D"/>
    <w:rsid w:val="002811EE"/>
    <w:rsid w:val="00281260"/>
    <w:rsid w:val="00281391"/>
    <w:rsid w:val="002813B5"/>
    <w:rsid w:val="00281459"/>
    <w:rsid w:val="00281489"/>
    <w:rsid w:val="00281641"/>
    <w:rsid w:val="002816EB"/>
    <w:rsid w:val="00281757"/>
    <w:rsid w:val="00281778"/>
    <w:rsid w:val="00281912"/>
    <w:rsid w:val="00281922"/>
    <w:rsid w:val="0028193F"/>
    <w:rsid w:val="002819A3"/>
    <w:rsid w:val="002819CC"/>
    <w:rsid w:val="00281AC7"/>
    <w:rsid w:val="00281B68"/>
    <w:rsid w:val="00281BCD"/>
    <w:rsid w:val="00281BFC"/>
    <w:rsid w:val="00281C1D"/>
    <w:rsid w:val="00281DBE"/>
    <w:rsid w:val="00281DE6"/>
    <w:rsid w:val="00281E45"/>
    <w:rsid w:val="00281EC6"/>
    <w:rsid w:val="00281EFE"/>
    <w:rsid w:val="00282105"/>
    <w:rsid w:val="00282155"/>
    <w:rsid w:val="00282646"/>
    <w:rsid w:val="002826A7"/>
    <w:rsid w:val="0028275A"/>
    <w:rsid w:val="00282811"/>
    <w:rsid w:val="0028282A"/>
    <w:rsid w:val="002828AD"/>
    <w:rsid w:val="002828D4"/>
    <w:rsid w:val="002828D8"/>
    <w:rsid w:val="002829B3"/>
    <w:rsid w:val="002829C9"/>
    <w:rsid w:val="002829F3"/>
    <w:rsid w:val="00282A14"/>
    <w:rsid w:val="00282A8C"/>
    <w:rsid w:val="00282B6E"/>
    <w:rsid w:val="00282C21"/>
    <w:rsid w:val="00282E53"/>
    <w:rsid w:val="00282E9E"/>
    <w:rsid w:val="00282F3A"/>
    <w:rsid w:val="00282F98"/>
    <w:rsid w:val="00282FAF"/>
    <w:rsid w:val="0028307C"/>
    <w:rsid w:val="002830EE"/>
    <w:rsid w:val="002831D5"/>
    <w:rsid w:val="002832B5"/>
    <w:rsid w:val="0028331F"/>
    <w:rsid w:val="00283399"/>
    <w:rsid w:val="00283475"/>
    <w:rsid w:val="0028352C"/>
    <w:rsid w:val="002835F4"/>
    <w:rsid w:val="002835FB"/>
    <w:rsid w:val="00283601"/>
    <w:rsid w:val="00283651"/>
    <w:rsid w:val="002836F0"/>
    <w:rsid w:val="002837F7"/>
    <w:rsid w:val="0028386B"/>
    <w:rsid w:val="002838FE"/>
    <w:rsid w:val="0028392B"/>
    <w:rsid w:val="00283933"/>
    <w:rsid w:val="00283B4D"/>
    <w:rsid w:val="00283CA5"/>
    <w:rsid w:val="00283D54"/>
    <w:rsid w:val="00283D91"/>
    <w:rsid w:val="00283D99"/>
    <w:rsid w:val="00283DDA"/>
    <w:rsid w:val="00283E9A"/>
    <w:rsid w:val="00283EAB"/>
    <w:rsid w:val="00283F20"/>
    <w:rsid w:val="00283F74"/>
    <w:rsid w:val="0028401F"/>
    <w:rsid w:val="002840DD"/>
    <w:rsid w:val="002841FD"/>
    <w:rsid w:val="0028420D"/>
    <w:rsid w:val="002842E9"/>
    <w:rsid w:val="00284329"/>
    <w:rsid w:val="002843AA"/>
    <w:rsid w:val="00284405"/>
    <w:rsid w:val="00284425"/>
    <w:rsid w:val="0028449F"/>
    <w:rsid w:val="002844B3"/>
    <w:rsid w:val="00284523"/>
    <w:rsid w:val="00284610"/>
    <w:rsid w:val="00284692"/>
    <w:rsid w:val="00284725"/>
    <w:rsid w:val="0028472A"/>
    <w:rsid w:val="00284738"/>
    <w:rsid w:val="0028480A"/>
    <w:rsid w:val="002848D1"/>
    <w:rsid w:val="0028499C"/>
    <w:rsid w:val="00284A4A"/>
    <w:rsid w:val="00284AEA"/>
    <w:rsid w:val="00284BEE"/>
    <w:rsid w:val="00284D48"/>
    <w:rsid w:val="00284D74"/>
    <w:rsid w:val="00284E0B"/>
    <w:rsid w:val="00284E22"/>
    <w:rsid w:val="00285017"/>
    <w:rsid w:val="0028509B"/>
    <w:rsid w:val="002852B3"/>
    <w:rsid w:val="00285335"/>
    <w:rsid w:val="002853FF"/>
    <w:rsid w:val="00285741"/>
    <w:rsid w:val="0028578C"/>
    <w:rsid w:val="00285858"/>
    <w:rsid w:val="002858A9"/>
    <w:rsid w:val="00285949"/>
    <w:rsid w:val="00285998"/>
    <w:rsid w:val="002859D1"/>
    <w:rsid w:val="002859ED"/>
    <w:rsid w:val="002859F1"/>
    <w:rsid w:val="00285B32"/>
    <w:rsid w:val="00285B7F"/>
    <w:rsid w:val="00285BA2"/>
    <w:rsid w:val="00285BBB"/>
    <w:rsid w:val="00285D22"/>
    <w:rsid w:val="00285E0A"/>
    <w:rsid w:val="00285EFE"/>
    <w:rsid w:val="00285F4B"/>
    <w:rsid w:val="00285FEA"/>
    <w:rsid w:val="002861C2"/>
    <w:rsid w:val="00286238"/>
    <w:rsid w:val="00286300"/>
    <w:rsid w:val="0028643E"/>
    <w:rsid w:val="00286444"/>
    <w:rsid w:val="002865C9"/>
    <w:rsid w:val="00286602"/>
    <w:rsid w:val="00286732"/>
    <w:rsid w:val="00286735"/>
    <w:rsid w:val="002868BA"/>
    <w:rsid w:val="002868F6"/>
    <w:rsid w:val="00286A30"/>
    <w:rsid w:val="00286AF0"/>
    <w:rsid w:val="00286BF2"/>
    <w:rsid w:val="00286BF7"/>
    <w:rsid w:val="00286C5F"/>
    <w:rsid w:val="00286C92"/>
    <w:rsid w:val="00286CFB"/>
    <w:rsid w:val="00286D99"/>
    <w:rsid w:val="00286DF7"/>
    <w:rsid w:val="00286F71"/>
    <w:rsid w:val="00286F8B"/>
    <w:rsid w:val="0028704D"/>
    <w:rsid w:val="0028707D"/>
    <w:rsid w:val="002871BF"/>
    <w:rsid w:val="002874F5"/>
    <w:rsid w:val="00287535"/>
    <w:rsid w:val="00287539"/>
    <w:rsid w:val="002875BE"/>
    <w:rsid w:val="002875D9"/>
    <w:rsid w:val="002876E7"/>
    <w:rsid w:val="0028770E"/>
    <w:rsid w:val="00287782"/>
    <w:rsid w:val="002878E8"/>
    <w:rsid w:val="002878EF"/>
    <w:rsid w:val="00287A07"/>
    <w:rsid w:val="00287A8B"/>
    <w:rsid w:val="00287B29"/>
    <w:rsid w:val="00287B48"/>
    <w:rsid w:val="00287B79"/>
    <w:rsid w:val="00287B8C"/>
    <w:rsid w:val="00287BE1"/>
    <w:rsid w:val="00287C76"/>
    <w:rsid w:val="00287F1D"/>
    <w:rsid w:val="00287FEE"/>
    <w:rsid w:val="00290053"/>
    <w:rsid w:val="002900DE"/>
    <w:rsid w:val="00290100"/>
    <w:rsid w:val="00290103"/>
    <w:rsid w:val="002901A9"/>
    <w:rsid w:val="00290338"/>
    <w:rsid w:val="002903B1"/>
    <w:rsid w:val="00290553"/>
    <w:rsid w:val="0029055A"/>
    <w:rsid w:val="0029057B"/>
    <w:rsid w:val="0029063D"/>
    <w:rsid w:val="0029071B"/>
    <w:rsid w:val="0029082F"/>
    <w:rsid w:val="00290899"/>
    <w:rsid w:val="00290987"/>
    <w:rsid w:val="00290A7B"/>
    <w:rsid w:val="00290A89"/>
    <w:rsid w:val="00290AF5"/>
    <w:rsid w:val="00290B22"/>
    <w:rsid w:val="00290B33"/>
    <w:rsid w:val="00290B7B"/>
    <w:rsid w:val="00290C7F"/>
    <w:rsid w:val="00290C88"/>
    <w:rsid w:val="00290CCE"/>
    <w:rsid w:val="00290D59"/>
    <w:rsid w:val="00290DE3"/>
    <w:rsid w:val="00290E30"/>
    <w:rsid w:val="00290E74"/>
    <w:rsid w:val="00290EB0"/>
    <w:rsid w:val="00290EC5"/>
    <w:rsid w:val="00290F56"/>
    <w:rsid w:val="00290FAF"/>
    <w:rsid w:val="00291008"/>
    <w:rsid w:val="0029105C"/>
    <w:rsid w:val="00291074"/>
    <w:rsid w:val="002910C8"/>
    <w:rsid w:val="0029113F"/>
    <w:rsid w:val="00291184"/>
    <w:rsid w:val="00291189"/>
    <w:rsid w:val="002912A5"/>
    <w:rsid w:val="00291351"/>
    <w:rsid w:val="002913C4"/>
    <w:rsid w:val="00291419"/>
    <w:rsid w:val="0029146C"/>
    <w:rsid w:val="002914D7"/>
    <w:rsid w:val="002915D8"/>
    <w:rsid w:val="0029161A"/>
    <w:rsid w:val="00291651"/>
    <w:rsid w:val="002916C6"/>
    <w:rsid w:val="002916C8"/>
    <w:rsid w:val="00291704"/>
    <w:rsid w:val="002917BF"/>
    <w:rsid w:val="002918EB"/>
    <w:rsid w:val="00291AFB"/>
    <w:rsid w:val="00291B82"/>
    <w:rsid w:val="00291C69"/>
    <w:rsid w:val="00291D13"/>
    <w:rsid w:val="00291D70"/>
    <w:rsid w:val="00291EDC"/>
    <w:rsid w:val="00291FDF"/>
    <w:rsid w:val="0029208F"/>
    <w:rsid w:val="002921CD"/>
    <w:rsid w:val="002922C5"/>
    <w:rsid w:val="002922EB"/>
    <w:rsid w:val="002923A4"/>
    <w:rsid w:val="00292600"/>
    <w:rsid w:val="00292660"/>
    <w:rsid w:val="002926BB"/>
    <w:rsid w:val="002928D8"/>
    <w:rsid w:val="00292969"/>
    <w:rsid w:val="0029296E"/>
    <w:rsid w:val="00292B2E"/>
    <w:rsid w:val="00292B30"/>
    <w:rsid w:val="00292B44"/>
    <w:rsid w:val="00292C24"/>
    <w:rsid w:val="00292C58"/>
    <w:rsid w:val="00292CF9"/>
    <w:rsid w:val="00292D04"/>
    <w:rsid w:val="002930D1"/>
    <w:rsid w:val="0029313D"/>
    <w:rsid w:val="0029315E"/>
    <w:rsid w:val="0029327D"/>
    <w:rsid w:val="002932F6"/>
    <w:rsid w:val="002935C9"/>
    <w:rsid w:val="002935DE"/>
    <w:rsid w:val="002935E5"/>
    <w:rsid w:val="00293605"/>
    <w:rsid w:val="0029373E"/>
    <w:rsid w:val="00293808"/>
    <w:rsid w:val="0029383C"/>
    <w:rsid w:val="002938B4"/>
    <w:rsid w:val="002938ED"/>
    <w:rsid w:val="00293A25"/>
    <w:rsid w:val="00293A85"/>
    <w:rsid w:val="00293B16"/>
    <w:rsid w:val="00293B40"/>
    <w:rsid w:val="00293C4B"/>
    <w:rsid w:val="00293D2D"/>
    <w:rsid w:val="00293D2F"/>
    <w:rsid w:val="00293D56"/>
    <w:rsid w:val="00293E19"/>
    <w:rsid w:val="00293EA9"/>
    <w:rsid w:val="00294049"/>
    <w:rsid w:val="0029406C"/>
    <w:rsid w:val="002940C7"/>
    <w:rsid w:val="00294131"/>
    <w:rsid w:val="002941A3"/>
    <w:rsid w:val="002941BC"/>
    <w:rsid w:val="002941FB"/>
    <w:rsid w:val="00294311"/>
    <w:rsid w:val="00294326"/>
    <w:rsid w:val="00294387"/>
    <w:rsid w:val="002943BD"/>
    <w:rsid w:val="00294402"/>
    <w:rsid w:val="0029442B"/>
    <w:rsid w:val="00294544"/>
    <w:rsid w:val="00294835"/>
    <w:rsid w:val="002948A9"/>
    <w:rsid w:val="00294905"/>
    <w:rsid w:val="00294927"/>
    <w:rsid w:val="00294943"/>
    <w:rsid w:val="00294B21"/>
    <w:rsid w:val="00294B9D"/>
    <w:rsid w:val="00294BF8"/>
    <w:rsid w:val="00294C72"/>
    <w:rsid w:val="00294D27"/>
    <w:rsid w:val="00294D36"/>
    <w:rsid w:val="00294D74"/>
    <w:rsid w:val="00294DE6"/>
    <w:rsid w:val="00294E3E"/>
    <w:rsid w:val="00294E93"/>
    <w:rsid w:val="00294EA9"/>
    <w:rsid w:val="00294F28"/>
    <w:rsid w:val="00294F8B"/>
    <w:rsid w:val="00294FFD"/>
    <w:rsid w:val="0029500C"/>
    <w:rsid w:val="0029501A"/>
    <w:rsid w:val="002950C3"/>
    <w:rsid w:val="0029530D"/>
    <w:rsid w:val="00295330"/>
    <w:rsid w:val="00295340"/>
    <w:rsid w:val="0029542A"/>
    <w:rsid w:val="0029558D"/>
    <w:rsid w:val="002955B7"/>
    <w:rsid w:val="00295A89"/>
    <w:rsid w:val="00295B10"/>
    <w:rsid w:val="00295B89"/>
    <w:rsid w:val="00295D11"/>
    <w:rsid w:val="00295D16"/>
    <w:rsid w:val="00295D37"/>
    <w:rsid w:val="00295D39"/>
    <w:rsid w:val="00295DB4"/>
    <w:rsid w:val="00295EAE"/>
    <w:rsid w:val="00296009"/>
    <w:rsid w:val="0029600E"/>
    <w:rsid w:val="0029602A"/>
    <w:rsid w:val="002960E3"/>
    <w:rsid w:val="00296165"/>
    <w:rsid w:val="0029630F"/>
    <w:rsid w:val="00296347"/>
    <w:rsid w:val="002963CA"/>
    <w:rsid w:val="002964D9"/>
    <w:rsid w:val="002964E2"/>
    <w:rsid w:val="00296569"/>
    <w:rsid w:val="0029656F"/>
    <w:rsid w:val="002965BB"/>
    <w:rsid w:val="002965C0"/>
    <w:rsid w:val="0029667E"/>
    <w:rsid w:val="00296725"/>
    <w:rsid w:val="002968E0"/>
    <w:rsid w:val="002968F3"/>
    <w:rsid w:val="00296A43"/>
    <w:rsid w:val="00296AE4"/>
    <w:rsid w:val="00296B38"/>
    <w:rsid w:val="00296C16"/>
    <w:rsid w:val="00296CAA"/>
    <w:rsid w:val="00296D87"/>
    <w:rsid w:val="00296DF2"/>
    <w:rsid w:val="00296E53"/>
    <w:rsid w:val="00296F4A"/>
    <w:rsid w:val="00297191"/>
    <w:rsid w:val="002971B8"/>
    <w:rsid w:val="0029720C"/>
    <w:rsid w:val="00297285"/>
    <w:rsid w:val="002972FD"/>
    <w:rsid w:val="002973BF"/>
    <w:rsid w:val="002973F8"/>
    <w:rsid w:val="00297451"/>
    <w:rsid w:val="00297482"/>
    <w:rsid w:val="002974B5"/>
    <w:rsid w:val="00297557"/>
    <w:rsid w:val="002975F2"/>
    <w:rsid w:val="002975FC"/>
    <w:rsid w:val="00297651"/>
    <w:rsid w:val="002976AB"/>
    <w:rsid w:val="00297763"/>
    <w:rsid w:val="00297783"/>
    <w:rsid w:val="0029779A"/>
    <w:rsid w:val="002978E2"/>
    <w:rsid w:val="00297996"/>
    <w:rsid w:val="00297A17"/>
    <w:rsid w:val="00297A4A"/>
    <w:rsid w:val="00297B47"/>
    <w:rsid w:val="00297C76"/>
    <w:rsid w:val="00297DE3"/>
    <w:rsid w:val="00297E1A"/>
    <w:rsid w:val="00297E41"/>
    <w:rsid w:val="00297E6B"/>
    <w:rsid w:val="00297E6D"/>
    <w:rsid w:val="00297F9A"/>
    <w:rsid w:val="00297FD4"/>
    <w:rsid w:val="002A0101"/>
    <w:rsid w:val="002A0239"/>
    <w:rsid w:val="002A0249"/>
    <w:rsid w:val="002A0256"/>
    <w:rsid w:val="002A0287"/>
    <w:rsid w:val="002A0302"/>
    <w:rsid w:val="002A0318"/>
    <w:rsid w:val="002A03BC"/>
    <w:rsid w:val="002A03C8"/>
    <w:rsid w:val="002A03D4"/>
    <w:rsid w:val="002A03E6"/>
    <w:rsid w:val="002A0406"/>
    <w:rsid w:val="002A0443"/>
    <w:rsid w:val="002A044E"/>
    <w:rsid w:val="002A04DA"/>
    <w:rsid w:val="002A051E"/>
    <w:rsid w:val="002A05EA"/>
    <w:rsid w:val="002A06F8"/>
    <w:rsid w:val="002A073D"/>
    <w:rsid w:val="002A0A88"/>
    <w:rsid w:val="002A0B7E"/>
    <w:rsid w:val="002A0BB4"/>
    <w:rsid w:val="002A0CAB"/>
    <w:rsid w:val="002A0DB5"/>
    <w:rsid w:val="002A0EAA"/>
    <w:rsid w:val="002A0ED1"/>
    <w:rsid w:val="002A1107"/>
    <w:rsid w:val="002A137D"/>
    <w:rsid w:val="002A1519"/>
    <w:rsid w:val="002A167C"/>
    <w:rsid w:val="002A1681"/>
    <w:rsid w:val="002A16BF"/>
    <w:rsid w:val="002A16D5"/>
    <w:rsid w:val="002A1738"/>
    <w:rsid w:val="002A177B"/>
    <w:rsid w:val="002A18BF"/>
    <w:rsid w:val="002A1909"/>
    <w:rsid w:val="002A196E"/>
    <w:rsid w:val="002A19BA"/>
    <w:rsid w:val="002A1B2E"/>
    <w:rsid w:val="002A1B4A"/>
    <w:rsid w:val="002A1B66"/>
    <w:rsid w:val="002A1CC5"/>
    <w:rsid w:val="002A1D44"/>
    <w:rsid w:val="002A1D7C"/>
    <w:rsid w:val="002A1FEE"/>
    <w:rsid w:val="002A203F"/>
    <w:rsid w:val="002A2124"/>
    <w:rsid w:val="002A216A"/>
    <w:rsid w:val="002A2215"/>
    <w:rsid w:val="002A222C"/>
    <w:rsid w:val="002A2250"/>
    <w:rsid w:val="002A2277"/>
    <w:rsid w:val="002A22BC"/>
    <w:rsid w:val="002A22E1"/>
    <w:rsid w:val="002A22F5"/>
    <w:rsid w:val="002A24CE"/>
    <w:rsid w:val="002A25B8"/>
    <w:rsid w:val="002A2606"/>
    <w:rsid w:val="002A266A"/>
    <w:rsid w:val="002A26D0"/>
    <w:rsid w:val="002A2831"/>
    <w:rsid w:val="002A28B2"/>
    <w:rsid w:val="002A296D"/>
    <w:rsid w:val="002A2987"/>
    <w:rsid w:val="002A29D5"/>
    <w:rsid w:val="002A2AD4"/>
    <w:rsid w:val="002A2B19"/>
    <w:rsid w:val="002A2B9E"/>
    <w:rsid w:val="002A2C8B"/>
    <w:rsid w:val="002A2CD1"/>
    <w:rsid w:val="002A2CD5"/>
    <w:rsid w:val="002A2D81"/>
    <w:rsid w:val="002A2E4E"/>
    <w:rsid w:val="002A2F20"/>
    <w:rsid w:val="002A2F3A"/>
    <w:rsid w:val="002A30E9"/>
    <w:rsid w:val="002A31DF"/>
    <w:rsid w:val="002A32B3"/>
    <w:rsid w:val="002A338E"/>
    <w:rsid w:val="002A3397"/>
    <w:rsid w:val="002A33A4"/>
    <w:rsid w:val="002A3483"/>
    <w:rsid w:val="002A3491"/>
    <w:rsid w:val="002A352F"/>
    <w:rsid w:val="002A354E"/>
    <w:rsid w:val="002A3725"/>
    <w:rsid w:val="002A385E"/>
    <w:rsid w:val="002A389A"/>
    <w:rsid w:val="002A3967"/>
    <w:rsid w:val="002A39F5"/>
    <w:rsid w:val="002A3A24"/>
    <w:rsid w:val="002A3AB4"/>
    <w:rsid w:val="002A3B2D"/>
    <w:rsid w:val="002A3B87"/>
    <w:rsid w:val="002A3C14"/>
    <w:rsid w:val="002A3C6F"/>
    <w:rsid w:val="002A3CBC"/>
    <w:rsid w:val="002A3CC4"/>
    <w:rsid w:val="002A3DA4"/>
    <w:rsid w:val="002A3DCA"/>
    <w:rsid w:val="002A3E09"/>
    <w:rsid w:val="002A3EB3"/>
    <w:rsid w:val="002A3EF2"/>
    <w:rsid w:val="002A3F40"/>
    <w:rsid w:val="002A3FC8"/>
    <w:rsid w:val="002A3FDF"/>
    <w:rsid w:val="002A4037"/>
    <w:rsid w:val="002A40E7"/>
    <w:rsid w:val="002A415D"/>
    <w:rsid w:val="002A4223"/>
    <w:rsid w:val="002A423A"/>
    <w:rsid w:val="002A443E"/>
    <w:rsid w:val="002A444C"/>
    <w:rsid w:val="002A4480"/>
    <w:rsid w:val="002A4589"/>
    <w:rsid w:val="002A45CD"/>
    <w:rsid w:val="002A466A"/>
    <w:rsid w:val="002A46F2"/>
    <w:rsid w:val="002A472B"/>
    <w:rsid w:val="002A4A39"/>
    <w:rsid w:val="002A4BD9"/>
    <w:rsid w:val="002A4C7C"/>
    <w:rsid w:val="002A4DC4"/>
    <w:rsid w:val="002A4EF5"/>
    <w:rsid w:val="002A5092"/>
    <w:rsid w:val="002A5171"/>
    <w:rsid w:val="002A51C0"/>
    <w:rsid w:val="002A51EE"/>
    <w:rsid w:val="002A52C4"/>
    <w:rsid w:val="002A53E9"/>
    <w:rsid w:val="002A547D"/>
    <w:rsid w:val="002A547F"/>
    <w:rsid w:val="002A54A5"/>
    <w:rsid w:val="002A553F"/>
    <w:rsid w:val="002A55A4"/>
    <w:rsid w:val="002A55AA"/>
    <w:rsid w:val="002A5664"/>
    <w:rsid w:val="002A57D7"/>
    <w:rsid w:val="002A5879"/>
    <w:rsid w:val="002A58E1"/>
    <w:rsid w:val="002A5937"/>
    <w:rsid w:val="002A59A2"/>
    <w:rsid w:val="002A5A54"/>
    <w:rsid w:val="002A5A5A"/>
    <w:rsid w:val="002A5AF6"/>
    <w:rsid w:val="002A5B30"/>
    <w:rsid w:val="002A5BB5"/>
    <w:rsid w:val="002A5BE1"/>
    <w:rsid w:val="002A5CE4"/>
    <w:rsid w:val="002A5D77"/>
    <w:rsid w:val="002A5D7A"/>
    <w:rsid w:val="002A5D9F"/>
    <w:rsid w:val="002A5DC4"/>
    <w:rsid w:val="002A5EBA"/>
    <w:rsid w:val="002A5ECD"/>
    <w:rsid w:val="002A5EEE"/>
    <w:rsid w:val="002A5F51"/>
    <w:rsid w:val="002A5F8F"/>
    <w:rsid w:val="002A6085"/>
    <w:rsid w:val="002A6118"/>
    <w:rsid w:val="002A6195"/>
    <w:rsid w:val="002A6424"/>
    <w:rsid w:val="002A6607"/>
    <w:rsid w:val="002A6712"/>
    <w:rsid w:val="002A6968"/>
    <w:rsid w:val="002A69CB"/>
    <w:rsid w:val="002A6AB3"/>
    <w:rsid w:val="002A6AC0"/>
    <w:rsid w:val="002A6ACF"/>
    <w:rsid w:val="002A6B09"/>
    <w:rsid w:val="002A6B11"/>
    <w:rsid w:val="002A6B78"/>
    <w:rsid w:val="002A6BA4"/>
    <w:rsid w:val="002A6BEA"/>
    <w:rsid w:val="002A6C3E"/>
    <w:rsid w:val="002A6D39"/>
    <w:rsid w:val="002A6D4F"/>
    <w:rsid w:val="002A6E59"/>
    <w:rsid w:val="002A6ED2"/>
    <w:rsid w:val="002A6EF3"/>
    <w:rsid w:val="002A6F07"/>
    <w:rsid w:val="002A6F96"/>
    <w:rsid w:val="002A6FC9"/>
    <w:rsid w:val="002A6FFC"/>
    <w:rsid w:val="002A7173"/>
    <w:rsid w:val="002A7266"/>
    <w:rsid w:val="002A72A2"/>
    <w:rsid w:val="002A72A9"/>
    <w:rsid w:val="002A7468"/>
    <w:rsid w:val="002A7498"/>
    <w:rsid w:val="002A74D1"/>
    <w:rsid w:val="002A75D6"/>
    <w:rsid w:val="002A7600"/>
    <w:rsid w:val="002A7849"/>
    <w:rsid w:val="002A7865"/>
    <w:rsid w:val="002A7992"/>
    <w:rsid w:val="002A79A5"/>
    <w:rsid w:val="002A7AF0"/>
    <w:rsid w:val="002A7B62"/>
    <w:rsid w:val="002A7BF7"/>
    <w:rsid w:val="002A7C00"/>
    <w:rsid w:val="002A7C6B"/>
    <w:rsid w:val="002A7C9A"/>
    <w:rsid w:val="002A7D88"/>
    <w:rsid w:val="002A7DA3"/>
    <w:rsid w:val="002A7F68"/>
    <w:rsid w:val="002A7FFE"/>
    <w:rsid w:val="002B0045"/>
    <w:rsid w:val="002B0175"/>
    <w:rsid w:val="002B019A"/>
    <w:rsid w:val="002B019C"/>
    <w:rsid w:val="002B02D7"/>
    <w:rsid w:val="002B03EB"/>
    <w:rsid w:val="002B0402"/>
    <w:rsid w:val="002B0511"/>
    <w:rsid w:val="002B06B1"/>
    <w:rsid w:val="002B06D2"/>
    <w:rsid w:val="002B0726"/>
    <w:rsid w:val="002B0738"/>
    <w:rsid w:val="002B077C"/>
    <w:rsid w:val="002B0791"/>
    <w:rsid w:val="002B07A6"/>
    <w:rsid w:val="002B0881"/>
    <w:rsid w:val="002B096A"/>
    <w:rsid w:val="002B09A3"/>
    <w:rsid w:val="002B09F5"/>
    <w:rsid w:val="002B0A8E"/>
    <w:rsid w:val="002B0B10"/>
    <w:rsid w:val="002B0B25"/>
    <w:rsid w:val="002B0C2A"/>
    <w:rsid w:val="002B0C67"/>
    <w:rsid w:val="002B0C8D"/>
    <w:rsid w:val="002B0D24"/>
    <w:rsid w:val="002B0D7F"/>
    <w:rsid w:val="002B1023"/>
    <w:rsid w:val="002B1082"/>
    <w:rsid w:val="002B1109"/>
    <w:rsid w:val="002B117C"/>
    <w:rsid w:val="002B11D1"/>
    <w:rsid w:val="002B1260"/>
    <w:rsid w:val="002B131B"/>
    <w:rsid w:val="002B13B3"/>
    <w:rsid w:val="002B14FF"/>
    <w:rsid w:val="002B1580"/>
    <w:rsid w:val="002B1682"/>
    <w:rsid w:val="002B191D"/>
    <w:rsid w:val="002B19BB"/>
    <w:rsid w:val="002B19FD"/>
    <w:rsid w:val="002B19FF"/>
    <w:rsid w:val="002B1A54"/>
    <w:rsid w:val="002B1A9C"/>
    <w:rsid w:val="002B1B61"/>
    <w:rsid w:val="002B1BCD"/>
    <w:rsid w:val="002B1D94"/>
    <w:rsid w:val="002B1D9C"/>
    <w:rsid w:val="002B1DB9"/>
    <w:rsid w:val="002B1DED"/>
    <w:rsid w:val="002B1E3B"/>
    <w:rsid w:val="002B1E4F"/>
    <w:rsid w:val="002B1F0F"/>
    <w:rsid w:val="002B1F21"/>
    <w:rsid w:val="002B21B1"/>
    <w:rsid w:val="002B21BB"/>
    <w:rsid w:val="002B21CA"/>
    <w:rsid w:val="002B222C"/>
    <w:rsid w:val="002B223D"/>
    <w:rsid w:val="002B228A"/>
    <w:rsid w:val="002B236C"/>
    <w:rsid w:val="002B240A"/>
    <w:rsid w:val="002B25F9"/>
    <w:rsid w:val="002B26B9"/>
    <w:rsid w:val="002B27C3"/>
    <w:rsid w:val="002B27FE"/>
    <w:rsid w:val="002B2866"/>
    <w:rsid w:val="002B28C3"/>
    <w:rsid w:val="002B2A0F"/>
    <w:rsid w:val="002B2A33"/>
    <w:rsid w:val="002B2A68"/>
    <w:rsid w:val="002B2AF7"/>
    <w:rsid w:val="002B2D14"/>
    <w:rsid w:val="002B2ED7"/>
    <w:rsid w:val="002B2F14"/>
    <w:rsid w:val="002B2FA4"/>
    <w:rsid w:val="002B2FB4"/>
    <w:rsid w:val="002B306A"/>
    <w:rsid w:val="002B3172"/>
    <w:rsid w:val="002B3185"/>
    <w:rsid w:val="002B31B6"/>
    <w:rsid w:val="002B32EB"/>
    <w:rsid w:val="002B3327"/>
    <w:rsid w:val="002B3402"/>
    <w:rsid w:val="002B3463"/>
    <w:rsid w:val="002B353E"/>
    <w:rsid w:val="002B35BC"/>
    <w:rsid w:val="002B36A4"/>
    <w:rsid w:val="002B37EC"/>
    <w:rsid w:val="002B38BB"/>
    <w:rsid w:val="002B3930"/>
    <w:rsid w:val="002B3AAB"/>
    <w:rsid w:val="002B3C67"/>
    <w:rsid w:val="002B3D2B"/>
    <w:rsid w:val="002B3D3C"/>
    <w:rsid w:val="002B3D4B"/>
    <w:rsid w:val="002B3E28"/>
    <w:rsid w:val="002B3E82"/>
    <w:rsid w:val="002B3EDA"/>
    <w:rsid w:val="002B3F68"/>
    <w:rsid w:val="002B4183"/>
    <w:rsid w:val="002B421E"/>
    <w:rsid w:val="002B42E9"/>
    <w:rsid w:val="002B4391"/>
    <w:rsid w:val="002B449A"/>
    <w:rsid w:val="002B4572"/>
    <w:rsid w:val="002B457D"/>
    <w:rsid w:val="002B45B2"/>
    <w:rsid w:val="002B45E3"/>
    <w:rsid w:val="002B46B4"/>
    <w:rsid w:val="002B478E"/>
    <w:rsid w:val="002B47EE"/>
    <w:rsid w:val="002B4883"/>
    <w:rsid w:val="002B4961"/>
    <w:rsid w:val="002B49E8"/>
    <w:rsid w:val="002B4B7D"/>
    <w:rsid w:val="002B4C30"/>
    <w:rsid w:val="002B4CB3"/>
    <w:rsid w:val="002B4CE5"/>
    <w:rsid w:val="002B4D17"/>
    <w:rsid w:val="002B4EBB"/>
    <w:rsid w:val="002B4ED0"/>
    <w:rsid w:val="002B4EED"/>
    <w:rsid w:val="002B51D9"/>
    <w:rsid w:val="002B5222"/>
    <w:rsid w:val="002B52D0"/>
    <w:rsid w:val="002B52ED"/>
    <w:rsid w:val="002B53D8"/>
    <w:rsid w:val="002B53E3"/>
    <w:rsid w:val="002B54AD"/>
    <w:rsid w:val="002B54C1"/>
    <w:rsid w:val="002B54E2"/>
    <w:rsid w:val="002B5503"/>
    <w:rsid w:val="002B5531"/>
    <w:rsid w:val="002B5548"/>
    <w:rsid w:val="002B556A"/>
    <w:rsid w:val="002B5598"/>
    <w:rsid w:val="002B5601"/>
    <w:rsid w:val="002B5645"/>
    <w:rsid w:val="002B57C1"/>
    <w:rsid w:val="002B588A"/>
    <w:rsid w:val="002B58F6"/>
    <w:rsid w:val="002B5A00"/>
    <w:rsid w:val="002B5B15"/>
    <w:rsid w:val="002B5BA0"/>
    <w:rsid w:val="002B5BB0"/>
    <w:rsid w:val="002B5D04"/>
    <w:rsid w:val="002B5D1E"/>
    <w:rsid w:val="002B5DCE"/>
    <w:rsid w:val="002B5E15"/>
    <w:rsid w:val="002B6093"/>
    <w:rsid w:val="002B609F"/>
    <w:rsid w:val="002B6329"/>
    <w:rsid w:val="002B633A"/>
    <w:rsid w:val="002B64DC"/>
    <w:rsid w:val="002B650D"/>
    <w:rsid w:val="002B65A7"/>
    <w:rsid w:val="002B662C"/>
    <w:rsid w:val="002B6658"/>
    <w:rsid w:val="002B66F1"/>
    <w:rsid w:val="002B68D8"/>
    <w:rsid w:val="002B69BB"/>
    <w:rsid w:val="002B6B08"/>
    <w:rsid w:val="002B6B62"/>
    <w:rsid w:val="002B6C88"/>
    <w:rsid w:val="002B6CD8"/>
    <w:rsid w:val="002B6CF3"/>
    <w:rsid w:val="002B6CF5"/>
    <w:rsid w:val="002B6D4B"/>
    <w:rsid w:val="002B6F4A"/>
    <w:rsid w:val="002B6F93"/>
    <w:rsid w:val="002B6FD1"/>
    <w:rsid w:val="002B7061"/>
    <w:rsid w:val="002B70BA"/>
    <w:rsid w:val="002B7151"/>
    <w:rsid w:val="002B725C"/>
    <w:rsid w:val="002B7359"/>
    <w:rsid w:val="002B742A"/>
    <w:rsid w:val="002B748F"/>
    <w:rsid w:val="002B7499"/>
    <w:rsid w:val="002B7538"/>
    <w:rsid w:val="002B76D3"/>
    <w:rsid w:val="002B77EE"/>
    <w:rsid w:val="002B78EC"/>
    <w:rsid w:val="002B7928"/>
    <w:rsid w:val="002B7A68"/>
    <w:rsid w:val="002B7A79"/>
    <w:rsid w:val="002B7AAF"/>
    <w:rsid w:val="002B7AF1"/>
    <w:rsid w:val="002B7B4A"/>
    <w:rsid w:val="002B7B58"/>
    <w:rsid w:val="002B7D9B"/>
    <w:rsid w:val="002B7E6E"/>
    <w:rsid w:val="002B7EEE"/>
    <w:rsid w:val="002B7F11"/>
    <w:rsid w:val="002B7F42"/>
    <w:rsid w:val="002B7FAF"/>
    <w:rsid w:val="002B9F93"/>
    <w:rsid w:val="002C00BA"/>
    <w:rsid w:val="002C0105"/>
    <w:rsid w:val="002C010B"/>
    <w:rsid w:val="002C010F"/>
    <w:rsid w:val="002C0197"/>
    <w:rsid w:val="002C0281"/>
    <w:rsid w:val="002C02C4"/>
    <w:rsid w:val="002C0305"/>
    <w:rsid w:val="002C036B"/>
    <w:rsid w:val="002C03F1"/>
    <w:rsid w:val="002C0419"/>
    <w:rsid w:val="002C05FB"/>
    <w:rsid w:val="002C088E"/>
    <w:rsid w:val="002C0936"/>
    <w:rsid w:val="002C096E"/>
    <w:rsid w:val="002C0A6E"/>
    <w:rsid w:val="002C0B96"/>
    <w:rsid w:val="002C0CC9"/>
    <w:rsid w:val="002C0CF7"/>
    <w:rsid w:val="002C0EE2"/>
    <w:rsid w:val="002C10FC"/>
    <w:rsid w:val="002C1174"/>
    <w:rsid w:val="002C12AC"/>
    <w:rsid w:val="002C13D5"/>
    <w:rsid w:val="002C13E9"/>
    <w:rsid w:val="002C141D"/>
    <w:rsid w:val="002C1494"/>
    <w:rsid w:val="002C152C"/>
    <w:rsid w:val="002C157C"/>
    <w:rsid w:val="002C15AC"/>
    <w:rsid w:val="002C15CA"/>
    <w:rsid w:val="002C15E8"/>
    <w:rsid w:val="002C1691"/>
    <w:rsid w:val="002C16CA"/>
    <w:rsid w:val="002C181D"/>
    <w:rsid w:val="002C18CE"/>
    <w:rsid w:val="002C1974"/>
    <w:rsid w:val="002C19A4"/>
    <w:rsid w:val="002C1B06"/>
    <w:rsid w:val="002C1B61"/>
    <w:rsid w:val="002C1C4A"/>
    <w:rsid w:val="002C1CE8"/>
    <w:rsid w:val="002C1DD7"/>
    <w:rsid w:val="002C1E3B"/>
    <w:rsid w:val="002C1E88"/>
    <w:rsid w:val="002C1EA4"/>
    <w:rsid w:val="002C1EA8"/>
    <w:rsid w:val="002C1F1B"/>
    <w:rsid w:val="002C1F7F"/>
    <w:rsid w:val="002C1FA9"/>
    <w:rsid w:val="002C209D"/>
    <w:rsid w:val="002C2143"/>
    <w:rsid w:val="002C2174"/>
    <w:rsid w:val="002C21EC"/>
    <w:rsid w:val="002C23AF"/>
    <w:rsid w:val="002C24BC"/>
    <w:rsid w:val="002C2582"/>
    <w:rsid w:val="002C2732"/>
    <w:rsid w:val="002C2843"/>
    <w:rsid w:val="002C2853"/>
    <w:rsid w:val="002C2A18"/>
    <w:rsid w:val="002C2B19"/>
    <w:rsid w:val="002C2B66"/>
    <w:rsid w:val="002C2B68"/>
    <w:rsid w:val="002C2BFA"/>
    <w:rsid w:val="002C2C90"/>
    <w:rsid w:val="002C2C98"/>
    <w:rsid w:val="002C2D6B"/>
    <w:rsid w:val="002C2DAB"/>
    <w:rsid w:val="002C2F62"/>
    <w:rsid w:val="002C304B"/>
    <w:rsid w:val="002C30BD"/>
    <w:rsid w:val="002C32A6"/>
    <w:rsid w:val="002C3418"/>
    <w:rsid w:val="002C3538"/>
    <w:rsid w:val="002C3541"/>
    <w:rsid w:val="002C356B"/>
    <w:rsid w:val="002C3591"/>
    <w:rsid w:val="002C3602"/>
    <w:rsid w:val="002C36FF"/>
    <w:rsid w:val="002C374A"/>
    <w:rsid w:val="002C3773"/>
    <w:rsid w:val="002C37BC"/>
    <w:rsid w:val="002C38B9"/>
    <w:rsid w:val="002C38CD"/>
    <w:rsid w:val="002C393A"/>
    <w:rsid w:val="002C3A06"/>
    <w:rsid w:val="002C3C77"/>
    <w:rsid w:val="002C3ED9"/>
    <w:rsid w:val="002C3F15"/>
    <w:rsid w:val="002C400C"/>
    <w:rsid w:val="002C407F"/>
    <w:rsid w:val="002C40C6"/>
    <w:rsid w:val="002C4222"/>
    <w:rsid w:val="002C42B1"/>
    <w:rsid w:val="002C437C"/>
    <w:rsid w:val="002C43C6"/>
    <w:rsid w:val="002C43D1"/>
    <w:rsid w:val="002C440D"/>
    <w:rsid w:val="002C4563"/>
    <w:rsid w:val="002C4683"/>
    <w:rsid w:val="002C47C3"/>
    <w:rsid w:val="002C49E4"/>
    <w:rsid w:val="002C49F1"/>
    <w:rsid w:val="002C4AB7"/>
    <w:rsid w:val="002C4ADD"/>
    <w:rsid w:val="002C4B81"/>
    <w:rsid w:val="002C4E78"/>
    <w:rsid w:val="002C4F38"/>
    <w:rsid w:val="002C4F66"/>
    <w:rsid w:val="002C505F"/>
    <w:rsid w:val="002C5073"/>
    <w:rsid w:val="002C5161"/>
    <w:rsid w:val="002C51A9"/>
    <w:rsid w:val="002C5266"/>
    <w:rsid w:val="002C52C0"/>
    <w:rsid w:val="002C52E0"/>
    <w:rsid w:val="002C532B"/>
    <w:rsid w:val="002C5350"/>
    <w:rsid w:val="002C545D"/>
    <w:rsid w:val="002C54C3"/>
    <w:rsid w:val="002C5524"/>
    <w:rsid w:val="002C5549"/>
    <w:rsid w:val="002C5584"/>
    <w:rsid w:val="002C558B"/>
    <w:rsid w:val="002C5684"/>
    <w:rsid w:val="002C57A5"/>
    <w:rsid w:val="002C57A6"/>
    <w:rsid w:val="002C584E"/>
    <w:rsid w:val="002C5889"/>
    <w:rsid w:val="002C58D0"/>
    <w:rsid w:val="002C5B30"/>
    <w:rsid w:val="002C5B6C"/>
    <w:rsid w:val="002C5B73"/>
    <w:rsid w:val="002C5B7E"/>
    <w:rsid w:val="002C5BF8"/>
    <w:rsid w:val="002C5C4D"/>
    <w:rsid w:val="002C5C9E"/>
    <w:rsid w:val="002C5DD4"/>
    <w:rsid w:val="002C5DF7"/>
    <w:rsid w:val="002C5ECF"/>
    <w:rsid w:val="002C5EE4"/>
    <w:rsid w:val="002C5F01"/>
    <w:rsid w:val="002C6088"/>
    <w:rsid w:val="002C60D9"/>
    <w:rsid w:val="002C60E4"/>
    <w:rsid w:val="002C61C6"/>
    <w:rsid w:val="002C622D"/>
    <w:rsid w:val="002C6349"/>
    <w:rsid w:val="002C63F8"/>
    <w:rsid w:val="002C6442"/>
    <w:rsid w:val="002C646E"/>
    <w:rsid w:val="002C651F"/>
    <w:rsid w:val="002C656F"/>
    <w:rsid w:val="002C65D1"/>
    <w:rsid w:val="002C6668"/>
    <w:rsid w:val="002C66B4"/>
    <w:rsid w:val="002C6719"/>
    <w:rsid w:val="002C6731"/>
    <w:rsid w:val="002C6753"/>
    <w:rsid w:val="002C676A"/>
    <w:rsid w:val="002C6866"/>
    <w:rsid w:val="002C6893"/>
    <w:rsid w:val="002C6AD0"/>
    <w:rsid w:val="002C6BF4"/>
    <w:rsid w:val="002C6C29"/>
    <w:rsid w:val="002C6DAC"/>
    <w:rsid w:val="002C6E04"/>
    <w:rsid w:val="002C6E0C"/>
    <w:rsid w:val="002C6E63"/>
    <w:rsid w:val="002C6F74"/>
    <w:rsid w:val="002C6FF1"/>
    <w:rsid w:val="002C717B"/>
    <w:rsid w:val="002C727B"/>
    <w:rsid w:val="002C733F"/>
    <w:rsid w:val="002C73E0"/>
    <w:rsid w:val="002C74AE"/>
    <w:rsid w:val="002C75E1"/>
    <w:rsid w:val="002C7750"/>
    <w:rsid w:val="002C7820"/>
    <w:rsid w:val="002C7887"/>
    <w:rsid w:val="002C78F3"/>
    <w:rsid w:val="002C7A09"/>
    <w:rsid w:val="002C7A6F"/>
    <w:rsid w:val="002C7BE6"/>
    <w:rsid w:val="002C7C57"/>
    <w:rsid w:val="002C7E65"/>
    <w:rsid w:val="002C7EDD"/>
    <w:rsid w:val="002C7F60"/>
    <w:rsid w:val="002C7F70"/>
    <w:rsid w:val="002C7FBD"/>
    <w:rsid w:val="002CA259"/>
    <w:rsid w:val="002D01C2"/>
    <w:rsid w:val="002D028A"/>
    <w:rsid w:val="002D031A"/>
    <w:rsid w:val="002D0366"/>
    <w:rsid w:val="002D03C6"/>
    <w:rsid w:val="002D04BF"/>
    <w:rsid w:val="002D04DB"/>
    <w:rsid w:val="002D04FB"/>
    <w:rsid w:val="002D053A"/>
    <w:rsid w:val="002D05EC"/>
    <w:rsid w:val="002D075A"/>
    <w:rsid w:val="002D075F"/>
    <w:rsid w:val="002D086A"/>
    <w:rsid w:val="002D0891"/>
    <w:rsid w:val="002D09A0"/>
    <w:rsid w:val="002D0AB8"/>
    <w:rsid w:val="002D0AD1"/>
    <w:rsid w:val="002D0B07"/>
    <w:rsid w:val="002D0C16"/>
    <w:rsid w:val="002D0C6A"/>
    <w:rsid w:val="002D115C"/>
    <w:rsid w:val="002D11DA"/>
    <w:rsid w:val="002D1364"/>
    <w:rsid w:val="002D1390"/>
    <w:rsid w:val="002D14D3"/>
    <w:rsid w:val="002D159E"/>
    <w:rsid w:val="002D15EA"/>
    <w:rsid w:val="002D15FC"/>
    <w:rsid w:val="002D162F"/>
    <w:rsid w:val="002D1684"/>
    <w:rsid w:val="002D16F2"/>
    <w:rsid w:val="002D1830"/>
    <w:rsid w:val="002D1858"/>
    <w:rsid w:val="002D1963"/>
    <w:rsid w:val="002D1A45"/>
    <w:rsid w:val="002D1AF3"/>
    <w:rsid w:val="002D1B5C"/>
    <w:rsid w:val="002D1B91"/>
    <w:rsid w:val="002D1BEB"/>
    <w:rsid w:val="002D1DFA"/>
    <w:rsid w:val="002D1E04"/>
    <w:rsid w:val="002D1E28"/>
    <w:rsid w:val="002D1E31"/>
    <w:rsid w:val="002D2085"/>
    <w:rsid w:val="002D20B2"/>
    <w:rsid w:val="002D2112"/>
    <w:rsid w:val="002D2196"/>
    <w:rsid w:val="002D21E8"/>
    <w:rsid w:val="002D2345"/>
    <w:rsid w:val="002D23A2"/>
    <w:rsid w:val="002D24B6"/>
    <w:rsid w:val="002D250A"/>
    <w:rsid w:val="002D26B5"/>
    <w:rsid w:val="002D276A"/>
    <w:rsid w:val="002D27AE"/>
    <w:rsid w:val="002D27E5"/>
    <w:rsid w:val="002D280F"/>
    <w:rsid w:val="002D2880"/>
    <w:rsid w:val="002D28D4"/>
    <w:rsid w:val="002D29F5"/>
    <w:rsid w:val="002D2A2A"/>
    <w:rsid w:val="002D2A42"/>
    <w:rsid w:val="002D2B09"/>
    <w:rsid w:val="002D2B42"/>
    <w:rsid w:val="002D2B62"/>
    <w:rsid w:val="002D2C99"/>
    <w:rsid w:val="002D2D36"/>
    <w:rsid w:val="002D2F32"/>
    <w:rsid w:val="002D3022"/>
    <w:rsid w:val="002D3049"/>
    <w:rsid w:val="002D3050"/>
    <w:rsid w:val="002D307C"/>
    <w:rsid w:val="002D3092"/>
    <w:rsid w:val="002D3096"/>
    <w:rsid w:val="002D3106"/>
    <w:rsid w:val="002D3172"/>
    <w:rsid w:val="002D31FB"/>
    <w:rsid w:val="002D3207"/>
    <w:rsid w:val="002D32AA"/>
    <w:rsid w:val="002D3369"/>
    <w:rsid w:val="002D3373"/>
    <w:rsid w:val="002D345F"/>
    <w:rsid w:val="002D3477"/>
    <w:rsid w:val="002D34D1"/>
    <w:rsid w:val="002D3513"/>
    <w:rsid w:val="002D357F"/>
    <w:rsid w:val="002D35E2"/>
    <w:rsid w:val="002D368C"/>
    <w:rsid w:val="002D36B4"/>
    <w:rsid w:val="002D3731"/>
    <w:rsid w:val="002D3819"/>
    <w:rsid w:val="002D38C1"/>
    <w:rsid w:val="002D3AA3"/>
    <w:rsid w:val="002D3C3A"/>
    <w:rsid w:val="002D3C44"/>
    <w:rsid w:val="002D3C75"/>
    <w:rsid w:val="002D3CA0"/>
    <w:rsid w:val="002D3D53"/>
    <w:rsid w:val="002D3DE2"/>
    <w:rsid w:val="002D3DF0"/>
    <w:rsid w:val="002D3E4C"/>
    <w:rsid w:val="002D3E8D"/>
    <w:rsid w:val="002D3E93"/>
    <w:rsid w:val="002D3F94"/>
    <w:rsid w:val="002D405D"/>
    <w:rsid w:val="002D408C"/>
    <w:rsid w:val="002D40CE"/>
    <w:rsid w:val="002D41DB"/>
    <w:rsid w:val="002D4254"/>
    <w:rsid w:val="002D4273"/>
    <w:rsid w:val="002D434C"/>
    <w:rsid w:val="002D436F"/>
    <w:rsid w:val="002D4377"/>
    <w:rsid w:val="002D462A"/>
    <w:rsid w:val="002D46F6"/>
    <w:rsid w:val="002D46FC"/>
    <w:rsid w:val="002D4749"/>
    <w:rsid w:val="002D47E6"/>
    <w:rsid w:val="002D47F8"/>
    <w:rsid w:val="002D4816"/>
    <w:rsid w:val="002D48FF"/>
    <w:rsid w:val="002D4965"/>
    <w:rsid w:val="002D4A83"/>
    <w:rsid w:val="002D4ACA"/>
    <w:rsid w:val="002D4B16"/>
    <w:rsid w:val="002D4B30"/>
    <w:rsid w:val="002D4CE6"/>
    <w:rsid w:val="002D4D5B"/>
    <w:rsid w:val="002D4D7E"/>
    <w:rsid w:val="002D4DB3"/>
    <w:rsid w:val="002D4E20"/>
    <w:rsid w:val="002D4E9E"/>
    <w:rsid w:val="002D4EA5"/>
    <w:rsid w:val="002D4EBC"/>
    <w:rsid w:val="002D4EF7"/>
    <w:rsid w:val="002D4FE9"/>
    <w:rsid w:val="002D50B8"/>
    <w:rsid w:val="002D51FF"/>
    <w:rsid w:val="002D5213"/>
    <w:rsid w:val="002D5402"/>
    <w:rsid w:val="002D549B"/>
    <w:rsid w:val="002D5555"/>
    <w:rsid w:val="002D5564"/>
    <w:rsid w:val="002D558A"/>
    <w:rsid w:val="002D56B3"/>
    <w:rsid w:val="002D56EE"/>
    <w:rsid w:val="002D57F7"/>
    <w:rsid w:val="002D5858"/>
    <w:rsid w:val="002D5863"/>
    <w:rsid w:val="002D58AF"/>
    <w:rsid w:val="002D58FA"/>
    <w:rsid w:val="002D59B5"/>
    <w:rsid w:val="002D5A8D"/>
    <w:rsid w:val="002D5B49"/>
    <w:rsid w:val="002D5BB0"/>
    <w:rsid w:val="002D5BDE"/>
    <w:rsid w:val="002D5C6C"/>
    <w:rsid w:val="002D5DAE"/>
    <w:rsid w:val="002D612C"/>
    <w:rsid w:val="002D6192"/>
    <w:rsid w:val="002D61B8"/>
    <w:rsid w:val="002D632D"/>
    <w:rsid w:val="002D637A"/>
    <w:rsid w:val="002D6417"/>
    <w:rsid w:val="002D646E"/>
    <w:rsid w:val="002D647C"/>
    <w:rsid w:val="002D6512"/>
    <w:rsid w:val="002D6514"/>
    <w:rsid w:val="002D6637"/>
    <w:rsid w:val="002D66D4"/>
    <w:rsid w:val="002D6727"/>
    <w:rsid w:val="002D6754"/>
    <w:rsid w:val="002D6881"/>
    <w:rsid w:val="002D68DE"/>
    <w:rsid w:val="002D6A2A"/>
    <w:rsid w:val="002D6AE0"/>
    <w:rsid w:val="002D6C27"/>
    <w:rsid w:val="002D6CC9"/>
    <w:rsid w:val="002D6D0A"/>
    <w:rsid w:val="002D6D49"/>
    <w:rsid w:val="002D6D95"/>
    <w:rsid w:val="002D6DD0"/>
    <w:rsid w:val="002D6EE1"/>
    <w:rsid w:val="002D7092"/>
    <w:rsid w:val="002D70CF"/>
    <w:rsid w:val="002D72D5"/>
    <w:rsid w:val="002D73EC"/>
    <w:rsid w:val="002D73F5"/>
    <w:rsid w:val="002D74DE"/>
    <w:rsid w:val="002D7561"/>
    <w:rsid w:val="002D7606"/>
    <w:rsid w:val="002D7694"/>
    <w:rsid w:val="002D77A9"/>
    <w:rsid w:val="002D78CD"/>
    <w:rsid w:val="002D7961"/>
    <w:rsid w:val="002D79AB"/>
    <w:rsid w:val="002D7A66"/>
    <w:rsid w:val="002D7C12"/>
    <w:rsid w:val="002D7CCE"/>
    <w:rsid w:val="002D7D3B"/>
    <w:rsid w:val="002D7E3D"/>
    <w:rsid w:val="002D7EC0"/>
    <w:rsid w:val="002D7F1F"/>
    <w:rsid w:val="002D7F48"/>
    <w:rsid w:val="002D7F64"/>
    <w:rsid w:val="002E00C6"/>
    <w:rsid w:val="002E0185"/>
    <w:rsid w:val="002E019D"/>
    <w:rsid w:val="002E01F2"/>
    <w:rsid w:val="002E0228"/>
    <w:rsid w:val="002E02B9"/>
    <w:rsid w:val="002E033F"/>
    <w:rsid w:val="002E03A5"/>
    <w:rsid w:val="002E03CE"/>
    <w:rsid w:val="002E0449"/>
    <w:rsid w:val="002E04F1"/>
    <w:rsid w:val="002E0519"/>
    <w:rsid w:val="002E05A2"/>
    <w:rsid w:val="002E066A"/>
    <w:rsid w:val="002E0768"/>
    <w:rsid w:val="002E0771"/>
    <w:rsid w:val="002E07BC"/>
    <w:rsid w:val="002E07DB"/>
    <w:rsid w:val="002E0806"/>
    <w:rsid w:val="002E0878"/>
    <w:rsid w:val="002E0885"/>
    <w:rsid w:val="002E0920"/>
    <w:rsid w:val="002E098C"/>
    <w:rsid w:val="002E0A9A"/>
    <w:rsid w:val="002E0AA4"/>
    <w:rsid w:val="002E0C2A"/>
    <w:rsid w:val="002E0C3A"/>
    <w:rsid w:val="002E0CBB"/>
    <w:rsid w:val="002E0D7D"/>
    <w:rsid w:val="002E0DEF"/>
    <w:rsid w:val="002E0EBC"/>
    <w:rsid w:val="002E107D"/>
    <w:rsid w:val="002E10BE"/>
    <w:rsid w:val="002E10C4"/>
    <w:rsid w:val="002E10CF"/>
    <w:rsid w:val="002E115A"/>
    <w:rsid w:val="002E1178"/>
    <w:rsid w:val="002E1247"/>
    <w:rsid w:val="002E138C"/>
    <w:rsid w:val="002E13A4"/>
    <w:rsid w:val="002E1446"/>
    <w:rsid w:val="002E155B"/>
    <w:rsid w:val="002E1592"/>
    <w:rsid w:val="002E159B"/>
    <w:rsid w:val="002E1654"/>
    <w:rsid w:val="002E16FD"/>
    <w:rsid w:val="002E17C1"/>
    <w:rsid w:val="002E1838"/>
    <w:rsid w:val="002E1875"/>
    <w:rsid w:val="002E1886"/>
    <w:rsid w:val="002E18DC"/>
    <w:rsid w:val="002E1A3C"/>
    <w:rsid w:val="002E1B6D"/>
    <w:rsid w:val="002E1BE5"/>
    <w:rsid w:val="002E1BF2"/>
    <w:rsid w:val="002E1C18"/>
    <w:rsid w:val="002E1CBE"/>
    <w:rsid w:val="002E1CD4"/>
    <w:rsid w:val="002E1DC4"/>
    <w:rsid w:val="002E1DE9"/>
    <w:rsid w:val="002E1F80"/>
    <w:rsid w:val="002E203D"/>
    <w:rsid w:val="002E2178"/>
    <w:rsid w:val="002E22A2"/>
    <w:rsid w:val="002E259A"/>
    <w:rsid w:val="002E25C5"/>
    <w:rsid w:val="002E25C7"/>
    <w:rsid w:val="002E25DA"/>
    <w:rsid w:val="002E2737"/>
    <w:rsid w:val="002E2766"/>
    <w:rsid w:val="002E276F"/>
    <w:rsid w:val="002E289A"/>
    <w:rsid w:val="002E2945"/>
    <w:rsid w:val="002E29CA"/>
    <w:rsid w:val="002E2B95"/>
    <w:rsid w:val="002E2BCE"/>
    <w:rsid w:val="002E2C1B"/>
    <w:rsid w:val="002E2C22"/>
    <w:rsid w:val="002E2C9D"/>
    <w:rsid w:val="002E2D4A"/>
    <w:rsid w:val="002E2DD6"/>
    <w:rsid w:val="002E2F66"/>
    <w:rsid w:val="002E30FD"/>
    <w:rsid w:val="002E31F6"/>
    <w:rsid w:val="002E320D"/>
    <w:rsid w:val="002E3236"/>
    <w:rsid w:val="002E32AE"/>
    <w:rsid w:val="002E3306"/>
    <w:rsid w:val="002E33D7"/>
    <w:rsid w:val="002E342C"/>
    <w:rsid w:val="002E3501"/>
    <w:rsid w:val="002E352C"/>
    <w:rsid w:val="002E3565"/>
    <w:rsid w:val="002E3592"/>
    <w:rsid w:val="002E359C"/>
    <w:rsid w:val="002E3631"/>
    <w:rsid w:val="002E3683"/>
    <w:rsid w:val="002E36C8"/>
    <w:rsid w:val="002E36E1"/>
    <w:rsid w:val="002E3734"/>
    <w:rsid w:val="002E377B"/>
    <w:rsid w:val="002E37DF"/>
    <w:rsid w:val="002E3883"/>
    <w:rsid w:val="002E3967"/>
    <w:rsid w:val="002E3A48"/>
    <w:rsid w:val="002E3A64"/>
    <w:rsid w:val="002E3AE7"/>
    <w:rsid w:val="002E3BEF"/>
    <w:rsid w:val="002E3C1E"/>
    <w:rsid w:val="002E3D6E"/>
    <w:rsid w:val="002E3E09"/>
    <w:rsid w:val="002E3E0B"/>
    <w:rsid w:val="002E3E44"/>
    <w:rsid w:val="002E3EC2"/>
    <w:rsid w:val="002E3EF4"/>
    <w:rsid w:val="002E3F1C"/>
    <w:rsid w:val="002E3F3A"/>
    <w:rsid w:val="002E4011"/>
    <w:rsid w:val="002E4039"/>
    <w:rsid w:val="002E4070"/>
    <w:rsid w:val="002E41AB"/>
    <w:rsid w:val="002E4228"/>
    <w:rsid w:val="002E4231"/>
    <w:rsid w:val="002E42EA"/>
    <w:rsid w:val="002E4395"/>
    <w:rsid w:val="002E4440"/>
    <w:rsid w:val="002E456E"/>
    <w:rsid w:val="002E4613"/>
    <w:rsid w:val="002E4625"/>
    <w:rsid w:val="002E4680"/>
    <w:rsid w:val="002E46E4"/>
    <w:rsid w:val="002E472E"/>
    <w:rsid w:val="002E4744"/>
    <w:rsid w:val="002E479B"/>
    <w:rsid w:val="002E47D8"/>
    <w:rsid w:val="002E4869"/>
    <w:rsid w:val="002E4A41"/>
    <w:rsid w:val="002E4AAE"/>
    <w:rsid w:val="002E4AE0"/>
    <w:rsid w:val="002E4B3F"/>
    <w:rsid w:val="002E4BA0"/>
    <w:rsid w:val="002E4BD1"/>
    <w:rsid w:val="002E4C10"/>
    <w:rsid w:val="002E4C54"/>
    <w:rsid w:val="002E4D65"/>
    <w:rsid w:val="002E4DC9"/>
    <w:rsid w:val="002E4DE7"/>
    <w:rsid w:val="002E4F4E"/>
    <w:rsid w:val="002E4F87"/>
    <w:rsid w:val="002E4FB6"/>
    <w:rsid w:val="002E4FB9"/>
    <w:rsid w:val="002E5066"/>
    <w:rsid w:val="002E52C8"/>
    <w:rsid w:val="002E52CB"/>
    <w:rsid w:val="002E53A6"/>
    <w:rsid w:val="002E53D5"/>
    <w:rsid w:val="002E53F5"/>
    <w:rsid w:val="002E53F9"/>
    <w:rsid w:val="002E5439"/>
    <w:rsid w:val="002E5553"/>
    <w:rsid w:val="002E559C"/>
    <w:rsid w:val="002E55E7"/>
    <w:rsid w:val="002E581A"/>
    <w:rsid w:val="002E58CB"/>
    <w:rsid w:val="002E590F"/>
    <w:rsid w:val="002E594F"/>
    <w:rsid w:val="002E5AC8"/>
    <w:rsid w:val="002E5AF2"/>
    <w:rsid w:val="002E5B40"/>
    <w:rsid w:val="002E5BC2"/>
    <w:rsid w:val="002E5C14"/>
    <w:rsid w:val="002E5D55"/>
    <w:rsid w:val="002E5EBB"/>
    <w:rsid w:val="002E5F02"/>
    <w:rsid w:val="002E6113"/>
    <w:rsid w:val="002E616B"/>
    <w:rsid w:val="002E61E2"/>
    <w:rsid w:val="002E62BA"/>
    <w:rsid w:val="002E62FD"/>
    <w:rsid w:val="002E647D"/>
    <w:rsid w:val="002E6481"/>
    <w:rsid w:val="002E6505"/>
    <w:rsid w:val="002E6563"/>
    <w:rsid w:val="002E66F1"/>
    <w:rsid w:val="002E674D"/>
    <w:rsid w:val="002E6758"/>
    <w:rsid w:val="002E677F"/>
    <w:rsid w:val="002E67A8"/>
    <w:rsid w:val="002E6917"/>
    <w:rsid w:val="002E6A8B"/>
    <w:rsid w:val="002E6B15"/>
    <w:rsid w:val="002E6B16"/>
    <w:rsid w:val="002E6B7A"/>
    <w:rsid w:val="002E6BAB"/>
    <w:rsid w:val="002E6CBC"/>
    <w:rsid w:val="002E6CC9"/>
    <w:rsid w:val="002E6E2F"/>
    <w:rsid w:val="002E6E33"/>
    <w:rsid w:val="002E7158"/>
    <w:rsid w:val="002E71BA"/>
    <w:rsid w:val="002E7237"/>
    <w:rsid w:val="002E72B8"/>
    <w:rsid w:val="002E72DB"/>
    <w:rsid w:val="002E72DE"/>
    <w:rsid w:val="002E7343"/>
    <w:rsid w:val="002E7392"/>
    <w:rsid w:val="002E739F"/>
    <w:rsid w:val="002E73E8"/>
    <w:rsid w:val="002E7450"/>
    <w:rsid w:val="002E7454"/>
    <w:rsid w:val="002E7465"/>
    <w:rsid w:val="002E7557"/>
    <w:rsid w:val="002E75E9"/>
    <w:rsid w:val="002E7606"/>
    <w:rsid w:val="002E7858"/>
    <w:rsid w:val="002E7931"/>
    <w:rsid w:val="002E7A3E"/>
    <w:rsid w:val="002E7A80"/>
    <w:rsid w:val="002E7ACE"/>
    <w:rsid w:val="002E7C55"/>
    <w:rsid w:val="002E7E74"/>
    <w:rsid w:val="002E7F61"/>
    <w:rsid w:val="002E7FE1"/>
    <w:rsid w:val="002F006E"/>
    <w:rsid w:val="002F017C"/>
    <w:rsid w:val="002F0262"/>
    <w:rsid w:val="002F02E8"/>
    <w:rsid w:val="002F035B"/>
    <w:rsid w:val="002F0511"/>
    <w:rsid w:val="002F058B"/>
    <w:rsid w:val="002F05AF"/>
    <w:rsid w:val="002F05B3"/>
    <w:rsid w:val="002F0642"/>
    <w:rsid w:val="002F06F0"/>
    <w:rsid w:val="002F0705"/>
    <w:rsid w:val="002F0834"/>
    <w:rsid w:val="002F09E3"/>
    <w:rsid w:val="002F0A15"/>
    <w:rsid w:val="002F0A21"/>
    <w:rsid w:val="002F0A4A"/>
    <w:rsid w:val="002F0AEA"/>
    <w:rsid w:val="002F0B22"/>
    <w:rsid w:val="002F0B6F"/>
    <w:rsid w:val="002F0C4C"/>
    <w:rsid w:val="002F0D40"/>
    <w:rsid w:val="002F0D8F"/>
    <w:rsid w:val="002F0E05"/>
    <w:rsid w:val="002F0F38"/>
    <w:rsid w:val="002F0FED"/>
    <w:rsid w:val="002F10C7"/>
    <w:rsid w:val="002F10E0"/>
    <w:rsid w:val="002F1162"/>
    <w:rsid w:val="002F1198"/>
    <w:rsid w:val="002F1365"/>
    <w:rsid w:val="002F13A2"/>
    <w:rsid w:val="002F13F4"/>
    <w:rsid w:val="002F144F"/>
    <w:rsid w:val="002F148D"/>
    <w:rsid w:val="002F14A7"/>
    <w:rsid w:val="002F14CB"/>
    <w:rsid w:val="002F17B4"/>
    <w:rsid w:val="002F17F5"/>
    <w:rsid w:val="002F1809"/>
    <w:rsid w:val="002F1869"/>
    <w:rsid w:val="002F18FD"/>
    <w:rsid w:val="002F1A89"/>
    <w:rsid w:val="002F1B8F"/>
    <w:rsid w:val="002F1D35"/>
    <w:rsid w:val="002F1ECC"/>
    <w:rsid w:val="002F1F38"/>
    <w:rsid w:val="002F1F94"/>
    <w:rsid w:val="002F201E"/>
    <w:rsid w:val="002F202D"/>
    <w:rsid w:val="002F22E2"/>
    <w:rsid w:val="002F246A"/>
    <w:rsid w:val="002F248A"/>
    <w:rsid w:val="002F251A"/>
    <w:rsid w:val="002F25ED"/>
    <w:rsid w:val="002F2600"/>
    <w:rsid w:val="002F2640"/>
    <w:rsid w:val="002F264B"/>
    <w:rsid w:val="002F26CD"/>
    <w:rsid w:val="002F2919"/>
    <w:rsid w:val="002F2930"/>
    <w:rsid w:val="002F2995"/>
    <w:rsid w:val="002F2A8B"/>
    <w:rsid w:val="002F2A9F"/>
    <w:rsid w:val="002F2B53"/>
    <w:rsid w:val="002F2C75"/>
    <w:rsid w:val="002F2D9F"/>
    <w:rsid w:val="002F2E89"/>
    <w:rsid w:val="002F2FC2"/>
    <w:rsid w:val="002F3032"/>
    <w:rsid w:val="002F3064"/>
    <w:rsid w:val="002F30FE"/>
    <w:rsid w:val="002F314C"/>
    <w:rsid w:val="002F318F"/>
    <w:rsid w:val="002F31A4"/>
    <w:rsid w:val="002F31E5"/>
    <w:rsid w:val="002F3273"/>
    <w:rsid w:val="002F3299"/>
    <w:rsid w:val="002F349A"/>
    <w:rsid w:val="002F34E1"/>
    <w:rsid w:val="002F34E8"/>
    <w:rsid w:val="002F3693"/>
    <w:rsid w:val="002F369E"/>
    <w:rsid w:val="002F36D3"/>
    <w:rsid w:val="002F36E6"/>
    <w:rsid w:val="002F3750"/>
    <w:rsid w:val="002F379E"/>
    <w:rsid w:val="002F3817"/>
    <w:rsid w:val="002F384B"/>
    <w:rsid w:val="002F38C6"/>
    <w:rsid w:val="002F393D"/>
    <w:rsid w:val="002F3977"/>
    <w:rsid w:val="002F39D8"/>
    <w:rsid w:val="002F3C1A"/>
    <w:rsid w:val="002F3C90"/>
    <w:rsid w:val="002F3CCE"/>
    <w:rsid w:val="002F3E63"/>
    <w:rsid w:val="002F3EF8"/>
    <w:rsid w:val="002F3F12"/>
    <w:rsid w:val="002F3F4F"/>
    <w:rsid w:val="002F3F8F"/>
    <w:rsid w:val="002F3FE7"/>
    <w:rsid w:val="002F4113"/>
    <w:rsid w:val="002F4249"/>
    <w:rsid w:val="002F427C"/>
    <w:rsid w:val="002F42DA"/>
    <w:rsid w:val="002F4300"/>
    <w:rsid w:val="002F4325"/>
    <w:rsid w:val="002F4397"/>
    <w:rsid w:val="002F44BC"/>
    <w:rsid w:val="002F45EC"/>
    <w:rsid w:val="002F4602"/>
    <w:rsid w:val="002F465C"/>
    <w:rsid w:val="002F465F"/>
    <w:rsid w:val="002F47A7"/>
    <w:rsid w:val="002F4905"/>
    <w:rsid w:val="002F4A09"/>
    <w:rsid w:val="002F4A1A"/>
    <w:rsid w:val="002F4AD3"/>
    <w:rsid w:val="002F4C06"/>
    <w:rsid w:val="002F4C47"/>
    <w:rsid w:val="002F4C53"/>
    <w:rsid w:val="002F4CA8"/>
    <w:rsid w:val="002F4EB2"/>
    <w:rsid w:val="002F5043"/>
    <w:rsid w:val="002F5059"/>
    <w:rsid w:val="002F5100"/>
    <w:rsid w:val="002F52C9"/>
    <w:rsid w:val="002F5302"/>
    <w:rsid w:val="002F534C"/>
    <w:rsid w:val="002F5384"/>
    <w:rsid w:val="002F53E3"/>
    <w:rsid w:val="002F551C"/>
    <w:rsid w:val="002F5530"/>
    <w:rsid w:val="002F55BD"/>
    <w:rsid w:val="002F55EB"/>
    <w:rsid w:val="002F570B"/>
    <w:rsid w:val="002F5741"/>
    <w:rsid w:val="002F577F"/>
    <w:rsid w:val="002F5889"/>
    <w:rsid w:val="002F599D"/>
    <w:rsid w:val="002F5A96"/>
    <w:rsid w:val="002F5AB1"/>
    <w:rsid w:val="002F5ADD"/>
    <w:rsid w:val="002F5B14"/>
    <w:rsid w:val="002F5BE1"/>
    <w:rsid w:val="002F5C7E"/>
    <w:rsid w:val="002F5CF5"/>
    <w:rsid w:val="002F5D39"/>
    <w:rsid w:val="002F5E99"/>
    <w:rsid w:val="002F5EAC"/>
    <w:rsid w:val="002F5EF8"/>
    <w:rsid w:val="002F5FDF"/>
    <w:rsid w:val="002F6012"/>
    <w:rsid w:val="002F613C"/>
    <w:rsid w:val="002F61C7"/>
    <w:rsid w:val="002F61C9"/>
    <w:rsid w:val="002F61F4"/>
    <w:rsid w:val="002F6274"/>
    <w:rsid w:val="002F627B"/>
    <w:rsid w:val="002F6289"/>
    <w:rsid w:val="002F633A"/>
    <w:rsid w:val="002F636F"/>
    <w:rsid w:val="002F63BB"/>
    <w:rsid w:val="002F6460"/>
    <w:rsid w:val="002F64E9"/>
    <w:rsid w:val="002F6584"/>
    <w:rsid w:val="002F6630"/>
    <w:rsid w:val="002F66F0"/>
    <w:rsid w:val="002F6766"/>
    <w:rsid w:val="002F67F9"/>
    <w:rsid w:val="002F67FD"/>
    <w:rsid w:val="002F689F"/>
    <w:rsid w:val="002F6950"/>
    <w:rsid w:val="002F6955"/>
    <w:rsid w:val="002F69BF"/>
    <w:rsid w:val="002F6DDB"/>
    <w:rsid w:val="002F6F99"/>
    <w:rsid w:val="002F70FC"/>
    <w:rsid w:val="002F7199"/>
    <w:rsid w:val="002F71C0"/>
    <w:rsid w:val="002F71E0"/>
    <w:rsid w:val="002F72BA"/>
    <w:rsid w:val="002F7310"/>
    <w:rsid w:val="002F734B"/>
    <w:rsid w:val="002F75B4"/>
    <w:rsid w:val="002F770D"/>
    <w:rsid w:val="002F772C"/>
    <w:rsid w:val="002F783D"/>
    <w:rsid w:val="002F7842"/>
    <w:rsid w:val="002F793C"/>
    <w:rsid w:val="002F7971"/>
    <w:rsid w:val="002F799A"/>
    <w:rsid w:val="002F79BF"/>
    <w:rsid w:val="002F79D5"/>
    <w:rsid w:val="002F79D9"/>
    <w:rsid w:val="002F7B8A"/>
    <w:rsid w:val="002F7C5A"/>
    <w:rsid w:val="002F7C5E"/>
    <w:rsid w:val="002F7CB7"/>
    <w:rsid w:val="002F7D70"/>
    <w:rsid w:val="002F7E42"/>
    <w:rsid w:val="002F7EC9"/>
    <w:rsid w:val="002F7F84"/>
    <w:rsid w:val="00300060"/>
    <w:rsid w:val="003000B8"/>
    <w:rsid w:val="00300215"/>
    <w:rsid w:val="00300247"/>
    <w:rsid w:val="003002F5"/>
    <w:rsid w:val="00300307"/>
    <w:rsid w:val="00300438"/>
    <w:rsid w:val="00300452"/>
    <w:rsid w:val="00300494"/>
    <w:rsid w:val="003004AD"/>
    <w:rsid w:val="003004D3"/>
    <w:rsid w:val="003004F9"/>
    <w:rsid w:val="003005AF"/>
    <w:rsid w:val="00300608"/>
    <w:rsid w:val="00300620"/>
    <w:rsid w:val="00300656"/>
    <w:rsid w:val="00300699"/>
    <w:rsid w:val="00300731"/>
    <w:rsid w:val="00300739"/>
    <w:rsid w:val="0030078A"/>
    <w:rsid w:val="003007BE"/>
    <w:rsid w:val="003008AB"/>
    <w:rsid w:val="003008BF"/>
    <w:rsid w:val="003009DF"/>
    <w:rsid w:val="00300A20"/>
    <w:rsid w:val="00300B9D"/>
    <w:rsid w:val="00300C1C"/>
    <w:rsid w:val="00300CB1"/>
    <w:rsid w:val="00300CDC"/>
    <w:rsid w:val="00300CFD"/>
    <w:rsid w:val="00300E07"/>
    <w:rsid w:val="00300E1F"/>
    <w:rsid w:val="00300E38"/>
    <w:rsid w:val="00300EBC"/>
    <w:rsid w:val="00300FB6"/>
    <w:rsid w:val="00300FCE"/>
    <w:rsid w:val="00301072"/>
    <w:rsid w:val="00301085"/>
    <w:rsid w:val="00301134"/>
    <w:rsid w:val="00301192"/>
    <w:rsid w:val="003011B4"/>
    <w:rsid w:val="003011B8"/>
    <w:rsid w:val="003011D0"/>
    <w:rsid w:val="003011E0"/>
    <w:rsid w:val="003012F3"/>
    <w:rsid w:val="0030130B"/>
    <w:rsid w:val="0030133C"/>
    <w:rsid w:val="0030136B"/>
    <w:rsid w:val="003013D4"/>
    <w:rsid w:val="003013D9"/>
    <w:rsid w:val="003013E5"/>
    <w:rsid w:val="00301420"/>
    <w:rsid w:val="0030144B"/>
    <w:rsid w:val="00301472"/>
    <w:rsid w:val="003014A3"/>
    <w:rsid w:val="003015AB"/>
    <w:rsid w:val="00301617"/>
    <w:rsid w:val="003016EF"/>
    <w:rsid w:val="003018D9"/>
    <w:rsid w:val="003018E0"/>
    <w:rsid w:val="0030197D"/>
    <w:rsid w:val="00301987"/>
    <w:rsid w:val="003019D5"/>
    <w:rsid w:val="00301AB7"/>
    <w:rsid w:val="00301BC0"/>
    <w:rsid w:val="00301BF7"/>
    <w:rsid w:val="00301D86"/>
    <w:rsid w:val="00301DEA"/>
    <w:rsid w:val="00302012"/>
    <w:rsid w:val="0030203A"/>
    <w:rsid w:val="0030206C"/>
    <w:rsid w:val="003020D6"/>
    <w:rsid w:val="00302135"/>
    <w:rsid w:val="00302155"/>
    <w:rsid w:val="00302163"/>
    <w:rsid w:val="003021F6"/>
    <w:rsid w:val="0030231E"/>
    <w:rsid w:val="00302410"/>
    <w:rsid w:val="003024FC"/>
    <w:rsid w:val="0030256B"/>
    <w:rsid w:val="0030259C"/>
    <w:rsid w:val="003025AC"/>
    <w:rsid w:val="003025DD"/>
    <w:rsid w:val="003026A8"/>
    <w:rsid w:val="0030287D"/>
    <w:rsid w:val="003028D0"/>
    <w:rsid w:val="00302915"/>
    <w:rsid w:val="003029F1"/>
    <w:rsid w:val="00302A52"/>
    <w:rsid w:val="00302DA3"/>
    <w:rsid w:val="00302DE1"/>
    <w:rsid w:val="00302E62"/>
    <w:rsid w:val="00302ED7"/>
    <w:rsid w:val="00302F96"/>
    <w:rsid w:val="00302FCB"/>
    <w:rsid w:val="00303002"/>
    <w:rsid w:val="00303048"/>
    <w:rsid w:val="0030304F"/>
    <w:rsid w:val="0030308A"/>
    <w:rsid w:val="003030AD"/>
    <w:rsid w:val="003030F6"/>
    <w:rsid w:val="00303138"/>
    <w:rsid w:val="003031A4"/>
    <w:rsid w:val="003031C1"/>
    <w:rsid w:val="003031E5"/>
    <w:rsid w:val="00303334"/>
    <w:rsid w:val="003034A0"/>
    <w:rsid w:val="00303544"/>
    <w:rsid w:val="003035AA"/>
    <w:rsid w:val="0030360E"/>
    <w:rsid w:val="003036FF"/>
    <w:rsid w:val="003037D0"/>
    <w:rsid w:val="00303851"/>
    <w:rsid w:val="003038CB"/>
    <w:rsid w:val="00303992"/>
    <w:rsid w:val="00303A78"/>
    <w:rsid w:val="00303B69"/>
    <w:rsid w:val="00303C8B"/>
    <w:rsid w:val="00303CE8"/>
    <w:rsid w:val="00303D0B"/>
    <w:rsid w:val="00303D1F"/>
    <w:rsid w:val="00303D54"/>
    <w:rsid w:val="00303DC2"/>
    <w:rsid w:val="00303E15"/>
    <w:rsid w:val="00303E1B"/>
    <w:rsid w:val="00303F42"/>
    <w:rsid w:val="0030408E"/>
    <w:rsid w:val="003040E1"/>
    <w:rsid w:val="00304206"/>
    <w:rsid w:val="003042A8"/>
    <w:rsid w:val="003042E2"/>
    <w:rsid w:val="00304431"/>
    <w:rsid w:val="00304442"/>
    <w:rsid w:val="00304623"/>
    <w:rsid w:val="0030462F"/>
    <w:rsid w:val="003046E6"/>
    <w:rsid w:val="003047D0"/>
    <w:rsid w:val="003047F6"/>
    <w:rsid w:val="0030485D"/>
    <w:rsid w:val="003049AB"/>
    <w:rsid w:val="003049B0"/>
    <w:rsid w:val="00304A4D"/>
    <w:rsid w:val="00304A7A"/>
    <w:rsid w:val="00304AC8"/>
    <w:rsid w:val="00304B37"/>
    <w:rsid w:val="00304B5D"/>
    <w:rsid w:val="00304B76"/>
    <w:rsid w:val="00304C5E"/>
    <w:rsid w:val="00304CC5"/>
    <w:rsid w:val="00304D63"/>
    <w:rsid w:val="00304D70"/>
    <w:rsid w:val="00304D8B"/>
    <w:rsid w:val="0030504F"/>
    <w:rsid w:val="00305053"/>
    <w:rsid w:val="003050BF"/>
    <w:rsid w:val="00305316"/>
    <w:rsid w:val="003053FD"/>
    <w:rsid w:val="0030540B"/>
    <w:rsid w:val="00305464"/>
    <w:rsid w:val="003054E3"/>
    <w:rsid w:val="00305547"/>
    <w:rsid w:val="003056B9"/>
    <w:rsid w:val="003057D2"/>
    <w:rsid w:val="003057F6"/>
    <w:rsid w:val="00305885"/>
    <w:rsid w:val="003058A4"/>
    <w:rsid w:val="003058F2"/>
    <w:rsid w:val="0030593E"/>
    <w:rsid w:val="003059A4"/>
    <w:rsid w:val="00305A9C"/>
    <w:rsid w:val="00305B28"/>
    <w:rsid w:val="00305C9B"/>
    <w:rsid w:val="00305D76"/>
    <w:rsid w:val="00305D8C"/>
    <w:rsid w:val="00305E06"/>
    <w:rsid w:val="00305F2C"/>
    <w:rsid w:val="00305FF9"/>
    <w:rsid w:val="0030605E"/>
    <w:rsid w:val="0030620C"/>
    <w:rsid w:val="0030622C"/>
    <w:rsid w:val="00306340"/>
    <w:rsid w:val="00306348"/>
    <w:rsid w:val="00306507"/>
    <w:rsid w:val="0030650C"/>
    <w:rsid w:val="0030652E"/>
    <w:rsid w:val="0030656B"/>
    <w:rsid w:val="00306598"/>
    <w:rsid w:val="0030662E"/>
    <w:rsid w:val="00306704"/>
    <w:rsid w:val="00306810"/>
    <w:rsid w:val="00306830"/>
    <w:rsid w:val="00306932"/>
    <w:rsid w:val="00306BDE"/>
    <w:rsid w:val="00306CF2"/>
    <w:rsid w:val="00306D53"/>
    <w:rsid w:val="00306D61"/>
    <w:rsid w:val="00306E23"/>
    <w:rsid w:val="00306F0D"/>
    <w:rsid w:val="00306F59"/>
    <w:rsid w:val="00307024"/>
    <w:rsid w:val="00307052"/>
    <w:rsid w:val="0030719F"/>
    <w:rsid w:val="0030731B"/>
    <w:rsid w:val="0030732F"/>
    <w:rsid w:val="00307386"/>
    <w:rsid w:val="00307570"/>
    <w:rsid w:val="0030757C"/>
    <w:rsid w:val="00307684"/>
    <w:rsid w:val="003076A5"/>
    <w:rsid w:val="003076C1"/>
    <w:rsid w:val="003076D7"/>
    <w:rsid w:val="00307827"/>
    <w:rsid w:val="00307877"/>
    <w:rsid w:val="00307B09"/>
    <w:rsid w:val="00307B32"/>
    <w:rsid w:val="00307BBD"/>
    <w:rsid w:val="00307BE3"/>
    <w:rsid w:val="00307CA2"/>
    <w:rsid w:val="00307E53"/>
    <w:rsid w:val="00307EA0"/>
    <w:rsid w:val="00307F1D"/>
    <w:rsid w:val="003100E3"/>
    <w:rsid w:val="0031012C"/>
    <w:rsid w:val="00310134"/>
    <w:rsid w:val="003101F0"/>
    <w:rsid w:val="003101FF"/>
    <w:rsid w:val="00310262"/>
    <w:rsid w:val="00310267"/>
    <w:rsid w:val="0031028A"/>
    <w:rsid w:val="0031028E"/>
    <w:rsid w:val="003102D2"/>
    <w:rsid w:val="00310386"/>
    <w:rsid w:val="003103AC"/>
    <w:rsid w:val="00310430"/>
    <w:rsid w:val="0031049E"/>
    <w:rsid w:val="0031051F"/>
    <w:rsid w:val="0031055A"/>
    <w:rsid w:val="00310683"/>
    <w:rsid w:val="00310741"/>
    <w:rsid w:val="00310857"/>
    <w:rsid w:val="00310983"/>
    <w:rsid w:val="00310B6C"/>
    <w:rsid w:val="00310BE5"/>
    <w:rsid w:val="00310D1C"/>
    <w:rsid w:val="00310D5D"/>
    <w:rsid w:val="00310D7A"/>
    <w:rsid w:val="00310D84"/>
    <w:rsid w:val="00310E2D"/>
    <w:rsid w:val="00310F46"/>
    <w:rsid w:val="00310F54"/>
    <w:rsid w:val="00310FEB"/>
    <w:rsid w:val="003111DA"/>
    <w:rsid w:val="00311341"/>
    <w:rsid w:val="003113A3"/>
    <w:rsid w:val="00311412"/>
    <w:rsid w:val="003114BC"/>
    <w:rsid w:val="003115D4"/>
    <w:rsid w:val="00311667"/>
    <w:rsid w:val="00311934"/>
    <w:rsid w:val="00311945"/>
    <w:rsid w:val="003119A4"/>
    <w:rsid w:val="00311AF1"/>
    <w:rsid w:val="00311B7C"/>
    <w:rsid w:val="00311D54"/>
    <w:rsid w:val="00311DB3"/>
    <w:rsid w:val="00311EFA"/>
    <w:rsid w:val="00311F35"/>
    <w:rsid w:val="00312024"/>
    <w:rsid w:val="0031209C"/>
    <w:rsid w:val="00312163"/>
    <w:rsid w:val="0031229F"/>
    <w:rsid w:val="003122C3"/>
    <w:rsid w:val="003122EE"/>
    <w:rsid w:val="00312352"/>
    <w:rsid w:val="003123D9"/>
    <w:rsid w:val="00312459"/>
    <w:rsid w:val="0031252B"/>
    <w:rsid w:val="00312535"/>
    <w:rsid w:val="00312538"/>
    <w:rsid w:val="0031253B"/>
    <w:rsid w:val="00312590"/>
    <w:rsid w:val="0031260F"/>
    <w:rsid w:val="00312667"/>
    <w:rsid w:val="003126ED"/>
    <w:rsid w:val="00312789"/>
    <w:rsid w:val="003127C2"/>
    <w:rsid w:val="003128F4"/>
    <w:rsid w:val="0031295D"/>
    <w:rsid w:val="00312A19"/>
    <w:rsid w:val="00312A28"/>
    <w:rsid w:val="00312A71"/>
    <w:rsid w:val="00312C72"/>
    <w:rsid w:val="00312D0D"/>
    <w:rsid w:val="00312DBB"/>
    <w:rsid w:val="00312ECB"/>
    <w:rsid w:val="00312F1E"/>
    <w:rsid w:val="00312FD2"/>
    <w:rsid w:val="0031312B"/>
    <w:rsid w:val="003131A0"/>
    <w:rsid w:val="003131F2"/>
    <w:rsid w:val="0031322F"/>
    <w:rsid w:val="00313336"/>
    <w:rsid w:val="0031338F"/>
    <w:rsid w:val="0031339F"/>
    <w:rsid w:val="00313457"/>
    <w:rsid w:val="0031345B"/>
    <w:rsid w:val="003134A3"/>
    <w:rsid w:val="003134C8"/>
    <w:rsid w:val="003134DB"/>
    <w:rsid w:val="00313573"/>
    <w:rsid w:val="003137A7"/>
    <w:rsid w:val="003137AB"/>
    <w:rsid w:val="003137FA"/>
    <w:rsid w:val="00313897"/>
    <w:rsid w:val="003138AF"/>
    <w:rsid w:val="00313AD7"/>
    <w:rsid w:val="00313B62"/>
    <w:rsid w:val="00313CDA"/>
    <w:rsid w:val="00314012"/>
    <w:rsid w:val="0031430A"/>
    <w:rsid w:val="00314311"/>
    <w:rsid w:val="00314317"/>
    <w:rsid w:val="0031433F"/>
    <w:rsid w:val="00314341"/>
    <w:rsid w:val="003143AA"/>
    <w:rsid w:val="003143B3"/>
    <w:rsid w:val="0031441B"/>
    <w:rsid w:val="0031451A"/>
    <w:rsid w:val="003145A3"/>
    <w:rsid w:val="003145DB"/>
    <w:rsid w:val="003146EB"/>
    <w:rsid w:val="0031485B"/>
    <w:rsid w:val="003148FC"/>
    <w:rsid w:val="00314927"/>
    <w:rsid w:val="00314A80"/>
    <w:rsid w:val="00314AB4"/>
    <w:rsid w:val="00314B13"/>
    <w:rsid w:val="00314B6F"/>
    <w:rsid w:val="00314C72"/>
    <w:rsid w:val="00314CE3"/>
    <w:rsid w:val="00314E24"/>
    <w:rsid w:val="00314F19"/>
    <w:rsid w:val="00314F1C"/>
    <w:rsid w:val="00315098"/>
    <w:rsid w:val="003150BC"/>
    <w:rsid w:val="0031510C"/>
    <w:rsid w:val="00315135"/>
    <w:rsid w:val="003151C0"/>
    <w:rsid w:val="00315223"/>
    <w:rsid w:val="0031522C"/>
    <w:rsid w:val="0031527B"/>
    <w:rsid w:val="00315383"/>
    <w:rsid w:val="003153A4"/>
    <w:rsid w:val="003154AD"/>
    <w:rsid w:val="003154F3"/>
    <w:rsid w:val="0031550F"/>
    <w:rsid w:val="0031556C"/>
    <w:rsid w:val="00315642"/>
    <w:rsid w:val="0031565D"/>
    <w:rsid w:val="003157AA"/>
    <w:rsid w:val="003157E4"/>
    <w:rsid w:val="003158F7"/>
    <w:rsid w:val="00315936"/>
    <w:rsid w:val="003159B1"/>
    <w:rsid w:val="00315AB3"/>
    <w:rsid w:val="00315AC2"/>
    <w:rsid w:val="00315B63"/>
    <w:rsid w:val="00315D8D"/>
    <w:rsid w:val="00315DC3"/>
    <w:rsid w:val="00315E05"/>
    <w:rsid w:val="00315EA6"/>
    <w:rsid w:val="00315EEF"/>
    <w:rsid w:val="00315F24"/>
    <w:rsid w:val="00315FC4"/>
    <w:rsid w:val="00315FC6"/>
    <w:rsid w:val="00315FFE"/>
    <w:rsid w:val="0031609E"/>
    <w:rsid w:val="00316102"/>
    <w:rsid w:val="00316159"/>
    <w:rsid w:val="003161FA"/>
    <w:rsid w:val="00316226"/>
    <w:rsid w:val="00316269"/>
    <w:rsid w:val="003162AD"/>
    <w:rsid w:val="003162C7"/>
    <w:rsid w:val="0031631A"/>
    <w:rsid w:val="003164CC"/>
    <w:rsid w:val="003165AF"/>
    <w:rsid w:val="00316671"/>
    <w:rsid w:val="0031670B"/>
    <w:rsid w:val="003167AF"/>
    <w:rsid w:val="00316815"/>
    <w:rsid w:val="00316868"/>
    <w:rsid w:val="0031686D"/>
    <w:rsid w:val="00316952"/>
    <w:rsid w:val="00316B50"/>
    <w:rsid w:val="00316C92"/>
    <w:rsid w:val="00316CA3"/>
    <w:rsid w:val="00316D5E"/>
    <w:rsid w:val="00316D85"/>
    <w:rsid w:val="00316D92"/>
    <w:rsid w:val="00316D97"/>
    <w:rsid w:val="00316DA7"/>
    <w:rsid w:val="00316E9D"/>
    <w:rsid w:val="00316F0B"/>
    <w:rsid w:val="00316F7C"/>
    <w:rsid w:val="00316F95"/>
    <w:rsid w:val="00316FAE"/>
    <w:rsid w:val="00316FD7"/>
    <w:rsid w:val="00316FDC"/>
    <w:rsid w:val="0031702E"/>
    <w:rsid w:val="003170FD"/>
    <w:rsid w:val="00317195"/>
    <w:rsid w:val="003173B8"/>
    <w:rsid w:val="003174A6"/>
    <w:rsid w:val="00317527"/>
    <w:rsid w:val="00317568"/>
    <w:rsid w:val="0031756D"/>
    <w:rsid w:val="00317616"/>
    <w:rsid w:val="00317669"/>
    <w:rsid w:val="0031767E"/>
    <w:rsid w:val="003176E7"/>
    <w:rsid w:val="0031772B"/>
    <w:rsid w:val="00317797"/>
    <w:rsid w:val="003177BD"/>
    <w:rsid w:val="00317A3A"/>
    <w:rsid w:val="00317AEC"/>
    <w:rsid w:val="00317AF6"/>
    <w:rsid w:val="00317B00"/>
    <w:rsid w:val="00317B0F"/>
    <w:rsid w:val="00317B59"/>
    <w:rsid w:val="00317C80"/>
    <w:rsid w:val="00317CAB"/>
    <w:rsid w:val="00317D6A"/>
    <w:rsid w:val="00317D97"/>
    <w:rsid w:val="00317DF0"/>
    <w:rsid w:val="00317F48"/>
    <w:rsid w:val="00320031"/>
    <w:rsid w:val="003201F2"/>
    <w:rsid w:val="00320227"/>
    <w:rsid w:val="00320396"/>
    <w:rsid w:val="003203A1"/>
    <w:rsid w:val="003203A4"/>
    <w:rsid w:val="003203BB"/>
    <w:rsid w:val="0032042A"/>
    <w:rsid w:val="003204D5"/>
    <w:rsid w:val="003204F6"/>
    <w:rsid w:val="003206C5"/>
    <w:rsid w:val="003206DA"/>
    <w:rsid w:val="0032075C"/>
    <w:rsid w:val="003207B1"/>
    <w:rsid w:val="00320838"/>
    <w:rsid w:val="00320849"/>
    <w:rsid w:val="00320880"/>
    <w:rsid w:val="003208B6"/>
    <w:rsid w:val="003209E1"/>
    <w:rsid w:val="00320A5C"/>
    <w:rsid w:val="00320AAE"/>
    <w:rsid w:val="00320B18"/>
    <w:rsid w:val="00320B8F"/>
    <w:rsid w:val="00320BD0"/>
    <w:rsid w:val="00320C4B"/>
    <w:rsid w:val="00320CAA"/>
    <w:rsid w:val="00320D0B"/>
    <w:rsid w:val="00320D41"/>
    <w:rsid w:val="00320DB2"/>
    <w:rsid w:val="00320DFD"/>
    <w:rsid w:val="00320EAC"/>
    <w:rsid w:val="00320ECA"/>
    <w:rsid w:val="00320ECC"/>
    <w:rsid w:val="00320EF3"/>
    <w:rsid w:val="00320F82"/>
    <w:rsid w:val="00320FC7"/>
    <w:rsid w:val="00321048"/>
    <w:rsid w:val="0032119C"/>
    <w:rsid w:val="00321209"/>
    <w:rsid w:val="003212B1"/>
    <w:rsid w:val="00321400"/>
    <w:rsid w:val="00321534"/>
    <w:rsid w:val="003215C4"/>
    <w:rsid w:val="003215EA"/>
    <w:rsid w:val="00321611"/>
    <w:rsid w:val="00321621"/>
    <w:rsid w:val="003216FC"/>
    <w:rsid w:val="00321867"/>
    <w:rsid w:val="00321A08"/>
    <w:rsid w:val="00321B82"/>
    <w:rsid w:val="00321B84"/>
    <w:rsid w:val="00321BFE"/>
    <w:rsid w:val="00321C47"/>
    <w:rsid w:val="00321CAB"/>
    <w:rsid w:val="00321D06"/>
    <w:rsid w:val="00321D08"/>
    <w:rsid w:val="00321D41"/>
    <w:rsid w:val="00321E0A"/>
    <w:rsid w:val="00321E5C"/>
    <w:rsid w:val="00321E6B"/>
    <w:rsid w:val="00321EB2"/>
    <w:rsid w:val="00321F88"/>
    <w:rsid w:val="00321FB7"/>
    <w:rsid w:val="00321FD1"/>
    <w:rsid w:val="0032217B"/>
    <w:rsid w:val="003221AE"/>
    <w:rsid w:val="0032221A"/>
    <w:rsid w:val="00322248"/>
    <w:rsid w:val="00322385"/>
    <w:rsid w:val="003223A4"/>
    <w:rsid w:val="00322428"/>
    <w:rsid w:val="003224E5"/>
    <w:rsid w:val="00322568"/>
    <w:rsid w:val="0032265D"/>
    <w:rsid w:val="00322667"/>
    <w:rsid w:val="003227DB"/>
    <w:rsid w:val="003228CD"/>
    <w:rsid w:val="00322966"/>
    <w:rsid w:val="003229A2"/>
    <w:rsid w:val="00322AF8"/>
    <w:rsid w:val="00322B4C"/>
    <w:rsid w:val="00322BC6"/>
    <w:rsid w:val="00322CD8"/>
    <w:rsid w:val="00322DE1"/>
    <w:rsid w:val="00322E54"/>
    <w:rsid w:val="00322FAC"/>
    <w:rsid w:val="00323020"/>
    <w:rsid w:val="00323164"/>
    <w:rsid w:val="00323182"/>
    <w:rsid w:val="0032325F"/>
    <w:rsid w:val="00323260"/>
    <w:rsid w:val="003232DF"/>
    <w:rsid w:val="0032336D"/>
    <w:rsid w:val="003234C9"/>
    <w:rsid w:val="003234DF"/>
    <w:rsid w:val="0032353E"/>
    <w:rsid w:val="0032354B"/>
    <w:rsid w:val="0032369D"/>
    <w:rsid w:val="00323881"/>
    <w:rsid w:val="00323898"/>
    <w:rsid w:val="00323907"/>
    <w:rsid w:val="0032392C"/>
    <w:rsid w:val="00323A66"/>
    <w:rsid w:val="00323ACF"/>
    <w:rsid w:val="00323B12"/>
    <w:rsid w:val="00323B65"/>
    <w:rsid w:val="00323C42"/>
    <w:rsid w:val="00323D71"/>
    <w:rsid w:val="00323E2B"/>
    <w:rsid w:val="00323E6D"/>
    <w:rsid w:val="00323EC2"/>
    <w:rsid w:val="00323F78"/>
    <w:rsid w:val="00324090"/>
    <w:rsid w:val="003240A9"/>
    <w:rsid w:val="003240BD"/>
    <w:rsid w:val="003240FE"/>
    <w:rsid w:val="00324164"/>
    <w:rsid w:val="00324174"/>
    <w:rsid w:val="003241E9"/>
    <w:rsid w:val="0032424D"/>
    <w:rsid w:val="0032426E"/>
    <w:rsid w:val="00324298"/>
    <w:rsid w:val="00324386"/>
    <w:rsid w:val="0032449D"/>
    <w:rsid w:val="003245A2"/>
    <w:rsid w:val="003248CD"/>
    <w:rsid w:val="003248FE"/>
    <w:rsid w:val="00324900"/>
    <w:rsid w:val="00324938"/>
    <w:rsid w:val="003249FF"/>
    <w:rsid w:val="00324A13"/>
    <w:rsid w:val="00324B20"/>
    <w:rsid w:val="00324B92"/>
    <w:rsid w:val="00324B9F"/>
    <w:rsid w:val="00324BB0"/>
    <w:rsid w:val="00324BB6"/>
    <w:rsid w:val="00324D3C"/>
    <w:rsid w:val="00324EB1"/>
    <w:rsid w:val="0032506B"/>
    <w:rsid w:val="0032513C"/>
    <w:rsid w:val="003251BD"/>
    <w:rsid w:val="003251CC"/>
    <w:rsid w:val="00325257"/>
    <w:rsid w:val="00325323"/>
    <w:rsid w:val="003253BB"/>
    <w:rsid w:val="003254BD"/>
    <w:rsid w:val="00325555"/>
    <w:rsid w:val="00325623"/>
    <w:rsid w:val="00325751"/>
    <w:rsid w:val="003257D5"/>
    <w:rsid w:val="0032581A"/>
    <w:rsid w:val="0032592A"/>
    <w:rsid w:val="00325984"/>
    <w:rsid w:val="003259D1"/>
    <w:rsid w:val="003259F7"/>
    <w:rsid w:val="00325C61"/>
    <w:rsid w:val="00325CB2"/>
    <w:rsid w:val="00325D9B"/>
    <w:rsid w:val="00325DF1"/>
    <w:rsid w:val="00325E97"/>
    <w:rsid w:val="00325FF3"/>
    <w:rsid w:val="0032607D"/>
    <w:rsid w:val="003260DA"/>
    <w:rsid w:val="00326199"/>
    <w:rsid w:val="003261A3"/>
    <w:rsid w:val="00326246"/>
    <w:rsid w:val="00326260"/>
    <w:rsid w:val="0032626C"/>
    <w:rsid w:val="003262F2"/>
    <w:rsid w:val="00326413"/>
    <w:rsid w:val="00326435"/>
    <w:rsid w:val="003264C5"/>
    <w:rsid w:val="0032653A"/>
    <w:rsid w:val="00326596"/>
    <w:rsid w:val="0032661E"/>
    <w:rsid w:val="0032663F"/>
    <w:rsid w:val="00326697"/>
    <w:rsid w:val="00326712"/>
    <w:rsid w:val="003268BD"/>
    <w:rsid w:val="00326982"/>
    <w:rsid w:val="0032698D"/>
    <w:rsid w:val="00326AEF"/>
    <w:rsid w:val="00326B3D"/>
    <w:rsid w:val="00326B48"/>
    <w:rsid w:val="00326B4C"/>
    <w:rsid w:val="00326B64"/>
    <w:rsid w:val="00326C1E"/>
    <w:rsid w:val="00326CB3"/>
    <w:rsid w:val="00326D04"/>
    <w:rsid w:val="00326F9D"/>
    <w:rsid w:val="0032703F"/>
    <w:rsid w:val="00327105"/>
    <w:rsid w:val="00327120"/>
    <w:rsid w:val="003271E9"/>
    <w:rsid w:val="0032729A"/>
    <w:rsid w:val="003272C2"/>
    <w:rsid w:val="0032742A"/>
    <w:rsid w:val="0032747F"/>
    <w:rsid w:val="00327537"/>
    <w:rsid w:val="0032753B"/>
    <w:rsid w:val="00327591"/>
    <w:rsid w:val="00327615"/>
    <w:rsid w:val="0032763C"/>
    <w:rsid w:val="003276E5"/>
    <w:rsid w:val="00327716"/>
    <w:rsid w:val="0032772D"/>
    <w:rsid w:val="00327732"/>
    <w:rsid w:val="00327828"/>
    <w:rsid w:val="0032785E"/>
    <w:rsid w:val="0032793E"/>
    <w:rsid w:val="00327994"/>
    <w:rsid w:val="003279E1"/>
    <w:rsid w:val="003279F5"/>
    <w:rsid w:val="00327A32"/>
    <w:rsid w:val="00327A90"/>
    <w:rsid w:val="00327B67"/>
    <w:rsid w:val="00327BE3"/>
    <w:rsid w:val="00327D25"/>
    <w:rsid w:val="00327D7B"/>
    <w:rsid w:val="00327D7C"/>
    <w:rsid w:val="00327E36"/>
    <w:rsid w:val="00327E79"/>
    <w:rsid w:val="00327FE6"/>
    <w:rsid w:val="00330018"/>
    <w:rsid w:val="0033003D"/>
    <w:rsid w:val="0033013B"/>
    <w:rsid w:val="003301E9"/>
    <w:rsid w:val="003302CF"/>
    <w:rsid w:val="003302D1"/>
    <w:rsid w:val="003302FD"/>
    <w:rsid w:val="00330404"/>
    <w:rsid w:val="00330555"/>
    <w:rsid w:val="00330829"/>
    <w:rsid w:val="00330987"/>
    <w:rsid w:val="00330A21"/>
    <w:rsid w:val="00330A88"/>
    <w:rsid w:val="00330A91"/>
    <w:rsid w:val="00330C03"/>
    <w:rsid w:val="00330D11"/>
    <w:rsid w:val="00330E36"/>
    <w:rsid w:val="00330F4D"/>
    <w:rsid w:val="00331010"/>
    <w:rsid w:val="0033110C"/>
    <w:rsid w:val="00331116"/>
    <w:rsid w:val="003311EA"/>
    <w:rsid w:val="0033133E"/>
    <w:rsid w:val="003313E4"/>
    <w:rsid w:val="0033141A"/>
    <w:rsid w:val="00331429"/>
    <w:rsid w:val="00331548"/>
    <w:rsid w:val="00331619"/>
    <w:rsid w:val="00331620"/>
    <w:rsid w:val="00331778"/>
    <w:rsid w:val="003319DD"/>
    <w:rsid w:val="00331A10"/>
    <w:rsid w:val="00331AA5"/>
    <w:rsid w:val="00331AF9"/>
    <w:rsid w:val="00331B80"/>
    <w:rsid w:val="00331C7D"/>
    <w:rsid w:val="00331C9F"/>
    <w:rsid w:val="00331D3E"/>
    <w:rsid w:val="00331DA9"/>
    <w:rsid w:val="00331EA1"/>
    <w:rsid w:val="00331EED"/>
    <w:rsid w:val="00331FD2"/>
    <w:rsid w:val="00332088"/>
    <w:rsid w:val="003320D0"/>
    <w:rsid w:val="003320D7"/>
    <w:rsid w:val="003321E5"/>
    <w:rsid w:val="003322BF"/>
    <w:rsid w:val="003322DC"/>
    <w:rsid w:val="003322F7"/>
    <w:rsid w:val="00332385"/>
    <w:rsid w:val="00332502"/>
    <w:rsid w:val="0033253A"/>
    <w:rsid w:val="003325E2"/>
    <w:rsid w:val="003326B6"/>
    <w:rsid w:val="003326F1"/>
    <w:rsid w:val="0033270D"/>
    <w:rsid w:val="00332770"/>
    <w:rsid w:val="00332836"/>
    <w:rsid w:val="00332887"/>
    <w:rsid w:val="00332AC4"/>
    <w:rsid w:val="00332ACA"/>
    <w:rsid w:val="00332ADF"/>
    <w:rsid w:val="00332B62"/>
    <w:rsid w:val="00332C6E"/>
    <w:rsid w:val="00332D30"/>
    <w:rsid w:val="00332DCD"/>
    <w:rsid w:val="00332E0D"/>
    <w:rsid w:val="00332E8B"/>
    <w:rsid w:val="00332E8F"/>
    <w:rsid w:val="00332EFB"/>
    <w:rsid w:val="00333055"/>
    <w:rsid w:val="00333056"/>
    <w:rsid w:val="003330EE"/>
    <w:rsid w:val="00333167"/>
    <w:rsid w:val="0033323B"/>
    <w:rsid w:val="0033324F"/>
    <w:rsid w:val="00333324"/>
    <w:rsid w:val="00333399"/>
    <w:rsid w:val="003334EF"/>
    <w:rsid w:val="0033358E"/>
    <w:rsid w:val="003335B6"/>
    <w:rsid w:val="0033361F"/>
    <w:rsid w:val="0033365D"/>
    <w:rsid w:val="00333712"/>
    <w:rsid w:val="003337BE"/>
    <w:rsid w:val="00333817"/>
    <w:rsid w:val="0033384A"/>
    <w:rsid w:val="003338C4"/>
    <w:rsid w:val="003338DF"/>
    <w:rsid w:val="00333B12"/>
    <w:rsid w:val="00333B38"/>
    <w:rsid w:val="00333B7E"/>
    <w:rsid w:val="00333CFF"/>
    <w:rsid w:val="00333D80"/>
    <w:rsid w:val="00333DC1"/>
    <w:rsid w:val="00333E47"/>
    <w:rsid w:val="00333ECF"/>
    <w:rsid w:val="00333F34"/>
    <w:rsid w:val="00333F6F"/>
    <w:rsid w:val="00333FFC"/>
    <w:rsid w:val="0033404B"/>
    <w:rsid w:val="0033415D"/>
    <w:rsid w:val="00334176"/>
    <w:rsid w:val="003342D1"/>
    <w:rsid w:val="003343BB"/>
    <w:rsid w:val="003344BB"/>
    <w:rsid w:val="003344C1"/>
    <w:rsid w:val="003344EA"/>
    <w:rsid w:val="00334588"/>
    <w:rsid w:val="003345C0"/>
    <w:rsid w:val="003346EF"/>
    <w:rsid w:val="00334701"/>
    <w:rsid w:val="00334749"/>
    <w:rsid w:val="0033486B"/>
    <w:rsid w:val="003348BE"/>
    <w:rsid w:val="003348CD"/>
    <w:rsid w:val="0033490D"/>
    <w:rsid w:val="00334AED"/>
    <w:rsid w:val="00334BCC"/>
    <w:rsid w:val="00334C57"/>
    <w:rsid w:val="00334C5D"/>
    <w:rsid w:val="00334CCD"/>
    <w:rsid w:val="00334D09"/>
    <w:rsid w:val="00334E21"/>
    <w:rsid w:val="00334E66"/>
    <w:rsid w:val="00334F38"/>
    <w:rsid w:val="00334F87"/>
    <w:rsid w:val="00334FD2"/>
    <w:rsid w:val="00334FF9"/>
    <w:rsid w:val="0033503A"/>
    <w:rsid w:val="0033507C"/>
    <w:rsid w:val="00335157"/>
    <w:rsid w:val="00335160"/>
    <w:rsid w:val="00335225"/>
    <w:rsid w:val="00335244"/>
    <w:rsid w:val="0033525E"/>
    <w:rsid w:val="0033533F"/>
    <w:rsid w:val="00335364"/>
    <w:rsid w:val="0033536D"/>
    <w:rsid w:val="00335395"/>
    <w:rsid w:val="0033540D"/>
    <w:rsid w:val="00335494"/>
    <w:rsid w:val="0033551F"/>
    <w:rsid w:val="003355E5"/>
    <w:rsid w:val="00335A3B"/>
    <w:rsid w:val="00335A53"/>
    <w:rsid w:val="00335ACE"/>
    <w:rsid w:val="00335AEC"/>
    <w:rsid w:val="00335B0B"/>
    <w:rsid w:val="00335B30"/>
    <w:rsid w:val="00335BEF"/>
    <w:rsid w:val="00335CC2"/>
    <w:rsid w:val="00335CE6"/>
    <w:rsid w:val="00335D05"/>
    <w:rsid w:val="00335D15"/>
    <w:rsid w:val="00335E23"/>
    <w:rsid w:val="00335EB8"/>
    <w:rsid w:val="00335EE1"/>
    <w:rsid w:val="00335FB2"/>
    <w:rsid w:val="0033600B"/>
    <w:rsid w:val="00336023"/>
    <w:rsid w:val="00336024"/>
    <w:rsid w:val="00336252"/>
    <w:rsid w:val="0033642E"/>
    <w:rsid w:val="0033657F"/>
    <w:rsid w:val="00336697"/>
    <w:rsid w:val="0033669C"/>
    <w:rsid w:val="00336782"/>
    <w:rsid w:val="003367C4"/>
    <w:rsid w:val="0033685E"/>
    <w:rsid w:val="0033688E"/>
    <w:rsid w:val="00336B00"/>
    <w:rsid w:val="00336B11"/>
    <w:rsid w:val="00336D1C"/>
    <w:rsid w:val="00336DE4"/>
    <w:rsid w:val="00337045"/>
    <w:rsid w:val="003370D0"/>
    <w:rsid w:val="003371C0"/>
    <w:rsid w:val="003371F0"/>
    <w:rsid w:val="0033726E"/>
    <w:rsid w:val="00337382"/>
    <w:rsid w:val="00337441"/>
    <w:rsid w:val="0033747C"/>
    <w:rsid w:val="003374B3"/>
    <w:rsid w:val="0033750B"/>
    <w:rsid w:val="00337550"/>
    <w:rsid w:val="00337613"/>
    <w:rsid w:val="00337637"/>
    <w:rsid w:val="003376B9"/>
    <w:rsid w:val="003376C7"/>
    <w:rsid w:val="00337705"/>
    <w:rsid w:val="0033785C"/>
    <w:rsid w:val="003378AE"/>
    <w:rsid w:val="0033798E"/>
    <w:rsid w:val="00337999"/>
    <w:rsid w:val="003379BA"/>
    <w:rsid w:val="003379C0"/>
    <w:rsid w:val="003379E2"/>
    <w:rsid w:val="00337A1A"/>
    <w:rsid w:val="00337A32"/>
    <w:rsid w:val="00337B0D"/>
    <w:rsid w:val="00337BEF"/>
    <w:rsid w:val="00337C87"/>
    <w:rsid w:val="00337CB8"/>
    <w:rsid w:val="00337D90"/>
    <w:rsid w:val="00337E09"/>
    <w:rsid w:val="00337FE3"/>
    <w:rsid w:val="00340071"/>
    <w:rsid w:val="0034018A"/>
    <w:rsid w:val="003402F5"/>
    <w:rsid w:val="0034036F"/>
    <w:rsid w:val="003403D0"/>
    <w:rsid w:val="00340452"/>
    <w:rsid w:val="0034049D"/>
    <w:rsid w:val="0034049F"/>
    <w:rsid w:val="00340515"/>
    <w:rsid w:val="00340545"/>
    <w:rsid w:val="00340547"/>
    <w:rsid w:val="0034059D"/>
    <w:rsid w:val="00340652"/>
    <w:rsid w:val="00340675"/>
    <w:rsid w:val="00340715"/>
    <w:rsid w:val="003407AC"/>
    <w:rsid w:val="0034080D"/>
    <w:rsid w:val="00340880"/>
    <w:rsid w:val="0034088F"/>
    <w:rsid w:val="003408D2"/>
    <w:rsid w:val="003409FC"/>
    <w:rsid w:val="00340AAE"/>
    <w:rsid w:val="00340AFA"/>
    <w:rsid w:val="00340B27"/>
    <w:rsid w:val="00340B4B"/>
    <w:rsid w:val="00340B4C"/>
    <w:rsid w:val="00340B51"/>
    <w:rsid w:val="00340BB6"/>
    <w:rsid w:val="00340BF1"/>
    <w:rsid w:val="00340C45"/>
    <w:rsid w:val="00340C7D"/>
    <w:rsid w:val="00340CD7"/>
    <w:rsid w:val="00340D18"/>
    <w:rsid w:val="00340D3E"/>
    <w:rsid w:val="00340D7E"/>
    <w:rsid w:val="00340DDE"/>
    <w:rsid w:val="00340E85"/>
    <w:rsid w:val="00340F60"/>
    <w:rsid w:val="0034105D"/>
    <w:rsid w:val="0034114B"/>
    <w:rsid w:val="0034115F"/>
    <w:rsid w:val="003411F8"/>
    <w:rsid w:val="003412EC"/>
    <w:rsid w:val="003413CE"/>
    <w:rsid w:val="00341400"/>
    <w:rsid w:val="00341473"/>
    <w:rsid w:val="0034148D"/>
    <w:rsid w:val="0034151F"/>
    <w:rsid w:val="00341664"/>
    <w:rsid w:val="0034167B"/>
    <w:rsid w:val="0034187B"/>
    <w:rsid w:val="0034192F"/>
    <w:rsid w:val="0034199C"/>
    <w:rsid w:val="00341A4B"/>
    <w:rsid w:val="00341B0E"/>
    <w:rsid w:val="00341C22"/>
    <w:rsid w:val="00341C9F"/>
    <w:rsid w:val="00341E35"/>
    <w:rsid w:val="00341E5C"/>
    <w:rsid w:val="00342092"/>
    <w:rsid w:val="003420C5"/>
    <w:rsid w:val="003420F9"/>
    <w:rsid w:val="00342190"/>
    <w:rsid w:val="003423AD"/>
    <w:rsid w:val="00342416"/>
    <w:rsid w:val="003424A4"/>
    <w:rsid w:val="003424F8"/>
    <w:rsid w:val="003425D8"/>
    <w:rsid w:val="00342674"/>
    <w:rsid w:val="003426E7"/>
    <w:rsid w:val="0034278F"/>
    <w:rsid w:val="003428AB"/>
    <w:rsid w:val="00342956"/>
    <w:rsid w:val="0034299F"/>
    <w:rsid w:val="00342A5B"/>
    <w:rsid w:val="00342B46"/>
    <w:rsid w:val="00342B60"/>
    <w:rsid w:val="00342CAF"/>
    <w:rsid w:val="00342CFB"/>
    <w:rsid w:val="00342D68"/>
    <w:rsid w:val="00342E19"/>
    <w:rsid w:val="00342E8F"/>
    <w:rsid w:val="00342F1C"/>
    <w:rsid w:val="00342F68"/>
    <w:rsid w:val="0034303C"/>
    <w:rsid w:val="0034308D"/>
    <w:rsid w:val="003430F1"/>
    <w:rsid w:val="003431B9"/>
    <w:rsid w:val="003431BD"/>
    <w:rsid w:val="003431CE"/>
    <w:rsid w:val="0034325D"/>
    <w:rsid w:val="00343378"/>
    <w:rsid w:val="00343416"/>
    <w:rsid w:val="003435AC"/>
    <w:rsid w:val="003435E7"/>
    <w:rsid w:val="0034372E"/>
    <w:rsid w:val="0034375B"/>
    <w:rsid w:val="00343840"/>
    <w:rsid w:val="0034386B"/>
    <w:rsid w:val="00343898"/>
    <w:rsid w:val="0034389A"/>
    <w:rsid w:val="003439A6"/>
    <w:rsid w:val="00343A71"/>
    <w:rsid w:val="00343C51"/>
    <w:rsid w:val="00343C68"/>
    <w:rsid w:val="00343CD1"/>
    <w:rsid w:val="00343D36"/>
    <w:rsid w:val="00343E35"/>
    <w:rsid w:val="00343EAC"/>
    <w:rsid w:val="00343F3D"/>
    <w:rsid w:val="00343F55"/>
    <w:rsid w:val="00343F6E"/>
    <w:rsid w:val="00343FD9"/>
    <w:rsid w:val="00344079"/>
    <w:rsid w:val="003440D9"/>
    <w:rsid w:val="003440E7"/>
    <w:rsid w:val="0034420F"/>
    <w:rsid w:val="00344262"/>
    <w:rsid w:val="003442A4"/>
    <w:rsid w:val="003442E5"/>
    <w:rsid w:val="003443BF"/>
    <w:rsid w:val="003443D3"/>
    <w:rsid w:val="003443E1"/>
    <w:rsid w:val="00344548"/>
    <w:rsid w:val="003445B6"/>
    <w:rsid w:val="0034466C"/>
    <w:rsid w:val="0034471F"/>
    <w:rsid w:val="003448FF"/>
    <w:rsid w:val="00344994"/>
    <w:rsid w:val="00344A3E"/>
    <w:rsid w:val="00344C5B"/>
    <w:rsid w:val="00344CBC"/>
    <w:rsid w:val="00344CC4"/>
    <w:rsid w:val="00344D1D"/>
    <w:rsid w:val="00344E8B"/>
    <w:rsid w:val="00344FB2"/>
    <w:rsid w:val="00345154"/>
    <w:rsid w:val="003452F4"/>
    <w:rsid w:val="00345335"/>
    <w:rsid w:val="00345341"/>
    <w:rsid w:val="00345389"/>
    <w:rsid w:val="0034540C"/>
    <w:rsid w:val="00345432"/>
    <w:rsid w:val="0034548B"/>
    <w:rsid w:val="003456B1"/>
    <w:rsid w:val="00345733"/>
    <w:rsid w:val="0034595F"/>
    <w:rsid w:val="00345961"/>
    <w:rsid w:val="00345A2C"/>
    <w:rsid w:val="00345B5E"/>
    <w:rsid w:val="00345C47"/>
    <w:rsid w:val="00345CA9"/>
    <w:rsid w:val="00345D80"/>
    <w:rsid w:val="00345E52"/>
    <w:rsid w:val="00345ED2"/>
    <w:rsid w:val="00345EF2"/>
    <w:rsid w:val="00345EFF"/>
    <w:rsid w:val="00345F99"/>
    <w:rsid w:val="00345FBB"/>
    <w:rsid w:val="00345FD7"/>
    <w:rsid w:val="00345FFD"/>
    <w:rsid w:val="00346062"/>
    <w:rsid w:val="00346071"/>
    <w:rsid w:val="00346073"/>
    <w:rsid w:val="00346082"/>
    <w:rsid w:val="00346170"/>
    <w:rsid w:val="003461D6"/>
    <w:rsid w:val="0034625B"/>
    <w:rsid w:val="003462A3"/>
    <w:rsid w:val="003462F0"/>
    <w:rsid w:val="00346332"/>
    <w:rsid w:val="00346396"/>
    <w:rsid w:val="003464AF"/>
    <w:rsid w:val="003464DE"/>
    <w:rsid w:val="003466A0"/>
    <w:rsid w:val="003467E4"/>
    <w:rsid w:val="003468B8"/>
    <w:rsid w:val="003469CF"/>
    <w:rsid w:val="00346A33"/>
    <w:rsid w:val="00346A94"/>
    <w:rsid w:val="00346AE8"/>
    <w:rsid w:val="00346BED"/>
    <w:rsid w:val="00346C22"/>
    <w:rsid w:val="00346C32"/>
    <w:rsid w:val="00346C73"/>
    <w:rsid w:val="00346CAD"/>
    <w:rsid w:val="00346D52"/>
    <w:rsid w:val="00346E6E"/>
    <w:rsid w:val="00347007"/>
    <w:rsid w:val="00347067"/>
    <w:rsid w:val="0034706C"/>
    <w:rsid w:val="003470D6"/>
    <w:rsid w:val="0034719B"/>
    <w:rsid w:val="003472DE"/>
    <w:rsid w:val="00347383"/>
    <w:rsid w:val="003473BA"/>
    <w:rsid w:val="0034745E"/>
    <w:rsid w:val="003475FF"/>
    <w:rsid w:val="0034762D"/>
    <w:rsid w:val="00347638"/>
    <w:rsid w:val="0034766F"/>
    <w:rsid w:val="00347722"/>
    <w:rsid w:val="00347741"/>
    <w:rsid w:val="00347850"/>
    <w:rsid w:val="00347965"/>
    <w:rsid w:val="0034799C"/>
    <w:rsid w:val="00347A5C"/>
    <w:rsid w:val="00347B21"/>
    <w:rsid w:val="00347BEE"/>
    <w:rsid w:val="00347C59"/>
    <w:rsid w:val="00347D67"/>
    <w:rsid w:val="00347DE4"/>
    <w:rsid w:val="0035009F"/>
    <w:rsid w:val="0035017F"/>
    <w:rsid w:val="003501A4"/>
    <w:rsid w:val="00350204"/>
    <w:rsid w:val="00350228"/>
    <w:rsid w:val="0035024D"/>
    <w:rsid w:val="00350305"/>
    <w:rsid w:val="00350381"/>
    <w:rsid w:val="003504C8"/>
    <w:rsid w:val="00350581"/>
    <w:rsid w:val="003505A3"/>
    <w:rsid w:val="003505F4"/>
    <w:rsid w:val="00350609"/>
    <w:rsid w:val="0035066C"/>
    <w:rsid w:val="00350701"/>
    <w:rsid w:val="003507CF"/>
    <w:rsid w:val="003508FB"/>
    <w:rsid w:val="00350932"/>
    <w:rsid w:val="00350934"/>
    <w:rsid w:val="003509CB"/>
    <w:rsid w:val="00350A49"/>
    <w:rsid w:val="00350AB1"/>
    <w:rsid w:val="00350B8E"/>
    <w:rsid w:val="00350BA2"/>
    <w:rsid w:val="00350BEC"/>
    <w:rsid w:val="00350DEF"/>
    <w:rsid w:val="00350EBF"/>
    <w:rsid w:val="00350FD5"/>
    <w:rsid w:val="00350FDE"/>
    <w:rsid w:val="00350FE3"/>
    <w:rsid w:val="00351036"/>
    <w:rsid w:val="003510B7"/>
    <w:rsid w:val="0035114E"/>
    <w:rsid w:val="0035123D"/>
    <w:rsid w:val="00351246"/>
    <w:rsid w:val="0035133E"/>
    <w:rsid w:val="003513DE"/>
    <w:rsid w:val="0035146B"/>
    <w:rsid w:val="00351581"/>
    <w:rsid w:val="003515BE"/>
    <w:rsid w:val="003515ED"/>
    <w:rsid w:val="0035160B"/>
    <w:rsid w:val="003516DD"/>
    <w:rsid w:val="00351747"/>
    <w:rsid w:val="00351A57"/>
    <w:rsid w:val="00351A7F"/>
    <w:rsid w:val="00351AB0"/>
    <w:rsid w:val="00351B8B"/>
    <w:rsid w:val="00351C13"/>
    <w:rsid w:val="00351CBC"/>
    <w:rsid w:val="00351E1A"/>
    <w:rsid w:val="00351E53"/>
    <w:rsid w:val="00351E99"/>
    <w:rsid w:val="00351EE7"/>
    <w:rsid w:val="00351F41"/>
    <w:rsid w:val="00351FBF"/>
    <w:rsid w:val="0035205B"/>
    <w:rsid w:val="00352114"/>
    <w:rsid w:val="003521AD"/>
    <w:rsid w:val="00352365"/>
    <w:rsid w:val="003523AD"/>
    <w:rsid w:val="0035247D"/>
    <w:rsid w:val="0035251F"/>
    <w:rsid w:val="003525A5"/>
    <w:rsid w:val="00352754"/>
    <w:rsid w:val="00352796"/>
    <w:rsid w:val="0035289E"/>
    <w:rsid w:val="0035292F"/>
    <w:rsid w:val="0035293E"/>
    <w:rsid w:val="00352949"/>
    <w:rsid w:val="003529BA"/>
    <w:rsid w:val="00352AFE"/>
    <w:rsid w:val="00352B02"/>
    <w:rsid w:val="00352BBD"/>
    <w:rsid w:val="00352C64"/>
    <w:rsid w:val="00352D0C"/>
    <w:rsid w:val="00352D16"/>
    <w:rsid w:val="00352D63"/>
    <w:rsid w:val="00352F0E"/>
    <w:rsid w:val="00352F1B"/>
    <w:rsid w:val="00353022"/>
    <w:rsid w:val="0035305A"/>
    <w:rsid w:val="00353136"/>
    <w:rsid w:val="0035317D"/>
    <w:rsid w:val="003532D1"/>
    <w:rsid w:val="00353414"/>
    <w:rsid w:val="003534B7"/>
    <w:rsid w:val="003534D4"/>
    <w:rsid w:val="003534F5"/>
    <w:rsid w:val="0035358E"/>
    <w:rsid w:val="003535E9"/>
    <w:rsid w:val="003537C2"/>
    <w:rsid w:val="003537DC"/>
    <w:rsid w:val="00353A8F"/>
    <w:rsid w:val="00353B1E"/>
    <w:rsid w:val="00353CBE"/>
    <w:rsid w:val="00353CEF"/>
    <w:rsid w:val="00353CF6"/>
    <w:rsid w:val="00353D59"/>
    <w:rsid w:val="00353D6D"/>
    <w:rsid w:val="00353DA2"/>
    <w:rsid w:val="00353ED4"/>
    <w:rsid w:val="00353F8A"/>
    <w:rsid w:val="00353FB0"/>
    <w:rsid w:val="00353FEE"/>
    <w:rsid w:val="0035400D"/>
    <w:rsid w:val="0035407B"/>
    <w:rsid w:val="003540E2"/>
    <w:rsid w:val="0035434F"/>
    <w:rsid w:val="00354359"/>
    <w:rsid w:val="003543E2"/>
    <w:rsid w:val="003545DB"/>
    <w:rsid w:val="003546CE"/>
    <w:rsid w:val="003547CC"/>
    <w:rsid w:val="0035484C"/>
    <w:rsid w:val="00354905"/>
    <w:rsid w:val="00354972"/>
    <w:rsid w:val="00354A73"/>
    <w:rsid w:val="00354B8A"/>
    <w:rsid w:val="00354C18"/>
    <w:rsid w:val="00354C32"/>
    <w:rsid w:val="00354CDB"/>
    <w:rsid w:val="00354D44"/>
    <w:rsid w:val="00354D87"/>
    <w:rsid w:val="00354E43"/>
    <w:rsid w:val="00354EC5"/>
    <w:rsid w:val="00354F58"/>
    <w:rsid w:val="00355020"/>
    <w:rsid w:val="0035504B"/>
    <w:rsid w:val="00355086"/>
    <w:rsid w:val="003550A7"/>
    <w:rsid w:val="003550E5"/>
    <w:rsid w:val="003550E9"/>
    <w:rsid w:val="00355109"/>
    <w:rsid w:val="0035514A"/>
    <w:rsid w:val="0035520B"/>
    <w:rsid w:val="003552BB"/>
    <w:rsid w:val="0035534D"/>
    <w:rsid w:val="00355367"/>
    <w:rsid w:val="00355396"/>
    <w:rsid w:val="00355429"/>
    <w:rsid w:val="00355475"/>
    <w:rsid w:val="003554D7"/>
    <w:rsid w:val="003555EB"/>
    <w:rsid w:val="00355699"/>
    <w:rsid w:val="00355B72"/>
    <w:rsid w:val="00355BF0"/>
    <w:rsid w:val="00355C24"/>
    <w:rsid w:val="00355C6C"/>
    <w:rsid w:val="00355CF0"/>
    <w:rsid w:val="00355D21"/>
    <w:rsid w:val="00355D9A"/>
    <w:rsid w:val="00355DDA"/>
    <w:rsid w:val="00355DE5"/>
    <w:rsid w:val="00355E7A"/>
    <w:rsid w:val="00356004"/>
    <w:rsid w:val="003561EB"/>
    <w:rsid w:val="003562CC"/>
    <w:rsid w:val="003562DD"/>
    <w:rsid w:val="00356301"/>
    <w:rsid w:val="0035639F"/>
    <w:rsid w:val="003563A8"/>
    <w:rsid w:val="00356567"/>
    <w:rsid w:val="0035658A"/>
    <w:rsid w:val="0035669D"/>
    <w:rsid w:val="0035683C"/>
    <w:rsid w:val="00356957"/>
    <w:rsid w:val="003569A6"/>
    <w:rsid w:val="003569F0"/>
    <w:rsid w:val="00356A68"/>
    <w:rsid w:val="00356AB0"/>
    <w:rsid w:val="00356B38"/>
    <w:rsid w:val="00356B66"/>
    <w:rsid w:val="00356DCD"/>
    <w:rsid w:val="00356E0C"/>
    <w:rsid w:val="00356E97"/>
    <w:rsid w:val="00356F9B"/>
    <w:rsid w:val="003570C3"/>
    <w:rsid w:val="003571C7"/>
    <w:rsid w:val="003571D9"/>
    <w:rsid w:val="003571E7"/>
    <w:rsid w:val="00357203"/>
    <w:rsid w:val="0035725A"/>
    <w:rsid w:val="0035736A"/>
    <w:rsid w:val="003573B4"/>
    <w:rsid w:val="0035740F"/>
    <w:rsid w:val="00357410"/>
    <w:rsid w:val="00357494"/>
    <w:rsid w:val="003575EA"/>
    <w:rsid w:val="003576B4"/>
    <w:rsid w:val="003576DD"/>
    <w:rsid w:val="00357738"/>
    <w:rsid w:val="00357750"/>
    <w:rsid w:val="0035779C"/>
    <w:rsid w:val="00357978"/>
    <w:rsid w:val="0035799C"/>
    <w:rsid w:val="00357B2E"/>
    <w:rsid w:val="00357B7D"/>
    <w:rsid w:val="00357C75"/>
    <w:rsid w:val="00357D3E"/>
    <w:rsid w:val="00357E06"/>
    <w:rsid w:val="00357E16"/>
    <w:rsid w:val="00357E78"/>
    <w:rsid w:val="00357EBF"/>
    <w:rsid w:val="00360104"/>
    <w:rsid w:val="00360112"/>
    <w:rsid w:val="00360154"/>
    <w:rsid w:val="00360167"/>
    <w:rsid w:val="003601A2"/>
    <w:rsid w:val="003601E0"/>
    <w:rsid w:val="0036029A"/>
    <w:rsid w:val="003602D0"/>
    <w:rsid w:val="0036030B"/>
    <w:rsid w:val="0036031C"/>
    <w:rsid w:val="00360363"/>
    <w:rsid w:val="00360489"/>
    <w:rsid w:val="00360511"/>
    <w:rsid w:val="0036056C"/>
    <w:rsid w:val="00360651"/>
    <w:rsid w:val="00360719"/>
    <w:rsid w:val="00360757"/>
    <w:rsid w:val="00360811"/>
    <w:rsid w:val="00360841"/>
    <w:rsid w:val="003608B1"/>
    <w:rsid w:val="003608E1"/>
    <w:rsid w:val="003609E8"/>
    <w:rsid w:val="00360A37"/>
    <w:rsid w:val="00360BED"/>
    <w:rsid w:val="00360C53"/>
    <w:rsid w:val="00360C77"/>
    <w:rsid w:val="00360D23"/>
    <w:rsid w:val="00360E46"/>
    <w:rsid w:val="00360EFF"/>
    <w:rsid w:val="0036104C"/>
    <w:rsid w:val="003610B3"/>
    <w:rsid w:val="003610D6"/>
    <w:rsid w:val="003610F5"/>
    <w:rsid w:val="003611DC"/>
    <w:rsid w:val="0036120A"/>
    <w:rsid w:val="00361252"/>
    <w:rsid w:val="0036126F"/>
    <w:rsid w:val="003614B3"/>
    <w:rsid w:val="00361504"/>
    <w:rsid w:val="00361578"/>
    <w:rsid w:val="00361731"/>
    <w:rsid w:val="00361836"/>
    <w:rsid w:val="003619A5"/>
    <w:rsid w:val="00361AEC"/>
    <w:rsid w:val="00361B12"/>
    <w:rsid w:val="00361BD1"/>
    <w:rsid w:val="00361C5F"/>
    <w:rsid w:val="00361D41"/>
    <w:rsid w:val="00361D78"/>
    <w:rsid w:val="00361D9E"/>
    <w:rsid w:val="00361DA4"/>
    <w:rsid w:val="00361DF9"/>
    <w:rsid w:val="00361E3A"/>
    <w:rsid w:val="00361E52"/>
    <w:rsid w:val="00361F10"/>
    <w:rsid w:val="00362043"/>
    <w:rsid w:val="003620A7"/>
    <w:rsid w:val="003620B2"/>
    <w:rsid w:val="00362129"/>
    <w:rsid w:val="0036221C"/>
    <w:rsid w:val="00362251"/>
    <w:rsid w:val="003622E7"/>
    <w:rsid w:val="0036256D"/>
    <w:rsid w:val="003625D9"/>
    <w:rsid w:val="003627CE"/>
    <w:rsid w:val="00362868"/>
    <w:rsid w:val="00362871"/>
    <w:rsid w:val="00362B1B"/>
    <w:rsid w:val="00362BEC"/>
    <w:rsid w:val="00362CC4"/>
    <w:rsid w:val="00362D00"/>
    <w:rsid w:val="00362D75"/>
    <w:rsid w:val="00362D7B"/>
    <w:rsid w:val="00362DD3"/>
    <w:rsid w:val="00362E44"/>
    <w:rsid w:val="00362E54"/>
    <w:rsid w:val="00362E93"/>
    <w:rsid w:val="00362EB2"/>
    <w:rsid w:val="00363016"/>
    <w:rsid w:val="003630EF"/>
    <w:rsid w:val="00363141"/>
    <w:rsid w:val="003631E3"/>
    <w:rsid w:val="00363307"/>
    <w:rsid w:val="003633F2"/>
    <w:rsid w:val="00363416"/>
    <w:rsid w:val="0036349A"/>
    <w:rsid w:val="00363526"/>
    <w:rsid w:val="003636E5"/>
    <w:rsid w:val="0036379D"/>
    <w:rsid w:val="003637D1"/>
    <w:rsid w:val="00363937"/>
    <w:rsid w:val="003639E2"/>
    <w:rsid w:val="00363A2F"/>
    <w:rsid w:val="00363AB4"/>
    <w:rsid w:val="00363AD7"/>
    <w:rsid w:val="00363C06"/>
    <w:rsid w:val="00363C3C"/>
    <w:rsid w:val="00363C8E"/>
    <w:rsid w:val="00363CEE"/>
    <w:rsid w:val="00363DB9"/>
    <w:rsid w:val="00363DE5"/>
    <w:rsid w:val="00363DEB"/>
    <w:rsid w:val="00363E4A"/>
    <w:rsid w:val="00363E57"/>
    <w:rsid w:val="00363E5B"/>
    <w:rsid w:val="00363EC3"/>
    <w:rsid w:val="00363ECC"/>
    <w:rsid w:val="00363EF9"/>
    <w:rsid w:val="00363F6F"/>
    <w:rsid w:val="00364011"/>
    <w:rsid w:val="0036405E"/>
    <w:rsid w:val="00364081"/>
    <w:rsid w:val="003640AC"/>
    <w:rsid w:val="00364116"/>
    <w:rsid w:val="00364182"/>
    <w:rsid w:val="0036423E"/>
    <w:rsid w:val="003643CD"/>
    <w:rsid w:val="003646D7"/>
    <w:rsid w:val="003646E4"/>
    <w:rsid w:val="00364757"/>
    <w:rsid w:val="0036494E"/>
    <w:rsid w:val="00364972"/>
    <w:rsid w:val="00364990"/>
    <w:rsid w:val="00364CD4"/>
    <w:rsid w:val="00364D19"/>
    <w:rsid w:val="00364D20"/>
    <w:rsid w:val="00364DCD"/>
    <w:rsid w:val="00364DD8"/>
    <w:rsid w:val="00364E03"/>
    <w:rsid w:val="00364E4D"/>
    <w:rsid w:val="00364EC9"/>
    <w:rsid w:val="00364F67"/>
    <w:rsid w:val="0036502E"/>
    <w:rsid w:val="00365145"/>
    <w:rsid w:val="003651E8"/>
    <w:rsid w:val="00365272"/>
    <w:rsid w:val="00365284"/>
    <w:rsid w:val="00365343"/>
    <w:rsid w:val="00365384"/>
    <w:rsid w:val="003653FB"/>
    <w:rsid w:val="00365422"/>
    <w:rsid w:val="003654A7"/>
    <w:rsid w:val="003654C7"/>
    <w:rsid w:val="00365588"/>
    <w:rsid w:val="00365599"/>
    <w:rsid w:val="003656A2"/>
    <w:rsid w:val="00365707"/>
    <w:rsid w:val="00365741"/>
    <w:rsid w:val="0036581C"/>
    <w:rsid w:val="003658DB"/>
    <w:rsid w:val="00365913"/>
    <w:rsid w:val="003659A6"/>
    <w:rsid w:val="003659DE"/>
    <w:rsid w:val="00365A6D"/>
    <w:rsid w:val="00365A9D"/>
    <w:rsid w:val="00365AB6"/>
    <w:rsid w:val="00365ADD"/>
    <w:rsid w:val="00365CB4"/>
    <w:rsid w:val="00365D2F"/>
    <w:rsid w:val="00365E15"/>
    <w:rsid w:val="00365E27"/>
    <w:rsid w:val="00365E7F"/>
    <w:rsid w:val="00365EF6"/>
    <w:rsid w:val="00366031"/>
    <w:rsid w:val="003660CD"/>
    <w:rsid w:val="00366108"/>
    <w:rsid w:val="0036619B"/>
    <w:rsid w:val="003661B0"/>
    <w:rsid w:val="0036625E"/>
    <w:rsid w:val="0036627B"/>
    <w:rsid w:val="0036638A"/>
    <w:rsid w:val="00366412"/>
    <w:rsid w:val="0036648B"/>
    <w:rsid w:val="0036649F"/>
    <w:rsid w:val="003664A8"/>
    <w:rsid w:val="0036653F"/>
    <w:rsid w:val="003666B0"/>
    <w:rsid w:val="00366781"/>
    <w:rsid w:val="003667DC"/>
    <w:rsid w:val="003667F0"/>
    <w:rsid w:val="003669B4"/>
    <w:rsid w:val="00366BF9"/>
    <w:rsid w:val="00366CBE"/>
    <w:rsid w:val="00367014"/>
    <w:rsid w:val="00367030"/>
    <w:rsid w:val="003670C3"/>
    <w:rsid w:val="003671ED"/>
    <w:rsid w:val="0036720A"/>
    <w:rsid w:val="003672D1"/>
    <w:rsid w:val="00367329"/>
    <w:rsid w:val="003673DA"/>
    <w:rsid w:val="003675CC"/>
    <w:rsid w:val="00367606"/>
    <w:rsid w:val="0036777F"/>
    <w:rsid w:val="00367840"/>
    <w:rsid w:val="00367887"/>
    <w:rsid w:val="00367A8B"/>
    <w:rsid w:val="00367AF4"/>
    <w:rsid w:val="00367B67"/>
    <w:rsid w:val="00367C32"/>
    <w:rsid w:val="00367CB9"/>
    <w:rsid w:val="00367CD7"/>
    <w:rsid w:val="00367D16"/>
    <w:rsid w:val="00367D80"/>
    <w:rsid w:val="00367DB7"/>
    <w:rsid w:val="00367DC6"/>
    <w:rsid w:val="00367E60"/>
    <w:rsid w:val="00367F6F"/>
    <w:rsid w:val="00367F9D"/>
    <w:rsid w:val="00367FBE"/>
    <w:rsid w:val="0037007A"/>
    <w:rsid w:val="003700BC"/>
    <w:rsid w:val="003701B0"/>
    <w:rsid w:val="0037020D"/>
    <w:rsid w:val="00370250"/>
    <w:rsid w:val="0037027E"/>
    <w:rsid w:val="00370334"/>
    <w:rsid w:val="0037037B"/>
    <w:rsid w:val="00370390"/>
    <w:rsid w:val="00370619"/>
    <w:rsid w:val="00370730"/>
    <w:rsid w:val="003707C0"/>
    <w:rsid w:val="00370888"/>
    <w:rsid w:val="003708ED"/>
    <w:rsid w:val="00370962"/>
    <w:rsid w:val="00370A5E"/>
    <w:rsid w:val="00370AD2"/>
    <w:rsid w:val="00370AE6"/>
    <w:rsid w:val="00370B83"/>
    <w:rsid w:val="00370C65"/>
    <w:rsid w:val="00370D62"/>
    <w:rsid w:val="00370D96"/>
    <w:rsid w:val="00370F25"/>
    <w:rsid w:val="00371069"/>
    <w:rsid w:val="0037114D"/>
    <w:rsid w:val="00371244"/>
    <w:rsid w:val="003712DC"/>
    <w:rsid w:val="00371364"/>
    <w:rsid w:val="003713E5"/>
    <w:rsid w:val="003714E5"/>
    <w:rsid w:val="0037160E"/>
    <w:rsid w:val="00371670"/>
    <w:rsid w:val="0037169A"/>
    <w:rsid w:val="00371719"/>
    <w:rsid w:val="00371A27"/>
    <w:rsid w:val="00371AA0"/>
    <w:rsid w:val="00371B29"/>
    <w:rsid w:val="00371C2E"/>
    <w:rsid w:val="00371C3A"/>
    <w:rsid w:val="00371C3C"/>
    <w:rsid w:val="00371F69"/>
    <w:rsid w:val="00372005"/>
    <w:rsid w:val="00372032"/>
    <w:rsid w:val="0037203C"/>
    <w:rsid w:val="003720BE"/>
    <w:rsid w:val="003720DA"/>
    <w:rsid w:val="00372137"/>
    <w:rsid w:val="00372159"/>
    <w:rsid w:val="00372160"/>
    <w:rsid w:val="003722CF"/>
    <w:rsid w:val="003722EC"/>
    <w:rsid w:val="0037232D"/>
    <w:rsid w:val="00372647"/>
    <w:rsid w:val="003726E5"/>
    <w:rsid w:val="0037274E"/>
    <w:rsid w:val="00372758"/>
    <w:rsid w:val="0037277D"/>
    <w:rsid w:val="0037283D"/>
    <w:rsid w:val="003729BF"/>
    <w:rsid w:val="00372A95"/>
    <w:rsid w:val="00372B93"/>
    <w:rsid w:val="00372C31"/>
    <w:rsid w:val="00372C5B"/>
    <w:rsid w:val="00372C88"/>
    <w:rsid w:val="00372D03"/>
    <w:rsid w:val="00372D21"/>
    <w:rsid w:val="00372D2E"/>
    <w:rsid w:val="00372E7A"/>
    <w:rsid w:val="00372EA9"/>
    <w:rsid w:val="00372EC6"/>
    <w:rsid w:val="00372F64"/>
    <w:rsid w:val="00372F87"/>
    <w:rsid w:val="00372FEF"/>
    <w:rsid w:val="0037302F"/>
    <w:rsid w:val="0037316A"/>
    <w:rsid w:val="0037318B"/>
    <w:rsid w:val="003732B8"/>
    <w:rsid w:val="0037334A"/>
    <w:rsid w:val="003733C4"/>
    <w:rsid w:val="003733C9"/>
    <w:rsid w:val="00373431"/>
    <w:rsid w:val="00373541"/>
    <w:rsid w:val="0037367D"/>
    <w:rsid w:val="003736C2"/>
    <w:rsid w:val="0037374D"/>
    <w:rsid w:val="00373B3F"/>
    <w:rsid w:val="00373B42"/>
    <w:rsid w:val="00373BD7"/>
    <w:rsid w:val="00373BFF"/>
    <w:rsid w:val="00373C21"/>
    <w:rsid w:val="00373D2F"/>
    <w:rsid w:val="00373DDF"/>
    <w:rsid w:val="00373DF1"/>
    <w:rsid w:val="00373E1F"/>
    <w:rsid w:val="00373E24"/>
    <w:rsid w:val="00373EB4"/>
    <w:rsid w:val="00373FA6"/>
    <w:rsid w:val="00374137"/>
    <w:rsid w:val="003741BA"/>
    <w:rsid w:val="00374208"/>
    <w:rsid w:val="00374218"/>
    <w:rsid w:val="00374299"/>
    <w:rsid w:val="00374360"/>
    <w:rsid w:val="00374433"/>
    <w:rsid w:val="0037447A"/>
    <w:rsid w:val="003744C3"/>
    <w:rsid w:val="003744CA"/>
    <w:rsid w:val="003749FF"/>
    <w:rsid w:val="00374A34"/>
    <w:rsid w:val="00374A8E"/>
    <w:rsid w:val="00374C47"/>
    <w:rsid w:val="00374DF7"/>
    <w:rsid w:val="00374E61"/>
    <w:rsid w:val="00374EEE"/>
    <w:rsid w:val="00374F6A"/>
    <w:rsid w:val="00375078"/>
    <w:rsid w:val="003750C9"/>
    <w:rsid w:val="0037514D"/>
    <w:rsid w:val="00375205"/>
    <w:rsid w:val="0037528B"/>
    <w:rsid w:val="003752C7"/>
    <w:rsid w:val="00375397"/>
    <w:rsid w:val="00375429"/>
    <w:rsid w:val="00375489"/>
    <w:rsid w:val="003754E6"/>
    <w:rsid w:val="00375658"/>
    <w:rsid w:val="003756C3"/>
    <w:rsid w:val="0037576B"/>
    <w:rsid w:val="003757B1"/>
    <w:rsid w:val="003757E9"/>
    <w:rsid w:val="003757FB"/>
    <w:rsid w:val="00375829"/>
    <w:rsid w:val="0037589C"/>
    <w:rsid w:val="003759A5"/>
    <w:rsid w:val="00375AB5"/>
    <w:rsid w:val="00375B7E"/>
    <w:rsid w:val="00375B82"/>
    <w:rsid w:val="00375D09"/>
    <w:rsid w:val="00375D5C"/>
    <w:rsid w:val="00375E3E"/>
    <w:rsid w:val="00375E77"/>
    <w:rsid w:val="00375EE1"/>
    <w:rsid w:val="00375EF0"/>
    <w:rsid w:val="0037602C"/>
    <w:rsid w:val="00376058"/>
    <w:rsid w:val="0037608E"/>
    <w:rsid w:val="003760EE"/>
    <w:rsid w:val="00376142"/>
    <w:rsid w:val="0037618F"/>
    <w:rsid w:val="00376220"/>
    <w:rsid w:val="0037626E"/>
    <w:rsid w:val="003763DB"/>
    <w:rsid w:val="003763EC"/>
    <w:rsid w:val="00376404"/>
    <w:rsid w:val="003764B3"/>
    <w:rsid w:val="003764FF"/>
    <w:rsid w:val="0037667A"/>
    <w:rsid w:val="003767B1"/>
    <w:rsid w:val="0037683F"/>
    <w:rsid w:val="0037689F"/>
    <w:rsid w:val="00376940"/>
    <w:rsid w:val="00376950"/>
    <w:rsid w:val="00376A31"/>
    <w:rsid w:val="00376A91"/>
    <w:rsid w:val="00376AD1"/>
    <w:rsid w:val="00376AE1"/>
    <w:rsid w:val="00376B45"/>
    <w:rsid w:val="00376C17"/>
    <w:rsid w:val="00377002"/>
    <w:rsid w:val="003770A0"/>
    <w:rsid w:val="00377136"/>
    <w:rsid w:val="003771C5"/>
    <w:rsid w:val="00377259"/>
    <w:rsid w:val="0037736A"/>
    <w:rsid w:val="003774D9"/>
    <w:rsid w:val="00377523"/>
    <w:rsid w:val="003775C0"/>
    <w:rsid w:val="00377786"/>
    <w:rsid w:val="0037786B"/>
    <w:rsid w:val="0037790F"/>
    <w:rsid w:val="00377A2D"/>
    <w:rsid w:val="00377AB6"/>
    <w:rsid w:val="00377B22"/>
    <w:rsid w:val="00377B6A"/>
    <w:rsid w:val="00377C13"/>
    <w:rsid w:val="00377C1F"/>
    <w:rsid w:val="00377D2B"/>
    <w:rsid w:val="00377D7F"/>
    <w:rsid w:val="00377D81"/>
    <w:rsid w:val="00377F2D"/>
    <w:rsid w:val="0037C88D"/>
    <w:rsid w:val="00380085"/>
    <w:rsid w:val="003800F3"/>
    <w:rsid w:val="0038014A"/>
    <w:rsid w:val="00380173"/>
    <w:rsid w:val="003801A8"/>
    <w:rsid w:val="0038028C"/>
    <w:rsid w:val="0038033F"/>
    <w:rsid w:val="0038035D"/>
    <w:rsid w:val="00380449"/>
    <w:rsid w:val="0038048B"/>
    <w:rsid w:val="003805AA"/>
    <w:rsid w:val="003805B1"/>
    <w:rsid w:val="00380644"/>
    <w:rsid w:val="003806FF"/>
    <w:rsid w:val="003807F1"/>
    <w:rsid w:val="0038087B"/>
    <w:rsid w:val="003808F3"/>
    <w:rsid w:val="0038094A"/>
    <w:rsid w:val="00380A49"/>
    <w:rsid w:val="00380B14"/>
    <w:rsid w:val="00380CB6"/>
    <w:rsid w:val="00380CD2"/>
    <w:rsid w:val="00380CD8"/>
    <w:rsid w:val="00380D11"/>
    <w:rsid w:val="00380D1A"/>
    <w:rsid w:val="00380DE5"/>
    <w:rsid w:val="00380F97"/>
    <w:rsid w:val="00380FD3"/>
    <w:rsid w:val="0038110C"/>
    <w:rsid w:val="0038113B"/>
    <w:rsid w:val="0038120D"/>
    <w:rsid w:val="00381214"/>
    <w:rsid w:val="0038129B"/>
    <w:rsid w:val="003812A5"/>
    <w:rsid w:val="003812CB"/>
    <w:rsid w:val="003813AF"/>
    <w:rsid w:val="00381478"/>
    <w:rsid w:val="0038148E"/>
    <w:rsid w:val="003814D8"/>
    <w:rsid w:val="003814DA"/>
    <w:rsid w:val="00381557"/>
    <w:rsid w:val="003816C6"/>
    <w:rsid w:val="003817D6"/>
    <w:rsid w:val="003817DD"/>
    <w:rsid w:val="003818E1"/>
    <w:rsid w:val="003818E3"/>
    <w:rsid w:val="0038190D"/>
    <w:rsid w:val="0038193B"/>
    <w:rsid w:val="003819A7"/>
    <w:rsid w:val="003819D3"/>
    <w:rsid w:val="00381A0A"/>
    <w:rsid w:val="00381A9C"/>
    <w:rsid w:val="00381C83"/>
    <w:rsid w:val="00381CE1"/>
    <w:rsid w:val="00381CFF"/>
    <w:rsid w:val="00381D3B"/>
    <w:rsid w:val="00381D94"/>
    <w:rsid w:val="00381DA4"/>
    <w:rsid w:val="00381E29"/>
    <w:rsid w:val="00381E6B"/>
    <w:rsid w:val="00381F8B"/>
    <w:rsid w:val="00382010"/>
    <w:rsid w:val="003820C0"/>
    <w:rsid w:val="003820C7"/>
    <w:rsid w:val="00382142"/>
    <w:rsid w:val="0038217E"/>
    <w:rsid w:val="003821AB"/>
    <w:rsid w:val="0038227F"/>
    <w:rsid w:val="00382312"/>
    <w:rsid w:val="0038246E"/>
    <w:rsid w:val="0038249A"/>
    <w:rsid w:val="003824FB"/>
    <w:rsid w:val="00382638"/>
    <w:rsid w:val="00382667"/>
    <w:rsid w:val="0038286A"/>
    <w:rsid w:val="00382881"/>
    <w:rsid w:val="003828E9"/>
    <w:rsid w:val="00382991"/>
    <w:rsid w:val="00382AFD"/>
    <w:rsid w:val="00382B34"/>
    <w:rsid w:val="00382B75"/>
    <w:rsid w:val="00382C17"/>
    <w:rsid w:val="00382C4E"/>
    <w:rsid w:val="00382CC6"/>
    <w:rsid w:val="00382EBE"/>
    <w:rsid w:val="0038317A"/>
    <w:rsid w:val="003831D3"/>
    <w:rsid w:val="00383355"/>
    <w:rsid w:val="00383518"/>
    <w:rsid w:val="00383598"/>
    <w:rsid w:val="003835AC"/>
    <w:rsid w:val="00383604"/>
    <w:rsid w:val="0038362B"/>
    <w:rsid w:val="00383644"/>
    <w:rsid w:val="0038377D"/>
    <w:rsid w:val="00383790"/>
    <w:rsid w:val="0038396E"/>
    <w:rsid w:val="00383AC6"/>
    <w:rsid w:val="00383B9C"/>
    <w:rsid w:val="00383BD1"/>
    <w:rsid w:val="00383BE7"/>
    <w:rsid w:val="00383C34"/>
    <w:rsid w:val="00383C3D"/>
    <w:rsid w:val="00383C74"/>
    <w:rsid w:val="00383D81"/>
    <w:rsid w:val="00383EDB"/>
    <w:rsid w:val="00383F07"/>
    <w:rsid w:val="003841E8"/>
    <w:rsid w:val="003842D4"/>
    <w:rsid w:val="003842F9"/>
    <w:rsid w:val="00384309"/>
    <w:rsid w:val="0038431C"/>
    <w:rsid w:val="00384588"/>
    <w:rsid w:val="003845EC"/>
    <w:rsid w:val="00384670"/>
    <w:rsid w:val="00384849"/>
    <w:rsid w:val="0038492E"/>
    <w:rsid w:val="0038496D"/>
    <w:rsid w:val="00384B80"/>
    <w:rsid w:val="00384D2D"/>
    <w:rsid w:val="00384D6D"/>
    <w:rsid w:val="00384DCB"/>
    <w:rsid w:val="00384EDC"/>
    <w:rsid w:val="00384EE7"/>
    <w:rsid w:val="00384FD8"/>
    <w:rsid w:val="00384FF2"/>
    <w:rsid w:val="0038502E"/>
    <w:rsid w:val="00385042"/>
    <w:rsid w:val="003850AC"/>
    <w:rsid w:val="003850B6"/>
    <w:rsid w:val="00385112"/>
    <w:rsid w:val="00385170"/>
    <w:rsid w:val="00385176"/>
    <w:rsid w:val="003851EA"/>
    <w:rsid w:val="00385388"/>
    <w:rsid w:val="00385429"/>
    <w:rsid w:val="003854A9"/>
    <w:rsid w:val="0038551F"/>
    <w:rsid w:val="00385576"/>
    <w:rsid w:val="00385632"/>
    <w:rsid w:val="0038578B"/>
    <w:rsid w:val="003857E0"/>
    <w:rsid w:val="00385949"/>
    <w:rsid w:val="0038594A"/>
    <w:rsid w:val="00385975"/>
    <w:rsid w:val="003859FF"/>
    <w:rsid w:val="00385AF6"/>
    <w:rsid w:val="00385B0D"/>
    <w:rsid w:val="00385B8A"/>
    <w:rsid w:val="00385BC2"/>
    <w:rsid w:val="00385C13"/>
    <w:rsid w:val="00385D8A"/>
    <w:rsid w:val="00385DAC"/>
    <w:rsid w:val="00385DE9"/>
    <w:rsid w:val="00385E43"/>
    <w:rsid w:val="00385F5D"/>
    <w:rsid w:val="00385F71"/>
    <w:rsid w:val="0038602F"/>
    <w:rsid w:val="003860E8"/>
    <w:rsid w:val="003861D8"/>
    <w:rsid w:val="0038622A"/>
    <w:rsid w:val="0038629D"/>
    <w:rsid w:val="003862E2"/>
    <w:rsid w:val="003862F6"/>
    <w:rsid w:val="00386377"/>
    <w:rsid w:val="00386383"/>
    <w:rsid w:val="00386404"/>
    <w:rsid w:val="00386421"/>
    <w:rsid w:val="0038642F"/>
    <w:rsid w:val="00386573"/>
    <w:rsid w:val="0038659F"/>
    <w:rsid w:val="00386601"/>
    <w:rsid w:val="00386629"/>
    <w:rsid w:val="00386675"/>
    <w:rsid w:val="003866CB"/>
    <w:rsid w:val="00386728"/>
    <w:rsid w:val="00386765"/>
    <w:rsid w:val="003868AC"/>
    <w:rsid w:val="0038697A"/>
    <w:rsid w:val="00386C29"/>
    <w:rsid w:val="00386C47"/>
    <w:rsid w:val="00386C7C"/>
    <w:rsid w:val="00386CC4"/>
    <w:rsid w:val="00386DB5"/>
    <w:rsid w:val="00386DE5"/>
    <w:rsid w:val="00386E8F"/>
    <w:rsid w:val="0038722E"/>
    <w:rsid w:val="0038725C"/>
    <w:rsid w:val="0038733B"/>
    <w:rsid w:val="003874F6"/>
    <w:rsid w:val="003878BD"/>
    <w:rsid w:val="003878D9"/>
    <w:rsid w:val="00387943"/>
    <w:rsid w:val="00387A57"/>
    <w:rsid w:val="00387A5A"/>
    <w:rsid w:val="00387A6E"/>
    <w:rsid w:val="00387B61"/>
    <w:rsid w:val="00387B87"/>
    <w:rsid w:val="00387C7C"/>
    <w:rsid w:val="00387C80"/>
    <w:rsid w:val="00387D0B"/>
    <w:rsid w:val="00387D18"/>
    <w:rsid w:val="00387E50"/>
    <w:rsid w:val="00387E72"/>
    <w:rsid w:val="00387E78"/>
    <w:rsid w:val="00387E82"/>
    <w:rsid w:val="00387EAC"/>
    <w:rsid w:val="00387FFD"/>
    <w:rsid w:val="003900DD"/>
    <w:rsid w:val="003901C1"/>
    <w:rsid w:val="00390280"/>
    <w:rsid w:val="003902E6"/>
    <w:rsid w:val="003903AC"/>
    <w:rsid w:val="00390400"/>
    <w:rsid w:val="003904E8"/>
    <w:rsid w:val="003904FA"/>
    <w:rsid w:val="00390515"/>
    <w:rsid w:val="003905C8"/>
    <w:rsid w:val="003905D5"/>
    <w:rsid w:val="0039066B"/>
    <w:rsid w:val="00390717"/>
    <w:rsid w:val="00390729"/>
    <w:rsid w:val="00390751"/>
    <w:rsid w:val="0039076D"/>
    <w:rsid w:val="003907FF"/>
    <w:rsid w:val="00390858"/>
    <w:rsid w:val="003908B7"/>
    <w:rsid w:val="00390943"/>
    <w:rsid w:val="00390A09"/>
    <w:rsid w:val="00390A37"/>
    <w:rsid w:val="00390A6B"/>
    <w:rsid w:val="00390AA0"/>
    <w:rsid w:val="00390AB5"/>
    <w:rsid w:val="00390AF4"/>
    <w:rsid w:val="00390B0F"/>
    <w:rsid w:val="00390B1F"/>
    <w:rsid w:val="00390BF3"/>
    <w:rsid w:val="00390CB0"/>
    <w:rsid w:val="00390D29"/>
    <w:rsid w:val="00390D5A"/>
    <w:rsid w:val="00390D69"/>
    <w:rsid w:val="00390D94"/>
    <w:rsid w:val="00390E22"/>
    <w:rsid w:val="00390E29"/>
    <w:rsid w:val="00390E79"/>
    <w:rsid w:val="00390E81"/>
    <w:rsid w:val="00390E9F"/>
    <w:rsid w:val="00390EC5"/>
    <w:rsid w:val="00390F50"/>
    <w:rsid w:val="00390F62"/>
    <w:rsid w:val="00391018"/>
    <w:rsid w:val="0039105E"/>
    <w:rsid w:val="00391067"/>
    <w:rsid w:val="003914AA"/>
    <w:rsid w:val="00391528"/>
    <w:rsid w:val="00391553"/>
    <w:rsid w:val="00391575"/>
    <w:rsid w:val="00391607"/>
    <w:rsid w:val="0039165A"/>
    <w:rsid w:val="00391665"/>
    <w:rsid w:val="0039176B"/>
    <w:rsid w:val="003917B7"/>
    <w:rsid w:val="003917B9"/>
    <w:rsid w:val="0039182B"/>
    <w:rsid w:val="003918FF"/>
    <w:rsid w:val="00391A4D"/>
    <w:rsid w:val="00391A62"/>
    <w:rsid w:val="00391A92"/>
    <w:rsid w:val="00391AFF"/>
    <w:rsid w:val="00391B28"/>
    <w:rsid w:val="00391BB8"/>
    <w:rsid w:val="00391C86"/>
    <w:rsid w:val="00391EC0"/>
    <w:rsid w:val="00391F2F"/>
    <w:rsid w:val="00391F5C"/>
    <w:rsid w:val="0039200B"/>
    <w:rsid w:val="0039205B"/>
    <w:rsid w:val="00392070"/>
    <w:rsid w:val="003920B4"/>
    <w:rsid w:val="0039219A"/>
    <w:rsid w:val="003921D0"/>
    <w:rsid w:val="00392213"/>
    <w:rsid w:val="00392298"/>
    <w:rsid w:val="00392349"/>
    <w:rsid w:val="0039238F"/>
    <w:rsid w:val="0039242B"/>
    <w:rsid w:val="0039250F"/>
    <w:rsid w:val="00392610"/>
    <w:rsid w:val="00392666"/>
    <w:rsid w:val="003926BE"/>
    <w:rsid w:val="0039282A"/>
    <w:rsid w:val="003928A8"/>
    <w:rsid w:val="00392A29"/>
    <w:rsid w:val="00392A6F"/>
    <w:rsid w:val="00392A80"/>
    <w:rsid w:val="00392AF9"/>
    <w:rsid w:val="00392B3D"/>
    <w:rsid w:val="00392BA1"/>
    <w:rsid w:val="00392C1C"/>
    <w:rsid w:val="00392C6C"/>
    <w:rsid w:val="00392CD3"/>
    <w:rsid w:val="00392DB6"/>
    <w:rsid w:val="00392E02"/>
    <w:rsid w:val="00392E15"/>
    <w:rsid w:val="00392F17"/>
    <w:rsid w:val="00392FB7"/>
    <w:rsid w:val="00393064"/>
    <w:rsid w:val="00393155"/>
    <w:rsid w:val="003932B5"/>
    <w:rsid w:val="00393352"/>
    <w:rsid w:val="0039339E"/>
    <w:rsid w:val="00393590"/>
    <w:rsid w:val="003936A8"/>
    <w:rsid w:val="00393705"/>
    <w:rsid w:val="00393770"/>
    <w:rsid w:val="00393826"/>
    <w:rsid w:val="00393831"/>
    <w:rsid w:val="003939EC"/>
    <w:rsid w:val="00393B0C"/>
    <w:rsid w:val="00393C01"/>
    <w:rsid w:val="00393C74"/>
    <w:rsid w:val="00393D2B"/>
    <w:rsid w:val="00393DB1"/>
    <w:rsid w:val="00393E7E"/>
    <w:rsid w:val="00393EE1"/>
    <w:rsid w:val="00393F5A"/>
    <w:rsid w:val="00393F5B"/>
    <w:rsid w:val="00393F9F"/>
    <w:rsid w:val="00393FA5"/>
    <w:rsid w:val="0039401E"/>
    <w:rsid w:val="003941C2"/>
    <w:rsid w:val="0039427A"/>
    <w:rsid w:val="00394324"/>
    <w:rsid w:val="00394355"/>
    <w:rsid w:val="00394393"/>
    <w:rsid w:val="00394476"/>
    <w:rsid w:val="00394560"/>
    <w:rsid w:val="003945D6"/>
    <w:rsid w:val="003945F5"/>
    <w:rsid w:val="0039463A"/>
    <w:rsid w:val="0039468C"/>
    <w:rsid w:val="0039482D"/>
    <w:rsid w:val="0039491C"/>
    <w:rsid w:val="0039498D"/>
    <w:rsid w:val="003949CC"/>
    <w:rsid w:val="00394BA7"/>
    <w:rsid w:val="00394BC2"/>
    <w:rsid w:val="00394BC3"/>
    <w:rsid w:val="00394C35"/>
    <w:rsid w:val="00394D15"/>
    <w:rsid w:val="00394D9B"/>
    <w:rsid w:val="00394F28"/>
    <w:rsid w:val="00394F90"/>
    <w:rsid w:val="00394F94"/>
    <w:rsid w:val="00394FAE"/>
    <w:rsid w:val="0039503E"/>
    <w:rsid w:val="00395134"/>
    <w:rsid w:val="0039517D"/>
    <w:rsid w:val="003951FB"/>
    <w:rsid w:val="00395249"/>
    <w:rsid w:val="003952BF"/>
    <w:rsid w:val="0039537F"/>
    <w:rsid w:val="0039538B"/>
    <w:rsid w:val="00395392"/>
    <w:rsid w:val="0039542D"/>
    <w:rsid w:val="003954BA"/>
    <w:rsid w:val="0039560D"/>
    <w:rsid w:val="0039562B"/>
    <w:rsid w:val="00395646"/>
    <w:rsid w:val="003956A8"/>
    <w:rsid w:val="003956F8"/>
    <w:rsid w:val="00395726"/>
    <w:rsid w:val="00395824"/>
    <w:rsid w:val="00395904"/>
    <w:rsid w:val="0039596D"/>
    <w:rsid w:val="003959D4"/>
    <w:rsid w:val="00395B08"/>
    <w:rsid w:val="00395B78"/>
    <w:rsid w:val="00395BBA"/>
    <w:rsid w:val="00395BD0"/>
    <w:rsid w:val="00395C21"/>
    <w:rsid w:val="00395C8C"/>
    <w:rsid w:val="00395CC7"/>
    <w:rsid w:val="00395CE3"/>
    <w:rsid w:val="00395CF2"/>
    <w:rsid w:val="00395DEA"/>
    <w:rsid w:val="00395E0F"/>
    <w:rsid w:val="00395F67"/>
    <w:rsid w:val="00396054"/>
    <w:rsid w:val="003960B5"/>
    <w:rsid w:val="003960F5"/>
    <w:rsid w:val="0039614A"/>
    <w:rsid w:val="00396223"/>
    <w:rsid w:val="00396293"/>
    <w:rsid w:val="00396303"/>
    <w:rsid w:val="00396361"/>
    <w:rsid w:val="003963BB"/>
    <w:rsid w:val="003963C9"/>
    <w:rsid w:val="00396438"/>
    <w:rsid w:val="003964E6"/>
    <w:rsid w:val="00396517"/>
    <w:rsid w:val="003966B0"/>
    <w:rsid w:val="003966F5"/>
    <w:rsid w:val="00396777"/>
    <w:rsid w:val="0039695C"/>
    <w:rsid w:val="003969BF"/>
    <w:rsid w:val="003969C9"/>
    <w:rsid w:val="00396B65"/>
    <w:rsid w:val="00396E2E"/>
    <w:rsid w:val="00396EAD"/>
    <w:rsid w:val="00396EE4"/>
    <w:rsid w:val="00396FA1"/>
    <w:rsid w:val="00396FF0"/>
    <w:rsid w:val="003972ED"/>
    <w:rsid w:val="00397433"/>
    <w:rsid w:val="00397467"/>
    <w:rsid w:val="00397508"/>
    <w:rsid w:val="00397576"/>
    <w:rsid w:val="003975CB"/>
    <w:rsid w:val="003975D5"/>
    <w:rsid w:val="00397786"/>
    <w:rsid w:val="00397946"/>
    <w:rsid w:val="00397A22"/>
    <w:rsid w:val="00397A70"/>
    <w:rsid w:val="00397B04"/>
    <w:rsid w:val="00397B2E"/>
    <w:rsid w:val="00397C4A"/>
    <w:rsid w:val="00397CDF"/>
    <w:rsid w:val="00397D6E"/>
    <w:rsid w:val="00397D96"/>
    <w:rsid w:val="00397DC4"/>
    <w:rsid w:val="00397E2C"/>
    <w:rsid w:val="00397E55"/>
    <w:rsid w:val="00397F51"/>
    <w:rsid w:val="00397FE8"/>
    <w:rsid w:val="00398CA6"/>
    <w:rsid w:val="003A0096"/>
    <w:rsid w:val="003A00FF"/>
    <w:rsid w:val="003A030A"/>
    <w:rsid w:val="003A031C"/>
    <w:rsid w:val="003A03AA"/>
    <w:rsid w:val="003A0428"/>
    <w:rsid w:val="003A0476"/>
    <w:rsid w:val="003A04AB"/>
    <w:rsid w:val="003A0532"/>
    <w:rsid w:val="003A05C5"/>
    <w:rsid w:val="003A06BA"/>
    <w:rsid w:val="003A086E"/>
    <w:rsid w:val="003A08B0"/>
    <w:rsid w:val="003A09E7"/>
    <w:rsid w:val="003A0A0B"/>
    <w:rsid w:val="003A0A25"/>
    <w:rsid w:val="003A0A93"/>
    <w:rsid w:val="003A0A9B"/>
    <w:rsid w:val="003A0AE1"/>
    <w:rsid w:val="003A0B18"/>
    <w:rsid w:val="003A0B3E"/>
    <w:rsid w:val="003A0B62"/>
    <w:rsid w:val="003A0D05"/>
    <w:rsid w:val="003A0D89"/>
    <w:rsid w:val="003A0E63"/>
    <w:rsid w:val="003A0E7B"/>
    <w:rsid w:val="003A1079"/>
    <w:rsid w:val="003A114B"/>
    <w:rsid w:val="003A11F0"/>
    <w:rsid w:val="003A1341"/>
    <w:rsid w:val="003A1360"/>
    <w:rsid w:val="003A13E7"/>
    <w:rsid w:val="003A13F6"/>
    <w:rsid w:val="003A13F8"/>
    <w:rsid w:val="003A145D"/>
    <w:rsid w:val="003A14EA"/>
    <w:rsid w:val="003A16EE"/>
    <w:rsid w:val="003A171E"/>
    <w:rsid w:val="003A17BA"/>
    <w:rsid w:val="003A17BB"/>
    <w:rsid w:val="003A1802"/>
    <w:rsid w:val="003A181D"/>
    <w:rsid w:val="003A18CB"/>
    <w:rsid w:val="003A1985"/>
    <w:rsid w:val="003A19D0"/>
    <w:rsid w:val="003A1B55"/>
    <w:rsid w:val="003A1BA9"/>
    <w:rsid w:val="003A1C8C"/>
    <w:rsid w:val="003A1C8D"/>
    <w:rsid w:val="003A1CF7"/>
    <w:rsid w:val="003A1DBA"/>
    <w:rsid w:val="003A1E17"/>
    <w:rsid w:val="003A1EA2"/>
    <w:rsid w:val="003A1EEF"/>
    <w:rsid w:val="003A1F97"/>
    <w:rsid w:val="003A205E"/>
    <w:rsid w:val="003A20C9"/>
    <w:rsid w:val="003A2101"/>
    <w:rsid w:val="003A212E"/>
    <w:rsid w:val="003A21A6"/>
    <w:rsid w:val="003A2207"/>
    <w:rsid w:val="003A220D"/>
    <w:rsid w:val="003A2296"/>
    <w:rsid w:val="003A239A"/>
    <w:rsid w:val="003A23F5"/>
    <w:rsid w:val="003A2472"/>
    <w:rsid w:val="003A2477"/>
    <w:rsid w:val="003A2484"/>
    <w:rsid w:val="003A2691"/>
    <w:rsid w:val="003A276B"/>
    <w:rsid w:val="003A2781"/>
    <w:rsid w:val="003A285D"/>
    <w:rsid w:val="003A2970"/>
    <w:rsid w:val="003A299F"/>
    <w:rsid w:val="003A29D8"/>
    <w:rsid w:val="003A29EB"/>
    <w:rsid w:val="003A2A07"/>
    <w:rsid w:val="003A2C0F"/>
    <w:rsid w:val="003A2CF7"/>
    <w:rsid w:val="003A2D7F"/>
    <w:rsid w:val="003A2E4E"/>
    <w:rsid w:val="003A2E64"/>
    <w:rsid w:val="003A3080"/>
    <w:rsid w:val="003A311A"/>
    <w:rsid w:val="003A316E"/>
    <w:rsid w:val="003A335B"/>
    <w:rsid w:val="003A3394"/>
    <w:rsid w:val="003A3417"/>
    <w:rsid w:val="003A3595"/>
    <w:rsid w:val="003A3636"/>
    <w:rsid w:val="003A363F"/>
    <w:rsid w:val="003A36AF"/>
    <w:rsid w:val="003A36B5"/>
    <w:rsid w:val="003A36E4"/>
    <w:rsid w:val="003A3763"/>
    <w:rsid w:val="003A3884"/>
    <w:rsid w:val="003A3957"/>
    <w:rsid w:val="003A3A49"/>
    <w:rsid w:val="003A3AE7"/>
    <w:rsid w:val="003A3B59"/>
    <w:rsid w:val="003A3CD1"/>
    <w:rsid w:val="003A3CF8"/>
    <w:rsid w:val="003A3D1C"/>
    <w:rsid w:val="003A3D47"/>
    <w:rsid w:val="003A3D8B"/>
    <w:rsid w:val="003A3D9D"/>
    <w:rsid w:val="003A3DAA"/>
    <w:rsid w:val="003A3EEE"/>
    <w:rsid w:val="003A3FB6"/>
    <w:rsid w:val="003A41C1"/>
    <w:rsid w:val="003A41E3"/>
    <w:rsid w:val="003A4393"/>
    <w:rsid w:val="003A4432"/>
    <w:rsid w:val="003A444A"/>
    <w:rsid w:val="003A4466"/>
    <w:rsid w:val="003A4497"/>
    <w:rsid w:val="003A44D6"/>
    <w:rsid w:val="003A44EC"/>
    <w:rsid w:val="003A44FE"/>
    <w:rsid w:val="003A450D"/>
    <w:rsid w:val="003A45A7"/>
    <w:rsid w:val="003A45D2"/>
    <w:rsid w:val="003A46D8"/>
    <w:rsid w:val="003A4743"/>
    <w:rsid w:val="003A48C6"/>
    <w:rsid w:val="003A48EB"/>
    <w:rsid w:val="003A499C"/>
    <w:rsid w:val="003A4A74"/>
    <w:rsid w:val="003A4B26"/>
    <w:rsid w:val="003A4B4A"/>
    <w:rsid w:val="003A4BB5"/>
    <w:rsid w:val="003A4C0B"/>
    <w:rsid w:val="003A4D71"/>
    <w:rsid w:val="003A4DE6"/>
    <w:rsid w:val="003A4F51"/>
    <w:rsid w:val="003A51F6"/>
    <w:rsid w:val="003A52B2"/>
    <w:rsid w:val="003A53D3"/>
    <w:rsid w:val="003A5508"/>
    <w:rsid w:val="003A5575"/>
    <w:rsid w:val="003A5638"/>
    <w:rsid w:val="003A568E"/>
    <w:rsid w:val="003A56F8"/>
    <w:rsid w:val="003A57BE"/>
    <w:rsid w:val="003A583E"/>
    <w:rsid w:val="003A5A53"/>
    <w:rsid w:val="003A5B65"/>
    <w:rsid w:val="003A5B6C"/>
    <w:rsid w:val="003A5C2E"/>
    <w:rsid w:val="003A5CDE"/>
    <w:rsid w:val="003A5DF6"/>
    <w:rsid w:val="003A5EC0"/>
    <w:rsid w:val="003A5F89"/>
    <w:rsid w:val="003A614B"/>
    <w:rsid w:val="003A61C8"/>
    <w:rsid w:val="003A6212"/>
    <w:rsid w:val="003A6285"/>
    <w:rsid w:val="003A6286"/>
    <w:rsid w:val="003A62DF"/>
    <w:rsid w:val="003A630E"/>
    <w:rsid w:val="003A6377"/>
    <w:rsid w:val="003A63C6"/>
    <w:rsid w:val="003A645D"/>
    <w:rsid w:val="003A6486"/>
    <w:rsid w:val="003A64D1"/>
    <w:rsid w:val="003A6552"/>
    <w:rsid w:val="003A657E"/>
    <w:rsid w:val="003A66A0"/>
    <w:rsid w:val="003A677D"/>
    <w:rsid w:val="003A6805"/>
    <w:rsid w:val="003A68FA"/>
    <w:rsid w:val="003A6921"/>
    <w:rsid w:val="003A692D"/>
    <w:rsid w:val="003A6AB6"/>
    <w:rsid w:val="003A6B85"/>
    <w:rsid w:val="003A6DE4"/>
    <w:rsid w:val="003A6ED7"/>
    <w:rsid w:val="003A6F4D"/>
    <w:rsid w:val="003A703A"/>
    <w:rsid w:val="003A705E"/>
    <w:rsid w:val="003A71B7"/>
    <w:rsid w:val="003A7222"/>
    <w:rsid w:val="003A73BA"/>
    <w:rsid w:val="003A7506"/>
    <w:rsid w:val="003A760F"/>
    <w:rsid w:val="003A7856"/>
    <w:rsid w:val="003A786B"/>
    <w:rsid w:val="003A78AC"/>
    <w:rsid w:val="003A7964"/>
    <w:rsid w:val="003A7A38"/>
    <w:rsid w:val="003A7AD9"/>
    <w:rsid w:val="003A7AF7"/>
    <w:rsid w:val="003A7B8B"/>
    <w:rsid w:val="003A7C2A"/>
    <w:rsid w:val="003A7CD3"/>
    <w:rsid w:val="003A7CD4"/>
    <w:rsid w:val="003A7CF1"/>
    <w:rsid w:val="003A7E24"/>
    <w:rsid w:val="003A7E59"/>
    <w:rsid w:val="003A7E99"/>
    <w:rsid w:val="003A7ECF"/>
    <w:rsid w:val="003A7FE9"/>
    <w:rsid w:val="003B0038"/>
    <w:rsid w:val="003B01A3"/>
    <w:rsid w:val="003B01D8"/>
    <w:rsid w:val="003B0282"/>
    <w:rsid w:val="003B02DE"/>
    <w:rsid w:val="003B035B"/>
    <w:rsid w:val="003B044E"/>
    <w:rsid w:val="003B0499"/>
    <w:rsid w:val="003B04E2"/>
    <w:rsid w:val="003B0506"/>
    <w:rsid w:val="003B05AF"/>
    <w:rsid w:val="003B05E5"/>
    <w:rsid w:val="003B0621"/>
    <w:rsid w:val="003B066B"/>
    <w:rsid w:val="003B07BB"/>
    <w:rsid w:val="003B0821"/>
    <w:rsid w:val="003B088F"/>
    <w:rsid w:val="003B0946"/>
    <w:rsid w:val="003B097A"/>
    <w:rsid w:val="003B0988"/>
    <w:rsid w:val="003B09FA"/>
    <w:rsid w:val="003B0A82"/>
    <w:rsid w:val="003B0AD4"/>
    <w:rsid w:val="003B0D15"/>
    <w:rsid w:val="003B0D7C"/>
    <w:rsid w:val="003B0F80"/>
    <w:rsid w:val="003B0FDD"/>
    <w:rsid w:val="003B1194"/>
    <w:rsid w:val="003B1353"/>
    <w:rsid w:val="003B137F"/>
    <w:rsid w:val="003B1403"/>
    <w:rsid w:val="003B1447"/>
    <w:rsid w:val="003B146F"/>
    <w:rsid w:val="003B14BA"/>
    <w:rsid w:val="003B178A"/>
    <w:rsid w:val="003B1840"/>
    <w:rsid w:val="003B18EE"/>
    <w:rsid w:val="003B1A2B"/>
    <w:rsid w:val="003B1C50"/>
    <w:rsid w:val="003B1C6D"/>
    <w:rsid w:val="003B1D0C"/>
    <w:rsid w:val="003B1D97"/>
    <w:rsid w:val="003B1E0B"/>
    <w:rsid w:val="003B1EC2"/>
    <w:rsid w:val="003B1EC3"/>
    <w:rsid w:val="003B1F39"/>
    <w:rsid w:val="003B2057"/>
    <w:rsid w:val="003B2095"/>
    <w:rsid w:val="003B20E1"/>
    <w:rsid w:val="003B2111"/>
    <w:rsid w:val="003B2158"/>
    <w:rsid w:val="003B2167"/>
    <w:rsid w:val="003B2191"/>
    <w:rsid w:val="003B21B9"/>
    <w:rsid w:val="003B2260"/>
    <w:rsid w:val="003B22CC"/>
    <w:rsid w:val="003B23EC"/>
    <w:rsid w:val="003B245D"/>
    <w:rsid w:val="003B254C"/>
    <w:rsid w:val="003B257D"/>
    <w:rsid w:val="003B2580"/>
    <w:rsid w:val="003B25FE"/>
    <w:rsid w:val="003B2652"/>
    <w:rsid w:val="003B274B"/>
    <w:rsid w:val="003B2796"/>
    <w:rsid w:val="003B2830"/>
    <w:rsid w:val="003B2875"/>
    <w:rsid w:val="003B2993"/>
    <w:rsid w:val="003B29A2"/>
    <w:rsid w:val="003B29BB"/>
    <w:rsid w:val="003B29BE"/>
    <w:rsid w:val="003B2AC1"/>
    <w:rsid w:val="003B2AEC"/>
    <w:rsid w:val="003B2B0C"/>
    <w:rsid w:val="003B2B7C"/>
    <w:rsid w:val="003B2C7D"/>
    <w:rsid w:val="003B2CB9"/>
    <w:rsid w:val="003B2EC3"/>
    <w:rsid w:val="003B2ED2"/>
    <w:rsid w:val="003B2EE6"/>
    <w:rsid w:val="003B2F03"/>
    <w:rsid w:val="003B3182"/>
    <w:rsid w:val="003B31A0"/>
    <w:rsid w:val="003B31A4"/>
    <w:rsid w:val="003B31C3"/>
    <w:rsid w:val="003B32AC"/>
    <w:rsid w:val="003B330D"/>
    <w:rsid w:val="003B332E"/>
    <w:rsid w:val="003B33DC"/>
    <w:rsid w:val="003B33F3"/>
    <w:rsid w:val="003B345E"/>
    <w:rsid w:val="003B34DB"/>
    <w:rsid w:val="003B350B"/>
    <w:rsid w:val="003B3637"/>
    <w:rsid w:val="003B3645"/>
    <w:rsid w:val="003B3659"/>
    <w:rsid w:val="003B37A4"/>
    <w:rsid w:val="003B3816"/>
    <w:rsid w:val="003B3848"/>
    <w:rsid w:val="003B38B6"/>
    <w:rsid w:val="003B3916"/>
    <w:rsid w:val="003B3988"/>
    <w:rsid w:val="003B3A5D"/>
    <w:rsid w:val="003B3B7E"/>
    <w:rsid w:val="003B3B9D"/>
    <w:rsid w:val="003B3CDC"/>
    <w:rsid w:val="003B3CE0"/>
    <w:rsid w:val="003B3D00"/>
    <w:rsid w:val="003B3D72"/>
    <w:rsid w:val="003B3D98"/>
    <w:rsid w:val="003B3DB0"/>
    <w:rsid w:val="003B3DCE"/>
    <w:rsid w:val="003B3DEB"/>
    <w:rsid w:val="003B3F29"/>
    <w:rsid w:val="003B3FC3"/>
    <w:rsid w:val="003B3FEF"/>
    <w:rsid w:val="003B40E0"/>
    <w:rsid w:val="003B4228"/>
    <w:rsid w:val="003B42FA"/>
    <w:rsid w:val="003B432E"/>
    <w:rsid w:val="003B43B0"/>
    <w:rsid w:val="003B451D"/>
    <w:rsid w:val="003B456F"/>
    <w:rsid w:val="003B45B8"/>
    <w:rsid w:val="003B45F5"/>
    <w:rsid w:val="003B4613"/>
    <w:rsid w:val="003B4699"/>
    <w:rsid w:val="003B46D4"/>
    <w:rsid w:val="003B46D8"/>
    <w:rsid w:val="003B46EE"/>
    <w:rsid w:val="003B46FB"/>
    <w:rsid w:val="003B4787"/>
    <w:rsid w:val="003B47A1"/>
    <w:rsid w:val="003B4878"/>
    <w:rsid w:val="003B48A5"/>
    <w:rsid w:val="003B48CC"/>
    <w:rsid w:val="003B4985"/>
    <w:rsid w:val="003B4B6A"/>
    <w:rsid w:val="003B4BD2"/>
    <w:rsid w:val="003B4C4D"/>
    <w:rsid w:val="003B4C64"/>
    <w:rsid w:val="003B4CED"/>
    <w:rsid w:val="003B4F1C"/>
    <w:rsid w:val="003B501D"/>
    <w:rsid w:val="003B502F"/>
    <w:rsid w:val="003B50AD"/>
    <w:rsid w:val="003B5148"/>
    <w:rsid w:val="003B5193"/>
    <w:rsid w:val="003B51F4"/>
    <w:rsid w:val="003B52BC"/>
    <w:rsid w:val="003B5340"/>
    <w:rsid w:val="003B5358"/>
    <w:rsid w:val="003B5383"/>
    <w:rsid w:val="003B54D8"/>
    <w:rsid w:val="003B5563"/>
    <w:rsid w:val="003B556C"/>
    <w:rsid w:val="003B5630"/>
    <w:rsid w:val="003B565F"/>
    <w:rsid w:val="003B566E"/>
    <w:rsid w:val="003B567B"/>
    <w:rsid w:val="003B5688"/>
    <w:rsid w:val="003B56EC"/>
    <w:rsid w:val="003B5800"/>
    <w:rsid w:val="003B5854"/>
    <w:rsid w:val="003B5873"/>
    <w:rsid w:val="003B59E4"/>
    <w:rsid w:val="003B5AA6"/>
    <w:rsid w:val="003B5B43"/>
    <w:rsid w:val="003B5BF4"/>
    <w:rsid w:val="003B5C09"/>
    <w:rsid w:val="003B5C59"/>
    <w:rsid w:val="003B5D27"/>
    <w:rsid w:val="003B5D98"/>
    <w:rsid w:val="003B5DEB"/>
    <w:rsid w:val="003B5E15"/>
    <w:rsid w:val="003B5ED3"/>
    <w:rsid w:val="003B6031"/>
    <w:rsid w:val="003B6036"/>
    <w:rsid w:val="003B61F7"/>
    <w:rsid w:val="003B6202"/>
    <w:rsid w:val="003B6216"/>
    <w:rsid w:val="003B622B"/>
    <w:rsid w:val="003B628B"/>
    <w:rsid w:val="003B628E"/>
    <w:rsid w:val="003B62A3"/>
    <w:rsid w:val="003B6333"/>
    <w:rsid w:val="003B63C3"/>
    <w:rsid w:val="003B642E"/>
    <w:rsid w:val="003B6437"/>
    <w:rsid w:val="003B6463"/>
    <w:rsid w:val="003B659A"/>
    <w:rsid w:val="003B664A"/>
    <w:rsid w:val="003B66AC"/>
    <w:rsid w:val="003B66D0"/>
    <w:rsid w:val="003B683E"/>
    <w:rsid w:val="003B6856"/>
    <w:rsid w:val="003B688A"/>
    <w:rsid w:val="003B68A0"/>
    <w:rsid w:val="003B68AA"/>
    <w:rsid w:val="003B6A2A"/>
    <w:rsid w:val="003B6B1C"/>
    <w:rsid w:val="003B6B50"/>
    <w:rsid w:val="003B6B9E"/>
    <w:rsid w:val="003B6BA1"/>
    <w:rsid w:val="003B6CA0"/>
    <w:rsid w:val="003B6DD7"/>
    <w:rsid w:val="003B6E6C"/>
    <w:rsid w:val="003B6EB1"/>
    <w:rsid w:val="003B7001"/>
    <w:rsid w:val="003B7007"/>
    <w:rsid w:val="003B714F"/>
    <w:rsid w:val="003B738F"/>
    <w:rsid w:val="003B73CE"/>
    <w:rsid w:val="003B76D4"/>
    <w:rsid w:val="003B7843"/>
    <w:rsid w:val="003B7989"/>
    <w:rsid w:val="003B7A4A"/>
    <w:rsid w:val="003B7A83"/>
    <w:rsid w:val="003B7B64"/>
    <w:rsid w:val="003B7BC6"/>
    <w:rsid w:val="003B7C13"/>
    <w:rsid w:val="003B7CA2"/>
    <w:rsid w:val="003B7CBC"/>
    <w:rsid w:val="003B7ED6"/>
    <w:rsid w:val="003C0046"/>
    <w:rsid w:val="003C00E6"/>
    <w:rsid w:val="003C01C7"/>
    <w:rsid w:val="003C0240"/>
    <w:rsid w:val="003C0269"/>
    <w:rsid w:val="003C0271"/>
    <w:rsid w:val="003C03E7"/>
    <w:rsid w:val="003C05D8"/>
    <w:rsid w:val="003C069C"/>
    <w:rsid w:val="003C077E"/>
    <w:rsid w:val="003C08E9"/>
    <w:rsid w:val="003C090E"/>
    <w:rsid w:val="003C0A85"/>
    <w:rsid w:val="003C0B1A"/>
    <w:rsid w:val="003C0C74"/>
    <w:rsid w:val="003C0C9C"/>
    <w:rsid w:val="003C0CE9"/>
    <w:rsid w:val="003C0CEC"/>
    <w:rsid w:val="003C0D7E"/>
    <w:rsid w:val="003C1004"/>
    <w:rsid w:val="003C102D"/>
    <w:rsid w:val="003C1137"/>
    <w:rsid w:val="003C1175"/>
    <w:rsid w:val="003C11AB"/>
    <w:rsid w:val="003C12AB"/>
    <w:rsid w:val="003C132B"/>
    <w:rsid w:val="003C1330"/>
    <w:rsid w:val="003C1340"/>
    <w:rsid w:val="003C1366"/>
    <w:rsid w:val="003C13EE"/>
    <w:rsid w:val="003C15DC"/>
    <w:rsid w:val="003C15F4"/>
    <w:rsid w:val="003C170C"/>
    <w:rsid w:val="003C185C"/>
    <w:rsid w:val="003C1878"/>
    <w:rsid w:val="003C1AD4"/>
    <w:rsid w:val="003C1BB5"/>
    <w:rsid w:val="003C1BE4"/>
    <w:rsid w:val="003C1C28"/>
    <w:rsid w:val="003C1DB5"/>
    <w:rsid w:val="003C1E07"/>
    <w:rsid w:val="003C1ECC"/>
    <w:rsid w:val="003C1EDF"/>
    <w:rsid w:val="003C2018"/>
    <w:rsid w:val="003C2142"/>
    <w:rsid w:val="003C2145"/>
    <w:rsid w:val="003C2240"/>
    <w:rsid w:val="003C22D9"/>
    <w:rsid w:val="003C238B"/>
    <w:rsid w:val="003C2407"/>
    <w:rsid w:val="003C25B3"/>
    <w:rsid w:val="003C25F0"/>
    <w:rsid w:val="003C2679"/>
    <w:rsid w:val="003C26B0"/>
    <w:rsid w:val="003C28EB"/>
    <w:rsid w:val="003C2A27"/>
    <w:rsid w:val="003C2A75"/>
    <w:rsid w:val="003C2A9A"/>
    <w:rsid w:val="003C2AD8"/>
    <w:rsid w:val="003C2B15"/>
    <w:rsid w:val="003C2BAA"/>
    <w:rsid w:val="003C2BF4"/>
    <w:rsid w:val="003C2C1E"/>
    <w:rsid w:val="003C2D02"/>
    <w:rsid w:val="003C2D4D"/>
    <w:rsid w:val="003C2DC6"/>
    <w:rsid w:val="003C2EC7"/>
    <w:rsid w:val="003C2F35"/>
    <w:rsid w:val="003C2FE8"/>
    <w:rsid w:val="003C305C"/>
    <w:rsid w:val="003C3098"/>
    <w:rsid w:val="003C31B4"/>
    <w:rsid w:val="003C321E"/>
    <w:rsid w:val="003C32DB"/>
    <w:rsid w:val="003C330E"/>
    <w:rsid w:val="003C335C"/>
    <w:rsid w:val="003C35B9"/>
    <w:rsid w:val="003C36A4"/>
    <w:rsid w:val="003C370F"/>
    <w:rsid w:val="003C3834"/>
    <w:rsid w:val="003C384B"/>
    <w:rsid w:val="003C385B"/>
    <w:rsid w:val="003C3943"/>
    <w:rsid w:val="003C39B8"/>
    <w:rsid w:val="003C3A91"/>
    <w:rsid w:val="003C3B1B"/>
    <w:rsid w:val="003C3B2A"/>
    <w:rsid w:val="003C3C20"/>
    <w:rsid w:val="003C3C9A"/>
    <w:rsid w:val="003C3DDA"/>
    <w:rsid w:val="003C3E00"/>
    <w:rsid w:val="003C3EEB"/>
    <w:rsid w:val="003C3F97"/>
    <w:rsid w:val="003C3FBE"/>
    <w:rsid w:val="003C4042"/>
    <w:rsid w:val="003C404A"/>
    <w:rsid w:val="003C405E"/>
    <w:rsid w:val="003C40CC"/>
    <w:rsid w:val="003C4333"/>
    <w:rsid w:val="003C4387"/>
    <w:rsid w:val="003C43B6"/>
    <w:rsid w:val="003C43CB"/>
    <w:rsid w:val="003C4478"/>
    <w:rsid w:val="003C44A5"/>
    <w:rsid w:val="003C4523"/>
    <w:rsid w:val="003C4668"/>
    <w:rsid w:val="003C46BC"/>
    <w:rsid w:val="003C46F7"/>
    <w:rsid w:val="003C479C"/>
    <w:rsid w:val="003C47EF"/>
    <w:rsid w:val="003C4878"/>
    <w:rsid w:val="003C4949"/>
    <w:rsid w:val="003C4A04"/>
    <w:rsid w:val="003C4A26"/>
    <w:rsid w:val="003C4B01"/>
    <w:rsid w:val="003C4B03"/>
    <w:rsid w:val="003C4B7D"/>
    <w:rsid w:val="003C4B85"/>
    <w:rsid w:val="003C4C16"/>
    <w:rsid w:val="003C4C51"/>
    <w:rsid w:val="003C4DAF"/>
    <w:rsid w:val="003C4DEF"/>
    <w:rsid w:val="003C4E5A"/>
    <w:rsid w:val="003C4E6D"/>
    <w:rsid w:val="003C4EB7"/>
    <w:rsid w:val="003C4ECD"/>
    <w:rsid w:val="003C4ED5"/>
    <w:rsid w:val="003C5016"/>
    <w:rsid w:val="003C5102"/>
    <w:rsid w:val="003C51B1"/>
    <w:rsid w:val="003C540D"/>
    <w:rsid w:val="003C54D2"/>
    <w:rsid w:val="003C554A"/>
    <w:rsid w:val="003C5573"/>
    <w:rsid w:val="003C5678"/>
    <w:rsid w:val="003C57E8"/>
    <w:rsid w:val="003C5896"/>
    <w:rsid w:val="003C58C3"/>
    <w:rsid w:val="003C596D"/>
    <w:rsid w:val="003C59B8"/>
    <w:rsid w:val="003C5AA0"/>
    <w:rsid w:val="003C5B10"/>
    <w:rsid w:val="003C5B22"/>
    <w:rsid w:val="003C5B2F"/>
    <w:rsid w:val="003C5C65"/>
    <w:rsid w:val="003C5CE3"/>
    <w:rsid w:val="003C5D51"/>
    <w:rsid w:val="003C5DEA"/>
    <w:rsid w:val="003C5E12"/>
    <w:rsid w:val="003C5F60"/>
    <w:rsid w:val="003C5F8D"/>
    <w:rsid w:val="003C5FAF"/>
    <w:rsid w:val="003C6022"/>
    <w:rsid w:val="003C6072"/>
    <w:rsid w:val="003C62CB"/>
    <w:rsid w:val="003C62DB"/>
    <w:rsid w:val="003C632F"/>
    <w:rsid w:val="003C635E"/>
    <w:rsid w:val="003C63D2"/>
    <w:rsid w:val="003C643B"/>
    <w:rsid w:val="003C646C"/>
    <w:rsid w:val="003C64F7"/>
    <w:rsid w:val="003C65E9"/>
    <w:rsid w:val="003C668A"/>
    <w:rsid w:val="003C66E4"/>
    <w:rsid w:val="003C671A"/>
    <w:rsid w:val="003C6739"/>
    <w:rsid w:val="003C675B"/>
    <w:rsid w:val="003C6867"/>
    <w:rsid w:val="003C6987"/>
    <w:rsid w:val="003C6A29"/>
    <w:rsid w:val="003C6AB0"/>
    <w:rsid w:val="003C6C9B"/>
    <w:rsid w:val="003C6CAC"/>
    <w:rsid w:val="003C6DB5"/>
    <w:rsid w:val="003C6EB8"/>
    <w:rsid w:val="003C7017"/>
    <w:rsid w:val="003C72E9"/>
    <w:rsid w:val="003C7424"/>
    <w:rsid w:val="003C743E"/>
    <w:rsid w:val="003C744F"/>
    <w:rsid w:val="003C74B1"/>
    <w:rsid w:val="003C74F7"/>
    <w:rsid w:val="003C751A"/>
    <w:rsid w:val="003C757B"/>
    <w:rsid w:val="003C7600"/>
    <w:rsid w:val="003C76DD"/>
    <w:rsid w:val="003C786D"/>
    <w:rsid w:val="003C7887"/>
    <w:rsid w:val="003C791E"/>
    <w:rsid w:val="003C7A2B"/>
    <w:rsid w:val="003C7B08"/>
    <w:rsid w:val="003C7B71"/>
    <w:rsid w:val="003C7BAF"/>
    <w:rsid w:val="003C7BC6"/>
    <w:rsid w:val="003C7C8F"/>
    <w:rsid w:val="003C7CCE"/>
    <w:rsid w:val="003C7D88"/>
    <w:rsid w:val="003C7E6A"/>
    <w:rsid w:val="003C7EAD"/>
    <w:rsid w:val="003D0094"/>
    <w:rsid w:val="003D0168"/>
    <w:rsid w:val="003D0224"/>
    <w:rsid w:val="003D0233"/>
    <w:rsid w:val="003D0422"/>
    <w:rsid w:val="003D0499"/>
    <w:rsid w:val="003D04BE"/>
    <w:rsid w:val="003D0535"/>
    <w:rsid w:val="003D0787"/>
    <w:rsid w:val="003D07E0"/>
    <w:rsid w:val="003D07FD"/>
    <w:rsid w:val="003D083E"/>
    <w:rsid w:val="003D08EC"/>
    <w:rsid w:val="003D09B4"/>
    <w:rsid w:val="003D09F3"/>
    <w:rsid w:val="003D0A1B"/>
    <w:rsid w:val="003D0B76"/>
    <w:rsid w:val="003D0C5A"/>
    <w:rsid w:val="003D0D4F"/>
    <w:rsid w:val="003D0D6F"/>
    <w:rsid w:val="003D0DBC"/>
    <w:rsid w:val="003D0E6E"/>
    <w:rsid w:val="003D0EBB"/>
    <w:rsid w:val="003D0FA3"/>
    <w:rsid w:val="003D1050"/>
    <w:rsid w:val="003D1095"/>
    <w:rsid w:val="003D10F3"/>
    <w:rsid w:val="003D1154"/>
    <w:rsid w:val="003D11C6"/>
    <w:rsid w:val="003D1313"/>
    <w:rsid w:val="003D1348"/>
    <w:rsid w:val="003D14B9"/>
    <w:rsid w:val="003D1542"/>
    <w:rsid w:val="003D15DC"/>
    <w:rsid w:val="003D16BE"/>
    <w:rsid w:val="003D1735"/>
    <w:rsid w:val="003D1823"/>
    <w:rsid w:val="003D18E1"/>
    <w:rsid w:val="003D19AA"/>
    <w:rsid w:val="003D1A13"/>
    <w:rsid w:val="003D1B0B"/>
    <w:rsid w:val="003D1C07"/>
    <w:rsid w:val="003D1CD3"/>
    <w:rsid w:val="003D1CDC"/>
    <w:rsid w:val="003D1D55"/>
    <w:rsid w:val="003D1DCA"/>
    <w:rsid w:val="003D1E2A"/>
    <w:rsid w:val="003D1FE2"/>
    <w:rsid w:val="003D204A"/>
    <w:rsid w:val="003D206D"/>
    <w:rsid w:val="003D2073"/>
    <w:rsid w:val="003D2115"/>
    <w:rsid w:val="003D2176"/>
    <w:rsid w:val="003D21DC"/>
    <w:rsid w:val="003D2367"/>
    <w:rsid w:val="003D23AB"/>
    <w:rsid w:val="003D23CA"/>
    <w:rsid w:val="003D23CD"/>
    <w:rsid w:val="003D23E5"/>
    <w:rsid w:val="003D241D"/>
    <w:rsid w:val="003D2445"/>
    <w:rsid w:val="003D2562"/>
    <w:rsid w:val="003D265C"/>
    <w:rsid w:val="003D2662"/>
    <w:rsid w:val="003D26C2"/>
    <w:rsid w:val="003D274B"/>
    <w:rsid w:val="003D288B"/>
    <w:rsid w:val="003D2ADA"/>
    <w:rsid w:val="003D2B37"/>
    <w:rsid w:val="003D3111"/>
    <w:rsid w:val="003D31CE"/>
    <w:rsid w:val="003D322E"/>
    <w:rsid w:val="003D3285"/>
    <w:rsid w:val="003D3290"/>
    <w:rsid w:val="003D34B6"/>
    <w:rsid w:val="003D357D"/>
    <w:rsid w:val="003D35FF"/>
    <w:rsid w:val="003D3627"/>
    <w:rsid w:val="003D363A"/>
    <w:rsid w:val="003D3681"/>
    <w:rsid w:val="003D36F2"/>
    <w:rsid w:val="003D375A"/>
    <w:rsid w:val="003D398D"/>
    <w:rsid w:val="003D3A04"/>
    <w:rsid w:val="003D3A24"/>
    <w:rsid w:val="003D3B6E"/>
    <w:rsid w:val="003D3C01"/>
    <w:rsid w:val="003D3C26"/>
    <w:rsid w:val="003D3CE8"/>
    <w:rsid w:val="003D3D3C"/>
    <w:rsid w:val="003D3D43"/>
    <w:rsid w:val="003D3D52"/>
    <w:rsid w:val="003D3DB0"/>
    <w:rsid w:val="003D3FAB"/>
    <w:rsid w:val="003D42D5"/>
    <w:rsid w:val="003D42FC"/>
    <w:rsid w:val="003D4310"/>
    <w:rsid w:val="003D431F"/>
    <w:rsid w:val="003D4359"/>
    <w:rsid w:val="003D4404"/>
    <w:rsid w:val="003D4406"/>
    <w:rsid w:val="003D4494"/>
    <w:rsid w:val="003D4508"/>
    <w:rsid w:val="003D4567"/>
    <w:rsid w:val="003D4623"/>
    <w:rsid w:val="003D469F"/>
    <w:rsid w:val="003D479B"/>
    <w:rsid w:val="003D47F5"/>
    <w:rsid w:val="003D486D"/>
    <w:rsid w:val="003D48AC"/>
    <w:rsid w:val="003D499E"/>
    <w:rsid w:val="003D49BF"/>
    <w:rsid w:val="003D4A3C"/>
    <w:rsid w:val="003D4B21"/>
    <w:rsid w:val="003D4B2E"/>
    <w:rsid w:val="003D4B54"/>
    <w:rsid w:val="003D4CFE"/>
    <w:rsid w:val="003D4D07"/>
    <w:rsid w:val="003D4D12"/>
    <w:rsid w:val="003D4DA8"/>
    <w:rsid w:val="003D4EFA"/>
    <w:rsid w:val="003D4F2A"/>
    <w:rsid w:val="003D4F77"/>
    <w:rsid w:val="003D4F7D"/>
    <w:rsid w:val="003D504D"/>
    <w:rsid w:val="003D50C0"/>
    <w:rsid w:val="003D50C3"/>
    <w:rsid w:val="003D51D2"/>
    <w:rsid w:val="003D521D"/>
    <w:rsid w:val="003D5231"/>
    <w:rsid w:val="003D523F"/>
    <w:rsid w:val="003D5260"/>
    <w:rsid w:val="003D5413"/>
    <w:rsid w:val="003D55C1"/>
    <w:rsid w:val="003D55F2"/>
    <w:rsid w:val="003D5787"/>
    <w:rsid w:val="003D57F5"/>
    <w:rsid w:val="003D5859"/>
    <w:rsid w:val="003D586A"/>
    <w:rsid w:val="003D591C"/>
    <w:rsid w:val="003D5943"/>
    <w:rsid w:val="003D5BE6"/>
    <w:rsid w:val="003D5C17"/>
    <w:rsid w:val="003D5CC1"/>
    <w:rsid w:val="003D5E32"/>
    <w:rsid w:val="003D5EC9"/>
    <w:rsid w:val="003D60E0"/>
    <w:rsid w:val="003D6242"/>
    <w:rsid w:val="003D63B9"/>
    <w:rsid w:val="003D6427"/>
    <w:rsid w:val="003D643B"/>
    <w:rsid w:val="003D6474"/>
    <w:rsid w:val="003D6507"/>
    <w:rsid w:val="003D6548"/>
    <w:rsid w:val="003D66A9"/>
    <w:rsid w:val="003D6718"/>
    <w:rsid w:val="003D687D"/>
    <w:rsid w:val="003D6925"/>
    <w:rsid w:val="003D697D"/>
    <w:rsid w:val="003D69D5"/>
    <w:rsid w:val="003D69EB"/>
    <w:rsid w:val="003D6A6D"/>
    <w:rsid w:val="003D6B08"/>
    <w:rsid w:val="003D6BC5"/>
    <w:rsid w:val="003D6C3E"/>
    <w:rsid w:val="003D6C52"/>
    <w:rsid w:val="003D6C60"/>
    <w:rsid w:val="003D6C6D"/>
    <w:rsid w:val="003D6CFA"/>
    <w:rsid w:val="003D6D38"/>
    <w:rsid w:val="003D6D8A"/>
    <w:rsid w:val="003D6E15"/>
    <w:rsid w:val="003D6F2C"/>
    <w:rsid w:val="003D6F5F"/>
    <w:rsid w:val="003D70E9"/>
    <w:rsid w:val="003D70F2"/>
    <w:rsid w:val="003D71B7"/>
    <w:rsid w:val="003D71F7"/>
    <w:rsid w:val="003D7214"/>
    <w:rsid w:val="003D7236"/>
    <w:rsid w:val="003D75B9"/>
    <w:rsid w:val="003D7663"/>
    <w:rsid w:val="003D7666"/>
    <w:rsid w:val="003D767D"/>
    <w:rsid w:val="003D779D"/>
    <w:rsid w:val="003D7805"/>
    <w:rsid w:val="003D78EF"/>
    <w:rsid w:val="003D7A06"/>
    <w:rsid w:val="003D7A31"/>
    <w:rsid w:val="003D7AEA"/>
    <w:rsid w:val="003D7B7B"/>
    <w:rsid w:val="003D7BE5"/>
    <w:rsid w:val="003D7DEF"/>
    <w:rsid w:val="003E0186"/>
    <w:rsid w:val="003E01BC"/>
    <w:rsid w:val="003E01C6"/>
    <w:rsid w:val="003E0217"/>
    <w:rsid w:val="003E02C6"/>
    <w:rsid w:val="003E02D3"/>
    <w:rsid w:val="003E036B"/>
    <w:rsid w:val="003E03DD"/>
    <w:rsid w:val="003E04C5"/>
    <w:rsid w:val="003E0754"/>
    <w:rsid w:val="003E07CC"/>
    <w:rsid w:val="003E07D4"/>
    <w:rsid w:val="003E07F8"/>
    <w:rsid w:val="003E0855"/>
    <w:rsid w:val="003E0908"/>
    <w:rsid w:val="003E09AC"/>
    <w:rsid w:val="003E09B8"/>
    <w:rsid w:val="003E09EE"/>
    <w:rsid w:val="003E0AF8"/>
    <w:rsid w:val="003E0B08"/>
    <w:rsid w:val="003E0C04"/>
    <w:rsid w:val="003E0D37"/>
    <w:rsid w:val="003E0D57"/>
    <w:rsid w:val="003E0DF0"/>
    <w:rsid w:val="003E0ED3"/>
    <w:rsid w:val="003E1014"/>
    <w:rsid w:val="003E1157"/>
    <w:rsid w:val="003E11CD"/>
    <w:rsid w:val="003E1241"/>
    <w:rsid w:val="003E1301"/>
    <w:rsid w:val="003E138F"/>
    <w:rsid w:val="003E13AD"/>
    <w:rsid w:val="003E1410"/>
    <w:rsid w:val="003E1455"/>
    <w:rsid w:val="003E1468"/>
    <w:rsid w:val="003E1507"/>
    <w:rsid w:val="003E167E"/>
    <w:rsid w:val="003E16D7"/>
    <w:rsid w:val="003E170A"/>
    <w:rsid w:val="003E17B3"/>
    <w:rsid w:val="003E18EA"/>
    <w:rsid w:val="003E1A4E"/>
    <w:rsid w:val="003E1B4A"/>
    <w:rsid w:val="003E1BB4"/>
    <w:rsid w:val="003E1C10"/>
    <w:rsid w:val="003E1C7C"/>
    <w:rsid w:val="003E1D62"/>
    <w:rsid w:val="003E1DD8"/>
    <w:rsid w:val="003E1E3F"/>
    <w:rsid w:val="003E1F85"/>
    <w:rsid w:val="003E2057"/>
    <w:rsid w:val="003E20C0"/>
    <w:rsid w:val="003E210B"/>
    <w:rsid w:val="003E21D9"/>
    <w:rsid w:val="003E2245"/>
    <w:rsid w:val="003E22E4"/>
    <w:rsid w:val="003E244B"/>
    <w:rsid w:val="003E24E7"/>
    <w:rsid w:val="003E2527"/>
    <w:rsid w:val="003E25F1"/>
    <w:rsid w:val="003E2666"/>
    <w:rsid w:val="003E26B7"/>
    <w:rsid w:val="003E2778"/>
    <w:rsid w:val="003E27C4"/>
    <w:rsid w:val="003E27F4"/>
    <w:rsid w:val="003E282F"/>
    <w:rsid w:val="003E2848"/>
    <w:rsid w:val="003E284B"/>
    <w:rsid w:val="003E28F5"/>
    <w:rsid w:val="003E28FF"/>
    <w:rsid w:val="003E2937"/>
    <w:rsid w:val="003E2957"/>
    <w:rsid w:val="003E29D6"/>
    <w:rsid w:val="003E2A5C"/>
    <w:rsid w:val="003E2A6D"/>
    <w:rsid w:val="003E2B1C"/>
    <w:rsid w:val="003E2B30"/>
    <w:rsid w:val="003E2B36"/>
    <w:rsid w:val="003E2B65"/>
    <w:rsid w:val="003E2D47"/>
    <w:rsid w:val="003E2D79"/>
    <w:rsid w:val="003E2E1C"/>
    <w:rsid w:val="003E2E2B"/>
    <w:rsid w:val="003E2E2D"/>
    <w:rsid w:val="003E2F18"/>
    <w:rsid w:val="003E2FA4"/>
    <w:rsid w:val="003E2FD8"/>
    <w:rsid w:val="003E2FEC"/>
    <w:rsid w:val="003E2FF3"/>
    <w:rsid w:val="003E302E"/>
    <w:rsid w:val="003E302F"/>
    <w:rsid w:val="003E3032"/>
    <w:rsid w:val="003E305C"/>
    <w:rsid w:val="003E3223"/>
    <w:rsid w:val="003E338A"/>
    <w:rsid w:val="003E347E"/>
    <w:rsid w:val="003E349E"/>
    <w:rsid w:val="003E34B4"/>
    <w:rsid w:val="003E3614"/>
    <w:rsid w:val="003E369F"/>
    <w:rsid w:val="003E36C9"/>
    <w:rsid w:val="003E377A"/>
    <w:rsid w:val="003E37D4"/>
    <w:rsid w:val="003E3856"/>
    <w:rsid w:val="003E38AD"/>
    <w:rsid w:val="003E38D4"/>
    <w:rsid w:val="003E38F5"/>
    <w:rsid w:val="003E39E0"/>
    <w:rsid w:val="003E3B63"/>
    <w:rsid w:val="003E3CBC"/>
    <w:rsid w:val="003E3D6E"/>
    <w:rsid w:val="003E3D77"/>
    <w:rsid w:val="003E3DD6"/>
    <w:rsid w:val="003E3E77"/>
    <w:rsid w:val="003E3EA0"/>
    <w:rsid w:val="003E3EE6"/>
    <w:rsid w:val="003E40B5"/>
    <w:rsid w:val="003E4221"/>
    <w:rsid w:val="003E4301"/>
    <w:rsid w:val="003E4417"/>
    <w:rsid w:val="003E44B2"/>
    <w:rsid w:val="003E454A"/>
    <w:rsid w:val="003E4552"/>
    <w:rsid w:val="003E4595"/>
    <w:rsid w:val="003E461A"/>
    <w:rsid w:val="003E46C6"/>
    <w:rsid w:val="003E4789"/>
    <w:rsid w:val="003E47B0"/>
    <w:rsid w:val="003E47E5"/>
    <w:rsid w:val="003E48F9"/>
    <w:rsid w:val="003E4A2F"/>
    <w:rsid w:val="003E4A4C"/>
    <w:rsid w:val="003E4A94"/>
    <w:rsid w:val="003E4A95"/>
    <w:rsid w:val="003E4AA4"/>
    <w:rsid w:val="003E4B00"/>
    <w:rsid w:val="003E4BAA"/>
    <w:rsid w:val="003E4C43"/>
    <w:rsid w:val="003E4C84"/>
    <w:rsid w:val="003E4CD9"/>
    <w:rsid w:val="003E4DEF"/>
    <w:rsid w:val="003E4E2B"/>
    <w:rsid w:val="003E4F31"/>
    <w:rsid w:val="003E4F65"/>
    <w:rsid w:val="003E503D"/>
    <w:rsid w:val="003E50C2"/>
    <w:rsid w:val="003E516F"/>
    <w:rsid w:val="003E51A6"/>
    <w:rsid w:val="003E51EB"/>
    <w:rsid w:val="003E5225"/>
    <w:rsid w:val="003E531A"/>
    <w:rsid w:val="003E5374"/>
    <w:rsid w:val="003E53D9"/>
    <w:rsid w:val="003E5578"/>
    <w:rsid w:val="003E5636"/>
    <w:rsid w:val="003E56BD"/>
    <w:rsid w:val="003E5792"/>
    <w:rsid w:val="003E57C3"/>
    <w:rsid w:val="003E597E"/>
    <w:rsid w:val="003E59DD"/>
    <w:rsid w:val="003E5AF1"/>
    <w:rsid w:val="003E5BD9"/>
    <w:rsid w:val="003E5BDB"/>
    <w:rsid w:val="003E5BFA"/>
    <w:rsid w:val="003E5C4B"/>
    <w:rsid w:val="003E5C60"/>
    <w:rsid w:val="003E5C77"/>
    <w:rsid w:val="003E5CE3"/>
    <w:rsid w:val="003E5CF5"/>
    <w:rsid w:val="003E5E17"/>
    <w:rsid w:val="003E5E5C"/>
    <w:rsid w:val="003E5FBD"/>
    <w:rsid w:val="003E610A"/>
    <w:rsid w:val="003E613B"/>
    <w:rsid w:val="003E61B5"/>
    <w:rsid w:val="003E61C5"/>
    <w:rsid w:val="003E6294"/>
    <w:rsid w:val="003E6298"/>
    <w:rsid w:val="003E6428"/>
    <w:rsid w:val="003E645D"/>
    <w:rsid w:val="003E64BA"/>
    <w:rsid w:val="003E650B"/>
    <w:rsid w:val="003E657E"/>
    <w:rsid w:val="003E65AF"/>
    <w:rsid w:val="003E671B"/>
    <w:rsid w:val="003E6791"/>
    <w:rsid w:val="003E67CA"/>
    <w:rsid w:val="003E68C6"/>
    <w:rsid w:val="003E694C"/>
    <w:rsid w:val="003E69A4"/>
    <w:rsid w:val="003E6A31"/>
    <w:rsid w:val="003E6A80"/>
    <w:rsid w:val="003E6AA4"/>
    <w:rsid w:val="003E6C8D"/>
    <w:rsid w:val="003E6CE4"/>
    <w:rsid w:val="003E6D04"/>
    <w:rsid w:val="003E6D72"/>
    <w:rsid w:val="003E6E0B"/>
    <w:rsid w:val="003E6EEE"/>
    <w:rsid w:val="003E6F35"/>
    <w:rsid w:val="003E6F43"/>
    <w:rsid w:val="003E7043"/>
    <w:rsid w:val="003E7164"/>
    <w:rsid w:val="003E71C0"/>
    <w:rsid w:val="003E7236"/>
    <w:rsid w:val="003E72AF"/>
    <w:rsid w:val="003E72E9"/>
    <w:rsid w:val="003E73B5"/>
    <w:rsid w:val="003E73FF"/>
    <w:rsid w:val="003E7414"/>
    <w:rsid w:val="003E747C"/>
    <w:rsid w:val="003E749D"/>
    <w:rsid w:val="003E74C3"/>
    <w:rsid w:val="003E750B"/>
    <w:rsid w:val="003E7513"/>
    <w:rsid w:val="003E754E"/>
    <w:rsid w:val="003E75BE"/>
    <w:rsid w:val="003E75E4"/>
    <w:rsid w:val="003E76F1"/>
    <w:rsid w:val="003E76F3"/>
    <w:rsid w:val="003E7793"/>
    <w:rsid w:val="003E7823"/>
    <w:rsid w:val="003E7844"/>
    <w:rsid w:val="003E785B"/>
    <w:rsid w:val="003E786D"/>
    <w:rsid w:val="003E78F8"/>
    <w:rsid w:val="003E7941"/>
    <w:rsid w:val="003E79B6"/>
    <w:rsid w:val="003E7AAA"/>
    <w:rsid w:val="003E7AE1"/>
    <w:rsid w:val="003E7D13"/>
    <w:rsid w:val="003E7D40"/>
    <w:rsid w:val="003E7DC8"/>
    <w:rsid w:val="003E7E0B"/>
    <w:rsid w:val="003E7E48"/>
    <w:rsid w:val="003E7E87"/>
    <w:rsid w:val="003E7EC1"/>
    <w:rsid w:val="003E7ECB"/>
    <w:rsid w:val="003E7F29"/>
    <w:rsid w:val="003E7FC4"/>
    <w:rsid w:val="003E7FCD"/>
    <w:rsid w:val="003EAA76"/>
    <w:rsid w:val="003F003B"/>
    <w:rsid w:val="003F0097"/>
    <w:rsid w:val="003F028A"/>
    <w:rsid w:val="003F0336"/>
    <w:rsid w:val="003F0393"/>
    <w:rsid w:val="003F0432"/>
    <w:rsid w:val="003F0565"/>
    <w:rsid w:val="003F067D"/>
    <w:rsid w:val="003F087A"/>
    <w:rsid w:val="003F088C"/>
    <w:rsid w:val="003F08BA"/>
    <w:rsid w:val="003F0A47"/>
    <w:rsid w:val="003F0A88"/>
    <w:rsid w:val="003F0BEE"/>
    <w:rsid w:val="003F0C2A"/>
    <w:rsid w:val="003F0C49"/>
    <w:rsid w:val="003F0D68"/>
    <w:rsid w:val="003F0DA4"/>
    <w:rsid w:val="003F0E28"/>
    <w:rsid w:val="003F0EA8"/>
    <w:rsid w:val="003F0F06"/>
    <w:rsid w:val="003F0F0D"/>
    <w:rsid w:val="003F0FD0"/>
    <w:rsid w:val="003F103C"/>
    <w:rsid w:val="003F1046"/>
    <w:rsid w:val="003F105D"/>
    <w:rsid w:val="003F10B9"/>
    <w:rsid w:val="003F10DD"/>
    <w:rsid w:val="003F1114"/>
    <w:rsid w:val="003F140C"/>
    <w:rsid w:val="003F140E"/>
    <w:rsid w:val="003F144E"/>
    <w:rsid w:val="003F1655"/>
    <w:rsid w:val="003F1682"/>
    <w:rsid w:val="003F16A4"/>
    <w:rsid w:val="003F1762"/>
    <w:rsid w:val="003F177E"/>
    <w:rsid w:val="003F1988"/>
    <w:rsid w:val="003F1AC2"/>
    <w:rsid w:val="003F1B76"/>
    <w:rsid w:val="003F1B8B"/>
    <w:rsid w:val="003F1BF7"/>
    <w:rsid w:val="003F1D33"/>
    <w:rsid w:val="003F1D4E"/>
    <w:rsid w:val="003F1E1D"/>
    <w:rsid w:val="003F1E22"/>
    <w:rsid w:val="003F1E51"/>
    <w:rsid w:val="003F1EA6"/>
    <w:rsid w:val="003F1FA7"/>
    <w:rsid w:val="003F1FC4"/>
    <w:rsid w:val="003F2011"/>
    <w:rsid w:val="003F2025"/>
    <w:rsid w:val="003F20AB"/>
    <w:rsid w:val="003F22C1"/>
    <w:rsid w:val="003F23CE"/>
    <w:rsid w:val="003F242F"/>
    <w:rsid w:val="003F258D"/>
    <w:rsid w:val="003F26DB"/>
    <w:rsid w:val="003F2755"/>
    <w:rsid w:val="003F2774"/>
    <w:rsid w:val="003F27FC"/>
    <w:rsid w:val="003F28E0"/>
    <w:rsid w:val="003F2968"/>
    <w:rsid w:val="003F2AEB"/>
    <w:rsid w:val="003F2B14"/>
    <w:rsid w:val="003F2B4F"/>
    <w:rsid w:val="003F2BA3"/>
    <w:rsid w:val="003F2C60"/>
    <w:rsid w:val="003F2C7F"/>
    <w:rsid w:val="003F2CA1"/>
    <w:rsid w:val="003F2CAD"/>
    <w:rsid w:val="003F2D31"/>
    <w:rsid w:val="003F2DC7"/>
    <w:rsid w:val="003F2E0D"/>
    <w:rsid w:val="003F2E46"/>
    <w:rsid w:val="003F2E52"/>
    <w:rsid w:val="003F2E55"/>
    <w:rsid w:val="003F2E85"/>
    <w:rsid w:val="003F3021"/>
    <w:rsid w:val="003F3038"/>
    <w:rsid w:val="003F30E1"/>
    <w:rsid w:val="003F3273"/>
    <w:rsid w:val="003F3285"/>
    <w:rsid w:val="003F331D"/>
    <w:rsid w:val="003F336D"/>
    <w:rsid w:val="003F3451"/>
    <w:rsid w:val="003F34B8"/>
    <w:rsid w:val="003F34C6"/>
    <w:rsid w:val="003F34D8"/>
    <w:rsid w:val="003F358E"/>
    <w:rsid w:val="003F35B8"/>
    <w:rsid w:val="003F398E"/>
    <w:rsid w:val="003F3AFC"/>
    <w:rsid w:val="003F3B6D"/>
    <w:rsid w:val="003F3B9C"/>
    <w:rsid w:val="003F3BE8"/>
    <w:rsid w:val="003F3C12"/>
    <w:rsid w:val="003F3C54"/>
    <w:rsid w:val="003F3C9E"/>
    <w:rsid w:val="003F3DAB"/>
    <w:rsid w:val="003F3DEC"/>
    <w:rsid w:val="003F3E1C"/>
    <w:rsid w:val="003F3E83"/>
    <w:rsid w:val="003F3EF4"/>
    <w:rsid w:val="003F3F1E"/>
    <w:rsid w:val="003F400B"/>
    <w:rsid w:val="003F4029"/>
    <w:rsid w:val="003F4032"/>
    <w:rsid w:val="003F40FC"/>
    <w:rsid w:val="003F4164"/>
    <w:rsid w:val="003F425C"/>
    <w:rsid w:val="003F43ED"/>
    <w:rsid w:val="003F4421"/>
    <w:rsid w:val="003F4497"/>
    <w:rsid w:val="003F454E"/>
    <w:rsid w:val="003F4635"/>
    <w:rsid w:val="003F4878"/>
    <w:rsid w:val="003F490A"/>
    <w:rsid w:val="003F49F6"/>
    <w:rsid w:val="003F4A4A"/>
    <w:rsid w:val="003F4C6F"/>
    <w:rsid w:val="003F4CAF"/>
    <w:rsid w:val="003F4DEA"/>
    <w:rsid w:val="003F4DFF"/>
    <w:rsid w:val="003F4E53"/>
    <w:rsid w:val="003F4E93"/>
    <w:rsid w:val="003F5014"/>
    <w:rsid w:val="003F5088"/>
    <w:rsid w:val="003F5194"/>
    <w:rsid w:val="003F51F0"/>
    <w:rsid w:val="003F5216"/>
    <w:rsid w:val="003F52DB"/>
    <w:rsid w:val="003F5484"/>
    <w:rsid w:val="003F5497"/>
    <w:rsid w:val="003F55EC"/>
    <w:rsid w:val="003F575C"/>
    <w:rsid w:val="003F5787"/>
    <w:rsid w:val="003F57C2"/>
    <w:rsid w:val="003F5818"/>
    <w:rsid w:val="003F582B"/>
    <w:rsid w:val="003F58B6"/>
    <w:rsid w:val="003F58D6"/>
    <w:rsid w:val="003F58DC"/>
    <w:rsid w:val="003F58F2"/>
    <w:rsid w:val="003F593A"/>
    <w:rsid w:val="003F5945"/>
    <w:rsid w:val="003F5B60"/>
    <w:rsid w:val="003F5B7C"/>
    <w:rsid w:val="003F5C4F"/>
    <w:rsid w:val="003F5CEF"/>
    <w:rsid w:val="003F5DF1"/>
    <w:rsid w:val="003F5E2D"/>
    <w:rsid w:val="003F5EC7"/>
    <w:rsid w:val="003F600C"/>
    <w:rsid w:val="003F6250"/>
    <w:rsid w:val="003F6299"/>
    <w:rsid w:val="003F6301"/>
    <w:rsid w:val="003F6434"/>
    <w:rsid w:val="003F643E"/>
    <w:rsid w:val="003F6463"/>
    <w:rsid w:val="003F6488"/>
    <w:rsid w:val="003F6528"/>
    <w:rsid w:val="003F65E2"/>
    <w:rsid w:val="003F666B"/>
    <w:rsid w:val="003F67C5"/>
    <w:rsid w:val="003F67DD"/>
    <w:rsid w:val="003F6852"/>
    <w:rsid w:val="003F69FB"/>
    <w:rsid w:val="003F6B06"/>
    <w:rsid w:val="003F6C1A"/>
    <w:rsid w:val="003F6C61"/>
    <w:rsid w:val="003F6DEE"/>
    <w:rsid w:val="003F6E82"/>
    <w:rsid w:val="003F7007"/>
    <w:rsid w:val="003F70A4"/>
    <w:rsid w:val="003F714A"/>
    <w:rsid w:val="003F7177"/>
    <w:rsid w:val="003F71E2"/>
    <w:rsid w:val="003F71F7"/>
    <w:rsid w:val="003F7367"/>
    <w:rsid w:val="003F73D5"/>
    <w:rsid w:val="003F743C"/>
    <w:rsid w:val="003F74FE"/>
    <w:rsid w:val="003F75BD"/>
    <w:rsid w:val="003F7600"/>
    <w:rsid w:val="003F772C"/>
    <w:rsid w:val="003F7927"/>
    <w:rsid w:val="003F7AF1"/>
    <w:rsid w:val="003F7C86"/>
    <w:rsid w:val="003F7CC3"/>
    <w:rsid w:val="003F7CC9"/>
    <w:rsid w:val="003F7DCB"/>
    <w:rsid w:val="003F7ED8"/>
    <w:rsid w:val="003F7F84"/>
    <w:rsid w:val="0040025B"/>
    <w:rsid w:val="00400270"/>
    <w:rsid w:val="004002E9"/>
    <w:rsid w:val="004002EC"/>
    <w:rsid w:val="004004B0"/>
    <w:rsid w:val="004004DC"/>
    <w:rsid w:val="004005FF"/>
    <w:rsid w:val="00400626"/>
    <w:rsid w:val="00400662"/>
    <w:rsid w:val="004006AF"/>
    <w:rsid w:val="004006D9"/>
    <w:rsid w:val="004007CD"/>
    <w:rsid w:val="00400A8E"/>
    <w:rsid w:val="00400AE7"/>
    <w:rsid w:val="00400AF3"/>
    <w:rsid w:val="00400B1D"/>
    <w:rsid w:val="00400B1E"/>
    <w:rsid w:val="00400C17"/>
    <w:rsid w:val="00400E8F"/>
    <w:rsid w:val="00400F9A"/>
    <w:rsid w:val="00401040"/>
    <w:rsid w:val="00401124"/>
    <w:rsid w:val="0040115D"/>
    <w:rsid w:val="0040119E"/>
    <w:rsid w:val="00401247"/>
    <w:rsid w:val="0040128B"/>
    <w:rsid w:val="004012AB"/>
    <w:rsid w:val="00401312"/>
    <w:rsid w:val="004013AF"/>
    <w:rsid w:val="0040144D"/>
    <w:rsid w:val="004014BE"/>
    <w:rsid w:val="004014D4"/>
    <w:rsid w:val="004014D9"/>
    <w:rsid w:val="004014DA"/>
    <w:rsid w:val="00401505"/>
    <w:rsid w:val="004015AD"/>
    <w:rsid w:val="00401724"/>
    <w:rsid w:val="004017F2"/>
    <w:rsid w:val="00401958"/>
    <w:rsid w:val="00401A43"/>
    <w:rsid w:val="00401BF1"/>
    <w:rsid w:val="00401C64"/>
    <w:rsid w:val="00401C71"/>
    <w:rsid w:val="00401DCF"/>
    <w:rsid w:val="00401E5F"/>
    <w:rsid w:val="00401F04"/>
    <w:rsid w:val="00401F17"/>
    <w:rsid w:val="00401FE2"/>
    <w:rsid w:val="00402046"/>
    <w:rsid w:val="00402098"/>
    <w:rsid w:val="0040212A"/>
    <w:rsid w:val="00402203"/>
    <w:rsid w:val="00402237"/>
    <w:rsid w:val="004022CC"/>
    <w:rsid w:val="004022F7"/>
    <w:rsid w:val="00402373"/>
    <w:rsid w:val="004023FB"/>
    <w:rsid w:val="004024F6"/>
    <w:rsid w:val="0040258B"/>
    <w:rsid w:val="004026A1"/>
    <w:rsid w:val="004027F3"/>
    <w:rsid w:val="004029C4"/>
    <w:rsid w:val="00402D4D"/>
    <w:rsid w:val="00402D81"/>
    <w:rsid w:val="00402D89"/>
    <w:rsid w:val="00402FC5"/>
    <w:rsid w:val="004030B6"/>
    <w:rsid w:val="0040315F"/>
    <w:rsid w:val="00403186"/>
    <w:rsid w:val="0040334A"/>
    <w:rsid w:val="004033CD"/>
    <w:rsid w:val="004036A7"/>
    <w:rsid w:val="00403818"/>
    <w:rsid w:val="00403882"/>
    <w:rsid w:val="00403903"/>
    <w:rsid w:val="00403910"/>
    <w:rsid w:val="00403B55"/>
    <w:rsid w:val="00403B9F"/>
    <w:rsid w:val="00403BFD"/>
    <w:rsid w:val="00403CFD"/>
    <w:rsid w:val="00403DEF"/>
    <w:rsid w:val="00403E38"/>
    <w:rsid w:val="00403F2B"/>
    <w:rsid w:val="0040404D"/>
    <w:rsid w:val="00404098"/>
    <w:rsid w:val="004040D6"/>
    <w:rsid w:val="004040FC"/>
    <w:rsid w:val="0040415B"/>
    <w:rsid w:val="004041A6"/>
    <w:rsid w:val="004041B6"/>
    <w:rsid w:val="004041E6"/>
    <w:rsid w:val="00404272"/>
    <w:rsid w:val="00404464"/>
    <w:rsid w:val="00404517"/>
    <w:rsid w:val="0040451A"/>
    <w:rsid w:val="0040454C"/>
    <w:rsid w:val="00404689"/>
    <w:rsid w:val="004046F2"/>
    <w:rsid w:val="004046FA"/>
    <w:rsid w:val="0040478F"/>
    <w:rsid w:val="004047C6"/>
    <w:rsid w:val="00404847"/>
    <w:rsid w:val="00404912"/>
    <w:rsid w:val="00404A96"/>
    <w:rsid w:val="00404C40"/>
    <w:rsid w:val="00404C45"/>
    <w:rsid w:val="00404CC2"/>
    <w:rsid w:val="00404D02"/>
    <w:rsid w:val="00404D0D"/>
    <w:rsid w:val="00404DD6"/>
    <w:rsid w:val="004050ED"/>
    <w:rsid w:val="004051ED"/>
    <w:rsid w:val="00405342"/>
    <w:rsid w:val="0040534D"/>
    <w:rsid w:val="0040537C"/>
    <w:rsid w:val="004053F4"/>
    <w:rsid w:val="0040559A"/>
    <w:rsid w:val="00405603"/>
    <w:rsid w:val="0040575D"/>
    <w:rsid w:val="00405762"/>
    <w:rsid w:val="004057EC"/>
    <w:rsid w:val="0040585F"/>
    <w:rsid w:val="0040586F"/>
    <w:rsid w:val="00405878"/>
    <w:rsid w:val="004058EC"/>
    <w:rsid w:val="00405C49"/>
    <w:rsid w:val="00405CF8"/>
    <w:rsid w:val="00405D39"/>
    <w:rsid w:val="00405E93"/>
    <w:rsid w:val="00405EFE"/>
    <w:rsid w:val="00405F9D"/>
    <w:rsid w:val="00405FC9"/>
    <w:rsid w:val="0040602A"/>
    <w:rsid w:val="004060FB"/>
    <w:rsid w:val="0040611C"/>
    <w:rsid w:val="00406276"/>
    <w:rsid w:val="0040627D"/>
    <w:rsid w:val="004062F4"/>
    <w:rsid w:val="00406302"/>
    <w:rsid w:val="00406386"/>
    <w:rsid w:val="004063E8"/>
    <w:rsid w:val="004063EC"/>
    <w:rsid w:val="004064FD"/>
    <w:rsid w:val="00406564"/>
    <w:rsid w:val="0040665C"/>
    <w:rsid w:val="004066C0"/>
    <w:rsid w:val="00406716"/>
    <w:rsid w:val="00406768"/>
    <w:rsid w:val="004067A3"/>
    <w:rsid w:val="00406831"/>
    <w:rsid w:val="00406866"/>
    <w:rsid w:val="004068C9"/>
    <w:rsid w:val="004069AB"/>
    <w:rsid w:val="004069C3"/>
    <w:rsid w:val="00406A27"/>
    <w:rsid w:val="00406A58"/>
    <w:rsid w:val="00406AF1"/>
    <w:rsid w:val="00406B78"/>
    <w:rsid w:val="00406C4C"/>
    <w:rsid w:val="00406C68"/>
    <w:rsid w:val="00406CCC"/>
    <w:rsid w:val="00406D41"/>
    <w:rsid w:val="00406DBE"/>
    <w:rsid w:val="00406E42"/>
    <w:rsid w:val="00406EA5"/>
    <w:rsid w:val="00406EBE"/>
    <w:rsid w:val="00406F30"/>
    <w:rsid w:val="00406FD5"/>
    <w:rsid w:val="0040703F"/>
    <w:rsid w:val="00407042"/>
    <w:rsid w:val="0040720F"/>
    <w:rsid w:val="00407275"/>
    <w:rsid w:val="00407325"/>
    <w:rsid w:val="00407435"/>
    <w:rsid w:val="00407498"/>
    <w:rsid w:val="00407512"/>
    <w:rsid w:val="00407690"/>
    <w:rsid w:val="0040785E"/>
    <w:rsid w:val="0040791C"/>
    <w:rsid w:val="004079BB"/>
    <w:rsid w:val="004079CF"/>
    <w:rsid w:val="00407A05"/>
    <w:rsid w:val="00407B2C"/>
    <w:rsid w:val="00407B51"/>
    <w:rsid w:val="00407BDC"/>
    <w:rsid w:val="00407BF3"/>
    <w:rsid w:val="00407D41"/>
    <w:rsid w:val="00407D73"/>
    <w:rsid w:val="00407DB3"/>
    <w:rsid w:val="00407DDA"/>
    <w:rsid w:val="00407DDC"/>
    <w:rsid w:val="00407E72"/>
    <w:rsid w:val="00407EE5"/>
    <w:rsid w:val="00407FA4"/>
    <w:rsid w:val="00410001"/>
    <w:rsid w:val="00410036"/>
    <w:rsid w:val="00410077"/>
    <w:rsid w:val="00410080"/>
    <w:rsid w:val="004100E1"/>
    <w:rsid w:val="004101A9"/>
    <w:rsid w:val="00410218"/>
    <w:rsid w:val="004102BC"/>
    <w:rsid w:val="004102CA"/>
    <w:rsid w:val="004103AF"/>
    <w:rsid w:val="00410464"/>
    <w:rsid w:val="0041059B"/>
    <w:rsid w:val="004105A9"/>
    <w:rsid w:val="004106D4"/>
    <w:rsid w:val="004107BC"/>
    <w:rsid w:val="00410842"/>
    <w:rsid w:val="0041096B"/>
    <w:rsid w:val="00410998"/>
    <w:rsid w:val="004109C1"/>
    <w:rsid w:val="004109F0"/>
    <w:rsid w:val="00410A8A"/>
    <w:rsid w:val="00410BD5"/>
    <w:rsid w:val="00410BFC"/>
    <w:rsid w:val="00410C5F"/>
    <w:rsid w:val="00410D1F"/>
    <w:rsid w:val="00410D48"/>
    <w:rsid w:val="00410E45"/>
    <w:rsid w:val="00410EC0"/>
    <w:rsid w:val="00410F62"/>
    <w:rsid w:val="00410FF6"/>
    <w:rsid w:val="00411112"/>
    <w:rsid w:val="0041118A"/>
    <w:rsid w:val="00411213"/>
    <w:rsid w:val="0041121D"/>
    <w:rsid w:val="00411428"/>
    <w:rsid w:val="00411495"/>
    <w:rsid w:val="004114FC"/>
    <w:rsid w:val="004116D1"/>
    <w:rsid w:val="0041170E"/>
    <w:rsid w:val="0041177E"/>
    <w:rsid w:val="00411840"/>
    <w:rsid w:val="004118F0"/>
    <w:rsid w:val="004119F5"/>
    <w:rsid w:val="00411A33"/>
    <w:rsid w:val="00411AEF"/>
    <w:rsid w:val="00411B18"/>
    <w:rsid w:val="00411C24"/>
    <w:rsid w:val="00411C44"/>
    <w:rsid w:val="00411D13"/>
    <w:rsid w:val="00411D16"/>
    <w:rsid w:val="00411D43"/>
    <w:rsid w:val="00411E9D"/>
    <w:rsid w:val="00411FAE"/>
    <w:rsid w:val="00411FC3"/>
    <w:rsid w:val="00412070"/>
    <w:rsid w:val="0041207B"/>
    <w:rsid w:val="004120A2"/>
    <w:rsid w:val="004120C3"/>
    <w:rsid w:val="004121C5"/>
    <w:rsid w:val="004121E0"/>
    <w:rsid w:val="0041221A"/>
    <w:rsid w:val="004122EA"/>
    <w:rsid w:val="0041233C"/>
    <w:rsid w:val="0041236F"/>
    <w:rsid w:val="00412402"/>
    <w:rsid w:val="0041241E"/>
    <w:rsid w:val="0041243B"/>
    <w:rsid w:val="0041244A"/>
    <w:rsid w:val="004125B4"/>
    <w:rsid w:val="004126D6"/>
    <w:rsid w:val="00412776"/>
    <w:rsid w:val="004128AA"/>
    <w:rsid w:val="004128DE"/>
    <w:rsid w:val="0041297E"/>
    <w:rsid w:val="00412B35"/>
    <w:rsid w:val="00412BD6"/>
    <w:rsid w:val="00412C34"/>
    <w:rsid w:val="00412C8E"/>
    <w:rsid w:val="00412C97"/>
    <w:rsid w:val="00412D16"/>
    <w:rsid w:val="00412D3F"/>
    <w:rsid w:val="00412D74"/>
    <w:rsid w:val="00412F01"/>
    <w:rsid w:val="00412F20"/>
    <w:rsid w:val="00412F76"/>
    <w:rsid w:val="00412F9B"/>
    <w:rsid w:val="0041309D"/>
    <w:rsid w:val="0041312C"/>
    <w:rsid w:val="00413131"/>
    <w:rsid w:val="00413137"/>
    <w:rsid w:val="00413159"/>
    <w:rsid w:val="00413246"/>
    <w:rsid w:val="0041325B"/>
    <w:rsid w:val="0041328E"/>
    <w:rsid w:val="004132AA"/>
    <w:rsid w:val="004133ED"/>
    <w:rsid w:val="00413465"/>
    <w:rsid w:val="00413514"/>
    <w:rsid w:val="004135D3"/>
    <w:rsid w:val="004137AF"/>
    <w:rsid w:val="00413905"/>
    <w:rsid w:val="004139BF"/>
    <w:rsid w:val="00413A37"/>
    <w:rsid w:val="00413A3A"/>
    <w:rsid w:val="00413C9B"/>
    <w:rsid w:val="00413DFB"/>
    <w:rsid w:val="00413E53"/>
    <w:rsid w:val="00413F92"/>
    <w:rsid w:val="00413FA1"/>
    <w:rsid w:val="00413FBF"/>
    <w:rsid w:val="00413FC7"/>
    <w:rsid w:val="00414099"/>
    <w:rsid w:val="004140D9"/>
    <w:rsid w:val="004141ED"/>
    <w:rsid w:val="004142FE"/>
    <w:rsid w:val="004143C2"/>
    <w:rsid w:val="004144F2"/>
    <w:rsid w:val="00414506"/>
    <w:rsid w:val="00414639"/>
    <w:rsid w:val="0041465F"/>
    <w:rsid w:val="004146CC"/>
    <w:rsid w:val="0041470A"/>
    <w:rsid w:val="00414855"/>
    <w:rsid w:val="004148D2"/>
    <w:rsid w:val="00414A1C"/>
    <w:rsid w:val="00414A2F"/>
    <w:rsid w:val="00414ADF"/>
    <w:rsid w:val="00414C56"/>
    <w:rsid w:val="00414C74"/>
    <w:rsid w:val="00414CB1"/>
    <w:rsid w:val="00414E4B"/>
    <w:rsid w:val="00414ED1"/>
    <w:rsid w:val="00414F8A"/>
    <w:rsid w:val="00415031"/>
    <w:rsid w:val="0041507D"/>
    <w:rsid w:val="004150FA"/>
    <w:rsid w:val="0041516F"/>
    <w:rsid w:val="00415211"/>
    <w:rsid w:val="00415366"/>
    <w:rsid w:val="004153AC"/>
    <w:rsid w:val="0041544B"/>
    <w:rsid w:val="00415453"/>
    <w:rsid w:val="00415552"/>
    <w:rsid w:val="004155DF"/>
    <w:rsid w:val="004155F9"/>
    <w:rsid w:val="0041564D"/>
    <w:rsid w:val="004156BD"/>
    <w:rsid w:val="0041570F"/>
    <w:rsid w:val="00415794"/>
    <w:rsid w:val="00415845"/>
    <w:rsid w:val="0041590B"/>
    <w:rsid w:val="0041591C"/>
    <w:rsid w:val="00415A5E"/>
    <w:rsid w:val="00415AD2"/>
    <w:rsid w:val="00415AD8"/>
    <w:rsid w:val="00415B27"/>
    <w:rsid w:val="00415B2F"/>
    <w:rsid w:val="00415BAA"/>
    <w:rsid w:val="00415D0E"/>
    <w:rsid w:val="00415D8A"/>
    <w:rsid w:val="00415DCC"/>
    <w:rsid w:val="00415DEF"/>
    <w:rsid w:val="00415F21"/>
    <w:rsid w:val="004160CB"/>
    <w:rsid w:val="00416161"/>
    <w:rsid w:val="00416257"/>
    <w:rsid w:val="00416263"/>
    <w:rsid w:val="004162B0"/>
    <w:rsid w:val="004162F2"/>
    <w:rsid w:val="004163FD"/>
    <w:rsid w:val="0041647F"/>
    <w:rsid w:val="00416589"/>
    <w:rsid w:val="00416599"/>
    <w:rsid w:val="0041666B"/>
    <w:rsid w:val="0041679C"/>
    <w:rsid w:val="00416807"/>
    <w:rsid w:val="00416853"/>
    <w:rsid w:val="00416876"/>
    <w:rsid w:val="004168E4"/>
    <w:rsid w:val="0041694F"/>
    <w:rsid w:val="0041699C"/>
    <w:rsid w:val="004169DE"/>
    <w:rsid w:val="00416AA8"/>
    <w:rsid w:val="00416BEB"/>
    <w:rsid w:val="00416C8D"/>
    <w:rsid w:val="00416CD3"/>
    <w:rsid w:val="00416D7B"/>
    <w:rsid w:val="00416D9C"/>
    <w:rsid w:val="00416ED0"/>
    <w:rsid w:val="00416EF1"/>
    <w:rsid w:val="0041701A"/>
    <w:rsid w:val="00417099"/>
    <w:rsid w:val="004170C3"/>
    <w:rsid w:val="004170DE"/>
    <w:rsid w:val="0041718D"/>
    <w:rsid w:val="00417220"/>
    <w:rsid w:val="0041724B"/>
    <w:rsid w:val="004173CE"/>
    <w:rsid w:val="0041740C"/>
    <w:rsid w:val="00417488"/>
    <w:rsid w:val="004176D1"/>
    <w:rsid w:val="004176D4"/>
    <w:rsid w:val="004176E5"/>
    <w:rsid w:val="00417749"/>
    <w:rsid w:val="004177CA"/>
    <w:rsid w:val="00417880"/>
    <w:rsid w:val="00417973"/>
    <w:rsid w:val="0041797B"/>
    <w:rsid w:val="00417A11"/>
    <w:rsid w:val="00417A5F"/>
    <w:rsid w:val="00417A79"/>
    <w:rsid w:val="00417AE6"/>
    <w:rsid w:val="00417AFC"/>
    <w:rsid w:val="00417C01"/>
    <w:rsid w:val="00417C4E"/>
    <w:rsid w:val="00417C6D"/>
    <w:rsid w:val="00417CDD"/>
    <w:rsid w:val="00417D3D"/>
    <w:rsid w:val="00417D8F"/>
    <w:rsid w:val="00417DE4"/>
    <w:rsid w:val="00417DEF"/>
    <w:rsid w:val="00417E09"/>
    <w:rsid w:val="00417E2A"/>
    <w:rsid w:val="00417E4F"/>
    <w:rsid w:val="00417E51"/>
    <w:rsid w:val="0042002A"/>
    <w:rsid w:val="00420056"/>
    <w:rsid w:val="0042008A"/>
    <w:rsid w:val="004200E1"/>
    <w:rsid w:val="004201AB"/>
    <w:rsid w:val="0042024F"/>
    <w:rsid w:val="004202C6"/>
    <w:rsid w:val="0042033C"/>
    <w:rsid w:val="00420340"/>
    <w:rsid w:val="00420427"/>
    <w:rsid w:val="0042042C"/>
    <w:rsid w:val="004204A4"/>
    <w:rsid w:val="00420522"/>
    <w:rsid w:val="00420624"/>
    <w:rsid w:val="00420628"/>
    <w:rsid w:val="004206C6"/>
    <w:rsid w:val="004206D4"/>
    <w:rsid w:val="00420721"/>
    <w:rsid w:val="00420765"/>
    <w:rsid w:val="00420855"/>
    <w:rsid w:val="00420860"/>
    <w:rsid w:val="004209F5"/>
    <w:rsid w:val="00420A6A"/>
    <w:rsid w:val="00420B20"/>
    <w:rsid w:val="00420C1F"/>
    <w:rsid w:val="00420CEB"/>
    <w:rsid w:val="00420D9E"/>
    <w:rsid w:val="00420E9F"/>
    <w:rsid w:val="00420FC0"/>
    <w:rsid w:val="00421004"/>
    <w:rsid w:val="0042104A"/>
    <w:rsid w:val="004210C6"/>
    <w:rsid w:val="004210D9"/>
    <w:rsid w:val="00421127"/>
    <w:rsid w:val="004211F9"/>
    <w:rsid w:val="00421236"/>
    <w:rsid w:val="0042123C"/>
    <w:rsid w:val="00421267"/>
    <w:rsid w:val="004213CD"/>
    <w:rsid w:val="004213DF"/>
    <w:rsid w:val="00421428"/>
    <w:rsid w:val="00421437"/>
    <w:rsid w:val="00421513"/>
    <w:rsid w:val="004216DE"/>
    <w:rsid w:val="004218E8"/>
    <w:rsid w:val="00421AD4"/>
    <w:rsid w:val="00421B31"/>
    <w:rsid w:val="00421B32"/>
    <w:rsid w:val="00421B3E"/>
    <w:rsid w:val="00421C2F"/>
    <w:rsid w:val="00421C45"/>
    <w:rsid w:val="00421C65"/>
    <w:rsid w:val="00421D75"/>
    <w:rsid w:val="00421D80"/>
    <w:rsid w:val="00421E29"/>
    <w:rsid w:val="00421E97"/>
    <w:rsid w:val="00421EB8"/>
    <w:rsid w:val="00421F7D"/>
    <w:rsid w:val="00421F94"/>
    <w:rsid w:val="00422022"/>
    <w:rsid w:val="00422112"/>
    <w:rsid w:val="00422144"/>
    <w:rsid w:val="00422161"/>
    <w:rsid w:val="004221E3"/>
    <w:rsid w:val="004221F0"/>
    <w:rsid w:val="00422221"/>
    <w:rsid w:val="00422268"/>
    <w:rsid w:val="004223F1"/>
    <w:rsid w:val="00422472"/>
    <w:rsid w:val="004224D8"/>
    <w:rsid w:val="00422524"/>
    <w:rsid w:val="00422758"/>
    <w:rsid w:val="004227A7"/>
    <w:rsid w:val="0042283A"/>
    <w:rsid w:val="004228F2"/>
    <w:rsid w:val="0042297E"/>
    <w:rsid w:val="004229B0"/>
    <w:rsid w:val="004229D7"/>
    <w:rsid w:val="00422A82"/>
    <w:rsid w:val="00422AB9"/>
    <w:rsid w:val="00422D07"/>
    <w:rsid w:val="00422D3B"/>
    <w:rsid w:val="00422DF3"/>
    <w:rsid w:val="00422E7C"/>
    <w:rsid w:val="00422F4F"/>
    <w:rsid w:val="00422F6B"/>
    <w:rsid w:val="00422FA8"/>
    <w:rsid w:val="004230EB"/>
    <w:rsid w:val="004231C2"/>
    <w:rsid w:val="004231C7"/>
    <w:rsid w:val="00423373"/>
    <w:rsid w:val="00423411"/>
    <w:rsid w:val="00423433"/>
    <w:rsid w:val="00423437"/>
    <w:rsid w:val="004236C8"/>
    <w:rsid w:val="004236D2"/>
    <w:rsid w:val="0042370C"/>
    <w:rsid w:val="00423876"/>
    <w:rsid w:val="00423933"/>
    <w:rsid w:val="00423AC3"/>
    <w:rsid w:val="00423B92"/>
    <w:rsid w:val="00423C10"/>
    <w:rsid w:val="00423E8C"/>
    <w:rsid w:val="00423F6E"/>
    <w:rsid w:val="00423FE2"/>
    <w:rsid w:val="00424024"/>
    <w:rsid w:val="004240C8"/>
    <w:rsid w:val="00424112"/>
    <w:rsid w:val="004241B4"/>
    <w:rsid w:val="00424255"/>
    <w:rsid w:val="0042427C"/>
    <w:rsid w:val="004242BE"/>
    <w:rsid w:val="00424310"/>
    <w:rsid w:val="00424345"/>
    <w:rsid w:val="00424426"/>
    <w:rsid w:val="004245C0"/>
    <w:rsid w:val="004245E2"/>
    <w:rsid w:val="004247D7"/>
    <w:rsid w:val="0042488E"/>
    <w:rsid w:val="004248AD"/>
    <w:rsid w:val="0042498F"/>
    <w:rsid w:val="00424B37"/>
    <w:rsid w:val="00424D82"/>
    <w:rsid w:val="00424D9E"/>
    <w:rsid w:val="00424E9B"/>
    <w:rsid w:val="00424EDF"/>
    <w:rsid w:val="00424F6F"/>
    <w:rsid w:val="00424FAB"/>
    <w:rsid w:val="0042511B"/>
    <w:rsid w:val="0042512C"/>
    <w:rsid w:val="004251D2"/>
    <w:rsid w:val="00425234"/>
    <w:rsid w:val="00425260"/>
    <w:rsid w:val="004252B8"/>
    <w:rsid w:val="0042542D"/>
    <w:rsid w:val="004254D7"/>
    <w:rsid w:val="0042550C"/>
    <w:rsid w:val="00425556"/>
    <w:rsid w:val="00425570"/>
    <w:rsid w:val="004255A4"/>
    <w:rsid w:val="004255D9"/>
    <w:rsid w:val="00425618"/>
    <w:rsid w:val="004256E8"/>
    <w:rsid w:val="004256F3"/>
    <w:rsid w:val="004256FD"/>
    <w:rsid w:val="0042590E"/>
    <w:rsid w:val="0042596B"/>
    <w:rsid w:val="0042598C"/>
    <w:rsid w:val="00425AA7"/>
    <w:rsid w:val="00425BFA"/>
    <w:rsid w:val="00425CA1"/>
    <w:rsid w:val="00425CFA"/>
    <w:rsid w:val="00425D7C"/>
    <w:rsid w:val="00425DAB"/>
    <w:rsid w:val="0042609F"/>
    <w:rsid w:val="004260FE"/>
    <w:rsid w:val="0042610C"/>
    <w:rsid w:val="00426172"/>
    <w:rsid w:val="004261B0"/>
    <w:rsid w:val="004261DA"/>
    <w:rsid w:val="004261E9"/>
    <w:rsid w:val="00426284"/>
    <w:rsid w:val="00426339"/>
    <w:rsid w:val="004263F1"/>
    <w:rsid w:val="00426444"/>
    <w:rsid w:val="0042644A"/>
    <w:rsid w:val="004264EB"/>
    <w:rsid w:val="0042657B"/>
    <w:rsid w:val="004265A0"/>
    <w:rsid w:val="00426635"/>
    <w:rsid w:val="0042667F"/>
    <w:rsid w:val="004266EB"/>
    <w:rsid w:val="004266F0"/>
    <w:rsid w:val="004267FE"/>
    <w:rsid w:val="004268A1"/>
    <w:rsid w:val="00426954"/>
    <w:rsid w:val="00426B6E"/>
    <w:rsid w:val="00426BD4"/>
    <w:rsid w:val="00426BEE"/>
    <w:rsid w:val="00426C22"/>
    <w:rsid w:val="00426CE0"/>
    <w:rsid w:val="00426DA0"/>
    <w:rsid w:val="00426DAB"/>
    <w:rsid w:val="00426E51"/>
    <w:rsid w:val="00426F68"/>
    <w:rsid w:val="00426FC5"/>
    <w:rsid w:val="004270D1"/>
    <w:rsid w:val="0042710A"/>
    <w:rsid w:val="00427194"/>
    <w:rsid w:val="00427223"/>
    <w:rsid w:val="00427257"/>
    <w:rsid w:val="0042725D"/>
    <w:rsid w:val="0042752D"/>
    <w:rsid w:val="00427579"/>
    <w:rsid w:val="0042766A"/>
    <w:rsid w:val="0042780A"/>
    <w:rsid w:val="004279CE"/>
    <w:rsid w:val="00427A3E"/>
    <w:rsid w:val="00427A4E"/>
    <w:rsid w:val="00427B85"/>
    <w:rsid w:val="00427B9D"/>
    <w:rsid w:val="00427C50"/>
    <w:rsid w:val="00427D83"/>
    <w:rsid w:val="00427E40"/>
    <w:rsid w:val="00427E4C"/>
    <w:rsid w:val="00427E7E"/>
    <w:rsid w:val="00427FC6"/>
    <w:rsid w:val="004300E5"/>
    <w:rsid w:val="004300F6"/>
    <w:rsid w:val="00430144"/>
    <w:rsid w:val="00430230"/>
    <w:rsid w:val="004303B7"/>
    <w:rsid w:val="00430477"/>
    <w:rsid w:val="0043054D"/>
    <w:rsid w:val="00430621"/>
    <w:rsid w:val="004306C2"/>
    <w:rsid w:val="00430781"/>
    <w:rsid w:val="004308B5"/>
    <w:rsid w:val="00430A2B"/>
    <w:rsid w:val="00430B95"/>
    <w:rsid w:val="00430DBA"/>
    <w:rsid w:val="00430E4C"/>
    <w:rsid w:val="0043111A"/>
    <w:rsid w:val="0043114F"/>
    <w:rsid w:val="00431376"/>
    <w:rsid w:val="004313C4"/>
    <w:rsid w:val="004313D9"/>
    <w:rsid w:val="00431499"/>
    <w:rsid w:val="0043154D"/>
    <w:rsid w:val="00431567"/>
    <w:rsid w:val="004316D7"/>
    <w:rsid w:val="00431803"/>
    <w:rsid w:val="00431861"/>
    <w:rsid w:val="004318BB"/>
    <w:rsid w:val="00431960"/>
    <w:rsid w:val="00431A2F"/>
    <w:rsid w:val="00431A83"/>
    <w:rsid w:val="00431AFB"/>
    <w:rsid w:val="00431CCB"/>
    <w:rsid w:val="00431CE6"/>
    <w:rsid w:val="00431D95"/>
    <w:rsid w:val="00431DB7"/>
    <w:rsid w:val="00431E24"/>
    <w:rsid w:val="00431F56"/>
    <w:rsid w:val="00432033"/>
    <w:rsid w:val="004320EE"/>
    <w:rsid w:val="00432149"/>
    <w:rsid w:val="00432246"/>
    <w:rsid w:val="004322CE"/>
    <w:rsid w:val="00432300"/>
    <w:rsid w:val="0043233C"/>
    <w:rsid w:val="00432366"/>
    <w:rsid w:val="004323B0"/>
    <w:rsid w:val="0043247A"/>
    <w:rsid w:val="004325C3"/>
    <w:rsid w:val="00432768"/>
    <w:rsid w:val="004327A2"/>
    <w:rsid w:val="004327DE"/>
    <w:rsid w:val="0043283C"/>
    <w:rsid w:val="0043284E"/>
    <w:rsid w:val="00432A28"/>
    <w:rsid w:val="00432A92"/>
    <w:rsid w:val="00432AA5"/>
    <w:rsid w:val="00432AC4"/>
    <w:rsid w:val="00432B85"/>
    <w:rsid w:val="00432C97"/>
    <w:rsid w:val="00432D88"/>
    <w:rsid w:val="00432EAA"/>
    <w:rsid w:val="00432EDA"/>
    <w:rsid w:val="00432EDC"/>
    <w:rsid w:val="00432FA9"/>
    <w:rsid w:val="00432FF1"/>
    <w:rsid w:val="004330C0"/>
    <w:rsid w:val="00433121"/>
    <w:rsid w:val="00433148"/>
    <w:rsid w:val="00433182"/>
    <w:rsid w:val="00433189"/>
    <w:rsid w:val="004331C9"/>
    <w:rsid w:val="00433205"/>
    <w:rsid w:val="004332D7"/>
    <w:rsid w:val="004332F8"/>
    <w:rsid w:val="004333AC"/>
    <w:rsid w:val="004333BB"/>
    <w:rsid w:val="00433509"/>
    <w:rsid w:val="00433520"/>
    <w:rsid w:val="004335B1"/>
    <w:rsid w:val="00433675"/>
    <w:rsid w:val="004336A1"/>
    <w:rsid w:val="00433840"/>
    <w:rsid w:val="004339FA"/>
    <w:rsid w:val="00433A55"/>
    <w:rsid w:val="00433AD0"/>
    <w:rsid w:val="00433B9B"/>
    <w:rsid w:val="00433D03"/>
    <w:rsid w:val="00433D94"/>
    <w:rsid w:val="00433DFE"/>
    <w:rsid w:val="00433E0D"/>
    <w:rsid w:val="00433E69"/>
    <w:rsid w:val="00433FA4"/>
    <w:rsid w:val="00434068"/>
    <w:rsid w:val="004340D6"/>
    <w:rsid w:val="00434137"/>
    <w:rsid w:val="004341AA"/>
    <w:rsid w:val="004341C9"/>
    <w:rsid w:val="00434451"/>
    <w:rsid w:val="00434491"/>
    <w:rsid w:val="004344ED"/>
    <w:rsid w:val="00434588"/>
    <w:rsid w:val="0043462A"/>
    <w:rsid w:val="00434640"/>
    <w:rsid w:val="00434686"/>
    <w:rsid w:val="00434779"/>
    <w:rsid w:val="004347A7"/>
    <w:rsid w:val="004347C3"/>
    <w:rsid w:val="00434866"/>
    <w:rsid w:val="00434930"/>
    <w:rsid w:val="00434957"/>
    <w:rsid w:val="0043496E"/>
    <w:rsid w:val="00434A00"/>
    <w:rsid w:val="00434B73"/>
    <w:rsid w:val="00434BCA"/>
    <w:rsid w:val="00434CD6"/>
    <w:rsid w:val="00434CEB"/>
    <w:rsid w:val="00434D39"/>
    <w:rsid w:val="00434DCB"/>
    <w:rsid w:val="00434DEA"/>
    <w:rsid w:val="00434E4F"/>
    <w:rsid w:val="00434F9E"/>
    <w:rsid w:val="00434FB4"/>
    <w:rsid w:val="0043505F"/>
    <w:rsid w:val="004351C8"/>
    <w:rsid w:val="00435219"/>
    <w:rsid w:val="00435227"/>
    <w:rsid w:val="0043532F"/>
    <w:rsid w:val="00435351"/>
    <w:rsid w:val="0043575F"/>
    <w:rsid w:val="00435804"/>
    <w:rsid w:val="00435851"/>
    <w:rsid w:val="00435855"/>
    <w:rsid w:val="00435872"/>
    <w:rsid w:val="0043590C"/>
    <w:rsid w:val="00435AF7"/>
    <w:rsid w:val="00435C7B"/>
    <w:rsid w:val="00435D26"/>
    <w:rsid w:val="00435E57"/>
    <w:rsid w:val="00435F8C"/>
    <w:rsid w:val="00435F9E"/>
    <w:rsid w:val="00435FD3"/>
    <w:rsid w:val="0043609C"/>
    <w:rsid w:val="004360DD"/>
    <w:rsid w:val="004360F9"/>
    <w:rsid w:val="00436131"/>
    <w:rsid w:val="00436141"/>
    <w:rsid w:val="0043638E"/>
    <w:rsid w:val="00436490"/>
    <w:rsid w:val="00436527"/>
    <w:rsid w:val="00436575"/>
    <w:rsid w:val="00436578"/>
    <w:rsid w:val="004365ED"/>
    <w:rsid w:val="00436725"/>
    <w:rsid w:val="004368E9"/>
    <w:rsid w:val="004369CF"/>
    <w:rsid w:val="00436ABD"/>
    <w:rsid w:val="00436B99"/>
    <w:rsid w:val="00436BBE"/>
    <w:rsid w:val="00436C36"/>
    <w:rsid w:val="00436C49"/>
    <w:rsid w:val="00436C8F"/>
    <w:rsid w:val="00436CC4"/>
    <w:rsid w:val="00436E02"/>
    <w:rsid w:val="00436E90"/>
    <w:rsid w:val="00436F10"/>
    <w:rsid w:val="0043706C"/>
    <w:rsid w:val="00437080"/>
    <w:rsid w:val="00437112"/>
    <w:rsid w:val="00437189"/>
    <w:rsid w:val="00437197"/>
    <w:rsid w:val="004372AF"/>
    <w:rsid w:val="004372ED"/>
    <w:rsid w:val="00437323"/>
    <w:rsid w:val="00437354"/>
    <w:rsid w:val="0043743F"/>
    <w:rsid w:val="0043748A"/>
    <w:rsid w:val="00437564"/>
    <w:rsid w:val="0043757B"/>
    <w:rsid w:val="0043762A"/>
    <w:rsid w:val="0043763B"/>
    <w:rsid w:val="00437645"/>
    <w:rsid w:val="00437755"/>
    <w:rsid w:val="004377E7"/>
    <w:rsid w:val="00437807"/>
    <w:rsid w:val="004378AD"/>
    <w:rsid w:val="00437963"/>
    <w:rsid w:val="00437988"/>
    <w:rsid w:val="0043798C"/>
    <w:rsid w:val="00437A11"/>
    <w:rsid w:val="00437D07"/>
    <w:rsid w:val="00437D1A"/>
    <w:rsid w:val="00437D40"/>
    <w:rsid w:val="00437DAE"/>
    <w:rsid w:val="00437DD4"/>
    <w:rsid w:val="00437E50"/>
    <w:rsid w:val="00437E54"/>
    <w:rsid w:val="00437F67"/>
    <w:rsid w:val="00437F8E"/>
    <w:rsid w:val="0044003A"/>
    <w:rsid w:val="00440133"/>
    <w:rsid w:val="004401F7"/>
    <w:rsid w:val="0044024A"/>
    <w:rsid w:val="00440259"/>
    <w:rsid w:val="00440290"/>
    <w:rsid w:val="00440412"/>
    <w:rsid w:val="004404FF"/>
    <w:rsid w:val="004405E4"/>
    <w:rsid w:val="004405F1"/>
    <w:rsid w:val="004406C4"/>
    <w:rsid w:val="00440787"/>
    <w:rsid w:val="0044078A"/>
    <w:rsid w:val="00440943"/>
    <w:rsid w:val="00440A27"/>
    <w:rsid w:val="00440A3F"/>
    <w:rsid w:val="00440A40"/>
    <w:rsid w:val="00440A8D"/>
    <w:rsid w:val="00440BCD"/>
    <w:rsid w:val="00440C47"/>
    <w:rsid w:val="00440D2B"/>
    <w:rsid w:val="00440F6E"/>
    <w:rsid w:val="004411C1"/>
    <w:rsid w:val="00441236"/>
    <w:rsid w:val="00441266"/>
    <w:rsid w:val="00441360"/>
    <w:rsid w:val="0044147C"/>
    <w:rsid w:val="00441519"/>
    <w:rsid w:val="004415EE"/>
    <w:rsid w:val="0044165A"/>
    <w:rsid w:val="00441662"/>
    <w:rsid w:val="004416DE"/>
    <w:rsid w:val="00441792"/>
    <w:rsid w:val="00441914"/>
    <w:rsid w:val="00441925"/>
    <w:rsid w:val="00441957"/>
    <w:rsid w:val="004419CF"/>
    <w:rsid w:val="00441C31"/>
    <w:rsid w:val="00441C9B"/>
    <w:rsid w:val="00441D6F"/>
    <w:rsid w:val="00441DD7"/>
    <w:rsid w:val="0044200F"/>
    <w:rsid w:val="00442024"/>
    <w:rsid w:val="00442025"/>
    <w:rsid w:val="004420E3"/>
    <w:rsid w:val="00442159"/>
    <w:rsid w:val="00442241"/>
    <w:rsid w:val="0044229B"/>
    <w:rsid w:val="004422CE"/>
    <w:rsid w:val="004422D7"/>
    <w:rsid w:val="00442340"/>
    <w:rsid w:val="0044234F"/>
    <w:rsid w:val="00442354"/>
    <w:rsid w:val="00442368"/>
    <w:rsid w:val="004423B0"/>
    <w:rsid w:val="0044246E"/>
    <w:rsid w:val="0044250F"/>
    <w:rsid w:val="00442563"/>
    <w:rsid w:val="004425C9"/>
    <w:rsid w:val="00442616"/>
    <w:rsid w:val="00442677"/>
    <w:rsid w:val="0044272D"/>
    <w:rsid w:val="004427C0"/>
    <w:rsid w:val="00442A0F"/>
    <w:rsid w:val="00442A1F"/>
    <w:rsid w:val="00442A27"/>
    <w:rsid w:val="00442AD5"/>
    <w:rsid w:val="00442AF7"/>
    <w:rsid w:val="00442BDD"/>
    <w:rsid w:val="00442BF0"/>
    <w:rsid w:val="00442C94"/>
    <w:rsid w:val="00442E2A"/>
    <w:rsid w:val="00442E67"/>
    <w:rsid w:val="00442EB0"/>
    <w:rsid w:val="00442F1A"/>
    <w:rsid w:val="00442F2E"/>
    <w:rsid w:val="00442FE4"/>
    <w:rsid w:val="00443101"/>
    <w:rsid w:val="004432A0"/>
    <w:rsid w:val="004432A7"/>
    <w:rsid w:val="00443564"/>
    <w:rsid w:val="00443624"/>
    <w:rsid w:val="0044369F"/>
    <w:rsid w:val="00443784"/>
    <w:rsid w:val="004437C8"/>
    <w:rsid w:val="0044389D"/>
    <w:rsid w:val="004438D4"/>
    <w:rsid w:val="004438F1"/>
    <w:rsid w:val="00443930"/>
    <w:rsid w:val="00443A6C"/>
    <w:rsid w:val="00443B1F"/>
    <w:rsid w:val="00443B6C"/>
    <w:rsid w:val="00443BB3"/>
    <w:rsid w:val="00443D2D"/>
    <w:rsid w:val="00443ECB"/>
    <w:rsid w:val="00444045"/>
    <w:rsid w:val="00444127"/>
    <w:rsid w:val="004442EA"/>
    <w:rsid w:val="00444439"/>
    <w:rsid w:val="004445E3"/>
    <w:rsid w:val="0044460A"/>
    <w:rsid w:val="00444646"/>
    <w:rsid w:val="0044468A"/>
    <w:rsid w:val="00444696"/>
    <w:rsid w:val="004446A4"/>
    <w:rsid w:val="00444751"/>
    <w:rsid w:val="00444778"/>
    <w:rsid w:val="00444887"/>
    <w:rsid w:val="004448BD"/>
    <w:rsid w:val="0044490B"/>
    <w:rsid w:val="0044493B"/>
    <w:rsid w:val="0044497A"/>
    <w:rsid w:val="0044498E"/>
    <w:rsid w:val="004449DA"/>
    <w:rsid w:val="00444A8B"/>
    <w:rsid w:val="00444AD8"/>
    <w:rsid w:val="00444B6F"/>
    <w:rsid w:val="00444B87"/>
    <w:rsid w:val="00444E01"/>
    <w:rsid w:val="00444E33"/>
    <w:rsid w:val="00444EA5"/>
    <w:rsid w:val="00444EEE"/>
    <w:rsid w:val="00445111"/>
    <w:rsid w:val="0044514C"/>
    <w:rsid w:val="00445194"/>
    <w:rsid w:val="004451D7"/>
    <w:rsid w:val="00445240"/>
    <w:rsid w:val="004452D3"/>
    <w:rsid w:val="004453AE"/>
    <w:rsid w:val="004453BF"/>
    <w:rsid w:val="00445466"/>
    <w:rsid w:val="00445470"/>
    <w:rsid w:val="00445474"/>
    <w:rsid w:val="004454C5"/>
    <w:rsid w:val="004454C9"/>
    <w:rsid w:val="0044550F"/>
    <w:rsid w:val="00445544"/>
    <w:rsid w:val="00445549"/>
    <w:rsid w:val="004455B4"/>
    <w:rsid w:val="004455D0"/>
    <w:rsid w:val="00445642"/>
    <w:rsid w:val="0044567E"/>
    <w:rsid w:val="004457C3"/>
    <w:rsid w:val="004457E9"/>
    <w:rsid w:val="00445884"/>
    <w:rsid w:val="004459A6"/>
    <w:rsid w:val="004459AF"/>
    <w:rsid w:val="00445A94"/>
    <w:rsid w:val="00445B6D"/>
    <w:rsid w:val="00445BC8"/>
    <w:rsid w:val="00445BF9"/>
    <w:rsid w:val="00445C23"/>
    <w:rsid w:val="00445D65"/>
    <w:rsid w:val="00445DF6"/>
    <w:rsid w:val="00445E90"/>
    <w:rsid w:val="00445F3A"/>
    <w:rsid w:val="00445FA7"/>
    <w:rsid w:val="0044602E"/>
    <w:rsid w:val="00446199"/>
    <w:rsid w:val="004461A1"/>
    <w:rsid w:val="004462F9"/>
    <w:rsid w:val="00446357"/>
    <w:rsid w:val="00446374"/>
    <w:rsid w:val="004463B6"/>
    <w:rsid w:val="0044643B"/>
    <w:rsid w:val="004464FA"/>
    <w:rsid w:val="00446570"/>
    <w:rsid w:val="00446572"/>
    <w:rsid w:val="004465E3"/>
    <w:rsid w:val="00446750"/>
    <w:rsid w:val="0044678F"/>
    <w:rsid w:val="004467DF"/>
    <w:rsid w:val="00446899"/>
    <w:rsid w:val="00446A8C"/>
    <w:rsid w:val="00446A92"/>
    <w:rsid w:val="00446B06"/>
    <w:rsid w:val="00446B17"/>
    <w:rsid w:val="00446B3A"/>
    <w:rsid w:val="00446B59"/>
    <w:rsid w:val="00446BD4"/>
    <w:rsid w:val="00446CCD"/>
    <w:rsid w:val="00446CEA"/>
    <w:rsid w:val="00446DF8"/>
    <w:rsid w:val="00446DFF"/>
    <w:rsid w:val="00446E9F"/>
    <w:rsid w:val="00446EAF"/>
    <w:rsid w:val="00446ECD"/>
    <w:rsid w:val="00446F55"/>
    <w:rsid w:val="0044705D"/>
    <w:rsid w:val="00447084"/>
    <w:rsid w:val="004470BE"/>
    <w:rsid w:val="004470DE"/>
    <w:rsid w:val="00447381"/>
    <w:rsid w:val="004473AC"/>
    <w:rsid w:val="004473FA"/>
    <w:rsid w:val="0044752D"/>
    <w:rsid w:val="0044756C"/>
    <w:rsid w:val="004475CE"/>
    <w:rsid w:val="00447655"/>
    <w:rsid w:val="004476DE"/>
    <w:rsid w:val="00447794"/>
    <w:rsid w:val="00447798"/>
    <w:rsid w:val="004477D4"/>
    <w:rsid w:val="004477DE"/>
    <w:rsid w:val="004478AA"/>
    <w:rsid w:val="00447930"/>
    <w:rsid w:val="0044799A"/>
    <w:rsid w:val="0044799F"/>
    <w:rsid w:val="004479A0"/>
    <w:rsid w:val="00447D44"/>
    <w:rsid w:val="00447EB5"/>
    <w:rsid w:val="004500BE"/>
    <w:rsid w:val="00450156"/>
    <w:rsid w:val="004501AC"/>
    <w:rsid w:val="004501EA"/>
    <w:rsid w:val="004501F7"/>
    <w:rsid w:val="00450213"/>
    <w:rsid w:val="00450225"/>
    <w:rsid w:val="00450282"/>
    <w:rsid w:val="004504A2"/>
    <w:rsid w:val="004505F3"/>
    <w:rsid w:val="00450664"/>
    <w:rsid w:val="0045074D"/>
    <w:rsid w:val="00450797"/>
    <w:rsid w:val="004507B8"/>
    <w:rsid w:val="0045084F"/>
    <w:rsid w:val="0045087E"/>
    <w:rsid w:val="00450912"/>
    <w:rsid w:val="0045091E"/>
    <w:rsid w:val="0045092B"/>
    <w:rsid w:val="0045094C"/>
    <w:rsid w:val="0045095E"/>
    <w:rsid w:val="004509C0"/>
    <w:rsid w:val="00450ACE"/>
    <w:rsid w:val="00450BA8"/>
    <w:rsid w:val="00450CB4"/>
    <w:rsid w:val="00450D38"/>
    <w:rsid w:val="00450EE2"/>
    <w:rsid w:val="00450F38"/>
    <w:rsid w:val="00450F95"/>
    <w:rsid w:val="00451101"/>
    <w:rsid w:val="0045113B"/>
    <w:rsid w:val="004511C5"/>
    <w:rsid w:val="004511FE"/>
    <w:rsid w:val="00451235"/>
    <w:rsid w:val="00451245"/>
    <w:rsid w:val="00451379"/>
    <w:rsid w:val="00451433"/>
    <w:rsid w:val="0045147E"/>
    <w:rsid w:val="00451552"/>
    <w:rsid w:val="00451584"/>
    <w:rsid w:val="0045167E"/>
    <w:rsid w:val="004517C7"/>
    <w:rsid w:val="0045189F"/>
    <w:rsid w:val="00451903"/>
    <w:rsid w:val="0045194B"/>
    <w:rsid w:val="004519A9"/>
    <w:rsid w:val="00451B29"/>
    <w:rsid w:val="00451BBA"/>
    <w:rsid w:val="00451C1F"/>
    <w:rsid w:val="00451C97"/>
    <w:rsid w:val="00451D45"/>
    <w:rsid w:val="00451D85"/>
    <w:rsid w:val="00451D8F"/>
    <w:rsid w:val="00451DA6"/>
    <w:rsid w:val="00451E03"/>
    <w:rsid w:val="00451F75"/>
    <w:rsid w:val="00451FC3"/>
    <w:rsid w:val="0045213F"/>
    <w:rsid w:val="004521A3"/>
    <w:rsid w:val="0045220B"/>
    <w:rsid w:val="00452295"/>
    <w:rsid w:val="004524F4"/>
    <w:rsid w:val="0045251E"/>
    <w:rsid w:val="004525EA"/>
    <w:rsid w:val="00452649"/>
    <w:rsid w:val="0045278A"/>
    <w:rsid w:val="00452814"/>
    <w:rsid w:val="0045290E"/>
    <w:rsid w:val="00452A63"/>
    <w:rsid w:val="00452AAC"/>
    <w:rsid w:val="00452AAD"/>
    <w:rsid w:val="00452C0F"/>
    <w:rsid w:val="00452C4E"/>
    <w:rsid w:val="00452C7B"/>
    <w:rsid w:val="00452CE6"/>
    <w:rsid w:val="00452E1B"/>
    <w:rsid w:val="00452E1E"/>
    <w:rsid w:val="0045305F"/>
    <w:rsid w:val="00453083"/>
    <w:rsid w:val="00453177"/>
    <w:rsid w:val="0045327D"/>
    <w:rsid w:val="004532E2"/>
    <w:rsid w:val="00453328"/>
    <w:rsid w:val="0045338B"/>
    <w:rsid w:val="00453869"/>
    <w:rsid w:val="00453888"/>
    <w:rsid w:val="00453914"/>
    <w:rsid w:val="00453A64"/>
    <w:rsid w:val="00453A82"/>
    <w:rsid w:val="00453AF9"/>
    <w:rsid w:val="00453B69"/>
    <w:rsid w:val="00453BDB"/>
    <w:rsid w:val="00453DE9"/>
    <w:rsid w:val="00453EC7"/>
    <w:rsid w:val="00453FF2"/>
    <w:rsid w:val="00453FF6"/>
    <w:rsid w:val="00454010"/>
    <w:rsid w:val="0045406D"/>
    <w:rsid w:val="004541D7"/>
    <w:rsid w:val="00454217"/>
    <w:rsid w:val="004542A4"/>
    <w:rsid w:val="00454322"/>
    <w:rsid w:val="004544C0"/>
    <w:rsid w:val="004544DC"/>
    <w:rsid w:val="00454587"/>
    <w:rsid w:val="004545B1"/>
    <w:rsid w:val="0045467D"/>
    <w:rsid w:val="004546D7"/>
    <w:rsid w:val="0045476E"/>
    <w:rsid w:val="0045488E"/>
    <w:rsid w:val="004549E2"/>
    <w:rsid w:val="00454A2D"/>
    <w:rsid w:val="00454A4B"/>
    <w:rsid w:val="00454AAF"/>
    <w:rsid w:val="00454B3C"/>
    <w:rsid w:val="00454B78"/>
    <w:rsid w:val="00454B80"/>
    <w:rsid w:val="00454C94"/>
    <w:rsid w:val="00454CCC"/>
    <w:rsid w:val="00454CFB"/>
    <w:rsid w:val="00454E7A"/>
    <w:rsid w:val="00454ED8"/>
    <w:rsid w:val="00454F8F"/>
    <w:rsid w:val="00454FF7"/>
    <w:rsid w:val="00455221"/>
    <w:rsid w:val="00455223"/>
    <w:rsid w:val="004552C8"/>
    <w:rsid w:val="00455307"/>
    <w:rsid w:val="00455388"/>
    <w:rsid w:val="004553A4"/>
    <w:rsid w:val="00455452"/>
    <w:rsid w:val="00455522"/>
    <w:rsid w:val="0045558B"/>
    <w:rsid w:val="0045573C"/>
    <w:rsid w:val="00455753"/>
    <w:rsid w:val="00455760"/>
    <w:rsid w:val="0045584B"/>
    <w:rsid w:val="004558EB"/>
    <w:rsid w:val="00455913"/>
    <w:rsid w:val="0045592A"/>
    <w:rsid w:val="00455996"/>
    <w:rsid w:val="00455A5F"/>
    <w:rsid w:val="00455A9D"/>
    <w:rsid w:val="00455B7B"/>
    <w:rsid w:val="00455BCE"/>
    <w:rsid w:val="00455CB0"/>
    <w:rsid w:val="00455DFC"/>
    <w:rsid w:val="00455E0B"/>
    <w:rsid w:val="00455E0D"/>
    <w:rsid w:val="00455E2C"/>
    <w:rsid w:val="00455EB0"/>
    <w:rsid w:val="00455EDE"/>
    <w:rsid w:val="00455F63"/>
    <w:rsid w:val="00456078"/>
    <w:rsid w:val="004560A4"/>
    <w:rsid w:val="0045633B"/>
    <w:rsid w:val="00456581"/>
    <w:rsid w:val="004565B4"/>
    <w:rsid w:val="0045662C"/>
    <w:rsid w:val="004566C3"/>
    <w:rsid w:val="004567F9"/>
    <w:rsid w:val="0045680D"/>
    <w:rsid w:val="00456823"/>
    <w:rsid w:val="004568E5"/>
    <w:rsid w:val="00456908"/>
    <w:rsid w:val="00456953"/>
    <w:rsid w:val="004569F3"/>
    <w:rsid w:val="00456A3A"/>
    <w:rsid w:val="00456A53"/>
    <w:rsid w:val="00456A81"/>
    <w:rsid w:val="00456BFF"/>
    <w:rsid w:val="00456C09"/>
    <w:rsid w:val="00456C96"/>
    <w:rsid w:val="00456D3E"/>
    <w:rsid w:val="00456D6A"/>
    <w:rsid w:val="00456DA5"/>
    <w:rsid w:val="00456DA9"/>
    <w:rsid w:val="00456DAC"/>
    <w:rsid w:val="00456DBA"/>
    <w:rsid w:val="00456F11"/>
    <w:rsid w:val="00456F44"/>
    <w:rsid w:val="00456FCA"/>
    <w:rsid w:val="00457012"/>
    <w:rsid w:val="004570C5"/>
    <w:rsid w:val="004570F2"/>
    <w:rsid w:val="00457140"/>
    <w:rsid w:val="004571E5"/>
    <w:rsid w:val="00457277"/>
    <w:rsid w:val="0045727A"/>
    <w:rsid w:val="004572E8"/>
    <w:rsid w:val="004573DE"/>
    <w:rsid w:val="004574B7"/>
    <w:rsid w:val="00457504"/>
    <w:rsid w:val="0045759C"/>
    <w:rsid w:val="00457871"/>
    <w:rsid w:val="004578AF"/>
    <w:rsid w:val="004579CD"/>
    <w:rsid w:val="004579E2"/>
    <w:rsid w:val="00457AAC"/>
    <w:rsid w:val="00457B9B"/>
    <w:rsid w:val="00457E81"/>
    <w:rsid w:val="00457EAA"/>
    <w:rsid w:val="00457FF8"/>
    <w:rsid w:val="0046010A"/>
    <w:rsid w:val="004601C9"/>
    <w:rsid w:val="004602BE"/>
    <w:rsid w:val="00460411"/>
    <w:rsid w:val="00460426"/>
    <w:rsid w:val="004604C4"/>
    <w:rsid w:val="0046052B"/>
    <w:rsid w:val="004605C4"/>
    <w:rsid w:val="004606D3"/>
    <w:rsid w:val="004606D6"/>
    <w:rsid w:val="004606EF"/>
    <w:rsid w:val="004607E3"/>
    <w:rsid w:val="0046082F"/>
    <w:rsid w:val="00460877"/>
    <w:rsid w:val="004608E2"/>
    <w:rsid w:val="00460974"/>
    <w:rsid w:val="00460999"/>
    <w:rsid w:val="00460A80"/>
    <w:rsid w:val="00460B10"/>
    <w:rsid w:val="00460B3C"/>
    <w:rsid w:val="00460B41"/>
    <w:rsid w:val="00460BE6"/>
    <w:rsid w:val="00460C00"/>
    <w:rsid w:val="00460C2D"/>
    <w:rsid w:val="00460C5C"/>
    <w:rsid w:val="00460C69"/>
    <w:rsid w:val="00460D36"/>
    <w:rsid w:val="00460DF6"/>
    <w:rsid w:val="00460F51"/>
    <w:rsid w:val="004610F8"/>
    <w:rsid w:val="0046110D"/>
    <w:rsid w:val="00461112"/>
    <w:rsid w:val="00461178"/>
    <w:rsid w:val="004611AF"/>
    <w:rsid w:val="00461222"/>
    <w:rsid w:val="00461372"/>
    <w:rsid w:val="00461415"/>
    <w:rsid w:val="0046163A"/>
    <w:rsid w:val="0046165F"/>
    <w:rsid w:val="00461667"/>
    <w:rsid w:val="00461722"/>
    <w:rsid w:val="004617C6"/>
    <w:rsid w:val="004618CE"/>
    <w:rsid w:val="00461945"/>
    <w:rsid w:val="00461955"/>
    <w:rsid w:val="00461A68"/>
    <w:rsid w:val="00461B22"/>
    <w:rsid w:val="00461BBC"/>
    <w:rsid w:val="00461D66"/>
    <w:rsid w:val="00461D83"/>
    <w:rsid w:val="00461E4F"/>
    <w:rsid w:val="00461F68"/>
    <w:rsid w:val="0046203E"/>
    <w:rsid w:val="004620A4"/>
    <w:rsid w:val="004620FD"/>
    <w:rsid w:val="00462102"/>
    <w:rsid w:val="00462162"/>
    <w:rsid w:val="00462195"/>
    <w:rsid w:val="004621CD"/>
    <w:rsid w:val="0046230D"/>
    <w:rsid w:val="00462378"/>
    <w:rsid w:val="004623A2"/>
    <w:rsid w:val="004623AD"/>
    <w:rsid w:val="00462561"/>
    <w:rsid w:val="0046257C"/>
    <w:rsid w:val="0046264E"/>
    <w:rsid w:val="004626DC"/>
    <w:rsid w:val="00462772"/>
    <w:rsid w:val="00462797"/>
    <w:rsid w:val="004627F7"/>
    <w:rsid w:val="0046281B"/>
    <w:rsid w:val="00462898"/>
    <w:rsid w:val="004629EE"/>
    <w:rsid w:val="00462AC1"/>
    <w:rsid w:val="00462D83"/>
    <w:rsid w:val="00462DA0"/>
    <w:rsid w:val="00462DB4"/>
    <w:rsid w:val="00462DC7"/>
    <w:rsid w:val="00462EE3"/>
    <w:rsid w:val="00462EEC"/>
    <w:rsid w:val="00462FAD"/>
    <w:rsid w:val="00463014"/>
    <w:rsid w:val="0046301D"/>
    <w:rsid w:val="0046302E"/>
    <w:rsid w:val="004630AF"/>
    <w:rsid w:val="0046314D"/>
    <w:rsid w:val="00463203"/>
    <w:rsid w:val="004634F0"/>
    <w:rsid w:val="00463655"/>
    <w:rsid w:val="0046366F"/>
    <w:rsid w:val="00463671"/>
    <w:rsid w:val="004636D9"/>
    <w:rsid w:val="004637AD"/>
    <w:rsid w:val="004638F4"/>
    <w:rsid w:val="00463924"/>
    <w:rsid w:val="00463A6A"/>
    <w:rsid w:val="00463A74"/>
    <w:rsid w:val="00463ABC"/>
    <w:rsid w:val="00463B04"/>
    <w:rsid w:val="00463C58"/>
    <w:rsid w:val="00463C9D"/>
    <w:rsid w:val="00463CB5"/>
    <w:rsid w:val="00463DFC"/>
    <w:rsid w:val="00463E40"/>
    <w:rsid w:val="00463E98"/>
    <w:rsid w:val="00463EEB"/>
    <w:rsid w:val="00463FF4"/>
    <w:rsid w:val="00464251"/>
    <w:rsid w:val="004642B8"/>
    <w:rsid w:val="00464314"/>
    <w:rsid w:val="00464330"/>
    <w:rsid w:val="00464358"/>
    <w:rsid w:val="00464367"/>
    <w:rsid w:val="0046436A"/>
    <w:rsid w:val="0046446B"/>
    <w:rsid w:val="0046448D"/>
    <w:rsid w:val="00464566"/>
    <w:rsid w:val="004645B7"/>
    <w:rsid w:val="00464601"/>
    <w:rsid w:val="00464618"/>
    <w:rsid w:val="004646C4"/>
    <w:rsid w:val="004646E4"/>
    <w:rsid w:val="00464717"/>
    <w:rsid w:val="00464857"/>
    <w:rsid w:val="004648B9"/>
    <w:rsid w:val="00464952"/>
    <w:rsid w:val="00464959"/>
    <w:rsid w:val="00464A67"/>
    <w:rsid w:val="00464ACC"/>
    <w:rsid w:val="00464B39"/>
    <w:rsid w:val="00464B44"/>
    <w:rsid w:val="00464C4A"/>
    <w:rsid w:val="00464DA0"/>
    <w:rsid w:val="00464DB5"/>
    <w:rsid w:val="00465035"/>
    <w:rsid w:val="00465052"/>
    <w:rsid w:val="00465242"/>
    <w:rsid w:val="00465244"/>
    <w:rsid w:val="00465322"/>
    <w:rsid w:val="004653A8"/>
    <w:rsid w:val="0046551E"/>
    <w:rsid w:val="00465691"/>
    <w:rsid w:val="00465742"/>
    <w:rsid w:val="00465845"/>
    <w:rsid w:val="00465893"/>
    <w:rsid w:val="00465900"/>
    <w:rsid w:val="004659A6"/>
    <w:rsid w:val="004659AC"/>
    <w:rsid w:val="004659B3"/>
    <w:rsid w:val="00465A43"/>
    <w:rsid w:val="00465A7B"/>
    <w:rsid w:val="00465A88"/>
    <w:rsid w:val="00465AE0"/>
    <w:rsid w:val="00465B6F"/>
    <w:rsid w:val="00465D69"/>
    <w:rsid w:val="00465D7E"/>
    <w:rsid w:val="00465DB7"/>
    <w:rsid w:val="00465DDF"/>
    <w:rsid w:val="00465E8C"/>
    <w:rsid w:val="00465EB7"/>
    <w:rsid w:val="00465FBD"/>
    <w:rsid w:val="00465FFF"/>
    <w:rsid w:val="0046607B"/>
    <w:rsid w:val="0046609A"/>
    <w:rsid w:val="00466120"/>
    <w:rsid w:val="00466122"/>
    <w:rsid w:val="00466141"/>
    <w:rsid w:val="00466378"/>
    <w:rsid w:val="0046639B"/>
    <w:rsid w:val="004663D5"/>
    <w:rsid w:val="004663D6"/>
    <w:rsid w:val="0046641D"/>
    <w:rsid w:val="00466443"/>
    <w:rsid w:val="00466445"/>
    <w:rsid w:val="004664BA"/>
    <w:rsid w:val="00466510"/>
    <w:rsid w:val="00466526"/>
    <w:rsid w:val="00466595"/>
    <w:rsid w:val="004665FD"/>
    <w:rsid w:val="004666AB"/>
    <w:rsid w:val="004667D6"/>
    <w:rsid w:val="004667FD"/>
    <w:rsid w:val="0046682C"/>
    <w:rsid w:val="004668E5"/>
    <w:rsid w:val="00466923"/>
    <w:rsid w:val="004669D4"/>
    <w:rsid w:val="00466A94"/>
    <w:rsid w:val="00466C8D"/>
    <w:rsid w:val="00466DBD"/>
    <w:rsid w:val="00466DC4"/>
    <w:rsid w:val="00466F44"/>
    <w:rsid w:val="0046707C"/>
    <w:rsid w:val="00467125"/>
    <w:rsid w:val="004671F1"/>
    <w:rsid w:val="004672A9"/>
    <w:rsid w:val="00467308"/>
    <w:rsid w:val="00467356"/>
    <w:rsid w:val="00467413"/>
    <w:rsid w:val="004675E3"/>
    <w:rsid w:val="004677DF"/>
    <w:rsid w:val="00467867"/>
    <w:rsid w:val="004679B8"/>
    <w:rsid w:val="004679DC"/>
    <w:rsid w:val="00467AB9"/>
    <w:rsid w:val="00467CDB"/>
    <w:rsid w:val="00467D15"/>
    <w:rsid w:val="00467F5B"/>
    <w:rsid w:val="0047001D"/>
    <w:rsid w:val="00470143"/>
    <w:rsid w:val="0047016E"/>
    <w:rsid w:val="00470193"/>
    <w:rsid w:val="004702EF"/>
    <w:rsid w:val="0047047C"/>
    <w:rsid w:val="00470498"/>
    <w:rsid w:val="004704E8"/>
    <w:rsid w:val="0047051C"/>
    <w:rsid w:val="00470573"/>
    <w:rsid w:val="00470735"/>
    <w:rsid w:val="00470918"/>
    <w:rsid w:val="0047094B"/>
    <w:rsid w:val="004709FC"/>
    <w:rsid w:val="00470BCD"/>
    <w:rsid w:val="00470C72"/>
    <w:rsid w:val="00470CB5"/>
    <w:rsid w:val="00470D5D"/>
    <w:rsid w:val="00470EB2"/>
    <w:rsid w:val="00470ED3"/>
    <w:rsid w:val="00470F71"/>
    <w:rsid w:val="00470F87"/>
    <w:rsid w:val="00470FBE"/>
    <w:rsid w:val="00471048"/>
    <w:rsid w:val="004710D2"/>
    <w:rsid w:val="004710FC"/>
    <w:rsid w:val="0047117E"/>
    <w:rsid w:val="004711C6"/>
    <w:rsid w:val="0047121A"/>
    <w:rsid w:val="004712E3"/>
    <w:rsid w:val="0047131B"/>
    <w:rsid w:val="004713C2"/>
    <w:rsid w:val="00471516"/>
    <w:rsid w:val="004716E5"/>
    <w:rsid w:val="00471837"/>
    <w:rsid w:val="0047190C"/>
    <w:rsid w:val="00471ABE"/>
    <w:rsid w:val="00471B42"/>
    <w:rsid w:val="00471CC8"/>
    <w:rsid w:val="00471CFF"/>
    <w:rsid w:val="00471E62"/>
    <w:rsid w:val="00471EA7"/>
    <w:rsid w:val="00471EC6"/>
    <w:rsid w:val="00471EFC"/>
    <w:rsid w:val="00471FF3"/>
    <w:rsid w:val="00472022"/>
    <w:rsid w:val="004720EC"/>
    <w:rsid w:val="004721BE"/>
    <w:rsid w:val="00472247"/>
    <w:rsid w:val="00472363"/>
    <w:rsid w:val="004723D8"/>
    <w:rsid w:val="0047241B"/>
    <w:rsid w:val="00472678"/>
    <w:rsid w:val="004726B4"/>
    <w:rsid w:val="004726FB"/>
    <w:rsid w:val="0047272F"/>
    <w:rsid w:val="00472792"/>
    <w:rsid w:val="0047280E"/>
    <w:rsid w:val="00472816"/>
    <w:rsid w:val="00472917"/>
    <w:rsid w:val="004729A8"/>
    <w:rsid w:val="00472AC9"/>
    <w:rsid w:val="00472AD3"/>
    <w:rsid w:val="00472ADD"/>
    <w:rsid w:val="00472B07"/>
    <w:rsid w:val="00472B34"/>
    <w:rsid w:val="00472B3F"/>
    <w:rsid w:val="00472B4E"/>
    <w:rsid w:val="00472B65"/>
    <w:rsid w:val="00472C82"/>
    <w:rsid w:val="00472CD4"/>
    <w:rsid w:val="00472DAB"/>
    <w:rsid w:val="00472E35"/>
    <w:rsid w:val="00472E8F"/>
    <w:rsid w:val="00472EB3"/>
    <w:rsid w:val="00472F26"/>
    <w:rsid w:val="00473065"/>
    <w:rsid w:val="0047312F"/>
    <w:rsid w:val="004731E2"/>
    <w:rsid w:val="00473247"/>
    <w:rsid w:val="00473250"/>
    <w:rsid w:val="004734BF"/>
    <w:rsid w:val="0047356A"/>
    <w:rsid w:val="0047358C"/>
    <w:rsid w:val="00473593"/>
    <w:rsid w:val="004735A1"/>
    <w:rsid w:val="004735E1"/>
    <w:rsid w:val="004736EA"/>
    <w:rsid w:val="00473738"/>
    <w:rsid w:val="0047379E"/>
    <w:rsid w:val="004737F2"/>
    <w:rsid w:val="00473810"/>
    <w:rsid w:val="00473855"/>
    <w:rsid w:val="0047395B"/>
    <w:rsid w:val="0047397D"/>
    <w:rsid w:val="004739D6"/>
    <w:rsid w:val="00473B2B"/>
    <w:rsid w:val="00473C15"/>
    <w:rsid w:val="00473CA8"/>
    <w:rsid w:val="00473D14"/>
    <w:rsid w:val="00473D66"/>
    <w:rsid w:val="00473D67"/>
    <w:rsid w:val="00473EE2"/>
    <w:rsid w:val="00473F58"/>
    <w:rsid w:val="004740DF"/>
    <w:rsid w:val="00474112"/>
    <w:rsid w:val="00474127"/>
    <w:rsid w:val="004741D8"/>
    <w:rsid w:val="004743DC"/>
    <w:rsid w:val="00474423"/>
    <w:rsid w:val="004747B5"/>
    <w:rsid w:val="004749AA"/>
    <w:rsid w:val="00474AE6"/>
    <w:rsid w:val="00474C00"/>
    <w:rsid w:val="00474C64"/>
    <w:rsid w:val="00474D0A"/>
    <w:rsid w:val="00474D23"/>
    <w:rsid w:val="00474E33"/>
    <w:rsid w:val="00474F07"/>
    <w:rsid w:val="00475042"/>
    <w:rsid w:val="004750D5"/>
    <w:rsid w:val="0047513A"/>
    <w:rsid w:val="00475173"/>
    <w:rsid w:val="004751DF"/>
    <w:rsid w:val="00475226"/>
    <w:rsid w:val="0047526D"/>
    <w:rsid w:val="0047528A"/>
    <w:rsid w:val="004752FB"/>
    <w:rsid w:val="0047552D"/>
    <w:rsid w:val="00475561"/>
    <w:rsid w:val="004756B2"/>
    <w:rsid w:val="00475700"/>
    <w:rsid w:val="0047576C"/>
    <w:rsid w:val="004757A6"/>
    <w:rsid w:val="00475832"/>
    <w:rsid w:val="004758A9"/>
    <w:rsid w:val="00475983"/>
    <w:rsid w:val="0047599A"/>
    <w:rsid w:val="0047599C"/>
    <w:rsid w:val="004759A0"/>
    <w:rsid w:val="00475A20"/>
    <w:rsid w:val="00475B0D"/>
    <w:rsid w:val="00475D2D"/>
    <w:rsid w:val="00475DBC"/>
    <w:rsid w:val="00475E77"/>
    <w:rsid w:val="00475ED1"/>
    <w:rsid w:val="00475F26"/>
    <w:rsid w:val="00475F36"/>
    <w:rsid w:val="00475FDF"/>
    <w:rsid w:val="004760F8"/>
    <w:rsid w:val="004761A9"/>
    <w:rsid w:val="00476246"/>
    <w:rsid w:val="0047627A"/>
    <w:rsid w:val="00476420"/>
    <w:rsid w:val="0047644C"/>
    <w:rsid w:val="004764CC"/>
    <w:rsid w:val="004765BB"/>
    <w:rsid w:val="0047660D"/>
    <w:rsid w:val="00476634"/>
    <w:rsid w:val="004766BD"/>
    <w:rsid w:val="004766DA"/>
    <w:rsid w:val="00476992"/>
    <w:rsid w:val="00476A4D"/>
    <w:rsid w:val="00476C69"/>
    <w:rsid w:val="00476DD7"/>
    <w:rsid w:val="00476E16"/>
    <w:rsid w:val="00476E8E"/>
    <w:rsid w:val="00476F6C"/>
    <w:rsid w:val="00476F71"/>
    <w:rsid w:val="00476FB0"/>
    <w:rsid w:val="00476FBB"/>
    <w:rsid w:val="00477017"/>
    <w:rsid w:val="00477038"/>
    <w:rsid w:val="00477115"/>
    <w:rsid w:val="0047714E"/>
    <w:rsid w:val="0047722E"/>
    <w:rsid w:val="004772A8"/>
    <w:rsid w:val="00477347"/>
    <w:rsid w:val="00477568"/>
    <w:rsid w:val="0047767E"/>
    <w:rsid w:val="004776F9"/>
    <w:rsid w:val="00477701"/>
    <w:rsid w:val="00477725"/>
    <w:rsid w:val="0047788D"/>
    <w:rsid w:val="004778ED"/>
    <w:rsid w:val="0047794C"/>
    <w:rsid w:val="0047798B"/>
    <w:rsid w:val="00477A5F"/>
    <w:rsid w:val="00477ADC"/>
    <w:rsid w:val="00477BEC"/>
    <w:rsid w:val="00477C49"/>
    <w:rsid w:val="00477CC9"/>
    <w:rsid w:val="00477F2D"/>
    <w:rsid w:val="0048001C"/>
    <w:rsid w:val="0048012B"/>
    <w:rsid w:val="004803EF"/>
    <w:rsid w:val="004804CF"/>
    <w:rsid w:val="00480533"/>
    <w:rsid w:val="004805C2"/>
    <w:rsid w:val="004805C7"/>
    <w:rsid w:val="004806D5"/>
    <w:rsid w:val="00480793"/>
    <w:rsid w:val="00480796"/>
    <w:rsid w:val="00480861"/>
    <w:rsid w:val="0048090D"/>
    <w:rsid w:val="00480930"/>
    <w:rsid w:val="004809AB"/>
    <w:rsid w:val="00480B4C"/>
    <w:rsid w:val="00480BEE"/>
    <w:rsid w:val="00480C61"/>
    <w:rsid w:val="00480CEE"/>
    <w:rsid w:val="00480DE7"/>
    <w:rsid w:val="00480E3A"/>
    <w:rsid w:val="00480E84"/>
    <w:rsid w:val="00480EF9"/>
    <w:rsid w:val="00480F01"/>
    <w:rsid w:val="00480F76"/>
    <w:rsid w:val="00481307"/>
    <w:rsid w:val="00481446"/>
    <w:rsid w:val="0048149E"/>
    <w:rsid w:val="00481601"/>
    <w:rsid w:val="00481648"/>
    <w:rsid w:val="004816C2"/>
    <w:rsid w:val="004818C5"/>
    <w:rsid w:val="00481A2B"/>
    <w:rsid w:val="00481A36"/>
    <w:rsid w:val="00481C2B"/>
    <w:rsid w:val="00481CD8"/>
    <w:rsid w:val="00481D08"/>
    <w:rsid w:val="00481D90"/>
    <w:rsid w:val="00481DDA"/>
    <w:rsid w:val="00481DF1"/>
    <w:rsid w:val="00481DFB"/>
    <w:rsid w:val="00481E41"/>
    <w:rsid w:val="00481E95"/>
    <w:rsid w:val="00481E9D"/>
    <w:rsid w:val="00482030"/>
    <w:rsid w:val="004820A2"/>
    <w:rsid w:val="004820E5"/>
    <w:rsid w:val="004820EC"/>
    <w:rsid w:val="0048217E"/>
    <w:rsid w:val="004821CE"/>
    <w:rsid w:val="0048224F"/>
    <w:rsid w:val="004822EE"/>
    <w:rsid w:val="00482321"/>
    <w:rsid w:val="00482337"/>
    <w:rsid w:val="004823F7"/>
    <w:rsid w:val="00482426"/>
    <w:rsid w:val="0048243F"/>
    <w:rsid w:val="00482595"/>
    <w:rsid w:val="004825F5"/>
    <w:rsid w:val="0048261F"/>
    <w:rsid w:val="00482733"/>
    <w:rsid w:val="004828A3"/>
    <w:rsid w:val="00482944"/>
    <w:rsid w:val="00482A73"/>
    <w:rsid w:val="00482AB2"/>
    <w:rsid w:val="00482ABD"/>
    <w:rsid w:val="00482CD9"/>
    <w:rsid w:val="00482CED"/>
    <w:rsid w:val="00482D68"/>
    <w:rsid w:val="00482DBE"/>
    <w:rsid w:val="00482DC3"/>
    <w:rsid w:val="00482E55"/>
    <w:rsid w:val="00482EB4"/>
    <w:rsid w:val="00482ED8"/>
    <w:rsid w:val="00482F8F"/>
    <w:rsid w:val="00482FBF"/>
    <w:rsid w:val="0048303C"/>
    <w:rsid w:val="00483057"/>
    <w:rsid w:val="004831A4"/>
    <w:rsid w:val="004831EA"/>
    <w:rsid w:val="00483214"/>
    <w:rsid w:val="0048324B"/>
    <w:rsid w:val="004832E1"/>
    <w:rsid w:val="00483335"/>
    <w:rsid w:val="004833AF"/>
    <w:rsid w:val="004833D3"/>
    <w:rsid w:val="00483477"/>
    <w:rsid w:val="00483484"/>
    <w:rsid w:val="004835D8"/>
    <w:rsid w:val="00483658"/>
    <w:rsid w:val="00483681"/>
    <w:rsid w:val="004836F2"/>
    <w:rsid w:val="004837EA"/>
    <w:rsid w:val="00483887"/>
    <w:rsid w:val="004838B7"/>
    <w:rsid w:val="004838F2"/>
    <w:rsid w:val="00483956"/>
    <w:rsid w:val="0048398C"/>
    <w:rsid w:val="00483AB9"/>
    <w:rsid w:val="00483AF5"/>
    <w:rsid w:val="00483BE7"/>
    <w:rsid w:val="00483DC6"/>
    <w:rsid w:val="00483EF6"/>
    <w:rsid w:val="00483F02"/>
    <w:rsid w:val="00483F58"/>
    <w:rsid w:val="00483FC6"/>
    <w:rsid w:val="00484000"/>
    <w:rsid w:val="004840DD"/>
    <w:rsid w:val="0048414A"/>
    <w:rsid w:val="00484188"/>
    <w:rsid w:val="004841DC"/>
    <w:rsid w:val="004842C0"/>
    <w:rsid w:val="00484537"/>
    <w:rsid w:val="00484657"/>
    <w:rsid w:val="00484696"/>
    <w:rsid w:val="0048471B"/>
    <w:rsid w:val="00484752"/>
    <w:rsid w:val="004847C8"/>
    <w:rsid w:val="00484887"/>
    <w:rsid w:val="0048489B"/>
    <w:rsid w:val="004848D8"/>
    <w:rsid w:val="0048497D"/>
    <w:rsid w:val="00484A8E"/>
    <w:rsid w:val="00484AD9"/>
    <w:rsid w:val="00484DDD"/>
    <w:rsid w:val="00484E59"/>
    <w:rsid w:val="00485057"/>
    <w:rsid w:val="00485130"/>
    <w:rsid w:val="004851DD"/>
    <w:rsid w:val="004851DE"/>
    <w:rsid w:val="004852EB"/>
    <w:rsid w:val="00485361"/>
    <w:rsid w:val="004853A2"/>
    <w:rsid w:val="004853BE"/>
    <w:rsid w:val="0048545E"/>
    <w:rsid w:val="00485505"/>
    <w:rsid w:val="0048556B"/>
    <w:rsid w:val="0048557B"/>
    <w:rsid w:val="004855B7"/>
    <w:rsid w:val="004855C2"/>
    <w:rsid w:val="004855C7"/>
    <w:rsid w:val="0048560F"/>
    <w:rsid w:val="00485656"/>
    <w:rsid w:val="00485693"/>
    <w:rsid w:val="004856D4"/>
    <w:rsid w:val="004856E9"/>
    <w:rsid w:val="0048578C"/>
    <w:rsid w:val="0048588F"/>
    <w:rsid w:val="004858AA"/>
    <w:rsid w:val="00485952"/>
    <w:rsid w:val="00485A35"/>
    <w:rsid w:val="00485A78"/>
    <w:rsid w:val="00485A9C"/>
    <w:rsid w:val="00485B24"/>
    <w:rsid w:val="00485B27"/>
    <w:rsid w:val="00485BD5"/>
    <w:rsid w:val="00485C37"/>
    <w:rsid w:val="00485C59"/>
    <w:rsid w:val="00485D27"/>
    <w:rsid w:val="00485DA0"/>
    <w:rsid w:val="00485DB9"/>
    <w:rsid w:val="00485E04"/>
    <w:rsid w:val="00485EE3"/>
    <w:rsid w:val="00486004"/>
    <w:rsid w:val="004861EE"/>
    <w:rsid w:val="00486200"/>
    <w:rsid w:val="00486324"/>
    <w:rsid w:val="0048635E"/>
    <w:rsid w:val="0048639B"/>
    <w:rsid w:val="004863FE"/>
    <w:rsid w:val="0048653E"/>
    <w:rsid w:val="004866CF"/>
    <w:rsid w:val="004866F0"/>
    <w:rsid w:val="0048674A"/>
    <w:rsid w:val="00486808"/>
    <w:rsid w:val="00486838"/>
    <w:rsid w:val="0048683A"/>
    <w:rsid w:val="00486859"/>
    <w:rsid w:val="00486907"/>
    <w:rsid w:val="00486916"/>
    <w:rsid w:val="0048693B"/>
    <w:rsid w:val="00486A8D"/>
    <w:rsid w:val="00486AC7"/>
    <w:rsid w:val="00486ADA"/>
    <w:rsid w:val="00486B35"/>
    <w:rsid w:val="00486B9D"/>
    <w:rsid w:val="00486DA8"/>
    <w:rsid w:val="00486E41"/>
    <w:rsid w:val="00486F9E"/>
    <w:rsid w:val="004870BF"/>
    <w:rsid w:val="0048721B"/>
    <w:rsid w:val="004873A9"/>
    <w:rsid w:val="00487427"/>
    <w:rsid w:val="00487448"/>
    <w:rsid w:val="004874A8"/>
    <w:rsid w:val="004875ED"/>
    <w:rsid w:val="00487663"/>
    <w:rsid w:val="0048774F"/>
    <w:rsid w:val="004877D8"/>
    <w:rsid w:val="00487826"/>
    <w:rsid w:val="004878A2"/>
    <w:rsid w:val="004878F6"/>
    <w:rsid w:val="00487AEA"/>
    <w:rsid w:val="00487C87"/>
    <w:rsid w:val="00487D41"/>
    <w:rsid w:val="00487D79"/>
    <w:rsid w:val="00487E44"/>
    <w:rsid w:val="00487F8D"/>
    <w:rsid w:val="00487FE6"/>
    <w:rsid w:val="00487FF6"/>
    <w:rsid w:val="004900E9"/>
    <w:rsid w:val="004900F8"/>
    <w:rsid w:val="0049011A"/>
    <w:rsid w:val="004901B3"/>
    <w:rsid w:val="004901C3"/>
    <w:rsid w:val="00490203"/>
    <w:rsid w:val="00490285"/>
    <w:rsid w:val="0049028A"/>
    <w:rsid w:val="00490353"/>
    <w:rsid w:val="004903D1"/>
    <w:rsid w:val="00490430"/>
    <w:rsid w:val="00490452"/>
    <w:rsid w:val="004904B4"/>
    <w:rsid w:val="00490592"/>
    <w:rsid w:val="00490733"/>
    <w:rsid w:val="00490969"/>
    <w:rsid w:val="00490AA8"/>
    <w:rsid w:val="00490AFD"/>
    <w:rsid w:val="00490B08"/>
    <w:rsid w:val="00490B32"/>
    <w:rsid w:val="00490B5A"/>
    <w:rsid w:val="00490B9A"/>
    <w:rsid w:val="00490C79"/>
    <w:rsid w:val="00490CDE"/>
    <w:rsid w:val="00490D4A"/>
    <w:rsid w:val="00490D69"/>
    <w:rsid w:val="00490DA8"/>
    <w:rsid w:val="00490DE0"/>
    <w:rsid w:val="00490DF8"/>
    <w:rsid w:val="00490E3F"/>
    <w:rsid w:val="00490ED9"/>
    <w:rsid w:val="00490FAB"/>
    <w:rsid w:val="004910C8"/>
    <w:rsid w:val="004910DA"/>
    <w:rsid w:val="0049115C"/>
    <w:rsid w:val="00491163"/>
    <w:rsid w:val="004911C2"/>
    <w:rsid w:val="00491282"/>
    <w:rsid w:val="00491639"/>
    <w:rsid w:val="0049169A"/>
    <w:rsid w:val="00491784"/>
    <w:rsid w:val="0049181C"/>
    <w:rsid w:val="0049185D"/>
    <w:rsid w:val="004918E5"/>
    <w:rsid w:val="00491AB0"/>
    <w:rsid w:val="00491AF5"/>
    <w:rsid w:val="00491B20"/>
    <w:rsid w:val="00491B8C"/>
    <w:rsid w:val="00491C4E"/>
    <w:rsid w:val="00491DC2"/>
    <w:rsid w:val="00491EDC"/>
    <w:rsid w:val="00491F39"/>
    <w:rsid w:val="00491F53"/>
    <w:rsid w:val="00491F60"/>
    <w:rsid w:val="00491F70"/>
    <w:rsid w:val="00491FDE"/>
    <w:rsid w:val="00492038"/>
    <w:rsid w:val="0049203F"/>
    <w:rsid w:val="00492250"/>
    <w:rsid w:val="0049230A"/>
    <w:rsid w:val="0049240A"/>
    <w:rsid w:val="00492515"/>
    <w:rsid w:val="004925B2"/>
    <w:rsid w:val="004925B4"/>
    <w:rsid w:val="00492691"/>
    <w:rsid w:val="00492799"/>
    <w:rsid w:val="0049286C"/>
    <w:rsid w:val="00492894"/>
    <w:rsid w:val="00492943"/>
    <w:rsid w:val="00492A44"/>
    <w:rsid w:val="00492ADF"/>
    <w:rsid w:val="00492C78"/>
    <w:rsid w:val="00492CBD"/>
    <w:rsid w:val="00492D58"/>
    <w:rsid w:val="00492E47"/>
    <w:rsid w:val="00492E98"/>
    <w:rsid w:val="00492F72"/>
    <w:rsid w:val="00493179"/>
    <w:rsid w:val="004932CA"/>
    <w:rsid w:val="004932F4"/>
    <w:rsid w:val="00493469"/>
    <w:rsid w:val="00493556"/>
    <w:rsid w:val="0049362F"/>
    <w:rsid w:val="00493654"/>
    <w:rsid w:val="00493679"/>
    <w:rsid w:val="0049391F"/>
    <w:rsid w:val="00493949"/>
    <w:rsid w:val="00493A20"/>
    <w:rsid w:val="00493AF1"/>
    <w:rsid w:val="00493AFA"/>
    <w:rsid w:val="00493B0B"/>
    <w:rsid w:val="00493B22"/>
    <w:rsid w:val="00493B41"/>
    <w:rsid w:val="00493C6D"/>
    <w:rsid w:val="00493CB3"/>
    <w:rsid w:val="00493DD9"/>
    <w:rsid w:val="00493F35"/>
    <w:rsid w:val="00493F42"/>
    <w:rsid w:val="0049443E"/>
    <w:rsid w:val="0049449F"/>
    <w:rsid w:val="004944EA"/>
    <w:rsid w:val="00494571"/>
    <w:rsid w:val="0049459A"/>
    <w:rsid w:val="004946B8"/>
    <w:rsid w:val="0049474C"/>
    <w:rsid w:val="004947EA"/>
    <w:rsid w:val="0049485A"/>
    <w:rsid w:val="004948F9"/>
    <w:rsid w:val="00494928"/>
    <w:rsid w:val="004949E7"/>
    <w:rsid w:val="00494C16"/>
    <w:rsid w:val="00494C7D"/>
    <w:rsid w:val="00494DC4"/>
    <w:rsid w:val="00494DFD"/>
    <w:rsid w:val="00494E16"/>
    <w:rsid w:val="00494E54"/>
    <w:rsid w:val="00494E9C"/>
    <w:rsid w:val="00495077"/>
    <w:rsid w:val="004950D2"/>
    <w:rsid w:val="00495101"/>
    <w:rsid w:val="004951A8"/>
    <w:rsid w:val="004952D8"/>
    <w:rsid w:val="004952E3"/>
    <w:rsid w:val="004953AC"/>
    <w:rsid w:val="004953C9"/>
    <w:rsid w:val="0049550F"/>
    <w:rsid w:val="0049565A"/>
    <w:rsid w:val="00495703"/>
    <w:rsid w:val="004957C4"/>
    <w:rsid w:val="004957F3"/>
    <w:rsid w:val="004958BD"/>
    <w:rsid w:val="004958FC"/>
    <w:rsid w:val="00495901"/>
    <w:rsid w:val="0049598B"/>
    <w:rsid w:val="00495A44"/>
    <w:rsid w:val="00495C0E"/>
    <w:rsid w:val="00495C4C"/>
    <w:rsid w:val="00495C50"/>
    <w:rsid w:val="00495CA7"/>
    <w:rsid w:val="00495CDA"/>
    <w:rsid w:val="00495E1F"/>
    <w:rsid w:val="00495E4A"/>
    <w:rsid w:val="00495E50"/>
    <w:rsid w:val="00495EF5"/>
    <w:rsid w:val="00495F02"/>
    <w:rsid w:val="00495F1A"/>
    <w:rsid w:val="00496350"/>
    <w:rsid w:val="0049657A"/>
    <w:rsid w:val="004967CA"/>
    <w:rsid w:val="0049683A"/>
    <w:rsid w:val="004968B6"/>
    <w:rsid w:val="00496948"/>
    <w:rsid w:val="00496B15"/>
    <w:rsid w:val="00496C89"/>
    <w:rsid w:val="00496D10"/>
    <w:rsid w:val="00496D11"/>
    <w:rsid w:val="00496D58"/>
    <w:rsid w:val="00496D64"/>
    <w:rsid w:val="00496DBB"/>
    <w:rsid w:val="00496EC2"/>
    <w:rsid w:val="00496F98"/>
    <w:rsid w:val="004971AA"/>
    <w:rsid w:val="0049722F"/>
    <w:rsid w:val="0049728A"/>
    <w:rsid w:val="004973AE"/>
    <w:rsid w:val="0049744A"/>
    <w:rsid w:val="004974A7"/>
    <w:rsid w:val="004974B3"/>
    <w:rsid w:val="00497548"/>
    <w:rsid w:val="00497559"/>
    <w:rsid w:val="004975AB"/>
    <w:rsid w:val="004975F8"/>
    <w:rsid w:val="00497666"/>
    <w:rsid w:val="004976B9"/>
    <w:rsid w:val="00497725"/>
    <w:rsid w:val="00497839"/>
    <w:rsid w:val="00497A18"/>
    <w:rsid w:val="00497A94"/>
    <w:rsid w:val="00497AF6"/>
    <w:rsid w:val="00497C0D"/>
    <w:rsid w:val="00497C8B"/>
    <w:rsid w:val="00497D74"/>
    <w:rsid w:val="00497EC8"/>
    <w:rsid w:val="00497F2E"/>
    <w:rsid w:val="004A0084"/>
    <w:rsid w:val="004A00AC"/>
    <w:rsid w:val="004A00E0"/>
    <w:rsid w:val="004A0198"/>
    <w:rsid w:val="004A01A6"/>
    <w:rsid w:val="004A01E4"/>
    <w:rsid w:val="004A0255"/>
    <w:rsid w:val="004A0345"/>
    <w:rsid w:val="004A035A"/>
    <w:rsid w:val="004A03CD"/>
    <w:rsid w:val="004A03F9"/>
    <w:rsid w:val="004A0507"/>
    <w:rsid w:val="004A0697"/>
    <w:rsid w:val="004A0734"/>
    <w:rsid w:val="004A08DF"/>
    <w:rsid w:val="004A0927"/>
    <w:rsid w:val="004A092E"/>
    <w:rsid w:val="004A094E"/>
    <w:rsid w:val="004A0A32"/>
    <w:rsid w:val="004A0A6A"/>
    <w:rsid w:val="004A0C25"/>
    <w:rsid w:val="004A0EC5"/>
    <w:rsid w:val="004A0F71"/>
    <w:rsid w:val="004A0FE7"/>
    <w:rsid w:val="004A10E4"/>
    <w:rsid w:val="004A10F8"/>
    <w:rsid w:val="004A11C7"/>
    <w:rsid w:val="004A1225"/>
    <w:rsid w:val="004A122F"/>
    <w:rsid w:val="004A135B"/>
    <w:rsid w:val="004A135D"/>
    <w:rsid w:val="004A13B5"/>
    <w:rsid w:val="004A13C2"/>
    <w:rsid w:val="004A13D5"/>
    <w:rsid w:val="004A142D"/>
    <w:rsid w:val="004A1453"/>
    <w:rsid w:val="004A145D"/>
    <w:rsid w:val="004A1600"/>
    <w:rsid w:val="004A16BB"/>
    <w:rsid w:val="004A16D3"/>
    <w:rsid w:val="004A1733"/>
    <w:rsid w:val="004A17A1"/>
    <w:rsid w:val="004A17BD"/>
    <w:rsid w:val="004A18B6"/>
    <w:rsid w:val="004A1A32"/>
    <w:rsid w:val="004A1B4A"/>
    <w:rsid w:val="004A1B8D"/>
    <w:rsid w:val="004A1CA0"/>
    <w:rsid w:val="004A1CFA"/>
    <w:rsid w:val="004A1D60"/>
    <w:rsid w:val="004A1DD6"/>
    <w:rsid w:val="004A1DDB"/>
    <w:rsid w:val="004A2092"/>
    <w:rsid w:val="004A220D"/>
    <w:rsid w:val="004A22C8"/>
    <w:rsid w:val="004A263A"/>
    <w:rsid w:val="004A2668"/>
    <w:rsid w:val="004A2737"/>
    <w:rsid w:val="004A2750"/>
    <w:rsid w:val="004A27E8"/>
    <w:rsid w:val="004A28A5"/>
    <w:rsid w:val="004A2976"/>
    <w:rsid w:val="004A2A64"/>
    <w:rsid w:val="004A2BC7"/>
    <w:rsid w:val="004A2C62"/>
    <w:rsid w:val="004A2DA2"/>
    <w:rsid w:val="004A2E0D"/>
    <w:rsid w:val="004A2EBA"/>
    <w:rsid w:val="004A3042"/>
    <w:rsid w:val="004A30A6"/>
    <w:rsid w:val="004A30FC"/>
    <w:rsid w:val="004A311F"/>
    <w:rsid w:val="004A315B"/>
    <w:rsid w:val="004A3189"/>
    <w:rsid w:val="004A3285"/>
    <w:rsid w:val="004A32FF"/>
    <w:rsid w:val="004A3308"/>
    <w:rsid w:val="004A332C"/>
    <w:rsid w:val="004A3385"/>
    <w:rsid w:val="004A35C6"/>
    <w:rsid w:val="004A3647"/>
    <w:rsid w:val="004A36B9"/>
    <w:rsid w:val="004A38C8"/>
    <w:rsid w:val="004A38FA"/>
    <w:rsid w:val="004A3912"/>
    <w:rsid w:val="004A3941"/>
    <w:rsid w:val="004A3985"/>
    <w:rsid w:val="004A39CC"/>
    <w:rsid w:val="004A39D5"/>
    <w:rsid w:val="004A3A07"/>
    <w:rsid w:val="004A3A46"/>
    <w:rsid w:val="004A3AD2"/>
    <w:rsid w:val="004A3ADD"/>
    <w:rsid w:val="004A3CA2"/>
    <w:rsid w:val="004A3DB0"/>
    <w:rsid w:val="004A3EB3"/>
    <w:rsid w:val="004A3F33"/>
    <w:rsid w:val="004A3F4A"/>
    <w:rsid w:val="004A3F6A"/>
    <w:rsid w:val="004A3F6F"/>
    <w:rsid w:val="004A4059"/>
    <w:rsid w:val="004A4075"/>
    <w:rsid w:val="004A41AC"/>
    <w:rsid w:val="004A42B9"/>
    <w:rsid w:val="004A43A9"/>
    <w:rsid w:val="004A43F0"/>
    <w:rsid w:val="004A442F"/>
    <w:rsid w:val="004A4589"/>
    <w:rsid w:val="004A45C8"/>
    <w:rsid w:val="004A45E5"/>
    <w:rsid w:val="004A45E7"/>
    <w:rsid w:val="004A466F"/>
    <w:rsid w:val="004A476E"/>
    <w:rsid w:val="004A4871"/>
    <w:rsid w:val="004A48B6"/>
    <w:rsid w:val="004A48D7"/>
    <w:rsid w:val="004A4AFE"/>
    <w:rsid w:val="004A4D41"/>
    <w:rsid w:val="004A4D66"/>
    <w:rsid w:val="004A4E2A"/>
    <w:rsid w:val="004A4E8C"/>
    <w:rsid w:val="004A4F3A"/>
    <w:rsid w:val="004A4F46"/>
    <w:rsid w:val="004A4FE2"/>
    <w:rsid w:val="004A501C"/>
    <w:rsid w:val="004A50AE"/>
    <w:rsid w:val="004A50E1"/>
    <w:rsid w:val="004A514B"/>
    <w:rsid w:val="004A517E"/>
    <w:rsid w:val="004A51B9"/>
    <w:rsid w:val="004A520A"/>
    <w:rsid w:val="004A5210"/>
    <w:rsid w:val="004A53A3"/>
    <w:rsid w:val="004A5483"/>
    <w:rsid w:val="004A54F1"/>
    <w:rsid w:val="004A558C"/>
    <w:rsid w:val="004A56A0"/>
    <w:rsid w:val="004A56E9"/>
    <w:rsid w:val="004A5722"/>
    <w:rsid w:val="004A57DE"/>
    <w:rsid w:val="004A588B"/>
    <w:rsid w:val="004A5936"/>
    <w:rsid w:val="004A59CF"/>
    <w:rsid w:val="004A5A12"/>
    <w:rsid w:val="004A5B30"/>
    <w:rsid w:val="004A5BEC"/>
    <w:rsid w:val="004A5C7C"/>
    <w:rsid w:val="004A5D25"/>
    <w:rsid w:val="004A5D64"/>
    <w:rsid w:val="004A5E4B"/>
    <w:rsid w:val="004A5E9F"/>
    <w:rsid w:val="004A5EC6"/>
    <w:rsid w:val="004A5EE4"/>
    <w:rsid w:val="004A6115"/>
    <w:rsid w:val="004A6125"/>
    <w:rsid w:val="004A614E"/>
    <w:rsid w:val="004A6236"/>
    <w:rsid w:val="004A626C"/>
    <w:rsid w:val="004A63A2"/>
    <w:rsid w:val="004A63EF"/>
    <w:rsid w:val="004A6461"/>
    <w:rsid w:val="004A6599"/>
    <w:rsid w:val="004A65C3"/>
    <w:rsid w:val="004A65F9"/>
    <w:rsid w:val="004A6656"/>
    <w:rsid w:val="004A6665"/>
    <w:rsid w:val="004A674D"/>
    <w:rsid w:val="004A6780"/>
    <w:rsid w:val="004A67B0"/>
    <w:rsid w:val="004A67E0"/>
    <w:rsid w:val="004A6961"/>
    <w:rsid w:val="004A6A63"/>
    <w:rsid w:val="004A6AE4"/>
    <w:rsid w:val="004A6C45"/>
    <w:rsid w:val="004A6CE2"/>
    <w:rsid w:val="004A6D18"/>
    <w:rsid w:val="004A6E39"/>
    <w:rsid w:val="004A6E72"/>
    <w:rsid w:val="004A6E77"/>
    <w:rsid w:val="004A6EF9"/>
    <w:rsid w:val="004A6F21"/>
    <w:rsid w:val="004A6F49"/>
    <w:rsid w:val="004A706F"/>
    <w:rsid w:val="004A70B9"/>
    <w:rsid w:val="004A7114"/>
    <w:rsid w:val="004A718E"/>
    <w:rsid w:val="004A7255"/>
    <w:rsid w:val="004A730F"/>
    <w:rsid w:val="004A73A6"/>
    <w:rsid w:val="004A7439"/>
    <w:rsid w:val="004A74CA"/>
    <w:rsid w:val="004A74D7"/>
    <w:rsid w:val="004A7500"/>
    <w:rsid w:val="004A7545"/>
    <w:rsid w:val="004A75E7"/>
    <w:rsid w:val="004A77B8"/>
    <w:rsid w:val="004A788B"/>
    <w:rsid w:val="004A78CF"/>
    <w:rsid w:val="004A7A2C"/>
    <w:rsid w:val="004A7AF4"/>
    <w:rsid w:val="004A7B24"/>
    <w:rsid w:val="004A7B3C"/>
    <w:rsid w:val="004A7B44"/>
    <w:rsid w:val="004A7C0C"/>
    <w:rsid w:val="004A7CAD"/>
    <w:rsid w:val="004A7E76"/>
    <w:rsid w:val="004A7E8A"/>
    <w:rsid w:val="004A7EAA"/>
    <w:rsid w:val="004B01DA"/>
    <w:rsid w:val="004B0273"/>
    <w:rsid w:val="004B036D"/>
    <w:rsid w:val="004B03CE"/>
    <w:rsid w:val="004B03EB"/>
    <w:rsid w:val="004B0418"/>
    <w:rsid w:val="004B045D"/>
    <w:rsid w:val="004B046A"/>
    <w:rsid w:val="004B04E4"/>
    <w:rsid w:val="004B04F7"/>
    <w:rsid w:val="004B05BF"/>
    <w:rsid w:val="004B0743"/>
    <w:rsid w:val="004B0769"/>
    <w:rsid w:val="004B08F3"/>
    <w:rsid w:val="004B0A1A"/>
    <w:rsid w:val="004B0A1E"/>
    <w:rsid w:val="004B0B41"/>
    <w:rsid w:val="004B0BFE"/>
    <w:rsid w:val="004B0D47"/>
    <w:rsid w:val="004B0D77"/>
    <w:rsid w:val="004B0E0A"/>
    <w:rsid w:val="004B0EAD"/>
    <w:rsid w:val="004B0EDC"/>
    <w:rsid w:val="004B0F98"/>
    <w:rsid w:val="004B1081"/>
    <w:rsid w:val="004B1118"/>
    <w:rsid w:val="004B113D"/>
    <w:rsid w:val="004B1176"/>
    <w:rsid w:val="004B11EF"/>
    <w:rsid w:val="004B1227"/>
    <w:rsid w:val="004B1277"/>
    <w:rsid w:val="004B12A4"/>
    <w:rsid w:val="004B12F4"/>
    <w:rsid w:val="004B13A8"/>
    <w:rsid w:val="004B1480"/>
    <w:rsid w:val="004B14C7"/>
    <w:rsid w:val="004B1503"/>
    <w:rsid w:val="004B1687"/>
    <w:rsid w:val="004B16E8"/>
    <w:rsid w:val="004B182E"/>
    <w:rsid w:val="004B18F2"/>
    <w:rsid w:val="004B19E7"/>
    <w:rsid w:val="004B1B62"/>
    <w:rsid w:val="004B1BAD"/>
    <w:rsid w:val="004B1BB3"/>
    <w:rsid w:val="004B1BB4"/>
    <w:rsid w:val="004B1BC6"/>
    <w:rsid w:val="004B1BEB"/>
    <w:rsid w:val="004B1C86"/>
    <w:rsid w:val="004B1CDC"/>
    <w:rsid w:val="004B1D00"/>
    <w:rsid w:val="004B1DCF"/>
    <w:rsid w:val="004B1DEC"/>
    <w:rsid w:val="004B1E28"/>
    <w:rsid w:val="004B1EFE"/>
    <w:rsid w:val="004B1F99"/>
    <w:rsid w:val="004B1FEF"/>
    <w:rsid w:val="004B2021"/>
    <w:rsid w:val="004B206D"/>
    <w:rsid w:val="004B2085"/>
    <w:rsid w:val="004B2089"/>
    <w:rsid w:val="004B2215"/>
    <w:rsid w:val="004B2326"/>
    <w:rsid w:val="004B265E"/>
    <w:rsid w:val="004B266E"/>
    <w:rsid w:val="004B269A"/>
    <w:rsid w:val="004B26E3"/>
    <w:rsid w:val="004B272F"/>
    <w:rsid w:val="004B28CF"/>
    <w:rsid w:val="004B2A01"/>
    <w:rsid w:val="004B2C68"/>
    <w:rsid w:val="004B2C7D"/>
    <w:rsid w:val="004B2DA4"/>
    <w:rsid w:val="004B2DC5"/>
    <w:rsid w:val="004B2E1A"/>
    <w:rsid w:val="004B2FA6"/>
    <w:rsid w:val="004B307F"/>
    <w:rsid w:val="004B308B"/>
    <w:rsid w:val="004B324A"/>
    <w:rsid w:val="004B32CC"/>
    <w:rsid w:val="004B32E0"/>
    <w:rsid w:val="004B32F5"/>
    <w:rsid w:val="004B3428"/>
    <w:rsid w:val="004B34A2"/>
    <w:rsid w:val="004B35D7"/>
    <w:rsid w:val="004B3675"/>
    <w:rsid w:val="004B37C4"/>
    <w:rsid w:val="004B39D1"/>
    <w:rsid w:val="004B3A38"/>
    <w:rsid w:val="004B3A42"/>
    <w:rsid w:val="004B3A85"/>
    <w:rsid w:val="004B3AC8"/>
    <w:rsid w:val="004B3B07"/>
    <w:rsid w:val="004B3BE3"/>
    <w:rsid w:val="004B3C5C"/>
    <w:rsid w:val="004B3C73"/>
    <w:rsid w:val="004B3CD2"/>
    <w:rsid w:val="004B3D03"/>
    <w:rsid w:val="004B3F07"/>
    <w:rsid w:val="004B3F5A"/>
    <w:rsid w:val="004B40F4"/>
    <w:rsid w:val="004B4135"/>
    <w:rsid w:val="004B4172"/>
    <w:rsid w:val="004B4244"/>
    <w:rsid w:val="004B4293"/>
    <w:rsid w:val="004B432D"/>
    <w:rsid w:val="004B46FE"/>
    <w:rsid w:val="004B48B6"/>
    <w:rsid w:val="004B48DE"/>
    <w:rsid w:val="004B4948"/>
    <w:rsid w:val="004B4A7E"/>
    <w:rsid w:val="004B4E04"/>
    <w:rsid w:val="004B4E1B"/>
    <w:rsid w:val="004B4E33"/>
    <w:rsid w:val="004B4F95"/>
    <w:rsid w:val="004B4FDD"/>
    <w:rsid w:val="004B5015"/>
    <w:rsid w:val="004B5020"/>
    <w:rsid w:val="004B5064"/>
    <w:rsid w:val="004B50F2"/>
    <w:rsid w:val="004B526D"/>
    <w:rsid w:val="004B527E"/>
    <w:rsid w:val="004B5345"/>
    <w:rsid w:val="004B5489"/>
    <w:rsid w:val="004B554B"/>
    <w:rsid w:val="004B559D"/>
    <w:rsid w:val="004B5826"/>
    <w:rsid w:val="004B5969"/>
    <w:rsid w:val="004B5A70"/>
    <w:rsid w:val="004B5A86"/>
    <w:rsid w:val="004B5AAC"/>
    <w:rsid w:val="004B5B5A"/>
    <w:rsid w:val="004B5C66"/>
    <w:rsid w:val="004B5D00"/>
    <w:rsid w:val="004B5D1B"/>
    <w:rsid w:val="004B5DF3"/>
    <w:rsid w:val="004B5EE2"/>
    <w:rsid w:val="004B5F79"/>
    <w:rsid w:val="004B608F"/>
    <w:rsid w:val="004B6217"/>
    <w:rsid w:val="004B6276"/>
    <w:rsid w:val="004B62FE"/>
    <w:rsid w:val="004B63F2"/>
    <w:rsid w:val="004B6427"/>
    <w:rsid w:val="004B64E6"/>
    <w:rsid w:val="004B658C"/>
    <w:rsid w:val="004B6687"/>
    <w:rsid w:val="004B6701"/>
    <w:rsid w:val="004B67EE"/>
    <w:rsid w:val="004B692E"/>
    <w:rsid w:val="004B69B3"/>
    <w:rsid w:val="004B6A83"/>
    <w:rsid w:val="004B6A96"/>
    <w:rsid w:val="004B6ABB"/>
    <w:rsid w:val="004B6BF1"/>
    <w:rsid w:val="004B6CE0"/>
    <w:rsid w:val="004B6D13"/>
    <w:rsid w:val="004B6D1E"/>
    <w:rsid w:val="004B6D38"/>
    <w:rsid w:val="004B6D94"/>
    <w:rsid w:val="004B6F3B"/>
    <w:rsid w:val="004B6FC6"/>
    <w:rsid w:val="004B702D"/>
    <w:rsid w:val="004B7043"/>
    <w:rsid w:val="004B70AE"/>
    <w:rsid w:val="004B710C"/>
    <w:rsid w:val="004B7146"/>
    <w:rsid w:val="004B7149"/>
    <w:rsid w:val="004B7188"/>
    <w:rsid w:val="004B71F4"/>
    <w:rsid w:val="004B74CE"/>
    <w:rsid w:val="004B756B"/>
    <w:rsid w:val="004B7584"/>
    <w:rsid w:val="004B7585"/>
    <w:rsid w:val="004B758B"/>
    <w:rsid w:val="004B75FD"/>
    <w:rsid w:val="004B7716"/>
    <w:rsid w:val="004B7749"/>
    <w:rsid w:val="004B78B9"/>
    <w:rsid w:val="004B7A1C"/>
    <w:rsid w:val="004B7A4D"/>
    <w:rsid w:val="004B7A9C"/>
    <w:rsid w:val="004B7BC5"/>
    <w:rsid w:val="004B7D06"/>
    <w:rsid w:val="004B7DA0"/>
    <w:rsid w:val="004B7DE5"/>
    <w:rsid w:val="004B7E9A"/>
    <w:rsid w:val="004B7F1A"/>
    <w:rsid w:val="004B7F9A"/>
    <w:rsid w:val="004BB101"/>
    <w:rsid w:val="004C013F"/>
    <w:rsid w:val="004C015D"/>
    <w:rsid w:val="004C01E4"/>
    <w:rsid w:val="004C0244"/>
    <w:rsid w:val="004C02A7"/>
    <w:rsid w:val="004C03A0"/>
    <w:rsid w:val="004C04C8"/>
    <w:rsid w:val="004C0582"/>
    <w:rsid w:val="004C05E8"/>
    <w:rsid w:val="004C05F4"/>
    <w:rsid w:val="004C062A"/>
    <w:rsid w:val="004C0660"/>
    <w:rsid w:val="004C0669"/>
    <w:rsid w:val="004C0670"/>
    <w:rsid w:val="004C07A8"/>
    <w:rsid w:val="004C08AC"/>
    <w:rsid w:val="004C09A9"/>
    <w:rsid w:val="004C09C5"/>
    <w:rsid w:val="004C0A30"/>
    <w:rsid w:val="004C0A52"/>
    <w:rsid w:val="004C0A70"/>
    <w:rsid w:val="004C0B3E"/>
    <w:rsid w:val="004C0B5A"/>
    <w:rsid w:val="004C0BA9"/>
    <w:rsid w:val="004C0BE0"/>
    <w:rsid w:val="004C0DA0"/>
    <w:rsid w:val="004C0DD3"/>
    <w:rsid w:val="004C0DE1"/>
    <w:rsid w:val="004C0E36"/>
    <w:rsid w:val="004C119B"/>
    <w:rsid w:val="004C11F3"/>
    <w:rsid w:val="004C1225"/>
    <w:rsid w:val="004C133F"/>
    <w:rsid w:val="004C1502"/>
    <w:rsid w:val="004C17EF"/>
    <w:rsid w:val="004C18BC"/>
    <w:rsid w:val="004C1983"/>
    <w:rsid w:val="004C19F3"/>
    <w:rsid w:val="004C1AB1"/>
    <w:rsid w:val="004C1AE0"/>
    <w:rsid w:val="004C1BCF"/>
    <w:rsid w:val="004C1C0F"/>
    <w:rsid w:val="004C1CB2"/>
    <w:rsid w:val="004C1CB7"/>
    <w:rsid w:val="004C1CBF"/>
    <w:rsid w:val="004C1CC8"/>
    <w:rsid w:val="004C1D14"/>
    <w:rsid w:val="004C1E10"/>
    <w:rsid w:val="004C1E38"/>
    <w:rsid w:val="004C1EDF"/>
    <w:rsid w:val="004C205D"/>
    <w:rsid w:val="004C2111"/>
    <w:rsid w:val="004C228E"/>
    <w:rsid w:val="004C229D"/>
    <w:rsid w:val="004C2321"/>
    <w:rsid w:val="004C2490"/>
    <w:rsid w:val="004C24DB"/>
    <w:rsid w:val="004C2500"/>
    <w:rsid w:val="004C25FB"/>
    <w:rsid w:val="004C261D"/>
    <w:rsid w:val="004C2656"/>
    <w:rsid w:val="004C2685"/>
    <w:rsid w:val="004C2715"/>
    <w:rsid w:val="004C2757"/>
    <w:rsid w:val="004C2867"/>
    <w:rsid w:val="004C2878"/>
    <w:rsid w:val="004C28AB"/>
    <w:rsid w:val="004C28EF"/>
    <w:rsid w:val="004C2901"/>
    <w:rsid w:val="004C291E"/>
    <w:rsid w:val="004C2959"/>
    <w:rsid w:val="004C2A1A"/>
    <w:rsid w:val="004C2AC1"/>
    <w:rsid w:val="004C2C02"/>
    <w:rsid w:val="004C2C2D"/>
    <w:rsid w:val="004C2CF6"/>
    <w:rsid w:val="004C2D2A"/>
    <w:rsid w:val="004C2EA4"/>
    <w:rsid w:val="004C3010"/>
    <w:rsid w:val="004C303E"/>
    <w:rsid w:val="004C3041"/>
    <w:rsid w:val="004C3065"/>
    <w:rsid w:val="004C30BD"/>
    <w:rsid w:val="004C314D"/>
    <w:rsid w:val="004C3179"/>
    <w:rsid w:val="004C3194"/>
    <w:rsid w:val="004C3253"/>
    <w:rsid w:val="004C3372"/>
    <w:rsid w:val="004C33F9"/>
    <w:rsid w:val="004C3410"/>
    <w:rsid w:val="004C3422"/>
    <w:rsid w:val="004C34DF"/>
    <w:rsid w:val="004C3500"/>
    <w:rsid w:val="004C3579"/>
    <w:rsid w:val="004C3780"/>
    <w:rsid w:val="004C3838"/>
    <w:rsid w:val="004C387F"/>
    <w:rsid w:val="004C395D"/>
    <w:rsid w:val="004C3A93"/>
    <w:rsid w:val="004C3B37"/>
    <w:rsid w:val="004C3BF3"/>
    <w:rsid w:val="004C3C7B"/>
    <w:rsid w:val="004C3CF5"/>
    <w:rsid w:val="004C3DD5"/>
    <w:rsid w:val="004C3E79"/>
    <w:rsid w:val="004C3E9A"/>
    <w:rsid w:val="004C3EA2"/>
    <w:rsid w:val="004C3EDD"/>
    <w:rsid w:val="004C3F53"/>
    <w:rsid w:val="004C3FB4"/>
    <w:rsid w:val="004C4010"/>
    <w:rsid w:val="004C40AB"/>
    <w:rsid w:val="004C40B9"/>
    <w:rsid w:val="004C4143"/>
    <w:rsid w:val="004C42F2"/>
    <w:rsid w:val="004C42FD"/>
    <w:rsid w:val="004C45D4"/>
    <w:rsid w:val="004C47D6"/>
    <w:rsid w:val="004C4818"/>
    <w:rsid w:val="004C482D"/>
    <w:rsid w:val="004C4857"/>
    <w:rsid w:val="004C494B"/>
    <w:rsid w:val="004C49CD"/>
    <w:rsid w:val="004C4A84"/>
    <w:rsid w:val="004C4ACF"/>
    <w:rsid w:val="004C4BC9"/>
    <w:rsid w:val="004C4C00"/>
    <w:rsid w:val="004C4C3F"/>
    <w:rsid w:val="004C4C66"/>
    <w:rsid w:val="004C4DAC"/>
    <w:rsid w:val="004C4DBA"/>
    <w:rsid w:val="004C4DED"/>
    <w:rsid w:val="004C4F2E"/>
    <w:rsid w:val="004C4FBF"/>
    <w:rsid w:val="004C5115"/>
    <w:rsid w:val="004C51A9"/>
    <w:rsid w:val="004C522A"/>
    <w:rsid w:val="004C52F4"/>
    <w:rsid w:val="004C536C"/>
    <w:rsid w:val="004C5598"/>
    <w:rsid w:val="004C56B9"/>
    <w:rsid w:val="004C576A"/>
    <w:rsid w:val="004C5884"/>
    <w:rsid w:val="004C589E"/>
    <w:rsid w:val="004C5AF0"/>
    <w:rsid w:val="004C5AF6"/>
    <w:rsid w:val="004C5B13"/>
    <w:rsid w:val="004C5B7A"/>
    <w:rsid w:val="004C5D3B"/>
    <w:rsid w:val="004C5D9C"/>
    <w:rsid w:val="004C5EC5"/>
    <w:rsid w:val="004C5ED7"/>
    <w:rsid w:val="004C5FB5"/>
    <w:rsid w:val="004C5FD1"/>
    <w:rsid w:val="004C6043"/>
    <w:rsid w:val="004C60FB"/>
    <w:rsid w:val="004C6105"/>
    <w:rsid w:val="004C633A"/>
    <w:rsid w:val="004C633C"/>
    <w:rsid w:val="004C639D"/>
    <w:rsid w:val="004C640A"/>
    <w:rsid w:val="004C64CC"/>
    <w:rsid w:val="004C64FD"/>
    <w:rsid w:val="004C6611"/>
    <w:rsid w:val="004C6655"/>
    <w:rsid w:val="004C66EA"/>
    <w:rsid w:val="004C66FE"/>
    <w:rsid w:val="004C67E1"/>
    <w:rsid w:val="004C6807"/>
    <w:rsid w:val="004C687B"/>
    <w:rsid w:val="004C68BA"/>
    <w:rsid w:val="004C68F0"/>
    <w:rsid w:val="004C6903"/>
    <w:rsid w:val="004C6926"/>
    <w:rsid w:val="004C6A8D"/>
    <w:rsid w:val="004C6A8F"/>
    <w:rsid w:val="004C6AFA"/>
    <w:rsid w:val="004C6BCE"/>
    <w:rsid w:val="004C6C1C"/>
    <w:rsid w:val="004C6CC1"/>
    <w:rsid w:val="004C6DA5"/>
    <w:rsid w:val="004C706D"/>
    <w:rsid w:val="004C7435"/>
    <w:rsid w:val="004C74C9"/>
    <w:rsid w:val="004C7517"/>
    <w:rsid w:val="004C7527"/>
    <w:rsid w:val="004C7582"/>
    <w:rsid w:val="004C75E5"/>
    <w:rsid w:val="004C75E6"/>
    <w:rsid w:val="004C7751"/>
    <w:rsid w:val="004C7768"/>
    <w:rsid w:val="004C7919"/>
    <w:rsid w:val="004C796D"/>
    <w:rsid w:val="004C798E"/>
    <w:rsid w:val="004C7990"/>
    <w:rsid w:val="004C7A24"/>
    <w:rsid w:val="004C7A6C"/>
    <w:rsid w:val="004C7A70"/>
    <w:rsid w:val="004C7CCC"/>
    <w:rsid w:val="004C7CD6"/>
    <w:rsid w:val="004C7CE1"/>
    <w:rsid w:val="004C7D24"/>
    <w:rsid w:val="004C7DA2"/>
    <w:rsid w:val="004C7F22"/>
    <w:rsid w:val="004C7F37"/>
    <w:rsid w:val="004CD692"/>
    <w:rsid w:val="004D003F"/>
    <w:rsid w:val="004D00ED"/>
    <w:rsid w:val="004D02E6"/>
    <w:rsid w:val="004D0337"/>
    <w:rsid w:val="004D035A"/>
    <w:rsid w:val="004D03B0"/>
    <w:rsid w:val="004D043F"/>
    <w:rsid w:val="004D0440"/>
    <w:rsid w:val="004D04E7"/>
    <w:rsid w:val="004D04E8"/>
    <w:rsid w:val="004D0511"/>
    <w:rsid w:val="004D0528"/>
    <w:rsid w:val="004D05A2"/>
    <w:rsid w:val="004D06E1"/>
    <w:rsid w:val="004D0780"/>
    <w:rsid w:val="004D079A"/>
    <w:rsid w:val="004D07C9"/>
    <w:rsid w:val="004D07E7"/>
    <w:rsid w:val="004D07ED"/>
    <w:rsid w:val="004D082D"/>
    <w:rsid w:val="004D0898"/>
    <w:rsid w:val="004D0899"/>
    <w:rsid w:val="004D0929"/>
    <w:rsid w:val="004D09B7"/>
    <w:rsid w:val="004D0A0A"/>
    <w:rsid w:val="004D0A14"/>
    <w:rsid w:val="004D0AAC"/>
    <w:rsid w:val="004D0AC0"/>
    <w:rsid w:val="004D0AC1"/>
    <w:rsid w:val="004D0B5C"/>
    <w:rsid w:val="004D0B7D"/>
    <w:rsid w:val="004D0C02"/>
    <w:rsid w:val="004D0CBB"/>
    <w:rsid w:val="004D0D14"/>
    <w:rsid w:val="004D0D2E"/>
    <w:rsid w:val="004D0D89"/>
    <w:rsid w:val="004D0D9D"/>
    <w:rsid w:val="004D0EF1"/>
    <w:rsid w:val="004D0FA9"/>
    <w:rsid w:val="004D104E"/>
    <w:rsid w:val="004D1057"/>
    <w:rsid w:val="004D1140"/>
    <w:rsid w:val="004D11E4"/>
    <w:rsid w:val="004D1231"/>
    <w:rsid w:val="004D1233"/>
    <w:rsid w:val="004D126C"/>
    <w:rsid w:val="004D1285"/>
    <w:rsid w:val="004D1293"/>
    <w:rsid w:val="004D12EA"/>
    <w:rsid w:val="004D1308"/>
    <w:rsid w:val="004D13DB"/>
    <w:rsid w:val="004D1432"/>
    <w:rsid w:val="004D14E7"/>
    <w:rsid w:val="004D1628"/>
    <w:rsid w:val="004D166D"/>
    <w:rsid w:val="004D16CF"/>
    <w:rsid w:val="004D1788"/>
    <w:rsid w:val="004D17D5"/>
    <w:rsid w:val="004D1831"/>
    <w:rsid w:val="004D1877"/>
    <w:rsid w:val="004D18F4"/>
    <w:rsid w:val="004D1A37"/>
    <w:rsid w:val="004D1A91"/>
    <w:rsid w:val="004D1B72"/>
    <w:rsid w:val="004D1C08"/>
    <w:rsid w:val="004D1CA0"/>
    <w:rsid w:val="004D1DC5"/>
    <w:rsid w:val="004D1DF5"/>
    <w:rsid w:val="004D1E52"/>
    <w:rsid w:val="004D1EB7"/>
    <w:rsid w:val="004D1F8C"/>
    <w:rsid w:val="004D21FD"/>
    <w:rsid w:val="004D22A4"/>
    <w:rsid w:val="004D22A9"/>
    <w:rsid w:val="004D235D"/>
    <w:rsid w:val="004D2460"/>
    <w:rsid w:val="004D24E1"/>
    <w:rsid w:val="004D2516"/>
    <w:rsid w:val="004D2560"/>
    <w:rsid w:val="004D256C"/>
    <w:rsid w:val="004D25CF"/>
    <w:rsid w:val="004D25DA"/>
    <w:rsid w:val="004D2643"/>
    <w:rsid w:val="004D2857"/>
    <w:rsid w:val="004D288A"/>
    <w:rsid w:val="004D28CE"/>
    <w:rsid w:val="004D2972"/>
    <w:rsid w:val="004D2990"/>
    <w:rsid w:val="004D29DF"/>
    <w:rsid w:val="004D2A1F"/>
    <w:rsid w:val="004D2AD2"/>
    <w:rsid w:val="004D2AE8"/>
    <w:rsid w:val="004D2C3C"/>
    <w:rsid w:val="004D2CFF"/>
    <w:rsid w:val="004D2D3B"/>
    <w:rsid w:val="004D2DD1"/>
    <w:rsid w:val="004D2DE9"/>
    <w:rsid w:val="004D2F83"/>
    <w:rsid w:val="004D2F91"/>
    <w:rsid w:val="004D30F5"/>
    <w:rsid w:val="004D3124"/>
    <w:rsid w:val="004D31ED"/>
    <w:rsid w:val="004D33C5"/>
    <w:rsid w:val="004D33E0"/>
    <w:rsid w:val="004D343F"/>
    <w:rsid w:val="004D3456"/>
    <w:rsid w:val="004D356A"/>
    <w:rsid w:val="004D361E"/>
    <w:rsid w:val="004D3649"/>
    <w:rsid w:val="004D364B"/>
    <w:rsid w:val="004D365B"/>
    <w:rsid w:val="004D376D"/>
    <w:rsid w:val="004D3891"/>
    <w:rsid w:val="004D3938"/>
    <w:rsid w:val="004D398D"/>
    <w:rsid w:val="004D3A19"/>
    <w:rsid w:val="004D3C12"/>
    <w:rsid w:val="004D3C63"/>
    <w:rsid w:val="004D3CB2"/>
    <w:rsid w:val="004D3DDC"/>
    <w:rsid w:val="004D3DE9"/>
    <w:rsid w:val="004D3EB0"/>
    <w:rsid w:val="004D3EDD"/>
    <w:rsid w:val="004D3EEC"/>
    <w:rsid w:val="004D3F31"/>
    <w:rsid w:val="004D3F3F"/>
    <w:rsid w:val="004D3F83"/>
    <w:rsid w:val="004D404C"/>
    <w:rsid w:val="004D404D"/>
    <w:rsid w:val="004D4112"/>
    <w:rsid w:val="004D41D9"/>
    <w:rsid w:val="004D4303"/>
    <w:rsid w:val="004D4357"/>
    <w:rsid w:val="004D43E9"/>
    <w:rsid w:val="004D4456"/>
    <w:rsid w:val="004D4511"/>
    <w:rsid w:val="004D4522"/>
    <w:rsid w:val="004D452F"/>
    <w:rsid w:val="004D45C4"/>
    <w:rsid w:val="004D46A5"/>
    <w:rsid w:val="004D479B"/>
    <w:rsid w:val="004D4888"/>
    <w:rsid w:val="004D48DB"/>
    <w:rsid w:val="004D4A06"/>
    <w:rsid w:val="004D4BEC"/>
    <w:rsid w:val="004D4CE8"/>
    <w:rsid w:val="004D4CEE"/>
    <w:rsid w:val="004D4D31"/>
    <w:rsid w:val="004D4DFB"/>
    <w:rsid w:val="004D4E08"/>
    <w:rsid w:val="004D4E80"/>
    <w:rsid w:val="004D4EE7"/>
    <w:rsid w:val="004D501C"/>
    <w:rsid w:val="004D5081"/>
    <w:rsid w:val="004D5240"/>
    <w:rsid w:val="004D5408"/>
    <w:rsid w:val="004D5496"/>
    <w:rsid w:val="004D549E"/>
    <w:rsid w:val="004D5560"/>
    <w:rsid w:val="004D569C"/>
    <w:rsid w:val="004D5761"/>
    <w:rsid w:val="004D5841"/>
    <w:rsid w:val="004D59C9"/>
    <w:rsid w:val="004D5ABA"/>
    <w:rsid w:val="004D5B29"/>
    <w:rsid w:val="004D5BED"/>
    <w:rsid w:val="004D5C4A"/>
    <w:rsid w:val="004D5C68"/>
    <w:rsid w:val="004D5E99"/>
    <w:rsid w:val="004D5F8C"/>
    <w:rsid w:val="004D610D"/>
    <w:rsid w:val="004D6183"/>
    <w:rsid w:val="004D62F2"/>
    <w:rsid w:val="004D63FE"/>
    <w:rsid w:val="004D6418"/>
    <w:rsid w:val="004D654D"/>
    <w:rsid w:val="004D65D1"/>
    <w:rsid w:val="004D6701"/>
    <w:rsid w:val="004D677D"/>
    <w:rsid w:val="004D67DA"/>
    <w:rsid w:val="004D681D"/>
    <w:rsid w:val="004D68D2"/>
    <w:rsid w:val="004D6929"/>
    <w:rsid w:val="004D6949"/>
    <w:rsid w:val="004D69C6"/>
    <w:rsid w:val="004D6A3D"/>
    <w:rsid w:val="004D6AF4"/>
    <w:rsid w:val="004D6B39"/>
    <w:rsid w:val="004D6C6A"/>
    <w:rsid w:val="004D6CBC"/>
    <w:rsid w:val="004D6FDC"/>
    <w:rsid w:val="004D7002"/>
    <w:rsid w:val="004D71DD"/>
    <w:rsid w:val="004D72E6"/>
    <w:rsid w:val="004D73D4"/>
    <w:rsid w:val="004D74AC"/>
    <w:rsid w:val="004D75DC"/>
    <w:rsid w:val="004D7676"/>
    <w:rsid w:val="004D768F"/>
    <w:rsid w:val="004D76DD"/>
    <w:rsid w:val="004D76FF"/>
    <w:rsid w:val="004D7750"/>
    <w:rsid w:val="004D7780"/>
    <w:rsid w:val="004D7794"/>
    <w:rsid w:val="004D7795"/>
    <w:rsid w:val="004D788F"/>
    <w:rsid w:val="004D7945"/>
    <w:rsid w:val="004D79E7"/>
    <w:rsid w:val="004D7A6D"/>
    <w:rsid w:val="004D7A98"/>
    <w:rsid w:val="004D7B2A"/>
    <w:rsid w:val="004D7B61"/>
    <w:rsid w:val="004D7B80"/>
    <w:rsid w:val="004D7BE9"/>
    <w:rsid w:val="004D7C25"/>
    <w:rsid w:val="004D7C78"/>
    <w:rsid w:val="004D7E65"/>
    <w:rsid w:val="004D7FB5"/>
    <w:rsid w:val="004E0024"/>
    <w:rsid w:val="004E0042"/>
    <w:rsid w:val="004E00B0"/>
    <w:rsid w:val="004E020D"/>
    <w:rsid w:val="004E0289"/>
    <w:rsid w:val="004E055B"/>
    <w:rsid w:val="004E05B9"/>
    <w:rsid w:val="004E05F2"/>
    <w:rsid w:val="004E07C7"/>
    <w:rsid w:val="004E0805"/>
    <w:rsid w:val="004E088A"/>
    <w:rsid w:val="004E08BE"/>
    <w:rsid w:val="004E08C7"/>
    <w:rsid w:val="004E0914"/>
    <w:rsid w:val="004E09B8"/>
    <w:rsid w:val="004E0A5D"/>
    <w:rsid w:val="004E0A99"/>
    <w:rsid w:val="004E0AE5"/>
    <w:rsid w:val="004E0C19"/>
    <w:rsid w:val="004E0CD8"/>
    <w:rsid w:val="004E0DCA"/>
    <w:rsid w:val="004E0DDE"/>
    <w:rsid w:val="004E0E55"/>
    <w:rsid w:val="004E0F28"/>
    <w:rsid w:val="004E109D"/>
    <w:rsid w:val="004E1119"/>
    <w:rsid w:val="004E1145"/>
    <w:rsid w:val="004E1198"/>
    <w:rsid w:val="004E11BC"/>
    <w:rsid w:val="004E11E3"/>
    <w:rsid w:val="004E131F"/>
    <w:rsid w:val="004E13C4"/>
    <w:rsid w:val="004E1448"/>
    <w:rsid w:val="004E14EB"/>
    <w:rsid w:val="004E152D"/>
    <w:rsid w:val="004E1595"/>
    <w:rsid w:val="004E1623"/>
    <w:rsid w:val="004E166C"/>
    <w:rsid w:val="004E170D"/>
    <w:rsid w:val="004E1765"/>
    <w:rsid w:val="004E1795"/>
    <w:rsid w:val="004E18AD"/>
    <w:rsid w:val="004E18EA"/>
    <w:rsid w:val="004E1993"/>
    <w:rsid w:val="004E19CC"/>
    <w:rsid w:val="004E1A01"/>
    <w:rsid w:val="004E1AD0"/>
    <w:rsid w:val="004E1C7C"/>
    <w:rsid w:val="004E1C7E"/>
    <w:rsid w:val="004E1C82"/>
    <w:rsid w:val="004E1CF9"/>
    <w:rsid w:val="004E1D03"/>
    <w:rsid w:val="004E1DA0"/>
    <w:rsid w:val="004E1DD6"/>
    <w:rsid w:val="004E1DDC"/>
    <w:rsid w:val="004E1E30"/>
    <w:rsid w:val="004E1F4B"/>
    <w:rsid w:val="004E1FD3"/>
    <w:rsid w:val="004E2028"/>
    <w:rsid w:val="004E2168"/>
    <w:rsid w:val="004E218F"/>
    <w:rsid w:val="004E2270"/>
    <w:rsid w:val="004E228A"/>
    <w:rsid w:val="004E22A0"/>
    <w:rsid w:val="004E22C4"/>
    <w:rsid w:val="004E22E7"/>
    <w:rsid w:val="004E23A1"/>
    <w:rsid w:val="004E24A4"/>
    <w:rsid w:val="004E25FA"/>
    <w:rsid w:val="004E2768"/>
    <w:rsid w:val="004E27BD"/>
    <w:rsid w:val="004E28B6"/>
    <w:rsid w:val="004E28E4"/>
    <w:rsid w:val="004E2944"/>
    <w:rsid w:val="004E2A69"/>
    <w:rsid w:val="004E2A84"/>
    <w:rsid w:val="004E2B09"/>
    <w:rsid w:val="004E2C0B"/>
    <w:rsid w:val="004E2C33"/>
    <w:rsid w:val="004E2D12"/>
    <w:rsid w:val="004E2D22"/>
    <w:rsid w:val="004E2F31"/>
    <w:rsid w:val="004E2FC1"/>
    <w:rsid w:val="004E306C"/>
    <w:rsid w:val="004E31FD"/>
    <w:rsid w:val="004E3220"/>
    <w:rsid w:val="004E33A5"/>
    <w:rsid w:val="004E3769"/>
    <w:rsid w:val="004E3795"/>
    <w:rsid w:val="004E3830"/>
    <w:rsid w:val="004E390B"/>
    <w:rsid w:val="004E3948"/>
    <w:rsid w:val="004E3AE8"/>
    <w:rsid w:val="004E3B0B"/>
    <w:rsid w:val="004E3B1A"/>
    <w:rsid w:val="004E3B76"/>
    <w:rsid w:val="004E3DBA"/>
    <w:rsid w:val="004E3E1F"/>
    <w:rsid w:val="004E3EAE"/>
    <w:rsid w:val="004E3F04"/>
    <w:rsid w:val="004E405C"/>
    <w:rsid w:val="004E4082"/>
    <w:rsid w:val="004E40DE"/>
    <w:rsid w:val="004E411D"/>
    <w:rsid w:val="004E4199"/>
    <w:rsid w:val="004E41DA"/>
    <w:rsid w:val="004E4294"/>
    <w:rsid w:val="004E44BE"/>
    <w:rsid w:val="004E44FF"/>
    <w:rsid w:val="004E451C"/>
    <w:rsid w:val="004E456F"/>
    <w:rsid w:val="004E46C7"/>
    <w:rsid w:val="004E4753"/>
    <w:rsid w:val="004E477B"/>
    <w:rsid w:val="004E479C"/>
    <w:rsid w:val="004E47EC"/>
    <w:rsid w:val="004E48E0"/>
    <w:rsid w:val="004E4903"/>
    <w:rsid w:val="004E4956"/>
    <w:rsid w:val="004E49C1"/>
    <w:rsid w:val="004E4A15"/>
    <w:rsid w:val="004E4A1D"/>
    <w:rsid w:val="004E4A43"/>
    <w:rsid w:val="004E4AC9"/>
    <w:rsid w:val="004E4C0C"/>
    <w:rsid w:val="004E4C2A"/>
    <w:rsid w:val="004E4C2C"/>
    <w:rsid w:val="004E4D04"/>
    <w:rsid w:val="004E4DAE"/>
    <w:rsid w:val="004E4DDC"/>
    <w:rsid w:val="004E4DF8"/>
    <w:rsid w:val="004E4E9D"/>
    <w:rsid w:val="004E4F0A"/>
    <w:rsid w:val="004E5055"/>
    <w:rsid w:val="004E5103"/>
    <w:rsid w:val="004E515F"/>
    <w:rsid w:val="004E5183"/>
    <w:rsid w:val="004E5200"/>
    <w:rsid w:val="004E5237"/>
    <w:rsid w:val="004E536D"/>
    <w:rsid w:val="004E53BD"/>
    <w:rsid w:val="004E53EB"/>
    <w:rsid w:val="004E5403"/>
    <w:rsid w:val="004E544E"/>
    <w:rsid w:val="004E5479"/>
    <w:rsid w:val="004E54C7"/>
    <w:rsid w:val="004E54DA"/>
    <w:rsid w:val="004E5552"/>
    <w:rsid w:val="004E5574"/>
    <w:rsid w:val="004E55D8"/>
    <w:rsid w:val="004E5753"/>
    <w:rsid w:val="004E5820"/>
    <w:rsid w:val="004E58A6"/>
    <w:rsid w:val="004E5979"/>
    <w:rsid w:val="004E59D7"/>
    <w:rsid w:val="004E5B08"/>
    <w:rsid w:val="004E5B29"/>
    <w:rsid w:val="004E5B6D"/>
    <w:rsid w:val="004E5B93"/>
    <w:rsid w:val="004E5C93"/>
    <w:rsid w:val="004E5CA9"/>
    <w:rsid w:val="004E5D33"/>
    <w:rsid w:val="004E5D43"/>
    <w:rsid w:val="004E5DA7"/>
    <w:rsid w:val="004E5DFD"/>
    <w:rsid w:val="004E5E0A"/>
    <w:rsid w:val="004E5E25"/>
    <w:rsid w:val="004E5E3B"/>
    <w:rsid w:val="004E5E5F"/>
    <w:rsid w:val="004E5EC6"/>
    <w:rsid w:val="004E5F28"/>
    <w:rsid w:val="004E658C"/>
    <w:rsid w:val="004E65A3"/>
    <w:rsid w:val="004E66A1"/>
    <w:rsid w:val="004E672A"/>
    <w:rsid w:val="004E67F2"/>
    <w:rsid w:val="004E68BD"/>
    <w:rsid w:val="004E6998"/>
    <w:rsid w:val="004E6A4B"/>
    <w:rsid w:val="004E6A55"/>
    <w:rsid w:val="004E6BBC"/>
    <w:rsid w:val="004E6BE6"/>
    <w:rsid w:val="004E6C92"/>
    <w:rsid w:val="004E6E53"/>
    <w:rsid w:val="004E6F40"/>
    <w:rsid w:val="004E6F71"/>
    <w:rsid w:val="004E6FF4"/>
    <w:rsid w:val="004E70DB"/>
    <w:rsid w:val="004E7197"/>
    <w:rsid w:val="004E71AF"/>
    <w:rsid w:val="004E71FD"/>
    <w:rsid w:val="004E7203"/>
    <w:rsid w:val="004E7219"/>
    <w:rsid w:val="004E7322"/>
    <w:rsid w:val="004E7402"/>
    <w:rsid w:val="004E746A"/>
    <w:rsid w:val="004E75E1"/>
    <w:rsid w:val="004E760E"/>
    <w:rsid w:val="004E76BC"/>
    <w:rsid w:val="004E775D"/>
    <w:rsid w:val="004E7811"/>
    <w:rsid w:val="004E7836"/>
    <w:rsid w:val="004E7857"/>
    <w:rsid w:val="004E7986"/>
    <w:rsid w:val="004E79D0"/>
    <w:rsid w:val="004E7A5C"/>
    <w:rsid w:val="004E7ABA"/>
    <w:rsid w:val="004E7B22"/>
    <w:rsid w:val="004E7BB7"/>
    <w:rsid w:val="004E7BE7"/>
    <w:rsid w:val="004E7BF8"/>
    <w:rsid w:val="004E7C02"/>
    <w:rsid w:val="004E7C8D"/>
    <w:rsid w:val="004E7CDE"/>
    <w:rsid w:val="004E7D2E"/>
    <w:rsid w:val="004E7D6D"/>
    <w:rsid w:val="004E7E45"/>
    <w:rsid w:val="004E7E50"/>
    <w:rsid w:val="004E7F33"/>
    <w:rsid w:val="004E7F47"/>
    <w:rsid w:val="004F004D"/>
    <w:rsid w:val="004F007C"/>
    <w:rsid w:val="004F01EB"/>
    <w:rsid w:val="004F021C"/>
    <w:rsid w:val="004F0369"/>
    <w:rsid w:val="004F045B"/>
    <w:rsid w:val="004F0494"/>
    <w:rsid w:val="004F04CC"/>
    <w:rsid w:val="004F04F4"/>
    <w:rsid w:val="004F04F9"/>
    <w:rsid w:val="004F05AC"/>
    <w:rsid w:val="004F06F4"/>
    <w:rsid w:val="004F0730"/>
    <w:rsid w:val="004F0788"/>
    <w:rsid w:val="004F07A4"/>
    <w:rsid w:val="004F07BC"/>
    <w:rsid w:val="004F090C"/>
    <w:rsid w:val="004F0A25"/>
    <w:rsid w:val="004F0A33"/>
    <w:rsid w:val="004F0ADE"/>
    <w:rsid w:val="004F0B60"/>
    <w:rsid w:val="004F0B87"/>
    <w:rsid w:val="004F0D6D"/>
    <w:rsid w:val="004F0D9E"/>
    <w:rsid w:val="004F0DF1"/>
    <w:rsid w:val="004F0F8F"/>
    <w:rsid w:val="004F0FED"/>
    <w:rsid w:val="004F1008"/>
    <w:rsid w:val="004F10B2"/>
    <w:rsid w:val="004F1164"/>
    <w:rsid w:val="004F117B"/>
    <w:rsid w:val="004F1189"/>
    <w:rsid w:val="004F1197"/>
    <w:rsid w:val="004F13A1"/>
    <w:rsid w:val="004F13AC"/>
    <w:rsid w:val="004F141E"/>
    <w:rsid w:val="004F15A4"/>
    <w:rsid w:val="004F1606"/>
    <w:rsid w:val="004F168D"/>
    <w:rsid w:val="004F16D2"/>
    <w:rsid w:val="004F1729"/>
    <w:rsid w:val="004F17C6"/>
    <w:rsid w:val="004F19B7"/>
    <w:rsid w:val="004F1ACF"/>
    <w:rsid w:val="004F1B42"/>
    <w:rsid w:val="004F1B78"/>
    <w:rsid w:val="004F1B8D"/>
    <w:rsid w:val="004F1DD8"/>
    <w:rsid w:val="004F1E53"/>
    <w:rsid w:val="004F1EF0"/>
    <w:rsid w:val="004F20FF"/>
    <w:rsid w:val="004F21AA"/>
    <w:rsid w:val="004F226D"/>
    <w:rsid w:val="004F23EA"/>
    <w:rsid w:val="004F2424"/>
    <w:rsid w:val="004F251F"/>
    <w:rsid w:val="004F2605"/>
    <w:rsid w:val="004F2691"/>
    <w:rsid w:val="004F26C8"/>
    <w:rsid w:val="004F2836"/>
    <w:rsid w:val="004F2866"/>
    <w:rsid w:val="004F287B"/>
    <w:rsid w:val="004F28F9"/>
    <w:rsid w:val="004F2924"/>
    <w:rsid w:val="004F294D"/>
    <w:rsid w:val="004F2A27"/>
    <w:rsid w:val="004F2AD5"/>
    <w:rsid w:val="004F2BDA"/>
    <w:rsid w:val="004F2D86"/>
    <w:rsid w:val="004F2DCC"/>
    <w:rsid w:val="004F2E41"/>
    <w:rsid w:val="004F2EFE"/>
    <w:rsid w:val="004F2F4A"/>
    <w:rsid w:val="004F2FDB"/>
    <w:rsid w:val="004F309B"/>
    <w:rsid w:val="004F318A"/>
    <w:rsid w:val="004F31EA"/>
    <w:rsid w:val="004F32AE"/>
    <w:rsid w:val="004F342C"/>
    <w:rsid w:val="004F34F9"/>
    <w:rsid w:val="004F35D1"/>
    <w:rsid w:val="004F3641"/>
    <w:rsid w:val="004F399E"/>
    <w:rsid w:val="004F3A6B"/>
    <w:rsid w:val="004F3AB2"/>
    <w:rsid w:val="004F3AB5"/>
    <w:rsid w:val="004F3ABD"/>
    <w:rsid w:val="004F3CCE"/>
    <w:rsid w:val="004F3EF0"/>
    <w:rsid w:val="004F3F7E"/>
    <w:rsid w:val="004F4002"/>
    <w:rsid w:val="004F4050"/>
    <w:rsid w:val="004F4127"/>
    <w:rsid w:val="004F416F"/>
    <w:rsid w:val="004F423D"/>
    <w:rsid w:val="004F4241"/>
    <w:rsid w:val="004F4303"/>
    <w:rsid w:val="004F433E"/>
    <w:rsid w:val="004F43CA"/>
    <w:rsid w:val="004F44DC"/>
    <w:rsid w:val="004F44DD"/>
    <w:rsid w:val="004F4506"/>
    <w:rsid w:val="004F4638"/>
    <w:rsid w:val="004F467D"/>
    <w:rsid w:val="004F4685"/>
    <w:rsid w:val="004F46A9"/>
    <w:rsid w:val="004F475D"/>
    <w:rsid w:val="004F477A"/>
    <w:rsid w:val="004F48BD"/>
    <w:rsid w:val="004F491C"/>
    <w:rsid w:val="004F4963"/>
    <w:rsid w:val="004F4A86"/>
    <w:rsid w:val="004F4B6C"/>
    <w:rsid w:val="004F4BB2"/>
    <w:rsid w:val="004F4C39"/>
    <w:rsid w:val="004F4D38"/>
    <w:rsid w:val="004F5148"/>
    <w:rsid w:val="004F5201"/>
    <w:rsid w:val="004F526C"/>
    <w:rsid w:val="004F5488"/>
    <w:rsid w:val="004F54A9"/>
    <w:rsid w:val="004F559D"/>
    <w:rsid w:val="004F55E9"/>
    <w:rsid w:val="004F564B"/>
    <w:rsid w:val="004F579F"/>
    <w:rsid w:val="004F583D"/>
    <w:rsid w:val="004F589B"/>
    <w:rsid w:val="004F5907"/>
    <w:rsid w:val="004F5980"/>
    <w:rsid w:val="004F59FB"/>
    <w:rsid w:val="004F5A47"/>
    <w:rsid w:val="004F5B6B"/>
    <w:rsid w:val="004F5B7D"/>
    <w:rsid w:val="004F5C13"/>
    <w:rsid w:val="004F5C8B"/>
    <w:rsid w:val="004F5D3F"/>
    <w:rsid w:val="004F610C"/>
    <w:rsid w:val="004F617A"/>
    <w:rsid w:val="004F61CE"/>
    <w:rsid w:val="004F63B4"/>
    <w:rsid w:val="004F6481"/>
    <w:rsid w:val="004F6575"/>
    <w:rsid w:val="004F6648"/>
    <w:rsid w:val="004F67E4"/>
    <w:rsid w:val="004F67F6"/>
    <w:rsid w:val="004F68CA"/>
    <w:rsid w:val="004F6A06"/>
    <w:rsid w:val="004F6A6C"/>
    <w:rsid w:val="004F6AE5"/>
    <w:rsid w:val="004F6B3A"/>
    <w:rsid w:val="004F6B8A"/>
    <w:rsid w:val="004F6B99"/>
    <w:rsid w:val="004F6CB9"/>
    <w:rsid w:val="004F6CF8"/>
    <w:rsid w:val="004F6D09"/>
    <w:rsid w:val="004F6D27"/>
    <w:rsid w:val="004F6DEA"/>
    <w:rsid w:val="004F6E7A"/>
    <w:rsid w:val="004F6EA8"/>
    <w:rsid w:val="004F6ED0"/>
    <w:rsid w:val="004F6F31"/>
    <w:rsid w:val="004F6F68"/>
    <w:rsid w:val="004F6FCC"/>
    <w:rsid w:val="004F7033"/>
    <w:rsid w:val="004F714C"/>
    <w:rsid w:val="004F71FC"/>
    <w:rsid w:val="004F726E"/>
    <w:rsid w:val="004F729B"/>
    <w:rsid w:val="004F72F0"/>
    <w:rsid w:val="004F733E"/>
    <w:rsid w:val="004F73DC"/>
    <w:rsid w:val="004F753A"/>
    <w:rsid w:val="004F75C2"/>
    <w:rsid w:val="004F75C5"/>
    <w:rsid w:val="004F75DD"/>
    <w:rsid w:val="004F76A4"/>
    <w:rsid w:val="004F77EF"/>
    <w:rsid w:val="004F7811"/>
    <w:rsid w:val="004F7825"/>
    <w:rsid w:val="004F7830"/>
    <w:rsid w:val="004F78D5"/>
    <w:rsid w:val="004F79F5"/>
    <w:rsid w:val="004F7A41"/>
    <w:rsid w:val="004F7A9E"/>
    <w:rsid w:val="004F7BC7"/>
    <w:rsid w:val="004F7C6F"/>
    <w:rsid w:val="004F7D1E"/>
    <w:rsid w:val="004F7DA5"/>
    <w:rsid w:val="004F7DBF"/>
    <w:rsid w:val="004F7E5D"/>
    <w:rsid w:val="004F7F49"/>
    <w:rsid w:val="004F7F51"/>
    <w:rsid w:val="004F7FA4"/>
    <w:rsid w:val="004F7FA5"/>
    <w:rsid w:val="004F7FD0"/>
    <w:rsid w:val="004F7FEB"/>
    <w:rsid w:val="00500016"/>
    <w:rsid w:val="00500036"/>
    <w:rsid w:val="005000D1"/>
    <w:rsid w:val="005000EB"/>
    <w:rsid w:val="00500126"/>
    <w:rsid w:val="0050012E"/>
    <w:rsid w:val="00500137"/>
    <w:rsid w:val="00500170"/>
    <w:rsid w:val="00500352"/>
    <w:rsid w:val="00500458"/>
    <w:rsid w:val="005004F7"/>
    <w:rsid w:val="005004FC"/>
    <w:rsid w:val="00500503"/>
    <w:rsid w:val="00500636"/>
    <w:rsid w:val="0050067D"/>
    <w:rsid w:val="00500831"/>
    <w:rsid w:val="005008E9"/>
    <w:rsid w:val="005009D9"/>
    <w:rsid w:val="00500A35"/>
    <w:rsid w:val="00500A8A"/>
    <w:rsid w:val="00500AD9"/>
    <w:rsid w:val="00500BD8"/>
    <w:rsid w:val="00500CDD"/>
    <w:rsid w:val="00500E73"/>
    <w:rsid w:val="00500F01"/>
    <w:rsid w:val="00500FCA"/>
    <w:rsid w:val="00501312"/>
    <w:rsid w:val="005013C7"/>
    <w:rsid w:val="00501443"/>
    <w:rsid w:val="0050144F"/>
    <w:rsid w:val="00501524"/>
    <w:rsid w:val="00501655"/>
    <w:rsid w:val="005017D6"/>
    <w:rsid w:val="0050185F"/>
    <w:rsid w:val="00501913"/>
    <w:rsid w:val="00501A3E"/>
    <w:rsid w:val="00501A5A"/>
    <w:rsid w:val="00501A6A"/>
    <w:rsid w:val="00501A7E"/>
    <w:rsid w:val="00501AF7"/>
    <w:rsid w:val="00501B66"/>
    <w:rsid w:val="00501CE6"/>
    <w:rsid w:val="00501DA0"/>
    <w:rsid w:val="00501DA9"/>
    <w:rsid w:val="00501E64"/>
    <w:rsid w:val="00501EC0"/>
    <w:rsid w:val="00501EF5"/>
    <w:rsid w:val="00501F1D"/>
    <w:rsid w:val="00501F3D"/>
    <w:rsid w:val="00501FC0"/>
    <w:rsid w:val="00501FE0"/>
    <w:rsid w:val="00502015"/>
    <w:rsid w:val="00502155"/>
    <w:rsid w:val="0050227E"/>
    <w:rsid w:val="0050230E"/>
    <w:rsid w:val="00502381"/>
    <w:rsid w:val="00502427"/>
    <w:rsid w:val="00502475"/>
    <w:rsid w:val="0050247B"/>
    <w:rsid w:val="0050249C"/>
    <w:rsid w:val="00502535"/>
    <w:rsid w:val="0050256E"/>
    <w:rsid w:val="005025D4"/>
    <w:rsid w:val="00502627"/>
    <w:rsid w:val="0050269F"/>
    <w:rsid w:val="005026DB"/>
    <w:rsid w:val="0050273E"/>
    <w:rsid w:val="005027AC"/>
    <w:rsid w:val="005027CC"/>
    <w:rsid w:val="00502928"/>
    <w:rsid w:val="0050294F"/>
    <w:rsid w:val="00502970"/>
    <w:rsid w:val="00502A43"/>
    <w:rsid w:val="00502A9B"/>
    <w:rsid w:val="00502B52"/>
    <w:rsid w:val="00502B97"/>
    <w:rsid w:val="00502C0D"/>
    <w:rsid w:val="00502CCD"/>
    <w:rsid w:val="00502D88"/>
    <w:rsid w:val="00502E5A"/>
    <w:rsid w:val="00502EA5"/>
    <w:rsid w:val="00502EB9"/>
    <w:rsid w:val="00502FAA"/>
    <w:rsid w:val="00503081"/>
    <w:rsid w:val="0050315D"/>
    <w:rsid w:val="00503246"/>
    <w:rsid w:val="00503259"/>
    <w:rsid w:val="00503327"/>
    <w:rsid w:val="0050333D"/>
    <w:rsid w:val="0050337B"/>
    <w:rsid w:val="00503465"/>
    <w:rsid w:val="0050348B"/>
    <w:rsid w:val="00503520"/>
    <w:rsid w:val="00503538"/>
    <w:rsid w:val="005035EC"/>
    <w:rsid w:val="005035F6"/>
    <w:rsid w:val="005038BB"/>
    <w:rsid w:val="005038ED"/>
    <w:rsid w:val="00503951"/>
    <w:rsid w:val="00503B58"/>
    <w:rsid w:val="00503C0E"/>
    <w:rsid w:val="00503C5E"/>
    <w:rsid w:val="00503C89"/>
    <w:rsid w:val="00503CCE"/>
    <w:rsid w:val="00503CF6"/>
    <w:rsid w:val="00503D71"/>
    <w:rsid w:val="00503F0D"/>
    <w:rsid w:val="0050403F"/>
    <w:rsid w:val="005040D1"/>
    <w:rsid w:val="00504111"/>
    <w:rsid w:val="00504118"/>
    <w:rsid w:val="00504226"/>
    <w:rsid w:val="0050423E"/>
    <w:rsid w:val="005042CC"/>
    <w:rsid w:val="005042D2"/>
    <w:rsid w:val="00504326"/>
    <w:rsid w:val="0050433E"/>
    <w:rsid w:val="005043B0"/>
    <w:rsid w:val="005043EA"/>
    <w:rsid w:val="005043EE"/>
    <w:rsid w:val="00504433"/>
    <w:rsid w:val="00504454"/>
    <w:rsid w:val="00504911"/>
    <w:rsid w:val="005049EB"/>
    <w:rsid w:val="00504A6D"/>
    <w:rsid w:val="00504B22"/>
    <w:rsid w:val="00504CEF"/>
    <w:rsid w:val="00504DE8"/>
    <w:rsid w:val="00504DFB"/>
    <w:rsid w:val="00504E77"/>
    <w:rsid w:val="00504F23"/>
    <w:rsid w:val="00504F7C"/>
    <w:rsid w:val="00504FDA"/>
    <w:rsid w:val="005050AC"/>
    <w:rsid w:val="005050CE"/>
    <w:rsid w:val="005050E2"/>
    <w:rsid w:val="0050511D"/>
    <w:rsid w:val="0050517C"/>
    <w:rsid w:val="0050517F"/>
    <w:rsid w:val="005051B8"/>
    <w:rsid w:val="005052E8"/>
    <w:rsid w:val="005052F9"/>
    <w:rsid w:val="00505322"/>
    <w:rsid w:val="0050535E"/>
    <w:rsid w:val="0050538D"/>
    <w:rsid w:val="005053B2"/>
    <w:rsid w:val="005053DD"/>
    <w:rsid w:val="005053E1"/>
    <w:rsid w:val="00505428"/>
    <w:rsid w:val="0050548C"/>
    <w:rsid w:val="0050554B"/>
    <w:rsid w:val="00505662"/>
    <w:rsid w:val="0050577E"/>
    <w:rsid w:val="00505789"/>
    <w:rsid w:val="00505792"/>
    <w:rsid w:val="005057FD"/>
    <w:rsid w:val="0050590C"/>
    <w:rsid w:val="00505A06"/>
    <w:rsid w:val="00505A9B"/>
    <w:rsid w:val="00505BD4"/>
    <w:rsid w:val="00505CA8"/>
    <w:rsid w:val="00505CE1"/>
    <w:rsid w:val="00505CF9"/>
    <w:rsid w:val="00505DBE"/>
    <w:rsid w:val="00505F57"/>
    <w:rsid w:val="00505F64"/>
    <w:rsid w:val="00505FDE"/>
    <w:rsid w:val="00506001"/>
    <w:rsid w:val="00506032"/>
    <w:rsid w:val="00506037"/>
    <w:rsid w:val="005060D4"/>
    <w:rsid w:val="0050612A"/>
    <w:rsid w:val="005061BA"/>
    <w:rsid w:val="0050630C"/>
    <w:rsid w:val="00506313"/>
    <w:rsid w:val="005063EB"/>
    <w:rsid w:val="0050640B"/>
    <w:rsid w:val="00506413"/>
    <w:rsid w:val="005064C6"/>
    <w:rsid w:val="0050652C"/>
    <w:rsid w:val="00506565"/>
    <w:rsid w:val="00506625"/>
    <w:rsid w:val="00506646"/>
    <w:rsid w:val="00506797"/>
    <w:rsid w:val="00506840"/>
    <w:rsid w:val="005068C3"/>
    <w:rsid w:val="00506901"/>
    <w:rsid w:val="00506905"/>
    <w:rsid w:val="0050690B"/>
    <w:rsid w:val="005069C5"/>
    <w:rsid w:val="00506AC5"/>
    <w:rsid w:val="00506ADE"/>
    <w:rsid w:val="00506B23"/>
    <w:rsid w:val="00506BAE"/>
    <w:rsid w:val="00506BB8"/>
    <w:rsid w:val="00506C42"/>
    <w:rsid w:val="00506C86"/>
    <w:rsid w:val="00506D02"/>
    <w:rsid w:val="00506D7C"/>
    <w:rsid w:val="00506DD6"/>
    <w:rsid w:val="00506E49"/>
    <w:rsid w:val="00506E71"/>
    <w:rsid w:val="00506E7D"/>
    <w:rsid w:val="00506ECF"/>
    <w:rsid w:val="00507062"/>
    <w:rsid w:val="00507149"/>
    <w:rsid w:val="00507194"/>
    <w:rsid w:val="005073AD"/>
    <w:rsid w:val="00507513"/>
    <w:rsid w:val="00507519"/>
    <w:rsid w:val="0050756E"/>
    <w:rsid w:val="0050760C"/>
    <w:rsid w:val="005076E5"/>
    <w:rsid w:val="00507764"/>
    <w:rsid w:val="005077B4"/>
    <w:rsid w:val="005077E0"/>
    <w:rsid w:val="005078B5"/>
    <w:rsid w:val="00507921"/>
    <w:rsid w:val="00507968"/>
    <w:rsid w:val="005079AC"/>
    <w:rsid w:val="00507B6D"/>
    <w:rsid w:val="00507C2A"/>
    <w:rsid w:val="00507C61"/>
    <w:rsid w:val="00507E1D"/>
    <w:rsid w:val="00507E87"/>
    <w:rsid w:val="00507F23"/>
    <w:rsid w:val="00507F4A"/>
    <w:rsid w:val="00507F51"/>
    <w:rsid w:val="00507F67"/>
    <w:rsid w:val="00507F8D"/>
    <w:rsid w:val="00510033"/>
    <w:rsid w:val="005100BC"/>
    <w:rsid w:val="005100E0"/>
    <w:rsid w:val="00510254"/>
    <w:rsid w:val="00510360"/>
    <w:rsid w:val="00510407"/>
    <w:rsid w:val="005104A3"/>
    <w:rsid w:val="00510503"/>
    <w:rsid w:val="005105A0"/>
    <w:rsid w:val="005106B3"/>
    <w:rsid w:val="005106C3"/>
    <w:rsid w:val="00510791"/>
    <w:rsid w:val="00510845"/>
    <w:rsid w:val="00510999"/>
    <w:rsid w:val="00510A58"/>
    <w:rsid w:val="00510A86"/>
    <w:rsid w:val="00510ACF"/>
    <w:rsid w:val="00510B18"/>
    <w:rsid w:val="00510B62"/>
    <w:rsid w:val="00510CAA"/>
    <w:rsid w:val="00510DE5"/>
    <w:rsid w:val="00510E63"/>
    <w:rsid w:val="00510E6E"/>
    <w:rsid w:val="00510E7F"/>
    <w:rsid w:val="00510EA0"/>
    <w:rsid w:val="00510F23"/>
    <w:rsid w:val="00510F2A"/>
    <w:rsid w:val="00510F57"/>
    <w:rsid w:val="00510FC2"/>
    <w:rsid w:val="00510FD6"/>
    <w:rsid w:val="00511110"/>
    <w:rsid w:val="00511386"/>
    <w:rsid w:val="0051143C"/>
    <w:rsid w:val="00511529"/>
    <w:rsid w:val="00511531"/>
    <w:rsid w:val="0051155C"/>
    <w:rsid w:val="0051178D"/>
    <w:rsid w:val="00511796"/>
    <w:rsid w:val="005117DB"/>
    <w:rsid w:val="00511812"/>
    <w:rsid w:val="0051183B"/>
    <w:rsid w:val="005118A0"/>
    <w:rsid w:val="005118C5"/>
    <w:rsid w:val="0051191A"/>
    <w:rsid w:val="005119E1"/>
    <w:rsid w:val="00511A27"/>
    <w:rsid w:val="00511A7A"/>
    <w:rsid w:val="00511A83"/>
    <w:rsid w:val="00511AC0"/>
    <w:rsid w:val="00511AE8"/>
    <w:rsid w:val="00511B0A"/>
    <w:rsid w:val="00511B36"/>
    <w:rsid w:val="00511B66"/>
    <w:rsid w:val="00511D31"/>
    <w:rsid w:val="00511EA6"/>
    <w:rsid w:val="005121AB"/>
    <w:rsid w:val="00512240"/>
    <w:rsid w:val="00512280"/>
    <w:rsid w:val="005122B9"/>
    <w:rsid w:val="0051239C"/>
    <w:rsid w:val="0051240B"/>
    <w:rsid w:val="0051241F"/>
    <w:rsid w:val="00512450"/>
    <w:rsid w:val="0051252D"/>
    <w:rsid w:val="0051256B"/>
    <w:rsid w:val="00512583"/>
    <w:rsid w:val="005125E7"/>
    <w:rsid w:val="00512609"/>
    <w:rsid w:val="0051262C"/>
    <w:rsid w:val="0051263D"/>
    <w:rsid w:val="005126A5"/>
    <w:rsid w:val="0051270D"/>
    <w:rsid w:val="005127AA"/>
    <w:rsid w:val="005127AF"/>
    <w:rsid w:val="005127C4"/>
    <w:rsid w:val="00512820"/>
    <w:rsid w:val="0051287B"/>
    <w:rsid w:val="005128C5"/>
    <w:rsid w:val="00512968"/>
    <w:rsid w:val="00512A31"/>
    <w:rsid w:val="00512AFC"/>
    <w:rsid w:val="00512BBC"/>
    <w:rsid w:val="00512D63"/>
    <w:rsid w:val="00512F19"/>
    <w:rsid w:val="0051306A"/>
    <w:rsid w:val="005130D4"/>
    <w:rsid w:val="005130FA"/>
    <w:rsid w:val="00513235"/>
    <w:rsid w:val="00513242"/>
    <w:rsid w:val="005134BF"/>
    <w:rsid w:val="0051351D"/>
    <w:rsid w:val="00513540"/>
    <w:rsid w:val="0051365F"/>
    <w:rsid w:val="00513694"/>
    <w:rsid w:val="0051392B"/>
    <w:rsid w:val="0051394B"/>
    <w:rsid w:val="00513952"/>
    <w:rsid w:val="0051396D"/>
    <w:rsid w:val="00513A74"/>
    <w:rsid w:val="00513ADA"/>
    <w:rsid w:val="00513AFE"/>
    <w:rsid w:val="00513BB4"/>
    <w:rsid w:val="00513C6A"/>
    <w:rsid w:val="00513C8E"/>
    <w:rsid w:val="00513D31"/>
    <w:rsid w:val="00513D57"/>
    <w:rsid w:val="00513E24"/>
    <w:rsid w:val="00513E2A"/>
    <w:rsid w:val="00513EBE"/>
    <w:rsid w:val="00513EE0"/>
    <w:rsid w:val="00514082"/>
    <w:rsid w:val="005140A7"/>
    <w:rsid w:val="00514162"/>
    <w:rsid w:val="00514209"/>
    <w:rsid w:val="00514229"/>
    <w:rsid w:val="005142C1"/>
    <w:rsid w:val="0051432E"/>
    <w:rsid w:val="0051435A"/>
    <w:rsid w:val="005143C7"/>
    <w:rsid w:val="0051445C"/>
    <w:rsid w:val="005144C1"/>
    <w:rsid w:val="005144E2"/>
    <w:rsid w:val="00514510"/>
    <w:rsid w:val="0051456C"/>
    <w:rsid w:val="00514646"/>
    <w:rsid w:val="00514649"/>
    <w:rsid w:val="005146CC"/>
    <w:rsid w:val="0051479A"/>
    <w:rsid w:val="005147AE"/>
    <w:rsid w:val="005149A5"/>
    <w:rsid w:val="00514A2E"/>
    <w:rsid w:val="00514A7E"/>
    <w:rsid w:val="00514B68"/>
    <w:rsid w:val="00514B8C"/>
    <w:rsid w:val="00514BD4"/>
    <w:rsid w:val="00514C1B"/>
    <w:rsid w:val="00514C4A"/>
    <w:rsid w:val="00514C71"/>
    <w:rsid w:val="00514CBE"/>
    <w:rsid w:val="00514D64"/>
    <w:rsid w:val="00514DBE"/>
    <w:rsid w:val="00514E40"/>
    <w:rsid w:val="005150A0"/>
    <w:rsid w:val="0051513D"/>
    <w:rsid w:val="005151B7"/>
    <w:rsid w:val="0051522E"/>
    <w:rsid w:val="005152DD"/>
    <w:rsid w:val="005154C8"/>
    <w:rsid w:val="00515567"/>
    <w:rsid w:val="005155BE"/>
    <w:rsid w:val="0051576A"/>
    <w:rsid w:val="005157F4"/>
    <w:rsid w:val="00515806"/>
    <w:rsid w:val="00515815"/>
    <w:rsid w:val="00515983"/>
    <w:rsid w:val="00515A75"/>
    <w:rsid w:val="00515B06"/>
    <w:rsid w:val="00515C26"/>
    <w:rsid w:val="00515C76"/>
    <w:rsid w:val="00515CE1"/>
    <w:rsid w:val="00515D4F"/>
    <w:rsid w:val="00515DFB"/>
    <w:rsid w:val="00515E53"/>
    <w:rsid w:val="00515EFF"/>
    <w:rsid w:val="00515F56"/>
    <w:rsid w:val="0051601F"/>
    <w:rsid w:val="00516085"/>
    <w:rsid w:val="0051609E"/>
    <w:rsid w:val="005160AA"/>
    <w:rsid w:val="005160BF"/>
    <w:rsid w:val="00516254"/>
    <w:rsid w:val="005162E5"/>
    <w:rsid w:val="005163F5"/>
    <w:rsid w:val="005165EE"/>
    <w:rsid w:val="005167A5"/>
    <w:rsid w:val="0051686E"/>
    <w:rsid w:val="0051687E"/>
    <w:rsid w:val="005168DB"/>
    <w:rsid w:val="00516908"/>
    <w:rsid w:val="00516A26"/>
    <w:rsid w:val="00516A77"/>
    <w:rsid w:val="00516B57"/>
    <w:rsid w:val="00516B8E"/>
    <w:rsid w:val="00516BE9"/>
    <w:rsid w:val="00516C12"/>
    <w:rsid w:val="00516C52"/>
    <w:rsid w:val="00516D01"/>
    <w:rsid w:val="00516F3E"/>
    <w:rsid w:val="00516F6C"/>
    <w:rsid w:val="00516F7E"/>
    <w:rsid w:val="00517066"/>
    <w:rsid w:val="005170A7"/>
    <w:rsid w:val="005170EE"/>
    <w:rsid w:val="005170FF"/>
    <w:rsid w:val="005171D7"/>
    <w:rsid w:val="0051727C"/>
    <w:rsid w:val="0051734D"/>
    <w:rsid w:val="00517353"/>
    <w:rsid w:val="0051744E"/>
    <w:rsid w:val="0051761B"/>
    <w:rsid w:val="00517727"/>
    <w:rsid w:val="00517729"/>
    <w:rsid w:val="00517746"/>
    <w:rsid w:val="00517753"/>
    <w:rsid w:val="00517796"/>
    <w:rsid w:val="005178CD"/>
    <w:rsid w:val="00517A19"/>
    <w:rsid w:val="00517BAF"/>
    <w:rsid w:val="00517BF6"/>
    <w:rsid w:val="00517C4C"/>
    <w:rsid w:val="00517C51"/>
    <w:rsid w:val="00517D4E"/>
    <w:rsid w:val="00517E74"/>
    <w:rsid w:val="00517E92"/>
    <w:rsid w:val="00517EF1"/>
    <w:rsid w:val="00517FBD"/>
    <w:rsid w:val="005200A6"/>
    <w:rsid w:val="005201BA"/>
    <w:rsid w:val="00520371"/>
    <w:rsid w:val="00520515"/>
    <w:rsid w:val="00520570"/>
    <w:rsid w:val="005205D1"/>
    <w:rsid w:val="00520724"/>
    <w:rsid w:val="0052089C"/>
    <w:rsid w:val="0052092B"/>
    <w:rsid w:val="005209A2"/>
    <w:rsid w:val="005209D4"/>
    <w:rsid w:val="00520AB4"/>
    <w:rsid w:val="00520B25"/>
    <w:rsid w:val="00520B39"/>
    <w:rsid w:val="00520B50"/>
    <w:rsid w:val="00520BEB"/>
    <w:rsid w:val="00520C4B"/>
    <w:rsid w:val="00520D1C"/>
    <w:rsid w:val="00520DFE"/>
    <w:rsid w:val="00520E00"/>
    <w:rsid w:val="00520E1B"/>
    <w:rsid w:val="00520E60"/>
    <w:rsid w:val="00520F81"/>
    <w:rsid w:val="00521003"/>
    <w:rsid w:val="00521136"/>
    <w:rsid w:val="00521152"/>
    <w:rsid w:val="00521175"/>
    <w:rsid w:val="005211DA"/>
    <w:rsid w:val="0052127E"/>
    <w:rsid w:val="00521372"/>
    <w:rsid w:val="0052138D"/>
    <w:rsid w:val="00521451"/>
    <w:rsid w:val="005216F7"/>
    <w:rsid w:val="00521759"/>
    <w:rsid w:val="00521779"/>
    <w:rsid w:val="0052179C"/>
    <w:rsid w:val="005217E9"/>
    <w:rsid w:val="005218B2"/>
    <w:rsid w:val="00521983"/>
    <w:rsid w:val="005219DF"/>
    <w:rsid w:val="00521A23"/>
    <w:rsid w:val="00521B6B"/>
    <w:rsid w:val="00521B99"/>
    <w:rsid w:val="00521C39"/>
    <w:rsid w:val="00521D6D"/>
    <w:rsid w:val="00521E01"/>
    <w:rsid w:val="00521FC3"/>
    <w:rsid w:val="00521FD8"/>
    <w:rsid w:val="00521FDA"/>
    <w:rsid w:val="00522085"/>
    <w:rsid w:val="00522106"/>
    <w:rsid w:val="005221B0"/>
    <w:rsid w:val="00522218"/>
    <w:rsid w:val="0052226E"/>
    <w:rsid w:val="005222B3"/>
    <w:rsid w:val="00522372"/>
    <w:rsid w:val="005223A0"/>
    <w:rsid w:val="0052247B"/>
    <w:rsid w:val="005224FD"/>
    <w:rsid w:val="005225AB"/>
    <w:rsid w:val="005226AE"/>
    <w:rsid w:val="005226ED"/>
    <w:rsid w:val="0052278D"/>
    <w:rsid w:val="00522A60"/>
    <w:rsid w:val="00522AEF"/>
    <w:rsid w:val="00522B0B"/>
    <w:rsid w:val="00522B2F"/>
    <w:rsid w:val="00522BE0"/>
    <w:rsid w:val="00522C2F"/>
    <w:rsid w:val="00522C4A"/>
    <w:rsid w:val="00522CA1"/>
    <w:rsid w:val="00522CCD"/>
    <w:rsid w:val="00522CFF"/>
    <w:rsid w:val="00522D45"/>
    <w:rsid w:val="00522D99"/>
    <w:rsid w:val="00522DEE"/>
    <w:rsid w:val="00522E3B"/>
    <w:rsid w:val="00522F4B"/>
    <w:rsid w:val="00523026"/>
    <w:rsid w:val="005230FC"/>
    <w:rsid w:val="0052310A"/>
    <w:rsid w:val="00523119"/>
    <w:rsid w:val="00523126"/>
    <w:rsid w:val="00523145"/>
    <w:rsid w:val="005231B8"/>
    <w:rsid w:val="00523369"/>
    <w:rsid w:val="00523580"/>
    <w:rsid w:val="00523655"/>
    <w:rsid w:val="0052365F"/>
    <w:rsid w:val="005239B4"/>
    <w:rsid w:val="005239EE"/>
    <w:rsid w:val="00523A92"/>
    <w:rsid w:val="00523BBB"/>
    <w:rsid w:val="00523BF2"/>
    <w:rsid w:val="00523D23"/>
    <w:rsid w:val="00523D62"/>
    <w:rsid w:val="00523DBB"/>
    <w:rsid w:val="00523DDD"/>
    <w:rsid w:val="00523EC1"/>
    <w:rsid w:val="00523ED5"/>
    <w:rsid w:val="00523FF6"/>
    <w:rsid w:val="00524168"/>
    <w:rsid w:val="005241B1"/>
    <w:rsid w:val="005241CF"/>
    <w:rsid w:val="005241F5"/>
    <w:rsid w:val="00524311"/>
    <w:rsid w:val="00524385"/>
    <w:rsid w:val="005243AD"/>
    <w:rsid w:val="005244A4"/>
    <w:rsid w:val="00524647"/>
    <w:rsid w:val="00524696"/>
    <w:rsid w:val="005246D0"/>
    <w:rsid w:val="005246DC"/>
    <w:rsid w:val="0052480E"/>
    <w:rsid w:val="0052483B"/>
    <w:rsid w:val="00524864"/>
    <w:rsid w:val="00524957"/>
    <w:rsid w:val="005249C7"/>
    <w:rsid w:val="00524BAA"/>
    <w:rsid w:val="00524BBC"/>
    <w:rsid w:val="00524C32"/>
    <w:rsid w:val="00524C48"/>
    <w:rsid w:val="00524C51"/>
    <w:rsid w:val="00524D29"/>
    <w:rsid w:val="00524EA3"/>
    <w:rsid w:val="00524F00"/>
    <w:rsid w:val="00525081"/>
    <w:rsid w:val="00525143"/>
    <w:rsid w:val="0052519C"/>
    <w:rsid w:val="005251EF"/>
    <w:rsid w:val="0052526F"/>
    <w:rsid w:val="0052527A"/>
    <w:rsid w:val="00525495"/>
    <w:rsid w:val="005254A5"/>
    <w:rsid w:val="0052557E"/>
    <w:rsid w:val="005256D1"/>
    <w:rsid w:val="00525751"/>
    <w:rsid w:val="00525796"/>
    <w:rsid w:val="005257A1"/>
    <w:rsid w:val="00525819"/>
    <w:rsid w:val="00525870"/>
    <w:rsid w:val="005258A6"/>
    <w:rsid w:val="00525A4E"/>
    <w:rsid w:val="00525A58"/>
    <w:rsid w:val="00525A6E"/>
    <w:rsid w:val="00525AFB"/>
    <w:rsid w:val="00525BB9"/>
    <w:rsid w:val="00525C0F"/>
    <w:rsid w:val="00525C42"/>
    <w:rsid w:val="00525C63"/>
    <w:rsid w:val="00525C91"/>
    <w:rsid w:val="00525D6A"/>
    <w:rsid w:val="00525DBF"/>
    <w:rsid w:val="00525E8F"/>
    <w:rsid w:val="00525F63"/>
    <w:rsid w:val="00526022"/>
    <w:rsid w:val="005260BE"/>
    <w:rsid w:val="0052619B"/>
    <w:rsid w:val="005261E4"/>
    <w:rsid w:val="00526202"/>
    <w:rsid w:val="005263FE"/>
    <w:rsid w:val="00526438"/>
    <w:rsid w:val="00526492"/>
    <w:rsid w:val="00526497"/>
    <w:rsid w:val="00526591"/>
    <w:rsid w:val="005265B3"/>
    <w:rsid w:val="0052674C"/>
    <w:rsid w:val="005267A9"/>
    <w:rsid w:val="005267B8"/>
    <w:rsid w:val="005267CF"/>
    <w:rsid w:val="005268DE"/>
    <w:rsid w:val="00526940"/>
    <w:rsid w:val="00526B59"/>
    <w:rsid w:val="00526E0E"/>
    <w:rsid w:val="00526E28"/>
    <w:rsid w:val="00526E65"/>
    <w:rsid w:val="00526EFF"/>
    <w:rsid w:val="00527086"/>
    <w:rsid w:val="005270D7"/>
    <w:rsid w:val="005270EF"/>
    <w:rsid w:val="0052716F"/>
    <w:rsid w:val="005271EF"/>
    <w:rsid w:val="00527361"/>
    <w:rsid w:val="005273D1"/>
    <w:rsid w:val="005273F7"/>
    <w:rsid w:val="0052741F"/>
    <w:rsid w:val="0052743F"/>
    <w:rsid w:val="00527454"/>
    <w:rsid w:val="00527590"/>
    <w:rsid w:val="005275BF"/>
    <w:rsid w:val="005275E3"/>
    <w:rsid w:val="00527650"/>
    <w:rsid w:val="00527653"/>
    <w:rsid w:val="0052769A"/>
    <w:rsid w:val="005276BD"/>
    <w:rsid w:val="00527713"/>
    <w:rsid w:val="005277B4"/>
    <w:rsid w:val="005278E5"/>
    <w:rsid w:val="00527903"/>
    <w:rsid w:val="00527ADA"/>
    <w:rsid w:val="00527AEF"/>
    <w:rsid w:val="00527CF8"/>
    <w:rsid w:val="00527E55"/>
    <w:rsid w:val="00527E73"/>
    <w:rsid w:val="00527ECA"/>
    <w:rsid w:val="00527F26"/>
    <w:rsid w:val="00530098"/>
    <w:rsid w:val="0053017F"/>
    <w:rsid w:val="00530180"/>
    <w:rsid w:val="005301EE"/>
    <w:rsid w:val="005301FF"/>
    <w:rsid w:val="0053029A"/>
    <w:rsid w:val="00530398"/>
    <w:rsid w:val="0053040A"/>
    <w:rsid w:val="005304B0"/>
    <w:rsid w:val="00530687"/>
    <w:rsid w:val="00530780"/>
    <w:rsid w:val="0053087C"/>
    <w:rsid w:val="0053090A"/>
    <w:rsid w:val="0053097E"/>
    <w:rsid w:val="00530BCA"/>
    <w:rsid w:val="00530C0C"/>
    <w:rsid w:val="00530CB1"/>
    <w:rsid w:val="00530FC9"/>
    <w:rsid w:val="00531186"/>
    <w:rsid w:val="005311B6"/>
    <w:rsid w:val="0053121B"/>
    <w:rsid w:val="005312EB"/>
    <w:rsid w:val="00531382"/>
    <w:rsid w:val="00531547"/>
    <w:rsid w:val="005316BB"/>
    <w:rsid w:val="005316D1"/>
    <w:rsid w:val="005317CB"/>
    <w:rsid w:val="005317CD"/>
    <w:rsid w:val="005317D1"/>
    <w:rsid w:val="00531890"/>
    <w:rsid w:val="00531999"/>
    <w:rsid w:val="00531B18"/>
    <w:rsid w:val="00531D02"/>
    <w:rsid w:val="00531D98"/>
    <w:rsid w:val="00531DC6"/>
    <w:rsid w:val="00531DCC"/>
    <w:rsid w:val="00531E25"/>
    <w:rsid w:val="00531E6B"/>
    <w:rsid w:val="00531E8C"/>
    <w:rsid w:val="00531ED7"/>
    <w:rsid w:val="00531F20"/>
    <w:rsid w:val="00531F86"/>
    <w:rsid w:val="005320BF"/>
    <w:rsid w:val="0053213E"/>
    <w:rsid w:val="005321D8"/>
    <w:rsid w:val="00532350"/>
    <w:rsid w:val="00532367"/>
    <w:rsid w:val="005323ED"/>
    <w:rsid w:val="005323F4"/>
    <w:rsid w:val="005324B9"/>
    <w:rsid w:val="00532639"/>
    <w:rsid w:val="005326DD"/>
    <w:rsid w:val="0053292F"/>
    <w:rsid w:val="00532A30"/>
    <w:rsid w:val="00532A31"/>
    <w:rsid w:val="00532AF5"/>
    <w:rsid w:val="00532C37"/>
    <w:rsid w:val="00532C8D"/>
    <w:rsid w:val="00532D2D"/>
    <w:rsid w:val="00532D63"/>
    <w:rsid w:val="00532E33"/>
    <w:rsid w:val="00532EBD"/>
    <w:rsid w:val="00532F7B"/>
    <w:rsid w:val="00532FD9"/>
    <w:rsid w:val="0053301F"/>
    <w:rsid w:val="0053315C"/>
    <w:rsid w:val="005332B1"/>
    <w:rsid w:val="005332F3"/>
    <w:rsid w:val="005333D9"/>
    <w:rsid w:val="005334C6"/>
    <w:rsid w:val="00533556"/>
    <w:rsid w:val="00533765"/>
    <w:rsid w:val="00533774"/>
    <w:rsid w:val="00533854"/>
    <w:rsid w:val="00533888"/>
    <w:rsid w:val="005338A7"/>
    <w:rsid w:val="005338CA"/>
    <w:rsid w:val="00533984"/>
    <w:rsid w:val="00533A78"/>
    <w:rsid w:val="00533A8A"/>
    <w:rsid w:val="00533C17"/>
    <w:rsid w:val="00533C28"/>
    <w:rsid w:val="00533C7C"/>
    <w:rsid w:val="00533CBE"/>
    <w:rsid w:val="00533CCA"/>
    <w:rsid w:val="00533DE7"/>
    <w:rsid w:val="00533E0D"/>
    <w:rsid w:val="00533EEC"/>
    <w:rsid w:val="00533F26"/>
    <w:rsid w:val="00533F5F"/>
    <w:rsid w:val="005341B9"/>
    <w:rsid w:val="0053421E"/>
    <w:rsid w:val="00534268"/>
    <w:rsid w:val="005342F8"/>
    <w:rsid w:val="0053438E"/>
    <w:rsid w:val="00534752"/>
    <w:rsid w:val="00534798"/>
    <w:rsid w:val="005347C2"/>
    <w:rsid w:val="00534851"/>
    <w:rsid w:val="005348C3"/>
    <w:rsid w:val="0053493A"/>
    <w:rsid w:val="005349FE"/>
    <w:rsid w:val="00534A19"/>
    <w:rsid w:val="00534AC1"/>
    <w:rsid w:val="00534AF9"/>
    <w:rsid w:val="00534B13"/>
    <w:rsid w:val="00534B29"/>
    <w:rsid w:val="00534BFE"/>
    <w:rsid w:val="00534C43"/>
    <w:rsid w:val="00534C5D"/>
    <w:rsid w:val="00534D72"/>
    <w:rsid w:val="00534DB8"/>
    <w:rsid w:val="00534E52"/>
    <w:rsid w:val="00534E57"/>
    <w:rsid w:val="00534E59"/>
    <w:rsid w:val="00534E97"/>
    <w:rsid w:val="00535027"/>
    <w:rsid w:val="0053504F"/>
    <w:rsid w:val="00535069"/>
    <w:rsid w:val="005350BE"/>
    <w:rsid w:val="0053516C"/>
    <w:rsid w:val="00535217"/>
    <w:rsid w:val="00535311"/>
    <w:rsid w:val="0053531F"/>
    <w:rsid w:val="005353AB"/>
    <w:rsid w:val="005353FB"/>
    <w:rsid w:val="0053552F"/>
    <w:rsid w:val="0053561F"/>
    <w:rsid w:val="0053573F"/>
    <w:rsid w:val="005359CD"/>
    <w:rsid w:val="005359DC"/>
    <w:rsid w:val="00535A02"/>
    <w:rsid w:val="00535B4F"/>
    <w:rsid w:val="00535B65"/>
    <w:rsid w:val="00535C57"/>
    <w:rsid w:val="00535C7D"/>
    <w:rsid w:val="00535DA5"/>
    <w:rsid w:val="00535E4B"/>
    <w:rsid w:val="00535F59"/>
    <w:rsid w:val="00535F81"/>
    <w:rsid w:val="0053614E"/>
    <w:rsid w:val="00536193"/>
    <w:rsid w:val="00536209"/>
    <w:rsid w:val="00536246"/>
    <w:rsid w:val="00536317"/>
    <w:rsid w:val="00536344"/>
    <w:rsid w:val="00536488"/>
    <w:rsid w:val="00536542"/>
    <w:rsid w:val="0053654D"/>
    <w:rsid w:val="0053672A"/>
    <w:rsid w:val="005368CF"/>
    <w:rsid w:val="00536A76"/>
    <w:rsid w:val="00536AF1"/>
    <w:rsid w:val="00536C43"/>
    <w:rsid w:val="00536C4A"/>
    <w:rsid w:val="00536C9E"/>
    <w:rsid w:val="00536D5D"/>
    <w:rsid w:val="00536DDB"/>
    <w:rsid w:val="00536DF7"/>
    <w:rsid w:val="00536E4C"/>
    <w:rsid w:val="00536E9E"/>
    <w:rsid w:val="00536EAC"/>
    <w:rsid w:val="005371D0"/>
    <w:rsid w:val="005371DC"/>
    <w:rsid w:val="005372B4"/>
    <w:rsid w:val="00537361"/>
    <w:rsid w:val="0053750F"/>
    <w:rsid w:val="0053753C"/>
    <w:rsid w:val="005375BF"/>
    <w:rsid w:val="0053762D"/>
    <w:rsid w:val="00537742"/>
    <w:rsid w:val="005377B3"/>
    <w:rsid w:val="00537938"/>
    <w:rsid w:val="0053797E"/>
    <w:rsid w:val="005379B4"/>
    <w:rsid w:val="005379FE"/>
    <w:rsid w:val="00537B6A"/>
    <w:rsid w:val="00537BAA"/>
    <w:rsid w:val="00537BD6"/>
    <w:rsid w:val="00537C08"/>
    <w:rsid w:val="00537CE6"/>
    <w:rsid w:val="00537E1F"/>
    <w:rsid w:val="00537F74"/>
    <w:rsid w:val="005400E4"/>
    <w:rsid w:val="00540225"/>
    <w:rsid w:val="005402B5"/>
    <w:rsid w:val="005402E8"/>
    <w:rsid w:val="0054033E"/>
    <w:rsid w:val="0054039A"/>
    <w:rsid w:val="00540522"/>
    <w:rsid w:val="0054059F"/>
    <w:rsid w:val="005405A2"/>
    <w:rsid w:val="005405E0"/>
    <w:rsid w:val="00540680"/>
    <w:rsid w:val="005406FD"/>
    <w:rsid w:val="0054074F"/>
    <w:rsid w:val="00540836"/>
    <w:rsid w:val="005408DC"/>
    <w:rsid w:val="00540946"/>
    <w:rsid w:val="00540AAC"/>
    <w:rsid w:val="00540AC1"/>
    <w:rsid w:val="00540B96"/>
    <w:rsid w:val="00540C47"/>
    <w:rsid w:val="00540D14"/>
    <w:rsid w:val="00541001"/>
    <w:rsid w:val="00541030"/>
    <w:rsid w:val="005410C8"/>
    <w:rsid w:val="005410E5"/>
    <w:rsid w:val="0054110E"/>
    <w:rsid w:val="0054113F"/>
    <w:rsid w:val="00541181"/>
    <w:rsid w:val="00541376"/>
    <w:rsid w:val="00541463"/>
    <w:rsid w:val="0054147C"/>
    <w:rsid w:val="005414E2"/>
    <w:rsid w:val="0054152C"/>
    <w:rsid w:val="005415C7"/>
    <w:rsid w:val="005415D2"/>
    <w:rsid w:val="005417B4"/>
    <w:rsid w:val="005418AE"/>
    <w:rsid w:val="005418D4"/>
    <w:rsid w:val="00541BFE"/>
    <w:rsid w:val="00541C00"/>
    <w:rsid w:val="00541C2F"/>
    <w:rsid w:val="00541D3A"/>
    <w:rsid w:val="00541E5E"/>
    <w:rsid w:val="00541F28"/>
    <w:rsid w:val="00541F73"/>
    <w:rsid w:val="0054200D"/>
    <w:rsid w:val="0054201A"/>
    <w:rsid w:val="005420C7"/>
    <w:rsid w:val="00542150"/>
    <w:rsid w:val="00542154"/>
    <w:rsid w:val="0054222E"/>
    <w:rsid w:val="005422F0"/>
    <w:rsid w:val="00542362"/>
    <w:rsid w:val="00542428"/>
    <w:rsid w:val="0054250F"/>
    <w:rsid w:val="00542526"/>
    <w:rsid w:val="0054255B"/>
    <w:rsid w:val="00542583"/>
    <w:rsid w:val="00542670"/>
    <w:rsid w:val="00542702"/>
    <w:rsid w:val="005427E1"/>
    <w:rsid w:val="00542800"/>
    <w:rsid w:val="00542823"/>
    <w:rsid w:val="00542891"/>
    <w:rsid w:val="0054295E"/>
    <w:rsid w:val="00542A82"/>
    <w:rsid w:val="00542AA8"/>
    <w:rsid w:val="00542ADC"/>
    <w:rsid w:val="00542B89"/>
    <w:rsid w:val="00542BB5"/>
    <w:rsid w:val="00542BCD"/>
    <w:rsid w:val="00542C56"/>
    <w:rsid w:val="00542C7D"/>
    <w:rsid w:val="00542CF2"/>
    <w:rsid w:val="00542D5A"/>
    <w:rsid w:val="00542D5D"/>
    <w:rsid w:val="00542D9B"/>
    <w:rsid w:val="00542DDD"/>
    <w:rsid w:val="00542DF9"/>
    <w:rsid w:val="00542E2D"/>
    <w:rsid w:val="00542F05"/>
    <w:rsid w:val="00542F16"/>
    <w:rsid w:val="00542F89"/>
    <w:rsid w:val="00542F96"/>
    <w:rsid w:val="00543033"/>
    <w:rsid w:val="00543079"/>
    <w:rsid w:val="00543115"/>
    <w:rsid w:val="005431CB"/>
    <w:rsid w:val="005431DD"/>
    <w:rsid w:val="00543286"/>
    <w:rsid w:val="00543323"/>
    <w:rsid w:val="00543396"/>
    <w:rsid w:val="0054347F"/>
    <w:rsid w:val="005434BB"/>
    <w:rsid w:val="00543541"/>
    <w:rsid w:val="0054355F"/>
    <w:rsid w:val="005435BC"/>
    <w:rsid w:val="0054363D"/>
    <w:rsid w:val="0054369D"/>
    <w:rsid w:val="00543715"/>
    <w:rsid w:val="005437BD"/>
    <w:rsid w:val="0054387D"/>
    <w:rsid w:val="005438F1"/>
    <w:rsid w:val="005439A2"/>
    <w:rsid w:val="00543A5F"/>
    <w:rsid w:val="00543AC5"/>
    <w:rsid w:val="00543B8D"/>
    <w:rsid w:val="00543C42"/>
    <w:rsid w:val="00543C95"/>
    <w:rsid w:val="00543CDC"/>
    <w:rsid w:val="00543CF0"/>
    <w:rsid w:val="00543E58"/>
    <w:rsid w:val="00543F58"/>
    <w:rsid w:val="00544103"/>
    <w:rsid w:val="005442D5"/>
    <w:rsid w:val="0054439A"/>
    <w:rsid w:val="005443B4"/>
    <w:rsid w:val="00544402"/>
    <w:rsid w:val="005445F5"/>
    <w:rsid w:val="00544633"/>
    <w:rsid w:val="005446E9"/>
    <w:rsid w:val="0054474F"/>
    <w:rsid w:val="00544882"/>
    <w:rsid w:val="005448D7"/>
    <w:rsid w:val="0054494C"/>
    <w:rsid w:val="00544969"/>
    <w:rsid w:val="00544989"/>
    <w:rsid w:val="005449CC"/>
    <w:rsid w:val="00544A12"/>
    <w:rsid w:val="00544A73"/>
    <w:rsid w:val="00544B5F"/>
    <w:rsid w:val="00544B6D"/>
    <w:rsid w:val="00544D58"/>
    <w:rsid w:val="005450B3"/>
    <w:rsid w:val="0054512B"/>
    <w:rsid w:val="00545145"/>
    <w:rsid w:val="005451C4"/>
    <w:rsid w:val="00545538"/>
    <w:rsid w:val="0054560F"/>
    <w:rsid w:val="005456C9"/>
    <w:rsid w:val="005457F0"/>
    <w:rsid w:val="005457F4"/>
    <w:rsid w:val="00545B7F"/>
    <w:rsid w:val="00545BBB"/>
    <w:rsid w:val="00545CBC"/>
    <w:rsid w:val="00545CFC"/>
    <w:rsid w:val="00545DF5"/>
    <w:rsid w:val="00545E83"/>
    <w:rsid w:val="00545F5C"/>
    <w:rsid w:val="00545F6B"/>
    <w:rsid w:val="00545FA2"/>
    <w:rsid w:val="005463E2"/>
    <w:rsid w:val="005464ED"/>
    <w:rsid w:val="0054666A"/>
    <w:rsid w:val="005467BB"/>
    <w:rsid w:val="005467CE"/>
    <w:rsid w:val="0054682B"/>
    <w:rsid w:val="0054682E"/>
    <w:rsid w:val="00546843"/>
    <w:rsid w:val="00546A35"/>
    <w:rsid w:val="00546AB9"/>
    <w:rsid w:val="00546C36"/>
    <w:rsid w:val="00546DCB"/>
    <w:rsid w:val="00546F17"/>
    <w:rsid w:val="0054719F"/>
    <w:rsid w:val="005471F3"/>
    <w:rsid w:val="00547280"/>
    <w:rsid w:val="005472A7"/>
    <w:rsid w:val="005472C9"/>
    <w:rsid w:val="00547458"/>
    <w:rsid w:val="005474DC"/>
    <w:rsid w:val="005475CC"/>
    <w:rsid w:val="00547636"/>
    <w:rsid w:val="005476EE"/>
    <w:rsid w:val="00547778"/>
    <w:rsid w:val="005477D7"/>
    <w:rsid w:val="005479D7"/>
    <w:rsid w:val="00547A36"/>
    <w:rsid w:val="00547A58"/>
    <w:rsid w:val="00547A90"/>
    <w:rsid w:val="00547BC4"/>
    <w:rsid w:val="00547C39"/>
    <w:rsid w:val="00547CB6"/>
    <w:rsid w:val="00547D1E"/>
    <w:rsid w:val="00547E65"/>
    <w:rsid w:val="00547ED1"/>
    <w:rsid w:val="00547F0B"/>
    <w:rsid w:val="00547F5F"/>
    <w:rsid w:val="00547FD9"/>
    <w:rsid w:val="00547FF0"/>
    <w:rsid w:val="0054DB5C"/>
    <w:rsid w:val="00550045"/>
    <w:rsid w:val="0055007B"/>
    <w:rsid w:val="005500CA"/>
    <w:rsid w:val="00550155"/>
    <w:rsid w:val="005503F4"/>
    <w:rsid w:val="0055040C"/>
    <w:rsid w:val="005504D6"/>
    <w:rsid w:val="005504F4"/>
    <w:rsid w:val="00550545"/>
    <w:rsid w:val="005507F4"/>
    <w:rsid w:val="0055083D"/>
    <w:rsid w:val="0055089A"/>
    <w:rsid w:val="00550B09"/>
    <w:rsid w:val="00550B7B"/>
    <w:rsid w:val="005511A0"/>
    <w:rsid w:val="005512AE"/>
    <w:rsid w:val="005512F5"/>
    <w:rsid w:val="00551414"/>
    <w:rsid w:val="005514E4"/>
    <w:rsid w:val="005515A1"/>
    <w:rsid w:val="005515DD"/>
    <w:rsid w:val="0055174D"/>
    <w:rsid w:val="0055181A"/>
    <w:rsid w:val="005518DD"/>
    <w:rsid w:val="0055197E"/>
    <w:rsid w:val="005519EC"/>
    <w:rsid w:val="00551A39"/>
    <w:rsid w:val="00551B10"/>
    <w:rsid w:val="00551BF4"/>
    <w:rsid w:val="00551CA4"/>
    <w:rsid w:val="00551D02"/>
    <w:rsid w:val="00551D65"/>
    <w:rsid w:val="00551D82"/>
    <w:rsid w:val="00551D9A"/>
    <w:rsid w:val="00551E8C"/>
    <w:rsid w:val="00551EDA"/>
    <w:rsid w:val="00551EDE"/>
    <w:rsid w:val="00551F6B"/>
    <w:rsid w:val="00552006"/>
    <w:rsid w:val="00552064"/>
    <w:rsid w:val="00552090"/>
    <w:rsid w:val="0055212E"/>
    <w:rsid w:val="0055228A"/>
    <w:rsid w:val="005522B1"/>
    <w:rsid w:val="00552313"/>
    <w:rsid w:val="00552316"/>
    <w:rsid w:val="005525B1"/>
    <w:rsid w:val="005526CC"/>
    <w:rsid w:val="0055271D"/>
    <w:rsid w:val="00552772"/>
    <w:rsid w:val="00552890"/>
    <w:rsid w:val="00552956"/>
    <w:rsid w:val="00552C20"/>
    <w:rsid w:val="00552D30"/>
    <w:rsid w:val="00552DDE"/>
    <w:rsid w:val="00552E3E"/>
    <w:rsid w:val="00552F05"/>
    <w:rsid w:val="005530BF"/>
    <w:rsid w:val="005530E7"/>
    <w:rsid w:val="00553116"/>
    <w:rsid w:val="00553250"/>
    <w:rsid w:val="005532EC"/>
    <w:rsid w:val="0055330A"/>
    <w:rsid w:val="005535D5"/>
    <w:rsid w:val="005536F0"/>
    <w:rsid w:val="00553706"/>
    <w:rsid w:val="005537A9"/>
    <w:rsid w:val="005537AD"/>
    <w:rsid w:val="00553892"/>
    <w:rsid w:val="00553921"/>
    <w:rsid w:val="00553934"/>
    <w:rsid w:val="00553988"/>
    <w:rsid w:val="005539BC"/>
    <w:rsid w:val="005539E2"/>
    <w:rsid w:val="00553A20"/>
    <w:rsid w:val="00553AAC"/>
    <w:rsid w:val="00553AB3"/>
    <w:rsid w:val="00553C21"/>
    <w:rsid w:val="00553C83"/>
    <w:rsid w:val="00553D0A"/>
    <w:rsid w:val="00553D1D"/>
    <w:rsid w:val="00553D5A"/>
    <w:rsid w:val="00553E98"/>
    <w:rsid w:val="00553EB6"/>
    <w:rsid w:val="00553ECE"/>
    <w:rsid w:val="00553F32"/>
    <w:rsid w:val="00553FFF"/>
    <w:rsid w:val="0055403A"/>
    <w:rsid w:val="0055404C"/>
    <w:rsid w:val="005540C5"/>
    <w:rsid w:val="005540EF"/>
    <w:rsid w:val="00554143"/>
    <w:rsid w:val="00554210"/>
    <w:rsid w:val="00554238"/>
    <w:rsid w:val="005543AB"/>
    <w:rsid w:val="0055455E"/>
    <w:rsid w:val="0055457F"/>
    <w:rsid w:val="00554601"/>
    <w:rsid w:val="0055468A"/>
    <w:rsid w:val="005546AC"/>
    <w:rsid w:val="005546C0"/>
    <w:rsid w:val="0055471E"/>
    <w:rsid w:val="00554759"/>
    <w:rsid w:val="005547BF"/>
    <w:rsid w:val="0055487F"/>
    <w:rsid w:val="005549E5"/>
    <w:rsid w:val="00554AD9"/>
    <w:rsid w:val="00554AED"/>
    <w:rsid w:val="00554C17"/>
    <w:rsid w:val="00554CE7"/>
    <w:rsid w:val="00554D8A"/>
    <w:rsid w:val="00554DBC"/>
    <w:rsid w:val="00554E32"/>
    <w:rsid w:val="00554E36"/>
    <w:rsid w:val="00554EE9"/>
    <w:rsid w:val="00554FA7"/>
    <w:rsid w:val="00555159"/>
    <w:rsid w:val="005551D3"/>
    <w:rsid w:val="00555212"/>
    <w:rsid w:val="005552E4"/>
    <w:rsid w:val="005553DA"/>
    <w:rsid w:val="0055554C"/>
    <w:rsid w:val="005555D1"/>
    <w:rsid w:val="00555625"/>
    <w:rsid w:val="0055571F"/>
    <w:rsid w:val="005557BC"/>
    <w:rsid w:val="005557C9"/>
    <w:rsid w:val="0055581E"/>
    <w:rsid w:val="00555986"/>
    <w:rsid w:val="00555A07"/>
    <w:rsid w:val="00555A1F"/>
    <w:rsid w:val="00555A44"/>
    <w:rsid w:val="00555B17"/>
    <w:rsid w:val="00555B6E"/>
    <w:rsid w:val="00555D74"/>
    <w:rsid w:val="00555DF1"/>
    <w:rsid w:val="00555F48"/>
    <w:rsid w:val="00555FF0"/>
    <w:rsid w:val="0055603C"/>
    <w:rsid w:val="00556064"/>
    <w:rsid w:val="005560B8"/>
    <w:rsid w:val="005560F7"/>
    <w:rsid w:val="00556141"/>
    <w:rsid w:val="00556376"/>
    <w:rsid w:val="005563B9"/>
    <w:rsid w:val="005564F4"/>
    <w:rsid w:val="00556506"/>
    <w:rsid w:val="00556695"/>
    <w:rsid w:val="00556726"/>
    <w:rsid w:val="005567C3"/>
    <w:rsid w:val="005567ED"/>
    <w:rsid w:val="00556804"/>
    <w:rsid w:val="00556914"/>
    <w:rsid w:val="00556981"/>
    <w:rsid w:val="0055698B"/>
    <w:rsid w:val="005569AD"/>
    <w:rsid w:val="005569D0"/>
    <w:rsid w:val="00556AC1"/>
    <w:rsid w:val="00556AFD"/>
    <w:rsid w:val="00556BF8"/>
    <w:rsid w:val="00556C03"/>
    <w:rsid w:val="00556C04"/>
    <w:rsid w:val="00556C1C"/>
    <w:rsid w:val="00556C4A"/>
    <w:rsid w:val="00556D8B"/>
    <w:rsid w:val="00556EC4"/>
    <w:rsid w:val="00556F2B"/>
    <w:rsid w:val="0055713E"/>
    <w:rsid w:val="005571A3"/>
    <w:rsid w:val="005571AC"/>
    <w:rsid w:val="00557393"/>
    <w:rsid w:val="0055753C"/>
    <w:rsid w:val="005575EB"/>
    <w:rsid w:val="0055764E"/>
    <w:rsid w:val="0055771E"/>
    <w:rsid w:val="005577DB"/>
    <w:rsid w:val="00557814"/>
    <w:rsid w:val="00557900"/>
    <w:rsid w:val="00557984"/>
    <w:rsid w:val="00557A70"/>
    <w:rsid w:val="00557A8F"/>
    <w:rsid w:val="00557AFD"/>
    <w:rsid w:val="00557B17"/>
    <w:rsid w:val="00557B49"/>
    <w:rsid w:val="00557BAF"/>
    <w:rsid w:val="00557CB9"/>
    <w:rsid w:val="00557DE8"/>
    <w:rsid w:val="00557DEA"/>
    <w:rsid w:val="00557E1C"/>
    <w:rsid w:val="00557E92"/>
    <w:rsid w:val="00557EA7"/>
    <w:rsid w:val="00557EFB"/>
    <w:rsid w:val="00557F90"/>
    <w:rsid w:val="00557FB9"/>
    <w:rsid w:val="00557FD2"/>
    <w:rsid w:val="00560040"/>
    <w:rsid w:val="005600B0"/>
    <w:rsid w:val="005600EF"/>
    <w:rsid w:val="005600F0"/>
    <w:rsid w:val="005601C3"/>
    <w:rsid w:val="00560202"/>
    <w:rsid w:val="005602B5"/>
    <w:rsid w:val="005602E4"/>
    <w:rsid w:val="00560303"/>
    <w:rsid w:val="0056033A"/>
    <w:rsid w:val="00560341"/>
    <w:rsid w:val="00560345"/>
    <w:rsid w:val="00560357"/>
    <w:rsid w:val="00560386"/>
    <w:rsid w:val="0056042B"/>
    <w:rsid w:val="00560437"/>
    <w:rsid w:val="005604D8"/>
    <w:rsid w:val="005604F4"/>
    <w:rsid w:val="00560514"/>
    <w:rsid w:val="00560591"/>
    <w:rsid w:val="00560638"/>
    <w:rsid w:val="005608A1"/>
    <w:rsid w:val="005608B4"/>
    <w:rsid w:val="00560901"/>
    <w:rsid w:val="00560917"/>
    <w:rsid w:val="00560931"/>
    <w:rsid w:val="00560B77"/>
    <w:rsid w:val="00560B81"/>
    <w:rsid w:val="00560CF6"/>
    <w:rsid w:val="00560E13"/>
    <w:rsid w:val="00560F6A"/>
    <w:rsid w:val="005610CA"/>
    <w:rsid w:val="0056112D"/>
    <w:rsid w:val="00561271"/>
    <w:rsid w:val="005613B9"/>
    <w:rsid w:val="005613BF"/>
    <w:rsid w:val="00561412"/>
    <w:rsid w:val="00561429"/>
    <w:rsid w:val="00561608"/>
    <w:rsid w:val="00561770"/>
    <w:rsid w:val="00561832"/>
    <w:rsid w:val="0056185A"/>
    <w:rsid w:val="00561908"/>
    <w:rsid w:val="005619BB"/>
    <w:rsid w:val="00561A98"/>
    <w:rsid w:val="00561AA6"/>
    <w:rsid w:val="00561AEF"/>
    <w:rsid w:val="00561C91"/>
    <w:rsid w:val="00561CDE"/>
    <w:rsid w:val="00561CF2"/>
    <w:rsid w:val="00561D1B"/>
    <w:rsid w:val="00561D8F"/>
    <w:rsid w:val="00561E98"/>
    <w:rsid w:val="00561ED2"/>
    <w:rsid w:val="00562052"/>
    <w:rsid w:val="005620ED"/>
    <w:rsid w:val="00562107"/>
    <w:rsid w:val="005621F7"/>
    <w:rsid w:val="0056221B"/>
    <w:rsid w:val="00562296"/>
    <w:rsid w:val="0056229D"/>
    <w:rsid w:val="0056239E"/>
    <w:rsid w:val="00562460"/>
    <w:rsid w:val="0056248E"/>
    <w:rsid w:val="005624AB"/>
    <w:rsid w:val="005624E8"/>
    <w:rsid w:val="005624F7"/>
    <w:rsid w:val="00562546"/>
    <w:rsid w:val="00562566"/>
    <w:rsid w:val="00562610"/>
    <w:rsid w:val="00562793"/>
    <w:rsid w:val="005627B6"/>
    <w:rsid w:val="005627DB"/>
    <w:rsid w:val="00562A79"/>
    <w:rsid w:val="00562AA2"/>
    <w:rsid w:val="00562AB3"/>
    <w:rsid w:val="00562B3D"/>
    <w:rsid w:val="00562B4F"/>
    <w:rsid w:val="00562B68"/>
    <w:rsid w:val="00562BE7"/>
    <w:rsid w:val="00562CCB"/>
    <w:rsid w:val="00562DE4"/>
    <w:rsid w:val="00562E81"/>
    <w:rsid w:val="005630AC"/>
    <w:rsid w:val="005630C2"/>
    <w:rsid w:val="005630D8"/>
    <w:rsid w:val="00563146"/>
    <w:rsid w:val="00563206"/>
    <w:rsid w:val="0056325B"/>
    <w:rsid w:val="00563276"/>
    <w:rsid w:val="00563279"/>
    <w:rsid w:val="00563341"/>
    <w:rsid w:val="005634DE"/>
    <w:rsid w:val="005634F3"/>
    <w:rsid w:val="005635FC"/>
    <w:rsid w:val="00563601"/>
    <w:rsid w:val="005636D1"/>
    <w:rsid w:val="00563873"/>
    <w:rsid w:val="00563877"/>
    <w:rsid w:val="00563956"/>
    <w:rsid w:val="00563A8A"/>
    <w:rsid w:val="00563AD6"/>
    <w:rsid w:val="00563B4D"/>
    <w:rsid w:val="00563BA5"/>
    <w:rsid w:val="00563BD7"/>
    <w:rsid w:val="00563BE5"/>
    <w:rsid w:val="00563C11"/>
    <w:rsid w:val="00563C45"/>
    <w:rsid w:val="00563CBA"/>
    <w:rsid w:val="00563CCC"/>
    <w:rsid w:val="00563DB7"/>
    <w:rsid w:val="00563DE5"/>
    <w:rsid w:val="00563F1B"/>
    <w:rsid w:val="00563F40"/>
    <w:rsid w:val="005640BD"/>
    <w:rsid w:val="00564110"/>
    <w:rsid w:val="005641DC"/>
    <w:rsid w:val="005641FF"/>
    <w:rsid w:val="0056421E"/>
    <w:rsid w:val="00564235"/>
    <w:rsid w:val="00564288"/>
    <w:rsid w:val="0056429E"/>
    <w:rsid w:val="005642BF"/>
    <w:rsid w:val="00564414"/>
    <w:rsid w:val="005644DE"/>
    <w:rsid w:val="00564511"/>
    <w:rsid w:val="0056452A"/>
    <w:rsid w:val="005645CC"/>
    <w:rsid w:val="00564634"/>
    <w:rsid w:val="005646E5"/>
    <w:rsid w:val="005646E6"/>
    <w:rsid w:val="005647BC"/>
    <w:rsid w:val="0056488C"/>
    <w:rsid w:val="00564892"/>
    <w:rsid w:val="00564D58"/>
    <w:rsid w:val="00564D8E"/>
    <w:rsid w:val="00565066"/>
    <w:rsid w:val="005651C0"/>
    <w:rsid w:val="005651E2"/>
    <w:rsid w:val="00565238"/>
    <w:rsid w:val="00565294"/>
    <w:rsid w:val="005652EA"/>
    <w:rsid w:val="0056556C"/>
    <w:rsid w:val="00565597"/>
    <w:rsid w:val="00565711"/>
    <w:rsid w:val="005657D7"/>
    <w:rsid w:val="00565801"/>
    <w:rsid w:val="0056587B"/>
    <w:rsid w:val="005658B1"/>
    <w:rsid w:val="005659D2"/>
    <w:rsid w:val="00565A1B"/>
    <w:rsid w:val="00565CDF"/>
    <w:rsid w:val="00565CE8"/>
    <w:rsid w:val="00565D29"/>
    <w:rsid w:val="00565F1E"/>
    <w:rsid w:val="00565FCB"/>
    <w:rsid w:val="0056600E"/>
    <w:rsid w:val="0056605D"/>
    <w:rsid w:val="005660CD"/>
    <w:rsid w:val="005661B1"/>
    <w:rsid w:val="005661DC"/>
    <w:rsid w:val="00566212"/>
    <w:rsid w:val="0056621B"/>
    <w:rsid w:val="00566260"/>
    <w:rsid w:val="0056637C"/>
    <w:rsid w:val="005663CA"/>
    <w:rsid w:val="005663F1"/>
    <w:rsid w:val="00566503"/>
    <w:rsid w:val="0056652F"/>
    <w:rsid w:val="0056658C"/>
    <w:rsid w:val="00566789"/>
    <w:rsid w:val="00566890"/>
    <w:rsid w:val="0056690F"/>
    <w:rsid w:val="00566928"/>
    <w:rsid w:val="00566988"/>
    <w:rsid w:val="00566CC7"/>
    <w:rsid w:val="00566ECB"/>
    <w:rsid w:val="00566EFB"/>
    <w:rsid w:val="005670B3"/>
    <w:rsid w:val="00567116"/>
    <w:rsid w:val="0056714E"/>
    <w:rsid w:val="00567173"/>
    <w:rsid w:val="00567176"/>
    <w:rsid w:val="00567188"/>
    <w:rsid w:val="00567273"/>
    <w:rsid w:val="00567297"/>
    <w:rsid w:val="005672D5"/>
    <w:rsid w:val="00567335"/>
    <w:rsid w:val="00567611"/>
    <w:rsid w:val="00567615"/>
    <w:rsid w:val="00567629"/>
    <w:rsid w:val="0056773E"/>
    <w:rsid w:val="00567914"/>
    <w:rsid w:val="00567A4F"/>
    <w:rsid w:val="00567AFB"/>
    <w:rsid w:val="00567B5B"/>
    <w:rsid w:val="00567BD7"/>
    <w:rsid w:val="00567E1A"/>
    <w:rsid w:val="00567F9F"/>
    <w:rsid w:val="0056B6E9"/>
    <w:rsid w:val="00570025"/>
    <w:rsid w:val="0057007D"/>
    <w:rsid w:val="00570197"/>
    <w:rsid w:val="00570268"/>
    <w:rsid w:val="005702D1"/>
    <w:rsid w:val="005702E4"/>
    <w:rsid w:val="0057033F"/>
    <w:rsid w:val="00570363"/>
    <w:rsid w:val="0057038D"/>
    <w:rsid w:val="005704F1"/>
    <w:rsid w:val="00570538"/>
    <w:rsid w:val="0057054E"/>
    <w:rsid w:val="005708B4"/>
    <w:rsid w:val="00570A2C"/>
    <w:rsid w:val="00570A2E"/>
    <w:rsid w:val="00570A83"/>
    <w:rsid w:val="00570B74"/>
    <w:rsid w:val="00570CF1"/>
    <w:rsid w:val="00570DCC"/>
    <w:rsid w:val="00570DE0"/>
    <w:rsid w:val="00570E5D"/>
    <w:rsid w:val="00570FB3"/>
    <w:rsid w:val="0057105B"/>
    <w:rsid w:val="00571161"/>
    <w:rsid w:val="0057119A"/>
    <w:rsid w:val="005711BF"/>
    <w:rsid w:val="005712C4"/>
    <w:rsid w:val="005713F1"/>
    <w:rsid w:val="0057155B"/>
    <w:rsid w:val="00571586"/>
    <w:rsid w:val="005715E5"/>
    <w:rsid w:val="005715E6"/>
    <w:rsid w:val="0057168B"/>
    <w:rsid w:val="0057172D"/>
    <w:rsid w:val="0057172E"/>
    <w:rsid w:val="00571B01"/>
    <w:rsid w:val="00571C4D"/>
    <w:rsid w:val="00571C67"/>
    <w:rsid w:val="00571DC2"/>
    <w:rsid w:val="00571E13"/>
    <w:rsid w:val="00572105"/>
    <w:rsid w:val="005722DF"/>
    <w:rsid w:val="0057234B"/>
    <w:rsid w:val="00572371"/>
    <w:rsid w:val="00572426"/>
    <w:rsid w:val="005724AB"/>
    <w:rsid w:val="005726BE"/>
    <w:rsid w:val="0057279C"/>
    <w:rsid w:val="005727BC"/>
    <w:rsid w:val="005729E2"/>
    <w:rsid w:val="00572BBB"/>
    <w:rsid w:val="00572BE5"/>
    <w:rsid w:val="00572D47"/>
    <w:rsid w:val="00572D66"/>
    <w:rsid w:val="00572D97"/>
    <w:rsid w:val="00572E9E"/>
    <w:rsid w:val="00572FC0"/>
    <w:rsid w:val="0057308E"/>
    <w:rsid w:val="00573144"/>
    <w:rsid w:val="00573192"/>
    <w:rsid w:val="005732A1"/>
    <w:rsid w:val="0057356B"/>
    <w:rsid w:val="0057361D"/>
    <w:rsid w:val="005736B1"/>
    <w:rsid w:val="005736E7"/>
    <w:rsid w:val="005736EB"/>
    <w:rsid w:val="00573731"/>
    <w:rsid w:val="00573795"/>
    <w:rsid w:val="00573842"/>
    <w:rsid w:val="00573863"/>
    <w:rsid w:val="00573A91"/>
    <w:rsid w:val="00573B9B"/>
    <w:rsid w:val="00573CCA"/>
    <w:rsid w:val="00573CDB"/>
    <w:rsid w:val="00573F12"/>
    <w:rsid w:val="005740B3"/>
    <w:rsid w:val="005740BE"/>
    <w:rsid w:val="005740DF"/>
    <w:rsid w:val="005741A9"/>
    <w:rsid w:val="005741B4"/>
    <w:rsid w:val="005741B5"/>
    <w:rsid w:val="00574269"/>
    <w:rsid w:val="005742C0"/>
    <w:rsid w:val="00574337"/>
    <w:rsid w:val="00574414"/>
    <w:rsid w:val="00574434"/>
    <w:rsid w:val="00574513"/>
    <w:rsid w:val="005745B0"/>
    <w:rsid w:val="00574642"/>
    <w:rsid w:val="00574767"/>
    <w:rsid w:val="0057497C"/>
    <w:rsid w:val="00574A37"/>
    <w:rsid w:val="00574A89"/>
    <w:rsid w:val="00574A93"/>
    <w:rsid w:val="00574B0B"/>
    <w:rsid w:val="00574B83"/>
    <w:rsid w:val="00574DFC"/>
    <w:rsid w:val="00574E71"/>
    <w:rsid w:val="00574EAF"/>
    <w:rsid w:val="00574EE9"/>
    <w:rsid w:val="00574EF8"/>
    <w:rsid w:val="00574F25"/>
    <w:rsid w:val="00574F9D"/>
    <w:rsid w:val="00574FFD"/>
    <w:rsid w:val="00575092"/>
    <w:rsid w:val="0057511C"/>
    <w:rsid w:val="00575143"/>
    <w:rsid w:val="005751FA"/>
    <w:rsid w:val="005752A6"/>
    <w:rsid w:val="005752C2"/>
    <w:rsid w:val="00575310"/>
    <w:rsid w:val="00575421"/>
    <w:rsid w:val="005754F4"/>
    <w:rsid w:val="005757B0"/>
    <w:rsid w:val="005757C5"/>
    <w:rsid w:val="005757F4"/>
    <w:rsid w:val="005757F9"/>
    <w:rsid w:val="005758E3"/>
    <w:rsid w:val="00575909"/>
    <w:rsid w:val="0057597A"/>
    <w:rsid w:val="00575AB9"/>
    <w:rsid w:val="00575B47"/>
    <w:rsid w:val="00575B6C"/>
    <w:rsid w:val="00575C41"/>
    <w:rsid w:val="00575DD2"/>
    <w:rsid w:val="00575F4E"/>
    <w:rsid w:val="00575F57"/>
    <w:rsid w:val="00575F60"/>
    <w:rsid w:val="00576137"/>
    <w:rsid w:val="00576177"/>
    <w:rsid w:val="00576212"/>
    <w:rsid w:val="005762B4"/>
    <w:rsid w:val="00576385"/>
    <w:rsid w:val="00576391"/>
    <w:rsid w:val="005764BC"/>
    <w:rsid w:val="005764DF"/>
    <w:rsid w:val="0057661A"/>
    <w:rsid w:val="005766B4"/>
    <w:rsid w:val="00576759"/>
    <w:rsid w:val="00576867"/>
    <w:rsid w:val="00576928"/>
    <w:rsid w:val="0057696D"/>
    <w:rsid w:val="00576985"/>
    <w:rsid w:val="00576B3B"/>
    <w:rsid w:val="00576B4B"/>
    <w:rsid w:val="00576BFB"/>
    <w:rsid w:val="00576C0A"/>
    <w:rsid w:val="00576C67"/>
    <w:rsid w:val="00576C98"/>
    <w:rsid w:val="00576CD0"/>
    <w:rsid w:val="00576CD8"/>
    <w:rsid w:val="00576E45"/>
    <w:rsid w:val="00576F7C"/>
    <w:rsid w:val="005770D5"/>
    <w:rsid w:val="005771C7"/>
    <w:rsid w:val="005771D6"/>
    <w:rsid w:val="00577245"/>
    <w:rsid w:val="00577323"/>
    <w:rsid w:val="005773B9"/>
    <w:rsid w:val="005773C9"/>
    <w:rsid w:val="00577521"/>
    <w:rsid w:val="005775EC"/>
    <w:rsid w:val="0057770E"/>
    <w:rsid w:val="005777A3"/>
    <w:rsid w:val="005777AC"/>
    <w:rsid w:val="00577A1E"/>
    <w:rsid w:val="00577A4B"/>
    <w:rsid w:val="00577ABE"/>
    <w:rsid w:val="00577B40"/>
    <w:rsid w:val="00577C37"/>
    <w:rsid w:val="00577CE0"/>
    <w:rsid w:val="00577D11"/>
    <w:rsid w:val="00577D13"/>
    <w:rsid w:val="00577EB8"/>
    <w:rsid w:val="00577F48"/>
    <w:rsid w:val="0058000A"/>
    <w:rsid w:val="0058024F"/>
    <w:rsid w:val="005802E4"/>
    <w:rsid w:val="00580574"/>
    <w:rsid w:val="00580768"/>
    <w:rsid w:val="00580851"/>
    <w:rsid w:val="00580893"/>
    <w:rsid w:val="005808D3"/>
    <w:rsid w:val="00580974"/>
    <w:rsid w:val="00580A16"/>
    <w:rsid w:val="00580A8C"/>
    <w:rsid w:val="00580A9A"/>
    <w:rsid w:val="00580B14"/>
    <w:rsid w:val="00580B45"/>
    <w:rsid w:val="00580B54"/>
    <w:rsid w:val="00580C05"/>
    <w:rsid w:val="00580C77"/>
    <w:rsid w:val="00580CBE"/>
    <w:rsid w:val="00580CDA"/>
    <w:rsid w:val="00580D26"/>
    <w:rsid w:val="00580DE6"/>
    <w:rsid w:val="00580FBA"/>
    <w:rsid w:val="00580FE0"/>
    <w:rsid w:val="00581053"/>
    <w:rsid w:val="0058109F"/>
    <w:rsid w:val="005810D3"/>
    <w:rsid w:val="00581103"/>
    <w:rsid w:val="0058113B"/>
    <w:rsid w:val="005811D4"/>
    <w:rsid w:val="0058126A"/>
    <w:rsid w:val="00581339"/>
    <w:rsid w:val="005813A8"/>
    <w:rsid w:val="0058147C"/>
    <w:rsid w:val="00581486"/>
    <w:rsid w:val="0058148B"/>
    <w:rsid w:val="0058156E"/>
    <w:rsid w:val="005815DE"/>
    <w:rsid w:val="005815F6"/>
    <w:rsid w:val="00581640"/>
    <w:rsid w:val="00581690"/>
    <w:rsid w:val="005816DB"/>
    <w:rsid w:val="00581714"/>
    <w:rsid w:val="005817A8"/>
    <w:rsid w:val="00581807"/>
    <w:rsid w:val="005818F8"/>
    <w:rsid w:val="00581AF2"/>
    <w:rsid w:val="00581BDF"/>
    <w:rsid w:val="00581C12"/>
    <w:rsid w:val="00581C99"/>
    <w:rsid w:val="00581D01"/>
    <w:rsid w:val="00581D47"/>
    <w:rsid w:val="00581D73"/>
    <w:rsid w:val="00581E48"/>
    <w:rsid w:val="00581F18"/>
    <w:rsid w:val="00581F27"/>
    <w:rsid w:val="00581F91"/>
    <w:rsid w:val="00582010"/>
    <w:rsid w:val="00582043"/>
    <w:rsid w:val="00582123"/>
    <w:rsid w:val="00582197"/>
    <w:rsid w:val="00582214"/>
    <w:rsid w:val="00582268"/>
    <w:rsid w:val="00582631"/>
    <w:rsid w:val="00582722"/>
    <w:rsid w:val="00582786"/>
    <w:rsid w:val="00582865"/>
    <w:rsid w:val="005828B6"/>
    <w:rsid w:val="0058290B"/>
    <w:rsid w:val="0058292A"/>
    <w:rsid w:val="00582BF9"/>
    <w:rsid w:val="00582C75"/>
    <w:rsid w:val="00582C7D"/>
    <w:rsid w:val="00582CD5"/>
    <w:rsid w:val="00582DAC"/>
    <w:rsid w:val="00582EBC"/>
    <w:rsid w:val="00582EE3"/>
    <w:rsid w:val="00582F36"/>
    <w:rsid w:val="00582F70"/>
    <w:rsid w:val="00583142"/>
    <w:rsid w:val="00583220"/>
    <w:rsid w:val="00583222"/>
    <w:rsid w:val="005832DB"/>
    <w:rsid w:val="00583344"/>
    <w:rsid w:val="005834C1"/>
    <w:rsid w:val="005835F9"/>
    <w:rsid w:val="00583697"/>
    <w:rsid w:val="005836FE"/>
    <w:rsid w:val="005837F7"/>
    <w:rsid w:val="005838C2"/>
    <w:rsid w:val="0058399D"/>
    <w:rsid w:val="00583A5C"/>
    <w:rsid w:val="00583AD8"/>
    <w:rsid w:val="00583ADB"/>
    <w:rsid w:val="00583B0A"/>
    <w:rsid w:val="00583C80"/>
    <w:rsid w:val="00583CDE"/>
    <w:rsid w:val="00583CFA"/>
    <w:rsid w:val="00583D6A"/>
    <w:rsid w:val="00584089"/>
    <w:rsid w:val="0058409E"/>
    <w:rsid w:val="0058411E"/>
    <w:rsid w:val="005841FA"/>
    <w:rsid w:val="0058422D"/>
    <w:rsid w:val="00584231"/>
    <w:rsid w:val="0058423C"/>
    <w:rsid w:val="005843A7"/>
    <w:rsid w:val="005843DF"/>
    <w:rsid w:val="00584452"/>
    <w:rsid w:val="00584492"/>
    <w:rsid w:val="00584494"/>
    <w:rsid w:val="005845AC"/>
    <w:rsid w:val="00584637"/>
    <w:rsid w:val="00584712"/>
    <w:rsid w:val="0058474E"/>
    <w:rsid w:val="00584885"/>
    <w:rsid w:val="0058498A"/>
    <w:rsid w:val="00584A9C"/>
    <w:rsid w:val="00584AC5"/>
    <w:rsid w:val="00584B35"/>
    <w:rsid w:val="00584B93"/>
    <w:rsid w:val="00584C6E"/>
    <w:rsid w:val="00584C87"/>
    <w:rsid w:val="00584D12"/>
    <w:rsid w:val="00584D8F"/>
    <w:rsid w:val="00584DBB"/>
    <w:rsid w:val="00584DF2"/>
    <w:rsid w:val="00584DF5"/>
    <w:rsid w:val="00584EEC"/>
    <w:rsid w:val="00584F39"/>
    <w:rsid w:val="00584F78"/>
    <w:rsid w:val="005850BE"/>
    <w:rsid w:val="005850F4"/>
    <w:rsid w:val="00585107"/>
    <w:rsid w:val="00585168"/>
    <w:rsid w:val="005852B7"/>
    <w:rsid w:val="00585302"/>
    <w:rsid w:val="005853BF"/>
    <w:rsid w:val="00585424"/>
    <w:rsid w:val="00585469"/>
    <w:rsid w:val="005854AF"/>
    <w:rsid w:val="00585535"/>
    <w:rsid w:val="00585634"/>
    <w:rsid w:val="005856C4"/>
    <w:rsid w:val="00585809"/>
    <w:rsid w:val="00585984"/>
    <w:rsid w:val="00585A30"/>
    <w:rsid w:val="00585A4E"/>
    <w:rsid w:val="00585B33"/>
    <w:rsid w:val="00585B7F"/>
    <w:rsid w:val="00585B92"/>
    <w:rsid w:val="00585C9A"/>
    <w:rsid w:val="00585D79"/>
    <w:rsid w:val="00585D9C"/>
    <w:rsid w:val="00585DDF"/>
    <w:rsid w:val="00585E2F"/>
    <w:rsid w:val="00585E41"/>
    <w:rsid w:val="00585E75"/>
    <w:rsid w:val="00585FE6"/>
    <w:rsid w:val="00585FFF"/>
    <w:rsid w:val="0058604A"/>
    <w:rsid w:val="005860C5"/>
    <w:rsid w:val="00586258"/>
    <w:rsid w:val="00586259"/>
    <w:rsid w:val="00586281"/>
    <w:rsid w:val="00586292"/>
    <w:rsid w:val="005863D3"/>
    <w:rsid w:val="00586430"/>
    <w:rsid w:val="00586467"/>
    <w:rsid w:val="005864A8"/>
    <w:rsid w:val="005864BB"/>
    <w:rsid w:val="00586544"/>
    <w:rsid w:val="00586691"/>
    <w:rsid w:val="005866F4"/>
    <w:rsid w:val="0058685E"/>
    <w:rsid w:val="00586928"/>
    <w:rsid w:val="0058697F"/>
    <w:rsid w:val="00586BA6"/>
    <w:rsid w:val="00586BD4"/>
    <w:rsid w:val="00586CED"/>
    <w:rsid w:val="00586D1F"/>
    <w:rsid w:val="00586D36"/>
    <w:rsid w:val="00586D40"/>
    <w:rsid w:val="00586E9F"/>
    <w:rsid w:val="00586EB8"/>
    <w:rsid w:val="00586ED7"/>
    <w:rsid w:val="00586F2B"/>
    <w:rsid w:val="005870DD"/>
    <w:rsid w:val="00587169"/>
    <w:rsid w:val="00587178"/>
    <w:rsid w:val="00587390"/>
    <w:rsid w:val="005873EF"/>
    <w:rsid w:val="0058741D"/>
    <w:rsid w:val="00587444"/>
    <w:rsid w:val="005874C0"/>
    <w:rsid w:val="00587550"/>
    <w:rsid w:val="00587677"/>
    <w:rsid w:val="005876BD"/>
    <w:rsid w:val="0058777F"/>
    <w:rsid w:val="0058778D"/>
    <w:rsid w:val="00587953"/>
    <w:rsid w:val="0058797E"/>
    <w:rsid w:val="00587AA6"/>
    <w:rsid w:val="00587ACE"/>
    <w:rsid w:val="00587BB9"/>
    <w:rsid w:val="00587BC7"/>
    <w:rsid w:val="00587F93"/>
    <w:rsid w:val="00590055"/>
    <w:rsid w:val="0059007F"/>
    <w:rsid w:val="0059013E"/>
    <w:rsid w:val="005901F4"/>
    <w:rsid w:val="0059029C"/>
    <w:rsid w:val="0059030C"/>
    <w:rsid w:val="005903DC"/>
    <w:rsid w:val="005904DB"/>
    <w:rsid w:val="0059051E"/>
    <w:rsid w:val="0059055B"/>
    <w:rsid w:val="005905AB"/>
    <w:rsid w:val="0059070D"/>
    <w:rsid w:val="00590739"/>
    <w:rsid w:val="005908A8"/>
    <w:rsid w:val="005909B6"/>
    <w:rsid w:val="005909CF"/>
    <w:rsid w:val="00590A0F"/>
    <w:rsid w:val="00590A32"/>
    <w:rsid w:val="00590A38"/>
    <w:rsid w:val="00590A72"/>
    <w:rsid w:val="00590AD4"/>
    <w:rsid w:val="00590ADA"/>
    <w:rsid w:val="00590AF9"/>
    <w:rsid w:val="00590B22"/>
    <w:rsid w:val="00590BB4"/>
    <w:rsid w:val="00590BEE"/>
    <w:rsid w:val="00590D6C"/>
    <w:rsid w:val="00590DA0"/>
    <w:rsid w:val="00590DFF"/>
    <w:rsid w:val="00590E51"/>
    <w:rsid w:val="00590EE1"/>
    <w:rsid w:val="005910D4"/>
    <w:rsid w:val="00591149"/>
    <w:rsid w:val="0059116B"/>
    <w:rsid w:val="0059118E"/>
    <w:rsid w:val="0059122F"/>
    <w:rsid w:val="00591272"/>
    <w:rsid w:val="005913FE"/>
    <w:rsid w:val="005917D3"/>
    <w:rsid w:val="00591830"/>
    <w:rsid w:val="0059188B"/>
    <w:rsid w:val="00591ADD"/>
    <w:rsid w:val="00591B77"/>
    <w:rsid w:val="00591C12"/>
    <w:rsid w:val="00591F19"/>
    <w:rsid w:val="00592127"/>
    <w:rsid w:val="00592145"/>
    <w:rsid w:val="00592301"/>
    <w:rsid w:val="00592307"/>
    <w:rsid w:val="00592314"/>
    <w:rsid w:val="00592380"/>
    <w:rsid w:val="005923E5"/>
    <w:rsid w:val="0059249B"/>
    <w:rsid w:val="005924DD"/>
    <w:rsid w:val="00592648"/>
    <w:rsid w:val="00592662"/>
    <w:rsid w:val="005927CA"/>
    <w:rsid w:val="00592862"/>
    <w:rsid w:val="00592893"/>
    <w:rsid w:val="00592957"/>
    <w:rsid w:val="005929C9"/>
    <w:rsid w:val="005929CC"/>
    <w:rsid w:val="00592A3E"/>
    <w:rsid w:val="00592AA7"/>
    <w:rsid w:val="00592AEC"/>
    <w:rsid w:val="00592C6E"/>
    <w:rsid w:val="00592D5C"/>
    <w:rsid w:val="00592DCC"/>
    <w:rsid w:val="00592E13"/>
    <w:rsid w:val="00592E22"/>
    <w:rsid w:val="00592E69"/>
    <w:rsid w:val="00592F26"/>
    <w:rsid w:val="00592F81"/>
    <w:rsid w:val="0059312A"/>
    <w:rsid w:val="0059318E"/>
    <w:rsid w:val="005931B5"/>
    <w:rsid w:val="005933FD"/>
    <w:rsid w:val="005934EE"/>
    <w:rsid w:val="00593550"/>
    <w:rsid w:val="0059359F"/>
    <w:rsid w:val="00593652"/>
    <w:rsid w:val="005936AD"/>
    <w:rsid w:val="005936D5"/>
    <w:rsid w:val="005936F2"/>
    <w:rsid w:val="00593807"/>
    <w:rsid w:val="005938C5"/>
    <w:rsid w:val="0059392D"/>
    <w:rsid w:val="00593AA2"/>
    <w:rsid w:val="00593B17"/>
    <w:rsid w:val="00593CC1"/>
    <w:rsid w:val="00593CD3"/>
    <w:rsid w:val="00593D9D"/>
    <w:rsid w:val="00593DB8"/>
    <w:rsid w:val="0059401A"/>
    <w:rsid w:val="00594061"/>
    <w:rsid w:val="005940AC"/>
    <w:rsid w:val="005940F4"/>
    <w:rsid w:val="005941A1"/>
    <w:rsid w:val="005941A2"/>
    <w:rsid w:val="005941B0"/>
    <w:rsid w:val="005942FA"/>
    <w:rsid w:val="00594337"/>
    <w:rsid w:val="005943F2"/>
    <w:rsid w:val="0059448B"/>
    <w:rsid w:val="00594494"/>
    <w:rsid w:val="005944E8"/>
    <w:rsid w:val="00594586"/>
    <w:rsid w:val="0059465D"/>
    <w:rsid w:val="005946C0"/>
    <w:rsid w:val="005947D4"/>
    <w:rsid w:val="005947F1"/>
    <w:rsid w:val="005948F6"/>
    <w:rsid w:val="00594926"/>
    <w:rsid w:val="00594963"/>
    <w:rsid w:val="00594AC0"/>
    <w:rsid w:val="00594AE5"/>
    <w:rsid w:val="00594B84"/>
    <w:rsid w:val="00594BD5"/>
    <w:rsid w:val="00594C5E"/>
    <w:rsid w:val="00594CAF"/>
    <w:rsid w:val="00594ECF"/>
    <w:rsid w:val="00594F52"/>
    <w:rsid w:val="00594F7B"/>
    <w:rsid w:val="00594FE9"/>
    <w:rsid w:val="00595007"/>
    <w:rsid w:val="0059511F"/>
    <w:rsid w:val="0059513A"/>
    <w:rsid w:val="005952B5"/>
    <w:rsid w:val="005952EA"/>
    <w:rsid w:val="005954CF"/>
    <w:rsid w:val="00595560"/>
    <w:rsid w:val="0059563E"/>
    <w:rsid w:val="005957A8"/>
    <w:rsid w:val="00595882"/>
    <w:rsid w:val="0059588B"/>
    <w:rsid w:val="00595C26"/>
    <w:rsid w:val="00595C64"/>
    <w:rsid w:val="00595D94"/>
    <w:rsid w:val="00595E52"/>
    <w:rsid w:val="00595EA4"/>
    <w:rsid w:val="00595EDA"/>
    <w:rsid w:val="00595F11"/>
    <w:rsid w:val="00595F87"/>
    <w:rsid w:val="00595FA4"/>
    <w:rsid w:val="00596089"/>
    <w:rsid w:val="005960FF"/>
    <w:rsid w:val="00596107"/>
    <w:rsid w:val="00596177"/>
    <w:rsid w:val="0059618A"/>
    <w:rsid w:val="005961A8"/>
    <w:rsid w:val="0059635E"/>
    <w:rsid w:val="005963BB"/>
    <w:rsid w:val="005963D0"/>
    <w:rsid w:val="005963DE"/>
    <w:rsid w:val="005964C1"/>
    <w:rsid w:val="005964EC"/>
    <w:rsid w:val="00596512"/>
    <w:rsid w:val="0059666B"/>
    <w:rsid w:val="00596790"/>
    <w:rsid w:val="005969C8"/>
    <w:rsid w:val="00596A56"/>
    <w:rsid w:val="00596BE4"/>
    <w:rsid w:val="00596C9F"/>
    <w:rsid w:val="00596D97"/>
    <w:rsid w:val="00596EE8"/>
    <w:rsid w:val="00596F05"/>
    <w:rsid w:val="00596F20"/>
    <w:rsid w:val="00596FB9"/>
    <w:rsid w:val="005971F2"/>
    <w:rsid w:val="005971F3"/>
    <w:rsid w:val="0059728B"/>
    <w:rsid w:val="0059734A"/>
    <w:rsid w:val="0059734E"/>
    <w:rsid w:val="00597368"/>
    <w:rsid w:val="005973B8"/>
    <w:rsid w:val="00597418"/>
    <w:rsid w:val="0059741C"/>
    <w:rsid w:val="005974A3"/>
    <w:rsid w:val="005974F7"/>
    <w:rsid w:val="005975D8"/>
    <w:rsid w:val="00597646"/>
    <w:rsid w:val="0059784A"/>
    <w:rsid w:val="0059792E"/>
    <w:rsid w:val="00597968"/>
    <w:rsid w:val="00597A33"/>
    <w:rsid w:val="00597A7B"/>
    <w:rsid w:val="00597AA1"/>
    <w:rsid w:val="00597AF3"/>
    <w:rsid w:val="00597AFB"/>
    <w:rsid w:val="00597BA1"/>
    <w:rsid w:val="00597C3B"/>
    <w:rsid w:val="00597D21"/>
    <w:rsid w:val="00597D5E"/>
    <w:rsid w:val="00597D8F"/>
    <w:rsid w:val="00597DFA"/>
    <w:rsid w:val="00597F2B"/>
    <w:rsid w:val="005A007C"/>
    <w:rsid w:val="005A02CA"/>
    <w:rsid w:val="005A0449"/>
    <w:rsid w:val="005A0489"/>
    <w:rsid w:val="005A04A6"/>
    <w:rsid w:val="005A04C2"/>
    <w:rsid w:val="005A0553"/>
    <w:rsid w:val="005A05D1"/>
    <w:rsid w:val="005A0662"/>
    <w:rsid w:val="005A06CC"/>
    <w:rsid w:val="005A073D"/>
    <w:rsid w:val="005A0792"/>
    <w:rsid w:val="005A07F9"/>
    <w:rsid w:val="005A08B5"/>
    <w:rsid w:val="005A08F8"/>
    <w:rsid w:val="005A09B0"/>
    <w:rsid w:val="005A0A1B"/>
    <w:rsid w:val="005A0AD7"/>
    <w:rsid w:val="005A0B84"/>
    <w:rsid w:val="005A0C4F"/>
    <w:rsid w:val="005A0CF6"/>
    <w:rsid w:val="005A0D55"/>
    <w:rsid w:val="005A0E1A"/>
    <w:rsid w:val="005A0E1E"/>
    <w:rsid w:val="005A0E70"/>
    <w:rsid w:val="005A0FBF"/>
    <w:rsid w:val="005A1005"/>
    <w:rsid w:val="005A10D0"/>
    <w:rsid w:val="005A10FC"/>
    <w:rsid w:val="005A110C"/>
    <w:rsid w:val="005A1164"/>
    <w:rsid w:val="005A1180"/>
    <w:rsid w:val="005A1185"/>
    <w:rsid w:val="005A11B0"/>
    <w:rsid w:val="005A12B2"/>
    <w:rsid w:val="005A12C6"/>
    <w:rsid w:val="005A14EC"/>
    <w:rsid w:val="005A166C"/>
    <w:rsid w:val="005A16A7"/>
    <w:rsid w:val="005A181B"/>
    <w:rsid w:val="005A18B1"/>
    <w:rsid w:val="005A1957"/>
    <w:rsid w:val="005A1990"/>
    <w:rsid w:val="005A1A23"/>
    <w:rsid w:val="005A1BFF"/>
    <w:rsid w:val="005A1C35"/>
    <w:rsid w:val="005A1DC9"/>
    <w:rsid w:val="005A1EAB"/>
    <w:rsid w:val="005A1EC3"/>
    <w:rsid w:val="005A1FBA"/>
    <w:rsid w:val="005A20DA"/>
    <w:rsid w:val="005A20F7"/>
    <w:rsid w:val="005A2148"/>
    <w:rsid w:val="005A2488"/>
    <w:rsid w:val="005A253A"/>
    <w:rsid w:val="005A253C"/>
    <w:rsid w:val="005A27B3"/>
    <w:rsid w:val="005A280B"/>
    <w:rsid w:val="005A2845"/>
    <w:rsid w:val="005A2894"/>
    <w:rsid w:val="005A28A7"/>
    <w:rsid w:val="005A28E2"/>
    <w:rsid w:val="005A2950"/>
    <w:rsid w:val="005A29BB"/>
    <w:rsid w:val="005A2A61"/>
    <w:rsid w:val="005A2ACC"/>
    <w:rsid w:val="005A2B79"/>
    <w:rsid w:val="005A2CC4"/>
    <w:rsid w:val="005A2D8F"/>
    <w:rsid w:val="005A2EBF"/>
    <w:rsid w:val="005A2F62"/>
    <w:rsid w:val="005A2F6E"/>
    <w:rsid w:val="005A30BD"/>
    <w:rsid w:val="005A314C"/>
    <w:rsid w:val="005A3186"/>
    <w:rsid w:val="005A3422"/>
    <w:rsid w:val="005A345A"/>
    <w:rsid w:val="005A3460"/>
    <w:rsid w:val="005A3525"/>
    <w:rsid w:val="005A35BB"/>
    <w:rsid w:val="005A36BE"/>
    <w:rsid w:val="005A3849"/>
    <w:rsid w:val="005A3885"/>
    <w:rsid w:val="005A38A8"/>
    <w:rsid w:val="005A397A"/>
    <w:rsid w:val="005A398A"/>
    <w:rsid w:val="005A3996"/>
    <w:rsid w:val="005A39E9"/>
    <w:rsid w:val="005A39F3"/>
    <w:rsid w:val="005A3C39"/>
    <w:rsid w:val="005A3C4B"/>
    <w:rsid w:val="005A3D0C"/>
    <w:rsid w:val="005A3DB1"/>
    <w:rsid w:val="005A3F45"/>
    <w:rsid w:val="005A3F4B"/>
    <w:rsid w:val="005A401F"/>
    <w:rsid w:val="005A408C"/>
    <w:rsid w:val="005A40C5"/>
    <w:rsid w:val="005A40E9"/>
    <w:rsid w:val="005A42A5"/>
    <w:rsid w:val="005A4366"/>
    <w:rsid w:val="005A4639"/>
    <w:rsid w:val="005A4647"/>
    <w:rsid w:val="005A465B"/>
    <w:rsid w:val="005A46F6"/>
    <w:rsid w:val="005A4744"/>
    <w:rsid w:val="005A4797"/>
    <w:rsid w:val="005A4844"/>
    <w:rsid w:val="005A49A8"/>
    <w:rsid w:val="005A4C25"/>
    <w:rsid w:val="005A4EFB"/>
    <w:rsid w:val="005A50B1"/>
    <w:rsid w:val="005A51EA"/>
    <w:rsid w:val="005A5228"/>
    <w:rsid w:val="005A5239"/>
    <w:rsid w:val="005A5348"/>
    <w:rsid w:val="005A53FA"/>
    <w:rsid w:val="005A54A7"/>
    <w:rsid w:val="005A550E"/>
    <w:rsid w:val="005A558F"/>
    <w:rsid w:val="005A5618"/>
    <w:rsid w:val="005A562A"/>
    <w:rsid w:val="005A571D"/>
    <w:rsid w:val="005A57E0"/>
    <w:rsid w:val="005A5805"/>
    <w:rsid w:val="005A5844"/>
    <w:rsid w:val="005A594A"/>
    <w:rsid w:val="005A596B"/>
    <w:rsid w:val="005A59B0"/>
    <w:rsid w:val="005A59BE"/>
    <w:rsid w:val="005A5A15"/>
    <w:rsid w:val="005A5A72"/>
    <w:rsid w:val="005A5B45"/>
    <w:rsid w:val="005A5BB7"/>
    <w:rsid w:val="005A5F19"/>
    <w:rsid w:val="005A5FD0"/>
    <w:rsid w:val="005A602A"/>
    <w:rsid w:val="005A6080"/>
    <w:rsid w:val="005A6132"/>
    <w:rsid w:val="005A6154"/>
    <w:rsid w:val="005A61DC"/>
    <w:rsid w:val="005A62F3"/>
    <w:rsid w:val="005A63AB"/>
    <w:rsid w:val="005A63F5"/>
    <w:rsid w:val="005A6478"/>
    <w:rsid w:val="005A647C"/>
    <w:rsid w:val="005A64A3"/>
    <w:rsid w:val="005A6516"/>
    <w:rsid w:val="005A66A9"/>
    <w:rsid w:val="005A68EC"/>
    <w:rsid w:val="005A69AA"/>
    <w:rsid w:val="005A69B3"/>
    <w:rsid w:val="005A69FB"/>
    <w:rsid w:val="005A6B56"/>
    <w:rsid w:val="005A6BF3"/>
    <w:rsid w:val="005A6BF5"/>
    <w:rsid w:val="005A6BF6"/>
    <w:rsid w:val="005A6CB9"/>
    <w:rsid w:val="005A6CC5"/>
    <w:rsid w:val="005A6DA8"/>
    <w:rsid w:val="005A6DC4"/>
    <w:rsid w:val="005A6E5E"/>
    <w:rsid w:val="005A6FD6"/>
    <w:rsid w:val="005A6FD8"/>
    <w:rsid w:val="005A7090"/>
    <w:rsid w:val="005A709D"/>
    <w:rsid w:val="005A7116"/>
    <w:rsid w:val="005A7342"/>
    <w:rsid w:val="005A7416"/>
    <w:rsid w:val="005A74FA"/>
    <w:rsid w:val="005A765A"/>
    <w:rsid w:val="005A7751"/>
    <w:rsid w:val="005A776E"/>
    <w:rsid w:val="005A7843"/>
    <w:rsid w:val="005A7945"/>
    <w:rsid w:val="005A7A7B"/>
    <w:rsid w:val="005A7B3C"/>
    <w:rsid w:val="005A7BF1"/>
    <w:rsid w:val="005A7C88"/>
    <w:rsid w:val="005A7D44"/>
    <w:rsid w:val="005A7D67"/>
    <w:rsid w:val="005A7EE9"/>
    <w:rsid w:val="005B0078"/>
    <w:rsid w:val="005B01D8"/>
    <w:rsid w:val="005B0250"/>
    <w:rsid w:val="005B026B"/>
    <w:rsid w:val="005B03C9"/>
    <w:rsid w:val="005B04FF"/>
    <w:rsid w:val="005B05B2"/>
    <w:rsid w:val="005B06DA"/>
    <w:rsid w:val="005B0775"/>
    <w:rsid w:val="005B0780"/>
    <w:rsid w:val="005B078C"/>
    <w:rsid w:val="005B07C7"/>
    <w:rsid w:val="005B07E3"/>
    <w:rsid w:val="005B086C"/>
    <w:rsid w:val="005B087B"/>
    <w:rsid w:val="005B093E"/>
    <w:rsid w:val="005B0988"/>
    <w:rsid w:val="005B09EC"/>
    <w:rsid w:val="005B0A76"/>
    <w:rsid w:val="005B0AB2"/>
    <w:rsid w:val="005B0BE3"/>
    <w:rsid w:val="005B0C69"/>
    <w:rsid w:val="005B0F9C"/>
    <w:rsid w:val="005B0FF9"/>
    <w:rsid w:val="005B10DA"/>
    <w:rsid w:val="005B1268"/>
    <w:rsid w:val="005B12DF"/>
    <w:rsid w:val="005B12F6"/>
    <w:rsid w:val="005B137B"/>
    <w:rsid w:val="005B139B"/>
    <w:rsid w:val="005B1691"/>
    <w:rsid w:val="005B1724"/>
    <w:rsid w:val="005B1725"/>
    <w:rsid w:val="005B1850"/>
    <w:rsid w:val="005B1A2C"/>
    <w:rsid w:val="005B1AE3"/>
    <w:rsid w:val="005B1BD8"/>
    <w:rsid w:val="005B1C78"/>
    <w:rsid w:val="005B1D04"/>
    <w:rsid w:val="005B1D06"/>
    <w:rsid w:val="005B1D3D"/>
    <w:rsid w:val="005B1E16"/>
    <w:rsid w:val="005B1E28"/>
    <w:rsid w:val="005B1E3B"/>
    <w:rsid w:val="005B1EFA"/>
    <w:rsid w:val="005B2127"/>
    <w:rsid w:val="005B2189"/>
    <w:rsid w:val="005B2243"/>
    <w:rsid w:val="005B23C4"/>
    <w:rsid w:val="005B23D8"/>
    <w:rsid w:val="005B241A"/>
    <w:rsid w:val="005B2436"/>
    <w:rsid w:val="005B24ED"/>
    <w:rsid w:val="005B2507"/>
    <w:rsid w:val="005B2517"/>
    <w:rsid w:val="005B2601"/>
    <w:rsid w:val="005B262A"/>
    <w:rsid w:val="005B2681"/>
    <w:rsid w:val="005B269F"/>
    <w:rsid w:val="005B26A9"/>
    <w:rsid w:val="005B2789"/>
    <w:rsid w:val="005B2799"/>
    <w:rsid w:val="005B27C8"/>
    <w:rsid w:val="005B2844"/>
    <w:rsid w:val="005B28B0"/>
    <w:rsid w:val="005B29CD"/>
    <w:rsid w:val="005B2BCE"/>
    <w:rsid w:val="005B2BF4"/>
    <w:rsid w:val="005B2C1B"/>
    <w:rsid w:val="005B2C4D"/>
    <w:rsid w:val="005B2C58"/>
    <w:rsid w:val="005B2D79"/>
    <w:rsid w:val="005B2E95"/>
    <w:rsid w:val="005B2EEE"/>
    <w:rsid w:val="005B2F67"/>
    <w:rsid w:val="005B3225"/>
    <w:rsid w:val="005B328C"/>
    <w:rsid w:val="005B3573"/>
    <w:rsid w:val="005B37D2"/>
    <w:rsid w:val="005B386A"/>
    <w:rsid w:val="005B38EE"/>
    <w:rsid w:val="005B3932"/>
    <w:rsid w:val="005B3995"/>
    <w:rsid w:val="005B3A0F"/>
    <w:rsid w:val="005B3ABB"/>
    <w:rsid w:val="005B3AE3"/>
    <w:rsid w:val="005B3BF9"/>
    <w:rsid w:val="005B3CB1"/>
    <w:rsid w:val="005B3CC6"/>
    <w:rsid w:val="005B3D4D"/>
    <w:rsid w:val="005B3D70"/>
    <w:rsid w:val="005B3F2B"/>
    <w:rsid w:val="005B4044"/>
    <w:rsid w:val="005B406F"/>
    <w:rsid w:val="005B40D5"/>
    <w:rsid w:val="005B4173"/>
    <w:rsid w:val="005B4208"/>
    <w:rsid w:val="005B434A"/>
    <w:rsid w:val="005B43F3"/>
    <w:rsid w:val="005B43F7"/>
    <w:rsid w:val="005B453E"/>
    <w:rsid w:val="005B461B"/>
    <w:rsid w:val="005B488C"/>
    <w:rsid w:val="005B4897"/>
    <w:rsid w:val="005B4B51"/>
    <w:rsid w:val="005B4BA5"/>
    <w:rsid w:val="005B4BD2"/>
    <w:rsid w:val="005B4D0C"/>
    <w:rsid w:val="005B4D31"/>
    <w:rsid w:val="005B4D9C"/>
    <w:rsid w:val="005B4E0B"/>
    <w:rsid w:val="005B4E85"/>
    <w:rsid w:val="005B4FBC"/>
    <w:rsid w:val="005B51A4"/>
    <w:rsid w:val="005B52B0"/>
    <w:rsid w:val="005B5422"/>
    <w:rsid w:val="005B542A"/>
    <w:rsid w:val="005B5515"/>
    <w:rsid w:val="005B5535"/>
    <w:rsid w:val="005B55CB"/>
    <w:rsid w:val="005B56B9"/>
    <w:rsid w:val="005B5718"/>
    <w:rsid w:val="005B5788"/>
    <w:rsid w:val="005B578B"/>
    <w:rsid w:val="005B580B"/>
    <w:rsid w:val="005B582E"/>
    <w:rsid w:val="005B58D3"/>
    <w:rsid w:val="005B58ED"/>
    <w:rsid w:val="005B59BC"/>
    <w:rsid w:val="005B5A36"/>
    <w:rsid w:val="005B5B5D"/>
    <w:rsid w:val="005B5B8C"/>
    <w:rsid w:val="005B5B9C"/>
    <w:rsid w:val="005B5CA8"/>
    <w:rsid w:val="005B5D31"/>
    <w:rsid w:val="005B5DB1"/>
    <w:rsid w:val="005B5DCA"/>
    <w:rsid w:val="005B5DEC"/>
    <w:rsid w:val="005B5E6E"/>
    <w:rsid w:val="005B5E99"/>
    <w:rsid w:val="005B5EAE"/>
    <w:rsid w:val="005B5FFC"/>
    <w:rsid w:val="005B607F"/>
    <w:rsid w:val="005B60D4"/>
    <w:rsid w:val="005B61F3"/>
    <w:rsid w:val="005B623D"/>
    <w:rsid w:val="005B628B"/>
    <w:rsid w:val="005B62B2"/>
    <w:rsid w:val="005B62F6"/>
    <w:rsid w:val="005B635C"/>
    <w:rsid w:val="005B6391"/>
    <w:rsid w:val="005B63C6"/>
    <w:rsid w:val="005B6414"/>
    <w:rsid w:val="005B6656"/>
    <w:rsid w:val="005B6668"/>
    <w:rsid w:val="005B671F"/>
    <w:rsid w:val="005B6721"/>
    <w:rsid w:val="005B6739"/>
    <w:rsid w:val="005B67A5"/>
    <w:rsid w:val="005B692F"/>
    <w:rsid w:val="005B6A78"/>
    <w:rsid w:val="005B6AB6"/>
    <w:rsid w:val="005B6CC3"/>
    <w:rsid w:val="005B6D3B"/>
    <w:rsid w:val="005B6D6B"/>
    <w:rsid w:val="005B6D9A"/>
    <w:rsid w:val="005B6E70"/>
    <w:rsid w:val="005B6F5B"/>
    <w:rsid w:val="005B7059"/>
    <w:rsid w:val="005B712D"/>
    <w:rsid w:val="005B716A"/>
    <w:rsid w:val="005B716C"/>
    <w:rsid w:val="005B74B9"/>
    <w:rsid w:val="005B757C"/>
    <w:rsid w:val="005B76E1"/>
    <w:rsid w:val="005B7732"/>
    <w:rsid w:val="005B7763"/>
    <w:rsid w:val="005B7795"/>
    <w:rsid w:val="005B7984"/>
    <w:rsid w:val="005B79D9"/>
    <w:rsid w:val="005B79E0"/>
    <w:rsid w:val="005B7A95"/>
    <w:rsid w:val="005B7AD8"/>
    <w:rsid w:val="005B7B4B"/>
    <w:rsid w:val="005B7C1A"/>
    <w:rsid w:val="005B7C84"/>
    <w:rsid w:val="005B7E0F"/>
    <w:rsid w:val="005B7E30"/>
    <w:rsid w:val="005B7F19"/>
    <w:rsid w:val="005B7F46"/>
    <w:rsid w:val="005B7F69"/>
    <w:rsid w:val="005C001C"/>
    <w:rsid w:val="005C00ED"/>
    <w:rsid w:val="005C015C"/>
    <w:rsid w:val="005C018E"/>
    <w:rsid w:val="005C0205"/>
    <w:rsid w:val="005C0217"/>
    <w:rsid w:val="005C0387"/>
    <w:rsid w:val="005C03AC"/>
    <w:rsid w:val="005C03CF"/>
    <w:rsid w:val="005C0569"/>
    <w:rsid w:val="005C058B"/>
    <w:rsid w:val="005C065B"/>
    <w:rsid w:val="005C07DA"/>
    <w:rsid w:val="005C07F1"/>
    <w:rsid w:val="005C08D5"/>
    <w:rsid w:val="005C0924"/>
    <w:rsid w:val="005C0934"/>
    <w:rsid w:val="005C0940"/>
    <w:rsid w:val="005C09FD"/>
    <w:rsid w:val="005C0A5A"/>
    <w:rsid w:val="005C0B06"/>
    <w:rsid w:val="005C0B3A"/>
    <w:rsid w:val="005C0CA7"/>
    <w:rsid w:val="005C0D3D"/>
    <w:rsid w:val="005C0D98"/>
    <w:rsid w:val="005C0DB2"/>
    <w:rsid w:val="005C0E66"/>
    <w:rsid w:val="005C0FC2"/>
    <w:rsid w:val="005C0FCB"/>
    <w:rsid w:val="005C10B0"/>
    <w:rsid w:val="005C110F"/>
    <w:rsid w:val="005C12DC"/>
    <w:rsid w:val="005C14D0"/>
    <w:rsid w:val="005C14FC"/>
    <w:rsid w:val="005C1502"/>
    <w:rsid w:val="005C1710"/>
    <w:rsid w:val="005C1795"/>
    <w:rsid w:val="005C1820"/>
    <w:rsid w:val="005C187F"/>
    <w:rsid w:val="005C18FD"/>
    <w:rsid w:val="005C19D1"/>
    <w:rsid w:val="005C1A57"/>
    <w:rsid w:val="005C1A68"/>
    <w:rsid w:val="005C1B14"/>
    <w:rsid w:val="005C1D07"/>
    <w:rsid w:val="005C1DB2"/>
    <w:rsid w:val="005C1E2C"/>
    <w:rsid w:val="005C1ED4"/>
    <w:rsid w:val="005C1F69"/>
    <w:rsid w:val="005C20B8"/>
    <w:rsid w:val="005C22E8"/>
    <w:rsid w:val="005C236B"/>
    <w:rsid w:val="005C23B1"/>
    <w:rsid w:val="005C23D1"/>
    <w:rsid w:val="005C2419"/>
    <w:rsid w:val="005C2493"/>
    <w:rsid w:val="005C24CA"/>
    <w:rsid w:val="005C25E9"/>
    <w:rsid w:val="005C25F4"/>
    <w:rsid w:val="005C26D6"/>
    <w:rsid w:val="005C2819"/>
    <w:rsid w:val="005C2890"/>
    <w:rsid w:val="005C28AC"/>
    <w:rsid w:val="005C29D7"/>
    <w:rsid w:val="005C2A91"/>
    <w:rsid w:val="005C2B5E"/>
    <w:rsid w:val="005C2B72"/>
    <w:rsid w:val="005C2BB5"/>
    <w:rsid w:val="005C2C31"/>
    <w:rsid w:val="005C2C5E"/>
    <w:rsid w:val="005C2D55"/>
    <w:rsid w:val="005C2DEF"/>
    <w:rsid w:val="005C2F07"/>
    <w:rsid w:val="005C2F8A"/>
    <w:rsid w:val="005C2FD5"/>
    <w:rsid w:val="005C3025"/>
    <w:rsid w:val="005C3061"/>
    <w:rsid w:val="005C319C"/>
    <w:rsid w:val="005C31E3"/>
    <w:rsid w:val="005C32A3"/>
    <w:rsid w:val="005C32CB"/>
    <w:rsid w:val="005C32D9"/>
    <w:rsid w:val="005C36A5"/>
    <w:rsid w:val="005C36FA"/>
    <w:rsid w:val="005C37A4"/>
    <w:rsid w:val="005C3864"/>
    <w:rsid w:val="005C38FD"/>
    <w:rsid w:val="005C394B"/>
    <w:rsid w:val="005C395E"/>
    <w:rsid w:val="005C39F3"/>
    <w:rsid w:val="005C3A4D"/>
    <w:rsid w:val="005C3A8E"/>
    <w:rsid w:val="005C3BDA"/>
    <w:rsid w:val="005C3C52"/>
    <w:rsid w:val="005C3CE1"/>
    <w:rsid w:val="005C3D40"/>
    <w:rsid w:val="005C3D71"/>
    <w:rsid w:val="005C3DBB"/>
    <w:rsid w:val="005C3E90"/>
    <w:rsid w:val="005C3EA4"/>
    <w:rsid w:val="005C3EC1"/>
    <w:rsid w:val="005C3FE2"/>
    <w:rsid w:val="005C4075"/>
    <w:rsid w:val="005C408C"/>
    <w:rsid w:val="005C4127"/>
    <w:rsid w:val="005C41B6"/>
    <w:rsid w:val="005C422C"/>
    <w:rsid w:val="005C42CC"/>
    <w:rsid w:val="005C4320"/>
    <w:rsid w:val="005C45AE"/>
    <w:rsid w:val="005C4670"/>
    <w:rsid w:val="005C4682"/>
    <w:rsid w:val="005C46E0"/>
    <w:rsid w:val="005C46FB"/>
    <w:rsid w:val="005C4964"/>
    <w:rsid w:val="005C49A1"/>
    <w:rsid w:val="005C49E2"/>
    <w:rsid w:val="005C49FE"/>
    <w:rsid w:val="005C4A0F"/>
    <w:rsid w:val="005C4A24"/>
    <w:rsid w:val="005C4AB7"/>
    <w:rsid w:val="005C4AE5"/>
    <w:rsid w:val="005C4AF4"/>
    <w:rsid w:val="005C4C41"/>
    <w:rsid w:val="005C4C99"/>
    <w:rsid w:val="005C4CFF"/>
    <w:rsid w:val="005C4D54"/>
    <w:rsid w:val="005C4E2C"/>
    <w:rsid w:val="005C4F4F"/>
    <w:rsid w:val="005C50BE"/>
    <w:rsid w:val="005C5195"/>
    <w:rsid w:val="005C527E"/>
    <w:rsid w:val="005C5447"/>
    <w:rsid w:val="005C5515"/>
    <w:rsid w:val="005C56AC"/>
    <w:rsid w:val="005C5770"/>
    <w:rsid w:val="005C57AE"/>
    <w:rsid w:val="005C57E2"/>
    <w:rsid w:val="005C5833"/>
    <w:rsid w:val="005C597E"/>
    <w:rsid w:val="005C59BA"/>
    <w:rsid w:val="005C5D0F"/>
    <w:rsid w:val="005C5DAE"/>
    <w:rsid w:val="005C5EFD"/>
    <w:rsid w:val="005C5FBE"/>
    <w:rsid w:val="005C5FD7"/>
    <w:rsid w:val="005C60AD"/>
    <w:rsid w:val="005C6176"/>
    <w:rsid w:val="005C61A7"/>
    <w:rsid w:val="005C61FA"/>
    <w:rsid w:val="005C6320"/>
    <w:rsid w:val="005C63EA"/>
    <w:rsid w:val="005C647D"/>
    <w:rsid w:val="005C6512"/>
    <w:rsid w:val="005C6626"/>
    <w:rsid w:val="005C66B0"/>
    <w:rsid w:val="005C6828"/>
    <w:rsid w:val="005C6908"/>
    <w:rsid w:val="005C69C6"/>
    <w:rsid w:val="005C6A24"/>
    <w:rsid w:val="005C6A73"/>
    <w:rsid w:val="005C6A99"/>
    <w:rsid w:val="005C6B06"/>
    <w:rsid w:val="005C6B80"/>
    <w:rsid w:val="005C6BF8"/>
    <w:rsid w:val="005C6C4E"/>
    <w:rsid w:val="005C6E23"/>
    <w:rsid w:val="005C6E45"/>
    <w:rsid w:val="005C6F90"/>
    <w:rsid w:val="005C6FBD"/>
    <w:rsid w:val="005C6FD1"/>
    <w:rsid w:val="005C700C"/>
    <w:rsid w:val="005C701D"/>
    <w:rsid w:val="005C7047"/>
    <w:rsid w:val="005C70B3"/>
    <w:rsid w:val="005C70D4"/>
    <w:rsid w:val="005C725C"/>
    <w:rsid w:val="005C728F"/>
    <w:rsid w:val="005C72F0"/>
    <w:rsid w:val="005C735D"/>
    <w:rsid w:val="005C73AB"/>
    <w:rsid w:val="005C75B6"/>
    <w:rsid w:val="005C772E"/>
    <w:rsid w:val="005C7851"/>
    <w:rsid w:val="005C7889"/>
    <w:rsid w:val="005C798F"/>
    <w:rsid w:val="005C7991"/>
    <w:rsid w:val="005C79A1"/>
    <w:rsid w:val="005C7A05"/>
    <w:rsid w:val="005C7AC4"/>
    <w:rsid w:val="005C7C59"/>
    <w:rsid w:val="005C7CAF"/>
    <w:rsid w:val="005C7CF7"/>
    <w:rsid w:val="005C7D71"/>
    <w:rsid w:val="005C7DDB"/>
    <w:rsid w:val="005C7E05"/>
    <w:rsid w:val="005C7E21"/>
    <w:rsid w:val="005C7E76"/>
    <w:rsid w:val="005C7EEC"/>
    <w:rsid w:val="005C7F2D"/>
    <w:rsid w:val="005C7F98"/>
    <w:rsid w:val="005C7FC5"/>
    <w:rsid w:val="005CCDB0"/>
    <w:rsid w:val="005D0071"/>
    <w:rsid w:val="005D00D7"/>
    <w:rsid w:val="005D0121"/>
    <w:rsid w:val="005D018C"/>
    <w:rsid w:val="005D03AF"/>
    <w:rsid w:val="005D03F6"/>
    <w:rsid w:val="005D0547"/>
    <w:rsid w:val="005D0557"/>
    <w:rsid w:val="005D0615"/>
    <w:rsid w:val="005D06DB"/>
    <w:rsid w:val="005D0714"/>
    <w:rsid w:val="005D07F7"/>
    <w:rsid w:val="005D0806"/>
    <w:rsid w:val="005D0832"/>
    <w:rsid w:val="005D090B"/>
    <w:rsid w:val="005D0919"/>
    <w:rsid w:val="005D0988"/>
    <w:rsid w:val="005D09F1"/>
    <w:rsid w:val="005D09F2"/>
    <w:rsid w:val="005D0A5D"/>
    <w:rsid w:val="005D0A7F"/>
    <w:rsid w:val="005D0AA5"/>
    <w:rsid w:val="005D0AAB"/>
    <w:rsid w:val="005D0BF8"/>
    <w:rsid w:val="005D0C40"/>
    <w:rsid w:val="005D0D16"/>
    <w:rsid w:val="005D0D27"/>
    <w:rsid w:val="005D0D74"/>
    <w:rsid w:val="005D0DED"/>
    <w:rsid w:val="005D0EB9"/>
    <w:rsid w:val="005D0F8D"/>
    <w:rsid w:val="005D1029"/>
    <w:rsid w:val="005D1031"/>
    <w:rsid w:val="005D10C1"/>
    <w:rsid w:val="005D10F6"/>
    <w:rsid w:val="005D1189"/>
    <w:rsid w:val="005D1248"/>
    <w:rsid w:val="005D140D"/>
    <w:rsid w:val="005D1420"/>
    <w:rsid w:val="005D156B"/>
    <w:rsid w:val="005D1685"/>
    <w:rsid w:val="005D188D"/>
    <w:rsid w:val="005D1910"/>
    <w:rsid w:val="005D19DB"/>
    <w:rsid w:val="005D1A21"/>
    <w:rsid w:val="005D1A61"/>
    <w:rsid w:val="005D1AAA"/>
    <w:rsid w:val="005D1AC7"/>
    <w:rsid w:val="005D1B0C"/>
    <w:rsid w:val="005D1B4B"/>
    <w:rsid w:val="005D1B6D"/>
    <w:rsid w:val="005D1CCA"/>
    <w:rsid w:val="005D1DC0"/>
    <w:rsid w:val="005D1E06"/>
    <w:rsid w:val="005D1E32"/>
    <w:rsid w:val="005D1EA3"/>
    <w:rsid w:val="005D1F63"/>
    <w:rsid w:val="005D2043"/>
    <w:rsid w:val="005D209C"/>
    <w:rsid w:val="005D20A7"/>
    <w:rsid w:val="005D20CF"/>
    <w:rsid w:val="005D2273"/>
    <w:rsid w:val="005D2363"/>
    <w:rsid w:val="005D23D6"/>
    <w:rsid w:val="005D263C"/>
    <w:rsid w:val="005D2740"/>
    <w:rsid w:val="005D2783"/>
    <w:rsid w:val="005D29E1"/>
    <w:rsid w:val="005D2A1A"/>
    <w:rsid w:val="005D2A47"/>
    <w:rsid w:val="005D2BE8"/>
    <w:rsid w:val="005D2C15"/>
    <w:rsid w:val="005D2C75"/>
    <w:rsid w:val="005D2CA2"/>
    <w:rsid w:val="005D2CD6"/>
    <w:rsid w:val="005D2DD4"/>
    <w:rsid w:val="005D2DDA"/>
    <w:rsid w:val="005D2E22"/>
    <w:rsid w:val="005D2E4C"/>
    <w:rsid w:val="005D2ED9"/>
    <w:rsid w:val="005D2F97"/>
    <w:rsid w:val="005D2FD9"/>
    <w:rsid w:val="005D3050"/>
    <w:rsid w:val="005D30A2"/>
    <w:rsid w:val="005D30CC"/>
    <w:rsid w:val="005D30D4"/>
    <w:rsid w:val="005D335E"/>
    <w:rsid w:val="005D33A7"/>
    <w:rsid w:val="005D33F9"/>
    <w:rsid w:val="005D3441"/>
    <w:rsid w:val="005D3449"/>
    <w:rsid w:val="005D3541"/>
    <w:rsid w:val="005D35DC"/>
    <w:rsid w:val="005D35F9"/>
    <w:rsid w:val="005D36A8"/>
    <w:rsid w:val="005D371F"/>
    <w:rsid w:val="005D37B2"/>
    <w:rsid w:val="005D3888"/>
    <w:rsid w:val="005D3A7C"/>
    <w:rsid w:val="005D3B17"/>
    <w:rsid w:val="005D3CA5"/>
    <w:rsid w:val="005D3FBA"/>
    <w:rsid w:val="005D4069"/>
    <w:rsid w:val="005D41EE"/>
    <w:rsid w:val="005D41F5"/>
    <w:rsid w:val="005D453E"/>
    <w:rsid w:val="005D45BB"/>
    <w:rsid w:val="005D46F7"/>
    <w:rsid w:val="005D47E8"/>
    <w:rsid w:val="005D4AC2"/>
    <w:rsid w:val="005D4AED"/>
    <w:rsid w:val="005D4B35"/>
    <w:rsid w:val="005D4BA8"/>
    <w:rsid w:val="005D4C91"/>
    <w:rsid w:val="005D4CBE"/>
    <w:rsid w:val="005D4D59"/>
    <w:rsid w:val="005D4DA6"/>
    <w:rsid w:val="005D4DB4"/>
    <w:rsid w:val="005D4DD3"/>
    <w:rsid w:val="005D4DEC"/>
    <w:rsid w:val="005D4F63"/>
    <w:rsid w:val="005D4FEF"/>
    <w:rsid w:val="005D50B5"/>
    <w:rsid w:val="005D50C7"/>
    <w:rsid w:val="005D5197"/>
    <w:rsid w:val="005D51F2"/>
    <w:rsid w:val="005D5203"/>
    <w:rsid w:val="005D5400"/>
    <w:rsid w:val="005D5414"/>
    <w:rsid w:val="005D54BB"/>
    <w:rsid w:val="005D554A"/>
    <w:rsid w:val="005D5550"/>
    <w:rsid w:val="005D5600"/>
    <w:rsid w:val="005D56EB"/>
    <w:rsid w:val="005D56F3"/>
    <w:rsid w:val="005D580A"/>
    <w:rsid w:val="005D5915"/>
    <w:rsid w:val="005D591B"/>
    <w:rsid w:val="005D5A08"/>
    <w:rsid w:val="005D5A22"/>
    <w:rsid w:val="005D5B88"/>
    <w:rsid w:val="005D5B8E"/>
    <w:rsid w:val="005D5BDA"/>
    <w:rsid w:val="005D5C6A"/>
    <w:rsid w:val="005D5C8E"/>
    <w:rsid w:val="005D5CCC"/>
    <w:rsid w:val="005D5D7B"/>
    <w:rsid w:val="005D5DEC"/>
    <w:rsid w:val="005D5E4A"/>
    <w:rsid w:val="005D5E9F"/>
    <w:rsid w:val="005D5F21"/>
    <w:rsid w:val="005D5F38"/>
    <w:rsid w:val="005D601A"/>
    <w:rsid w:val="005D6057"/>
    <w:rsid w:val="005D6147"/>
    <w:rsid w:val="005D61C0"/>
    <w:rsid w:val="005D61C4"/>
    <w:rsid w:val="005D6296"/>
    <w:rsid w:val="005D6347"/>
    <w:rsid w:val="005D63F2"/>
    <w:rsid w:val="005D64BB"/>
    <w:rsid w:val="005D64D1"/>
    <w:rsid w:val="005D6525"/>
    <w:rsid w:val="005D65AE"/>
    <w:rsid w:val="005D668E"/>
    <w:rsid w:val="005D66A6"/>
    <w:rsid w:val="005D66A9"/>
    <w:rsid w:val="005D6702"/>
    <w:rsid w:val="005D6767"/>
    <w:rsid w:val="005D691C"/>
    <w:rsid w:val="005D693A"/>
    <w:rsid w:val="005D6986"/>
    <w:rsid w:val="005D6A32"/>
    <w:rsid w:val="005D6A61"/>
    <w:rsid w:val="005D6AB2"/>
    <w:rsid w:val="005D6AC8"/>
    <w:rsid w:val="005D6ACF"/>
    <w:rsid w:val="005D6D4B"/>
    <w:rsid w:val="005D6D60"/>
    <w:rsid w:val="005D6EED"/>
    <w:rsid w:val="005D6F29"/>
    <w:rsid w:val="005D7012"/>
    <w:rsid w:val="005D71C1"/>
    <w:rsid w:val="005D721D"/>
    <w:rsid w:val="005D740E"/>
    <w:rsid w:val="005D7465"/>
    <w:rsid w:val="005D7532"/>
    <w:rsid w:val="005D762C"/>
    <w:rsid w:val="005D763E"/>
    <w:rsid w:val="005D766D"/>
    <w:rsid w:val="005D767F"/>
    <w:rsid w:val="005D76C1"/>
    <w:rsid w:val="005D7700"/>
    <w:rsid w:val="005D7726"/>
    <w:rsid w:val="005D7784"/>
    <w:rsid w:val="005D77DA"/>
    <w:rsid w:val="005D78EE"/>
    <w:rsid w:val="005D7A53"/>
    <w:rsid w:val="005D7B23"/>
    <w:rsid w:val="005D7BCD"/>
    <w:rsid w:val="005D7D41"/>
    <w:rsid w:val="005D7DD5"/>
    <w:rsid w:val="005D7F95"/>
    <w:rsid w:val="005E00DB"/>
    <w:rsid w:val="005E01AB"/>
    <w:rsid w:val="005E01B2"/>
    <w:rsid w:val="005E0365"/>
    <w:rsid w:val="005E0392"/>
    <w:rsid w:val="005E039C"/>
    <w:rsid w:val="005E03DE"/>
    <w:rsid w:val="005E070D"/>
    <w:rsid w:val="005E077B"/>
    <w:rsid w:val="005E0843"/>
    <w:rsid w:val="005E0876"/>
    <w:rsid w:val="005E0980"/>
    <w:rsid w:val="005E0B04"/>
    <w:rsid w:val="005E0B48"/>
    <w:rsid w:val="005E0BF7"/>
    <w:rsid w:val="005E0C4F"/>
    <w:rsid w:val="005E0CAC"/>
    <w:rsid w:val="005E0DB8"/>
    <w:rsid w:val="005E0EBD"/>
    <w:rsid w:val="005E0F2A"/>
    <w:rsid w:val="005E0F99"/>
    <w:rsid w:val="005E1077"/>
    <w:rsid w:val="005E108B"/>
    <w:rsid w:val="005E10F8"/>
    <w:rsid w:val="005E1115"/>
    <w:rsid w:val="005E1132"/>
    <w:rsid w:val="005E1155"/>
    <w:rsid w:val="005E11E4"/>
    <w:rsid w:val="005E126B"/>
    <w:rsid w:val="005E1343"/>
    <w:rsid w:val="005E142F"/>
    <w:rsid w:val="005E1556"/>
    <w:rsid w:val="005E157A"/>
    <w:rsid w:val="005E172B"/>
    <w:rsid w:val="005E17A6"/>
    <w:rsid w:val="005E17B2"/>
    <w:rsid w:val="005E19A8"/>
    <w:rsid w:val="005E1AAD"/>
    <w:rsid w:val="005E1AC8"/>
    <w:rsid w:val="005E1ACC"/>
    <w:rsid w:val="005E1B09"/>
    <w:rsid w:val="005E1C16"/>
    <w:rsid w:val="005E1CE4"/>
    <w:rsid w:val="005E1EA0"/>
    <w:rsid w:val="005E1F88"/>
    <w:rsid w:val="005E2114"/>
    <w:rsid w:val="005E2174"/>
    <w:rsid w:val="005E2181"/>
    <w:rsid w:val="005E218E"/>
    <w:rsid w:val="005E21DD"/>
    <w:rsid w:val="005E21E4"/>
    <w:rsid w:val="005E2234"/>
    <w:rsid w:val="005E22CA"/>
    <w:rsid w:val="005E22F2"/>
    <w:rsid w:val="005E23E3"/>
    <w:rsid w:val="005E2461"/>
    <w:rsid w:val="005E247C"/>
    <w:rsid w:val="005E24BA"/>
    <w:rsid w:val="005E24BE"/>
    <w:rsid w:val="005E256E"/>
    <w:rsid w:val="005E25F2"/>
    <w:rsid w:val="005E2637"/>
    <w:rsid w:val="005E2654"/>
    <w:rsid w:val="005E269E"/>
    <w:rsid w:val="005E272C"/>
    <w:rsid w:val="005E2765"/>
    <w:rsid w:val="005E2789"/>
    <w:rsid w:val="005E2803"/>
    <w:rsid w:val="005E2844"/>
    <w:rsid w:val="005E284F"/>
    <w:rsid w:val="005E28E8"/>
    <w:rsid w:val="005E28ED"/>
    <w:rsid w:val="005E2A33"/>
    <w:rsid w:val="005E2A86"/>
    <w:rsid w:val="005E2AF7"/>
    <w:rsid w:val="005E2AFA"/>
    <w:rsid w:val="005E2B3C"/>
    <w:rsid w:val="005E2BBA"/>
    <w:rsid w:val="005E2E29"/>
    <w:rsid w:val="005E2EDA"/>
    <w:rsid w:val="005E2EF6"/>
    <w:rsid w:val="005E2F6F"/>
    <w:rsid w:val="005E305E"/>
    <w:rsid w:val="005E3087"/>
    <w:rsid w:val="005E30D0"/>
    <w:rsid w:val="005E31AE"/>
    <w:rsid w:val="005E31DF"/>
    <w:rsid w:val="005E3394"/>
    <w:rsid w:val="005E33F7"/>
    <w:rsid w:val="005E342C"/>
    <w:rsid w:val="005E34C9"/>
    <w:rsid w:val="005E358C"/>
    <w:rsid w:val="005E3615"/>
    <w:rsid w:val="005E3630"/>
    <w:rsid w:val="005E3657"/>
    <w:rsid w:val="005E379A"/>
    <w:rsid w:val="005E37BB"/>
    <w:rsid w:val="005E3990"/>
    <w:rsid w:val="005E3ABC"/>
    <w:rsid w:val="005E3ACE"/>
    <w:rsid w:val="005E3BF0"/>
    <w:rsid w:val="005E3C45"/>
    <w:rsid w:val="005E3D84"/>
    <w:rsid w:val="005E3DBA"/>
    <w:rsid w:val="005E3E12"/>
    <w:rsid w:val="005E3E56"/>
    <w:rsid w:val="005E3E63"/>
    <w:rsid w:val="005E3FA5"/>
    <w:rsid w:val="005E4055"/>
    <w:rsid w:val="005E40F5"/>
    <w:rsid w:val="005E411F"/>
    <w:rsid w:val="005E418C"/>
    <w:rsid w:val="005E41C4"/>
    <w:rsid w:val="005E41DC"/>
    <w:rsid w:val="005E4207"/>
    <w:rsid w:val="005E4221"/>
    <w:rsid w:val="005E43B9"/>
    <w:rsid w:val="005E4443"/>
    <w:rsid w:val="005E4454"/>
    <w:rsid w:val="005E4481"/>
    <w:rsid w:val="005E454B"/>
    <w:rsid w:val="005E454F"/>
    <w:rsid w:val="005E4672"/>
    <w:rsid w:val="005E4770"/>
    <w:rsid w:val="005E4845"/>
    <w:rsid w:val="005E4851"/>
    <w:rsid w:val="005E486C"/>
    <w:rsid w:val="005E487B"/>
    <w:rsid w:val="005E491C"/>
    <w:rsid w:val="005E4958"/>
    <w:rsid w:val="005E4A61"/>
    <w:rsid w:val="005E4A6C"/>
    <w:rsid w:val="005E4B0D"/>
    <w:rsid w:val="005E4B7E"/>
    <w:rsid w:val="005E4CB9"/>
    <w:rsid w:val="005E4D1E"/>
    <w:rsid w:val="005E4D64"/>
    <w:rsid w:val="005E4DD7"/>
    <w:rsid w:val="005E4DE5"/>
    <w:rsid w:val="005E4E1B"/>
    <w:rsid w:val="005E4E66"/>
    <w:rsid w:val="005E4EEB"/>
    <w:rsid w:val="005E4F59"/>
    <w:rsid w:val="005E4F86"/>
    <w:rsid w:val="005E4FFB"/>
    <w:rsid w:val="005E51E8"/>
    <w:rsid w:val="005E5240"/>
    <w:rsid w:val="005E5263"/>
    <w:rsid w:val="005E52A6"/>
    <w:rsid w:val="005E5405"/>
    <w:rsid w:val="005E546D"/>
    <w:rsid w:val="005E5540"/>
    <w:rsid w:val="005E5634"/>
    <w:rsid w:val="005E571D"/>
    <w:rsid w:val="005E577E"/>
    <w:rsid w:val="005E5921"/>
    <w:rsid w:val="005E59CB"/>
    <w:rsid w:val="005E5A41"/>
    <w:rsid w:val="005E5A9C"/>
    <w:rsid w:val="005E5AAC"/>
    <w:rsid w:val="005E5BFB"/>
    <w:rsid w:val="005E5C23"/>
    <w:rsid w:val="005E5D2C"/>
    <w:rsid w:val="005E5DB5"/>
    <w:rsid w:val="005E5E32"/>
    <w:rsid w:val="005E5E6D"/>
    <w:rsid w:val="005E5F0C"/>
    <w:rsid w:val="005E5F22"/>
    <w:rsid w:val="005E5FBF"/>
    <w:rsid w:val="005E5FCC"/>
    <w:rsid w:val="005E6147"/>
    <w:rsid w:val="005E6222"/>
    <w:rsid w:val="005E62E9"/>
    <w:rsid w:val="005E62FC"/>
    <w:rsid w:val="005E6313"/>
    <w:rsid w:val="005E632F"/>
    <w:rsid w:val="005E6335"/>
    <w:rsid w:val="005E63FD"/>
    <w:rsid w:val="005E6548"/>
    <w:rsid w:val="005E65FC"/>
    <w:rsid w:val="005E6698"/>
    <w:rsid w:val="005E66C6"/>
    <w:rsid w:val="005E66DF"/>
    <w:rsid w:val="005E6802"/>
    <w:rsid w:val="005E6828"/>
    <w:rsid w:val="005E69E7"/>
    <w:rsid w:val="005E6A77"/>
    <w:rsid w:val="005E6BD7"/>
    <w:rsid w:val="005E6C76"/>
    <w:rsid w:val="005E6D06"/>
    <w:rsid w:val="005E6D8E"/>
    <w:rsid w:val="005E6EEF"/>
    <w:rsid w:val="005E6FBA"/>
    <w:rsid w:val="005E7010"/>
    <w:rsid w:val="005E70EB"/>
    <w:rsid w:val="005E711B"/>
    <w:rsid w:val="005E7160"/>
    <w:rsid w:val="005E724B"/>
    <w:rsid w:val="005E7254"/>
    <w:rsid w:val="005E728C"/>
    <w:rsid w:val="005E72C6"/>
    <w:rsid w:val="005E73AD"/>
    <w:rsid w:val="005E73CC"/>
    <w:rsid w:val="005E745B"/>
    <w:rsid w:val="005E7530"/>
    <w:rsid w:val="005E7611"/>
    <w:rsid w:val="005E76E3"/>
    <w:rsid w:val="005E777E"/>
    <w:rsid w:val="005E7896"/>
    <w:rsid w:val="005E7B99"/>
    <w:rsid w:val="005E7C03"/>
    <w:rsid w:val="005E7C8A"/>
    <w:rsid w:val="005E7D5F"/>
    <w:rsid w:val="005E7E9E"/>
    <w:rsid w:val="005E7ED1"/>
    <w:rsid w:val="005E7EDC"/>
    <w:rsid w:val="005E7FEC"/>
    <w:rsid w:val="005F008A"/>
    <w:rsid w:val="005F01AC"/>
    <w:rsid w:val="005F026F"/>
    <w:rsid w:val="005F02B3"/>
    <w:rsid w:val="005F030C"/>
    <w:rsid w:val="005F036C"/>
    <w:rsid w:val="005F03AB"/>
    <w:rsid w:val="005F03AC"/>
    <w:rsid w:val="005F04E4"/>
    <w:rsid w:val="005F0549"/>
    <w:rsid w:val="005F054A"/>
    <w:rsid w:val="005F06CE"/>
    <w:rsid w:val="005F0705"/>
    <w:rsid w:val="005F071C"/>
    <w:rsid w:val="005F0749"/>
    <w:rsid w:val="005F089A"/>
    <w:rsid w:val="005F0932"/>
    <w:rsid w:val="005F09F3"/>
    <w:rsid w:val="005F0BE6"/>
    <w:rsid w:val="005F0C68"/>
    <w:rsid w:val="005F0CF1"/>
    <w:rsid w:val="005F0F0F"/>
    <w:rsid w:val="005F103B"/>
    <w:rsid w:val="005F1129"/>
    <w:rsid w:val="005F11EC"/>
    <w:rsid w:val="005F11FC"/>
    <w:rsid w:val="005F1339"/>
    <w:rsid w:val="005F138E"/>
    <w:rsid w:val="005F1400"/>
    <w:rsid w:val="005F148F"/>
    <w:rsid w:val="005F14B0"/>
    <w:rsid w:val="005F1589"/>
    <w:rsid w:val="005F1767"/>
    <w:rsid w:val="005F18EA"/>
    <w:rsid w:val="005F1986"/>
    <w:rsid w:val="005F198E"/>
    <w:rsid w:val="005F199E"/>
    <w:rsid w:val="005F1AA0"/>
    <w:rsid w:val="005F1ABD"/>
    <w:rsid w:val="005F1AC4"/>
    <w:rsid w:val="005F1BA1"/>
    <w:rsid w:val="005F1BD5"/>
    <w:rsid w:val="005F1C77"/>
    <w:rsid w:val="005F1CDE"/>
    <w:rsid w:val="005F1CF2"/>
    <w:rsid w:val="005F1E74"/>
    <w:rsid w:val="005F1EE3"/>
    <w:rsid w:val="005F1FFE"/>
    <w:rsid w:val="005F213E"/>
    <w:rsid w:val="005F21AD"/>
    <w:rsid w:val="005F2235"/>
    <w:rsid w:val="005F22A4"/>
    <w:rsid w:val="005F22BE"/>
    <w:rsid w:val="005F2317"/>
    <w:rsid w:val="005F2394"/>
    <w:rsid w:val="005F23F1"/>
    <w:rsid w:val="005F2461"/>
    <w:rsid w:val="005F248F"/>
    <w:rsid w:val="005F2531"/>
    <w:rsid w:val="005F25FA"/>
    <w:rsid w:val="005F2649"/>
    <w:rsid w:val="005F2660"/>
    <w:rsid w:val="005F26FF"/>
    <w:rsid w:val="005F2715"/>
    <w:rsid w:val="005F2741"/>
    <w:rsid w:val="005F27FD"/>
    <w:rsid w:val="005F2832"/>
    <w:rsid w:val="005F2872"/>
    <w:rsid w:val="005F29E5"/>
    <w:rsid w:val="005F2ACA"/>
    <w:rsid w:val="005F2D73"/>
    <w:rsid w:val="005F2E0B"/>
    <w:rsid w:val="005F2F20"/>
    <w:rsid w:val="005F309F"/>
    <w:rsid w:val="005F30A4"/>
    <w:rsid w:val="005F30AF"/>
    <w:rsid w:val="005F30BD"/>
    <w:rsid w:val="005F30F7"/>
    <w:rsid w:val="005F3121"/>
    <w:rsid w:val="005F3164"/>
    <w:rsid w:val="005F320B"/>
    <w:rsid w:val="005F33DA"/>
    <w:rsid w:val="005F340D"/>
    <w:rsid w:val="005F3411"/>
    <w:rsid w:val="005F353B"/>
    <w:rsid w:val="005F3608"/>
    <w:rsid w:val="005F362F"/>
    <w:rsid w:val="005F3672"/>
    <w:rsid w:val="005F369C"/>
    <w:rsid w:val="005F37D1"/>
    <w:rsid w:val="005F381B"/>
    <w:rsid w:val="005F389E"/>
    <w:rsid w:val="005F38F5"/>
    <w:rsid w:val="005F39FF"/>
    <w:rsid w:val="005F3AEA"/>
    <w:rsid w:val="005F3B13"/>
    <w:rsid w:val="005F3B7B"/>
    <w:rsid w:val="005F3C35"/>
    <w:rsid w:val="005F3CAA"/>
    <w:rsid w:val="005F3E2A"/>
    <w:rsid w:val="005F3E3C"/>
    <w:rsid w:val="005F3EA1"/>
    <w:rsid w:val="005F3EA2"/>
    <w:rsid w:val="005F3F4C"/>
    <w:rsid w:val="005F3FAF"/>
    <w:rsid w:val="005F40E4"/>
    <w:rsid w:val="005F41A0"/>
    <w:rsid w:val="005F41B0"/>
    <w:rsid w:val="005F41E5"/>
    <w:rsid w:val="005F41EC"/>
    <w:rsid w:val="005F425D"/>
    <w:rsid w:val="005F43B1"/>
    <w:rsid w:val="005F440F"/>
    <w:rsid w:val="005F457D"/>
    <w:rsid w:val="005F45C8"/>
    <w:rsid w:val="005F45CA"/>
    <w:rsid w:val="005F469E"/>
    <w:rsid w:val="005F4768"/>
    <w:rsid w:val="005F47C5"/>
    <w:rsid w:val="005F4812"/>
    <w:rsid w:val="005F4865"/>
    <w:rsid w:val="005F48AA"/>
    <w:rsid w:val="005F48B4"/>
    <w:rsid w:val="005F48F2"/>
    <w:rsid w:val="005F4A63"/>
    <w:rsid w:val="005F4B04"/>
    <w:rsid w:val="005F4B0E"/>
    <w:rsid w:val="005F4BFE"/>
    <w:rsid w:val="005F4D5B"/>
    <w:rsid w:val="005F4DD3"/>
    <w:rsid w:val="005F4DE0"/>
    <w:rsid w:val="005F4E0D"/>
    <w:rsid w:val="005F4EEA"/>
    <w:rsid w:val="005F4EF0"/>
    <w:rsid w:val="005F4F14"/>
    <w:rsid w:val="005F4F32"/>
    <w:rsid w:val="005F4F97"/>
    <w:rsid w:val="005F4FA1"/>
    <w:rsid w:val="005F5119"/>
    <w:rsid w:val="005F53C6"/>
    <w:rsid w:val="005F53CD"/>
    <w:rsid w:val="005F54C1"/>
    <w:rsid w:val="005F54DA"/>
    <w:rsid w:val="005F556F"/>
    <w:rsid w:val="005F56C1"/>
    <w:rsid w:val="005F5724"/>
    <w:rsid w:val="005F574F"/>
    <w:rsid w:val="005F5752"/>
    <w:rsid w:val="005F57EC"/>
    <w:rsid w:val="005F580D"/>
    <w:rsid w:val="005F5886"/>
    <w:rsid w:val="005F5896"/>
    <w:rsid w:val="005F5A7B"/>
    <w:rsid w:val="005F5BC6"/>
    <w:rsid w:val="005F5BEF"/>
    <w:rsid w:val="005F5C8B"/>
    <w:rsid w:val="005F5CD1"/>
    <w:rsid w:val="005F5DC6"/>
    <w:rsid w:val="005F5FF8"/>
    <w:rsid w:val="005F607B"/>
    <w:rsid w:val="005F60BB"/>
    <w:rsid w:val="005F610D"/>
    <w:rsid w:val="005F6121"/>
    <w:rsid w:val="005F6139"/>
    <w:rsid w:val="005F634B"/>
    <w:rsid w:val="005F646C"/>
    <w:rsid w:val="005F6490"/>
    <w:rsid w:val="005F64CC"/>
    <w:rsid w:val="005F64D0"/>
    <w:rsid w:val="005F667E"/>
    <w:rsid w:val="005F6691"/>
    <w:rsid w:val="005F674D"/>
    <w:rsid w:val="005F67CE"/>
    <w:rsid w:val="005F69B1"/>
    <w:rsid w:val="005F69C1"/>
    <w:rsid w:val="005F6ACA"/>
    <w:rsid w:val="005F6B8F"/>
    <w:rsid w:val="005F6CEC"/>
    <w:rsid w:val="005F6E93"/>
    <w:rsid w:val="005F6F15"/>
    <w:rsid w:val="005F6F18"/>
    <w:rsid w:val="005F6FE9"/>
    <w:rsid w:val="005F7036"/>
    <w:rsid w:val="005F70A0"/>
    <w:rsid w:val="005F725A"/>
    <w:rsid w:val="005F73AA"/>
    <w:rsid w:val="005F73D1"/>
    <w:rsid w:val="005F7478"/>
    <w:rsid w:val="005F74AA"/>
    <w:rsid w:val="005F74C1"/>
    <w:rsid w:val="005F74DE"/>
    <w:rsid w:val="005F74E7"/>
    <w:rsid w:val="005F7597"/>
    <w:rsid w:val="005F75A0"/>
    <w:rsid w:val="005F75D8"/>
    <w:rsid w:val="005F7632"/>
    <w:rsid w:val="005F7645"/>
    <w:rsid w:val="005F76A8"/>
    <w:rsid w:val="005F772E"/>
    <w:rsid w:val="005F7794"/>
    <w:rsid w:val="005F7817"/>
    <w:rsid w:val="005F78D2"/>
    <w:rsid w:val="005F7910"/>
    <w:rsid w:val="005F797B"/>
    <w:rsid w:val="005F79D1"/>
    <w:rsid w:val="005F7A6C"/>
    <w:rsid w:val="005F7AD4"/>
    <w:rsid w:val="005F7B19"/>
    <w:rsid w:val="005F7B21"/>
    <w:rsid w:val="005F7B2C"/>
    <w:rsid w:val="005F7B6C"/>
    <w:rsid w:val="005F7BD8"/>
    <w:rsid w:val="005F7CF8"/>
    <w:rsid w:val="005F7EF1"/>
    <w:rsid w:val="005F7F6E"/>
    <w:rsid w:val="0060009E"/>
    <w:rsid w:val="006001B3"/>
    <w:rsid w:val="00600351"/>
    <w:rsid w:val="0060038D"/>
    <w:rsid w:val="006003DA"/>
    <w:rsid w:val="006005C5"/>
    <w:rsid w:val="006005F0"/>
    <w:rsid w:val="0060069E"/>
    <w:rsid w:val="0060076C"/>
    <w:rsid w:val="006007B3"/>
    <w:rsid w:val="00600867"/>
    <w:rsid w:val="00600A1A"/>
    <w:rsid w:val="00600A20"/>
    <w:rsid w:val="00600ACD"/>
    <w:rsid w:val="00600C91"/>
    <w:rsid w:val="00600DC3"/>
    <w:rsid w:val="00600DC4"/>
    <w:rsid w:val="00600F0E"/>
    <w:rsid w:val="00600F5A"/>
    <w:rsid w:val="00600FA6"/>
    <w:rsid w:val="00601011"/>
    <w:rsid w:val="00601032"/>
    <w:rsid w:val="006010BA"/>
    <w:rsid w:val="006010D6"/>
    <w:rsid w:val="00601153"/>
    <w:rsid w:val="006011D6"/>
    <w:rsid w:val="00601232"/>
    <w:rsid w:val="00601368"/>
    <w:rsid w:val="00601382"/>
    <w:rsid w:val="006013D2"/>
    <w:rsid w:val="00601615"/>
    <w:rsid w:val="00601667"/>
    <w:rsid w:val="00601854"/>
    <w:rsid w:val="006018B4"/>
    <w:rsid w:val="00601A28"/>
    <w:rsid w:val="00601A5B"/>
    <w:rsid w:val="00601A89"/>
    <w:rsid w:val="00601B63"/>
    <w:rsid w:val="00601C96"/>
    <w:rsid w:val="00601C98"/>
    <w:rsid w:val="00601D4E"/>
    <w:rsid w:val="00601DC6"/>
    <w:rsid w:val="00601E83"/>
    <w:rsid w:val="00601F1E"/>
    <w:rsid w:val="00601F28"/>
    <w:rsid w:val="00601F2A"/>
    <w:rsid w:val="00601FF1"/>
    <w:rsid w:val="00602153"/>
    <w:rsid w:val="0060232F"/>
    <w:rsid w:val="006024A7"/>
    <w:rsid w:val="00602536"/>
    <w:rsid w:val="006026E9"/>
    <w:rsid w:val="006027DF"/>
    <w:rsid w:val="00602882"/>
    <w:rsid w:val="006028E4"/>
    <w:rsid w:val="00602983"/>
    <w:rsid w:val="00602A62"/>
    <w:rsid w:val="00602BF8"/>
    <w:rsid w:val="00602C76"/>
    <w:rsid w:val="00602CE2"/>
    <w:rsid w:val="00602D47"/>
    <w:rsid w:val="00602D54"/>
    <w:rsid w:val="00602DDB"/>
    <w:rsid w:val="00602EED"/>
    <w:rsid w:val="00602F79"/>
    <w:rsid w:val="00602F91"/>
    <w:rsid w:val="00602FB5"/>
    <w:rsid w:val="006030EE"/>
    <w:rsid w:val="006030FD"/>
    <w:rsid w:val="0060316F"/>
    <w:rsid w:val="006031BE"/>
    <w:rsid w:val="0060321A"/>
    <w:rsid w:val="006032AD"/>
    <w:rsid w:val="006032CB"/>
    <w:rsid w:val="006032F6"/>
    <w:rsid w:val="0060332E"/>
    <w:rsid w:val="006033A4"/>
    <w:rsid w:val="006033EB"/>
    <w:rsid w:val="00603511"/>
    <w:rsid w:val="006036B8"/>
    <w:rsid w:val="006036F8"/>
    <w:rsid w:val="0060373D"/>
    <w:rsid w:val="006037D0"/>
    <w:rsid w:val="00603920"/>
    <w:rsid w:val="00603937"/>
    <w:rsid w:val="006039A0"/>
    <w:rsid w:val="006039A5"/>
    <w:rsid w:val="006039E0"/>
    <w:rsid w:val="00603B19"/>
    <w:rsid w:val="00603B55"/>
    <w:rsid w:val="00603B92"/>
    <w:rsid w:val="00603C97"/>
    <w:rsid w:val="00603D27"/>
    <w:rsid w:val="00603D99"/>
    <w:rsid w:val="00603DD1"/>
    <w:rsid w:val="00603EB6"/>
    <w:rsid w:val="00603EC6"/>
    <w:rsid w:val="00603EFE"/>
    <w:rsid w:val="00603F14"/>
    <w:rsid w:val="00603FCC"/>
    <w:rsid w:val="0060416B"/>
    <w:rsid w:val="0060417D"/>
    <w:rsid w:val="0060419E"/>
    <w:rsid w:val="00604202"/>
    <w:rsid w:val="00604243"/>
    <w:rsid w:val="0060437A"/>
    <w:rsid w:val="0060443E"/>
    <w:rsid w:val="0060462D"/>
    <w:rsid w:val="00604649"/>
    <w:rsid w:val="006046D1"/>
    <w:rsid w:val="00604746"/>
    <w:rsid w:val="006047BB"/>
    <w:rsid w:val="006047E9"/>
    <w:rsid w:val="0060495C"/>
    <w:rsid w:val="00604BD4"/>
    <w:rsid w:val="00604C76"/>
    <w:rsid w:val="00604C92"/>
    <w:rsid w:val="00604D0F"/>
    <w:rsid w:val="00604DA7"/>
    <w:rsid w:val="00604E13"/>
    <w:rsid w:val="00604E9A"/>
    <w:rsid w:val="00604FE9"/>
    <w:rsid w:val="00605004"/>
    <w:rsid w:val="00605005"/>
    <w:rsid w:val="006050BD"/>
    <w:rsid w:val="00605161"/>
    <w:rsid w:val="0060518B"/>
    <w:rsid w:val="0060528B"/>
    <w:rsid w:val="006052DD"/>
    <w:rsid w:val="0060537E"/>
    <w:rsid w:val="0060549E"/>
    <w:rsid w:val="00605503"/>
    <w:rsid w:val="0060555B"/>
    <w:rsid w:val="00605598"/>
    <w:rsid w:val="006055A2"/>
    <w:rsid w:val="006055AB"/>
    <w:rsid w:val="00605610"/>
    <w:rsid w:val="00605676"/>
    <w:rsid w:val="006057A7"/>
    <w:rsid w:val="006057B7"/>
    <w:rsid w:val="006058DB"/>
    <w:rsid w:val="0060599B"/>
    <w:rsid w:val="006059BE"/>
    <w:rsid w:val="006059F0"/>
    <w:rsid w:val="00605AA3"/>
    <w:rsid w:val="00605AE8"/>
    <w:rsid w:val="00605B5A"/>
    <w:rsid w:val="00605C04"/>
    <w:rsid w:val="00605CCE"/>
    <w:rsid w:val="00605D06"/>
    <w:rsid w:val="00605D15"/>
    <w:rsid w:val="00605D3C"/>
    <w:rsid w:val="00605D9F"/>
    <w:rsid w:val="00605E63"/>
    <w:rsid w:val="00605E6A"/>
    <w:rsid w:val="00605E91"/>
    <w:rsid w:val="00605EE3"/>
    <w:rsid w:val="00605FB7"/>
    <w:rsid w:val="0060608E"/>
    <w:rsid w:val="00606302"/>
    <w:rsid w:val="0060634D"/>
    <w:rsid w:val="006063A4"/>
    <w:rsid w:val="006063A5"/>
    <w:rsid w:val="006063AF"/>
    <w:rsid w:val="006063B5"/>
    <w:rsid w:val="0060647E"/>
    <w:rsid w:val="00606498"/>
    <w:rsid w:val="006066D4"/>
    <w:rsid w:val="006067A6"/>
    <w:rsid w:val="00606852"/>
    <w:rsid w:val="0060691C"/>
    <w:rsid w:val="00606A49"/>
    <w:rsid w:val="00606A57"/>
    <w:rsid w:val="00606A8B"/>
    <w:rsid w:val="00606B2F"/>
    <w:rsid w:val="00606C95"/>
    <w:rsid w:val="00606D73"/>
    <w:rsid w:val="00606ECE"/>
    <w:rsid w:val="00606F22"/>
    <w:rsid w:val="00606F6E"/>
    <w:rsid w:val="006070F1"/>
    <w:rsid w:val="00607143"/>
    <w:rsid w:val="00607199"/>
    <w:rsid w:val="00607203"/>
    <w:rsid w:val="00607300"/>
    <w:rsid w:val="00607340"/>
    <w:rsid w:val="00607344"/>
    <w:rsid w:val="00607462"/>
    <w:rsid w:val="0060748B"/>
    <w:rsid w:val="0060769F"/>
    <w:rsid w:val="0060794B"/>
    <w:rsid w:val="00607AF1"/>
    <w:rsid w:val="00607AFF"/>
    <w:rsid w:val="00607B36"/>
    <w:rsid w:val="00607BC3"/>
    <w:rsid w:val="00607CEB"/>
    <w:rsid w:val="00607D3E"/>
    <w:rsid w:val="00607D51"/>
    <w:rsid w:val="00607D55"/>
    <w:rsid w:val="00607D84"/>
    <w:rsid w:val="00607D8C"/>
    <w:rsid w:val="00607ED6"/>
    <w:rsid w:val="00607F30"/>
    <w:rsid w:val="00607FFE"/>
    <w:rsid w:val="0061007D"/>
    <w:rsid w:val="006100FA"/>
    <w:rsid w:val="006102F0"/>
    <w:rsid w:val="0061033A"/>
    <w:rsid w:val="00610387"/>
    <w:rsid w:val="006104AA"/>
    <w:rsid w:val="0061070A"/>
    <w:rsid w:val="0061078A"/>
    <w:rsid w:val="00610838"/>
    <w:rsid w:val="0061089A"/>
    <w:rsid w:val="0061099E"/>
    <w:rsid w:val="00610A78"/>
    <w:rsid w:val="00610B5B"/>
    <w:rsid w:val="00610B8C"/>
    <w:rsid w:val="00610D9F"/>
    <w:rsid w:val="00610DEB"/>
    <w:rsid w:val="00610F5A"/>
    <w:rsid w:val="00610FBA"/>
    <w:rsid w:val="00610FDA"/>
    <w:rsid w:val="00611126"/>
    <w:rsid w:val="00611141"/>
    <w:rsid w:val="00611162"/>
    <w:rsid w:val="00611179"/>
    <w:rsid w:val="006111EA"/>
    <w:rsid w:val="006112C9"/>
    <w:rsid w:val="0061135F"/>
    <w:rsid w:val="00611390"/>
    <w:rsid w:val="0061141D"/>
    <w:rsid w:val="0061145E"/>
    <w:rsid w:val="006114A7"/>
    <w:rsid w:val="006114CB"/>
    <w:rsid w:val="0061151F"/>
    <w:rsid w:val="00611562"/>
    <w:rsid w:val="0061160E"/>
    <w:rsid w:val="00611622"/>
    <w:rsid w:val="00611623"/>
    <w:rsid w:val="00611633"/>
    <w:rsid w:val="006117A0"/>
    <w:rsid w:val="00611A01"/>
    <w:rsid w:val="00611A5E"/>
    <w:rsid w:val="00611AA2"/>
    <w:rsid w:val="00611B32"/>
    <w:rsid w:val="00611BBC"/>
    <w:rsid w:val="00611CB7"/>
    <w:rsid w:val="00611D2D"/>
    <w:rsid w:val="00611D61"/>
    <w:rsid w:val="00611DCD"/>
    <w:rsid w:val="00611F88"/>
    <w:rsid w:val="00612041"/>
    <w:rsid w:val="00612109"/>
    <w:rsid w:val="0061211C"/>
    <w:rsid w:val="00612284"/>
    <w:rsid w:val="006122CA"/>
    <w:rsid w:val="006123DB"/>
    <w:rsid w:val="006124B8"/>
    <w:rsid w:val="00612744"/>
    <w:rsid w:val="006127EE"/>
    <w:rsid w:val="0061282E"/>
    <w:rsid w:val="0061298C"/>
    <w:rsid w:val="00612995"/>
    <w:rsid w:val="00612A0C"/>
    <w:rsid w:val="00612A2E"/>
    <w:rsid w:val="00612AD1"/>
    <w:rsid w:val="00612AEE"/>
    <w:rsid w:val="00612AFC"/>
    <w:rsid w:val="00612B3F"/>
    <w:rsid w:val="00612C39"/>
    <w:rsid w:val="00612CD5"/>
    <w:rsid w:val="00612D95"/>
    <w:rsid w:val="00612E39"/>
    <w:rsid w:val="00612ECC"/>
    <w:rsid w:val="00612F46"/>
    <w:rsid w:val="00613095"/>
    <w:rsid w:val="006130BC"/>
    <w:rsid w:val="006131C7"/>
    <w:rsid w:val="006131CB"/>
    <w:rsid w:val="006132F7"/>
    <w:rsid w:val="00613526"/>
    <w:rsid w:val="00613581"/>
    <w:rsid w:val="006135A8"/>
    <w:rsid w:val="00613643"/>
    <w:rsid w:val="00613651"/>
    <w:rsid w:val="0061378A"/>
    <w:rsid w:val="00613793"/>
    <w:rsid w:val="006137CF"/>
    <w:rsid w:val="00613859"/>
    <w:rsid w:val="006138DF"/>
    <w:rsid w:val="006139B1"/>
    <w:rsid w:val="006139BC"/>
    <w:rsid w:val="006139C4"/>
    <w:rsid w:val="00613A15"/>
    <w:rsid w:val="00613C3D"/>
    <w:rsid w:val="00613C9A"/>
    <w:rsid w:val="00613D97"/>
    <w:rsid w:val="00613D9E"/>
    <w:rsid w:val="00613E41"/>
    <w:rsid w:val="00613E85"/>
    <w:rsid w:val="00613EC4"/>
    <w:rsid w:val="00613F21"/>
    <w:rsid w:val="00614039"/>
    <w:rsid w:val="006140AE"/>
    <w:rsid w:val="00614216"/>
    <w:rsid w:val="00614320"/>
    <w:rsid w:val="006143DD"/>
    <w:rsid w:val="006144EB"/>
    <w:rsid w:val="006145AB"/>
    <w:rsid w:val="006145CC"/>
    <w:rsid w:val="006146C4"/>
    <w:rsid w:val="006147F8"/>
    <w:rsid w:val="0061495C"/>
    <w:rsid w:val="0061496C"/>
    <w:rsid w:val="006149F7"/>
    <w:rsid w:val="00614A4A"/>
    <w:rsid w:val="00614B1B"/>
    <w:rsid w:val="00614BC9"/>
    <w:rsid w:val="00614C8E"/>
    <w:rsid w:val="00614DC5"/>
    <w:rsid w:val="00614E10"/>
    <w:rsid w:val="00614EC6"/>
    <w:rsid w:val="00614EEC"/>
    <w:rsid w:val="00614F35"/>
    <w:rsid w:val="00614F37"/>
    <w:rsid w:val="00614FEB"/>
    <w:rsid w:val="0061500D"/>
    <w:rsid w:val="00615130"/>
    <w:rsid w:val="00615272"/>
    <w:rsid w:val="00615297"/>
    <w:rsid w:val="006152C0"/>
    <w:rsid w:val="006152CD"/>
    <w:rsid w:val="006153F6"/>
    <w:rsid w:val="00615473"/>
    <w:rsid w:val="006154DB"/>
    <w:rsid w:val="006155E4"/>
    <w:rsid w:val="00615672"/>
    <w:rsid w:val="0061567F"/>
    <w:rsid w:val="0061576F"/>
    <w:rsid w:val="006157BE"/>
    <w:rsid w:val="006157D3"/>
    <w:rsid w:val="006157ED"/>
    <w:rsid w:val="006158E5"/>
    <w:rsid w:val="006159AF"/>
    <w:rsid w:val="00615AE6"/>
    <w:rsid w:val="00615C6E"/>
    <w:rsid w:val="00615CD7"/>
    <w:rsid w:val="00615D5E"/>
    <w:rsid w:val="00615DA3"/>
    <w:rsid w:val="00615DAE"/>
    <w:rsid w:val="00615E21"/>
    <w:rsid w:val="00615E47"/>
    <w:rsid w:val="00615FA0"/>
    <w:rsid w:val="00615FA7"/>
    <w:rsid w:val="00615FC3"/>
    <w:rsid w:val="00615FDD"/>
    <w:rsid w:val="00615FDE"/>
    <w:rsid w:val="00615FF8"/>
    <w:rsid w:val="00616007"/>
    <w:rsid w:val="00616043"/>
    <w:rsid w:val="006160A4"/>
    <w:rsid w:val="00616201"/>
    <w:rsid w:val="00616327"/>
    <w:rsid w:val="00616434"/>
    <w:rsid w:val="00616559"/>
    <w:rsid w:val="00616620"/>
    <w:rsid w:val="00616640"/>
    <w:rsid w:val="00616665"/>
    <w:rsid w:val="0061666A"/>
    <w:rsid w:val="00616718"/>
    <w:rsid w:val="00616742"/>
    <w:rsid w:val="0061674E"/>
    <w:rsid w:val="00616819"/>
    <w:rsid w:val="006168DC"/>
    <w:rsid w:val="006169A7"/>
    <w:rsid w:val="006169B8"/>
    <w:rsid w:val="00616A21"/>
    <w:rsid w:val="00616A27"/>
    <w:rsid w:val="00616AA0"/>
    <w:rsid w:val="00616ACC"/>
    <w:rsid w:val="00616B6F"/>
    <w:rsid w:val="00616B88"/>
    <w:rsid w:val="00616CC6"/>
    <w:rsid w:val="00616CDD"/>
    <w:rsid w:val="00616D05"/>
    <w:rsid w:val="00616D5B"/>
    <w:rsid w:val="00616D7C"/>
    <w:rsid w:val="00616F0D"/>
    <w:rsid w:val="00616FA7"/>
    <w:rsid w:val="00616FD9"/>
    <w:rsid w:val="00616FF1"/>
    <w:rsid w:val="00617003"/>
    <w:rsid w:val="006170A8"/>
    <w:rsid w:val="006170CF"/>
    <w:rsid w:val="00617104"/>
    <w:rsid w:val="0061717E"/>
    <w:rsid w:val="006171AC"/>
    <w:rsid w:val="006171DC"/>
    <w:rsid w:val="006171F8"/>
    <w:rsid w:val="00617244"/>
    <w:rsid w:val="0061766D"/>
    <w:rsid w:val="00617701"/>
    <w:rsid w:val="0061771D"/>
    <w:rsid w:val="0061777D"/>
    <w:rsid w:val="0061777E"/>
    <w:rsid w:val="006177E4"/>
    <w:rsid w:val="00617B3D"/>
    <w:rsid w:val="00617C1A"/>
    <w:rsid w:val="00617CBE"/>
    <w:rsid w:val="00617E21"/>
    <w:rsid w:val="00617E8A"/>
    <w:rsid w:val="00617FDB"/>
    <w:rsid w:val="006200BB"/>
    <w:rsid w:val="006201AB"/>
    <w:rsid w:val="0062025D"/>
    <w:rsid w:val="0062035A"/>
    <w:rsid w:val="0062043D"/>
    <w:rsid w:val="006204A4"/>
    <w:rsid w:val="00620526"/>
    <w:rsid w:val="0062062D"/>
    <w:rsid w:val="00620694"/>
    <w:rsid w:val="00620711"/>
    <w:rsid w:val="00620747"/>
    <w:rsid w:val="00620783"/>
    <w:rsid w:val="00620790"/>
    <w:rsid w:val="006207B2"/>
    <w:rsid w:val="006207D8"/>
    <w:rsid w:val="006207DB"/>
    <w:rsid w:val="0062084C"/>
    <w:rsid w:val="0062087E"/>
    <w:rsid w:val="00620943"/>
    <w:rsid w:val="00620A36"/>
    <w:rsid w:val="00620A72"/>
    <w:rsid w:val="00620AA8"/>
    <w:rsid w:val="00620AE6"/>
    <w:rsid w:val="00620B71"/>
    <w:rsid w:val="00620B97"/>
    <w:rsid w:val="00620B9A"/>
    <w:rsid w:val="00620C08"/>
    <w:rsid w:val="00620CD5"/>
    <w:rsid w:val="00620D5C"/>
    <w:rsid w:val="00620D95"/>
    <w:rsid w:val="00620DA9"/>
    <w:rsid w:val="00620E75"/>
    <w:rsid w:val="0062102F"/>
    <w:rsid w:val="00621067"/>
    <w:rsid w:val="006210FA"/>
    <w:rsid w:val="006210FE"/>
    <w:rsid w:val="0062116E"/>
    <w:rsid w:val="00621206"/>
    <w:rsid w:val="006212A4"/>
    <w:rsid w:val="006212B5"/>
    <w:rsid w:val="00621352"/>
    <w:rsid w:val="006213A3"/>
    <w:rsid w:val="006213BA"/>
    <w:rsid w:val="006213E1"/>
    <w:rsid w:val="00621401"/>
    <w:rsid w:val="00621502"/>
    <w:rsid w:val="00621517"/>
    <w:rsid w:val="0062154A"/>
    <w:rsid w:val="006219D4"/>
    <w:rsid w:val="00621A22"/>
    <w:rsid w:val="00621B1D"/>
    <w:rsid w:val="00621B37"/>
    <w:rsid w:val="00621C93"/>
    <w:rsid w:val="00621D1B"/>
    <w:rsid w:val="00621DE0"/>
    <w:rsid w:val="006220EC"/>
    <w:rsid w:val="00622160"/>
    <w:rsid w:val="00622162"/>
    <w:rsid w:val="006221F1"/>
    <w:rsid w:val="00622237"/>
    <w:rsid w:val="0062224B"/>
    <w:rsid w:val="0062244C"/>
    <w:rsid w:val="00622590"/>
    <w:rsid w:val="0062259E"/>
    <w:rsid w:val="006226D1"/>
    <w:rsid w:val="00622763"/>
    <w:rsid w:val="0062276D"/>
    <w:rsid w:val="0062279D"/>
    <w:rsid w:val="006227A1"/>
    <w:rsid w:val="0062282E"/>
    <w:rsid w:val="006228C9"/>
    <w:rsid w:val="00622912"/>
    <w:rsid w:val="0062296E"/>
    <w:rsid w:val="006229C3"/>
    <w:rsid w:val="006229D7"/>
    <w:rsid w:val="006229F8"/>
    <w:rsid w:val="00622A11"/>
    <w:rsid w:val="00622AF5"/>
    <w:rsid w:val="00622BB9"/>
    <w:rsid w:val="00622BD3"/>
    <w:rsid w:val="00622C0B"/>
    <w:rsid w:val="00622D1D"/>
    <w:rsid w:val="00622D41"/>
    <w:rsid w:val="00622DE1"/>
    <w:rsid w:val="00622E83"/>
    <w:rsid w:val="00622EB4"/>
    <w:rsid w:val="0062307A"/>
    <w:rsid w:val="006230FA"/>
    <w:rsid w:val="0062310B"/>
    <w:rsid w:val="0062310C"/>
    <w:rsid w:val="0062326D"/>
    <w:rsid w:val="006233B7"/>
    <w:rsid w:val="006233C9"/>
    <w:rsid w:val="006234BB"/>
    <w:rsid w:val="0062369A"/>
    <w:rsid w:val="00623763"/>
    <w:rsid w:val="0062387B"/>
    <w:rsid w:val="006239A8"/>
    <w:rsid w:val="006239B3"/>
    <w:rsid w:val="006239D3"/>
    <w:rsid w:val="006239FE"/>
    <w:rsid w:val="00623A16"/>
    <w:rsid w:val="00623ABA"/>
    <w:rsid w:val="00623AEF"/>
    <w:rsid w:val="00623AFB"/>
    <w:rsid w:val="00623BBA"/>
    <w:rsid w:val="00623DB3"/>
    <w:rsid w:val="00623E2A"/>
    <w:rsid w:val="00623F61"/>
    <w:rsid w:val="00623F82"/>
    <w:rsid w:val="00623F95"/>
    <w:rsid w:val="00623FD8"/>
    <w:rsid w:val="00624001"/>
    <w:rsid w:val="006240C4"/>
    <w:rsid w:val="00624154"/>
    <w:rsid w:val="00624223"/>
    <w:rsid w:val="0062423F"/>
    <w:rsid w:val="006242A2"/>
    <w:rsid w:val="0062431D"/>
    <w:rsid w:val="006243F2"/>
    <w:rsid w:val="00624413"/>
    <w:rsid w:val="006244ED"/>
    <w:rsid w:val="00624514"/>
    <w:rsid w:val="00624697"/>
    <w:rsid w:val="00624765"/>
    <w:rsid w:val="00624940"/>
    <w:rsid w:val="006249E5"/>
    <w:rsid w:val="00624AF1"/>
    <w:rsid w:val="00624B04"/>
    <w:rsid w:val="00624B1D"/>
    <w:rsid w:val="00624CEE"/>
    <w:rsid w:val="00624D00"/>
    <w:rsid w:val="00624D1D"/>
    <w:rsid w:val="00624E0C"/>
    <w:rsid w:val="00624F24"/>
    <w:rsid w:val="00624F68"/>
    <w:rsid w:val="006250C8"/>
    <w:rsid w:val="006251B9"/>
    <w:rsid w:val="006251CD"/>
    <w:rsid w:val="00625375"/>
    <w:rsid w:val="006253D1"/>
    <w:rsid w:val="006254EE"/>
    <w:rsid w:val="0062556B"/>
    <w:rsid w:val="0062568D"/>
    <w:rsid w:val="006256BA"/>
    <w:rsid w:val="0062573A"/>
    <w:rsid w:val="00625885"/>
    <w:rsid w:val="006258A5"/>
    <w:rsid w:val="00625952"/>
    <w:rsid w:val="00625BA6"/>
    <w:rsid w:val="00625CBF"/>
    <w:rsid w:val="00625CC7"/>
    <w:rsid w:val="00625DA7"/>
    <w:rsid w:val="00625DC0"/>
    <w:rsid w:val="00625DD6"/>
    <w:rsid w:val="00625FC1"/>
    <w:rsid w:val="0062606B"/>
    <w:rsid w:val="006260B4"/>
    <w:rsid w:val="006260CC"/>
    <w:rsid w:val="006260EC"/>
    <w:rsid w:val="00626171"/>
    <w:rsid w:val="006262DD"/>
    <w:rsid w:val="00626378"/>
    <w:rsid w:val="0062646D"/>
    <w:rsid w:val="00626494"/>
    <w:rsid w:val="006264F1"/>
    <w:rsid w:val="00626681"/>
    <w:rsid w:val="006266A6"/>
    <w:rsid w:val="006266C4"/>
    <w:rsid w:val="00626791"/>
    <w:rsid w:val="0062689F"/>
    <w:rsid w:val="00626957"/>
    <w:rsid w:val="006269A2"/>
    <w:rsid w:val="00626A1D"/>
    <w:rsid w:val="00626B86"/>
    <w:rsid w:val="00626CFD"/>
    <w:rsid w:val="00626D37"/>
    <w:rsid w:val="00626D52"/>
    <w:rsid w:val="00626E1A"/>
    <w:rsid w:val="00626E9B"/>
    <w:rsid w:val="00626EAB"/>
    <w:rsid w:val="00626F7E"/>
    <w:rsid w:val="00626FD3"/>
    <w:rsid w:val="00627156"/>
    <w:rsid w:val="006272CC"/>
    <w:rsid w:val="00627308"/>
    <w:rsid w:val="0062735D"/>
    <w:rsid w:val="006273B0"/>
    <w:rsid w:val="0062743C"/>
    <w:rsid w:val="0062756E"/>
    <w:rsid w:val="00627574"/>
    <w:rsid w:val="006275F4"/>
    <w:rsid w:val="0062767B"/>
    <w:rsid w:val="0062776F"/>
    <w:rsid w:val="00627802"/>
    <w:rsid w:val="00627810"/>
    <w:rsid w:val="006278A8"/>
    <w:rsid w:val="006278AD"/>
    <w:rsid w:val="00627939"/>
    <w:rsid w:val="00627A0A"/>
    <w:rsid w:val="00627A66"/>
    <w:rsid w:val="00627AF1"/>
    <w:rsid w:val="00627B31"/>
    <w:rsid w:val="00627BAF"/>
    <w:rsid w:val="00627C6F"/>
    <w:rsid w:val="00627D1D"/>
    <w:rsid w:val="00627D58"/>
    <w:rsid w:val="00627DDE"/>
    <w:rsid w:val="00627E5A"/>
    <w:rsid w:val="00627E94"/>
    <w:rsid w:val="00627EA2"/>
    <w:rsid w:val="00627EAB"/>
    <w:rsid w:val="006300E5"/>
    <w:rsid w:val="006301EB"/>
    <w:rsid w:val="00630258"/>
    <w:rsid w:val="00630462"/>
    <w:rsid w:val="00630487"/>
    <w:rsid w:val="00630554"/>
    <w:rsid w:val="006305CE"/>
    <w:rsid w:val="0063066D"/>
    <w:rsid w:val="0063075A"/>
    <w:rsid w:val="006307CF"/>
    <w:rsid w:val="006307EB"/>
    <w:rsid w:val="0063099A"/>
    <w:rsid w:val="006309F0"/>
    <w:rsid w:val="00630A7A"/>
    <w:rsid w:val="00630AAD"/>
    <w:rsid w:val="00630BC7"/>
    <w:rsid w:val="00630BCA"/>
    <w:rsid w:val="00630C1E"/>
    <w:rsid w:val="00630D41"/>
    <w:rsid w:val="00630D66"/>
    <w:rsid w:val="00630F2D"/>
    <w:rsid w:val="00630F37"/>
    <w:rsid w:val="00630F62"/>
    <w:rsid w:val="00631132"/>
    <w:rsid w:val="00631154"/>
    <w:rsid w:val="0063124C"/>
    <w:rsid w:val="00631288"/>
    <w:rsid w:val="006312FF"/>
    <w:rsid w:val="0063149A"/>
    <w:rsid w:val="006314CD"/>
    <w:rsid w:val="006314EE"/>
    <w:rsid w:val="00631656"/>
    <w:rsid w:val="006316CC"/>
    <w:rsid w:val="00631700"/>
    <w:rsid w:val="00631798"/>
    <w:rsid w:val="006317FA"/>
    <w:rsid w:val="0063189C"/>
    <w:rsid w:val="0063198E"/>
    <w:rsid w:val="00631B00"/>
    <w:rsid w:val="00631B06"/>
    <w:rsid w:val="00631B62"/>
    <w:rsid w:val="00631B90"/>
    <w:rsid w:val="00631BEC"/>
    <w:rsid w:val="00631C1C"/>
    <w:rsid w:val="00631D9D"/>
    <w:rsid w:val="00631DC0"/>
    <w:rsid w:val="00631DC7"/>
    <w:rsid w:val="00631DEC"/>
    <w:rsid w:val="00631EE5"/>
    <w:rsid w:val="00632031"/>
    <w:rsid w:val="00632052"/>
    <w:rsid w:val="0063209F"/>
    <w:rsid w:val="0063211C"/>
    <w:rsid w:val="00632149"/>
    <w:rsid w:val="006321E9"/>
    <w:rsid w:val="00632275"/>
    <w:rsid w:val="0063232E"/>
    <w:rsid w:val="006324EF"/>
    <w:rsid w:val="006324FC"/>
    <w:rsid w:val="0063250C"/>
    <w:rsid w:val="006325C8"/>
    <w:rsid w:val="00632610"/>
    <w:rsid w:val="00632631"/>
    <w:rsid w:val="00632654"/>
    <w:rsid w:val="006326AE"/>
    <w:rsid w:val="006326E6"/>
    <w:rsid w:val="006326EC"/>
    <w:rsid w:val="006327A6"/>
    <w:rsid w:val="006327EC"/>
    <w:rsid w:val="00632829"/>
    <w:rsid w:val="0063294D"/>
    <w:rsid w:val="00632972"/>
    <w:rsid w:val="00632A71"/>
    <w:rsid w:val="00632B50"/>
    <w:rsid w:val="00632BF3"/>
    <w:rsid w:val="00632CA3"/>
    <w:rsid w:val="00632DBE"/>
    <w:rsid w:val="00632E89"/>
    <w:rsid w:val="00632F03"/>
    <w:rsid w:val="00633010"/>
    <w:rsid w:val="00633076"/>
    <w:rsid w:val="00633089"/>
    <w:rsid w:val="006330BD"/>
    <w:rsid w:val="006331AE"/>
    <w:rsid w:val="00633201"/>
    <w:rsid w:val="00633288"/>
    <w:rsid w:val="0063334B"/>
    <w:rsid w:val="00633366"/>
    <w:rsid w:val="0063346C"/>
    <w:rsid w:val="006334E7"/>
    <w:rsid w:val="0063359F"/>
    <w:rsid w:val="006336E7"/>
    <w:rsid w:val="00633796"/>
    <w:rsid w:val="00633842"/>
    <w:rsid w:val="00633899"/>
    <w:rsid w:val="0063390D"/>
    <w:rsid w:val="006339D4"/>
    <w:rsid w:val="006339FC"/>
    <w:rsid w:val="00633A9D"/>
    <w:rsid w:val="00633B3B"/>
    <w:rsid w:val="00633B51"/>
    <w:rsid w:val="00633B57"/>
    <w:rsid w:val="00633BE0"/>
    <w:rsid w:val="00633BE5"/>
    <w:rsid w:val="00633C33"/>
    <w:rsid w:val="00633CC2"/>
    <w:rsid w:val="00633DF1"/>
    <w:rsid w:val="00633E40"/>
    <w:rsid w:val="00633ECE"/>
    <w:rsid w:val="00633F1B"/>
    <w:rsid w:val="00633FA7"/>
    <w:rsid w:val="00633FAB"/>
    <w:rsid w:val="00634018"/>
    <w:rsid w:val="00634089"/>
    <w:rsid w:val="00634102"/>
    <w:rsid w:val="00634268"/>
    <w:rsid w:val="0063431F"/>
    <w:rsid w:val="0063434D"/>
    <w:rsid w:val="006343AA"/>
    <w:rsid w:val="006344CE"/>
    <w:rsid w:val="0063453B"/>
    <w:rsid w:val="006345D1"/>
    <w:rsid w:val="00634650"/>
    <w:rsid w:val="0063469B"/>
    <w:rsid w:val="00634785"/>
    <w:rsid w:val="00634868"/>
    <w:rsid w:val="00634969"/>
    <w:rsid w:val="006349CB"/>
    <w:rsid w:val="006349DA"/>
    <w:rsid w:val="00634A12"/>
    <w:rsid w:val="00634A81"/>
    <w:rsid w:val="00634B9D"/>
    <w:rsid w:val="00634C48"/>
    <w:rsid w:val="00634DCE"/>
    <w:rsid w:val="00634E20"/>
    <w:rsid w:val="00634EFD"/>
    <w:rsid w:val="0063509B"/>
    <w:rsid w:val="00635104"/>
    <w:rsid w:val="0063516E"/>
    <w:rsid w:val="006352C1"/>
    <w:rsid w:val="006355B9"/>
    <w:rsid w:val="00635774"/>
    <w:rsid w:val="00635796"/>
    <w:rsid w:val="006357FC"/>
    <w:rsid w:val="006358EB"/>
    <w:rsid w:val="006359D4"/>
    <w:rsid w:val="00635AE9"/>
    <w:rsid w:val="00635B01"/>
    <w:rsid w:val="00635B5C"/>
    <w:rsid w:val="00635C31"/>
    <w:rsid w:val="00635C84"/>
    <w:rsid w:val="00635C8D"/>
    <w:rsid w:val="00635C99"/>
    <w:rsid w:val="00635DBA"/>
    <w:rsid w:val="00635E95"/>
    <w:rsid w:val="00635F26"/>
    <w:rsid w:val="00635FDF"/>
    <w:rsid w:val="006361F8"/>
    <w:rsid w:val="00636366"/>
    <w:rsid w:val="00636392"/>
    <w:rsid w:val="006363F1"/>
    <w:rsid w:val="00636405"/>
    <w:rsid w:val="0063669F"/>
    <w:rsid w:val="00636979"/>
    <w:rsid w:val="006369C6"/>
    <w:rsid w:val="00636A2E"/>
    <w:rsid w:val="00636B03"/>
    <w:rsid w:val="00636B9B"/>
    <w:rsid w:val="00636BE1"/>
    <w:rsid w:val="00636CBB"/>
    <w:rsid w:val="00636CDF"/>
    <w:rsid w:val="00636CFC"/>
    <w:rsid w:val="00636D99"/>
    <w:rsid w:val="00636E9C"/>
    <w:rsid w:val="00636EAA"/>
    <w:rsid w:val="00636ED7"/>
    <w:rsid w:val="00636F63"/>
    <w:rsid w:val="00637085"/>
    <w:rsid w:val="006371D9"/>
    <w:rsid w:val="006371E3"/>
    <w:rsid w:val="00637247"/>
    <w:rsid w:val="006372B3"/>
    <w:rsid w:val="00637312"/>
    <w:rsid w:val="00637470"/>
    <w:rsid w:val="00637504"/>
    <w:rsid w:val="00637538"/>
    <w:rsid w:val="006375AD"/>
    <w:rsid w:val="00637678"/>
    <w:rsid w:val="00637713"/>
    <w:rsid w:val="006377CC"/>
    <w:rsid w:val="00637A17"/>
    <w:rsid w:val="00637A1F"/>
    <w:rsid w:val="00637B59"/>
    <w:rsid w:val="00637C54"/>
    <w:rsid w:val="00637CE5"/>
    <w:rsid w:val="00637CEC"/>
    <w:rsid w:val="00637CFA"/>
    <w:rsid w:val="00637D20"/>
    <w:rsid w:val="00637D81"/>
    <w:rsid w:val="00637DBD"/>
    <w:rsid w:val="00637E0A"/>
    <w:rsid w:val="00637E72"/>
    <w:rsid w:val="00640016"/>
    <w:rsid w:val="006400D0"/>
    <w:rsid w:val="00640150"/>
    <w:rsid w:val="006401DF"/>
    <w:rsid w:val="006402B9"/>
    <w:rsid w:val="00640344"/>
    <w:rsid w:val="0064034D"/>
    <w:rsid w:val="00640356"/>
    <w:rsid w:val="00640369"/>
    <w:rsid w:val="006403BB"/>
    <w:rsid w:val="006403EA"/>
    <w:rsid w:val="00640469"/>
    <w:rsid w:val="00640525"/>
    <w:rsid w:val="0064066B"/>
    <w:rsid w:val="0064069B"/>
    <w:rsid w:val="006408F7"/>
    <w:rsid w:val="00640900"/>
    <w:rsid w:val="00640A1B"/>
    <w:rsid w:val="00640AE7"/>
    <w:rsid w:val="00640B91"/>
    <w:rsid w:val="00640BD8"/>
    <w:rsid w:val="00640EB2"/>
    <w:rsid w:val="00640F38"/>
    <w:rsid w:val="006410C6"/>
    <w:rsid w:val="00641127"/>
    <w:rsid w:val="0064113F"/>
    <w:rsid w:val="00641142"/>
    <w:rsid w:val="00641194"/>
    <w:rsid w:val="006411B8"/>
    <w:rsid w:val="0064128E"/>
    <w:rsid w:val="0064137B"/>
    <w:rsid w:val="0064144C"/>
    <w:rsid w:val="00641543"/>
    <w:rsid w:val="006415D0"/>
    <w:rsid w:val="006415F8"/>
    <w:rsid w:val="006416E1"/>
    <w:rsid w:val="006416F2"/>
    <w:rsid w:val="006417A6"/>
    <w:rsid w:val="006417AB"/>
    <w:rsid w:val="00641828"/>
    <w:rsid w:val="0064183E"/>
    <w:rsid w:val="006418B0"/>
    <w:rsid w:val="006418B1"/>
    <w:rsid w:val="00641A79"/>
    <w:rsid w:val="00641AB9"/>
    <w:rsid w:val="00641ABB"/>
    <w:rsid w:val="00641AC9"/>
    <w:rsid w:val="00641B06"/>
    <w:rsid w:val="00641D22"/>
    <w:rsid w:val="006420DA"/>
    <w:rsid w:val="0064216B"/>
    <w:rsid w:val="006422F2"/>
    <w:rsid w:val="00642369"/>
    <w:rsid w:val="00642398"/>
    <w:rsid w:val="00642400"/>
    <w:rsid w:val="006424B0"/>
    <w:rsid w:val="0064261F"/>
    <w:rsid w:val="006426F9"/>
    <w:rsid w:val="0064288C"/>
    <w:rsid w:val="006429D6"/>
    <w:rsid w:val="006429EC"/>
    <w:rsid w:val="006429FE"/>
    <w:rsid w:val="00642A3E"/>
    <w:rsid w:val="00642A63"/>
    <w:rsid w:val="00642B15"/>
    <w:rsid w:val="00642BBF"/>
    <w:rsid w:val="00642CF7"/>
    <w:rsid w:val="00642D2F"/>
    <w:rsid w:val="00642D4F"/>
    <w:rsid w:val="00642E26"/>
    <w:rsid w:val="00642E9F"/>
    <w:rsid w:val="00642F41"/>
    <w:rsid w:val="00642F6C"/>
    <w:rsid w:val="00642FD3"/>
    <w:rsid w:val="00643019"/>
    <w:rsid w:val="006430C7"/>
    <w:rsid w:val="00643118"/>
    <w:rsid w:val="00643156"/>
    <w:rsid w:val="006431D1"/>
    <w:rsid w:val="006431F4"/>
    <w:rsid w:val="00643252"/>
    <w:rsid w:val="00643304"/>
    <w:rsid w:val="0064331E"/>
    <w:rsid w:val="00643323"/>
    <w:rsid w:val="0064336F"/>
    <w:rsid w:val="0064345D"/>
    <w:rsid w:val="006434F3"/>
    <w:rsid w:val="00643559"/>
    <w:rsid w:val="006435F6"/>
    <w:rsid w:val="006436EE"/>
    <w:rsid w:val="006436F7"/>
    <w:rsid w:val="0064377A"/>
    <w:rsid w:val="0064388D"/>
    <w:rsid w:val="006438D8"/>
    <w:rsid w:val="00643941"/>
    <w:rsid w:val="00643A43"/>
    <w:rsid w:val="00643A74"/>
    <w:rsid w:val="00643AE2"/>
    <w:rsid w:val="00643B7B"/>
    <w:rsid w:val="00643BA0"/>
    <w:rsid w:val="00643BB4"/>
    <w:rsid w:val="00643BEE"/>
    <w:rsid w:val="00643CDB"/>
    <w:rsid w:val="00643D00"/>
    <w:rsid w:val="00643E10"/>
    <w:rsid w:val="00643E1E"/>
    <w:rsid w:val="00643E88"/>
    <w:rsid w:val="00644064"/>
    <w:rsid w:val="0064409C"/>
    <w:rsid w:val="006441F4"/>
    <w:rsid w:val="00644201"/>
    <w:rsid w:val="00644224"/>
    <w:rsid w:val="00644271"/>
    <w:rsid w:val="006442CB"/>
    <w:rsid w:val="0064436D"/>
    <w:rsid w:val="0064437A"/>
    <w:rsid w:val="00644421"/>
    <w:rsid w:val="0064444C"/>
    <w:rsid w:val="00644467"/>
    <w:rsid w:val="006444D6"/>
    <w:rsid w:val="00644521"/>
    <w:rsid w:val="00644641"/>
    <w:rsid w:val="00644665"/>
    <w:rsid w:val="006446C0"/>
    <w:rsid w:val="006446CD"/>
    <w:rsid w:val="00644740"/>
    <w:rsid w:val="00644984"/>
    <w:rsid w:val="00644A15"/>
    <w:rsid w:val="00644A5E"/>
    <w:rsid w:val="00644C51"/>
    <w:rsid w:val="00644D6D"/>
    <w:rsid w:val="00644E65"/>
    <w:rsid w:val="00644E8E"/>
    <w:rsid w:val="00644FAE"/>
    <w:rsid w:val="00645086"/>
    <w:rsid w:val="0064516E"/>
    <w:rsid w:val="0064522F"/>
    <w:rsid w:val="00645494"/>
    <w:rsid w:val="00645562"/>
    <w:rsid w:val="00645681"/>
    <w:rsid w:val="006456F6"/>
    <w:rsid w:val="0064571C"/>
    <w:rsid w:val="006457F7"/>
    <w:rsid w:val="006458AE"/>
    <w:rsid w:val="00645934"/>
    <w:rsid w:val="006459CB"/>
    <w:rsid w:val="00645C61"/>
    <w:rsid w:val="00645C6E"/>
    <w:rsid w:val="00645DB9"/>
    <w:rsid w:val="00645DCD"/>
    <w:rsid w:val="00645DF4"/>
    <w:rsid w:val="00645E88"/>
    <w:rsid w:val="00645F42"/>
    <w:rsid w:val="00646007"/>
    <w:rsid w:val="00646015"/>
    <w:rsid w:val="0064607F"/>
    <w:rsid w:val="00646115"/>
    <w:rsid w:val="006461EA"/>
    <w:rsid w:val="006461EE"/>
    <w:rsid w:val="0064636C"/>
    <w:rsid w:val="0064644E"/>
    <w:rsid w:val="00646468"/>
    <w:rsid w:val="0064647B"/>
    <w:rsid w:val="006465B4"/>
    <w:rsid w:val="006465FE"/>
    <w:rsid w:val="006466F4"/>
    <w:rsid w:val="00646840"/>
    <w:rsid w:val="006468FE"/>
    <w:rsid w:val="00646970"/>
    <w:rsid w:val="00646A30"/>
    <w:rsid w:val="00646A42"/>
    <w:rsid w:val="00646AA7"/>
    <w:rsid w:val="00646B77"/>
    <w:rsid w:val="00646BBA"/>
    <w:rsid w:val="00646D66"/>
    <w:rsid w:val="00646DCA"/>
    <w:rsid w:val="00646DEE"/>
    <w:rsid w:val="00646E49"/>
    <w:rsid w:val="00646E7A"/>
    <w:rsid w:val="00646EE5"/>
    <w:rsid w:val="00646EF1"/>
    <w:rsid w:val="00646F87"/>
    <w:rsid w:val="00647068"/>
    <w:rsid w:val="0064707B"/>
    <w:rsid w:val="0064714F"/>
    <w:rsid w:val="006472E2"/>
    <w:rsid w:val="00647318"/>
    <w:rsid w:val="0064732D"/>
    <w:rsid w:val="00647347"/>
    <w:rsid w:val="0064746E"/>
    <w:rsid w:val="0064754E"/>
    <w:rsid w:val="0064757C"/>
    <w:rsid w:val="006475AE"/>
    <w:rsid w:val="0064762F"/>
    <w:rsid w:val="00647681"/>
    <w:rsid w:val="006476FC"/>
    <w:rsid w:val="006477F7"/>
    <w:rsid w:val="00647823"/>
    <w:rsid w:val="0064783E"/>
    <w:rsid w:val="00647884"/>
    <w:rsid w:val="00647930"/>
    <w:rsid w:val="00647A60"/>
    <w:rsid w:val="00647A68"/>
    <w:rsid w:val="00647BFC"/>
    <w:rsid w:val="00647D3B"/>
    <w:rsid w:val="00647ED7"/>
    <w:rsid w:val="00647FFE"/>
    <w:rsid w:val="00650055"/>
    <w:rsid w:val="00650079"/>
    <w:rsid w:val="00650184"/>
    <w:rsid w:val="006501DD"/>
    <w:rsid w:val="006504EA"/>
    <w:rsid w:val="0065050C"/>
    <w:rsid w:val="00650571"/>
    <w:rsid w:val="0065064A"/>
    <w:rsid w:val="006506D7"/>
    <w:rsid w:val="00650714"/>
    <w:rsid w:val="00650766"/>
    <w:rsid w:val="00650845"/>
    <w:rsid w:val="006508AE"/>
    <w:rsid w:val="00650A3B"/>
    <w:rsid w:val="00650A58"/>
    <w:rsid w:val="00650B16"/>
    <w:rsid w:val="00650B31"/>
    <w:rsid w:val="00650B61"/>
    <w:rsid w:val="00650C7D"/>
    <w:rsid w:val="00650CBE"/>
    <w:rsid w:val="00650D00"/>
    <w:rsid w:val="00650E89"/>
    <w:rsid w:val="00650EB5"/>
    <w:rsid w:val="00650ED0"/>
    <w:rsid w:val="00650F51"/>
    <w:rsid w:val="00650FF7"/>
    <w:rsid w:val="006510B5"/>
    <w:rsid w:val="006510BF"/>
    <w:rsid w:val="006510D4"/>
    <w:rsid w:val="00651264"/>
    <w:rsid w:val="00651288"/>
    <w:rsid w:val="00651291"/>
    <w:rsid w:val="00651346"/>
    <w:rsid w:val="00651449"/>
    <w:rsid w:val="0065157A"/>
    <w:rsid w:val="006515EF"/>
    <w:rsid w:val="006515FB"/>
    <w:rsid w:val="00651626"/>
    <w:rsid w:val="00651696"/>
    <w:rsid w:val="006517DE"/>
    <w:rsid w:val="00651945"/>
    <w:rsid w:val="00651A5D"/>
    <w:rsid w:val="00651AE2"/>
    <w:rsid w:val="00651B20"/>
    <w:rsid w:val="00651B65"/>
    <w:rsid w:val="00651B9F"/>
    <w:rsid w:val="00651BF2"/>
    <w:rsid w:val="00651C02"/>
    <w:rsid w:val="00651DC5"/>
    <w:rsid w:val="00651E22"/>
    <w:rsid w:val="00651E2E"/>
    <w:rsid w:val="00651E45"/>
    <w:rsid w:val="00651EA5"/>
    <w:rsid w:val="00651F79"/>
    <w:rsid w:val="00651F84"/>
    <w:rsid w:val="00651FA8"/>
    <w:rsid w:val="00652048"/>
    <w:rsid w:val="006520A2"/>
    <w:rsid w:val="006520E8"/>
    <w:rsid w:val="006520F2"/>
    <w:rsid w:val="006521B0"/>
    <w:rsid w:val="0065223A"/>
    <w:rsid w:val="006522B0"/>
    <w:rsid w:val="00652443"/>
    <w:rsid w:val="00652465"/>
    <w:rsid w:val="00652490"/>
    <w:rsid w:val="006525A2"/>
    <w:rsid w:val="006525B4"/>
    <w:rsid w:val="006525EE"/>
    <w:rsid w:val="00652608"/>
    <w:rsid w:val="006528A9"/>
    <w:rsid w:val="00652921"/>
    <w:rsid w:val="006529E1"/>
    <w:rsid w:val="00652ADF"/>
    <w:rsid w:val="00652B0A"/>
    <w:rsid w:val="00652B24"/>
    <w:rsid w:val="00652B4E"/>
    <w:rsid w:val="00652B82"/>
    <w:rsid w:val="00652C64"/>
    <w:rsid w:val="00652C9E"/>
    <w:rsid w:val="00652E22"/>
    <w:rsid w:val="00652E5F"/>
    <w:rsid w:val="00652F76"/>
    <w:rsid w:val="00652FA2"/>
    <w:rsid w:val="00653056"/>
    <w:rsid w:val="00653078"/>
    <w:rsid w:val="006531AA"/>
    <w:rsid w:val="006532B1"/>
    <w:rsid w:val="0065345E"/>
    <w:rsid w:val="00653470"/>
    <w:rsid w:val="006534D3"/>
    <w:rsid w:val="0065354A"/>
    <w:rsid w:val="006536F7"/>
    <w:rsid w:val="00653856"/>
    <w:rsid w:val="006538B7"/>
    <w:rsid w:val="006538E8"/>
    <w:rsid w:val="00653958"/>
    <w:rsid w:val="006539E8"/>
    <w:rsid w:val="00653AAB"/>
    <w:rsid w:val="00653C0B"/>
    <w:rsid w:val="00653D58"/>
    <w:rsid w:val="00653EA4"/>
    <w:rsid w:val="0065413B"/>
    <w:rsid w:val="00654169"/>
    <w:rsid w:val="00654201"/>
    <w:rsid w:val="00654225"/>
    <w:rsid w:val="0065424B"/>
    <w:rsid w:val="0065424F"/>
    <w:rsid w:val="00654372"/>
    <w:rsid w:val="00654495"/>
    <w:rsid w:val="006544B0"/>
    <w:rsid w:val="00654562"/>
    <w:rsid w:val="00654597"/>
    <w:rsid w:val="00654598"/>
    <w:rsid w:val="0065460C"/>
    <w:rsid w:val="006546D7"/>
    <w:rsid w:val="00654874"/>
    <w:rsid w:val="00654880"/>
    <w:rsid w:val="00654899"/>
    <w:rsid w:val="00654933"/>
    <w:rsid w:val="006549BB"/>
    <w:rsid w:val="006549BD"/>
    <w:rsid w:val="006549CE"/>
    <w:rsid w:val="00654A40"/>
    <w:rsid w:val="00654A6D"/>
    <w:rsid w:val="00654A75"/>
    <w:rsid w:val="00654BDE"/>
    <w:rsid w:val="00654C2E"/>
    <w:rsid w:val="00654C45"/>
    <w:rsid w:val="00654C4F"/>
    <w:rsid w:val="00654CBF"/>
    <w:rsid w:val="00654D4B"/>
    <w:rsid w:val="00654DAF"/>
    <w:rsid w:val="00654EE1"/>
    <w:rsid w:val="00654F65"/>
    <w:rsid w:val="00654FE7"/>
    <w:rsid w:val="00655122"/>
    <w:rsid w:val="0065518A"/>
    <w:rsid w:val="006552E3"/>
    <w:rsid w:val="00655390"/>
    <w:rsid w:val="00655419"/>
    <w:rsid w:val="00655445"/>
    <w:rsid w:val="0065547F"/>
    <w:rsid w:val="00655482"/>
    <w:rsid w:val="006554FD"/>
    <w:rsid w:val="00655573"/>
    <w:rsid w:val="006555DF"/>
    <w:rsid w:val="006555F7"/>
    <w:rsid w:val="0065562F"/>
    <w:rsid w:val="006557C6"/>
    <w:rsid w:val="00655805"/>
    <w:rsid w:val="00655820"/>
    <w:rsid w:val="006559DA"/>
    <w:rsid w:val="00655BB7"/>
    <w:rsid w:val="00655C03"/>
    <w:rsid w:val="00655CFC"/>
    <w:rsid w:val="00655D52"/>
    <w:rsid w:val="00655DC6"/>
    <w:rsid w:val="00655E0F"/>
    <w:rsid w:val="00655E2C"/>
    <w:rsid w:val="00655F21"/>
    <w:rsid w:val="00655F39"/>
    <w:rsid w:val="00655F4E"/>
    <w:rsid w:val="00655F75"/>
    <w:rsid w:val="00655FB0"/>
    <w:rsid w:val="0065602A"/>
    <w:rsid w:val="0065603B"/>
    <w:rsid w:val="006560CD"/>
    <w:rsid w:val="006560D3"/>
    <w:rsid w:val="006561ED"/>
    <w:rsid w:val="0065629B"/>
    <w:rsid w:val="00656324"/>
    <w:rsid w:val="00656462"/>
    <w:rsid w:val="00656505"/>
    <w:rsid w:val="00656595"/>
    <w:rsid w:val="0065662F"/>
    <w:rsid w:val="006566BD"/>
    <w:rsid w:val="0065677D"/>
    <w:rsid w:val="00656781"/>
    <w:rsid w:val="006567A7"/>
    <w:rsid w:val="006568FF"/>
    <w:rsid w:val="00656963"/>
    <w:rsid w:val="00656A8E"/>
    <w:rsid w:val="00656B7B"/>
    <w:rsid w:val="00656C3F"/>
    <w:rsid w:val="00656C6F"/>
    <w:rsid w:val="00656C79"/>
    <w:rsid w:val="00656C86"/>
    <w:rsid w:val="00656D8F"/>
    <w:rsid w:val="00656E69"/>
    <w:rsid w:val="00656FE8"/>
    <w:rsid w:val="00657231"/>
    <w:rsid w:val="00657295"/>
    <w:rsid w:val="006573BE"/>
    <w:rsid w:val="00657458"/>
    <w:rsid w:val="006574D7"/>
    <w:rsid w:val="006575F1"/>
    <w:rsid w:val="006576A5"/>
    <w:rsid w:val="006576F5"/>
    <w:rsid w:val="00657844"/>
    <w:rsid w:val="00657925"/>
    <w:rsid w:val="00657969"/>
    <w:rsid w:val="00657A26"/>
    <w:rsid w:val="00657A9A"/>
    <w:rsid w:val="00657CB7"/>
    <w:rsid w:val="00657EB9"/>
    <w:rsid w:val="00657F57"/>
    <w:rsid w:val="00657FC3"/>
    <w:rsid w:val="006600B7"/>
    <w:rsid w:val="006601B9"/>
    <w:rsid w:val="006601FD"/>
    <w:rsid w:val="006602FF"/>
    <w:rsid w:val="00660326"/>
    <w:rsid w:val="00660347"/>
    <w:rsid w:val="0066034F"/>
    <w:rsid w:val="00660360"/>
    <w:rsid w:val="00660384"/>
    <w:rsid w:val="0066049B"/>
    <w:rsid w:val="00660593"/>
    <w:rsid w:val="006605DB"/>
    <w:rsid w:val="006606C1"/>
    <w:rsid w:val="006607A1"/>
    <w:rsid w:val="00660857"/>
    <w:rsid w:val="00660930"/>
    <w:rsid w:val="00660A10"/>
    <w:rsid w:val="00660A8D"/>
    <w:rsid w:val="00660B98"/>
    <w:rsid w:val="00660BAE"/>
    <w:rsid w:val="00660E54"/>
    <w:rsid w:val="00660FAF"/>
    <w:rsid w:val="00660FCE"/>
    <w:rsid w:val="00660FDA"/>
    <w:rsid w:val="0066103B"/>
    <w:rsid w:val="00661281"/>
    <w:rsid w:val="006615FF"/>
    <w:rsid w:val="0066165D"/>
    <w:rsid w:val="00661748"/>
    <w:rsid w:val="00661770"/>
    <w:rsid w:val="00661799"/>
    <w:rsid w:val="006617A9"/>
    <w:rsid w:val="006617B8"/>
    <w:rsid w:val="006618C7"/>
    <w:rsid w:val="00661970"/>
    <w:rsid w:val="00661A22"/>
    <w:rsid w:val="00661A6F"/>
    <w:rsid w:val="00661AB2"/>
    <w:rsid w:val="00661B1E"/>
    <w:rsid w:val="00661B72"/>
    <w:rsid w:val="00661B91"/>
    <w:rsid w:val="00661C22"/>
    <w:rsid w:val="00661C55"/>
    <w:rsid w:val="00661C84"/>
    <w:rsid w:val="00661C88"/>
    <w:rsid w:val="00661D72"/>
    <w:rsid w:val="00662019"/>
    <w:rsid w:val="00662039"/>
    <w:rsid w:val="006621DB"/>
    <w:rsid w:val="006621FC"/>
    <w:rsid w:val="006622B2"/>
    <w:rsid w:val="00662442"/>
    <w:rsid w:val="00662532"/>
    <w:rsid w:val="006625E5"/>
    <w:rsid w:val="006626E8"/>
    <w:rsid w:val="006627D2"/>
    <w:rsid w:val="0066291E"/>
    <w:rsid w:val="00662959"/>
    <w:rsid w:val="006629FF"/>
    <w:rsid w:val="00662A06"/>
    <w:rsid w:val="00662A4F"/>
    <w:rsid w:val="00662AAA"/>
    <w:rsid w:val="00662B6B"/>
    <w:rsid w:val="00662B77"/>
    <w:rsid w:val="00662C26"/>
    <w:rsid w:val="00662CC4"/>
    <w:rsid w:val="00662D8F"/>
    <w:rsid w:val="00662DBF"/>
    <w:rsid w:val="00662E3F"/>
    <w:rsid w:val="00662E92"/>
    <w:rsid w:val="00663001"/>
    <w:rsid w:val="006630E5"/>
    <w:rsid w:val="006631C2"/>
    <w:rsid w:val="0066325D"/>
    <w:rsid w:val="0066328C"/>
    <w:rsid w:val="006632AD"/>
    <w:rsid w:val="006634F5"/>
    <w:rsid w:val="00663563"/>
    <w:rsid w:val="0066359E"/>
    <w:rsid w:val="00663645"/>
    <w:rsid w:val="0066369F"/>
    <w:rsid w:val="006636D4"/>
    <w:rsid w:val="006636DC"/>
    <w:rsid w:val="006636E0"/>
    <w:rsid w:val="0066393C"/>
    <w:rsid w:val="00663A2F"/>
    <w:rsid w:val="00663A5C"/>
    <w:rsid w:val="00663A7E"/>
    <w:rsid w:val="00663A84"/>
    <w:rsid w:val="00663DF6"/>
    <w:rsid w:val="00663DFA"/>
    <w:rsid w:val="00663FA3"/>
    <w:rsid w:val="0066401F"/>
    <w:rsid w:val="006640AF"/>
    <w:rsid w:val="0066411E"/>
    <w:rsid w:val="0066418A"/>
    <w:rsid w:val="0066420C"/>
    <w:rsid w:val="0066437D"/>
    <w:rsid w:val="00664402"/>
    <w:rsid w:val="0066443B"/>
    <w:rsid w:val="006646C9"/>
    <w:rsid w:val="006646FB"/>
    <w:rsid w:val="00664721"/>
    <w:rsid w:val="00664755"/>
    <w:rsid w:val="0066485C"/>
    <w:rsid w:val="006648D3"/>
    <w:rsid w:val="006648EF"/>
    <w:rsid w:val="00664944"/>
    <w:rsid w:val="00664950"/>
    <w:rsid w:val="00664984"/>
    <w:rsid w:val="0066498B"/>
    <w:rsid w:val="00664A36"/>
    <w:rsid w:val="00664B97"/>
    <w:rsid w:val="00664DB7"/>
    <w:rsid w:val="00664ED5"/>
    <w:rsid w:val="00664F5F"/>
    <w:rsid w:val="00665006"/>
    <w:rsid w:val="00665019"/>
    <w:rsid w:val="00665024"/>
    <w:rsid w:val="0066507A"/>
    <w:rsid w:val="0066507B"/>
    <w:rsid w:val="00665244"/>
    <w:rsid w:val="0066529A"/>
    <w:rsid w:val="0066533C"/>
    <w:rsid w:val="00665460"/>
    <w:rsid w:val="006655D3"/>
    <w:rsid w:val="006655E6"/>
    <w:rsid w:val="00665638"/>
    <w:rsid w:val="00665644"/>
    <w:rsid w:val="00665653"/>
    <w:rsid w:val="00665687"/>
    <w:rsid w:val="006656D8"/>
    <w:rsid w:val="00665773"/>
    <w:rsid w:val="006658B9"/>
    <w:rsid w:val="006658D5"/>
    <w:rsid w:val="006658EF"/>
    <w:rsid w:val="0066594C"/>
    <w:rsid w:val="006659DF"/>
    <w:rsid w:val="00665A02"/>
    <w:rsid w:val="00665AE9"/>
    <w:rsid w:val="00665BE9"/>
    <w:rsid w:val="00665C2D"/>
    <w:rsid w:val="00665C80"/>
    <w:rsid w:val="00665CDE"/>
    <w:rsid w:val="00665CFE"/>
    <w:rsid w:val="00665D93"/>
    <w:rsid w:val="00665E46"/>
    <w:rsid w:val="00665E7E"/>
    <w:rsid w:val="00665EDA"/>
    <w:rsid w:val="00665F00"/>
    <w:rsid w:val="00665F06"/>
    <w:rsid w:val="00666040"/>
    <w:rsid w:val="006661D7"/>
    <w:rsid w:val="006661E2"/>
    <w:rsid w:val="00666320"/>
    <w:rsid w:val="00666348"/>
    <w:rsid w:val="006663DE"/>
    <w:rsid w:val="00666475"/>
    <w:rsid w:val="006665B3"/>
    <w:rsid w:val="006666DF"/>
    <w:rsid w:val="00666702"/>
    <w:rsid w:val="0066672C"/>
    <w:rsid w:val="006667AB"/>
    <w:rsid w:val="00666875"/>
    <w:rsid w:val="00666884"/>
    <w:rsid w:val="0066690A"/>
    <w:rsid w:val="006669FB"/>
    <w:rsid w:val="00666A27"/>
    <w:rsid w:val="00666B72"/>
    <w:rsid w:val="00666BAE"/>
    <w:rsid w:val="00666D88"/>
    <w:rsid w:val="00666DD2"/>
    <w:rsid w:val="00666F30"/>
    <w:rsid w:val="00666F48"/>
    <w:rsid w:val="0066702E"/>
    <w:rsid w:val="00667068"/>
    <w:rsid w:val="00667079"/>
    <w:rsid w:val="006670BA"/>
    <w:rsid w:val="00667101"/>
    <w:rsid w:val="00667106"/>
    <w:rsid w:val="00667200"/>
    <w:rsid w:val="006672B6"/>
    <w:rsid w:val="006672D5"/>
    <w:rsid w:val="006673A6"/>
    <w:rsid w:val="00667467"/>
    <w:rsid w:val="00667543"/>
    <w:rsid w:val="006675E3"/>
    <w:rsid w:val="0066767A"/>
    <w:rsid w:val="006676F6"/>
    <w:rsid w:val="0066773F"/>
    <w:rsid w:val="00667817"/>
    <w:rsid w:val="006678CD"/>
    <w:rsid w:val="0066790C"/>
    <w:rsid w:val="0066792E"/>
    <w:rsid w:val="006679BF"/>
    <w:rsid w:val="00667A13"/>
    <w:rsid w:val="00667A50"/>
    <w:rsid w:val="00667A8F"/>
    <w:rsid w:val="00667B59"/>
    <w:rsid w:val="00667B62"/>
    <w:rsid w:val="00667E49"/>
    <w:rsid w:val="00667E6C"/>
    <w:rsid w:val="00667ECE"/>
    <w:rsid w:val="00667F0A"/>
    <w:rsid w:val="00667F37"/>
    <w:rsid w:val="00670100"/>
    <w:rsid w:val="0067017A"/>
    <w:rsid w:val="00670389"/>
    <w:rsid w:val="006704C0"/>
    <w:rsid w:val="00670556"/>
    <w:rsid w:val="00670575"/>
    <w:rsid w:val="00670596"/>
    <w:rsid w:val="0067068C"/>
    <w:rsid w:val="0067072F"/>
    <w:rsid w:val="00670794"/>
    <w:rsid w:val="006707D2"/>
    <w:rsid w:val="00670899"/>
    <w:rsid w:val="00670A04"/>
    <w:rsid w:val="00670A4F"/>
    <w:rsid w:val="00670B76"/>
    <w:rsid w:val="00670B88"/>
    <w:rsid w:val="00670C48"/>
    <w:rsid w:val="00670DC4"/>
    <w:rsid w:val="00670EB6"/>
    <w:rsid w:val="00670FD1"/>
    <w:rsid w:val="00671095"/>
    <w:rsid w:val="00671125"/>
    <w:rsid w:val="00671170"/>
    <w:rsid w:val="006712AF"/>
    <w:rsid w:val="006712CF"/>
    <w:rsid w:val="0067131C"/>
    <w:rsid w:val="0067133E"/>
    <w:rsid w:val="0067165B"/>
    <w:rsid w:val="00671682"/>
    <w:rsid w:val="0067168E"/>
    <w:rsid w:val="00671719"/>
    <w:rsid w:val="00671867"/>
    <w:rsid w:val="006718B0"/>
    <w:rsid w:val="006718CC"/>
    <w:rsid w:val="0067198A"/>
    <w:rsid w:val="006719CC"/>
    <w:rsid w:val="00671A6A"/>
    <w:rsid w:val="00671A8D"/>
    <w:rsid w:val="00671A96"/>
    <w:rsid w:val="00671ADB"/>
    <w:rsid w:val="00671BCD"/>
    <w:rsid w:val="00671C5E"/>
    <w:rsid w:val="00671FAF"/>
    <w:rsid w:val="00672020"/>
    <w:rsid w:val="006721DD"/>
    <w:rsid w:val="00672263"/>
    <w:rsid w:val="006722DB"/>
    <w:rsid w:val="00672341"/>
    <w:rsid w:val="006723F6"/>
    <w:rsid w:val="00672586"/>
    <w:rsid w:val="00672629"/>
    <w:rsid w:val="00672752"/>
    <w:rsid w:val="00672801"/>
    <w:rsid w:val="00672814"/>
    <w:rsid w:val="00672830"/>
    <w:rsid w:val="00672876"/>
    <w:rsid w:val="0067288F"/>
    <w:rsid w:val="00672995"/>
    <w:rsid w:val="006729CD"/>
    <w:rsid w:val="00672A3E"/>
    <w:rsid w:val="00672A6D"/>
    <w:rsid w:val="00672AEE"/>
    <w:rsid w:val="00672BE9"/>
    <w:rsid w:val="00672C21"/>
    <w:rsid w:val="00672C7C"/>
    <w:rsid w:val="00672D2D"/>
    <w:rsid w:val="00672D6C"/>
    <w:rsid w:val="00672E57"/>
    <w:rsid w:val="00672EAE"/>
    <w:rsid w:val="00672F2F"/>
    <w:rsid w:val="0067301B"/>
    <w:rsid w:val="006730B3"/>
    <w:rsid w:val="006730DD"/>
    <w:rsid w:val="006730EF"/>
    <w:rsid w:val="00673148"/>
    <w:rsid w:val="00673195"/>
    <w:rsid w:val="006731BF"/>
    <w:rsid w:val="00673385"/>
    <w:rsid w:val="006733DD"/>
    <w:rsid w:val="006735CE"/>
    <w:rsid w:val="006735D1"/>
    <w:rsid w:val="0067362D"/>
    <w:rsid w:val="006736AC"/>
    <w:rsid w:val="006736B4"/>
    <w:rsid w:val="006737C5"/>
    <w:rsid w:val="00673A2E"/>
    <w:rsid w:val="00673AA1"/>
    <w:rsid w:val="00673AA5"/>
    <w:rsid w:val="00673BF5"/>
    <w:rsid w:val="00673CA4"/>
    <w:rsid w:val="00673CE6"/>
    <w:rsid w:val="00673E77"/>
    <w:rsid w:val="00673E88"/>
    <w:rsid w:val="00673F52"/>
    <w:rsid w:val="00674091"/>
    <w:rsid w:val="00674179"/>
    <w:rsid w:val="006741E1"/>
    <w:rsid w:val="00674372"/>
    <w:rsid w:val="00674441"/>
    <w:rsid w:val="00674456"/>
    <w:rsid w:val="00674511"/>
    <w:rsid w:val="00674590"/>
    <w:rsid w:val="006745E2"/>
    <w:rsid w:val="0067466F"/>
    <w:rsid w:val="006746DC"/>
    <w:rsid w:val="006748A5"/>
    <w:rsid w:val="006748CC"/>
    <w:rsid w:val="006748F1"/>
    <w:rsid w:val="00674984"/>
    <w:rsid w:val="00674ABD"/>
    <w:rsid w:val="00674AF1"/>
    <w:rsid w:val="00674B9A"/>
    <w:rsid w:val="00674C70"/>
    <w:rsid w:val="00674CE0"/>
    <w:rsid w:val="00674D18"/>
    <w:rsid w:val="00674D1E"/>
    <w:rsid w:val="00674E7E"/>
    <w:rsid w:val="00674E7F"/>
    <w:rsid w:val="00674EC1"/>
    <w:rsid w:val="00674FDC"/>
    <w:rsid w:val="00675054"/>
    <w:rsid w:val="00675063"/>
    <w:rsid w:val="006750C8"/>
    <w:rsid w:val="0067517C"/>
    <w:rsid w:val="0067532A"/>
    <w:rsid w:val="006753D5"/>
    <w:rsid w:val="006755CB"/>
    <w:rsid w:val="006755CC"/>
    <w:rsid w:val="006755F6"/>
    <w:rsid w:val="00675762"/>
    <w:rsid w:val="00675803"/>
    <w:rsid w:val="00675898"/>
    <w:rsid w:val="006758D0"/>
    <w:rsid w:val="006758E4"/>
    <w:rsid w:val="0067598E"/>
    <w:rsid w:val="006759B3"/>
    <w:rsid w:val="006759E9"/>
    <w:rsid w:val="00675A36"/>
    <w:rsid w:val="00675B88"/>
    <w:rsid w:val="00675B90"/>
    <w:rsid w:val="00675C41"/>
    <w:rsid w:val="00675C88"/>
    <w:rsid w:val="00675C8C"/>
    <w:rsid w:val="00675CB2"/>
    <w:rsid w:val="00675CDD"/>
    <w:rsid w:val="00675DA4"/>
    <w:rsid w:val="00675DCC"/>
    <w:rsid w:val="00675DE6"/>
    <w:rsid w:val="00675E9C"/>
    <w:rsid w:val="00675FF0"/>
    <w:rsid w:val="006760CC"/>
    <w:rsid w:val="00676128"/>
    <w:rsid w:val="00676129"/>
    <w:rsid w:val="00676183"/>
    <w:rsid w:val="006762C8"/>
    <w:rsid w:val="006762DD"/>
    <w:rsid w:val="0067636E"/>
    <w:rsid w:val="006763DF"/>
    <w:rsid w:val="00676405"/>
    <w:rsid w:val="00676477"/>
    <w:rsid w:val="006765B9"/>
    <w:rsid w:val="006765E0"/>
    <w:rsid w:val="006766B9"/>
    <w:rsid w:val="006766CC"/>
    <w:rsid w:val="00676870"/>
    <w:rsid w:val="0067691C"/>
    <w:rsid w:val="00676956"/>
    <w:rsid w:val="006769A8"/>
    <w:rsid w:val="00676A2D"/>
    <w:rsid w:val="00676A7B"/>
    <w:rsid w:val="00676AF4"/>
    <w:rsid w:val="00676B07"/>
    <w:rsid w:val="00676B24"/>
    <w:rsid w:val="00676C88"/>
    <w:rsid w:val="00676CF0"/>
    <w:rsid w:val="00676D69"/>
    <w:rsid w:val="00676DBB"/>
    <w:rsid w:val="00676DDE"/>
    <w:rsid w:val="00676E3E"/>
    <w:rsid w:val="00676E43"/>
    <w:rsid w:val="00676E7B"/>
    <w:rsid w:val="006771A0"/>
    <w:rsid w:val="006772E6"/>
    <w:rsid w:val="00677324"/>
    <w:rsid w:val="006773C5"/>
    <w:rsid w:val="006774B3"/>
    <w:rsid w:val="006774DA"/>
    <w:rsid w:val="00677548"/>
    <w:rsid w:val="006775C8"/>
    <w:rsid w:val="006775E9"/>
    <w:rsid w:val="00677629"/>
    <w:rsid w:val="0067762B"/>
    <w:rsid w:val="00677727"/>
    <w:rsid w:val="0067780A"/>
    <w:rsid w:val="006779FF"/>
    <w:rsid w:val="00677A3B"/>
    <w:rsid w:val="00677AC4"/>
    <w:rsid w:val="00677B1A"/>
    <w:rsid w:val="00677B32"/>
    <w:rsid w:val="00677B4F"/>
    <w:rsid w:val="00677B9C"/>
    <w:rsid w:val="00677BAB"/>
    <w:rsid w:val="00677BE8"/>
    <w:rsid w:val="00677C64"/>
    <w:rsid w:val="00677CAC"/>
    <w:rsid w:val="00677D4A"/>
    <w:rsid w:val="00677E79"/>
    <w:rsid w:val="0067C6D5"/>
    <w:rsid w:val="0068002A"/>
    <w:rsid w:val="00680085"/>
    <w:rsid w:val="006800A6"/>
    <w:rsid w:val="006802E8"/>
    <w:rsid w:val="0068032D"/>
    <w:rsid w:val="0068043C"/>
    <w:rsid w:val="0068055D"/>
    <w:rsid w:val="00680814"/>
    <w:rsid w:val="00680817"/>
    <w:rsid w:val="00680829"/>
    <w:rsid w:val="00680AA9"/>
    <w:rsid w:val="00680B07"/>
    <w:rsid w:val="00680C04"/>
    <w:rsid w:val="00680C26"/>
    <w:rsid w:val="00680CA0"/>
    <w:rsid w:val="00680CF5"/>
    <w:rsid w:val="00680D76"/>
    <w:rsid w:val="006810FC"/>
    <w:rsid w:val="00681121"/>
    <w:rsid w:val="00681230"/>
    <w:rsid w:val="0068127E"/>
    <w:rsid w:val="0068139A"/>
    <w:rsid w:val="00681474"/>
    <w:rsid w:val="00681517"/>
    <w:rsid w:val="0068161F"/>
    <w:rsid w:val="00681722"/>
    <w:rsid w:val="00681782"/>
    <w:rsid w:val="006817C1"/>
    <w:rsid w:val="00681875"/>
    <w:rsid w:val="0068199D"/>
    <w:rsid w:val="00681BD9"/>
    <w:rsid w:val="00681E50"/>
    <w:rsid w:val="00681E5E"/>
    <w:rsid w:val="00681E6C"/>
    <w:rsid w:val="00681ED6"/>
    <w:rsid w:val="00681F69"/>
    <w:rsid w:val="00681F88"/>
    <w:rsid w:val="00681FA2"/>
    <w:rsid w:val="00681FB2"/>
    <w:rsid w:val="0068201F"/>
    <w:rsid w:val="00682073"/>
    <w:rsid w:val="00682077"/>
    <w:rsid w:val="00682099"/>
    <w:rsid w:val="0068214D"/>
    <w:rsid w:val="00682222"/>
    <w:rsid w:val="0068234B"/>
    <w:rsid w:val="006823BF"/>
    <w:rsid w:val="006824AE"/>
    <w:rsid w:val="006824D1"/>
    <w:rsid w:val="00682588"/>
    <w:rsid w:val="00682594"/>
    <w:rsid w:val="00682595"/>
    <w:rsid w:val="006825F6"/>
    <w:rsid w:val="00682673"/>
    <w:rsid w:val="006826B6"/>
    <w:rsid w:val="00682708"/>
    <w:rsid w:val="0068275A"/>
    <w:rsid w:val="00682764"/>
    <w:rsid w:val="00682777"/>
    <w:rsid w:val="0068285E"/>
    <w:rsid w:val="00682934"/>
    <w:rsid w:val="00682AAB"/>
    <w:rsid w:val="00682B2D"/>
    <w:rsid w:val="00682CAB"/>
    <w:rsid w:val="00682DBD"/>
    <w:rsid w:val="00682E01"/>
    <w:rsid w:val="00682EF4"/>
    <w:rsid w:val="00682F2E"/>
    <w:rsid w:val="00682F97"/>
    <w:rsid w:val="006830B0"/>
    <w:rsid w:val="006831C9"/>
    <w:rsid w:val="006831D4"/>
    <w:rsid w:val="006832F8"/>
    <w:rsid w:val="006833EC"/>
    <w:rsid w:val="00683461"/>
    <w:rsid w:val="0068351E"/>
    <w:rsid w:val="0068354A"/>
    <w:rsid w:val="006835A9"/>
    <w:rsid w:val="006836A6"/>
    <w:rsid w:val="006836AB"/>
    <w:rsid w:val="006837BE"/>
    <w:rsid w:val="00683829"/>
    <w:rsid w:val="0068384F"/>
    <w:rsid w:val="006838E6"/>
    <w:rsid w:val="006838ED"/>
    <w:rsid w:val="00683ACF"/>
    <w:rsid w:val="00683AEA"/>
    <w:rsid w:val="00683C0F"/>
    <w:rsid w:val="00683C52"/>
    <w:rsid w:val="00683D1B"/>
    <w:rsid w:val="00683DA0"/>
    <w:rsid w:val="00683E20"/>
    <w:rsid w:val="00683EE4"/>
    <w:rsid w:val="00683FAB"/>
    <w:rsid w:val="00684088"/>
    <w:rsid w:val="006840DF"/>
    <w:rsid w:val="00684154"/>
    <w:rsid w:val="006841A6"/>
    <w:rsid w:val="006841EF"/>
    <w:rsid w:val="0068428E"/>
    <w:rsid w:val="006842B8"/>
    <w:rsid w:val="00684326"/>
    <w:rsid w:val="00684409"/>
    <w:rsid w:val="006844BB"/>
    <w:rsid w:val="00684561"/>
    <w:rsid w:val="00684567"/>
    <w:rsid w:val="00684681"/>
    <w:rsid w:val="006846D6"/>
    <w:rsid w:val="006848F7"/>
    <w:rsid w:val="00684B56"/>
    <w:rsid w:val="00684B6F"/>
    <w:rsid w:val="00684BFA"/>
    <w:rsid w:val="00684DEF"/>
    <w:rsid w:val="00684ED7"/>
    <w:rsid w:val="00684F58"/>
    <w:rsid w:val="00684F75"/>
    <w:rsid w:val="00684FC0"/>
    <w:rsid w:val="00685042"/>
    <w:rsid w:val="006850F3"/>
    <w:rsid w:val="00685194"/>
    <w:rsid w:val="00685210"/>
    <w:rsid w:val="00685235"/>
    <w:rsid w:val="0068533E"/>
    <w:rsid w:val="0068538A"/>
    <w:rsid w:val="006853B2"/>
    <w:rsid w:val="0068542E"/>
    <w:rsid w:val="00685493"/>
    <w:rsid w:val="00685559"/>
    <w:rsid w:val="0068559A"/>
    <w:rsid w:val="006855DD"/>
    <w:rsid w:val="0068567D"/>
    <w:rsid w:val="00685739"/>
    <w:rsid w:val="0068574E"/>
    <w:rsid w:val="006859C1"/>
    <w:rsid w:val="006859F5"/>
    <w:rsid w:val="00685A2E"/>
    <w:rsid w:val="00685A51"/>
    <w:rsid w:val="00685A72"/>
    <w:rsid w:val="00685A7F"/>
    <w:rsid w:val="00685B2C"/>
    <w:rsid w:val="00685D60"/>
    <w:rsid w:val="00685EAD"/>
    <w:rsid w:val="00685EB2"/>
    <w:rsid w:val="006860FF"/>
    <w:rsid w:val="0068615D"/>
    <w:rsid w:val="00686420"/>
    <w:rsid w:val="0068642C"/>
    <w:rsid w:val="00686544"/>
    <w:rsid w:val="006865E9"/>
    <w:rsid w:val="006865F6"/>
    <w:rsid w:val="0068668C"/>
    <w:rsid w:val="006866A2"/>
    <w:rsid w:val="006867B9"/>
    <w:rsid w:val="006868C9"/>
    <w:rsid w:val="006868E1"/>
    <w:rsid w:val="006869C5"/>
    <w:rsid w:val="00686AC2"/>
    <w:rsid w:val="00686B3D"/>
    <w:rsid w:val="00686C3A"/>
    <w:rsid w:val="00686CA1"/>
    <w:rsid w:val="00686DF7"/>
    <w:rsid w:val="00686EBD"/>
    <w:rsid w:val="00686F4F"/>
    <w:rsid w:val="0068711D"/>
    <w:rsid w:val="00687174"/>
    <w:rsid w:val="006871C4"/>
    <w:rsid w:val="0068729F"/>
    <w:rsid w:val="006873E9"/>
    <w:rsid w:val="0068757E"/>
    <w:rsid w:val="006875CA"/>
    <w:rsid w:val="0068763A"/>
    <w:rsid w:val="00687691"/>
    <w:rsid w:val="006876CA"/>
    <w:rsid w:val="006876E0"/>
    <w:rsid w:val="00687987"/>
    <w:rsid w:val="00687AD5"/>
    <w:rsid w:val="00687C36"/>
    <w:rsid w:val="00687D1E"/>
    <w:rsid w:val="00687D26"/>
    <w:rsid w:val="00687DEC"/>
    <w:rsid w:val="00687E22"/>
    <w:rsid w:val="00687E26"/>
    <w:rsid w:val="00690005"/>
    <w:rsid w:val="00690011"/>
    <w:rsid w:val="0069003E"/>
    <w:rsid w:val="00690083"/>
    <w:rsid w:val="00690116"/>
    <w:rsid w:val="00690145"/>
    <w:rsid w:val="00690236"/>
    <w:rsid w:val="006902E0"/>
    <w:rsid w:val="00690332"/>
    <w:rsid w:val="00690341"/>
    <w:rsid w:val="00690379"/>
    <w:rsid w:val="006903EA"/>
    <w:rsid w:val="006903F3"/>
    <w:rsid w:val="0069040A"/>
    <w:rsid w:val="00690452"/>
    <w:rsid w:val="006904FC"/>
    <w:rsid w:val="006905A7"/>
    <w:rsid w:val="006905EF"/>
    <w:rsid w:val="006907AD"/>
    <w:rsid w:val="00690829"/>
    <w:rsid w:val="00690904"/>
    <w:rsid w:val="00690AAB"/>
    <w:rsid w:val="00690AD6"/>
    <w:rsid w:val="00690C7A"/>
    <w:rsid w:val="00690CF6"/>
    <w:rsid w:val="00690E3A"/>
    <w:rsid w:val="00690E52"/>
    <w:rsid w:val="00690FF3"/>
    <w:rsid w:val="00691022"/>
    <w:rsid w:val="00691091"/>
    <w:rsid w:val="006910E4"/>
    <w:rsid w:val="006910E7"/>
    <w:rsid w:val="00691125"/>
    <w:rsid w:val="0069117C"/>
    <w:rsid w:val="006911A2"/>
    <w:rsid w:val="006911AE"/>
    <w:rsid w:val="00691213"/>
    <w:rsid w:val="0069121A"/>
    <w:rsid w:val="0069121B"/>
    <w:rsid w:val="00691227"/>
    <w:rsid w:val="0069125E"/>
    <w:rsid w:val="00691345"/>
    <w:rsid w:val="00691359"/>
    <w:rsid w:val="006913E6"/>
    <w:rsid w:val="00691466"/>
    <w:rsid w:val="00691551"/>
    <w:rsid w:val="006915A2"/>
    <w:rsid w:val="006915D0"/>
    <w:rsid w:val="00691690"/>
    <w:rsid w:val="006916A8"/>
    <w:rsid w:val="0069171A"/>
    <w:rsid w:val="006917FB"/>
    <w:rsid w:val="00691841"/>
    <w:rsid w:val="00691A62"/>
    <w:rsid w:val="00691A96"/>
    <w:rsid w:val="00691DC5"/>
    <w:rsid w:val="00691DE9"/>
    <w:rsid w:val="006920CD"/>
    <w:rsid w:val="00692122"/>
    <w:rsid w:val="0069222C"/>
    <w:rsid w:val="0069228D"/>
    <w:rsid w:val="0069232C"/>
    <w:rsid w:val="00692457"/>
    <w:rsid w:val="0069248A"/>
    <w:rsid w:val="00692491"/>
    <w:rsid w:val="006924DE"/>
    <w:rsid w:val="00692520"/>
    <w:rsid w:val="00692560"/>
    <w:rsid w:val="006925A6"/>
    <w:rsid w:val="006925E1"/>
    <w:rsid w:val="0069261B"/>
    <w:rsid w:val="00692642"/>
    <w:rsid w:val="0069266C"/>
    <w:rsid w:val="00692673"/>
    <w:rsid w:val="006926B0"/>
    <w:rsid w:val="00692825"/>
    <w:rsid w:val="00692AFC"/>
    <w:rsid w:val="00692BDB"/>
    <w:rsid w:val="00692BE2"/>
    <w:rsid w:val="00692BFB"/>
    <w:rsid w:val="00692C2F"/>
    <w:rsid w:val="00692CC2"/>
    <w:rsid w:val="00692D00"/>
    <w:rsid w:val="00692D11"/>
    <w:rsid w:val="00692D52"/>
    <w:rsid w:val="00692EC9"/>
    <w:rsid w:val="0069304C"/>
    <w:rsid w:val="0069309C"/>
    <w:rsid w:val="006930D7"/>
    <w:rsid w:val="00693138"/>
    <w:rsid w:val="006931AA"/>
    <w:rsid w:val="00693249"/>
    <w:rsid w:val="00693302"/>
    <w:rsid w:val="00693393"/>
    <w:rsid w:val="006933B4"/>
    <w:rsid w:val="006933DD"/>
    <w:rsid w:val="006935C0"/>
    <w:rsid w:val="006935D5"/>
    <w:rsid w:val="00693600"/>
    <w:rsid w:val="00693661"/>
    <w:rsid w:val="006937D6"/>
    <w:rsid w:val="00693A9C"/>
    <w:rsid w:val="00693C3C"/>
    <w:rsid w:val="00693CB2"/>
    <w:rsid w:val="00693D8C"/>
    <w:rsid w:val="00693DFE"/>
    <w:rsid w:val="00693E57"/>
    <w:rsid w:val="00693EA7"/>
    <w:rsid w:val="00693EFD"/>
    <w:rsid w:val="00693F0F"/>
    <w:rsid w:val="00693FEF"/>
    <w:rsid w:val="00694085"/>
    <w:rsid w:val="006940CC"/>
    <w:rsid w:val="006941E5"/>
    <w:rsid w:val="0069424E"/>
    <w:rsid w:val="006942BF"/>
    <w:rsid w:val="00694340"/>
    <w:rsid w:val="006943EC"/>
    <w:rsid w:val="00694408"/>
    <w:rsid w:val="00694516"/>
    <w:rsid w:val="0069452E"/>
    <w:rsid w:val="006945F4"/>
    <w:rsid w:val="0069467E"/>
    <w:rsid w:val="00694680"/>
    <w:rsid w:val="0069468F"/>
    <w:rsid w:val="00694772"/>
    <w:rsid w:val="00694897"/>
    <w:rsid w:val="00694A1E"/>
    <w:rsid w:val="00694BC9"/>
    <w:rsid w:val="00694BE8"/>
    <w:rsid w:val="00694C37"/>
    <w:rsid w:val="00694DCA"/>
    <w:rsid w:val="00694E1C"/>
    <w:rsid w:val="00694EB8"/>
    <w:rsid w:val="00694FB3"/>
    <w:rsid w:val="00694FC1"/>
    <w:rsid w:val="006950B5"/>
    <w:rsid w:val="006950C4"/>
    <w:rsid w:val="00695177"/>
    <w:rsid w:val="006951B9"/>
    <w:rsid w:val="006951F9"/>
    <w:rsid w:val="0069523B"/>
    <w:rsid w:val="006952B9"/>
    <w:rsid w:val="006952EA"/>
    <w:rsid w:val="0069534D"/>
    <w:rsid w:val="00695368"/>
    <w:rsid w:val="006953E1"/>
    <w:rsid w:val="00695655"/>
    <w:rsid w:val="00695692"/>
    <w:rsid w:val="00695721"/>
    <w:rsid w:val="0069576D"/>
    <w:rsid w:val="00695A16"/>
    <w:rsid w:val="00695BA5"/>
    <w:rsid w:val="00695D65"/>
    <w:rsid w:val="00695DD1"/>
    <w:rsid w:val="00695F1B"/>
    <w:rsid w:val="00695FA5"/>
    <w:rsid w:val="00695FB9"/>
    <w:rsid w:val="00696002"/>
    <w:rsid w:val="0069603D"/>
    <w:rsid w:val="006960C9"/>
    <w:rsid w:val="0069613F"/>
    <w:rsid w:val="006964C0"/>
    <w:rsid w:val="006964F7"/>
    <w:rsid w:val="006965DA"/>
    <w:rsid w:val="00696644"/>
    <w:rsid w:val="00696687"/>
    <w:rsid w:val="006966D1"/>
    <w:rsid w:val="006966D2"/>
    <w:rsid w:val="006966E1"/>
    <w:rsid w:val="00696800"/>
    <w:rsid w:val="00696809"/>
    <w:rsid w:val="00696823"/>
    <w:rsid w:val="00696844"/>
    <w:rsid w:val="00696860"/>
    <w:rsid w:val="00696B4E"/>
    <w:rsid w:val="00696CDF"/>
    <w:rsid w:val="00696D3B"/>
    <w:rsid w:val="00696D5C"/>
    <w:rsid w:val="00696E9B"/>
    <w:rsid w:val="00696E9C"/>
    <w:rsid w:val="00696EF4"/>
    <w:rsid w:val="00696EFB"/>
    <w:rsid w:val="00696F51"/>
    <w:rsid w:val="00696FB7"/>
    <w:rsid w:val="00697041"/>
    <w:rsid w:val="00697051"/>
    <w:rsid w:val="006970F6"/>
    <w:rsid w:val="0069712F"/>
    <w:rsid w:val="006971BA"/>
    <w:rsid w:val="006972A8"/>
    <w:rsid w:val="006972EA"/>
    <w:rsid w:val="00697338"/>
    <w:rsid w:val="00697438"/>
    <w:rsid w:val="0069744A"/>
    <w:rsid w:val="00697494"/>
    <w:rsid w:val="006974C7"/>
    <w:rsid w:val="0069751C"/>
    <w:rsid w:val="006976C4"/>
    <w:rsid w:val="00697729"/>
    <w:rsid w:val="006977CE"/>
    <w:rsid w:val="0069799E"/>
    <w:rsid w:val="00697ACA"/>
    <w:rsid w:val="00697B22"/>
    <w:rsid w:val="00697BB9"/>
    <w:rsid w:val="00697CAE"/>
    <w:rsid w:val="00697CDB"/>
    <w:rsid w:val="00697D3D"/>
    <w:rsid w:val="00697D75"/>
    <w:rsid w:val="00697D83"/>
    <w:rsid w:val="00697F38"/>
    <w:rsid w:val="00697FF5"/>
    <w:rsid w:val="006A003C"/>
    <w:rsid w:val="006A008C"/>
    <w:rsid w:val="006A01A7"/>
    <w:rsid w:val="006A03EF"/>
    <w:rsid w:val="006A053B"/>
    <w:rsid w:val="006A06B9"/>
    <w:rsid w:val="006A0801"/>
    <w:rsid w:val="006A087A"/>
    <w:rsid w:val="006A08CD"/>
    <w:rsid w:val="006A095A"/>
    <w:rsid w:val="006A0A2B"/>
    <w:rsid w:val="006A0AAB"/>
    <w:rsid w:val="006A0AB6"/>
    <w:rsid w:val="006A0AF9"/>
    <w:rsid w:val="006A0C23"/>
    <w:rsid w:val="006A0CC7"/>
    <w:rsid w:val="006A0D51"/>
    <w:rsid w:val="006A0D9C"/>
    <w:rsid w:val="006A0E6C"/>
    <w:rsid w:val="006A11FE"/>
    <w:rsid w:val="006A1245"/>
    <w:rsid w:val="006A12A4"/>
    <w:rsid w:val="006A149D"/>
    <w:rsid w:val="006A14B9"/>
    <w:rsid w:val="006A155A"/>
    <w:rsid w:val="006A15D5"/>
    <w:rsid w:val="006A15D6"/>
    <w:rsid w:val="006A1662"/>
    <w:rsid w:val="006A179B"/>
    <w:rsid w:val="006A1802"/>
    <w:rsid w:val="006A182B"/>
    <w:rsid w:val="006A183E"/>
    <w:rsid w:val="006A18A8"/>
    <w:rsid w:val="006A191F"/>
    <w:rsid w:val="006A19C0"/>
    <w:rsid w:val="006A1AF6"/>
    <w:rsid w:val="006A1DF8"/>
    <w:rsid w:val="006A1F18"/>
    <w:rsid w:val="006A1F4C"/>
    <w:rsid w:val="006A247A"/>
    <w:rsid w:val="006A24EF"/>
    <w:rsid w:val="006A25A0"/>
    <w:rsid w:val="006A26B0"/>
    <w:rsid w:val="006A26C6"/>
    <w:rsid w:val="006A2704"/>
    <w:rsid w:val="006A284A"/>
    <w:rsid w:val="006A286E"/>
    <w:rsid w:val="006A2909"/>
    <w:rsid w:val="006A2964"/>
    <w:rsid w:val="006A29B9"/>
    <w:rsid w:val="006A29EF"/>
    <w:rsid w:val="006A2A60"/>
    <w:rsid w:val="006A2B02"/>
    <w:rsid w:val="006A2B58"/>
    <w:rsid w:val="006A2BAA"/>
    <w:rsid w:val="006A2C57"/>
    <w:rsid w:val="006A2C76"/>
    <w:rsid w:val="006A2DB7"/>
    <w:rsid w:val="006A2E6D"/>
    <w:rsid w:val="006A2F81"/>
    <w:rsid w:val="006A2FC9"/>
    <w:rsid w:val="006A2FCD"/>
    <w:rsid w:val="006A302F"/>
    <w:rsid w:val="006A3051"/>
    <w:rsid w:val="006A315E"/>
    <w:rsid w:val="006A31A7"/>
    <w:rsid w:val="006A31DF"/>
    <w:rsid w:val="006A325D"/>
    <w:rsid w:val="006A32C8"/>
    <w:rsid w:val="006A3485"/>
    <w:rsid w:val="006A34A8"/>
    <w:rsid w:val="006A355E"/>
    <w:rsid w:val="006A3562"/>
    <w:rsid w:val="006A3863"/>
    <w:rsid w:val="006A388E"/>
    <w:rsid w:val="006A3891"/>
    <w:rsid w:val="006A3914"/>
    <w:rsid w:val="006A3954"/>
    <w:rsid w:val="006A3961"/>
    <w:rsid w:val="006A397B"/>
    <w:rsid w:val="006A39ED"/>
    <w:rsid w:val="006A3A37"/>
    <w:rsid w:val="006A3A70"/>
    <w:rsid w:val="006A3B49"/>
    <w:rsid w:val="006A3B60"/>
    <w:rsid w:val="006A3B93"/>
    <w:rsid w:val="006A3C0F"/>
    <w:rsid w:val="006A3CA5"/>
    <w:rsid w:val="006A3E33"/>
    <w:rsid w:val="006A3E56"/>
    <w:rsid w:val="006A3FBE"/>
    <w:rsid w:val="006A406B"/>
    <w:rsid w:val="006A412D"/>
    <w:rsid w:val="006A41C5"/>
    <w:rsid w:val="006A4214"/>
    <w:rsid w:val="006A4273"/>
    <w:rsid w:val="006A42A6"/>
    <w:rsid w:val="006A42B1"/>
    <w:rsid w:val="006A43B2"/>
    <w:rsid w:val="006A43EB"/>
    <w:rsid w:val="006A44DB"/>
    <w:rsid w:val="006A4572"/>
    <w:rsid w:val="006A4587"/>
    <w:rsid w:val="006A45A0"/>
    <w:rsid w:val="006A464A"/>
    <w:rsid w:val="006A46BD"/>
    <w:rsid w:val="006A473B"/>
    <w:rsid w:val="006A4886"/>
    <w:rsid w:val="006A4892"/>
    <w:rsid w:val="006A4961"/>
    <w:rsid w:val="006A49A8"/>
    <w:rsid w:val="006A4A0F"/>
    <w:rsid w:val="006A4A42"/>
    <w:rsid w:val="006A4AA4"/>
    <w:rsid w:val="006A4AEC"/>
    <w:rsid w:val="006A4B54"/>
    <w:rsid w:val="006A4B58"/>
    <w:rsid w:val="006A4BFB"/>
    <w:rsid w:val="006A4C43"/>
    <w:rsid w:val="006A4CBD"/>
    <w:rsid w:val="006A4D65"/>
    <w:rsid w:val="006A4DC9"/>
    <w:rsid w:val="006A50C1"/>
    <w:rsid w:val="006A5137"/>
    <w:rsid w:val="006A5284"/>
    <w:rsid w:val="006A5393"/>
    <w:rsid w:val="006A53D4"/>
    <w:rsid w:val="006A5460"/>
    <w:rsid w:val="006A548D"/>
    <w:rsid w:val="006A54B5"/>
    <w:rsid w:val="006A5514"/>
    <w:rsid w:val="006A5597"/>
    <w:rsid w:val="006A55B4"/>
    <w:rsid w:val="006A5604"/>
    <w:rsid w:val="006A56D2"/>
    <w:rsid w:val="006A56E2"/>
    <w:rsid w:val="006A573C"/>
    <w:rsid w:val="006A5815"/>
    <w:rsid w:val="006A5950"/>
    <w:rsid w:val="006A59E7"/>
    <w:rsid w:val="006A59EA"/>
    <w:rsid w:val="006A59FC"/>
    <w:rsid w:val="006A5B3C"/>
    <w:rsid w:val="006A5BF7"/>
    <w:rsid w:val="006A5CB8"/>
    <w:rsid w:val="006A5CB9"/>
    <w:rsid w:val="006A5D84"/>
    <w:rsid w:val="006A5DD3"/>
    <w:rsid w:val="006A5E09"/>
    <w:rsid w:val="006A5ED3"/>
    <w:rsid w:val="006A5FE4"/>
    <w:rsid w:val="006A6028"/>
    <w:rsid w:val="006A6164"/>
    <w:rsid w:val="006A622C"/>
    <w:rsid w:val="006A627B"/>
    <w:rsid w:val="006A62D1"/>
    <w:rsid w:val="006A62DC"/>
    <w:rsid w:val="006A632A"/>
    <w:rsid w:val="006A63A8"/>
    <w:rsid w:val="006A63B2"/>
    <w:rsid w:val="006A6529"/>
    <w:rsid w:val="006A6556"/>
    <w:rsid w:val="006A655D"/>
    <w:rsid w:val="006A6561"/>
    <w:rsid w:val="006A658F"/>
    <w:rsid w:val="006A65E9"/>
    <w:rsid w:val="006A666B"/>
    <w:rsid w:val="006A6688"/>
    <w:rsid w:val="006A694B"/>
    <w:rsid w:val="006A69C0"/>
    <w:rsid w:val="006A6A93"/>
    <w:rsid w:val="006A6AAD"/>
    <w:rsid w:val="006A6B0C"/>
    <w:rsid w:val="006A6C8C"/>
    <w:rsid w:val="006A6CE9"/>
    <w:rsid w:val="006A6D0E"/>
    <w:rsid w:val="006A6D56"/>
    <w:rsid w:val="006A6E5E"/>
    <w:rsid w:val="006A7059"/>
    <w:rsid w:val="006A70D5"/>
    <w:rsid w:val="006A7146"/>
    <w:rsid w:val="006A739C"/>
    <w:rsid w:val="006A73BD"/>
    <w:rsid w:val="006A73CB"/>
    <w:rsid w:val="006A74D6"/>
    <w:rsid w:val="006A74F9"/>
    <w:rsid w:val="006A753C"/>
    <w:rsid w:val="006A7556"/>
    <w:rsid w:val="006A7567"/>
    <w:rsid w:val="006A7677"/>
    <w:rsid w:val="006A772C"/>
    <w:rsid w:val="006A781F"/>
    <w:rsid w:val="006A78B0"/>
    <w:rsid w:val="006A79DC"/>
    <w:rsid w:val="006A7A3A"/>
    <w:rsid w:val="006A7AA8"/>
    <w:rsid w:val="006A7B26"/>
    <w:rsid w:val="006A7B9B"/>
    <w:rsid w:val="006A7B9F"/>
    <w:rsid w:val="006A7BDF"/>
    <w:rsid w:val="006A7CFE"/>
    <w:rsid w:val="006A7E2C"/>
    <w:rsid w:val="006A7E84"/>
    <w:rsid w:val="006A7F4A"/>
    <w:rsid w:val="006B0005"/>
    <w:rsid w:val="006B005E"/>
    <w:rsid w:val="006B0191"/>
    <w:rsid w:val="006B0233"/>
    <w:rsid w:val="006B0297"/>
    <w:rsid w:val="006B03C2"/>
    <w:rsid w:val="006B0404"/>
    <w:rsid w:val="006B0441"/>
    <w:rsid w:val="006B0450"/>
    <w:rsid w:val="006B04BC"/>
    <w:rsid w:val="006B04DD"/>
    <w:rsid w:val="006B04E9"/>
    <w:rsid w:val="006B050D"/>
    <w:rsid w:val="006B0560"/>
    <w:rsid w:val="006B06F4"/>
    <w:rsid w:val="006B08E4"/>
    <w:rsid w:val="006B08EA"/>
    <w:rsid w:val="006B09C4"/>
    <w:rsid w:val="006B0A93"/>
    <w:rsid w:val="006B0AB1"/>
    <w:rsid w:val="006B0B60"/>
    <w:rsid w:val="006B0BA3"/>
    <w:rsid w:val="006B0E49"/>
    <w:rsid w:val="006B0EA1"/>
    <w:rsid w:val="006B0EE4"/>
    <w:rsid w:val="006B1049"/>
    <w:rsid w:val="006B10CE"/>
    <w:rsid w:val="006B1228"/>
    <w:rsid w:val="006B1259"/>
    <w:rsid w:val="006B12C9"/>
    <w:rsid w:val="006B1651"/>
    <w:rsid w:val="006B16EE"/>
    <w:rsid w:val="006B1724"/>
    <w:rsid w:val="006B18DD"/>
    <w:rsid w:val="006B18FC"/>
    <w:rsid w:val="006B1936"/>
    <w:rsid w:val="006B1982"/>
    <w:rsid w:val="006B19D7"/>
    <w:rsid w:val="006B1A6D"/>
    <w:rsid w:val="006B1AB7"/>
    <w:rsid w:val="006B1ABE"/>
    <w:rsid w:val="006B1AC1"/>
    <w:rsid w:val="006B1C89"/>
    <w:rsid w:val="006B1C99"/>
    <w:rsid w:val="006B1D30"/>
    <w:rsid w:val="006B1D55"/>
    <w:rsid w:val="006B1E0B"/>
    <w:rsid w:val="006B1E54"/>
    <w:rsid w:val="006B1E5A"/>
    <w:rsid w:val="006B1EDA"/>
    <w:rsid w:val="006B1EEB"/>
    <w:rsid w:val="006B1F1C"/>
    <w:rsid w:val="006B1F5D"/>
    <w:rsid w:val="006B1F68"/>
    <w:rsid w:val="006B1F7F"/>
    <w:rsid w:val="006B2010"/>
    <w:rsid w:val="006B203F"/>
    <w:rsid w:val="006B20E6"/>
    <w:rsid w:val="006B20FD"/>
    <w:rsid w:val="006B2175"/>
    <w:rsid w:val="006B21AE"/>
    <w:rsid w:val="006B2243"/>
    <w:rsid w:val="006B2287"/>
    <w:rsid w:val="006B243D"/>
    <w:rsid w:val="006B24B0"/>
    <w:rsid w:val="006B24E1"/>
    <w:rsid w:val="006B2581"/>
    <w:rsid w:val="006B25AF"/>
    <w:rsid w:val="006B25CC"/>
    <w:rsid w:val="006B25D7"/>
    <w:rsid w:val="006B25F9"/>
    <w:rsid w:val="006B264E"/>
    <w:rsid w:val="006B2652"/>
    <w:rsid w:val="006B266A"/>
    <w:rsid w:val="006B27D8"/>
    <w:rsid w:val="006B28BA"/>
    <w:rsid w:val="006B291A"/>
    <w:rsid w:val="006B2944"/>
    <w:rsid w:val="006B2988"/>
    <w:rsid w:val="006B29D8"/>
    <w:rsid w:val="006B2AF5"/>
    <w:rsid w:val="006B2B02"/>
    <w:rsid w:val="006B2B28"/>
    <w:rsid w:val="006B2C40"/>
    <w:rsid w:val="006B2ED3"/>
    <w:rsid w:val="006B304B"/>
    <w:rsid w:val="006B3264"/>
    <w:rsid w:val="006B3314"/>
    <w:rsid w:val="006B3367"/>
    <w:rsid w:val="006B33D3"/>
    <w:rsid w:val="006B3403"/>
    <w:rsid w:val="006B3412"/>
    <w:rsid w:val="006B342E"/>
    <w:rsid w:val="006B3443"/>
    <w:rsid w:val="006B3530"/>
    <w:rsid w:val="006B35D1"/>
    <w:rsid w:val="006B363A"/>
    <w:rsid w:val="006B3651"/>
    <w:rsid w:val="006B38FD"/>
    <w:rsid w:val="006B3A8C"/>
    <w:rsid w:val="006B3B6E"/>
    <w:rsid w:val="006B3B81"/>
    <w:rsid w:val="006B3B91"/>
    <w:rsid w:val="006B3BE5"/>
    <w:rsid w:val="006B3E00"/>
    <w:rsid w:val="006B3E04"/>
    <w:rsid w:val="006B3EC3"/>
    <w:rsid w:val="006B410F"/>
    <w:rsid w:val="006B4212"/>
    <w:rsid w:val="006B4310"/>
    <w:rsid w:val="006B4314"/>
    <w:rsid w:val="006B439B"/>
    <w:rsid w:val="006B445F"/>
    <w:rsid w:val="006B4493"/>
    <w:rsid w:val="006B44B3"/>
    <w:rsid w:val="006B4555"/>
    <w:rsid w:val="006B4562"/>
    <w:rsid w:val="006B45C3"/>
    <w:rsid w:val="006B48AA"/>
    <w:rsid w:val="006B48D6"/>
    <w:rsid w:val="006B48E0"/>
    <w:rsid w:val="006B4953"/>
    <w:rsid w:val="006B496D"/>
    <w:rsid w:val="006B4A4D"/>
    <w:rsid w:val="006B4B28"/>
    <w:rsid w:val="006B4D4C"/>
    <w:rsid w:val="006B4E6B"/>
    <w:rsid w:val="006B4EB5"/>
    <w:rsid w:val="006B4F83"/>
    <w:rsid w:val="006B4F95"/>
    <w:rsid w:val="006B50B9"/>
    <w:rsid w:val="006B5124"/>
    <w:rsid w:val="006B515A"/>
    <w:rsid w:val="006B51BC"/>
    <w:rsid w:val="006B51C5"/>
    <w:rsid w:val="006B521C"/>
    <w:rsid w:val="006B5267"/>
    <w:rsid w:val="006B52A2"/>
    <w:rsid w:val="006B52DB"/>
    <w:rsid w:val="006B53D0"/>
    <w:rsid w:val="006B53E6"/>
    <w:rsid w:val="006B5411"/>
    <w:rsid w:val="006B5431"/>
    <w:rsid w:val="006B54EF"/>
    <w:rsid w:val="006B554A"/>
    <w:rsid w:val="006B55B5"/>
    <w:rsid w:val="006B55FF"/>
    <w:rsid w:val="006B5635"/>
    <w:rsid w:val="006B564E"/>
    <w:rsid w:val="006B56DC"/>
    <w:rsid w:val="006B5762"/>
    <w:rsid w:val="006B57CC"/>
    <w:rsid w:val="006B581D"/>
    <w:rsid w:val="006B58A0"/>
    <w:rsid w:val="006B5983"/>
    <w:rsid w:val="006B5A0E"/>
    <w:rsid w:val="006B5C35"/>
    <w:rsid w:val="006B5C5B"/>
    <w:rsid w:val="006B5CF2"/>
    <w:rsid w:val="006B5E7A"/>
    <w:rsid w:val="006B5FB0"/>
    <w:rsid w:val="006B5FB5"/>
    <w:rsid w:val="006B6017"/>
    <w:rsid w:val="006B61B8"/>
    <w:rsid w:val="006B61F0"/>
    <w:rsid w:val="006B637C"/>
    <w:rsid w:val="006B640C"/>
    <w:rsid w:val="006B6464"/>
    <w:rsid w:val="006B64D7"/>
    <w:rsid w:val="006B6642"/>
    <w:rsid w:val="006B6732"/>
    <w:rsid w:val="006B67CA"/>
    <w:rsid w:val="006B683D"/>
    <w:rsid w:val="006B691A"/>
    <w:rsid w:val="006B695D"/>
    <w:rsid w:val="006B69E0"/>
    <w:rsid w:val="006B69EF"/>
    <w:rsid w:val="006B6B06"/>
    <w:rsid w:val="006B6B5E"/>
    <w:rsid w:val="006B6BA5"/>
    <w:rsid w:val="006B6BB4"/>
    <w:rsid w:val="006B6C51"/>
    <w:rsid w:val="006B6D90"/>
    <w:rsid w:val="006B6DDF"/>
    <w:rsid w:val="006B6F01"/>
    <w:rsid w:val="006B703D"/>
    <w:rsid w:val="006B70EE"/>
    <w:rsid w:val="006B7197"/>
    <w:rsid w:val="006B73F5"/>
    <w:rsid w:val="006B7432"/>
    <w:rsid w:val="006B7441"/>
    <w:rsid w:val="006B74A1"/>
    <w:rsid w:val="006B74BE"/>
    <w:rsid w:val="006B74ED"/>
    <w:rsid w:val="006B75F5"/>
    <w:rsid w:val="006B7770"/>
    <w:rsid w:val="006B7802"/>
    <w:rsid w:val="006B7832"/>
    <w:rsid w:val="006B787F"/>
    <w:rsid w:val="006B78E5"/>
    <w:rsid w:val="006B7AA7"/>
    <w:rsid w:val="006B7D26"/>
    <w:rsid w:val="006B7D47"/>
    <w:rsid w:val="006B7E3B"/>
    <w:rsid w:val="006B7EB4"/>
    <w:rsid w:val="006B7F0E"/>
    <w:rsid w:val="006B7F62"/>
    <w:rsid w:val="006B7FA5"/>
    <w:rsid w:val="006B7FDF"/>
    <w:rsid w:val="006C0060"/>
    <w:rsid w:val="006C02EB"/>
    <w:rsid w:val="006C03B0"/>
    <w:rsid w:val="006C03C3"/>
    <w:rsid w:val="006C03E4"/>
    <w:rsid w:val="006C0481"/>
    <w:rsid w:val="006C04CD"/>
    <w:rsid w:val="006C04E0"/>
    <w:rsid w:val="006C05A7"/>
    <w:rsid w:val="006C0649"/>
    <w:rsid w:val="006C06C2"/>
    <w:rsid w:val="006C077A"/>
    <w:rsid w:val="006C08AE"/>
    <w:rsid w:val="006C08B1"/>
    <w:rsid w:val="006C0971"/>
    <w:rsid w:val="006C0A00"/>
    <w:rsid w:val="006C0B51"/>
    <w:rsid w:val="006C0B56"/>
    <w:rsid w:val="006C0B86"/>
    <w:rsid w:val="006C0B91"/>
    <w:rsid w:val="006C0D84"/>
    <w:rsid w:val="006C0DA3"/>
    <w:rsid w:val="006C0EF7"/>
    <w:rsid w:val="006C0F31"/>
    <w:rsid w:val="006C0F76"/>
    <w:rsid w:val="006C1086"/>
    <w:rsid w:val="006C10D2"/>
    <w:rsid w:val="006C10D8"/>
    <w:rsid w:val="006C117A"/>
    <w:rsid w:val="006C1245"/>
    <w:rsid w:val="006C129D"/>
    <w:rsid w:val="006C13EA"/>
    <w:rsid w:val="006C1417"/>
    <w:rsid w:val="006C1474"/>
    <w:rsid w:val="006C1485"/>
    <w:rsid w:val="006C1501"/>
    <w:rsid w:val="006C1549"/>
    <w:rsid w:val="006C15E8"/>
    <w:rsid w:val="006C1616"/>
    <w:rsid w:val="006C163C"/>
    <w:rsid w:val="006C174C"/>
    <w:rsid w:val="006C179E"/>
    <w:rsid w:val="006C1838"/>
    <w:rsid w:val="006C18E3"/>
    <w:rsid w:val="006C1954"/>
    <w:rsid w:val="006C19AC"/>
    <w:rsid w:val="006C19B3"/>
    <w:rsid w:val="006C19B9"/>
    <w:rsid w:val="006C1AB1"/>
    <w:rsid w:val="006C1ADE"/>
    <w:rsid w:val="006C1B46"/>
    <w:rsid w:val="006C1BA7"/>
    <w:rsid w:val="006C1BB8"/>
    <w:rsid w:val="006C1C2B"/>
    <w:rsid w:val="006C1E28"/>
    <w:rsid w:val="006C2051"/>
    <w:rsid w:val="006C2083"/>
    <w:rsid w:val="006C20BA"/>
    <w:rsid w:val="006C221F"/>
    <w:rsid w:val="006C229C"/>
    <w:rsid w:val="006C23BF"/>
    <w:rsid w:val="006C23F5"/>
    <w:rsid w:val="006C2408"/>
    <w:rsid w:val="006C240B"/>
    <w:rsid w:val="006C2526"/>
    <w:rsid w:val="006C25BB"/>
    <w:rsid w:val="006C2623"/>
    <w:rsid w:val="006C273E"/>
    <w:rsid w:val="006C27EE"/>
    <w:rsid w:val="006C2823"/>
    <w:rsid w:val="006C28A3"/>
    <w:rsid w:val="006C2900"/>
    <w:rsid w:val="006C291A"/>
    <w:rsid w:val="006C2976"/>
    <w:rsid w:val="006C2977"/>
    <w:rsid w:val="006C2A39"/>
    <w:rsid w:val="006C2BDB"/>
    <w:rsid w:val="006C2CA7"/>
    <w:rsid w:val="006C2D8A"/>
    <w:rsid w:val="006C2E14"/>
    <w:rsid w:val="006C2E7A"/>
    <w:rsid w:val="006C2ED6"/>
    <w:rsid w:val="006C2F2E"/>
    <w:rsid w:val="006C2F77"/>
    <w:rsid w:val="006C2FDB"/>
    <w:rsid w:val="006C3098"/>
    <w:rsid w:val="006C30E5"/>
    <w:rsid w:val="006C3114"/>
    <w:rsid w:val="006C3216"/>
    <w:rsid w:val="006C3256"/>
    <w:rsid w:val="006C3268"/>
    <w:rsid w:val="006C327D"/>
    <w:rsid w:val="006C338B"/>
    <w:rsid w:val="006C34A8"/>
    <w:rsid w:val="006C361C"/>
    <w:rsid w:val="006C3766"/>
    <w:rsid w:val="006C38DA"/>
    <w:rsid w:val="006C38E0"/>
    <w:rsid w:val="006C3933"/>
    <w:rsid w:val="006C3976"/>
    <w:rsid w:val="006C3A12"/>
    <w:rsid w:val="006C3A98"/>
    <w:rsid w:val="006C3AAE"/>
    <w:rsid w:val="006C3B09"/>
    <w:rsid w:val="006C3B1F"/>
    <w:rsid w:val="006C3CAF"/>
    <w:rsid w:val="006C3DB8"/>
    <w:rsid w:val="006C3E3B"/>
    <w:rsid w:val="006C3E40"/>
    <w:rsid w:val="006C3F01"/>
    <w:rsid w:val="006C3F53"/>
    <w:rsid w:val="006C3F9B"/>
    <w:rsid w:val="006C3FB1"/>
    <w:rsid w:val="006C3FF5"/>
    <w:rsid w:val="006C4090"/>
    <w:rsid w:val="006C42FB"/>
    <w:rsid w:val="006C4316"/>
    <w:rsid w:val="006C4358"/>
    <w:rsid w:val="006C43CE"/>
    <w:rsid w:val="006C44A3"/>
    <w:rsid w:val="006C452C"/>
    <w:rsid w:val="006C4588"/>
    <w:rsid w:val="006C45B0"/>
    <w:rsid w:val="006C4613"/>
    <w:rsid w:val="006C4750"/>
    <w:rsid w:val="006C47CC"/>
    <w:rsid w:val="006C482C"/>
    <w:rsid w:val="006C493E"/>
    <w:rsid w:val="006C4B38"/>
    <w:rsid w:val="006C4CF3"/>
    <w:rsid w:val="006C4D7A"/>
    <w:rsid w:val="006C4E92"/>
    <w:rsid w:val="006C4F0A"/>
    <w:rsid w:val="006C4F70"/>
    <w:rsid w:val="006C4F79"/>
    <w:rsid w:val="006C4F93"/>
    <w:rsid w:val="006C4FC2"/>
    <w:rsid w:val="006C5039"/>
    <w:rsid w:val="006C50A1"/>
    <w:rsid w:val="006C515D"/>
    <w:rsid w:val="006C51D7"/>
    <w:rsid w:val="006C520F"/>
    <w:rsid w:val="006C528B"/>
    <w:rsid w:val="006C52BB"/>
    <w:rsid w:val="006C52DD"/>
    <w:rsid w:val="006C52E9"/>
    <w:rsid w:val="006C52F6"/>
    <w:rsid w:val="006C5324"/>
    <w:rsid w:val="006C5339"/>
    <w:rsid w:val="006C538E"/>
    <w:rsid w:val="006C5489"/>
    <w:rsid w:val="006C551C"/>
    <w:rsid w:val="006C574C"/>
    <w:rsid w:val="006C5843"/>
    <w:rsid w:val="006C591F"/>
    <w:rsid w:val="006C59B0"/>
    <w:rsid w:val="006C5B06"/>
    <w:rsid w:val="006C5BA0"/>
    <w:rsid w:val="006C5BAB"/>
    <w:rsid w:val="006C5C21"/>
    <w:rsid w:val="006C5C46"/>
    <w:rsid w:val="006C5C47"/>
    <w:rsid w:val="006C5C9D"/>
    <w:rsid w:val="006C5CCC"/>
    <w:rsid w:val="006C5DB6"/>
    <w:rsid w:val="006C5DBC"/>
    <w:rsid w:val="006C5E3C"/>
    <w:rsid w:val="006C5F3A"/>
    <w:rsid w:val="006C5FAB"/>
    <w:rsid w:val="006C6024"/>
    <w:rsid w:val="006C60E0"/>
    <w:rsid w:val="006C61A6"/>
    <w:rsid w:val="006C6210"/>
    <w:rsid w:val="006C6321"/>
    <w:rsid w:val="006C6384"/>
    <w:rsid w:val="006C6600"/>
    <w:rsid w:val="006C66A0"/>
    <w:rsid w:val="006C66C0"/>
    <w:rsid w:val="006C66FC"/>
    <w:rsid w:val="006C6780"/>
    <w:rsid w:val="006C679E"/>
    <w:rsid w:val="006C67BE"/>
    <w:rsid w:val="006C6864"/>
    <w:rsid w:val="006C68D3"/>
    <w:rsid w:val="006C6917"/>
    <w:rsid w:val="006C6A97"/>
    <w:rsid w:val="006C6BEC"/>
    <w:rsid w:val="006C6C38"/>
    <w:rsid w:val="006C6D59"/>
    <w:rsid w:val="006C6D73"/>
    <w:rsid w:val="006C6E78"/>
    <w:rsid w:val="006C6EB7"/>
    <w:rsid w:val="006C6FB8"/>
    <w:rsid w:val="006C6FCE"/>
    <w:rsid w:val="006C7043"/>
    <w:rsid w:val="006C7052"/>
    <w:rsid w:val="006C7075"/>
    <w:rsid w:val="006C71CF"/>
    <w:rsid w:val="006C723C"/>
    <w:rsid w:val="006C724F"/>
    <w:rsid w:val="006C72E8"/>
    <w:rsid w:val="006C731F"/>
    <w:rsid w:val="006C7330"/>
    <w:rsid w:val="006C7423"/>
    <w:rsid w:val="006C7442"/>
    <w:rsid w:val="006C755C"/>
    <w:rsid w:val="006C75C6"/>
    <w:rsid w:val="006C7608"/>
    <w:rsid w:val="006C764E"/>
    <w:rsid w:val="006C7691"/>
    <w:rsid w:val="006C76A5"/>
    <w:rsid w:val="006C773B"/>
    <w:rsid w:val="006C7796"/>
    <w:rsid w:val="006C77F9"/>
    <w:rsid w:val="006C7947"/>
    <w:rsid w:val="006C7A9F"/>
    <w:rsid w:val="006C7ADC"/>
    <w:rsid w:val="006C7B0C"/>
    <w:rsid w:val="006C7BA5"/>
    <w:rsid w:val="006C7C43"/>
    <w:rsid w:val="006C7D27"/>
    <w:rsid w:val="006C7E5E"/>
    <w:rsid w:val="006C7F3C"/>
    <w:rsid w:val="006C7F7F"/>
    <w:rsid w:val="006D00A8"/>
    <w:rsid w:val="006D012F"/>
    <w:rsid w:val="006D0222"/>
    <w:rsid w:val="006D03E1"/>
    <w:rsid w:val="006D052B"/>
    <w:rsid w:val="006D055E"/>
    <w:rsid w:val="006D05B5"/>
    <w:rsid w:val="006D0634"/>
    <w:rsid w:val="006D06F3"/>
    <w:rsid w:val="006D08C6"/>
    <w:rsid w:val="006D08DF"/>
    <w:rsid w:val="006D0942"/>
    <w:rsid w:val="006D0A0B"/>
    <w:rsid w:val="006D0A0C"/>
    <w:rsid w:val="006D0A13"/>
    <w:rsid w:val="006D0B17"/>
    <w:rsid w:val="006D0B52"/>
    <w:rsid w:val="006D0BD1"/>
    <w:rsid w:val="006D0C21"/>
    <w:rsid w:val="006D0C46"/>
    <w:rsid w:val="006D0C6C"/>
    <w:rsid w:val="006D0CDA"/>
    <w:rsid w:val="006D0D5F"/>
    <w:rsid w:val="006D0E8B"/>
    <w:rsid w:val="006D10D7"/>
    <w:rsid w:val="006D10DA"/>
    <w:rsid w:val="006D1138"/>
    <w:rsid w:val="006D115D"/>
    <w:rsid w:val="006D11C1"/>
    <w:rsid w:val="006D11D4"/>
    <w:rsid w:val="006D12F2"/>
    <w:rsid w:val="006D1335"/>
    <w:rsid w:val="006D1533"/>
    <w:rsid w:val="006D15AF"/>
    <w:rsid w:val="006D15EB"/>
    <w:rsid w:val="006D161E"/>
    <w:rsid w:val="006D1701"/>
    <w:rsid w:val="006D1758"/>
    <w:rsid w:val="006D17FF"/>
    <w:rsid w:val="006D1868"/>
    <w:rsid w:val="006D18FD"/>
    <w:rsid w:val="006D19CC"/>
    <w:rsid w:val="006D19E3"/>
    <w:rsid w:val="006D19E9"/>
    <w:rsid w:val="006D1A43"/>
    <w:rsid w:val="006D1AF7"/>
    <w:rsid w:val="006D1B07"/>
    <w:rsid w:val="006D1C12"/>
    <w:rsid w:val="006D1C46"/>
    <w:rsid w:val="006D1CC9"/>
    <w:rsid w:val="006D1D14"/>
    <w:rsid w:val="006D1E00"/>
    <w:rsid w:val="006D2068"/>
    <w:rsid w:val="006D2118"/>
    <w:rsid w:val="006D22DF"/>
    <w:rsid w:val="006D2337"/>
    <w:rsid w:val="006D233E"/>
    <w:rsid w:val="006D23EB"/>
    <w:rsid w:val="006D241F"/>
    <w:rsid w:val="006D248A"/>
    <w:rsid w:val="006D254B"/>
    <w:rsid w:val="006D26C3"/>
    <w:rsid w:val="006D26C5"/>
    <w:rsid w:val="006D2803"/>
    <w:rsid w:val="006D2807"/>
    <w:rsid w:val="006D2970"/>
    <w:rsid w:val="006D2AFD"/>
    <w:rsid w:val="006D2B49"/>
    <w:rsid w:val="006D2C7F"/>
    <w:rsid w:val="006D2C99"/>
    <w:rsid w:val="006D2D17"/>
    <w:rsid w:val="006D2D41"/>
    <w:rsid w:val="006D2D4D"/>
    <w:rsid w:val="006D2DD8"/>
    <w:rsid w:val="006D2E8E"/>
    <w:rsid w:val="006D2EE5"/>
    <w:rsid w:val="006D2F2F"/>
    <w:rsid w:val="006D3023"/>
    <w:rsid w:val="006D3028"/>
    <w:rsid w:val="006D317E"/>
    <w:rsid w:val="006D3209"/>
    <w:rsid w:val="006D3265"/>
    <w:rsid w:val="006D3285"/>
    <w:rsid w:val="006D32E3"/>
    <w:rsid w:val="006D32EC"/>
    <w:rsid w:val="006D335A"/>
    <w:rsid w:val="006D33C5"/>
    <w:rsid w:val="006D3495"/>
    <w:rsid w:val="006D34FC"/>
    <w:rsid w:val="006D34FD"/>
    <w:rsid w:val="006D353A"/>
    <w:rsid w:val="006D36D7"/>
    <w:rsid w:val="006D3812"/>
    <w:rsid w:val="006D3838"/>
    <w:rsid w:val="006D3872"/>
    <w:rsid w:val="006D387B"/>
    <w:rsid w:val="006D38CC"/>
    <w:rsid w:val="006D38D6"/>
    <w:rsid w:val="006D38EB"/>
    <w:rsid w:val="006D39D1"/>
    <w:rsid w:val="006D3A57"/>
    <w:rsid w:val="006D3AE1"/>
    <w:rsid w:val="006D3BC0"/>
    <w:rsid w:val="006D3CBA"/>
    <w:rsid w:val="006D3CDF"/>
    <w:rsid w:val="006D3D38"/>
    <w:rsid w:val="006D3D8C"/>
    <w:rsid w:val="006D3F06"/>
    <w:rsid w:val="006D403A"/>
    <w:rsid w:val="006D405A"/>
    <w:rsid w:val="006D4082"/>
    <w:rsid w:val="006D41A0"/>
    <w:rsid w:val="006D4319"/>
    <w:rsid w:val="006D4365"/>
    <w:rsid w:val="006D442B"/>
    <w:rsid w:val="006D4476"/>
    <w:rsid w:val="006D44CE"/>
    <w:rsid w:val="006D45F5"/>
    <w:rsid w:val="006D45F8"/>
    <w:rsid w:val="006D4623"/>
    <w:rsid w:val="006D4667"/>
    <w:rsid w:val="006D46EF"/>
    <w:rsid w:val="006D4743"/>
    <w:rsid w:val="006D4768"/>
    <w:rsid w:val="006D47EF"/>
    <w:rsid w:val="006D4828"/>
    <w:rsid w:val="006D49AC"/>
    <w:rsid w:val="006D4A6B"/>
    <w:rsid w:val="006D4B83"/>
    <w:rsid w:val="006D4CC9"/>
    <w:rsid w:val="006D4D35"/>
    <w:rsid w:val="006D4D46"/>
    <w:rsid w:val="006D4E37"/>
    <w:rsid w:val="006D4F6D"/>
    <w:rsid w:val="006D4F90"/>
    <w:rsid w:val="006D508F"/>
    <w:rsid w:val="006D509F"/>
    <w:rsid w:val="006D50D1"/>
    <w:rsid w:val="006D50DB"/>
    <w:rsid w:val="006D5167"/>
    <w:rsid w:val="006D51A5"/>
    <w:rsid w:val="006D51E9"/>
    <w:rsid w:val="006D52DD"/>
    <w:rsid w:val="006D531F"/>
    <w:rsid w:val="006D542F"/>
    <w:rsid w:val="006D5444"/>
    <w:rsid w:val="006D5459"/>
    <w:rsid w:val="006D553F"/>
    <w:rsid w:val="006D562D"/>
    <w:rsid w:val="006D568E"/>
    <w:rsid w:val="006D56CE"/>
    <w:rsid w:val="006D573C"/>
    <w:rsid w:val="006D57D9"/>
    <w:rsid w:val="006D5816"/>
    <w:rsid w:val="006D58B7"/>
    <w:rsid w:val="006D58E6"/>
    <w:rsid w:val="006D59E2"/>
    <w:rsid w:val="006D5A1A"/>
    <w:rsid w:val="006D5B33"/>
    <w:rsid w:val="006D5B7F"/>
    <w:rsid w:val="006D5CE6"/>
    <w:rsid w:val="006D5D02"/>
    <w:rsid w:val="006D5D96"/>
    <w:rsid w:val="006D5E4F"/>
    <w:rsid w:val="006D5E60"/>
    <w:rsid w:val="006D5EE9"/>
    <w:rsid w:val="006D5F74"/>
    <w:rsid w:val="006D5FC0"/>
    <w:rsid w:val="006D6072"/>
    <w:rsid w:val="006D60A0"/>
    <w:rsid w:val="006D60B1"/>
    <w:rsid w:val="006D614F"/>
    <w:rsid w:val="006D6169"/>
    <w:rsid w:val="006D6175"/>
    <w:rsid w:val="006D6177"/>
    <w:rsid w:val="006D61B2"/>
    <w:rsid w:val="006D6226"/>
    <w:rsid w:val="006D639A"/>
    <w:rsid w:val="006D63C9"/>
    <w:rsid w:val="006D6457"/>
    <w:rsid w:val="006D6481"/>
    <w:rsid w:val="006D655C"/>
    <w:rsid w:val="006D662C"/>
    <w:rsid w:val="006D66B2"/>
    <w:rsid w:val="006D66BD"/>
    <w:rsid w:val="006D66F3"/>
    <w:rsid w:val="006D67A7"/>
    <w:rsid w:val="006D67E3"/>
    <w:rsid w:val="006D685E"/>
    <w:rsid w:val="006D6944"/>
    <w:rsid w:val="006D69DD"/>
    <w:rsid w:val="006D6A1C"/>
    <w:rsid w:val="006D6C12"/>
    <w:rsid w:val="006D6D8F"/>
    <w:rsid w:val="006D6D95"/>
    <w:rsid w:val="006D6E2F"/>
    <w:rsid w:val="006D6F44"/>
    <w:rsid w:val="006D6F80"/>
    <w:rsid w:val="006D6F9D"/>
    <w:rsid w:val="006D6FE8"/>
    <w:rsid w:val="006D7139"/>
    <w:rsid w:val="006D71CC"/>
    <w:rsid w:val="006D7457"/>
    <w:rsid w:val="006D745C"/>
    <w:rsid w:val="006D7492"/>
    <w:rsid w:val="006D74C1"/>
    <w:rsid w:val="006D7560"/>
    <w:rsid w:val="006D7647"/>
    <w:rsid w:val="006D76C4"/>
    <w:rsid w:val="006D77F0"/>
    <w:rsid w:val="006D7858"/>
    <w:rsid w:val="006D78E9"/>
    <w:rsid w:val="006D791C"/>
    <w:rsid w:val="006D799E"/>
    <w:rsid w:val="006D7A53"/>
    <w:rsid w:val="006D7A80"/>
    <w:rsid w:val="006D7AA6"/>
    <w:rsid w:val="006D7B46"/>
    <w:rsid w:val="006D7C04"/>
    <w:rsid w:val="006D7C5C"/>
    <w:rsid w:val="006D7C5E"/>
    <w:rsid w:val="006D7E34"/>
    <w:rsid w:val="006D7E8C"/>
    <w:rsid w:val="006D7E99"/>
    <w:rsid w:val="006D7ED4"/>
    <w:rsid w:val="006D7F89"/>
    <w:rsid w:val="006D7F99"/>
    <w:rsid w:val="006D7FBF"/>
    <w:rsid w:val="006DAB5C"/>
    <w:rsid w:val="006E0029"/>
    <w:rsid w:val="006E00B3"/>
    <w:rsid w:val="006E0101"/>
    <w:rsid w:val="006E012A"/>
    <w:rsid w:val="006E017A"/>
    <w:rsid w:val="006E019C"/>
    <w:rsid w:val="006E020F"/>
    <w:rsid w:val="006E0230"/>
    <w:rsid w:val="006E023E"/>
    <w:rsid w:val="006E0305"/>
    <w:rsid w:val="006E034B"/>
    <w:rsid w:val="006E0490"/>
    <w:rsid w:val="006E04B5"/>
    <w:rsid w:val="006E0510"/>
    <w:rsid w:val="006E060B"/>
    <w:rsid w:val="006E064F"/>
    <w:rsid w:val="006E0671"/>
    <w:rsid w:val="006E074F"/>
    <w:rsid w:val="006E089A"/>
    <w:rsid w:val="006E090B"/>
    <w:rsid w:val="006E097C"/>
    <w:rsid w:val="006E0B7B"/>
    <w:rsid w:val="006E0C7C"/>
    <w:rsid w:val="006E0CDC"/>
    <w:rsid w:val="006E0D19"/>
    <w:rsid w:val="006E0D79"/>
    <w:rsid w:val="006E0D87"/>
    <w:rsid w:val="006E0DBB"/>
    <w:rsid w:val="006E0F36"/>
    <w:rsid w:val="006E0F4A"/>
    <w:rsid w:val="006E0F51"/>
    <w:rsid w:val="006E102E"/>
    <w:rsid w:val="006E1031"/>
    <w:rsid w:val="006E1055"/>
    <w:rsid w:val="006E109A"/>
    <w:rsid w:val="006E10C4"/>
    <w:rsid w:val="006E1219"/>
    <w:rsid w:val="006E1236"/>
    <w:rsid w:val="006E1280"/>
    <w:rsid w:val="006E12B5"/>
    <w:rsid w:val="006E12E1"/>
    <w:rsid w:val="006E1337"/>
    <w:rsid w:val="006E138D"/>
    <w:rsid w:val="006E13EA"/>
    <w:rsid w:val="006E1454"/>
    <w:rsid w:val="006E14EB"/>
    <w:rsid w:val="006E14FC"/>
    <w:rsid w:val="006E15B9"/>
    <w:rsid w:val="006E1636"/>
    <w:rsid w:val="006E186D"/>
    <w:rsid w:val="006E1924"/>
    <w:rsid w:val="006E1955"/>
    <w:rsid w:val="006E198A"/>
    <w:rsid w:val="006E1AD5"/>
    <w:rsid w:val="006E1B0E"/>
    <w:rsid w:val="006E1B87"/>
    <w:rsid w:val="006E1BE4"/>
    <w:rsid w:val="006E1D7E"/>
    <w:rsid w:val="006E1DA2"/>
    <w:rsid w:val="006E1EE3"/>
    <w:rsid w:val="006E1F2B"/>
    <w:rsid w:val="006E1FF8"/>
    <w:rsid w:val="006E2052"/>
    <w:rsid w:val="006E2091"/>
    <w:rsid w:val="006E216C"/>
    <w:rsid w:val="006E2175"/>
    <w:rsid w:val="006E2286"/>
    <w:rsid w:val="006E22E6"/>
    <w:rsid w:val="006E23A7"/>
    <w:rsid w:val="006E2421"/>
    <w:rsid w:val="006E24A7"/>
    <w:rsid w:val="006E24A8"/>
    <w:rsid w:val="006E252D"/>
    <w:rsid w:val="006E2554"/>
    <w:rsid w:val="006E25DC"/>
    <w:rsid w:val="006E26F9"/>
    <w:rsid w:val="006E28DD"/>
    <w:rsid w:val="006E2911"/>
    <w:rsid w:val="006E29A3"/>
    <w:rsid w:val="006E29CC"/>
    <w:rsid w:val="006E2ACB"/>
    <w:rsid w:val="006E2B7F"/>
    <w:rsid w:val="006E2BD9"/>
    <w:rsid w:val="006E2C46"/>
    <w:rsid w:val="006E2D9A"/>
    <w:rsid w:val="006E2DB2"/>
    <w:rsid w:val="006E2DB5"/>
    <w:rsid w:val="006E3000"/>
    <w:rsid w:val="006E30C9"/>
    <w:rsid w:val="006E3126"/>
    <w:rsid w:val="006E3159"/>
    <w:rsid w:val="006E31D3"/>
    <w:rsid w:val="006E31DA"/>
    <w:rsid w:val="006E3295"/>
    <w:rsid w:val="006E3297"/>
    <w:rsid w:val="006E32CF"/>
    <w:rsid w:val="006E34A8"/>
    <w:rsid w:val="006E35A9"/>
    <w:rsid w:val="006E35B3"/>
    <w:rsid w:val="006E35C1"/>
    <w:rsid w:val="006E3653"/>
    <w:rsid w:val="006E375E"/>
    <w:rsid w:val="006E38BA"/>
    <w:rsid w:val="006E399B"/>
    <w:rsid w:val="006E399D"/>
    <w:rsid w:val="006E3A06"/>
    <w:rsid w:val="006E3A26"/>
    <w:rsid w:val="006E3A99"/>
    <w:rsid w:val="006E3B61"/>
    <w:rsid w:val="006E3D88"/>
    <w:rsid w:val="006E3D8D"/>
    <w:rsid w:val="006E3DFB"/>
    <w:rsid w:val="006E3F0F"/>
    <w:rsid w:val="006E3F1A"/>
    <w:rsid w:val="006E3F2E"/>
    <w:rsid w:val="006E410A"/>
    <w:rsid w:val="006E4237"/>
    <w:rsid w:val="006E4240"/>
    <w:rsid w:val="006E4277"/>
    <w:rsid w:val="006E42B4"/>
    <w:rsid w:val="006E42E3"/>
    <w:rsid w:val="006E443C"/>
    <w:rsid w:val="006E4451"/>
    <w:rsid w:val="006E44B4"/>
    <w:rsid w:val="006E45A2"/>
    <w:rsid w:val="006E4607"/>
    <w:rsid w:val="006E469D"/>
    <w:rsid w:val="006E47A2"/>
    <w:rsid w:val="006E48A4"/>
    <w:rsid w:val="006E48D3"/>
    <w:rsid w:val="006E4929"/>
    <w:rsid w:val="006E4952"/>
    <w:rsid w:val="006E49CE"/>
    <w:rsid w:val="006E49E3"/>
    <w:rsid w:val="006E4A0E"/>
    <w:rsid w:val="006E4B11"/>
    <w:rsid w:val="006E4BBC"/>
    <w:rsid w:val="006E4CBB"/>
    <w:rsid w:val="006E4CCF"/>
    <w:rsid w:val="006E4CFF"/>
    <w:rsid w:val="006E4D3B"/>
    <w:rsid w:val="006E4DAE"/>
    <w:rsid w:val="006E4E24"/>
    <w:rsid w:val="006E4ED2"/>
    <w:rsid w:val="006E4F66"/>
    <w:rsid w:val="006E4FC7"/>
    <w:rsid w:val="006E5091"/>
    <w:rsid w:val="006E5127"/>
    <w:rsid w:val="006E51D9"/>
    <w:rsid w:val="006E5225"/>
    <w:rsid w:val="006E52A2"/>
    <w:rsid w:val="006E52B8"/>
    <w:rsid w:val="006E52E5"/>
    <w:rsid w:val="006E53EF"/>
    <w:rsid w:val="006E5410"/>
    <w:rsid w:val="006E546A"/>
    <w:rsid w:val="006E548B"/>
    <w:rsid w:val="006E5521"/>
    <w:rsid w:val="006E5538"/>
    <w:rsid w:val="006E5633"/>
    <w:rsid w:val="006E5793"/>
    <w:rsid w:val="006E579D"/>
    <w:rsid w:val="006E581F"/>
    <w:rsid w:val="006E5893"/>
    <w:rsid w:val="006E59C4"/>
    <w:rsid w:val="006E5A1B"/>
    <w:rsid w:val="006E5AAF"/>
    <w:rsid w:val="006E5B68"/>
    <w:rsid w:val="006E5B9D"/>
    <w:rsid w:val="006E5BDE"/>
    <w:rsid w:val="006E5C06"/>
    <w:rsid w:val="006E5C84"/>
    <w:rsid w:val="006E5CF9"/>
    <w:rsid w:val="006E5DD7"/>
    <w:rsid w:val="006E5DE3"/>
    <w:rsid w:val="006E5EFA"/>
    <w:rsid w:val="006E5F75"/>
    <w:rsid w:val="006E5F94"/>
    <w:rsid w:val="006E620B"/>
    <w:rsid w:val="006E6225"/>
    <w:rsid w:val="006E626D"/>
    <w:rsid w:val="006E6276"/>
    <w:rsid w:val="006E62C2"/>
    <w:rsid w:val="006E644C"/>
    <w:rsid w:val="006E6549"/>
    <w:rsid w:val="006E65D4"/>
    <w:rsid w:val="006E6672"/>
    <w:rsid w:val="006E66A8"/>
    <w:rsid w:val="006E66AD"/>
    <w:rsid w:val="006E68BF"/>
    <w:rsid w:val="006E6932"/>
    <w:rsid w:val="006E69C2"/>
    <w:rsid w:val="006E69CA"/>
    <w:rsid w:val="006E6AD3"/>
    <w:rsid w:val="006E6B2C"/>
    <w:rsid w:val="006E6B7C"/>
    <w:rsid w:val="006E6D7E"/>
    <w:rsid w:val="006E6EB9"/>
    <w:rsid w:val="006E6FAA"/>
    <w:rsid w:val="006E6FF9"/>
    <w:rsid w:val="006E715D"/>
    <w:rsid w:val="006E71EF"/>
    <w:rsid w:val="006E722C"/>
    <w:rsid w:val="006E7361"/>
    <w:rsid w:val="006E73E4"/>
    <w:rsid w:val="006E75A3"/>
    <w:rsid w:val="006E7631"/>
    <w:rsid w:val="006E7675"/>
    <w:rsid w:val="006E79A5"/>
    <w:rsid w:val="006E79CF"/>
    <w:rsid w:val="006E79D3"/>
    <w:rsid w:val="006E7B45"/>
    <w:rsid w:val="006E7B56"/>
    <w:rsid w:val="006E7B66"/>
    <w:rsid w:val="006E7BCD"/>
    <w:rsid w:val="006E7C8B"/>
    <w:rsid w:val="006E7CDC"/>
    <w:rsid w:val="006E7E61"/>
    <w:rsid w:val="006F004A"/>
    <w:rsid w:val="006F0069"/>
    <w:rsid w:val="006F00B4"/>
    <w:rsid w:val="006F0102"/>
    <w:rsid w:val="006F0187"/>
    <w:rsid w:val="006F01FF"/>
    <w:rsid w:val="006F0392"/>
    <w:rsid w:val="006F0585"/>
    <w:rsid w:val="006F0721"/>
    <w:rsid w:val="006F074E"/>
    <w:rsid w:val="006F0766"/>
    <w:rsid w:val="006F07BD"/>
    <w:rsid w:val="006F08CF"/>
    <w:rsid w:val="006F09C6"/>
    <w:rsid w:val="006F0A78"/>
    <w:rsid w:val="006F0A8C"/>
    <w:rsid w:val="006F0A8D"/>
    <w:rsid w:val="006F0AAF"/>
    <w:rsid w:val="006F0AE8"/>
    <w:rsid w:val="006F0BC5"/>
    <w:rsid w:val="006F0C02"/>
    <w:rsid w:val="006F0C32"/>
    <w:rsid w:val="006F0E4E"/>
    <w:rsid w:val="006F0FBD"/>
    <w:rsid w:val="006F0FCC"/>
    <w:rsid w:val="006F10E0"/>
    <w:rsid w:val="006F1326"/>
    <w:rsid w:val="006F13BD"/>
    <w:rsid w:val="006F14D6"/>
    <w:rsid w:val="006F1619"/>
    <w:rsid w:val="006F1623"/>
    <w:rsid w:val="006F1889"/>
    <w:rsid w:val="006F18A9"/>
    <w:rsid w:val="006F19A6"/>
    <w:rsid w:val="006F19F8"/>
    <w:rsid w:val="006F1A17"/>
    <w:rsid w:val="006F1A24"/>
    <w:rsid w:val="006F1C9D"/>
    <w:rsid w:val="006F1CD1"/>
    <w:rsid w:val="006F1E00"/>
    <w:rsid w:val="006F1E33"/>
    <w:rsid w:val="006F1EAC"/>
    <w:rsid w:val="006F1ED9"/>
    <w:rsid w:val="006F1F89"/>
    <w:rsid w:val="006F20C6"/>
    <w:rsid w:val="006F2285"/>
    <w:rsid w:val="006F24F0"/>
    <w:rsid w:val="006F251A"/>
    <w:rsid w:val="006F258A"/>
    <w:rsid w:val="006F259B"/>
    <w:rsid w:val="006F2728"/>
    <w:rsid w:val="006F2739"/>
    <w:rsid w:val="006F2934"/>
    <w:rsid w:val="006F29AB"/>
    <w:rsid w:val="006F2A40"/>
    <w:rsid w:val="006F2B13"/>
    <w:rsid w:val="006F2B99"/>
    <w:rsid w:val="006F2BA6"/>
    <w:rsid w:val="006F2CD9"/>
    <w:rsid w:val="006F2DB3"/>
    <w:rsid w:val="006F2E8B"/>
    <w:rsid w:val="006F2EA9"/>
    <w:rsid w:val="006F2F9C"/>
    <w:rsid w:val="006F301B"/>
    <w:rsid w:val="006F322F"/>
    <w:rsid w:val="006F325D"/>
    <w:rsid w:val="006F3288"/>
    <w:rsid w:val="006F3342"/>
    <w:rsid w:val="006F3383"/>
    <w:rsid w:val="006F33E5"/>
    <w:rsid w:val="006F3486"/>
    <w:rsid w:val="006F3511"/>
    <w:rsid w:val="006F3791"/>
    <w:rsid w:val="006F37A1"/>
    <w:rsid w:val="006F3848"/>
    <w:rsid w:val="006F3883"/>
    <w:rsid w:val="006F38E4"/>
    <w:rsid w:val="006F38F1"/>
    <w:rsid w:val="006F3989"/>
    <w:rsid w:val="006F39EC"/>
    <w:rsid w:val="006F3A6C"/>
    <w:rsid w:val="006F3AE1"/>
    <w:rsid w:val="006F3B06"/>
    <w:rsid w:val="006F3B0F"/>
    <w:rsid w:val="006F3CF0"/>
    <w:rsid w:val="006F3D0F"/>
    <w:rsid w:val="006F3D98"/>
    <w:rsid w:val="006F408C"/>
    <w:rsid w:val="006F40D0"/>
    <w:rsid w:val="006F4218"/>
    <w:rsid w:val="006F428E"/>
    <w:rsid w:val="006F438C"/>
    <w:rsid w:val="006F44A4"/>
    <w:rsid w:val="006F450E"/>
    <w:rsid w:val="006F456D"/>
    <w:rsid w:val="006F4570"/>
    <w:rsid w:val="006F4723"/>
    <w:rsid w:val="006F473C"/>
    <w:rsid w:val="006F47AE"/>
    <w:rsid w:val="006F4A9E"/>
    <w:rsid w:val="006F4B02"/>
    <w:rsid w:val="006F4B60"/>
    <w:rsid w:val="006F4BD6"/>
    <w:rsid w:val="006F4D4A"/>
    <w:rsid w:val="006F4D62"/>
    <w:rsid w:val="006F4DA7"/>
    <w:rsid w:val="006F4DEB"/>
    <w:rsid w:val="006F4E0B"/>
    <w:rsid w:val="006F4E82"/>
    <w:rsid w:val="006F4F1E"/>
    <w:rsid w:val="006F4FC2"/>
    <w:rsid w:val="006F4FD7"/>
    <w:rsid w:val="006F5004"/>
    <w:rsid w:val="006F51B1"/>
    <w:rsid w:val="006F524F"/>
    <w:rsid w:val="006F5338"/>
    <w:rsid w:val="006F53BA"/>
    <w:rsid w:val="006F53EE"/>
    <w:rsid w:val="006F544E"/>
    <w:rsid w:val="006F550F"/>
    <w:rsid w:val="006F553C"/>
    <w:rsid w:val="006F5580"/>
    <w:rsid w:val="006F57E0"/>
    <w:rsid w:val="006F580C"/>
    <w:rsid w:val="006F5822"/>
    <w:rsid w:val="006F595F"/>
    <w:rsid w:val="006F5ADC"/>
    <w:rsid w:val="006F5AFD"/>
    <w:rsid w:val="006F5BD3"/>
    <w:rsid w:val="006F5C39"/>
    <w:rsid w:val="006F5C68"/>
    <w:rsid w:val="006F5D7A"/>
    <w:rsid w:val="006F5E66"/>
    <w:rsid w:val="006F6054"/>
    <w:rsid w:val="006F60AC"/>
    <w:rsid w:val="006F61DF"/>
    <w:rsid w:val="006F6260"/>
    <w:rsid w:val="006F629C"/>
    <w:rsid w:val="006F6353"/>
    <w:rsid w:val="006F63B3"/>
    <w:rsid w:val="006F64BA"/>
    <w:rsid w:val="006F64F3"/>
    <w:rsid w:val="006F6544"/>
    <w:rsid w:val="006F658D"/>
    <w:rsid w:val="006F659B"/>
    <w:rsid w:val="006F6630"/>
    <w:rsid w:val="006F6643"/>
    <w:rsid w:val="006F68CC"/>
    <w:rsid w:val="006F68FF"/>
    <w:rsid w:val="006F692D"/>
    <w:rsid w:val="006F69BA"/>
    <w:rsid w:val="006F69F0"/>
    <w:rsid w:val="006F6AD6"/>
    <w:rsid w:val="006F6C5B"/>
    <w:rsid w:val="006F6C71"/>
    <w:rsid w:val="006F6D29"/>
    <w:rsid w:val="006F6DB5"/>
    <w:rsid w:val="006F6E2A"/>
    <w:rsid w:val="006F6EB9"/>
    <w:rsid w:val="006F70EC"/>
    <w:rsid w:val="006F71A9"/>
    <w:rsid w:val="006F71E5"/>
    <w:rsid w:val="006F740F"/>
    <w:rsid w:val="006F74FF"/>
    <w:rsid w:val="006F7519"/>
    <w:rsid w:val="006F7608"/>
    <w:rsid w:val="006F7611"/>
    <w:rsid w:val="006F76BB"/>
    <w:rsid w:val="006F7701"/>
    <w:rsid w:val="006F78DC"/>
    <w:rsid w:val="006F7A05"/>
    <w:rsid w:val="006F7AF9"/>
    <w:rsid w:val="006F7B43"/>
    <w:rsid w:val="006F7BA2"/>
    <w:rsid w:val="006F7C9B"/>
    <w:rsid w:val="006F7E7F"/>
    <w:rsid w:val="0070008D"/>
    <w:rsid w:val="007000BB"/>
    <w:rsid w:val="0070014C"/>
    <w:rsid w:val="00700251"/>
    <w:rsid w:val="007002E0"/>
    <w:rsid w:val="007003BD"/>
    <w:rsid w:val="007004AC"/>
    <w:rsid w:val="007005DE"/>
    <w:rsid w:val="00700679"/>
    <w:rsid w:val="007006D9"/>
    <w:rsid w:val="00700882"/>
    <w:rsid w:val="007008D2"/>
    <w:rsid w:val="007008F1"/>
    <w:rsid w:val="00700B9D"/>
    <w:rsid w:val="00700C73"/>
    <w:rsid w:val="007011E4"/>
    <w:rsid w:val="00701269"/>
    <w:rsid w:val="0070133F"/>
    <w:rsid w:val="00701374"/>
    <w:rsid w:val="00701404"/>
    <w:rsid w:val="00701474"/>
    <w:rsid w:val="007014AD"/>
    <w:rsid w:val="007014D5"/>
    <w:rsid w:val="00701582"/>
    <w:rsid w:val="007015CC"/>
    <w:rsid w:val="007015DD"/>
    <w:rsid w:val="00701678"/>
    <w:rsid w:val="007016EB"/>
    <w:rsid w:val="00701759"/>
    <w:rsid w:val="0070179C"/>
    <w:rsid w:val="0070182A"/>
    <w:rsid w:val="00701844"/>
    <w:rsid w:val="00701A0F"/>
    <w:rsid w:val="00701A1E"/>
    <w:rsid w:val="00701B46"/>
    <w:rsid w:val="00701B4A"/>
    <w:rsid w:val="00701C28"/>
    <w:rsid w:val="00701CEB"/>
    <w:rsid w:val="00701D01"/>
    <w:rsid w:val="00701D94"/>
    <w:rsid w:val="00701E34"/>
    <w:rsid w:val="00701F56"/>
    <w:rsid w:val="00701F7B"/>
    <w:rsid w:val="00701F84"/>
    <w:rsid w:val="00701FB3"/>
    <w:rsid w:val="00701FC6"/>
    <w:rsid w:val="007020AB"/>
    <w:rsid w:val="007020EB"/>
    <w:rsid w:val="0070210C"/>
    <w:rsid w:val="00702122"/>
    <w:rsid w:val="00702133"/>
    <w:rsid w:val="007021C0"/>
    <w:rsid w:val="00702339"/>
    <w:rsid w:val="0070233C"/>
    <w:rsid w:val="00702465"/>
    <w:rsid w:val="00702551"/>
    <w:rsid w:val="0070276D"/>
    <w:rsid w:val="0070289B"/>
    <w:rsid w:val="007028F1"/>
    <w:rsid w:val="007029E2"/>
    <w:rsid w:val="00702A7B"/>
    <w:rsid w:val="00702AAB"/>
    <w:rsid w:val="00702B3E"/>
    <w:rsid w:val="00702C43"/>
    <w:rsid w:val="00702C7B"/>
    <w:rsid w:val="00702E23"/>
    <w:rsid w:val="00702ECF"/>
    <w:rsid w:val="00702F12"/>
    <w:rsid w:val="00702F1D"/>
    <w:rsid w:val="00702FBD"/>
    <w:rsid w:val="0070305B"/>
    <w:rsid w:val="007031DA"/>
    <w:rsid w:val="0070322B"/>
    <w:rsid w:val="00703250"/>
    <w:rsid w:val="007032ED"/>
    <w:rsid w:val="00703437"/>
    <w:rsid w:val="00703546"/>
    <w:rsid w:val="00703593"/>
    <w:rsid w:val="00703599"/>
    <w:rsid w:val="0070366E"/>
    <w:rsid w:val="00703803"/>
    <w:rsid w:val="0070397D"/>
    <w:rsid w:val="007039B5"/>
    <w:rsid w:val="00703A4B"/>
    <w:rsid w:val="00703A51"/>
    <w:rsid w:val="00703B22"/>
    <w:rsid w:val="00703B8E"/>
    <w:rsid w:val="00703BEC"/>
    <w:rsid w:val="00703D6E"/>
    <w:rsid w:val="00703E32"/>
    <w:rsid w:val="00703F01"/>
    <w:rsid w:val="00703F2E"/>
    <w:rsid w:val="00703F48"/>
    <w:rsid w:val="00704046"/>
    <w:rsid w:val="007040CC"/>
    <w:rsid w:val="00704109"/>
    <w:rsid w:val="00704183"/>
    <w:rsid w:val="00704263"/>
    <w:rsid w:val="007042CB"/>
    <w:rsid w:val="0070436C"/>
    <w:rsid w:val="007044B5"/>
    <w:rsid w:val="00704662"/>
    <w:rsid w:val="007046CE"/>
    <w:rsid w:val="007046E9"/>
    <w:rsid w:val="0070480D"/>
    <w:rsid w:val="007048A2"/>
    <w:rsid w:val="00704900"/>
    <w:rsid w:val="007049F9"/>
    <w:rsid w:val="00704A7B"/>
    <w:rsid w:val="00704C37"/>
    <w:rsid w:val="00704EC4"/>
    <w:rsid w:val="00704FD2"/>
    <w:rsid w:val="0070507A"/>
    <w:rsid w:val="00705112"/>
    <w:rsid w:val="00705210"/>
    <w:rsid w:val="00705286"/>
    <w:rsid w:val="0070542B"/>
    <w:rsid w:val="00705470"/>
    <w:rsid w:val="00705472"/>
    <w:rsid w:val="0070549A"/>
    <w:rsid w:val="007054A8"/>
    <w:rsid w:val="007055CB"/>
    <w:rsid w:val="00705611"/>
    <w:rsid w:val="007056C2"/>
    <w:rsid w:val="0070576A"/>
    <w:rsid w:val="00705773"/>
    <w:rsid w:val="007057FA"/>
    <w:rsid w:val="00705803"/>
    <w:rsid w:val="007058EC"/>
    <w:rsid w:val="007058F1"/>
    <w:rsid w:val="00705972"/>
    <w:rsid w:val="007059C7"/>
    <w:rsid w:val="00705A82"/>
    <w:rsid w:val="00705AB6"/>
    <w:rsid w:val="00705AC5"/>
    <w:rsid w:val="00705AFF"/>
    <w:rsid w:val="00705B28"/>
    <w:rsid w:val="00705B3C"/>
    <w:rsid w:val="00705BB4"/>
    <w:rsid w:val="00705D3B"/>
    <w:rsid w:val="00705E1A"/>
    <w:rsid w:val="0070602C"/>
    <w:rsid w:val="007060B7"/>
    <w:rsid w:val="00706144"/>
    <w:rsid w:val="0070628C"/>
    <w:rsid w:val="00706341"/>
    <w:rsid w:val="00706383"/>
    <w:rsid w:val="0070644E"/>
    <w:rsid w:val="007065B3"/>
    <w:rsid w:val="0070686D"/>
    <w:rsid w:val="00706991"/>
    <w:rsid w:val="00706A23"/>
    <w:rsid w:val="00706A70"/>
    <w:rsid w:val="00706B34"/>
    <w:rsid w:val="00706BD5"/>
    <w:rsid w:val="00706C4C"/>
    <w:rsid w:val="00706DD9"/>
    <w:rsid w:val="00706E93"/>
    <w:rsid w:val="00706F85"/>
    <w:rsid w:val="007070A6"/>
    <w:rsid w:val="007071FB"/>
    <w:rsid w:val="007073B8"/>
    <w:rsid w:val="0070745B"/>
    <w:rsid w:val="00707497"/>
    <w:rsid w:val="007074C7"/>
    <w:rsid w:val="007074D7"/>
    <w:rsid w:val="007074D8"/>
    <w:rsid w:val="00707516"/>
    <w:rsid w:val="00707526"/>
    <w:rsid w:val="007076B2"/>
    <w:rsid w:val="00707713"/>
    <w:rsid w:val="00707727"/>
    <w:rsid w:val="0070785F"/>
    <w:rsid w:val="007078A7"/>
    <w:rsid w:val="00707949"/>
    <w:rsid w:val="00707A0C"/>
    <w:rsid w:val="00707A12"/>
    <w:rsid w:val="00707A3B"/>
    <w:rsid w:val="00707AAC"/>
    <w:rsid w:val="00707ABB"/>
    <w:rsid w:val="00707BBE"/>
    <w:rsid w:val="00707DBE"/>
    <w:rsid w:val="00707EF4"/>
    <w:rsid w:val="00707EFF"/>
    <w:rsid w:val="00707F0B"/>
    <w:rsid w:val="00707FAB"/>
    <w:rsid w:val="0071006F"/>
    <w:rsid w:val="007101C7"/>
    <w:rsid w:val="007101DE"/>
    <w:rsid w:val="00710224"/>
    <w:rsid w:val="0071028E"/>
    <w:rsid w:val="007102E6"/>
    <w:rsid w:val="007103AB"/>
    <w:rsid w:val="007103B8"/>
    <w:rsid w:val="00710464"/>
    <w:rsid w:val="007104CB"/>
    <w:rsid w:val="007104EF"/>
    <w:rsid w:val="00710537"/>
    <w:rsid w:val="007105C3"/>
    <w:rsid w:val="007105C4"/>
    <w:rsid w:val="007105D0"/>
    <w:rsid w:val="007107CC"/>
    <w:rsid w:val="00710842"/>
    <w:rsid w:val="00710892"/>
    <w:rsid w:val="007108DE"/>
    <w:rsid w:val="0071090C"/>
    <w:rsid w:val="007109FE"/>
    <w:rsid w:val="00710A16"/>
    <w:rsid w:val="00710A61"/>
    <w:rsid w:val="00710ADB"/>
    <w:rsid w:val="00710B0C"/>
    <w:rsid w:val="00710B50"/>
    <w:rsid w:val="00710BD1"/>
    <w:rsid w:val="00710C2B"/>
    <w:rsid w:val="00710C54"/>
    <w:rsid w:val="00710D12"/>
    <w:rsid w:val="00710D40"/>
    <w:rsid w:val="00710D6D"/>
    <w:rsid w:val="00710DAD"/>
    <w:rsid w:val="00710F07"/>
    <w:rsid w:val="00711069"/>
    <w:rsid w:val="007110D6"/>
    <w:rsid w:val="0071110F"/>
    <w:rsid w:val="007111B7"/>
    <w:rsid w:val="007113A6"/>
    <w:rsid w:val="007113B9"/>
    <w:rsid w:val="007113F4"/>
    <w:rsid w:val="0071148D"/>
    <w:rsid w:val="007114BB"/>
    <w:rsid w:val="0071161F"/>
    <w:rsid w:val="007116DB"/>
    <w:rsid w:val="00711736"/>
    <w:rsid w:val="00711913"/>
    <w:rsid w:val="00711A04"/>
    <w:rsid w:val="00711A5E"/>
    <w:rsid w:val="00711A88"/>
    <w:rsid w:val="00711AC3"/>
    <w:rsid w:val="00711AC6"/>
    <w:rsid w:val="00711C01"/>
    <w:rsid w:val="00711C1C"/>
    <w:rsid w:val="00711C4E"/>
    <w:rsid w:val="00711C9D"/>
    <w:rsid w:val="00711D1A"/>
    <w:rsid w:val="00711DC6"/>
    <w:rsid w:val="00711DE0"/>
    <w:rsid w:val="00711E1F"/>
    <w:rsid w:val="00711FD9"/>
    <w:rsid w:val="0071202F"/>
    <w:rsid w:val="00712038"/>
    <w:rsid w:val="007120EA"/>
    <w:rsid w:val="00712195"/>
    <w:rsid w:val="00712226"/>
    <w:rsid w:val="0071234A"/>
    <w:rsid w:val="007126CA"/>
    <w:rsid w:val="0071271D"/>
    <w:rsid w:val="00712753"/>
    <w:rsid w:val="00712762"/>
    <w:rsid w:val="007127A5"/>
    <w:rsid w:val="007127CF"/>
    <w:rsid w:val="00712909"/>
    <w:rsid w:val="00712A3C"/>
    <w:rsid w:val="00712A84"/>
    <w:rsid w:val="00712B0D"/>
    <w:rsid w:val="00712BF2"/>
    <w:rsid w:val="00712EA7"/>
    <w:rsid w:val="00712ED3"/>
    <w:rsid w:val="0071304E"/>
    <w:rsid w:val="0071305A"/>
    <w:rsid w:val="007130BB"/>
    <w:rsid w:val="007130BC"/>
    <w:rsid w:val="007130EB"/>
    <w:rsid w:val="0071324C"/>
    <w:rsid w:val="007132FE"/>
    <w:rsid w:val="00713368"/>
    <w:rsid w:val="00713398"/>
    <w:rsid w:val="007133E0"/>
    <w:rsid w:val="0071359F"/>
    <w:rsid w:val="00713602"/>
    <w:rsid w:val="00713984"/>
    <w:rsid w:val="00713A87"/>
    <w:rsid w:val="00713ACC"/>
    <w:rsid w:val="00713B32"/>
    <w:rsid w:val="00713B5F"/>
    <w:rsid w:val="00713B76"/>
    <w:rsid w:val="00713C64"/>
    <w:rsid w:val="00713CCF"/>
    <w:rsid w:val="00713D7F"/>
    <w:rsid w:val="00713F01"/>
    <w:rsid w:val="00713FFA"/>
    <w:rsid w:val="00714214"/>
    <w:rsid w:val="007142D1"/>
    <w:rsid w:val="00714323"/>
    <w:rsid w:val="007143F9"/>
    <w:rsid w:val="007144CF"/>
    <w:rsid w:val="007145AA"/>
    <w:rsid w:val="00714720"/>
    <w:rsid w:val="00714746"/>
    <w:rsid w:val="00714827"/>
    <w:rsid w:val="007148AA"/>
    <w:rsid w:val="007148FB"/>
    <w:rsid w:val="00714977"/>
    <w:rsid w:val="007149EA"/>
    <w:rsid w:val="00714A77"/>
    <w:rsid w:val="00714A83"/>
    <w:rsid w:val="00714AA3"/>
    <w:rsid w:val="00714AC2"/>
    <w:rsid w:val="00714BAC"/>
    <w:rsid w:val="00714C9F"/>
    <w:rsid w:val="00714E02"/>
    <w:rsid w:val="00714E19"/>
    <w:rsid w:val="00714E91"/>
    <w:rsid w:val="00714EE1"/>
    <w:rsid w:val="00714EF6"/>
    <w:rsid w:val="00714F4E"/>
    <w:rsid w:val="00714F75"/>
    <w:rsid w:val="00714FA0"/>
    <w:rsid w:val="00714FB8"/>
    <w:rsid w:val="00715092"/>
    <w:rsid w:val="007150A6"/>
    <w:rsid w:val="00715112"/>
    <w:rsid w:val="007151D8"/>
    <w:rsid w:val="00715407"/>
    <w:rsid w:val="00715462"/>
    <w:rsid w:val="007155AB"/>
    <w:rsid w:val="00715680"/>
    <w:rsid w:val="0071571A"/>
    <w:rsid w:val="007157C1"/>
    <w:rsid w:val="0071592D"/>
    <w:rsid w:val="0071592F"/>
    <w:rsid w:val="007159AC"/>
    <w:rsid w:val="007159B5"/>
    <w:rsid w:val="007159BA"/>
    <w:rsid w:val="00715A34"/>
    <w:rsid w:val="00715B64"/>
    <w:rsid w:val="00715B8C"/>
    <w:rsid w:val="00715BE1"/>
    <w:rsid w:val="00715C93"/>
    <w:rsid w:val="00715D65"/>
    <w:rsid w:val="00715EC5"/>
    <w:rsid w:val="00715F6D"/>
    <w:rsid w:val="00715FC0"/>
    <w:rsid w:val="00715FFF"/>
    <w:rsid w:val="007160C1"/>
    <w:rsid w:val="0071623D"/>
    <w:rsid w:val="00716256"/>
    <w:rsid w:val="0071626D"/>
    <w:rsid w:val="007162A3"/>
    <w:rsid w:val="0071657F"/>
    <w:rsid w:val="0071662F"/>
    <w:rsid w:val="007166D2"/>
    <w:rsid w:val="0071679A"/>
    <w:rsid w:val="007167B6"/>
    <w:rsid w:val="007168EB"/>
    <w:rsid w:val="007168F7"/>
    <w:rsid w:val="00716907"/>
    <w:rsid w:val="00716921"/>
    <w:rsid w:val="00716A3C"/>
    <w:rsid w:val="00716A52"/>
    <w:rsid w:val="00716A59"/>
    <w:rsid w:val="00716ACD"/>
    <w:rsid w:val="00716AFF"/>
    <w:rsid w:val="00716B1B"/>
    <w:rsid w:val="00716BA3"/>
    <w:rsid w:val="00716D92"/>
    <w:rsid w:val="00716F0E"/>
    <w:rsid w:val="00717089"/>
    <w:rsid w:val="007171F4"/>
    <w:rsid w:val="0071722B"/>
    <w:rsid w:val="0071727B"/>
    <w:rsid w:val="007172E2"/>
    <w:rsid w:val="007173AD"/>
    <w:rsid w:val="007173D9"/>
    <w:rsid w:val="00717490"/>
    <w:rsid w:val="0071749B"/>
    <w:rsid w:val="007174B2"/>
    <w:rsid w:val="007175AB"/>
    <w:rsid w:val="00717606"/>
    <w:rsid w:val="007177BF"/>
    <w:rsid w:val="00717983"/>
    <w:rsid w:val="007179A1"/>
    <w:rsid w:val="00717B21"/>
    <w:rsid w:val="00717B36"/>
    <w:rsid w:val="00717BFE"/>
    <w:rsid w:val="00717D17"/>
    <w:rsid w:val="00717D34"/>
    <w:rsid w:val="00717D73"/>
    <w:rsid w:val="00717DE1"/>
    <w:rsid w:val="00717DF6"/>
    <w:rsid w:val="00717E28"/>
    <w:rsid w:val="00717FAC"/>
    <w:rsid w:val="00717FE0"/>
    <w:rsid w:val="00720068"/>
    <w:rsid w:val="00720085"/>
    <w:rsid w:val="007200B1"/>
    <w:rsid w:val="00720100"/>
    <w:rsid w:val="007201BC"/>
    <w:rsid w:val="00720216"/>
    <w:rsid w:val="0072037B"/>
    <w:rsid w:val="007203B5"/>
    <w:rsid w:val="007206A9"/>
    <w:rsid w:val="0072072D"/>
    <w:rsid w:val="007208AA"/>
    <w:rsid w:val="00720963"/>
    <w:rsid w:val="0072099B"/>
    <w:rsid w:val="007209FF"/>
    <w:rsid w:val="00720B4F"/>
    <w:rsid w:val="00720C1D"/>
    <w:rsid w:val="00720C96"/>
    <w:rsid w:val="00720CE4"/>
    <w:rsid w:val="00720D6C"/>
    <w:rsid w:val="00720DA0"/>
    <w:rsid w:val="00720DA1"/>
    <w:rsid w:val="00720DC2"/>
    <w:rsid w:val="00720F0C"/>
    <w:rsid w:val="00720F1B"/>
    <w:rsid w:val="00720F7E"/>
    <w:rsid w:val="00721081"/>
    <w:rsid w:val="00721145"/>
    <w:rsid w:val="007211B2"/>
    <w:rsid w:val="007211DE"/>
    <w:rsid w:val="00721313"/>
    <w:rsid w:val="0072136F"/>
    <w:rsid w:val="007213C2"/>
    <w:rsid w:val="007213CA"/>
    <w:rsid w:val="007214BE"/>
    <w:rsid w:val="007215A1"/>
    <w:rsid w:val="00721692"/>
    <w:rsid w:val="00721698"/>
    <w:rsid w:val="00721701"/>
    <w:rsid w:val="00721747"/>
    <w:rsid w:val="00721908"/>
    <w:rsid w:val="0072196D"/>
    <w:rsid w:val="00721C0A"/>
    <w:rsid w:val="00721ED1"/>
    <w:rsid w:val="00721F03"/>
    <w:rsid w:val="00721F1A"/>
    <w:rsid w:val="00721F55"/>
    <w:rsid w:val="0072206A"/>
    <w:rsid w:val="0072208D"/>
    <w:rsid w:val="007220BA"/>
    <w:rsid w:val="007220E9"/>
    <w:rsid w:val="007222FD"/>
    <w:rsid w:val="0072231A"/>
    <w:rsid w:val="0072232A"/>
    <w:rsid w:val="00722423"/>
    <w:rsid w:val="00722446"/>
    <w:rsid w:val="00722549"/>
    <w:rsid w:val="00722652"/>
    <w:rsid w:val="00722673"/>
    <w:rsid w:val="0072274D"/>
    <w:rsid w:val="007227A5"/>
    <w:rsid w:val="00722860"/>
    <w:rsid w:val="0072287F"/>
    <w:rsid w:val="007229B1"/>
    <w:rsid w:val="00722A5E"/>
    <w:rsid w:val="00722A92"/>
    <w:rsid w:val="00722A93"/>
    <w:rsid w:val="00722C57"/>
    <w:rsid w:val="00722C5B"/>
    <w:rsid w:val="00722CC3"/>
    <w:rsid w:val="00722CCA"/>
    <w:rsid w:val="00722E13"/>
    <w:rsid w:val="00722EF8"/>
    <w:rsid w:val="00723168"/>
    <w:rsid w:val="007231A4"/>
    <w:rsid w:val="007231A9"/>
    <w:rsid w:val="0072323C"/>
    <w:rsid w:val="0072325A"/>
    <w:rsid w:val="007232EB"/>
    <w:rsid w:val="0072331A"/>
    <w:rsid w:val="00723334"/>
    <w:rsid w:val="00723370"/>
    <w:rsid w:val="00723470"/>
    <w:rsid w:val="007234EF"/>
    <w:rsid w:val="0072351E"/>
    <w:rsid w:val="0072355A"/>
    <w:rsid w:val="0072359E"/>
    <w:rsid w:val="007235BD"/>
    <w:rsid w:val="00723687"/>
    <w:rsid w:val="00723863"/>
    <w:rsid w:val="0072391B"/>
    <w:rsid w:val="00723A6C"/>
    <w:rsid w:val="00723A70"/>
    <w:rsid w:val="00723B6A"/>
    <w:rsid w:val="00723BB9"/>
    <w:rsid w:val="00723C30"/>
    <w:rsid w:val="00723C4B"/>
    <w:rsid w:val="00723C74"/>
    <w:rsid w:val="00723D27"/>
    <w:rsid w:val="00723D7F"/>
    <w:rsid w:val="00723DAB"/>
    <w:rsid w:val="00723DB9"/>
    <w:rsid w:val="00723E23"/>
    <w:rsid w:val="00723E5A"/>
    <w:rsid w:val="00723EFE"/>
    <w:rsid w:val="00723FBA"/>
    <w:rsid w:val="00724072"/>
    <w:rsid w:val="00724089"/>
    <w:rsid w:val="00724090"/>
    <w:rsid w:val="00724174"/>
    <w:rsid w:val="007241F8"/>
    <w:rsid w:val="0072421B"/>
    <w:rsid w:val="00724362"/>
    <w:rsid w:val="007243D2"/>
    <w:rsid w:val="007244EE"/>
    <w:rsid w:val="00724567"/>
    <w:rsid w:val="0072475D"/>
    <w:rsid w:val="00724888"/>
    <w:rsid w:val="007248CC"/>
    <w:rsid w:val="00724944"/>
    <w:rsid w:val="007249C7"/>
    <w:rsid w:val="00724A2E"/>
    <w:rsid w:val="00724ABD"/>
    <w:rsid w:val="00724AEE"/>
    <w:rsid w:val="00724C96"/>
    <w:rsid w:val="00724DA1"/>
    <w:rsid w:val="00724E3F"/>
    <w:rsid w:val="00724E5C"/>
    <w:rsid w:val="00724EF9"/>
    <w:rsid w:val="00724F13"/>
    <w:rsid w:val="00724F36"/>
    <w:rsid w:val="00724F8E"/>
    <w:rsid w:val="0072517E"/>
    <w:rsid w:val="0072517F"/>
    <w:rsid w:val="00725258"/>
    <w:rsid w:val="007252DC"/>
    <w:rsid w:val="00725329"/>
    <w:rsid w:val="007253FD"/>
    <w:rsid w:val="00725403"/>
    <w:rsid w:val="0072546F"/>
    <w:rsid w:val="0072547C"/>
    <w:rsid w:val="007255E8"/>
    <w:rsid w:val="007256F7"/>
    <w:rsid w:val="007257FA"/>
    <w:rsid w:val="00725834"/>
    <w:rsid w:val="00725921"/>
    <w:rsid w:val="007259FB"/>
    <w:rsid w:val="00725C1C"/>
    <w:rsid w:val="00725C7D"/>
    <w:rsid w:val="00725C8D"/>
    <w:rsid w:val="00725CAD"/>
    <w:rsid w:val="00725CFB"/>
    <w:rsid w:val="00725D9D"/>
    <w:rsid w:val="00725DC0"/>
    <w:rsid w:val="00725F14"/>
    <w:rsid w:val="00726024"/>
    <w:rsid w:val="0072617E"/>
    <w:rsid w:val="00726325"/>
    <w:rsid w:val="00726483"/>
    <w:rsid w:val="007264C0"/>
    <w:rsid w:val="007264E4"/>
    <w:rsid w:val="0072651C"/>
    <w:rsid w:val="00726545"/>
    <w:rsid w:val="0072659E"/>
    <w:rsid w:val="0072660E"/>
    <w:rsid w:val="0072675E"/>
    <w:rsid w:val="007267AB"/>
    <w:rsid w:val="0072684A"/>
    <w:rsid w:val="00726941"/>
    <w:rsid w:val="00726A10"/>
    <w:rsid w:val="00726ABF"/>
    <w:rsid w:val="00726B87"/>
    <w:rsid w:val="00726B91"/>
    <w:rsid w:val="00726D68"/>
    <w:rsid w:val="00726D7E"/>
    <w:rsid w:val="00726D90"/>
    <w:rsid w:val="00726E5E"/>
    <w:rsid w:val="00726FF1"/>
    <w:rsid w:val="007272F9"/>
    <w:rsid w:val="00727584"/>
    <w:rsid w:val="0072762B"/>
    <w:rsid w:val="007276B5"/>
    <w:rsid w:val="0072784A"/>
    <w:rsid w:val="007278C9"/>
    <w:rsid w:val="00727977"/>
    <w:rsid w:val="00727A7F"/>
    <w:rsid w:val="00727A96"/>
    <w:rsid w:val="00727AE1"/>
    <w:rsid w:val="00727B68"/>
    <w:rsid w:val="00727C80"/>
    <w:rsid w:val="00727CEC"/>
    <w:rsid w:val="00727CF4"/>
    <w:rsid w:val="00727DD8"/>
    <w:rsid w:val="00727E48"/>
    <w:rsid w:val="00727E54"/>
    <w:rsid w:val="00727EA5"/>
    <w:rsid w:val="00727F30"/>
    <w:rsid w:val="00727F80"/>
    <w:rsid w:val="00730083"/>
    <w:rsid w:val="007300C9"/>
    <w:rsid w:val="0073014B"/>
    <w:rsid w:val="0073022C"/>
    <w:rsid w:val="0073023C"/>
    <w:rsid w:val="0073027B"/>
    <w:rsid w:val="007302B5"/>
    <w:rsid w:val="007302D1"/>
    <w:rsid w:val="007304FD"/>
    <w:rsid w:val="0073050E"/>
    <w:rsid w:val="007305C1"/>
    <w:rsid w:val="007306C7"/>
    <w:rsid w:val="007307A3"/>
    <w:rsid w:val="00730817"/>
    <w:rsid w:val="00730851"/>
    <w:rsid w:val="00730A10"/>
    <w:rsid w:val="00730AC8"/>
    <w:rsid w:val="00730B3C"/>
    <w:rsid w:val="00730C9A"/>
    <w:rsid w:val="00730EC5"/>
    <w:rsid w:val="00730EDD"/>
    <w:rsid w:val="00731095"/>
    <w:rsid w:val="007310A1"/>
    <w:rsid w:val="0073110E"/>
    <w:rsid w:val="00731225"/>
    <w:rsid w:val="00731262"/>
    <w:rsid w:val="00731273"/>
    <w:rsid w:val="00731282"/>
    <w:rsid w:val="007312FC"/>
    <w:rsid w:val="00731371"/>
    <w:rsid w:val="007314B1"/>
    <w:rsid w:val="007314D4"/>
    <w:rsid w:val="007314F9"/>
    <w:rsid w:val="0073163A"/>
    <w:rsid w:val="00731662"/>
    <w:rsid w:val="0073169A"/>
    <w:rsid w:val="00731702"/>
    <w:rsid w:val="0073180B"/>
    <w:rsid w:val="00731810"/>
    <w:rsid w:val="00731B39"/>
    <w:rsid w:val="00731C41"/>
    <w:rsid w:val="00731C95"/>
    <w:rsid w:val="00731CA5"/>
    <w:rsid w:val="00731EE7"/>
    <w:rsid w:val="00731FD5"/>
    <w:rsid w:val="00731FF4"/>
    <w:rsid w:val="007320C5"/>
    <w:rsid w:val="0073216F"/>
    <w:rsid w:val="00732170"/>
    <w:rsid w:val="007321C3"/>
    <w:rsid w:val="007321DF"/>
    <w:rsid w:val="00732260"/>
    <w:rsid w:val="007322C5"/>
    <w:rsid w:val="00732327"/>
    <w:rsid w:val="00732395"/>
    <w:rsid w:val="007323BD"/>
    <w:rsid w:val="007323F4"/>
    <w:rsid w:val="00732496"/>
    <w:rsid w:val="00732666"/>
    <w:rsid w:val="0073282F"/>
    <w:rsid w:val="007328DA"/>
    <w:rsid w:val="00732932"/>
    <w:rsid w:val="0073296E"/>
    <w:rsid w:val="007329AC"/>
    <w:rsid w:val="00732A60"/>
    <w:rsid w:val="00732B50"/>
    <w:rsid w:val="00732CDD"/>
    <w:rsid w:val="00732E1A"/>
    <w:rsid w:val="00732E5D"/>
    <w:rsid w:val="00732EBF"/>
    <w:rsid w:val="00732F92"/>
    <w:rsid w:val="007330A8"/>
    <w:rsid w:val="007330B2"/>
    <w:rsid w:val="00733243"/>
    <w:rsid w:val="007334E8"/>
    <w:rsid w:val="0073356E"/>
    <w:rsid w:val="00733575"/>
    <w:rsid w:val="007335A0"/>
    <w:rsid w:val="007337FB"/>
    <w:rsid w:val="00733828"/>
    <w:rsid w:val="007338A6"/>
    <w:rsid w:val="00733996"/>
    <w:rsid w:val="007339EF"/>
    <w:rsid w:val="00733BDE"/>
    <w:rsid w:val="00733CBA"/>
    <w:rsid w:val="00733D15"/>
    <w:rsid w:val="00733D2A"/>
    <w:rsid w:val="00733F59"/>
    <w:rsid w:val="00734027"/>
    <w:rsid w:val="0073404E"/>
    <w:rsid w:val="007340A4"/>
    <w:rsid w:val="007341C7"/>
    <w:rsid w:val="007341FA"/>
    <w:rsid w:val="00734328"/>
    <w:rsid w:val="00734393"/>
    <w:rsid w:val="007343C4"/>
    <w:rsid w:val="007344E7"/>
    <w:rsid w:val="00734553"/>
    <w:rsid w:val="007345D7"/>
    <w:rsid w:val="007346CD"/>
    <w:rsid w:val="007347B0"/>
    <w:rsid w:val="007347FD"/>
    <w:rsid w:val="007348EF"/>
    <w:rsid w:val="00734A45"/>
    <w:rsid w:val="00734A9F"/>
    <w:rsid w:val="00734CD7"/>
    <w:rsid w:val="00734CF3"/>
    <w:rsid w:val="00734D1F"/>
    <w:rsid w:val="00734F59"/>
    <w:rsid w:val="00734FC2"/>
    <w:rsid w:val="007351B8"/>
    <w:rsid w:val="00735230"/>
    <w:rsid w:val="007352F2"/>
    <w:rsid w:val="007352F6"/>
    <w:rsid w:val="0073548F"/>
    <w:rsid w:val="00735498"/>
    <w:rsid w:val="00735515"/>
    <w:rsid w:val="0073552C"/>
    <w:rsid w:val="0073558B"/>
    <w:rsid w:val="007356D5"/>
    <w:rsid w:val="0073589B"/>
    <w:rsid w:val="007358E9"/>
    <w:rsid w:val="007358F6"/>
    <w:rsid w:val="007359A1"/>
    <w:rsid w:val="00735A36"/>
    <w:rsid w:val="00735A3F"/>
    <w:rsid w:val="00735A8B"/>
    <w:rsid w:val="00735AEF"/>
    <w:rsid w:val="00735DCF"/>
    <w:rsid w:val="00735E5D"/>
    <w:rsid w:val="00735EDF"/>
    <w:rsid w:val="00735FC6"/>
    <w:rsid w:val="00735FE2"/>
    <w:rsid w:val="00736041"/>
    <w:rsid w:val="00736113"/>
    <w:rsid w:val="0073615A"/>
    <w:rsid w:val="007361E5"/>
    <w:rsid w:val="0073636B"/>
    <w:rsid w:val="0073639B"/>
    <w:rsid w:val="007363E3"/>
    <w:rsid w:val="0073645B"/>
    <w:rsid w:val="007364FE"/>
    <w:rsid w:val="00736544"/>
    <w:rsid w:val="0073659A"/>
    <w:rsid w:val="007365EE"/>
    <w:rsid w:val="007365F9"/>
    <w:rsid w:val="00736611"/>
    <w:rsid w:val="0073666D"/>
    <w:rsid w:val="00736870"/>
    <w:rsid w:val="00736908"/>
    <w:rsid w:val="00736926"/>
    <w:rsid w:val="0073696D"/>
    <w:rsid w:val="00736CC7"/>
    <w:rsid w:val="00736CE8"/>
    <w:rsid w:val="00736D17"/>
    <w:rsid w:val="00736E37"/>
    <w:rsid w:val="00736E87"/>
    <w:rsid w:val="00736F0C"/>
    <w:rsid w:val="00736F9D"/>
    <w:rsid w:val="00736FB8"/>
    <w:rsid w:val="00737161"/>
    <w:rsid w:val="007371A7"/>
    <w:rsid w:val="00737229"/>
    <w:rsid w:val="00737299"/>
    <w:rsid w:val="00737344"/>
    <w:rsid w:val="0073743D"/>
    <w:rsid w:val="007374FA"/>
    <w:rsid w:val="0073751A"/>
    <w:rsid w:val="00737533"/>
    <w:rsid w:val="007376DA"/>
    <w:rsid w:val="007377E3"/>
    <w:rsid w:val="0073783B"/>
    <w:rsid w:val="00737889"/>
    <w:rsid w:val="007378E6"/>
    <w:rsid w:val="00737969"/>
    <w:rsid w:val="00737975"/>
    <w:rsid w:val="00737A0A"/>
    <w:rsid w:val="00737BBF"/>
    <w:rsid w:val="00737BC0"/>
    <w:rsid w:val="00737C3E"/>
    <w:rsid w:val="00737D3E"/>
    <w:rsid w:val="00737DA4"/>
    <w:rsid w:val="00737E9A"/>
    <w:rsid w:val="00737F2A"/>
    <w:rsid w:val="00737F8B"/>
    <w:rsid w:val="0074013C"/>
    <w:rsid w:val="00740156"/>
    <w:rsid w:val="007401A6"/>
    <w:rsid w:val="007401E9"/>
    <w:rsid w:val="00740233"/>
    <w:rsid w:val="007402B4"/>
    <w:rsid w:val="007402E3"/>
    <w:rsid w:val="007403E0"/>
    <w:rsid w:val="007404CB"/>
    <w:rsid w:val="00740521"/>
    <w:rsid w:val="00740652"/>
    <w:rsid w:val="00740759"/>
    <w:rsid w:val="00740956"/>
    <w:rsid w:val="0074097E"/>
    <w:rsid w:val="007409A1"/>
    <w:rsid w:val="007409F1"/>
    <w:rsid w:val="00740A0E"/>
    <w:rsid w:val="00740A75"/>
    <w:rsid w:val="00740ADE"/>
    <w:rsid w:val="00740EDC"/>
    <w:rsid w:val="00740EF3"/>
    <w:rsid w:val="00740F3F"/>
    <w:rsid w:val="00740F49"/>
    <w:rsid w:val="00740F8A"/>
    <w:rsid w:val="00740F8F"/>
    <w:rsid w:val="0074100A"/>
    <w:rsid w:val="00741011"/>
    <w:rsid w:val="0074101C"/>
    <w:rsid w:val="0074111B"/>
    <w:rsid w:val="00741135"/>
    <w:rsid w:val="00741136"/>
    <w:rsid w:val="00741166"/>
    <w:rsid w:val="007411BA"/>
    <w:rsid w:val="0074123C"/>
    <w:rsid w:val="007412A4"/>
    <w:rsid w:val="007413A8"/>
    <w:rsid w:val="0074149F"/>
    <w:rsid w:val="007414BF"/>
    <w:rsid w:val="007414E2"/>
    <w:rsid w:val="00741737"/>
    <w:rsid w:val="00741872"/>
    <w:rsid w:val="007419F5"/>
    <w:rsid w:val="00741B25"/>
    <w:rsid w:val="00741B52"/>
    <w:rsid w:val="00741E39"/>
    <w:rsid w:val="00741ED8"/>
    <w:rsid w:val="00741F84"/>
    <w:rsid w:val="00741F9F"/>
    <w:rsid w:val="00742056"/>
    <w:rsid w:val="00742059"/>
    <w:rsid w:val="007420A4"/>
    <w:rsid w:val="00742188"/>
    <w:rsid w:val="00742242"/>
    <w:rsid w:val="0074229F"/>
    <w:rsid w:val="0074236D"/>
    <w:rsid w:val="00742464"/>
    <w:rsid w:val="0074269C"/>
    <w:rsid w:val="007427B1"/>
    <w:rsid w:val="0074283A"/>
    <w:rsid w:val="007429DB"/>
    <w:rsid w:val="00742A23"/>
    <w:rsid w:val="00742A56"/>
    <w:rsid w:val="00742B02"/>
    <w:rsid w:val="00742BF9"/>
    <w:rsid w:val="00742C86"/>
    <w:rsid w:val="00742E20"/>
    <w:rsid w:val="00742E26"/>
    <w:rsid w:val="00742ED2"/>
    <w:rsid w:val="00742EE4"/>
    <w:rsid w:val="00742FAA"/>
    <w:rsid w:val="00743346"/>
    <w:rsid w:val="0074339F"/>
    <w:rsid w:val="007433E0"/>
    <w:rsid w:val="007434C8"/>
    <w:rsid w:val="007434EB"/>
    <w:rsid w:val="0074369F"/>
    <w:rsid w:val="00743713"/>
    <w:rsid w:val="00743859"/>
    <w:rsid w:val="007438DF"/>
    <w:rsid w:val="0074396F"/>
    <w:rsid w:val="00743989"/>
    <w:rsid w:val="007439CA"/>
    <w:rsid w:val="007439CC"/>
    <w:rsid w:val="007439FC"/>
    <w:rsid w:val="00743B64"/>
    <w:rsid w:val="00743CB5"/>
    <w:rsid w:val="00743D67"/>
    <w:rsid w:val="00743DF2"/>
    <w:rsid w:val="00743E39"/>
    <w:rsid w:val="00743E87"/>
    <w:rsid w:val="00743F9A"/>
    <w:rsid w:val="00743FAA"/>
    <w:rsid w:val="0074408C"/>
    <w:rsid w:val="00744104"/>
    <w:rsid w:val="0074416B"/>
    <w:rsid w:val="007441BE"/>
    <w:rsid w:val="00744200"/>
    <w:rsid w:val="00744308"/>
    <w:rsid w:val="0074430A"/>
    <w:rsid w:val="0074436B"/>
    <w:rsid w:val="007443FB"/>
    <w:rsid w:val="00744528"/>
    <w:rsid w:val="007445B6"/>
    <w:rsid w:val="007445B7"/>
    <w:rsid w:val="007445BC"/>
    <w:rsid w:val="00744718"/>
    <w:rsid w:val="0074474A"/>
    <w:rsid w:val="00744893"/>
    <w:rsid w:val="007448AA"/>
    <w:rsid w:val="00744A34"/>
    <w:rsid w:val="00744B27"/>
    <w:rsid w:val="00744C0F"/>
    <w:rsid w:val="00744CBB"/>
    <w:rsid w:val="00744D01"/>
    <w:rsid w:val="00744E8E"/>
    <w:rsid w:val="00744F0F"/>
    <w:rsid w:val="00744F99"/>
    <w:rsid w:val="00744FB5"/>
    <w:rsid w:val="00744FC1"/>
    <w:rsid w:val="00744FDE"/>
    <w:rsid w:val="007450B6"/>
    <w:rsid w:val="00745106"/>
    <w:rsid w:val="0074515E"/>
    <w:rsid w:val="007451FA"/>
    <w:rsid w:val="0074523C"/>
    <w:rsid w:val="00745337"/>
    <w:rsid w:val="007453B4"/>
    <w:rsid w:val="007453F2"/>
    <w:rsid w:val="007455BB"/>
    <w:rsid w:val="007455CA"/>
    <w:rsid w:val="007455DA"/>
    <w:rsid w:val="0074569A"/>
    <w:rsid w:val="0074595D"/>
    <w:rsid w:val="00745B0E"/>
    <w:rsid w:val="00745B8D"/>
    <w:rsid w:val="00745D04"/>
    <w:rsid w:val="00745D27"/>
    <w:rsid w:val="00745D7E"/>
    <w:rsid w:val="00745DEF"/>
    <w:rsid w:val="00745E01"/>
    <w:rsid w:val="00745E98"/>
    <w:rsid w:val="00745EE6"/>
    <w:rsid w:val="00745EEB"/>
    <w:rsid w:val="00745F36"/>
    <w:rsid w:val="00746040"/>
    <w:rsid w:val="0074609E"/>
    <w:rsid w:val="007460E7"/>
    <w:rsid w:val="00746200"/>
    <w:rsid w:val="007462CC"/>
    <w:rsid w:val="0074630E"/>
    <w:rsid w:val="0074631C"/>
    <w:rsid w:val="007463BA"/>
    <w:rsid w:val="007463C0"/>
    <w:rsid w:val="007465AB"/>
    <w:rsid w:val="00746658"/>
    <w:rsid w:val="00746675"/>
    <w:rsid w:val="0074669B"/>
    <w:rsid w:val="00746790"/>
    <w:rsid w:val="007467C3"/>
    <w:rsid w:val="0074680B"/>
    <w:rsid w:val="00746869"/>
    <w:rsid w:val="00746876"/>
    <w:rsid w:val="007469D7"/>
    <w:rsid w:val="00746BEC"/>
    <w:rsid w:val="00746CAD"/>
    <w:rsid w:val="00746E6B"/>
    <w:rsid w:val="00746EF7"/>
    <w:rsid w:val="00746FC9"/>
    <w:rsid w:val="007471A4"/>
    <w:rsid w:val="0074725B"/>
    <w:rsid w:val="00747285"/>
    <w:rsid w:val="00747302"/>
    <w:rsid w:val="0074730F"/>
    <w:rsid w:val="00747373"/>
    <w:rsid w:val="007473AD"/>
    <w:rsid w:val="00747522"/>
    <w:rsid w:val="00747637"/>
    <w:rsid w:val="00747659"/>
    <w:rsid w:val="00747729"/>
    <w:rsid w:val="00747746"/>
    <w:rsid w:val="0074786E"/>
    <w:rsid w:val="00747877"/>
    <w:rsid w:val="00747898"/>
    <w:rsid w:val="00747942"/>
    <w:rsid w:val="00747976"/>
    <w:rsid w:val="00747996"/>
    <w:rsid w:val="007479EF"/>
    <w:rsid w:val="00747ABF"/>
    <w:rsid w:val="00747AEA"/>
    <w:rsid w:val="00747C19"/>
    <w:rsid w:val="00747CB0"/>
    <w:rsid w:val="00747E96"/>
    <w:rsid w:val="00747EEA"/>
    <w:rsid w:val="00747F43"/>
    <w:rsid w:val="00747FDC"/>
    <w:rsid w:val="00750006"/>
    <w:rsid w:val="00750144"/>
    <w:rsid w:val="007501B8"/>
    <w:rsid w:val="007501D8"/>
    <w:rsid w:val="007502C9"/>
    <w:rsid w:val="007503C7"/>
    <w:rsid w:val="007503EF"/>
    <w:rsid w:val="007504FF"/>
    <w:rsid w:val="00750556"/>
    <w:rsid w:val="00750600"/>
    <w:rsid w:val="0075067A"/>
    <w:rsid w:val="007506BE"/>
    <w:rsid w:val="0075076C"/>
    <w:rsid w:val="007507DC"/>
    <w:rsid w:val="00750880"/>
    <w:rsid w:val="007509F6"/>
    <w:rsid w:val="00750A3E"/>
    <w:rsid w:val="00750B60"/>
    <w:rsid w:val="00750BF1"/>
    <w:rsid w:val="00750D16"/>
    <w:rsid w:val="00750D34"/>
    <w:rsid w:val="00750D67"/>
    <w:rsid w:val="00750E09"/>
    <w:rsid w:val="00750E3B"/>
    <w:rsid w:val="00750E6D"/>
    <w:rsid w:val="00750ECC"/>
    <w:rsid w:val="00750F36"/>
    <w:rsid w:val="00750F5A"/>
    <w:rsid w:val="007510C7"/>
    <w:rsid w:val="00751371"/>
    <w:rsid w:val="0075137B"/>
    <w:rsid w:val="00751487"/>
    <w:rsid w:val="0075153A"/>
    <w:rsid w:val="00751558"/>
    <w:rsid w:val="007515A5"/>
    <w:rsid w:val="007515B4"/>
    <w:rsid w:val="0075169C"/>
    <w:rsid w:val="007516C2"/>
    <w:rsid w:val="007517F6"/>
    <w:rsid w:val="0075182E"/>
    <w:rsid w:val="007518AC"/>
    <w:rsid w:val="0075193F"/>
    <w:rsid w:val="00751982"/>
    <w:rsid w:val="007519BC"/>
    <w:rsid w:val="00751AA9"/>
    <w:rsid w:val="00751AC5"/>
    <w:rsid w:val="00751B44"/>
    <w:rsid w:val="00751B80"/>
    <w:rsid w:val="00751BDB"/>
    <w:rsid w:val="00751C0F"/>
    <w:rsid w:val="00751C91"/>
    <w:rsid w:val="00751DCF"/>
    <w:rsid w:val="00751DFA"/>
    <w:rsid w:val="00751E39"/>
    <w:rsid w:val="00751E7C"/>
    <w:rsid w:val="00751F02"/>
    <w:rsid w:val="00751F08"/>
    <w:rsid w:val="00751F80"/>
    <w:rsid w:val="00751FA0"/>
    <w:rsid w:val="0075208A"/>
    <w:rsid w:val="00752103"/>
    <w:rsid w:val="00752254"/>
    <w:rsid w:val="0075228B"/>
    <w:rsid w:val="007522C7"/>
    <w:rsid w:val="007523FA"/>
    <w:rsid w:val="00752459"/>
    <w:rsid w:val="007526A9"/>
    <w:rsid w:val="007526B6"/>
    <w:rsid w:val="00752771"/>
    <w:rsid w:val="00752793"/>
    <w:rsid w:val="00752810"/>
    <w:rsid w:val="00752B58"/>
    <w:rsid w:val="00752C8B"/>
    <w:rsid w:val="00752D0A"/>
    <w:rsid w:val="00752D2F"/>
    <w:rsid w:val="00752D31"/>
    <w:rsid w:val="00752DD6"/>
    <w:rsid w:val="00752DF5"/>
    <w:rsid w:val="00752E68"/>
    <w:rsid w:val="00752EBF"/>
    <w:rsid w:val="00752F5F"/>
    <w:rsid w:val="00753037"/>
    <w:rsid w:val="00753213"/>
    <w:rsid w:val="00753277"/>
    <w:rsid w:val="0075330B"/>
    <w:rsid w:val="00753310"/>
    <w:rsid w:val="0075331C"/>
    <w:rsid w:val="007533CF"/>
    <w:rsid w:val="00753649"/>
    <w:rsid w:val="007536A3"/>
    <w:rsid w:val="00753776"/>
    <w:rsid w:val="00753805"/>
    <w:rsid w:val="0075381D"/>
    <w:rsid w:val="007538E4"/>
    <w:rsid w:val="00753917"/>
    <w:rsid w:val="00753918"/>
    <w:rsid w:val="0075391F"/>
    <w:rsid w:val="0075392F"/>
    <w:rsid w:val="00753A12"/>
    <w:rsid w:val="00753A33"/>
    <w:rsid w:val="00753AA8"/>
    <w:rsid w:val="00753B23"/>
    <w:rsid w:val="00753B6A"/>
    <w:rsid w:val="00753B6C"/>
    <w:rsid w:val="00753B6E"/>
    <w:rsid w:val="00753BF8"/>
    <w:rsid w:val="00753C20"/>
    <w:rsid w:val="00753C6C"/>
    <w:rsid w:val="00753CC5"/>
    <w:rsid w:val="00753F78"/>
    <w:rsid w:val="00754003"/>
    <w:rsid w:val="0075406B"/>
    <w:rsid w:val="007540F2"/>
    <w:rsid w:val="00754119"/>
    <w:rsid w:val="00754138"/>
    <w:rsid w:val="007542EE"/>
    <w:rsid w:val="0075434F"/>
    <w:rsid w:val="00754733"/>
    <w:rsid w:val="007548D0"/>
    <w:rsid w:val="00754987"/>
    <w:rsid w:val="007549B0"/>
    <w:rsid w:val="00754A86"/>
    <w:rsid w:val="00754ABE"/>
    <w:rsid w:val="00754B91"/>
    <w:rsid w:val="00754C01"/>
    <w:rsid w:val="00754C35"/>
    <w:rsid w:val="00754C7F"/>
    <w:rsid w:val="00754EE5"/>
    <w:rsid w:val="00754FA2"/>
    <w:rsid w:val="00755195"/>
    <w:rsid w:val="007551A7"/>
    <w:rsid w:val="007552EE"/>
    <w:rsid w:val="0075531F"/>
    <w:rsid w:val="00755337"/>
    <w:rsid w:val="0075535B"/>
    <w:rsid w:val="00755360"/>
    <w:rsid w:val="007553D1"/>
    <w:rsid w:val="007554A2"/>
    <w:rsid w:val="00755585"/>
    <w:rsid w:val="0075558D"/>
    <w:rsid w:val="007555C4"/>
    <w:rsid w:val="00755692"/>
    <w:rsid w:val="00755799"/>
    <w:rsid w:val="007557A8"/>
    <w:rsid w:val="007557EC"/>
    <w:rsid w:val="007558EC"/>
    <w:rsid w:val="0075594A"/>
    <w:rsid w:val="00755BC3"/>
    <w:rsid w:val="00755CB2"/>
    <w:rsid w:val="00755DB0"/>
    <w:rsid w:val="00755DD3"/>
    <w:rsid w:val="00755EDE"/>
    <w:rsid w:val="00755F04"/>
    <w:rsid w:val="00755F89"/>
    <w:rsid w:val="00755FB2"/>
    <w:rsid w:val="0075603A"/>
    <w:rsid w:val="0075605D"/>
    <w:rsid w:val="00756075"/>
    <w:rsid w:val="007560C8"/>
    <w:rsid w:val="007560D7"/>
    <w:rsid w:val="007562A8"/>
    <w:rsid w:val="007562B7"/>
    <w:rsid w:val="00756315"/>
    <w:rsid w:val="00756413"/>
    <w:rsid w:val="007564E6"/>
    <w:rsid w:val="00756710"/>
    <w:rsid w:val="00756723"/>
    <w:rsid w:val="00756790"/>
    <w:rsid w:val="00756808"/>
    <w:rsid w:val="00756811"/>
    <w:rsid w:val="00756814"/>
    <w:rsid w:val="0075686B"/>
    <w:rsid w:val="00756A43"/>
    <w:rsid w:val="00756A97"/>
    <w:rsid w:val="00756AC5"/>
    <w:rsid w:val="00756B04"/>
    <w:rsid w:val="00756C3F"/>
    <w:rsid w:val="00756D07"/>
    <w:rsid w:val="00756DF7"/>
    <w:rsid w:val="00756E4A"/>
    <w:rsid w:val="00756EC5"/>
    <w:rsid w:val="00756ECD"/>
    <w:rsid w:val="00757085"/>
    <w:rsid w:val="0075709E"/>
    <w:rsid w:val="00757229"/>
    <w:rsid w:val="00757282"/>
    <w:rsid w:val="007572A2"/>
    <w:rsid w:val="007572FF"/>
    <w:rsid w:val="007573C0"/>
    <w:rsid w:val="007573F2"/>
    <w:rsid w:val="0075744C"/>
    <w:rsid w:val="007574BC"/>
    <w:rsid w:val="00757691"/>
    <w:rsid w:val="00757727"/>
    <w:rsid w:val="007577F6"/>
    <w:rsid w:val="0075782D"/>
    <w:rsid w:val="007579CC"/>
    <w:rsid w:val="00757B00"/>
    <w:rsid w:val="00757DAC"/>
    <w:rsid w:val="00757EAE"/>
    <w:rsid w:val="00757F2D"/>
    <w:rsid w:val="00757F83"/>
    <w:rsid w:val="00757F9C"/>
    <w:rsid w:val="00759260"/>
    <w:rsid w:val="0075C0B2"/>
    <w:rsid w:val="00760006"/>
    <w:rsid w:val="00760017"/>
    <w:rsid w:val="0076012B"/>
    <w:rsid w:val="007601B3"/>
    <w:rsid w:val="007601BB"/>
    <w:rsid w:val="007601CC"/>
    <w:rsid w:val="007601DB"/>
    <w:rsid w:val="007601E8"/>
    <w:rsid w:val="007602A5"/>
    <w:rsid w:val="007604CF"/>
    <w:rsid w:val="0076074A"/>
    <w:rsid w:val="007608DE"/>
    <w:rsid w:val="007608F7"/>
    <w:rsid w:val="00760948"/>
    <w:rsid w:val="007609B5"/>
    <w:rsid w:val="00760A39"/>
    <w:rsid w:val="00760A6A"/>
    <w:rsid w:val="00760A78"/>
    <w:rsid w:val="00760A83"/>
    <w:rsid w:val="00760AA4"/>
    <w:rsid w:val="00760ADA"/>
    <w:rsid w:val="00760CE8"/>
    <w:rsid w:val="00760D09"/>
    <w:rsid w:val="00760D3A"/>
    <w:rsid w:val="00760DA4"/>
    <w:rsid w:val="00760DDC"/>
    <w:rsid w:val="00760E93"/>
    <w:rsid w:val="00760F87"/>
    <w:rsid w:val="00760FB0"/>
    <w:rsid w:val="00760FD5"/>
    <w:rsid w:val="00760FE6"/>
    <w:rsid w:val="00761101"/>
    <w:rsid w:val="00761126"/>
    <w:rsid w:val="0076112A"/>
    <w:rsid w:val="007611F8"/>
    <w:rsid w:val="00761311"/>
    <w:rsid w:val="007613CC"/>
    <w:rsid w:val="007613CF"/>
    <w:rsid w:val="007614C5"/>
    <w:rsid w:val="00761575"/>
    <w:rsid w:val="00761642"/>
    <w:rsid w:val="0076166A"/>
    <w:rsid w:val="007616C9"/>
    <w:rsid w:val="007618A8"/>
    <w:rsid w:val="00761984"/>
    <w:rsid w:val="00761A26"/>
    <w:rsid w:val="00761A56"/>
    <w:rsid w:val="00761AE8"/>
    <w:rsid w:val="00761B02"/>
    <w:rsid w:val="00761B7E"/>
    <w:rsid w:val="00761D41"/>
    <w:rsid w:val="00762107"/>
    <w:rsid w:val="0076216C"/>
    <w:rsid w:val="00762197"/>
    <w:rsid w:val="00762227"/>
    <w:rsid w:val="0076236E"/>
    <w:rsid w:val="007623ED"/>
    <w:rsid w:val="00762442"/>
    <w:rsid w:val="007624B1"/>
    <w:rsid w:val="00762524"/>
    <w:rsid w:val="00762584"/>
    <w:rsid w:val="007625DC"/>
    <w:rsid w:val="0076263B"/>
    <w:rsid w:val="00762669"/>
    <w:rsid w:val="007626B5"/>
    <w:rsid w:val="00762706"/>
    <w:rsid w:val="0076272F"/>
    <w:rsid w:val="007627AC"/>
    <w:rsid w:val="007628D8"/>
    <w:rsid w:val="0076297F"/>
    <w:rsid w:val="0076298B"/>
    <w:rsid w:val="00762B72"/>
    <w:rsid w:val="00762B7B"/>
    <w:rsid w:val="00762B89"/>
    <w:rsid w:val="00762D78"/>
    <w:rsid w:val="00763189"/>
    <w:rsid w:val="007631CC"/>
    <w:rsid w:val="00763311"/>
    <w:rsid w:val="0076340A"/>
    <w:rsid w:val="00763433"/>
    <w:rsid w:val="007634C5"/>
    <w:rsid w:val="00763548"/>
    <w:rsid w:val="00763555"/>
    <w:rsid w:val="0076360A"/>
    <w:rsid w:val="007636D0"/>
    <w:rsid w:val="007637A2"/>
    <w:rsid w:val="007637A6"/>
    <w:rsid w:val="007637D7"/>
    <w:rsid w:val="00763854"/>
    <w:rsid w:val="00763979"/>
    <w:rsid w:val="00763A7C"/>
    <w:rsid w:val="00763ABD"/>
    <w:rsid w:val="00763ABE"/>
    <w:rsid w:val="00763B4E"/>
    <w:rsid w:val="00763CBD"/>
    <w:rsid w:val="00763DEF"/>
    <w:rsid w:val="00763DF2"/>
    <w:rsid w:val="00763F10"/>
    <w:rsid w:val="0076418B"/>
    <w:rsid w:val="00764297"/>
    <w:rsid w:val="007642E2"/>
    <w:rsid w:val="00764396"/>
    <w:rsid w:val="007643EA"/>
    <w:rsid w:val="0076459C"/>
    <w:rsid w:val="007645BE"/>
    <w:rsid w:val="007645CA"/>
    <w:rsid w:val="007645EB"/>
    <w:rsid w:val="007645F6"/>
    <w:rsid w:val="0076462E"/>
    <w:rsid w:val="0076465B"/>
    <w:rsid w:val="00764705"/>
    <w:rsid w:val="00764725"/>
    <w:rsid w:val="0076472D"/>
    <w:rsid w:val="0076473C"/>
    <w:rsid w:val="00764858"/>
    <w:rsid w:val="007648C2"/>
    <w:rsid w:val="00764A99"/>
    <w:rsid w:val="00764B52"/>
    <w:rsid w:val="00764BA4"/>
    <w:rsid w:val="00764D2D"/>
    <w:rsid w:val="00764F49"/>
    <w:rsid w:val="00764F65"/>
    <w:rsid w:val="00764FA8"/>
    <w:rsid w:val="00764FD3"/>
    <w:rsid w:val="00765008"/>
    <w:rsid w:val="0076513A"/>
    <w:rsid w:val="0076516D"/>
    <w:rsid w:val="00765268"/>
    <w:rsid w:val="00765287"/>
    <w:rsid w:val="007652D5"/>
    <w:rsid w:val="007652E4"/>
    <w:rsid w:val="007654F9"/>
    <w:rsid w:val="00765580"/>
    <w:rsid w:val="0076567A"/>
    <w:rsid w:val="0076571B"/>
    <w:rsid w:val="00765732"/>
    <w:rsid w:val="007657B3"/>
    <w:rsid w:val="00765899"/>
    <w:rsid w:val="00765AEE"/>
    <w:rsid w:val="00765BD6"/>
    <w:rsid w:val="00765C68"/>
    <w:rsid w:val="00765C9D"/>
    <w:rsid w:val="00765E36"/>
    <w:rsid w:val="00765EE3"/>
    <w:rsid w:val="00765F9E"/>
    <w:rsid w:val="00765FE8"/>
    <w:rsid w:val="00766067"/>
    <w:rsid w:val="007660D2"/>
    <w:rsid w:val="007661D4"/>
    <w:rsid w:val="0076623D"/>
    <w:rsid w:val="007662A3"/>
    <w:rsid w:val="007662D9"/>
    <w:rsid w:val="0076636E"/>
    <w:rsid w:val="007664E6"/>
    <w:rsid w:val="007665A0"/>
    <w:rsid w:val="00766605"/>
    <w:rsid w:val="00766704"/>
    <w:rsid w:val="0076683E"/>
    <w:rsid w:val="007668AA"/>
    <w:rsid w:val="00766A3F"/>
    <w:rsid w:val="00766A79"/>
    <w:rsid w:val="00766B05"/>
    <w:rsid w:val="00766CAC"/>
    <w:rsid w:val="00766D0A"/>
    <w:rsid w:val="00766DD6"/>
    <w:rsid w:val="00766E7D"/>
    <w:rsid w:val="00766F61"/>
    <w:rsid w:val="00767011"/>
    <w:rsid w:val="007670E5"/>
    <w:rsid w:val="00767123"/>
    <w:rsid w:val="0076735B"/>
    <w:rsid w:val="007673AA"/>
    <w:rsid w:val="0076740B"/>
    <w:rsid w:val="00767416"/>
    <w:rsid w:val="007675D2"/>
    <w:rsid w:val="0076773E"/>
    <w:rsid w:val="00767779"/>
    <w:rsid w:val="00767804"/>
    <w:rsid w:val="00767A50"/>
    <w:rsid w:val="00767B86"/>
    <w:rsid w:val="00767BDA"/>
    <w:rsid w:val="00767CC5"/>
    <w:rsid w:val="00767E44"/>
    <w:rsid w:val="00767F65"/>
    <w:rsid w:val="00770121"/>
    <w:rsid w:val="00770181"/>
    <w:rsid w:val="007701F3"/>
    <w:rsid w:val="00770225"/>
    <w:rsid w:val="00770229"/>
    <w:rsid w:val="007703B0"/>
    <w:rsid w:val="0077046F"/>
    <w:rsid w:val="007704CE"/>
    <w:rsid w:val="007706DB"/>
    <w:rsid w:val="0077087C"/>
    <w:rsid w:val="00770880"/>
    <w:rsid w:val="007708BD"/>
    <w:rsid w:val="007708C6"/>
    <w:rsid w:val="007709FD"/>
    <w:rsid w:val="00770B6C"/>
    <w:rsid w:val="00770CA4"/>
    <w:rsid w:val="00770CB9"/>
    <w:rsid w:val="00770CC3"/>
    <w:rsid w:val="00770F1E"/>
    <w:rsid w:val="00771187"/>
    <w:rsid w:val="007711BE"/>
    <w:rsid w:val="00771246"/>
    <w:rsid w:val="0077148D"/>
    <w:rsid w:val="007715CC"/>
    <w:rsid w:val="0077162C"/>
    <w:rsid w:val="00771665"/>
    <w:rsid w:val="007716E1"/>
    <w:rsid w:val="007719FB"/>
    <w:rsid w:val="00771AA5"/>
    <w:rsid w:val="00771AED"/>
    <w:rsid w:val="00771B88"/>
    <w:rsid w:val="00771CA4"/>
    <w:rsid w:val="00771CDC"/>
    <w:rsid w:val="00771D5B"/>
    <w:rsid w:val="00771DC2"/>
    <w:rsid w:val="00771F78"/>
    <w:rsid w:val="00771FA4"/>
    <w:rsid w:val="00772041"/>
    <w:rsid w:val="00772102"/>
    <w:rsid w:val="0077210F"/>
    <w:rsid w:val="00772134"/>
    <w:rsid w:val="007721A7"/>
    <w:rsid w:val="00772331"/>
    <w:rsid w:val="00772356"/>
    <w:rsid w:val="007723AD"/>
    <w:rsid w:val="007723D6"/>
    <w:rsid w:val="0077256C"/>
    <w:rsid w:val="007726AC"/>
    <w:rsid w:val="00772709"/>
    <w:rsid w:val="00772749"/>
    <w:rsid w:val="00772758"/>
    <w:rsid w:val="007727C3"/>
    <w:rsid w:val="007728AF"/>
    <w:rsid w:val="007728DB"/>
    <w:rsid w:val="007728EE"/>
    <w:rsid w:val="00772915"/>
    <w:rsid w:val="00772B3E"/>
    <w:rsid w:val="00772BE3"/>
    <w:rsid w:val="00772C61"/>
    <w:rsid w:val="00772CCB"/>
    <w:rsid w:val="00772ECA"/>
    <w:rsid w:val="0077303E"/>
    <w:rsid w:val="007730FE"/>
    <w:rsid w:val="00773122"/>
    <w:rsid w:val="0077321B"/>
    <w:rsid w:val="007732BC"/>
    <w:rsid w:val="007732EE"/>
    <w:rsid w:val="0077336D"/>
    <w:rsid w:val="007733F6"/>
    <w:rsid w:val="007734F2"/>
    <w:rsid w:val="0077359A"/>
    <w:rsid w:val="00773797"/>
    <w:rsid w:val="00773799"/>
    <w:rsid w:val="007737DA"/>
    <w:rsid w:val="00773866"/>
    <w:rsid w:val="007739AF"/>
    <w:rsid w:val="00773AAE"/>
    <w:rsid w:val="00773C7B"/>
    <w:rsid w:val="00773CEA"/>
    <w:rsid w:val="00773DF9"/>
    <w:rsid w:val="00773E41"/>
    <w:rsid w:val="00773E7C"/>
    <w:rsid w:val="00773E97"/>
    <w:rsid w:val="00774029"/>
    <w:rsid w:val="007741E9"/>
    <w:rsid w:val="007741FD"/>
    <w:rsid w:val="0077423E"/>
    <w:rsid w:val="00774300"/>
    <w:rsid w:val="00774443"/>
    <w:rsid w:val="007744C1"/>
    <w:rsid w:val="00774580"/>
    <w:rsid w:val="0077464D"/>
    <w:rsid w:val="007746BE"/>
    <w:rsid w:val="007746F4"/>
    <w:rsid w:val="00774711"/>
    <w:rsid w:val="007747F7"/>
    <w:rsid w:val="007748B7"/>
    <w:rsid w:val="007748F1"/>
    <w:rsid w:val="00774A08"/>
    <w:rsid w:val="00774A23"/>
    <w:rsid w:val="00774AC7"/>
    <w:rsid w:val="00774BBB"/>
    <w:rsid w:val="00774D27"/>
    <w:rsid w:val="00774D80"/>
    <w:rsid w:val="00774DB3"/>
    <w:rsid w:val="00774DE1"/>
    <w:rsid w:val="00774E9F"/>
    <w:rsid w:val="00774EEC"/>
    <w:rsid w:val="00774FBA"/>
    <w:rsid w:val="00775059"/>
    <w:rsid w:val="00775182"/>
    <w:rsid w:val="007751A5"/>
    <w:rsid w:val="007751D4"/>
    <w:rsid w:val="0077524A"/>
    <w:rsid w:val="007752C4"/>
    <w:rsid w:val="00775372"/>
    <w:rsid w:val="0077543B"/>
    <w:rsid w:val="0077546F"/>
    <w:rsid w:val="007754A1"/>
    <w:rsid w:val="0077559C"/>
    <w:rsid w:val="0077561A"/>
    <w:rsid w:val="0077563E"/>
    <w:rsid w:val="0077571C"/>
    <w:rsid w:val="007757DA"/>
    <w:rsid w:val="007757FC"/>
    <w:rsid w:val="00775880"/>
    <w:rsid w:val="00775994"/>
    <w:rsid w:val="00775B1E"/>
    <w:rsid w:val="00775C2D"/>
    <w:rsid w:val="00775CFC"/>
    <w:rsid w:val="00775E28"/>
    <w:rsid w:val="00775E88"/>
    <w:rsid w:val="00775F73"/>
    <w:rsid w:val="00775FFB"/>
    <w:rsid w:val="0077610B"/>
    <w:rsid w:val="00776310"/>
    <w:rsid w:val="0077636F"/>
    <w:rsid w:val="00776370"/>
    <w:rsid w:val="00776401"/>
    <w:rsid w:val="00776466"/>
    <w:rsid w:val="007764E6"/>
    <w:rsid w:val="00776515"/>
    <w:rsid w:val="0077653E"/>
    <w:rsid w:val="007765F0"/>
    <w:rsid w:val="00776633"/>
    <w:rsid w:val="00776689"/>
    <w:rsid w:val="00776696"/>
    <w:rsid w:val="00776712"/>
    <w:rsid w:val="007767EA"/>
    <w:rsid w:val="007768AA"/>
    <w:rsid w:val="007768B3"/>
    <w:rsid w:val="007768EB"/>
    <w:rsid w:val="00776AF7"/>
    <w:rsid w:val="00776B28"/>
    <w:rsid w:val="00776B36"/>
    <w:rsid w:val="00776B95"/>
    <w:rsid w:val="00776CB4"/>
    <w:rsid w:val="00776D8A"/>
    <w:rsid w:val="00776E06"/>
    <w:rsid w:val="00776EC5"/>
    <w:rsid w:val="0077713F"/>
    <w:rsid w:val="0077714B"/>
    <w:rsid w:val="00777157"/>
    <w:rsid w:val="0077716A"/>
    <w:rsid w:val="0077719B"/>
    <w:rsid w:val="007771DA"/>
    <w:rsid w:val="00777210"/>
    <w:rsid w:val="0077723B"/>
    <w:rsid w:val="007772A5"/>
    <w:rsid w:val="007773AF"/>
    <w:rsid w:val="007773DE"/>
    <w:rsid w:val="007774BE"/>
    <w:rsid w:val="007774E3"/>
    <w:rsid w:val="00777515"/>
    <w:rsid w:val="00777750"/>
    <w:rsid w:val="007779E6"/>
    <w:rsid w:val="00777A07"/>
    <w:rsid w:val="00777A11"/>
    <w:rsid w:val="00777A59"/>
    <w:rsid w:val="00777B8F"/>
    <w:rsid w:val="00777C42"/>
    <w:rsid w:val="00777D27"/>
    <w:rsid w:val="00777D80"/>
    <w:rsid w:val="00777DB8"/>
    <w:rsid w:val="00777E03"/>
    <w:rsid w:val="00777EDF"/>
    <w:rsid w:val="00780078"/>
    <w:rsid w:val="00780138"/>
    <w:rsid w:val="00780185"/>
    <w:rsid w:val="00780187"/>
    <w:rsid w:val="007801A7"/>
    <w:rsid w:val="007801D4"/>
    <w:rsid w:val="00780203"/>
    <w:rsid w:val="00780222"/>
    <w:rsid w:val="0078029E"/>
    <w:rsid w:val="0078034A"/>
    <w:rsid w:val="00780375"/>
    <w:rsid w:val="00780413"/>
    <w:rsid w:val="00780455"/>
    <w:rsid w:val="0078062F"/>
    <w:rsid w:val="0078063F"/>
    <w:rsid w:val="00780770"/>
    <w:rsid w:val="00780852"/>
    <w:rsid w:val="007808DC"/>
    <w:rsid w:val="00780906"/>
    <w:rsid w:val="007809F4"/>
    <w:rsid w:val="00780A76"/>
    <w:rsid w:val="00780B4E"/>
    <w:rsid w:val="00780B8E"/>
    <w:rsid w:val="00780BA9"/>
    <w:rsid w:val="00780C21"/>
    <w:rsid w:val="00780D27"/>
    <w:rsid w:val="00780D8E"/>
    <w:rsid w:val="00780E07"/>
    <w:rsid w:val="00780E94"/>
    <w:rsid w:val="00780EAE"/>
    <w:rsid w:val="00780F42"/>
    <w:rsid w:val="00781092"/>
    <w:rsid w:val="007810BE"/>
    <w:rsid w:val="00781100"/>
    <w:rsid w:val="0078113B"/>
    <w:rsid w:val="00781282"/>
    <w:rsid w:val="007812BE"/>
    <w:rsid w:val="0078136B"/>
    <w:rsid w:val="007813DA"/>
    <w:rsid w:val="00781432"/>
    <w:rsid w:val="0078147F"/>
    <w:rsid w:val="00781511"/>
    <w:rsid w:val="00781512"/>
    <w:rsid w:val="0078173D"/>
    <w:rsid w:val="0078178F"/>
    <w:rsid w:val="007818A2"/>
    <w:rsid w:val="007818C7"/>
    <w:rsid w:val="00781954"/>
    <w:rsid w:val="00781962"/>
    <w:rsid w:val="0078196A"/>
    <w:rsid w:val="0078199A"/>
    <w:rsid w:val="007819C4"/>
    <w:rsid w:val="007819E4"/>
    <w:rsid w:val="00781BD5"/>
    <w:rsid w:val="00781C1F"/>
    <w:rsid w:val="00781CA2"/>
    <w:rsid w:val="00781D3C"/>
    <w:rsid w:val="00781D56"/>
    <w:rsid w:val="00781F4A"/>
    <w:rsid w:val="00781F92"/>
    <w:rsid w:val="007820B8"/>
    <w:rsid w:val="007820C6"/>
    <w:rsid w:val="00782109"/>
    <w:rsid w:val="00782296"/>
    <w:rsid w:val="00782460"/>
    <w:rsid w:val="007824DE"/>
    <w:rsid w:val="007824F8"/>
    <w:rsid w:val="0078256D"/>
    <w:rsid w:val="007825C3"/>
    <w:rsid w:val="00782620"/>
    <w:rsid w:val="0078266C"/>
    <w:rsid w:val="007826B0"/>
    <w:rsid w:val="007826DA"/>
    <w:rsid w:val="007827FA"/>
    <w:rsid w:val="00782883"/>
    <w:rsid w:val="007828C1"/>
    <w:rsid w:val="00782991"/>
    <w:rsid w:val="00782A2D"/>
    <w:rsid w:val="00782C00"/>
    <w:rsid w:val="00782C7F"/>
    <w:rsid w:val="00782CBF"/>
    <w:rsid w:val="00782CFB"/>
    <w:rsid w:val="00782D25"/>
    <w:rsid w:val="00782D6B"/>
    <w:rsid w:val="00782D7D"/>
    <w:rsid w:val="00782D91"/>
    <w:rsid w:val="00783157"/>
    <w:rsid w:val="007831E2"/>
    <w:rsid w:val="00783246"/>
    <w:rsid w:val="00783318"/>
    <w:rsid w:val="0078338C"/>
    <w:rsid w:val="00783463"/>
    <w:rsid w:val="00783690"/>
    <w:rsid w:val="007836EE"/>
    <w:rsid w:val="007836F5"/>
    <w:rsid w:val="007837DC"/>
    <w:rsid w:val="00783B03"/>
    <w:rsid w:val="00783CBA"/>
    <w:rsid w:val="00783CFF"/>
    <w:rsid w:val="00783DB8"/>
    <w:rsid w:val="00783E0E"/>
    <w:rsid w:val="00783E3B"/>
    <w:rsid w:val="00783E7E"/>
    <w:rsid w:val="00783F40"/>
    <w:rsid w:val="00784037"/>
    <w:rsid w:val="00784048"/>
    <w:rsid w:val="007840AD"/>
    <w:rsid w:val="007840C4"/>
    <w:rsid w:val="00784183"/>
    <w:rsid w:val="00784194"/>
    <w:rsid w:val="00784225"/>
    <w:rsid w:val="0078426B"/>
    <w:rsid w:val="007843A8"/>
    <w:rsid w:val="0078442D"/>
    <w:rsid w:val="007844E8"/>
    <w:rsid w:val="0078457C"/>
    <w:rsid w:val="007846BA"/>
    <w:rsid w:val="0078479C"/>
    <w:rsid w:val="00784846"/>
    <w:rsid w:val="00784926"/>
    <w:rsid w:val="007849A7"/>
    <w:rsid w:val="00784A02"/>
    <w:rsid w:val="00784AFC"/>
    <w:rsid w:val="00784BE8"/>
    <w:rsid w:val="00784C29"/>
    <w:rsid w:val="00784C2A"/>
    <w:rsid w:val="00784CA0"/>
    <w:rsid w:val="00784CA5"/>
    <w:rsid w:val="00784F07"/>
    <w:rsid w:val="00784F8F"/>
    <w:rsid w:val="00784FFF"/>
    <w:rsid w:val="00785055"/>
    <w:rsid w:val="00785094"/>
    <w:rsid w:val="0078516F"/>
    <w:rsid w:val="00785189"/>
    <w:rsid w:val="00785204"/>
    <w:rsid w:val="00785309"/>
    <w:rsid w:val="0078532E"/>
    <w:rsid w:val="007854DD"/>
    <w:rsid w:val="007855FC"/>
    <w:rsid w:val="00785654"/>
    <w:rsid w:val="007856AB"/>
    <w:rsid w:val="0078588F"/>
    <w:rsid w:val="00785906"/>
    <w:rsid w:val="007859F0"/>
    <w:rsid w:val="00785B7C"/>
    <w:rsid w:val="00785B9D"/>
    <w:rsid w:val="00785BE8"/>
    <w:rsid w:val="00785C3D"/>
    <w:rsid w:val="00785D7D"/>
    <w:rsid w:val="00785EAC"/>
    <w:rsid w:val="00785F2B"/>
    <w:rsid w:val="00785F5E"/>
    <w:rsid w:val="00785FDB"/>
    <w:rsid w:val="00786011"/>
    <w:rsid w:val="0078603F"/>
    <w:rsid w:val="00786070"/>
    <w:rsid w:val="00786180"/>
    <w:rsid w:val="007863F9"/>
    <w:rsid w:val="00786439"/>
    <w:rsid w:val="00786546"/>
    <w:rsid w:val="007865B0"/>
    <w:rsid w:val="007865E4"/>
    <w:rsid w:val="0078665D"/>
    <w:rsid w:val="0078669A"/>
    <w:rsid w:val="00786736"/>
    <w:rsid w:val="00786765"/>
    <w:rsid w:val="00786872"/>
    <w:rsid w:val="00786998"/>
    <w:rsid w:val="00786A6C"/>
    <w:rsid w:val="00786AF1"/>
    <w:rsid w:val="00786B36"/>
    <w:rsid w:val="00786B74"/>
    <w:rsid w:val="00786CA5"/>
    <w:rsid w:val="00786CC7"/>
    <w:rsid w:val="00786E0C"/>
    <w:rsid w:val="00786EA4"/>
    <w:rsid w:val="00786EB2"/>
    <w:rsid w:val="0078724A"/>
    <w:rsid w:val="00787263"/>
    <w:rsid w:val="00787313"/>
    <w:rsid w:val="0078732A"/>
    <w:rsid w:val="0078736C"/>
    <w:rsid w:val="00787424"/>
    <w:rsid w:val="00787551"/>
    <w:rsid w:val="007875BD"/>
    <w:rsid w:val="007875D9"/>
    <w:rsid w:val="0078764A"/>
    <w:rsid w:val="0078770C"/>
    <w:rsid w:val="007877A1"/>
    <w:rsid w:val="007877CB"/>
    <w:rsid w:val="0078788F"/>
    <w:rsid w:val="007878E4"/>
    <w:rsid w:val="00787915"/>
    <w:rsid w:val="00787967"/>
    <w:rsid w:val="00787984"/>
    <w:rsid w:val="00787A4E"/>
    <w:rsid w:val="00787A92"/>
    <w:rsid w:val="00787AB4"/>
    <w:rsid w:val="00787B19"/>
    <w:rsid w:val="00787B39"/>
    <w:rsid w:val="00787B3E"/>
    <w:rsid w:val="00787B5B"/>
    <w:rsid w:val="00787C0A"/>
    <w:rsid w:val="00787C8C"/>
    <w:rsid w:val="00787D54"/>
    <w:rsid w:val="00787D5A"/>
    <w:rsid w:val="00787E34"/>
    <w:rsid w:val="00787E6F"/>
    <w:rsid w:val="00787E7F"/>
    <w:rsid w:val="00787E9A"/>
    <w:rsid w:val="00787EA1"/>
    <w:rsid w:val="00787ED3"/>
    <w:rsid w:val="00787F36"/>
    <w:rsid w:val="00787FDA"/>
    <w:rsid w:val="0079009F"/>
    <w:rsid w:val="007900B2"/>
    <w:rsid w:val="007900F9"/>
    <w:rsid w:val="00790108"/>
    <w:rsid w:val="00790243"/>
    <w:rsid w:val="0079026C"/>
    <w:rsid w:val="0079041E"/>
    <w:rsid w:val="0079042F"/>
    <w:rsid w:val="00790464"/>
    <w:rsid w:val="00790513"/>
    <w:rsid w:val="007905AD"/>
    <w:rsid w:val="007906BE"/>
    <w:rsid w:val="007907B1"/>
    <w:rsid w:val="007907EF"/>
    <w:rsid w:val="007907FA"/>
    <w:rsid w:val="00790940"/>
    <w:rsid w:val="0079099E"/>
    <w:rsid w:val="00790B72"/>
    <w:rsid w:val="00790C2A"/>
    <w:rsid w:val="00790C4B"/>
    <w:rsid w:val="00790CC5"/>
    <w:rsid w:val="00790D5C"/>
    <w:rsid w:val="0079102D"/>
    <w:rsid w:val="0079108D"/>
    <w:rsid w:val="007910C5"/>
    <w:rsid w:val="007910CB"/>
    <w:rsid w:val="0079111A"/>
    <w:rsid w:val="00791179"/>
    <w:rsid w:val="0079129F"/>
    <w:rsid w:val="007912A7"/>
    <w:rsid w:val="007912E6"/>
    <w:rsid w:val="00791305"/>
    <w:rsid w:val="0079144B"/>
    <w:rsid w:val="007914AE"/>
    <w:rsid w:val="007915F1"/>
    <w:rsid w:val="00791715"/>
    <w:rsid w:val="00791733"/>
    <w:rsid w:val="00791761"/>
    <w:rsid w:val="007917D8"/>
    <w:rsid w:val="007917FE"/>
    <w:rsid w:val="00791831"/>
    <w:rsid w:val="007918A5"/>
    <w:rsid w:val="007918C9"/>
    <w:rsid w:val="00791A73"/>
    <w:rsid w:val="00791AA7"/>
    <w:rsid w:val="00791ADF"/>
    <w:rsid w:val="00791B13"/>
    <w:rsid w:val="00791BB2"/>
    <w:rsid w:val="00791C2C"/>
    <w:rsid w:val="00791C95"/>
    <w:rsid w:val="00791D5E"/>
    <w:rsid w:val="00791D83"/>
    <w:rsid w:val="00791DB3"/>
    <w:rsid w:val="00791E9A"/>
    <w:rsid w:val="00791FEE"/>
    <w:rsid w:val="00792009"/>
    <w:rsid w:val="007920DA"/>
    <w:rsid w:val="00792194"/>
    <w:rsid w:val="007921FF"/>
    <w:rsid w:val="00792213"/>
    <w:rsid w:val="00792257"/>
    <w:rsid w:val="00792292"/>
    <w:rsid w:val="007922AC"/>
    <w:rsid w:val="007922FA"/>
    <w:rsid w:val="0079235A"/>
    <w:rsid w:val="00792486"/>
    <w:rsid w:val="00792558"/>
    <w:rsid w:val="00792595"/>
    <w:rsid w:val="007925C6"/>
    <w:rsid w:val="007926B4"/>
    <w:rsid w:val="007927B8"/>
    <w:rsid w:val="007927E7"/>
    <w:rsid w:val="007927FB"/>
    <w:rsid w:val="00792894"/>
    <w:rsid w:val="007928B2"/>
    <w:rsid w:val="007928D9"/>
    <w:rsid w:val="00792991"/>
    <w:rsid w:val="0079299D"/>
    <w:rsid w:val="007929A1"/>
    <w:rsid w:val="007929B2"/>
    <w:rsid w:val="00792A2A"/>
    <w:rsid w:val="00792A34"/>
    <w:rsid w:val="00792AA7"/>
    <w:rsid w:val="00792AD5"/>
    <w:rsid w:val="00792B35"/>
    <w:rsid w:val="00792C99"/>
    <w:rsid w:val="00792E28"/>
    <w:rsid w:val="00792F98"/>
    <w:rsid w:val="0079310D"/>
    <w:rsid w:val="00793283"/>
    <w:rsid w:val="0079335E"/>
    <w:rsid w:val="00793363"/>
    <w:rsid w:val="00793390"/>
    <w:rsid w:val="00793752"/>
    <w:rsid w:val="007937BC"/>
    <w:rsid w:val="00793835"/>
    <w:rsid w:val="007938F1"/>
    <w:rsid w:val="007938FA"/>
    <w:rsid w:val="00793947"/>
    <w:rsid w:val="007939E1"/>
    <w:rsid w:val="007939FF"/>
    <w:rsid w:val="00793A7A"/>
    <w:rsid w:val="00793A89"/>
    <w:rsid w:val="00793AB8"/>
    <w:rsid w:val="00793BA6"/>
    <w:rsid w:val="00793C29"/>
    <w:rsid w:val="00793C7E"/>
    <w:rsid w:val="00793C85"/>
    <w:rsid w:val="00793CFD"/>
    <w:rsid w:val="00793D5F"/>
    <w:rsid w:val="00793E52"/>
    <w:rsid w:val="0079423F"/>
    <w:rsid w:val="0079434F"/>
    <w:rsid w:val="0079444B"/>
    <w:rsid w:val="007947F6"/>
    <w:rsid w:val="0079488B"/>
    <w:rsid w:val="007948D6"/>
    <w:rsid w:val="007949CC"/>
    <w:rsid w:val="00794A15"/>
    <w:rsid w:val="00794A91"/>
    <w:rsid w:val="00794B31"/>
    <w:rsid w:val="00794B56"/>
    <w:rsid w:val="00794B57"/>
    <w:rsid w:val="00794DAF"/>
    <w:rsid w:val="00794E4F"/>
    <w:rsid w:val="00795010"/>
    <w:rsid w:val="00795130"/>
    <w:rsid w:val="00795174"/>
    <w:rsid w:val="00795184"/>
    <w:rsid w:val="007952D2"/>
    <w:rsid w:val="007952EB"/>
    <w:rsid w:val="00795351"/>
    <w:rsid w:val="00795360"/>
    <w:rsid w:val="0079536B"/>
    <w:rsid w:val="007953F1"/>
    <w:rsid w:val="0079543F"/>
    <w:rsid w:val="007954AF"/>
    <w:rsid w:val="00795664"/>
    <w:rsid w:val="00795740"/>
    <w:rsid w:val="00795887"/>
    <w:rsid w:val="0079588F"/>
    <w:rsid w:val="00795A63"/>
    <w:rsid w:val="00795ACC"/>
    <w:rsid w:val="00795AF8"/>
    <w:rsid w:val="00795B77"/>
    <w:rsid w:val="00795BC0"/>
    <w:rsid w:val="00795E93"/>
    <w:rsid w:val="00796018"/>
    <w:rsid w:val="00796039"/>
    <w:rsid w:val="007960B2"/>
    <w:rsid w:val="007960EC"/>
    <w:rsid w:val="0079616E"/>
    <w:rsid w:val="00796254"/>
    <w:rsid w:val="00796392"/>
    <w:rsid w:val="007963FB"/>
    <w:rsid w:val="00796488"/>
    <w:rsid w:val="007964CF"/>
    <w:rsid w:val="00796575"/>
    <w:rsid w:val="007965E2"/>
    <w:rsid w:val="007965EA"/>
    <w:rsid w:val="007965FE"/>
    <w:rsid w:val="00796600"/>
    <w:rsid w:val="00796606"/>
    <w:rsid w:val="00796684"/>
    <w:rsid w:val="00796746"/>
    <w:rsid w:val="00796773"/>
    <w:rsid w:val="007967A9"/>
    <w:rsid w:val="007967C6"/>
    <w:rsid w:val="007967FF"/>
    <w:rsid w:val="0079690C"/>
    <w:rsid w:val="00796977"/>
    <w:rsid w:val="00796ABF"/>
    <w:rsid w:val="00796C98"/>
    <w:rsid w:val="00796CE9"/>
    <w:rsid w:val="00796DF4"/>
    <w:rsid w:val="00796E71"/>
    <w:rsid w:val="00796E75"/>
    <w:rsid w:val="00796F6F"/>
    <w:rsid w:val="00796FD0"/>
    <w:rsid w:val="00796FD1"/>
    <w:rsid w:val="00797156"/>
    <w:rsid w:val="0079715E"/>
    <w:rsid w:val="0079718B"/>
    <w:rsid w:val="007971F9"/>
    <w:rsid w:val="0079729F"/>
    <w:rsid w:val="007972AE"/>
    <w:rsid w:val="00797318"/>
    <w:rsid w:val="00797331"/>
    <w:rsid w:val="0079734B"/>
    <w:rsid w:val="0079734D"/>
    <w:rsid w:val="00797388"/>
    <w:rsid w:val="00797397"/>
    <w:rsid w:val="00797433"/>
    <w:rsid w:val="007974A7"/>
    <w:rsid w:val="007974C6"/>
    <w:rsid w:val="007974DF"/>
    <w:rsid w:val="0079753A"/>
    <w:rsid w:val="00797707"/>
    <w:rsid w:val="0079771C"/>
    <w:rsid w:val="007977A4"/>
    <w:rsid w:val="007977DD"/>
    <w:rsid w:val="0079786E"/>
    <w:rsid w:val="00797904"/>
    <w:rsid w:val="00797957"/>
    <w:rsid w:val="00797958"/>
    <w:rsid w:val="00797A68"/>
    <w:rsid w:val="00797BAF"/>
    <w:rsid w:val="00797C77"/>
    <w:rsid w:val="00797C7C"/>
    <w:rsid w:val="00797C92"/>
    <w:rsid w:val="00797CB1"/>
    <w:rsid w:val="00797D2B"/>
    <w:rsid w:val="00797DD5"/>
    <w:rsid w:val="00797EC1"/>
    <w:rsid w:val="00797F53"/>
    <w:rsid w:val="00797F67"/>
    <w:rsid w:val="00797FA5"/>
    <w:rsid w:val="00797FF5"/>
    <w:rsid w:val="007A0012"/>
    <w:rsid w:val="007A002B"/>
    <w:rsid w:val="007A0082"/>
    <w:rsid w:val="007A013A"/>
    <w:rsid w:val="007A01A5"/>
    <w:rsid w:val="007A033E"/>
    <w:rsid w:val="007A0344"/>
    <w:rsid w:val="007A0346"/>
    <w:rsid w:val="007A05E4"/>
    <w:rsid w:val="007A062E"/>
    <w:rsid w:val="007A06C0"/>
    <w:rsid w:val="007A071D"/>
    <w:rsid w:val="007A07B6"/>
    <w:rsid w:val="007A0859"/>
    <w:rsid w:val="007A087F"/>
    <w:rsid w:val="007A08FB"/>
    <w:rsid w:val="007A0936"/>
    <w:rsid w:val="007A09D0"/>
    <w:rsid w:val="007A0A63"/>
    <w:rsid w:val="007A0A69"/>
    <w:rsid w:val="007A0A9B"/>
    <w:rsid w:val="007A0AB9"/>
    <w:rsid w:val="007A0AD1"/>
    <w:rsid w:val="007A0C14"/>
    <w:rsid w:val="007A0D28"/>
    <w:rsid w:val="007A0D3C"/>
    <w:rsid w:val="007A0DF9"/>
    <w:rsid w:val="007A0E30"/>
    <w:rsid w:val="007A0E78"/>
    <w:rsid w:val="007A0F27"/>
    <w:rsid w:val="007A100A"/>
    <w:rsid w:val="007A11AD"/>
    <w:rsid w:val="007A11CA"/>
    <w:rsid w:val="007A11E0"/>
    <w:rsid w:val="007A12B6"/>
    <w:rsid w:val="007A12B7"/>
    <w:rsid w:val="007A1340"/>
    <w:rsid w:val="007A1398"/>
    <w:rsid w:val="007A1576"/>
    <w:rsid w:val="007A163F"/>
    <w:rsid w:val="007A16A0"/>
    <w:rsid w:val="007A174B"/>
    <w:rsid w:val="007A174E"/>
    <w:rsid w:val="007A17BB"/>
    <w:rsid w:val="007A18E7"/>
    <w:rsid w:val="007A1983"/>
    <w:rsid w:val="007A19D6"/>
    <w:rsid w:val="007A19E2"/>
    <w:rsid w:val="007A1A81"/>
    <w:rsid w:val="007A1BFE"/>
    <w:rsid w:val="007A1C0D"/>
    <w:rsid w:val="007A1C98"/>
    <w:rsid w:val="007A1CA1"/>
    <w:rsid w:val="007A1E74"/>
    <w:rsid w:val="007A1EE1"/>
    <w:rsid w:val="007A1F7D"/>
    <w:rsid w:val="007A1FE5"/>
    <w:rsid w:val="007A1FFE"/>
    <w:rsid w:val="007A20B9"/>
    <w:rsid w:val="007A20D7"/>
    <w:rsid w:val="007A2230"/>
    <w:rsid w:val="007A229F"/>
    <w:rsid w:val="007A2397"/>
    <w:rsid w:val="007A24A8"/>
    <w:rsid w:val="007A2519"/>
    <w:rsid w:val="007A25E0"/>
    <w:rsid w:val="007A260C"/>
    <w:rsid w:val="007A28A5"/>
    <w:rsid w:val="007A28E8"/>
    <w:rsid w:val="007A2A18"/>
    <w:rsid w:val="007A2C5A"/>
    <w:rsid w:val="007A2D10"/>
    <w:rsid w:val="007A2DC6"/>
    <w:rsid w:val="007A2E1A"/>
    <w:rsid w:val="007A3113"/>
    <w:rsid w:val="007A3140"/>
    <w:rsid w:val="007A31E1"/>
    <w:rsid w:val="007A3279"/>
    <w:rsid w:val="007A32BE"/>
    <w:rsid w:val="007A3320"/>
    <w:rsid w:val="007A33B6"/>
    <w:rsid w:val="007A3426"/>
    <w:rsid w:val="007A34D9"/>
    <w:rsid w:val="007A35A9"/>
    <w:rsid w:val="007A3685"/>
    <w:rsid w:val="007A36A4"/>
    <w:rsid w:val="007A36D0"/>
    <w:rsid w:val="007A3794"/>
    <w:rsid w:val="007A3817"/>
    <w:rsid w:val="007A383C"/>
    <w:rsid w:val="007A3861"/>
    <w:rsid w:val="007A3864"/>
    <w:rsid w:val="007A38E6"/>
    <w:rsid w:val="007A390C"/>
    <w:rsid w:val="007A391D"/>
    <w:rsid w:val="007A3AE4"/>
    <w:rsid w:val="007A3BD1"/>
    <w:rsid w:val="007A3C27"/>
    <w:rsid w:val="007A3C7B"/>
    <w:rsid w:val="007A3CCA"/>
    <w:rsid w:val="007A3D06"/>
    <w:rsid w:val="007A3D26"/>
    <w:rsid w:val="007A3D56"/>
    <w:rsid w:val="007A3DC2"/>
    <w:rsid w:val="007A3DF6"/>
    <w:rsid w:val="007A3E29"/>
    <w:rsid w:val="007A3ED9"/>
    <w:rsid w:val="007A3F37"/>
    <w:rsid w:val="007A3F75"/>
    <w:rsid w:val="007A41D2"/>
    <w:rsid w:val="007A4210"/>
    <w:rsid w:val="007A4211"/>
    <w:rsid w:val="007A42BD"/>
    <w:rsid w:val="007A42F7"/>
    <w:rsid w:val="007A453C"/>
    <w:rsid w:val="007A457F"/>
    <w:rsid w:val="007A4635"/>
    <w:rsid w:val="007A464B"/>
    <w:rsid w:val="007A467C"/>
    <w:rsid w:val="007A4721"/>
    <w:rsid w:val="007A477F"/>
    <w:rsid w:val="007A483E"/>
    <w:rsid w:val="007A4913"/>
    <w:rsid w:val="007A4916"/>
    <w:rsid w:val="007A4C57"/>
    <w:rsid w:val="007A4CDE"/>
    <w:rsid w:val="007A4D78"/>
    <w:rsid w:val="007A4D85"/>
    <w:rsid w:val="007A4D87"/>
    <w:rsid w:val="007A4ECA"/>
    <w:rsid w:val="007A4FE8"/>
    <w:rsid w:val="007A517F"/>
    <w:rsid w:val="007A5222"/>
    <w:rsid w:val="007A5372"/>
    <w:rsid w:val="007A5502"/>
    <w:rsid w:val="007A5509"/>
    <w:rsid w:val="007A5510"/>
    <w:rsid w:val="007A5565"/>
    <w:rsid w:val="007A55BB"/>
    <w:rsid w:val="007A56E9"/>
    <w:rsid w:val="007A577F"/>
    <w:rsid w:val="007A590B"/>
    <w:rsid w:val="007A5B85"/>
    <w:rsid w:val="007A5C5C"/>
    <w:rsid w:val="007A5CCF"/>
    <w:rsid w:val="007A5D30"/>
    <w:rsid w:val="007A5E09"/>
    <w:rsid w:val="007A5E3C"/>
    <w:rsid w:val="007A5FCB"/>
    <w:rsid w:val="007A5FD7"/>
    <w:rsid w:val="007A6105"/>
    <w:rsid w:val="007A6214"/>
    <w:rsid w:val="007A6487"/>
    <w:rsid w:val="007A6497"/>
    <w:rsid w:val="007A64B3"/>
    <w:rsid w:val="007A6545"/>
    <w:rsid w:val="007A656D"/>
    <w:rsid w:val="007A65E0"/>
    <w:rsid w:val="007A662F"/>
    <w:rsid w:val="007A6649"/>
    <w:rsid w:val="007A668F"/>
    <w:rsid w:val="007A66C0"/>
    <w:rsid w:val="007A66FE"/>
    <w:rsid w:val="007A674C"/>
    <w:rsid w:val="007A67B0"/>
    <w:rsid w:val="007A67C9"/>
    <w:rsid w:val="007A67D9"/>
    <w:rsid w:val="007A6800"/>
    <w:rsid w:val="007A69A3"/>
    <w:rsid w:val="007A6A2F"/>
    <w:rsid w:val="007A6B09"/>
    <w:rsid w:val="007A6B63"/>
    <w:rsid w:val="007A6CE2"/>
    <w:rsid w:val="007A6CFB"/>
    <w:rsid w:val="007A6D61"/>
    <w:rsid w:val="007A6DA1"/>
    <w:rsid w:val="007A6F1F"/>
    <w:rsid w:val="007A6F26"/>
    <w:rsid w:val="007A6F6D"/>
    <w:rsid w:val="007A6FF7"/>
    <w:rsid w:val="007A7019"/>
    <w:rsid w:val="007A7049"/>
    <w:rsid w:val="007A70CD"/>
    <w:rsid w:val="007A70DA"/>
    <w:rsid w:val="007A7131"/>
    <w:rsid w:val="007A7197"/>
    <w:rsid w:val="007A71E7"/>
    <w:rsid w:val="007A73BD"/>
    <w:rsid w:val="007A73E2"/>
    <w:rsid w:val="007A7499"/>
    <w:rsid w:val="007A74BC"/>
    <w:rsid w:val="007A74EB"/>
    <w:rsid w:val="007A74F7"/>
    <w:rsid w:val="007A7585"/>
    <w:rsid w:val="007A768D"/>
    <w:rsid w:val="007A76C9"/>
    <w:rsid w:val="007A7771"/>
    <w:rsid w:val="007A77D5"/>
    <w:rsid w:val="007A77F6"/>
    <w:rsid w:val="007A799B"/>
    <w:rsid w:val="007A79B5"/>
    <w:rsid w:val="007A79B8"/>
    <w:rsid w:val="007A79CE"/>
    <w:rsid w:val="007A7ABB"/>
    <w:rsid w:val="007A7AD4"/>
    <w:rsid w:val="007A7B00"/>
    <w:rsid w:val="007A7D24"/>
    <w:rsid w:val="007A7D70"/>
    <w:rsid w:val="007A7DBD"/>
    <w:rsid w:val="007A7DC6"/>
    <w:rsid w:val="007A7EC2"/>
    <w:rsid w:val="007A7F9C"/>
    <w:rsid w:val="007A7FB5"/>
    <w:rsid w:val="007B005E"/>
    <w:rsid w:val="007B01ED"/>
    <w:rsid w:val="007B0309"/>
    <w:rsid w:val="007B0357"/>
    <w:rsid w:val="007B0365"/>
    <w:rsid w:val="007B03CA"/>
    <w:rsid w:val="007B03D6"/>
    <w:rsid w:val="007B0401"/>
    <w:rsid w:val="007B05CB"/>
    <w:rsid w:val="007B060F"/>
    <w:rsid w:val="007B067B"/>
    <w:rsid w:val="007B06C5"/>
    <w:rsid w:val="007B06D1"/>
    <w:rsid w:val="007B08DA"/>
    <w:rsid w:val="007B08DF"/>
    <w:rsid w:val="007B0A3C"/>
    <w:rsid w:val="007B0AAC"/>
    <w:rsid w:val="007B0AC1"/>
    <w:rsid w:val="007B0AE2"/>
    <w:rsid w:val="007B0B4F"/>
    <w:rsid w:val="007B0B84"/>
    <w:rsid w:val="007B0BF3"/>
    <w:rsid w:val="007B0F52"/>
    <w:rsid w:val="007B0F87"/>
    <w:rsid w:val="007B0FBC"/>
    <w:rsid w:val="007B10FF"/>
    <w:rsid w:val="007B1146"/>
    <w:rsid w:val="007B1232"/>
    <w:rsid w:val="007B1276"/>
    <w:rsid w:val="007B1299"/>
    <w:rsid w:val="007B12D9"/>
    <w:rsid w:val="007B1305"/>
    <w:rsid w:val="007B1322"/>
    <w:rsid w:val="007B137B"/>
    <w:rsid w:val="007B1464"/>
    <w:rsid w:val="007B14BD"/>
    <w:rsid w:val="007B17A8"/>
    <w:rsid w:val="007B1883"/>
    <w:rsid w:val="007B192E"/>
    <w:rsid w:val="007B1944"/>
    <w:rsid w:val="007B1A11"/>
    <w:rsid w:val="007B1B47"/>
    <w:rsid w:val="007B1CA8"/>
    <w:rsid w:val="007B1CB5"/>
    <w:rsid w:val="007B1DBC"/>
    <w:rsid w:val="007B1E0A"/>
    <w:rsid w:val="007B1E86"/>
    <w:rsid w:val="007B1FF6"/>
    <w:rsid w:val="007B221F"/>
    <w:rsid w:val="007B2256"/>
    <w:rsid w:val="007B253A"/>
    <w:rsid w:val="007B2556"/>
    <w:rsid w:val="007B256C"/>
    <w:rsid w:val="007B26DF"/>
    <w:rsid w:val="007B272B"/>
    <w:rsid w:val="007B273A"/>
    <w:rsid w:val="007B279D"/>
    <w:rsid w:val="007B279F"/>
    <w:rsid w:val="007B27ED"/>
    <w:rsid w:val="007B283A"/>
    <w:rsid w:val="007B29AD"/>
    <w:rsid w:val="007B2A5A"/>
    <w:rsid w:val="007B2A94"/>
    <w:rsid w:val="007B2ABC"/>
    <w:rsid w:val="007B2B50"/>
    <w:rsid w:val="007B2DDB"/>
    <w:rsid w:val="007B2EA2"/>
    <w:rsid w:val="007B2FB0"/>
    <w:rsid w:val="007B305B"/>
    <w:rsid w:val="007B305C"/>
    <w:rsid w:val="007B30E6"/>
    <w:rsid w:val="007B3220"/>
    <w:rsid w:val="007B33C2"/>
    <w:rsid w:val="007B33D5"/>
    <w:rsid w:val="007B3405"/>
    <w:rsid w:val="007B340B"/>
    <w:rsid w:val="007B341B"/>
    <w:rsid w:val="007B3467"/>
    <w:rsid w:val="007B34D8"/>
    <w:rsid w:val="007B352C"/>
    <w:rsid w:val="007B35DB"/>
    <w:rsid w:val="007B372A"/>
    <w:rsid w:val="007B3732"/>
    <w:rsid w:val="007B3889"/>
    <w:rsid w:val="007B39F8"/>
    <w:rsid w:val="007B3AC9"/>
    <w:rsid w:val="007B3D44"/>
    <w:rsid w:val="007B3E92"/>
    <w:rsid w:val="007B3F70"/>
    <w:rsid w:val="007B41EA"/>
    <w:rsid w:val="007B4217"/>
    <w:rsid w:val="007B4294"/>
    <w:rsid w:val="007B43C6"/>
    <w:rsid w:val="007B440C"/>
    <w:rsid w:val="007B4481"/>
    <w:rsid w:val="007B44C3"/>
    <w:rsid w:val="007B44D4"/>
    <w:rsid w:val="007B45BE"/>
    <w:rsid w:val="007B4681"/>
    <w:rsid w:val="007B480F"/>
    <w:rsid w:val="007B4836"/>
    <w:rsid w:val="007B485B"/>
    <w:rsid w:val="007B4AD4"/>
    <w:rsid w:val="007B4B88"/>
    <w:rsid w:val="007B4BE0"/>
    <w:rsid w:val="007B4D01"/>
    <w:rsid w:val="007B4D9A"/>
    <w:rsid w:val="007B4E14"/>
    <w:rsid w:val="007B4EBB"/>
    <w:rsid w:val="007B515C"/>
    <w:rsid w:val="007B5248"/>
    <w:rsid w:val="007B5254"/>
    <w:rsid w:val="007B526B"/>
    <w:rsid w:val="007B5302"/>
    <w:rsid w:val="007B536E"/>
    <w:rsid w:val="007B5482"/>
    <w:rsid w:val="007B54E9"/>
    <w:rsid w:val="007B553B"/>
    <w:rsid w:val="007B56C3"/>
    <w:rsid w:val="007B5711"/>
    <w:rsid w:val="007B5A33"/>
    <w:rsid w:val="007B5A5A"/>
    <w:rsid w:val="007B5A5E"/>
    <w:rsid w:val="007B5C0E"/>
    <w:rsid w:val="007B5C93"/>
    <w:rsid w:val="007B5D57"/>
    <w:rsid w:val="007B5DAF"/>
    <w:rsid w:val="007B5ECF"/>
    <w:rsid w:val="007B5EE3"/>
    <w:rsid w:val="007B5EF3"/>
    <w:rsid w:val="007B5F6C"/>
    <w:rsid w:val="007B5FCC"/>
    <w:rsid w:val="007B6037"/>
    <w:rsid w:val="007B6038"/>
    <w:rsid w:val="007B607D"/>
    <w:rsid w:val="007B60E4"/>
    <w:rsid w:val="007B61B6"/>
    <w:rsid w:val="007B61F5"/>
    <w:rsid w:val="007B6218"/>
    <w:rsid w:val="007B6356"/>
    <w:rsid w:val="007B6372"/>
    <w:rsid w:val="007B6403"/>
    <w:rsid w:val="007B6500"/>
    <w:rsid w:val="007B6579"/>
    <w:rsid w:val="007B6597"/>
    <w:rsid w:val="007B6692"/>
    <w:rsid w:val="007B66A4"/>
    <w:rsid w:val="007B6722"/>
    <w:rsid w:val="007B6734"/>
    <w:rsid w:val="007B674C"/>
    <w:rsid w:val="007B679B"/>
    <w:rsid w:val="007B684B"/>
    <w:rsid w:val="007B685D"/>
    <w:rsid w:val="007B685E"/>
    <w:rsid w:val="007B68C7"/>
    <w:rsid w:val="007B690E"/>
    <w:rsid w:val="007B69DB"/>
    <w:rsid w:val="007B69FC"/>
    <w:rsid w:val="007B6A87"/>
    <w:rsid w:val="007B6AEC"/>
    <w:rsid w:val="007B6C08"/>
    <w:rsid w:val="007B6CE8"/>
    <w:rsid w:val="007B6DBD"/>
    <w:rsid w:val="007B6FE3"/>
    <w:rsid w:val="007B7015"/>
    <w:rsid w:val="007B7077"/>
    <w:rsid w:val="007B7083"/>
    <w:rsid w:val="007B70DA"/>
    <w:rsid w:val="007B7150"/>
    <w:rsid w:val="007B71A4"/>
    <w:rsid w:val="007B71AD"/>
    <w:rsid w:val="007B7333"/>
    <w:rsid w:val="007B73DF"/>
    <w:rsid w:val="007B73EA"/>
    <w:rsid w:val="007B7453"/>
    <w:rsid w:val="007B7479"/>
    <w:rsid w:val="007B74A1"/>
    <w:rsid w:val="007B74BB"/>
    <w:rsid w:val="007B75DA"/>
    <w:rsid w:val="007B7697"/>
    <w:rsid w:val="007B7732"/>
    <w:rsid w:val="007B774B"/>
    <w:rsid w:val="007B77AF"/>
    <w:rsid w:val="007B78A5"/>
    <w:rsid w:val="007B7AA1"/>
    <w:rsid w:val="007B7B4E"/>
    <w:rsid w:val="007B7BD9"/>
    <w:rsid w:val="007B7C19"/>
    <w:rsid w:val="007B7C60"/>
    <w:rsid w:val="007B7E69"/>
    <w:rsid w:val="007B7F62"/>
    <w:rsid w:val="007B7FCA"/>
    <w:rsid w:val="007C0010"/>
    <w:rsid w:val="007C0065"/>
    <w:rsid w:val="007C0212"/>
    <w:rsid w:val="007C0242"/>
    <w:rsid w:val="007C02EA"/>
    <w:rsid w:val="007C02FD"/>
    <w:rsid w:val="007C034A"/>
    <w:rsid w:val="007C03A2"/>
    <w:rsid w:val="007C047D"/>
    <w:rsid w:val="007C0578"/>
    <w:rsid w:val="007C05AB"/>
    <w:rsid w:val="007C078C"/>
    <w:rsid w:val="007C07CC"/>
    <w:rsid w:val="007C0838"/>
    <w:rsid w:val="007C08E2"/>
    <w:rsid w:val="007C094C"/>
    <w:rsid w:val="007C097C"/>
    <w:rsid w:val="007C09B7"/>
    <w:rsid w:val="007C09ED"/>
    <w:rsid w:val="007C0A6F"/>
    <w:rsid w:val="007C0A82"/>
    <w:rsid w:val="007C0B65"/>
    <w:rsid w:val="007C0BDA"/>
    <w:rsid w:val="007C0C63"/>
    <w:rsid w:val="007C0D5A"/>
    <w:rsid w:val="007C0DFF"/>
    <w:rsid w:val="007C0ED7"/>
    <w:rsid w:val="007C0EDE"/>
    <w:rsid w:val="007C0F6D"/>
    <w:rsid w:val="007C0F9B"/>
    <w:rsid w:val="007C0FD1"/>
    <w:rsid w:val="007C0FD3"/>
    <w:rsid w:val="007C10C1"/>
    <w:rsid w:val="007C1183"/>
    <w:rsid w:val="007C11F9"/>
    <w:rsid w:val="007C1301"/>
    <w:rsid w:val="007C1351"/>
    <w:rsid w:val="007C1429"/>
    <w:rsid w:val="007C145A"/>
    <w:rsid w:val="007C1534"/>
    <w:rsid w:val="007C153F"/>
    <w:rsid w:val="007C1552"/>
    <w:rsid w:val="007C160B"/>
    <w:rsid w:val="007C1785"/>
    <w:rsid w:val="007C1828"/>
    <w:rsid w:val="007C197A"/>
    <w:rsid w:val="007C19DB"/>
    <w:rsid w:val="007C1A4D"/>
    <w:rsid w:val="007C1A72"/>
    <w:rsid w:val="007C1AE1"/>
    <w:rsid w:val="007C1AF2"/>
    <w:rsid w:val="007C1BEA"/>
    <w:rsid w:val="007C1C33"/>
    <w:rsid w:val="007C1C3E"/>
    <w:rsid w:val="007C1C46"/>
    <w:rsid w:val="007C1C60"/>
    <w:rsid w:val="007C1CDB"/>
    <w:rsid w:val="007C1CFD"/>
    <w:rsid w:val="007C1D2F"/>
    <w:rsid w:val="007C1D30"/>
    <w:rsid w:val="007C1D37"/>
    <w:rsid w:val="007C1DE3"/>
    <w:rsid w:val="007C1EB6"/>
    <w:rsid w:val="007C1F03"/>
    <w:rsid w:val="007C1F66"/>
    <w:rsid w:val="007C2033"/>
    <w:rsid w:val="007C2102"/>
    <w:rsid w:val="007C218F"/>
    <w:rsid w:val="007C21D0"/>
    <w:rsid w:val="007C2362"/>
    <w:rsid w:val="007C26A7"/>
    <w:rsid w:val="007C2A9E"/>
    <w:rsid w:val="007C2AA1"/>
    <w:rsid w:val="007C2B41"/>
    <w:rsid w:val="007C2B74"/>
    <w:rsid w:val="007C2B9E"/>
    <w:rsid w:val="007C2C31"/>
    <w:rsid w:val="007C2C56"/>
    <w:rsid w:val="007C2CAE"/>
    <w:rsid w:val="007C2D0D"/>
    <w:rsid w:val="007C2D3F"/>
    <w:rsid w:val="007C2DFB"/>
    <w:rsid w:val="007C2EB9"/>
    <w:rsid w:val="007C2FC7"/>
    <w:rsid w:val="007C302A"/>
    <w:rsid w:val="007C30C1"/>
    <w:rsid w:val="007C3164"/>
    <w:rsid w:val="007C31B2"/>
    <w:rsid w:val="007C3255"/>
    <w:rsid w:val="007C3281"/>
    <w:rsid w:val="007C32E7"/>
    <w:rsid w:val="007C340B"/>
    <w:rsid w:val="007C352F"/>
    <w:rsid w:val="007C36B4"/>
    <w:rsid w:val="007C389F"/>
    <w:rsid w:val="007C38E4"/>
    <w:rsid w:val="007C3976"/>
    <w:rsid w:val="007C3991"/>
    <w:rsid w:val="007C3A57"/>
    <w:rsid w:val="007C3A7B"/>
    <w:rsid w:val="007C3B3D"/>
    <w:rsid w:val="007C3B7F"/>
    <w:rsid w:val="007C3C61"/>
    <w:rsid w:val="007C3C97"/>
    <w:rsid w:val="007C3D85"/>
    <w:rsid w:val="007C3DAD"/>
    <w:rsid w:val="007C3E2E"/>
    <w:rsid w:val="007C3E30"/>
    <w:rsid w:val="007C3ECC"/>
    <w:rsid w:val="007C3F38"/>
    <w:rsid w:val="007C3FCB"/>
    <w:rsid w:val="007C3FDE"/>
    <w:rsid w:val="007C4031"/>
    <w:rsid w:val="007C40BA"/>
    <w:rsid w:val="007C40DA"/>
    <w:rsid w:val="007C4100"/>
    <w:rsid w:val="007C451E"/>
    <w:rsid w:val="007C45B2"/>
    <w:rsid w:val="007C45F8"/>
    <w:rsid w:val="007C466B"/>
    <w:rsid w:val="007C474E"/>
    <w:rsid w:val="007C47AB"/>
    <w:rsid w:val="007C47D6"/>
    <w:rsid w:val="007C485A"/>
    <w:rsid w:val="007C48E7"/>
    <w:rsid w:val="007C4923"/>
    <w:rsid w:val="007C49A4"/>
    <w:rsid w:val="007C49CC"/>
    <w:rsid w:val="007C4A77"/>
    <w:rsid w:val="007C4A79"/>
    <w:rsid w:val="007C4AA9"/>
    <w:rsid w:val="007C4ACA"/>
    <w:rsid w:val="007C4B37"/>
    <w:rsid w:val="007C4B92"/>
    <w:rsid w:val="007C4B98"/>
    <w:rsid w:val="007C4BED"/>
    <w:rsid w:val="007C4CEE"/>
    <w:rsid w:val="007C4CF0"/>
    <w:rsid w:val="007C4D53"/>
    <w:rsid w:val="007C4D6C"/>
    <w:rsid w:val="007C4DA5"/>
    <w:rsid w:val="007C4E38"/>
    <w:rsid w:val="007C4E82"/>
    <w:rsid w:val="007C4EE0"/>
    <w:rsid w:val="007C4F71"/>
    <w:rsid w:val="007C506F"/>
    <w:rsid w:val="007C513D"/>
    <w:rsid w:val="007C5169"/>
    <w:rsid w:val="007C53CB"/>
    <w:rsid w:val="007C53F1"/>
    <w:rsid w:val="007C543B"/>
    <w:rsid w:val="007C57BB"/>
    <w:rsid w:val="007C57CA"/>
    <w:rsid w:val="007C58A6"/>
    <w:rsid w:val="007C5A20"/>
    <w:rsid w:val="007C5A21"/>
    <w:rsid w:val="007C5ABE"/>
    <w:rsid w:val="007C5B11"/>
    <w:rsid w:val="007C5B52"/>
    <w:rsid w:val="007C5B8E"/>
    <w:rsid w:val="007C5C25"/>
    <w:rsid w:val="007C5C67"/>
    <w:rsid w:val="007C5E33"/>
    <w:rsid w:val="007C5E57"/>
    <w:rsid w:val="007C608B"/>
    <w:rsid w:val="007C6197"/>
    <w:rsid w:val="007C6220"/>
    <w:rsid w:val="007C6266"/>
    <w:rsid w:val="007C630B"/>
    <w:rsid w:val="007C6394"/>
    <w:rsid w:val="007C651F"/>
    <w:rsid w:val="007C6522"/>
    <w:rsid w:val="007C671B"/>
    <w:rsid w:val="007C6863"/>
    <w:rsid w:val="007C6864"/>
    <w:rsid w:val="007C69AF"/>
    <w:rsid w:val="007C69F7"/>
    <w:rsid w:val="007C6A2C"/>
    <w:rsid w:val="007C6AA4"/>
    <w:rsid w:val="007C6BD8"/>
    <w:rsid w:val="007C6CF7"/>
    <w:rsid w:val="007C6D2D"/>
    <w:rsid w:val="007C6E4F"/>
    <w:rsid w:val="007C70BC"/>
    <w:rsid w:val="007C711D"/>
    <w:rsid w:val="007C715B"/>
    <w:rsid w:val="007C716B"/>
    <w:rsid w:val="007C71DB"/>
    <w:rsid w:val="007C723E"/>
    <w:rsid w:val="007C7448"/>
    <w:rsid w:val="007C747B"/>
    <w:rsid w:val="007C74B6"/>
    <w:rsid w:val="007C74C9"/>
    <w:rsid w:val="007C74EC"/>
    <w:rsid w:val="007C77C5"/>
    <w:rsid w:val="007C77CF"/>
    <w:rsid w:val="007C7814"/>
    <w:rsid w:val="007C7893"/>
    <w:rsid w:val="007C789C"/>
    <w:rsid w:val="007C7976"/>
    <w:rsid w:val="007C7A18"/>
    <w:rsid w:val="007C7B3D"/>
    <w:rsid w:val="007C7B85"/>
    <w:rsid w:val="007C7DFF"/>
    <w:rsid w:val="007C7F0C"/>
    <w:rsid w:val="007C7F48"/>
    <w:rsid w:val="007C7F72"/>
    <w:rsid w:val="007C7F93"/>
    <w:rsid w:val="007CC680"/>
    <w:rsid w:val="007D002D"/>
    <w:rsid w:val="007D008A"/>
    <w:rsid w:val="007D0092"/>
    <w:rsid w:val="007D010A"/>
    <w:rsid w:val="007D0138"/>
    <w:rsid w:val="007D0207"/>
    <w:rsid w:val="007D0283"/>
    <w:rsid w:val="007D0620"/>
    <w:rsid w:val="007D06CB"/>
    <w:rsid w:val="007D0736"/>
    <w:rsid w:val="007D074D"/>
    <w:rsid w:val="007D08AB"/>
    <w:rsid w:val="007D0924"/>
    <w:rsid w:val="007D095B"/>
    <w:rsid w:val="007D098E"/>
    <w:rsid w:val="007D09BF"/>
    <w:rsid w:val="007D09C0"/>
    <w:rsid w:val="007D09E4"/>
    <w:rsid w:val="007D09EC"/>
    <w:rsid w:val="007D0AB9"/>
    <w:rsid w:val="007D0ADB"/>
    <w:rsid w:val="007D0BF5"/>
    <w:rsid w:val="007D0C00"/>
    <w:rsid w:val="007D0D2F"/>
    <w:rsid w:val="007D0D84"/>
    <w:rsid w:val="007D0DB3"/>
    <w:rsid w:val="007D0EF5"/>
    <w:rsid w:val="007D0FB1"/>
    <w:rsid w:val="007D1076"/>
    <w:rsid w:val="007D108D"/>
    <w:rsid w:val="007D1109"/>
    <w:rsid w:val="007D114D"/>
    <w:rsid w:val="007D12AD"/>
    <w:rsid w:val="007D131A"/>
    <w:rsid w:val="007D15A6"/>
    <w:rsid w:val="007D15A9"/>
    <w:rsid w:val="007D15E4"/>
    <w:rsid w:val="007D169F"/>
    <w:rsid w:val="007D1851"/>
    <w:rsid w:val="007D19DA"/>
    <w:rsid w:val="007D1AA1"/>
    <w:rsid w:val="007D1AEC"/>
    <w:rsid w:val="007D1C04"/>
    <w:rsid w:val="007D1C5F"/>
    <w:rsid w:val="007D1C70"/>
    <w:rsid w:val="007D1C9D"/>
    <w:rsid w:val="007D1CF3"/>
    <w:rsid w:val="007D1DE0"/>
    <w:rsid w:val="007D1E74"/>
    <w:rsid w:val="007D1FEC"/>
    <w:rsid w:val="007D207E"/>
    <w:rsid w:val="007D215A"/>
    <w:rsid w:val="007D2188"/>
    <w:rsid w:val="007D2232"/>
    <w:rsid w:val="007D234D"/>
    <w:rsid w:val="007D23F9"/>
    <w:rsid w:val="007D2469"/>
    <w:rsid w:val="007D2472"/>
    <w:rsid w:val="007D24AF"/>
    <w:rsid w:val="007D24B9"/>
    <w:rsid w:val="007D25CE"/>
    <w:rsid w:val="007D262F"/>
    <w:rsid w:val="007D2994"/>
    <w:rsid w:val="007D29E2"/>
    <w:rsid w:val="007D2A5A"/>
    <w:rsid w:val="007D2D19"/>
    <w:rsid w:val="007D2E6D"/>
    <w:rsid w:val="007D2E7B"/>
    <w:rsid w:val="007D2E9E"/>
    <w:rsid w:val="007D2FC7"/>
    <w:rsid w:val="007D319B"/>
    <w:rsid w:val="007D32E4"/>
    <w:rsid w:val="007D331E"/>
    <w:rsid w:val="007D3369"/>
    <w:rsid w:val="007D33B4"/>
    <w:rsid w:val="007D347B"/>
    <w:rsid w:val="007D350F"/>
    <w:rsid w:val="007D354C"/>
    <w:rsid w:val="007D3604"/>
    <w:rsid w:val="007D3638"/>
    <w:rsid w:val="007D36F8"/>
    <w:rsid w:val="007D3805"/>
    <w:rsid w:val="007D38A0"/>
    <w:rsid w:val="007D3B1D"/>
    <w:rsid w:val="007D3B2B"/>
    <w:rsid w:val="007D3B70"/>
    <w:rsid w:val="007D3D63"/>
    <w:rsid w:val="007D3D90"/>
    <w:rsid w:val="007D3DBA"/>
    <w:rsid w:val="007D3DEF"/>
    <w:rsid w:val="007D3E58"/>
    <w:rsid w:val="007D3EA2"/>
    <w:rsid w:val="007D3EAD"/>
    <w:rsid w:val="007D3F8F"/>
    <w:rsid w:val="007D3FE5"/>
    <w:rsid w:val="007D4043"/>
    <w:rsid w:val="007D4047"/>
    <w:rsid w:val="007D40FD"/>
    <w:rsid w:val="007D4197"/>
    <w:rsid w:val="007D419C"/>
    <w:rsid w:val="007D43AF"/>
    <w:rsid w:val="007D4448"/>
    <w:rsid w:val="007D4483"/>
    <w:rsid w:val="007D45AE"/>
    <w:rsid w:val="007D45CF"/>
    <w:rsid w:val="007D466C"/>
    <w:rsid w:val="007D469B"/>
    <w:rsid w:val="007D46DC"/>
    <w:rsid w:val="007D474B"/>
    <w:rsid w:val="007D475C"/>
    <w:rsid w:val="007D4821"/>
    <w:rsid w:val="007D4863"/>
    <w:rsid w:val="007D48B3"/>
    <w:rsid w:val="007D48E2"/>
    <w:rsid w:val="007D4969"/>
    <w:rsid w:val="007D4A2F"/>
    <w:rsid w:val="007D4AA4"/>
    <w:rsid w:val="007D4AB4"/>
    <w:rsid w:val="007D4AEE"/>
    <w:rsid w:val="007D4B0B"/>
    <w:rsid w:val="007D4B15"/>
    <w:rsid w:val="007D4BA2"/>
    <w:rsid w:val="007D4BD8"/>
    <w:rsid w:val="007D4BDC"/>
    <w:rsid w:val="007D4C53"/>
    <w:rsid w:val="007D4C8B"/>
    <w:rsid w:val="007D4CF9"/>
    <w:rsid w:val="007D4D79"/>
    <w:rsid w:val="007D4D8A"/>
    <w:rsid w:val="007D4E09"/>
    <w:rsid w:val="007D4EA5"/>
    <w:rsid w:val="007D4F37"/>
    <w:rsid w:val="007D4F50"/>
    <w:rsid w:val="007D4FD5"/>
    <w:rsid w:val="007D509C"/>
    <w:rsid w:val="007D50E9"/>
    <w:rsid w:val="007D522A"/>
    <w:rsid w:val="007D52A2"/>
    <w:rsid w:val="007D5349"/>
    <w:rsid w:val="007D546C"/>
    <w:rsid w:val="007D548A"/>
    <w:rsid w:val="007D54CA"/>
    <w:rsid w:val="007D55BE"/>
    <w:rsid w:val="007D55D0"/>
    <w:rsid w:val="007D567E"/>
    <w:rsid w:val="007D56AE"/>
    <w:rsid w:val="007D56CC"/>
    <w:rsid w:val="007D56E5"/>
    <w:rsid w:val="007D5777"/>
    <w:rsid w:val="007D5784"/>
    <w:rsid w:val="007D5796"/>
    <w:rsid w:val="007D589A"/>
    <w:rsid w:val="007D5936"/>
    <w:rsid w:val="007D5942"/>
    <w:rsid w:val="007D59F9"/>
    <w:rsid w:val="007D5AE7"/>
    <w:rsid w:val="007D5D24"/>
    <w:rsid w:val="007D5E0A"/>
    <w:rsid w:val="007D5F39"/>
    <w:rsid w:val="007D617E"/>
    <w:rsid w:val="007D61A8"/>
    <w:rsid w:val="007D6269"/>
    <w:rsid w:val="007D63B2"/>
    <w:rsid w:val="007D63B4"/>
    <w:rsid w:val="007D6481"/>
    <w:rsid w:val="007D65EB"/>
    <w:rsid w:val="007D67CC"/>
    <w:rsid w:val="007D684A"/>
    <w:rsid w:val="007D6865"/>
    <w:rsid w:val="007D6905"/>
    <w:rsid w:val="007D6908"/>
    <w:rsid w:val="007D6A0D"/>
    <w:rsid w:val="007D6A51"/>
    <w:rsid w:val="007D6AFE"/>
    <w:rsid w:val="007D6B85"/>
    <w:rsid w:val="007D6C10"/>
    <w:rsid w:val="007D6CA9"/>
    <w:rsid w:val="007D6D4F"/>
    <w:rsid w:val="007D6EB6"/>
    <w:rsid w:val="007D6F3A"/>
    <w:rsid w:val="007D6FF0"/>
    <w:rsid w:val="007D700B"/>
    <w:rsid w:val="007D703D"/>
    <w:rsid w:val="007D70AC"/>
    <w:rsid w:val="007D72DD"/>
    <w:rsid w:val="007D7328"/>
    <w:rsid w:val="007D7340"/>
    <w:rsid w:val="007D736B"/>
    <w:rsid w:val="007D7373"/>
    <w:rsid w:val="007D73D9"/>
    <w:rsid w:val="007D7528"/>
    <w:rsid w:val="007D7569"/>
    <w:rsid w:val="007D7599"/>
    <w:rsid w:val="007D7613"/>
    <w:rsid w:val="007D76AB"/>
    <w:rsid w:val="007D7815"/>
    <w:rsid w:val="007D7832"/>
    <w:rsid w:val="007D7852"/>
    <w:rsid w:val="007D785E"/>
    <w:rsid w:val="007D79AE"/>
    <w:rsid w:val="007D79FE"/>
    <w:rsid w:val="007D7A39"/>
    <w:rsid w:val="007D7B23"/>
    <w:rsid w:val="007D7E4A"/>
    <w:rsid w:val="007D7FC9"/>
    <w:rsid w:val="007D7FD2"/>
    <w:rsid w:val="007E0046"/>
    <w:rsid w:val="007E00C4"/>
    <w:rsid w:val="007E0144"/>
    <w:rsid w:val="007E0152"/>
    <w:rsid w:val="007E01BC"/>
    <w:rsid w:val="007E01D6"/>
    <w:rsid w:val="007E0246"/>
    <w:rsid w:val="007E03C6"/>
    <w:rsid w:val="007E04D8"/>
    <w:rsid w:val="007E04F8"/>
    <w:rsid w:val="007E057B"/>
    <w:rsid w:val="007E062D"/>
    <w:rsid w:val="007E0693"/>
    <w:rsid w:val="007E06C1"/>
    <w:rsid w:val="007E0703"/>
    <w:rsid w:val="007E086F"/>
    <w:rsid w:val="007E088C"/>
    <w:rsid w:val="007E0895"/>
    <w:rsid w:val="007E08A7"/>
    <w:rsid w:val="007E08FF"/>
    <w:rsid w:val="007E091F"/>
    <w:rsid w:val="007E09C1"/>
    <w:rsid w:val="007E0A27"/>
    <w:rsid w:val="007E0A7A"/>
    <w:rsid w:val="007E0A94"/>
    <w:rsid w:val="007E0B02"/>
    <w:rsid w:val="007E0B32"/>
    <w:rsid w:val="007E0B9F"/>
    <w:rsid w:val="007E0CBD"/>
    <w:rsid w:val="007E0DAF"/>
    <w:rsid w:val="007E0E1F"/>
    <w:rsid w:val="007E0EDB"/>
    <w:rsid w:val="007E0F5C"/>
    <w:rsid w:val="007E0F72"/>
    <w:rsid w:val="007E0F88"/>
    <w:rsid w:val="007E0FB1"/>
    <w:rsid w:val="007E0FC4"/>
    <w:rsid w:val="007E0FE9"/>
    <w:rsid w:val="007E1183"/>
    <w:rsid w:val="007E123F"/>
    <w:rsid w:val="007E129F"/>
    <w:rsid w:val="007E12EC"/>
    <w:rsid w:val="007E1313"/>
    <w:rsid w:val="007E1414"/>
    <w:rsid w:val="007E15AA"/>
    <w:rsid w:val="007E15CE"/>
    <w:rsid w:val="007E16DD"/>
    <w:rsid w:val="007E16ED"/>
    <w:rsid w:val="007E1756"/>
    <w:rsid w:val="007E175A"/>
    <w:rsid w:val="007E1890"/>
    <w:rsid w:val="007E18F5"/>
    <w:rsid w:val="007E1A22"/>
    <w:rsid w:val="007E1B1D"/>
    <w:rsid w:val="007E1BA6"/>
    <w:rsid w:val="007E1CD4"/>
    <w:rsid w:val="007E1D0F"/>
    <w:rsid w:val="007E1EFC"/>
    <w:rsid w:val="007E1FF2"/>
    <w:rsid w:val="007E2020"/>
    <w:rsid w:val="007E21A5"/>
    <w:rsid w:val="007E21E2"/>
    <w:rsid w:val="007E2212"/>
    <w:rsid w:val="007E223F"/>
    <w:rsid w:val="007E22C0"/>
    <w:rsid w:val="007E250D"/>
    <w:rsid w:val="007E2551"/>
    <w:rsid w:val="007E25BB"/>
    <w:rsid w:val="007E25D2"/>
    <w:rsid w:val="007E2766"/>
    <w:rsid w:val="007E281D"/>
    <w:rsid w:val="007E284E"/>
    <w:rsid w:val="007E2850"/>
    <w:rsid w:val="007E29A7"/>
    <w:rsid w:val="007E29CF"/>
    <w:rsid w:val="007E29DA"/>
    <w:rsid w:val="007E2A15"/>
    <w:rsid w:val="007E2A2E"/>
    <w:rsid w:val="007E2A7D"/>
    <w:rsid w:val="007E2B6C"/>
    <w:rsid w:val="007E2CA6"/>
    <w:rsid w:val="007E2CFB"/>
    <w:rsid w:val="007E2D2A"/>
    <w:rsid w:val="007E3043"/>
    <w:rsid w:val="007E3090"/>
    <w:rsid w:val="007E30AA"/>
    <w:rsid w:val="007E3153"/>
    <w:rsid w:val="007E3196"/>
    <w:rsid w:val="007E31B3"/>
    <w:rsid w:val="007E32B4"/>
    <w:rsid w:val="007E344A"/>
    <w:rsid w:val="007E3692"/>
    <w:rsid w:val="007E373B"/>
    <w:rsid w:val="007E37BF"/>
    <w:rsid w:val="007E3858"/>
    <w:rsid w:val="007E387A"/>
    <w:rsid w:val="007E3923"/>
    <w:rsid w:val="007E39EF"/>
    <w:rsid w:val="007E3A7E"/>
    <w:rsid w:val="007E3C57"/>
    <w:rsid w:val="007E3D09"/>
    <w:rsid w:val="007E3D30"/>
    <w:rsid w:val="007E3ED1"/>
    <w:rsid w:val="007E3EEA"/>
    <w:rsid w:val="007E3EF3"/>
    <w:rsid w:val="007E3F14"/>
    <w:rsid w:val="007E41A5"/>
    <w:rsid w:val="007E4286"/>
    <w:rsid w:val="007E430F"/>
    <w:rsid w:val="007E4391"/>
    <w:rsid w:val="007E43BB"/>
    <w:rsid w:val="007E4446"/>
    <w:rsid w:val="007E44AF"/>
    <w:rsid w:val="007E4550"/>
    <w:rsid w:val="007E466F"/>
    <w:rsid w:val="007E4708"/>
    <w:rsid w:val="007E4750"/>
    <w:rsid w:val="007E4832"/>
    <w:rsid w:val="007E48D4"/>
    <w:rsid w:val="007E4960"/>
    <w:rsid w:val="007E4965"/>
    <w:rsid w:val="007E4AC4"/>
    <w:rsid w:val="007E4ACF"/>
    <w:rsid w:val="007E4AF5"/>
    <w:rsid w:val="007E4C21"/>
    <w:rsid w:val="007E4C66"/>
    <w:rsid w:val="007E4CB6"/>
    <w:rsid w:val="007E4CB9"/>
    <w:rsid w:val="007E4CDF"/>
    <w:rsid w:val="007E4D23"/>
    <w:rsid w:val="007E4D85"/>
    <w:rsid w:val="007E4D9A"/>
    <w:rsid w:val="007E4E8D"/>
    <w:rsid w:val="007E4F6A"/>
    <w:rsid w:val="007E4F93"/>
    <w:rsid w:val="007E4FA5"/>
    <w:rsid w:val="007E51AE"/>
    <w:rsid w:val="007E51F4"/>
    <w:rsid w:val="007E51F7"/>
    <w:rsid w:val="007E5241"/>
    <w:rsid w:val="007E5247"/>
    <w:rsid w:val="007E52CF"/>
    <w:rsid w:val="007E52D1"/>
    <w:rsid w:val="007E530A"/>
    <w:rsid w:val="007E537B"/>
    <w:rsid w:val="007E53BE"/>
    <w:rsid w:val="007E53C0"/>
    <w:rsid w:val="007E546B"/>
    <w:rsid w:val="007E54AC"/>
    <w:rsid w:val="007E54C8"/>
    <w:rsid w:val="007E5529"/>
    <w:rsid w:val="007E5671"/>
    <w:rsid w:val="007E56CF"/>
    <w:rsid w:val="007E5758"/>
    <w:rsid w:val="007E5794"/>
    <w:rsid w:val="007E58AB"/>
    <w:rsid w:val="007E5AB3"/>
    <w:rsid w:val="007E5B59"/>
    <w:rsid w:val="007E5C7D"/>
    <w:rsid w:val="007E5D1E"/>
    <w:rsid w:val="007E5D43"/>
    <w:rsid w:val="007E5DB2"/>
    <w:rsid w:val="007E5DCF"/>
    <w:rsid w:val="007E5F58"/>
    <w:rsid w:val="007E60DE"/>
    <w:rsid w:val="007E6143"/>
    <w:rsid w:val="007E6179"/>
    <w:rsid w:val="007E6270"/>
    <w:rsid w:val="007E6281"/>
    <w:rsid w:val="007E62EE"/>
    <w:rsid w:val="007E6413"/>
    <w:rsid w:val="007E6446"/>
    <w:rsid w:val="007E6630"/>
    <w:rsid w:val="007E6681"/>
    <w:rsid w:val="007E679C"/>
    <w:rsid w:val="007E67EC"/>
    <w:rsid w:val="007E6894"/>
    <w:rsid w:val="007E6918"/>
    <w:rsid w:val="007E6922"/>
    <w:rsid w:val="007E6929"/>
    <w:rsid w:val="007E692E"/>
    <w:rsid w:val="007E696C"/>
    <w:rsid w:val="007E6A40"/>
    <w:rsid w:val="007E6BFC"/>
    <w:rsid w:val="007E6C18"/>
    <w:rsid w:val="007E6C68"/>
    <w:rsid w:val="007E6CD7"/>
    <w:rsid w:val="007E6D03"/>
    <w:rsid w:val="007E6D12"/>
    <w:rsid w:val="007E6F70"/>
    <w:rsid w:val="007E6FDB"/>
    <w:rsid w:val="007E713F"/>
    <w:rsid w:val="007E7188"/>
    <w:rsid w:val="007E731A"/>
    <w:rsid w:val="007E7426"/>
    <w:rsid w:val="007E7594"/>
    <w:rsid w:val="007E759E"/>
    <w:rsid w:val="007E761A"/>
    <w:rsid w:val="007E7819"/>
    <w:rsid w:val="007E786F"/>
    <w:rsid w:val="007E7872"/>
    <w:rsid w:val="007E7889"/>
    <w:rsid w:val="007E78E7"/>
    <w:rsid w:val="007E79E1"/>
    <w:rsid w:val="007E7A01"/>
    <w:rsid w:val="007E7A0B"/>
    <w:rsid w:val="007E7A15"/>
    <w:rsid w:val="007E7A5D"/>
    <w:rsid w:val="007E7B34"/>
    <w:rsid w:val="007E7B92"/>
    <w:rsid w:val="007E7C16"/>
    <w:rsid w:val="007E7C64"/>
    <w:rsid w:val="007E7C67"/>
    <w:rsid w:val="007E7C73"/>
    <w:rsid w:val="007F0015"/>
    <w:rsid w:val="007F0033"/>
    <w:rsid w:val="007F00DF"/>
    <w:rsid w:val="007F0132"/>
    <w:rsid w:val="007F014D"/>
    <w:rsid w:val="007F0229"/>
    <w:rsid w:val="007F02E4"/>
    <w:rsid w:val="007F0435"/>
    <w:rsid w:val="007F045E"/>
    <w:rsid w:val="007F0483"/>
    <w:rsid w:val="007F04D8"/>
    <w:rsid w:val="007F05D2"/>
    <w:rsid w:val="007F0604"/>
    <w:rsid w:val="007F0631"/>
    <w:rsid w:val="007F063A"/>
    <w:rsid w:val="007F06E2"/>
    <w:rsid w:val="007F07E6"/>
    <w:rsid w:val="007F0824"/>
    <w:rsid w:val="007F0889"/>
    <w:rsid w:val="007F08A1"/>
    <w:rsid w:val="007F08D6"/>
    <w:rsid w:val="007F0A7C"/>
    <w:rsid w:val="007F0BEA"/>
    <w:rsid w:val="007F0C46"/>
    <w:rsid w:val="007F0D10"/>
    <w:rsid w:val="007F0D33"/>
    <w:rsid w:val="007F0D87"/>
    <w:rsid w:val="007F0DB4"/>
    <w:rsid w:val="007F0E07"/>
    <w:rsid w:val="007F0EA1"/>
    <w:rsid w:val="007F1017"/>
    <w:rsid w:val="007F106F"/>
    <w:rsid w:val="007F1289"/>
    <w:rsid w:val="007F133E"/>
    <w:rsid w:val="007F13DA"/>
    <w:rsid w:val="007F1436"/>
    <w:rsid w:val="007F14AA"/>
    <w:rsid w:val="007F1872"/>
    <w:rsid w:val="007F1957"/>
    <w:rsid w:val="007F1A36"/>
    <w:rsid w:val="007F1C24"/>
    <w:rsid w:val="007F1D56"/>
    <w:rsid w:val="007F1D6D"/>
    <w:rsid w:val="007F1E9E"/>
    <w:rsid w:val="007F1F2B"/>
    <w:rsid w:val="007F1F58"/>
    <w:rsid w:val="007F1FAD"/>
    <w:rsid w:val="007F1FC8"/>
    <w:rsid w:val="007F1FD6"/>
    <w:rsid w:val="007F1FF3"/>
    <w:rsid w:val="007F20A5"/>
    <w:rsid w:val="007F2172"/>
    <w:rsid w:val="007F226E"/>
    <w:rsid w:val="007F23BB"/>
    <w:rsid w:val="007F2433"/>
    <w:rsid w:val="007F24ED"/>
    <w:rsid w:val="007F2557"/>
    <w:rsid w:val="007F264A"/>
    <w:rsid w:val="007F26FB"/>
    <w:rsid w:val="007F2710"/>
    <w:rsid w:val="007F277D"/>
    <w:rsid w:val="007F27B9"/>
    <w:rsid w:val="007F27C1"/>
    <w:rsid w:val="007F2A1E"/>
    <w:rsid w:val="007F2A36"/>
    <w:rsid w:val="007F2A4B"/>
    <w:rsid w:val="007F2A70"/>
    <w:rsid w:val="007F2B5E"/>
    <w:rsid w:val="007F2BBD"/>
    <w:rsid w:val="007F2D36"/>
    <w:rsid w:val="007F2D53"/>
    <w:rsid w:val="007F2DAC"/>
    <w:rsid w:val="007F2DB9"/>
    <w:rsid w:val="007F2EFD"/>
    <w:rsid w:val="007F2F1D"/>
    <w:rsid w:val="007F2F45"/>
    <w:rsid w:val="007F2F88"/>
    <w:rsid w:val="007F3010"/>
    <w:rsid w:val="007F303E"/>
    <w:rsid w:val="007F31E9"/>
    <w:rsid w:val="007F3346"/>
    <w:rsid w:val="007F35BC"/>
    <w:rsid w:val="007F36C1"/>
    <w:rsid w:val="007F3814"/>
    <w:rsid w:val="007F39BC"/>
    <w:rsid w:val="007F3A1D"/>
    <w:rsid w:val="007F3A68"/>
    <w:rsid w:val="007F3A7F"/>
    <w:rsid w:val="007F3B54"/>
    <w:rsid w:val="007F3C46"/>
    <w:rsid w:val="007F3C64"/>
    <w:rsid w:val="007F3D1F"/>
    <w:rsid w:val="007F3E19"/>
    <w:rsid w:val="007F3E27"/>
    <w:rsid w:val="007F3E2C"/>
    <w:rsid w:val="007F3F39"/>
    <w:rsid w:val="007F3F64"/>
    <w:rsid w:val="007F40E3"/>
    <w:rsid w:val="007F416B"/>
    <w:rsid w:val="007F4176"/>
    <w:rsid w:val="007F41ED"/>
    <w:rsid w:val="007F42D5"/>
    <w:rsid w:val="007F437D"/>
    <w:rsid w:val="007F43E9"/>
    <w:rsid w:val="007F44A7"/>
    <w:rsid w:val="007F479E"/>
    <w:rsid w:val="007F4881"/>
    <w:rsid w:val="007F48D4"/>
    <w:rsid w:val="007F4923"/>
    <w:rsid w:val="007F4A7D"/>
    <w:rsid w:val="007F4A7F"/>
    <w:rsid w:val="007F4BEC"/>
    <w:rsid w:val="007F4C36"/>
    <w:rsid w:val="007F4D74"/>
    <w:rsid w:val="007F4DC5"/>
    <w:rsid w:val="007F4E17"/>
    <w:rsid w:val="007F4EA8"/>
    <w:rsid w:val="007F505C"/>
    <w:rsid w:val="007F50E0"/>
    <w:rsid w:val="007F5128"/>
    <w:rsid w:val="007F514A"/>
    <w:rsid w:val="007F520A"/>
    <w:rsid w:val="007F5257"/>
    <w:rsid w:val="007F5269"/>
    <w:rsid w:val="007F5314"/>
    <w:rsid w:val="007F540F"/>
    <w:rsid w:val="007F5436"/>
    <w:rsid w:val="007F546E"/>
    <w:rsid w:val="007F5534"/>
    <w:rsid w:val="007F5580"/>
    <w:rsid w:val="007F5604"/>
    <w:rsid w:val="007F5631"/>
    <w:rsid w:val="007F564D"/>
    <w:rsid w:val="007F56D3"/>
    <w:rsid w:val="007F572A"/>
    <w:rsid w:val="007F577B"/>
    <w:rsid w:val="007F592D"/>
    <w:rsid w:val="007F59A6"/>
    <w:rsid w:val="007F59CA"/>
    <w:rsid w:val="007F59F5"/>
    <w:rsid w:val="007F5A71"/>
    <w:rsid w:val="007F5A73"/>
    <w:rsid w:val="007F5A89"/>
    <w:rsid w:val="007F5B11"/>
    <w:rsid w:val="007F5B28"/>
    <w:rsid w:val="007F5C5D"/>
    <w:rsid w:val="007F5D20"/>
    <w:rsid w:val="007F5D52"/>
    <w:rsid w:val="007F5F45"/>
    <w:rsid w:val="007F5F90"/>
    <w:rsid w:val="007F6122"/>
    <w:rsid w:val="007F6181"/>
    <w:rsid w:val="007F62D1"/>
    <w:rsid w:val="007F632F"/>
    <w:rsid w:val="007F65A9"/>
    <w:rsid w:val="007F6612"/>
    <w:rsid w:val="007F6663"/>
    <w:rsid w:val="007F66DD"/>
    <w:rsid w:val="007F66FC"/>
    <w:rsid w:val="007F6700"/>
    <w:rsid w:val="007F673E"/>
    <w:rsid w:val="007F6755"/>
    <w:rsid w:val="007F6788"/>
    <w:rsid w:val="007F67E2"/>
    <w:rsid w:val="007F67F8"/>
    <w:rsid w:val="007F6860"/>
    <w:rsid w:val="007F686C"/>
    <w:rsid w:val="007F68FE"/>
    <w:rsid w:val="007F6968"/>
    <w:rsid w:val="007F6B42"/>
    <w:rsid w:val="007F6D0A"/>
    <w:rsid w:val="007F6D9E"/>
    <w:rsid w:val="007F6DA0"/>
    <w:rsid w:val="007F6DDA"/>
    <w:rsid w:val="007F6EA0"/>
    <w:rsid w:val="007F6EFC"/>
    <w:rsid w:val="007F6FBB"/>
    <w:rsid w:val="007F7016"/>
    <w:rsid w:val="007F7094"/>
    <w:rsid w:val="007F70DC"/>
    <w:rsid w:val="007F7130"/>
    <w:rsid w:val="007F71F0"/>
    <w:rsid w:val="007F72A1"/>
    <w:rsid w:val="007F73F7"/>
    <w:rsid w:val="007F747F"/>
    <w:rsid w:val="007F7493"/>
    <w:rsid w:val="007F74A1"/>
    <w:rsid w:val="007F74EA"/>
    <w:rsid w:val="007F7541"/>
    <w:rsid w:val="007F7626"/>
    <w:rsid w:val="007F767A"/>
    <w:rsid w:val="007F76D8"/>
    <w:rsid w:val="007F773E"/>
    <w:rsid w:val="007F77AC"/>
    <w:rsid w:val="007F7921"/>
    <w:rsid w:val="007F79CA"/>
    <w:rsid w:val="007F7AF7"/>
    <w:rsid w:val="007F7B88"/>
    <w:rsid w:val="007F7B8F"/>
    <w:rsid w:val="007F7BFB"/>
    <w:rsid w:val="007F7C85"/>
    <w:rsid w:val="007F7E83"/>
    <w:rsid w:val="007F7F21"/>
    <w:rsid w:val="007F7F58"/>
    <w:rsid w:val="00800191"/>
    <w:rsid w:val="008001F6"/>
    <w:rsid w:val="008004D6"/>
    <w:rsid w:val="00800522"/>
    <w:rsid w:val="00800635"/>
    <w:rsid w:val="0080087F"/>
    <w:rsid w:val="00800895"/>
    <w:rsid w:val="008009A1"/>
    <w:rsid w:val="008009AB"/>
    <w:rsid w:val="00800A10"/>
    <w:rsid w:val="00800A56"/>
    <w:rsid w:val="00800ACF"/>
    <w:rsid w:val="00800AD6"/>
    <w:rsid w:val="00800B56"/>
    <w:rsid w:val="00800BE2"/>
    <w:rsid w:val="00800CF1"/>
    <w:rsid w:val="00800D03"/>
    <w:rsid w:val="00800D22"/>
    <w:rsid w:val="00800D94"/>
    <w:rsid w:val="00800DF5"/>
    <w:rsid w:val="00800E1E"/>
    <w:rsid w:val="00800E87"/>
    <w:rsid w:val="00800EC2"/>
    <w:rsid w:val="00800F49"/>
    <w:rsid w:val="00801090"/>
    <w:rsid w:val="008010DC"/>
    <w:rsid w:val="0080113A"/>
    <w:rsid w:val="008012A7"/>
    <w:rsid w:val="008012AF"/>
    <w:rsid w:val="0080139D"/>
    <w:rsid w:val="0080145B"/>
    <w:rsid w:val="00801497"/>
    <w:rsid w:val="008015B8"/>
    <w:rsid w:val="00801650"/>
    <w:rsid w:val="0080165A"/>
    <w:rsid w:val="008017EA"/>
    <w:rsid w:val="00801832"/>
    <w:rsid w:val="00801A9D"/>
    <w:rsid w:val="00801AC7"/>
    <w:rsid w:val="00801BFA"/>
    <w:rsid w:val="00801C6D"/>
    <w:rsid w:val="00801D2B"/>
    <w:rsid w:val="00801DED"/>
    <w:rsid w:val="00801DF0"/>
    <w:rsid w:val="00801E61"/>
    <w:rsid w:val="00801F8D"/>
    <w:rsid w:val="00802097"/>
    <w:rsid w:val="008020A0"/>
    <w:rsid w:val="00802104"/>
    <w:rsid w:val="008021E4"/>
    <w:rsid w:val="00802299"/>
    <w:rsid w:val="008022A0"/>
    <w:rsid w:val="0080236A"/>
    <w:rsid w:val="00802524"/>
    <w:rsid w:val="00802628"/>
    <w:rsid w:val="008026D4"/>
    <w:rsid w:val="008026E0"/>
    <w:rsid w:val="00802743"/>
    <w:rsid w:val="008027C2"/>
    <w:rsid w:val="008027F9"/>
    <w:rsid w:val="00802931"/>
    <w:rsid w:val="008029C2"/>
    <w:rsid w:val="008029DB"/>
    <w:rsid w:val="00802BC6"/>
    <w:rsid w:val="00802D69"/>
    <w:rsid w:val="00802DCD"/>
    <w:rsid w:val="00802DCF"/>
    <w:rsid w:val="00802E55"/>
    <w:rsid w:val="00802E76"/>
    <w:rsid w:val="00802EC3"/>
    <w:rsid w:val="00802F0C"/>
    <w:rsid w:val="00802F46"/>
    <w:rsid w:val="00802FE9"/>
    <w:rsid w:val="00803053"/>
    <w:rsid w:val="00803068"/>
    <w:rsid w:val="008030F9"/>
    <w:rsid w:val="0080315C"/>
    <w:rsid w:val="00803199"/>
    <w:rsid w:val="0080329C"/>
    <w:rsid w:val="008035E9"/>
    <w:rsid w:val="0080364A"/>
    <w:rsid w:val="008037A9"/>
    <w:rsid w:val="0080385A"/>
    <w:rsid w:val="008038F0"/>
    <w:rsid w:val="00803930"/>
    <w:rsid w:val="0080395E"/>
    <w:rsid w:val="00803AB7"/>
    <w:rsid w:val="00803AD6"/>
    <w:rsid w:val="00803C3B"/>
    <w:rsid w:val="00803D92"/>
    <w:rsid w:val="00803DDF"/>
    <w:rsid w:val="00803F11"/>
    <w:rsid w:val="00804038"/>
    <w:rsid w:val="008040A9"/>
    <w:rsid w:val="008040C3"/>
    <w:rsid w:val="0080415E"/>
    <w:rsid w:val="008041AD"/>
    <w:rsid w:val="00804329"/>
    <w:rsid w:val="00804478"/>
    <w:rsid w:val="008044CC"/>
    <w:rsid w:val="00804623"/>
    <w:rsid w:val="0080466E"/>
    <w:rsid w:val="00804672"/>
    <w:rsid w:val="008046EB"/>
    <w:rsid w:val="00804767"/>
    <w:rsid w:val="00804871"/>
    <w:rsid w:val="00804942"/>
    <w:rsid w:val="00804AB9"/>
    <w:rsid w:val="00804B7B"/>
    <w:rsid w:val="00804C06"/>
    <w:rsid w:val="00804D10"/>
    <w:rsid w:val="00804EC0"/>
    <w:rsid w:val="00804EFE"/>
    <w:rsid w:val="00804F29"/>
    <w:rsid w:val="00804F75"/>
    <w:rsid w:val="00804F7F"/>
    <w:rsid w:val="00804FBE"/>
    <w:rsid w:val="008050A6"/>
    <w:rsid w:val="0080512D"/>
    <w:rsid w:val="008051A3"/>
    <w:rsid w:val="008051EA"/>
    <w:rsid w:val="008051ED"/>
    <w:rsid w:val="0080527B"/>
    <w:rsid w:val="008052CF"/>
    <w:rsid w:val="00805315"/>
    <w:rsid w:val="0080536C"/>
    <w:rsid w:val="008053B3"/>
    <w:rsid w:val="00805489"/>
    <w:rsid w:val="008054F8"/>
    <w:rsid w:val="008055BF"/>
    <w:rsid w:val="008056D0"/>
    <w:rsid w:val="0080580A"/>
    <w:rsid w:val="00805937"/>
    <w:rsid w:val="0080595A"/>
    <w:rsid w:val="00805A51"/>
    <w:rsid w:val="00805B27"/>
    <w:rsid w:val="00805B4A"/>
    <w:rsid w:val="00805B53"/>
    <w:rsid w:val="00805B5E"/>
    <w:rsid w:val="00805D4D"/>
    <w:rsid w:val="00805DB8"/>
    <w:rsid w:val="00805F24"/>
    <w:rsid w:val="0080602E"/>
    <w:rsid w:val="0080603F"/>
    <w:rsid w:val="00806122"/>
    <w:rsid w:val="00806125"/>
    <w:rsid w:val="00806132"/>
    <w:rsid w:val="008061B1"/>
    <w:rsid w:val="008061FD"/>
    <w:rsid w:val="00806308"/>
    <w:rsid w:val="0080631D"/>
    <w:rsid w:val="00806394"/>
    <w:rsid w:val="0080645E"/>
    <w:rsid w:val="00806471"/>
    <w:rsid w:val="00806511"/>
    <w:rsid w:val="0080692A"/>
    <w:rsid w:val="00806B1A"/>
    <w:rsid w:val="00806B1C"/>
    <w:rsid w:val="00806B38"/>
    <w:rsid w:val="00806BE7"/>
    <w:rsid w:val="00806DCA"/>
    <w:rsid w:val="00806E0D"/>
    <w:rsid w:val="00806E8E"/>
    <w:rsid w:val="0080701A"/>
    <w:rsid w:val="0080705A"/>
    <w:rsid w:val="0080705D"/>
    <w:rsid w:val="00807101"/>
    <w:rsid w:val="008072D7"/>
    <w:rsid w:val="008072F1"/>
    <w:rsid w:val="00807388"/>
    <w:rsid w:val="00807628"/>
    <w:rsid w:val="00807654"/>
    <w:rsid w:val="00807670"/>
    <w:rsid w:val="00807674"/>
    <w:rsid w:val="0080767A"/>
    <w:rsid w:val="0080769F"/>
    <w:rsid w:val="008076C3"/>
    <w:rsid w:val="00807700"/>
    <w:rsid w:val="008077E5"/>
    <w:rsid w:val="0080783F"/>
    <w:rsid w:val="0080792A"/>
    <w:rsid w:val="0080799D"/>
    <w:rsid w:val="008079A2"/>
    <w:rsid w:val="00807A12"/>
    <w:rsid w:val="00807A7D"/>
    <w:rsid w:val="00807AA2"/>
    <w:rsid w:val="00807B0C"/>
    <w:rsid w:val="00807B2A"/>
    <w:rsid w:val="00807B8F"/>
    <w:rsid w:val="00807BD6"/>
    <w:rsid w:val="00807C60"/>
    <w:rsid w:val="00807CF1"/>
    <w:rsid w:val="00807DF9"/>
    <w:rsid w:val="00807E59"/>
    <w:rsid w:val="00807EA0"/>
    <w:rsid w:val="00807F44"/>
    <w:rsid w:val="00807FDE"/>
    <w:rsid w:val="00807FFB"/>
    <w:rsid w:val="00810007"/>
    <w:rsid w:val="0081006F"/>
    <w:rsid w:val="00810111"/>
    <w:rsid w:val="0081018C"/>
    <w:rsid w:val="008101C0"/>
    <w:rsid w:val="008101E7"/>
    <w:rsid w:val="008101EB"/>
    <w:rsid w:val="00810279"/>
    <w:rsid w:val="0081034E"/>
    <w:rsid w:val="008103AD"/>
    <w:rsid w:val="008103DC"/>
    <w:rsid w:val="0081047F"/>
    <w:rsid w:val="008104F8"/>
    <w:rsid w:val="0081052A"/>
    <w:rsid w:val="0081054B"/>
    <w:rsid w:val="00810562"/>
    <w:rsid w:val="0081059F"/>
    <w:rsid w:val="008106EA"/>
    <w:rsid w:val="00810816"/>
    <w:rsid w:val="0081081F"/>
    <w:rsid w:val="00810888"/>
    <w:rsid w:val="008108EA"/>
    <w:rsid w:val="00810A72"/>
    <w:rsid w:val="00810A8F"/>
    <w:rsid w:val="00810B7E"/>
    <w:rsid w:val="00810BB6"/>
    <w:rsid w:val="00810C14"/>
    <w:rsid w:val="00810E5A"/>
    <w:rsid w:val="00810F15"/>
    <w:rsid w:val="00810F47"/>
    <w:rsid w:val="00811018"/>
    <w:rsid w:val="0081120D"/>
    <w:rsid w:val="00811212"/>
    <w:rsid w:val="008112BD"/>
    <w:rsid w:val="00811401"/>
    <w:rsid w:val="00811562"/>
    <w:rsid w:val="008115A5"/>
    <w:rsid w:val="008115B0"/>
    <w:rsid w:val="008115D6"/>
    <w:rsid w:val="008116D0"/>
    <w:rsid w:val="00811736"/>
    <w:rsid w:val="0081173C"/>
    <w:rsid w:val="00811752"/>
    <w:rsid w:val="00811778"/>
    <w:rsid w:val="0081179A"/>
    <w:rsid w:val="008117B6"/>
    <w:rsid w:val="008119C0"/>
    <w:rsid w:val="00811A0D"/>
    <w:rsid w:val="00811B3F"/>
    <w:rsid w:val="00811C1A"/>
    <w:rsid w:val="00811C3D"/>
    <w:rsid w:val="00811CF0"/>
    <w:rsid w:val="00811D87"/>
    <w:rsid w:val="00811D97"/>
    <w:rsid w:val="00811E70"/>
    <w:rsid w:val="00811F87"/>
    <w:rsid w:val="0081200F"/>
    <w:rsid w:val="00812025"/>
    <w:rsid w:val="00812045"/>
    <w:rsid w:val="00812059"/>
    <w:rsid w:val="0081205C"/>
    <w:rsid w:val="00812062"/>
    <w:rsid w:val="00812073"/>
    <w:rsid w:val="0081209A"/>
    <w:rsid w:val="00812237"/>
    <w:rsid w:val="00812273"/>
    <w:rsid w:val="008122F1"/>
    <w:rsid w:val="00812308"/>
    <w:rsid w:val="00812314"/>
    <w:rsid w:val="00812444"/>
    <w:rsid w:val="008124DD"/>
    <w:rsid w:val="0081256E"/>
    <w:rsid w:val="008126B3"/>
    <w:rsid w:val="008126DE"/>
    <w:rsid w:val="0081270E"/>
    <w:rsid w:val="00812821"/>
    <w:rsid w:val="0081283A"/>
    <w:rsid w:val="0081285F"/>
    <w:rsid w:val="00812883"/>
    <w:rsid w:val="008128D0"/>
    <w:rsid w:val="00812945"/>
    <w:rsid w:val="0081296D"/>
    <w:rsid w:val="008129A1"/>
    <w:rsid w:val="00812BB4"/>
    <w:rsid w:val="00812C1B"/>
    <w:rsid w:val="00812C32"/>
    <w:rsid w:val="00812C71"/>
    <w:rsid w:val="00812D69"/>
    <w:rsid w:val="00812DF7"/>
    <w:rsid w:val="00812E3D"/>
    <w:rsid w:val="00812ECF"/>
    <w:rsid w:val="00812F5A"/>
    <w:rsid w:val="008130B3"/>
    <w:rsid w:val="0081310F"/>
    <w:rsid w:val="00813131"/>
    <w:rsid w:val="00813240"/>
    <w:rsid w:val="008132B7"/>
    <w:rsid w:val="008132D5"/>
    <w:rsid w:val="00813321"/>
    <w:rsid w:val="00813380"/>
    <w:rsid w:val="0081338D"/>
    <w:rsid w:val="008133C2"/>
    <w:rsid w:val="00813549"/>
    <w:rsid w:val="008135B7"/>
    <w:rsid w:val="008137C2"/>
    <w:rsid w:val="0081395D"/>
    <w:rsid w:val="008139D8"/>
    <w:rsid w:val="00813A99"/>
    <w:rsid w:val="00813C12"/>
    <w:rsid w:val="00813D32"/>
    <w:rsid w:val="00813D94"/>
    <w:rsid w:val="00813F1A"/>
    <w:rsid w:val="00813F3B"/>
    <w:rsid w:val="00813F43"/>
    <w:rsid w:val="00813F88"/>
    <w:rsid w:val="00813FB3"/>
    <w:rsid w:val="00813FBD"/>
    <w:rsid w:val="00814069"/>
    <w:rsid w:val="00814120"/>
    <w:rsid w:val="00814176"/>
    <w:rsid w:val="0081425A"/>
    <w:rsid w:val="0081428B"/>
    <w:rsid w:val="00814294"/>
    <w:rsid w:val="008142B7"/>
    <w:rsid w:val="0081437F"/>
    <w:rsid w:val="008143BD"/>
    <w:rsid w:val="008143CE"/>
    <w:rsid w:val="008144CA"/>
    <w:rsid w:val="00814599"/>
    <w:rsid w:val="008145C4"/>
    <w:rsid w:val="008146A1"/>
    <w:rsid w:val="008147B1"/>
    <w:rsid w:val="008147EA"/>
    <w:rsid w:val="008147F0"/>
    <w:rsid w:val="0081487E"/>
    <w:rsid w:val="00814892"/>
    <w:rsid w:val="0081493B"/>
    <w:rsid w:val="008149BF"/>
    <w:rsid w:val="00814A51"/>
    <w:rsid w:val="00814A99"/>
    <w:rsid w:val="00814B02"/>
    <w:rsid w:val="00814B57"/>
    <w:rsid w:val="00814BE3"/>
    <w:rsid w:val="00814C4F"/>
    <w:rsid w:val="00814DB7"/>
    <w:rsid w:val="00814F6B"/>
    <w:rsid w:val="008150FF"/>
    <w:rsid w:val="00815254"/>
    <w:rsid w:val="00815289"/>
    <w:rsid w:val="008152A6"/>
    <w:rsid w:val="00815309"/>
    <w:rsid w:val="008153D3"/>
    <w:rsid w:val="008154A8"/>
    <w:rsid w:val="008154CE"/>
    <w:rsid w:val="00815552"/>
    <w:rsid w:val="00815589"/>
    <w:rsid w:val="008155A7"/>
    <w:rsid w:val="008155B2"/>
    <w:rsid w:val="008155DE"/>
    <w:rsid w:val="00815796"/>
    <w:rsid w:val="008157B2"/>
    <w:rsid w:val="008158E5"/>
    <w:rsid w:val="008159CB"/>
    <w:rsid w:val="00815AA7"/>
    <w:rsid w:val="00815AA9"/>
    <w:rsid w:val="00815AAE"/>
    <w:rsid w:val="00815C15"/>
    <w:rsid w:val="00815C1F"/>
    <w:rsid w:val="00815C5D"/>
    <w:rsid w:val="00815C94"/>
    <w:rsid w:val="00815D13"/>
    <w:rsid w:val="00815EA7"/>
    <w:rsid w:val="00816089"/>
    <w:rsid w:val="0081608F"/>
    <w:rsid w:val="00816169"/>
    <w:rsid w:val="0081619E"/>
    <w:rsid w:val="00816382"/>
    <w:rsid w:val="00816444"/>
    <w:rsid w:val="00816447"/>
    <w:rsid w:val="00816461"/>
    <w:rsid w:val="0081647D"/>
    <w:rsid w:val="008164B6"/>
    <w:rsid w:val="00816551"/>
    <w:rsid w:val="00816561"/>
    <w:rsid w:val="00816589"/>
    <w:rsid w:val="008165A7"/>
    <w:rsid w:val="0081660B"/>
    <w:rsid w:val="008166CA"/>
    <w:rsid w:val="008167AC"/>
    <w:rsid w:val="008167AD"/>
    <w:rsid w:val="00816805"/>
    <w:rsid w:val="008168FD"/>
    <w:rsid w:val="0081691B"/>
    <w:rsid w:val="00816946"/>
    <w:rsid w:val="00816BE8"/>
    <w:rsid w:val="00816C84"/>
    <w:rsid w:val="00816E97"/>
    <w:rsid w:val="00817006"/>
    <w:rsid w:val="00817058"/>
    <w:rsid w:val="00817065"/>
    <w:rsid w:val="0081706B"/>
    <w:rsid w:val="0081712B"/>
    <w:rsid w:val="00817239"/>
    <w:rsid w:val="00817300"/>
    <w:rsid w:val="00817446"/>
    <w:rsid w:val="008174D9"/>
    <w:rsid w:val="008175E2"/>
    <w:rsid w:val="00817672"/>
    <w:rsid w:val="0081769D"/>
    <w:rsid w:val="008177BD"/>
    <w:rsid w:val="008177E2"/>
    <w:rsid w:val="00817833"/>
    <w:rsid w:val="00817867"/>
    <w:rsid w:val="0081788E"/>
    <w:rsid w:val="0081793E"/>
    <w:rsid w:val="00817AC5"/>
    <w:rsid w:val="00817C65"/>
    <w:rsid w:val="00817CAC"/>
    <w:rsid w:val="00817D4D"/>
    <w:rsid w:val="00817D67"/>
    <w:rsid w:val="00817DAF"/>
    <w:rsid w:val="00817F21"/>
    <w:rsid w:val="00820117"/>
    <w:rsid w:val="00820153"/>
    <w:rsid w:val="0082018C"/>
    <w:rsid w:val="00820195"/>
    <w:rsid w:val="008201FB"/>
    <w:rsid w:val="00820216"/>
    <w:rsid w:val="0082026C"/>
    <w:rsid w:val="00820313"/>
    <w:rsid w:val="00820339"/>
    <w:rsid w:val="008203A9"/>
    <w:rsid w:val="008204D8"/>
    <w:rsid w:val="008204F3"/>
    <w:rsid w:val="00820548"/>
    <w:rsid w:val="008205F7"/>
    <w:rsid w:val="0082060F"/>
    <w:rsid w:val="008206F4"/>
    <w:rsid w:val="0082077E"/>
    <w:rsid w:val="008208CD"/>
    <w:rsid w:val="0082090F"/>
    <w:rsid w:val="008209F6"/>
    <w:rsid w:val="00820A41"/>
    <w:rsid w:val="00820A62"/>
    <w:rsid w:val="00820ABA"/>
    <w:rsid w:val="00820B58"/>
    <w:rsid w:val="00820BF4"/>
    <w:rsid w:val="00820BFE"/>
    <w:rsid w:val="00820C78"/>
    <w:rsid w:val="00820CC5"/>
    <w:rsid w:val="00820CE8"/>
    <w:rsid w:val="00820DB4"/>
    <w:rsid w:val="00820E67"/>
    <w:rsid w:val="00820FC1"/>
    <w:rsid w:val="008210AE"/>
    <w:rsid w:val="008211ED"/>
    <w:rsid w:val="0082122E"/>
    <w:rsid w:val="0082133F"/>
    <w:rsid w:val="00821488"/>
    <w:rsid w:val="008214FE"/>
    <w:rsid w:val="00821549"/>
    <w:rsid w:val="0082154F"/>
    <w:rsid w:val="008215B5"/>
    <w:rsid w:val="00821600"/>
    <w:rsid w:val="00821647"/>
    <w:rsid w:val="008216B4"/>
    <w:rsid w:val="00821703"/>
    <w:rsid w:val="00821870"/>
    <w:rsid w:val="00821882"/>
    <w:rsid w:val="00821927"/>
    <w:rsid w:val="0082192F"/>
    <w:rsid w:val="00821945"/>
    <w:rsid w:val="008219A0"/>
    <w:rsid w:val="008219CA"/>
    <w:rsid w:val="008219F0"/>
    <w:rsid w:val="00821B28"/>
    <w:rsid w:val="00821B58"/>
    <w:rsid w:val="00821D21"/>
    <w:rsid w:val="00821E28"/>
    <w:rsid w:val="00821F09"/>
    <w:rsid w:val="00821F43"/>
    <w:rsid w:val="00821F4C"/>
    <w:rsid w:val="00822030"/>
    <w:rsid w:val="008220BD"/>
    <w:rsid w:val="00822119"/>
    <w:rsid w:val="00822253"/>
    <w:rsid w:val="008222AF"/>
    <w:rsid w:val="00822328"/>
    <w:rsid w:val="00822331"/>
    <w:rsid w:val="0082238F"/>
    <w:rsid w:val="00822396"/>
    <w:rsid w:val="00822575"/>
    <w:rsid w:val="008225FB"/>
    <w:rsid w:val="00822693"/>
    <w:rsid w:val="00822696"/>
    <w:rsid w:val="0082272E"/>
    <w:rsid w:val="00822738"/>
    <w:rsid w:val="00822791"/>
    <w:rsid w:val="008227BD"/>
    <w:rsid w:val="0082291F"/>
    <w:rsid w:val="00822955"/>
    <w:rsid w:val="00822A3E"/>
    <w:rsid w:val="00822A40"/>
    <w:rsid w:val="00822AB8"/>
    <w:rsid w:val="00822AFE"/>
    <w:rsid w:val="00822B21"/>
    <w:rsid w:val="00822BFB"/>
    <w:rsid w:val="00822C6A"/>
    <w:rsid w:val="00822CC4"/>
    <w:rsid w:val="00822D0A"/>
    <w:rsid w:val="00822DB9"/>
    <w:rsid w:val="00822E2C"/>
    <w:rsid w:val="00822EF2"/>
    <w:rsid w:val="00822F17"/>
    <w:rsid w:val="00822FAD"/>
    <w:rsid w:val="00822FC9"/>
    <w:rsid w:val="00823087"/>
    <w:rsid w:val="008230CA"/>
    <w:rsid w:val="00823263"/>
    <w:rsid w:val="008232DC"/>
    <w:rsid w:val="00823426"/>
    <w:rsid w:val="008234C0"/>
    <w:rsid w:val="008235B2"/>
    <w:rsid w:val="008235DC"/>
    <w:rsid w:val="0082361C"/>
    <w:rsid w:val="0082363B"/>
    <w:rsid w:val="00823818"/>
    <w:rsid w:val="00823906"/>
    <w:rsid w:val="008239B8"/>
    <w:rsid w:val="00823A22"/>
    <w:rsid w:val="00823A94"/>
    <w:rsid w:val="00823B34"/>
    <w:rsid w:val="00823BB8"/>
    <w:rsid w:val="00823C22"/>
    <w:rsid w:val="00823D42"/>
    <w:rsid w:val="00823D84"/>
    <w:rsid w:val="00823DA3"/>
    <w:rsid w:val="00823DA8"/>
    <w:rsid w:val="00823E0A"/>
    <w:rsid w:val="00823F55"/>
    <w:rsid w:val="00823F61"/>
    <w:rsid w:val="00823F65"/>
    <w:rsid w:val="00824000"/>
    <w:rsid w:val="00824046"/>
    <w:rsid w:val="0082410A"/>
    <w:rsid w:val="00824165"/>
    <w:rsid w:val="00824217"/>
    <w:rsid w:val="0082429E"/>
    <w:rsid w:val="008242F5"/>
    <w:rsid w:val="00824487"/>
    <w:rsid w:val="008244C9"/>
    <w:rsid w:val="008245E7"/>
    <w:rsid w:val="00824618"/>
    <w:rsid w:val="008246CC"/>
    <w:rsid w:val="008247A9"/>
    <w:rsid w:val="008247CE"/>
    <w:rsid w:val="00824AB4"/>
    <w:rsid w:val="00824B7C"/>
    <w:rsid w:val="00824CB9"/>
    <w:rsid w:val="00824CD7"/>
    <w:rsid w:val="00824D72"/>
    <w:rsid w:val="00824E2A"/>
    <w:rsid w:val="00825040"/>
    <w:rsid w:val="008250CE"/>
    <w:rsid w:val="00825115"/>
    <w:rsid w:val="0082511E"/>
    <w:rsid w:val="008251C5"/>
    <w:rsid w:val="00825204"/>
    <w:rsid w:val="00825282"/>
    <w:rsid w:val="0082532E"/>
    <w:rsid w:val="0082540E"/>
    <w:rsid w:val="00825603"/>
    <w:rsid w:val="008256D8"/>
    <w:rsid w:val="00825861"/>
    <w:rsid w:val="008259A9"/>
    <w:rsid w:val="00825AFF"/>
    <w:rsid w:val="00825C61"/>
    <w:rsid w:val="00825CBE"/>
    <w:rsid w:val="00825D38"/>
    <w:rsid w:val="00825DCD"/>
    <w:rsid w:val="00825F29"/>
    <w:rsid w:val="0082611E"/>
    <w:rsid w:val="008261A8"/>
    <w:rsid w:val="00826220"/>
    <w:rsid w:val="0082626C"/>
    <w:rsid w:val="008263A5"/>
    <w:rsid w:val="008265F1"/>
    <w:rsid w:val="008265F5"/>
    <w:rsid w:val="00826695"/>
    <w:rsid w:val="00826768"/>
    <w:rsid w:val="00826863"/>
    <w:rsid w:val="008268BF"/>
    <w:rsid w:val="008268D1"/>
    <w:rsid w:val="008268D4"/>
    <w:rsid w:val="008269E7"/>
    <w:rsid w:val="00826A1E"/>
    <w:rsid w:val="00826A85"/>
    <w:rsid w:val="00826ADF"/>
    <w:rsid w:val="00826B2A"/>
    <w:rsid w:val="00826B8B"/>
    <w:rsid w:val="00826CAB"/>
    <w:rsid w:val="00826D49"/>
    <w:rsid w:val="00826E90"/>
    <w:rsid w:val="00826F51"/>
    <w:rsid w:val="00827012"/>
    <w:rsid w:val="008271B8"/>
    <w:rsid w:val="00827392"/>
    <w:rsid w:val="008273AF"/>
    <w:rsid w:val="008273D8"/>
    <w:rsid w:val="008273F0"/>
    <w:rsid w:val="008273F4"/>
    <w:rsid w:val="0082751D"/>
    <w:rsid w:val="008275B2"/>
    <w:rsid w:val="008277BE"/>
    <w:rsid w:val="008277F4"/>
    <w:rsid w:val="00827803"/>
    <w:rsid w:val="00827842"/>
    <w:rsid w:val="00827870"/>
    <w:rsid w:val="008278A7"/>
    <w:rsid w:val="00827931"/>
    <w:rsid w:val="008279FA"/>
    <w:rsid w:val="00827AB3"/>
    <w:rsid w:val="00827ACF"/>
    <w:rsid w:val="00827BC1"/>
    <w:rsid w:val="00827CC4"/>
    <w:rsid w:val="00827CD9"/>
    <w:rsid w:val="00827D9A"/>
    <w:rsid w:val="00827DE4"/>
    <w:rsid w:val="00827E61"/>
    <w:rsid w:val="00827E8A"/>
    <w:rsid w:val="00827EA7"/>
    <w:rsid w:val="00827F43"/>
    <w:rsid w:val="00827F8E"/>
    <w:rsid w:val="00830047"/>
    <w:rsid w:val="00830067"/>
    <w:rsid w:val="0083010F"/>
    <w:rsid w:val="0083025A"/>
    <w:rsid w:val="00830278"/>
    <w:rsid w:val="008302D6"/>
    <w:rsid w:val="00830308"/>
    <w:rsid w:val="00830316"/>
    <w:rsid w:val="00830333"/>
    <w:rsid w:val="00830404"/>
    <w:rsid w:val="0083040B"/>
    <w:rsid w:val="00830577"/>
    <w:rsid w:val="008306FF"/>
    <w:rsid w:val="00830770"/>
    <w:rsid w:val="0083085C"/>
    <w:rsid w:val="008309D7"/>
    <w:rsid w:val="00830A71"/>
    <w:rsid w:val="00830AF6"/>
    <w:rsid w:val="00830B69"/>
    <w:rsid w:val="00830C7B"/>
    <w:rsid w:val="00830C99"/>
    <w:rsid w:val="00830E36"/>
    <w:rsid w:val="00830E76"/>
    <w:rsid w:val="00830ECD"/>
    <w:rsid w:val="00830F1C"/>
    <w:rsid w:val="00830FF6"/>
    <w:rsid w:val="0083110A"/>
    <w:rsid w:val="0083110C"/>
    <w:rsid w:val="008311E3"/>
    <w:rsid w:val="0083128E"/>
    <w:rsid w:val="008313D1"/>
    <w:rsid w:val="00831436"/>
    <w:rsid w:val="008314AE"/>
    <w:rsid w:val="00831692"/>
    <w:rsid w:val="008316EF"/>
    <w:rsid w:val="008317A6"/>
    <w:rsid w:val="00831869"/>
    <w:rsid w:val="008318F8"/>
    <w:rsid w:val="00831998"/>
    <w:rsid w:val="008319AF"/>
    <w:rsid w:val="00831A51"/>
    <w:rsid w:val="00831A66"/>
    <w:rsid w:val="00831BA1"/>
    <w:rsid w:val="00831C29"/>
    <w:rsid w:val="00831CE9"/>
    <w:rsid w:val="00831D33"/>
    <w:rsid w:val="00831D34"/>
    <w:rsid w:val="00831E08"/>
    <w:rsid w:val="00831EDD"/>
    <w:rsid w:val="00831EF8"/>
    <w:rsid w:val="00831F35"/>
    <w:rsid w:val="00831F79"/>
    <w:rsid w:val="00831F7B"/>
    <w:rsid w:val="00831F9F"/>
    <w:rsid w:val="00831FDB"/>
    <w:rsid w:val="00831FEE"/>
    <w:rsid w:val="0083208D"/>
    <w:rsid w:val="00832095"/>
    <w:rsid w:val="008321D3"/>
    <w:rsid w:val="00832332"/>
    <w:rsid w:val="008323F6"/>
    <w:rsid w:val="00832400"/>
    <w:rsid w:val="00832420"/>
    <w:rsid w:val="0083250D"/>
    <w:rsid w:val="00832553"/>
    <w:rsid w:val="008325AA"/>
    <w:rsid w:val="008326DE"/>
    <w:rsid w:val="0083272F"/>
    <w:rsid w:val="0083288E"/>
    <w:rsid w:val="008328CD"/>
    <w:rsid w:val="0083291B"/>
    <w:rsid w:val="00832A22"/>
    <w:rsid w:val="00832A61"/>
    <w:rsid w:val="00832ADF"/>
    <w:rsid w:val="00832BD0"/>
    <w:rsid w:val="00832CFA"/>
    <w:rsid w:val="00832D3F"/>
    <w:rsid w:val="00832DC4"/>
    <w:rsid w:val="00832DD9"/>
    <w:rsid w:val="00832DDB"/>
    <w:rsid w:val="00832EE2"/>
    <w:rsid w:val="00832FEE"/>
    <w:rsid w:val="00833137"/>
    <w:rsid w:val="0083327E"/>
    <w:rsid w:val="0083331F"/>
    <w:rsid w:val="0083346E"/>
    <w:rsid w:val="0083356D"/>
    <w:rsid w:val="008335E9"/>
    <w:rsid w:val="008335EB"/>
    <w:rsid w:val="008336DB"/>
    <w:rsid w:val="00833740"/>
    <w:rsid w:val="00833771"/>
    <w:rsid w:val="0083383A"/>
    <w:rsid w:val="008338AC"/>
    <w:rsid w:val="00833A9A"/>
    <w:rsid w:val="00833ABE"/>
    <w:rsid w:val="00833B94"/>
    <w:rsid w:val="00833DB0"/>
    <w:rsid w:val="00833DEA"/>
    <w:rsid w:val="00833F60"/>
    <w:rsid w:val="00833FE2"/>
    <w:rsid w:val="00834067"/>
    <w:rsid w:val="00834146"/>
    <w:rsid w:val="008341DB"/>
    <w:rsid w:val="008341DD"/>
    <w:rsid w:val="00834346"/>
    <w:rsid w:val="0083438E"/>
    <w:rsid w:val="0083441D"/>
    <w:rsid w:val="00834502"/>
    <w:rsid w:val="00834504"/>
    <w:rsid w:val="0083450E"/>
    <w:rsid w:val="0083452E"/>
    <w:rsid w:val="0083463A"/>
    <w:rsid w:val="00834880"/>
    <w:rsid w:val="008348F4"/>
    <w:rsid w:val="008349A2"/>
    <w:rsid w:val="00834A05"/>
    <w:rsid w:val="00834B35"/>
    <w:rsid w:val="00834CFC"/>
    <w:rsid w:val="00834DA1"/>
    <w:rsid w:val="00834DC8"/>
    <w:rsid w:val="00834DE1"/>
    <w:rsid w:val="00834E81"/>
    <w:rsid w:val="008350CB"/>
    <w:rsid w:val="008350FC"/>
    <w:rsid w:val="0083512D"/>
    <w:rsid w:val="008351C8"/>
    <w:rsid w:val="00835331"/>
    <w:rsid w:val="00835406"/>
    <w:rsid w:val="0083542D"/>
    <w:rsid w:val="0083559F"/>
    <w:rsid w:val="00835750"/>
    <w:rsid w:val="008358CA"/>
    <w:rsid w:val="008358CC"/>
    <w:rsid w:val="008358D0"/>
    <w:rsid w:val="008358D6"/>
    <w:rsid w:val="00835932"/>
    <w:rsid w:val="00835A01"/>
    <w:rsid w:val="00835A13"/>
    <w:rsid w:val="00835AE3"/>
    <w:rsid w:val="00835AE8"/>
    <w:rsid w:val="00835C43"/>
    <w:rsid w:val="00835CF8"/>
    <w:rsid w:val="00835D69"/>
    <w:rsid w:val="00835E06"/>
    <w:rsid w:val="00835E8D"/>
    <w:rsid w:val="00835F3B"/>
    <w:rsid w:val="00835FB2"/>
    <w:rsid w:val="00835FC8"/>
    <w:rsid w:val="00836071"/>
    <w:rsid w:val="008361A8"/>
    <w:rsid w:val="00836259"/>
    <w:rsid w:val="0083630D"/>
    <w:rsid w:val="00836392"/>
    <w:rsid w:val="0083657F"/>
    <w:rsid w:val="008365EA"/>
    <w:rsid w:val="0083662D"/>
    <w:rsid w:val="008366E0"/>
    <w:rsid w:val="0083682B"/>
    <w:rsid w:val="00836854"/>
    <w:rsid w:val="0083692A"/>
    <w:rsid w:val="0083693E"/>
    <w:rsid w:val="008369DB"/>
    <w:rsid w:val="00836A84"/>
    <w:rsid w:val="00836AB3"/>
    <w:rsid w:val="00836B56"/>
    <w:rsid w:val="00836C26"/>
    <w:rsid w:val="00836C32"/>
    <w:rsid w:val="00836C87"/>
    <w:rsid w:val="00836DE5"/>
    <w:rsid w:val="00836EB1"/>
    <w:rsid w:val="00836EC0"/>
    <w:rsid w:val="00837028"/>
    <w:rsid w:val="00837049"/>
    <w:rsid w:val="0083717C"/>
    <w:rsid w:val="008371A4"/>
    <w:rsid w:val="00837308"/>
    <w:rsid w:val="0083737E"/>
    <w:rsid w:val="008373F2"/>
    <w:rsid w:val="0083747C"/>
    <w:rsid w:val="00837538"/>
    <w:rsid w:val="008376BD"/>
    <w:rsid w:val="00837798"/>
    <w:rsid w:val="00837817"/>
    <w:rsid w:val="00837870"/>
    <w:rsid w:val="0083787B"/>
    <w:rsid w:val="0083788B"/>
    <w:rsid w:val="008379C2"/>
    <w:rsid w:val="00837A22"/>
    <w:rsid w:val="00837ADB"/>
    <w:rsid w:val="00837B50"/>
    <w:rsid w:val="00837B59"/>
    <w:rsid w:val="00837B68"/>
    <w:rsid w:val="00837B6E"/>
    <w:rsid w:val="00837CA8"/>
    <w:rsid w:val="00837CB4"/>
    <w:rsid w:val="00837CEC"/>
    <w:rsid w:val="00837D5A"/>
    <w:rsid w:val="00837E5D"/>
    <w:rsid w:val="00837E66"/>
    <w:rsid w:val="00837E6D"/>
    <w:rsid w:val="00837EB3"/>
    <w:rsid w:val="00837ECD"/>
    <w:rsid w:val="00837F55"/>
    <w:rsid w:val="00837FB8"/>
    <w:rsid w:val="008401E9"/>
    <w:rsid w:val="0084023F"/>
    <w:rsid w:val="008402DC"/>
    <w:rsid w:val="00840359"/>
    <w:rsid w:val="00840392"/>
    <w:rsid w:val="008403CD"/>
    <w:rsid w:val="00840556"/>
    <w:rsid w:val="00840614"/>
    <w:rsid w:val="00840728"/>
    <w:rsid w:val="0084076E"/>
    <w:rsid w:val="008407C6"/>
    <w:rsid w:val="0084083F"/>
    <w:rsid w:val="0084085F"/>
    <w:rsid w:val="008408B6"/>
    <w:rsid w:val="008408C2"/>
    <w:rsid w:val="008408E8"/>
    <w:rsid w:val="00840986"/>
    <w:rsid w:val="008409EA"/>
    <w:rsid w:val="00840A96"/>
    <w:rsid w:val="00840B5A"/>
    <w:rsid w:val="00840BA6"/>
    <w:rsid w:val="00840C35"/>
    <w:rsid w:val="00840C64"/>
    <w:rsid w:val="00840C80"/>
    <w:rsid w:val="00840F2C"/>
    <w:rsid w:val="0084105F"/>
    <w:rsid w:val="00841168"/>
    <w:rsid w:val="008411B7"/>
    <w:rsid w:val="008412DA"/>
    <w:rsid w:val="0084155C"/>
    <w:rsid w:val="00841566"/>
    <w:rsid w:val="00841569"/>
    <w:rsid w:val="0084175B"/>
    <w:rsid w:val="00841782"/>
    <w:rsid w:val="00841841"/>
    <w:rsid w:val="008418AE"/>
    <w:rsid w:val="00841920"/>
    <w:rsid w:val="00841A29"/>
    <w:rsid w:val="00841AF2"/>
    <w:rsid w:val="00841CB2"/>
    <w:rsid w:val="00841CBC"/>
    <w:rsid w:val="00841D08"/>
    <w:rsid w:val="008420EA"/>
    <w:rsid w:val="00842138"/>
    <w:rsid w:val="00842156"/>
    <w:rsid w:val="00842175"/>
    <w:rsid w:val="008421A1"/>
    <w:rsid w:val="008421A6"/>
    <w:rsid w:val="008421CA"/>
    <w:rsid w:val="0084228C"/>
    <w:rsid w:val="008422D9"/>
    <w:rsid w:val="00842356"/>
    <w:rsid w:val="008423CA"/>
    <w:rsid w:val="0084240B"/>
    <w:rsid w:val="008424DA"/>
    <w:rsid w:val="00842522"/>
    <w:rsid w:val="0084253C"/>
    <w:rsid w:val="00842566"/>
    <w:rsid w:val="00842591"/>
    <w:rsid w:val="0084266F"/>
    <w:rsid w:val="008426CF"/>
    <w:rsid w:val="00842768"/>
    <w:rsid w:val="008427D8"/>
    <w:rsid w:val="008427D9"/>
    <w:rsid w:val="008427F5"/>
    <w:rsid w:val="00842819"/>
    <w:rsid w:val="0084281C"/>
    <w:rsid w:val="0084282C"/>
    <w:rsid w:val="00842869"/>
    <w:rsid w:val="00842962"/>
    <w:rsid w:val="00842966"/>
    <w:rsid w:val="00842A29"/>
    <w:rsid w:val="00842A2A"/>
    <w:rsid w:val="00842A66"/>
    <w:rsid w:val="00842ABD"/>
    <w:rsid w:val="00842B28"/>
    <w:rsid w:val="00842BAA"/>
    <w:rsid w:val="00842CD3"/>
    <w:rsid w:val="00842E3B"/>
    <w:rsid w:val="00842F35"/>
    <w:rsid w:val="0084306B"/>
    <w:rsid w:val="008430F9"/>
    <w:rsid w:val="00843141"/>
    <w:rsid w:val="00843338"/>
    <w:rsid w:val="008433BE"/>
    <w:rsid w:val="00843413"/>
    <w:rsid w:val="00843442"/>
    <w:rsid w:val="0084344A"/>
    <w:rsid w:val="0084357D"/>
    <w:rsid w:val="008435A7"/>
    <w:rsid w:val="00843724"/>
    <w:rsid w:val="0084375B"/>
    <w:rsid w:val="0084385F"/>
    <w:rsid w:val="008438CB"/>
    <w:rsid w:val="0084395B"/>
    <w:rsid w:val="00843A39"/>
    <w:rsid w:val="00843A9E"/>
    <w:rsid w:val="00843B66"/>
    <w:rsid w:val="00843CFC"/>
    <w:rsid w:val="00843D5F"/>
    <w:rsid w:val="00843D64"/>
    <w:rsid w:val="00843E4E"/>
    <w:rsid w:val="00843FDC"/>
    <w:rsid w:val="00844060"/>
    <w:rsid w:val="008440BD"/>
    <w:rsid w:val="00844130"/>
    <w:rsid w:val="00844136"/>
    <w:rsid w:val="0084418E"/>
    <w:rsid w:val="00844243"/>
    <w:rsid w:val="008442FE"/>
    <w:rsid w:val="00844342"/>
    <w:rsid w:val="0084439A"/>
    <w:rsid w:val="0084448C"/>
    <w:rsid w:val="008444CC"/>
    <w:rsid w:val="0084455E"/>
    <w:rsid w:val="0084459A"/>
    <w:rsid w:val="00844602"/>
    <w:rsid w:val="008446D0"/>
    <w:rsid w:val="00844855"/>
    <w:rsid w:val="00844914"/>
    <w:rsid w:val="00844941"/>
    <w:rsid w:val="00844964"/>
    <w:rsid w:val="0084496A"/>
    <w:rsid w:val="00844A38"/>
    <w:rsid w:val="00844A99"/>
    <w:rsid w:val="00844C68"/>
    <w:rsid w:val="00844D4A"/>
    <w:rsid w:val="00844D67"/>
    <w:rsid w:val="00844E15"/>
    <w:rsid w:val="00844E68"/>
    <w:rsid w:val="00844FAF"/>
    <w:rsid w:val="00844FDF"/>
    <w:rsid w:val="00845070"/>
    <w:rsid w:val="008450C2"/>
    <w:rsid w:val="00845205"/>
    <w:rsid w:val="00845250"/>
    <w:rsid w:val="008452B8"/>
    <w:rsid w:val="008452C9"/>
    <w:rsid w:val="00845301"/>
    <w:rsid w:val="00845686"/>
    <w:rsid w:val="0084573B"/>
    <w:rsid w:val="0084579B"/>
    <w:rsid w:val="0084589D"/>
    <w:rsid w:val="008458E3"/>
    <w:rsid w:val="0084599C"/>
    <w:rsid w:val="00845A68"/>
    <w:rsid w:val="00845AA4"/>
    <w:rsid w:val="00845B07"/>
    <w:rsid w:val="00845C96"/>
    <w:rsid w:val="00845E54"/>
    <w:rsid w:val="00845F8B"/>
    <w:rsid w:val="0084601F"/>
    <w:rsid w:val="00846059"/>
    <w:rsid w:val="0084610D"/>
    <w:rsid w:val="00846253"/>
    <w:rsid w:val="00846348"/>
    <w:rsid w:val="00846358"/>
    <w:rsid w:val="008463E5"/>
    <w:rsid w:val="008463F0"/>
    <w:rsid w:val="008463FF"/>
    <w:rsid w:val="00846478"/>
    <w:rsid w:val="008464DD"/>
    <w:rsid w:val="00846530"/>
    <w:rsid w:val="00846544"/>
    <w:rsid w:val="008465F8"/>
    <w:rsid w:val="0084670F"/>
    <w:rsid w:val="0084672A"/>
    <w:rsid w:val="008467A4"/>
    <w:rsid w:val="008467A5"/>
    <w:rsid w:val="008467D3"/>
    <w:rsid w:val="0084688A"/>
    <w:rsid w:val="00846982"/>
    <w:rsid w:val="0084699D"/>
    <w:rsid w:val="008469A9"/>
    <w:rsid w:val="008469FC"/>
    <w:rsid w:val="00846AE9"/>
    <w:rsid w:val="00846AF3"/>
    <w:rsid w:val="00846B8C"/>
    <w:rsid w:val="00846CC3"/>
    <w:rsid w:val="00846DCF"/>
    <w:rsid w:val="00846EB7"/>
    <w:rsid w:val="00846F19"/>
    <w:rsid w:val="00846F64"/>
    <w:rsid w:val="00846FC6"/>
    <w:rsid w:val="00846FFA"/>
    <w:rsid w:val="008470A9"/>
    <w:rsid w:val="00847147"/>
    <w:rsid w:val="008471D3"/>
    <w:rsid w:val="008472E7"/>
    <w:rsid w:val="0084731C"/>
    <w:rsid w:val="0084732E"/>
    <w:rsid w:val="00847368"/>
    <w:rsid w:val="00847376"/>
    <w:rsid w:val="008473BA"/>
    <w:rsid w:val="00847447"/>
    <w:rsid w:val="008474B9"/>
    <w:rsid w:val="008474D4"/>
    <w:rsid w:val="0084750D"/>
    <w:rsid w:val="00847524"/>
    <w:rsid w:val="0084779C"/>
    <w:rsid w:val="0084788D"/>
    <w:rsid w:val="00847890"/>
    <w:rsid w:val="008478A7"/>
    <w:rsid w:val="008478D2"/>
    <w:rsid w:val="008478F4"/>
    <w:rsid w:val="00847960"/>
    <w:rsid w:val="0084798E"/>
    <w:rsid w:val="00847BE7"/>
    <w:rsid w:val="00847C27"/>
    <w:rsid w:val="00847D62"/>
    <w:rsid w:val="00847DB3"/>
    <w:rsid w:val="00847DBD"/>
    <w:rsid w:val="00847DBE"/>
    <w:rsid w:val="00847DF8"/>
    <w:rsid w:val="00847ED1"/>
    <w:rsid w:val="00847F0F"/>
    <w:rsid w:val="00847FBE"/>
    <w:rsid w:val="0085001F"/>
    <w:rsid w:val="00850020"/>
    <w:rsid w:val="00850075"/>
    <w:rsid w:val="008500BE"/>
    <w:rsid w:val="00850114"/>
    <w:rsid w:val="0085020F"/>
    <w:rsid w:val="00850264"/>
    <w:rsid w:val="00850293"/>
    <w:rsid w:val="008502D8"/>
    <w:rsid w:val="0085036B"/>
    <w:rsid w:val="008505AA"/>
    <w:rsid w:val="00850740"/>
    <w:rsid w:val="00850758"/>
    <w:rsid w:val="00850772"/>
    <w:rsid w:val="00850952"/>
    <w:rsid w:val="008509D0"/>
    <w:rsid w:val="008509F6"/>
    <w:rsid w:val="00850A6D"/>
    <w:rsid w:val="00850A80"/>
    <w:rsid w:val="00850B84"/>
    <w:rsid w:val="00850D27"/>
    <w:rsid w:val="00850E33"/>
    <w:rsid w:val="00850E44"/>
    <w:rsid w:val="00850EA8"/>
    <w:rsid w:val="00850F0F"/>
    <w:rsid w:val="00850F69"/>
    <w:rsid w:val="00850F86"/>
    <w:rsid w:val="00851011"/>
    <w:rsid w:val="00851024"/>
    <w:rsid w:val="0085102D"/>
    <w:rsid w:val="00851033"/>
    <w:rsid w:val="008510F9"/>
    <w:rsid w:val="00851182"/>
    <w:rsid w:val="008512A4"/>
    <w:rsid w:val="008513EE"/>
    <w:rsid w:val="008514A5"/>
    <w:rsid w:val="008514D1"/>
    <w:rsid w:val="0085159D"/>
    <w:rsid w:val="008516A7"/>
    <w:rsid w:val="0085170A"/>
    <w:rsid w:val="00851871"/>
    <w:rsid w:val="0085188F"/>
    <w:rsid w:val="008518DC"/>
    <w:rsid w:val="00851903"/>
    <w:rsid w:val="00851924"/>
    <w:rsid w:val="00851A80"/>
    <w:rsid w:val="00851AA2"/>
    <w:rsid w:val="00851AA5"/>
    <w:rsid w:val="00851BC2"/>
    <w:rsid w:val="00851C37"/>
    <w:rsid w:val="00851C85"/>
    <w:rsid w:val="00851C86"/>
    <w:rsid w:val="00851DC2"/>
    <w:rsid w:val="00851E9F"/>
    <w:rsid w:val="00851EA5"/>
    <w:rsid w:val="00851F0F"/>
    <w:rsid w:val="00851FDD"/>
    <w:rsid w:val="00852038"/>
    <w:rsid w:val="00852089"/>
    <w:rsid w:val="00852091"/>
    <w:rsid w:val="0085209A"/>
    <w:rsid w:val="008521B9"/>
    <w:rsid w:val="008521C5"/>
    <w:rsid w:val="00852266"/>
    <w:rsid w:val="0085227A"/>
    <w:rsid w:val="008522F8"/>
    <w:rsid w:val="0085232C"/>
    <w:rsid w:val="00852393"/>
    <w:rsid w:val="00852428"/>
    <w:rsid w:val="008524D7"/>
    <w:rsid w:val="008525D7"/>
    <w:rsid w:val="008525F6"/>
    <w:rsid w:val="00852605"/>
    <w:rsid w:val="00852617"/>
    <w:rsid w:val="00852672"/>
    <w:rsid w:val="008526A6"/>
    <w:rsid w:val="0085276E"/>
    <w:rsid w:val="008527CC"/>
    <w:rsid w:val="008527D6"/>
    <w:rsid w:val="00852AFD"/>
    <w:rsid w:val="00852B81"/>
    <w:rsid w:val="00852BDF"/>
    <w:rsid w:val="00852D82"/>
    <w:rsid w:val="00852E10"/>
    <w:rsid w:val="00852E4E"/>
    <w:rsid w:val="00852EBA"/>
    <w:rsid w:val="00853160"/>
    <w:rsid w:val="0085330F"/>
    <w:rsid w:val="00853427"/>
    <w:rsid w:val="008534F8"/>
    <w:rsid w:val="008534FF"/>
    <w:rsid w:val="0085359D"/>
    <w:rsid w:val="008535AC"/>
    <w:rsid w:val="008537D7"/>
    <w:rsid w:val="00853806"/>
    <w:rsid w:val="0085386D"/>
    <w:rsid w:val="00853879"/>
    <w:rsid w:val="00853883"/>
    <w:rsid w:val="00853AB5"/>
    <w:rsid w:val="00853B98"/>
    <w:rsid w:val="00853C60"/>
    <w:rsid w:val="00853CF0"/>
    <w:rsid w:val="00853D38"/>
    <w:rsid w:val="00853E75"/>
    <w:rsid w:val="00853F44"/>
    <w:rsid w:val="00853FA0"/>
    <w:rsid w:val="00854093"/>
    <w:rsid w:val="008540A6"/>
    <w:rsid w:val="008540FC"/>
    <w:rsid w:val="0085410C"/>
    <w:rsid w:val="00854172"/>
    <w:rsid w:val="0085429F"/>
    <w:rsid w:val="0085430D"/>
    <w:rsid w:val="00854398"/>
    <w:rsid w:val="00854444"/>
    <w:rsid w:val="008544A6"/>
    <w:rsid w:val="008545AC"/>
    <w:rsid w:val="00854624"/>
    <w:rsid w:val="00854632"/>
    <w:rsid w:val="00854634"/>
    <w:rsid w:val="00854797"/>
    <w:rsid w:val="0085479A"/>
    <w:rsid w:val="008547CF"/>
    <w:rsid w:val="00854A4A"/>
    <w:rsid w:val="00854B98"/>
    <w:rsid w:val="00854B9A"/>
    <w:rsid w:val="00854C03"/>
    <w:rsid w:val="00854C0B"/>
    <w:rsid w:val="00854C6E"/>
    <w:rsid w:val="00854D4A"/>
    <w:rsid w:val="00854F37"/>
    <w:rsid w:val="00854F9C"/>
    <w:rsid w:val="00855000"/>
    <w:rsid w:val="008551E6"/>
    <w:rsid w:val="008551F9"/>
    <w:rsid w:val="00855304"/>
    <w:rsid w:val="00855383"/>
    <w:rsid w:val="008553C1"/>
    <w:rsid w:val="008553D1"/>
    <w:rsid w:val="0085540A"/>
    <w:rsid w:val="00855760"/>
    <w:rsid w:val="0085577D"/>
    <w:rsid w:val="008557BE"/>
    <w:rsid w:val="008557CE"/>
    <w:rsid w:val="00855876"/>
    <w:rsid w:val="00855B9C"/>
    <w:rsid w:val="00855C39"/>
    <w:rsid w:val="00855D39"/>
    <w:rsid w:val="00855EC6"/>
    <w:rsid w:val="00855FE1"/>
    <w:rsid w:val="0085609D"/>
    <w:rsid w:val="00856150"/>
    <w:rsid w:val="008561CB"/>
    <w:rsid w:val="008562F7"/>
    <w:rsid w:val="008563A2"/>
    <w:rsid w:val="008563DD"/>
    <w:rsid w:val="008563F0"/>
    <w:rsid w:val="00856415"/>
    <w:rsid w:val="0085643D"/>
    <w:rsid w:val="0085643E"/>
    <w:rsid w:val="008564F8"/>
    <w:rsid w:val="00856549"/>
    <w:rsid w:val="008566C8"/>
    <w:rsid w:val="00856718"/>
    <w:rsid w:val="0085674F"/>
    <w:rsid w:val="00856778"/>
    <w:rsid w:val="008567A5"/>
    <w:rsid w:val="00856897"/>
    <w:rsid w:val="008568F2"/>
    <w:rsid w:val="00856904"/>
    <w:rsid w:val="00856A84"/>
    <w:rsid w:val="00856AAE"/>
    <w:rsid w:val="00856AE4"/>
    <w:rsid w:val="00856BE7"/>
    <w:rsid w:val="00856C14"/>
    <w:rsid w:val="00856C4C"/>
    <w:rsid w:val="00856C57"/>
    <w:rsid w:val="00856CDC"/>
    <w:rsid w:val="00856D14"/>
    <w:rsid w:val="00856DC7"/>
    <w:rsid w:val="00856DDD"/>
    <w:rsid w:val="00856DDF"/>
    <w:rsid w:val="00856E45"/>
    <w:rsid w:val="00856EEF"/>
    <w:rsid w:val="00856F46"/>
    <w:rsid w:val="008570BB"/>
    <w:rsid w:val="00857256"/>
    <w:rsid w:val="008572F2"/>
    <w:rsid w:val="0085737A"/>
    <w:rsid w:val="008573FE"/>
    <w:rsid w:val="00857497"/>
    <w:rsid w:val="008574EF"/>
    <w:rsid w:val="00857515"/>
    <w:rsid w:val="00857671"/>
    <w:rsid w:val="008576BC"/>
    <w:rsid w:val="008577CC"/>
    <w:rsid w:val="00857891"/>
    <w:rsid w:val="00857989"/>
    <w:rsid w:val="00857AE1"/>
    <w:rsid w:val="00857B41"/>
    <w:rsid w:val="00857B68"/>
    <w:rsid w:val="00857B80"/>
    <w:rsid w:val="00857BD2"/>
    <w:rsid w:val="00857CAD"/>
    <w:rsid w:val="00857CFD"/>
    <w:rsid w:val="00857D40"/>
    <w:rsid w:val="00857E42"/>
    <w:rsid w:val="00857F1A"/>
    <w:rsid w:val="00857F4A"/>
    <w:rsid w:val="00857F97"/>
    <w:rsid w:val="0086007D"/>
    <w:rsid w:val="00860143"/>
    <w:rsid w:val="008601A5"/>
    <w:rsid w:val="00860451"/>
    <w:rsid w:val="00860486"/>
    <w:rsid w:val="0086051F"/>
    <w:rsid w:val="0086058F"/>
    <w:rsid w:val="008605AD"/>
    <w:rsid w:val="008606FE"/>
    <w:rsid w:val="0086079F"/>
    <w:rsid w:val="008607C6"/>
    <w:rsid w:val="0086096C"/>
    <w:rsid w:val="008609CB"/>
    <w:rsid w:val="00860AA9"/>
    <w:rsid w:val="00860ABA"/>
    <w:rsid w:val="00860ABF"/>
    <w:rsid w:val="00860B1C"/>
    <w:rsid w:val="00860B80"/>
    <w:rsid w:val="00860C60"/>
    <w:rsid w:val="00860CB6"/>
    <w:rsid w:val="00860E98"/>
    <w:rsid w:val="00860FDB"/>
    <w:rsid w:val="00860FFA"/>
    <w:rsid w:val="0086103B"/>
    <w:rsid w:val="008611CB"/>
    <w:rsid w:val="008611F0"/>
    <w:rsid w:val="00861217"/>
    <w:rsid w:val="00861231"/>
    <w:rsid w:val="008612F6"/>
    <w:rsid w:val="00861339"/>
    <w:rsid w:val="00861355"/>
    <w:rsid w:val="008616A1"/>
    <w:rsid w:val="008616C8"/>
    <w:rsid w:val="00861782"/>
    <w:rsid w:val="0086179B"/>
    <w:rsid w:val="00861807"/>
    <w:rsid w:val="008619AB"/>
    <w:rsid w:val="008619E5"/>
    <w:rsid w:val="00861AA9"/>
    <w:rsid w:val="00861BC7"/>
    <w:rsid w:val="00861D27"/>
    <w:rsid w:val="00861D3A"/>
    <w:rsid w:val="00861EA3"/>
    <w:rsid w:val="00861F94"/>
    <w:rsid w:val="00861FCC"/>
    <w:rsid w:val="00862135"/>
    <w:rsid w:val="00862153"/>
    <w:rsid w:val="008621CC"/>
    <w:rsid w:val="00862230"/>
    <w:rsid w:val="008623F3"/>
    <w:rsid w:val="00862476"/>
    <w:rsid w:val="0086247E"/>
    <w:rsid w:val="008624AB"/>
    <w:rsid w:val="00862512"/>
    <w:rsid w:val="00862589"/>
    <w:rsid w:val="0086258F"/>
    <w:rsid w:val="00862651"/>
    <w:rsid w:val="00862660"/>
    <w:rsid w:val="00862661"/>
    <w:rsid w:val="00862673"/>
    <w:rsid w:val="008626C4"/>
    <w:rsid w:val="0086275A"/>
    <w:rsid w:val="008628EC"/>
    <w:rsid w:val="008629A9"/>
    <w:rsid w:val="00862BEB"/>
    <w:rsid w:val="00862CAB"/>
    <w:rsid w:val="00862DD5"/>
    <w:rsid w:val="00862DDE"/>
    <w:rsid w:val="00862F50"/>
    <w:rsid w:val="00862FC2"/>
    <w:rsid w:val="00863076"/>
    <w:rsid w:val="008630CF"/>
    <w:rsid w:val="0086334A"/>
    <w:rsid w:val="00863361"/>
    <w:rsid w:val="00863522"/>
    <w:rsid w:val="00863564"/>
    <w:rsid w:val="00863577"/>
    <w:rsid w:val="00863643"/>
    <w:rsid w:val="008636D9"/>
    <w:rsid w:val="008636F8"/>
    <w:rsid w:val="0086376E"/>
    <w:rsid w:val="0086386F"/>
    <w:rsid w:val="0086392D"/>
    <w:rsid w:val="00863A3B"/>
    <w:rsid w:val="00863A85"/>
    <w:rsid w:val="00863A91"/>
    <w:rsid w:val="00863B28"/>
    <w:rsid w:val="00863B9E"/>
    <w:rsid w:val="00863C5F"/>
    <w:rsid w:val="00863CAC"/>
    <w:rsid w:val="00863CC6"/>
    <w:rsid w:val="00863CEE"/>
    <w:rsid w:val="00863E19"/>
    <w:rsid w:val="00863FA3"/>
    <w:rsid w:val="00864001"/>
    <w:rsid w:val="008641A2"/>
    <w:rsid w:val="008642EF"/>
    <w:rsid w:val="00864311"/>
    <w:rsid w:val="00864387"/>
    <w:rsid w:val="0086438D"/>
    <w:rsid w:val="0086438F"/>
    <w:rsid w:val="008643AC"/>
    <w:rsid w:val="008643B3"/>
    <w:rsid w:val="0086440C"/>
    <w:rsid w:val="00864490"/>
    <w:rsid w:val="00864529"/>
    <w:rsid w:val="0086458B"/>
    <w:rsid w:val="008646FE"/>
    <w:rsid w:val="0086475B"/>
    <w:rsid w:val="00864769"/>
    <w:rsid w:val="00864867"/>
    <w:rsid w:val="008648D8"/>
    <w:rsid w:val="0086492D"/>
    <w:rsid w:val="008649AA"/>
    <w:rsid w:val="008649AE"/>
    <w:rsid w:val="008649E1"/>
    <w:rsid w:val="00864AB2"/>
    <w:rsid w:val="00864B83"/>
    <w:rsid w:val="00864BD3"/>
    <w:rsid w:val="00864C78"/>
    <w:rsid w:val="00864CB2"/>
    <w:rsid w:val="00864D20"/>
    <w:rsid w:val="00864DF1"/>
    <w:rsid w:val="00864E4F"/>
    <w:rsid w:val="00864FB7"/>
    <w:rsid w:val="00865129"/>
    <w:rsid w:val="0086525A"/>
    <w:rsid w:val="0086531F"/>
    <w:rsid w:val="0086534C"/>
    <w:rsid w:val="00865435"/>
    <w:rsid w:val="008654CA"/>
    <w:rsid w:val="008654ED"/>
    <w:rsid w:val="008654EF"/>
    <w:rsid w:val="00865589"/>
    <w:rsid w:val="00865613"/>
    <w:rsid w:val="008657A9"/>
    <w:rsid w:val="0086586E"/>
    <w:rsid w:val="008659DE"/>
    <w:rsid w:val="00865A90"/>
    <w:rsid w:val="00865A94"/>
    <w:rsid w:val="00865AC7"/>
    <w:rsid w:val="00865B03"/>
    <w:rsid w:val="00865B8E"/>
    <w:rsid w:val="00865BB6"/>
    <w:rsid w:val="00865C4F"/>
    <w:rsid w:val="00865C6D"/>
    <w:rsid w:val="00865CD6"/>
    <w:rsid w:val="00865D4D"/>
    <w:rsid w:val="00865FB4"/>
    <w:rsid w:val="00865FF3"/>
    <w:rsid w:val="0086604C"/>
    <w:rsid w:val="008660A7"/>
    <w:rsid w:val="008660C9"/>
    <w:rsid w:val="008662B7"/>
    <w:rsid w:val="00866309"/>
    <w:rsid w:val="00866311"/>
    <w:rsid w:val="008664F3"/>
    <w:rsid w:val="008665B8"/>
    <w:rsid w:val="00866614"/>
    <w:rsid w:val="00866723"/>
    <w:rsid w:val="00866785"/>
    <w:rsid w:val="0086681F"/>
    <w:rsid w:val="008668FD"/>
    <w:rsid w:val="0086693B"/>
    <w:rsid w:val="008669AA"/>
    <w:rsid w:val="00866AF3"/>
    <w:rsid w:val="00866B06"/>
    <w:rsid w:val="00866E35"/>
    <w:rsid w:val="00866E71"/>
    <w:rsid w:val="00866EC9"/>
    <w:rsid w:val="00866F3A"/>
    <w:rsid w:val="00866F7C"/>
    <w:rsid w:val="00866FC6"/>
    <w:rsid w:val="00867041"/>
    <w:rsid w:val="008670BA"/>
    <w:rsid w:val="008670FF"/>
    <w:rsid w:val="00867172"/>
    <w:rsid w:val="00867196"/>
    <w:rsid w:val="00867225"/>
    <w:rsid w:val="008672F8"/>
    <w:rsid w:val="0086734E"/>
    <w:rsid w:val="008673A4"/>
    <w:rsid w:val="00867484"/>
    <w:rsid w:val="008674BE"/>
    <w:rsid w:val="00867509"/>
    <w:rsid w:val="008675D7"/>
    <w:rsid w:val="00867642"/>
    <w:rsid w:val="008677A7"/>
    <w:rsid w:val="008677B9"/>
    <w:rsid w:val="008677C4"/>
    <w:rsid w:val="008678C9"/>
    <w:rsid w:val="008678EA"/>
    <w:rsid w:val="00867983"/>
    <w:rsid w:val="00867B07"/>
    <w:rsid w:val="00867BC7"/>
    <w:rsid w:val="00867C0F"/>
    <w:rsid w:val="00867C77"/>
    <w:rsid w:val="00867D82"/>
    <w:rsid w:val="00867E34"/>
    <w:rsid w:val="00867E47"/>
    <w:rsid w:val="008702FF"/>
    <w:rsid w:val="008703A9"/>
    <w:rsid w:val="0087059F"/>
    <w:rsid w:val="00870623"/>
    <w:rsid w:val="0087062E"/>
    <w:rsid w:val="00870676"/>
    <w:rsid w:val="008706A2"/>
    <w:rsid w:val="008706DB"/>
    <w:rsid w:val="008706DF"/>
    <w:rsid w:val="00870785"/>
    <w:rsid w:val="0087095B"/>
    <w:rsid w:val="00870995"/>
    <w:rsid w:val="008709CC"/>
    <w:rsid w:val="00870A0F"/>
    <w:rsid w:val="00870A18"/>
    <w:rsid w:val="00870B7C"/>
    <w:rsid w:val="00870BB8"/>
    <w:rsid w:val="00870BEE"/>
    <w:rsid w:val="00870C49"/>
    <w:rsid w:val="00870D63"/>
    <w:rsid w:val="00870D65"/>
    <w:rsid w:val="00870D85"/>
    <w:rsid w:val="00870ED5"/>
    <w:rsid w:val="00870F20"/>
    <w:rsid w:val="00871068"/>
    <w:rsid w:val="00871074"/>
    <w:rsid w:val="008710BF"/>
    <w:rsid w:val="0087112A"/>
    <w:rsid w:val="00871186"/>
    <w:rsid w:val="008711A5"/>
    <w:rsid w:val="0087121E"/>
    <w:rsid w:val="0087128C"/>
    <w:rsid w:val="0087133B"/>
    <w:rsid w:val="00871356"/>
    <w:rsid w:val="008713A0"/>
    <w:rsid w:val="00871513"/>
    <w:rsid w:val="00871529"/>
    <w:rsid w:val="0087153D"/>
    <w:rsid w:val="008715DD"/>
    <w:rsid w:val="008715E3"/>
    <w:rsid w:val="0087168F"/>
    <w:rsid w:val="008716C5"/>
    <w:rsid w:val="00871724"/>
    <w:rsid w:val="00871753"/>
    <w:rsid w:val="008717FE"/>
    <w:rsid w:val="0087180E"/>
    <w:rsid w:val="008718CD"/>
    <w:rsid w:val="008719BB"/>
    <w:rsid w:val="00871AFE"/>
    <w:rsid w:val="00871DA9"/>
    <w:rsid w:val="00871EE8"/>
    <w:rsid w:val="00871F86"/>
    <w:rsid w:val="00871F89"/>
    <w:rsid w:val="00871FE8"/>
    <w:rsid w:val="0087202E"/>
    <w:rsid w:val="0087211A"/>
    <w:rsid w:val="0087229B"/>
    <w:rsid w:val="00872395"/>
    <w:rsid w:val="008726BC"/>
    <w:rsid w:val="0087270B"/>
    <w:rsid w:val="008727EE"/>
    <w:rsid w:val="008728A6"/>
    <w:rsid w:val="0087292E"/>
    <w:rsid w:val="00872B5D"/>
    <w:rsid w:val="00872C49"/>
    <w:rsid w:val="00872CB8"/>
    <w:rsid w:val="00872D79"/>
    <w:rsid w:val="00872DF1"/>
    <w:rsid w:val="0087349E"/>
    <w:rsid w:val="00873546"/>
    <w:rsid w:val="008735B4"/>
    <w:rsid w:val="0087364F"/>
    <w:rsid w:val="008736E9"/>
    <w:rsid w:val="00873717"/>
    <w:rsid w:val="00873775"/>
    <w:rsid w:val="008737F5"/>
    <w:rsid w:val="008737FA"/>
    <w:rsid w:val="0087381E"/>
    <w:rsid w:val="0087399F"/>
    <w:rsid w:val="00873B59"/>
    <w:rsid w:val="00873BC2"/>
    <w:rsid w:val="00873CAA"/>
    <w:rsid w:val="00873DC0"/>
    <w:rsid w:val="00873DDE"/>
    <w:rsid w:val="00873DF3"/>
    <w:rsid w:val="00873ED8"/>
    <w:rsid w:val="00873F87"/>
    <w:rsid w:val="00873FB2"/>
    <w:rsid w:val="00873FEC"/>
    <w:rsid w:val="00874085"/>
    <w:rsid w:val="008740AA"/>
    <w:rsid w:val="008740AB"/>
    <w:rsid w:val="008742B1"/>
    <w:rsid w:val="008742C4"/>
    <w:rsid w:val="008742D9"/>
    <w:rsid w:val="00874495"/>
    <w:rsid w:val="0087450F"/>
    <w:rsid w:val="0087466D"/>
    <w:rsid w:val="008746B9"/>
    <w:rsid w:val="00874704"/>
    <w:rsid w:val="00874720"/>
    <w:rsid w:val="008747EA"/>
    <w:rsid w:val="00874848"/>
    <w:rsid w:val="0087495F"/>
    <w:rsid w:val="00874973"/>
    <w:rsid w:val="00874987"/>
    <w:rsid w:val="00874AB2"/>
    <w:rsid w:val="00874CFA"/>
    <w:rsid w:val="00874D26"/>
    <w:rsid w:val="00874E90"/>
    <w:rsid w:val="00875045"/>
    <w:rsid w:val="00875085"/>
    <w:rsid w:val="00875153"/>
    <w:rsid w:val="00875195"/>
    <w:rsid w:val="008754DF"/>
    <w:rsid w:val="00875525"/>
    <w:rsid w:val="0087575F"/>
    <w:rsid w:val="008757D5"/>
    <w:rsid w:val="008757E9"/>
    <w:rsid w:val="0087585E"/>
    <w:rsid w:val="008759A4"/>
    <w:rsid w:val="00875B44"/>
    <w:rsid w:val="00875D4C"/>
    <w:rsid w:val="00875DFE"/>
    <w:rsid w:val="00875E6C"/>
    <w:rsid w:val="00875EA0"/>
    <w:rsid w:val="00876013"/>
    <w:rsid w:val="00876064"/>
    <w:rsid w:val="00876068"/>
    <w:rsid w:val="0087608B"/>
    <w:rsid w:val="00876135"/>
    <w:rsid w:val="00876333"/>
    <w:rsid w:val="00876430"/>
    <w:rsid w:val="0087652A"/>
    <w:rsid w:val="008765E4"/>
    <w:rsid w:val="008765FA"/>
    <w:rsid w:val="0087661B"/>
    <w:rsid w:val="00876698"/>
    <w:rsid w:val="008766B0"/>
    <w:rsid w:val="00876807"/>
    <w:rsid w:val="008768CD"/>
    <w:rsid w:val="008769BA"/>
    <w:rsid w:val="00876A17"/>
    <w:rsid w:val="00876A43"/>
    <w:rsid w:val="00876A5E"/>
    <w:rsid w:val="00876AA1"/>
    <w:rsid w:val="00876ABB"/>
    <w:rsid w:val="00876B3F"/>
    <w:rsid w:val="00876C09"/>
    <w:rsid w:val="00876CBE"/>
    <w:rsid w:val="00876CDE"/>
    <w:rsid w:val="00876D67"/>
    <w:rsid w:val="00876EEB"/>
    <w:rsid w:val="00876F06"/>
    <w:rsid w:val="00876F4E"/>
    <w:rsid w:val="00876FCD"/>
    <w:rsid w:val="00877054"/>
    <w:rsid w:val="008770AE"/>
    <w:rsid w:val="00877169"/>
    <w:rsid w:val="008771A3"/>
    <w:rsid w:val="00877206"/>
    <w:rsid w:val="008772A9"/>
    <w:rsid w:val="00877375"/>
    <w:rsid w:val="008773C7"/>
    <w:rsid w:val="00877429"/>
    <w:rsid w:val="0087749B"/>
    <w:rsid w:val="0087757E"/>
    <w:rsid w:val="008775E0"/>
    <w:rsid w:val="00877620"/>
    <w:rsid w:val="00877703"/>
    <w:rsid w:val="0087784E"/>
    <w:rsid w:val="0087790F"/>
    <w:rsid w:val="00877967"/>
    <w:rsid w:val="00877981"/>
    <w:rsid w:val="00877A06"/>
    <w:rsid w:val="00877BE5"/>
    <w:rsid w:val="00877C10"/>
    <w:rsid w:val="00877C3D"/>
    <w:rsid w:val="00877CCE"/>
    <w:rsid w:val="00877D4D"/>
    <w:rsid w:val="00877E93"/>
    <w:rsid w:val="0088007B"/>
    <w:rsid w:val="008800B7"/>
    <w:rsid w:val="008800CF"/>
    <w:rsid w:val="00880169"/>
    <w:rsid w:val="00880268"/>
    <w:rsid w:val="008802BB"/>
    <w:rsid w:val="008802F9"/>
    <w:rsid w:val="0088032F"/>
    <w:rsid w:val="0088037F"/>
    <w:rsid w:val="008803A6"/>
    <w:rsid w:val="008804A5"/>
    <w:rsid w:val="008804AD"/>
    <w:rsid w:val="008804D0"/>
    <w:rsid w:val="0088051D"/>
    <w:rsid w:val="0088054E"/>
    <w:rsid w:val="0088055C"/>
    <w:rsid w:val="0088065C"/>
    <w:rsid w:val="008806B5"/>
    <w:rsid w:val="00880799"/>
    <w:rsid w:val="00880801"/>
    <w:rsid w:val="00880855"/>
    <w:rsid w:val="0088086E"/>
    <w:rsid w:val="0088092B"/>
    <w:rsid w:val="00880A5C"/>
    <w:rsid w:val="00880ACB"/>
    <w:rsid w:val="00880BE0"/>
    <w:rsid w:val="00880C29"/>
    <w:rsid w:val="00880C37"/>
    <w:rsid w:val="00880CB1"/>
    <w:rsid w:val="00880CBE"/>
    <w:rsid w:val="00880CF2"/>
    <w:rsid w:val="00880E55"/>
    <w:rsid w:val="00880F6F"/>
    <w:rsid w:val="00880FC0"/>
    <w:rsid w:val="00880FC4"/>
    <w:rsid w:val="00881028"/>
    <w:rsid w:val="00881053"/>
    <w:rsid w:val="008810C5"/>
    <w:rsid w:val="00881186"/>
    <w:rsid w:val="008812B4"/>
    <w:rsid w:val="008812D8"/>
    <w:rsid w:val="008813EC"/>
    <w:rsid w:val="0088145D"/>
    <w:rsid w:val="0088149F"/>
    <w:rsid w:val="00881597"/>
    <w:rsid w:val="0088169E"/>
    <w:rsid w:val="0088178C"/>
    <w:rsid w:val="00881803"/>
    <w:rsid w:val="0088181B"/>
    <w:rsid w:val="00881821"/>
    <w:rsid w:val="008818C2"/>
    <w:rsid w:val="0088199D"/>
    <w:rsid w:val="00881BC5"/>
    <w:rsid w:val="00881C4B"/>
    <w:rsid w:val="00881C95"/>
    <w:rsid w:val="00881CD0"/>
    <w:rsid w:val="00881D4A"/>
    <w:rsid w:val="00881DD6"/>
    <w:rsid w:val="00881E17"/>
    <w:rsid w:val="00881E6E"/>
    <w:rsid w:val="00881E88"/>
    <w:rsid w:val="00881F6E"/>
    <w:rsid w:val="00882065"/>
    <w:rsid w:val="008820F7"/>
    <w:rsid w:val="0088213C"/>
    <w:rsid w:val="0088221D"/>
    <w:rsid w:val="00882224"/>
    <w:rsid w:val="00882242"/>
    <w:rsid w:val="0088227C"/>
    <w:rsid w:val="008822B9"/>
    <w:rsid w:val="008823A4"/>
    <w:rsid w:val="008823CE"/>
    <w:rsid w:val="008824C4"/>
    <w:rsid w:val="0088259B"/>
    <w:rsid w:val="0088265C"/>
    <w:rsid w:val="00882662"/>
    <w:rsid w:val="008826F1"/>
    <w:rsid w:val="0088276A"/>
    <w:rsid w:val="0088284E"/>
    <w:rsid w:val="008828E8"/>
    <w:rsid w:val="0088290D"/>
    <w:rsid w:val="00882955"/>
    <w:rsid w:val="00882A83"/>
    <w:rsid w:val="00882B54"/>
    <w:rsid w:val="00882C32"/>
    <w:rsid w:val="00882D42"/>
    <w:rsid w:val="00882DA9"/>
    <w:rsid w:val="00882EBC"/>
    <w:rsid w:val="00882F3D"/>
    <w:rsid w:val="00882F47"/>
    <w:rsid w:val="00882F8D"/>
    <w:rsid w:val="00882FD4"/>
    <w:rsid w:val="00883126"/>
    <w:rsid w:val="00883181"/>
    <w:rsid w:val="008831F0"/>
    <w:rsid w:val="0088333D"/>
    <w:rsid w:val="008833EF"/>
    <w:rsid w:val="0088344B"/>
    <w:rsid w:val="008834DE"/>
    <w:rsid w:val="008835B0"/>
    <w:rsid w:val="008835F7"/>
    <w:rsid w:val="008836F2"/>
    <w:rsid w:val="00883728"/>
    <w:rsid w:val="0088377E"/>
    <w:rsid w:val="00883903"/>
    <w:rsid w:val="008839F8"/>
    <w:rsid w:val="00883A25"/>
    <w:rsid w:val="00883A41"/>
    <w:rsid w:val="00883AA9"/>
    <w:rsid w:val="00883B12"/>
    <w:rsid w:val="00883B52"/>
    <w:rsid w:val="00883BE0"/>
    <w:rsid w:val="00883C5F"/>
    <w:rsid w:val="00883F68"/>
    <w:rsid w:val="00883F94"/>
    <w:rsid w:val="00883FC0"/>
    <w:rsid w:val="00883FF0"/>
    <w:rsid w:val="0088400E"/>
    <w:rsid w:val="0088402F"/>
    <w:rsid w:val="0088413F"/>
    <w:rsid w:val="008843A2"/>
    <w:rsid w:val="008843A7"/>
    <w:rsid w:val="00884622"/>
    <w:rsid w:val="00884781"/>
    <w:rsid w:val="008847D7"/>
    <w:rsid w:val="008848AE"/>
    <w:rsid w:val="0088498E"/>
    <w:rsid w:val="008849BF"/>
    <w:rsid w:val="00884BBA"/>
    <w:rsid w:val="00884BC1"/>
    <w:rsid w:val="00884C56"/>
    <w:rsid w:val="00884CCE"/>
    <w:rsid w:val="00884CD0"/>
    <w:rsid w:val="00884D2B"/>
    <w:rsid w:val="00884EDF"/>
    <w:rsid w:val="0088509E"/>
    <w:rsid w:val="0088509F"/>
    <w:rsid w:val="00885152"/>
    <w:rsid w:val="0088520D"/>
    <w:rsid w:val="00885226"/>
    <w:rsid w:val="0088525D"/>
    <w:rsid w:val="008852DD"/>
    <w:rsid w:val="00885321"/>
    <w:rsid w:val="0088541D"/>
    <w:rsid w:val="00885468"/>
    <w:rsid w:val="00885481"/>
    <w:rsid w:val="00885509"/>
    <w:rsid w:val="00885565"/>
    <w:rsid w:val="0088561E"/>
    <w:rsid w:val="00885736"/>
    <w:rsid w:val="0088596F"/>
    <w:rsid w:val="00885993"/>
    <w:rsid w:val="008859AA"/>
    <w:rsid w:val="008859C7"/>
    <w:rsid w:val="00885C28"/>
    <w:rsid w:val="00885C73"/>
    <w:rsid w:val="00885CFC"/>
    <w:rsid w:val="00885DEC"/>
    <w:rsid w:val="008860BA"/>
    <w:rsid w:val="008863DE"/>
    <w:rsid w:val="008864B3"/>
    <w:rsid w:val="008864BB"/>
    <w:rsid w:val="008864DF"/>
    <w:rsid w:val="00886552"/>
    <w:rsid w:val="00886583"/>
    <w:rsid w:val="0088665D"/>
    <w:rsid w:val="00886753"/>
    <w:rsid w:val="00886776"/>
    <w:rsid w:val="00886782"/>
    <w:rsid w:val="00886815"/>
    <w:rsid w:val="00886980"/>
    <w:rsid w:val="008869B1"/>
    <w:rsid w:val="00886A6A"/>
    <w:rsid w:val="00886ADF"/>
    <w:rsid w:val="00886B54"/>
    <w:rsid w:val="00886BD7"/>
    <w:rsid w:val="00886C3B"/>
    <w:rsid w:val="00886D71"/>
    <w:rsid w:val="00886EA5"/>
    <w:rsid w:val="00886F10"/>
    <w:rsid w:val="00887203"/>
    <w:rsid w:val="00887288"/>
    <w:rsid w:val="0088752A"/>
    <w:rsid w:val="008875A1"/>
    <w:rsid w:val="00887722"/>
    <w:rsid w:val="008877B7"/>
    <w:rsid w:val="0088786A"/>
    <w:rsid w:val="00887923"/>
    <w:rsid w:val="00887A5F"/>
    <w:rsid w:val="00887A8B"/>
    <w:rsid w:val="00887C7D"/>
    <w:rsid w:val="00887CC7"/>
    <w:rsid w:val="00887CD1"/>
    <w:rsid w:val="00887D5A"/>
    <w:rsid w:val="00887D82"/>
    <w:rsid w:val="00887E2F"/>
    <w:rsid w:val="00887EA1"/>
    <w:rsid w:val="00887EE2"/>
    <w:rsid w:val="00890042"/>
    <w:rsid w:val="00890055"/>
    <w:rsid w:val="008901CB"/>
    <w:rsid w:val="008901DE"/>
    <w:rsid w:val="00890300"/>
    <w:rsid w:val="00890585"/>
    <w:rsid w:val="008905A3"/>
    <w:rsid w:val="008905B3"/>
    <w:rsid w:val="00890760"/>
    <w:rsid w:val="0089079C"/>
    <w:rsid w:val="008907D2"/>
    <w:rsid w:val="00890901"/>
    <w:rsid w:val="0089096A"/>
    <w:rsid w:val="00890974"/>
    <w:rsid w:val="0089099D"/>
    <w:rsid w:val="008909BE"/>
    <w:rsid w:val="00890A85"/>
    <w:rsid w:val="00890ABB"/>
    <w:rsid w:val="00890AC3"/>
    <w:rsid w:val="00890B49"/>
    <w:rsid w:val="00890B79"/>
    <w:rsid w:val="00890C3E"/>
    <w:rsid w:val="00890CC6"/>
    <w:rsid w:val="00890D2A"/>
    <w:rsid w:val="00890DB5"/>
    <w:rsid w:val="00890E87"/>
    <w:rsid w:val="00890E90"/>
    <w:rsid w:val="00890EC3"/>
    <w:rsid w:val="00890F00"/>
    <w:rsid w:val="0089120C"/>
    <w:rsid w:val="008912FE"/>
    <w:rsid w:val="008913BD"/>
    <w:rsid w:val="008913C8"/>
    <w:rsid w:val="0089144E"/>
    <w:rsid w:val="0089155D"/>
    <w:rsid w:val="008917A5"/>
    <w:rsid w:val="00891A1C"/>
    <w:rsid w:val="00891A6E"/>
    <w:rsid w:val="00891A8F"/>
    <w:rsid w:val="00891B63"/>
    <w:rsid w:val="00891D76"/>
    <w:rsid w:val="00891DB2"/>
    <w:rsid w:val="00891E47"/>
    <w:rsid w:val="00891F29"/>
    <w:rsid w:val="00891F8F"/>
    <w:rsid w:val="00891FCF"/>
    <w:rsid w:val="00892161"/>
    <w:rsid w:val="0089217D"/>
    <w:rsid w:val="0089241E"/>
    <w:rsid w:val="0089254C"/>
    <w:rsid w:val="00892564"/>
    <w:rsid w:val="0089258E"/>
    <w:rsid w:val="00892622"/>
    <w:rsid w:val="0089268A"/>
    <w:rsid w:val="008926D8"/>
    <w:rsid w:val="00892ACD"/>
    <w:rsid w:val="00892BB0"/>
    <w:rsid w:val="00892BC8"/>
    <w:rsid w:val="00892D26"/>
    <w:rsid w:val="00892DC2"/>
    <w:rsid w:val="00892DED"/>
    <w:rsid w:val="00892E85"/>
    <w:rsid w:val="00892F25"/>
    <w:rsid w:val="00892F8A"/>
    <w:rsid w:val="00892FC9"/>
    <w:rsid w:val="0089301B"/>
    <w:rsid w:val="00893093"/>
    <w:rsid w:val="008932E9"/>
    <w:rsid w:val="0089335F"/>
    <w:rsid w:val="008934BD"/>
    <w:rsid w:val="008935D3"/>
    <w:rsid w:val="008935D7"/>
    <w:rsid w:val="00893692"/>
    <w:rsid w:val="0089372D"/>
    <w:rsid w:val="0089379B"/>
    <w:rsid w:val="008938D2"/>
    <w:rsid w:val="0089394A"/>
    <w:rsid w:val="00893965"/>
    <w:rsid w:val="008939E1"/>
    <w:rsid w:val="00893A12"/>
    <w:rsid w:val="00893AAE"/>
    <w:rsid w:val="00893C58"/>
    <w:rsid w:val="00893CAC"/>
    <w:rsid w:val="00893D2F"/>
    <w:rsid w:val="00893F4E"/>
    <w:rsid w:val="00893F6E"/>
    <w:rsid w:val="00893F8C"/>
    <w:rsid w:val="008940C7"/>
    <w:rsid w:val="008941ED"/>
    <w:rsid w:val="00894309"/>
    <w:rsid w:val="0089437B"/>
    <w:rsid w:val="008943B6"/>
    <w:rsid w:val="008944F3"/>
    <w:rsid w:val="008947EA"/>
    <w:rsid w:val="008947EB"/>
    <w:rsid w:val="00894804"/>
    <w:rsid w:val="008949DD"/>
    <w:rsid w:val="008949EB"/>
    <w:rsid w:val="00894AC9"/>
    <w:rsid w:val="00894AEC"/>
    <w:rsid w:val="00894AF6"/>
    <w:rsid w:val="00894B2C"/>
    <w:rsid w:val="00894B33"/>
    <w:rsid w:val="00894B9F"/>
    <w:rsid w:val="00894C7A"/>
    <w:rsid w:val="00894D16"/>
    <w:rsid w:val="00894D22"/>
    <w:rsid w:val="00894D32"/>
    <w:rsid w:val="00894D36"/>
    <w:rsid w:val="00894DF8"/>
    <w:rsid w:val="00894E6C"/>
    <w:rsid w:val="00894E7A"/>
    <w:rsid w:val="00894EF5"/>
    <w:rsid w:val="00894F9D"/>
    <w:rsid w:val="008950E0"/>
    <w:rsid w:val="008950F0"/>
    <w:rsid w:val="008951FF"/>
    <w:rsid w:val="0089522C"/>
    <w:rsid w:val="0089541B"/>
    <w:rsid w:val="00895455"/>
    <w:rsid w:val="008956A3"/>
    <w:rsid w:val="008957AE"/>
    <w:rsid w:val="008957FA"/>
    <w:rsid w:val="0089592A"/>
    <w:rsid w:val="008959D1"/>
    <w:rsid w:val="008959F5"/>
    <w:rsid w:val="00895A8D"/>
    <w:rsid w:val="00895B1B"/>
    <w:rsid w:val="00895B4A"/>
    <w:rsid w:val="00895B9F"/>
    <w:rsid w:val="00895BF3"/>
    <w:rsid w:val="00895C78"/>
    <w:rsid w:val="00895E08"/>
    <w:rsid w:val="00895E1A"/>
    <w:rsid w:val="00895EE0"/>
    <w:rsid w:val="00895F16"/>
    <w:rsid w:val="00895FFC"/>
    <w:rsid w:val="008960C9"/>
    <w:rsid w:val="008960CF"/>
    <w:rsid w:val="008960F6"/>
    <w:rsid w:val="00896112"/>
    <w:rsid w:val="00896227"/>
    <w:rsid w:val="00896253"/>
    <w:rsid w:val="008962B3"/>
    <w:rsid w:val="008962CC"/>
    <w:rsid w:val="00896310"/>
    <w:rsid w:val="00896389"/>
    <w:rsid w:val="0089642E"/>
    <w:rsid w:val="00896470"/>
    <w:rsid w:val="008964DD"/>
    <w:rsid w:val="00896588"/>
    <w:rsid w:val="008966F7"/>
    <w:rsid w:val="00896707"/>
    <w:rsid w:val="00896722"/>
    <w:rsid w:val="0089673F"/>
    <w:rsid w:val="008967D0"/>
    <w:rsid w:val="00896893"/>
    <w:rsid w:val="008968BE"/>
    <w:rsid w:val="008968D1"/>
    <w:rsid w:val="00896911"/>
    <w:rsid w:val="00896952"/>
    <w:rsid w:val="0089696D"/>
    <w:rsid w:val="00896972"/>
    <w:rsid w:val="008969BF"/>
    <w:rsid w:val="008969E9"/>
    <w:rsid w:val="00896A23"/>
    <w:rsid w:val="00896CBA"/>
    <w:rsid w:val="00896DFF"/>
    <w:rsid w:val="00896EBA"/>
    <w:rsid w:val="00896F2B"/>
    <w:rsid w:val="008970D3"/>
    <w:rsid w:val="008970E7"/>
    <w:rsid w:val="00897181"/>
    <w:rsid w:val="008971B6"/>
    <w:rsid w:val="008971E4"/>
    <w:rsid w:val="0089720D"/>
    <w:rsid w:val="0089727D"/>
    <w:rsid w:val="008976B1"/>
    <w:rsid w:val="00897762"/>
    <w:rsid w:val="00897771"/>
    <w:rsid w:val="008977A9"/>
    <w:rsid w:val="00897850"/>
    <w:rsid w:val="00897856"/>
    <w:rsid w:val="00897895"/>
    <w:rsid w:val="008978AD"/>
    <w:rsid w:val="00897969"/>
    <w:rsid w:val="00897A5F"/>
    <w:rsid w:val="00897DB4"/>
    <w:rsid w:val="00897E12"/>
    <w:rsid w:val="00897EB8"/>
    <w:rsid w:val="00897F5D"/>
    <w:rsid w:val="00897F82"/>
    <w:rsid w:val="008A0092"/>
    <w:rsid w:val="008A0120"/>
    <w:rsid w:val="008A029E"/>
    <w:rsid w:val="008A02AB"/>
    <w:rsid w:val="008A0509"/>
    <w:rsid w:val="008A05B1"/>
    <w:rsid w:val="008A05F1"/>
    <w:rsid w:val="008A060F"/>
    <w:rsid w:val="008A0815"/>
    <w:rsid w:val="008A0884"/>
    <w:rsid w:val="008A08D9"/>
    <w:rsid w:val="008A0A42"/>
    <w:rsid w:val="008A0A50"/>
    <w:rsid w:val="008A0A93"/>
    <w:rsid w:val="008A0AFC"/>
    <w:rsid w:val="008A0AFF"/>
    <w:rsid w:val="008A0B65"/>
    <w:rsid w:val="008A0BC5"/>
    <w:rsid w:val="008A0BD6"/>
    <w:rsid w:val="008A0BFF"/>
    <w:rsid w:val="008A0E54"/>
    <w:rsid w:val="008A0FEE"/>
    <w:rsid w:val="008A1049"/>
    <w:rsid w:val="008A10AF"/>
    <w:rsid w:val="008A10F7"/>
    <w:rsid w:val="008A118A"/>
    <w:rsid w:val="008A11D1"/>
    <w:rsid w:val="008A1384"/>
    <w:rsid w:val="008A13FD"/>
    <w:rsid w:val="008A1459"/>
    <w:rsid w:val="008A145D"/>
    <w:rsid w:val="008A1471"/>
    <w:rsid w:val="008A1474"/>
    <w:rsid w:val="008A14BA"/>
    <w:rsid w:val="008A1514"/>
    <w:rsid w:val="008A15BB"/>
    <w:rsid w:val="008A1730"/>
    <w:rsid w:val="008A17F6"/>
    <w:rsid w:val="008A1A34"/>
    <w:rsid w:val="008A1A76"/>
    <w:rsid w:val="008A1B7E"/>
    <w:rsid w:val="008A1BD9"/>
    <w:rsid w:val="008A1C85"/>
    <w:rsid w:val="008A1CF4"/>
    <w:rsid w:val="008A1D48"/>
    <w:rsid w:val="008A1D66"/>
    <w:rsid w:val="008A1DA4"/>
    <w:rsid w:val="008A1E02"/>
    <w:rsid w:val="008A1FC2"/>
    <w:rsid w:val="008A2048"/>
    <w:rsid w:val="008A2195"/>
    <w:rsid w:val="008A21EC"/>
    <w:rsid w:val="008A2276"/>
    <w:rsid w:val="008A227B"/>
    <w:rsid w:val="008A22E2"/>
    <w:rsid w:val="008A255F"/>
    <w:rsid w:val="008A258E"/>
    <w:rsid w:val="008A25E3"/>
    <w:rsid w:val="008A2688"/>
    <w:rsid w:val="008A2699"/>
    <w:rsid w:val="008A27E0"/>
    <w:rsid w:val="008A27F5"/>
    <w:rsid w:val="008A2950"/>
    <w:rsid w:val="008A29BE"/>
    <w:rsid w:val="008A2A12"/>
    <w:rsid w:val="008A2A13"/>
    <w:rsid w:val="008A2B3B"/>
    <w:rsid w:val="008A2BC8"/>
    <w:rsid w:val="008A2C27"/>
    <w:rsid w:val="008A2C61"/>
    <w:rsid w:val="008A2C7A"/>
    <w:rsid w:val="008A2E97"/>
    <w:rsid w:val="008A2EA1"/>
    <w:rsid w:val="008A2F0C"/>
    <w:rsid w:val="008A2F4E"/>
    <w:rsid w:val="008A2F58"/>
    <w:rsid w:val="008A306A"/>
    <w:rsid w:val="008A30E0"/>
    <w:rsid w:val="008A30EF"/>
    <w:rsid w:val="008A30F3"/>
    <w:rsid w:val="008A3145"/>
    <w:rsid w:val="008A325E"/>
    <w:rsid w:val="008A33AB"/>
    <w:rsid w:val="008A3477"/>
    <w:rsid w:val="008A34F1"/>
    <w:rsid w:val="008A353F"/>
    <w:rsid w:val="008A354D"/>
    <w:rsid w:val="008A355C"/>
    <w:rsid w:val="008A35B8"/>
    <w:rsid w:val="008A3655"/>
    <w:rsid w:val="008A3775"/>
    <w:rsid w:val="008A37AE"/>
    <w:rsid w:val="008A38A4"/>
    <w:rsid w:val="008A38CA"/>
    <w:rsid w:val="008A38EC"/>
    <w:rsid w:val="008A38F6"/>
    <w:rsid w:val="008A39BA"/>
    <w:rsid w:val="008A39F6"/>
    <w:rsid w:val="008A3A50"/>
    <w:rsid w:val="008A3B4B"/>
    <w:rsid w:val="008A3B71"/>
    <w:rsid w:val="008A3BF3"/>
    <w:rsid w:val="008A3BFB"/>
    <w:rsid w:val="008A3C4C"/>
    <w:rsid w:val="008A3C73"/>
    <w:rsid w:val="008A3D06"/>
    <w:rsid w:val="008A3EC2"/>
    <w:rsid w:val="008A3F0A"/>
    <w:rsid w:val="008A3FB6"/>
    <w:rsid w:val="008A3FD2"/>
    <w:rsid w:val="008A40BB"/>
    <w:rsid w:val="008A40CF"/>
    <w:rsid w:val="008A4157"/>
    <w:rsid w:val="008A4165"/>
    <w:rsid w:val="008A419B"/>
    <w:rsid w:val="008A4316"/>
    <w:rsid w:val="008A4368"/>
    <w:rsid w:val="008A44C6"/>
    <w:rsid w:val="008A4520"/>
    <w:rsid w:val="008A4546"/>
    <w:rsid w:val="008A474E"/>
    <w:rsid w:val="008A481B"/>
    <w:rsid w:val="008A4A50"/>
    <w:rsid w:val="008A4A6D"/>
    <w:rsid w:val="008A4A7E"/>
    <w:rsid w:val="008A4AE4"/>
    <w:rsid w:val="008A4C81"/>
    <w:rsid w:val="008A4CFC"/>
    <w:rsid w:val="008A4D5C"/>
    <w:rsid w:val="008A4D81"/>
    <w:rsid w:val="008A4DE4"/>
    <w:rsid w:val="008A4EAB"/>
    <w:rsid w:val="008A5109"/>
    <w:rsid w:val="008A518E"/>
    <w:rsid w:val="008A5263"/>
    <w:rsid w:val="008A526F"/>
    <w:rsid w:val="008A52DB"/>
    <w:rsid w:val="008A5349"/>
    <w:rsid w:val="008A5532"/>
    <w:rsid w:val="008A562C"/>
    <w:rsid w:val="008A566F"/>
    <w:rsid w:val="008A571C"/>
    <w:rsid w:val="008A5722"/>
    <w:rsid w:val="008A5760"/>
    <w:rsid w:val="008A5779"/>
    <w:rsid w:val="008A585B"/>
    <w:rsid w:val="008A58DE"/>
    <w:rsid w:val="008A5A3D"/>
    <w:rsid w:val="008A5B07"/>
    <w:rsid w:val="008A5B14"/>
    <w:rsid w:val="008A5B2E"/>
    <w:rsid w:val="008A5B48"/>
    <w:rsid w:val="008A5C8B"/>
    <w:rsid w:val="008A5C9C"/>
    <w:rsid w:val="008A5CAB"/>
    <w:rsid w:val="008A5CBA"/>
    <w:rsid w:val="008A5CE1"/>
    <w:rsid w:val="008A5D44"/>
    <w:rsid w:val="008A5DB2"/>
    <w:rsid w:val="008A5E11"/>
    <w:rsid w:val="008A5E5B"/>
    <w:rsid w:val="008A5F22"/>
    <w:rsid w:val="008A6096"/>
    <w:rsid w:val="008A613B"/>
    <w:rsid w:val="008A6169"/>
    <w:rsid w:val="008A616F"/>
    <w:rsid w:val="008A63CF"/>
    <w:rsid w:val="008A641E"/>
    <w:rsid w:val="008A647B"/>
    <w:rsid w:val="008A64B9"/>
    <w:rsid w:val="008A65F1"/>
    <w:rsid w:val="008A65F2"/>
    <w:rsid w:val="008A6620"/>
    <w:rsid w:val="008A6675"/>
    <w:rsid w:val="008A6986"/>
    <w:rsid w:val="008A6A62"/>
    <w:rsid w:val="008A6A67"/>
    <w:rsid w:val="008A6AA5"/>
    <w:rsid w:val="008A6AD9"/>
    <w:rsid w:val="008A6B3D"/>
    <w:rsid w:val="008A6BA0"/>
    <w:rsid w:val="008A6CD1"/>
    <w:rsid w:val="008A6D1A"/>
    <w:rsid w:val="008A6DE2"/>
    <w:rsid w:val="008A6FC2"/>
    <w:rsid w:val="008A6FEA"/>
    <w:rsid w:val="008A70A6"/>
    <w:rsid w:val="008A70AA"/>
    <w:rsid w:val="008A70B3"/>
    <w:rsid w:val="008A70F9"/>
    <w:rsid w:val="008A7109"/>
    <w:rsid w:val="008A71D5"/>
    <w:rsid w:val="008A739F"/>
    <w:rsid w:val="008A748A"/>
    <w:rsid w:val="008A7504"/>
    <w:rsid w:val="008A757C"/>
    <w:rsid w:val="008A76D5"/>
    <w:rsid w:val="008A778D"/>
    <w:rsid w:val="008A78C5"/>
    <w:rsid w:val="008A7A62"/>
    <w:rsid w:val="008A7AE4"/>
    <w:rsid w:val="008A7BC0"/>
    <w:rsid w:val="008A7BE1"/>
    <w:rsid w:val="008A7CEC"/>
    <w:rsid w:val="008A7D10"/>
    <w:rsid w:val="008A7D2C"/>
    <w:rsid w:val="008A7ED5"/>
    <w:rsid w:val="008A7F4D"/>
    <w:rsid w:val="008A7F7B"/>
    <w:rsid w:val="008A7FCF"/>
    <w:rsid w:val="008B0006"/>
    <w:rsid w:val="008B00CF"/>
    <w:rsid w:val="008B0174"/>
    <w:rsid w:val="008B01C5"/>
    <w:rsid w:val="008B0206"/>
    <w:rsid w:val="008B020C"/>
    <w:rsid w:val="008B02CD"/>
    <w:rsid w:val="008B0329"/>
    <w:rsid w:val="008B0466"/>
    <w:rsid w:val="008B0635"/>
    <w:rsid w:val="008B067B"/>
    <w:rsid w:val="008B071F"/>
    <w:rsid w:val="008B0791"/>
    <w:rsid w:val="008B0872"/>
    <w:rsid w:val="008B0963"/>
    <w:rsid w:val="008B09CB"/>
    <w:rsid w:val="008B0AB8"/>
    <w:rsid w:val="008B0B60"/>
    <w:rsid w:val="008B0B69"/>
    <w:rsid w:val="008B0B7C"/>
    <w:rsid w:val="008B0B89"/>
    <w:rsid w:val="008B0C7C"/>
    <w:rsid w:val="008B0D69"/>
    <w:rsid w:val="008B0DEE"/>
    <w:rsid w:val="008B0F1E"/>
    <w:rsid w:val="008B1060"/>
    <w:rsid w:val="008B106B"/>
    <w:rsid w:val="008B10E7"/>
    <w:rsid w:val="008B1430"/>
    <w:rsid w:val="008B147A"/>
    <w:rsid w:val="008B15D5"/>
    <w:rsid w:val="008B1617"/>
    <w:rsid w:val="008B169D"/>
    <w:rsid w:val="008B16E7"/>
    <w:rsid w:val="008B18C8"/>
    <w:rsid w:val="008B19EC"/>
    <w:rsid w:val="008B1A08"/>
    <w:rsid w:val="008B1A53"/>
    <w:rsid w:val="008B1C05"/>
    <w:rsid w:val="008B1CD2"/>
    <w:rsid w:val="008B1D17"/>
    <w:rsid w:val="008B1DA5"/>
    <w:rsid w:val="008B1DD3"/>
    <w:rsid w:val="008B1E1A"/>
    <w:rsid w:val="008B1F82"/>
    <w:rsid w:val="008B1F9B"/>
    <w:rsid w:val="008B1FB2"/>
    <w:rsid w:val="008B20A9"/>
    <w:rsid w:val="008B211B"/>
    <w:rsid w:val="008B2167"/>
    <w:rsid w:val="008B21E8"/>
    <w:rsid w:val="008B22F9"/>
    <w:rsid w:val="008B22FD"/>
    <w:rsid w:val="008B231A"/>
    <w:rsid w:val="008B237D"/>
    <w:rsid w:val="008B2523"/>
    <w:rsid w:val="008B2526"/>
    <w:rsid w:val="008B259F"/>
    <w:rsid w:val="008B26DA"/>
    <w:rsid w:val="008B273D"/>
    <w:rsid w:val="008B28A1"/>
    <w:rsid w:val="008B28BB"/>
    <w:rsid w:val="008B293C"/>
    <w:rsid w:val="008B29A3"/>
    <w:rsid w:val="008B29E0"/>
    <w:rsid w:val="008B2A65"/>
    <w:rsid w:val="008B2ACB"/>
    <w:rsid w:val="008B2BC0"/>
    <w:rsid w:val="008B2BC4"/>
    <w:rsid w:val="008B2BF0"/>
    <w:rsid w:val="008B2CD6"/>
    <w:rsid w:val="008B2D05"/>
    <w:rsid w:val="008B2D86"/>
    <w:rsid w:val="008B2D9E"/>
    <w:rsid w:val="008B2DB6"/>
    <w:rsid w:val="008B2DDA"/>
    <w:rsid w:val="008B2FE1"/>
    <w:rsid w:val="008B30CC"/>
    <w:rsid w:val="008B3166"/>
    <w:rsid w:val="008B31FB"/>
    <w:rsid w:val="008B323D"/>
    <w:rsid w:val="008B32B4"/>
    <w:rsid w:val="008B32D7"/>
    <w:rsid w:val="008B332E"/>
    <w:rsid w:val="008B336E"/>
    <w:rsid w:val="008B3380"/>
    <w:rsid w:val="008B33AD"/>
    <w:rsid w:val="008B33C5"/>
    <w:rsid w:val="008B34C2"/>
    <w:rsid w:val="008B35CE"/>
    <w:rsid w:val="008B3625"/>
    <w:rsid w:val="008B3A17"/>
    <w:rsid w:val="008B3B01"/>
    <w:rsid w:val="008B3C23"/>
    <w:rsid w:val="008B3C98"/>
    <w:rsid w:val="008B3D17"/>
    <w:rsid w:val="008B3E02"/>
    <w:rsid w:val="008B3E13"/>
    <w:rsid w:val="008B3EB7"/>
    <w:rsid w:val="008B3ECB"/>
    <w:rsid w:val="008B3F32"/>
    <w:rsid w:val="008B3FD4"/>
    <w:rsid w:val="008B4096"/>
    <w:rsid w:val="008B40C2"/>
    <w:rsid w:val="008B430D"/>
    <w:rsid w:val="008B43B9"/>
    <w:rsid w:val="008B44A1"/>
    <w:rsid w:val="008B4531"/>
    <w:rsid w:val="008B4555"/>
    <w:rsid w:val="008B462A"/>
    <w:rsid w:val="008B463B"/>
    <w:rsid w:val="008B472D"/>
    <w:rsid w:val="008B4892"/>
    <w:rsid w:val="008B49E8"/>
    <w:rsid w:val="008B4A28"/>
    <w:rsid w:val="008B4A3B"/>
    <w:rsid w:val="008B4B51"/>
    <w:rsid w:val="008B4BEC"/>
    <w:rsid w:val="008B4C9A"/>
    <w:rsid w:val="008B4CF5"/>
    <w:rsid w:val="008B4D6C"/>
    <w:rsid w:val="008B4DA8"/>
    <w:rsid w:val="008B4DDD"/>
    <w:rsid w:val="008B4E07"/>
    <w:rsid w:val="008B4E61"/>
    <w:rsid w:val="008B4F65"/>
    <w:rsid w:val="008B4FBA"/>
    <w:rsid w:val="008B5099"/>
    <w:rsid w:val="008B5196"/>
    <w:rsid w:val="008B54F6"/>
    <w:rsid w:val="008B55C8"/>
    <w:rsid w:val="008B5624"/>
    <w:rsid w:val="008B569F"/>
    <w:rsid w:val="008B578B"/>
    <w:rsid w:val="008B58DE"/>
    <w:rsid w:val="008B5963"/>
    <w:rsid w:val="008B5A02"/>
    <w:rsid w:val="008B5AF9"/>
    <w:rsid w:val="008B5CF4"/>
    <w:rsid w:val="008B5D15"/>
    <w:rsid w:val="008B5D38"/>
    <w:rsid w:val="008B5D44"/>
    <w:rsid w:val="008B5DC2"/>
    <w:rsid w:val="008B5DE6"/>
    <w:rsid w:val="008B5ECC"/>
    <w:rsid w:val="008B5FC2"/>
    <w:rsid w:val="008B60E5"/>
    <w:rsid w:val="008B61D8"/>
    <w:rsid w:val="008B62BF"/>
    <w:rsid w:val="008B63FD"/>
    <w:rsid w:val="008B6458"/>
    <w:rsid w:val="008B6688"/>
    <w:rsid w:val="008B66C3"/>
    <w:rsid w:val="008B6713"/>
    <w:rsid w:val="008B67DA"/>
    <w:rsid w:val="008B6912"/>
    <w:rsid w:val="008B6923"/>
    <w:rsid w:val="008B6951"/>
    <w:rsid w:val="008B6993"/>
    <w:rsid w:val="008B6AE9"/>
    <w:rsid w:val="008B6BEB"/>
    <w:rsid w:val="008B6D07"/>
    <w:rsid w:val="008B6D49"/>
    <w:rsid w:val="008B6E42"/>
    <w:rsid w:val="008B6EB6"/>
    <w:rsid w:val="008B6ED1"/>
    <w:rsid w:val="008B6F5C"/>
    <w:rsid w:val="008B6FC7"/>
    <w:rsid w:val="008B7094"/>
    <w:rsid w:val="008B7207"/>
    <w:rsid w:val="008B75F6"/>
    <w:rsid w:val="008B76F4"/>
    <w:rsid w:val="008B774D"/>
    <w:rsid w:val="008B77FD"/>
    <w:rsid w:val="008B798A"/>
    <w:rsid w:val="008B79B3"/>
    <w:rsid w:val="008B79B6"/>
    <w:rsid w:val="008B7A65"/>
    <w:rsid w:val="008B7A8B"/>
    <w:rsid w:val="008B7A94"/>
    <w:rsid w:val="008B7BCA"/>
    <w:rsid w:val="008B7CB8"/>
    <w:rsid w:val="008B7CEF"/>
    <w:rsid w:val="008B7D75"/>
    <w:rsid w:val="008B7DD1"/>
    <w:rsid w:val="008B7F68"/>
    <w:rsid w:val="008B7F96"/>
    <w:rsid w:val="008B7FDE"/>
    <w:rsid w:val="008B7FE0"/>
    <w:rsid w:val="008C005F"/>
    <w:rsid w:val="008C04B7"/>
    <w:rsid w:val="008C069E"/>
    <w:rsid w:val="008C0710"/>
    <w:rsid w:val="008C080B"/>
    <w:rsid w:val="008C0817"/>
    <w:rsid w:val="008C0818"/>
    <w:rsid w:val="008C0971"/>
    <w:rsid w:val="008C09BD"/>
    <w:rsid w:val="008C0C72"/>
    <w:rsid w:val="008C0CE9"/>
    <w:rsid w:val="008C0DE1"/>
    <w:rsid w:val="008C1067"/>
    <w:rsid w:val="008C106F"/>
    <w:rsid w:val="008C11C5"/>
    <w:rsid w:val="008C1232"/>
    <w:rsid w:val="008C1426"/>
    <w:rsid w:val="008C1473"/>
    <w:rsid w:val="008C1483"/>
    <w:rsid w:val="008C1565"/>
    <w:rsid w:val="008C1626"/>
    <w:rsid w:val="008C18B5"/>
    <w:rsid w:val="008C191A"/>
    <w:rsid w:val="008C1AA9"/>
    <w:rsid w:val="008C1C57"/>
    <w:rsid w:val="008C1CE8"/>
    <w:rsid w:val="008C1D19"/>
    <w:rsid w:val="008C1D6D"/>
    <w:rsid w:val="008C1DBC"/>
    <w:rsid w:val="008C1DF8"/>
    <w:rsid w:val="008C205D"/>
    <w:rsid w:val="008C2096"/>
    <w:rsid w:val="008C2141"/>
    <w:rsid w:val="008C21A8"/>
    <w:rsid w:val="008C21E9"/>
    <w:rsid w:val="008C225C"/>
    <w:rsid w:val="008C2289"/>
    <w:rsid w:val="008C2417"/>
    <w:rsid w:val="008C24F3"/>
    <w:rsid w:val="008C251E"/>
    <w:rsid w:val="008C263C"/>
    <w:rsid w:val="008C2660"/>
    <w:rsid w:val="008C274A"/>
    <w:rsid w:val="008C2757"/>
    <w:rsid w:val="008C282A"/>
    <w:rsid w:val="008C28A8"/>
    <w:rsid w:val="008C290E"/>
    <w:rsid w:val="008C2911"/>
    <w:rsid w:val="008C2996"/>
    <w:rsid w:val="008C29AC"/>
    <w:rsid w:val="008C2A13"/>
    <w:rsid w:val="008C2A39"/>
    <w:rsid w:val="008C2C5C"/>
    <w:rsid w:val="008C2FE6"/>
    <w:rsid w:val="008C2FEB"/>
    <w:rsid w:val="008C300E"/>
    <w:rsid w:val="008C304F"/>
    <w:rsid w:val="008C30A6"/>
    <w:rsid w:val="008C30D6"/>
    <w:rsid w:val="008C31F7"/>
    <w:rsid w:val="008C3240"/>
    <w:rsid w:val="008C32BF"/>
    <w:rsid w:val="008C32D0"/>
    <w:rsid w:val="008C32FE"/>
    <w:rsid w:val="008C348F"/>
    <w:rsid w:val="008C3538"/>
    <w:rsid w:val="008C356C"/>
    <w:rsid w:val="008C3619"/>
    <w:rsid w:val="008C36DD"/>
    <w:rsid w:val="008C398D"/>
    <w:rsid w:val="008C39B5"/>
    <w:rsid w:val="008C3A24"/>
    <w:rsid w:val="008C3AAD"/>
    <w:rsid w:val="008C3BB1"/>
    <w:rsid w:val="008C3BEB"/>
    <w:rsid w:val="008C3C46"/>
    <w:rsid w:val="008C3C7D"/>
    <w:rsid w:val="008C3C97"/>
    <w:rsid w:val="008C3D0A"/>
    <w:rsid w:val="008C3DB1"/>
    <w:rsid w:val="008C3E8D"/>
    <w:rsid w:val="008C3F16"/>
    <w:rsid w:val="008C3F54"/>
    <w:rsid w:val="008C402C"/>
    <w:rsid w:val="008C41F9"/>
    <w:rsid w:val="008C42A4"/>
    <w:rsid w:val="008C4371"/>
    <w:rsid w:val="008C438B"/>
    <w:rsid w:val="008C444D"/>
    <w:rsid w:val="008C46A9"/>
    <w:rsid w:val="008C47F6"/>
    <w:rsid w:val="008C4890"/>
    <w:rsid w:val="008C4892"/>
    <w:rsid w:val="008C496E"/>
    <w:rsid w:val="008C49E4"/>
    <w:rsid w:val="008C49E9"/>
    <w:rsid w:val="008C4B41"/>
    <w:rsid w:val="008C4C72"/>
    <w:rsid w:val="008C4CCF"/>
    <w:rsid w:val="008C4CD5"/>
    <w:rsid w:val="008C4DE0"/>
    <w:rsid w:val="008C4ED4"/>
    <w:rsid w:val="008C4FDB"/>
    <w:rsid w:val="008C5193"/>
    <w:rsid w:val="008C52D6"/>
    <w:rsid w:val="008C539A"/>
    <w:rsid w:val="008C5410"/>
    <w:rsid w:val="008C54F5"/>
    <w:rsid w:val="008C5577"/>
    <w:rsid w:val="008C5628"/>
    <w:rsid w:val="008C5683"/>
    <w:rsid w:val="008C5734"/>
    <w:rsid w:val="008C57DB"/>
    <w:rsid w:val="008C5819"/>
    <w:rsid w:val="008C581E"/>
    <w:rsid w:val="008C584A"/>
    <w:rsid w:val="008C5877"/>
    <w:rsid w:val="008C58A7"/>
    <w:rsid w:val="008C58CF"/>
    <w:rsid w:val="008C592D"/>
    <w:rsid w:val="008C59CE"/>
    <w:rsid w:val="008C5B9A"/>
    <w:rsid w:val="008C5C75"/>
    <w:rsid w:val="008C5EC0"/>
    <w:rsid w:val="008C5F92"/>
    <w:rsid w:val="008C5FB7"/>
    <w:rsid w:val="008C6003"/>
    <w:rsid w:val="008C6010"/>
    <w:rsid w:val="008C6068"/>
    <w:rsid w:val="008C6112"/>
    <w:rsid w:val="008C6389"/>
    <w:rsid w:val="008C666D"/>
    <w:rsid w:val="008C66D4"/>
    <w:rsid w:val="008C66F9"/>
    <w:rsid w:val="008C681B"/>
    <w:rsid w:val="008C682F"/>
    <w:rsid w:val="008C68DF"/>
    <w:rsid w:val="008C68ED"/>
    <w:rsid w:val="008C693B"/>
    <w:rsid w:val="008C69D4"/>
    <w:rsid w:val="008C69DB"/>
    <w:rsid w:val="008C6A6F"/>
    <w:rsid w:val="008C6A75"/>
    <w:rsid w:val="008C6B45"/>
    <w:rsid w:val="008C6BD8"/>
    <w:rsid w:val="008C6E19"/>
    <w:rsid w:val="008C6F30"/>
    <w:rsid w:val="008C710F"/>
    <w:rsid w:val="008C7117"/>
    <w:rsid w:val="008C7131"/>
    <w:rsid w:val="008C7169"/>
    <w:rsid w:val="008C7209"/>
    <w:rsid w:val="008C721F"/>
    <w:rsid w:val="008C7240"/>
    <w:rsid w:val="008C726C"/>
    <w:rsid w:val="008C734F"/>
    <w:rsid w:val="008C75BA"/>
    <w:rsid w:val="008C7605"/>
    <w:rsid w:val="008C7638"/>
    <w:rsid w:val="008C769E"/>
    <w:rsid w:val="008C7892"/>
    <w:rsid w:val="008C78D4"/>
    <w:rsid w:val="008C78DA"/>
    <w:rsid w:val="008C7A7F"/>
    <w:rsid w:val="008C7AB0"/>
    <w:rsid w:val="008C7B1D"/>
    <w:rsid w:val="008C7BE2"/>
    <w:rsid w:val="008C7D17"/>
    <w:rsid w:val="008C7EAF"/>
    <w:rsid w:val="008C7F8A"/>
    <w:rsid w:val="008D001B"/>
    <w:rsid w:val="008D00D8"/>
    <w:rsid w:val="008D01F0"/>
    <w:rsid w:val="008D02B1"/>
    <w:rsid w:val="008D02CA"/>
    <w:rsid w:val="008D0314"/>
    <w:rsid w:val="008D033C"/>
    <w:rsid w:val="008D034D"/>
    <w:rsid w:val="008D03EE"/>
    <w:rsid w:val="008D04BA"/>
    <w:rsid w:val="008D0604"/>
    <w:rsid w:val="008D0680"/>
    <w:rsid w:val="008D07BE"/>
    <w:rsid w:val="008D0830"/>
    <w:rsid w:val="008D09E7"/>
    <w:rsid w:val="008D0B72"/>
    <w:rsid w:val="008D0BD0"/>
    <w:rsid w:val="008D0BDA"/>
    <w:rsid w:val="008D0C02"/>
    <w:rsid w:val="008D0C3D"/>
    <w:rsid w:val="008D0D17"/>
    <w:rsid w:val="008D0ED1"/>
    <w:rsid w:val="008D0F22"/>
    <w:rsid w:val="008D0F27"/>
    <w:rsid w:val="008D103D"/>
    <w:rsid w:val="008D110B"/>
    <w:rsid w:val="008D124E"/>
    <w:rsid w:val="008D12B5"/>
    <w:rsid w:val="008D132E"/>
    <w:rsid w:val="008D1353"/>
    <w:rsid w:val="008D149B"/>
    <w:rsid w:val="008D166D"/>
    <w:rsid w:val="008D1765"/>
    <w:rsid w:val="008D1770"/>
    <w:rsid w:val="008D180D"/>
    <w:rsid w:val="008D1840"/>
    <w:rsid w:val="008D1851"/>
    <w:rsid w:val="008D18AE"/>
    <w:rsid w:val="008D18B3"/>
    <w:rsid w:val="008D19C5"/>
    <w:rsid w:val="008D1ABA"/>
    <w:rsid w:val="008D1ADD"/>
    <w:rsid w:val="008D1B8B"/>
    <w:rsid w:val="008D1C67"/>
    <w:rsid w:val="008D1C6E"/>
    <w:rsid w:val="008D1CA1"/>
    <w:rsid w:val="008D1CD6"/>
    <w:rsid w:val="008D1D2F"/>
    <w:rsid w:val="008D1DA1"/>
    <w:rsid w:val="008D1DD5"/>
    <w:rsid w:val="008D1E11"/>
    <w:rsid w:val="008D1E35"/>
    <w:rsid w:val="008D1E75"/>
    <w:rsid w:val="008D2022"/>
    <w:rsid w:val="008D2063"/>
    <w:rsid w:val="008D2106"/>
    <w:rsid w:val="008D2109"/>
    <w:rsid w:val="008D2188"/>
    <w:rsid w:val="008D2192"/>
    <w:rsid w:val="008D21B8"/>
    <w:rsid w:val="008D21FB"/>
    <w:rsid w:val="008D22E3"/>
    <w:rsid w:val="008D236C"/>
    <w:rsid w:val="008D23B8"/>
    <w:rsid w:val="008D23DC"/>
    <w:rsid w:val="008D2434"/>
    <w:rsid w:val="008D24CC"/>
    <w:rsid w:val="008D24F2"/>
    <w:rsid w:val="008D259D"/>
    <w:rsid w:val="008D2605"/>
    <w:rsid w:val="008D2665"/>
    <w:rsid w:val="008D269E"/>
    <w:rsid w:val="008D2722"/>
    <w:rsid w:val="008D27DE"/>
    <w:rsid w:val="008D27FF"/>
    <w:rsid w:val="008D2897"/>
    <w:rsid w:val="008D28B0"/>
    <w:rsid w:val="008D29BA"/>
    <w:rsid w:val="008D2A76"/>
    <w:rsid w:val="008D2A8F"/>
    <w:rsid w:val="008D2CD2"/>
    <w:rsid w:val="008D2D17"/>
    <w:rsid w:val="008D2D7B"/>
    <w:rsid w:val="008D2D95"/>
    <w:rsid w:val="008D2F52"/>
    <w:rsid w:val="008D2F91"/>
    <w:rsid w:val="008D3067"/>
    <w:rsid w:val="008D3091"/>
    <w:rsid w:val="008D324D"/>
    <w:rsid w:val="008D3273"/>
    <w:rsid w:val="008D335F"/>
    <w:rsid w:val="008D3369"/>
    <w:rsid w:val="008D336D"/>
    <w:rsid w:val="008D33CB"/>
    <w:rsid w:val="008D3406"/>
    <w:rsid w:val="008D345D"/>
    <w:rsid w:val="008D347C"/>
    <w:rsid w:val="008D3494"/>
    <w:rsid w:val="008D35B7"/>
    <w:rsid w:val="008D36CC"/>
    <w:rsid w:val="008D36DC"/>
    <w:rsid w:val="008D3761"/>
    <w:rsid w:val="008D377C"/>
    <w:rsid w:val="008D38FC"/>
    <w:rsid w:val="008D39B0"/>
    <w:rsid w:val="008D39FD"/>
    <w:rsid w:val="008D3B1B"/>
    <w:rsid w:val="008D3B86"/>
    <w:rsid w:val="008D3C5D"/>
    <w:rsid w:val="008D3DC0"/>
    <w:rsid w:val="008D3DC4"/>
    <w:rsid w:val="008D3E7C"/>
    <w:rsid w:val="008D3EAA"/>
    <w:rsid w:val="008D3ECF"/>
    <w:rsid w:val="008D3F3C"/>
    <w:rsid w:val="008D3F9B"/>
    <w:rsid w:val="008D3FFA"/>
    <w:rsid w:val="008D4011"/>
    <w:rsid w:val="008D4049"/>
    <w:rsid w:val="008D40C4"/>
    <w:rsid w:val="008D4129"/>
    <w:rsid w:val="008D414F"/>
    <w:rsid w:val="008D4206"/>
    <w:rsid w:val="008D4399"/>
    <w:rsid w:val="008D4429"/>
    <w:rsid w:val="008D44F2"/>
    <w:rsid w:val="008D4609"/>
    <w:rsid w:val="008D464A"/>
    <w:rsid w:val="008D469E"/>
    <w:rsid w:val="008D46B2"/>
    <w:rsid w:val="008D4716"/>
    <w:rsid w:val="008D489B"/>
    <w:rsid w:val="008D49C0"/>
    <w:rsid w:val="008D4AA4"/>
    <w:rsid w:val="008D4AAB"/>
    <w:rsid w:val="008D4B33"/>
    <w:rsid w:val="008D4B59"/>
    <w:rsid w:val="008D4B76"/>
    <w:rsid w:val="008D4BE1"/>
    <w:rsid w:val="008D4CD2"/>
    <w:rsid w:val="008D4CFB"/>
    <w:rsid w:val="008D4D5D"/>
    <w:rsid w:val="008D4E4D"/>
    <w:rsid w:val="008D4FEB"/>
    <w:rsid w:val="008D507F"/>
    <w:rsid w:val="008D5160"/>
    <w:rsid w:val="008D517D"/>
    <w:rsid w:val="008D521B"/>
    <w:rsid w:val="008D5261"/>
    <w:rsid w:val="008D52C2"/>
    <w:rsid w:val="008D541C"/>
    <w:rsid w:val="008D5553"/>
    <w:rsid w:val="008D558A"/>
    <w:rsid w:val="008D5658"/>
    <w:rsid w:val="008D5722"/>
    <w:rsid w:val="008D59AF"/>
    <w:rsid w:val="008D5AC7"/>
    <w:rsid w:val="008D5B25"/>
    <w:rsid w:val="008D5B27"/>
    <w:rsid w:val="008D5B61"/>
    <w:rsid w:val="008D5C23"/>
    <w:rsid w:val="008D5D9C"/>
    <w:rsid w:val="008D5EB1"/>
    <w:rsid w:val="008D5ED1"/>
    <w:rsid w:val="008D5FA8"/>
    <w:rsid w:val="008D60DD"/>
    <w:rsid w:val="008D62FE"/>
    <w:rsid w:val="008D6322"/>
    <w:rsid w:val="008D6360"/>
    <w:rsid w:val="008D644D"/>
    <w:rsid w:val="008D648F"/>
    <w:rsid w:val="008D655B"/>
    <w:rsid w:val="008D6586"/>
    <w:rsid w:val="008D665C"/>
    <w:rsid w:val="008D6726"/>
    <w:rsid w:val="008D6742"/>
    <w:rsid w:val="008D6752"/>
    <w:rsid w:val="008D6771"/>
    <w:rsid w:val="008D67EA"/>
    <w:rsid w:val="008D6825"/>
    <w:rsid w:val="008D683F"/>
    <w:rsid w:val="008D686C"/>
    <w:rsid w:val="008D68D3"/>
    <w:rsid w:val="008D68F2"/>
    <w:rsid w:val="008D6A54"/>
    <w:rsid w:val="008D6BE9"/>
    <w:rsid w:val="008D6D3E"/>
    <w:rsid w:val="008D6E09"/>
    <w:rsid w:val="008D7087"/>
    <w:rsid w:val="008D70DA"/>
    <w:rsid w:val="008D71D6"/>
    <w:rsid w:val="008D7270"/>
    <w:rsid w:val="008D72BA"/>
    <w:rsid w:val="008D7337"/>
    <w:rsid w:val="008D7350"/>
    <w:rsid w:val="008D7381"/>
    <w:rsid w:val="008D7385"/>
    <w:rsid w:val="008D7496"/>
    <w:rsid w:val="008D7519"/>
    <w:rsid w:val="008D756A"/>
    <w:rsid w:val="008D7615"/>
    <w:rsid w:val="008D7662"/>
    <w:rsid w:val="008D76D6"/>
    <w:rsid w:val="008D78D8"/>
    <w:rsid w:val="008D79B5"/>
    <w:rsid w:val="008D79F1"/>
    <w:rsid w:val="008D7A00"/>
    <w:rsid w:val="008D7A13"/>
    <w:rsid w:val="008D7A32"/>
    <w:rsid w:val="008D7A75"/>
    <w:rsid w:val="008D7B09"/>
    <w:rsid w:val="008D7B0D"/>
    <w:rsid w:val="008D7B19"/>
    <w:rsid w:val="008D7B89"/>
    <w:rsid w:val="008D7CCB"/>
    <w:rsid w:val="008D7DCA"/>
    <w:rsid w:val="008D7F3F"/>
    <w:rsid w:val="008E005E"/>
    <w:rsid w:val="008E0201"/>
    <w:rsid w:val="008E02F1"/>
    <w:rsid w:val="008E03E4"/>
    <w:rsid w:val="008E04B7"/>
    <w:rsid w:val="008E0509"/>
    <w:rsid w:val="008E0512"/>
    <w:rsid w:val="008E052D"/>
    <w:rsid w:val="008E054D"/>
    <w:rsid w:val="008E061A"/>
    <w:rsid w:val="008E06BF"/>
    <w:rsid w:val="008E07C4"/>
    <w:rsid w:val="008E084B"/>
    <w:rsid w:val="008E0976"/>
    <w:rsid w:val="008E09B7"/>
    <w:rsid w:val="008E0AB2"/>
    <w:rsid w:val="008E0B48"/>
    <w:rsid w:val="008E0B91"/>
    <w:rsid w:val="008E0CB3"/>
    <w:rsid w:val="008E0CD4"/>
    <w:rsid w:val="008E0DB3"/>
    <w:rsid w:val="008E0DF9"/>
    <w:rsid w:val="008E0E33"/>
    <w:rsid w:val="008E0E52"/>
    <w:rsid w:val="008E0EFF"/>
    <w:rsid w:val="008E10A0"/>
    <w:rsid w:val="008E10EC"/>
    <w:rsid w:val="008E11C2"/>
    <w:rsid w:val="008E11C6"/>
    <w:rsid w:val="008E1226"/>
    <w:rsid w:val="008E12D9"/>
    <w:rsid w:val="008E12E7"/>
    <w:rsid w:val="008E12F7"/>
    <w:rsid w:val="008E1344"/>
    <w:rsid w:val="008E142D"/>
    <w:rsid w:val="008E1452"/>
    <w:rsid w:val="008E1496"/>
    <w:rsid w:val="008E1520"/>
    <w:rsid w:val="008E1539"/>
    <w:rsid w:val="008E15DB"/>
    <w:rsid w:val="008E1636"/>
    <w:rsid w:val="008E1686"/>
    <w:rsid w:val="008E16A3"/>
    <w:rsid w:val="008E16C2"/>
    <w:rsid w:val="008E16DC"/>
    <w:rsid w:val="008E16DD"/>
    <w:rsid w:val="008E170A"/>
    <w:rsid w:val="008E1746"/>
    <w:rsid w:val="008E183D"/>
    <w:rsid w:val="008E190C"/>
    <w:rsid w:val="008E1919"/>
    <w:rsid w:val="008E1992"/>
    <w:rsid w:val="008E1AEB"/>
    <w:rsid w:val="008E1BB1"/>
    <w:rsid w:val="008E1DBC"/>
    <w:rsid w:val="008E1E10"/>
    <w:rsid w:val="008E20C8"/>
    <w:rsid w:val="008E21A1"/>
    <w:rsid w:val="008E21CE"/>
    <w:rsid w:val="008E2273"/>
    <w:rsid w:val="008E23AA"/>
    <w:rsid w:val="008E23D6"/>
    <w:rsid w:val="008E240A"/>
    <w:rsid w:val="008E2536"/>
    <w:rsid w:val="008E2539"/>
    <w:rsid w:val="008E25BE"/>
    <w:rsid w:val="008E25FE"/>
    <w:rsid w:val="008E2634"/>
    <w:rsid w:val="008E26CF"/>
    <w:rsid w:val="008E280C"/>
    <w:rsid w:val="008E28BF"/>
    <w:rsid w:val="008E28DD"/>
    <w:rsid w:val="008E294A"/>
    <w:rsid w:val="008E295A"/>
    <w:rsid w:val="008E299B"/>
    <w:rsid w:val="008E29EE"/>
    <w:rsid w:val="008E2A43"/>
    <w:rsid w:val="008E2AAD"/>
    <w:rsid w:val="008E2AC3"/>
    <w:rsid w:val="008E2CCC"/>
    <w:rsid w:val="008E2D05"/>
    <w:rsid w:val="008E2E39"/>
    <w:rsid w:val="008E2F26"/>
    <w:rsid w:val="008E2F2E"/>
    <w:rsid w:val="008E2F75"/>
    <w:rsid w:val="008E2FAE"/>
    <w:rsid w:val="008E2FE0"/>
    <w:rsid w:val="008E30A2"/>
    <w:rsid w:val="008E3256"/>
    <w:rsid w:val="008E3271"/>
    <w:rsid w:val="008E32F3"/>
    <w:rsid w:val="008E332A"/>
    <w:rsid w:val="008E353D"/>
    <w:rsid w:val="008E3583"/>
    <w:rsid w:val="008E3651"/>
    <w:rsid w:val="008E3654"/>
    <w:rsid w:val="008E37C3"/>
    <w:rsid w:val="008E37E5"/>
    <w:rsid w:val="008E386C"/>
    <w:rsid w:val="008E388F"/>
    <w:rsid w:val="008E38F6"/>
    <w:rsid w:val="008E39E2"/>
    <w:rsid w:val="008E3A36"/>
    <w:rsid w:val="008E3AB1"/>
    <w:rsid w:val="008E3AE8"/>
    <w:rsid w:val="008E3B84"/>
    <w:rsid w:val="008E3BA5"/>
    <w:rsid w:val="008E3C0A"/>
    <w:rsid w:val="008E3C1E"/>
    <w:rsid w:val="008E3CA2"/>
    <w:rsid w:val="008E3CFF"/>
    <w:rsid w:val="008E3D9B"/>
    <w:rsid w:val="008E3E32"/>
    <w:rsid w:val="008E3EC9"/>
    <w:rsid w:val="008E3F69"/>
    <w:rsid w:val="008E407C"/>
    <w:rsid w:val="008E40EE"/>
    <w:rsid w:val="008E414F"/>
    <w:rsid w:val="008E41BC"/>
    <w:rsid w:val="008E42F9"/>
    <w:rsid w:val="008E43C9"/>
    <w:rsid w:val="008E4422"/>
    <w:rsid w:val="008E447D"/>
    <w:rsid w:val="008E457E"/>
    <w:rsid w:val="008E4709"/>
    <w:rsid w:val="008E4719"/>
    <w:rsid w:val="008E477A"/>
    <w:rsid w:val="008E48DF"/>
    <w:rsid w:val="008E4924"/>
    <w:rsid w:val="008E498B"/>
    <w:rsid w:val="008E49B5"/>
    <w:rsid w:val="008E4ADB"/>
    <w:rsid w:val="008E4BA6"/>
    <w:rsid w:val="008E4C27"/>
    <w:rsid w:val="008E4C4C"/>
    <w:rsid w:val="008E4C80"/>
    <w:rsid w:val="008E4D3A"/>
    <w:rsid w:val="008E4DC6"/>
    <w:rsid w:val="008E4DDE"/>
    <w:rsid w:val="008E4E9E"/>
    <w:rsid w:val="008E4EF6"/>
    <w:rsid w:val="008E4F54"/>
    <w:rsid w:val="008E4FB7"/>
    <w:rsid w:val="008E5129"/>
    <w:rsid w:val="008E5240"/>
    <w:rsid w:val="008E55D2"/>
    <w:rsid w:val="008E5659"/>
    <w:rsid w:val="008E5675"/>
    <w:rsid w:val="008E5729"/>
    <w:rsid w:val="008E5756"/>
    <w:rsid w:val="008E586C"/>
    <w:rsid w:val="008E5881"/>
    <w:rsid w:val="008E5904"/>
    <w:rsid w:val="008E5920"/>
    <w:rsid w:val="008E5A9C"/>
    <w:rsid w:val="008E5B56"/>
    <w:rsid w:val="008E5B92"/>
    <w:rsid w:val="008E5D0C"/>
    <w:rsid w:val="008E5DA5"/>
    <w:rsid w:val="008E5DD8"/>
    <w:rsid w:val="008E5F12"/>
    <w:rsid w:val="008E5F5A"/>
    <w:rsid w:val="008E61D8"/>
    <w:rsid w:val="008E6287"/>
    <w:rsid w:val="008E62A8"/>
    <w:rsid w:val="008E6319"/>
    <w:rsid w:val="008E63B3"/>
    <w:rsid w:val="008E6650"/>
    <w:rsid w:val="008E6682"/>
    <w:rsid w:val="008E66F8"/>
    <w:rsid w:val="008E6781"/>
    <w:rsid w:val="008E67D7"/>
    <w:rsid w:val="008E6833"/>
    <w:rsid w:val="008E68BF"/>
    <w:rsid w:val="008E68E7"/>
    <w:rsid w:val="008E690E"/>
    <w:rsid w:val="008E6AC7"/>
    <w:rsid w:val="008E6DF8"/>
    <w:rsid w:val="008E6E9B"/>
    <w:rsid w:val="008E6EB1"/>
    <w:rsid w:val="008E6F93"/>
    <w:rsid w:val="008E6FCE"/>
    <w:rsid w:val="008E6FDA"/>
    <w:rsid w:val="008E6FFA"/>
    <w:rsid w:val="008E7039"/>
    <w:rsid w:val="008E7050"/>
    <w:rsid w:val="008E71E1"/>
    <w:rsid w:val="008E7207"/>
    <w:rsid w:val="008E726C"/>
    <w:rsid w:val="008E7349"/>
    <w:rsid w:val="008E744D"/>
    <w:rsid w:val="008E74D6"/>
    <w:rsid w:val="008E7553"/>
    <w:rsid w:val="008E75A7"/>
    <w:rsid w:val="008E75D5"/>
    <w:rsid w:val="008E75E7"/>
    <w:rsid w:val="008E766D"/>
    <w:rsid w:val="008E7852"/>
    <w:rsid w:val="008E7947"/>
    <w:rsid w:val="008E7A8D"/>
    <w:rsid w:val="008E7BB1"/>
    <w:rsid w:val="008E7C87"/>
    <w:rsid w:val="008E7D1D"/>
    <w:rsid w:val="008E7D34"/>
    <w:rsid w:val="008E7DA5"/>
    <w:rsid w:val="008E7DA9"/>
    <w:rsid w:val="008E7E0F"/>
    <w:rsid w:val="008E7F79"/>
    <w:rsid w:val="008E7FB3"/>
    <w:rsid w:val="008E7FF3"/>
    <w:rsid w:val="008F0062"/>
    <w:rsid w:val="008F007F"/>
    <w:rsid w:val="008F01F6"/>
    <w:rsid w:val="008F027E"/>
    <w:rsid w:val="008F02A3"/>
    <w:rsid w:val="008F02D8"/>
    <w:rsid w:val="008F03B5"/>
    <w:rsid w:val="008F03B9"/>
    <w:rsid w:val="008F03DC"/>
    <w:rsid w:val="008F047D"/>
    <w:rsid w:val="008F065C"/>
    <w:rsid w:val="008F074B"/>
    <w:rsid w:val="008F0770"/>
    <w:rsid w:val="008F0812"/>
    <w:rsid w:val="008F0850"/>
    <w:rsid w:val="008F09BD"/>
    <w:rsid w:val="008F09C0"/>
    <w:rsid w:val="008F0AC9"/>
    <w:rsid w:val="008F0B4B"/>
    <w:rsid w:val="008F0B56"/>
    <w:rsid w:val="008F0C6F"/>
    <w:rsid w:val="008F0CF4"/>
    <w:rsid w:val="008F0D6E"/>
    <w:rsid w:val="008F0DC2"/>
    <w:rsid w:val="008F0EDD"/>
    <w:rsid w:val="008F0FFF"/>
    <w:rsid w:val="008F1181"/>
    <w:rsid w:val="008F11DA"/>
    <w:rsid w:val="008F11E0"/>
    <w:rsid w:val="008F122E"/>
    <w:rsid w:val="008F1338"/>
    <w:rsid w:val="008F13DE"/>
    <w:rsid w:val="008F140D"/>
    <w:rsid w:val="008F14F6"/>
    <w:rsid w:val="008F1556"/>
    <w:rsid w:val="008F157E"/>
    <w:rsid w:val="008F15AE"/>
    <w:rsid w:val="008F174B"/>
    <w:rsid w:val="008F17C4"/>
    <w:rsid w:val="008F1837"/>
    <w:rsid w:val="008F1896"/>
    <w:rsid w:val="008F19A9"/>
    <w:rsid w:val="008F1A58"/>
    <w:rsid w:val="008F1B47"/>
    <w:rsid w:val="008F1BED"/>
    <w:rsid w:val="008F1C05"/>
    <w:rsid w:val="008F1CBD"/>
    <w:rsid w:val="008F2045"/>
    <w:rsid w:val="008F2149"/>
    <w:rsid w:val="008F21C0"/>
    <w:rsid w:val="008F21E5"/>
    <w:rsid w:val="008F2216"/>
    <w:rsid w:val="008F23A3"/>
    <w:rsid w:val="008F240E"/>
    <w:rsid w:val="008F2465"/>
    <w:rsid w:val="008F2499"/>
    <w:rsid w:val="008F24E4"/>
    <w:rsid w:val="008F251D"/>
    <w:rsid w:val="008F25A7"/>
    <w:rsid w:val="008F266A"/>
    <w:rsid w:val="008F267B"/>
    <w:rsid w:val="008F278C"/>
    <w:rsid w:val="008F2943"/>
    <w:rsid w:val="008F2A00"/>
    <w:rsid w:val="008F2B69"/>
    <w:rsid w:val="008F2C7E"/>
    <w:rsid w:val="008F2E28"/>
    <w:rsid w:val="008F2EC5"/>
    <w:rsid w:val="008F2F47"/>
    <w:rsid w:val="008F3044"/>
    <w:rsid w:val="008F316B"/>
    <w:rsid w:val="008F31D5"/>
    <w:rsid w:val="008F3284"/>
    <w:rsid w:val="008F3362"/>
    <w:rsid w:val="008F3475"/>
    <w:rsid w:val="008F3533"/>
    <w:rsid w:val="008F353B"/>
    <w:rsid w:val="008F35B2"/>
    <w:rsid w:val="008F36C0"/>
    <w:rsid w:val="008F36CB"/>
    <w:rsid w:val="008F375E"/>
    <w:rsid w:val="008F3877"/>
    <w:rsid w:val="008F3897"/>
    <w:rsid w:val="008F3908"/>
    <w:rsid w:val="008F3A4F"/>
    <w:rsid w:val="008F3AC6"/>
    <w:rsid w:val="008F3DE4"/>
    <w:rsid w:val="008F3E06"/>
    <w:rsid w:val="008F3E62"/>
    <w:rsid w:val="008F3E96"/>
    <w:rsid w:val="008F3F71"/>
    <w:rsid w:val="008F3FF1"/>
    <w:rsid w:val="008F4083"/>
    <w:rsid w:val="008F41A5"/>
    <w:rsid w:val="008F4248"/>
    <w:rsid w:val="008F4441"/>
    <w:rsid w:val="008F446B"/>
    <w:rsid w:val="008F45BE"/>
    <w:rsid w:val="008F45D9"/>
    <w:rsid w:val="008F4676"/>
    <w:rsid w:val="008F46AA"/>
    <w:rsid w:val="008F4721"/>
    <w:rsid w:val="008F47E7"/>
    <w:rsid w:val="008F4894"/>
    <w:rsid w:val="008F48C0"/>
    <w:rsid w:val="008F4918"/>
    <w:rsid w:val="008F4AAB"/>
    <w:rsid w:val="008F4AF5"/>
    <w:rsid w:val="008F4B0F"/>
    <w:rsid w:val="008F4B13"/>
    <w:rsid w:val="008F4CD9"/>
    <w:rsid w:val="008F4D5C"/>
    <w:rsid w:val="008F4D93"/>
    <w:rsid w:val="008F4FC8"/>
    <w:rsid w:val="008F5021"/>
    <w:rsid w:val="008F5114"/>
    <w:rsid w:val="008F520E"/>
    <w:rsid w:val="008F5253"/>
    <w:rsid w:val="008F52BE"/>
    <w:rsid w:val="008F5500"/>
    <w:rsid w:val="008F5586"/>
    <w:rsid w:val="008F55CF"/>
    <w:rsid w:val="008F55DF"/>
    <w:rsid w:val="008F55FD"/>
    <w:rsid w:val="008F561C"/>
    <w:rsid w:val="008F56D8"/>
    <w:rsid w:val="008F56D9"/>
    <w:rsid w:val="008F5901"/>
    <w:rsid w:val="008F5955"/>
    <w:rsid w:val="008F5A9C"/>
    <w:rsid w:val="008F5ADB"/>
    <w:rsid w:val="008F5AF1"/>
    <w:rsid w:val="008F5CCA"/>
    <w:rsid w:val="008F5D34"/>
    <w:rsid w:val="008F5D50"/>
    <w:rsid w:val="008F60DB"/>
    <w:rsid w:val="008F61F0"/>
    <w:rsid w:val="008F6253"/>
    <w:rsid w:val="008F62F2"/>
    <w:rsid w:val="008F6377"/>
    <w:rsid w:val="008F63B8"/>
    <w:rsid w:val="008F645A"/>
    <w:rsid w:val="008F648D"/>
    <w:rsid w:val="008F64C5"/>
    <w:rsid w:val="008F6831"/>
    <w:rsid w:val="008F689C"/>
    <w:rsid w:val="008F6949"/>
    <w:rsid w:val="008F69E7"/>
    <w:rsid w:val="008F6B16"/>
    <w:rsid w:val="008F6B91"/>
    <w:rsid w:val="008F6BED"/>
    <w:rsid w:val="008F6DF0"/>
    <w:rsid w:val="008F6DFC"/>
    <w:rsid w:val="008F6E15"/>
    <w:rsid w:val="008F6EB6"/>
    <w:rsid w:val="008F6EE8"/>
    <w:rsid w:val="008F6EEA"/>
    <w:rsid w:val="008F7001"/>
    <w:rsid w:val="008F7045"/>
    <w:rsid w:val="008F70B5"/>
    <w:rsid w:val="008F716D"/>
    <w:rsid w:val="008F71C1"/>
    <w:rsid w:val="008F7213"/>
    <w:rsid w:val="008F7272"/>
    <w:rsid w:val="008F7276"/>
    <w:rsid w:val="008F72D7"/>
    <w:rsid w:val="008F732A"/>
    <w:rsid w:val="008F7331"/>
    <w:rsid w:val="008F7333"/>
    <w:rsid w:val="008F7377"/>
    <w:rsid w:val="008F7409"/>
    <w:rsid w:val="008F744B"/>
    <w:rsid w:val="008F74BF"/>
    <w:rsid w:val="008F7583"/>
    <w:rsid w:val="008F7606"/>
    <w:rsid w:val="008F761C"/>
    <w:rsid w:val="008F7682"/>
    <w:rsid w:val="008F776F"/>
    <w:rsid w:val="008F780B"/>
    <w:rsid w:val="008F7862"/>
    <w:rsid w:val="008F796F"/>
    <w:rsid w:val="008F7990"/>
    <w:rsid w:val="008F79EE"/>
    <w:rsid w:val="008F7B45"/>
    <w:rsid w:val="008F7BB4"/>
    <w:rsid w:val="008F7D56"/>
    <w:rsid w:val="008F7D5C"/>
    <w:rsid w:val="008F7FB8"/>
    <w:rsid w:val="00900011"/>
    <w:rsid w:val="009000D6"/>
    <w:rsid w:val="00900188"/>
    <w:rsid w:val="009001A0"/>
    <w:rsid w:val="009001BC"/>
    <w:rsid w:val="0090023D"/>
    <w:rsid w:val="00900241"/>
    <w:rsid w:val="00900254"/>
    <w:rsid w:val="0090038F"/>
    <w:rsid w:val="009003E3"/>
    <w:rsid w:val="00900427"/>
    <w:rsid w:val="0090049D"/>
    <w:rsid w:val="00900500"/>
    <w:rsid w:val="009005FA"/>
    <w:rsid w:val="00900653"/>
    <w:rsid w:val="0090067F"/>
    <w:rsid w:val="00900688"/>
    <w:rsid w:val="009006DA"/>
    <w:rsid w:val="009007B4"/>
    <w:rsid w:val="009007F7"/>
    <w:rsid w:val="009008A4"/>
    <w:rsid w:val="00900949"/>
    <w:rsid w:val="009009B4"/>
    <w:rsid w:val="00900AF1"/>
    <w:rsid w:val="00900AF2"/>
    <w:rsid w:val="00900B2B"/>
    <w:rsid w:val="00900BBA"/>
    <w:rsid w:val="00900D28"/>
    <w:rsid w:val="00900D59"/>
    <w:rsid w:val="0090122D"/>
    <w:rsid w:val="00901265"/>
    <w:rsid w:val="0090126D"/>
    <w:rsid w:val="009012C1"/>
    <w:rsid w:val="009012F9"/>
    <w:rsid w:val="00901392"/>
    <w:rsid w:val="00901588"/>
    <w:rsid w:val="009015BE"/>
    <w:rsid w:val="00901621"/>
    <w:rsid w:val="0090165F"/>
    <w:rsid w:val="0090170B"/>
    <w:rsid w:val="00901748"/>
    <w:rsid w:val="009018D2"/>
    <w:rsid w:val="009018F0"/>
    <w:rsid w:val="0090193A"/>
    <w:rsid w:val="009019A9"/>
    <w:rsid w:val="00901B18"/>
    <w:rsid w:val="00901B27"/>
    <w:rsid w:val="00901B44"/>
    <w:rsid w:val="00901BB1"/>
    <w:rsid w:val="00901C19"/>
    <w:rsid w:val="00901C2D"/>
    <w:rsid w:val="00901CA6"/>
    <w:rsid w:val="00901D90"/>
    <w:rsid w:val="00901F0F"/>
    <w:rsid w:val="00901F8C"/>
    <w:rsid w:val="0090202C"/>
    <w:rsid w:val="0090205D"/>
    <w:rsid w:val="00902074"/>
    <w:rsid w:val="009020A5"/>
    <w:rsid w:val="009021D3"/>
    <w:rsid w:val="009022E7"/>
    <w:rsid w:val="0090243A"/>
    <w:rsid w:val="009024C9"/>
    <w:rsid w:val="009024D5"/>
    <w:rsid w:val="0090255C"/>
    <w:rsid w:val="009025D2"/>
    <w:rsid w:val="0090266A"/>
    <w:rsid w:val="009026A0"/>
    <w:rsid w:val="009026D7"/>
    <w:rsid w:val="00902701"/>
    <w:rsid w:val="00902961"/>
    <w:rsid w:val="00902A44"/>
    <w:rsid w:val="00902A91"/>
    <w:rsid w:val="00902B18"/>
    <w:rsid w:val="00902BEA"/>
    <w:rsid w:val="00902C1F"/>
    <w:rsid w:val="00902C61"/>
    <w:rsid w:val="00902D39"/>
    <w:rsid w:val="00902D70"/>
    <w:rsid w:val="00902E88"/>
    <w:rsid w:val="00903213"/>
    <w:rsid w:val="00903218"/>
    <w:rsid w:val="00903394"/>
    <w:rsid w:val="00903419"/>
    <w:rsid w:val="0090342A"/>
    <w:rsid w:val="0090345A"/>
    <w:rsid w:val="009034CD"/>
    <w:rsid w:val="0090355B"/>
    <w:rsid w:val="009035CB"/>
    <w:rsid w:val="009035D0"/>
    <w:rsid w:val="0090365B"/>
    <w:rsid w:val="00903674"/>
    <w:rsid w:val="00903761"/>
    <w:rsid w:val="0090389D"/>
    <w:rsid w:val="00903910"/>
    <w:rsid w:val="00903952"/>
    <w:rsid w:val="0090398B"/>
    <w:rsid w:val="009039B8"/>
    <w:rsid w:val="00903A90"/>
    <w:rsid w:val="00903AB0"/>
    <w:rsid w:val="00903AF9"/>
    <w:rsid w:val="00903B2A"/>
    <w:rsid w:val="00903B5E"/>
    <w:rsid w:val="00903BB6"/>
    <w:rsid w:val="00903C6C"/>
    <w:rsid w:val="00903E3E"/>
    <w:rsid w:val="00903EEB"/>
    <w:rsid w:val="00904044"/>
    <w:rsid w:val="0090408F"/>
    <w:rsid w:val="009041AA"/>
    <w:rsid w:val="009043D2"/>
    <w:rsid w:val="00904463"/>
    <w:rsid w:val="00904464"/>
    <w:rsid w:val="009044B8"/>
    <w:rsid w:val="0090452C"/>
    <w:rsid w:val="00904566"/>
    <w:rsid w:val="0090457F"/>
    <w:rsid w:val="0090459E"/>
    <w:rsid w:val="00904875"/>
    <w:rsid w:val="0090497B"/>
    <w:rsid w:val="009049E3"/>
    <w:rsid w:val="00904AAB"/>
    <w:rsid w:val="00904AAE"/>
    <w:rsid w:val="00904ABE"/>
    <w:rsid w:val="00904C8D"/>
    <w:rsid w:val="00904D0A"/>
    <w:rsid w:val="00904D19"/>
    <w:rsid w:val="00904D75"/>
    <w:rsid w:val="00904DB0"/>
    <w:rsid w:val="00904DD1"/>
    <w:rsid w:val="00904E26"/>
    <w:rsid w:val="00904ED4"/>
    <w:rsid w:val="00904F07"/>
    <w:rsid w:val="00904F7A"/>
    <w:rsid w:val="009050DA"/>
    <w:rsid w:val="00905363"/>
    <w:rsid w:val="0090550E"/>
    <w:rsid w:val="009055D3"/>
    <w:rsid w:val="0090561C"/>
    <w:rsid w:val="0090564D"/>
    <w:rsid w:val="00905687"/>
    <w:rsid w:val="00905716"/>
    <w:rsid w:val="00905719"/>
    <w:rsid w:val="00905805"/>
    <w:rsid w:val="00905847"/>
    <w:rsid w:val="00905905"/>
    <w:rsid w:val="009059D4"/>
    <w:rsid w:val="00905A96"/>
    <w:rsid w:val="00905C0D"/>
    <w:rsid w:val="00905EA1"/>
    <w:rsid w:val="00905F10"/>
    <w:rsid w:val="0090601F"/>
    <w:rsid w:val="00906038"/>
    <w:rsid w:val="009061D5"/>
    <w:rsid w:val="00906224"/>
    <w:rsid w:val="00906325"/>
    <w:rsid w:val="00906330"/>
    <w:rsid w:val="009063F9"/>
    <w:rsid w:val="0090644D"/>
    <w:rsid w:val="00906607"/>
    <w:rsid w:val="00906616"/>
    <w:rsid w:val="00906706"/>
    <w:rsid w:val="009067C5"/>
    <w:rsid w:val="009067CD"/>
    <w:rsid w:val="009068D6"/>
    <w:rsid w:val="0090691A"/>
    <w:rsid w:val="0090692B"/>
    <w:rsid w:val="00906A1E"/>
    <w:rsid w:val="00906BBD"/>
    <w:rsid w:val="00906D46"/>
    <w:rsid w:val="00906F04"/>
    <w:rsid w:val="00906FFE"/>
    <w:rsid w:val="009070DC"/>
    <w:rsid w:val="00907160"/>
    <w:rsid w:val="009072ED"/>
    <w:rsid w:val="009074A2"/>
    <w:rsid w:val="00907517"/>
    <w:rsid w:val="00907601"/>
    <w:rsid w:val="00907624"/>
    <w:rsid w:val="0090784E"/>
    <w:rsid w:val="00907967"/>
    <w:rsid w:val="00907B3B"/>
    <w:rsid w:val="00907B79"/>
    <w:rsid w:val="00907BCB"/>
    <w:rsid w:val="00907E28"/>
    <w:rsid w:val="00907F29"/>
    <w:rsid w:val="00907F3C"/>
    <w:rsid w:val="00907FD3"/>
    <w:rsid w:val="00910084"/>
    <w:rsid w:val="00910103"/>
    <w:rsid w:val="009101D5"/>
    <w:rsid w:val="0091025E"/>
    <w:rsid w:val="009102D4"/>
    <w:rsid w:val="009104A5"/>
    <w:rsid w:val="0091060F"/>
    <w:rsid w:val="0091078F"/>
    <w:rsid w:val="009107B0"/>
    <w:rsid w:val="009107C2"/>
    <w:rsid w:val="0091081B"/>
    <w:rsid w:val="00910825"/>
    <w:rsid w:val="0091092A"/>
    <w:rsid w:val="00910932"/>
    <w:rsid w:val="0091095F"/>
    <w:rsid w:val="00910962"/>
    <w:rsid w:val="00910B73"/>
    <w:rsid w:val="00910D69"/>
    <w:rsid w:val="00910DBB"/>
    <w:rsid w:val="00910EEB"/>
    <w:rsid w:val="00910F24"/>
    <w:rsid w:val="00910F44"/>
    <w:rsid w:val="00910F99"/>
    <w:rsid w:val="00911100"/>
    <w:rsid w:val="009111E4"/>
    <w:rsid w:val="0091120C"/>
    <w:rsid w:val="0091122B"/>
    <w:rsid w:val="009112D8"/>
    <w:rsid w:val="009113D7"/>
    <w:rsid w:val="00911501"/>
    <w:rsid w:val="0091150B"/>
    <w:rsid w:val="00911575"/>
    <w:rsid w:val="00911723"/>
    <w:rsid w:val="00911765"/>
    <w:rsid w:val="009117BF"/>
    <w:rsid w:val="009117FB"/>
    <w:rsid w:val="00911805"/>
    <w:rsid w:val="009118A2"/>
    <w:rsid w:val="009118E4"/>
    <w:rsid w:val="00911A1B"/>
    <w:rsid w:val="00911ADF"/>
    <w:rsid w:val="00911BAA"/>
    <w:rsid w:val="00911DE2"/>
    <w:rsid w:val="00911E32"/>
    <w:rsid w:val="00911E45"/>
    <w:rsid w:val="00911E85"/>
    <w:rsid w:val="00911E94"/>
    <w:rsid w:val="00911EBB"/>
    <w:rsid w:val="00911EF4"/>
    <w:rsid w:val="00912049"/>
    <w:rsid w:val="00912217"/>
    <w:rsid w:val="00912344"/>
    <w:rsid w:val="00912387"/>
    <w:rsid w:val="009124D6"/>
    <w:rsid w:val="009125C4"/>
    <w:rsid w:val="009126BF"/>
    <w:rsid w:val="009127D7"/>
    <w:rsid w:val="0091281D"/>
    <w:rsid w:val="00912838"/>
    <w:rsid w:val="00912845"/>
    <w:rsid w:val="00912960"/>
    <w:rsid w:val="00912B65"/>
    <w:rsid w:val="00912C9C"/>
    <w:rsid w:val="00912CA8"/>
    <w:rsid w:val="00912D61"/>
    <w:rsid w:val="00912EAF"/>
    <w:rsid w:val="00912F32"/>
    <w:rsid w:val="00912FE2"/>
    <w:rsid w:val="00912FE6"/>
    <w:rsid w:val="00913042"/>
    <w:rsid w:val="00913075"/>
    <w:rsid w:val="0091308D"/>
    <w:rsid w:val="009130C2"/>
    <w:rsid w:val="009130F1"/>
    <w:rsid w:val="009131DB"/>
    <w:rsid w:val="009131FF"/>
    <w:rsid w:val="0091326E"/>
    <w:rsid w:val="00913483"/>
    <w:rsid w:val="00913495"/>
    <w:rsid w:val="009134EE"/>
    <w:rsid w:val="0091356D"/>
    <w:rsid w:val="009135BA"/>
    <w:rsid w:val="0091367C"/>
    <w:rsid w:val="0091369E"/>
    <w:rsid w:val="009137A6"/>
    <w:rsid w:val="0091389E"/>
    <w:rsid w:val="009138C2"/>
    <w:rsid w:val="0091392C"/>
    <w:rsid w:val="00913A02"/>
    <w:rsid w:val="00913A09"/>
    <w:rsid w:val="00913A18"/>
    <w:rsid w:val="00913A61"/>
    <w:rsid w:val="00913A6F"/>
    <w:rsid w:val="00913ABF"/>
    <w:rsid w:val="00913C32"/>
    <w:rsid w:val="00913C74"/>
    <w:rsid w:val="00913D62"/>
    <w:rsid w:val="00913E3F"/>
    <w:rsid w:val="00913EBE"/>
    <w:rsid w:val="009141EB"/>
    <w:rsid w:val="0091429E"/>
    <w:rsid w:val="0091432C"/>
    <w:rsid w:val="00914415"/>
    <w:rsid w:val="009144AB"/>
    <w:rsid w:val="00914589"/>
    <w:rsid w:val="009145E1"/>
    <w:rsid w:val="0091460E"/>
    <w:rsid w:val="00914709"/>
    <w:rsid w:val="0091470D"/>
    <w:rsid w:val="0091471B"/>
    <w:rsid w:val="0091478A"/>
    <w:rsid w:val="009147D8"/>
    <w:rsid w:val="009148E6"/>
    <w:rsid w:val="00914A84"/>
    <w:rsid w:val="00914AAB"/>
    <w:rsid w:val="00914AFE"/>
    <w:rsid w:val="00914B21"/>
    <w:rsid w:val="00914B46"/>
    <w:rsid w:val="00914BFF"/>
    <w:rsid w:val="00914D43"/>
    <w:rsid w:val="00914DA4"/>
    <w:rsid w:val="00914E28"/>
    <w:rsid w:val="00914E56"/>
    <w:rsid w:val="00914E88"/>
    <w:rsid w:val="00914E8F"/>
    <w:rsid w:val="00914FCE"/>
    <w:rsid w:val="00915175"/>
    <w:rsid w:val="0091519B"/>
    <w:rsid w:val="00915264"/>
    <w:rsid w:val="00915448"/>
    <w:rsid w:val="009154B3"/>
    <w:rsid w:val="009155A8"/>
    <w:rsid w:val="009155EF"/>
    <w:rsid w:val="0091561C"/>
    <w:rsid w:val="00915871"/>
    <w:rsid w:val="009158DD"/>
    <w:rsid w:val="0091592C"/>
    <w:rsid w:val="009159B4"/>
    <w:rsid w:val="00915A59"/>
    <w:rsid w:val="00915ACC"/>
    <w:rsid w:val="00915B89"/>
    <w:rsid w:val="00915BF8"/>
    <w:rsid w:val="00915C2F"/>
    <w:rsid w:val="00915C77"/>
    <w:rsid w:val="00915D94"/>
    <w:rsid w:val="00915EB5"/>
    <w:rsid w:val="009160FB"/>
    <w:rsid w:val="00916172"/>
    <w:rsid w:val="009162AE"/>
    <w:rsid w:val="00916363"/>
    <w:rsid w:val="009163CD"/>
    <w:rsid w:val="009164CD"/>
    <w:rsid w:val="009164F7"/>
    <w:rsid w:val="00916564"/>
    <w:rsid w:val="009165DC"/>
    <w:rsid w:val="009166EF"/>
    <w:rsid w:val="0091672D"/>
    <w:rsid w:val="00916849"/>
    <w:rsid w:val="0091685C"/>
    <w:rsid w:val="0091685D"/>
    <w:rsid w:val="00916941"/>
    <w:rsid w:val="00916959"/>
    <w:rsid w:val="00916A55"/>
    <w:rsid w:val="00916A75"/>
    <w:rsid w:val="00916AE5"/>
    <w:rsid w:val="00916B00"/>
    <w:rsid w:val="00916E1E"/>
    <w:rsid w:val="00916F91"/>
    <w:rsid w:val="00916FFA"/>
    <w:rsid w:val="00917054"/>
    <w:rsid w:val="00917077"/>
    <w:rsid w:val="009170A9"/>
    <w:rsid w:val="009170C3"/>
    <w:rsid w:val="009171A2"/>
    <w:rsid w:val="009173B3"/>
    <w:rsid w:val="00917586"/>
    <w:rsid w:val="00917635"/>
    <w:rsid w:val="00917788"/>
    <w:rsid w:val="0091779D"/>
    <w:rsid w:val="009177F8"/>
    <w:rsid w:val="00917845"/>
    <w:rsid w:val="00917873"/>
    <w:rsid w:val="0091787F"/>
    <w:rsid w:val="009178F9"/>
    <w:rsid w:val="00917965"/>
    <w:rsid w:val="009179EE"/>
    <w:rsid w:val="00917A06"/>
    <w:rsid w:val="00917A18"/>
    <w:rsid w:val="00917A70"/>
    <w:rsid w:val="00917C9B"/>
    <w:rsid w:val="00917D4B"/>
    <w:rsid w:val="00917DA3"/>
    <w:rsid w:val="00917E0F"/>
    <w:rsid w:val="00917E28"/>
    <w:rsid w:val="00917E72"/>
    <w:rsid w:val="00917E7B"/>
    <w:rsid w:val="00920085"/>
    <w:rsid w:val="009200C0"/>
    <w:rsid w:val="009200FB"/>
    <w:rsid w:val="009200FF"/>
    <w:rsid w:val="00920102"/>
    <w:rsid w:val="00920167"/>
    <w:rsid w:val="00920206"/>
    <w:rsid w:val="009202AF"/>
    <w:rsid w:val="00920312"/>
    <w:rsid w:val="00920333"/>
    <w:rsid w:val="00920496"/>
    <w:rsid w:val="009204FB"/>
    <w:rsid w:val="00920686"/>
    <w:rsid w:val="009206C0"/>
    <w:rsid w:val="00920761"/>
    <w:rsid w:val="00920812"/>
    <w:rsid w:val="0092097C"/>
    <w:rsid w:val="009209C5"/>
    <w:rsid w:val="009209D9"/>
    <w:rsid w:val="00920AB4"/>
    <w:rsid w:val="00920BCA"/>
    <w:rsid w:val="00920D2B"/>
    <w:rsid w:val="00920EAC"/>
    <w:rsid w:val="00920FAF"/>
    <w:rsid w:val="00920FCC"/>
    <w:rsid w:val="00921005"/>
    <w:rsid w:val="0092102B"/>
    <w:rsid w:val="00921092"/>
    <w:rsid w:val="009210C3"/>
    <w:rsid w:val="00921155"/>
    <w:rsid w:val="00921159"/>
    <w:rsid w:val="009211FB"/>
    <w:rsid w:val="0092129B"/>
    <w:rsid w:val="0092136A"/>
    <w:rsid w:val="00921372"/>
    <w:rsid w:val="009213D2"/>
    <w:rsid w:val="009215A5"/>
    <w:rsid w:val="009215D4"/>
    <w:rsid w:val="0092162D"/>
    <w:rsid w:val="0092163C"/>
    <w:rsid w:val="0092176E"/>
    <w:rsid w:val="009217F6"/>
    <w:rsid w:val="009217F8"/>
    <w:rsid w:val="00921877"/>
    <w:rsid w:val="0092190D"/>
    <w:rsid w:val="00921945"/>
    <w:rsid w:val="00921AC8"/>
    <w:rsid w:val="00921C63"/>
    <w:rsid w:val="00921C9B"/>
    <w:rsid w:val="00921DEB"/>
    <w:rsid w:val="0092204B"/>
    <w:rsid w:val="00922099"/>
    <w:rsid w:val="009220F8"/>
    <w:rsid w:val="009222C8"/>
    <w:rsid w:val="0092235E"/>
    <w:rsid w:val="009223D4"/>
    <w:rsid w:val="00922433"/>
    <w:rsid w:val="00922437"/>
    <w:rsid w:val="00922441"/>
    <w:rsid w:val="00922510"/>
    <w:rsid w:val="00922518"/>
    <w:rsid w:val="009225BD"/>
    <w:rsid w:val="00922679"/>
    <w:rsid w:val="0092269E"/>
    <w:rsid w:val="009226FF"/>
    <w:rsid w:val="0092272B"/>
    <w:rsid w:val="00922735"/>
    <w:rsid w:val="0092279A"/>
    <w:rsid w:val="009227F6"/>
    <w:rsid w:val="00922817"/>
    <w:rsid w:val="0092288B"/>
    <w:rsid w:val="009229C6"/>
    <w:rsid w:val="009229C8"/>
    <w:rsid w:val="00922A34"/>
    <w:rsid w:val="00922A73"/>
    <w:rsid w:val="00922A7C"/>
    <w:rsid w:val="00922AA8"/>
    <w:rsid w:val="00922ACE"/>
    <w:rsid w:val="00922B29"/>
    <w:rsid w:val="00922B83"/>
    <w:rsid w:val="00922D0A"/>
    <w:rsid w:val="00922D47"/>
    <w:rsid w:val="00922D4E"/>
    <w:rsid w:val="009230DE"/>
    <w:rsid w:val="00923162"/>
    <w:rsid w:val="00923185"/>
    <w:rsid w:val="00923224"/>
    <w:rsid w:val="00923271"/>
    <w:rsid w:val="0092334B"/>
    <w:rsid w:val="0092336C"/>
    <w:rsid w:val="009234A7"/>
    <w:rsid w:val="0092356B"/>
    <w:rsid w:val="00923622"/>
    <w:rsid w:val="009236C0"/>
    <w:rsid w:val="009237D4"/>
    <w:rsid w:val="00923834"/>
    <w:rsid w:val="00923900"/>
    <w:rsid w:val="009239A9"/>
    <w:rsid w:val="009239F0"/>
    <w:rsid w:val="00923A32"/>
    <w:rsid w:val="00923ACC"/>
    <w:rsid w:val="00923B0A"/>
    <w:rsid w:val="00923C1C"/>
    <w:rsid w:val="00923C93"/>
    <w:rsid w:val="00923D12"/>
    <w:rsid w:val="00923E8F"/>
    <w:rsid w:val="00923EC2"/>
    <w:rsid w:val="00924008"/>
    <w:rsid w:val="00924033"/>
    <w:rsid w:val="00924190"/>
    <w:rsid w:val="00924332"/>
    <w:rsid w:val="009243E9"/>
    <w:rsid w:val="0092441C"/>
    <w:rsid w:val="0092457D"/>
    <w:rsid w:val="00924598"/>
    <w:rsid w:val="009245A2"/>
    <w:rsid w:val="009245AA"/>
    <w:rsid w:val="00924631"/>
    <w:rsid w:val="0092471D"/>
    <w:rsid w:val="0092473A"/>
    <w:rsid w:val="0092474B"/>
    <w:rsid w:val="009247F3"/>
    <w:rsid w:val="00924825"/>
    <w:rsid w:val="0092486E"/>
    <w:rsid w:val="00924A49"/>
    <w:rsid w:val="00924B7E"/>
    <w:rsid w:val="00924DB8"/>
    <w:rsid w:val="00924EDF"/>
    <w:rsid w:val="00925094"/>
    <w:rsid w:val="009250E4"/>
    <w:rsid w:val="00925138"/>
    <w:rsid w:val="00925263"/>
    <w:rsid w:val="00925286"/>
    <w:rsid w:val="009253AC"/>
    <w:rsid w:val="009254ED"/>
    <w:rsid w:val="009255C8"/>
    <w:rsid w:val="0092564B"/>
    <w:rsid w:val="0092569F"/>
    <w:rsid w:val="009256C3"/>
    <w:rsid w:val="00925711"/>
    <w:rsid w:val="0092573D"/>
    <w:rsid w:val="00925754"/>
    <w:rsid w:val="009257C0"/>
    <w:rsid w:val="0092586E"/>
    <w:rsid w:val="0092591E"/>
    <w:rsid w:val="00925A09"/>
    <w:rsid w:val="00925B19"/>
    <w:rsid w:val="00925B37"/>
    <w:rsid w:val="00925B4B"/>
    <w:rsid w:val="00925B83"/>
    <w:rsid w:val="00925BB1"/>
    <w:rsid w:val="00925C2A"/>
    <w:rsid w:val="00925C2F"/>
    <w:rsid w:val="00925C7B"/>
    <w:rsid w:val="00925C80"/>
    <w:rsid w:val="00925CAE"/>
    <w:rsid w:val="00925CBA"/>
    <w:rsid w:val="00925D25"/>
    <w:rsid w:val="00925DD6"/>
    <w:rsid w:val="00925E2F"/>
    <w:rsid w:val="00925EC1"/>
    <w:rsid w:val="00925F3C"/>
    <w:rsid w:val="00925F4E"/>
    <w:rsid w:val="00925FF7"/>
    <w:rsid w:val="009261B8"/>
    <w:rsid w:val="009262CA"/>
    <w:rsid w:val="00926302"/>
    <w:rsid w:val="0092643E"/>
    <w:rsid w:val="009264C8"/>
    <w:rsid w:val="009264D0"/>
    <w:rsid w:val="009264E1"/>
    <w:rsid w:val="00926577"/>
    <w:rsid w:val="009265E4"/>
    <w:rsid w:val="0092663C"/>
    <w:rsid w:val="0092679A"/>
    <w:rsid w:val="009267CC"/>
    <w:rsid w:val="009268D6"/>
    <w:rsid w:val="0092697E"/>
    <w:rsid w:val="009269F0"/>
    <w:rsid w:val="00926AD4"/>
    <w:rsid w:val="00926AF2"/>
    <w:rsid w:val="00926B3A"/>
    <w:rsid w:val="00926BEC"/>
    <w:rsid w:val="00926C1C"/>
    <w:rsid w:val="00926C7E"/>
    <w:rsid w:val="00926CEC"/>
    <w:rsid w:val="00926D82"/>
    <w:rsid w:val="00926FCA"/>
    <w:rsid w:val="00926FEA"/>
    <w:rsid w:val="009270AD"/>
    <w:rsid w:val="0092712E"/>
    <w:rsid w:val="009271C3"/>
    <w:rsid w:val="0092721C"/>
    <w:rsid w:val="0092747A"/>
    <w:rsid w:val="00927493"/>
    <w:rsid w:val="009275BD"/>
    <w:rsid w:val="009275E6"/>
    <w:rsid w:val="009276CA"/>
    <w:rsid w:val="009277EB"/>
    <w:rsid w:val="009278ED"/>
    <w:rsid w:val="00927965"/>
    <w:rsid w:val="009279B9"/>
    <w:rsid w:val="009279BC"/>
    <w:rsid w:val="009279FD"/>
    <w:rsid w:val="00927AB8"/>
    <w:rsid w:val="00927B5B"/>
    <w:rsid w:val="00927C16"/>
    <w:rsid w:val="00927D46"/>
    <w:rsid w:val="00927E48"/>
    <w:rsid w:val="00927E8D"/>
    <w:rsid w:val="00927EDF"/>
    <w:rsid w:val="009301C2"/>
    <w:rsid w:val="009301D1"/>
    <w:rsid w:val="0093021E"/>
    <w:rsid w:val="0093032E"/>
    <w:rsid w:val="0093035C"/>
    <w:rsid w:val="0093035D"/>
    <w:rsid w:val="009303AB"/>
    <w:rsid w:val="009304F7"/>
    <w:rsid w:val="00930552"/>
    <w:rsid w:val="00930622"/>
    <w:rsid w:val="00930725"/>
    <w:rsid w:val="0093088A"/>
    <w:rsid w:val="009309BF"/>
    <w:rsid w:val="00930AA3"/>
    <w:rsid w:val="00930AAF"/>
    <w:rsid w:val="00930C2D"/>
    <w:rsid w:val="00930E79"/>
    <w:rsid w:val="00930EC5"/>
    <w:rsid w:val="00930FC7"/>
    <w:rsid w:val="009310B2"/>
    <w:rsid w:val="0093112C"/>
    <w:rsid w:val="00931195"/>
    <w:rsid w:val="009311F6"/>
    <w:rsid w:val="0093129A"/>
    <w:rsid w:val="00931395"/>
    <w:rsid w:val="0093146F"/>
    <w:rsid w:val="00931476"/>
    <w:rsid w:val="00931493"/>
    <w:rsid w:val="00931561"/>
    <w:rsid w:val="00931728"/>
    <w:rsid w:val="009319CD"/>
    <w:rsid w:val="00931A71"/>
    <w:rsid w:val="00931A82"/>
    <w:rsid w:val="00931AB0"/>
    <w:rsid w:val="00931C9C"/>
    <w:rsid w:val="00931E12"/>
    <w:rsid w:val="00931EB7"/>
    <w:rsid w:val="00931EFE"/>
    <w:rsid w:val="00931F75"/>
    <w:rsid w:val="00931F96"/>
    <w:rsid w:val="00931FA6"/>
    <w:rsid w:val="00931FEB"/>
    <w:rsid w:val="00932106"/>
    <w:rsid w:val="00932145"/>
    <w:rsid w:val="0093214D"/>
    <w:rsid w:val="00932170"/>
    <w:rsid w:val="009321E3"/>
    <w:rsid w:val="00932207"/>
    <w:rsid w:val="00932228"/>
    <w:rsid w:val="009323F5"/>
    <w:rsid w:val="0093242E"/>
    <w:rsid w:val="009324D7"/>
    <w:rsid w:val="009325FA"/>
    <w:rsid w:val="0093265F"/>
    <w:rsid w:val="009326AE"/>
    <w:rsid w:val="00932732"/>
    <w:rsid w:val="00932796"/>
    <w:rsid w:val="009327DB"/>
    <w:rsid w:val="009327EB"/>
    <w:rsid w:val="00932879"/>
    <w:rsid w:val="00932986"/>
    <w:rsid w:val="009329CA"/>
    <w:rsid w:val="00932A55"/>
    <w:rsid w:val="00932B1F"/>
    <w:rsid w:val="00932BE7"/>
    <w:rsid w:val="00932C01"/>
    <w:rsid w:val="00932D22"/>
    <w:rsid w:val="00932D74"/>
    <w:rsid w:val="00932DDB"/>
    <w:rsid w:val="00932DF8"/>
    <w:rsid w:val="00932E1B"/>
    <w:rsid w:val="00932EC9"/>
    <w:rsid w:val="00932EF0"/>
    <w:rsid w:val="00932F18"/>
    <w:rsid w:val="00933156"/>
    <w:rsid w:val="009331C1"/>
    <w:rsid w:val="00933212"/>
    <w:rsid w:val="00933253"/>
    <w:rsid w:val="009333FB"/>
    <w:rsid w:val="0093345F"/>
    <w:rsid w:val="00933536"/>
    <w:rsid w:val="0093357B"/>
    <w:rsid w:val="0093359E"/>
    <w:rsid w:val="009335BF"/>
    <w:rsid w:val="00933646"/>
    <w:rsid w:val="009336C2"/>
    <w:rsid w:val="00933726"/>
    <w:rsid w:val="00933814"/>
    <w:rsid w:val="009338C1"/>
    <w:rsid w:val="0093392A"/>
    <w:rsid w:val="009339DF"/>
    <w:rsid w:val="009339FA"/>
    <w:rsid w:val="00933A57"/>
    <w:rsid w:val="00933AEA"/>
    <w:rsid w:val="00933B02"/>
    <w:rsid w:val="00933BF3"/>
    <w:rsid w:val="00933E7A"/>
    <w:rsid w:val="00933EBE"/>
    <w:rsid w:val="00933FAE"/>
    <w:rsid w:val="00934072"/>
    <w:rsid w:val="009340C2"/>
    <w:rsid w:val="0093417D"/>
    <w:rsid w:val="009341D8"/>
    <w:rsid w:val="009341D9"/>
    <w:rsid w:val="0093421F"/>
    <w:rsid w:val="00934229"/>
    <w:rsid w:val="009344E5"/>
    <w:rsid w:val="00934521"/>
    <w:rsid w:val="0093458D"/>
    <w:rsid w:val="009345C8"/>
    <w:rsid w:val="009345D5"/>
    <w:rsid w:val="00934608"/>
    <w:rsid w:val="00934615"/>
    <w:rsid w:val="00934647"/>
    <w:rsid w:val="00934654"/>
    <w:rsid w:val="00934661"/>
    <w:rsid w:val="00934729"/>
    <w:rsid w:val="0093478A"/>
    <w:rsid w:val="00934813"/>
    <w:rsid w:val="0093483B"/>
    <w:rsid w:val="009348A8"/>
    <w:rsid w:val="009348DF"/>
    <w:rsid w:val="00934A0B"/>
    <w:rsid w:val="00934A2F"/>
    <w:rsid w:val="00934A7E"/>
    <w:rsid w:val="00934AC3"/>
    <w:rsid w:val="00935015"/>
    <w:rsid w:val="00935116"/>
    <w:rsid w:val="00935165"/>
    <w:rsid w:val="009351B5"/>
    <w:rsid w:val="00935235"/>
    <w:rsid w:val="00935507"/>
    <w:rsid w:val="0093568B"/>
    <w:rsid w:val="00935698"/>
    <w:rsid w:val="00935738"/>
    <w:rsid w:val="00935815"/>
    <w:rsid w:val="00935892"/>
    <w:rsid w:val="009358D5"/>
    <w:rsid w:val="009358F0"/>
    <w:rsid w:val="0093593A"/>
    <w:rsid w:val="00935A88"/>
    <w:rsid w:val="00935AA2"/>
    <w:rsid w:val="00935B3F"/>
    <w:rsid w:val="00935D8E"/>
    <w:rsid w:val="00935DB0"/>
    <w:rsid w:val="00935E58"/>
    <w:rsid w:val="00935F7C"/>
    <w:rsid w:val="00935FD8"/>
    <w:rsid w:val="00936025"/>
    <w:rsid w:val="0093605F"/>
    <w:rsid w:val="009360F3"/>
    <w:rsid w:val="009360F9"/>
    <w:rsid w:val="009361AC"/>
    <w:rsid w:val="009361B1"/>
    <w:rsid w:val="009362F8"/>
    <w:rsid w:val="00936326"/>
    <w:rsid w:val="00936339"/>
    <w:rsid w:val="009363C4"/>
    <w:rsid w:val="009364E3"/>
    <w:rsid w:val="009364E8"/>
    <w:rsid w:val="00936563"/>
    <w:rsid w:val="009365B6"/>
    <w:rsid w:val="00936728"/>
    <w:rsid w:val="00936787"/>
    <w:rsid w:val="009368BC"/>
    <w:rsid w:val="009369AA"/>
    <w:rsid w:val="009369E4"/>
    <w:rsid w:val="00936A1E"/>
    <w:rsid w:val="00936AE1"/>
    <w:rsid w:val="00936BCE"/>
    <w:rsid w:val="00936BD9"/>
    <w:rsid w:val="00936C05"/>
    <w:rsid w:val="00936C0A"/>
    <w:rsid w:val="00936CA3"/>
    <w:rsid w:val="00936D0D"/>
    <w:rsid w:val="00936D86"/>
    <w:rsid w:val="00936DB0"/>
    <w:rsid w:val="00936DCF"/>
    <w:rsid w:val="00936E52"/>
    <w:rsid w:val="00936E81"/>
    <w:rsid w:val="00936E85"/>
    <w:rsid w:val="00936F5C"/>
    <w:rsid w:val="00936F6A"/>
    <w:rsid w:val="00936FFF"/>
    <w:rsid w:val="00937053"/>
    <w:rsid w:val="009370DB"/>
    <w:rsid w:val="0093719B"/>
    <w:rsid w:val="009371A8"/>
    <w:rsid w:val="00937290"/>
    <w:rsid w:val="009372D4"/>
    <w:rsid w:val="009373F4"/>
    <w:rsid w:val="00937482"/>
    <w:rsid w:val="00937497"/>
    <w:rsid w:val="009375A1"/>
    <w:rsid w:val="00937645"/>
    <w:rsid w:val="0093767A"/>
    <w:rsid w:val="009377F4"/>
    <w:rsid w:val="0093785C"/>
    <w:rsid w:val="00937B2C"/>
    <w:rsid w:val="00937B35"/>
    <w:rsid w:val="00937B73"/>
    <w:rsid w:val="00937BBB"/>
    <w:rsid w:val="00937D8A"/>
    <w:rsid w:val="00937DEE"/>
    <w:rsid w:val="00937DFC"/>
    <w:rsid w:val="00937E50"/>
    <w:rsid w:val="00937F1A"/>
    <w:rsid w:val="00937F56"/>
    <w:rsid w:val="0094021D"/>
    <w:rsid w:val="00940278"/>
    <w:rsid w:val="009402D2"/>
    <w:rsid w:val="0094034C"/>
    <w:rsid w:val="00940423"/>
    <w:rsid w:val="009404B8"/>
    <w:rsid w:val="009404EA"/>
    <w:rsid w:val="00940622"/>
    <w:rsid w:val="009406D3"/>
    <w:rsid w:val="00940703"/>
    <w:rsid w:val="00940713"/>
    <w:rsid w:val="0094086B"/>
    <w:rsid w:val="009408C4"/>
    <w:rsid w:val="009408CC"/>
    <w:rsid w:val="0094090C"/>
    <w:rsid w:val="00940916"/>
    <w:rsid w:val="00940AF9"/>
    <w:rsid w:val="00940C17"/>
    <w:rsid w:val="00940C8A"/>
    <w:rsid w:val="00940DEA"/>
    <w:rsid w:val="00940F0D"/>
    <w:rsid w:val="00940F21"/>
    <w:rsid w:val="00940FE1"/>
    <w:rsid w:val="00941023"/>
    <w:rsid w:val="00941037"/>
    <w:rsid w:val="0094103F"/>
    <w:rsid w:val="009410A5"/>
    <w:rsid w:val="009412E3"/>
    <w:rsid w:val="009412F3"/>
    <w:rsid w:val="009413AE"/>
    <w:rsid w:val="009413E3"/>
    <w:rsid w:val="0094150D"/>
    <w:rsid w:val="00941522"/>
    <w:rsid w:val="00941524"/>
    <w:rsid w:val="00941739"/>
    <w:rsid w:val="0094177E"/>
    <w:rsid w:val="009417C8"/>
    <w:rsid w:val="0094180B"/>
    <w:rsid w:val="009418BE"/>
    <w:rsid w:val="009418F4"/>
    <w:rsid w:val="00941903"/>
    <w:rsid w:val="0094196D"/>
    <w:rsid w:val="00941AAA"/>
    <w:rsid w:val="00941C24"/>
    <w:rsid w:val="00941D0D"/>
    <w:rsid w:val="00941E57"/>
    <w:rsid w:val="00941EE3"/>
    <w:rsid w:val="00941EE6"/>
    <w:rsid w:val="00941FD9"/>
    <w:rsid w:val="00942055"/>
    <w:rsid w:val="0094208C"/>
    <w:rsid w:val="009420B4"/>
    <w:rsid w:val="00942112"/>
    <w:rsid w:val="00942209"/>
    <w:rsid w:val="009423B1"/>
    <w:rsid w:val="0094247D"/>
    <w:rsid w:val="009425DE"/>
    <w:rsid w:val="00942659"/>
    <w:rsid w:val="00942739"/>
    <w:rsid w:val="00942773"/>
    <w:rsid w:val="009428EC"/>
    <w:rsid w:val="00942AFA"/>
    <w:rsid w:val="00942BC4"/>
    <w:rsid w:val="00942C45"/>
    <w:rsid w:val="00942E82"/>
    <w:rsid w:val="00942EAC"/>
    <w:rsid w:val="00942FCF"/>
    <w:rsid w:val="0094304E"/>
    <w:rsid w:val="009430F4"/>
    <w:rsid w:val="00943193"/>
    <w:rsid w:val="0094319B"/>
    <w:rsid w:val="009433CB"/>
    <w:rsid w:val="0094349E"/>
    <w:rsid w:val="009434BF"/>
    <w:rsid w:val="0094357D"/>
    <w:rsid w:val="00943609"/>
    <w:rsid w:val="009436FC"/>
    <w:rsid w:val="00943722"/>
    <w:rsid w:val="00943766"/>
    <w:rsid w:val="0094376C"/>
    <w:rsid w:val="00943775"/>
    <w:rsid w:val="00943883"/>
    <w:rsid w:val="009438FB"/>
    <w:rsid w:val="0094397A"/>
    <w:rsid w:val="00943AF6"/>
    <w:rsid w:val="00943C36"/>
    <w:rsid w:val="00943CE5"/>
    <w:rsid w:val="00943EB1"/>
    <w:rsid w:val="00943ECF"/>
    <w:rsid w:val="00943F3F"/>
    <w:rsid w:val="00943F96"/>
    <w:rsid w:val="00943FBF"/>
    <w:rsid w:val="00943FD3"/>
    <w:rsid w:val="00944021"/>
    <w:rsid w:val="0094418E"/>
    <w:rsid w:val="009441E4"/>
    <w:rsid w:val="009442C0"/>
    <w:rsid w:val="009444E3"/>
    <w:rsid w:val="009444FF"/>
    <w:rsid w:val="00944511"/>
    <w:rsid w:val="0094472F"/>
    <w:rsid w:val="00944751"/>
    <w:rsid w:val="009447F8"/>
    <w:rsid w:val="00944805"/>
    <w:rsid w:val="009449A9"/>
    <w:rsid w:val="00944A14"/>
    <w:rsid w:val="00944A28"/>
    <w:rsid w:val="00944C56"/>
    <w:rsid w:val="00944C89"/>
    <w:rsid w:val="00944D85"/>
    <w:rsid w:val="00944FAC"/>
    <w:rsid w:val="00944FF9"/>
    <w:rsid w:val="00945017"/>
    <w:rsid w:val="00945045"/>
    <w:rsid w:val="0094505E"/>
    <w:rsid w:val="0094511E"/>
    <w:rsid w:val="0094533A"/>
    <w:rsid w:val="00945356"/>
    <w:rsid w:val="0094540F"/>
    <w:rsid w:val="009454DB"/>
    <w:rsid w:val="009454E0"/>
    <w:rsid w:val="00945517"/>
    <w:rsid w:val="009455CE"/>
    <w:rsid w:val="009456C1"/>
    <w:rsid w:val="0094579E"/>
    <w:rsid w:val="009457C3"/>
    <w:rsid w:val="009457E8"/>
    <w:rsid w:val="0094580A"/>
    <w:rsid w:val="00945820"/>
    <w:rsid w:val="0094595E"/>
    <w:rsid w:val="00945A47"/>
    <w:rsid w:val="00945A93"/>
    <w:rsid w:val="00945AA7"/>
    <w:rsid w:val="00945AE7"/>
    <w:rsid w:val="00945B0F"/>
    <w:rsid w:val="00945B1B"/>
    <w:rsid w:val="00945C16"/>
    <w:rsid w:val="00945C17"/>
    <w:rsid w:val="00945CF8"/>
    <w:rsid w:val="00945DAE"/>
    <w:rsid w:val="00945E2A"/>
    <w:rsid w:val="00945EB5"/>
    <w:rsid w:val="00945FE1"/>
    <w:rsid w:val="00945FF1"/>
    <w:rsid w:val="0094605F"/>
    <w:rsid w:val="0094612B"/>
    <w:rsid w:val="009461B5"/>
    <w:rsid w:val="009462C9"/>
    <w:rsid w:val="0094633C"/>
    <w:rsid w:val="00946357"/>
    <w:rsid w:val="00946367"/>
    <w:rsid w:val="0094638B"/>
    <w:rsid w:val="009463D3"/>
    <w:rsid w:val="0094646E"/>
    <w:rsid w:val="00946482"/>
    <w:rsid w:val="009464E7"/>
    <w:rsid w:val="00946528"/>
    <w:rsid w:val="009465CE"/>
    <w:rsid w:val="0094667F"/>
    <w:rsid w:val="009466AD"/>
    <w:rsid w:val="009466B3"/>
    <w:rsid w:val="009468B8"/>
    <w:rsid w:val="00946953"/>
    <w:rsid w:val="009469AD"/>
    <w:rsid w:val="00946C81"/>
    <w:rsid w:val="00946CAE"/>
    <w:rsid w:val="00946CDF"/>
    <w:rsid w:val="00946CF4"/>
    <w:rsid w:val="00946DBF"/>
    <w:rsid w:val="00946E2D"/>
    <w:rsid w:val="00946E41"/>
    <w:rsid w:val="00946E51"/>
    <w:rsid w:val="00946F32"/>
    <w:rsid w:val="00946F39"/>
    <w:rsid w:val="00946FA5"/>
    <w:rsid w:val="00947076"/>
    <w:rsid w:val="009471E3"/>
    <w:rsid w:val="0094734E"/>
    <w:rsid w:val="0094745A"/>
    <w:rsid w:val="009474AD"/>
    <w:rsid w:val="009474CE"/>
    <w:rsid w:val="0094754D"/>
    <w:rsid w:val="00947629"/>
    <w:rsid w:val="009476A3"/>
    <w:rsid w:val="0094771A"/>
    <w:rsid w:val="009477C4"/>
    <w:rsid w:val="009477F2"/>
    <w:rsid w:val="00947836"/>
    <w:rsid w:val="0094790D"/>
    <w:rsid w:val="00947996"/>
    <w:rsid w:val="00947997"/>
    <w:rsid w:val="009479A1"/>
    <w:rsid w:val="009479DC"/>
    <w:rsid w:val="00947A46"/>
    <w:rsid w:val="00947A70"/>
    <w:rsid w:val="00947B50"/>
    <w:rsid w:val="00947B5D"/>
    <w:rsid w:val="00947CE4"/>
    <w:rsid w:val="00947D8D"/>
    <w:rsid w:val="00947DA1"/>
    <w:rsid w:val="00947E4A"/>
    <w:rsid w:val="00947ED7"/>
    <w:rsid w:val="00947F49"/>
    <w:rsid w:val="00947F5D"/>
    <w:rsid w:val="0095008C"/>
    <w:rsid w:val="00950228"/>
    <w:rsid w:val="00950250"/>
    <w:rsid w:val="0095035F"/>
    <w:rsid w:val="00950441"/>
    <w:rsid w:val="00950467"/>
    <w:rsid w:val="0095064C"/>
    <w:rsid w:val="00950714"/>
    <w:rsid w:val="0095088A"/>
    <w:rsid w:val="009508F1"/>
    <w:rsid w:val="009508FC"/>
    <w:rsid w:val="009509A0"/>
    <w:rsid w:val="00950A63"/>
    <w:rsid w:val="00950AEE"/>
    <w:rsid w:val="00950B05"/>
    <w:rsid w:val="00950B30"/>
    <w:rsid w:val="00950B76"/>
    <w:rsid w:val="00950C41"/>
    <w:rsid w:val="00950CA7"/>
    <w:rsid w:val="00950CDD"/>
    <w:rsid w:val="00950D26"/>
    <w:rsid w:val="00950E43"/>
    <w:rsid w:val="00950EA9"/>
    <w:rsid w:val="00950F4A"/>
    <w:rsid w:val="009510A7"/>
    <w:rsid w:val="009510B9"/>
    <w:rsid w:val="00951133"/>
    <w:rsid w:val="009511EA"/>
    <w:rsid w:val="009512A1"/>
    <w:rsid w:val="009512AF"/>
    <w:rsid w:val="00951450"/>
    <w:rsid w:val="009514A6"/>
    <w:rsid w:val="009514AA"/>
    <w:rsid w:val="009514CE"/>
    <w:rsid w:val="00951578"/>
    <w:rsid w:val="009515BC"/>
    <w:rsid w:val="00951601"/>
    <w:rsid w:val="0095169D"/>
    <w:rsid w:val="009516CA"/>
    <w:rsid w:val="009517B0"/>
    <w:rsid w:val="00951815"/>
    <w:rsid w:val="0095188F"/>
    <w:rsid w:val="009518B0"/>
    <w:rsid w:val="009519E4"/>
    <w:rsid w:val="00951A0A"/>
    <w:rsid w:val="00951B0F"/>
    <w:rsid w:val="00951B71"/>
    <w:rsid w:val="00951BAD"/>
    <w:rsid w:val="00951BC2"/>
    <w:rsid w:val="00951BFD"/>
    <w:rsid w:val="00951D00"/>
    <w:rsid w:val="00951D1A"/>
    <w:rsid w:val="00951E7E"/>
    <w:rsid w:val="00951EFF"/>
    <w:rsid w:val="00951F7A"/>
    <w:rsid w:val="00951FCD"/>
    <w:rsid w:val="00951FD1"/>
    <w:rsid w:val="009520B0"/>
    <w:rsid w:val="009520DD"/>
    <w:rsid w:val="009521AE"/>
    <w:rsid w:val="009521CB"/>
    <w:rsid w:val="0095224D"/>
    <w:rsid w:val="00952315"/>
    <w:rsid w:val="009523C1"/>
    <w:rsid w:val="0095240F"/>
    <w:rsid w:val="0095246C"/>
    <w:rsid w:val="00952486"/>
    <w:rsid w:val="00952510"/>
    <w:rsid w:val="009525DC"/>
    <w:rsid w:val="0095260D"/>
    <w:rsid w:val="0095273C"/>
    <w:rsid w:val="0095276A"/>
    <w:rsid w:val="009527A1"/>
    <w:rsid w:val="00952857"/>
    <w:rsid w:val="00952861"/>
    <w:rsid w:val="0095287E"/>
    <w:rsid w:val="00952955"/>
    <w:rsid w:val="00952ADB"/>
    <w:rsid w:val="00952B70"/>
    <w:rsid w:val="00952C8A"/>
    <w:rsid w:val="00952D52"/>
    <w:rsid w:val="00953045"/>
    <w:rsid w:val="00953066"/>
    <w:rsid w:val="00953137"/>
    <w:rsid w:val="0095326B"/>
    <w:rsid w:val="0095331E"/>
    <w:rsid w:val="00953332"/>
    <w:rsid w:val="00953428"/>
    <w:rsid w:val="009534C3"/>
    <w:rsid w:val="009534EF"/>
    <w:rsid w:val="00953572"/>
    <w:rsid w:val="0095357E"/>
    <w:rsid w:val="0095369E"/>
    <w:rsid w:val="009536A3"/>
    <w:rsid w:val="0095378F"/>
    <w:rsid w:val="00953895"/>
    <w:rsid w:val="00953AE0"/>
    <w:rsid w:val="00953B50"/>
    <w:rsid w:val="00953C10"/>
    <w:rsid w:val="00953CD6"/>
    <w:rsid w:val="00953CDC"/>
    <w:rsid w:val="0095408B"/>
    <w:rsid w:val="0095422E"/>
    <w:rsid w:val="00954240"/>
    <w:rsid w:val="009542A1"/>
    <w:rsid w:val="009542B0"/>
    <w:rsid w:val="00954357"/>
    <w:rsid w:val="00954361"/>
    <w:rsid w:val="0095438D"/>
    <w:rsid w:val="00954510"/>
    <w:rsid w:val="00954560"/>
    <w:rsid w:val="00954620"/>
    <w:rsid w:val="00954712"/>
    <w:rsid w:val="0095473B"/>
    <w:rsid w:val="009547FF"/>
    <w:rsid w:val="0095486C"/>
    <w:rsid w:val="009548EE"/>
    <w:rsid w:val="00954B3D"/>
    <w:rsid w:val="00954B5B"/>
    <w:rsid w:val="00954BB8"/>
    <w:rsid w:val="00954D95"/>
    <w:rsid w:val="00954DD8"/>
    <w:rsid w:val="00954DED"/>
    <w:rsid w:val="00954E44"/>
    <w:rsid w:val="00954E81"/>
    <w:rsid w:val="00954F39"/>
    <w:rsid w:val="00954F4E"/>
    <w:rsid w:val="00954F6A"/>
    <w:rsid w:val="00954FFB"/>
    <w:rsid w:val="00955018"/>
    <w:rsid w:val="0095504B"/>
    <w:rsid w:val="0095508D"/>
    <w:rsid w:val="009551A5"/>
    <w:rsid w:val="009552C7"/>
    <w:rsid w:val="00955307"/>
    <w:rsid w:val="00955398"/>
    <w:rsid w:val="0095547E"/>
    <w:rsid w:val="0095552A"/>
    <w:rsid w:val="0095555E"/>
    <w:rsid w:val="00955571"/>
    <w:rsid w:val="00955596"/>
    <w:rsid w:val="00955604"/>
    <w:rsid w:val="0095566D"/>
    <w:rsid w:val="009556DD"/>
    <w:rsid w:val="009556E3"/>
    <w:rsid w:val="009556F0"/>
    <w:rsid w:val="00955783"/>
    <w:rsid w:val="00955829"/>
    <w:rsid w:val="0095592B"/>
    <w:rsid w:val="0095592E"/>
    <w:rsid w:val="009559EE"/>
    <w:rsid w:val="00955B68"/>
    <w:rsid w:val="00955D18"/>
    <w:rsid w:val="00955D1F"/>
    <w:rsid w:val="00955DB2"/>
    <w:rsid w:val="00955E92"/>
    <w:rsid w:val="00955EA5"/>
    <w:rsid w:val="00955FB8"/>
    <w:rsid w:val="009560AF"/>
    <w:rsid w:val="00956117"/>
    <w:rsid w:val="0095611B"/>
    <w:rsid w:val="009561A2"/>
    <w:rsid w:val="009561EE"/>
    <w:rsid w:val="0095634D"/>
    <w:rsid w:val="009563FB"/>
    <w:rsid w:val="0095645F"/>
    <w:rsid w:val="0095648E"/>
    <w:rsid w:val="0095660E"/>
    <w:rsid w:val="00956611"/>
    <w:rsid w:val="009566E3"/>
    <w:rsid w:val="00956855"/>
    <w:rsid w:val="009568C1"/>
    <w:rsid w:val="00956905"/>
    <w:rsid w:val="00956932"/>
    <w:rsid w:val="009569D8"/>
    <w:rsid w:val="00956B7A"/>
    <w:rsid w:val="00956C2A"/>
    <w:rsid w:val="00956CD5"/>
    <w:rsid w:val="00956D0F"/>
    <w:rsid w:val="00956D30"/>
    <w:rsid w:val="00956EEB"/>
    <w:rsid w:val="00956F70"/>
    <w:rsid w:val="00956F87"/>
    <w:rsid w:val="00956FA8"/>
    <w:rsid w:val="00956FB9"/>
    <w:rsid w:val="009571C3"/>
    <w:rsid w:val="00957223"/>
    <w:rsid w:val="00957267"/>
    <w:rsid w:val="00957463"/>
    <w:rsid w:val="00957466"/>
    <w:rsid w:val="009576D2"/>
    <w:rsid w:val="0095773C"/>
    <w:rsid w:val="0095777B"/>
    <w:rsid w:val="00957782"/>
    <w:rsid w:val="00957786"/>
    <w:rsid w:val="0095779E"/>
    <w:rsid w:val="0095782A"/>
    <w:rsid w:val="0095788D"/>
    <w:rsid w:val="00957A43"/>
    <w:rsid w:val="00957A44"/>
    <w:rsid w:val="00957A8B"/>
    <w:rsid w:val="00957A94"/>
    <w:rsid w:val="00957B00"/>
    <w:rsid w:val="00957BAB"/>
    <w:rsid w:val="00957BB0"/>
    <w:rsid w:val="00957D29"/>
    <w:rsid w:val="00957D62"/>
    <w:rsid w:val="00957E2B"/>
    <w:rsid w:val="009600A5"/>
    <w:rsid w:val="00960126"/>
    <w:rsid w:val="00960157"/>
    <w:rsid w:val="009601AA"/>
    <w:rsid w:val="00960295"/>
    <w:rsid w:val="009602AC"/>
    <w:rsid w:val="00960313"/>
    <w:rsid w:val="00960349"/>
    <w:rsid w:val="00960399"/>
    <w:rsid w:val="009603B6"/>
    <w:rsid w:val="009603D5"/>
    <w:rsid w:val="009603E2"/>
    <w:rsid w:val="009604CE"/>
    <w:rsid w:val="009606FF"/>
    <w:rsid w:val="00960708"/>
    <w:rsid w:val="0096074E"/>
    <w:rsid w:val="009607D6"/>
    <w:rsid w:val="0096087E"/>
    <w:rsid w:val="009608B6"/>
    <w:rsid w:val="00960AC9"/>
    <w:rsid w:val="00960BA9"/>
    <w:rsid w:val="00960D1A"/>
    <w:rsid w:val="00960D5A"/>
    <w:rsid w:val="00960DDE"/>
    <w:rsid w:val="00960E11"/>
    <w:rsid w:val="00960E3E"/>
    <w:rsid w:val="0096105F"/>
    <w:rsid w:val="00961079"/>
    <w:rsid w:val="00961274"/>
    <w:rsid w:val="0096135F"/>
    <w:rsid w:val="009613CB"/>
    <w:rsid w:val="00961483"/>
    <w:rsid w:val="009614CC"/>
    <w:rsid w:val="0096150E"/>
    <w:rsid w:val="0096156E"/>
    <w:rsid w:val="00961731"/>
    <w:rsid w:val="00961980"/>
    <w:rsid w:val="009619D6"/>
    <w:rsid w:val="00961A87"/>
    <w:rsid w:val="00961B2C"/>
    <w:rsid w:val="00961B67"/>
    <w:rsid w:val="00961BAD"/>
    <w:rsid w:val="00961BD1"/>
    <w:rsid w:val="00961BD3"/>
    <w:rsid w:val="00961C69"/>
    <w:rsid w:val="00961CC6"/>
    <w:rsid w:val="00961D01"/>
    <w:rsid w:val="00961D4A"/>
    <w:rsid w:val="00961DB1"/>
    <w:rsid w:val="00961DF9"/>
    <w:rsid w:val="00961E88"/>
    <w:rsid w:val="00961E8C"/>
    <w:rsid w:val="00961EA3"/>
    <w:rsid w:val="00961EF3"/>
    <w:rsid w:val="00961F3B"/>
    <w:rsid w:val="00962129"/>
    <w:rsid w:val="009621B0"/>
    <w:rsid w:val="00962232"/>
    <w:rsid w:val="00962384"/>
    <w:rsid w:val="00962389"/>
    <w:rsid w:val="009623B0"/>
    <w:rsid w:val="009624EF"/>
    <w:rsid w:val="0096254E"/>
    <w:rsid w:val="009625E2"/>
    <w:rsid w:val="00962694"/>
    <w:rsid w:val="009626AB"/>
    <w:rsid w:val="009626AF"/>
    <w:rsid w:val="00962701"/>
    <w:rsid w:val="00962711"/>
    <w:rsid w:val="00962829"/>
    <w:rsid w:val="00962845"/>
    <w:rsid w:val="009628F1"/>
    <w:rsid w:val="00962956"/>
    <w:rsid w:val="00962A03"/>
    <w:rsid w:val="00962A94"/>
    <w:rsid w:val="00962AFC"/>
    <w:rsid w:val="00962CA2"/>
    <w:rsid w:val="00962D7D"/>
    <w:rsid w:val="00962D8B"/>
    <w:rsid w:val="00962E4A"/>
    <w:rsid w:val="00962EBD"/>
    <w:rsid w:val="00962EF8"/>
    <w:rsid w:val="00962F52"/>
    <w:rsid w:val="009630F7"/>
    <w:rsid w:val="00963135"/>
    <w:rsid w:val="0096318D"/>
    <w:rsid w:val="009631EE"/>
    <w:rsid w:val="00963276"/>
    <w:rsid w:val="0096333F"/>
    <w:rsid w:val="0096343E"/>
    <w:rsid w:val="009636A8"/>
    <w:rsid w:val="00963770"/>
    <w:rsid w:val="0096377D"/>
    <w:rsid w:val="009637D1"/>
    <w:rsid w:val="0096381B"/>
    <w:rsid w:val="00963872"/>
    <w:rsid w:val="00963978"/>
    <w:rsid w:val="009639C5"/>
    <w:rsid w:val="009639E1"/>
    <w:rsid w:val="00963A2C"/>
    <w:rsid w:val="00963A50"/>
    <w:rsid w:val="00963A6D"/>
    <w:rsid w:val="00963B7E"/>
    <w:rsid w:val="00963B99"/>
    <w:rsid w:val="00963D9F"/>
    <w:rsid w:val="00963FEE"/>
    <w:rsid w:val="0096400A"/>
    <w:rsid w:val="00964036"/>
    <w:rsid w:val="009640EC"/>
    <w:rsid w:val="0096410C"/>
    <w:rsid w:val="0096415D"/>
    <w:rsid w:val="009641AE"/>
    <w:rsid w:val="0096426B"/>
    <w:rsid w:val="0096427D"/>
    <w:rsid w:val="0096436B"/>
    <w:rsid w:val="00964466"/>
    <w:rsid w:val="009644FD"/>
    <w:rsid w:val="00964543"/>
    <w:rsid w:val="0096454A"/>
    <w:rsid w:val="009645D5"/>
    <w:rsid w:val="009645EE"/>
    <w:rsid w:val="00964647"/>
    <w:rsid w:val="009648EC"/>
    <w:rsid w:val="00964916"/>
    <w:rsid w:val="00964A2B"/>
    <w:rsid w:val="00964A47"/>
    <w:rsid w:val="00964AB8"/>
    <w:rsid w:val="00964ACE"/>
    <w:rsid w:val="00964B09"/>
    <w:rsid w:val="00964BAC"/>
    <w:rsid w:val="00964BD2"/>
    <w:rsid w:val="00964C57"/>
    <w:rsid w:val="00964C92"/>
    <w:rsid w:val="00964D24"/>
    <w:rsid w:val="00964D62"/>
    <w:rsid w:val="00964DF3"/>
    <w:rsid w:val="00964E27"/>
    <w:rsid w:val="00964E41"/>
    <w:rsid w:val="00964EB3"/>
    <w:rsid w:val="00965084"/>
    <w:rsid w:val="009650A1"/>
    <w:rsid w:val="009650C4"/>
    <w:rsid w:val="0096513E"/>
    <w:rsid w:val="00965299"/>
    <w:rsid w:val="009653E8"/>
    <w:rsid w:val="009654E7"/>
    <w:rsid w:val="0096551A"/>
    <w:rsid w:val="009656C2"/>
    <w:rsid w:val="00965979"/>
    <w:rsid w:val="00965B27"/>
    <w:rsid w:val="00965B35"/>
    <w:rsid w:val="00965B53"/>
    <w:rsid w:val="00965C5B"/>
    <w:rsid w:val="00965D27"/>
    <w:rsid w:val="00965E45"/>
    <w:rsid w:val="00965EA5"/>
    <w:rsid w:val="00965ECD"/>
    <w:rsid w:val="00965F2F"/>
    <w:rsid w:val="00965FD0"/>
    <w:rsid w:val="0096601E"/>
    <w:rsid w:val="009660DF"/>
    <w:rsid w:val="009661C7"/>
    <w:rsid w:val="00966214"/>
    <w:rsid w:val="00966234"/>
    <w:rsid w:val="009662F7"/>
    <w:rsid w:val="00966315"/>
    <w:rsid w:val="00966388"/>
    <w:rsid w:val="009664A4"/>
    <w:rsid w:val="0096650F"/>
    <w:rsid w:val="00966529"/>
    <w:rsid w:val="0096654D"/>
    <w:rsid w:val="00966580"/>
    <w:rsid w:val="00966588"/>
    <w:rsid w:val="0096658F"/>
    <w:rsid w:val="009665D3"/>
    <w:rsid w:val="009666C3"/>
    <w:rsid w:val="009666CC"/>
    <w:rsid w:val="00966710"/>
    <w:rsid w:val="0096672F"/>
    <w:rsid w:val="009668FE"/>
    <w:rsid w:val="00966924"/>
    <w:rsid w:val="009669AD"/>
    <w:rsid w:val="00966AB5"/>
    <w:rsid w:val="00966AF1"/>
    <w:rsid w:val="00966B55"/>
    <w:rsid w:val="00966B94"/>
    <w:rsid w:val="00966BD0"/>
    <w:rsid w:val="00966C5A"/>
    <w:rsid w:val="00966CD1"/>
    <w:rsid w:val="00966D30"/>
    <w:rsid w:val="00966E87"/>
    <w:rsid w:val="00966FBA"/>
    <w:rsid w:val="00967064"/>
    <w:rsid w:val="0096707B"/>
    <w:rsid w:val="009671B2"/>
    <w:rsid w:val="009671EE"/>
    <w:rsid w:val="00967228"/>
    <w:rsid w:val="009673F5"/>
    <w:rsid w:val="009674F0"/>
    <w:rsid w:val="00967519"/>
    <w:rsid w:val="009675C0"/>
    <w:rsid w:val="00967610"/>
    <w:rsid w:val="0096762B"/>
    <w:rsid w:val="009676B3"/>
    <w:rsid w:val="00967937"/>
    <w:rsid w:val="00967969"/>
    <w:rsid w:val="009679DF"/>
    <w:rsid w:val="00967C14"/>
    <w:rsid w:val="00967CCA"/>
    <w:rsid w:val="00967EB1"/>
    <w:rsid w:val="00967F0E"/>
    <w:rsid w:val="0097009D"/>
    <w:rsid w:val="009700F8"/>
    <w:rsid w:val="00970179"/>
    <w:rsid w:val="00970185"/>
    <w:rsid w:val="009701B7"/>
    <w:rsid w:val="009701C4"/>
    <w:rsid w:val="009701CE"/>
    <w:rsid w:val="00970234"/>
    <w:rsid w:val="00970236"/>
    <w:rsid w:val="00970354"/>
    <w:rsid w:val="009703C5"/>
    <w:rsid w:val="00970414"/>
    <w:rsid w:val="0097049A"/>
    <w:rsid w:val="00970634"/>
    <w:rsid w:val="00970737"/>
    <w:rsid w:val="00970835"/>
    <w:rsid w:val="0097090F"/>
    <w:rsid w:val="00970995"/>
    <w:rsid w:val="00970A73"/>
    <w:rsid w:val="00970BED"/>
    <w:rsid w:val="00970C88"/>
    <w:rsid w:val="00970CD8"/>
    <w:rsid w:val="00970DED"/>
    <w:rsid w:val="00970DF0"/>
    <w:rsid w:val="00970F5B"/>
    <w:rsid w:val="00970F79"/>
    <w:rsid w:val="00970FC3"/>
    <w:rsid w:val="009712B0"/>
    <w:rsid w:val="009712BB"/>
    <w:rsid w:val="0097132D"/>
    <w:rsid w:val="00971497"/>
    <w:rsid w:val="009715AE"/>
    <w:rsid w:val="009715B5"/>
    <w:rsid w:val="009715D6"/>
    <w:rsid w:val="0097170A"/>
    <w:rsid w:val="0097175C"/>
    <w:rsid w:val="0097181A"/>
    <w:rsid w:val="00971955"/>
    <w:rsid w:val="009719EF"/>
    <w:rsid w:val="00971A75"/>
    <w:rsid w:val="00971AC9"/>
    <w:rsid w:val="00971ACF"/>
    <w:rsid w:val="00971C39"/>
    <w:rsid w:val="00971CFA"/>
    <w:rsid w:val="00971FB1"/>
    <w:rsid w:val="00972022"/>
    <w:rsid w:val="0097203B"/>
    <w:rsid w:val="0097209B"/>
    <w:rsid w:val="009720A3"/>
    <w:rsid w:val="009720C6"/>
    <w:rsid w:val="0097216F"/>
    <w:rsid w:val="0097221B"/>
    <w:rsid w:val="00972311"/>
    <w:rsid w:val="009723B0"/>
    <w:rsid w:val="00972492"/>
    <w:rsid w:val="009724E5"/>
    <w:rsid w:val="009724E7"/>
    <w:rsid w:val="00972509"/>
    <w:rsid w:val="009725F9"/>
    <w:rsid w:val="0097263F"/>
    <w:rsid w:val="009726AC"/>
    <w:rsid w:val="009726D6"/>
    <w:rsid w:val="00972846"/>
    <w:rsid w:val="0097284F"/>
    <w:rsid w:val="0097293D"/>
    <w:rsid w:val="0097293F"/>
    <w:rsid w:val="00972986"/>
    <w:rsid w:val="00972A47"/>
    <w:rsid w:val="00972B29"/>
    <w:rsid w:val="00972B49"/>
    <w:rsid w:val="00972B6F"/>
    <w:rsid w:val="00972BA3"/>
    <w:rsid w:val="00972BAD"/>
    <w:rsid w:val="00972C1E"/>
    <w:rsid w:val="00972EB6"/>
    <w:rsid w:val="00972F2B"/>
    <w:rsid w:val="00972F4F"/>
    <w:rsid w:val="00972F60"/>
    <w:rsid w:val="00973006"/>
    <w:rsid w:val="0097304D"/>
    <w:rsid w:val="009732A5"/>
    <w:rsid w:val="009733B3"/>
    <w:rsid w:val="0097347A"/>
    <w:rsid w:val="00973692"/>
    <w:rsid w:val="009736C1"/>
    <w:rsid w:val="0097387D"/>
    <w:rsid w:val="00973898"/>
    <w:rsid w:val="00973903"/>
    <w:rsid w:val="00973916"/>
    <w:rsid w:val="00973982"/>
    <w:rsid w:val="00973AC2"/>
    <w:rsid w:val="00973B1B"/>
    <w:rsid w:val="00973C3F"/>
    <w:rsid w:val="00973C99"/>
    <w:rsid w:val="00973D77"/>
    <w:rsid w:val="00973DC1"/>
    <w:rsid w:val="00973DE5"/>
    <w:rsid w:val="00973E70"/>
    <w:rsid w:val="00973E9F"/>
    <w:rsid w:val="00973F20"/>
    <w:rsid w:val="00973FA2"/>
    <w:rsid w:val="00973FD1"/>
    <w:rsid w:val="00974012"/>
    <w:rsid w:val="00974130"/>
    <w:rsid w:val="00974195"/>
    <w:rsid w:val="009741C5"/>
    <w:rsid w:val="00974582"/>
    <w:rsid w:val="009745BB"/>
    <w:rsid w:val="009746AA"/>
    <w:rsid w:val="00974709"/>
    <w:rsid w:val="009747D7"/>
    <w:rsid w:val="00974846"/>
    <w:rsid w:val="00974864"/>
    <w:rsid w:val="009748E2"/>
    <w:rsid w:val="00974A61"/>
    <w:rsid w:val="00974AC2"/>
    <w:rsid w:val="00974B29"/>
    <w:rsid w:val="00974B7B"/>
    <w:rsid w:val="00974C2D"/>
    <w:rsid w:val="00974DF4"/>
    <w:rsid w:val="00974E18"/>
    <w:rsid w:val="00974E1C"/>
    <w:rsid w:val="00974EE1"/>
    <w:rsid w:val="0097509D"/>
    <w:rsid w:val="0097519E"/>
    <w:rsid w:val="0097520E"/>
    <w:rsid w:val="00975314"/>
    <w:rsid w:val="0097531F"/>
    <w:rsid w:val="0097536E"/>
    <w:rsid w:val="009753FC"/>
    <w:rsid w:val="00975436"/>
    <w:rsid w:val="00975456"/>
    <w:rsid w:val="00975465"/>
    <w:rsid w:val="00975477"/>
    <w:rsid w:val="009757D7"/>
    <w:rsid w:val="009757D9"/>
    <w:rsid w:val="009757E7"/>
    <w:rsid w:val="009757F6"/>
    <w:rsid w:val="009758E7"/>
    <w:rsid w:val="00975A00"/>
    <w:rsid w:val="00975A85"/>
    <w:rsid w:val="00975A99"/>
    <w:rsid w:val="00975B07"/>
    <w:rsid w:val="00975B11"/>
    <w:rsid w:val="00975B75"/>
    <w:rsid w:val="00975BC7"/>
    <w:rsid w:val="00975C3A"/>
    <w:rsid w:val="00975C74"/>
    <w:rsid w:val="00975D19"/>
    <w:rsid w:val="00975E59"/>
    <w:rsid w:val="00975E76"/>
    <w:rsid w:val="00975E7B"/>
    <w:rsid w:val="00975FDD"/>
    <w:rsid w:val="0097601E"/>
    <w:rsid w:val="00976120"/>
    <w:rsid w:val="0097625C"/>
    <w:rsid w:val="009762C5"/>
    <w:rsid w:val="009762DA"/>
    <w:rsid w:val="009762DB"/>
    <w:rsid w:val="0097630D"/>
    <w:rsid w:val="00976412"/>
    <w:rsid w:val="00976553"/>
    <w:rsid w:val="0097667B"/>
    <w:rsid w:val="00976696"/>
    <w:rsid w:val="00976743"/>
    <w:rsid w:val="0097683A"/>
    <w:rsid w:val="009768C6"/>
    <w:rsid w:val="00976949"/>
    <w:rsid w:val="009769B3"/>
    <w:rsid w:val="00976A51"/>
    <w:rsid w:val="00976A90"/>
    <w:rsid w:val="00976AE2"/>
    <w:rsid w:val="00976B96"/>
    <w:rsid w:val="00976D1F"/>
    <w:rsid w:val="00976D21"/>
    <w:rsid w:val="00976E18"/>
    <w:rsid w:val="00976EAA"/>
    <w:rsid w:val="00976EE5"/>
    <w:rsid w:val="00976FD3"/>
    <w:rsid w:val="0097708E"/>
    <w:rsid w:val="00977162"/>
    <w:rsid w:val="00977169"/>
    <w:rsid w:val="00977181"/>
    <w:rsid w:val="009771A6"/>
    <w:rsid w:val="009772C4"/>
    <w:rsid w:val="009772FC"/>
    <w:rsid w:val="00977364"/>
    <w:rsid w:val="009773E8"/>
    <w:rsid w:val="00977426"/>
    <w:rsid w:val="0097760E"/>
    <w:rsid w:val="00977623"/>
    <w:rsid w:val="009776EB"/>
    <w:rsid w:val="0097785A"/>
    <w:rsid w:val="0097785B"/>
    <w:rsid w:val="00977863"/>
    <w:rsid w:val="00977A43"/>
    <w:rsid w:val="00977BBC"/>
    <w:rsid w:val="00977C0C"/>
    <w:rsid w:val="00977DD5"/>
    <w:rsid w:val="00977F68"/>
    <w:rsid w:val="00977FF0"/>
    <w:rsid w:val="00980062"/>
    <w:rsid w:val="009800C1"/>
    <w:rsid w:val="0098013C"/>
    <w:rsid w:val="009802FD"/>
    <w:rsid w:val="00980472"/>
    <w:rsid w:val="009804E4"/>
    <w:rsid w:val="0098052B"/>
    <w:rsid w:val="00980612"/>
    <w:rsid w:val="00980647"/>
    <w:rsid w:val="0098065E"/>
    <w:rsid w:val="009806D4"/>
    <w:rsid w:val="009806DF"/>
    <w:rsid w:val="009807B8"/>
    <w:rsid w:val="00980ABE"/>
    <w:rsid w:val="00980CF6"/>
    <w:rsid w:val="00980D3D"/>
    <w:rsid w:val="00980F7E"/>
    <w:rsid w:val="00980FB6"/>
    <w:rsid w:val="009810FC"/>
    <w:rsid w:val="0098126A"/>
    <w:rsid w:val="0098155A"/>
    <w:rsid w:val="009815C0"/>
    <w:rsid w:val="009816BE"/>
    <w:rsid w:val="00981712"/>
    <w:rsid w:val="0098171E"/>
    <w:rsid w:val="0098174B"/>
    <w:rsid w:val="009817B2"/>
    <w:rsid w:val="009817C2"/>
    <w:rsid w:val="0098182B"/>
    <w:rsid w:val="00981833"/>
    <w:rsid w:val="009818C7"/>
    <w:rsid w:val="009818D9"/>
    <w:rsid w:val="009819BB"/>
    <w:rsid w:val="00981AE5"/>
    <w:rsid w:val="00981B24"/>
    <w:rsid w:val="00981B39"/>
    <w:rsid w:val="00981C3A"/>
    <w:rsid w:val="00981CB9"/>
    <w:rsid w:val="00981D00"/>
    <w:rsid w:val="00981D51"/>
    <w:rsid w:val="00981D85"/>
    <w:rsid w:val="00981E01"/>
    <w:rsid w:val="00981E68"/>
    <w:rsid w:val="00981F74"/>
    <w:rsid w:val="00981F9E"/>
    <w:rsid w:val="00981FDA"/>
    <w:rsid w:val="0098205E"/>
    <w:rsid w:val="0098207D"/>
    <w:rsid w:val="009820E7"/>
    <w:rsid w:val="00982214"/>
    <w:rsid w:val="00982320"/>
    <w:rsid w:val="00982332"/>
    <w:rsid w:val="00982345"/>
    <w:rsid w:val="009824D0"/>
    <w:rsid w:val="009825CC"/>
    <w:rsid w:val="009826A6"/>
    <w:rsid w:val="009827A3"/>
    <w:rsid w:val="009827FC"/>
    <w:rsid w:val="009828DA"/>
    <w:rsid w:val="00982943"/>
    <w:rsid w:val="00982B62"/>
    <w:rsid w:val="00982B9C"/>
    <w:rsid w:val="00982BA5"/>
    <w:rsid w:val="00982BB1"/>
    <w:rsid w:val="00982CEC"/>
    <w:rsid w:val="00982D6D"/>
    <w:rsid w:val="00982F5D"/>
    <w:rsid w:val="00982F7A"/>
    <w:rsid w:val="00982FBC"/>
    <w:rsid w:val="0098313F"/>
    <w:rsid w:val="009831AF"/>
    <w:rsid w:val="009831B1"/>
    <w:rsid w:val="009831DF"/>
    <w:rsid w:val="009832A7"/>
    <w:rsid w:val="00983356"/>
    <w:rsid w:val="0098335C"/>
    <w:rsid w:val="009834A4"/>
    <w:rsid w:val="0098357F"/>
    <w:rsid w:val="009836F3"/>
    <w:rsid w:val="00983776"/>
    <w:rsid w:val="0098378B"/>
    <w:rsid w:val="0098390F"/>
    <w:rsid w:val="0098394A"/>
    <w:rsid w:val="00983A17"/>
    <w:rsid w:val="00983A91"/>
    <w:rsid w:val="00983BDB"/>
    <w:rsid w:val="00983D15"/>
    <w:rsid w:val="00983D8C"/>
    <w:rsid w:val="00983E2A"/>
    <w:rsid w:val="00984018"/>
    <w:rsid w:val="009841C5"/>
    <w:rsid w:val="00984219"/>
    <w:rsid w:val="0098423D"/>
    <w:rsid w:val="0098427B"/>
    <w:rsid w:val="009842D0"/>
    <w:rsid w:val="0098431A"/>
    <w:rsid w:val="0098432C"/>
    <w:rsid w:val="009844B9"/>
    <w:rsid w:val="009845AF"/>
    <w:rsid w:val="009845B8"/>
    <w:rsid w:val="009845C6"/>
    <w:rsid w:val="00984667"/>
    <w:rsid w:val="0098470A"/>
    <w:rsid w:val="00984796"/>
    <w:rsid w:val="009847B1"/>
    <w:rsid w:val="009847E5"/>
    <w:rsid w:val="00984930"/>
    <w:rsid w:val="009849C1"/>
    <w:rsid w:val="00984B10"/>
    <w:rsid w:val="00984B24"/>
    <w:rsid w:val="00984B90"/>
    <w:rsid w:val="00984C02"/>
    <w:rsid w:val="00984C6B"/>
    <w:rsid w:val="00984CD2"/>
    <w:rsid w:val="00984D15"/>
    <w:rsid w:val="00984D6E"/>
    <w:rsid w:val="00984D96"/>
    <w:rsid w:val="00984DA2"/>
    <w:rsid w:val="00984E52"/>
    <w:rsid w:val="00984F04"/>
    <w:rsid w:val="00984F20"/>
    <w:rsid w:val="00984FFB"/>
    <w:rsid w:val="00985222"/>
    <w:rsid w:val="00985286"/>
    <w:rsid w:val="009852A9"/>
    <w:rsid w:val="009852AA"/>
    <w:rsid w:val="00985343"/>
    <w:rsid w:val="009853FF"/>
    <w:rsid w:val="0098554C"/>
    <w:rsid w:val="00985762"/>
    <w:rsid w:val="00985798"/>
    <w:rsid w:val="00985D50"/>
    <w:rsid w:val="00985DAD"/>
    <w:rsid w:val="00985E79"/>
    <w:rsid w:val="00985EF8"/>
    <w:rsid w:val="00985F15"/>
    <w:rsid w:val="00986017"/>
    <w:rsid w:val="00986187"/>
    <w:rsid w:val="00986217"/>
    <w:rsid w:val="009863E6"/>
    <w:rsid w:val="00986462"/>
    <w:rsid w:val="0098646C"/>
    <w:rsid w:val="009865C8"/>
    <w:rsid w:val="009865CD"/>
    <w:rsid w:val="009865D4"/>
    <w:rsid w:val="00986617"/>
    <w:rsid w:val="00986684"/>
    <w:rsid w:val="00986711"/>
    <w:rsid w:val="009867A7"/>
    <w:rsid w:val="009867D6"/>
    <w:rsid w:val="00986801"/>
    <w:rsid w:val="00986804"/>
    <w:rsid w:val="009868A4"/>
    <w:rsid w:val="00986902"/>
    <w:rsid w:val="00986978"/>
    <w:rsid w:val="00986A1B"/>
    <w:rsid w:val="00986A41"/>
    <w:rsid w:val="00986AF2"/>
    <w:rsid w:val="00986B03"/>
    <w:rsid w:val="00986B0E"/>
    <w:rsid w:val="00986B87"/>
    <w:rsid w:val="00986BE5"/>
    <w:rsid w:val="00986BF1"/>
    <w:rsid w:val="00986CDB"/>
    <w:rsid w:val="00986DEB"/>
    <w:rsid w:val="00986F83"/>
    <w:rsid w:val="00986FD6"/>
    <w:rsid w:val="00986FF9"/>
    <w:rsid w:val="00987062"/>
    <w:rsid w:val="0098712D"/>
    <w:rsid w:val="00987135"/>
    <w:rsid w:val="009871B9"/>
    <w:rsid w:val="0098729B"/>
    <w:rsid w:val="009872E6"/>
    <w:rsid w:val="009872FE"/>
    <w:rsid w:val="0098735A"/>
    <w:rsid w:val="0098737A"/>
    <w:rsid w:val="009873CC"/>
    <w:rsid w:val="00987597"/>
    <w:rsid w:val="009875F5"/>
    <w:rsid w:val="009875FC"/>
    <w:rsid w:val="00987643"/>
    <w:rsid w:val="00987657"/>
    <w:rsid w:val="009876E4"/>
    <w:rsid w:val="009877C1"/>
    <w:rsid w:val="00987883"/>
    <w:rsid w:val="00987892"/>
    <w:rsid w:val="0098789F"/>
    <w:rsid w:val="009879E8"/>
    <w:rsid w:val="00987A7B"/>
    <w:rsid w:val="00987C62"/>
    <w:rsid w:val="00987CED"/>
    <w:rsid w:val="00987DF1"/>
    <w:rsid w:val="00987ED4"/>
    <w:rsid w:val="009901AF"/>
    <w:rsid w:val="009901F9"/>
    <w:rsid w:val="0099028A"/>
    <w:rsid w:val="0099036E"/>
    <w:rsid w:val="00990411"/>
    <w:rsid w:val="0099043E"/>
    <w:rsid w:val="00990511"/>
    <w:rsid w:val="0099060B"/>
    <w:rsid w:val="009906BE"/>
    <w:rsid w:val="00990879"/>
    <w:rsid w:val="009908D3"/>
    <w:rsid w:val="00990966"/>
    <w:rsid w:val="00990A68"/>
    <w:rsid w:val="00990A72"/>
    <w:rsid w:val="00990AE5"/>
    <w:rsid w:val="00990B00"/>
    <w:rsid w:val="00990D9E"/>
    <w:rsid w:val="00990DA2"/>
    <w:rsid w:val="00990DC9"/>
    <w:rsid w:val="00990EB8"/>
    <w:rsid w:val="00990FF5"/>
    <w:rsid w:val="0099109B"/>
    <w:rsid w:val="009910C2"/>
    <w:rsid w:val="0099138F"/>
    <w:rsid w:val="009913E0"/>
    <w:rsid w:val="00991704"/>
    <w:rsid w:val="0099176C"/>
    <w:rsid w:val="0099179E"/>
    <w:rsid w:val="009917A2"/>
    <w:rsid w:val="009917B1"/>
    <w:rsid w:val="00991810"/>
    <w:rsid w:val="00991A87"/>
    <w:rsid w:val="00991C2B"/>
    <w:rsid w:val="00991C6E"/>
    <w:rsid w:val="00991CB9"/>
    <w:rsid w:val="00991D33"/>
    <w:rsid w:val="00991E79"/>
    <w:rsid w:val="00992058"/>
    <w:rsid w:val="00992090"/>
    <w:rsid w:val="009922B1"/>
    <w:rsid w:val="009922BB"/>
    <w:rsid w:val="0099239A"/>
    <w:rsid w:val="00992421"/>
    <w:rsid w:val="00992494"/>
    <w:rsid w:val="009925A6"/>
    <w:rsid w:val="0099260D"/>
    <w:rsid w:val="009928DE"/>
    <w:rsid w:val="00992900"/>
    <w:rsid w:val="009929F9"/>
    <w:rsid w:val="00992A10"/>
    <w:rsid w:val="00992A76"/>
    <w:rsid w:val="00992C6D"/>
    <w:rsid w:val="00992CD0"/>
    <w:rsid w:val="00992CD2"/>
    <w:rsid w:val="00992D77"/>
    <w:rsid w:val="00992D96"/>
    <w:rsid w:val="00992E68"/>
    <w:rsid w:val="00992EB4"/>
    <w:rsid w:val="00993008"/>
    <w:rsid w:val="0099306C"/>
    <w:rsid w:val="0099307B"/>
    <w:rsid w:val="00993244"/>
    <w:rsid w:val="0099339C"/>
    <w:rsid w:val="009933B4"/>
    <w:rsid w:val="00993404"/>
    <w:rsid w:val="00993455"/>
    <w:rsid w:val="009934F3"/>
    <w:rsid w:val="00993612"/>
    <w:rsid w:val="00993657"/>
    <w:rsid w:val="00993696"/>
    <w:rsid w:val="0099369B"/>
    <w:rsid w:val="009936E2"/>
    <w:rsid w:val="00993772"/>
    <w:rsid w:val="0099377B"/>
    <w:rsid w:val="009937B7"/>
    <w:rsid w:val="009937D8"/>
    <w:rsid w:val="009938D1"/>
    <w:rsid w:val="009939CB"/>
    <w:rsid w:val="009939F5"/>
    <w:rsid w:val="00993A7B"/>
    <w:rsid w:val="00993AC1"/>
    <w:rsid w:val="00993AEE"/>
    <w:rsid w:val="00993C4B"/>
    <w:rsid w:val="00993C60"/>
    <w:rsid w:val="00993DB1"/>
    <w:rsid w:val="00993DC5"/>
    <w:rsid w:val="00993E2D"/>
    <w:rsid w:val="00993EF8"/>
    <w:rsid w:val="00993F2A"/>
    <w:rsid w:val="009940B0"/>
    <w:rsid w:val="009940D5"/>
    <w:rsid w:val="00994178"/>
    <w:rsid w:val="009942BA"/>
    <w:rsid w:val="009942C5"/>
    <w:rsid w:val="0099438D"/>
    <w:rsid w:val="00994454"/>
    <w:rsid w:val="00994515"/>
    <w:rsid w:val="0099468C"/>
    <w:rsid w:val="009946BD"/>
    <w:rsid w:val="009947A8"/>
    <w:rsid w:val="0099481E"/>
    <w:rsid w:val="0099488A"/>
    <w:rsid w:val="0099496C"/>
    <w:rsid w:val="009949BD"/>
    <w:rsid w:val="00994DE3"/>
    <w:rsid w:val="00994DFD"/>
    <w:rsid w:val="00994EB2"/>
    <w:rsid w:val="00994F50"/>
    <w:rsid w:val="00994F7A"/>
    <w:rsid w:val="00994F9A"/>
    <w:rsid w:val="00994FC5"/>
    <w:rsid w:val="00994FE9"/>
    <w:rsid w:val="00995203"/>
    <w:rsid w:val="009952B3"/>
    <w:rsid w:val="009953F3"/>
    <w:rsid w:val="00995492"/>
    <w:rsid w:val="0099574F"/>
    <w:rsid w:val="00995757"/>
    <w:rsid w:val="00995883"/>
    <w:rsid w:val="00995886"/>
    <w:rsid w:val="00995B66"/>
    <w:rsid w:val="00995C2C"/>
    <w:rsid w:val="00995D93"/>
    <w:rsid w:val="00995D97"/>
    <w:rsid w:val="00995D98"/>
    <w:rsid w:val="00995DC9"/>
    <w:rsid w:val="00995F2A"/>
    <w:rsid w:val="00995F42"/>
    <w:rsid w:val="00995FA4"/>
    <w:rsid w:val="0099608F"/>
    <w:rsid w:val="009960D1"/>
    <w:rsid w:val="009960D4"/>
    <w:rsid w:val="0099618B"/>
    <w:rsid w:val="00996251"/>
    <w:rsid w:val="009962B7"/>
    <w:rsid w:val="00996426"/>
    <w:rsid w:val="0099643B"/>
    <w:rsid w:val="00996551"/>
    <w:rsid w:val="00996582"/>
    <w:rsid w:val="009965B3"/>
    <w:rsid w:val="009965E1"/>
    <w:rsid w:val="009966BC"/>
    <w:rsid w:val="00996719"/>
    <w:rsid w:val="00996758"/>
    <w:rsid w:val="009967B9"/>
    <w:rsid w:val="009968CC"/>
    <w:rsid w:val="00996943"/>
    <w:rsid w:val="0099698E"/>
    <w:rsid w:val="009969EB"/>
    <w:rsid w:val="00996A27"/>
    <w:rsid w:val="00996AE9"/>
    <w:rsid w:val="00996BBE"/>
    <w:rsid w:val="00996BDD"/>
    <w:rsid w:val="00996C7E"/>
    <w:rsid w:val="00996E66"/>
    <w:rsid w:val="00996F0E"/>
    <w:rsid w:val="00996FA3"/>
    <w:rsid w:val="00997052"/>
    <w:rsid w:val="00997074"/>
    <w:rsid w:val="00997087"/>
    <w:rsid w:val="009970E1"/>
    <w:rsid w:val="00997128"/>
    <w:rsid w:val="0099726B"/>
    <w:rsid w:val="009972EA"/>
    <w:rsid w:val="0099738D"/>
    <w:rsid w:val="00997510"/>
    <w:rsid w:val="00997614"/>
    <w:rsid w:val="0099778E"/>
    <w:rsid w:val="009977A8"/>
    <w:rsid w:val="009977CA"/>
    <w:rsid w:val="009977DC"/>
    <w:rsid w:val="00997845"/>
    <w:rsid w:val="00997869"/>
    <w:rsid w:val="009978B9"/>
    <w:rsid w:val="009978C4"/>
    <w:rsid w:val="00997AB3"/>
    <w:rsid w:val="00997B13"/>
    <w:rsid w:val="00997B4C"/>
    <w:rsid w:val="00997E6C"/>
    <w:rsid w:val="00997E97"/>
    <w:rsid w:val="009A0090"/>
    <w:rsid w:val="009A00E2"/>
    <w:rsid w:val="009A00EF"/>
    <w:rsid w:val="009A0118"/>
    <w:rsid w:val="009A01F2"/>
    <w:rsid w:val="009A0269"/>
    <w:rsid w:val="009A026C"/>
    <w:rsid w:val="009A0292"/>
    <w:rsid w:val="009A0314"/>
    <w:rsid w:val="009A0395"/>
    <w:rsid w:val="009A04B3"/>
    <w:rsid w:val="009A04E5"/>
    <w:rsid w:val="009A050E"/>
    <w:rsid w:val="009A05B5"/>
    <w:rsid w:val="009A05E0"/>
    <w:rsid w:val="009A0648"/>
    <w:rsid w:val="009A0757"/>
    <w:rsid w:val="009A0760"/>
    <w:rsid w:val="009A07C4"/>
    <w:rsid w:val="009A0806"/>
    <w:rsid w:val="009A094F"/>
    <w:rsid w:val="009A0A65"/>
    <w:rsid w:val="009A0CDF"/>
    <w:rsid w:val="009A0D0C"/>
    <w:rsid w:val="009A0DBB"/>
    <w:rsid w:val="009A0E21"/>
    <w:rsid w:val="009A0E41"/>
    <w:rsid w:val="009A0EA3"/>
    <w:rsid w:val="009A0EA9"/>
    <w:rsid w:val="009A0ED8"/>
    <w:rsid w:val="009A1001"/>
    <w:rsid w:val="009A1010"/>
    <w:rsid w:val="009A10A6"/>
    <w:rsid w:val="009A1235"/>
    <w:rsid w:val="009A128D"/>
    <w:rsid w:val="009A13BE"/>
    <w:rsid w:val="009A1411"/>
    <w:rsid w:val="009A14FC"/>
    <w:rsid w:val="009A15AB"/>
    <w:rsid w:val="009A161B"/>
    <w:rsid w:val="009A162B"/>
    <w:rsid w:val="009A1821"/>
    <w:rsid w:val="009A18E8"/>
    <w:rsid w:val="009A1902"/>
    <w:rsid w:val="009A1B41"/>
    <w:rsid w:val="009A1C15"/>
    <w:rsid w:val="009A1D96"/>
    <w:rsid w:val="009A1E37"/>
    <w:rsid w:val="009A1E45"/>
    <w:rsid w:val="009A1EC7"/>
    <w:rsid w:val="009A1EED"/>
    <w:rsid w:val="009A2198"/>
    <w:rsid w:val="009A233D"/>
    <w:rsid w:val="009A2459"/>
    <w:rsid w:val="009A2487"/>
    <w:rsid w:val="009A250C"/>
    <w:rsid w:val="009A2565"/>
    <w:rsid w:val="009A26F2"/>
    <w:rsid w:val="009A26FB"/>
    <w:rsid w:val="009A2743"/>
    <w:rsid w:val="009A27D3"/>
    <w:rsid w:val="009A288F"/>
    <w:rsid w:val="009A294E"/>
    <w:rsid w:val="009A2A71"/>
    <w:rsid w:val="009A2C97"/>
    <w:rsid w:val="009A2DDA"/>
    <w:rsid w:val="009A306D"/>
    <w:rsid w:val="009A30A4"/>
    <w:rsid w:val="009A30B3"/>
    <w:rsid w:val="009A3189"/>
    <w:rsid w:val="009A32B6"/>
    <w:rsid w:val="009A32C0"/>
    <w:rsid w:val="009A32F9"/>
    <w:rsid w:val="009A3499"/>
    <w:rsid w:val="009A34F8"/>
    <w:rsid w:val="009A361F"/>
    <w:rsid w:val="009A3679"/>
    <w:rsid w:val="009A3710"/>
    <w:rsid w:val="009A374C"/>
    <w:rsid w:val="009A37AB"/>
    <w:rsid w:val="009A3941"/>
    <w:rsid w:val="009A39C8"/>
    <w:rsid w:val="009A39D9"/>
    <w:rsid w:val="009A39E6"/>
    <w:rsid w:val="009A3A0C"/>
    <w:rsid w:val="009A3A88"/>
    <w:rsid w:val="009A3A89"/>
    <w:rsid w:val="009A3B63"/>
    <w:rsid w:val="009A3C83"/>
    <w:rsid w:val="009A3D55"/>
    <w:rsid w:val="009A3D79"/>
    <w:rsid w:val="009A402E"/>
    <w:rsid w:val="009A405F"/>
    <w:rsid w:val="009A409D"/>
    <w:rsid w:val="009A4124"/>
    <w:rsid w:val="009A41DF"/>
    <w:rsid w:val="009A423B"/>
    <w:rsid w:val="009A4251"/>
    <w:rsid w:val="009A4396"/>
    <w:rsid w:val="009A442B"/>
    <w:rsid w:val="009A4437"/>
    <w:rsid w:val="009A449B"/>
    <w:rsid w:val="009A44E5"/>
    <w:rsid w:val="009A44E8"/>
    <w:rsid w:val="009A454E"/>
    <w:rsid w:val="009A464C"/>
    <w:rsid w:val="009A46E6"/>
    <w:rsid w:val="009A4700"/>
    <w:rsid w:val="009A479F"/>
    <w:rsid w:val="009A47B6"/>
    <w:rsid w:val="009A47ED"/>
    <w:rsid w:val="009A4814"/>
    <w:rsid w:val="009A4868"/>
    <w:rsid w:val="009A4881"/>
    <w:rsid w:val="009A48FA"/>
    <w:rsid w:val="009A4928"/>
    <w:rsid w:val="009A4976"/>
    <w:rsid w:val="009A49B6"/>
    <w:rsid w:val="009A4A5B"/>
    <w:rsid w:val="009A4B28"/>
    <w:rsid w:val="009A4B62"/>
    <w:rsid w:val="009A4C56"/>
    <w:rsid w:val="009A4C67"/>
    <w:rsid w:val="009A4C7B"/>
    <w:rsid w:val="009A4C8E"/>
    <w:rsid w:val="009A4C92"/>
    <w:rsid w:val="009A4D88"/>
    <w:rsid w:val="009A4DDE"/>
    <w:rsid w:val="009A4E4B"/>
    <w:rsid w:val="009A4ECB"/>
    <w:rsid w:val="009A4F0B"/>
    <w:rsid w:val="009A4FC5"/>
    <w:rsid w:val="009A5005"/>
    <w:rsid w:val="009A5012"/>
    <w:rsid w:val="009A511F"/>
    <w:rsid w:val="009A5198"/>
    <w:rsid w:val="009A52CF"/>
    <w:rsid w:val="009A5412"/>
    <w:rsid w:val="009A54BC"/>
    <w:rsid w:val="009A55BE"/>
    <w:rsid w:val="009A55D9"/>
    <w:rsid w:val="009A560E"/>
    <w:rsid w:val="009A5631"/>
    <w:rsid w:val="009A563B"/>
    <w:rsid w:val="009A5657"/>
    <w:rsid w:val="009A569B"/>
    <w:rsid w:val="009A56A1"/>
    <w:rsid w:val="009A56C3"/>
    <w:rsid w:val="009A582F"/>
    <w:rsid w:val="009A583B"/>
    <w:rsid w:val="009A5861"/>
    <w:rsid w:val="009A5941"/>
    <w:rsid w:val="009A5A66"/>
    <w:rsid w:val="009A5B26"/>
    <w:rsid w:val="009A5CDF"/>
    <w:rsid w:val="009A5D96"/>
    <w:rsid w:val="009A5E06"/>
    <w:rsid w:val="009A5E1F"/>
    <w:rsid w:val="009A5E5C"/>
    <w:rsid w:val="009A5EEE"/>
    <w:rsid w:val="009A5F21"/>
    <w:rsid w:val="009A6025"/>
    <w:rsid w:val="009A6047"/>
    <w:rsid w:val="009A6222"/>
    <w:rsid w:val="009A62AF"/>
    <w:rsid w:val="009A62D6"/>
    <w:rsid w:val="009A62FA"/>
    <w:rsid w:val="009A633F"/>
    <w:rsid w:val="009A63B3"/>
    <w:rsid w:val="009A6417"/>
    <w:rsid w:val="009A6818"/>
    <w:rsid w:val="009A687E"/>
    <w:rsid w:val="009A68C0"/>
    <w:rsid w:val="009A69E3"/>
    <w:rsid w:val="009A6AEE"/>
    <w:rsid w:val="009A6BEF"/>
    <w:rsid w:val="009A6CE2"/>
    <w:rsid w:val="009A6E68"/>
    <w:rsid w:val="009A7322"/>
    <w:rsid w:val="009A73E2"/>
    <w:rsid w:val="009A7467"/>
    <w:rsid w:val="009A747D"/>
    <w:rsid w:val="009A760C"/>
    <w:rsid w:val="009A7746"/>
    <w:rsid w:val="009A7851"/>
    <w:rsid w:val="009A78FB"/>
    <w:rsid w:val="009A793C"/>
    <w:rsid w:val="009A7A96"/>
    <w:rsid w:val="009A7AA7"/>
    <w:rsid w:val="009A7BA7"/>
    <w:rsid w:val="009A7C5C"/>
    <w:rsid w:val="009A7CE9"/>
    <w:rsid w:val="009A7D75"/>
    <w:rsid w:val="009A7E67"/>
    <w:rsid w:val="009A7E75"/>
    <w:rsid w:val="009A7EEB"/>
    <w:rsid w:val="009A7FA2"/>
    <w:rsid w:val="009B000B"/>
    <w:rsid w:val="009B0019"/>
    <w:rsid w:val="009B00C2"/>
    <w:rsid w:val="009B026E"/>
    <w:rsid w:val="009B02C6"/>
    <w:rsid w:val="009B0341"/>
    <w:rsid w:val="009B0371"/>
    <w:rsid w:val="009B0410"/>
    <w:rsid w:val="009B0595"/>
    <w:rsid w:val="009B060F"/>
    <w:rsid w:val="009B07C3"/>
    <w:rsid w:val="009B08D3"/>
    <w:rsid w:val="009B08F4"/>
    <w:rsid w:val="009B0927"/>
    <w:rsid w:val="009B0977"/>
    <w:rsid w:val="009B09F5"/>
    <w:rsid w:val="009B0A42"/>
    <w:rsid w:val="009B0AAF"/>
    <w:rsid w:val="009B0B7F"/>
    <w:rsid w:val="009B0BE6"/>
    <w:rsid w:val="009B0C2D"/>
    <w:rsid w:val="009B0C7E"/>
    <w:rsid w:val="009B0CE4"/>
    <w:rsid w:val="009B0D68"/>
    <w:rsid w:val="009B0DD6"/>
    <w:rsid w:val="009B0E5F"/>
    <w:rsid w:val="009B0ED9"/>
    <w:rsid w:val="009B0F60"/>
    <w:rsid w:val="009B0FA0"/>
    <w:rsid w:val="009B1317"/>
    <w:rsid w:val="009B1384"/>
    <w:rsid w:val="009B1491"/>
    <w:rsid w:val="009B14A5"/>
    <w:rsid w:val="009B163B"/>
    <w:rsid w:val="009B1649"/>
    <w:rsid w:val="009B1898"/>
    <w:rsid w:val="009B1950"/>
    <w:rsid w:val="009B1A3D"/>
    <w:rsid w:val="009B1AEF"/>
    <w:rsid w:val="009B1BDF"/>
    <w:rsid w:val="009B1CE5"/>
    <w:rsid w:val="009B1E89"/>
    <w:rsid w:val="009B1E95"/>
    <w:rsid w:val="009B1ED9"/>
    <w:rsid w:val="009B1F0B"/>
    <w:rsid w:val="009B1F13"/>
    <w:rsid w:val="009B1FB1"/>
    <w:rsid w:val="009B1FFF"/>
    <w:rsid w:val="009B2060"/>
    <w:rsid w:val="009B2154"/>
    <w:rsid w:val="009B228B"/>
    <w:rsid w:val="009B2312"/>
    <w:rsid w:val="009B2349"/>
    <w:rsid w:val="009B2399"/>
    <w:rsid w:val="009B23C7"/>
    <w:rsid w:val="009B2420"/>
    <w:rsid w:val="009B2573"/>
    <w:rsid w:val="009B2670"/>
    <w:rsid w:val="009B27BD"/>
    <w:rsid w:val="009B27FC"/>
    <w:rsid w:val="009B286B"/>
    <w:rsid w:val="009B29F7"/>
    <w:rsid w:val="009B2AEB"/>
    <w:rsid w:val="009B2B13"/>
    <w:rsid w:val="009B2B26"/>
    <w:rsid w:val="009B2C06"/>
    <w:rsid w:val="009B2C9C"/>
    <w:rsid w:val="009B2CB9"/>
    <w:rsid w:val="009B2CCA"/>
    <w:rsid w:val="009B2CE9"/>
    <w:rsid w:val="009B2EB4"/>
    <w:rsid w:val="009B2EC8"/>
    <w:rsid w:val="009B2F19"/>
    <w:rsid w:val="009B2FB5"/>
    <w:rsid w:val="009B302E"/>
    <w:rsid w:val="009B3419"/>
    <w:rsid w:val="009B3434"/>
    <w:rsid w:val="009B3444"/>
    <w:rsid w:val="009B3460"/>
    <w:rsid w:val="009B34AF"/>
    <w:rsid w:val="009B34D0"/>
    <w:rsid w:val="009B3598"/>
    <w:rsid w:val="009B35B9"/>
    <w:rsid w:val="009B362D"/>
    <w:rsid w:val="009B3695"/>
    <w:rsid w:val="009B3739"/>
    <w:rsid w:val="009B3744"/>
    <w:rsid w:val="009B3749"/>
    <w:rsid w:val="009B376E"/>
    <w:rsid w:val="009B3827"/>
    <w:rsid w:val="009B3910"/>
    <w:rsid w:val="009B3925"/>
    <w:rsid w:val="009B3938"/>
    <w:rsid w:val="009B393D"/>
    <w:rsid w:val="009B397B"/>
    <w:rsid w:val="009B3BB4"/>
    <w:rsid w:val="009B3CD4"/>
    <w:rsid w:val="009B3DB2"/>
    <w:rsid w:val="009B3F24"/>
    <w:rsid w:val="009B3F65"/>
    <w:rsid w:val="009B3FBD"/>
    <w:rsid w:val="009B4005"/>
    <w:rsid w:val="009B400B"/>
    <w:rsid w:val="009B40B4"/>
    <w:rsid w:val="009B412A"/>
    <w:rsid w:val="009B41A7"/>
    <w:rsid w:val="009B420A"/>
    <w:rsid w:val="009B4486"/>
    <w:rsid w:val="009B44F0"/>
    <w:rsid w:val="009B454C"/>
    <w:rsid w:val="009B4600"/>
    <w:rsid w:val="009B4628"/>
    <w:rsid w:val="009B463F"/>
    <w:rsid w:val="009B4667"/>
    <w:rsid w:val="009B4669"/>
    <w:rsid w:val="009B47D4"/>
    <w:rsid w:val="009B4844"/>
    <w:rsid w:val="009B4917"/>
    <w:rsid w:val="009B4937"/>
    <w:rsid w:val="009B4957"/>
    <w:rsid w:val="009B495F"/>
    <w:rsid w:val="009B4A88"/>
    <w:rsid w:val="009B4A97"/>
    <w:rsid w:val="009B4B96"/>
    <w:rsid w:val="009B4BC3"/>
    <w:rsid w:val="009B4D1D"/>
    <w:rsid w:val="009B4E20"/>
    <w:rsid w:val="009B4F57"/>
    <w:rsid w:val="009B5111"/>
    <w:rsid w:val="009B5271"/>
    <w:rsid w:val="009B5342"/>
    <w:rsid w:val="009B5347"/>
    <w:rsid w:val="009B5406"/>
    <w:rsid w:val="009B540F"/>
    <w:rsid w:val="009B556F"/>
    <w:rsid w:val="009B5594"/>
    <w:rsid w:val="009B55F2"/>
    <w:rsid w:val="009B569B"/>
    <w:rsid w:val="009B573A"/>
    <w:rsid w:val="009B5784"/>
    <w:rsid w:val="009B57F1"/>
    <w:rsid w:val="009B59C8"/>
    <w:rsid w:val="009B5A18"/>
    <w:rsid w:val="009B5A2C"/>
    <w:rsid w:val="009B5AAA"/>
    <w:rsid w:val="009B5B47"/>
    <w:rsid w:val="009B5C00"/>
    <w:rsid w:val="009B5CA5"/>
    <w:rsid w:val="009B5CE4"/>
    <w:rsid w:val="009B5E23"/>
    <w:rsid w:val="009B5ED5"/>
    <w:rsid w:val="009B5EFB"/>
    <w:rsid w:val="009B5F00"/>
    <w:rsid w:val="009B5F89"/>
    <w:rsid w:val="009B5FC0"/>
    <w:rsid w:val="009B6364"/>
    <w:rsid w:val="009B649E"/>
    <w:rsid w:val="009B65AF"/>
    <w:rsid w:val="009B660F"/>
    <w:rsid w:val="009B66C2"/>
    <w:rsid w:val="009B66D8"/>
    <w:rsid w:val="009B67A8"/>
    <w:rsid w:val="009B683D"/>
    <w:rsid w:val="009B6988"/>
    <w:rsid w:val="009B6A12"/>
    <w:rsid w:val="009B6A32"/>
    <w:rsid w:val="009B6AE5"/>
    <w:rsid w:val="009B6AF1"/>
    <w:rsid w:val="009B6B30"/>
    <w:rsid w:val="009B6B3C"/>
    <w:rsid w:val="009B6B67"/>
    <w:rsid w:val="009B6B93"/>
    <w:rsid w:val="009B6C48"/>
    <w:rsid w:val="009B6DC3"/>
    <w:rsid w:val="009B6E1F"/>
    <w:rsid w:val="009B6E2E"/>
    <w:rsid w:val="009B6EB9"/>
    <w:rsid w:val="009B6F42"/>
    <w:rsid w:val="009B6FA2"/>
    <w:rsid w:val="009B70E6"/>
    <w:rsid w:val="009B7124"/>
    <w:rsid w:val="009B712A"/>
    <w:rsid w:val="009B715F"/>
    <w:rsid w:val="009B7255"/>
    <w:rsid w:val="009B7283"/>
    <w:rsid w:val="009B72B7"/>
    <w:rsid w:val="009B74B1"/>
    <w:rsid w:val="009B750D"/>
    <w:rsid w:val="009B7517"/>
    <w:rsid w:val="009B75F5"/>
    <w:rsid w:val="009B76F2"/>
    <w:rsid w:val="009B7755"/>
    <w:rsid w:val="009B7757"/>
    <w:rsid w:val="009B77A5"/>
    <w:rsid w:val="009B781C"/>
    <w:rsid w:val="009B7AD1"/>
    <w:rsid w:val="009B7BEE"/>
    <w:rsid w:val="009B7CB4"/>
    <w:rsid w:val="009B7D45"/>
    <w:rsid w:val="009B7DA3"/>
    <w:rsid w:val="009B7E9A"/>
    <w:rsid w:val="009B7FC1"/>
    <w:rsid w:val="009B7FF9"/>
    <w:rsid w:val="009C007B"/>
    <w:rsid w:val="009C0239"/>
    <w:rsid w:val="009C024F"/>
    <w:rsid w:val="009C02C2"/>
    <w:rsid w:val="009C02EB"/>
    <w:rsid w:val="009C033A"/>
    <w:rsid w:val="009C0372"/>
    <w:rsid w:val="009C0478"/>
    <w:rsid w:val="009C04BB"/>
    <w:rsid w:val="009C04BF"/>
    <w:rsid w:val="009C050B"/>
    <w:rsid w:val="009C050E"/>
    <w:rsid w:val="009C066F"/>
    <w:rsid w:val="009C0747"/>
    <w:rsid w:val="009C075E"/>
    <w:rsid w:val="009C0798"/>
    <w:rsid w:val="009C07AA"/>
    <w:rsid w:val="009C07C3"/>
    <w:rsid w:val="009C08FF"/>
    <w:rsid w:val="009C0AC4"/>
    <w:rsid w:val="009C0B96"/>
    <w:rsid w:val="009C0BDB"/>
    <w:rsid w:val="009C0BEC"/>
    <w:rsid w:val="009C0D1A"/>
    <w:rsid w:val="009C0D1C"/>
    <w:rsid w:val="009C0DCE"/>
    <w:rsid w:val="009C0E1D"/>
    <w:rsid w:val="009C1004"/>
    <w:rsid w:val="009C105B"/>
    <w:rsid w:val="009C112A"/>
    <w:rsid w:val="009C116B"/>
    <w:rsid w:val="009C11AC"/>
    <w:rsid w:val="009C12C8"/>
    <w:rsid w:val="009C131C"/>
    <w:rsid w:val="009C1404"/>
    <w:rsid w:val="009C140D"/>
    <w:rsid w:val="009C1520"/>
    <w:rsid w:val="009C1571"/>
    <w:rsid w:val="009C1595"/>
    <w:rsid w:val="009C1656"/>
    <w:rsid w:val="009C16C5"/>
    <w:rsid w:val="009C16F7"/>
    <w:rsid w:val="009C18A4"/>
    <w:rsid w:val="009C18AF"/>
    <w:rsid w:val="009C18B4"/>
    <w:rsid w:val="009C19C8"/>
    <w:rsid w:val="009C1BBE"/>
    <w:rsid w:val="009C1BE3"/>
    <w:rsid w:val="009C1DC3"/>
    <w:rsid w:val="009C1F94"/>
    <w:rsid w:val="009C2001"/>
    <w:rsid w:val="009C2050"/>
    <w:rsid w:val="009C2094"/>
    <w:rsid w:val="009C20E3"/>
    <w:rsid w:val="009C21F3"/>
    <w:rsid w:val="009C2211"/>
    <w:rsid w:val="009C22B1"/>
    <w:rsid w:val="009C246F"/>
    <w:rsid w:val="009C25B0"/>
    <w:rsid w:val="009C2609"/>
    <w:rsid w:val="009C261B"/>
    <w:rsid w:val="009C2657"/>
    <w:rsid w:val="009C26EB"/>
    <w:rsid w:val="009C26F1"/>
    <w:rsid w:val="009C2743"/>
    <w:rsid w:val="009C279B"/>
    <w:rsid w:val="009C282A"/>
    <w:rsid w:val="009C294F"/>
    <w:rsid w:val="009C2A76"/>
    <w:rsid w:val="009C2A7A"/>
    <w:rsid w:val="009C2AA6"/>
    <w:rsid w:val="009C2B1C"/>
    <w:rsid w:val="009C2B41"/>
    <w:rsid w:val="009C2C28"/>
    <w:rsid w:val="009C2CD1"/>
    <w:rsid w:val="009C2E04"/>
    <w:rsid w:val="009C2E71"/>
    <w:rsid w:val="009C2EDC"/>
    <w:rsid w:val="009C2F1C"/>
    <w:rsid w:val="009C2FE0"/>
    <w:rsid w:val="009C3084"/>
    <w:rsid w:val="009C319A"/>
    <w:rsid w:val="009C31B9"/>
    <w:rsid w:val="009C32AE"/>
    <w:rsid w:val="009C32B3"/>
    <w:rsid w:val="009C3416"/>
    <w:rsid w:val="009C3465"/>
    <w:rsid w:val="009C3522"/>
    <w:rsid w:val="009C355A"/>
    <w:rsid w:val="009C3591"/>
    <w:rsid w:val="009C3628"/>
    <w:rsid w:val="009C375F"/>
    <w:rsid w:val="009C390A"/>
    <w:rsid w:val="009C396B"/>
    <w:rsid w:val="009C3AE1"/>
    <w:rsid w:val="009C3B1F"/>
    <w:rsid w:val="009C3B97"/>
    <w:rsid w:val="009C3C6C"/>
    <w:rsid w:val="009C3CC7"/>
    <w:rsid w:val="009C3D45"/>
    <w:rsid w:val="009C3E3D"/>
    <w:rsid w:val="009C3F04"/>
    <w:rsid w:val="009C3F4E"/>
    <w:rsid w:val="009C4225"/>
    <w:rsid w:val="009C44FE"/>
    <w:rsid w:val="009C4585"/>
    <w:rsid w:val="009C4697"/>
    <w:rsid w:val="009C4790"/>
    <w:rsid w:val="009C486D"/>
    <w:rsid w:val="009C4876"/>
    <w:rsid w:val="009C48CD"/>
    <w:rsid w:val="009C49C6"/>
    <w:rsid w:val="009C49EF"/>
    <w:rsid w:val="009C4A04"/>
    <w:rsid w:val="009C4A36"/>
    <w:rsid w:val="009C4B42"/>
    <w:rsid w:val="009C4DD6"/>
    <w:rsid w:val="009C4FA5"/>
    <w:rsid w:val="009C4FD7"/>
    <w:rsid w:val="009C504E"/>
    <w:rsid w:val="009C51E5"/>
    <w:rsid w:val="009C5232"/>
    <w:rsid w:val="009C5257"/>
    <w:rsid w:val="009C527C"/>
    <w:rsid w:val="009C52C4"/>
    <w:rsid w:val="009C5465"/>
    <w:rsid w:val="009C5512"/>
    <w:rsid w:val="009C566D"/>
    <w:rsid w:val="009C5703"/>
    <w:rsid w:val="009C5725"/>
    <w:rsid w:val="009C574B"/>
    <w:rsid w:val="009C578A"/>
    <w:rsid w:val="009C57F7"/>
    <w:rsid w:val="009C58C4"/>
    <w:rsid w:val="009C58D8"/>
    <w:rsid w:val="009C595E"/>
    <w:rsid w:val="009C598C"/>
    <w:rsid w:val="009C59BA"/>
    <w:rsid w:val="009C5BF2"/>
    <w:rsid w:val="009C5C56"/>
    <w:rsid w:val="009C5CD5"/>
    <w:rsid w:val="009C5EFA"/>
    <w:rsid w:val="009C6055"/>
    <w:rsid w:val="009C61CE"/>
    <w:rsid w:val="009C61D0"/>
    <w:rsid w:val="009C62FC"/>
    <w:rsid w:val="009C6318"/>
    <w:rsid w:val="009C631D"/>
    <w:rsid w:val="009C636D"/>
    <w:rsid w:val="009C640A"/>
    <w:rsid w:val="009C65C8"/>
    <w:rsid w:val="009C6736"/>
    <w:rsid w:val="009C67EF"/>
    <w:rsid w:val="009C67FD"/>
    <w:rsid w:val="009C6956"/>
    <w:rsid w:val="009C69FA"/>
    <w:rsid w:val="009C6A75"/>
    <w:rsid w:val="009C6AF4"/>
    <w:rsid w:val="009C6B0D"/>
    <w:rsid w:val="009C6BA6"/>
    <w:rsid w:val="009C6BE1"/>
    <w:rsid w:val="009C6CED"/>
    <w:rsid w:val="009C6DD7"/>
    <w:rsid w:val="009C6DE6"/>
    <w:rsid w:val="009C6DF1"/>
    <w:rsid w:val="009C6E10"/>
    <w:rsid w:val="009C6E75"/>
    <w:rsid w:val="009C6F32"/>
    <w:rsid w:val="009C6F37"/>
    <w:rsid w:val="009C6F49"/>
    <w:rsid w:val="009C6F74"/>
    <w:rsid w:val="009C706F"/>
    <w:rsid w:val="009C71CF"/>
    <w:rsid w:val="009C71E8"/>
    <w:rsid w:val="009C72D8"/>
    <w:rsid w:val="009C72E8"/>
    <w:rsid w:val="009C742A"/>
    <w:rsid w:val="009C742B"/>
    <w:rsid w:val="009C7497"/>
    <w:rsid w:val="009C75A9"/>
    <w:rsid w:val="009C75FA"/>
    <w:rsid w:val="009C76A8"/>
    <w:rsid w:val="009C76CD"/>
    <w:rsid w:val="009C7719"/>
    <w:rsid w:val="009C77EB"/>
    <w:rsid w:val="009C7850"/>
    <w:rsid w:val="009C78B3"/>
    <w:rsid w:val="009C78BC"/>
    <w:rsid w:val="009C7A35"/>
    <w:rsid w:val="009C7A5B"/>
    <w:rsid w:val="009C7A62"/>
    <w:rsid w:val="009C7A9D"/>
    <w:rsid w:val="009C7ABB"/>
    <w:rsid w:val="009C7AF7"/>
    <w:rsid w:val="009C7BC5"/>
    <w:rsid w:val="009C7C74"/>
    <w:rsid w:val="009C7E61"/>
    <w:rsid w:val="009C7ECB"/>
    <w:rsid w:val="009C7EE7"/>
    <w:rsid w:val="009C7F2B"/>
    <w:rsid w:val="009C7F61"/>
    <w:rsid w:val="009D0002"/>
    <w:rsid w:val="009D006D"/>
    <w:rsid w:val="009D01D8"/>
    <w:rsid w:val="009D0246"/>
    <w:rsid w:val="009D0272"/>
    <w:rsid w:val="009D03EC"/>
    <w:rsid w:val="009D0545"/>
    <w:rsid w:val="009D0610"/>
    <w:rsid w:val="009D062B"/>
    <w:rsid w:val="009D0689"/>
    <w:rsid w:val="009D0829"/>
    <w:rsid w:val="009D092B"/>
    <w:rsid w:val="009D09DE"/>
    <w:rsid w:val="009D0ADC"/>
    <w:rsid w:val="009D0B19"/>
    <w:rsid w:val="009D0D1C"/>
    <w:rsid w:val="009D0D2C"/>
    <w:rsid w:val="009D0DEF"/>
    <w:rsid w:val="009D0E3C"/>
    <w:rsid w:val="009D0E63"/>
    <w:rsid w:val="009D0E8A"/>
    <w:rsid w:val="009D0F82"/>
    <w:rsid w:val="009D0FA4"/>
    <w:rsid w:val="009D101F"/>
    <w:rsid w:val="009D1096"/>
    <w:rsid w:val="009D10DA"/>
    <w:rsid w:val="009D118C"/>
    <w:rsid w:val="009D1210"/>
    <w:rsid w:val="009D1326"/>
    <w:rsid w:val="009D138A"/>
    <w:rsid w:val="009D1453"/>
    <w:rsid w:val="009D14A9"/>
    <w:rsid w:val="009D14B9"/>
    <w:rsid w:val="009D1502"/>
    <w:rsid w:val="009D1505"/>
    <w:rsid w:val="009D158C"/>
    <w:rsid w:val="009D15C3"/>
    <w:rsid w:val="009D15F9"/>
    <w:rsid w:val="009D165E"/>
    <w:rsid w:val="009D1693"/>
    <w:rsid w:val="009D16C1"/>
    <w:rsid w:val="009D1721"/>
    <w:rsid w:val="009D180D"/>
    <w:rsid w:val="009D1889"/>
    <w:rsid w:val="009D18D2"/>
    <w:rsid w:val="009D1B1D"/>
    <w:rsid w:val="009D1B3F"/>
    <w:rsid w:val="009D1C22"/>
    <w:rsid w:val="009D1C56"/>
    <w:rsid w:val="009D1D0F"/>
    <w:rsid w:val="009D1D52"/>
    <w:rsid w:val="009D1D53"/>
    <w:rsid w:val="009D1D62"/>
    <w:rsid w:val="009D1E13"/>
    <w:rsid w:val="009D1F3E"/>
    <w:rsid w:val="009D1F81"/>
    <w:rsid w:val="009D215F"/>
    <w:rsid w:val="009D22AC"/>
    <w:rsid w:val="009D22F7"/>
    <w:rsid w:val="009D2340"/>
    <w:rsid w:val="009D23A5"/>
    <w:rsid w:val="009D2579"/>
    <w:rsid w:val="009D257C"/>
    <w:rsid w:val="009D2653"/>
    <w:rsid w:val="009D2696"/>
    <w:rsid w:val="009D270F"/>
    <w:rsid w:val="009D27F4"/>
    <w:rsid w:val="009D2938"/>
    <w:rsid w:val="009D295B"/>
    <w:rsid w:val="009D29B3"/>
    <w:rsid w:val="009D2A2D"/>
    <w:rsid w:val="009D2AEB"/>
    <w:rsid w:val="009D2B90"/>
    <w:rsid w:val="009D2C52"/>
    <w:rsid w:val="009D2D01"/>
    <w:rsid w:val="009D2D33"/>
    <w:rsid w:val="009D2D60"/>
    <w:rsid w:val="009D2E04"/>
    <w:rsid w:val="009D2ECB"/>
    <w:rsid w:val="009D2ED3"/>
    <w:rsid w:val="009D2F62"/>
    <w:rsid w:val="009D30E5"/>
    <w:rsid w:val="009D3101"/>
    <w:rsid w:val="009D31EA"/>
    <w:rsid w:val="009D326B"/>
    <w:rsid w:val="009D33AA"/>
    <w:rsid w:val="009D33B9"/>
    <w:rsid w:val="009D3531"/>
    <w:rsid w:val="009D356C"/>
    <w:rsid w:val="009D35E6"/>
    <w:rsid w:val="009D3649"/>
    <w:rsid w:val="009D3761"/>
    <w:rsid w:val="009D3784"/>
    <w:rsid w:val="009D37F2"/>
    <w:rsid w:val="009D3811"/>
    <w:rsid w:val="009D393D"/>
    <w:rsid w:val="009D39FB"/>
    <w:rsid w:val="009D3A8C"/>
    <w:rsid w:val="009D3AEE"/>
    <w:rsid w:val="009D3B44"/>
    <w:rsid w:val="009D3B72"/>
    <w:rsid w:val="009D3BC6"/>
    <w:rsid w:val="009D3CB0"/>
    <w:rsid w:val="009D3CC1"/>
    <w:rsid w:val="009D3D02"/>
    <w:rsid w:val="009D3E40"/>
    <w:rsid w:val="009D3F06"/>
    <w:rsid w:val="009D3F3D"/>
    <w:rsid w:val="009D3F5D"/>
    <w:rsid w:val="009D40EF"/>
    <w:rsid w:val="009D412D"/>
    <w:rsid w:val="009D4157"/>
    <w:rsid w:val="009D4228"/>
    <w:rsid w:val="009D422F"/>
    <w:rsid w:val="009D4335"/>
    <w:rsid w:val="009D441B"/>
    <w:rsid w:val="009D4478"/>
    <w:rsid w:val="009D44AD"/>
    <w:rsid w:val="009D44FE"/>
    <w:rsid w:val="009D4593"/>
    <w:rsid w:val="009D46E5"/>
    <w:rsid w:val="009D470E"/>
    <w:rsid w:val="009D4720"/>
    <w:rsid w:val="009D47D0"/>
    <w:rsid w:val="009D4878"/>
    <w:rsid w:val="009D492C"/>
    <w:rsid w:val="009D4936"/>
    <w:rsid w:val="009D4950"/>
    <w:rsid w:val="009D49AD"/>
    <w:rsid w:val="009D4A67"/>
    <w:rsid w:val="009D4BD9"/>
    <w:rsid w:val="009D4BF6"/>
    <w:rsid w:val="009D4C01"/>
    <w:rsid w:val="009D4DDB"/>
    <w:rsid w:val="009D5036"/>
    <w:rsid w:val="009D51A5"/>
    <w:rsid w:val="009D5280"/>
    <w:rsid w:val="009D5326"/>
    <w:rsid w:val="009D53A1"/>
    <w:rsid w:val="009D53EE"/>
    <w:rsid w:val="009D5418"/>
    <w:rsid w:val="009D54BC"/>
    <w:rsid w:val="009D553B"/>
    <w:rsid w:val="009D5557"/>
    <w:rsid w:val="009D559B"/>
    <w:rsid w:val="009D55D1"/>
    <w:rsid w:val="009D563E"/>
    <w:rsid w:val="009D575C"/>
    <w:rsid w:val="009D58F7"/>
    <w:rsid w:val="009D5A5E"/>
    <w:rsid w:val="009D5A9D"/>
    <w:rsid w:val="009D5AC8"/>
    <w:rsid w:val="009D5B30"/>
    <w:rsid w:val="009D5B51"/>
    <w:rsid w:val="009D5B74"/>
    <w:rsid w:val="009D5BDC"/>
    <w:rsid w:val="009D5BE1"/>
    <w:rsid w:val="009D5D1E"/>
    <w:rsid w:val="009D5D27"/>
    <w:rsid w:val="009D5D3D"/>
    <w:rsid w:val="009D5D93"/>
    <w:rsid w:val="009D5DFD"/>
    <w:rsid w:val="009D5E5F"/>
    <w:rsid w:val="009D5F4E"/>
    <w:rsid w:val="009D5F7F"/>
    <w:rsid w:val="009D5F88"/>
    <w:rsid w:val="009D6057"/>
    <w:rsid w:val="009D624B"/>
    <w:rsid w:val="009D62DD"/>
    <w:rsid w:val="009D6373"/>
    <w:rsid w:val="009D64CE"/>
    <w:rsid w:val="009D6517"/>
    <w:rsid w:val="009D6542"/>
    <w:rsid w:val="009D65D2"/>
    <w:rsid w:val="009D6636"/>
    <w:rsid w:val="009D668A"/>
    <w:rsid w:val="009D66BC"/>
    <w:rsid w:val="009D681D"/>
    <w:rsid w:val="009D6827"/>
    <w:rsid w:val="009D6935"/>
    <w:rsid w:val="009D6A18"/>
    <w:rsid w:val="009D6A76"/>
    <w:rsid w:val="009D6B3E"/>
    <w:rsid w:val="009D6B44"/>
    <w:rsid w:val="009D6B4A"/>
    <w:rsid w:val="009D6C04"/>
    <w:rsid w:val="009D6C59"/>
    <w:rsid w:val="009D6CF9"/>
    <w:rsid w:val="009D6CFC"/>
    <w:rsid w:val="009D6D12"/>
    <w:rsid w:val="009D6D6E"/>
    <w:rsid w:val="009D6D71"/>
    <w:rsid w:val="009D6D91"/>
    <w:rsid w:val="009D6DAD"/>
    <w:rsid w:val="009D6DC7"/>
    <w:rsid w:val="009D6E27"/>
    <w:rsid w:val="009D6F46"/>
    <w:rsid w:val="009D6F64"/>
    <w:rsid w:val="009D6F6D"/>
    <w:rsid w:val="009D6F93"/>
    <w:rsid w:val="009D70F7"/>
    <w:rsid w:val="009D7140"/>
    <w:rsid w:val="009D7170"/>
    <w:rsid w:val="009D71A9"/>
    <w:rsid w:val="009D7355"/>
    <w:rsid w:val="009D73B6"/>
    <w:rsid w:val="009D7579"/>
    <w:rsid w:val="009D75FF"/>
    <w:rsid w:val="009D7669"/>
    <w:rsid w:val="009D77FD"/>
    <w:rsid w:val="009D7885"/>
    <w:rsid w:val="009D79D3"/>
    <w:rsid w:val="009D7A00"/>
    <w:rsid w:val="009D7A54"/>
    <w:rsid w:val="009D7B12"/>
    <w:rsid w:val="009D7C27"/>
    <w:rsid w:val="009D7C3D"/>
    <w:rsid w:val="009D7CAC"/>
    <w:rsid w:val="009D7D33"/>
    <w:rsid w:val="009D7E21"/>
    <w:rsid w:val="009D7F5B"/>
    <w:rsid w:val="009D7F77"/>
    <w:rsid w:val="009E002E"/>
    <w:rsid w:val="009E0109"/>
    <w:rsid w:val="009E01E3"/>
    <w:rsid w:val="009E02A1"/>
    <w:rsid w:val="009E02A3"/>
    <w:rsid w:val="009E0356"/>
    <w:rsid w:val="009E0459"/>
    <w:rsid w:val="009E04CD"/>
    <w:rsid w:val="009E050A"/>
    <w:rsid w:val="009E05B0"/>
    <w:rsid w:val="009E05BE"/>
    <w:rsid w:val="009E05E4"/>
    <w:rsid w:val="009E05F7"/>
    <w:rsid w:val="009E06D4"/>
    <w:rsid w:val="009E06DB"/>
    <w:rsid w:val="009E06F3"/>
    <w:rsid w:val="009E0718"/>
    <w:rsid w:val="009E075E"/>
    <w:rsid w:val="009E08BF"/>
    <w:rsid w:val="009E0952"/>
    <w:rsid w:val="009E0994"/>
    <w:rsid w:val="009E09A2"/>
    <w:rsid w:val="009E0A7E"/>
    <w:rsid w:val="009E0AFE"/>
    <w:rsid w:val="009E0B87"/>
    <w:rsid w:val="009E0C7D"/>
    <w:rsid w:val="009E100D"/>
    <w:rsid w:val="009E109C"/>
    <w:rsid w:val="009E1233"/>
    <w:rsid w:val="009E1286"/>
    <w:rsid w:val="009E12B4"/>
    <w:rsid w:val="009E12C5"/>
    <w:rsid w:val="009E132C"/>
    <w:rsid w:val="009E13A6"/>
    <w:rsid w:val="009E13FE"/>
    <w:rsid w:val="009E1431"/>
    <w:rsid w:val="009E1610"/>
    <w:rsid w:val="009E1613"/>
    <w:rsid w:val="009E1683"/>
    <w:rsid w:val="009E192D"/>
    <w:rsid w:val="009E1937"/>
    <w:rsid w:val="009E1A71"/>
    <w:rsid w:val="009E1B57"/>
    <w:rsid w:val="009E1B67"/>
    <w:rsid w:val="009E1BE0"/>
    <w:rsid w:val="009E1C56"/>
    <w:rsid w:val="009E1CE8"/>
    <w:rsid w:val="009E1D94"/>
    <w:rsid w:val="009E1E03"/>
    <w:rsid w:val="009E1E94"/>
    <w:rsid w:val="009E1F99"/>
    <w:rsid w:val="009E2031"/>
    <w:rsid w:val="009E2089"/>
    <w:rsid w:val="009E20E1"/>
    <w:rsid w:val="009E2133"/>
    <w:rsid w:val="009E219D"/>
    <w:rsid w:val="009E21A1"/>
    <w:rsid w:val="009E21EA"/>
    <w:rsid w:val="009E239C"/>
    <w:rsid w:val="009E2453"/>
    <w:rsid w:val="009E24FA"/>
    <w:rsid w:val="009E2580"/>
    <w:rsid w:val="009E25AE"/>
    <w:rsid w:val="009E25E4"/>
    <w:rsid w:val="009E26C9"/>
    <w:rsid w:val="009E26CC"/>
    <w:rsid w:val="009E27FE"/>
    <w:rsid w:val="009E282F"/>
    <w:rsid w:val="009E28AE"/>
    <w:rsid w:val="009E28E3"/>
    <w:rsid w:val="009E29DA"/>
    <w:rsid w:val="009E2BD7"/>
    <w:rsid w:val="009E2CCA"/>
    <w:rsid w:val="009E2CE9"/>
    <w:rsid w:val="009E2D21"/>
    <w:rsid w:val="009E2D64"/>
    <w:rsid w:val="009E2D8C"/>
    <w:rsid w:val="009E2D95"/>
    <w:rsid w:val="009E3004"/>
    <w:rsid w:val="009E3022"/>
    <w:rsid w:val="009E3047"/>
    <w:rsid w:val="009E30D3"/>
    <w:rsid w:val="009E315D"/>
    <w:rsid w:val="009E31A9"/>
    <w:rsid w:val="009E31EA"/>
    <w:rsid w:val="009E31F3"/>
    <w:rsid w:val="009E34C0"/>
    <w:rsid w:val="009E36B3"/>
    <w:rsid w:val="009E36ED"/>
    <w:rsid w:val="009E3736"/>
    <w:rsid w:val="009E37E7"/>
    <w:rsid w:val="009E38DE"/>
    <w:rsid w:val="009E390B"/>
    <w:rsid w:val="009E391E"/>
    <w:rsid w:val="009E39FC"/>
    <w:rsid w:val="009E3A2F"/>
    <w:rsid w:val="009E3B00"/>
    <w:rsid w:val="009E3B15"/>
    <w:rsid w:val="009E3B37"/>
    <w:rsid w:val="009E3B95"/>
    <w:rsid w:val="009E3CD0"/>
    <w:rsid w:val="009E3DF8"/>
    <w:rsid w:val="009E3E4B"/>
    <w:rsid w:val="009E3FEF"/>
    <w:rsid w:val="009E407D"/>
    <w:rsid w:val="009E41E9"/>
    <w:rsid w:val="009E430C"/>
    <w:rsid w:val="009E43D1"/>
    <w:rsid w:val="009E43D6"/>
    <w:rsid w:val="009E4416"/>
    <w:rsid w:val="009E4425"/>
    <w:rsid w:val="009E443E"/>
    <w:rsid w:val="009E44A1"/>
    <w:rsid w:val="009E44FE"/>
    <w:rsid w:val="009E4510"/>
    <w:rsid w:val="009E45D5"/>
    <w:rsid w:val="009E4654"/>
    <w:rsid w:val="009E46E5"/>
    <w:rsid w:val="009E47DD"/>
    <w:rsid w:val="009E4928"/>
    <w:rsid w:val="009E495E"/>
    <w:rsid w:val="009E49A9"/>
    <w:rsid w:val="009E4A14"/>
    <w:rsid w:val="009E4A65"/>
    <w:rsid w:val="009E4B7F"/>
    <w:rsid w:val="009E4BA5"/>
    <w:rsid w:val="009E4BD7"/>
    <w:rsid w:val="009E4C02"/>
    <w:rsid w:val="009E4D0E"/>
    <w:rsid w:val="009E4F1E"/>
    <w:rsid w:val="009E501A"/>
    <w:rsid w:val="009E51A9"/>
    <w:rsid w:val="009E5244"/>
    <w:rsid w:val="009E52B3"/>
    <w:rsid w:val="009E52EB"/>
    <w:rsid w:val="009E5328"/>
    <w:rsid w:val="009E539A"/>
    <w:rsid w:val="009E5457"/>
    <w:rsid w:val="009E5514"/>
    <w:rsid w:val="009E55CE"/>
    <w:rsid w:val="009E55EC"/>
    <w:rsid w:val="009E5604"/>
    <w:rsid w:val="009E5668"/>
    <w:rsid w:val="009E5695"/>
    <w:rsid w:val="009E58BD"/>
    <w:rsid w:val="009E58CE"/>
    <w:rsid w:val="009E598A"/>
    <w:rsid w:val="009E5AC3"/>
    <w:rsid w:val="009E5BD0"/>
    <w:rsid w:val="009E5C52"/>
    <w:rsid w:val="009E5CAA"/>
    <w:rsid w:val="009E5ED8"/>
    <w:rsid w:val="009E5F2D"/>
    <w:rsid w:val="009E6083"/>
    <w:rsid w:val="009E6167"/>
    <w:rsid w:val="009E6179"/>
    <w:rsid w:val="009E61E4"/>
    <w:rsid w:val="009E62A4"/>
    <w:rsid w:val="009E62E5"/>
    <w:rsid w:val="009E63E0"/>
    <w:rsid w:val="009E63FB"/>
    <w:rsid w:val="009E63FF"/>
    <w:rsid w:val="009E641A"/>
    <w:rsid w:val="009E64B5"/>
    <w:rsid w:val="009E64F0"/>
    <w:rsid w:val="009E6526"/>
    <w:rsid w:val="009E6533"/>
    <w:rsid w:val="009E656A"/>
    <w:rsid w:val="009E6647"/>
    <w:rsid w:val="009E66DA"/>
    <w:rsid w:val="009E66EE"/>
    <w:rsid w:val="009E670C"/>
    <w:rsid w:val="009E6759"/>
    <w:rsid w:val="009E67A8"/>
    <w:rsid w:val="009E67BD"/>
    <w:rsid w:val="009E67DA"/>
    <w:rsid w:val="009E6816"/>
    <w:rsid w:val="009E6A0C"/>
    <w:rsid w:val="009E6A54"/>
    <w:rsid w:val="009E6A5A"/>
    <w:rsid w:val="009E6ADF"/>
    <w:rsid w:val="009E6C2D"/>
    <w:rsid w:val="009E6C3C"/>
    <w:rsid w:val="009E6CF0"/>
    <w:rsid w:val="009E6D1F"/>
    <w:rsid w:val="009E6D3C"/>
    <w:rsid w:val="009E6DB7"/>
    <w:rsid w:val="009E6E2A"/>
    <w:rsid w:val="009E6F5E"/>
    <w:rsid w:val="009E6FB8"/>
    <w:rsid w:val="009E70FF"/>
    <w:rsid w:val="009E7283"/>
    <w:rsid w:val="009E72A2"/>
    <w:rsid w:val="009E72B9"/>
    <w:rsid w:val="009E734B"/>
    <w:rsid w:val="009E7357"/>
    <w:rsid w:val="009E74B4"/>
    <w:rsid w:val="009E767D"/>
    <w:rsid w:val="009E776F"/>
    <w:rsid w:val="009E7898"/>
    <w:rsid w:val="009E7A1A"/>
    <w:rsid w:val="009E7A37"/>
    <w:rsid w:val="009E7CCB"/>
    <w:rsid w:val="009E7D0D"/>
    <w:rsid w:val="009E7D2E"/>
    <w:rsid w:val="009E7D58"/>
    <w:rsid w:val="009E7DE9"/>
    <w:rsid w:val="009E7F5C"/>
    <w:rsid w:val="009E7F64"/>
    <w:rsid w:val="009F003F"/>
    <w:rsid w:val="009F0047"/>
    <w:rsid w:val="009F0076"/>
    <w:rsid w:val="009F00BA"/>
    <w:rsid w:val="009F00DE"/>
    <w:rsid w:val="009F00F3"/>
    <w:rsid w:val="009F014C"/>
    <w:rsid w:val="009F03CD"/>
    <w:rsid w:val="009F03D4"/>
    <w:rsid w:val="009F0422"/>
    <w:rsid w:val="009F0533"/>
    <w:rsid w:val="009F053F"/>
    <w:rsid w:val="009F0565"/>
    <w:rsid w:val="009F0673"/>
    <w:rsid w:val="009F06CB"/>
    <w:rsid w:val="009F06FE"/>
    <w:rsid w:val="009F076E"/>
    <w:rsid w:val="009F0772"/>
    <w:rsid w:val="009F07FA"/>
    <w:rsid w:val="009F082B"/>
    <w:rsid w:val="009F082F"/>
    <w:rsid w:val="009F0895"/>
    <w:rsid w:val="009F094B"/>
    <w:rsid w:val="009F0967"/>
    <w:rsid w:val="009F096B"/>
    <w:rsid w:val="009F0A8A"/>
    <w:rsid w:val="009F0A93"/>
    <w:rsid w:val="009F0B64"/>
    <w:rsid w:val="009F0B80"/>
    <w:rsid w:val="009F0BF6"/>
    <w:rsid w:val="009F0D7F"/>
    <w:rsid w:val="009F0E1C"/>
    <w:rsid w:val="009F0FB8"/>
    <w:rsid w:val="009F0FCA"/>
    <w:rsid w:val="009F0FD1"/>
    <w:rsid w:val="009F0FF5"/>
    <w:rsid w:val="009F1034"/>
    <w:rsid w:val="009F10C8"/>
    <w:rsid w:val="009F1133"/>
    <w:rsid w:val="009F138B"/>
    <w:rsid w:val="009F13D4"/>
    <w:rsid w:val="009F14CB"/>
    <w:rsid w:val="009F163B"/>
    <w:rsid w:val="009F179D"/>
    <w:rsid w:val="009F1803"/>
    <w:rsid w:val="009F1880"/>
    <w:rsid w:val="009F1891"/>
    <w:rsid w:val="009F18B0"/>
    <w:rsid w:val="009F1A6F"/>
    <w:rsid w:val="009F1A90"/>
    <w:rsid w:val="009F1B1B"/>
    <w:rsid w:val="009F1B66"/>
    <w:rsid w:val="009F1C80"/>
    <w:rsid w:val="009F1CCF"/>
    <w:rsid w:val="009F1CD5"/>
    <w:rsid w:val="009F1D4D"/>
    <w:rsid w:val="009F1D82"/>
    <w:rsid w:val="009F1F30"/>
    <w:rsid w:val="009F2015"/>
    <w:rsid w:val="009F2156"/>
    <w:rsid w:val="009F21F3"/>
    <w:rsid w:val="009F23BF"/>
    <w:rsid w:val="009F245B"/>
    <w:rsid w:val="009F246D"/>
    <w:rsid w:val="009F2498"/>
    <w:rsid w:val="009F2610"/>
    <w:rsid w:val="009F2704"/>
    <w:rsid w:val="009F27BA"/>
    <w:rsid w:val="009F2B5A"/>
    <w:rsid w:val="009F2BA5"/>
    <w:rsid w:val="009F2D6D"/>
    <w:rsid w:val="009F2DB8"/>
    <w:rsid w:val="009F2E08"/>
    <w:rsid w:val="009F2E91"/>
    <w:rsid w:val="009F2F9C"/>
    <w:rsid w:val="009F2FE2"/>
    <w:rsid w:val="009F31FE"/>
    <w:rsid w:val="009F340C"/>
    <w:rsid w:val="009F34BF"/>
    <w:rsid w:val="009F34D0"/>
    <w:rsid w:val="009F352D"/>
    <w:rsid w:val="009F3572"/>
    <w:rsid w:val="009F36C2"/>
    <w:rsid w:val="009F37B9"/>
    <w:rsid w:val="009F3826"/>
    <w:rsid w:val="009F386C"/>
    <w:rsid w:val="009F389C"/>
    <w:rsid w:val="009F38FE"/>
    <w:rsid w:val="009F3991"/>
    <w:rsid w:val="009F3A81"/>
    <w:rsid w:val="009F3A96"/>
    <w:rsid w:val="009F3AA2"/>
    <w:rsid w:val="009F3AAA"/>
    <w:rsid w:val="009F3AB4"/>
    <w:rsid w:val="009F3ABE"/>
    <w:rsid w:val="009F3B13"/>
    <w:rsid w:val="009F3B95"/>
    <w:rsid w:val="009F3C55"/>
    <w:rsid w:val="009F3C69"/>
    <w:rsid w:val="009F3CE0"/>
    <w:rsid w:val="009F3D00"/>
    <w:rsid w:val="009F3D84"/>
    <w:rsid w:val="009F3D97"/>
    <w:rsid w:val="009F3E75"/>
    <w:rsid w:val="009F3E7B"/>
    <w:rsid w:val="009F3F75"/>
    <w:rsid w:val="009F3FE8"/>
    <w:rsid w:val="009F41B1"/>
    <w:rsid w:val="009F4280"/>
    <w:rsid w:val="009F4335"/>
    <w:rsid w:val="009F433A"/>
    <w:rsid w:val="009F43CF"/>
    <w:rsid w:val="009F443C"/>
    <w:rsid w:val="009F4463"/>
    <w:rsid w:val="009F4508"/>
    <w:rsid w:val="009F4558"/>
    <w:rsid w:val="009F4595"/>
    <w:rsid w:val="009F45A6"/>
    <w:rsid w:val="009F45C5"/>
    <w:rsid w:val="009F45F1"/>
    <w:rsid w:val="009F4660"/>
    <w:rsid w:val="009F47CC"/>
    <w:rsid w:val="009F47E4"/>
    <w:rsid w:val="009F4968"/>
    <w:rsid w:val="009F4A8A"/>
    <w:rsid w:val="009F4AF6"/>
    <w:rsid w:val="009F4CC6"/>
    <w:rsid w:val="009F4CE8"/>
    <w:rsid w:val="009F4CF6"/>
    <w:rsid w:val="009F4D4D"/>
    <w:rsid w:val="009F504B"/>
    <w:rsid w:val="009F50E6"/>
    <w:rsid w:val="009F5228"/>
    <w:rsid w:val="009F530B"/>
    <w:rsid w:val="009F5341"/>
    <w:rsid w:val="009F54D1"/>
    <w:rsid w:val="009F54DE"/>
    <w:rsid w:val="009F5512"/>
    <w:rsid w:val="009F5536"/>
    <w:rsid w:val="009F5693"/>
    <w:rsid w:val="009F56C8"/>
    <w:rsid w:val="009F56DC"/>
    <w:rsid w:val="009F5825"/>
    <w:rsid w:val="009F583F"/>
    <w:rsid w:val="009F5903"/>
    <w:rsid w:val="009F5989"/>
    <w:rsid w:val="009F5A18"/>
    <w:rsid w:val="009F5AAF"/>
    <w:rsid w:val="009F5BD9"/>
    <w:rsid w:val="009F5CD4"/>
    <w:rsid w:val="009F5E09"/>
    <w:rsid w:val="009F60A7"/>
    <w:rsid w:val="009F6216"/>
    <w:rsid w:val="009F6223"/>
    <w:rsid w:val="009F6267"/>
    <w:rsid w:val="009F63BB"/>
    <w:rsid w:val="009F6413"/>
    <w:rsid w:val="009F64DA"/>
    <w:rsid w:val="009F6628"/>
    <w:rsid w:val="009F662E"/>
    <w:rsid w:val="009F666C"/>
    <w:rsid w:val="009F67FC"/>
    <w:rsid w:val="009F687B"/>
    <w:rsid w:val="009F6903"/>
    <w:rsid w:val="009F69AC"/>
    <w:rsid w:val="009F6A49"/>
    <w:rsid w:val="009F6A57"/>
    <w:rsid w:val="009F6AB9"/>
    <w:rsid w:val="009F6B3B"/>
    <w:rsid w:val="009F6B9F"/>
    <w:rsid w:val="009F6D0C"/>
    <w:rsid w:val="009F6E1A"/>
    <w:rsid w:val="009F6E5C"/>
    <w:rsid w:val="009F6E5E"/>
    <w:rsid w:val="009F6E7C"/>
    <w:rsid w:val="009F6EBD"/>
    <w:rsid w:val="009F6EEC"/>
    <w:rsid w:val="009F6F29"/>
    <w:rsid w:val="009F6F94"/>
    <w:rsid w:val="009F6FA0"/>
    <w:rsid w:val="009F70B4"/>
    <w:rsid w:val="009F713F"/>
    <w:rsid w:val="009F7178"/>
    <w:rsid w:val="009F721A"/>
    <w:rsid w:val="009F72E1"/>
    <w:rsid w:val="009F736D"/>
    <w:rsid w:val="009F7442"/>
    <w:rsid w:val="009F751A"/>
    <w:rsid w:val="009F7616"/>
    <w:rsid w:val="009F769E"/>
    <w:rsid w:val="009F772A"/>
    <w:rsid w:val="009F7744"/>
    <w:rsid w:val="009F7794"/>
    <w:rsid w:val="009F77D7"/>
    <w:rsid w:val="009F7877"/>
    <w:rsid w:val="009F787F"/>
    <w:rsid w:val="009F79A6"/>
    <w:rsid w:val="009F79BA"/>
    <w:rsid w:val="009F7A68"/>
    <w:rsid w:val="009F7AB6"/>
    <w:rsid w:val="009F7B4C"/>
    <w:rsid w:val="009F7C27"/>
    <w:rsid w:val="009F7D76"/>
    <w:rsid w:val="009F7DCC"/>
    <w:rsid w:val="009F7E10"/>
    <w:rsid w:val="009F7E14"/>
    <w:rsid w:val="009F7E58"/>
    <w:rsid w:val="009F7EEB"/>
    <w:rsid w:val="009F7F88"/>
    <w:rsid w:val="00A00096"/>
    <w:rsid w:val="00A001D6"/>
    <w:rsid w:val="00A00317"/>
    <w:rsid w:val="00A003A4"/>
    <w:rsid w:val="00A003EF"/>
    <w:rsid w:val="00A004A6"/>
    <w:rsid w:val="00A004DA"/>
    <w:rsid w:val="00A00674"/>
    <w:rsid w:val="00A006F4"/>
    <w:rsid w:val="00A00791"/>
    <w:rsid w:val="00A00962"/>
    <w:rsid w:val="00A009EB"/>
    <w:rsid w:val="00A00A27"/>
    <w:rsid w:val="00A00AC0"/>
    <w:rsid w:val="00A00AC8"/>
    <w:rsid w:val="00A00AE2"/>
    <w:rsid w:val="00A00E38"/>
    <w:rsid w:val="00A00EF9"/>
    <w:rsid w:val="00A00F65"/>
    <w:rsid w:val="00A00F96"/>
    <w:rsid w:val="00A00FB0"/>
    <w:rsid w:val="00A00FE5"/>
    <w:rsid w:val="00A01292"/>
    <w:rsid w:val="00A01294"/>
    <w:rsid w:val="00A01303"/>
    <w:rsid w:val="00A01385"/>
    <w:rsid w:val="00A013B7"/>
    <w:rsid w:val="00A014AD"/>
    <w:rsid w:val="00A015FE"/>
    <w:rsid w:val="00A01671"/>
    <w:rsid w:val="00A016FC"/>
    <w:rsid w:val="00A01750"/>
    <w:rsid w:val="00A01884"/>
    <w:rsid w:val="00A01953"/>
    <w:rsid w:val="00A01954"/>
    <w:rsid w:val="00A01972"/>
    <w:rsid w:val="00A01985"/>
    <w:rsid w:val="00A01AF1"/>
    <w:rsid w:val="00A01AF4"/>
    <w:rsid w:val="00A01AFE"/>
    <w:rsid w:val="00A01B89"/>
    <w:rsid w:val="00A01BF3"/>
    <w:rsid w:val="00A01C14"/>
    <w:rsid w:val="00A01D53"/>
    <w:rsid w:val="00A01E51"/>
    <w:rsid w:val="00A01FA7"/>
    <w:rsid w:val="00A01FE5"/>
    <w:rsid w:val="00A020C5"/>
    <w:rsid w:val="00A021A3"/>
    <w:rsid w:val="00A02236"/>
    <w:rsid w:val="00A02260"/>
    <w:rsid w:val="00A02406"/>
    <w:rsid w:val="00A024DD"/>
    <w:rsid w:val="00A0257D"/>
    <w:rsid w:val="00A02595"/>
    <w:rsid w:val="00A0261E"/>
    <w:rsid w:val="00A0262F"/>
    <w:rsid w:val="00A027F1"/>
    <w:rsid w:val="00A02836"/>
    <w:rsid w:val="00A02B8B"/>
    <w:rsid w:val="00A02BBD"/>
    <w:rsid w:val="00A02BDA"/>
    <w:rsid w:val="00A02BE0"/>
    <w:rsid w:val="00A02CA6"/>
    <w:rsid w:val="00A02CCB"/>
    <w:rsid w:val="00A02CDC"/>
    <w:rsid w:val="00A02D75"/>
    <w:rsid w:val="00A02E5B"/>
    <w:rsid w:val="00A02EF1"/>
    <w:rsid w:val="00A02EF8"/>
    <w:rsid w:val="00A02FB3"/>
    <w:rsid w:val="00A02FEC"/>
    <w:rsid w:val="00A0302F"/>
    <w:rsid w:val="00A0329D"/>
    <w:rsid w:val="00A032DF"/>
    <w:rsid w:val="00A0339C"/>
    <w:rsid w:val="00A033D8"/>
    <w:rsid w:val="00A0350E"/>
    <w:rsid w:val="00A035B0"/>
    <w:rsid w:val="00A035B9"/>
    <w:rsid w:val="00A03704"/>
    <w:rsid w:val="00A037F9"/>
    <w:rsid w:val="00A03854"/>
    <w:rsid w:val="00A038AE"/>
    <w:rsid w:val="00A03971"/>
    <w:rsid w:val="00A039C7"/>
    <w:rsid w:val="00A03C69"/>
    <w:rsid w:val="00A03C77"/>
    <w:rsid w:val="00A03C85"/>
    <w:rsid w:val="00A03CEB"/>
    <w:rsid w:val="00A0419E"/>
    <w:rsid w:val="00A041C8"/>
    <w:rsid w:val="00A042DF"/>
    <w:rsid w:val="00A043CA"/>
    <w:rsid w:val="00A043EE"/>
    <w:rsid w:val="00A04429"/>
    <w:rsid w:val="00A0449C"/>
    <w:rsid w:val="00A044E0"/>
    <w:rsid w:val="00A0462D"/>
    <w:rsid w:val="00A04638"/>
    <w:rsid w:val="00A046EE"/>
    <w:rsid w:val="00A0470D"/>
    <w:rsid w:val="00A049C2"/>
    <w:rsid w:val="00A04AC3"/>
    <w:rsid w:val="00A04B3F"/>
    <w:rsid w:val="00A04B87"/>
    <w:rsid w:val="00A04C92"/>
    <w:rsid w:val="00A04CC0"/>
    <w:rsid w:val="00A04CCF"/>
    <w:rsid w:val="00A04CD8"/>
    <w:rsid w:val="00A04D22"/>
    <w:rsid w:val="00A04DD3"/>
    <w:rsid w:val="00A04F4D"/>
    <w:rsid w:val="00A04F52"/>
    <w:rsid w:val="00A04F72"/>
    <w:rsid w:val="00A04FA9"/>
    <w:rsid w:val="00A04FB4"/>
    <w:rsid w:val="00A0512E"/>
    <w:rsid w:val="00A051FF"/>
    <w:rsid w:val="00A05283"/>
    <w:rsid w:val="00A052D8"/>
    <w:rsid w:val="00A053CC"/>
    <w:rsid w:val="00A05797"/>
    <w:rsid w:val="00A057B5"/>
    <w:rsid w:val="00A0581C"/>
    <w:rsid w:val="00A05827"/>
    <w:rsid w:val="00A0585F"/>
    <w:rsid w:val="00A0589D"/>
    <w:rsid w:val="00A05967"/>
    <w:rsid w:val="00A05A1C"/>
    <w:rsid w:val="00A05B4F"/>
    <w:rsid w:val="00A05C9F"/>
    <w:rsid w:val="00A05D3A"/>
    <w:rsid w:val="00A05DB9"/>
    <w:rsid w:val="00A05F45"/>
    <w:rsid w:val="00A05F7E"/>
    <w:rsid w:val="00A05FB1"/>
    <w:rsid w:val="00A05FB5"/>
    <w:rsid w:val="00A060A7"/>
    <w:rsid w:val="00A0612E"/>
    <w:rsid w:val="00A0631E"/>
    <w:rsid w:val="00A063CD"/>
    <w:rsid w:val="00A0645A"/>
    <w:rsid w:val="00A064D4"/>
    <w:rsid w:val="00A066B1"/>
    <w:rsid w:val="00A06703"/>
    <w:rsid w:val="00A0673B"/>
    <w:rsid w:val="00A0676E"/>
    <w:rsid w:val="00A0676F"/>
    <w:rsid w:val="00A06793"/>
    <w:rsid w:val="00A06797"/>
    <w:rsid w:val="00A06981"/>
    <w:rsid w:val="00A06C2E"/>
    <w:rsid w:val="00A06D76"/>
    <w:rsid w:val="00A06D91"/>
    <w:rsid w:val="00A06E56"/>
    <w:rsid w:val="00A06EAA"/>
    <w:rsid w:val="00A07117"/>
    <w:rsid w:val="00A07155"/>
    <w:rsid w:val="00A071F7"/>
    <w:rsid w:val="00A07249"/>
    <w:rsid w:val="00A072C3"/>
    <w:rsid w:val="00A0732B"/>
    <w:rsid w:val="00A07400"/>
    <w:rsid w:val="00A0741B"/>
    <w:rsid w:val="00A07496"/>
    <w:rsid w:val="00A074F2"/>
    <w:rsid w:val="00A07589"/>
    <w:rsid w:val="00A075A3"/>
    <w:rsid w:val="00A075C5"/>
    <w:rsid w:val="00A075E6"/>
    <w:rsid w:val="00A0760D"/>
    <w:rsid w:val="00A07633"/>
    <w:rsid w:val="00A07793"/>
    <w:rsid w:val="00A077E6"/>
    <w:rsid w:val="00A07934"/>
    <w:rsid w:val="00A07945"/>
    <w:rsid w:val="00A07970"/>
    <w:rsid w:val="00A07AE4"/>
    <w:rsid w:val="00A07B11"/>
    <w:rsid w:val="00A07B35"/>
    <w:rsid w:val="00A07D0A"/>
    <w:rsid w:val="00A07D38"/>
    <w:rsid w:val="00A07E4F"/>
    <w:rsid w:val="00A07EDA"/>
    <w:rsid w:val="00A1002F"/>
    <w:rsid w:val="00A1015D"/>
    <w:rsid w:val="00A102B1"/>
    <w:rsid w:val="00A1035A"/>
    <w:rsid w:val="00A10582"/>
    <w:rsid w:val="00A10596"/>
    <w:rsid w:val="00A1060F"/>
    <w:rsid w:val="00A1062C"/>
    <w:rsid w:val="00A10665"/>
    <w:rsid w:val="00A10669"/>
    <w:rsid w:val="00A10979"/>
    <w:rsid w:val="00A10B54"/>
    <w:rsid w:val="00A10DB9"/>
    <w:rsid w:val="00A10F46"/>
    <w:rsid w:val="00A10FA7"/>
    <w:rsid w:val="00A110F3"/>
    <w:rsid w:val="00A111C7"/>
    <w:rsid w:val="00A111F1"/>
    <w:rsid w:val="00A1125F"/>
    <w:rsid w:val="00A11274"/>
    <w:rsid w:val="00A1129B"/>
    <w:rsid w:val="00A112D2"/>
    <w:rsid w:val="00A1152E"/>
    <w:rsid w:val="00A115AE"/>
    <w:rsid w:val="00A11667"/>
    <w:rsid w:val="00A11688"/>
    <w:rsid w:val="00A11794"/>
    <w:rsid w:val="00A1180E"/>
    <w:rsid w:val="00A11951"/>
    <w:rsid w:val="00A11972"/>
    <w:rsid w:val="00A1199B"/>
    <w:rsid w:val="00A119BB"/>
    <w:rsid w:val="00A119DF"/>
    <w:rsid w:val="00A11A2C"/>
    <w:rsid w:val="00A11B5F"/>
    <w:rsid w:val="00A11B72"/>
    <w:rsid w:val="00A11C75"/>
    <w:rsid w:val="00A11D46"/>
    <w:rsid w:val="00A11E4D"/>
    <w:rsid w:val="00A11EDA"/>
    <w:rsid w:val="00A11EEA"/>
    <w:rsid w:val="00A11EFB"/>
    <w:rsid w:val="00A11F1E"/>
    <w:rsid w:val="00A11F66"/>
    <w:rsid w:val="00A1212E"/>
    <w:rsid w:val="00A12163"/>
    <w:rsid w:val="00A1219F"/>
    <w:rsid w:val="00A121CC"/>
    <w:rsid w:val="00A12312"/>
    <w:rsid w:val="00A1232B"/>
    <w:rsid w:val="00A12518"/>
    <w:rsid w:val="00A126BB"/>
    <w:rsid w:val="00A12727"/>
    <w:rsid w:val="00A1272E"/>
    <w:rsid w:val="00A12815"/>
    <w:rsid w:val="00A12820"/>
    <w:rsid w:val="00A1285F"/>
    <w:rsid w:val="00A128B0"/>
    <w:rsid w:val="00A128B6"/>
    <w:rsid w:val="00A128B8"/>
    <w:rsid w:val="00A1298D"/>
    <w:rsid w:val="00A129CE"/>
    <w:rsid w:val="00A12A42"/>
    <w:rsid w:val="00A12B01"/>
    <w:rsid w:val="00A12B5A"/>
    <w:rsid w:val="00A12BDF"/>
    <w:rsid w:val="00A12C3F"/>
    <w:rsid w:val="00A12D51"/>
    <w:rsid w:val="00A12DE7"/>
    <w:rsid w:val="00A12E75"/>
    <w:rsid w:val="00A12EEB"/>
    <w:rsid w:val="00A12EFF"/>
    <w:rsid w:val="00A12F87"/>
    <w:rsid w:val="00A12F9F"/>
    <w:rsid w:val="00A12FEB"/>
    <w:rsid w:val="00A13009"/>
    <w:rsid w:val="00A13063"/>
    <w:rsid w:val="00A13155"/>
    <w:rsid w:val="00A1326A"/>
    <w:rsid w:val="00A13313"/>
    <w:rsid w:val="00A13383"/>
    <w:rsid w:val="00A133E7"/>
    <w:rsid w:val="00A13450"/>
    <w:rsid w:val="00A13517"/>
    <w:rsid w:val="00A1355B"/>
    <w:rsid w:val="00A13634"/>
    <w:rsid w:val="00A136BD"/>
    <w:rsid w:val="00A13767"/>
    <w:rsid w:val="00A138A0"/>
    <w:rsid w:val="00A138CD"/>
    <w:rsid w:val="00A139A9"/>
    <w:rsid w:val="00A13A3C"/>
    <w:rsid w:val="00A13E16"/>
    <w:rsid w:val="00A13EC1"/>
    <w:rsid w:val="00A13EEB"/>
    <w:rsid w:val="00A13F4A"/>
    <w:rsid w:val="00A13FDC"/>
    <w:rsid w:val="00A13FFF"/>
    <w:rsid w:val="00A1403A"/>
    <w:rsid w:val="00A140A6"/>
    <w:rsid w:val="00A1412C"/>
    <w:rsid w:val="00A1430B"/>
    <w:rsid w:val="00A1431B"/>
    <w:rsid w:val="00A14359"/>
    <w:rsid w:val="00A14374"/>
    <w:rsid w:val="00A14476"/>
    <w:rsid w:val="00A144B0"/>
    <w:rsid w:val="00A14517"/>
    <w:rsid w:val="00A145C7"/>
    <w:rsid w:val="00A14650"/>
    <w:rsid w:val="00A146D5"/>
    <w:rsid w:val="00A14760"/>
    <w:rsid w:val="00A14778"/>
    <w:rsid w:val="00A14789"/>
    <w:rsid w:val="00A14830"/>
    <w:rsid w:val="00A148FF"/>
    <w:rsid w:val="00A149F7"/>
    <w:rsid w:val="00A14AB5"/>
    <w:rsid w:val="00A14C10"/>
    <w:rsid w:val="00A14CBB"/>
    <w:rsid w:val="00A14D04"/>
    <w:rsid w:val="00A14D0E"/>
    <w:rsid w:val="00A14EC8"/>
    <w:rsid w:val="00A14F03"/>
    <w:rsid w:val="00A14F50"/>
    <w:rsid w:val="00A14FF3"/>
    <w:rsid w:val="00A15053"/>
    <w:rsid w:val="00A1512C"/>
    <w:rsid w:val="00A15152"/>
    <w:rsid w:val="00A1532C"/>
    <w:rsid w:val="00A15362"/>
    <w:rsid w:val="00A153E6"/>
    <w:rsid w:val="00A154EE"/>
    <w:rsid w:val="00A15549"/>
    <w:rsid w:val="00A155C6"/>
    <w:rsid w:val="00A155F5"/>
    <w:rsid w:val="00A1561E"/>
    <w:rsid w:val="00A15637"/>
    <w:rsid w:val="00A15761"/>
    <w:rsid w:val="00A1590B"/>
    <w:rsid w:val="00A159E1"/>
    <w:rsid w:val="00A15A6E"/>
    <w:rsid w:val="00A15BEC"/>
    <w:rsid w:val="00A15CF2"/>
    <w:rsid w:val="00A15DDE"/>
    <w:rsid w:val="00A15E55"/>
    <w:rsid w:val="00A15E9A"/>
    <w:rsid w:val="00A15EBD"/>
    <w:rsid w:val="00A15F19"/>
    <w:rsid w:val="00A16098"/>
    <w:rsid w:val="00A160D4"/>
    <w:rsid w:val="00A16168"/>
    <w:rsid w:val="00A161E3"/>
    <w:rsid w:val="00A1621E"/>
    <w:rsid w:val="00A16260"/>
    <w:rsid w:val="00A16377"/>
    <w:rsid w:val="00A163ED"/>
    <w:rsid w:val="00A1640E"/>
    <w:rsid w:val="00A16523"/>
    <w:rsid w:val="00A1656E"/>
    <w:rsid w:val="00A165BD"/>
    <w:rsid w:val="00A16721"/>
    <w:rsid w:val="00A167B3"/>
    <w:rsid w:val="00A168B4"/>
    <w:rsid w:val="00A16A7A"/>
    <w:rsid w:val="00A16A82"/>
    <w:rsid w:val="00A16BB9"/>
    <w:rsid w:val="00A16CF9"/>
    <w:rsid w:val="00A16D4C"/>
    <w:rsid w:val="00A16DF3"/>
    <w:rsid w:val="00A16F47"/>
    <w:rsid w:val="00A16FDB"/>
    <w:rsid w:val="00A17064"/>
    <w:rsid w:val="00A17077"/>
    <w:rsid w:val="00A17080"/>
    <w:rsid w:val="00A1722B"/>
    <w:rsid w:val="00A17289"/>
    <w:rsid w:val="00A172BB"/>
    <w:rsid w:val="00A17324"/>
    <w:rsid w:val="00A17339"/>
    <w:rsid w:val="00A1737C"/>
    <w:rsid w:val="00A173FB"/>
    <w:rsid w:val="00A174A9"/>
    <w:rsid w:val="00A17542"/>
    <w:rsid w:val="00A17613"/>
    <w:rsid w:val="00A1767E"/>
    <w:rsid w:val="00A17798"/>
    <w:rsid w:val="00A177AE"/>
    <w:rsid w:val="00A17846"/>
    <w:rsid w:val="00A17962"/>
    <w:rsid w:val="00A1799A"/>
    <w:rsid w:val="00A179DD"/>
    <w:rsid w:val="00A17A15"/>
    <w:rsid w:val="00A17A56"/>
    <w:rsid w:val="00A17B45"/>
    <w:rsid w:val="00A17CB7"/>
    <w:rsid w:val="00A17CC3"/>
    <w:rsid w:val="00A17D65"/>
    <w:rsid w:val="00A17E59"/>
    <w:rsid w:val="00A17F78"/>
    <w:rsid w:val="00A20061"/>
    <w:rsid w:val="00A200C2"/>
    <w:rsid w:val="00A20141"/>
    <w:rsid w:val="00A201A1"/>
    <w:rsid w:val="00A20351"/>
    <w:rsid w:val="00A203B3"/>
    <w:rsid w:val="00A20467"/>
    <w:rsid w:val="00A20484"/>
    <w:rsid w:val="00A20542"/>
    <w:rsid w:val="00A2054E"/>
    <w:rsid w:val="00A205CE"/>
    <w:rsid w:val="00A205DF"/>
    <w:rsid w:val="00A20612"/>
    <w:rsid w:val="00A20651"/>
    <w:rsid w:val="00A2065B"/>
    <w:rsid w:val="00A20667"/>
    <w:rsid w:val="00A20757"/>
    <w:rsid w:val="00A207FC"/>
    <w:rsid w:val="00A208BD"/>
    <w:rsid w:val="00A2093C"/>
    <w:rsid w:val="00A209C5"/>
    <w:rsid w:val="00A20A6C"/>
    <w:rsid w:val="00A20A79"/>
    <w:rsid w:val="00A20B29"/>
    <w:rsid w:val="00A20B36"/>
    <w:rsid w:val="00A20BBA"/>
    <w:rsid w:val="00A20BC3"/>
    <w:rsid w:val="00A20BEC"/>
    <w:rsid w:val="00A20CD4"/>
    <w:rsid w:val="00A20D14"/>
    <w:rsid w:val="00A20E0F"/>
    <w:rsid w:val="00A20E16"/>
    <w:rsid w:val="00A20E3F"/>
    <w:rsid w:val="00A20E84"/>
    <w:rsid w:val="00A20EEC"/>
    <w:rsid w:val="00A210F6"/>
    <w:rsid w:val="00A21130"/>
    <w:rsid w:val="00A211AC"/>
    <w:rsid w:val="00A2128E"/>
    <w:rsid w:val="00A212EB"/>
    <w:rsid w:val="00A21553"/>
    <w:rsid w:val="00A21593"/>
    <w:rsid w:val="00A2162F"/>
    <w:rsid w:val="00A21659"/>
    <w:rsid w:val="00A2178C"/>
    <w:rsid w:val="00A217A3"/>
    <w:rsid w:val="00A21800"/>
    <w:rsid w:val="00A2180E"/>
    <w:rsid w:val="00A2184F"/>
    <w:rsid w:val="00A21881"/>
    <w:rsid w:val="00A218D7"/>
    <w:rsid w:val="00A218E2"/>
    <w:rsid w:val="00A21B2D"/>
    <w:rsid w:val="00A21B31"/>
    <w:rsid w:val="00A21BBA"/>
    <w:rsid w:val="00A21C59"/>
    <w:rsid w:val="00A21C5D"/>
    <w:rsid w:val="00A21CA9"/>
    <w:rsid w:val="00A21CDD"/>
    <w:rsid w:val="00A21D64"/>
    <w:rsid w:val="00A21DB8"/>
    <w:rsid w:val="00A21DEF"/>
    <w:rsid w:val="00A21F50"/>
    <w:rsid w:val="00A21FDA"/>
    <w:rsid w:val="00A21FDE"/>
    <w:rsid w:val="00A22065"/>
    <w:rsid w:val="00A221D7"/>
    <w:rsid w:val="00A22410"/>
    <w:rsid w:val="00A22472"/>
    <w:rsid w:val="00A225F2"/>
    <w:rsid w:val="00A2267F"/>
    <w:rsid w:val="00A22702"/>
    <w:rsid w:val="00A228D2"/>
    <w:rsid w:val="00A22904"/>
    <w:rsid w:val="00A229AA"/>
    <w:rsid w:val="00A229D2"/>
    <w:rsid w:val="00A22AB1"/>
    <w:rsid w:val="00A22B29"/>
    <w:rsid w:val="00A22C3F"/>
    <w:rsid w:val="00A22D20"/>
    <w:rsid w:val="00A22D21"/>
    <w:rsid w:val="00A22E8F"/>
    <w:rsid w:val="00A230E3"/>
    <w:rsid w:val="00A23281"/>
    <w:rsid w:val="00A232A8"/>
    <w:rsid w:val="00A232E4"/>
    <w:rsid w:val="00A23318"/>
    <w:rsid w:val="00A2334A"/>
    <w:rsid w:val="00A233A3"/>
    <w:rsid w:val="00A23495"/>
    <w:rsid w:val="00A23497"/>
    <w:rsid w:val="00A2354C"/>
    <w:rsid w:val="00A2355D"/>
    <w:rsid w:val="00A23599"/>
    <w:rsid w:val="00A235AF"/>
    <w:rsid w:val="00A235ED"/>
    <w:rsid w:val="00A235F6"/>
    <w:rsid w:val="00A2363B"/>
    <w:rsid w:val="00A23703"/>
    <w:rsid w:val="00A23721"/>
    <w:rsid w:val="00A23874"/>
    <w:rsid w:val="00A23899"/>
    <w:rsid w:val="00A238D3"/>
    <w:rsid w:val="00A23967"/>
    <w:rsid w:val="00A239CF"/>
    <w:rsid w:val="00A23A6F"/>
    <w:rsid w:val="00A23AD8"/>
    <w:rsid w:val="00A23BA9"/>
    <w:rsid w:val="00A23BC3"/>
    <w:rsid w:val="00A23C84"/>
    <w:rsid w:val="00A23CB0"/>
    <w:rsid w:val="00A23CBF"/>
    <w:rsid w:val="00A23CD2"/>
    <w:rsid w:val="00A23CD3"/>
    <w:rsid w:val="00A23DC4"/>
    <w:rsid w:val="00A23FA2"/>
    <w:rsid w:val="00A23FA4"/>
    <w:rsid w:val="00A23FC4"/>
    <w:rsid w:val="00A2408D"/>
    <w:rsid w:val="00A240CB"/>
    <w:rsid w:val="00A24125"/>
    <w:rsid w:val="00A2415D"/>
    <w:rsid w:val="00A2418C"/>
    <w:rsid w:val="00A24240"/>
    <w:rsid w:val="00A24309"/>
    <w:rsid w:val="00A24321"/>
    <w:rsid w:val="00A24403"/>
    <w:rsid w:val="00A2440D"/>
    <w:rsid w:val="00A244E5"/>
    <w:rsid w:val="00A2451B"/>
    <w:rsid w:val="00A2452C"/>
    <w:rsid w:val="00A24552"/>
    <w:rsid w:val="00A24611"/>
    <w:rsid w:val="00A2462D"/>
    <w:rsid w:val="00A24668"/>
    <w:rsid w:val="00A247A4"/>
    <w:rsid w:val="00A247AF"/>
    <w:rsid w:val="00A247F8"/>
    <w:rsid w:val="00A24A46"/>
    <w:rsid w:val="00A24C26"/>
    <w:rsid w:val="00A24D40"/>
    <w:rsid w:val="00A24D63"/>
    <w:rsid w:val="00A24DA6"/>
    <w:rsid w:val="00A24E3D"/>
    <w:rsid w:val="00A24E8D"/>
    <w:rsid w:val="00A24F43"/>
    <w:rsid w:val="00A24F68"/>
    <w:rsid w:val="00A24FE2"/>
    <w:rsid w:val="00A24FF8"/>
    <w:rsid w:val="00A25051"/>
    <w:rsid w:val="00A250EB"/>
    <w:rsid w:val="00A2511F"/>
    <w:rsid w:val="00A25132"/>
    <w:rsid w:val="00A2516C"/>
    <w:rsid w:val="00A25243"/>
    <w:rsid w:val="00A25247"/>
    <w:rsid w:val="00A253B0"/>
    <w:rsid w:val="00A253B5"/>
    <w:rsid w:val="00A253FD"/>
    <w:rsid w:val="00A2546A"/>
    <w:rsid w:val="00A25481"/>
    <w:rsid w:val="00A254FE"/>
    <w:rsid w:val="00A25592"/>
    <w:rsid w:val="00A2567A"/>
    <w:rsid w:val="00A25708"/>
    <w:rsid w:val="00A258FA"/>
    <w:rsid w:val="00A25944"/>
    <w:rsid w:val="00A259F7"/>
    <w:rsid w:val="00A25A11"/>
    <w:rsid w:val="00A25AAF"/>
    <w:rsid w:val="00A25B08"/>
    <w:rsid w:val="00A25C68"/>
    <w:rsid w:val="00A25DD6"/>
    <w:rsid w:val="00A25EEB"/>
    <w:rsid w:val="00A25F81"/>
    <w:rsid w:val="00A25FE3"/>
    <w:rsid w:val="00A2600D"/>
    <w:rsid w:val="00A26148"/>
    <w:rsid w:val="00A26183"/>
    <w:rsid w:val="00A261E1"/>
    <w:rsid w:val="00A262B2"/>
    <w:rsid w:val="00A263AF"/>
    <w:rsid w:val="00A263DD"/>
    <w:rsid w:val="00A26420"/>
    <w:rsid w:val="00A264AA"/>
    <w:rsid w:val="00A26518"/>
    <w:rsid w:val="00A26583"/>
    <w:rsid w:val="00A26612"/>
    <w:rsid w:val="00A26665"/>
    <w:rsid w:val="00A266CC"/>
    <w:rsid w:val="00A268BB"/>
    <w:rsid w:val="00A268BF"/>
    <w:rsid w:val="00A268F7"/>
    <w:rsid w:val="00A269D7"/>
    <w:rsid w:val="00A26B91"/>
    <w:rsid w:val="00A26BE5"/>
    <w:rsid w:val="00A26C1E"/>
    <w:rsid w:val="00A26C65"/>
    <w:rsid w:val="00A26D73"/>
    <w:rsid w:val="00A26E3C"/>
    <w:rsid w:val="00A26E9F"/>
    <w:rsid w:val="00A26EEB"/>
    <w:rsid w:val="00A26F68"/>
    <w:rsid w:val="00A27033"/>
    <w:rsid w:val="00A27086"/>
    <w:rsid w:val="00A270F9"/>
    <w:rsid w:val="00A27111"/>
    <w:rsid w:val="00A271BA"/>
    <w:rsid w:val="00A271CE"/>
    <w:rsid w:val="00A27287"/>
    <w:rsid w:val="00A27405"/>
    <w:rsid w:val="00A274B5"/>
    <w:rsid w:val="00A274E3"/>
    <w:rsid w:val="00A274FE"/>
    <w:rsid w:val="00A2754E"/>
    <w:rsid w:val="00A2758F"/>
    <w:rsid w:val="00A276FA"/>
    <w:rsid w:val="00A27753"/>
    <w:rsid w:val="00A277DF"/>
    <w:rsid w:val="00A27AB5"/>
    <w:rsid w:val="00A27AC9"/>
    <w:rsid w:val="00A27ACE"/>
    <w:rsid w:val="00A27B67"/>
    <w:rsid w:val="00A27C2D"/>
    <w:rsid w:val="00A27CFE"/>
    <w:rsid w:val="00A27D0B"/>
    <w:rsid w:val="00A27D1A"/>
    <w:rsid w:val="00A27D3A"/>
    <w:rsid w:val="00A27E15"/>
    <w:rsid w:val="00A27F12"/>
    <w:rsid w:val="00A27F67"/>
    <w:rsid w:val="00A27F68"/>
    <w:rsid w:val="00A27FF9"/>
    <w:rsid w:val="00A300AC"/>
    <w:rsid w:val="00A30355"/>
    <w:rsid w:val="00A30366"/>
    <w:rsid w:val="00A3050D"/>
    <w:rsid w:val="00A305A3"/>
    <w:rsid w:val="00A306D4"/>
    <w:rsid w:val="00A30879"/>
    <w:rsid w:val="00A30A63"/>
    <w:rsid w:val="00A30BE5"/>
    <w:rsid w:val="00A30C11"/>
    <w:rsid w:val="00A30C13"/>
    <w:rsid w:val="00A30D48"/>
    <w:rsid w:val="00A30DBF"/>
    <w:rsid w:val="00A30E21"/>
    <w:rsid w:val="00A30E61"/>
    <w:rsid w:val="00A30E7D"/>
    <w:rsid w:val="00A31019"/>
    <w:rsid w:val="00A31021"/>
    <w:rsid w:val="00A310AB"/>
    <w:rsid w:val="00A310E4"/>
    <w:rsid w:val="00A310E9"/>
    <w:rsid w:val="00A31231"/>
    <w:rsid w:val="00A314CB"/>
    <w:rsid w:val="00A316D9"/>
    <w:rsid w:val="00A31810"/>
    <w:rsid w:val="00A31844"/>
    <w:rsid w:val="00A31854"/>
    <w:rsid w:val="00A3188B"/>
    <w:rsid w:val="00A3189B"/>
    <w:rsid w:val="00A3193E"/>
    <w:rsid w:val="00A31952"/>
    <w:rsid w:val="00A319C9"/>
    <w:rsid w:val="00A31AC4"/>
    <w:rsid w:val="00A31B9B"/>
    <w:rsid w:val="00A31BBC"/>
    <w:rsid w:val="00A31D55"/>
    <w:rsid w:val="00A31DE4"/>
    <w:rsid w:val="00A31E0B"/>
    <w:rsid w:val="00A31F4B"/>
    <w:rsid w:val="00A31F4F"/>
    <w:rsid w:val="00A31F62"/>
    <w:rsid w:val="00A32067"/>
    <w:rsid w:val="00A320BB"/>
    <w:rsid w:val="00A3217F"/>
    <w:rsid w:val="00A321E1"/>
    <w:rsid w:val="00A32256"/>
    <w:rsid w:val="00A322BF"/>
    <w:rsid w:val="00A322C1"/>
    <w:rsid w:val="00A322CA"/>
    <w:rsid w:val="00A32364"/>
    <w:rsid w:val="00A323FD"/>
    <w:rsid w:val="00A3248A"/>
    <w:rsid w:val="00A324A3"/>
    <w:rsid w:val="00A324BA"/>
    <w:rsid w:val="00A32603"/>
    <w:rsid w:val="00A3271F"/>
    <w:rsid w:val="00A32790"/>
    <w:rsid w:val="00A327F1"/>
    <w:rsid w:val="00A328AD"/>
    <w:rsid w:val="00A32A57"/>
    <w:rsid w:val="00A32A64"/>
    <w:rsid w:val="00A32AA5"/>
    <w:rsid w:val="00A32AB9"/>
    <w:rsid w:val="00A32B63"/>
    <w:rsid w:val="00A32B96"/>
    <w:rsid w:val="00A32BA4"/>
    <w:rsid w:val="00A32BA6"/>
    <w:rsid w:val="00A32EFF"/>
    <w:rsid w:val="00A33033"/>
    <w:rsid w:val="00A33173"/>
    <w:rsid w:val="00A331B4"/>
    <w:rsid w:val="00A3325D"/>
    <w:rsid w:val="00A3331E"/>
    <w:rsid w:val="00A33473"/>
    <w:rsid w:val="00A334AD"/>
    <w:rsid w:val="00A33513"/>
    <w:rsid w:val="00A336FD"/>
    <w:rsid w:val="00A3377E"/>
    <w:rsid w:val="00A337C1"/>
    <w:rsid w:val="00A3397E"/>
    <w:rsid w:val="00A33A35"/>
    <w:rsid w:val="00A33A98"/>
    <w:rsid w:val="00A33B8D"/>
    <w:rsid w:val="00A33C22"/>
    <w:rsid w:val="00A33D26"/>
    <w:rsid w:val="00A33D9B"/>
    <w:rsid w:val="00A33E31"/>
    <w:rsid w:val="00A33E40"/>
    <w:rsid w:val="00A33E87"/>
    <w:rsid w:val="00A33F00"/>
    <w:rsid w:val="00A33F9E"/>
    <w:rsid w:val="00A33FD9"/>
    <w:rsid w:val="00A34033"/>
    <w:rsid w:val="00A341D8"/>
    <w:rsid w:val="00A34202"/>
    <w:rsid w:val="00A34214"/>
    <w:rsid w:val="00A342F2"/>
    <w:rsid w:val="00A34339"/>
    <w:rsid w:val="00A34406"/>
    <w:rsid w:val="00A34441"/>
    <w:rsid w:val="00A344F9"/>
    <w:rsid w:val="00A3459A"/>
    <w:rsid w:val="00A34629"/>
    <w:rsid w:val="00A34672"/>
    <w:rsid w:val="00A3468B"/>
    <w:rsid w:val="00A346D9"/>
    <w:rsid w:val="00A346E5"/>
    <w:rsid w:val="00A3476C"/>
    <w:rsid w:val="00A3481C"/>
    <w:rsid w:val="00A3485C"/>
    <w:rsid w:val="00A3490B"/>
    <w:rsid w:val="00A34910"/>
    <w:rsid w:val="00A34919"/>
    <w:rsid w:val="00A349AA"/>
    <w:rsid w:val="00A349C3"/>
    <w:rsid w:val="00A34A75"/>
    <w:rsid w:val="00A34AB4"/>
    <w:rsid w:val="00A34B34"/>
    <w:rsid w:val="00A34C24"/>
    <w:rsid w:val="00A34C44"/>
    <w:rsid w:val="00A34C78"/>
    <w:rsid w:val="00A34C88"/>
    <w:rsid w:val="00A34C9E"/>
    <w:rsid w:val="00A34EA3"/>
    <w:rsid w:val="00A34F61"/>
    <w:rsid w:val="00A3509C"/>
    <w:rsid w:val="00A351EB"/>
    <w:rsid w:val="00A35257"/>
    <w:rsid w:val="00A352C9"/>
    <w:rsid w:val="00A3534F"/>
    <w:rsid w:val="00A35426"/>
    <w:rsid w:val="00A35469"/>
    <w:rsid w:val="00A35499"/>
    <w:rsid w:val="00A35559"/>
    <w:rsid w:val="00A35625"/>
    <w:rsid w:val="00A3565D"/>
    <w:rsid w:val="00A35716"/>
    <w:rsid w:val="00A357D5"/>
    <w:rsid w:val="00A357E2"/>
    <w:rsid w:val="00A35830"/>
    <w:rsid w:val="00A35843"/>
    <w:rsid w:val="00A35921"/>
    <w:rsid w:val="00A35993"/>
    <w:rsid w:val="00A359C6"/>
    <w:rsid w:val="00A359C7"/>
    <w:rsid w:val="00A35A62"/>
    <w:rsid w:val="00A35AA1"/>
    <w:rsid w:val="00A35AE8"/>
    <w:rsid w:val="00A35B10"/>
    <w:rsid w:val="00A35E32"/>
    <w:rsid w:val="00A35E4F"/>
    <w:rsid w:val="00A35EFA"/>
    <w:rsid w:val="00A3602F"/>
    <w:rsid w:val="00A36594"/>
    <w:rsid w:val="00A36643"/>
    <w:rsid w:val="00A36898"/>
    <w:rsid w:val="00A36923"/>
    <w:rsid w:val="00A3694E"/>
    <w:rsid w:val="00A36A24"/>
    <w:rsid w:val="00A36A3D"/>
    <w:rsid w:val="00A36A66"/>
    <w:rsid w:val="00A36A9A"/>
    <w:rsid w:val="00A36B33"/>
    <w:rsid w:val="00A36CF3"/>
    <w:rsid w:val="00A36CF4"/>
    <w:rsid w:val="00A36DD3"/>
    <w:rsid w:val="00A36E68"/>
    <w:rsid w:val="00A36F4C"/>
    <w:rsid w:val="00A370AB"/>
    <w:rsid w:val="00A370CF"/>
    <w:rsid w:val="00A37135"/>
    <w:rsid w:val="00A3733D"/>
    <w:rsid w:val="00A3739B"/>
    <w:rsid w:val="00A37480"/>
    <w:rsid w:val="00A375A7"/>
    <w:rsid w:val="00A3769A"/>
    <w:rsid w:val="00A37761"/>
    <w:rsid w:val="00A3779A"/>
    <w:rsid w:val="00A377B8"/>
    <w:rsid w:val="00A37896"/>
    <w:rsid w:val="00A37AB8"/>
    <w:rsid w:val="00A37AC1"/>
    <w:rsid w:val="00A37BBE"/>
    <w:rsid w:val="00A37C0E"/>
    <w:rsid w:val="00A37D53"/>
    <w:rsid w:val="00A37DC1"/>
    <w:rsid w:val="00A37E84"/>
    <w:rsid w:val="00A37EA0"/>
    <w:rsid w:val="00A37ED8"/>
    <w:rsid w:val="00A39F40"/>
    <w:rsid w:val="00A3EBFE"/>
    <w:rsid w:val="00A40075"/>
    <w:rsid w:val="00A402D9"/>
    <w:rsid w:val="00A40320"/>
    <w:rsid w:val="00A40342"/>
    <w:rsid w:val="00A403F4"/>
    <w:rsid w:val="00A405BB"/>
    <w:rsid w:val="00A40692"/>
    <w:rsid w:val="00A407F1"/>
    <w:rsid w:val="00A40823"/>
    <w:rsid w:val="00A4099C"/>
    <w:rsid w:val="00A40A93"/>
    <w:rsid w:val="00A40C65"/>
    <w:rsid w:val="00A40CD8"/>
    <w:rsid w:val="00A40DD0"/>
    <w:rsid w:val="00A40F28"/>
    <w:rsid w:val="00A40F4E"/>
    <w:rsid w:val="00A40F79"/>
    <w:rsid w:val="00A410C6"/>
    <w:rsid w:val="00A411C6"/>
    <w:rsid w:val="00A412D6"/>
    <w:rsid w:val="00A41381"/>
    <w:rsid w:val="00A4152A"/>
    <w:rsid w:val="00A415C6"/>
    <w:rsid w:val="00A415F7"/>
    <w:rsid w:val="00A41620"/>
    <w:rsid w:val="00A4169E"/>
    <w:rsid w:val="00A417B7"/>
    <w:rsid w:val="00A41A3B"/>
    <w:rsid w:val="00A41A82"/>
    <w:rsid w:val="00A41B5A"/>
    <w:rsid w:val="00A41BA4"/>
    <w:rsid w:val="00A41BAD"/>
    <w:rsid w:val="00A41C7D"/>
    <w:rsid w:val="00A41FA1"/>
    <w:rsid w:val="00A4207F"/>
    <w:rsid w:val="00A42165"/>
    <w:rsid w:val="00A42275"/>
    <w:rsid w:val="00A422AF"/>
    <w:rsid w:val="00A4238B"/>
    <w:rsid w:val="00A42428"/>
    <w:rsid w:val="00A424C1"/>
    <w:rsid w:val="00A42559"/>
    <w:rsid w:val="00A4257A"/>
    <w:rsid w:val="00A42602"/>
    <w:rsid w:val="00A42668"/>
    <w:rsid w:val="00A426A2"/>
    <w:rsid w:val="00A427E8"/>
    <w:rsid w:val="00A4291C"/>
    <w:rsid w:val="00A42968"/>
    <w:rsid w:val="00A42A3D"/>
    <w:rsid w:val="00A42A50"/>
    <w:rsid w:val="00A42A83"/>
    <w:rsid w:val="00A42B1F"/>
    <w:rsid w:val="00A42C0B"/>
    <w:rsid w:val="00A42C34"/>
    <w:rsid w:val="00A42C53"/>
    <w:rsid w:val="00A42C5B"/>
    <w:rsid w:val="00A42C65"/>
    <w:rsid w:val="00A42D6A"/>
    <w:rsid w:val="00A42DF8"/>
    <w:rsid w:val="00A42E3F"/>
    <w:rsid w:val="00A42E56"/>
    <w:rsid w:val="00A42E60"/>
    <w:rsid w:val="00A42F1D"/>
    <w:rsid w:val="00A42F82"/>
    <w:rsid w:val="00A43074"/>
    <w:rsid w:val="00A43075"/>
    <w:rsid w:val="00A43121"/>
    <w:rsid w:val="00A431C1"/>
    <w:rsid w:val="00A4323C"/>
    <w:rsid w:val="00A4335F"/>
    <w:rsid w:val="00A43482"/>
    <w:rsid w:val="00A435FF"/>
    <w:rsid w:val="00A437B4"/>
    <w:rsid w:val="00A43911"/>
    <w:rsid w:val="00A439C0"/>
    <w:rsid w:val="00A439C9"/>
    <w:rsid w:val="00A439E0"/>
    <w:rsid w:val="00A43A6C"/>
    <w:rsid w:val="00A43ABE"/>
    <w:rsid w:val="00A43ACF"/>
    <w:rsid w:val="00A43AE6"/>
    <w:rsid w:val="00A43B00"/>
    <w:rsid w:val="00A43BFE"/>
    <w:rsid w:val="00A43D8A"/>
    <w:rsid w:val="00A43F27"/>
    <w:rsid w:val="00A43F9B"/>
    <w:rsid w:val="00A440B3"/>
    <w:rsid w:val="00A4412B"/>
    <w:rsid w:val="00A4425B"/>
    <w:rsid w:val="00A442C6"/>
    <w:rsid w:val="00A44384"/>
    <w:rsid w:val="00A443F8"/>
    <w:rsid w:val="00A44530"/>
    <w:rsid w:val="00A44566"/>
    <w:rsid w:val="00A4457D"/>
    <w:rsid w:val="00A445D6"/>
    <w:rsid w:val="00A446D1"/>
    <w:rsid w:val="00A44709"/>
    <w:rsid w:val="00A447AD"/>
    <w:rsid w:val="00A44872"/>
    <w:rsid w:val="00A448E7"/>
    <w:rsid w:val="00A449FB"/>
    <w:rsid w:val="00A44A22"/>
    <w:rsid w:val="00A44A2B"/>
    <w:rsid w:val="00A44A50"/>
    <w:rsid w:val="00A44B55"/>
    <w:rsid w:val="00A44B6B"/>
    <w:rsid w:val="00A44BED"/>
    <w:rsid w:val="00A44CD3"/>
    <w:rsid w:val="00A44E3F"/>
    <w:rsid w:val="00A44EB8"/>
    <w:rsid w:val="00A44F44"/>
    <w:rsid w:val="00A44FD8"/>
    <w:rsid w:val="00A4528A"/>
    <w:rsid w:val="00A45331"/>
    <w:rsid w:val="00A453C3"/>
    <w:rsid w:val="00A453CF"/>
    <w:rsid w:val="00A45463"/>
    <w:rsid w:val="00A45519"/>
    <w:rsid w:val="00A4565A"/>
    <w:rsid w:val="00A456E8"/>
    <w:rsid w:val="00A45748"/>
    <w:rsid w:val="00A4578E"/>
    <w:rsid w:val="00A45990"/>
    <w:rsid w:val="00A459C9"/>
    <w:rsid w:val="00A45A0D"/>
    <w:rsid w:val="00A45A46"/>
    <w:rsid w:val="00A45AA7"/>
    <w:rsid w:val="00A45BDC"/>
    <w:rsid w:val="00A45C36"/>
    <w:rsid w:val="00A45CD1"/>
    <w:rsid w:val="00A45CED"/>
    <w:rsid w:val="00A45DA8"/>
    <w:rsid w:val="00A45EB2"/>
    <w:rsid w:val="00A45F86"/>
    <w:rsid w:val="00A46099"/>
    <w:rsid w:val="00A46157"/>
    <w:rsid w:val="00A4620E"/>
    <w:rsid w:val="00A4624E"/>
    <w:rsid w:val="00A463C9"/>
    <w:rsid w:val="00A46439"/>
    <w:rsid w:val="00A46440"/>
    <w:rsid w:val="00A46444"/>
    <w:rsid w:val="00A465E3"/>
    <w:rsid w:val="00A466DF"/>
    <w:rsid w:val="00A46720"/>
    <w:rsid w:val="00A467BC"/>
    <w:rsid w:val="00A46AFD"/>
    <w:rsid w:val="00A46B1B"/>
    <w:rsid w:val="00A46B5C"/>
    <w:rsid w:val="00A46B7C"/>
    <w:rsid w:val="00A46D0E"/>
    <w:rsid w:val="00A46E18"/>
    <w:rsid w:val="00A46ED9"/>
    <w:rsid w:val="00A46F68"/>
    <w:rsid w:val="00A46F6B"/>
    <w:rsid w:val="00A47059"/>
    <w:rsid w:val="00A47069"/>
    <w:rsid w:val="00A472D1"/>
    <w:rsid w:val="00A4741A"/>
    <w:rsid w:val="00A47515"/>
    <w:rsid w:val="00A4751B"/>
    <w:rsid w:val="00A4752E"/>
    <w:rsid w:val="00A4759D"/>
    <w:rsid w:val="00A475BA"/>
    <w:rsid w:val="00A47627"/>
    <w:rsid w:val="00A476B3"/>
    <w:rsid w:val="00A47733"/>
    <w:rsid w:val="00A4773A"/>
    <w:rsid w:val="00A4775F"/>
    <w:rsid w:val="00A4776F"/>
    <w:rsid w:val="00A477BC"/>
    <w:rsid w:val="00A47830"/>
    <w:rsid w:val="00A478DD"/>
    <w:rsid w:val="00A478F4"/>
    <w:rsid w:val="00A478F5"/>
    <w:rsid w:val="00A47910"/>
    <w:rsid w:val="00A47991"/>
    <w:rsid w:val="00A47A90"/>
    <w:rsid w:val="00A47AE3"/>
    <w:rsid w:val="00A47B12"/>
    <w:rsid w:val="00A47BD2"/>
    <w:rsid w:val="00A47D3C"/>
    <w:rsid w:val="00A47D4B"/>
    <w:rsid w:val="00A47DC6"/>
    <w:rsid w:val="00A47DFB"/>
    <w:rsid w:val="00A47E4B"/>
    <w:rsid w:val="00A47E92"/>
    <w:rsid w:val="00A47ED1"/>
    <w:rsid w:val="00A50095"/>
    <w:rsid w:val="00A50105"/>
    <w:rsid w:val="00A50151"/>
    <w:rsid w:val="00A5019C"/>
    <w:rsid w:val="00A501B1"/>
    <w:rsid w:val="00A50210"/>
    <w:rsid w:val="00A50256"/>
    <w:rsid w:val="00A50274"/>
    <w:rsid w:val="00A502E5"/>
    <w:rsid w:val="00A50350"/>
    <w:rsid w:val="00A5036D"/>
    <w:rsid w:val="00A50387"/>
    <w:rsid w:val="00A50410"/>
    <w:rsid w:val="00A505AC"/>
    <w:rsid w:val="00A50672"/>
    <w:rsid w:val="00A5069E"/>
    <w:rsid w:val="00A506D5"/>
    <w:rsid w:val="00A50762"/>
    <w:rsid w:val="00A50906"/>
    <w:rsid w:val="00A50A43"/>
    <w:rsid w:val="00A50B04"/>
    <w:rsid w:val="00A50F13"/>
    <w:rsid w:val="00A510EF"/>
    <w:rsid w:val="00A51118"/>
    <w:rsid w:val="00A51280"/>
    <w:rsid w:val="00A51441"/>
    <w:rsid w:val="00A514C2"/>
    <w:rsid w:val="00A514CA"/>
    <w:rsid w:val="00A514CE"/>
    <w:rsid w:val="00A51541"/>
    <w:rsid w:val="00A51590"/>
    <w:rsid w:val="00A515D0"/>
    <w:rsid w:val="00A515D9"/>
    <w:rsid w:val="00A5178F"/>
    <w:rsid w:val="00A517A8"/>
    <w:rsid w:val="00A51845"/>
    <w:rsid w:val="00A518C2"/>
    <w:rsid w:val="00A518E9"/>
    <w:rsid w:val="00A5196B"/>
    <w:rsid w:val="00A51AB7"/>
    <w:rsid w:val="00A51BB6"/>
    <w:rsid w:val="00A51BD6"/>
    <w:rsid w:val="00A51CDA"/>
    <w:rsid w:val="00A51DEB"/>
    <w:rsid w:val="00A51E2A"/>
    <w:rsid w:val="00A51E36"/>
    <w:rsid w:val="00A51EBE"/>
    <w:rsid w:val="00A51F40"/>
    <w:rsid w:val="00A51F4E"/>
    <w:rsid w:val="00A51FCD"/>
    <w:rsid w:val="00A5212B"/>
    <w:rsid w:val="00A522A4"/>
    <w:rsid w:val="00A522ED"/>
    <w:rsid w:val="00A52372"/>
    <w:rsid w:val="00A52447"/>
    <w:rsid w:val="00A524C6"/>
    <w:rsid w:val="00A524DF"/>
    <w:rsid w:val="00A527ED"/>
    <w:rsid w:val="00A5293C"/>
    <w:rsid w:val="00A5297E"/>
    <w:rsid w:val="00A529C7"/>
    <w:rsid w:val="00A529D7"/>
    <w:rsid w:val="00A529E7"/>
    <w:rsid w:val="00A529FA"/>
    <w:rsid w:val="00A52A1D"/>
    <w:rsid w:val="00A52B20"/>
    <w:rsid w:val="00A52B6B"/>
    <w:rsid w:val="00A52B9C"/>
    <w:rsid w:val="00A52C1E"/>
    <w:rsid w:val="00A52D43"/>
    <w:rsid w:val="00A52D53"/>
    <w:rsid w:val="00A52D56"/>
    <w:rsid w:val="00A52E16"/>
    <w:rsid w:val="00A52E86"/>
    <w:rsid w:val="00A52F2C"/>
    <w:rsid w:val="00A52F8F"/>
    <w:rsid w:val="00A530D1"/>
    <w:rsid w:val="00A53256"/>
    <w:rsid w:val="00A53405"/>
    <w:rsid w:val="00A53446"/>
    <w:rsid w:val="00A53534"/>
    <w:rsid w:val="00A53668"/>
    <w:rsid w:val="00A53882"/>
    <w:rsid w:val="00A5394F"/>
    <w:rsid w:val="00A53963"/>
    <w:rsid w:val="00A53A63"/>
    <w:rsid w:val="00A53A6D"/>
    <w:rsid w:val="00A53A81"/>
    <w:rsid w:val="00A53AF7"/>
    <w:rsid w:val="00A53BFD"/>
    <w:rsid w:val="00A53C33"/>
    <w:rsid w:val="00A53C9B"/>
    <w:rsid w:val="00A540D3"/>
    <w:rsid w:val="00A540F8"/>
    <w:rsid w:val="00A540FA"/>
    <w:rsid w:val="00A5419A"/>
    <w:rsid w:val="00A5420E"/>
    <w:rsid w:val="00A542FC"/>
    <w:rsid w:val="00A543D3"/>
    <w:rsid w:val="00A54520"/>
    <w:rsid w:val="00A5452F"/>
    <w:rsid w:val="00A545DB"/>
    <w:rsid w:val="00A54693"/>
    <w:rsid w:val="00A54906"/>
    <w:rsid w:val="00A549B2"/>
    <w:rsid w:val="00A549DA"/>
    <w:rsid w:val="00A54A77"/>
    <w:rsid w:val="00A54C95"/>
    <w:rsid w:val="00A54DBF"/>
    <w:rsid w:val="00A54EC0"/>
    <w:rsid w:val="00A54F81"/>
    <w:rsid w:val="00A5514B"/>
    <w:rsid w:val="00A55158"/>
    <w:rsid w:val="00A5528E"/>
    <w:rsid w:val="00A55323"/>
    <w:rsid w:val="00A553E7"/>
    <w:rsid w:val="00A55438"/>
    <w:rsid w:val="00A554B2"/>
    <w:rsid w:val="00A55517"/>
    <w:rsid w:val="00A5559C"/>
    <w:rsid w:val="00A55712"/>
    <w:rsid w:val="00A5571F"/>
    <w:rsid w:val="00A5589B"/>
    <w:rsid w:val="00A55992"/>
    <w:rsid w:val="00A55996"/>
    <w:rsid w:val="00A559F6"/>
    <w:rsid w:val="00A55A7B"/>
    <w:rsid w:val="00A55A88"/>
    <w:rsid w:val="00A55AB4"/>
    <w:rsid w:val="00A55D0D"/>
    <w:rsid w:val="00A55E12"/>
    <w:rsid w:val="00A55E6B"/>
    <w:rsid w:val="00A55F12"/>
    <w:rsid w:val="00A55F76"/>
    <w:rsid w:val="00A55FCC"/>
    <w:rsid w:val="00A55FCE"/>
    <w:rsid w:val="00A56088"/>
    <w:rsid w:val="00A56322"/>
    <w:rsid w:val="00A565E9"/>
    <w:rsid w:val="00A56932"/>
    <w:rsid w:val="00A56964"/>
    <w:rsid w:val="00A569A8"/>
    <w:rsid w:val="00A56A09"/>
    <w:rsid w:val="00A56C01"/>
    <w:rsid w:val="00A56D85"/>
    <w:rsid w:val="00A56E52"/>
    <w:rsid w:val="00A56EB4"/>
    <w:rsid w:val="00A56EB5"/>
    <w:rsid w:val="00A56FA8"/>
    <w:rsid w:val="00A570CD"/>
    <w:rsid w:val="00A57268"/>
    <w:rsid w:val="00A572D1"/>
    <w:rsid w:val="00A57377"/>
    <w:rsid w:val="00A57473"/>
    <w:rsid w:val="00A574AF"/>
    <w:rsid w:val="00A57519"/>
    <w:rsid w:val="00A5751B"/>
    <w:rsid w:val="00A5758B"/>
    <w:rsid w:val="00A575CA"/>
    <w:rsid w:val="00A57636"/>
    <w:rsid w:val="00A576CD"/>
    <w:rsid w:val="00A576E3"/>
    <w:rsid w:val="00A576F6"/>
    <w:rsid w:val="00A578B4"/>
    <w:rsid w:val="00A5793E"/>
    <w:rsid w:val="00A57B13"/>
    <w:rsid w:val="00A57B2E"/>
    <w:rsid w:val="00A57B70"/>
    <w:rsid w:val="00A57CAC"/>
    <w:rsid w:val="00A57D84"/>
    <w:rsid w:val="00A57E13"/>
    <w:rsid w:val="00A57ED3"/>
    <w:rsid w:val="00A57F09"/>
    <w:rsid w:val="00A57F53"/>
    <w:rsid w:val="00A57FD7"/>
    <w:rsid w:val="00A57FF8"/>
    <w:rsid w:val="00A600BC"/>
    <w:rsid w:val="00A60164"/>
    <w:rsid w:val="00A6016E"/>
    <w:rsid w:val="00A60186"/>
    <w:rsid w:val="00A602BE"/>
    <w:rsid w:val="00A602F0"/>
    <w:rsid w:val="00A603AD"/>
    <w:rsid w:val="00A603E2"/>
    <w:rsid w:val="00A6054C"/>
    <w:rsid w:val="00A60793"/>
    <w:rsid w:val="00A6091C"/>
    <w:rsid w:val="00A609C4"/>
    <w:rsid w:val="00A60AA1"/>
    <w:rsid w:val="00A60C18"/>
    <w:rsid w:val="00A60DFB"/>
    <w:rsid w:val="00A60E4B"/>
    <w:rsid w:val="00A60E9B"/>
    <w:rsid w:val="00A60EAE"/>
    <w:rsid w:val="00A60EF0"/>
    <w:rsid w:val="00A61081"/>
    <w:rsid w:val="00A610AF"/>
    <w:rsid w:val="00A61115"/>
    <w:rsid w:val="00A611B2"/>
    <w:rsid w:val="00A61215"/>
    <w:rsid w:val="00A61285"/>
    <w:rsid w:val="00A612E9"/>
    <w:rsid w:val="00A61326"/>
    <w:rsid w:val="00A613D4"/>
    <w:rsid w:val="00A613FB"/>
    <w:rsid w:val="00A61415"/>
    <w:rsid w:val="00A614D1"/>
    <w:rsid w:val="00A614E7"/>
    <w:rsid w:val="00A61628"/>
    <w:rsid w:val="00A616FE"/>
    <w:rsid w:val="00A61717"/>
    <w:rsid w:val="00A61768"/>
    <w:rsid w:val="00A617A5"/>
    <w:rsid w:val="00A617A9"/>
    <w:rsid w:val="00A61979"/>
    <w:rsid w:val="00A61A0F"/>
    <w:rsid w:val="00A61A20"/>
    <w:rsid w:val="00A61AC4"/>
    <w:rsid w:val="00A61ACD"/>
    <w:rsid w:val="00A61B09"/>
    <w:rsid w:val="00A61B4F"/>
    <w:rsid w:val="00A61B81"/>
    <w:rsid w:val="00A61C3F"/>
    <w:rsid w:val="00A61C66"/>
    <w:rsid w:val="00A61CFF"/>
    <w:rsid w:val="00A61E01"/>
    <w:rsid w:val="00A61E2F"/>
    <w:rsid w:val="00A61F04"/>
    <w:rsid w:val="00A61F2B"/>
    <w:rsid w:val="00A61FBF"/>
    <w:rsid w:val="00A620E7"/>
    <w:rsid w:val="00A6213F"/>
    <w:rsid w:val="00A62231"/>
    <w:rsid w:val="00A6227C"/>
    <w:rsid w:val="00A62418"/>
    <w:rsid w:val="00A626DD"/>
    <w:rsid w:val="00A626FE"/>
    <w:rsid w:val="00A627A8"/>
    <w:rsid w:val="00A62802"/>
    <w:rsid w:val="00A62954"/>
    <w:rsid w:val="00A629BE"/>
    <w:rsid w:val="00A62A24"/>
    <w:rsid w:val="00A62A71"/>
    <w:rsid w:val="00A62CAC"/>
    <w:rsid w:val="00A62CBC"/>
    <w:rsid w:val="00A62D10"/>
    <w:rsid w:val="00A62D7C"/>
    <w:rsid w:val="00A62D9D"/>
    <w:rsid w:val="00A62DB6"/>
    <w:rsid w:val="00A62DD2"/>
    <w:rsid w:val="00A62EE9"/>
    <w:rsid w:val="00A62EEE"/>
    <w:rsid w:val="00A62FC0"/>
    <w:rsid w:val="00A630FE"/>
    <w:rsid w:val="00A6312E"/>
    <w:rsid w:val="00A631F3"/>
    <w:rsid w:val="00A6330A"/>
    <w:rsid w:val="00A63313"/>
    <w:rsid w:val="00A633C7"/>
    <w:rsid w:val="00A63429"/>
    <w:rsid w:val="00A63683"/>
    <w:rsid w:val="00A636AF"/>
    <w:rsid w:val="00A63796"/>
    <w:rsid w:val="00A637D3"/>
    <w:rsid w:val="00A6388C"/>
    <w:rsid w:val="00A638C7"/>
    <w:rsid w:val="00A6398A"/>
    <w:rsid w:val="00A639B4"/>
    <w:rsid w:val="00A63A8E"/>
    <w:rsid w:val="00A63B6F"/>
    <w:rsid w:val="00A63BA2"/>
    <w:rsid w:val="00A63BC6"/>
    <w:rsid w:val="00A63CB3"/>
    <w:rsid w:val="00A63D57"/>
    <w:rsid w:val="00A63DCC"/>
    <w:rsid w:val="00A63DD9"/>
    <w:rsid w:val="00A63F87"/>
    <w:rsid w:val="00A63F9D"/>
    <w:rsid w:val="00A63FEE"/>
    <w:rsid w:val="00A64058"/>
    <w:rsid w:val="00A64059"/>
    <w:rsid w:val="00A64181"/>
    <w:rsid w:val="00A6427C"/>
    <w:rsid w:val="00A6430D"/>
    <w:rsid w:val="00A64367"/>
    <w:rsid w:val="00A643D2"/>
    <w:rsid w:val="00A6441E"/>
    <w:rsid w:val="00A64436"/>
    <w:rsid w:val="00A64500"/>
    <w:rsid w:val="00A64599"/>
    <w:rsid w:val="00A645A2"/>
    <w:rsid w:val="00A6466E"/>
    <w:rsid w:val="00A646A7"/>
    <w:rsid w:val="00A646DA"/>
    <w:rsid w:val="00A6473F"/>
    <w:rsid w:val="00A648F6"/>
    <w:rsid w:val="00A64905"/>
    <w:rsid w:val="00A64A6A"/>
    <w:rsid w:val="00A64BA5"/>
    <w:rsid w:val="00A64C0A"/>
    <w:rsid w:val="00A64CAE"/>
    <w:rsid w:val="00A64D1F"/>
    <w:rsid w:val="00A64D57"/>
    <w:rsid w:val="00A64D89"/>
    <w:rsid w:val="00A64E47"/>
    <w:rsid w:val="00A65097"/>
    <w:rsid w:val="00A650CB"/>
    <w:rsid w:val="00A652E7"/>
    <w:rsid w:val="00A65589"/>
    <w:rsid w:val="00A65596"/>
    <w:rsid w:val="00A657EF"/>
    <w:rsid w:val="00A6582E"/>
    <w:rsid w:val="00A658AE"/>
    <w:rsid w:val="00A65A9A"/>
    <w:rsid w:val="00A65B5E"/>
    <w:rsid w:val="00A65C37"/>
    <w:rsid w:val="00A65C5E"/>
    <w:rsid w:val="00A65C9E"/>
    <w:rsid w:val="00A65CB6"/>
    <w:rsid w:val="00A65D6C"/>
    <w:rsid w:val="00A65E22"/>
    <w:rsid w:val="00A65EBD"/>
    <w:rsid w:val="00A65F5D"/>
    <w:rsid w:val="00A6603E"/>
    <w:rsid w:val="00A66077"/>
    <w:rsid w:val="00A661A9"/>
    <w:rsid w:val="00A6623E"/>
    <w:rsid w:val="00A66294"/>
    <w:rsid w:val="00A662BB"/>
    <w:rsid w:val="00A662E4"/>
    <w:rsid w:val="00A66315"/>
    <w:rsid w:val="00A6636A"/>
    <w:rsid w:val="00A6645B"/>
    <w:rsid w:val="00A66473"/>
    <w:rsid w:val="00A664C3"/>
    <w:rsid w:val="00A66575"/>
    <w:rsid w:val="00A665FF"/>
    <w:rsid w:val="00A66704"/>
    <w:rsid w:val="00A66864"/>
    <w:rsid w:val="00A66871"/>
    <w:rsid w:val="00A668B4"/>
    <w:rsid w:val="00A668D5"/>
    <w:rsid w:val="00A66910"/>
    <w:rsid w:val="00A669A1"/>
    <w:rsid w:val="00A66B69"/>
    <w:rsid w:val="00A66BB3"/>
    <w:rsid w:val="00A66C48"/>
    <w:rsid w:val="00A66CCA"/>
    <w:rsid w:val="00A66CFD"/>
    <w:rsid w:val="00A66EBA"/>
    <w:rsid w:val="00A66F6C"/>
    <w:rsid w:val="00A67018"/>
    <w:rsid w:val="00A6716F"/>
    <w:rsid w:val="00A67175"/>
    <w:rsid w:val="00A671B8"/>
    <w:rsid w:val="00A67303"/>
    <w:rsid w:val="00A67345"/>
    <w:rsid w:val="00A6750D"/>
    <w:rsid w:val="00A675B1"/>
    <w:rsid w:val="00A67623"/>
    <w:rsid w:val="00A67730"/>
    <w:rsid w:val="00A67925"/>
    <w:rsid w:val="00A67A0D"/>
    <w:rsid w:val="00A67A17"/>
    <w:rsid w:val="00A67AE9"/>
    <w:rsid w:val="00A67C1B"/>
    <w:rsid w:val="00A67C1D"/>
    <w:rsid w:val="00A67C53"/>
    <w:rsid w:val="00A67C59"/>
    <w:rsid w:val="00A67C60"/>
    <w:rsid w:val="00A67C6D"/>
    <w:rsid w:val="00A67F0E"/>
    <w:rsid w:val="00A67FB8"/>
    <w:rsid w:val="00A70112"/>
    <w:rsid w:val="00A70163"/>
    <w:rsid w:val="00A701A8"/>
    <w:rsid w:val="00A7029E"/>
    <w:rsid w:val="00A703E4"/>
    <w:rsid w:val="00A70676"/>
    <w:rsid w:val="00A70700"/>
    <w:rsid w:val="00A70730"/>
    <w:rsid w:val="00A70787"/>
    <w:rsid w:val="00A707CD"/>
    <w:rsid w:val="00A70856"/>
    <w:rsid w:val="00A70859"/>
    <w:rsid w:val="00A709D1"/>
    <w:rsid w:val="00A70A46"/>
    <w:rsid w:val="00A70B93"/>
    <w:rsid w:val="00A70C09"/>
    <w:rsid w:val="00A70C88"/>
    <w:rsid w:val="00A70DAC"/>
    <w:rsid w:val="00A70DC5"/>
    <w:rsid w:val="00A70E6D"/>
    <w:rsid w:val="00A70E89"/>
    <w:rsid w:val="00A70F33"/>
    <w:rsid w:val="00A70F72"/>
    <w:rsid w:val="00A71042"/>
    <w:rsid w:val="00A7106C"/>
    <w:rsid w:val="00A7108F"/>
    <w:rsid w:val="00A710C6"/>
    <w:rsid w:val="00A710EB"/>
    <w:rsid w:val="00A711F6"/>
    <w:rsid w:val="00A71214"/>
    <w:rsid w:val="00A71269"/>
    <w:rsid w:val="00A712AE"/>
    <w:rsid w:val="00A712D9"/>
    <w:rsid w:val="00A7133E"/>
    <w:rsid w:val="00A713E2"/>
    <w:rsid w:val="00A71421"/>
    <w:rsid w:val="00A714C1"/>
    <w:rsid w:val="00A71536"/>
    <w:rsid w:val="00A715B5"/>
    <w:rsid w:val="00A71610"/>
    <w:rsid w:val="00A716FA"/>
    <w:rsid w:val="00A71792"/>
    <w:rsid w:val="00A71800"/>
    <w:rsid w:val="00A718F8"/>
    <w:rsid w:val="00A719B2"/>
    <w:rsid w:val="00A71B37"/>
    <w:rsid w:val="00A71C31"/>
    <w:rsid w:val="00A71CBA"/>
    <w:rsid w:val="00A71D14"/>
    <w:rsid w:val="00A71E72"/>
    <w:rsid w:val="00A71EFB"/>
    <w:rsid w:val="00A71F7C"/>
    <w:rsid w:val="00A72130"/>
    <w:rsid w:val="00A721C8"/>
    <w:rsid w:val="00A7223F"/>
    <w:rsid w:val="00A72301"/>
    <w:rsid w:val="00A72348"/>
    <w:rsid w:val="00A7238C"/>
    <w:rsid w:val="00A7242A"/>
    <w:rsid w:val="00A72468"/>
    <w:rsid w:val="00A724D2"/>
    <w:rsid w:val="00A72622"/>
    <w:rsid w:val="00A727E3"/>
    <w:rsid w:val="00A7284E"/>
    <w:rsid w:val="00A728D4"/>
    <w:rsid w:val="00A72A00"/>
    <w:rsid w:val="00A72A08"/>
    <w:rsid w:val="00A72A8D"/>
    <w:rsid w:val="00A72ABF"/>
    <w:rsid w:val="00A72AC8"/>
    <w:rsid w:val="00A72AD7"/>
    <w:rsid w:val="00A72C83"/>
    <w:rsid w:val="00A72E4A"/>
    <w:rsid w:val="00A72F10"/>
    <w:rsid w:val="00A72FF7"/>
    <w:rsid w:val="00A73093"/>
    <w:rsid w:val="00A73102"/>
    <w:rsid w:val="00A731BE"/>
    <w:rsid w:val="00A73295"/>
    <w:rsid w:val="00A73353"/>
    <w:rsid w:val="00A7339C"/>
    <w:rsid w:val="00A7344B"/>
    <w:rsid w:val="00A734E8"/>
    <w:rsid w:val="00A7352B"/>
    <w:rsid w:val="00A73536"/>
    <w:rsid w:val="00A738BC"/>
    <w:rsid w:val="00A7390D"/>
    <w:rsid w:val="00A73B3F"/>
    <w:rsid w:val="00A73BAF"/>
    <w:rsid w:val="00A73D52"/>
    <w:rsid w:val="00A73DAA"/>
    <w:rsid w:val="00A73E94"/>
    <w:rsid w:val="00A73EAC"/>
    <w:rsid w:val="00A73F0D"/>
    <w:rsid w:val="00A73F9B"/>
    <w:rsid w:val="00A73FA2"/>
    <w:rsid w:val="00A74078"/>
    <w:rsid w:val="00A7413E"/>
    <w:rsid w:val="00A7418D"/>
    <w:rsid w:val="00A741E4"/>
    <w:rsid w:val="00A743CE"/>
    <w:rsid w:val="00A74497"/>
    <w:rsid w:val="00A7458D"/>
    <w:rsid w:val="00A7470E"/>
    <w:rsid w:val="00A74827"/>
    <w:rsid w:val="00A74866"/>
    <w:rsid w:val="00A748DA"/>
    <w:rsid w:val="00A74AD1"/>
    <w:rsid w:val="00A74B51"/>
    <w:rsid w:val="00A74CF7"/>
    <w:rsid w:val="00A74D6D"/>
    <w:rsid w:val="00A74F56"/>
    <w:rsid w:val="00A751C7"/>
    <w:rsid w:val="00A751F0"/>
    <w:rsid w:val="00A75282"/>
    <w:rsid w:val="00A75317"/>
    <w:rsid w:val="00A75375"/>
    <w:rsid w:val="00A753DD"/>
    <w:rsid w:val="00A754AF"/>
    <w:rsid w:val="00A754D1"/>
    <w:rsid w:val="00A75584"/>
    <w:rsid w:val="00A75609"/>
    <w:rsid w:val="00A75679"/>
    <w:rsid w:val="00A756C4"/>
    <w:rsid w:val="00A756CB"/>
    <w:rsid w:val="00A756FB"/>
    <w:rsid w:val="00A7571D"/>
    <w:rsid w:val="00A7596E"/>
    <w:rsid w:val="00A75A30"/>
    <w:rsid w:val="00A75A86"/>
    <w:rsid w:val="00A75AE1"/>
    <w:rsid w:val="00A75B7E"/>
    <w:rsid w:val="00A75BC4"/>
    <w:rsid w:val="00A75C23"/>
    <w:rsid w:val="00A75D87"/>
    <w:rsid w:val="00A75E02"/>
    <w:rsid w:val="00A75ECE"/>
    <w:rsid w:val="00A76055"/>
    <w:rsid w:val="00A76144"/>
    <w:rsid w:val="00A7617B"/>
    <w:rsid w:val="00A761E9"/>
    <w:rsid w:val="00A76262"/>
    <w:rsid w:val="00A7636F"/>
    <w:rsid w:val="00A76382"/>
    <w:rsid w:val="00A76424"/>
    <w:rsid w:val="00A7643C"/>
    <w:rsid w:val="00A76496"/>
    <w:rsid w:val="00A764DD"/>
    <w:rsid w:val="00A764FF"/>
    <w:rsid w:val="00A7667C"/>
    <w:rsid w:val="00A766B5"/>
    <w:rsid w:val="00A76718"/>
    <w:rsid w:val="00A7672C"/>
    <w:rsid w:val="00A76849"/>
    <w:rsid w:val="00A76924"/>
    <w:rsid w:val="00A769EE"/>
    <w:rsid w:val="00A76B9A"/>
    <w:rsid w:val="00A76BC6"/>
    <w:rsid w:val="00A76C53"/>
    <w:rsid w:val="00A76C75"/>
    <w:rsid w:val="00A76CDE"/>
    <w:rsid w:val="00A76CE2"/>
    <w:rsid w:val="00A76CEA"/>
    <w:rsid w:val="00A76D14"/>
    <w:rsid w:val="00A76D4E"/>
    <w:rsid w:val="00A76D8C"/>
    <w:rsid w:val="00A76DAC"/>
    <w:rsid w:val="00A76DBE"/>
    <w:rsid w:val="00A76E05"/>
    <w:rsid w:val="00A76E27"/>
    <w:rsid w:val="00A76EFE"/>
    <w:rsid w:val="00A76F81"/>
    <w:rsid w:val="00A7706B"/>
    <w:rsid w:val="00A77136"/>
    <w:rsid w:val="00A77142"/>
    <w:rsid w:val="00A77168"/>
    <w:rsid w:val="00A772B3"/>
    <w:rsid w:val="00A7732C"/>
    <w:rsid w:val="00A773F0"/>
    <w:rsid w:val="00A773FA"/>
    <w:rsid w:val="00A77462"/>
    <w:rsid w:val="00A774EA"/>
    <w:rsid w:val="00A7753E"/>
    <w:rsid w:val="00A77567"/>
    <w:rsid w:val="00A7757E"/>
    <w:rsid w:val="00A7762D"/>
    <w:rsid w:val="00A7777B"/>
    <w:rsid w:val="00A777E6"/>
    <w:rsid w:val="00A778C3"/>
    <w:rsid w:val="00A7791D"/>
    <w:rsid w:val="00A77A6C"/>
    <w:rsid w:val="00A77AED"/>
    <w:rsid w:val="00A77BB9"/>
    <w:rsid w:val="00A77E04"/>
    <w:rsid w:val="00A77F37"/>
    <w:rsid w:val="00A80002"/>
    <w:rsid w:val="00A80119"/>
    <w:rsid w:val="00A801A0"/>
    <w:rsid w:val="00A80288"/>
    <w:rsid w:val="00A80293"/>
    <w:rsid w:val="00A80399"/>
    <w:rsid w:val="00A80430"/>
    <w:rsid w:val="00A804BE"/>
    <w:rsid w:val="00A80589"/>
    <w:rsid w:val="00A80654"/>
    <w:rsid w:val="00A80682"/>
    <w:rsid w:val="00A806C8"/>
    <w:rsid w:val="00A80753"/>
    <w:rsid w:val="00A80A92"/>
    <w:rsid w:val="00A80C95"/>
    <w:rsid w:val="00A80E16"/>
    <w:rsid w:val="00A80EAF"/>
    <w:rsid w:val="00A80EFB"/>
    <w:rsid w:val="00A81045"/>
    <w:rsid w:val="00A810CE"/>
    <w:rsid w:val="00A81197"/>
    <w:rsid w:val="00A812B1"/>
    <w:rsid w:val="00A8136E"/>
    <w:rsid w:val="00A814C2"/>
    <w:rsid w:val="00A814C4"/>
    <w:rsid w:val="00A814C8"/>
    <w:rsid w:val="00A81548"/>
    <w:rsid w:val="00A8166A"/>
    <w:rsid w:val="00A816A5"/>
    <w:rsid w:val="00A816CD"/>
    <w:rsid w:val="00A81756"/>
    <w:rsid w:val="00A817AD"/>
    <w:rsid w:val="00A81917"/>
    <w:rsid w:val="00A8199C"/>
    <w:rsid w:val="00A819E1"/>
    <w:rsid w:val="00A81D51"/>
    <w:rsid w:val="00A81DF8"/>
    <w:rsid w:val="00A81E77"/>
    <w:rsid w:val="00A81F3A"/>
    <w:rsid w:val="00A8202E"/>
    <w:rsid w:val="00A8207D"/>
    <w:rsid w:val="00A82128"/>
    <w:rsid w:val="00A82170"/>
    <w:rsid w:val="00A82222"/>
    <w:rsid w:val="00A823C5"/>
    <w:rsid w:val="00A823D7"/>
    <w:rsid w:val="00A82438"/>
    <w:rsid w:val="00A829C2"/>
    <w:rsid w:val="00A82AB9"/>
    <w:rsid w:val="00A82BC5"/>
    <w:rsid w:val="00A82C34"/>
    <w:rsid w:val="00A82C36"/>
    <w:rsid w:val="00A82CD1"/>
    <w:rsid w:val="00A82D01"/>
    <w:rsid w:val="00A82DCC"/>
    <w:rsid w:val="00A82E63"/>
    <w:rsid w:val="00A8307E"/>
    <w:rsid w:val="00A830B7"/>
    <w:rsid w:val="00A83106"/>
    <w:rsid w:val="00A83118"/>
    <w:rsid w:val="00A8321F"/>
    <w:rsid w:val="00A83236"/>
    <w:rsid w:val="00A832C2"/>
    <w:rsid w:val="00A832D6"/>
    <w:rsid w:val="00A8360A"/>
    <w:rsid w:val="00A8372E"/>
    <w:rsid w:val="00A83788"/>
    <w:rsid w:val="00A8378D"/>
    <w:rsid w:val="00A8382A"/>
    <w:rsid w:val="00A838F7"/>
    <w:rsid w:val="00A83B4E"/>
    <w:rsid w:val="00A83BBF"/>
    <w:rsid w:val="00A83C40"/>
    <w:rsid w:val="00A83D68"/>
    <w:rsid w:val="00A83E04"/>
    <w:rsid w:val="00A83E1B"/>
    <w:rsid w:val="00A83E3D"/>
    <w:rsid w:val="00A83F33"/>
    <w:rsid w:val="00A84074"/>
    <w:rsid w:val="00A840C5"/>
    <w:rsid w:val="00A84106"/>
    <w:rsid w:val="00A84124"/>
    <w:rsid w:val="00A84181"/>
    <w:rsid w:val="00A8420F"/>
    <w:rsid w:val="00A84304"/>
    <w:rsid w:val="00A84381"/>
    <w:rsid w:val="00A84487"/>
    <w:rsid w:val="00A84516"/>
    <w:rsid w:val="00A845F0"/>
    <w:rsid w:val="00A84754"/>
    <w:rsid w:val="00A847E9"/>
    <w:rsid w:val="00A84810"/>
    <w:rsid w:val="00A8486A"/>
    <w:rsid w:val="00A849FE"/>
    <w:rsid w:val="00A84AF7"/>
    <w:rsid w:val="00A84C0B"/>
    <w:rsid w:val="00A84C19"/>
    <w:rsid w:val="00A84CA4"/>
    <w:rsid w:val="00A84D9C"/>
    <w:rsid w:val="00A84DC2"/>
    <w:rsid w:val="00A84F90"/>
    <w:rsid w:val="00A84FBB"/>
    <w:rsid w:val="00A851E3"/>
    <w:rsid w:val="00A85295"/>
    <w:rsid w:val="00A85451"/>
    <w:rsid w:val="00A85453"/>
    <w:rsid w:val="00A8559A"/>
    <w:rsid w:val="00A85697"/>
    <w:rsid w:val="00A857E3"/>
    <w:rsid w:val="00A859C0"/>
    <w:rsid w:val="00A85A99"/>
    <w:rsid w:val="00A85ADF"/>
    <w:rsid w:val="00A85B46"/>
    <w:rsid w:val="00A85B4A"/>
    <w:rsid w:val="00A85B63"/>
    <w:rsid w:val="00A85B6D"/>
    <w:rsid w:val="00A85BA0"/>
    <w:rsid w:val="00A85BA6"/>
    <w:rsid w:val="00A85C87"/>
    <w:rsid w:val="00A85CE1"/>
    <w:rsid w:val="00A85D63"/>
    <w:rsid w:val="00A85DEF"/>
    <w:rsid w:val="00A85EAD"/>
    <w:rsid w:val="00A85EB3"/>
    <w:rsid w:val="00A85F25"/>
    <w:rsid w:val="00A860C1"/>
    <w:rsid w:val="00A860C6"/>
    <w:rsid w:val="00A86337"/>
    <w:rsid w:val="00A86347"/>
    <w:rsid w:val="00A8635B"/>
    <w:rsid w:val="00A86440"/>
    <w:rsid w:val="00A86546"/>
    <w:rsid w:val="00A86567"/>
    <w:rsid w:val="00A865B7"/>
    <w:rsid w:val="00A8663A"/>
    <w:rsid w:val="00A8672E"/>
    <w:rsid w:val="00A867C5"/>
    <w:rsid w:val="00A8680C"/>
    <w:rsid w:val="00A8681F"/>
    <w:rsid w:val="00A868AE"/>
    <w:rsid w:val="00A868E3"/>
    <w:rsid w:val="00A86965"/>
    <w:rsid w:val="00A8697A"/>
    <w:rsid w:val="00A86AA4"/>
    <w:rsid w:val="00A86BE8"/>
    <w:rsid w:val="00A86C82"/>
    <w:rsid w:val="00A86CC5"/>
    <w:rsid w:val="00A86D19"/>
    <w:rsid w:val="00A86D60"/>
    <w:rsid w:val="00A86DE0"/>
    <w:rsid w:val="00A86F83"/>
    <w:rsid w:val="00A86FB2"/>
    <w:rsid w:val="00A86FBF"/>
    <w:rsid w:val="00A870A6"/>
    <w:rsid w:val="00A870D2"/>
    <w:rsid w:val="00A87148"/>
    <w:rsid w:val="00A87223"/>
    <w:rsid w:val="00A8732D"/>
    <w:rsid w:val="00A87348"/>
    <w:rsid w:val="00A87383"/>
    <w:rsid w:val="00A87456"/>
    <w:rsid w:val="00A87572"/>
    <w:rsid w:val="00A875E8"/>
    <w:rsid w:val="00A876CB"/>
    <w:rsid w:val="00A878EE"/>
    <w:rsid w:val="00A87926"/>
    <w:rsid w:val="00A87B10"/>
    <w:rsid w:val="00A87C0C"/>
    <w:rsid w:val="00A87C14"/>
    <w:rsid w:val="00A87C18"/>
    <w:rsid w:val="00A87D18"/>
    <w:rsid w:val="00A87D71"/>
    <w:rsid w:val="00A9000B"/>
    <w:rsid w:val="00A9012F"/>
    <w:rsid w:val="00A90173"/>
    <w:rsid w:val="00A90227"/>
    <w:rsid w:val="00A9022D"/>
    <w:rsid w:val="00A90327"/>
    <w:rsid w:val="00A9034A"/>
    <w:rsid w:val="00A9037B"/>
    <w:rsid w:val="00A904A5"/>
    <w:rsid w:val="00A905BE"/>
    <w:rsid w:val="00A90605"/>
    <w:rsid w:val="00A906F7"/>
    <w:rsid w:val="00A9074C"/>
    <w:rsid w:val="00A90766"/>
    <w:rsid w:val="00A90780"/>
    <w:rsid w:val="00A907FA"/>
    <w:rsid w:val="00A90806"/>
    <w:rsid w:val="00A908AC"/>
    <w:rsid w:val="00A90957"/>
    <w:rsid w:val="00A909E4"/>
    <w:rsid w:val="00A909ED"/>
    <w:rsid w:val="00A90A41"/>
    <w:rsid w:val="00A90A6B"/>
    <w:rsid w:val="00A90ADA"/>
    <w:rsid w:val="00A90B27"/>
    <w:rsid w:val="00A90BF9"/>
    <w:rsid w:val="00A90C2E"/>
    <w:rsid w:val="00A90C95"/>
    <w:rsid w:val="00A90D0D"/>
    <w:rsid w:val="00A90D4D"/>
    <w:rsid w:val="00A90F6C"/>
    <w:rsid w:val="00A90FBC"/>
    <w:rsid w:val="00A90FFF"/>
    <w:rsid w:val="00A91000"/>
    <w:rsid w:val="00A9106D"/>
    <w:rsid w:val="00A910FC"/>
    <w:rsid w:val="00A911E3"/>
    <w:rsid w:val="00A911F8"/>
    <w:rsid w:val="00A91252"/>
    <w:rsid w:val="00A91257"/>
    <w:rsid w:val="00A912BF"/>
    <w:rsid w:val="00A913C6"/>
    <w:rsid w:val="00A91423"/>
    <w:rsid w:val="00A914D2"/>
    <w:rsid w:val="00A91684"/>
    <w:rsid w:val="00A916B0"/>
    <w:rsid w:val="00A91763"/>
    <w:rsid w:val="00A91767"/>
    <w:rsid w:val="00A91772"/>
    <w:rsid w:val="00A917CA"/>
    <w:rsid w:val="00A917D0"/>
    <w:rsid w:val="00A91B7F"/>
    <w:rsid w:val="00A91BBF"/>
    <w:rsid w:val="00A91BC0"/>
    <w:rsid w:val="00A91BFC"/>
    <w:rsid w:val="00A91C49"/>
    <w:rsid w:val="00A91C57"/>
    <w:rsid w:val="00A91CBD"/>
    <w:rsid w:val="00A91D2C"/>
    <w:rsid w:val="00A91E97"/>
    <w:rsid w:val="00A91EAD"/>
    <w:rsid w:val="00A91F59"/>
    <w:rsid w:val="00A920BA"/>
    <w:rsid w:val="00A920F0"/>
    <w:rsid w:val="00A92161"/>
    <w:rsid w:val="00A9219E"/>
    <w:rsid w:val="00A921DC"/>
    <w:rsid w:val="00A92407"/>
    <w:rsid w:val="00A924EC"/>
    <w:rsid w:val="00A9253A"/>
    <w:rsid w:val="00A925A6"/>
    <w:rsid w:val="00A92648"/>
    <w:rsid w:val="00A92867"/>
    <w:rsid w:val="00A929EA"/>
    <w:rsid w:val="00A929FA"/>
    <w:rsid w:val="00A92A4E"/>
    <w:rsid w:val="00A92A5D"/>
    <w:rsid w:val="00A92B1C"/>
    <w:rsid w:val="00A92BA0"/>
    <w:rsid w:val="00A92BDA"/>
    <w:rsid w:val="00A92C24"/>
    <w:rsid w:val="00A92CB4"/>
    <w:rsid w:val="00A92FBB"/>
    <w:rsid w:val="00A930D9"/>
    <w:rsid w:val="00A930FD"/>
    <w:rsid w:val="00A93181"/>
    <w:rsid w:val="00A9322E"/>
    <w:rsid w:val="00A93231"/>
    <w:rsid w:val="00A93280"/>
    <w:rsid w:val="00A93723"/>
    <w:rsid w:val="00A9379E"/>
    <w:rsid w:val="00A93809"/>
    <w:rsid w:val="00A9384E"/>
    <w:rsid w:val="00A93924"/>
    <w:rsid w:val="00A93955"/>
    <w:rsid w:val="00A93A02"/>
    <w:rsid w:val="00A93A65"/>
    <w:rsid w:val="00A93ADA"/>
    <w:rsid w:val="00A93B64"/>
    <w:rsid w:val="00A93C33"/>
    <w:rsid w:val="00A93C9B"/>
    <w:rsid w:val="00A93CA5"/>
    <w:rsid w:val="00A93CFB"/>
    <w:rsid w:val="00A93CFF"/>
    <w:rsid w:val="00A93D4C"/>
    <w:rsid w:val="00A93DEA"/>
    <w:rsid w:val="00A93DEF"/>
    <w:rsid w:val="00A93DF5"/>
    <w:rsid w:val="00A93E16"/>
    <w:rsid w:val="00A93ED2"/>
    <w:rsid w:val="00A93EFB"/>
    <w:rsid w:val="00A9405E"/>
    <w:rsid w:val="00A94105"/>
    <w:rsid w:val="00A9411C"/>
    <w:rsid w:val="00A94130"/>
    <w:rsid w:val="00A9419A"/>
    <w:rsid w:val="00A94263"/>
    <w:rsid w:val="00A94265"/>
    <w:rsid w:val="00A942E2"/>
    <w:rsid w:val="00A942EB"/>
    <w:rsid w:val="00A94310"/>
    <w:rsid w:val="00A943A1"/>
    <w:rsid w:val="00A94458"/>
    <w:rsid w:val="00A9453C"/>
    <w:rsid w:val="00A945C4"/>
    <w:rsid w:val="00A945F0"/>
    <w:rsid w:val="00A94615"/>
    <w:rsid w:val="00A946FC"/>
    <w:rsid w:val="00A9470E"/>
    <w:rsid w:val="00A94721"/>
    <w:rsid w:val="00A9474F"/>
    <w:rsid w:val="00A9480F"/>
    <w:rsid w:val="00A948CF"/>
    <w:rsid w:val="00A949EC"/>
    <w:rsid w:val="00A94A3C"/>
    <w:rsid w:val="00A94C54"/>
    <w:rsid w:val="00A94DE2"/>
    <w:rsid w:val="00A94E64"/>
    <w:rsid w:val="00A94EC0"/>
    <w:rsid w:val="00A94EE4"/>
    <w:rsid w:val="00A950DC"/>
    <w:rsid w:val="00A9511D"/>
    <w:rsid w:val="00A9513D"/>
    <w:rsid w:val="00A9514F"/>
    <w:rsid w:val="00A95159"/>
    <w:rsid w:val="00A952AD"/>
    <w:rsid w:val="00A9550F"/>
    <w:rsid w:val="00A95536"/>
    <w:rsid w:val="00A95537"/>
    <w:rsid w:val="00A95551"/>
    <w:rsid w:val="00A95567"/>
    <w:rsid w:val="00A955CF"/>
    <w:rsid w:val="00A956B2"/>
    <w:rsid w:val="00A956DA"/>
    <w:rsid w:val="00A95766"/>
    <w:rsid w:val="00A957A8"/>
    <w:rsid w:val="00A95915"/>
    <w:rsid w:val="00A95996"/>
    <w:rsid w:val="00A95A54"/>
    <w:rsid w:val="00A95A99"/>
    <w:rsid w:val="00A95B07"/>
    <w:rsid w:val="00A95B54"/>
    <w:rsid w:val="00A95BEF"/>
    <w:rsid w:val="00A95BF1"/>
    <w:rsid w:val="00A95C58"/>
    <w:rsid w:val="00A95CA7"/>
    <w:rsid w:val="00A95D42"/>
    <w:rsid w:val="00A95D8F"/>
    <w:rsid w:val="00A95E5C"/>
    <w:rsid w:val="00A95EB5"/>
    <w:rsid w:val="00A95F0B"/>
    <w:rsid w:val="00A95F3D"/>
    <w:rsid w:val="00A96089"/>
    <w:rsid w:val="00A9618A"/>
    <w:rsid w:val="00A96191"/>
    <w:rsid w:val="00A961A8"/>
    <w:rsid w:val="00A9626E"/>
    <w:rsid w:val="00A9631D"/>
    <w:rsid w:val="00A96330"/>
    <w:rsid w:val="00A96351"/>
    <w:rsid w:val="00A963EA"/>
    <w:rsid w:val="00A9650C"/>
    <w:rsid w:val="00A9659B"/>
    <w:rsid w:val="00A965DC"/>
    <w:rsid w:val="00A9676E"/>
    <w:rsid w:val="00A96790"/>
    <w:rsid w:val="00A967C0"/>
    <w:rsid w:val="00A96888"/>
    <w:rsid w:val="00A96919"/>
    <w:rsid w:val="00A96957"/>
    <w:rsid w:val="00A96AD8"/>
    <w:rsid w:val="00A96AD9"/>
    <w:rsid w:val="00A96B58"/>
    <w:rsid w:val="00A96BBC"/>
    <w:rsid w:val="00A96C98"/>
    <w:rsid w:val="00A96FC7"/>
    <w:rsid w:val="00A970C9"/>
    <w:rsid w:val="00A970D6"/>
    <w:rsid w:val="00A97186"/>
    <w:rsid w:val="00A971FB"/>
    <w:rsid w:val="00A97311"/>
    <w:rsid w:val="00A97407"/>
    <w:rsid w:val="00A97586"/>
    <w:rsid w:val="00A97589"/>
    <w:rsid w:val="00A975C5"/>
    <w:rsid w:val="00A975F9"/>
    <w:rsid w:val="00A9766A"/>
    <w:rsid w:val="00A9769C"/>
    <w:rsid w:val="00A9772C"/>
    <w:rsid w:val="00A977C7"/>
    <w:rsid w:val="00A97852"/>
    <w:rsid w:val="00A9790C"/>
    <w:rsid w:val="00A9792B"/>
    <w:rsid w:val="00A97A42"/>
    <w:rsid w:val="00A97AB5"/>
    <w:rsid w:val="00A97C15"/>
    <w:rsid w:val="00A97D72"/>
    <w:rsid w:val="00A97DAB"/>
    <w:rsid w:val="00A97E03"/>
    <w:rsid w:val="00A97F06"/>
    <w:rsid w:val="00A97F51"/>
    <w:rsid w:val="00A97F52"/>
    <w:rsid w:val="00A97F85"/>
    <w:rsid w:val="00A97FDE"/>
    <w:rsid w:val="00AA0045"/>
    <w:rsid w:val="00AA022A"/>
    <w:rsid w:val="00AA027E"/>
    <w:rsid w:val="00AA028C"/>
    <w:rsid w:val="00AA02A7"/>
    <w:rsid w:val="00AA02ED"/>
    <w:rsid w:val="00AA03BD"/>
    <w:rsid w:val="00AA03F0"/>
    <w:rsid w:val="00AA0547"/>
    <w:rsid w:val="00AA05A1"/>
    <w:rsid w:val="00AA05BC"/>
    <w:rsid w:val="00AA0601"/>
    <w:rsid w:val="00AA0608"/>
    <w:rsid w:val="00AA06DE"/>
    <w:rsid w:val="00AA0703"/>
    <w:rsid w:val="00AA07E1"/>
    <w:rsid w:val="00AA0868"/>
    <w:rsid w:val="00AA0919"/>
    <w:rsid w:val="00AA09B4"/>
    <w:rsid w:val="00AA0A1B"/>
    <w:rsid w:val="00AA0A49"/>
    <w:rsid w:val="00AA0A4F"/>
    <w:rsid w:val="00AA0AFA"/>
    <w:rsid w:val="00AA0AFB"/>
    <w:rsid w:val="00AA0BA3"/>
    <w:rsid w:val="00AA0C0E"/>
    <w:rsid w:val="00AA0C15"/>
    <w:rsid w:val="00AA0C43"/>
    <w:rsid w:val="00AA0CC8"/>
    <w:rsid w:val="00AA0D5A"/>
    <w:rsid w:val="00AA0E21"/>
    <w:rsid w:val="00AA0EF8"/>
    <w:rsid w:val="00AA11D3"/>
    <w:rsid w:val="00AA120B"/>
    <w:rsid w:val="00AA1237"/>
    <w:rsid w:val="00AA130D"/>
    <w:rsid w:val="00AA130E"/>
    <w:rsid w:val="00AA134E"/>
    <w:rsid w:val="00AA1411"/>
    <w:rsid w:val="00AA1419"/>
    <w:rsid w:val="00AA1501"/>
    <w:rsid w:val="00AA15BA"/>
    <w:rsid w:val="00AA1693"/>
    <w:rsid w:val="00AA16F2"/>
    <w:rsid w:val="00AA1846"/>
    <w:rsid w:val="00AA1860"/>
    <w:rsid w:val="00AA1891"/>
    <w:rsid w:val="00AA1919"/>
    <w:rsid w:val="00AA1A5D"/>
    <w:rsid w:val="00AA1AA4"/>
    <w:rsid w:val="00AA1AAE"/>
    <w:rsid w:val="00AA1C6C"/>
    <w:rsid w:val="00AA1D5F"/>
    <w:rsid w:val="00AA1D99"/>
    <w:rsid w:val="00AA1D9B"/>
    <w:rsid w:val="00AA1E2E"/>
    <w:rsid w:val="00AA1E3F"/>
    <w:rsid w:val="00AA1E9D"/>
    <w:rsid w:val="00AA1F29"/>
    <w:rsid w:val="00AA1F2F"/>
    <w:rsid w:val="00AA1F98"/>
    <w:rsid w:val="00AA202F"/>
    <w:rsid w:val="00AA212E"/>
    <w:rsid w:val="00AA2260"/>
    <w:rsid w:val="00AA2278"/>
    <w:rsid w:val="00AA22B7"/>
    <w:rsid w:val="00AA2300"/>
    <w:rsid w:val="00AA2321"/>
    <w:rsid w:val="00AA2387"/>
    <w:rsid w:val="00AA2458"/>
    <w:rsid w:val="00AA2475"/>
    <w:rsid w:val="00AA252A"/>
    <w:rsid w:val="00AA25CD"/>
    <w:rsid w:val="00AA25DE"/>
    <w:rsid w:val="00AA2645"/>
    <w:rsid w:val="00AA272A"/>
    <w:rsid w:val="00AA2735"/>
    <w:rsid w:val="00AA2779"/>
    <w:rsid w:val="00AA282B"/>
    <w:rsid w:val="00AA2835"/>
    <w:rsid w:val="00AA2921"/>
    <w:rsid w:val="00AA292C"/>
    <w:rsid w:val="00AA299D"/>
    <w:rsid w:val="00AA29D8"/>
    <w:rsid w:val="00AA29F6"/>
    <w:rsid w:val="00AA2A29"/>
    <w:rsid w:val="00AA2AF0"/>
    <w:rsid w:val="00AA2D7D"/>
    <w:rsid w:val="00AA2DBF"/>
    <w:rsid w:val="00AA2DDF"/>
    <w:rsid w:val="00AA2E3D"/>
    <w:rsid w:val="00AA2E4F"/>
    <w:rsid w:val="00AA2EC8"/>
    <w:rsid w:val="00AA2F39"/>
    <w:rsid w:val="00AA2FA3"/>
    <w:rsid w:val="00AA2FE9"/>
    <w:rsid w:val="00AA302A"/>
    <w:rsid w:val="00AA3064"/>
    <w:rsid w:val="00AA30E6"/>
    <w:rsid w:val="00AA3165"/>
    <w:rsid w:val="00AA31B4"/>
    <w:rsid w:val="00AA3332"/>
    <w:rsid w:val="00AA3381"/>
    <w:rsid w:val="00AA34C8"/>
    <w:rsid w:val="00AA34E4"/>
    <w:rsid w:val="00AA351F"/>
    <w:rsid w:val="00AA3527"/>
    <w:rsid w:val="00AA3582"/>
    <w:rsid w:val="00AA3592"/>
    <w:rsid w:val="00AA35F0"/>
    <w:rsid w:val="00AA3605"/>
    <w:rsid w:val="00AA3681"/>
    <w:rsid w:val="00AA3747"/>
    <w:rsid w:val="00AA375C"/>
    <w:rsid w:val="00AA3961"/>
    <w:rsid w:val="00AA3B10"/>
    <w:rsid w:val="00AA3C5E"/>
    <w:rsid w:val="00AA3C65"/>
    <w:rsid w:val="00AA3C6C"/>
    <w:rsid w:val="00AA3CCD"/>
    <w:rsid w:val="00AA3CE9"/>
    <w:rsid w:val="00AA3EEC"/>
    <w:rsid w:val="00AA3EF7"/>
    <w:rsid w:val="00AA4062"/>
    <w:rsid w:val="00AA4071"/>
    <w:rsid w:val="00AA4090"/>
    <w:rsid w:val="00AA40BD"/>
    <w:rsid w:val="00AA40D7"/>
    <w:rsid w:val="00AA4104"/>
    <w:rsid w:val="00AA41FB"/>
    <w:rsid w:val="00AA4367"/>
    <w:rsid w:val="00AA4461"/>
    <w:rsid w:val="00AA44E3"/>
    <w:rsid w:val="00AA4528"/>
    <w:rsid w:val="00AA46D5"/>
    <w:rsid w:val="00AA4837"/>
    <w:rsid w:val="00AA4B14"/>
    <w:rsid w:val="00AA4B25"/>
    <w:rsid w:val="00AA4B6D"/>
    <w:rsid w:val="00AA4BE1"/>
    <w:rsid w:val="00AA4BEB"/>
    <w:rsid w:val="00AA4BF6"/>
    <w:rsid w:val="00AA4C0D"/>
    <w:rsid w:val="00AA4C4D"/>
    <w:rsid w:val="00AA4C84"/>
    <w:rsid w:val="00AA4C8B"/>
    <w:rsid w:val="00AA4CA0"/>
    <w:rsid w:val="00AA4CB3"/>
    <w:rsid w:val="00AA4DF7"/>
    <w:rsid w:val="00AA4E30"/>
    <w:rsid w:val="00AA4E36"/>
    <w:rsid w:val="00AA4EE5"/>
    <w:rsid w:val="00AA4FCE"/>
    <w:rsid w:val="00AA5138"/>
    <w:rsid w:val="00AA514E"/>
    <w:rsid w:val="00AA52E5"/>
    <w:rsid w:val="00AA5365"/>
    <w:rsid w:val="00AA5391"/>
    <w:rsid w:val="00AA55A0"/>
    <w:rsid w:val="00AA57D1"/>
    <w:rsid w:val="00AA597C"/>
    <w:rsid w:val="00AA5A0E"/>
    <w:rsid w:val="00AA5B49"/>
    <w:rsid w:val="00AA5B5E"/>
    <w:rsid w:val="00AA5B9D"/>
    <w:rsid w:val="00AA5BCC"/>
    <w:rsid w:val="00AA5BE8"/>
    <w:rsid w:val="00AA5C4F"/>
    <w:rsid w:val="00AA5D9B"/>
    <w:rsid w:val="00AA5E97"/>
    <w:rsid w:val="00AA5ECD"/>
    <w:rsid w:val="00AA5F7E"/>
    <w:rsid w:val="00AA5F7F"/>
    <w:rsid w:val="00AA5FD2"/>
    <w:rsid w:val="00AA603B"/>
    <w:rsid w:val="00AA60AB"/>
    <w:rsid w:val="00AA6312"/>
    <w:rsid w:val="00AA63D9"/>
    <w:rsid w:val="00AA63EA"/>
    <w:rsid w:val="00AA6544"/>
    <w:rsid w:val="00AA66D5"/>
    <w:rsid w:val="00AA6724"/>
    <w:rsid w:val="00AA67D4"/>
    <w:rsid w:val="00AA67F9"/>
    <w:rsid w:val="00AA6828"/>
    <w:rsid w:val="00AA698E"/>
    <w:rsid w:val="00AA6A7F"/>
    <w:rsid w:val="00AA6A82"/>
    <w:rsid w:val="00AA6AA4"/>
    <w:rsid w:val="00AA6B32"/>
    <w:rsid w:val="00AA6BA6"/>
    <w:rsid w:val="00AA6C11"/>
    <w:rsid w:val="00AA6C61"/>
    <w:rsid w:val="00AA6EF3"/>
    <w:rsid w:val="00AA6F97"/>
    <w:rsid w:val="00AA70C5"/>
    <w:rsid w:val="00AA70CA"/>
    <w:rsid w:val="00AA711E"/>
    <w:rsid w:val="00AA71D4"/>
    <w:rsid w:val="00AA73AD"/>
    <w:rsid w:val="00AA7637"/>
    <w:rsid w:val="00AA7668"/>
    <w:rsid w:val="00AA76AF"/>
    <w:rsid w:val="00AA77B9"/>
    <w:rsid w:val="00AA77E8"/>
    <w:rsid w:val="00AA7A53"/>
    <w:rsid w:val="00AA7A92"/>
    <w:rsid w:val="00AA7ACE"/>
    <w:rsid w:val="00AA7B11"/>
    <w:rsid w:val="00AA7BA5"/>
    <w:rsid w:val="00AA7C1F"/>
    <w:rsid w:val="00AA7CAE"/>
    <w:rsid w:val="00AA7D08"/>
    <w:rsid w:val="00AA7DA3"/>
    <w:rsid w:val="00AA7DBB"/>
    <w:rsid w:val="00AA7DCE"/>
    <w:rsid w:val="00AA7E42"/>
    <w:rsid w:val="00AA7F42"/>
    <w:rsid w:val="00AA7FB7"/>
    <w:rsid w:val="00AA9644"/>
    <w:rsid w:val="00AB004A"/>
    <w:rsid w:val="00AB0096"/>
    <w:rsid w:val="00AB00D7"/>
    <w:rsid w:val="00AB0104"/>
    <w:rsid w:val="00AB019D"/>
    <w:rsid w:val="00AB0234"/>
    <w:rsid w:val="00AB02F0"/>
    <w:rsid w:val="00AB03C2"/>
    <w:rsid w:val="00AB0535"/>
    <w:rsid w:val="00AB0695"/>
    <w:rsid w:val="00AB06BD"/>
    <w:rsid w:val="00AB0776"/>
    <w:rsid w:val="00AB0845"/>
    <w:rsid w:val="00AB08CD"/>
    <w:rsid w:val="00AB08F0"/>
    <w:rsid w:val="00AB0A04"/>
    <w:rsid w:val="00AB0A1F"/>
    <w:rsid w:val="00AB0A7E"/>
    <w:rsid w:val="00AB0AF4"/>
    <w:rsid w:val="00AB0B1A"/>
    <w:rsid w:val="00AB0B75"/>
    <w:rsid w:val="00AB0BA4"/>
    <w:rsid w:val="00AB0C2C"/>
    <w:rsid w:val="00AB0CBF"/>
    <w:rsid w:val="00AB0D42"/>
    <w:rsid w:val="00AB0DF1"/>
    <w:rsid w:val="00AB0E4B"/>
    <w:rsid w:val="00AB0F08"/>
    <w:rsid w:val="00AB0FF3"/>
    <w:rsid w:val="00AB0FF5"/>
    <w:rsid w:val="00AB100D"/>
    <w:rsid w:val="00AB10C0"/>
    <w:rsid w:val="00AB10C4"/>
    <w:rsid w:val="00AB128F"/>
    <w:rsid w:val="00AB12A8"/>
    <w:rsid w:val="00AB1350"/>
    <w:rsid w:val="00AB13E2"/>
    <w:rsid w:val="00AB1433"/>
    <w:rsid w:val="00AB1464"/>
    <w:rsid w:val="00AB1533"/>
    <w:rsid w:val="00AB1570"/>
    <w:rsid w:val="00AB161E"/>
    <w:rsid w:val="00AB1629"/>
    <w:rsid w:val="00AB163C"/>
    <w:rsid w:val="00AB1725"/>
    <w:rsid w:val="00AB181B"/>
    <w:rsid w:val="00AB1835"/>
    <w:rsid w:val="00AB1846"/>
    <w:rsid w:val="00AB1A32"/>
    <w:rsid w:val="00AB1AA5"/>
    <w:rsid w:val="00AB1BB3"/>
    <w:rsid w:val="00AB1C49"/>
    <w:rsid w:val="00AB1D40"/>
    <w:rsid w:val="00AB1D4F"/>
    <w:rsid w:val="00AB1DA7"/>
    <w:rsid w:val="00AB1DF9"/>
    <w:rsid w:val="00AB1EC8"/>
    <w:rsid w:val="00AB1F64"/>
    <w:rsid w:val="00AB1FC3"/>
    <w:rsid w:val="00AB1FE6"/>
    <w:rsid w:val="00AB2087"/>
    <w:rsid w:val="00AB209A"/>
    <w:rsid w:val="00AB21D0"/>
    <w:rsid w:val="00AB21D1"/>
    <w:rsid w:val="00AB21E6"/>
    <w:rsid w:val="00AB220B"/>
    <w:rsid w:val="00AB229B"/>
    <w:rsid w:val="00AB2438"/>
    <w:rsid w:val="00AB254E"/>
    <w:rsid w:val="00AB25BB"/>
    <w:rsid w:val="00AB26DD"/>
    <w:rsid w:val="00AB2725"/>
    <w:rsid w:val="00AB2744"/>
    <w:rsid w:val="00AB274E"/>
    <w:rsid w:val="00AB27BD"/>
    <w:rsid w:val="00AB27FA"/>
    <w:rsid w:val="00AB282D"/>
    <w:rsid w:val="00AB2887"/>
    <w:rsid w:val="00AB290C"/>
    <w:rsid w:val="00AB2912"/>
    <w:rsid w:val="00AB29D7"/>
    <w:rsid w:val="00AB29F6"/>
    <w:rsid w:val="00AB2AE0"/>
    <w:rsid w:val="00AB2B67"/>
    <w:rsid w:val="00AB2BDE"/>
    <w:rsid w:val="00AB2CA8"/>
    <w:rsid w:val="00AB2CC4"/>
    <w:rsid w:val="00AB2EC3"/>
    <w:rsid w:val="00AB2F2B"/>
    <w:rsid w:val="00AB318D"/>
    <w:rsid w:val="00AB33CF"/>
    <w:rsid w:val="00AB33D2"/>
    <w:rsid w:val="00AB352D"/>
    <w:rsid w:val="00AB35AA"/>
    <w:rsid w:val="00AB3618"/>
    <w:rsid w:val="00AB368A"/>
    <w:rsid w:val="00AB388E"/>
    <w:rsid w:val="00AB3A0A"/>
    <w:rsid w:val="00AB3AC9"/>
    <w:rsid w:val="00AB3ACD"/>
    <w:rsid w:val="00AB3B3C"/>
    <w:rsid w:val="00AB3BC0"/>
    <w:rsid w:val="00AB3C7E"/>
    <w:rsid w:val="00AB3CB6"/>
    <w:rsid w:val="00AB3D4D"/>
    <w:rsid w:val="00AB3E07"/>
    <w:rsid w:val="00AB3F6C"/>
    <w:rsid w:val="00AB41AA"/>
    <w:rsid w:val="00AB4201"/>
    <w:rsid w:val="00AB4212"/>
    <w:rsid w:val="00AB42C6"/>
    <w:rsid w:val="00AB43EE"/>
    <w:rsid w:val="00AB441F"/>
    <w:rsid w:val="00AB4514"/>
    <w:rsid w:val="00AB4564"/>
    <w:rsid w:val="00AB456D"/>
    <w:rsid w:val="00AB4585"/>
    <w:rsid w:val="00AB45F1"/>
    <w:rsid w:val="00AB4681"/>
    <w:rsid w:val="00AB4750"/>
    <w:rsid w:val="00AB4761"/>
    <w:rsid w:val="00AB47A9"/>
    <w:rsid w:val="00AB4802"/>
    <w:rsid w:val="00AB4808"/>
    <w:rsid w:val="00AB4A09"/>
    <w:rsid w:val="00AB4B41"/>
    <w:rsid w:val="00AB4B7E"/>
    <w:rsid w:val="00AB4BFF"/>
    <w:rsid w:val="00AB4CBD"/>
    <w:rsid w:val="00AB4DAD"/>
    <w:rsid w:val="00AB4DC9"/>
    <w:rsid w:val="00AB4E81"/>
    <w:rsid w:val="00AB4E84"/>
    <w:rsid w:val="00AB4EEB"/>
    <w:rsid w:val="00AB4F75"/>
    <w:rsid w:val="00AB4FAD"/>
    <w:rsid w:val="00AB4FFE"/>
    <w:rsid w:val="00AB502E"/>
    <w:rsid w:val="00AB5092"/>
    <w:rsid w:val="00AB519A"/>
    <w:rsid w:val="00AB5259"/>
    <w:rsid w:val="00AB5260"/>
    <w:rsid w:val="00AB52EA"/>
    <w:rsid w:val="00AB553D"/>
    <w:rsid w:val="00AB559E"/>
    <w:rsid w:val="00AB55C8"/>
    <w:rsid w:val="00AB560E"/>
    <w:rsid w:val="00AB5640"/>
    <w:rsid w:val="00AB572E"/>
    <w:rsid w:val="00AB5799"/>
    <w:rsid w:val="00AB57C8"/>
    <w:rsid w:val="00AB5899"/>
    <w:rsid w:val="00AB5909"/>
    <w:rsid w:val="00AB596D"/>
    <w:rsid w:val="00AB599C"/>
    <w:rsid w:val="00AB5A91"/>
    <w:rsid w:val="00AB5AD1"/>
    <w:rsid w:val="00AB5B56"/>
    <w:rsid w:val="00AB5BBF"/>
    <w:rsid w:val="00AB5BC3"/>
    <w:rsid w:val="00AB5BEB"/>
    <w:rsid w:val="00AB5BFC"/>
    <w:rsid w:val="00AB5C27"/>
    <w:rsid w:val="00AB5C3C"/>
    <w:rsid w:val="00AB5C5D"/>
    <w:rsid w:val="00AB5C69"/>
    <w:rsid w:val="00AB5CA8"/>
    <w:rsid w:val="00AB5D15"/>
    <w:rsid w:val="00AB5DBE"/>
    <w:rsid w:val="00AB5E1B"/>
    <w:rsid w:val="00AB5E60"/>
    <w:rsid w:val="00AB5F83"/>
    <w:rsid w:val="00AB5FD1"/>
    <w:rsid w:val="00AB5FFC"/>
    <w:rsid w:val="00AB601F"/>
    <w:rsid w:val="00AB6159"/>
    <w:rsid w:val="00AB616E"/>
    <w:rsid w:val="00AB6188"/>
    <w:rsid w:val="00AB6196"/>
    <w:rsid w:val="00AB6236"/>
    <w:rsid w:val="00AB623C"/>
    <w:rsid w:val="00AB62E3"/>
    <w:rsid w:val="00AB6322"/>
    <w:rsid w:val="00AB633D"/>
    <w:rsid w:val="00AB6445"/>
    <w:rsid w:val="00AB6471"/>
    <w:rsid w:val="00AB650B"/>
    <w:rsid w:val="00AB66AC"/>
    <w:rsid w:val="00AB6959"/>
    <w:rsid w:val="00AB695A"/>
    <w:rsid w:val="00AB69AB"/>
    <w:rsid w:val="00AB6A08"/>
    <w:rsid w:val="00AB6A0B"/>
    <w:rsid w:val="00AB6A36"/>
    <w:rsid w:val="00AB6A47"/>
    <w:rsid w:val="00AB6ABD"/>
    <w:rsid w:val="00AB6B58"/>
    <w:rsid w:val="00AB6C81"/>
    <w:rsid w:val="00AB6D8F"/>
    <w:rsid w:val="00AB6F3C"/>
    <w:rsid w:val="00AB6F5B"/>
    <w:rsid w:val="00AB6F97"/>
    <w:rsid w:val="00AB6FEF"/>
    <w:rsid w:val="00AB7048"/>
    <w:rsid w:val="00AB7060"/>
    <w:rsid w:val="00AB721A"/>
    <w:rsid w:val="00AB7244"/>
    <w:rsid w:val="00AB73D5"/>
    <w:rsid w:val="00AB73E3"/>
    <w:rsid w:val="00AB74BD"/>
    <w:rsid w:val="00AB7512"/>
    <w:rsid w:val="00AB751D"/>
    <w:rsid w:val="00AB75E7"/>
    <w:rsid w:val="00AB760A"/>
    <w:rsid w:val="00AB776F"/>
    <w:rsid w:val="00AB7798"/>
    <w:rsid w:val="00AB77B2"/>
    <w:rsid w:val="00AB77FB"/>
    <w:rsid w:val="00AB7894"/>
    <w:rsid w:val="00AB79AB"/>
    <w:rsid w:val="00AB7C11"/>
    <w:rsid w:val="00AB7C7A"/>
    <w:rsid w:val="00AB7D4A"/>
    <w:rsid w:val="00AB7D5A"/>
    <w:rsid w:val="00AB7D91"/>
    <w:rsid w:val="00AB7E4D"/>
    <w:rsid w:val="00AB7E8C"/>
    <w:rsid w:val="00AB7EA8"/>
    <w:rsid w:val="00AB898F"/>
    <w:rsid w:val="00AC00F6"/>
    <w:rsid w:val="00AC010F"/>
    <w:rsid w:val="00AC018F"/>
    <w:rsid w:val="00AC0320"/>
    <w:rsid w:val="00AC0367"/>
    <w:rsid w:val="00AC03C3"/>
    <w:rsid w:val="00AC0436"/>
    <w:rsid w:val="00AC045B"/>
    <w:rsid w:val="00AC05FB"/>
    <w:rsid w:val="00AC0617"/>
    <w:rsid w:val="00AC070F"/>
    <w:rsid w:val="00AC07CD"/>
    <w:rsid w:val="00AC081D"/>
    <w:rsid w:val="00AC0843"/>
    <w:rsid w:val="00AC08B7"/>
    <w:rsid w:val="00AC0A59"/>
    <w:rsid w:val="00AC0A7A"/>
    <w:rsid w:val="00AC0B0F"/>
    <w:rsid w:val="00AC0CCD"/>
    <w:rsid w:val="00AC0E02"/>
    <w:rsid w:val="00AC0E6C"/>
    <w:rsid w:val="00AC0EDE"/>
    <w:rsid w:val="00AC0EF3"/>
    <w:rsid w:val="00AC0FCC"/>
    <w:rsid w:val="00AC0FE3"/>
    <w:rsid w:val="00AC10E6"/>
    <w:rsid w:val="00AC112A"/>
    <w:rsid w:val="00AC1333"/>
    <w:rsid w:val="00AC1342"/>
    <w:rsid w:val="00AC1349"/>
    <w:rsid w:val="00AC13BD"/>
    <w:rsid w:val="00AC13FB"/>
    <w:rsid w:val="00AC1522"/>
    <w:rsid w:val="00AC159C"/>
    <w:rsid w:val="00AC15A6"/>
    <w:rsid w:val="00AC1603"/>
    <w:rsid w:val="00AC168F"/>
    <w:rsid w:val="00AC16FF"/>
    <w:rsid w:val="00AC1735"/>
    <w:rsid w:val="00AC17E2"/>
    <w:rsid w:val="00AC1851"/>
    <w:rsid w:val="00AC1896"/>
    <w:rsid w:val="00AC1A28"/>
    <w:rsid w:val="00AC1A39"/>
    <w:rsid w:val="00AC1A3C"/>
    <w:rsid w:val="00AC1B2F"/>
    <w:rsid w:val="00AC1B65"/>
    <w:rsid w:val="00AC1B8C"/>
    <w:rsid w:val="00AC1B9C"/>
    <w:rsid w:val="00AC1BF3"/>
    <w:rsid w:val="00AC1CBD"/>
    <w:rsid w:val="00AC1CCE"/>
    <w:rsid w:val="00AC1D2C"/>
    <w:rsid w:val="00AC1D2E"/>
    <w:rsid w:val="00AC1EB8"/>
    <w:rsid w:val="00AC1EBA"/>
    <w:rsid w:val="00AC1F96"/>
    <w:rsid w:val="00AC2030"/>
    <w:rsid w:val="00AC2169"/>
    <w:rsid w:val="00AC21BD"/>
    <w:rsid w:val="00AC21E7"/>
    <w:rsid w:val="00AC2202"/>
    <w:rsid w:val="00AC22DE"/>
    <w:rsid w:val="00AC23C2"/>
    <w:rsid w:val="00AC23F0"/>
    <w:rsid w:val="00AC2444"/>
    <w:rsid w:val="00AC2455"/>
    <w:rsid w:val="00AC2524"/>
    <w:rsid w:val="00AC2531"/>
    <w:rsid w:val="00AC2587"/>
    <w:rsid w:val="00AC2606"/>
    <w:rsid w:val="00AC26DE"/>
    <w:rsid w:val="00AC27A8"/>
    <w:rsid w:val="00AC2834"/>
    <w:rsid w:val="00AC2914"/>
    <w:rsid w:val="00AC2AD4"/>
    <w:rsid w:val="00AC2C78"/>
    <w:rsid w:val="00AC2C88"/>
    <w:rsid w:val="00AC2D8E"/>
    <w:rsid w:val="00AC2DC4"/>
    <w:rsid w:val="00AC2EDB"/>
    <w:rsid w:val="00AC2F47"/>
    <w:rsid w:val="00AC2FF6"/>
    <w:rsid w:val="00AC3165"/>
    <w:rsid w:val="00AC31A5"/>
    <w:rsid w:val="00AC32E3"/>
    <w:rsid w:val="00AC34D7"/>
    <w:rsid w:val="00AC3557"/>
    <w:rsid w:val="00AC3610"/>
    <w:rsid w:val="00AC367B"/>
    <w:rsid w:val="00AC3696"/>
    <w:rsid w:val="00AC380F"/>
    <w:rsid w:val="00AC3A1C"/>
    <w:rsid w:val="00AC3AB6"/>
    <w:rsid w:val="00AC3B1A"/>
    <w:rsid w:val="00AC3B3C"/>
    <w:rsid w:val="00AC3C4F"/>
    <w:rsid w:val="00AC3C8B"/>
    <w:rsid w:val="00AC3D30"/>
    <w:rsid w:val="00AC3D88"/>
    <w:rsid w:val="00AC3DF3"/>
    <w:rsid w:val="00AC3E2A"/>
    <w:rsid w:val="00AC3F4B"/>
    <w:rsid w:val="00AC4079"/>
    <w:rsid w:val="00AC421D"/>
    <w:rsid w:val="00AC4355"/>
    <w:rsid w:val="00AC43A6"/>
    <w:rsid w:val="00AC4423"/>
    <w:rsid w:val="00AC45CC"/>
    <w:rsid w:val="00AC4735"/>
    <w:rsid w:val="00AC482B"/>
    <w:rsid w:val="00AC482C"/>
    <w:rsid w:val="00AC48A5"/>
    <w:rsid w:val="00AC48BC"/>
    <w:rsid w:val="00AC4A44"/>
    <w:rsid w:val="00AC4AD8"/>
    <w:rsid w:val="00AC4BA5"/>
    <w:rsid w:val="00AC4BCC"/>
    <w:rsid w:val="00AC4BDA"/>
    <w:rsid w:val="00AC4D76"/>
    <w:rsid w:val="00AC4F12"/>
    <w:rsid w:val="00AC4F4F"/>
    <w:rsid w:val="00AC4FB6"/>
    <w:rsid w:val="00AC500F"/>
    <w:rsid w:val="00AC50EF"/>
    <w:rsid w:val="00AC523E"/>
    <w:rsid w:val="00AC5286"/>
    <w:rsid w:val="00AC533C"/>
    <w:rsid w:val="00AC557C"/>
    <w:rsid w:val="00AC56E9"/>
    <w:rsid w:val="00AC5717"/>
    <w:rsid w:val="00AC573E"/>
    <w:rsid w:val="00AC5908"/>
    <w:rsid w:val="00AC5940"/>
    <w:rsid w:val="00AC59D2"/>
    <w:rsid w:val="00AC5A8B"/>
    <w:rsid w:val="00AC5AD9"/>
    <w:rsid w:val="00AC5AE4"/>
    <w:rsid w:val="00AC5AEC"/>
    <w:rsid w:val="00AC5B48"/>
    <w:rsid w:val="00AC5BB3"/>
    <w:rsid w:val="00AC5C81"/>
    <w:rsid w:val="00AC5C98"/>
    <w:rsid w:val="00AC5D6F"/>
    <w:rsid w:val="00AC5D88"/>
    <w:rsid w:val="00AC5DA6"/>
    <w:rsid w:val="00AC5DE9"/>
    <w:rsid w:val="00AC5E13"/>
    <w:rsid w:val="00AC5E49"/>
    <w:rsid w:val="00AC5EF1"/>
    <w:rsid w:val="00AC5F2B"/>
    <w:rsid w:val="00AC608F"/>
    <w:rsid w:val="00AC60DC"/>
    <w:rsid w:val="00AC620D"/>
    <w:rsid w:val="00AC6246"/>
    <w:rsid w:val="00AC63CF"/>
    <w:rsid w:val="00AC63DC"/>
    <w:rsid w:val="00AC63E0"/>
    <w:rsid w:val="00AC649D"/>
    <w:rsid w:val="00AC6567"/>
    <w:rsid w:val="00AC6569"/>
    <w:rsid w:val="00AC65CF"/>
    <w:rsid w:val="00AC6660"/>
    <w:rsid w:val="00AC67ED"/>
    <w:rsid w:val="00AC6820"/>
    <w:rsid w:val="00AC6ADB"/>
    <w:rsid w:val="00AC6C25"/>
    <w:rsid w:val="00AC6C31"/>
    <w:rsid w:val="00AC6D2C"/>
    <w:rsid w:val="00AC6D3C"/>
    <w:rsid w:val="00AC6DA1"/>
    <w:rsid w:val="00AC6EA4"/>
    <w:rsid w:val="00AC6FAE"/>
    <w:rsid w:val="00AC6FCF"/>
    <w:rsid w:val="00AC7051"/>
    <w:rsid w:val="00AC7097"/>
    <w:rsid w:val="00AC7184"/>
    <w:rsid w:val="00AC7326"/>
    <w:rsid w:val="00AC7389"/>
    <w:rsid w:val="00AC7512"/>
    <w:rsid w:val="00AC76B4"/>
    <w:rsid w:val="00AC770F"/>
    <w:rsid w:val="00AC77AD"/>
    <w:rsid w:val="00AC77B0"/>
    <w:rsid w:val="00AC77F7"/>
    <w:rsid w:val="00AC78AC"/>
    <w:rsid w:val="00AC7994"/>
    <w:rsid w:val="00AC79B7"/>
    <w:rsid w:val="00AC7BDE"/>
    <w:rsid w:val="00AC7BE9"/>
    <w:rsid w:val="00AC7C21"/>
    <w:rsid w:val="00AC7CDA"/>
    <w:rsid w:val="00AC7D23"/>
    <w:rsid w:val="00AC7D33"/>
    <w:rsid w:val="00AC7DD4"/>
    <w:rsid w:val="00AC7DDD"/>
    <w:rsid w:val="00AC7DE2"/>
    <w:rsid w:val="00AC7E26"/>
    <w:rsid w:val="00AC7ECC"/>
    <w:rsid w:val="00AC7FFA"/>
    <w:rsid w:val="00AD004C"/>
    <w:rsid w:val="00AD00C9"/>
    <w:rsid w:val="00AD00ED"/>
    <w:rsid w:val="00AD0120"/>
    <w:rsid w:val="00AD01CA"/>
    <w:rsid w:val="00AD020C"/>
    <w:rsid w:val="00AD02E2"/>
    <w:rsid w:val="00AD0362"/>
    <w:rsid w:val="00AD03D9"/>
    <w:rsid w:val="00AD041A"/>
    <w:rsid w:val="00AD0635"/>
    <w:rsid w:val="00AD063F"/>
    <w:rsid w:val="00AD0662"/>
    <w:rsid w:val="00AD069E"/>
    <w:rsid w:val="00AD06F4"/>
    <w:rsid w:val="00AD0721"/>
    <w:rsid w:val="00AD07BC"/>
    <w:rsid w:val="00AD084E"/>
    <w:rsid w:val="00AD0A7B"/>
    <w:rsid w:val="00AD0C64"/>
    <w:rsid w:val="00AD0C7C"/>
    <w:rsid w:val="00AD0CD9"/>
    <w:rsid w:val="00AD0D91"/>
    <w:rsid w:val="00AD0DEA"/>
    <w:rsid w:val="00AD0DFB"/>
    <w:rsid w:val="00AD0F3D"/>
    <w:rsid w:val="00AD0F54"/>
    <w:rsid w:val="00AD1109"/>
    <w:rsid w:val="00AD113B"/>
    <w:rsid w:val="00AD1360"/>
    <w:rsid w:val="00AD13C0"/>
    <w:rsid w:val="00AD1534"/>
    <w:rsid w:val="00AD166B"/>
    <w:rsid w:val="00AD1699"/>
    <w:rsid w:val="00AD16D3"/>
    <w:rsid w:val="00AD1772"/>
    <w:rsid w:val="00AD177A"/>
    <w:rsid w:val="00AD178F"/>
    <w:rsid w:val="00AD17A7"/>
    <w:rsid w:val="00AD184F"/>
    <w:rsid w:val="00AD18B0"/>
    <w:rsid w:val="00AD19DA"/>
    <w:rsid w:val="00AD19ED"/>
    <w:rsid w:val="00AD1AEF"/>
    <w:rsid w:val="00AD1AFE"/>
    <w:rsid w:val="00AD1B04"/>
    <w:rsid w:val="00AD1B40"/>
    <w:rsid w:val="00AD1B75"/>
    <w:rsid w:val="00AD1B9C"/>
    <w:rsid w:val="00AD1BBC"/>
    <w:rsid w:val="00AD1CEE"/>
    <w:rsid w:val="00AD1D37"/>
    <w:rsid w:val="00AD1D6D"/>
    <w:rsid w:val="00AD1D70"/>
    <w:rsid w:val="00AD1E01"/>
    <w:rsid w:val="00AD1EAF"/>
    <w:rsid w:val="00AD1FFB"/>
    <w:rsid w:val="00AD2219"/>
    <w:rsid w:val="00AD221F"/>
    <w:rsid w:val="00AD227E"/>
    <w:rsid w:val="00AD2360"/>
    <w:rsid w:val="00AD23E6"/>
    <w:rsid w:val="00AD2457"/>
    <w:rsid w:val="00AD24A8"/>
    <w:rsid w:val="00AD25DD"/>
    <w:rsid w:val="00AD25FF"/>
    <w:rsid w:val="00AD265D"/>
    <w:rsid w:val="00AD267A"/>
    <w:rsid w:val="00AD26C5"/>
    <w:rsid w:val="00AD270C"/>
    <w:rsid w:val="00AD2769"/>
    <w:rsid w:val="00AD277D"/>
    <w:rsid w:val="00AD27AB"/>
    <w:rsid w:val="00AD27E0"/>
    <w:rsid w:val="00AD2867"/>
    <w:rsid w:val="00AD28EF"/>
    <w:rsid w:val="00AD2971"/>
    <w:rsid w:val="00AD2B20"/>
    <w:rsid w:val="00AD2BCA"/>
    <w:rsid w:val="00AD2C29"/>
    <w:rsid w:val="00AD2D51"/>
    <w:rsid w:val="00AD2D6C"/>
    <w:rsid w:val="00AD2E4E"/>
    <w:rsid w:val="00AD2F81"/>
    <w:rsid w:val="00AD2F83"/>
    <w:rsid w:val="00AD306B"/>
    <w:rsid w:val="00AD3157"/>
    <w:rsid w:val="00AD335C"/>
    <w:rsid w:val="00AD3377"/>
    <w:rsid w:val="00AD33ED"/>
    <w:rsid w:val="00AD3424"/>
    <w:rsid w:val="00AD3462"/>
    <w:rsid w:val="00AD348E"/>
    <w:rsid w:val="00AD34D4"/>
    <w:rsid w:val="00AD3582"/>
    <w:rsid w:val="00AD35A4"/>
    <w:rsid w:val="00AD3642"/>
    <w:rsid w:val="00AD3671"/>
    <w:rsid w:val="00AD3779"/>
    <w:rsid w:val="00AD37E8"/>
    <w:rsid w:val="00AD3854"/>
    <w:rsid w:val="00AD38A6"/>
    <w:rsid w:val="00AD3B33"/>
    <w:rsid w:val="00AD3B63"/>
    <w:rsid w:val="00AD3C3E"/>
    <w:rsid w:val="00AD3CAC"/>
    <w:rsid w:val="00AD3D6D"/>
    <w:rsid w:val="00AD3E01"/>
    <w:rsid w:val="00AD3E56"/>
    <w:rsid w:val="00AD3EA7"/>
    <w:rsid w:val="00AD40CE"/>
    <w:rsid w:val="00AD40EC"/>
    <w:rsid w:val="00AD40ED"/>
    <w:rsid w:val="00AD4180"/>
    <w:rsid w:val="00AD41CB"/>
    <w:rsid w:val="00AD422F"/>
    <w:rsid w:val="00AD428A"/>
    <w:rsid w:val="00AD43CC"/>
    <w:rsid w:val="00AD43EA"/>
    <w:rsid w:val="00AD4514"/>
    <w:rsid w:val="00AD453D"/>
    <w:rsid w:val="00AD4552"/>
    <w:rsid w:val="00AD46F9"/>
    <w:rsid w:val="00AD4759"/>
    <w:rsid w:val="00AD4840"/>
    <w:rsid w:val="00AD48C0"/>
    <w:rsid w:val="00AD492D"/>
    <w:rsid w:val="00AD4A6A"/>
    <w:rsid w:val="00AD4AC4"/>
    <w:rsid w:val="00AD4B4C"/>
    <w:rsid w:val="00AD4C15"/>
    <w:rsid w:val="00AD4C36"/>
    <w:rsid w:val="00AD4C66"/>
    <w:rsid w:val="00AD4C8B"/>
    <w:rsid w:val="00AD4CEE"/>
    <w:rsid w:val="00AD4DA2"/>
    <w:rsid w:val="00AD4E32"/>
    <w:rsid w:val="00AD4E5B"/>
    <w:rsid w:val="00AD4E7C"/>
    <w:rsid w:val="00AD4E8C"/>
    <w:rsid w:val="00AD4F4A"/>
    <w:rsid w:val="00AD4F68"/>
    <w:rsid w:val="00AD5077"/>
    <w:rsid w:val="00AD5163"/>
    <w:rsid w:val="00AD51D2"/>
    <w:rsid w:val="00AD51E0"/>
    <w:rsid w:val="00AD51FB"/>
    <w:rsid w:val="00AD53A0"/>
    <w:rsid w:val="00AD53C4"/>
    <w:rsid w:val="00AD543F"/>
    <w:rsid w:val="00AD54BA"/>
    <w:rsid w:val="00AD561E"/>
    <w:rsid w:val="00AD564E"/>
    <w:rsid w:val="00AD5650"/>
    <w:rsid w:val="00AD571B"/>
    <w:rsid w:val="00AD5784"/>
    <w:rsid w:val="00AD581F"/>
    <w:rsid w:val="00AD585D"/>
    <w:rsid w:val="00AD595F"/>
    <w:rsid w:val="00AD5B22"/>
    <w:rsid w:val="00AD5C08"/>
    <w:rsid w:val="00AD5C40"/>
    <w:rsid w:val="00AD5D3D"/>
    <w:rsid w:val="00AD5E03"/>
    <w:rsid w:val="00AD5E23"/>
    <w:rsid w:val="00AD5E94"/>
    <w:rsid w:val="00AD6029"/>
    <w:rsid w:val="00AD6072"/>
    <w:rsid w:val="00AD6103"/>
    <w:rsid w:val="00AD61F5"/>
    <w:rsid w:val="00AD6560"/>
    <w:rsid w:val="00AD65DE"/>
    <w:rsid w:val="00AD65EE"/>
    <w:rsid w:val="00AD6670"/>
    <w:rsid w:val="00AD6691"/>
    <w:rsid w:val="00AD66FD"/>
    <w:rsid w:val="00AD6765"/>
    <w:rsid w:val="00AD6865"/>
    <w:rsid w:val="00AD6A0E"/>
    <w:rsid w:val="00AD6B80"/>
    <w:rsid w:val="00AD6B89"/>
    <w:rsid w:val="00AD6C01"/>
    <w:rsid w:val="00AD6D63"/>
    <w:rsid w:val="00AD6DE4"/>
    <w:rsid w:val="00AD6E3F"/>
    <w:rsid w:val="00AD6EE5"/>
    <w:rsid w:val="00AD70C7"/>
    <w:rsid w:val="00AD71C9"/>
    <w:rsid w:val="00AD71E2"/>
    <w:rsid w:val="00AD720A"/>
    <w:rsid w:val="00AD7292"/>
    <w:rsid w:val="00AD7376"/>
    <w:rsid w:val="00AD7386"/>
    <w:rsid w:val="00AD740A"/>
    <w:rsid w:val="00AD741D"/>
    <w:rsid w:val="00AD764D"/>
    <w:rsid w:val="00AD777F"/>
    <w:rsid w:val="00AD77FD"/>
    <w:rsid w:val="00AD781A"/>
    <w:rsid w:val="00AD79D4"/>
    <w:rsid w:val="00AD7A12"/>
    <w:rsid w:val="00AD7C11"/>
    <w:rsid w:val="00AD7CEE"/>
    <w:rsid w:val="00AD7D68"/>
    <w:rsid w:val="00AD7DA4"/>
    <w:rsid w:val="00AD7EDC"/>
    <w:rsid w:val="00AD7F36"/>
    <w:rsid w:val="00AE0052"/>
    <w:rsid w:val="00AE0095"/>
    <w:rsid w:val="00AE010E"/>
    <w:rsid w:val="00AE0123"/>
    <w:rsid w:val="00AE0162"/>
    <w:rsid w:val="00AE0215"/>
    <w:rsid w:val="00AE038C"/>
    <w:rsid w:val="00AE0434"/>
    <w:rsid w:val="00AE051F"/>
    <w:rsid w:val="00AE0824"/>
    <w:rsid w:val="00AE085E"/>
    <w:rsid w:val="00AE0867"/>
    <w:rsid w:val="00AE08EF"/>
    <w:rsid w:val="00AE0977"/>
    <w:rsid w:val="00AE0AF8"/>
    <w:rsid w:val="00AE0B83"/>
    <w:rsid w:val="00AE0BAE"/>
    <w:rsid w:val="00AE0C21"/>
    <w:rsid w:val="00AE0DE6"/>
    <w:rsid w:val="00AE0E2B"/>
    <w:rsid w:val="00AE0EC6"/>
    <w:rsid w:val="00AE0F1A"/>
    <w:rsid w:val="00AE10D7"/>
    <w:rsid w:val="00AE111C"/>
    <w:rsid w:val="00AE1172"/>
    <w:rsid w:val="00AE125A"/>
    <w:rsid w:val="00AE126F"/>
    <w:rsid w:val="00AE12FA"/>
    <w:rsid w:val="00AE138E"/>
    <w:rsid w:val="00AE1414"/>
    <w:rsid w:val="00AE147A"/>
    <w:rsid w:val="00AE16DF"/>
    <w:rsid w:val="00AE1721"/>
    <w:rsid w:val="00AE189B"/>
    <w:rsid w:val="00AE1A52"/>
    <w:rsid w:val="00AE1B17"/>
    <w:rsid w:val="00AE1B8C"/>
    <w:rsid w:val="00AE1BB3"/>
    <w:rsid w:val="00AE1C19"/>
    <w:rsid w:val="00AE1C75"/>
    <w:rsid w:val="00AE1CDF"/>
    <w:rsid w:val="00AE1E64"/>
    <w:rsid w:val="00AE1F0A"/>
    <w:rsid w:val="00AE1FA7"/>
    <w:rsid w:val="00AE2076"/>
    <w:rsid w:val="00AE209D"/>
    <w:rsid w:val="00AE215E"/>
    <w:rsid w:val="00AE21E9"/>
    <w:rsid w:val="00AE222A"/>
    <w:rsid w:val="00AE2427"/>
    <w:rsid w:val="00AE24CA"/>
    <w:rsid w:val="00AE2501"/>
    <w:rsid w:val="00AE25AB"/>
    <w:rsid w:val="00AE25BB"/>
    <w:rsid w:val="00AE25D8"/>
    <w:rsid w:val="00AE2641"/>
    <w:rsid w:val="00AE2650"/>
    <w:rsid w:val="00AE2677"/>
    <w:rsid w:val="00AE2776"/>
    <w:rsid w:val="00AE284C"/>
    <w:rsid w:val="00AE297B"/>
    <w:rsid w:val="00AE299B"/>
    <w:rsid w:val="00AE2A03"/>
    <w:rsid w:val="00AE2A35"/>
    <w:rsid w:val="00AE2B84"/>
    <w:rsid w:val="00AE2BA9"/>
    <w:rsid w:val="00AE2C4C"/>
    <w:rsid w:val="00AE2DF5"/>
    <w:rsid w:val="00AE2E10"/>
    <w:rsid w:val="00AE2F40"/>
    <w:rsid w:val="00AE2FE5"/>
    <w:rsid w:val="00AE306D"/>
    <w:rsid w:val="00AE31E2"/>
    <w:rsid w:val="00AE3381"/>
    <w:rsid w:val="00AE3434"/>
    <w:rsid w:val="00AE3454"/>
    <w:rsid w:val="00AE34CD"/>
    <w:rsid w:val="00AE36A7"/>
    <w:rsid w:val="00AE3743"/>
    <w:rsid w:val="00AE38FE"/>
    <w:rsid w:val="00AE3904"/>
    <w:rsid w:val="00AE392D"/>
    <w:rsid w:val="00AE39B6"/>
    <w:rsid w:val="00AE3AB7"/>
    <w:rsid w:val="00AE3BDB"/>
    <w:rsid w:val="00AE3BE9"/>
    <w:rsid w:val="00AE3D74"/>
    <w:rsid w:val="00AE3E5A"/>
    <w:rsid w:val="00AE404E"/>
    <w:rsid w:val="00AE4086"/>
    <w:rsid w:val="00AE40D2"/>
    <w:rsid w:val="00AE4107"/>
    <w:rsid w:val="00AE423D"/>
    <w:rsid w:val="00AE4279"/>
    <w:rsid w:val="00AE428B"/>
    <w:rsid w:val="00AE42C2"/>
    <w:rsid w:val="00AE4394"/>
    <w:rsid w:val="00AE43B7"/>
    <w:rsid w:val="00AE4429"/>
    <w:rsid w:val="00AE45D5"/>
    <w:rsid w:val="00AE493B"/>
    <w:rsid w:val="00AE4A7C"/>
    <w:rsid w:val="00AE4AC5"/>
    <w:rsid w:val="00AE4C0A"/>
    <w:rsid w:val="00AE4C3D"/>
    <w:rsid w:val="00AE4DB0"/>
    <w:rsid w:val="00AE4DE9"/>
    <w:rsid w:val="00AE4E90"/>
    <w:rsid w:val="00AE4E9B"/>
    <w:rsid w:val="00AE4F9A"/>
    <w:rsid w:val="00AE5113"/>
    <w:rsid w:val="00AE51A7"/>
    <w:rsid w:val="00AE51D3"/>
    <w:rsid w:val="00AE522D"/>
    <w:rsid w:val="00AE5314"/>
    <w:rsid w:val="00AE5337"/>
    <w:rsid w:val="00AE5433"/>
    <w:rsid w:val="00AE55DC"/>
    <w:rsid w:val="00AE5751"/>
    <w:rsid w:val="00AE583D"/>
    <w:rsid w:val="00AE5917"/>
    <w:rsid w:val="00AE5A0D"/>
    <w:rsid w:val="00AE5AE3"/>
    <w:rsid w:val="00AE5BB3"/>
    <w:rsid w:val="00AE5BBA"/>
    <w:rsid w:val="00AE5C1C"/>
    <w:rsid w:val="00AE5D52"/>
    <w:rsid w:val="00AE5EB3"/>
    <w:rsid w:val="00AE5EB7"/>
    <w:rsid w:val="00AE5ED5"/>
    <w:rsid w:val="00AE5F82"/>
    <w:rsid w:val="00AE5FE1"/>
    <w:rsid w:val="00AE6077"/>
    <w:rsid w:val="00AE60F3"/>
    <w:rsid w:val="00AE61F0"/>
    <w:rsid w:val="00AE6209"/>
    <w:rsid w:val="00AE62C1"/>
    <w:rsid w:val="00AE630D"/>
    <w:rsid w:val="00AE638C"/>
    <w:rsid w:val="00AE63AF"/>
    <w:rsid w:val="00AE63C9"/>
    <w:rsid w:val="00AE6530"/>
    <w:rsid w:val="00AE65FA"/>
    <w:rsid w:val="00AE67D3"/>
    <w:rsid w:val="00AE6808"/>
    <w:rsid w:val="00AE681A"/>
    <w:rsid w:val="00AE6886"/>
    <w:rsid w:val="00AE68A5"/>
    <w:rsid w:val="00AE6926"/>
    <w:rsid w:val="00AE6A68"/>
    <w:rsid w:val="00AE6BE6"/>
    <w:rsid w:val="00AE6CD7"/>
    <w:rsid w:val="00AE6D56"/>
    <w:rsid w:val="00AE6DEE"/>
    <w:rsid w:val="00AE6EA8"/>
    <w:rsid w:val="00AE6F48"/>
    <w:rsid w:val="00AE707E"/>
    <w:rsid w:val="00AE70A2"/>
    <w:rsid w:val="00AE72AC"/>
    <w:rsid w:val="00AE7641"/>
    <w:rsid w:val="00AE7672"/>
    <w:rsid w:val="00AE76B9"/>
    <w:rsid w:val="00AE77FB"/>
    <w:rsid w:val="00AE786D"/>
    <w:rsid w:val="00AE7965"/>
    <w:rsid w:val="00AE7ACB"/>
    <w:rsid w:val="00AE7ACF"/>
    <w:rsid w:val="00AE7CF9"/>
    <w:rsid w:val="00AE7D5D"/>
    <w:rsid w:val="00AE7E47"/>
    <w:rsid w:val="00AE7E5D"/>
    <w:rsid w:val="00AE7E90"/>
    <w:rsid w:val="00AF0030"/>
    <w:rsid w:val="00AF0158"/>
    <w:rsid w:val="00AF018F"/>
    <w:rsid w:val="00AF01A8"/>
    <w:rsid w:val="00AF01E9"/>
    <w:rsid w:val="00AF030A"/>
    <w:rsid w:val="00AF033E"/>
    <w:rsid w:val="00AF03C2"/>
    <w:rsid w:val="00AF0470"/>
    <w:rsid w:val="00AF051C"/>
    <w:rsid w:val="00AF05C8"/>
    <w:rsid w:val="00AF0614"/>
    <w:rsid w:val="00AF068F"/>
    <w:rsid w:val="00AF07A2"/>
    <w:rsid w:val="00AF07AE"/>
    <w:rsid w:val="00AF0844"/>
    <w:rsid w:val="00AF0885"/>
    <w:rsid w:val="00AF0891"/>
    <w:rsid w:val="00AF08D4"/>
    <w:rsid w:val="00AF0958"/>
    <w:rsid w:val="00AF0BB7"/>
    <w:rsid w:val="00AF0C10"/>
    <w:rsid w:val="00AF0CDA"/>
    <w:rsid w:val="00AF0CE5"/>
    <w:rsid w:val="00AF0D27"/>
    <w:rsid w:val="00AF0D4B"/>
    <w:rsid w:val="00AF0DB3"/>
    <w:rsid w:val="00AF0E06"/>
    <w:rsid w:val="00AF0E3C"/>
    <w:rsid w:val="00AF0E60"/>
    <w:rsid w:val="00AF0F56"/>
    <w:rsid w:val="00AF0F98"/>
    <w:rsid w:val="00AF0FD0"/>
    <w:rsid w:val="00AF106A"/>
    <w:rsid w:val="00AF117E"/>
    <w:rsid w:val="00AF118D"/>
    <w:rsid w:val="00AF11A0"/>
    <w:rsid w:val="00AF11C1"/>
    <w:rsid w:val="00AF13B3"/>
    <w:rsid w:val="00AF15DB"/>
    <w:rsid w:val="00AF1625"/>
    <w:rsid w:val="00AF16C4"/>
    <w:rsid w:val="00AF1755"/>
    <w:rsid w:val="00AF17A8"/>
    <w:rsid w:val="00AF181E"/>
    <w:rsid w:val="00AF18B5"/>
    <w:rsid w:val="00AF1904"/>
    <w:rsid w:val="00AF194C"/>
    <w:rsid w:val="00AF19C8"/>
    <w:rsid w:val="00AF1A91"/>
    <w:rsid w:val="00AF1A92"/>
    <w:rsid w:val="00AF1AA2"/>
    <w:rsid w:val="00AF1B74"/>
    <w:rsid w:val="00AF1BA7"/>
    <w:rsid w:val="00AF1BDF"/>
    <w:rsid w:val="00AF1BFD"/>
    <w:rsid w:val="00AF1C16"/>
    <w:rsid w:val="00AF1E11"/>
    <w:rsid w:val="00AF1E9E"/>
    <w:rsid w:val="00AF1F26"/>
    <w:rsid w:val="00AF1F5D"/>
    <w:rsid w:val="00AF2028"/>
    <w:rsid w:val="00AF2151"/>
    <w:rsid w:val="00AF2171"/>
    <w:rsid w:val="00AF21ED"/>
    <w:rsid w:val="00AF2345"/>
    <w:rsid w:val="00AF2547"/>
    <w:rsid w:val="00AF2584"/>
    <w:rsid w:val="00AF26C7"/>
    <w:rsid w:val="00AF26D0"/>
    <w:rsid w:val="00AF2756"/>
    <w:rsid w:val="00AF2770"/>
    <w:rsid w:val="00AF2772"/>
    <w:rsid w:val="00AF2865"/>
    <w:rsid w:val="00AF28FA"/>
    <w:rsid w:val="00AF2900"/>
    <w:rsid w:val="00AF29DC"/>
    <w:rsid w:val="00AF2A02"/>
    <w:rsid w:val="00AF2ABC"/>
    <w:rsid w:val="00AF2B44"/>
    <w:rsid w:val="00AF2B97"/>
    <w:rsid w:val="00AF2C39"/>
    <w:rsid w:val="00AF2CD8"/>
    <w:rsid w:val="00AF2E4A"/>
    <w:rsid w:val="00AF2F96"/>
    <w:rsid w:val="00AF30A3"/>
    <w:rsid w:val="00AF3133"/>
    <w:rsid w:val="00AF33AF"/>
    <w:rsid w:val="00AF3420"/>
    <w:rsid w:val="00AF358A"/>
    <w:rsid w:val="00AF3595"/>
    <w:rsid w:val="00AF3659"/>
    <w:rsid w:val="00AF36D5"/>
    <w:rsid w:val="00AF373C"/>
    <w:rsid w:val="00AF381E"/>
    <w:rsid w:val="00AF3848"/>
    <w:rsid w:val="00AF386A"/>
    <w:rsid w:val="00AF3894"/>
    <w:rsid w:val="00AF38A8"/>
    <w:rsid w:val="00AF38E6"/>
    <w:rsid w:val="00AF38EC"/>
    <w:rsid w:val="00AF3BB3"/>
    <w:rsid w:val="00AF3BEA"/>
    <w:rsid w:val="00AF3C48"/>
    <w:rsid w:val="00AF3CC1"/>
    <w:rsid w:val="00AF3D5D"/>
    <w:rsid w:val="00AF3D77"/>
    <w:rsid w:val="00AF3DB9"/>
    <w:rsid w:val="00AF3DDD"/>
    <w:rsid w:val="00AF3E07"/>
    <w:rsid w:val="00AF3E7C"/>
    <w:rsid w:val="00AF3ECE"/>
    <w:rsid w:val="00AF3FAD"/>
    <w:rsid w:val="00AF4070"/>
    <w:rsid w:val="00AF413E"/>
    <w:rsid w:val="00AF417C"/>
    <w:rsid w:val="00AF43C5"/>
    <w:rsid w:val="00AF442C"/>
    <w:rsid w:val="00AF44A5"/>
    <w:rsid w:val="00AF453A"/>
    <w:rsid w:val="00AF46CC"/>
    <w:rsid w:val="00AF4756"/>
    <w:rsid w:val="00AF488C"/>
    <w:rsid w:val="00AF4993"/>
    <w:rsid w:val="00AF4994"/>
    <w:rsid w:val="00AF4AC9"/>
    <w:rsid w:val="00AF4C46"/>
    <w:rsid w:val="00AF4DB8"/>
    <w:rsid w:val="00AF4E54"/>
    <w:rsid w:val="00AF51C1"/>
    <w:rsid w:val="00AF52F7"/>
    <w:rsid w:val="00AF544C"/>
    <w:rsid w:val="00AF5558"/>
    <w:rsid w:val="00AF55D5"/>
    <w:rsid w:val="00AF562B"/>
    <w:rsid w:val="00AF5645"/>
    <w:rsid w:val="00AF564C"/>
    <w:rsid w:val="00AF56C6"/>
    <w:rsid w:val="00AF56EE"/>
    <w:rsid w:val="00AF57F5"/>
    <w:rsid w:val="00AF5968"/>
    <w:rsid w:val="00AF5A7F"/>
    <w:rsid w:val="00AF5C65"/>
    <w:rsid w:val="00AF5E22"/>
    <w:rsid w:val="00AF5FE6"/>
    <w:rsid w:val="00AF62D4"/>
    <w:rsid w:val="00AF62E4"/>
    <w:rsid w:val="00AF62E5"/>
    <w:rsid w:val="00AF63E9"/>
    <w:rsid w:val="00AF6409"/>
    <w:rsid w:val="00AF6450"/>
    <w:rsid w:val="00AF64DA"/>
    <w:rsid w:val="00AF65B2"/>
    <w:rsid w:val="00AF66EC"/>
    <w:rsid w:val="00AF686B"/>
    <w:rsid w:val="00AF68F3"/>
    <w:rsid w:val="00AF6904"/>
    <w:rsid w:val="00AF691F"/>
    <w:rsid w:val="00AF692C"/>
    <w:rsid w:val="00AF6A0A"/>
    <w:rsid w:val="00AF6A15"/>
    <w:rsid w:val="00AF6A61"/>
    <w:rsid w:val="00AF6A8D"/>
    <w:rsid w:val="00AF6AC5"/>
    <w:rsid w:val="00AF6B06"/>
    <w:rsid w:val="00AF6B14"/>
    <w:rsid w:val="00AF6B83"/>
    <w:rsid w:val="00AF6BDC"/>
    <w:rsid w:val="00AF6BFC"/>
    <w:rsid w:val="00AF6C0B"/>
    <w:rsid w:val="00AF6C82"/>
    <w:rsid w:val="00AF6E55"/>
    <w:rsid w:val="00AF6E70"/>
    <w:rsid w:val="00AF6E85"/>
    <w:rsid w:val="00AF6EC5"/>
    <w:rsid w:val="00AF6ED8"/>
    <w:rsid w:val="00AF6F37"/>
    <w:rsid w:val="00AF6FF1"/>
    <w:rsid w:val="00AF70BD"/>
    <w:rsid w:val="00AF70CD"/>
    <w:rsid w:val="00AF712D"/>
    <w:rsid w:val="00AF7147"/>
    <w:rsid w:val="00AF71C7"/>
    <w:rsid w:val="00AF7239"/>
    <w:rsid w:val="00AF7259"/>
    <w:rsid w:val="00AF728F"/>
    <w:rsid w:val="00AF72EB"/>
    <w:rsid w:val="00AF73AF"/>
    <w:rsid w:val="00AF73B1"/>
    <w:rsid w:val="00AF73C1"/>
    <w:rsid w:val="00AF743B"/>
    <w:rsid w:val="00AF750C"/>
    <w:rsid w:val="00AF768A"/>
    <w:rsid w:val="00AF76C9"/>
    <w:rsid w:val="00AF78D3"/>
    <w:rsid w:val="00AF7938"/>
    <w:rsid w:val="00AF7A4B"/>
    <w:rsid w:val="00AF7D81"/>
    <w:rsid w:val="00AF7DBE"/>
    <w:rsid w:val="00AF7E06"/>
    <w:rsid w:val="00AF7F6A"/>
    <w:rsid w:val="00B00100"/>
    <w:rsid w:val="00B00117"/>
    <w:rsid w:val="00B00168"/>
    <w:rsid w:val="00B001A0"/>
    <w:rsid w:val="00B00229"/>
    <w:rsid w:val="00B00333"/>
    <w:rsid w:val="00B00423"/>
    <w:rsid w:val="00B00561"/>
    <w:rsid w:val="00B00627"/>
    <w:rsid w:val="00B0063A"/>
    <w:rsid w:val="00B0066B"/>
    <w:rsid w:val="00B00703"/>
    <w:rsid w:val="00B0087D"/>
    <w:rsid w:val="00B009DD"/>
    <w:rsid w:val="00B009FA"/>
    <w:rsid w:val="00B00A26"/>
    <w:rsid w:val="00B00A29"/>
    <w:rsid w:val="00B00A2B"/>
    <w:rsid w:val="00B00BAB"/>
    <w:rsid w:val="00B00BB6"/>
    <w:rsid w:val="00B00CAB"/>
    <w:rsid w:val="00B00CD8"/>
    <w:rsid w:val="00B00D6A"/>
    <w:rsid w:val="00B00D97"/>
    <w:rsid w:val="00B00E32"/>
    <w:rsid w:val="00B00F25"/>
    <w:rsid w:val="00B00F67"/>
    <w:rsid w:val="00B00FEA"/>
    <w:rsid w:val="00B0102B"/>
    <w:rsid w:val="00B01031"/>
    <w:rsid w:val="00B01073"/>
    <w:rsid w:val="00B01112"/>
    <w:rsid w:val="00B011DD"/>
    <w:rsid w:val="00B011DE"/>
    <w:rsid w:val="00B012C9"/>
    <w:rsid w:val="00B01385"/>
    <w:rsid w:val="00B014DA"/>
    <w:rsid w:val="00B014F8"/>
    <w:rsid w:val="00B0156A"/>
    <w:rsid w:val="00B015FE"/>
    <w:rsid w:val="00B0181B"/>
    <w:rsid w:val="00B018C0"/>
    <w:rsid w:val="00B01A56"/>
    <w:rsid w:val="00B01A5B"/>
    <w:rsid w:val="00B01B7F"/>
    <w:rsid w:val="00B01C34"/>
    <w:rsid w:val="00B01F7B"/>
    <w:rsid w:val="00B01FDE"/>
    <w:rsid w:val="00B02053"/>
    <w:rsid w:val="00B0208E"/>
    <w:rsid w:val="00B02099"/>
    <w:rsid w:val="00B020BD"/>
    <w:rsid w:val="00B021A2"/>
    <w:rsid w:val="00B021C7"/>
    <w:rsid w:val="00B021D6"/>
    <w:rsid w:val="00B021E8"/>
    <w:rsid w:val="00B02218"/>
    <w:rsid w:val="00B022C2"/>
    <w:rsid w:val="00B022CA"/>
    <w:rsid w:val="00B023CF"/>
    <w:rsid w:val="00B0266B"/>
    <w:rsid w:val="00B0267A"/>
    <w:rsid w:val="00B02690"/>
    <w:rsid w:val="00B026C7"/>
    <w:rsid w:val="00B02776"/>
    <w:rsid w:val="00B027C8"/>
    <w:rsid w:val="00B0280C"/>
    <w:rsid w:val="00B028E4"/>
    <w:rsid w:val="00B029D3"/>
    <w:rsid w:val="00B02A1A"/>
    <w:rsid w:val="00B02A7F"/>
    <w:rsid w:val="00B02B43"/>
    <w:rsid w:val="00B02B5F"/>
    <w:rsid w:val="00B02C0A"/>
    <w:rsid w:val="00B02CBA"/>
    <w:rsid w:val="00B02D1D"/>
    <w:rsid w:val="00B02D6C"/>
    <w:rsid w:val="00B02DB9"/>
    <w:rsid w:val="00B02E7B"/>
    <w:rsid w:val="00B02EC4"/>
    <w:rsid w:val="00B02EED"/>
    <w:rsid w:val="00B02F51"/>
    <w:rsid w:val="00B03166"/>
    <w:rsid w:val="00B0322E"/>
    <w:rsid w:val="00B03289"/>
    <w:rsid w:val="00B032A1"/>
    <w:rsid w:val="00B0331F"/>
    <w:rsid w:val="00B033E2"/>
    <w:rsid w:val="00B033F6"/>
    <w:rsid w:val="00B0357A"/>
    <w:rsid w:val="00B03792"/>
    <w:rsid w:val="00B037DA"/>
    <w:rsid w:val="00B03874"/>
    <w:rsid w:val="00B03903"/>
    <w:rsid w:val="00B03929"/>
    <w:rsid w:val="00B03930"/>
    <w:rsid w:val="00B03955"/>
    <w:rsid w:val="00B03ACE"/>
    <w:rsid w:val="00B03B1D"/>
    <w:rsid w:val="00B03BE4"/>
    <w:rsid w:val="00B03C65"/>
    <w:rsid w:val="00B03C76"/>
    <w:rsid w:val="00B03D54"/>
    <w:rsid w:val="00B03D92"/>
    <w:rsid w:val="00B03DDC"/>
    <w:rsid w:val="00B03E35"/>
    <w:rsid w:val="00B03FC9"/>
    <w:rsid w:val="00B040C7"/>
    <w:rsid w:val="00B040FA"/>
    <w:rsid w:val="00B042AF"/>
    <w:rsid w:val="00B043E8"/>
    <w:rsid w:val="00B047BA"/>
    <w:rsid w:val="00B048A5"/>
    <w:rsid w:val="00B048F8"/>
    <w:rsid w:val="00B04A0E"/>
    <w:rsid w:val="00B04A37"/>
    <w:rsid w:val="00B04B21"/>
    <w:rsid w:val="00B04B35"/>
    <w:rsid w:val="00B04E30"/>
    <w:rsid w:val="00B04EC7"/>
    <w:rsid w:val="00B04FF3"/>
    <w:rsid w:val="00B05021"/>
    <w:rsid w:val="00B0508D"/>
    <w:rsid w:val="00B05162"/>
    <w:rsid w:val="00B0518B"/>
    <w:rsid w:val="00B05244"/>
    <w:rsid w:val="00B0531C"/>
    <w:rsid w:val="00B05743"/>
    <w:rsid w:val="00B0576B"/>
    <w:rsid w:val="00B05845"/>
    <w:rsid w:val="00B05924"/>
    <w:rsid w:val="00B0592E"/>
    <w:rsid w:val="00B0598C"/>
    <w:rsid w:val="00B059C0"/>
    <w:rsid w:val="00B059CA"/>
    <w:rsid w:val="00B05C24"/>
    <w:rsid w:val="00B05C30"/>
    <w:rsid w:val="00B05D3A"/>
    <w:rsid w:val="00B05D6C"/>
    <w:rsid w:val="00B05DD3"/>
    <w:rsid w:val="00B05F5F"/>
    <w:rsid w:val="00B05F73"/>
    <w:rsid w:val="00B05F8C"/>
    <w:rsid w:val="00B0613D"/>
    <w:rsid w:val="00B061C8"/>
    <w:rsid w:val="00B0624E"/>
    <w:rsid w:val="00B062E3"/>
    <w:rsid w:val="00B06332"/>
    <w:rsid w:val="00B06355"/>
    <w:rsid w:val="00B0635E"/>
    <w:rsid w:val="00B064CC"/>
    <w:rsid w:val="00B0656B"/>
    <w:rsid w:val="00B0657D"/>
    <w:rsid w:val="00B06614"/>
    <w:rsid w:val="00B0666E"/>
    <w:rsid w:val="00B066D1"/>
    <w:rsid w:val="00B0674D"/>
    <w:rsid w:val="00B06751"/>
    <w:rsid w:val="00B06842"/>
    <w:rsid w:val="00B068DA"/>
    <w:rsid w:val="00B0692F"/>
    <w:rsid w:val="00B06A4C"/>
    <w:rsid w:val="00B06A93"/>
    <w:rsid w:val="00B06C3A"/>
    <w:rsid w:val="00B06C87"/>
    <w:rsid w:val="00B06CDB"/>
    <w:rsid w:val="00B06EA7"/>
    <w:rsid w:val="00B06EE4"/>
    <w:rsid w:val="00B07082"/>
    <w:rsid w:val="00B070F2"/>
    <w:rsid w:val="00B0734C"/>
    <w:rsid w:val="00B074FD"/>
    <w:rsid w:val="00B0751C"/>
    <w:rsid w:val="00B07534"/>
    <w:rsid w:val="00B0755D"/>
    <w:rsid w:val="00B0768D"/>
    <w:rsid w:val="00B07729"/>
    <w:rsid w:val="00B07748"/>
    <w:rsid w:val="00B0785A"/>
    <w:rsid w:val="00B07898"/>
    <w:rsid w:val="00B0795E"/>
    <w:rsid w:val="00B079C1"/>
    <w:rsid w:val="00B079DD"/>
    <w:rsid w:val="00B07B70"/>
    <w:rsid w:val="00B07BC8"/>
    <w:rsid w:val="00B07C0A"/>
    <w:rsid w:val="00B07D1C"/>
    <w:rsid w:val="00B07D36"/>
    <w:rsid w:val="00B07DF3"/>
    <w:rsid w:val="00B07E63"/>
    <w:rsid w:val="00B07F4F"/>
    <w:rsid w:val="00B07F71"/>
    <w:rsid w:val="00B07F8A"/>
    <w:rsid w:val="00B07FC7"/>
    <w:rsid w:val="00B10012"/>
    <w:rsid w:val="00B10085"/>
    <w:rsid w:val="00B100F6"/>
    <w:rsid w:val="00B10125"/>
    <w:rsid w:val="00B101B7"/>
    <w:rsid w:val="00B103B1"/>
    <w:rsid w:val="00B103C8"/>
    <w:rsid w:val="00B104F7"/>
    <w:rsid w:val="00B1073B"/>
    <w:rsid w:val="00B108BA"/>
    <w:rsid w:val="00B1099D"/>
    <w:rsid w:val="00B10A4E"/>
    <w:rsid w:val="00B10A64"/>
    <w:rsid w:val="00B10A7C"/>
    <w:rsid w:val="00B10A95"/>
    <w:rsid w:val="00B10BCD"/>
    <w:rsid w:val="00B10C05"/>
    <w:rsid w:val="00B10C10"/>
    <w:rsid w:val="00B10C39"/>
    <w:rsid w:val="00B10D4A"/>
    <w:rsid w:val="00B10F10"/>
    <w:rsid w:val="00B11097"/>
    <w:rsid w:val="00B110D4"/>
    <w:rsid w:val="00B11104"/>
    <w:rsid w:val="00B111F6"/>
    <w:rsid w:val="00B11212"/>
    <w:rsid w:val="00B11462"/>
    <w:rsid w:val="00B114A4"/>
    <w:rsid w:val="00B114F4"/>
    <w:rsid w:val="00B1150A"/>
    <w:rsid w:val="00B1153E"/>
    <w:rsid w:val="00B11555"/>
    <w:rsid w:val="00B1156F"/>
    <w:rsid w:val="00B11705"/>
    <w:rsid w:val="00B11761"/>
    <w:rsid w:val="00B117A2"/>
    <w:rsid w:val="00B117F2"/>
    <w:rsid w:val="00B1180F"/>
    <w:rsid w:val="00B11841"/>
    <w:rsid w:val="00B1186B"/>
    <w:rsid w:val="00B119C0"/>
    <w:rsid w:val="00B119D4"/>
    <w:rsid w:val="00B11A84"/>
    <w:rsid w:val="00B11AD7"/>
    <w:rsid w:val="00B11AF8"/>
    <w:rsid w:val="00B11B19"/>
    <w:rsid w:val="00B11B30"/>
    <w:rsid w:val="00B11B8B"/>
    <w:rsid w:val="00B11BA5"/>
    <w:rsid w:val="00B11CBE"/>
    <w:rsid w:val="00B11D99"/>
    <w:rsid w:val="00B11DCE"/>
    <w:rsid w:val="00B11F8C"/>
    <w:rsid w:val="00B11FED"/>
    <w:rsid w:val="00B12087"/>
    <w:rsid w:val="00B120D3"/>
    <w:rsid w:val="00B1211B"/>
    <w:rsid w:val="00B122CA"/>
    <w:rsid w:val="00B12341"/>
    <w:rsid w:val="00B12346"/>
    <w:rsid w:val="00B1246C"/>
    <w:rsid w:val="00B124E4"/>
    <w:rsid w:val="00B1251F"/>
    <w:rsid w:val="00B12528"/>
    <w:rsid w:val="00B125F2"/>
    <w:rsid w:val="00B1261C"/>
    <w:rsid w:val="00B12657"/>
    <w:rsid w:val="00B126F8"/>
    <w:rsid w:val="00B127A6"/>
    <w:rsid w:val="00B127AA"/>
    <w:rsid w:val="00B12868"/>
    <w:rsid w:val="00B1286C"/>
    <w:rsid w:val="00B12B68"/>
    <w:rsid w:val="00B12BE4"/>
    <w:rsid w:val="00B12D75"/>
    <w:rsid w:val="00B12E08"/>
    <w:rsid w:val="00B12EBF"/>
    <w:rsid w:val="00B12EED"/>
    <w:rsid w:val="00B12F38"/>
    <w:rsid w:val="00B12F47"/>
    <w:rsid w:val="00B12FA4"/>
    <w:rsid w:val="00B130A7"/>
    <w:rsid w:val="00B130D3"/>
    <w:rsid w:val="00B13111"/>
    <w:rsid w:val="00B13313"/>
    <w:rsid w:val="00B13331"/>
    <w:rsid w:val="00B13372"/>
    <w:rsid w:val="00B13456"/>
    <w:rsid w:val="00B13579"/>
    <w:rsid w:val="00B13609"/>
    <w:rsid w:val="00B13612"/>
    <w:rsid w:val="00B13726"/>
    <w:rsid w:val="00B137EB"/>
    <w:rsid w:val="00B13887"/>
    <w:rsid w:val="00B138BF"/>
    <w:rsid w:val="00B13924"/>
    <w:rsid w:val="00B13943"/>
    <w:rsid w:val="00B1399D"/>
    <w:rsid w:val="00B139B5"/>
    <w:rsid w:val="00B13A46"/>
    <w:rsid w:val="00B13BE5"/>
    <w:rsid w:val="00B13BFF"/>
    <w:rsid w:val="00B13D92"/>
    <w:rsid w:val="00B13E70"/>
    <w:rsid w:val="00B13F74"/>
    <w:rsid w:val="00B14033"/>
    <w:rsid w:val="00B140B5"/>
    <w:rsid w:val="00B1422E"/>
    <w:rsid w:val="00B14300"/>
    <w:rsid w:val="00B14404"/>
    <w:rsid w:val="00B14472"/>
    <w:rsid w:val="00B14563"/>
    <w:rsid w:val="00B145CC"/>
    <w:rsid w:val="00B145EF"/>
    <w:rsid w:val="00B14679"/>
    <w:rsid w:val="00B146D2"/>
    <w:rsid w:val="00B147A0"/>
    <w:rsid w:val="00B147BD"/>
    <w:rsid w:val="00B14811"/>
    <w:rsid w:val="00B14846"/>
    <w:rsid w:val="00B148F8"/>
    <w:rsid w:val="00B14BCB"/>
    <w:rsid w:val="00B14C12"/>
    <w:rsid w:val="00B14D8D"/>
    <w:rsid w:val="00B14DA0"/>
    <w:rsid w:val="00B14F20"/>
    <w:rsid w:val="00B14F5B"/>
    <w:rsid w:val="00B14F89"/>
    <w:rsid w:val="00B15081"/>
    <w:rsid w:val="00B150F2"/>
    <w:rsid w:val="00B1525D"/>
    <w:rsid w:val="00B152BA"/>
    <w:rsid w:val="00B15313"/>
    <w:rsid w:val="00B15396"/>
    <w:rsid w:val="00B1548B"/>
    <w:rsid w:val="00B154BB"/>
    <w:rsid w:val="00B156A8"/>
    <w:rsid w:val="00B15848"/>
    <w:rsid w:val="00B1594A"/>
    <w:rsid w:val="00B1599E"/>
    <w:rsid w:val="00B15A3D"/>
    <w:rsid w:val="00B15A51"/>
    <w:rsid w:val="00B15ACA"/>
    <w:rsid w:val="00B15C0B"/>
    <w:rsid w:val="00B15C54"/>
    <w:rsid w:val="00B15C97"/>
    <w:rsid w:val="00B15CBF"/>
    <w:rsid w:val="00B15CFB"/>
    <w:rsid w:val="00B15DE2"/>
    <w:rsid w:val="00B15E51"/>
    <w:rsid w:val="00B15E91"/>
    <w:rsid w:val="00B15F42"/>
    <w:rsid w:val="00B16127"/>
    <w:rsid w:val="00B1617A"/>
    <w:rsid w:val="00B1620D"/>
    <w:rsid w:val="00B163C7"/>
    <w:rsid w:val="00B163F3"/>
    <w:rsid w:val="00B16419"/>
    <w:rsid w:val="00B16441"/>
    <w:rsid w:val="00B16444"/>
    <w:rsid w:val="00B16445"/>
    <w:rsid w:val="00B1648E"/>
    <w:rsid w:val="00B164BD"/>
    <w:rsid w:val="00B164D1"/>
    <w:rsid w:val="00B16521"/>
    <w:rsid w:val="00B165FD"/>
    <w:rsid w:val="00B16772"/>
    <w:rsid w:val="00B16795"/>
    <w:rsid w:val="00B1679C"/>
    <w:rsid w:val="00B167BF"/>
    <w:rsid w:val="00B16891"/>
    <w:rsid w:val="00B168C9"/>
    <w:rsid w:val="00B168DC"/>
    <w:rsid w:val="00B1696C"/>
    <w:rsid w:val="00B16AAD"/>
    <w:rsid w:val="00B16AF7"/>
    <w:rsid w:val="00B16CAF"/>
    <w:rsid w:val="00B16CF0"/>
    <w:rsid w:val="00B16E3A"/>
    <w:rsid w:val="00B16F8B"/>
    <w:rsid w:val="00B16FB1"/>
    <w:rsid w:val="00B16FF5"/>
    <w:rsid w:val="00B170AE"/>
    <w:rsid w:val="00B17180"/>
    <w:rsid w:val="00B1719A"/>
    <w:rsid w:val="00B1734B"/>
    <w:rsid w:val="00B1735D"/>
    <w:rsid w:val="00B173CB"/>
    <w:rsid w:val="00B17451"/>
    <w:rsid w:val="00B17521"/>
    <w:rsid w:val="00B17636"/>
    <w:rsid w:val="00B17686"/>
    <w:rsid w:val="00B17695"/>
    <w:rsid w:val="00B17744"/>
    <w:rsid w:val="00B1775C"/>
    <w:rsid w:val="00B178EF"/>
    <w:rsid w:val="00B1799D"/>
    <w:rsid w:val="00B17A5C"/>
    <w:rsid w:val="00B17A69"/>
    <w:rsid w:val="00B17AD1"/>
    <w:rsid w:val="00B17B2A"/>
    <w:rsid w:val="00B17B7D"/>
    <w:rsid w:val="00B17B9D"/>
    <w:rsid w:val="00B17BB1"/>
    <w:rsid w:val="00B17BE1"/>
    <w:rsid w:val="00B17BFB"/>
    <w:rsid w:val="00B17C61"/>
    <w:rsid w:val="00B17CAB"/>
    <w:rsid w:val="00B17CCC"/>
    <w:rsid w:val="00B17DBF"/>
    <w:rsid w:val="00B17DDF"/>
    <w:rsid w:val="00B17E02"/>
    <w:rsid w:val="00B17E0B"/>
    <w:rsid w:val="00B17EE5"/>
    <w:rsid w:val="00B17F98"/>
    <w:rsid w:val="00B17FBA"/>
    <w:rsid w:val="00B17FC6"/>
    <w:rsid w:val="00B20026"/>
    <w:rsid w:val="00B20062"/>
    <w:rsid w:val="00B2009D"/>
    <w:rsid w:val="00B2009F"/>
    <w:rsid w:val="00B20168"/>
    <w:rsid w:val="00B202F5"/>
    <w:rsid w:val="00B2033B"/>
    <w:rsid w:val="00B2035B"/>
    <w:rsid w:val="00B2035F"/>
    <w:rsid w:val="00B20370"/>
    <w:rsid w:val="00B2053C"/>
    <w:rsid w:val="00B20676"/>
    <w:rsid w:val="00B20807"/>
    <w:rsid w:val="00B20834"/>
    <w:rsid w:val="00B208B4"/>
    <w:rsid w:val="00B209EC"/>
    <w:rsid w:val="00B20A19"/>
    <w:rsid w:val="00B20A38"/>
    <w:rsid w:val="00B20A64"/>
    <w:rsid w:val="00B20AC2"/>
    <w:rsid w:val="00B20B17"/>
    <w:rsid w:val="00B20D07"/>
    <w:rsid w:val="00B20E52"/>
    <w:rsid w:val="00B20F0E"/>
    <w:rsid w:val="00B21024"/>
    <w:rsid w:val="00B2108A"/>
    <w:rsid w:val="00B211AF"/>
    <w:rsid w:val="00B211D0"/>
    <w:rsid w:val="00B21228"/>
    <w:rsid w:val="00B2129A"/>
    <w:rsid w:val="00B212C4"/>
    <w:rsid w:val="00B212F2"/>
    <w:rsid w:val="00B213C5"/>
    <w:rsid w:val="00B2149E"/>
    <w:rsid w:val="00B2158C"/>
    <w:rsid w:val="00B21797"/>
    <w:rsid w:val="00B217D1"/>
    <w:rsid w:val="00B218BF"/>
    <w:rsid w:val="00B21904"/>
    <w:rsid w:val="00B2191C"/>
    <w:rsid w:val="00B21976"/>
    <w:rsid w:val="00B219A0"/>
    <w:rsid w:val="00B21B58"/>
    <w:rsid w:val="00B21C29"/>
    <w:rsid w:val="00B21DAF"/>
    <w:rsid w:val="00B21E4A"/>
    <w:rsid w:val="00B21F1C"/>
    <w:rsid w:val="00B21F34"/>
    <w:rsid w:val="00B21F6C"/>
    <w:rsid w:val="00B22399"/>
    <w:rsid w:val="00B2241B"/>
    <w:rsid w:val="00B2264B"/>
    <w:rsid w:val="00B22652"/>
    <w:rsid w:val="00B226C9"/>
    <w:rsid w:val="00B2277D"/>
    <w:rsid w:val="00B227C8"/>
    <w:rsid w:val="00B228A2"/>
    <w:rsid w:val="00B228BE"/>
    <w:rsid w:val="00B22944"/>
    <w:rsid w:val="00B22A1C"/>
    <w:rsid w:val="00B22AEE"/>
    <w:rsid w:val="00B22AF3"/>
    <w:rsid w:val="00B22AFC"/>
    <w:rsid w:val="00B22AFE"/>
    <w:rsid w:val="00B22B02"/>
    <w:rsid w:val="00B22B24"/>
    <w:rsid w:val="00B22B37"/>
    <w:rsid w:val="00B22BBD"/>
    <w:rsid w:val="00B22CA7"/>
    <w:rsid w:val="00B22E6E"/>
    <w:rsid w:val="00B22EC8"/>
    <w:rsid w:val="00B22EF1"/>
    <w:rsid w:val="00B22F2C"/>
    <w:rsid w:val="00B22F2E"/>
    <w:rsid w:val="00B22F67"/>
    <w:rsid w:val="00B22F68"/>
    <w:rsid w:val="00B22FA5"/>
    <w:rsid w:val="00B23078"/>
    <w:rsid w:val="00B230B0"/>
    <w:rsid w:val="00B231E5"/>
    <w:rsid w:val="00B23364"/>
    <w:rsid w:val="00B23460"/>
    <w:rsid w:val="00B23511"/>
    <w:rsid w:val="00B23559"/>
    <w:rsid w:val="00B23584"/>
    <w:rsid w:val="00B235C7"/>
    <w:rsid w:val="00B235E8"/>
    <w:rsid w:val="00B236FF"/>
    <w:rsid w:val="00B23A13"/>
    <w:rsid w:val="00B23C44"/>
    <w:rsid w:val="00B23C65"/>
    <w:rsid w:val="00B23C82"/>
    <w:rsid w:val="00B23CBE"/>
    <w:rsid w:val="00B23CD4"/>
    <w:rsid w:val="00B23D57"/>
    <w:rsid w:val="00B23D5B"/>
    <w:rsid w:val="00B23D73"/>
    <w:rsid w:val="00B23D9D"/>
    <w:rsid w:val="00B23DA4"/>
    <w:rsid w:val="00B23E43"/>
    <w:rsid w:val="00B23E5E"/>
    <w:rsid w:val="00B23E74"/>
    <w:rsid w:val="00B23F7E"/>
    <w:rsid w:val="00B23FB3"/>
    <w:rsid w:val="00B23FB6"/>
    <w:rsid w:val="00B240D9"/>
    <w:rsid w:val="00B240FB"/>
    <w:rsid w:val="00B2421D"/>
    <w:rsid w:val="00B24306"/>
    <w:rsid w:val="00B243D3"/>
    <w:rsid w:val="00B243EE"/>
    <w:rsid w:val="00B2445F"/>
    <w:rsid w:val="00B2448D"/>
    <w:rsid w:val="00B2449E"/>
    <w:rsid w:val="00B244F0"/>
    <w:rsid w:val="00B24629"/>
    <w:rsid w:val="00B246D0"/>
    <w:rsid w:val="00B247B8"/>
    <w:rsid w:val="00B247BA"/>
    <w:rsid w:val="00B2480C"/>
    <w:rsid w:val="00B248C7"/>
    <w:rsid w:val="00B24928"/>
    <w:rsid w:val="00B24BCB"/>
    <w:rsid w:val="00B24D00"/>
    <w:rsid w:val="00B24D6F"/>
    <w:rsid w:val="00B24EE0"/>
    <w:rsid w:val="00B24F2A"/>
    <w:rsid w:val="00B24F61"/>
    <w:rsid w:val="00B250CC"/>
    <w:rsid w:val="00B250D1"/>
    <w:rsid w:val="00B2511B"/>
    <w:rsid w:val="00B25170"/>
    <w:rsid w:val="00B25172"/>
    <w:rsid w:val="00B2552D"/>
    <w:rsid w:val="00B2553F"/>
    <w:rsid w:val="00B2558D"/>
    <w:rsid w:val="00B255C8"/>
    <w:rsid w:val="00B25761"/>
    <w:rsid w:val="00B257AB"/>
    <w:rsid w:val="00B25834"/>
    <w:rsid w:val="00B25932"/>
    <w:rsid w:val="00B259A6"/>
    <w:rsid w:val="00B25A52"/>
    <w:rsid w:val="00B25B46"/>
    <w:rsid w:val="00B25B82"/>
    <w:rsid w:val="00B25C60"/>
    <w:rsid w:val="00B25D9D"/>
    <w:rsid w:val="00B25DB9"/>
    <w:rsid w:val="00B25DD4"/>
    <w:rsid w:val="00B25E0E"/>
    <w:rsid w:val="00B26073"/>
    <w:rsid w:val="00B260C3"/>
    <w:rsid w:val="00B261EE"/>
    <w:rsid w:val="00B26205"/>
    <w:rsid w:val="00B262D1"/>
    <w:rsid w:val="00B2637D"/>
    <w:rsid w:val="00B26434"/>
    <w:rsid w:val="00B26467"/>
    <w:rsid w:val="00B26492"/>
    <w:rsid w:val="00B26495"/>
    <w:rsid w:val="00B2653A"/>
    <w:rsid w:val="00B26557"/>
    <w:rsid w:val="00B26578"/>
    <w:rsid w:val="00B26598"/>
    <w:rsid w:val="00B265CA"/>
    <w:rsid w:val="00B267DD"/>
    <w:rsid w:val="00B26862"/>
    <w:rsid w:val="00B26AD0"/>
    <w:rsid w:val="00B26B4E"/>
    <w:rsid w:val="00B26B72"/>
    <w:rsid w:val="00B26B88"/>
    <w:rsid w:val="00B26C1A"/>
    <w:rsid w:val="00B26CDE"/>
    <w:rsid w:val="00B26D4D"/>
    <w:rsid w:val="00B26E1A"/>
    <w:rsid w:val="00B26E8F"/>
    <w:rsid w:val="00B26EED"/>
    <w:rsid w:val="00B26F63"/>
    <w:rsid w:val="00B26FDA"/>
    <w:rsid w:val="00B26FFC"/>
    <w:rsid w:val="00B270A6"/>
    <w:rsid w:val="00B27169"/>
    <w:rsid w:val="00B272C4"/>
    <w:rsid w:val="00B272E4"/>
    <w:rsid w:val="00B27346"/>
    <w:rsid w:val="00B2737E"/>
    <w:rsid w:val="00B273B1"/>
    <w:rsid w:val="00B2743A"/>
    <w:rsid w:val="00B27481"/>
    <w:rsid w:val="00B27488"/>
    <w:rsid w:val="00B27489"/>
    <w:rsid w:val="00B275D3"/>
    <w:rsid w:val="00B27632"/>
    <w:rsid w:val="00B27645"/>
    <w:rsid w:val="00B276F5"/>
    <w:rsid w:val="00B2778E"/>
    <w:rsid w:val="00B2782E"/>
    <w:rsid w:val="00B2785F"/>
    <w:rsid w:val="00B278A9"/>
    <w:rsid w:val="00B278C3"/>
    <w:rsid w:val="00B2791C"/>
    <w:rsid w:val="00B2795B"/>
    <w:rsid w:val="00B27991"/>
    <w:rsid w:val="00B27A70"/>
    <w:rsid w:val="00B27A7A"/>
    <w:rsid w:val="00B27B8D"/>
    <w:rsid w:val="00B27CB1"/>
    <w:rsid w:val="00B27CE8"/>
    <w:rsid w:val="00B27D0D"/>
    <w:rsid w:val="00B27D2F"/>
    <w:rsid w:val="00B27D4A"/>
    <w:rsid w:val="00B27DDD"/>
    <w:rsid w:val="00B27DF5"/>
    <w:rsid w:val="00B27EDE"/>
    <w:rsid w:val="00B30142"/>
    <w:rsid w:val="00B30192"/>
    <w:rsid w:val="00B301C8"/>
    <w:rsid w:val="00B3028F"/>
    <w:rsid w:val="00B30398"/>
    <w:rsid w:val="00B303DE"/>
    <w:rsid w:val="00B3058D"/>
    <w:rsid w:val="00B305DF"/>
    <w:rsid w:val="00B305F2"/>
    <w:rsid w:val="00B3073C"/>
    <w:rsid w:val="00B30823"/>
    <w:rsid w:val="00B30889"/>
    <w:rsid w:val="00B308C0"/>
    <w:rsid w:val="00B30965"/>
    <w:rsid w:val="00B30B4C"/>
    <w:rsid w:val="00B30BA1"/>
    <w:rsid w:val="00B30BF7"/>
    <w:rsid w:val="00B30C22"/>
    <w:rsid w:val="00B30CC7"/>
    <w:rsid w:val="00B30D3C"/>
    <w:rsid w:val="00B30F7B"/>
    <w:rsid w:val="00B30FB7"/>
    <w:rsid w:val="00B3152C"/>
    <w:rsid w:val="00B31568"/>
    <w:rsid w:val="00B31686"/>
    <w:rsid w:val="00B316AD"/>
    <w:rsid w:val="00B316DF"/>
    <w:rsid w:val="00B316F4"/>
    <w:rsid w:val="00B3184A"/>
    <w:rsid w:val="00B3197F"/>
    <w:rsid w:val="00B31A26"/>
    <w:rsid w:val="00B31A92"/>
    <w:rsid w:val="00B31AB5"/>
    <w:rsid w:val="00B31AC7"/>
    <w:rsid w:val="00B31BD5"/>
    <w:rsid w:val="00B31BEA"/>
    <w:rsid w:val="00B31CB6"/>
    <w:rsid w:val="00B31CBA"/>
    <w:rsid w:val="00B32074"/>
    <w:rsid w:val="00B32127"/>
    <w:rsid w:val="00B3214E"/>
    <w:rsid w:val="00B3216D"/>
    <w:rsid w:val="00B32237"/>
    <w:rsid w:val="00B3239D"/>
    <w:rsid w:val="00B3243F"/>
    <w:rsid w:val="00B32495"/>
    <w:rsid w:val="00B324B2"/>
    <w:rsid w:val="00B32500"/>
    <w:rsid w:val="00B32525"/>
    <w:rsid w:val="00B32869"/>
    <w:rsid w:val="00B328A0"/>
    <w:rsid w:val="00B328C8"/>
    <w:rsid w:val="00B32900"/>
    <w:rsid w:val="00B32917"/>
    <w:rsid w:val="00B3294C"/>
    <w:rsid w:val="00B32968"/>
    <w:rsid w:val="00B32AA1"/>
    <w:rsid w:val="00B32B81"/>
    <w:rsid w:val="00B32C15"/>
    <w:rsid w:val="00B32DC4"/>
    <w:rsid w:val="00B32DCA"/>
    <w:rsid w:val="00B32DF2"/>
    <w:rsid w:val="00B32E58"/>
    <w:rsid w:val="00B32EC3"/>
    <w:rsid w:val="00B33114"/>
    <w:rsid w:val="00B3315D"/>
    <w:rsid w:val="00B33328"/>
    <w:rsid w:val="00B3345D"/>
    <w:rsid w:val="00B33487"/>
    <w:rsid w:val="00B33493"/>
    <w:rsid w:val="00B33618"/>
    <w:rsid w:val="00B3388C"/>
    <w:rsid w:val="00B33958"/>
    <w:rsid w:val="00B33BCC"/>
    <w:rsid w:val="00B33CBC"/>
    <w:rsid w:val="00B33E00"/>
    <w:rsid w:val="00B33EBD"/>
    <w:rsid w:val="00B33F17"/>
    <w:rsid w:val="00B33F2A"/>
    <w:rsid w:val="00B33F4C"/>
    <w:rsid w:val="00B33F8A"/>
    <w:rsid w:val="00B33F99"/>
    <w:rsid w:val="00B33FA2"/>
    <w:rsid w:val="00B34046"/>
    <w:rsid w:val="00B3408F"/>
    <w:rsid w:val="00B341AC"/>
    <w:rsid w:val="00B341BD"/>
    <w:rsid w:val="00B34248"/>
    <w:rsid w:val="00B3427A"/>
    <w:rsid w:val="00B342A4"/>
    <w:rsid w:val="00B34318"/>
    <w:rsid w:val="00B344B8"/>
    <w:rsid w:val="00B344F6"/>
    <w:rsid w:val="00B345D9"/>
    <w:rsid w:val="00B346F4"/>
    <w:rsid w:val="00B3475E"/>
    <w:rsid w:val="00B347CC"/>
    <w:rsid w:val="00B347E5"/>
    <w:rsid w:val="00B347F0"/>
    <w:rsid w:val="00B347F7"/>
    <w:rsid w:val="00B348F6"/>
    <w:rsid w:val="00B34989"/>
    <w:rsid w:val="00B34B32"/>
    <w:rsid w:val="00B34BD1"/>
    <w:rsid w:val="00B34D64"/>
    <w:rsid w:val="00B34DA3"/>
    <w:rsid w:val="00B34E59"/>
    <w:rsid w:val="00B34E81"/>
    <w:rsid w:val="00B34E83"/>
    <w:rsid w:val="00B34EDC"/>
    <w:rsid w:val="00B34F1D"/>
    <w:rsid w:val="00B34F30"/>
    <w:rsid w:val="00B351F5"/>
    <w:rsid w:val="00B352B1"/>
    <w:rsid w:val="00B35364"/>
    <w:rsid w:val="00B35393"/>
    <w:rsid w:val="00B355AF"/>
    <w:rsid w:val="00B355D0"/>
    <w:rsid w:val="00B35614"/>
    <w:rsid w:val="00B35683"/>
    <w:rsid w:val="00B356E4"/>
    <w:rsid w:val="00B35866"/>
    <w:rsid w:val="00B3586D"/>
    <w:rsid w:val="00B358B4"/>
    <w:rsid w:val="00B358E4"/>
    <w:rsid w:val="00B35939"/>
    <w:rsid w:val="00B359A0"/>
    <w:rsid w:val="00B359AB"/>
    <w:rsid w:val="00B35A21"/>
    <w:rsid w:val="00B35AB8"/>
    <w:rsid w:val="00B35B55"/>
    <w:rsid w:val="00B35B76"/>
    <w:rsid w:val="00B35D5E"/>
    <w:rsid w:val="00B35DB9"/>
    <w:rsid w:val="00B35E58"/>
    <w:rsid w:val="00B35F16"/>
    <w:rsid w:val="00B35FCD"/>
    <w:rsid w:val="00B36000"/>
    <w:rsid w:val="00B3608C"/>
    <w:rsid w:val="00B360CD"/>
    <w:rsid w:val="00B360ED"/>
    <w:rsid w:val="00B360F1"/>
    <w:rsid w:val="00B361C2"/>
    <w:rsid w:val="00B363C7"/>
    <w:rsid w:val="00B3645E"/>
    <w:rsid w:val="00B3649B"/>
    <w:rsid w:val="00B364EC"/>
    <w:rsid w:val="00B36548"/>
    <w:rsid w:val="00B366E0"/>
    <w:rsid w:val="00B36725"/>
    <w:rsid w:val="00B36730"/>
    <w:rsid w:val="00B367BB"/>
    <w:rsid w:val="00B367E7"/>
    <w:rsid w:val="00B3684E"/>
    <w:rsid w:val="00B36879"/>
    <w:rsid w:val="00B3695C"/>
    <w:rsid w:val="00B369C9"/>
    <w:rsid w:val="00B36A06"/>
    <w:rsid w:val="00B36CF5"/>
    <w:rsid w:val="00B36E36"/>
    <w:rsid w:val="00B36E72"/>
    <w:rsid w:val="00B36F7B"/>
    <w:rsid w:val="00B36FCE"/>
    <w:rsid w:val="00B3704A"/>
    <w:rsid w:val="00B370AA"/>
    <w:rsid w:val="00B370EE"/>
    <w:rsid w:val="00B372C3"/>
    <w:rsid w:val="00B372F9"/>
    <w:rsid w:val="00B37300"/>
    <w:rsid w:val="00B37470"/>
    <w:rsid w:val="00B3752C"/>
    <w:rsid w:val="00B37534"/>
    <w:rsid w:val="00B37553"/>
    <w:rsid w:val="00B37611"/>
    <w:rsid w:val="00B3761B"/>
    <w:rsid w:val="00B376A4"/>
    <w:rsid w:val="00B3778C"/>
    <w:rsid w:val="00B3779D"/>
    <w:rsid w:val="00B377A3"/>
    <w:rsid w:val="00B37827"/>
    <w:rsid w:val="00B378F1"/>
    <w:rsid w:val="00B3797F"/>
    <w:rsid w:val="00B37A92"/>
    <w:rsid w:val="00B37AA4"/>
    <w:rsid w:val="00B37AD8"/>
    <w:rsid w:val="00B37B36"/>
    <w:rsid w:val="00B37BE8"/>
    <w:rsid w:val="00B37BF3"/>
    <w:rsid w:val="00B37CDB"/>
    <w:rsid w:val="00B37CE6"/>
    <w:rsid w:val="00B37D72"/>
    <w:rsid w:val="00B37E9B"/>
    <w:rsid w:val="00B37F83"/>
    <w:rsid w:val="00B37F8C"/>
    <w:rsid w:val="00B40193"/>
    <w:rsid w:val="00B4020A"/>
    <w:rsid w:val="00B402E8"/>
    <w:rsid w:val="00B403BA"/>
    <w:rsid w:val="00B403BC"/>
    <w:rsid w:val="00B403FC"/>
    <w:rsid w:val="00B4048C"/>
    <w:rsid w:val="00B404A3"/>
    <w:rsid w:val="00B40511"/>
    <w:rsid w:val="00B40516"/>
    <w:rsid w:val="00B405FD"/>
    <w:rsid w:val="00B40688"/>
    <w:rsid w:val="00B4070B"/>
    <w:rsid w:val="00B40764"/>
    <w:rsid w:val="00B407EB"/>
    <w:rsid w:val="00B4083D"/>
    <w:rsid w:val="00B408E0"/>
    <w:rsid w:val="00B40A32"/>
    <w:rsid w:val="00B40B0A"/>
    <w:rsid w:val="00B40B24"/>
    <w:rsid w:val="00B40D03"/>
    <w:rsid w:val="00B40D1B"/>
    <w:rsid w:val="00B40DB6"/>
    <w:rsid w:val="00B40F84"/>
    <w:rsid w:val="00B40FA9"/>
    <w:rsid w:val="00B41027"/>
    <w:rsid w:val="00B4102C"/>
    <w:rsid w:val="00B41155"/>
    <w:rsid w:val="00B41188"/>
    <w:rsid w:val="00B411F4"/>
    <w:rsid w:val="00B4120B"/>
    <w:rsid w:val="00B41216"/>
    <w:rsid w:val="00B4123D"/>
    <w:rsid w:val="00B41258"/>
    <w:rsid w:val="00B412BC"/>
    <w:rsid w:val="00B41374"/>
    <w:rsid w:val="00B413D2"/>
    <w:rsid w:val="00B41497"/>
    <w:rsid w:val="00B41707"/>
    <w:rsid w:val="00B41714"/>
    <w:rsid w:val="00B4179E"/>
    <w:rsid w:val="00B417B4"/>
    <w:rsid w:val="00B41831"/>
    <w:rsid w:val="00B418A6"/>
    <w:rsid w:val="00B4192C"/>
    <w:rsid w:val="00B41A62"/>
    <w:rsid w:val="00B41AB2"/>
    <w:rsid w:val="00B41BD2"/>
    <w:rsid w:val="00B41CD1"/>
    <w:rsid w:val="00B41E64"/>
    <w:rsid w:val="00B41E72"/>
    <w:rsid w:val="00B42060"/>
    <w:rsid w:val="00B4206A"/>
    <w:rsid w:val="00B421D3"/>
    <w:rsid w:val="00B4223C"/>
    <w:rsid w:val="00B423EB"/>
    <w:rsid w:val="00B42428"/>
    <w:rsid w:val="00B4243E"/>
    <w:rsid w:val="00B424E2"/>
    <w:rsid w:val="00B4266A"/>
    <w:rsid w:val="00B426D3"/>
    <w:rsid w:val="00B427A7"/>
    <w:rsid w:val="00B427D2"/>
    <w:rsid w:val="00B428ED"/>
    <w:rsid w:val="00B4291E"/>
    <w:rsid w:val="00B429DC"/>
    <w:rsid w:val="00B42A47"/>
    <w:rsid w:val="00B42B00"/>
    <w:rsid w:val="00B42B08"/>
    <w:rsid w:val="00B42C4F"/>
    <w:rsid w:val="00B42C5D"/>
    <w:rsid w:val="00B42CA3"/>
    <w:rsid w:val="00B42DAC"/>
    <w:rsid w:val="00B42E7B"/>
    <w:rsid w:val="00B42F04"/>
    <w:rsid w:val="00B43014"/>
    <w:rsid w:val="00B43073"/>
    <w:rsid w:val="00B430B3"/>
    <w:rsid w:val="00B43148"/>
    <w:rsid w:val="00B431FF"/>
    <w:rsid w:val="00B43308"/>
    <w:rsid w:val="00B436F6"/>
    <w:rsid w:val="00B43911"/>
    <w:rsid w:val="00B43915"/>
    <w:rsid w:val="00B43B42"/>
    <w:rsid w:val="00B43BD1"/>
    <w:rsid w:val="00B43C84"/>
    <w:rsid w:val="00B43C86"/>
    <w:rsid w:val="00B43F49"/>
    <w:rsid w:val="00B43F60"/>
    <w:rsid w:val="00B44008"/>
    <w:rsid w:val="00B44031"/>
    <w:rsid w:val="00B4419F"/>
    <w:rsid w:val="00B44269"/>
    <w:rsid w:val="00B44346"/>
    <w:rsid w:val="00B443B3"/>
    <w:rsid w:val="00B443BE"/>
    <w:rsid w:val="00B4455B"/>
    <w:rsid w:val="00B44598"/>
    <w:rsid w:val="00B445D0"/>
    <w:rsid w:val="00B446AA"/>
    <w:rsid w:val="00B4477A"/>
    <w:rsid w:val="00B447A2"/>
    <w:rsid w:val="00B44810"/>
    <w:rsid w:val="00B4490F"/>
    <w:rsid w:val="00B44AA3"/>
    <w:rsid w:val="00B44B0F"/>
    <w:rsid w:val="00B44B59"/>
    <w:rsid w:val="00B44BC4"/>
    <w:rsid w:val="00B44CB6"/>
    <w:rsid w:val="00B44D25"/>
    <w:rsid w:val="00B44D9B"/>
    <w:rsid w:val="00B44FBE"/>
    <w:rsid w:val="00B44FC7"/>
    <w:rsid w:val="00B44FDC"/>
    <w:rsid w:val="00B4506C"/>
    <w:rsid w:val="00B45088"/>
    <w:rsid w:val="00B45164"/>
    <w:rsid w:val="00B45365"/>
    <w:rsid w:val="00B45443"/>
    <w:rsid w:val="00B4547A"/>
    <w:rsid w:val="00B45523"/>
    <w:rsid w:val="00B45526"/>
    <w:rsid w:val="00B45570"/>
    <w:rsid w:val="00B4558A"/>
    <w:rsid w:val="00B455A4"/>
    <w:rsid w:val="00B45684"/>
    <w:rsid w:val="00B456AC"/>
    <w:rsid w:val="00B4573D"/>
    <w:rsid w:val="00B45823"/>
    <w:rsid w:val="00B45826"/>
    <w:rsid w:val="00B458E1"/>
    <w:rsid w:val="00B459B0"/>
    <w:rsid w:val="00B45A2E"/>
    <w:rsid w:val="00B45A47"/>
    <w:rsid w:val="00B45C25"/>
    <w:rsid w:val="00B45CFB"/>
    <w:rsid w:val="00B45DAC"/>
    <w:rsid w:val="00B45E19"/>
    <w:rsid w:val="00B45F09"/>
    <w:rsid w:val="00B45F2A"/>
    <w:rsid w:val="00B45F5C"/>
    <w:rsid w:val="00B46044"/>
    <w:rsid w:val="00B4606C"/>
    <w:rsid w:val="00B460BF"/>
    <w:rsid w:val="00B461CF"/>
    <w:rsid w:val="00B462FD"/>
    <w:rsid w:val="00B463A3"/>
    <w:rsid w:val="00B464DF"/>
    <w:rsid w:val="00B46601"/>
    <w:rsid w:val="00B46612"/>
    <w:rsid w:val="00B466BA"/>
    <w:rsid w:val="00B4677F"/>
    <w:rsid w:val="00B467A1"/>
    <w:rsid w:val="00B46890"/>
    <w:rsid w:val="00B46896"/>
    <w:rsid w:val="00B46A03"/>
    <w:rsid w:val="00B46B2F"/>
    <w:rsid w:val="00B46C2C"/>
    <w:rsid w:val="00B46CCE"/>
    <w:rsid w:val="00B47051"/>
    <w:rsid w:val="00B4713E"/>
    <w:rsid w:val="00B47176"/>
    <w:rsid w:val="00B47198"/>
    <w:rsid w:val="00B47288"/>
    <w:rsid w:val="00B47323"/>
    <w:rsid w:val="00B47502"/>
    <w:rsid w:val="00B475AC"/>
    <w:rsid w:val="00B47607"/>
    <w:rsid w:val="00B47921"/>
    <w:rsid w:val="00B47AC7"/>
    <w:rsid w:val="00B47AC8"/>
    <w:rsid w:val="00B47B0E"/>
    <w:rsid w:val="00B47E3C"/>
    <w:rsid w:val="00B47F37"/>
    <w:rsid w:val="00B47FAB"/>
    <w:rsid w:val="00B47FF5"/>
    <w:rsid w:val="00B50082"/>
    <w:rsid w:val="00B5035B"/>
    <w:rsid w:val="00B5038A"/>
    <w:rsid w:val="00B503EC"/>
    <w:rsid w:val="00B5040F"/>
    <w:rsid w:val="00B50436"/>
    <w:rsid w:val="00B5048D"/>
    <w:rsid w:val="00B5052A"/>
    <w:rsid w:val="00B505EC"/>
    <w:rsid w:val="00B505FB"/>
    <w:rsid w:val="00B50726"/>
    <w:rsid w:val="00B50772"/>
    <w:rsid w:val="00B507BF"/>
    <w:rsid w:val="00B50A3E"/>
    <w:rsid w:val="00B50A6A"/>
    <w:rsid w:val="00B50C34"/>
    <w:rsid w:val="00B50C4C"/>
    <w:rsid w:val="00B50CC0"/>
    <w:rsid w:val="00B50D15"/>
    <w:rsid w:val="00B50EE7"/>
    <w:rsid w:val="00B50F65"/>
    <w:rsid w:val="00B50FD6"/>
    <w:rsid w:val="00B51008"/>
    <w:rsid w:val="00B5102A"/>
    <w:rsid w:val="00B51038"/>
    <w:rsid w:val="00B5111E"/>
    <w:rsid w:val="00B511B1"/>
    <w:rsid w:val="00B5120A"/>
    <w:rsid w:val="00B51301"/>
    <w:rsid w:val="00B51433"/>
    <w:rsid w:val="00B514F7"/>
    <w:rsid w:val="00B515E0"/>
    <w:rsid w:val="00B51610"/>
    <w:rsid w:val="00B5176B"/>
    <w:rsid w:val="00B518C8"/>
    <w:rsid w:val="00B51983"/>
    <w:rsid w:val="00B51CB3"/>
    <w:rsid w:val="00B51CF3"/>
    <w:rsid w:val="00B51CF5"/>
    <w:rsid w:val="00B51D0B"/>
    <w:rsid w:val="00B51DAA"/>
    <w:rsid w:val="00B51DBB"/>
    <w:rsid w:val="00B51DEA"/>
    <w:rsid w:val="00B51E86"/>
    <w:rsid w:val="00B51F01"/>
    <w:rsid w:val="00B520A9"/>
    <w:rsid w:val="00B52286"/>
    <w:rsid w:val="00B52552"/>
    <w:rsid w:val="00B525A9"/>
    <w:rsid w:val="00B525E5"/>
    <w:rsid w:val="00B527D2"/>
    <w:rsid w:val="00B52841"/>
    <w:rsid w:val="00B5287C"/>
    <w:rsid w:val="00B5289A"/>
    <w:rsid w:val="00B52928"/>
    <w:rsid w:val="00B529A3"/>
    <w:rsid w:val="00B52A11"/>
    <w:rsid w:val="00B52A29"/>
    <w:rsid w:val="00B52B51"/>
    <w:rsid w:val="00B52B9F"/>
    <w:rsid w:val="00B52BD0"/>
    <w:rsid w:val="00B52CD4"/>
    <w:rsid w:val="00B52D06"/>
    <w:rsid w:val="00B52D55"/>
    <w:rsid w:val="00B52E64"/>
    <w:rsid w:val="00B52E73"/>
    <w:rsid w:val="00B52E8D"/>
    <w:rsid w:val="00B52EDE"/>
    <w:rsid w:val="00B52F09"/>
    <w:rsid w:val="00B52F4C"/>
    <w:rsid w:val="00B5303A"/>
    <w:rsid w:val="00B530A9"/>
    <w:rsid w:val="00B532E8"/>
    <w:rsid w:val="00B53304"/>
    <w:rsid w:val="00B53310"/>
    <w:rsid w:val="00B53326"/>
    <w:rsid w:val="00B53393"/>
    <w:rsid w:val="00B533E1"/>
    <w:rsid w:val="00B5349B"/>
    <w:rsid w:val="00B534F6"/>
    <w:rsid w:val="00B53567"/>
    <w:rsid w:val="00B5359A"/>
    <w:rsid w:val="00B535CE"/>
    <w:rsid w:val="00B535D3"/>
    <w:rsid w:val="00B53607"/>
    <w:rsid w:val="00B536F7"/>
    <w:rsid w:val="00B53ABE"/>
    <w:rsid w:val="00B53CE8"/>
    <w:rsid w:val="00B53D39"/>
    <w:rsid w:val="00B53D58"/>
    <w:rsid w:val="00B53E77"/>
    <w:rsid w:val="00B53EA1"/>
    <w:rsid w:val="00B53EEB"/>
    <w:rsid w:val="00B53FCA"/>
    <w:rsid w:val="00B54017"/>
    <w:rsid w:val="00B54055"/>
    <w:rsid w:val="00B5409C"/>
    <w:rsid w:val="00B5413C"/>
    <w:rsid w:val="00B54387"/>
    <w:rsid w:val="00B543DE"/>
    <w:rsid w:val="00B543EA"/>
    <w:rsid w:val="00B543EC"/>
    <w:rsid w:val="00B54426"/>
    <w:rsid w:val="00B54533"/>
    <w:rsid w:val="00B54563"/>
    <w:rsid w:val="00B5456B"/>
    <w:rsid w:val="00B5470C"/>
    <w:rsid w:val="00B5489D"/>
    <w:rsid w:val="00B548B6"/>
    <w:rsid w:val="00B548BA"/>
    <w:rsid w:val="00B548DA"/>
    <w:rsid w:val="00B5497D"/>
    <w:rsid w:val="00B54AFF"/>
    <w:rsid w:val="00B54B2D"/>
    <w:rsid w:val="00B54C67"/>
    <w:rsid w:val="00B54CDB"/>
    <w:rsid w:val="00B54CE5"/>
    <w:rsid w:val="00B54CEA"/>
    <w:rsid w:val="00B54E19"/>
    <w:rsid w:val="00B54E3C"/>
    <w:rsid w:val="00B54E59"/>
    <w:rsid w:val="00B54F08"/>
    <w:rsid w:val="00B54F64"/>
    <w:rsid w:val="00B5500E"/>
    <w:rsid w:val="00B553C9"/>
    <w:rsid w:val="00B554DD"/>
    <w:rsid w:val="00B554FA"/>
    <w:rsid w:val="00B55628"/>
    <w:rsid w:val="00B556DC"/>
    <w:rsid w:val="00B556E6"/>
    <w:rsid w:val="00B55801"/>
    <w:rsid w:val="00B5580B"/>
    <w:rsid w:val="00B55843"/>
    <w:rsid w:val="00B5585D"/>
    <w:rsid w:val="00B55871"/>
    <w:rsid w:val="00B55897"/>
    <w:rsid w:val="00B55928"/>
    <w:rsid w:val="00B55929"/>
    <w:rsid w:val="00B55A9A"/>
    <w:rsid w:val="00B55B2E"/>
    <w:rsid w:val="00B55B7D"/>
    <w:rsid w:val="00B55B7E"/>
    <w:rsid w:val="00B55BE2"/>
    <w:rsid w:val="00B55C18"/>
    <w:rsid w:val="00B55C28"/>
    <w:rsid w:val="00B55C73"/>
    <w:rsid w:val="00B55C93"/>
    <w:rsid w:val="00B55D02"/>
    <w:rsid w:val="00B55D1D"/>
    <w:rsid w:val="00B55DC8"/>
    <w:rsid w:val="00B55E26"/>
    <w:rsid w:val="00B55F05"/>
    <w:rsid w:val="00B5608E"/>
    <w:rsid w:val="00B5616E"/>
    <w:rsid w:val="00B561F0"/>
    <w:rsid w:val="00B56283"/>
    <w:rsid w:val="00B5628A"/>
    <w:rsid w:val="00B5635D"/>
    <w:rsid w:val="00B5638C"/>
    <w:rsid w:val="00B56390"/>
    <w:rsid w:val="00B5639C"/>
    <w:rsid w:val="00B563CB"/>
    <w:rsid w:val="00B56487"/>
    <w:rsid w:val="00B564A1"/>
    <w:rsid w:val="00B56502"/>
    <w:rsid w:val="00B56515"/>
    <w:rsid w:val="00B5651F"/>
    <w:rsid w:val="00B5680B"/>
    <w:rsid w:val="00B5686D"/>
    <w:rsid w:val="00B56961"/>
    <w:rsid w:val="00B56B68"/>
    <w:rsid w:val="00B56BD2"/>
    <w:rsid w:val="00B56C52"/>
    <w:rsid w:val="00B56CB7"/>
    <w:rsid w:val="00B56CFD"/>
    <w:rsid w:val="00B56D25"/>
    <w:rsid w:val="00B56DAF"/>
    <w:rsid w:val="00B56FB9"/>
    <w:rsid w:val="00B5711E"/>
    <w:rsid w:val="00B571D7"/>
    <w:rsid w:val="00B57242"/>
    <w:rsid w:val="00B5725C"/>
    <w:rsid w:val="00B572B1"/>
    <w:rsid w:val="00B572C4"/>
    <w:rsid w:val="00B572E7"/>
    <w:rsid w:val="00B5735C"/>
    <w:rsid w:val="00B57378"/>
    <w:rsid w:val="00B573E4"/>
    <w:rsid w:val="00B574A8"/>
    <w:rsid w:val="00B57506"/>
    <w:rsid w:val="00B57559"/>
    <w:rsid w:val="00B57581"/>
    <w:rsid w:val="00B576DF"/>
    <w:rsid w:val="00B577A5"/>
    <w:rsid w:val="00B57842"/>
    <w:rsid w:val="00B578A6"/>
    <w:rsid w:val="00B578F2"/>
    <w:rsid w:val="00B57985"/>
    <w:rsid w:val="00B579E9"/>
    <w:rsid w:val="00B579F3"/>
    <w:rsid w:val="00B57A69"/>
    <w:rsid w:val="00B57BBE"/>
    <w:rsid w:val="00B57BE0"/>
    <w:rsid w:val="00B57BEA"/>
    <w:rsid w:val="00B57CB4"/>
    <w:rsid w:val="00B57D6E"/>
    <w:rsid w:val="00B57DA0"/>
    <w:rsid w:val="00B57DC5"/>
    <w:rsid w:val="00B57EB0"/>
    <w:rsid w:val="00B57F5E"/>
    <w:rsid w:val="00B600D2"/>
    <w:rsid w:val="00B600FD"/>
    <w:rsid w:val="00B601BF"/>
    <w:rsid w:val="00B60292"/>
    <w:rsid w:val="00B602CC"/>
    <w:rsid w:val="00B60372"/>
    <w:rsid w:val="00B604D2"/>
    <w:rsid w:val="00B604FD"/>
    <w:rsid w:val="00B60506"/>
    <w:rsid w:val="00B60679"/>
    <w:rsid w:val="00B6070A"/>
    <w:rsid w:val="00B607B8"/>
    <w:rsid w:val="00B608F7"/>
    <w:rsid w:val="00B60968"/>
    <w:rsid w:val="00B60B21"/>
    <w:rsid w:val="00B60B32"/>
    <w:rsid w:val="00B60B74"/>
    <w:rsid w:val="00B60D09"/>
    <w:rsid w:val="00B60D8F"/>
    <w:rsid w:val="00B60E71"/>
    <w:rsid w:val="00B60ECC"/>
    <w:rsid w:val="00B60F47"/>
    <w:rsid w:val="00B60F87"/>
    <w:rsid w:val="00B6106F"/>
    <w:rsid w:val="00B611B8"/>
    <w:rsid w:val="00B61212"/>
    <w:rsid w:val="00B61329"/>
    <w:rsid w:val="00B61421"/>
    <w:rsid w:val="00B6149E"/>
    <w:rsid w:val="00B61503"/>
    <w:rsid w:val="00B6151D"/>
    <w:rsid w:val="00B617A4"/>
    <w:rsid w:val="00B6196B"/>
    <w:rsid w:val="00B619E0"/>
    <w:rsid w:val="00B61A38"/>
    <w:rsid w:val="00B61A4F"/>
    <w:rsid w:val="00B61A8E"/>
    <w:rsid w:val="00B61C0D"/>
    <w:rsid w:val="00B61D8A"/>
    <w:rsid w:val="00B61DA6"/>
    <w:rsid w:val="00B61E36"/>
    <w:rsid w:val="00B61F49"/>
    <w:rsid w:val="00B61F79"/>
    <w:rsid w:val="00B61FBD"/>
    <w:rsid w:val="00B61FE9"/>
    <w:rsid w:val="00B6209B"/>
    <w:rsid w:val="00B6212C"/>
    <w:rsid w:val="00B62199"/>
    <w:rsid w:val="00B62206"/>
    <w:rsid w:val="00B6220E"/>
    <w:rsid w:val="00B623EC"/>
    <w:rsid w:val="00B62435"/>
    <w:rsid w:val="00B6244E"/>
    <w:rsid w:val="00B624A5"/>
    <w:rsid w:val="00B624CD"/>
    <w:rsid w:val="00B62503"/>
    <w:rsid w:val="00B62517"/>
    <w:rsid w:val="00B62666"/>
    <w:rsid w:val="00B6275A"/>
    <w:rsid w:val="00B62934"/>
    <w:rsid w:val="00B62963"/>
    <w:rsid w:val="00B62990"/>
    <w:rsid w:val="00B62B7A"/>
    <w:rsid w:val="00B62B82"/>
    <w:rsid w:val="00B62BC6"/>
    <w:rsid w:val="00B62BD6"/>
    <w:rsid w:val="00B62CA2"/>
    <w:rsid w:val="00B62D2D"/>
    <w:rsid w:val="00B62DC5"/>
    <w:rsid w:val="00B62E37"/>
    <w:rsid w:val="00B62E40"/>
    <w:rsid w:val="00B62F55"/>
    <w:rsid w:val="00B62F76"/>
    <w:rsid w:val="00B62FBE"/>
    <w:rsid w:val="00B62FDF"/>
    <w:rsid w:val="00B6305F"/>
    <w:rsid w:val="00B630AF"/>
    <w:rsid w:val="00B630B5"/>
    <w:rsid w:val="00B630CF"/>
    <w:rsid w:val="00B631AB"/>
    <w:rsid w:val="00B6326A"/>
    <w:rsid w:val="00B6330B"/>
    <w:rsid w:val="00B634B8"/>
    <w:rsid w:val="00B634D1"/>
    <w:rsid w:val="00B6353D"/>
    <w:rsid w:val="00B63608"/>
    <w:rsid w:val="00B63734"/>
    <w:rsid w:val="00B637C8"/>
    <w:rsid w:val="00B637D8"/>
    <w:rsid w:val="00B63811"/>
    <w:rsid w:val="00B63837"/>
    <w:rsid w:val="00B6387A"/>
    <w:rsid w:val="00B638B8"/>
    <w:rsid w:val="00B6398A"/>
    <w:rsid w:val="00B639A4"/>
    <w:rsid w:val="00B639E3"/>
    <w:rsid w:val="00B63A6F"/>
    <w:rsid w:val="00B63A7A"/>
    <w:rsid w:val="00B63AB9"/>
    <w:rsid w:val="00B63AFD"/>
    <w:rsid w:val="00B63B98"/>
    <w:rsid w:val="00B63BF7"/>
    <w:rsid w:val="00B63C43"/>
    <w:rsid w:val="00B63CBD"/>
    <w:rsid w:val="00B63D47"/>
    <w:rsid w:val="00B63D50"/>
    <w:rsid w:val="00B63F41"/>
    <w:rsid w:val="00B63F8B"/>
    <w:rsid w:val="00B64083"/>
    <w:rsid w:val="00B640A5"/>
    <w:rsid w:val="00B640CA"/>
    <w:rsid w:val="00B64126"/>
    <w:rsid w:val="00B641E4"/>
    <w:rsid w:val="00B64246"/>
    <w:rsid w:val="00B64274"/>
    <w:rsid w:val="00B6429D"/>
    <w:rsid w:val="00B64491"/>
    <w:rsid w:val="00B644D6"/>
    <w:rsid w:val="00B644FE"/>
    <w:rsid w:val="00B6457C"/>
    <w:rsid w:val="00B646E4"/>
    <w:rsid w:val="00B64703"/>
    <w:rsid w:val="00B64706"/>
    <w:rsid w:val="00B647D6"/>
    <w:rsid w:val="00B64835"/>
    <w:rsid w:val="00B64A40"/>
    <w:rsid w:val="00B64AE4"/>
    <w:rsid w:val="00B64B4C"/>
    <w:rsid w:val="00B64D56"/>
    <w:rsid w:val="00B64D76"/>
    <w:rsid w:val="00B64E6A"/>
    <w:rsid w:val="00B64FA7"/>
    <w:rsid w:val="00B650E6"/>
    <w:rsid w:val="00B651E0"/>
    <w:rsid w:val="00B65226"/>
    <w:rsid w:val="00B652F1"/>
    <w:rsid w:val="00B65339"/>
    <w:rsid w:val="00B65372"/>
    <w:rsid w:val="00B653C3"/>
    <w:rsid w:val="00B657C1"/>
    <w:rsid w:val="00B657DF"/>
    <w:rsid w:val="00B65849"/>
    <w:rsid w:val="00B65A14"/>
    <w:rsid w:val="00B65A4C"/>
    <w:rsid w:val="00B65AA8"/>
    <w:rsid w:val="00B65AEA"/>
    <w:rsid w:val="00B65B38"/>
    <w:rsid w:val="00B65BAA"/>
    <w:rsid w:val="00B65BB9"/>
    <w:rsid w:val="00B65BDA"/>
    <w:rsid w:val="00B65BEB"/>
    <w:rsid w:val="00B65BFC"/>
    <w:rsid w:val="00B65C82"/>
    <w:rsid w:val="00B65D2C"/>
    <w:rsid w:val="00B65D7B"/>
    <w:rsid w:val="00B65DF0"/>
    <w:rsid w:val="00B66047"/>
    <w:rsid w:val="00B66062"/>
    <w:rsid w:val="00B66068"/>
    <w:rsid w:val="00B66160"/>
    <w:rsid w:val="00B661F3"/>
    <w:rsid w:val="00B6620F"/>
    <w:rsid w:val="00B66383"/>
    <w:rsid w:val="00B664F7"/>
    <w:rsid w:val="00B665ED"/>
    <w:rsid w:val="00B66725"/>
    <w:rsid w:val="00B668DC"/>
    <w:rsid w:val="00B6693B"/>
    <w:rsid w:val="00B669C0"/>
    <w:rsid w:val="00B66C35"/>
    <w:rsid w:val="00B66C6A"/>
    <w:rsid w:val="00B66DB7"/>
    <w:rsid w:val="00B66E06"/>
    <w:rsid w:val="00B66EDA"/>
    <w:rsid w:val="00B66EF9"/>
    <w:rsid w:val="00B66F1F"/>
    <w:rsid w:val="00B66F6D"/>
    <w:rsid w:val="00B67047"/>
    <w:rsid w:val="00B6715F"/>
    <w:rsid w:val="00B67370"/>
    <w:rsid w:val="00B673A0"/>
    <w:rsid w:val="00B6740A"/>
    <w:rsid w:val="00B6740D"/>
    <w:rsid w:val="00B67465"/>
    <w:rsid w:val="00B674A4"/>
    <w:rsid w:val="00B67553"/>
    <w:rsid w:val="00B67591"/>
    <w:rsid w:val="00B675F9"/>
    <w:rsid w:val="00B6767A"/>
    <w:rsid w:val="00B676DE"/>
    <w:rsid w:val="00B67704"/>
    <w:rsid w:val="00B6791B"/>
    <w:rsid w:val="00B67971"/>
    <w:rsid w:val="00B67995"/>
    <w:rsid w:val="00B67A0F"/>
    <w:rsid w:val="00B67AB4"/>
    <w:rsid w:val="00B67AE1"/>
    <w:rsid w:val="00B67B05"/>
    <w:rsid w:val="00B67B46"/>
    <w:rsid w:val="00B67B63"/>
    <w:rsid w:val="00B67BBC"/>
    <w:rsid w:val="00B67BDB"/>
    <w:rsid w:val="00B67C56"/>
    <w:rsid w:val="00B67D90"/>
    <w:rsid w:val="00B67D95"/>
    <w:rsid w:val="00B67DB9"/>
    <w:rsid w:val="00B67E11"/>
    <w:rsid w:val="00B67E72"/>
    <w:rsid w:val="00B67E8B"/>
    <w:rsid w:val="00B67ED0"/>
    <w:rsid w:val="00B67EF7"/>
    <w:rsid w:val="00B70009"/>
    <w:rsid w:val="00B7002C"/>
    <w:rsid w:val="00B70083"/>
    <w:rsid w:val="00B70233"/>
    <w:rsid w:val="00B70286"/>
    <w:rsid w:val="00B70465"/>
    <w:rsid w:val="00B70572"/>
    <w:rsid w:val="00B70588"/>
    <w:rsid w:val="00B70614"/>
    <w:rsid w:val="00B7064C"/>
    <w:rsid w:val="00B7065F"/>
    <w:rsid w:val="00B70682"/>
    <w:rsid w:val="00B7073B"/>
    <w:rsid w:val="00B70818"/>
    <w:rsid w:val="00B70847"/>
    <w:rsid w:val="00B70A38"/>
    <w:rsid w:val="00B70A5D"/>
    <w:rsid w:val="00B70B32"/>
    <w:rsid w:val="00B70B39"/>
    <w:rsid w:val="00B70B4A"/>
    <w:rsid w:val="00B70C6B"/>
    <w:rsid w:val="00B70CA5"/>
    <w:rsid w:val="00B70CEF"/>
    <w:rsid w:val="00B70D5F"/>
    <w:rsid w:val="00B70DE5"/>
    <w:rsid w:val="00B70DF2"/>
    <w:rsid w:val="00B70E1F"/>
    <w:rsid w:val="00B70F01"/>
    <w:rsid w:val="00B70F22"/>
    <w:rsid w:val="00B71055"/>
    <w:rsid w:val="00B71072"/>
    <w:rsid w:val="00B71138"/>
    <w:rsid w:val="00B71204"/>
    <w:rsid w:val="00B7128D"/>
    <w:rsid w:val="00B7140D"/>
    <w:rsid w:val="00B715B6"/>
    <w:rsid w:val="00B715C7"/>
    <w:rsid w:val="00B7160F"/>
    <w:rsid w:val="00B71665"/>
    <w:rsid w:val="00B716F0"/>
    <w:rsid w:val="00B7174C"/>
    <w:rsid w:val="00B717D8"/>
    <w:rsid w:val="00B71905"/>
    <w:rsid w:val="00B7197D"/>
    <w:rsid w:val="00B719B6"/>
    <w:rsid w:val="00B71A89"/>
    <w:rsid w:val="00B71AD7"/>
    <w:rsid w:val="00B71BCD"/>
    <w:rsid w:val="00B71BD1"/>
    <w:rsid w:val="00B71C6D"/>
    <w:rsid w:val="00B71D04"/>
    <w:rsid w:val="00B71E2E"/>
    <w:rsid w:val="00B71E3D"/>
    <w:rsid w:val="00B71E4D"/>
    <w:rsid w:val="00B71EAE"/>
    <w:rsid w:val="00B71F82"/>
    <w:rsid w:val="00B720AC"/>
    <w:rsid w:val="00B72229"/>
    <w:rsid w:val="00B7228A"/>
    <w:rsid w:val="00B7236F"/>
    <w:rsid w:val="00B72466"/>
    <w:rsid w:val="00B726BE"/>
    <w:rsid w:val="00B727F9"/>
    <w:rsid w:val="00B7284B"/>
    <w:rsid w:val="00B7288F"/>
    <w:rsid w:val="00B7299F"/>
    <w:rsid w:val="00B72B73"/>
    <w:rsid w:val="00B72B7A"/>
    <w:rsid w:val="00B72C16"/>
    <w:rsid w:val="00B72CBE"/>
    <w:rsid w:val="00B72CD9"/>
    <w:rsid w:val="00B72D46"/>
    <w:rsid w:val="00B72E38"/>
    <w:rsid w:val="00B72F0A"/>
    <w:rsid w:val="00B72F25"/>
    <w:rsid w:val="00B72F51"/>
    <w:rsid w:val="00B72F7C"/>
    <w:rsid w:val="00B73074"/>
    <w:rsid w:val="00B7307F"/>
    <w:rsid w:val="00B730D7"/>
    <w:rsid w:val="00B73148"/>
    <w:rsid w:val="00B73154"/>
    <w:rsid w:val="00B73194"/>
    <w:rsid w:val="00B73240"/>
    <w:rsid w:val="00B73259"/>
    <w:rsid w:val="00B73273"/>
    <w:rsid w:val="00B73302"/>
    <w:rsid w:val="00B73451"/>
    <w:rsid w:val="00B73467"/>
    <w:rsid w:val="00B734C4"/>
    <w:rsid w:val="00B734EE"/>
    <w:rsid w:val="00B73568"/>
    <w:rsid w:val="00B73635"/>
    <w:rsid w:val="00B736C4"/>
    <w:rsid w:val="00B73766"/>
    <w:rsid w:val="00B73882"/>
    <w:rsid w:val="00B738A7"/>
    <w:rsid w:val="00B738E8"/>
    <w:rsid w:val="00B738EA"/>
    <w:rsid w:val="00B73991"/>
    <w:rsid w:val="00B73ACC"/>
    <w:rsid w:val="00B73AFE"/>
    <w:rsid w:val="00B73BBE"/>
    <w:rsid w:val="00B73C5F"/>
    <w:rsid w:val="00B73E6F"/>
    <w:rsid w:val="00B73F12"/>
    <w:rsid w:val="00B73F4F"/>
    <w:rsid w:val="00B73F56"/>
    <w:rsid w:val="00B7405D"/>
    <w:rsid w:val="00B7409B"/>
    <w:rsid w:val="00B7409C"/>
    <w:rsid w:val="00B74186"/>
    <w:rsid w:val="00B74246"/>
    <w:rsid w:val="00B742D8"/>
    <w:rsid w:val="00B742F7"/>
    <w:rsid w:val="00B7434F"/>
    <w:rsid w:val="00B74452"/>
    <w:rsid w:val="00B745DF"/>
    <w:rsid w:val="00B7467D"/>
    <w:rsid w:val="00B7480B"/>
    <w:rsid w:val="00B74902"/>
    <w:rsid w:val="00B74914"/>
    <w:rsid w:val="00B7498C"/>
    <w:rsid w:val="00B749E4"/>
    <w:rsid w:val="00B74BCD"/>
    <w:rsid w:val="00B74C36"/>
    <w:rsid w:val="00B74C6E"/>
    <w:rsid w:val="00B74C75"/>
    <w:rsid w:val="00B74CE7"/>
    <w:rsid w:val="00B74D19"/>
    <w:rsid w:val="00B74D6D"/>
    <w:rsid w:val="00B74DDC"/>
    <w:rsid w:val="00B74E34"/>
    <w:rsid w:val="00B74E7C"/>
    <w:rsid w:val="00B74ED3"/>
    <w:rsid w:val="00B74F57"/>
    <w:rsid w:val="00B74F58"/>
    <w:rsid w:val="00B74F5E"/>
    <w:rsid w:val="00B74FA6"/>
    <w:rsid w:val="00B751BB"/>
    <w:rsid w:val="00B7529F"/>
    <w:rsid w:val="00B752B6"/>
    <w:rsid w:val="00B75330"/>
    <w:rsid w:val="00B753E3"/>
    <w:rsid w:val="00B75438"/>
    <w:rsid w:val="00B7546C"/>
    <w:rsid w:val="00B754AB"/>
    <w:rsid w:val="00B754E2"/>
    <w:rsid w:val="00B75739"/>
    <w:rsid w:val="00B75870"/>
    <w:rsid w:val="00B75925"/>
    <w:rsid w:val="00B759C6"/>
    <w:rsid w:val="00B75A05"/>
    <w:rsid w:val="00B75A53"/>
    <w:rsid w:val="00B75A9E"/>
    <w:rsid w:val="00B75B14"/>
    <w:rsid w:val="00B75B44"/>
    <w:rsid w:val="00B75BD2"/>
    <w:rsid w:val="00B75C32"/>
    <w:rsid w:val="00B75CA9"/>
    <w:rsid w:val="00B75D0B"/>
    <w:rsid w:val="00B75D1F"/>
    <w:rsid w:val="00B75D36"/>
    <w:rsid w:val="00B75D6C"/>
    <w:rsid w:val="00B75D96"/>
    <w:rsid w:val="00B75DD0"/>
    <w:rsid w:val="00B75F67"/>
    <w:rsid w:val="00B7600C"/>
    <w:rsid w:val="00B76042"/>
    <w:rsid w:val="00B76063"/>
    <w:rsid w:val="00B76091"/>
    <w:rsid w:val="00B7610D"/>
    <w:rsid w:val="00B76250"/>
    <w:rsid w:val="00B76327"/>
    <w:rsid w:val="00B764EC"/>
    <w:rsid w:val="00B765E8"/>
    <w:rsid w:val="00B76669"/>
    <w:rsid w:val="00B766A0"/>
    <w:rsid w:val="00B766F8"/>
    <w:rsid w:val="00B76749"/>
    <w:rsid w:val="00B76754"/>
    <w:rsid w:val="00B76864"/>
    <w:rsid w:val="00B76989"/>
    <w:rsid w:val="00B76A5D"/>
    <w:rsid w:val="00B76AAE"/>
    <w:rsid w:val="00B76ADA"/>
    <w:rsid w:val="00B76B4B"/>
    <w:rsid w:val="00B76CEB"/>
    <w:rsid w:val="00B76E92"/>
    <w:rsid w:val="00B76E9C"/>
    <w:rsid w:val="00B76EC3"/>
    <w:rsid w:val="00B76F29"/>
    <w:rsid w:val="00B76F77"/>
    <w:rsid w:val="00B76FBC"/>
    <w:rsid w:val="00B7713D"/>
    <w:rsid w:val="00B771B6"/>
    <w:rsid w:val="00B77209"/>
    <w:rsid w:val="00B7728B"/>
    <w:rsid w:val="00B772F3"/>
    <w:rsid w:val="00B772F4"/>
    <w:rsid w:val="00B77447"/>
    <w:rsid w:val="00B7753B"/>
    <w:rsid w:val="00B77638"/>
    <w:rsid w:val="00B77731"/>
    <w:rsid w:val="00B77873"/>
    <w:rsid w:val="00B778C2"/>
    <w:rsid w:val="00B77A27"/>
    <w:rsid w:val="00B77B5F"/>
    <w:rsid w:val="00B77CF6"/>
    <w:rsid w:val="00B77D25"/>
    <w:rsid w:val="00B77D6E"/>
    <w:rsid w:val="00B77F0A"/>
    <w:rsid w:val="00B77F74"/>
    <w:rsid w:val="00B77FB1"/>
    <w:rsid w:val="00B77FCA"/>
    <w:rsid w:val="00B77FED"/>
    <w:rsid w:val="00B80021"/>
    <w:rsid w:val="00B80037"/>
    <w:rsid w:val="00B80085"/>
    <w:rsid w:val="00B80152"/>
    <w:rsid w:val="00B80158"/>
    <w:rsid w:val="00B8016B"/>
    <w:rsid w:val="00B80184"/>
    <w:rsid w:val="00B80250"/>
    <w:rsid w:val="00B802A6"/>
    <w:rsid w:val="00B802DC"/>
    <w:rsid w:val="00B8033F"/>
    <w:rsid w:val="00B80406"/>
    <w:rsid w:val="00B80466"/>
    <w:rsid w:val="00B804A2"/>
    <w:rsid w:val="00B80513"/>
    <w:rsid w:val="00B8051B"/>
    <w:rsid w:val="00B806A4"/>
    <w:rsid w:val="00B80708"/>
    <w:rsid w:val="00B80723"/>
    <w:rsid w:val="00B807B9"/>
    <w:rsid w:val="00B807F2"/>
    <w:rsid w:val="00B80806"/>
    <w:rsid w:val="00B80B19"/>
    <w:rsid w:val="00B80B21"/>
    <w:rsid w:val="00B80C57"/>
    <w:rsid w:val="00B80CE0"/>
    <w:rsid w:val="00B80EEC"/>
    <w:rsid w:val="00B80EF2"/>
    <w:rsid w:val="00B80F38"/>
    <w:rsid w:val="00B810A4"/>
    <w:rsid w:val="00B810ED"/>
    <w:rsid w:val="00B810EE"/>
    <w:rsid w:val="00B81126"/>
    <w:rsid w:val="00B81165"/>
    <w:rsid w:val="00B812F7"/>
    <w:rsid w:val="00B81303"/>
    <w:rsid w:val="00B8130B"/>
    <w:rsid w:val="00B81319"/>
    <w:rsid w:val="00B8136D"/>
    <w:rsid w:val="00B814B7"/>
    <w:rsid w:val="00B81643"/>
    <w:rsid w:val="00B81654"/>
    <w:rsid w:val="00B8165E"/>
    <w:rsid w:val="00B8174A"/>
    <w:rsid w:val="00B8175B"/>
    <w:rsid w:val="00B81762"/>
    <w:rsid w:val="00B8179A"/>
    <w:rsid w:val="00B817AF"/>
    <w:rsid w:val="00B81877"/>
    <w:rsid w:val="00B818CD"/>
    <w:rsid w:val="00B818E3"/>
    <w:rsid w:val="00B8199B"/>
    <w:rsid w:val="00B819E5"/>
    <w:rsid w:val="00B819F3"/>
    <w:rsid w:val="00B81A43"/>
    <w:rsid w:val="00B81A44"/>
    <w:rsid w:val="00B81A87"/>
    <w:rsid w:val="00B81AA3"/>
    <w:rsid w:val="00B81B53"/>
    <w:rsid w:val="00B81BFB"/>
    <w:rsid w:val="00B81D22"/>
    <w:rsid w:val="00B81D99"/>
    <w:rsid w:val="00B81D9F"/>
    <w:rsid w:val="00B81DC2"/>
    <w:rsid w:val="00B81DD1"/>
    <w:rsid w:val="00B81DDC"/>
    <w:rsid w:val="00B81E31"/>
    <w:rsid w:val="00B81EA1"/>
    <w:rsid w:val="00B81EAC"/>
    <w:rsid w:val="00B81EB0"/>
    <w:rsid w:val="00B81FA3"/>
    <w:rsid w:val="00B8208E"/>
    <w:rsid w:val="00B82128"/>
    <w:rsid w:val="00B8220B"/>
    <w:rsid w:val="00B8227D"/>
    <w:rsid w:val="00B82366"/>
    <w:rsid w:val="00B82471"/>
    <w:rsid w:val="00B824B9"/>
    <w:rsid w:val="00B824C5"/>
    <w:rsid w:val="00B824CC"/>
    <w:rsid w:val="00B824D5"/>
    <w:rsid w:val="00B82505"/>
    <w:rsid w:val="00B82519"/>
    <w:rsid w:val="00B8272B"/>
    <w:rsid w:val="00B8273D"/>
    <w:rsid w:val="00B82744"/>
    <w:rsid w:val="00B82834"/>
    <w:rsid w:val="00B828CE"/>
    <w:rsid w:val="00B828D3"/>
    <w:rsid w:val="00B8291E"/>
    <w:rsid w:val="00B82949"/>
    <w:rsid w:val="00B8296F"/>
    <w:rsid w:val="00B829FA"/>
    <w:rsid w:val="00B82AD4"/>
    <w:rsid w:val="00B82B0D"/>
    <w:rsid w:val="00B82B1B"/>
    <w:rsid w:val="00B82C89"/>
    <w:rsid w:val="00B82ECF"/>
    <w:rsid w:val="00B82F61"/>
    <w:rsid w:val="00B830FC"/>
    <w:rsid w:val="00B831D5"/>
    <w:rsid w:val="00B8322C"/>
    <w:rsid w:val="00B832ED"/>
    <w:rsid w:val="00B8336B"/>
    <w:rsid w:val="00B83415"/>
    <w:rsid w:val="00B83470"/>
    <w:rsid w:val="00B834D3"/>
    <w:rsid w:val="00B834EA"/>
    <w:rsid w:val="00B83540"/>
    <w:rsid w:val="00B83549"/>
    <w:rsid w:val="00B836A9"/>
    <w:rsid w:val="00B837C7"/>
    <w:rsid w:val="00B83848"/>
    <w:rsid w:val="00B8386A"/>
    <w:rsid w:val="00B83874"/>
    <w:rsid w:val="00B83886"/>
    <w:rsid w:val="00B83AD8"/>
    <w:rsid w:val="00B83C96"/>
    <w:rsid w:val="00B83EAB"/>
    <w:rsid w:val="00B83EFA"/>
    <w:rsid w:val="00B83F0B"/>
    <w:rsid w:val="00B83F1C"/>
    <w:rsid w:val="00B83F7B"/>
    <w:rsid w:val="00B83FDC"/>
    <w:rsid w:val="00B84053"/>
    <w:rsid w:val="00B8409C"/>
    <w:rsid w:val="00B84193"/>
    <w:rsid w:val="00B84288"/>
    <w:rsid w:val="00B84393"/>
    <w:rsid w:val="00B843C5"/>
    <w:rsid w:val="00B843E7"/>
    <w:rsid w:val="00B845E9"/>
    <w:rsid w:val="00B846B8"/>
    <w:rsid w:val="00B84747"/>
    <w:rsid w:val="00B84805"/>
    <w:rsid w:val="00B8485A"/>
    <w:rsid w:val="00B84878"/>
    <w:rsid w:val="00B849A0"/>
    <w:rsid w:val="00B849EF"/>
    <w:rsid w:val="00B84A89"/>
    <w:rsid w:val="00B84AED"/>
    <w:rsid w:val="00B84B22"/>
    <w:rsid w:val="00B84BE9"/>
    <w:rsid w:val="00B84C8D"/>
    <w:rsid w:val="00B84D6B"/>
    <w:rsid w:val="00B84DE9"/>
    <w:rsid w:val="00B84FB4"/>
    <w:rsid w:val="00B8500B"/>
    <w:rsid w:val="00B8503F"/>
    <w:rsid w:val="00B8508A"/>
    <w:rsid w:val="00B85186"/>
    <w:rsid w:val="00B851B3"/>
    <w:rsid w:val="00B851C5"/>
    <w:rsid w:val="00B85339"/>
    <w:rsid w:val="00B8538E"/>
    <w:rsid w:val="00B853C0"/>
    <w:rsid w:val="00B855C1"/>
    <w:rsid w:val="00B855E7"/>
    <w:rsid w:val="00B8561B"/>
    <w:rsid w:val="00B85640"/>
    <w:rsid w:val="00B85676"/>
    <w:rsid w:val="00B85730"/>
    <w:rsid w:val="00B85762"/>
    <w:rsid w:val="00B857CD"/>
    <w:rsid w:val="00B8582F"/>
    <w:rsid w:val="00B8585E"/>
    <w:rsid w:val="00B85861"/>
    <w:rsid w:val="00B858A4"/>
    <w:rsid w:val="00B8591D"/>
    <w:rsid w:val="00B85926"/>
    <w:rsid w:val="00B859A9"/>
    <w:rsid w:val="00B859D0"/>
    <w:rsid w:val="00B85A87"/>
    <w:rsid w:val="00B85A9E"/>
    <w:rsid w:val="00B85AA0"/>
    <w:rsid w:val="00B85C03"/>
    <w:rsid w:val="00B85CDF"/>
    <w:rsid w:val="00B85DE0"/>
    <w:rsid w:val="00B85DFB"/>
    <w:rsid w:val="00B85E0A"/>
    <w:rsid w:val="00B85FDB"/>
    <w:rsid w:val="00B860BB"/>
    <w:rsid w:val="00B86120"/>
    <w:rsid w:val="00B8613F"/>
    <w:rsid w:val="00B861AD"/>
    <w:rsid w:val="00B86214"/>
    <w:rsid w:val="00B86273"/>
    <w:rsid w:val="00B862E6"/>
    <w:rsid w:val="00B8631F"/>
    <w:rsid w:val="00B8636F"/>
    <w:rsid w:val="00B86429"/>
    <w:rsid w:val="00B864E0"/>
    <w:rsid w:val="00B864E1"/>
    <w:rsid w:val="00B865CD"/>
    <w:rsid w:val="00B8667F"/>
    <w:rsid w:val="00B86900"/>
    <w:rsid w:val="00B8699A"/>
    <w:rsid w:val="00B869B4"/>
    <w:rsid w:val="00B86AC4"/>
    <w:rsid w:val="00B86AC5"/>
    <w:rsid w:val="00B86B41"/>
    <w:rsid w:val="00B86C7F"/>
    <w:rsid w:val="00B86D4C"/>
    <w:rsid w:val="00B86F46"/>
    <w:rsid w:val="00B87048"/>
    <w:rsid w:val="00B8709D"/>
    <w:rsid w:val="00B870A0"/>
    <w:rsid w:val="00B87147"/>
    <w:rsid w:val="00B871C9"/>
    <w:rsid w:val="00B871DC"/>
    <w:rsid w:val="00B87319"/>
    <w:rsid w:val="00B87320"/>
    <w:rsid w:val="00B87334"/>
    <w:rsid w:val="00B873A3"/>
    <w:rsid w:val="00B873F0"/>
    <w:rsid w:val="00B87456"/>
    <w:rsid w:val="00B874C3"/>
    <w:rsid w:val="00B874E1"/>
    <w:rsid w:val="00B8764E"/>
    <w:rsid w:val="00B87742"/>
    <w:rsid w:val="00B878A7"/>
    <w:rsid w:val="00B878F4"/>
    <w:rsid w:val="00B8792E"/>
    <w:rsid w:val="00B879C8"/>
    <w:rsid w:val="00B87E9E"/>
    <w:rsid w:val="00B87EF4"/>
    <w:rsid w:val="00B900CA"/>
    <w:rsid w:val="00B900D2"/>
    <w:rsid w:val="00B90111"/>
    <w:rsid w:val="00B90155"/>
    <w:rsid w:val="00B9024C"/>
    <w:rsid w:val="00B902F6"/>
    <w:rsid w:val="00B90335"/>
    <w:rsid w:val="00B9036E"/>
    <w:rsid w:val="00B90469"/>
    <w:rsid w:val="00B9046C"/>
    <w:rsid w:val="00B9050E"/>
    <w:rsid w:val="00B905F7"/>
    <w:rsid w:val="00B90697"/>
    <w:rsid w:val="00B906DD"/>
    <w:rsid w:val="00B90709"/>
    <w:rsid w:val="00B9071A"/>
    <w:rsid w:val="00B90751"/>
    <w:rsid w:val="00B907D4"/>
    <w:rsid w:val="00B90829"/>
    <w:rsid w:val="00B90A13"/>
    <w:rsid w:val="00B90A5A"/>
    <w:rsid w:val="00B90AA1"/>
    <w:rsid w:val="00B90AE2"/>
    <w:rsid w:val="00B90DC8"/>
    <w:rsid w:val="00B90DD4"/>
    <w:rsid w:val="00B90E9F"/>
    <w:rsid w:val="00B90F1F"/>
    <w:rsid w:val="00B91014"/>
    <w:rsid w:val="00B91018"/>
    <w:rsid w:val="00B91153"/>
    <w:rsid w:val="00B911FF"/>
    <w:rsid w:val="00B91315"/>
    <w:rsid w:val="00B9131B"/>
    <w:rsid w:val="00B9137F"/>
    <w:rsid w:val="00B913D1"/>
    <w:rsid w:val="00B9152D"/>
    <w:rsid w:val="00B9164B"/>
    <w:rsid w:val="00B916D3"/>
    <w:rsid w:val="00B91739"/>
    <w:rsid w:val="00B9174A"/>
    <w:rsid w:val="00B917CE"/>
    <w:rsid w:val="00B9190A"/>
    <w:rsid w:val="00B9192D"/>
    <w:rsid w:val="00B91A7E"/>
    <w:rsid w:val="00B91AD5"/>
    <w:rsid w:val="00B91D1C"/>
    <w:rsid w:val="00B91D25"/>
    <w:rsid w:val="00B91E03"/>
    <w:rsid w:val="00B91E73"/>
    <w:rsid w:val="00B91E9E"/>
    <w:rsid w:val="00B91F44"/>
    <w:rsid w:val="00B91F82"/>
    <w:rsid w:val="00B91F9C"/>
    <w:rsid w:val="00B9204F"/>
    <w:rsid w:val="00B9205B"/>
    <w:rsid w:val="00B92079"/>
    <w:rsid w:val="00B921B1"/>
    <w:rsid w:val="00B92291"/>
    <w:rsid w:val="00B92319"/>
    <w:rsid w:val="00B9239B"/>
    <w:rsid w:val="00B923F3"/>
    <w:rsid w:val="00B92427"/>
    <w:rsid w:val="00B92540"/>
    <w:rsid w:val="00B9257A"/>
    <w:rsid w:val="00B92588"/>
    <w:rsid w:val="00B9283F"/>
    <w:rsid w:val="00B928A4"/>
    <w:rsid w:val="00B92910"/>
    <w:rsid w:val="00B929E7"/>
    <w:rsid w:val="00B929FB"/>
    <w:rsid w:val="00B92A14"/>
    <w:rsid w:val="00B92A20"/>
    <w:rsid w:val="00B92A76"/>
    <w:rsid w:val="00B92B7B"/>
    <w:rsid w:val="00B92BB3"/>
    <w:rsid w:val="00B92C20"/>
    <w:rsid w:val="00B92D72"/>
    <w:rsid w:val="00B92D7D"/>
    <w:rsid w:val="00B92DAC"/>
    <w:rsid w:val="00B92E5F"/>
    <w:rsid w:val="00B92EC3"/>
    <w:rsid w:val="00B92FCE"/>
    <w:rsid w:val="00B9302B"/>
    <w:rsid w:val="00B9309E"/>
    <w:rsid w:val="00B930AD"/>
    <w:rsid w:val="00B930F3"/>
    <w:rsid w:val="00B93128"/>
    <w:rsid w:val="00B93213"/>
    <w:rsid w:val="00B93265"/>
    <w:rsid w:val="00B93327"/>
    <w:rsid w:val="00B9334D"/>
    <w:rsid w:val="00B93367"/>
    <w:rsid w:val="00B93447"/>
    <w:rsid w:val="00B93476"/>
    <w:rsid w:val="00B934C8"/>
    <w:rsid w:val="00B93539"/>
    <w:rsid w:val="00B93627"/>
    <w:rsid w:val="00B93675"/>
    <w:rsid w:val="00B936C3"/>
    <w:rsid w:val="00B9372F"/>
    <w:rsid w:val="00B938CD"/>
    <w:rsid w:val="00B938E4"/>
    <w:rsid w:val="00B939BB"/>
    <w:rsid w:val="00B939DE"/>
    <w:rsid w:val="00B93C7E"/>
    <w:rsid w:val="00B93D4F"/>
    <w:rsid w:val="00B93D8B"/>
    <w:rsid w:val="00B93EB2"/>
    <w:rsid w:val="00B93EF6"/>
    <w:rsid w:val="00B93F72"/>
    <w:rsid w:val="00B94129"/>
    <w:rsid w:val="00B94159"/>
    <w:rsid w:val="00B941D5"/>
    <w:rsid w:val="00B942FF"/>
    <w:rsid w:val="00B943EC"/>
    <w:rsid w:val="00B943F7"/>
    <w:rsid w:val="00B944DA"/>
    <w:rsid w:val="00B944FA"/>
    <w:rsid w:val="00B9450F"/>
    <w:rsid w:val="00B945A3"/>
    <w:rsid w:val="00B945DA"/>
    <w:rsid w:val="00B947DF"/>
    <w:rsid w:val="00B9492F"/>
    <w:rsid w:val="00B9495F"/>
    <w:rsid w:val="00B94AA9"/>
    <w:rsid w:val="00B94B66"/>
    <w:rsid w:val="00B94C6C"/>
    <w:rsid w:val="00B94CD7"/>
    <w:rsid w:val="00B94D6E"/>
    <w:rsid w:val="00B94DAE"/>
    <w:rsid w:val="00B94EFA"/>
    <w:rsid w:val="00B94FF2"/>
    <w:rsid w:val="00B9502C"/>
    <w:rsid w:val="00B95047"/>
    <w:rsid w:val="00B95075"/>
    <w:rsid w:val="00B95084"/>
    <w:rsid w:val="00B9509E"/>
    <w:rsid w:val="00B950E6"/>
    <w:rsid w:val="00B95103"/>
    <w:rsid w:val="00B95105"/>
    <w:rsid w:val="00B95146"/>
    <w:rsid w:val="00B95198"/>
    <w:rsid w:val="00B951EF"/>
    <w:rsid w:val="00B953F5"/>
    <w:rsid w:val="00B9550A"/>
    <w:rsid w:val="00B955C9"/>
    <w:rsid w:val="00B955D6"/>
    <w:rsid w:val="00B955D8"/>
    <w:rsid w:val="00B9566F"/>
    <w:rsid w:val="00B95738"/>
    <w:rsid w:val="00B957CC"/>
    <w:rsid w:val="00B95893"/>
    <w:rsid w:val="00B95932"/>
    <w:rsid w:val="00B959CE"/>
    <w:rsid w:val="00B95B37"/>
    <w:rsid w:val="00B95BB5"/>
    <w:rsid w:val="00B95C91"/>
    <w:rsid w:val="00B95D04"/>
    <w:rsid w:val="00B95D28"/>
    <w:rsid w:val="00B95D61"/>
    <w:rsid w:val="00B95DD7"/>
    <w:rsid w:val="00B95E5E"/>
    <w:rsid w:val="00B95ED9"/>
    <w:rsid w:val="00B95EEA"/>
    <w:rsid w:val="00B95F4D"/>
    <w:rsid w:val="00B95F5C"/>
    <w:rsid w:val="00B96015"/>
    <w:rsid w:val="00B96155"/>
    <w:rsid w:val="00B96160"/>
    <w:rsid w:val="00B961F5"/>
    <w:rsid w:val="00B964A7"/>
    <w:rsid w:val="00B96503"/>
    <w:rsid w:val="00B96650"/>
    <w:rsid w:val="00B966B0"/>
    <w:rsid w:val="00B9671A"/>
    <w:rsid w:val="00B9673E"/>
    <w:rsid w:val="00B9676D"/>
    <w:rsid w:val="00B9679A"/>
    <w:rsid w:val="00B96895"/>
    <w:rsid w:val="00B968EE"/>
    <w:rsid w:val="00B96A9D"/>
    <w:rsid w:val="00B96B41"/>
    <w:rsid w:val="00B96CAA"/>
    <w:rsid w:val="00B96CAD"/>
    <w:rsid w:val="00B96D33"/>
    <w:rsid w:val="00B96EFF"/>
    <w:rsid w:val="00B96FB4"/>
    <w:rsid w:val="00B97106"/>
    <w:rsid w:val="00B9715E"/>
    <w:rsid w:val="00B9719F"/>
    <w:rsid w:val="00B97258"/>
    <w:rsid w:val="00B9726A"/>
    <w:rsid w:val="00B972DF"/>
    <w:rsid w:val="00B97303"/>
    <w:rsid w:val="00B9735B"/>
    <w:rsid w:val="00B973D1"/>
    <w:rsid w:val="00B97409"/>
    <w:rsid w:val="00B9743D"/>
    <w:rsid w:val="00B97483"/>
    <w:rsid w:val="00B974A4"/>
    <w:rsid w:val="00B97527"/>
    <w:rsid w:val="00B975AA"/>
    <w:rsid w:val="00B975DA"/>
    <w:rsid w:val="00B975FA"/>
    <w:rsid w:val="00B9775A"/>
    <w:rsid w:val="00B97822"/>
    <w:rsid w:val="00B97AC8"/>
    <w:rsid w:val="00B97AE5"/>
    <w:rsid w:val="00B97CF0"/>
    <w:rsid w:val="00B97D2C"/>
    <w:rsid w:val="00B97D55"/>
    <w:rsid w:val="00B97D5B"/>
    <w:rsid w:val="00B97DC2"/>
    <w:rsid w:val="00B97E2F"/>
    <w:rsid w:val="00B97EA8"/>
    <w:rsid w:val="00B97EE3"/>
    <w:rsid w:val="00B97EF7"/>
    <w:rsid w:val="00B97F1A"/>
    <w:rsid w:val="00B97F4D"/>
    <w:rsid w:val="00B97F7D"/>
    <w:rsid w:val="00B97FA0"/>
    <w:rsid w:val="00B97FC4"/>
    <w:rsid w:val="00B97FEA"/>
    <w:rsid w:val="00B99B0A"/>
    <w:rsid w:val="00BA0065"/>
    <w:rsid w:val="00BA00D6"/>
    <w:rsid w:val="00BA030B"/>
    <w:rsid w:val="00BA0334"/>
    <w:rsid w:val="00BA0401"/>
    <w:rsid w:val="00BA0523"/>
    <w:rsid w:val="00BA0561"/>
    <w:rsid w:val="00BA057A"/>
    <w:rsid w:val="00BA06A3"/>
    <w:rsid w:val="00BA081E"/>
    <w:rsid w:val="00BA0B3C"/>
    <w:rsid w:val="00BA0B79"/>
    <w:rsid w:val="00BA0C5B"/>
    <w:rsid w:val="00BA0CEF"/>
    <w:rsid w:val="00BA0E1D"/>
    <w:rsid w:val="00BA0E7F"/>
    <w:rsid w:val="00BA0F1B"/>
    <w:rsid w:val="00BA1172"/>
    <w:rsid w:val="00BA12FB"/>
    <w:rsid w:val="00BA1558"/>
    <w:rsid w:val="00BA1562"/>
    <w:rsid w:val="00BA15BC"/>
    <w:rsid w:val="00BA170F"/>
    <w:rsid w:val="00BA1718"/>
    <w:rsid w:val="00BA175B"/>
    <w:rsid w:val="00BA17EA"/>
    <w:rsid w:val="00BA189C"/>
    <w:rsid w:val="00BA18A8"/>
    <w:rsid w:val="00BA18C0"/>
    <w:rsid w:val="00BA199D"/>
    <w:rsid w:val="00BA19A2"/>
    <w:rsid w:val="00BA1A4A"/>
    <w:rsid w:val="00BA1A67"/>
    <w:rsid w:val="00BA1A6D"/>
    <w:rsid w:val="00BA1ABB"/>
    <w:rsid w:val="00BA1C59"/>
    <w:rsid w:val="00BA1C8F"/>
    <w:rsid w:val="00BA1D06"/>
    <w:rsid w:val="00BA1E54"/>
    <w:rsid w:val="00BA1E9F"/>
    <w:rsid w:val="00BA1ED7"/>
    <w:rsid w:val="00BA2027"/>
    <w:rsid w:val="00BA2328"/>
    <w:rsid w:val="00BA24D4"/>
    <w:rsid w:val="00BA256E"/>
    <w:rsid w:val="00BA257D"/>
    <w:rsid w:val="00BA2628"/>
    <w:rsid w:val="00BA26CC"/>
    <w:rsid w:val="00BA275B"/>
    <w:rsid w:val="00BA2877"/>
    <w:rsid w:val="00BA288E"/>
    <w:rsid w:val="00BA28B2"/>
    <w:rsid w:val="00BA2A43"/>
    <w:rsid w:val="00BA2A9A"/>
    <w:rsid w:val="00BA2AC8"/>
    <w:rsid w:val="00BA2B17"/>
    <w:rsid w:val="00BA2B93"/>
    <w:rsid w:val="00BA2BCB"/>
    <w:rsid w:val="00BA2DF5"/>
    <w:rsid w:val="00BA2DFC"/>
    <w:rsid w:val="00BA300C"/>
    <w:rsid w:val="00BA309C"/>
    <w:rsid w:val="00BA319B"/>
    <w:rsid w:val="00BA3451"/>
    <w:rsid w:val="00BA34D9"/>
    <w:rsid w:val="00BA3566"/>
    <w:rsid w:val="00BA36D4"/>
    <w:rsid w:val="00BA3861"/>
    <w:rsid w:val="00BA388D"/>
    <w:rsid w:val="00BA3909"/>
    <w:rsid w:val="00BA3D21"/>
    <w:rsid w:val="00BA3D34"/>
    <w:rsid w:val="00BA3D5A"/>
    <w:rsid w:val="00BA4027"/>
    <w:rsid w:val="00BA407C"/>
    <w:rsid w:val="00BA40A1"/>
    <w:rsid w:val="00BA40A9"/>
    <w:rsid w:val="00BA42AF"/>
    <w:rsid w:val="00BA42D8"/>
    <w:rsid w:val="00BA439A"/>
    <w:rsid w:val="00BA43B3"/>
    <w:rsid w:val="00BA44E5"/>
    <w:rsid w:val="00BA463A"/>
    <w:rsid w:val="00BA4655"/>
    <w:rsid w:val="00BA46DA"/>
    <w:rsid w:val="00BA4718"/>
    <w:rsid w:val="00BA47B5"/>
    <w:rsid w:val="00BA484D"/>
    <w:rsid w:val="00BA4888"/>
    <w:rsid w:val="00BA48FF"/>
    <w:rsid w:val="00BA4903"/>
    <w:rsid w:val="00BA497E"/>
    <w:rsid w:val="00BA49BA"/>
    <w:rsid w:val="00BA4AC2"/>
    <w:rsid w:val="00BA4BA5"/>
    <w:rsid w:val="00BA4BE5"/>
    <w:rsid w:val="00BA4C61"/>
    <w:rsid w:val="00BA4D40"/>
    <w:rsid w:val="00BA4E9A"/>
    <w:rsid w:val="00BA4F33"/>
    <w:rsid w:val="00BA4F7A"/>
    <w:rsid w:val="00BA500A"/>
    <w:rsid w:val="00BA501C"/>
    <w:rsid w:val="00BA513D"/>
    <w:rsid w:val="00BA524B"/>
    <w:rsid w:val="00BA528A"/>
    <w:rsid w:val="00BA52F2"/>
    <w:rsid w:val="00BA534B"/>
    <w:rsid w:val="00BA5351"/>
    <w:rsid w:val="00BA53E1"/>
    <w:rsid w:val="00BA5424"/>
    <w:rsid w:val="00BA548C"/>
    <w:rsid w:val="00BA5497"/>
    <w:rsid w:val="00BA54AD"/>
    <w:rsid w:val="00BA54E7"/>
    <w:rsid w:val="00BA5509"/>
    <w:rsid w:val="00BA553E"/>
    <w:rsid w:val="00BA5544"/>
    <w:rsid w:val="00BA5565"/>
    <w:rsid w:val="00BA559F"/>
    <w:rsid w:val="00BA55B1"/>
    <w:rsid w:val="00BA56A6"/>
    <w:rsid w:val="00BA56C6"/>
    <w:rsid w:val="00BA575C"/>
    <w:rsid w:val="00BA5769"/>
    <w:rsid w:val="00BA57AB"/>
    <w:rsid w:val="00BA57CC"/>
    <w:rsid w:val="00BA5861"/>
    <w:rsid w:val="00BA58BF"/>
    <w:rsid w:val="00BA59FE"/>
    <w:rsid w:val="00BA5AA1"/>
    <w:rsid w:val="00BA5B30"/>
    <w:rsid w:val="00BA5C09"/>
    <w:rsid w:val="00BA5CA5"/>
    <w:rsid w:val="00BA5D9B"/>
    <w:rsid w:val="00BA5DFF"/>
    <w:rsid w:val="00BA5E3B"/>
    <w:rsid w:val="00BA5F22"/>
    <w:rsid w:val="00BA6133"/>
    <w:rsid w:val="00BA6277"/>
    <w:rsid w:val="00BA62BA"/>
    <w:rsid w:val="00BA637D"/>
    <w:rsid w:val="00BA639B"/>
    <w:rsid w:val="00BA6534"/>
    <w:rsid w:val="00BA65E2"/>
    <w:rsid w:val="00BA667E"/>
    <w:rsid w:val="00BA6858"/>
    <w:rsid w:val="00BA68C2"/>
    <w:rsid w:val="00BA68CF"/>
    <w:rsid w:val="00BA68D5"/>
    <w:rsid w:val="00BA6920"/>
    <w:rsid w:val="00BA6933"/>
    <w:rsid w:val="00BA6936"/>
    <w:rsid w:val="00BA6A90"/>
    <w:rsid w:val="00BA6B57"/>
    <w:rsid w:val="00BA6C11"/>
    <w:rsid w:val="00BA6CC5"/>
    <w:rsid w:val="00BA6D04"/>
    <w:rsid w:val="00BA6D1B"/>
    <w:rsid w:val="00BA6D20"/>
    <w:rsid w:val="00BA6EE4"/>
    <w:rsid w:val="00BA6F04"/>
    <w:rsid w:val="00BA7035"/>
    <w:rsid w:val="00BA705E"/>
    <w:rsid w:val="00BA7067"/>
    <w:rsid w:val="00BA707E"/>
    <w:rsid w:val="00BA7109"/>
    <w:rsid w:val="00BA7113"/>
    <w:rsid w:val="00BA7114"/>
    <w:rsid w:val="00BA7368"/>
    <w:rsid w:val="00BA737B"/>
    <w:rsid w:val="00BA75E3"/>
    <w:rsid w:val="00BA760A"/>
    <w:rsid w:val="00BA7678"/>
    <w:rsid w:val="00BA7699"/>
    <w:rsid w:val="00BA7824"/>
    <w:rsid w:val="00BA7888"/>
    <w:rsid w:val="00BA7940"/>
    <w:rsid w:val="00BA794F"/>
    <w:rsid w:val="00BA79E5"/>
    <w:rsid w:val="00BA7B27"/>
    <w:rsid w:val="00BA7B4D"/>
    <w:rsid w:val="00BA7BB6"/>
    <w:rsid w:val="00BA7D69"/>
    <w:rsid w:val="00BA7D8A"/>
    <w:rsid w:val="00BA7E4A"/>
    <w:rsid w:val="00BA7EC1"/>
    <w:rsid w:val="00BA7EFD"/>
    <w:rsid w:val="00BA7F54"/>
    <w:rsid w:val="00BB0252"/>
    <w:rsid w:val="00BB02F9"/>
    <w:rsid w:val="00BB0439"/>
    <w:rsid w:val="00BB051C"/>
    <w:rsid w:val="00BB054E"/>
    <w:rsid w:val="00BB06BA"/>
    <w:rsid w:val="00BB0723"/>
    <w:rsid w:val="00BB0748"/>
    <w:rsid w:val="00BB083F"/>
    <w:rsid w:val="00BB08A7"/>
    <w:rsid w:val="00BB08EA"/>
    <w:rsid w:val="00BB09E3"/>
    <w:rsid w:val="00BB0A34"/>
    <w:rsid w:val="00BB0B10"/>
    <w:rsid w:val="00BB0B2B"/>
    <w:rsid w:val="00BB0CA1"/>
    <w:rsid w:val="00BB0D22"/>
    <w:rsid w:val="00BB0DBA"/>
    <w:rsid w:val="00BB0FA2"/>
    <w:rsid w:val="00BB0FB3"/>
    <w:rsid w:val="00BB10E4"/>
    <w:rsid w:val="00BB112C"/>
    <w:rsid w:val="00BB1339"/>
    <w:rsid w:val="00BB143D"/>
    <w:rsid w:val="00BB144C"/>
    <w:rsid w:val="00BB1550"/>
    <w:rsid w:val="00BB15D1"/>
    <w:rsid w:val="00BB15E0"/>
    <w:rsid w:val="00BB164F"/>
    <w:rsid w:val="00BB1710"/>
    <w:rsid w:val="00BB173C"/>
    <w:rsid w:val="00BB1807"/>
    <w:rsid w:val="00BB1952"/>
    <w:rsid w:val="00BB19FA"/>
    <w:rsid w:val="00BB1A00"/>
    <w:rsid w:val="00BB1A91"/>
    <w:rsid w:val="00BB1C1E"/>
    <w:rsid w:val="00BB1C77"/>
    <w:rsid w:val="00BB1D24"/>
    <w:rsid w:val="00BB1E8F"/>
    <w:rsid w:val="00BB1FCB"/>
    <w:rsid w:val="00BB202D"/>
    <w:rsid w:val="00BB20E9"/>
    <w:rsid w:val="00BB20EE"/>
    <w:rsid w:val="00BB219A"/>
    <w:rsid w:val="00BB22B2"/>
    <w:rsid w:val="00BB2362"/>
    <w:rsid w:val="00BB23D4"/>
    <w:rsid w:val="00BB2555"/>
    <w:rsid w:val="00BB2581"/>
    <w:rsid w:val="00BB2613"/>
    <w:rsid w:val="00BB2684"/>
    <w:rsid w:val="00BB273C"/>
    <w:rsid w:val="00BB277C"/>
    <w:rsid w:val="00BB28D1"/>
    <w:rsid w:val="00BB28F0"/>
    <w:rsid w:val="00BB29A9"/>
    <w:rsid w:val="00BB2B0A"/>
    <w:rsid w:val="00BB2B8A"/>
    <w:rsid w:val="00BB2C1A"/>
    <w:rsid w:val="00BB2D87"/>
    <w:rsid w:val="00BB2DDB"/>
    <w:rsid w:val="00BB2E5A"/>
    <w:rsid w:val="00BB2E80"/>
    <w:rsid w:val="00BB2ECC"/>
    <w:rsid w:val="00BB2F12"/>
    <w:rsid w:val="00BB2F5C"/>
    <w:rsid w:val="00BB2F97"/>
    <w:rsid w:val="00BB2FB6"/>
    <w:rsid w:val="00BB3057"/>
    <w:rsid w:val="00BB3189"/>
    <w:rsid w:val="00BB329B"/>
    <w:rsid w:val="00BB3312"/>
    <w:rsid w:val="00BB33A1"/>
    <w:rsid w:val="00BB33C3"/>
    <w:rsid w:val="00BB33CD"/>
    <w:rsid w:val="00BB3459"/>
    <w:rsid w:val="00BB34B3"/>
    <w:rsid w:val="00BB35C7"/>
    <w:rsid w:val="00BB365A"/>
    <w:rsid w:val="00BB36E2"/>
    <w:rsid w:val="00BB36FF"/>
    <w:rsid w:val="00BB37D1"/>
    <w:rsid w:val="00BB3903"/>
    <w:rsid w:val="00BB392F"/>
    <w:rsid w:val="00BB3980"/>
    <w:rsid w:val="00BB39AC"/>
    <w:rsid w:val="00BB3A61"/>
    <w:rsid w:val="00BB3B50"/>
    <w:rsid w:val="00BB3BC5"/>
    <w:rsid w:val="00BB3BD3"/>
    <w:rsid w:val="00BB3D7B"/>
    <w:rsid w:val="00BB3E6E"/>
    <w:rsid w:val="00BB3F16"/>
    <w:rsid w:val="00BB3F6B"/>
    <w:rsid w:val="00BB42DF"/>
    <w:rsid w:val="00BB4323"/>
    <w:rsid w:val="00BB438E"/>
    <w:rsid w:val="00BB44C0"/>
    <w:rsid w:val="00BB458A"/>
    <w:rsid w:val="00BB463E"/>
    <w:rsid w:val="00BB46F4"/>
    <w:rsid w:val="00BB4711"/>
    <w:rsid w:val="00BB4840"/>
    <w:rsid w:val="00BB487B"/>
    <w:rsid w:val="00BB48E2"/>
    <w:rsid w:val="00BB4966"/>
    <w:rsid w:val="00BB4A3D"/>
    <w:rsid w:val="00BB4AF8"/>
    <w:rsid w:val="00BB4B19"/>
    <w:rsid w:val="00BB4B81"/>
    <w:rsid w:val="00BB4C70"/>
    <w:rsid w:val="00BB4D4F"/>
    <w:rsid w:val="00BB4DDE"/>
    <w:rsid w:val="00BB4F42"/>
    <w:rsid w:val="00BB4F48"/>
    <w:rsid w:val="00BB4F9A"/>
    <w:rsid w:val="00BB4FF2"/>
    <w:rsid w:val="00BB50AB"/>
    <w:rsid w:val="00BB5143"/>
    <w:rsid w:val="00BB5179"/>
    <w:rsid w:val="00BB51AE"/>
    <w:rsid w:val="00BB51F2"/>
    <w:rsid w:val="00BB52C0"/>
    <w:rsid w:val="00BB540D"/>
    <w:rsid w:val="00BB54F0"/>
    <w:rsid w:val="00BB551F"/>
    <w:rsid w:val="00BB552A"/>
    <w:rsid w:val="00BB5553"/>
    <w:rsid w:val="00BB55BA"/>
    <w:rsid w:val="00BB5612"/>
    <w:rsid w:val="00BB5817"/>
    <w:rsid w:val="00BB584B"/>
    <w:rsid w:val="00BB5868"/>
    <w:rsid w:val="00BB593A"/>
    <w:rsid w:val="00BB5964"/>
    <w:rsid w:val="00BB5A04"/>
    <w:rsid w:val="00BB5ADA"/>
    <w:rsid w:val="00BB5B29"/>
    <w:rsid w:val="00BB5B35"/>
    <w:rsid w:val="00BB5BBD"/>
    <w:rsid w:val="00BB5D78"/>
    <w:rsid w:val="00BB5DA6"/>
    <w:rsid w:val="00BB5DEB"/>
    <w:rsid w:val="00BB5DF8"/>
    <w:rsid w:val="00BB5E36"/>
    <w:rsid w:val="00BB5E99"/>
    <w:rsid w:val="00BB5EAE"/>
    <w:rsid w:val="00BB5EB4"/>
    <w:rsid w:val="00BB5EBE"/>
    <w:rsid w:val="00BB5F01"/>
    <w:rsid w:val="00BB5F79"/>
    <w:rsid w:val="00BB5FB0"/>
    <w:rsid w:val="00BB5FCC"/>
    <w:rsid w:val="00BB608A"/>
    <w:rsid w:val="00BB60D3"/>
    <w:rsid w:val="00BB60EF"/>
    <w:rsid w:val="00BB61F1"/>
    <w:rsid w:val="00BB62EA"/>
    <w:rsid w:val="00BB6353"/>
    <w:rsid w:val="00BB647A"/>
    <w:rsid w:val="00BB65E0"/>
    <w:rsid w:val="00BB66A7"/>
    <w:rsid w:val="00BB66F3"/>
    <w:rsid w:val="00BB680F"/>
    <w:rsid w:val="00BB68A1"/>
    <w:rsid w:val="00BB6A2F"/>
    <w:rsid w:val="00BB6A90"/>
    <w:rsid w:val="00BB6AAF"/>
    <w:rsid w:val="00BB6AEE"/>
    <w:rsid w:val="00BB6B6D"/>
    <w:rsid w:val="00BB6BB4"/>
    <w:rsid w:val="00BB6C36"/>
    <w:rsid w:val="00BB6DCF"/>
    <w:rsid w:val="00BB6E49"/>
    <w:rsid w:val="00BB6FE6"/>
    <w:rsid w:val="00BB701A"/>
    <w:rsid w:val="00BB70CA"/>
    <w:rsid w:val="00BB71A2"/>
    <w:rsid w:val="00BB71BD"/>
    <w:rsid w:val="00BB71FE"/>
    <w:rsid w:val="00BB7261"/>
    <w:rsid w:val="00BB727F"/>
    <w:rsid w:val="00BB7301"/>
    <w:rsid w:val="00BB7379"/>
    <w:rsid w:val="00BB7401"/>
    <w:rsid w:val="00BB742F"/>
    <w:rsid w:val="00BB74B4"/>
    <w:rsid w:val="00BB74FC"/>
    <w:rsid w:val="00BB755E"/>
    <w:rsid w:val="00BB75DA"/>
    <w:rsid w:val="00BB7762"/>
    <w:rsid w:val="00BB77D3"/>
    <w:rsid w:val="00BB7843"/>
    <w:rsid w:val="00BB78AA"/>
    <w:rsid w:val="00BB79AF"/>
    <w:rsid w:val="00BB79CE"/>
    <w:rsid w:val="00BB79F3"/>
    <w:rsid w:val="00BB79F5"/>
    <w:rsid w:val="00BB7A06"/>
    <w:rsid w:val="00BB7A2A"/>
    <w:rsid w:val="00BB7B3F"/>
    <w:rsid w:val="00BB7B81"/>
    <w:rsid w:val="00BB7BFC"/>
    <w:rsid w:val="00BB7C0E"/>
    <w:rsid w:val="00BB7C2D"/>
    <w:rsid w:val="00BB7D70"/>
    <w:rsid w:val="00BB7DD2"/>
    <w:rsid w:val="00BB7E07"/>
    <w:rsid w:val="00BB7EA3"/>
    <w:rsid w:val="00BB7F63"/>
    <w:rsid w:val="00BB7FF9"/>
    <w:rsid w:val="00BC003D"/>
    <w:rsid w:val="00BC004C"/>
    <w:rsid w:val="00BC00F1"/>
    <w:rsid w:val="00BC0129"/>
    <w:rsid w:val="00BC01DD"/>
    <w:rsid w:val="00BC0264"/>
    <w:rsid w:val="00BC02B7"/>
    <w:rsid w:val="00BC02B8"/>
    <w:rsid w:val="00BC0301"/>
    <w:rsid w:val="00BC038A"/>
    <w:rsid w:val="00BC0463"/>
    <w:rsid w:val="00BC049B"/>
    <w:rsid w:val="00BC055D"/>
    <w:rsid w:val="00BC0632"/>
    <w:rsid w:val="00BC0719"/>
    <w:rsid w:val="00BC0723"/>
    <w:rsid w:val="00BC0724"/>
    <w:rsid w:val="00BC0732"/>
    <w:rsid w:val="00BC086D"/>
    <w:rsid w:val="00BC086E"/>
    <w:rsid w:val="00BC08E1"/>
    <w:rsid w:val="00BC0981"/>
    <w:rsid w:val="00BC09A1"/>
    <w:rsid w:val="00BC0A29"/>
    <w:rsid w:val="00BC0A76"/>
    <w:rsid w:val="00BC0AB3"/>
    <w:rsid w:val="00BC0B1D"/>
    <w:rsid w:val="00BC0B34"/>
    <w:rsid w:val="00BC0B5F"/>
    <w:rsid w:val="00BC0C77"/>
    <w:rsid w:val="00BC0E2D"/>
    <w:rsid w:val="00BC0F7A"/>
    <w:rsid w:val="00BC106E"/>
    <w:rsid w:val="00BC1114"/>
    <w:rsid w:val="00BC1186"/>
    <w:rsid w:val="00BC118A"/>
    <w:rsid w:val="00BC1251"/>
    <w:rsid w:val="00BC126F"/>
    <w:rsid w:val="00BC129E"/>
    <w:rsid w:val="00BC12CF"/>
    <w:rsid w:val="00BC1341"/>
    <w:rsid w:val="00BC1555"/>
    <w:rsid w:val="00BC15EC"/>
    <w:rsid w:val="00BC1600"/>
    <w:rsid w:val="00BC162C"/>
    <w:rsid w:val="00BC1663"/>
    <w:rsid w:val="00BC16AB"/>
    <w:rsid w:val="00BC19F4"/>
    <w:rsid w:val="00BC1A21"/>
    <w:rsid w:val="00BC1A6A"/>
    <w:rsid w:val="00BC1ABA"/>
    <w:rsid w:val="00BC1AD6"/>
    <w:rsid w:val="00BC1C44"/>
    <w:rsid w:val="00BC1C8E"/>
    <w:rsid w:val="00BC1CED"/>
    <w:rsid w:val="00BC1DC9"/>
    <w:rsid w:val="00BC1E3E"/>
    <w:rsid w:val="00BC1E56"/>
    <w:rsid w:val="00BC1ED0"/>
    <w:rsid w:val="00BC1F8F"/>
    <w:rsid w:val="00BC1FA8"/>
    <w:rsid w:val="00BC1FBC"/>
    <w:rsid w:val="00BC1FC1"/>
    <w:rsid w:val="00BC2000"/>
    <w:rsid w:val="00BC2055"/>
    <w:rsid w:val="00BC2196"/>
    <w:rsid w:val="00BC2280"/>
    <w:rsid w:val="00BC22F9"/>
    <w:rsid w:val="00BC2414"/>
    <w:rsid w:val="00BC2442"/>
    <w:rsid w:val="00BC250D"/>
    <w:rsid w:val="00BC2662"/>
    <w:rsid w:val="00BC266F"/>
    <w:rsid w:val="00BC2734"/>
    <w:rsid w:val="00BC278B"/>
    <w:rsid w:val="00BC2843"/>
    <w:rsid w:val="00BC2853"/>
    <w:rsid w:val="00BC28AB"/>
    <w:rsid w:val="00BC29CF"/>
    <w:rsid w:val="00BC2AFF"/>
    <w:rsid w:val="00BC2B23"/>
    <w:rsid w:val="00BC2BD5"/>
    <w:rsid w:val="00BC2C15"/>
    <w:rsid w:val="00BC2D70"/>
    <w:rsid w:val="00BC2DAF"/>
    <w:rsid w:val="00BC2E39"/>
    <w:rsid w:val="00BC2E8F"/>
    <w:rsid w:val="00BC2EF3"/>
    <w:rsid w:val="00BC2F22"/>
    <w:rsid w:val="00BC2F41"/>
    <w:rsid w:val="00BC2F59"/>
    <w:rsid w:val="00BC2F5A"/>
    <w:rsid w:val="00BC2FAC"/>
    <w:rsid w:val="00BC2FFD"/>
    <w:rsid w:val="00BC3154"/>
    <w:rsid w:val="00BC3180"/>
    <w:rsid w:val="00BC32A2"/>
    <w:rsid w:val="00BC3403"/>
    <w:rsid w:val="00BC3467"/>
    <w:rsid w:val="00BC34B3"/>
    <w:rsid w:val="00BC3504"/>
    <w:rsid w:val="00BC3534"/>
    <w:rsid w:val="00BC3583"/>
    <w:rsid w:val="00BC3695"/>
    <w:rsid w:val="00BC36C1"/>
    <w:rsid w:val="00BC36CF"/>
    <w:rsid w:val="00BC36DD"/>
    <w:rsid w:val="00BC3723"/>
    <w:rsid w:val="00BC3762"/>
    <w:rsid w:val="00BC37BF"/>
    <w:rsid w:val="00BC37DC"/>
    <w:rsid w:val="00BC380C"/>
    <w:rsid w:val="00BC391C"/>
    <w:rsid w:val="00BC3A34"/>
    <w:rsid w:val="00BC3A44"/>
    <w:rsid w:val="00BC3A48"/>
    <w:rsid w:val="00BC3A7D"/>
    <w:rsid w:val="00BC3BA2"/>
    <w:rsid w:val="00BC3C02"/>
    <w:rsid w:val="00BC3D12"/>
    <w:rsid w:val="00BC3D24"/>
    <w:rsid w:val="00BC3D4D"/>
    <w:rsid w:val="00BC3E6A"/>
    <w:rsid w:val="00BC3EF1"/>
    <w:rsid w:val="00BC3FC5"/>
    <w:rsid w:val="00BC40A9"/>
    <w:rsid w:val="00BC4114"/>
    <w:rsid w:val="00BC41BF"/>
    <w:rsid w:val="00BC41D5"/>
    <w:rsid w:val="00BC4206"/>
    <w:rsid w:val="00BC420C"/>
    <w:rsid w:val="00BC421D"/>
    <w:rsid w:val="00BC42CD"/>
    <w:rsid w:val="00BC431A"/>
    <w:rsid w:val="00BC435E"/>
    <w:rsid w:val="00BC4437"/>
    <w:rsid w:val="00BC4749"/>
    <w:rsid w:val="00BC4867"/>
    <w:rsid w:val="00BC489A"/>
    <w:rsid w:val="00BC4996"/>
    <w:rsid w:val="00BC49D9"/>
    <w:rsid w:val="00BC4A3E"/>
    <w:rsid w:val="00BC4C46"/>
    <w:rsid w:val="00BC4C5E"/>
    <w:rsid w:val="00BC4DE4"/>
    <w:rsid w:val="00BC4E33"/>
    <w:rsid w:val="00BC4E56"/>
    <w:rsid w:val="00BC4F2F"/>
    <w:rsid w:val="00BC521A"/>
    <w:rsid w:val="00BC526B"/>
    <w:rsid w:val="00BC529A"/>
    <w:rsid w:val="00BC5314"/>
    <w:rsid w:val="00BC5393"/>
    <w:rsid w:val="00BC53AB"/>
    <w:rsid w:val="00BC53AC"/>
    <w:rsid w:val="00BC544D"/>
    <w:rsid w:val="00BC5479"/>
    <w:rsid w:val="00BC54C2"/>
    <w:rsid w:val="00BC552C"/>
    <w:rsid w:val="00BC564C"/>
    <w:rsid w:val="00BC568C"/>
    <w:rsid w:val="00BC586D"/>
    <w:rsid w:val="00BC59DB"/>
    <w:rsid w:val="00BC5AC2"/>
    <w:rsid w:val="00BC5ACA"/>
    <w:rsid w:val="00BC5AEF"/>
    <w:rsid w:val="00BC5B73"/>
    <w:rsid w:val="00BC5C2B"/>
    <w:rsid w:val="00BC5C40"/>
    <w:rsid w:val="00BC5DB4"/>
    <w:rsid w:val="00BC5DCD"/>
    <w:rsid w:val="00BC5E84"/>
    <w:rsid w:val="00BC6133"/>
    <w:rsid w:val="00BC6233"/>
    <w:rsid w:val="00BC624A"/>
    <w:rsid w:val="00BC6409"/>
    <w:rsid w:val="00BC6474"/>
    <w:rsid w:val="00BC661A"/>
    <w:rsid w:val="00BC66EF"/>
    <w:rsid w:val="00BC681A"/>
    <w:rsid w:val="00BC699C"/>
    <w:rsid w:val="00BC6A21"/>
    <w:rsid w:val="00BC6AED"/>
    <w:rsid w:val="00BC6AFD"/>
    <w:rsid w:val="00BC6BA9"/>
    <w:rsid w:val="00BC6BD4"/>
    <w:rsid w:val="00BC6D34"/>
    <w:rsid w:val="00BC6DB8"/>
    <w:rsid w:val="00BC6E18"/>
    <w:rsid w:val="00BC6E67"/>
    <w:rsid w:val="00BC6EDE"/>
    <w:rsid w:val="00BC6F5A"/>
    <w:rsid w:val="00BC6F88"/>
    <w:rsid w:val="00BC6FC9"/>
    <w:rsid w:val="00BC704E"/>
    <w:rsid w:val="00BC711D"/>
    <w:rsid w:val="00BC7153"/>
    <w:rsid w:val="00BC71AE"/>
    <w:rsid w:val="00BC72C7"/>
    <w:rsid w:val="00BC730A"/>
    <w:rsid w:val="00BC732E"/>
    <w:rsid w:val="00BC73CF"/>
    <w:rsid w:val="00BC7572"/>
    <w:rsid w:val="00BC75C0"/>
    <w:rsid w:val="00BC7665"/>
    <w:rsid w:val="00BC7733"/>
    <w:rsid w:val="00BC7753"/>
    <w:rsid w:val="00BC77F2"/>
    <w:rsid w:val="00BC7809"/>
    <w:rsid w:val="00BC797D"/>
    <w:rsid w:val="00BC7A3C"/>
    <w:rsid w:val="00BC7A3F"/>
    <w:rsid w:val="00BC7AD9"/>
    <w:rsid w:val="00BC7B52"/>
    <w:rsid w:val="00BC7C29"/>
    <w:rsid w:val="00BC7C89"/>
    <w:rsid w:val="00BC7CD3"/>
    <w:rsid w:val="00BC7DDF"/>
    <w:rsid w:val="00BC7E6F"/>
    <w:rsid w:val="00BC7FE7"/>
    <w:rsid w:val="00BC7FFA"/>
    <w:rsid w:val="00BD0086"/>
    <w:rsid w:val="00BD013B"/>
    <w:rsid w:val="00BD01F1"/>
    <w:rsid w:val="00BD0316"/>
    <w:rsid w:val="00BD063C"/>
    <w:rsid w:val="00BD0735"/>
    <w:rsid w:val="00BD07B3"/>
    <w:rsid w:val="00BD07D3"/>
    <w:rsid w:val="00BD0810"/>
    <w:rsid w:val="00BD08F4"/>
    <w:rsid w:val="00BD09A5"/>
    <w:rsid w:val="00BD0A1D"/>
    <w:rsid w:val="00BD0A46"/>
    <w:rsid w:val="00BD0A4C"/>
    <w:rsid w:val="00BD0BBF"/>
    <w:rsid w:val="00BD0BF7"/>
    <w:rsid w:val="00BD0C21"/>
    <w:rsid w:val="00BD0D08"/>
    <w:rsid w:val="00BD0D57"/>
    <w:rsid w:val="00BD0D5B"/>
    <w:rsid w:val="00BD0E70"/>
    <w:rsid w:val="00BD0FEE"/>
    <w:rsid w:val="00BD1003"/>
    <w:rsid w:val="00BD100C"/>
    <w:rsid w:val="00BD1011"/>
    <w:rsid w:val="00BD1037"/>
    <w:rsid w:val="00BD104E"/>
    <w:rsid w:val="00BD115A"/>
    <w:rsid w:val="00BD11C9"/>
    <w:rsid w:val="00BD135D"/>
    <w:rsid w:val="00BD139B"/>
    <w:rsid w:val="00BD13AF"/>
    <w:rsid w:val="00BD1496"/>
    <w:rsid w:val="00BD14A3"/>
    <w:rsid w:val="00BD150F"/>
    <w:rsid w:val="00BD1527"/>
    <w:rsid w:val="00BD1699"/>
    <w:rsid w:val="00BD193D"/>
    <w:rsid w:val="00BD19A3"/>
    <w:rsid w:val="00BD19AA"/>
    <w:rsid w:val="00BD19F8"/>
    <w:rsid w:val="00BD1AA6"/>
    <w:rsid w:val="00BD1B1E"/>
    <w:rsid w:val="00BD1C1D"/>
    <w:rsid w:val="00BD1D25"/>
    <w:rsid w:val="00BD1DB3"/>
    <w:rsid w:val="00BD1E3D"/>
    <w:rsid w:val="00BD1F84"/>
    <w:rsid w:val="00BD1FCA"/>
    <w:rsid w:val="00BD1FE4"/>
    <w:rsid w:val="00BD202F"/>
    <w:rsid w:val="00BD2041"/>
    <w:rsid w:val="00BD20EA"/>
    <w:rsid w:val="00BD2282"/>
    <w:rsid w:val="00BD2293"/>
    <w:rsid w:val="00BD2360"/>
    <w:rsid w:val="00BD2425"/>
    <w:rsid w:val="00BD28AC"/>
    <w:rsid w:val="00BD295A"/>
    <w:rsid w:val="00BD296B"/>
    <w:rsid w:val="00BD2ADE"/>
    <w:rsid w:val="00BD2AF3"/>
    <w:rsid w:val="00BD2B97"/>
    <w:rsid w:val="00BD2CB9"/>
    <w:rsid w:val="00BD2D45"/>
    <w:rsid w:val="00BD2DBD"/>
    <w:rsid w:val="00BD2E4C"/>
    <w:rsid w:val="00BD2E92"/>
    <w:rsid w:val="00BD2F88"/>
    <w:rsid w:val="00BD2FEA"/>
    <w:rsid w:val="00BD3017"/>
    <w:rsid w:val="00BD3036"/>
    <w:rsid w:val="00BD3066"/>
    <w:rsid w:val="00BD30A4"/>
    <w:rsid w:val="00BD30D0"/>
    <w:rsid w:val="00BD34CA"/>
    <w:rsid w:val="00BD35DC"/>
    <w:rsid w:val="00BD366D"/>
    <w:rsid w:val="00BD36A5"/>
    <w:rsid w:val="00BD37AB"/>
    <w:rsid w:val="00BD38BE"/>
    <w:rsid w:val="00BD38FD"/>
    <w:rsid w:val="00BD3955"/>
    <w:rsid w:val="00BD3961"/>
    <w:rsid w:val="00BD3962"/>
    <w:rsid w:val="00BD3985"/>
    <w:rsid w:val="00BD39F1"/>
    <w:rsid w:val="00BD3A02"/>
    <w:rsid w:val="00BD3A0B"/>
    <w:rsid w:val="00BD3A52"/>
    <w:rsid w:val="00BD3A71"/>
    <w:rsid w:val="00BD3A7C"/>
    <w:rsid w:val="00BD3AEB"/>
    <w:rsid w:val="00BD3C05"/>
    <w:rsid w:val="00BD3C78"/>
    <w:rsid w:val="00BD3EA0"/>
    <w:rsid w:val="00BD3EB0"/>
    <w:rsid w:val="00BD3EC5"/>
    <w:rsid w:val="00BD3F00"/>
    <w:rsid w:val="00BD3F1D"/>
    <w:rsid w:val="00BD403A"/>
    <w:rsid w:val="00BD404C"/>
    <w:rsid w:val="00BD409B"/>
    <w:rsid w:val="00BD40E1"/>
    <w:rsid w:val="00BD415A"/>
    <w:rsid w:val="00BD422D"/>
    <w:rsid w:val="00BD4236"/>
    <w:rsid w:val="00BD427E"/>
    <w:rsid w:val="00BD429B"/>
    <w:rsid w:val="00BD43C8"/>
    <w:rsid w:val="00BD43CC"/>
    <w:rsid w:val="00BD43EA"/>
    <w:rsid w:val="00BD444E"/>
    <w:rsid w:val="00BD4473"/>
    <w:rsid w:val="00BD4517"/>
    <w:rsid w:val="00BD4580"/>
    <w:rsid w:val="00BD4751"/>
    <w:rsid w:val="00BD487A"/>
    <w:rsid w:val="00BD49CE"/>
    <w:rsid w:val="00BD4A46"/>
    <w:rsid w:val="00BD4B47"/>
    <w:rsid w:val="00BD4C78"/>
    <w:rsid w:val="00BD4E69"/>
    <w:rsid w:val="00BD4EB1"/>
    <w:rsid w:val="00BD4F5E"/>
    <w:rsid w:val="00BD4FA9"/>
    <w:rsid w:val="00BD50AD"/>
    <w:rsid w:val="00BD5167"/>
    <w:rsid w:val="00BD51A2"/>
    <w:rsid w:val="00BD52DA"/>
    <w:rsid w:val="00BD52FC"/>
    <w:rsid w:val="00BD53C4"/>
    <w:rsid w:val="00BD53EE"/>
    <w:rsid w:val="00BD53FC"/>
    <w:rsid w:val="00BD5415"/>
    <w:rsid w:val="00BD5543"/>
    <w:rsid w:val="00BD560B"/>
    <w:rsid w:val="00BD5644"/>
    <w:rsid w:val="00BD5747"/>
    <w:rsid w:val="00BD576A"/>
    <w:rsid w:val="00BD590C"/>
    <w:rsid w:val="00BD593E"/>
    <w:rsid w:val="00BD5963"/>
    <w:rsid w:val="00BD5966"/>
    <w:rsid w:val="00BD59B1"/>
    <w:rsid w:val="00BD5A4C"/>
    <w:rsid w:val="00BD5AE1"/>
    <w:rsid w:val="00BD5C22"/>
    <w:rsid w:val="00BD5C91"/>
    <w:rsid w:val="00BD5CD2"/>
    <w:rsid w:val="00BD5D19"/>
    <w:rsid w:val="00BD5D2E"/>
    <w:rsid w:val="00BD5D55"/>
    <w:rsid w:val="00BD5D9F"/>
    <w:rsid w:val="00BD5E33"/>
    <w:rsid w:val="00BD5F71"/>
    <w:rsid w:val="00BD5FB2"/>
    <w:rsid w:val="00BD6086"/>
    <w:rsid w:val="00BD6138"/>
    <w:rsid w:val="00BD615B"/>
    <w:rsid w:val="00BD617C"/>
    <w:rsid w:val="00BD6361"/>
    <w:rsid w:val="00BD6390"/>
    <w:rsid w:val="00BD63BB"/>
    <w:rsid w:val="00BD63E3"/>
    <w:rsid w:val="00BD6437"/>
    <w:rsid w:val="00BD6567"/>
    <w:rsid w:val="00BD664B"/>
    <w:rsid w:val="00BD666A"/>
    <w:rsid w:val="00BD672F"/>
    <w:rsid w:val="00BD685D"/>
    <w:rsid w:val="00BD68BA"/>
    <w:rsid w:val="00BD68C3"/>
    <w:rsid w:val="00BD695C"/>
    <w:rsid w:val="00BD698F"/>
    <w:rsid w:val="00BD6A04"/>
    <w:rsid w:val="00BD6A30"/>
    <w:rsid w:val="00BD6A8C"/>
    <w:rsid w:val="00BD6B9C"/>
    <w:rsid w:val="00BD6C48"/>
    <w:rsid w:val="00BD6DC0"/>
    <w:rsid w:val="00BD6DE4"/>
    <w:rsid w:val="00BD6F2A"/>
    <w:rsid w:val="00BD6F2C"/>
    <w:rsid w:val="00BD7032"/>
    <w:rsid w:val="00BD7068"/>
    <w:rsid w:val="00BD7091"/>
    <w:rsid w:val="00BD736F"/>
    <w:rsid w:val="00BD7491"/>
    <w:rsid w:val="00BD75BD"/>
    <w:rsid w:val="00BD75FE"/>
    <w:rsid w:val="00BD7646"/>
    <w:rsid w:val="00BD765B"/>
    <w:rsid w:val="00BD7693"/>
    <w:rsid w:val="00BD76A5"/>
    <w:rsid w:val="00BD76F1"/>
    <w:rsid w:val="00BD7746"/>
    <w:rsid w:val="00BD7791"/>
    <w:rsid w:val="00BD77C2"/>
    <w:rsid w:val="00BD7B78"/>
    <w:rsid w:val="00BD7C68"/>
    <w:rsid w:val="00BD7D57"/>
    <w:rsid w:val="00BD7D6A"/>
    <w:rsid w:val="00BD7DD7"/>
    <w:rsid w:val="00BD7F78"/>
    <w:rsid w:val="00BD7FBC"/>
    <w:rsid w:val="00BE002E"/>
    <w:rsid w:val="00BE0231"/>
    <w:rsid w:val="00BE0323"/>
    <w:rsid w:val="00BE0385"/>
    <w:rsid w:val="00BE0388"/>
    <w:rsid w:val="00BE03D0"/>
    <w:rsid w:val="00BE067A"/>
    <w:rsid w:val="00BE0706"/>
    <w:rsid w:val="00BE072F"/>
    <w:rsid w:val="00BE07DF"/>
    <w:rsid w:val="00BE0823"/>
    <w:rsid w:val="00BE0853"/>
    <w:rsid w:val="00BE085C"/>
    <w:rsid w:val="00BE0953"/>
    <w:rsid w:val="00BE09CD"/>
    <w:rsid w:val="00BE0A3C"/>
    <w:rsid w:val="00BE0B56"/>
    <w:rsid w:val="00BE0BD0"/>
    <w:rsid w:val="00BE0D07"/>
    <w:rsid w:val="00BE0D0E"/>
    <w:rsid w:val="00BE0D10"/>
    <w:rsid w:val="00BE0D35"/>
    <w:rsid w:val="00BE0D66"/>
    <w:rsid w:val="00BE0DAA"/>
    <w:rsid w:val="00BE0DDD"/>
    <w:rsid w:val="00BE0E39"/>
    <w:rsid w:val="00BE0E65"/>
    <w:rsid w:val="00BE0EC4"/>
    <w:rsid w:val="00BE0EE7"/>
    <w:rsid w:val="00BE0EE9"/>
    <w:rsid w:val="00BE0F29"/>
    <w:rsid w:val="00BE0FD2"/>
    <w:rsid w:val="00BE0FF2"/>
    <w:rsid w:val="00BE1022"/>
    <w:rsid w:val="00BE1055"/>
    <w:rsid w:val="00BE10E4"/>
    <w:rsid w:val="00BE1124"/>
    <w:rsid w:val="00BE112B"/>
    <w:rsid w:val="00BE1140"/>
    <w:rsid w:val="00BE11B2"/>
    <w:rsid w:val="00BE12AA"/>
    <w:rsid w:val="00BE1344"/>
    <w:rsid w:val="00BE13A0"/>
    <w:rsid w:val="00BE13DF"/>
    <w:rsid w:val="00BE1423"/>
    <w:rsid w:val="00BE14C9"/>
    <w:rsid w:val="00BE1513"/>
    <w:rsid w:val="00BE15A5"/>
    <w:rsid w:val="00BE15E9"/>
    <w:rsid w:val="00BE16C1"/>
    <w:rsid w:val="00BE16CE"/>
    <w:rsid w:val="00BE16ED"/>
    <w:rsid w:val="00BE170D"/>
    <w:rsid w:val="00BE18A1"/>
    <w:rsid w:val="00BE1929"/>
    <w:rsid w:val="00BE19A4"/>
    <w:rsid w:val="00BE1A0A"/>
    <w:rsid w:val="00BE1A95"/>
    <w:rsid w:val="00BE1B30"/>
    <w:rsid w:val="00BE1BB7"/>
    <w:rsid w:val="00BE1C91"/>
    <w:rsid w:val="00BE1CA9"/>
    <w:rsid w:val="00BE1CBA"/>
    <w:rsid w:val="00BE1D30"/>
    <w:rsid w:val="00BE1DD3"/>
    <w:rsid w:val="00BE1E2B"/>
    <w:rsid w:val="00BE1FE8"/>
    <w:rsid w:val="00BE200F"/>
    <w:rsid w:val="00BE2025"/>
    <w:rsid w:val="00BE2047"/>
    <w:rsid w:val="00BE20EE"/>
    <w:rsid w:val="00BE2281"/>
    <w:rsid w:val="00BE231A"/>
    <w:rsid w:val="00BE240F"/>
    <w:rsid w:val="00BE241F"/>
    <w:rsid w:val="00BE2555"/>
    <w:rsid w:val="00BE2593"/>
    <w:rsid w:val="00BE25B8"/>
    <w:rsid w:val="00BE262F"/>
    <w:rsid w:val="00BE2643"/>
    <w:rsid w:val="00BE2652"/>
    <w:rsid w:val="00BE2691"/>
    <w:rsid w:val="00BE26A4"/>
    <w:rsid w:val="00BE29B3"/>
    <w:rsid w:val="00BE2A6C"/>
    <w:rsid w:val="00BE2AF9"/>
    <w:rsid w:val="00BE2B8B"/>
    <w:rsid w:val="00BE2BB0"/>
    <w:rsid w:val="00BE2C1B"/>
    <w:rsid w:val="00BE2C1E"/>
    <w:rsid w:val="00BE2D73"/>
    <w:rsid w:val="00BE2EDB"/>
    <w:rsid w:val="00BE2F74"/>
    <w:rsid w:val="00BE2FD7"/>
    <w:rsid w:val="00BE2FEB"/>
    <w:rsid w:val="00BE305B"/>
    <w:rsid w:val="00BE306B"/>
    <w:rsid w:val="00BE30CA"/>
    <w:rsid w:val="00BE3175"/>
    <w:rsid w:val="00BE3235"/>
    <w:rsid w:val="00BE328E"/>
    <w:rsid w:val="00BE329D"/>
    <w:rsid w:val="00BE32B8"/>
    <w:rsid w:val="00BE32F4"/>
    <w:rsid w:val="00BE3321"/>
    <w:rsid w:val="00BE3378"/>
    <w:rsid w:val="00BE3494"/>
    <w:rsid w:val="00BE35C4"/>
    <w:rsid w:val="00BE3698"/>
    <w:rsid w:val="00BE3721"/>
    <w:rsid w:val="00BE374C"/>
    <w:rsid w:val="00BE382D"/>
    <w:rsid w:val="00BE38E6"/>
    <w:rsid w:val="00BE39F3"/>
    <w:rsid w:val="00BE3A42"/>
    <w:rsid w:val="00BE3A91"/>
    <w:rsid w:val="00BE3AE9"/>
    <w:rsid w:val="00BE3B02"/>
    <w:rsid w:val="00BE3B2A"/>
    <w:rsid w:val="00BE3B78"/>
    <w:rsid w:val="00BE3BA2"/>
    <w:rsid w:val="00BE3C38"/>
    <w:rsid w:val="00BE3CA6"/>
    <w:rsid w:val="00BE3E0C"/>
    <w:rsid w:val="00BE3E74"/>
    <w:rsid w:val="00BE3E9B"/>
    <w:rsid w:val="00BE3F01"/>
    <w:rsid w:val="00BE3F43"/>
    <w:rsid w:val="00BE4015"/>
    <w:rsid w:val="00BE408C"/>
    <w:rsid w:val="00BE40BE"/>
    <w:rsid w:val="00BE4174"/>
    <w:rsid w:val="00BE445A"/>
    <w:rsid w:val="00BE454E"/>
    <w:rsid w:val="00BE456E"/>
    <w:rsid w:val="00BE4686"/>
    <w:rsid w:val="00BE46BE"/>
    <w:rsid w:val="00BE497C"/>
    <w:rsid w:val="00BE499B"/>
    <w:rsid w:val="00BE49AE"/>
    <w:rsid w:val="00BE4A0F"/>
    <w:rsid w:val="00BE4A52"/>
    <w:rsid w:val="00BE4B7B"/>
    <w:rsid w:val="00BE4DB0"/>
    <w:rsid w:val="00BE4E89"/>
    <w:rsid w:val="00BE4F3F"/>
    <w:rsid w:val="00BE4F9C"/>
    <w:rsid w:val="00BE4FCA"/>
    <w:rsid w:val="00BE4FDE"/>
    <w:rsid w:val="00BE500A"/>
    <w:rsid w:val="00BE5019"/>
    <w:rsid w:val="00BE508E"/>
    <w:rsid w:val="00BE51B8"/>
    <w:rsid w:val="00BE524E"/>
    <w:rsid w:val="00BE5277"/>
    <w:rsid w:val="00BE528D"/>
    <w:rsid w:val="00BE5296"/>
    <w:rsid w:val="00BE5403"/>
    <w:rsid w:val="00BE544D"/>
    <w:rsid w:val="00BE5475"/>
    <w:rsid w:val="00BE5647"/>
    <w:rsid w:val="00BE570C"/>
    <w:rsid w:val="00BE573F"/>
    <w:rsid w:val="00BE5877"/>
    <w:rsid w:val="00BE58D1"/>
    <w:rsid w:val="00BE58E4"/>
    <w:rsid w:val="00BE58E7"/>
    <w:rsid w:val="00BE58F6"/>
    <w:rsid w:val="00BE58FA"/>
    <w:rsid w:val="00BE59A4"/>
    <w:rsid w:val="00BE59D1"/>
    <w:rsid w:val="00BE5A1E"/>
    <w:rsid w:val="00BE5A89"/>
    <w:rsid w:val="00BE5B77"/>
    <w:rsid w:val="00BE5B80"/>
    <w:rsid w:val="00BE5B8E"/>
    <w:rsid w:val="00BE5B94"/>
    <w:rsid w:val="00BE5E99"/>
    <w:rsid w:val="00BE5F03"/>
    <w:rsid w:val="00BE5F3C"/>
    <w:rsid w:val="00BE5FDD"/>
    <w:rsid w:val="00BE6027"/>
    <w:rsid w:val="00BE6110"/>
    <w:rsid w:val="00BE614A"/>
    <w:rsid w:val="00BE62FB"/>
    <w:rsid w:val="00BE639C"/>
    <w:rsid w:val="00BE63A3"/>
    <w:rsid w:val="00BE63E2"/>
    <w:rsid w:val="00BE6424"/>
    <w:rsid w:val="00BE64EB"/>
    <w:rsid w:val="00BE6599"/>
    <w:rsid w:val="00BE65C2"/>
    <w:rsid w:val="00BE6675"/>
    <w:rsid w:val="00BE66A6"/>
    <w:rsid w:val="00BE66FC"/>
    <w:rsid w:val="00BE6709"/>
    <w:rsid w:val="00BE6787"/>
    <w:rsid w:val="00BE67B9"/>
    <w:rsid w:val="00BE681C"/>
    <w:rsid w:val="00BE685E"/>
    <w:rsid w:val="00BE688D"/>
    <w:rsid w:val="00BE6BC0"/>
    <w:rsid w:val="00BE6C2B"/>
    <w:rsid w:val="00BE6C30"/>
    <w:rsid w:val="00BE6C85"/>
    <w:rsid w:val="00BE6CEC"/>
    <w:rsid w:val="00BE6D30"/>
    <w:rsid w:val="00BE6E88"/>
    <w:rsid w:val="00BE6E8E"/>
    <w:rsid w:val="00BE6EEF"/>
    <w:rsid w:val="00BE6F14"/>
    <w:rsid w:val="00BE6F2B"/>
    <w:rsid w:val="00BE6F5F"/>
    <w:rsid w:val="00BE6FA1"/>
    <w:rsid w:val="00BE6FCA"/>
    <w:rsid w:val="00BE6FFB"/>
    <w:rsid w:val="00BE725C"/>
    <w:rsid w:val="00BE742A"/>
    <w:rsid w:val="00BE747D"/>
    <w:rsid w:val="00BE7696"/>
    <w:rsid w:val="00BE7700"/>
    <w:rsid w:val="00BE77B8"/>
    <w:rsid w:val="00BE78A1"/>
    <w:rsid w:val="00BE794F"/>
    <w:rsid w:val="00BE7A02"/>
    <w:rsid w:val="00BE7B8F"/>
    <w:rsid w:val="00BE7BE1"/>
    <w:rsid w:val="00BE7CB1"/>
    <w:rsid w:val="00BE7CE1"/>
    <w:rsid w:val="00BE7E78"/>
    <w:rsid w:val="00BE7E7C"/>
    <w:rsid w:val="00BE7EC0"/>
    <w:rsid w:val="00BE7EE8"/>
    <w:rsid w:val="00BE7F83"/>
    <w:rsid w:val="00BF0078"/>
    <w:rsid w:val="00BF013D"/>
    <w:rsid w:val="00BF0152"/>
    <w:rsid w:val="00BF01C9"/>
    <w:rsid w:val="00BF0297"/>
    <w:rsid w:val="00BF03B5"/>
    <w:rsid w:val="00BF0528"/>
    <w:rsid w:val="00BF0549"/>
    <w:rsid w:val="00BF059B"/>
    <w:rsid w:val="00BF05D2"/>
    <w:rsid w:val="00BF05FE"/>
    <w:rsid w:val="00BF07FB"/>
    <w:rsid w:val="00BF0A46"/>
    <w:rsid w:val="00BF0ABE"/>
    <w:rsid w:val="00BF0B76"/>
    <w:rsid w:val="00BF0BE5"/>
    <w:rsid w:val="00BF0C02"/>
    <w:rsid w:val="00BF0D48"/>
    <w:rsid w:val="00BF0DE1"/>
    <w:rsid w:val="00BF0E5D"/>
    <w:rsid w:val="00BF0E8B"/>
    <w:rsid w:val="00BF0EB2"/>
    <w:rsid w:val="00BF1066"/>
    <w:rsid w:val="00BF106B"/>
    <w:rsid w:val="00BF10C2"/>
    <w:rsid w:val="00BF113B"/>
    <w:rsid w:val="00BF126E"/>
    <w:rsid w:val="00BF12AF"/>
    <w:rsid w:val="00BF13B6"/>
    <w:rsid w:val="00BF13F9"/>
    <w:rsid w:val="00BF1413"/>
    <w:rsid w:val="00BF153B"/>
    <w:rsid w:val="00BF15C6"/>
    <w:rsid w:val="00BF166C"/>
    <w:rsid w:val="00BF16B6"/>
    <w:rsid w:val="00BF17A0"/>
    <w:rsid w:val="00BF1843"/>
    <w:rsid w:val="00BF19C5"/>
    <w:rsid w:val="00BF1B9D"/>
    <w:rsid w:val="00BF1BE7"/>
    <w:rsid w:val="00BF1C02"/>
    <w:rsid w:val="00BF1C92"/>
    <w:rsid w:val="00BF1D50"/>
    <w:rsid w:val="00BF1D55"/>
    <w:rsid w:val="00BF1D6A"/>
    <w:rsid w:val="00BF1D88"/>
    <w:rsid w:val="00BF1DDC"/>
    <w:rsid w:val="00BF1EF3"/>
    <w:rsid w:val="00BF200E"/>
    <w:rsid w:val="00BF2108"/>
    <w:rsid w:val="00BF2163"/>
    <w:rsid w:val="00BF2197"/>
    <w:rsid w:val="00BF229B"/>
    <w:rsid w:val="00BF2343"/>
    <w:rsid w:val="00BF2436"/>
    <w:rsid w:val="00BF244F"/>
    <w:rsid w:val="00BF2484"/>
    <w:rsid w:val="00BF24BE"/>
    <w:rsid w:val="00BF25AC"/>
    <w:rsid w:val="00BF263C"/>
    <w:rsid w:val="00BF275E"/>
    <w:rsid w:val="00BF27FB"/>
    <w:rsid w:val="00BF2858"/>
    <w:rsid w:val="00BF2944"/>
    <w:rsid w:val="00BF2A87"/>
    <w:rsid w:val="00BF2AB5"/>
    <w:rsid w:val="00BF2B5F"/>
    <w:rsid w:val="00BF2BD4"/>
    <w:rsid w:val="00BF2D69"/>
    <w:rsid w:val="00BF2DBD"/>
    <w:rsid w:val="00BF2DCA"/>
    <w:rsid w:val="00BF2E36"/>
    <w:rsid w:val="00BF2E82"/>
    <w:rsid w:val="00BF2F02"/>
    <w:rsid w:val="00BF3022"/>
    <w:rsid w:val="00BF304F"/>
    <w:rsid w:val="00BF3159"/>
    <w:rsid w:val="00BF32F1"/>
    <w:rsid w:val="00BF3382"/>
    <w:rsid w:val="00BF33E0"/>
    <w:rsid w:val="00BF347E"/>
    <w:rsid w:val="00BF34AA"/>
    <w:rsid w:val="00BF34D4"/>
    <w:rsid w:val="00BF3509"/>
    <w:rsid w:val="00BF35A6"/>
    <w:rsid w:val="00BF35B6"/>
    <w:rsid w:val="00BF35F5"/>
    <w:rsid w:val="00BF3761"/>
    <w:rsid w:val="00BF37C0"/>
    <w:rsid w:val="00BF37E9"/>
    <w:rsid w:val="00BF38E6"/>
    <w:rsid w:val="00BF3964"/>
    <w:rsid w:val="00BF39A7"/>
    <w:rsid w:val="00BF3B1C"/>
    <w:rsid w:val="00BF3B64"/>
    <w:rsid w:val="00BF3C24"/>
    <w:rsid w:val="00BF3C78"/>
    <w:rsid w:val="00BF3CE5"/>
    <w:rsid w:val="00BF3D55"/>
    <w:rsid w:val="00BF3DF7"/>
    <w:rsid w:val="00BF3E21"/>
    <w:rsid w:val="00BF3FAD"/>
    <w:rsid w:val="00BF3FB8"/>
    <w:rsid w:val="00BF4093"/>
    <w:rsid w:val="00BF411C"/>
    <w:rsid w:val="00BF412C"/>
    <w:rsid w:val="00BF42D8"/>
    <w:rsid w:val="00BF4302"/>
    <w:rsid w:val="00BF4463"/>
    <w:rsid w:val="00BF4468"/>
    <w:rsid w:val="00BF4473"/>
    <w:rsid w:val="00BF468D"/>
    <w:rsid w:val="00BF46E3"/>
    <w:rsid w:val="00BF4767"/>
    <w:rsid w:val="00BF4829"/>
    <w:rsid w:val="00BF4837"/>
    <w:rsid w:val="00BF48FA"/>
    <w:rsid w:val="00BF4AE7"/>
    <w:rsid w:val="00BF4AF8"/>
    <w:rsid w:val="00BF4B2B"/>
    <w:rsid w:val="00BF4D8B"/>
    <w:rsid w:val="00BF4D8C"/>
    <w:rsid w:val="00BF4EBA"/>
    <w:rsid w:val="00BF4F50"/>
    <w:rsid w:val="00BF4FCB"/>
    <w:rsid w:val="00BF50FA"/>
    <w:rsid w:val="00BF511A"/>
    <w:rsid w:val="00BF5147"/>
    <w:rsid w:val="00BF51B3"/>
    <w:rsid w:val="00BF539B"/>
    <w:rsid w:val="00BF543E"/>
    <w:rsid w:val="00BF54E5"/>
    <w:rsid w:val="00BF5559"/>
    <w:rsid w:val="00BF5651"/>
    <w:rsid w:val="00BF56F3"/>
    <w:rsid w:val="00BF5796"/>
    <w:rsid w:val="00BF585E"/>
    <w:rsid w:val="00BF58C6"/>
    <w:rsid w:val="00BF5968"/>
    <w:rsid w:val="00BF59A7"/>
    <w:rsid w:val="00BF5B3E"/>
    <w:rsid w:val="00BF5BBC"/>
    <w:rsid w:val="00BF5C73"/>
    <w:rsid w:val="00BF5CDF"/>
    <w:rsid w:val="00BF5DA4"/>
    <w:rsid w:val="00BF5F87"/>
    <w:rsid w:val="00BF602F"/>
    <w:rsid w:val="00BF60F7"/>
    <w:rsid w:val="00BF6142"/>
    <w:rsid w:val="00BF61A7"/>
    <w:rsid w:val="00BF61FE"/>
    <w:rsid w:val="00BF622A"/>
    <w:rsid w:val="00BF63E7"/>
    <w:rsid w:val="00BF6462"/>
    <w:rsid w:val="00BF6487"/>
    <w:rsid w:val="00BF64E0"/>
    <w:rsid w:val="00BF65B6"/>
    <w:rsid w:val="00BF669D"/>
    <w:rsid w:val="00BF678C"/>
    <w:rsid w:val="00BF6801"/>
    <w:rsid w:val="00BF68CC"/>
    <w:rsid w:val="00BF68F4"/>
    <w:rsid w:val="00BF6914"/>
    <w:rsid w:val="00BF6B50"/>
    <w:rsid w:val="00BF6BD9"/>
    <w:rsid w:val="00BF6C00"/>
    <w:rsid w:val="00BF6C2B"/>
    <w:rsid w:val="00BF6D14"/>
    <w:rsid w:val="00BF6FC7"/>
    <w:rsid w:val="00BF6FCA"/>
    <w:rsid w:val="00BF71A7"/>
    <w:rsid w:val="00BF71B8"/>
    <w:rsid w:val="00BF725D"/>
    <w:rsid w:val="00BF7406"/>
    <w:rsid w:val="00BF7612"/>
    <w:rsid w:val="00BF7648"/>
    <w:rsid w:val="00BF7842"/>
    <w:rsid w:val="00BF786B"/>
    <w:rsid w:val="00BF7963"/>
    <w:rsid w:val="00BF7B38"/>
    <w:rsid w:val="00BF7B69"/>
    <w:rsid w:val="00BF7BD9"/>
    <w:rsid w:val="00BF7C9A"/>
    <w:rsid w:val="00BF7E57"/>
    <w:rsid w:val="00BF7F14"/>
    <w:rsid w:val="00BF7FA6"/>
    <w:rsid w:val="00BFF317"/>
    <w:rsid w:val="00C00006"/>
    <w:rsid w:val="00C00026"/>
    <w:rsid w:val="00C00062"/>
    <w:rsid w:val="00C0016F"/>
    <w:rsid w:val="00C0046F"/>
    <w:rsid w:val="00C00526"/>
    <w:rsid w:val="00C0054B"/>
    <w:rsid w:val="00C0056D"/>
    <w:rsid w:val="00C008DC"/>
    <w:rsid w:val="00C00947"/>
    <w:rsid w:val="00C0096E"/>
    <w:rsid w:val="00C00994"/>
    <w:rsid w:val="00C00B04"/>
    <w:rsid w:val="00C00B70"/>
    <w:rsid w:val="00C00BBF"/>
    <w:rsid w:val="00C00C3D"/>
    <w:rsid w:val="00C00D24"/>
    <w:rsid w:val="00C00EAB"/>
    <w:rsid w:val="00C00FBC"/>
    <w:rsid w:val="00C010DB"/>
    <w:rsid w:val="00C010FB"/>
    <w:rsid w:val="00C01270"/>
    <w:rsid w:val="00C012DF"/>
    <w:rsid w:val="00C01327"/>
    <w:rsid w:val="00C0134F"/>
    <w:rsid w:val="00C0144F"/>
    <w:rsid w:val="00C014CB"/>
    <w:rsid w:val="00C014F9"/>
    <w:rsid w:val="00C015DD"/>
    <w:rsid w:val="00C017B9"/>
    <w:rsid w:val="00C018AA"/>
    <w:rsid w:val="00C018AD"/>
    <w:rsid w:val="00C01960"/>
    <w:rsid w:val="00C019C6"/>
    <w:rsid w:val="00C019E2"/>
    <w:rsid w:val="00C019E6"/>
    <w:rsid w:val="00C01A46"/>
    <w:rsid w:val="00C01A49"/>
    <w:rsid w:val="00C01B32"/>
    <w:rsid w:val="00C01CBE"/>
    <w:rsid w:val="00C01D2E"/>
    <w:rsid w:val="00C01DAB"/>
    <w:rsid w:val="00C01DAE"/>
    <w:rsid w:val="00C01FD9"/>
    <w:rsid w:val="00C020AA"/>
    <w:rsid w:val="00C0216D"/>
    <w:rsid w:val="00C0225E"/>
    <w:rsid w:val="00C0235C"/>
    <w:rsid w:val="00C0244F"/>
    <w:rsid w:val="00C0247F"/>
    <w:rsid w:val="00C024BA"/>
    <w:rsid w:val="00C02643"/>
    <w:rsid w:val="00C02644"/>
    <w:rsid w:val="00C027B1"/>
    <w:rsid w:val="00C027F7"/>
    <w:rsid w:val="00C0287E"/>
    <w:rsid w:val="00C02991"/>
    <w:rsid w:val="00C029BA"/>
    <w:rsid w:val="00C029F1"/>
    <w:rsid w:val="00C029FB"/>
    <w:rsid w:val="00C02A54"/>
    <w:rsid w:val="00C02B41"/>
    <w:rsid w:val="00C02CAB"/>
    <w:rsid w:val="00C02D5E"/>
    <w:rsid w:val="00C02DD4"/>
    <w:rsid w:val="00C02FCB"/>
    <w:rsid w:val="00C03001"/>
    <w:rsid w:val="00C03188"/>
    <w:rsid w:val="00C03333"/>
    <w:rsid w:val="00C03355"/>
    <w:rsid w:val="00C033C4"/>
    <w:rsid w:val="00C03446"/>
    <w:rsid w:val="00C0346E"/>
    <w:rsid w:val="00C034A0"/>
    <w:rsid w:val="00C035B3"/>
    <w:rsid w:val="00C03640"/>
    <w:rsid w:val="00C038C9"/>
    <w:rsid w:val="00C038F0"/>
    <w:rsid w:val="00C039A7"/>
    <w:rsid w:val="00C03AB4"/>
    <w:rsid w:val="00C03BC3"/>
    <w:rsid w:val="00C03BF4"/>
    <w:rsid w:val="00C03D57"/>
    <w:rsid w:val="00C03D96"/>
    <w:rsid w:val="00C03DA9"/>
    <w:rsid w:val="00C03E3E"/>
    <w:rsid w:val="00C03ED6"/>
    <w:rsid w:val="00C03EEE"/>
    <w:rsid w:val="00C03F27"/>
    <w:rsid w:val="00C04072"/>
    <w:rsid w:val="00C04090"/>
    <w:rsid w:val="00C041C0"/>
    <w:rsid w:val="00C0420C"/>
    <w:rsid w:val="00C04307"/>
    <w:rsid w:val="00C04392"/>
    <w:rsid w:val="00C043C0"/>
    <w:rsid w:val="00C043E1"/>
    <w:rsid w:val="00C04497"/>
    <w:rsid w:val="00C044E5"/>
    <w:rsid w:val="00C04586"/>
    <w:rsid w:val="00C045DA"/>
    <w:rsid w:val="00C046AF"/>
    <w:rsid w:val="00C0474F"/>
    <w:rsid w:val="00C04A56"/>
    <w:rsid w:val="00C04AD2"/>
    <w:rsid w:val="00C04B79"/>
    <w:rsid w:val="00C04C2D"/>
    <w:rsid w:val="00C04CB1"/>
    <w:rsid w:val="00C04D06"/>
    <w:rsid w:val="00C04EE1"/>
    <w:rsid w:val="00C04F37"/>
    <w:rsid w:val="00C0503C"/>
    <w:rsid w:val="00C050AE"/>
    <w:rsid w:val="00C05206"/>
    <w:rsid w:val="00C05226"/>
    <w:rsid w:val="00C05251"/>
    <w:rsid w:val="00C0526D"/>
    <w:rsid w:val="00C05363"/>
    <w:rsid w:val="00C05478"/>
    <w:rsid w:val="00C054B9"/>
    <w:rsid w:val="00C05561"/>
    <w:rsid w:val="00C056E4"/>
    <w:rsid w:val="00C05740"/>
    <w:rsid w:val="00C057AA"/>
    <w:rsid w:val="00C057B9"/>
    <w:rsid w:val="00C057F4"/>
    <w:rsid w:val="00C0584B"/>
    <w:rsid w:val="00C05969"/>
    <w:rsid w:val="00C0596A"/>
    <w:rsid w:val="00C059AA"/>
    <w:rsid w:val="00C05A1D"/>
    <w:rsid w:val="00C05A58"/>
    <w:rsid w:val="00C05BF5"/>
    <w:rsid w:val="00C05C1B"/>
    <w:rsid w:val="00C05CEC"/>
    <w:rsid w:val="00C05D67"/>
    <w:rsid w:val="00C05DD0"/>
    <w:rsid w:val="00C05E57"/>
    <w:rsid w:val="00C05F62"/>
    <w:rsid w:val="00C05FD9"/>
    <w:rsid w:val="00C060BC"/>
    <w:rsid w:val="00C0611A"/>
    <w:rsid w:val="00C061CA"/>
    <w:rsid w:val="00C0621B"/>
    <w:rsid w:val="00C06283"/>
    <w:rsid w:val="00C062F6"/>
    <w:rsid w:val="00C064CD"/>
    <w:rsid w:val="00C0662E"/>
    <w:rsid w:val="00C066ED"/>
    <w:rsid w:val="00C0673F"/>
    <w:rsid w:val="00C06838"/>
    <w:rsid w:val="00C0688D"/>
    <w:rsid w:val="00C068AA"/>
    <w:rsid w:val="00C068F8"/>
    <w:rsid w:val="00C06954"/>
    <w:rsid w:val="00C069D7"/>
    <w:rsid w:val="00C06A34"/>
    <w:rsid w:val="00C06AEA"/>
    <w:rsid w:val="00C06BAA"/>
    <w:rsid w:val="00C06C2B"/>
    <w:rsid w:val="00C06D87"/>
    <w:rsid w:val="00C06E48"/>
    <w:rsid w:val="00C06E8C"/>
    <w:rsid w:val="00C06F38"/>
    <w:rsid w:val="00C06F3B"/>
    <w:rsid w:val="00C06F41"/>
    <w:rsid w:val="00C07031"/>
    <w:rsid w:val="00C072E9"/>
    <w:rsid w:val="00C07323"/>
    <w:rsid w:val="00C07390"/>
    <w:rsid w:val="00C073B0"/>
    <w:rsid w:val="00C073FE"/>
    <w:rsid w:val="00C0746C"/>
    <w:rsid w:val="00C075CA"/>
    <w:rsid w:val="00C075D4"/>
    <w:rsid w:val="00C07639"/>
    <w:rsid w:val="00C076B2"/>
    <w:rsid w:val="00C0777B"/>
    <w:rsid w:val="00C0787F"/>
    <w:rsid w:val="00C07892"/>
    <w:rsid w:val="00C079BD"/>
    <w:rsid w:val="00C07A61"/>
    <w:rsid w:val="00C07AA3"/>
    <w:rsid w:val="00C07B37"/>
    <w:rsid w:val="00C07BDE"/>
    <w:rsid w:val="00C07C3A"/>
    <w:rsid w:val="00C07C74"/>
    <w:rsid w:val="00C07CBC"/>
    <w:rsid w:val="00C07E19"/>
    <w:rsid w:val="00C07E57"/>
    <w:rsid w:val="00C07E58"/>
    <w:rsid w:val="00C07E88"/>
    <w:rsid w:val="00C07F78"/>
    <w:rsid w:val="00C10388"/>
    <w:rsid w:val="00C104BF"/>
    <w:rsid w:val="00C10506"/>
    <w:rsid w:val="00C10524"/>
    <w:rsid w:val="00C10549"/>
    <w:rsid w:val="00C1075A"/>
    <w:rsid w:val="00C107CD"/>
    <w:rsid w:val="00C10853"/>
    <w:rsid w:val="00C109B9"/>
    <w:rsid w:val="00C10BBB"/>
    <w:rsid w:val="00C10CAA"/>
    <w:rsid w:val="00C10CBE"/>
    <w:rsid w:val="00C10CC3"/>
    <w:rsid w:val="00C10CF6"/>
    <w:rsid w:val="00C10DE0"/>
    <w:rsid w:val="00C10E87"/>
    <w:rsid w:val="00C10E95"/>
    <w:rsid w:val="00C11000"/>
    <w:rsid w:val="00C1103D"/>
    <w:rsid w:val="00C11065"/>
    <w:rsid w:val="00C110E7"/>
    <w:rsid w:val="00C11100"/>
    <w:rsid w:val="00C11189"/>
    <w:rsid w:val="00C111B9"/>
    <w:rsid w:val="00C11292"/>
    <w:rsid w:val="00C1130E"/>
    <w:rsid w:val="00C11456"/>
    <w:rsid w:val="00C114A0"/>
    <w:rsid w:val="00C115B3"/>
    <w:rsid w:val="00C115BA"/>
    <w:rsid w:val="00C11618"/>
    <w:rsid w:val="00C117AE"/>
    <w:rsid w:val="00C117BB"/>
    <w:rsid w:val="00C1180D"/>
    <w:rsid w:val="00C118F2"/>
    <w:rsid w:val="00C11942"/>
    <w:rsid w:val="00C11A2A"/>
    <w:rsid w:val="00C11A2D"/>
    <w:rsid w:val="00C11AD7"/>
    <w:rsid w:val="00C11BF6"/>
    <w:rsid w:val="00C11C10"/>
    <w:rsid w:val="00C11C89"/>
    <w:rsid w:val="00C11DD0"/>
    <w:rsid w:val="00C11E34"/>
    <w:rsid w:val="00C11E69"/>
    <w:rsid w:val="00C11F95"/>
    <w:rsid w:val="00C12071"/>
    <w:rsid w:val="00C121AC"/>
    <w:rsid w:val="00C1232A"/>
    <w:rsid w:val="00C12353"/>
    <w:rsid w:val="00C123CA"/>
    <w:rsid w:val="00C124B1"/>
    <w:rsid w:val="00C12639"/>
    <w:rsid w:val="00C126E9"/>
    <w:rsid w:val="00C127A1"/>
    <w:rsid w:val="00C127DE"/>
    <w:rsid w:val="00C12824"/>
    <w:rsid w:val="00C1285A"/>
    <w:rsid w:val="00C128C4"/>
    <w:rsid w:val="00C1296F"/>
    <w:rsid w:val="00C12A72"/>
    <w:rsid w:val="00C12B31"/>
    <w:rsid w:val="00C12B57"/>
    <w:rsid w:val="00C12BC7"/>
    <w:rsid w:val="00C12C0F"/>
    <w:rsid w:val="00C12C15"/>
    <w:rsid w:val="00C12C41"/>
    <w:rsid w:val="00C12C66"/>
    <w:rsid w:val="00C12CCD"/>
    <w:rsid w:val="00C12CF7"/>
    <w:rsid w:val="00C12D53"/>
    <w:rsid w:val="00C12D62"/>
    <w:rsid w:val="00C12F91"/>
    <w:rsid w:val="00C12FB8"/>
    <w:rsid w:val="00C12FE8"/>
    <w:rsid w:val="00C13052"/>
    <w:rsid w:val="00C131C1"/>
    <w:rsid w:val="00C131DE"/>
    <w:rsid w:val="00C13328"/>
    <w:rsid w:val="00C13459"/>
    <w:rsid w:val="00C1365B"/>
    <w:rsid w:val="00C1366F"/>
    <w:rsid w:val="00C137B6"/>
    <w:rsid w:val="00C13816"/>
    <w:rsid w:val="00C13868"/>
    <w:rsid w:val="00C138C2"/>
    <w:rsid w:val="00C1390C"/>
    <w:rsid w:val="00C13924"/>
    <w:rsid w:val="00C13929"/>
    <w:rsid w:val="00C139C5"/>
    <w:rsid w:val="00C13A0E"/>
    <w:rsid w:val="00C13A3A"/>
    <w:rsid w:val="00C13AA3"/>
    <w:rsid w:val="00C13B41"/>
    <w:rsid w:val="00C13E6F"/>
    <w:rsid w:val="00C13F21"/>
    <w:rsid w:val="00C14056"/>
    <w:rsid w:val="00C14063"/>
    <w:rsid w:val="00C14099"/>
    <w:rsid w:val="00C1418B"/>
    <w:rsid w:val="00C141AB"/>
    <w:rsid w:val="00C141E0"/>
    <w:rsid w:val="00C14203"/>
    <w:rsid w:val="00C1450C"/>
    <w:rsid w:val="00C14588"/>
    <w:rsid w:val="00C145CD"/>
    <w:rsid w:val="00C14655"/>
    <w:rsid w:val="00C14730"/>
    <w:rsid w:val="00C1479D"/>
    <w:rsid w:val="00C147B0"/>
    <w:rsid w:val="00C1497C"/>
    <w:rsid w:val="00C14A27"/>
    <w:rsid w:val="00C14AE5"/>
    <w:rsid w:val="00C14B20"/>
    <w:rsid w:val="00C14BC7"/>
    <w:rsid w:val="00C14C07"/>
    <w:rsid w:val="00C14D51"/>
    <w:rsid w:val="00C14DB2"/>
    <w:rsid w:val="00C14E77"/>
    <w:rsid w:val="00C15033"/>
    <w:rsid w:val="00C1504B"/>
    <w:rsid w:val="00C150C9"/>
    <w:rsid w:val="00C15118"/>
    <w:rsid w:val="00C1512E"/>
    <w:rsid w:val="00C15167"/>
    <w:rsid w:val="00C1525A"/>
    <w:rsid w:val="00C15347"/>
    <w:rsid w:val="00C15375"/>
    <w:rsid w:val="00C15485"/>
    <w:rsid w:val="00C1548E"/>
    <w:rsid w:val="00C15540"/>
    <w:rsid w:val="00C15628"/>
    <w:rsid w:val="00C158BF"/>
    <w:rsid w:val="00C158CD"/>
    <w:rsid w:val="00C158D9"/>
    <w:rsid w:val="00C15A60"/>
    <w:rsid w:val="00C15AE7"/>
    <w:rsid w:val="00C15B69"/>
    <w:rsid w:val="00C15C5B"/>
    <w:rsid w:val="00C15C81"/>
    <w:rsid w:val="00C15CBC"/>
    <w:rsid w:val="00C15D22"/>
    <w:rsid w:val="00C15D2C"/>
    <w:rsid w:val="00C15D33"/>
    <w:rsid w:val="00C15E3B"/>
    <w:rsid w:val="00C15F81"/>
    <w:rsid w:val="00C15FB5"/>
    <w:rsid w:val="00C15FD6"/>
    <w:rsid w:val="00C16168"/>
    <w:rsid w:val="00C1619C"/>
    <w:rsid w:val="00C16263"/>
    <w:rsid w:val="00C16326"/>
    <w:rsid w:val="00C1635A"/>
    <w:rsid w:val="00C16363"/>
    <w:rsid w:val="00C1647B"/>
    <w:rsid w:val="00C16497"/>
    <w:rsid w:val="00C165A5"/>
    <w:rsid w:val="00C16680"/>
    <w:rsid w:val="00C16765"/>
    <w:rsid w:val="00C168DE"/>
    <w:rsid w:val="00C16901"/>
    <w:rsid w:val="00C1698D"/>
    <w:rsid w:val="00C169C3"/>
    <w:rsid w:val="00C16BEF"/>
    <w:rsid w:val="00C16C60"/>
    <w:rsid w:val="00C16CDB"/>
    <w:rsid w:val="00C16D11"/>
    <w:rsid w:val="00C16D31"/>
    <w:rsid w:val="00C16D66"/>
    <w:rsid w:val="00C16DC3"/>
    <w:rsid w:val="00C16E2D"/>
    <w:rsid w:val="00C17057"/>
    <w:rsid w:val="00C17145"/>
    <w:rsid w:val="00C17282"/>
    <w:rsid w:val="00C17333"/>
    <w:rsid w:val="00C17348"/>
    <w:rsid w:val="00C1734C"/>
    <w:rsid w:val="00C1735D"/>
    <w:rsid w:val="00C17399"/>
    <w:rsid w:val="00C17430"/>
    <w:rsid w:val="00C1743C"/>
    <w:rsid w:val="00C1748B"/>
    <w:rsid w:val="00C175B6"/>
    <w:rsid w:val="00C175C7"/>
    <w:rsid w:val="00C17672"/>
    <w:rsid w:val="00C17721"/>
    <w:rsid w:val="00C17729"/>
    <w:rsid w:val="00C177C7"/>
    <w:rsid w:val="00C177F2"/>
    <w:rsid w:val="00C17844"/>
    <w:rsid w:val="00C17924"/>
    <w:rsid w:val="00C17952"/>
    <w:rsid w:val="00C179DC"/>
    <w:rsid w:val="00C17B1E"/>
    <w:rsid w:val="00C17B2E"/>
    <w:rsid w:val="00C17CCE"/>
    <w:rsid w:val="00C17CF1"/>
    <w:rsid w:val="00C17D4A"/>
    <w:rsid w:val="00C17D71"/>
    <w:rsid w:val="00C17DB7"/>
    <w:rsid w:val="00C17DBB"/>
    <w:rsid w:val="00C17EB4"/>
    <w:rsid w:val="00C17ECA"/>
    <w:rsid w:val="00C17F3C"/>
    <w:rsid w:val="00C20254"/>
    <w:rsid w:val="00C202A2"/>
    <w:rsid w:val="00C2032C"/>
    <w:rsid w:val="00C2038C"/>
    <w:rsid w:val="00C20456"/>
    <w:rsid w:val="00C20462"/>
    <w:rsid w:val="00C204C4"/>
    <w:rsid w:val="00C20665"/>
    <w:rsid w:val="00C206E5"/>
    <w:rsid w:val="00C20746"/>
    <w:rsid w:val="00C20982"/>
    <w:rsid w:val="00C209A0"/>
    <w:rsid w:val="00C20A53"/>
    <w:rsid w:val="00C20A9E"/>
    <w:rsid w:val="00C20B33"/>
    <w:rsid w:val="00C20B4A"/>
    <w:rsid w:val="00C20BAF"/>
    <w:rsid w:val="00C20C3B"/>
    <w:rsid w:val="00C20C93"/>
    <w:rsid w:val="00C20CC1"/>
    <w:rsid w:val="00C20D43"/>
    <w:rsid w:val="00C20D82"/>
    <w:rsid w:val="00C20DC0"/>
    <w:rsid w:val="00C20E80"/>
    <w:rsid w:val="00C20EA8"/>
    <w:rsid w:val="00C20EBF"/>
    <w:rsid w:val="00C20ECA"/>
    <w:rsid w:val="00C20ECF"/>
    <w:rsid w:val="00C20FAF"/>
    <w:rsid w:val="00C20FD7"/>
    <w:rsid w:val="00C2108F"/>
    <w:rsid w:val="00C21100"/>
    <w:rsid w:val="00C2118B"/>
    <w:rsid w:val="00C212DF"/>
    <w:rsid w:val="00C2130E"/>
    <w:rsid w:val="00C21336"/>
    <w:rsid w:val="00C21400"/>
    <w:rsid w:val="00C21432"/>
    <w:rsid w:val="00C21631"/>
    <w:rsid w:val="00C21856"/>
    <w:rsid w:val="00C21867"/>
    <w:rsid w:val="00C2186F"/>
    <w:rsid w:val="00C21909"/>
    <w:rsid w:val="00C219DC"/>
    <w:rsid w:val="00C21A6B"/>
    <w:rsid w:val="00C21AB8"/>
    <w:rsid w:val="00C21BAE"/>
    <w:rsid w:val="00C21C0D"/>
    <w:rsid w:val="00C21E0C"/>
    <w:rsid w:val="00C21E40"/>
    <w:rsid w:val="00C21EA2"/>
    <w:rsid w:val="00C21F88"/>
    <w:rsid w:val="00C2200B"/>
    <w:rsid w:val="00C221CA"/>
    <w:rsid w:val="00C222C8"/>
    <w:rsid w:val="00C222EB"/>
    <w:rsid w:val="00C22329"/>
    <w:rsid w:val="00C223D8"/>
    <w:rsid w:val="00C225E2"/>
    <w:rsid w:val="00C22601"/>
    <w:rsid w:val="00C2261E"/>
    <w:rsid w:val="00C22684"/>
    <w:rsid w:val="00C2289F"/>
    <w:rsid w:val="00C2297D"/>
    <w:rsid w:val="00C2298A"/>
    <w:rsid w:val="00C229F9"/>
    <w:rsid w:val="00C22A26"/>
    <w:rsid w:val="00C22AD4"/>
    <w:rsid w:val="00C22B77"/>
    <w:rsid w:val="00C22C46"/>
    <w:rsid w:val="00C22D20"/>
    <w:rsid w:val="00C22DF8"/>
    <w:rsid w:val="00C22E53"/>
    <w:rsid w:val="00C22F3A"/>
    <w:rsid w:val="00C22F9B"/>
    <w:rsid w:val="00C23060"/>
    <w:rsid w:val="00C23079"/>
    <w:rsid w:val="00C230FB"/>
    <w:rsid w:val="00C23148"/>
    <w:rsid w:val="00C231DA"/>
    <w:rsid w:val="00C23342"/>
    <w:rsid w:val="00C23467"/>
    <w:rsid w:val="00C23486"/>
    <w:rsid w:val="00C2351F"/>
    <w:rsid w:val="00C2362C"/>
    <w:rsid w:val="00C23707"/>
    <w:rsid w:val="00C23784"/>
    <w:rsid w:val="00C23810"/>
    <w:rsid w:val="00C23820"/>
    <w:rsid w:val="00C23898"/>
    <w:rsid w:val="00C238D6"/>
    <w:rsid w:val="00C23A17"/>
    <w:rsid w:val="00C23A1C"/>
    <w:rsid w:val="00C23A64"/>
    <w:rsid w:val="00C23A7F"/>
    <w:rsid w:val="00C23B61"/>
    <w:rsid w:val="00C23B87"/>
    <w:rsid w:val="00C23BB2"/>
    <w:rsid w:val="00C23C04"/>
    <w:rsid w:val="00C23CCD"/>
    <w:rsid w:val="00C23CD2"/>
    <w:rsid w:val="00C23DA5"/>
    <w:rsid w:val="00C23E22"/>
    <w:rsid w:val="00C23E6D"/>
    <w:rsid w:val="00C23EAE"/>
    <w:rsid w:val="00C23F44"/>
    <w:rsid w:val="00C23F74"/>
    <w:rsid w:val="00C24100"/>
    <w:rsid w:val="00C243AE"/>
    <w:rsid w:val="00C24454"/>
    <w:rsid w:val="00C24571"/>
    <w:rsid w:val="00C245BD"/>
    <w:rsid w:val="00C245FE"/>
    <w:rsid w:val="00C2461E"/>
    <w:rsid w:val="00C2472C"/>
    <w:rsid w:val="00C247BD"/>
    <w:rsid w:val="00C248D9"/>
    <w:rsid w:val="00C248F4"/>
    <w:rsid w:val="00C24921"/>
    <w:rsid w:val="00C2495B"/>
    <w:rsid w:val="00C249AB"/>
    <w:rsid w:val="00C24A0A"/>
    <w:rsid w:val="00C24A19"/>
    <w:rsid w:val="00C24A4B"/>
    <w:rsid w:val="00C24A54"/>
    <w:rsid w:val="00C24AB5"/>
    <w:rsid w:val="00C24B57"/>
    <w:rsid w:val="00C24D39"/>
    <w:rsid w:val="00C24D57"/>
    <w:rsid w:val="00C24DB2"/>
    <w:rsid w:val="00C24F63"/>
    <w:rsid w:val="00C24FBE"/>
    <w:rsid w:val="00C24FF3"/>
    <w:rsid w:val="00C2508F"/>
    <w:rsid w:val="00C250D0"/>
    <w:rsid w:val="00C251A1"/>
    <w:rsid w:val="00C251FF"/>
    <w:rsid w:val="00C25239"/>
    <w:rsid w:val="00C25272"/>
    <w:rsid w:val="00C2530E"/>
    <w:rsid w:val="00C25332"/>
    <w:rsid w:val="00C253F3"/>
    <w:rsid w:val="00C2540B"/>
    <w:rsid w:val="00C25529"/>
    <w:rsid w:val="00C2560F"/>
    <w:rsid w:val="00C2561B"/>
    <w:rsid w:val="00C2562A"/>
    <w:rsid w:val="00C25791"/>
    <w:rsid w:val="00C257DD"/>
    <w:rsid w:val="00C2580F"/>
    <w:rsid w:val="00C25A45"/>
    <w:rsid w:val="00C25B9E"/>
    <w:rsid w:val="00C25D95"/>
    <w:rsid w:val="00C25E42"/>
    <w:rsid w:val="00C25E99"/>
    <w:rsid w:val="00C25F08"/>
    <w:rsid w:val="00C2611A"/>
    <w:rsid w:val="00C2615E"/>
    <w:rsid w:val="00C261D8"/>
    <w:rsid w:val="00C2623F"/>
    <w:rsid w:val="00C26249"/>
    <w:rsid w:val="00C2628D"/>
    <w:rsid w:val="00C262B5"/>
    <w:rsid w:val="00C263B5"/>
    <w:rsid w:val="00C263D8"/>
    <w:rsid w:val="00C263FE"/>
    <w:rsid w:val="00C26508"/>
    <w:rsid w:val="00C26658"/>
    <w:rsid w:val="00C2670F"/>
    <w:rsid w:val="00C267E1"/>
    <w:rsid w:val="00C26810"/>
    <w:rsid w:val="00C2690F"/>
    <w:rsid w:val="00C26966"/>
    <w:rsid w:val="00C26972"/>
    <w:rsid w:val="00C26B1D"/>
    <w:rsid w:val="00C26B2D"/>
    <w:rsid w:val="00C26BCE"/>
    <w:rsid w:val="00C26C37"/>
    <w:rsid w:val="00C26C77"/>
    <w:rsid w:val="00C26CF5"/>
    <w:rsid w:val="00C26F38"/>
    <w:rsid w:val="00C26F70"/>
    <w:rsid w:val="00C26FC7"/>
    <w:rsid w:val="00C27042"/>
    <w:rsid w:val="00C27141"/>
    <w:rsid w:val="00C2716C"/>
    <w:rsid w:val="00C27197"/>
    <w:rsid w:val="00C271AD"/>
    <w:rsid w:val="00C272C2"/>
    <w:rsid w:val="00C272CD"/>
    <w:rsid w:val="00C273CA"/>
    <w:rsid w:val="00C27492"/>
    <w:rsid w:val="00C274E2"/>
    <w:rsid w:val="00C27604"/>
    <w:rsid w:val="00C276AE"/>
    <w:rsid w:val="00C2774A"/>
    <w:rsid w:val="00C27839"/>
    <w:rsid w:val="00C2786D"/>
    <w:rsid w:val="00C278E9"/>
    <w:rsid w:val="00C27904"/>
    <w:rsid w:val="00C27926"/>
    <w:rsid w:val="00C27AA1"/>
    <w:rsid w:val="00C27B1F"/>
    <w:rsid w:val="00C27BD7"/>
    <w:rsid w:val="00C27E26"/>
    <w:rsid w:val="00C27E2C"/>
    <w:rsid w:val="00C27F15"/>
    <w:rsid w:val="00C3001F"/>
    <w:rsid w:val="00C30137"/>
    <w:rsid w:val="00C3013C"/>
    <w:rsid w:val="00C30265"/>
    <w:rsid w:val="00C3031D"/>
    <w:rsid w:val="00C30345"/>
    <w:rsid w:val="00C30422"/>
    <w:rsid w:val="00C30457"/>
    <w:rsid w:val="00C304D9"/>
    <w:rsid w:val="00C305EB"/>
    <w:rsid w:val="00C30694"/>
    <w:rsid w:val="00C30728"/>
    <w:rsid w:val="00C3084F"/>
    <w:rsid w:val="00C309DF"/>
    <w:rsid w:val="00C30A8F"/>
    <w:rsid w:val="00C30C41"/>
    <w:rsid w:val="00C30C62"/>
    <w:rsid w:val="00C30CF7"/>
    <w:rsid w:val="00C30CFE"/>
    <w:rsid w:val="00C30E96"/>
    <w:rsid w:val="00C31076"/>
    <w:rsid w:val="00C3115A"/>
    <w:rsid w:val="00C31170"/>
    <w:rsid w:val="00C31180"/>
    <w:rsid w:val="00C311E7"/>
    <w:rsid w:val="00C312C1"/>
    <w:rsid w:val="00C31375"/>
    <w:rsid w:val="00C313AE"/>
    <w:rsid w:val="00C313EC"/>
    <w:rsid w:val="00C3140A"/>
    <w:rsid w:val="00C31615"/>
    <w:rsid w:val="00C31743"/>
    <w:rsid w:val="00C317AD"/>
    <w:rsid w:val="00C3188C"/>
    <w:rsid w:val="00C318E8"/>
    <w:rsid w:val="00C31916"/>
    <w:rsid w:val="00C31951"/>
    <w:rsid w:val="00C31C90"/>
    <w:rsid w:val="00C31D23"/>
    <w:rsid w:val="00C31EA6"/>
    <w:rsid w:val="00C31EAD"/>
    <w:rsid w:val="00C31F98"/>
    <w:rsid w:val="00C32453"/>
    <w:rsid w:val="00C324E0"/>
    <w:rsid w:val="00C325C0"/>
    <w:rsid w:val="00C32678"/>
    <w:rsid w:val="00C326B4"/>
    <w:rsid w:val="00C327FE"/>
    <w:rsid w:val="00C328FE"/>
    <w:rsid w:val="00C3298C"/>
    <w:rsid w:val="00C32B27"/>
    <w:rsid w:val="00C32C1A"/>
    <w:rsid w:val="00C32D76"/>
    <w:rsid w:val="00C32F5E"/>
    <w:rsid w:val="00C32F8C"/>
    <w:rsid w:val="00C32FBE"/>
    <w:rsid w:val="00C33095"/>
    <w:rsid w:val="00C330FE"/>
    <w:rsid w:val="00C33122"/>
    <w:rsid w:val="00C33138"/>
    <w:rsid w:val="00C33166"/>
    <w:rsid w:val="00C331D7"/>
    <w:rsid w:val="00C332D5"/>
    <w:rsid w:val="00C3338B"/>
    <w:rsid w:val="00C3340B"/>
    <w:rsid w:val="00C33758"/>
    <w:rsid w:val="00C3375D"/>
    <w:rsid w:val="00C337E9"/>
    <w:rsid w:val="00C33844"/>
    <w:rsid w:val="00C33874"/>
    <w:rsid w:val="00C3394C"/>
    <w:rsid w:val="00C33B90"/>
    <w:rsid w:val="00C33B97"/>
    <w:rsid w:val="00C33C05"/>
    <w:rsid w:val="00C33C32"/>
    <w:rsid w:val="00C33C5C"/>
    <w:rsid w:val="00C33CAF"/>
    <w:rsid w:val="00C33CDF"/>
    <w:rsid w:val="00C33D11"/>
    <w:rsid w:val="00C33D1F"/>
    <w:rsid w:val="00C33D3C"/>
    <w:rsid w:val="00C33DF1"/>
    <w:rsid w:val="00C33E0A"/>
    <w:rsid w:val="00C33E3D"/>
    <w:rsid w:val="00C33E80"/>
    <w:rsid w:val="00C33EA4"/>
    <w:rsid w:val="00C33EB0"/>
    <w:rsid w:val="00C33EC1"/>
    <w:rsid w:val="00C33ECE"/>
    <w:rsid w:val="00C33F26"/>
    <w:rsid w:val="00C340CA"/>
    <w:rsid w:val="00C34184"/>
    <w:rsid w:val="00C34581"/>
    <w:rsid w:val="00C345F1"/>
    <w:rsid w:val="00C34811"/>
    <w:rsid w:val="00C34821"/>
    <w:rsid w:val="00C348C4"/>
    <w:rsid w:val="00C348D7"/>
    <w:rsid w:val="00C349DD"/>
    <w:rsid w:val="00C349EF"/>
    <w:rsid w:val="00C34A43"/>
    <w:rsid w:val="00C34AC8"/>
    <w:rsid w:val="00C34BB7"/>
    <w:rsid w:val="00C34BFA"/>
    <w:rsid w:val="00C34DCE"/>
    <w:rsid w:val="00C34F96"/>
    <w:rsid w:val="00C35031"/>
    <w:rsid w:val="00C3507A"/>
    <w:rsid w:val="00C351AB"/>
    <w:rsid w:val="00C352E0"/>
    <w:rsid w:val="00C3535D"/>
    <w:rsid w:val="00C353E2"/>
    <w:rsid w:val="00C3542B"/>
    <w:rsid w:val="00C3557A"/>
    <w:rsid w:val="00C3557F"/>
    <w:rsid w:val="00C355C0"/>
    <w:rsid w:val="00C356C0"/>
    <w:rsid w:val="00C356D7"/>
    <w:rsid w:val="00C3575E"/>
    <w:rsid w:val="00C35872"/>
    <w:rsid w:val="00C35ADF"/>
    <w:rsid w:val="00C35B22"/>
    <w:rsid w:val="00C35C37"/>
    <w:rsid w:val="00C35C38"/>
    <w:rsid w:val="00C35C61"/>
    <w:rsid w:val="00C35CD2"/>
    <w:rsid w:val="00C35D0D"/>
    <w:rsid w:val="00C35FAB"/>
    <w:rsid w:val="00C3608D"/>
    <w:rsid w:val="00C3627F"/>
    <w:rsid w:val="00C363A3"/>
    <w:rsid w:val="00C36430"/>
    <w:rsid w:val="00C36483"/>
    <w:rsid w:val="00C364AB"/>
    <w:rsid w:val="00C364D3"/>
    <w:rsid w:val="00C36586"/>
    <w:rsid w:val="00C366A2"/>
    <w:rsid w:val="00C36717"/>
    <w:rsid w:val="00C367B5"/>
    <w:rsid w:val="00C367E4"/>
    <w:rsid w:val="00C36841"/>
    <w:rsid w:val="00C36863"/>
    <w:rsid w:val="00C3687F"/>
    <w:rsid w:val="00C368A1"/>
    <w:rsid w:val="00C36948"/>
    <w:rsid w:val="00C36BBF"/>
    <w:rsid w:val="00C36C99"/>
    <w:rsid w:val="00C36E94"/>
    <w:rsid w:val="00C36F12"/>
    <w:rsid w:val="00C36F24"/>
    <w:rsid w:val="00C37050"/>
    <w:rsid w:val="00C37104"/>
    <w:rsid w:val="00C371D6"/>
    <w:rsid w:val="00C372EB"/>
    <w:rsid w:val="00C372F0"/>
    <w:rsid w:val="00C372FC"/>
    <w:rsid w:val="00C37342"/>
    <w:rsid w:val="00C37378"/>
    <w:rsid w:val="00C373E4"/>
    <w:rsid w:val="00C3743A"/>
    <w:rsid w:val="00C37616"/>
    <w:rsid w:val="00C3761A"/>
    <w:rsid w:val="00C37715"/>
    <w:rsid w:val="00C3788C"/>
    <w:rsid w:val="00C378AD"/>
    <w:rsid w:val="00C378C8"/>
    <w:rsid w:val="00C37926"/>
    <w:rsid w:val="00C37977"/>
    <w:rsid w:val="00C37A05"/>
    <w:rsid w:val="00C37A23"/>
    <w:rsid w:val="00C37A7E"/>
    <w:rsid w:val="00C37B5C"/>
    <w:rsid w:val="00C37BE3"/>
    <w:rsid w:val="00C37BF8"/>
    <w:rsid w:val="00C37D12"/>
    <w:rsid w:val="00C37E11"/>
    <w:rsid w:val="00C4002A"/>
    <w:rsid w:val="00C40082"/>
    <w:rsid w:val="00C40105"/>
    <w:rsid w:val="00C4022F"/>
    <w:rsid w:val="00C40332"/>
    <w:rsid w:val="00C40422"/>
    <w:rsid w:val="00C4046B"/>
    <w:rsid w:val="00C40542"/>
    <w:rsid w:val="00C405E6"/>
    <w:rsid w:val="00C40655"/>
    <w:rsid w:val="00C407F3"/>
    <w:rsid w:val="00C40892"/>
    <w:rsid w:val="00C40918"/>
    <w:rsid w:val="00C40990"/>
    <w:rsid w:val="00C40B1E"/>
    <w:rsid w:val="00C40B79"/>
    <w:rsid w:val="00C40BE4"/>
    <w:rsid w:val="00C40BFD"/>
    <w:rsid w:val="00C40D36"/>
    <w:rsid w:val="00C4105D"/>
    <w:rsid w:val="00C4107F"/>
    <w:rsid w:val="00C4108E"/>
    <w:rsid w:val="00C410E7"/>
    <w:rsid w:val="00C4125D"/>
    <w:rsid w:val="00C413A2"/>
    <w:rsid w:val="00C4151A"/>
    <w:rsid w:val="00C415A7"/>
    <w:rsid w:val="00C4163E"/>
    <w:rsid w:val="00C4171B"/>
    <w:rsid w:val="00C4190E"/>
    <w:rsid w:val="00C41926"/>
    <w:rsid w:val="00C41986"/>
    <w:rsid w:val="00C41A65"/>
    <w:rsid w:val="00C41CDA"/>
    <w:rsid w:val="00C41D0D"/>
    <w:rsid w:val="00C41D48"/>
    <w:rsid w:val="00C41D4D"/>
    <w:rsid w:val="00C41E97"/>
    <w:rsid w:val="00C41EF9"/>
    <w:rsid w:val="00C41F70"/>
    <w:rsid w:val="00C41FAA"/>
    <w:rsid w:val="00C4207B"/>
    <w:rsid w:val="00C4216C"/>
    <w:rsid w:val="00C421E1"/>
    <w:rsid w:val="00C42222"/>
    <w:rsid w:val="00C42312"/>
    <w:rsid w:val="00C4234B"/>
    <w:rsid w:val="00C42387"/>
    <w:rsid w:val="00C4239E"/>
    <w:rsid w:val="00C423BF"/>
    <w:rsid w:val="00C423FB"/>
    <w:rsid w:val="00C4242D"/>
    <w:rsid w:val="00C42591"/>
    <w:rsid w:val="00C42924"/>
    <w:rsid w:val="00C429A0"/>
    <w:rsid w:val="00C429F8"/>
    <w:rsid w:val="00C42AEA"/>
    <w:rsid w:val="00C42AEE"/>
    <w:rsid w:val="00C42B2E"/>
    <w:rsid w:val="00C42BE3"/>
    <w:rsid w:val="00C42DBC"/>
    <w:rsid w:val="00C42DED"/>
    <w:rsid w:val="00C42E08"/>
    <w:rsid w:val="00C42E4D"/>
    <w:rsid w:val="00C42ECD"/>
    <w:rsid w:val="00C42EDD"/>
    <w:rsid w:val="00C42F23"/>
    <w:rsid w:val="00C430EB"/>
    <w:rsid w:val="00C430F4"/>
    <w:rsid w:val="00C43286"/>
    <w:rsid w:val="00C432BD"/>
    <w:rsid w:val="00C432DB"/>
    <w:rsid w:val="00C43408"/>
    <w:rsid w:val="00C4344F"/>
    <w:rsid w:val="00C4346E"/>
    <w:rsid w:val="00C43486"/>
    <w:rsid w:val="00C437B2"/>
    <w:rsid w:val="00C43892"/>
    <w:rsid w:val="00C438CF"/>
    <w:rsid w:val="00C4390E"/>
    <w:rsid w:val="00C43999"/>
    <w:rsid w:val="00C43A92"/>
    <w:rsid w:val="00C43AC3"/>
    <w:rsid w:val="00C43BEA"/>
    <w:rsid w:val="00C43C0F"/>
    <w:rsid w:val="00C43C8A"/>
    <w:rsid w:val="00C43D42"/>
    <w:rsid w:val="00C43DDD"/>
    <w:rsid w:val="00C43E56"/>
    <w:rsid w:val="00C43EB3"/>
    <w:rsid w:val="00C43F82"/>
    <w:rsid w:val="00C43FFA"/>
    <w:rsid w:val="00C44031"/>
    <w:rsid w:val="00C440B9"/>
    <w:rsid w:val="00C44120"/>
    <w:rsid w:val="00C44135"/>
    <w:rsid w:val="00C44172"/>
    <w:rsid w:val="00C4421E"/>
    <w:rsid w:val="00C44222"/>
    <w:rsid w:val="00C4430C"/>
    <w:rsid w:val="00C44341"/>
    <w:rsid w:val="00C44371"/>
    <w:rsid w:val="00C444A4"/>
    <w:rsid w:val="00C445AB"/>
    <w:rsid w:val="00C44692"/>
    <w:rsid w:val="00C446F5"/>
    <w:rsid w:val="00C44732"/>
    <w:rsid w:val="00C44756"/>
    <w:rsid w:val="00C447EA"/>
    <w:rsid w:val="00C44933"/>
    <w:rsid w:val="00C44A15"/>
    <w:rsid w:val="00C44A70"/>
    <w:rsid w:val="00C44AFA"/>
    <w:rsid w:val="00C44B29"/>
    <w:rsid w:val="00C44CFE"/>
    <w:rsid w:val="00C44D85"/>
    <w:rsid w:val="00C44EE0"/>
    <w:rsid w:val="00C44EFB"/>
    <w:rsid w:val="00C44F4D"/>
    <w:rsid w:val="00C45032"/>
    <w:rsid w:val="00C4506D"/>
    <w:rsid w:val="00C45098"/>
    <w:rsid w:val="00C450FD"/>
    <w:rsid w:val="00C45159"/>
    <w:rsid w:val="00C4516F"/>
    <w:rsid w:val="00C454FE"/>
    <w:rsid w:val="00C45526"/>
    <w:rsid w:val="00C45564"/>
    <w:rsid w:val="00C4558B"/>
    <w:rsid w:val="00C455B3"/>
    <w:rsid w:val="00C455BA"/>
    <w:rsid w:val="00C456AA"/>
    <w:rsid w:val="00C4576F"/>
    <w:rsid w:val="00C457CF"/>
    <w:rsid w:val="00C458A8"/>
    <w:rsid w:val="00C45927"/>
    <w:rsid w:val="00C459B8"/>
    <w:rsid w:val="00C45A51"/>
    <w:rsid w:val="00C45BDD"/>
    <w:rsid w:val="00C45D99"/>
    <w:rsid w:val="00C45E69"/>
    <w:rsid w:val="00C4601C"/>
    <w:rsid w:val="00C460E5"/>
    <w:rsid w:val="00C46131"/>
    <w:rsid w:val="00C461A4"/>
    <w:rsid w:val="00C463B5"/>
    <w:rsid w:val="00C463EB"/>
    <w:rsid w:val="00C46463"/>
    <w:rsid w:val="00C46494"/>
    <w:rsid w:val="00C464C6"/>
    <w:rsid w:val="00C464F2"/>
    <w:rsid w:val="00C46544"/>
    <w:rsid w:val="00C4665B"/>
    <w:rsid w:val="00C4665D"/>
    <w:rsid w:val="00C4667E"/>
    <w:rsid w:val="00C46682"/>
    <w:rsid w:val="00C466A0"/>
    <w:rsid w:val="00C46820"/>
    <w:rsid w:val="00C4684A"/>
    <w:rsid w:val="00C46AD5"/>
    <w:rsid w:val="00C46AF1"/>
    <w:rsid w:val="00C46C0F"/>
    <w:rsid w:val="00C46E69"/>
    <w:rsid w:val="00C470F2"/>
    <w:rsid w:val="00C47311"/>
    <w:rsid w:val="00C474D9"/>
    <w:rsid w:val="00C4753D"/>
    <w:rsid w:val="00C4755C"/>
    <w:rsid w:val="00C4765D"/>
    <w:rsid w:val="00C476A8"/>
    <w:rsid w:val="00C4773D"/>
    <w:rsid w:val="00C47908"/>
    <w:rsid w:val="00C47952"/>
    <w:rsid w:val="00C47957"/>
    <w:rsid w:val="00C479A7"/>
    <w:rsid w:val="00C479FE"/>
    <w:rsid w:val="00C47D5A"/>
    <w:rsid w:val="00C47DC4"/>
    <w:rsid w:val="00C47E0A"/>
    <w:rsid w:val="00C47EDC"/>
    <w:rsid w:val="00C47F33"/>
    <w:rsid w:val="00C500E8"/>
    <w:rsid w:val="00C5012F"/>
    <w:rsid w:val="00C50154"/>
    <w:rsid w:val="00C50278"/>
    <w:rsid w:val="00C503C8"/>
    <w:rsid w:val="00C5042A"/>
    <w:rsid w:val="00C504AB"/>
    <w:rsid w:val="00C50553"/>
    <w:rsid w:val="00C505CB"/>
    <w:rsid w:val="00C505FD"/>
    <w:rsid w:val="00C506F1"/>
    <w:rsid w:val="00C5075B"/>
    <w:rsid w:val="00C507D5"/>
    <w:rsid w:val="00C507E1"/>
    <w:rsid w:val="00C508C3"/>
    <w:rsid w:val="00C508E5"/>
    <w:rsid w:val="00C50921"/>
    <w:rsid w:val="00C50923"/>
    <w:rsid w:val="00C509B0"/>
    <w:rsid w:val="00C50A7A"/>
    <w:rsid w:val="00C50B7B"/>
    <w:rsid w:val="00C50BA9"/>
    <w:rsid w:val="00C50BF7"/>
    <w:rsid w:val="00C50C72"/>
    <w:rsid w:val="00C50CA4"/>
    <w:rsid w:val="00C50D18"/>
    <w:rsid w:val="00C50E4D"/>
    <w:rsid w:val="00C50FC8"/>
    <w:rsid w:val="00C51118"/>
    <w:rsid w:val="00C5111C"/>
    <w:rsid w:val="00C512DF"/>
    <w:rsid w:val="00C513DB"/>
    <w:rsid w:val="00C513E7"/>
    <w:rsid w:val="00C51597"/>
    <w:rsid w:val="00C5159E"/>
    <w:rsid w:val="00C515A2"/>
    <w:rsid w:val="00C51626"/>
    <w:rsid w:val="00C5167B"/>
    <w:rsid w:val="00C5169F"/>
    <w:rsid w:val="00C5172D"/>
    <w:rsid w:val="00C518B4"/>
    <w:rsid w:val="00C518EF"/>
    <w:rsid w:val="00C519C8"/>
    <w:rsid w:val="00C51A30"/>
    <w:rsid w:val="00C51AD3"/>
    <w:rsid w:val="00C51AEC"/>
    <w:rsid w:val="00C51B1B"/>
    <w:rsid w:val="00C51B38"/>
    <w:rsid w:val="00C51BA0"/>
    <w:rsid w:val="00C51BB7"/>
    <w:rsid w:val="00C51C2F"/>
    <w:rsid w:val="00C51C5A"/>
    <w:rsid w:val="00C51C64"/>
    <w:rsid w:val="00C51DA3"/>
    <w:rsid w:val="00C51DFC"/>
    <w:rsid w:val="00C51E9F"/>
    <w:rsid w:val="00C51EEB"/>
    <w:rsid w:val="00C51F22"/>
    <w:rsid w:val="00C51FAA"/>
    <w:rsid w:val="00C52014"/>
    <w:rsid w:val="00C521CC"/>
    <w:rsid w:val="00C52206"/>
    <w:rsid w:val="00C5237D"/>
    <w:rsid w:val="00C52454"/>
    <w:rsid w:val="00C524B9"/>
    <w:rsid w:val="00C524FE"/>
    <w:rsid w:val="00C52627"/>
    <w:rsid w:val="00C5264E"/>
    <w:rsid w:val="00C52780"/>
    <w:rsid w:val="00C527D0"/>
    <w:rsid w:val="00C52825"/>
    <w:rsid w:val="00C52950"/>
    <w:rsid w:val="00C529C7"/>
    <w:rsid w:val="00C52A01"/>
    <w:rsid w:val="00C52A9B"/>
    <w:rsid w:val="00C52C31"/>
    <w:rsid w:val="00C52C80"/>
    <w:rsid w:val="00C52C8B"/>
    <w:rsid w:val="00C52CA2"/>
    <w:rsid w:val="00C52E34"/>
    <w:rsid w:val="00C52F68"/>
    <w:rsid w:val="00C52FEE"/>
    <w:rsid w:val="00C5303E"/>
    <w:rsid w:val="00C53114"/>
    <w:rsid w:val="00C531D4"/>
    <w:rsid w:val="00C5320D"/>
    <w:rsid w:val="00C5343A"/>
    <w:rsid w:val="00C5343B"/>
    <w:rsid w:val="00C53451"/>
    <w:rsid w:val="00C53471"/>
    <w:rsid w:val="00C534AE"/>
    <w:rsid w:val="00C5350C"/>
    <w:rsid w:val="00C5357A"/>
    <w:rsid w:val="00C53714"/>
    <w:rsid w:val="00C5372D"/>
    <w:rsid w:val="00C537A9"/>
    <w:rsid w:val="00C537F6"/>
    <w:rsid w:val="00C5391D"/>
    <w:rsid w:val="00C53969"/>
    <w:rsid w:val="00C53975"/>
    <w:rsid w:val="00C53998"/>
    <w:rsid w:val="00C53A0C"/>
    <w:rsid w:val="00C53B06"/>
    <w:rsid w:val="00C53B19"/>
    <w:rsid w:val="00C53B41"/>
    <w:rsid w:val="00C53BD7"/>
    <w:rsid w:val="00C53C30"/>
    <w:rsid w:val="00C53C62"/>
    <w:rsid w:val="00C53CD4"/>
    <w:rsid w:val="00C53CD6"/>
    <w:rsid w:val="00C53E23"/>
    <w:rsid w:val="00C53E79"/>
    <w:rsid w:val="00C53EFB"/>
    <w:rsid w:val="00C54042"/>
    <w:rsid w:val="00C540F7"/>
    <w:rsid w:val="00C5414D"/>
    <w:rsid w:val="00C5421B"/>
    <w:rsid w:val="00C54232"/>
    <w:rsid w:val="00C5426A"/>
    <w:rsid w:val="00C5428F"/>
    <w:rsid w:val="00C543AC"/>
    <w:rsid w:val="00C54614"/>
    <w:rsid w:val="00C546B3"/>
    <w:rsid w:val="00C546BF"/>
    <w:rsid w:val="00C547DE"/>
    <w:rsid w:val="00C548D7"/>
    <w:rsid w:val="00C5492A"/>
    <w:rsid w:val="00C54B2B"/>
    <w:rsid w:val="00C54D0C"/>
    <w:rsid w:val="00C54E23"/>
    <w:rsid w:val="00C54EB2"/>
    <w:rsid w:val="00C54F3A"/>
    <w:rsid w:val="00C54F4A"/>
    <w:rsid w:val="00C55083"/>
    <w:rsid w:val="00C551BA"/>
    <w:rsid w:val="00C551CB"/>
    <w:rsid w:val="00C5536F"/>
    <w:rsid w:val="00C55436"/>
    <w:rsid w:val="00C5546F"/>
    <w:rsid w:val="00C554FA"/>
    <w:rsid w:val="00C555EE"/>
    <w:rsid w:val="00C555F0"/>
    <w:rsid w:val="00C5572A"/>
    <w:rsid w:val="00C55753"/>
    <w:rsid w:val="00C55820"/>
    <w:rsid w:val="00C558A0"/>
    <w:rsid w:val="00C55907"/>
    <w:rsid w:val="00C5594D"/>
    <w:rsid w:val="00C55A5E"/>
    <w:rsid w:val="00C55AB6"/>
    <w:rsid w:val="00C55ACE"/>
    <w:rsid w:val="00C55B79"/>
    <w:rsid w:val="00C55C45"/>
    <w:rsid w:val="00C55C6A"/>
    <w:rsid w:val="00C55C6D"/>
    <w:rsid w:val="00C55C8A"/>
    <w:rsid w:val="00C55D28"/>
    <w:rsid w:val="00C55D77"/>
    <w:rsid w:val="00C55DFB"/>
    <w:rsid w:val="00C55E51"/>
    <w:rsid w:val="00C55E77"/>
    <w:rsid w:val="00C55F46"/>
    <w:rsid w:val="00C55FBD"/>
    <w:rsid w:val="00C56028"/>
    <w:rsid w:val="00C5603B"/>
    <w:rsid w:val="00C56223"/>
    <w:rsid w:val="00C564D3"/>
    <w:rsid w:val="00C566F4"/>
    <w:rsid w:val="00C5674A"/>
    <w:rsid w:val="00C56B18"/>
    <w:rsid w:val="00C56D46"/>
    <w:rsid w:val="00C56E28"/>
    <w:rsid w:val="00C56EC5"/>
    <w:rsid w:val="00C56EF9"/>
    <w:rsid w:val="00C56EFB"/>
    <w:rsid w:val="00C56F9A"/>
    <w:rsid w:val="00C56FD5"/>
    <w:rsid w:val="00C57029"/>
    <w:rsid w:val="00C57105"/>
    <w:rsid w:val="00C5723E"/>
    <w:rsid w:val="00C57333"/>
    <w:rsid w:val="00C573FB"/>
    <w:rsid w:val="00C57406"/>
    <w:rsid w:val="00C5749E"/>
    <w:rsid w:val="00C575F9"/>
    <w:rsid w:val="00C575FF"/>
    <w:rsid w:val="00C57622"/>
    <w:rsid w:val="00C57638"/>
    <w:rsid w:val="00C57705"/>
    <w:rsid w:val="00C5780B"/>
    <w:rsid w:val="00C57904"/>
    <w:rsid w:val="00C57B2E"/>
    <w:rsid w:val="00C57D34"/>
    <w:rsid w:val="00C57DBF"/>
    <w:rsid w:val="00C57DE0"/>
    <w:rsid w:val="00C57FFC"/>
    <w:rsid w:val="00C59075"/>
    <w:rsid w:val="00C60080"/>
    <w:rsid w:val="00C6009C"/>
    <w:rsid w:val="00C600E1"/>
    <w:rsid w:val="00C60115"/>
    <w:rsid w:val="00C60185"/>
    <w:rsid w:val="00C60234"/>
    <w:rsid w:val="00C6024A"/>
    <w:rsid w:val="00C603D6"/>
    <w:rsid w:val="00C60447"/>
    <w:rsid w:val="00C60449"/>
    <w:rsid w:val="00C60531"/>
    <w:rsid w:val="00C60570"/>
    <w:rsid w:val="00C60583"/>
    <w:rsid w:val="00C6060E"/>
    <w:rsid w:val="00C606BD"/>
    <w:rsid w:val="00C606D6"/>
    <w:rsid w:val="00C60889"/>
    <w:rsid w:val="00C60CED"/>
    <w:rsid w:val="00C60DB3"/>
    <w:rsid w:val="00C60E16"/>
    <w:rsid w:val="00C60EB8"/>
    <w:rsid w:val="00C60EC3"/>
    <w:rsid w:val="00C610F3"/>
    <w:rsid w:val="00C6116D"/>
    <w:rsid w:val="00C611B4"/>
    <w:rsid w:val="00C6126E"/>
    <w:rsid w:val="00C61308"/>
    <w:rsid w:val="00C6133F"/>
    <w:rsid w:val="00C61412"/>
    <w:rsid w:val="00C61413"/>
    <w:rsid w:val="00C61643"/>
    <w:rsid w:val="00C61809"/>
    <w:rsid w:val="00C61838"/>
    <w:rsid w:val="00C618B0"/>
    <w:rsid w:val="00C61A1D"/>
    <w:rsid w:val="00C61A8E"/>
    <w:rsid w:val="00C61B26"/>
    <w:rsid w:val="00C61BF8"/>
    <w:rsid w:val="00C61C4C"/>
    <w:rsid w:val="00C61C84"/>
    <w:rsid w:val="00C61D05"/>
    <w:rsid w:val="00C61D90"/>
    <w:rsid w:val="00C61E5B"/>
    <w:rsid w:val="00C62029"/>
    <w:rsid w:val="00C6209F"/>
    <w:rsid w:val="00C620C0"/>
    <w:rsid w:val="00C62117"/>
    <w:rsid w:val="00C62131"/>
    <w:rsid w:val="00C6218C"/>
    <w:rsid w:val="00C6222C"/>
    <w:rsid w:val="00C622F9"/>
    <w:rsid w:val="00C62404"/>
    <w:rsid w:val="00C62407"/>
    <w:rsid w:val="00C62519"/>
    <w:rsid w:val="00C625A1"/>
    <w:rsid w:val="00C6263E"/>
    <w:rsid w:val="00C62642"/>
    <w:rsid w:val="00C6264C"/>
    <w:rsid w:val="00C6268B"/>
    <w:rsid w:val="00C627BE"/>
    <w:rsid w:val="00C6289D"/>
    <w:rsid w:val="00C62951"/>
    <w:rsid w:val="00C62C71"/>
    <w:rsid w:val="00C62C87"/>
    <w:rsid w:val="00C62E06"/>
    <w:rsid w:val="00C62EAE"/>
    <w:rsid w:val="00C62F67"/>
    <w:rsid w:val="00C62FC5"/>
    <w:rsid w:val="00C63042"/>
    <w:rsid w:val="00C630BE"/>
    <w:rsid w:val="00C630FB"/>
    <w:rsid w:val="00C632CA"/>
    <w:rsid w:val="00C63501"/>
    <w:rsid w:val="00C63544"/>
    <w:rsid w:val="00C636D0"/>
    <w:rsid w:val="00C636EE"/>
    <w:rsid w:val="00C6390A"/>
    <w:rsid w:val="00C639F6"/>
    <w:rsid w:val="00C63BC4"/>
    <w:rsid w:val="00C63D38"/>
    <w:rsid w:val="00C63E68"/>
    <w:rsid w:val="00C63EAD"/>
    <w:rsid w:val="00C63EB9"/>
    <w:rsid w:val="00C63F43"/>
    <w:rsid w:val="00C64057"/>
    <w:rsid w:val="00C64060"/>
    <w:rsid w:val="00C640D3"/>
    <w:rsid w:val="00C64145"/>
    <w:rsid w:val="00C64170"/>
    <w:rsid w:val="00C6418A"/>
    <w:rsid w:val="00C641C9"/>
    <w:rsid w:val="00C64235"/>
    <w:rsid w:val="00C64357"/>
    <w:rsid w:val="00C64419"/>
    <w:rsid w:val="00C646BC"/>
    <w:rsid w:val="00C64759"/>
    <w:rsid w:val="00C64813"/>
    <w:rsid w:val="00C648D9"/>
    <w:rsid w:val="00C649B1"/>
    <w:rsid w:val="00C649CD"/>
    <w:rsid w:val="00C64A38"/>
    <w:rsid w:val="00C64A3E"/>
    <w:rsid w:val="00C64B86"/>
    <w:rsid w:val="00C64C1E"/>
    <w:rsid w:val="00C64C39"/>
    <w:rsid w:val="00C64CBE"/>
    <w:rsid w:val="00C64D0F"/>
    <w:rsid w:val="00C64D56"/>
    <w:rsid w:val="00C64E3C"/>
    <w:rsid w:val="00C6502B"/>
    <w:rsid w:val="00C65138"/>
    <w:rsid w:val="00C65235"/>
    <w:rsid w:val="00C652A5"/>
    <w:rsid w:val="00C6557B"/>
    <w:rsid w:val="00C6560E"/>
    <w:rsid w:val="00C6567F"/>
    <w:rsid w:val="00C656E0"/>
    <w:rsid w:val="00C65717"/>
    <w:rsid w:val="00C65776"/>
    <w:rsid w:val="00C65804"/>
    <w:rsid w:val="00C65876"/>
    <w:rsid w:val="00C65890"/>
    <w:rsid w:val="00C65928"/>
    <w:rsid w:val="00C65AEA"/>
    <w:rsid w:val="00C65B02"/>
    <w:rsid w:val="00C65BFF"/>
    <w:rsid w:val="00C65DD3"/>
    <w:rsid w:val="00C65E2E"/>
    <w:rsid w:val="00C65EB3"/>
    <w:rsid w:val="00C66134"/>
    <w:rsid w:val="00C66210"/>
    <w:rsid w:val="00C6628E"/>
    <w:rsid w:val="00C663F5"/>
    <w:rsid w:val="00C6665D"/>
    <w:rsid w:val="00C6670C"/>
    <w:rsid w:val="00C6686C"/>
    <w:rsid w:val="00C668DC"/>
    <w:rsid w:val="00C668E6"/>
    <w:rsid w:val="00C66A1B"/>
    <w:rsid w:val="00C66A2D"/>
    <w:rsid w:val="00C66BB6"/>
    <w:rsid w:val="00C66C44"/>
    <w:rsid w:val="00C66CDA"/>
    <w:rsid w:val="00C66CEE"/>
    <w:rsid w:val="00C66DEF"/>
    <w:rsid w:val="00C66E77"/>
    <w:rsid w:val="00C66E9F"/>
    <w:rsid w:val="00C66F08"/>
    <w:rsid w:val="00C66FA8"/>
    <w:rsid w:val="00C6705A"/>
    <w:rsid w:val="00C6730D"/>
    <w:rsid w:val="00C67322"/>
    <w:rsid w:val="00C67443"/>
    <w:rsid w:val="00C67473"/>
    <w:rsid w:val="00C67664"/>
    <w:rsid w:val="00C67707"/>
    <w:rsid w:val="00C67789"/>
    <w:rsid w:val="00C677A7"/>
    <w:rsid w:val="00C678DC"/>
    <w:rsid w:val="00C6792A"/>
    <w:rsid w:val="00C67A9A"/>
    <w:rsid w:val="00C67B06"/>
    <w:rsid w:val="00C67BA7"/>
    <w:rsid w:val="00C67C0B"/>
    <w:rsid w:val="00C67D2D"/>
    <w:rsid w:val="00C67E2D"/>
    <w:rsid w:val="00C67EA0"/>
    <w:rsid w:val="00C67FAD"/>
    <w:rsid w:val="00C700B1"/>
    <w:rsid w:val="00C700D6"/>
    <w:rsid w:val="00C7022D"/>
    <w:rsid w:val="00C70273"/>
    <w:rsid w:val="00C704AE"/>
    <w:rsid w:val="00C704ED"/>
    <w:rsid w:val="00C705EC"/>
    <w:rsid w:val="00C70651"/>
    <w:rsid w:val="00C706FF"/>
    <w:rsid w:val="00C7073D"/>
    <w:rsid w:val="00C707A8"/>
    <w:rsid w:val="00C707DE"/>
    <w:rsid w:val="00C7088A"/>
    <w:rsid w:val="00C7088B"/>
    <w:rsid w:val="00C708A4"/>
    <w:rsid w:val="00C709DF"/>
    <w:rsid w:val="00C70A2E"/>
    <w:rsid w:val="00C70B02"/>
    <w:rsid w:val="00C70C68"/>
    <w:rsid w:val="00C70D08"/>
    <w:rsid w:val="00C70D19"/>
    <w:rsid w:val="00C70DCE"/>
    <w:rsid w:val="00C70E4A"/>
    <w:rsid w:val="00C70E7D"/>
    <w:rsid w:val="00C70F33"/>
    <w:rsid w:val="00C7101C"/>
    <w:rsid w:val="00C71113"/>
    <w:rsid w:val="00C7111C"/>
    <w:rsid w:val="00C7127F"/>
    <w:rsid w:val="00C712AF"/>
    <w:rsid w:val="00C7134D"/>
    <w:rsid w:val="00C7138D"/>
    <w:rsid w:val="00C7147B"/>
    <w:rsid w:val="00C7149F"/>
    <w:rsid w:val="00C714C5"/>
    <w:rsid w:val="00C7161F"/>
    <w:rsid w:val="00C71675"/>
    <w:rsid w:val="00C71745"/>
    <w:rsid w:val="00C71776"/>
    <w:rsid w:val="00C717C8"/>
    <w:rsid w:val="00C718F0"/>
    <w:rsid w:val="00C718FC"/>
    <w:rsid w:val="00C7190F"/>
    <w:rsid w:val="00C71967"/>
    <w:rsid w:val="00C71978"/>
    <w:rsid w:val="00C719EC"/>
    <w:rsid w:val="00C71A12"/>
    <w:rsid w:val="00C71B2A"/>
    <w:rsid w:val="00C71BB1"/>
    <w:rsid w:val="00C71C69"/>
    <w:rsid w:val="00C71D06"/>
    <w:rsid w:val="00C71E98"/>
    <w:rsid w:val="00C71EDD"/>
    <w:rsid w:val="00C71F3B"/>
    <w:rsid w:val="00C71F81"/>
    <w:rsid w:val="00C71F8C"/>
    <w:rsid w:val="00C71FA4"/>
    <w:rsid w:val="00C72058"/>
    <w:rsid w:val="00C720CE"/>
    <w:rsid w:val="00C721A0"/>
    <w:rsid w:val="00C72395"/>
    <w:rsid w:val="00C72448"/>
    <w:rsid w:val="00C72584"/>
    <w:rsid w:val="00C72589"/>
    <w:rsid w:val="00C72647"/>
    <w:rsid w:val="00C7264E"/>
    <w:rsid w:val="00C727CE"/>
    <w:rsid w:val="00C72847"/>
    <w:rsid w:val="00C72923"/>
    <w:rsid w:val="00C7293C"/>
    <w:rsid w:val="00C72A21"/>
    <w:rsid w:val="00C72B90"/>
    <w:rsid w:val="00C72C15"/>
    <w:rsid w:val="00C72C2F"/>
    <w:rsid w:val="00C72FD6"/>
    <w:rsid w:val="00C73044"/>
    <w:rsid w:val="00C73073"/>
    <w:rsid w:val="00C7307E"/>
    <w:rsid w:val="00C7308C"/>
    <w:rsid w:val="00C73113"/>
    <w:rsid w:val="00C732B1"/>
    <w:rsid w:val="00C732B5"/>
    <w:rsid w:val="00C733F7"/>
    <w:rsid w:val="00C73468"/>
    <w:rsid w:val="00C7350D"/>
    <w:rsid w:val="00C736BE"/>
    <w:rsid w:val="00C73743"/>
    <w:rsid w:val="00C737DB"/>
    <w:rsid w:val="00C737F9"/>
    <w:rsid w:val="00C738E4"/>
    <w:rsid w:val="00C73A0B"/>
    <w:rsid w:val="00C73A9E"/>
    <w:rsid w:val="00C73C68"/>
    <w:rsid w:val="00C73CDF"/>
    <w:rsid w:val="00C73EA8"/>
    <w:rsid w:val="00C73F68"/>
    <w:rsid w:val="00C73F94"/>
    <w:rsid w:val="00C73FB6"/>
    <w:rsid w:val="00C740DD"/>
    <w:rsid w:val="00C742E4"/>
    <w:rsid w:val="00C74350"/>
    <w:rsid w:val="00C744B2"/>
    <w:rsid w:val="00C745C3"/>
    <w:rsid w:val="00C745E1"/>
    <w:rsid w:val="00C745E5"/>
    <w:rsid w:val="00C74652"/>
    <w:rsid w:val="00C746C6"/>
    <w:rsid w:val="00C74777"/>
    <w:rsid w:val="00C747FD"/>
    <w:rsid w:val="00C7483B"/>
    <w:rsid w:val="00C748DD"/>
    <w:rsid w:val="00C74968"/>
    <w:rsid w:val="00C74A18"/>
    <w:rsid w:val="00C74B20"/>
    <w:rsid w:val="00C74B71"/>
    <w:rsid w:val="00C74D3F"/>
    <w:rsid w:val="00C74F02"/>
    <w:rsid w:val="00C74F1E"/>
    <w:rsid w:val="00C74F20"/>
    <w:rsid w:val="00C74F67"/>
    <w:rsid w:val="00C74FD4"/>
    <w:rsid w:val="00C7509B"/>
    <w:rsid w:val="00C751D6"/>
    <w:rsid w:val="00C751E0"/>
    <w:rsid w:val="00C753DC"/>
    <w:rsid w:val="00C75547"/>
    <w:rsid w:val="00C75615"/>
    <w:rsid w:val="00C756DC"/>
    <w:rsid w:val="00C7570E"/>
    <w:rsid w:val="00C75856"/>
    <w:rsid w:val="00C758AB"/>
    <w:rsid w:val="00C758FD"/>
    <w:rsid w:val="00C75937"/>
    <w:rsid w:val="00C75952"/>
    <w:rsid w:val="00C75989"/>
    <w:rsid w:val="00C75A23"/>
    <w:rsid w:val="00C75A31"/>
    <w:rsid w:val="00C75A8C"/>
    <w:rsid w:val="00C75AF1"/>
    <w:rsid w:val="00C75C1C"/>
    <w:rsid w:val="00C75DD3"/>
    <w:rsid w:val="00C75DD7"/>
    <w:rsid w:val="00C75E20"/>
    <w:rsid w:val="00C75E44"/>
    <w:rsid w:val="00C75E8A"/>
    <w:rsid w:val="00C75EBD"/>
    <w:rsid w:val="00C75EEA"/>
    <w:rsid w:val="00C76100"/>
    <w:rsid w:val="00C76106"/>
    <w:rsid w:val="00C7613A"/>
    <w:rsid w:val="00C762AB"/>
    <w:rsid w:val="00C7641A"/>
    <w:rsid w:val="00C7641F"/>
    <w:rsid w:val="00C764DB"/>
    <w:rsid w:val="00C764EA"/>
    <w:rsid w:val="00C76595"/>
    <w:rsid w:val="00C765E3"/>
    <w:rsid w:val="00C76658"/>
    <w:rsid w:val="00C766E2"/>
    <w:rsid w:val="00C766FA"/>
    <w:rsid w:val="00C7682C"/>
    <w:rsid w:val="00C76855"/>
    <w:rsid w:val="00C76866"/>
    <w:rsid w:val="00C76939"/>
    <w:rsid w:val="00C7694D"/>
    <w:rsid w:val="00C76991"/>
    <w:rsid w:val="00C769BE"/>
    <w:rsid w:val="00C76A22"/>
    <w:rsid w:val="00C76EAC"/>
    <w:rsid w:val="00C76F2B"/>
    <w:rsid w:val="00C770A9"/>
    <w:rsid w:val="00C77162"/>
    <w:rsid w:val="00C771C9"/>
    <w:rsid w:val="00C771E8"/>
    <w:rsid w:val="00C77260"/>
    <w:rsid w:val="00C77484"/>
    <w:rsid w:val="00C774A8"/>
    <w:rsid w:val="00C776B9"/>
    <w:rsid w:val="00C77771"/>
    <w:rsid w:val="00C777BF"/>
    <w:rsid w:val="00C777C3"/>
    <w:rsid w:val="00C77828"/>
    <w:rsid w:val="00C778D5"/>
    <w:rsid w:val="00C77A70"/>
    <w:rsid w:val="00C77EA4"/>
    <w:rsid w:val="00C78DAE"/>
    <w:rsid w:val="00C8002A"/>
    <w:rsid w:val="00C80281"/>
    <w:rsid w:val="00C80346"/>
    <w:rsid w:val="00C8035F"/>
    <w:rsid w:val="00C804ED"/>
    <w:rsid w:val="00C8055B"/>
    <w:rsid w:val="00C806FA"/>
    <w:rsid w:val="00C80797"/>
    <w:rsid w:val="00C80880"/>
    <w:rsid w:val="00C808DA"/>
    <w:rsid w:val="00C809C4"/>
    <w:rsid w:val="00C80B76"/>
    <w:rsid w:val="00C80BCA"/>
    <w:rsid w:val="00C80CE9"/>
    <w:rsid w:val="00C80D4A"/>
    <w:rsid w:val="00C80E14"/>
    <w:rsid w:val="00C80E40"/>
    <w:rsid w:val="00C80E5C"/>
    <w:rsid w:val="00C80F3B"/>
    <w:rsid w:val="00C80F8B"/>
    <w:rsid w:val="00C80F94"/>
    <w:rsid w:val="00C81003"/>
    <w:rsid w:val="00C81183"/>
    <w:rsid w:val="00C8140F"/>
    <w:rsid w:val="00C81487"/>
    <w:rsid w:val="00C814A8"/>
    <w:rsid w:val="00C814E9"/>
    <w:rsid w:val="00C815EC"/>
    <w:rsid w:val="00C8165C"/>
    <w:rsid w:val="00C816A4"/>
    <w:rsid w:val="00C81792"/>
    <w:rsid w:val="00C81887"/>
    <w:rsid w:val="00C818B7"/>
    <w:rsid w:val="00C81966"/>
    <w:rsid w:val="00C819F5"/>
    <w:rsid w:val="00C81AFE"/>
    <w:rsid w:val="00C81CA2"/>
    <w:rsid w:val="00C81D20"/>
    <w:rsid w:val="00C81D7F"/>
    <w:rsid w:val="00C81D92"/>
    <w:rsid w:val="00C81E07"/>
    <w:rsid w:val="00C81E42"/>
    <w:rsid w:val="00C81FBF"/>
    <w:rsid w:val="00C820A8"/>
    <w:rsid w:val="00C8211D"/>
    <w:rsid w:val="00C8215A"/>
    <w:rsid w:val="00C821EC"/>
    <w:rsid w:val="00C8223A"/>
    <w:rsid w:val="00C8227D"/>
    <w:rsid w:val="00C822A5"/>
    <w:rsid w:val="00C822B4"/>
    <w:rsid w:val="00C822C6"/>
    <w:rsid w:val="00C8246D"/>
    <w:rsid w:val="00C824AC"/>
    <w:rsid w:val="00C82744"/>
    <w:rsid w:val="00C82824"/>
    <w:rsid w:val="00C82826"/>
    <w:rsid w:val="00C8298E"/>
    <w:rsid w:val="00C82A25"/>
    <w:rsid w:val="00C82B08"/>
    <w:rsid w:val="00C82C98"/>
    <w:rsid w:val="00C82CB1"/>
    <w:rsid w:val="00C82D0F"/>
    <w:rsid w:val="00C82DB9"/>
    <w:rsid w:val="00C82EF1"/>
    <w:rsid w:val="00C82F86"/>
    <w:rsid w:val="00C830CD"/>
    <w:rsid w:val="00C83169"/>
    <w:rsid w:val="00C831BD"/>
    <w:rsid w:val="00C832CA"/>
    <w:rsid w:val="00C83386"/>
    <w:rsid w:val="00C83416"/>
    <w:rsid w:val="00C834AD"/>
    <w:rsid w:val="00C834CB"/>
    <w:rsid w:val="00C835C3"/>
    <w:rsid w:val="00C835DD"/>
    <w:rsid w:val="00C83644"/>
    <w:rsid w:val="00C836D6"/>
    <w:rsid w:val="00C837D4"/>
    <w:rsid w:val="00C83879"/>
    <w:rsid w:val="00C8394F"/>
    <w:rsid w:val="00C839B8"/>
    <w:rsid w:val="00C83AED"/>
    <w:rsid w:val="00C83BEA"/>
    <w:rsid w:val="00C83BF6"/>
    <w:rsid w:val="00C83C62"/>
    <w:rsid w:val="00C83DD2"/>
    <w:rsid w:val="00C83EA2"/>
    <w:rsid w:val="00C83EF7"/>
    <w:rsid w:val="00C83F06"/>
    <w:rsid w:val="00C83F5A"/>
    <w:rsid w:val="00C83FEF"/>
    <w:rsid w:val="00C84004"/>
    <w:rsid w:val="00C8402F"/>
    <w:rsid w:val="00C8417C"/>
    <w:rsid w:val="00C841CC"/>
    <w:rsid w:val="00C841F5"/>
    <w:rsid w:val="00C8424C"/>
    <w:rsid w:val="00C842DD"/>
    <w:rsid w:val="00C842E6"/>
    <w:rsid w:val="00C8437D"/>
    <w:rsid w:val="00C843C1"/>
    <w:rsid w:val="00C84428"/>
    <w:rsid w:val="00C8446C"/>
    <w:rsid w:val="00C847C5"/>
    <w:rsid w:val="00C84829"/>
    <w:rsid w:val="00C84840"/>
    <w:rsid w:val="00C84978"/>
    <w:rsid w:val="00C84A2D"/>
    <w:rsid w:val="00C84BC0"/>
    <w:rsid w:val="00C84C57"/>
    <w:rsid w:val="00C84C63"/>
    <w:rsid w:val="00C84CB1"/>
    <w:rsid w:val="00C84E63"/>
    <w:rsid w:val="00C84F95"/>
    <w:rsid w:val="00C84FA0"/>
    <w:rsid w:val="00C85186"/>
    <w:rsid w:val="00C85189"/>
    <w:rsid w:val="00C85269"/>
    <w:rsid w:val="00C852B3"/>
    <w:rsid w:val="00C853A5"/>
    <w:rsid w:val="00C853D8"/>
    <w:rsid w:val="00C85472"/>
    <w:rsid w:val="00C85483"/>
    <w:rsid w:val="00C85493"/>
    <w:rsid w:val="00C85555"/>
    <w:rsid w:val="00C85597"/>
    <w:rsid w:val="00C85625"/>
    <w:rsid w:val="00C85757"/>
    <w:rsid w:val="00C85759"/>
    <w:rsid w:val="00C857B8"/>
    <w:rsid w:val="00C85868"/>
    <w:rsid w:val="00C8587C"/>
    <w:rsid w:val="00C85AA4"/>
    <w:rsid w:val="00C85ACF"/>
    <w:rsid w:val="00C85ADE"/>
    <w:rsid w:val="00C85B54"/>
    <w:rsid w:val="00C85B66"/>
    <w:rsid w:val="00C85BA3"/>
    <w:rsid w:val="00C85BB9"/>
    <w:rsid w:val="00C85C37"/>
    <w:rsid w:val="00C85CD1"/>
    <w:rsid w:val="00C85E20"/>
    <w:rsid w:val="00C85E38"/>
    <w:rsid w:val="00C85EA3"/>
    <w:rsid w:val="00C85FBF"/>
    <w:rsid w:val="00C85FC1"/>
    <w:rsid w:val="00C8600C"/>
    <w:rsid w:val="00C86062"/>
    <w:rsid w:val="00C86275"/>
    <w:rsid w:val="00C863A7"/>
    <w:rsid w:val="00C863B1"/>
    <w:rsid w:val="00C863DB"/>
    <w:rsid w:val="00C864C3"/>
    <w:rsid w:val="00C86500"/>
    <w:rsid w:val="00C866A1"/>
    <w:rsid w:val="00C86768"/>
    <w:rsid w:val="00C867DE"/>
    <w:rsid w:val="00C867EB"/>
    <w:rsid w:val="00C868B4"/>
    <w:rsid w:val="00C8690B"/>
    <w:rsid w:val="00C86A47"/>
    <w:rsid w:val="00C86B80"/>
    <w:rsid w:val="00C86BFC"/>
    <w:rsid w:val="00C86C1A"/>
    <w:rsid w:val="00C86C7A"/>
    <w:rsid w:val="00C86CE9"/>
    <w:rsid w:val="00C86D0D"/>
    <w:rsid w:val="00C86D1F"/>
    <w:rsid w:val="00C86E32"/>
    <w:rsid w:val="00C86EFB"/>
    <w:rsid w:val="00C870DB"/>
    <w:rsid w:val="00C8710C"/>
    <w:rsid w:val="00C87284"/>
    <w:rsid w:val="00C872BC"/>
    <w:rsid w:val="00C873E0"/>
    <w:rsid w:val="00C87418"/>
    <w:rsid w:val="00C87586"/>
    <w:rsid w:val="00C8765A"/>
    <w:rsid w:val="00C87684"/>
    <w:rsid w:val="00C8782F"/>
    <w:rsid w:val="00C87889"/>
    <w:rsid w:val="00C879D2"/>
    <w:rsid w:val="00C879F9"/>
    <w:rsid w:val="00C87A0E"/>
    <w:rsid w:val="00C87A7C"/>
    <w:rsid w:val="00C87AF0"/>
    <w:rsid w:val="00C87B12"/>
    <w:rsid w:val="00C87B4F"/>
    <w:rsid w:val="00C87B5C"/>
    <w:rsid w:val="00C87F2A"/>
    <w:rsid w:val="00C87FB6"/>
    <w:rsid w:val="00C90082"/>
    <w:rsid w:val="00C900CE"/>
    <w:rsid w:val="00C900D7"/>
    <w:rsid w:val="00C900EA"/>
    <w:rsid w:val="00C90268"/>
    <w:rsid w:val="00C90370"/>
    <w:rsid w:val="00C903F3"/>
    <w:rsid w:val="00C903FD"/>
    <w:rsid w:val="00C90408"/>
    <w:rsid w:val="00C9046B"/>
    <w:rsid w:val="00C904F4"/>
    <w:rsid w:val="00C90702"/>
    <w:rsid w:val="00C90749"/>
    <w:rsid w:val="00C907CD"/>
    <w:rsid w:val="00C90847"/>
    <w:rsid w:val="00C9084D"/>
    <w:rsid w:val="00C90879"/>
    <w:rsid w:val="00C908A4"/>
    <w:rsid w:val="00C90B2A"/>
    <w:rsid w:val="00C90CE4"/>
    <w:rsid w:val="00C90D13"/>
    <w:rsid w:val="00C90D47"/>
    <w:rsid w:val="00C90DA7"/>
    <w:rsid w:val="00C90DC7"/>
    <w:rsid w:val="00C90DF6"/>
    <w:rsid w:val="00C90E82"/>
    <w:rsid w:val="00C90F2D"/>
    <w:rsid w:val="00C90F88"/>
    <w:rsid w:val="00C91037"/>
    <w:rsid w:val="00C91195"/>
    <w:rsid w:val="00C91270"/>
    <w:rsid w:val="00C912FD"/>
    <w:rsid w:val="00C912FF"/>
    <w:rsid w:val="00C91306"/>
    <w:rsid w:val="00C9152B"/>
    <w:rsid w:val="00C915C6"/>
    <w:rsid w:val="00C916D5"/>
    <w:rsid w:val="00C916DB"/>
    <w:rsid w:val="00C91721"/>
    <w:rsid w:val="00C917ED"/>
    <w:rsid w:val="00C918AB"/>
    <w:rsid w:val="00C918DA"/>
    <w:rsid w:val="00C9192A"/>
    <w:rsid w:val="00C919A6"/>
    <w:rsid w:val="00C91B1D"/>
    <w:rsid w:val="00C91C1C"/>
    <w:rsid w:val="00C91C44"/>
    <w:rsid w:val="00C91E22"/>
    <w:rsid w:val="00C91FF5"/>
    <w:rsid w:val="00C92009"/>
    <w:rsid w:val="00C9212D"/>
    <w:rsid w:val="00C92142"/>
    <w:rsid w:val="00C92469"/>
    <w:rsid w:val="00C92636"/>
    <w:rsid w:val="00C927E8"/>
    <w:rsid w:val="00C9283D"/>
    <w:rsid w:val="00C92853"/>
    <w:rsid w:val="00C92900"/>
    <w:rsid w:val="00C9292C"/>
    <w:rsid w:val="00C92989"/>
    <w:rsid w:val="00C92A1F"/>
    <w:rsid w:val="00C92A4F"/>
    <w:rsid w:val="00C92ADB"/>
    <w:rsid w:val="00C92B2E"/>
    <w:rsid w:val="00C92BB2"/>
    <w:rsid w:val="00C92BD8"/>
    <w:rsid w:val="00C92C95"/>
    <w:rsid w:val="00C92CC8"/>
    <w:rsid w:val="00C92CD1"/>
    <w:rsid w:val="00C92D0B"/>
    <w:rsid w:val="00C92E03"/>
    <w:rsid w:val="00C92E24"/>
    <w:rsid w:val="00C92E35"/>
    <w:rsid w:val="00C92E66"/>
    <w:rsid w:val="00C92E6B"/>
    <w:rsid w:val="00C92FB9"/>
    <w:rsid w:val="00C931BD"/>
    <w:rsid w:val="00C93538"/>
    <w:rsid w:val="00C935FA"/>
    <w:rsid w:val="00C936A1"/>
    <w:rsid w:val="00C936D5"/>
    <w:rsid w:val="00C93748"/>
    <w:rsid w:val="00C9378C"/>
    <w:rsid w:val="00C937EC"/>
    <w:rsid w:val="00C93835"/>
    <w:rsid w:val="00C93958"/>
    <w:rsid w:val="00C9396E"/>
    <w:rsid w:val="00C93BC7"/>
    <w:rsid w:val="00C93BD9"/>
    <w:rsid w:val="00C93BFB"/>
    <w:rsid w:val="00C93C30"/>
    <w:rsid w:val="00C93C52"/>
    <w:rsid w:val="00C93C6F"/>
    <w:rsid w:val="00C93D94"/>
    <w:rsid w:val="00C93E30"/>
    <w:rsid w:val="00C93E5C"/>
    <w:rsid w:val="00C93ED0"/>
    <w:rsid w:val="00C93EF2"/>
    <w:rsid w:val="00C93FDD"/>
    <w:rsid w:val="00C9403C"/>
    <w:rsid w:val="00C9404E"/>
    <w:rsid w:val="00C94267"/>
    <w:rsid w:val="00C942E7"/>
    <w:rsid w:val="00C9431E"/>
    <w:rsid w:val="00C94379"/>
    <w:rsid w:val="00C943E1"/>
    <w:rsid w:val="00C94407"/>
    <w:rsid w:val="00C94489"/>
    <w:rsid w:val="00C94507"/>
    <w:rsid w:val="00C94531"/>
    <w:rsid w:val="00C94595"/>
    <w:rsid w:val="00C9459A"/>
    <w:rsid w:val="00C945A0"/>
    <w:rsid w:val="00C9464B"/>
    <w:rsid w:val="00C946BA"/>
    <w:rsid w:val="00C947D5"/>
    <w:rsid w:val="00C94836"/>
    <w:rsid w:val="00C9486F"/>
    <w:rsid w:val="00C94946"/>
    <w:rsid w:val="00C94950"/>
    <w:rsid w:val="00C94988"/>
    <w:rsid w:val="00C94BAF"/>
    <w:rsid w:val="00C94C18"/>
    <w:rsid w:val="00C94CA7"/>
    <w:rsid w:val="00C94CB9"/>
    <w:rsid w:val="00C94D8F"/>
    <w:rsid w:val="00C94E0B"/>
    <w:rsid w:val="00C94F8C"/>
    <w:rsid w:val="00C950D5"/>
    <w:rsid w:val="00C950D8"/>
    <w:rsid w:val="00C95158"/>
    <w:rsid w:val="00C9521D"/>
    <w:rsid w:val="00C9533E"/>
    <w:rsid w:val="00C9545B"/>
    <w:rsid w:val="00C95511"/>
    <w:rsid w:val="00C95533"/>
    <w:rsid w:val="00C9555A"/>
    <w:rsid w:val="00C9575B"/>
    <w:rsid w:val="00C95762"/>
    <w:rsid w:val="00C95792"/>
    <w:rsid w:val="00C95AF8"/>
    <w:rsid w:val="00C95BE4"/>
    <w:rsid w:val="00C95C29"/>
    <w:rsid w:val="00C95C99"/>
    <w:rsid w:val="00C95D24"/>
    <w:rsid w:val="00C95D69"/>
    <w:rsid w:val="00C95E40"/>
    <w:rsid w:val="00C95EF1"/>
    <w:rsid w:val="00C95FA5"/>
    <w:rsid w:val="00C960B5"/>
    <w:rsid w:val="00C9627B"/>
    <w:rsid w:val="00C96294"/>
    <w:rsid w:val="00C96298"/>
    <w:rsid w:val="00C9635B"/>
    <w:rsid w:val="00C963A6"/>
    <w:rsid w:val="00C963DD"/>
    <w:rsid w:val="00C9647A"/>
    <w:rsid w:val="00C96495"/>
    <w:rsid w:val="00C9649D"/>
    <w:rsid w:val="00C9653A"/>
    <w:rsid w:val="00C965B7"/>
    <w:rsid w:val="00C966AC"/>
    <w:rsid w:val="00C96700"/>
    <w:rsid w:val="00C9673B"/>
    <w:rsid w:val="00C967F9"/>
    <w:rsid w:val="00C96890"/>
    <w:rsid w:val="00C9690E"/>
    <w:rsid w:val="00C96A66"/>
    <w:rsid w:val="00C96B21"/>
    <w:rsid w:val="00C96B86"/>
    <w:rsid w:val="00C96C9B"/>
    <w:rsid w:val="00C96CC9"/>
    <w:rsid w:val="00C96D5D"/>
    <w:rsid w:val="00C96E25"/>
    <w:rsid w:val="00C96F87"/>
    <w:rsid w:val="00C970DC"/>
    <w:rsid w:val="00C97139"/>
    <w:rsid w:val="00C971A0"/>
    <w:rsid w:val="00C97330"/>
    <w:rsid w:val="00C973E8"/>
    <w:rsid w:val="00C97650"/>
    <w:rsid w:val="00C9770F"/>
    <w:rsid w:val="00C9789A"/>
    <w:rsid w:val="00C97969"/>
    <w:rsid w:val="00C97989"/>
    <w:rsid w:val="00C97A0D"/>
    <w:rsid w:val="00C97A90"/>
    <w:rsid w:val="00C97C21"/>
    <w:rsid w:val="00C97D75"/>
    <w:rsid w:val="00C97D9A"/>
    <w:rsid w:val="00C97E39"/>
    <w:rsid w:val="00C97FA2"/>
    <w:rsid w:val="00CA0054"/>
    <w:rsid w:val="00CA00CE"/>
    <w:rsid w:val="00CA00DC"/>
    <w:rsid w:val="00CA00FD"/>
    <w:rsid w:val="00CA01CA"/>
    <w:rsid w:val="00CA032C"/>
    <w:rsid w:val="00CA042F"/>
    <w:rsid w:val="00CA04D5"/>
    <w:rsid w:val="00CA04EC"/>
    <w:rsid w:val="00CA054A"/>
    <w:rsid w:val="00CA0555"/>
    <w:rsid w:val="00CA0585"/>
    <w:rsid w:val="00CA08B9"/>
    <w:rsid w:val="00CA08C1"/>
    <w:rsid w:val="00CA094E"/>
    <w:rsid w:val="00CA09EC"/>
    <w:rsid w:val="00CA09F7"/>
    <w:rsid w:val="00CA0A0A"/>
    <w:rsid w:val="00CA0A23"/>
    <w:rsid w:val="00CA0BC3"/>
    <w:rsid w:val="00CA0BCD"/>
    <w:rsid w:val="00CA0D07"/>
    <w:rsid w:val="00CA0D92"/>
    <w:rsid w:val="00CA0DA0"/>
    <w:rsid w:val="00CA0F40"/>
    <w:rsid w:val="00CA116A"/>
    <w:rsid w:val="00CA129F"/>
    <w:rsid w:val="00CA12D8"/>
    <w:rsid w:val="00CA12DE"/>
    <w:rsid w:val="00CA136E"/>
    <w:rsid w:val="00CA1400"/>
    <w:rsid w:val="00CA14ED"/>
    <w:rsid w:val="00CA14FA"/>
    <w:rsid w:val="00CA1572"/>
    <w:rsid w:val="00CA15B8"/>
    <w:rsid w:val="00CA18CB"/>
    <w:rsid w:val="00CA1A3B"/>
    <w:rsid w:val="00CA1A53"/>
    <w:rsid w:val="00CA1B14"/>
    <w:rsid w:val="00CA1D61"/>
    <w:rsid w:val="00CA1D94"/>
    <w:rsid w:val="00CA210F"/>
    <w:rsid w:val="00CA2123"/>
    <w:rsid w:val="00CA2188"/>
    <w:rsid w:val="00CA2252"/>
    <w:rsid w:val="00CA227C"/>
    <w:rsid w:val="00CA230D"/>
    <w:rsid w:val="00CA239B"/>
    <w:rsid w:val="00CA23EA"/>
    <w:rsid w:val="00CA248E"/>
    <w:rsid w:val="00CA24A5"/>
    <w:rsid w:val="00CA276A"/>
    <w:rsid w:val="00CA2951"/>
    <w:rsid w:val="00CA29F2"/>
    <w:rsid w:val="00CA2C57"/>
    <w:rsid w:val="00CA2CA4"/>
    <w:rsid w:val="00CA2E57"/>
    <w:rsid w:val="00CA2E70"/>
    <w:rsid w:val="00CA305F"/>
    <w:rsid w:val="00CA3078"/>
    <w:rsid w:val="00CA30A7"/>
    <w:rsid w:val="00CA310A"/>
    <w:rsid w:val="00CA3128"/>
    <w:rsid w:val="00CA312C"/>
    <w:rsid w:val="00CA330E"/>
    <w:rsid w:val="00CA331C"/>
    <w:rsid w:val="00CA3504"/>
    <w:rsid w:val="00CA35DB"/>
    <w:rsid w:val="00CA35DE"/>
    <w:rsid w:val="00CA36B4"/>
    <w:rsid w:val="00CA36D2"/>
    <w:rsid w:val="00CA393B"/>
    <w:rsid w:val="00CA393E"/>
    <w:rsid w:val="00CA396B"/>
    <w:rsid w:val="00CA399A"/>
    <w:rsid w:val="00CA39EA"/>
    <w:rsid w:val="00CA3AB9"/>
    <w:rsid w:val="00CA3AC5"/>
    <w:rsid w:val="00CA3C60"/>
    <w:rsid w:val="00CA3F22"/>
    <w:rsid w:val="00CA41A5"/>
    <w:rsid w:val="00CA4289"/>
    <w:rsid w:val="00CA429F"/>
    <w:rsid w:val="00CA4378"/>
    <w:rsid w:val="00CA43ED"/>
    <w:rsid w:val="00CA4408"/>
    <w:rsid w:val="00CA44B4"/>
    <w:rsid w:val="00CA45A0"/>
    <w:rsid w:val="00CA45C4"/>
    <w:rsid w:val="00CA4669"/>
    <w:rsid w:val="00CA46AB"/>
    <w:rsid w:val="00CA470B"/>
    <w:rsid w:val="00CA475C"/>
    <w:rsid w:val="00CA4868"/>
    <w:rsid w:val="00CA48D8"/>
    <w:rsid w:val="00CA49EE"/>
    <w:rsid w:val="00CA4A90"/>
    <w:rsid w:val="00CA4B30"/>
    <w:rsid w:val="00CA4B84"/>
    <w:rsid w:val="00CA4BDD"/>
    <w:rsid w:val="00CA4D2F"/>
    <w:rsid w:val="00CA4D78"/>
    <w:rsid w:val="00CA4E34"/>
    <w:rsid w:val="00CA4EBF"/>
    <w:rsid w:val="00CA510D"/>
    <w:rsid w:val="00CA5119"/>
    <w:rsid w:val="00CA517C"/>
    <w:rsid w:val="00CA52B0"/>
    <w:rsid w:val="00CA5398"/>
    <w:rsid w:val="00CA53B7"/>
    <w:rsid w:val="00CA548C"/>
    <w:rsid w:val="00CA5520"/>
    <w:rsid w:val="00CA55D8"/>
    <w:rsid w:val="00CA5700"/>
    <w:rsid w:val="00CA5911"/>
    <w:rsid w:val="00CA594F"/>
    <w:rsid w:val="00CA5AA7"/>
    <w:rsid w:val="00CA5B7A"/>
    <w:rsid w:val="00CA5BA5"/>
    <w:rsid w:val="00CA5BD9"/>
    <w:rsid w:val="00CA5C79"/>
    <w:rsid w:val="00CA5CA4"/>
    <w:rsid w:val="00CA5EBA"/>
    <w:rsid w:val="00CA5EED"/>
    <w:rsid w:val="00CA5FD4"/>
    <w:rsid w:val="00CA6053"/>
    <w:rsid w:val="00CA6054"/>
    <w:rsid w:val="00CA606C"/>
    <w:rsid w:val="00CA6076"/>
    <w:rsid w:val="00CA6078"/>
    <w:rsid w:val="00CA60C1"/>
    <w:rsid w:val="00CA61B4"/>
    <w:rsid w:val="00CA61EC"/>
    <w:rsid w:val="00CA6222"/>
    <w:rsid w:val="00CA62E8"/>
    <w:rsid w:val="00CA638D"/>
    <w:rsid w:val="00CA6395"/>
    <w:rsid w:val="00CA64A2"/>
    <w:rsid w:val="00CA64B9"/>
    <w:rsid w:val="00CA6578"/>
    <w:rsid w:val="00CA657D"/>
    <w:rsid w:val="00CA6601"/>
    <w:rsid w:val="00CA6631"/>
    <w:rsid w:val="00CA664E"/>
    <w:rsid w:val="00CA6687"/>
    <w:rsid w:val="00CA6736"/>
    <w:rsid w:val="00CA6774"/>
    <w:rsid w:val="00CA67D3"/>
    <w:rsid w:val="00CA68D5"/>
    <w:rsid w:val="00CA6964"/>
    <w:rsid w:val="00CA6A34"/>
    <w:rsid w:val="00CA6A4F"/>
    <w:rsid w:val="00CA6A68"/>
    <w:rsid w:val="00CA6A9F"/>
    <w:rsid w:val="00CA6ABD"/>
    <w:rsid w:val="00CA6B8E"/>
    <w:rsid w:val="00CA6C3D"/>
    <w:rsid w:val="00CA6D81"/>
    <w:rsid w:val="00CA6D88"/>
    <w:rsid w:val="00CA6DAD"/>
    <w:rsid w:val="00CA6E6F"/>
    <w:rsid w:val="00CA6E88"/>
    <w:rsid w:val="00CA6E9D"/>
    <w:rsid w:val="00CA6ED0"/>
    <w:rsid w:val="00CA6F12"/>
    <w:rsid w:val="00CA702E"/>
    <w:rsid w:val="00CA708D"/>
    <w:rsid w:val="00CA70CF"/>
    <w:rsid w:val="00CA7346"/>
    <w:rsid w:val="00CA74BB"/>
    <w:rsid w:val="00CA7539"/>
    <w:rsid w:val="00CA7545"/>
    <w:rsid w:val="00CA759C"/>
    <w:rsid w:val="00CA763C"/>
    <w:rsid w:val="00CA7815"/>
    <w:rsid w:val="00CA7839"/>
    <w:rsid w:val="00CA7981"/>
    <w:rsid w:val="00CA7B71"/>
    <w:rsid w:val="00CA7BB6"/>
    <w:rsid w:val="00CA7C1D"/>
    <w:rsid w:val="00CA7C93"/>
    <w:rsid w:val="00CA7CCD"/>
    <w:rsid w:val="00CA7D0C"/>
    <w:rsid w:val="00CA7D87"/>
    <w:rsid w:val="00CA7E24"/>
    <w:rsid w:val="00CA7F6B"/>
    <w:rsid w:val="00CB0088"/>
    <w:rsid w:val="00CB00E5"/>
    <w:rsid w:val="00CB0134"/>
    <w:rsid w:val="00CB01EA"/>
    <w:rsid w:val="00CB0206"/>
    <w:rsid w:val="00CB0319"/>
    <w:rsid w:val="00CB0372"/>
    <w:rsid w:val="00CB037A"/>
    <w:rsid w:val="00CB03C5"/>
    <w:rsid w:val="00CB0436"/>
    <w:rsid w:val="00CB044D"/>
    <w:rsid w:val="00CB0554"/>
    <w:rsid w:val="00CB066C"/>
    <w:rsid w:val="00CB0771"/>
    <w:rsid w:val="00CB0862"/>
    <w:rsid w:val="00CB0866"/>
    <w:rsid w:val="00CB0897"/>
    <w:rsid w:val="00CB09DB"/>
    <w:rsid w:val="00CB09F1"/>
    <w:rsid w:val="00CB0A09"/>
    <w:rsid w:val="00CB0A79"/>
    <w:rsid w:val="00CB0F85"/>
    <w:rsid w:val="00CB1038"/>
    <w:rsid w:val="00CB1065"/>
    <w:rsid w:val="00CB119A"/>
    <w:rsid w:val="00CB119B"/>
    <w:rsid w:val="00CB11A0"/>
    <w:rsid w:val="00CB11A8"/>
    <w:rsid w:val="00CB11C2"/>
    <w:rsid w:val="00CB1207"/>
    <w:rsid w:val="00CB1264"/>
    <w:rsid w:val="00CB1279"/>
    <w:rsid w:val="00CB128E"/>
    <w:rsid w:val="00CB12AA"/>
    <w:rsid w:val="00CB12F8"/>
    <w:rsid w:val="00CB12F9"/>
    <w:rsid w:val="00CB131E"/>
    <w:rsid w:val="00CB145B"/>
    <w:rsid w:val="00CB1462"/>
    <w:rsid w:val="00CB15BC"/>
    <w:rsid w:val="00CB1666"/>
    <w:rsid w:val="00CB17C3"/>
    <w:rsid w:val="00CB180E"/>
    <w:rsid w:val="00CB1845"/>
    <w:rsid w:val="00CB18ED"/>
    <w:rsid w:val="00CB18F4"/>
    <w:rsid w:val="00CB191A"/>
    <w:rsid w:val="00CB19E1"/>
    <w:rsid w:val="00CB1A23"/>
    <w:rsid w:val="00CB1A6E"/>
    <w:rsid w:val="00CB1A71"/>
    <w:rsid w:val="00CB1A90"/>
    <w:rsid w:val="00CB1AD0"/>
    <w:rsid w:val="00CB1CBA"/>
    <w:rsid w:val="00CB1CC9"/>
    <w:rsid w:val="00CB1D01"/>
    <w:rsid w:val="00CB1D76"/>
    <w:rsid w:val="00CB1ED8"/>
    <w:rsid w:val="00CB1F63"/>
    <w:rsid w:val="00CB1F78"/>
    <w:rsid w:val="00CB1F7A"/>
    <w:rsid w:val="00CB1FE5"/>
    <w:rsid w:val="00CB200C"/>
    <w:rsid w:val="00CB2013"/>
    <w:rsid w:val="00CB205A"/>
    <w:rsid w:val="00CB20C3"/>
    <w:rsid w:val="00CB20D8"/>
    <w:rsid w:val="00CB2141"/>
    <w:rsid w:val="00CB2177"/>
    <w:rsid w:val="00CB219D"/>
    <w:rsid w:val="00CB2258"/>
    <w:rsid w:val="00CB231A"/>
    <w:rsid w:val="00CB2388"/>
    <w:rsid w:val="00CB23A1"/>
    <w:rsid w:val="00CB23CB"/>
    <w:rsid w:val="00CB23D4"/>
    <w:rsid w:val="00CB240D"/>
    <w:rsid w:val="00CB24C1"/>
    <w:rsid w:val="00CB2558"/>
    <w:rsid w:val="00CB25E9"/>
    <w:rsid w:val="00CB263D"/>
    <w:rsid w:val="00CB2671"/>
    <w:rsid w:val="00CB26BE"/>
    <w:rsid w:val="00CB2780"/>
    <w:rsid w:val="00CB27A0"/>
    <w:rsid w:val="00CB2917"/>
    <w:rsid w:val="00CB291B"/>
    <w:rsid w:val="00CB29DF"/>
    <w:rsid w:val="00CB2A55"/>
    <w:rsid w:val="00CB2B31"/>
    <w:rsid w:val="00CB2B6A"/>
    <w:rsid w:val="00CB2B78"/>
    <w:rsid w:val="00CB2C00"/>
    <w:rsid w:val="00CB2C6B"/>
    <w:rsid w:val="00CB2CC9"/>
    <w:rsid w:val="00CB2DA8"/>
    <w:rsid w:val="00CB2DC1"/>
    <w:rsid w:val="00CB2DCA"/>
    <w:rsid w:val="00CB2DED"/>
    <w:rsid w:val="00CB2E4D"/>
    <w:rsid w:val="00CB2E8C"/>
    <w:rsid w:val="00CB2F83"/>
    <w:rsid w:val="00CB3004"/>
    <w:rsid w:val="00CB3044"/>
    <w:rsid w:val="00CB30CA"/>
    <w:rsid w:val="00CB311F"/>
    <w:rsid w:val="00CB31D6"/>
    <w:rsid w:val="00CB31FA"/>
    <w:rsid w:val="00CB326A"/>
    <w:rsid w:val="00CB3299"/>
    <w:rsid w:val="00CB3320"/>
    <w:rsid w:val="00CB3375"/>
    <w:rsid w:val="00CB354A"/>
    <w:rsid w:val="00CB36A9"/>
    <w:rsid w:val="00CB372A"/>
    <w:rsid w:val="00CB3846"/>
    <w:rsid w:val="00CB3881"/>
    <w:rsid w:val="00CB389F"/>
    <w:rsid w:val="00CB3961"/>
    <w:rsid w:val="00CB39BB"/>
    <w:rsid w:val="00CB39DF"/>
    <w:rsid w:val="00CB3A07"/>
    <w:rsid w:val="00CB3A5A"/>
    <w:rsid w:val="00CB3AD7"/>
    <w:rsid w:val="00CB3AF8"/>
    <w:rsid w:val="00CB3B75"/>
    <w:rsid w:val="00CB3CC4"/>
    <w:rsid w:val="00CB3D6D"/>
    <w:rsid w:val="00CB3D88"/>
    <w:rsid w:val="00CB3DE8"/>
    <w:rsid w:val="00CB3E81"/>
    <w:rsid w:val="00CB3EBF"/>
    <w:rsid w:val="00CB3EC2"/>
    <w:rsid w:val="00CB3ECB"/>
    <w:rsid w:val="00CB3FFA"/>
    <w:rsid w:val="00CB4004"/>
    <w:rsid w:val="00CB4100"/>
    <w:rsid w:val="00CB4119"/>
    <w:rsid w:val="00CB41FF"/>
    <w:rsid w:val="00CB426C"/>
    <w:rsid w:val="00CB42BF"/>
    <w:rsid w:val="00CB43B0"/>
    <w:rsid w:val="00CB43C5"/>
    <w:rsid w:val="00CB43DD"/>
    <w:rsid w:val="00CB4412"/>
    <w:rsid w:val="00CB4527"/>
    <w:rsid w:val="00CB453D"/>
    <w:rsid w:val="00CB468F"/>
    <w:rsid w:val="00CB478C"/>
    <w:rsid w:val="00CB4820"/>
    <w:rsid w:val="00CB4885"/>
    <w:rsid w:val="00CB4A89"/>
    <w:rsid w:val="00CB4B27"/>
    <w:rsid w:val="00CB4B91"/>
    <w:rsid w:val="00CB4BBD"/>
    <w:rsid w:val="00CB4C87"/>
    <w:rsid w:val="00CB4D73"/>
    <w:rsid w:val="00CB4F1D"/>
    <w:rsid w:val="00CB4F92"/>
    <w:rsid w:val="00CB4F9F"/>
    <w:rsid w:val="00CB50EE"/>
    <w:rsid w:val="00CB5114"/>
    <w:rsid w:val="00CB521F"/>
    <w:rsid w:val="00CB5238"/>
    <w:rsid w:val="00CB52B5"/>
    <w:rsid w:val="00CB5378"/>
    <w:rsid w:val="00CB544E"/>
    <w:rsid w:val="00CB54C6"/>
    <w:rsid w:val="00CB54EB"/>
    <w:rsid w:val="00CB5544"/>
    <w:rsid w:val="00CB5561"/>
    <w:rsid w:val="00CB559A"/>
    <w:rsid w:val="00CB56CB"/>
    <w:rsid w:val="00CB57C0"/>
    <w:rsid w:val="00CB57F2"/>
    <w:rsid w:val="00CB5957"/>
    <w:rsid w:val="00CB5A06"/>
    <w:rsid w:val="00CB5A19"/>
    <w:rsid w:val="00CB5AAA"/>
    <w:rsid w:val="00CB5B77"/>
    <w:rsid w:val="00CB5B9F"/>
    <w:rsid w:val="00CB5BD8"/>
    <w:rsid w:val="00CB5BFD"/>
    <w:rsid w:val="00CB5C3C"/>
    <w:rsid w:val="00CB5C9F"/>
    <w:rsid w:val="00CB5E1C"/>
    <w:rsid w:val="00CB5E5B"/>
    <w:rsid w:val="00CB5E77"/>
    <w:rsid w:val="00CB5EBE"/>
    <w:rsid w:val="00CB5F06"/>
    <w:rsid w:val="00CB5F0D"/>
    <w:rsid w:val="00CB603E"/>
    <w:rsid w:val="00CB605A"/>
    <w:rsid w:val="00CB60EE"/>
    <w:rsid w:val="00CB62BF"/>
    <w:rsid w:val="00CB63FD"/>
    <w:rsid w:val="00CB646C"/>
    <w:rsid w:val="00CB64B9"/>
    <w:rsid w:val="00CB64D4"/>
    <w:rsid w:val="00CB656E"/>
    <w:rsid w:val="00CB6612"/>
    <w:rsid w:val="00CB668E"/>
    <w:rsid w:val="00CB66CD"/>
    <w:rsid w:val="00CB66EB"/>
    <w:rsid w:val="00CB6715"/>
    <w:rsid w:val="00CB679B"/>
    <w:rsid w:val="00CB67A0"/>
    <w:rsid w:val="00CB67A7"/>
    <w:rsid w:val="00CB6A63"/>
    <w:rsid w:val="00CB6BE0"/>
    <w:rsid w:val="00CB6CE2"/>
    <w:rsid w:val="00CB6D44"/>
    <w:rsid w:val="00CB6DD3"/>
    <w:rsid w:val="00CB6E6D"/>
    <w:rsid w:val="00CB6F68"/>
    <w:rsid w:val="00CB7033"/>
    <w:rsid w:val="00CB7041"/>
    <w:rsid w:val="00CB7054"/>
    <w:rsid w:val="00CB7063"/>
    <w:rsid w:val="00CB721F"/>
    <w:rsid w:val="00CB731F"/>
    <w:rsid w:val="00CB7324"/>
    <w:rsid w:val="00CB7335"/>
    <w:rsid w:val="00CB73C5"/>
    <w:rsid w:val="00CB7451"/>
    <w:rsid w:val="00CB745A"/>
    <w:rsid w:val="00CB74FA"/>
    <w:rsid w:val="00CB750E"/>
    <w:rsid w:val="00CB7550"/>
    <w:rsid w:val="00CB75B1"/>
    <w:rsid w:val="00CB76BA"/>
    <w:rsid w:val="00CB7958"/>
    <w:rsid w:val="00CB79CF"/>
    <w:rsid w:val="00CB7A25"/>
    <w:rsid w:val="00CB7A29"/>
    <w:rsid w:val="00CB7A78"/>
    <w:rsid w:val="00CB7AE4"/>
    <w:rsid w:val="00CB7CF6"/>
    <w:rsid w:val="00CB7D4B"/>
    <w:rsid w:val="00CB7D9F"/>
    <w:rsid w:val="00CB7EC3"/>
    <w:rsid w:val="00CB7F0A"/>
    <w:rsid w:val="00CB7F81"/>
    <w:rsid w:val="00CB7FAB"/>
    <w:rsid w:val="00CC00E9"/>
    <w:rsid w:val="00CC025E"/>
    <w:rsid w:val="00CC029A"/>
    <w:rsid w:val="00CC0318"/>
    <w:rsid w:val="00CC031C"/>
    <w:rsid w:val="00CC038D"/>
    <w:rsid w:val="00CC0403"/>
    <w:rsid w:val="00CC048D"/>
    <w:rsid w:val="00CC06F2"/>
    <w:rsid w:val="00CC07E8"/>
    <w:rsid w:val="00CC08C5"/>
    <w:rsid w:val="00CC09B8"/>
    <w:rsid w:val="00CC09FD"/>
    <w:rsid w:val="00CC0A00"/>
    <w:rsid w:val="00CC0A0D"/>
    <w:rsid w:val="00CC0A5A"/>
    <w:rsid w:val="00CC0A98"/>
    <w:rsid w:val="00CC0B9E"/>
    <w:rsid w:val="00CC0BCB"/>
    <w:rsid w:val="00CC0CE0"/>
    <w:rsid w:val="00CC0D09"/>
    <w:rsid w:val="00CC0D2F"/>
    <w:rsid w:val="00CC0D95"/>
    <w:rsid w:val="00CC0E8E"/>
    <w:rsid w:val="00CC0FF2"/>
    <w:rsid w:val="00CC1057"/>
    <w:rsid w:val="00CC10CC"/>
    <w:rsid w:val="00CC1137"/>
    <w:rsid w:val="00CC121E"/>
    <w:rsid w:val="00CC123E"/>
    <w:rsid w:val="00CC141C"/>
    <w:rsid w:val="00CC157E"/>
    <w:rsid w:val="00CC15FC"/>
    <w:rsid w:val="00CC175B"/>
    <w:rsid w:val="00CC1781"/>
    <w:rsid w:val="00CC17A7"/>
    <w:rsid w:val="00CC192B"/>
    <w:rsid w:val="00CC19B9"/>
    <w:rsid w:val="00CC19F6"/>
    <w:rsid w:val="00CC1A61"/>
    <w:rsid w:val="00CC1AF5"/>
    <w:rsid w:val="00CC1B40"/>
    <w:rsid w:val="00CC1B4B"/>
    <w:rsid w:val="00CC1B66"/>
    <w:rsid w:val="00CC1B93"/>
    <w:rsid w:val="00CC1CFF"/>
    <w:rsid w:val="00CC1D11"/>
    <w:rsid w:val="00CC1D2C"/>
    <w:rsid w:val="00CC1D48"/>
    <w:rsid w:val="00CC1D66"/>
    <w:rsid w:val="00CC1E10"/>
    <w:rsid w:val="00CC1E24"/>
    <w:rsid w:val="00CC1EE2"/>
    <w:rsid w:val="00CC1FB3"/>
    <w:rsid w:val="00CC21C6"/>
    <w:rsid w:val="00CC22C5"/>
    <w:rsid w:val="00CC23D9"/>
    <w:rsid w:val="00CC23E8"/>
    <w:rsid w:val="00CC23EE"/>
    <w:rsid w:val="00CC23F5"/>
    <w:rsid w:val="00CC24C9"/>
    <w:rsid w:val="00CC25A7"/>
    <w:rsid w:val="00CC26D3"/>
    <w:rsid w:val="00CC2776"/>
    <w:rsid w:val="00CC28C9"/>
    <w:rsid w:val="00CC28CD"/>
    <w:rsid w:val="00CC28FD"/>
    <w:rsid w:val="00CC293C"/>
    <w:rsid w:val="00CC2977"/>
    <w:rsid w:val="00CC2AC9"/>
    <w:rsid w:val="00CC2B8A"/>
    <w:rsid w:val="00CC2BA3"/>
    <w:rsid w:val="00CC2C0A"/>
    <w:rsid w:val="00CC2C21"/>
    <w:rsid w:val="00CC2C38"/>
    <w:rsid w:val="00CC2C61"/>
    <w:rsid w:val="00CC2C64"/>
    <w:rsid w:val="00CC2CC8"/>
    <w:rsid w:val="00CC2E31"/>
    <w:rsid w:val="00CC2E54"/>
    <w:rsid w:val="00CC2ED6"/>
    <w:rsid w:val="00CC2F03"/>
    <w:rsid w:val="00CC2F91"/>
    <w:rsid w:val="00CC30D5"/>
    <w:rsid w:val="00CC3183"/>
    <w:rsid w:val="00CC31C9"/>
    <w:rsid w:val="00CC3243"/>
    <w:rsid w:val="00CC32DA"/>
    <w:rsid w:val="00CC337D"/>
    <w:rsid w:val="00CC3440"/>
    <w:rsid w:val="00CC3462"/>
    <w:rsid w:val="00CC34E9"/>
    <w:rsid w:val="00CC3560"/>
    <w:rsid w:val="00CC357E"/>
    <w:rsid w:val="00CC36C3"/>
    <w:rsid w:val="00CC36DB"/>
    <w:rsid w:val="00CC37E7"/>
    <w:rsid w:val="00CC3924"/>
    <w:rsid w:val="00CC3940"/>
    <w:rsid w:val="00CC39F2"/>
    <w:rsid w:val="00CC3A1C"/>
    <w:rsid w:val="00CC3BCD"/>
    <w:rsid w:val="00CC3C37"/>
    <w:rsid w:val="00CC3CA3"/>
    <w:rsid w:val="00CC3CE7"/>
    <w:rsid w:val="00CC3D31"/>
    <w:rsid w:val="00CC3DF2"/>
    <w:rsid w:val="00CC3EB2"/>
    <w:rsid w:val="00CC3F48"/>
    <w:rsid w:val="00CC4058"/>
    <w:rsid w:val="00CC4074"/>
    <w:rsid w:val="00CC40C7"/>
    <w:rsid w:val="00CC40D8"/>
    <w:rsid w:val="00CC4256"/>
    <w:rsid w:val="00CC42DC"/>
    <w:rsid w:val="00CC44BA"/>
    <w:rsid w:val="00CC4500"/>
    <w:rsid w:val="00CC453A"/>
    <w:rsid w:val="00CC469E"/>
    <w:rsid w:val="00CC4718"/>
    <w:rsid w:val="00CC47FA"/>
    <w:rsid w:val="00CC48F9"/>
    <w:rsid w:val="00CC4A51"/>
    <w:rsid w:val="00CC4A72"/>
    <w:rsid w:val="00CC4B05"/>
    <w:rsid w:val="00CC4C2D"/>
    <w:rsid w:val="00CC4C4E"/>
    <w:rsid w:val="00CC4C81"/>
    <w:rsid w:val="00CC4E29"/>
    <w:rsid w:val="00CC4EC1"/>
    <w:rsid w:val="00CC5003"/>
    <w:rsid w:val="00CC5020"/>
    <w:rsid w:val="00CC517A"/>
    <w:rsid w:val="00CC524B"/>
    <w:rsid w:val="00CC527A"/>
    <w:rsid w:val="00CC5281"/>
    <w:rsid w:val="00CC528B"/>
    <w:rsid w:val="00CC52C0"/>
    <w:rsid w:val="00CC5305"/>
    <w:rsid w:val="00CC5410"/>
    <w:rsid w:val="00CC54FB"/>
    <w:rsid w:val="00CC55F8"/>
    <w:rsid w:val="00CC561D"/>
    <w:rsid w:val="00CC57BA"/>
    <w:rsid w:val="00CC5886"/>
    <w:rsid w:val="00CC5918"/>
    <w:rsid w:val="00CC5958"/>
    <w:rsid w:val="00CC5A04"/>
    <w:rsid w:val="00CC5A53"/>
    <w:rsid w:val="00CC5A73"/>
    <w:rsid w:val="00CC5B47"/>
    <w:rsid w:val="00CC5C84"/>
    <w:rsid w:val="00CC5CAF"/>
    <w:rsid w:val="00CC5D08"/>
    <w:rsid w:val="00CC5EEC"/>
    <w:rsid w:val="00CC5F45"/>
    <w:rsid w:val="00CC5F7C"/>
    <w:rsid w:val="00CC603C"/>
    <w:rsid w:val="00CC605B"/>
    <w:rsid w:val="00CC61D4"/>
    <w:rsid w:val="00CC61F6"/>
    <w:rsid w:val="00CC62CC"/>
    <w:rsid w:val="00CC6319"/>
    <w:rsid w:val="00CC6394"/>
    <w:rsid w:val="00CC63EA"/>
    <w:rsid w:val="00CC64ED"/>
    <w:rsid w:val="00CC64F7"/>
    <w:rsid w:val="00CC64FA"/>
    <w:rsid w:val="00CC6633"/>
    <w:rsid w:val="00CC670C"/>
    <w:rsid w:val="00CC6713"/>
    <w:rsid w:val="00CC6778"/>
    <w:rsid w:val="00CC6885"/>
    <w:rsid w:val="00CC689D"/>
    <w:rsid w:val="00CC6918"/>
    <w:rsid w:val="00CC696D"/>
    <w:rsid w:val="00CC6978"/>
    <w:rsid w:val="00CC697D"/>
    <w:rsid w:val="00CC6993"/>
    <w:rsid w:val="00CC69B1"/>
    <w:rsid w:val="00CC6A0C"/>
    <w:rsid w:val="00CC6A1D"/>
    <w:rsid w:val="00CC6AB6"/>
    <w:rsid w:val="00CC6D5D"/>
    <w:rsid w:val="00CC6EBA"/>
    <w:rsid w:val="00CC6F2D"/>
    <w:rsid w:val="00CC707A"/>
    <w:rsid w:val="00CC7137"/>
    <w:rsid w:val="00CC7144"/>
    <w:rsid w:val="00CC7156"/>
    <w:rsid w:val="00CC7157"/>
    <w:rsid w:val="00CC719C"/>
    <w:rsid w:val="00CC72A8"/>
    <w:rsid w:val="00CC72D4"/>
    <w:rsid w:val="00CC7301"/>
    <w:rsid w:val="00CC743F"/>
    <w:rsid w:val="00CC74FE"/>
    <w:rsid w:val="00CC753F"/>
    <w:rsid w:val="00CC76AE"/>
    <w:rsid w:val="00CC76D9"/>
    <w:rsid w:val="00CC7718"/>
    <w:rsid w:val="00CC7797"/>
    <w:rsid w:val="00CC77E8"/>
    <w:rsid w:val="00CC7837"/>
    <w:rsid w:val="00CC7890"/>
    <w:rsid w:val="00CC7892"/>
    <w:rsid w:val="00CC7963"/>
    <w:rsid w:val="00CC7AA8"/>
    <w:rsid w:val="00CC7AB2"/>
    <w:rsid w:val="00CC7CBE"/>
    <w:rsid w:val="00CC7D72"/>
    <w:rsid w:val="00CC7E1E"/>
    <w:rsid w:val="00CC7E34"/>
    <w:rsid w:val="00CC7E7C"/>
    <w:rsid w:val="00CC7EB1"/>
    <w:rsid w:val="00CC7ED3"/>
    <w:rsid w:val="00CC7F95"/>
    <w:rsid w:val="00CC7FAD"/>
    <w:rsid w:val="00CC7FB4"/>
    <w:rsid w:val="00CD0140"/>
    <w:rsid w:val="00CD01AA"/>
    <w:rsid w:val="00CD01D3"/>
    <w:rsid w:val="00CD024D"/>
    <w:rsid w:val="00CD02B0"/>
    <w:rsid w:val="00CD0320"/>
    <w:rsid w:val="00CD0342"/>
    <w:rsid w:val="00CD0344"/>
    <w:rsid w:val="00CD041A"/>
    <w:rsid w:val="00CD0638"/>
    <w:rsid w:val="00CD063D"/>
    <w:rsid w:val="00CD06A3"/>
    <w:rsid w:val="00CD06FF"/>
    <w:rsid w:val="00CD088A"/>
    <w:rsid w:val="00CD0902"/>
    <w:rsid w:val="00CD09F2"/>
    <w:rsid w:val="00CD0D01"/>
    <w:rsid w:val="00CD0D2A"/>
    <w:rsid w:val="00CD0DDF"/>
    <w:rsid w:val="00CD0E5D"/>
    <w:rsid w:val="00CD0E74"/>
    <w:rsid w:val="00CD0ED3"/>
    <w:rsid w:val="00CD0F3A"/>
    <w:rsid w:val="00CD0FD7"/>
    <w:rsid w:val="00CD10AD"/>
    <w:rsid w:val="00CD1135"/>
    <w:rsid w:val="00CD126D"/>
    <w:rsid w:val="00CD141D"/>
    <w:rsid w:val="00CD1521"/>
    <w:rsid w:val="00CD153E"/>
    <w:rsid w:val="00CD1667"/>
    <w:rsid w:val="00CD16A8"/>
    <w:rsid w:val="00CD1827"/>
    <w:rsid w:val="00CD186F"/>
    <w:rsid w:val="00CD1939"/>
    <w:rsid w:val="00CD19AE"/>
    <w:rsid w:val="00CD1A49"/>
    <w:rsid w:val="00CD1AA7"/>
    <w:rsid w:val="00CD1BC1"/>
    <w:rsid w:val="00CD1CF9"/>
    <w:rsid w:val="00CD1DF2"/>
    <w:rsid w:val="00CD2063"/>
    <w:rsid w:val="00CD20B6"/>
    <w:rsid w:val="00CD2110"/>
    <w:rsid w:val="00CD21B9"/>
    <w:rsid w:val="00CD21F4"/>
    <w:rsid w:val="00CD22B3"/>
    <w:rsid w:val="00CD22E6"/>
    <w:rsid w:val="00CD22EF"/>
    <w:rsid w:val="00CD23DE"/>
    <w:rsid w:val="00CD246F"/>
    <w:rsid w:val="00CD2544"/>
    <w:rsid w:val="00CD2691"/>
    <w:rsid w:val="00CD27E1"/>
    <w:rsid w:val="00CD28C8"/>
    <w:rsid w:val="00CD2949"/>
    <w:rsid w:val="00CD29E6"/>
    <w:rsid w:val="00CD2A2F"/>
    <w:rsid w:val="00CD2BCE"/>
    <w:rsid w:val="00CD2BFF"/>
    <w:rsid w:val="00CD2C4A"/>
    <w:rsid w:val="00CD2C6F"/>
    <w:rsid w:val="00CD2CD8"/>
    <w:rsid w:val="00CD2D1C"/>
    <w:rsid w:val="00CD2DED"/>
    <w:rsid w:val="00CD2E75"/>
    <w:rsid w:val="00CD2E8B"/>
    <w:rsid w:val="00CD2F25"/>
    <w:rsid w:val="00CD30DA"/>
    <w:rsid w:val="00CD30E1"/>
    <w:rsid w:val="00CD30F6"/>
    <w:rsid w:val="00CD31F6"/>
    <w:rsid w:val="00CD32DE"/>
    <w:rsid w:val="00CD3321"/>
    <w:rsid w:val="00CD33AA"/>
    <w:rsid w:val="00CD36AD"/>
    <w:rsid w:val="00CD36C2"/>
    <w:rsid w:val="00CD3736"/>
    <w:rsid w:val="00CD3853"/>
    <w:rsid w:val="00CD3913"/>
    <w:rsid w:val="00CD39D1"/>
    <w:rsid w:val="00CD3B56"/>
    <w:rsid w:val="00CD3B8A"/>
    <w:rsid w:val="00CD3BF2"/>
    <w:rsid w:val="00CD3C15"/>
    <w:rsid w:val="00CD3C21"/>
    <w:rsid w:val="00CD3C87"/>
    <w:rsid w:val="00CD3CC0"/>
    <w:rsid w:val="00CD3CD8"/>
    <w:rsid w:val="00CD3DE1"/>
    <w:rsid w:val="00CD3FF1"/>
    <w:rsid w:val="00CD4034"/>
    <w:rsid w:val="00CD40B8"/>
    <w:rsid w:val="00CD425D"/>
    <w:rsid w:val="00CD42AD"/>
    <w:rsid w:val="00CD42CC"/>
    <w:rsid w:val="00CD4545"/>
    <w:rsid w:val="00CD4653"/>
    <w:rsid w:val="00CD469A"/>
    <w:rsid w:val="00CD46EF"/>
    <w:rsid w:val="00CD4705"/>
    <w:rsid w:val="00CD471E"/>
    <w:rsid w:val="00CD4782"/>
    <w:rsid w:val="00CD4826"/>
    <w:rsid w:val="00CD4960"/>
    <w:rsid w:val="00CD49B3"/>
    <w:rsid w:val="00CD4A0B"/>
    <w:rsid w:val="00CD4B5A"/>
    <w:rsid w:val="00CD4BB2"/>
    <w:rsid w:val="00CD4BD3"/>
    <w:rsid w:val="00CD4C63"/>
    <w:rsid w:val="00CD4ECF"/>
    <w:rsid w:val="00CD4FA7"/>
    <w:rsid w:val="00CD4FF1"/>
    <w:rsid w:val="00CD5163"/>
    <w:rsid w:val="00CD5349"/>
    <w:rsid w:val="00CD53F8"/>
    <w:rsid w:val="00CD5494"/>
    <w:rsid w:val="00CD5559"/>
    <w:rsid w:val="00CD555E"/>
    <w:rsid w:val="00CD5590"/>
    <w:rsid w:val="00CD579A"/>
    <w:rsid w:val="00CD5847"/>
    <w:rsid w:val="00CD58B3"/>
    <w:rsid w:val="00CD58B6"/>
    <w:rsid w:val="00CD594A"/>
    <w:rsid w:val="00CD5A80"/>
    <w:rsid w:val="00CD5B6B"/>
    <w:rsid w:val="00CD5C4B"/>
    <w:rsid w:val="00CD5C91"/>
    <w:rsid w:val="00CD5D5A"/>
    <w:rsid w:val="00CD5D67"/>
    <w:rsid w:val="00CD5D81"/>
    <w:rsid w:val="00CD5E40"/>
    <w:rsid w:val="00CD5F89"/>
    <w:rsid w:val="00CD6068"/>
    <w:rsid w:val="00CD6385"/>
    <w:rsid w:val="00CD6456"/>
    <w:rsid w:val="00CD64FA"/>
    <w:rsid w:val="00CD655D"/>
    <w:rsid w:val="00CD65BC"/>
    <w:rsid w:val="00CD6697"/>
    <w:rsid w:val="00CD66A8"/>
    <w:rsid w:val="00CD66F5"/>
    <w:rsid w:val="00CD672A"/>
    <w:rsid w:val="00CD674B"/>
    <w:rsid w:val="00CD674C"/>
    <w:rsid w:val="00CD6809"/>
    <w:rsid w:val="00CD686F"/>
    <w:rsid w:val="00CD68AC"/>
    <w:rsid w:val="00CD68C1"/>
    <w:rsid w:val="00CD68EB"/>
    <w:rsid w:val="00CD6A45"/>
    <w:rsid w:val="00CD6C77"/>
    <w:rsid w:val="00CD6DE1"/>
    <w:rsid w:val="00CD7005"/>
    <w:rsid w:val="00CD702F"/>
    <w:rsid w:val="00CD70F8"/>
    <w:rsid w:val="00CD7117"/>
    <w:rsid w:val="00CD7140"/>
    <w:rsid w:val="00CD715C"/>
    <w:rsid w:val="00CD71B1"/>
    <w:rsid w:val="00CD71DB"/>
    <w:rsid w:val="00CD7257"/>
    <w:rsid w:val="00CD726A"/>
    <w:rsid w:val="00CD726F"/>
    <w:rsid w:val="00CD73F3"/>
    <w:rsid w:val="00CD73FA"/>
    <w:rsid w:val="00CD747B"/>
    <w:rsid w:val="00CD74FD"/>
    <w:rsid w:val="00CD754F"/>
    <w:rsid w:val="00CD7575"/>
    <w:rsid w:val="00CD7704"/>
    <w:rsid w:val="00CD780E"/>
    <w:rsid w:val="00CD78E7"/>
    <w:rsid w:val="00CD792D"/>
    <w:rsid w:val="00CD7A1D"/>
    <w:rsid w:val="00CD7AE9"/>
    <w:rsid w:val="00CD7B56"/>
    <w:rsid w:val="00CD7BCD"/>
    <w:rsid w:val="00CD7C03"/>
    <w:rsid w:val="00CD7C9D"/>
    <w:rsid w:val="00CD7CB2"/>
    <w:rsid w:val="00CD7D41"/>
    <w:rsid w:val="00CD7DED"/>
    <w:rsid w:val="00CD7E28"/>
    <w:rsid w:val="00CD7E3D"/>
    <w:rsid w:val="00CD7EBD"/>
    <w:rsid w:val="00CD7F02"/>
    <w:rsid w:val="00CD7F1A"/>
    <w:rsid w:val="00CDF511"/>
    <w:rsid w:val="00CE003E"/>
    <w:rsid w:val="00CE01EA"/>
    <w:rsid w:val="00CE0274"/>
    <w:rsid w:val="00CE02AD"/>
    <w:rsid w:val="00CE02B0"/>
    <w:rsid w:val="00CE0316"/>
    <w:rsid w:val="00CE0348"/>
    <w:rsid w:val="00CE0373"/>
    <w:rsid w:val="00CE03DF"/>
    <w:rsid w:val="00CE06C4"/>
    <w:rsid w:val="00CE075A"/>
    <w:rsid w:val="00CE07B2"/>
    <w:rsid w:val="00CE082E"/>
    <w:rsid w:val="00CE0892"/>
    <w:rsid w:val="00CE08BD"/>
    <w:rsid w:val="00CE0940"/>
    <w:rsid w:val="00CE09C2"/>
    <w:rsid w:val="00CE0B53"/>
    <w:rsid w:val="00CE0BC2"/>
    <w:rsid w:val="00CE0C20"/>
    <w:rsid w:val="00CE0C21"/>
    <w:rsid w:val="00CE0C58"/>
    <w:rsid w:val="00CE0C8F"/>
    <w:rsid w:val="00CE0D79"/>
    <w:rsid w:val="00CE0D7A"/>
    <w:rsid w:val="00CE0DE5"/>
    <w:rsid w:val="00CE0E3A"/>
    <w:rsid w:val="00CE0E57"/>
    <w:rsid w:val="00CE0EBB"/>
    <w:rsid w:val="00CE0F2A"/>
    <w:rsid w:val="00CE0FEC"/>
    <w:rsid w:val="00CE100F"/>
    <w:rsid w:val="00CE10B8"/>
    <w:rsid w:val="00CE11A5"/>
    <w:rsid w:val="00CE11FF"/>
    <w:rsid w:val="00CE1464"/>
    <w:rsid w:val="00CE1476"/>
    <w:rsid w:val="00CE1477"/>
    <w:rsid w:val="00CE14AC"/>
    <w:rsid w:val="00CE159C"/>
    <w:rsid w:val="00CE1615"/>
    <w:rsid w:val="00CE1657"/>
    <w:rsid w:val="00CE1688"/>
    <w:rsid w:val="00CE1753"/>
    <w:rsid w:val="00CE18C4"/>
    <w:rsid w:val="00CE18E4"/>
    <w:rsid w:val="00CE18EA"/>
    <w:rsid w:val="00CE1AD2"/>
    <w:rsid w:val="00CE1AE0"/>
    <w:rsid w:val="00CE1AE1"/>
    <w:rsid w:val="00CE1C84"/>
    <w:rsid w:val="00CE1CD2"/>
    <w:rsid w:val="00CE1D8D"/>
    <w:rsid w:val="00CE1E84"/>
    <w:rsid w:val="00CE1EAF"/>
    <w:rsid w:val="00CE1EEB"/>
    <w:rsid w:val="00CE1F0A"/>
    <w:rsid w:val="00CE1F48"/>
    <w:rsid w:val="00CE1F5B"/>
    <w:rsid w:val="00CE202D"/>
    <w:rsid w:val="00CE2088"/>
    <w:rsid w:val="00CE2206"/>
    <w:rsid w:val="00CE225D"/>
    <w:rsid w:val="00CE2267"/>
    <w:rsid w:val="00CE22DC"/>
    <w:rsid w:val="00CE2358"/>
    <w:rsid w:val="00CE2366"/>
    <w:rsid w:val="00CE23FD"/>
    <w:rsid w:val="00CE2479"/>
    <w:rsid w:val="00CE2684"/>
    <w:rsid w:val="00CE26F9"/>
    <w:rsid w:val="00CE2791"/>
    <w:rsid w:val="00CE2864"/>
    <w:rsid w:val="00CE28BD"/>
    <w:rsid w:val="00CE293B"/>
    <w:rsid w:val="00CE298A"/>
    <w:rsid w:val="00CE2A46"/>
    <w:rsid w:val="00CE2A75"/>
    <w:rsid w:val="00CE2B25"/>
    <w:rsid w:val="00CE2CCE"/>
    <w:rsid w:val="00CE2CD2"/>
    <w:rsid w:val="00CE2CF5"/>
    <w:rsid w:val="00CE2D1A"/>
    <w:rsid w:val="00CE2DE1"/>
    <w:rsid w:val="00CE2E6D"/>
    <w:rsid w:val="00CE2EC9"/>
    <w:rsid w:val="00CE2F63"/>
    <w:rsid w:val="00CE2F6C"/>
    <w:rsid w:val="00CE2FEF"/>
    <w:rsid w:val="00CE30D0"/>
    <w:rsid w:val="00CE30FA"/>
    <w:rsid w:val="00CE31B5"/>
    <w:rsid w:val="00CE31DA"/>
    <w:rsid w:val="00CE3354"/>
    <w:rsid w:val="00CE34A2"/>
    <w:rsid w:val="00CE34C2"/>
    <w:rsid w:val="00CE3643"/>
    <w:rsid w:val="00CE37B2"/>
    <w:rsid w:val="00CE3854"/>
    <w:rsid w:val="00CE3870"/>
    <w:rsid w:val="00CE3AA5"/>
    <w:rsid w:val="00CE3B02"/>
    <w:rsid w:val="00CE3B5F"/>
    <w:rsid w:val="00CE3BBF"/>
    <w:rsid w:val="00CE3BD1"/>
    <w:rsid w:val="00CE3BFB"/>
    <w:rsid w:val="00CE3E4C"/>
    <w:rsid w:val="00CE3E68"/>
    <w:rsid w:val="00CE3EE9"/>
    <w:rsid w:val="00CE4003"/>
    <w:rsid w:val="00CE4071"/>
    <w:rsid w:val="00CE4117"/>
    <w:rsid w:val="00CE4193"/>
    <w:rsid w:val="00CE41AC"/>
    <w:rsid w:val="00CE420F"/>
    <w:rsid w:val="00CE422F"/>
    <w:rsid w:val="00CE435B"/>
    <w:rsid w:val="00CE4554"/>
    <w:rsid w:val="00CE45C2"/>
    <w:rsid w:val="00CE4622"/>
    <w:rsid w:val="00CE46C6"/>
    <w:rsid w:val="00CE470C"/>
    <w:rsid w:val="00CE4733"/>
    <w:rsid w:val="00CE47AD"/>
    <w:rsid w:val="00CE47B2"/>
    <w:rsid w:val="00CE47D8"/>
    <w:rsid w:val="00CE4823"/>
    <w:rsid w:val="00CE491B"/>
    <w:rsid w:val="00CE491C"/>
    <w:rsid w:val="00CE4973"/>
    <w:rsid w:val="00CE4986"/>
    <w:rsid w:val="00CE4A90"/>
    <w:rsid w:val="00CE4BE4"/>
    <w:rsid w:val="00CE4C13"/>
    <w:rsid w:val="00CE504F"/>
    <w:rsid w:val="00CE50C0"/>
    <w:rsid w:val="00CE5113"/>
    <w:rsid w:val="00CE520D"/>
    <w:rsid w:val="00CE521B"/>
    <w:rsid w:val="00CE521D"/>
    <w:rsid w:val="00CE52DE"/>
    <w:rsid w:val="00CE5310"/>
    <w:rsid w:val="00CE5342"/>
    <w:rsid w:val="00CE538C"/>
    <w:rsid w:val="00CE5428"/>
    <w:rsid w:val="00CE5433"/>
    <w:rsid w:val="00CE54E6"/>
    <w:rsid w:val="00CE54FD"/>
    <w:rsid w:val="00CE556F"/>
    <w:rsid w:val="00CE560F"/>
    <w:rsid w:val="00CE562A"/>
    <w:rsid w:val="00CE564C"/>
    <w:rsid w:val="00CE568A"/>
    <w:rsid w:val="00CE57B4"/>
    <w:rsid w:val="00CE585A"/>
    <w:rsid w:val="00CE5895"/>
    <w:rsid w:val="00CE58F7"/>
    <w:rsid w:val="00CE5A19"/>
    <w:rsid w:val="00CE5AA8"/>
    <w:rsid w:val="00CE5AC9"/>
    <w:rsid w:val="00CE5B33"/>
    <w:rsid w:val="00CE5C12"/>
    <w:rsid w:val="00CE5C85"/>
    <w:rsid w:val="00CE5D0C"/>
    <w:rsid w:val="00CE5E35"/>
    <w:rsid w:val="00CE5EA0"/>
    <w:rsid w:val="00CE5FD5"/>
    <w:rsid w:val="00CE60C3"/>
    <w:rsid w:val="00CE6116"/>
    <w:rsid w:val="00CE6146"/>
    <w:rsid w:val="00CE61D1"/>
    <w:rsid w:val="00CE61FC"/>
    <w:rsid w:val="00CE63A4"/>
    <w:rsid w:val="00CE63EA"/>
    <w:rsid w:val="00CE645E"/>
    <w:rsid w:val="00CE65FC"/>
    <w:rsid w:val="00CE66B0"/>
    <w:rsid w:val="00CE676C"/>
    <w:rsid w:val="00CE689C"/>
    <w:rsid w:val="00CE68D2"/>
    <w:rsid w:val="00CE69C0"/>
    <w:rsid w:val="00CE6A58"/>
    <w:rsid w:val="00CE6A81"/>
    <w:rsid w:val="00CE6AB6"/>
    <w:rsid w:val="00CE6B29"/>
    <w:rsid w:val="00CE6B7B"/>
    <w:rsid w:val="00CE6BCB"/>
    <w:rsid w:val="00CE6BD6"/>
    <w:rsid w:val="00CE6D05"/>
    <w:rsid w:val="00CE6DB3"/>
    <w:rsid w:val="00CE6E14"/>
    <w:rsid w:val="00CE6E85"/>
    <w:rsid w:val="00CE6EF1"/>
    <w:rsid w:val="00CE6F09"/>
    <w:rsid w:val="00CE6F0C"/>
    <w:rsid w:val="00CE6FBA"/>
    <w:rsid w:val="00CE6FEE"/>
    <w:rsid w:val="00CE709E"/>
    <w:rsid w:val="00CE71AE"/>
    <w:rsid w:val="00CE71F0"/>
    <w:rsid w:val="00CE720F"/>
    <w:rsid w:val="00CE721C"/>
    <w:rsid w:val="00CE724A"/>
    <w:rsid w:val="00CE726E"/>
    <w:rsid w:val="00CE7345"/>
    <w:rsid w:val="00CE739C"/>
    <w:rsid w:val="00CE74AA"/>
    <w:rsid w:val="00CE76D0"/>
    <w:rsid w:val="00CE7713"/>
    <w:rsid w:val="00CE7743"/>
    <w:rsid w:val="00CE7749"/>
    <w:rsid w:val="00CE781B"/>
    <w:rsid w:val="00CE7975"/>
    <w:rsid w:val="00CE7996"/>
    <w:rsid w:val="00CE7B4E"/>
    <w:rsid w:val="00CE7B65"/>
    <w:rsid w:val="00CE7B99"/>
    <w:rsid w:val="00CE7E31"/>
    <w:rsid w:val="00CE7F14"/>
    <w:rsid w:val="00CE7F1C"/>
    <w:rsid w:val="00CE7F23"/>
    <w:rsid w:val="00CE7F28"/>
    <w:rsid w:val="00CF0051"/>
    <w:rsid w:val="00CF00BD"/>
    <w:rsid w:val="00CF0450"/>
    <w:rsid w:val="00CF06C8"/>
    <w:rsid w:val="00CF06E1"/>
    <w:rsid w:val="00CF06FA"/>
    <w:rsid w:val="00CF0821"/>
    <w:rsid w:val="00CF0830"/>
    <w:rsid w:val="00CF09D6"/>
    <w:rsid w:val="00CF0AE8"/>
    <w:rsid w:val="00CF0AFA"/>
    <w:rsid w:val="00CF0B28"/>
    <w:rsid w:val="00CF0C2B"/>
    <w:rsid w:val="00CF0D36"/>
    <w:rsid w:val="00CF0D99"/>
    <w:rsid w:val="00CF0DA0"/>
    <w:rsid w:val="00CF0E01"/>
    <w:rsid w:val="00CF0E23"/>
    <w:rsid w:val="00CF0E7B"/>
    <w:rsid w:val="00CF0F97"/>
    <w:rsid w:val="00CF0FC6"/>
    <w:rsid w:val="00CF0FDA"/>
    <w:rsid w:val="00CF1081"/>
    <w:rsid w:val="00CF10F0"/>
    <w:rsid w:val="00CF1118"/>
    <w:rsid w:val="00CF118C"/>
    <w:rsid w:val="00CF118D"/>
    <w:rsid w:val="00CF11AC"/>
    <w:rsid w:val="00CF123A"/>
    <w:rsid w:val="00CF12BB"/>
    <w:rsid w:val="00CF1449"/>
    <w:rsid w:val="00CF154F"/>
    <w:rsid w:val="00CF156D"/>
    <w:rsid w:val="00CF160A"/>
    <w:rsid w:val="00CF16E5"/>
    <w:rsid w:val="00CF16EF"/>
    <w:rsid w:val="00CF17E6"/>
    <w:rsid w:val="00CF19E7"/>
    <w:rsid w:val="00CF1A5A"/>
    <w:rsid w:val="00CF1ABD"/>
    <w:rsid w:val="00CF1BA4"/>
    <w:rsid w:val="00CF1C05"/>
    <w:rsid w:val="00CF1D74"/>
    <w:rsid w:val="00CF1D7F"/>
    <w:rsid w:val="00CF1DA9"/>
    <w:rsid w:val="00CF1DCD"/>
    <w:rsid w:val="00CF1E51"/>
    <w:rsid w:val="00CF1F1D"/>
    <w:rsid w:val="00CF1F48"/>
    <w:rsid w:val="00CF21E6"/>
    <w:rsid w:val="00CF229F"/>
    <w:rsid w:val="00CF22DD"/>
    <w:rsid w:val="00CF2370"/>
    <w:rsid w:val="00CF23CB"/>
    <w:rsid w:val="00CF2459"/>
    <w:rsid w:val="00CF2460"/>
    <w:rsid w:val="00CF255D"/>
    <w:rsid w:val="00CF2599"/>
    <w:rsid w:val="00CF2649"/>
    <w:rsid w:val="00CF2708"/>
    <w:rsid w:val="00CF27D2"/>
    <w:rsid w:val="00CF283C"/>
    <w:rsid w:val="00CF2864"/>
    <w:rsid w:val="00CF2869"/>
    <w:rsid w:val="00CF28CD"/>
    <w:rsid w:val="00CF2967"/>
    <w:rsid w:val="00CF29D2"/>
    <w:rsid w:val="00CF2A11"/>
    <w:rsid w:val="00CF2D60"/>
    <w:rsid w:val="00CF2F3D"/>
    <w:rsid w:val="00CF2F6B"/>
    <w:rsid w:val="00CF3038"/>
    <w:rsid w:val="00CF307B"/>
    <w:rsid w:val="00CF3148"/>
    <w:rsid w:val="00CF3157"/>
    <w:rsid w:val="00CF31DA"/>
    <w:rsid w:val="00CF333F"/>
    <w:rsid w:val="00CF33D9"/>
    <w:rsid w:val="00CF33FF"/>
    <w:rsid w:val="00CF3467"/>
    <w:rsid w:val="00CF3506"/>
    <w:rsid w:val="00CF352E"/>
    <w:rsid w:val="00CF3531"/>
    <w:rsid w:val="00CF3556"/>
    <w:rsid w:val="00CF35E6"/>
    <w:rsid w:val="00CF3632"/>
    <w:rsid w:val="00CF36EA"/>
    <w:rsid w:val="00CF3762"/>
    <w:rsid w:val="00CF37A3"/>
    <w:rsid w:val="00CF37DF"/>
    <w:rsid w:val="00CF3918"/>
    <w:rsid w:val="00CF391A"/>
    <w:rsid w:val="00CF39C5"/>
    <w:rsid w:val="00CF39F8"/>
    <w:rsid w:val="00CF3A26"/>
    <w:rsid w:val="00CF3AF8"/>
    <w:rsid w:val="00CF3B81"/>
    <w:rsid w:val="00CF3BB3"/>
    <w:rsid w:val="00CF3C57"/>
    <w:rsid w:val="00CF3D16"/>
    <w:rsid w:val="00CF3E29"/>
    <w:rsid w:val="00CF3FA1"/>
    <w:rsid w:val="00CF3FCD"/>
    <w:rsid w:val="00CF4006"/>
    <w:rsid w:val="00CF4141"/>
    <w:rsid w:val="00CF41EA"/>
    <w:rsid w:val="00CF4275"/>
    <w:rsid w:val="00CF42CE"/>
    <w:rsid w:val="00CF4348"/>
    <w:rsid w:val="00CF43A8"/>
    <w:rsid w:val="00CF44E7"/>
    <w:rsid w:val="00CF4502"/>
    <w:rsid w:val="00CF456A"/>
    <w:rsid w:val="00CF45FC"/>
    <w:rsid w:val="00CF4682"/>
    <w:rsid w:val="00CF46C4"/>
    <w:rsid w:val="00CF489D"/>
    <w:rsid w:val="00CF4AC3"/>
    <w:rsid w:val="00CF4D3E"/>
    <w:rsid w:val="00CF4E65"/>
    <w:rsid w:val="00CF5035"/>
    <w:rsid w:val="00CF522D"/>
    <w:rsid w:val="00CF5297"/>
    <w:rsid w:val="00CF5312"/>
    <w:rsid w:val="00CF53C8"/>
    <w:rsid w:val="00CF5410"/>
    <w:rsid w:val="00CF54DA"/>
    <w:rsid w:val="00CF5596"/>
    <w:rsid w:val="00CF5636"/>
    <w:rsid w:val="00CF5668"/>
    <w:rsid w:val="00CF56FB"/>
    <w:rsid w:val="00CF5746"/>
    <w:rsid w:val="00CF57D5"/>
    <w:rsid w:val="00CF584C"/>
    <w:rsid w:val="00CF58FC"/>
    <w:rsid w:val="00CF590E"/>
    <w:rsid w:val="00CF59D7"/>
    <w:rsid w:val="00CF5A80"/>
    <w:rsid w:val="00CF5B2C"/>
    <w:rsid w:val="00CF5B38"/>
    <w:rsid w:val="00CF5BD3"/>
    <w:rsid w:val="00CF5BD9"/>
    <w:rsid w:val="00CF5C15"/>
    <w:rsid w:val="00CF5D81"/>
    <w:rsid w:val="00CF5DEC"/>
    <w:rsid w:val="00CF5E38"/>
    <w:rsid w:val="00CF5F14"/>
    <w:rsid w:val="00CF6066"/>
    <w:rsid w:val="00CF6072"/>
    <w:rsid w:val="00CF60D2"/>
    <w:rsid w:val="00CF6224"/>
    <w:rsid w:val="00CF622C"/>
    <w:rsid w:val="00CF623C"/>
    <w:rsid w:val="00CF6385"/>
    <w:rsid w:val="00CF63CE"/>
    <w:rsid w:val="00CF64FF"/>
    <w:rsid w:val="00CF65AB"/>
    <w:rsid w:val="00CF66DE"/>
    <w:rsid w:val="00CF67B6"/>
    <w:rsid w:val="00CF6857"/>
    <w:rsid w:val="00CF6884"/>
    <w:rsid w:val="00CF69B5"/>
    <w:rsid w:val="00CF69F1"/>
    <w:rsid w:val="00CF6BB3"/>
    <w:rsid w:val="00CF6BBB"/>
    <w:rsid w:val="00CF6CE8"/>
    <w:rsid w:val="00CF6D62"/>
    <w:rsid w:val="00CF6E36"/>
    <w:rsid w:val="00CF6E40"/>
    <w:rsid w:val="00CF6F89"/>
    <w:rsid w:val="00CF7038"/>
    <w:rsid w:val="00CF703C"/>
    <w:rsid w:val="00CF7040"/>
    <w:rsid w:val="00CF7058"/>
    <w:rsid w:val="00CF706D"/>
    <w:rsid w:val="00CF7077"/>
    <w:rsid w:val="00CF7167"/>
    <w:rsid w:val="00CF71AA"/>
    <w:rsid w:val="00CF7274"/>
    <w:rsid w:val="00CF7296"/>
    <w:rsid w:val="00CF7319"/>
    <w:rsid w:val="00CF73C5"/>
    <w:rsid w:val="00CF7476"/>
    <w:rsid w:val="00CF74FD"/>
    <w:rsid w:val="00CF7527"/>
    <w:rsid w:val="00CF76DC"/>
    <w:rsid w:val="00CF776F"/>
    <w:rsid w:val="00CF7836"/>
    <w:rsid w:val="00CF78BE"/>
    <w:rsid w:val="00CF78D5"/>
    <w:rsid w:val="00CF78FC"/>
    <w:rsid w:val="00CF79B4"/>
    <w:rsid w:val="00CF7A90"/>
    <w:rsid w:val="00CF7AEC"/>
    <w:rsid w:val="00CF7B03"/>
    <w:rsid w:val="00CF7CC7"/>
    <w:rsid w:val="00CF7D64"/>
    <w:rsid w:val="00CF7E7E"/>
    <w:rsid w:val="00CF7ED8"/>
    <w:rsid w:val="00D00070"/>
    <w:rsid w:val="00D000F6"/>
    <w:rsid w:val="00D0015C"/>
    <w:rsid w:val="00D002BC"/>
    <w:rsid w:val="00D003A0"/>
    <w:rsid w:val="00D00427"/>
    <w:rsid w:val="00D005CC"/>
    <w:rsid w:val="00D005DF"/>
    <w:rsid w:val="00D0062E"/>
    <w:rsid w:val="00D006D2"/>
    <w:rsid w:val="00D007E7"/>
    <w:rsid w:val="00D009CE"/>
    <w:rsid w:val="00D00A44"/>
    <w:rsid w:val="00D00AAB"/>
    <w:rsid w:val="00D00AB7"/>
    <w:rsid w:val="00D00AE0"/>
    <w:rsid w:val="00D00B1A"/>
    <w:rsid w:val="00D00B7A"/>
    <w:rsid w:val="00D00B88"/>
    <w:rsid w:val="00D00C69"/>
    <w:rsid w:val="00D00CD0"/>
    <w:rsid w:val="00D00D3C"/>
    <w:rsid w:val="00D00E25"/>
    <w:rsid w:val="00D00E79"/>
    <w:rsid w:val="00D00EFC"/>
    <w:rsid w:val="00D00FB2"/>
    <w:rsid w:val="00D00FF7"/>
    <w:rsid w:val="00D0100E"/>
    <w:rsid w:val="00D0102D"/>
    <w:rsid w:val="00D01064"/>
    <w:rsid w:val="00D01131"/>
    <w:rsid w:val="00D0127E"/>
    <w:rsid w:val="00D012B7"/>
    <w:rsid w:val="00D0137A"/>
    <w:rsid w:val="00D01394"/>
    <w:rsid w:val="00D013CC"/>
    <w:rsid w:val="00D01433"/>
    <w:rsid w:val="00D01602"/>
    <w:rsid w:val="00D01632"/>
    <w:rsid w:val="00D01702"/>
    <w:rsid w:val="00D017C3"/>
    <w:rsid w:val="00D01802"/>
    <w:rsid w:val="00D018F4"/>
    <w:rsid w:val="00D01B9B"/>
    <w:rsid w:val="00D01C93"/>
    <w:rsid w:val="00D01D1F"/>
    <w:rsid w:val="00D01DFC"/>
    <w:rsid w:val="00D01E1D"/>
    <w:rsid w:val="00D01E9D"/>
    <w:rsid w:val="00D01EEB"/>
    <w:rsid w:val="00D01F26"/>
    <w:rsid w:val="00D02020"/>
    <w:rsid w:val="00D02039"/>
    <w:rsid w:val="00D02094"/>
    <w:rsid w:val="00D020FF"/>
    <w:rsid w:val="00D021C6"/>
    <w:rsid w:val="00D023E6"/>
    <w:rsid w:val="00D02543"/>
    <w:rsid w:val="00D02575"/>
    <w:rsid w:val="00D025CC"/>
    <w:rsid w:val="00D025DA"/>
    <w:rsid w:val="00D0268D"/>
    <w:rsid w:val="00D026A2"/>
    <w:rsid w:val="00D026BD"/>
    <w:rsid w:val="00D0272F"/>
    <w:rsid w:val="00D0282C"/>
    <w:rsid w:val="00D02839"/>
    <w:rsid w:val="00D0283E"/>
    <w:rsid w:val="00D02896"/>
    <w:rsid w:val="00D028CF"/>
    <w:rsid w:val="00D028F0"/>
    <w:rsid w:val="00D02BFC"/>
    <w:rsid w:val="00D02C11"/>
    <w:rsid w:val="00D02D21"/>
    <w:rsid w:val="00D02E83"/>
    <w:rsid w:val="00D02FC5"/>
    <w:rsid w:val="00D030D8"/>
    <w:rsid w:val="00D030E4"/>
    <w:rsid w:val="00D03111"/>
    <w:rsid w:val="00D03186"/>
    <w:rsid w:val="00D031FC"/>
    <w:rsid w:val="00D0326F"/>
    <w:rsid w:val="00D03318"/>
    <w:rsid w:val="00D03329"/>
    <w:rsid w:val="00D03347"/>
    <w:rsid w:val="00D033F7"/>
    <w:rsid w:val="00D0340F"/>
    <w:rsid w:val="00D0351E"/>
    <w:rsid w:val="00D035A1"/>
    <w:rsid w:val="00D035BB"/>
    <w:rsid w:val="00D03671"/>
    <w:rsid w:val="00D03695"/>
    <w:rsid w:val="00D036BF"/>
    <w:rsid w:val="00D036F2"/>
    <w:rsid w:val="00D0371E"/>
    <w:rsid w:val="00D0372D"/>
    <w:rsid w:val="00D0382F"/>
    <w:rsid w:val="00D0384E"/>
    <w:rsid w:val="00D038AD"/>
    <w:rsid w:val="00D03935"/>
    <w:rsid w:val="00D03966"/>
    <w:rsid w:val="00D03AD6"/>
    <w:rsid w:val="00D03B11"/>
    <w:rsid w:val="00D03BCB"/>
    <w:rsid w:val="00D03C5E"/>
    <w:rsid w:val="00D03C99"/>
    <w:rsid w:val="00D03DC7"/>
    <w:rsid w:val="00D03F68"/>
    <w:rsid w:val="00D03FF3"/>
    <w:rsid w:val="00D03FF5"/>
    <w:rsid w:val="00D04189"/>
    <w:rsid w:val="00D04217"/>
    <w:rsid w:val="00D0433F"/>
    <w:rsid w:val="00D04714"/>
    <w:rsid w:val="00D047B7"/>
    <w:rsid w:val="00D04856"/>
    <w:rsid w:val="00D04868"/>
    <w:rsid w:val="00D048A0"/>
    <w:rsid w:val="00D04AD4"/>
    <w:rsid w:val="00D04AE3"/>
    <w:rsid w:val="00D04BAE"/>
    <w:rsid w:val="00D04D2E"/>
    <w:rsid w:val="00D04D6C"/>
    <w:rsid w:val="00D04DF4"/>
    <w:rsid w:val="00D04E07"/>
    <w:rsid w:val="00D04E5A"/>
    <w:rsid w:val="00D04E64"/>
    <w:rsid w:val="00D04EF7"/>
    <w:rsid w:val="00D05141"/>
    <w:rsid w:val="00D05152"/>
    <w:rsid w:val="00D0527C"/>
    <w:rsid w:val="00D052B8"/>
    <w:rsid w:val="00D052E3"/>
    <w:rsid w:val="00D0547F"/>
    <w:rsid w:val="00D054F0"/>
    <w:rsid w:val="00D0555D"/>
    <w:rsid w:val="00D0557C"/>
    <w:rsid w:val="00D0559A"/>
    <w:rsid w:val="00D05683"/>
    <w:rsid w:val="00D056FA"/>
    <w:rsid w:val="00D05714"/>
    <w:rsid w:val="00D057D6"/>
    <w:rsid w:val="00D05A45"/>
    <w:rsid w:val="00D05C0B"/>
    <w:rsid w:val="00D05C2A"/>
    <w:rsid w:val="00D05C7C"/>
    <w:rsid w:val="00D05D71"/>
    <w:rsid w:val="00D05DBC"/>
    <w:rsid w:val="00D05E2B"/>
    <w:rsid w:val="00D05E5F"/>
    <w:rsid w:val="00D05EA7"/>
    <w:rsid w:val="00D05EBB"/>
    <w:rsid w:val="00D05FC5"/>
    <w:rsid w:val="00D060DC"/>
    <w:rsid w:val="00D0621E"/>
    <w:rsid w:val="00D06244"/>
    <w:rsid w:val="00D06309"/>
    <w:rsid w:val="00D063C9"/>
    <w:rsid w:val="00D063F8"/>
    <w:rsid w:val="00D0644E"/>
    <w:rsid w:val="00D06480"/>
    <w:rsid w:val="00D0652E"/>
    <w:rsid w:val="00D06664"/>
    <w:rsid w:val="00D066E7"/>
    <w:rsid w:val="00D068CE"/>
    <w:rsid w:val="00D06B69"/>
    <w:rsid w:val="00D06BD0"/>
    <w:rsid w:val="00D06DB4"/>
    <w:rsid w:val="00D06DC0"/>
    <w:rsid w:val="00D06E51"/>
    <w:rsid w:val="00D06EA7"/>
    <w:rsid w:val="00D06F7A"/>
    <w:rsid w:val="00D06FB9"/>
    <w:rsid w:val="00D07291"/>
    <w:rsid w:val="00D072F7"/>
    <w:rsid w:val="00D07375"/>
    <w:rsid w:val="00D0742A"/>
    <w:rsid w:val="00D07469"/>
    <w:rsid w:val="00D0748B"/>
    <w:rsid w:val="00D0750A"/>
    <w:rsid w:val="00D0753F"/>
    <w:rsid w:val="00D07548"/>
    <w:rsid w:val="00D075B8"/>
    <w:rsid w:val="00D075B9"/>
    <w:rsid w:val="00D075E1"/>
    <w:rsid w:val="00D076A5"/>
    <w:rsid w:val="00D076DA"/>
    <w:rsid w:val="00D0772E"/>
    <w:rsid w:val="00D07751"/>
    <w:rsid w:val="00D078DA"/>
    <w:rsid w:val="00D078F2"/>
    <w:rsid w:val="00D07959"/>
    <w:rsid w:val="00D07962"/>
    <w:rsid w:val="00D07974"/>
    <w:rsid w:val="00D07993"/>
    <w:rsid w:val="00D07B2E"/>
    <w:rsid w:val="00D07BA1"/>
    <w:rsid w:val="00D07E8C"/>
    <w:rsid w:val="00D07EA3"/>
    <w:rsid w:val="00D07F9B"/>
    <w:rsid w:val="00D10089"/>
    <w:rsid w:val="00D101F1"/>
    <w:rsid w:val="00D1034A"/>
    <w:rsid w:val="00D103A4"/>
    <w:rsid w:val="00D1058C"/>
    <w:rsid w:val="00D105D9"/>
    <w:rsid w:val="00D107A1"/>
    <w:rsid w:val="00D107C4"/>
    <w:rsid w:val="00D108F6"/>
    <w:rsid w:val="00D10955"/>
    <w:rsid w:val="00D10A6D"/>
    <w:rsid w:val="00D10B0C"/>
    <w:rsid w:val="00D10C0F"/>
    <w:rsid w:val="00D10C1C"/>
    <w:rsid w:val="00D10D16"/>
    <w:rsid w:val="00D10FA0"/>
    <w:rsid w:val="00D10FDB"/>
    <w:rsid w:val="00D11017"/>
    <w:rsid w:val="00D11213"/>
    <w:rsid w:val="00D112BA"/>
    <w:rsid w:val="00D113A6"/>
    <w:rsid w:val="00D113EA"/>
    <w:rsid w:val="00D11440"/>
    <w:rsid w:val="00D1148E"/>
    <w:rsid w:val="00D11530"/>
    <w:rsid w:val="00D11576"/>
    <w:rsid w:val="00D115D6"/>
    <w:rsid w:val="00D115FC"/>
    <w:rsid w:val="00D1164A"/>
    <w:rsid w:val="00D11709"/>
    <w:rsid w:val="00D1173B"/>
    <w:rsid w:val="00D1174C"/>
    <w:rsid w:val="00D11756"/>
    <w:rsid w:val="00D11785"/>
    <w:rsid w:val="00D1183B"/>
    <w:rsid w:val="00D1185E"/>
    <w:rsid w:val="00D11901"/>
    <w:rsid w:val="00D11AAF"/>
    <w:rsid w:val="00D11B8E"/>
    <w:rsid w:val="00D11BBF"/>
    <w:rsid w:val="00D11BE7"/>
    <w:rsid w:val="00D11C8A"/>
    <w:rsid w:val="00D11D5A"/>
    <w:rsid w:val="00D11F43"/>
    <w:rsid w:val="00D120AF"/>
    <w:rsid w:val="00D12260"/>
    <w:rsid w:val="00D123FC"/>
    <w:rsid w:val="00D1256D"/>
    <w:rsid w:val="00D1262D"/>
    <w:rsid w:val="00D128C9"/>
    <w:rsid w:val="00D12947"/>
    <w:rsid w:val="00D129D6"/>
    <w:rsid w:val="00D12A1F"/>
    <w:rsid w:val="00D12A95"/>
    <w:rsid w:val="00D12AE8"/>
    <w:rsid w:val="00D12AF9"/>
    <w:rsid w:val="00D12B47"/>
    <w:rsid w:val="00D12C12"/>
    <w:rsid w:val="00D12DC3"/>
    <w:rsid w:val="00D12E5B"/>
    <w:rsid w:val="00D12EC4"/>
    <w:rsid w:val="00D12FBE"/>
    <w:rsid w:val="00D131CD"/>
    <w:rsid w:val="00D13223"/>
    <w:rsid w:val="00D13236"/>
    <w:rsid w:val="00D135D1"/>
    <w:rsid w:val="00D135FB"/>
    <w:rsid w:val="00D1360C"/>
    <w:rsid w:val="00D136BD"/>
    <w:rsid w:val="00D13717"/>
    <w:rsid w:val="00D1375B"/>
    <w:rsid w:val="00D13773"/>
    <w:rsid w:val="00D137A3"/>
    <w:rsid w:val="00D13853"/>
    <w:rsid w:val="00D13A90"/>
    <w:rsid w:val="00D13AB3"/>
    <w:rsid w:val="00D13B0A"/>
    <w:rsid w:val="00D13B80"/>
    <w:rsid w:val="00D13D1D"/>
    <w:rsid w:val="00D13E4E"/>
    <w:rsid w:val="00D13F13"/>
    <w:rsid w:val="00D13FFD"/>
    <w:rsid w:val="00D140C9"/>
    <w:rsid w:val="00D14152"/>
    <w:rsid w:val="00D14153"/>
    <w:rsid w:val="00D1418E"/>
    <w:rsid w:val="00D1422D"/>
    <w:rsid w:val="00D142D3"/>
    <w:rsid w:val="00D14343"/>
    <w:rsid w:val="00D143C7"/>
    <w:rsid w:val="00D144C4"/>
    <w:rsid w:val="00D14579"/>
    <w:rsid w:val="00D145A6"/>
    <w:rsid w:val="00D14660"/>
    <w:rsid w:val="00D14761"/>
    <w:rsid w:val="00D148B9"/>
    <w:rsid w:val="00D1494C"/>
    <w:rsid w:val="00D14967"/>
    <w:rsid w:val="00D149D9"/>
    <w:rsid w:val="00D14B7C"/>
    <w:rsid w:val="00D14C0D"/>
    <w:rsid w:val="00D14C70"/>
    <w:rsid w:val="00D14D59"/>
    <w:rsid w:val="00D14D9F"/>
    <w:rsid w:val="00D14DA9"/>
    <w:rsid w:val="00D14E90"/>
    <w:rsid w:val="00D14F8B"/>
    <w:rsid w:val="00D14F9F"/>
    <w:rsid w:val="00D14FA3"/>
    <w:rsid w:val="00D15007"/>
    <w:rsid w:val="00D1506A"/>
    <w:rsid w:val="00D1521F"/>
    <w:rsid w:val="00D1524F"/>
    <w:rsid w:val="00D153AA"/>
    <w:rsid w:val="00D1544F"/>
    <w:rsid w:val="00D15455"/>
    <w:rsid w:val="00D155BC"/>
    <w:rsid w:val="00D155EC"/>
    <w:rsid w:val="00D1562D"/>
    <w:rsid w:val="00D15640"/>
    <w:rsid w:val="00D1568E"/>
    <w:rsid w:val="00D156DB"/>
    <w:rsid w:val="00D15705"/>
    <w:rsid w:val="00D15715"/>
    <w:rsid w:val="00D15729"/>
    <w:rsid w:val="00D15740"/>
    <w:rsid w:val="00D15768"/>
    <w:rsid w:val="00D1576D"/>
    <w:rsid w:val="00D1581E"/>
    <w:rsid w:val="00D15827"/>
    <w:rsid w:val="00D158E3"/>
    <w:rsid w:val="00D1599E"/>
    <w:rsid w:val="00D159B9"/>
    <w:rsid w:val="00D15A6D"/>
    <w:rsid w:val="00D15ABC"/>
    <w:rsid w:val="00D15B17"/>
    <w:rsid w:val="00D15B5A"/>
    <w:rsid w:val="00D15BDF"/>
    <w:rsid w:val="00D15C75"/>
    <w:rsid w:val="00D15CC5"/>
    <w:rsid w:val="00D15E0D"/>
    <w:rsid w:val="00D15E48"/>
    <w:rsid w:val="00D15E8A"/>
    <w:rsid w:val="00D16091"/>
    <w:rsid w:val="00D161D6"/>
    <w:rsid w:val="00D16258"/>
    <w:rsid w:val="00D163F7"/>
    <w:rsid w:val="00D1650E"/>
    <w:rsid w:val="00D16539"/>
    <w:rsid w:val="00D16586"/>
    <w:rsid w:val="00D165F1"/>
    <w:rsid w:val="00D168D0"/>
    <w:rsid w:val="00D168F0"/>
    <w:rsid w:val="00D16915"/>
    <w:rsid w:val="00D169E7"/>
    <w:rsid w:val="00D16ACB"/>
    <w:rsid w:val="00D16AD4"/>
    <w:rsid w:val="00D16B00"/>
    <w:rsid w:val="00D16CA0"/>
    <w:rsid w:val="00D16D92"/>
    <w:rsid w:val="00D16E3A"/>
    <w:rsid w:val="00D16EB8"/>
    <w:rsid w:val="00D16EF4"/>
    <w:rsid w:val="00D16F63"/>
    <w:rsid w:val="00D16FBC"/>
    <w:rsid w:val="00D16FF2"/>
    <w:rsid w:val="00D17023"/>
    <w:rsid w:val="00D170C9"/>
    <w:rsid w:val="00D170F1"/>
    <w:rsid w:val="00D17112"/>
    <w:rsid w:val="00D172C9"/>
    <w:rsid w:val="00D172E7"/>
    <w:rsid w:val="00D172F1"/>
    <w:rsid w:val="00D172F8"/>
    <w:rsid w:val="00D1733B"/>
    <w:rsid w:val="00D17345"/>
    <w:rsid w:val="00D17373"/>
    <w:rsid w:val="00D17510"/>
    <w:rsid w:val="00D176A1"/>
    <w:rsid w:val="00D17703"/>
    <w:rsid w:val="00D17741"/>
    <w:rsid w:val="00D177B8"/>
    <w:rsid w:val="00D17805"/>
    <w:rsid w:val="00D17896"/>
    <w:rsid w:val="00D178CB"/>
    <w:rsid w:val="00D179DE"/>
    <w:rsid w:val="00D17A0A"/>
    <w:rsid w:val="00D17A16"/>
    <w:rsid w:val="00D17A98"/>
    <w:rsid w:val="00D17ABE"/>
    <w:rsid w:val="00D17ADC"/>
    <w:rsid w:val="00D17ADE"/>
    <w:rsid w:val="00D17C75"/>
    <w:rsid w:val="00D17CD3"/>
    <w:rsid w:val="00D17D44"/>
    <w:rsid w:val="00D17EFE"/>
    <w:rsid w:val="00D17F37"/>
    <w:rsid w:val="00D17FB5"/>
    <w:rsid w:val="00D17FC2"/>
    <w:rsid w:val="00D20082"/>
    <w:rsid w:val="00D200C2"/>
    <w:rsid w:val="00D2024B"/>
    <w:rsid w:val="00D204BB"/>
    <w:rsid w:val="00D205B6"/>
    <w:rsid w:val="00D2068E"/>
    <w:rsid w:val="00D20738"/>
    <w:rsid w:val="00D20896"/>
    <w:rsid w:val="00D20918"/>
    <w:rsid w:val="00D209CB"/>
    <w:rsid w:val="00D209DC"/>
    <w:rsid w:val="00D209FA"/>
    <w:rsid w:val="00D20B30"/>
    <w:rsid w:val="00D20DF1"/>
    <w:rsid w:val="00D20EAE"/>
    <w:rsid w:val="00D20F7A"/>
    <w:rsid w:val="00D20F9D"/>
    <w:rsid w:val="00D20FE6"/>
    <w:rsid w:val="00D210CE"/>
    <w:rsid w:val="00D2117E"/>
    <w:rsid w:val="00D21228"/>
    <w:rsid w:val="00D21474"/>
    <w:rsid w:val="00D214AF"/>
    <w:rsid w:val="00D21659"/>
    <w:rsid w:val="00D21747"/>
    <w:rsid w:val="00D21819"/>
    <w:rsid w:val="00D2181F"/>
    <w:rsid w:val="00D2188E"/>
    <w:rsid w:val="00D21913"/>
    <w:rsid w:val="00D21963"/>
    <w:rsid w:val="00D21AB7"/>
    <w:rsid w:val="00D21ADD"/>
    <w:rsid w:val="00D21AF2"/>
    <w:rsid w:val="00D21B0E"/>
    <w:rsid w:val="00D21C21"/>
    <w:rsid w:val="00D21C8E"/>
    <w:rsid w:val="00D21D04"/>
    <w:rsid w:val="00D21DC4"/>
    <w:rsid w:val="00D21DDB"/>
    <w:rsid w:val="00D21F0F"/>
    <w:rsid w:val="00D2201C"/>
    <w:rsid w:val="00D2203C"/>
    <w:rsid w:val="00D22297"/>
    <w:rsid w:val="00D22397"/>
    <w:rsid w:val="00D223DF"/>
    <w:rsid w:val="00D223F5"/>
    <w:rsid w:val="00D2243F"/>
    <w:rsid w:val="00D22444"/>
    <w:rsid w:val="00D22488"/>
    <w:rsid w:val="00D22768"/>
    <w:rsid w:val="00D227A4"/>
    <w:rsid w:val="00D227C9"/>
    <w:rsid w:val="00D229D8"/>
    <w:rsid w:val="00D22A71"/>
    <w:rsid w:val="00D22A86"/>
    <w:rsid w:val="00D22B17"/>
    <w:rsid w:val="00D22B5C"/>
    <w:rsid w:val="00D22BDC"/>
    <w:rsid w:val="00D22C89"/>
    <w:rsid w:val="00D22D1E"/>
    <w:rsid w:val="00D22DBE"/>
    <w:rsid w:val="00D22E0F"/>
    <w:rsid w:val="00D22EC7"/>
    <w:rsid w:val="00D23066"/>
    <w:rsid w:val="00D230DF"/>
    <w:rsid w:val="00D23238"/>
    <w:rsid w:val="00D23291"/>
    <w:rsid w:val="00D233C1"/>
    <w:rsid w:val="00D23553"/>
    <w:rsid w:val="00D2375D"/>
    <w:rsid w:val="00D23868"/>
    <w:rsid w:val="00D2387E"/>
    <w:rsid w:val="00D2396E"/>
    <w:rsid w:val="00D23A1F"/>
    <w:rsid w:val="00D23A3A"/>
    <w:rsid w:val="00D23A41"/>
    <w:rsid w:val="00D23D37"/>
    <w:rsid w:val="00D23D9D"/>
    <w:rsid w:val="00D23DB8"/>
    <w:rsid w:val="00D23DFD"/>
    <w:rsid w:val="00D23F0A"/>
    <w:rsid w:val="00D23F77"/>
    <w:rsid w:val="00D23FB9"/>
    <w:rsid w:val="00D24024"/>
    <w:rsid w:val="00D2408C"/>
    <w:rsid w:val="00D2418D"/>
    <w:rsid w:val="00D24210"/>
    <w:rsid w:val="00D24215"/>
    <w:rsid w:val="00D2424B"/>
    <w:rsid w:val="00D242CE"/>
    <w:rsid w:val="00D24331"/>
    <w:rsid w:val="00D2434F"/>
    <w:rsid w:val="00D243A8"/>
    <w:rsid w:val="00D245C8"/>
    <w:rsid w:val="00D245ED"/>
    <w:rsid w:val="00D24667"/>
    <w:rsid w:val="00D24682"/>
    <w:rsid w:val="00D247CE"/>
    <w:rsid w:val="00D247ED"/>
    <w:rsid w:val="00D2481A"/>
    <w:rsid w:val="00D24830"/>
    <w:rsid w:val="00D24AD8"/>
    <w:rsid w:val="00D24B4B"/>
    <w:rsid w:val="00D24B73"/>
    <w:rsid w:val="00D24BF6"/>
    <w:rsid w:val="00D24CAC"/>
    <w:rsid w:val="00D24CD7"/>
    <w:rsid w:val="00D24E1D"/>
    <w:rsid w:val="00D24E52"/>
    <w:rsid w:val="00D2500E"/>
    <w:rsid w:val="00D2501B"/>
    <w:rsid w:val="00D25151"/>
    <w:rsid w:val="00D2518E"/>
    <w:rsid w:val="00D251EE"/>
    <w:rsid w:val="00D25210"/>
    <w:rsid w:val="00D2521C"/>
    <w:rsid w:val="00D25255"/>
    <w:rsid w:val="00D2528B"/>
    <w:rsid w:val="00D252D0"/>
    <w:rsid w:val="00D25304"/>
    <w:rsid w:val="00D25316"/>
    <w:rsid w:val="00D2558D"/>
    <w:rsid w:val="00D256B8"/>
    <w:rsid w:val="00D257D4"/>
    <w:rsid w:val="00D25A1A"/>
    <w:rsid w:val="00D25B1D"/>
    <w:rsid w:val="00D25B40"/>
    <w:rsid w:val="00D25E0F"/>
    <w:rsid w:val="00D25F6A"/>
    <w:rsid w:val="00D26005"/>
    <w:rsid w:val="00D26430"/>
    <w:rsid w:val="00D264F5"/>
    <w:rsid w:val="00D26507"/>
    <w:rsid w:val="00D26568"/>
    <w:rsid w:val="00D2657B"/>
    <w:rsid w:val="00D2659A"/>
    <w:rsid w:val="00D2663C"/>
    <w:rsid w:val="00D26700"/>
    <w:rsid w:val="00D26721"/>
    <w:rsid w:val="00D2674A"/>
    <w:rsid w:val="00D267CF"/>
    <w:rsid w:val="00D2680C"/>
    <w:rsid w:val="00D26839"/>
    <w:rsid w:val="00D26AD5"/>
    <w:rsid w:val="00D26B3B"/>
    <w:rsid w:val="00D26B62"/>
    <w:rsid w:val="00D26C35"/>
    <w:rsid w:val="00D26D17"/>
    <w:rsid w:val="00D26D7F"/>
    <w:rsid w:val="00D26E25"/>
    <w:rsid w:val="00D26E51"/>
    <w:rsid w:val="00D26E97"/>
    <w:rsid w:val="00D27062"/>
    <w:rsid w:val="00D272DD"/>
    <w:rsid w:val="00D2730F"/>
    <w:rsid w:val="00D2732D"/>
    <w:rsid w:val="00D2739E"/>
    <w:rsid w:val="00D27484"/>
    <w:rsid w:val="00D274D6"/>
    <w:rsid w:val="00D274FE"/>
    <w:rsid w:val="00D27551"/>
    <w:rsid w:val="00D27602"/>
    <w:rsid w:val="00D276EC"/>
    <w:rsid w:val="00D27762"/>
    <w:rsid w:val="00D2779A"/>
    <w:rsid w:val="00D277BC"/>
    <w:rsid w:val="00D278DD"/>
    <w:rsid w:val="00D27A09"/>
    <w:rsid w:val="00D27C0D"/>
    <w:rsid w:val="00D27C0F"/>
    <w:rsid w:val="00D27C99"/>
    <w:rsid w:val="00D27DB4"/>
    <w:rsid w:val="00D27E61"/>
    <w:rsid w:val="00D27F30"/>
    <w:rsid w:val="00D30197"/>
    <w:rsid w:val="00D301AB"/>
    <w:rsid w:val="00D30266"/>
    <w:rsid w:val="00D30398"/>
    <w:rsid w:val="00D303FA"/>
    <w:rsid w:val="00D30546"/>
    <w:rsid w:val="00D3057B"/>
    <w:rsid w:val="00D306F4"/>
    <w:rsid w:val="00D30756"/>
    <w:rsid w:val="00D3089E"/>
    <w:rsid w:val="00D308B4"/>
    <w:rsid w:val="00D308C8"/>
    <w:rsid w:val="00D309FF"/>
    <w:rsid w:val="00D30B97"/>
    <w:rsid w:val="00D30C6B"/>
    <w:rsid w:val="00D30DA9"/>
    <w:rsid w:val="00D30E7B"/>
    <w:rsid w:val="00D30F0D"/>
    <w:rsid w:val="00D30F68"/>
    <w:rsid w:val="00D3102A"/>
    <w:rsid w:val="00D31143"/>
    <w:rsid w:val="00D31169"/>
    <w:rsid w:val="00D3116C"/>
    <w:rsid w:val="00D3122B"/>
    <w:rsid w:val="00D31270"/>
    <w:rsid w:val="00D312A9"/>
    <w:rsid w:val="00D31327"/>
    <w:rsid w:val="00D31494"/>
    <w:rsid w:val="00D31553"/>
    <w:rsid w:val="00D315CC"/>
    <w:rsid w:val="00D31822"/>
    <w:rsid w:val="00D31826"/>
    <w:rsid w:val="00D31829"/>
    <w:rsid w:val="00D3185E"/>
    <w:rsid w:val="00D3196A"/>
    <w:rsid w:val="00D319F3"/>
    <w:rsid w:val="00D31AEC"/>
    <w:rsid w:val="00D31B04"/>
    <w:rsid w:val="00D31B92"/>
    <w:rsid w:val="00D31C7F"/>
    <w:rsid w:val="00D31D10"/>
    <w:rsid w:val="00D31D11"/>
    <w:rsid w:val="00D31D7D"/>
    <w:rsid w:val="00D31F1C"/>
    <w:rsid w:val="00D32014"/>
    <w:rsid w:val="00D320AF"/>
    <w:rsid w:val="00D320BC"/>
    <w:rsid w:val="00D320CE"/>
    <w:rsid w:val="00D320D8"/>
    <w:rsid w:val="00D3218C"/>
    <w:rsid w:val="00D321F9"/>
    <w:rsid w:val="00D322C1"/>
    <w:rsid w:val="00D32324"/>
    <w:rsid w:val="00D32400"/>
    <w:rsid w:val="00D32489"/>
    <w:rsid w:val="00D3257C"/>
    <w:rsid w:val="00D325DC"/>
    <w:rsid w:val="00D326F7"/>
    <w:rsid w:val="00D327A1"/>
    <w:rsid w:val="00D3283D"/>
    <w:rsid w:val="00D328C6"/>
    <w:rsid w:val="00D32913"/>
    <w:rsid w:val="00D329BC"/>
    <w:rsid w:val="00D32AD3"/>
    <w:rsid w:val="00D32C6B"/>
    <w:rsid w:val="00D32CDC"/>
    <w:rsid w:val="00D32CFA"/>
    <w:rsid w:val="00D32D93"/>
    <w:rsid w:val="00D32E78"/>
    <w:rsid w:val="00D32E81"/>
    <w:rsid w:val="00D32EB3"/>
    <w:rsid w:val="00D32EC4"/>
    <w:rsid w:val="00D32F85"/>
    <w:rsid w:val="00D33009"/>
    <w:rsid w:val="00D330DA"/>
    <w:rsid w:val="00D33168"/>
    <w:rsid w:val="00D331D6"/>
    <w:rsid w:val="00D3320D"/>
    <w:rsid w:val="00D3330D"/>
    <w:rsid w:val="00D3342D"/>
    <w:rsid w:val="00D334F7"/>
    <w:rsid w:val="00D33543"/>
    <w:rsid w:val="00D335A5"/>
    <w:rsid w:val="00D335EF"/>
    <w:rsid w:val="00D336D3"/>
    <w:rsid w:val="00D33721"/>
    <w:rsid w:val="00D3375A"/>
    <w:rsid w:val="00D337EC"/>
    <w:rsid w:val="00D33906"/>
    <w:rsid w:val="00D33963"/>
    <w:rsid w:val="00D33990"/>
    <w:rsid w:val="00D339A4"/>
    <w:rsid w:val="00D339B7"/>
    <w:rsid w:val="00D339DA"/>
    <w:rsid w:val="00D339EE"/>
    <w:rsid w:val="00D33A3C"/>
    <w:rsid w:val="00D33A41"/>
    <w:rsid w:val="00D33A6E"/>
    <w:rsid w:val="00D33AA3"/>
    <w:rsid w:val="00D33C4F"/>
    <w:rsid w:val="00D33C51"/>
    <w:rsid w:val="00D33C84"/>
    <w:rsid w:val="00D33D20"/>
    <w:rsid w:val="00D33D69"/>
    <w:rsid w:val="00D33E33"/>
    <w:rsid w:val="00D33E48"/>
    <w:rsid w:val="00D33EF2"/>
    <w:rsid w:val="00D34059"/>
    <w:rsid w:val="00D341ED"/>
    <w:rsid w:val="00D34216"/>
    <w:rsid w:val="00D34232"/>
    <w:rsid w:val="00D3436E"/>
    <w:rsid w:val="00D34425"/>
    <w:rsid w:val="00D3444A"/>
    <w:rsid w:val="00D34513"/>
    <w:rsid w:val="00D34515"/>
    <w:rsid w:val="00D345A1"/>
    <w:rsid w:val="00D345EC"/>
    <w:rsid w:val="00D34645"/>
    <w:rsid w:val="00D34670"/>
    <w:rsid w:val="00D34693"/>
    <w:rsid w:val="00D3482D"/>
    <w:rsid w:val="00D348A5"/>
    <w:rsid w:val="00D348F1"/>
    <w:rsid w:val="00D349AD"/>
    <w:rsid w:val="00D349CC"/>
    <w:rsid w:val="00D349E6"/>
    <w:rsid w:val="00D34A39"/>
    <w:rsid w:val="00D34B90"/>
    <w:rsid w:val="00D34C4E"/>
    <w:rsid w:val="00D34ED6"/>
    <w:rsid w:val="00D34EF4"/>
    <w:rsid w:val="00D35038"/>
    <w:rsid w:val="00D3505F"/>
    <w:rsid w:val="00D35138"/>
    <w:rsid w:val="00D351DB"/>
    <w:rsid w:val="00D3521E"/>
    <w:rsid w:val="00D353EA"/>
    <w:rsid w:val="00D353FC"/>
    <w:rsid w:val="00D35408"/>
    <w:rsid w:val="00D354E8"/>
    <w:rsid w:val="00D3552F"/>
    <w:rsid w:val="00D3558E"/>
    <w:rsid w:val="00D356ED"/>
    <w:rsid w:val="00D35740"/>
    <w:rsid w:val="00D3586E"/>
    <w:rsid w:val="00D35906"/>
    <w:rsid w:val="00D35B8A"/>
    <w:rsid w:val="00D35C2A"/>
    <w:rsid w:val="00D35CF1"/>
    <w:rsid w:val="00D35DBA"/>
    <w:rsid w:val="00D35DD6"/>
    <w:rsid w:val="00D35F25"/>
    <w:rsid w:val="00D35F3F"/>
    <w:rsid w:val="00D35F7F"/>
    <w:rsid w:val="00D35F83"/>
    <w:rsid w:val="00D35FD9"/>
    <w:rsid w:val="00D3612A"/>
    <w:rsid w:val="00D3618F"/>
    <w:rsid w:val="00D361B3"/>
    <w:rsid w:val="00D36362"/>
    <w:rsid w:val="00D363A5"/>
    <w:rsid w:val="00D3654C"/>
    <w:rsid w:val="00D365CC"/>
    <w:rsid w:val="00D36635"/>
    <w:rsid w:val="00D3663B"/>
    <w:rsid w:val="00D36886"/>
    <w:rsid w:val="00D368A9"/>
    <w:rsid w:val="00D36920"/>
    <w:rsid w:val="00D36931"/>
    <w:rsid w:val="00D3697E"/>
    <w:rsid w:val="00D36AAB"/>
    <w:rsid w:val="00D36B6C"/>
    <w:rsid w:val="00D36C7C"/>
    <w:rsid w:val="00D36D39"/>
    <w:rsid w:val="00D36E16"/>
    <w:rsid w:val="00D36E7C"/>
    <w:rsid w:val="00D36E8C"/>
    <w:rsid w:val="00D36EC2"/>
    <w:rsid w:val="00D3701A"/>
    <w:rsid w:val="00D370DC"/>
    <w:rsid w:val="00D370DF"/>
    <w:rsid w:val="00D37170"/>
    <w:rsid w:val="00D37193"/>
    <w:rsid w:val="00D371C7"/>
    <w:rsid w:val="00D372C6"/>
    <w:rsid w:val="00D37441"/>
    <w:rsid w:val="00D37551"/>
    <w:rsid w:val="00D3755F"/>
    <w:rsid w:val="00D375B8"/>
    <w:rsid w:val="00D375EC"/>
    <w:rsid w:val="00D376FC"/>
    <w:rsid w:val="00D37811"/>
    <w:rsid w:val="00D3791F"/>
    <w:rsid w:val="00D3793D"/>
    <w:rsid w:val="00D37AAC"/>
    <w:rsid w:val="00D37B8A"/>
    <w:rsid w:val="00D37C65"/>
    <w:rsid w:val="00D37CB4"/>
    <w:rsid w:val="00D37D3A"/>
    <w:rsid w:val="00D37E85"/>
    <w:rsid w:val="00D37FFB"/>
    <w:rsid w:val="00D400CB"/>
    <w:rsid w:val="00D400F0"/>
    <w:rsid w:val="00D401A3"/>
    <w:rsid w:val="00D40339"/>
    <w:rsid w:val="00D40351"/>
    <w:rsid w:val="00D40368"/>
    <w:rsid w:val="00D40402"/>
    <w:rsid w:val="00D4043E"/>
    <w:rsid w:val="00D40516"/>
    <w:rsid w:val="00D40518"/>
    <w:rsid w:val="00D40593"/>
    <w:rsid w:val="00D406DC"/>
    <w:rsid w:val="00D406E3"/>
    <w:rsid w:val="00D40766"/>
    <w:rsid w:val="00D4078B"/>
    <w:rsid w:val="00D4084E"/>
    <w:rsid w:val="00D4087B"/>
    <w:rsid w:val="00D40888"/>
    <w:rsid w:val="00D4097B"/>
    <w:rsid w:val="00D40980"/>
    <w:rsid w:val="00D40AB0"/>
    <w:rsid w:val="00D40AE8"/>
    <w:rsid w:val="00D40B1E"/>
    <w:rsid w:val="00D40B2B"/>
    <w:rsid w:val="00D40B85"/>
    <w:rsid w:val="00D40C49"/>
    <w:rsid w:val="00D40C97"/>
    <w:rsid w:val="00D40D18"/>
    <w:rsid w:val="00D40D68"/>
    <w:rsid w:val="00D40E42"/>
    <w:rsid w:val="00D4100E"/>
    <w:rsid w:val="00D41096"/>
    <w:rsid w:val="00D41142"/>
    <w:rsid w:val="00D41292"/>
    <w:rsid w:val="00D412AE"/>
    <w:rsid w:val="00D41467"/>
    <w:rsid w:val="00D414F2"/>
    <w:rsid w:val="00D4170C"/>
    <w:rsid w:val="00D41756"/>
    <w:rsid w:val="00D418D3"/>
    <w:rsid w:val="00D418EC"/>
    <w:rsid w:val="00D419D3"/>
    <w:rsid w:val="00D41B20"/>
    <w:rsid w:val="00D41D46"/>
    <w:rsid w:val="00D41E4F"/>
    <w:rsid w:val="00D41E87"/>
    <w:rsid w:val="00D42039"/>
    <w:rsid w:val="00D421E9"/>
    <w:rsid w:val="00D421F1"/>
    <w:rsid w:val="00D4222E"/>
    <w:rsid w:val="00D422CA"/>
    <w:rsid w:val="00D42352"/>
    <w:rsid w:val="00D423A0"/>
    <w:rsid w:val="00D423A8"/>
    <w:rsid w:val="00D42432"/>
    <w:rsid w:val="00D42501"/>
    <w:rsid w:val="00D4252F"/>
    <w:rsid w:val="00D426B0"/>
    <w:rsid w:val="00D426DA"/>
    <w:rsid w:val="00D4270B"/>
    <w:rsid w:val="00D427EC"/>
    <w:rsid w:val="00D4282F"/>
    <w:rsid w:val="00D42904"/>
    <w:rsid w:val="00D42AD2"/>
    <w:rsid w:val="00D42AD5"/>
    <w:rsid w:val="00D42AF6"/>
    <w:rsid w:val="00D42B38"/>
    <w:rsid w:val="00D42BB1"/>
    <w:rsid w:val="00D42C2B"/>
    <w:rsid w:val="00D42CCA"/>
    <w:rsid w:val="00D42D6A"/>
    <w:rsid w:val="00D42E66"/>
    <w:rsid w:val="00D42EFD"/>
    <w:rsid w:val="00D43032"/>
    <w:rsid w:val="00D43077"/>
    <w:rsid w:val="00D4313E"/>
    <w:rsid w:val="00D431A7"/>
    <w:rsid w:val="00D43300"/>
    <w:rsid w:val="00D433C6"/>
    <w:rsid w:val="00D43412"/>
    <w:rsid w:val="00D43455"/>
    <w:rsid w:val="00D4356A"/>
    <w:rsid w:val="00D435CE"/>
    <w:rsid w:val="00D43632"/>
    <w:rsid w:val="00D4364C"/>
    <w:rsid w:val="00D4371A"/>
    <w:rsid w:val="00D4383D"/>
    <w:rsid w:val="00D438D6"/>
    <w:rsid w:val="00D43956"/>
    <w:rsid w:val="00D43962"/>
    <w:rsid w:val="00D43A4D"/>
    <w:rsid w:val="00D43A83"/>
    <w:rsid w:val="00D43B21"/>
    <w:rsid w:val="00D43BD2"/>
    <w:rsid w:val="00D43C0D"/>
    <w:rsid w:val="00D43C2A"/>
    <w:rsid w:val="00D43CBC"/>
    <w:rsid w:val="00D43DA2"/>
    <w:rsid w:val="00D43E09"/>
    <w:rsid w:val="00D43EE9"/>
    <w:rsid w:val="00D4403E"/>
    <w:rsid w:val="00D4406E"/>
    <w:rsid w:val="00D44089"/>
    <w:rsid w:val="00D4415B"/>
    <w:rsid w:val="00D44319"/>
    <w:rsid w:val="00D4431A"/>
    <w:rsid w:val="00D446A5"/>
    <w:rsid w:val="00D446AF"/>
    <w:rsid w:val="00D446E6"/>
    <w:rsid w:val="00D4473C"/>
    <w:rsid w:val="00D44860"/>
    <w:rsid w:val="00D44896"/>
    <w:rsid w:val="00D448C6"/>
    <w:rsid w:val="00D449DD"/>
    <w:rsid w:val="00D44ABE"/>
    <w:rsid w:val="00D44B46"/>
    <w:rsid w:val="00D44BA4"/>
    <w:rsid w:val="00D44BE4"/>
    <w:rsid w:val="00D44C8A"/>
    <w:rsid w:val="00D44CB2"/>
    <w:rsid w:val="00D44CFC"/>
    <w:rsid w:val="00D44D39"/>
    <w:rsid w:val="00D44D7F"/>
    <w:rsid w:val="00D44E99"/>
    <w:rsid w:val="00D44EE9"/>
    <w:rsid w:val="00D44F4C"/>
    <w:rsid w:val="00D4514D"/>
    <w:rsid w:val="00D451C5"/>
    <w:rsid w:val="00D45276"/>
    <w:rsid w:val="00D452C9"/>
    <w:rsid w:val="00D45377"/>
    <w:rsid w:val="00D45432"/>
    <w:rsid w:val="00D45460"/>
    <w:rsid w:val="00D45470"/>
    <w:rsid w:val="00D454BC"/>
    <w:rsid w:val="00D45661"/>
    <w:rsid w:val="00D457B9"/>
    <w:rsid w:val="00D457CC"/>
    <w:rsid w:val="00D45ACB"/>
    <w:rsid w:val="00D45B99"/>
    <w:rsid w:val="00D45C25"/>
    <w:rsid w:val="00D45C78"/>
    <w:rsid w:val="00D45CC1"/>
    <w:rsid w:val="00D45DDC"/>
    <w:rsid w:val="00D45ED9"/>
    <w:rsid w:val="00D45FC0"/>
    <w:rsid w:val="00D45FD0"/>
    <w:rsid w:val="00D45FDC"/>
    <w:rsid w:val="00D45FF3"/>
    <w:rsid w:val="00D4606B"/>
    <w:rsid w:val="00D460B2"/>
    <w:rsid w:val="00D4610B"/>
    <w:rsid w:val="00D4618B"/>
    <w:rsid w:val="00D462D1"/>
    <w:rsid w:val="00D462F0"/>
    <w:rsid w:val="00D463BD"/>
    <w:rsid w:val="00D46407"/>
    <w:rsid w:val="00D4643D"/>
    <w:rsid w:val="00D46469"/>
    <w:rsid w:val="00D4650D"/>
    <w:rsid w:val="00D466A9"/>
    <w:rsid w:val="00D4675A"/>
    <w:rsid w:val="00D467E5"/>
    <w:rsid w:val="00D467FD"/>
    <w:rsid w:val="00D46886"/>
    <w:rsid w:val="00D469CE"/>
    <w:rsid w:val="00D469D9"/>
    <w:rsid w:val="00D46A08"/>
    <w:rsid w:val="00D46A47"/>
    <w:rsid w:val="00D46A6C"/>
    <w:rsid w:val="00D46CEE"/>
    <w:rsid w:val="00D46D80"/>
    <w:rsid w:val="00D46E10"/>
    <w:rsid w:val="00D46E51"/>
    <w:rsid w:val="00D46F45"/>
    <w:rsid w:val="00D470FF"/>
    <w:rsid w:val="00D47117"/>
    <w:rsid w:val="00D4733F"/>
    <w:rsid w:val="00D474E5"/>
    <w:rsid w:val="00D475FD"/>
    <w:rsid w:val="00D47608"/>
    <w:rsid w:val="00D47632"/>
    <w:rsid w:val="00D47758"/>
    <w:rsid w:val="00D477D0"/>
    <w:rsid w:val="00D47804"/>
    <w:rsid w:val="00D4796F"/>
    <w:rsid w:val="00D47A1A"/>
    <w:rsid w:val="00D47A64"/>
    <w:rsid w:val="00D47A8D"/>
    <w:rsid w:val="00D47AC5"/>
    <w:rsid w:val="00D47B4B"/>
    <w:rsid w:val="00D47BB3"/>
    <w:rsid w:val="00D47BF1"/>
    <w:rsid w:val="00D47C03"/>
    <w:rsid w:val="00D47C5B"/>
    <w:rsid w:val="00D47CF7"/>
    <w:rsid w:val="00D47ECA"/>
    <w:rsid w:val="00D47F13"/>
    <w:rsid w:val="00D47F28"/>
    <w:rsid w:val="00D47F4F"/>
    <w:rsid w:val="00D47F74"/>
    <w:rsid w:val="00D47FDC"/>
    <w:rsid w:val="00D47FF1"/>
    <w:rsid w:val="00D5008B"/>
    <w:rsid w:val="00D500C3"/>
    <w:rsid w:val="00D500E7"/>
    <w:rsid w:val="00D5010C"/>
    <w:rsid w:val="00D50280"/>
    <w:rsid w:val="00D502D1"/>
    <w:rsid w:val="00D502D6"/>
    <w:rsid w:val="00D50391"/>
    <w:rsid w:val="00D5050A"/>
    <w:rsid w:val="00D50566"/>
    <w:rsid w:val="00D50573"/>
    <w:rsid w:val="00D505D7"/>
    <w:rsid w:val="00D5068F"/>
    <w:rsid w:val="00D5082E"/>
    <w:rsid w:val="00D5084B"/>
    <w:rsid w:val="00D508D7"/>
    <w:rsid w:val="00D508E8"/>
    <w:rsid w:val="00D5095A"/>
    <w:rsid w:val="00D50B21"/>
    <w:rsid w:val="00D50B43"/>
    <w:rsid w:val="00D50B5A"/>
    <w:rsid w:val="00D50B68"/>
    <w:rsid w:val="00D50EDC"/>
    <w:rsid w:val="00D50EEA"/>
    <w:rsid w:val="00D50EFB"/>
    <w:rsid w:val="00D50F86"/>
    <w:rsid w:val="00D510B4"/>
    <w:rsid w:val="00D510CC"/>
    <w:rsid w:val="00D5114D"/>
    <w:rsid w:val="00D51203"/>
    <w:rsid w:val="00D512D3"/>
    <w:rsid w:val="00D51362"/>
    <w:rsid w:val="00D51430"/>
    <w:rsid w:val="00D51535"/>
    <w:rsid w:val="00D515BE"/>
    <w:rsid w:val="00D515D1"/>
    <w:rsid w:val="00D51608"/>
    <w:rsid w:val="00D51653"/>
    <w:rsid w:val="00D516E1"/>
    <w:rsid w:val="00D51712"/>
    <w:rsid w:val="00D517A9"/>
    <w:rsid w:val="00D518E6"/>
    <w:rsid w:val="00D51972"/>
    <w:rsid w:val="00D519AD"/>
    <w:rsid w:val="00D519E4"/>
    <w:rsid w:val="00D51AB8"/>
    <w:rsid w:val="00D51B22"/>
    <w:rsid w:val="00D51C6C"/>
    <w:rsid w:val="00D52044"/>
    <w:rsid w:val="00D5209D"/>
    <w:rsid w:val="00D521A3"/>
    <w:rsid w:val="00D521DE"/>
    <w:rsid w:val="00D52334"/>
    <w:rsid w:val="00D52338"/>
    <w:rsid w:val="00D52388"/>
    <w:rsid w:val="00D523E9"/>
    <w:rsid w:val="00D52450"/>
    <w:rsid w:val="00D524C5"/>
    <w:rsid w:val="00D525DB"/>
    <w:rsid w:val="00D52740"/>
    <w:rsid w:val="00D52807"/>
    <w:rsid w:val="00D5287D"/>
    <w:rsid w:val="00D529ED"/>
    <w:rsid w:val="00D52A99"/>
    <w:rsid w:val="00D52B12"/>
    <w:rsid w:val="00D52C68"/>
    <w:rsid w:val="00D52CD4"/>
    <w:rsid w:val="00D52D8E"/>
    <w:rsid w:val="00D52E2D"/>
    <w:rsid w:val="00D52E39"/>
    <w:rsid w:val="00D52FA2"/>
    <w:rsid w:val="00D5300F"/>
    <w:rsid w:val="00D530EB"/>
    <w:rsid w:val="00D53167"/>
    <w:rsid w:val="00D5322E"/>
    <w:rsid w:val="00D53390"/>
    <w:rsid w:val="00D533B2"/>
    <w:rsid w:val="00D5344C"/>
    <w:rsid w:val="00D53477"/>
    <w:rsid w:val="00D534FF"/>
    <w:rsid w:val="00D5358E"/>
    <w:rsid w:val="00D53597"/>
    <w:rsid w:val="00D535CD"/>
    <w:rsid w:val="00D53723"/>
    <w:rsid w:val="00D5373F"/>
    <w:rsid w:val="00D5374D"/>
    <w:rsid w:val="00D538D4"/>
    <w:rsid w:val="00D5396C"/>
    <w:rsid w:val="00D539DE"/>
    <w:rsid w:val="00D53A01"/>
    <w:rsid w:val="00D53A1E"/>
    <w:rsid w:val="00D53A79"/>
    <w:rsid w:val="00D53A95"/>
    <w:rsid w:val="00D53C07"/>
    <w:rsid w:val="00D53C75"/>
    <w:rsid w:val="00D53CDA"/>
    <w:rsid w:val="00D53CFB"/>
    <w:rsid w:val="00D53E77"/>
    <w:rsid w:val="00D53EEF"/>
    <w:rsid w:val="00D53F37"/>
    <w:rsid w:val="00D53FB2"/>
    <w:rsid w:val="00D53FFB"/>
    <w:rsid w:val="00D5405D"/>
    <w:rsid w:val="00D540B3"/>
    <w:rsid w:val="00D540E1"/>
    <w:rsid w:val="00D540E4"/>
    <w:rsid w:val="00D54187"/>
    <w:rsid w:val="00D5418C"/>
    <w:rsid w:val="00D541BF"/>
    <w:rsid w:val="00D542A9"/>
    <w:rsid w:val="00D54322"/>
    <w:rsid w:val="00D543BD"/>
    <w:rsid w:val="00D54462"/>
    <w:rsid w:val="00D54493"/>
    <w:rsid w:val="00D544C5"/>
    <w:rsid w:val="00D544EC"/>
    <w:rsid w:val="00D545F4"/>
    <w:rsid w:val="00D54626"/>
    <w:rsid w:val="00D54760"/>
    <w:rsid w:val="00D547B0"/>
    <w:rsid w:val="00D548B5"/>
    <w:rsid w:val="00D548F2"/>
    <w:rsid w:val="00D54952"/>
    <w:rsid w:val="00D54A47"/>
    <w:rsid w:val="00D54B77"/>
    <w:rsid w:val="00D54C1E"/>
    <w:rsid w:val="00D54C36"/>
    <w:rsid w:val="00D54C44"/>
    <w:rsid w:val="00D54CC0"/>
    <w:rsid w:val="00D54D21"/>
    <w:rsid w:val="00D54D66"/>
    <w:rsid w:val="00D54D84"/>
    <w:rsid w:val="00D54DE7"/>
    <w:rsid w:val="00D54E10"/>
    <w:rsid w:val="00D54E3C"/>
    <w:rsid w:val="00D54EE2"/>
    <w:rsid w:val="00D54EF9"/>
    <w:rsid w:val="00D54FDE"/>
    <w:rsid w:val="00D5503B"/>
    <w:rsid w:val="00D552BD"/>
    <w:rsid w:val="00D555E3"/>
    <w:rsid w:val="00D5565A"/>
    <w:rsid w:val="00D556B7"/>
    <w:rsid w:val="00D55743"/>
    <w:rsid w:val="00D55879"/>
    <w:rsid w:val="00D55973"/>
    <w:rsid w:val="00D55A4D"/>
    <w:rsid w:val="00D55AE5"/>
    <w:rsid w:val="00D55DA5"/>
    <w:rsid w:val="00D55FCA"/>
    <w:rsid w:val="00D56051"/>
    <w:rsid w:val="00D560B4"/>
    <w:rsid w:val="00D561A1"/>
    <w:rsid w:val="00D5624F"/>
    <w:rsid w:val="00D562B5"/>
    <w:rsid w:val="00D562C3"/>
    <w:rsid w:val="00D562F6"/>
    <w:rsid w:val="00D56498"/>
    <w:rsid w:val="00D565F8"/>
    <w:rsid w:val="00D5665D"/>
    <w:rsid w:val="00D566F9"/>
    <w:rsid w:val="00D567F5"/>
    <w:rsid w:val="00D56844"/>
    <w:rsid w:val="00D5693A"/>
    <w:rsid w:val="00D5696C"/>
    <w:rsid w:val="00D56A7A"/>
    <w:rsid w:val="00D56A8C"/>
    <w:rsid w:val="00D56AA1"/>
    <w:rsid w:val="00D56AD3"/>
    <w:rsid w:val="00D56B42"/>
    <w:rsid w:val="00D56BAA"/>
    <w:rsid w:val="00D56C30"/>
    <w:rsid w:val="00D56D6E"/>
    <w:rsid w:val="00D56DED"/>
    <w:rsid w:val="00D56E8F"/>
    <w:rsid w:val="00D56FC7"/>
    <w:rsid w:val="00D56FCB"/>
    <w:rsid w:val="00D570A9"/>
    <w:rsid w:val="00D570D3"/>
    <w:rsid w:val="00D57162"/>
    <w:rsid w:val="00D5721F"/>
    <w:rsid w:val="00D5737E"/>
    <w:rsid w:val="00D57457"/>
    <w:rsid w:val="00D574C4"/>
    <w:rsid w:val="00D57508"/>
    <w:rsid w:val="00D5753D"/>
    <w:rsid w:val="00D575B3"/>
    <w:rsid w:val="00D5762D"/>
    <w:rsid w:val="00D57674"/>
    <w:rsid w:val="00D576A1"/>
    <w:rsid w:val="00D577BA"/>
    <w:rsid w:val="00D57818"/>
    <w:rsid w:val="00D578C5"/>
    <w:rsid w:val="00D57A11"/>
    <w:rsid w:val="00D57A67"/>
    <w:rsid w:val="00D57A87"/>
    <w:rsid w:val="00D57ADB"/>
    <w:rsid w:val="00D57B00"/>
    <w:rsid w:val="00D57BAD"/>
    <w:rsid w:val="00D57C59"/>
    <w:rsid w:val="00D57D83"/>
    <w:rsid w:val="00D57DD8"/>
    <w:rsid w:val="00D57E1B"/>
    <w:rsid w:val="00D57E8D"/>
    <w:rsid w:val="00D57E91"/>
    <w:rsid w:val="00D57F99"/>
    <w:rsid w:val="00D60067"/>
    <w:rsid w:val="00D6010E"/>
    <w:rsid w:val="00D6015D"/>
    <w:rsid w:val="00D60260"/>
    <w:rsid w:val="00D602A3"/>
    <w:rsid w:val="00D602FB"/>
    <w:rsid w:val="00D6040B"/>
    <w:rsid w:val="00D6041B"/>
    <w:rsid w:val="00D606D4"/>
    <w:rsid w:val="00D606DB"/>
    <w:rsid w:val="00D607D3"/>
    <w:rsid w:val="00D60916"/>
    <w:rsid w:val="00D60974"/>
    <w:rsid w:val="00D60A93"/>
    <w:rsid w:val="00D60AED"/>
    <w:rsid w:val="00D60B8E"/>
    <w:rsid w:val="00D60BF3"/>
    <w:rsid w:val="00D60C79"/>
    <w:rsid w:val="00D60C81"/>
    <w:rsid w:val="00D60DC8"/>
    <w:rsid w:val="00D60E36"/>
    <w:rsid w:val="00D60F4B"/>
    <w:rsid w:val="00D60FB3"/>
    <w:rsid w:val="00D61054"/>
    <w:rsid w:val="00D61108"/>
    <w:rsid w:val="00D6118E"/>
    <w:rsid w:val="00D6121F"/>
    <w:rsid w:val="00D61246"/>
    <w:rsid w:val="00D61250"/>
    <w:rsid w:val="00D6129E"/>
    <w:rsid w:val="00D612FB"/>
    <w:rsid w:val="00D61350"/>
    <w:rsid w:val="00D613C5"/>
    <w:rsid w:val="00D61447"/>
    <w:rsid w:val="00D6149E"/>
    <w:rsid w:val="00D614CD"/>
    <w:rsid w:val="00D614EB"/>
    <w:rsid w:val="00D61536"/>
    <w:rsid w:val="00D61561"/>
    <w:rsid w:val="00D615E7"/>
    <w:rsid w:val="00D615EB"/>
    <w:rsid w:val="00D61676"/>
    <w:rsid w:val="00D61706"/>
    <w:rsid w:val="00D617C2"/>
    <w:rsid w:val="00D6185D"/>
    <w:rsid w:val="00D61890"/>
    <w:rsid w:val="00D618F5"/>
    <w:rsid w:val="00D61978"/>
    <w:rsid w:val="00D61A05"/>
    <w:rsid w:val="00D61A49"/>
    <w:rsid w:val="00D61AEE"/>
    <w:rsid w:val="00D61B91"/>
    <w:rsid w:val="00D61BDE"/>
    <w:rsid w:val="00D61E0B"/>
    <w:rsid w:val="00D61E2E"/>
    <w:rsid w:val="00D61E42"/>
    <w:rsid w:val="00D61EA8"/>
    <w:rsid w:val="00D61F0A"/>
    <w:rsid w:val="00D61F6A"/>
    <w:rsid w:val="00D61FB6"/>
    <w:rsid w:val="00D6208A"/>
    <w:rsid w:val="00D620DD"/>
    <w:rsid w:val="00D62176"/>
    <w:rsid w:val="00D6251E"/>
    <w:rsid w:val="00D625D5"/>
    <w:rsid w:val="00D628BF"/>
    <w:rsid w:val="00D628CD"/>
    <w:rsid w:val="00D6295D"/>
    <w:rsid w:val="00D62974"/>
    <w:rsid w:val="00D62A03"/>
    <w:rsid w:val="00D62A14"/>
    <w:rsid w:val="00D62A16"/>
    <w:rsid w:val="00D62A34"/>
    <w:rsid w:val="00D62A56"/>
    <w:rsid w:val="00D62A8B"/>
    <w:rsid w:val="00D62BA1"/>
    <w:rsid w:val="00D62BA5"/>
    <w:rsid w:val="00D62DFE"/>
    <w:rsid w:val="00D62E3A"/>
    <w:rsid w:val="00D62E92"/>
    <w:rsid w:val="00D62F45"/>
    <w:rsid w:val="00D62F88"/>
    <w:rsid w:val="00D62FA9"/>
    <w:rsid w:val="00D63019"/>
    <w:rsid w:val="00D6304B"/>
    <w:rsid w:val="00D6307B"/>
    <w:rsid w:val="00D6318C"/>
    <w:rsid w:val="00D6320E"/>
    <w:rsid w:val="00D632C9"/>
    <w:rsid w:val="00D632ED"/>
    <w:rsid w:val="00D63400"/>
    <w:rsid w:val="00D634AC"/>
    <w:rsid w:val="00D634FB"/>
    <w:rsid w:val="00D63597"/>
    <w:rsid w:val="00D636D6"/>
    <w:rsid w:val="00D63881"/>
    <w:rsid w:val="00D6394E"/>
    <w:rsid w:val="00D63962"/>
    <w:rsid w:val="00D63AD4"/>
    <w:rsid w:val="00D63B40"/>
    <w:rsid w:val="00D63BD6"/>
    <w:rsid w:val="00D63C2A"/>
    <w:rsid w:val="00D63C5C"/>
    <w:rsid w:val="00D63D80"/>
    <w:rsid w:val="00D63E81"/>
    <w:rsid w:val="00D63FA3"/>
    <w:rsid w:val="00D6407D"/>
    <w:rsid w:val="00D64146"/>
    <w:rsid w:val="00D64190"/>
    <w:rsid w:val="00D643A6"/>
    <w:rsid w:val="00D643E3"/>
    <w:rsid w:val="00D644A0"/>
    <w:rsid w:val="00D644C0"/>
    <w:rsid w:val="00D644CB"/>
    <w:rsid w:val="00D644D9"/>
    <w:rsid w:val="00D6452A"/>
    <w:rsid w:val="00D6455F"/>
    <w:rsid w:val="00D64587"/>
    <w:rsid w:val="00D64594"/>
    <w:rsid w:val="00D64605"/>
    <w:rsid w:val="00D64647"/>
    <w:rsid w:val="00D6469D"/>
    <w:rsid w:val="00D646D5"/>
    <w:rsid w:val="00D646D6"/>
    <w:rsid w:val="00D646E9"/>
    <w:rsid w:val="00D6486F"/>
    <w:rsid w:val="00D64B38"/>
    <w:rsid w:val="00D64B63"/>
    <w:rsid w:val="00D64CBB"/>
    <w:rsid w:val="00D64CCF"/>
    <w:rsid w:val="00D64D0D"/>
    <w:rsid w:val="00D64F20"/>
    <w:rsid w:val="00D64FE9"/>
    <w:rsid w:val="00D64FEB"/>
    <w:rsid w:val="00D64FFF"/>
    <w:rsid w:val="00D6504D"/>
    <w:rsid w:val="00D65153"/>
    <w:rsid w:val="00D65182"/>
    <w:rsid w:val="00D6521C"/>
    <w:rsid w:val="00D65291"/>
    <w:rsid w:val="00D655FD"/>
    <w:rsid w:val="00D657B4"/>
    <w:rsid w:val="00D65987"/>
    <w:rsid w:val="00D65A17"/>
    <w:rsid w:val="00D65B1E"/>
    <w:rsid w:val="00D65B87"/>
    <w:rsid w:val="00D65CDE"/>
    <w:rsid w:val="00D65D5F"/>
    <w:rsid w:val="00D65E71"/>
    <w:rsid w:val="00D65FD8"/>
    <w:rsid w:val="00D6601A"/>
    <w:rsid w:val="00D6609F"/>
    <w:rsid w:val="00D66180"/>
    <w:rsid w:val="00D6623E"/>
    <w:rsid w:val="00D6643E"/>
    <w:rsid w:val="00D66459"/>
    <w:rsid w:val="00D66476"/>
    <w:rsid w:val="00D664A6"/>
    <w:rsid w:val="00D66501"/>
    <w:rsid w:val="00D66542"/>
    <w:rsid w:val="00D6656A"/>
    <w:rsid w:val="00D665CA"/>
    <w:rsid w:val="00D66752"/>
    <w:rsid w:val="00D6689D"/>
    <w:rsid w:val="00D668E9"/>
    <w:rsid w:val="00D66900"/>
    <w:rsid w:val="00D669BD"/>
    <w:rsid w:val="00D66A10"/>
    <w:rsid w:val="00D66AAF"/>
    <w:rsid w:val="00D66BCD"/>
    <w:rsid w:val="00D66BD3"/>
    <w:rsid w:val="00D66CA6"/>
    <w:rsid w:val="00D66D46"/>
    <w:rsid w:val="00D66E0C"/>
    <w:rsid w:val="00D66ED1"/>
    <w:rsid w:val="00D67226"/>
    <w:rsid w:val="00D67246"/>
    <w:rsid w:val="00D67287"/>
    <w:rsid w:val="00D6735E"/>
    <w:rsid w:val="00D67523"/>
    <w:rsid w:val="00D6757E"/>
    <w:rsid w:val="00D675E6"/>
    <w:rsid w:val="00D67694"/>
    <w:rsid w:val="00D67724"/>
    <w:rsid w:val="00D677A8"/>
    <w:rsid w:val="00D6781E"/>
    <w:rsid w:val="00D67919"/>
    <w:rsid w:val="00D67A35"/>
    <w:rsid w:val="00D67BF6"/>
    <w:rsid w:val="00D67C60"/>
    <w:rsid w:val="00D67CB4"/>
    <w:rsid w:val="00D67CBE"/>
    <w:rsid w:val="00D67DCD"/>
    <w:rsid w:val="00D67E77"/>
    <w:rsid w:val="00D67F3D"/>
    <w:rsid w:val="00D67F5C"/>
    <w:rsid w:val="00D70002"/>
    <w:rsid w:val="00D700F1"/>
    <w:rsid w:val="00D70190"/>
    <w:rsid w:val="00D7038A"/>
    <w:rsid w:val="00D703B6"/>
    <w:rsid w:val="00D704EF"/>
    <w:rsid w:val="00D7050A"/>
    <w:rsid w:val="00D70571"/>
    <w:rsid w:val="00D705F8"/>
    <w:rsid w:val="00D70661"/>
    <w:rsid w:val="00D70677"/>
    <w:rsid w:val="00D706E4"/>
    <w:rsid w:val="00D706F7"/>
    <w:rsid w:val="00D70744"/>
    <w:rsid w:val="00D7075E"/>
    <w:rsid w:val="00D7077D"/>
    <w:rsid w:val="00D70889"/>
    <w:rsid w:val="00D7095F"/>
    <w:rsid w:val="00D70A38"/>
    <w:rsid w:val="00D70A81"/>
    <w:rsid w:val="00D70B28"/>
    <w:rsid w:val="00D70BBF"/>
    <w:rsid w:val="00D70BD2"/>
    <w:rsid w:val="00D70BE8"/>
    <w:rsid w:val="00D70C66"/>
    <w:rsid w:val="00D70CB1"/>
    <w:rsid w:val="00D70CBC"/>
    <w:rsid w:val="00D70E17"/>
    <w:rsid w:val="00D70EAF"/>
    <w:rsid w:val="00D70F1D"/>
    <w:rsid w:val="00D7101B"/>
    <w:rsid w:val="00D71158"/>
    <w:rsid w:val="00D71253"/>
    <w:rsid w:val="00D7126B"/>
    <w:rsid w:val="00D71277"/>
    <w:rsid w:val="00D71336"/>
    <w:rsid w:val="00D7143E"/>
    <w:rsid w:val="00D71466"/>
    <w:rsid w:val="00D71559"/>
    <w:rsid w:val="00D71573"/>
    <w:rsid w:val="00D7160A"/>
    <w:rsid w:val="00D716A2"/>
    <w:rsid w:val="00D71796"/>
    <w:rsid w:val="00D71822"/>
    <w:rsid w:val="00D718B6"/>
    <w:rsid w:val="00D718CA"/>
    <w:rsid w:val="00D71912"/>
    <w:rsid w:val="00D71982"/>
    <w:rsid w:val="00D71983"/>
    <w:rsid w:val="00D719C1"/>
    <w:rsid w:val="00D719D1"/>
    <w:rsid w:val="00D71B58"/>
    <w:rsid w:val="00D71BCF"/>
    <w:rsid w:val="00D71CCD"/>
    <w:rsid w:val="00D71CD8"/>
    <w:rsid w:val="00D71DD9"/>
    <w:rsid w:val="00D71E36"/>
    <w:rsid w:val="00D71E4E"/>
    <w:rsid w:val="00D71EB8"/>
    <w:rsid w:val="00D71FC9"/>
    <w:rsid w:val="00D7211D"/>
    <w:rsid w:val="00D72125"/>
    <w:rsid w:val="00D7216A"/>
    <w:rsid w:val="00D7228D"/>
    <w:rsid w:val="00D722BA"/>
    <w:rsid w:val="00D722C7"/>
    <w:rsid w:val="00D722E9"/>
    <w:rsid w:val="00D72320"/>
    <w:rsid w:val="00D7240E"/>
    <w:rsid w:val="00D72418"/>
    <w:rsid w:val="00D7245D"/>
    <w:rsid w:val="00D72513"/>
    <w:rsid w:val="00D725C5"/>
    <w:rsid w:val="00D725E8"/>
    <w:rsid w:val="00D725EB"/>
    <w:rsid w:val="00D72628"/>
    <w:rsid w:val="00D7271D"/>
    <w:rsid w:val="00D72797"/>
    <w:rsid w:val="00D727E4"/>
    <w:rsid w:val="00D72808"/>
    <w:rsid w:val="00D728A4"/>
    <w:rsid w:val="00D7292D"/>
    <w:rsid w:val="00D72AB5"/>
    <w:rsid w:val="00D72B42"/>
    <w:rsid w:val="00D72B59"/>
    <w:rsid w:val="00D72BAB"/>
    <w:rsid w:val="00D72BFA"/>
    <w:rsid w:val="00D72C99"/>
    <w:rsid w:val="00D72CB1"/>
    <w:rsid w:val="00D72CB8"/>
    <w:rsid w:val="00D72CF1"/>
    <w:rsid w:val="00D72D26"/>
    <w:rsid w:val="00D72D47"/>
    <w:rsid w:val="00D72DD1"/>
    <w:rsid w:val="00D72E45"/>
    <w:rsid w:val="00D72F3E"/>
    <w:rsid w:val="00D72F45"/>
    <w:rsid w:val="00D72F86"/>
    <w:rsid w:val="00D72FA7"/>
    <w:rsid w:val="00D7306A"/>
    <w:rsid w:val="00D7306B"/>
    <w:rsid w:val="00D73180"/>
    <w:rsid w:val="00D731C0"/>
    <w:rsid w:val="00D731F7"/>
    <w:rsid w:val="00D73275"/>
    <w:rsid w:val="00D73322"/>
    <w:rsid w:val="00D73333"/>
    <w:rsid w:val="00D733D2"/>
    <w:rsid w:val="00D7356B"/>
    <w:rsid w:val="00D735B6"/>
    <w:rsid w:val="00D7392D"/>
    <w:rsid w:val="00D7393A"/>
    <w:rsid w:val="00D73A94"/>
    <w:rsid w:val="00D73B85"/>
    <w:rsid w:val="00D73C57"/>
    <w:rsid w:val="00D73C7A"/>
    <w:rsid w:val="00D73C95"/>
    <w:rsid w:val="00D73CBE"/>
    <w:rsid w:val="00D73CFE"/>
    <w:rsid w:val="00D73D07"/>
    <w:rsid w:val="00D73D8F"/>
    <w:rsid w:val="00D73D9F"/>
    <w:rsid w:val="00D73EC4"/>
    <w:rsid w:val="00D73F7F"/>
    <w:rsid w:val="00D74002"/>
    <w:rsid w:val="00D7414D"/>
    <w:rsid w:val="00D741B1"/>
    <w:rsid w:val="00D742AC"/>
    <w:rsid w:val="00D7430F"/>
    <w:rsid w:val="00D743C6"/>
    <w:rsid w:val="00D743E9"/>
    <w:rsid w:val="00D7454A"/>
    <w:rsid w:val="00D7466B"/>
    <w:rsid w:val="00D7471E"/>
    <w:rsid w:val="00D747A7"/>
    <w:rsid w:val="00D7483E"/>
    <w:rsid w:val="00D748FE"/>
    <w:rsid w:val="00D7495C"/>
    <w:rsid w:val="00D7497A"/>
    <w:rsid w:val="00D749A2"/>
    <w:rsid w:val="00D749B5"/>
    <w:rsid w:val="00D749E0"/>
    <w:rsid w:val="00D74AC2"/>
    <w:rsid w:val="00D74CF6"/>
    <w:rsid w:val="00D74D05"/>
    <w:rsid w:val="00D74EA8"/>
    <w:rsid w:val="00D750BC"/>
    <w:rsid w:val="00D75122"/>
    <w:rsid w:val="00D751C6"/>
    <w:rsid w:val="00D75297"/>
    <w:rsid w:val="00D75341"/>
    <w:rsid w:val="00D7556F"/>
    <w:rsid w:val="00D75577"/>
    <w:rsid w:val="00D755E1"/>
    <w:rsid w:val="00D755F0"/>
    <w:rsid w:val="00D756B3"/>
    <w:rsid w:val="00D75721"/>
    <w:rsid w:val="00D7573A"/>
    <w:rsid w:val="00D757BB"/>
    <w:rsid w:val="00D758D0"/>
    <w:rsid w:val="00D7590D"/>
    <w:rsid w:val="00D75947"/>
    <w:rsid w:val="00D75A09"/>
    <w:rsid w:val="00D75A6B"/>
    <w:rsid w:val="00D75D4D"/>
    <w:rsid w:val="00D75E59"/>
    <w:rsid w:val="00D75EC6"/>
    <w:rsid w:val="00D76078"/>
    <w:rsid w:val="00D760F3"/>
    <w:rsid w:val="00D7614D"/>
    <w:rsid w:val="00D7620D"/>
    <w:rsid w:val="00D762F4"/>
    <w:rsid w:val="00D76336"/>
    <w:rsid w:val="00D76346"/>
    <w:rsid w:val="00D763E9"/>
    <w:rsid w:val="00D76423"/>
    <w:rsid w:val="00D7646A"/>
    <w:rsid w:val="00D76512"/>
    <w:rsid w:val="00D765BF"/>
    <w:rsid w:val="00D76648"/>
    <w:rsid w:val="00D76799"/>
    <w:rsid w:val="00D769AF"/>
    <w:rsid w:val="00D769C9"/>
    <w:rsid w:val="00D76A07"/>
    <w:rsid w:val="00D76BE8"/>
    <w:rsid w:val="00D76C23"/>
    <w:rsid w:val="00D76CEF"/>
    <w:rsid w:val="00D76EF6"/>
    <w:rsid w:val="00D76FF6"/>
    <w:rsid w:val="00D7700D"/>
    <w:rsid w:val="00D77096"/>
    <w:rsid w:val="00D7709B"/>
    <w:rsid w:val="00D770EC"/>
    <w:rsid w:val="00D77135"/>
    <w:rsid w:val="00D77193"/>
    <w:rsid w:val="00D771E2"/>
    <w:rsid w:val="00D772E4"/>
    <w:rsid w:val="00D7743E"/>
    <w:rsid w:val="00D77560"/>
    <w:rsid w:val="00D775A1"/>
    <w:rsid w:val="00D775A3"/>
    <w:rsid w:val="00D775B0"/>
    <w:rsid w:val="00D776A6"/>
    <w:rsid w:val="00D776E6"/>
    <w:rsid w:val="00D77742"/>
    <w:rsid w:val="00D7779D"/>
    <w:rsid w:val="00D77A0F"/>
    <w:rsid w:val="00D77A7D"/>
    <w:rsid w:val="00D77B6B"/>
    <w:rsid w:val="00D77C41"/>
    <w:rsid w:val="00D77D16"/>
    <w:rsid w:val="00D77D25"/>
    <w:rsid w:val="00D77D3C"/>
    <w:rsid w:val="00D77DC5"/>
    <w:rsid w:val="00D77DF9"/>
    <w:rsid w:val="00D77E0F"/>
    <w:rsid w:val="00D77F25"/>
    <w:rsid w:val="00D80064"/>
    <w:rsid w:val="00D80187"/>
    <w:rsid w:val="00D80212"/>
    <w:rsid w:val="00D80269"/>
    <w:rsid w:val="00D8028F"/>
    <w:rsid w:val="00D8033B"/>
    <w:rsid w:val="00D8038E"/>
    <w:rsid w:val="00D803CD"/>
    <w:rsid w:val="00D803F7"/>
    <w:rsid w:val="00D8053B"/>
    <w:rsid w:val="00D80569"/>
    <w:rsid w:val="00D805B0"/>
    <w:rsid w:val="00D8074C"/>
    <w:rsid w:val="00D80777"/>
    <w:rsid w:val="00D80804"/>
    <w:rsid w:val="00D80831"/>
    <w:rsid w:val="00D80854"/>
    <w:rsid w:val="00D808E6"/>
    <w:rsid w:val="00D809D9"/>
    <w:rsid w:val="00D80A66"/>
    <w:rsid w:val="00D80BFC"/>
    <w:rsid w:val="00D80C15"/>
    <w:rsid w:val="00D80DA6"/>
    <w:rsid w:val="00D80E9C"/>
    <w:rsid w:val="00D80F1B"/>
    <w:rsid w:val="00D8105E"/>
    <w:rsid w:val="00D8111F"/>
    <w:rsid w:val="00D81206"/>
    <w:rsid w:val="00D813B3"/>
    <w:rsid w:val="00D8141D"/>
    <w:rsid w:val="00D814FD"/>
    <w:rsid w:val="00D81590"/>
    <w:rsid w:val="00D81720"/>
    <w:rsid w:val="00D817F2"/>
    <w:rsid w:val="00D81875"/>
    <w:rsid w:val="00D81901"/>
    <w:rsid w:val="00D81989"/>
    <w:rsid w:val="00D819F7"/>
    <w:rsid w:val="00D81A83"/>
    <w:rsid w:val="00D81B35"/>
    <w:rsid w:val="00D81B6A"/>
    <w:rsid w:val="00D81BB2"/>
    <w:rsid w:val="00D81BF4"/>
    <w:rsid w:val="00D81D43"/>
    <w:rsid w:val="00D81DE2"/>
    <w:rsid w:val="00D81DF5"/>
    <w:rsid w:val="00D81EE8"/>
    <w:rsid w:val="00D81EEC"/>
    <w:rsid w:val="00D82024"/>
    <w:rsid w:val="00D82046"/>
    <w:rsid w:val="00D820F1"/>
    <w:rsid w:val="00D820F6"/>
    <w:rsid w:val="00D8212E"/>
    <w:rsid w:val="00D8215F"/>
    <w:rsid w:val="00D8217E"/>
    <w:rsid w:val="00D821C1"/>
    <w:rsid w:val="00D82256"/>
    <w:rsid w:val="00D82264"/>
    <w:rsid w:val="00D82289"/>
    <w:rsid w:val="00D82309"/>
    <w:rsid w:val="00D823B3"/>
    <w:rsid w:val="00D824AC"/>
    <w:rsid w:val="00D8259A"/>
    <w:rsid w:val="00D82665"/>
    <w:rsid w:val="00D82700"/>
    <w:rsid w:val="00D827A1"/>
    <w:rsid w:val="00D827D2"/>
    <w:rsid w:val="00D82999"/>
    <w:rsid w:val="00D82A60"/>
    <w:rsid w:val="00D82A6D"/>
    <w:rsid w:val="00D82B05"/>
    <w:rsid w:val="00D82B31"/>
    <w:rsid w:val="00D82B7E"/>
    <w:rsid w:val="00D82BA9"/>
    <w:rsid w:val="00D82C1F"/>
    <w:rsid w:val="00D82CFA"/>
    <w:rsid w:val="00D82CFB"/>
    <w:rsid w:val="00D82D1F"/>
    <w:rsid w:val="00D82E20"/>
    <w:rsid w:val="00D82E80"/>
    <w:rsid w:val="00D82E87"/>
    <w:rsid w:val="00D8305F"/>
    <w:rsid w:val="00D83180"/>
    <w:rsid w:val="00D831FE"/>
    <w:rsid w:val="00D8324F"/>
    <w:rsid w:val="00D832D6"/>
    <w:rsid w:val="00D833B7"/>
    <w:rsid w:val="00D83414"/>
    <w:rsid w:val="00D83498"/>
    <w:rsid w:val="00D8354D"/>
    <w:rsid w:val="00D83586"/>
    <w:rsid w:val="00D83629"/>
    <w:rsid w:val="00D83792"/>
    <w:rsid w:val="00D83905"/>
    <w:rsid w:val="00D839AD"/>
    <w:rsid w:val="00D839B8"/>
    <w:rsid w:val="00D839D3"/>
    <w:rsid w:val="00D83AC7"/>
    <w:rsid w:val="00D83B1C"/>
    <w:rsid w:val="00D83B76"/>
    <w:rsid w:val="00D83D27"/>
    <w:rsid w:val="00D83D59"/>
    <w:rsid w:val="00D83E1E"/>
    <w:rsid w:val="00D83E3D"/>
    <w:rsid w:val="00D83FE8"/>
    <w:rsid w:val="00D84044"/>
    <w:rsid w:val="00D840A5"/>
    <w:rsid w:val="00D8420B"/>
    <w:rsid w:val="00D84214"/>
    <w:rsid w:val="00D844E9"/>
    <w:rsid w:val="00D844F1"/>
    <w:rsid w:val="00D84514"/>
    <w:rsid w:val="00D84533"/>
    <w:rsid w:val="00D8458D"/>
    <w:rsid w:val="00D8459F"/>
    <w:rsid w:val="00D845C1"/>
    <w:rsid w:val="00D8464B"/>
    <w:rsid w:val="00D84658"/>
    <w:rsid w:val="00D846C0"/>
    <w:rsid w:val="00D846E5"/>
    <w:rsid w:val="00D84705"/>
    <w:rsid w:val="00D8475B"/>
    <w:rsid w:val="00D8476D"/>
    <w:rsid w:val="00D8477C"/>
    <w:rsid w:val="00D847BD"/>
    <w:rsid w:val="00D847D8"/>
    <w:rsid w:val="00D84859"/>
    <w:rsid w:val="00D84967"/>
    <w:rsid w:val="00D849A3"/>
    <w:rsid w:val="00D84B62"/>
    <w:rsid w:val="00D84BA9"/>
    <w:rsid w:val="00D84D26"/>
    <w:rsid w:val="00D84EB1"/>
    <w:rsid w:val="00D84F9A"/>
    <w:rsid w:val="00D8501C"/>
    <w:rsid w:val="00D85041"/>
    <w:rsid w:val="00D85057"/>
    <w:rsid w:val="00D85083"/>
    <w:rsid w:val="00D852B1"/>
    <w:rsid w:val="00D853AB"/>
    <w:rsid w:val="00D85472"/>
    <w:rsid w:val="00D8548F"/>
    <w:rsid w:val="00D854C2"/>
    <w:rsid w:val="00D8555B"/>
    <w:rsid w:val="00D85567"/>
    <w:rsid w:val="00D85599"/>
    <w:rsid w:val="00D855A1"/>
    <w:rsid w:val="00D855A5"/>
    <w:rsid w:val="00D857D0"/>
    <w:rsid w:val="00D859B0"/>
    <w:rsid w:val="00D859F6"/>
    <w:rsid w:val="00D859F7"/>
    <w:rsid w:val="00D85ADB"/>
    <w:rsid w:val="00D85BD8"/>
    <w:rsid w:val="00D85C4B"/>
    <w:rsid w:val="00D85C68"/>
    <w:rsid w:val="00D85DE4"/>
    <w:rsid w:val="00D85DFA"/>
    <w:rsid w:val="00D85E22"/>
    <w:rsid w:val="00D85EF5"/>
    <w:rsid w:val="00D85FEF"/>
    <w:rsid w:val="00D86016"/>
    <w:rsid w:val="00D8608D"/>
    <w:rsid w:val="00D8612C"/>
    <w:rsid w:val="00D8618B"/>
    <w:rsid w:val="00D861C8"/>
    <w:rsid w:val="00D86244"/>
    <w:rsid w:val="00D86254"/>
    <w:rsid w:val="00D86267"/>
    <w:rsid w:val="00D862FC"/>
    <w:rsid w:val="00D86399"/>
    <w:rsid w:val="00D863F0"/>
    <w:rsid w:val="00D86443"/>
    <w:rsid w:val="00D86484"/>
    <w:rsid w:val="00D86503"/>
    <w:rsid w:val="00D86593"/>
    <w:rsid w:val="00D86640"/>
    <w:rsid w:val="00D86725"/>
    <w:rsid w:val="00D86729"/>
    <w:rsid w:val="00D8674B"/>
    <w:rsid w:val="00D867E9"/>
    <w:rsid w:val="00D867EE"/>
    <w:rsid w:val="00D86834"/>
    <w:rsid w:val="00D8685F"/>
    <w:rsid w:val="00D869F7"/>
    <w:rsid w:val="00D86AA5"/>
    <w:rsid w:val="00D86B20"/>
    <w:rsid w:val="00D86BCC"/>
    <w:rsid w:val="00D86C7D"/>
    <w:rsid w:val="00D86CA3"/>
    <w:rsid w:val="00D86CFE"/>
    <w:rsid w:val="00D86E32"/>
    <w:rsid w:val="00D86E95"/>
    <w:rsid w:val="00D8707E"/>
    <w:rsid w:val="00D870ED"/>
    <w:rsid w:val="00D8724B"/>
    <w:rsid w:val="00D87252"/>
    <w:rsid w:val="00D8727D"/>
    <w:rsid w:val="00D87429"/>
    <w:rsid w:val="00D874A5"/>
    <w:rsid w:val="00D8750A"/>
    <w:rsid w:val="00D8752E"/>
    <w:rsid w:val="00D87538"/>
    <w:rsid w:val="00D87708"/>
    <w:rsid w:val="00D8777F"/>
    <w:rsid w:val="00D877CE"/>
    <w:rsid w:val="00D87805"/>
    <w:rsid w:val="00D87916"/>
    <w:rsid w:val="00D87A09"/>
    <w:rsid w:val="00D87B6C"/>
    <w:rsid w:val="00D87B72"/>
    <w:rsid w:val="00D87B87"/>
    <w:rsid w:val="00D87DF6"/>
    <w:rsid w:val="00D87E1A"/>
    <w:rsid w:val="00D87F01"/>
    <w:rsid w:val="00D900F4"/>
    <w:rsid w:val="00D9010D"/>
    <w:rsid w:val="00D90119"/>
    <w:rsid w:val="00D9019B"/>
    <w:rsid w:val="00D901EC"/>
    <w:rsid w:val="00D902AA"/>
    <w:rsid w:val="00D902FE"/>
    <w:rsid w:val="00D904F6"/>
    <w:rsid w:val="00D9054D"/>
    <w:rsid w:val="00D9061E"/>
    <w:rsid w:val="00D907B5"/>
    <w:rsid w:val="00D90930"/>
    <w:rsid w:val="00D90985"/>
    <w:rsid w:val="00D909D7"/>
    <w:rsid w:val="00D909E7"/>
    <w:rsid w:val="00D90A87"/>
    <w:rsid w:val="00D90A91"/>
    <w:rsid w:val="00D90B5F"/>
    <w:rsid w:val="00D90B65"/>
    <w:rsid w:val="00D90B6D"/>
    <w:rsid w:val="00D90CF7"/>
    <w:rsid w:val="00D90F3B"/>
    <w:rsid w:val="00D90F5F"/>
    <w:rsid w:val="00D90F77"/>
    <w:rsid w:val="00D90F90"/>
    <w:rsid w:val="00D910D1"/>
    <w:rsid w:val="00D91155"/>
    <w:rsid w:val="00D91250"/>
    <w:rsid w:val="00D91262"/>
    <w:rsid w:val="00D91314"/>
    <w:rsid w:val="00D913C8"/>
    <w:rsid w:val="00D9144A"/>
    <w:rsid w:val="00D914F2"/>
    <w:rsid w:val="00D91569"/>
    <w:rsid w:val="00D91591"/>
    <w:rsid w:val="00D916B3"/>
    <w:rsid w:val="00D9174C"/>
    <w:rsid w:val="00D91956"/>
    <w:rsid w:val="00D919D8"/>
    <w:rsid w:val="00D91A43"/>
    <w:rsid w:val="00D91BEA"/>
    <w:rsid w:val="00D91C1A"/>
    <w:rsid w:val="00D91C3B"/>
    <w:rsid w:val="00D91CA1"/>
    <w:rsid w:val="00D91EF1"/>
    <w:rsid w:val="00D91EF8"/>
    <w:rsid w:val="00D91F22"/>
    <w:rsid w:val="00D91F39"/>
    <w:rsid w:val="00D9204C"/>
    <w:rsid w:val="00D92114"/>
    <w:rsid w:val="00D92227"/>
    <w:rsid w:val="00D923AE"/>
    <w:rsid w:val="00D923CA"/>
    <w:rsid w:val="00D9256C"/>
    <w:rsid w:val="00D9265B"/>
    <w:rsid w:val="00D9274F"/>
    <w:rsid w:val="00D927A5"/>
    <w:rsid w:val="00D927F9"/>
    <w:rsid w:val="00D9281D"/>
    <w:rsid w:val="00D928A4"/>
    <w:rsid w:val="00D928CF"/>
    <w:rsid w:val="00D92936"/>
    <w:rsid w:val="00D92993"/>
    <w:rsid w:val="00D92B39"/>
    <w:rsid w:val="00D92CC9"/>
    <w:rsid w:val="00D92CE9"/>
    <w:rsid w:val="00D92EA6"/>
    <w:rsid w:val="00D92EAE"/>
    <w:rsid w:val="00D92F17"/>
    <w:rsid w:val="00D92FB5"/>
    <w:rsid w:val="00D9319A"/>
    <w:rsid w:val="00D931DF"/>
    <w:rsid w:val="00D931FA"/>
    <w:rsid w:val="00D93209"/>
    <w:rsid w:val="00D93348"/>
    <w:rsid w:val="00D933D2"/>
    <w:rsid w:val="00D93477"/>
    <w:rsid w:val="00D935CF"/>
    <w:rsid w:val="00D936A6"/>
    <w:rsid w:val="00D936AA"/>
    <w:rsid w:val="00D93782"/>
    <w:rsid w:val="00D938D5"/>
    <w:rsid w:val="00D93927"/>
    <w:rsid w:val="00D93941"/>
    <w:rsid w:val="00D93A1B"/>
    <w:rsid w:val="00D93A4E"/>
    <w:rsid w:val="00D93AAC"/>
    <w:rsid w:val="00D93AF9"/>
    <w:rsid w:val="00D93C37"/>
    <w:rsid w:val="00D93C85"/>
    <w:rsid w:val="00D93CF8"/>
    <w:rsid w:val="00D93E88"/>
    <w:rsid w:val="00D9411C"/>
    <w:rsid w:val="00D9427D"/>
    <w:rsid w:val="00D942FB"/>
    <w:rsid w:val="00D9434D"/>
    <w:rsid w:val="00D9438E"/>
    <w:rsid w:val="00D943C4"/>
    <w:rsid w:val="00D94453"/>
    <w:rsid w:val="00D94577"/>
    <w:rsid w:val="00D946D5"/>
    <w:rsid w:val="00D94749"/>
    <w:rsid w:val="00D94826"/>
    <w:rsid w:val="00D948C0"/>
    <w:rsid w:val="00D94A17"/>
    <w:rsid w:val="00D94A65"/>
    <w:rsid w:val="00D94BA1"/>
    <w:rsid w:val="00D94C2E"/>
    <w:rsid w:val="00D94CA3"/>
    <w:rsid w:val="00D94D26"/>
    <w:rsid w:val="00D94DB1"/>
    <w:rsid w:val="00D94DC3"/>
    <w:rsid w:val="00D94DFA"/>
    <w:rsid w:val="00D94E1B"/>
    <w:rsid w:val="00D94F45"/>
    <w:rsid w:val="00D9511C"/>
    <w:rsid w:val="00D9515E"/>
    <w:rsid w:val="00D95215"/>
    <w:rsid w:val="00D95264"/>
    <w:rsid w:val="00D954F2"/>
    <w:rsid w:val="00D95522"/>
    <w:rsid w:val="00D95819"/>
    <w:rsid w:val="00D958C2"/>
    <w:rsid w:val="00D958FF"/>
    <w:rsid w:val="00D959A2"/>
    <w:rsid w:val="00D959E8"/>
    <w:rsid w:val="00D95C46"/>
    <w:rsid w:val="00D95C5E"/>
    <w:rsid w:val="00D95CBD"/>
    <w:rsid w:val="00D95CF7"/>
    <w:rsid w:val="00D95D02"/>
    <w:rsid w:val="00D95E8E"/>
    <w:rsid w:val="00D95FA3"/>
    <w:rsid w:val="00D95FD5"/>
    <w:rsid w:val="00D96016"/>
    <w:rsid w:val="00D96051"/>
    <w:rsid w:val="00D96114"/>
    <w:rsid w:val="00D961EB"/>
    <w:rsid w:val="00D9621F"/>
    <w:rsid w:val="00D9647F"/>
    <w:rsid w:val="00D9663A"/>
    <w:rsid w:val="00D96749"/>
    <w:rsid w:val="00D96762"/>
    <w:rsid w:val="00D96778"/>
    <w:rsid w:val="00D96895"/>
    <w:rsid w:val="00D96920"/>
    <w:rsid w:val="00D96A89"/>
    <w:rsid w:val="00D96BEB"/>
    <w:rsid w:val="00D96C4D"/>
    <w:rsid w:val="00D96CDE"/>
    <w:rsid w:val="00D96D3B"/>
    <w:rsid w:val="00D96DF6"/>
    <w:rsid w:val="00D96E1F"/>
    <w:rsid w:val="00D96E58"/>
    <w:rsid w:val="00D96F03"/>
    <w:rsid w:val="00D96FA2"/>
    <w:rsid w:val="00D97009"/>
    <w:rsid w:val="00D9705F"/>
    <w:rsid w:val="00D97177"/>
    <w:rsid w:val="00D97232"/>
    <w:rsid w:val="00D97257"/>
    <w:rsid w:val="00D972F0"/>
    <w:rsid w:val="00D97362"/>
    <w:rsid w:val="00D973D8"/>
    <w:rsid w:val="00D9740C"/>
    <w:rsid w:val="00D97460"/>
    <w:rsid w:val="00D974D3"/>
    <w:rsid w:val="00D9753E"/>
    <w:rsid w:val="00D975A0"/>
    <w:rsid w:val="00D9764B"/>
    <w:rsid w:val="00D9767A"/>
    <w:rsid w:val="00D9768F"/>
    <w:rsid w:val="00D978B7"/>
    <w:rsid w:val="00D9792F"/>
    <w:rsid w:val="00D97ACA"/>
    <w:rsid w:val="00D97B43"/>
    <w:rsid w:val="00D97C62"/>
    <w:rsid w:val="00D97D5C"/>
    <w:rsid w:val="00D97DF0"/>
    <w:rsid w:val="00D97ECA"/>
    <w:rsid w:val="00DA0020"/>
    <w:rsid w:val="00DA0054"/>
    <w:rsid w:val="00DA00EA"/>
    <w:rsid w:val="00DA0116"/>
    <w:rsid w:val="00DA030B"/>
    <w:rsid w:val="00DA034D"/>
    <w:rsid w:val="00DA0417"/>
    <w:rsid w:val="00DA04BC"/>
    <w:rsid w:val="00DA054A"/>
    <w:rsid w:val="00DA054F"/>
    <w:rsid w:val="00DA0605"/>
    <w:rsid w:val="00DA06FE"/>
    <w:rsid w:val="00DA070D"/>
    <w:rsid w:val="00DA07D2"/>
    <w:rsid w:val="00DA07D5"/>
    <w:rsid w:val="00DA080D"/>
    <w:rsid w:val="00DA08CA"/>
    <w:rsid w:val="00DA0980"/>
    <w:rsid w:val="00DA099B"/>
    <w:rsid w:val="00DA0A4F"/>
    <w:rsid w:val="00DA0AD9"/>
    <w:rsid w:val="00DA0C46"/>
    <w:rsid w:val="00DA0CB6"/>
    <w:rsid w:val="00DA0DA6"/>
    <w:rsid w:val="00DA0E37"/>
    <w:rsid w:val="00DA0EB2"/>
    <w:rsid w:val="00DA0F29"/>
    <w:rsid w:val="00DA0FA1"/>
    <w:rsid w:val="00DA0FB1"/>
    <w:rsid w:val="00DA0FB2"/>
    <w:rsid w:val="00DA0FBD"/>
    <w:rsid w:val="00DA11D3"/>
    <w:rsid w:val="00DA1202"/>
    <w:rsid w:val="00DA1211"/>
    <w:rsid w:val="00DA123C"/>
    <w:rsid w:val="00DA1253"/>
    <w:rsid w:val="00DA1380"/>
    <w:rsid w:val="00DA1386"/>
    <w:rsid w:val="00DA13C0"/>
    <w:rsid w:val="00DA14E2"/>
    <w:rsid w:val="00DA1588"/>
    <w:rsid w:val="00DA15C0"/>
    <w:rsid w:val="00DA15D7"/>
    <w:rsid w:val="00DA15E6"/>
    <w:rsid w:val="00DA17AC"/>
    <w:rsid w:val="00DA1A45"/>
    <w:rsid w:val="00DA1D6A"/>
    <w:rsid w:val="00DA1FB9"/>
    <w:rsid w:val="00DA1FD5"/>
    <w:rsid w:val="00DA202A"/>
    <w:rsid w:val="00DA202F"/>
    <w:rsid w:val="00DA20BB"/>
    <w:rsid w:val="00DA20EA"/>
    <w:rsid w:val="00DA2154"/>
    <w:rsid w:val="00DA2187"/>
    <w:rsid w:val="00DA2192"/>
    <w:rsid w:val="00DA2197"/>
    <w:rsid w:val="00DA21F4"/>
    <w:rsid w:val="00DA227F"/>
    <w:rsid w:val="00DA2345"/>
    <w:rsid w:val="00DA2398"/>
    <w:rsid w:val="00DA23D2"/>
    <w:rsid w:val="00DA2426"/>
    <w:rsid w:val="00DA25FE"/>
    <w:rsid w:val="00DA26BD"/>
    <w:rsid w:val="00DA2776"/>
    <w:rsid w:val="00DA2818"/>
    <w:rsid w:val="00DA2840"/>
    <w:rsid w:val="00DA2847"/>
    <w:rsid w:val="00DA288F"/>
    <w:rsid w:val="00DA2897"/>
    <w:rsid w:val="00DA2A50"/>
    <w:rsid w:val="00DA2AD6"/>
    <w:rsid w:val="00DA2ADE"/>
    <w:rsid w:val="00DA2B25"/>
    <w:rsid w:val="00DA2B77"/>
    <w:rsid w:val="00DA2BD8"/>
    <w:rsid w:val="00DA2BE1"/>
    <w:rsid w:val="00DA2BE4"/>
    <w:rsid w:val="00DA2BFE"/>
    <w:rsid w:val="00DA2C23"/>
    <w:rsid w:val="00DA2CDA"/>
    <w:rsid w:val="00DA2D2C"/>
    <w:rsid w:val="00DA2E2E"/>
    <w:rsid w:val="00DA2E7A"/>
    <w:rsid w:val="00DA2F79"/>
    <w:rsid w:val="00DA2F89"/>
    <w:rsid w:val="00DA2FE7"/>
    <w:rsid w:val="00DA3040"/>
    <w:rsid w:val="00DA31FE"/>
    <w:rsid w:val="00DA324A"/>
    <w:rsid w:val="00DA3327"/>
    <w:rsid w:val="00DA3416"/>
    <w:rsid w:val="00DA35FF"/>
    <w:rsid w:val="00DA364F"/>
    <w:rsid w:val="00DA366B"/>
    <w:rsid w:val="00DA37A0"/>
    <w:rsid w:val="00DA3916"/>
    <w:rsid w:val="00DA39C9"/>
    <w:rsid w:val="00DA3A4F"/>
    <w:rsid w:val="00DA3AEF"/>
    <w:rsid w:val="00DA3C49"/>
    <w:rsid w:val="00DA3CB2"/>
    <w:rsid w:val="00DA3D1C"/>
    <w:rsid w:val="00DA3D44"/>
    <w:rsid w:val="00DA3D78"/>
    <w:rsid w:val="00DA3E94"/>
    <w:rsid w:val="00DA3EA1"/>
    <w:rsid w:val="00DA3F29"/>
    <w:rsid w:val="00DA3FB1"/>
    <w:rsid w:val="00DA406F"/>
    <w:rsid w:val="00DA4071"/>
    <w:rsid w:val="00DA40E2"/>
    <w:rsid w:val="00DA414F"/>
    <w:rsid w:val="00DA4333"/>
    <w:rsid w:val="00DA43C8"/>
    <w:rsid w:val="00DA449F"/>
    <w:rsid w:val="00DA44C4"/>
    <w:rsid w:val="00DA4555"/>
    <w:rsid w:val="00DA4572"/>
    <w:rsid w:val="00DA4736"/>
    <w:rsid w:val="00DA4849"/>
    <w:rsid w:val="00DA48E9"/>
    <w:rsid w:val="00DA4997"/>
    <w:rsid w:val="00DA4A07"/>
    <w:rsid w:val="00DA4A13"/>
    <w:rsid w:val="00DA4ABD"/>
    <w:rsid w:val="00DA4AE2"/>
    <w:rsid w:val="00DA4B0D"/>
    <w:rsid w:val="00DA4B5D"/>
    <w:rsid w:val="00DA4BFF"/>
    <w:rsid w:val="00DA4E56"/>
    <w:rsid w:val="00DA4F6F"/>
    <w:rsid w:val="00DA5096"/>
    <w:rsid w:val="00DA52B6"/>
    <w:rsid w:val="00DA52F1"/>
    <w:rsid w:val="00DA538E"/>
    <w:rsid w:val="00DA54E9"/>
    <w:rsid w:val="00DA5527"/>
    <w:rsid w:val="00DA564D"/>
    <w:rsid w:val="00DA5760"/>
    <w:rsid w:val="00DA581C"/>
    <w:rsid w:val="00DA5852"/>
    <w:rsid w:val="00DA5925"/>
    <w:rsid w:val="00DA5929"/>
    <w:rsid w:val="00DA599F"/>
    <w:rsid w:val="00DA59A3"/>
    <w:rsid w:val="00DA5AC3"/>
    <w:rsid w:val="00DA5C13"/>
    <w:rsid w:val="00DA5CE4"/>
    <w:rsid w:val="00DA5D80"/>
    <w:rsid w:val="00DA5DD5"/>
    <w:rsid w:val="00DA5DF9"/>
    <w:rsid w:val="00DA5E62"/>
    <w:rsid w:val="00DA5E9F"/>
    <w:rsid w:val="00DA5EB0"/>
    <w:rsid w:val="00DA5F0E"/>
    <w:rsid w:val="00DA5F77"/>
    <w:rsid w:val="00DA5FDC"/>
    <w:rsid w:val="00DA5FF0"/>
    <w:rsid w:val="00DA600C"/>
    <w:rsid w:val="00DA60AE"/>
    <w:rsid w:val="00DA61CF"/>
    <w:rsid w:val="00DA62DF"/>
    <w:rsid w:val="00DA6415"/>
    <w:rsid w:val="00DA6432"/>
    <w:rsid w:val="00DA643D"/>
    <w:rsid w:val="00DA644E"/>
    <w:rsid w:val="00DA6455"/>
    <w:rsid w:val="00DA666D"/>
    <w:rsid w:val="00DA668E"/>
    <w:rsid w:val="00DA66CD"/>
    <w:rsid w:val="00DA67BC"/>
    <w:rsid w:val="00DA67D4"/>
    <w:rsid w:val="00DA6859"/>
    <w:rsid w:val="00DA6913"/>
    <w:rsid w:val="00DA6972"/>
    <w:rsid w:val="00DA69A9"/>
    <w:rsid w:val="00DA69AC"/>
    <w:rsid w:val="00DA69E1"/>
    <w:rsid w:val="00DA6C91"/>
    <w:rsid w:val="00DA6E13"/>
    <w:rsid w:val="00DA6ED3"/>
    <w:rsid w:val="00DA6F2B"/>
    <w:rsid w:val="00DA6F7E"/>
    <w:rsid w:val="00DA7101"/>
    <w:rsid w:val="00DA7123"/>
    <w:rsid w:val="00DA713A"/>
    <w:rsid w:val="00DA7173"/>
    <w:rsid w:val="00DA72C5"/>
    <w:rsid w:val="00DA72F4"/>
    <w:rsid w:val="00DA73FB"/>
    <w:rsid w:val="00DA7400"/>
    <w:rsid w:val="00DA7670"/>
    <w:rsid w:val="00DA7678"/>
    <w:rsid w:val="00DA76C3"/>
    <w:rsid w:val="00DA772B"/>
    <w:rsid w:val="00DA783A"/>
    <w:rsid w:val="00DA79BD"/>
    <w:rsid w:val="00DA7A09"/>
    <w:rsid w:val="00DA7A1D"/>
    <w:rsid w:val="00DA7A6D"/>
    <w:rsid w:val="00DA7A89"/>
    <w:rsid w:val="00DA7B0D"/>
    <w:rsid w:val="00DA7B34"/>
    <w:rsid w:val="00DA7B72"/>
    <w:rsid w:val="00DA7BC8"/>
    <w:rsid w:val="00DA7BD5"/>
    <w:rsid w:val="00DA7CF2"/>
    <w:rsid w:val="00DA7D10"/>
    <w:rsid w:val="00DA7D64"/>
    <w:rsid w:val="00DA7D69"/>
    <w:rsid w:val="00DA7DFE"/>
    <w:rsid w:val="00DA7E66"/>
    <w:rsid w:val="00DB0041"/>
    <w:rsid w:val="00DB0095"/>
    <w:rsid w:val="00DB0146"/>
    <w:rsid w:val="00DB01D4"/>
    <w:rsid w:val="00DB0224"/>
    <w:rsid w:val="00DB0411"/>
    <w:rsid w:val="00DB0451"/>
    <w:rsid w:val="00DB050C"/>
    <w:rsid w:val="00DB056F"/>
    <w:rsid w:val="00DB0668"/>
    <w:rsid w:val="00DB06AE"/>
    <w:rsid w:val="00DB0782"/>
    <w:rsid w:val="00DB0999"/>
    <w:rsid w:val="00DB0A53"/>
    <w:rsid w:val="00DB0AE3"/>
    <w:rsid w:val="00DB0B46"/>
    <w:rsid w:val="00DB0C06"/>
    <w:rsid w:val="00DB0C30"/>
    <w:rsid w:val="00DB0C3E"/>
    <w:rsid w:val="00DB0CB9"/>
    <w:rsid w:val="00DB0D1B"/>
    <w:rsid w:val="00DB0D86"/>
    <w:rsid w:val="00DB0D8B"/>
    <w:rsid w:val="00DB0D8F"/>
    <w:rsid w:val="00DB0E36"/>
    <w:rsid w:val="00DB0EFE"/>
    <w:rsid w:val="00DB0F2F"/>
    <w:rsid w:val="00DB0F5D"/>
    <w:rsid w:val="00DB1003"/>
    <w:rsid w:val="00DB109C"/>
    <w:rsid w:val="00DB114B"/>
    <w:rsid w:val="00DB12C2"/>
    <w:rsid w:val="00DB1370"/>
    <w:rsid w:val="00DB13EA"/>
    <w:rsid w:val="00DB13FC"/>
    <w:rsid w:val="00DB1432"/>
    <w:rsid w:val="00DB148B"/>
    <w:rsid w:val="00DB156D"/>
    <w:rsid w:val="00DB160D"/>
    <w:rsid w:val="00DB1636"/>
    <w:rsid w:val="00DB16D2"/>
    <w:rsid w:val="00DB16FA"/>
    <w:rsid w:val="00DB1764"/>
    <w:rsid w:val="00DB1770"/>
    <w:rsid w:val="00DB17E0"/>
    <w:rsid w:val="00DB180C"/>
    <w:rsid w:val="00DB182E"/>
    <w:rsid w:val="00DB19B1"/>
    <w:rsid w:val="00DB19FC"/>
    <w:rsid w:val="00DB1B14"/>
    <w:rsid w:val="00DB1B35"/>
    <w:rsid w:val="00DB1B86"/>
    <w:rsid w:val="00DB1BE1"/>
    <w:rsid w:val="00DB1BF2"/>
    <w:rsid w:val="00DB1C6C"/>
    <w:rsid w:val="00DB1CE0"/>
    <w:rsid w:val="00DB1D43"/>
    <w:rsid w:val="00DB1E4C"/>
    <w:rsid w:val="00DB2061"/>
    <w:rsid w:val="00DB20AB"/>
    <w:rsid w:val="00DB210D"/>
    <w:rsid w:val="00DB228E"/>
    <w:rsid w:val="00DB22A3"/>
    <w:rsid w:val="00DB2369"/>
    <w:rsid w:val="00DB23B3"/>
    <w:rsid w:val="00DB2443"/>
    <w:rsid w:val="00DB2477"/>
    <w:rsid w:val="00DB2491"/>
    <w:rsid w:val="00DB24B6"/>
    <w:rsid w:val="00DB24CD"/>
    <w:rsid w:val="00DB2545"/>
    <w:rsid w:val="00DB260D"/>
    <w:rsid w:val="00DB26A4"/>
    <w:rsid w:val="00DB26E5"/>
    <w:rsid w:val="00DB2908"/>
    <w:rsid w:val="00DB2918"/>
    <w:rsid w:val="00DB2A92"/>
    <w:rsid w:val="00DB2AE9"/>
    <w:rsid w:val="00DB2BAA"/>
    <w:rsid w:val="00DB2BC3"/>
    <w:rsid w:val="00DB2BE2"/>
    <w:rsid w:val="00DB2CB5"/>
    <w:rsid w:val="00DB2CF3"/>
    <w:rsid w:val="00DB2D91"/>
    <w:rsid w:val="00DB2DBA"/>
    <w:rsid w:val="00DB2FB8"/>
    <w:rsid w:val="00DB2FF7"/>
    <w:rsid w:val="00DB3062"/>
    <w:rsid w:val="00DB30DC"/>
    <w:rsid w:val="00DB32E4"/>
    <w:rsid w:val="00DB3305"/>
    <w:rsid w:val="00DB34CB"/>
    <w:rsid w:val="00DB3530"/>
    <w:rsid w:val="00DB35E6"/>
    <w:rsid w:val="00DB3692"/>
    <w:rsid w:val="00DB36D4"/>
    <w:rsid w:val="00DB36FB"/>
    <w:rsid w:val="00DB373C"/>
    <w:rsid w:val="00DB37F6"/>
    <w:rsid w:val="00DB381B"/>
    <w:rsid w:val="00DB383F"/>
    <w:rsid w:val="00DB385A"/>
    <w:rsid w:val="00DB38BA"/>
    <w:rsid w:val="00DB38F4"/>
    <w:rsid w:val="00DB3915"/>
    <w:rsid w:val="00DB3A2B"/>
    <w:rsid w:val="00DB3A76"/>
    <w:rsid w:val="00DB3A82"/>
    <w:rsid w:val="00DB3A83"/>
    <w:rsid w:val="00DB3AC1"/>
    <w:rsid w:val="00DB3AD2"/>
    <w:rsid w:val="00DB3BD5"/>
    <w:rsid w:val="00DB3C16"/>
    <w:rsid w:val="00DB3C28"/>
    <w:rsid w:val="00DB3F21"/>
    <w:rsid w:val="00DB3F9A"/>
    <w:rsid w:val="00DB4115"/>
    <w:rsid w:val="00DB414F"/>
    <w:rsid w:val="00DB41E1"/>
    <w:rsid w:val="00DB41ED"/>
    <w:rsid w:val="00DB42D8"/>
    <w:rsid w:val="00DB4485"/>
    <w:rsid w:val="00DB44C9"/>
    <w:rsid w:val="00DB4579"/>
    <w:rsid w:val="00DB45F8"/>
    <w:rsid w:val="00DB46FC"/>
    <w:rsid w:val="00DB473A"/>
    <w:rsid w:val="00DB4746"/>
    <w:rsid w:val="00DB4795"/>
    <w:rsid w:val="00DB496A"/>
    <w:rsid w:val="00DB4A2D"/>
    <w:rsid w:val="00DB4B52"/>
    <w:rsid w:val="00DB4C39"/>
    <w:rsid w:val="00DB4E2F"/>
    <w:rsid w:val="00DB4F18"/>
    <w:rsid w:val="00DB4FE2"/>
    <w:rsid w:val="00DB503F"/>
    <w:rsid w:val="00DB5054"/>
    <w:rsid w:val="00DB50D9"/>
    <w:rsid w:val="00DB50F3"/>
    <w:rsid w:val="00DB516E"/>
    <w:rsid w:val="00DB5173"/>
    <w:rsid w:val="00DB5232"/>
    <w:rsid w:val="00DB52C6"/>
    <w:rsid w:val="00DB531C"/>
    <w:rsid w:val="00DB533C"/>
    <w:rsid w:val="00DB536F"/>
    <w:rsid w:val="00DB53BD"/>
    <w:rsid w:val="00DB5416"/>
    <w:rsid w:val="00DB5462"/>
    <w:rsid w:val="00DB5486"/>
    <w:rsid w:val="00DB563F"/>
    <w:rsid w:val="00DB565E"/>
    <w:rsid w:val="00DB5660"/>
    <w:rsid w:val="00DB56B4"/>
    <w:rsid w:val="00DB5707"/>
    <w:rsid w:val="00DB5709"/>
    <w:rsid w:val="00DB59FA"/>
    <w:rsid w:val="00DB5A8D"/>
    <w:rsid w:val="00DB5AAB"/>
    <w:rsid w:val="00DB5B15"/>
    <w:rsid w:val="00DB5B7F"/>
    <w:rsid w:val="00DB5C11"/>
    <w:rsid w:val="00DB5C6F"/>
    <w:rsid w:val="00DB5C98"/>
    <w:rsid w:val="00DB5F3B"/>
    <w:rsid w:val="00DB5F5C"/>
    <w:rsid w:val="00DB5F9C"/>
    <w:rsid w:val="00DB5FB4"/>
    <w:rsid w:val="00DB6008"/>
    <w:rsid w:val="00DB6053"/>
    <w:rsid w:val="00DB6287"/>
    <w:rsid w:val="00DB62B5"/>
    <w:rsid w:val="00DB62DF"/>
    <w:rsid w:val="00DB63AA"/>
    <w:rsid w:val="00DB652B"/>
    <w:rsid w:val="00DB6536"/>
    <w:rsid w:val="00DB6541"/>
    <w:rsid w:val="00DB66B2"/>
    <w:rsid w:val="00DB6726"/>
    <w:rsid w:val="00DB672A"/>
    <w:rsid w:val="00DB6962"/>
    <w:rsid w:val="00DB6A7A"/>
    <w:rsid w:val="00DB6BED"/>
    <w:rsid w:val="00DB6C75"/>
    <w:rsid w:val="00DB6CED"/>
    <w:rsid w:val="00DB6DDC"/>
    <w:rsid w:val="00DB6E34"/>
    <w:rsid w:val="00DB6E83"/>
    <w:rsid w:val="00DB704C"/>
    <w:rsid w:val="00DB7060"/>
    <w:rsid w:val="00DB7063"/>
    <w:rsid w:val="00DB7092"/>
    <w:rsid w:val="00DB70A5"/>
    <w:rsid w:val="00DB70C0"/>
    <w:rsid w:val="00DB717F"/>
    <w:rsid w:val="00DB7198"/>
    <w:rsid w:val="00DB7281"/>
    <w:rsid w:val="00DB72D9"/>
    <w:rsid w:val="00DB743D"/>
    <w:rsid w:val="00DB744D"/>
    <w:rsid w:val="00DB7648"/>
    <w:rsid w:val="00DB7662"/>
    <w:rsid w:val="00DB7836"/>
    <w:rsid w:val="00DB78FA"/>
    <w:rsid w:val="00DB790A"/>
    <w:rsid w:val="00DB7911"/>
    <w:rsid w:val="00DB7A46"/>
    <w:rsid w:val="00DB7C99"/>
    <w:rsid w:val="00DB7E96"/>
    <w:rsid w:val="00DB7EBA"/>
    <w:rsid w:val="00DB7EEE"/>
    <w:rsid w:val="00DB7F45"/>
    <w:rsid w:val="00DB7FE8"/>
    <w:rsid w:val="00DC0096"/>
    <w:rsid w:val="00DC00E2"/>
    <w:rsid w:val="00DC014D"/>
    <w:rsid w:val="00DC0206"/>
    <w:rsid w:val="00DC0226"/>
    <w:rsid w:val="00DC022D"/>
    <w:rsid w:val="00DC02AA"/>
    <w:rsid w:val="00DC0441"/>
    <w:rsid w:val="00DC0455"/>
    <w:rsid w:val="00DC0458"/>
    <w:rsid w:val="00DC048E"/>
    <w:rsid w:val="00DC04C9"/>
    <w:rsid w:val="00DC04F3"/>
    <w:rsid w:val="00DC0544"/>
    <w:rsid w:val="00DC0628"/>
    <w:rsid w:val="00DC072C"/>
    <w:rsid w:val="00DC079C"/>
    <w:rsid w:val="00DC08F0"/>
    <w:rsid w:val="00DC09AB"/>
    <w:rsid w:val="00DC09BD"/>
    <w:rsid w:val="00DC0B54"/>
    <w:rsid w:val="00DC0B98"/>
    <w:rsid w:val="00DC0CA2"/>
    <w:rsid w:val="00DC0DDA"/>
    <w:rsid w:val="00DC0DDD"/>
    <w:rsid w:val="00DC0DE7"/>
    <w:rsid w:val="00DC0FEA"/>
    <w:rsid w:val="00DC1075"/>
    <w:rsid w:val="00DC1098"/>
    <w:rsid w:val="00DC10E9"/>
    <w:rsid w:val="00DC11A9"/>
    <w:rsid w:val="00DC1248"/>
    <w:rsid w:val="00DC12F7"/>
    <w:rsid w:val="00DC1365"/>
    <w:rsid w:val="00DC139C"/>
    <w:rsid w:val="00DC13AD"/>
    <w:rsid w:val="00DC144B"/>
    <w:rsid w:val="00DC149F"/>
    <w:rsid w:val="00DC14FC"/>
    <w:rsid w:val="00DC1557"/>
    <w:rsid w:val="00DC155A"/>
    <w:rsid w:val="00DC15D0"/>
    <w:rsid w:val="00DC1633"/>
    <w:rsid w:val="00DC1672"/>
    <w:rsid w:val="00DC19B0"/>
    <w:rsid w:val="00DC19E9"/>
    <w:rsid w:val="00DC1A6D"/>
    <w:rsid w:val="00DC1AD4"/>
    <w:rsid w:val="00DC1AE6"/>
    <w:rsid w:val="00DC1D48"/>
    <w:rsid w:val="00DC1D62"/>
    <w:rsid w:val="00DC1D76"/>
    <w:rsid w:val="00DC1DAC"/>
    <w:rsid w:val="00DC1DC8"/>
    <w:rsid w:val="00DC1E03"/>
    <w:rsid w:val="00DC1EB7"/>
    <w:rsid w:val="00DC1F46"/>
    <w:rsid w:val="00DC202E"/>
    <w:rsid w:val="00DC21DD"/>
    <w:rsid w:val="00DC21E9"/>
    <w:rsid w:val="00DC21EB"/>
    <w:rsid w:val="00DC21F9"/>
    <w:rsid w:val="00DC221A"/>
    <w:rsid w:val="00DC2221"/>
    <w:rsid w:val="00DC2398"/>
    <w:rsid w:val="00DC270E"/>
    <w:rsid w:val="00DC274A"/>
    <w:rsid w:val="00DC2761"/>
    <w:rsid w:val="00DC27EC"/>
    <w:rsid w:val="00DC2877"/>
    <w:rsid w:val="00DC2928"/>
    <w:rsid w:val="00DC29BB"/>
    <w:rsid w:val="00DC2AE1"/>
    <w:rsid w:val="00DC2B71"/>
    <w:rsid w:val="00DC2BF8"/>
    <w:rsid w:val="00DC2D95"/>
    <w:rsid w:val="00DC2DBC"/>
    <w:rsid w:val="00DC2E5A"/>
    <w:rsid w:val="00DC2EBF"/>
    <w:rsid w:val="00DC2F6D"/>
    <w:rsid w:val="00DC31DE"/>
    <w:rsid w:val="00DC3269"/>
    <w:rsid w:val="00DC32B2"/>
    <w:rsid w:val="00DC336A"/>
    <w:rsid w:val="00DC33BA"/>
    <w:rsid w:val="00DC344E"/>
    <w:rsid w:val="00DC34A3"/>
    <w:rsid w:val="00DC368A"/>
    <w:rsid w:val="00DC3709"/>
    <w:rsid w:val="00DC37E1"/>
    <w:rsid w:val="00DC37F3"/>
    <w:rsid w:val="00DC3897"/>
    <w:rsid w:val="00DC39AC"/>
    <w:rsid w:val="00DC3A34"/>
    <w:rsid w:val="00DC3B3F"/>
    <w:rsid w:val="00DC3B79"/>
    <w:rsid w:val="00DC3BE2"/>
    <w:rsid w:val="00DC3C39"/>
    <w:rsid w:val="00DC3CED"/>
    <w:rsid w:val="00DC3D63"/>
    <w:rsid w:val="00DC3DB5"/>
    <w:rsid w:val="00DC3DDF"/>
    <w:rsid w:val="00DC3F1E"/>
    <w:rsid w:val="00DC3F6D"/>
    <w:rsid w:val="00DC409C"/>
    <w:rsid w:val="00DC40D6"/>
    <w:rsid w:val="00DC417A"/>
    <w:rsid w:val="00DC4207"/>
    <w:rsid w:val="00DC43CD"/>
    <w:rsid w:val="00DC450A"/>
    <w:rsid w:val="00DC4604"/>
    <w:rsid w:val="00DC46C8"/>
    <w:rsid w:val="00DC4792"/>
    <w:rsid w:val="00DC4840"/>
    <w:rsid w:val="00DC4890"/>
    <w:rsid w:val="00DC496F"/>
    <w:rsid w:val="00DC49D5"/>
    <w:rsid w:val="00DC49D7"/>
    <w:rsid w:val="00DC4A86"/>
    <w:rsid w:val="00DC4DA9"/>
    <w:rsid w:val="00DC4DFE"/>
    <w:rsid w:val="00DC4F2D"/>
    <w:rsid w:val="00DC4F8F"/>
    <w:rsid w:val="00DC5030"/>
    <w:rsid w:val="00DC5054"/>
    <w:rsid w:val="00DC51C0"/>
    <w:rsid w:val="00DC52DD"/>
    <w:rsid w:val="00DC52F0"/>
    <w:rsid w:val="00DC5309"/>
    <w:rsid w:val="00DC5378"/>
    <w:rsid w:val="00DC5504"/>
    <w:rsid w:val="00DC55EB"/>
    <w:rsid w:val="00DC5602"/>
    <w:rsid w:val="00DC564C"/>
    <w:rsid w:val="00DC56B4"/>
    <w:rsid w:val="00DC58A6"/>
    <w:rsid w:val="00DC59F4"/>
    <w:rsid w:val="00DC5BB1"/>
    <w:rsid w:val="00DC5BFF"/>
    <w:rsid w:val="00DC5C99"/>
    <w:rsid w:val="00DC5F2C"/>
    <w:rsid w:val="00DC5F8F"/>
    <w:rsid w:val="00DC6019"/>
    <w:rsid w:val="00DC60D3"/>
    <w:rsid w:val="00DC6124"/>
    <w:rsid w:val="00DC6180"/>
    <w:rsid w:val="00DC61A9"/>
    <w:rsid w:val="00DC623D"/>
    <w:rsid w:val="00DC63B5"/>
    <w:rsid w:val="00DC64CF"/>
    <w:rsid w:val="00DC651D"/>
    <w:rsid w:val="00DC66A3"/>
    <w:rsid w:val="00DC66E2"/>
    <w:rsid w:val="00DC66E6"/>
    <w:rsid w:val="00DC66F4"/>
    <w:rsid w:val="00DC6780"/>
    <w:rsid w:val="00DC6784"/>
    <w:rsid w:val="00DC6843"/>
    <w:rsid w:val="00DC689E"/>
    <w:rsid w:val="00DC68F1"/>
    <w:rsid w:val="00DC6A91"/>
    <w:rsid w:val="00DC6AD4"/>
    <w:rsid w:val="00DC6AEE"/>
    <w:rsid w:val="00DC6B04"/>
    <w:rsid w:val="00DC6C06"/>
    <w:rsid w:val="00DC6CFA"/>
    <w:rsid w:val="00DC6DCC"/>
    <w:rsid w:val="00DC6E54"/>
    <w:rsid w:val="00DC6EB1"/>
    <w:rsid w:val="00DC6ECF"/>
    <w:rsid w:val="00DC6F1C"/>
    <w:rsid w:val="00DC7067"/>
    <w:rsid w:val="00DC707C"/>
    <w:rsid w:val="00DC71CD"/>
    <w:rsid w:val="00DC71EA"/>
    <w:rsid w:val="00DC72AC"/>
    <w:rsid w:val="00DC734F"/>
    <w:rsid w:val="00DC73F8"/>
    <w:rsid w:val="00DC7473"/>
    <w:rsid w:val="00DC74CF"/>
    <w:rsid w:val="00DC7511"/>
    <w:rsid w:val="00DC7623"/>
    <w:rsid w:val="00DC77C9"/>
    <w:rsid w:val="00DC78BB"/>
    <w:rsid w:val="00DC79DF"/>
    <w:rsid w:val="00DC7AAA"/>
    <w:rsid w:val="00DC7AFE"/>
    <w:rsid w:val="00DC7CE3"/>
    <w:rsid w:val="00DC7D9F"/>
    <w:rsid w:val="00DC7ECE"/>
    <w:rsid w:val="00DC7F23"/>
    <w:rsid w:val="00DC7FAD"/>
    <w:rsid w:val="00DC7FF0"/>
    <w:rsid w:val="00DD0216"/>
    <w:rsid w:val="00DD02D4"/>
    <w:rsid w:val="00DD030A"/>
    <w:rsid w:val="00DD035A"/>
    <w:rsid w:val="00DD03A9"/>
    <w:rsid w:val="00DD0435"/>
    <w:rsid w:val="00DD0482"/>
    <w:rsid w:val="00DD04FD"/>
    <w:rsid w:val="00DD0514"/>
    <w:rsid w:val="00DD0539"/>
    <w:rsid w:val="00DD0545"/>
    <w:rsid w:val="00DD068E"/>
    <w:rsid w:val="00DD071E"/>
    <w:rsid w:val="00DD0756"/>
    <w:rsid w:val="00DD0771"/>
    <w:rsid w:val="00DD07B2"/>
    <w:rsid w:val="00DD09B0"/>
    <w:rsid w:val="00DD09D5"/>
    <w:rsid w:val="00DD0A56"/>
    <w:rsid w:val="00DD0AA0"/>
    <w:rsid w:val="00DD0B9D"/>
    <w:rsid w:val="00DD0CA9"/>
    <w:rsid w:val="00DD0D80"/>
    <w:rsid w:val="00DD0D84"/>
    <w:rsid w:val="00DD0DD0"/>
    <w:rsid w:val="00DD0E95"/>
    <w:rsid w:val="00DD1008"/>
    <w:rsid w:val="00DD112C"/>
    <w:rsid w:val="00DD1170"/>
    <w:rsid w:val="00DD118D"/>
    <w:rsid w:val="00DD11A2"/>
    <w:rsid w:val="00DD12BB"/>
    <w:rsid w:val="00DD12F6"/>
    <w:rsid w:val="00DD1361"/>
    <w:rsid w:val="00DD13F8"/>
    <w:rsid w:val="00DD1437"/>
    <w:rsid w:val="00DD1458"/>
    <w:rsid w:val="00DD14E2"/>
    <w:rsid w:val="00DD1590"/>
    <w:rsid w:val="00DD1702"/>
    <w:rsid w:val="00DD17D3"/>
    <w:rsid w:val="00DD1824"/>
    <w:rsid w:val="00DD1870"/>
    <w:rsid w:val="00DD1981"/>
    <w:rsid w:val="00DD1A30"/>
    <w:rsid w:val="00DD1A42"/>
    <w:rsid w:val="00DD1B29"/>
    <w:rsid w:val="00DD1B2A"/>
    <w:rsid w:val="00DD1C64"/>
    <w:rsid w:val="00DD1D20"/>
    <w:rsid w:val="00DD1D82"/>
    <w:rsid w:val="00DD1D88"/>
    <w:rsid w:val="00DD1E7C"/>
    <w:rsid w:val="00DD1F5F"/>
    <w:rsid w:val="00DD2030"/>
    <w:rsid w:val="00DD2073"/>
    <w:rsid w:val="00DD207E"/>
    <w:rsid w:val="00DD208F"/>
    <w:rsid w:val="00DD2098"/>
    <w:rsid w:val="00DD209C"/>
    <w:rsid w:val="00DD211C"/>
    <w:rsid w:val="00DD2214"/>
    <w:rsid w:val="00DD2271"/>
    <w:rsid w:val="00DD2357"/>
    <w:rsid w:val="00DD238C"/>
    <w:rsid w:val="00DD24A3"/>
    <w:rsid w:val="00DD261B"/>
    <w:rsid w:val="00DD2708"/>
    <w:rsid w:val="00DD2753"/>
    <w:rsid w:val="00DD27CE"/>
    <w:rsid w:val="00DD29A7"/>
    <w:rsid w:val="00DD2A0A"/>
    <w:rsid w:val="00DD2A16"/>
    <w:rsid w:val="00DD2A79"/>
    <w:rsid w:val="00DD2B30"/>
    <w:rsid w:val="00DD2BB7"/>
    <w:rsid w:val="00DD2BEC"/>
    <w:rsid w:val="00DD2C61"/>
    <w:rsid w:val="00DD2D10"/>
    <w:rsid w:val="00DD2D60"/>
    <w:rsid w:val="00DD2D7C"/>
    <w:rsid w:val="00DD2ED1"/>
    <w:rsid w:val="00DD305B"/>
    <w:rsid w:val="00DD311F"/>
    <w:rsid w:val="00DD3137"/>
    <w:rsid w:val="00DD3162"/>
    <w:rsid w:val="00DD31E1"/>
    <w:rsid w:val="00DD33DC"/>
    <w:rsid w:val="00DD3427"/>
    <w:rsid w:val="00DD3734"/>
    <w:rsid w:val="00DD379B"/>
    <w:rsid w:val="00DD37FE"/>
    <w:rsid w:val="00DD384D"/>
    <w:rsid w:val="00DD38EE"/>
    <w:rsid w:val="00DD3918"/>
    <w:rsid w:val="00DD393E"/>
    <w:rsid w:val="00DD3C9F"/>
    <w:rsid w:val="00DD3CDE"/>
    <w:rsid w:val="00DD3CF4"/>
    <w:rsid w:val="00DD3D1B"/>
    <w:rsid w:val="00DD3D67"/>
    <w:rsid w:val="00DD3DEA"/>
    <w:rsid w:val="00DD3F3E"/>
    <w:rsid w:val="00DD3F7C"/>
    <w:rsid w:val="00DD3FB3"/>
    <w:rsid w:val="00DD406D"/>
    <w:rsid w:val="00DD40F9"/>
    <w:rsid w:val="00DD411F"/>
    <w:rsid w:val="00DD416E"/>
    <w:rsid w:val="00DD427B"/>
    <w:rsid w:val="00DD42E3"/>
    <w:rsid w:val="00DD4380"/>
    <w:rsid w:val="00DD4397"/>
    <w:rsid w:val="00DD43A4"/>
    <w:rsid w:val="00DD4528"/>
    <w:rsid w:val="00DD4753"/>
    <w:rsid w:val="00DD476F"/>
    <w:rsid w:val="00DD4800"/>
    <w:rsid w:val="00DD489A"/>
    <w:rsid w:val="00DD4944"/>
    <w:rsid w:val="00DD4946"/>
    <w:rsid w:val="00DD4999"/>
    <w:rsid w:val="00DD4A65"/>
    <w:rsid w:val="00DD4B3E"/>
    <w:rsid w:val="00DD4B7D"/>
    <w:rsid w:val="00DD4BEE"/>
    <w:rsid w:val="00DD4C71"/>
    <w:rsid w:val="00DD4CD5"/>
    <w:rsid w:val="00DD4D29"/>
    <w:rsid w:val="00DD4D89"/>
    <w:rsid w:val="00DD4FE8"/>
    <w:rsid w:val="00DD503F"/>
    <w:rsid w:val="00DD516C"/>
    <w:rsid w:val="00DD51C8"/>
    <w:rsid w:val="00DD51D6"/>
    <w:rsid w:val="00DD521C"/>
    <w:rsid w:val="00DD5230"/>
    <w:rsid w:val="00DD52B4"/>
    <w:rsid w:val="00DD53F6"/>
    <w:rsid w:val="00DD53F9"/>
    <w:rsid w:val="00DD55CD"/>
    <w:rsid w:val="00DD565D"/>
    <w:rsid w:val="00DD56A3"/>
    <w:rsid w:val="00DD56F5"/>
    <w:rsid w:val="00DD5793"/>
    <w:rsid w:val="00DD5874"/>
    <w:rsid w:val="00DD58CD"/>
    <w:rsid w:val="00DD5934"/>
    <w:rsid w:val="00DD596A"/>
    <w:rsid w:val="00DD5973"/>
    <w:rsid w:val="00DD5986"/>
    <w:rsid w:val="00DD5998"/>
    <w:rsid w:val="00DD59F3"/>
    <w:rsid w:val="00DD5B76"/>
    <w:rsid w:val="00DD5B97"/>
    <w:rsid w:val="00DD5C00"/>
    <w:rsid w:val="00DD5CE0"/>
    <w:rsid w:val="00DD5DE8"/>
    <w:rsid w:val="00DD5E65"/>
    <w:rsid w:val="00DD5EA5"/>
    <w:rsid w:val="00DD6151"/>
    <w:rsid w:val="00DD619F"/>
    <w:rsid w:val="00DD61D2"/>
    <w:rsid w:val="00DD6296"/>
    <w:rsid w:val="00DD62CA"/>
    <w:rsid w:val="00DD6313"/>
    <w:rsid w:val="00DD645D"/>
    <w:rsid w:val="00DD6517"/>
    <w:rsid w:val="00DD6590"/>
    <w:rsid w:val="00DD664B"/>
    <w:rsid w:val="00DD6766"/>
    <w:rsid w:val="00DD67CD"/>
    <w:rsid w:val="00DD67F3"/>
    <w:rsid w:val="00DD684E"/>
    <w:rsid w:val="00DD68A8"/>
    <w:rsid w:val="00DD68B3"/>
    <w:rsid w:val="00DD6946"/>
    <w:rsid w:val="00DD6B44"/>
    <w:rsid w:val="00DD6B52"/>
    <w:rsid w:val="00DD6B87"/>
    <w:rsid w:val="00DD6C0A"/>
    <w:rsid w:val="00DD6C77"/>
    <w:rsid w:val="00DD6D22"/>
    <w:rsid w:val="00DD6DD6"/>
    <w:rsid w:val="00DD6E06"/>
    <w:rsid w:val="00DD6E9A"/>
    <w:rsid w:val="00DD6FBA"/>
    <w:rsid w:val="00DD6FDB"/>
    <w:rsid w:val="00DD7002"/>
    <w:rsid w:val="00DD70B8"/>
    <w:rsid w:val="00DD70C7"/>
    <w:rsid w:val="00DD7134"/>
    <w:rsid w:val="00DD72A0"/>
    <w:rsid w:val="00DD7336"/>
    <w:rsid w:val="00DD73E3"/>
    <w:rsid w:val="00DD7422"/>
    <w:rsid w:val="00DD749A"/>
    <w:rsid w:val="00DD74BF"/>
    <w:rsid w:val="00DD759B"/>
    <w:rsid w:val="00DD760A"/>
    <w:rsid w:val="00DD7625"/>
    <w:rsid w:val="00DD7774"/>
    <w:rsid w:val="00DD77BD"/>
    <w:rsid w:val="00DD77FB"/>
    <w:rsid w:val="00DD786A"/>
    <w:rsid w:val="00DD790D"/>
    <w:rsid w:val="00DD790E"/>
    <w:rsid w:val="00DD7923"/>
    <w:rsid w:val="00DD792F"/>
    <w:rsid w:val="00DD7962"/>
    <w:rsid w:val="00DD79A7"/>
    <w:rsid w:val="00DD7A0F"/>
    <w:rsid w:val="00DD7A89"/>
    <w:rsid w:val="00DD7CCF"/>
    <w:rsid w:val="00DD7DD3"/>
    <w:rsid w:val="00DD7E4D"/>
    <w:rsid w:val="00DD7E62"/>
    <w:rsid w:val="00DD7FA1"/>
    <w:rsid w:val="00DE005F"/>
    <w:rsid w:val="00DE00EC"/>
    <w:rsid w:val="00DE010C"/>
    <w:rsid w:val="00DE0151"/>
    <w:rsid w:val="00DE020C"/>
    <w:rsid w:val="00DE0210"/>
    <w:rsid w:val="00DE04ED"/>
    <w:rsid w:val="00DE05FF"/>
    <w:rsid w:val="00DE0662"/>
    <w:rsid w:val="00DE06D2"/>
    <w:rsid w:val="00DE06DE"/>
    <w:rsid w:val="00DE0749"/>
    <w:rsid w:val="00DE076C"/>
    <w:rsid w:val="00DE0966"/>
    <w:rsid w:val="00DE0B4A"/>
    <w:rsid w:val="00DE0BAE"/>
    <w:rsid w:val="00DE0BD4"/>
    <w:rsid w:val="00DE10D7"/>
    <w:rsid w:val="00DE1153"/>
    <w:rsid w:val="00DE1180"/>
    <w:rsid w:val="00DE1236"/>
    <w:rsid w:val="00DE1237"/>
    <w:rsid w:val="00DE124E"/>
    <w:rsid w:val="00DE12BF"/>
    <w:rsid w:val="00DE12E7"/>
    <w:rsid w:val="00DE1314"/>
    <w:rsid w:val="00DE13EF"/>
    <w:rsid w:val="00DE16C1"/>
    <w:rsid w:val="00DE174A"/>
    <w:rsid w:val="00DE1794"/>
    <w:rsid w:val="00DE17E4"/>
    <w:rsid w:val="00DE185E"/>
    <w:rsid w:val="00DE18A1"/>
    <w:rsid w:val="00DE18DE"/>
    <w:rsid w:val="00DE18E0"/>
    <w:rsid w:val="00DE1987"/>
    <w:rsid w:val="00DE19B7"/>
    <w:rsid w:val="00DE19C3"/>
    <w:rsid w:val="00DE19ED"/>
    <w:rsid w:val="00DE19FC"/>
    <w:rsid w:val="00DE1AD8"/>
    <w:rsid w:val="00DE1CC1"/>
    <w:rsid w:val="00DE1E3C"/>
    <w:rsid w:val="00DE1E75"/>
    <w:rsid w:val="00DE20AF"/>
    <w:rsid w:val="00DE2190"/>
    <w:rsid w:val="00DE21A0"/>
    <w:rsid w:val="00DE2288"/>
    <w:rsid w:val="00DE2380"/>
    <w:rsid w:val="00DE2407"/>
    <w:rsid w:val="00DE2448"/>
    <w:rsid w:val="00DE2453"/>
    <w:rsid w:val="00DE2548"/>
    <w:rsid w:val="00DE2622"/>
    <w:rsid w:val="00DE273E"/>
    <w:rsid w:val="00DE27CE"/>
    <w:rsid w:val="00DE292F"/>
    <w:rsid w:val="00DE29F0"/>
    <w:rsid w:val="00DE2B4D"/>
    <w:rsid w:val="00DE2B88"/>
    <w:rsid w:val="00DE2C64"/>
    <w:rsid w:val="00DE2D35"/>
    <w:rsid w:val="00DE2D5F"/>
    <w:rsid w:val="00DE2DCA"/>
    <w:rsid w:val="00DE2E02"/>
    <w:rsid w:val="00DE2FC2"/>
    <w:rsid w:val="00DE306B"/>
    <w:rsid w:val="00DE307C"/>
    <w:rsid w:val="00DE3146"/>
    <w:rsid w:val="00DE317E"/>
    <w:rsid w:val="00DE34CF"/>
    <w:rsid w:val="00DE34F6"/>
    <w:rsid w:val="00DE3588"/>
    <w:rsid w:val="00DE35FC"/>
    <w:rsid w:val="00DE362B"/>
    <w:rsid w:val="00DE36A6"/>
    <w:rsid w:val="00DE373F"/>
    <w:rsid w:val="00DE375A"/>
    <w:rsid w:val="00DE390A"/>
    <w:rsid w:val="00DE39C6"/>
    <w:rsid w:val="00DE3A0E"/>
    <w:rsid w:val="00DE3B29"/>
    <w:rsid w:val="00DE3BBB"/>
    <w:rsid w:val="00DE3BEC"/>
    <w:rsid w:val="00DE3CAA"/>
    <w:rsid w:val="00DE3CD0"/>
    <w:rsid w:val="00DE3DA9"/>
    <w:rsid w:val="00DE3E30"/>
    <w:rsid w:val="00DE3E59"/>
    <w:rsid w:val="00DE4020"/>
    <w:rsid w:val="00DE405B"/>
    <w:rsid w:val="00DE40A8"/>
    <w:rsid w:val="00DE40B0"/>
    <w:rsid w:val="00DE41DF"/>
    <w:rsid w:val="00DE4262"/>
    <w:rsid w:val="00DE42F7"/>
    <w:rsid w:val="00DE437A"/>
    <w:rsid w:val="00DE43A9"/>
    <w:rsid w:val="00DE44AC"/>
    <w:rsid w:val="00DE4512"/>
    <w:rsid w:val="00DE4527"/>
    <w:rsid w:val="00DE469D"/>
    <w:rsid w:val="00DE4788"/>
    <w:rsid w:val="00DE47C3"/>
    <w:rsid w:val="00DE47FB"/>
    <w:rsid w:val="00DE4877"/>
    <w:rsid w:val="00DE49CC"/>
    <w:rsid w:val="00DE49FB"/>
    <w:rsid w:val="00DE4A49"/>
    <w:rsid w:val="00DE4A4B"/>
    <w:rsid w:val="00DE4AC5"/>
    <w:rsid w:val="00DE4BE8"/>
    <w:rsid w:val="00DE4C04"/>
    <w:rsid w:val="00DE4C4A"/>
    <w:rsid w:val="00DE4C95"/>
    <w:rsid w:val="00DE4CBB"/>
    <w:rsid w:val="00DE4DF8"/>
    <w:rsid w:val="00DE4E19"/>
    <w:rsid w:val="00DE4E1A"/>
    <w:rsid w:val="00DE4E5D"/>
    <w:rsid w:val="00DE4E79"/>
    <w:rsid w:val="00DE4E88"/>
    <w:rsid w:val="00DE4E91"/>
    <w:rsid w:val="00DE4F3F"/>
    <w:rsid w:val="00DE4F8D"/>
    <w:rsid w:val="00DE501B"/>
    <w:rsid w:val="00DE504B"/>
    <w:rsid w:val="00DE50D9"/>
    <w:rsid w:val="00DE50DE"/>
    <w:rsid w:val="00DE5110"/>
    <w:rsid w:val="00DE516A"/>
    <w:rsid w:val="00DE51A4"/>
    <w:rsid w:val="00DE5232"/>
    <w:rsid w:val="00DE5332"/>
    <w:rsid w:val="00DE54CD"/>
    <w:rsid w:val="00DE555D"/>
    <w:rsid w:val="00DE5676"/>
    <w:rsid w:val="00DE56DD"/>
    <w:rsid w:val="00DE57F8"/>
    <w:rsid w:val="00DE58CE"/>
    <w:rsid w:val="00DE59A4"/>
    <w:rsid w:val="00DE59F3"/>
    <w:rsid w:val="00DE5A84"/>
    <w:rsid w:val="00DE5B2A"/>
    <w:rsid w:val="00DE5BD5"/>
    <w:rsid w:val="00DE5DD5"/>
    <w:rsid w:val="00DE5DDE"/>
    <w:rsid w:val="00DE5EBB"/>
    <w:rsid w:val="00DE5EFE"/>
    <w:rsid w:val="00DE5F2C"/>
    <w:rsid w:val="00DE5F53"/>
    <w:rsid w:val="00DE5F6D"/>
    <w:rsid w:val="00DE5F9E"/>
    <w:rsid w:val="00DE60C1"/>
    <w:rsid w:val="00DE61AD"/>
    <w:rsid w:val="00DE6294"/>
    <w:rsid w:val="00DE6367"/>
    <w:rsid w:val="00DE63B9"/>
    <w:rsid w:val="00DE63DF"/>
    <w:rsid w:val="00DE642E"/>
    <w:rsid w:val="00DE6563"/>
    <w:rsid w:val="00DE6696"/>
    <w:rsid w:val="00DE66A7"/>
    <w:rsid w:val="00DE67A2"/>
    <w:rsid w:val="00DE6860"/>
    <w:rsid w:val="00DE6924"/>
    <w:rsid w:val="00DE6988"/>
    <w:rsid w:val="00DE69D5"/>
    <w:rsid w:val="00DE69ED"/>
    <w:rsid w:val="00DE6A7A"/>
    <w:rsid w:val="00DE6A80"/>
    <w:rsid w:val="00DE6A94"/>
    <w:rsid w:val="00DE6AEF"/>
    <w:rsid w:val="00DE6B38"/>
    <w:rsid w:val="00DE6B78"/>
    <w:rsid w:val="00DE6BAC"/>
    <w:rsid w:val="00DE6BDE"/>
    <w:rsid w:val="00DE6C09"/>
    <w:rsid w:val="00DE6C4C"/>
    <w:rsid w:val="00DE6CA6"/>
    <w:rsid w:val="00DE6D2E"/>
    <w:rsid w:val="00DE6D3D"/>
    <w:rsid w:val="00DE6E03"/>
    <w:rsid w:val="00DE7036"/>
    <w:rsid w:val="00DE70C0"/>
    <w:rsid w:val="00DE714D"/>
    <w:rsid w:val="00DE71B8"/>
    <w:rsid w:val="00DE71D3"/>
    <w:rsid w:val="00DE7206"/>
    <w:rsid w:val="00DE733B"/>
    <w:rsid w:val="00DE7393"/>
    <w:rsid w:val="00DE7556"/>
    <w:rsid w:val="00DE75FD"/>
    <w:rsid w:val="00DE7632"/>
    <w:rsid w:val="00DE7785"/>
    <w:rsid w:val="00DE779E"/>
    <w:rsid w:val="00DE7809"/>
    <w:rsid w:val="00DE7941"/>
    <w:rsid w:val="00DE797D"/>
    <w:rsid w:val="00DE7BFD"/>
    <w:rsid w:val="00DE7C73"/>
    <w:rsid w:val="00DE7C90"/>
    <w:rsid w:val="00DE7D8B"/>
    <w:rsid w:val="00DE7DBD"/>
    <w:rsid w:val="00DE7DC5"/>
    <w:rsid w:val="00DE7ECD"/>
    <w:rsid w:val="00DE7EE4"/>
    <w:rsid w:val="00DE7F24"/>
    <w:rsid w:val="00DF0156"/>
    <w:rsid w:val="00DF0183"/>
    <w:rsid w:val="00DF0465"/>
    <w:rsid w:val="00DF065E"/>
    <w:rsid w:val="00DF06C1"/>
    <w:rsid w:val="00DF06CF"/>
    <w:rsid w:val="00DF0708"/>
    <w:rsid w:val="00DF0904"/>
    <w:rsid w:val="00DF0994"/>
    <w:rsid w:val="00DF0A17"/>
    <w:rsid w:val="00DF0BD5"/>
    <w:rsid w:val="00DF0D6A"/>
    <w:rsid w:val="00DF0E2C"/>
    <w:rsid w:val="00DF0E5E"/>
    <w:rsid w:val="00DF0EC1"/>
    <w:rsid w:val="00DF0F17"/>
    <w:rsid w:val="00DF1076"/>
    <w:rsid w:val="00DF10DF"/>
    <w:rsid w:val="00DF110E"/>
    <w:rsid w:val="00DF12B3"/>
    <w:rsid w:val="00DF12D6"/>
    <w:rsid w:val="00DF13F1"/>
    <w:rsid w:val="00DF1436"/>
    <w:rsid w:val="00DF1472"/>
    <w:rsid w:val="00DF1638"/>
    <w:rsid w:val="00DF16EC"/>
    <w:rsid w:val="00DF1739"/>
    <w:rsid w:val="00DF1755"/>
    <w:rsid w:val="00DF1795"/>
    <w:rsid w:val="00DF17F8"/>
    <w:rsid w:val="00DF1895"/>
    <w:rsid w:val="00DF18E8"/>
    <w:rsid w:val="00DF1991"/>
    <w:rsid w:val="00DF1A1E"/>
    <w:rsid w:val="00DF1B8F"/>
    <w:rsid w:val="00DF1C66"/>
    <w:rsid w:val="00DF1DA5"/>
    <w:rsid w:val="00DF1DC2"/>
    <w:rsid w:val="00DF1E79"/>
    <w:rsid w:val="00DF20C4"/>
    <w:rsid w:val="00DF20DD"/>
    <w:rsid w:val="00DF2127"/>
    <w:rsid w:val="00DF2370"/>
    <w:rsid w:val="00DF24AE"/>
    <w:rsid w:val="00DF24C1"/>
    <w:rsid w:val="00DF24FE"/>
    <w:rsid w:val="00DF25E2"/>
    <w:rsid w:val="00DF26CD"/>
    <w:rsid w:val="00DF26F8"/>
    <w:rsid w:val="00DF26F9"/>
    <w:rsid w:val="00DF2828"/>
    <w:rsid w:val="00DF2ACA"/>
    <w:rsid w:val="00DF2C22"/>
    <w:rsid w:val="00DF2C83"/>
    <w:rsid w:val="00DF2CD4"/>
    <w:rsid w:val="00DF2D61"/>
    <w:rsid w:val="00DF2D98"/>
    <w:rsid w:val="00DF2E3F"/>
    <w:rsid w:val="00DF2FA1"/>
    <w:rsid w:val="00DF2FAB"/>
    <w:rsid w:val="00DF2FC4"/>
    <w:rsid w:val="00DF3002"/>
    <w:rsid w:val="00DF30F1"/>
    <w:rsid w:val="00DF3163"/>
    <w:rsid w:val="00DF31DA"/>
    <w:rsid w:val="00DF3268"/>
    <w:rsid w:val="00DF3328"/>
    <w:rsid w:val="00DF336D"/>
    <w:rsid w:val="00DF3592"/>
    <w:rsid w:val="00DF359D"/>
    <w:rsid w:val="00DF35A7"/>
    <w:rsid w:val="00DF3674"/>
    <w:rsid w:val="00DF3794"/>
    <w:rsid w:val="00DF3883"/>
    <w:rsid w:val="00DF38EF"/>
    <w:rsid w:val="00DF3935"/>
    <w:rsid w:val="00DF3BD6"/>
    <w:rsid w:val="00DF3BED"/>
    <w:rsid w:val="00DF3CB0"/>
    <w:rsid w:val="00DF3D75"/>
    <w:rsid w:val="00DF3DF9"/>
    <w:rsid w:val="00DF3E10"/>
    <w:rsid w:val="00DF3E1F"/>
    <w:rsid w:val="00DF3EFD"/>
    <w:rsid w:val="00DF3F12"/>
    <w:rsid w:val="00DF409D"/>
    <w:rsid w:val="00DF41E4"/>
    <w:rsid w:val="00DF434C"/>
    <w:rsid w:val="00DF4380"/>
    <w:rsid w:val="00DF43C0"/>
    <w:rsid w:val="00DF4599"/>
    <w:rsid w:val="00DF463F"/>
    <w:rsid w:val="00DF4655"/>
    <w:rsid w:val="00DF46B2"/>
    <w:rsid w:val="00DF4738"/>
    <w:rsid w:val="00DF4756"/>
    <w:rsid w:val="00DF4758"/>
    <w:rsid w:val="00DF4786"/>
    <w:rsid w:val="00DF48D9"/>
    <w:rsid w:val="00DF4925"/>
    <w:rsid w:val="00DF4945"/>
    <w:rsid w:val="00DF4AB9"/>
    <w:rsid w:val="00DF4B67"/>
    <w:rsid w:val="00DF4BC8"/>
    <w:rsid w:val="00DF4C88"/>
    <w:rsid w:val="00DF4C9F"/>
    <w:rsid w:val="00DF4D1D"/>
    <w:rsid w:val="00DF4D7C"/>
    <w:rsid w:val="00DF4D9C"/>
    <w:rsid w:val="00DF4DB1"/>
    <w:rsid w:val="00DF4E00"/>
    <w:rsid w:val="00DF4E14"/>
    <w:rsid w:val="00DF4E1D"/>
    <w:rsid w:val="00DF4E28"/>
    <w:rsid w:val="00DF4F50"/>
    <w:rsid w:val="00DF4F5F"/>
    <w:rsid w:val="00DF4F6C"/>
    <w:rsid w:val="00DF4F8C"/>
    <w:rsid w:val="00DF4F95"/>
    <w:rsid w:val="00DF531C"/>
    <w:rsid w:val="00DF5395"/>
    <w:rsid w:val="00DF544A"/>
    <w:rsid w:val="00DF54D9"/>
    <w:rsid w:val="00DF5551"/>
    <w:rsid w:val="00DF5654"/>
    <w:rsid w:val="00DF57B2"/>
    <w:rsid w:val="00DF57F8"/>
    <w:rsid w:val="00DF58A2"/>
    <w:rsid w:val="00DF58B2"/>
    <w:rsid w:val="00DF59A0"/>
    <w:rsid w:val="00DF5B63"/>
    <w:rsid w:val="00DF5E2A"/>
    <w:rsid w:val="00DF5F19"/>
    <w:rsid w:val="00DF5F5E"/>
    <w:rsid w:val="00DF5F88"/>
    <w:rsid w:val="00DF6084"/>
    <w:rsid w:val="00DF6101"/>
    <w:rsid w:val="00DF61AA"/>
    <w:rsid w:val="00DF61E0"/>
    <w:rsid w:val="00DF6211"/>
    <w:rsid w:val="00DF6458"/>
    <w:rsid w:val="00DF6566"/>
    <w:rsid w:val="00DF6638"/>
    <w:rsid w:val="00DF67FD"/>
    <w:rsid w:val="00DF6828"/>
    <w:rsid w:val="00DF6881"/>
    <w:rsid w:val="00DF692C"/>
    <w:rsid w:val="00DF694F"/>
    <w:rsid w:val="00DF69A5"/>
    <w:rsid w:val="00DF69AD"/>
    <w:rsid w:val="00DF6B48"/>
    <w:rsid w:val="00DF6C07"/>
    <w:rsid w:val="00DF6C23"/>
    <w:rsid w:val="00DF6CC4"/>
    <w:rsid w:val="00DF6D00"/>
    <w:rsid w:val="00DF6D40"/>
    <w:rsid w:val="00DF6D89"/>
    <w:rsid w:val="00DF6E02"/>
    <w:rsid w:val="00DF6E09"/>
    <w:rsid w:val="00DF7004"/>
    <w:rsid w:val="00DF7084"/>
    <w:rsid w:val="00DF718F"/>
    <w:rsid w:val="00DF728B"/>
    <w:rsid w:val="00DF72F1"/>
    <w:rsid w:val="00DF7338"/>
    <w:rsid w:val="00DF7381"/>
    <w:rsid w:val="00DF7409"/>
    <w:rsid w:val="00DF7500"/>
    <w:rsid w:val="00DF75BC"/>
    <w:rsid w:val="00DF75C4"/>
    <w:rsid w:val="00DF75F1"/>
    <w:rsid w:val="00DF7783"/>
    <w:rsid w:val="00DF7864"/>
    <w:rsid w:val="00DF78D1"/>
    <w:rsid w:val="00DF7A63"/>
    <w:rsid w:val="00DF7AB3"/>
    <w:rsid w:val="00DF7ACC"/>
    <w:rsid w:val="00DF7AFF"/>
    <w:rsid w:val="00DF7B4D"/>
    <w:rsid w:val="00DF7C0F"/>
    <w:rsid w:val="00DF7C50"/>
    <w:rsid w:val="00DF7D04"/>
    <w:rsid w:val="00DF7E2A"/>
    <w:rsid w:val="00DF7E5A"/>
    <w:rsid w:val="00DF7E7F"/>
    <w:rsid w:val="00DF7E85"/>
    <w:rsid w:val="00DF7FFC"/>
    <w:rsid w:val="00E00081"/>
    <w:rsid w:val="00E00254"/>
    <w:rsid w:val="00E002C1"/>
    <w:rsid w:val="00E00372"/>
    <w:rsid w:val="00E004B9"/>
    <w:rsid w:val="00E004C3"/>
    <w:rsid w:val="00E0072D"/>
    <w:rsid w:val="00E00889"/>
    <w:rsid w:val="00E008B4"/>
    <w:rsid w:val="00E00959"/>
    <w:rsid w:val="00E00964"/>
    <w:rsid w:val="00E0098C"/>
    <w:rsid w:val="00E00A1F"/>
    <w:rsid w:val="00E00A2E"/>
    <w:rsid w:val="00E00A43"/>
    <w:rsid w:val="00E00B43"/>
    <w:rsid w:val="00E00BF2"/>
    <w:rsid w:val="00E00C3F"/>
    <w:rsid w:val="00E00D3E"/>
    <w:rsid w:val="00E00E15"/>
    <w:rsid w:val="00E00E69"/>
    <w:rsid w:val="00E00EC2"/>
    <w:rsid w:val="00E0105A"/>
    <w:rsid w:val="00E010FC"/>
    <w:rsid w:val="00E0118B"/>
    <w:rsid w:val="00E01247"/>
    <w:rsid w:val="00E0124B"/>
    <w:rsid w:val="00E012B5"/>
    <w:rsid w:val="00E01305"/>
    <w:rsid w:val="00E01358"/>
    <w:rsid w:val="00E01471"/>
    <w:rsid w:val="00E0180C"/>
    <w:rsid w:val="00E01887"/>
    <w:rsid w:val="00E01939"/>
    <w:rsid w:val="00E01A3E"/>
    <w:rsid w:val="00E01A55"/>
    <w:rsid w:val="00E01C97"/>
    <w:rsid w:val="00E01CD1"/>
    <w:rsid w:val="00E01D19"/>
    <w:rsid w:val="00E01E4D"/>
    <w:rsid w:val="00E01E4E"/>
    <w:rsid w:val="00E01F1C"/>
    <w:rsid w:val="00E01F34"/>
    <w:rsid w:val="00E01F68"/>
    <w:rsid w:val="00E0207B"/>
    <w:rsid w:val="00E020D3"/>
    <w:rsid w:val="00E0215D"/>
    <w:rsid w:val="00E022E5"/>
    <w:rsid w:val="00E02313"/>
    <w:rsid w:val="00E02337"/>
    <w:rsid w:val="00E023B5"/>
    <w:rsid w:val="00E024CC"/>
    <w:rsid w:val="00E02681"/>
    <w:rsid w:val="00E02903"/>
    <w:rsid w:val="00E0290F"/>
    <w:rsid w:val="00E029A8"/>
    <w:rsid w:val="00E029C7"/>
    <w:rsid w:val="00E02A16"/>
    <w:rsid w:val="00E02A6A"/>
    <w:rsid w:val="00E02AE4"/>
    <w:rsid w:val="00E02C1D"/>
    <w:rsid w:val="00E02C8D"/>
    <w:rsid w:val="00E02C9F"/>
    <w:rsid w:val="00E02D39"/>
    <w:rsid w:val="00E02DBD"/>
    <w:rsid w:val="00E02DE2"/>
    <w:rsid w:val="00E03030"/>
    <w:rsid w:val="00E03090"/>
    <w:rsid w:val="00E03135"/>
    <w:rsid w:val="00E03212"/>
    <w:rsid w:val="00E0324D"/>
    <w:rsid w:val="00E032F7"/>
    <w:rsid w:val="00E0342A"/>
    <w:rsid w:val="00E0348B"/>
    <w:rsid w:val="00E03584"/>
    <w:rsid w:val="00E03667"/>
    <w:rsid w:val="00E037E0"/>
    <w:rsid w:val="00E03812"/>
    <w:rsid w:val="00E0394D"/>
    <w:rsid w:val="00E03A0B"/>
    <w:rsid w:val="00E03C1C"/>
    <w:rsid w:val="00E03C64"/>
    <w:rsid w:val="00E03E2A"/>
    <w:rsid w:val="00E03ED2"/>
    <w:rsid w:val="00E03F26"/>
    <w:rsid w:val="00E03F6F"/>
    <w:rsid w:val="00E04029"/>
    <w:rsid w:val="00E0405E"/>
    <w:rsid w:val="00E04070"/>
    <w:rsid w:val="00E040EB"/>
    <w:rsid w:val="00E041DB"/>
    <w:rsid w:val="00E04229"/>
    <w:rsid w:val="00E04238"/>
    <w:rsid w:val="00E04257"/>
    <w:rsid w:val="00E0427B"/>
    <w:rsid w:val="00E042AA"/>
    <w:rsid w:val="00E042BD"/>
    <w:rsid w:val="00E04421"/>
    <w:rsid w:val="00E044C5"/>
    <w:rsid w:val="00E0457C"/>
    <w:rsid w:val="00E04608"/>
    <w:rsid w:val="00E04708"/>
    <w:rsid w:val="00E04762"/>
    <w:rsid w:val="00E047DF"/>
    <w:rsid w:val="00E0481C"/>
    <w:rsid w:val="00E0483B"/>
    <w:rsid w:val="00E04844"/>
    <w:rsid w:val="00E04A78"/>
    <w:rsid w:val="00E04B66"/>
    <w:rsid w:val="00E04C2E"/>
    <w:rsid w:val="00E04DC3"/>
    <w:rsid w:val="00E04E5A"/>
    <w:rsid w:val="00E04F41"/>
    <w:rsid w:val="00E0518A"/>
    <w:rsid w:val="00E051B2"/>
    <w:rsid w:val="00E05200"/>
    <w:rsid w:val="00E05259"/>
    <w:rsid w:val="00E05285"/>
    <w:rsid w:val="00E052E7"/>
    <w:rsid w:val="00E0532F"/>
    <w:rsid w:val="00E05391"/>
    <w:rsid w:val="00E053CB"/>
    <w:rsid w:val="00E0557B"/>
    <w:rsid w:val="00E055C6"/>
    <w:rsid w:val="00E0587C"/>
    <w:rsid w:val="00E05A5E"/>
    <w:rsid w:val="00E05A82"/>
    <w:rsid w:val="00E05ACB"/>
    <w:rsid w:val="00E05AEE"/>
    <w:rsid w:val="00E05B0A"/>
    <w:rsid w:val="00E05B16"/>
    <w:rsid w:val="00E05B1A"/>
    <w:rsid w:val="00E05C1A"/>
    <w:rsid w:val="00E05CD0"/>
    <w:rsid w:val="00E05D93"/>
    <w:rsid w:val="00E05E6F"/>
    <w:rsid w:val="00E05EB5"/>
    <w:rsid w:val="00E05F3D"/>
    <w:rsid w:val="00E05F95"/>
    <w:rsid w:val="00E06044"/>
    <w:rsid w:val="00E060C8"/>
    <w:rsid w:val="00E060D1"/>
    <w:rsid w:val="00E060F0"/>
    <w:rsid w:val="00E06128"/>
    <w:rsid w:val="00E06162"/>
    <w:rsid w:val="00E06174"/>
    <w:rsid w:val="00E0617A"/>
    <w:rsid w:val="00E061BE"/>
    <w:rsid w:val="00E061ED"/>
    <w:rsid w:val="00E06236"/>
    <w:rsid w:val="00E063A2"/>
    <w:rsid w:val="00E06404"/>
    <w:rsid w:val="00E065EE"/>
    <w:rsid w:val="00E06842"/>
    <w:rsid w:val="00E06A19"/>
    <w:rsid w:val="00E06B38"/>
    <w:rsid w:val="00E06C3D"/>
    <w:rsid w:val="00E06C94"/>
    <w:rsid w:val="00E06CCD"/>
    <w:rsid w:val="00E06EA9"/>
    <w:rsid w:val="00E06EBF"/>
    <w:rsid w:val="00E06EC4"/>
    <w:rsid w:val="00E06FFC"/>
    <w:rsid w:val="00E07031"/>
    <w:rsid w:val="00E07093"/>
    <w:rsid w:val="00E07131"/>
    <w:rsid w:val="00E0723D"/>
    <w:rsid w:val="00E0724A"/>
    <w:rsid w:val="00E0739A"/>
    <w:rsid w:val="00E0742D"/>
    <w:rsid w:val="00E074B6"/>
    <w:rsid w:val="00E074C7"/>
    <w:rsid w:val="00E07519"/>
    <w:rsid w:val="00E07524"/>
    <w:rsid w:val="00E07743"/>
    <w:rsid w:val="00E077B2"/>
    <w:rsid w:val="00E07869"/>
    <w:rsid w:val="00E0788B"/>
    <w:rsid w:val="00E0794C"/>
    <w:rsid w:val="00E07958"/>
    <w:rsid w:val="00E079BA"/>
    <w:rsid w:val="00E079FC"/>
    <w:rsid w:val="00E07B04"/>
    <w:rsid w:val="00E07BDD"/>
    <w:rsid w:val="00E07C3B"/>
    <w:rsid w:val="00E07C83"/>
    <w:rsid w:val="00E07CF9"/>
    <w:rsid w:val="00E07DC2"/>
    <w:rsid w:val="00E10028"/>
    <w:rsid w:val="00E100B7"/>
    <w:rsid w:val="00E100F7"/>
    <w:rsid w:val="00E1010C"/>
    <w:rsid w:val="00E10227"/>
    <w:rsid w:val="00E1028B"/>
    <w:rsid w:val="00E10316"/>
    <w:rsid w:val="00E1049C"/>
    <w:rsid w:val="00E105F8"/>
    <w:rsid w:val="00E10668"/>
    <w:rsid w:val="00E108C1"/>
    <w:rsid w:val="00E1095C"/>
    <w:rsid w:val="00E10AA2"/>
    <w:rsid w:val="00E10B1D"/>
    <w:rsid w:val="00E10B6B"/>
    <w:rsid w:val="00E10D5F"/>
    <w:rsid w:val="00E10DAB"/>
    <w:rsid w:val="00E10DF3"/>
    <w:rsid w:val="00E10E46"/>
    <w:rsid w:val="00E10E77"/>
    <w:rsid w:val="00E10F35"/>
    <w:rsid w:val="00E10FBB"/>
    <w:rsid w:val="00E10FE2"/>
    <w:rsid w:val="00E11007"/>
    <w:rsid w:val="00E1100A"/>
    <w:rsid w:val="00E11012"/>
    <w:rsid w:val="00E11089"/>
    <w:rsid w:val="00E110BA"/>
    <w:rsid w:val="00E11168"/>
    <w:rsid w:val="00E112A2"/>
    <w:rsid w:val="00E11314"/>
    <w:rsid w:val="00E1142A"/>
    <w:rsid w:val="00E1144C"/>
    <w:rsid w:val="00E11513"/>
    <w:rsid w:val="00E1156F"/>
    <w:rsid w:val="00E11652"/>
    <w:rsid w:val="00E11668"/>
    <w:rsid w:val="00E11800"/>
    <w:rsid w:val="00E1180A"/>
    <w:rsid w:val="00E11954"/>
    <w:rsid w:val="00E11964"/>
    <w:rsid w:val="00E11A3D"/>
    <w:rsid w:val="00E11A8E"/>
    <w:rsid w:val="00E11AB8"/>
    <w:rsid w:val="00E11B38"/>
    <w:rsid w:val="00E11B72"/>
    <w:rsid w:val="00E11BAE"/>
    <w:rsid w:val="00E11C2B"/>
    <w:rsid w:val="00E11CBF"/>
    <w:rsid w:val="00E11FDB"/>
    <w:rsid w:val="00E120D5"/>
    <w:rsid w:val="00E12267"/>
    <w:rsid w:val="00E122DA"/>
    <w:rsid w:val="00E124D0"/>
    <w:rsid w:val="00E1258B"/>
    <w:rsid w:val="00E12608"/>
    <w:rsid w:val="00E12706"/>
    <w:rsid w:val="00E127B1"/>
    <w:rsid w:val="00E1285C"/>
    <w:rsid w:val="00E128DC"/>
    <w:rsid w:val="00E129A9"/>
    <w:rsid w:val="00E129E4"/>
    <w:rsid w:val="00E12B16"/>
    <w:rsid w:val="00E12BFD"/>
    <w:rsid w:val="00E12CF5"/>
    <w:rsid w:val="00E12CFF"/>
    <w:rsid w:val="00E12E10"/>
    <w:rsid w:val="00E12E8F"/>
    <w:rsid w:val="00E12F3E"/>
    <w:rsid w:val="00E1309E"/>
    <w:rsid w:val="00E131F5"/>
    <w:rsid w:val="00E13204"/>
    <w:rsid w:val="00E133CE"/>
    <w:rsid w:val="00E1345E"/>
    <w:rsid w:val="00E1347C"/>
    <w:rsid w:val="00E13491"/>
    <w:rsid w:val="00E1349B"/>
    <w:rsid w:val="00E135D5"/>
    <w:rsid w:val="00E1364E"/>
    <w:rsid w:val="00E13677"/>
    <w:rsid w:val="00E1371F"/>
    <w:rsid w:val="00E137FC"/>
    <w:rsid w:val="00E13A5A"/>
    <w:rsid w:val="00E13B4F"/>
    <w:rsid w:val="00E13B7E"/>
    <w:rsid w:val="00E13C01"/>
    <w:rsid w:val="00E13C47"/>
    <w:rsid w:val="00E13C80"/>
    <w:rsid w:val="00E13CBB"/>
    <w:rsid w:val="00E13D1C"/>
    <w:rsid w:val="00E13E55"/>
    <w:rsid w:val="00E13E6B"/>
    <w:rsid w:val="00E13E75"/>
    <w:rsid w:val="00E13EA6"/>
    <w:rsid w:val="00E13EC2"/>
    <w:rsid w:val="00E13F64"/>
    <w:rsid w:val="00E1409B"/>
    <w:rsid w:val="00E141A3"/>
    <w:rsid w:val="00E141C2"/>
    <w:rsid w:val="00E1422B"/>
    <w:rsid w:val="00E1429E"/>
    <w:rsid w:val="00E143AD"/>
    <w:rsid w:val="00E143E0"/>
    <w:rsid w:val="00E14454"/>
    <w:rsid w:val="00E144D5"/>
    <w:rsid w:val="00E14503"/>
    <w:rsid w:val="00E1465B"/>
    <w:rsid w:val="00E14689"/>
    <w:rsid w:val="00E147B6"/>
    <w:rsid w:val="00E148A2"/>
    <w:rsid w:val="00E14A21"/>
    <w:rsid w:val="00E14A7A"/>
    <w:rsid w:val="00E14B35"/>
    <w:rsid w:val="00E14B9F"/>
    <w:rsid w:val="00E14BCC"/>
    <w:rsid w:val="00E14BDA"/>
    <w:rsid w:val="00E14C49"/>
    <w:rsid w:val="00E14CA4"/>
    <w:rsid w:val="00E14D53"/>
    <w:rsid w:val="00E14EB7"/>
    <w:rsid w:val="00E14F24"/>
    <w:rsid w:val="00E15041"/>
    <w:rsid w:val="00E1519C"/>
    <w:rsid w:val="00E151A1"/>
    <w:rsid w:val="00E1522F"/>
    <w:rsid w:val="00E1525B"/>
    <w:rsid w:val="00E1528A"/>
    <w:rsid w:val="00E1537E"/>
    <w:rsid w:val="00E153C7"/>
    <w:rsid w:val="00E15439"/>
    <w:rsid w:val="00E15443"/>
    <w:rsid w:val="00E15454"/>
    <w:rsid w:val="00E154FE"/>
    <w:rsid w:val="00E15509"/>
    <w:rsid w:val="00E1550B"/>
    <w:rsid w:val="00E15526"/>
    <w:rsid w:val="00E155E9"/>
    <w:rsid w:val="00E15675"/>
    <w:rsid w:val="00E15762"/>
    <w:rsid w:val="00E15875"/>
    <w:rsid w:val="00E159A1"/>
    <w:rsid w:val="00E15AC4"/>
    <w:rsid w:val="00E15B6D"/>
    <w:rsid w:val="00E15CAD"/>
    <w:rsid w:val="00E15CCC"/>
    <w:rsid w:val="00E15CFE"/>
    <w:rsid w:val="00E15EB8"/>
    <w:rsid w:val="00E15F30"/>
    <w:rsid w:val="00E15F33"/>
    <w:rsid w:val="00E160FD"/>
    <w:rsid w:val="00E161BD"/>
    <w:rsid w:val="00E16298"/>
    <w:rsid w:val="00E163D3"/>
    <w:rsid w:val="00E16414"/>
    <w:rsid w:val="00E16452"/>
    <w:rsid w:val="00E16503"/>
    <w:rsid w:val="00E165C2"/>
    <w:rsid w:val="00E16616"/>
    <w:rsid w:val="00E1664D"/>
    <w:rsid w:val="00E166ED"/>
    <w:rsid w:val="00E166FC"/>
    <w:rsid w:val="00E16786"/>
    <w:rsid w:val="00E168F5"/>
    <w:rsid w:val="00E169F3"/>
    <w:rsid w:val="00E16A3E"/>
    <w:rsid w:val="00E16A54"/>
    <w:rsid w:val="00E16B61"/>
    <w:rsid w:val="00E16C4E"/>
    <w:rsid w:val="00E16C8E"/>
    <w:rsid w:val="00E16CDE"/>
    <w:rsid w:val="00E16D14"/>
    <w:rsid w:val="00E16D65"/>
    <w:rsid w:val="00E16D92"/>
    <w:rsid w:val="00E16E18"/>
    <w:rsid w:val="00E16E40"/>
    <w:rsid w:val="00E16E68"/>
    <w:rsid w:val="00E16F7E"/>
    <w:rsid w:val="00E17054"/>
    <w:rsid w:val="00E17071"/>
    <w:rsid w:val="00E170C1"/>
    <w:rsid w:val="00E17179"/>
    <w:rsid w:val="00E172DB"/>
    <w:rsid w:val="00E1740B"/>
    <w:rsid w:val="00E174CB"/>
    <w:rsid w:val="00E1758A"/>
    <w:rsid w:val="00E1764E"/>
    <w:rsid w:val="00E176B3"/>
    <w:rsid w:val="00E177D5"/>
    <w:rsid w:val="00E17840"/>
    <w:rsid w:val="00E17876"/>
    <w:rsid w:val="00E17CED"/>
    <w:rsid w:val="00E17DC8"/>
    <w:rsid w:val="00E20041"/>
    <w:rsid w:val="00E2004B"/>
    <w:rsid w:val="00E200CC"/>
    <w:rsid w:val="00E201A2"/>
    <w:rsid w:val="00E201A4"/>
    <w:rsid w:val="00E201C0"/>
    <w:rsid w:val="00E201C7"/>
    <w:rsid w:val="00E202B1"/>
    <w:rsid w:val="00E20553"/>
    <w:rsid w:val="00E2063B"/>
    <w:rsid w:val="00E20695"/>
    <w:rsid w:val="00E20780"/>
    <w:rsid w:val="00E207D0"/>
    <w:rsid w:val="00E2098C"/>
    <w:rsid w:val="00E209E3"/>
    <w:rsid w:val="00E209ED"/>
    <w:rsid w:val="00E20AD1"/>
    <w:rsid w:val="00E20B2A"/>
    <w:rsid w:val="00E20B95"/>
    <w:rsid w:val="00E20BA5"/>
    <w:rsid w:val="00E20BC6"/>
    <w:rsid w:val="00E20BF5"/>
    <w:rsid w:val="00E20DB6"/>
    <w:rsid w:val="00E20F99"/>
    <w:rsid w:val="00E21036"/>
    <w:rsid w:val="00E2105E"/>
    <w:rsid w:val="00E2111A"/>
    <w:rsid w:val="00E211F1"/>
    <w:rsid w:val="00E212A3"/>
    <w:rsid w:val="00E21304"/>
    <w:rsid w:val="00E214B7"/>
    <w:rsid w:val="00E21693"/>
    <w:rsid w:val="00E2176E"/>
    <w:rsid w:val="00E2197B"/>
    <w:rsid w:val="00E219AA"/>
    <w:rsid w:val="00E219FC"/>
    <w:rsid w:val="00E21A3C"/>
    <w:rsid w:val="00E21AFB"/>
    <w:rsid w:val="00E21D6A"/>
    <w:rsid w:val="00E21DCE"/>
    <w:rsid w:val="00E21E06"/>
    <w:rsid w:val="00E2209B"/>
    <w:rsid w:val="00E2211B"/>
    <w:rsid w:val="00E22185"/>
    <w:rsid w:val="00E22198"/>
    <w:rsid w:val="00E222E8"/>
    <w:rsid w:val="00E222EE"/>
    <w:rsid w:val="00E2234B"/>
    <w:rsid w:val="00E2234E"/>
    <w:rsid w:val="00E223D8"/>
    <w:rsid w:val="00E22514"/>
    <w:rsid w:val="00E22544"/>
    <w:rsid w:val="00E225ED"/>
    <w:rsid w:val="00E228A9"/>
    <w:rsid w:val="00E228C6"/>
    <w:rsid w:val="00E2293C"/>
    <w:rsid w:val="00E22B08"/>
    <w:rsid w:val="00E22B52"/>
    <w:rsid w:val="00E22BC0"/>
    <w:rsid w:val="00E22C0B"/>
    <w:rsid w:val="00E22C88"/>
    <w:rsid w:val="00E22CE8"/>
    <w:rsid w:val="00E22E8A"/>
    <w:rsid w:val="00E22FDA"/>
    <w:rsid w:val="00E2315B"/>
    <w:rsid w:val="00E231AF"/>
    <w:rsid w:val="00E231D4"/>
    <w:rsid w:val="00E2328A"/>
    <w:rsid w:val="00E23351"/>
    <w:rsid w:val="00E233E3"/>
    <w:rsid w:val="00E233E8"/>
    <w:rsid w:val="00E23633"/>
    <w:rsid w:val="00E236A4"/>
    <w:rsid w:val="00E2381D"/>
    <w:rsid w:val="00E239CB"/>
    <w:rsid w:val="00E23CE1"/>
    <w:rsid w:val="00E23D54"/>
    <w:rsid w:val="00E23D7D"/>
    <w:rsid w:val="00E23E08"/>
    <w:rsid w:val="00E23E40"/>
    <w:rsid w:val="00E24051"/>
    <w:rsid w:val="00E240A3"/>
    <w:rsid w:val="00E240FA"/>
    <w:rsid w:val="00E24232"/>
    <w:rsid w:val="00E24249"/>
    <w:rsid w:val="00E24251"/>
    <w:rsid w:val="00E24260"/>
    <w:rsid w:val="00E24443"/>
    <w:rsid w:val="00E2458A"/>
    <w:rsid w:val="00E24590"/>
    <w:rsid w:val="00E24699"/>
    <w:rsid w:val="00E24734"/>
    <w:rsid w:val="00E24791"/>
    <w:rsid w:val="00E2489E"/>
    <w:rsid w:val="00E249AC"/>
    <w:rsid w:val="00E249EF"/>
    <w:rsid w:val="00E249F9"/>
    <w:rsid w:val="00E24A4C"/>
    <w:rsid w:val="00E24AA2"/>
    <w:rsid w:val="00E24AED"/>
    <w:rsid w:val="00E24B5B"/>
    <w:rsid w:val="00E24D91"/>
    <w:rsid w:val="00E24E9B"/>
    <w:rsid w:val="00E24EA4"/>
    <w:rsid w:val="00E24EC7"/>
    <w:rsid w:val="00E251AE"/>
    <w:rsid w:val="00E251B4"/>
    <w:rsid w:val="00E25209"/>
    <w:rsid w:val="00E25222"/>
    <w:rsid w:val="00E252AA"/>
    <w:rsid w:val="00E253AD"/>
    <w:rsid w:val="00E253AE"/>
    <w:rsid w:val="00E253C2"/>
    <w:rsid w:val="00E25427"/>
    <w:rsid w:val="00E254DB"/>
    <w:rsid w:val="00E25566"/>
    <w:rsid w:val="00E255D3"/>
    <w:rsid w:val="00E2562C"/>
    <w:rsid w:val="00E25715"/>
    <w:rsid w:val="00E258A2"/>
    <w:rsid w:val="00E2595A"/>
    <w:rsid w:val="00E2598E"/>
    <w:rsid w:val="00E259AA"/>
    <w:rsid w:val="00E259C3"/>
    <w:rsid w:val="00E25A83"/>
    <w:rsid w:val="00E25ACB"/>
    <w:rsid w:val="00E25C4D"/>
    <w:rsid w:val="00E25C76"/>
    <w:rsid w:val="00E25CA9"/>
    <w:rsid w:val="00E25D31"/>
    <w:rsid w:val="00E25D8C"/>
    <w:rsid w:val="00E2600F"/>
    <w:rsid w:val="00E26038"/>
    <w:rsid w:val="00E260CA"/>
    <w:rsid w:val="00E260CE"/>
    <w:rsid w:val="00E26100"/>
    <w:rsid w:val="00E2639E"/>
    <w:rsid w:val="00E263EB"/>
    <w:rsid w:val="00E26423"/>
    <w:rsid w:val="00E2646F"/>
    <w:rsid w:val="00E265E9"/>
    <w:rsid w:val="00E265F2"/>
    <w:rsid w:val="00E26643"/>
    <w:rsid w:val="00E266D4"/>
    <w:rsid w:val="00E267AD"/>
    <w:rsid w:val="00E26816"/>
    <w:rsid w:val="00E26948"/>
    <w:rsid w:val="00E26A41"/>
    <w:rsid w:val="00E26AB9"/>
    <w:rsid w:val="00E26AF3"/>
    <w:rsid w:val="00E26B0D"/>
    <w:rsid w:val="00E26B76"/>
    <w:rsid w:val="00E26EF8"/>
    <w:rsid w:val="00E26EFD"/>
    <w:rsid w:val="00E26F3A"/>
    <w:rsid w:val="00E27017"/>
    <w:rsid w:val="00E27175"/>
    <w:rsid w:val="00E271BC"/>
    <w:rsid w:val="00E27244"/>
    <w:rsid w:val="00E272BC"/>
    <w:rsid w:val="00E272E3"/>
    <w:rsid w:val="00E27303"/>
    <w:rsid w:val="00E27310"/>
    <w:rsid w:val="00E275DF"/>
    <w:rsid w:val="00E2765C"/>
    <w:rsid w:val="00E276FC"/>
    <w:rsid w:val="00E276FF"/>
    <w:rsid w:val="00E277DF"/>
    <w:rsid w:val="00E27848"/>
    <w:rsid w:val="00E27855"/>
    <w:rsid w:val="00E27863"/>
    <w:rsid w:val="00E279C8"/>
    <w:rsid w:val="00E27A06"/>
    <w:rsid w:val="00E27A4D"/>
    <w:rsid w:val="00E27A54"/>
    <w:rsid w:val="00E27A84"/>
    <w:rsid w:val="00E27D42"/>
    <w:rsid w:val="00E27E74"/>
    <w:rsid w:val="00E27E95"/>
    <w:rsid w:val="00E27ED9"/>
    <w:rsid w:val="00E27F21"/>
    <w:rsid w:val="00E27F24"/>
    <w:rsid w:val="00E2A2EA"/>
    <w:rsid w:val="00E300D2"/>
    <w:rsid w:val="00E3019C"/>
    <w:rsid w:val="00E302A7"/>
    <w:rsid w:val="00E302B0"/>
    <w:rsid w:val="00E303B8"/>
    <w:rsid w:val="00E303F9"/>
    <w:rsid w:val="00E3043F"/>
    <w:rsid w:val="00E30545"/>
    <w:rsid w:val="00E305C2"/>
    <w:rsid w:val="00E307FA"/>
    <w:rsid w:val="00E30832"/>
    <w:rsid w:val="00E30834"/>
    <w:rsid w:val="00E308AA"/>
    <w:rsid w:val="00E308C3"/>
    <w:rsid w:val="00E30955"/>
    <w:rsid w:val="00E30A57"/>
    <w:rsid w:val="00E30A5F"/>
    <w:rsid w:val="00E30B2B"/>
    <w:rsid w:val="00E30B6F"/>
    <w:rsid w:val="00E30CDA"/>
    <w:rsid w:val="00E30DB4"/>
    <w:rsid w:val="00E30EA0"/>
    <w:rsid w:val="00E30F65"/>
    <w:rsid w:val="00E30FA3"/>
    <w:rsid w:val="00E31010"/>
    <w:rsid w:val="00E31174"/>
    <w:rsid w:val="00E3119B"/>
    <w:rsid w:val="00E311CE"/>
    <w:rsid w:val="00E313C8"/>
    <w:rsid w:val="00E31495"/>
    <w:rsid w:val="00E314B6"/>
    <w:rsid w:val="00E314E9"/>
    <w:rsid w:val="00E31519"/>
    <w:rsid w:val="00E316AB"/>
    <w:rsid w:val="00E317E5"/>
    <w:rsid w:val="00E3187F"/>
    <w:rsid w:val="00E31A40"/>
    <w:rsid w:val="00E31B7D"/>
    <w:rsid w:val="00E31C19"/>
    <w:rsid w:val="00E31E45"/>
    <w:rsid w:val="00E31E91"/>
    <w:rsid w:val="00E31EAC"/>
    <w:rsid w:val="00E31EB8"/>
    <w:rsid w:val="00E31F17"/>
    <w:rsid w:val="00E31FEE"/>
    <w:rsid w:val="00E32069"/>
    <w:rsid w:val="00E3209E"/>
    <w:rsid w:val="00E320DF"/>
    <w:rsid w:val="00E32241"/>
    <w:rsid w:val="00E32282"/>
    <w:rsid w:val="00E323F6"/>
    <w:rsid w:val="00E3242E"/>
    <w:rsid w:val="00E324F5"/>
    <w:rsid w:val="00E32546"/>
    <w:rsid w:val="00E326C2"/>
    <w:rsid w:val="00E326EA"/>
    <w:rsid w:val="00E32726"/>
    <w:rsid w:val="00E32841"/>
    <w:rsid w:val="00E328DB"/>
    <w:rsid w:val="00E328E5"/>
    <w:rsid w:val="00E32A53"/>
    <w:rsid w:val="00E32AE9"/>
    <w:rsid w:val="00E32BCC"/>
    <w:rsid w:val="00E32C0C"/>
    <w:rsid w:val="00E32D10"/>
    <w:rsid w:val="00E32DEF"/>
    <w:rsid w:val="00E32E35"/>
    <w:rsid w:val="00E32E36"/>
    <w:rsid w:val="00E32E67"/>
    <w:rsid w:val="00E32EF8"/>
    <w:rsid w:val="00E32F6E"/>
    <w:rsid w:val="00E32FE5"/>
    <w:rsid w:val="00E33019"/>
    <w:rsid w:val="00E33060"/>
    <w:rsid w:val="00E3313A"/>
    <w:rsid w:val="00E331AC"/>
    <w:rsid w:val="00E33204"/>
    <w:rsid w:val="00E332FA"/>
    <w:rsid w:val="00E333D3"/>
    <w:rsid w:val="00E33401"/>
    <w:rsid w:val="00E33439"/>
    <w:rsid w:val="00E334FE"/>
    <w:rsid w:val="00E33521"/>
    <w:rsid w:val="00E3357B"/>
    <w:rsid w:val="00E335CA"/>
    <w:rsid w:val="00E335D9"/>
    <w:rsid w:val="00E3362E"/>
    <w:rsid w:val="00E336C9"/>
    <w:rsid w:val="00E33739"/>
    <w:rsid w:val="00E33771"/>
    <w:rsid w:val="00E337DC"/>
    <w:rsid w:val="00E33823"/>
    <w:rsid w:val="00E33AD0"/>
    <w:rsid w:val="00E33ADF"/>
    <w:rsid w:val="00E33AFF"/>
    <w:rsid w:val="00E33BD1"/>
    <w:rsid w:val="00E33BD7"/>
    <w:rsid w:val="00E33D0F"/>
    <w:rsid w:val="00E33E22"/>
    <w:rsid w:val="00E33F5D"/>
    <w:rsid w:val="00E33FE0"/>
    <w:rsid w:val="00E34018"/>
    <w:rsid w:val="00E340B1"/>
    <w:rsid w:val="00E3415A"/>
    <w:rsid w:val="00E34219"/>
    <w:rsid w:val="00E34223"/>
    <w:rsid w:val="00E342A4"/>
    <w:rsid w:val="00E342DF"/>
    <w:rsid w:val="00E34318"/>
    <w:rsid w:val="00E34496"/>
    <w:rsid w:val="00E345B5"/>
    <w:rsid w:val="00E3461A"/>
    <w:rsid w:val="00E346FB"/>
    <w:rsid w:val="00E34AF3"/>
    <w:rsid w:val="00E34B70"/>
    <w:rsid w:val="00E34BD6"/>
    <w:rsid w:val="00E34C3C"/>
    <w:rsid w:val="00E34CBA"/>
    <w:rsid w:val="00E34EB5"/>
    <w:rsid w:val="00E34F0A"/>
    <w:rsid w:val="00E34F45"/>
    <w:rsid w:val="00E35136"/>
    <w:rsid w:val="00E352B1"/>
    <w:rsid w:val="00E352C7"/>
    <w:rsid w:val="00E3548B"/>
    <w:rsid w:val="00E35555"/>
    <w:rsid w:val="00E35556"/>
    <w:rsid w:val="00E3556C"/>
    <w:rsid w:val="00E35586"/>
    <w:rsid w:val="00E35607"/>
    <w:rsid w:val="00E35689"/>
    <w:rsid w:val="00E358AB"/>
    <w:rsid w:val="00E3595A"/>
    <w:rsid w:val="00E35A02"/>
    <w:rsid w:val="00E35A04"/>
    <w:rsid w:val="00E35A7C"/>
    <w:rsid w:val="00E35A9A"/>
    <w:rsid w:val="00E35AA1"/>
    <w:rsid w:val="00E35C06"/>
    <w:rsid w:val="00E35C08"/>
    <w:rsid w:val="00E35C1D"/>
    <w:rsid w:val="00E35C33"/>
    <w:rsid w:val="00E35CB0"/>
    <w:rsid w:val="00E35E5A"/>
    <w:rsid w:val="00E35E7B"/>
    <w:rsid w:val="00E35EDC"/>
    <w:rsid w:val="00E36094"/>
    <w:rsid w:val="00E360C0"/>
    <w:rsid w:val="00E36190"/>
    <w:rsid w:val="00E361B1"/>
    <w:rsid w:val="00E36225"/>
    <w:rsid w:val="00E36292"/>
    <w:rsid w:val="00E36519"/>
    <w:rsid w:val="00E365D7"/>
    <w:rsid w:val="00E3666D"/>
    <w:rsid w:val="00E36672"/>
    <w:rsid w:val="00E366A6"/>
    <w:rsid w:val="00E368F4"/>
    <w:rsid w:val="00E369FC"/>
    <w:rsid w:val="00E36A53"/>
    <w:rsid w:val="00E36A72"/>
    <w:rsid w:val="00E36BAC"/>
    <w:rsid w:val="00E36BE8"/>
    <w:rsid w:val="00E36BF6"/>
    <w:rsid w:val="00E36E74"/>
    <w:rsid w:val="00E37047"/>
    <w:rsid w:val="00E37080"/>
    <w:rsid w:val="00E3709D"/>
    <w:rsid w:val="00E3710D"/>
    <w:rsid w:val="00E371A4"/>
    <w:rsid w:val="00E3736F"/>
    <w:rsid w:val="00E37442"/>
    <w:rsid w:val="00E37443"/>
    <w:rsid w:val="00E37452"/>
    <w:rsid w:val="00E374DC"/>
    <w:rsid w:val="00E375F6"/>
    <w:rsid w:val="00E376F1"/>
    <w:rsid w:val="00E376F3"/>
    <w:rsid w:val="00E3780E"/>
    <w:rsid w:val="00E37844"/>
    <w:rsid w:val="00E378D2"/>
    <w:rsid w:val="00E37A59"/>
    <w:rsid w:val="00E37ABE"/>
    <w:rsid w:val="00E37B65"/>
    <w:rsid w:val="00E37BD7"/>
    <w:rsid w:val="00E37C68"/>
    <w:rsid w:val="00E37E5C"/>
    <w:rsid w:val="00E37F73"/>
    <w:rsid w:val="00E37FF4"/>
    <w:rsid w:val="00E4004F"/>
    <w:rsid w:val="00E40076"/>
    <w:rsid w:val="00E400FF"/>
    <w:rsid w:val="00E40153"/>
    <w:rsid w:val="00E40180"/>
    <w:rsid w:val="00E401F5"/>
    <w:rsid w:val="00E40287"/>
    <w:rsid w:val="00E402BF"/>
    <w:rsid w:val="00E40312"/>
    <w:rsid w:val="00E4037E"/>
    <w:rsid w:val="00E40574"/>
    <w:rsid w:val="00E4061F"/>
    <w:rsid w:val="00E40686"/>
    <w:rsid w:val="00E407B9"/>
    <w:rsid w:val="00E407C8"/>
    <w:rsid w:val="00E4084B"/>
    <w:rsid w:val="00E4093F"/>
    <w:rsid w:val="00E40947"/>
    <w:rsid w:val="00E4094B"/>
    <w:rsid w:val="00E40A55"/>
    <w:rsid w:val="00E40AB9"/>
    <w:rsid w:val="00E40B0A"/>
    <w:rsid w:val="00E40B26"/>
    <w:rsid w:val="00E40B48"/>
    <w:rsid w:val="00E40C76"/>
    <w:rsid w:val="00E40DE7"/>
    <w:rsid w:val="00E40E04"/>
    <w:rsid w:val="00E40E0C"/>
    <w:rsid w:val="00E40E56"/>
    <w:rsid w:val="00E40E7D"/>
    <w:rsid w:val="00E40FAA"/>
    <w:rsid w:val="00E40FF8"/>
    <w:rsid w:val="00E41096"/>
    <w:rsid w:val="00E41121"/>
    <w:rsid w:val="00E411D3"/>
    <w:rsid w:val="00E4127D"/>
    <w:rsid w:val="00E4129F"/>
    <w:rsid w:val="00E41326"/>
    <w:rsid w:val="00E41328"/>
    <w:rsid w:val="00E4136F"/>
    <w:rsid w:val="00E4139E"/>
    <w:rsid w:val="00E413DC"/>
    <w:rsid w:val="00E414FF"/>
    <w:rsid w:val="00E4157C"/>
    <w:rsid w:val="00E4163D"/>
    <w:rsid w:val="00E41640"/>
    <w:rsid w:val="00E41720"/>
    <w:rsid w:val="00E417A4"/>
    <w:rsid w:val="00E4186C"/>
    <w:rsid w:val="00E418EE"/>
    <w:rsid w:val="00E41912"/>
    <w:rsid w:val="00E419A7"/>
    <w:rsid w:val="00E419ED"/>
    <w:rsid w:val="00E41A03"/>
    <w:rsid w:val="00E41B63"/>
    <w:rsid w:val="00E41BA3"/>
    <w:rsid w:val="00E41BDE"/>
    <w:rsid w:val="00E41BEE"/>
    <w:rsid w:val="00E41BFE"/>
    <w:rsid w:val="00E41CF5"/>
    <w:rsid w:val="00E41F69"/>
    <w:rsid w:val="00E42042"/>
    <w:rsid w:val="00E420B0"/>
    <w:rsid w:val="00E420D2"/>
    <w:rsid w:val="00E42212"/>
    <w:rsid w:val="00E4222A"/>
    <w:rsid w:val="00E4230D"/>
    <w:rsid w:val="00E42334"/>
    <w:rsid w:val="00E4233F"/>
    <w:rsid w:val="00E42374"/>
    <w:rsid w:val="00E42380"/>
    <w:rsid w:val="00E4241E"/>
    <w:rsid w:val="00E4247E"/>
    <w:rsid w:val="00E42484"/>
    <w:rsid w:val="00E4251A"/>
    <w:rsid w:val="00E4253A"/>
    <w:rsid w:val="00E42553"/>
    <w:rsid w:val="00E425A6"/>
    <w:rsid w:val="00E42750"/>
    <w:rsid w:val="00E4278C"/>
    <w:rsid w:val="00E42844"/>
    <w:rsid w:val="00E42869"/>
    <w:rsid w:val="00E428B0"/>
    <w:rsid w:val="00E42A53"/>
    <w:rsid w:val="00E42C7E"/>
    <w:rsid w:val="00E42CE2"/>
    <w:rsid w:val="00E42DEC"/>
    <w:rsid w:val="00E42EB4"/>
    <w:rsid w:val="00E42FAA"/>
    <w:rsid w:val="00E43022"/>
    <w:rsid w:val="00E4304C"/>
    <w:rsid w:val="00E4304D"/>
    <w:rsid w:val="00E431D5"/>
    <w:rsid w:val="00E4321C"/>
    <w:rsid w:val="00E43230"/>
    <w:rsid w:val="00E43312"/>
    <w:rsid w:val="00E4332A"/>
    <w:rsid w:val="00E4335E"/>
    <w:rsid w:val="00E433D9"/>
    <w:rsid w:val="00E4342A"/>
    <w:rsid w:val="00E4355E"/>
    <w:rsid w:val="00E43591"/>
    <w:rsid w:val="00E43597"/>
    <w:rsid w:val="00E4362C"/>
    <w:rsid w:val="00E43790"/>
    <w:rsid w:val="00E437D1"/>
    <w:rsid w:val="00E43867"/>
    <w:rsid w:val="00E439C4"/>
    <w:rsid w:val="00E439F8"/>
    <w:rsid w:val="00E43A56"/>
    <w:rsid w:val="00E43A75"/>
    <w:rsid w:val="00E43A7F"/>
    <w:rsid w:val="00E43AA2"/>
    <w:rsid w:val="00E43AED"/>
    <w:rsid w:val="00E43B18"/>
    <w:rsid w:val="00E43B27"/>
    <w:rsid w:val="00E43B4A"/>
    <w:rsid w:val="00E43F88"/>
    <w:rsid w:val="00E44151"/>
    <w:rsid w:val="00E44192"/>
    <w:rsid w:val="00E441B9"/>
    <w:rsid w:val="00E4425F"/>
    <w:rsid w:val="00E4427E"/>
    <w:rsid w:val="00E442B7"/>
    <w:rsid w:val="00E44308"/>
    <w:rsid w:val="00E44410"/>
    <w:rsid w:val="00E44468"/>
    <w:rsid w:val="00E44528"/>
    <w:rsid w:val="00E4452D"/>
    <w:rsid w:val="00E4453B"/>
    <w:rsid w:val="00E44690"/>
    <w:rsid w:val="00E446D4"/>
    <w:rsid w:val="00E44812"/>
    <w:rsid w:val="00E4497F"/>
    <w:rsid w:val="00E4499F"/>
    <w:rsid w:val="00E449DD"/>
    <w:rsid w:val="00E44A3E"/>
    <w:rsid w:val="00E44B3B"/>
    <w:rsid w:val="00E44CDC"/>
    <w:rsid w:val="00E44D04"/>
    <w:rsid w:val="00E44D97"/>
    <w:rsid w:val="00E44DC2"/>
    <w:rsid w:val="00E44E03"/>
    <w:rsid w:val="00E44ED5"/>
    <w:rsid w:val="00E44EFF"/>
    <w:rsid w:val="00E44F28"/>
    <w:rsid w:val="00E44F60"/>
    <w:rsid w:val="00E44F7D"/>
    <w:rsid w:val="00E45015"/>
    <w:rsid w:val="00E45054"/>
    <w:rsid w:val="00E4506A"/>
    <w:rsid w:val="00E45122"/>
    <w:rsid w:val="00E451DC"/>
    <w:rsid w:val="00E451F6"/>
    <w:rsid w:val="00E45283"/>
    <w:rsid w:val="00E452F3"/>
    <w:rsid w:val="00E4530B"/>
    <w:rsid w:val="00E4531D"/>
    <w:rsid w:val="00E45496"/>
    <w:rsid w:val="00E454C8"/>
    <w:rsid w:val="00E45508"/>
    <w:rsid w:val="00E45542"/>
    <w:rsid w:val="00E455BF"/>
    <w:rsid w:val="00E4574C"/>
    <w:rsid w:val="00E45795"/>
    <w:rsid w:val="00E457A1"/>
    <w:rsid w:val="00E457A5"/>
    <w:rsid w:val="00E4584D"/>
    <w:rsid w:val="00E45855"/>
    <w:rsid w:val="00E45898"/>
    <w:rsid w:val="00E458CA"/>
    <w:rsid w:val="00E459B3"/>
    <w:rsid w:val="00E45A3B"/>
    <w:rsid w:val="00E45BBA"/>
    <w:rsid w:val="00E45C3C"/>
    <w:rsid w:val="00E45DBA"/>
    <w:rsid w:val="00E45EDE"/>
    <w:rsid w:val="00E45F1B"/>
    <w:rsid w:val="00E45F27"/>
    <w:rsid w:val="00E46037"/>
    <w:rsid w:val="00E460D4"/>
    <w:rsid w:val="00E461AD"/>
    <w:rsid w:val="00E46221"/>
    <w:rsid w:val="00E46242"/>
    <w:rsid w:val="00E463A8"/>
    <w:rsid w:val="00E463AF"/>
    <w:rsid w:val="00E46470"/>
    <w:rsid w:val="00E46537"/>
    <w:rsid w:val="00E4662E"/>
    <w:rsid w:val="00E467BF"/>
    <w:rsid w:val="00E46843"/>
    <w:rsid w:val="00E468A9"/>
    <w:rsid w:val="00E46909"/>
    <w:rsid w:val="00E469BF"/>
    <w:rsid w:val="00E46A01"/>
    <w:rsid w:val="00E46A31"/>
    <w:rsid w:val="00E46A80"/>
    <w:rsid w:val="00E46ABD"/>
    <w:rsid w:val="00E46BB7"/>
    <w:rsid w:val="00E46C06"/>
    <w:rsid w:val="00E46C21"/>
    <w:rsid w:val="00E46C93"/>
    <w:rsid w:val="00E46CA1"/>
    <w:rsid w:val="00E46CBE"/>
    <w:rsid w:val="00E46D1B"/>
    <w:rsid w:val="00E46D48"/>
    <w:rsid w:val="00E46D5B"/>
    <w:rsid w:val="00E46DE4"/>
    <w:rsid w:val="00E46ECE"/>
    <w:rsid w:val="00E46F3D"/>
    <w:rsid w:val="00E46F7B"/>
    <w:rsid w:val="00E46FA7"/>
    <w:rsid w:val="00E46FCA"/>
    <w:rsid w:val="00E47095"/>
    <w:rsid w:val="00E472A4"/>
    <w:rsid w:val="00E47328"/>
    <w:rsid w:val="00E47370"/>
    <w:rsid w:val="00E4739A"/>
    <w:rsid w:val="00E473C2"/>
    <w:rsid w:val="00E474EC"/>
    <w:rsid w:val="00E47518"/>
    <w:rsid w:val="00E47572"/>
    <w:rsid w:val="00E475DD"/>
    <w:rsid w:val="00E47695"/>
    <w:rsid w:val="00E476DA"/>
    <w:rsid w:val="00E47719"/>
    <w:rsid w:val="00E47730"/>
    <w:rsid w:val="00E477E6"/>
    <w:rsid w:val="00E478ED"/>
    <w:rsid w:val="00E47957"/>
    <w:rsid w:val="00E479A2"/>
    <w:rsid w:val="00E479C6"/>
    <w:rsid w:val="00E479CC"/>
    <w:rsid w:val="00E47B94"/>
    <w:rsid w:val="00E47BBA"/>
    <w:rsid w:val="00E47CD7"/>
    <w:rsid w:val="00E47E43"/>
    <w:rsid w:val="00E47F01"/>
    <w:rsid w:val="00E47F37"/>
    <w:rsid w:val="00E47F5C"/>
    <w:rsid w:val="00E47F79"/>
    <w:rsid w:val="00E47FD5"/>
    <w:rsid w:val="00E50045"/>
    <w:rsid w:val="00E500D1"/>
    <w:rsid w:val="00E50213"/>
    <w:rsid w:val="00E5023C"/>
    <w:rsid w:val="00E50284"/>
    <w:rsid w:val="00E50338"/>
    <w:rsid w:val="00E50362"/>
    <w:rsid w:val="00E50394"/>
    <w:rsid w:val="00E503A6"/>
    <w:rsid w:val="00E503F3"/>
    <w:rsid w:val="00E5044A"/>
    <w:rsid w:val="00E5052E"/>
    <w:rsid w:val="00E50555"/>
    <w:rsid w:val="00E5058C"/>
    <w:rsid w:val="00E50645"/>
    <w:rsid w:val="00E506FC"/>
    <w:rsid w:val="00E50782"/>
    <w:rsid w:val="00E50791"/>
    <w:rsid w:val="00E50821"/>
    <w:rsid w:val="00E5086F"/>
    <w:rsid w:val="00E508A8"/>
    <w:rsid w:val="00E508F0"/>
    <w:rsid w:val="00E50903"/>
    <w:rsid w:val="00E509AC"/>
    <w:rsid w:val="00E50AF3"/>
    <w:rsid w:val="00E50B35"/>
    <w:rsid w:val="00E50B60"/>
    <w:rsid w:val="00E50C30"/>
    <w:rsid w:val="00E50C96"/>
    <w:rsid w:val="00E50D19"/>
    <w:rsid w:val="00E50D42"/>
    <w:rsid w:val="00E50D58"/>
    <w:rsid w:val="00E50E10"/>
    <w:rsid w:val="00E50EE9"/>
    <w:rsid w:val="00E50EED"/>
    <w:rsid w:val="00E50F27"/>
    <w:rsid w:val="00E51257"/>
    <w:rsid w:val="00E51307"/>
    <w:rsid w:val="00E513EF"/>
    <w:rsid w:val="00E5140F"/>
    <w:rsid w:val="00E514DD"/>
    <w:rsid w:val="00E515F4"/>
    <w:rsid w:val="00E5160B"/>
    <w:rsid w:val="00E5160F"/>
    <w:rsid w:val="00E5178A"/>
    <w:rsid w:val="00E51968"/>
    <w:rsid w:val="00E519D6"/>
    <w:rsid w:val="00E51A78"/>
    <w:rsid w:val="00E51AB2"/>
    <w:rsid w:val="00E51B53"/>
    <w:rsid w:val="00E51B54"/>
    <w:rsid w:val="00E51C86"/>
    <w:rsid w:val="00E51CCF"/>
    <w:rsid w:val="00E51CDE"/>
    <w:rsid w:val="00E51D32"/>
    <w:rsid w:val="00E51D98"/>
    <w:rsid w:val="00E51E87"/>
    <w:rsid w:val="00E5202E"/>
    <w:rsid w:val="00E521E1"/>
    <w:rsid w:val="00E5236C"/>
    <w:rsid w:val="00E52390"/>
    <w:rsid w:val="00E5240C"/>
    <w:rsid w:val="00E52419"/>
    <w:rsid w:val="00E5253F"/>
    <w:rsid w:val="00E52565"/>
    <w:rsid w:val="00E5260C"/>
    <w:rsid w:val="00E526EB"/>
    <w:rsid w:val="00E526FD"/>
    <w:rsid w:val="00E52704"/>
    <w:rsid w:val="00E527D4"/>
    <w:rsid w:val="00E52818"/>
    <w:rsid w:val="00E52957"/>
    <w:rsid w:val="00E529AD"/>
    <w:rsid w:val="00E52AF3"/>
    <w:rsid w:val="00E52C6A"/>
    <w:rsid w:val="00E52CC2"/>
    <w:rsid w:val="00E52D51"/>
    <w:rsid w:val="00E52DB3"/>
    <w:rsid w:val="00E52E4D"/>
    <w:rsid w:val="00E52E6F"/>
    <w:rsid w:val="00E52F02"/>
    <w:rsid w:val="00E52F17"/>
    <w:rsid w:val="00E52FDE"/>
    <w:rsid w:val="00E5300A"/>
    <w:rsid w:val="00E53169"/>
    <w:rsid w:val="00E53186"/>
    <w:rsid w:val="00E53358"/>
    <w:rsid w:val="00E53372"/>
    <w:rsid w:val="00E533DD"/>
    <w:rsid w:val="00E53407"/>
    <w:rsid w:val="00E5347D"/>
    <w:rsid w:val="00E534FD"/>
    <w:rsid w:val="00E537D0"/>
    <w:rsid w:val="00E537D6"/>
    <w:rsid w:val="00E537E4"/>
    <w:rsid w:val="00E5381D"/>
    <w:rsid w:val="00E538C0"/>
    <w:rsid w:val="00E538E0"/>
    <w:rsid w:val="00E53907"/>
    <w:rsid w:val="00E53959"/>
    <w:rsid w:val="00E53987"/>
    <w:rsid w:val="00E539B2"/>
    <w:rsid w:val="00E53AEB"/>
    <w:rsid w:val="00E53B84"/>
    <w:rsid w:val="00E53CE5"/>
    <w:rsid w:val="00E53FBA"/>
    <w:rsid w:val="00E54074"/>
    <w:rsid w:val="00E5408F"/>
    <w:rsid w:val="00E540CE"/>
    <w:rsid w:val="00E540D2"/>
    <w:rsid w:val="00E54134"/>
    <w:rsid w:val="00E54171"/>
    <w:rsid w:val="00E54174"/>
    <w:rsid w:val="00E541E6"/>
    <w:rsid w:val="00E5421F"/>
    <w:rsid w:val="00E542B5"/>
    <w:rsid w:val="00E542D6"/>
    <w:rsid w:val="00E54377"/>
    <w:rsid w:val="00E544E4"/>
    <w:rsid w:val="00E54646"/>
    <w:rsid w:val="00E546A2"/>
    <w:rsid w:val="00E5479B"/>
    <w:rsid w:val="00E54893"/>
    <w:rsid w:val="00E5496A"/>
    <w:rsid w:val="00E549D6"/>
    <w:rsid w:val="00E549F7"/>
    <w:rsid w:val="00E54A32"/>
    <w:rsid w:val="00E54B3B"/>
    <w:rsid w:val="00E54B88"/>
    <w:rsid w:val="00E54C99"/>
    <w:rsid w:val="00E54D0D"/>
    <w:rsid w:val="00E54D23"/>
    <w:rsid w:val="00E54D73"/>
    <w:rsid w:val="00E54ED3"/>
    <w:rsid w:val="00E54F06"/>
    <w:rsid w:val="00E54F90"/>
    <w:rsid w:val="00E54FDC"/>
    <w:rsid w:val="00E55000"/>
    <w:rsid w:val="00E55085"/>
    <w:rsid w:val="00E551C5"/>
    <w:rsid w:val="00E5532E"/>
    <w:rsid w:val="00E55536"/>
    <w:rsid w:val="00E5553C"/>
    <w:rsid w:val="00E55568"/>
    <w:rsid w:val="00E555E8"/>
    <w:rsid w:val="00E5568D"/>
    <w:rsid w:val="00E5574F"/>
    <w:rsid w:val="00E557ED"/>
    <w:rsid w:val="00E55894"/>
    <w:rsid w:val="00E5590F"/>
    <w:rsid w:val="00E55915"/>
    <w:rsid w:val="00E55B3F"/>
    <w:rsid w:val="00E55BBE"/>
    <w:rsid w:val="00E55CD6"/>
    <w:rsid w:val="00E55D2F"/>
    <w:rsid w:val="00E55DA6"/>
    <w:rsid w:val="00E55F8F"/>
    <w:rsid w:val="00E56061"/>
    <w:rsid w:val="00E56123"/>
    <w:rsid w:val="00E561AB"/>
    <w:rsid w:val="00E5622D"/>
    <w:rsid w:val="00E5626C"/>
    <w:rsid w:val="00E5628E"/>
    <w:rsid w:val="00E56358"/>
    <w:rsid w:val="00E5637D"/>
    <w:rsid w:val="00E56471"/>
    <w:rsid w:val="00E564A3"/>
    <w:rsid w:val="00E565A4"/>
    <w:rsid w:val="00E566CD"/>
    <w:rsid w:val="00E56720"/>
    <w:rsid w:val="00E5679E"/>
    <w:rsid w:val="00E56A91"/>
    <w:rsid w:val="00E56B57"/>
    <w:rsid w:val="00E56BA9"/>
    <w:rsid w:val="00E56BEA"/>
    <w:rsid w:val="00E56DAB"/>
    <w:rsid w:val="00E56E81"/>
    <w:rsid w:val="00E56E82"/>
    <w:rsid w:val="00E56E93"/>
    <w:rsid w:val="00E56F14"/>
    <w:rsid w:val="00E56F3C"/>
    <w:rsid w:val="00E570AA"/>
    <w:rsid w:val="00E57137"/>
    <w:rsid w:val="00E572CE"/>
    <w:rsid w:val="00E572F1"/>
    <w:rsid w:val="00E573E0"/>
    <w:rsid w:val="00E57459"/>
    <w:rsid w:val="00E575DC"/>
    <w:rsid w:val="00E57709"/>
    <w:rsid w:val="00E577F1"/>
    <w:rsid w:val="00E5791C"/>
    <w:rsid w:val="00E57922"/>
    <w:rsid w:val="00E57A6C"/>
    <w:rsid w:val="00E57AB6"/>
    <w:rsid w:val="00E57B4D"/>
    <w:rsid w:val="00E57B5B"/>
    <w:rsid w:val="00E57BAB"/>
    <w:rsid w:val="00E57C5D"/>
    <w:rsid w:val="00E57D2B"/>
    <w:rsid w:val="00E57D49"/>
    <w:rsid w:val="00E57D57"/>
    <w:rsid w:val="00E57E28"/>
    <w:rsid w:val="00E57E2E"/>
    <w:rsid w:val="00E57EFE"/>
    <w:rsid w:val="00E57FF7"/>
    <w:rsid w:val="00E6009E"/>
    <w:rsid w:val="00E601D7"/>
    <w:rsid w:val="00E601DD"/>
    <w:rsid w:val="00E60216"/>
    <w:rsid w:val="00E602CE"/>
    <w:rsid w:val="00E6035F"/>
    <w:rsid w:val="00E603A8"/>
    <w:rsid w:val="00E603D5"/>
    <w:rsid w:val="00E60401"/>
    <w:rsid w:val="00E604CC"/>
    <w:rsid w:val="00E6052C"/>
    <w:rsid w:val="00E60627"/>
    <w:rsid w:val="00E60756"/>
    <w:rsid w:val="00E607C2"/>
    <w:rsid w:val="00E60821"/>
    <w:rsid w:val="00E60918"/>
    <w:rsid w:val="00E609C3"/>
    <w:rsid w:val="00E60A88"/>
    <w:rsid w:val="00E60B55"/>
    <w:rsid w:val="00E60BBD"/>
    <w:rsid w:val="00E60BCA"/>
    <w:rsid w:val="00E60C2E"/>
    <w:rsid w:val="00E60CDE"/>
    <w:rsid w:val="00E60D1C"/>
    <w:rsid w:val="00E60D57"/>
    <w:rsid w:val="00E60E6B"/>
    <w:rsid w:val="00E61004"/>
    <w:rsid w:val="00E610A5"/>
    <w:rsid w:val="00E610BC"/>
    <w:rsid w:val="00E610DB"/>
    <w:rsid w:val="00E610E4"/>
    <w:rsid w:val="00E61182"/>
    <w:rsid w:val="00E6123B"/>
    <w:rsid w:val="00E612C8"/>
    <w:rsid w:val="00E61420"/>
    <w:rsid w:val="00E6159E"/>
    <w:rsid w:val="00E61615"/>
    <w:rsid w:val="00E61738"/>
    <w:rsid w:val="00E61830"/>
    <w:rsid w:val="00E61867"/>
    <w:rsid w:val="00E619C8"/>
    <w:rsid w:val="00E61A74"/>
    <w:rsid w:val="00E61ACF"/>
    <w:rsid w:val="00E61B37"/>
    <w:rsid w:val="00E61B88"/>
    <w:rsid w:val="00E61BAD"/>
    <w:rsid w:val="00E61C95"/>
    <w:rsid w:val="00E61CB9"/>
    <w:rsid w:val="00E61E22"/>
    <w:rsid w:val="00E61E27"/>
    <w:rsid w:val="00E61E5F"/>
    <w:rsid w:val="00E61E72"/>
    <w:rsid w:val="00E61EA5"/>
    <w:rsid w:val="00E61EC4"/>
    <w:rsid w:val="00E61FB3"/>
    <w:rsid w:val="00E62032"/>
    <w:rsid w:val="00E6204C"/>
    <w:rsid w:val="00E62137"/>
    <w:rsid w:val="00E6222C"/>
    <w:rsid w:val="00E62388"/>
    <w:rsid w:val="00E623C7"/>
    <w:rsid w:val="00E624BB"/>
    <w:rsid w:val="00E624D3"/>
    <w:rsid w:val="00E624DD"/>
    <w:rsid w:val="00E62571"/>
    <w:rsid w:val="00E62590"/>
    <w:rsid w:val="00E625FC"/>
    <w:rsid w:val="00E62610"/>
    <w:rsid w:val="00E62693"/>
    <w:rsid w:val="00E6269E"/>
    <w:rsid w:val="00E62A56"/>
    <w:rsid w:val="00E62B47"/>
    <w:rsid w:val="00E62B49"/>
    <w:rsid w:val="00E62B4D"/>
    <w:rsid w:val="00E62EE4"/>
    <w:rsid w:val="00E62F30"/>
    <w:rsid w:val="00E62FA6"/>
    <w:rsid w:val="00E630FE"/>
    <w:rsid w:val="00E631A9"/>
    <w:rsid w:val="00E63218"/>
    <w:rsid w:val="00E63320"/>
    <w:rsid w:val="00E633FA"/>
    <w:rsid w:val="00E6344E"/>
    <w:rsid w:val="00E634A4"/>
    <w:rsid w:val="00E634D5"/>
    <w:rsid w:val="00E63622"/>
    <w:rsid w:val="00E63657"/>
    <w:rsid w:val="00E6368B"/>
    <w:rsid w:val="00E63701"/>
    <w:rsid w:val="00E63738"/>
    <w:rsid w:val="00E63762"/>
    <w:rsid w:val="00E63984"/>
    <w:rsid w:val="00E639AF"/>
    <w:rsid w:val="00E63A2A"/>
    <w:rsid w:val="00E63CA9"/>
    <w:rsid w:val="00E63CE7"/>
    <w:rsid w:val="00E63D7C"/>
    <w:rsid w:val="00E63FAB"/>
    <w:rsid w:val="00E64107"/>
    <w:rsid w:val="00E641E1"/>
    <w:rsid w:val="00E6424A"/>
    <w:rsid w:val="00E64396"/>
    <w:rsid w:val="00E64445"/>
    <w:rsid w:val="00E64454"/>
    <w:rsid w:val="00E644A7"/>
    <w:rsid w:val="00E644F8"/>
    <w:rsid w:val="00E64501"/>
    <w:rsid w:val="00E645F0"/>
    <w:rsid w:val="00E64671"/>
    <w:rsid w:val="00E646A7"/>
    <w:rsid w:val="00E64741"/>
    <w:rsid w:val="00E64768"/>
    <w:rsid w:val="00E648A8"/>
    <w:rsid w:val="00E648DA"/>
    <w:rsid w:val="00E648E3"/>
    <w:rsid w:val="00E648F9"/>
    <w:rsid w:val="00E6490E"/>
    <w:rsid w:val="00E64997"/>
    <w:rsid w:val="00E649F2"/>
    <w:rsid w:val="00E64A87"/>
    <w:rsid w:val="00E64B4C"/>
    <w:rsid w:val="00E64BA6"/>
    <w:rsid w:val="00E64C27"/>
    <w:rsid w:val="00E64CAD"/>
    <w:rsid w:val="00E64D65"/>
    <w:rsid w:val="00E64E12"/>
    <w:rsid w:val="00E64EED"/>
    <w:rsid w:val="00E64F5C"/>
    <w:rsid w:val="00E65113"/>
    <w:rsid w:val="00E65162"/>
    <w:rsid w:val="00E651CC"/>
    <w:rsid w:val="00E654BA"/>
    <w:rsid w:val="00E6575E"/>
    <w:rsid w:val="00E658AA"/>
    <w:rsid w:val="00E6599A"/>
    <w:rsid w:val="00E659D2"/>
    <w:rsid w:val="00E65B37"/>
    <w:rsid w:val="00E65BF3"/>
    <w:rsid w:val="00E65C31"/>
    <w:rsid w:val="00E65D37"/>
    <w:rsid w:val="00E65E5F"/>
    <w:rsid w:val="00E65F15"/>
    <w:rsid w:val="00E65F82"/>
    <w:rsid w:val="00E65FDB"/>
    <w:rsid w:val="00E66056"/>
    <w:rsid w:val="00E6610E"/>
    <w:rsid w:val="00E6613F"/>
    <w:rsid w:val="00E662B2"/>
    <w:rsid w:val="00E66325"/>
    <w:rsid w:val="00E6682A"/>
    <w:rsid w:val="00E66970"/>
    <w:rsid w:val="00E66989"/>
    <w:rsid w:val="00E669E0"/>
    <w:rsid w:val="00E66A18"/>
    <w:rsid w:val="00E66A5C"/>
    <w:rsid w:val="00E66B29"/>
    <w:rsid w:val="00E66B5F"/>
    <w:rsid w:val="00E66BCB"/>
    <w:rsid w:val="00E66C8D"/>
    <w:rsid w:val="00E66D07"/>
    <w:rsid w:val="00E66D10"/>
    <w:rsid w:val="00E66D6A"/>
    <w:rsid w:val="00E66D7E"/>
    <w:rsid w:val="00E66EF8"/>
    <w:rsid w:val="00E66FA9"/>
    <w:rsid w:val="00E66FDD"/>
    <w:rsid w:val="00E66FE9"/>
    <w:rsid w:val="00E67029"/>
    <w:rsid w:val="00E670A8"/>
    <w:rsid w:val="00E670AC"/>
    <w:rsid w:val="00E67204"/>
    <w:rsid w:val="00E6727F"/>
    <w:rsid w:val="00E672BC"/>
    <w:rsid w:val="00E672FB"/>
    <w:rsid w:val="00E6737B"/>
    <w:rsid w:val="00E6739E"/>
    <w:rsid w:val="00E673E1"/>
    <w:rsid w:val="00E673E5"/>
    <w:rsid w:val="00E675E3"/>
    <w:rsid w:val="00E67658"/>
    <w:rsid w:val="00E67740"/>
    <w:rsid w:val="00E6785E"/>
    <w:rsid w:val="00E67921"/>
    <w:rsid w:val="00E6796D"/>
    <w:rsid w:val="00E67AEA"/>
    <w:rsid w:val="00E67CCF"/>
    <w:rsid w:val="00E67D89"/>
    <w:rsid w:val="00E67EC6"/>
    <w:rsid w:val="00E67F62"/>
    <w:rsid w:val="00E67FBA"/>
    <w:rsid w:val="00E70094"/>
    <w:rsid w:val="00E70099"/>
    <w:rsid w:val="00E70130"/>
    <w:rsid w:val="00E7028F"/>
    <w:rsid w:val="00E702E4"/>
    <w:rsid w:val="00E703FA"/>
    <w:rsid w:val="00E70508"/>
    <w:rsid w:val="00E70619"/>
    <w:rsid w:val="00E70629"/>
    <w:rsid w:val="00E7064F"/>
    <w:rsid w:val="00E707D3"/>
    <w:rsid w:val="00E70824"/>
    <w:rsid w:val="00E7085F"/>
    <w:rsid w:val="00E7091F"/>
    <w:rsid w:val="00E7095A"/>
    <w:rsid w:val="00E70A09"/>
    <w:rsid w:val="00E70A52"/>
    <w:rsid w:val="00E70A5D"/>
    <w:rsid w:val="00E70CB4"/>
    <w:rsid w:val="00E70CBF"/>
    <w:rsid w:val="00E70CED"/>
    <w:rsid w:val="00E70D5C"/>
    <w:rsid w:val="00E70FAB"/>
    <w:rsid w:val="00E710BD"/>
    <w:rsid w:val="00E710FE"/>
    <w:rsid w:val="00E7119B"/>
    <w:rsid w:val="00E7121D"/>
    <w:rsid w:val="00E7127D"/>
    <w:rsid w:val="00E71388"/>
    <w:rsid w:val="00E71409"/>
    <w:rsid w:val="00E714A6"/>
    <w:rsid w:val="00E71500"/>
    <w:rsid w:val="00E7152B"/>
    <w:rsid w:val="00E7174C"/>
    <w:rsid w:val="00E717C6"/>
    <w:rsid w:val="00E717D3"/>
    <w:rsid w:val="00E717E4"/>
    <w:rsid w:val="00E71953"/>
    <w:rsid w:val="00E7199F"/>
    <w:rsid w:val="00E71ABB"/>
    <w:rsid w:val="00E71B45"/>
    <w:rsid w:val="00E71C13"/>
    <w:rsid w:val="00E71C33"/>
    <w:rsid w:val="00E71C7C"/>
    <w:rsid w:val="00E71E2D"/>
    <w:rsid w:val="00E71E36"/>
    <w:rsid w:val="00E71F9E"/>
    <w:rsid w:val="00E72030"/>
    <w:rsid w:val="00E7212B"/>
    <w:rsid w:val="00E721CC"/>
    <w:rsid w:val="00E7220C"/>
    <w:rsid w:val="00E7227D"/>
    <w:rsid w:val="00E722F3"/>
    <w:rsid w:val="00E723DC"/>
    <w:rsid w:val="00E724B3"/>
    <w:rsid w:val="00E724D7"/>
    <w:rsid w:val="00E7254E"/>
    <w:rsid w:val="00E72644"/>
    <w:rsid w:val="00E7266D"/>
    <w:rsid w:val="00E7267B"/>
    <w:rsid w:val="00E7275E"/>
    <w:rsid w:val="00E72989"/>
    <w:rsid w:val="00E72A1B"/>
    <w:rsid w:val="00E72B3D"/>
    <w:rsid w:val="00E72C77"/>
    <w:rsid w:val="00E72DC4"/>
    <w:rsid w:val="00E72DE3"/>
    <w:rsid w:val="00E72EB6"/>
    <w:rsid w:val="00E72F2B"/>
    <w:rsid w:val="00E72F51"/>
    <w:rsid w:val="00E7307F"/>
    <w:rsid w:val="00E73107"/>
    <w:rsid w:val="00E73199"/>
    <w:rsid w:val="00E731D6"/>
    <w:rsid w:val="00E7323E"/>
    <w:rsid w:val="00E73269"/>
    <w:rsid w:val="00E73334"/>
    <w:rsid w:val="00E7336C"/>
    <w:rsid w:val="00E733D1"/>
    <w:rsid w:val="00E73404"/>
    <w:rsid w:val="00E734D7"/>
    <w:rsid w:val="00E7359A"/>
    <w:rsid w:val="00E73639"/>
    <w:rsid w:val="00E7372E"/>
    <w:rsid w:val="00E7376F"/>
    <w:rsid w:val="00E7387D"/>
    <w:rsid w:val="00E73898"/>
    <w:rsid w:val="00E738C6"/>
    <w:rsid w:val="00E73992"/>
    <w:rsid w:val="00E73A3A"/>
    <w:rsid w:val="00E73AFE"/>
    <w:rsid w:val="00E73B09"/>
    <w:rsid w:val="00E73BCE"/>
    <w:rsid w:val="00E73C30"/>
    <w:rsid w:val="00E73CDF"/>
    <w:rsid w:val="00E73CFF"/>
    <w:rsid w:val="00E73D46"/>
    <w:rsid w:val="00E73DE6"/>
    <w:rsid w:val="00E73E03"/>
    <w:rsid w:val="00E73ED1"/>
    <w:rsid w:val="00E73F72"/>
    <w:rsid w:val="00E73FF9"/>
    <w:rsid w:val="00E74020"/>
    <w:rsid w:val="00E74112"/>
    <w:rsid w:val="00E741D3"/>
    <w:rsid w:val="00E74327"/>
    <w:rsid w:val="00E74330"/>
    <w:rsid w:val="00E74346"/>
    <w:rsid w:val="00E74399"/>
    <w:rsid w:val="00E743A3"/>
    <w:rsid w:val="00E7446E"/>
    <w:rsid w:val="00E744A6"/>
    <w:rsid w:val="00E744AB"/>
    <w:rsid w:val="00E74569"/>
    <w:rsid w:val="00E7459F"/>
    <w:rsid w:val="00E74730"/>
    <w:rsid w:val="00E74737"/>
    <w:rsid w:val="00E74765"/>
    <w:rsid w:val="00E747DC"/>
    <w:rsid w:val="00E7485F"/>
    <w:rsid w:val="00E749C6"/>
    <w:rsid w:val="00E749EF"/>
    <w:rsid w:val="00E74A97"/>
    <w:rsid w:val="00E74C22"/>
    <w:rsid w:val="00E74CCA"/>
    <w:rsid w:val="00E74D68"/>
    <w:rsid w:val="00E74D81"/>
    <w:rsid w:val="00E74E69"/>
    <w:rsid w:val="00E74E72"/>
    <w:rsid w:val="00E74EBD"/>
    <w:rsid w:val="00E74FA1"/>
    <w:rsid w:val="00E74FD6"/>
    <w:rsid w:val="00E750DE"/>
    <w:rsid w:val="00E75275"/>
    <w:rsid w:val="00E752DC"/>
    <w:rsid w:val="00E752F7"/>
    <w:rsid w:val="00E75357"/>
    <w:rsid w:val="00E753C3"/>
    <w:rsid w:val="00E754F4"/>
    <w:rsid w:val="00E75501"/>
    <w:rsid w:val="00E75746"/>
    <w:rsid w:val="00E758A7"/>
    <w:rsid w:val="00E75929"/>
    <w:rsid w:val="00E7592C"/>
    <w:rsid w:val="00E759C7"/>
    <w:rsid w:val="00E75A06"/>
    <w:rsid w:val="00E75A23"/>
    <w:rsid w:val="00E75BB3"/>
    <w:rsid w:val="00E75BC7"/>
    <w:rsid w:val="00E75BCC"/>
    <w:rsid w:val="00E75C0E"/>
    <w:rsid w:val="00E75C1F"/>
    <w:rsid w:val="00E75C27"/>
    <w:rsid w:val="00E75C63"/>
    <w:rsid w:val="00E75CE6"/>
    <w:rsid w:val="00E75DD1"/>
    <w:rsid w:val="00E75E40"/>
    <w:rsid w:val="00E75F00"/>
    <w:rsid w:val="00E75F24"/>
    <w:rsid w:val="00E75F5C"/>
    <w:rsid w:val="00E75F80"/>
    <w:rsid w:val="00E75F90"/>
    <w:rsid w:val="00E76027"/>
    <w:rsid w:val="00E76056"/>
    <w:rsid w:val="00E76171"/>
    <w:rsid w:val="00E7619C"/>
    <w:rsid w:val="00E761A3"/>
    <w:rsid w:val="00E761A5"/>
    <w:rsid w:val="00E761F3"/>
    <w:rsid w:val="00E76239"/>
    <w:rsid w:val="00E762A3"/>
    <w:rsid w:val="00E762C0"/>
    <w:rsid w:val="00E763DA"/>
    <w:rsid w:val="00E76495"/>
    <w:rsid w:val="00E7664B"/>
    <w:rsid w:val="00E76654"/>
    <w:rsid w:val="00E766D4"/>
    <w:rsid w:val="00E76793"/>
    <w:rsid w:val="00E767E6"/>
    <w:rsid w:val="00E76888"/>
    <w:rsid w:val="00E768E6"/>
    <w:rsid w:val="00E76944"/>
    <w:rsid w:val="00E76958"/>
    <w:rsid w:val="00E76A53"/>
    <w:rsid w:val="00E76A69"/>
    <w:rsid w:val="00E76A9E"/>
    <w:rsid w:val="00E76ADB"/>
    <w:rsid w:val="00E76D03"/>
    <w:rsid w:val="00E76D78"/>
    <w:rsid w:val="00E76E28"/>
    <w:rsid w:val="00E76E3A"/>
    <w:rsid w:val="00E76F3F"/>
    <w:rsid w:val="00E770E4"/>
    <w:rsid w:val="00E771C3"/>
    <w:rsid w:val="00E771F9"/>
    <w:rsid w:val="00E7740B"/>
    <w:rsid w:val="00E77425"/>
    <w:rsid w:val="00E774AB"/>
    <w:rsid w:val="00E77555"/>
    <w:rsid w:val="00E77601"/>
    <w:rsid w:val="00E77647"/>
    <w:rsid w:val="00E77929"/>
    <w:rsid w:val="00E77977"/>
    <w:rsid w:val="00E77A7B"/>
    <w:rsid w:val="00E77AE4"/>
    <w:rsid w:val="00E77AEC"/>
    <w:rsid w:val="00E77B2E"/>
    <w:rsid w:val="00E77B36"/>
    <w:rsid w:val="00E77CA1"/>
    <w:rsid w:val="00E77CA6"/>
    <w:rsid w:val="00E77DD1"/>
    <w:rsid w:val="00E77E26"/>
    <w:rsid w:val="00E77E6A"/>
    <w:rsid w:val="00E77F92"/>
    <w:rsid w:val="00E77F9A"/>
    <w:rsid w:val="00E80126"/>
    <w:rsid w:val="00E8013B"/>
    <w:rsid w:val="00E801B2"/>
    <w:rsid w:val="00E8033D"/>
    <w:rsid w:val="00E804BD"/>
    <w:rsid w:val="00E804F0"/>
    <w:rsid w:val="00E80867"/>
    <w:rsid w:val="00E808AA"/>
    <w:rsid w:val="00E808C9"/>
    <w:rsid w:val="00E809A4"/>
    <w:rsid w:val="00E809DF"/>
    <w:rsid w:val="00E80A05"/>
    <w:rsid w:val="00E80A6B"/>
    <w:rsid w:val="00E80BE1"/>
    <w:rsid w:val="00E80C3B"/>
    <w:rsid w:val="00E80DA9"/>
    <w:rsid w:val="00E80DF2"/>
    <w:rsid w:val="00E81020"/>
    <w:rsid w:val="00E81113"/>
    <w:rsid w:val="00E81265"/>
    <w:rsid w:val="00E813C8"/>
    <w:rsid w:val="00E81442"/>
    <w:rsid w:val="00E81448"/>
    <w:rsid w:val="00E8148A"/>
    <w:rsid w:val="00E814A1"/>
    <w:rsid w:val="00E814C1"/>
    <w:rsid w:val="00E8152B"/>
    <w:rsid w:val="00E81764"/>
    <w:rsid w:val="00E818BD"/>
    <w:rsid w:val="00E81986"/>
    <w:rsid w:val="00E819B8"/>
    <w:rsid w:val="00E819E9"/>
    <w:rsid w:val="00E819F6"/>
    <w:rsid w:val="00E81B18"/>
    <w:rsid w:val="00E81BF5"/>
    <w:rsid w:val="00E81C4E"/>
    <w:rsid w:val="00E81C73"/>
    <w:rsid w:val="00E81D2A"/>
    <w:rsid w:val="00E81D59"/>
    <w:rsid w:val="00E81DA8"/>
    <w:rsid w:val="00E81DB9"/>
    <w:rsid w:val="00E81F91"/>
    <w:rsid w:val="00E81FE8"/>
    <w:rsid w:val="00E820C5"/>
    <w:rsid w:val="00E82179"/>
    <w:rsid w:val="00E821B8"/>
    <w:rsid w:val="00E82215"/>
    <w:rsid w:val="00E82265"/>
    <w:rsid w:val="00E82274"/>
    <w:rsid w:val="00E822F0"/>
    <w:rsid w:val="00E8234B"/>
    <w:rsid w:val="00E8235D"/>
    <w:rsid w:val="00E823C7"/>
    <w:rsid w:val="00E82547"/>
    <w:rsid w:val="00E825F3"/>
    <w:rsid w:val="00E825F9"/>
    <w:rsid w:val="00E826B2"/>
    <w:rsid w:val="00E8281E"/>
    <w:rsid w:val="00E828E5"/>
    <w:rsid w:val="00E82B2A"/>
    <w:rsid w:val="00E82C2F"/>
    <w:rsid w:val="00E82C5D"/>
    <w:rsid w:val="00E82CB5"/>
    <w:rsid w:val="00E82DA6"/>
    <w:rsid w:val="00E82EB1"/>
    <w:rsid w:val="00E82F75"/>
    <w:rsid w:val="00E82FD5"/>
    <w:rsid w:val="00E8303E"/>
    <w:rsid w:val="00E830B0"/>
    <w:rsid w:val="00E83110"/>
    <w:rsid w:val="00E8311C"/>
    <w:rsid w:val="00E83132"/>
    <w:rsid w:val="00E83238"/>
    <w:rsid w:val="00E83312"/>
    <w:rsid w:val="00E8335F"/>
    <w:rsid w:val="00E833B1"/>
    <w:rsid w:val="00E833DD"/>
    <w:rsid w:val="00E83437"/>
    <w:rsid w:val="00E83456"/>
    <w:rsid w:val="00E8352E"/>
    <w:rsid w:val="00E8354A"/>
    <w:rsid w:val="00E83563"/>
    <w:rsid w:val="00E83667"/>
    <w:rsid w:val="00E83694"/>
    <w:rsid w:val="00E8388F"/>
    <w:rsid w:val="00E8391D"/>
    <w:rsid w:val="00E8394C"/>
    <w:rsid w:val="00E83ABE"/>
    <w:rsid w:val="00E83B34"/>
    <w:rsid w:val="00E83DD6"/>
    <w:rsid w:val="00E83DDC"/>
    <w:rsid w:val="00E83E37"/>
    <w:rsid w:val="00E83E39"/>
    <w:rsid w:val="00E83E6C"/>
    <w:rsid w:val="00E83E7E"/>
    <w:rsid w:val="00E83F88"/>
    <w:rsid w:val="00E83FBB"/>
    <w:rsid w:val="00E84149"/>
    <w:rsid w:val="00E8414C"/>
    <w:rsid w:val="00E84295"/>
    <w:rsid w:val="00E842A4"/>
    <w:rsid w:val="00E8433A"/>
    <w:rsid w:val="00E84384"/>
    <w:rsid w:val="00E843F2"/>
    <w:rsid w:val="00E84405"/>
    <w:rsid w:val="00E844DB"/>
    <w:rsid w:val="00E8450C"/>
    <w:rsid w:val="00E84576"/>
    <w:rsid w:val="00E8459A"/>
    <w:rsid w:val="00E84667"/>
    <w:rsid w:val="00E84688"/>
    <w:rsid w:val="00E846FD"/>
    <w:rsid w:val="00E84717"/>
    <w:rsid w:val="00E8491E"/>
    <w:rsid w:val="00E8495B"/>
    <w:rsid w:val="00E849A9"/>
    <w:rsid w:val="00E84A5F"/>
    <w:rsid w:val="00E84AA6"/>
    <w:rsid w:val="00E84B5B"/>
    <w:rsid w:val="00E84C6E"/>
    <w:rsid w:val="00E84C7A"/>
    <w:rsid w:val="00E84C99"/>
    <w:rsid w:val="00E84DFC"/>
    <w:rsid w:val="00E84E0D"/>
    <w:rsid w:val="00E84E56"/>
    <w:rsid w:val="00E84E58"/>
    <w:rsid w:val="00E84E8B"/>
    <w:rsid w:val="00E84F33"/>
    <w:rsid w:val="00E851A4"/>
    <w:rsid w:val="00E851C6"/>
    <w:rsid w:val="00E85316"/>
    <w:rsid w:val="00E85351"/>
    <w:rsid w:val="00E85432"/>
    <w:rsid w:val="00E8544A"/>
    <w:rsid w:val="00E8556F"/>
    <w:rsid w:val="00E8569E"/>
    <w:rsid w:val="00E856BC"/>
    <w:rsid w:val="00E85797"/>
    <w:rsid w:val="00E857B4"/>
    <w:rsid w:val="00E8581F"/>
    <w:rsid w:val="00E8584D"/>
    <w:rsid w:val="00E85859"/>
    <w:rsid w:val="00E85926"/>
    <w:rsid w:val="00E85928"/>
    <w:rsid w:val="00E85A74"/>
    <w:rsid w:val="00E85AA7"/>
    <w:rsid w:val="00E85ACE"/>
    <w:rsid w:val="00E85AD3"/>
    <w:rsid w:val="00E85C1E"/>
    <w:rsid w:val="00E85C2D"/>
    <w:rsid w:val="00E85CE5"/>
    <w:rsid w:val="00E85E30"/>
    <w:rsid w:val="00E85E9A"/>
    <w:rsid w:val="00E85EE7"/>
    <w:rsid w:val="00E85F9D"/>
    <w:rsid w:val="00E85FEA"/>
    <w:rsid w:val="00E860A0"/>
    <w:rsid w:val="00E860A3"/>
    <w:rsid w:val="00E860F3"/>
    <w:rsid w:val="00E86138"/>
    <w:rsid w:val="00E861E3"/>
    <w:rsid w:val="00E86310"/>
    <w:rsid w:val="00E86330"/>
    <w:rsid w:val="00E86344"/>
    <w:rsid w:val="00E86400"/>
    <w:rsid w:val="00E8643F"/>
    <w:rsid w:val="00E865A0"/>
    <w:rsid w:val="00E867ED"/>
    <w:rsid w:val="00E867F2"/>
    <w:rsid w:val="00E86816"/>
    <w:rsid w:val="00E8681C"/>
    <w:rsid w:val="00E8682E"/>
    <w:rsid w:val="00E868AD"/>
    <w:rsid w:val="00E86A0A"/>
    <w:rsid w:val="00E86A16"/>
    <w:rsid w:val="00E86A62"/>
    <w:rsid w:val="00E86B37"/>
    <w:rsid w:val="00E86BF2"/>
    <w:rsid w:val="00E86D39"/>
    <w:rsid w:val="00E86E7D"/>
    <w:rsid w:val="00E87017"/>
    <w:rsid w:val="00E8705C"/>
    <w:rsid w:val="00E87285"/>
    <w:rsid w:val="00E8737A"/>
    <w:rsid w:val="00E874A9"/>
    <w:rsid w:val="00E87514"/>
    <w:rsid w:val="00E87588"/>
    <w:rsid w:val="00E875D6"/>
    <w:rsid w:val="00E875EF"/>
    <w:rsid w:val="00E87658"/>
    <w:rsid w:val="00E87785"/>
    <w:rsid w:val="00E877F8"/>
    <w:rsid w:val="00E8785A"/>
    <w:rsid w:val="00E8797F"/>
    <w:rsid w:val="00E87A01"/>
    <w:rsid w:val="00E87A55"/>
    <w:rsid w:val="00E87ABD"/>
    <w:rsid w:val="00E87ABE"/>
    <w:rsid w:val="00E87B49"/>
    <w:rsid w:val="00E87C14"/>
    <w:rsid w:val="00E87CB1"/>
    <w:rsid w:val="00E87CD2"/>
    <w:rsid w:val="00E87D4B"/>
    <w:rsid w:val="00E87D56"/>
    <w:rsid w:val="00E87E1F"/>
    <w:rsid w:val="00E87E8D"/>
    <w:rsid w:val="00E87F45"/>
    <w:rsid w:val="00E90007"/>
    <w:rsid w:val="00E90081"/>
    <w:rsid w:val="00E901AC"/>
    <w:rsid w:val="00E90283"/>
    <w:rsid w:val="00E9038E"/>
    <w:rsid w:val="00E9045D"/>
    <w:rsid w:val="00E9046F"/>
    <w:rsid w:val="00E904AB"/>
    <w:rsid w:val="00E9057D"/>
    <w:rsid w:val="00E905A8"/>
    <w:rsid w:val="00E90632"/>
    <w:rsid w:val="00E9072B"/>
    <w:rsid w:val="00E90733"/>
    <w:rsid w:val="00E9074B"/>
    <w:rsid w:val="00E9075F"/>
    <w:rsid w:val="00E9077C"/>
    <w:rsid w:val="00E907B8"/>
    <w:rsid w:val="00E909CC"/>
    <w:rsid w:val="00E90A09"/>
    <w:rsid w:val="00E90A39"/>
    <w:rsid w:val="00E90ABA"/>
    <w:rsid w:val="00E90C7D"/>
    <w:rsid w:val="00E90CAD"/>
    <w:rsid w:val="00E90CE1"/>
    <w:rsid w:val="00E90D48"/>
    <w:rsid w:val="00E90DB5"/>
    <w:rsid w:val="00E90E30"/>
    <w:rsid w:val="00E90F3A"/>
    <w:rsid w:val="00E90F8F"/>
    <w:rsid w:val="00E90FD6"/>
    <w:rsid w:val="00E91026"/>
    <w:rsid w:val="00E9115E"/>
    <w:rsid w:val="00E91296"/>
    <w:rsid w:val="00E9131C"/>
    <w:rsid w:val="00E913CA"/>
    <w:rsid w:val="00E9143C"/>
    <w:rsid w:val="00E9151A"/>
    <w:rsid w:val="00E9152A"/>
    <w:rsid w:val="00E91551"/>
    <w:rsid w:val="00E91591"/>
    <w:rsid w:val="00E916E2"/>
    <w:rsid w:val="00E91A62"/>
    <w:rsid w:val="00E91AFF"/>
    <w:rsid w:val="00E91B1E"/>
    <w:rsid w:val="00E91B5B"/>
    <w:rsid w:val="00E91B73"/>
    <w:rsid w:val="00E91C83"/>
    <w:rsid w:val="00E91CFB"/>
    <w:rsid w:val="00E91E32"/>
    <w:rsid w:val="00E91EEB"/>
    <w:rsid w:val="00E91F85"/>
    <w:rsid w:val="00E92150"/>
    <w:rsid w:val="00E92173"/>
    <w:rsid w:val="00E921EA"/>
    <w:rsid w:val="00E9220B"/>
    <w:rsid w:val="00E922A8"/>
    <w:rsid w:val="00E923D9"/>
    <w:rsid w:val="00E92413"/>
    <w:rsid w:val="00E92436"/>
    <w:rsid w:val="00E9248A"/>
    <w:rsid w:val="00E925A2"/>
    <w:rsid w:val="00E925A3"/>
    <w:rsid w:val="00E925B4"/>
    <w:rsid w:val="00E925E5"/>
    <w:rsid w:val="00E9268B"/>
    <w:rsid w:val="00E926DD"/>
    <w:rsid w:val="00E92801"/>
    <w:rsid w:val="00E92840"/>
    <w:rsid w:val="00E92891"/>
    <w:rsid w:val="00E928B7"/>
    <w:rsid w:val="00E92901"/>
    <w:rsid w:val="00E9294A"/>
    <w:rsid w:val="00E92A0E"/>
    <w:rsid w:val="00E92CDC"/>
    <w:rsid w:val="00E92D49"/>
    <w:rsid w:val="00E92D94"/>
    <w:rsid w:val="00E92F8C"/>
    <w:rsid w:val="00E93152"/>
    <w:rsid w:val="00E931B9"/>
    <w:rsid w:val="00E931E9"/>
    <w:rsid w:val="00E931EE"/>
    <w:rsid w:val="00E931FC"/>
    <w:rsid w:val="00E932D6"/>
    <w:rsid w:val="00E932E8"/>
    <w:rsid w:val="00E93408"/>
    <w:rsid w:val="00E93444"/>
    <w:rsid w:val="00E9349E"/>
    <w:rsid w:val="00E934C5"/>
    <w:rsid w:val="00E9368E"/>
    <w:rsid w:val="00E936B4"/>
    <w:rsid w:val="00E9386F"/>
    <w:rsid w:val="00E938C0"/>
    <w:rsid w:val="00E9395A"/>
    <w:rsid w:val="00E939C7"/>
    <w:rsid w:val="00E93C20"/>
    <w:rsid w:val="00E93C2B"/>
    <w:rsid w:val="00E93D33"/>
    <w:rsid w:val="00E93D44"/>
    <w:rsid w:val="00E93D66"/>
    <w:rsid w:val="00E93DBB"/>
    <w:rsid w:val="00E93E4A"/>
    <w:rsid w:val="00E93EA9"/>
    <w:rsid w:val="00E93F42"/>
    <w:rsid w:val="00E94060"/>
    <w:rsid w:val="00E940CD"/>
    <w:rsid w:val="00E941BB"/>
    <w:rsid w:val="00E941F8"/>
    <w:rsid w:val="00E942D0"/>
    <w:rsid w:val="00E94584"/>
    <w:rsid w:val="00E94679"/>
    <w:rsid w:val="00E946E8"/>
    <w:rsid w:val="00E94744"/>
    <w:rsid w:val="00E94881"/>
    <w:rsid w:val="00E948D0"/>
    <w:rsid w:val="00E948DB"/>
    <w:rsid w:val="00E9492E"/>
    <w:rsid w:val="00E94952"/>
    <w:rsid w:val="00E949D6"/>
    <w:rsid w:val="00E949E9"/>
    <w:rsid w:val="00E94AAA"/>
    <w:rsid w:val="00E94B1A"/>
    <w:rsid w:val="00E94B60"/>
    <w:rsid w:val="00E94BA3"/>
    <w:rsid w:val="00E94BA8"/>
    <w:rsid w:val="00E94BDA"/>
    <w:rsid w:val="00E94C52"/>
    <w:rsid w:val="00E94D12"/>
    <w:rsid w:val="00E94D9E"/>
    <w:rsid w:val="00E94F66"/>
    <w:rsid w:val="00E94FDF"/>
    <w:rsid w:val="00E94FEB"/>
    <w:rsid w:val="00E95031"/>
    <w:rsid w:val="00E95080"/>
    <w:rsid w:val="00E95177"/>
    <w:rsid w:val="00E95249"/>
    <w:rsid w:val="00E95260"/>
    <w:rsid w:val="00E9529E"/>
    <w:rsid w:val="00E953CE"/>
    <w:rsid w:val="00E9562A"/>
    <w:rsid w:val="00E956A9"/>
    <w:rsid w:val="00E956DF"/>
    <w:rsid w:val="00E9572C"/>
    <w:rsid w:val="00E957CC"/>
    <w:rsid w:val="00E9588E"/>
    <w:rsid w:val="00E95A2F"/>
    <w:rsid w:val="00E95A48"/>
    <w:rsid w:val="00E95A66"/>
    <w:rsid w:val="00E95AD4"/>
    <w:rsid w:val="00E95B1D"/>
    <w:rsid w:val="00E95B60"/>
    <w:rsid w:val="00E95B9B"/>
    <w:rsid w:val="00E95B9E"/>
    <w:rsid w:val="00E95D76"/>
    <w:rsid w:val="00E95DF9"/>
    <w:rsid w:val="00E95EB1"/>
    <w:rsid w:val="00E95F4B"/>
    <w:rsid w:val="00E95F66"/>
    <w:rsid w:val="00E95F69"/>
    <w:rsid w:val="00E95F7D"/>
    <w:rsid w:val="00E95FF9"/>
    <w:rsid w:val="00E9618C"/>
    <w:rsid w:val="00E9622A"/>
    <w:rsid w:val="00E9622B"/>
    <w:rsid w:val="00E96244"/>
    <w:rsid w:val="00E96436"/>
    <w:rsid w:val="00E96464"/>
    <w:rsid w:val="00E96470"/>
    <w:rsid w:val="00E9653E"/>
    <w:rsid w:val="00E9654B"/>
    <w:rsid w:val="00E96695"/>
    <w:rsid w:val="00E96826"/>
    <w:rsid w:val="00E968E6"/>
    <w:rsid w:val="00E968F4"/>
    <w:rsid w:val="00E9692B"/>
    <w:rsid w:val="00E96A31"/>
    <w:rsid w:val="00E96A3A"/>
    <w:rsid w:val="00E96AE0"/>
    <w:rsid w:val="00E96CDE"/>
    <w:rsid w:val="00E96DF2"/>
    <w:rsid w:val="00E96E0A"/>
    <w:rsid w:val="00E96E0D"/>
    <w:rsid w:val="00E96E27"/>
    <w:rsid w:val="00E96EB4"/>
    <w:rsid w:val="00E96FA4"/>
    <w:rsid w:val="00E9713A"/>
    <w:rsid w:val="00E9715A"/>
    <w:rsid w:val="00E971F4"/>
    <w:rsid w:val="00E972A5"/>
    <w:rsid w:val="00E972AE"/>
    <w:rsid w:val="00E972CB"/>
    <w:rsid w:val="00E972E9"/>
    <w:rsid w:val="00E9730C"/>
    <w:rsid w:val="00E97429"/>
    <w:rsid w:val="00E974C0"/>
    <w:rsid w:val="00E974E6"/>
    <w:rsid w:val="00E974F6"/>
    <w:rsid w:val="00E97533"/>
    <w:rsid w:val="00E97597"/>
    <w:rsid w:val="00E97631"/>
    <w:rsid w:val="00E97643"/>
    <w:rsid w:val="00E9764A"/>
    <w:rsid w:val="00E976B2"/>
    <w:rsid w:val="00E976EC"/>
    <w:rsid w:val="00E97792"/>
    <w:rsid w:val="00E97796"/>
    <w:rsid w:val="00E9779F"/>
    <w:rsid w:val="00E977C2"/>
    <w:rsid w:val="00E97837"/>
    <w:rsid w:val="00E9784A"/>
    <w:rsid w:val="00E97896"/>
    <w:rsid w:val="00E9789B"/>
    <w:rsid w:val="00E978F4"/>
    <w:rsid w:val="00E97903"/>
    <w:rsid w:val="00E97940"/>
    <w:rsid w:val="00E97944"/>
    <w:rsid w:val="00E979AE"/>
    <w:rsid w:val="00E97A63"/>
    <w:rsid w:val="00E97BD8"/>
    <w:rsid w:val="00E97CBB"/>
    <w:rsid w:val="00E97D50"/>
    <w:rsid w:val="00E97D83"/>
    <w:rsid w:val="00E97DBD"/>
    <w:rsid w:val="00E97E93"/>
    <w:rsid w:val="00E97F3C"/>
    <w:rsid w:val="00E97FCB"/>
    <w:rsid w:val="00EA0084"/>
    <w:rsid w:val="00EA01D4"/>
    <w:rsid w:val="00EA021C"/>
    <w:rsid w:val="00EA02E8"/>
    <w:rsid w:val="00EA0324"/>
    <w:rsid w:val="00EA0358"/>
    <w:rsid w:val="00EA037A"/>
    <w:rsid w:val="00EA0458"/>
    <w:rsid w:val="00EA04B3"/>
    <w:rsid w:val="00EA051A"/>
    <w:rsid w:val="00EA0599"/>
    <w:rsid w:val="00EA059B"/>
    <w:rsid w:val="00EA05EC"/>
    <w:rsid w:val="00EA0665"/>
    <w:rsid w:val="00EA0676"/>
    <w:rsid w:val="00EA06B2"/>
    <w:rsid w:val="00EA0769"/>
    <w:rsid w:val="00EA079E"/>
    <w:rsid w:val="00EA082B"/>
    <w:rsid w:val="00EA08D2"/>
    <w:rsid w:val="00EA0954"/>
    <w:rsid w:val="00EA096C"/>
    <w:rsid w:val="00EA09A7"/>
    <w:rsid w:val="00EA0ADC"/>
    <w:rsid w:val="00EA0B92"/>
    <w:rsid w:val="00EA0BCD"/>
    <w:rsid w:val="00EA0BDE"/>
    <w:rsid w:val="00EA0C74"/>
    <w:rsid w:val="00EA0CEB"/>
    <w:rsid w:val="00EA0CFA"/>
    <w:rsid w:val="00EA0DF7"/>
    <w:rsid w:val="00EA0FDF"/>
    <w:rsid w:val="00EA1018"/>
    <w:rsid w:val="00EA1037"/>
    <w:rsid w:val="00EA1085"/>
    <w:rsid w:val="00EA11D0"/>
    <w:rsid w:val="00EA1227"/>
    <w:rsid w:val="00EA12B9"/>
    <w:rsid w:val="00EA1359"/>
    <w:rsid w:val="00EA13BC"/>
    <w:rsid w:val="00EA14E5"/>
    <w:rsid w:val="00EA1577"/>
    <w:rsid w:val="00EA1616"/>
    <w:rsid w:val="00EA1625"/>
    <w:rsid w:val="00EA1690"/>
    <w:rsid w:val="00EA16AD"/>
    <w:rsid w:val="00EA16BA"/>
    <w:rsid w:val="00EA16F5"/>
    <w:rsid w:val="00EA1817"/>
    <w:rsid w:val="00EA18D4"/>
    <w:rsid w:val="00EA18E1"/>
    <w:rsid w:val="00EA18EF"/>
    <w:rsid w:val="00EA193F"/>
    <w:rsid w:val="00EA197B"/>
    <w:rsid w:val="00EA198A"/>
    <w:rsid w:val="00EA19F3"/>
    <w:rsid w:val="00EA1A6B"/>
    <w:rsid w:val="00EA1AAF"/>
    <w:rsid w:val="00EA1B7B"/>
    <w:rsid w:val="00EA1C50"/>
    <w:rsid w:val="00EA1CAF"/>
    <w:rsid w:val="00EA1CDF"/>
    <w:rsid w:val="00EA1E01"/>
    <w:rsid w:val="00EA1E2F"/>
    <w:rsid w:val="00EA1EB8"/>
    <w:rsid w:val="00EA2047"/>
    <w:rsid w:val="00EA208F"/>
    <w:rsid w:val="00EA2169"/>
    <w:rsid w:val="00EA21FE"/>
    <w:rsid w:val="00EA238A"/>
    <w:rsid w:val="00EA2394"/>
    <w:rsid w:val="00EA244C"/>
    <w:rsid w:val="00EA24AB"/>
    <w:rsid w:val="00EA2616"/>
    <w:rsid w:val="00EA275E"/>
    <w:rsid w:val="00EA27CD"/>
    <w:rsid w:val="00EA2893"/>
    <w:rsid w:val="00EA296B"/>
    <w:rsid w:val="00EA2A99"/>
    <w:rsid w:val="00EA2B66"/>
    <w:rsid w:val="00EA2BBF"/>
    <w:rsid w:val="00EA2CAF"/>
    <w:rsid w:val="00EA2CE8"/>
    <w:rsid w:val="00EA2D7A"/>
    <w:rsid w:val="00EA2DD5"/>
    <w:rsid w:val="00EA2E4B"/>
    <w:rsid w:val="00EA2EA4"/>
    <w:rsid w:val="00EA2FB7"/>
    <w:rsid w:val="00EA2FE0"/>
    <w:rsid w:val="00EA2FEE"/>
    <w:rsid w:val="00EA3136"/>
    <w:rsid w:val="00EA313D"/>
    <w:rsid w:val="00EA314A"/>
    <w:rsid w:val="00EA31C0"/>
    <w:rsid w:val="00EA3213"/>
    <w:rsid w:val="00EA33D6"/>
    <w:rsid w:val="00EA3400"/>
    <w:rsid w:val="00EA3457"/>
    <w:rsid w:val="00EA349E"/>
    <w:rsid w:val="00EA3542"/>
    <w:rsid w:val="00EA356B"/>
    <w:rsid w:val="00EA374F"/>
    <w:rsid w:val="00EA378A"/>
    <w:rsid w:val="00EA37D9"/>
    <w:rsid w:val="00EA3879"/>
    <w:rsid w:val="00EA3903"/>
    <w:rsid w:val="00EA3A0F"/>
    <w:rsid w:val="00EA3AFD"/>
    <w:rsid w:val="00EA3BDA"/>
    <w:rsid w:val="00EA3C1A"/>
    <w:rsid w:val="00EA3C26"/>
    <w:rsid w:val="00EA3C4B"/>
    <w:rsid w:val="00EA3C99"/>
    <w:rsid w:val="00EA3CEA"/>
    <w:rsid w:val="00EA3D74"/>
    <w:rsid w:val="00EA3DAF"/>
    <w:rsid w:val="00EA3DB0"/>
    <w:rsid w:val="00EA3ECF"/>
    <w:rsid w:val="00EA3F5F"/>
    <w:rsid w:val="00EA3F99"/>
    <w:rsid w:val="00EA3FEF"/>
    <w:rsid w:val="00EA405C"/>
    <w:rsid w:val="00EA41F8"/>
    <w:rsid w:val="00EA42E0"/>
    <w:rsid w:val="00EA4309"/>
    <w:rsid w:val="00EA4348"/>
    <w:rsid w:val="00EA43E4"/>
    <w:rsid w:val="00EA4434"/>
    <w:rsid w:val="00EA4456"/>
    <w:rsid w:val="00EA4508"/>
    <w:rsid w:val="00EA45F8"/>
    <w:rsid w:val="00EA461B"/>
    <w:rsid w:val="00EA47F6"/>
    <w:rsid w:val="00EA4847"/>
    <w:rsid w:val="00EA4925"/>
    <w:rsid w:val="00EA4976"/>
    <w:rsid w:val="00EA4977"/>
    <w:rsid w:val="00EA4AF4"/>
    <w:rsid w:val="00EA4B0A"/>
    <w:rsid w:val="00EA4B58"/>
    <w:rsid w:val="00EA4BFB"/>
    <w:rsid w:val="00EA4C9F"/>
    <w:rsid w:val="00EA4CB4"/>
    <w:rsid w:val="00EA4CF0"/>
    <w:rsid w:val="00EA4E15"/>
    <w:rsid w:val="00EA4E2E"/>
    <w:rsid w:val="00EA4E68"/>
    <w:rsid w:val="00EA4F72"/>
    <w:rsid w:val="00EA4F77"/>
    <w:rsid w:val="00EA4FD4"/>
    <w:rsid w:val="00EA517A"/>
    <w:rsid w:val="00EA5264"/>
    <w:rsid w:val="00EA5309"/>
    <w:rsid w:val="00EA5353"/>
    <w:rsid w:val="00EA5390"/>
    <w:rsid w:val="00EA539D"/>
    <w:rsid w:val="00EA53A2"/>
    <w:rsid w:val="00EA542A"/>
    <w:rsid w:val="00EA575F"/>
    <w:rsid w:val="00EA5782"/>
    <w:rsid w:val="00EA582B"/>
    <w:rsid w:val="00EA585B"/>
    <w:rsid w:val="00EA5885"/>
    <w:rsid w:val="00EA5926"/>
    <w:rsid w:val="00EA59BD"/>
    <w:rsid w:val="00EA59EB"/>
    <w:rsid w:val="00EA59F9"/>
    <w:rsid w:val="00EA5A4D"/>
    <w:rsid w:val="00EA5B74"/>
    <w:rsid w:val="00EA5BCA"/>
    <w:rsid w:val="00EA5C51"/>
    <w:rsid w:val="00EA5CF7"/>
    <w:rsid w:val="00EA5D2E"/>
    <w:rsid w:val="00EA5D5A"/>
    <w:rsid w:val="00EA5DA3"/>
    <w:rsid w:val="00EA5DC9"/>
    <w:rsid w:val="00EA5E6B"/>
    <w:rsid w:val="00EA5EAB"/>
    <w:rsid w:val="00EA5EB5"/>
    <w:rsid w:val="00EA5F0B"/>
    <w:rsid w:val="00EA5FC4"/>
    <w:rsid w:val="00EA6070"/>
    <w:rsid w:val="00EA60C1"/>
    <w:rsid w:val="00EA62CA"/>
    <w:rsid w:val="00EA62D0"/>
    <w:rsid w:val="00EA6377"/>
    <w:rsid w:val="00EA63DC"/>
    <w:rsid w:val="00EA645C"/>
    <w:rsid w:val="00EA64D8"/>
    <w:rsid w:val="00EA64E6"/>
    <w:rsid w:val="00EA6722"/>
    <w:rsid w:val="00EA6723"/>
    <w:rsid w:val="00EA672D"/>
    <w:rsid w:val="00EA6772"/>
    <w:rsid w:val="00EA67FB"/>
    <w:rsid w:val="00EA6883"/>
    <w:rsid w:val="00EA69B8"/>
    <w:rsid w:val="00EA6AC0"/>
    <w:rsid w:val="00EA6AF3"/>
    <w:rsid w:val="00EA6C06"/>
    <w:rsid w:val="00EA6C95"/>
    <w:rsid w:val="00EA6CB4"/>
    <w:rsid w:val="00EA6D5B"/>
    <w:rsid w:val="00EA6DDC"/>
    <w:rsid w:val="00EA6E5A"/>
    <w:rsid w:val="00EA6F46"/>
    <w:rsid w:val="00EA6FB6"/>
    <w:rsid w:val="00EA7066"/>
    <w:rsid w:val="00EA7097"/>
    <w:rsid w:val="00EA70AF"/>
    <w:rsid w:val="00EA70ED"/>
    <w:rsid w:val="00EA70EF"/>
    <w:rsid w:val="00EA70FE"/>
    <w:rsid w:val="00EA7132"/>
    <w:rsid w:val="00EA71B6"/>
    <w:rsid w:val="00EA7200"/>
    <w:rsid w:val="00EA7250"/>
    <w:rsid w:val="00EA73BA"/>
    <w:rsid w:val="00EA74AF"/>
    <w:rsid w:val="00EA7525"/>
    <w:rsid w:val="00EA7576"/>
    <w:rsid w:val="00EA76A2"/>
    <w:rsid w:val="00EA76DF"/>
    <w:rsid w:val="00EA7924"/>
    <w:rsid w:val="00EA7934"/>
    <w:rsid w:val="00EA793B"/>
    <w:rsid w:val="00EA7AF5"/>
    <w:rsid w:val="00EA7B1C"/>
    <w:rsid w:val="00EA7BCA"/>
    <w:rsid w:val="00EA7DBF"/>
    <w:rsid w:val="00EA7EB2"/>
    <w:rsid w:val="00EA7F8C"/>
    <w:rsid w:val="00EAB118"/>
    <w:rsid w:val="00EB0064"/>
    <w:rsid w:val="00EB0076"/>
    <w:rsid w:val="00EB017F"/>
    <w:rsid w:val="00EB02E4"/>
    <w:rsid w:val="00EB0478"/>
    <w:rsid w:val="00EB04B0"/>
    <w:rsid w:val="00EB04E6"/>
    <w:rsid w:val="00EB0565"/>
    <w:rsid w:val="00EB062E"/>
    <w:rsid w:val="00EB09E3"/>
    <w:rsid w:val="00EB0AB4"/>
    <w:rsid w:val="00EB0D1E"/>
    <w:rsid w:val="00EB0D4B"/>
    <w:rsid w:val="00EB0D84"/>
    <w:rsid w:val="00EB0E49"/>
    <w:rsid w:val="00EB0E59"/>
    <w:rsid w:val="00EB0EC0"/>
    <w:rsid w:val="00EB0F61"/>
    <w:rsid w:val="00EB1151"/>
    <w:rsid w:val="00EB119E"/>
    <w:rsid w:val="00EB11D7"/>
    <w:rsid w:val="00EB144F"/>
    <w:rsid w:val="00EB14A6"/>
    <w:rsid w:val="00EB14BA"/>
    <w:rsid w:val="00EB152D"/>
    <w:rsid w:val="00EB1568"/>
    <w:rsid w:val="00EB1591"/>
    <w:rsid w:val="00EB15FD"/>
    <w:rsid w:val="00EB164E"/>
    <w:rsid w:val="00EB16AA"/>
    <w:rsid w:val="00EB1816"/>
    <w:rsid w:val="00EB1862"/>
    <w:rsid w:val="00EB1909"/>
    <w:rsid w:val="00EB19D8"/>
    <w:rsid w:val="00EB1AA5"/>
    <w:rsid w:val="00EB1AE3"/>
    <w:rsid w:val="00EB1B28"/>
    <w:rsid w:val="00EB1C2A"/>
    <w:rsid w:val="00EB2088"/>
    <w:rsid w:val="00EB218C"/>
    <w:rsid w:val="00EB21FA"/>
    <w:rsid w:val="00EB2281"/>
    <w:rsid w:val="00EB2354"/>
    <w:rsid w:val="00EB238B"/>
    <w:rsid w:val="00EB2444"/>
    <w:rsid w:val="00EB2470"/>
    <w:rsid w:val="00EB248C"/>
    <w:rsid w:val="00EB252B"/>
    <w:rsid w:val="00EB2579"/>
    <w:rsid w:val="00EB257B"/>
    <w:rsid w:val="00EB26A7"/>
    <w:rsid w:val="00EB2749"/>
    <w:rsid w:val="00EB280D"/>
    <w:rsid w:val="00EB28E7"/>
    <w:rsid w:val="00EB28FF"/>
    <w:rsid w:val="00EB29C6"/>
    <w:rsid w:val="00EB2B4D"/>
    <w:rsid w:val="00EB2D35"/>
    <w:rsid w:val="00EB2D5E"/>
    <w:rsid w:val="00EB2DB9"/>
    <w:rsid w:val="00EB2E2C"/>
    <w:rsid w:val="00EB2F38"/>
    <w:rsid w:val="00EB2FB3"/>
    <w:rsid w:val="00EB3050"/>
    <w:rsid w:val="00EB331B"/>
    <w:rsid w:val="00EB336E"/>
    <w:rsid w:val="00EB3501"/>
    <w:rsid w:val="00EB351C"/>
    <w:rsid w:val="00EB3532"/>
    <w:rsid w:val="00EB360A"/>
    <w:rsid w:val="00EB36D9"/>
    <w:rsid w:val="00EB372F"/>
    <w:rsid w:val="00EB38CB"/>
    <w:rsid w:val="00EB397D"/>
    <w:rsid w:val="00EB3984"/>
    <w:rsid w:val="00EB3A6C"/>
    <w:rsid w:val="00EB3A80"/>
    <w:rsid w:val="00EB3AA9"/>
    <w:rsid w:val="00EB3B92"/>
    <w:rsid w:val="00EB3BA5"/>
    <w:rsid w:val="00EB3BD3"/>
    <w:rsid w:val="00EB3C23"/>
    <w:rsid w:val="00EB3C25"/>
    <w:rsid w:val="00EB3CF0"/>
    <w:rsid w:val="00EB3E5C"/>
    <w:rsid w:val="00EB414A"/>
    <w:rsid w:val="00EB417D"/>
    <w:rsid w:val="00EB41D9"/>
    <w:rsid w:val="00EB421B"/>
    <w:rsid w:val="00EB42D2"/>
    <w:rsid w:val="00EB43C5"/>
    <w:rsid w:val="00EB43E4"/>
    <w:rsid w:val="00EB448A"/>
    <w:rsid w:val="00EB4493"/>
    <w:rsid w:val="00EB44D2"/>
    <w:rsid w:val="00EB4511"/>
    <w:rsid w:val="00EB45EB"/>
    <w:rsid w:val="00EB4648"/>
    <w:rsid w:val="00EB48D9"/>
    <w:rsid w:val="00EB4920"/>
    <w:rsid w:val="00EB4954"/>
    <w:rsid w:val="00EB49A0"/>
    <w:rsid w:val="00EB49BE"/>
    <w:rsid w:val="00EB49CB"/>
    <w:rsid w:val="00EB49CD"/>
    <w:rsid w:val="00EB49D3"/>
    <w:rsid w:val="00EB49DE"/>
    <w:rsid w:val="00EB4A91"/>
    <w:rsid w:val="00EB4AD5"/>
    <w:rsid w:val="00EB4B1E"/>
    <w:rsid w:val="00EB4B2E"/>
    <w:rsid w:val="00EB4D9F"/>
    <w:rsid w:val="00EB4DBE"/>
    <w:rsid w:val="00EB4E23"/>
    <w:rsid w:val="00EB5140"/>
    <w:rsid w:val="00EB530D"/>
    <w:rsid w:val="00EB5391"/>
    <w:rsid w:val="00EB54B7"/>
    <w:rsid w:val="00EB551D"/>
    <w:rsid w:val="00EB553A"/>
    <w:rsid w:val="00EB558A"/>
    <w:rsid w:val="00EB56AB"/>
    <w:rsid w:val="00EB5739"/>
    <w:rsid w:val="00EB57CD"/>
    <w:rsid w:val="00EB581A"/>
    <w:rsid w:val="00EB5A18"/>
    <w:rsid w:val="00EB5A81"/>
    <w:rsid w:val="00EB5A8E"/>
    <w:rsid w:val="00EB5ACD"/>
    <w:rsid w:val="00EB5B0B"/>
    <w:rsid w:val="00EB5B85"/>
    <w:rsid w:val="00EB5C3C"/>
    <w:rsid w:val="00EB5C4B"/>
    <w:rsid w:val="00EB5D3D"/>
    <w:rsid w:val="00EB5D86"/>
    <w:rsid w:val="00EB600B"/>
    <w:rsid w:val="00EB607F"/>
    <w:rsid w:val="00EB60AA"/>
    <w:rsid w:val="00EB61E1"/>
    <w:rsid w:val="00EB623A"/>
    <w:rsid w:val="00EB62CF"/>
    <w:rsid w:val="00EB62EF"/>
    <w:rsid w:val="00EB6356"/>
    <w:rsid w:val="00EB63D2"/>
    <w:rsid w:val="00EB6419"/>
    <w:rsid w:val="00EB67B5"/>
    <w:rsid w:val="00EB67F0"/>
    <w:rsid w:val="00EB69F0"/>
    <w:rsid w:val="00EB6B43"/>
    <w:rsid w:val="00EB6BC1"/>
    <w:rsid w:val="00EB6BD9"/>
    <w:rsid w:val="00EB6BFF"/>
    <w:rsid w:val="00EB6D3C"/>
    <w:rsid w:val="00EB6D85"/>
    <w:rsid w:val="00EB6DAF"/>
    <w:rsid w:val="00EB6E95"/>
    <w:rsid w:val="00EB6F39"/>
    <w:rsid w:val="00EB7030"/>
    <w:rsid w:val="00EB7048"/>
    <w:rsid w:val="00EB70F7"/>
    <w:rsid w:val="00EB723B"/>
    <w:rsid w:val="00EB7248"/>
    <w:rsid w:val="00EB724A"/>
    <w:rsid w:val="00EB72D9"/>
    <w:rsid w:val="00EB7300"/>
    <w:rsid w:val="00EB73E8"/>
    <w:rsid w:val="00EB73FF"/>
    <w:rsid w:val="00EB740E"/>
    <w:rsid w:val="00EB75A3"/>
    <w:rsid w:val="00EB760D"/>
    <w:rsid w:val="00EB76AB"/>
    <w:rsid w:val="00EB7702"/>
    <w:rsid w:val="00EB7705"/>
    <w:rsid w:val="00EB7719"/>
    <w:rsid w:val="00EB772B"/>
    <w:rsid w:val="00EB779B"/>
    <w:rsid w:val="00EB7806"/>
    <w:rsid w:val="00EB7861"/>
    <w:rsid w:val="00EB7869"/>
    <w:rsid w:val="00EB793C"/>
    <w:rsid w:val="00EB7957"/>
    <w:rsid w:val="00EB7B09"/>
    <w:rsid w:val="00EB7B3C"/>
    <w:rsid w:val="00EB7C45"/>
    <w:rsid w:val="00EB7CDA"/>
    <w:rsid w:val="00EB7D28"/>
    <w:rsid w:val="00EB7DA2"/>
    <w:rsid w:val="00EB7DD0"/>
    <w:rsid w:val="00EB7E37"/>
    <w:rsid w:val="00EB7E72"/>
    <w:rsid w:val="00EB7EFC"/>
    <w:rsid w:val="00EB7FF6"/>
    <w:rsid w:val="00EC0084"/>
    <w:rsid w:val="00EC00D9"/>
    <w:rsid w:val="00EC01DB"/>
    <w:rsid w:val="00EC0394"/>
    <w:rsid w:val="00EC03C6"/>
    <w:rsid w:val="00EC03FF"/>
    <w:rsid w:val="00EC047E"/>
    <w:rsid w:val="00EC04A3"/>
    <w:rsid w:val="00EC04D7"/>
    <w:rsid w:val="00EC0502"/>
    <w:rsid w:val="00EC05C5"/>
    <w:rsid w:val="00EC0612"/>
    <w:rsid w:val="00EC0651"/>
    <w:rsid w:val="00EC0716"/>
    <w:rsid w:val="00EC071E"/>
    <w:rsid w:val="00EC0737"/>
    <w:rsid w:val="00EC0745"/>
    <w:rsid w:val="00EC07AB"/>
    <w:rsid w:val="00EC08DB"/>
    <w:rsid w:val="00EC09A9"/>
    <w:rsid w:val="00EC09AF"/>
    <w:rsid w:val="00EC0AA9"/>
    <w:rsid w:val="00EC0BCF"/>
    <w:rsid w:val="00EC0C39"/>
    <w:rsid w:val="00EC0C60"/>
    <w:rsid w:val="00EC0CCE"/>
    <w:rsid w:val="00EC0D91"/>
    <w:rsid w:val="00EC0DD1"/>
    <w:rsid w:val="00EC0E70"/>
    <w:rsid w:val="00EC0EF7"/>
    <w:rsid w:val="00EC10E0"/>
    <w:rsid w:val="00EC10ED"/>
    <w:rsid w:val="00EC1106"/>
    <w:rsid w:val="00EC110D"/>
    <w:rsid w:val="00EC1196"/>
    <w:rsid w:val="00EC121C"/>
    <w:rsid w:val="00EC1220"/>
    <w:rsid w:val="00EC134E"/>
    <w:rsid w:val="00EC1382"/>
    <w:rsid w:val="00EC1395"/>
    <w:rsid w:val="00EC13F4"/>
    <w:rsid w:val="00EC1479"/>
    <w:rsid w:val="00EC147D"/>
    <w:rsid w:val="00EC156A"/>
    <w:rsid w:val="00EC165D"/>
    <w:rsid w:val="00EC1678"/>
    <w:rsid w:val="00EC169B"/>
    <w:rsid w:val="00EC1781"/>
    <w:rsid w:val="00EC189C"/>
    <w:rsid w:val="00EC18E4"/>
    <w:rsid w:val="00EC1A17"/>
    <w:rsid w:val="00EC1A5C"/>
    <w:rsid w:val="00EC1A6F"/>
    <w:rsid w:val="00EC1AE6"/>
    <w:rsid w:val="00EC1B92"/>
    <w:rsid w:val="00EC1BA1"/>
    <w:rsid w:val="00EC1C8A"/>
    <w:rsid w:val="00EC1CC6"/>
    <w:rsid w:val="00EC1DE5"/>
    <w:rsid w:val="00EC1EF0"/>
    <w:rsid w:val="00EC1F1C"/>
    <w:rsid w:val="00EC1F52"/>
    <w:rsid w:val="00EC1F60"/>
    <w:rsid w:val="00EC1F6B"/>
    <w:rsid w:val="00EC1FA8"/>
    <w:rsid w:val="00EC2065"/>
    <w:rsid w:val="00EC2091"/>
    <w:rsid w:val="00EC20D4"/>
    <w:rsid w:val="00EC21E5"/>
    <w:rsid w:val="00EC221D"/>
    <w:rsid w:val="00EC2269"/>
    <w:rsid w:val="00EC22D1"/>
    <w:rsid w:val="00EC2334"/>
    <w:rsid w:val="00EC236F"/>
    <w:rsid w:val="00EC23FE"/>
    <w:rsid w:val="00EC248D"/>
    <w:rsid w:val="00EC251C"/>
    <w:rsid w:val="00EC27FE"/>
    <w:rsid w:val="00EC2912"/>
    <w:rsid w:val="00EC297D"/>
    <w:rsid w:val="00EC2A1F"/>
    <w:rsid w:val="00EC2A77"/>
    <w:rsid w:val="00EC2B2D"/>
    <w:rsid w:val="00EC2B53"/>
    <w:rsid w:val="00EC2C40"/>
    <w:rsid w:val="00EC2C64"/>
    <w:rsid w:val="00EC2CDF"/>
    <w:rsid w:val="00EC2D74"/>
    <w:rsid w:val="00EC2D79"/>
    <w:rsid w:val="00EC2D83"/>
    <w:rsid w:val="00EC2F02"/>
    <w:rsid w:val="00EC2FCB"/>
    <w:rsid w:val="00EC305A"/>
    <w:rsid w:val="00EC3146"/>
    <w:rsid w:val="00EC32E0"/>
    <w:rsid w:val="00EC331C"/>
    <w:rsid w:val="00EC33B4"/>
    <w:rsid w:val="00EC33F7"/>
    <w:rsid w:val="00EC3665"/>
    <w:rsid w:val="00EC37AB"/>
    <w:rsid w:val="00EC38E8"/>
    <w:rsid w:val="00EC39E6"/>
    <w:rsid w:val="00EC3A90"/>
    <w:rsid w:val="00EC3A9D"/>
    <w:rsid w:val="00EC3AAD"/>
    <w:rsid w:val="00EC3AF7"/>
    <w:rsid w:val="00EC3C0B"/>
    <w:rsid w:val="00EC3DBD"/>
    <w:rsid w:val="00EC3F5A"/>
    <w:rsid w:val="00EC3F61"/>
    <w:rsid w:val="00EC3F63"/>
    <w:rsid w:val="00EC3FFF"/>
    <w:rsid w:val="00EC4050"/>
    <w:rsid w:val="00EC4055"/>
    <w:rsid w:val="00EC40B4"/>
    <w:rsid w:val="00EC40C1"/>
    <w:rsid w:val="00EC40EB"/>
    <w:rsid w:val="00EC4129"/>
    <w:rsid w:val="00EC4177"/>
    <w:rsid w:val="00EC4260"/>
    <w:rsid w:val="00EC429D"/>
    <w:rsid w:val="00EC42E9"/>
    <w:rsid w:val="00EC4319"/>
    <w:rsid w:val="00EC4345"/>
    <w:rsid w:val="00EC43CF"/>
    <w:rsid w:val="00EC4400"/>
    <w:rsid w:val="00EC447C"/>
    <w:rsid w:val="00EC456B"/>
    <w:rsid w:val="00EC49B0"/>
    <w:rsid w:val="00EC4BAB"/>
    <w:rsid w:val="00EC4BDB"/>
    <w:rsid w:val="00EC4C05"/>
    <w:rsid w:val="00EC4C0B"/>
    <w:rsid w:val="00EC4CB7"/>
    <w:rsid w:val="00EC4CBC"/>
    <w:rsid w:val="00EC4CF5"/>
    <w:rsid w:val="00EC4D37"/>
    <w:rsid w:val="00EC4D92"/>
    <w:rsid w:val="00EC4F64"/>
    <w:rsid w:val="00EC5079"/>
    <w:rsid w:val="00EC5142"/>
    <w:rsid w:val="00EC5153"/>
    <w:rsid w:val="00EC51E0"/>
    <w:rsid w:val="00EC52BB"/>
    <w:rsid w:val="00EC53C7"/>
    <w:rsid w:val="00EC544A"/>
    <w:rsid w:val="00EC54F1"/>
    <w:rsid w:val="00EC55FC"/>
    <w:rsid w:val="00EC5623"/>
    <w:rsid w:val="00EC56C5"/>
    <w:rsid w:val="00EC5720"/>
    <w:rsid w:val="00EC5815"/>
    <w:rsid w:val="00EC589C"/>
    <w:rsid w:val="00EC59C8"/>
    <w:rsid w:val="00EC5A58"/>
    <w:rsid w:val="00EC5AB9"/>
    <w:rsid w:val="00EC5AF0"/>
    <w:rsid w:val="00EC5B22"/>
    <w:rsid w:val="00EC5B3A"/>
    <w:rsid w:val="00EC5C5B"/>
    <w:rsid w:val="00EC5CEE"/>
    <w:rsid w:val="00EC5D63"/>
    <w:rsid w:val="00EC5D6D"/>
    <w:rsid w:val="00EC5D8C"/>
    <w:rsid w:val="00EC5EA1"/>
    <w:rsid w:val="00EC5EF7"/>
    <w:rsid w:val="00EC5FA4"/>
    <w:rsid w:val="00EC5FDE"/>
    <w:rsid w:val="00EC5FE9"/>
    <w:rsid w:val="00EC6096"/>
    <w:rsid w:val="00EC60C2"/>
    <w:rsid w:val="00EC612F"/>
    <w:rsid w:val="00EC61DC"/>
    <w:rsid w:val="00EC620A"/>
    <w:rsid w:val="00EC6216"/>
    <w:rsid w:val="00EC62AC"/>
    <w:rsid w:val="00EC6309"/>
    <w:rsid w:val="00EC649D"/>
    <w:rsid w:val="00EC650C"/>
    <w:rsid w:val="00EC661B"/>
    <w:rsid w:val="00EC663D"/>
    <w:rsid w:val="00EC67FC"/>
    <w:rsid w:val="00EC6819"/>
    <w:rsid w:val="00EC6824"/>
    <w:rsid w:val="00EC6842"/>
    <w:rsid w:val="00EC6928"/>
    <w:rsid w:val="00EC692F"/>
    <w:rsid w:val="00EC694E"/>
    <w:rsid w:val="00EC69C6"/>
    <w:rsid w:val="00EC6A0C"/>
    <w:rsid w:val="00EC6A55"/>
    <w:rsid w:val="00EC6A6F"/>
    <w:rsid w:val="00EC6A8A"/>
    <w:rsid w:val="00EC6BF0"/>
    <w:rsid w:val="00EC6D72"/>
    <w:rsid w:val="00EC6E00"/>
    <w:rsid w:val="00EC6ED6"/>
    <w:rsid w:val="00EC6FA1"/>
    <w:rsid w:val="00EC7005"/>
    <w:rsid w:val="00EC701B"/>
    <w:rsid w:val="00EC713C"/>
    <w:rsid w:val="00EC71D2"/>
    <w:rsid w:val="00EC723F"/>
    <w:rsid w:val="00EC7279"/>
    <w:rsid w:val="00EC7297"/>
    <w:rsid w:val="00EC7447"/>
    <w:rsid w:val="00EC74CE"/>
    <w:rsid w:val="00EC75A1"/>
    <w:rsid w:val="00EC77A2"/>
    <w:rsid w:val="00EC77D4"/>
    <w:rsid w:val="00EC7989"/>
    <w:rsid w:val="00EC798B"/>
    <w:rsid w:val="00EC7A58"/>
    <w:rsid w:val="00EC7AD1"/>
    <w:rsid w:val="00EC7C07"/>
    <w:rsid w:val="00EC7CC5"/>
    <w:rsid w:val="00EC7DAC"/>
    <w:rsid w:val="00EC7EA2"/>
    <w:rsid w:val="00EC7F48"/>
    <w:rsid w:val="00ED00E4"/>
    <w:rsid w:val="00ED0137"/>
    <w:rsid w:val="00ED05AD"/>
    <w:rsid w:val="00ED060D"/>
    <w:rsid w:val="00ED061C"/>
    <w:rsid w:val="00ED0714"/>
    <w:rsid w:val="00ED07A6"/>
    <w:rsid w:val="00ED08B5"/>
    <w:rsid w:val="00ED0901"/>
    <w:rsid w:val="00ED0964"/>
    <w:rsid w:val="00ED0991"/>
    <w:rsid w:val="00ED09BF"/>
    <w:rsid w:val="00ED0B2F"/>
    <w:rsid w:val="00ED0B6C"/>
    <w:rsid w:val="00ED0BA9"/>
    <w:rsid w:val="00ED0BB8"/>
    <w:rsid w:val="00ED0C19"/>
    <w:rsid w:val="00ED0CD8"/>
    <w:rsid w:val="00ED0D2B"/>
    <w:rsid w:val="00ED0DF2"/>
    <w:rsid w:val="00ED0EA0"/>
    <w:rsid w:val="00ED0EB2"/>
    <w:rsid w:val="00ED0EE4"/>
    <w:rsid w:val="00ED110A"/>
    <w:rsid w:val="00ED11AE"/>
    <w:rsid w:val="00ED11E1"/>
    <w:rsid w:val="00ED1269"/>
    <w:rsid w:val="00ED1300"/>
    <w:rsid w:val="00ED133C"/>
    <w:rsid w:val="00ED138C"/>
    <w:rsid w:val="00ED1456"/>
    <w:rsid w:val="00ED145E"/>
    <w:rsid w:val="00ED1550"/>
    <w:rsid w:val="00ED158B"/>
    <w:rsid w:val="00ED1644"/>
    <w:rsid w:val="00ED1815"/>
    <w:rsid w:val="00ED191D"/>
    <w:rsid w:val="00ED1A77"/>
    <w:rsid w:val="00ED1B20"/>
    <w:rsid w:val="00ED1D1C"/>
    <w:rsid w:val="00ED1D3E"/>
    <w:rsid w:val="00ED1E78"/>
    <w:rsid w:val="00ED1E7D"/>
    <w:rsid w:val="00ED1FC6"/>
    <w:rsid w:val="00ED200C"/>
    <w:rsid w:val="00ED209B"/>
    <w:rsid w:val="00ED2109"/>
    <w:rsid w:val="00ED21C9"/>
    <w:rsid w:val="00ED228A"/>
    <w:rsid w:val="00ED2312"/>
    <w:rsid w:val="00ED23B6"/>
    <w:rsid w:val="00ED2414"/>
    <w:rsid w:val="00ED244F"/>
    <w:rsid w:val="00ED2588"/>
    <w:rsid w:val="00ED264E"/>
    <w:rsid w:val="00ED26F8"/>
    <w:rsid w:val="00ED2747"/>
    <w:rsid w:val="00ED27D4"/>
    <w:rsid w:val="00ED2977"/>
    <w:rsid w:val="00ED2AD4"/>
    <w:rsid w:val="00ED2D33"/>
    <w:rsid w:val="00ED2D71"/>
    <w:rsid w:val="00ED2E21"/>
    <w:rsid w:val="00ED2F6F"/>
    <w:rsid w:val="00ED301D"/>
    <w:rsid w:val="00ED3099"/>
    <w:rsid w:val="00ED3311"/>
    <w:rsid w:val="00ED368C"/>
    <w:rsid w:val="00ED36B0"/>
    <w:rsid w:val="00ED3865"/>
    <w:rsid w:val="00ED3899"/>
    <w:rsid w:val="00ED391F"/>
    <w:rsid w:val="00ED3926"/>
    <w:rsid w:val="00ED398F"/>
    <w:rsid w:val="00ED39BF"/>
    <w:rsid w:val="00ED3A4F"/>
    <w:rsid w:val="00ED3B3A"/>
    <w:rsid w:val="00ED3D17"/>
    <w:rsid w:val="00ED3E93"/>
    <w:rsid w:val="00ED3E9A"/>
    <w:rsid w:val="00ED4000"/>
    <w:rsid w:val="00ED4093"/>
    <w:rsid w:val="00ED421F"/>
    <w:rsid w:val="00ED43B1"/>
    <w:rsid w:val="00ED43E2"/>
    <w:rsid w:val="00ED4422"/>
    <w:rsid w:val="00ED451A"/>
    <w:rsid w:val="00ED45C9"/>
    <w:rsid w:val="00ED4727"/>
    <w:rsid w:val="00ED47C7"/>
    <w:rsid w:val="00ED4827"/>
    <w:rsid w:val="00ED4942"/>
    <w:rsid w:val="00ED4C2F"/>
    <w:rsid w:val="00ED4DE4"/>
    <w:rsid w:val="00ED4EB2"/>
    <w:rsid w:val="00ED4F02"/>
    <w:rsid w:val="00ED4F34"/>
    <w:rsid w:val="00ED4FE8"/>
    <w:rsid w:val="00ED5005"/>
    <w:rsid w:val="00ED500B"/>
    <w:rsid w:val="00ED5093"/>
    <w:rsid w:val="00ED52A1"/>
    <w:rsid w:val="00ED53F4"/>
    <w:rsid w:val="00ED5409"/>
    <w:rsid w:val="00ED5425"/>
    <w:rsid w:val="00ED54A6"/>
    <w:rsid w:val="00ED54AD"/>
    <w:rsid w:val="00ED54D0"/>
    <w:rsid w:val="00ED55FD"/>
    <w:rsid w:val="00ED561C"/>
    <w:rsid w:val="00ED56FB"/>
    <w:rsid w:val="00ED5771"/>
    <w:rsid w:val="00ED57F9"/>
    <w:rsid w:val="00ED58DD"/>
    <w:rsid w:val="00ED5A98"/>
    <w:rsid w:val="00ED5ADA"/>
    <w:rsid w:val="00ED5B0C"/>
    <w:rsid w:val="00ED5B36"/>
    <w:rsid w:val="00ED5BB7"/>
    <w:rsid w:val="00ED5CB8"/>
    <w:rsid w:val="00ED5DE9"/>
    <w:rsid w:val="00ED5E7C"/>
    <w:rsid w:val="00ED605E"/>
    <w:rsid w:val="00ED6250"/>
    <w:rsid w:val="00ED6290"/>
    <w:rsid w:val="00ED62EC"/>
    <w:rsid w:val="00ED63CC"/>
    <w:rsid w:val="00ED649F"/>
    <w:rsid w:val="00ED65EE"/>
    <w:rsid w:val="00ED66FD"/>
    <w:rsid w:val="00ED67B1"/>
    <w:rsid w:val="00ED67B3"/>
    <w:rsid w:val="00ED67D6"/>
    <w:rsid w:val="00ED6A8D"/>
    <w:rsid w:val="00ED6B95"/>
    <w:rsid w:val="00ED6C0D"/>
    <w:rsid w:val="00ED6CA9"/>
    <w:rsid w:val="00ED6D3B"/>
    <w:rsid w:val="00ED6D91"/>
    <w:rsid w:val="00ED6E76"/>
    <w:rsid w:val="00ED6EBA"/>
    <w:rsid w:val="00ED6F98"/>
    <w:rsid w:val="00ED70FE"/>
    <w:rsid w:val="00ED7163"/>
    <w:rsid w:val="00ED71BE"/>
    <w:rsid w:val="00ED7262"/>
    <w:rsid w:val="00ED726D"/>
    <w:rsid w:val="00ED72CD"/>
    <w:rsid w:val="00ED74CA"/>
    <w:rsid w:val="00ED74FB"/>
    <w:rsid w:val="00ED7549"/>
    <w:rsid w:val="00ED7551"/>
    <w:rsid w:val="00ED77BF"/>
    <w:rsid w:val="00ED77C9"/>
    <w:rsid w:val="00ED7862"/>
    <w:rsid w:val="00ED79F3"/>
    <w:rsid w:val="00ED7A96"/>
    <w:rsid w:val="00ED7C0E"/>
    <w:rsid w:val="00ED7CA0"/>
    <w:rsid w:val="00ED7CA8"/>
    <w:rsid w:val="00ED7CEF"/>
    <w:rsid w:val="00ED7D9D"/>
    <w:rsid w:val="00ED7E61"/>
    <w:rsid w:val="00ED7E73"/>
    <w:rsid w:val="00ED7F42"/>
    <w:rsid w:val="00ED7F8B"/>
    <w:rsid w:val="00ED7FB9"/>
    <w:rsid w:val="00ED7FC2"/>
    <w:rsid w:val="00EE0258"/>
    <w:rsid w:val="00EE0374"/>
    <w:rsid w:val="00EE03EA"/>
    <w:rsid w:val="00EE0447"/>
    <w:rsid w:val="00EE0452"/>
    <w:rsid w:val="00EE0494"/>
    <w:rsid w:val="00EE0504"/>
    <w:rsid w:val="00EE05B8"/>
    <w:rsid w:val="00EE05D8"/>
    <w:rsid w:val="00EE05E6"/>
    <w:rsid w:val="00EE063B"/>
    <w:rsid w:val="00EE069B"/>
    <w:rsid w:val="00EE073E"/>
    <w:rsid w:val="00EE0846"/>
    <w:rsid w:val="00EE0864"/>
    <w:rsid w:val="00EE0882"/>
    <w:rsid w:val="00EE08F3"/>
    <w:rsid w:val="00EE0934"/>
    <w:rsid w:val="00EE09C0"/>
    <w:rsid w:val="00EE09DA"/>
    <w:rsid w:val="00EE0A25"/>
    <w:rsid w:val="00EE0B56"/>
    <w:rsid w:val="00EE0C9B"/>
    <w:rsid w:val="00EE0CAC"/>
    <w:rsid w:val="00EE0E9F"/>
    <w:rsid w:val="00EE0ECA"/>
    <w:rsid w:val="00EE0EEB"/>
    <w:rsid w:val="00EE0FB6"/>
    <w:rsid w:val="00EE0FC0"/>
    <w:rsid w:val="00EE1062"/>
    <w:rsid w:val="00EE121D"/>
    <w:rsid w:val="00EE139D"/>
    <w:rsid w:val="00EE1471"/>
    <w:rsid w:val="00EE1799"/>
    <w:rsid w:val="00EE17A2"/>
    <w:rsid w:val="00EE1833"/>
    <w:rsid w:val="00EE1918"/>
    <w:rsid w:val="00EE198C"/>
    <w:rsid w:val="00EE1A59"/>
    <w:rsid w:val="00EE1B5B"/>
    <w:rsid w:val="00EE1C58"/>
    <w:rsid w:val="00EE1CBE"/>
    <w:rsid w:val="00EE1F97"/>
    <w:rsid w:val="00EE22BA"/>
    <w:rsid w:val="00EE22D7"/>
    <w:rsid w:val="00EE23CE"/>
    <w:rsid w:val="00EE244F"/>
    <w:rsid w:val="00EE24BF"/>
    <w:rsid w:val="00EE24C5"/>
    <w:rsid w:val="00EE255D"/>
    <w:rsid w:val="00EE258E"/>
    <w:rsid w:val="00EE266B"/>
    <w:rsid w:val="00EE2817"/>
    <w:rsid w:val="00EE2868"/>
    <w:rsid w:val="00EE29D5"/>
    <w:rsid w:val="00EE2A46"/>
    <w:rsid w:val="00EE2B89"/>
    <w:rsid w:val="00EE2BBA"/>
    <w:rsid w:val="00EE2BCF"/>
    <w:rsid w:val="00EE2D45"/>
    <w:rsid w:val="00EE2E10"/>
    <w:rsid w:val="00EE2F5B"/>
    <w:rsid w:val="00EE2F82"/>
    <w:rsid w:val="00EE3081"/>
    <w:rsid w:val="00EE30F9"/>
    <w:rsid w:val="00EE31AF"/>
    <w:rsid w:val="00EE31F2"/>
    <w:rsid w:val="00EE32EC"/>
    <w:rsid w:val="00EE32EF"/>
    <w:rsid w:val="00EE3369"/>
    <w:rsid w:val="00EE3501"/>
    <w:rsid w:val="00EE37BC"/>
    <w:rsid w:val="00EE380E"/>
    <w:rsid w:val="00EE38B9"/>
    <w:rsid w:val="00EE3A0B"/>
    <w:rsid w:val="00EE3ADB"/>
    <w:rsid w:val="00EE3B3A"/>
    <w:rsid w:val="00EE3BAF"/>
    <w:rsid w:val="00EE3BC6"/>
    <w:rsid w:val="00EE3BD7"/>
    <w:rsid w:val="00EE3C04"/>
    <w:rsid w:val="00EE3C62"/>
    <w:rsid w:val="00EE3CC4"/>
    <w:rsid w:val="00EE3D32"/>
    <w:rsid w:val="00EE3E19"/>
    <w:rsid w:val="00EE3E46"/>
    <w:rsid w:val="00EE3F18"/>
    <w:rsid w:val="00EE3F5E"/>
    <w:rsid w:val="00EE4101"/>
    <w:rsid w:val="00EE4163"/>
    <w:rsid w:val="00EE4168"/>
    <w:rsid w:val="00EE416A"/>
    <w:rsid w:val="00EE417F"/>
    <w:rsid w:val="00EE418F"/>
    <w:rsid w:val="00EE41D0"/>
    <w:rsid w:val="00EE429A"/>
    <w:rsid w:val="00EE42A5"/>
    <w:rsid w:val="00EE4395"/>
    <w:rsid w:val="00EE43A5"/>
    <w:rsid w:val="00EE43AC"/>
    <w:rsid w:val="00EE4420"/>
    <w:rsid w:val="00EE4622"/>
    <w:rsid w:val="00EE47F3"/>
    <w:rsid w:val="00EE4A9D"/>
    <w:rsid w:val="00EE4B85"/>
    <w:rsid w:val="00EE4B8F"/>
    <w:rsid w:val="00EE4C9F"/>
    <w:rsid w:val="00EE4D75"/>
    <w:rsid w:val="00EE4D8C"/>
    <w:rsid w:val="00EE4DE9"/>
    <w:rsid w:val="00EE4DED"/>
    <w:rsid w:val="00EE4E71"/>
    <w:rsid w:val="00EE4F06"/>
    <w:rsid w:val="00EE4F65"/>
    <w:rsid w:val="00EE4F91"/>
    <w:rsid w:val="00EE500D"/>
    <w:rsid w:val="00EE5011"/>
    <w:rsid w:val="00EE5167"/>
    <w:rsid w:val="00EE51AD"/>
    <w:rsid w:val="00EE525B"/>
    <w:rsid w:val="00EE52E9"/>
    <w:rsid w:val="00EE5343"/>
    <w:rsid w:val="00EE53A7"/>
    <w:rsid w:val="00EE53E8"/>
    <w:rsid w:val="00EE54FA"/>
    <w:rsid w:val="00EE555B"/>
    <w:rsid w:val="00EE55D5"/>
    <w:rsid w:val="00EE55DF"/>
    <w:rsid w:val="00EE5639"/>
    <w:rsid w:val="00EE56DD"/>
    <w:rsid w:val="00EE5777"/>
    <w:rsid w:val="00EE5790"/>
    <w:rsid w:val="00EE57DB"/>
    <w:rsid w:val="00EE57F7"/>
    <w:rsid w:val="00EE5884"/>
    <w:rsid w:val="00EE592F"/>
    <w:rsid w:val="00EE59C1"/>
    <w:rsid w:val="00EE5A22"/>
    <w:rsid w:val="00EE5A5E"/>
    <w:rsid w:val="00EE5AA7"/>
    <w:rsid w:val="00EE5C13"/>
    <w:rsid w:val="00EE5CF3"/>
    <w:rsid w:val="00EE5D0F"/>
    <w:rsid w:val="00EE5D13"/>
    <w:rsid w:val="00EE5D74"/>
    <w:rsid w:val="00EE5ED4"/>
    <w:rsid w:val="00EE5F71"/>
    <w:rsid w:val="00EE5F9F"/>
    <w:rsid w:val="00EE5FBB"/>
    <w:rsid w:val="00EE5FF1"/>
    <w:rsid w:val="00EE5FFD"/>
    <w:rsid w:val="00EE61CC"/>
    <w:rsid w:val="00EE6345"/>
    <w:rsid w:val="00EE636B"/>
    <w:rsid w:val="00EE63C3"/>
    <w:rsid w:val="00EE63E2"/>
    <w:rsid w:val="00EE644A"/>
    <w:rsid w:val="00EE657E"/>
    <w:rsid w:val="00EE6661"/>
    <w:rsid w:val="00EE6689"/>
    <w:rsid w:val="00EE67B1"/>
    <w:rsid w:val="00EE6807"/>
    <w:rsid w:val="00EE69BD"/>
    <w:rsid w:val="00EE6A9A"/>
    <w:rsid w:val="00EE6B0B"/>
    <w:rsid w:val="00EE6B4C"/>
    <w:rsid w:val="00EE6D2D"/>
    <w:rsid w:val="00EE6E80"/>
    <w:rsid w:val="00EE6EB1"/>
    <w:rsid w:val="00EE6F1F"/>
    <w:rsid w:val="00EE6FA3"/>
    <w:rsid w:val="00EE6FC8"/>
    <w:rsid w:val="00EE7058"/>
    <w:rsid w:val="00EE70FA"/>
    <w:rsid w:val="00EE71A8"/>
    <w:rsid w:val="00EE728C"/>
    <w:rsid w:val="00EE72A7"/>
    <w:rsid w:val="00EE735F"/>
    <w:rsid w:val="00EE7381"/>
    <w:rsid w:val="00EE73DA"/>
    <w:rsid w:val="00EE74C4"/>
    <w:rsid w:val="00EE756A"/>
    <w:rsid w:val="00EE75BE"/>
    <w:rsid w:val="00EE76D8"/>
    <w:rsid w:val="00EE780F"/>
    <w:rsid w:val="00EE786B"/>
    <w:rsid w:val="00EE7876"/>
    <w:rsid w:val="00EE789A"/>
    <w:rsid w:val="00EE796F"/>
    <w:rsid w:val="00EE7B0A"/>
    <w:rsid w:val="00EE7B6D"/>
    <w:rsid w:val="00EE7C1F"/>
    <w:rsid w:val="00EE7D94"/>
    <w:rsid w:val="00EE7E9E"/>
    <w:rsid w:val="00EE7F9B"/>
    <w:rsid w:val="00EF002A"/>
    <w:rsid w:val="00EF002B"/>
    <w:rsid w:val="00EF00BC"/>
    <w:rsid w:val="00EF00F5"/>
    <w:rsid w:val="00EF0172"/>
    <w:rsid w:val="00EF0204"/>
    <w:rsid w:val="00EF02D2"/>
    <w:rsid w:val="00EF02DE"/>
    <w:rsid w:val="00EF030F"/>
    <w:rsid w:val="00EF0360"/>
    <w:rsid w:val="00EF0405"/>
    <w:rsid w:val="00EF04CE"/>
    <w:rsid w:val="00EF0516"/>
    <w:rsid w:val="00EF052F"/>
    <w:rsid w:val="00EF053C"/>
    <w:rsid w:val="00EF053F"/>
    <w:rsid w:val="00EF0673"/>
    <w:rsid w:val="00EF06B1"/>
    <w:rsid w:val="00EF06C5"/>
    <w:rsid w:val="00EF06D4"/>
    <w:rsid w:val="00EF07A3"/>
    <w:rsid w:val="00EF07B7"/>
    <w:rsid w:val="00EF07DD"/>
    <w:rsid w:val="00EF082E"/>
    <w:rsid w:val="00EF08F9"/>
    <w:rsid w:val="00EF0A87"/>
    <w:rsid w:val="00EF0AB6"/>
    <w:rsid w:val="00EF0AC8"/>
    <w:rsid w:val="00EF0B86"/>
    <w:rsid w:val="00EF0BB3"/>
    <w:rsid w:val="00EF0C6C"/>
    <w:rsid w:val="00EF0CA8"/>
    <w:rsid w:val="00EF0CB1"/>
    <w:rsid w:val="00EF0CF0"/>
    <w:rsid w:val="00EF0D0A"/>
    <w:rsid w:val="00EF0DC3"/>
    <w:rsid w:val="00EF0DDE"/>
    <w:rsid w:val="00EF0F2E"/>
    <w:rsid w:val="00EF0F38"/>
    <w:rsid w:val="00EF0FB8"/>
    <w:rsid w:val="00EF1049"/>
    <w:rsid w:val="00EF1074"/>
    <w:rsid w:val="00EF1086"/>
    <w:rsid w:val="00EF10FA"/>
    <w:rsid w:val="00EF111C"/>
    <w:rsid w:val="00EF119D"/>
    <w:rsid w:val="00EF1290"/>
    <w:rsid w:val="00EF1453"/>
    <w:rsid w:val="00EF1462"/>
    <w:rsid w:val="00EF1781"/>
    <w:rsid w:val="00EF1841"/>
    <w:rsid w:val="00EF188D"/>
    <w:rsid w:val="00EF18B0"/>
    <w:rsid w:val="00EF1962"/>
    <w:rsid w:val="00EF1A44"/>
    <w:rsid w:val="00EF1AD4"/>
    <w:rsid w:val="00EF1AF9"/>
    <w:rsid w:val="00EF1B11"/>
    <w:rsid w:val="00EF1B5D"/>
    <w:rsid w:val="00EF1B89"/>
    <w:rsid w:val="00EF1CAC"/>
    <w:rsid w:val="00EF1CDE"/>
    <w:rsid w:val="00EF1D4E"/>
    <w:rsid w:val="00EF1E1A"/>
    <w:rsid w:val="00EF1E8D"/>
    <w:rsid w:val="00EF1EAD"/>
    <w:rsid w:val="00EF1EC7"/>
    <w:rsid w:val="00EF1EF1"/>
    <w:rsid w:val="00EF1F3B"/>
    <w:rsid w:val="00EF1FC7"/>
    <w:rsid w:val="00EF2052"/>
    <w:rsid w:val="00EF208E"/>
    <w:rsid w:val="00EF20E8"/>
    <w:rsid w:val="00EF233B"/>
    <w:rsid w:val="00EF2438"/>
    <w:rsid w:val="00EF24C9"/>
    <w:rsid w:val="00EF24E1"/>
    <w:rsid w:val="00EF266C"/>
    <w:rsid w:val="00EF269C"/>
    <w:rsid w:val="00EF26B5"/>
    <w:rsid w:val="00EF26DF"/>
    <w:rsid w:val="00EF2772"/>
    <w:rsid w:val="00EF27CD"/>
    <w:rsid w:val="00EF27DF"/>
    <w:rsid w:val="00EF2819"/>
    <w:rsid w:val="00EF2885"/>
    <w:rsid w:val="00EF29C3"/>
    <w:rsid w:val="00EF2A23"/>
    <w:rsid w:val="00EF2A64"/>
    <w:rsid w:val="00EF2B57"/>
    <w:rsid w:val="00EF2BC3"/>
    <w:rsid w:val="00EF2CFA"/>
    <w:rsid w:val="00EF2E42"/>
    <w:rsid w:val="00EF2E60"/>
    <w:rsid w:val="00EF2EB6"/>
    <w:rsid w:val="00EF2EE0"/>
    <w:rsid w:val="00EF2F7B"/>
    <w:rsid w:val="00EF32EA"/>
    <w:rsid w:val="00EF332C"/>
    <w:rsid w:val="00EF3351"/>
    <w:rsid w:val="00EF33AA"/>
    <w:rsid w:val="00EF3420"/>
    <w:rsid w:val="00EF3582"/>
    <w:rsid w:val="00EF359B"/>
    <w:rsid w:val="00EF3654"/>
    <w:rsid w:val="00EF369F"/>
    <w:rsid w:val="00EF3721"/>
    <w:rsid w:val="00EF37B0"/>
    <w:rsid w:val="00EF37B2"/>
    <w:rsid w:val="00EF383B"/>
    <w:rsid w:val="00EF3B5A"/>
    <w:rsid w:val="00EF3B7B"/>
    <w:rsid w:val="00EF3BB5"/>
    <w:rsid w:val="00EF3C48"/>
    <w:rsid w:val="00EF3C67"/>
    <w:rsid w:val="00EF3C7C"/>
    <w:rsid w:val="00EF3D15"/>
    <w:rsid w:val="00EF3D53"/>
    <w:rsid w:val="00EF3E0B"/>
    <w:rsid w:val="00EF3E33"/>
    <w:rsid w:val="00EF3E91"/>
    <w:rsid w:val="00EF3EB8"/>
    <w:rsid w:val="00EF3F20"/>
    <w:rsid w:val="00EF3FDA"/>
    <w:rsid w:val="00EF40DA"/>
    <w:rsid w:val="00EF40E7"/>
    <w:rsid w:val="00EF411A"/>
    <w:rsid w:val="00EF43FD"/>
    <w:rsid w:val="00EF4431"/>
    <w:rsid w:val="00EF447F"/>
    <w:rsid w:val="00EF4583"/>
    <w:rsid w:val="00EF45BB"/>
    <w:rsid w:val="00EF45DD"/>
    <w:rsid w:val="00EF466D"/>
    <w:rsid w:val="00EF4701"/>
    <w:rsid w:val="00EF47A5"/>
    <w:rsid w:val="00EF4A47"/>
    <w:rsid w:val="00EF4AE6"/>
    <w:rsid w:val="00EF4B6F"/>
    <w:rsid w:val="00EF4C0C"/>
    <w:rsid w:val="00EF4C3F"/>
    <w:rsid w:val="00EF4C6C"/>
    <w:rsid w:val="00EF4C82"/>
    <w:rsid w:val="00EF4E31"/>
    <w:rsid w:val="00EF4E41"/>
    <w:rsid w:val="00EF4FAF"/>
    <w:rsid w:val="00EF4FBD"/>
    <w:rsid w:val="00EF4FC8"/>
    <w:rsid w:val="00EF52CC"/>
    <w:rsid w:val="00EF53C7"/>
    <w:rsid w:val="00EF53DF"/>
    <w:rsid w:val="00EF54B9"/>
    <w:rsid w:val="00EF56DE"/>
    <w:rsid w:val="00EF5723"/>
    <w:rsid w:val="00EF573B"/>
    <w:rsid w:val="00EF5792"/>
    <w:rsid w:val="00EF58F7"/>
    <w:rsid w:val="00EF5A5D"/>
    <w:rsid w:val="00EF5A68"/>
    <w:rsid w:val="00EF5A97"/>
    <w:rsid w:val="00EF5C2A"/>
    <w:rsid w:val="00EF5C3C"/>
    <w:rsid w:val="00EF5D7C"/>
    <w:rsid w:val="00EF5DA2"/>
    <w:rsid w:val="00EF5E3D"/>
    <w:rsid w:val="00EF5F82"/>
    <w:rsid w:val="00EF5FD1"/>
    <w:rsid w:val="00EF5FE8"/>
    <w:rsid w:val="00EF600F"/>
    <w:rsid w:val="00EF60FD"/>
    <w:rsid w:val="00EF6267"/>
    <w:rsid w:val="00EF6368"/>
    <w:rsid w:val="00EF638C"/>
    <w:rsid w:val="00EF63DC"/>
    <w:rsid w:val="00EF63EF"/>
    <w:rsid w:val="00EF6522"/>
    <w:rsid w:val="00EF6598"/>
    <w:rsid w:val="00EF65A6"/>
    <w:rsid w:val="00EF65EA"/>
    <w:rsid w:val="00EF6610"/>
    <w:rsid w:val="00EF668D"/>
    <w:rsid w:val="00EF67B6"/>
    <w:rsid w:val="00EF6850"/>
    <w:rsid w:val="00EF688C"/>
    <w:rsid w:val="00EF6907"/>
    <w:rsid w:val="00EF6B79"/>
    <w:rsid w:val="00EF6BDB"/>
    <w:rsid w:val="00EF6C2B"/>
    <w:rsid w:val="00EF6C8D"/>
    <w:rsid w:val="00EF6D26"/>
    <w:rsid w:val="00EF6D4A"/>
    <w:rsid w:val="00EF6DF2"/>
    <w:rsid w:val="00EF6E33"/>
    <w:rsid w:val="00EF6E75"/>
    <w:rsid w:val="00EF6E95"/>
    <w:rsid w:val="00EF6EDE"/>
    <w:rsid w:val="00EF6F22"/>
    <w:rsid w:val="00EF6F51"/>
    <w:rsid w:val="00EF6F7E"/>
    <w:rsid w:val="00EF6F8D"/>
    <w:rsid w:val="00EF6FF6"/>
    <w:rsid w:val="00EF70AF"/>
    <w:rsid w:val="00EF7185"/>
    <w:rsid w:val="00EF71BA"/>
    <w:rsid w:val="00EF7245"/>
    <w:rsid w:val="00EF7274"/>
    <w:rsid w:val="00EF7284"/>
    <w:rsid w:val="00EF730F"/>
    <w:rsid w:val="00EF731E"/>
    <w:rsid w:val="00EF7427"/>
    <w:rsid w:val="00EF745A"/>
    <w:rsid w:val="00EF7547"/>
    <w:rsid w:val="00EF75E8"/>
    <w:rsid w:val="00EF7639"/>
    <w:rsid w:val="00EF7652"/>
    <w:rsid w:val="00EF767E"/>
    <w:rsid w:val="00EF7744"/>
    <w:rsid w:val="00EF77E9"/>
    <w:rsid w:val="00EF77F6"/>
    <w:rsid w:val="00EF793F"/>
    <w:rsid w:val="00EF7944"/>
    <w:rsid w:val="00EF7AB0"/>
    <w:rsid w:val="00EF7B20"/>
    <w:rsid w:val="00EF7B5B"/>
    <w:rsid w:val="00EF7BAE"/>
    <w:rsid w:val="00EF7C00"/>
    <w:rsid w:val="00EF7D1A"/>
    <w:rsid w:val="00EF7D8E"/>
    <w:rsid w:val="00EF7E63"/>
    <w:rsid w:val="00EF7F14"/>
    <w:rsid w:val="00EF7FFB"/>
    <w:rsid w:val="00F00085"/>
    <w:rsid w:val="00F000BF"/>
    <w:rsid w:val="00F0037A"/>
    <w:rsid w:val="00F0040E"/>
    <w:rsid w:val="00F004D9"/>
    <w:rsid w:val="00F0059C"/>
    <w:rsid w:val="00F00609"/>
    <w:rsid w:val="00F00694"/>
    <w:rsid w:val="00F0072A"/>
    <w:rsid w:val="00F00960"/>
    <w:rsid w:val="00F00A0C"/>
    <w:rsid w:val="00F00ACA"/>
    <w:rsid w:val="00F00AE1"/>
    <w:rsid w:val="00F00B7A"/>
    <w:rsid w:val="00F00BB9"/>
    <w:rsid w:val="00F00C11"/>
    <w:rsid w:val="00F00DF5"/>
    <w:rsid w:val="00F00EFE"/>
    <w:rsid w:val="00F00FFB"/>
    <w:rsid w:val="00F010AB"/>
    <w:rsid w:val="00F0118D"/>
    <w:rsid w:val="00F012C3"/>
    <w:rsid w:val="00F0136C"/>
    <w:rsid w:val="00F013DB"/>
    <w:rsid w:val="00F013F4"/>
    <w:rsid w:val="00F01443"/>
    <w:rsid w:val="00F01476"/>
    <w:rsid w:val="00F014B8"/>
    <w:rsid w:val="00F014CA"/>
    <w:rsid w:val="00F0161F"/>
    <w:rsid w:val="00F01627"/>
    <w:rsid w:val="00F016B0"/>
    <w:rsid w:val="00F0179E"/>
    <w:rsid w:val="00F01812"/>
    <w:rsid w:val="00F01840"/>
    <w:rsid w:val="00F01859"/>
    <w:rsid w:val="00F01893"/>
    <w:rsid w:val="00F01904"/>
    <w:rsid w:val="00F019C5"/>
    <w:rsid w:val="00F01A43"/>
    <w:rsid w:val="00F01AA5"/>
    <w:rsid w:val="00F01B2C"/>
    <w:rsid w:val="00F01B46"/>
    <w:rsid w:val="00F01C38"/>
    <w:rsid w:val="00F01C92"/>
    <w:rsid w:val="00F01D0A"/>
    <w:rsid w:val="00F01D73"/>
    <w:rsid w:val="00F01D81"/>
    <w:rsid w:val="00F01DA0"/>
    <w:rsid w:val="00F01DCE"/>
    <w:rsid w:val="00F01FA7"/>
    <w:rsid w:val="00F01FEF"/>
    <w:rsid w:val="00F022B2"/>
    <w:rsid w:val="00F022D2"/>
    <w:rsid w:val="00F02327"/>
    <w:rsid w:val="00F02374"/>
    <w:rsid w:val="00F02491"/>
    <w:rsid w:val="00F02530"/>
    <w:rsid w:val="00F02585"/>
    <w:rsid w:val="00F025CC"/>
    <w:rsid w:val="00F02622"/>
    <w:rsid w:val="00F02742"/>
    <w:rsid w:val="00F0274B"/>
    <w:rsid w:val="00F0274C"/>
    <w:rsid w:val="00F02787"/>
    <w:rsid w:val="00F027BF"/>
    <w:rsid w:val="00F028BA"/>
    <w:rsid w:val="00F0295D"/>
    <w:rsid w:val="00F02971"/>
    <w:rsid w:val="00F02A77"/>
    <w:rsid w:val="00F02B06"/>
    <w:rsid w:val="00F02BBD"/>
    <w:rsid w:val="00F02BC8"/>
    <w:rsid w:val="00F02CDC"/>
    <w:rsid w:val="00F02DB7"/>
    <w:rsid w:val="00F02DEA"/>
    <w:rsid w:val="00F02E3C"/>
    <w:rsid w:val="00F02EF8"/>
    <w:rsid w:val="00F02F98"/>
    <w:rsid w:val="00F03073"/>
    <w:rsid w:val="00F03089"/>
    <w:rsid w:val="00F030AF"/>
    <w:rsid w:val="00F030C0"/>
    <w:rsid w:val="00F0319D"/>
    <w:rsid w:val="00F031FF"/>
    <w:rsid w:val="00F0321C"/>
    <w:rsid w:val="00F03266"/>
    <w:rsid w:val="00F0327B"/>
    <w:rsid w:val="00F033A0"/>
    <w:rsid w:val="00F034B7"/>
    <w:rsid w:val="00F034D2"/>
    <w:rsid w:val="00F03502"/>
    <w:rsid w:val="00F03692"/>
    <w:rsid w:val="00F036A4"/>
    <w:rsid w:val="00F0387B"/>
    <w:rsid w:val="00F0388D"/>
    <w:rsid w:val="00F03900"/>
    <w:rsid w:val="00F039B6"/>
    <w:rsid w:val="00F03C3E"/>
    <w:rsid w:val="00F03CBB"/>
    <w:rsid w:val="00F03E08"/>
    <w:rsid w:val="00F03F5C"/>
    <w:rsid w:val="00F03F9B"/>
    <w:rsid w:val="00F03FA1"/>
    <w:rsid w:val="00F03FC9"/>
    <w:rsid w:val="00F0404B"/>
    <w:rsid w:val="00F0413E"/>
    <w:rsid w:val="00F04152"/>
    <w:rsid w:val="00F04158"/>
    <w:rsid w:val="00F04170"/>
    <w:rsid w:val="00F0432A"/>
    <w:rsid w:val="00F0437F"/>
    <w:rsid w:val="00F0445D"/>
    <w:rsid w:val="00F04473"/>
    <w:rsid w:val="00F044C8"/>
    <w:rsid w:val="00F0454F"/>
    <w:rsid w:val="00F04578"/>
    <w:rsid w:val="00F0469D"/>
    <w:rsid w:val="00F047D0"/>
    <w:rsid w:val="00F049ED"/>
    <w:rsid w:val="00F04BE2"/>
    <w:rsid w:val="00F04C15"/>
    <w:rsid w:val="00F04C25"/>
    <w:rsid w:val="00F04C7A"/>
    <w:rsid w:val="00F04D9B"/>
    <w:rsid w:val="00F04DD7"/>
    <w:rsid w:val="00F04E80"/>
    <w:rsid w:val="00F04EA9"/>
    <w:rsid w:val="00F04F90"/>
    <w:rsid w:val="00F05075"/>
    <w:rsid w:val="00F0508D"/>
    <w:rsid w:val="00F05115"/>
    <w:rsid w:val="00F053E6"/>
    <w:rsid w:val="00F05473"/>
    <w:rsid w:val="00F05512"/>
    <w:rsid w:val="00F05647"/>
    <w:rsid w:val="00F0567B"/>
    <w:rsid w:val="00F056A2"/>
    <w:rsid w:val="00F057C0"/>
    <w:rsid w:val="00F05871"/>
    <w:rsid w:val="00F058BD"/>
    <w:rsid w:val="00F0596C"/>
    <w:rsid w:val="00F059B7"/>
    <w:rsid w:val="00F05A64"/>
    <w:rsid w:val="00F05ACD"/>
    <w:rsid w:val="00F05B5C"/>
    <w:rsid w:val="00F05C00"/>
    <w:rsid w:val="00F05C25"/>
    <w:rsid w:val="00F05DD9"/>
    <w:rsid w:val="00F05F1E"/>
    <w:rsid w:val="00F061CD"/>
    <w:rsid w:val="00F06233"/>
    <w:rsid w:val="00F06306"/>
    <w:rsid w:val="00F06388"/>
    <w:rsid w:val="00F063A1"/>
    <w:rsid w:val="00F06416"/>
    <w:rsid w:val="00F065A5"/>
    <w:rsid w:val="00F065B7"/>
    <w:rsid w:val="00F065DC"/>
    <w:rsid w:val="00F065EA"/>
    <w:rsid w:val="00F066C2"/>
    <w:rsid w:val="00F067C2"/>
    <w:rsid w:val="00F067C8"/>
    <w:rsid w:val="00F067CF"/>
    <w:rsid w:val="00F067E4"/>
    <w:rsid w:val="00F06820"/>
    <w:rsid w:val="00F068E5"/>
    <w:rsid w:val="00F06917"/>
    <w:rsid w:val="00F0694D"/>
    <w:rsid w:val="00F069A5"/>
    <w:rsid w:val="00F069E5"/>
    <w:rsid w:val="00F06B3C"/>
    <w:rsid w:val="00F06BEF"/>
    <w:rsid w:val="00F06CCF"/>
    <w:rsid w:val="00F06DA4"/>
    <w:rsid w:val="00F06F0F"/>
    <w:rsid w:val="00F06F6A"/>
    <w:rsid w:val="00F06F91"/>
    <w:rsid w:val="00F0706D"/>
    <w:rsid w:val="00F0728A"/>
    <w:rsid w:val="00F07354"/>
    <w:rsid w:val="00F0748F"/>
    <w:rsid w:val="00F0749E"/>
    <w:rsid w:val="00F0752B"/>
    <w:rsid w:val="00F07560"/>
    <w:rsid w:val="00F0760E"/>
    <w:rsid w:val="00F07632"/>
    <w:rsid w:val="00F076BB"/>
    <w:rsid w:val="00F0770A"/>
    <w:rsid w:val="00F0780D"/>
    <w:rsid w:val="00F07817"/>
    <w:rsid w:val="00F07825"/>
    <w:rsid w:val="00F07858"/>
    <w:rsid w:val="00F078D1"/>
    <w:rsid w:val="00F07906"/>
    <w:rsid w:val="00F07A01"/>
    <w:rsid w:val="00F07AFB"/>
    <w:rsid w:val="00F07D41"/>
    <w:rsid w:val="00F07D7B"/>
    <w:rsid w:val="00F07DAA"/>
    <w:rsid w:val="00F07E15"/>
    <w:rsid w:val="00F07E51"/>
    <w:rsid w:val="00F07E62"/>
    <w:rsid w:val="00F0C41E"/>
    <w:rsid w:val="00F100A8"/>
    <w:rsid w:val="00F100EB"/>
    <w:rsid w:val="00F1013F"/>
    <w:rsid w:val="00F101A0"/>
    <w:rsid w:val="00F10268"/>
    <w:rsid w:val="00F1028C"/>
    <w:rsid w:val="00F102B8"/>
    <w:rsid w:val="00F10307"/>
    <w:rsid w:val="00F103DE"/>
    <w:rsid w:val="00F103F1"/>
    <w:rsid w:val="00F104DA"/>
    <w:rsid w:val="00F10520"/>
    <w:rsid w:val="00F10547"/>
    <w:rsid w:val="00F1060B"/>
    <w:rsid w:val="00F1063E"/>
    <w:rsid w:val="00F10668"/>
    <w:rsid w:val="00F107CA"/>
    <w:rsid w:val="00F107D6"/>
    <w:rsid w:val="00F108B1"/>
    <w:rsid w:val="00F10AF2"/>
    <w:rsid w:val="00F10B72"/>
    <w:rsid w:val="00F10C1B"/>
    <w:rsid w:val="00F10C27"/>
    <w:rsid w:val="00F10C66"/>
    <w:rsid w:val="00F10D21"/>
    <w:rsid w:val="00F10E22"/>
    <w:rsid w:val="00F10FB9"/>
    <w:rsid w:val="00F110DB"/>
    <w:rsid w:val="00F1116B"/>
    <w:rsid w:val="00F111EF"/>
    <w:rsid w:val="00F1123B"/>
    <w:rsid w:val="00F112E8"/>
    <w:rsid w:val="00F1135B"/>
    <w:rsid w:val="00F11436"/>
    <w:rsid w:val="00F11448"/>
    <w:rsid w:val="00F11661"/>
    <w:rsid w:val="00F116FD"/>
    <w:rsid w:val="00F1171A"/>
    <w:rsid w:val="00F11816"/>
    <w:rsid w:val="00F11A37"/>
    <w:rsid w:val="00F11A73"/>
    <w:rsid w:val="00F11AC4"/>
    <w:rsid w:val="00F11C0C"/>
    <w:rsid w:val="00F11C7F"/>
    <w:rsid w:val="00F11CFA"/>
    <w:rsid w:val="00F11E5A"/>
    <w:rsid w:val="00F1201B"/>
    <w:rsid w:val="00F12026"/>
    <w:rsid w:val="00F121FC"/>
    <w:rsid w:val="00F12207"/>
    <w:rsid w:val="00F12290"/>
    <w:rsid w:val="00F122C7"/>
    <w:rsid w:val="00F12374"/>
    <w:rsid w:val="00F123F1"/>
    <w:rsid w:val="00F12561"/>
    <w:rsid w:val="00F126B4"/>
    <w:rsid w:val="00F126EC"/>
    <w:rsid w:val="00F127E1"/>
    <w:rsid w:val="00F1288C"/>
    <w:rsid w:val="00F128B0"/>
    <w:rsid w:val="00F12A06"/>
    <w:rsid w:val="00F12A2C"/>
    <w:rsid w:val="00F12AA2"/>
    <w:rsid w:val="00F12C40"/>
    <w:rsid w:val="00F12D45"/>
    <w:rsid w:val="00F12DB1"/>
    <w:rsid w:val="00F12F93"/>
    <w:rsid w:val="00F13085"/>
    <w:rsid w:val="00F13101"/>
    <w:rsid w:val="00F13191"/>
    <w:rsid w:val="00F13199"/>
    <w:rsid w:val="00F131E4"/>
    <w:rsid w:val="00F1326B"/>
    <w:rsid w:val="00F1328D"/>
    <w:rsid w:val="00F1333C"/>
    <w:rsid w:val="00F1349C"/>
    <w:rsid w:val="00F134AD"/>
    <w:rsid w:val="00F1357C"/>
    <w:rsid w:val="00F137D3"/>
    <w:rsid w:val="00F138DE"/>
    <w:rsid w:val="00F13934"/>
    <w:rsid w:val="00F139F9"/>
    <w:rsid w:val="00F13A3B"/>
    <w:rsid w:val="00F13BC5"/>
    <w:rsid w:val="00F13BFF"/>
    <w:rsid w:val="00F13C60"/>
    <w:rsid w:val="00F13DAC"/>
    <w:rsid w:val="00F13E0D"/>
    <w:rsid w:val="00F13E36"/>
    <w:rsid w:val="00F13F2C"/>
    <w:rsid w:val="00F1401F"/>
    <w:rsid w:val="00F14129"/>
    <w:rsid w:val="00F141D1"/>
    <w:rsid w:val="00F14292"/>
    <w:rsid w:val="00F142C3"/>
    <w:rsid w:val="00F1432F"/>
    <w:rsid w:val="00F1433A"/>
    <w:rsid w:val="00F14351"/>
    <w:rsid w:val="00F14463"/>
    <w:rsid w:val="00F144C5"/>
    <w:rsid w:val="00F1456E"/>
    <w:rsid w:val="00F145AE"/>
    <w:rsid w:val="00F14620"/>
    <w:rsid w:val="00F14640"/>
    <w:rsid w:val="00F14698"/>
    <w:rsid w:val="00F146F1"/>
    <w:rsid w:val="00F14740"/>
    <w:rsid w:val="00F147D0"/>
    <w:rsid w:val="00F147FB"/>
    <w:rsid w:val="00F148B0"/>
    <w:rsid w:val="00F148E3"/>
    <w:rsid w:val="00F148EC"/>
    <w:rsid w:val="00F14A47"/>
    <w:rsid w:val="00F14A62"/>
    <w:rsid w:val="00F14BC9"/>
    <w:rsid w:val="00F14C00"/>
    <w:rsid w:val="00F14CA1"/>
    <w:rsid w:val="00F14CA3"/>
    <w:rsid w:val="00F14CEE"/>
    <w:rsid w:val="00F14D19"/>
    <w:rsid w:val="00F14DA8"/>
    <w:rsid w:val="00F14E62"/>
    <w:rsid w:val="00F14EAC"/>
    <w:rsid w:val="00F14EEF"/>
    <w:rsid w:val="00F14F51"/>
    <w:rsid w:val="00F14FE9"/>
    <w:rsid w:val="00F15000"/>
    <w:rsid w:val="00F151BB"/>
    <w:rsid w:val="00F152AC"/>
    <w:rsid w:val="00F152C0"/>
    <w:rsid w:val="00F152F9"/>
    <w:rsid w:val="00F15310"/>
    <w:rsid w:val="00F1532A"/>
    <w:rsid w:val="00F1563E"/>
    <w:rsid w:val="00F15683"/>
    <w:rsid w:val="00F15685"/>
    <w:rsid w:val="00F15701"/>
    <w:rsid w:val="00F157D3"/>
    <w:rsid w:val="00F1585B"/>
    <w:rsid w:val="00F15870"/>
    <w:rsid w:val="00F15941"/>
    <w:rsid w:val="00F159DC"/>
    <w:rsid w:val="00F15CC9"/>
    <w:rsid w:val="00F15D07"/>
    <w:rsid w:val="00F15D36"/>
    <w:rsid w:val="00F15D40"/>
    <w:rsid w:val="00F15F0F"/>
    <w:rsid w:val="00F15FEE"/>
    <w:rsid w:val="00F160A0"/>
    <w:rsid w:val="00F1616A"/>
    <w:rsid w:val="00F161F3"/>
    <w:rsid w:val="00F1634F"/>
    <w:rsid w:val="00F166D3"/>
    <w:rsid w:val="00F1671B"/>
    <w:rsid w:val="00F167A0"/>
    <w:rsid w:val="00F167C3"/>
    <w:rsid w:val="00F16851"/>
    <w:rsid w:val="00F16875"/>
    <w:rsid w:val="00F168C8"/>
    <w:rsid w:val="00F1690E"/>
    <w:rsid w:val="00F1694A"/>
    <w:rsid w:val="00F16967"/>
    <w:rsid w:val="00F16994"/>
    <w:rsid w:val="00F169DC"/>
    <w:rsid w:val="00F16A60"/>
    <w:rsid w:val="00F16B5D"/>
    <w:rsid w:val="00F16C7F"/>
    <w:rsid w:val="00F16C8D"/>
    <w:rsid w:val="00F16D20"/>
    <w:rsid w:val="00F16DED"/>
    <w:rsid w:val="00F16E9E"/>
    <w:rsid w:val="00F16EBB"/>
    <w:rsid w:val="00F16EC0"/>
    <w:rsid w:val="00F1716B"/>
    <w:rsid w:val="00F17188"/>
    <w:rsid w:val="00F171BF"/>
    <w:rsid w:val="00F171CC"/>
    <w:rsid w:val="00F171F2"/>
    <w:rsid w:val="00F1723F"/>
    <w:rsid w:val="00F173EB"/>
    <w:rsid w:val="00F176AB"/>
    <w:rsid w:val="00F176DE"/>
    <w:rsid w:val="00F176FD"/>
    <w:rsid w:val="00F17823"/>
    <w:rsid w:val="00F178C5"/>
    <w:rsid w:val="00F17966"/>
    <w:rsid w:val="00F17A15"/>
    <w:rsid w:val="00F17A6F"/>
    <w:rsid w:val="00F17B19"/>
    <w:rsid w:val="00F17BB7"/>
    <w:rsid w:val="00F17BED"/>
    <w:rsid w:val="00F17C47"/>
    <w:rsid w:val="00F17CD2"/>
    <w:rsid w:val="00F17DB8"/>
    <w:rsid w:val="00F17E0A"/>
    <w:rsid w:val="00F17E5F"/>
    <w:rsid w:val="00F17FC0"/>
    <w:rsid w:val="00F200A6"/>
    <w:rsid w:val="00F20278"/>
    <w:rsid w:val="00F202E4"/>
    <w:rsid w:val="00F203CC"/>
    <w:rsid w:val="00F203DC"/>
    <w:rsid w:val="00F204B6"/>
    <w:rsid w:val="00F204BD"/>
    <w:rsid w:val="00F2085D"/>
    <w:rsid w:val="00F2086E"/>
    <w:rsid w:val="00F20887"/>
    <w:rsid w:val="00F20AB1"/>
    <w:rsid w:val="00F20ACB"/>
    <w:rsid w:val="00F20AF7"/>
    <w:rsid w:val="00F20C2F"/>
    <w:rsid w:val="00F20D08"/>
    <w:rsid w:val="00F20D98"/>
    <w:rsid w:val="00F20E83"/>
    <w:rsid w:val="00F20F23"/>
    <w:rsid w:val="00F20F87"/>
    <w:rsid w:val="00F20FB1"/>
    <w:rsid w:val="00F20FDE"/>
    <w:rsid w:val="00F210AC"/>
    <w:rsid w:val="00F21124"/>
    <w:rsid w:val="00F2112C"/>
    <w:rsid w:val="00F21144"/>
    <w:rsid w:val="00F21217"/>
    <w:rsid w:val="00F21375"/>
    <w:rsid w:val="00F21384"/>
    <w:rsid w:val="00F213BC"/>
    <w:rsid w:val="00F21420"/>
    <w:rsid w:val="00F21439"/>
    <w:rsid w:val="00F21455"/>
    <w:rsid w:val="00F214CE"/>
    <w:rsid w:val="00F214E9"/>
    <w:rsid w:val="00F215E9"/>
    <w:rsid w:val="00F21686"/>
    <w:rsid w:val="00F216E9"/>
    <w:rsid w:val="00F21748"/>
    <w:rsid w:val="00F2175B"/>
    <w:rsid w:val="00F217AA"/>
    <w:rsid w:val="00F2185F"/>
    <w:rsid w:val="00F218B5"/>
    <w:rsid w:val="00F21974"/>
    <w:rsid w:val="00F21B4F"/>
    <w:rsid w:val="00F21BD5"/>
    <w:rsid w:val="00F21BDC"/>
    <w:rsid w:val="00F21C0B"/>
    <w:rsid w:val="00F21C74"/>
    <w:rsid w:val="00F21E0F"/>
    <w:rsid w:val="00F21E56"/>
    <w:rsid w:val="00F21F8C"/>
    <w:rsid w:val="00F21FA4"/>
    <w:rsid w:val="00F220AC"/>
    <w:rsid w:val="00F220C1"/>
    <w:rsid w:val="00F22118"/>
    <w:rsid w:val="00F22131"/>
    <w:rsid w:val="00F22264"/>
    <w:rsid w:val="00F22337"/>
    <w:rsid w:val="00F2236F"/>
    <w:rsid w:val="00F224D4"/>
    <w:rsid w:val="00F2251C"/>
    <w:rsid w:val="00F22640"/>
    <w:rsid w:val="00F22653"/>
    <w:rsid w:val="00F228C3"/>
    <w:rsid w:val="00F228DA"/>
    <w:rsid w:val="00F228E9"/>
    <w:rsid w:val="00F229B1"/>
    <w:rsid w:val="00F22C1A"/>
    <w:rsid w:val="00F22CC7"/>
    <w:rsid w:val="00F22CF4"/>
    <w:rsid w:val="00F22CFE"/>
    <w:rsid w:val="00F22D00"/>
    <w:rsid w:val="00F22D6F"/>
    <w:rsid w:val="00F22DAC"/>
    <w:rsid w:val="00F22DF8"/>
    <w:rsid w:val="00F22EA7"/>
    <w:rsid w:val="00F23030"/>
    <w:rsid w:val="00F23055"/>
    <w:rsid w:val="00F2313E"/>
    <w:rsid w:val="00F231AE"/>
    <w:rsid w:val="00F231F8"/>
    <w:rsid w:val="00F233F2"/>
    <w:rsid w:val="00F23468"/>
    <w:rsid w:val="00F23474"/>
    <w:rsid w:val="00F2356C"/>
    <w:rsid w:val="00F23645"/>
    <w:rsid w:val="00F2382D"/>
    <w:rsid w:val="00F2392D"/>
    <w:rsid w:val="00F23955"/>
    <w:rsid w:val="00F2396D"/>
    <w:rsid w:val="00F23A02"/>
    <w:rsid w:val="00F23A1E"/>
    <w:rsid w:val="00F23A54"/>
    <w:rsid w:val="00F23A6A"/>
    <w:rsid w:val="00F23A8B"/>
    <w:rsid w:val="00F23A91"/>
    <w:rsid w:val="00F23A96"/>
    <w:rsid w:val="00F23A99"/>
    <w:rsid w:val="00F23B02"/>
    <w:rsid w:val="00F23B63"/>
    <w:rsid w:val="00F23BB1"/>
    <w:rsid w:val="00F23CE9"/>
    <w:rsid w:val="00F23CF8"/>
    <w:rsid w:val="00F23E05"/>
    <w:rsid w:val="00F23F24"/>
    <w:rsid w:val="00F23F9B"/>
    <w:rsid w:val="00F23FA5"/>
    <w:rsid w:val="00F2400C"/>
    <w:rsid w:val="00F2406A"/>
    <w:rsid w:val="00F240C7"/>
    <w:rsid w:val="00F241A0"/>
    <w:rsid w:val="00F24229"/>
    <w:rsid w:val="00F24264"/>
    <w:rsid w:val="00F242DF"/>
    <w:rsid w:val="00F24437"/>
    <w:rsid w:val="00F24474"/>
    <w:rsid w:val="00F244BC"/>
    <w:rsid w:val="00F24512"/>
    <w:rsid w:val="00F2455E"/>
    <w:rsid w:val="00F24654"/>
    <w:rsid w:val="00F24755"/>
    <w:rsid w:val="00F2477C"/>
    <w:rsid w:val="00F24883"/>
    <w:rsid w:val="00F248C1"/>
    <w:rsid w:val="00F248F5"/>
    <w:rsid w:val="00F24939"/>
    <w:rsid w:val="00F2493F"/>
    <w:rsid w:val="00F249E5"/>
    <w:rsid w:val="00F24A1F"/>
    <w:rsid w:val="00F24A85"/>
    <w:rsid w:val="00F24B29"/>
    <w:rsid w:val="00F24C09"/>
    <w:rsid w:val="00F24CEE"/>
    <w:rsid w:val="00F24E8E"/>
    <w:rsid w:val="00F24FF7"/>
    <w:rsid w:val="00F2500D"/>
    <w:rsid w:val="00F25026"/>
    <w:rsid w:val="00F2507B"/>
    <w:rsid w:val="00F2511F"/>
    <w:rsid w:val="00F2518E"/>
    <w:rsid w:val="00F251B6"/>
    <w:rsid w:val="00F251D3"/>
    <w:rsid w:val="00F252C2"/>
    <w:rsid w:val="00F25322"/>
    <w:rsid w:val="00F253B2"/>
    <w:rsid w:val="00F254B4"/>
    <w:rsid w:val="00F2551D"/>
    <w:rsid w:val="00F25656"/>
    <w:rsid w:val="00F25661"/>
    <w:rsid w:val="00F25728"/>
    <w:rsid w:val="00F2574A"/>
    <w:rsid w:val="00F25793"/>
    <w:rsid w:val="00F257DD"/>
    <w:rsid w:val="00F2585E"/>
    <w:rsid w:val="00F258CA"/>
    <w:rsid w:val="00F258EC"/>
    <w:rsid w:val="00F259A5"/>
    <w:rsid w:val="00F259D3"/>
    <w:rsid w:val="00F259E9"/>
    <w:rsid w:val="00F25A66"/>
    <w:rsid w:val="00F25AEC"/>
    <w:rsid w:val="00F25B5D"/>
    <w:rsid w:val="00F25BD9"/>
    <w:rsid w:val="00F25BDC"/>
    <w:rsid w:val="00F25C91"/>
    <w:rsid w:val="00F25CAA"/>
    <w:rsid w:val="00F25D59"/>
    <w:rsid w:val="00F25E42"/>
    <w:rsid w:val="00F25F00"/>
    <w:rsid w:val="00F26017"/>
    <w:rsid w:val="00F26031"/>
    <w:rsid w:val="00F26048"/>
    <w:rsid w:val="00F26060"/>
    <w:rsid w:val="00F2608F"/>
    <w:rsid w:val="00F260A7"/>
    <w:rsid w:val="00F260AE"/>
    <w:rsid w:val="00F261CB"/>
    <w:rsid w:val="00F261CD"/>
    <w:rsid w:val="00F261DB"/>
    <w:rsid w:val="00F261F7"/>
    <w:rsid w:val="00F26209"/>
    <w:rsid w:val="00F2622D"/>
    <w:rsid w:val="00F262BE"/>
    <w:rsid w:val="00F2639C"/>
    <w:rsid w:val="00F2643D"/>
    <w:rsid w:val="00F264A1"/>
    <w:rsid w:val="00F26522"/>
    <w:rsid w:val="00F265A5"/>
    <w:rsid w:val="00F265AB"/>
    <w:rsid w:val="00F2663A"/>
    <w:rsid w:val="00F2663D"/>
    <w:rsid w:val="00F266AE"/>
    <w:rsid w:val="00F26749"/>
    <w:rsid w:val="00F267A3"/>
    <w:rsid w:val="00F26A23"/>
    <w:rsid w:val="00F26A33"/>
    <w:rsid w:val="00F26A3A"/>
    <w:rsid w:val="00F26B64"/>
    <w:rsid w:val="00F26C8E"/>
    <w:rsid w:val="00F26CA1"/>
    <w:rsid w:val="00F26CD7"/>
    <w:rsid w:val="00F26D53"/>
    <w:rsid w:val="00F26DA2"/>
    <w:rsid w:val="00F26DCD"/>
    <w:rsid w:val="00F26E9F"/>
    <w:rsid w:val="00F26F23"/>
    <w:rsid w:val="00F2705E"/>
    <w:rsid w:val="00F27161"/>
    <w:rsid w:val="00F27242"/>
    <w:rsid w:val="00F27328"/>
    <w:rsid w:val="00F2733A"/>
    <w:rsid w:val="00F273AC"/>
    <w:rsid w:val="00F27479"/>
    <w:rsid w:val="00F274C2"/>
    <w:rsid w:val="00F274EB"/>
    <w:rsid w:val="00F27530"/>
    <w:rsid w:val="00F2775F"/>
    <w:rsid w:val="00F27806"/>
    <w:rsid w:val="00F2784C"/>
    <w:rsid w:val="00F27861"/>
    <w:rsid w:val="00F278C9"/>
    <w:rsid w:val="00F27B04"/>
    <w:rsid w:val="00F27B90"/>
    <w:rsid w:val="00F27C02"/>
    <w:rsid w:val="00F27C51"/>
    <w:rsid w:val="00F27CBA"/>
    <w:rsid w:val="00F27ECC"/>
    <w:rsid w:val="00F27F41"/>
    <w:rsid w:val="00F27F5A"/>
    <w:rsid w:val="00F30021"/>
    <w:rsid w:val="00F30035"/>
    <w:rsid w:val="00F30174"/>
    <w:rsid w:val="00F301B5"/>
    <w:rsid w:val="00F3028E"/>
    <w:rsid w:val="00F302BC"/>
    <w:rsid w:val="00F30315"/>
    <w:rsid w:val="00F30500"/>
    <w:rsid w:val="00F30508"/>
    <w:rsid w:val="00F3065F"/>
    <w:rsid w:val="00F30700"/>
    <w:rsid w:val="00F30721"/>
    <w:rsid w:val="00F30744"/>
    <w:rsid w:val="00F307FC"/>
    <w:rsid w:val="00F3089B"/>
    <w:rsid w:val="00F3092E"/>
    <w:rsid w:val="00F309BB"/>
    <w:rsid w:val="00F30A04"/>
    <w:rsid w:val="00F30A69"/>
    <w:rsid w:val="00F30B0E"/>
    <w:rsid w:val="00F30B9A"/>
    <w:rsid w:val="00F30BA5"/>
    <w:rsid w:val="00F30BAB"/>
    <w:rsid w:val="00F30C1D"/>
    <w:rsid w:val="00F30DA8"/>
    <w:rsid w:val="00F30DDF"/>
    <w:rsid w:val="00F30ECC"/>
    <w:rsid w:val="00F30EFA"/>
    <w:rsid w:val="00F30FAB"/>
    <w:rsid w:val="00F30FB1"/>
    <w:rsid w:val="00F30FB5"/>
    <w:rsid w:val="00F30FD8"/>
    <w:rsid w:val="00F31075"/>
    <w:rsid w:val="00F31080"/>
    <w:rsid w:val="00F310A3"/>
    <w:rsid w:val="00F310ED"/>
    <w:rsid w:val="00F31167"/>
    <w:rsid w:val="00F31169"/>
    <w:rsid w:val="00F31188"/>
    <w:rsid w:val="00F311DB"/>
    <w:rsid w:val="00F311F4"/>
    <w:rsid w:val="00F31281"/>
    <w:rsid w:val="00F31302"/>
    <w:rsid w:val="00F313E6"/>
    <w:rsid w:val="00F3142C"/>
    <w:rsid w:val="00F314CE"/>
    <w:rsid w:val="00F315D4"/>
    <w:rsid w:val="00F315D7"/>
    <w:rsid w:val="00F31618"/>
    <w:rsid w:val="00F3161B"/>
    <w:rsid w:val="00F317FA"/>
    <w:rsid w:val="00F3181D"/>
    <w:rsid w:val="00F3198B"/>
    <w:rsid w:val="00F31A52"/>
    <w:rsid w:val="00F31AF8"/>
    <w:rsid w:val="00F31B47"/>
    <w:rsid w:val="00F31B59"/>
    <w:rsid w:val="00F31B67"/>
    <w:rsid w:val="00F31BEC"/>
    <w:rsid w:val="00F31C4E"/>
    <w:rsid w:val="00F31C66"/>
    <w:rsid w:val="00F31CA7"/>
    <w:rsid w:val="00F31CC1"/>
    <w:rsid w:val="00F31CF5"/>
    <w:rsid w:val="00F31D2C"/>
    <w:rsid w:val="00F31D85"/>
    <w:rsid w:val="00F31DA2"/>
    <w:rsid w:val="00F31DCC"/>
    <w:rsid w:val="00F31EDC"/>
    <w:rsid w:val="00F31F27"/>
    <w:rsid w:val="00F31F4B"/>
    <w:rsid w:val="00F31FEF"/>
    <w:rsid w:val="00F32004"/>
    <w:rsid w:val="00F32127"/>
    <w:rsid w:val="00F32197"/>
    <w:rsid w:val="00F321F9"/>
    <w:rsid w:val="00F322F2"/>
    <w:rsid w:val="00F3231A"/>
    <w:rsid w:val="00F32331"/>
    <w:rsid w:val="00F32367"/>
    <w:rsid w:val="00F324C9"/>
    <w:rsid w:val="00F3250A"/>
    <w:rsid w:val="00F325ED"/>
    <w:rsid w:val="00F3267D"/>
    <w:rsid w:val="00F327A6"/>
    <w:rsid w:val="00F32803"/>
    <w:rsid w:val="00F32824"/>
    <w:rsid w:val="00F32849"/>
    <w:rsid w:val="00F328A2"/>
    <w:rsid w:val="00F329C2"/>
    <w:rsid w:val="00F32A0B"/>
    <w:rsid w:val="00F32A7E"/>
    <w:rsid w:val="00F32A81"/>
    <w:rsid w:val="00F32AE2"/>
    <w:rsid w:val="00F32CE2"/>
    <w:rsid w:val="00F32DD1"/>
    <w:rsid w:val="00F32E2A"/>
    <w:rsid w:val="00F32E6E"/>
    <w:rsid w:val="00F3303E"/>
    <w:rsid w:val="00F3315A"/>
    <w:rsid w:val="00F33161"/>
    <w:rsid w:val="00F331E9"/>
    <w:rsid w:val="00F331EF"/>
    <w:rsid w:val="00F3325F"/>
    <w:rsid w:val="00F332A3"/>
    <w:rsid w:val="00F332B0"/>
    <w:rsid w:val="00F33316"/>
    <w:rsid w:val="00F334C4"/>
    <w:rsid w:val="00F33550"/>
    <w:rsid w:val="00F337E2"/>
    <w:rsid w:val="00F337FB"/>
    <w:rsid w:val="00F33823"/>
    <w:rsid w:val="00F338C3"/>
    <w:rsid w:val="00F33928"/>
    <w:rsid w:val="00F33976"/>
    <w:rsid w:val="00F33A64"/>
    <w:rsid w:val="00F33B11"/>
    <w:rsid w:val="00F33B9B"/>
    <w:rsid w:val="00F33C3C"/>
    <w:rsid w:val="00F33C98"/>
    <w:rsid w:val="00F33D8D"/>
    <w:rsid w:val="00F33DE8"/>
    <w:rsid w:val="00F33E40"/>
    <w:rsid w:val="00F33FBE"/>
    <w:rsid w:val="00F3402E"/>
    <w:rsid w:val="00F340AC"/>
    <w:rsid w:val="00F340CC"/>
    <w:rsid w:val="00F34130"/>
    <w:rsid w:val="00F34158"/>
    <w:rsid w:val="00F3425D"/>
    <w:rsid w:val="00F342C5"/>
    <w:rsid w:val="00F34332"/>
    <w:rsid w:val="00F343BC"/>
    <w:rsid w:val="00F3447B"/>
    <w:rsid w:val="00F345CB"/>
    <w:rsid w:val="00F34673"/>
    <w:rsid w:val="00F346E5"/>
    <w:rsid w:val="00F347AF"/>
    <w:rsid w:val="00F34837"/>
    <w:rsid w:val="00F34838"/>
    <w:rsid w:val="00F34905"/>
    <w:rsid w:val="00F3491C"/>
    <w:rsid w:val="00F34A38"/>
    <w:rsid w:val="00F34AF1"/>
    <w:rsid w:val="00F34B21"/>
    <w:rsid w:val="00F34B6A"/>
    <w:rsid w:val="00F34B76"/>
    <w:rsid w:val="00F34B9F"/>
    <w:rsid w:val="00F34C05"/>
    <w:rsid w:val="00F34D67"/>
    <w:rsid w:val="00F34DA9"/>
    <w:rsid w:val="00F35003"/>
    <w:rsid w:val="00F3502E"/>
    <w:rsid w:val="00F351EE"/>
    <w:rsid w:val="00F35245"/>
    <w:rsid w:val="00F35307"/>
    <w:rsid w:val="00F3532D"/>
    <w:rsid w:val="00F353B3"/>
    <w:rsid w:val="00F353CD"/>
    <w:rsid w:val="00F355CC"/>
    <w:rsid w:val="00F356AF"/>
    <w:rsid w:val="00F35748"/>
    <w:rsid w:val="00F3578A"/>
    <w:rsid w:val="00F3581B"/>
    <w:rsid w:val="00F35845"/>
    <w:rsid w:val="00F358EB"/>
    <w:rsid w:val="00F35951"/>
    <w:rsid w:val="00F359DC"/>
    <w:rsid w:val="00F35A42"/>
    <w:rsid w:val="00F35AE1"/>
    <w:rsid w:val="00F35C18"/>
    <w:rsid w:val="00F35DC3"/>
    <w:rsid w:val="00F35E87"/>
    <w:rsid w:val="00F35EDF"/>
    <w:rsid w:val="00F35EFE"/>
    <w:rsid w:val="00F3603D"/>
    <w:rsid w:val="00F360CA"/>
    <w:rsid w:val="00F362DF"/>
    <w:rsid w:val="00F36329"/>
    <w:rsid w:val="00F363C3"/>
    <w:rsid w:val="00F363E9"/>
    <w:rsid w:val="00F36610"/>
    <w:rsid w:val="00F36612"/>
    <w:rsid w:val="00F3663B"/>
    <w:rsid w:val="00F3665C"/>
    <w:rsid w:val="00F36685"/>
    <w:rsid w:val="00F366EA"/>
    <w:rsid w:val="00F368E1"/>
    <w:rsid w:val="00F368E5"/>
    <w:rsid w:val="00F368E6"/>
    <w:rsid w:val="00F36979"/>
    <w:rsid w:val="00F369D5"/>
    <w:rsid w:val="00F36A01"/>
    <w:rsid w:val="00F36A83"/>
    <w:rsid w:val="00F36B6D"/>
    <w:rsid w:val="00F36BBE"/>
    <w:rsid w:val="00F36C25"/>
    <w:rsid w:val="00F36C2F"/>
    <w:rsid w:val="00F36DD2"/>
    <w:rsid w:val="00F36E26"/>
    <w:rsid w:val="00F36E35"/>
    <w:rsid w:val="00F3704D"/>
    <w:rsid w:val="00F3738A"/>
    <w:rsid w:val="00F373BF"/>
    <w:rsid w:val="00F37427"/>
    <w:rsid w:val="00F37525"/>
    <w:rsid w:val="00F3755F"/>
    <w:rsid w:val="00F37773"/>
    <w:rsid w:val="00F37774"/>
    <w:rsid w:val="00F377BA"/>
    <w:rsid w:val="00F377FE"/>
    <w:rsid w:val="00F37815"/>
    <w:rsid w:val="00F378BB"/>
    <w:rsid w:val="00F37949"/>
    <w:rsid w:val="00F37A3D"/>
    <w:rsid w:val="00F37D02"/>
    <w:rsid w:val="00F37DBE"/>
    <w:rsid w:val="00F37DD1"/>
    <w:rsid w:val="00F37DF2"/>
    <w:rsid w:val="00F37E9C"/>
    <w:rsid w:val="00F37F37"/>
    <w:rsid w:val="00F40092"/>
    <w:rsid w:val="00F401AB"/>
    <w:rsid w:val="00F40255"/>
    <w:rsid w:val="00F402AF"/>
    <w:rsid w:val="00F40464"/>
    <w:rsid w:val="00F4047B"/>
    <w:rsid w:val="00F40517"/>
    <w:rsid w:val="00F40524"/>
    <w:rsid w:val="00F405C8"/>
    <w:rsid w:val="00F405D4"/>
    <w:rsid w:val="00F405FA"/>
    <w:rsid w:val="00F4061D"/>
    <w:rsid w:val="00F40621"/>
    <w:rsid w:val="00F406E9"/>
    <w:rsid w:val="00F4074E"/>
    <w:rsid w:val="00F40785"/>
    <w:rsid w:val="00F40791"/>
    <w:rsid w:val="00F40831"/>
    <w:rsid w:val="00F4085A"/>
    <w:rsid w:val="00F40865"/>
    <w:rsid w:val="00F408BD"/>
    <w:rsid w:val="00F408D5"/>
    <w:rsid w:val="00F40905"/>
    <w:rsid w:val="00F4090B"/>
    <w:rsid w:val="00F40971"/>
    <w:rsid w:val="00F409C2"/>
    <w:rsid w:val="00F40A47"/>
    <w:rsid w:val="00F40B16"/>
    <w:rsid w:val="00F40BB8"/>
    <w:rsid w:val="00F40C83"/>
    <w:rsid w:val="00F40C96"/>
    <w:rsid w:val="00F40D4F"/>
    <w:rsid w:val="00F40DE9"/>
    <w:rsid w:val="00F40E42"/>
    <w:rsid w:val="00F40E79"/>
    <w:rsid w:val="00F40EC6"/>
    <w:rsid w:val="00F40F03"/>
    <w:rsid w:val="00F40F40"/>
    <w:rsid w:val="00F40F5B"/>
    <w:rsid w:val="00F40FA5"/>
    <w:rsid w:val="00F40FA6"/>
    <w:rsid w:val="00F41093"/>
    <w:rsid w:val="00F4116C"/>
    <w:rsid w:val="00F411DC"/>
    <w:rsid w:val="00F41240"/>
    <w:rsid w:val="00F4124F"/>
    <w:rsid w:val="00F4156A"/>
    <w:rsid w:val="00F41573"/>
    <w:rsid w:val="00F4183D"/>
    <w:rsid w:val="00F418D8"/>
    <w:rsid w:val="00F419DE"/>
    <w:rsid w:val="00F419DF"/>
    <w:rsid w:val="00F41A17"/>
    <w:rsid w:val="00F41A1E"/>
    <w:rsid w:val="00F41AA0"/>
    <w:rsid w:val="00F41BCA"/>
    <w:rsid w:val="00F41D79"/>
    <w:rsid w:val="00F41FF9"/>
    <w:rsid w:val="00F41FFB"/>
    <w:rsid w:val="00F420E7"/>
    <w:rsid w:val="00F42101"/>
    <w:rsid w:val="00F42131"/>
    <w:rsid w:val="00F4218D"/>
    <w:rsid w:val="00F421BB"/>
    <w:rsid w:val="00F42224"/>
    <w:rsid w:val="00F4222A"/>
    <w:rsid w:val="00F422F3"/>
    <w:rsid w:val="00F42300"/>
    <w:rsid w:val="00F423A0"/>
    <w:rsid w:val="00F423BB"/>
    <w:rsid w:val="00F4244A"/>
    <w:rsid w:val="00F42465"/>
    <w:rsid w:val="00F424A4"/>
    <w:rsid w:val="00F424F5"/>
    <w:rsid w:val="00F42508"/>
    <w:rsid w:val="00F42509"/>
    <w:rsid w:val="00F42538"/>
    <w:rsid w:val="00F4254D"/>
    <w:rsid w:val="00F42743"/>
    <w:rsid w:val="00F42799"/>
    <w:rsid w:val="00F4279C"/>
    <w:rsid w:val="00F427D8"/>
    <w:rsid w:val="00F42924"/>
    <w:rsid w:val="00F4295F"/>
    <w:rsid w:val="00F42A6E"/>
    <w:rsid w:val="00F42AAD"/>
    <w:rsid w:val="00F42ABA"/>
    <w:rsid w:val="00F42D22"/>
    <w:rsid w:val="00F42D50"/>
    <w:rsid w:val="00F42E11"/>
    <w:rsid w:val="00F42ECD"/>
    <w:rsid w:val="00F42F89"/>
    <w:rsid w:val="00F42FCE"/>
    <w:rsid w:val="00F4302A"/>
    <w:rsid w:val="00F4302C"/>
    <w:rsid w:val="00F43083"/>
    <w:rsid w:val="00F430BD"/>
    <w:rsid w:val="00F43141"/>
    <w:rsid w:val="00F4318B"/>
    <w:rsid w:val="00F431E5"/>
    <w:rsid w:val="00F43279"/>
    <w:rsid w:val="00F43377"/>
    <w:rsid w:val="00F434CA"/>
    <w:rsid w:val="00F4350D"/>
    <w:rsid w:val="00F43639"/>
    <w:rsid w:val="00F437BC"/>
    <w:rsid w:val="00F437D2"/>
    <w:rsid w:val="00F4385B"/>
    <w:rsid w:val="00F43908"/>
    <w:rsid w:val="00F439DD"/>
    <w:rsid w:val="00F43A74"/>
    <w:rsid w:val="00F43ADF"/>
    <w:rsid w:val="00F43AEF"/>
    <w:rsid w:val="00F43B93"/>
    <w:rsid w:val="00F43B9D"/>
    <w:rsid w:val="00F43C0E"/>
    <w:rsid w:val="00F43D13"/>
    <w:rsid w:val="00F43D5B"/>
    <w:rsid w:val="00F43E13"/>
    <w:rsid w:val="00F43EF7"/>
    <w:rsid w:val="00F43F38"/>
    <w:rsid w:val="00F43F95"/>
    <w:rsid w:val="00F43FF0"/>
    <w:rsid w:val="00F44006"/>
    <w:rsid w:val="00F44042"/>
    <w:rsid w:val="00F4406E"/>
    <w:rsid w:val="00F440ED"/>
    <w:rsid w:val="00F441D1"/>
    <w:rsid w:val="00F44282"/>
    <w:rsid w:val="00F44343"/>
    <w:rsid w:val="00F44345"/>
    <w:rsid w:val="00F4434F"/>
    <w:rsid w:val="00F444BB"/>
    <w:rsid w:val="00F4452D"/>
    <w:rsid w:val="00F445F8"/>
    <w:rsid w:val="00F44689"/>
    <w:rsid w:val="00F4472C"/>
    <w:rsid w:val="00F44765"/>
    <w:rsid w:val="00F44848"/>
    <w:rsid w:val="00F44909"/>
    <w:rsid w:val="00F44963"/>
    <w:rsid w:val="00F4498A"/>
    <w:rsid w:val="00F449B2"/>
    <w:rsid w:val="00F449D3"/>
    <w:rsid w:val="00F44A97"/>
    <w:rsid w:val="00F44AC1"/>
    <w:rsid w:val="00F44BDC"/>
    <w:rsid w:val="00F44C98"/>
    <w:rsid w:val="00F44E1D"/>
    <w:rsid w:val="00F44EDC"/>
    <w:rsid w:val="00F44EE1"/>
    <w:rsid w:val="00F44FA4"/>
    <w:rsid w:val="00F44FC5"/>
    <w:rsid w:val="00F450DB"/>
    <w:rsid w:val="00F450FF"/>
    <w:rsid w:val="00F45290"/>
    <w:rsid w:val="00F4533F"/>
    <w:rsid w:val="00F4549D"/>
    <w:rsid w:val="00F454E0"/>
    <w:rsid w:val="00F4557B"/>
    <w:rsid w:val="00F45695"/>
    <w:rsid w:val="00F456C3"/>
    <w:rsid w:val="00F456E8"/>
    <w:rsid w:val="00F45764"/>
    <w:rsid w:val="00F457A3"/>
    <w:rsid w:val="00F457BE"/>
    <w:rsid w:val="00F458BC"/>
    <w:rsid w:val="00F458DC"/>
    <w:rsid w:val="00F458EB"/>
    <w:rsid w:val="00F45A22"/>
    <w:rsid w:val="00F45A2D"/>
    <w:rsid w:val="00F45B0A"/>
    <w:rsid w:val="00F45B1B"/>
    <w:rsid w:val="00F45BE8"/>
    <w:rsid w:val="00F45C2C"/>
    <w:rsid w:val="00F45C4A"/>
    <w:rsid w:val="00F45CDA"/>
    <w:rsid w:val="00F45D4A"/>
    <w:rsid w:val="00F45D8E"/>
    <w:rsid w:val="00F45DF0"/>
    <w:rsid w:val="00F45E30"/>
    <w:rsid w:val="00F45EAA"/>
    <w:rsid w:val="00F45F56"/>
    <w:rsid w:val="00F45F8E"/>
    <w:rsid w:val="00F46064"/>
    <w:rsid w:val="00F46373"/>
    <w:rsid w:val="00F4646E"/>
    <w:rsid w:val="00F46666"/>
    <w:rsid w:val="00F46679"/>
    <w:rsid w:val="00F466B3"/>
    <w:rsid w:val="00F467E6"/>
    <w:rsid w:val="00F467F5"/>
    <w:rsid w:val="00F46899"/>
    <w:rsid w:val="00F468EE"/>
    <w:rsid w:val="00F469CA"/>
    <w:rsid w:val="00F469D4"/>
    <w:rsid w:val="00F46A1C"/>
    <w:rsid w:val="00F46A6A"/>
    <w:rsid w:val="00F46B7A"/>
    <w:rsid w:val="00F46C81"/>
    <w:rsid w:val="00F46DBE"/>
    <w:rsid w:val="00F46EDD"/>
    <w:rsid w:val="00F471C3"/>
    <w:rsid w:val="00F472C7"/>
    <w:rsid w:val="00F47427"/>
    <w:rsid w:val="00F474E9"/>
    <w:rsid w:val="00F474F0"/>
    <w:rsid w:val="00F47765"/>
    <w:rsid w:val="00F4779E"/>
    <w:rsid w:val="00F47997"/>
    <w:rsid w:val="00F47A2F"/>
    <w:rsid w:val="00F47AFD"/>
    <w:rsid w:val="00F47C51"/>
    <w:rsid w:val="00F47C7D"/>
    <w:rsid w:val="00F47C81"/>
    <w:rsid w:val="00F47D48"/>
    <w:rsid w:val="00F47E2A"/>
    <w:rsid w:val="00F47E7E"/>
    <w:rsid w:val="00F47F25"/>
    <w:rsid w:val="00F50048"/>
    <w:rsid w:val="00F50066"/>
    <w:rsid w:val="00F5010B"/>
    <w:rsid w:val="00F50246"/>
    <w:rsid w:val="00F502C3"/>
    <w:rsid w:val="00F503E7"/>
    <w:rsid w:val="00F50462"/>
    <w:rsid w:val="00F504C4"/>
    <w:rsid w:val="00F504D2"/>
    <w:rsid w:val="00F50506"/>
    <w:rsid w:val="00F50518"/>
    <w:rsid w:val="00F5053B"/>
    <w:rsid w:val="00F50603"/>
    <w:rsid w:val="00F5062C"/>
    <w:rsid w:val="00F506F6"/>
    <w:rsid w:val="00F507AB"/>
    <w:rsid w:val="00F507F9"/>
    <w:rsid w:val="00F509D8"/>
    <w:rsid w:val="00F50A8B"/>
    <w:rsid w:val="00F50B55"/>
    <w:rsid w:val="00F50BB5"/>
    <w:rsid w:val="00F50D01"/>
    <w:rsid w:val="00F50D76"/>
    <w:rsid w:val="00F50D7A"/>
    <w:rsid w:val="00F50DE0"/>
    <w:rsid w:val="00F50E07"/>
    <w:rsid w:val="00F50ED8"/>
    <w:rsid w:val="00F50F0C"/>
    <w:rsid w:val="00F50F21"/>
    <w:rsid w:val="00F50F52"/>
    <w:rsid w:val="00F5101B"/>
    <w:rsid w:val="00F5107F"/>
    <w:rsid w:val="00F5112E"/>
    <w:rsid w:val="00F51621"/>
    <w:rsid w:val="00F51769"/>
    <w:rsid w:val="00F517BB"/>
    <w:rsid w:val="00F518EF"/>
    <w:rsid w:val="00F51AAB"/>
    <w:rsid w:val="00F51ADA"/>
    <w:rsid w:val="00F51BB3"/>
    <w:rsid w:val="00F51D39"/>
    <w:rsid w:val="00F51D83"/>
    <w:rsid w:val="00F51E56"/>
    <w:rsid w:val="00F51ED8"/>
    <w:rsid w:val="00F51F26"/>
    <w:rsid w:val="00F51F5B"/>
    <w:rsid w:val="00F51FD2"/>
    <w:rsid w:val="00F52035"/>
    <w:rsid w:val="00F5205D"/>
    <w:rsid w:val="00F520A9"/>
    <w:rsid w:val="00F521E8"/>
    <w:rsid w:val="00F5229A"/>
    <w:rsid w:val="00F52301"/>
    <w:rsid w:val="00F52376"/>
    <w:rsid w:val="00F523D5"/>
    <w:rsid w:val="00F52430"/>
    <w:rsid w:val="00F52441"/>
    <w:rsid w:val="00F524BB"/>
    <w:rsid w:val="00F52589"/>
    <w:rsid w:val="00F525F0"/>
    <w:rsid w:val="00F526AA"/>
    <w:rsid w:val="00F52897"/>
    <w:rsid w:val="00F529C0"/>
    <w:rsid w:val="00F529EB"/>
    <w:rsid w:val="00F52A46"/>
    <w:rsid w:val="00F52C2E"/>
    <w:rsid w:val="00F52D20"/>
    <w:rsid w:val="00F52DB9"/>
    <w:rsid w:val="00F52E41"/>
    <w:rsid w:val="00F52EB6"/>
    <w:rsid w:val="00F52F16"/>
    <w:rsid w:val="00F5305E"/>
    <w:rsid w:val="00F53165"/>
    <w:rsid w:val="00F5317A"/>
    <w:rsid w:val="00F531AF"/>
    <w:rsid w:val="00F531CB"/>
    <w:rsid w:val="00F53206"/>
    <w:rsid w:val="00F53274"/>
    <w:rsid w:val="00F53403"/>
    <w:rsid w:val="00F5341A"/>
    <w:rsid w:val="00F53436"/>
    <w:rsid w:val="00F53499"/>
    <w:rsid w:val="00F534E9"/>
    <w:rsid w:val="00F53641"/>
    <w:rsid w:val="00F53730"/>
    <w:rsid w:val="00F537BB"/>
    <w:rsid w:val="00F537C0"/>
    <w:rsid w:val="00F5383E"/>
    <w:rsid w:val="00F5397E"/>
    <w:rsid w:val="00F53989"/>
    <w:rsid w:val="00F53A02"/>
    <w:rsid w:val="00F53A3C"/>
    <w:rsid w:val="00F53A58"/>
    <w:rsid w:val="00F53AA7"/>
    <w:rsid w:val="00F53AF6"/>
    <w:rsid w:val="00F53CB8"/>
    <w:rsid w:val="00F53DA6"/>
    <w:rsid w:val="00F53E13"/>
    <w:rsid w:val="00F53E1E"/>
    <w:rsid w:val="00F53E54"/>
    <w:rsid w:val="00F53F4A"/>
    <w:rsid w:val="00F53F58"/>
    <w:rsid w:val="00F53F6B"/>
    <w:rsid w:val="00F54316"/>
    <w:rsid w:val="00F54327"/>
    <w:rsid w:val="00F54374"/>
    <w:rsid w:val="00F54463"/>
    <w:rsid w:val="00F54485"/>
    <w:rsid w:val="00F5448A"/>
    <w:rsid w:val="00F545E1"/>
    <w:rsid w:val="00F5462E"/>
    <w:rsid w:val="00F54662"/>
    <w:rsid w:val="00F54713"/>
    <w:rsid w:val="00F54745"/>
    <w:rsid w:val="00F547B5"/>
    <w:rsid w:val="00F547D4"/>
    <w:rsid w:val="00F54920"/>
    <w:rsid w:val="00F54A0A"/>
    <w:rsid w:val="00F54AFF"/>
    <w:rsid w:val="00F54B0E"/>
    <w:rsid w:val="00F54B50"/>
    <w:rsid w:val="00F54BA8"/>
    <w:rsid w:val="00F54C53"/>
    <w:rsid w:val="00F54D7B"/>
    <w:rsid w:val="00F54F3D"/>
    <w:rsid w:val="00F54F9F"/>
    <w:rsid w:val="00F55049"/>
    <w:rsid w:val="00F5507E"/>
    <w:rsid w:val="00F55083"/>
    <w:rsid w:val="00F55270"/>
    <w:rsid w:val="00F552EE"/>
    <w:rsid w:val="00F552F0"/>
    <w:rsid w:val="00F5538D"/>
    <w:rsid w:val="00F5540E"/>
    <w:rsid w:val="00F55438"/>
    <w:rsid w:val="00F55571"/>
    <w:rsid w:val="00F55638"/>
    <w:rsid w:val="00F55668"/>
    <w:rsid w:val="00F55685"/>
    <w:rsid w:val="00F55700"/>
    <w:rsid w:val="00F5586D"/>
    <w:rsid w:val="00F558AB"/>
    <w:rsid w:val="00F558BB"/>
    <w:rsid w:val="00F558D4"/>
    <w:rsid w:val="00F558E2"/>
    <w:rsid w:val="00F55930"/>
    <w:rsid w:val="00F559F7"/>
    <w:rsid w:val="00F55A0E"/>
    <w:rsid w:val="00F55A48"/>
    <w:rsid w:val="00F55AD0"/>
    <w:rsid w:val="00F55B14"/>
    <w:rsid w:val="00F55B64"/>
    <w:rsid w:val="00F55C93"/>
    <w:rsid w:val="00F55DF3"/>
    <w:rsid w:val="00F55EFA"/>
    <w:rsid w:val="00F56048"/>
    <w:rsid w:val="00F56060"/>
    <w:rsid w:val="00F562BF"/>
    <w:rsid w:val="00F56349"/>
    <w:rsid w:val="00F5642F"/>
    <w:rsid w:val="00F5649C"/>
    <w:rsid w:val="00F56532"/>
    <w:rsid w:val="00F565BC"/>
    <w:rsid w:val="00F56601"/>
    <w:rsid w:val="00F56720"/>
    <w:rsid w:val="00F56791"/>
    <w:rsid w:val="00F56846"/>
    <w:rsid w:val="00F568DF"/>
    <w:rsid w:val="00F56912"/>
    <w:rsid w:val="00F569BA"/>
    <w:rsid w:val="00F56AB0"/>
    <w:rsid w:val="00F56B0D"/>
    <w:rsid w:val="00F56BC7"/>
    <w:rsid w:val="00F56C35"/>
    <w:rsid w:val="00F56CA3"/>
    <w:rsid w:val="00F56D52"/>
    <w:rsid w:val="00F56D64"/>
    <w:rsid w:val="00F56E4E"/>
    <w:rsid w:val="00F5705E"/>
    <w:rsid w:val="00F570BE"/>
    <w:rsid w:val="00F57386"/>
    <w:rsid w:val="00F573FD"/>
    <w:rsid w:val="00F57454"/>
    <w:rsid w:val="00F57488"/>
    <w:rsid w:val="00F575DE"/>
    <w:rsid w:val="00F57650"/>
    <w:rsid w:val="00F5782D"/>
    <w:rsid w:val="00F578DE"/>
    <w:rsid w:val="00F578ED"/>
    <w:rsid w:val="00F57906"/>
    <w:rsid w:val="00F579E3"/>
    <w:rsid w:val="00F57A91"/>
    <w:rsid w:val="00F57ABB"/>
    <w:rsid w:val="00F57AFA"/>
    <w:rsid w:val="00F57D20"/>
    <w:rsid w:val="00F57DBB"/>
    <w:rsid w:val="00F57E1A"/>
    <w:rsid w:val="00F57E6E"/>
    <w:rsid w:val="00F57F0D"/>
    <w:rsid w:val="00F57FAA"/>
    <w:rsid w:val="00F6015C"/>
    <w:rsid w:val="00F6027B"/>
    <w:rsid w:val="00F6054A"/>
    <w:rsid w:val="00F60573"/>
    <w:rsid w:val="00F605B8"/>
    <w:rsid w:val="00F60660"/>
    <w:rsid w:val="00F6066E"/>
    <w:rsid w:val="00F60786"/>
    <w:rsid w:val="00F607A2"/>
    <w:rsid w:val="00F607AE"/>
    <w:rsid w:val="00F60944"/>
    <w:rsid w:val="00F60A49"/>
    <w:rsid w:val="00F60A58"/>
    <w:rsid w:val="00F60AAB"/>
    <w:rsid w:val="00F60ACD"/>
    <w:rsid w:val="00F60AE8"/>
    <w:rsid w:val="00F60B34"/>
    <w:rsid w:val="00F60BAA"/>
    <w:rsid w:val="00F60C5E"/>
    <w:rsid w:val="00F60C80"/>
    <w:rsid w:val="00F60C8E"/>
    <w:rsid w:val="00F60D5F"/>
    <w:rsid w:val="00F60DA7"/>
    <w:rsid w:val="00F60DCD"/>
    <w:rsid w:val="00F60E66"/>
    <w:rsid w:val="00F60F74"/>
    <w:rsid w:val="00F60F7C"/>
    <w:rsid w:val="00F61123"/>
    <w:rsid w:val="00F6112D"/>
    <w:rsid w:val="00F611A3"/>
    <w:rsid w:val="00F611A9"/>
    <w:rsid w:val="00F611AF"/>
    <w:rsid w:val="00F6122B"/>
    <w:rsid w:val="00F6123F"/>
    <w:rsid w:val="00F612A3"/>
    <w:rsid w:val="00F612CE"/>
    <w:rsid w:val="00F612D2"/>
    <w:rsid w:val="00F613E4"/>
    <w:rsid w:val="00F61533"/>
    <w:rsid w:val="00F61553"/>
    <w:rsid w:val="00F61570"/>
    <w:rsid w:val="00F615DF"/>
    <w:rsid w:val="00F61609"/>
    <w:rsid w:val="00F61612"/>
    <w:rsid w:val="00F61645"/>
    <w:rsid w:val="00F6171C"/>
    <w:rsid w:val="00F617F9"/>
    <w:rsid w:val="00F6199A"/>
    <w:rsid w:val="00F61A91"/>
    <w:rsid w:val="00F61C53"/>
    <w:rsid w:val="00F61CA2"/>
    <w:rsid w:val="00F61CC0"/>
    <w:rsid w:val="00F61DAF"/>
    <w:rsid w:val="00F61E6E"/>
    <w:rsid w:val="00F61E87"/>
    <w:rsid w:val="00F61F22"/>
    <w:rsid w:val="00F61F70"/>
    <w:rsid w:val="00F61F8B"/>
    <w:rsid w:val="00F61FD8"/>
    <w:rsid w:val="00F62161"/>
    <w:rsid w:val="00F62210"/>
    <w:rsid w:val="00F622B6"/>
    <w:rsid w:val="00F6275F"/>
    <w:rsid w:val="00F629A6"/>
    <w:rsid w:val="00F629BC"/>
    <w:rsid w:val="00F629DE"/>
    <w:rsid w:val="00F629EE"/>
    <w:rsid w:val="00F62AFD"/>
    <w:rsid w:val="00F62B1E"/>
    <w:rsid w:val="00F62B4D"/>
    <w:rsid w:val="00F62C13"/>
    <w:rsid w:val="00F62D14"/>
    <w:rsid w:val="00F62D54"/>
    <w:rsid w:val="00F62D5A"/>
    <w:rsid w:val="00F62DA5"/>
    <w:rsid w:val="00F62DFE"/>
    <w:rsid w:val="00F62E9E"/>
    <w:rsid w:val="00F62F01"/>
    <w:rsid w:val="00F62F04"/>
    <w:rsid w:val="00F62F80"/>
    <w:rsid w:val="00F63000"/>
    <w:rsid w:val="00F630A6"/>
    <w:rsid w:val="00F6334F"/>
    <w:rsid w:val="00F633A6"/>
    <w:rsid w:val="00F634FA"/>
    <w:rsid w:val="00F634FE"/>
    <w:rsid w:val="00F63588"/>
    <w:rsid w:val="00F635C9"/>
    <w:rsid w:val="00F6365C"/>
    <w:rsid w:val="00F63770"/>
    <w:rsid w:val="00F637C8"/>
    <w:rsid w:val="00F6385C"/>
    <w:rsid w:val="00F63A0B"/>
    <w:rsid w:val="00F63B71"/>
    <w:rsid w:val="00F63BB3"/>
    <w:rsid w:val="00F63D01"/>
    <w:rsid w:val="00F63DA8"/>
    <w:rsid w:val="00F63FA9"/>
    <w:rsid w:val="00F64005"/>
    <w:rsid w:val="00F640F0"/>
    <w:rsid w:val="00F64136"/>
    <w:rsid w:val="00F6416E"/>
    <w:rsid w:val="00F641AB"/>
    <w:rsid w:val="00F641AC"/>
    <w:rsid w:val="00F642D3"/>
    <w:rsid w:val="00F64508"/>
    <w:rsid w:val="00F645AD"/>
    <w:rsid w:val="00F645D9"/>
    <w:rsid w:val="00F64604"/>
    <w:rsid w:val="00F64793"/>
    <w:rsid w:val="00F647AA"/>
    <w:rsid w:val="00F64AF8"/>
    <w:rsid w:val="00F64B2B"/>
    <w:rsid w:val="00F64CE2"/>
    <w:rsid w:val="00F64D36"/>
    <w:rsid w:val="00F64DBF"/>
    <w:rsid w:val="00F64E51"/>
    <w:rsid w:val="00F64E57"/>
    <w:rsid w:val="00F64E81"/>
    <w:rsid w:val="00F64E95"/>
    <w:rsid w:val="00F64EB7"/>
    <w:rsid w:val="00F65018"/>
    <w:rsid w:val="00F65082"/>
    <w:rsid w:val="00F65188"/>
    <w:rsid w:val="00F65190"/>
    <w:rsid w:val="00F6542B"/>
    <w:rsid w:val="00F654BA"/>
    <w:rsid w:val="00F65602"/>
    <w:rsid w:val="00F6563A"/>
    <w:rsid w:val="00F656BD"/>
    <w:rsid w:val="00F656D3"/>
    <w:rsid w:val="00F65714"/>
    <w:rsid w:val="00F657F9"/>
    <w:rsid w:val="00F65804"/>
    <w:rsid w:val="00F6581F"/>
    <w:rsid w:val="00F658CD"/>
    <w:rsid w:val="00F65996"/>
    <w:rsid w:val="00F65B81"/>
    <w:rsid w:val="00F65BC2"/>
    <w:rsid w:val="00F65C1C"/>
    <w:rsid w:val="00F65C7A"/>
    <w:rsid w:val="00F65CA7"/>
    <w:rsid w:val="00F65DA8"/>
    <w:rsid w:val="00F65DC3"/>
    <w:rsid w:val="00F65FA3"/>
    <w:rsid w:val="00F65FA7"/>
    <w:rsid w:val="00F660DD"/>
    <w:rsid w:val="00F661B8"/>
    <w:rsid w:val="00F661DF"/>
    <w:rsid w:val="00F66280"/>
    <w:rsid w:val="00F6628B"/>
    <w:rsid w:val="00F66455"/>
    <w:rsid w:val="00F664E5"/>
    <w:rsid w:val="00F66555"/>
    <w:rsid w:val="00F665E3"/>
    <w:rsid w:val="00F6663B"/>
    <w:rsid w:val="00F66642"/>
    <w:rsid w:val="00F666AC"/>
    <w:rsid w:val="00F66701"/>
    <w:rsid w:val="00F6671C"/>
    <w:rsid w:val="00F6677C"/>
    <w:rsid w:val="00F668B0"/>
    <w:rsid w:val="00F66939"/>
    <w:rsid w:val="00F66942"/>
    <w:rsid w:val="00F66B5B"/>
    <w:rsid w:val="00F66C02"/>
    <w:rsid w:val="00F66C09"/>
    <w:rsid w:val="00F66D06"/>
    <w:rsid w:val="00F66D4C"/>
    <w:rsid w:val="00F66DB9"/>
    <w:rsid w:val="00F66E51"/>
    <w:rsid w:val="00F66E73"/>
    <w:rsid w:val="00F66EB4"/>
    <w:rsid w:val="00F66F4D"/>
    <w:rsid w:val="00F671A5"/>
    <w:rsid w:val="00F67298"/>
    <w:rsid w:val="00F673CE"/>
    <w:rsid w:val="00F67479"/>
    <w:rsid w:val="00F674E6"/>
    <w:rsid w:val="00F6774A"/>
    <w:rsid w:val="00F67832"/>
    <w:rsid w:val="00F6798D"/>
    <w:rsid w:val="00F6799C"/>
    <w:rsid w:val="00F67A62"/>
    <w:rsid w:val="00F67B2E"/>
    <w:rsid w:val="00F67B9E"/>
    <w:rsid w:val="00F67BFC"/>
    <w:rsid w:val="00F67EC0"/>
    <w:rsid w:val="00F67EFE"/>
    <w:rsid w:val="00F67F1E"/>
    <w:rsid w:val="00F67F84"/>
    <w:rsid w:val="00F67F89"/>
    <w:rsid w:val="00F7004E"/>
    <w:rsid w:val="00F700C1"/>
    <w:rsid w:val="00F70155"/>
    <w:rsid w:val="00F701A0"/>
    <w:rsid w:val="00F702C1"/>
    <w:rsid w:val="00F7035D"/>
    <w:rsid w:val="00F703B1"/>
    <w:rsid w:val="00F706DB"/>
    <w:rsid w:val="00F707CF"/>
    <w:rsid w:val="00F707F6"/>
    <w:rsid w:val="00F70801"/>
    <w:rsid w:val="00F70872"/>
    <w:rsid w:val="00F708CE"/>
    <w:rsid w:val="00F70919"/>
    <w:rsid w:val="00F70964"/>
    <w:rsid w:val="00F709D5"/>
    <w:rsid w:val="00F70A4A"/>
    <w:rsid w:val="00F70AEA"/>
    <w:rsid w:val="00F70B09"/>
    <w:rsid w:val="00F70C28"/>
    <w:rsid w:val="00F70C53"/>
    <w:rsid w:val="00F70D79"/>
    <w:rsid w:val="00F70DE3"/>
    <w:rsid w:val="00F70E6F"/>
    <w:rsid w:val="00F70F47"/>
    <w:rsid w:val="00F70F80"/>
    <w:rsid w:val="00F70FAC"/>
    <w:rsid w:val="00F710C1"/>
    <w:rsid w:val="00F7110C"/>
    <w:rsid w:val="00F7118C"/>
    <w:rsid w:val="00F71275"/>
    <w:rsid w:val="00F712CE"/>
    <w:rsid w:val="00F7134A"/>
    <w:rsid w:val="00F71421"/>
    <w:rsid w:val="00F715CA"/>
    <w:rsid w:val="00F71629"/>
    <w:rsid w:val="00F71690"/>
    <w:rsid w:val="00F716BB"/>
    <w:rsid w:val="00F7172B"/>
    <w:rsid w:val="00F717B9"/>
    <w:rsid w:val="00F7183E"/>
    <w:rsid w:val="00F718B0"/>
    <w:rsid w:val="00F718D6"/>
    <w:rsid w:val="00F7193A"/>
    <w:rsid w:val="00F71AB7"/>
    <w:rsid w:val="00F71B19"/>
    <w:rsid w:val="00F71B27"/>
    <w:rsid w:val="00F71B56"/>
    <w:rsid w:val="00F71CC7"/>
    <w:rsid w:val="00F71CF7"/>
    <w:rsid w:val="00F71D4C"/>
    <w:rsid w:val="00F71E54"/>
    <w:rsid w:val="00F7200C"/>
    <w:rsid w:val="00F720B0"/>
    <w:rsid w:val="00F72181"/>
    <w:rsid w:val="00F7220E"/>
    <w:rsid w:val="00F7225B"/>
    <w:rsid w:val="00F724A7"/>
    <w:rsid w:val="00F72506"/>
    <w:rsid w:val="00F72559"/>
    <w:rsid w:val="00F725B0"/>
    <w:rsid w:val="00F72629"/>
    <w:rsid w:val="00F72657"/>
    <w:rsid w:val="00F7265A"/>
    <w:rsid w:val="00F726A8"/>
    <w:rsid w:val="00F7272A"/>
    <w:rsid w:val="00F727FD"/>
    <w:rsid w:val="00F7292C"/>
    <w:rsid w:val="00F72A1D"/>
    <w:rsid w:val="00F72B4E"/>
    <w:rsid w:val="00F72CBD"/>
    <w:rsid w:val="00F72F24"/>
    <w:rsid w:val="00F72FAE"/>
    <w:rsid w:val="00F730C5"/>
    <w:rsid w:val="00F730E5"/>
    <w:rsid w:val="00F7311E"/>
    <w:rsid w:val="00F73177"/>
    <w:rsid w:val="00F731B1"/>
    <w:rsid w:val="00F731EC"/>
    <w:rsid w:val="00F73315"/>
    <w:rsid w:val="00F7343A"/>
    <w:rsid w:val="00F7344B"/>
    <w:rsid w:val="00F734CF"/>
    <w:rsid w:val="00F73665"/>
    <w:rsid w:val="00F73709"/>
    <w:rsid w:val="00F7370F"/>
    <w:rsid w:val="00F738CC"/>
    <w:rsid w:val="00F739E9"/>
    <w:rsid w:val="00F73A30"/>
    <w:rsid w:val="00F73A9F"/>
    <w:rsid w:val="00F73B68"/>
    <w:rsid w:val="00F73D1B"/>
    <w:rsid w:val="00F73FEE"/>
    <w:rsid w:val="00F74049"/>
    <w:rsid w:val="00F7412F"/>
    <w:rsid w:val="00F74292"/>
    <w:rsid w:val="00F74298"/>
    <w:rsid w:val="00F74306"/>
    <w:rsid w:val="00F743AC"/>
    <w:rsid w:val="00F743DF"/>
    <w:rsid w:val="00F74578"/>
    <w:rsid w:val="00F745BB"/>
    <w:rsid w:val="00F74624"/>
    <w:rsid w:val="00F74668"/>
    <w:rsid w:val="00F746CD"/>
    <w:rsid w:val="00F74736"/>
    <w:rsid w:val="00F748C7"/>
    <w:rsid w:val="00F7497D"/>
    <w:rsid w:val="00F74B16"/>
    <w:rsid w:val="00F74D1D"/>
    <w:rsid w:val="00F74DCC"/>
    <w:rsid w:val="00F74EF8"/>
    <w:rsid w:val="00F7504C"/>
    <w:rsid w:val="00F75148"/>
    <w:rsid w:val="00F751A2"/>
    <w:rsid w:val="00F752E4"/>
    <w:rsid w:val="00F75361"/>
    <w:rsid w:val="00F7537A"/>
    <w:rsid w:val="00F75449"/>
    <w:rsid w:val="00F7548B"/>
    <w:rsid w:val="00F754FF"/>
    <w:rsid w:val="00F75506"/>
    <w:rsid w:val="00F75525"/>
    <w:rsid w:val="00F755E4"/>
    <w:rsid w:val="00F7577C"/>
    <w:rsid w:val="00F7593C"/>
    <w:rsid w:val="00F75942"/>
    <w:rsid w:val="00F75975"/>
    <w:rsid w:val="00F75A04"/>
    <w:rsid w:val="00F75B49"/>
    <w:rsid w:val="00F75CF7"/>
    <w:rsid w:val="00F75CFE"/>
    <w:rsid w:val="00F75E20"/>
    <w:rsid w:val="00F75E7E"/>
    <w:rsid w:val="00F75F68"/>
    <w:rsid w:val="00F75FCC"/>
    <w:rsid w:val="00F75FE8"/>
    <w:rsid w:val="00F761EE"/>
    <w:rsid w:val="00F7631F"/>
    <w:rsid w:val="00F76336"/>
    <w:rsid w:val="00F76375"/>
    <w:rsid w:val="00F763E7"/>
    <w:rsid w:val="00F764FB"/>
    <w:rsid w:val="00F764FD"/>
    <w:rsid w:val="00F76506"/>
    <w:rsid w:val="00F7658A"/>
    <w:rsid w:val="00F76618"/>
    <w:rsid w:val="00F76640"/>
    <w:rsid w:val="00F766CF"/>
    <w:rsid w:val="00F7681A"/>
    <w:rsid w:val="00F76943"/>
    <w:rsid w:val="00F76A0B"/>
    <w:rsid w:val="00F76AA0"/>
    <w:rsid w:val="00F76B8C"/>
    <w:rsid w:val="00F76D3E"/>
    <w:rsid w:val="00F76D81"/>
    <w:rsid w:val="00F76D97"/>
    <w:rsid w:val="00F76D99"/>
    <w:rsid w:val="00F76DEB"/>
    <w:rsid w:val="00F76E4E"/>
    <w:rsid w:val="00F76EA8"/>
    <w:rsid w:val="00F76F13"/>
    <w:rsid w:val="00F7703D"/>
    <w:rsid w:val="00F77116"/>
    <w:rsid w:val="00F77126"/>
    <w:rsid w:val="00F77218"/>
    <w:rsid w:val="00F7722B"/>
    <w:rsid w:val="00F772F1"/>
    <w:rsid w:val="00F773C3"/>
    <w:rsid w:val="00F77423"/>
    <w:rsid w:val="00F77559"/>
    <w:rsid w:val="00F77569"/>
    <w:rsid w:val="00F775CC"/>
    <w:rsid w:val="00F777C3"/>
    <w:rsid w:val="00F777EB"/>
    <w:rsid w:val="00F7788B"/>
    <w:rsid w:val="00F77928"/>
    <w:rsid w:val="00F77950"/>
    <w:rsid w:val="00F77965"/>
    <w:rsid w:val="00F779ED"/>
    <w:rsid w:val="00F77A4F"/>
    <w:rsid w:val="00F77A64"/>
    <w:rsid w:val="00F77A9B"/>
    <w:rsid w:val="00F77AA7"/>
    <w:rsid w:val="00F77AD0"/>
    <w:rsid w:val="00F77B11"/>
    <w:rsid w:val="00F77B21"/>
    <w:rsid w:val="00F77B92"/>
    <w:rsid w:val="00F77BE3"/>
    <w:rsid w:val="00F77C31"/>
    <w:rsid w:val="00F77D11"/>
    <w:rsid w:val="00F77D5E"/>
    <w:rsid w:val="00F77E7E"/>
    <w:rsid w:val="00F77EBE"/>
    <w:rsid w:val="00F77EC1"/>
    <w:rsid w:val="00F77F82"/>
    <w:rsid w:val="00F77FEA"/>
    <w:rsid w:val="00F8009F"/>
    <w:rsid w:val="00F800C1"/>
    <w:rsid w:val="00F80161"/>
    <w:rsid w:val="00F80281"/>
    <w:rsid w:val="00F8029B"/>
    <w:rsid w:val="00F802CA"/>
    <w:rsid w:val="00F8044F"/>
    <w:rsid w:val="00F8057F"/>
    <w:rsid w:val="00F80588"/>
    <w:rsid w:val="00F805F3"/>
    <w:rsid w:val="00F80657"/>
    <w:rsid w:val="00F80722"/>
    <w:rsid w:val="00F80755"/>
    <w:rsid w:val="00F80765"/>
    <w:rsid w:val="00F807A9"/>
    <w:rsid w:val="00F80814"/>
    <w:rsid w:val="00F80939"/>
    <w:rsid w:val="00F809D5"/>
    <w:rsid w:val="00F80B9E"/>
    <w:rsid w:val="00F80BE5"/>
    <w:rsid w:val="00F80C1B"/>
    <w:rsid w:val="00F80C7E"/>
    <w:rsid w:val="00F80CB3"/>
    <w:rsid w:val="00F80CEB"/>
    <w:rsid w:val="00F80DAF"/>
    <w:rsid w:val="00F80E37"/>
    <w:rsid w:val="00F81171"/>
    <w:rsid w:val="00F81259"/>
    <w:rsid w:val="00F81280"/>
    <w:rsid w:val="00F81285"/>
    <w:rsid w:val="00F812F8"/>
    <w:rsid w:val="00F81350"/>
    <w:rsid w:val="00F813CF"/>
    <w:rsid w:val="00F81464"/>
    <w:rsid w:val="00F814D1"/>
    <w:rsid w:val="00F81644"/>
    <w:rsid w:val="00F8173E"/>
    <w:rsid w:val="00F817FB"/>
    <w:rsid w:val="00F8182A"/>
    <w:rsid w:val="00F81839"/>
    <w:rsid w:val="00F819E1"/>
    <w:rsid w:val="00F81ABF"/>
    <w:rsid w:val="00F81AF5"/>
    <w:rsid w:val="00F81C39"/>
    <w:rsid w:val="00F81C6A"/>
    <w:rsid w:val="00F81C98"/>
    <w:rsid w:val="00F81D03"/>
    <w:rsid w:val="00F81F56"/>
    <w:rsid w:val="00F81FFF"/>
    <w:rsid w:val="00F82005"/>
    <w:rsid w:val="00F82042"/>
    <w:rsid w:val="00F820E7"/>
    <w:rsid w:val="00F8211C"/>
    <w:rsid w:val="00F82174"/>
    <w:rsid w:val="00F821FC"/>
    <w:rsid w:val="00F82200"/>
    <w:rsid w:val="00F82213"/>
    <w:rsid w:val="00F8231A"/>
    <w:rsid w:val="00F82395"/>
    <w:rsid w:val="00F823F4"/>
    <w:rsid w:val="00F82448"/>
    <w:rsid w:val="00F82720"/>
    <w:rsid w:val="00F827E6"/>
    <w:rsid w:val="00F828C3"/>
    <w:rsid w:val="00F82A12"/>
    <w:rsid w:val="00F82B5B"/>
    <w:rsid w:val="00F82B73"/>
    <w:rsid w:val="00F82BFD"/>
    <w:rsid w:val="00F82C81"/>
    <w:rsid w:val="00F82CB0"/>
    <w:rsid w:val="00F82D32"/>
    <w:rsid w:val="00F82E43"/>
    <w:rsid w:val="00F82E65"/>
    <w:rsid w:val="00F82E72"/>
    <w:rsid w:val="00F82E87"/>
    <w:rsid w:val="00F82ECB"/>
    <w:rsid w:val="00F82F2D"/>
    <w:rsid w:val="00F82FAC"/>
    <w:rsid w:val="00F82FBD"/>
    <w:rsid w:val="00F83184"/>
    <w:rsid w:val="00F8327E"/>
    <w:rsid w:val="00F832A2"/>
    <w:rsid w:val="00F833A1"/>
    <w:rsid w:val="00F833D3"/>
    <w:rsid w:val="00F83465"/>
    <w:rsid w:val="00F834E9"/>
    <w:rsid w:val="00F83508"/>
    <w:rsid w:val="00F835E0"/>
    <w:rsid w:val="00F836AD"/>
    <w:rsid w:val="00F83765"/>
    <w:rsid w:val="00F83899"/>
    <w:rsid w:val="00F8389D"/>
    <w:rsid w:val="00F838C5"/>
    <w:rsid w:val="00F838F8"/>
    <w:rsid w:val="00F83938"/>
    <w:rsid w:val="00F83972"/>
    <w:rsid w:val="00F83ADF"/>
    <w:rsid w:val="00F83C3A"/>
    <w:rsid w:val="00F83C79"/>
    <w:rsid w:val="00F83D84"/>
    <w:rsid w:val="00F83E0E"/>
    <w:rsid w:val="00F83E67"/>
    <w:rsid w:val="00F83ECC"/>
    <w:rsid w:val="00F83EE7"/>
    <w:rsid w:val="00F841A9"/>
    <w:rsid w:val="00F841B9"/>
    <w:rsid w:val="00F84513"/>
    <w:rsid w:val="00F845FA"/>
    <w:rsid w:val="00F845FD"/>
    <w:rsid w:val="00F84610"/>
    <w:rsid w:val="00F84672"/>
    <w:rsid w:val="00F8469B"/>
    <w:rsid w:val="00F8474D"/>
    <w:rsid w:val="00F848C1"/>
    <w:rsid w:val="00F84926"/>
    <w:rsid w:val="00F84935"/>
    <w:rsid w:val="00F8495C"/>
    <w:rsid w:val="00F84962"/>
    <w:rsid w:val="00F849FF"/>
    <w:rsid w:val="00F84A54"/>
    <w:rsid w:val="00F84ABE"/>
    <w:rsid w:val="00F84AFE"/>
    <w:rsid w:val="00F84BA7"/>
    <w:rsid w:val="00F84C03"/>
    <w:rsid w:val="00F84CB3"/>
    <w:rsid w:val="00F84CE7"/>
    <w:rsid w:val="00F84D4A"/>
    <w:rsid w:val="00F84DE2"/>
    <w:rsid w:val="00F84DF0"/>
    <w:rsid w:val="00F84EC9"/>
    <w:rsid w:val="00F850E8"/>
    <w:rsid w:val="00F85148"/>
    <w:rsid w:val="00F85164"/>
    <w:rsid w:val="00F851DE"/>
    <w:rsid w:val="00F85285"/>
    <w:rsid w:val="00F85380"/>
    <w:rsid w:val="00F85397"/>
    <w:rsid w:val="00F853ED"/>
    <w:rsid w:val="00F853F0"/>
    <w:rsid w:val="00F8542B"/>
    <w:rsid w:val="00F854AB"/>
    <w:rsid w:val="00F8551B"/>
    <w:rsid w:val="00F8552C"/>
    <w:rsid w:val="00F8554D"/>
    <w:rsid w:val="00F85555"/>
    <w:rsid w:val="00F85556"/>
    <w:rsid w:val="00F8556F"/>
    <w:rsid w:val="00F857B6"/>
    <w:rsid w:val="00F8582B"/>
    <w:rsid w:val="00F8588A"/>
    <w:rsid w:val="00F8594B"/>
    <w:rsid w:val="00F8594E"/>
    <w:rsid w:val="00F859B9"/>
    <w:rsid w:val="00F85A4B"/>
    <w:rsid w:val="00F85A57"/>
    <w:rsid w:val="00F85B00"/>
    <w:rsid w:val="00F85B3A"/>
    <w:rsid w:val="00F85DC9"/>
    <w:rsid w:val="00F85E40"/>
    <w:rsid w:val="00F85ED9"/>
    <w:rsid w:val="00F85F0C"/>
    <w:rsid w:val="00F8607A"/>
    <w:rsid w:val="00F86172"/>
    <w:rsid w:val="00F862AE"/>
    <w:rsid w:val="00F863A3"/>
    <w:rsid w:val="00F863DE"/>
    <w:rsid w:val="00F864E0"/>
    <w:rsid w:val="00F8661B"/>
    <w:rsid w:val="00F8668F"/>
    <w:rsid w:val="00F86756"/>
    <w:rsid w:val="00F86812"/>
    <w:rsid w:val="00F86898"/>
    <w:rsid w:val="00F868F7"/>
    <w:rsid w:val="00F869D3"/>
    <w:rsid w:val="00F86A28"/>
    <w:rsid w:val="00F86BD1"/>
    <w:rsid w:val="00F86C36"/>
    <w:rsid w:val="00F86CEC"/>
    <w:rsid w:val="00F86D6D"/>
    <w:rsid w:val="00F86EEF"/>
    <w:rsid w:val="00F86F3B"/>
    <w:rsid w:val="00F86F6F"/>
    <w:rsid w:val="00F8700A"/>
    <w:rsid w:val="00F8702D"/>
    <w:rsid w:val="00F87162"/>
    <w:rsid w:val="00F871B6"/>
    <w:rsid w:val="00F8723B"/>
    <w:rsid w:val="00F87364"/>
    <w:rsid w:val="00F8738C"/>
    <w:rsid w:val="00F873B8"/>
    <w:rsid w:val="00F875F0"/>
    <w:rsid w:val="00F8763C"/>
    <w:rsid w:val="00F876DA"/>
    <w:rsid w:val="00F87771"/>
    <w:rsid w:val="00F87851"/>
    <w:rsid w:val="00F878EC"/>
    <w:rsid w:val="00F87998"/>
    <w:rsid w:val="00F879A9"/>
    <w:rsid w:val="00F87A31"/>
    <w:rsid w:val="00F87A7F"/>
    <w:rsid w:val="00F87AB8"/>
    <w:rsid w:val="00F87B6E"/>
    <w:rsid w:val="00F87BBA"/>
    <w:rsid w:val="00F87C78"/>
    <w:rsid w:val="00F87CD7"/>
    <w:rsid w:val="00F87D04"/>
    <w:rsid w:val="00F87D4A"/>
    <w:rsid w:val="00F87E65"/>
    <w:rsid w:val="00F87F7A"/>
    <w:rsid w:val="00F90121"/>
    <w:rsid w:val="00F90183"/>
    <w:rsid w:val="00F901E4"/>
    <w:rsid w:val="00F90209"/>
    <w:rsid w:val="00F90272"/>
    <w:rsid w:val="00F902AC"/>
    <w:rsid w:val="00F902BC"/>
    <w:rsid w:val="00F90379"/>
    <w:rsid w:val="00F90427"/>
    <w:rsid w:val="00F9049F"/>
    <w:rsid w:val="00F90535"/>
    <w:rsid w:val="00F90542"/>
    <w:rsid w:val="00F90635"/>
    <w:rsid w:val="00F9065E"/>
    <w:rsid w:val="00F90736"/>
    <w:rsid w:val="00F90801"/>
    <w:rsid w:val="00F90868"/>
    <w:rsid w:val="00F908C5"/>
    <w:rsid w:val="00F90932"/>
    <w:rsid w:val="00F909A6"/>
    <w:rsid w:val="00F909ED"/>
    <w:rsid w:val="00F90A4C"/>
    <w:rsid w:val="00F90A98"/>
    <w:rsid w:val="00F90B3F"/>
    <w:rsid w:val="00F90B6A"/>
    <w:rsid w:val="00F90C6A"/>
    <w:rsid w:val="00F90D0A"/>
    <w:rsid w:val="00F90E3F"/>
    <w:rsid w:val="00F910F9"/>
    <w:rsid w:val="00F91123"/>
    <w:rsid w:val="00F9127D"/>
    <w:rsid w:val="00F91396"/>
    <w:rsid w:val="00F9149F"/>
    <w:rsid w:val="00F91548"/>
    <w:rsid w:val="00F915A0"/>
    <w:rsid w:val="00F915E0"/>
    <w:rsid w:val="00F91658"/>
    <w:rsid w:val="00F91757"/>
    <w:rsid w:val="00F91895"/>
    <w:rsid w:val="00F919C4"/>
    <w:rsid w:val="00F91B40"/>
    <w:rsid w:val="00F91C76"/>
    <w:rsid w:val="00F91DA9"/>
    <w:rsid w:val="00F91F5F"/>
    <w:rsid w:val="00F92009"/>
    <w:rsid w:val="00F9212B"/>
    <w:rsid w:val="00F92328"/>
    <w:rsid w:val="00F923DC"/>
    <w:rsid w:val="00F923EC"/>
    <w:rsid w:val="00F9244E"/>
    <w:rsid w:val="00F92531"/>
    <w:rsid w:val="00F9255D"/>
    <w:rsid w:val="00F92584"/>
    <w:rsid w:val="00F925AB"/>
    <w:rsid w:val="00F92724"/>
    <w:rsid w:val="00F9278B"/>
    <w:rsid w:val="00F927F4"/>
    <w:rsid w:val="00F9280A"/>
    <w:rsid w:val="00F9297B"/>
    <w:rsid w:val="00F92C27"/>
    <w:rsid w:val="00F92C8A"/>
    <w:rsid w:val="00F92CE6"/>
    <w:rsid w:val="00F92E35"/>
    <w:rsid w:val="00F92EBB"/>
    <w:rsid w:val="00F9318D"/>
    <w:rsid w:val="00F931E3"/>
    <w:rsid w:val="00F93755"/>
    <w:rsid w:val="00F93757"/>
    <w:rsid w:val="00F93A19"/>
    <w:rsid w:val="00F93A47"/>
    <w:rsid w:val="00F93A90"/>
    <w:rsid w:val="00F93D63"/>
    <w:rsid w:val="00F93DB5"/>
    <w:rsid w:val="00F93DD1"/>
    <w:rsid w:val="00F93EC4"/>
    <w:rsid w:val="00F93FDA"/>
    <w:rsid w:val="00F94004"/>
    <w:rsid w:val="00F9409F"/>
    <w:rsid w:val="00F94109"/>
    <w:rsid w:val="00F94243"/>
    <w:rsid w:val="00F94263"/>
    <w:rsid w:val="00F94281"/>
    <w:rsid w:val="00F942BE"/>
    <w:rsid w:val="00F942E1"/>
    <w:rsid w:val="00F94390"/>
    <w:rsid w:val="00F943DA"/>
    <w:rsid w:val="00F94418"/>
    <w:rsid w:val="00F94598"/>
    <w:rsid w:val="00F945F6"/>
    <w:rsid w:val="00F947AA"/>
    <w:rsid w:val="00F9498D"/>
    <w:rsid w:val="00F94A1C"/>
    <w:rsid w:val="00F94AF5"/>
    <w:rsid w:val="00F94B9A"/>
    <w:rsid w:val="00F94C62"/>
    <w:rsid w:val="00F94C69"/>
    <w:rsid w:val="00F94C6C"/>
    <w:rsid w:val="00F94D7E"/>
    <w:rsid w:val="00F94E43"/>
    <w:rsid w:val="00F94E5A"/>
    <w:rsid w:val="00F94F50"/>
    <w:rsid w:val="00F94F54"/>
    <w:rsid w:val="00F94F7F"/>
    <w:rsid w:val="00F94FB3"/>
    <w:rsid w:val="00F94FE5"/>
    <w:rsid w:val="00F94FFB"/>
    <w:rsid w:val="00F95024"/>
    <w:rsid w:val="00F9504A"/>
    <w:rsid w:val="00F95060"/>
    <w:rsid w:val="00F95104"/>
    <w:rsid w:val="00F9515F"/>
    <w:rsid w:val="00F95304"/>
    <w:rsid w:val="00F95374"/>
    <w:rsid w:val="00F95389"/>
    <w:rsid w:val="00F9538B"/>
    <w:rsid w:val="00F9585B"/>
    <w:rsid w:val="00F95883"/>
    <w:rsid w:val="00F958CA"/>
    <w:rsid w:val="00F959C7"/>
    <w:rsid w:val="00F959D8"/>
    <w:rsid w:val="00F95A27"/>
    <w:rsid w:val="00F95B45"/>
    <w:rsid w:val="00F95B59"/>
    <w:rsid w:val="00F95BCE"/>
    <w:rsid w:val="00F95C0C"/>
    <w:rsid w:val="00F95C32"/>
    <w:rsid w:val="00F95D41"/>
    <w:rsid w:val="00F95DDE"/>
    <w:rsid w:val="00F95E65"/>
    <w:rsid w:val="00F95F5A"/>
    <w:rsid w:val="00F96049"/>
    <w:rsid w:val="00F9606A"/>
    <w:rsid w:val="00F960AA"/>
    <w:rsid w:val="00F960CD"/>
    <w:rsid w:val="00F960FE"/>
    <w:rsid w:val="00F96111"/>
    <w:rsid w:val="00F9626F"/>
    <w:rsid w:val="00F9628C"/>
    <w:rsid w:val="00F963D1"/>
    <w:rsid w:val="00F96472"/>
    <w:rsid w:val="00F964CC"/>
    <w:rsid w:val="00F965B0"/>
    <w:rsid w:val="00F966DE"/>
    <w:rsid w:val="00F96723"/>
    <w:rsid w:val="00F96792"/>
    <w:rsid w:val="00F967C7"/>
    <w:rsid w:val="00F96A68"/>
    <w:rsid w:val="00F96A69"/>
    <w:rsid w:val="00F96ABB"/>
    <w:rsid w:val="00F96CC1"/>
    <w:rsid w:val="00F96E2E"/>
    <w:rsid w:val="00F96EF8"/>
    <w:rsid w:val="00F97008"/>
    <w:rsid w:val="00F97069"/>
    <w:rsid w:val="00F9707B"/>
    <w:rsid w:val="00F970B7"/>
    <w:rsid w:val="00F9717A"/>
    <w:rsid w:val="00F9720A"/>
    <w:rsid w:val="00F97236"/>
    <w:rsid w:val="00F97248"/>
    <w:rsid w:val="00F972BA"/>
    <w:rsid w:val="00F97469"/>
    <w:rsid w:val="00F974DC"/>
    <w:rsid w:val="00F974ED"/>
    <w:rsid w:val="00F975B6"/>
    <w:rsid w:val="00F975BB"/>
    <w:rsid w:val="00F97610"/>
    <w:rsid w:val="00F9768A"/>
    <w:rsid w:val="00F976FA"/>
    <w:rsid w:val="00F97768"/>
    <w:rsid w:val="00F977C3"/>
    <w:rsid w:val="00F977E6"/>
    <w:rsid w:val="00F97801"/>
    <w:rsid w:val="00F97978"/>
    <w:rsid w:val="00F97994"/>
    <w:rsid w:val="00F97A47"/>
    <w:rsid w:val="00F97A54"/>
    <w:rsid w:val="00F97AAC"/>
    <w:rsid w:val="00F97AB9"/>
    <w:rsid w:val="00F97ACD"/>
    <w:rsid w:val="00F97C2D"/>
    <w:rsid w:val="00F97CCE"/>
    <w:rsid w:val="00F97F50"/>
    <w:rsid w:val="00F97F58"/>
    <w:rsid w:val="00F97FCD"/>
    <w:rsid w:val="00FA005B"/>
    <w:rsid w:val="00FA00C0"/>
    <w:rsid w:val="00FA00D7"/>
    <w:rsid w:val="00FA0157"/>
    <w:rsid w:val="00FA0207"/>
    <w:rsid w:val="00FA0277"/>
    <w:rsid w:val="00FA02C9"/>
    <w:rsid w:val="00FA03BC"/>
    <w:rsid w:val="00FA0400"/>
    <w:rsid w:val="00FA0426"/>
    <w:rsid w:val="00FA044C"/>
    <w:rsid w:val="00FA0453"/>
    <w:rsid w:val="00FA046D"/>
    <w:rsid w:val="00FA0549"/>
    <w:rsid w:val="00FA0599"/>
    <w:rsid w:val="00FA05F7"/>
    <w:rsid w:val="00FA063C"/>
    <w:rsid w:val="00FA0654"/>
    <w:rsid w:val="00FA078B"/>
    <w:rsid w:val="00FA07F1"/>
    <w:rsid w:val="00FA0874"/>
    <w:rsid w:val="00FA08E5"/>
    <w:rsid w:val="00FA09D5"/>
    <w:rsid w:val="00FA0A5C"/>
    <w:rsid w:val="00FA0B2B"/>
    <w:rsid w:val="00FA0BDE"/>
    <w:rsid w:val="00FA0BE1"/>
    <w:rsid w:val="00FA0C19"/>
    <w:rsid w:val="00FA0C3D"/>
    <w:rsid w:val="00FA0D05"/>
    <w:rsid w:val="00FA0D49"/>
    <w:rsid w:val="00FA0D8E"/>
    <w:rsid w:val="00FA0E93"/>
    <w:rsid w:val="00FA0EDB"/>
    <w:rsid w:val="00FA0F95"/>
    <w:rsid w:val="00FA107E"/>
    <w:rsid w:val="00FA124B"/>
    <w:rsid w:val="00FA1351"/>
    <w:rsid w:val="00FA1409"/>
    <w:rsid w:val="00FA1523"/>
    <w:rsid w:val="00FA1627"/>
    <w:rsid w:val="00FA1645"/>
    <w:rsid w:val="00FA1748"/>
    <w:rsid w:val="00FA17A6"/>
    <w:rsid w:val="00FA17D7"/>
    <w:rsid w:val="00FA1886"/>
    <w:rsid w:val="00FA191A"/>
    <w:rsid w:val="00FA19D1"/>
    <w:rsid w:val="00FA1A1A"/>
    <w:rsid w:val="00FA1A88"/>
    <w:rsid w:val="00FA1AE8"/>
    <w:rsid w:val="00FA1BB3"/>
    <w:rsid w:val="00FA1BBA"/>
    <w:rsid w:val="00FA1CBE"/>
    <w:rsid w:val="00FA1D19"/>
    <w:rsid w:val="00FA1DFF"/>
    <w:rsid w:val="00FA1E4A"/>
    <w:rsid w:val="00FA1E5D"/>
    <w:rsid w:val="00FA1F69"/>
    <w:rsid w:val="00FA206B"/>
    <w:rsid w:val="00FA2109"/>
    <w:rsid w:val="00FA2158"/>
    <w:rsid w:val="00FA2193"/>
    <w:rsid w:val="00FA21C4"/>
    <w:rsid w:val="00FA2399"/>
    <w:rsid w:val="00FA2445"/>
    <w:rsid w:val="00FA2447"/>
    <w:rsid w:val="00FA2493"/>
    <w:rsid w:val="00FA24F5"/>
    <w:rsid w:val="00FA24F6"/>
    <w:rsid w:val="00FA25B4"/>
    <w:rsid w:val="00FA25CF"/>
    <w:rsid w:val="00FA2804"/>
    <w:rsid w:val="00FA291D"/>
    <w:rsid w:val="00FA294D"/>
    <w:rsid w:val="00FA2987"/>
    <w:rsid w:val="00FA298A"/>
    <w:rsid w:val="00FA2991"/>
    <w:rsid w:val="00FA2AF1"/>
    <w:rsid w:val="00FA2B94"/>
    <w:rsid w:val="00FA2C5E"/>
    <w:rsid w:val="00FA2CA6"/>
    <w:rsid w:val="00FA2CB8"/>
    <w:rsid w:val="00FA2D6D"/>
    <w:rsid w:val="00FA2D89"/>
    <w:rsid w:val="00FA2F6F"/>
    <w:rsid w:val="00FA30CF"/>
    <w:rsid w:val="00FA30DA"/>
    <w:rsid w:val="00FA30DF"/>
    <w:rsid w:val="00FA3198"/>
    <w:rsid w:val="00FA32BF"/>
    <w:rsid w:val="00FA32CD"/>
    <w:rsid w:val="00FA32D5"/>
    <w:rsid w:val="00FA32FA"/>
    <w:rsid w:val="00FA3372"/>
    <w:rsid w:val="00FA3395"/>
    <w:rsid w:val="00FA33FF"/>
    <w:rsid w:val="00FA35BE"/>
    <w:rsid w:val="00FA37C0"/>
    <w:rsid w:val="00FA37C1"/>
    <w:rsid w:val="00FA3860"/>
    <w:rsid w:val="00FA39FD"/>
    <w:rsid w:val="00FA3BB6"/>
    <w:rsid w:val="00FA3CE1"/>
    <w:rsid w:val="00FA3EC7"/>
    <w:rsid w:val="00FA3F6B"/>
    <w:rsid w:val="00FA3F9C"/>
    <w:rsid w:val="00FA3FB2"/>
    <w:rsid w:val="00FA40D3"/>
    <w:rsid w:val="00FA41F4"/>
    <w:rsid w:val="00FA4207"/>
    <w:rsid w:val="00FA426C"/>
    <w:rsid w:val="00FA42A4"/>
    <w:rsid w:val="00FA4307"/>
    <w:rsid w:val="00FA43E1"/>
    <w:rsid w:val="00FA4651"/>
    <w:rsid w:val="00FA46C6"/>
    <w:rsid w:val="00FA48A8"/>
    <w:rsid w:val="00FA499B"/>
    <w:rsid w:val="00FA4A30"/>
    <w:rsid w:val="00FA4A4C"/>
    <w:rsid w:val="00FA4BFA"/>
    <w:rsid w:val="00FA4DB1"/>
    <w:rsid w:val="00FA4E21"/>
    <w:rsid w:val="00FA4ED3"/>
    <w:rsid w:val="00FA4F5B"/>
    <w:rsid w:val="00FA4F6A"/>
    <w:rsid w:val="00FA4F78"/>
    <w:rsid w:val="00FA503B"/>
    <w:rsid w:val="00FA5056"/>
    <w:rsid w:val="00FA51B6"/>
    <w:rsid w:val="00FA524E"/>
    <w:rsid w:val="00FA53ED"/>
    <w:rsid w:val="00FA55AD"/>
    <w:rsid w:val="00FA55F3"/>
    <w:rsid w:val="00FA5631"/>
    <w:rsid w:val="00FA5670"/>
    <w:rsid w:val="00FA5735"/>
    <w:rsid w:val="00FA57B1"/>
    <w:rsid w:val="00FA57E6"/>
    <w:rsid w:val="00FA57F8"/>
    <w:rsid w:val="00FA5843"/>
    <w:rsid w:val="00FA5981"/>
    <w:rsid w:val="00FA59E2"/>
    <w:rsid w:val="00FA59EB"/>
    <w:rsid w:val="00FA5A18"/>
    <w:rsid w:val="00FA5A61"/>
    <w:rsid w:val="00FA5ABD"/>
    <w:rsid w:val="00FA5AD7"/>
    <w:rsid w:val="00FA5C86"/>
    <w:rsid w:val="00FA5CBF"/>
    <w:rsid w:val="00FA5D59"/>
    <w:rsid w:val="00FA5D6C"/>
    <w:rsid w:val="00FA6019"/>
    <w:rsid w:val="00FA60E6"/>
    <w:rsid w:val="00FA611B"/>
    <w:rsid w:val="00FA61A1"/>
    <w:rsid w:val="00FA61C0"/>
    <w:rsid w:val="00FA61D2"/>
    <w:rsid w:val="00FA62FA"/>
    <w:rsid w:val="00FA6313"/>
    <w:rsid w:val="00FA634C"/>
    <w:rsid w:val="00FA6370"/>
    <w:rsid w:val="00FA64B9"/>
    <w:rsid w:val="00FA64E2"/>
    <w:rsid w:val="00FA6580"/>
    <w:rsid w:val="00FA6596"/>
    <w:rsid w:val="00FA65FA"/>
    <w:rsid w:val="00FA6630"/>
    <w:rsid w:val="00FA6682"/>
    <w:rsid w:val="00FA66D3"/>
    <w:rsid w:val="00FA6788"/>
    <w:rsid w:val="00FA685F"/>
    <w:rsid w:val="00FA6AA7"/>
    <w:rsid w:val="00FA6ACD"/>
    <w:rsid w:val="00FA6C42"/>
    <w:rsid w:val="00FA6CD5"/>
    <w:rsid w:val="00FA6D07"/>
    <w:rsid w:val="00FA6D49"/>
    <w:rsid w:val="00FA6E97"/>
    <w:rsid w:val="00FA6EEA"/>
    <w:rsid w:val="00FA6F04"/>
    <w:rsid w:val="00FA6F28"/>
    <w:rsid w:val="00FA6FB7"/>
    <w:rsid w:val="00FA6FC0"/>
    <w:rsid w:val="00FA70C5"/>
    <w:rsid w:val="00FA70EB"/>
    <w:rsid w:val="00FA7155"/>
    <w:rsid w:val="00FA71D7"/>
    <w:rsid w:val="00FA71FE"/>
    <w:rsid w:val="00FA7476"/>
    <w:rsid w:val="00FA74AA"/>
    <w:rsid w:val="00FA74DD"/>
    <w:rsid w:val="00FA758E"/>
    <w:rsid w:val="00FA75D4"/>
    <w:rsid w:val="00FA760F"/>
    <w:rsid w:val="00FA7638"/>
    <w:rsid w:val="00FA7690"/>
    <w:rsid w:val="00FA76BD"/>
    <w:rsid w:val="00FA76E2"/>
    <w:rsid w:val="00FA7710"/>
    <w:rsid w:val="00FA775B"/>
    <w:rsid w:val="00FA779F"/>
    <w:rsid w:val="00FA7991"/>
    <w:rsid w:val="00FA79AB"/>
    <w:rsid w:val="00FA7B12"/>
    <w:rsid w:val="00FA7C8C"/>
    <w:rsid w:val="00FA7C95"/>
    <w:rsid w:val="00FA7CA0"/>
    <w:rsid w:val="00FA7CC4"/>
    <w:rsid w:val="00FA7CD8"/>
    <w:rsid w:val="00FA7D0C"/>
    <w:rsid w:val="00FA7D24"/>
    <w:rsid w:val="00FA7D29"/>
    <w:rsid w:val="00FA7D63"/>
    <w:rsid w:val="00FA7ECB"/>
    <w:rsid w:val="00FA7FB5"/>
    <w:rsid w:val="00FB00C4"/>
    <w:rsid w:val="00FB00D9"/>
    <w:rsid w:val="00FB00FD"/>
    <w:rsid w:val="00FB0158"/>
    <w:rsid w:val="00FB0183"/>
    <w:rsid w:val="00FB0232"/>
    <w:rsid w:val="00FB026F"/>
    <w:rsid w:val="00FB0317"/>
    <w:rsid w:val="00FB033D"/>
    <w:rsid w:val="00FB036A"/>
    <w:rsid w:val="00FB0451"/>
    <w:rsid w:val="00FB04B0"/>
    <w:rsid w:val="00FB05F0"/>
    <w:rsid w:val="00FB071F"/>
    <w:rsid w:val="00FB082C"/>
    <w:rsid w:val="00FB083C"/>
    <w:rsid w:val="00FB08AC"/>
    <w:rsid w:val="00FB0AD8"/>
    <w:rsid w:val="00FB0B2C"/>
    <w:rsid w:val="00FB0C98"/>
    <w:rsid w:val="00FB0D61"/>
    <w:rsid w:val="00FB0DA9"/>
    <w:rsid w:val="00FB0DB3"/>
    <w:rsid w:val="00FB0DDA"/>
    <w:rsid w:val="00FB1015"/>
    <w:rsid w:val="00FB10F5"/>
    <w:rsid w:val="00FB1103"/>
    <w:rsid w:val="00FB117B"/>
    <w:rsid w:val="00FB11A2"/>
    <w:rsid w:val="00FB11AC"/>
    <w:rsid w:val="00FB11FB"/>
    <w:rsid w:val="00FB12E3"/>
    <w:rsid w:val="00FB13B2"/>
    <w:rsid w:val="00FB144E"/>
    <w:rsid w:val="00FB14AD"/>
    <w:rsid w:val="00FB1535"/>
    <w:rsid w:val="00FB1869"/>
    <w:rsid w:val="00FB1A7A"/>
    <w:rsid w:val="00FB1B77"/>
    <w:rsid w:val="00FB1BA5"/>
    <w:rsid w:val="00FB1DA7"/>
    <w:rsid w:val="00FB1E17"/>
    <w:rsid w:val="00FB1EED"/>
    <w:rsid w:val="00FB1FE8"/>
    <w:rsid w:val="00FB1FF5"/>
    <w:rsid w:val="00FB20AD"/>
    <w:rsid w:val="00FB21EA"/>
    <w:rsid w:val="00FB2314"/>
    <w:rsid w:val="00FB2365"/>
    <w:rsid w:val="00FB23D4"/>
    <w:rsid w:val="00FB2476"/>
    <w:rsid w:val="00FB2493"/>
    <w:rsid w:val="00FB250C"/>
    <w:rsid w:val="00FB25DF"/>
    <w:rsid w:val="00FB25ED"/>
    <w:rsid w:val="00FB261B"/>
    <w:rsid w:val="00FB262A"/>
    <w:rsid w:val="00FB284C"/>
    <w:rsid w:val="00FB2925"/>
    <w:rsid w:val="00FB293E"/>
    <w:rsid w:val="00FB2984"/>
    <w:rsid w:val="00FB2A3F"/>
    <w:rsid w:val="00FB2C74"/>
    <w:rsid w:val="00FB2C81"/>
    <w:rsid w:val="00FB2C85"/>
    <w:rsid w:val="00FB2CB4"/>
    <w:rsid w:val="00FB2CCC"/>
    <w:rsid w:val="00FB2CDD"/>
    <w:rsid w:val="00FB2D29"/>
    <w:rsid w:val="00FB2D44"/>
    <w:rsid w:val="00FB2E84"/>
    <w:rsid w:val="00FB2EB9"/>
    <w:rsid w:val="00FB3132"/>
    <w:rsid w:val="00FB3150"/>
    <w:rsid w:val="00FB3208"/>
    <w:rsid w:val="00FB3497"/>
    <w:rsid w:val="00FB349B"/>
    <w:rsid w:val="00FB367B"/>
    <w:rsid w:val="00FB367D"/>
    <w:rsid w:val="00FB36BC"/>
    <w:rsid w:val="00FB374B"/>
    <w:rsid w:val="00FB37FD"/>
    <w:rsid w:val="00FB38B9"/>
    <w:rsid w:val="00FB39E0"/>
    <w:rsid w:val="00FB3A07"/>
    <w:rsid w:val="00FB3A10"/>
    <w:rsid w:val="00FB3B10"/>
    <w:rsid w:val="00FB3B14"/>
    <w:rsid w:val="00FB3B27"/>
    <w:rsid w:val="00FB3B36"/>
    <w:rsid w:val="00FB3C15"/>
    <w:rsid w:val="00FB3CA2"/>
    <w:rsid w:val="00FB3D3A"/>
    <w:rsid w:val="00FB3E5E"/>
    <w:rsid w:val="00FB3E96"/>
    <w:rsid w:val="00FB3EC7"/>
    <w:rsid w:val="00FB3F42"/>
    <w:rsid w:val="00FB3FD7"/>
    <w:rsid w:val="00FB3FF3"/>
    <w:rsid w:val="00FB401B"/>
    <w:rsid w:val="00FB4184"/>
    <w:rsid w:val="00FB41A5"/>
    <w:rsid w:val="00FB422B"/>
    <w:rsid w:val="00FB4296"/>
    <w:rsid w:val="00FB4330"/>
    <w:rsid w:val="00FB4370"/>
    <w:rsid w:val="00FB43C8"/>
    <w:rsid w:val="00FB4441"/>
    <w:rsid w:val="00FB4461"/>
    <w:rsid w:val="00FB44BD"/>
    <w:rsid w:val="00FB4663"/>
    <w:rsid w:val="00FB47A8"/>
    <w:rsid w:val="00FB47C1"/>
    <w:rsid w:val="00FB47F4"/>
    <w:rsid w:val="00FB4814"/>
    <w:rsid w:val="00FB4874"/>
    <w:rsid w:val="00FB48B4"/>
    <w:rsid w:val="00FB4AA3"/>
    <w:rsid w:val="00FB4B80"/>
    <w:rsid w:val="00FB4C0B"/>
    <w:rsid w:val="00FB4C83"/>
    <w:rsid w:val="00FB4D82"/>
    <w:rsid w:val="00FB4DF9"/>
    <w:rsid w:val="00FB4F7B"/>
    <w:rsid w:val="00FB4FB5"/>
    <w:rsid w:val="00FB503B"/>
    <w:rsid w:val="00FB50B5"/>
    <w:rsid w:val="00FB50BE"/>
    <w:rsid w:val="00FB5127"/>
    <w:rsid w:val="00FB5199"/>
    <w:rsid w:val="00FB51E4"/>
    <w:rsid w:val="00FB51FD"/>
    <w:rsid w:val="00FB5349"/>
    <w:rsid w:val="00FB5388"/>
    <w:rsid w:val="00FB53DB"/>
    <w:rsid w:val="00FB541B"/>
    <w:rsid w:val="00FB55EA"/>
    <w:rsid w:val="00FB578E"/>
    <w:rsid w:val="00FB5827"/>
    <w:rsid w:val="00FB5925"/>
    <w:rsid w:val="00FB5ACE"/>
    <w:rsid w:val="00FB5B73"/>
    <w:rsid w:val="00FB5BC0"/>
    <w:rsid w:val="00FB5CB1"/>
    <w:rsid w:val="00FB5D72"/>
    <w:rsid w:val="00FB5D7F"/>
    <w:rsid w:val="00FB5D88"/>
    <w:rsid w:val="00FB5E27"/>
    <w:rsid w:val="00FB5E40"/>
    <w:rsid w:val="00FB5F67"/>
    <w:rsid w:val="00FB600F"/>
    <w:rsid w:val="00FB6152"/>
    <w:rsid w:val="00FB6195"/>
    <w:rsid w:val="00FB6223"/>
    <w:rsid w:val="00FB6539"/>
    <w:rsid w:val="00FB6603"/>
    <w:rsid w:val="00FB663D"/>
    <w:rsid w:val="00FB668A"/>
    <w:rsid w:val="00FB676D"/>
    <w:rsid w:val="00FB68C2"/>
    <w:rsid w:val="00FB6946"/>
    <w:rsid w:val="00FB6A1D"/>
    <w:rsid w:val="00FB6A9F"/>
    <w:rsid w:val="00FB6AF1"/>
    <w:rsid w:val="00FB6B20"/>
    <w:rsid w:val="00FB6BD7"/>
    <w:rsid w:val="00FB6C2F"/>
    <w:rsid w:val="00FB6D28"/>
    <w:rsid w:val="00FB6D5D"/>
    <w:rsid w:val="00FB6D7D"/>
    <w:rsid w:val="00FB7072"/>
    <w:rsid w:val="00FB7107"/>
    <w:rsid w:val="00FB729C"/>
    <w:rsid w:val="00FB7360"/>
    <w:rsid w:val="00FB7388"/>
    <w:rsid w:val="00FB7404"/>
    <w:rsid w:val="00FB7558"/>
    <w:rsid w:val="00FB7631"/>
    <w:rsid w:val="00FB76B5"/>
    <w:rsid w:val="00FB778F"/>
    <w:rsid w:val="00FB77A7"/>
    <w:rsid w:val="00FB785C"/>
    <w:rsid w:val="00FB7900"/>
    <w:rsid w:val="00FB79C6"/>
    <w:rsid w:val="00FB7AF6"/>
    <w:rsid w:val="00FB7B74"/>
    <w:rsid w:val="00FB7C70"/>
    <w:rsid w:val="00FB7C8B"/>
    <w:rsid w:val="00FB7D9F"/>
    <w:rsid w:val="00FB7DAE"/>
    <w:rsid w:val="00FB7E5F"/>
    <w:rsid w:val="00FB7E9D"/>
    <w:rsid w:val="00FB7F17"/>
    <w:rsid w:val="00FB7F3B"/>
    <w:rsid w:val="00FB7F63"/>
    <w:rsid w:val="00FB7F8D"/>
    <w:rsid w:val="00FC0305"/>
    <w:rsid w:val="00FC05C6"/>
    <w:rsid w:val="00FC0643"/>
    <w:rsid w:val="00FC07BD"/>
    <w:rsid w:val="00FC07CE"/>
    <w:rsid w:val="00FC094B"/>
    <w:rsid w:val="00FC096E"/>
    <w:rsid w:val="00FC0AC3"/>
    <w:rsid w:val="00FC0AF0"/>
    <w:rsid w:val="00FC0B34"/>
    <w:rsid w:val="00FC0BC7"/>
    <w:rsid w:val="00FC0C4A"/>
    <w:rsid w:val="00FC0C59"/>
    <w:rsid w:val="00FC0CA5"/>
    <w:rsid w:val="00FC0CE7"/>
    <w:rsid w:val="00FC0D20"/>
    <w:rsid w:val="00FC0D6B"/>
    <w:rsid w:val="00FC0D8E"/>
    <w:rsid w:val="00FC0DE1"/>
    <w:rsid w:val="00FC0E2C"/>
    <w:rsid w:val="00FC0EAE"/>
    <w:rsid w:val="00FC0F28"/>
    <w:rsid w:val="00FC0F41"/>
    <w:rsid w:val="00FC0FC2"/>
    <w:rsid w:val="00FC0FDB"/>
    <w:rsid w:val="00FC1004"/>
    <w:rsid w:val="00FC1006"/>
    <w:rsid w:val="00FC109D"/>
    <w:rsid w:val="00FC1101"/>
    <w:rsid w:val="00FC111F"/>
    <w:rsid w:val="00FC115F"/>
    <w:rsid w:val="00FC1235"/>
    <w:rsid w:val="00FC12F7"/>
    <w:rsid w:val="00FC153D"/>
    <w:rsid w:val="00FC1618"/>
    <w:rsid w:val="00FC1819"/>
    <w:rsid w:val="00FC1985"/>
    <w:rsid w:val="00FC19B7"/>
    <w:rsid w:val="00FC1B32"/>
    <w:rsid w:val="00FC1B69"/>
    <w:rsid w:val="00FC1BB3"/>
    <w:rsid w:val="00FC1BE1"/>
    <w:rsid w:val="00FC1C2B"/>
    <w:rsid w:val="00FC2006"/>
    <w:rsid w:val="00FC2144"/>
    <w:rsid w:val="00FC21BE"/>
    <w:rsid w:val="00FC21BF"/>
    <w:rsid w:val="00FC221A"/>
    <w:rsid w:val="00FC22E4"/>
    <w:rsid w:val="00FC231A"/>
    <w:rsid w:val="00FC2429"/>
    <w:rsid w:val="00FC25CE"/>
    <w:rsid w:val="00FC25F3"/>
    <w:rsid w:val="00FC26E4"/>
    <w:rsid w:val="00FC26F3"/>
    <w:rsid w:val="00FC2818"/>
    <w:rsid w:val="00FC2886"/>
    <w:rsid w:val="00FC28DE"/>
    <w:rsid w:val="00FC28F9"/>
    <w:rsid w:val="00FC297B"/>
    <w:rsid w:val="00FC297C"/>
    <w:rsid w:val="00FC29B7"/>
    <w:rsid w:val="00FC2AAF"/>
    <w:rsid w:val="00FC2AC3"/>
    <w:rsid w:val="00FC2AE9"/>
    <w:rsid w:val="00FC2B2B"/>
    <w:rsid w:val="00FC2C59"/>
    <w:rsid w:val="00FC2D23"/>
    <w:rsid w:val="00FC2DB9"/>
    <w:rsid w:val="00FC2DBE"/>
    <w:rsid w:val="00FC307F"/>
    <w:rsid w:val="00FC30F7"/>
    <w:rsid w:val="00FC3221"/>
    <w:rsid w:val="00FC3249"/>
    <w:rsid w:val="00FC32C0"/>
    <w:rsid w:val="00FC32C7"/>
    <w:rsid w:val="00FC33B2"/>
    <w:rsid w:val="00FC3417"/>
    <w:rsid w:val="00FC3436"/>
    <w:rsid w:val="00FC35CE"/>
    <w:rsid w:val="00FC3627"/>
    <w:rsid w:val="00FC3681"/>
    <w:rsid w:val="00FC36B2"/>
    <w:rsid w:val="00FC36CD"/>
    <w:rsid w:val="00FC36FE"/>
    <w:rsid w:val="00FC372B"/>
    <w:rsid w:val="00FC3799"/>
    <w:rsid w:val="00FC37E8"/>
    <w:rsid w:val="00FC38D8"/>
    <w:rsid w:val="00FC3A8D"/>
    <w:rsid w:val="00FC3ABA"/>
    <w:rsid w:val="00FC3B1D"/>
    <w:rsid w:val="00FC3B49"/>
    <w:rsid w:val="00FC3B57"/>
    <w:rsid w:val="00FC3BAC"/>
    <w:rsid w:val="00FC3BAF"/>
    <w:rsid w:val="00FC3CE5"/>
    <w:rsid w:val="00FC409F"/>
    <w:rsid w:val="00FC40AC"/>
    <w:rsid w:val="00FC40D0"/>
    <w:rsid w:val="00FC413E"/>
    <w:rsid w:val="00FC414F"/>
    <w:rsid w:val="00FC41FB"/>
    <w:rsid w:val="00FC42EB"/>
    <w:rsid w:val="00FC43A7"/>
    <w:rsid w:val="00FC4447"/>
    <w:rsid w:val="00FC447E"/>
    <w:rsid w:val="00FC44F6"/>
    <w:rsid w:val="00FC4575"/>
    <w:rsid w:val="00FC4701"/>
    <w:rsid w:val="00FC473A"/>
    <w:rsid w:val="00FC47A8"/>
    <w:rsid w:val="00FC4998"/>
    <w:rsid w:val="00FC4B35"/>
    <w:rsid w:val="00FC4B6C"/>
    <w:rsid w:val="00FC4BC8"/>
    <w:rsid w:val="00FC4C48"/>
    <w:rsid w:val="00FC4D64"/>
    <w:rsid w:val="00FC4DFE"/>
    <w:rsid w:val="00FC4E14"/>
    <w:rsid w:val="00FC4E9E"/>
    <w:rsid w:val="00FC4F0D"/>
    <w:rsid w:val="00FC4F77"/>
    <w:rsid w:val="00FC4FF5"/>
    <w:rsid w:val="00FC500A"/>
    <w:rsid w:val="00FC5112"/>
    <w:rsid w:val="00FC5128"/>
    <w:rsid w:val="00FC5196"/>
    <w:rsid w:val="00FC52D5"/>
    <w:rsid w:val="00FC5335"/>
    <w:rsid w:val="00FC53BA"/>
    <w:rsid w:val="00FC55ED"/>
    <w:rsid w:val="00FC5606"/>
    <w:rsid w:val="00FC56A5"/>
    <w:rsid w:val="00FC5745"/>
    <w:rsid w:val="00FC5850"/>
    <w:rsid w:val="00FC596B"/>
    <w:rsid w:val="00FC5991"/>
    <w:rsid w:val="00FC59EB"/>
    <w:rsid w:val="00FC5A38"/>
    <w:rsid w:val="00FC5AED"/>
    <w:rsid w:val="00FC5B09"/>
    <w:rsid w:val="00FC5BDA"/>
    <w:rsid w:val="00FC5C54"/>
    <w:rsid w:val="00FC5C74"/>
    <w:rsid w:val="00FC5D04"/>
    <w:rsid w:val="00FC5D6A"/>
    <w:rsid w:val="00FC5D8D"/>
    <w:rsid w:val="00FC5E39"/>
    <w:rsid w:val="00FC6018"/>
    <w:rsid w:val="00FC6075"/>
    <w:rsid w:val="00FC6076"/>
    <w:rsid w:val="00FC60AD"/>
    <w:rsid w:val="00FC60C5"/>
    <w:rsid w:val="00FC60F2"/>
    <w:rsid w:val="00FC60FA"/>
    <w:rsid w:val="00FC61E2"/>
    <w:rsid w:val="00FC62DD"/>
    <w:rsid w:val="00FC63BE"/>
    <w:rsid w:val="00FC6466"/>
    <w:rsid w:val="00FC6484"/>
    <w:rsid w:val="00FC64AC"/>
    <w:rsid w:val="00FC64BC"/>
    <w:rsid w:val="00FC64D3"/>
    <w:rsid w:val="00FC64EA"/>
    <w:rsid w:val="00FC64F0"/>
    <w:rsid w:val="00FC6803"/>
    <w:rsid w:val="00FC68BF"/>
    <w:rsid w:val="00FC68E7"/>
    <w:rsid w:val="00FC696B"/>
    <w:rsid w:val="00FC69D9"/>
    <w:rsid w:val="00FC6B4B"/>
    <w:rsid w:val="00FC6BEC"/>
    <w:rsid w:val="00FC6BF7"/>
    <w:rsid w:val="00FC6CB2"/>
    <w:rsid w:val="00FC6D38"/>
    <w:rsid w:val="00FC6E59"/>
    <w:rsid w:val="00FC6EF3"/>
    <w:rsid w:val="00FC6EFC"/>
    <w:rsid w:val="00FC6F77"/>
    <w:rsid w:val="00FC6FC3"/>
    <w:rsid w:val="00FC70DA"/>
    <w:rsid w:val="00FC7165"/>
    <w:rsid w:val="00FC71F8"/>
    <w:rsid w:val="00FC73E1"/>
    <w:rsid w:val="00FC7627"/>
    <w:rsid w:val="00FC7743"/>
    <w:rsid w:val="00FC786C"/>
    <w:rsid w:val="00FC7A05"/>
    <w:rsid w:val="00FC7A08"/>
    <w:rsid w:val="00FC7A10"/>
    <w:rsid w:val="00FC7AA4"/>
    <w:rsid w:val="00FC7AB2"/>
    <w:rsid w:val="00FC7ABA"/>
    <w:rsid w:val="00FC7B1B"/>
    <w:rsid w:val="00FC7B4A"/>
    <w:rsid w:val="00FC7BE3"/>
    <w:rsid w:val="00FC7DE0"/>
    <w:rsid w:val="00FC7E43"/>
    <w:rsid w:val="00FC7EBC"/>
    <w:rsid w:val="00FC7EF1"/>
    <w:rsid w:val="00FC7F11"/>
    <w:rsid w:val="00FC7F69"/>
    <w:rsid w:val="00FD0000"/>
    <w:rsid w:val="00FD0096"/>
    <w:rsid w:val="00FD0193"/>
    <w:rsid w:val="00FD02CB"/>
    <w:rsid w:val="00FD0350"/>
    <w:rsid w:val="00FD035D"/>
    <w:rsid w:val="00FD039E"/>
    <w:rsid w:val="00FD03A6"/>
    <w:rsid w:val="00FD0498"/>
    <w:rsid w:val="00FD04CC"/>
    <w:rsid w:val="00FD0614"/>
    <w:rsid w:val="00FD064F"/>
    <w:rsid w:val="00FD0702"/>
    <w:rsid w:val="00FD0753"/>
    <w:rsid w:val="00FD07F4"/>
    <w:rsid w:val="00FD0922"/>
    <w:rsid w:val="00FD09A4"/>
    <w:rsid w:val="00FD09D4"/>
    <w:rsid w:val="00FD09EE"/>
    <w:rsid w:val="00FD0A3E"/>
    <w:rsid w:val="00FD0BBC"/>
    <w:rsid w:val="00FD0C62"/>
    <w:rsid w:val="00FD0E57"/>
    <w:rsid w:val="00FD0E83"/>
    <w:rsid w:val="00FD0FD0"/>
    <w:rsid w:val="00FD0FE3"/>
    <w:rsid w:val="00FD1017"/>
    <w:rsid w:val="00FD1062"/>
    <w:rsid w:val="00FD116E"/>
    <w:rsid w:val="00FD119C"/>
    <w:rsid w:val="00FD1207"/>
    <w:rsid w:val="00FD12BF"/>
    <w:rsid w:val="00FD137E"/>
    <w:rsid w:val="00FD13B9"/>
    <w:rsid w:val="00FD1402"/>
    <w:rsid w:val="00FD1523"/>
    <w:rsid w:val="00FD1529"/>
    <w:rsid w:val="00FD1629"/>
    <w:rsid w:val="00FD16DB"/>
    <w:rsid w:val="00FD18DD"/>
    <w:rsid w:val="00FD193F"/>
    <w:rsid w:val="00FD196F"/>
    <w:rsid w:val="00FD1A08"/>
    <w:rsid w:val="00FD1A5F"/>
    <w:rsid w:val="00FD1AB4"/>
    <w:rsid w:val="00FD1B63"/>
    <w:rsid w:val="00FD1B71"/>
    <w:rsid w:val="00FD1BA2"/>
    <w:rsid w:val="00FD1BD2"/>
    <w:rsid w:val="00FD1C1C"/>
    <w:rsid w:val="00FD1E59"/>
    <w:rsid w:val="00FD1F7F"/>
    <w:rsid w:val="00FD1F9C"/>
    <w:rsid w:val="00FD1FB2"/>
    <w:rsid w:val="00FD1FB6"/>
    <w:rsid w:val="00FD2044"/>
    <w:rsid w:val="00FD2083"/>
    <w:rsid w:val="00FD20E3"/>
    <w:rsid w:val="00FD211C"/>
    <w:rsid w:val="00FD21C0"/>
    <w:rsid w:val="00FD21D8"/>
    <w:rsid w:val="00FD221A"/>
    <w:rsid w:val="00FD2388"/>
    <w:rsid w:val="00FD2459"/>
    <w:rsid w:val="00FD2522"/>
    <w:rsid w:val="00FD25FD"/>
    <w:rsid w:val="00FD263E"/>
    <w:rsid w:val="00FD272F"/>
    <w:rsid w:val="00FD275E"/>
    <w:rsid w:val="00FD283D"/>
    <w:rsid w:val="00FD2947"/>
    <w:rsid w:val="00FD294E"/>
    <w:rsid w:val="00FD2974"/>
    <w:rsid w:val="00FD299F"/>
    <w:rsid w:val="00FD29AE"/>
    <w:rsid w:val="00FD2A3C"/>
    <w:rsid w:val="00FD2AE9"/>
    <w:rsid w:val="00FD2AEB"/>
    <w:rsid w:val="00FD2B29"/>
    <w:rsid w:val="00FD2B70"/>
    <w:rsid w:val="00FD2B7B"/>
    <w:rsid w:val="00FD2C21"/>
    <w:rsid w:val="00FD2C2B"/>
    <w:rsid w:val="00FD2C36"/>
    <w:rsid w:val="00FD2CB0"/>
    <w:rsid w:val="00FD2CCC"/>
    <w:rsid w:val="00FD2D34"/>
    <w:rsid w:val="00FD2D4B"/>
    <w:rsid w:val="00FD2D5C"/>
    <w:rsid w:val="00FD2DE7"/>
    <w:rsid w:val="00FD2E80"/>
    <w:rsid w:val="00FD2F77"/>
    <w:rsid w:val="00FD2F90"/>
    <w:rsid w:val="00FD2F92"/>
    <w:rsid w:val="00FD3008"/>
    <w:rsid w:val="00FD3080"/>
    <w:rsid w:val="00FD3119"/>
    <w:rsid w:val="00FD3178"/>
    <w:rsid w:val="00FD324C"/>
    <w:rsid w:val="00FD3383"/>
    <w:rsid w:val="00FD347D"/>
    <w:rsid w:val="00FD3505"/>
    <w:rsid w:val="00FD3511"/>
    <w:rsid w:val="00FD3536"/>
    <w:rsid w:val="00FD355B"/>
    <w:rsid w:val="00FD35C1"/>
    <w:rsid w:val="00FD3623"/>
    <w:rsid w:val="00FD3652"/>
    <w:rsid w:val="00FD3670"/>
    <w:rsid w:val="00FD36CF"/>
    <w:rsid w:val="00FD3726"/>
    <w:rsid w:val="00FD3752"/>
    <w:rsid w:val="00FD387C"/>
    <w:rsid w:val="00FD3934"/>
    <w:rsid w:val="00FD3AAB"/>
    <w:rsid w:val="00FD3AC8"/>
    <w:rsid w:val="00FD3BAC"/>
    <w:rsid w:val="00FD3C44"/>
    <w:rsid w:val="00FD3CED"/>
    <w:rsid w:val="00FD3D5F"/>
    <w:rsid w:val="00FD3EC3"/>
    <w:rsid w:val="00FD3EE7"/>
    <w:rsid w:val="00FD3F04"/>
    <w:rsid w:val="00FD3F27"/>
    <w:rsid w:val="00FD4020"/>
    <w:rsid w:val="00FD414B"/>
    <w:rsid w:val="00FD41B4"/>
    <w:rsid w:val="00FD43CD"/>
    <w:rsid w:val="00FD44DB"/>
    <w:rsid w:val="00FD4555"/>
    <w:rsid w:val="00FD455D"/>
    <w:rsid w:val="00FD4592"/>
    <w:rsid w:val="00FD459A"/>
    <w:rsid w:val="00FD45CE"/>
    <w:rsid w:val="00FD466B"/>
    <w:rsid w:val="00FD46C0"/>
    <w:rsid w:val="00FD46EA"/>
    <w:rsid w:val="00FD47EB"/>
    <w:rsid w:val="00FD47F1"/>
    <w:rsid w:val="00FD4880"/>
    <w:rsid w:val="00FD488F"/>
    <w:rsid w:val="00FD48A1"/>
    <w:rsid w:val="00FD4947"/>
    <w:rsid w:val="00FD49E7"/>
    <w:rsid w:val="00FD49EB"/>
    <w:rsid w:val="00FD4A80"/>
    <w:rsid w:val="00FD4B17"/>
    <w:rsid w:val="00FD4B44"/>
    <w:rsid w:val="00FD4C1C"/>
    <w:rsid w:val="00FD4D7F"/>
    <w:rsid w:val="00FD4D80"/>
    <w:rsid w:val="00FD4EF7"/>
    <w:rsid w:val="00FD4FCD"/>
    <w:rsid w:val="00FD50FB"/>
    <w:rsid w:val="00FD5291"/>
    <w:rsid w:val="00FD52E9"/>
    <w:rsid w:val="00FD53AD"/>
    <w:rsid w:val="00FD547C"/>
    <w:rsid w:val="00FD5690"/>
    <w:rsid w:val="00FD571D"/>
    <w:rsid w:val="00FD5723"/>
    <w:rsid w:val="00FD594C"/>
    <w:rsid w:val="00FD5954"/>
    <w:rsid w:val="00FD59DD"/>
    <w:rsid w:val="00FD5A3C"/>
    <w:rsid w:val="00FD5B75"/>
    <w:rsid w:val="00FD5B78"/>
    <w:rsid w:val="00FD5BAD"/>
    <w:rsid w:val="00FD5C66"/>
    <w:rsid w:val="00FD5CB1"/>
    <w:rsid w:val="00FD5E84"/>
    <w:rsid w:val="00FD5E9C"/>
    <w:rsid w:val="00FD5F36"/>
    <w:rsid w:val="00FD5F73"/>
    <w:rsid w:val="00FD5F8D"/>
    <w:rsid w:val="00FD5FD5"/>
    <w:rsid w:val="00FD60D3"/>
    <w:rsid w:val="00FD612E"/>
    <w:rsid w:val="00FD61C9"/>
    <w:rsid w:val="00FD6283"/>
    <w:rsid w:val="00FD6291"/>
    <w:rsid w:val="00FD6312"/>
    <w:rsid w:val="00FD6352"/>
    <w:rsid w:val="00FD6359"/>
    <w:rsid w:val="00FD64A7"/>
    <w:rsid w:val="00FD659A"/>
    <w:rsid w:val="00FD6657"/>
    <w:rsid w:val="00FD66A4"/>
    <w:rsid w:val="00FD682C"/>
    <w:rsid w:val="00FD6982"/>
    <w:rsid w:val="00FD69F8"/>
    <w:rsid w:val="00FD6AA7"/>
    <w:rsid w:val="00FD6C3F"/>
    <w:rsid w:val="00FD6C6A"/>
    <w:rsid w:val="00FD6C7E"/>
    <w:rsid w:val="00FD6D1F"/>
    <w:rsid w:val="00FD6DB8"/>
    <w:rsid w:val="00FD6E11"/>
    <w:rsid w:val="00FD6EA5"/>
    <w:rsid w:val="00FD6EBE"/>
    <w:rsid w:val="00FD705B"/>
    <w:rsid w:val="00FD7360"/>
    <w:rsid w:val="00FD73CF"/>
    <w:rsid w:val="00FD74F6"/>
    <w:rsid w:val="00FD7522"/>
    <w:rsid w:val="00FD7524"/>
    <w:rsid w:val="00FD77CA"/>
    <w:rsid w:val="00FD77E6"/>
    <w:rsid w:val="00FD7850"/>
    <w:rsid w:val="00FD7964"/>
    <w:rsid w:val="00FD79A2"/>
    <w:rsid w:val="00FD7A32"/>
    <w:rsid w:val="00FD7A36"/>
    <w:rsid w:val="00FD7A47"/>
    <w:rsid w:val="00FD7A50"/>
    <w:rsid w:val="00FD7B82"/>
    <w:rsid w:val="00FD7BB0"/>
    <w:rsid w:val="00FD7BC1"/>
    <w:rsid w:val="00FD7BCC"/>
    <w:rsid w:val="00FD7BE5"/>
    <w:rsid w:val="00FD7CC2"/>
    <w:rsid w:val="00FD7D9B"/>
    <w:rsid w:val="00FD7E6F"/>
    <w:rsid w:val="00FE016E"/>
    <w:rsid w:val="00FE0187"/>
    <w:rsid w:val="00FE01FA"/>
    <w:rsid w:val="00FE02E3"/>
    <w:rsid w:val="00FE032C"/>
    <w:rsid w:val="00FE0402"/>
    <w:rsid w:val="00FE0418"/>
    <w:rsid w:val="00FE0421"/>
    <w:rsid w:val="00FE044E"/>
    <w:rsid w:val="00FE0461"/>
    <w:rsid w:val="00FE04EB"/>
    <w:rsid w:val="00FE0509"/>
    <w:rsid w:val="00FE0518"/>
    <w:rsid w:val="00FE0631"/>
    <w:rsid w:val="00FE06F0"/>
    <w:rsid w:val="00FE0773"/>
    <w:rsid w:val="00FE08FD"/>
    <w:rsid w:val="00FE0921"/>
    <w:rsid w:val="00FE09E6"/>
    <w:rsid w:val="00FE0A54"/>
    <w:rsid w:val="00FE0A58"/>
    <w:rsid w:val="00FE0A5B"/>
    <w:rsid w:val="00FE0AEB"/>
    <w:rsid w:val="00FE0AF0"/>
    <w:rsid w:val="00FE0B3A"/>
    <w:rsid w:val="00FE0B53"/>
    <w:rsid w:val="00FE0BF5"/>
    <w:rsid w:val="00FE0C39"/>
    <w:rsid w:val="00FE0C6E"/>
    <w:rsid w:val="00FE0C9E"/>
    <w:rsid w:val="00FE0D2D"/>
    <w:rsid w:val="00FE0DBF"/>
    <w:rsid w:val="00FE0EA6"/>
    <w:rsid w:val="00FE0F3B"/>
    <w:rsid w:val="00FE0F4E"/>
    <w:rsid w:val="00FE0F53"/>
    <w:rsid w:val="00FE1044"/>
    <w:rsid w:val="00FE108F"/>
    <w:rsid w:val="00FE10AB"/>
    <w:rsid w:val="00FE11A3"/>
    <w:rsid w:val="00FE130D"/>
    <w:rsid w:val="00FE131D"/>
    <w:rsid w:val="00FE150F"/>
    <w:rsid w:val="00FE1560"/>
    <w:rsid w:val="00FE17B4"/>
    <w:rsid w:val="00FE18A7"/>
    <w:rsid w:val="00FE18C6"/>
    <w:rsid w:val="00FE19CD"/>
    <w:rsid w:val="00FE1AC0"/>
    <w:rsid w:val="00FE1B9E"/>
    <w:rsid w:val="00FE1C1D"/>
    <w:rsid w:val="00FE1C37"/>
    <w:rsid w:val="00FE1C3D"/>
    <w:rsid w:val="00FE1C87"/>
    <w:rsid w:val="00FE1DCA"/>
    <w:rsid w:val="00FE1DE9"/>
    <w:rsid w:val="00FE1E33"/>
    <w:rsid w:val="00FE200D"/>
    <w:rsid w:val="00FE2050"/>
    <w:rsid w:val="00FE2074"/>
    <w:rsid w:val="00FE20C0"/>
    <w:rsid w:val="00FE21CD"/>
    <w:rsid w:val="00FE232E"/>
    <w:rsid w:val="00FE233E"/>
    <w:rsid w:val="00FE23FE"/>
    <w:rsid w:val="00FE2478"/>
    <w:rsid w:val="00FE255C"/>
    <w:rsid w:val="00FE2572"/>
    <w:rsid w:val="00FE25C8"/>
    <w:rsid w:val="00FE2770"/>
    <w:rsid w:val="00FE2796"/>
    <w:rsid w:val="00FE27C1"/>
    <w:rsid w:val="00FE283D"/>
    <w:rsid w:val="00FE29FA"/>
    <w:rsid w:val="00FE2A7C"/>
    <w:rsid w:val="00FE2A8A"/>
    <w:rsid w:val="00FE2AA8"/>
    <w:rsid w:val="00FE2AF7"/>
    <w:rsid w:val="00FE2CBC"/>
    <w:rsid w:val="00FE2D22"/>
    <w:rsid w:val="00FE2D48"/>
    <w:rsid w:val="00FE2E0A"/>
    <w:rsid w:val="00FE2E77"/>
    <w:rsid w:val="00FE2EBF"/>
    <w:rsid w:val="00FE2FA0"/>
    <w:rsid w:val="00FE2FD2"/>
    <w:rsid w:val="00FE309C"/>
    <w:rsid w:val="00FE317C"/>
    <w:rsid w:val="00FE3248"/>
    <w:rsid w:val="00FE3258"/>
    <w:rsid w:val="00FE3309"/>
    <w:rsid w:val="00FE350E"/>
    <w:rsid w:val="00FE3575"/>
    <w:rsid w:val="00FE363C"/>
    <w:rsid w:val="00FE365F"/>
    <w:rsid w:val="00FE37B5"/>
    <w:rsid w:val="00FE3834"/>
    <w:rsid w:val="00FE3847"/>
    <w:rsid w:val="00FE38EC"/>
    <w:rsid w:val="00FE3929"/>
    <w:rsid w:val="00FE3932"/>
    <w:rsid w:val="00FE3BB9"/>
    <w:rsid w:val="00FE3C49"/>
    <w:rsid w:val="00FE3CC3"/>
    <w:rsid w:val="00FE3D89"/>
    <w:rsid w:val="00FE3E26"/>
    <w:rsid w:val="00FE3E5C"/>
    <w:rsid w:val="00FE3EB5"/>
    <w:rsid w:val="00FE3EF5"/>
    <w:rsid w:val="00FE3F3D"/>
    <w:rsid w:val="00FE3F44"/>
    <w:rsid w:val="00FE3F56"/>
    <w:rsid w:val="00FE3F57"/>
    <w:rsid w:val="00FE3F68"/>
    <w:rsid w:val="00FE40E7"/>
    <w:rsid w:val="00FE415E"/>
    <w:rsid w:val="00FE4232"/>
    <w:rsid w:val="00FE433A"/>
    <w:rsid w:val="00FE43D2"/>
    <w:rsid w:val="00FE4498"/>
    <w:rsid w:val="00FE44C5"/>
    <w:rsid w:val="00FE45D2"/>
    <w:rsid w:val="00FE45EB"/>
    <w:rsid w:val="00FE4680"/>
    <w:rsid w:val="00FE47EB"/>
    <w:rsid w:val="00FE48EF"/>
    <w:rsid w:val="00FE493A"/>
    <w:rsid w:val="00FE4963"/>
    <w:rsid w:val="00FE4971"/>
    <w:rsid w:val="00FE4990"/>
    <w:rsid w:val="00FE4A4B"/>
    <w:rsid w:val="00FE4B02"/>
    <w:rsid w:val="00FE4B5A"/>
    <w:rsid w:val="00FE4C2C"/>
    <w:rsid w:val="00FE4C2E"/>
    <w:rsid w:val="00FE4DD6"/>
    <w:rsid w:val="00FE4EB7"/>
    <w:rsid w:val="00FE505B"/>
    <w:rsid w:val="00FE5074"/>
    <w:rsid w:val="00FE513A"/>
    <w:rsid w:val="00FE53DE"/>
    <w:rsid w:val="00FE5409"/>
    <w:rsid w:val="00FE549D"/>
    <w:rsid w:val="00FE54C8"/>
    <w:rsid w:val="00FE55A8"/>
    <w:rsid w:val="00FE55FB"/>
    <w:rsid w:val="00FE5676"/>
    <w:rsid w:val="00FE5677"/>
    <w:rsid w:val="00FE56DB"/>
    <w:rsid w:val="00FE5742"/>
    <w:rsid w:val="00FE57CF"/>
    <w:rsid w:val="00FE57D7"/>
    <w:rsid w:val="00FE57EB"/>
    <w:rsid w:val="00FE586D"/>
    <w:rsid w:val="00FE5949"/>
    <w:rsid w:val="00FE59F5"/>
    <w:rsid w:val="00FE5A60"/>
    <w:rsid w:val="00FE5A6C"/>
    <w:rsid w:val="00FE5B19"/>
    <w:rsid w:val="00FE5C32"/>
    <w:rsid w:val="00FE5C33"/>
    <w:rsid w:val="00FE5CC2"/>
    <w:rsid w:val="00FE5D2D"/>
    <w:rsid w:val="00FE5E06"/>
    <w:rsid w:val="00FE5E26"/>
    <w:rsid w:val="00FE5EE4"/>
    <w:rsid w:val="00FE5EE6"/>
    <w:rsid w:val="00FE5F61"/>
    <w:rsid w:val="00FE5F8E"/>
    <w:rsid w:val="00FE5FA3"/>
    <w:rsid w:val="00FE6024"/>
    <w:rsid w:val="00FE6025"/>
    <w:rsid w:val="00FE603A"/>
    <w:rsid w:val="00FE617B"/>
    <w:rsid w:val="00FE617E"/>
    <w:rsid w:val="00FE61C9"/>
    <w:rsid w:val="00FE61E6"/>
    <w:rsid w:val="00FE64F8"/>
    <w:rsid w:val="00FE6588"/>
    <w:rsid w:val="00FE665C"/>
    <w:rsid w:val="00FE6690"/>
    <w:rsid w:val="00FE66A4"/>
    <w:rsid w:val="00FE66EF"/>
    <w:rsid w:val="00FE67F9"/>
    <w:rsid w:val="00FE689F"/>
    <w:rsid w:val="00FE68C8"/>
    <w:rsid w:val="00FE692E"/>
    <w:rsid w:val="00FE69EB"/>
    <w:rsid w:val="00FE6A4F"/>
    <w:rsid w:val="00FE6AE1"/>
    <w:rsid w:val="00FE6C27"/>
    <w:rsid w:val="00FE6C30"/>
    <w:rsid w:val="00FE6C43"/>
    <w:rsid w:val="00FE6E5A"/>
    <w:rsid w:val="00FE6ED4"/>
    <w:rsid w:val="00FE7154"/>
    <w:rsid w:val="00FE71C0"/>
    <w:rsid w:val="00FE71C2"/>
    <w:rsid w:val="00FE7205"/>
    <w:rsid w:val="00FE7292"/>
    <w:rsid w:val="00FE72B6"/>
    <w:rsid w:val="00FE7364"/>
    <w:rsid w:val="00FE756C"/>
    <w:rsid w:val="00FE758B"/>
    <w:rsid w:val="00FE7764"/>
    <w:rsid w:val="00FE781D"/>
    <w:rsid w:val="00FE78D5"/>
    <w:rsid w:val="00FE79B0"/>
    <w:rsid w:val="00FE7B31"/>
    <w:rsid w:val="00FE7B33"/>
    <w:rsid w:val="00FE7B3D"/>
    <w:rsid w:val="00FE7B40"/>
    <w:rsid w:val="00FE7C55"/>
    <w:rsid w:val="00FE7D75"/>
    <w:rsid w:val="00FE7D9D"/>
    <w:rsid w:val="00FE7DDC"/>
    <w:rsid w:val="00FE7DE9"/>
    <w:rsid w:val="00FE7EB7"/>
    <w:rsid w:val="00FF0134"/>
    <w:rsid w:val="00FF01B6"/>
    <w:rsid w:val="00FF01FE"/>
    <w:rsid w:val="00FF025D"/>
    <w:rsid w:val="00FF0388"/>
    <w:rsid w:val="00FF038C"/>
    <w:rsid w:val="00FF04F7"/>
    <w:rsid w:val="00FF0537"/>
    <w:rsid w:val="00FF0553"/>
    <w:rsid w:val="00FF05C2"/>
    <w:rsid w:val="00FF0623"/>
    <w:rsid w:val="00FF06EE"/>
    <w:rsid w:val="00FF06F1"/>
    <w:rsid w:val="00FF0896"/>
    <w:rsid w:val="00FF093E"/>
    <w:rsid w:val="00FF0A5F"/>
    <w:rsid w:val="00FF0A8B"/>
    <w:rsid w:val="00FF0ABE"/>
    <w:rsid w:val="00FF0C9D"/>
    <w:rsid w:val="00FF0D44"/>
    <w:rsid w:val="00FF0EAD"/>
    <w:rsid w:val="00FF103C"/>
    <w:rsid w:val="00FF113B"/>
    <w:rsid w:val="00FF124B"/>
    <w:rsid w:val="00FF1266"/>
    <w:rsid w:val="00FF1309"/>
    <w:rsid w:val="00FF1361"/>
    <w:rsid w:val="00FF15FB"/>
    <w:rsid w:val="00FF173A"/>
    <w:rsid w:val="00FF1807"/>
    <w:rsid w:val="00FF1934"/>
    <w:rsid w:val="00FF196D"/>
    <w:rsid w:val="00FF19B1"/>
    <w:rsid w:val="00FF1AFA"/>
    <w:rsid w:val="00FF1C82"/>
    <w:rsid w:val="00FF1CE7"/>
    <w:rsid w:val="00FF1D5B"/>
    <w:rsid w:val="00FF1E16"/>
    <w:rsid w:val="00FF1E98"/>
    <w:rsid w:val="00FF1EC5"/>
    <w:rsid w:val="00FF1F07"/>
    <w:rsid w:val="00FF1F91"/>
    <w:rsid w:val="00FF200D"/>
    <w:rsid w:val="00FF208D"/>
    <w:rsid w:val="00FF20A5"/>
    <w:rsid w:val="00FF20AF"/>
    <w:rsid w:val="00FF20CC"/>
    <w:rsid w:val="00FF2121"/>
    <w:rsid w:val="00FF2186"/>
    <w:rsid w:val="00FF2238"/>
    <w:rsid w:val="00FF225C"/>
    <w:rsid w:val="00FF231B"/>
    <w:rsid w:val="00FF2372"/>
    <w:rsid w:val="00FF2443"/>
    <w:rsid w:val="00FF260E"/>
    <w:rsid w:val="00FF267A"/>
    <w:rsid w:val="00FF2683"/>
    <w:rsid w:val="00FF26CD"/>
    <w:rsid w:val="00FF2723"/>
    <w:rsid w:val="00FF27CA"/>
    <w:rsid w:val="00FF28BB"/>
    <w:rsid w:val="00FF2953"/>
    <w:rsid w:val="00FF29C8"/>
    <w:rsid w:val="00FF2A2C"/>
    <w:rsid w:val="00FF2A6E"/>
    <w:rsid w:val="00FF2A96"/>
    <w:rsid w:val="00FF2AF9"/>
    <w:rsid w:val="00FF2B62"/>
    <w:rsid w:val="00FF2BF9"/>
    <w:rsid w:val="00FF2C6C"/>
    <w:rsid w:val="00FF2C8C"/>
    <w:rsid w:val="00FF2D3A"/>
    <w:rsid w:val="00FF2EF8"/>
    <w:rsid w:val="00FF2F21"/>
    <w:rsid w:val="00FF2F76"/>
    <w:rsid w:val="00FF3022"/>
    <w:rsid w:val="00FF3042"/>
    <w:rsid w:val="00FF3059"/>
    <w:rsid w:val="00FF3088"/>
    <w:rsid w:val="00FF3122"/>
    <w:rsid w:val="00FF3189"/>
    <w:rsid w:val="00FF31F3"/>
    <w:rsid w:val="00FF31FC"/>
    <w:rsid w:val="00FF320C"/>
    <w:rsid w:val="00FF349B"/>
    <w:rsid w:val="00FF35B7"/>
    <w:rsid w:val="00FF3699"/>
    <w:rsid w:val="00FF3817"/>
    <w:rsid w:val="00FF3861"/>
    <w:rsid w:val="00FF389C"/>
    <w:rsid w:val="00FF38B6"/>
    <w:rsid w:val="00FF3BC3"/>
    <w:rsid w:val="00FF3C42"/>
    <w:rsid w:val="00FF3CC2"/>
    <w:rsid w:val="00FF3E02"/>
    <w:rsid w:val="00FF3E3D"/>
    <w:rsid w:val="00FF3F1E"/>
    <w:rsid w:val="00FF3FB8"/>
    <w:rsid w:val="00FF4061"/>
    <w:rsid w:val="00FF4187"/>
    <w:rsid w:val="00FF41C1"/>
    <w:rsid w:val="00FF43D9"/>
    <w:rsid w:val="00FF44A7"/>
    <w:rsid w:val="00FF44C9"/>
    <w:rsid w:val="00FF4546"/>
    <w:rsid w:val="00FF463C"/>
    <w:rsid w:val="00FF46A7"/>
    <w:rsid w:val="00FF47B1"/>
    <w:rsid w:val="00FF47D3"/>
    <w:rsid w:val="00FF4885"/>
    <w:rsid w:val="00FF4893"/>
    <w:rsid w:val="00FF48E8"/>
    <w:rsid w:val="00FF493D"/>
    <w:rsid w:val="00FF4A7C"/>
    <w:rsid w:val="00FF4A86"/>
    <w:rsid w:val="00FF4A89"/>
    <w:rsid w:val="00FF4AC8"/>
    <w:rsid w:val="00FF4B98"/>
    <w:rsid w:val="00FF4B9B"/>
    <w:rsid w:val="00FF4C1E"/>
    <w:rsid w:val="00FF4C76"/>
    <w:rsid w:val="00FF4DCA"/>
    <w:rsid w:val="00FF4EA3"/>
    <w:rsid w:val="00FF4ECF"/>
    <w:rsid w:val="00FF5019"/>
    <w:rsid w:val="00FF5140"/>
    <w:rsid w:val="00FF51A3"/>
    <w:rsid w:val="00FF52C5"/>
    <w:rsid w:val="00FF53B5"/>
    <w:rsid w:val="00FF5402"/>
    <w:rsid w:val="00FF5517"/>
    <w:rsid w:val="00FF55F0"/>
    <w:rsid w:val="00FF582B"/>
    <w:rsid w:val="00FF58B3"/>
    <w:rsid w:val="00FF58F4"/>
    <w:rsid w:val="00FF5909"/>
    <w:rsid w:val="00FF590E"/>
    <w:rsid w:val="00FF5914"/>
    <w:rsid w:val="00FF5971"/>
    <w:rsid w:val="00FF5A35"/>
    <w:rsid w:val="00FF5B67"/>
    <w:rsid w:val="00FF5BE1"/>
    <w:rsid w:val="00FF5DFC"/>
    <w:rsid w:val="00FF5F7D"/>
    <w:rsid w:val="00FF61EB"/>
    <w:rsid w:val="00FF6211"/>
    <w:rsid w:val="00FF6226"/>
    <w:rsid w:val="00FF6231"/>
    <w:rsid w:val="00FF6302"/>
    <w:rsid w:val="00FF6346"/>
    <w:rsid w:val="00FF6361"/>
    <w:rsid w:val="00FF63A4"/>
    <w:rsid w:val="00FF63D1"/>
    <w:rsid w:val="00FF6493"/>
    <w:rsid w:val="00FF6547"/>
    <w:rsid w:val="00FF65FA"/>
    <w:rsid w:val="00FF6828"/>
    <w:rsid w:val="00FF68E4"/>
    <w:rsid w:val="00FF6987"/>
    <w:rsid w:val="00FF69AE"/>
    <w:rsid w:val="00FF69B8"/>
    <w:rsid w:val="00FF69E7"/>
    <w:rsid w:val="00FF6AB3"/>
    <w:rsid w:val="00FF6AD4"/>
    <w:rsid w:val="00FF6B9C"/>
    <w:rsid w:val="00FF6BD2"/>
    <w:rsid w:val="00FF6CAF"/>
    <w:rsid w:val="00FF6D7E"/>
    <w:rsid w:val="00FF6DA8"/>
    <w:rsid w:val="00FF6EE2"/>
    <w:rsid w:val="00FF6EE7"/>
    <w:rsid w:val="00FF6FFA"/>
    <w:rsid w:val="00FF70BB"/>
    <w:rsid w:val="00FF70BF"/>
    <w:rsid w:val="00FF72C0"/>
    <w:rsid w:val="00FF72E5"/>
    <w:rsid w:val="00FF73CE"/>
    <w:rsid w:val="00FF7453"/>
    <w:rsid w:val="00FF74BE"/>
    <w:rsid w:val="00FF750A"/>
    <w:rsid w:val="00FF7520"/>
    <w:rsid w:val="00FF754B"/>
    <w:rsid w:val="00FF7572"/>
    <w:rsid w:val="00FF769A"/>
    <w:rsid w:val="00FF77F4"/>
    <w:rsid w:val="00FF7804"/>
    <w:rsid w:val="00FF7985"/>
    <w:rsid w:val="00FF799B"/>
    <w:rsid w:val="00FF7B25"/>
    <w:rsid w:val="00FF7B43"/>
    <w:rsid w:val="00FF7BC8"/>
    <w:rsid w:val="00FF7C48"/>
    <w:rsid w:val="00FF7C86"/>
    <w:rsid w:val="00FF7C97"/>
    <w:rsid w:val="00FF7D42"/>
    <w:rsid w:val="00FF7DC8"/>
    <w:rsid w:val="00FF7E3C"/>
    <w:rsid w:val="00FF7F33"/>
    <w:rsid w:val="00FF7F97"/>
    <w:rsid w:val="010617EE"/>
    <w:rsid w:val="0109E96F"/>
    <w:rsid w:val="0111F9B1"/>
    <w:rsid w:val="01136511"/>
    <w:rsid w:val="0117CEA1"/>
    <w:rsid w:val="01199276"/>
    <w:rsid w:val="011C0534"/>
    <w:rsid w:val="011DD78A"/>
    <w:rsid w:val="011E6329"/>
    <w:rsid w:val="01290AF1"/>
    <w:rsid w:val="01293369"/>
    <w:rsid w:val="012BA290"/>
    <w:rsid w:val="0134F579"/>
    <w:rsid w:val="013A745D"/>
    <w:rsid w:val="0145DE26"/>
    <w:rsid w:val="01483E87"/>
    <w:rsid w:val="01495194"/>
    <w:rsid w:val="0152F4FD"/>
    <w:rsid w:val="0154C1A0"/>
    <w:rsid w:val="0159739D"/>
    <w:rsid w:val="015B858C"/>
    <w:rsid w:val="0168D4F4"/>
    <w:rsid w:val="016C6916"/>
    <w:rsid w:val="016CE984"/>
    <w:rsid w:val="016E4360"/>
    <w:rsid w:val="0170B3E4"/>
    <w:rsid w:val="017372A3"/>
    <w:rsid w:val="01754E39"/>
    <w:rsid w:val="0175E72B"/>
    <w:rsid w:val="01819C91"/>
    <w:rsid w:val="0188694F"/>
    <w:rsid w:val="018A830A"/>
    <w:rsid w:val="01930054"/>
    <w:rsid w:val="01930F7F"/>
    <w:rsid w:val="01945C46"/>
    <w:rsid w:val="019A3A88"/>
    <w:rsid w:val="01A03F9A"/>
    <w:rsid w:val="01A36BB3"/>
    <w:rsid w:val="01A6A5BB"/>
    <w:rsid w:val="01AF22C1"/>
    <w:rsid w:val="01AFCE15"/>
    <w:rsid w:val="01B12BAB"/>
    <w:rsid w:val="01B30952"/>
    <w:rsid w:val="01BBADB6"/>
    <w:rsid w:val="01C12BEF"/>
    <w:rsid w:val="01D07653"/>
    <w:rsid w:val="01D0D87A"/>
    <w:rsid w:val="01D54BA4"/>
    <w:rsid w:val="01DCD009"/>
    <w:rsid w:val="01DE1741"/>
    <w:rsid w:val="01DFFFB6"/>
    <w:rsid w:val="01E15440"/>
    <w:rsid w:val="01E267C3"/>
    <w:rsid w:val="01ECBC7A"/>
    <w:rsid w:val="01ED8764"/>
    <w:rsid w:val="01EE998B"/>
    <w:rsid w:val="01EED7EA"/>
    <w:rsid w:val="01EF2CF1"/>
    <w:rsid w:val="01F06DF9"/>
    <w:rsid w:val="01F4804B"/>
    <w:rsid w:val="01F85F31"/>
    <w:rsid w:val="01F932F8"/>
    <w:rsid w:val="01FAFC03"/>
    <w:rsid w:val="0204C5FF"/>
    <w:rsid w:val="0207523E"/>
    <w:rsid w:val="0208DB18"/>
    <w:rsid w:val="02099541"/>
    <w:rsid w:val="020A1968"/>
    <w:rsid w:val="020B92B2"/>
    <w:rsid w:val="020C2046"/>
    <w:rsid w:val="020E9F25"/>
    <w:rsid w:val="021064A0"/>
    <w:rsid w:val="0211567C"/>
    <w:rsid w:val="02123843"/>
    <w:rsid w:val="0218B56F"/>
    <w:rsid w:val="021C2DB3"/>
    <w:rsid w:val="0221F263"/>
    <w:rsid w:val="0230ADE1"/>
    <w:rsid w:val="02345108"/>
    <w:rsid w:val="02371FE8"/>
    <w:rsid w:val="023A26B9"/>
    <w:rsid w:val="023BA7F0"/>
    <w:rsid w:val="023CFAE2"/>
    <w:rsid w:val="02413480"/>
    <w:rsid w:val="02424CBF"/>
    <w:rsid w:val="02428F74"/>
    <w:rsid w:val="024B2B91"/>
    <w:rsid w:val="0250EEC0"/>
    <w:rsid w:val="02592B80"/>
    <w:rsid w:val="025B5A47"/>
    <w:rsid w:val="025DE71C"/>
    <w:rsid w:val="02620B4D"/>
    <w:rsid w:val="026881AC"/>
    <w:rsid w:val="026F3150"/>
    <w:rsid w:val="0270638E"/>
    <w:rsid w:val="0273C954"/>
    <w:rsid w:val="027C7E5A"/>
    <w:rsid w:val="027E75C1"/>
    <w:rsid w:val="027E8270"/>
    <w:rsid w:val="028901AC"/>
    <w:rsid w:val="028A370D"/>
    <w:rsid w:val="028E0BBB"/>
    <w:rsid w:val="028FD193"/>
    <w:rsid w:val="02940858"/>
    <w:rsid w:val="02947A88"/>
    <w:rsid w:val="02955A2A"/>
    <w:rsid w:val="029952EC"/>
    <w:rsid w:val="0299E267"/>
    <w:rsid w:val="02A1C5FF"/>
    <w:rsid w:val="02A4D101"/>
    <w:rsid w:val="02A8148A"/>
    <w:rsid w:val="02AF8D46"/>
    <w:rsid w:val="02B0500F"/>
    <w:rsid w:val="02B2CC4A"/>
    <w:rsid w:val="02BDC430"/>
    <w:rsid w:val="02BF0CD6"/>
    <w:rsid w:val="02C11B46"/>
    <w:rsid w:val="02C5A420"/>
    <w:rsid w:val="02C6751F"/>
    <w:rsid w:val="02C86EB0"/>
    <w:rsid w:val="02CFB05A"/>
    <w:rsid w:val="02D3786C"/>
    <w:rsid w:val="02D47CFF"/>
    <w:rsid w:val="02D95FAF"/>
    <w:rsid w:val="02DFB94C"/>
    <w:rsid w:val="02E58656"/>
    <w:rsid w:val="02EB98C6"/>
    <w:rsid w:val="02F7F9EA"/>
    <w:rsid w:val="02FC5690"/>
    <w:rsid w:val="02FD9876"/>
    <w:rsid w:val="02FE0DE7"/>
    <w:rsid w:val="02FE25B7"/>
    <w:rsid w:val="0302C771"/>
    <w:rsid w:val="0305FF0E"/>
    <w:rsid w:val="030C867B"/>
    <w:rsid w:val="0312B504"/>
    <w:rsid w:val="0313675F"/>
    <w:rsid w:val="0317401F"/>
    <w:rsid w:val="03182F22"/>
    <w:rsid w:val="031A29EF"/>
    <w:rsid w:val="031DFC27"/>
    <w:rsid w:val="03212E40"/>
    <w:rsid w:val="0321C150"/>
    <w:rsid w:val="0323DB0E"/>
    <w:rsid w:val="0334BF89"/>
    <w:rsid w:val="033F222A"/>
    <w:rsid w:val="03429F7A"/>
    <w:rsid w:val="034376EF"/>
    <w:rsid w:val="0351C2A0"/>
    <w:rsid w:val="03527FF5"/>
    <w:rsid w:val="0352A47F"/>
    <w:rsid w:val="0352CB2B"/>
    <w:rsid w:val="0355648A"/>
    <w:rsid w:val="03571A93"/>
    <w:rsid w:val="035A014A"/>
    <w:rsid w:val="035E74DA"/>
    <w:rsid w:val="036770A3"/>
    <w:rsid w:val="0370DEA5"/>
    <w:rsid w:val="03736375"/>
    <w:rsid w:val="0374DE5A"/>
    <w:rsid w:val="037CB789"/>
    <w:rsid w:val="0381ECFB"/>
    <w:rsid w:val="03890D4B"/>
    <w:rsid w:val="038A1F8E"/>
    <w:rsid w:val="038BB505"/>
    <w:rsid w:val="038F5778"/>
    <w:rsid w:val="038F956B"/>
    <w:rsid w:val="03949F7E"/>
    <w:rsid w:val="03A036EF"/>
    <w:rsid w:val="03A0A85E"/>
    <w:rsid w:val="03A1C8AB"/>
    <w:rsid w:val="03A48BAC"/>
    <w:rsid w:val="03A5FF42"/>
    <w:rsid w:val="03A9839B"/>
    <w:rsid w:val="03AA2EA0"/>
    <w:rsid w:val="03B26A31"/>
    <w:rsid w:val="03B3931B"/>
    <w:rsid w:val="03B47ABF"/>
    <w:rsid w:val="03B6CFA9"/>
    <w:rsid w:val="03B7D2AE"/>
    <w:rsid w:val="03B82BB7"/>
    <w:rsid w:val="03BC49D0"/>
    <w:rsid w:val="03BE7076"/>
    <w:rsid w:val="03C49A4C"/>
    <w:rsid w:val="03C9DC73"/>
    <w:rsid w:val="03CD030B"/>
    <w:rsid w:val="03D01481"/>
    <w:rsid w:val="03D485E0"/>
    <w:rsid w:val="03D4D1E4"/>
    <w:rsid w:val="03DAE3D6"/>
    <w:rsid w:val="03E2C731"/>
    <w:rsid w:val="03E5C11B"/>
    <w:rsid w:val="03ECF7C6"/>
    <w:rsid w:val="03EE7C01"/>
    <w:rsid w:val="03EF96E3"/>
    <w:rsid w:val="03F811BF"/>
    <w:rsid w:val="03FA60DD"/>
    <w:rsid w:val="03FA8CB8"/>
    <w:rsid w:val="0404EE16"/>
    <w:rsid w:val="0409C54D"/>
    <w:rsid w:val="041321FD"/>
    <w:rsid w:val="0417A59A"/>
    <w:rsid w:val="04191DB7"/>
    <w:rsid w:val="041BF573"/>
    <w:rsid w:val="041EBCCF"/>
    <w:rsid w:val="0421A2BB"/>
    <w:rsid w:val="042515AB"/>
    <w:rsid w:val="042A3E34"/>
    <w:rsid w:val="042C3CD8"/>
    <w:rsid w:val="0430528F"/>
    <w:rsid w:val="0432CE82"/>
    <w:rsid w:val="04367E2D"/>
    <w:rsid w:val="043D4ECC"/>
    <w:rsid w:val="043DB8B2"/>
    <w:rsid w:val="04413A10"/>
    <w:rsid w:val="04426047"/>
    <w:rsid w:val="0449C3B1"/>
    <w:rsid w:val="044E0C8B"/>
    <w:rsid w:val="044F9152"/>
    <w:rsid w:val="045AF84F"/>
    <w:rsid w:val="0462B1A0"/>
    <w:rsid w:val="0463D7C1"/>
    <w:rsid w:val="04667342"/>
    <w:rsid w:val="046B4C8D"/>
    <w:rsid w:val="047070F9"/>
    <w:rsid w:val="04707B01"/>
    <w:rsid w:val="047178FF"/>
    <w:rsid w:val="04737A1A"/>
    <w:rsid w:val="047DB8F4"/>
    <w:rsid w:val="0482FD67"/>
    <w:rsid w:val="0487486A"/>
    <w:rsid w:val="0489A72D"/>
    <w:rsid w:val="048EA18A"/>
    <w:rsid w:val="0498AD83"/>
    <w:rsid w:val="049E5D67"/>
    <w:rsid w:val="04A52F60"/>
    <w:rsid w:val="04AE2C85"/>
    <w:rsid w:val="04B56FB1"/>
    <w:rsid w:val="04B60F70"/>
    <w:rsid w:val="04B67EAD"/>
    <w:rsid w:val="04B9131F"/>
    <w:rsid w:val="04C0CDB9"/>
    <w:rsid w:val="04C97317"/>
    <w:rsid w:val="04C9C82C"/>
    <w:rsid w:val="04DF3910"/>
    <w:rsid w:val="04E2019F"/>
    <w:rsid w:val="04F35B7A"/>
    <w:rsid w:val="04F4E6D7"/>
    <w:rsid w:val="04FB7A02"/>
    <w:rsid w:val="04FF5BDD"/>
    <w:rsid w:val="0508D67E"/>
    <w:rsid w:val="050FDDFE"/>
    <w:rsid w:val="0514476D"/>
    <w:rsid w:val="0517F268"/>
    <w:rsid w:val="051DC754"/>
    <w:rsid w:val="052197B0"/>
    <w:rsid w:val="0522037D"/>
    <w:rsid w:val="05251F2A"/>
    <w:rsid w:val="052A9BBD"/>
    <w:rsid w:val="052AA484"/>
    <w:rsid w:val="0530BDE9"/>
    <w:rsid w:val="053350E7"/>
    <w:rsid w:val="0535FB98"/>
    <w:rsid w:val="0537F90D"/>
    <w:rsid w:val="05384630"/>
    <w:rsid w:val="0539634D"/>
    <w:rsid w:val="053C7EE7"/>
    <w:rsid w:val="053CDA18"/>
    <w:rsid w:val="053D4160"/>
    <w:rsid w:val="053F2593"/>
    <w:rsid w:val="053F556E"/>
    <w:rsid w:val="054107DF"/>
    <w:rsid w:val="0541DF37"/>
    <w:rsid w:val="05435C4E"/>
    <w:rsid w:val="05488DAA"/>
    <w:rsid w:val="054BDC52"/>
    <w:rsid w:val="0551B726"/>
    <w:rsid w:val="055249AD"/>
    <w:rsid w:val="0553BF1B"/>
    <w:rsid w:val="05547B83"/>
    <w:rsid w:val="05548CEB"/>
    <w:rsid w:val="0558F03D"/>
    <w:rsid w:val="055B7424"/>
    <w:rsid w:val="055D9034"/>
    <w:rsid w:val="055E6CF2"/>
    <w:rsid w:val="055ED873"/>
    <w:rsid w:val="0564802B"/>
    <w:rsid w:val="056568B2"/>
    <w:rsid w:val="056858AD"/>
    <w:rsid w:val="056A5C48"/>
    <w:rsid w:val="056F7244"/>
    <w:rsid w:val="057A5367"/>
    <w:rsid w:val="057FF0C8"/>
    <w:rsid w:val="0581B24C"/>
    <w:rsid w:val="0583043D"/>
    <w:rsid w:val="0589481A"/>
    <w:rsid w:val="058990D8"/>
    <w:rsid w:val="058E5E3D"/>
    <w:rsid w:val="058FBDAD"/>
    <w:rsid w:val="0590323D"/>
    <w:rsid w:val="0590CB19"/>
    <w:rsid w:val="0599B157"/>
    <w:rsid w:val="059B11B0"/>
    <w:rsid w:val="059F6414"/>
    <w:rsid w:val="05A16B27"/>
    <w:rsid w:val="05A4C3ED"/>
    <w:rsid w:val="05A55B47"/>
    <w:rsid w:val="05AD613A"/>
    <w:rsid w:val="05AF7227"/>
    <w:rsid w:val="05B0B0A7"/>
    <w:rsid w:val="05B619A9"/>
    <w:rsid w:val="05B74C96"/>
    <w:rsid w:val="05BA5739"/>
    <w:rsid w:val="05C2C9FA"/>
    <w:rsid w:val="05C5E673"/>
    <w:rsid w:val="05C83F8B"/>
    <w:rsid w:val="05C8451B"/>
    <w:rsid w:val="05C881ED"/>
    <w:rsid w:val="05CD0F8B"/>
    <w:rsid w:val="05D183FA"/>
    <w:rsid w:val="05D2E9AA"/>
    <w:rsid w:val="05D4C11D"/>
    <w:rsid w:val="05D52487"/>
    <w:rsid w:val="05D7ADE3"/>
    <w:rsid w:val="05DD35BF"/>
    <w:rsid w:val="05DE4624"/>
    <w:rsid w:val="05E10621"/>
    <w:rsid w:val="05E18257"/>
    <w:rsid w:val="05E2F11F"/>
    <w:rsid w:val="05E6AA66"/>
    <w:rsid w:val="05E7B803"/>
    <w:rsid w:val="05EC04A1"/>
    <w:rsid w:val="05EE2BDC"/>
    <w:rsid w:val="05EEE84F"/>
    <w:rsid w:val="05F595D9"/>
    <w:rsid w:val="05FB64BB"/>
    <w:rsid w:val="0600C830"/>
    <w:rsid w:val="0600CF6A"/>
    <w:rsid w:val="0603C6D5"/>
    <w:rsid w:val="06042E40"/>
    <w:rsid w:val="0606F237"/>
    <w:rsid w:val="060BD9B1"/>
    <w:rsid w:val="060CCCD8"/>
    <w:rsid w:val="060DF836"/>
    <w:rsid w:val="060E06B6"/>
    <w:rsid w:val="06120F7C"/>
    <w:rsid w:val="061225B3"/>
    <w:rsid w:val="0623811F"/>
    <w:rsid w:val="06250490"/>
    <w:rsid w:val="0630C8F8"/>
    <w:rsid w:val="06321006"/>
    <w:rsid w:val="06365C6F"/>
    <w:rsid w:val="064237D2"/>
    <w:rsid w:val="0642D394"/>
    <w:rsid w:val="0643191E"/>
    <w:rsid w:val="0645F35C"/>
    <w:rsid w:val="064622D2"/>
    <w:rsid w:val="0647F0C0"/>
    <w:rsid w:val="064C19D9"/>
    <w:rsid w:val="064E2A82"/>
    <w:rsid w:val="0654C84C"/>
    <w:rsid w:val="06559CA1"/>
    <w:rsid w:val="065AB531"/>
    <w:rsid w:val="065C1948"/>
    <w:rsid w:val="065FAB62"/>
    <w:rsid w:val="06615AC1"/>
    <w:rsid w:val="066660DF"/>
    <w:rsid w:val="06678249"/>
    <w:rsid w:val="066CD46E"/>
    <w:rsid w:val="066E30BD"/>
    <w:rsid w:val="066F5765"/>
    <w:rsid w:val="06704B96"/>
    <w:rsid w:val="0672C6A9"/>
    <w:rsid w:val="06749036"/>
    <w:rsid w:val="06759083"/>
    <w:rsid w:val="067869D2"/>
    <w:rsid w:val="0685525C"/>
    <w:rsid w:val="068662F1"/>
    <w:rsid w:val="0687372C"/>
    <w:rsid w:val="0687CE39"/>
    <w:rsid w:val="0688456C"/>
    <w:rsid w:val="06895AC8"/>
    <w:rsid w:val="068B9D96"/>
    <w:rsid w:val="06928BE4"/>
    <w:rsid w:val="069290EB"/>
    <w:rsid w:val="069CE5B8"/>
    <w:rsid w:val="06AB6E2D"/>
    <w:rsid w:val="06AFD163"/>
    <w:rsid w:val="06B32629"/>
    <w:rsid w:val="06B777A3"/>
    <w:rsid w:val="06BDBDB9"/>
    <w:rsid w:val="06BF72F4"/>
    <w:rsid w:val="06C27398"/>
    <w:rsid w:val="06C489DA"/>
    <w:rsid w:val="06C67775"/>
    <w:rsid w:val="06CAD96C"/>
    <w:rsid w:val="06CE4D3A"/>
    <w:rsid w:val="06CF18C3"/>
    <w:rsid w:val="06D7226D"/>
    <w:rsid w:val="06D909DD"/>
    <w:rsid w:val="06DBD9AA"/>
    <w:rsid w:val="06E1D214"/>
    <w:rsid w:val="06EC08FD"/>
    <w:rsid w:val="06EF2C30"/>
    <w:rsid w:val="0708A9DC"/>
    <w:rsid w:val="070A3A0B"/>
    <w:rsid w:val="070D25EB"/>
    <w:rsid w:val="070DF7C2"/>
    <w:rsid w:val="070FAF9A"/>
    <w:rsid w:val="070FE615"/>
    <w:rsid w:val="07129E5C"/>
    <w:rsid w:val="0717DC84"/>
    <w:rsid w:val="071D8F96"/>
    <w:rsid w:val="0720B89D"/>
    <w:rsid w:val="07234ABC"/>
    <w:rsid w:val="072E9274"/>
    <w:rsid w:val="07305AEB"/>
    <w:rsid w:val="073278F3"/>
    <w:rsid w:val="0732C573"/>
    <w:rsid w:val="07372348"/>
    <w:rsid w:val="0738DDEE"/>
    <w:rsid w:val="0739F110"/>
    <w:rsid w:val="073C96B1"/>
    <w:rsid w:val="073EDF8B"/>
    <w:rsid w:val="074933DD"/>
    <w:rsid w:val="075063DC"/>
    <w:rsid w:val="0750B3D4"/>
    <w:rsid w:val="0758E2F2"/>
    <w:rsid w:val="075B4F54"/>
    <w:rsid w:val="075CA4E8"/>
    <w:rsid w:val="07651B30"/>
    <w:rsid w:val="0765D45F"/>
    <w:rsid w:val="0767C80B"/>
    <w:rsid w:val="076EA1FE"/>
    <w:rsid w:val="076FE755"/>
    <w:rsid w:val="0770099E"/>
    <w:rsid w:val="077393E0"/>
    <w:rsid w:val="07741193"/>
    <w:rsid w:val="077569FB"/>
    <w:rsid w:val="077C70DA"/>
    <w:rsid w:val="077D2D00"/>
    <w:rsid w:val="07807BCB"/>
    <w:rsid w:val="078AB0C6"/>
    <w:rsid w:val="078BDD18"/>
    <w:rsid w:val="078C238A"/>
    <w:rsid w:val="078C808E"/>
    <w:rsid w:val="078CF408"/>
    <w:rsid w:val="079029CC"/>
    <w:rsid w:val="0793032B"/>
    <w:rsid w:val="07959F4A"/>
    <w:rsid w:val="079AFBD1"/>
    <w:rsid w:val="079EB35F"/>
    <w:rsid w:val="07A05D9C"/>
    <w:rsid w:val="07AF1D8A"/>
    <w:rsid w:val="07B01AC9"/>
    <w:rsid w:val="07B30465"/>
    <w:rsid w:val="07B9CDA5"/>
    <w:rsid w:val="07BA5CA7"/>
    <w:rsid w:val="07BB267E"/>
    <w:rsid w:val="07BBA5BB"/>
    <w:rsid w:val="07C1002D"/>
    <w:rsid w:val="07C4728A"/>
    <w:rsid w:val="07CBD3E4"/>
    <w:rsid w:val="07CBE5E0"/>
    <w:rsid w:val="07D1B57C"/>
    <w:rsid w:val="07D3298E"/>
    <w:rsid w:val="07D783DB"/>
    <w:rsid w:val="07DC1740"/>
    <w:rsid w:val="07E78ECC"/>
    <w:rsid w:val="07EDBB5E"/>
    <w:rsid w:val="07F08663"/>
    <w:rsid w:val="07FDC849"/>
    <w:rsid w:val="0804AF0A"/>
    <w:rsid w:val="080CC66B"/>
    <w:rsid w:val="080F0B33"/>
    <w:rsid w:val="08105CA2"/>
    <w:rsid w:val="0813548A"/>
    <w:rsid w:val="081A603A"/>
    <w:rsid w:val="0820D579"/>
    <w:rsid w:val="0830C246"/>
    <w:rsid w:val="0831DFA8"/>
    <w:rsid w:val="08322B73"/>
    <w:rsid w:val="0834E295"/>
    <w:rsid w:val="083AC7D4"/>
    <w:rsid w:val="08466C09"/>
    <w:rsid w:val="0849F49D"/>
    <w:rsid w:val="084F1D5E"/>
    <w:rsid w:val="0851983F"/>
    <w:rsid w:val="0853DA16"/>
    <w:rsid w:val="08567A40"/>
    <w:rsid w:val="085C6B30"/>
    <w:rsid w:val="085F17EA"/>
    <w:rsid w:val="08667E82"/>
    <w:rsid w:val="0867EFD8"/>
    <w:rsid w:val="087056A6"/>
    <w:rsid w:val="08770CFE"/>
    <w:rsid w:val="08771EA4"/>
    <w:rsid w:val="087862B0"/>
    <w:rsid w:val="087CB50A"/>
    <w:rsid w:val="088868A1"/>
    <w:rsid w:val="0890EC11"/>
    <w:rsid w:val="0894E1A8"/>
    <w:rsid w:val="0898B631"/>
    <w:rsid w:val="0899ADFF"/>
    <w:rsid w:val="08A13AC6"/>
    <w:rsid w:val="08AD24A5"/>
    <w:rsid w:val="08B51773"/>
    <w:rsid w:val="08BDA2FF"/>
    <w:rsid w:val="08BE4CE1"/>
    <w:rsid w:val="08BE985B"/>
    <w:rsid w:val="08C20469"/>
    <w:rsid w:val="08C2D9B7"/>
    <w:rsid w:val="08CB89C0"/>
    <w:rsid w:val="08CDB434"/>
    <w:rsid w:val="08CFED83"/>
    <w:rsid w:val="08D358FA"/>
    <w:rsid w:val="08D766C9"/>
    <w:rsid w:val="08D79E32"/>
    <w:rsid w:val="08DA864B"/>
    <w:rsid w:val="08DFE608"/>
    <w:rsid w:val="08E19A2B"/>
    <w:rsid w:val="08E5A86B"/>
    <w:rsid w:val="08EF7A19"/>
    <w:rsid w:val="08F01A7B"/>
    <w:rsid w:val="08F05BCD"/>
    <w:rsid w:val="08F11F18"/>
    <w:rsid w:val="08F22CCD"/>
    <w:rsid w:val="08F5D9AF"/>
    <w:rsid w:val="08F8CA78"/>
    <w:rsid w:val="08FA46BD"/>
    <w:rsid w:val="08FCFD08"/>
    <w:rsid w:val="090394B2"/>
    <w:rsid w:val="09080472"/>
    <w:rsid w:val="090AC454"/>
    <w:rsid w:val="090C91A2"/>
    <w:rsid w:val="0912D9FB"/>
    <w:rsid w:val="09148706"/>
    <w:rsid w:val="0916EEB4"/>
    <w:rsid w:val="0918C948"/>
    <w:rsid w:val="091E2592"/>
    <w:rsid w:val="09202FCB"/>
    <w:rsid w:val="0921C7A6"/>
    <w:rsid w:val="092BA20A"/>
    <w:rsid w:val="093582FF"/>
    <w:rsid w:val="0939EEBB"/>
    <w:rsid w:val="09413998"/>
    <w:rsid w:val="0944AAF0"/>
    <w:rsid w:val="0948431A"/>
    <w:rsid w:val="0949EC88"/>
    <w:rsid w:val="094C4FF7"/>
    <w:rsid w:val="09550A68"/>
    <w:rsid w:val="09640525"/>
    <w:rsid w:val="096947FF"/>
    <w:rsid w:val="096A237B"/>
    <w:rsid w:val="097110C2"/>
    <w:rsid w:val="0971ADDE"/>
    <w:rsid w:val="097C1EA5"/>
    <w:rsid w:val="097EAD01"/>
    <w:rsid w:val="09826B6C"/>
    <w:rsid w:val="0984F0D8"/>
    <w:rsid w:val="0988B2B8"/>
    <w:rsid w:val="0992459B"/>
    <w:rsid w:val="099259F4"/>
    <w:rsid w:val="09957F3E"/>
    <w:rsid w:val="0996DC3B"/>
    <w:rsid w:val="09A3FB35"/>
    <w:rsid w:val="09A6D24C"/>
    <w:rsid w:val="09A6D98A"/>
    <w:rsid w:val="09A76391"/>
    <w:rsid w:val="09AEF037"/>
    <w:rsid w:val="09B27B3E"/>
    <w:rsid w:val="09B3B47A"/>
    <w:rsid w:val="09B67BF9"/>
    <w:rsid w:val="09BA660C"/>
    <w:rsid w:val="09BBB17D"/>
    <w:rsid w:val="09BC1D73"/>
    <w:rsid w:val="09BCC4F0"/>
    <w:rsid w:val="09BE8628"/>
    <w:rsid w:val="09C13444"/>
    <w:rsid w:val="09C1B491"/>
    <w:rsid w:val="09C2D311"/>
    <w:rsid w:val="09C3B8B5"/>
    <w:rsid w:val="09D30948"/>
    <w:rsid w:val="09D33E3B"/>
    <w:rsid w:val="09D4A5F5"/>
    <w:rsid w:val="09D862C3"/>
    <w:rsid w:val="09E035B8"/>
    <w:rsid w:val="09E63B22"/>
    <w:rsid w:val="09E75A3C"/>
    <w:rsid w:val="09E9FEB0"/>
    <w:rsid w:val="09EBBDB4"/>
    <w:rsid w:val="09EE5AF9"/>
    <w:rsid w:val="09EF1CA4"/>
    <w:rsid w:val="09F0EB35"/>
    <w:rsid w:val="09FBF276"/>
    <w:rsid w:val="09FE53C9"/>
    <w:rsid w:val="0A0012E0"/>
    <w:rsid w:val="0A0669D6"/>
    <w:rsid w:val="0A0BA12D"/>
    <w:rsid w:val="0A13AD57"/>
    <w:rsid w:val="0A180E42"/>
    <w:rsid w:val="0A181EDE"/>
    <w:rsid w:val="0A1B7FAE"/>
    <w:rsid w:val="0A1B97AC"/>
    <w:rsid w:val="0A264336"/>
    <w:rsid w:val="0A26B9A1"/>
    <w:rsid w:val="0A2BECAD"/>
    <w:rsid w:val="0A2DF313"/>
    <w:rsid w:val="0A33CF56"/>
    <w:rsid w:val="0A36663A"/>
    <w:rsid w:val="0A36CDE7"/>
    <w:rsid w:val="0A3CC8BE"/>
    <w:rsid w:val="0A42065E"/>
    <w:rsid w:val="0A4E777E"/>
    <w:rsid w:val="0A51A5CC"/>
    <w:rsid w:val="0A52D9D3"/>
    <w:rsid w:val="0A53D9E0"/>
    <w:rsid w:val="0A56A748"/>
    <w:rsid w:val="0A577AB8"/>
    <w:rsid w:val="0A5B4F95"/>
    <w:rsid w:val="0A616FEB"/>
    <w:rsid w:val="0A6490D6"/>
    <w:rsid w:val="0A6703B8"/>
    <w:rsid w:val="0A6A2800"/>
    <w:rsid w:val="0A6D6959"/>
    <w:rsid w:val="0A752410"/>
    <w:rsid w:val="0A899C84"/>
    <w:rsid w:val="0A8B4C50"/>
    <w:rsid w:val="0A8D074E"/>
    <w:rsid w:val="0A9028F2"/>
    <w:rsid w:val="0A95D6A9"/>
    <w:rsid w:val="0AA09720"/>
    <w:rsid w:val="0AA3AA21"/>
    <w:rsid w:val="0AAB12EA"/>
    <w:rsid w:val="0AB012C3"/>
    <w:rsid w:val="0AB386DE"/>
    <w:rsid w:val="0AB4B439"/>
    <w:rsid w:val="0ABCCF81"/>
    <w:rsid w:val="0ABFD5CA"/>
    <w:rsid w:val="0AC0A9BF"/>
    <w:rsid w:val="0AC4FAA5"/>
    <w:rsid w:val="0ACA3216"/>
    <w:rsid w:val="0ACD1EBE"/>
    <w:rsid w:val="0AD15AE8"/>
    <w:rsid w:val="0ADAA30D"/>
    <w:rsid w:val="0ADEE4EA"/>
    <w:rsid w:val="0AE1302A"/>
    <w:rsid w:val="0AE1E483"/>
    <w:rsid w:val="0AED3EE4"/>
    <w:rsid w:val="0AF02254"/>
    <w:rsid w:val="0AF2FE97"/>
    <w:rsid w:val="0AF65ADA"/>
    <w:rsid w:val="0AF6ADF6"/>
    <w:rsid w:val="0AFA14C2"/>
    <w:rsid w:val="0AFC90E5"/>
    <w:rsid w:val="0AFE8A2B"/>
    <w:rsid w:val="0B0095F2"/>
    <w:rsid w:val="0B01E154"/>
    <w:rsid w:val="0B0A4F31"/>
    <w:rsid w:val="0B1C5516"/>
    <w:rsid w:val="0B1CC46A"/>
    <w:rsid w:val="0B1D54F5"/>
    <w:rsid w:val="0B2BAE31"/>
    <w:rsid w:val="0B2F0FFA"/>
    <w:rsid w:val="0B303564"/>
    <w:rsid w:val="0B407B6B"/>
    <w:rsid w:val="0B49EC9A"/>
    <w:rsid w:val="0B4D092C"/>
    <w:rsid w:val="0B581C83"/>
    <w:rsid w:val="0B62CA59"/>
    <w:rsid w:val="0B6F7064"/>
    <w:rsid w:val="0B764F3C"/>
    <w:rsid w:val="0B7896DE"/>
    <w:rsid w:val="0B7A659A"/>
    <w:rsid w:val="0B7BA776"/>
    <w:rsid w:val="0B7E4FF3"/>
    <w:rsid w:val="0B7FFEBD"/>
    <w:rsid w:val="0B80322C"/>
    <w:rsid w:val="0B867D7F"/>
    <w:rsid w:val="0B86B7C5"/>
    <w:rsid w:val="0B8AB450"/>
    <w:rsid w:val="0B8CF6E1"/>
    <w:rsid w:val="0B919D90"/>
    <w:rsid w:val="0B94F9D7"/>
    <w:rsid w:val="0B95D388"/>
    <w:rsid w:val="0B9722C1"/>
    <w:rsid w:val="0B975194"/>
    <w:rsid w:val="0B9AE165"/>
    <w:rsid w:val="0B9CA91E"/>
    <w:rsid w:val="0B9EEB1E"/>
    <w:rsid w:val="0BA04276"/>
    <w:rsid w:val="0BA29496"/>
    <w:rsid w:val="0BADDDA8"/>
    <w:rsid w:val="0BB45C11"/>
    <w:rsid w:val="0BB78FC0"/>
    <w:rsid w:val="0BB9E8C5"/>
    <w:rsid w:val="0BB9F676"/>
    <w:rsid w:val="0BBB4F9C"/>
    <w:rsid w:val="0BC6EC81"/>
    <w:rsid w:val="0BCD746C"/>
    <w:rsid w:val="0BCDE51F"/>
    <w:rsid w:val="0BD58C83"/>
    <w:rsid w:val="0BE1E41E"/>
    <w:rsid w:val="0BE345DD"/>
    <w:rsid w:val="0BE4AFEE"/>
    <w:rsid w:val="0BE65B3B"/>
    <w:rsid w:val="0BE908D2"/>
    <w:rsid w:val="0BEA5746"/>
    <w:rsid w:val="0BF73EA6"/>
    <w:rsid w:val="0BFC8107"/>
    <w:rsid w:val="0BFFD7EA"/>
    <w:rsid w:val="0C01A274"/>
    <w:rsid w:val="0C07BEC1"/>
    <w:rsid w:val="0C0D5F86"/>
    <w:rsid w:val="0C0E6E37"/>
    <w:rsid w:val="0C142D1C"/>
    <w:rsid w:val="0C147C04"/>
    <w:rsid w:val="0C184F5A"/>
    <w:rsid w:val="0C1F4BB2"/>
    <w:rsid w:val="0C267A0C"/>
    <w:rsid w:val="0C2929DA"/>
    <w:rsid w:val="0C2B2C68"/>
    <w:rsid w:val="0C2C9CC7"/>
    <w:rsid w:val="0C2E8625"/>
    <w:rsid w:val="0C2EB079"/>
    <w:rsid w:val="0C2F795B"/>
    <w:rsid w:val="0C3499C5"/>
    <w:rsid w:val="0C36FAEC"/>
    <w:rsid w:val="0C3E7856"/>
    <w:rsid w:val="0C3ED624"/>
    <w:rsid w:val="0C425030"/>
    <w:rsid w:val="0C440FFD"/>
    <w:rsid w:val="0C521225"/>
    <w:rsid w:val="0C53C22D"/>
    <w:rsid w:val="0C53D38A"/>
    <w:rsid w:val="0C560532"/>
    <w:rsid w:val="0C566758"/>
    <w:rsid w:val="0C56981D"/>
    <w:rsid w:val="0C56D6A8"/>
    <w:rsid w:val="0C5913CD"/>
    <w:rsid w:val="0C5DC645"/>
    <w:rsid w:val="0C5ECFFF"/>
    <w:rsid w:val="0C6342FE"/>
    <w:rsid w:val="0C641D4C"/>
    <w:rsid w:val="0C71B67E"/>
    <w:rsid w:val="0C789CAE"/>
    <w:rsid w:val="0C81B2F1"/>
    <w:rsid w:val="0C8301D7"/>
    <w:rsid w:val="0C836D54"/>
    <w:rsid w:val="0C83B744"/>
    <w:rsid w:val="0C852AAB"/>
    <w:rsid w:val="0C8A8EA9"/>
    <w:rsid w:val="0C8ACE51"/>
    <w:rsid w:val="0C8DAB09"/>
    <w:rsid w:val="0C8E77E3"/>
    <w:rsid w:val="0C8EA3FA"/>
    <w:rsid w:val="0C92B289"/>
    <w:rsid w:val="0CA033D7"/>
    <w:rsid w:val="0CA3629E"/>
    <w:rsid w:val="0CA63ABD"/>
    <w:rsid w:val="0CA8F628"/>
    <w:rsid w:val="0CA9845B"/>
    <w:rsid w:val="0CAD0AB8"/>
    <w:rsid w:val="0CAD1033"/>
    <w:rsid w:val="0CB3AB0F"/>
    <w:rsid w:val="0CB6402B"/>
    <w:rsid w:val="0CB72DD9"/>
    <w:rsid w:val="0CBF58A5"/>
    <w:rsid w:val="0CC2DBAB"/>
    <w:rsid w:val="0CC3116C"/>
    <w:rsid w:val="0CC4FC86"/>
    <w:rsid w:val="0CC9DF6B"/>
    <w:rsid w:val="0CCAE0E6"/>
    <w:rsid w:val="0CCCC4B8"/>
    <w:rsid w:val="0CCD77B2"/>
    <w:rsid w:val="0CD1B679"/>
    <w:rsid w:val="0CD26BEC"/>
    <w:rsid w:val="0CD86E32"/>
    <w:rsid w:val="0CDB3C32"/>
    <w:rsid w:val="0CDD93C4"/>
    <w:rsid w:val="0CE55D6C"/>
    <w:rsid w:val="0CE9A21A"/>
    <w:rsid w:val="0CEBA953"/>
    <w:rsid w:val="0CF8D889"/>
    <w:rsid w:val="0CFE12D0"/>
    <w:rsid w:val="0D01247D"/>
    <w:rsid w:val="0D019856"/>
    <w:rsid w:val="0D037FE5"/>
    <w:rsid w:val="0D0383FD"/>
    <w:rsid w:val="0D04C7C5"/>
    <w:rsid w:val="0D06771A"/>
    <w:rsid w:val="0D0A3BEA"/>
    <w:rsid w:val="0D105DE1"/>
    <w:rsid w:val="0D182001"/>
    <w:rsid w:val="0D1B0F92"/>
    <w:rsid w:val="0D1D9FA7"/>
    <w:rsid w:val="0D1F0C4F"/>
    <w:rsid w:val="0D222182"/>
    <w:rsid w:val="0D259E87"/>
    <w:rsid w:val="0D2E250F"/>
    <w:rsid w:val="0D4159A0"/>
    <w:rsid w:val="0D45EAB1"/>
    <w:rsid w:val="0D4D3719"/>
    <w:rsid w:val="0D5077D1"/>
    <w:rsid w:val="0D51CC5A"/>
    <w:rsid w:val="0D579DA8"/>
    <w:rsid w:val="0D5E9106"/>
    <w:rsid w:val="0D5F2CAE"/>
    <w:rsid w:val="0D61274F"/>
    <w:rsid w:val="0D656081"/>
    <w:rsid w:val="0D66A976"/>
    <w:rsid w:val="0D670F55"/>
    <w:rsid w:val="0D689884"/>
    <w:rsid w:val="0D693C3A"/>
    <w:rsid w:val="0D6957E5"/>
    <w:rsid w:val="0D69FD0A"/>
    <w:rsid w:val="0D79A982"/>
    <w:rsid w:val="0D7E0441"/>
    <w:rsid w:val="0D7E491E"/>
    <w:rsid w:val="0D816C80"/>
    <w:rsid w:val="0D8612FC"/>
    <w:rsid w:val="0D86C7A8"/>
    <w:rsid w:val="0D8C176F"/>
    <w:rsid w:val="0D8E3A82"/>
    <w:rsid w:val="0D8FA15D"/>
    <w:rsid w:val="0D914BF8"/>
    <w:rsid w:val="0D91BCA1"/>
    <w:rsid w:val="0D91FFBA"/>
    <w:rsid w:val="0D9E51D8"/>
    <w:rsid w:val="0DA0248A"/>
    <w:rsid w:val="0DA033C0"/>
    <w:rsid w:val="0DA115D6"/>
    <w:rsid w:val="0DA1B2EE"/>
    <w:rsid w:val="0DA567D3"/>
    <w:rsid w:val="0DA7E80B"/>
    <w:rsid w:val="0DB3CB8F"/>
    <w:rsid w:val="0DC42B63"/>
    <w:rsid w:val="0DCA4770"/>
    <w:rsid w:val="0DCB3821"/>
    <w:rsid w:val="0DD00DF7"/>
    <w:rsid w:val="0DD372A4"/>
    <w:rsid w:val="0DD67E59"/>
    <w:rsid w:val="0DDDD480"/>
    <w:rsid w:val="0DEC52A2"/>
    <w:rsid w:val="0DF00E5C"/>
    <w:rsid w:val="0DF6F62C"/>
    <w:rsid w:val="0DF73176"/>
    <w:rsid w:val="0DFBCAD0"/>
    <w:rsid w:val="0E00B561"/>
    <w:rsid w:val="0E050FB1"/>
    <w:rsid w:val="0E084212"/>
    <w:rsid w:val="0E09B985"/>
    <w:rsid w:val="0E0BC3AB"/>
    <w:rsid w:val="0E155F8C"/>
    <w:rsid w:val="0E1B670E"/>
    <w:rsid w:val="0E1B9675"/>
    <w:rsid w:val="0E219081"/>
    <w:rsid w:val="0E24412F"/>
    <w:rsid w:val="0E253007"/>
    <w:rsid w:val="0E31B2DD"/>
    <w:rsid w:val="0E37FA06"/>
    <w:rsid w:val="0E382BEE"/>
    <w:rsid w:val="0E3C3172"/>
    <w:rsid w:val="0E3DA695"/>
    <w:rsid w:val="0E448EE0"/>
    <w:rsid w:val="0E478A41"/>
    <w:rsid w:val="0E49F044"/>
    <w:rsid w:val="0E4C4A0C"/>
    <w:rsid w:val="0E55143F"/>
    <w:rsid w:val="0E56A7C8"/>
    <w:rsid w:val="0E594760"/>
    <w:rsid w:val="0E596945"/>
    <w:rsid w:val="0E5C50BB"/>
    <w:rsid w:val="0E5F571C"/>
    <w:rsid w:val="0E64D79F"/>
    <w:rsid w:val="0E681A12"/>
    <w:rsid w:val="0E6B6C90"/>
    <w:rsid w:val="0E6DC225"/>
    <w:rsid w:val="0E725761"/>
    <w:rsid w:val="0E729D52"/>
    <w:rsid w:val="0E7A6CB6"/>
    <w:rsid w:val="0E7B5CDC"/>
    <w:rsid w:val="0E823855"/>
    <w:rsid w:val="0E82BC17"/>
    <w:rsid w:val="0E83F6BE"/>
    <w:rsid w:val="0E85AA86"/>
    <w:rsid w:val="0E8A2C2D"/>
    <w:rsid w:val="0E8E1D11"/>
    <w:rsid w:val="0E91308C"/>
    <w:rsid w:val="0E9A73F2"/>
    <w:rsid w:val="0E9CF557"/>
    <w:rsid w:val="0E9DA024"/>
    <w:rsid w:val="0E9F65A5"/>
    <w:rsid w:val="0EA1384D"/>
    <w:rsid w:val="0EA14197"/>
    <w:rsid w:val="0EA2D618"/>
    <w:rsid w:val="0EA86E75"/>
    <w:rsid w:val="0EA8FE9D"/>
    <w:rsid w:val="0EA9B8D4"/>
    <w:rsid w:val="0EA9ED72"/>
    <w:rsid w:val="0EAC865E"/>
    <w:rsid w:val="0EB33F7F"/>
    <w:rsid w:val="0EB3526B"/>
    <w:rsid w:val="0EBCDE29"/>
    <w:rsid w:val="0EC0727C"/>
    <w:rsid w:val="0EC0E019"/>
    <w:rsid w:val="0EC3FF15"/>
    <w:rsid w:val="0EC692DF"/>
    <w:rsid w:val="0EC6A040"/>
    <w:rsid w:val="0EC79781"/>
    <w:rsid w:val="0ECBF051"/>
    <w:rsid w:val="0ED37F2B"/>
    <w:rsid w:val="0ED53472"/>
    <w:rsid w:val="0ED9FDA7"/>
    <w:rsid w:val="0EDEA7B6"/>
    <w:rsid w:val="0EE24BB9"/>
    <w:rsid w:val="0EE324B3"/>
    <w:rsid w:val="0EE72321"/>
    <w:rsid w:val="0EE81449"/>
    <w:rsid w:val="0EE981BF"/>
    <w:rsid w:val="0EEA898B"/>
    <w:rsid w:val="0EEB9AFB"/>
    <w:rsid w:val="0EEEB9F7"/>
    <w:rsid w:val="0EEFA048"/>
    <w:rsid w:val="0EF58399"/>
    <w:rsid w:val="0EF6605C"/>
    <w:rsid w:val="0EF896F0"/>
    <w:rsid w:val="0EFAA227"/>
    <w:rsid w:val="0EFB0C1D"/>
    <w:rsid w:val="0F09F18C"/>
    <w:rsid w:val="0F119204"/>
    <w:rsid w:val="0F173D6B"/>
    <w:rsid w:val="0F1792BE"/>
    <w:rsid w:val="0F179B14"/>
    <w:rsid w:val="0F22A41B"/>
    <w:rsid w:val="0F25CF87"/>
    <w:rsid w:val="0F261942"/>
    <w:rsid w:val="0F26C3B3"/>
    <w:rsid w:val="0F2BA312"/>
    <w:rsid w:val="0F2BABF3"/>
    <w:rsid w:val="0F2C5EC1"/>
    <w:rsid w:val="0F2E365B"/>
    <w:rsid w:val="0F34DDC0"/>
    <w:rsid w:val="0F384D4C"/>
    <w:rsid w:val="0F38DE1E"/>
    <w:rsid w:val="0F40934C"/>
    <w:rsid w:val="0F4111DF"/>
    <w:rsid w:val="0F427DB2"/>
    <w:rsid w:val="0F435677"/>
    <w:rsid w:val="0F4D625C"/>
    <w:rsid w:val="0F4DA6A5"/>
    <w:rsid w:val="0F515AF0"/>
    <w:rsid w:val="0F55D31E"/>
    <w:rsid w:val="0F588B4F"/>
    <w:rsid w:val="0F5944DF"/>
    <w:rsid w:val="0F595700"/>
    <w:rsid w:val="0F5D45EA"/>
    <w:rsid w:val="0F60153B"/>
    <w:rsid w:val="0F64D859"/>
    <w:rsid w:val="0F69A041"/>
    <w:rsid w:val="0F6DFC64"/>
    <w:rsid w:val="0F6F52B8"/>
    <w:rsid w:val="0F787E8C"/>
    <w:rsid w:val="0F7ABEFC"/>
    <w:rsid w:val="0F7B5799"/>
    <w:rsid w:val="0F8245CD"/>
    <w:rsid w:val="0F83CFF1"/>
    <w:rsid w:val="0F86C346"/>
    <w:rsid w:val="0F870C9F"/>
    <w:rsid w:val="0F8F4CFA"/>
    <w:rsid w:val="0F914C9B"/>
    <w:rsid w:val="0F9B1AAD"/>
    <w:rsid w:val="0FA2878F"/>
    <w:rsid w:val="0FA8157B"/>
    <w:rsid w:val="0FACEA74"/>
    <w:rsid w:val="0FAEBA5A"/>
    <w:rsid w:val="0FB18933"/>
    <w:rsid w:val="0FB2171B"/>
    <w:rsid w:val="0FB469FE"/>
    <w:rsid w:val="0FB5962C"/>
    <w:rsid w:val="0FB85FD6"/>
    <w:rsid w:val="0FC1BE83"/>
    <w:rsid w:val="0FC3F624"/>
    <w:rsid w:val="0FCA6BA7"/>
    <w:rsid w:val="0FCB96CD"/>
    <w:rsid w:val="0FCCF1B2"/>
    <w:rsid w:val="0FD1B8C0"/>
    <w:rsid w:val="0FD2FB40"/>
    <w:rsid w:val="0FD48371"/>
    <w:rsid w:val="0FD4D18B"/>
    <w:rsid w:val="0FD5589D"/>
    <w:rsid w:val="0FD681AF"/>
    <w:rsid w:val="0FE70DFB"/>
    <w:rsid w:val="0FE722CB"/>
    <w:rsid w:val="0FE8B281"/>
    <w:rsid w:val="0FECF49F"/>
    <w:rsid w:val="0FEF2BDF"/>
    <w:rsid w:val="0FF2B3BA"/>
    <w:rsid w:val="0FFB5C31"/>
    <w:rsid w:val="0FFD6104"/>
    <w:rsid w:val="10060C9F"/>
    <w:rsid w:val="10072E43"/>
    <w:rsid w:val="1009C3A4"/>
    <w:rsid w:val="100DF6CE"/>
    <w:rsid w:val="101294B3"/>
    <w:rsid w:val="1014D2E0"/>
    <w:rsid w:val="1017BE9B"/>
    <w:rsid w:val="10186E8A"/>
    <w:rsid w:val="10189943"/>
    <w:rsid w:val="101ABA28"/>
    <w:rsid w:val="101C715E"/>
    <w:rsid w:val="1021164F"/>
    <w:rsid w:val="10220658"/>
    <w:rsid w:val="1026D4C0"/>
    <w:rsid w:val="102A30EE"/>
    <w:rsid w:val="102ABB63"/>
    <w:rsid w:val="102B4AE6"/>
    <w:rsid w:val="102CC481"/>
    <w:rsid w:val="102DC083"/>
    <w:rsid w:val="102E221E"/>
    <w:rsid w:val="10309F4B"/>
    <w:rsid w:val="10310932"/>
    <w:rsid w:val="1033936C"/>
    <w:rsid w:val="10340132"/>
    <w:rsid w:val="10362748"/>
    <w:rsid w:val="1036B2FB"/>
    <w:rsid w:val="1036C3B3"/>
    <w:rsid w:val="103B100B"/>
    <w:rsid w:val="1040DBBB"/>
    <w:rsid w:val="1044D591"/>
    <w:rsid w:val="10457DD4"/>
    <w:rsid w:val="1047364D"/>
    <w:rsid w:val="1049B1C2"/>
    <w:rsid w:val="1057A174"/>
    <w:rsid w:val="10585385"/>
    <w:rsid w:val="1060C26E"/>
    <w:rsid w:val="1060F8DA"/>
    <w:rsid w:val="106B151B"/>
    <w:rsid w:val="106E86B6"/>
    <w:rsid w:val="10700355"/>
    <w:rsid w:val="1076AFAE"/>
    <w:rsid w:val="1078FE97"/>
    <w:rsid w:val="107CFC2B"/>
    <w:rsid w:val="107D1415"/>
    <w:rsid w:val="107DA068"/>
    <w:rsid w:val="10810E8C"/>
    <w:rsid w:val="10818868"/>
    <w:rsid w:val="10830545"/>
    <w:rsid w:val="108C2639"/>
    <w:rsid w:val="1095762B"/>
    <w:rsid w:val="109FCBC9"/>
    <w:rsid w:val="10A3E4F3"/>
    <w:rsid w:val="10A45031"/>
    <w:rsid w:val="10A56143"/>
    <w:rsid w:val="10AFF4C2"/>
    <w:rsid w:val="10B5ED13"/>
    <w:rsid w:val="10B6C25D"/>
    <w:rsid w:val="10BDAADD"/>
    <w:rsid w:val="10BDAC03"/>
    <w:rsid w:val="10C6C5C2"/>
    <w:rsid w:val="10C70069"/>
    <w:rsid w:val="10C8FCA0"/>
    <w:rsid w:val="10CC5866"/>
    <w:rsid w:val="10D04FBF"/>
    <w:rsid w:val="10D2AF27"/>
    <w:rsid w:val="10D3F78B"/>
    <w:rsid w:val="10D965DA"/>
    <w:rsid w:val="10E1BAB4"/>
    <w:rsid w:val="10E3E0E0"/>
    <w:rsid w:val="10E44B41"/>
    <w:rsid w:val="10E45C78"/>
    <w:rsid w:val="10E6DFD8"/>
    <w:rsid w:val="10E94F64"/>
    <w:rsid w:val="10EF090F"/>
    <w:rsid w:val="10F10265"/>
    <w:rsid w:val="11007A48"/>
    <w:rsid w:val="11015243"/>
    <w:rsid w:val="1105FDD8"/>
    <w:rsid w:val="11065664"/>
    <w:rsid w:val="1107A793"/>
    <w:rsid w:val="110B0BF4"/>
    <w:rsid w:val="110EC403"/>
    <w:rsid w:val="110F4D1B"/>
    <w:rsid w:val="1111D590"/>
    <w:rsid w:val="11125258"/>
    <w:rsid w:val="111CF9A6"/>
    <w:rsid w:val="1122FA56"/>
    <w:rsid w:val="1124AFBD"/>
    <w:rsid w:val="1127A033"/>
    <w:rsid w:val="112C83DC"/>
    <w:rsid w:val="112C856E"/>
    <w:rsid w:val="112D780C"/>
    <w:rsid w:val="112EE62A"/>
    <w:rsid w:val="11396A89"/>
    <w:rsid w:val="114CF458"/>
    <w:rsid w:val="114F8244"/>
    <w:rsid w:val="1158872F"/>
    <w:rsid w:val="1160A7BE"/>
    <w:rsid w:val="1169CE17"/>
    <w:rsid w:val="116C191B"/>
    <w:rsid w:val="116ECCFE"/>
    <w:rsid w:val="11719EE8"/>
    <w:rsid w:val="1175D626"/>
    <w:rsid w:val="11769239"/>
    <w:rsid w:val="11771B07"/>
    <w:rsid w:val="117A084F"/>
    <w:rsid w:val="117A5036"/>
    <w:rsid w:val="11888C3D"/>
    <w:rsid w:val="118C8BF7"/>
    <w:rsid w:val="11935EF8"/>
    <w:rsid w:val="119491C9"/>
    <w:rsid w:val="1196DB0C"/>
    <w:rsid w:val="11A0634B"/>
    <w:rsid w:val="11A53283"/>
    <w:rsid w:val="11A79B83"/>
    <w:rsid w:val="11A87234"/>
    <w:rsid w:val="11A9002A"/>
    <w:rsid w:val="11AEF7DA"/>
    <w:rsid w:val="11B5A651"/>
    <w:rsid w:val="11BCAD8A"/>
    <w:rsid w:val="11C08C6B"/>
    <w:rsid w:val="11C3D754"/>
    <w:rsid w:val="11CA5160"/>
    <w:rsid w:val="11D31D77"/>
    <w:rsid w:val="11D842CF"/>
    <w:rsid w:val="11DBF5E7"/>
    <w:rsid w:val="11E26011"/>
    <w:rsid w:val="11E29102"/>
    <w:rsid w:val="11E737B6"/>
    <w:rsid w:val="11EC0B39"/>
    <w:rsid w:val="11EEBD51"/>
    <w:rsid w:val="11F3534C"/>
    <w:rsid w:val="11F4CC62"/>
    <w:rsid w:val="11F51E5A"/>
    <w:rsid w:val="11F6B581"/>
    <w:rsid w:val="11F6C603"/>
    <w:rsid w:val="11F9B0BA"/>
    <w:rsid w:val="11FCE45E"/>
    <w:rsid w:val="11FD5A57"/>
    <w:rsid w:val="11FFD99C"/>
    <w:rsid w:val="1211F694"/>
    <w:rsid w:val="1215A152"/>
    <w:rsid w:val="1228993F"/>
    <w:rsid w:val="1229CF92"/>
    <w:rsid w:val="12342CBC"/>
    <w:rsid w:val="12376F88"/>
    <w:rsid w:val="123AF5D6"/>
    <w:rsid w:val="123E98C7"/>
    <w:rsid w:val="123EB08C"/>
    <w:rsid w:val="1241AD61"/>
    <w:rsid w:val="12432483"/>
    <w:rsid w:val="1249AD7C"/>
    <w:rsid w:val="124B8F47"/>
    <w:rsid w:val="12505A51"/>
    <w:rsid w:val="125593EF"/>
    <w:rsid w:val="1255E1F5"/>
    <w:rsid w:val="12639C0E"/>
    <w:rsid w:val="1265C189"/>
    <w:rsid w:val="12670745"/>
    <w:rsid w:val="127286E0"/>
    <w:rsid w:val="1272973F"/>
    <w:rsid w:val="1273B78F"/>
    <w:rsid w:val="127B1DB3"/>
    <w:rsid w:val="127B8FAB"/>
    <w:rsid w:val="128609B5"/>
    <w:rsid w:val="1287CB93"/>
    <w:rsid w:val="12882DF8"/>
    <w:rsid w:val="1289ECC9"/>
    <w:rsid w:val="128A8765"/>
    <w:rsid w:val="128DC286"/>
    <w:rsid w:val="128E0141"/>
    <w:rsid w:val="12977059"/>
    <w:rsid w:val="1297C473"/>
    <w:rsid w:val="129C148C"/>
    <w:rsid w:val="129EE9C5"/>
    <w:rsid w:val="12A0FC14"/>
    <w:rsid w:val="12AD0109"/>
    <w:rsid w:val="12ADBA8D"/>
    <w:rsid w:val="12B22518"/>
    <w:rsid w:val="12B5FD34"/>
    <w:rsid w:val="12B829F9"/>
    <w:rsid w:val="12B9F536"/>
    <w:rsid w:val="12BCAB84"/>
    <w:rsid w:val="12BD3D39"/>
    <w:rsid w:val="12BE209F"/>
    <w:rsid w:val="12BE7257"/>
    <w:rsid w:val="12BEC8EF"/>
    <w:rsid w:val="12C45111"/>
    <w:rsid w:val="12C5E9F4"/>
    <w:rsid w:val="12CDD00E"/>
    <w:rsid w:val="12CE5AC7"/>
    <w:rsid w:val="12CF3A32"/>
    <w:rsid w:val="12D30575"/>
    <w:rsid w:val="12D6C9F9"/>
    <w:rsid w:val="12D80376"/>
    <w:rsid w:val="12D8C0AF"/>
    <w:rsid w:val="12DDBA09"/>
    <w:rsid w:val="12E25333"/>
    <w:rsid w:val="12EDFA76"/>
    <w:rsid w:val="12EE93EF"/>
    <w:rsid w:val="12F03FEC"/>
    <w:rsid w:val="12F0A99C"/>
    <w:rsid w:val="12F0F177"/>
    <w:rsid w:val="12F49F19"/>
    <w:rsid w:val="12FF618B"/>
    <w:rsid w:val="130C93E9"/>
    <w:rsid w:val="130DBED3"/>
    <w:rsid w:val="130F5D55"/>
    <w:rsid w:val="13105D56"/>
    <w:rsid w:val="1311EAF2"/>
    <w:rsid w:val="13177CE2"/>
    <w:rsid w:val="1317A0F1"/>
    <w:rsid w:val="13197CB1"/>
    <w:rsid w:val="131B2BB7"/>
    <w:rsid w:val="131C7C3D"/>
    <w:rsid w:val="131E997D"/>
    <w:rsid w:val="132011E8"/>
    <w:rsid w:val="13247BA1"/>
    <w:rsid w:val="13269533"/>
    <w:rsid w:val="1329A8F2"/>
    <w:rsid w:val="132B202A"/>
    <w:rsid w:val="132C5795"/>
    <w:rsid w:val="13383FC3"/>
    <w:rsid w:val="13399303"/>
    <w:rsid w:val="133A85EF"/>
    <w:rsid w:val="1346133C"/>
    <w:rsid w:val="134741EC"/>
    <w:rsid w:val="13485EF8"/>
    <w:rsid w:val="13489176"/>
    <w:rsid w:val="134C83B1"/>
    <w:rsid w:val="134CAFBE"/>
    <w:rsid w:val="134D31FE"/>
    <w:rsid w:val="134D65D4"/>
    <w:rsid w:val="135640D3"/>
    <w:rsid w:val="135C210A"/>
    <w:rsid w:val="135C9E6E"/>
    <w:rsid w:val="13620144"/>
    <w:rsid w:val="1369D096"/>
    <w:rsid w:val="136C2D56"/>
    <w:rsid w:val="136D6BE6"/>
    <w:rsid w:val="136E6E8D"/>
    <w:rsid w:val="136F660D"/>
    <w:rsid w:val="1370FBB5"/>
    <w:rsid w:val="137A0309"/>
    <w:rsid w:val="1385CCD4"/>
    <w:rsid w:val="13888AA8"/>
    <w:rsid w:val="138945E9"/>
    <w:rsid w:val="138F44C2"/>
    <w:rsid w:val="139CCFDC"/>
    <w:rsid w:val="139E3324"/>
    <w:rsid w:val="139E6DA1"/>
    <w:rsid w:val="139F3AE0"/>
    <w:rsid w:val="13A04228"/>
    <w:rsid w:val="13A5BD27"/>
    <w:rsid w:val="13AA03F4"/>
    <w:rsid w:val="13AC534A"/>
    <w:rsid w:val="13AD25BF"/>
    <w:rsid w:val="13B0FCFE"/>
    <w:rsid w:val="13B61C03"/>
    <w:rsid w:val="13BE0DC1"/>
    <w:rsid w:val="13C903BD"/>
    <w:rsid w:val="13CB1E29"/>
    <w:rsid w:val="13CFF415"/>
    <w:rsid w:val="13D122BD"/>
    <w:rsid w:val="13D1632C"/>
    <w:rsid w:val="13D251BA"/>
    <w:rsid w:val="13D45F0A"/>
    <w:rsid w:val="13D5D6E7"/>
    <w:rsid w:val="13D90664"/>
    <w:rsid w:val="13DA8272"/>
    <w:rsid w:val="13DB6C1C"/>
    <w:rsid w:val="13DF59F4"/>
    <w:rsid w:val="13ED9BB2"/>
    <w:rsid w:val="13F117BC"/>
    <w:rsid w:val="13F34490"/>
    <w:rsid w:val="13F4168C"/>
    <w:rsid w:val="13F53F6D"/>
    <w:rsid w:val="13FCF48B"/>
    <w:rsid w:val="140052D3"/>
    <w:rsid w:val="1407F9AF"/>
    <w:rsid w:val="14092711"/>
    <w:rsid w:val="140A8EF4"/>
    <w:rsid w:val="140D20E1"/>
    <w:rsid w:val="14100619"/>
    <w:rsid w:val="14177E46"/>
    <w:rsid w:val="141BE0F2"/>
    <w:rsid w:val="141C9980"/>
    <w:rsid w:val="14243362"/>
    <w:rsid w:val="1429FD01"/>
    <w:rsid w:val="142EA7E7"/>
    <w:rsid w:val="1435A557"/>
    <w:rsid w:val="1440CC45"/>
    <w:rsid w:val="144DF7F6"/>
    <w:rsid w:val="144F9D24"/>
    <w:rsid w:val="14522973"/>
    <w:rsid w:val="145283DA"/>
    <w:rsid w:val="1455B9D9"/>
    <w:rsid w:val="145649E7"/>
    <w:rsid w:val="145A0761"/>
    <w:rsid w:val="145A6D88"/>
    <w:rsid w:val="145DD572"/>
    <w:rsid w:val="145E96B6"/>
    <w:rsid w:val="1460D7D1"/>
    <w:rsid w:val="1468450A"/>
    <w:rsid w:val="146C0995"/>
    <w:rsid w:val="1474AC9D"/>
    <w:rsid w:val="14773AF5"/>
    <w:rsid w:val="147D64B2"/>
    <w:rsid w:val="147F5089"/>
    <w:rsid w:val="147FBC7C"/>
    <w:rsid w:val="147FBF33"/>
    <w:rsid w:val="1488CA77"/>
    <w:rsid w:val="148B64C7"/>
    <w:rsid w:val="148E9354"/>
    <w:rsid w:val="14987443"/>
    <w:rsid w:val="14992657"/>
    <w:rsid w:val="149A6831"/>
    <w:rsid w:val="149F2955"/>
    <w:rsid w:val="149FF4C7"/>
    <w:rsid w:val="14A308ED"/>
    <w:rsid w:val="14A8AA91"/>
    <w:rsid w:val="14AA3EE7"/>
    <w:rsid w:val="14B03BEF"/>
    <w:rsid w:val="14B0B122"/>
    <w:rsid w:val="14B2B6B2"/>
    <w:rsid w:val="14B32E37"/>
    <w:rsid w:val="14B4F411"/>
    <w:rsid w:val="14BD9695"/>
    <w:rsid w:val="14BF3022"/>
    <w:rsid w:val="14BFACA7"/>
    <w:rsid w:val="14C1187D"/>
    <w:rsid w:val="14C121B7"/>
    <w:rsid w:val="14C3D53B"/>
    <w:rsid w:val="14C5044B"/>
    <w:rsid w:val="14C9B615"/>
    <w:rsid w:val="14CF2B42"/>
    <w:rsid w:val="14D2B105"/>
    <w:rsid w:val="14D55E9D"/>
    <w:rsid w:val="14D7A9EF"/>
    <w:rsid w:val="14D99827"/>
    <w:rsid w:val="14E11DCF"/>
    <w:rsid w:val="14E6DD90"/>
    <w:rsid w:val="14EFA352"/>
    <w:rsid w:val="14F0FD3F"/>
    <w:rsid w:val="14F2EF21"/>
    <w:rsid w:val="14FA9FA6"/>
    <w:rsid w:val="14FC533E"/>
    <w:rsid w:val="14FD1855"/>
    <w:rsid w:val="14FD641A"/>
    <w:rsid w:val="1500A384"/>
    <w:rsid w:val="1504020B"/>
    <w:rsid w:val="150A5AC0"/>
    <w:rsid w:val="150C26D4"/>
    <w:rsid w:val="150E9A64"/>
    <w:rsid w:val="150F6125"/>
    <w:rsid w:val="15141D90"/>
    <w:rsid w:val="15170D0A"/>
    <w:rsid w:val="1517A9C1"/>
    <w:rsid w:val="1518BDEA"/>
    <w:rsid w:val="151AA21C"/>
    <w:rsid w:val="151B1402"/>
    <w:rsid w:val="15284A91"/>
    <w:rsid w:val="152C52C3"/>
    <w:rsid w:val="152E1E72"/>
    <w:rsid w:val="152E934D"/>
    <w:rsid w:val="152F5D91"/>
    <w:rsid w:val="153395E6"/>
    <w:rsid w:val="153A9280"/>
    <w:rsid w:val="1543014C"/>
    <w:rsid w:val="1543D1CC"/>
    <w:rsid w:val="1545FC58"/>
    <w:rsid w:val="15478688"/>
    <w:rsid w:val="1549CA20"/>
    <w:rsid w:val="154C57CB"/>
    <w:rsid w:val="15530B99"/>
    <w:rsid w:val="15534C46"/>
    <w:rsid w:val="155603E6"/>
    <w:rsid w:val="156C5BFD"/>
    <w:rsid w:val="15737767"/>
    <w:rsid w:val="1574B39D"/>
    <w:rsid w:val="157681FD"/>
    <w:rsid w:val="1576B1A7"/>
    <w:rsid w:val="1576F7B4"/>
    <w:rsid w:val="1579958A"/>
    <w:rsid w:val="157E954C"/>
    <w:rsid w:val="15850C35"/>
    <w:rsid w:val="158522AD"/>
    <w:rsid w:val="15889D18"/>
    <w:rsid w:val="158A03E9"/>
    <w:rsid w:val="158CF93B"/>
    <w:rsid w:val="158EC1F7"/>
    <w:rsid w:val="15931542"/>
    <w:rsid w:val="1593F4CD"/>
    <w:rsid w:val="15942055"/>
    <w:rsid w:val="1599453A"/>
    <w:rsid w:val="159E3C37"/>
    <w:rsid w:val="15A3C78F"/>
    <w:rsid w:val="15A48695"/>
    <w:rsid w:val="15A61AAA"/>
    <w:rsid w:val="15A80246"/>
    <w:rsid w:val="15AD1F59"/>
    <w:rsid w:val="15B31B59"/>
    <w:rsid w:val="15BD273C"/>
    <w:rsid w:val="15C02CB1"/>
    <w:rsid w:val="15C09B86"/>
    <w:rsid w:val="15C47358"/>
    <w:rsid w:val="15C97404"/>
    <w:rsid w:val="15CA783B"/>
    <w:rsid w:val="15D1AFB5"/>
    <w:rsid w:val="15DD5263"/>
    <w:rsid w:val="15DF51E8"/>
    <w:rsid w:val="15E50719"/>
    <w:rsid w:val="15E63D56"/>
    <w:rsid w:val="15E7A042"/>
    <w:rsid w:val="15E8A010"/>
    <w:rsid w:val="15EA5774"/>
    <w:rsid w:val="15F05FEB"/>
    <w:rsid w:val="15F5AD59"/>
    <w:rsid w:val="15F79C3B"/>
    <w:rsid w:val="15FBF689"/>
    <w:rsid w:val="160AB3B3"/>
    <w:rsid w:val="160C4A2A"/>
    <w:rsid w:val="160C7B00"/>
    <w:rsid w:val="160F340A"/>
    <w:rsid w:val="1616E6E6"/>
    <w:rsid w:val="161DA0A7"/>
    <w:rsid w:val="161F8B75"/>
    <w:rsid w:val="16221CF7"/>
    <w:rsid w:val="16236B62"/>
    <w:rsid w:val="1626B5C2"/>
    <w:rsid w:val="1626D521"/>
    <w:rsid w:val="162803DE"/>
    <w:rsid w:val="16294140"/>
    <w:rsid w:val="16342B61"/>
    <w:rsid w:val="1638B2A4"/>
    <w:rsid w:val="1639DFB5"/>
    <w:rsid w:val="163FEFAF"/>
    <w:rsid w:val="1647B9C2"/>
    <w:rsid w:val="164CF972"/>
    <w:rsid w:val="16542FEC"/>
    <w:rsid w:val="16575A6C"/>
    <w:rsid w:val="165B75A5"/>
    <w:rsid w:val="1661933F"/>
    <w:rsid w:val="16639511"/>
    <w:rsid w:val="1663D99F"/>
    <w:rsid w:val="167091CC"/>
    <w:rsid w:val="1670AC98"/>
    <w:rsid w:val="167129FF"/>
    <w:rsid w:val="1675884E"/>
    <w:rsid w:val="1676E250"/>
    <w:rsid w:val="167FDE71"/>
    <w:rsid w:val="1681F60C"/>
    <w:rsid w:val="168210F3"/>
    <w:rsid w:val="1685DFE6"/>
    <w:rsid w:val="168AA76F"/>
    <w:rsid w:val="168B2A76"/>
    <w:rsid w:val="168BB2F3"/>
    <w:rsid w:val="16925F2C"/>
    <w:rsid w:val="1695C2B9"/>
    <w:rsid w:val="1698FC66"/>
    <w:rsid w:val="1699F14D"/>
    <w:rsid w:val="169A8AEB"/>
    <w:rsid w:val="169CF8FA"/>
    <w:rsid w:val="169DBE4F"/>
    <w:rsid w:val="16A5812B"/>
    <w:rsid w:val="16AD593C"/>
    <w:rsid w:val="16B04FE1"/>
    <w:rsid w:val="16B29151"/>
    <w:rsid w:val="16BE07AD"/>
    <w:rsid w:val="16BFE87F"/>
    <w:rsid w:val="16C0A213"/>
    <w:rsid w:val="16C21AA8"/>
    <w:rsid w:val="16C60908"/>
    <w:rsid w:val="16C6C5CF"/>
    <w:rsid w:val="16C809FA"/>
    <w:rsid w:val="16CAC18B"/>
    <w:rsid w:val="16CF0FD9"/>
    <w:rsid w:val="16D0614D"/>
    <w:rsid w:val="16D4C655"/>
    <w:rsid w:val="16D6198F"/>
    <w:rsid w:val="16D77D6B"/>
    <w:rsid w:val="16DA9BAF"/>
    <w:rsid w:val="16DDA6F4"/>
    <w:rsid w:val="16E24C6F"/>
    <w:rsid w:val="16E4C0A9"/>
    <w:rsid w:val="16E6BA05"/>
    <w:rsid w:val="16EA3404"/>
    <w:rsid w:val="16EC4CCC"/>
    <w:rsid w:val="16F2F236"/>
    <w:rsid w:val="16F58A96"/>
    <w:rsid w:val="16FAF6EF"/>
    <w:rsid w:val="16FC6C3B"/>
    <w:rsid w:val="1705E0D1"/>
    <w:rsid w:val="17074061"/>
    <w:rsid w:val="1709DF95"/>
    <w:rsid w:val="170C4783"/>
    <w:rsid w:val="170C5845"/>
    <w:rsid w:val="170CA1A5"/>
    <w:rsid w:val="170ECF40"/>
    <w:rsid w:val="17131058"/>
    <w:rsid w:val="1716635C"/>
    <w:rsid w:val="171706CF"/>
    <w:rsid w:val="17171E81"/>
    <w:rsid w:val="1719028C"/>
    <w:rsid w:val="171CF855"/>
    <w:rsid w:val="171FA8C3"/>
    <w:rsid w:val="1731F5ED"/>
    <w:rsid w:val="1734797C"/>
    <w:rsid w:val="17364319"/>
    <w:rsid w:val="1737B081"/>
    <w:rsid w:val="173EC664"/>
    <w:rsid w:val="1744B67F"/>
    <w:rsid w:val="174B8543"/>
    <w:rsid w:val="174BC6EB"/>
    <w:rsid w:val="17586B3F"/>
    <w:rsid w:val="1758F294"/>
    <w:rsid w:val="175E7FC8"/>
    <w:rsid w:val="1764146F"/>
    <w:rsid w:val="1764FF81"/>
    <w:rsid w:val="176FC47C"/>
    <w:rsid w:val="1774BF6C"/>
    <w:rsid w:val="17779369"/>
    <w:rsid w:val="178379D2"/>
    <w:rsid w:val="178FC85B"/>
    <w:rsid w:val="179174EB"/>
    <w:rsid w:val="179368C9"/>
    <w:rsid w:val="1795144B"/>
    <w:rsid w:val="179AAEA3"/>
    <w:rsid w:val="179EEAFC"/>
    <w:rsid w:val="179FAA31"/>
    <w:rsid w:val="17A8F5CC"/>
    <w:rsid w:val="17AD000F"/>
    <w:rsid w:val="17B204DE"/>
    <w:rsid w:val="17B35E9C"/>
    <w:rsid w:val="17B648B7"/>
    <w:rsid w:val="17B68B96"/>
    <w:rsid w:val="17BD5A47"/>
    <w:rsid w:val="17C0710A"/>
    <w:rsid w:val="17C39B6D"/>
    <w:rsid w:val="17C959EE"/>
    <w:rsid w:val="17CD1D77"/>
    <w:rsid w:val="17D92131"/>
    <w:rsid w:val="17DA3147"/>
    <w:rsid w:val="17DEFA52"/>
    <w:rsid w:val="17E1F4F1"/>
    <w:rsid w:val="17E20C87"/>
    <w:rsid w:val="17E2DF45"/>
    <w:rsid w:val="17E2F8D5"/>
    <w:rsid w:val="17E90B31"/>
    <w:rsid w:val="17EC89EB"/>
    <w:rsid w:val="17ED19B6"/>
    <w:rsid w:val="17EF0E74"/>
    <w:rsid w:val="17EF82F9"/>
    <w:rsid w:val="17F533DE"/>
    <w:rsid w:val="17F7D3E1"/>
    <w:rsid w:val="17FF7F83"/>
    <w:rsid w:val="180D70E5"/>
    <w:rsid w:val="181556CD"/>
    <w:rsid w:val="1819DA79"/>
    <w:rsid w:val="181A335E"/>
    <w:rsid w:val="181D082C"/>
    <w:rsid w:val="181D9EFC"/>
    <w:rsid w:val="182242CD"/>
    <w:rsid w:val="18252C70"/>
    <w:rsid w:val="1827B5FF"/>
    <w:rsid w:val="182B7F5D"/>
    <w:rsid w:val="182BBCE5"/>
    <w:rsid w:val="1830570F"/>
    <w:rsid w:val="183190D4"/>
    <w:rsid w:val="1843F596"/>
    <w:rsid w:val="18460CC2"/>
    <w:rsid w:val="184BEA58"/>
    <w:rsid w:val="184C7B2B"/>
    <w:rsid w:val="185025F7"/>
    <w:rsid w:val="1852218F"/>
    <w:rsid w:val="1854061E"/>
    <w:rsid w:val="185A63EA"/>
    <w:rsid w:val="185A8DF4"/>
    <w:rsid w:val="185AF264"/>
    <w:rsid w:val="185C7738"/>
    <w:rsid w:val="185CA3A5"/>
    <w:rsid w:val="1863D476"/>
    <w:rsid w:val="18654951"/>
    <w:rsid w:val="1866775C"/>
    <w:rsid w:val="1866C54D"/>
    <w:rsid w:val="18683773"/>
    <w:rsid w:val="1868BAE2"/>
    <w:rsid w:val="186B3EDF"/>
    <w:rsid w:val="186E7DBA"/>
    <w:rsid w:val="186FABAE"/>
    <w:rsid w:val="18725CE3"/>
    <w:rsid w:val="187BA3AE"/>
    <w:rsid w:val="187D3FAB"/>
    <w:rsid w:val="1880B068"/>
    <w:rsid w:val="1881997E"/>
    <w:rsid w:val="188A8F39"/>
    <w:rsid w:val="188B6BE2"/>
    <w:rsid w:val="188FE46A"/>
    <w:rsid w:val="1894945B"/>
    <w:rsid w:val="1895CD96"/>
    <w:rsid w:val="189A82C8"/>
    <w:rsid w:val="18A0E423"/>
    <w:rsid w:val="18A3DBCD"/>
    <w:rsid w:val="18AF2F0B"/>
    <w:rsid w:val="18B8D56C"/>
    <w:rsid w:val="18BD1F8D"/>
    <w:rsid w:val="18C5AFD6"/>
    <w:rsid w:val="18D7026B"/>
    <w:rsid w:val="18D84F5B"/>
    <w:rsid w:val="18DC3309"/>
    <w:rsid w:val="18E96550"/>
    <w:rsid w:val="18EF91CF"/>
    <w:rsid w:val="18F1555D"/>
    <w:rsid w:val="18F7C602"/>
    <w:rsid w:val="18F9B23A"/>
    <w:rsid w:val="18FFD187"/>
    <w:rsid w:val="19067085"/>
    <w:rsid w:val="19069D82"/>
    <w:rsid w:val="190AEF41"/>
    <w:rsid w:val="190C18BD"/>
    <w:rsid w:val="1912448E"/>
    <w:rsid w:val="1916FABA"/>
    <w:rsid w:val="191FB157"/>
    <w:rsid w:val="19228313"/>
    <w:rsid w:val="192C73DA"/>
    <w:rsid w:val="192DFAF1"/>
    <w:rsid w:val="1935CF60"/>
    <w:rsid w:val="1937F167"/>
    <w:rsid w:val="193A3F71"/>
    <w:rsid w:val="193D4876"/>
    <w:rsid w:val="193DA071"/>
    <w:rsid w:val="1946E881"/>
    <w:rsid w:val="1949145F"/>
    <w:rsid w:val="194CA843"/>
    <w:rsid w:val="194EDE30"/>
    <w:rsid w:val="19542C28"/>
    <w:rsid w:val="195A2574"/>
    <w:rsid w:val="195BCE4F"/>
    <w:rsid w:val="195D9307"/>
    <w:rsid w:val="1961C13E"/>
    <w:rsid w:val="1965A1A9"/>
    <w:rsid w:val="19662DF3"/>
    <w:rsid w:val="196AFDFE"/>
    <w:rsid w:val="196B10D3"/>
    <w:rsid w:val="196B21ED"/>
    <w:rsid w:val="196BFFCF"/>
    <w:rsid w:val="196EACCA"/>
    <w:rsid w:val="197386C0"/>
    <w:rsid w:val="1975A61E"/>
    <w:rsid w:val="197E9B18"/>
    <w:rsid w:val="19804725"/>
    <w:rsid w:val="1980FEE9"/>
    <w:rsid w:val="19844441"/>
    <w:rsid w:val="1984AA6D"/>
    <w:rsid w:val="19897155"/>
    <w:rsid w:val="198F5667"/>
    <w:rsid w:val="199689B6"/>
    <w:rsid w:val="199860ED"/>
    <w:rsid w:val="19ABFDFF"/>
    <w:rsid w:val="19AC52F9"/>
    <w:rsid w:val="19B03FEF"/>
    <w:rsid w:val="19B4D7D0"/>
    <w:rsid w:val="19B55090"/>
    <w:rsid w:val="19B92E6D"/>
    <w:rsid w:val="19BA1EE9"/>
    <w:rsid w:val="19C25EC3"/>
    <w:rsid w:val="19C4D569"/>
    <w:rsid w:val="19C78231"/>
    <w:rsid w:val="19C943CD"/>
    <w:rsid w:val="19D4974A"/>
    <w:rsid w:val="19DD0797"/>
    <w:rsid w:val="19DDA8D7"/>
    <w:rsid w:val="19E8C2EE"/>
    <w:rsid w:val="19E9DEDF"/>
    <w:rsid w:val="19F82D26"/>
    <w:rsid w:val="19FCAF11"/>
    <w:rsid w:val="19FDAA74"/>
    <w:rsid w:val="19FFDD1B"/>
    <w:rsid w:val="1A004B6D"/>
    <w:rsid w:val="1A05E96E"/>
    <w:rsid w:val="1A06ACC0"/>
    <w:rsid w:val="1A094EC3"/>
    <w:rsid w:val="1A0DE0EB"/>
    <w:rsid w:val="1A0F26CE"/>
    <w:rsid w:val="1A10394C"/>
    <w:rsid w:val="1A172C52"/>
    <w:rsid w:val="1A1B51B8"/>
    <w:rsid w:val="1A2183F6"/>
    <w:rsid w:val="1A225CC6"/>
    <w:rsid w:val="1A273EE5"/>
    <w:rsid w:val="1A2A8689"/>
    <w:rsid w:val="1A2EE75F"/>
    <w:rsid w:val="1A34ABB6"/>
    <w:rsid w:val="1A3B1489"/>
    <w:rsid w:val="1A3CD684"/>
    <w:rsid w:val="1A3DF877"/>
    <w:rsid w:val="1A422FF8"/>
    <w:rsid w:val="1A42A0D9"/>
    <w:rsid w:val="1A44D558"/>
    <w:rsid w:val="1A4C1EFD"/>
    <w:rsid w:val="1A4E3258"/>
    <w:rsid w:val="1A522015"/>
    <w:rsid w:val="1A5A84A3"/>
    <w:rsid w:val="1A5CEA68"/>
    <w:rsid w:val="1A5D1534"/>
    <w:rsid w:val="1A6422E3"/>
    <w:rsid w:val="1A6CF7A1"/>
    <w:rsid w:val="1A70D519"/>
    <w:rsid w:val="1A7141CF"/>
    <w:rsid w:val="1A795087"/>
    <w:rsid w:val="1A7B5DEC"/>
    <w:rsid w:val="1A8FDD33"/>
    <w:rsid w:val="1A95D893"/>
    <w:rsid w:val="1A95EA07"/>
    <w:rsid w:val="1A98F011"/>
    <w:rsid w:val="1AA30890"/>
    <w:rsid w:val="1AA35077"/>
    <w:rsid w:val="1AA5B7E9"/>
    <w:rsid w:val="1AAFB490"/>
    <w:rsid w:val="1AAFBAAD"/>
    <w:rsid w:val="1AB072DE"/>
    <w:rsid w:val="1AB9844B"/>
    <w:rsid w:val="1AC2E473"/>
    <w:rsid w:val="1AC34968"/>
    <w:rsid w:val="1AC6F867"/>
    <w:rsid w:val="1ACB2F59"/>
    <w:rsid w:val="1ACE3C79"/>
    <w:rsid w:val="1ADAA208"/>
    <w:rsid w:val="1AE6B9D9"/>
    <w:rsid w:val="1AE73546"/>
    <w:rsid w:val="1AEAF408"/>
    <w:rsid w:val="1AEB4980"/>
    <w:rsid w:val="1AF0D876"/>
    <w:rsid w:val="1AF6CF9A"/>
    <w:rsid w:val="1B00C109"/>
    <w:rsid w:val="1B02DAC8"/>
    <w:rsid w:val="1B0BE30A"/>
    <w:rsid w:val="1B0FC2F6"/>
    <w:rsid w:val="1B131846"/>
    <w:rsid w:val="1B1AAAF0"/>
    <w:rsid w:val="1B23C625"/>
    <w:rsid w:val="1B26BF03"/>
    <w:rsid w:val="1B2BC91C"/>
    <w:rsid w:val="1B2EDB73"/>
    <w:rsid w:val="1B309F64"/>
    <w:rsid w:val="1B317699"/>
    <w:rsid w:val="1B39E341"/>
    <w:rsid w:val="1B3ADE7E"/>
    <w:rsid w:val="1B3BD517"/>
    <w:rsid w:val="1B3F4C29"/>
    <w:rsid w:val="1B46EA07"/>
    <w:rsid w:val="1B4EADD1"/>
    <w:rsid w:val="1B4F37A8"/>
    <w:rsid w:val="1B53E108"/>
    <w:rsid w:val="1B58C4D5"/>
    <w:rsid w:val="1B5E96B4"/>
    <w:rsid w:val="1B5FA3B0"/>
    <w:rsid w:val="1B60840E"/>
    <w:rsid w:val="1B66A15F"/>
    <w:rsid w:val="1B6980DD"/>
    <w:rsid w:val="1B6A5787"/>
    <w:rsid w:val="1B6D2713"/>
    <w:rsid w:val="1B74460B"/>
    <w:rsid w:val="1B7450A2"/>
    <w:rsid w:val="1B750715"/>
    <w:rsid w:val="1B89BA9A"/>
    <w:rsid w:val="1B8B0C66"/>
    <w:rsid w:val="1B8C33E3"/>
    <w:rsid w:val="1B9F9F97"/>
    <w:rsid w:val="1BA55495"/>
    <w:rsid w:val="1BBC86B7"/>
    <w:rsid w:val="1BC2C4A4"/>
    <w:rsid w:val="1BCCF30F"/>
    <w:rsid w:val="1BCE0E34"/>
    <w:rsid w:val="1BD05F95"/>
    <w:rsid w:val="1BD07B32"/>
    <w:rsid w:val="1BD3E360"/>
    <w:rsid w:val="1BD8BC41"/>
    <w:rsid w:val="1BDC185D"/>
    <w:rsid w:val="1BE17AF0"/>
    <w:rsid w:val="1BE70BFD"/>
    <w:rsid w:val="1BECE558"/>
    <w:rsid w:val="1BF060AB"/>
    <w:rsid w:val="1BF1D57F"/>
    <w:rsid w:val="1BF6DB10"/>
    <w:rsid w:val="1BFEDA07"/>
    <w:rsid w:val="1BFF5632"/>
    <w:rsid w:val="1C01AB84"/>
    <w:rsid w:val="1C0DEF98"/>
    <w:rsid w:val="1C13896C"/>
    <w:rsid w:val="1C16364E"/>
    <w:rsid w:val="1C1862AF"/>
    <w:rsid w:val="1C237A25"/>
    <w:rsid w:val="1C26196A"/>
    <w:rsid w:val="1C2A3E34"/>
    <w:rsid w:val="1C32E0C7"/>
    <w:rsid w:val="1C340A82"/>
    <w:rsid w:val="1C345902"/>
    <w:rsid w:val="1C34B0F4"/>
    <w:rsid w:val="1C353C9D"/>
    <w:rsid w:val="1C3BDB57"/>
    <w:rsid w:val="1C3EEC1E"/>
    <w:rsid w:val="1C3F8696"/>
    <w:rsid w:val="1C4879FC"/>
    <w:rsid w:val="1C48E4D3"/>
    <w:rsid w:val="1C4E9DC0"/>
    <w:rsid w:val="1C4FCA12"/>
    <w:rsid w:val="1C5C3FB9"/>
    <w:rsid w:val="1C6A2486"/>
    <w:rsid w:val="1C6C660B"/>
    <w:rsid w:val="1C6CAF92"/>
    <w:rsid w:val="1C6D6DF5"/>
    <w:rsid w:val="1C6DCB6D"/>
    <w:rsid w:val="1C6F6BF0"/>
    <w:rsid w:val="1C74167E"/>
    <w:rsid w:val="1C7735E1"/>
    <w:rsid w:val="1C77ED7C"/>
    <w:rsid w:val="1C7BE342"/>
    <w:rsid w:val="1C899374"/>
    <w:rsid w:val="1C8AC429"/>
    <w:rsid w:val="1C8B4413"/>
    <w:rsid w:val="1C8E9098"/>
    <w:rsid w:val="1C8FAF4F"/>
    <w:rsid w:val="1C8FC619"/>
    <w:rsid w:val="1C93A149"/>
    <w:rsid w:val="1C996836"/>
    <w:rsid w:val="1CA7E440"/>
    <w:rsid w:val="1CB3154B"/>
    <w:rsid w:val="1CB3B67C"/>
    <w:rsid w:val="1CB77216"/>
    <w:rsid w:val="1CB7F55A"/>
    <w:rsid w:val="1CBB3610"/>
    <w:rsid w:val="1CBC5321"/>
    <w:rsid w:val="1CBC716D"/>
    <w:rsid w:val="1CC033BB"/>
    <w:rsid w:val="1CC399DE"/>
    <w:rsid w:val="1CC4D328"/>
    <w:rsid w:val="1CCCDA33"/>
    <w:rsid w:val="1CD35FCD"/>
    <w:rsid w:val="1CD54532"/>
    <w:rsid w:val="1CD9297D"/>
    <w:rsid w:val="1CE32145"/>
    <w:rsid w:val="1CE33486"/>
    <w:rsid w:val="1CE45504"/>
    <w:rsid w:val="1CE5CDE8"/>
    <w:rsid w:val="1CE796ED"/>
    <w:rsid w:val="1CEA8D13"/>
    <w:rsid w:val="1CEBB5F7"/>
    <w:rsid w:val="1CEE501E"/>
    <w:rsid w:val="1CF368ED"/>
    <w:rsid w:val="1CF4EF98"/>
    <w:rsid w:val="1CF68454"/>
    <w:rsid w:val="1CFA4BE7"/>
    <w:rsid w:val="1CFB0B11"/>
    <w:rsid w:val="1D0012C9"/>
    <w:rsid w:val="1D0396A1"/>
    <w:rsid w:val="1D11E578"/>
    <w:rsid w:val="1D14BF7C"/>
    <w:rsid w:val="1D18CB77"/>
    <w:rsid w:val="1D1AA4C4"/>
    <w:rsid w:val="1D1C6E6F"/>
    <w:rsid w:val="1D239D96"/>
    <w:rsid w:val="1D26624F"/>
    <w:rsid w:val="1D2F81D5"/>
    <w:rsid w:val="1D302EB2"/>
    <w:rsid w:val="1D30A4CD"/>
    <w:rsid w:val="1D3411AF"/>
    <w:rsid w:val="1D34CB5E"/>
    <w:rsid w:val="1D3805A1"/>
    <w:rsid w:val="1D3893DC"/>
    <w:rsid w:val="1D3B8059"/>
    <w:rsid w:val="1D3E0C3D"/>
    <w:rsid w:val="1D3E3536"/>
    <w:rsid w:val="1D3F1042"/>
    <w:rsid w:val="1D4249E4"/>
    <w:rsid w:val="1D442B2E"/>
    <w:rsid w:val="1D520C47"/>
    <w:rsid w:val="1D541C44"/>
    <w:rsid w:val="1D579551"/>
    <w:rsid w:val="1D5AA5AF"/>
    <w:rsid w:val="1D6638C6"/>
    <w:rsid w:val="1D693C4B"/>
    <w:rsid w:val="1D7E60E6"/>
    <w:rsid w:val="1D8747C4"/>
    <w:rsid w:val="1D8912BB"/>
    <w:rsid w:val="1D8A0889"/>
    <w:rsid w:val="1D8D803E"/>
    <w:rsid w:val="1D9210A3"/>
    <w:rsid w:val="1D93BF44"/>
    <w:rsid w:val="1D95B506"/>
    <w:rsid w:val="1D9C7B57"/>
    <w:rsid w:val="1D9EB654"/>
    <w:rsid w:val="1DA27A16"/>
    <w:rsid w:val="1DA349E8"/>
    <w:rsid w:val="1DA7F2F4"/>
    <w:rsid w:val="1DA91E4A"/>
    <w:rsid w:val="1DACF007"/>
    <w:rsid w:val="1DAE45F8"/>
    <w:rsid w:val="1DB41765"/>
    <w:rsid w:val="1DB697BD"/>
    <w:rsid w:val="1DB7063F"/>
    <w:rsid w:val="1DC00A35"/>
    <w:rsid w:val="1DC0F26E"/>
    <w:rsid w:val="1DC1850F"/>
    <w:rsid w:val="1DC4B2CF"/>
    <w:rsid w:val="1DC8DEC6"/>
    <w:rsid w:val="1DCC3C80"/>
    <w:rsid w:val="1DCCF1D0"/>
    <w:rsid w:val="1DD05943"/>
    <w:rsid w:val="1DD155B1"/>
    <w:rsid w:val="1DD28ECB"/>
    <w:rsid w:val="1DD4AC8A"/>
    <w:rsid w:val="1DD6BD5C"/>
    <w:rsid w:val="1DD94B9D"/>
    <w:rsid w:val="1DDD38F0"/>
    <w:rsid w:val="1DE263A6"/>
    <w:rsid w:val="1DE71A5D"/>
    <w:rsid w:val="1DEC0FEE"/>
    <w:rsid w:val="1DEE369B"/>
    <w:rsid w:val="1DF056AE"/>
    <w:rsid w:val="1DF0EAE9"/>
    <w:rsid w:val="1DF2ABF4"/>
    <w:rsid w:val="1DF2AF97"/>
    <w:rsid w:val="1DF42721"/>
    <w:rsid w:val="1DF6E7B9"/>
    <w:rsid w:val="1DF826FF"/>
    <w:rsid w:val="1DFB874E"/>
    <w:rsid w:val="1DFE0973"/>
    <w:rsid w:val="1E03DF20"/>
    <w:rsid w:val="1E04FBF7"/>
    <w:rsid w:val="1E056CBE"/>
    <w:rsid w:val="1E06990C"/>
    <w:rsid w:val="1E06A865"/>
    <w:rsid w:val="1E087598"/>
    <w:rsid w:val="1E08E512"/>
    <w:rsid w:val="1E14570E"/>
    <w:rsid w:val="1E1662E7"/>
    <w:rsid w:val="1E18D9BD"/>
    <w:rsid w:val="1E193FE4"/>
    <w:rsid w:val="1E1F09D8"/>
    <w:rsid w:val="1E243F49"/>
    <w:rsid w:val="1E24FF9D"/>
    <w:rsid w:val="1E29B208"/>
    <w:rsid w:val="1E31C376"/>
    <w:rsid w:val="1E3F50B2"/>
    <w:rsid w:val="1E3FDA45"/>
    <w:rsid w:val="1E524A2D"/>
    <w:rsid w:val="1E5A50DA"/>
    <w:rsid w:val="1E611DF6"/>
    <w:rsid w:val="1E63E8CD"/>
    <w:rsid w:val="1E649C8B"/>
    <w:rsid w:val="1E65112D"/>
    <w:rsid w:val="1E66C0B3"/>
    <w:rsid w:val="1E66C181"/>
    <w:rsid w:val="1E69609F"/>
    <w:rsid w:val="1E6B722C"/>
    <w:rsid w:val="1E6D55A3"/>
    <w:rsid w:val="1E74B29E"/>
    <w:rsid w:val="1E75FF51"/>
    <w:rsid w:val="1E77C7B7"/>
    <w:rsid w:val="1E7F847A"/>
    <w:rsid w:val="1E834086"/>
    <w:rsid w:val="1E86F22A"/>
    <w:rsid w:val="1E89116B"/>
    <w:rsid w:val="1E8C86EC"/>
    <w:rsid w:val="1E8D8BCB"/>
    <w:rsid w:val="1E8E6EC8"/>
    <w:rsid w:val="1E972DC6"/>
    <w:rsid w:val="1E9C0CE9"/>
    <w:rsid w:val="1EA476D4"/>
    <w:rsid w:val="1EA6E55E"/>
    <w:rsid w:val="1EAC910E"/>
    <w:rsid w:val="1EAD0C74"/>
    <w:rsid w:val="1EAEBCC7"/>
    <w:rsid w:val="1EAF858A"/>
    <w:rsid w:val="1EB7BE0E"/>
    <w:rsid w:val="1EB8B67B"/>
    <w:rsid w:val="1EBD9C2E"/>
    <w:rsid w:val="1EBF628A"/>
    <w:rsid w:val="1EC4C0F6"/>
    <w:rsid w:val="1EC6A881"/>
    <w:rsid w:val="1EC9F637"/>
    <w:rsid w:val="1ED0E661"/>
    <w:rsid w:val="1ED4CDDE"/>
    <w:rsid w:val="1EDBC986"/>
    <w:rsid w:val="1EDC40EE"/>
    <w:rsid w:val="1EDEC9B2"/>
    <w:rsid w:val="1EE19E6F"/>
    <w:rsid w:val="1EE43DCE"/>
    <w:rsid w:val="1EE5E46D"/>
    <w:rsid w:val="1EED0311"/>
    <w:rsid w:val="1EEF1262"/>
    <w:rsid w:val="1EEFD894"/>
    <w:rsid w:val="1EF769B0"/>
    <w:rsid w:val="1EF7FD9E"/>
    <w:rsid w:val="1EFA8DF1"/>
    <w:rsid w:val="1EFAE51D"/>
    <w:rsid w:val="1EFBABD5"/>
    <w:rsid w:val="1EFD1D8D"/>
    <w:rsid w:val="1F00F962"/>
    <w:rsid w:val="1F02426F"/>
    <w:rsid w:val="1F0386BE"/>
    <w:rsid w:val="1F082AC7"/>
    <w:rsid w:val="1F1C9270"/>
    <w:rsid w:val="1F26AEE2"/>
    <w:rsid w:val="1F27C392"/>
    <w:rsid w:val="1F29401A"/>
    <w:rsid w:val="1F2D0960"/>
    <w:rsid w:val="1F2DAD87"/>
    <w:rsid w:val="1F328B41"/>
    <w:rsid w:val="1F3344EA"/>
    <w:rsid w:val="1F3A4D93"/>
    <w:rsid w:val="1F4033C0"/>
    <w:rsid w:val="1F46CA69"/>
    <w:rsid w:val="1F46E616"/>
    <w:rsid w:val="1F4891EC"/>
    <w:rsid w:val="1F4C052F"/>
    <w:rsid w:val="1F51D8CD"/>
    <w:rsid w:val="1F5BC977"/>
    <w:rsid w:val="1F5EB83B"/>
    <w:rsid w:val="1F5F41C0"/>
    <w:rsid w:val="1F61A4BA"/>
    <w:rsid w:val="1F6B5BD6"/>
    <w:rsid w:val="1F6C5FF4"/>
    <w:rsid w:val="1F7367CC"/>
    <w:rsid w:val="1F73CF05"/>
    <w:rsid w:val="1F740C8D"/>
    <w:rsid w:val="1F76B014"/>
    <w:rsid w:val="1F7D1133"/>
    <w:rsid w:val="1F820EB7"/>
    <w:rsid w:val="1F861436"/>
    <w:rsid w:val="1F890B65"/>
    <w:rsid w:val="1F906957"/>
    <w:rsid w:val="1F920029"/>
    <w:rsid w:val="1F963527"/>
    <w:rsid w:val="1F9AEB5B"/>
    <w:rsid w:val="1F9C1569"/>
    <w:rsid w:val="1F9C977D"/>
    <w:rsid w:val="1F9D9699"/>
    <w:rsid w:val="1FA04443"/>
    <w:rsid w:val="1FA3DC97"/>
    <w:rsid w:val="1FA72CFE"/>
    <w:rsid w:val="1FB320BE"/>
    <w:rsid w:val="1FB7E681"/>
    <w:rsid w:val="1FB9CE81"/>
    <w:rsid w:val="1FBC3A0E"/>
    <w:rsid w:val="1FC293E7"/>
    <w:rsid w:val="1FC316A3"/>
    <w:rsid w:val="1FC4143D"/>
    <w:rsid w:val="1FC69D52"/>
    <w:rsid w:val="1FCB4E2C"/>
    <w:rsid w:val="1FCC968C"/>
    <w:rsid w:val="1FCEE2AA"/>
    <w:rsid w:val="1FD0EB30"/>
    <w:rsid w:val="1FD2842E"/>
    <w:rsid w:val="1FD4BBA5"/>
    <w:rsid w:val="1FD70E09"/>
    <w:rsid w:val="1FD75223"/>
    <w:rsid w:val="1FD760CC"/>
    <w:rsid w:val="1FD77FFA"/>
    <w:rsid w:val="1FD97824"/>
    <w:rsid w:val="1FE0357E"/>
    <w:rsid w:val="1FE666B9"/>
    <w:rsid w:val="1FF2D5E3"/>
    <w:rsid w:val="1FF63861"/>
    <w:rsid w:val="20008CB9"/>
    <w:rsid w:val="2001C769"/>
    <w:rsid w:val="200E0806"/>
    <w:rsid w:val="200FECC9"/>
    <w:rsid w:val="201626AF"/>
    <w:rsid w:val="2018F650"/>
    <w:rsid w:val="201D8F02"/>
    <w:rsid w:val="201DDFE1"/>
    <w:rsid w:val="202702D5"/>
    <w:rsid w:val="202916CA"/>
    <w:rsid w:val="202C483F"/>
    <w:rsid w:val="202EE862"/>
    <w:rsid w:val="2035005E"/>
    <w:rsid w:val="203F4123"/>
    <w:rsid w:val="20409C9F"/>
    <w:rsid w:val="2044A5A5"/>
    <w:rsid w:val="2049E662"/>
    <w:rsid w:val="20512D24"/>
    <w:rsid w:val="205894B7"/>
    <w:rsid w:val="205D97A9"/>
    <w:rsid w:val="205F0AFE"/>
    <w:rsid w:val="20682669"/>
    <w:rsid w:val="2068CFC1"/>
    <w:rsid w:val="20752464"/>
    <w:rsid w:val="207567D6"/>
    <w:rsid w:val="207699A0"/>
    <w:rsid w:val="207CE82C"/>
    <w:rsid w:val="20866408"/>
    <w:rsid w:val="20900575"/>
    <w:rsid w:val="2094D24C"/>
    <w:rsid w:val="20964D0D"/>
    <w:rsid w:val="20A978AD"/>
    <w:rsid w:val="20AD0FEB"/>
    <w:rsid w:val="20AE34A8"/>
    <w:rsid w:val="20B69B3B"/>
    <w:rsid w:val="20BB92AA"/>
    <w:rsid w:val="20BEAAE3"/>
    <w:rsid w:val="20BEB945"/>
    <w:rsid w:val="20BEEB7A"/>
    <w:rsid w:val="20BF7ED7"/>
    <w:rsid w:val="20C4EEE0"/>
    <w:rsid w:val="20C6A138"/>
    <w:rsid w:val="20C78E73"/>
    <w:rsid w:val="20C91E20"/>
    <w:rsid w:val="20E2F45F"/>
    <w:rsid w:val="20E58555"/>
    <w:rsid w:val="20EA9701"/>
    <w:rsid w:val="20EC2BD1"/>
    <w:rsid w:val="20ED8F15"/>
    <w:rsid w:val="20EDEA9E"/>
    <w:rsid w:val="20F7D804"/>
    <w:rsid w:val="20FC72F9"/>
    <w:rsid w:val="21016420"/>
    <w:rsid w:val="2107FB67"/>
    <w:rsid w:val="2108E7BC"/>
    <w:rsid w:val="211267FE"/>
    <w:rsid w:val="2113A0A2"/>
    <w:rsid w:val="21145061"/>
    <w:rsid w:val="212161A6"/>
    <w:rsid w:val="212634C0"/>
    <w:rsid w:val="2126CB83"/>
    <w:rsid w:val="21284B2D"/>
    <w:rsid w:val="212B7B34"/>
    <w:rsid w:val="212F7BDD"/>
    <w:rsid w:val="2131040A"/>
    <w:rsid w:val="2134ED08"/>
    <w:rsid w:val="21351B31"/>
    <w:rsid w:val="213544D4"/>
    <w:rsid w:val="2147C29E"/>
    <w:rsid w:val="2154F50B"/>
    <w:rsid w:val="2157676E"/>
    <w:rsid w:val="2157C236"/>
    <w:rsid w:val="215DF711"/>
    <w:rsid w:val="215FC541"/>
    <w:rsid w:val="21628017"/>
    <w:rsid w:val="21638A45"/>
    <w:rsid w:val="2167374E"/>
    <w:rsid w:val="21718387"/>
    <w:rsid w:val="21725063"/>
    <w:rsid w:val="21746960"/>
    <w:rsid w:val="21757166"/>
    <w:rsid w:val="2175B86D"/>
    <w:rsid w:val="217BF1D1"/>
    <w:rsid w:val="217CAB07"/>
    <w:rsid w:val="217D2C8F"/>
    <w:rsid w:val="217EA473"/>
    <w:rsid w:val="217F68E2"/>
    <w:rsid w:val="21825A10"/>
    <w:rsid w:val="2182822A"/>
    <w:rsid w:val="2182A9D7"/>
    <w:rsid w:val="2186B542"/>
    <w:rsid w:val="21878725"/>
    <w:rsid w:val="2189E8BE"/>
    <w:rsid w:val="218B4ED1"/>
    <w:rsid w:val="218D32D2"/>
    <w:rsid w:val="2191CB70"/>
    <w:rsid w:val="21937767"/>
    <w:rsid w:val="2195EBF4"/>
    <w:rsid w:val="219646CC"/>
    <w:rsid w:val="2197A265"/>
    <w:rsid w:val="219B6A8C"/>
    <w:rsid w:val="219C97C5"/>
    <w:rsid w:val="21A063BD"/>
    <w:rsid w:val="21A10810"/>
    <w:rsid w:val="21A155A5"/>
    <w:rsid w:val="21A20978"/>
    <w:rsid w:val="21A479BF"/>
    <w:rsid w:val="21A87E2B"/>
    <w:rsid w:val="21B00A61"/>
    <w:rsid w:val="21B3B1C0"/>
    <w:rsid w:val="21C27087"/>
    <w:rsid w:val="21C2D4B2"/>
    <w:rsid w:val="21CC8349"/>
    <w:rsid w:val="21D4F221"/>
    <w:rsid w:val="21D9F3E6"/>
    <w:rsid w:val="21DA4EA5"/>
    <w:rsid w:val="21DB06B5"/>
    <w:rsid w:val="21DB8103"/>
    <w:rsid w:val="21E865CF"/>
    <w:rsid w:val="21FB8FFA"/>
    <w:rsid w:val="21FBF06C"/>
    <w:rsid w:val="21FC479B"/>
    <w:rsid w:val="2203020E"/>
    <w:rsid w:val="2204C816"/>
    <w:rsid w:val="2208A237"/>
    <w:rsid w:val="220A5CB3"/>
    <w:rsid w:val="22110248"/>
    <w:rsid w:val="22145BE8"/>
    <w:rsid w:val="2215FFDB"/>
    <w:rsid w:val="2217AEF0"/>
    <w:rsid w:val="2220695A"/>
    <w:rsid w:val="2226B953"/>
    <w:rsid w:val="222AA7A6"/>
    <w:rsid w:val="22319038"/>
    <w:rsid w:val="223252F9"/>
    <w:rsid w:val="223753D1"/>
    <w:rsid w:val="223F72ED"/>
    <w:rsid w:val="2246892B"/>
    <w:rsid w:val="2248212A"/>
    <w:rsid w:val="22567C74"/>
    <w:rsid w:val="2258451B"/>
    <w:rsid w:val="22589621"/>
    <w:rsid w:val="2260C7AC"/>
    <w:rsid w:val="2261F1AD"/>
    <w:rsid w:val="22646A2A"/>
    <w:rsid w:val="22647A93"/>
    <w:rsid w:val="2265CCE1"/>
    <w:rsid w:val="226829D2"/>
    <w:rsid w:val="226B444E"/>
    <w:rsid w:val="2272E097"/>
    <w:rsid w:val="2274113C"/>
    <w:rsid w:val="2277DCB8"/>
    <w:rsid w:val="227AD21A"/>
    <w:rsid w:val="227E2B3F"/>
    <w:rsid w:val="227F7C7F"/>
    <w:rsid w:val="228A7A65"/>
    <w:rsid w:val="2291396A"/>
    <w:rsid w:val="22935E6B"/>
    <w:rsid w:val="229987CE"/>
    <w:rsid w:val="229B9AE5"/>
    <w:rsid w:val="229C774A"/>
    <w:rsid w:val="229D1C94"/>
    <w:rsid w:val="229E2DE2"/>
    <w:rsid w:val="22A05256"/>
    <w:rsid w:val="22A089C8"/>
    <w:rsid w:val="22A4B0C4"/>
    <w:rsid w:val="22AD9AB9"/>
    <w:rsid w:val="22B22639"/>
    <w:rsid w:val="22B338D2"/>
    <w:rsid w:val="22BC58CA"/>
    <w:rsid w:val="22C234C5"/>
    <w:rsid w:val="22C6683D"/>
    <w:rsid w:val="22C70D44"/>
    <w:rsid w:val="22C76414"/>
    <w:rsid w:val="22C9B937"/>
    <w:rsid w:val="22CA361E"/>
    <w:rsid w:val="22CAAB4E"/>
    <w:rsid w:val="22CF0113"/>
    <w:rsid w:val="22CF16A3"/>
    <w:rsid w:val="22CF6321"/>
    <w:rsid w:val="22D2613A"/>
    <w:rsid w:val="22D4A027"/>
    <w:rsid w:val="22D6BD94"/>
    <w:rsid w:val="22DA34F9"/>
    <w:rsid w:val="22DA6D2A"/>
    <w:rsid w:val="22DC757B"/>
    <w:rsid w:val="22DDE3B3"/>
    <w:rsid w:val="22E9036D"/>
    <w:rsid w:val="22EC322C"/>
    <w:rsid w:val="22EED06F"/>
    <w:rsid w:val="22F9DAE2"/>
    <w:rsid w:val="22FE1B15"/>
    <w:rsid w:val="2300926A"/>
    <w:rsid w:val="23031596"/>
    <w:rsid w:val="23048469"/>
    <w:rsid w:val="2306E24B"/>
    <w:rsid w:val="2308CC71"/>
    <w:rsid w:val="230AB205"/>
    <w:rsid w:val="230E020A"/>
    <w:rsid w:val="230EEC78"/>
    <w:rsid w:val="2313A23E"/>
    <w:rsid w:val="2316C8D9"/>
    <w:rsid w:val="231B452D"/>
    <w:rsid w:val="231CF89D"/>
    <w:rsid w:val="2320683B"/>
    <w:rsid w:val="2321B165"/>
    <w:rsid w:val="23281F2E"/>
    <w:rsid w:val="23296946"/>
    <w:rsid w:val="23334FA3"/>
    <w:rsid w:val="233490E9"/>
    <w:rsid w:val="2337A1D0"/>
    <w:rsid w:val="2337A2B4"/>
    <w:rsid w:val="233E4157"/>
    <w:rsid w:val="233EFCB4"/>
    <w:rsid w:val="233F0BB4"/>
    <w:rsid w:val="23415AB7"/>
    <w:rsid w:val="23485126"/>
    <w:rsid w:val="234DD2B0"/>
    <w:rsid w:val="2350D56D"/>
    <w:rsid w:val="2354A308"/>
    <w:rsid w:val="235B8879"/>
    <w:rsid w:val="235F521B"/>
    <w:rsid w:val="2363C598"/>
    <w:rsid w:val="2367AAF0"/>
    <w:rsid w:val="236B3037"/>
    <w:rsid w:val="236B6862"/>
    <w:rsid w:val="23782509"/>
    <w:rsid w:val="23792EF5"/>
    <w:rsid w:val="237CA65F"/>
    <w:rsid w:val="2386B500"/>
    <w:rsid w:val="238A9D6D"/>
    <w:rsid w:val="238AF86F"/>
    <w:rsid w:val="23907B17"/>
    <w:rsid w:val="2398A036"/>
    <w:rsid w:val="239BC814"/>
    <w:rsid w:val="239D272A"/>
    <w:rsid w:val="239D99E5"/>
    <w:rsid w:val="23A28DB6"/>
    <w:rsid w:val="23A50A50"/>
    <w:rsid w:val="23B1EA40"/>
    <w:rsid w:val="23BFDCF8"/>
    <w:rsid w:val="23C5EF06"/>
    <w:rsid w:val="23C68082"/>
    <w:rsid w:val="23CE670D"/>
    <w:rsid w:val="23D0D24E"/>
    <w:rsid w:val="23D4F84E"/>
    <w:rsid w:val="23D50BEE"/>
    <w:rsid w:val="23D9637F"/>
    <w:rsid w:val="23E04FF2"/>
    <w:rsid w:val="23E3DB52"/>
    <w:rsid w:val="23EC7391"/>
    <w:rsid w:val="23F97699"/>
    <w:rsid w:val="23FE8AD5"/>
    <w:rsid w:val="24003CF8"/>
    <w:rsid w:val="2403D0B3"/>
    <w:rsid w:val="2403D3CD"/>
    <w:rsid w:val="24124718"/>
    <w:rsid w:val="241918E7"/>
    <w:rsid w:val="241A0354"/>
    <w:rsid w:val="242084FF"/>
    <w:rsid w:val="242713EB"/>
    <w:rsid w:val="242B2AA6"/>
    <w:rsid w:val="242B7D47"/>
    <w:rsid w:val="242EC743"/>
    <w:rsid w:val="242FF3A7"/>
    <w:rsid w:val="2432254C"/>
    <w:rsid w:val="2433BB06"/>
    <w:rsid w:val="2435A521"/>
    <w:rsid w:val="24383DAF"/>
    <w:rsid w:val="243A9819"/>
    <w:rsid w:val="243B6669"/>
    <w:rsid w:val="243CDCE1"/>
    <w:rsid w:val="243F184F"/>
    <w:rsid w:val="2445C09E"/>
    <w:rsid w:val="244C82C3"/>
    <w:rsid w:val="2450D35D"/>
    <w:rsid w:val="24522410"/>
    <w:rsid w:val="24561408"/>
    <w:rsid w:val="24563AD5"/>
    <w:rsid w:val="2456E6C2"/>
    <w:rsid w:val="24577FD2"/>
    <w:rsid w:val="245CEFBF"/>
    <w:rsid w:val="245F9DE0"/>
    <w:rsid w:val="24640ADB"/>
    <w:rsid w:val="246799BF"/>
    <w:rsid w:val="246B65B9"/>
    <w:rsid w:val="246F89C9"/>
    <w:rsid w:val="2470BC86"/>
    <w:rsid w:val="2470F41D"/>
    <w:rsid w:val="247395E5"/>
    <w:rsid w:val="2477A98E"/>
    <w:rsid w:val="247C4245"/>
    <w:rsid w:val="247E736E"/>
    <w:rsid w:val="248200AF"/>
    <w:rsid w:val="248302D6"/>
    <w:rsid w:val="24855613"/>
    <w:rsid w:val="248E04F2"/>
    <w:rsid w:val="24906768"/>
    <w:rsid w:val="249777BE"/>
    <w:rsid w:val="24A070F2"/>
    <w:rsid w:val="24A8C06D"/>
    <w:rsid w:val="24B016F0"/>
    <w:rsid w:val="24B329A5"/>
    <w:rsid w:val="24B40E07"/>
    <w:rsid w:val="24BBB9F6"/>
    <w:rsid w:val="24BBEF6D"/>
    <w:rsid w:val="24CD585E"/>
    <w:rsid w:val="24CE1D51"/>
    <w:rsid w:val="24D1F7F1"/>
    <w:rsid w:val="24D300E8"/>
    <w:rsid w:val="24D64A98"/>
    <w:rsid w:val="24D963FA"/>
    <w:rsid w:val="24DD6E91"/>
    <w:rsid w:val="24E0F74E"/>
    <w:rsid w:val="24E19FA5"/>
    <w:rsid w:val="24E3F2C8"/>
    <w:rsid w:val="24E64D4F"/>
    <w:rsid w:val="24EDBFB1"/>
    <w:rsid w:val="24FA1CF2"/>
    <w:rsid w:val="250050EF"/>
    <w:rsid w:val="250166D1"/>
    <w:rsid w:val="25027C0C"/>
    <w:rsid w:val="25046259"/>
    <w:rsid w:val="2505D6F9"/>
    <w:rsid w:val="2505DD54"/>
    <w:rsid w:val="2510BA9E"/>
    <w:rsid w:val="2513601E"/>
    <w:rsid w:val="251380AF"/>
    <w:rsid w:val="251E4E3E"/>
    <w:rsid w:val="2525B1E1"/>
    <w:rsid w:val="252A5A56"/>
    <w:rsid w:val="252BB7E4"/>
    <w:rsid w:val="252CB3D1"/>
    <w:rsid w:val="252D275E"/>
    <w:rsid w:val="252D9AE4"/>
    <w:rsid w:val="25326937"/>
    <w:rsid w:val="2532E132"/>
    <w:rsid w:val="253C0B7C"/>
    <w:rsid w:val="254943A5"/>
    <w:rsid w:val="254B303F"/>
    <w:rsid w:val="2555333C"/>
    <w:rsid w:val="25559FC3"/>
    <w:rsid w:val="2559BFF6"/>
    <w:rsid w:val="2559D8DA"/>
    <w:rsid w:val="255B42A1"/>
    <w:rsid w:val="255C1D92"/>
    <w:rsid w:val="255C2526"/>
    <w:rsid w:val="255C3A11"/>
    <w:rsid w:val="255F3D92"/>
    <w:rsid w:val="25654AA6"/>
    <w:rsid w:val="25666482"/>
    <w:rsid w:val="25695470"/>
    <w:rsid w:val="256A1D72"/>
    <w:rsid w:val="256D3887"/>
    <w:rsid w:val="256D9375"/>
    <w:rsid w:val="256F8ACF"/>
    <w:rsid w:val="2570B962"/>
    <w:rsid w:val="25739969"/>
    <w:rsid w:val="257AD4A5"/>
    <w:rsid w:val="2582B004"/>
    <w:rsid w:val="2586CC58"/>
    <w:rsid w:val="258761A2"/>
    <w:rsid w:val="258A6775"/>
    <w:rsid w:val="258ABF60"/>
    <w:rsid w:val="258B86E6"/>
    <w:rsid w:val="258D4F06"/>
    <w:rsid w:val="2598833C"/>
    <w:rsid w:val="25A23555"/>
    <w:rsid w:val="25AA2715"/>
    <w:rsid w:val="25AC9263"/>
    <w:rsid w:val="25AE97F3"/>
    <w:rsid w:val="25B1D4D4"/>
    <w:rsid w:val="25B23F77"/>
    <w:rsid w:val="25B7EF95"/>
    <w:rsid w:val="25B808CD"/>
    <w:rsid w:val="25B92115"/>
    <w:rsid w:val="25BC3620"/>
    <w:rsid w:val="25BE661D"/>
    <w:rsid w:val="25C096FA"/>
    <w:rsid w:val="25C1BB03"/>
    <w:rsid w:val="25C36C76"/>
    <w:rsid w:val="25C6C4AA"/>
    <w:rsid w:val="25C89987"/>
    <w:rsid w:val="25C8DC6E"/>
    <w:rsid w:val="25CA7955"/>
    <w:rsid w:val="25D142B8"/>
    <w:rsid w:val="25D7EEF0"/>
    <w:rsid w:val="25D87D50"/>
    <w:rsid w:val="25DAAE35"/>
    <w:rsid w:val="25DEE6E1"/>
    <w:rsid w:val="25DFD785"/>
    <w:rsid w:val="25E02D3F"/>
    <w:rsid w:val="25E545E4"/>
    <w:rsid w:val="25E62596"/>
    <w:rsid w:val="25E9A10F"/>
    <w:rsid w:val="25EBC84A"/>
    <w:rsid w:val="25EF9950"/>
    <w:rsid w:val="25F1A48F"/>
    <w:rsid w:val="25F942A4"/>
    <w:rsid w:val="25F9504F"/>
    <w:rsid w:val="2600E429"/>
    <w:rsid w:val="2603A718"/>
    <w:rsid w:val="260BA89D"/>
    <w:rsid w:val="260E5B60"/>
    <w:rsid w:val="260FB1D7"/>
    <w:rsid w:val="2611C2EC"/>
    <w:rsid w:val="2611C676"/>
    <w:rsid w:val="261470B4"/>
    <w:rsid w:val="26169973"/>
    <w:rsid w:val="2621EC09"/>
    <w:rsid w:val="2628998F"/>
    <w:rsid w:val="2628DF05"/>
    <w:rsid w:val="263147F9"/>
    <w:rsid w:val="2637DF5B"/>
    <w:rsid w:val="2638FC2F"/>
    <w:rsid w:val="263C93EC"/>
    <w:rsid w:val="263EF7E3"/>
    <w:rsid w:val="2640B893"/>
    <w:rsid w:val="26429A31"/>
    <w:rsid w:val="26473F61"/>
    <w:rsid w:val="264E3F50"/>
    <w:rsid w:val="265005BC"/>
    <w:rsid w:val="26502515"/>
    <w:rsid w:val="2654A925"/>
    <w:rsid w:val="26582BE4"/>
    <w:rsid w:val="26583087"/>
    <w:rsid w:val="265B2E57"/>
    <w:rsid w:val="266EF779"/>
    <w:rsid w:val="266FC07E"/>
    <w:rsid w:val="2673C113"/>
    <w:rsid w:val="2675115C"/>
    <w:rsid w:val="26769B8E"/>
    <w:rsid w:val="268DD3D7"/>
    <w:rsid w:val="26983A5C"/>
    <w:rsid w:val="269C8925"/>
    <w:rsid w:val="26A10C7E"/>
    <w:rsid w:val="26A333E5"/>
    <w:rsid w:val="26AB207D"/>
    <w:rsid w:val="26B4899B"/>
    <w:rsid w:val="26B571D4"/>
    <w:rsid w:val="26B9079C"/>
    <w:rsid w:val="26B9D6D5"/>
    <w:rsid w:val="26BB65D5"/>
    <w:rsid w:val="26BC1A6A"/>
    <w:rsid w:val="26BF1972"/>
    <w:rsid w:val="26BF5333"/>
    <w:rsid w:val="26C1EB7B"/>
    <w:rsid w:val="26C22791"/>
    <w:rsid w:val="26C2C876"/>
    <w:rsid w:val="26C41D90"/>
    <w:rsid w:val="26CD2064"/>
    <w:rsid w:val="26D8F27B"/>
    <w:rsid w:val="26E65038"/>
    <w:rsid w:val="26E82CF3"/>
    <w:rsid w:val="26E96FD5"/>
    <w:rsid w:val="26F1EB54"/>
    <w:rsid w:val="26F39126"/>
    <w:rsid w:val="26F4BD48"/>
    <w:rsid w:val="26F92796"/>
    <w:rsid w:val="26FA5CE6"/>
    <w:rsid w:val="26FD2BF2"/>
    <w:rsid w:val="26FE787E"/>
    <w:rsid w:val="26FEB59D"/>
    <w:rsid w:val="26FEC9AF"/>
    <w:rsid w:val="27014728"/>
    <w:rsid w:val="2704A618"/>
    <w:rsid w:val="2706FDE7"/>
    <w:rsid w:val="270A4E2D"/>
    <w:rsid w:val="270A501E"/>
    <w:rsid w:val="270E6E7D"/>
    <w:rsid w:val="271776D7"/>
    <w:rsid w:val="271E3A2E"/>
    <w:rsid w:val="2720EBAF"/>
    <w:rsid w:val="2724695B"/>
    <w:rsid w:val="27259731"/>
    <w:rsid w:val="2725A06D"/>
    <w:rsid w:val="27285DCF"/>
    <w:rsid w:val="272862E2"/>
    <w:rsid w:val="272DCEC8"/>
    <w:rsid w:val="272EB803"/>
    <w:rsid w:val="273510B1"/>
    <w:rsid w:val="27358034"/>
    <w:rsid w:val="2736358C"/>
    <w:rsid w:val="2738343B"/>
    <w:rsid w:val="2738A45E"/>
    <w:rsid w:val="273B7B3B"/>
    <w:rsid w:val="273E514D"/>
    <w:rsid w:val="273E8664"/>
    <w:rsid w:val="273F58B0"/>
    <w:rsid w:val="2740769A"/>
    <w:rsid w:val="274A29ED"/>
    <w:rsid w:val="275170F4"/>
    <w:rsid w:val="2752B9C7"/>
    <w:rsid w:val="275581BC"/>
    <w:rsid w:val="275BF71E"/>
    <w:rsid w:val="275E0DF6"/>
    <w:rsid w:val="2760BD90"/>
    <w:rsid w:val="27617BE1"/>
    <w:rsid w:val="2767E9CE"/>
    <w:rsid w:val="2768E687"/>
    <w:rsid w:val="276BA77D"/>
    <w:rsid w:val="276C2F2A"/>
    <w:rsid w:val="276C73FC"/>
    <w:rsid w:val="2772961D"/>
    <w:rsid w:val="277B518D"/>
    <w:rsid w:val="277BDA40"/>
    <w:rsid w:val="277BFAE0"/>
    <w:rsid w:val="27801CEF"/>
    <w:rsid w:val="278232F3"/>
    <w:rsid w:val="27866EBC"/>
    <w:rsid w:val="278F1A26"/>
    <w:rsid w:val="278F4515"/>
    <w:rsid w:val="27969BBB"/>
    <w:rsid w:val="27975520"/>
    <w:rsid w:val="2797935C"/>
    <w:rsid w:val="2797A332"/>
    <w:rsid w:val="279B20BC"/>
    <w:rsid w:val="27A06F2A"/>
    <w:rsid w:val="27A7D3D0"/>
    <w:rsid w:val="27AA6DBE"/>
    <w:rsid w:val="27AC5691"/>
    <w:rsid w:val="27B05FE5"/>
    <w:rsid w:val="27B24989"/>
    <w:rsid w:val="27B8AA2A"/>
    <w:rsid w:val="27B8CD95"/>
    <w:rsid w:val="27B96918"/>
    <w:rsid w:val="27B97BCA"/>
    <w:rsid w:val="27C2629C"/>
    <w:rsid w:val="27C45ED0"/>
    <w:rsid w:val="27C90AAE"/>
    <w:rsid w:val="27CA024A"/>
    <w:rsid w:val="27CA86B2"/>
    <w:rsid w:val="27CD1C51"/>
    <w:rsid w:val="27CDEDA6"/>
    <w:rsid w:val="27D98E59"/>
    <w:rsid w:val="27DB8A4F"/>
    <w:rsid w:val="27E26317"/>
    <w:rsid w:val="27E724CE"/>
    <w:rsid w:val="27EDC558"/>
    <w:rsid w:val="27F3A5F8"/>
    <w:rsid w:val="27F85AEE"/>
    <w:rsid w:val="27F8A21D"/>
    <w:rsid w:val="27F8A889"/>
    <w:rsid w:val="27F90299"/>
    <w:rsid w:val="27FBADC1"/>
    <w:rsid w:val="27FD7AE1"/>
    <w:rsid w:val="2802550F"/>
    <w:rsid w:val="2807806F"/>
    <w:rsid w:val="2808CFCF"/>
    <w:rsid w:val="280A9027"/>
    <w:rsid w:val="280C1E3E"/>
    <w:rsid w:val="280CDDF1"/>
    <w:rsid w:val="280E089D"/>
    <w:rsid w:val="28127A53"/>
    <w:rsid w:val="2814FA73"/>
    <w:rsid w:val="2819D1C5"/>
    <w:rsid w:val="281B30C5"/>
    <w:rsid w:val="282446BF"/>
    <w:rsid w:val="2824E8DC"/>
    <w:rsid w:val="2826D405"/>
    <w:rsid w:val="28296CE9"/>
    <w:rsid w:val="282A1F30"/>
    <w:rsid w:val="282F7D54"/>
    <w:rsid w:val="282FB89A"/>
    <w:rsid w:val="2836C53E"/>
    <w:rsid w:val="28379346"/>
    <w:rsid w:val="283BFEC5"/>
    <w:rsid w:val="283E5FF9"/>
    <w:rsid w:val="28413E01"/>
    <w:rsid w:val="28437CF5"/>
    <w:rsid w:val="2846E2DE"/>
    <w:rsid w:val="284A6117"/>
    <w:rsid w:val="284AEF45"/>
    <w:rsid w:val="284B8731"/>
    <w:rsid w:val="284E8918"/>
    <w:rsid w:val="284FB3DB"/>
    <w:rsid w:val="2853BF8C"/>
    <w:rsid w:val="28545F72"/>
    <w:rsid w:val="2857822C"/>
    <w:rsid w:val="285CABAB"/>
    <w:rsid w:val="2861692A"/>
    <w:rsid w:val="2861E748"/>
    <w:rsid w:val="2866D8E8"/>
    <w:rsid w:val="2868D4AA"/>
    <w:rsid w:val="286F41C4"/>
    <w:rsid w:val="28863376"/>
    <w:rsid w:val="2886457B"/>
    <w:rsid w:val="288CFEA6"/>
    <w:rsid w:val="288E1D3B"/>
    <w:rsid w:val="288FC7FD"/>
    <w:rsid w:val="28957397"/>
    <w:rsid w:val="2897CEBD"/>
    <w:rsid w:val="289C49C2"/>
    <w:rsid w:val="28A388D0"/>
    <w:rsid w:val="28A91C6D"/>
    <w:rsid w:val="28ADE26C"/>
    <w:rsid w:val="28B1EBDC"/>
    <w:rsid w:val="28B3909E"/>
    <w:rsid w:val="28B76A84"/>
    <w:rsid w:val="28BA8D59"/>
    <w:rsid w:val="28C1064F"/>
    <w:rsid w:val="28CC048B"/>
    <w:rsid w:val="28D0221F"/>
    <w:rsid w:val="28D5A6EF"/>
    <w:rsid w:val="28D7B30B"/>
    <w:rsid w:val="28E1A6EF"/>
    <w:rsid w:val="28E25824"/>
    <w:rsid w:val="28E26DCD"/>
    <w:rsid w:val="28E8FBF1"/>
    <w:rsid w:val="28EC0A17"/>
    <w:rsid w:val="28F37ED2"/>
    <w:rsid w:val="28FB93DF"/>
    <w:rsid w:val="28FEF590"/>
    <w:rsid w:val="28FF749A"/>
    <w:rsid w:val="28FF815A"/>
    <w:rsid w:val="29054C96"/>
    <w:rsid w:val="290D25B1"/>
    <w:rsid w:val="29124364"/>
    <w:rsid w:val="291345AC"/>
    <w:rsid w:val="2914055D"/>
    <w:rsid w:val="29176259"/>
    <w:rsid w:val="292799C8"/>
    <w:rsid w:val="292A5770"/>
    <w:rsid w:val="292AB9E3"/>
    <w:rsid w:val="292DAE75"/>
    <w:rsid w:val="29314B8C"/>
    <w:rsid w:val="29318F25"/>
    <w:rsid w:val="2933602E"/>
    <w:rsid w:val="2934C5FA"/>
    <w:rsid w:val="2936DEA5"/>
    <w:rsid w:val="293A9A17"/>
    <w:rsid w:val="29464C1E"/>
    <w:rsid w:val="294AC975"/>
    <w:rsid w:val="294B2E29"/>
    <w:rsid w:val="294D1B81"/>
    <w:rsid w:val="2951C229"/>
    <w:rsid w:val="29577A70"/>
    <w:rsid w:val="29591760"/>
    <w:rsid w:val="295B94CA"/>
    <w:rsid w:val="295BDAD8"/>
    <w:rsid w:val="295D1794"/>
    <w:rsid w:val="2960F7C1"/>
    <w:rsid w:val="296189D8"/>
    <w:rsid w:val="296587E7"/>
    <w:rsid w:val="296E22C2"/>
    <w:rsid w:val="296F478B"/>
    <w:rsid w:val="297066D5"/>
    <w:rsid w:val="29706D55"/>
    <w:rsid w:val="2971C889"/>
    <w:rsid w:val="2973F3B3"/>
    <w:rsid w:val="29740668"/>
    <w:rsid w:val="2988962B"/>
    <w:rsid w:val="2991D498"/>
    <w:rsid w:val="2992D57F"/>
    <w:rsid w:val="299505B2"/>
    <w:rsid w:val="299772E1"/>
    <w:rsid w:val="29A68395"/>
    <w:rsid w:val="29A8FB7F"/>
    <w:rsid w:val="29A9E79C"/>
    <w:rsid w:val="29AD1C40"/>
    <w:rsid w:val="29BA97EC"/>
    <w:rsid w:val="29BFDEB8"/>
    <w:rsid w:val="29C83C56"/>
    <w:rsid w:val="29CE0E2E"/>
    <w:rsid w:val="29CE41B9"/>
    <w:rsid w:val="29DA9E1C"/>
    <w:rsid w:val="29EB5F85"/>
    <w:rsid w:val="29ED4250"/>
    <w:rsid w:val="29ED87BB"/>
    <w:rsid w:val="29F1FC5F"/>
    <w:rsid w:val="29F3E1E2"/>
    <w:rsid w:val="29FDEB80"/>
    <w:rsid w:val="29FFFC6B"/>
    <w:rsid w:val="2A018CD2"/>
    <w:rsid w:val="2A09D99D"/>
    <w:rsid w:val="2A0A65BB"/>
    <w:rsid w:val="2A0D3C13"/>
    <w:rsid w:val="2A16393C"/>
    <w:rsid w:val="2A184056"/>
    <w:rsid w:val="2A1BFB0F"/>
    <w:rsid w:val="2A205157"/>
    <w:rsid w:val="2A245DA8"/>
    <w:rsid w:val="2A2C26A2"/>
    <w:rsid w:val="2A32E005"/>
    <w:rsid w:val="2A331191"/>
    <w:rsid w:val="2A3712E7"/>
    <w:rsid w:val="2A371BF5"/>
    <w:rsid w:val="2A42EF9C"/>
    <w:rsid w:val="2A46B6AF"/>
    <w:rsid w:val="2A4A0104"/>
    <w:rsid w:val="2A4AB2BC"/>
    <w:rsid w:val="2A4B8E50"/>
    <w:rsid w:val="2A4DA7FC"/>
    <w:rsid w:val="2A4DED49"/>
    <w:rsid w:val="2A5D0176"/>
    <w:rsid w:val="2A642EC3"/>
    <w:rsid w:val="2A6F17CF"/>
    <w:rsid w:val="2A70C137"/>
    <w:rsid w:val="2A7175F0"/>
    <w:rsid w:val="2A7ECFD1"/>
    <w:rsid w:val="2A85242C"/>
    <w:rsid w:val="2A86CF1A"/>
    <w:rsid w:val="2A86DCFD"/>
    <w:rsid w:val="2A8A551A"/>
    <w:rsid w:val="2A8D2AEE"/>
    <w:rsid w:val="2A8E9FF1"/>
    <w:rsid w:val="2A9686E4"/>
    <w:rsid w:val="2A98534B"/>
    <w:rsid w:val="2A9F8C1D"/>
    <w:rsid w:val="2AA52E90"/>
    <w:rsid w:val="2AA63473"/>
    <w:rsid w:val="2AAAC485"/>
    <w:rsid w:val="2AB0D387"/>
    <w:rsid w:val="2AB35CE1"/>
    <w:rsid w:val="2ABCF28C"/>
    <w:rsid w:val="2ABDA26C"/>
    <w:rsid w:val="2AC699D4"/>
    <w:rsid w:val="2ACB4FD8"/>
    <w:rsid w:val="2ACF0976"/>
    <w:rsid w:val="2AD1F2B8"/>
    <w:rsid w:val="2AD2AFB1"/>
    <w:rsid w:val="2AD493AD"/>
    <w:rsid w:val="2AD539D5"/>
    <w:rsid w:val="2AE5C798"/>
    <w:rsid w:val="2AE612C3"/>
    <w:rsid w:val="2AE6CE37"/>
    <w:rsid w:val="2AE86E52"/>
    <w:rsid w:val="2AF3B585"/>
    <w:rsid w:val="2AF82B2B"/>
    <w:rsid w:val="2AF85B92"/>
    <w:rsid w:val="2AF8EF72"/>
    <w:rsid w:val="2AFDA359"/>
    <w:rsid w:val="2AFDADAF"/>
    <w:rsid w:val="2AFDF293"/>
    <w:rsid w:val="2AFE1C82"/>
    <w:rsid w:val="2B030000"/>
    <w:rsid w:val="2B069506"/>
    <w:rsid w:val="2B0A2389"/>
    <w:rsid w:val="2B0B00C5"/>
    <w:rsid w:val="2B0B5172"/>
    <w:rsid w:val="2B0C6F64"/>
    <w:rsid w:val="2B0C9C0C"/>
    <w:rsid w:val="2B107E7A"/>
    <w:rsid w:val="2B1466E6"/>
    <w:rsid w:val="2B1D565D"/>
    <w:rsid w:val="2B1E53FB"/>
    <w:rsid w:val="2B26589D"/>
    <w:rsid w:val="2B26DC2E"/>
    <w:rsid w:val="2B28BCBF"/>
    <w:rsid w:val="2B2CBA43"/>
    <w:rsid w:val="2B2DC04B"/>
    <w:rsid w:val="2B30C5F4"/>
    <w:rsid w:val="2B360785"/>
    <w:rsid w:val="2B37E5C0"/>
    <w:rsid w:val="2B3C9AB4"/>
    <w:rsid w:val="2B3FAB4F"/>
    <w:rsid w:val="2B41D07C"/>
    <w:rsid w:val="2B4733F8"/>
    <w:rsid w:val="2B484B13"/>
    <w:rsid w:val="2B493CA7"/>
    <w:rsid w:val="2B4A0EB0"/>
    <w:rsid w:val="2B4C5004"/>
    <w:rsid w:val="2B4E8B76"/>
    <w:rsid w:val="2B53944A"/>
    <w:rsid w:val="2B567D48"/>
    <w:rsid w:val="2B5B2C89"/>
    <w:rsid w:val="2B65C3EE"/>
    <w:rsid w:val="2B67E588"/>
    <w:rsid w:val="2B72EF8C"/>
    <w:rsid w:val="2B732DC1"/>
    <w:rsid w:val="2B73A0AE"/>
    <w:rsid w:val="2B762DCD"/>
    <w:rsid w:val="2B77B588"/>
    <w:rsid w:val="2B8BEAC2"/>
    <w:rsid w:val="2B8F4592"/>
    <w:rsid w:val="2B8FCB5C"/>
    <w:rsid w:val="2B949A59"/>
    <w:rsid w:val="2B97D890"/>
    <w:rsid w:val="2B981894"/>
    <w:rsid w:val="2B9FFA52"/>
    <w:rsid w:val="2BA0421B"/>
    <w:rsid w:val="2BA5C015"/>
    <w:rsid w:val="2BA69C1A"/>
    <w:rsid w:val="2BACCA39"/>
    <w:rsid w:val="2BB0E5BE"/>
    <w:rsid w:val="2BB15441"/>
    <w:rsid w:val="2BB3990B"/>
    <w:rsid w:val="2BB7ECCD"/>
    <w:rsid w:val="2BBE43E5"/>
    <w:rsid w:val="2BC45AB7"/>
    <w:rsid w:val="2BC473E1"/>
    <w:rsid w:val="2BC4BFA8"/>
    <w:rsid w:val="2BC87E81"/>
    <w:rsid w:val="2BCD3DBA"/>
    <w:rsid w:val="2BD1B0F9"/>
    <w:rsid w:val="2BD2D809"/>
    <w:rsid w:val="2BDBA6D4"/>
    <w:rsid w:val="2BDFC703"/>
    <w:rsid w:val="2BE630CD"/>
    <w:rsid w:val="2BE8F5D0"/>
    <w:rsid w:val="2BEDDB25"/>
    <w:rsid w:val="2BEFFFB1"/>
    <w:rsid w:val="2BF480F0"/>
    <w:rsid w:val="2BF662DA"/>
    <w:rsid w:val="2BF70FCE"/>
    <w:rsid w:val="2BF91B07"/>
    <w:rsid w:val="2BF987DA"/>
    <w:rsid w:val="2BFBC948"/>
    <w:rsid w:val="2BFD1F40"/>
    <w:rsid w:val="2C07D283"/>
    <w:rsid w:val="2C0AF46F"/>
    <w:rsid w:val="2C0DF0AB"/>
    <w:rsid w:val="2C1196EF"/>
    <w:rsid w:val="2C11B82A"/>
    <w:rsid w:val="2C171BC2"/>
    <w:rsid w:val="2C18ADC8"/>
    <w:rsid w:val="2C1B422B"/>
    <w:rsid w:val="2C2069E1"/>
    <w:rsid w:val="2C217C9B"/>
    <w:rsid w:val="2C2377D6"/>
    <w:rsid w:val="2C27A2F9"/>
    <w:rsid w:val="2C28D0C3"/>
    <w:rsid w:val="2C3012F6"/>
    <w:rsid w:val="2C30B586"/>
    <w:rsid w:val="2C3CFAE0"/>
    <w:rsid w:val="2C3E726E"/>
    <w:rsid w:val="2C3FD0ED"/>
    <w:rsid w:val="2C40346F"/>
    <w:rsid w:val="2C44B185"/>
    <w:rsid w:val="2C4FA670"/>
    <w:rsid w:val="2C4FBF0F"/>
    <w:rsid w:val="2C53772A"/>
    <w:rsid w:val="2C548597"/>
    <w:rsid w:val="2C570DEF"/>
    <w:rsid w:val="2C5A1A13"/>
    <w:rsid w:val="2C5BA4FD"/>
    <w:rsid w:val="2C5DDEA7"/>
    <w:rsid w:val="2C5FFAED"/>
    <w:rsid w:val="2C637B17"/>
    <w:rsid w:val="2C64F6C2"/>
    <w:rsid w:val="2C7386BC"/>
    <w:rsid w:val="2C764858"/>
    <w:rsid w:val="2C7C5EB1"/>
    <w:rsid w:val="2C802C7E"/>
    <w:rsid w:val="2C80F01C"/>
    <w:rsid w:val="2C843858"/>
    <w:rsid w:val="2C843AFB"/>
    <w:rsid w:val="2C90B0B4"/>
    <w:rsid w:val="2C971E58"/>
    <w:rsid w:val="2C9D2A48"/>
    <w:rsid w:val="2CA1E3A7"/>
    <w:rsid w:val="2CA3FAC9"/>
    <w:rsid w:val="2CA844D3"/>
    <w:rsid w:val="2CB0ACC2"/>
    <w:rsid w:val="2CB9C1A1"/>
    <w:rsid w:val="2CC487F5"/>
    <w:rsid w:val="2CC59E03"/>
    <w:rsid w:val="2CC643DE"/>
    <w:rsid w:val="2CC69567"/>
    <w:rsid w:val="2CC8EDD3"/>
    <w:rsid w:val="2CCB3523"/>
    <w:rsid w:val="2CD0FF89"/>
    <w:rsid w:val="2CD1A5E9"/>
    <w:rsid w:val="2CDB10F5"/>
    <w:rsid w:val="2CDBCD42"/>
    <w:rsid w:val="2CDC1E1A"/>
    <w:rsid w:val="2CDC5222"/>
    <w:rsid w:val="2CDEA9C8"/>
    <w:rsid w:val="2CE29440"/>
    <w:rsid w:val="2CEC0852"/>
    <w:rsid w:val="2CED9CFF"/>
    <w:rsid w:val="2CEEDA62"/>
    <w:rsid w:val="2CEF66DA"/>
    <w:rsid w:val="2CEF9EF8"/>
    <w:rsid w:val="2CF0BB50"/>
    <w:rsid w:val="2CF68400"/>
    <w:rsid w:val="2CFF1610"/>
    <w:rsid w:val="2D01695E"/>
    <w:rsid w:val="2D06C1BD"/>
    <w:rsid w:val="2D100095"/>
    <w:rsid w:val="2D1066B5"/>
    <w:rsid w:val="2D1C56D1"/>
    <w:rsid w:val="2D1CF13B"/>
    <w:rsid w:val="2D2548E7"/>
    <w:rsid w:val="2D27C857"/>
    <w:rsid w:val="2D2835A9"/>
    <w:rsid w:val="2D2E6036"/>
    <w:rsid w:val="2D30C95D"/>
    <w:rsid w:val="2D3A6901"/>
    <w:rsid w:val="2D3B4058"/>
    <w:rsid w:val="2D442D79"/>
    <w:rsid w:val="2D50A715"/>
    <w:rsid w:val="2D536ED9"/>
    <w:rsid w:val="2D53B2BC"/>
    <w:rsid w:val="2D5909AD"/>
    <w:rsid w:val="2D619605"/>
    <w:rsid w:val="2D67B2B4"/>
    <w:rsid w:val="2D682AAD"/>
    <w:rsid w:val="2D6971CA"/>
    <w:rsid w:val="2D6DE757"/>
    <w:rsid w:val="2D6F270A"/>
    <w:rsid w:val="2D70E073"/>
    <w:rsid w:val="2D742FA5"/>
    <w:rsid w:val="2D759707"/>
    <w:rsid w:val="2D774A6C"/>
    <w:rsid w:val="2D7973EB"/>
    <w:rsid w:val="2D79936B"/>
    <w:rsid w:val="2D7A4EC3"/>
    <w:rsid w:val="2D7BB4D1"/>
    <w:rsid w:val="2D7E2983"/>
    <w:rsid w:val="2D842CC4"/>
    <w:rsid w:val="2D85BC47"/>
    <w:rsid w:val="2D8DA368"/>
    <w:rsid w:val="2D8DB6BA"/>
    <w:rsid w:val="2D91EABE"/>
    <w:rsid w:val="2D92158A"/>
    <w:rsid w:val="2D96BA03"/>
    <w:rsid w:val="2D96BCB3"/>
    <w:rsid w:val="2D976516"/>
    <w:rsid w:val="2D994C70"/>
    <w:rsid w:val="2D9BE345"/>
    <w:rsid w:val="2DA549E4"/>
    <w:rsid w:val="2DAA69EF"/>
    <w:rsid w:val="2DAC8AFE"/>
    <w:rsid w:val="2DB523F6"/>
    <w:rsid w:val="2DB80772"/>
    <w:rsid w:val="2DBFBE59"/>
    <w:rsid w:val="2DC81C99"/>
    <w:rsid w:val="2DC8D03B"/>
    <w:rsid w:val="2DC906FA"/>
    <w:rsid w:val="2DCA4D12"/>
    <w:rsid w:val="2DCCF18C"/>
    <w:rsid w:val="2DD06546"/>
    <w:rsid w:val="2DD0ACCB"/>
    <w:rsid w:val="2DD22F89"/>
    <w:rsid w:val="2DD687AB"/>
    <w:rsid w:val="2DD70BAF"/>
    <w:rsid w:val="2DD73916"/>
    <w:rsid w:val="2DD979FF"/>
    <w:rsid w:val="2DE47F3A"/>
    <w:rsid w:val="2DE6CE8A"/>
    <w:rsid w:val="2DEE3B91"/>
    <w:rsid w:val="2DEE51C1"/>
    <w:rsid w:val="2DF64DF3"/>
    <w:rsid w:val="2DFD1FD8"/>
    <w:rsid w:val="2E02AC24"/>
    <w:rsid w:val="2E038E30"/>
    <w:rsid w:val="2E050225"/>
    <w:rsid w:val="2E083B69"/>
    <w:rsid w:val="2E08829D"/>
    <w:rsid w:val="2E09A06D"/>
    <w:rsid w:val="2E0F9762"/>
    <w:rsid w:val="2E1011BB"/>
    <w:rsid w:val="2E1077AD"/>
    <w:rsid w:val="2E1089CB"/>
    <w:rsid w:val="2E1424B2"/>
    <w:rsid w:val="2E24C7B1"/>
    <w:rsid w:val="2E2BC930"/>
    <w:rsid w:val="2E351C0A"/>
    <w:rsid w:val="2E47E85C"/>
    <w:rsid w:val="2E4B1038"/>
    <w:rsid w:val="2E4D5C8C"/>
    <w:rsid w:val="2E542ACE"/>
    <w:rsid w:val="2E54A9A5"/>
    <w:rsid w:val="2E569804"/>
    <w:rsid w:val="2E59C4C6"/>
    <w:rsid w:val="2E5C6E82"/>
    <w:rsid w:val="2E6543FA"/>
    <w:rsid w:val="2E7CC599"/>
    <w:rsid w:val="2E7E5EB6"/>
    <w:rsid w:val="2E8FFB84"/>
    <w:rsid w:val="2E9267CB"/>
    <w:rsid w:val="2E956E2E"/>
    <w:rsid w:val="2E964BAB"/>
    <w:rsid w:val="2E9C6F77"/>
    <w:rsid w:val="2EA37397"/>
    <w:rsid w:val="2EA715BD"/>
    <w:rsid w:val="2EAAFEEF"/>
    <w:rsid w:val="2EAEC862"/>
    <w:rsid w:val="2EAF2C8D"/>
    <w:rsid w:val="2EB64901"/>
    <w:rsid w:val="2EB9FD00"/>
    <w:rsid w:val="2EC0BEBD"/>
    <w:rsid w:val="2EC2C4B3"/>
    <w:rsid w:val="2EC52559"/>
    <w:rsid w:val="2EC803B4"/>
    <w:rsid w:val="2ECB403F"/>
    <w:rsid w:val="2ED34A6D"/>
    <w:rsid w:val="2ED62656"/>
    <w:rsid w:val="2EE1EF64"/>
    <w:rsid w:val="2EE231AB"/>
    <w:rsid w:val="2EF0C2FC"/>
    <w:rsid w:val="2EF51786"/>
    <w:rsid w:val="2EF5C8CD"/>
    <w:rsid w:val="2EFCE4A0"/>
    <w:rsid w:val="2EFD6FDC"/>
    <w:rsid w:val="2F074B34"/>
    <w:rsid w:val="2F0DDE19"/>
    <w:rsid w:val="2F0E7E3A"/>
    <w:rsid w:val="2F1395DD"/>
    <w:rsid w:val="2F1F40F9"/>
    <w:rsid w:val="2F24F151"/>
    <w:rsid w:val="2F25E8AB"/>
    <w:rsid w:val="2F28B85E"/>
    <w:rsid w:val="2F28BBE2"/>
    <w:rsid w:val="2F2D4625"/>
    <w:rsid w:val="2F302FCC"/>
    <w:rsid w:val="2F3F57A4"/>
    <w:rsid w:val="2F3F804F"/>
    <w:rsid w:val="2F406D1C"/>
    <w:rsid w:val="2F48F40B"/>
    <w:rsid w:val="2F4EA1FC"/>
    <w:rsid w:val="2F53B389"/>
    <w:rsid w:val="2F5B2DDD"/>
    <w:rsid w:val="2F63DB27"/>
    <w:rsid w:val="2F644BD8"/>
    <w:rsid w:val="2F692A0A"/>
    <w:rsid w:val="2F6A2404"/>
    <w:rsid w:val="2F7321AB"/>
    <w:rsid w:val="2F7AF45B"/>
    <w:rsid w:val="2F7C7A88"/>
    <w:rsid w:val="2F7F3C99"/>
    <w:rsid w:val="2F847433"/>
    <w:rsid w:val="2F8A6CD2"/>
    <w:rsid w:val="2F8C3ACC"/>
    <w:rsid w:val="2F8E8EDE"/>
    <w:rsid w:val="2F9AC250"/>
    <w:rsid w:val="2FA9DC16"/>
    <w:rsid w:val="2FAFB8F0"/>
    <w:rsid w:val="2FB12409"/>
    <w:rsid w:val="2FB220B8"/>
    <w:rsid w:val="2FB5F5C1"/>
    <w:rsid w:val="2FB767D1"/>
    <w:rsid w:val="2FB7F04D"/>
    <w:rsid w:val="2FBAD1F0"/>
    <w:rsid w:val="2FBAEC5C"/>
    <w:rsid w:val="2FBB21B4"/>
    <w:rsid w:val="2FBF32FC"/>
    <w:rsid w:val="2FC0D47E"/>
    <w:rsid w:val="2FC10430"/>
    <w:rsid w:val="2FCB6968"/>
    <w:rsid w:val="2FD6A808"/>
    <w:rsid w:val="2FD6D526"/>
    <w:rsid w:val="2FD93E73"/>
    <w:rsid w:val="2FE0EA5C"/>
    <w:rsid w:val="2FE1456E"/>
    <w:rsid w:val="2FE693A9"/>
    <w:rsid w:val="2FE7D6BE"/>
    <w:rsid w:val="2FE8F907"/>
    <w:rsid w:val="2FF1FE4C"/>
    <w:rsid w:val="2FF445DB"/>
    <w:rsid w:val="2FF87C41"/>
    <w:rsid w:val="2FFB75AD"/>
    <w:rsid w:val="2FFDBC15"/>
    <w:rsid w:val="2FFF9604"/>
    <w:rsid w:val="3003479E"/>
    <w:rsid w:val="300E44FF"/>
    <w:rsid w:val="300F3102"/>
    <w:rsid w:val="30128552"/>
    <w:rsid w:val="3012EE89"/>
    <w:rsid w:val="30219BCB"/>
    <w:rsid w:val="3022E064"/>
    <w:rsid w:val="30295B37"/>
    <w:rsid w:val="302F0FD2"/>
    <w:rsid w:val="303945BD"/>
    <w:rsid w:val="303A8C29"/>
    <w:rsid w:val="303EB1B0"/>
    <w:rsid w:val="3047828E"/>
    <w:rsid w:val="30553542"/>
    <w:rsid w:val="3056BC21"/>
    <w:rsid w:val="305B2513"/>
    <w:rsid w:val="3066BEAC"/>
    <w:rsid w:val="3067187C"/>
    <w:rsid w:val="307413CD"/>
    <w:rsid w:val="307A45C9"/>
    <w:rsid w:val="307CCD24"/>
    <w:rsid w:val="307FA615"/>
    <w:rsid w:val="30817441"/>
    <w:rsid w:val="308CF2EC"/>
    <w:rsid w:val="30914F53"/>
    <w:rsid w:val="3098FD8D"/>
    <w:rsid w:val="309AC557"/>
    <w:rsid w:val="309F6033"/>
    <w:rsid w:val="30A39269"/>
    <w:rsid w:val="30A791E1"/>
    <w:rsid w:val="30AA37F9"/>
    <w:rsid w:val="30AB060E"/>
    <w:rsid w:val="30AE3BF4"/>
    <w:rsid w:val="30AEBB01"/>
    <w:rsid w:val="30B77021"/>
    <w:rsid w:val="30B80179"/>
    <w:rsid w:val="30BDB748"/>
    <w:rsid w:val="30BE4E1B"/>
    <w:rsid w:val="30C24568"/>
    <w:rsid w:val="30C2E5D2"/>
    <w:rsid w:val="30C4FD7C"/>
    <w:rsid w:val="30CBDA79"/>
    <w:rsid w:val="30CEEE8A"/>
    <w:rsid w:val="30D01E39"/>
    <w:rsid w:val="30D03C8D"/>
    <w:rsid w:val="30D87D79"/>
    <w:rsid w:val="30DA2178"/>
    <w:rsid w:val="30DAFC5F"/>
    <w:rsid w:val="30E04B32"/>
    <w:rsid w:val="30E6CB61"/>
    <w:rsid w:val="30E7A89D"/>
    <w:rsid w:val="30EFFF16"/>
    <w:rsid w:val="30F30848"/>
    <w:rsid w:val="30F7E84A"/>
    <w:rsid w:val="30FF600C"/>
    <w:rsid w:val="31008A94"/>
    <w:rsid w:val="31016E24"/>
    <w:rsid w:val="310390D6"/>
    <w:rsid w:val="31073743"/>
    <w:rsid w:val="31081A29"/>
    <w:rsid w:val="31091B77"/>
    <w:rsid w:val="310B3BA5"/>
    <w:rsid w:val="310DF2C1"/>
    <w:rsid w:val="311B850B"/>
    <w:rsid w:val="311DE2A3"/>
    <w:rsid w:val="3122372A"/>
    <w:rsid w:val="31242FB4"/>
    <w:rsid w:val="3126EA6C"/>
    <w:rsid w:val="31298E26"/>
    <w:rsid w:val="3133E6D1"/>
    <w:rsid w:val="31360A6F"/>
    <w:rsid w:val="31394F0A"/>
    <w:rsid w:val="3141838F"/>
    <w:rsid w:val="31425154"/>
    <w:rsid w:val="314CC93C"/>
    <w:rsid w:val="314E378F"/>
    <w:rsid w:val="31534C8A"/>
    <w:rsid w:val="31541097"/>
    <w:rsid w:val="3156CF8E"/>
    <w:rsid w:val="315A61AD"/>
    <w:rsid w:val="315AEEB2"/>
    <w:rsid w:val="315D5302"/>
    <w:rsid w:val="31600F64"/>
    <w:rsid w:val="31603B22"/>
    <w:rsid w:val="316EAE9C"/>
    <w:rsid w:val="31723C25"/>
    <w:rsid w:val="317BB86B"/>
    <w:rsid w:val="318612DA"/>
    <w:rsid w:val="318FD899"/>
    <w:rsid w:val="31900AE6"/>
    <w:rsid w:val="31913DB9"/>
    <w:rsid w:val="3192BFC5"/>
    <w:rsid w:val="31932A1E"/>
    <w:rsid w:val="319B3AEA"/>
    <w:rsid w:val="31A87A58"/>
    <w:rsid w:val="31AF3CB6"/>
    <w:rsid w:val="31B076F5"/>
    <w:rsid w:val="31B1BB12"/>
    <w:rsid w:val="31B1BE8C"/>
    <w:rsid w:val="31B5EBF1"/>
    <w:rsid w:val="31BD33B9"/>
    <w:rsid w:val="31C06FD9"/>
    <w:rsid w:val="31C13493"/>
    <w:rsid w:val="31C1CFC1"/>
    <w:rsid w:val="31C2902D"/>
    <w:rsid w:val="31C46802"/>
    <w:rsid w:val="31C49B2F"/>
    <w:rsid w:val="31C4B6B8"/>
    <w:rsid w:val="31D20D99"/>
    <w:rsid w:val="31D2198B"/>
    <w:rsid w:val="31D31C41"/>
    <w:rsid w:val="31D897AA"/>
    <w:rsid w:val="31E338A3"/>
    <w:rsid w:val="31E6E5E8"/>
    <w:rsid w:val="31E71D4E"/>
    <w:rsid w:val="31E93757"/>
    <w:rsid w:val="31F18F26"/>
    <w:rsid w:val="31F63262"/>
    <w:rsid w:val="31FC3698"/>
    <w:rsid w:val="31FE1911"/>
    <w:rsid w:val="32029BAA"/>
    <w:rsid w:val="3203F92C"/>
    <w:rsid w:val="32045A7D"/>
    <w:rsid w:val="320974B7"/>
    <w:rsid w:val="320BF949"/>
    <w:rsid w:val="320C66E7"/>
    <w:rsid w:val="320FDFDB"/>
    <w:rsid w:val="32190855"/>
    <w:rsid w:val="321CA33C"/>
    <w:rsid w:val="321CD595"/>
    <w:rsid w:val="32203E14"/>
    <w:rsid w:val="322BFD9A"/>
    <w:rsid w:val="3232C33F"/>
    <w:rsid w:val="3233E371"/>
    <w:rsid w:val="3235175F"/>
    <w:rsid w:val="32388746"/>
    <w:rsid w:val="3239231D"/>
    <w:rsid w:val="323E98CE"/>
    <w:rsid w:val="323EA884"/>
    <w:rsid w:val="32433547"/>
    <w:rsid w:val="3244A606"/>
    <w:rsid w:val="32460574"/>
    <w:rsid w:val="32469EA1"/>
    <w:rsid w:val="324B0D79"/>
    <w:rsid w:val="324C8297"/>
    <w:rsid w:val="3251AE52"/>
    <w:rsid w:val="3253031F"/>
    <w:rsid w:val="3253E315"/>
    <w:rsid w:val="32543617"/>
    <w:rsid w:val="32595DDD"/>
    <w:rsid w:val="325A227C"/>
    <w:rsid w:val="32644747"/>
    <w:rsid w:val="3265B337"/>
    <w:rsid w:val="326BAFA4"/>
    <w:rsid w:val="326E552E"/>
    <w:rsid w:val="326F8131"/>
    <w:rsid w:val="32704552"/>
    <w:rsid w:val="32723258"/>
    <w:rsid w:val="3273D201"/>
    <w:rsid w:val="32791B13"/>
    <w:rsid w:val="3279872E"/>
    <w:rsid w:val="3285DEF1"/>
    <w:rsid w:val="32872B2B"/>
    <w:rsid w:val="328C75A6"/>
    <w:rsid w:val="329144BD"/>
    <w:rsid w:val="329A493D"/>
    <w:rsid w:val="329B01B5"/>
    <w:rsid w:val="32A54FB8"/>
    <w:rsid w:val="32A697A8"/>
    <w:rsid w:val="32A8846F"/>
    <w:rsid w:val="32AD045F"/>
    <w:rsid w:val="32ADF596"/>
    <w:rsid w:val="32AF1039"/>
    <w:rsid w:val="32B14077"/>
    <w:rsid w:val="32BA67DC"/>
    <w:rsid w:val="32C1C5CD"/>
    <w:rsid w:val="32D4A5BD"/>
    <w:rsid w:val="32D83044"/>
    <w:rsid w:val="32DC91D4"/>
    <w:rsid w:val="32E29D62"/>
    <w:rsid w:val="32E3B157"/>
    <w:rsid w:val="32EC1540"/>
    <w:rsid w:val="32F70C4F"/>
    <w:rsid w:val="32F9F757"/>
    <w:rsid w:val="32FBE29C"/>
    <w:rsid w:val="32FD0A07"/>
    <w:rsid w:val="32FF269B"/>
    <w:rsid w:val="330438F2"/>
    <w:rsid w:val="3304BB63"/>
    <w:rsid w:val="3306DBE6"/>
    <w:rsid w:val="330867A8"/>
    <w:rsid w:val="330B091B"/>
    <w:rsid w:val="330C251B"/>
    <w:rsid w:val="330CBA36"/>
    <w:rsid w:val="3310454C"/>
    <w:rsid w:val="33114794"/>
    <w:rsid w:val="33124D53"/>
    <w:rsid w:val="331A6C5A"/>
    <w:rsid w:val="331BDD6C"/>
    <w:rsid w:val="3320A32D"/>
    <w:rsid w:val="33236B42"/>
    <w:rsid w:val="33247E3E"/>
    <w:rsid w:val="33283E62"/>
    <w:rsid w:val="3329D966"/>
    <w:rsid w:val="332B9386"/>
    <w:rsid w:val="3347FA57"/>
    <w:rsid w:val="3348533D"/>
    <w:rsid w:val="334C1FFE"/>
    <w:rsid w:val="33501010"/>
    <w:rsid w:val="3351D4F1"/>
    <w:rsid w:val="33553606"/>
    <w:rsid w:val="33569B29"/>
    <w:rsid w:val="3357F19A"/>
    <w:rsid w:val="3358EC59"/>
    <w:rsid w:val="335BC79A"/>
    <w:rsid w:val="3360A4E8"/>
    <w:rsid w:val="33651190"/>
    <w:rsid w:val="3365CF81"/>
    <w:rsid w:val="33698AC5"/>
    <w:rsid w:val="336ECF50"/>
    <w:rsid w:val="337163E1"/>
    <w:rsid w:val="3378245F"/>
    <w:rsid w:val="337BDEC6"/>
    <w:rsid w:val="33814A19"/>
    <w:rsid w:val="33817CC9"/>
    <w:rsid w:val="33819670"/>
    <w:rsid w:val="33828D98"/>
    <w:rsid w:val="33913789"/>
    <w:rsid w:val="339524CE"/>
    <w:rsid w:val="3395B4DF"/>
    <w:rsid w:val="3397C4FA"/>
    <w:rsid w:val="339BD0CB"/>
    <w:rsid w:val="339EAC86"/>
    <w:rsid w:val="339EC0A0"/>
    <w:rsid w:val="339FB76A"/>
    <w:rsid w:val="33B69876"/>
    <w:rsid w:val="33BB0CF6"/>
    <w:rsid w:val="33C05261"/>
    <w:rsid w:val="33C27F7F"/>
    <w:rsid w:val="33C30870"/>
    <w:rsid w:val="33C7559F"/>
    <w:rsid w:val="33CAE4EA"/>
    <w:rsid w:val="33CEC698"/>
    <w:rsid w:val="33D0599A"/>
    <w:rsid w:val="33D2B8BC"/>
    <w:rsid w:val="33DDEEC0"/>
    <w:rsid w:val="33E2A314"/>
    <w:rsid w:val="33E3D9AF"/>
    <w:rsid w:val="33E4B18A"/>
    <w:rsid w:val="33E658FE"/>
    <w:rsid w:val="33E73C61"/>
    <w:rsid w:val="33ECC569"/>
    <w:rsid w:val="33F2F551"/>
    <w:rsid w:val="33F5CC2C"/>
    <w:rsid w:val="33F70DA6"/>
    <w:rsid w:val="33F94FDE"/>
    <w:rsid w:val="340B4B0F"/>
    <w:rsid w:val="340B8728"/>
    <w:rsid w:val="340E4833"/>
    <w:rsid w:val="34104721"/>
    <w:rsid w:val="341342B8"/>
    <w:rsid w:val="34153D66"/>
    <w:rsid w:val="34161CBB"/>
    <w:rsid w:val="341B8BB1"/>
    <w:rsid w:val="3423E3D4"/>
    <w:rsid w:val="3429995F"/>
    <w:rsid w:val="342DCA09"/>
    <w:rsid w:val="34335016"/>
    <w:rsid w:val="34357B1B"/>
    <w:rsid w:val="3435FBCD"/>
    <w:rsid w:val="343D837F"/>
    <w:rsid w:val="34433600"/>
    <w:rsid w:val="344587CE"/>
    <w:rsid w:val="3447B5AB"/>
    <w:rsid w:val="3449B6E1"/>
    <w:rsid w:val="344A4FF4"/>
    <w:rsid w:val="3451C691"/>
    <w:rsid w:val="3455935E"/>
    <w:rsid w:val="3459FB27"/>
    <w:rsid w:val="345A1804"/>
    <w:rsid w:val="34611B9C"/>
    <w:rsid w:val="3461F02F"/>
    <w:rsid w:val="34621766"/>
    <w:rsid w:val="34634053"/>
    <w:rsid w:val="34657ECA"/>
    <w:rsid w:val="3469FCA7"/>
    <w:rsid w:val="346C13B1"/>
    <w:rsid w:val="346DFAEC"/>
    <w:rsid w:val="346EA091"/>
    <w:rsid w:val="34708B09"/>
    <w:rsid w:val="3471318C"/>
    <w:rsid w:val="347A0732"/>
    <w:rsid w:val="3481B5FC"/>
    <w:rsid w:val="348656AE"/>
    <w:rsid w:val="348A3803"/>
    <w:rsid w:val="348DA02B"/>
    <w:rsid w:val="348F16A8"/>
    <w:rsid w:val="3493FF35"/>
    <w:rsid w:val="349488B5"/>
    <w:rsid w:val="3495C3D3"/>
    <w:rsid w:val="349884B2"/>
    <w:rsid w:val="349B4F8F"/>
    <w:rsid w:val="349E0B5F"/>
    <w:rsid w:val="349EF8D1"/>
    <w:rsid w:val="34A0D898"/>
    <w:rsid w:val="34A0E98C"/>
    <w:rsid w:val="34A59D7E"/>
    <w:rsid w:val="34B5871D"/>
    <w:rsid w:val="34B885B8"/>
    <w:rsid w:val="34BCF5DE"/>
    <w:rsid w:val="34C0063F"/>
    <w:rsid w:val="34D1D646"/>
    <w:rsid w:val="34D45A82"/>
    <w:rsid w:val="34D7F4D3"/>
    <w:rsid w:val="34EF9D2B"/>
    <w:rsid w:val="34F5CE17"/>
    <w:rsid w:val="34FD6936"/>
    <w:rsid w:val="34FF19C3"/>
    <w:rsid w:val="34FF3A30"/>
    <w:rsid w:val="35078137"/>
    <w:rsid w:val="35081399"/>
    <w:rsid w:val="3513B90A"/>
    <w:rsid w:val="3513F002"/>
    <w:rsid w:val="3514DB45"/>
    <w:rsid w:val="35170773"/>
    <w:rsid w:val="351886FF"/>
    <w:rsid w:val="351B995A"/>
    <w:rsid w:val="351CCDA6"/>
    <w:rsid w:val="35231BF6"/>
    <w:rsid w:val="35269E18"/>
    <w:rsid w:val="352BB890"/>
    <w:rsid w:val="352E04A9"/>
    <w:rsid w:val="35378BBA"/>
    <w:rsid w:val="353CED25"/>
    <w:rsid w:val="353E51EF"/>
    <w:rsid w:val="3546674A"/>
    <w:rsid w:val="354B810F"/>
    <w:rsid w:val="354C03BA"/>
    <w:rsid w:val="354DB50A"/>
    <w:rsid w:val="35570DD3"/>
    <w:rsid w:val="35581BA5"/>
    <w:rsid w:val="3558B2FD"/>
    <w:rsid w:val="35638E1F"/>
    <w:rsid w:val="356CD2D9"/>
    <w:rsid w:val="3575A46F"/>
    <w:rsid w:val="3577A595"/>
    <w:rsid w:val="357E9AA0"/>
    <w:rsid w:val="357ECD73"/>
    <w:rsid w:val="3583C4D1"/>
    <w:rsid w:val="3585538C"/>
    <w:rsid w:val="358583FB"/>
    <w:rsid w:val="3586EAB6"/>
    <w:rsid w:val="359B884C"/>
    <w:rsid w:val="359F4C44"/>
    <w:rsid w:val="359FD900"/>
    <w:rsid w:val="35A16313"/>
    <w:rsid w:val="35A5B076"/>
    <w:rsid w:val="35A6D97D"/>
    <w:rsid w:val="35A7FA07"/>
    <w:rsid w:val="35A805D5"/>
    <w:rsid w:val="35AC0CF1"/>
    <w:rsid w:val="35AC346B"/>
    <w:rsid w:val="35AC6D2E"/>
    <w:rsid w:val="35B0872E"/>
    <w:rsid w:val="35B2FE34"/>
    <w:rsid w:val="35B3A256"/>
    <w:rsid w:val="35B72823"/>
    <w:rsid w:val="35BFCC2B"/>
    <w:rsid w:val="35C1A5D3"/>
    <w:rsid w:val="35C46244"/>
    <w:rsid w:val="35C5B3AA"/>
    <w:rsid w:val="35C638B8"/>
    <w:rsid w:val="35CD2D4B"/>
    <w:rsid w:val="35D02627"/>
    <w:rsid w:val="35D1C1AE"/>
    <w:rsid w:val="35DA9CD1"/>
    <w:rsid w:val="35DDCEAB"/>
    <w:rsid w:val="35E00C24"/>
    <w:rsid w:val="35E53C67"/>
    <w:rsid w:val="35E7A603"/>
    <w:rsid w:val="35E80E90"/>
    <w:rsid w:val="35E844A6"/>
    <w:rsid w:val="35EB4465"/>
    <w:rsid w:val="35F10DF8"/>
    <w:rsid w:val="35F1AD29"/>
    <w:rsid w:val="3603A544"/>
    <w:rsid w:val="3603EBB7"/>
    <w:rsid w:val="360741DF"/>
    <w:rsid w:val="36110933"/>
    <w:rsid w:val="36110CD0"/>
    <w:rsid w:val="362345BB"/>
    <w:rsid w:val="3623DA83"/>
    <w:rsid w:val="362C47BB"/>
    <w:rsid w:val="362D6BD6"/>
    <w:rsid w:val="362D91E1"/>
    <w:rsid w:val="36334FC6"/>
    <w:rsid w:val="36354B18"/>
    <w:rsid w:val="3635AFEA"/>
    <w:rsid w:val="363EB308"/>
    <w:rsid w:val="3642C574"/>
    <w:rsid w:val="36431A91"/>
    <w:rsid w:val="364A89EF"/>
    <w:rsid w:val="364B9E3E"/>
    <w:rsid w:val="365073B3"/>
    <w:rsid w:val="365C1CA9"/>
    <w:rsid w:val="365CC9C8"/>
    <w:rsid w:val="365DFC6C"/>
    <w:rsid w:val="365F95E8"/>
    <w:rsid w:val="3663EE96"/>
    <w:rsid w:val="3665EB7F"/>
    <w:rsid w:val="366A7691"/>
    <w:rsid w:val="3677BF9A"/>
    <w:rsid w:val="367CB901"/>
    <w:rsid w:val="367E78D3"/>
    <w:rsid w:val="36825E17"/>
    <w:rsid w:val="3683132F"/>
    <w:rsid w:val="3683851B"/>
    <w:rsid w:val="3684CE50"/>
    <w:rsid w:val="36904FA2"/>
    <w:rsid w:val="3696FF1E"/>
    <w:rsid w:val="3697671F"/>
    <w:rsid w:val="369999AE"/>
    <w:rsid w:val="36A206B8"/>
    <w:rsid w:val="36A6BCBF"/>
    <w:rsid w:val="36AD6A2B"/>
    <w:rsid w:val="36AE3226"/>
    <w:rsid w:val="36AFA666"/>
    <w:rsid w:val="36B104F2"/>
    <w:rsid w:val="36B1C18E"/>
    <w:rsid w:val="36B88BEB"/>
    <w:rsid w:val="36BD45E4"/>
    <w:rsid w:val="36C3631A"/>
    <w:rsid w:val="36C54961"/>
    <w:rsid w:val="36D5F596"/>
    <w:rsid w:val="36DA14B9"/>
    <w:rsid w:val="36E32358"/>
    <w:rsid w:val="36E53875"/>
    <w:rsid w:val="36EBDCF3"/>
    <w:rsid w:val="36FDC093"/>
    <w:rsid w:val="36FF2E6A"/>
    <w:rsid w:val="36FFCD7E"/>
    <w:rsid w:val="370012D4"/>
    <w:rsid w:val="37012BB8"/>
    <w:rsid w:val="37079FD3"/>
    <w:rsid w:val="371C9B23"/>
    <w:rsid w:val="372242C3"/>
    <w:rsid w:val="3723B6D8"/>
    <w:rsid w:val="3727A93C"/>
    <w:rsid w:val="3729FCCC"/>
    <w:rsid w:val="373521E6"/>
    <w:rsid w:val="373DD1AE"/>
    <w:rsid w:val="373EB849"/>
    <w:rsid w:val="37453EE5"/>
    <w:rsid w:val="374563D9"/>
    <w:rsid w:val="3745A0A1"/>
    <w:rsid w:val="3745C618"/>
    <w:rsid w:val="3746AFB8"/>
    <w:rsid w:val="3749FB17"/>
    <w:rsid w:val="374AF1BD"/>
    <w:rsid w:val="374B8280"/>
    <w:rsid w:val="374C329F"/>
    <w:rsid w:val="374E7059"/>
    <w:rsid w:val="3752203A"/>
    <w:rsid w:val="37540BAB"/>
    <w:rsid w:val="375886B0"/>
    <w:rsid w:val="376708C6"/>
    <w:rsid w:val="376934CD"/>
    <w:rsid w:val="37694C14"/>
    <w:rsid w:val="376A39A7"/>
    <w:rsid w:val="376E8932"/>
    <w:rsid w:val="37718C28"/>
    <w:rsid w:val="377516A8"/>
    <w:rsid w:val="3777EA70"/>
    <w:rsid w:val="3779E645"/>
    <w:rsid w:val="377B7122"/>
    <w:rsid w:val="377FD338"/>
    <w:rsid w:val="378E2ED7"/>
    <w:rsid w:val="378EBCFF"/>
    <w:rsid w:val="3795F0C3"/>
    <w:rsid w:val="3796E95F"/>
    <w:rsid w:val="379CF81D"/>
    <w:rsid w:val="379EDCFA"/>
    <w:rsid w:val="37A1D1F7"/>
    <w:rsid w:val="37A3255B"/>
    <w:rsid w:val="37A34B2C"/>
    <w:rsid w:val="37A47A75"/>
    <w:rsid w:val="37A66782"/>
    <w:rsid w:val="37A699B8"/>
    <w:rsid w:val="37A939A4"/>
    <w:rsid w:val="37AF8EE2"/>
    <w:rsid w:val="37AFC176"/>
    <w:rsid w:val="37B14FBC"/>
    <w:rsid w:val="37B8769F"/>
    <w:rsid w:val="37BD9A81"/>
    <w:rsid w:val="37BDB794"/>
    <w:rsid w:val="37C193CF"/>
    <w:rsid w:val="37C1B36F"/>
    <w:rsid w:val="37C5CCC8"/>
    <w:rsid w:val="37CDB192"/>
    <w:rsid w:val="37CDE3F1"/>
    <w:rsid w:val="37D39BF9"/>
    <w:rsid w:val="37D936DF"/>
    <w:rsid w:val="37DAED16"/>
    <w:rsid w:val="37DF824D"/>
    <w:rsid w:val="37E0BF0C"/>
    <w:rsid w:val="37E65257"/>
    <w:rsid w:val="37F0280A"/>
    <w:rsid w:val="37F054ED"/>
    <w:rsid w:val="37F24DC1"/>
    <w:rsid w:val="37F5A40A"/>
    <w:rsid w:val="37FC974A"/>
    <w:rsid w:val="37FDFB9F"/>
    <w:rsid w:val="37FF21CA"/>
    <w:rsid w:val="3804C4C5"/>
    <w:rsid w:val="3804D364"/>
    <w:rsid w:val="380AC902"/>
    <w:rsid w:val="3810390C"/>
    <w:rsid w:val="381F1102"/>
    <w:rsid w:val="381F4013"/>
    <w:rsid w:val="381FCD04"/>
    <w:rsid w:val="3829BACF"/>
    <w:rsid w:val="3829D0C2"/>
    <w:rsid w:val="3833DCD3"/>
    <w:rsid w:val="38343960"/>
    <w:rsid w:val="38380437"/>
    <w:rsid w:val="38480F47"/>
    <w:rsid w:val="384B0B9F"/>
    <w:rsid w:val="384EE24F"/>
    <w:rsid w:val="385493EA"/>
    <w:rsid w:val="385A3320"/>
    <w:rsid w:val="3860E046"/>
    <w:rsid w:val="3863E133"/>
    <w:rsid w:val="3864A3E5"/>
    <w:rsid w:val="3865B962"/>
    <w:rsid w:val="38674F72"/>
    <w:rsid w:val="3867A2E9"/>
    <w:rsid w:val="3867CAC5"/>
    <w:rsid w:val="386C1875"/>
    <w:rsid w:val="3876E6A0"/>
    <w:rsid w:val="387A619E"/>
    <w:rsid w:val="387E5B31"/>
    <w:rsid w:val="387E9FDA"/>
    <w:rsid w:val="387ECB78"/>
    <w:rsid w:val="3881F780"/>
    <w:rsid w:val="3883B423"/>
    <w:rsid w:val="3884F69C"/>
    <w:rsid w:val="38851FFC"/>
    <w:rsid w:val="3886CD61"/>
    <w:rsid w:val="3886F6D5"/>
    <w:rsid w:val="388BB4F5"/>
    <w:rsid w:val="388D9E61"/>
    <w:rsid w:val="3896DD4B"/>
    <w:rsid w:val="38990D80"/>
    <w:rsid w:val="389B1501"/>
    <w:rsid w:val="389EC11C"/>
    <w:rsid w:val="38A1D22F"/>
    <w:rsid w:val="38A52C55"/>
    <w:rsid w:val="38A95235"/>
    <w:rsid w:val="38A9B30B"/>
    <w:rsid w:val="38AA2992"/>
    <w:rsid w:val="38AC6394"/>
    <w:rsid w:val="38B14CEB"/>
    <w:rsid w:val="38B2EEEC"/>
    <w:rsid w:val="38B7837F"/>
    <w:rsid w:val="38BB6C2C"/>
    <w:rsid w:val="38BB8F9F"/>
    <w:rsid w:val="38BBBED6"/>
    <w:rsid w:val="38BC1784"/>
    <w:rsid w:val="38C09EEE"/>
    <w:rsid w:val="38C207AD"/>
    <w:rsid w:val="38D5391F"/>
    <w:rsid w:val="38D60224"/>
    <w:rsid w:val="38D7BD59"/>
    <w:rsid w:val="38DF086F"/>
    <w:rsid w:val="38E19057"/>
    <w:rsid w:val="38E2AF62"/>
    <w:rsid w:val="38EB1055"/>
    <w:rsid w:val="38EB9386"/>
    <w:rsid w:val="38EC9A83"/>
    <w:rsid w:val="38EF139E"/>
    <w:rsid w:val="38EF73C2"/>
    <w:rsid w:val="38F1C450"/>
    <w:rsid w:val="38F27292"/>
    <w:rsid w:val="38F28A50"/>
    <w:rsid w:val="390397CB"/>
    <w:rsid w:val="3904B46B"/>
    <w:rsid w:val="3915E8EB"/>
    <w:rsid w:val="3915F3D1"/>
    <w:rsid w:val="3919A64A"/>
    <w:rsid w:val="391BE8AB"/>
    <w:rsid w:val="3926A766"/>
    <w:rsid w:val="392D082F"/>
    <w:rsid w:val="3931A310"/>
    <w:rsid w:val="39338D45"/>
    <w:rsid w:val="3934F0DD"/>
    <w:rsid w:val="393583D2"/>
    <w:rsid w:val="393D2D7E"/>
    <w:rsid w:val="393FB8A7"/>
    <w:rsid w:val="3943E3B6"/>
    <w:rsid w:val="39457679"/>
    <w:rsid w:val="39460D5A"/>
    <w:rsid w:val="3946E887"/>
    <w:rsid w:val="3947965E"/>
    <w:rsid w:val="394A26FB"/>
    <w:rsid w:val="394ED0A7"/>
    <w:rsid w:val="3955555C"/>
    <w:rsid w:val="3957CF3A"/>
    <w:rsid w:val="3957DA7D"/>
    <w:rsid w:val="395B3731"/>
    <w:rsid w:val="3962FA48"/>
    <w:rsid w:val="3963C35C"/>
    <w:rsid w:val="39643355"/>
    <w:rsid w:val="3964B9A1"/>
    <w:rsid w:val="39665950"/>
    <w:rsid w:val="396781EF"/>
    <w:rsid w:val="39699236"/>
    <w:rsid w:val="396E8838"/>
    <w:rsid w:val="39725717"/>
    <w:rsid w:val="39738237"/>
    <w:rsid w:val="397469EB"/>
    <w:rsid w:val="3974A169"/>
    <w:rsid w:val="3976D503"/>
    <w:rsid w:val="3977B37A"/>
    <w:rsid w:val="397C224A"/>
    <w:rsid w:val="397EDE29"/>
    <w:rsid w:val="397FBBF7"/>
    <w:rsid w:val="3986C9CB"/>
    <w:rsid w:val="398E55C0"/>
    <w:rsid w:val="398EEB8B"/>
    <w:rsid w:val="3990693C"/>
    <w:rsid w:val="39957585"/>
    <w:rsid w:val="3997A66B"/>
    <w:rsid w:val="3997B8FB"/>
    <w:rsid w:val="399EC12F"/>
    <w:rsid w:val="39A34C23"/>
    <w:rsid w:val="39A839C3"/>
    <w:rsid w:val="39ABAC87"/>
    <w:rsid w:val="39B129F7"/>
    <w:rsid w:val="39B3B4AB"/>
    <w:rsid w:val="39B6479C"/>
    <w:rsid w:val="39B8CA3F"/>
    <w:rsid w:val="39BB2517"/>
    <w:rsid w:val="39C19F48"/>
    <w:rsid w:val="39C274DA"/>
    <w:rsid w:val="39C60770"/>
    <w:rsid w:val="39C7E067"/>
    <w:rsid w:val="39CDC91A"/>
    <w:rsid w:val="39CFDAE4"/>
    <w:rsid w:val="39D11E5B"/>
    <w:rsid w:val="39D25C03"/>
    <w:rsid w:val="39D88F3A"/>
    <w:rsid w:val="39D89119"/>
    <w:rsid w:val="39DC1667"/>
    <w:rsid w:val="39DDEBFA"/>
    <w:rsid w:val="39E1E862"/>
    <w:rsid w:val="39EE4AD2"/>
    <w:rsid w:val="39F3D822"/>
    <w:rsid w:val="39F7073B"/>
    <w:rsid w:val="39FDF90E"/>
    <w:rsid w:val="3A01E34E"/>
    <w:rsid w:val="3A0C3C16"/>
    <w:rsid w:val="3A0DF028"/>
    <w:rsid w:val="3A126945"/>
    <w:rsid w:val="3A15E690"/>
    <w:rsid w:val="3A1A32F4"/>
    <w:rsid w:val="3A1B7332"/>
    <w:rsid w:val="3A1D72EB"/>
    <w:rsid w:val="3A2DF8D9"/>
    <w:rsid w:val="3A39EF31"/>
    <w:rsid w:val="3A3BEC12"/>
    <w:rsid w:val="3A3D3ABE"/>
    <w:rsid w:val="3A3FAE85"/>
    <w:rsid w:val="3A44377D"/>
    <w:rsid w:val="3A495174"/>
    <w:rsid w:val="3A4AA22B"/>
    <w:rsid w:val="3A51CF5C"/>
    <w:rsid w:val="3A529B47"/>
    <w:rsid w:val="3A5930AE"/>
    <w:rsid w:val="3A60F0BE"/>
    <w:rsid w:val="3A626EC3"/>
    <w:rsid w:val="3A632C02"/>
    <w:rsid w:val="3A670CEF"/>
    <w:rsid w:val="3A6781F6"/>
    <w:rsid w:val="3A6A594A"/>
    <w:rsid w:val="3A6DF358"/>
    <w:rsid w:val="3A74B6D9"/>
    <w:rsid w:val="3A75A86A"/>
    <w:rsid w:val="3A78AE19"/>
    <w:rsid w:val="3A7FB70C"/>
    <w:rsid w:val="3A80862C"/>
    <w:rsid w:val="3A91F59B"/>
    <w:rsid w:val="3A97AE2E"/>
    <w:rsid w:val="3A9CE40E"/>
    <w:rsid w:val="3A9DCB41"/>
    <w:rsid w:val="3A9F1C46"/>
    <w:rsid w:val="3AA0DD85"/>
    <w:rsid w:val="3AA0DF8B"/>
    <w:rsid w:val="3AA20F64"/>
    <w:rsid w:val="3AA5E80F"/>
    <w:rsid w:val="3AACC639"/>
    <w:rsid w:val="3AAFDB56"/>
    <w:rsid w:val="3AB62FC0"/>
    <w:rsid w:val="3AB773D7"/>
    <w:rsid w:val="3AB9878E"/>
    <w:rsid w:val="3AC0A7B5"/>
    <w:rsid w:val="3AC3BCAA"/>
    <w:rsid w:val="3ACD5CF5"/>
    <w:rsid w:val="3ADB302D"/>
    <w:rsid w:val="3ADDF323"/>
    <w:rsid w:val="3ADE6F97"/>
    <w:rsid w:val="3ADF1253"/>
    <w:rsid w:val="3AE736DE"/>
    <w:rsid w:val="3AE8A6F1"/>
    <w:rsid w:val="3AF92D0E"/>
    <w:rsid w:val="3AF9C0C3"/>
    <w:rsid w:val="3B052B55"/>
    <w:rsid w:val="3B06E830"/>
    <w:rsid w:val="3B06F825"/>
    <w:rsid w:val="3B09F567"/>
    <w:rsid w:val="3B111BE2"/>
    <w:rsid w:val="3B189008"/>
    <w:rsid w:val="3B1A6791"/>
    <w:rsid w:val="3B1A7216"/>
    <w:rsid w:val="3B238B24"/>
    <w:rsid w:val="3B278CC6"/>
    <w:rsid w:val="3B29ADB5"/>
    <w:rsid w:val="3B2AE077"/>
    <w:rsid w:val="3B2F14E4"/>
    <w:rsid w:val="3B3838BF"/>
    <w:rsid w:val="3B40D040"/>
    <w:rsid w:val="3B42D3B5"/>
    <w:rsid w:val="3B4310E7"/>
    <w:rsid w:val="3B466871"/>
    <w:rsid w:val="3B47A8A8"/>
    <w:rsid w:val="3B4B232A"/>
    <w:rsid w:val="3B4EA7FB"/>
    <w:rsid w:val="3B53DF03"/>
    <w:rsid w:val="3B5A5717"/>
    <w:rsid w:val="3B5BE701"/>
    <w:rsid w:val="3B602E7A"/>
    <w:rsid w:val="3B605AA6"/>
    <w:rsid w:val="3B60DC4B"/>
    <w:rsid w:val="3B64AEA3"/>
    <w:rsid w:val="3B65FE8E"/>
    <w:rsid w:val="3B67FBF3"/>
    <w:rsid w:val="3B6DC213"/>
    <w:rsid w:val="3B728D56"/>
    <w:rsid w:val="3B7D8348"/>
    <w:rsid w:val="3B8874A4"/>
    <w:rsid w:val="3B894BB6"/>
    <w:rsid w:val="3B8F5C84"/>
    <w:rsid w:val="3B91DFE5"/>
    <w:rsid w:val="3B963E58"/>
    <w:rsid w:val="3B9B20AB"/>
    <w:rsid w:val="3BA013F8"/>
    <w:rsid w:val="3BA0F29D"/>
    <w:rsid w:val="3BA29042"/>
    <w:rsid w:val="3BAB0915"/>
    <w:rsid w:val="3BAB184F"/>
    <w:rsid w:val="3BAD3D37"/>
    <w:rsid w:val="3BAF97CD"/>
    <w:rsid w:val="3BAFD110"/>
    <w:rsid w:val="3BB129CF"/>
    <w:rsid w:val="3BB22641"/>
    <w:rsid w:val="3BB511FE"/>
    <w:rsid w:val="3BB7F346"/>
    <w:rsid w:val="3BB9B5B6"/>
    <w:rsid w:val="3BC05025"/>
    <w:rsid w:val="3BC15EB6"/>
    <w:rsid w:val="3BC5319E"/>
    <w:rsid w:val="3BC5B778"/>
    <w:rsid w:val="3BC68AE0"/>
    <w:rsid w:val="3BC6B026"/>
    <w:rsid w:val="3BC7A3B1"/>
    <w:rsid w:val="3BC82E28"/>
    <w:rsid w:val="3BC8FACE"/>
    <w:rsid w:val="3BC91AA4"/>
    <w:rsid w:val="3BC92A9B"/>
    <w:rsid w:val="3BCA7810"/>
    <w:rsid w:val="3BCC69A5"/>
    <w:rsid w:val="3BD090FB"/>
    <w:rsid w:val="3BE20286"/>
    <w:rsid w:val="3BE586DD"/>
    <w:rsid w:val="3BE739DF"/>
    <w:rsid w:val="3BE9B728"/>
    <w:rsid w:val="3BEA195A"/>
    <w:rsid w:val="3BEB2F9F"/>
    <w:rsid w:val="3BEC1D94"/>
    <w:rsid w:val="3BEE94B7"/>
    <w:rsid w:val="3BEEBEC8"/>
    <w:rsid w:val="3BF1671C"/>
    <w:rsid w:val="3BF282C2"/>
    <w:rsid w:val="3BF40415"/>
    <w:rsid w:val="3BF886F6"/>
    <w:rsid w:val="3BFC47A8"/>
    <w:rsid w:val="3C01C7A3"/>
    <w:rsid w:val="3C020519"/>
    <w:rsid w:val="3C04B4B5"/>
    <w:rsid w:val="3C06DA35"/>
    <w:rsid w:val="3C080974"/>
    <w:rsid w:val="3C09FB4D"/>
    <w:rsid w:val="3C0C6658"/>
    <w:rsid w:val="3C0DC101"/>
    <w:rsid w:val="3C163B9F"/>
    <w:rsid w:val="3C183213"/>
    <w:rsid w:val="3C1881D0"/>
    <w:rsid w:val="3C1B0927"/>
    <w:rsid w:val="3C22589E"/>
    <w:rsid w:val="3C235295"/>
    <w:rsid w:val="3C263DA4"/>
    <w:rsid w:val="3C2C9D4A"/>
    <w:rsid w:val="3C2CCD61"/>
    <w:rsid w:val="3C30BEDA"/>
    <w:rsid w:val="3C314074"/>
    <w:rsid w:val="3C35B8F8"/>
    <w:rsid w:val="3C39FC6A"/>
    <w:rsid w:val="3C3AAB68"/>
    <w:rsid w:val="3C3B4BC6"/>
    <w:rsid w:val="3C4A9CDB"/>
    <w:rsid w:val="3C4F0106"/>
    <w:rsid w:val="3C4FD604"/>
    <w:rsid w:val="3C51E2B7"/>
    <w:rsid w:val="3C528C82"/>
    <w:rsid w:val="3C544672"/>
    <w:rsid w:val="3C62211D"/>
    <w:rsid w:val="3C64C66A"/>
    <w:rsid w:val="3C64C6A6"/>
    <w:rsid w:val="3C655E6F"/>
    <w:rsid w:val="3C66FFDA"/>
    <w:rsid w:val="3C6CFCD5"/>
    <w:rsid w:val="3C6F7347"/>
    <w:rsid w:val="3C701A2D"/>
    <w:rsid w:val="3C70ADF5"/>
    <w:rsid w:val="3C71C9FD"/>
    <w:rsid w:val="3C77A442"/>
    <w:rsid w:val="3C7F4D5B"/>
    <w:rsid w:val="3C7FD4FD"/>
    <w:rsid w:val="3C7FEE3E"/>
    <w:rsid w:val="3C8367F6"/>
    <w:rsid w:val="3C84A801"/>
    <w:rsid w:val="3C8BCDF8"/>
    <w:rsid w:val="3C8DA29B"/>
    <w:rsid w:val="3C9163DC"/>
    <w:rsid w:val="3C91C120"/>
    <w:rsid w:val="3C9262BD"/>
    <w:rsid w:val="3C957EB4"/>
    <w:rsid w:val="3C97D20E"/>
    <w:rsid w:val="3C9AC15C"/>
    <w:rsid w:val="3CA4B5EF"/>
    <w:rsid w:val="3CA4DB7A"/>
    <w:rsid w:val="3CA60C57"/>
    <w:rsid w:val="3CA613F4"/>
    <w:rsid w:val="3CA787FD"/>
    <w:rsid w:val="3CA7F38F"/>
    <w:rsid w:val="3CAA4503"/>
    <w:rsid w:val="3CACB9CC"/>
    <w:rsid w:val="3CB14FF7"/>
    <w:rsid w:val="3CB5D22E"/>
    <w:rsid w:val="3CBD6C26"/>
    <w:rsid w:val="3CBEE3DF"/>
    <w:rsid w:val="3CBF163F"/>
    <w:rsid w:val="3CC620DD"/>
    <w:rsid w:val="3CC67045"/>
    <w:rsid w:val="3CC76435"/>
    <w:rsid w:val="3CCDCB6B"/>
    <w:rsid w:val="3CCE7434"/>
    <w:rsid w:val="3CCF6A98"/>
    <w:rsid w:val="3CD2413F"/>
    <w:rsid w:val="3CD8A2C6"/>
    <w:rsid w:val="3CD8E394"/>
    <w:rsid w:val="3CDA0637"/>
    <w:rsid w:val="3CE8FA26"/>
    <w:rsid w:val="3CF71ED8"/>
    <w:rsid w:val="3CF9F417"/>
    <w:rsid w:val="3D007ACF"/>
    <w:rsid w:val="3D00AE40"/>
    <w:rsid w:val="3D028C89"/>
    <w:rsid w:val="3D06574D"/>
    <w:rsid w:val="3D0CD8AB"/>
    <w:rsid w:val="3D0FAA29"/>
    <w:rsid w:val="3D1057E5"/>
    <w:rsid w:val="3D11AB8C"/>
    <w:rsid w:val="3D1617B6"/>
    <w:rsid w:val="3D161965"/>
    <w:rsid w:val="3D22B6B9"/>
    <w:rsid w:val="3D2583CA"/>
    <w:rsid w:val="3D2C5D74"/>
    <w:rsid w:val="3D2D8EC9"/>
    <w:rsid w:val="3D2E0751"/>
    <w:rsid w:val="3D2F58E2"/>
    <w:rsid w:val="3D31749B"/>
    <w:rsid w:val="3D322C12"/>
    <w:rsid w:val="3D380479"/>
    <w:rsid w:val="3D397BD9"/>
    <w:rsid w:val="3D3F2919"/>
    <w:rsid w:val="3D3FB256"/>
    <w:rsid w:val="3D421AE4"/>
    <w:rsid w:val="3D439038"/>
    <w:rsid w:val="3D46785D"/>
    <w:rsid w:val="3D4783D9"/>
    <w:rsid w:val="3D4ACDB8"/>
    <w:rsid w:val="3D4B48DE"/>
    <w:rsid w:val="3D4C3B1D"/>
    <w:rsid w:val="3D4CADC1"/>
    <w:rsid w:val="3D503547"/>
    <w:rsid w:val="3D519AA5"/>
    <w:rsid w:val="3D53CB0F"/>
    <w:rsid w:val="3D5590B8"/>
    <w:rsid w:val="3D576801"/>
    <w:rsid w:val="3D5D65F0"/>
    <w:rsid w:val="3D65301A"/>
    <w:rsid w:val="3D69A920"/>
    <w:rsid w:val="3D6D633B"/>
    <w:rsid w:val="3D70F143"/>
    <w:rsid w:val="3D86ABB4"/>
    <w:rsid w:val="3D89B75A"/>
    <w:rsid w:val="3D8B52E2"/>
    <w:rsid w:val="3D8CC630"/>
    <w:rsid w:val="3D8EC7F9"/>
    <w:rsid w:val="3D9026DD"/>
    <w:rsid w:val="3D91A15A"/>
    <w:rsid w:val="3D942AA3"/>
    <w:rsid w:val="3D98FD98"/>
    <w:rsid w:val="3D99A858"/>
    <w:rsid w:val="3D9D9606"/>
    <w:rsid w:val="3D9F542D"/>
    <w:rsid w:val="3DA46D3B"/>
    <w:rsid w:val="3DA57020"/>
    <w:rsid w:val="3DA581A8"/>
    <w:rsid w:val="3DA5886A"/>
    <w:rsid w:val="3DA64DC6"/>
    <w:rsid w:val="3DA7DF41"/>
    <w:rsid w:val="3DA8F937"/>
    <w:rsid w:val="3DA9F5E7"/>
    <w:rsid w:val="3DAE536E"/>
    <w:rsid w:val="3DB5A8F2"/>
    <w:rsid w:val="3DB81F11"/>
    <w:rsid w:val="3DBCB0B3"/>
    <w:rsid w:val="3DBF5965"/>
    <w:rsid w:val="3DC1C7E7"/>
    <w:rsid w:val="3DC21F06"/>
    <w:rsid w:val="3DC3B29A"/>
    <w:rsid w:val="3DC9A3DB"/>
    <w:rsid w:val="3DCB5BCC"/>
    <w:rsid w:val="3DCC3DF6"/>
    <w:rsid w:val="3DCC3F61"/>
    <w:rsid w:val="3DCCF0BA"/>
    <w:rsid w:val="3DD7DF92"/>
    <w:rsid w:val="3DE24604"/>
    <w:rsid w:val="3DE2E872"/>
    <w:rsid w:val="3DF661F0"/>
    <w:rsid w:val="3DFFADF1"/>
    <w:rsid w:val="3E01C352"/>
    <w:rsid w:val="3E07F1F0"/>
    <w:rsid w:val="3E0C2C8B"/>
    <w:rsid w:val="3E0C3DF9"/>
    <w:rsid w:val="3E136B3C"/>
    <w:rsid w:val="3E169E14"/>
    <w:rsid w:val="3E1A7859"/>
    <w:rsid w:val="3E1AEE09"/>
    <w:rsid w:val="3E25E6DA"/>
    <w:rsid w:val="3E264A6C"/>
    <w:rsid w:val="3E2A51ED"/>
    <w:rsid w:val="3E2BCB61"/>
    <w:rsid w:val="3E2C0F44"/>
    <w:rsid w:val="3E2C3E8B"/>
    <w:rsid w:val="3E37700D"/>
    <w:rsid w:val="3E3B2C73"/>
    <w:rsid w:val="3E43C819"/>
    <w:rsid w:val="3E45D101"/>
    <w:rsid w:val="3E4623FF"/>
    <w:rsid w:val="3E469CA9"/>
    <w:rsid w:val="3E47293C"/>
    <w:rsid w:val="3E47D670"/>
    <w:rsid w:val="3E491F97"/>
    <w:rsid w:val="3E49B3D9"/>
    <w:rsid w:val="3E4A5F1A"/>
    <w:rsid w:val="3E4FD3DC"/>
    <w:rsid w:val="3E53F2DA"/>
    <w:rsid w:val="3E62DB20"/>
    <w:rsid w:val="3E637C4F"/>
    <w:rsid w:val="3E63919C"/>
    <w:rsid w:val="3E681637"/>
    <w:rsid w:val="3E69F1F9"/>
    <w:rsid w:val="3E6E34A5"/>
    <w:rsid w:val="3E70B5AE"/>
    <w:rsid w:val="3E70B81E"/>
    <w:rsid w:val="3E75D28B"/>
    <w:rsid w:val="3E7704C8"/>
    <w:rsid w:val="3E7854AF"/>
    <w:rsid w:val="3E7BA9C0"/>
    <w:rsid w:val="3E80F1D1"/>
    <w:rsid w:val="3E838CD8"/>
    <w:rsid w:val="3E84AE76"/>
    <w:rsid w:val="3E84CFD0"/>
    <w:rsid w:val="3E84D777"/>
    <w:rsid w:val="3E864F10"/>
    <w:rsid w:val="3E89BC58"/>
    <w:rsid w:val="3E8D96E8"/>
    <w:rsid w:val="3E94AF80"/>
    <w:rsid w:val="3E95FE61"/>
    <w:rsid w:val="3E96D9EF"/>
    <w:rsid w:val="3E9DF336"/>
    <w:rsid w:val="3EA08B15"/>
    <w:rsid w:val="3EA1C5EF"/>
    <w:rsid w:val="3EA1CB8E"/>
    <w:rsid w:val="3EA1F81B"/>
    <w:rsid w:val="3EA489AF"/>
    <w:rsid w:val="3EA5106C"/>
    <w:rsid w:val="3EA7DF61"/>
    <w:rsid w:val="3EAB67D2"/>
    <w:rsid w:val="3EAF0C32"/>
    <w:rsid w:val="3EB9CE9C"/>
    <w:rsid w:val="3EBF1457"/>
    <w:rsid w:val="3EC25E00"/>
    <w:rsid w:val="3EC54471"/>
    <w:rsid w:val="3EC89FF2"/>
    <w:rsid w:val="3ECB2A07"/>
    <w:rsid w:val="3ECC22FB"/>
    <w:rsid w:val="3ED18A4D"/>
    <w:rsid w:val="3ED45C2E"/>
    <w:rsid w:val="3EDB9328"/>
    <w:rsid w:val="3EE65213"/>
    <w:rsid w:val="3EE943AB"/>
    <w:rsid w:val="3EED19BA"/>
    <w:rsid w:val="3EEFF737"/>
    <w:rsid w:val="3EF0CE75"/>
    <w:rsid w:val="3EF19B9A"/>
    <w:rsid w:val="3EF1FBF0"/>
    <w:rsid w:val="3EFC7E42"/>
    <w:rsid w:val="3F0D3D09"/>
    <w:rsid w:val="3F0F1197"/>
    <w:rsid w:val="3F124886"/>
    <w:rsid w:val="3F139EA3"/>
    <w:rsid w:val="3F1B042D"/>
    <w:rsid w:val="3F1C517F"/>
    <w:rsid w:val="3F1F9321"/>
    <w:rsid w:val="3F30C131"/>
    <w:rsid w:val="3F36B14F"/>
    <w:rsid w:val="3F399FBB"/>
    <w:rsid w:val="3F39D3FB"/>
    <w:rsid w:val="3F3DD0C0"/>
    <w:rsid w:val="3F418CD5"/>
    <w:rsid w:val="3F4CD120"/>
    <w:rsid w:val="3F55B089"/>
    <w:rsid w:val="3F581B3C"/>
    <w:rsid w:val="3F5D5719"/>
    <w:rsid w:val="3F601EF9"/>
    <w:rsid w:val="3F6263BF"/>
    <w:rsid w:val="3F62DD21"/>
    <w:rsid w:val="3F631959"/>
    <w:rsid w:val="3F654FF0"/>
    <w:rsid w:val="3F6B44B7"/>
    <w:rsid w:val="3F77F29F"/>
    <w:rsid w:val="3F79BF82"/>
    <w:rsid w:val="3F7D68DA"/>
    <w:rsid w:val="3F7DE77A"/>
    <w:rsid w:val="3F7F6BBD"/>
    <w:rsid w:val="3F8791D6"/>
    <w:rsid w:val="3F8A3F93"/>
    <w:rsid w:val="3F8B503D"/>
    <w:rsid w:val="3F8CD76E"/>
    <w:rsid w:val="3F8D7147"/>
    <w:rsid w:val="3F8E847C"/>
    <w:rsid w:val="3F9515A9"/>
    <w:rsid w:val="3F956F62"/>
    <w:rsid w:val="3FA0E7C6"/>
    <w:rsid w:val="3FA17C70"/>
    <w:rsid w:val="3FA1DC93"/>
    <w:rsid w:val="3FA3E962"/>
    <w:rsid w:val="3FA8B0DA"/>
    <w:rsid w:val="3FAA3FB7"/>
    <w:rsid w:val="3FAC0DD6"/>
    <w:rsid w:val="3FAECD72"/>
    <w:rsid w:val="3FB1C3BC"/>
    <w:rsid w:val="3FC2BCD6"/>
    <w:rsid w:val="3FC8E430"/>
    <w:rsid w:val="3FC92469"/>
    <w:rsid w:val="3FCABB38"/>
    <w:rsid w:val="3FCB67F3"/>
    <w:rsid w:val="3FD4EE7A"/>
    <w:rsid w:val="3FD9617A"/>
    <w:rsid w:val="3FD9EACF"/>
    <w:rsid w:val="3FDB58B6"/>
    <w:rsid w:val="3FDEAC37"/>
    <w:rsid w:val="3FE1C90C"/>
    <w:rsid w:val="3FE44316"/>
    <w:rsid w:val="3FE62D00"/>
    <w:rsid w:val="3FE67095"/>
    <w:rsid w:val="3FE73DB0"/>
    <w:rsid w:val="3FEC8F23"/>
    <w:rsid w:val="3FF0F638"/>
    <w:rsid w:val="3FF81762"/>
    <w:rsid w:val="3FFAC639"/>
    <w:rsid w:val="3FFBFF25"/>
    <w:rsid w:val="3FFE1E6E"/>
    <w:rsid w:val="3FFF69D3"/>
    <w:rsid w:val="4003DAED"/>
    <w:rsid w:val="400B2F53"/>
    <w:rsid w:val="4011873F"/>
    <w:rsid w:val="4012AA81"/>
    <w:rsid w:val="4016E024"/>
    <w:rsid w:val="401D54FE"/>
    <w:rsid w:val="40208077"/>
    <w:rsid w:val="40278D31"/>
    <w:rsid w:val="4027D4F3"/>
    <w:rsid w:val="402A1D3D"/>
    <w:rsid w:val="402C653F"/>
    <w:rsid w:val="402D46DE"/>
    <w:rsid w:val="402D7D5E"/>
    <w:rsid w:val="402FB42D"/>
    <w:rsid w:val="403404C0"/>
    <w:rsid w:val="4034CFDD"/>
    <w:rsid w:val="4038E72B"/>
    <w:rsid w:val="403A175D"/>
    <w:rsid w:val="404460A7"/>
    <w:rsid w:val="40473408"/>
    <w:rsid w:val="4048923D"/>
    <w:rsid w:val="404A2814"/>
    <w:rsid w:val="404D0ED8"/>
    <w:rsid w:val="404E9105"/>
    <w:rsid w:val="405448CB"/>
    <w:rsid w:val="40557528"/>
    <w:rsid w:val="40596A32"/>
    <w:rsid w:val="405CC5CF"/>
    <w:rsid w:val="405E5395"/>
    <w:rsid w:val="40601F05"/>
    <w:rsid w:val="4061CAEE"/>
    <w:rsid w:val="40625E17"/>
    <w:rsid w:val="4069CA23"/>
    <w:rsid w:val="406BB33E"/>
    <w:rsid w:val="407210B9"/>
    <w:rsid w:val="407454A2"/>
    <w:rsid w:val="4079E565"/>
    <w:rsid w:val="407AC7CA"/>
    <w:rsid w:val="407CC410"/>
    <w:rsid w:val="407D9D37"/>
    <w:rsid w:val="407E2C9D"/>
    <w:rsid w:val="40805A6B"/>
    <w:rsid w:val="408530DB"/>
    <w:rsid w:val="408586A1"/>
    <w:rsid w:val="408BE864"/>
    <w:rsid w:val="408C04A3"/>
    <w:rsid w:val="4093F671"/>
    <w:rsid w:val="409CFE8B"/>
    <w:rsid w:val="409F48C0"/>
    <w:rsid w:val="40A50665"/>
    <w:rsid w:val="40AC6037"/>
    <w:rsid w:val="40AFE34F"/>
    <w:rsid w:val="40B17B6B"/>
    <w:rsid w:val="40B32B94"/>
    <w:rsid w:val="40BBE7D5"/>
    <w:rsid w:val="40BEB6EE"/>
    <w:rsid w:val="40C8A178"/>
    <w:rsid w:val="40C91567"/>
    <w:rsid w:val="40CA0417"/>
    <w:rsid w:val="40CAF7F8"/>
    <w:rsid w:val="40CD2FAE"/>
    <w:rsid w:val="40CE5FC7"/>
    <w:rsid w:val="40CFED2F"/>
    <w:rsid w:val="40DC0F1B"/>
    <w:rsid w:val="40E4E2EB"/>
    <w:rsid w:val="40F10498"/>
    <w:rsid w:val="40FC29DB"/>
    <w:rsid w:val="40FF2F57"/>
    <w:rsid w:val="4102B6B0"/>
    <w:rsid w:val="41077541"/>
    <w:rsid w:val="410D0841"/>
    <w:rsid w:val="410E78CB"/>
    <w:rsid w:val="41161556"/>
    <w:rsid w:val="41195303"/>
    <w:rsid w:val="411DB350"/>
    <w:rsid w:val="412DAF0B"/>
    <w:rsid w:val="4137B185"/>
    <w:rsid w:val="413BBB11"/>
    <w:rsid w:val="41430C1B"/>
    <w:rsid w:val="41432B71"/>
    <w:rsid w:val="414EA9E2"/>
    <w:rsid w:val="4152EBD1"/>
    <w:rsid w:val="415524F4"/>
    <w:rsid w:val="415E4900"/>
    <w:rsid w:val="41627DF5"/>
    <w:rsid w:val="4164DD81"/>
    <w:rsid w:val="41663899"/>
    <w:rsid w:val="417074BD"/>
    <w:rsid w:val="4178570F"/>
    <w:rsid w:val="4179DB01"/>
    <w:rsid w:val="41804050"/>
    <w:rsid w:val="4183D28B"/>
    <w:rsid w:val="418D215E"/>
    <w:rsid w:val="4193C64E"/>
    <w:rsid w:val="4195352B"/>
    <w:rsid w:val="419637EB"/>
    <w:rsid w:val="4197E2D1"/>
    <w:rsid w:val="41988F78"/>
    <w:rsid w:val="419A5553"/>
    <w:rsid w:val="41A9F550"/>
    <w:rsid w:val="41B047B8"/>
    <w:rsid w:val="41B072B4"/>
    <w:rsid w:val="41B0D0B3"/>
    <w:rsid w:val="41B3B98A"/>
    <w:rsid w:val="41B6A67A"/>
    <w:rsid w:val="41B92D47"/>
    <w:rsid w:val="41C07C5D"/>
    <w:rsid w:val="41C3A9CF"/>
    <w:rsid w:val="41C471EE"/>
    <w:rsid w:val="41C6B6D2"/>
    <w:rsid w:val="41C767E5"/>
    <w:rsid w:val="41C8E1B9"/>
    <w:rsid w:val="41C9AF86"/>
    <w:rsid w:val="41CAFD6E"/>
    <w:rsid w:val="41CD36E8"/>
    <w:rsid w:val="41D3153B"/>
    <w:rsid w:val="41D53981"/>
    <w:rsid w:val="41D87D70"/>
    <w:rsid w:val="41DBF105"/>
    <w:rsid w:val="41DFF244"/>
    <w:rsid w:val="41E1A05D"/>
    <w:rsid w:val="41E4F2A6"/>
    <w:rsid w:val="41E68B6C"/>
    <w:rsid w:val="41E97968"/>
    <w:rsid w:val="41ED9B0A"/>
    <w:rsid w:val="41EDBB7A"/>
    <w:rsid w:val="41EF2880"/>
    <w:rsid w:val="41EF5E24"/>
    <w:rsid w:val="41EFD276"/>
    <w:rsid w:val="41F4A487"/>
    <w:rsid w:val="41F99761"/>
    <w:rsid w:val="41FB67FA"/>
    <w:rsid w:val="4201FC19"/>
    <w:rsid w:val="42029D51"/>
    <w:rsid w:val="42097DCE"/>
    <w:rsid w:val="421BD55A"/>
    <w:rsid w:val="421D4550"/>
    <w:rsid w:val="421E4BC2"/>
    <w:rsid w:val="42275CA7"/>
    <w:rsid w:val="4227FB3E"/>
    <w:rsid w:val="422A29EB"/>
    <w:rsid w:val="422AE566"/>
    <w:rsid w:val="422DE01C"/>
    <w:rsid w:val="422FBAC0"/>
    <w:rsid w:val="42359322"/>
    <w:rsid w:val="4236C8DC"/>
    <w:rsid w:val="4237089C"/>
    <w:rsid w:val="42378F65"/>
    <w:rsid w:val="423977EB"/>
    <w:rsid w:val="423AB528"/>
    <w:rsid w:val="423CD880"/>
    <w:rsid w:val="423FB137"/>
    <w:rsid w:val="4241E4A1"/>
    <w:rsid w:val="42539377"/>
    <w:rsid w:val="42566D24"/>
    <w:rsid w:val="425A755F"/>
    <w:rsid w:val="425E1297"/>
    <w:rsid w:val="42668C41"/>
    <w:rsid w:val="42691EF6"/>
    <w:rsid w:val="426D272A"/>
    <w:rsid w:val="426F632E"/>
    <w:rsid w:val="42710379"/>
    <w:rsid w:val="4271AA9C"/>
    <w:rsid w:val="4278EC22"/>
    <w:rsid w:val="4281131E"/>
    <w:rsid w:val="42830528"/>
    <w:rsid w:val="428449DB"/>
    <w:rsid w:val="428DA340"/>
    <w:rsid w:val="42906E2E"/>
    <w:rsid w:val="429741EC"/>
    <w:rsid w:val="429B6BE2"/>
    <w:rsid w:val="429E85AD"/>
    <w:rsid w:val="42A1F9A6"/>
    <w:rsid w:val="42A9874D"/>
    <w:rsid w:val="42AA0B2E"/>
    <w:rsid w:val="42AE77A6"/>
    <w:rsid w:val="42AEA3EE"/>
    <w:rsid w:val="42C06DF2"/>
    <w:rsid w:val="42C2A8D0"/>
    <w:rsid w:val="42C6B61F"/>
    <w:rsid w:val="42CAF4EA"/>
    <w:rsid w:val="42D0D3C4"/>
    <w:rsid w:val="42D3B977"/>
    <w:rsid w:val="42D7D41B"/>
    <w:rsid w:val="42DA4443"/>
    <w:rsid w:val="42E63FA3"/>
    <w:rsid w:val="42EA59B8"/>
    <w:rsid w:val="42ED7141"/>
    <w:rsid w:val="42F13760"/>
    <w:rsid w:val="42F2118E"/>
    <w:rsid w:val="42F6F8E1"/>
    <w:rsid w:val="42F7477B"/>
    <w:rsid w:val="42FA96BA"/>
    <w:rsid w:val="42FB92E3"/>
    <w:rsid w:val="42FE3567"/>
    <w:rsid w:val="42FEDDA3"/>
    <w:rsid w:val="430202A9"/>
    <w:rsid w:val="4304B171"/>
    <w:rsid w:val="4306B25E"/>
    <w:rsid w:val="4309EFC4"/>
    <w:rsid w:val="430DF897"/>
    <w:rsid w:val="430EABDC"/>
    <w:rsid w:val="4310434E"/>
    <w:rsid w:val="431087AE"/>
    <w:rsid w:val="43128BA1"/>
    <w:rsid w:val="4313CBC6"/>
    <w:rsid w:val="43157A5C"/>
    <w:rsid w:val="4318483E"/>
    <w:rsid w:val="431A2050"/>
    <w:rsid w:val="431A3AA2"/>
    <w:rsid w:val="431A47E8"/>
    <w:rsid w:val="431C571D"/>
    <w:rsid w:val="431E1663"/>
    <w:rsid w:val="432598B9"/>
    <w:rsid w:val="4325F9AC"/>
    <w:rsid w:val="432758C7"/>
    <w:rsid w:val="432CF499"/>
    <w:rsid w:val="432E469F"/>
    <w:rsid w:val="433B9100"/>
    <w:rsid w:val="433E6C93"/>
    <w:rsid w:val="4340FA0C"/>
    <w:rsid w:val="43422B49"/>
    <w:rsid w:val="43456B75"/>
    <w:rsid w:val="43473D1C"/>
    <w:rsid w:val="434C77FC"/>
    <w:rsid w:val="434CF4F4"/>
    <w:rsid w:val="434DFFAF"/>
    <w:rsid w:val="434E5396"/>
    <w:rsid w:val="434F6345"/>
    <w:rsid w:val="43603A77"/>
    <w:rsid w:val="43605AC7"/>
    <w:rsid w:val="4369CBC4"/>
    <w:rsid w:val="436C2BCD"/>
    <w:rsid w:val="43710234"/>
    <w:rsid w:val="43719394"/>
    <w:rsid w:val="43725570"/>
    <w:rsid w:val="43762440"/>
    <w:rsid w:val="43766CE6"/>
    <w:rsid w:val="43780903"/>
    <w:rsid w:val="437A4CEE"/>
    <w:rsid w:val="437F6D72"/>
    <w:rsid w:val="4380FE07"/>
    <w:rsid w:val="4384369E"/>
    <w:rsid w:val="4384BC5F"/>
    <w:rsid w:val="438CEC15"/>
    <w:rsid w:val="4391DC28"/>
    <w:rsid w:val="439DC492"/>
    <w:rsid w:val="439E3EBF"/>
    <w:rsid w:val="43A1FE6B"/>
    <w:rsid w:val="43A2DE07"/>
    <w:rsid w:val="43AE89EE"/>
    <w:rsid w:val="43B4EEC8"/>
    <w:rsid w:val="43B5FC9D"/>
    <w:rsid w:val="43B68D33"/>
    <w:rsid w:val="43BD967C"/>
    <w:rsid w:val="43BE25E9"/>
    <w:rsid w:val="43C30C80"/>
    <w:rsid w:val="43C6CE52"/>
    <w:rsid w:val="43CED035"/>
    <w:rsid w:val="43CF6BD8"/>
    <w:rsid w:val="43CFEE8B"/>
    <w:rsid w:val="43D2C714"/>
    <w:rsid w:val="43D8462D"/>
    <w:rsid w:val="43DA38B6"/>
    <w:rsid w:val="43DD422E"/>
    <w:rsid w:val="43E284A7"/>
    <w:rsid w:val="43E64C90"/>
    <w:rsid w:val="43E76AA8"/>
    <w:rsid w:val="43E84D6B"/>
    <w:rsid w:val="43E9482C"/>
    <w:rsid w:val="43E952FB"/>
    <w:rsid w:val="43EFF0D9"/>
    <w:rsid w:val="43F417C0"/>
    <w:rsid w:val="43F86C5E"/>
    <w:rsid w:val="43FB47F2"/>
    <w:rsid w:val="43FDD2A5"/>
    <w:rsid w:val="44000B35"/>
    <w:rsid w:val="44022520"/>
    <w:rsid w:val="44030639"/>
    <w:rsid w:val="44064C1A"/>
    <w:rsid w:val="44084B7E"/>
    <w:rsid w:val="4409C39C"/>
    <w:rsid w:val="440C6072"/>
    <w:rsid w:val="440CCFD1"/>
    <w:rsid w:val="440D0D56"/>
    <w:rsid w:val="44172BEF"/>
    <w:rsid w:val="441D05D1"/>
    <w:rsid w:val="441D887F"/>
    <w:rsid w:val="44225EDE"/>
    <w:rsid w:val="4425CEA0"/>
    <w:rsid w:val="442854CA"/>
    <w:rsid w:val="4429889A"/>
    <w:rsid w:val="44299A38"/>
    <w:rsid w:val="442A6D2B"/>
    <w:rsid w:val="442BD63C"/>
    <w:rsid w:val="442EA6BC"/>
    <w:rsid w:val="442EF917"/>
    <w:rsid w:val="44320007"/>
    <w:rsid w:val="4432EE40"/>
    <w:rsid w:val="4439D132"/>
    <w:rsid w:val="443F8B17"/>
    <w:rsid w:val="4445060A"/>
    <w:rsid w:val="44458D76"/>
    <w:rsid w:val="44466F17"/>
    <w:rsid w:val="44489F3F"/>
    <w:rsid w:val="44504D68"/>
    <w:rsid w:val="4451F75B"/>
    <w:rsid w:val="4455631B"/>
    <w:rsid w:val="445856C2"/>
    <w:rsid w:val="4458A78A"/>
    <w:rsid w:val="445F441F"/>
    <w:rsid w:val="44673FD5"/>
    <w:rsid w:val="446C8916"/>
    <w:rsid w:val="446E16FB"/>
    <w:rsid w:val="447351C6"/>
    <w:rsid w:val="4489CF8A"/>
    <w:rsid w:val="448CFB67"/>
    <w:rsid w:val="448D814B"/>
    <w:rsid w:val="448DD65F"/>
    <w:rsid w:val="449009FB"/>
    <w:rsid w:val="4491FE75"/>
    <w:rsid w:val="4494BB21"/>
    <w:rsid w:val="44967F64"/>
    <w:rsid w:val="4497CF2C"/>
    <w:rsid w:val="449802A4"/>
    <w:rsid w:val="44994610"/>
    <w:rsid w:val="449A0074"/>
    <w:rsid w:val="449A2FD8"/>
    <w:rsid w:val="449C97BB"/>
    <w:rsid w:val="44AA153D"/>
    <w:rsid w:val="44AB2F0B"/>
    <w:rsid w:val="44AE3DC3"/>
    <w:rsid w:val="44AEDA88"/>
    <w:rsid w:val="44B1BB4E"/>
    <w:rsid w:val="44B63466"/>
    <w:rsid w:val="44B879BF"/>
    <w:rsid w:val="44B8FEB7"/>
    <w:rsid w:val="44BD5428"/>
    <w:rsid w:val="44C1E249"/>
    <w:rsid w:val="44CDDBBA"/>
    <w:rsid w:val="44CE0045"/>
    <w:rsid w:val="44DEF4DF"/>
    <w:rsid w:val="44E04719"/>
    <w:rsid w:val="44E07A19"/>
    <w:rsid w:val="44E33DCF"/>
    <w:rsid w:val="44E7C06C"/>
    <w:rsid w:val="44EB0D9D"/>
    <w:rsid w:val="44EB1FE9"/>
    <w:rsid w:val="44F0C97A"/>
    <w:rsid w:val="44F20FC7"/>
    <w:rsid w:val="44F41E4F"/>
    <w:rsid w:val="44FB81CC"/>
    <w:rsid w:val="44FC20C3"/>
    <w:rsid w:val="45012259"/>
    <w:rsid w:val="45022E4A"/>
    <w:rsid w:val="45109B95"/>
    <w:rsid w:val="4512B8BC"/>
    <w:rsid w:val="451397A9"/>
    <w:rsid w:val="4517206B"/>
    <w:rsid w:val="451957E3"/>
    <w:rsid w:val="4527481D"/>
    <w:rsid w:val="4528ED75"/>
    <w:rsid w:val="45290C7C"/>
    <w:rsid w:val="452C3DC6"/>
    <w:rsid w:val="452F8241"/>
    <w:rsid w:val="452FCA94"/>
    <w:rsid w:val="45316FAE"/>
    <w:rsid w:val="45370DD7"/>
    <w:rsid w:val="4541D8E0"/>
    <w:rsid w:val="454C4B26"/>
    <w:rsid w:val="454E3AF1"/>
    <w:rsid w:val="4550863E"/>
    <w:rsid w:val="4550FB42"/>
    <w:rsid w:val="455F1391"/>
    <w:rsid w:val="456A2633"/>
    <w:rsid w:val="456BE7FB"/>
    <w:rsid w:val="456F59D3"/>
    <w:rsid w:val="4570D509"/>
    <w:rsid w:val="45735B74"/>
    <w:rsid w:val="457C92C5"/>
    <w:rsid w:val="457E65EB"/>
    <w:rsid w:val="45819241"/>
    <w:rsid w:val="45845F28"/>
    <w:rsid w:val="4587D5A5"/>
    <w:rsid w:val="458AFF2B"/>
    <w:rsid w:val="458BE54C"/>
    <w:rsid w:val="4593B68B"/>
    <w:rsid w:val="45960B11"/>
    <w:rsid w:val="459B330D"/>
    <w:rsid w:val="459EA62B"/>
    <w:rsid w:val="45ABBF06"/>
    <w:rsid w:val="45ABE204"/>
    <w:rsid w:val="45AD24EC"/>
    <w:rsid w:val="45AF1D4F"/>
    <w:rsid w:val="45B21773"/>
    <w:rsid w:val="45B55B9C"/>
    <w:rsid w:val="45B67A5A"/>
    <w:rsid w:val="45C22D5C"/>
    <w:rsid w:val="45C99F2B"/>
    <w:rsid w:val="45D1B1CA"/>
    <w:rsid w:val="45D8B691"/>
    <w:rsid w:val="45D94DA8"/>
    <w:rsid w:val="45DCBAAB"/>
    <w:rsid w:val="45E02F3F"/>
    <w:rsid w:val="45E14CE0"/>
    <w:rsid w:val="45E70EE2"/>
    <w:rsid w:val="45E790DE"/>
    <w:rsid w:val="45E7C8F1"/>
    <w:rsid w:val="45ED9990"/>
    <w:rsid w:val="45EFC2DB"/>
    <w:rsid w:val="45FB5243"/>
    <w:rsid w:val="45FED6AE"/>
    <w:rsid w:val="46073290"/>
    <w:rsid w:val="4612F0A0"/>
    <w:rsid w:val="461C8B37"/>
    <w:rsid w:val="462043F2"/>
    <w:rsid w:val="4622A82F"/>
    <w:rsid w:val="4622DA2A"/>
    <w:rsid w:val="46254F7E"/>
    <w:rsid w:val="462CEB00"/>
    <w:rsid w:val="46355528"/>
    <w:rsid w:val="46364E55"/>
    <w:rsid w:val="463C15CA"/>
    <w:rsid w:val="463D2DCA"/>
    <w:rsid w:val="4641F85C"/>
    <w:rsid w:val="4649F641"/>
    <w:rsid w:val="464DA906"/>
    <w:rsid w:val="464FF7E6"/>
    <w:rsid w:val="46598DF2"/>
    <w:rsid w:val="465E3091"/>
    <w:rsid w:val="4667DD62"/>
    <w:rsid w:val="467453CB"/>
    <w:rsid w:val="467844C0"/>
    <w:rsid w:val="4678C9BF"/>
    <w:rsid w:val="467C7B41"/>
    <w:rsid w:val="467CA8D8"/>
    <w:rsid w:val="46840594"/>
    <w:rsid w:val="4688288C"/>
    <w:rsid w:val="468AAECA"/>
    <w:rsid w:val="468E0006"/>
    <w:rsid w:val="46957176"/>
    <w:rsid w:val="4699C936"/>
    <w:rsid w:val="469C9B82"/>
    <w:rsid w:val="469F3C60"/>
    <w:rsid w:val="469FE50C"/>
    <w:rsid w:val="46A15B7D"/>
    <w:rsid w:val="46A1830D"/>
    <w:rsid w:val="46A24402"/>
    <w:rsid w:val="46A69289"/>
    <w:rsid w:val="46A85409"/>
    <w:rsid w:val="46A88F11"/>
    <w:rsid w:val="46AE1961"/>
    <w:rsid w:val="46AE5496"/>
    <w:rsid w:val="46B569DF"/>
    <w:rsid w:val="46BE2172"/>
    <w:rsid w:val="46C29EEC"/>
    <w:rsid w:val="46C46F30"/>
    <w:rsid w:val="46C7E668"/>
    <w:rsid w:val="46D29903"/>
    <w:rsid w:val="46DA1988"/>
    <w:rsid w:val="46DD6C78"/>
    <w:rsid w:val="46E2B8BC"/>
    <w:rsid w:val="46E743A4"/>
    <w:rsid w:val="46E9CCDE"/>
    <w:rsid w:val="46ED8C82"/>
    <w:rsid w:val="46EEBBAA"/>
    <w:rsid w:val="46F43A4A"/>
    <w:rsid w:val="46F4813E"/>
    <w:rsid w:val="46F567F0"/>
    <w:rsid w:val="46F78CD9"/>
    <w:rsid w:val="46F9A787"/>
    <w:rsid w:val="46FD0128"/>
    <w:rsid w:val="46FF06B0"/>
    <w:rsid w:val="46FF328E"/>
    <w:rsid w:val="47034CDF"/>
    <w:rsid w:val="4707A989"/>
    <w:rsid w:val="4707F645"/>
    <w:rsid w:val="47097F97"/>
    <w:rsid w:val="470A52C9"/>
    <w:rsid w:val="4714C530"/>
    <w:rsid w:val="4715569F"/>
    <w:rsid w:val="47172450"/>
    <w:rsid w:val="4719B86E"/>
    <w:rsid w:val="472191B8"/>
    <w:rsid w:val="4726569F"/>
    <w:rsid w:val="4729BCE8"/>
    <w:rsid w:val="472C8E45"/>
    <w:rsid w:val="47359722"/>
    <w:rsid w:val="47391A29"/>
    <w:rsid w:val="473941FC"/>
    <w:rsid w:val="4742E7AF"/>
    <w:rsid w:val="474A8CB5"/>
    <w:rsid w:val="47509632"/>
    <w:rsid w:val="4750B93F"/>
    <w:rsid w:val="47525354"/>
    <w:rsid w:val="475273F3"/>
    <w:rsid w:val="475517A9"/>
    <w:rsid w:val="475B8F5F"/>
    <w:rsid w:val="475FE38A"/>
    <w:rsid w:val="476BE2CB"/>
    <w:rsid w:val="476E15B7"/>
    <w:rsid w:val="4772840D"/>
    <w:rsid w:val="47768882"/>
    <w:rsid w:val="4776CF01"/>
    <w:rsid w:val="4777B372"/>
    <w:rsid w:val="477FFE93"/>
    <w:rsid w:val="4783D1B7"/>
    <w:rsid w:val="47849958"/>
    <w:rsid w:val="478ABBDA"/>
    <w:rsid w:val="478FEA1B"/>
    <w:rsid w:val="47912C13"/>
    <w:rsid w:val="4795807D"/>
    <w:rsid w:val="47968819"/>
    <w:rsid w:val="479CF78D"/>
    <w:rsid w:val="479F9A15"/>
    <w:rsid w:val="47A2207B"/>
    <w:rsid w:val="47A49E6F"/>
    <w:rsid w:val="47A50EB2"/>
    <w:rsid w:val="47A7C39C"/>
    <w:rsid w:val="47AAA430"/>
    <w:rsid w:val="47B23179"/>
    <w:rsid w:val="47B59E3F"/>
    <w:rsid w:val="47B6114B"/>
    <w:rsid w:val="47B82D6B"/>
    <w:rsid w:val="47B9100F"/>
    <w:rsid w:val="47C69511"/>
    <w:rsid w:val="47CD691E"/>
    <w:rsid w:val="47CEB534"/>
    <w:rsid w:val="47CF5043"/>
    <w:rsid w:val="47D2D3A4"/>
    <w:rsid w:val="47DA3279"/>
    <w:rsid w:val="47DB4B24"/>
    <w:rsid w:val="47DD2F91"/>
    <w:rsid w:val="47E34194"/>
    <w:rsid w:val="47E6B3F2"/>
    <w:rsid w:val="47E6B956"/>
    <w:rsid w:val="47E90D3D"/>
    <w:rsid w:val="47EA066E"/>
    <w:rsid w:val="47F13033"/>
    <w:rsid w:val="47F2CD3B"/>
    <w:rsid w:val="47F43A11"/>
    <w:rsid w:val="47F80725"/>
    <w:rsid w:val="47FB0DE3"/>
    <w:rsid w:val="47FC6088"/>
    <w:rsid w:val="480135D1"/>
    <w:rsid w:val="48023902"/>
    <w:rsid w:val="4804FE37"/>
    <w:rsid w:val="48053B38"/>
    <w:rsid w:val="4807B6E5"/>
    <w:rsid w:val="48091BFD"/>
    <w:rsid w:val="480ED17C"/>
    <w:rsid w:val="4811C96B"/>
    <w:rsid w:val="48145569"/>
    <w:rsid w:val="4814AD43"/>
    <w:rsid w:val="48154298"/>
    <w:rsid w:val="481A28B6"/>
    <w:rsid w:val="481A60C6"/>
    <w:rsid w:val="481D1F66"/>
    <w:rsid w:val="4821645C"/>
    <w:rsid w:val="4822A2F3"/>
    <w:rsid w:val="482400FE"/>
    <w:rsid w:val="4824D689"/>
    <w:rsid w:val="48255CF8"/>
    <w:rsid w:val="4828CF4D"/>
    <w:rsid w:val="482BBE25"/>
    <w:rsid w:val="482C1A61"/>
    <w:rsid w:val="482ECBA1"/>
    <w:rsid w:val="48324C4F"/>
    <w:rsid w:val="483A445C"/>
    <w:rsid w:val="483C395E"/>
    <w:rsid w:val="483D0352"/>
    <w:rsid w:val="4840D368"/>
    <w:rsid w:val="48421FB5"/>
    <w:rsid w:val="4842674A"/>
    <w:rsid w:val="4842DB62"/>
    <w:rsid w:val="484D12F2"/>
    <w:rsid w:val="4850C202"/>
    <w:rsid w:val="4851E7B6"/>
    <w:rsid w:val="48537D89"/>
    <w:rsid w:val="48546333"/>
    <w:rsid w:val="4855CB04"/>
    <w:rsid w:val="4856E1AE"/>
    <w:rsid w:val="486469D9"/>
    <w:rsid w:val="4866E3E6"/>
    <w:rsid w:val="4867FDE3"/>
    <w:rsid w:val="48698E20"/>
    <w:rsid w:val="486A4F35"/>
    <w:rsid w:val="486B3B6C"/>
    <w:rsid w:val="486BDBC8"/>
    <w:rsid w:val="486DB63F"/>
    <w:rsid w:val="4874A27B"/>
    <w:rsid w:val="487505F0"/>
    <w:rsid w:val="4875D907"/>
    <w:rsid w:val="4880CB4B"/>
    <w:rsid w:val="4881E06D"/>
    <w:rsid w:val="48843ABD"/>
    <w:rsid w:val="4886260C"/>
    <w:rsid w:val="488EA077"/>
    <w:rsid w:val="489303E5"/>
    <w:rsid w:val="4894731B"/>
    <w:rsid w:val="48972D63"/>
    <w:rsid w:val="48A59661"/>
    <w:rsid w:val="48A6F88D"/>
    <w:rsid w:val="48AEC8CE"/>
    <w:rsid w:val="48AEFE0F"/>
    <w:rsid w:val="48AFFDF8"/>
    <w:rsid w:val="48B8E49A"/>
    <w:rsid w:val="48BB1431"/>
    <w:rsid w:val="48BCAF2A"/>
    <w:rsid w:val="48C0810D"/>
    <w:rsid w:val="48CB73EC"/>
    <w:rsid w:val="48D321CF"/>
    <w:rsid w:val="48D7F53A"/>
    <w:rsid w:val="48DA9E5D"/>
    <w:rsid w:val="48DCD653"/>
    <w:rsid w:val="48DE6F9E"/>
    <w:rsid w:val="48E2031D"/>
    <w:rsid w:val="48E54689"/>
    <w:rsid w:val="48E7B4FA"/>
    <w:rsid w:val="48F14D85"/>
    <w:rsid w:val="48F16465"/>
    <w:rsid w:val="48F34C69"/>
    <w:rsid w:val="48F37858"/>
    <w:rsid w:val="48F93CB0"/>
    <w:rsid w:val="48FB2AAF"/>
    <w:rsid w:val="4904D451"/>
    <w:rsid w:val="490B6415"/>
    <w:rsid w:val="491BE5CB"/>
    <w:rsid w:val="491C250A"/>
    <w:rsid w:val="49234CCC"/>
    <w:rsid w:val="49292C63"/>
    <w:rsid w:val="4930B84E"/>
    <w:rsid w:val="49314D1D"/>
    <w:rsid w:val="4931A22C"/>
    <w:rsid w:val="493AA763"/>
    <w:rsid w:val="493CA4CA"/>
    <w:rsid w:val="4940C948"/>
    <w:rsid w:val="494B4BB9"/>
    <w:rsid w:val="494D0457"/>
    <w:rsid w:val="495774C1"/>
    <w:rsid w:val="4957C78A"/>
    <w:rsid w:val="49597B4B"/>
    <w:rsid w:val="495A64B6"/>
    <w:rsid w:val="495D059C"/>
    <w:rsid w:val="495D2D05"/>
    <w:rsid w:val="495DB9CC"/>
    <w:rsid w:val="49606F36"/>
    <w:rsid w:val="4965ABE5"/>
    <w:rsid w:val="496992C8"/>
    <w:rsid w:val="496E07E1"/>
    <w:rsid w:val="49731D11"/>
    <w:rsid w:val="4975591F"/>
    <w:rsid w:val="497EF17B"/>
    <w:rsid w:val="4981A595"/>
    <w:rsid w:val="4982E1FB"/>
    <w:rsid w:val="4983829E"/>
    <w:rsid w:val="4983D50A"/>
    <w:rsid w:val="4989CAEA"/>
    <w:rsid w:val="498B4304"/>
    <w:rsid w:val="498C505D"/>
    <w:rsid w:val="4993B82C"/>
    <w:rsid w:val="4998093C"/>
    <w:rsid w:val="499979D4"/>
    <w:rsid w:val="49A0AD98"/>
    <w:rsid w:val="49A12997"/>
    <w:rsid w:val="49A431A9"/>
    <w:rsid w:val="49B1B6C6"/>
    <w:rsid w:val="49B4BD18"/>
    <w:rsid w:val="49BB99F0"/>
    <w:rsid w:val="49BCB858"/>
    <w:rsid w:val="49BDF8DA"/>
    <w:rsid w:val="49C395CC"/>
    <w:rsid w:val="49C5FC20"/>
    <w:rsid w:val="49C6FA0D"/>
    <w:rsid w:val="49CA6CA4"/>
    <w:rsid w:val="49CBDBAF"/>
    <w:rsid w:val="49CC247B"/>
    <w:rsid w:val="49D196AB"/>
    <w:rsid w:val="49D2A4E8"/>
    <w:rsid w:val="49D3B381"/>
    <w:rsid w:val="49D3D00F"/>
    <w:rsid w:val="49E8AB92"/>
    <w:rsid w:val="49E91B0C"/>
    <w:rsid w:val="49ED0F90"/>
    <w:rsid w:val="49F4D8FC"/>
    <w:rsid w:val="49F553C3"/>
    <w:rsid w:val="49F74B2D"/>
    <w:rsid w:val="49FBC6D1"/>
    <w:rsid w:val="49FCC7FC"/>
    <w:rsid w:val="4A025ABF"/>
    <w:rsid w:val="4A03171E"/>
    <w:rsid w:val="4A082DA7"/>
    <w:rsid w:val="4A0F8435"/>
    <w:rsid w:val="4A101274"/>
    <w:rsid w:val="4A155BC1"/>
    <w:rsid w:val="4A1AF2A4"/>
    <w:rsid w:val="4A32F518"/>
    <w:rsid w:val="4A3556DC"/>
    <w:rsid w:val="4A3D2C08"/>
    <w:rsid w:val="4A3EBFE6"/>
    <w:rsid w:val="4A421B60"/>
    <w:rsid w:val="4A467AEE"/>
    <w:rsid w:val="4A49D7DE"/>
    <w:rsid w:val="4A4BEF0E"/>
    <w:rsid w:val="4A57EE5E"/>
    <w:rsid w:val="4A597497"/>
    <w:rsid w:val="4A608EBE"/>
    <w:rsid w:val="4A624CF2"/>
    <w:rsid w:val="4A640E58"/>
    <w:rsid w:val="4A6485EA"/>
    <w:rsid w:val="4A710801"/>
    <w:rsid w:val="4A72EB43"/>
    <w:rsid w:val="4A7535C2"/>
    <w:rsid w:val="4A794658"/>
    <w:rsid w:val="4A87C4B9"/>
    <w:rsid w:val="4A8B7768"/>
    <w:rsid w:val="4A918F3D"/>
    <w:rsid w:val="4A94B8FE"/>
    <w:rsid w:val="4A9A3888"/>
    <w:rsid w:val="4A9F30DF"/>
    <w:rsid w:val="4A9FF589"/>
    <w:rsid w:val="4AA5045F"/>
    <w:rsid w:val="4AA7983F"/>
    <w:rsid w:val="4AAAA29E"/>
    <w:rsid w:val="4AABD900"/>
    <w:rsid w:val="4AAD03A4"/>
    <w:rsid w:val="4AAEED06"/>
    <w:rsid w:val="4AAF4C8A"/>
    <w:rsid w:val="4AB5285C"/>
    <w:rsid w:val="4AB61079"/>
    <w:rsid w:val="4AB9B9AC"/>
    <w:rsid w:val="4ABC4236"/>
    <w:rsid w:val="4ABC6C64"/>
    <w:rsid w:val="4ABC8884"/>
    <w:rsid w:val="4ABD1E91"/>
    <w:rsid w:val="4ABE42B6"/>
    <w:rsid w:val="4ABFCB80"/>
    <w:rsid w:val="4AC039EC"/>
    <w:rsid w:val="4ACDD938"/>
    <w:rsid w:val="4AD222C9"/>
    <w:rsid w:val="4AD35C2F"/>
    <w:rsid w:val="4AD5DB6C"/>
    <w:rsid w:val="4AD9750A"/>
    <w:rsid w:val="4ADDC93A"/>
    <w:rsid w:val="4ADDFE37"/>
    <w:rsid w:val="4ADF31A7"/>
    <w:rsid w:val="4AE025D5"/>
    <w:rsid w:val="4AE03E48"/>
    <w:rsid w:val="4AE0F411"/>
    <w:rsid w:val="4AE153F1"/>
    <w:rsid w:val="4AE33500"/>
    <w:rsid w:val="4AF0D9FE"/>
    <w:rsid w:val="4AF1643A"/>
    <w:rsid w:val="4AF48882"/>
    <w:rsid w:val="4AF719A4"/>
    <w:rsid w:val="4AF74959"/>
    <w:rsid w:val="4AFA7178"/>
    <w:rsid w:val="4AFBBA3E"/>
    <w:rsid w:val="4AFFFF0A"/>
    <w:rsid w:val="4B02350F"/>
    <w:rsid w:val="4B02EB19"/>
    <w:rsid w:val="4B076550"/>
    <w:rsid w:val="4B092FFA"/>
    <w:rsid w:val="4B0D2C9D"/>
    <w:rsid w:val="4B0D43F3"/>
    <w:rsid w:val="4B0FA3CD"/>
    <w:rsid w:val="4B1345D4"/>
    <w:rsid w:val="4B15C16F"/>
    <w:rsid w:val="4B1E7B3D"/>
    <w:rsid w:val="4B272F46"/>
    <w:rsid w:val="4B288459"/>
    <w:rsid w:val="4B28987D"/>
    <w:rsid w:val="4B2D3A09"/>
    <w:rsid w:val="4B2F6E09"/>
    <w:rsid w:val="4B30FC16"/>
    <w:rsid w:val="4B34F6EF"/>
    <w:rsid w:val="4B3B1A3C"/>
    <w:rsid w:val="4B42D4E4"/>
    <w:rsid w:val="4B47C85B"/>
    <w:rsid w:val="4B48A079"/>
    <w:rsid w:val="4B48B1A5"/>
    <w:rsid w:val="4B53D456"/>
    <w:rsid w:val="4B564045"/>
    <w:rsid w:val="4B5A835B"/>
    <w:rsid w:val="4B5B0E6B"/>
    <w:rsid w:val="4B5C8770"/>
    <w:rsid w:val="4B5DD998"/>
    <w:rsid w:val="4B62D63F"/>
    <w:rsid w:val="4B633520"/>
    <w:rsid w:val="4B752B07"/>
    <w:rsid w:val="4B78F68D"/>
    <w:rsid w:val="4B7AADB4"/>
    <w:rsid w:val="4B7ABC57"/>
    <w:rsid w:val="4B7B0F60"/>
    <w:rsid w:val="4B7C9864"/>
    <w:rsid w:val="4B813EFD"/>
    <w:rsid w:val="4B87D2EE"/>
    <w:rsid w:val="4B8D2273"/>
    <w:rsid w:val="4B95B200"/>
    <w:rsid w:val="4B995751"/>
    <w:rsid w:val="4B9CCDCC"/>
    <w:rsid w:val="4B9E1395"/>
    <w:rsid w:val="4BAAD2A9"/>
    <w:rsid w:val="4BB0B7B7"/>
    <w:rsid w:val="4BB3DC73"/>
    <w:rsid w:val="4BB6A63A"/>
    <w:rsid w:val="4BB9A220"/>
    <w:rsid w:val="4BBC6FC3"/>
    <w:rsid w:val="4BC354DB"/>
    <w:rsid w:val="4BC595C6"/>
    <w:rsid w:val="4BCB7A59"/>
    <w:rsid w:val="4BD4D6F4"/>
    <w:rsid w:val="4BDDC58E"/>
    <w:rsid w:val="4BDE7FAC"/>
    <w:rsid w:val="4BE0CCBD"/>
    <w:rsid w:val="4BE37A05"/>
    <w:rsid w:val="4BEAE0F4"/>
    <w:rsid w:val="4BEDFCAD"/>
    <w:rsid w:val="4BEE05EE"/>
    <w:rsid w:val="4BEFE9E6"/>
    <w:rsid w:val="4BF5B688"/>
    <w:rsid w:val="4BF786E8"/>
    <w:rsid w:val="4C00B2B5"/>
    <w:rsid w:val="4C05A199"/>
    <w:rsid w:val="4C0610A8"/>
    <w:rsid w:val="4C11F795"/>
    <w:rsid w:val="4C15721C"/>
    <w:rsid w:val="4C19FA2A"/>
    <w:rsid w:val="4C1B7D10"/>
    <w:rsid w:val="4C243265"/>
    <w:rsid w:val="4C28D7A1"/>
    <w:rsid w:val="4C29038B"/>
    <w:rsid w:val="4C29DDB2"/>
    <w:rsid w:val="4C2E0D23"/>
    <w:rsid w:val="4C3033BE"/>
    <w:rsid w:val="4C30504C"/>
    <w:rsid w:val="4C330E5B"/>
    <w:rsid w:val="4C35ED65"/>
    <w:rsid w:val="4C38645D"/>
    <w:rsid w:val="4C444A98"/>
    <w:rsid w:val="4C4CCEEC"/>
    <w:rsid w:val="4C4E89FF"/>
    <w:rsid w:val="4C5739F1"/>
    <w:rsid w:val="4C58088D"/>
    <w:rsid w:val="4C5D2F66"/>
    <w:rsid w:val="4C5EB5C8"/>
    <w:rsid w:val="4C63FF43"/>
    <w:rsid w:val="4C650CC4"/>
    <w:rsid w:val="4C655120"/>
    <w:rsid w:val="4C67EC43"/>
    <w:rsid w:val="4C6B2BAC"/>
    <w:rsid w:val="4C6C997C"/>
    <w:rsid w:val="4C6F7594"/>
    <w:rsid w:val="4C706768"/>
    <w:rsid w:val="4C709ABF"/>
    <w:rsid w:val="4C7538B9"/>
    <w:rsid w:val="4C78586E"/>
    <w:rsid w:val="4C7CEB01"/>
    <w:rsid w:val="4C7D6DCC"/>
    <w:rsid w:val="4C7E0290"/>
    <w:rsid w:val="4C83C8F0"/>
    <w:rsid w:val="4C856193"/>
    <w:rsid w:val="4C8F19AB"/>
    <w:rsid w:val="4C930ECB"/>
    <w:rsid w:val="4C9714E1"/>
    <w:rsid w:val="4C9A2D8E"/>
    <w:rsid w:val="4CA01F86"/>
    <w:rsid w:val="4CA08AA9"/>
    <w:rsid w:val="4CA277B6"/>
    <w:rsid w:val="4CA40C42"/>
    <w:rsid w:val="4CA9E3CD"/>
    <w:rsid w:val="4CAB1A0C"/>
    <w:rsid w:val="4CAF1317"/>
    <w:rsid w:val="4CB2A80D"/>
    <w:rsid w:val="4CB3B656"/>
    <w:rsid w:val="4CB6C848"/>
    <w:rsid w:val="4CB7C8D6"/>
    <w:rsid w:val="4CB90F58"/>
    <w:rsid w:val="4CC396E7"/>
    <w:rsid w:val="4CC3C03B"/>
    <w:rsid w:val="4CC72108"/>
    <w:rsid w:val="4CC8BEF5"/>
    <w:rsid w:val="4CC8CC67"/>
    <w:rsid w:val="4CCB5ECF"/>
    <w:rsid w:val="4CCF7A6D"/>
    <w:rsid w:val="4CD08F1B"/>
    <w:rsid w:val="4CD12D3A"/>
    <w:rsid w:val="4CD3286E"/>
    <w:rsid w:val="4CD3534E"/>
    <w:rsid w:val="4CD5D50A"/>
    <w:rsid w:val="4CD5EE20"/>
    <w:rsid w:val="4CD7C716"/>
    <w:rsid w:val="4CDEE0FA"/>
    <w:rsid w:val="4CDEE1A3"/>
    <w:rsid w:val="4CE24431"/>
    <w:rsid w:val="4CEBAFB3"/>
    <w:rsid w:val="4CF05D81"/>
    <w:rsid w:val="4CF34D88"/>
    <w:rsid w:val="4CF4B1EC"/>
    <w:rsid w:val="4CF6A248"/>
    <w:rsid w:val="4CFB6167"/>
    <w:rsid w:val="4CFD6D9B"/>
    <w:rsid w:val="4CFFAE26"/>
    <w:rsid w:val="4D0365DD"/>
    <w:rsid w:val="4D048E90"/>
    <w:rsid w:val="4D12001C"/>
    <w:rsid w:val="4D14572B"/>
    <w:rsid w:val="4D16733D"/>
    <w:rsid w:val="4D1F5133"/>
    <w:rsid w:val="4D2189E8"/>
    <w:rsid w:val="4D23417E"/>
    <w:rsid w:val="4D277987"/>
    <w:rsid w:val="4D28B20F"/>
    <w:rsid w:val="4D2A4CA6"/>
    <w:rsid w:val="4D2B1F26"/>
    <w:rsid w:val="4D2DFBAA"/>
    <w:rsid w:val="4D3187E6"/>
    <w:rsid w:val="4D341FFF"/>
    <w:rsid w:val="4D379385"/>
    <w:rsid w:val="4D393BF6"/>
    <w:rsid w:val="4D4A6C8C"/>
    <w:rsid w:val="4D4C187E"/>
    <w:rsid w:val="4D4DB822"/>
    <w:rsid w:val="4D5044B5"/>
    <w:rsid w:val="4D581B6F"/>
    <w:rsid w:val="4D58C1DD"/>
    <w:rsid w:val="4D5AC8F8"/>
    <w:rsid w:val="4D5D2BD8"/>
    <w:rsid w:val="4D69EB33"/>
    <w:rsid w:val="4D73F0FC"/>
    <w:rsid w:val="4D76602B"/>
    <w:rsid w:val="4D795DB8"/>
    <w:rsid w:val="4D7EDF6E"/>
    <w:rsid w:val="4D847B87"/>
    <w:rsid w:val="4D84AAD5"/>
    <w:rsid w:val="4D88EF72"/>
    <w:rsid w:val="4D8B1707"/>
    <w:rsid w:val="4D93547E"/>
    <w:rsid w:val="4D93B839"/>
    <w:rsid w:val="4D95D810"/>
    <w:rsid w:val="4D963202"/>
    <w:rsid w:val="4D96C8EA"/>
    <w:rsid w:val="4D980922"/>
    <w:rsid w:val="4D9BCAF3"/>
    <w:rsid w:val="4DA2A65E"/>
    <w:rsid w:val="4DA64A61"/>
    <w:rsid w:val="4DACDC47"/>
    <w:rsid w:val="4DACF5D0"/>
    <w:rsid w:val="4DAEA444"/>
    <w:rsid w:val="4DB5677A"/>
    <w:rsid w:val="4DB723B8"/>
    <w:rsid w:val="4DB91ED5"/>
    <w:rsid w:val="4DBFEB52"/>
    <w:rsid w:val="4DC4FD6F"/>
    <w:rsid w:val="4DCC0970"/>
    <w:rsid w:val="4DCE50A5"/>
    <w:rsid w:val="4DCEED53"/>
    <w:rsid w:val="4DD51504"/>
    <w:rsid w:val="4DD86DAB"/>
    <w:rsid w:val="4DE9CF91"/>
    <w:rsid w:val="4DEDB210"/>
    <w:rsid w:val="4DEEA810"/>
    <w:rsid w:val="4DF13D9F"/>
    <w:rsid w:val="4DF39752"/>
    <w:rsid w:val="4DFE678D"/>
    <w:rsid w:val="4DFF6814"/>
    <w:rsid w:val="4E03304B"/>
    <w:rsid w:val="4E05E204"/>
    <w:rsid w:val="4E0621A2"/>
    <w:rsid w:val="4E122942"/>
    <w:rsid w:val="4E158D47"/>
    <w:rsid w:val="4E16225A"/>
    <w:rsid w:val="4E1AB5B5"/>
    <w:rsid w:val="4E1DC829"/>
    <w:rsid w:val="4E1F2E87"/>
    <w:rsid w:val="4E2248B4"/>
    <w:rsid w:val="4E270875"/>
    <w:rsid w:val="4E289957"/>
    <w:rsid w:val="4E29D867"/>
    <w:rsid w:val="4E2C1C03"/>
    <w:rsid w:val="4E3AEA64"/>
    <w:rsid w:val="4E3AEE50"/>
    <w:rsid w:val="4E3DF00B"/>
    <w:rsid w:val="4E3EC658"/>
    <w:rsid w:val="4E42FA47"/>
    <w:rsid w:val="4E445849"/>
    <w:rsid w:val="4E4505EF"/>
    <w:rsid w:val="4E45D646"/>
    <w:rsid w:val="4E4F99E4"/>
    <w:rsid w:val="4E53430D"/>
    <w:rsid w:val="4E53734C"/>
    <w:rsid w:val="4E5DEE7F"/>
    <w:rsid w:val="4E5EB611"/>
    <w:rsid w:val="4E5F2BA5"/>
    <w:rsid w:val="4E6049CC"/>
    <w:rsid w:val="4E6825B0"/>
    <w:rsid w:val="4E684115"/>
    <w:rsid w:val="4E6E0BB4"/>
    <w:rsid w:val="4E715B9C"/>
    <w:rsid w:val="4E71A928"/>
    <w:rsid w:val="4E74E3CB"/>
    <w:rsid w:val="4E78BDB2"/>
    <w:rsid w:val="4E7B2EBB"/>
    <w:rsid w:val="4E7F2E8B"/>
    <w:rsid w:val="4E85E042"/>
    <w:rsid w:val="4E863FED"/>
    <w:rsid w:val="4E883466"/>
    <w:rsid w:val="4E8D2F72"/>
    <w:rsid w:val="4E9B2022"/>
    <w:rsid w:val="4E9C57F3"/>
    <w:rsid w:val="4E9E4C1F"/>
    <w:rsid w:val="4EA055E5"/>
    <w:rsid w:val="4EA28674"/>
    <w:rsid w:val="4EA85F42"/>
    <w:rsid w:val="4EAE5FAC"/>
    <w:rsid w:val="4EB068A5"/>
    <w:rsid w:val="4EB46543"/>
    <w:rsid w:val="4ECD1551"/>
    <w:rsid w:val="4ECFA049"/>
    <w:rsid w:val="4ED008D1"/>
    <w:rsid w:val="4ED5AF7B"/>
    <w:rsid w:val="4EDD829E"/>
    <w:rsid w:val="4EE1ADAC"/>
    <w:rsid w:val="4EE2103A"/>
    <w:rsid w:val="4EE54059"/>
    <w:rsid w:val="4EE7A65B"/>
    <w:rsid w:val="4EEA9216"/>
    <w:rsid w:val="4EEC3780"/>
    <w:rsid w:val="4EF0A7D6"/>
    <w:rsid w:val="4EF4BC70"/>
    <w:rsid w:val="4EF8DD23"/>
    <w:rsid w:val="4EFA52F2"/>
    <w:rsid w:val="4F09F07B"/>
    <w:rsid w:val="4F0B10B0"/>
    <w:rsid w:val="4F0E768B"/>
    <w:rsid w:val="4F116783"/>
    <w:rsid w:val="4F15447D"/>
    <w:rsid w:val="4F1BE232"/>
    <w:rsid w:val="4F231F77"/>
    <w:rsid w:val="4F256022"/>
    <w:rsid w:val="4F283C0B"/>
    <w:rsid w:val="4F2C0280"/>
    <w:rsid w:val="4F2EF9BA"/>
    <w:rsid w:val="4F3B813F"/>
    <w:rsid w:val="4F3C781D"/>
    <w:rsid w:val="4F4055BE"/>
    <w:rsid w:val="4F449753"/>
    <w:rsid w:val="4F5018DB"/>
    <w:rsid w:val="4F51F622"/>
    <w:rsid w:val="4F54714C"/>
    <w:rsid w:val="4F55136D"/>
    <w:rsid w:val="4F57F292"/>
    <w:rsid w:val="4F5B6184"/>
    <w:rsid w:val="4F5D7FD1"/>
    <w:rsid w:val="4F60DDDA"/>
    <w:rsid w:val="4F62AF8C"/>
    <w:rsid w:val="4F69608E"/>
    <w:rsid w:val="4F71D906"/>
    <w:rsid w:val="4F76B82A"/>
    <w:rsid w:val="4F76EF7B"/>
    <w:rsid w:val="4F7ACCB8"/>
    <w:rsid w:val="4F834AD5"/>
    <w:rsid w:val="4F846278"/>
    <w:rsid w:val="4F84EED7"/>
    <w:rsid w:val="4F868B26"/>
    <w:rsid w:val="4F8B8B74"/>
    <w:rsid w:val="4F8D2FCB"/>
    <w:rsid w:val="4F90A1A2"/>
    <w:rsid w:val="4F91F217"/>
    <w:rsid w:val="4F930717"/>
    <w:rsid w:val="4F93AC87"/>
    <w:rsid w:val="4F987E74"/>
    <w:rsid w:val="4F992C03"/>
    <w:rsid w:val="4F9B05A9"/>
    <w:rsid w:val="4FA1E54A"/>
    <w:rsid w:val="4FA2124E"/>
    <w:rsid w:val="4FB86560"/>
    <w:rsid w:val="4FBBF96B"/>
    <w:rsid w:val="4FC495EE"/>
    <w:rsid w:val="4FC82640"/>
    <w:rsid w:val="4FC9234C"/>
    <w:rsid w:val="4FCC2BE7"/>
    <w:rsid w:val="4FD05FB1"/>
    <w:rsid w:val="4FD4FB7E"/>
    <w:rsid w:val="4FD601C0"/>
    <w:rsid w:val="4FD7B3C4"/>
    <w:rsid w:val="4FDE0CC6"/>
    <w:rsid w:val="4FDF5DA5"/>
    <w:rsid w:val="4FE2384E"/>
    <w:rsid w:val="4FE28539"/>
    <w:rsid w:val="4FE5CB97"/>
    <w:rsid w:val="4FECA9E4"/>
    <w:rsid w:val="4FF0231B"/>
    <w:rsid w:val="4FFDC313"/>
    <w:rsid w:val="50049063"/>
    <w:rsid w:val="50052BA7"/>
    <w:rsid w:val="50059F6C"/>
    <w:rsid w:val="50099AF2"/>
    <w:rsid w:val="500F41DE"/>
    <w:rsid w:val="50116532"/>
    <w:rsid w:val="50126279"/>
    <w:rsid w:val="50155AF7"/>
    <w:rsid w:val="50170E6E"/>
    <w:rsid w:val="501AD899"/>
    <w:rsid w:val="501B233C"/>
    <w:rsid w:val="501E9E14"/>
    <w:rsid w:val="501F64FB"/>
    <w:rsid w:val="50243E2C"/>
    <w:rsid w:val="5025E591"/>
    <w:rsid w:val="502F359B"/>
    <w:rsid w:val="5030D3A2"/>
    <w:rsid w:val="5034B5B6"/>
    <w:rsid w:val="50358D0B"/>
    <w:rsid w:val="5038172E"/>
    <w:rsid w:val="503990F5"/>
    <w:rsid w:val="503A481E"/>
    <w:rsid w:val="503E710B"/>
    <w:rsid w:val="503FA613"/>
    <w:rsid w:val="5040F6B7"/>
    <w:rsid w:val="5041477F"/>
    <w:rsid w:val="504534BF"/>
    <w:rsid w:val="5051CDAA"/>
    <w:rsid w:val="5055A462"/>
    <w:rsid w:val="5055ECE5"/>
    <w:rsid w:val="50570F7B"/>
    <w:rsid w:val="505B24CB"/>
    <w:rsid w:val="505B5DBC"/>
    <w:rsid w:val="505D85CD"/>
    <w:rsid w:val="505D8C90"/>
    <w:rsid w:val="505DC624"/>
    <w:rsid w:val="506452A6"/>
    <w:rsid w:val="50662D78"/>
    <w:rsid w:val="5066C362"/>
    <w:rsid w:val="50686F3D"/>
    <w:rsid w:val="5068711F"/>
    <w:rsid w:val="506CAFD0"/>
    <w:rsid w:val="507362A8"/>
    <w:rsid w:val="507609CA"/>
    <w:rsid w:val="507956FE"/>
    <w:rsid w:val="5079B2CC"/>
    <w:rsid w:val="5079FCEC"/>
    <w:rsid w:val="50857037"/>
    <w:rsid w:val="508950DF"/>
    <w:rsid w:val="5097B7BE"/>
    <w:rsid w:val="509B267D"/>
    <w:rsid w:val="509BAA3F"/>
    <w:rsid w:val="50A68B10"/>
    <w:rsid w:val="50AC1140"/>
    <w:rsid w:val="50AD4C88"/>
    <w:rsid w:val="50AD5E90"/>
    <w:rsid w:val="50B241B6"/>
    <w:rsid w:val="50B8A2DE"/>
    <w:rsid w:val="50BB406E"/>
    <w:rsid w:val="50C277F3"/>
    <w:rsid w:val="50D6ECBB"/>
    <w:rsid w:val="50D80109"/>
    <w:rsid w:val="50D9E96B"/>
    <w:rsid w:val="50E30905"/>
    <w:rsid w:val="50E55828"/>
    <w:rsid w:val="50E589C6"/>
    <w:rsid w:val="50ED53FE"/>
    <w:rsid w:val="50F437E1"/>
    <w:rsid w:val="50F4D6F4"/>
    <w:rsid w:val="50FD5BA1"/>
    <w:rsid w:val="51097F04"/>
    <w:rsid w:val="510C1FD7"/>
    <w:rsid w:val="510E6B65"/>
    <w:rsid w:val="5115E3AA"/>
    <w:rsid w:val="51167D46"/>
    <w:rsid w:val="511A18B8"/>
    <w:rsid w:val="511B9D05"/>
    <w:rsid w:val="511F58F1"/>
    <w:rsid w:val="5121B97D"/>
    <w:rsid w:val="512F29AE"/>
    <w:rsid w:val="512FFEDE"/>
    <w:rsid w:val="51300968"/>
    <w:rsid w:val="51302296"/>
    <w:rsid w:val="513CB286"/>
    <w:rsid w:val="513CB40C"/>
    <w:rsid w:val="513D7235"/>
    <w:rsid w:val="513F3822"/>
    <w:rsid w:val="51407BD8"/>
    <w:rsid w:val="514AE5F6"/>
    <w:rsid w:val="514D8EB9"/>
    <w:rsid w:val="5152C906"/>
    <w:rsid w:val="515407E8"/>
    <w:rsid w:val="515A0BE9"/>
    <w:rsid w:val="515F0D75"/>
    <w:rsid w:val="51606F98"/>
    <w:rsid w:val="5160AC35"/>
    <w:rsid w:val="5164B3A4"/>
    <w:rsid w:val="5166CE1E"/>
    <w:rsid w:val="51680A4D"/>
    <w:rsid w:val="516C858D"/>
    <w:rsid w:val="51708CC9"/>
    <w:rsid w:val="51712E33"/>
    <w:rsid w:val="5174B289"/>
    <w:rsid w:val="5174ED5F"/>
    <w:rsid w:val="5177E20A"/>
    <w:rsid w:val="5177F6CF"/>
    <w:rsid w:val="51780E86"/>
    <w:rsid w:val="5178F075"/>
    <w:rsid w:val="5181F84C"/>
    <w:rsid w:val="51848154"/>
    <w:rsid w:val="5186DD5D"/>
    <w:rsid w:val="51899897"/>
    <w:rsid w:val="518E9A0A"/>
    <w:rsid w:val="51906248"/>
    <w:rsid w:val="5190BFAB"/>
    <w:rsid w:val="51910E7D"/>
    <w:rsid w:val="5191A3C4"/>
    <w:rsid w:val="5192DBF1"/>
    <w:rsid w:val="51972796"/>
    <w:rsid w:val="51975683"/>
    <w:rsid w:val="519F1EBF"/>
    <w:rsid w:val="51A4C6B2"/>
    <w:rsid w:val="51A583AA"/>
    <w:rsid w:val="51ACA95E"/>
    <w:rsid w:val="51B0AB75"/>
    <w:rsid w:val="51B2C0B4"/>
    <w:rsid w:val="51B37F24"/>
    <w:rsid w:val="51C0B7BE"/>
    <w:rsid w:val="51C3F076"/>
    <w:rsid w:val="51C40632"/>
    <w:rsid w:val="51CF9AE5"/>
    <w:rsid w:val="51D108AC"/>
    <w:rsid w:val="51D3C55B"/>
    <w:rsid w:val="51D98C1B"/>
    <w:rsid w:val="51DECF26"/>
    <w:rsid w:val="51E3F3E1"/>
    <w:rsid w:val="51E518DF"/>
    <w:rsid w:val="51E8CFCD"/>
    <w:rsid w:val="51EEB873"/>
    <w:rsid w:val="51F3F502"/>
    <w:rsid w:val="51F66F11"/>
    <w:rsid w:val="51F6B20A"/>
    <w:rsid w:val="51F9AA43"/>
    <w:rsid w:val="51FB6D4D"/>
    <w:rsid w:val="51FC88AA"/>
    <w:rsid w:val="51FE544D"/>
    <w:rsid w:val="51FF70D0"/>
    <w:rsid w:val="5201A17D"/>
    <w:rsid w:val="520850AE"/>
    <w:rsid w:val="520BB514"/>
    <w:rsid w:val="520C42D4"/>
    <w:rsid w:val="521472B4"/>
    <w:rsid w:val="52165381"/>
    <w:rsid w:val="521D5496"/>
    <w:rsid w:val="521DA452"/>
    <w:rsid w:val="5227F37C"/>
    <w:rsid w:val="522B5C67"/>
    <w:rsid w:val="5230C29F"/>
    <w:rsid w:val="5239218E"/>
    <w:rsid w:val="5242B875"/>
    <w:rsid w:val="5244B734"/>
    <w:rsid w:val="524D3E20"/>
    <w:rsid w:val="524DC876"/>
    <w:rsid w:val="524F41B0"/>
    <w:rsid w:val="5256FD92"/>
    <w:rsid w:val="5257750D"/>
    <w:rsid w:val="525AC9EC"/>
    <w:rsid w:val="525E4579"/>
    <w:rsid w:val="526680EC"/>
    <w:rsid w:val="526EE776"/>
    <w:rsid w:val="526FBA1B"/>
    <w:rsid w:val="5271C6C0"/>
    <w:rsid w:val="5276195F"/>
    <w:rsid w:val="52771695"/>
    <w:rsid w:val="527793F4"/>
    <w:rsid w:val="527BD89F"/>
    <w:rsid w:val="527E1FAA"/>
    <w:rsid w:val="5280F00C"/>
    <w:rsid w:val="5281DDD5"/>
    <w:rsid w:val="5286A96C"/>
    <w:rsid w:val="5289BFFF"/>
    <w:rsid w:val="528EA618"/>
    <w:rsid w:val="528FE367"/>
    <w:rsid w:val="529838DD"/>
    <w:rsid w:val="52992377"/>
    <w:rsid w:val="529A9318"/>
    <w:rsid w:val="529DFCC0"/>
    <w:rsid w:val="529E8681"/>
    <w:rsid w:val="529F9D36"/>
    <w:rsid w:val="52A11653"/>
    <w:rsid w:val="52A27F27"/>
    <w:rsid w:val="52AE7351"/>
    <w:rsid w:val="52AF6996"/>
    <w:rsid w:val="52B279A7"/>
    <w:rsid w:val="52BAADDC"/>
    <w:rsid w:val="52BB86D7"/>
    <w:rsid w:val="52BCA23D"/>
    <w:rsid w:val="52C5DC15"/>
    <w:rsid w:val="52C8FE48"/>
    <w:rsid w:val="52C9BFC2"/>
    <w:rsid w:val="52CB100A"/>
    <w:rsid w:val="52CCE750"/>
    <w:rsid w:val="52D2379D"/>
    <w:rsid w:val="52D3DCE6"/>
    <w:rsid w:val="52D6D1E4"/>
    <w:rsid w:val="52D9A133"/>
    <w:rsid w:val="52E6C42B"/>
    <w:rsid w:val="52E91BBD"/>
    <w:rsid w:val="52EEA058"/>
    <w:rsid w:val="52F1C7E3"/>
    <w:rsid w:val="52F21C4D"/>
    <w:rsid w:val="52F7A968"/>
    <w:rsid w:val="52FA0B52"/>
    <w:rsid w:val="5301BBE7"/>
    <w:rsid w:val="5305544C"/>
    <w:rsid w:val="530670FA"/>
    <w:rsid w:val="530CD565"/>
    <w:rsid w:val="530E8A91"/>
    <w:rsid w:val="5311AE8B"/>
    <w:rsid w:val="531443B8"/>
    <w:rsid w:val="5315F1E1"/>
    <w:rsid w:val="531702AB"/>
    <w:rsid w:val="531886DB"/>
    <w:rsid w:val="531F60F0"/>
    <w:rsid w:val="53246B6D"/>
    <w:rsid w:val="532511A6"/>
    <w:rsid w:val="532517F3"/>
    <w:rsid w:val="53254AA5"/>
    <w:rsid w:val="532618BD"/>
    <w:rsid w:val="5327F892"/>
    <w:rsid w:val="5328FC9D"/>
    <w:rsid w:val="532F5291"/>
    <w:rsid w:val="533301D6"/>
    <w:rsid w:val="5336B19A"/>
    <w:rsid w:val="533B7A26"/>
    <w:rsid w:val="5341E4DA"/>
    <w:rsid w:val="5350B7EE"/>
    <w:rsid w:val="5352D2DE"/>
    <w:rsid w:val="53560795"/>
    <w:rsid w:val="536075FD"/>
    <w:rsid w:val="5360C390"/>
    <w:rsid w:val="5360FE1E"/>
    <w:rsid w:val="5361F7BC"/>
    <w:rsid w:val="53651043"/>
    <w:rsid w:val="536546EE"/>
    <w:rsid w:val="5365B645"/>
    <w:rsid w:val="536B705D"/>
    <w:rsid w:val="536BEA5B"/>
    <w:rsid w:val="536E470D"/>
    <w:rsid w:val="537BD1DE"/>
    <w:rsid w:val="538096E0"/>
    <w:rsid w:val="5387CDB7"/>
    <w:rsid w:val="538B95B4"/>
    <w:rsid w:val="53946197"/>
    <w:rsid w:val="5395D007"/>
    <w:rsid w:val="5396D996"/>
    <w:rsid w:val="539A6B99"/>
    <w:rsid w:val="539ED09C"/>
    <w:rsid w:val="539FB3A8"/>
    <w:rsid w:val="53A32B6F"/>
    <w:rsid w:val="53A5A706"/>
    <w:rsid w:val="53A8DF53"/>
    <w:rsid w:val="53B72AFB"/>
    <w:rsid w:val="53B86850"/>
    <w:rsid w:val="53B90FA4"/>
    <w:rsid w:val="53D7F621"/>
    <w:rsid w:val="53DA6413"/>
    <w:rsid w:val="53DC4A91"/>
    <w:rsid w:val="53DE12A6"/>
    <w:rsid w:val="53DFB0DF"/>
    <w:rsid w:val="53E1D795"/>
    <w:rsid w:val="53E25E8D"/>
    <w:rsid w:val="53E36F4F"/>
    <w:rsid w:val="53E8C191"/>
    <w:rsid w:val="53E90505"/>
    <w:rsid w:val="53EB2C1E"/>
    <w:rsid w:val="53EC4D4D"/>
    <w:rsid w:val="53F40E0B"/>
    <w:rsid w:val="53F81B9D"/>
    <w:rsid w:val="53FD1543"/>
    <w:rsid w:val="54061248"/>
    <w:rsid w:val="54167BCC"/>
    <w:rsid w:val="541792B8"/>
    <w:rsid w:val="54185717"/>
    <w:rsid w:val="541B302A"/>
    <w:rsid w:val="541C25BB"/>
    <w:rsid w:val="54215058"/>
    <w:rsid w:val="54255F24"/>
    <w:rsid w:val="542A3E8C"/>
    <w:rsid w:val="542CB95E"/>
    <w:rsid w:val="542E289D"/>
    <w:rsid w:val="542EC6B2"/>
    <w:rsid w:val="5440A4C7"/>
    <w:rsid w:val="5440B986"/>
    <w:rsid w:val="5442B520"/>
    <w:rsid w:val="5443B7DA"/>
    <w:rsid w:val="544C6817"/>
    <w:rsid w:val="5452D5BD"/>
    <w:rsid w:val="5456FFB2"/>
    <w:rsid w:val="545823BA"/>
    <w:rsid w:val="545C8C3C"/>
    <w:rsid w:val="5462B7EE"/>
    <w:rsid w:val="5465B318"/>
    <w:rsid w:val="54699A73"/>
    <w:rsid w:val="547114E4"/>
    <w:rsid w:val="54727090"/>
    <w:rsid w:val="547412B5"/>
    <w:rsid w:val="54757FE3"/>
    <w:rsid w:val="54790BD3"/>
    <w:rsid w:val="547DAD62"/>
    <w:rsid w:val="547FB215"/>
    <w:rsid w:val="54822957"/>
    <w:rsid w:val="5483A8B9"/>
    <w:rsid w:val="54843CB4"/>
    <w:rsid w:val="5487CB68"/>
    <w:rsid w:val="5489E186"/>
    <w:rsid w:val="54961A76"/>
    <w:rsid w:val="54A17393"/>
    <w:rsid w:val="54A2C43E"/>
    <w:rsid w:val="54A4D922"/>
    <w:rsid w:val="54A5A8DC"/>
    <w:rsid w:val="54A74990"/>
    <w:rsid w:val="54A9CDDA"/>
    <w:rsid w:val="54AEDE4E"/>
    <w:rsid w:val="54B3D356"/>
    <w:rsid w:val="54B43A8D"/>
    <w:rsid w:val="54C29609"/>
    <w:rsid w:val="54C874FC"/>
    <w:rsid w:val="54C8D01B"/>
    <w:rsid w:val="54CBB448"/>
    <w:rsid w:val="54D253F7"/>
    <w:rsid w:val="54D39501"/>
    <w:rsid w:val="54D5D344"/>
    <w:rsid w:val="54D82F05"/>
    <w:rsid w:val="54DE01BF"/>
    <w:rsid w:val="54DF92E0"/>
    <w:rsid w:val="54EF089B"/>
    <w:rsid w:val="54F01683"/>
    <w:rsid w:val="54F51C74"/>
    <w:rsid w:val="54F74676"/>
    <w:rsid w:val="54F9D59A"/>
    <w:rsid w:val="54FC719E"/>
    <w:rsid w:val="54FC8CD2"/>
    <w:rsid w:val="55011AC5"/>
    <w:rsid w:val="5501E019"/>
    <w:rsid w:val="550A1C21"/>
    <w:rsid w:val="550B018B"/>
    <w:rsid w:val="55127B59"/>
    <w:rsid w:val="5516DEF1"/>
    <w:rsid w:val="5518707A"/>
    <w:rsid w:val="5519FD11"/>
    <w:rsid w:val="551DED64"/>
    <w:rsid w:val="5522B8FB"/>
    <w:rsid w:val="552D29B1"/>
    <w:rsid w:val="552E1AF3"/>
    <w:rsid w:val="5532D93D"/>
    <w:rsid w:val="55341CE0"/>
    <w:rsid w:val="5535FF7D"/>
    <w:rsid w:val="5538D31D"/>
    <w:rsid w:val="5541BAF8"/>
    <w:rsid w:val="5543911A"/>
    <w:rsid w:val="5543E028"/>
    <w:rsid w:val="554468AB"/>
    <w:rsid w:val="55490205"/>
    <w:rsid w:val="554C208F"/>
    <w:rsid w:val="554F0A7B"/>
    <w:rsid w:val="55504A7F"/>
    <w:rsid w:val="555126BD"/>
    <w:rsid w:val="5554DBFD"/>
    <w:rsid w:val="55553268"/>
    <w:rsid w:val="555ABAD3"/>
    <w:rsid w:val="5560E09D"/>
    <w:rsid w:val="55636A0A"/>
    <w:rsid w:val="55643C06"/>
    <w:rsid w:val="556BC20D"/>
    <w:rsid w:val="5573106A"/>
    <w:rsid w:val="55740A6D"/>
    <w:rsid w:val="55754E35"/>
    <w:rsid w:val="5578425E"/>
    <w:rsid w:val="557E1898"/>
    <w:rsid w:val="5580E40B"/>
    <w:rsid w:val="55909EA0"/>
    <w:rsid w:val="55911966"/>
    <w:rsid w:val="5591C87E"/>
    <w:rsid w:val="5592334C"/>
    <w:rsid w:val="55925E74"/>
    <w:rsid w:val="5592827D"/>
    <w:rsid w:val="5592B16B"/>
    <w:rsid w:val="55998567"/>
    <w:rsid w:val="559C8D20"/>
    <w:rsid w:val="55A16AF0"/>
    <w:rsid w:val="55A38E2A"/>
    <w:rsid w:val="55A6C16B"/>
    <w:rsid w:val="55A79D36"/>
    <w:rsid w:val="55AAF708"/>
    <w:rsid w:val="55AB4596"/>
    <w:rsid w:val="55AD9F2C"/>
    <w:rsid w:val="55B69F53"/>
    <w:rsid w:val="55BA2EF6"/>
    <w:rsid w:val="55C6CE2B"/>
    <w:rsid w:val="55C6FADD"/>
    <w:rsid w:val="55CDCAD7"/>
    <w:rsid w:val="55CE9DB4"/>
    <w:rsid w:val="55D5F02F"/>
    <w:rsid w:val="55DEEA5D"/>
    <w:rsid w:val="55E0FCBF"/>
    <w:rsid w:val="55E46918"/>
    <w:rsid w:val="55E5DFF8"/>
    <w:rsid w:val="55E6741F"/>
    <w:rsid w:val="55E7E4F0"/>
    <w:rsid w:val="55E86912"/>
    <w:rsid w:val="55EDBEC8"/>
    <w:rsid w:val="55EFD710"/>
    <w:rsid w:val="55F0B5BB"/>
    <w:rsid w:val="55F3A415"/>
    <w:rsid w:val="55F5730E"/>
    <w:rsid w:val="55F8C18A"/>
    <w:rsid w:val="55FC697A"/>
    <w:rsid w:val="56002CB1"/>
    <w:rsid w:val="56030AEB"/>
    <w:rsid w:val="56055469"/>
    <w:rsid w:val="560A9525"/>
    <w:rsid w:val="56131A91"/>
    <w:rsid w:val="56153D0D"/>
    <w:rsid w:val="561A6580"/>
    <w:rsid w:val="56286E5C"/>
    <w:rsid w:val="562B9FB8"/>
    <w:rsid w:val="562C58D9"/>
    <w:rsid w:val="5631ED2B"/>
    <w:rsid w:val="56328C91"/>
    <w:rsid w:val="5650B43D"/>
    <w:rsid w:val="5651DF68"/>
    <w:rsid w:val="5657F378"/>
    <w:rsid w:val="56592B57"/>
    <w:rsid w:val="56663627"/>
    <w:rsid w:val="566A3AE5"/>
    <w:rsid w:val="56757925"/>
    <w:rsid w:val="56772594"/>
    <w:rsid w:val="567BB850"/>
    <w:rsid w:val="567E1769"/>
    <w:rsid w:val="5680BB71"/>
    <w:rsid w:val="5680C509"/>
    <w:rsid w:val="5688EC6F"/>
    <w:rsid w:val="568A9BD2"/>
    <w:rsid w:val="568F4840"/>
    <w:rsid w:val="56905173"/>
    <w:rsid w:val="5690849C"/>
    <w:rsid w:val="56927E80"/>
    <w:rsid w:val="5693F60F"/>
    <w:rsid w:val="56972E55"/>
    <w:rsid w:val="56994640"/>
    <w:rsid w:val="569C4B01"/>
    <w:rsid w:val="569F16BD"/>
    <w:rsid w:val="569F6E73"/>
    <w:rsid w:val="569F7944"/>
    <w:rsid w:val="56ADEC09"/>
    <w:rsid w:val="56B0CD26"/>
    <w:rsid w:val="56C1A586"/>
    <w:rsid w:val="56C4C03B"/>
    <w:rsid w:val="56C7F957"/>
    <w:rsid w:val="56CF0687"/>
    <w:rsid w:val="56D00B6B"/>
    <w:rsid w:val="56D016D7"/>
    <w:rsid w:val="56D10DDD"/>
    <w:rsid w:val="56D22756"/>
    <w:rsid w:val="56D29E4B"/>
    <w:rsid w:val="56D2FC3B"/>
    <w:rsid w:val="56D4EB3F"/>
    <w:rsid w:val="56D56E05"/>
    <w:rsid w:val="56D742A9"/>
    <w:rsid w:val="56DD44AB"/>
    <w:rsid w:val="56E23242"/>
    <w:rsid w:val="56E3F451"/>
    <w:rsid w:val="56E4A8A4"/>
    <w:rsid w:val="56E5C992"/>
    <w:rsid w:val="56EA8084"/>
    <w:rsid w:val="56ECE396"/>
    <w:rsid w:val="56EE2CA6"/>
    <w:rsid w:val="56F035F3"/>
    <w:rsid w:val="56F0A68C"/>
    <w:rsid w:val="56F1B022"/>
    <w:rsid w:val="56F4404F"/>
    <w:rsid w:val="56FC340B"/>
    <w:rsid w:val="56FDEF4E"/>
    <w:rsid w:val="5700DB1E"/>
    <w:rsid w:val="57074971"/>
    <w:rsid w:val="57089234"/>
    <w:rsid w:val="570A7A0B"/>
    <w:rsid w:val="571826CD"/>
    <w:rsid w:val="571BDAA3"/>
    <w:rsid w:val="571E962F"/>
    <w:rsid w:val="57205E49"/>
    <w:rsid w:val="572470F0"/>
    <w:rsid w:val="5724C3EA"/>
    <w:rsid w:val="572A5DE3"/>
    <w:rsid w:val="5737B001"/>
    <w:rsid w:val="57403F07"/>
    <w:rsid w:val="57447C72"/>
    <w:rsid w:val="574841AC"/>
    <w:rsid w:val="574AE6A7"/>
    <w:rsid w:val="574B88A2"/>
    <w:rsid w:val="574DCF6C"/>
    <w:rsid w:val="5750B0ED"/>
    <w:rsid w:val="575C926B"/>
    <w:rsid w:val="576A5BD7"/>
    <w:rsid w:val="576DB879"/>
    <w:rsid w:val="576F35A8"/>
    <w:rsid w:val="57737F63"/>
    <w:rsid w:val="5776D8DF"/>
    <w:rsid w:val="577E4CD1"/>
    <w:rsid w:val="57814735"/>
    <w:rsid w:val="57821E3B"/>
    <w:rsid w:val="57881E25"/>
    <w:rsid w:val="578F8B17"/>
    <w:rsid w:val="578F9831"/>
    <w:rsid w:val="5791142C"/>
    <w:rsid w:val="5792D199"/>
    <w:rsid w:val="5792FA3D"/>
    <w:rsid w:val="5796300D"/>
    <w:rsid w:val="57969BD3"/>
    <w:rsid w:val="5796BCEC"/>
    <w:rsid w:val="57A3EAFA"/>
    <w:rsid w:val="57A412DB"/>
    <w:rsid w:val="57A970AA"/>
    <w:rsid w:val="57AA61A0"/>
    <w:rsid w:val="57AAFFAA"/>
    <w:rsid w:val="57AC4CC2"/>
    <w:rsid w:val="57ADCB62"/>
    <w:rsid w:val="57AE41B3"/>
    <w:rsid w:val="57AFD646"/>
    <w:rsid w:val="57B0CF87"/>
    <w:rsid w:val="57B2D96E"/>
    <w:rsid w:val="57B3A26B"/>
    <w:rsid w:val="57B6435C"/>
    <w:rsid w:val="57B6AC4F"/>
    <w:rsid w:val="57BA48D1"/>
    <w:rsid w:val="57C0EEC8"/>
    <w:rsid w:val="57C967E2"/>
    <w:rsid w:val="57CBD7D0"/>
    <w:rsid w:val="57D09426"/>
    <w:rsid w:val="57D839CA"/>
    <w:rsid w:val="57DE1725"/>
    <w:rsid w:val="57DEC416"/>
    <w:rsid w:val="57E3A024"/>
    <w:rsid w:val="57E5AA1C"/>
    <w:rsid w:val="57EF32AE"/>
    <w:rsid w:val="57F0B3BD"/>
    <w:rsid w:val="57F4139E"/>
    <w:rsid w:val="57F73805"/>
    <w:rsid w:val="57FA76F9"/>
    <w:rsid w:val="5800FE0E"/>
    <w:rsid w:val="5802F620"/>
    <w:rsid w:val="5803B0DB"/>
    <w:rsid w:val="5807313D"/>
    <w:rsid w:val="580CEACB"/>
    <w:rsid w:val="5815FC2F"/>
    <w:rsid w:val="58184448"/>
    <w:rsid w:val="581DA4B0"/>
    <w:rsid w:val="581E8541"/>
    <w:rsid w:val="582591F3"/>
    <w:rsid w:val="5826A7FE"/>
    <w:rsid w:val="582A0D8F"/>
    <w:rsid w:val="582E95A1"/>
    <w:rsid w:val="5843E181"/>
    <w:rsid w:val="58468D35"/>
    <w:rsid w:val="584A5934"/>
    <w:rsid w:val="584B1B42"/>
    <w:rsid w:val="584C45E7"/>
    <w:rsid w:val="58571E81"/>
    <w:rsid w:val="585AB2DE"/>
    <w:rsid w:val="585C9819"/>
    <w:rsid w:val="5860033D"/>
    <w:rsid w:val="5867F0B9"/>
    <w:rsid w:val="586BE916"/>
    <w:rsid w:val="58748273"/>
    <w:rsid w:val="58763B5E"/>
    <w:rsid w:val="5876DD14"/>
    <w:rsid w:val="58781665"/>
    <w:rsid w:val="587CBFB9"/>
    <w:rsid w:val="587DAD4F"/>
    <w:rsid w:val="588067E9"/>
    <w:rsid w:val="5887DFAF"/>
    <w:rsid w:val="58884413"/>
    <w:rsid w:val="588905DF"/>
    <w:rsid w:val="58890A1F"/>
    <w:rsid w:val="588A60E4"/>
    <w:rsid w:val="588DA145"/>
    <w:rsid w:val="58923C17"/>
    <w:rsid w:val="5896F1D4"/>
    <w:rsid w:val="5897189F"/>
    <w:rsid w:val="589800FB"/>
    <w:rsid w:val="589887FB"/>
    <w:rsid w:val="5898C745"/>
    <w:rsid w:val="589B691B"/>
    <w:rsid w:val="58ABD38D"/>
    <w:rsid w:val="58AC5F31"/>
    <w:rsid w:val="58AD336A"/>
    <w:rsid w:val="58AD4CBF"/>
    <w:rsid w:val="58B0D9BB"/>
    <w:rsid w:val="58B35E23"/>
    <w:rsid w:val="58B3CA7A"/>
    <w:rsid w:val="58B62130"/>
    <w:rsid w:val="58BF87FB"/>
    <w:rsid w:val="58C10376"/>
    <w:rsid w:val="58C8A39B"/>
    <w:rsid w:val="58C9D55E"/>
    <w:rsid w:val="58D032A0"/>
    <w:rsid w:val="58D42965"/>
    <w:rsid w:val="58D83267"/>
    <w:rsid w:val="58D8D36C"/>
    <w:rsid w:val="58D8F3E9"/>
    <w:rsid w:val="58E0BD2C"/>
    <w:rsid w:val="58E9EE9A"/>
    <w:rsid w:val="58F59CBE"/>
    <w:rsid w:val="58FD31BF"/>
    <w:rsid w:val="5902A3B3"/>
    <w:rsid w:val="59039CAF"/>
    <w:rsid w:val="59053ED3"/>
    <w:rsid w:val="59070993"/>
    <w:rsid w:val="5907535D"/>
    <w:rsid w:val="5909C533"/>
    <w:rsid w:val="590C15ED"/>
    <w:rsid w:val="590C7A27"/>
    <w:rsid w:val="590E94D7"/>
    <w:rsid w:val="5914E2DE"/>
    <w:rsid w:val="59181191"/>
    <w:rsid w:val="591DE985"/>
    <w:rsid w:val="59222438"/>
    <w:rsid w:val="5923541E"/>
    <w:rsid w:val="592D1F96"/>
    <w:rsid w:val="592D446D"/>
    <w:rsid w:val="593D43E0"/>
    <w:rsid w:val="593ECD64"/>
    <w:rsid w:val="5940AC72"/>
    <w:rsid w:val="5942FDD6"/>
    <w:rsid w:val="594ABCDE"/>
    <w:rsid w:val="594FB7AE"/>
    <w:rsid w:val="5951C81A"/>
    <w:rsid w:val="59542B09"/>
    <w:rsid w:val="59591D40"/>
    <w:rsid w:val="59671443"/>
    <w:rsid w:val="59770B2E"/>
    <w:rsid w:val="59796085"/>
    <w:rsid w:val="597CD7F2"/>
    <w:rsid w:val="597DA1DE"/>
    <w:rsid w:val="5984AE90"/>
    <w:rsid w:val="5986DD37"/>
    <w:rsid w:val="598704D8"/>
    <w:rsid w:val="598C55B9"/>
    <w:rsid w:val="59923837"/>
    <w:rsid w:val="5998F72D"/>
    <w:rsid w:val="599B7163"/>
    <w:rsid w:val="599DE85E"/>
    <w:rsid w:val="59A4ED6A"/>
    <w:rsid w:val="59A53294"/>
    <w:rsid w:val="59AA2590"/>
    <w:rsid w:val="59AA8470"/>
    <w:rsid w:val="59AB0051"/>
    <w:rsid w:val="59AC3EAA"/>
    <w:rsid w:val="59AE056E"/>
    <w:rsid w:val="59B43126"/>
    <w:rsid w:val="59B5A5E4"/>
    <w:rsid w:val="59B6CEE5"/>
    <w:rsid w:val="59B75F1A"/>
    <w:rsid w:val="59B85CE2"/>
    <w:rsid w:val="59BC6A98"/>
    <w:rsid w:val="59BCF78F"/>
    <w:rsid w:val="59BEDF79"/>
    <w:rsid w:val="59BEF3AE"/>
    <w:rsid w:val="59BEF677"/>
    <w:rsid w:val="59C42ADF"/>
    <w:rsid w:val="59C5A636"/>
    <w:rsid w:val="59C703DD"/>
    <w:rsid w:val="59C7B72F"/>
    <w:rsid w:val="59CAE135"/>
    <w:rsid w:val="59CD1BAB"/>
    <w:rsid w:val="59DB327A"/>
    <w:rsid w:val="59E00702"/>
    <w:rsid w:val="59E4AA23"/>
    <w:rsid w:val="59E81C3E"/>
    <w:rsid w:val="59E98F6C"/>
    <w:rsid w:val="59F6A9CC"/>
    <w:rsid w:val="5A03788C"/>
    <w:rsid w:val="5A074897"/>
    <w:rsid w:val="5A13DBA0"/>
    <w:rsid w:val="5A18FF0F"/>
    <w:rsid w:val="5A210D7B"/>
    <w:rsid w:val="5A21D8CB"/>
    <w:rsid w:val="5A26A9AB"/>
    <w:rsid w:val="5A30B551"/>
    <w:rsid w:val="5A33FA32"/>
    <w:rsid w:val="5A3B5628"/>
    <w:rsid w:val="5A447413"/>
    <w:rsid w:val="5A46B5DC"/>
    <w:rsid w:val="5A46EE2F"/>
    <w:rsid w:val="5A4D3970"/>
    <w:rsid w:val="5A4D7207"/>
    <w:rsid w:val="5A50C3C5"/>
    <w:rsid w:val="5A50D189"/>
    <w:rsid w:val="5A5765E3"/>
    <w:rsid w:val="5A59348A"/>
    <w:rsid w:val="5A5A0C46"/>
    <w:rsid w:val="5A5C93FB"/>
    <w:rsid w:val="5A5CA556"/>
    <w:rsid w:val="5A5F372C"/>
    <w:rsid w:val="5A63CB0D"/>
    <w:rsid w:val="5A64604B"/>
    <w:rsid w:val="5A69AB24"/>
    <w:rsid w:val="5A6A01AE"/>
    <w:rsid w:val="5A701BE2"/>
    <w:rsid w:val="5A740533"/>
    <w:rsid w:val="5A84A3BD"/>
    <w:rsid w:val="5AA4D2DF"/>
    <w:rsid w:val="5AA7314B"/>
    <w:rsid w:val="5AA91196"/>
    <w:rsid w:val="5AAB0B7A"/>
    <w:rsid w:val="5AAD9FC7"/>
    <w:rsid w:val="5AB19E0F"/>
    <w:rsid w:val="5AB63F4A"/>
    <w:rsid w:val="5AB7C2E6"/>
    <w:rsid w:val="5AB93510"/>
    <w:rsid w:val="5ABA38B4"/>
    <w:rsid w:val="5ABED575"/>
    <w:rsid w:val="5AC3AD40"/>
    <w:rsid w:val="5AC3B101"/>
    <w:rsid w:val="5AC491CD"/>
    <w:rsid w:val="5AC92AB7"/>
    <w:rsid w:val="5ACB10C3"/>
    <w:rsid w:val="5AD00F46"/>
    <w:rsid w:val="5AD03D27"/>
    <w:rsid w:val="5AD3A2E7"/>
    <w:rsid w:val="5AD4405C"/>
    <w:rsid w:val="5AD51CFF"/>
    <w:rsid w:val="5AD59DF5"/>
    <w:rsid w:val="5AD80621"/>
    <w:rsid w:val="5AD89B0C"/>
    <w:rsid w:val="5ADCE6F2"/>
    <w:rsid w:val="5AE22E0B"/>
    <w:rsid w:val="5AE31986"/>
    <w:rsid w:val="5AE3CEC6"/>
    <w:rsid w:val="5AE9B528"/>
    <w:rsid w:val="5AF3713D"/>
    <w:rsid w:val="5AF4360D"/>
    <w:rsid w:val="5AFB08CE"/>
    <w:rsid w:val="5AFC59AA"/>
    <w:rsid w:val="5AFCBD99"/>
    <w:rsid w:val="5AFFF8B8"/>
    <w:rsid w:val="5B03488E"/>
    <w:rsid w:val="5B0496C3"/>
    <w:rsid w:val="5B0655AC"/>
    <w:rsid w:val="5B07B3C8"/>
    <w:rsid w:val="5B080EC8"/>
    <w:rsid w:val="5B0F22BE"/>
    <w:rsid w:val="5B0F5270"/>
    <w:rsid w:val="5B1033E0"/>
    <w:rsid w:val="5B1147E2"/>
    <w:rsid w:val="5B124F73"/>
    <w:rsid w:val="5B137FD5"/>
    <w:rsid w:val="5B1A594C"/>
    <w:rsid w:val="5B1D6B25"/>
    <w:rsid w:val="5B227F78"/>
    <w:rsid w:val="5B232828"/>
    <w:rsid w:val="5B236312"/>
    <w:rsid w:val="5B24ED95"/>
    <w:rsid w:val="5B29CED6"/>
    <w:rsid w:val="5B29E22D"/>
    <w:rsid w:val="5B2C22DB"/>
    <w:rsid w:val="5B2C352A"/>
    <w:rsid w:val="5B2D1869"/>
    <w:rsid w:val="5B306E88"/>
    <w:rsid w:val="5B30817F"/>
    <w:rsid w:val="5B3465D9"/>
    <w:rsid w:val="5B346F71"/>
    <w:rsid w:val="5B3743E0"/>
    <w:rsid w:val="5B38FC4D"/>
    <w:rsid w:val="5B400271"/>
    <w:rsid w:val="5B42D65B"/>
    <w:rsid w:val="5B46B11C"/>
    <w:rsid w:val="5B4F52C3"/>
    <w:rsid w:val="5B4F702E"/>
    <w:rsid w:val="5B4FCB21"/>
    <w:rsid w:val="5B579512"/>
    <w:rsid w:val="5B678C9C"/>
    <w:rsid w:val="5B68E301"/>
    <w:rsid w:val="5B696A1F"/>
    <w:rsid w:val="5B6B3019"/>
    <w:rsid w:val="5B6B4A03"/>
    <w:rsid w:val="5B6CB72E"/>
    <w:rsid w:val="5B6E77A6"/>
    <w:rsid w:val="5B6F7D4B"/>
    <w:rsid w:val="5B70ACA8"/>
    <w:rsid w:val="5B7362BC"/>
    <w:rsid w:val="5B789F7F"/>
    <w:rsid w:val="5B7FFEF4"/>
    <w:rsid w:val="5B839FC9"/>
    <w:rsid w:val="5B8541BC"/>
    <w:rsid w:val="5B9A3F26"/>
    <w:rsid w:val="5B9C6F8B"/>
    <w:rsid w:val="5B9D13A8"/>
    <w:rsid w:val="5BA5EE3E"/>
    <w:rsid w:val="5BAC7C1E"/>
    <w:rsid w:val="5BAE437F"/>
    <w:rsid w:val="5BB01391"/>
    <w:rsid w:val="5BB3C75B"/>
    <w:rsid w:val="5BC54BAF"/>
    <w:rsid w:val="5BC695D1"/>
    <w:rsid w:val="5BC88D98"/>
    <w:rsid w:val="5BCAF0EF"/>
    <w:rsid w:val="5BCB8B8C"/>
    <w:rsid w:val="5BD9B20D"/>
    <w:rsid w:val="5BDA9029"/>
    <w:rsid w:val="5BDC0BC9"/>
    <w:rsid w:val="5BE45DC9"/>
    <w:rsid w:val="5BE46880"/>
    <w:rsid w:val="5BE86AE0"/>
    <w:rsid w:val="5BEEB4B0"/>
    <w:rsid w:val="5BF833CC"/>
    <w:rsid w:val="5BFFECA8"/>
    <w:rsid w:val="5C012FC7"/>
    <w:rsid w:val="5C0175F5"/>
    <w:rsid w:val="5C06DA4D"/>
    <w:rsid w:val="5C0C7B7C"/>
    <w:rsid w:val="5C0F74CA"/>
    <w:rsid w:val="5C1739D3"/>
    <w:rsid w:val="5C1AFE1A"/>
    <w:rsid w:val="5C1C3F58"/>
    <w:rsid w:val="5C1FD975"/>
    <w:rsid w:val="5C2331D9"/>
    <w:rsid w:val="5C257C24"/>
    <w:rsid w:val="5C25BC8C"/>
    <w:rsid w:val="5C2CA54C"/>
    <w:rsid w:val="5C3C02A6"/>
    <w:rsid w:val="5C3E9AD6"/>
    <w:rsid w:val="5C402A72"/>
    <w:rsid w:val="5C409BE0"/>
    <w:rsid w:val="5C43CA1F"/>
    <w:rsid w:val="5C4B2DCA"/>
    <w:rsid w:val="5C4C8481"/>
    <w:rsid w:val="5C4E8EE8"/>
    <w:rsid w:val="5C534759"/>
    <w:rsid w:val="5C5D8DE3"/>
    <w:rsid w:val="5C5E40AD"/>
    <w:rsid w:val="5C60FE3E"/>
    <w:rsid w:val="5C632CCF"/>
    <w:rsid w:val="5C6C3101"/>
    <w:rsid w:val="5C6CEE13"/>
    <w:rsid w:val="5C781878"/>
    <w:rsid w:val="5C791617"/>
    <w:rsid w:val="5C7A39AB"/>
    <w:rsid w:val="5C7CA3F7"/>
    <w:rsid w:val="5C80496A"/>
    <w:rsid w:val="5C81701B"/>
    <w:rsid w:val="5C8194DD"/>
    <w:rsid w:val="5C820312"/>
    <w:rsid w:val="5C825C5F"/>
    <w:rsid w:val="5C8F3151"/>
    <w:rsid w:val="5C9217E7"/>
    <w:rsid w:val="5C9D32CE"/>
    <w:rsid w:val="5CA05898"/>
    <w:rsid w:val="5CA33842"/>
    <w:rsid w:val="5CAAD446"/>
    <w:rsid w:val="5CAD19D1"/>
    <w:rsid w:val="5CB3BDDA"/>
    <w:rsid w:val="5CB80223"/>
    <w:rsid w:val="5CBE5F20"/>
    <w:rsid w:val="5CC18189"/>
    <w:rsid w:val="5CC92EB2"/>
    <w:rsid w:val="5CCBD7CC"/>
    <w:rsid w:val="5CCC4640"/>
    <w:rsid w:val="5CD07F86"/>
    <w:rsid w:val="5CD5A362"/>
    <w:rsid w:val="5CD691A5"/>
    <w:rsid w:val="5CD8CAC2"/>
    <w:rsid w:val="5CE1CA3B"/>
    <w:rsid w:val="5CE69DB3"/>
    <w:rsid w:val="5CEBFFB3"/>
    <w:rsid w:val="5CF50FAF"/>
    <w:rsid w:val="5CF5C2B8"/>
    <w:rsid w:val="5CF7EC1B"/>
    <w:rsid w:val="5CF9BCF8"/>
    <w:rsid w:val="5D024641"/>
    <w:rsid w:val="5D042B50"/>
    <w:rsid w:val="5D079383"/>
    <w:rsid w:val="5D094379"/>
    <w:rsid w:val="5D0EA50F"/>
    <w:rsid w:val="5D0ED001"/>
    <w:rsid w:val="5D0FBF80"/>
    <w:rsid w:val="5D14B54C"/>
    <w:rsid w:val="5D1BB2F9"/>
    <w:rsid w:val="5D21CA97"/>
    <w:rsid w:val="5D259C30"/>
    <w:rsid w:val="5D2FC178"/>
    <w:rsid w:val="5D34DE17"/>
    <w:rsid w:val="5D3F250B"/>
    <w:rsid w:val="5D43F350"/>
    <w:rsid w:val="5D44D891"/>
    <w:rsid w:val="5D48573B"/>
    <w:rsid w:val="5D51006D"/>
    <w:rsid w:val="5D53110E"/>
    <w:rsid w:val="5D538CDB"/>
    <w:rsid w:val="5D581A23"/>
    <w:rsid w:val="5D5B69AD"/>
    <w:rsid w:val="5D5EF275"/>
    <w:rsid w:val="5D60C742"/>
    <w:rsid w:val="5D60DAC9"/>
    <w:rsid w:val="5D67B12D"/>
    <w:rsid w:val="5D68B739"/>
    <w:rsid w:val="5D6D560E"/>
    <w:rsid w:val="5D714250"/>
    <w:rsid w:val="5D7B0797"/>
    <w:rsid w:val="5D7DA867"/>
    <w:rsid w:val="5D83A230"/>
    <w:rsid w:val="5D84A69C"/>
    <w:rsid w:val="5D88F5C6"/>
    <w:rsid w:val="5D89D255"/>
    <w:rsid w:val="5D8CA0CF"/>
    <w:rsid w:val="5D970429"/>
    <w:rsid w:val="5D98DAC6"/>
    <w:rsid w:val="5D9D38BF"/>
    <w:rsid w:val="5D9F58C2"/>
    <w:rsid w:val="5D9F8701"/>
    <w:rsid w:val="5DA5E869"/>
    <w:rsid w:val="5DA8206C"/>
    <w:rsid w:val="5DAD505C"/>
    <w:rsid w:val="5DAEC83D"/>
    <w:rsid w:val="5DB6CFFB"/>
    <w:rsid w:val="5DB956E5"/>
    <w:rsid w:val="5DC532D4"/>
    <w:rsid w:val="5DCCDAC4"/>
    <w:rsid w:val="5DCEE3E7"/>
    <w:rsid w:val="5DD44DCD"/>
    <w:rsid w:val="5DDF8116"/>
    <w:rsid w:val="5DE03D18"/>
    <w:rsid w:val="5DE2CEAA"/>
    <w:rsid w:val="5DE4FE8F"/>
    <w:rsid w:val="5DEC35F3"/>
    <w:rsid w:val="5DECD111"/>
    <w:rsid w:val="5DF0EA48"/>
    <w:rsid w:val="5DF0EFDA"/>
    <w:rsid w:val="5DF5A4C4"/>
    <w:rsid w:val="5DF8C08D"/>
    <w:rsid w:val="5DFBB78C"/>
    <w:rsid w:val="5E05D3DE"/>
    <w:rsid w:val="5E062FDD"/>
    <w:rsid w:val="5E073556"/>
    <w:rsid w:val="5E08A779"/>
    <w:rsid w:val="5E08B180"/>
    <w:rsid w:val="5E0EAEBB"/>
    <w:rsid w:val="5E12D817"/>
    <w:rsid w:val="5E174C8A"/>
    <w:rsid w:val="5E18634D"/>
    <w:rsid w:val="5E1AE5FD"/>
    <w:rsid w:val="5E25EC50"/>
    <w:rsid w:val="5E2D22BE"/>
    <w:rsid w:val="5E3156F6"/>
    <w:rsid w:val="5E35860F"/>
    <w:rsid w:val="5E43AFAE"/>
    <w:rsid w:val="5E448F32"/>
    <w:rsid w:val="5E49DA34"/>
    <w:rsid w:val="5E4E223C"/>
    <w:rsid w:val="5E5086A4"/>
    <w:rsid w:val="5E52F9C1"/>
    <w:rsid w:val="5E54574C"/>
    <w:rsid w:val="5E550CEA"/>
    <w:rsid w:val="5E5A4478"/>
    <w:rsid w:val="5E5C49D8"/>
    <w:rsid w:val="5E616067"/>
    <w:rsid w:val="5E62BB08"/>
    <w:rsid w:val="5E6490F2"/>
    <w:rsid w:val="5E658829"/>
    <w:rsid w:val="5E6D6AF8"/>
    <w:rsid w:val="5E6FED85"/>
    <w:rsid w:val="5E73EE66"/>
    <w:rsid w:val="5E78DEDC"/>
    <w:rsid w:val="5E7AD922"/>
    <w:rsid w:val="5E7FB199"/>
    <w:rsid w:val="5E801658"/>
    <w:rsid w:val="5E83EA6E"/>
    <w:rsid w:val="5E846B82"/>
    <w:rsid w:val="5E8C201C"/>
    <w:rsid w:val="5E8D05FF"/>
    <w:rsid w:val="5E8F4D5A"/>
    <w:rsid w:val="5E8FFF64"/>
    <w:rsid w:val="5E947C0C"/>
    <w:rsid w:val="5EA002EE"/>
    <w:rsid w:val="5EABAB9A"/>
    <w:rsid w:val="5EAC8211"/>
    <w:rsid w:val="5EB06F6F"/>
    <w:rsid w:val="5EB0E435"/>
    <w:rsid w:val="5EB18865"/>
    <w:rsid w:val="5EB3932C"/>
    <w:rsid w:val="5EBB260E"/>
    <w:rsid w:val="5EBF0DA8"/>
    <w:rsid w:val="5EC1B458"/>
    <w:rsid w:val="5EC1F9E6"/>
    <w:rsid w:val="5ECADB89"/>
    <w:rsid w:val="5ECB9393"/>
    <w:rsid w:val="5ED2EBF0"/>
    <w:rsid w:val="5ED339D5"/>
    <w:rsid w:val="5ED529E7"/>
    <w:rsid w:val="5EDBB542"/>
    <w:rsid w:val="5EDE1FB3"/>
    <w:rsid w:val="5EDED892"/>
    <w:rsid w:val="5EDF6B3F"/>
    <w:rsid w:val="5EDFE8D7"/>
    <w:rsid w:val="5EE7A8D3"/>
    <w:rsid w:val="5EEB05F8"/>
    <w:rsid w:val="5EEDAFFD"/>
    <w:rsid w:val="5EEE9A30"/>
    <w:rsid w:val="5EF08F46"/>
    <w:rsid w:val="5EF30195"/>
    <w:rsid w:val="5EF910F1"/>
    <w:rsid w:val="5EFBE465"/>
    <w:rsid w:val="5EFC4E14"/>
    <w:rsid w:val="5F01101B"/>
    <w:rsid w:val="5F01C475"/>
    <w:rsid w:val="5F01C59F"/>
    <w:rsid w:val="5F06E745"/>
    <w:rsid w:val="5F0AF979"/>
    <w:rsid w:val="5F0E83DD"/>
    <w:rsid w:val="5F106B77"/>
    <w:rsid w:val="5F1A01FA"/>
    <w:rsid w:val="5F26E93E"/>
    <w:rsid w:val="5F2AD042"/>
    <w:rsid w:val="5F2ECFA2"/>
    <w:rsid w:val="5F2F8D32"/>
    <w:rsid w:val="5F2FCD7D"/>
    <w:rsid w:val="5F3014C9"/>
    <w:rsid w:val="5F30F6F2"/>
    <w:rsid w:val="5F325B16"/>
    <w:rsid w:val="5F353382"/>
    <w:rsid w:val="5F41A6E5"/>
    <w:rsid w:val="5F47B83A"/>
    <w:rsid w:val="5F49BD17"/>
    <w:rsid w:val="5F5391EF"/>
    <w:rsid w:val="5F57F540"/>
    <w:rsid w:val="5F58E7E5"/>
    <w:rsid w:val="5F5A4CCB"/>
    <w:rsid w:val="5F622254"/>
    <w:rsid w:val="5F68DCFD"/>
    <w:rsid w:val="5F6C89AE"/>
    <w:rsid w:val="5F6EE611"/>
    <w:rsid w:val="5F711240"/>
    <w:rsid w:val="5F72EC90"/>
    <w:rsid w:val="5F78ADC7"/>
    <w:rsid w:val="5F7C6396"/>
    <w:rsid w:val="5F7EA5AA"/>
    <w:rsid w:val="5F7FCDD5"/>
    <w:rsid w:val="5F830C59"/>
    <w:rsid w:val="5F83C59A"/>
    <w:rsid w:val="5F9061B3"/>
    <w:rsid w:val="5F95B1A3"/>
    <w:rsid w:val="5F95F6E6"/>
    <w:rsid w:val="5F9BFA56"/>
    <w:rsid w:val="5F9C2B20"/>
    <w:rsid w:val="5F9DCA88"/>
    <w:rsid w:val="5F9FE06A"/>
    <w:rsid w:val="5FA0BC2C"/>
    <w:rsid w:val="5FA26713"/>
    <w:rsid w:val="5FA3D517"/>
    <w:rsid w:val="5FA409E3"/>
    <w:rsid w:val="5FA607C4"/>
    <w:rsid w:val="5FAAC866"/>
    <w:rsid w:val="5FB3969A"/>
    <w:rsid w:val="5FBEC951"/>
    <w:rsid w:val="5FBEECDB"/>
    <w:rsid w:val="5FC643CE"/>
    <w:rsid w:val="5FCC5C75"/>
    <w:rsid w:val="5FCC794C"/>
    <w:rsid w:val="5FCD7A8B"/>
    <w:rsid w:val="5FCE3FFC"/>
    <w:rsid w:val="5FCEC889"/>
    <w:rsid w:val="5FD0BF68"/>
    <w:rsid w:val="5FD7BA66"/>
    <w:rsid w:val="5FDBA505"/>
    <w:rsid w:val="5FE1467C"/>
    <w:rsid w:val="5FE1543B"/>
    <w:rsid w:val="5FE35DE4"/>
    <w:rsid w:val="5FE416B4"/>
    <w:rsid w:val="5FE57CFE"/>
    <w:rsid w:val="5FE80153"/>
    <w:rsid w:val="5FE9049A"/>
    <w:rsid w:val="5FEAC016"/>
    <w:rsid w:val="5FECCFD0"/>
    <w:rsid w:val="5FECDE71"/>
    <w:rsid w:val="5FF1C55D"/>
    <w:rsid w:val="5FF23DDF"/>
    <w:rsid w:val="5FF348EB"/>
    <w:rsid w:val="5FF45F94"/>
    <w:rsid w:val="5FFC7EC0"/>
    <w:rsid w:val="5FFD1FBD"/>
    <w:rsid w:val="600966DD"/>
    <w:rsid w:val="6010135D"/>
    <w:rsid w:val="6011773B"/>
    <w:rsid w:val="60149CD8"/>
    <w:rsid w:val="60188B52"/>
    <w:rsid w:val="601980A7"/>
    <w:rsid w:val="601A0F6D"/>
    <w:rsid w:val="601F2969"/>
    <w:rsid w:val="601FEE67"/>
    <w:rsid w:val="6021E933"/>
    <w:rsid w:val="60224E66"/>
    <w:rsid w:val="6027E0B9"/>
    <w:rsid w:val="6028FFC8"/>
    <w:rsid w:val="602D9486"/>
    <w:rsid w:val="602DE791"/>
    <w:rsid w:val="602EE3E8"/>
    <w:rsid w:val="60307516"/>
    <w:rsid w:val="6033479D"/>
    <w:rsid w:val="603EC451"/>
    <w:rsid w:val="603EE01F"/>
    <w:rsid w:val="60433212"/>
    <w:rsid w:val="6049ABD8"/>
    <w:rsid w:val="60529D6E"/>
    <w:rsid w:val="6055AAA1"/>
    <w:rsid w:val="60589EE3"/>
    <w:rsid w:val="605BE912"/>
    <w:rsid w:val="60624603"/>
    <w:rsid w:val="606F5FEC"/>
    <w:rsid w:val="60735053"/>
    <w:rsid w:val="60756C6C"/>
    <w:rsid w:val="60761996"/>
    <w:rsid w:val="60781488"/>
    <w:rsid w:val="607B8958"/>
    <w:rsid w:val="607BA8B5"/>
    <w:rsid w:val="6080079B"/>
    <w:rsid w:val="6086CBCD"/>
    <w:rsid w:val="60884A43"/>
    <w:rsid w:val="60887581"/>
    <w:rsid w:val="608A49EA"/>
    <w:rsid w:val="6091F5D4"/>
    <w:rsid w:val="609265DB"/>
    <w:rsid w:val="6098C4DE"/>
    <w:rsid w:val="609A0049"/>
    <w:rsid w:val="609B95BB"/>
    <w:rsid w:val="60A2F4CA"/>
    <w:rsid w:val="60A441C2"/>
    <w:rsid w:val="60A50CCB"/>
    <w:rsid w:val="60A58BDE"/>
    <w:rsid w:val="60A60377"/>
    <w:rsid w:val="60A619C0"/>
    <w:rsid w:val="60A8C072"/>
    <w:rsid w:val="60AA7DD9"/>
    <w:rsid w:val="60AB4476"/>
    <w:rsid w:val="60ABE352"/>
    <w:rsid w:val="60AC318A"/>
    <w:rsid w:val="60ADCCB3"/>
    <w:rsid w:val="60AFF88C"/>
    <w:rsid w:val="60B67BF9"/>
    <w:rsid w:val="60B8AB0C"/>
    <w:rsid w:val="60BE097D"/>
    <w:rsid w:val="60C40AD0"/>
    <w:rsid w:val="60D0E6F5"/>
    <w:rsid w:val="60D92FDF"/>
    <w:rsid w:val="60E2C9B3"/>
    <w:rsid w:val="60E55E6C"/>
    <w:rsid w:val="60E8B172"/>
    <w:rsid w:val="60F17803"/>
    <w:rsid w:val="60F18CAF"/>
    <w:rsid w:val="60F22958"/>
    <w:rsid w:val="60F82F13"/>
    <w:rsid w:val="60F9420B"/>
    <w:rsid w:val="60FF0129"/>
    <w:rsid w:val="61003A5B"/>
    <w:rsid w:val="61034741"/>
    <w:rsid w:val="61047F66"/>
    <w:rsid w:val="6106B51E"/>
    <w:rsid w:val="610C2507"/>
    <w:rsid w:val="610FE6E3"/>
    <w:rsid w:val="61165C1B"/>
    <w:rsid w:val="61169BFC"/>
    <w:rsid w:val="6117C057"/>
    <w:rsid w:val="6118883E"/>
    <w:rsid w:val="611C59D4"/>
    <w:rsid w:val="611DCC95"/>
    <w:rsid w:val="612508AD"/>
    <w:rsid w:val="612BA590"/>
    <w:rsid w:val="612EA70B"/>
    <w:rsid w:val="612FF196"/>
    <w:rsid w:val="613234AD"/>
    <w:rsid w:val="6132EB02"/>
    <w:rsid w:val="6139C899"/>
    <w:rsid w:val="614383E8"/>
    <w:rsid w:val="614823A4"/>
    <w:rsid w:val="615136F2"/>
    <w:rsid w:val="615D2110"/>
    <w:rsid w:val="615EB033"/>
    <w:rsid w:val="615ED6C4"/>
    <w:rsid w:val="61648EDC"/>
    <w:rsid w:val="61652D99"/>
    <w:rsid w:val="6166BA41"/>
    <w:rsid w:val="61683F85"/>
    <w:rsid w:val="616889FD"/>
    <w:rsid w:val="6168D1AC"/>
    <w:rsid w:val="616A8BA6"/>
    <w:rsid w:val="616EC989"/>
    <w:rsid w:val="61753865"/>
    <w:rsid w:val="617B88FC"/>
    <w:rsid w:val="617D0D8B"/>
    <w:rsid w:val="617D44C5"/>
    <w:rsid w:val="61825F82"/>
    <w:rsid w:val="6183E68F"/>
    <w:rsid w:val="618ED67D"/>
    <w:rsid w:val="61930398"/>
    <w:rsid w:val="6193ECD5"/>
    <w:rsid w:val="61A5A424"/>
    <w:rsid w:val="61ADB6B3"/>
    <w:rsid w:val="61AE1E5A"/>
    <w:rsid w:val="61AE55C1"/>
    <w:rsid w:val="61AF335E"/>
    <w:rsid w:val="61BB98FD"/>
    <w:rsid w:val="61BF13F0"/>
    <w:rsid w:val="61BFB9B9"/>
    <w:rsid w:val="61C2216F"/>
    <w:rsid w:val="61C488FC"/>
    <w:rsid w:val="61C7F4E7"/>
    <w:rsid w:val="61CDCEEE"/>
    <w:rsid w:val="61D28E92"/>
    <w:rsid w:val="61D8662D"/>
    <w:rsid w:val="61DA0002"/>
    <w:rsid w:val="61E09F40"/>
    <w:rsid w:val="61E0EC09"/>
    <w:rsid w:val="61E81DBC"/>
    <w:rsid w:val="61E827D3"/>
    <w:rsid w:val="61E9F049"/>
    <w:rsid w:val="61EC5CFE"/>
    <w:rsid w:val="61ECF436"/>
    <w:rsid w:val="61ED0FA3"/>
    <w:rsid w:val="61F08599"/>
    <w:rsid w:val="61F23393"/>
    <w:rsid w:val="61F4870A"/>
    <w:rsid w:val="61F639AE"/>
    <w:rsid w:val="61F9C6A8"/>
    <w:rsid w:val="61FAE762"/>
    <w:rsid w:val="61FC1D54"/>
    <w:rsid w:val="61FEAAD3"/>
    <w:rsid w:val="6200B48E"/>
    <w:rsid w:val="6200E35A"/>
    <w:rsid w:val="62012FA3"/>
    <w:rsid w:val="621222D3"/>
    <w:rsid w:val="621ED294"/>
    <w:rsid w:val="622354EB"/>
    <w:rsid w:val="62284EE2"/>
    <w:rsid w:val="6232E8F6"/>
    <w:rsid w:val="62360325"/>
    <w:rsid w:val="623F130D"/>
    <w:rsid w:val="6240F143"/>
    <w:rsid w:val="624190A3"/>
    <w:rsid w:val="6244DA91"/>
    <w:rsid w:val="6248A029"/>
    <w:rsid w:val="624A1041"/>
    <w:rsid w:val="624BEE76"/>
    <w:rsid w:val="62515202"/>
    <w:rsid w:val="62544AD2"/>
    <w:rsid w:val="6254E92F"/>
    <w:rsid w:val="6258646A"/>
    <w:rsid w:val="6261D6AE"/>
    <w:rsid w:val="6262E20A"/>
    <w:rsid w:val="62696F86"/>
    <w:rsid w:val="626F6AE4"/>
    <w:rsid w:val="6270BCEA"/>
    <w:rsid w:val="6272B0FE"/>
    <w:rsid w:val="62762403"/>
    <w:rsid w:val="62780257"/>
    <w:rsid w:val="62842F97"/>
    <w:rsid w:val="62883242"/>
    <w:rsid w:val="628B4161"/>
    <w:rsid w:val="6292B777"/>
    <w:rsid w:val="6293935A"/>
    <w:rsid w:val="629829EA"/>
    <w:rsid w:val="629A1315"/>
    <w:rsid w:val="629F97ED"/>
    <w:rsid w:val="62A79C49"/>
    <w:rsid w:val="62A89BC9"/>
    <w:rsid w:val="62B1D042"/>
    <w:rsid w:val="62B47CA8"/>
    <w:rsid w:val="62B5148E"/>
    <w:rsid w:val="62B547F7"/>
    <w:rsid w:val="62B5D095"/>
    <w:rsid w:val="62B9ACCD"/>
    <w:rsid w:val="62BA48C7"/>
    <w:rsid w:val="62C10C77"/>
    <w:rsid w:val="62CCF884"/>
    <w:rsid w:val="62D2E180"/>
    <w:rsid w:val="62D3E0B5"/>
    <w:rsid w:val="62D8E97F"/>
    <w:rsid w:val="62D9D027"/>
    <w:rsid w:val="62D9E180"/>
    <w:rsid w:val="62DB00CC"/>
    <w:rsid w:val="62DB9FA5"/>
    <w:rsid w:val="62E825B7"/>
    <w:rsid w:val="62E82E43"/>
    <w:rsid w:val="62F85314"/>
    <w:rsid w:val="62FAB386"/>
    <w:rsid w:val="630002A6"/>
    <w:rsid w:val="6307A933"/>
    <w:rsid w:val="6308E527"/>
    <w:rsid w:val="6312114F"/>
    <w:rsid w:val="63141696"/>
    <w:rsid w:val="63222FFE"/>
    <w:rsid w:val="63246686"/>
    <w:rsid w:val="6331BE2A"/>
    <w:rsid w:val="6331F0C4"/>
    <w:rsid w:val="633635F3"/>
    <w:rsid w:val="6338E4A6"/>
    <w:rsid w:val="6339E17F"/>
    <w:rsid w:val="633CD3E1"/>
    <w:rsid w:val="633E6471"/>
    <w:rsid w:val="63403253"/>
    <w:rsid w:val="63416B15"/>
    <w:rsid w:val="63433716"/>
    <w:rsid w:val="6348B168"/>
    <w:rsid w:val="634AC1F5"/>
    <w:rsid w:val="634FD489"/>
    <w:rsid w:val="635000BD"/>
    <w:rsid w:val="6350CCA0"/>
    <w:rsid w:val="63524FB5"/>
    <w:rsid w:val="635D5A0A"/>
    <w:rsid w:val="6360B039"/>
    <w:rsid w:val="63696187"/>
    <w:rsid w:val="636C402C"/>
    <w:rsid w:val="636FF47F"/>
    <w:rsid w:val="63770C0B"/>
    <w:rsid w:val="6382BCC9"/>
    <w:rsid w:val="638862E1"/>
    <w:rsid w:val="6391FDFF"/>
    <w:rsid w:val="63983687"/>
    <w:rsid w:val="639AE2A7"/>
    <w:rsid w:val="639EFF84"/>
    <w:rsid w:val="639F5002"/>
    <w:rsid w:val="63A71ACE"/>
    <w:rsid w:val="63ACA5EE"/>
    <w:rsid w:val="63AF3867"/>
    <w:rsid w:val="63BC4651"/>
    <w:rsid w:val="63CC049A"/>
    <w:rsid w:val="63CDF365"/>
    <w:rsid w:val="63D4C924"/>
    <w:rsid w:val="63D62DF0"/>
    <w:rsid w:val="63D95D7F"/>
    <w:rsid w:val="63D97A3F"/>
    <w:rsid w:val="63DB425F"/>
    <w:rsid w:val="63DD9B0C"/>
    <w:rsid w:val="63E4B320"/>
    <w:rsid w:val="63EB29FC"/>
    <w:rsid w:val="63F20F57"/>
    <w:rsid w:val="63F4448A"/>
    <w:rsid w:val="63F887D2"/>
    <w:rsid w:val="63FB94E7"/>
    <w:rsid w:val="63FC17E9"/>
    <w:rsid w:val="63FD43BD"/>
    <w:rsid w:val="6402FE1F"/>
    <w:rsid w:val="64049076"/>
    <w:rsid w:val="6409DFDA"/>
    <w:rsid w:val="640DCC85"/>
    <w:rsid w:val="641297A1"/>
    <w:rsid w:val="6412A971"/>
    <w:rsid w:val="6416B726"/>
    <w:rsid w:val="641755E5"/>
    <w:rsid w:val="641D3531"/>
    <w:rsid w:val="641E9BBB"/>
    <w:rsid w:val="6420EDCA"/>
    <w:rsid w:val="64262FCB"/>
    <w:rsid w:val="642CC044"/>
    <w:rsid w:val="6430385C"/>
    <w:rsid w:val="6431BFF6"/>
    <w:rsid w:val="64374BB2"/>
    <w:rsid w:val="643A3B92"/>
    <w:rsid w:val="643ED8F7"/>
    <w:rsid w:val="643F9262"/>
    <w:rsid w:val="6446CEE8"/>
    <w:rsid w:val="644880A0"/>
    <w:rsid w:val="6449B1BD"/>
    <w:rsid w:val="644D15AE"/>
    <w:rsid w:val="644E05D2"/>
    <w:rsid w:val="644E9AD6"/>
    <w:rsid w:val="6450F9C8"/>
    <w:rsid w:val="6456F229"/>
    <w:rsid w:val="64653B27"/>
    <w:rsid w:val="64678BFE"/>
    <w:rsid w:val="646C0C3B"/>
    <w:rsid w:val="64719DDE"/>
    <w:rsid w:val="648225A0"/>
    <w:rsid w:val="6483CEEF"/>
    <w:rsid w:val="64900AB6"/>
    <w:rsid w:val="649660AF"/>
    <w:rsid w:val="6496AEA2"/>
    <w:rsid w:val="649C067E"/>
    <w:rsid w:val="649D2467"/>
    <w:rsid w:val="64A53324"/>
    <w:rsid w:val="64A6FB3B"/>
    <w:rsid w:val="64A9721E"/>
    <w:rsid w:val="64A9F323"/>
    <w:rsid w:val="64AF6DF7"/>
    <w:rsid w:val="64B08E9D"/>
    <w:rsid w:val="64B6058E"/>
    <w:rsid w:val="64BC016B"/>
    <w:rsid w:val="64BCFD79"/>
    <w:rsid w:val="64BDEE6E"/>
    <w:rsid w:val="64BF5DBE"/>
    <w:rsid w:val="64BF9960"/>
    <w:rsid w:val="64BF9D3A"/>
    <w:rsid w:val="64BFB941"/>
    <w:rsid w:val="64C382B1"/>
    <w:rsid w:val="64C42EF4"/>
    <w:rsid w:val="64CA2D98"/>
    <w:rsid w:val="64CC8432"/>
    <w:rsid w:val="64CCC7B2"/>
    <w:rsid w:val="64CEB905"/>
    <w:rsid w:val="64D3EC15"/>
    <w:rsid w:val="64D56890"/>
    <w:rsid w:val="64DB22D0"/>
    <w:rsid w:val="64E232CF"/>
    <w:rsid w:val="64E7CA64"/>
    <w:rsid w:val="64E909F4"/>
    <w:rsid w:val="64EB9C9D"/>
    <w:rsid w:val="64F25450"/>
    <w:rsid w:val="64F4EA0E"/>
    <w:rsid w:val="650241A3"/>
    <w:rsid w:val="65026D24"/>
    <w:rsid w:val="6503725C"/>
    <w:rsid w:val="65040295"/>
    <w:rsid w:val="65084EC9"/>
    <w:rsid w:val="65091FFE"/>
    <w:rsid w:val="650CCA26"/>
    <w:rsid w:val="651734E4"/>
    <w:rsid w:val="65195760"/>
    <w:rsid w:val="651ACF25"/>
    <w:rsid w:val="6520315D"/>
    <w:rsid w:val="6524BD8C"/>
    <w:rsid w:val="6526A693"/>
    <w:rsid w:val="65279BB0"/>
    <w:rsid w:val="652E4D1F"/>
    <w:rsid w:val="6533D70B"/>
    <w:rsid w:val="653A1247"/>
    <w:rsid w:val="653C6803"/>
    <w:rsid w:val="6546F95F"/>
    <w:rsid w:val="65476388"/>
    <w:rsid w:val="6548B028"/>
    <w:rsid w:val="654EA14E"/>
    <w:rsid w:val="654F70E4"/>
    <w:rsid w:val="6551DB3A"/>
    <w:rsid w:val="65539B9F"/>
    <w:rsid w:val="6568D0D5"/>
    <w:rsid w:val="657132F2"/>
    <w:rsid w:val="65742779"/>
    <w:rsid w:val="65757867"/>
    <w:rsid w:val="6576EC09"/>
    <w:rsid w:val="6577A4C7"/>
    <w:rsid w:val="6579124D"/>
    <w:rsid w:val="6587A33D"/>
    <w:rsid w:val="658846B6"/>
    <w:rsid w:val="65888849"/>
    <w:rsid w:val="65905548"/>
    <w:rsid w:val="659A803D"/>
    <w:rsid w:val="659C9C00"/>
    <w:rsid w:val="65A2D532"/>
    <w:rsid w:val="65A83C61"/>
    <w:rsid w:val="65AE992A"/>
    <w:rsid w:val="65B05BEC"/>
    <w:rsid w:val="65B68BF5"/>
    <w:rsid w:val="65B94C58"/>
    <w:rsid w:val="65BBB23E"/>
    <w:rsid w:val="65BE4A37"/>
    <w:rsid w:val="65C0CDC3"/>
    <w:rsid w:val="65C527A1"/>
    <w:rsid w:val="65C9DCF6"/>
    <w:rsid w:val="65D4509B"/>
    <w:rsid w:val="65D8FB4F"/>
    <w:rsid w:val="65DCB84A"/>
    <w:rsid w:val="65E5D3E1"/>
    <w:rsid w:val="65E6BA5A"/>
    <w:rsid w:val="65E96155"/>
    <w:rsid w:val="65EC1608"/>
    <w:rsid w:val="65EF07FE"/>
    <w:rsid w:val="65F30604"/>
    <w:rsid w:val="65F4A141"/>
    <w:rsid w:val="65F9B1DA"/>
    <w:rsid w:val="65FB2996"/>
    <w:rsid w:val="65FDABB3"/>
    <w:rsid w:val="660006AD"/>
    <w:rsid w:val="660750B4"/>
    <w:rsid w:val="66097A7D"/>
    <w:rsid w:val="6610B788"/>
    <w:rsid w:val="66117909"/>
    <w:rsid w:val="6611E7F0"/>
    <w:rsid w:val="661210F2"/>
    <w:rsid w:val="661E92ED"/>
    <w:rsid w:val="6622965B"/>
    <w:rsid w:val="6629A1BB"/>
    <w:rsid w:val="663175E1"/>
    <w:rsid w:val="6633525A"/>
    <w:rsid w:val="663AC305"/>
    <w:rsid w:val="663B4D65"/>
    <w:rsid w:val="663D8C07"/>
    <w:rsid w:val="663E6DDA"/>
    <w:rsid w:val="663FCD9C"/>
    <w:rsid w:val="6644BE5A"/>
    <w:rsid w:val="6646408C"/>
    <w:rsid w:val="66477D19"/>
    <w:rsid w:val="6647F679"/>
    <w:rsid w:val="664872E0"/>
    <w:rsid w:val="664A388E"/>
    <w:rsid w:val="66568EB9"/>
    <w:rsid w:val="6657A2F7"/>
    <w:rsid w:val="665A4056"/>
    <w:rsid w:val="666281D5"/>
    <w:rsid w:val="6668BF43"/>
    <w:rsid w:val="6669B674"/>
    <w:rsid w:val="668178A1"/>
    <w:rsid w:val="66842038"/>
    <w:rsid w:val="6699BBC1"/>
    <w:rsid w:val="669BA15D"/>
    <w:rsid w:val="669BF77D"/>
    <w:rsid w:val="669F706F"/>
    <w:rsid w:val="66A0FD24"/>
    <w:rsid w:val="66A15D57"/>
    <w:rsid w:val="66A8EDA7"/>
    <w:rsid w:val="66ACBCB7"/>
    <w:rsid w:val="66AD0F57"/>
    <w:rsid w:val="66B40686"/>
    <w:rsid w:val="66B9E405"/>
    <w:rsid w:val="66BC66B0"/>
    <w:rsid w:val="66BD4158"/>
    <w:rsid w:val="66BF30CA"/>
    <w:rsid w:val="66BF6886"/>
    <w:rsid w:val="66C0E852"/>
    <w:rsid w:val="66C20BD9"/>
    <w:rsid w:val="66CB0899"/>
    <w:rsid w:val="66CDA4F1"/>
    <w:rsid w:val="66CDFAA1"/>
    <w:rsid w:val="66CFF0AD"/>
    <w:rsid w:val="66D794B8"/>
    <w:rsid w:val="66D961E3"/>
    <w:rsid w:val="66E18F6D"/>
    <w:rsid w:val="66E19370"/>
    <w:rsid w:val="66E35E8B"/>
    <w:rsid w:val="66E37EEC"/>
    <w:rsid w:val="66EC4E58"/>
    <w:rsid w:val="66F9BE9A"/>
    <w:rsid w:val="67039419"/>
    <w:rsid w:val="6709702A"/>
    <w:rsid w:val="670AE3D6"/>
    <w:rsid w:val="671124D9"/>
    <w:rsid w:val="6711E50D"/>
    <w:rsid w:val="67174FD5"/>
    <w:rsid w:val="6720B5CF"/>
    <w:rsid w:val="67234994"/>
    <w:rsid w:val="672A9A3E"/>
    <w:rsid w:val="6741AC59"/>
    <w:rsid w:val="67437319"/>
    <w:rsid w:val="67521F51"/>
    <w:rsid w:val="6753DF0B"/>
    <w:rsid w:val="675ABE7A"/>
    <w:rsid w:val="675AD0B5"/>
    <w:rsid w:val="675C87C1"/>
    <w:rsid w:val="675F61B8"/>
    <w:rsid w:val="67601EF8"/>
    <w:rsid w:val="6768C343"/>
    <w:rsid w:val="677634CB"/>
    <w:rsid w:val="677A1AF4"/>
    <w:rsid w:val="677B68C9"/>
    <w:rsid w:val="677C5ED6"/>
    <w:rsid w:val="67826509"/>
    <w:rsid w:val="67846D55"/>
    <w:rsid w:val="67865932"/>
    <w:rsid w:val="678A3540"/>
    <w:rsid w:val="678E3290"/>
    <w:rsid w:val="6794C49B"/>
    <w:rsid w:val="6795098A"/>
    <w:rsid w:val="6796ECE9"/>
    <w:rsid w:val="679EBDFF"/>
    <w:rsid w:val="67A387BB"/>
    <w:rsid w:val="67A5FD88"/>
    <w:rsid w:val="67A87C14"/>
    <w:rsid w:val="67A8D51C"/>
    <w:rsid w:val="67AD152A"/>
    <w:rsid w:val="67B2DF3F"/>
    <w:rsid w:val="67B36971"/>
    <w:rsid w:val="67B4AC80"/>
    <w:rsid w:val="67B5FCBC"/>
    <w:rsid w:val="67BF3654"/>
    <w:rsid w:val="67BF4D13"/>
    <w:rsid w:val="67C06E3D"/>
    <w:rsid w:val="67C0ACAD"/>
    <w:rsid w:val="67C59B5C"/>
    <w:rsid w:val="67C69E4B"/>
    <w:rsid w:val="67C70E80"/>
    <w:rsid w:val="67CDEEC3"/>
    <w:rsid w:val="67CF85BB"/>
    <w:rsid w:val="67CFAFFA"/>
    <w:rsid w:val="67D290A6"/>
    <w:rsid w:val="67D82576"/>
    <w:rsid w:val="67D8A66F"/>
    <w:rsid w:val="67DAE1D5"/>
    <w:rsid w:val="67DD8279"/>
    <w:rsid w:val="67DD861F"/>
    <w:rsid w:val="67DEC7CE"/>
    <w:rsid w:val="67E221F8"/>
    <w:rsid w:val="67E65C80"/>
    <w:rsid w:val="67F19B95"/>
    <w:rsid w:val="67F269BA"/>
    <w:rsid w:val="67F63A5D"/>
    <w:rsid w:val="67F8115B"/>
    <w:rsid w:val="67FF8D4B"/>
    <w:rsid w:val="6804668D"/>
    <w:rsid w:val="68069296"/>
    <w:rsid w:val="6806DCEA"/>
    <w:rsid w:val="681DE2C0"/>
    <w:rsid w:val="68242A53"/>
    <w:rsid w:val="68245AA2"/>
    <w:rsid w:val="6829E80A"/>
    <w:rsid w:val="682C2C11"/>
    <w:rsid w:val="682F8D27"/>
    <w:rsid w:val="68304793"/>
    <w:rsid w:val="683267BB"/>
    <w:rsid w:val="68392AA6"/>
    <w:rsid w:val="6839EFD0"/>
    <w:rsid w:val="683E4D97"/>
    <w:rsid w:val="6841F3DE"/>
    <w:rsid w:val="6845E125"/>
    <w:rsid w:val="68546117"/>
    <w:rsid w:val="6858542C"/>
    <w:rsid w:val="6859CC69"/>
    <w:rsid w:val="68601E2B"/>
    <w:rsid w:val="6865A309"/>
    <w:rsid w:val="6865B30E"/>
    <w:rsid w:val="68667441"/>
    <w:rsid w:val="686CBBA7"/>
    <w:rsid w:val="6876C863"/>
    <w:rsid w:val="687752F5"/>
    <w:rsid w:val="687B7758"/>
    <w:rsid w:val="687F15BF"/>
    <w:rsid w:val="68821A21"/>
    <w:rsid w:val="6886CA00"/>
    <w:rsid w:val="68946463"/>
    <w:rsid w:val="6896453E"/>
    <w:rsid w:val="68967328"/>
    <w:rsid w:val="68992895"/>
    <w:rsid w:val="68993F17"/>
    <w:rsid w:val="689B937D"/>
    <w:rsid w:val="689C85D3"/>
    <w:rsid w:val="689DC477"/>
    <w:rsid w:val="689F6693"/>
    <w:rsid w:val="68A3370E"/>
    <w:rsid w:val="68B4EC57"/>
    <w:rsid w:val="68B61708"/>
    <w:rsid w:val="68B6568B"/>
    <w:rsid w:val="68B695F5"/>
    <w:rsid w:val="68BB03E7"/>
    <w:rsid w:val="68BFA9FD"/>
    <w:rsid w:val="68C19810"/>
    <w:rsid w:val="68C9B1C8"/>
    <w:rsid w:val="68CA8FA1"/>
    <w:rsid w:val="68CB90F6"/>
    <w:rsid w:val="68DA39EF"/>
    <w:rsid w:val="68DC813E"/>
    <w:rsid w:val="68E18BF8"/>
    <w:rsid w:val="68E7D22F"/>
    <w:rsid w:val="68E8067C"/>
    <w:rsid w:val="68EAC2B7"/>
    <w:rsid w:val="68ED4C3D"/>
    <w:rsid w:val="68EED793"/>
    <w:rsid w:val="68F71236"/>
    <w:rsid w:val="68F8C527"/>
    <w:rsid w:val="68FA9D09"/>
    <w:rsid w:val="68FE5F56"/>
    <w:rsid w:val="6901A889"/>
    <w:rsid w:val="69032AD1"/>
    <w:rsid w:val="69052AD2"/>
    <w:rsid w:val="6906476A"/>
    <w:rsid w:val="69074159"/>
    <w:rsid w:val="690B7700"/>
    <w:rsid w:val="690C69CE"/>
    <w:rsid w:val="69193708"/>
    <w:rsid w:val="6919CB67"/>
    <w:rsid w:val="6923C745"/>
    <w:rsid w:val="6936E44B"/>
    <w:rsid w:val="69374392"/>
    <w:rsid w:val="693A1B6F"/>
    <w:rsid w:val="693BA587"/>
    <w:rsid w:val="6943A4DE"/>
    <w:rsid w:val="6947624F"/>
    <w:rsid w:val="694AE033"/>
    <w:rsid w:val="694E955C"/>
    <w:rsid w:val="6950C3E5"/>
    <w:rsid w:val="69513BE0"/>
    <w:rsid w:val="6957D3B8"/>
    <w:rsid w:val="69670BA8"/>
    <w:rsid w:val="69685347"/>
    <w:rsid w:val="696DD00C"/>
    <w:rsid w:val="696F5E03"/>
    <w:rsid w:val="697053D3"/>
    <w:rsid w:val="6975C3A7"/>
    <w:rsid w:val="69773D89"/>
    <w:rsid w:val="697B72DC"/>
    <w:rsid w:val="697EB50B"/>
    <w:rsid w:val="697FDCEE"/>
    <w:rsid w:val="698253A0"/>
    <w:rsid w:val="6988A5B8"/>
    <w:rsid w:val="6988FE3C"/>
    <w:rsid w:val="698B70B0"/>
    <w:rsid w:val="698CE70C"/>
    <w:rsid w:val="698D9FF3"/>
    <w:rsid w:val="698F5AB5"/>
    <w:rsid w:val="6991E91C"/>
    <w:rsid w:val="69937128"/>
    <w:rsid w:val="699956DB"/>
    <w:rsid w:val="699D92A5"/>
    <w:rsid w:val="69A679E7"/>
    <w:rsid w:val="69A694FD"/>
    <w:rsid w:val="69BD759D"/>
    <w:rsid w:val="69BFAE15"/>
    <w:rsid w:val="69BFFEBF"/>
    <w:rsid w:val="69C1D235"/>
    <w:rsid w:val="69C3E6E1"/>
    <w:rsid w:val="69C852F2"/>
    <w:rsid w:val="69CA412D"/>
    <w:rsid w:val="69CAC60E"/>
    <w:rsid w:val="69D02CC1"/>
    <w:rsid w:val="69E0F5BE"/>
    <w:rsid w:val="69E16DCE"/>
    <w:rsid w:val="69E21273"/>
    <w:rsid w:val="69EDF3C9"/>
    <w:rsid w:val="69F1CE34"/>
    <w:rsid w:val="69FCC8EE"/>
    <w:rsid w:val="69FCF0A7"/>
    <w:rsid w:val="69FDBC1E"/>
    <w:rsid w:val="69FE29DF"/>
    <w:rsid w:val="6A01F6F6"/>
    <w:rsid w:val="6A07FBB6"/>
    <w:rsid w:val="6A09212C"/>
    <w:rsid w:val="6A0B7AE5"/>
    <w:rsid w:val="6A0D416D"/>
    <w:rsid w:val="6A130D40"/>
    <w:rsid w:val="6A132021"/>
    <w:rsid w:val="6A17517F"/>
    <w:rsid w:val="6A18FA2F"/>
    <w:rsid w:val="6A19C205"/>
    <w:rsid w:val="6A1FC3DB"/>
    <w:rsid w:val="6A21911F"/>
    <w:rsid w:val="6A22B75D"/>
    <w:rsid w:val="6A236FFE"/>
    <w:rsid w:val="6A24E357"/>
    <w:rsid w:val="6A2BE5C7"/>
    <w:rsid w:val="6A35961E"/>
    <w:rsid w:val="6A3B0583"/>
    <w:rsid w:val="6A47FA79"/>
    <w:rsid w:val="6A504DBF"/>
    <w:rsid w:val="6A51ED6A"/>
    <w:rsid w:val="6A569103"/>
    <w:rsid w:val="6A588B98"/>
    <w:rsid w:val="6A59163A"/>
    <w:rsid w:val="6A59B153"/>
    <w:rsid w:val="6A611F6B"/>
    <w:rsid w:val="6A62D366"/>
    <w:rsid w:val="6A630921"/>
    <w:rsid w:val="6A708AC3"/>
    <w:rsid w:val="6A71E420"/>
    <w:rsid w:val="6A739E35"/>
    <w:rsid w:val="6A7513AD"/>
    <w:rsid w:val="6A76C5BF"/>
    <w:rsid w:val="6A7ACBE5"/>
    <w:rsid w:val="6A850ED0"/>
    <w:rsid w:val="6A8995D9"/>
    <w:rsid w:val="6A8DED5C"/>
    <w:rsid w:val="6A930831"/>
    <w:rsid w:val="6A9C7F3C"/>
    <w:rsid w:val="6A9CE7A8"/>
    <w:rsid w:val="6A9FA31B"/>
    <w:rsid w:val="6A9FE4E0"/>
    <w:rsid w:val="6AA50DF2"/>
    <w:rsid w:val="6AA54835"/>
    <w:rsid w:val="6AAD4A5D"/>
    <w:rsid w:val="6AB81946"/>
    <w:rsid w:val="6AB8B3E2"/>
    <w:rsid w:val="6ABFD110"/>
    <w:rsid w:val="6AC0DDBF"/>
    <w:rsid w:val="6AC3FE9C"/>
    <w:rsid w:val="6AC739B9"/>
    <w:rsid w:val="6AC9EAC0"/>
    <w:rsid w:val="6AD1F736"/>
    <w:rsid w:val="6AD34105"/>
    <w:rsid w:val="6AD9F100"/>
    <w:rsid w:val="6AE082D6"/>
    <w:rsid w:val="6AE70415"/>
    <w:rsid w:val="6AE7FF49"/>
    <w:rsid w:val="6AE81670"/>
    <w:rsid w:val="6AE83118"/>
    <w:rsid w:val="6AED40C5"/>
    <w:rsid w:val="6AED4987"/>
    <w:rsid w:val="6AF078D1"/>
    <w:rsid w:val="6AF33483"/>
    <w:rsid w:val="6AFAB96B"/>
    <w:rsid w:val="6AFB9396"/>
    <w:rsid w:val="6AFC771F"/>
    <w:rsid w:val="6B0025DB"/>
    <w:rsid w:val="6B022CBE"/>
    <w:rsid w:val="6B0D6969"/>
    <w:rsid w:val="6B13D2E7"/>
    <w:rsid w:val="6B147831"/>
    <w:rsid w:val="6B16D966"/>
    <w:rsid w:val="6B1AB567"/>
    <w:rsid w:val="6B210AB5"/>
    <w:rsid w:val="6B2CD54F"/>
    <w:rsid w:val="6B2DFA51"/>
    <w:rsid w:val="6B2EDC28"/>
    <w:rsid w:val="6B31CAC6"/>
    <w:rsid w:val="6B32A66C"/>
    <w:rsid w:val="6B334FC4"/>
    <w:rsid w:val="6B3A6E95"/>
    <w:rsid w:val="6B3AFB70"/>
    <w:rsid w:val="6B3B8BE8"/>
    <w:rsid w:val="6B3D8630"/>
    <w:rsid w:val="6B41EE3E"/>
    <w:rsid w:val="6B429292"/>
    <w:rsid w:val="6B474543"/>
    <w:rsid w:val="6B4910CF"/>
    <w:rsid w:val="6B5C6CA8"/>
    <w:rsid w:val="6B5E90BB"/>
    <w:rsid w:val="6B5EE8F5"/>
    <w:rsid w:val="6B5F82B2"/>
    <w:rsid w:val="6B61232E"/>
    <w:rsid w:val="6B649CC8"/>
    <w:rsid w:val="6B654FF8"/>
    <w:rsid w:val="6B690136"/>
    <w:rsid w:val="6B6F85AC"/>
    <w:rsid w:val="6B727806"/>
    <w:rsid w:val="6B770F03"/>
    <w:rsid w:val="6B7AAFD7"/>
    <w:rsid w:val="6B7E07C4"/>
    <w:rsid w:val="6B7EDDE8"/>
    <w:rsid w:val="6B848244"/>
    <w:rsid w:val="6B8630F0"/>
    <w:rsid w:val="6B885C10"/>
    <w:rsid w:val="6B8908AF"/>
    <w:rsid w:val="6B8F32D0"/>
    <w:rsid w:val="6B9458A8"/>
    <w:rsid w:val="6B9548B6"/>
    <w:rsid w:val="6B9F0C91"/>
    <w:rsid w:val="6BA1F2E0"/>
    <w:rsid w:val="6BA6DB92"/>
    <w:rsid w:val="6BA7A755"/>
    <w:rsid w:val="6BAF51A4"/>
    <w:rsid w:val="6BB09B1C"/>
    <w:rsid w:val="6BC12709"/>
    <w:rsid w:val="6BC92BD8"/>
    <w:rsid w:val="6BCB6EE0"/>
    <w:rsid w:val="6BCFD02E"/>
    <w:rsid w:val="6BD212FF"/>
    <w:rsid w:val="6BD4543D"/>
    <w:rsid w:val="6BD624D5"/>
    <w:rsid w:val="6BD658DE"/>
    <w:rsid w:val="6BDA0F1B"/>
    <w:rsid w:val="6BDA266F"/>
    <w:rsid w:val="6BDAD267"/>
    <w:rsid w:val="6BDAE03B"/>
    <w:rsid w:val="6BDB24BB"/>
    <w:rsid w:val="6BDBC5B3"/>
    <w:rsid w:val="6BDC7B79"/>
    <w:rsid w:val="6BE140AA"/>
    <w:rsid w:val="6BEBF7B5"/>
    <w:rsid w:val="6BF1FC5A"/>
    <w:rsid w:val="6BF2514E"/>
    <w:rsid w:val="6BF6954C"/>
    <w:rsid w:val="6BF7F5E4"/>
    <w:rsid w:val="6BF8563A"/>
    <w:rsid w:val="6BF950B8"/>
    <w:rsid w:val="6BFD35CD"/>
    <w:rsid w:val="6C00F42D"/>
    <w:rsid w:val="6C0109BF"/>
    <w:rsid w:val="6C04C96A"/>
    <w:rsid w:val="6C095F6E"/>
    <w:rsid w:val="6C1059BF"/>
    <w:rsid w:val="6C10F5F1"/>
    <w:rsid w:val="6C129C6E"/>
    <w:rsid w:val="6C1FA38E"/>
    <w:rsid w:val="6C2F830D"/>
    <w:rsid w:val="6C2FEC40"/>
    <w:rsid w:val="6C305451"/>
    <w:rsid w:val="6C3681E3"/>
    <w:rsid w:val="6C383D5A"/>
    <w:rsid w:val="6C3BB1E5"/>
    <w:rsid w:val="6C3E1979"/>
    <w:rsid w:val="6C403E85"/>
    <w:rsid w:val="6C41943A"/>
    <w:rsid w:val="6C41A55B"/>
    <w:rsid w:val="6C50F243"/>
    <w:rsid w:val="6C54D074"/>
    <w:rsid w:val="6C639488"/>
    <w:rsid w:val="6C66D3E2"/>
    <w:rsid w:val="6C6A9A67"/>
    <w:rsid w:val="6C6AD737"/>
    <w:rsid w:val="6C6B5490"/>
    <w:rsid w:val="6C6DF953"/>
    <w:rsid w:val="6C6E06C4"/>
    <w:rsid w:val="6C71198A"/>
    <w:rsid w:val="6C71A524"/>
    <w:rsid w:val="6C767B7C"/>
    <w:rsid w:val="6C820BF9"/>
    <w:rsid w:val="6C833316"/>
    <w:rsid w:val="6C844C49"/>
    <w:rsid w:val="6C8596AD"/>
    <w:rsid w:val="6C8775B6"/>
    <w:rsid w:val="6C87FD5D"/>
    <w:rsid w:val="6C8866E2"/>
    <w:rsid w:val="6C8A7EF9"/>
    <w:rsid w:val="6C8C6CB5"/>
    <w:rsid w:val="6C8E8DB2"/>
    <w:rsid w:val="6C92A1B6"/>
    <w:rsid w:val="6CA41D79"/>
    <w:rsid w:val="6CA4C709"/>
    <w:rsid w:val="6CA663B4"/>
    <w:rsid w:val="6CA7A1B2"/>
    <w:rsid w:val="6CAB62AA"/>
    <w:rsid w:val="6CAE7DA2"/>
    <w:rsid w:val="6CAFD779"/>
    <w:rsid w:val="6CB0606D"/>
    <w:rsid w:val="6CB105FD"/>
    <w:rsid w:val="6CB13E26"/>
    <w:rsid w:val="6CB4AC49"/>
    <w:rsid w:val="6CB5C1E4"/>
    <w:rsid w:val="6CB6DFE7"/>
    <w:rsid w:val="6CB8A341"/>
    <w:rsid w:val="6CB9FEA0"/>
    <w:rsid w:val="6CBDF7E5"/>
    <w:rsid w:val="6CC4BAE8"/>
    <w:rsid w:val="6CCA8DD6"/>
    <w:rsid w:val="6CE3C24B"/>
    <w:rsid w:val="6CE41D13"/>
    <w:rsid w:val="6CE45C5C"/>
    <w:rsid w:val="6CE7DB6B"/>
    <w:rsid w:val="6CEF3A81"/>
    <w:rsid w:val="6CF5E724"/>
    <w:rsid w:val="6D00570E"/>
    <w:rsid w:val="6D019826"/>
    <w:rsid w:val="6D043684"/>
    <w:rsid w:val="6D0529A4"/>
    <w:rsid w:val="6D064775"/>
    <w:rsid w:val="6D07AA58"/>
    <w:rsid w:val="6D0837B6"/>
    <w:rsid w:val="6D098C14"/>
    <w:rsid w:val="6D0CBDA3"/>
    <w:rsid w:val="6D0F933D"/>
    <w:rsid w:val="6D178DC3"/>
    <w:rsid w:val="6D17FB49"/>
    <w:rsid w:val="6D1BA71C"/>
    <w:rsid w:val="6D290B30"/>
    <w:rsid w:val="6D29DF92"/>
    <w:rsid w:val="6D2A90CC"/>
    <w:rsid w:val="6D2E9362"/>
    <w:rsid w:val="6D311A2B"/>
    <w:rsid w:val="6D314981"/>
    <w:rsid w:val="6D3408EF"/>
    <w:rsid w:val="6D34C698"/>
    <w:rsid w:val="6D3BACA8"/>
    <w:rsid w:val="6D3C230C"/>
    <w:rsid w:val="6D412A5C"/>
    <w:rsid w:val="6D42AF7F"/>
    <w:rsid w:val="6D42B1B5"/>
    <w:rsid w:val="6D432FD4"/>
    <w:rsid w:val="6D462BCA"/>
    <w:rsid w:val="6D4CFD63"/>
    <w:rsid w:val="6D52250C"/>
    <w:rsid w:val="6D548D00"/>
    <w:rsid w:val="6D58970A"/>
    <w:rsid w:val="6D5C6137"/>
    <w:rsid w:val="6D5CCCC8"/>
    <w:rsid w:val="6D639EAD"/>
    <w:rsid w:val="6D661834"/>
    <w:rsid w:val="6D66B6D5"/>
    <w:rsid w:val="6D6A0684"/>
    <w:rsid w:val="6D6B50EA"/>
    <w:rsid w:val="6D6E71BA"/>
    <w:rsid w:val="6D6FE00B"/>
    <w:rsid w:val="6D705F6B"/>
    <w:rsid w:val="6D711B80"/>
    <w:rsid w:val="6D7250EC"/>
    <w:rsid w:val="6D731C08"/>
    <w:rsid w:val="6D83CE1D"/>
    <w:rsid w:val="6D85745B"/>
    <w:rsid w:val="6D8DE6DA"/>
    <w:rsid w:val="6D974B44"/>
    <w:rsid w:val="6DA1F812"/>
    <w:rsid w:val="6DA34824"/>
    <w:rsid w:val="6DA3EBD6"/>
    <w:rsid w:val="6DA4F764"/>
    <w:rsid w:val="6DA92DFF"/>
    <w:rsid w:val="6DAB5D06"/>
    <w:rsid w:val="6DB24C7C"/>
    <w:rsid w:val="6DB61CFB"/>
    <w:rsid w:val="6DBBE455"/>
    <w:rsid w:val="6DBE2F41"/>
    <w:rsid w:val="6DC0A3D2"/>
    <w:rsid w:val="6DC68540"/>
    <w:rsid w:val="6DD0E10F"/>
    <w:rsid w:val="6DD24163"/>
    <w:rsid w:val="6DD3FE6F"/>
    <w:rsid w:val="6DD428C6"/>
    <w:rsid w:val="6DD676E6"/>
    <w:rsid w:val="6DD8C6EB"/>
    <w:rsid w:val="6DDC691A"/>
    <w:rsid w:val="6DE1CE33"/>
    <w:rsid w:val="6DEEB74D"/>
    <w:rsid w:val="6DF4E191"/>
    <w:rsid w:val="6DF63411"/>
    <w:rsid w:val="6DF891B9"/>
    <w:rsid w:val="6DFE17C6"/>
    <w:rsid w:val="6DFEE16C"/>
    <w:rsid w:val="6E0389B8"/>
    <w:rsid w:val="6E03E30C"/>
    <w:rsid w:val="6E042E51"/>
    <w:rsid w:val="6E07EC70"/>
    <w:rsid w:val="6E090BA5"/>
    <w:rsid w:val="6E096A5B"/>
    <w:rsid w:val="6E0BE3E3"/>
    <w:rsid w:val="6E0BF1B7"/>
    <w:rsid w:val="6E0C3287"/>
    <w:rsid w:val="6E0ED882"/>
    <w:rsid w:val="6E108415"/>
    <w:rsid w:val="6E1341B2"/>
    <w:rsid w:val="6E19B259"/>
    <w:rsid w:val="6E1D9B61"/>
    <w:rsid w:val="6E212EE9"/>
    <w:rsid w:val="6E23547D"/>
    <w:rsid w:val="6E2BBEFE"/>
    <w:rsid w:val="6E356E8B"/>
    <w:rsid w:val="6E3D6577"/>
    <w:rsid w:val="6E3F9A2F"/>
    <w:rsid w:val="6E40765C"/>
    <w:rsid w:val="6E408AB4"/>
    <w:rsid w:val="6E40A8CD"/>
    <w:rsid w:val="6E440246"/>
    <w:rsid w:val="6E502012"/>
    <w:rsid w:val="6E50F01F"/>
    <w:rsid w:val="6E5231E2"/>
    <w:rsid w:val="6E5E05DF"/>
    <w:rsid w:val="6E62297D"/>
    <w:rsid w:val="6E63B696"/>
    <w:rsid w:val="6E66E8BC"/>
    <w:rsid w:val="6E690CB1"/>
    <w:rsid w:val="6E695CEC"/>
    <w:rsid w:val="6E6A041A"/>
    <w:rsid w:val="6E6E27CD"/>
    <w:rsid w:val="6E72AC8A"/>
    <w:rsid w:val="6E72D239"/>
    <w:rsid w:val="6E73B615"/>
    <w:rsid w:val="6E74B6F4"/>
    <w:rsid w:val="6E7E82AB"/>
    <w:rsid w:val="6E8084DD"/>
    <w:rsid w:val="6E80D97D"/>
    <w:rsid w:val="6E865C32"/>
    <w:rsid w:val="6E87FC3B"/>
    <w:rsid w:val="6E899BA1"/>
    <w:rsid w:val="6E8BB1B9"/>
    <w:rsid w:val="6E8DA2BD"/>
    <w:rsid w:val="6E8DCCB8"/>
    <w:rsid w:val="6E963FD1"/>
    <w:rsid w:val="6E97075F"/>
    <w:rsid w:val="6E9A2DCD"/>
    <w:rsid w:val="6EA89959"/>
    <w:rsid w:val="6EAADC41"/>
    <w:rsid w:val="6EABCA19"/>
    <w:rsid w:val="6EAF47A4"/>
    <w:rsid w:val="6EAFF1D7"/>
    <w:rsid w:val="6EB0699D"/>
    <w:rsid w:val="6EB1567D"/>
    <w:rsid w:val="6EBB8F87"/>
    <w:rsid w:val="6EBBEA57"/>
    <w:rsid w:val="6EBBED7A"/>
    <w:rsid w:val="6EC5C935"/>
    <w:rsid w:val="6EC6DE85"/>
    <w:rsid w:val="6EC8D68A"/>
    <w:rsid w:val="6ECA0ADD"/>
    <w:rsid w:val="6ECFEAA1"/>
    <w:rsid w:val="6ED08EE1"/>
    <w:rsid w:val="6ED84E0B"/>
    <w:rsid w:val="6ED9F001"/>
    <w:rsid w:val="6EDF4478"/>
    <w:rsid w:val="6EE0476E"/>
    <w:rsid w:val="6EE12E2E"/>
    <w:rsid w:val="6EE22DF4"/>
    <w:rsid w:val="6EE38908"/>
    <w:rsid w:val="6EE5FDDD"/>
    <w:rsid w:val="6EF0F9AD"/>
    <w:rsid w:val="6EF3569D"/>
    <w:rsid w:val="6EF709E6"/>
    <w:rsid w:val="6EFD635B"/>
    <w:rsid w:val="6F01FCF2"/>
    <w:rsid w:val="6F09A640"/>
    <w:rsid w:val="6F14421F"/>
    <w:rsid w:val="6F15311B"/>
    <w:rsid w:val="6F1D8F5A"/>
    <w:rsid w:val="6F1FD351"/>
    <w:rsid w:val="6F2122BA"/>
    <w:rsid w:val="6F2BA467"/>
    <w:rsid w:val="6F314977"/>
    <w:rsid w:val="6F315FBA"/>
    <w:rsid w:val="6F3783C5"/>
    <w:rsid w:val="6F3B8772"/>
    <w:rsid w:val="6F3D165A"/>
    <w:rsid w:val="6F3EC666"/>
    <w:rsid w:val="6F43E016"/>
    <w:rsid w:val="6F449473"/>
    <w:rsid w:val="6F456652"/>
    <w:rsid w:val="6F492C42"/>
    <w:rsid w:val="6F497C33"/>
    <w:rsid w:val="6F4AF61D"/>
    <w:rsid w:val="6F4D0C17"/>
    <w:rsid w:val="6F4E89CD"/>
    <w:rsid w:val="6F4F7F08"/>
    <w:rsid w:val="6F5EBB80"/>
    <w:rsid w:val="6F602C82"/>
    <w:rsid w:val="6F659FB1"/>
    <w:rsid w:val="6F689D7B"/>
    <w:rsid w:val="6F728797"/>
    <w:rsid w:val="6F74D206"/>
    <w:rsid w:val="6F78EE6B"/>
    <w:rsid w:val="6F7ACA80"/>
    <w:rsid w:val="6F7B6FD5"/>
    <w:rsid w:val="6F7E5F9D"/>
    <w:rsid w:val="6F867693"/>
    <w:rsid w:val="6F8A3DEC"/>
    <w:rsid w:val="6F8FECE3"/>
    <w:rsid w:val="6F9CFAD7"/>
    <w:rsid w:val="6F9E412F"/>
    <w:rsid w:val="6FA11F14"/>
    <w:rsid w:val="6FA61BD2"/>
    <w:rsid w:val="6FA9CA72"/>
    <w:rsid w:val="6FAA4F62"/>
    <w:rsid w:val="6FAB04BC"/>
    <w:rsid w:val="6FACCF37"/>
    <w:rsid w:val="6FACFD0B"/>
    <w:rsid w:val="6FBBAD9F"/>
    <w:rsid w:val="6FBDB964"/>
    <w:rsid w:val="6FC0E619"/>
    <w:rsid w:val="6FC31D09"/>
    <w:rsid w:val="6FC367BA"/>
    <w:rsid w:val="6FC8BDFA"/>
    <w:rsid w:val="6FC9055F"/>
    <w:rsid w:val="6FE3029D"/>
    <w:rsid w:val="6FE78F78"/>
    <w:rsid w:val="6FF4F952"/>
    <w:rsid w:val="6FF75C03"/>
    <w:rsid w:val="6FF8383F"/>
    <w:rsid w:val="6FF8B0CD"/>
    <w:rsid w:val="6FFE3A2F"/>
    <w:rsid w:val="70026A6F"/>
    <w:rsid w:val="7006556E"/>
    <w:rsid w:val="7008F9C9"/>
    <w:rsid w:val="700A5F91"/>
    <w:rsid w:val="701067D3"/>
    <w:rsid w:val="70127190"/>
    <w:rsid w:val="70159150"/>
    <w:rsid w:val="70164779"/>
    <w:rsid w:val="7017047E"/>
    <w:rsid w:val="7017AF5A"/>
    <w:rsid w:val="7019B2D5"/>
    <w:rsid w:val="701B82D8"/>
    <w:rsid w:val="70279C72"/>
    <w:rsid w:val="702E41AF"/>
    <w:rsid w:val="702ECD6C"/>
    <w:rsid w:val="703B1B47"/>
    <w:rsid w:val="7041FE5E"/>
    <w:rsid w:val="704331A7"/>
    <w:rsid w:val="704E37BF"/>
    <w:rsid w:val="7059BDC3"/>
    <w:rsid w:val="705ECB58"/>
    <w:rsid w:val="7063E1EA"/>
    <w:rsid w:val="7067760E"/>
    <w:rsid w:val="7067C092"/>
    <w:rsid w:val="7069A414"/>
    <w:rsid w:val="706A4865"/>
    <w:rsid w:val="706EA7F5"/>
    <w:rsid w:val="706F4B81"/>
    <w:rsid w:val="7073308E"/>
    <w:rsid w:val="70770706"/>
    <w:rsid w:val="707C0B05"/>
    <w:rsid w:val="70838040"/>
    <w:rsid w:val="7084708E"/>
    <w:rsid w:val="7084CEDC"/>
    <w:rsid w:val="70869DEE"/>
    <w:rsid w:val="70875F1E"/>
    <w:rsid w:val="7089F29E"/>
    <w:rsid w:val="708BF5F2"/>
    <w:rsid w:val="708E65E4"/>
    <w:rsid w:val="7099450D"/>
    <w:rsid w:val="709A980F"/>
    <w:rsid w:val="709B353A"/>
    <w:rsid w:val="709C2C7C"/>
    <w:rsid w:val="709C8B0E"/>
    <w:rsid w:val="709D8427"/>
    <w:rsid w:val="709ED49F"/>
    <w:rsid w:val="709EDE3F"/>
    <w:rsid w:val="709F0F77"/>
    <w:rsid w:val="70A0F025"/>
    <w:rsid w:val="70A31348"/>
    <w:rsid w:val="70A979CD"/>
    <w:rsid w:val="70AA70D4"/>
    <w:rsid w:val="70AC7DFE"/>
    <w:rsid w:val="70AE1589"/>
    <w:rsid w:val="70AFDD9F"/>
    <w:rsid w:val="70B31F90"/>
    <w:rsid w:val="70B9DA0D"/>
    <w:rsid w:val="70BA9142"/>
    <w:rsid w:val="70BB1C0E"/>
    <w:rsid w:val="70BB3912"/>
    <w:rsid w:val="70BBBFF7"/>
    <w:rsid w:val="70CA4910"/>
    <w:rsid w:val="70CEE52D"/>
    <w:rsid w:val="70CF4477"/>
    <w:rsid w:val="70D48B70"/>
    <w:rsid w:val="70D59B35"/>
    <w:rsid w:val="70D8E2FF"/>
    <w:rsid w:val="70DAAC57"/>
    <w:rsid w:val="70DD2481"/>
    <w:rsid w:val="70E2791A"/>
    <w:rsid w:val="70EAF76F"/>
    <w:rsid w:val="70ECBCA3"/>
    <w:rsid w:val="70EF883F"/>
    <w:rsid w:val="70F06479"/>
    <w:rsid w:val="70F1B4E1"/>
    <w:rsid w:val="70F397DF"/>
    <w:rsid w:val="70F3B210"/>
    <w:rsid w:val="70FAC0B0"/>
    <w:rsid w:val="711063CC"/>
    <w:rsid w:val="7112FFBE"/>
    <w:rsid w:val="71188C18"/>
    <w:rsid w:val="7118BA25"/>
    <w:rsid w:val="711A1F23"/>
    <w:rsid w:val="711B4165"/>
    <w:rsid w:val="711ECC26"/>
    <w:rsid w:val="712240C2"/>
    <w:rsid w:val="712253A9"/>
    <w:rsid w:val="7129CFEA"/>
    <w:rsid w:val="712FA9E1"/>
    <w:rsid w:val="71393343"/>
    <w:rsid w:val="713E3FD6"/>
    <w:rsid w:val="713F22DD"/>
    <w:rsid w:val="714511CF"/>
    <w:rsid w:val="71503581"/>
    <w:rsid w:val="715354E9"/>
    <w:rsid w:val="7157D51E"/>
    <w:rsid w:val="71641CF2"/>
    <w:rsid w:val="7166CD8A"/>
    <w:rsid w:val="716DD184"/>
    <w:rsid w:val="716F5CB1"/>
    <w:rsid w:val="7172C824"/>
    <w:rsid w:val="717427F3"/>
    <w:rsid w:val="717810D7"/>
    <w:rsid w:val="71784942"/>
    <w:rsid w:val="717AE8DB"/>
    <w:rsid w:val="717C3F26"/>
    <w:rsid w:val="717EAEC7"/>
    <w:rsid w:val="718245AF"/>
    <w:rsid w:val="7182B1C6"/>
    <w:rsid w:val="718339D8"/>
    <w:rsid w:val="7184D63B"/>
    <w:rsid w:val="71870E50"/>
    <w:rsid w:val="7189FA58"/>
    <w:rsid w:val="718AA48A"/>
    <w:rsid w:val="7198E903"/>
    <w:rsid w:val="7199132E"/>
    <w:rsid w:val="719A101A"/>
    <w:rsid w:val="719AC623"/>
    <w:rsid w:val="719B57BC"/>
    <w:rsid w:val="71A0C34A"/>
    <w:rsid w:val="71A54A51"/>
    <w:rsid w:val="71A6756B"/>
    <w:rsid w:val="71AC20FF"/>
    <w:rsid w:val="71AD1504"/>
    <w:rsid w:val="71AED9F3"/>
    <w:rsid w:val="71AFB629"/>
    <w:rsid w:val="71B6410C"/>
    <w:rsid w:val="71BCA016"/>
    <w:rsid w:val="71BD5241"/>
    <w:rsid w:val="71BDBE77"/>
    <w:rsid w:val="71BFA47A"/>
    <w:rsid w:val="71C21FD8"/>
    <w:rsid w:val="71C8777F"/>
    <w:rsid w:val="71D1B9F3"/>
    <w:rsid w:val="71D5D010"/>
    <w:rsid w:val="71D6EF6C"/>
    <w:rsid w:val="71D9A8F0"/>
    <w:rsid w:val="71D9B542"/>
    <w:rsid w:val="71DFFE8E"/>
    <w:rsid w:val="71EA3D3E"/>
    <w:rsid w:val="71EA5691"/>
    <w:rsid w:val="71EF03BE"/>
    <w:rsid w:val="71F03E1E"/>
    <w:rsid w:val="71F18CFB"/>
    <w:rsid w:val="71F2173B"/>
    <w:rsid w:val="71F6B014"/>
    <w:rsid w:val="7205195D"/>
    <w:rsid w:val="7207197D"/>
    <w:rsid w:val="72096977"/>
    <w:rsid w:val="721134D7"/>
    <w:rsid w:val="72125FD3"/>
    <w:rsid w:val="72139829"/>
    <w:rsid w:val="72142EEB"/>
    <w:rsid w:val="7214DED0"/>
    <w:rsid w:val="7215CD25"/>
    <w:rsid w:val="721ACC73"/>
    <w:rsid w:val="721CB4DB"/>
    <w:rsid w:val="721CD03D"/>
    <w:rsid w:val="721D159C"/>
    <w:rsid w:val="721DB4B6"/>
    <w:rsid w:val="7220160B"/>
    <w:rsid w:val="7222AC62"/>
    <w:rsid w:val="722509C3"/>
    <w:rsid w:val="722CF1B3"/>
    <w:rsid w:val="723B3A42"/>
    <w:rsid w:val="723BE2BA"/>
    <w:rsid w:val="724B39A5"/>
    <w:rsid w:val="725006BB"/>
    <w:rsid w:val="72536C9C"/>
    <w:rsid w:val="725891A3"/>
    <w:rsid w:val="725EDA5A"/>
    <w:rsid w:val="725FDDDB"/>
    <w:rsid w:val="726038B0"/>
    <w:rsid w:val="72632E94"/>
    <w:rsid w:val="726CF6A4"/>
    <w:rsid w:val="726EB177"/>
    <w:rsid w:val="727676C0"/>
    <w:rsid w:val="72816BF5"/>
    <w:rsid w:val="7282990D"/>
    <w:rsid w:val="7285837C"/>
    <w:rsid w:val="728634B6"/>
    <w:rsid w:val="7288BBCB"/>
    <w:rsid w:val="728B7398"/>
    <w:rsid w:val="729099FA"/>
    <w:rsid w:val="7291C8B0"/>
    <w:rsid w:val="7296BDBB"/>
    <w:rsid w:val="729CB894"/>
    <w:rsid w:val="729E33FF"/>
    <w:rsid w:val="72A6D327"/>
    <w:rsid w:val="72AA6C80"/>
    <w:rsid w:val="72B0B587"/>
    <w:rsid w:val="72B46024"/>
    <w:rsid w:val="72B55DD2"/>
    <w:rsid w:val="72C04681"/>
    <w:rsid w:val="72C1BF75"/>
    <w:rsid w:val="72C594AA"/>
    <w:rsid w:val="72CB4044"/>
    <w:rsid w:val="72D5E24C"/>
    <w:rsid w:val="72DDAC72"/>
    <w:rsid w:val="72E13088"/>
    <w:rsid w:val="72E264EF"/>
    <w:rsid w:val="72E388F1"/>
    <w:rsid w:val="72EB7D01"/>
    <w:rsid w:val="72F041D5"/>
    <w:rsid w:val="72FA97B7"/>
    <w:rsid w:val="72FC95E8"/>
    <w:rsid w:val="73044FB0"/>
    <w:rsid w:val="7306CD5F"/>
    <w:rsid w:val="7309D70D"/>
    <w:rsid w:val="730E7754"/>
    <w:rsid w:val="731318EE"/>
    <w:rsid w:val="732D2D6E"/>
    <w:rsid w:val="7330875D"/>
    <w:rsid w:val="73322972"/>
    <w:rsid w:val="7335BCEE"/>
    <w:rsid w:val="733966E0"/>
    <w:rsid w:val="733A62C9"/>
    <w:rsid w:val="733C3CAA"/>
    <w:rsid w:val="733EEF24"/>
    <w:rsid w:val="73405C7A"/>
    <w:rsid w:val="7341F40B"/>
    <w:rsid w:val="73437B2D"/>
    <w:rsid w:val="7347567A"/>
    <w:rsid w:val="7348BE5C"/>
    <w:rsid w:val="734B6DFE"/>
    <w:rsid w:val="734EADB1"/>
    <w:rsid w:val="734F2795"/>
    <w:rsid w:val="73553C33"/>
    <w:rsid w:val="735542C2"/>
    <w:rsid w:val="7358E454"/>
    <w:rsid w:val="735B4904"/>
    <w:rsid w:val="736078A8"/>
    <w:rsid w:val="7367AB17"/>
    <w:rsid w:val="736A9B1C"/>
    <w:rsid w:val="737343B8"/>
    <w:rsid w:val="737AE092"/>
    <w:rsid w:val="738064E7"/>
    <w:rsid w:val="73844AB5"/>
    <w:rsid w:val="73961455"/>
    <w:rsid w:val="73A2FE3D"/>
    <w:rsid w:val="73A432AA"/>
    <w:rsid w:val="73A78639"/>
    <w:rsid w:val="73A93198"/>
    <w:rsid w:val="73AB5F0B"/>
    <w:rsid w:val="73AB876E"/>
    <w:rsid w:val="73AC8A1C"/>
    <w:rsid w:val="73AEFBB4"/>
    <w:rsid w:val="73AF6E52"/>
    <w:rsid w:val="73B19DFD"/>
    <w:rsid w:val="73B54941"/>
    <w:rsid w:val="73B6A07C"/>
    <w:rsid w:val="73C1AF70"/>
    <w:rsid w:val="73C47AFE"/>
    <w:rsid w:val="73C7C323"/>
    <w:rsid w:val="73C95DE9"/>
    <w:rsid w:val="73CBC2AF"/>
    <w:rsid w:val="73D1A7A5"/>
    <w:rsid w:val="73DAFFF8"/>
    <w:rsid w:val="73DB5476"/>
    <w:rsid w:val="73DC1A55"/>
    <w:rsid w:val="73E46365"/>
    <w:rsid w:val="73E7DCAA"/>
    <w:rsid w:val="73E87B0C"/>
    <w:rsid w:val="73EF21A5"/>
    <w:rsid w:val="73F39764"/>
    <w:rsid w:val="73FCECC0"/>
    <w:rsid w:val="73FE52FC"/>
    <w:rsid w:val="74018299"/>
    <w:rsid w:val="7407C44C"/>
    <w:rsid w:val="740BC17D"/>
    <w:rsid w:val="740BCD6A"/>
    <w:rsid w:val="740E4964"/>
    <w:rsid w:val="741070CE"/>
    <w:rsid w:val="74117310"/>
    <w:rsid w:val="74140735"/>
    <w:rsid w:val="74162FF2"/>
    <w:rsid w:val="74188A56"/>
    <w:rsid w:val="74189A1A"/>
    <w:rsid w:val="741B4AA1"/>
    <w:rsid w:val="741B9080"/>
    <w:rsid w:val="7423E26B"/>
    <w:rsid w:val="74244FC1"/>
    <w:rsid w:val="742BB718"/>
    <w:rsid w:val="742F5C69"/>
    <w:rsid w:val="7430653C"/>
    <w:rsid w:val="7430657C"/>
    <w:rsid w:val="7430CD37"/>
    <w:rsid w:val="7433E9C3"/>
    <w:rsid w:val="74346C64"/>
    <w:rsid w:val="74354BA1"/>
    <w:rsid w:val="7438B298"/>
    <w:rsid w:val="743ACBA4"/>
    <w:rsid w:val="743E7FF0"/>
    <w:rsid w:val="74409E3E"/>
    <w:rsid w:val="7440CB16"/>
    <w:rsid w:val="744370A5"/>
    <w:rsid w:val="74466A4E"/>
    <w:rsid w:val="7448CDD2"/>
    <w:rsid w:val="744BC862"/>
    <w:rsid w:val="744E1C34"/>
    <w:rsid w:val="744EFCBD"/>
    <w:rsid w:val="74502021"/>
    <w:rsid w:val="7451DECE"/>
    <w:rsid w:val="7468D152"/>
    <w:rsid w:val="7469746A"/>
    <w:rsid w:val="7469FDCD"/>
    <w:rsid w:val="746B56C8"/>
    <w:rsid w:val="746C3935"/>
    <w:rsid w:val="746DB55B"/>
    <w:rsid w:val="746E4E0A"/>
    <w:rsid w:val="7472E50F"/>
    <w:rsid w:val="7474175C"/>
    <w:rsid w:val="7475ED80"/>
    <w:rsid w:val="74825767"/>
    <w:rsid w:val="748578CC"/>
    <w:rsid w:val="74862EBE"/>
    <w:rsid w:val="748F0348"/>
    <w:rsid w:val="74947367"/>
    <w:rsid w:val="74951CE5"/>
    <w:rsid w:val="74A138AD"/>
    <w:rsid w:val="74A386A5"/>
    <w:rsid w:val="74A5386C"/>
    <w:rsid w:val="74A60468"/>
    <w:rsid w:val="74B1FD81"/>
    <w:rsid w:val="74B27915"/>
    <w:rsid w:val="74BB1CAF"/>
    <w:rsid w:val="74C32F4D"/>
    <w:rsid w:val="74C3436C"/>
    <w:rsid w:val="74C4582E"/>
    <w:rsid w:val="74C8B5A0"/>
    <w:rsid w:val="74C97013"/>
    <w:rsid w:val="74C9C5EE"/>
    <w:rsid w:val="74CA21AD"/>
    <w:rsid w:val="74CB62CD"/>
    <w:rsid w:val="74D7DE92"/>
    <w:rsid w:val="74D868B4"/>
    <w:rsid w:val="74DE88E3"/>
    <w:rsid w:val="74E101F8"/>
    <w:rsid w:val="74ED7669"/>
    <w:rsid w:val="74F6EFAE"/>
    <w:rsid w:val="74FCF221"/>
    <w:rsid w:val="74FF4EB1"/>
    <w:rsid w:val="7500DCD5"/>
    <w:rsid w:val="75011E53"/>
    <w:rsid w:val="75061F60"/>
    <w:rsid w:val="7506C957"/>
    <w:rsid w:val="750DAA62"/>
    <w:rsid w:val="7517F9CC"/>
    <w:rsid w:val="75193AD9"/>
    <w:rsid w:val="7522710A"/>
    <w:rsid w:val="7527F42E"/>
    <w:rsid w:val="752A9EC7"/>
    <w:rsid w:val="75310C84"/>
    <w:rsid w:val="753B109F"/>
    <w:rsid w:val="7540AD3C"/>
    <w:rsid w:val="7542D573"/>
    <w:rsid w:val="75451871"/>
    <w:rsid w:val="75483B63"/>
    <w:rsid w:val="754B636D"/>
    <w:rsid w:val="754B831B"/>
    <w:rsid w:val="754CC42A"/>
    <w:rsid w:val="754E6238"/>
    <w:rsid w:val="755272DC"/>
    <w:rsid w:val="75531B2A"/>
    <w:rsid w:val="75556893"/>
    <w:rsid w:val="7555E6C8"/>
    <w:rsid w:val="755C3499"/>
    <w:rsid w:val="7566A649"/>
    <w:rsid w:val="7567108F"/>
    <w:rsid w:val="75676B76"/>
    <w:rsid w:val="75683705"/>
    <w:rsid w:val="756A40A2"/>
    <w:rsid w:val="756BD37E"/>
    <w:rsid w:val="756BFCD3"/>
    <w:rsid w:val="756FF4C0"/>
    <w:rsid w:val="757C0392"/>
    <w:rsid w:val="757C3E13"/>
    <w:rsid w:val="757C91F1"/>
    <w:rsid w:val="7584CC10"/>
    <w:rsid w:val="7586B3A6"/>
    <w:rsid w:val="758D2109"/>
    <w:rsid w:val="758F408A"/>
    <w:rsid w:val="75908704"/>
    <w:rsid w:val="75908774"/>
    <w:rsid w:val="75922435"/>
    <w:rsid w:val="7596A3DA"/>
    <w:rsid w:val="759A0DDB"/>
    <w:rsid w:val="759A5D56"/>
    <w:rsid w:val="75A22E6A"/>
    <w:rsid w:val="75A3E902"/>
    <w:rsid w:val="75A5D256"/>
    <w:rsid w:val="75AE1C4B"/>
    <w:rsid w:val="75B21D75"/>
    <w:rsid w:val="75B24828"/>
    <w:rsid w:val="75B45F6E"/>
    <w:rsid w:val="75B9CA8D"/>
    <w:rsid w:val="75BE0CEB"/>
    <w:rsid w:val="75BEF188"/>
    <w:rsid w:val="75C09DB5"/>
    <w:rsid w:val="75C78A06"/>
    <w:rsid w:val="75C78D2F"/>
    <w:rsid w:val="75C8C6E1"/>
    <w:rsid w:val="75C8FB13"/>
    <w:rsid w:val="75D2E5F2"/>
    <w:rsid w:val="75D5BE5D"/>
    <w:rsid w:val="75D800BB"/>
    <w:rsid w:val="75ECFD29"/>
    <w:rsid w:val="75EF0404"/>
    <w:rsid w:val="75F1E40A"/>
    <w:rsid w:val="75F59E72"/>
    <w:rsid w:val="75F90428"/>
    <w:rsid w:val="75FAC003"/>
    <w:rsid w:val="75FC77D9"/>
    <w:rsid w:val="7602C2E0"/>
    <w:rsid w:val="760424B5"/>
    <w:rsid w:val="76063581"/>
    <w:rsid w:val="76069C55"/>
    <w:rsid w:val="760E2333"/>
    <w:rsid w:val="760EEC56"/>
    <w:rsid w:val="7610940C"/>
    <w:rsid w:val="7615852E"/>
    <w:rsid w:val="761724DD"/>
    <w:rsid w:val="761A7BA1"/>
    <w:rsid w:val="76223B37"/>
    <w:rsid w:val="76230901"/>
    <w:rsid w:val="7626DDCB"/>
    <w:rsid w:val="76276AEC"/>
    <w:rsid w:val="763442BB"/>
    <w:rsid w:val="7634BE56"/>
    <w:rsid w:val="763B050F"/>
    <w:rsid w:val="763B2883"/>
    <w:rsid w:val="7644BBCD"/>
    <w:rsid w:val="76491B3A"/>
    <w:rsid w:val="764E0BE3"/>
    <w:rsid w:val="764E941C"/>
    <w:rsid w:val="7655EDE3"/>
    <w:rsid w:val="76570196"/>
    <w:rsid w:val="7657E77F"/>
    <w:rsid w:val="765A26E6"/>
    <w:rsid w:val="765DA458"/>
    <w:rsid w:val="76645043"/>
    <w:rsid w:val="766A5ED0"/>
    <w:rsid w:val="766C6A9F"/>
    <w:rsid w:val="7672970D"/>
    <w:rsid w:val="76745A4A"/>
    <w:rsid w:val="76757971"/>
    <w:rsid w:val="7689197C"/>
    <w:rsid w:val="768D3A96"/>
    <w:rsid w:val="76964AE4"/>
    <w:rsid w:val="769B2991"/>
    <w:rsid w:val="769B417A"/>
    <w:rsid w:val="769F0ACD"/>
    <w:rsid w:val="76A1C16F"/>
    <w:rsid w:val="76A48B60"/>
    <w:rsid w:val="76AA11BC"/>
    <w:rsid w:val="76AAC7CD"/>
    <w:rsid w:val="76B2D7B0"/>
    <w:rsid w:val="76C21462"/>
    <w:rsid w:val="76D0AF76"/>
    <w:rsid w:val="76D1EED2"/>
    <w:rsid w:val="76D6C2DF"/>
    <w:rsid w:val="76D76867"/>
    <w:rsid w:val="76D8E229"/>
    <w:rsid w:val="76DEC1EB"/>
    <w:rsid w:val="76DF0076"/>
    <w:rsid w:val="76ED1AC4"/>
    <w:rsid w:val="76F1BD83"/>
    <w:rsid w:val="76F3EDD5"/>
    <w:rsid w:val="76F751F7"/>
    <w:rsid w:val="76F799D1"/>
    <w:rsid w:val="76FBF96E"/>
    <w:rsid w:val="76FF5E4F"/>
    <w:rsid w:val="770376B1"/>
    <w:rsid w:val="7705A946"/>
    <w:rsid w:val="770637A8"/>
    <w:rsid w:val="770B1A7A"/>
    <w:rsid w:val="770D489F"/>
    <w:rsid w:val="77153279"/>
    <w:rsid w:val="7715EEB0"/>
    <w:rsid w:val="7717B858"/>
    <w:rsid w:val="77304AF8"/>
    <w:rsid w:val="7738544A"/>
    <w:rsid w:val="773D92CF"/>
    <w:rsid w:val="774A09A5"/>
    <w:rsid w:val="774D9C9E"/>
    <w:rsid w:val="774E8541"/>
    <w:rsid w:val="7751D53A"/>
    <w:rsid w:val="77520A49"/>
    <w:rsid w:val="7755EEE7"/>
    <w:rsid w:val="77574F77"/>
    <w:rsid w:val="775CB7DD"/>
    <w:rsid w:val="775D7F85"/>
    <w:rsid w:val="7769C396"/>
    <w:rsid w:val="776AD70F"/>
    <w:rsid w:val="776F5A80"/>
    <w:rsid w:val="77707214"/>
    <w:rsid w:val="7771403D"/>
    <w:rsid w:val="77727E8A"/>
    <w:rsid w:val="777356FE"/>
    <w:rsid w:val="7777F121"/>
    <w:rsid w:val="77790B71"/>
    <w:rsid w:val="777AC0F4"/>
    <w:rsid w:val="777DB9BF"/>
    <w:rsid w:val="7785BB2A"/>
    <w:rsid w:val="7788F6B4"/>
    <w:rsid w:val="778C610B"/>
    <w:rsid w:val="778DE079"/>
    <w:rsid w:val="779F17C2"/>
    <w:rsid w:val="779FCC8C"/>
    <w:rsid w:val="77A0F8D2"/>
    <w:rsid w:val="77ABE535"/>
    <w:rsid w:val="77B5911C"/>
    <w:rsid w:val="77B94FED"/>
    <w:rsid w:val="77BB657D"/>
    <w:rsid w:val="77BE60CA"/>
    <w:rsid w:val="77C6D61B"/>
    <w:rsid w:val="77C802D6"/>
    <w:rsid w:val="77CD370B"/>
    <w:rsid w:val="77CF1402"/>
    <w:rsid w:val="77D0B0BE"/>
    <w:rsid w:val="77D363F8"/>
    <w:rsid w:val="77D7D87E"/>
    <w:rsid w:val="77DA91BB"/>
    <w:rsid w:val="77DB36B7"/>
    <w:rsid w:val="77DB40C3"/>
    <w:rsid w:val="77E29FD8"/>
    <w:rsid w:val="77E2E786"/>
    <w:rsid w:val="77EF48A0"/>
    <w:rsid w:val="77F8DA9F"/>
    <w:rsid w:val="77FD270F"/>
    <w:rsid w:val="7800534A"/>
    <w:rsid w:val="7805F19B"/>
    <w:rsid w:val="7808FF5B"/>
    <w:rsid w:val="780B44FF"/>
    <w:rsid w:val="780C06FD"/>
    <w:rsid w:val="78162531"/>
    <w:rsid w:val="78169C2B"/>
    <w:rsid w:val="7817452F"/>
    <w:rsid w:val="781AE055"/>
    <w:rsid w:val="7822196F"/>
    <w:rsid w:val="78243BDC"/>
    <w:rsid w:val="782F7A95"/>
    <w:rsid w:val="78371B9D"/>
    <w:rsid w:val="783C2A2D"/>
    <w:rsid w:val="78436070"/>
    <w:rsid w:val="7847A0E9"/>
    <w:rsid w:val="784C323D"/>
    <w:rsid w:val="78502A63"/>
    <w:rsid w:val="7851CB87"/>
    <w:rsid w:val="78520396"/>
    <w:rsid w:val="78520C63"/>
    <w:rsid w:val="78564D89"/>
    <w:rsid w:val="78581F8C"/>
    <w:rsid w:val="785832DC"/>
    <w:rsid w:val="785A9924"/>
    <w:rsid w:val="78605327"/>
    <w:rsid w:val="7865AED9"/>
    <w:rsid w:val="786B763C"/>
    <w:rsid w:val="78795F52"/>
    <w:rsid w:val="787A8682"/>
    <w:rsid w:val="787A9634"/>
    <w:rsid w:val="78852569"/>
    <w:rsid w:val="788573E7"/>
    <w:rsid w:val="788AF923"/>
    <w:rsid w:val="788CE590"/>
    <w:rsid w:val="7896F32C"/>
    <w:rsid w:val="7897BB54"/>
    <w:rsid w:val="789D7263"/>
    <w:rsid w:val="789EA0C3"/>
    <w:rsid w:val="789EE4B5"/>
    <w:rsid w:val="789F4C71"/>
    <w:rsid w:val="789FACA8"/>
    <w:rsid w:val="78A049B8"/>
    <w:rsid w:val="78A17DB8"/>
    <w:rsid w:val="78A19B96"/>
    <w:rsid w:val="78AAB41A"/>
    <w:rsid w:val="78B225C0"/>
    <w:rsid w:val="78B641EB"/>
    <w:rsid w:val="78B91A30"/>
    <w:rsid w:val="78BF291A"/>
    <w:rsid w:val="78C074DB"/>
    <w:rsid w:val="78C91279"/>
    <w:rsid w:val="78CB07CC"/>
    <w:rsid w:val="78CD86DD"/>
    <w:rsid w:val="78D4FC0F"/>
    <w:rsid w:val="78D77540"/>
    <w:rsid w:val="78DB01F8"/>
    <w:rsid w:val="78DEEB8E"/>
    <w:rsid w:val="78E202DE"/>
    <w:rsid w:val="78E3A56D"/>
    <w:rsid w:val="78EDC2F9"/>
    <w:rsid w:val="78F6F374"/>
    <w:rsid w:val="78FB810A"/>
    <w:rsid w:val="78FE7C2F"/>
    <w:rsid w:val="78FF7BE4"/>
    <w:rsid w:val="78FFB40E"/>
    <w:rsid w:val="79016215"/>
    <w:rsid w:val="79117A33"/>
    <w:rsid w:val="79121208"/>
    <w:rsid w:val="79128E35"/>
    <w:rsid w:val="79156CBE"/>
    <w:rsid w:val="7917E840"/>
    <w:rsid w:val="7921E776"/>
    <w:rsid w:val="7928406D"/>
    <w:rsid w:val="79295AD0"/>
    <w:rsid w:val="792A5438"/>
    <w:rsid w:val="792B674F"/>
    <w:rsid w:val="792BD197"/>
    <w:rsid w:val="792D3665"/>
    <w:rsid w:val="79343141"/>
    <w:rsid w:val="793ADA15"/>
    <w:rsid w:val="794016BD"/>
    <w:rsid w:val="794019AD"/>
    <w:rsid w:val="7940C677"/>
    <w:rsid w:val="79410C7F"/>
    <w:rsid w:val="7941CB19"/>
    <w:rsid w:val="7948B442"/>
    <w:rsid w:val="79498DF7"/>
    <w:rsid w:val="7949E71E"/>
    <w:rsid w:val="79508FB4"/>
    <w:rsid w:val="7954BDCC"/>
    <w:rsid w:val="795836A8"/>
    <w:rsid w:val="79593644"/>
    <w:rsid w:val="795EDE73"/>
    <w:rsid w:val="795FA7DC"/>
    <w:rsid w:val="79612F1B"/>
    <w:rsid w:val="79659DF8"/>
    <w:rsid w:val="796A51EC"/>
    <w:rsid w:val="796AF55F"/>
    <w:rsid w:val="796B1B24"/>
    <w:rsid w:val="796FF770"/>
    <w:rsid w:val="79729C4C"/>
    <w:rsid w:val="7972FF50"/>
    <w:rsid w:val="7977518D"/>
    <w:rsid w:val="797C8E6B"/>
    <w:rsid w:val="7984D6D2"/>
    <w:rsid w:val="7993616A"/>
    <w:rsid w:val="799881A0"/>
    <w:rsid w:val="799A7AEB"/>
    <w:rsid w:val="799AC31C"/>
    <w:rsid w:val="799B08BA"/>
    <w:rsid w:val="799C831D"/>
    <w:rsid w:val="799EE7ED"/>
    <w:rsid w:val="79A2D2E5"/>
    <w:rsid w:val="79A7550E"/>
    <w:rsid w:val="79AAC367"/>
    <w:rsid w:val="79ADCA46"/>
    <w:rsid w:val="79B35B87"/>
    <w:rsid w:val="79B3AAB5"/>
    <w:rsid w:val="79B6C1A2"/>
    <w:rsid w:val="79B8565F"/>
    <w:rsid w:val="79BAEAE7"/>
    <w:rsid w:val="79BC4223"/>
    <w:rsid w:val="79BD422D"/>
    <w:rsid w:val="79C1A331"/>
    <w:rsid w:val="79C6606C"/>
    <w:rsid w:val="79C6760E"/>
    <w:rsid w:val="79C98776"/>
    <w:rsid w:val="79C992D0"/>
    <w:rsid w:val="79CE0FFC"/>
    <w:rsid w:val="79CEAD0C"/>
    <w:rsid w:val="79D22243"/>
    <w:rsid w:val="79D733FD"/>
    <w:rsid w:val="79E59393"/>
    <w:rsid w:val="79E8A707"/>
    <w:rsid w:val="79EF6210"/>
    <w:rsid w:val="79EFB347"/>
    <w:rsid w:val="79F19CE9"/>
    <w:rsid w:val="79F5AA2A"/>
    <w:rsid w:val="79FC93C4"/>
    <w:rsid w:val="79FF3532"/>
    <w:rsid w:val="79FFD68E"/>
    <w:rsid w:val="7A01A025"/>
    <w:rsid w:val="7A02DB75"/>
    <w:rsid w:val="7A04C78E"/>
    <w:rsid w:val="7A093D9D"/>
    <w:rsid w:val="7A0DEF98"/>
    <w:rsid w:val="7A147990"/>
    <w:rsid w:val="7A181383"/>
    <w:rsid w:val="7A18A4DE"/>
    <w:rsid w:val="7A1C8714"/>
    <w:rsid w:val="7A1CC5A4"/>
    <w:rsid w:val="7A1E8E90"/>
    <w:rsid w:val="7A229EB5"/>
    <w:rsid w:val="7A27B833"/>
    <w:rsid w:val="7A30D4AE"/>
    <w:rsid w:val="7A317376"/>
    <w:rsid w:val="7A326836"/>
    <w:rsid w:val="7A339EC4"/>
    <w:rsid w:val="7A3DCEB9"/>
    <w:rsid w:val="7A3F1223"/>
    <w:rsid w:val="7A410C0A"/>
    <w:rsid w:val="7A423D9C"/>
    <w:rsid w:val="7A42B9CC"/>
    <w:rsid w:val="7A43ABD2"/>
    <w:rsid w:val="7A46873E"/>
    <w:rsid w:val="7A49C717"/>
    <w:rsid w:val="7A4ADCA1"/>
    <w:rsid w:val="7A4D25F0"/>
    <w:rsid w:val="7A554937"/>
    <w:rsid w:val="7A5B9916"/>
    <w:rsid w:val="7A5EB099"/>
    <w:rsid w:val="7A612043"/>
    <w:rsid w:val="7A617736"/>
    <w:rsid w:val="7A63F7E8"/>
    <w:rsid w:val="7A649D91"/>
    <w:rsid w:val="7A67A636"/>
    <w:rsid w:val="7A6C6D30"/>
    <w:rsid w:val="7A6E492C"/>
    <w:rsid w:val="7A70123A"/>
    <w:rsid w:val="7A707211"/>
    <w:rsid w:val="7A78142C"/>
    <w:rsid w:val="7A782F24"/>
    <w:rsid w:val="7A805153"/>
    <w:rsid w:val="7A84F8FE"/>
    <w:rsid w:val="7A872F75"/>
    <w:rsid w:val="7A8E2FED"/>
    <w:rsid w:val="7A93C804"/>
    <w:rsid w:val="7A94D5DA"/>
    <w:rsid w:val="7A96A54D"/>
    <w:rsid w:val="7A988F14"/>
    <w:rsid w:val="7A9DDC1F"/>
    <w:rsid w:val="7AA3AE9B"/>
    <w:rsid w:val="7AA8CCA9"/>
    <w:rsid w:val="7AAAC96D"/>
    <w:rsid w:val="7AAC4C11"/>
    <w:rsid w:val="7AACBDDC"/>
    <w:rsid w:val="7AADA83E"/>
    <w:rsid w:val="7AB4815A"/>
    <w:rsid w:val="7AB58DBA"/>
    <w:rsid w:val="7ABA3D77"/>
    <w:rsid w:val="7ABFEC01"/>
    <w:rsid w:val="7AC0A242"/>
    <w:rsid w:val="7AC132A3"/>
    <w:rsid w:val="7AC30877"/>
    <w:rsid w:val="7AC45609"/>
    <w:rsid w:val="7AC4D1D3"/>
    <w:rsid w:val="7AC8BC72"/>
    <w:rsid w:val="7ACA8B2F"/>
    <w:rsid w:val="7ACB4875"/>
    <w:rsid w:val="7ACC876C"/>
    <w:rsid w:val="7ACDCFF5"/>
    <w:rsid w:val="7AD09B07"/>
    <w:rsid w:val="7AE133DB"/>
    <w:rsid w:val="7AE308C3"/>
    <w:rsid w:val="7AE4F975"/>
    <w:rsid w:val="7AE7EEC7"/>
    <w:rsid w:val="7AEA972D"/>
    <w:rsid w:val="7AF24579"/>
    <w:rsid w:val="7AF26C4F"/>
    <w:rsid w:val="7AFB4AB6"/>
    <w:rsid w:val="7B062C6E"/>
    <w:rsid w:val="7B0A2325"/>
    <w:rsid w:val="7B0D0595"/>
    <w:rsid w:val="7B0ED9DD"/>
    <w:rsid w:val="7B124A6E"/>
    <w:rsid w:val="7B1B1866"/>
    <w:rsid w:val="7B1B8AA6"/>
    <w:rsid w:val="7B225BD1"/>
    <w:rsid w:val="7B255BEA"/>
    <w:rsid w:val="7B259D0B"/>
    <w:rsid w:val="7B25C2A8"/>
    <w:rsid w:val="7B35DA31"/>
    <w:rsid w:val="7B36BC37"/>
    <w:rsid w:val="7B388321"/>
    <w:rsid w:val="7B3D2145"/>
    <w:rsid w:val="7B3D4FE9"/>
    <w:rsid w:val="7B3F2909"/>
    <w:rsid w:val="7B4129F6"/>
    <w:rsid w:val="7B42D381"/>
    <w:rsid w:val="7B448758"/>
    <w:rsid w:val="7B47DB47"/>
    <w:rsid w:val="7B4C11CB"/>
    <w:rsid w:val="7B4F2399"/>
    <w:rsid w:val="7B4F8523"/>
    <w:rsid w:val="7B53D542"/>
    <w:rsid w:val="7B57CAB9"/>
    <w:rsid w:val="7B5D199F"/>
    <w:rsid w:val="7B5D4682"/>
    <w:rsid w:val="7B63C875"/>
    <w:rsid w:val="7B64C237"/>
    <w:rsid w:val="7B678AC3"/>
    <w:rsid w:val="7B69BFB5"/>
    <w:rsid w:val="7B6C47B9"/>
    <w:rsid w:val="7B6C60E4"/>
    <w:rsid w:val="7B6DD31A"/>
    <w:rsid w:val="7B733907"/>
    <w:rsid w:val="7B746630"/>
    <w:rsid w:val="7B74D8AC"/>
    <w:rsid w:val="7B8027F3"/>
    <w:rsid w:val="7B808BE9"/>
    <w:rsid w:val="7B817AE2"/>
    <w:rsid w:val="7B87B29A"/>
    <w:rsid w:val="7B8957A2"/>
    <w:rsid w:val="7B8CA49F"/>
    <w:rsid w:val="7B91EE0F"/>
    <w:rsid w:val="7B921800"/>
    <w:rsid w:val="7B956C0D"/>
    <w:rsid w:val="7B9D859B"/>
    <w:rsid w:val="7BA5117B"/>
    <w:rsid w:val="7BA7247A"/>
    <w:rsid w:val="7BAFA7DF"/>
    <w:rsid w:val="7BB35412"/>
    <w:rsid w:val="7BB64985"/>
    <w:rsid w:val="7BD2713F"/>
    <w:rsid w:val="7BD3428A"/>
    <w:rsid w:val="7BD50E3C"/>
    <w:rsid w:val="7BDF43A0"/>
    <w:rsid w:val="7BE09FDF"/>
    <w:rsid w:val="7BE14EFB"/>
    <w:rsid w:val="7BE19FAB"/>
    <w:rsid w:val="7BE36AA6"/>
    <w:rsid w:val="7BE4F2A8"/>
    <w:rsid w:val="7BE7A9A0"/>
    <w:rsid w:val="7BFCC265"/>
    <w:rsid w:val="7BFDE125"/>
    <w:rsid w:val="7C01CF63"/>
    <w:rsid w:val="7C05EB2A"/>
    <w:rsid w:val="7C08B713"/>
    <w:rsid w:val="7C0AD8C6"/>
    <w:rsid w:val="7C0B6845"/>
    <w:rsid w:val="7C0CE63E"/>
    <w:rsid w:val="7C136192"/>
    <w:rsid w:val="7C179C99"/>
    <w:rsid w:val="7C18821D"/>
    <w:rsid w:val="7C1D1781"/>
    <w:rsid w:val="7C23A5E4"/>
    <w:rsid w:val="7C26F60B"/>
    <w:rsid w:val="7C2CF4DE"/>
    <w:rsid w:val="7C327129"/>
    <w:rsid w:val="7C330D26"/>
    <w:rsid w:val="7C355CBF"/>
    <w:rsid w:val="7C39EF72"/>
    <w:rsid w:val="7C3A39E7"/>
    <w:rsid w:val="7C3A76E6"/>
    <w:rsid w:val="7C44CCDA"/>
    <w:rsid w:val="7C46B4E0"/>
    <w:rsid w:val="7C476CA4"/>
    <w:rsid w:val="7C506840"/>
    <w:rsid w:val="7C52F6AE"/>
    <w:rsid w:val="7C53AA0C"/>
    <w:rsid w:val="7C53B9E7"/>
    <w:rsid w:val="7C598748"/>
    <w:rsid w:val="7C5B2753"/>
    <w:rsid w:val="7C5E9C57"/>
    <w:rsid w:val="7C61B18D"/>
    <w:rsid w:val="7C68FB12"/>
    <w:rsid w:val="7C69045D"/>
    <w:rsid w:val="7C6EFE6F"/>
    <w:rsid w:val="7C6FD3F9"/>
    <w:rsid w:val="7C775088"/>
    <w:rsid w:val="7C7EB96A"/>
    <w:rsid w:val="7C842C7A"/>
    <w:rsid w:val="7C851041"/>
    <w:rsid w:val="7C8ACE85"/>
    <w:rsid w:val="7C8D2FA1"/>
    <w:rsid w:val="7C90FF95"/>
    <w:rsid w:val="7C943CA2"/>
    <w:rsid w:val="7C976A1A"/>
    <w:rsid w:val="7C99439B"/>
    <w:rsid w:val="7C9F96F2"/>
    <w:rsid w:val="7CA4DE82"/>
    <w:rsid w:val="7CAC6A20"/>
    <w:rsid w:val="7CBA3A2F"/>
    <w:rsid w:val="7CBB3311"/>
    <w:rsid w:val="7CBB6F51"/>
    <w:rsid w:val="7CBD00FE"/>
    <w:rsid w:val="7CBDDBF0"/>
    <w:rsid w:val="7CC1A948"/>
    <w:rsid w:val="7CC3D227"/>
    <w:rsid w:val="7CC4C3BC"/>
    <w:rsid w:val="7CC52B32"/>
    <w:rsid w:val="7CCA5C2D"/>
    <w:rsid w:val="7CCB1698"/>
    <w:rsid w:val="7CCE20C9"/>
    <w:rsid w:val="7CCEDCFC"/>
    <w:rsid w:val="7CD0D6AE"/>
    <w:rsid w:val="7CD88E85"/>
    <w:rsid w:val="7CE7DDD9"/>
    <w:rsid w:val="7CE824CC"/>
    <w:rsid w:val="7CEF02F9"/>
    <w:rsid w:val="7CEF6CD6"/>
    <w:rsid w:val="7CF1964C"/>
    <w:rsid w:val="7CF26505"/>
    <w:rsid w:val="7CF30BC4"/>
    <w:rsid w:val="7CF613FA"/>
    <w:rsid w:val="7CFF4D41"/>
    <w:rsid w:val="7D000C8C"/>
    <w:rsid w:val="7D0B6F77"/>
    <w:rsid w:val="7D0C71DD"/>
    <w:rsid w:val="7D0D3569"/>
    <w:rsid w:val="7D140C31"/>
    <w:rsid w:val="7D1454A8"/>
    <w:rsid w:val="7D154707"/>
    <w:rsid w:val="7D1E2E4B"/>
    <w:rsid w:val="7D1E72D1"/>
    <w:rsid w:val="7D1EC52F"/>
    <w:rsid w:val="7D266F21"/>
    <w:rsid w:val="7D2C6276"/>
    <w:rsid w:val="7D2ED3C0"/>
    <w:rsid w:val="7D341747"/>
    <w:rsid w:val="7D347C4F"/>
    <w:rsid w:val="7D3980FA"/>
    <w:rsid w:val="7D40315C"/>
    <w:rsid w:val="7D432C7B"/>
    <w:rsid w:val="7D436D8F"/>
    <w:rsid w:val="7D462061"/>
    <w:rsid w:val="7D4843BF"/>
    <w:rsid w:val="7D4C449D"/>
    <w:rsid w:val="7D637B55"/>
    <w:rsid w:val="7D71807A"/>
    <w:rsid w:val="7D71EBD8"/>
    <w:rsid w:val="7D72EE94"/>
    <w:rsid w:val="7D875C01"/>
    <w:rsid w:val="7D879441"/>
    <w:rsid w:val="7D8A21AD"/>
    <w:rsid w:val="7D92A83B"/>
    <w:rsid w:val="7D967117"/>
    <w:rsid w:val="7D9A4A80"/>
    <w:rsid w:val="7D9E9791"/>
    <w:rsid w:val="7DA1FDD4"/>
    <w:rsid w:val="7DA2122D"/>
    <w:rsid w:val="7DA4BB4A"/>
    <w:rsid w:val="7DA5DC30"/>
    <w:rsid w:val="7DA9CD92"/>
    <w:rsid w:val="7DACDF86"/>
    <w:rsid w:val="7DAE920B"/>
    <w:rsid w:val="7DAEFFEA"/>
    <w:rsid w:val="7DB0719D"/>
    <w:rsid w:val="7DB202DD"/>
    <w:rsid w:val="7DB5AD35"/>
    <w:rsid w:val="7DBC533B"/>
    <w:rsid w:val="7DC04029"/>
    <w:rsid w:val="7DC08AA4"/>
    <w:rsid w:val="7DC76AD4"/>
    <w:rsid w:val="7DCA4C49"/>
    <w:rsid w:val="7DCB04A4"/>
    <w:rsid w:val="7DCD9D98"/>
    <w:rsid w:val="7DD19FEB"/>
    <w:rsid w:val="7DD1A2F5"/>
    <w:rsid w:val="7DDC1DFB"/>
    <w:rsid w:val="7DE09BBD"/>
    <w:rsid w:val="7DE2D87F"/>
    <w:rsid w:val="7DE370D5"/>
    <w:rsid w:val="7DE3FAFE"/>
    <w:rsid w:val="7DE600EC"/>
    <w:rsid w:val="7DEAA980"/>
    <w:rsid w:val="7DEC3274"/>
    <w:rsid w:val="7DEC69FE"/>
    <w:rsid w:val="7DEF3B0D"/>
    <w:rsid w:val="7DF00471"/>
    <w:rsid w:val="7DF7AC0B"/>
    <w:rsid w:val="7DF8584B"/>
    <w:rsid w:val="7DFA137C"/>
    <w:rsid w:val="7E0830FF"/>
    <w:rsid w:val="7E0C2574"/>
    <w:rsid w:val="7E10B611"/>
    <w:rsid w:val="7E17D611"/>
    <w:rsid w:val="7E226984"/>
    <w:rsid w:val="7E24DEDA"/>
    <w:rsid w:val="7E288F9C"/>
    <w:rsid w:val="7E2D38AE"/>
    <w:rsid w:val="7E2E1DA8"/>
    <w:rsid w:val="7E2EF2BC"/>
    <w:rsid w:val="7E2FD0E0"/>
    <w:rsid w:val="7E38016F"/>
    <w:rsid w:val="7E3D3E50"/>
    <w:rsid w:val="7E41B58F"/>
    <w:rsid w:val="7E4474AD"/>
    <w:rsid w:val="7E44B6E0"/>
    <w:rsid w:val="7E4853C7"/>
    <w:rsid w:val="7E4B2990"/>
    <w:rsid w:val="7E4F65B0"/>
    <w:rsid w:val="7E596D28"/>
    <w:rsid w:val="7E623F23"/>
    <w:rsid w:val="7E635F23"/>
    <w:rsid w:val="7E6364EB"/>
    <w:rsid w:val="7E67147D"/>
    <w:rsid w:val="7E69D6D2"/>
    <w:rsid w:val="7E6B8C10"/>
    <w:rsid w:val="7E71E653"/>
    <w:rsid w:val="7E732662"/>
    <w:rsid w:val="7E780836"/>
    <w:rsid w:val="7E78D1D7"/>
    <w:rsid w:val="7E806204"/>
    <w:rsid w:val="7E828D00"/>
    <w:rsid w:val="7E82D387"/>
    <w:rsid w:val="7E83ACEF"/>
    <w:rsid w:val="7E85E5BB"/>
    <w:rsid w:val="7E8DC76C"/>
    <w:rsid w:val="7E92F555"/>
    <w:rsid w:val="7E9342C5"/>
    <w:rsid w:val="7E943D0E"/>
    <w:rsid w:val="7E95315D"/>
    <w:rsid w:val="7E991D02"/>
    <w:rsid w:val="7E9C5B5E"/>
    <w:rsid w:val="7EA16665"/>
    <w:rsid w:val="7EA425BA"/>
    <w:rsid w:val="7EAA0726"/>
    <w:rsid w:val="7EB8A39D"/>
    <w:rsid w:val="7EBA990F"/>
    <w:rsid w:val="7EBB273C"/>
    <w:rsid w:val="7EBD568A"/>
    <w:rsid w:val="7EC35107"/>
    <w:rsid w:val="7EC3BD29"/>
    <w:rsid w:val="7EC4E47C"/>
    <w:rsid w:val="7EC9175D"/>
    <w:rsid w:val="7ECC8BC1"/>
    <w:rsid w:val="7ECCBEE7"/>
    <w:rsid w:val="7ECD02B7"/>
    <w:rsid w:val="7ECE67F8"/>
    <w:rsid w:val="7ED17C6C"/>
    <w:rsid w:val="7ED19A74"/>
    <w:rsid w:val="7EDB9283"/>
    <w:rsid w:val="7EEFDD01"/>
    <w:rsid w:val="7EF30D80"/>
    <w:rsid w:val="7EF4BE1B"/>
    <w:rsid w:val="7EF6A518"/>
    <w:rsid w:val="7EFEF189"/>
    <w:rsid w:val="7F036544"/>
    <w:rsid w:val="7F0794D4"/>
    <w:rsid w:val="7F07AC20"/>
    <w:rsid w:val="7F0A2783"/>
    <w:rsid w:val="7F0B61D0"/>
    <w:rsid w:val="7F18CF50"/>
    <w:rsid w:val="7F1ADDD2"/>
    <w:rsid w:val="7F23B1B0"/>
    <w:rsid w:val="7F265BA1"/>
    <w:rsid w:val="7F27D049"/>
    <w:rsid w:val="7F280052"/>
    <w:rsid w:val="7F2BE1AA"/>
    <w:rsid w:val="7F2DFF2E"/>
    <w:rsid w:val="7F2FB28E"/>
    <w:rsid w:val="7F307B13"/>
    <w:rsid w:val="7F317732"/>
    <w:rsid w:val="7F329137"/>
    <w:rsid w:val="7F34E76D"/>
    <w:rsid w:val="7F350D58"/>
    <w:rsid w:val="7F36D216"/>
    <w:rsid w:val="7F384618"/>
    <w:rsid w:val="7F3969BF"/>
    <w:rsid w:val="7F3AC1D7"/>
    <w:rsid w:val="7F3B488F"/>
    <w:rsid w:val="7F3F5025"/>
    <w:rsid w:val="7F42A51C"/>
    <w:rsid w:val="7F452D7E"/>
    <w:rsid w:val="7F484AF4"/>
    <w:rsid w:val="7F49C7FE"/>
    <w:rsid w:val="7F4E8F33"/>
    <w:rsid w:val="7F5141E9"/>
    <w:rsid w:val="7F548D3C"/>
    <w:rsid w:val="7F58C0DA"/>
    <w:rsid w:val="7F5CB37D"/>
    <w:rsid w:val="7F5F451A"/>
    <w:rsid w:val="7F61CB87"/>
    <w:rsid w:val="7F62D062"/>
    <w:rsid w:val="7F68793B"/>
    <w:rsid w:val="7F73454F"/>
    <w:rsid w:val="7F7993C7"/>
    <w:rsid w:val="7F7BA89E"/>
    <w:rsid w:val="7F7FDA71"/>
    <w:rsid w:val="7F815C94"/>
    <w:rsid w:val="7F88F852"/>
    <w:rsid w:val="7F894614"/>
    <w:rsid w:val="7F8C78F2"/>
    <w:rsid w:val="7F8E5701"/>
    <w:rsid w:val="7F8FB235"/>
    <w:rsid w:val="7F986743"/>
    <w:rsid w:val="7F997D1C"/>
    <w:rsid w:val="7FA03CB8"/>
    <w:rsid w:val="7FA0BAB9"/>
    <w:rsid w:val="7FA1613C"/>
    <w:rsid w:val="7FA212C6"/>
    <w:rsid w:val="7FA594A9"/>
    <w:rsid w:val="7FAA035B"/>
    <w:rsid w:val="7FB0636D"/>
    <w:rsid w:val="7FB556B9"/>
    <w:rsid w:val="7FB70E7D"/>
    <w:rsid w:val="7FBA3CC2"/>
    <w:rsid w:val="7FBA5A51"/>
    <w:rsid w:val="7FBD5B73"/>
    <w:rsid w:val="7FC3A2D0"/>
    <w:rsid w:val="7FC4BD54"/>
    <w:rsid w:val="7FCC0463"/>
    <w:rsid w:val="7FCC1B04"/>
    <w:rsid w:val="7FCC75BD"/>
    <w:rsid w:val="7FCD9928"/>
    <w:rsid w:val="7FCFB0C0"/>
    <w:rsid w:val="7FD44385"/>
    <w:rsid w:val="7FD47EE5"/>
    <w:rsid w:val="7FD4E018"/>
    <w:rsid w:val="7FDC4954"/>
    <w:rsid w:val="7FDDDC44"/>
    <w:rsid w:val="7FE0ABDB"/>
    <w:rsid w:val="7FE0EF72"/>
    <w:rsid w:val="7FE65C88"/>
    <w:rsid w:val="7FEC8D12"/>
    <w:rsid w:val="7FEDAC12"/>
    <w:rsid w:val="7FF59015"/>
    <w:rsid w:val="7FF77847"/>
    <w:rsid w:val="7FF94E81"/>
    <w:rsid w:val="7FF9EFE5"/>
    <w:rsid w:val="7FFA42AB"/>
    <w:rsid w:val="7FFA6514"/>
    <w:rsid w:val="7FFE7C9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580F87"/>
  <w15:chartTrackingRefBased/>
  <w15:docId w15:val="{057FF13B-9B80-41CA-A555-AA0D2E0A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DDC"/>
    <w:rPr>
      <w:rFonts w:ascii="Times New Roman" w:hAnsi="Times New Roman"/>
      <w:kern w:val="0"/>
      <w:szCs w:val="22"/>
      <w:lang w:val="en-GB"/>
      <w14:ligatures w14:val="none"/>
    </w:rPr>
  </w:style>
  <w:style w:type="paragraph" w:styleId="Heading1">
    <w:name w:val="heading 1"/>
    <w:aliases w:val="MOVE-it 1,Heading 11,Hoofdstuk,Επικεφαλίδα 1 ΌΧΙ,Heading 1 - Main Heading of Document,(Section),F3 Heading 1 - Section,Numbered - 1,Section,Chapter Hdg,h1,CH TITLE 1,Chapter Heading,AChapter,Sub code header,Outline1,Section Heading,Do Not Use"/>
    <w:basedOn w:val="Normal"/>
    <w:next w:val="Normal"/>
    <w:link w:val="Heading1Char"/>
    <w:qFormat/>
    <w:rsid w:val="008E1AEB"/>
    <w:pPr>
      <w:keepNext/>
      <w:keepLines/>
      <w:numPr>
        <w:numId w:val="148"/>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cv titles,Heading 21,H2,2/1,Paragraaf,(SubSection),F4 Heading 2 - SubSection,(Main Heading),ASection,Heading 2 - Main Heading within Document,Major,Outline2,h2,Para Nos,Para,Main Heading,Main Headi,Numbered - 2,Paragraph,Sub Heading,ignorer2,2"/>
    <w:basedOn w:val="Normal"/>
    <w:next w:val="Normal"/>
    <w:link w:val="Heading2Char"/>
    <w:unhideWhenUsed/>
    <w:qFormat/>
    <w:rsid w:val="00A217A3"/>
    <w:pPr>
      <w:keepNext/>
      <w:keepLines/>
      <w:numPr>
        <w:ilvl w:val="1"/>
        <w:numId w:val="148"/>
      </w:numPr>
      <w:spacing w:before="160" w:after="80"/>
      <w:outlineLvl w:val="1"/>
    </w:pPr>
    <w:rPr>
      <w:rFonts w:eastAsia="Times New Roman" w:cs="Times New Roman"/>
      <w:b/>
      <w:noProof/>
      <w:szCs w:val="20"/>
    </w:rPr>
  </w:style>
  <w:style w:type="paragraph" w:styleId="Heading3">
    <w:name w:val="heading 3"/>
    <w:aliases w:val="Heading 3 - Bold heading for document - will appear in index,Subparagraaf,Outline3,F5 Heading 3,h3,Numbered - 3,1.2.3.,Ü 3,l3,CT,h3 sub heading,H3,Head 3,3m,H31,(Alt+3),C Sub-Sub/Italic,Heading 2a,titolo 3,level3,level 3,Dritte Ebene,Minor,h31"/>
    <w:basedOn w:val="Normal"/>
    <w:next w:val="Normal"/>
    <w:link w:val="Heading3Char"/>
    <w:unhideWhenUsed/>
    <w:qFormat/>
    <w:rsid w:val="0097519E"/>
    <w:pPr>
      <w:keepNext/>
      <w:keepLines/>
      <w:numPr>
        <w:ilvl w:val="2"/>
        <w:numId w:val="148"/>
      </w:numPr>
      <w:spacing w:before="160" w:after="80"/>
      <w:outlineLvl w:val="2"/>
    </w:pPr>
    <w:rPr>
      <w:rFonts w:eastAsia="Times New Roman" w:cstheme="majorBidi"/>
      <w:i/>
      <w:iCs/>
      <w:noProof/>
      <w:szCs w:val="24"/>
    </w:rPr>
  </w:style>
  <w:style w:type="paragraph" w:styleId="Heading4">
    <w:name w:val="heading 4"/>
    <w:aliases w:val="ALK_K4,NEA4,Ü 4,Kopje,Tussenkop"/>
    <w:basedOn w:val="Normal"/>
    <w:next w:val="Normal"/>
    <w:link w:val="Heading4Char"/>
    <w:unhideWhenUsed/>
    <w:qFormat/>
    <w:rsid w:val="007767EA"/>
    <w:pPr>
      <w:keepNext/>
      <w:keepLines/>
      <w:numPr>
        <w:ilvl w:val="3"/>
        <w:numId w:val="148"/>
      </w:numPr>
      <w:spacing w:before="80" w:after="40"/>
      <w:outlineLvl w:val="3"/>
    </w:pPr>
    <w:rPr>
      <w:rFonts w:eastAsiaTheme="majorEastAsia" w:cstheme="majorBidi"/>
      <w:i/>
      <w:iCs/>
      <w:color w:val="0F4761" w:themeColor="accent1" w:themeShade="BF"/>
    </w:rPr>
  </w:style>
  <w:style w:type="paragraph" w:styleId="Heading5">
    <w:name w:val="heading 5"/>
    <w:aliases w:val="Heading 5(war),DNV-H5,Block Label,Heading 5 CFMU,Para 5,h5,Level 3 - i,DO NOT USE_h5,H5,Roman list,Schedule A to X,5H,Heading 5(unused),Level 3 - (i),Third Level Heading,Response Type,Response Type1,Response Type2,Response Type3,Response Type4"/>
    <w:basedOn w:val="Normal"/>
    <w:next w:val="Normal"/>
    <w:link w:val="Heading5Char"/>
    <w:uiPriority w:val="9"/>
    <w:unhideWhenUsed/>
    <w:qFormat/>
    <w:rsid w:val="007767EA"/>
    <w:pPr>
      <w:keepNext/>
      <w:keepLines/>
      <w:numPr>
        <w:ilvl w:val="4"/>
        <w:numId w:val="148"/>
      </w:numPr>
      <w:spacing w:before="80" w:after="40"/>
      <w:outlineLvl w:val="4"/>
    </w:pPr>
    <w:rPr>
      <w:rFonts w:eastAsiaTheme="majorEastAsia" w:cstheme="majorBidi"/>
      <w:color w:val="0F4761" w:themeColor="accent1" w:themeShade="BF"/>
    </w:rPr>
  </w:style>
  <w:style w:type="paragraph" w:styleId="Heading6">
    <w:name w:val="heading 6"/>
    <w:aliases w:val="Footer 1"/>
    <w:basedOn w:val="Normal"/>
    <w:next w:val="Normal"/>
    <w:link w:val="Heading6Char"/>
    <w:uiPriority w:val="9"/>
    <w:unhideWhenUsed/>
    <w:qFormat/>
    <w:rsid w:val="007767EA"/>
    <w:pPr>
      <w:keepNext/>
      <w:keepLines/>
      <w:numPr>
        <w:ilvl w:val="5"/>
        <w:numId w:val="148"/>
      </w:numPr>
      <w:spacing w:before="40"/>
      <w:outlineLvl w:val="5"/>
    </w:pPr>
    <w:rPr>
      <w:rFonts w:eastAsiaTheme="majorEastAsia" w:cstheme="majorBidi"/>
      <w:i/>
      <w:iCs/>
      <w:color w:val="595959" w:themeColor="text1" w:themeTint="A6"/>
    </w:rPr>
  </w:style>
  <w:style w:type="paragraph" w:styleId="Heading7">
    <w:name w:val="heading 7"/>
    <w:aliases w:val="sub3,Heading 7 (do not use),aoua-titre annexes"/>
    <w:basedOn w:val="Normal"/>
    <w:next w:val="Normal"/>
    <w:link w:val="Heading7Char"/>
    <w:uiPriority w:val="9"/>
    <w:unhideWhenUsed/>
    <w:qFormat/>
    <w:rsid w:val="007767EA"/>
    <w:pPr>
      <w:keepNext/>
      <w:keepLines/>
      <w:numPr>
        <w:ilvl w:val="6"/>
        <w:numId w:val="148"/>
      </w:numPr>
      <w:spacing w:before="40"/>
      <w:outlineLvl w:val="6"/>
    </w:pPr>
    <w:rPr>
      <w:rFonts w:eastAsiaTheme="majorEastAsia" w:cstheme="majorBidi"/>
      <w:color w:val="595959" w:themeColor="text1" w:themeTint="A6"/>
    </w:rPr>
  </w:style>
  <w:style w:type="paragraph" w:styleId="Heading8">
    <w:name w:val="heading 8"/>
    <w:aliases w:val="sub4,Heading 8 (do not use)"/>
    <w:basedOn w:val="Normal"/>
    <w:next w:val="Normal"/>
    <w:link w:val="Heading8Char"/>
    <w:uiPriority w:val="9"/>
    <w:unhideWhenUsed/>
    <w:qFormat/>
    <w:rsid w:val="007767EA"/>
    <w:pPr>
      <w:keepNext/>
      <w:keepLines/>
      <w:numPr>
        <w:ilvl w:val="7"/>
        <w:numId w:val="148"/>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767EA"/>
    <w:pPr>
      <w:keepNext/>
      <w:keepLines/>
      <w:numPr>
        <w:ilvl w:val="8"/>
        <w:numId w:val="148"/>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OVE-it 1 Char,Heading 11 Char,Hoofdstuk Char,Επικεφαλίδα 1 ΌΧΙ Char,Heading 1 - Main Heading of Document Char,(Section) Char,F3 Heading 1 - Section Char,Numbered - 1 Char,Section Char,Chapter Hdg Char,h1 Char,CH TITLE 1 Char"/>
    <w:basedOn w:val="DefaultParagraphFont"/>
    <w:link w:val="Heading1"/>
    <w:rsid w:val="007767EA"/>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Heading2Char">
    <w:name w:val="Heading 2 Char"/>
    <w:aliases w:val="cv titles Char,Heading 21 Char,H2 Char,2/1 Char,Paragraaf Char,(SubSection) Char,F4 Heading 2 - SubSection Char,(Main Heading) Char,ASection Char,Heading 2 - Main Heading within Document Char,Major Char,Outline2 Char,h2 Char,Para Nos Char"/>
    <w:basedOn w:val="DefaultParagraphFont"/>
    <w:link w:val="Heading2"/>
    <w:rsid w:val="00A217A3"/>
    <w:rPr>
      <w:rFonts w:ascii="Times New Roman" w:eastAsia="Times New Roman" w:hAnsi="Times New Roman" w:cs="Times New Roman"/>
      <w:b/>
      <w:noProof/>
      <w:kern w:val="0"/>
      <w:szCs w:val="20"/>
      <w:lang w:val="en-GB"/>
      <w14:ligatures w14:val="none"/>
    </w:rPr>
  </w:style>
  <w:style w:type="character" w:customStyle="1" w:styleId="Heading3Char">
    <w:name w:val="Heading 3 Char"/>
    <w:aliases w:val="Heading 3 - Bold heading for document - will appear in index Char,Subparagraaf Char,Outline3 Char,F5 Heading 3 Char,h3 Char,Numbered - 3 Char,1.2.3. Char,Ü 3 Char,l3 Char,CT Char,h3 sub heading Char,H3 Char,Head 3 Char,3m Char,H31 Char"/>
    <w:basedOn w:val="DefaultParagraphFont"/>
    <w:link w:val="Heading3"/>
    <w:rsid w:val="0097519E"/>
    <w:rPr>
      <w:rFonts w:ascii="Times New Roman" w:eastAsia="Times New Roman" w:hAnsi="Times New Roman" w:cstheme="majorBidi"/>
      <w:i/>
      <w:iCs/>
      <w:noProof/>
      <w:kern w:val="0"/>
      <w:lang w:val="en-GB"/>
      <w14:ligatures w14:val="none"/>
    </w:rPr>
  </w:style>
  <w:style w:type="character" w:customStyle="1" w:styleId="Heading4Char">
    <w:name w:val="Heading 4 Char"/>
    <w:aliases w:val="ALK_K4 Char,NEA4 Char,Ü 4 Char,Kopje Char,Tussenkop Char"/>
    <w:basedOn w:val="DefaultParagraphFont"/>
    <w:link w:val="Heading4"/>
    <w:rsid w:val="007767EA"/>
    <w:rPr>
      <w:rFonts w:ascii="Times New Roman" w:eastAsiaTheme="majorEastAsia" w:hAnsi="Times New Roman" w:cstheme="majorBidi"/>
      <w:i/>
      <w:iCs/>
      <w:color w:val="0F4761" w:themeColor="accent1" w:themeShade="BF"/>
      <w:kern w:val="0"/>
      <w:szCs w:val="22"/>
      <w:lang w:val="en-GB"/>
      <w14:ligatures w14:val="none"/>
    </w:rPr>
  </w:style>
  <w:style w:type="character" w:customStyle="1" w:styleId="Heading5Char">
    <w:name w:val="Heading 5 Char"/>
    <w:aliases w:val="Heading 5(war) Char,DNV-H5 Char,Block Label Char,Heading 5 CFMU Char,Para 5 Char,h5 Char,Level 3 - i Char,DO NOT USE_h5 Char,H5 Char,Roman list Char,Schedule A to X Char,5H Char,Heading 5(unused) Char,Level 3 - (i) Char,Response Type Char"/>
    <w:basedOn w:val="DefaultParagraphFont"/>
    <w:link w:val="Heading5"/>
    <w:uiPriority w:val="9"/>
    <w:rsid w:val="007767EA"/>
    <w:rPr>
      <w:rFonts w:ascii="Times New Roman" w:eastAsiaTheme="majorEastAsia" w:hAnsi="Times New Roman" w:cstheme="majorBidi"/>
      <w:color w:val="0F4761" w:themeColor="accent1" w:themeShade="BF"/>
      <w:kern w:val="0"/>
      <w:szCs w:val="22"/>
      <w:lang w:val="en-GB"/>
      <w14:ligatures w14:val="none"/>
    </w:rPr>
  </w:style>
  <w:style w:type="character" w:customStyle="1" w:styleId="Heading6Char">
    <w:name w:val="Heading 6 Char"/>
    <w:aliases w:val="Footer 1 Char"/>
    <w:basedOn w:val="DefaultParagraphFont"/>
    <w:link w:val="Heading6"/>
    <w:uiPriority w:val="9"/>
    <w:rsid w:val="007767EA"/>
    <w:rPr>
      <w:rFonts w:ascii="Times New Roman" w:eastAsiaTheme="majorEastAsia" w:hAnsi="Times New Roman" w:cstheme="majorBidi"/>
      <w:i/>
      <w:iCs/>
      <w:color w:val="595959" w:themeColor="text1" w:themeTint="A6"/>
      <w:kern w:val="0"/>
      <w:szCs w:val="22"/>
      <w:lang w:val="en-GB"/>
      <w14:ligatures w14:val="none"/>
    </w:rPr>
  </w:style>
  <w:style w:type="character" w:customStyle="1" w:styleId="Heading7Char">
    <w:name w:val="Heading 7 Char"/>
    <w:aliases w:val="sub3 Char,Heading 7 (do not use) Char,aoua-titre annexes Char"/>
    <w:basedOn w:val="DefaultParagraphFont"/>
    <w:link w:val="Heading7"/>
    <w:uiPriority w:val="9"/>
    <w:rsid w:val="007767EA"/>
    <w:rPr>
      <w:rFonts w:ascii="Times New Roman" w:eastAsiaTheme="majorEastAsia" w:hAnsi="Times New Roman" w:cstheme="majorBidi"/>
      <w:color w:val="595959" w:themeColor="text1" w:themeTint="A6"/>
      <w:kern w:val="0"/>
      <w:szCs w:val="22"/>
      <w:lang w:val="en-GB"/>
      <w14:ligatures w14:val="none"/>
    </w:rPr>
  </w:style>
  <w:style w:type="character" w:customStyle="1" w:styleId="Heading8Char">
    <w:name w:val="Heading 8 Char"/>
    <w:aliases w:val="sub4 Char,Heading 8 (do not use) Char"/>
    <w:basedOn w:val="DefaultParagraphFont"/>
    <w:link w:val="Heading8"/>
    <w:uiPriority w:val="9"/>
    <w:rsid w:val="007767EA"/>
    <w:rPr>
      <w:rFonts w:ascii="Times New Roman" w:eastAsiaTheme="majorEastAsia" w:hAnsi="Times New Roman" w:cstheme="majorBidi"/>
      <w:i/>
      <w:iCs/>
      <w:color w:val="272727" w:themeColor="text1" w:themeTint="D8"/>
      <w:kern w:val="0"/>
      <w:szCs w:val="22"/>
      <w:lang w:val="en-GB"/>
      <w14:ligatures w14:val="none"/>
    </w:rPr>
  </w:style>
  <w:style w:type="character" w:customStyle="1" w:styleId="Heading9Char">
    <w:name w:val="Heading 9 Char"/>
    <w:basedOn w:val="DefaultParagraphFont"/>
    <w:link w:val="Heading9"/>
    <w:uiPriority w:val="9"/>
    <w:rsid w:val="007767EA"/>
    <w:rPr>
      <w:rFonts w:ascii="Times New Roman" w:eastAsiaTheme="majorEastAsia" w:hAnsi="Times New Roman" w:cstheme="majorBidi"/>
      <w:color w:val="272727" w:themeColor="text1" w:themeTint="D8"/>
      <w:kern w:val="0"/>
      <w:szCs w:val="22"/>
      <w:lang w:val="en-GB"/>
      <w14:ligatures w14:val="none"/>
    </w:rPr>
  </w:style>
  <w:style w:type="paragraph" w:styleId="Title">
    <w:name w:val="Title"/>
    <w:basedOn w:val="Normal"/>
    <w:next w:val="Normal"/>
    <w:link w:val="TitleChar"/>
    <w:uiPriority w:val="10"/>
    <w:qFormat/>
    <w:rsid w:val="007767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6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6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7EA"/>
    <w:pPr>
      <w:spacing w:before="160"/>
      <w:jc w:val="center"/>
    </w:pPr>
    <w:rPr>
      <w:i/>
      <w:iCs/>
      <w:color w:val="404040" w:themeColor="text1" w:themeTint="BF"/>
    </w:rPr>
  </w:style>
  <w:style w:type="character" w:customStyle="1" w:styleId="QuoteChar">
    <w:name w:val="Quote Char"/>
    <w:basedOn w:val="DefaultParagraphFont"/>
    <w:link w:val="Quote"/>
    <w:uiPriority w:val="29"/>
    <w:rsid w:val="007767EA"/>
    <w:rPr>
      <w:i/>
      <w:iCs/>
      <w:color w:val="404040" w:themeColor="text1" w:themeTint="BF"/>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rsid w:val="007767EA"/>
    <w:pPr>
      <w:ind w:left="720"/>
      <w:contextualSpacing/>
    </w:pPr>
  </w:style>
  <w:style w:type="character" w:styleId="IntenseEmphasis">
    <w:name w:val="Intense Emphasis"/>
    <w:basedOn w:val="DefaultParagraphFont"/>
    <w:uiPriority w:val="21"/>
    <w:qFormat/>
    <w:rsid w:val="007767EA"/>
    <w:rPr>
      <w:i/>
      <w:iCs/>
      <w:color w:val="0F4761" w:themeColor="accent1" w:themeShade="BF"/>
    </w:rPr>
  </w:style>
  <w:style w:type="paragraph" w:styleId="IntenseQuote">
    <w:name w:val="Intense Quote"/>
    <w:basedOn w:val="Normal"/>
    <w:next w:val="Normal"/>
    <w:link w:val="IntenseQuoteChar"/>
    <w:uiPriority w:val="30"/>
    <w:qFormat/>
    <w:rsid w:val="00776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67EA"/>
    <w:rPr>
      <w:i/>
      <w:iCs/>
      <w:color w:val="0F4761" w:themeColor="accent1" w:themeShade="BF"/>
    </w:rPr>
  </w:style>
  <w:style w:type="character" w:styleId="IntenseReference">
    <w:name w:val="Intense Reference"/>
    <w:basedOn w:val="DefaultParagraphFont"/>
    <w:uiPriority w:val="32"/>
    <w:qFormat/>
    <w:rsid w:val="007767EA"/>
    <w:rPr>
      <w:b/>
      <w:bCs/>
      <w:smallCaps/>
      <w:color w:val="0F4761" w:themeColor="accent1" w:themeShade="BF"/>
      <w:spacing w:val="5"/>
    </w:rPr>
  </w:style>
  <w:style w:type="paragraph" w:customStyle="1" w:styleId="Text2">
    <w:name w:val="Text 2"/>
    <w:basedOn w:val="Normal"/>
    <w:qFormat/>
    <w:rsid w:val="007767EA"/>
    <w:pPr>
      <w:tabs>
        <w:tab w:val="left" w:pos="2302"/>
      </w:tabs>
      <w:spacing w:after="240"/>
      <w:ind w:left="1202"/>
    </w:pPr>
    <w:rPr>
      <w:rFonts w:eastAsia="Times New Roman" w:cs="Times New Roman"/>
      <w:szCs w:val="20"/>
    </w:rPr>
  </w:style>
  <w:style w:type="table" w:styleId="TableGrid">
    <w:name w:val="Table Grid"/>
    <w:aliases w:val="Document Table,CV1,Table Format 1,HTG,Tabela Renova,TabelEcorys,Deloitte,Simple table,simple table,Gena,Tabellengitternetz"/>
    <w:basedOn w:val="TableNormal"/>
    <w:uiPriority w:val="39"/>
    <w:rsid w:val="007767EA"/>
    <w:rPr>
      <w:rFonts w:ascii="Times New Roman" w:eastAsia="Times New Roman" w:hAnsi="Times New Roman" w:cs="Times New Roman"/>
      <w:kern w:val="0"/>
      <w:sz w:val="20"/>
      <w:szCs w:val="20"/>
      <w:lang w:val="en-GB" w:eastAsia="en-GB"/>
      <w14:ligatures w14:val="none"/>
    </w:rPr>
    <w:tblPr>
      <w:tblInd w:w="0" w:type="nil"/>
      <w:tblCellMar>
        <w:left w:w="0" w:type="dxa"/>
        <w:right w:w="0" w:type="dxa"/>
      </w:tblCellMar>
    </w:tblPr>
  </w:style>
  <w:style w:type="paragraph" w:customStyle="1" w:styleId="Body">
    <w:name w:val="Body"/>
    <w:link w:val="BodyChar"/>
    <w:qFormat/>
    <w:rsid w:val="007767EA"/>
    <w:pPr>
      <w:pBdr>
        <w:top w:val="nil"/>
        <w:left w:val="nil"/>
        <w:bottom w:val="nil"/>
        <w:right w:val="nil"/>
        <w:between w:val="nil"/>
        <w:bar w:val="nil"/>
      </w:pBdr>
      <w:spacing w:after="200" w:line="276" w:lineRule="auto"/>
    </w:pPr>
    <w:rPr>
      <w:rFonts w:ascii="Times New Roman" w:hAnsi="Times New Roman" w:cs="Times New Roman"/>
      <w:kern w:val="0"/>
      <w:sz w:val="22"/>
      <w:szCs w:val="22"/>
      <w:lang w:val="en-GB"/>
      <w14:ligatures w14:val="none"/>
    </w:rPr>
  </w:style>
  <w:style w:type="character" w:customStyle="1" w:styleId="BodyChar">
    <w:name w:val="Body Char"/>
    <w:link w:val="Body"/>
    <w:rsid w:val="007767EA"/>
    <w:rPr>
      <w:rFonts w:ascii="Times New Roman" w:hAnsi="Times New Roman" w:cs="Times New Roman"/>
      <w:kern w:val="0"/>
      <w:sz w:val="22"/>
      <w:szCs w:val="22"/>
      <w:lang w:val="en-GB"/>
      <w14:ligatures w14:val="none"/>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rsid w:val="007767EA"/>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for tables"/>
    <w:basedOn w:val="Normal"/>
    <w:next w:val="Normal"/>
    <w:link w:val="CaptionChar"/>
    <w:uiPriority w:val="35"/>
    <w:unhideWhenUsed/>
    <w:qFormat/>
    <w:rsid w:val="007767EA"/>
    <w:rPr>
      <w:rFonts w:cs="Times New Roman"/>
      <w:i/>
      <w:iCs/>
      <w:szCs w:val="18"/>
    </w:rPr>
  </w:style>
  <w:style w:type="character" w:customStyle="1" w:styleId="CaptionChar">
    <w:name w:val="Caption Char"/>
    <w:aliases w:val="Tasks Char,Beschriftung Char2 Char,Beschriftung Char1 Char1 Char,Beschriftung Char Char Char1 Char,Beschriftung Char1 Char Char Char,Beschriftung Char Char Char Char Char,Beschriftung Char Char1 Char Char,Beschriftung Char Char2 Char"/>
    <w:link w:val="Caption"/>
    <w:uiPriority w:val="35"/>
    <w:locked/>
    <w:rsid w:val="007767EA"/>
    <w:rPr>
      <w:rFonts w:ascii="Times New Roman" w:hAnsi="Times New Roman" w:cs="Times New Roman"/>
      <w:i/>
      <w:iCs/>
      <w:kern w:val="0"/>
      <w:szCs w:val="18"/>
      <w:lang w:val="en-GB"/>
      <w14:ligatures w14:val="none"/>
    </w:rPr>
  </w:style>
  <w:style w:type="paragraph" w:customStyle="1" w:styleId="Style1">
    <w:name w:val="Style1"/>
    <w:basedOn w:val="ListParagraph"/>
    <w:link w:val="Style1Char"/>
    <w:qFormat/>
    <w:rsid w:val="00CF56FB"/>
    <w:pPr>
      <w:keepNext/>
      <w:numPr>
        <w:numId w:val="7"/>
      </w:numPr>
      <w:spacing w:before="240" w:after="240"/>
      <w:outlineLvl w:val="0"/>
    </w:pPr>
    <w:rPr>
      <w:rFonts w:eastAsia="Times New Roman" w:cs="Times New Roman"/>
      <w:b/>
      <w:smallCaps/>
      <w:noProof/>
      <w:szCs w:val="20"/>
    </w:rPr>
  </w:style>
  <w:style w:type="character" w:customStyle="1" w:styleId="Style1Char">
    <w:name w:val="Style1 Char"/>
    <w:basedOn w:val="ListParagraphChar"/>
    <w:link w:val="Style1"/>
    <w:rsid w:val="00CF56FB"/>
    <w:rPr>
      <w:rFonts w:ascii="Times New Roman" w:eastAsia="Times New Roman" w:hAnsi="Times New Roman" w:cs="Times New Roman"/>
      <w:b/>
      <w:smallCaps/>
      <w:noProof/>
      <w:kern w:val="0"/>
      <w:szCs w:val="20"/>
      <w:lang w:val="en-GB"/>
      <w14:ligatures w14:val="none"/>
    </w:rPr>
  </w:style>
  <w:style w:type="character" w:styleId="Hyperlink">
    <w:name w:val="Hyperlink"/>
    <w:basedOn w:val="DefaultParagraphFont"/>
    <w:uiPriority w:val="99"/>
    <w:unhideWhenUsed/>
    <w:rsid w:val="005923E5"/>
    <w:rPr>
      <w:color w:val="467886" w:themeColor="hyperlink"/>
      <w:u w:val="single"/>
    </w:rPr>
  </w:style>
  <w:style w:type="character" w:customStyle="1" w:styleId="UnresolvedMention1">
    <w:name w:val="Unresolved Mention1"/>
    <w:basedOn w:val="DefaultParagraphFont"/>
    <w:uiPriority w:val="99"/>
    <w:semiHidden/>
    <w:unhideWhenUsed/>
    <w:rsid w:val="005923E5"/>
    <w:rPr>
      <w:color w:val="605E5C"/>
      <w:shd w:val="clear" w:color="auto" w:fill="E1DFDD"/>
    </w:rPr>
  </w:style>
  <w:style w:type="paragraph" w:styleId="TOCHeading">
    <w:name w:val="TOC Heading"/>
    <w:basedOn w:val="Heading1"/>
    <w:next w:val="Normal"/>
    <w:unhideWhenUsed/>
    <w:qFormat/>
    <w:rsid w:val="00D04856"/>
    <w:pPr>
      <w:numPr>
        <w:numId w:val="0"/>
      </w:numPr>
      <w:spacing w:before="240" w:after="0" w:line="259" w:lineRule="auto"/>
      <w:jc w:val="left"/>
      <w:outlineLvl w:val="9"/>
    </w:pPr>
    <w:rPr>
      <w:sz w:val="32"/>
      <w:szCs w:val="32"/>
      <w:lang w:val="en-US"/>
    </w:rPr>
  </w:style>
  <w:style w:type="paragraph" w:styleId="TOC1">
    <w:name w:val="toc 1"/>
    <w:basedOn w:val="Normal"/>
    <w:next w:val="Normal"/>
    <w:autoRedefine/>
    <w:uiPriority w:val="39"/>
    <w:unhideWhenUsed/>
    <w:rsid w:val="00D04856"/>
    <w:pPr>
      <w:spacing w:after="100"/>
    </w:pPr>
  </w:style>
  <w:style w:type="paragraph" w:styleId="TOC2">
    <w:name w:val="toc 2"/>
    <w:basedOn w:val="Normal"/>
    <w:next w:val="Normal"/>
    <w:autoRedefine/>
    <w:uiPriority w:val="39"/>
    <w:unhideWhenUsed/>
    <w:rsid w:val="00D04856"/>
    <w:pPr>
      <w:spacing w:after="100"/>
      <w:ind w:left="240"/>
    </w:pPr>
  </w:style>
  <w:style w:type="paragraph" w:styleId="TOC3">
    <w:name w:val="toc 3"/>
    <w:basedOn w:val="Normal"/>
    <w:next w:val="Normal"/>
    <w:autoRedefine/>
    <w:uiPriority w:val="39"/>
    <w:unhideWhenUsed/>
    <w:rsid w:val="00D04856"/>
    <w:pPr>
      <w:spacing w:after="100"/>
      <w:ind w:left="48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232A52"/>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232A52"/>
    <w:rPr>
      <w:rFonts w:ascii="Times New Roman" w:hAnsi="Times New Roman"/>
      <w:kern w:val="0"/>
      <w:sz w:val="20"/>
      <w:szCs w:val="20"/>
      <w:lang w:val="en-GB"/>
      <w14:ligatures w14:val="none"/>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SUPERSCharCharCharCharCharCharCharChar"/>
    <w:uiPriority w:val="99"/>
    <w:unhideWhenUsed/>
    <w:qFormat/>
    <w:rsid w:val="00232A5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69121A"/>
    <w:pPr>
      <w:spacing w:after="160" w:line="240" w:lineRule="exact"/>
    </w:pPr>
    <w:rPr>
      <w:rFonts w:asciiTheme="minorHAnsi" w:hAnsiTheme="minorHAnsi"/>
      <w:kern w:val="2"/>
      <w:szCs w:val="24"/>
      <w:vertAlign w:val="superscript"/>
      <w14:ligatures w14:val="standardContextual"/>
    </w:rPr>
  </w:style>
  <w:style w:type="character" w:customStyle="1" w:styleId="None">
    <w:name w:val="None"/>
    <w:rsid w:val="0069121A"/>
  </w:style>
  <w:style w:type="paragraph" w:styleId="Header">
    <w:name w:val="header"/>
    <w:basedOn w:val="Normal"/>
    <w:link w:val="HeaderChar"/>
    <w:uiPriority w:val="99"/>
    <w:unhideWhenUsed/>
    <w:rsid w:val="00180ED6"/>
    <w:pPr>
      <w:tabs>
        <w:tab w:val="center" w:pos="4513"/>
        <w:tab w:val="right" w:pos="9026"/>
      </w:tabs>
    </w:pPr>
  </w:style>
  <w:style w:type="character" w:customStyle="1" w:styleId="HeaderChar">
    <w:name w:val="Header Char"/>
    <w:basedOn w:val="DefaultParagraphFont"/>
    <w:link w:val="Header"/>
    <w:uiPriority w:val="99"/>
    <w:rsid w:val="00180ED6"/>
    <w:rPr>
      <w:rFonts w:ascii="Times New Roman" w:hAnsi="Times New Roman"/>
      <w:kern w:val="0"/>
      <w:szCs w:val="22"/>
      <w:lang w:val="en-GB"/>
      <w14:ligatures w14:val="none"/>
    </w:rPr>
  </w:style>
  <w:style w:type="paragraph" w:styleId="Footer">
    <w:name w:val="footer"/>
    <w:basedOn w:val="Normal"/>
    <w:link w:val="FooterChar"/>
    <w:uiPriority w:val="99"/>
    <w:unhideWhenUsed/>
    <w:rsid w:val="00180ED6"/>
    <w:pPr>
      <w:tabs>
        <w:tab w:val="center" w:pos="4513"/>
        <w:tab w:val="right" w:pos="9026"/>
      </w:tabs>
    </w:pPr>
  </w:style>
  <w:style w:type="character" w:customStyle="1" w:styleId="FooterChar">
    <w:name w:val="Footer Char"/>
    <w:basedOn w:val="DefaultParagraphFont"/>
    <w:link w:val="Footer"/>
    <w:uiPriority w:val="99"/>
    <w:rsid w:val="00180ED6"/>
    <w:rPr>
      <w:rFonts w:ascii="Times New Roman" w:hAnsi="Times New Roman"/>
      <w:kern w:val="0"/>
      <w:szCs w:val="22"/>
      <w:lang w:val="en-GB"/>
      <w14:ligatures w14:val="none"/>
    </w:rPr>
  </w:style>
  <w:style w:type="paragraph" w:styleId="CommentText">
    <w:name w:val="annotation text"/>
    <w:basedOn w:val="Normal"/>
    <w:link w:val="CommentTextChar"/>
    <w:uiPriority w:val="99"/>
    <w:unhideWhenUsed/>
    <w:rsid w:val="00180ED6"/>
    <w:rPr>
      <w:sz w:val="20"/>
      <w:szCs w:val="20"/>
    </w:rPr>
  </w:style>
  <w:style w:type="character" w:customStyle="1" w:styleId="CommentTextChar">
    <w:name w:val="Comment Text Char"/>
    <w:basedOn w:val="DefaultParagraphFont"/>
    <w:link w:val="CommentText"/>
    <w:uiPriority w:val="99"/>
    <w:rsid w:val="00180ED6"/>
    <w:rPr>
      <w:rFonts w:ascii="Times New Roman" w:hAnsi="Times New Roman"/>
      <w:kern w:val="0"/>
      <w:sz w:val="20"/>
      <w:szCs w:val="20"/>
      <w:lang w:val="en-GB"/>
      <w14:ligatures w14:val="none"/>
    </w:rPr>
  </w:style>
  <w:style w:type="character" w:styleId="CommentReference">
    <w:name w:val="annotation reference"/>
    <w:basedOn w:val="DefaultParagraphFont"/>
    <w:uiPriority w:val="99"/>
    <w:unhideWhenUsed/>
    <w:rsid w:val="00180ED6"/>
    <w:rPr>
      <w:sz w:val="16"/>
      <w:szCs w:val="16"/>
    </w:rPr>
  </w:style>
  <w:style w:type="paragraph" w:styleId="Revision">
    <w:name w:val="Revision"/>
    <w:hidden/>
    <w:uiPriority w:val="99"/>
    <w:semiHidden/>
    <w:rsid w:val="00B907D4"/>
    <w:rPr>
      <w:rFonts w:ascii="Times New Roman" w:hAnsi="Times New Roman"/>
      <w:kern w:val="0"/>
      <w:szCs w:val="22"/>
      <w:lang w:val="en-GB"/>
      <w14:ligatures w14:val="none"/>
    </w:rPr>
  </w:style>
  <w:style w:type="paragraph" w:styleId="CommentSubject">
    <w:name w:val="annotation subject"/>
    <w:basedOn w:val="CommentText"/>
    <w:next w:val="CommentText"/>
    <w:link w:val="CommentSubjectChar"/>
    <w:uiPriority w:val="99"/>
    <w:semiHidden/>
    <w:unhideWhenUsed/>
    <w:rsid w:val="007D7815"/>
    <w:rPr>
      <w:b/>
      <w:bCs/>
    </w:rPr>
  </w:style>
  <w:style w:type="character" w:customStyle="1" w:styleId="CommentSubjectChar">
    <w:name w:val="Comment Subject Char"/>
    <w:basedOn w:val="CommentTextChar"/>
    <w:link w:val="CommentSubject"/>
    <w:uiPriority w:val="99"/>
    <w:semiHidden/>
    <w:rsid w:val="007D7815"/>
    <w:rPr>
      <w:rFonts w:ascii="Times New Roman" w:hAnsi="Times New Roman"/>
      <w:b/>
      <w:bCs/>
      <w:kern w:val="0"/>
      <w:sz w:val="20"/>
      <w:szCs w:val="20"/>
      <w:lang w:val="en-GB"/>
      <w14:ligatures w14:val="none"/>
    </w:rPr>
  </w:style>
  <w:style w:type="character" w:styleId="FollowedHyperlink">
    <w:name w:val="FollowedHyperlink"/>
    <w:basedOn w:val="DefaultParagraphFont"/>
    <w:uiPriority w:val="99"/>
    <w:unhideWhenUsed/>
    <w:rsid w:val="004C1E10"/>
    <w:rPr>
      <w:color w:val="96607D" w:themeColor="followedHyperlink"/>
      <w:u w:val="single"/>
    </w:rPr>
  </w:style>
  <w:style w:type="character" w:customStyle="1" w:styleId="Marker">
    <w:name w:val="Marker"/>
    <w:basedOn w:val="DefaultParagraphFont"/>
    <w:rsid w:val="00020031"/>
    <w:rPr>
      <w:color w:val="0000FF"/>
      <w:shd w:val="clear" w:color="auto" w:fill="auto"/>
    </w:rPr>
  </w:style>
  <w:style w:type="paragraph" w:customStyle="1" w:styleId="Pagedecouverture">
    <w:name w:val="Page de couverture"/>
    <w:basedOn w:val="Normal"/>
    <w:next w:val="Normal"/>
    <w:rsid w:val="00020031"/>
    <w:rPr>
      <w:rFonts w:cs="Times New Roman"/>
      <w:szCs w:val="24"/>
    </w:rPr>
  </w:style>
  <w:style w:type="paragraph" w:customStyle="1" w:styleId="FooterCoverPage">
    <w:name w:val="Footer Cover Page"/>
    <w:basedOn w:val="Normal"/>
    <w:link w:val="FooterCoverPageChar"/>
    <w:rsid w:val="00020031"/>
    <w:pPr>
      <w:tabs>
        <w:tab w:val="center" w:pos="4535"/>
        <w:tab w:val="right" w:pos="9071"/>
        <w:tab w:val="right" w:pos="9921"/>
      </w:tabs>
      <w:spacing w:before="360"/>
      <w:ind w:left="-850" w:right="-850"/>
      <w:jc w:val="left"/>
    </w:pPr>
  </w:style>
  <w:style w:type="character" w:customStyle="1" w:styleId="FooterCoverPageChar">
    <w:name w:val="Footer Cover Page Char"/>
    <w:basedOn w:val="DefaultParagraphFont"/>
    <w:link w:val="FooterCoverPage"/>
    <w:rsid w:val="00020031"/>
    <w:rPr>
      <w:rFonts w:ascii="Times New Roman" w:hAnsi="Times New Roman"/>
      <w:kern w:val="0"/>
      <w:szCs w:val="22"/>
      <w:lang w:val="en-GB"/>
      <w14:ligatures w14:val="none"/>
    </w:rPr>
  </w:style>
  <w:style w:type="paragraph" w:customStyle="1" w:styleId="HeaderCoverPage">
    <w:name w:val="Header Cover Page"/>
    <w:basedOn w:val="Normal"/>
    <w:link w:val="HeaderCoverPageChar"/>
    <w:rsid w:val="00020031"/>
    <w:pPr>
      <w:tabs>
        <w:tab w:val="center" w:pos="4535"/>
        <w:tab w:val="right" w:pos="9071"/>
      </w:tabs>
      <w:spacing w:after="120"/>
    </w:pPr>
  </w:style>
  <w:style w:type="character" w:customStyle="1" w:styleId="HeaderCoverPageChar">
    <w:name w:val="Header Cover Page Char"/>
    <w:basedOn w:val="DefaultParagraphFont"/>
    <w:link w:val="HeaderCoverPage"/>
    <w:rsid w:val="00020031"/>
    <w:rPr>
      <w:rFonts w:ascii="Times New Roman" w:hAnsi="Times New Roman"/>
      <w:kern w:val="0"/>
      <w:szCs w:val="22"/>
      <w:lang w:val="en-GB"/>
      <w14:ligatures w14:val="none"/>
    </w:rPr>
  </w:style>
  <w:style w:type="paragraph" w:customStyle="1" w:styleId="Text1">
    <w:name w:val="Text 1"/>
    <w:basedOn w:val="Normal"/>
    <w:rsid w:val="00020031"/>
    <w:pPr>
      <w:spacing w:after="240"/>
      <w:ind w:left="482"/>
    </w:pPr>
    <w:rPr>
      <w:rFonts w:eastAsia="Times New Roman" w:cs="Times New Roman"/>
      <w:szCs w:val="20"/>
    </w:rPr>
  </w:style>
  <w:style w:type="paragraph" w:styleId="ListBullet">
    <w:name w:val="List Bullet"/>
    <w:basedOn w:val="Normal"/>
    <w:rsid w:val="008E1AEB"/>
    <w:pPr>
      <w:numPr>
        <w:numId w:val="14"/>
      </w:numPr>
      <w:spacing w:after="240"/>
    </w:pPr>
    <w:rPr>
      <w:rFonts w:eastAsia="Times New Roman" w:cs="Times New Roman"/>
      <w:szCs w:val="20"/>
    </w:rPr>
  </w:style>
  <w:style w:type="paragraph" w:customStyle="1" w:styleId="ListDash1">
    <w:name w:val="List Dash 1"/>
    <w:basedOn w:val="Text1"/>
    <w:rsid w:val="008E1AEB"/>
    <w:pPr>
      <w:numPr>
        <w:numId w:val="15"/>
      </w:numPr>
    </w:pPr>
  </w:style>
  <w:style w:type="paragraph" w:customStyle="1" w:styleId="AnnexTitle">
    <w:name w:val="Annex Title"/>
    <w:basedOn w:val="Heading1"/>
    <w:next w:val="Normal"/>
    <w:link w:val="AnnexTitleChar"/>
    <w:autoRedefine/>
    <w:qFormat/>
    <w:rsid w:val="00020031"/>
    <w:pPr>
      <w:keepLines w:val="0"/>
      <w:numPr>
        <w:numId w:val="0"/>
      </w:numPr>
      <w:spacing w:before="240" w:after="480"/>
    </w:pPr>
    <w:rPr>
      <w:rFonts w:ascii="Times New Roman" w:eastAsia="Times New Roman" w:hAnsi="Times New Roman" w:cs="Times New Roman"/>
      <w:b/>
      <w:smallCaps/>
      <w:color w:val="auto"/>
      <w:sz w:val="32"/>
      <w:szCs w:val="20"/>
    </w:rPr>
  </w:style>
  <w:style w:type="character" w:customStyle="1" w:styleId="AnnexTitleChar">
    <w:name w:val="Annex Title Char"/>
    <w:basedOn w:val="DefaultParagraphFont"/>
    <w:link w:val="AnnexTitle"/>
    <w:rsid w:val="00020031"/>
    <w:rPr>
      <w:rFonts w:ascii="Times New Roman" w:eastAsia="Times New Roman" w:hAnsi="Times New Roman" w:cs="Times New Roman"/>
      <w:b/>
      <w:smallCaps/>
      <w:kern w:val="0"/>
      <w:sz w:val="32"/>
      <w:szCs w:val="20"/>
      <w:lang w:val="en-GB"/>
      <w14:ligatures w14:val="none"/>
    </w:rPr>
  </w:style>
  <w:style w:type="table" w:customStyle="1" w:styleId="CV11">
    <w:name w:val="CV11"/>
    <w:basedOn w:val="TableNormal"/>
    <w:next w:val="TableGrid"/>
    <w:uiPriority w:val="39"/>
    <w:rsid w:val="00020031"/>
    <w:rPr>
      <w:rFonts w:ascii="Times New Roman" w:eastAsia="Times New Roman" w:hAnsi="Times New Roman" w:cs="Times New Roman"/>
      <w:kern w:val="0"/>
      <w:sz w:val="20"/>
      <w:szCs w:val="20"/>
      <w:lang w:val="en-GB" w:eastAsia="en-GB"/>
      <w14:ligatures w14:val="none"/>
    </w:rPr>
    <w:tblPr/>
  </w:style>
  <w:style w:type="table" w:customStyle="1" w:styleId="CV12">
    <w:name w:val="CV12"/>
    <w:basedOn w:val="TableNormal"/>
    <w:next w:val="TableGrid"/>
    <w:uiPriority w:val="39"/>
    <w:rsid w:val="00020031"/>
    <w:rPr>
      <w:rFonts w:ascii="Times New Roman" w:eastAsia="Times New Roman" w:hAnsi="Times New Roman" w:cs="Times New Roman"/>
      <w:kern w:val="0"/>
      <w:sz w:val="20"/>
      <w:szCs w:val="20"/>
      <w:lang w:val="en-GB" w:eastAsia="en-GB"/>
      <w14:ligatures w14:val="none"/>
    </w:rPr>
    <w:tblPr/>
  </w:style>
  <w:style w:type="table" w:customStyle="1" w:styleId="CV13">
    <w:name w:val="CV13"/>
    <w:basedOn w:val="TableNormal"/>
    <w:next w:val="TableGrid"/>
    <w:uiPriority w:val="39"/>
    <w:rsid w:val="00020031"/>
    <w:rPr>
      <w:rFonts w:ascii="Times New Roman" w:eastAsia="Times New Roman" w:hAnsi="Times New Roman" w:cs="Times New Roman"/>
      <w:kern w:val="0"/>
      <w:sz w:val="20"/>
      <w:szCs w:val="20"/>
      <w:lang w:val="en-GB" w:eastAsia="en-GB"/>
      <w14:ligatures w14:val="none"/>
    </w:rPr>
    <w:tblPr/>
  </w:style>
  <w:style w:type="paragraph" w:styleId="BalloonText">
    <w:name w:val="Balloon Text"/>
    <w:basedOn w:val="Normal"/>
    <w:link w:val="BalloonTextChar"/>
    <w:uiPriority w:val="99"/>
    <w:semiHidden/>
    <w:unhideWhenUsed/>
    <w:rsid w:val="00020031"/>
    <w:rPr>
      <w:rFonts w:ascii="Tahoma" w:hAnsi="Tahoma" w:cs="Tahoma"/>
      <w:sz w:val="16"/>
      <w:szCs w:val="16"/>
    </w:rPr>
  </w:style>
  <w:style w:type="character" w:customStyle="1" w:styleId="BalloonTextChar">
    <w:name w:val="Balloon Text Char"/>
    <w:basedOn w:val="DefaultParagraphFont"/>
    <w:link w:val="BalloonText"/>
    <w:uiPriority w:val="99"/>
    <w:semiHidden/>
    <w:rsid w:val="00020031"/>
    <w:rPr>
      <w:rFonts w:ascii="Tahoma" w:hAnsi="Tahoma" w:cs="Tahoma"/>
      <w:kern w:val="0"/>
      <w:sz w:val="16"/>
      <w:szCs w:val="16"/>
      <w:lang w:val="en-GB"/>
      <w14:ligatures w14:val="none"/>
    </w:rPr>
  </w:style>
  <w:style w:type="paragraph" w:customStyle="1" w:styleId="Declassification">
    <w:name w:val="Declassification"/>
    <w:basedOn w:val="Normal"/>
    <w:next w:val="Normal"/>
    <w:rsid w:val="00020031"/>
    <w:rPr>
      <w:rFonts w:cs="Times New Roman"/>
      <w:szCs w:val="24"/>
    </w:rPr>
  </w:style>
  <w:style w:type="paragraph" w:customStyle="1" w:styleId="HeaderLandscape">
    <w:name w:val="HeaderLandscape"/>
    <w:basedOn w:val="Normal"/>
    <w:rsid w:val="00020031"/>
    <w:pPr>
      <w:tabs>
        <w:tab w:val="center" w:pos="7285"/>
        <w:tab w:val="right" w:pos="14003"/>
      </w:tabs>
      <w:spacing w:after="120"/>
    </w:pPr>
    <w:rPr>
      <w:rFonts w:cs="Times New Roman"/>
      <w:szCs w:val="24"/>
    </w:rPr>
  </w:style>
  <w:style w:type="paragraph" w:customStyle="1" w:styleId="HeaderSensitivity">
    <w:name w:val="Header Sensitivity"/>
    <w:basedOn w:val="Normal"/>
    <w:rsid w:val="00020031"/>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020031"/>
    <w:pPr>
      <w:tabs>
        <w:tab w:val="center" w:pos="7285"/>
        <w:tab w:val="center" w:pos="10913"/>
        <w:tab w:val="right" w:pos="15137"/>
      </w:tabs>
      <w:spacing w:before="360"/>
      <w:ind w:left="-567" w:right="-567"/>
    </w:pPr>
    <w:rPr>
      <w:rFonts w:cs="Times New Roman"/>
      <w:szCs w:val="24"/>
    </w:rPr>
  </w:style>
  <w:style w:type="paragraph" w:customStyle="1" w:styleId="FooterSensitivity">
    <w:name w:val="Footer Sensitivity"/>
    <w:basedOn w:val="Normal"/>
    <w:rsid w:val="00020031"/>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customStyle="1" w:styleId="HeaderSensitivityRight">
    <w:name w:val="Header Sensitivity Right"/>
    <w:basedOn w:val="Normal"/>
    <w:link w:val="HeaderSensitivityRightChar"/>
    <w:rsid w:val="00020031"/>
    <w:pPr>
      <w:spacing w:after="120"/>
      <w:jc w:val="right"/>
    </w:pPr>
    <w:rPr>
      <w:sz w:val="28"/>
    </w:rPr>
  </w:style>
  <w:style w:type="character" w:customStyle="1" w:styleId="HeaderSensitivityRightChar">
    <w:name w:val="Header Sensitivity Right Char"/>
    <w:basedOn w:val="DefaultParagraphFont"/>
    <w:link w:val="HeaderSensitivityRight"/>
    <w:rsid w:val="00020031"/>
    <w:rPr>
      <w:rFonts w:ascii="Times New Roman" w:hAnsi="Times New Roman"/>
      <w:kern w:val="0"/>
      <w:sz w:val="28"/>
      <w:szCs w:val="22"/>
      <w:lang w:val="en-GB"/>
      <w14:ligatures w14:val="none"/>
    </w:rPr>
  </w:style>
  <w:style w:type="paragraph" w:styleId="NoSpacing">
    <w:name w:val="No Spacing"/>
    <w:uiPriority w:val="1"/>
    <w:qFormat/>
    <w:rsid w:val="00020031"/>
    <w:rPr>
      <w:rFonts w:eastAsiaTheme="minorEastAsia"/>
      <w:kern w:val="0"/>
      <w:sz w:val="22"/>
      <w:szCs w:val="22"/>
      <w:lang w:val="en-GB"/>
      <w14:ligatures w14:val="none"/>
    </w:rPr>
  </w:style>
  <w:style w:type="paragraph" w:customStyle="1" w:styleId="CharCharChar1">
    <w:name w:val="Char Char Char1"/>
    <w:basedOn w:val="Normal"/>
    <w:uiPriority w:val="99"/>
    <w:rsid w:val="00020031"/>
    <w:pPr>
      <w:spacing w:after="160" w:line="240" w:lineRule="exact"/>
    </w:pPr>
    <w:rPr>
      <w:rFonts w:asciiTheme="minorHAnsi" w:hAnsiTheme="minorHAnsi"/>
      <w:kern w:val="2"/>
      <w:szCs w:val="24"/>
      <w:vertAlign w:val="superscript"/>
      <w:lang w:val="en-IE"/>
      <w14:ligatures w14:val="standardContextual"/>
    </w:rPr>
  </w:style>
  <w:style w:type="paragraph" w:customStyle="1" w:styleId="paragraph">
    <w:name w:val="paragraph"/>
    <w:basedOn w:val="Normal"/>
    <w:rsid w:val="00020031"/>
    <w:pPr>
      <w:spacing w:before="100" w:beforeAutospacing="1" w:after="100" w:afterAutospacing="1"/>
      <w:jc w:val="left"/>
    </w:pPr>
    <w:rPr>
      <w:rFonts w:eastAsia="Times New Roman" w:cs="Times New Roman"/>
      <w:szCs w:val="24"/>
      <w:lang w:val="en-IE" w:eastAsia="en-IE"/>
    </w:rPr>
  </w:style>
  <w:style w:type="character" w:customStyle="1" w:styleId="normaltextrun">
    <w:name w:val="normaltextrun"/>
    <w:basedOn w:val="DefaultParagraphFont"/>
    <w:rsid w:val="00020031"/>
  </w:style>
  <w:style w:type="character" w:customStyle="1" w:styleId="eop">
    <w:name w:val="eop"/>
    <w:basedOn w:val="DefaultParagraphFont"/>
    <w:rsid w:val="00020031"/>
  </w:style>
  <w:style w:type="character" w:customStyle="1" w:styleId="superscript">
    <w:name w:val="superscript"/>
    <w:basedOn w:val="DefaultParagraphFont"/>
    <w:rsid w:val="00020031"/>
  </w:style>
  <w:style w:type="character" w:customStyle="1" w:styleId="Mention1">
    <w:name w:val="Mention1"/>
    <w:basedOn w:val="DefaultParagraphFont"/>
    <w:uiPriority w:val="99"/>
    <w:unhideWhenUsed/>
    <w:rsid w:val="00020031"/>
    <w:rPr>
      <w:color w:val="2B579A"/>
      <w:shd w:val="clear" w:color="auto" w:fill="E1DFDD"/>
    </w:rPr>
  </w:style>
  <w:style w:type="paragraph" w:customStyle="1" w:styleId="Default">
    <w:name w:val="Default"/>
    <w:rsid w:val="00020031"/>
    <w:pPr>
      <w:autoSpaceDE w:val="0"/>
      <w:autoSpaceDN w:val="0"/>
      <w:adjustRightInd w:val="0"/>
    </w:pPr>
    <w:rPr>
      <w:rFonts w:ascii="Times New Roman" w:hAnsi="Times New Roman" w:cs="Times New Roman"/>
      <w:color w:val="000000"/>
      <w:kern w:val="0"/>
      <w:lang w:val="en-IE"/>
      <w14:ligatures w14:val="none"/>
    </w:rPr>
  </w:style>
  <w:style w:type="paragraph" w:styleId="EndnoteText">
    <w:name w:val="endnote text"/>
    <w:basedOn w:val="Normal"/>
    <w:link w:val="EndnoteTextChar"/>
    <w:uiPriority w:val="99"/>
    <w:semiHidden/>
    <w:unhideWhenUsed/>
    <w:rsid w:val="00020031"/>
    <w:rPr>
      <w:rFonts w:cs="Times New Roman"/>
      <w:sz w:val="20"/>
      <w:szCs w:val="20"/>
    </w:rPr>
  </w:style>
  <w:style w:type="character" w:customStyle="1" w:styleId="EndnoteTextChar">
    <w:name w:val="Endnote Text Char"/>
    <w:basedOn w:val="DefaultParagraphFont"/>
    <w:link w:val="EndnoteText"/>
    <w:uiPriority w:val="99"/>
    <w:semiHidden/>
    <w:rsid w:val="00020031"/>
    <w:rPr>
      <w:rFonts w:ascii="Times New Roman" w:hAnsi="Times New Roman" w:cs="Times New Roman"/>
      <w:kern w:val="0"/>
      <w:sz w:val="20"/>
      <w:szCs w:val="20"/>
      <w:lang w:val="en-GB"/>
      <w14:ligatures w14:val="none"/>
    </w:rPr>
  </w:style>
  <w:style w:type="table" w:styleId="TableGridLight">
    <w:name w:val="Grid Table Light"/>
    <w:basedOn w:val="TableNormal"/>
    <w:uiPriority w:val="40"/>
    <w:rsid w:val="00020031"/>
    <w:rPr>
      <w:kern w:val="0"/>
      <w:sz w:val="22"/>
      <w:szCs w:val="22"/>
      <w:lang w:val="en-GB"/>
      <w14:ligatures w14:val="none"/>
    </w:rPr>
    <w:tblPr/>
  </w:style>
  <w:style w:type="paragraph" w:customStyle="1" w:styleId="li">
    <w:name w:val="li"/>
    <w:basedOn w:val="Normal"/>
    <w:rsid w:val="00020031"/>
    <w:pPr>
      <w:spacing w:before="100" w:beforeAutospacing="1" w:after="100" w:afterAutospacing="1"/>
      <w:jc w:val="left"/>
    </w:pPr>
    <w:rPr>
      <w:rFonts w:eastAsia="Times New Roman" w:cs="Times New Roman"/>
      <w:szCs w:val="24"/>
      <w:lang w:val="en-IE" w:eastAsia="en-IE"/>
    </w:rPr>
  </w:style>
  <w:style w:type="character" w:customStyle="1" w:styleId="num">
    <w:name w:val="num"/>
    <w:basedOn w:val="DefaultParagraphFont"/>
    <w:rsid w:val="00020031"/>
  </w:style>
  <w:style w:type="paragraph" w:customStyle="1" w:styleId="Normal1">
    <w:name w:val="Normal1"/>
    <w:basedOn w:val="Normal"/>
    <w:rsid w:val="00020031"/>
    <w:pPr>
      <w:spacing w:before="100" w:beforeAutospacing="1" w:after="100" w:afterAutospacing="1"/>
      <w:jc w:val="left"/>
    </w:pPr>
    <w:rPr>
      <w:rFonts w:eastAsia="Times New Roman" w:cs="Times New Roman"/>
      <w:szCs w:val="24"/>
      <w:lang w:val="en-IE" w:eastAsia="en-IE"/>
    </w:rPr>
  </w:style>
  <w:style w:type="paragraph" w:customStyle="1" w:styleId="pf0">
    <w:name w:val="pf0"/>
    <w:basedOn w:val="Normal"/>
    <w:rsid w:val="00020031"/>
    <w:pPr>
      <w:spacing w:before="100" w:beforeAutospacing="1" w:after="100" w:afterAutospacing="1"/>
      <w:jc w:val="left"/>
    </w:pPr>
    <w:rPr>
      <w:rFonts w:eastAsia="Times New Roman" w:cs="Times New Roman"/>
      <w:szCs w:val="24"/>
      <w:lang w:val="en-IE" w:eastAsia="en-IE"/>
    </w:rPr>
  </w:style>
  <w:style w:type="character" w:customStyle="1" w:styleId="cf01">
    <w:name w:val="cf01"/>
    <w:basedOn w:val="DefaultParagraphFont"/>
    <w:rsid w:val="00020031"/>
    <w:rPr>
      <w:rFonts w:ascii="Segoe UI" w:hAnsi="Segoe UI" w:cs="Segoe UI" w:hint="default"/>
      <w:sz w:val="18"/>
      <w:szCs w:val="18"/>
    </w:rPr>
  </w:style>
  <w:style w:type="paragraph" w:styleId="BodyText">
    <w:name w:val="Body Text"/>
    <w:basedOn w:val="Normal"/>
    <w:link w:val="BodyTextChar"/>
    <w:uiPriority w:val="1"/>
    <w:qFormat/>
    <w:rsid w:val="00020031"/>
    <w:pPr>
      <w:widowControl w:val="0"/>
      <w:autoSpaceDE w:val="0"/>
      <w:autoSpaceDN w:val="0"/>
      <w:jc w:val="left"/>
    </w:pPr>
    <w:rPr>
      <w:rFonts w:eastAsia="Times New Roman" w:cs="Times New Roman"/>
      <w:sz w:val="20"/>
      <w:szCs w:val="20"/>
      <w:lang w:val="en-US"/>
    </w:rPr>
  </w:style>
  <w:style w:type="character" w:customStyle="1" w:styleId="BodyTextChar">
    <w:name w:val="Body Text Char"/>
    <w:basedOn w:val="DefaultParagraphFont"/>
    <w:link w:val="BodyText"/>
    <w:uiPriority w:val="1"/>
    <w:rsid w:val="00020031"/>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rsid w:val="00020031"/>
    <w:pPr>
      <w:spacing w:before="100" w:beforeAutospacing="1" w:after="100" w:afterAutospacing="1"/>
      <w:jc w:val="left"/>
    </w:pPr>
    <w:rPr>
      <w:rFonts w:eastAsia="Times New Roman" w:cs="Times New Roman"/>
      <w:szCs w:val="24"/>
      <w:lang w:val="en-IE" w:eastAsia="en-IE"/>
    </w:rPr>
  </w:style>
  <w:style w:type="character" w:styleId="Strong">
    <w:name w:val="Strong"/>
    <w:basedOn w:val="DefaultParagraphFont"/>
    <w:uiPriority w:val="22"/>
    <w:qFormat/>
    <w:rsid w:val="00020031"/>
    <w:rPr>
      <w:b/>
      <w:bCs/>
    </w:rPr>
  </w:style>
  <w:style w:type="paragraph" w:customStyle="1" w:styleId="text20">
    <w:name w:val="text2"/>
    <w:basedOn w:val="Normal"/>
    <w:rsid w:val="00020031"/>
    <w:pPr>
      <w:spacing w:before="100" w:beforeAutospacing="1" w:after="100" w:afterAutospacing="1"/>
      <w:jc w:val="left"/>
    </w:pPr>
    <w:rPr>
      <w:rFonts w:eastAsia="Times New Roman" w:cs="Times New Roman"/>
      <w:szCs w:val="24"/>
      <w:lang w:val="en-IE" w:eastAsia="en-IE"/>
    </w:rPr>
  </w:style>
  <w:style w:type="paragraph" w:customStyle="1" w:styleId="JRCText">
    <w:name w:val="JRC_Text"/>
    <w:basedOn w:val="Normal"/>
    <w:qFormat/>
    <w:rsid w:val="00020031"/>
    <w:pPr>
      <w:suppressAutoHyphens/>
      <w:spacing w:after="270" w:line="270" w:lineRule="atLeast"/>
      <w:jc w:val="left"/>
    </w:pPr>
    <w:rPr>
      <w:rFonts w:asciiTheme="minorHAnsi" w:hAnsiTheme="minorHAnsi"/>
      <w:sz w:val="22"/>
      <w:szCs w:val="19"/>
    </w:rPr>
  </w:style>
  <w:style w:type="table" w:customStyle="1" w:styleId="JRCTableBasic">
    <w:name w:val="JRC_Table_Basic"/>
    <w:basedOn w:val="TableNormal"/>
    <w:uiPriority w:val="99"/>
    <w:rsid w:val="00020031"/>
    <w:pPr>
      <w:spacing w:before="40" w:after="40"/>
    </w:pPr>
    <w:rPr>
      <w:kern w:val="0"/>
      <w:sz w:val="18"/>
      <w:szCs w:val="19"/>
      <w:lang w:val="en-GB"/>
      <w14:ligatures w14:val="none"/>
    </w:rPr>
    <w:tblPr/>
    <w:tblStylePr w:type="firstRow">
      <w:rPr>
        <w:b/>
      </w:rPr>
    </w:tblStylePr>
    <w:tblStylePr w:type="firstCol">
      <w:rPr>
        <w:b/>
      </w:rPr>
    </w:tblStylePr>
  </w:style>
  <w:style w:type="character" w:customStyle="1" w:styleId="wacimagecontainer">
    <w:name w:val="wacimagecontainer"/>
    <w:basedOn w:val="DefaultParagraphFont"/>
    <w:rsid w:val="00020031"/>
  </w:style>
  <w:style w:type="character" w:styleId="EndnoteReference">
    <w:name w:val="endnote reference"/>
    <w:basedOn w:val="DefaultParagraphFont"/>
    <w:uiPriority w:val="99"/>
    <w:semiHidden/>
    <w:unhideWhenUsed/>
    <w:rsid w:val="00020031"/>
    <w:rPr>
      <w:vertAlign w:val="superscript"/>
    </w:rPr>
  </w:style>
  <w:style w:type="numbering" w:customStyle="1" w:styleId="CurrentList1">
    <w:name w:val="Current List1"/>
    <w:uiPriority w:val="99"/>
    <w:rsid w:val="00020031"/>
    <w:pPr>
      <w:numPr>
        <w:numId w:val="30"/>
      </w:numPr>
    </w:pPr>
  </w:style>
  <w:style w:type="paragraph" w:customStyle="1" w:styleId="JRCTablenote">
    <w:name w:val="JRC_Table_note"/>
    <w:basedOn w:val="Normal"/>
    <w:qFormat/>
    <w:rsid w:val="00020031"/>
    <w:pPr>
      <w:keepLines/>
      <w:spacing w:before="40" w:after="250"/>
      <w:ind w:left="227" w:hanging="227"/>
      <w:contextualSpacing/>
      <w:jc w:val="left"/>
    </w:pPr>
    <w:rPr>
      <w:rFonts w:asciiTheme="minorHAnsi" w:eastAsia="Times New Roman" w:hAnsiTheme="minorHAnsi" w:cs="Times New Roman"/>
      <w:sz w:val="16"/>
      <w:szCs w:val="19"/>
      <w:lang w:eastAsia="en-GB"/>
    </w:rPr>
  </w:style>
  <w:style w:type="paragraph" w:customStyle="1" w:styleId="JRCFiguresource">
    <w:name w:val="JRC_Figure_source"/>
    <w:next w:val="Normal"/>
    <w:qFormat/>
    <w:rsid w:val="00020031"/>
    <w:pPr>
      <w:spacing w:after="250" w:line="250" w:lineRule="atLeast"/>
    </w:pPr>
    <w:rPr>
      <w:rFonts w:ascii="EC Square Sans Pro Light" w:hAnsi="EC Square Sans Pro Light"/>
      <w:color w:val="404040" w:themeColor="text1" w:themeTint="BF"/>
      <w:kern w:val="0"/>
      <w:sz w:val="16"/>
      <w:szCs w:val="19"/>
      <w:lang w:val="en-GB"/>
      <w14:ligatures w14:val="none"/>
    </w:rPr>
  </w:style>
  <w:style w:type="paragraph" w:styleId="TOC4">
    <w:name w:val="toc 4"/>
    <w:basedOn w:val="Normal"/>
    <w:next w:val="Normal"/>
    <w:autoRedefine/>
    <w:uiPriority w:val="39"/>
    <w:unhideWhenUsed/>
    <w:rsid w:val="009F0047"/>
    <w:pPr>
      <w:spacing w:after="100" w:line="278" w:lineRule="auto"/>
      <w:ind w:left="720"/>
      <w:jc w:val="left"/>
    </w:pPr>
    <w:rPr>
      <w:rFonts w:asciiTheme="minorHAnsi" w:eastAsiaTheme="minorEastAsia" w:hAnsiTheme="minorHAnsi"/>
      <w:kern w:val="2"/>
      <w:szCs w:val="24"/>
      <w:lang w:val="en-IE" w:eastAsia="en-IE"/>
      <w14:ligatures w14:val="standardContextual"/>
    </w:rPr>
  </w:style>
  <w:style w:type="paragraph" w:styleId="TOC5">
    <w:name w:val="toc 5"/>
    <w:basedOn w:val="Normal"/>
    <w:next w:val="Normal"/>
    <w:autoRedefine/>
    <w:uiPriority w:val="39"/>
    <w:unhideWhenUsed/>
    <w:rsid w:val="009F0047"/>
    <w:pPr>
      <w:spacing w:after="100" w:line="278" w:lineRule="auto"/>
      <w:ind w:left="960"/>
      <w:jc w:val="left"/>
    </w:pPr>
    <w:rPr>
      <w:rFonts w:asciiTheme="minorHAnsi" w:eastAsiaTheme="minorEastAsia" w:hAnsiTheme="minorHAnsi"/>
      <w:kern w:val="2"/>
      <w:szCs w:val="24"/>
      <w:lang w:val="en-IE" w:eastAsia="en-IE"/>
      <w14:ligatures w14:val="standardContextual"/>
    </w:rPr>
  </w:style>
  <w:style w:type="paragraph" w:styleId="TOC6">
    <w:name w:val="toc 6"/>
    <w:basedOn w:val="Normal"/>
    <w:next w:val="Normal"/>
    <w:autoRedefine/>
    <w:uiPriority w:val="39"/>
    <w:unhideWhenUsed/>
    <w:rsid w:val="009F0047"/>
    <w:pPr>
      <w:spacing w:after="100" w:line="278" w:lineRule="auto"/>
      <w:ind w:left="1200"/>
      <w:jc w:val="left"/>
    </w:pPr>
    <w:rPr>
      <w:rFonts w:asciiTheme="minorHAnsi" w:eastAsiaTheme="minorEastAsia" w:hAnsiTheme="minorHAnsi"/>
      <w:kern w:val="2"/>
      <w:szCs w:val="24"/>
      <w:lang w:val="en-IE" w:eastAsia="en-IE"/>
      <w14:ligatures w14:val="standardContextual"/>
    </w:rPr>
  </w:style>
  <w:style w:type="paragraph" w:styleId="TOC7">
    <w:name w:val="toc 7"/>
    <w:basedOn w:val="Normal"/>
    <w:next w:val="Normal"/>
    <w:autoRedefine/>
    <w:uiPriority w:val="39"/>
    <w:unhideWhenUsed/>
    <w:rsid w:val="009F0047"/>
    <w:pPr>
      <w:spacing w:after="100" w:line="278" w:lineRule="auto"/>
      <w:ind w:left="1440"/>
      <w:jc w:val="left"/>
    </w:pPr>
    <w:rPr>
      <w:rFonts w:asciiTheme="minorHAnsi" w:eastAsiaTheme="minorEastAsia" w:hAnsiTheme="minorHAnsi"/>
      <w:kern w:val="2"/>
      <w:szCs w:val="24"/>
      <w:lang w:val="en-IE" w:eastAsia="en-IE"/>
      <w14:ligatures w14:val="standardContextual"/>
    </w:rPr>
  </w:style>
  <w:style w:type="paragraph" w:styleId="TOC8">
    <w:name w:val="toc 8"/>
    <w:basedOn w:val="Normal"/>
    <w:next w:val="Normal"/>
    <w:autoRedefine/>
    <w:uiPriority w:val="39"/>
    <w:unhideWhenUsed/>
    <w:rsid w:val="009F0047"/>
    <w:pPr>
      <w:spacing w:after="100" w:line="278" w:lineRule="auto"/>
      <w:ind w:left="1680"/>
      <w:jc w:val="left"/>
    </w:pPr>
    <w:rPr>
      <w:rFonts w:asciiTheme="minorHAnsi" w:eastAsiaTheme="minorEastAsia" w:hAnsiTheme="minorHAnsi"/>
      <w:kern w:val="2"/>
      <w:szCs w:val="24"/>
      <w:lang w:val="en-IE" w:eastAsia="en-IE"/>
      <w14:ligatures w14:val="standardContextual"/>
    </w:rPr>
  </w:style>
  <w:style w:type="paragraph" w:styleId="TOC9">
    <w:name w:val="toc 9"/>
    <w:basedOn w:val="Normal"/>
    <w:next w:val="Normal"/>
    <w:autoRedefine/>
    <w:uiPriority w:val="39"/>
    <w:unhideWhenUsed/>
    <w:rsid w:val="009F0047"/>
    <w:pPr>
      <w:spacing w:after="100" w:line="278" w:lineRule="auto"/>
      <w:ind w:left="1920"/>
      <w:jc w:val="left"/>
    </w:pPr>
    <w:rPr>
      <w:rFonts w:asciiTheme="minorHAnsi" w:eastAsiaTheme="minorEastAsia" w:hAnsiTheme="minorHAnsi"/>
      <w:kern w:val="2"/>
      <w:szCs w:val="24"/>
      <w:lang w:val="en-IE" w:eastAsia="en-IE"/>
      <w14:ligatures w14:val="standardContextual"/>
    </w:rPr>
  </w:style>
  <w:style w:type="table" w:styleId="GridTable1Light-Accent1">
    <w:name w:val="Grid Table 1 Light Accent 1"/>
    <w:basedOn w:val="TableNormal"/>
    <w:uiPriority w:val="46"/>
    <w:rsid w:val="00385975"/>
    <w:tblPr/>
    <w:tblStylePr w:type="firstRow">
      <w:rPr>
        <w:b/>
        <w:bCs/>
      </w:rPr>
    </w:tblStylePr>
    <w:tblStylePr w:type="lastRow">
      <w:rPr>
        <w:b/>
        <w:bCs/>
      </w:rPr>
    </w:tblStylePr>
    <w:tblStylePr w:type="firstCol">
      <w:rPr>
        <w:b/>
        <w:bCs/>
      </w:rPr>
    </w:tblStylePr>
    <w:tblStylePr w:type="lastCol">
      <w:rPr>
        <w:b/>
        <w:bCs/>
      </w:rPr>
    </w:tblStylePr>
  </w:style>
  <w:style w:type="character" w:styleId="Emphasis">
    <w:name w:val="Emphasis"/>
    <w:basedOn w:val="DefaultParagraphFont"/>
    <w:uiPriority w:val="20"/>
    <w:qFormat/>
    <w:rsid w:val="00211EE4"/>
    <w:rPr>
      <w:i/>
      <w:iCs/>
    </w:rPr>
  </w:style>
  <w:style w:type="table" w:styleId="PlainTable1">
    <w:name w:val="Plain Table 1"/>
    <w:basedOn w:val="TableNormal"/>
    <w:uiPriority w:val="41"/>
    <w:rsid w:val="00B55B7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A80119"/>
  </w:style>
  <w:style w:type="paragraph" w:customStyle="1" w:styleId="p1">
    <w:name w:val="p1"/>
    <w:basedOn w:val="Normal"/>
    <w:rsid w:val="00A80119"/>
    <w:pPr>
      <w:jc w:val="left"/>
    </w:pPr>
    <w:rPr>
      <w:rFonts w:ascii="Helvetica" w:eastAsia="Times New Roman" w:hAnsi="Helvetica" w:cs="Times New Roman"/>
      <w:color w:val="000000"/>
      <w:sz w:val="18"/>
      <w:szCs w:val="18"/>
      <w:lang w:val="fr-BE" w:eastAsia="en-GB"/>
    </w:rPr>
  </w:style>
  <w:style w:type="character" w:customStyle="1" w:styleId="s1">
    <w:name w:val="s1"/>
    <w:basedOn w:val="DefaultParagraphFont"/>
    <w:rsid w:val="00A80119"/>
    <w:rPr>
      <w:rFonts w:ascii="Helvetica" w:hAnsi="Helvetica" w:hint="default"/>
      <w:sz w:val="12"/>
      <w:szCs w:val="12"/>
    </w:rPr>
  </w:style>
  <w:style w:type="table" w:styleId="GridTable1Light">
    <w:name w:val="Grid Table 1 Light"/>
    <w:basedOn w:val="TableNormal"/>
    <w:uiPriority w:val="46"/>
    <w:rsid w:val="00A80119"/>
    <w:pPr>
      <w:jc w:val="left"/>
    </w:pPr>
    <w:rPr>
      <w:lang w:val="en-I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B0795E"/>
    <w:pPr>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0795E"/>
    <w:pPr>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5369">
      <w:bodyDiv w:val="1"/>
      <w:marLeft w:val="0"/>
      <w:marRight w:val="0"/>
      <w:marTop w:val="0"/>
      <w:marBottom w:val="0"/>
      <w:divBdr>
        <w:top w:val="none" w:sz="0" w:space="0" w:color="auto"/>
        <w:left w:val="none" w:sz="0" w:space="0" w:color="auto"/>
        <w:bottom w:val="none" w:sz="0" w:space="0" w:color="auto"/>
        <w:right w:val="none" w:sz="0" w:space="0" w:color="auto"/>
      </w:divBdr>
    </w:div>
    <w:div w:id="5132925">
      <w:bodyDiv w:val="1"/>
      <w:marLeft w:val="0"/>
      <w:marRight w:val="0"/>
      <w:marTop w:val="0"/>
      <w:marBottom w:val="0"/>
      <w:divBdr>
        <w:top w:val="none" w:sz="0" w:space="0" w:color="auto"/>
        <w:left w:val="none" w:sz="0" w:space="0" w:color="auto"/>
        <w:bottom w:val="none" w:sz="0" w:space="0" w:color="auto"/>
        <w:right w:val="none" w:sz="0" w:space="0" w:color="auto"/>
      </w:divBdr>
    </w:div>
    <w:div w:id="7952702">
      <w:bodyDiv w:val="1"/>
      <w:marLeft w:val="0"/>
      <w:marRight w:val="0"/>
      <w:marTop w:val="0"/>
      <w:marBottom w:val="0"/>
      <w:divBdr>
        <w:top w:val="none" w:sz="0" w:space="0" w:color="auto"/>
        <w:left w:val="none" w:sz="0" w:space="0" w:color="auto"/>
        <w:bottom w:val="none" w:sz="0" w:space="0" w:color="auto"/>
        <w:right w:val="none" w:sz="0" w:space="0" w:color="auto"/>
      </w:divBdr>
    </w:div>
    <w:div w:id="8221344">
      <w:bodyDiv w:val="1"/>
      <w:marLeft w:val="0"/>
      <w:marRight w:val="0"/>
      <w:marTop w:val="0"/>
      <w:marBottom w:val="0"/>
      <w:divBdr>
        <w:top w:val="none" w:sz="0" w:space="0" w:color="auto"/>
        <w:left w:val="none" w:sz="0" w:space="0" w:color="auto"/>
        <w:bottom w:val="none" w:sz="0" w:space="0" w:color="auto"/>
        <w:right w:val="none" w:sz="0" w:space="0" w:color="auto"/>
      </w:divBdr>
    </w:div>
    <w:div w:id="12998693">
      <w:bodyDiv w:val="1"/>
      <w:marLeft w:val="0"/>
      <w:marRight w:val="0"/>
      <w:marTop w:val="0"/>
      <w:marBottom w:val="0"/>
      <w:divBdr>
        <w:top w:val="none" w:sz="0" w:space="0" w:color="auto"/>
        <w:left w:val="none" w:sz="0" w:space="0" w:color="auto"/>
        <w:bottom w:val="none" w:sz="0" w:space="0" w:color="auto"/>
        <w:right w:val="none" w:sz="0" w:space="0" w:color="auto"/>
      </w:divBdr>
    </w:div>
    <w:div w:id="15427305">
      <w:bodyDiv w:val="1"/>
      <w:marLeft w:val="0"/>
      <w:marRight w:val="0"/>
      <w:marTop w:val="0"/>
      <w:marBottom w:val="0"/>
      <w:divBdr>
        <w:top w:val="none" w:sz="0" w:space="0" w:color="auto"/>
        <w:left w:val="none" w:sz="0" w:space="0" w:color="auto"/>
        <w:bottom w:val="none" w:sz="0" w:space="0" w:color="auto"/>
        <w:right w:val="none" w:sz="0" w:space="0" w:color="auto"/>
      </w:divBdr>
    </w:div>
    <w:div w:id="19010837">
      <w:bodyDiv w:val="1"/>
      <w:marLeft w:val="0"/>
      <w:marRight w:val="0"/>
      <w:marTop w:val="0"/>
      <w:marBottom w:val="0"/>
      <w:divBdr>
        <w:top w:val="none" w:sz="0" w:space="0" w:color="auto"/>
        <w:left w:val="none" w:sz="0" w:space="0" w:color="auto"/>
        <w:bottom w:val="none" w:sz="0" w:space="0" w:color="auto"/>
        <w:right w:val="none" w:sz="0" w:space="0" w:color="auto"/>
      </w:divBdr>
    </w:div>
    <w:div w:id="29961808">
      <w:bodyDiv w:val="1"/>
      <w:marLeft w:val="0"/>
      <w:marRight w:val="0"/>
      <w:marTop w:val="0"/>
      <w:marBottom w:val="0"/>
      <w:divBdr>
        <w:top w:val="none" w:sz="0" w:space="0" w:color="auto"/>
        <w:left w:val="none" w:sz="0" w:space="0" w:color="auto"/>
        <w:bottom w:val="none" w:sz="0" w:space="0" w:color="auto"/>
        <w:right w:val="none" w:sz="0" w:space="0" w:color="auto"/>
      </w:divBdr>
      <w:divsChild>
        <w:div w:id="36203882">
          <w:marLeft w:val="0"/>
          <w:marRight w:val="0"/>
          <w:marTop w:val="0"/>
          <w:marBottom w:val="0"/>
          <w:divBdr>
            <w:top w:val="none" w:sz="0" w:space="0" w:color="auto"/>
            <w:left w:val="none" w:sz="0" w:space="0" w:color="auto"/>
            <w:bottom w:val="none" w:sz="0" w:space="0" w:color="auto"/>
            <w:right w:val="none" w:sz="0" w:space="0" w:color="auto"/>
          </w:divBdr>
          <w:divsChild>
            <w:div w:id="759253507">
              <w:marLeft w:val="0"/>
              <w:marRight w:val="0"/>
              <w:marTop w:val="0"/>
              <w:marBottom w:val="0"/>
              <w:divBdr>
                <w:top w:val="none" w:sz="0" w:space="0" w:color="auto"/>
                <w:left w:val="none" w:sz="0" w:space="0" w:color="auto"/>
                <w:bottom w:val="none" w:sz="0" w:space="0" w:color="auto"/>
                <w:right w:val="none" w:sz="0" w:space="0" w:color="auto"/>
              </w:divBdr>
            </w:div>
          </w:divsChild>
        </w:div>
        <w:div w:id="142043684">
          <w:marLeft w:val="0"/>
          <w:marRight w:val="0"/>
          <w:marTop w:val="0"/>
          <w:marBottom w:val="0"/>
          <w:divBdr>
            <w:top w:val="none" w:sz="0" w:space="0" w:color="auto"/>
            <w:left w:val="none" w:sz="0" w:space="0" w:color="auto"/>
            <w:bottom w:val="none" w:sz="0" w:space="0" w:color="auto"/>
            <w:right w:val="none" w:sz="0" w:space="0" w:color="auto"/>
          </w:divBdr>
          <w:divsChild>
            <w:div w:id="1135370382">
              <w:marLeft w:val="0"/>
              <w:marRight w:val="0"/>
              <w:marTop w:val="0"/>
              <w:marBottom w:val="0"/>
              <w:divBdr>
                <w:top w:val="none" w:sz="0" w:space="0" w:color="auto"/>
                <w:left w:val="none" w:sz="0" w:space="0" w:color="auto"/>
                <w:bottom w:val="none" w:sz="0" w:space="0" w:color="auto"/>
                <w:right w:val="none" w:sz="0" w:space="0" w:color="auto"/>
              </w:divBdr>
            </w:div>
            <w:div w:id="1240018856">
              <w:marLeft w:val="0"/>
              <w:marRight w:val="0"/>
              <w:marTop w:val="0"/>
              <w:marBottom w:val="0"/>
              <w:divBdr>
                <w:top w:val="none" w:sz="0" w:space="0" w:color="auto"/>
                <w:left w:val="none" w:sz="0" w:space="0" w:color="auto"/>
                <w:bottom w:val="none" w:sz="0" w:space="0" w:color="auto"/>
                <w:right w:val="none" w:sz="0" w:space="0" w:color="auto"/>
              </w:divBdr>
            </w:div>
            <w:div w:id="1702896109">
              <w:marLeft w:val="0"/>
              <w:marRight w:val="0"/>
              <w:marTop w:val="0"/>
              <w:marBottom w:val="0"/>
              <w:divBdr>
                <w:top w:val="none" w:sz="0" w:space="0" w:color="auto"/>
                <w:left w:val="none" w:sz="0" w:space="0" w:color="auto"/>
                <w:bottom w:val="none" w:sz="0" w:space="0" w:color="auto"/>
                <w:right w:val="none" w:sz="0" w:space="0" w:color="auto"/>
              </w:divBdr>
            </w:div>
          </w:divsChild>
        </w:div>
        <w:div w:id="161094422">
          <w:marLeft w:val="0"/>
          <w:marRight w:val="0"/>
          <w:marTop w:val="0"/>
          <w:marBottom w:val="0"/>
          <w:divBdr>
            <w:top w:val="none" w:sz="0" w:space="0" w:color="auto"/>
            <w:left w:val="none" w:sz="0" w:space="0" w:color="auto"/>
            <w:bottom w:val="none" w:sz="0" w:space="0" w:color="auto"/>
            <w:right w:val="none" w:sz="0" w:space="0" w:color="auto"/>
          </w:divBdr>
          <w:divsChild>
            <w:div w:id="398678543">
              <w:marLeft w:val="0"/>
              <w:marRight w:val="0"/>
              <w:marTop w:val="0"/>
              <w:marBottom w:val="0"/>
              <w:divBdr>
                <w:top w:val="none" w:sz="0" w:space="0" w:color="auto"/>
                <w:left w:val="none" w:sz="0" w:space="0" w:color="auto"/>
                <w:bottom w:val="none" w:sz="0" w:space="0" w:color="auto"/>
                <w:right w:val="none" w:sz="0" w:space="0" w:color="auto"/>
              </w:divBdr>
            </w:div>
            <w:div w:id="549266812">
              <w:marLeft w:val="0"/>
              <w:marRight w:val="0"/>
              <w:marTop w:val="0"/>
              <w:marBottom w:val="0"/>
              <w:divBdr>
                <w:top w:val="none" w:sz="0" w:space="0" w:color="auto"/>
                <w:left w:val="none" w:sz="0" w:space="0" w:color="auto"/>
                <w:bottom w:val="none" w:sz="0" w:space="0" w:color="auto"/>
                <w:right w:val="none" w:sz="0" w:space="0" w:color="auto"/>
              </w:divBdr>
            </w:div>
          </w:divsChild>
        </w:div>
        <w:div w:id="194775506">
          <w:marLeft w:val="0"/>
          <w:marRight w:val="0"/>
          <w:marTop w:val="0"/>
          <w:marBottom w:val="0"/>
          <w:divBdr>
            <w:top w:val="none" w:sz="0" w:space="0" w:color="auto"/>
            <w:left w:val="none" w:sz="0" w:space="0" w:color="auto"/>
            <w:bottom w:val="none" w:sz="0" w:space="0" w:color="auto"/>
            <w:right w:val="none" w:sz="0" w:space="0" w:color="auto"/>
          </w:divBdr>
          <w:divsChild>
            <w:div w:id="65417827">
              <w:marLeft w:val="0"/>
              <w:marRight w:val="0"/>
              <w:marTop w:val="0"/>
              <w:marBottom w:val="0"/>
              <w:divBdr>
                <w:top w:val="none" w:sz="0" w:space="0" w:color="auto"/>
                <w:left w:val="none" w:sz="0" w:space="0" w:color="auto"/>
                <w:bottom w:val="none" w:sz="0" w:space="0" w:color="auto"/>
                <w:right w:val="none" w:sz="0" w:space="0" w:color="auto"/>
              </w:divBdr>
            </w:div>
          </w:divsChild>
        </w:div>
        <w:div w:id="230039674">
          <w:marLeft w:val="0"/>
          <w:marRight w:val="0"/>
          <w:marTop w:val="0"/>
          <w:marBottom w:val="0"/>
          <w:divBdr>
            <w:top w:val="none" w:sz="0" w:space="0" w:color="auto"/>
            <w:left w:val="none" w:sz="0" w:space="0" w:color="auto"/>
            <w:bottom w:val="none" w:sz="0" w:space="0" w:color="auto"/>
            <w:right w:val="none" w:sz="0" w:space="0" w:color="auto"/>
          </w:divBdr>
          <w:divsChild>
            <w:div w:id="1496265652">
              <w:marLeft w:val="0"/>
              <w:marRight w:val="0"/>
              <w:marTop w:val="0"/>
              <w:marBottom w:val="0"/>
              <w:divBdr>
                <w:top w:val="none" w:sz="0" w:space="0" w:color="auto"/>
                <w:left w:val="none" w:sz="0" w:space="0" w:color="auto"/>
                <w:bottom w:val="none" w:sz="0" w:space="0" w:color="auto"/>
                <w:right w:val="none" w:sz="0" w:space="0" w:color="auto"/>
              </w:divBdr>
            </w:div>
          </w:divsChild>
        </w:div>
        <w:div w:id="275136781">
          <w:marLeft w:val="0"/>
          <w:marRight w:val="0"/>
          <w:marTop w:val="0"/>
          <w:marBottom w:val="0"/>
          <w:divBdr>
            <w:top w:val="none" w:sz="0" w:space="0" w:color="auto"/>
            <w:left w:val="none" w:sz="0" w:space="0" w:color="auto"/>
            <w:bottom w:val="none" w:sz="0" w:space="0" w:color="auto"/>
            <w:right w:val="none" w:sz="0" w:space="0" w:color="auto"/>
          </w:divBdr>
          <w:divsChild>
            <w:div w:id="394788951">
              <w:marLeft w:val="0"/>
              <w:marRight w:val="0"/>
              <w:marTop w:val="0"/>
              <w:marBottom w:val="0"/>
              <w:divBdr>
                <w:top w:val="none" w:sz="0" w:space="0" w:color="auto"/>
                <w:left w:val="none" w:sz="0" w:space="0" w:color="auto"/>
                <w:bottom w:val="none" w:sz="0" w:space="0" w:color="auto"/>
                <w:right w:val="none" w:sz="0" w:space="0" w:color="auto"/>
              </w:divBdr>
            </w:div>
            <w:div w:id="544021935">
              <w:marLeft w:val="0"/>
              <w:marRight w:val="0"/>
              <w:marTop w:val="0"/>
              <w:marBottom w:val="0"/>
              <w:divBdr>
                <w:top w:val="none" w:sz="0" w:space="0" w:color="auto"/>
                <w:left w:val="none" w:sz="0" w:space="0" w:color="auto"/>
                <w:bottom w:val="none" w:sz="0" w:space="0" w:color="auto"/>
                <w:right w:val="none" w:sz="0" w:space="0" w:color="auto"/>
              </w:divBdr>
            </w:div>
            <w:div w:id="576020474">
              <w:marLeft w:val="0"/>
              <w:marRight w:val="0"/>
              <w:marTop w:val="0"/>
              <w:marBottom w:val="0"/>
              <w:divBdr>
                <w:top w:val="none" w:sz="0" w:space="0" w:color="auto"/>
                <w:left w:val="none" w:sz="0" w:space="0" w:color="auto"/>
                <w:bottom w:val="none" w:sz="0" w:space="0" w:color="auto"/>
                <w:right w:val="none" w:sz="0" w:space="0" w:color="auto"/>
              </w:divBdr>
            </w:div>
            <w:div w:id="1375807430">
              <w:marLeft w:val="0"/>
              <w:marRight w:val="0"/>
              <w:marTop w:val="0"/>
              <w:marBottom w:val="0"/>
              <w:divBdr>
                <w:top w:val="none" w:sz="0" w:space="0" w:color="auto"/>
                <w:left w:val="none" w:sz="0" w:space="0" w:color="auto"/>
                <w:bottom w:val="none" w:sz="0" w:space="0" w:color="auto"/>
                <w:right w:val="none" w:sz="0" w:space="0" w:color="auto"/>
              </w:divBdr>
            </w:div>
            <w:div w:id="1943107886">
              <w:marLeft w:val="0"/>
              <w:marRight w:val="0"/>
              <w:marTop w:val="0"/>
              <w:marBottom w:val="0"/>
              <w:divBdr>
                <w:top w:val="none" w:sz="0" w:space="0" w:color="auto"/>
                <w:left w:val="none" w:sz="0" w:space="0" w:color="auto"/>
                <w:bottom w:val="none" w:sz="0" w:space="0" w:color="auto"/>
                <w:right w:val="none" w:sz="0" w:space="0" w:color="auto"/>
              </w:divBdr>
            </w:div>
          </w:divsChild>
        </w:div>
        <w:div w:id="292296544">
          <w:marLeft w:val="0"/>
          <w:marRight w:val="0"/>
          <w:marTop w:val="0"/>
          <w:marBottom w:val="0"/>
          <w:divBdr>
            <w:top w:val="none" w:sz="0" w:space="0" w:color="auto"/>
            <w:left w:val="none" w:sz="0" w:space="0" w:color="auto"/>
            <w:bottom w:val="none" w:sz="0" w:space="0" w:color="auto"/>
            <w:right w:val="none" w:sz="0" w:space="0" w:color="auto"/>
          </w:divBdr>
          <w:divsChild>
            <w:div w:id="1783841757">
              <w:marLeft w:val="0"/>
              <w:marRight w:val="0"/>
              <w:marTop w:val="0"/>
              <w:marBottom w:val="0"/>
              <w:divBdr>
                <w:top w:val="none" w:sz="0" w:space="0" w:color="auto"/>
                <w:left w:val="none" w:sz="0" w:space="0" w:color="auto"/>
                <w:bottom w:val="none" w:sz="0" w:space="0" w:color="auto"/>
                <w:right w:val="none" w:sz="0" w:space="0" w:color="auto"/>
              </w:divBdr>
            </w:div>
          </w:divsChild>
        </w:div>
        <w:div w:id="301888341">
          <w:marLeft w:val="0"/>
          <w:marRight w:val="0"/>
          <w:marTop w:val="0"/>
          <w:marBottom w:val="0"/>
          <w:divBdr>
            <w:top w:val="none" w:sz="0" w:space="0" w:color="auto"/>
            <w:left w:val="none" w:sz="0" w:space="0" w:color="auto"/>
            <w:bottom w:val="none" w:sz="0" w:space="0" w:color="auto"/>
            <w:right w:val="none" w:sz="0" w:space="0" w:color="auto"/>
          </w:divBdr>
          <w:divsChild>
            <w:div w:id="41829705">
              <w:marLeft w:val="0"/>
              <w:marRight w:val="0"/>
              <w:marTop w:val="0"/>
              <w:marBottom w:val="0"/>
              <w:divBdr>
                <w:top w:val="none" w:sz="0" w:space="0" w:color="auto"/>
                <w:left w:val="none" w:sz="0" w:space="0" w:color="auto"/>
                <w:bottom w:val="none" w:sz="0" w:space="0" w:color="auto"/>
                <w:right w:val="none" w:sz="0" w:space="0" w:color="auto"/>
              </w:divBdr>
            </w:div>
          </w:divsChild>
        </w:div>
        <w:div w:id="303005585">
          <w:marLeft w:val="0"/>
          <w:marRight w:val="0"/>
          <w:marTop w:val="0"/>
          <w:marBottom w:val="0"/>
          <w:divBdr>
            <w:top w:val="none" w:sz="0" w:space="0" w:color="auto"/>
            <w:left w:val="none" w:sz="0" w:space="0" w:color="auto"/>
            <w:bottom w:val="none" w:sz="0" w:space="0" w:color="auto"/>
            <w:right w:val="none" w:sz="0" w:space="0" w:color="auto"/>
          </w:divBdr>
          <w:divsChild>
            <w:div w:id="2145464390">
              <w:marLeft w:val="0"/>
              <w:marRight w:val="0"/>
              <w:marTop w:val="0"/>
              <w:marBottom w:val="0"/>
              <w:divBdr>
                <w:top w:val="none" w:sz="0" w:space="0" w:color="auto"/>
                <w:left w:val="none" w:sz="0" w:space="0" w:color="auto"/>
                <w:bottom w:val="none" w:sz="0" w:space="0" w:color="auto"/>
                <w:right w:val="none" w:sz="0" w:space="0" w:color="auto"/>
              </w:divBdr>
            </w:div>
          </w:divsChild>
        </w:div>
        <w:div w:id="336150194">
          <w:marLeft w:val="0"/>
          <w:marRight w:val="0"/>
          <w:marTop w:val="0"/>
          <w:marBottom w:val="0"/>
          <w:divBdr>
            <w:top w:val="none" w:sz="0" w:space="0" w:color="auto"/>
            <w:left w:val="none" w:sz="0" w:space="0" w:color="auto"/>
            <w:bottom w:val="none" w:sz="0" w:space="0" w:color="auto"/>
            <w:right w:val="none" w:sz="0" w:space="0" w:color="auto"/>
          </w:divBdr>
          <w:divsChild>
            <w:div w:id="1617833227">
              <w:marLeft w:val="0"/>
              <w:marRight w:val="0"/>
              <w:marTop w:val="0"/>
              <w:marBottom w:val="0"/>
              <w:divBdr>
                <w:top w:val="none" w:sz="0" w:space="0" w:color="auto"/>
                <w:left w:val="none" w:sz="0" w:space="0" w:color="auto"/>
                <w:bottom w:val="none" w:sz="0" w:space="0" w:color="auto"/>
                <w:right w:val="none" w:sz="0" w:space="0" w:color="auto"/>
              </w:divBdr>
            </w:div>
          </w:divsChild>
        </w:div>
        <w:div w:id="339433811">
          <w:marLeft w:val="0"/>
          <w:marRight w:val="0"/>
          <w:marTop w:val="0"/>
          <w:marBottom w:val="0"/>
          <w:divBdr>
            <w:top w:val="none" w:sz="0" w:space="0" w:color="auto"/>
            <w:left w:val="none" w:sz="0" w:space="0" w:color="auto"/>
            <w:bottom w:val="none" w:sz="0" w:space="0" w:color="auto"/>
            <w:right w:val="none" w:sz="0" w:space="0" w:color="auto"/>
          </w:divBdr>
          <w:divsChild>
            <w:div w:id="1006128644">
              <w:marLeft w:val="0"/>
              <w:marRight w:val="0"/>
              <w:marTop w:val="0"/>
              <w:marBottom w:val="0"/>
              <w:divBdr>
                <w:top w:val="none" w:sz="0" w:space="0" w:color="auto"/>
                <w:left w:val="none" w:sz="0" w:space="0" w:color="auto"/>
                <w:bottom w:val="none" w:sz="0" w:space="0" w:color="auto"/>
                <w:right w:val="none" w:sz="0" w:space="0" w:color="auto"/>
              </w:divBdr>
            </w:div>
          </w:divsChild>
        </w:div>
        <w:div w:id="415174182">
          <w:marLeft w:val="0"/>
          <w:marRight w:val="0"/>
          <w:marTop w:val="0"/>
          <w:marBottom w:val="0"/>
          <w:divBdr>
            <w:top w:val="none" w:sz="0" w:space="0" w:color="auto"/>
            <w:left w:val="none" w:sz="0" w:space="0" w:color="auto"/>
            <w:bottom w:val="none" w:sz="0" w:space="0" w:color="auto"/>
            <w:right w:val="none" w:sz="0" w:space="0" w:color="auto"/>
          </w:divBdr>
          <w:divsChild>
            <w:div w:id="374744641">
              <w:marLeft w:val="0"/>
              <w:marRight w:val="0"/>
              <w:marTop w:val="0"/>
              <w:marBottom w:val="0"/>
              <w:divBdr>
                <w:top w:val="none" w:sz="0" w:space="0" w:color="auto"/>
                <w:left w:val="none" w:sz="0" w:space="0" w:color="auto"/>
                <w:bottom w:val="none" w:sz="0" w:space="0" w:color="auto"/>
                <w:right w:val="none" w:sz="0" w:space="0" w:color="auto"/>
              </w:divBdr>
            </w:div>
          </w:divsChild>
        </w:div>
        <w:div w:id="447745824">
          <w:marLeft w:val="0"/>
          <w:marRight w:val="0"/>
          <w:marTop w:val="0"/>
          <w:marBottom w:val="0"/>
          <w:divBdr>
            <w:top w:val="none" w:sz="0" w:space="0" w:color="auto"/>
            <w:left w:val="none" w:sz="0" w:space="0" w:color="auto"/>
            <w:bottom w:val="none" w:sz="0" w:space="0" w:color="auto"/>
            <w:right w:val="none" w:sz="0" w:space="0" w:color="auto"/>
          </w:divBdr>
          <w:divsChild>
            <w:div w:id="1576668455">
              <w:marLeft w:val="0"/>
              <w:marRight w:val="0"/>
              <w:marTop w:val="0"/>
              <w:marBottom w:val="0"/>
              <w:divBdr>
                <w:top w:val="none" w:sz="0" w:space="0" w:color="auto"/>
                <w:left w:val="none" w:sz="0" w:space="0" w:color="auto"/>
                <w:bottom w:val="none" w:sz="0" w:space="0" w:color="auto"/>
                <w:right w:val="none" w:sz="0" w:space="0" w:color="auto"/>
              </w:divBdr>
            </w:div>
          </w:divsChild>
        </w:div>
        <w:div w:id="508297629">
          <w:marLeft w:val="0"/>
          <w:marRight w:val="0"/>
          <w:marTop w:val="0"/>
          <w:marBottom w:val="0"/>
          <w:divBdr>
            <w:top w:val="none" w:sz="0" w:space="0" w:color="auto"/>
            <w:left w:val="none" w:sz="0" w:space="0" w:color="auto"/>
            <w:bottom w:val="none" w:sz="0" w:space="0" w:color="auto"/>
            <w:right w:val="none" w:sz="0" w:space="0" w:color="auto"/>
          </w:divBdr>
          <w:divsChild>
            <w:div w:id="1162743423">
              <w:marLeft w:val="0"/>
              <w:marRight w:val="0"/>
              <w:marTop w:val="0"/>
              <w:marBottom w:val="0"/>
              <w:divBdr>
                <w:top w:val="none" w:sz="0" w:space="0" w:color="auto"/>
                <w:left w:val="none" w:sz="0" w:space="0" w:color="auto"/>
                <w:bottom w:val="none" w:sz="0" w:space="0" w:color="auto"/>
                <w:right w:val="none" w:sz="0" w:space="0" w:color="auto"/>
              </w:divBdr>
            </w:div>
          </w:divsChild>
        </w:div>
        <w:div w:id="625816199">
          <w:marLeft w:val="0"/>
          <w:marRight w:val="0"/>
          <w:marTop w:val="0"/>
          <w:marBottom w:val="0"/>
          <w:divBdr>
            <w:top w:val="none" w:sz="0" w:space="0" w:color="auto"/>
            <w:left w:val="none" w:sz="0" w:space="0" w:color="auto"/>
            <w:bottom w:val="none" w:sz="0" w:space="0" w:color="auto"/>
            <w:right w:val="none" w:sz="0" w:space="0" w:color="auto"/>
          </w:divBdr>
          <w:divsChild>
            <w:div w:id="317656019">
              <w:marLeft w:val="0"/>
              <w:marRight w:val="0"/>
              <w:marTop w:val="0"/>
              <w:marBottom w:val="0"/>
              <w:divBdr>
                <w:top w:val="none" w:sz="0" w:space="0" w:color="auto"/>
                <w:left w:val="none" w:sz="0" w:space="0" w:color="auto"/>
                <w:bottom w:val="none" w:sz="0" w:space="0" w:color="auto"/>
                <w:right w:val="none" w:sz="0" w:space="0" w:color="auto"/>
              </w:divBdr>
            </w:div>
          </w:divsChild>
        </w:div>
        <w:div w:id="659777357">
          <w:marLeft w:val="0"/>
          <w:marRight w:val="0"/>
          <w:marTop w:val="0"/>
          <w:marBottom w:val="0"/>
          <w:divBdr>
            <w:top w:val="none" w:sz="0" w:space="0" w:color="auto"/>
            <w:left w:val="none" w:sz="0" w:space="0" w:color="auto"/>
            <w:bottom w:val="none" w:sz="0" w:space="0" w:color="auto"/>
            <w:right w:val="none" w:sz="0" w:space="0" w:color="auto"/>
          </w:divBdr>
          <w:divsChild>
            <w:div w:id="950630403">
              <w:marLeft w:val="0"/>
              <w:marRight w:val="0"/>
              <w:marTop w:val="0"/>
              <w:marBottom w:val="0"/>
              <w:divBdr>
                <w:top w:val="none" w:sz="0" w:space="0" w:color="auto"/>
                <w:left w:val="none" w:sz="0" w:space="0" w:color="auto"/>
                <w:bottom w:val="none" w:sz="0" w:space="0" w:color="auto"/>
                <w:right w:val="none" w:sz="0" w:space="0" w:color="auto"/>
              </w:divBdr>
            </w:div>
          </w:divsChild>
        </w:div>
        <w:div w:id="784806753">
          <w:marLeft w:val="0"/>
          <w:marRight w:val="0"/>
          <w:marTop w:val="0"/>
          <w:marBottom w:val="0"/>
          <w:divBdr>
            <w:top w:val="none" w:sz="0" w:space="0" w:color="auto"/>
            <w:left w:val="none" w:sz="0" w:space="0" w:color="auto"/>
            <w:bottom w:val="none" w:sz="0" w:space="0" w:color="auto"/>
            <w:right w:val="none" w:sz="0" w:space="0" w:color="auto"/>
          </w:divBdr>
          <w:divsChild>
            <w:div w:id="23597735">
              <w:marLeft w:val="0"/>
              <w:marRight w:val="0"/>
              <w:marTop w:val="0"/>
              <w:marBottom w:val="0"/>
              <w:divBdr>
                <w:top w:val="none" w:sz="0" w:space="0" w:color="auto"/>
                <w:left w:val="none" w:sz="0" w:space="0" w:color="auto"/>
                <w:bottom w:val="none" w:sz="0" w:space="0" w:color="auto"/>
                <w:right w:val="none" w:sz="0" w:space="0" w:color="auto"/>
              </w:divBdr>
            </w:div>
            <w:div w:id="323321178">
              <w:marLeft w:val="0"/>
              <w:marRight w:val="0"/>
              <w:marTop w:val="0"/>
              <w:marBottom w:val="0"/>
              <w:divBdr>
                <w:top w:val="none" w:sz="0" w:space="0" w:color="auto"/>
                <w:left w:val="none" w:sz="0" w:space="0" w:color="auto"/>
                <w:bottom w:val="none" w:sz="0" w:space="0" w:color="auto"/>
                <w:right w:val="none" w:sz="0" w:space="0" w:color="auto"/>
              </w:divBdr>
            </w:div>
            <w:div w:id="542404153">
              <w:marLeft w:val="0"/>
              <w:marRight w:val="0"/>
              <w:marTop w:val="0"/>
              <w:marBottom w:val="0"/>
              <w:divBdr>
                <w:top w:val="none" w:sz="0" w:space="0" w:color="auto"/>
                <w:left w:val="none" w:sz="0" w:space="0" w:color="auto"/>
                <w:bottom w:val="none" w:sz="0" w:space="0" w:color="auto"/>
                <w:right w:val="none" w:sz="0" w:space="0" w:color="auto"/>
              </w:divBdr>
            </w:div>
            <w:div w:id="987904200">
              <w:marLeft w:val="0"/>
              <w:marRight w:val="0"/>
              <w:marTop w:val="0"/>
              <w:marBottom w:val="0"/>
              <w:divBdr>
                <w:top w:val="none" w:sz="0" w:space="0" w:color="auto"/>
                <w:left w:val="none" w:sz="0" w:space="0" w:color="auto"/>
                <w:bottom w:val="none" w:sz="0" w:space="0" w:color="auto"/>
                <w:right w:val="none" w:sz="0" w:space="0" w:color="auto"/>
              </w:divBdr>
            </w:div>
            <w:div w:id="2083869332">
              <w:marLeft w:val="0"/>
              <w:marRight w:val="0"/>
              <w:marTop w:val="0"/>
              <w:marBottom w:val="0"/>
              <w:divBdr>
                <w:top w:val="none" w:sz="0" w:space="0" w:color="auto"/>
                <w:left w:val="none" w:sz="0" w:space="0" w:color="auto"/>
                <w:bottom w:val="none" w:sz="0" w:space="0" w:color="auto"/>
                <w:right w:val="none" w:sz="0" w:space="0" w:color="auto"/>
              </w:divBdr>
            </w:div>
          </w:divsChild>
        </w:div>
        <w:div w:id="828862267">
          <w:marLeft w:val="0"/>
          <w:marRight w:val="0"/>
          <w:marTop w:val="0"/>
          <w:marBottom w:val="0"/>
          <w:divBdr>
            <w:top w:val="none" w:sz="0" w:space="0" w:color="auto"/>
            <w:left w:val="none" w:sz="0" w:space="0" w:color="auto"/>
            <w:bottom w:val="none" w:sz="0" w:space="0" w:color="auto"/>
            <w:right w:val="none" w:sz="0" w:space="0" w:color="auto"/>
          </w:divBdr>
          <w:divsChild>
            <w:div w:id="175506457">
              <w:marLeft w:val="0"/>
              <w:marRight w:val="0"/>
              <w:marTop w:val="0"/>
              <w:marBottom w:val="0"/>
              <w:divBdr>
                <w:top w:val="none" w:sz="0" w:space="0" w:color="auto"/>
                <w:left w:val="none" w:sz="0" w:space="0" w:color="auto"/>
                <w:bottom w:val="none" w:sz="0" w:space="0" w:color="auto"/>
                <w:right w:val="none" w:sz="0" w:space="0" w:color="auto"/>
              </w:divBdr>
            </w:div>
          </w:divsChild>
        </w:div>
        <w:div w:id="836844243">
          <w:marLeft w:val="0"/>
          <w:marRight w:val="0"/>
          <w:marTop w:val="0"/>
          <w:marBottom w:val="0"/>
          <w:divBdr>
            <w:top w:val="none" w:sz="0" w:space="0" w:color="auto"/>
            <w:left w:val="none" w:sz="0" w:space="0" w:color="auto"/>
            <w:bottom w:val="none" w:sz="0" w:space="0" w:color="auto"/>
            <w:right w:val="none" w:sz="0" w:space="0" w:color="auto"/>
          </w:divBdr>
          <w:divsChild>
            <w:div w:id="601300599">
              <w:marLeft w:val="0"/>
              <w:marRight w:val="0"/>
              <w:marTop w:val="0"/>
              <w:marBottom w:val="0"/>
              <w:divBdr>
                <w:top w:val="none" w:sz="0" w:space="0" w:color="auto"/>
                <w:left w:val="none" w:sz="0" w:space="0" w:color="auto"/>
                <w:bottom w:val="none" w:sz="0" w:space="0" w:color="auto"/>
                <w:right w:val="none" w:sz="0" w:space="0" w:color="auto"/>
              </w:divBdr>
            </w:div>
            <w:div w:id="1104762886">
              <w:marLeft w:val="0"/>
              <w:marRight w:val="0"/>
              <w:marTop w:val="0"/>
              <w:marBottom w:val="0"/>
              <w:divBdr>
                <w:top w:val="none" w:sz="0" w:space="0" w:color="auto"/>
                <w:left w:val="none" w:sz="0" w:space="0" w:color="auto"/>
                <w:bottom w:val="none" w:sz="0" w:space="0" w:color="auto"/>
                <w:right w:val="none" w:sz="0" w:space="0" w:color="auto"/>
              </w:divBdr>
            </w:div>
            <w:div w:id="1920166440">
              <w:marLeft w:val="0"/>
              <w:marRight w:val="0"/>
              <w:marTop w:val="0"/>
              <w:marBottom w:val="0"/>
              <w:divBdr>
                <w:top w:val="none" w:sz="0" w:space="0" w:color="auto"/>
                <w:left w:val="none" w:sz="0" w:space="0" w:color="auto"/>
                <w:bottom w:val="none" w:sz="0" w:space="0" w:color="auto"/>
                <w:right w:val="none" w:sz="0" w:space="0" w:color="auto"/>
              </w:divBdr>
            </w:div>
          </w:divsChild>
        </w:div>
        <w:div w:id="884947984">
          <w:marLeft w:val="0"/>
          <w:marRight w:val="0"/>
          <w:marTop w:val="0"/>
          <w:marBottom w:val="0"/>
          <w:divBdr>
            <w:top w:val="none" w:sz="0" w:space="0" w:color="auto"/>
            <w:left w:val="none" w:sz="0" w:space="0" w:color="auto"/>
            <w:bottom w:val="none" w:sz="0" w:space="0" w:color="auto"/>
            <w:right w:val="none" w:sz="0" w:space="0" w:color="auto"/>
          </w:divBdr>
          <w:divsChild>
            <w:div w:id="1790516054">
              <w:marLeft w:val="0"/>
              <w:marRight w:val="0"/>
              <w:marTop w:val="0"/>
              <w:marBottom w:val="0"/>
              <w:divBdr>
                <w:top w:val="none" w:sz="0" w:space="0" w:color="auto"/>
                <w:left w:val="none" w:sz="0" w:space="0" w:color="auto"/>
                <w:bottom w:val="none" w:sz="0" w:space="0" w:color="auto"/>
                <w:right w:val="none" w:sz="0" w:space="0" w:color="auto"/>
              </w:divBdr>
            </w:div>
          </w:divsChild>
        </w:div>
        <w:div w:id="902133846">
          <w:marLeft w:val="0"/>
          <w:marRight w:val="0"/>
          <w:marTop w:val="0"/>
          <w:marBottom w:val="0"/>
          <w:divBdr>
            <w:top w:val="none" w:sz="0" w:space="0" w:color="auto"/>
            <w:left w:val="none" w:sz="0" w:space="0" w:color="auto"/>
            <w:bottom w:val="none" w:sz="0" w:space="0" w:color="auto"/>
            <w:right w:val="none" w:sz="0" w:space="0" w:color="auto"/>
          </w:divBdr>
          <w:divsChild>
            <w:div w:id="1930625279">
              <w:marLeft w:val="0"/>
              <w:marRight w:val="0"/>
              <w:marTop w:val="0"/>
              <w:marBottom w:val="0"/>
              <w:divBdr>
                <w:top w:val="none" w:sz="0" w:space="0" w:color="auto"/>
                <w:left w:val="none" w:sz="0" w:space="0" w:color="auto"/>
                <w:bottom w:val="none" w:sz="0" w:space="0" w:color="auto"/>
                <w:right w:val="none" w:sz="0" w:space="0" w:color="auto"/>
              </w:divBdr>
            </w:div>
          </w:divsChild>
        </w:div>
        <w:div w:id="921766256">
          <w:marLeft w:val="0"/>
          <w:marRight w:val="0"/>
          <w:marTop w:val="0"/>
          <w:marBottom w:val="0"/>
          <w:divBdr>
            <w:top w:val="none" w:sz="0" w:space="0" w:color="auto"/>
            <w:left w:val="none" w:sz="0" w:space="0" w:color="auto"/>
            <w:bottom w:val="none" w:sz="0" w:space="0" w:color="auto"/>
            <w:right w:val="none" w:sz="0" w:space="0" w:color="auto"/>
          </w:divBdr>
          <w:divsChild>
            <w:div w:id="699163223">
              <w:marLeft w:val="0"/>
              <w:marRight w:val="0"/>
              <w:marTop w:val="0"/>
              <w:marBottom w:val="0"/>
              <w:divBdr>
                <w:top w:val="none" w:sz="0" w:space="0" w:color="auto"/>
                <w:left w:val="none" w:sz="0" w:space="0" w:color="auto"/>
                <w:bottom w:val="none" w:sz="0" w:space="0" w:color="auto"/>
                <w:right w:val="none" w:sz="0" w:space="0" w:color="auto"/>
              </w:divBdr>
            </w:div>
          </w:divsChild>
        </w:div>
        <w:div w:id="927346675">
          <w:marLeft w:val="0"/>
          <w:marRight w:val="0"/>
          <w:marTop w:val="0"/>
          <w:marBottom w:val="0"/>
          <w:divBdr>
            <w:top w:val="none" w:sz="0" w:space="0" w:color="auto"/>
            <w:left w:val="none" w:sz="0" w:space="0" w:color="auto"/>
            <w:bottom w:val="none" w:sz="0" w:space="0" w:color="auto"/>
            <w:right w:val="none" w:sz="0" w:space="0" w:color="auto"/>
          </w:divBdr>
          <w:divsChild>
            <w:div w:id="103615493">
              <w:marLeft w:val="0"/>
              <w:marRight w:val="0"/>
              <w:marTop w:val="0"/>
              <w:marBottom w:val="0"/>
              <w:divBdr>
                <w:top w:val="none" w:sz="0" w:space="0" w:color="auto"/>
                <w:left w:val="none" w:sz="0" w:space="0" w:color="auto"/>
                <w:bottom w:val="none" w:sz="0" w:space="0" w:color="auto"/>
                <w:right w:val="none" w:sz="0" w:space="0" w:color="auto"/>
              </w:divBdr>
            </w:div>
            <w:div w:id="502090035">
              <w:marLeft w:val="0"/>
              <w:marRight w:val="0"/>
              <w:marTop w:val="0"/>
              <w:marBottom w:val="0"/>
              <w:divBdr>
                <w:top w:val="none" w:sz="0" w:space="0" w:color="auto"/>
                <w:left w:val="none" w:sz="0" w:space="0" w:color="auto"/>
                <w:bottom w:val="none" w:sz="0" w:space="0" w:color="auto"/>
                <w:right w:val="none" w:sz="0" w:space="0" w:color="auto"/>
              </w:divBdr>
            </w:div>
            <w:div w:id="1355302630">
              <w:marLeft w:val="0"/>
              <w:marRight w:val="0"/>
              <w:marTop w:val="0"/>
              <w:marBottom w:val="0"/>
              <w:divBdr>
                <w:top w:val="none" w:sz="0" w:space="0" w:color="auto"/>
                <w:left w:val="none" w:sz="0" w:space="0" w:color="auto"/>
                <w:bottom w:val="none" w:sz="0" w:space="0" w:color="auto"/>
                <w:right w:val="none" w:sz="0" w:space="0" w:color="auto"/>
              </w:divBdr>
            </w:div>
          </w:divsChild>
        </w:div>
        <w:div w:id="944075193">
          <w:marLeft w:val="0"/>
          <w:marRight w:val="0"/>
          <w:marTop w:val="0"/>
          <w:marBottom w:val="0"/>
          <w:divBdr>
            <w:top w:val="none" w:sz="0" w:space="0" w:color="auto"/>
            <w:left w:val="none" w:sz="0" w:space="0" w:color="auto"/>
            <w:bottom w:val="none" w:sz="0" w:space="0" w:color="auto"/>
            <w:right w:val="none" w:sz="0" w:space="0" w:color="auto"/>
          </w:divBdr>
          <w:divsChild>
            <w:div w:id="1339382949">
              <w:marLeft w:val="0"/>
              <w:marRight w:val="0"/>
              <w:marTop w:val="0"/>
              <w:marBottom w:val="0"/>
              <w:divBdr>
                <w:top w:val="none" w:sz="0" w:space="0" w:color="auto"/>
                <w:left w:val="none" w:sz="0" w:space="0" w:color="auto"/>
                <w:bottom w:val="none" w:sz="0" w:space="0" w:color="auto"/>
                <w:right w:val="none" w:sz="0" w:space="0" w:color="auto"/>
              </w:divBdr>
            </w:div>
          </w:divsChild>
        </w:div>
        <w:div w:id="958487358">
          <w:marLeft w:val="0"/>
          <w:marRight w:val="0"/>
          <w:marTop w:val="0"/>
          <w:marBottom w:val="0"/>
          <w:divBdr>
            <w:top w:val="none" w:sz="0" w:space="0" w:color="auto"/>
            <w:left w:val="none" w:sz="0" w:space="0" w:color="auto"/>
            <w:bottom w:val="none" w:sz="0" w:space="0" w:color="auto"/>
            <w:right w:val="none" w:sz="0" w:space="0" w:color="auto"/>
          </w:divBdr>
          <w:divsChild>
            <w:div w:id="883757642">
              <w:marLeft w:val="0"/>
              <w:marRight w:val="0"/>
              <w:marTop w:val="0"/>
              <w:marBottom w:val="0"/>
              <w:divBdr>
                <w:top w:val="none" w:sz="0" w:space="0" w:color="auto"/>
                <w:left w:val="none" w:sz="0" w:space="0" w:color="auto"/>
                <w:bottom w:val="none" w:sz="0" w:space="0" w:color="auto"/>
                <w:right w:val="none" w:sz="0" w:space="0" w:color="auto"/>
              </w:divBdr>
            </w:div>
          </w:divsChild>
        </w:div>
        <w:div w:id="987824204">
          <w:marLeft w:val="0"/>
          <w:marRight w:val="0"/>
          <w:marTop w:val="0"/>
          <w:marBottom w:val="0"/>
          <w:divBdr>
            <w:top w:val="none" w:sz="0" w:space="0" w:color="auto"/>
            <w:left w:val="none" w:sz="0" w:space="0" w:color="auto"/>
            <w:bottom w:val="none" w:sz="0" w:space="0" w:color="auto"/>
            <w:right w:val="none" w:sz="0" w:space="0" w:color="auto"/>
          </w:divBdr>
          <w:divsChild>
            <w:div w:id="1158881984">
              <w:marLeft w:val="0"/>
              <w:marRight w:val="0"/>
              <w:marTop w:val="0"/>
              <w:marBottom w:val="0"/>
              <w:divBdr>
                <w:top w:val="none" w:sz="0" w:space="0" w:color="auto"/>
                <w:left w:val="none" w:sz="0" w:space="0" w:color="auto"/>
                <w:bottom w:val="none" w:sz="0" w:space="0" w:color="auto"/>
                <w:right w:val="none" w:sz="0" w:space="0" w:color="auto"/>
              </w:divBdr>
            </w:div>
          </w:divsChild>
        </w:div>
        <w:div w:id="998117430">
          <w:marLeft w:val="0"/>
          <w:marRight w:val="0"/>
          <w:marTop w:val="0"/>
          <w:marBottom w:val="0"/>
          <w:divBdr>
            <w:top w:val="none" w:sz="0" w:space="0" w:color="auto"/>
            <w:left w:val="none" w:sz="0" w:space="0" w:color="auto"/>
            <w:bottom w:val="none" w:sz="0" w:space="0" w:color="auto"/>
            <w:right w:val="none" w:sz="0" w:space="0" w:color="auto"/>
          </w:divBdr>
          <w:divsChild>
            <w:div w:id="987125571">
              <w:marLeft w:val="0"/>
              <w:marRight w:val="0"/>
              <w:marTop w:val="0"/>
              <w:marBottom w:val="0"/>
              <w:divBdr>
                <w:top w:val="none" w:sz="0" w:space="0" w:color="auto"/>
                <w:left w:val="none" w:sz="0" w:space="0" w:color="auto"/>
                <w:bottom w:val="none" w:sz="0" w:space="0" w:color="auto"/>
                <w:right w:val="none" w:sz="0" w:space="0" w:color="auto"/>
              </w:divBdr>
            </w:div>
          </w:divsChild>
        </w:div>
        <w:div w:id="1034159885">
          <w:marLeft w:val="0"/>
          <w:marRight w:val="0"/>
          <w:marTop w:val="0"/>
          <w:marBottom w:val="0"/>
          <w:divBdr>
            <w:top w:val="none" w:sz="0" w:space="0" w:color="auto"/>
            <w:left w:val="none" w:sz="0" w:space="0" w:color="auto"/>
            <w:bottom w:val="none" w:sz="0" w:space="0" w:color="auto"/>
            <w:right w:val="none" w:sz="0" w:space="0" w:color="auto"/>
          </w:divBdr>
          <w:divsChild>
            <w:div w:id="1232084795">
              <w:marLeft w:val="0"/>
              <w:marRight w:val="0"/>
              <w:marTop w:val="0"/>
              <w:marBottom w:val="0"/>
              <w:divBdr>
                <w:top w:val="none" w:sz="0" w:space="0" w:color="auto"/>
                <w:left w:val="none" w:sz="0" w:space="0" w:color="auto"/>
                <w:bottom w:val="none" w:sz="0" w:space="0" w:color="auto"/>
                <w:right w:val="none" w:sz="0" w:space="0" w:color="auto"/>
              </w:divBdr>
            </w:div>
          </w:divsChild>
        </w:div>
        <w:div w:id="1034501551">
          <w:marLeft w:val="0"/>
          <w:marRight w:val="0"/>
          <w:marTop w:val="0"/>
          <w:marBottom w:val="0"/>
          <w:divBdr>
            <w:top w:val="none" w:sz="0" w:space="0" w:color="auto"/>
            <w:left w:val="none" w:sz="0" w:space="0" w:color="auto"/>
            <w:bottom w:val="none" w:sz="0" w:space="0" w:color="auto"/>
            <w:right w:val="none" w:sz="0" w:space="0" w:color="auto"/>
          </w:divBdr>
          <w:divsChild>
            <w:div w:id="45494881">
              <w:marLeft w:val="0"/>
              <w:marRight w:val="0"/>
              <w:marTop w:val="0"/>
              <w:marBottom w:val="0"/>
              <w:divBdr>
                <w:top w:val="none" w:sz="0" w:space="0" w:color="auto"/>
                <w:left w:val="none" w:sz="0" w:space="0" w:color="auto"/>
                <w:bottom w:val="none" w:sz="0" w:space="0" w:color="auto"/>
                <w:right w:val="none" w:sz="0" w:space="0" w:color="auto"/>
              </w:divBdr>
            </w:div>
          </w:divsChild>
        </w:div>
        <w:div w:id="1049649275">
          <w:marLeft w:val="0"/>
          <w:marRight w:val="0"/>
          <w:marTop w:val="0"/>
          <w:marBottom w:val="0"/>
          <w:divBdr>
            <w:top w:val="none" w:sz="0" w:space="0" w:color="auto"/>
            <w:left w:val="none" w:sz="0" w:space="0" w:color="auto"/>
            <w:bottom w:val="none" w:sz="0" w:space="0" w:color="auto"/>
            <w:right w:val="none" w:sz="0" w:space="0" w:color="auto"/>
          </w:divBdr>
          <w:divsChild>
            <w:div w:id="2030570455">
              <w:marLeft w:val="0"/>
              <w:marRight w:val="0"/>
              <w:marTop w:val="0"/>
              <w:marBottom w:val="0"/>
              <w:divBdr>
                <w:top w:val="none" w:sz="0" w:space="0" w:color="auto"/>
                <w:left w:val="none" w:sz="0" w:space="0" w:color="auto"/>
                <w:bottom w:val="none" w:sz="0" w:space="0" w:color="auto"/>
                <w:right w:val="none" w:sz="0" w:space="0" w:color="auto"/>
              </w:divBdr>
            </w:div>
          </w:divsChild>
        </w:div>
        <w:div w:id="1079593867">
          <w:marLeft w:val="0"/>
          <w:marRight w:val="0"/>
          <w:marTop w:val="0"/>
          <w:marBottom w:val="0"/>
          <w:divBdr>
            <w:top w:val="none" w:sz="0" w:space="0" w:color="auto"/>
            <w:left w:val="none" w:sz="0" w:space="0" w:color="auto"/>
            <w:bottom w:val="none" w:sz="0" w:space="0" w:color="auto"/>
            <w:right w:val="none" w:sz="0" w:space="0" w:color="auto"/>
          </w:divBdr>
          <w:divsChild>
            <w:div w:id="1894849049">
              <w:marLeft w:val="0"/>
              <w:marRight w:val="0"/>
              <w:marTop w:val="0"/>
              <w:marBottom w:val="0"/>
              <w:divBdr>
                <w:top w:val="none" w:sz="0" w:space="0" w:color="auto"/>
                <w:left w:val="none" w:sz="0" w:space="0" w:color="auto"/>
                <w:bottom w:val="none" w:sz="0" w:space="0" w:color="auto"/>
                <w:right w:val="none" w:sz="0" w:space="0" w:color="auto"/>
              </w:divBdr>
            </w:div>
          </w:divsChild>
        </w:div>
        <w:div w:id="1169522538">
          <w:marLeft w:val="0"/>
          <w:marRight w:val="0"/>
          <w:marTop w:val="0"/>
          <w:marBottom w:val="0"/>
          <w:divBdr>
            <w:top w:val="none" w:sz="0" w:space="0" w:color="auto"/>
            <w:left w:val="none" w:sz="0" w:space="0" w:color="auto"/>
            <w:bottom w:val="none" w:sz="0" w:space="0" w:color="auto"/>
            <w:right w:val="none" w:sz="0" w:space="0" w:color="auto"/>
          </w:divBdr>
          <w:divsChild>
            <w:div w:id="709575834">
              <w:marLeft w:val="0"/>
              <w:marRight w:val="0"/>
              <w:marTop w:val="0"/>
              <w:marBottom w:val="0"/>
              <w:divBdr>
                <w:top w:val="none" w:sz="0" w:space="0" w:color="auto"/>
                <w:left w:val="none" w:sz="0" w:space="0" w:color="auto"/>
                <w:bottom w:val="none" w:sz="0" w:space="0" w:color="auto"/>
                <w:right w:val="none" w:sz="0" w:space="0" w:color="auto"/>
              </w:divBdr>
            </w:div>
            <w:div w:id="1387029442">
              <w:marLeft w:val="0"/>
              <w:marRight w:val="0"/>
              <w:marTop w:val="0"/>
              <w:marBottom w:val="0"/>
              <w:divBdr>
                <w:top w:val="none" w:sz="0" w:space="0" w:color="auto"/>
                <w:left w:val="none" w:sz="0" w:space="0" w:color="auto"/>
                <w:bottom w:val="none" w:sz="0" w:space="0" w:color="auto"/>
                <w:right w:val="none" w:sz="0" w:space="0" w:color="auto"/>
              </w:divBdr>
            </w:div>
            <w:div w:id="1509905969">
              <w:marLeft w:val="0"/>
              <w:marRight w:val="0"/>
              <w:marTop w:val="0"/>
              <w:marBottom w:val="0"/>
              <w:divBdr>
                <w:top w:val="none" w:sz="0" w:space="0" w:color="auto"/>
                <w:left w:val="none" w:sz="0" w:space="0" w:color="auto"/>
                <w:bottom w:val="none" w:sz="0" w:space="0" w:color="auto"/>
                <w:right w:val="none" w:sz="0" w:space="0" w:color="auto"/>
              </w:divBdr>
            </w:div>
          </w:divsChild>
        </w:div>
        <w:div w:id="1202598823">
          <w:marLeft w:val="0"/>
          <w:marRight w:val="0"/>
          <w:marTop w:val="0"/>
          <w:marBottom w:val="0"/>
          <w:divBdr>
            <w:top w:val="none" w:sz="0" w:space="0" w:color="auto"/>
            <w:left w:val="none" w:sz="0" w:space="0" w:color="auto"/>
            <w:bottom w:val="none" w:sz="0" w:space="0" w:color="auto"/>
            <w:right w:val="none" w:sz="0" w:space="0" w:color="auto"/>
          </w:divBdr>
          <w:divsChild>
            <w:div w:id="1918249031">
              <w:marLeft w:val="0"/>
              <w:marRight w:val="0"/>
              <w:marTop w:val="0"/>
              <w:marBottom w:val="0"/>
              <w:divBdr>
                <w:top w:val="none" w:sz="0" w:space="0" w:color="auto"/>
                <w:left w:val="none" w:sz="0" w:space="0" w:color="auto"/>
                <w:bottom w:val="none" w:sz="0" w:space="0" w:color="auto"/>
                <w:right w:val="none" w:sz="0" w:space="0" w:color="auto"/>
              </w:divBdr>
            </w:div>
          </w:divsChild>
        </w:div>
        <w:div w:id="1231190748">
          <w:marLeft w:val="0"/>
          <w:marRight w:val="0"/>
          <w:marTop w:val="0"/>
          <w:marBottom w:val="0"/>
          <w:divBdr>
            <w:top w:val="none" w:sz="0" w:space="0" w:color="auto"/>
            <w:left w:val="none" w:sz="0" w:space="0" w:color="auto"/>
            <w:bottom w:val="none" w:sz="0" w:space="0" w:color="auto"/>
            <w:right w:val="none" w:sz="0" w:space="0" w:color="auto"/>
          </w:divBdr>
          <w:divsChild>
            <w:div w:id="531960872">
              <w:marLeft w:val="0"/>
              <w:marRight w:val="0"/>
              <w:marTop w:val="0"/>
              <w:marBottom w:val="0"/>
              <w:divBdr>
                <w:top w:val="none" w:sz="0" w:space="0" w:color="auto"/>
                <w:left w:val="none" w:sz="0" w:space="0" w:color="auto"/>
                <w:bottom w:val="none" w:sz="0" w:space="0" w:color="auto"/>
                <w:right w:val="none" w:sz="0" w:space="0" w:color="auto"/>
              </w:divBdr>
            </w:div>
          </w:divsChild>
        </w:div>
        <w:div w:id="1324964930">
          <w:marLeft w:val="0"/>
          <w:marRight w:val="0"/>
          <w:marTop w:val="0"/>
          <w:marBottom w:val="0"/>
          <w:divBdr>
            <w:top w:val="none" w:sz="0" w:space="0" w:color="auto"/>
            <w:left w:val="none" w:sz="0" w:space="0" w:color="auto"/>
            <w:bottom w:val="none" w:sz="0" w:space="0" w:color="auto"/>
            <w:right w:val="none" w:sz="0" w:space="0" w:color="auto"/>
          </w:divBdr>
          <w:divsChild>
            <w:div w:id="392851282">
              <w:marLeft w:val="0"/>
              <w:marRight w:val="0"/>
              <w:marTop w:val="0"/>
              <w:marBottom w:val="0"/>
              <w:divBdr>
                <w:top w:val="none" w:sz="0" w:space="0" w:color="auto"/>
                <w:left w:val="none" w:sz="0" w:space="0" w:color="auto"/>
                <w:bottom w:val="none" w:sz="0" w:space="0" w:color="auto"/>
                <w:right w:val="none" w:sz="0" w:space="0" w:color="auto"/>
              </w:divBdr>
            </w:div>
          </w:divsChild>
        </w:div>
        <w:div w:id="1443644970">
          <w:marLeft w:val="0"/>
          <w:marRight w:val="0"/>
          <w:marTop w:val="0"/>
          <w:marBottom w:val="0"/>
          <w:divBdr>
            <w:top w:val="none" w:sz="0" w:space="0" w:color="auto"/>
            <w:left w:val="none" w:sz="0" w:space="0" w:color="auto"/>
            <w:bottom w:val="none" w:sz="0" w:space="0" w:color="auto"/>
            <w:right w:val="none" w:sz="0" w:space="0" w:color="auto"/>
          </w:divBdr>
          <w:divsChild>
            <w:div w:id="56512990">
              <w:marLeft w:val="0"/>
              <w:marRight w:val="0"/>
              <w:marTop w:val="0"/>
              <w:marBottom w:val="0"/>
              <w:divBdr>
                <w:top w:val="none" w:sz="0" w:space="0" w:color="auto"/>
                <w:left w:val="none" w:sz="0" w:space="0" w:color="auto"/>
                <w:bottom w:val="none" w:sz="0" w:space="0" w:color="auto"/>
                <w:right w:val="none" w:sz="0" w:space="0" w:color="auto"/>
              </w:divBdr>
            </w:div>
          </w:divsChild>
        </w:div>
        <w:div w:id="1520006275">
          <w:marLeft w:val="0"/>
          <w:marRight w:val="0"/>
          <w:marTop w:val="0"/>
          <w:marBottom w:val="0"/>
          <w:divBdr>
            <w:top w:val="none" w:sz="0" w:space="0" w:color="auto"/>
            <w:left w:val="none" w:sz="0" w:space="0" w:color="auto"/>
            <w:bottom w:val="none" w:sz="0" w:space="0" w:color="auto"/>
            <w:right w:val="none" w:sz="0" w:space="0" w:color="auto"/>
          </w:divBdr>
          <w:divsChild>
            <w:div w:id="1229611688">
              <w:marLeft w:val="0"/>
              <w:marRight w:val="0"/>
              <w:marTop w:val="0"/>
              <w:marBottom w:val="0"/>
              <w:divBdr>
                <w:top w:val="none" w:sz="0" w:space="0" w:color="auto"/>
                <w:left w:val="none" w:sz="0" w:space="0" w:color="auto"/>
                <w:bottom w:val="none" w:sz="0" w:space="0" w:color="auto"/>
                <w:right w:val="none" w:sz="0" w:space="0" w:color="auto"/>
              </w:divBdr>
            </w:div>
          </w:divsChild>
        </w:div>
        <w:div w:id="1538352593">
          <w:marLeft w:val="0"/>
          <w:marRight w:val="0"/>
          <w:marTop w:val="0"/>
          <w:marBottom w:val="0"/>
          <w:divBdr>
            <w:top w:val="none" w:sz="0" w:space="0" w:color="auto"/>
            <w:left w:val="none" w:sz="0" w:space="0" w:color="auto"/>
            <w:bottom w:val="none" w:sz="0" w:space="0" w:color="auto"/>
            <w:right w:val="none" w:sz="0" w:space="0" w:color="auto"/>
          </w:divBdr>
          <w:divsChild>
            <w:div w:id="1946377698">
              <w:marLeft w:val="0"/>
              <w:marRight w:val="0"/>
              <w:marTop w:val="0"/>
              <w:marBottom w:val="0"/>
              <w:divBdr>
                <w:top w:val="none" w:sz="0" w:space="0" w:color="auto"/>
                <w:left w:val="none" w:sz="0" w:space="0" w:color="auto"/>
                <w:bottom w:val="none" w:sz="0" w:space="0" w:color="auto"/>
                <w:right w:val="none" w:sz="0" w:space="0" w:color="auto"/>
              </w:divBdr>
            </w:div>
          </w:divsChild>
        </w:div>
        <w:div w:id="1666084043">
          <w:marLeft w:val="0"/>
          <w:marRight w:val="0"/>
          <w:marTop w:val="0"/>
          <w:marBottom w:val="0"/>
          <w:divBdr>
            <w:top w:val="none" w:sz="0" w:space="0" w:color="auto"/>
            <w:left w:val="none" w:sz="0" w:space="0" w:color="auto"/>
            <w:bottom w:val="none" w:sz="0" w:space="0" w:color="auto"/>
            <w:right w:val="none" w:sz="0" w:space="0" w:color="auto"/>
          </w:divBdr>
          <w:divsChild>
            <w:div w:id="933896504">
              <w:marLeft w:val="0"/>
              <w:marRight w:val="0"/>
              <w:marTop w:val="0"/>
              <w:marBottom w:val="0"/>
              <w:divBdr>
                <w:top w:val="none" w:sz="0" w:space="0" w:color="auto"/>
                <w:left w:val="none" w:sz="0" w:space="0" w:color="auto"/>
                <w:bottom w:val="none" w:sz="0" w:space="0" w:color="auto"/>
                <w:right w:val="none" w:sz="0" w:space="0" w:color="auto"/>
              </w:divBdr>
            </w:div>
          </w:divsChild>
        </w:div>
        <w:div w:id="1677924519">
          <w:marLeft w:val="0"/>
          <w:marRight w:val="0"/>
          <w:marTop w:val="0"/>
          <w:marBottom w:val="0"/>
          <w:divBdr>
            <w:top w:val="none" w:sz="0" w:space="0" w:color="auto"/>
            <w:left w:val="none" w:sz="0" w:space="0" w:color="auto"/>
            <w:bottom w:val="none" w:sz="0" w:space="0" w:color="auto"/>
            <w:right w:val="none" w:sz="0" w:space="0" w:color="auto"/>
          </w:divBdr>
          <w:divsChild>
            <w:div w:id="1800611662">
              <w:marLeft w:val="0"/>
              <w:marRight w:val="0"/>
              <w:marTop w:val="0"/>
              <w:marBottom w:val="0"/>
              <w:divBdr>
                <w:top w:val="none" w:sz="0" w:space="0" w:color="auto"/>
                <w:left w:val="none" w:sz="0" w:space="0" w:color="auto"/>
                <w:bottom w:val="none" w:sz="0" w:space="0" w:color="auto"/>
                <w:right w:val="none" w:sz="0" w:space="0" w:color="auto"/>
              </w:divBdr>
            </w:div>
          </w:divsChild>
        </w:div>
        <w:div w:id="1689671505">
          <w:marLeft w:val="0"/>
          <w:marRight w:val="0"/>
          <w:marTop w:val="0"/>
          <w:marBottom w:val="0"/>
          <w:divBdr>
            <w:top w:val="none" w:sz="0" w:space="0" w:color="auto"/>
            <w:left w:val="none" w:sz="0" w:space="0" w:color="auto"/>
            <w:bottom w:val="none" w:sz="0" w:space="0" w:color="auto"/>
            <w:right w:val="none" w:sz="0" w:space="0" w:color="auto"/>
          </w:divBdr>
          <w:divsChild>
            <w:div w:id="599487986">
              <w:marLeft w:val="0"/>
              <w:marRight w:val="0"/>
              <w:marTop w:val="0"/>
              <w:marBottom w:val="0"/>
              <w:divBdr>
                <w:top w:val="none" w:sz="0" w:space="0" w:color="auto"/>
                <w:left w:val="none" w:sz="0" w:space="0" w:color="auto"/>
                <w:bottom w:val="none" w:sz="0" w:space="0" w:color="auto"/>
                <w:right w:val="none" w:sz="0" w:space="0" w:color="auto"/>
              </w:divBdr>
            </w:div>
          </w:divsChild>
        </w:div>
        <w:div w:id="1809468964">
          <w:marLeft w:val="0"/>
          <w:marRight w:val="0"/>
          <w:marTop w:val="0"/>
          <w:marBottom w:val="0"/>
          <w:divBdr>
            <w:top w:val="none" w:sz="0" w:space="0" w:color="auto"/>
            <w:left w:val="none" w:sz="0" w:space="0" w:color="auto"/>
            <w:bottom w:val="none" w:sz="0" w:space="0" w:color="auto"/>
            <w:right w:val="none" w:sz="0" w:space="0" w:color="auto"/>
          </w:divBdr>
          <w:divsChild>
            <w:div w:id="164050804">
              <w:marLeft w:val="0"/>
              <w:marRight w:val="0"/>
              <w:marTop w:val="0"/>
              <w:marBottom w:val="0"/>
              <w:divBdr>
                <w:top w:val="none" w:sz="0" w:space="0" w:color="auto"/>
                <w:left w:val="none" w:sz="0" w:space="0" w:color="auto"/>
                <w:bottom w:val="none" w:sz="0" w:space="0" w:color="auto"/>
                <w:right w:val="none" w:sz="0" w:space="0" w:color="auto"/>
              </w:divBdr>
            </w:div>
            <w:div w:id="756630615">
              <w:marLeft w:val="0"/>
              <w:marRight w:val="0"/>
              <w:marTop w:val="0"/>
              <w:marBottom w:val="0"/>
              <w:divBdr>
                <w:top w:val="none" w:sz="0" w:space="0" w:color="auto"/>
                <w:left w:val="none" w:sz="0" w:space="0" w:color="auto"/>
                <w:bottom w:val="none" w:sz="0" w:space="0" w:color="auto"/>
                <w:right w:val="none" w:sz="0" w:space="0" w:color="auto"/>
              </w:divBdr>
            </w:div>
            <w:div w:id="1660304932">
              <w:marLeft w:val="0"/>
              <w:marRight w:val="0"/>
              <w:marTop w:val="0"/>
              <w:marBottom w:val="0"/>
              <w:divBdr>
                <w:top w:val="none" w:sz="0" w:space="0" w:color="auto"/>
                <w:left w:val="none" w:sz="0" w:space="0" w:color="auto"/>
                <w:bottom w:val="none" w:sz="0" w:space="0" w:color="auto"/>
                <w:right w:val="none" w:sz="0" w:space="0" w:color="auto"/>
              </w:divBdr>
            </w:div>
          </w:divsChild>
        </w:div>
        <w:div w:id="1872454854">
          <w:marLeft w:val="0"/>
          <w:marRight w:val="0"/>
          <w:marTop w:val="0"/>
          <w:marBottom w:val="0"/>
          <w:divBdr>
            <w:top w:val="none" w:sz="0" w:space="0" w:color="auto"/>
            <w:left w:val="none" w:sz="0" w:space="0" w:color="auto"/>
            <w:bottom w:val="none" w:sz="0" w:space="0" w:color="auto"/>
            <w:right w:val="none" w:sz="0" w:space="0" w:color="auto"/>
          </w:divBdr>
          <w:divsChild>
            <w:div w:id="1166171025">
              <w:marLeft w:val="0"/>
              <w:marRight w:val="0"/>
              <w:marTop w:val="0"/>
              <w:marBottom w:val="0"/>
              <w:divBdr>
                <w:top w:val="none" w:sz="0" w:space="0" w:color="auto"/>
                <w:left w:val="none" w:sz="0" w:space="0" w:color="auto"/>
                <w:bottom w:val="none" w:sz="0" w:space="0" w:color="auto"/>
                <w:right w:val="none" w:sz="0" w:space="0" w:color="auto"/>
              </w:divBdr>
            </w:div>
          </w:divsChild>
        </w:div>
        <w:div w:id="1889341221">
          <w:marLeft w:val="0"/>
          <w:marRight w:val="0"/>
          <w:marTop w:val="0"/>
          <w:marBottom w:val="0"/>
          <w:divBdr>
            <w:top w:val="none" w:sz="0" w:space="0" w:color="auto"/>
            <w:left w:val="none" w:sz="0" w:space="0" w:color="auto"/>
            <w:bottom w:val="none" w:sz="0" w:space="0" w:color="auto"/>
            <w:right w:val="none" w:sz="0" w:space="0" w:color="auto"/>
          </w:divBdr>
          <w:divsChild>
            <w:div w:id="1129057891">
              <w:marLeft w:val="0"/>
              <w:marRight w:val="0"/>
              <w:marTop w:val="0"/>
              <w:marBottom w:val="0"/>
              <w:divBdr>
                <w:top w:val="none" w:sz="0" w:space="0" w:color="auto"/>
                <w:left w:val="none" w:sz="0" w:space="0" w:color="auto"/>
                <w:bottom w:val="none" w:sz="0" w:space="0" w:color="auto"/>
                <w:right w:val="none" w:sz="0" w:space="0" w:color="auto"/>
              </w:divBdr>
            </w:div>
          </w:divsChild>
        </w:div>
        <w:div w:id="1940290299">
          <w:marLeft w:val="0"/>
          <w:marRight w:val="0"/>
          <w:marTop w:val="0"/>
          <w:marBottom w:val="0"/>
          <w:divBdr>
            <w:top w:val="none" w:sz="0" w:space="0" w:color="auto"/>
            <w:left w:val="none" w:sz="0" w:space="0" w:color="auto"/>
            <w:bottom w:val="none" w:sz="0" w:space="0" w:color="auto"/>
            <w:right w:val="none" w:sz="0" w:space="0" w:color="auto"/>
          </w:divBdr>
          <w:divsChild>
            <w:div w:id="1823891849">
              <w:marLeft w:val="0"/>
              <w:marRight w:val="0"/>
              <w:marTop w:val="0"/>
              <w:marBottom w:val="0"/>
              <w:divBdr>
                <w:top w:val="none" w:sz="0" w:space="0" w:color="auto"/>
                <w:left w:val="none" w:sz="0" w:space="0" w:color="auto"/>
                <w:bottom w:val="none" w:sz="0" w:space="0" w:color="auto"/>
                <w:right w:val="none" w:sz="0" w:space="0" w:color="auto"/>
              </w:divBdr>
            </w:div>
          </w:divsChild>
        </w:div>
        <w:div w:id="1990740964">
          <w:marLeft w:val="0"/>
          <w:marRight w:val="0"/>
          <w:marTop w:val="0"/>
          <w:marBottom w:val="0"/>
          <w:divBdr>
            <w:top w:val="none" w:sz="0" w:space="0" w:color="auto"/>
            <w:left w:val="none" w:sz="0" w:space="0" w:color="auto"/>
            <w:bottom w:val="none" w:sz="0" w:space="0" w:color="auto"/>
            <w:right w:val="none" w:sz="0" w:space="0" w:color="auto"/>
          </w:divBdr>
          <w:divsChild>
            <w:div w:id="106438464">
              <w:marLeft w:val="0"/>
              <w:marRight w:val="0"/>
              <w:marTop w:val="0"/>
              <w:marBottom w:val="0"/>
              <w:divBdr>
                <w:top w:val="none" w:sz="0" w:space="0" w:color="auto"/>
                <w:left w:val="none" w:sz="0" w:space="0" w:color="auto"/>
                <w:bottom w:val="none" w:sz="0" w:space="0" w:color="auto"/>
                <w:right w:val="none" w:sz="0" w:space="0" w:color="auto"/>
              </w:divBdr>
            </w:div>
          </w:divsChild>
        </w:div>
        <w:div w:id="2031296086">
          <w:marLeft w:val="0"/>
          <w:marRight w:val="0"/>
          <w:marTop w:val="0"/>
          <w:marBottom w:val="0"/>
          <w:divBdr>
            <w:top w:val="none" w:sz="0" w:space="0" w:color="auto"/>
            <w:left w:val="none" w:sz="0" w:space="0" w:color="auto"/>
            <w:bottom w:val="none" w:sz="0" w:space="0" w:color="auto"/>
            <w:right w:val="none" w:sz="0" w:space="0" w:color="auto"/>
          </w:divBdr>
          <w:divsChild>
            <w:div w:id="749235671">
              <w:marLeft w:val="0"/>
              <w:marRight w:val="0"/>
              <w:marTop w:val="0"/>
              <w:marBottom w:val="0"/>
              <w:divBdr>
                <w:top w:val="none" w:sz="0" w:space="0" w:color="auto"/>
                <w:left w:val="none" w:sz="0" w:space="0" w:color="auto"/>
                <w:bottom w:val="none" w:sz="0" w:space="0" w:color="auto"/>
                <w:right w:val="none" w:sz="0" w:space="0" w:color="auto"/>
              </w:divBdr>
            </w:div>
          </w:divsChild>
        </w:div>
        <w:div w:id="2036223780">
          <w:marLeft w:val="0"/>
          <w:marRight w:val="0"/>
          <w:marTop w:val="0"/>
          <w:marBottom w:val="0"/>
          <w:divBdr>
            <w:top w:val="none" w:sz="0" w:space="0" w:color="auto"/>
            <w:left w:val="none" w:sz="0" w:space="0" w:color="auto"/>
            <w:bottom w:val="none" w:sz="0" w:space="0" w:color="auto"/>
            <w:right w:val="none" w:sz="0" w:space="0" w:color="auto"/>
          </w:divBdr>
          <w:divsChild>
            <w:div w:id="261305918">
              <w:marLeft w:val="0"/>
              <w:marRight w:val="0"/>
              <w:marTop w:val="0"/>
              <w:marBottom w:val="0"/>
              <w:divBdr>
                <w:top w:val="none" w:sz="0" w:space="0" w:color="auto"/>
                <w:left w:val="none" w:sz="0" w:space="0" w:color="auto"/>
                <w:bottom w:val="none" w:sz="0" w:space="0" w:color="auto"/>
                <w:right w:val="none" w:sz="0" w:space="0" w:color="auto"/>
              </w:divBdr>
            </w:div>
          </w:divsChild>
        </w:div>
        <w:div w:id="2042439682">
          <w:marLeft w:val="0"/>
          <w:marRight w:val="0"/>
          <w:marTop w:val="0"/>
          <w:marBottom w:val="0"/>
          <w:divBdr>
            <w:top w:val="none" w:sz="0" w:space="0" w:color="auto"/>
            <w:left w:val="none" w:sz="0" w:space="0" w:color="auto"/>
            <w:bottom w:val="none" w:sz="0" w:space="0" w:color="auto"/>
            <w:right w:val="none" w:sz="0" w:space="0" w:color="auto"/>
          </w:divBdr>
          <w:divsChild>
            <w:div w:id="73087006">
              <w:marLeft w:val="0"/>
              <w:marRight w:val="0"/>
              <w:marTop w:val="0"/>
              <w:marBottom w:val="0"/>
              <w:divBdr>
                <w:top w:val="none" w:sz="0" w:space="0" w:color="auto"/>
                <w:left w:val="none" w:sz="0" w:space="0" w:color="auto"/>
                <w:bottom w:val="none" w:sz="0" w:space="0" w:color="auto"/>
                <w:right w:val="none" w:sz="0" w:space="0" w:color="auto"/>
              </w:divBdr>
            </w:div>
          </w:divsChild>
        </w:div>
        <w:div w:id="2049259124">
          <w:marLeft w:val="0"/>
          <w:marRight w:val="0"/>
          <w:marTop w:val="0"/>
          <w:marBottom w:val="0"/>
          <w:divBdr>
            <w:top w:val="none" w:sz="0" w:space="0" w:color="auto"/>
            <w:left w:val="none" w:sz="0" w:space="0" w:color="auto"/>
            <w:bottom w:val="none" w:sz="0" w:space="0" w:color="auto"/>
            <w:right w:val="none" w:sz="0" w:space="0" w:color="auto"/>
          </w:divBdr>
          <w:divsChild>
            <w:div w:id="1537305948">
              <w:marLeft w:val="0"/>
              <w:marRight w:val="0"/>
              <w:marTop w:val="0"/>
              <w:marBottom w:val="0"/>
              <w:divBdr>
                <w:top w:val="none" w:sz="0" w:space="0" w:color="auto"/>
                <w:left w:val="none" w:sz="0" w:space="0" w:color="auto"/>
                <w:bottom w:val="none" w:sz="0" w:space="0" w:color="auto"/>
                <w:right w:val="none" w:sz="0" w:space="0" w:color="auto"/>
              </w:divBdr>
            </w:div>
          </w:divsChild>
        </w:div>
        <w:div w:id="2142065800">
          <w:marLeft w:val="0"/>
          <w:marRight w:val="0"/>
          <w:marTop w:val="0"/>
          <w:marBottom w:val="0"/>
          <w:divBdr>
            <w:top w:val="none" w:sz="0" w:space="0" w:color="auto"/>
            <w:left w:val="none" w:sz="0" w:space="0" w:color="auto"/>
            <w:bottom w:val="none" w:sz="0" w:space="0" w:color="auto"/>
            <w:right w:val="none" w:sz="0" w:space="0" w:color="auto"/>
          </w:divBdr>
          <w:divsChild>
            <w:div w:id="16490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3247">
      <w:bodyDiv w:val="1"/>
      <w:marLeft w:val="0"/>
      <w:marRight w:val="0"/>
      <w:marTop w:val="0"/>
      <w:marBottom w:val="0"/>
      <w:divBdr>
        <w:top w:val="none" w:sz="0" w:space="0" w:color="auto"/>
        <w:left w:val="none" w:sz="0" w:space="0" w:color="auto"/>
        <w:bottom w:val="none" w:sz="0" w:space="0" w:color="auto"/>
        <w:right w:val="none" w:sz="0" w:space="0" w:color="auto"/>
      </w:divBdr>
    </w:div>
    <w:div w:id="33234469">
      <w:bodyDiv w:val="1"/>
      <w:marLeft w:val="0"/>
      <w:marRight w:val="0"/>
      <w:marTop w:val="0"/>
      <w:marBottom w:val="0"/>
      <w:divBdr>
        <w:top w:val="none" w:sz="0" w:space="0" w:color="auto"/>
        <w:left w:val="none" w:sz="0" w:space="0" w:color="auto"/>
        <w:bottom w:val="none" w:sz="0" w:space="0" w:color="auto"/>
        <w:right w:val="none" w:sz="0" w:space="0" w:color="auto"/>
      </w:divBdr>
    </w:div>
    <w:div w:id="44105995">
      <w:bodyDiv w:val="1"/>
      <w:marLeft w:val="0"/>
      <w:marRight w:val="0"/>
      <w:marTop w:val="0"/>
      <w:marBottom w:val="0"/>
      <w:divBdr>
        <w:top w:val="none" w:sz="0" w:space="0" w:color="auto"/>
        <w:left w:val="none" w:sz="0" w:space="0" w:color="auto"/>
        <w:bottom w:val="none" w:sz="0" w:space="0" w:color="auto"/>
        <w:right w:val="none" w:sz="0" w:space="0" w:color="auto"/>
      </w:divBdr>
    </w:div>
    <w:div w:id="46297123">
      <w:bodyDiv w:val="1"/>
      <w:marLeft w:val="0"/>
      <w:marRight w:val="0"/>
      <w:marTop w:val="0"/>
      <w:marBottom w:val="0"/>
      <w:divBdr>
        <w:top w:val="none" w:sz="0" w:space="0" w:color="auto"/>
        <w:left w:val="none" w:sz="0" w:space="0" w:color="auto"/>
        <w:bottom w:val="none" w:sz="0" w:space="0" w:color="auto"/>
        <w:right w:val="none" w:sz="0" w:space="0" w:color="auto"/>
      </w:divBdr>
      <w:divsChild>
        <w:div w:id="2076583262">
          <w:marLeft w:val="0"/>
          <w:marRight w:val="0"/>
          <w:marTop w:val="150"/>
          <w:marBottom w:val="150"/>
          <w:divBdr>
            <w:top w:val="none" w:sz="0" w:space="0" w:color="auto"/>
            <w:left w:val="none" w:sz="0" w:space="0" w:color="auto"/>
            <w:bottom w:val="none" w:sz="0" w:space="0" w:color="auto"/>
            <w:right w:val="none" w:sz="0" w:space="0" w:color="auto"/>
          </w:divBdr>
          <w:divsChild>
            <w:div w:id="17935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382">
      <w:bodyDiv w:val="1"/>
      <w:marLeft w:val="0"/>
      <w:marRight w:val="0"/>
      <w:marTop w:val="0"/>
      <w:marBottom w:val="0"/>
      <w:divBdr>
        <w:top w:val="none" w:sz="0" w:space="0" w:color="auto"/>
        <w:left w:val="none" w:sz="0" w:space="0" w:color="auto"/>
        <w:bottom w:val="none" w:sz="0" w:space="0" w:color="auto"/>
        <w:right w:val="none" w:sz="0" w:space="0" w:color="auto"/>
      </w:divBdr>
      <w:divsChild>
        <w:div w:id="79105941">
          <w:marLeft w:val="0"/>
          <w:marRight w:val="0"/>
          <w:marTop w:val="0"/>
          <w:marBottom w:val="0"/>
          <w:divBdr>
            <w:top w:val="none" w:sz="0" w:space="0" w:color="auto"/>
            <w:left w:val="none" w:sz="0" w:space="0" w:color="auto"/>
            <w:bottom w:val="none" w:sz="0" w:space="0" w:color="auto"/>
            <w:right w:val="none" w:sz="0" w:space="0" w:color="auto"/>
          </w:divBdr>
          <w:divsChild>
            <w:div w:id="41633355">
              <w:marLeft w:val="0"/>
              <w:marRight w:val="0"/>
              <w:marTop w:val="0"/>
              <w:marBottom w:val="0"/>
              <w:divBdr>
                <w:top w:val="none" w:sz="0" w:space="0" w:color="auto"/>
                <w:left w:val="none" w:sz="0" w:space="0" w:color="auto"/>
                <w:bottom w:val="none" w:sz="0" w:space="0" w:color="auto"/>
                <w:right w:val="none" w:sz="0" w:space="0" w:color="auto"/>
              </w:divBdr>
            </w:div>
            <w:div w:id="1072778094">
              <w:marLeft w:val="0"/>
              <w:marRight w:val="0"/>
              <w:marTop w:val="0"/>
              <w:marBottom w:val="0"/>
              <w:divBdr>
                <w:top w:val="none" w:sz="0" w:space="0" w:color="auto"/>
                <w:left w:val="none" w:sz="0" w:space="0" w:color="auto"/>
                <w:bottom w:val="none" w:sz="0" w:space="0" w:color="auto"/>
                <w:right w:val="none" w:sz="0" w:space="0" w:color="auto"/>
              </w:divBdr>
            </w:div>
            <w:div w:id="1279068634">
              <w:marLeft w:val="0"/>
              <w:marRight w:val="0"/>
              <w:marTop w:val="0"/>
              <w:marBottom w:val="0"/>
              <w:divBdr>
                <w:top w:val="none" w:sz="0" w:space="0" w:color="auto"/>
                <w:left w:val="none" w:sz="0" w:space="0" w:color="auto"/>
                <w:bottom w:val="none" w:sz="0" w:space="0" w:color="auto"/>
                <w:right w:val="none" w:sz="0" w:space="0" w:color="auto"/>
              </w:divBdr>
            </w:div>
          </w:divsChild>
        </w:div>
        <w:div w:id="96564838">
          <w:marLeft w:val="0"/>
          <w:marRight w:val="0"/>
          <w:marTop w:val="0"/>
          <w:marBottom w:val="0"/>
          <w:divBdr>
            <w:top w:val="none" w:sz="0" w:space="0" w:color="auto"/>
            <w:left w:val="none" w:sz="0" w:space="0" w:color="auto"/>
            <w:bottom w:val="none" w:sz="0" w:space="0" w:color="auto"/>
            <w:right w:val="none" w:sz="0" w:space="0" w:color="auto"/>
          </w:divBdr>
          <w:divsChild>
            <w:div w:id="995645216">
              <w:marLeft w:val="0"/>
              <w:marRight w:val="0"/>
              <w:marTop w:val="0"/>
              <w:marBottom w:val="0"/>
              <w:divBdr>
                <w:top w:val="none" w:sz="0" w:space="0" w:color="auto"/>
                <w:left w:val="none" w:sz="0" w:space="0" w:color="auto"/>
                <w:bottom w:val="none" w:sz="0" w:space="0" w:color="auto"/>
                <w:right w:val="none" w:sz="0" w:space="0" w:color="auto"/>
              </w:divBdr>
            </w:div>
          </w:divsChild>
        </w:div>
        <w:div w:id="164439008">
          <w:marLeft w:val="0"/>
          <w:marRight w:val="0"/>
          <w:marTop w:val="0"/>
          <w:marBottom w:val="0"/>
          <w:divBdr>
            <w:top w:val="none" w:sz="0" w:space="0" w:color="auto"/>
            <w:left w:val="none" w:sz="0" w:space="0" w:color="auto"/>
            <w:bottom w:val="none" w:sz="0" w:space="0" w:color="auto"/>
            <w:right w:val="none" w:sz="0" w:space="0" w:color="auto"/>
          </w:divBdr>
          <w:divsChild>
            <w:div w:id="483863972">
              <w:marLeft w:val="0"/>
              <w:marRight w:val="0"/>
              <w:marTop w:val="0"/>
              <w:marBottom w:val="0"/>
              <w:divBdr>
                <w:top w:val="none" w:sz="0" w:space="0" w:color="auto"/>
                <w:left w:val="none" w:sz="0" w:space="0" w:color="auto"/>
                <w:bottom w:val="none" w:sz="0" w:space="0" w:color="auto"/>
                <w:right w:val="none" w:sz="0" w:space="0" w:color="auto"/>
              </w:divBdr>
            </w:div>
          </w:divsChild>
        </w:div>
        <w:div w:id="1087995822">
          <w:marLeft w:val="0"/>
          <w:marRight w:val="0"/>
          <w:marTop w:val="0"/>
          <w:marBottom w:val="0"/>
          <w:divBdr>
            <w:top w:val="none" w:sz="0" w:space="0" w:color="auto"/>
            <w:left w:val="none" w:sz="0" w:space="0" w:color="auto"/>
            <w:bottom w:val="none" w:sz="0" w:space="0" w:color="auto"/>
            <w:right w:val="none" w:sz="0" w:space="0" w:color="auto"/>
          </w:divBdr>
          <w:divsChild>
            <w:div w:id="365258871">
              <w:marLeft w:val="0"/>
              <w:marRight w:val="0"/>
              <w:marTop w:val="0"/>
              <w:marBottom w:val="0"/>
              <w:divBdr>
                <w:top w:val="none" w:sz="0" w:space="0" w:color="auto"/>
                <w:left w:val="none" w:sz="0" w:space="0" w:color="auto"/>
                <w:bottom w:val="none" w:sz="0" w:space="0" w:color="auto"/>
                <w:right w:val="none" w:sz="0" w:space="0" w:color="auto"/>
              </w:divBdr>
            </w:div>
          </w:divsChild>
        </w:div>
        <w:div w:id="1284921027">
          <w:marLeft w:val="0"/>
          <w:marRight w:val="0"/>
          <w:marTop w:val="0"/>
          <w:marBottom w:val="0"/>
          <w:divBdr>
            <w:top w:val="none" w:sz="0" w:space="0" w:color="auto"/>
            <w:left w:val="none" w:sz="0" w:space="0" w:color="auto"/>
            <w:bottom w:val="none" w:sz="0" w:space="0" w:color="auto"/>
            <w:right w:val="none" w:sz="0" w:space="0" w:color="auto"/>
          </w:divBdr>
          <w:divsChild>
            <w:div w:id="1207833964">
              <w:marLeft w:val="0"/>
              <w:marRight w:val="0"/>
              <w:marTop w:val="0"/>
              <w:marBottom w:val="0"/>
              <w:divBdr>
                <w:top w:val="none" w:sz="0" w:space="0" w:color="auto"/>
                <w:left w:val="none" w:sz="0" w:space="0" w:color="auto"/>
                <w:bottom w:val="none" w:sz="0" w:space="0" w:color="auto"/>
                <w:right w:val="none" w:sz="0" w:space="0" w:color="auto"/>
              </w:divBdr>
            </w:div>
          </w:divsChild>
        </w:div>
        <w:div w:id="1342705075">
          <w:marLeft w:val="0"/>
          <w:marRight w:val="0"/>
          <w:marTop w:val="0"/>
          <w:marBottom w:val="0"/>
          <w:divBdr>
            <w:top w:val="none" w:sz="0" w:space="0" w:color="auto"/>
            <w:left w:val="none" w:sz="0" w:space="0" w:color="auto"/>
            <w:bottom w:val="none" w:sz="0" w:space="0" w:color="auto"/>
            <w:right w:val="none" w:sz="0" w:space="0" w:color="auto"/>
          </w:divBdr>
          <w:divsChild>
            <w:div w:id="1552041037">
              <w:marLeft w:val="0"/>
              <w:marRight w:val="0"/>
              <w:marTop w:val="0"/>
              <w:marBottom w:val="0"/>
              <w:divBdr>
                <w:top w:val="none" w:sz="0" w:space="0" w:color="auto"/>
                <w:left w:val="none" w:sz="0" w:space="0" w:color="auto"/>
                <w:bottom w:val="none" w:sz="0" w:space="0" w:color="auto"/>
                <w:right w:val="none" w:sz="0" w:space="0" w:color="auto"/>
              </w:divBdr>
            </w:div>
          </w:divsChild>
        </w:div>
        <w:div w:id="1343557302">
          <w:marLeft w:val="0"/>
          <w:marRight w:val="0"/>
          <w:marTop w:val="0"/>
          <w:marBottom w:val="0"/>
          <w:divBdr>
            <w:top w:val="none" w:sz="0" w:space="0" w:color="auto"/>
            <w:left w:val="none" w:sz="0" w:space="0" w:color="auto"/>
            <w:bottom w:val="none" w:sz="0" w:space="0" w:color="auto"/>
            <w:right w:val="none" w:sz="0" w:space="0" w:color="auto"/>
          </w:divBdr>
          <w:divsChild>
            <w:div w:id="225186489">
              <w:marLeft w:val="0"/>
              <w:marRight w:val="0"/>
              <w:marTop w:val="0"/>
              <w:marBottom w:val="0"/>
              <w:divBdr>
                <w:top w:val="none" w:sz="0" w:space="0" w:color="auto"/>
                <w:left w:val="none" w:sz="0" w:space="0" w:color="auto"/>
                <w:bottom w:val="none" w:sz="0" w:space="0" w:color="auto"/>
                <w:right w:val="none" w:sz="0" w:space="0" w:color="auto"/>
              </w:divBdr>
            </w:div>
          </w:divsChild>
        </w:div>
        <w:div w:id="1632246115">
          <w:marLeft w:val="0"/>
          <w:marRight w:val="0"/>
          <w:marTop w:val="0"/>
          <w:marBottom w:val="0"/>
          <w:divBdr>
            <w:top w:val="none" w:sz="0" w:space="0" w:color="auto"/>
            <w:left w:val="none" w:sz="0" w:space="0" w:color="auto"/>
            <w:bottom w:val="none" w:sz="0" w:space="0" w:color="auto"/>
            <w:right w:val="none" w:sz="0" w:space="0" w:color="auto"/>
          </w:divBdr>
          <w:divsChild>
            <w:div w:id="90666448">
              <w:marLeft w:val="0"/>
              <w:marRight w:val="0"/>
              <w:marTop w:val="0"/>
              <w:marBottom w:val="0"/>
              <w:divBdr>
                <w:top w:val="none" w:sz="0" w:space="0" w:color="auto"/>
                <w:left w:val="none" w:sz="0" w:space="0" w:color="auto"/>
                <w:bottom w:val="none" w:sz="0" w:space="0" w:color="auto"/>
                <w:right w:val="none" w:sz="0" w:space="0" w:color="auto"/>
              </w:divBdr>
            </w:div>
            <w:div w:id="514227934">
              <w:marLeft w:val="0"/>
              <w:marRight w:val="0"/>
              <w:marTop w:val="0"/>
              <w:marBottom w:val="0"/>
              <w:divBdr>
                <w:top w:val="none" w:sz="0" w:space="0" w:color="auto"/>
                <w:left w:val="none" w:sz="0" w:space="0" w:color="auto"/>
                <w:bottom w:val="none" w:sz="0" w:space="0" w:color="auto"/>
                <w:right w:val="none" w:sz="0" w:space="0" w:color="auto"/>
              </w:divBdr>
            </w:div>
            <w:div w:id="837230500">
              <w:marLeft w:val="0"/>
              <w:marRight w:val="0"/>
              <w:marTop w:val="0"/>
              <w:marBottom w:val="0"/>
              <w:divBdr>
                <w:top w:val="none" w:sz="0" w:space="0" w:color="auto"/>
                <w:left w:val="none" w:sz="0" w:space="0" w:color="auto"/>
                <w:bottom w:val="none" w:sz="0" w:space="0" w:color="auto"/>
                <w:right w:val="none" w:sz="0" w:space="0" w:color="auto"/>
              </w:divBdr>
            </w:div>
            <w:div w:id="1234706995">
              <w:marLeft w:val="0"/>
              <w:marRight w:val="0"/>
              <w:marTop w:val="0"/>
              <w:marBottom w:val="0"/>
              <w:divBdr>
                <w:top w:val="none" w:sz="0" w:space="0" w:color="auto"/>
                <w:left w:val="none" w:sz="0" w:space="0" w:color="auto"/>
                <w:bottom w:val="none" w:sz="0" w:space="0" w:color="auto"/>
                <w:right w:val="none" w:sz="0" w:space="0" w:color="auto"/>
              </w:divBdr>
            </w:div>
          </w:divsChild>
        </w:div>
        <w:div w:id="1710764020">
          <w:marLeft w:val="0"/>
          <w:marRight w:val="0"/>
          <w:marTop w:val="0"/>
          <w:marBottom w:val="0"/>
          <w:divBdr>
            <w:top w:val="none" w:sz="0" w:space="0" w:color="auto"/>
            <w:left w:val="none" w:sz="0" w:space="0" w:color="auto"/>
            <w:bottom w:val="none" w:sz="0" w:space="0" w:color="auto"/>
            <w:right w:val="none" w:sz="0" w:space="0" w:color="auto"/>
          </w:divBdr>
          <w:divsChild>
            <w:div w:id="1893954677">
              <w:marLeft w:val="0"/>
              <w:marRight w:val="0"/>
              <w:marTop w:val="0"/>
              <w:marBottom w:val="0"/>
              <w:divBdr>
                <w:top w:val="none" w:sz="0" w:space="0" w:color="auto"/>
                <w:left w:val="none" w:sz="0" w:space="0" w:color="auto"/>
                <w:bottom w:val="none" w:sz="0" w:space="0" w:color="auto"/>
                <w:right w:val="none" w:sz="0" w:space="0" w:color="auto"/>
              </w:divBdr>
            </w:div>
          </w:divsChild>
        </w:div>
        <w:div w:id="1791627669">
          <w:marLeft w:val="0"/>
          <w:marRight w:val="0"/>
          <w:marTop w:val="0"/>
          <w:marBottom w:val="0"/>
          <w:divBdr>
            <w:top w:val="none" w:sz="0" w:space="0" w:color="auto"/>
            <w:left w:val="none" w:sz="0" w:space="0" w:color="auto"/>
            <w:bottom w:val="none" w:sz="0" w:space="0" w:color="auto"/>
            <w:right w:val="none" w:sz="0" w:space="0" w:color="auto"/>
          </w:divBdr>
          <w:divsChild>
            <w:div w:id="1003699644">
              <w:marLeft w:val="0"/>
              <w:marRight w:val="0"/>
              <w:marTop w:val="0"/>
              <w:marBottom w:val="0"/>
              <w:divBdr>
                <w:top w:val="none" w:sz="0" w:space="0" w:color="auto"/>
                <w:left w:val="none" w:sz="0" w:space="0" w:color="auto"/>
                <w:bottom w:val="none" w:sz="0" w:space="0" w:color="auto"/>
                <w:right w:val="none" w:sz="0" w:space="0" w:color="auto"/>
              </w:divBdr>
            </w:div>
          </w:divsChild>
        </w:div>
        <w:div w:id="1904679212">
          <w:marLeft w:val="0"/>
          <w:marRight w:val="0"/>
          <w:marTop w:val="0"/>
          <w:marBottom w:val="0"/>
          <w:divBdr>
            <w:top w:val="none" w:sz="0" w:space="0" w:color="auto"/>
            <w:left w:val="none" w:sz="0" w:space="0" w:color="auto"/>
            <w:bottom w:val="none" w:sz="0" w:space="0" w:color="auto"/>
            <w:right w:val="none" w:sz="0" w:space="0" w:color="auto"/>
          </w:divBdr>
          <w:divsChild>
            <w:div w:id="1824926706">
              <w:marLeft w:val="0"/>
              <w:marRight w:val="0"/>
              <w:marTop w:val="0"/>
              <w:marBottom w:val="0"/>
              <w:divBdr>
                <w:top w:val="none" w:sz="0" w:space="0" w:color="auto"/>
                <w:left w:val="none" w:sz="0" w:space="0" w:color="auto"/>
                <w:bottom w:val="none" w:sz="0" w:space="0" w:color="auto"/>
                <w:right w:val="none" w:sz="0" w:space="0" w:color="auto"/>
              </w:divBdr>
            </w:div>
          </w:divsChild>
        </w:div>
        <w:div w:id="1935478692">
          <w:marLeft w:val="0"/>
          <w:marRight w:val="0"/>
          <w:marTop w:val="0"/>
          <w:marBottom w:val="0"/>
          <w:divBdr>
            <w:top w:val="none" w:sz="0" w:space="0" w:color="auto"/>
            <w:left w:val="none" w:sz="0" w:space="0" w:color="auto"/>
            <w:bottom w:val="none" w:sz="0" w:space="0" w:color="auto"/>
            <w:right w:val="none" w:sz="0" w:space="0" w:color="auto"/>
          </w:divBdr>
          <w:divsChild>
            <w:div w:id="1731541863">
              <w:marLeft w:val="0"/>
              <w:marRight w:val="0"/>
              <w:marTop w:val="0"/>
              <w:marBottom w:val="0"/>
              <w:divBdr>
                <w:top w:val="none" w:sz="0" w:space="0" w:color="auto"/>
                <w:left w:val="none" w:sz="0" w:space="0" w:color="auto"/>
                <w:bottom w:val="none" w:sz="0" w:space="0" w:color="auto"/>
                <w:right w:val="none" w:sz="0" w:space="0" w:color="auto"/>
              </w:divBdr>
            </w:div>
          </w:divsChild>
        </w:div>
        <w:div w:id="1947690014">
          <w:marLeft w:val="0"/>
          <w:marRight w:val="0"/>
          <w:marTop w:val="0"/>
          <w:marBottom w:val="0"/>
          <w:divBdr>
            <w:top w:val="none" w:sz="0" w:space="0" w:color="auto"/>
            <w:left w:val="none" w:sz="0" w:space="0" w:color="auto"/>
            <w:bottom w:val="none" w:sz="0" w:space="0" w:color="auto"/>
            <w:right w:val="none" w:sz="0" w:space="0" w:color="auto"/>
          </w:divBdr>
          <w:divsChild>
            <w:div w:id="23555203">
              <w:marLeft w:val="0"/>
              <w:marRight w:val="0"/>
              <w:marTop w:val="0"/>
              <w:marBottom w:val="0"/>
              <w:divBdr>
                <w:top w:val="none" w:sz="0" w:space="0" w:color="auto"/>
                <w:left w:val="none" w:sz="0" w:space="0" w:color="auto"/>
                <w:bottom w:val="none" w:sz="0" w:space="0" w:color="auto"/>
                <w:right w:val="none" w:sz="0" w:space="0" w:color="auto"/>
              </w:divBdr>
            </w:div>
            <w:div w:id="361325214">
              <w:marLeft w:val="0"/>
              <w:marRight w:val="0"/>
              <w:marTop w:val="0"/>
              <w:marBottom w:val="0"/>
              <w:divBdr>
                <w:top w:val="none" w:sz="0" w:space="0" w:color="auto"/>
                <w:left w:val="none" w:sz="0" w:space="0" w:color="auto"/>
                <w:bottom w:val="none" w:sz="0" w:space="0" w:color="auto"/>
                <w:right w:val="none" w:sz="0" w:space="0" w:color="auto"/>
              </w:divBdr>
            </w:div>
            <w:div w:id="1132288989">
              <w:marLeft w:val="0"/>
              <w:marRight w:val="0"/>
              <w:marTop w:val="0"/>
              <w:marBottom w:val="0"/>
              <w:divBdr>
                <w:top w:val="none" w:sz="0" w:space="0" w:color="auto"/>
                <w:left w:val="none" w:sz="0" w:space="0" w:color="auto"/>
                <w:bottom w:val="none" w:sz="0" w:space="0" w:color="auto"/>
                <w:right w:val="none" w:sz="0" w:space="0" w:color="auto"/>
              </w:divBdr>
            </w:div>
            <w:div w:id="1242790366">
              <w:marLeft w:val="0"/>
              <w:marRight w:val="0"/>
              <w:marTop w:val="0"/>
              <w:marBottom w:val="0"/>
              <w:divBdr>
                <w:top w:val="none" w:sz="0" w:space="0" w:color="auto"/>
                <w:left w:val="none" w:sz="0" w:space="0" w:color="auto"/>
                <w:bottom w:val="none" w:sz="0" w:space="0" w:color="auto"/>
                <w:right w:val="none" w:sz="0" w:space="0" w:color="auto"/>
              </w:divBdr>
            </w:div>
            <w:div w:id="1455827490">
              <w:marLeft w:val="0"/>
              <w:marRight w:val="0"/>
              <w:marTop w:val="0"/>
              <w:marBottom w:val="0"/>
              <w:divBdr>
                <w:top w:val="none" w:sz="0" w:space="0" w:color="auto"/>
                <w:left w:val="none" w:sz="0" w:space="0" w:color="auto"/>
                <w:bottom w:val="none" w:sz="0" w:space="0" w:color="auto"/>
                <w:right w:val="none" w:sz="0" w:space="0" w:color="auto"/>
              </w:divBdr>
            </w:div>
          </w:divsChild>
        </w:div>
        <w:div w:id="1998269117">
          <w:marLeft w:val="0"/>
          <w:marRight w:val="0"/>
          <w:marTop w:val="0"/>
          <w:marBottom w:val="0"/>
          <w:divBdr>
            <w:top w:val="none" w:sz="0" w:space="0" w:color="auto"/>
            <w:left w:val="none" w:sz="0" w:space="0" w:color="auto"/>
            <w:bottom w:val="none" w:sz="0" w:space="0" w:color="auto"/>
            <w:right w:val="none" w:sz="0" w:space="0" w:color="auto"/>
          </w:divBdr>
          <w:divsChild>
            <w:div w:id="147417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6251">
      <w:bodyDiv w:val="1"/>
      <w:marLeft w:val="0"/>
      <w:marRight w:val="0"/>
      <w:marTop w:val="0"/>
      <w:marBottom w:val="0"/>
      <w:divBdr>
        <w:top w:val="none" w:sz="0" w:space="0" w:color="auto"/>
        <w:left w:val="none" w:sz="0" w:space="0" w:color="auto"/>
        <w:bottom w:val="none" w:sz="0" w:space="0" w:color="auto"/>
        <w:right w:val="none" w:sz="0" w:space="0" w:color="auto"/>
      </w:divBdr>
    </w:div>
    <w:div w:id="61484755">
      <w:bodyDiv w:val="1"/>
      <w:marLeft w:val="0"/>
      <w:marRight w:val="0"/>
      <w:marTop w:val="0"/>
      <w:marBottom w:val="0"/>
      <w:divBdr>
        <w:top w:val="none" w:sz="0" w:space="0" w:color="auto"/>
        <w:left w:val="none" w:sz="0" w:space="0" w:color="auto"/>
        <w:bottom w:val="none" w:sz="0" w:space="0" w:color="auto"/>
        <w:right w:val="none" w:sz="0" w:space="0" w:color="auto"/>
      </w:divBdr>
      <w:divsChild>
        <w:div w:id="501630602">
          <w:marLeft w:val="0"/>
          <w:marRight w:val="0"/>
          <w:marTop w:val="0"/>
          <w:marBottom w:val="0"/>
          <w:divBdr>
            <w:top w:val="none" w:sz="0" w:space="0" w:color="auto"/>
            <w:left w:val="none" w:sz="0" w:space="0" w:color="auto"/>
            <w:bottom w:val="none" w:sz="0" w:space="0" w:color="auto"/>
            <w:right w:val="none" w:sz="0" w:space="0" w:color="auto"/>
          </w:divBdr>
        </w:div>
        <w:div w:id="584531215">
          <w:marLeft w:val="0"/>
          <w:marRight w:val="0"/>
          <w:marTop w:val="0"/>
          <w:marBottom w:val="0"/>
          <w:divBdr>
            <w:top w:val="none" w:sz="0" w:space="0" w:color="auto"/>
            <w:left w:val="none" w:sz="0" w:space="0" w:color="auto"/>
            <w:bottom w:val="none" w:sz="0" w:space="0" w:color="auto"/>
            <w:right w:val="none" w:sz="0" w:space="0" w:color="auto"/>
          </w:divBdr>
        </w:div>
        <w:div w:id="1073509261">
          <w:marLeft w:val="0"/>
          <w:marRight w:val="0"/>
          <w:marTop w:val="0"/>
          <w:marBottom w:val="0"/>
          <w:divBdr>
            <w:top w:val="none" w:sz="0" w:space="0" w:color="auto"/>
            <w:left w:val="none" w:sz="0" w:space="0" w:color="auto"/>
            <w:bottom w:val="none" w:sz="0" w:space="0" w:color="auto"/>
            <w:right w:val="none" w:sz="0" w:space="0" w:color="auto"/>
          </w:divBdr>
        </w:div>
      </w:divsChild>
    </w:div>
    <w:div w:id="66271377">
      <w:bodyDiv w:val="1"/>
      <w:marLeft w:val="0"/>
      <w:marRight w:val="0"/>
      <w:marTop w:val="0"/>
      <w:marBottom w:val="0"/>
      <w:divBdr>
        <w:top w:val="none" w:sz="0" w:space="0" w:color="auto"/>
        <w:left w:val="none" w:sz="0" w:space="0" w:color="auto"/>
        <w:bottom w:val="none" w:sz="0" w:space="0" w:color="auto"/>
        <w:right w:val="none" w:sz="0" w:space="0" w:color="auto"/>
      </w:divBdr>
      <w:divsChild>
        <w:div w:id="17199120">
          <w:marLeft w:val="0"/>
          <w:marRight w:val="0"/>
          <w:marTop w:val="0"/>
          <w:marBottom w:val="0"/>
          <w:divBdr>
            <w:top w:val="none" w:sz="0" w:space="0" w:color="auto"/>
            <w:left w:val="none" w:sz="0" w:space="0" w:color="auto"/>
            <w:bottom w:val="none" w:sz="0" w:space="0" w:color="auto"/>
            <w:right w:val="none" w:sz="0" w:space="0" w:color="auto"/>
          </w:divBdr>
          <w:divsChild>
            <w:div w:id="1966503911">
              <w:marLeft w:val="0"/>
              <w:marRight w:val="0"/>
              <w:marTop w:val="0"/>
              <w:marBottom w:val="0"/>
              <w:divBdr>
                <w:top w:val="none" w:sz="0" w:space="0" w:color="auto"/>
                <w:left w:val="none" w:sz="0" w:space="0" w:color="auto"/>
                <w:bottom w:val="none" w:sz="0" w:space="0" w:color="auto"/>
                <w:right w:val="none" w:sz="0" w:space="0" w:color="auto"/>
              </w:divBdr>
            </w:div>
          </w:divsChild>
        </w:div>
        <w:div w:id="45567655">
          <w:marLeft w:val="0"/>
          <w:marRight w:val="0"/>
          <w:marTop w:val="0"/>
          <w:marBottom w:val="0"/>
          <w:divBdr>
            <w:top w:val="none" w:sz="0" w:space="0" w:color="auto"/>
            <w:left w:val="none" w:sz="0" w:space="0" w:color="auto"/>
            <w:bottom w:val="none" w:sz="0" w:space="0" w:color="auto"/>
            <w:right w:val="none" w:sz="0" w:space="0" w:color="auto"/>
          </w:divBdr>
          <w:divsChild>
            <w:div w:id="854879099">
              <w:marLeft w:val="0"/>
              <w:marRight w:val="0"/>
              <w:marTop w:val="0"/>
              <w:marBottom w:val="0"/>
              <w:divBdr>
                <w:top w:val="none" w:sz="0" w:space="0" w:color="auto"/>
                <w:left w:val="none" w:sz="0" w:space="0" w:color="auto"/>
                <w:bottom w:val="none" w:sz="0" w:space="0" w:color="auto"/>
                <w:right w:val="none" w:sz="0" w:space="0" w:color="auto"/>
              </w:divBdr>
            </w:div>
          </w:divsChild>
        </w:div>
        <w:div w:id="111632894">
          <w:marLeft w:val="0"/>
          <w:marRight w:val="0"/>
          <w:marTop w:val="0"/>
          <w:marBottom w:val="0"/>
          <w:divBdr>
            <w:top w:val="none" w:sz="0" w:space="0" w:color="auto"/>
            <w:left w:val="none" w:sz="0" w:space="0" w:color="auto"/>
            <w:bottom w:val="none" w:sz="0" w:space="0" w:color="auto"/>
            <w:right w:val="none" w:sz="0" w:space="0" w:color="auto"/>
          </w:divBdr>
          <w:divsChild>
            <w:div w:id="11422175">
              <w:marLeft w:val="0"/>
              <w:marRight w:val="0"/>
              <w:marTop w:val="0"/>
              <w:marBottom w:val="0"/>
              <w:divBdr>
                <w:top w:val="none" w:sz="0" w:space="0" w:color="auto"/>
                <w:left w:val="none" w:sz="0" w:space="0" w:color="auto"/>
                <w:bottom w:val="none" w:sz="0" w:space="0" w:color="auto"/>
                <w:right w:val="none" w:sz="0" w:space="0" w:color="auto"/>
              </w:divBdr>
            </w:div>
            <w:div w:id="1557812977">
              <w:marLeft w:val="0"/>
              <w:marRight w:val="0"/>
              <w:marTop w:val="0"/>
              <w:marBottom w:val="0"/>
              <w:divBdr>
                <w:top w:val="none" w:sz="0" w:space="0" w:color="auto"/>
                <w:left w:val="none" w:sz="0" w:space="0" w:color="auto"/>
                <w:bottom w:val="none" w:sz="0" w:space="0" w:color="auto"/>
                <w:right w:val="none" w:sz="0" w:space="0" w:color="auto"/>
              </w:divBdr>
            </w:div>
            <w:div w:id="2053993413">
              <w:marLeft w:val="0"/>
              <w:marRight w:val="0"/>
              <w:marTop w:val="0"/>
              <w:marBottom w:val="0"/>
              <w:divBdr>
                <w:top w:val="none" w:sz="0" w:space="0" w:color="auto"/>
                <w:left w:val="none" w:sz="0" w:space="0" w:color="auto"/>
                <w:bottom w:val="none" w:sz="0" w:space="0" w:color="auto"/>
                <w:right w:val="none" w:sz="0" w:space="0" w:color="auto"/>
              </w:divBdr>
            </w:div>
          </w:divsChild>
        </w:div>
        <w:div w:id="134639782">
          <w:marLeft w:val="0"/>
          <w:marRight w:val="0"/>
          <w:marTop w:val="0"/>
          <w:marBottom w:val="0"/>
          <w:divBdr>
            <w:top w:val="none" w:sz="0" w:space="0" w:color="auto"/>
            <w:left w:val="none" w:sz="0" w:space="0" w:color="auto"/>
            <w:bottom w:val="none" w:sz="0" w:space="0" w:color="auto"/>
            <w:right w:val="none" w:sz="0" w:space="0" w:color="auto"/>
          </w:divBdr>
          <w:divsChild>
            <w:div w:id="1833566351">
              <w:marLeft w:val="0"/>
              <w:marRight w:val="0"/>
              <w:marTop w:val="0"/>
              <w:marBottom w:val="0"/>
              <w:divBdr>
                <w:top w:val="none" w:sz="0" w:space="0" w:color="auto"/>
                <w:left w:val="none" w:sz="0" w:space="0" w:color="auto"/>
                <w:bottom w:val="none" w:sz="0" w:space="0" w:color="auto"/>
                <w:right w:val="none" w:sz="0" w:space="0" w:color="auto"/>
              </w:divBdr>
            </w:div>
          </w:divsChild>
        </w:div>
        <w:div w:id="134758699">
          <w:marLeft w:val="0"/>
          <w:marRight w:val="0"/>
          <w:marTop w:val="0"/>
          <w:marBottom w:val="0"/>
          <w:divBdr>
            <w:top w:val="none" w:sz="0" w:space="0" w:color="auto"/>
            <w:left w:val="none" w:sz="0" w:space="0" w:color="auto"/>
            <w:bottom w:val="none" w:sz="0" w:space="0" w:color="auto"/>
            <w:right w:val="none" w:sz="0" w:space="0" w:color="auto"/>
          </w:divBdr>
          <w:divsChild>
            <w:div w:id="474953422">
              <w:marLeft w:val="0"/>
              <w:marRight w:val="0"/>
              <w:marTop w:val="0"/>
              <w:marBottom w:val="0"/>
              <w:divBdr>
                <w:top w:val="none" w:sz="0" w:space="0" w:color="auto"/>
                <w:left w:val="none" w:sz="0" w:space="0" w:color="auto"/>
                <w:bottom w:val="none" w:sz="0" w:space="0" w:color="auto"/>
                <w:right w:val="none" w:sz="0" w:space="0" w:color="auto"/>
              </w:divBdr>
            </w:div>
          </w:divsChild>
        </w:div>
        <w:div w:id="137916673">
          <w:marLeft w:val="0"/>
          <w:marRight w:val="0"/>
          <w:marTop w:val="0"/>
          <w:marBottom w:val="0"/>
          <w:divBdr>
            <w:top w:val="none" w:sz="0" w:space="0" w:color="auto"/>
            <w:left w:val="none" w:sz="0" w:space="0" w:color="auto"/>
            <w:bottom w:val="none" w:sz="0" w:space="0" w:color="auto"/>
            <w:right w:val="none" w:sz="0" w:space="0" w:color="auto"/>
          </w:divBdr>
          <w:divsChild>
            <w:div w:id="217060897">
              <w:marLeft w:val="0"/>
              <w:marRight w:val="0"/>
              <w:marTop w:val="0"/>
              <w:marBottom w:val="0"/>
              <w:divBdr>
                <w:top w:val="none" w:sz="0" w:space="0" w:color="auto"/>
                <w:left w:val="none" w:sz="0" w:space="0" w:color="auto"/>
                <w:bottom w:val="none" w:sz="0" w:space="0" w:color="auto"/>
                <w:right w:val="none" w:sz="0" w:space="0" w:color="auto"/>
              </w:divBdr>
            </w:div>
          </w:divsChild>
        </w:div>
        <w:div w:id="200485429">
          <w:marLeft w:val="0"/>
          <w:marRight w:val="0"/>
          <w:marTop w:val="0"/>
          <w:marBottom w:val="0"/>
          <w:divBdr>
            <w:top w:val="none" w:sz="0" w:space="0" w:color="auto"/>
            <w:left w:val="none" w:sz="0" w:space="0" w:color="auto"/>
            <w:bottom w:val="none" w:sz="0" w:space="0" w:color="auto"/>
            <w:right w:val="none" w:sz="0" w:space="0" w:color="auto"/>
          </w:divBdr>
          <w:divsChild>
            <w:div w:id="730276373">
              <w:marLeft w:val="0"/>
              <w:marRight w:val="0"/>
              <w:marTop w:val="0"/>
              <w:marBottom w:val="0"/>
              <w:divBdr>
                <w:top w:val="none" w:sz="0" w:space="0" w:color="auto"/>
                <w:left w:val="none" w:sz="0" w:space="0" w:color="auto"/>
                <w:bottom w:val="none" w:sz="0" w:space="0" w:color="auto"/>
                <w:right w:val="none" w:sz="0" w:space="0" w:color="auto"/>
              </w:divBdr>
            </w:div>
          </w:divsChild>
        </w:div>
        <w:div w:id="217516743">
          <w:marLeft w:val="0"/>
          <w:marRight w:val="0"/>
          <w:marTop w:val="0"/>
          <w:marBottom w:val="0"/>
          <w:divBdr>
            <w:top w:val="none" w:sz="0" w:space="0" w:color="auto"/>
            <w:left w:val="none" w:sz="0" w:space="0" w:color="auto"/>
            <w:bottom w:val="none" w:sz="0" w:space="0" w:color="auto"/>
            <w:right w:val="none" w:sz="0" w:space="0" w:color="auto"/>
          </w:divBdr>
          <w:divsChild>
            <w:div w:id="50738590">
              <w:marLeft w:val="0"/>
              <w:marRight w:val="0"/>
              <w:marTop w:val="0"/>
              <w:marBottom w:val="0"/>
              <w:divBdr>
                <w:top w:val="none" w:sz="0" w:space="0" w:color="auto"/>
                <w:left w:val="none" w:sz="0" w:space="0" w:color="auto"/>
                <w:bottom w:val="none" w:sz="0" w:space="0" w:color="auto"/>
                <w:right w:val="none" w:sz="0" w:space="0" w:color="auto"/>
              </w:divBdr>
            </w:div>
          </w:divsChild>
        </w:div>
        <w:div w:id="220872821">
          <w:marLeft w:val="0"/>
          <w:marRight w:val="0"/>
          <w:marTop w:val="0"/>
          <w:marBottom w:val="0"/>
          <w:divBdr>
            <w:top w:val="none" w:sz="0" w:space="0" w:color="auto"/>
            <w:left w:val="none" w:sz="0" w:space="0" w:color="auto"/>
            <w:bottom w:val="none" w:sz="0" w:space="0" w:color="auto"/>
            <w:right w:val="none" w:sz="0" w:space="0" w:color="auto"/>
          </w:divBdr>
          <w:divsChild>
            <w:div w:id="1394964969">
              <w:marLeft w:val="0"/>
              <w:marRight w:val="0"/>
              <w:marTop w:val="0"/>
              <w:marBottom w:val="0"/>
              <w:divBdr>
                <w:top w:val="none" w:sz="0" w:space="0" w:color="auto"/>
                <w:left w:val="none" w:sz="0" w:space="0" w:color="auto"/>
                <w:bottom w:val="none" w:sz="0" w:space="0" w:color="auto"/>
                <w:right w:val="none" w:sz="0" w:space="0" w:color="auto"/>
              </w:divBdr>
            </w:div>
          </w:divsChild>
        </w:div>
        <w:div w:id="263926085">
          <w:marLeft w:val="0"/>
          <w:marRight w:val="0"/>
          <w:marTop w:val="0"/>
          <w:marBottom w:val="0"/>
          <w:divBdr>
            <w:top w:val="none" w:sz="0" w:space="0" w:color="auto"/>
            <w:left w:val="none" w:sz="0" w:space="0" w:color="auto"/>
            <w:bottom w:val="none" w:sz="0" w:space="0" w:color="auto"/>
            <w:right w:val="none" w:sz="0" w:space="0" w:color="auto"/>
          </w:divBdr>
          <w:divsChild>
            <w:div w:id="1763841980">
              <w:marLeft w:val="0"/>
              <w:marRight w:val="0"/>
              <w:marTop w:val="0"/>
              <w:marBottom w:val="0"/>
              <w:divBdr>
                <w:top w:val="none" w:sz="0" w:space="0" w:color="auto"/>
                <w:left w:val="none" w:sz="0" w:space="0" w:color="auto"/>
                <w:bottom w:val="none" w:sz="0" w:space="0" w:color="auto"/>
                <w:right w:val="none" w:sz="0" w:space="0" w:color="auto"/>
              </w:divBdr>
            </w:div>
          </w:divsChild>
        </w:div>
        <w:div w:id="332032746">
          <w:marLeft w:val="0"/>
          <w:marRight w:val="0"/>
          <w:marTop w:val="0"/>
          <w:marBottom w:val="0"/>
          <w:divBdr>
            <w:top w:val="none" w:sz="0" w:space="0" w:color="auto"/>
            <w:left w:val="none" w:sz="0" w:space="0" w:color="auto"/>
            <w:bottom w:val="none" w:sz="0" w:space="0" w:color="auto"/>
            <w:right w:val="none" w:sz="0" w:space="0" w:color="auto"/>
          </w:divBdr>
          <w:divsChild>
            <w:div w:id="398476897">
              <w:marLeft w:val="0"/>
              <w:marRight w:val="0"/>
              <w:marTop w:val="0"/>
              <w:marBottom w:val="0"/>
              <w:divBdr>
                <w:top w:val="none" w:sz="0" w:space="0" w:color="auto"/>
                <w:left w:val="none" w:sz="0" w:space="0" w:color="auto"/>
                <w:bottom w:val="none" w:sz="0" w:space="0" w:color="auto"/>
                <w:right w:val="none" w:sz="0" w:space="0" w:color="auto"/>
              </w:divBdr>
            </w:div>
          </w:divsChild>
        </w:div>
        <w:div w:id="336157899">
          <w:marLeft w:val="0"/>
          <w:marRight w:val="0"/>
          <w:marTop w:val="0"/>
          <w:marBottom w:val="0"/>
          <w:divBdr>
            <w:top w:val="none" w:sz="0" w:space="0" w:color="auto"/>
            <w:left w:val="none" w:sz="0" w:space="0" w:color="auto"/>
            <w:bottom w:val="none" w:sz="0" w:space="0" w:color="auto"/>
            <w:right w:val="none" w:sz="0" w:space="0" w:color="auto"/>
          </w:divBdr>
          <w:divsChild>
            <w:div w:id="108673095">
              <w:marLeft w:val="0"/>
              <w:marRight w:val="0"/>
              <w:marTop w:val="0"/>
              <w:marBottom w:val="0"/>
              <w:divBdr>
                <w:top w:val="none" w:sz="0" w:space="0" w:color="auto"/>
                <w:left w:val="none" w:sz="0" w:space="0" w:color="auto"/>
                <w:bottom w:val="none" w:sz="0" w:space="0" w:color="auto"/>
                <w:right w:val="none" w:sz="0" w:space="0" w:color="auto"/>
              </w:divBdr>
            </w:div>
          </w:divsChild>
        </w:div>
        <w:div w:id="341670068">
          <w:marLeft w:val="0"/>
          <w:marRight w:val="0"/>
          <w:marTop w:val="0"/>
          <w:marBottom w:val="0"/>
          <w:divBdr>
            <w:top w:val="none" w:sz="0" w:space="0" w:color="auto"/>
            <w:left w:val="none" w:sz="0" w:space="0" w:color="auto"/>
            <w:bottom w:val="none" w:sz="0" w:space="0" w:color="auto"/>
            <w:right w:val="none" w:sz="0" w:space="0" w:color="auto"/>
          </w:divBdr>
          <w:divsChild>
            <w:div w:id="426391830">
              <w:marLeft w:val="0"/>
              <w:marRight w:val="0"/>
              <w:marTop w:val="0"/>
              <w:marBottom w:val="0"/>
              <w:divBdr>
                <w:top w:val="none" w:sz="0" w:space="0" w:color="auto"/>
                <w:left w:val="none" w:sz="0" w:space="0" w:color="auto"/>
                <w:bottom w:val="none" w:sz="0" w:space="0" w:color="auto"/>
                <w:right w:val="none" w:sz="0" w:space="0" w:color="auto"/>
              </w:divBdr>
            </w:div>
          </w:divsChild>
        </w:div>
        <w:div w:id="342823215">
          <w:marLeft w:val="0"/>
          <w:marRight w:val="0"/>
          <w:marTop w:val="0"/>
          <w:marBottom w:val="0"/>
          <w:divBdr>
            <w:top w:val="none" w:sz="0" w:space="0" w:color="auto"/>
            <w:left w:val="none" w:sz="0" w:space="0" w:color="auto"/>
            <w:bottom w:val="none" w:sz="0" w:space="0" w:color="auto"/>
            <w:right w:val="none" w:sz="0" w:space="0" w:color="auto"/>
          </w:divBdr>
          <w:divsChild>
            <w:div w:id="677000553">
              <w:marLeft w:val="0"/>
              <w:marRight w:val="0"/>
              <w:marTop w:val="0"/>
              <w:marBottom w:val="0"/>
              <w:divBdr>
                <w:top w:val="none" w:sz="0" w:space="0" w:color="auto"/>
                <w:left w:val="none" w:sz="0" w:space="0" w:color="auto"/>
                <w:bottom w:val="none" w:sz="0" w:space="0" w:color="auto"/>
                <w:right w:val="none" w:sz="0" w:space="0" w:color="auto"/>
              </w:divBdr>
            </w:div>
          </w:divsChild>
        </w:div>
        <w:div w:id="423457652">
          <w:marLeft w:val="0"/>
          <w:marRight w:val="0"/>
          <w:marTop w:val="0"/>
          <w:marBottom w:val="0"/>
          <w:divBdr>
            <w:top w:val="none" w:sz="0" w:space="0" w:color="auto"/>
            <w:left w:val="none" w:sz="0" w:space="0" w:color="auto"/>
            <w:bottom w:val="none" w:sz="0" w:space="0" w:color="auto"/>
            <w:right w:val="none" w:sz="0" w:space="0" w:color="auto"/>
          </w:divBdr>
          <w:divsChild>
            <w:div w:id="785660135">
              <w:marLeft w:val="0"/>
              <w:marRight w:val="0"/>
              <w:marTop w:val="0"/>
              <w:marBottom w:val="0"/>
              <w:divBdr>
                <w:top w:val="none" w:sz="0" w:space="0" w:color="auto"/>
                <w:left w:val="none" w:sz="0" w:space="0" w:color="auto"/>
                <w:bottom w:val="none" w:sz="0" w:space="0" w:color="auto"/>
                <w:right w:val="none" w:sz="0" w:space="0" w:color="auto"/>
              </w:divBdr>
            </w:div>
          </w:divsChild>
        </w:div>
        <w:div w:id="532961561">
          <w:marLeft w:val="0"/>
          <w:marRight w:val="0"/>
          <w:marTop w:val="0"/>
          <w:marBottom w:val="0"/>
          <w:divBdr>
            <w:top w:val="none" w:sz="0" w:space="0" w:color="auto"/>
            <w:left w:val="none" w:sz="0" w:space="0" w:color="auto"/>
            <w:bottom w:val="none" w:sz="0" w:space="0" w:color="auto"/>
            <w:right w:val="none" w:sz="0" w:space="0" w:color="auto"/>
          </w:divBdr>
          <w:divsChild>
            <w:div w:id="1435977744">
              <w:marLeft w:val="0"/>
              <w:marRight w:val="0"/>
              <w:marTop w:val="0"/>
              <w:marBottom w:val="0"/>
              <w:divBdr>
                <w:top w:val="none" w:sz="0" w:space="0" w:color="auto"/>
                <w:left w:val="none" w:sz="0" w:space="0" w:color="auto"/>
                <w:bottom w:val="none" w:sz="0" w:space="0" w:color="auto"/>
                <w:right w:val="none" w:sz="0" w:space="0" w:color="auto"/>
              </w:divBdr>
            </w:div>
          </w:divsChild>
        </w:div>
        <w:div w:id="549340810">
          <w:marLeft w:val="0"/>
          <w:marRight w:val="0"/>
          <w:marTop w:val="0"/>
          <w:marBottom w:val="0"/>
          <w:divBdr>
            <w:top w:val="none" w:sz="0" w:space="0" w:color="auto"/>
            <w:left w:val="none" w:sz="0" w:space="0" w:color="auto"/>
            <w:bottom w:val="none" w:sz="0" w:space="0" w:color="auto"/>
            <w:right w:val="none" w:sz="0" w:space="0" w:color="auto"/>
          </w:divBdr>
          <w:divsChild>
            <w:div w:id="1270163500">
              <w:marLeft w:val="0"/>
              <w:marRight w:val="0"/>
              <w:marTop w:val="0"/>
              <w:marBottom w:val="0"/>
              <w:divBdr>
                <w:top w:val="none" w:sz="0" w:space="0" w:color="auto"/>
                <w:left w:val="none" w:sz="0" w:space="0" w:color="auto"/>
                <w:bottom w:val="none" w:sz="0" w:space="0" w:color="auto"/>
                <w:right w:val="none" w:sz="0" w:space="0" w:color="auto"/>
              </w:divBdr>
            </w:div>
          </w:divsChild>
        </w:div>
        <w:div w:id="575433010">
          <w:marLeft w:val="0"/>
          <w:marRight w:val="0"/>
          <w:marTop w:val="0"/>
          <w:marBottom w:val="0"/>
          <w:divBdr>
            <w:top w:val="none" w:sz="0" w:space="0" w:color="auto"/>
            <w:left w:val="none" w:sz="0" w:space="0" w:color="auto"/>
            <w:bottom w:val="none" w:sz="0" w:space="0" w:color="auto"/>
            <w:right w:val="none" w:sz="0" w:space="0" w:color="auto"/>
          </w:divBdr>
          <w:divsChild>
            <w:div w:id="2030180138">
              <w:marLeft w:val="0"/>
              <w:marRight w:val="0"/>
              <w:marTop w:val="0"/>
              <w:marBottom w:val="0"/>
              <w:divBdr>
                <w:top w:val="none" w:sz="0" w:space="0" w:color="auto"/>
                <w:left w:val="none" w:sz="0" w:space="0" w:color="auto"/>
                <w:bottom w:val="none" w:sz="0" w:space="0" w:color="auto"/>
                <w:right w:val="none" w:sz="0" w:space="0" w:color="auto"/>
              </w:divBdr>
            </w:div>
          </w:divsChild>
        </w:div>
        <w:div w:id="616715167">
          <w:marLeft w:val="0"/>
          <w:marRight w:val="0"/>
          <w:marTop w:val="0"/>
          <w:marBottom w:val="0"/>
          <w:divBdr>
            <w:top w:val="none" w:sz="0" w:space="0" w:color="auto"/>
            <w:left w:val="none" w:sz="0" w:space="0" w:color="auto"/>
            <w:bottom w:val="none" w:sz="0" w:space="0" w:color="auto"/>
            <w:right w:val="none" w:sz="0" w:space="0" w:color="auto"/>
          </w:divBdr>
          <w:divsChild>
            <w:div w:id="1644846047">
              <w:marLeft w:val="0"/>
              <w:marRight w:val="0"/>
              <w:marTop w:val="0"/>
              <w:marBottom w:val="0"/>
              <w:divBdr>
                <w:top w:val="none" w:sz="0" w:space="0" w:color="auto"/>
                <w:left w:val="none" w:sz="0" w:space="0" w:color="auto"/>
                <w:bottom w:val="none" w:sz="0" w:space="0" w:color="auto"/>
                <w:right w:val="none" w:sz="0" w:space="0" w:color="auto"/>
              </w:divBdr>
            </w:div>
          </w:divsChild>
        </w:div>
        <w:div w:id="630785891">
          <w:marLeft w:val="0"/>
          <w:marRight w:val="0"/>
          <w:marTop w:val="0"/>
          <w:marBottom w:val="0"/>
          <w:divBdr>
            <w:top w:val="none" w:sz="0" w:space="0" w:color="auto"/>
            <w:left w:val="none" w:sz="0" w:space="0" w:color="auto"/>
            <w:bottom w:val="none" w:sz="0" w:space="0" w:color="auto"/>
            <w:right w:val="none" w:sz="0" w:space="0" w:color="auto"/>
          </w:divBdr>
          <w:divsChild>
            <w:div w:id="883448349">
              <w:marLeft w:val="0"/>
              <w:marRight w:val="0"/>
              <w:marTop w:val="0"/>
              <w:marBottom w:val="0"/>
              <w:divBdr>
                <w:top w:val="none" w:sz="0" w:space="0" w:color="auto"/>
                <w:left w:val="none" w:sz="0" w:space="0" w:color="auto"/>
                <w:bottom w:val="none" w:sz="0" w:space="0" w:color="auto"/>
                <w:right w:val="none" w:sz="0" w:space="0" w:color="auto"/>
              </w:divBdr>
            </w:div>
            <w:div w:id="1434933813">
              <w:marLeft w:val="0"/>
              <w:marRight w:val="0"/>
              <w:marTop w:val="0"/>
              <w:marBottom w:val="0"/>
              <w:divBdr>
                <w:top w:val="none" w:sz="0" w:space="0" w:color="auto"/>
                <w:left w:val="none" w:sz="0" w:space="0" w:color="auto"/>
                <w:bottom w:val="none" w:sz="0" w:space="0" w:color="auto"/>
                <w:right w:val="none" w:sz="0" w:space="0" w:color="auto"/>
              </w:divBdr>
            </w:div>
            <w:div w:id="1820465406">
              <w:marLeft w:val="0"/>
              <w:marRight w:val="0"/>
              <w:marTop w:val="0"/>
              <w:marBottom w:val="0"/>
              <w:divBdr>
                <w:top w:val="none" w:sz="0" w:space="0" w:color="auto"/>
                <w:left w:val="none" w:sz="0" w:space="0" w:color="auto"/>
                <w:bottom w:val="none" w:sz="0" w:space="0" w:color="auto"/>
                <w:right w:val="none" w:sz="0" w:space="0" w:color="auto"/>
              </w:divBdr>
            </w:div>
          </w:divsChild>
        </w:div>
        <w:div w:id="644310314">
          <w:marLeft w:val="0"/>
          <w:marRight w:val="0"/>
          <w:marTop w:val="0"/>
          <w:marBottom w:val="0"/>
          <w:divBdr>
            <w:top w:val="none" w:sz="0" w:space="0" w:color="auto"/>
            <w:left w:val="none" w:sz="0" w:space="0" w:color="auto"/>
            <w:bottom w:val="none" w:sz="0" w:space="0" w:color="auto"/>
            <w:right w:val="none" w:sz="0" w:space="0" w:color="auto"/>
          </w:divBdr>
          <w:divsChild>
            <w:div w:id="1251356102">
              <w:marLeft w:val="0"/>
              <w:marRight w:val="0"/>
              <w:marTop w:val="0"/>
              <w:marBottom w:val="0"/>
              <w:divBdr>
                <w:top w:val="none" w:sz="0" w:space="0" w:color="auto"/>
                <w:left w:val="none" w:sz="0" w:space="0" w:color="auto"/>
                <w:bottom w:val="none" w:sz="0" w:space="0" w:color="auto"/>
                <w:right w:val="none" w:sz="0" w:space="0" w:color="auto"/>
              </w:divBdr>
            </w:div>
          </w:divsChild>
        </w:div>
        <w:div w:id="673384365">
          <w:marLeft w:val="0"/>
          <w:marRight w:val="0"/>
          <w:marTop w:val="0"/>
          <w:marBottom w:val="0"/>
          <w:divBdr>
            <w:top w:val="none" w:sz="0" w:space="0" w:color="auto"/>
            <w:left w:val="none" w:sz="0" w:space="0" w:color="auto"/>
            <w:bottom w:val="none" w:sz="0" w:space="0" w:color="auto"/>
            <w:right w:val="none" w:sz="0" w:space="0" w:color="auto"/>
          </w:divBdr>
          <w:divsChild>
            <w:div w:id="1001935532">
              <w:marLeft w:val="0"/>
              <w:marRight w:val="0"/>
              <w:marTop w:val="0"/>
              <w:marBottom w:val="0"/>
              <w:divBdr>
                <w:top w:val="none" w:sz="0" w:space="0" w:color="auto"/>
                <w:left w:val="none" w:sz="0" w:space="0" w:color="auto"/>
                <w:bottom w:val="none" w:sz="0" w:space="0" w:color="auto"/>
                <w:right w:val="none" w:sz="0" w:space="0" w:color="auto"/>
              </w:divBdr>
            </w:div>
          </w:divsChild>
        </w:div>
        <w:div w:id="726492650">
          <w:marLeft w:val="0"/>
          <w:marRight w:val="0"/>
          <w:marTop w:val="0"/>
          <w:marBottom w:val="0"/>
          <w:divBdr>
            <w:top w:val="none" w:sz="0" w:space="0" w:color="auto"/>
            <w:left w:val="none" w:sz="0" w:space="0" w:color="auto"/>
            <w:bottom w:val="none" w:sz="0" w:space="0" w:color="auto"/>
            <w:right w:val="none" w:sz="0" w:space="0" w:color="auto"/>
          </w:divBdr>
          <w:divsChild>
            <w:div w:id="1979415391">
              <w:marLeft w:val="0"/>
              <w:marRight w:val="0"/>
              <w:marTop w:val="0"/>
              <w:marBottom w:val="0"/>
              <w:divBdr>
                <w:top w:val="none" w:sz="0" w:space="0" w:color="auto"/>
                <w:left w:val="none" w:sz="0" w:space="0" w:color="auto"/>
                <w:bottom w:val="none" w:sz="0" w:space="0" w:color="auto"/>
                <w:right w:val="none" w:sz="0" w:space="0" w:color="auto"/>
              </w:divBdr>
            </w:div>
          </w:divsChild>
        </w:div>
        <w:div w:id="747649797">
          <w:marLeft w:val="0"/>
          <w:marRight w:val="0"/>
          <w:marTop w:val="0"/>
          <w:marBottom w:val="0"/>
          <w:divBdr>
            <w:top w:val="none" w:sz="0" w:space="0" w:color="auto"/>
            <w:left w:val="none" w:sz="0" w:space="0" w:color="auto"/>
            <w:bottom w:val="none" w:sz="0" w:space="0" w:color="auto"/>
            <w:right w:val="none" w:sz="0" w:space="0" w:color="auto"/>
          </w:divBdr>
          <w:divsChild>
            <w:div w:id="1788038030">
              <w:marLeft w:val="0"/>
              <w:marRight w:val="0"/>
              <w:marTop w:val="0"/>
              <w:marBottom w:val="0"/>
              <w:divBdr>
                <w:top w:val="none" w:sz="0" w:space="0" w:color="auto"/>
                <w:left w:val="none" w:sz="0" w:space="0" w:color="auto"/>
                <w:bottom w:val="none" w:sz="0" w:space="0" w:color="auto"/>
                <w:right w:val="none" w:sz="0" w:space="0" w:color="auto"/>
              </w:divBdr>
            </w:div>
          </w:divsChild>
        </w:div>
        <w:div w:id="788016261">
          <w:marLeft w:val="0"/>
          <w:marRight w:val="0"/>
          <w:marTop w:val="0"/>
          <w:marBottom w:val="0"/>
          <w:divBdr>
            <w:top w:val="none" w:sz="0" w:space="0" w:color="auto"/>
            <w:left w:val="none" w:sz="0" w:space="0" w:color="auto"/>
            <w:bottom w:val="none" w:sz="0" w:space="0" w:color="auto"/>
            <w:right w:val="none" w:sz="0" w:space="0" w:color="auto"/>
          </w:divBdr>
          <w:divsChild>
            <w:div w:id="446125984">
              <w:marLeft w:val="0"/>
              <w:marRight w:val="0"/>
              <w:marTop w:val="0"/>
              <w:marBottom w:val="0"/>
              <w:divBdr>
                <w:top w:val="none" w:sz="0" w:space="0" w:color="auto"/>
                <w:left w:val="none" w:sz="0" w:space="0" w:color="auto"/>
                <w:bottom w:val="none" w:sz="0" w:space="0" w:color="auto"/>
                <w:right w:val="none" w:sz="0" w:space="0" w:color="auto"/>
              </w:divBdr>
            </w:div>
          </w:divsChild>
        </w:div>
        <w:div w:id="796871650">
          <w:marLeft w:val="0"/>
          <w:marRight w:val="0"/>
          <w:marTop w:val="0"/>
          <w:marBottom w:val="0"/>
          <w:divBdr>
            <w:top w:val="none" w:sz="0" w:space="0" w:color="auto"/>
            <w:left w:val="none" w:sz="0" w:space="0" w:color="auto"/>
            <w:bottom w:val="none" w:sz="0" w:space="0" w:color="auto"/>
            <w:right w:val="none" w:sz="0" w:space="0" w:color="auto"/>
          </w:divBdr>
          <w:divsChild>
            <w:div w:id="1919050984">
              <w:marLeft w:val="0"/>
              <w:marRight w:val="0"/>
              <w:marTop w:val="0"/>
              <w:marBottom w:val="0"/>
              <w:divBdr>
                <w:top w:val="none" w:sz="0" w:space="0" w:color="auto"/>
                <w:left w:val="none" w:sz="0" w:space="0" w:color="auto"/>
                <w:bottom w:val="none" w:sz="0" w:space="0" w:color="auto"/>
                <w:right w:val="none" w:sz="0" w:space="0" w:color="auto"/>
              </w:divBdr>
            </w:div>
          </w:divsChild>
        </w:div>
        <w:div w:id="815411195">
          <w:marLeft w:val="0"/>
          <w:marRight w:val="0"/>
          <w:marTop w:val="0"/>
          <w:marBottom w:val="0"/>
          <w:divBdr>
            <w:top w:val="none" w:sz="0" w:space="0" w:color="auto"/>
            <w:left w:val="none" w:sz="0" w:space="0" w:color="auto"/>
            <w:bottom w:val="none" w:sz="0" w:space="0" w:color="auto"/>
            <w:right w:val="none" w:sz="0" w:space="0" w:color="auto"/>
          </w:divBdr>
          <w:divsChild>
            <w:div w:id="2012295790">
              <w:marLeft w:val="0"/>
              <w:marRight w:val="0"/>
              <w:marTop w:val="0"/>
              <w:marBottom w:val="0"/>
              <w:divBdr>
                <w:top w:val="none" w:sz="0" w:space="0" w:color="auto"/>
                <w:left w:val="none" w:sz="0" w:space="0" w:color="auto"/>
                <w:bottom w:val="none" w:sz="0" w:space="0" w:color="auto"/>
                <w:right w:val="none" w:sz="0" w:space="0" w:color="auto"/>
              </w:divBdr>
            </w:div>
          </w:divsChild>
        </w:div>
        <w:div w:id="826938792">
          <w:marLeft w:val="0"/>
          <w:marRight w:val="0"/>
          <w:marTop w:val="0"/>
          <w:marBottom w:val="0"/>
          <w:divBdr>
            <w:top w:val="none" w:sz="0" w:space="0" w:color="auto"/>
            <w:left w:val="none" w:sz="0" w:space="0" w:color="auto"/>
            <w:bottom w:val="none" w:sz="0" w:space="0" w:color="auto"/>
            <w:right w:val="none" w:sz="0" w:space="0" w:color="auto"/>
          </w:divBdr>
          <w:divsChild>
            <w:div w:id="1512452684">
              <w:marLeft w:val="0"/>
              <w:marRight w:val="0"/>
              <w:marTop w:val="0"/>
              <w:marBottom w:val="0"/>
              <w:divBdr>
                <w:top w:val="none" w:sz="0" w:space="0" w:color="auto"/>
                <w:left w:val="none" w:sz="0" w:space="0" w:color="auto"/>
                <w:bottom w:val="none" w:sz="0" w:space="0" w:color="auto"/>
                <w:right w:val="none" w:sz="0" w:space="0" w:color="auto"/>
              </w:divBdr>
            </w:div>
          </w:divsChild>
        </w:div>
        <w:div w:id="840044367">
          <w:marLeft w:val="0"/>
          <w:marRight w:val="0"/>
          <w:marTop w:val="0"/>
          <w:marBottom w:val="0"/>
          <w:divBdr>
            <w:top w:val="none" w:sz="0" w:space="0" w:color="auto"/>
            <w:left w:val="none" w:sz="0" w:space="0" w:color="auto"/>
            <w:bottom w:val="none" w:sz="0" w:space="0" w:color="auto"/>
            <w:right w:val="none" w:sz="0" w:space="0" w:color="auto"/>
          </w:divBdr>
          <w:divsChild>
            <w:div w:id="1962223850">
              <w:marLeft w:val="0"/>
              <w:marRight w:val="0"/>
              <w:marTop w:val="0"/>
              <w:marBottom w:val="0"/>
              <w:divBdr>
                <w:top w:val="none" w:sz="0" w:space="0" w:color="auto"/>
                <w:left w:val="none" w:sz="0" w:space="0" w:color="auto"/>
                <w:bottom w:val="none" w:sz="0" w:space="0" w:color="auto"/>
                <w:right w:val="none" w:sz="0" w:space="0" w:color="auto"/>
              </w:divBdr>
            </w:div>
          </w:divsChild>
        </w:div>
        <w:div w:id="850729360">
          <w:marLeft w:val="0"/>
          <w:marRight w:val="0"/>
          <w:marTop w:val="0"/>
          <w:marBottom w:val="0"/>
          <w:divBdr>
            <w:top w:val="none" w:sz="0" w:space="0" w:color="auto"/>
            <w:left w:val="none" w:sz="0" w:space="0" w:color="auto"/>
            <w:bottom w:val="none" w:sz="0" w:space="0" w:color="auto"/>
            <w:right w:val="none" w:sz="0" w:space="0" w:color="auto"/>
          </w:divBdr>
          <w:divsChild>
            <w:div w:id="995111040">
              <w:marLeft w:val="0"/>
              <w:marRight w:val="0"/>
              <w:marTop w:val="0"/>
              <w:marBottom w:val="0"/>
              <w:divBdr>
                <w:top w:val="none" w:sz="0" w:space="0" w:color="auto"/>
                <w:left w:val="none" w:sz="0" w:space="0" w:color="auto"/>
                <w:bottom w:val="none" w:sz="0" w:space="0" w:color="auto"/>
                <w:right w:val="none" w:sz="0" w:space="0" w:color="auto"/>
              </w:divBdr>
            </w:div>
          </w:divsChild>
        </w:div>
        <w:div w:id="869729016">
          <w:marLeft w:val="0"/>
          <w:marRight w:val="0"/>
          <w:marTop w:val="0"/>
          <w:marBottom w:val="0"/>
          <w:divBdr>
            <w:top w:val="none" w:sz="0" w:space="0" w:color="auto"/>
            <w:left w:val="none" w:sz="0" w:space="0" w:color="auto"/>
            <w:bottom w:val="none" w:sz="0" w:space="0" w:color="auto"/>
            <w:right w:val="none" w:sz="0" w:space="0" w:color="auto"/>
          </w:divBdr>
          <w:divsChild>
            <w:div w:id="906259194">
              <w:marLeft w:val="0"/>
              <w:marRight w:val="0"/>
              <w:marTop w:val="0"/>
              <w:marBottom w:val="0"/>
              <w:divBdr>
                <w:top w:val="none" w:sz="0" w:space="0" w:color="auto"/>
                <w:left w:val="none" w:sz="0" w:space="0" w:color="auto"/>
                <w:bottom w:val="none" w:sz="0" w:space="0" w:color="auto"/>
                <w:right w:val="none" w:sz="0" w:space="0" w:color="auto"/>
              </w:divBdr>
            </w:div>
          </w:divsChild>
        </w:div>
        <w:div w:id="883323952">
          <w:marLeft w:val="0"/>
          <w:marRight w:val="0"/>
          <w:marTop w:val="0"/>
          <w:marBottom w:val="0"/>
          <w:divBdr>
            <w:top w:val="none" w:sz="0" w:space="0" w:color="auto"/>
            <w:left w:val="none" w:sz="0" w:space="0" w:color="auto"/>
            <w:bottom w:val="none" w:sz="0" w:space="0" w:color="auto"/>
            <w:right w:val="none" w:sz="0" w:space="0" w:color="auto"/>
          </w:divBdr>
          <w:divsChild>
            <w:div w:id="1150948348">
              <w:marLeft w:val="0"/>
              <w:marRight w:val="0"/>
              <w:marTop w:val="0"/>
              <w:marBottom w:val="0"/>
              <w:divBdr>
                <w:top w:val="none" w:sz="0" w:space="0" w:color="auto"/>
                <w:left w:val="none" w:sz="0" w:space="0" w:color="auto"/>
                <w:bottom w:val="none" w:sz="0" w:space="0" w:color="auto"/>
                <w:right w:val="none" w:sz="0" w:space="0" w:color="auto"/>
              </w:divBdr>
            </w:div>
          </w:divsChild>
        </w:div>
        <w:div w:id="915481701">
          <w:marLeft w:val="0"/>
          <w:marRight w:val="0"/>
          <w:marTop w:val="0"/>
          <w:marBottom w:val="0"/>
          <w:divBdr>
            <w:top w:val="none" w:sz="0" w:space="0" w:color="auto"/>
            <w:left w:val="none" w:sz="0" w:space="0" w:color="auto"/>
            <w:bottom w:val="none" w:sz="0" w:space="0" w:color="auto"/>
            <w:right w:val="none" w:sz="0" w:space="0" w:color="auto"/>
          </w:divBdr>
          <w:divsChild>
            <w:div w:id="1043286943">
              <w:marLeft w:val="0"/>
              <w:marRight w:val="0"/>
              <w:marTop w:val="0"/>
              <w:marBottom w:val="0"/>
              <w:divBdr>
                <w:top w:val="none" w:sz="0" w:space="0" w:color="auto"/>
                <w:left w:val="none" w:sz="0" w:space="0" w:color="auto"/>
                <w:bottom w:val="none" w:sz="0" w:space="0" w:color="auto"/>
                <w:right w:val="none" w:sz="0" w:space="0" w:color="auto"/>
              </w:divBdr>
            </w:div>
          </w:divsChild>
        </w:div>
        <w:div w:id="953364204">
          <w:marLeft w:val="0"/>
          <w:marRight w:val="0"/>
          <w:marTop w:val="0"/>
          <w:marBottom w:val="0"/>
          <w:divBdr>
            <w:top w:val="none" w:sz="0" w:space="0" w:color="auto"/>
            <w:left w:val="none" w:sz="0" w:space="0" w:color="auto"/>
            <w:bottom w:val="none" w:sz="0" w:space="0" w:color="auto"/>
            <w:right w:val="none" w:sz="0" w:space="0" w:color="auto"/>
          </w:divBdr>
          <w:divsChild>
            <w:div w:id="1863931935">
              <w:marLeft w:val="0"/>
              <w:marRight w:val="0"/>
              <w:marTop w:val="0"/>
              <w:marBottom w:val="0"/>
              <w:divBdr>
                <w:top w:val="none" w:sz="0" w:space="0" w:color="auto"/>
                <w:left w:val="none" w:sz="0" w:space="0" w:color="auto"/>
                <w:bottom w:val="none" w:sz="0" w:space="0" w:color="auto"/>
                <w:right w:val="none" w:sz="0" w:space="0" w:color="auto"/>
              </w:divBdr>
            </w:div>
          </w:divsChild>
        </w:div>
        <w:div w:id="969435112">
          <w:marLeft w:val="0"/>
          <w:marRight w:val="0"/>
          <w:marTop w:val="0"/>
          <w:marBottom w:val="0"/>
          <w:divBdr>
            <w:top w:val="none" w:sz="0" w:space="0" w:color="auto"/>
            <w:left w:val="none" w:sz="0" w:space="0" w:color="auto"/>
            <w:bottom w:val="none" w:sz="0" w:space="0" w:color="auto"/>
            <w:right w:val="none" w:sz="0" w:space="0" w:color="auto"/>
          </w:divBdr>
          <w:divsChild>
            <w:div w:id="1175876994">
              <w:marLeft w:val="0"/>
              <w:marRight w:val="0"/>
              <w:marTop w:val="0"/>
              <w:marBottom w:val="0"/>
              <w:divBdr>
                <w:top w:val="none" w:sz="0" w:space="0" w:color="auto"/>
                <w:left w:val="none" w:sz="0" w:space="0" w:color="auto"/>
                <w:bottom w:val="none" w:sz="0" w:space="0" w:color="auto"/>
                <w:right w:val="none" w:sz="0" w:space="0" w:color="auto"/>
              </w:divBdr>
            </w:div>
          </w:divsChild>
        </w:div>
        <w:div w:id="986978181">
          <w:marLeft w:val="0"/>
          <w:marRight w:val="0"/>
          <w:marTop w:val="0"/>
          <w:marBottom w:val="0"/>
          <w:divBdr>
            <w:top w:val="none" w:sz="0" w:space="0" w:color="auto"/>
            <w:left w:val="none" w:sz="0" w:space="0" w:color="auto"/>
            <w:bottom w:val="none" w:sz="0" w:space="0" w:color="auto"/>
            <w:right w:val="none" w:sz="0" w:space="0" w:color="auto"/>
          </w:divBdr>
          <w:divsChild>
            <w:div w:id="2062707357">
              <w:marLeft w:val="0"/>
              <w:marRight w:val="0"/>
              <w:marTop w:val="0"/>
              <w:marBottom w:val="0"/>
              <w:divBdr>
                <w:top w:val="none" w:sz="0" w:space="0" w:color="auto"/>
                <w:left w:val="none" w:sz="0" w:space="0" w:color="auto"/>
                <w:bottom w:val="none" w:sz="0" w:space="0" w:color="auto"/>
                <w:right w:val="none" w:sz="0" w:space="0" w:color="auto"/>
              </w:divBdr>
            </w:div>
          </w:divsChild>
        </w:div>
        <w:div w:id="1049111068">
          <w:marLeft w:val="0"/>
          <w:marRight w:val="0"/>
          <w:marTop w:val="0"/>
          <w:marBottom w:val="0"/>
          <w:divBdr>
            <w:top w:val="none" w:sz="0" w:space="0" w:color="auto"/>
            <w:left w:val="none" w:sz="0" w:space="0" w:color="auto"/>
            <w:bottom w:val="none" w:sz="0" w:space="0" w:color="auto"/>
            <w:right w:val="none" w:sz="0" w:space="0" w:color="auto"/>
          </w:divBdr>
          <w:divsChild>
            <w:div w:id="1426337590">
              <w:marLeft w:val="0"/>
              <w:marRight w:val="0"/>
              <w:marTop w:val="0"/>
              <w:marBottom w:val="0"/>
              <w:divBdr>
                <w:top w:val="none" w:sz="0" w:space="0" w:color="auto"/>
                <w:left w:val="none" w:sz="0" w:space="0" w:color="auto"/>
                <w:bottom w:val="none" w:sz="0" w:space="0" w:color="auto"/>
                <w:right w:val="none" w:sz="0" w:space="0" w:color="auto"/>
              </w:divBdr>
            </w:div>
          </w:divsChild>
        </w:div>
        <w:div w:id="1051921023">
          <w:marLeft w:val="0"/>
          <w:marRight w:val="0"/>
          <w:marTop w:val="0"/>
          <w:marBottom w:val="0"/>
          <w:divBdr>
            <w:top w:val="none" w:sz="0" w:space="0" w:color="auto"/>
            <w:left w:val="none" w:sz="0" w:space="0" w:color="auto"/>
            <w:bottom w:val="none" w:sz="0" w:space="0" w:color="auto"/>
            <w:right w:val="none" w:sz="0" w:space="0" w:color="auto"/>
          </w:divBdr>
          <w:divsChild>
            <w:div w:id="1802965789">
              <w:marLeft w:val="0"/>
              <w:marRight w:val="0"/>
              <w:marTop w:val="0"/>
              <w:marBottom w:val="0"/>
              <w:divBdr>
                <w:top w:val="none" w:sz="0" w:space="0" w:color="auto"/>
                <w:left w:val="none" w:sz="0" w:space="0" w:color="auto"/>
                <w:bottom w:val="none" w:sz="0" w:space="0" w:color="auto"/>
                <w:right w:val="none" w:sz="0" w:space="0" w:color="auto"/>
              </w:divBdr>
            </w:div>
            <w:div w:id="1916352505">
              <w:marLeft w:val="0"/>
              <w:marRight w:val="0"/>
              <w:marTop w:val="0"/>
              <w:marBottom w:val="0"/>
              <w:divBdr>
                <w:top w:val="none" w:sz="0" w:space="0" w:color="auto"/>
                <w:left w:val="none" w:sz="0" w:space="0" w:color="auto"/>
                <w:bottom w:val="none" w:sz="0" w:space="0" w:color="auto"/>
                <w:right w:val="none" w:sz="0" w:space="0" w:color="auto"/>
              </w:divBdr>
            </w:div>
          </w:divsChild>
        </w:div>
        <w:div w:id="1053500637">
          <w:marLeft w:val="0"/>
          <w:marRight w:val="0"/>
          <w:marTop w:val="0"/>
          <w:marBottom w:val="0"/>
          <w:divBdr>
            <w:top w:val="none" w:sz="0" w:space="0" w:color="auto"/>
            <w:left w:val="none" w:sz="0" w:space="0" w:color="auto"/>
            <w:bottom w:val="none" w:sz="0" w:space="0" w:color="auto"/>
            <w:right w:val="none" w:sz="0" w:space="0" w:color="auto"/>
          </w:divBdr>
          <w:divsChild>
            <w:div w:id="1723287388">
              <w:marLeft w:val="0"/>
              <w:marRight w:val="0"/>
              <w:marTop w:val="0"/>
              <w:marBottom w:val="0"/>
              <w:divBdr>
                <w:top w:val="none" w:sz="0" w:space="0" w:color="auto"/>
                <w:left w:val="none" w:sz="0" w:space="0" w:color="auto"/>
                <w:bottom w:val="none" w:sz="0" w:space="0" w:color="auto"/>
                <w:right w:val="none" w:sz="0" w:space="0" w:color="auto"/>
              </w:divBdr>
            </w:div>
          </w:divsChild>
        </w:div>
        <w:div w:id="1106458219">
          <w:marLeft w:val="0"/>
          <w:marRight w:val="0"/>
          <w:marTop w:val="0"/>
          <w:marBottom w:val="0"/>
          <w:divBdr>
            <w:top w:val="none" w:sz="0" w:space="0" w:color="auto"/>
            <w:left w:val="none" w:sz="0" w:space="0" w:color="auto"/>
            <w:bottom w:val="none" w:sz="0" w:space="0" w:color="auto"/>
            <w:right w:val="none" w:sz="0" w:space="0" w:color="auto"/>
          </w:divBdr>
          <w:divsChild>
            <w:div w:id="1540628948">
              <w:marLeft w:val="0"/>
              <w:marRight w:val="0"/>
              <w:marTop w:val="0"/>
              <w:marBottom w:val="0"/>
              <w:divBdr>
                <w:top w:val="none" w:sz="0" w:space="0" w:color="auto"/>
                <w:left w:val="none" w:sz="0" w:space="0" w:color="auto"/>
                <w:bottom w:val="none" w:sz="0" w:space="0" w:color="auto"/>
                <w:right w:val="none" w:sz="0" w:space="0" w:color="auto"/>
              </w:divBdr>
            </w:div>
          </w:divsChild>
        </w:div>
        <w:div w:id="1117405042">
          <w:marLeft w:val="0"/>
          <w:marRight w:val="0"/>
          <w:marTop w:val="0"/>
          <w:marBottom w:val="0"/>
          <w:divBdr>
            <w:top w:val="none" w:sz="0" w:space="0" w:color="auto"/>
            <w:left w:val="none" w:sz="0" w:space="0" w:color="auto"/>
            <w:bottom w:val="none" w:sz="0" w:space="0" w:color="auto"/>
            <w:right w:val="none" w:sz="0" w:space="0" w:color="auto"/>
          </w:divBdr>
          <w:divsChild>
            <w:div w:id="1418286531">
              <w:marLeft w:val="0"/>
              <w:marRight w:val="0"/>
              <w:marTop w:val="0"/>
              <w:marBottom w:val="0"/>
              <w:divBdr>
                <w:top w:val="none" w:sz="0" w:space="0" w:color="auto"/>
                <w:left w:val="none" w:sz="0" w:space="0" w:color="auto"/>
                <w:bottom w:val="none" w:sz="0" w:space="0" w:color="auto"/>
                <w:right w:val="none" w:sz="0" w:space="0" w:color="auto"/>
              </w:divBdr>
            </w:div>
          </w:divsChild>
        </w:div>
        <w:div w:id="1147161033">
          <w:marLeft w:val="0"/>
          <w:marRight w:val="0"/>
          <w:marTop w:val="0"/>
          <w:marBottom w:val="0"/>
          <w:divBdr>
            <w:top w:val="none" w:sz="0" w:space="0" w:color="auto"/>
            <w:left w:val="none" w:sz="0" w:space="0" w:color="auto"/>
            <w:bottom w:val="none" w:sz="0" w:space="0" w:color="auto"/>
            <w:right w:val="none" w:sz="0" w:space="0" w:color="auto"/>
          </w:divBdr>
          <w:divsChild>
            <w:div w:id="983319889">
              <w:marLeft w:val="0"/>
              <w:marRight w:val="0"/>
              <w:marTop w:val="0"/>
              <w:marBottom w:val="0"/>
              <w:divBdr>
                <w:top w:val="none" w:sz="0" w:space="0" w:color="auto"/>
                <w:left w:val="none" w:sz="0" w:space="0" w:color="auto"/>
                <w:bottom w:val="none" w:sz="0" w:space="0" w:color="auto"/>
                <w:right w:val="none" w:sz="0" w:space="0" w:color="auto"/>
              </w:divBdr>
            </w:div>
          </w:divsChild>
        </w:div>
        <w:div w:id="1195927971">
          <w:marLeft w:val="0"/>
          <w:marRight w:val="0"/>
          <w:marTop w:val="0"/>
          <w:marBottom w:val="0"/>
          <w:divBdr>
            <w:top w:val="none" w:sz="0" w:space="0" w:color="auto"/>
            <w:left w:val="none" w:sz="0" w:space="0" w:color="auto"/>
            <w:bottom w:val="none" w:sz="0" w:space="0" w:color="auto"/>
            <w:right w:val="none" w:sz="0" w:space="0" w:color="auto"/>
          </w:divBdr>
          <w:divsChild>
            <w:div w:id="1607270452">
              <w:marLeft w:val="0"/>
              <w:marRight w:val="0"/>
              <w:marTop w:val="0"/>
              <w:marBottom w:val="0"/>
              <w:divBdr>
                <w:top w:val="none" w:sz="0" w:space="0" w:color="auto"/>
                <w:left w:val="none" w:sz="0" w:space="0" w:color="auto"/>
                <w:bottom w:val="none" w:sz="0" w:space="0" w:color="auto"/>
                <w:right w:val="none" w:sz="0" w:space="0" w:color="auto"/>
              </w:divBdr>
            </w:div>
          </w:divsChild>
        </w:div>
        <w:div w:id="1222599696">
          <w:marLeft w:val="0"/>
          <w:marRight w:val="0"/>
          <w:marTop w:val="0"/>
          <w:marBottom w:val="0"/>
          <w:divBdr>
            <w:top w:val="none" w:sz="0" w:space="0" w:color="auto"/>
            <w:left w:val="none" w:sz="0" w:space="0" w:color="auto"/>
            <w:bottom w:val="none" w:sz="0" w:space="0" w:color="auto"/>
            <w:right w:val="none" w:sz="0" w:space="0" w:color="auto"/>
          </w:divBdr>
          <w:divsChild>
            <w:div w:id="941036130">
              <w:marLeft w:val="0"/>
              <w:marRight w:val="0"/>
              <w:marTop w:val="0"/>
              <w:marBottom w:val="0"/>
              <w:divBdr>
                <w:top w:val="none" w:sz="0" w:space="0" w:color="auto"/>
                <w:left w:val="none" w:sz="0" w:space="0" w:color="auto"/>
                <w:bottom w:val="none" w:sz="0" w:space="0" w:color="auto"/>
                <w:right w:val="none" w:sz="0" w:space="0" w:color="auto"/>
              </w:divBdr>
            </w:div>
          </w:divsChild>
        </w:div>
        <w:div w:id="1226334721">
          <w:marLeft w:val="0"/>
          <w:marRight w:val="0"/>
          <w:marTop w:val="0"/>
          <w:marBottom w:val="0"/>
          <w:divBdr>
            <w:top w:val="none" w:sz="0" w:space="0" w:color="auto"/>
            <w:left w:val="none" w:sz="0" w:space="0" w:color="auto"/>
            <w:bottom w:val="none" w:sz="0" w:space="0" w:color="auto"/>
            <w:right w:val="none" w:sz="0" w:space="0" w:color="auto"/>
          </w:divBdr>
          <w:divsChild>
            <w:div w:id="665742502">
              <w:marLeft w:val="0"/>
              <w:marRight w:val="0"/>
              <w:marTop w:val="0"/>
              <w:marBottom w:val="0"/>
              <w:divBdr>
                <w:top w:val="none" w:sz="0" w:space="0" w:color="auto"/>
                <w:left w:val="none" w:sz="0" w:space="0" w:color="auto"/>
                <w:bottom w:val="none" w:sz="0" w:space="0" w:color="auto"/>
                <w:right w:val="none" w:sz="0" w:space="0" w:color="auto"/>
              </w:divBdr>
            </w:div>
          </w:divsChild>
        </w:div>
        <w:div w:id="1353070809">
          <w:marLeft w:val="0"/>
          <w:marRight w:val="0"/>
          <w:marTop w:val="0"/>
          <w:marBottom w:val="0"/>
          <w:divBdr>
            <w:top w:val="none" w:sz="0" w:space="0" w:color="auto"/>
            <w:left w:val="none" w:sz="0" w:space="0" w:color="auto"/>
            <w:bottom w:val="none" w:sz="0" w:space="0" w:color="auto"/>
            <w:right w:val="none" w:sz="0" w:space="0" w:color="auto"/>
          </w:divBdr>
          <w:divsChild>
            <w:div w:id="1230461193">
              <w:marLeft w:val="0"/>
              <w:marRight w:val="0"/>
              <w:marTop w:val="0"/>
              <w:marBottom w:val="0"/>
              <w:divBdr>
                <w:top w:val="none" w:sz="0" w:space="0" w:color="auto"/>
                <w:left w:val="none" w:sz="0" w:space="0" w:color="auto"/>
                <w:bottom w:val="none" w:sz="0" w:space="0" w:color="auto"/>
                <w:right w:val="none" w:sz="0" w:space="0" w:color="auto"/>
              </w:divBdr>
            </w:div>
          </w:divsChild>
        </w:div>
        <w:div w:id="1388411554">
          <w:marLeft w:val="0"/>
          <w:marRight w:val="0"/>
          <w:marTop w:val="0"/>
          <w:marBottom w:val="0"/>
          <w:divBdr>
            <w:top w:val="none" w:sz="0" w:space="0" w:color="auto"/>
            <w:left w:val="none" w:sz="0" w:space="0" w:color="auto"/>
            <w:bottom w:val="none" w:sz="0" w:space="0" w:color="auto"/>
            <w:right w:val="none" w:sz="0" w:space="0" w:color="auto"/>
          </w:divBdr>
          <w:divsChild>
            <w:div w:id="235282189">
              <w:marLeft w:val="0"/>
              <w:marRight w:val="0"/>
              <w:marTop w:val="0"/>
              <w:marBottom w:val="0"/>
              <w:divBdr>
                <w:top w:val="none" w:sz="0" w:space="0" w:color="auto"/>
                <w:left w:val="none" w:sz="0" w:space="0" w:color="auto"/>
                <w:bottom w:val="none" w:sz="0" w:space="0" w:color="auto"/>
                <w:right w:val="none" w:sz="0" w:space="0" w:color="auto"/>
              </w:divBdr>
            </w:div>
          </w:divsChild>
        </w:div>
        <w:div w:id="1513569866">
          <w:marLeft w:val="0"/>
          <w:marRight w:val="0"/>
          <w:marTop w:val="0"/>
          <w:marBottom w:val="0"/>
          <w:divBdr>
            <w:top w:val="none" w:sz="0" w:space="0" w:color="auto"/>
            <w:left w:val="none" w:sz="0" w:space="0" w:color="auto"/>
            <w:bottom w:val="none" w:sz="0" w:space="0" w:color="auto"/>
            <w:right w:val="none" w:sz="0" w:space="0" w:color="auto"/>
          </w:divBdr>
          <w:divsChild>
            <w:div w:id="1614629202">
              <w:marLeft w:val="0"/>
              <w:marRight w:val="0"/>
              <w:marTop w:val="0"/>
              <w:marBottom w:val="0"/>
              <w:divBdr>
                <w:top w:val="none" w:sz="0" w:space="0" w:color="auto"/>
                <w:left w:val="none" w:sz="0" w:space="0" w:color="auto"/>
                <w:bottom w:val="none" w:sz="0" w:space="0" w:color="auto"/>
                <w:right w:val="none" w:sz="0" w:space="0" w:color="auto"/>
              </w:divBdr>
            </w:div>
          </w:divsChild>
        </w:div>
        <w:div w:id="1658652191">
          <w:marLeft w:val="0"/>
          <w:marRight w:val="0"/>
          <w:marTop w:val="0"/>
          <w:marBottom w:val="0"/>
          <w:divBdr>
            <w:top w:val="none" w:sz="0" w:space="0" w:color="auto"/>
            <w:left w:val="none" w:sz="0" w:space="0" w:color="auto"/>
            <w:bottom w:val="none" w:sz="0" w:space="0" w:color="auto"/>
            <w:right w:val="none" w:sz="0" w:space="0" w:color="auto"/>
          </w:divBdr>
          <w:divsChild>
            <w:div w:id="1861968135">
              <w:marLeft w:val="0"/>
              <w:marRight w:val="0"/>
              <w:marTop w:val="0"/>
              <w:marBottom w:val="0"/>
              <w:divBdr>
                <w:top w:val="none" w:sz="0" w:space="0" w:color="auto"/>
                <w:left w:val="none" w:sz="0" w:space="0" w:color="auto"/>
                <w:bottom w:val="none" w:sz="0" w:space="0" w:color="auto"/>
                <w:right w:val="none" w:sz="0" w:space="0" w:color="auto"/>
              </w:divBdr>
            </w:div>
          </w:divsChild>
        </w:div>
        <w:div w:id="1671985471">
          <w:marLeft w:val="0"/>
          <w:marRight w:val="0"/>
          <w:marTop w:val="0"/>
          <w:marBottom w:val="0"/>
          <w:divBdr>
            <w:top w:val="none" w:sz="0" w:space="0" w:color="auto"/>
            <w:left w:val="none" w:sz="0" w:space="0" w:color="auto"/>
            <w:bottom w:val="none" w:sz="0" w:space="0" w:color="auto"/>
            <w:right w:val="none" w:sz="0" w:space="0" w:color="auto"/>
          </w:divBdr>
          <w:divsChild>
            <w:div w:id="1331984625">
              <w:marLeft w:val="0"/>
              <w:marRight w:val="0"/>
              <w:marTop w:val="0"/>
              <w:marBottom w:val="0"/>
              <w:divBdr>
                <w:top w:val="none" w:sz="0" w:space="0" w:color="auto"/>
                <w:left w:val="none" w:sz="0" w:space="0" w:color="auto"/>
                <w:bottom w:val="none" w:sz="0" w:space="0" w:color="auto"/>
                <w:right w:val="none" w:sz="0" w:space="0" w:color="auto"/>
              </w:divBdr>
            </w:div>
          </w:divsChild>
        </w:div>
        <w:div w:id="1689675309">
          <w:marLeft w:val="0"/>
          <w:marRight w:val="0"/>
          <w:marTop w:val="0"/>
          <w:marBottom w:val="0"/>
          <w:divBdr>
            <w:top w:val="none" w:sz="0" w:space="0" w:color="auto"/>
            <w:left w:val="none" w:sz="0" w:space="0" w:color="auto"/>
            <w:bottom w:val="none" w:sz="0" w:space="0" w:color="auto"/>
            <w:right w:val="none" w:sz="0" w:space="0" w:color="auto"/>
          </w:divBdr>
          <w:divsChild>
            <w:div w:id="1245263848">
              <w:marLeft w:val="0"/>
              <w:marRight w:val="0"/>
              <w:marTop w:val="0"/>
              <w:marBottom w:val="0"/>
              <w:divBdr>
                <w:top w:val="none" w:sz="0" w:space="0" w:color="auto"/>
                <w:left w:val="none" w:sz="0" w:space="0" w:color="auto"/>
                <w:bottom w:val="none" w:sz="0" w:space="0" w:color="auto"/>
                <w:right w:val="none" w:sz="0" w:space="0" w:color="auto"/>
              </w:divBdr>
            </w:div>
          </w:divsChild>
        </w:div>
        <w:div w:id="1696033487">
          <w:marLeft w:val="0"/>
          <w:marRight w:val="0"/>
          <w:marTop w:val="0"/>
          <w:marBottom w:val="0"/>
          <w:divBdr>
            <w:top w:val="none" w:sz="0" w:space="0" w:color="auto"/>
            <w:left w:val="none" w:sz="0" w:space="0" w:color="auto"/>
            <w:bottom w:val="none" w:sz="0" w:space="0" w:color="auto"/>
            <w:right w:val="none" w:sz="0" w:space="0" w:color="auto"/>
          </w:divBdr>
          <w:divsChild>
            <w:div w:id="1059012058">
              <w:marLeft w:val="0"/>
              <w:marRight w:val="0"/>
              <w:marTop w:val="0"/>
              <w:marBottom w:val="0"/>
              <w:divBdr>
                <w:top w:val="none" w:sz="0" w:space="0" w:color="auto"/>
                <w:left w:val="none" w:sz="0" w:space="0" w:color="auto"/>
                <w:bottom w:val="none" w:sz="0" w:space="0" w:color="auto"/>
                <w:right w:val="none" w:sz="0" w:space="0" w:color="auto"/>
              </w:divBdr>
            </w:div>
          </w:divsChild>
        </w:div>
        <w:div w:id="1712880235">
          <w:marLeft w:val="0"/>
          <w:marRight w:val="0"/>
          <w:marTop w:val="0"/>
          <w:marBottom w:val="0"/>
          <w:divBdr>
            <w:top w:val="none" w:sz="0" w:space="0" w:color="auto"/>
            <w:left w:val="none" w:sz="0" w:space="0" w:color="auto"/>
            <w:bottom w:val="none" w:sz="0" w:space="0" w:color="auto"/>
            <w:right w:val="none" w:sz="0" w:space="0" w:color="auto"/>
          </w:divBdr>
          <w:divsChild>
            <w:div w:id="1744796340">
              <w:marLeft w:val="0"/>
              <w:marRight w:val="0"/>
              <w:marTop w:val="0"/>
              <w:marBottom w:val="0"/>
              <w:divBdr>
                <w:top w:val="none" w:sz="0" w:space="0" w:color="auto"/>
                <w:left w:val="none" w:sz="0" w:space="0" w:color="auto"/>
                <w:bottom w:val="none" w:sz="0" w:space="0" w:color="auto"/>
                <w:right w:val="none" w:sz="0" w:space="0" w:color="auto"/>
              </w:divBdr>
            </w:div>
          </w:divsChild>
        </w:div>
        <w:div w:id="1842353223">
          <w:marLeft w:val="0"/>
          <w:marRight w:val="0"/>
          <w:marTop w:val="0"/>
          <w:marBottom w:val="0"/>
          <w:divBdr>
            <w:top w:val="none" w:sz="0" w:space="0" w:color="auto"/>
            <w:left w:val="none" w:sz="0" w:space="0" w:color="auto"/>
            <w:bottom w:val="none" w:sz="0" w:space="0" w:color="auto"/>
            <w:right w:val="none" w:sz="0" w:space="0" w:color="auto"/>
          </w:divBdr>
          <w:divsChild>
            <w:div w:id="847913382">
              <w:marLeft w:val="0"/>
              <w:marRight w:val="0"/>
              <w:marTop w:val="0"/>
              <w:marBottom w:val="0"/>
              <w:divBdr>
                <w:top w:val="none" w:sz="0" w:space="0" w:color="auto"/>
                <w:left w:val="none" w:sz="0" w:space="0" w:color="auto"/>
                <w:bottom w:val="none" w:sz="0" w:space="0" w:color="auto"/>
                <w:right w:val="none" w:sz="0" w:space="0" w:color="auto"/>
              </w:divBdr>
            </w:div>
          </w:divsChild>
        </w:div>
        <w:div w:id="1901165027">
          <w:marLeft w:val="0"/>
          <w:marRight w:val="0"/>
          <w:marTop w:val="0"/>
          <w:marBottom w:val="0"/>
          <w:divBdr>
            <w:top w:val="none" w:sz="0" w:space="0" w:color="auto"/>
            <w:left w:val="none" w:sz="0" w:space="0" w:color="auto"/>
            <w:bottom w:val="none" w:sz="0" w:space="0" w:color="auto"/>
            <w:right w:val="none" w:sz="0" w:space="0" w:color="auto"/>
          </w:divBdr>
          <w:divsChild>
            <w:div w:id="1978341554">
              <w:marLeft w:val="0"/>
              <w:marRight w:val="0"/>
              <w:marTop w:val="0"/>
              <w:marBottom w:val="0"/>
              <w:divBdr>
                <w:top w:val="none" w:sz="0" w:space="0" w:color="auto"/>
                <w:left w:val="none" w:sz="0" w:space="0" w:color="auto"/>
                <w:bottom w:val="none" w:sz="0" w:space="0" w:color="auto"/>
                <w:right w:val="none" w:sz="0" w:space="0" w:color="auto"/>
              </w:divBdr>
            </w:div>
          </w:divsChild>
        </w:div>
        <w:div w:id="1919944083">
          <w:marLeft w:val="0"/>
          <w:marRight w:val="0"/>
          <w:marTop w:val="0"/>
          <w:marBottom w:val="0"/>
          <w:divBdr>
            <w:top w:val="none" w:sz="0" w:space="0" w:color="auto"/>
            <w:left w:val="none" w:sz="0" w:space="0" w:color="auto"/>
            <w:bottom w:val="none" w:sz="0" w:space="0" w:color="auto"/>
            <w:right w:val="none" w:sz="0" w:space="0" w:color="auto"/>
          </w:divBdr>
          <w:divsChild>
            <w:div w:id="557782354">
              <w:marLeft w:val="0"/>
              <w:marRight w:val="0"/>
              <w:marTop w:val="0"/>
              <w:marBottom w:val="0"/>
              <w:divBdr>
                <w:top w:val="none" w:sz="0" w:space="0" w:color="auto"/>
                <w:left w:val="none" w:sz="0" w:space="0" w:color="auto"/>
                <w:bottom w:val="none" w:sz="0" w:space="0" w:color="auto"/>
                <w:right w:val="none" w:sz="0" w:space="0" w:color="auto"/>
              </w:divBdr>
            </w:div>
          </w:divsChild>
        </w:div>
        <w:div w:id="1975022728">
          <w:marLeft w:val="0"/>
          <w:marRight w:val="0"/>
          <w:marTop w:val="0"/>
          <w:marBottom w:val="0"/>
          <w:divBdr>
            <w:top w:val="none" w:sz="0" w:space="0" w:color="auto"/>
            <w:left w:val="none" w:sz="0" w:space="0" w:color="auto"/>
            <w:bottom w:val="none" w:sz="0" w:space="0" w:color="auto"/>
            <w:right w:val="none" w:sz="0" w:space="0" w:color="auto"/>
          </w:divBdr>
          <w:divsChild>
            <w:div w:id="942957568">
              <w:marLeft w:val="0"/>
              <w:marRight w:val="0"/>
              <w:marTop w:val="0"/>
              <w:marBottom w:val="0"/>
              <w:divBdr>
                <w:top w:val="none" w:sz="0" w:space="0" w:color="auto"/>
                <w:left w:val="none" w:sz="0" w:space="0" w:color="auto"/>
                <w:bottom w:val="none" w:sz="0" w:space="0" w:color="auto"/>
                <w:right w:val="none" w:sz="0" w:space="0" w:color="auto"/>
              </w:divBdr>
            </w:div>
          </w:divsChild>
        </w:div>
        <w:div w:id="2035573917">
          <w:marLeft w:val="0"/>
          <w:marRight w:val="0"/>
          <w:marTop w:val="0"/>
          <w:marBottom w:val="0"/>
          <w:divBdr>
            <w:top w:val="none" w:sz="0" w:space="0" w:color="auto"/>
            <w:left w:val="none" w:sz="0" w:space="0" w:color="auto"/>
            <w:bottom w:val="none" w:sz="0" w:space="0" w:color="auto"/>
            <w:right w:val="none" w:sz="0" w:space="0" w:color="auto"/>
          </w:divBdr>
          <w:divsChild>
            <w:div w:id="944536154">
              <w:marLeft w:val="0"/>
              <w:marRight w:val="0"/>
              <w:marTop w:val="0"/>
              <w:marBottom w:val="0"/>
              <w:divBdr>
                <w:top w:val="none" w:sz="0" w:space="0" w:color="auto"/>
                <w:left w:val="none" w:sz="0" w:space="0" w:color="auto"/>
                <w:bottom w:val="none" w:sz="0" w:space="0" w:color="auto"/>
                <w:right w:val="none" w:sz="0" w:space="0" w:color="auto"/>
              </w:divBdr>
            </w:div>
          </w:divsChild>
        </w:div>
        <w:div w:id="2046633583">
          <w:marLeft w:val="0"/>
          <w:marRight w:val="0"/>
          <w:marTop w:val="0"/>
          <w:marBottom w:val="0"/>
          <w:divBdr>
            <w:top w:val="none" w:sz="0" w:space="0" w:color="auto"/>
            <w:left w:val="none" w:sz="0" w:space="0" w:color="auto"/>
            <w:bottom w:val="none" w:sz="0" w:space="0" w:color="auto"/>
            <w:right w:val="none" w:sz="0" w:space="0" w:color="auto"/>
          </w:divBdr>
          <w:divsChild>
            <w:div w:id="1479883676">
              <w:marLeft w:val="0"/>
              <w:marRight w:val="0"/>
              <w:marTop w:val="0"/>
              <w:marBottom w:val="0"/>
              <w:divBdr>
                <w:top w:val="none" w:sz="0" w:space="0" w:color="auto"/>
                <w:left w:val="none" w:sz="0" w:space="0" w:color="auto"/>
                <w:bottom w:val="none" w:sz="0" w:space="0" w:color="auto"/>
                <w:right w:val="none" w:sz="0" w:space="0" w:color="auto"/>
              </w:divBdr>
            </w:div>
          </w:divsChild>
        </w:div>
        <w:div w:id="2057047128">
          <w:marLeft w:val="0"/>
          <w:marRight w:val="0"/>
          <w:marTop w:val="0"/>
          <w:marBottom w:val="0"/>
          <w:divBdr>
            <w:top w:val="none" w:sz="0" w:space="0" w:color="auto"/>
            <w:left w:val="none" w:sz="0" w:space="0" w:color="auto"/>
            <w:bottom w:val="none" w:sz="0" w:space="0" w:color="auto"/>
            <w:right w:val="none" w:sz="0" w:space="0" w:color="auto"/>
          </w:divBdr>
          <w:divsChild>
            <w:div w:id="1482306453">
              <w:marLeft w:val="0"/>
              <w:marRight w:val="0"/>
              <w:marTop w:val="0"/>
              <w:marBottom w:val="0"/>
              <w:divBdr>
                <w:top w:val="none" w:sz="0" w:space="0" w:color="auto"/>
                <w:left w:val="none" w:sz="0" w:space="0" w:color="auto"/>
                <w:bottom w:val="none" w:sz="0" w:space="0" w:color="auto"/>
                <w:right w:val="none" w:sz="0" w:space="0" w:color="auto"/>
              </w:divBdr>
            </w:div>
          </w:divsChild>
        </w:div>
        <w:div w:id="2079984154">
          <w:marLeft w:val="0"/>
          <w:marRight w:val="0"/>
          <w:marTop w:val="0"/>
          <w:marBottom w:val="0"/>
          <w:divBdr>
            <w:top w:val="none" w:sz="0" w:space="0" w:color="auto"/>
            <w:left w:val="none" w:sz="0" w:space="0" w:color="auto"/>
            <w:bottom w:val="none" w:sz="0" w:space="0" w:color="auto"/>
            <w:right w:val="none" w:sz="0" w:space="0" w:color="auto"/>
          </w:divBdr>
          <w:divsChild>
            <w:div w:id="1692100522">
              <w:marLeft w:val="0"/>
              <w:marRight w:val="0"/>
              <w:marTop w:val="0"/>
              <w:marBottom w:val="0"/>
              <w:divBdr>
                <w:top w:val="none" w:sz="0" w:space="0" w:color="auto"/>
                <w:left w:val="none" w:sz="0" w:space="0" w:color="auto"/>
                <w:bottom w:val="none" w:sz="0" w:space="0" w:color="auto"/>
                <w:right w:val="none" w:sz="0" w:space="0" w:color="auto"/>
              </w:divBdr>
            </w:div>
          </w:divsChild>
        </w:div>
        <w:div w:id="2094426873">
          <w:marLeft w:val="0"/>
          <w:marRight w:val="0"/>
          <w:marTop w:val="0"/>
          <w:marBottom w:val="0"/>
          <w:divBdr>
            <w:top w:val="none" w:sz="0" w:space="0" w:color="auto"/>
            <w:left w:val="none" w:sz="0" w:space="0" w:color="auto"/>
            <w:bottom w:val="none" w:sz="0" w:space="0" w:color="auto"/>
            <w:right w:val="none" w:sz="0" w:space="0" w:color="auto"/>
          </w:divBdr>
          <w:divsChild>
            <w:div w:id="424115235">
              <w:marLeft w:val="0"/>
              <w:marRight w:val="0"/>
              <w:marTop w:val="0"/>
              <w:marBottom w:val="0"/>
              <w:divBdr>
                <w:top w:val="none" w:sz="0" w:space="0" w:color="auto"/>
                <w:left w:val="none" w:sz="0" w:space="0" w:color="auto"/>
                <w:bottom w:val="none" w:sz="0" w:space="0" w:color="auto"/>
                <w:right w:val="none" w:sz="0" w:space="0" w:color="auto"/>
              </w:divBdr>
            </w:div>
          </w:divsChild>
        </w:div>
        <w:div w:id="2121871433">
          <w:marLeft w:val="0"/>
          <w:marRight w:val="0"/>
          <w:marTop w:val="0"/>
          <w:marBottom w:val="0"/>
          <w:divBdr>
            <w:top w:val="none" w:sz="0" w:space="0" w:color="auto"/>
            <w:left w:val="none" w:sz="0" w:space="0" w:color="auto"/>
            <w:bottom w:val="none" w:sz="0" w:space="0" w:color="auto"/>
            <w:right w:val="none" w:sz="0" w:space="0" w:color="auto"/>
          </w:divBdr>
          <w:divsChild>
            <w:div w:id="1139153401">
              <w:marLeft w:val="0"/>
              <w:marRight w:val="0"/>
              <w:marTop w:val="0"/>
              <w:marBottom w:val="0"/>
              <w:divBdr>
                <w:top w:val="none" w:sz="0" w:space="0" w:color="auto"/>
                <w:left w:val="none" w:sz="0" w:space="0" w:color="auto"/>
                <w:bottom w:val="none" w:sz="0" w:space="0" w:color="auto"/>
                <w:right w:val="none" w:sz="0" w:space="0" w:color="auto"/>
              </w:divBdr>
            </w:div>
          </w:divsChild>
        </w:div>
        <w:div w:id="2133816120">
          <w:marLeft w:val="0"/>
          <w:marRight w:val="0"/>
          <w:marTop w:val="0"/>
          <w:marBottom w:val="0"/>
          <w:divBdr>
            <w:top w:val="none" w:sz="0" w:space="0" w:color="auto"/>
            <w:left w:val="none" w:sz="0" w:space="0" w:color="auto"/>
            <w:bottom w:val="none" w:sz="0" w:space="0" w:color="auto"/>
            <w:right w:val="none" w:sz="0" w:space="0" w:color="auto"/>
          </w:divBdr>
          <w:divsChild>
            <w:div w:id="23481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5800">
      <w:bodyDiv w:val="1"/>
      <w:marLeft w:val="0"/>
      <w:marRight w:val="0"/>
      <w:marTop w:val="0"/>
      <w:marBottom w:val="0"/>
      <w:divBdr>
        <w:top w:val="none" w:sz="0" w:space="0" w:color="auto"/>
        <w:left w:val="none" w:sz="0" w:space="0" w:color="auto"/>
        <w:bottom w:val="none" w:sz="0" w:space="0" w:color="auto"/>
        <w:right w:val="none" w:sz="0" w:space="0" w:color="auto"/>
      </w:divBdr>
    </w:div>
    <w:div w:id="74983480">
      <w:bodyDiv w:val="1"/>
      <w:marLeft w:val="0"/>
      <w:marRight w:val="0"/>
      <w:marTop w:val="0"/>
      <w:marBottom w:val="0"/>
      <w:divBdr>
        <w:top w:val="none" w:sz="0" w:space="0" w:color="auto"/>
        <w:left w:val="none" w:sz="0" w:space="0" w:color="auto"/>
        <w:bottom w:val="none" w:sz="0" w:space="0" w:color="auto"/>
        <w:right w:val="none" w:sz="0" w:space="0" w:color="auto"/>
      </w:divBdr>
      <w:divsChild>
        <w:div w:id="283116339">
          <w:marLeft w:val="0"/>
          <w:marRight w:val="0"/>
          <w:marTop w:val="0"/>
          <w:marBottom w:val="0"/>
          <w:divBdr>
            <w:top w:val="none" w:sz="0" w:space="0" w:color="auto"/>
            <w:left w:val="none" w:sz="0" w:space="0" w:color="auto"/>
            <w:bottom w:val="none" w:sz="0" w:space="0" w:color="auto"/>
            <w:right w:val="none" w:sz="0" w:space="0" w:color="auto"/>
          </w:divBdr>
        </w:div>
        <w:div w:id="1422144953">
          <w:marLeft w:val="0"/>
          <w:marRight w:val="0"/>
          <w:marTop w:val="0"/>
          <w:marBottom w:val="0"/>
          <w:divBdr>
            <w:top w:val="none" w:sz="0" w:space="0" w:color="auto"/>
            <w:left w:val="none" w:sz="0" w:space="0" w:color="auto"/>
            <w:bottom w:val="none" w:sz="0" w:space="0" w:color="auto"/>
            <w:right w:val="none" w:sz="0" w:space="0" w:color="auto"/>
          </w:divBdr>
        </w:div>
        <w:div w:id="1452433398">
          <w:marLeft w:val="0"/>
          <w:marRight w:val="0"/>
          <w:marTop w:val="0"/>
          <w:marBottom w:val="0"/>
          <w:divBdr>
            <w:top w:val="none" w:sz="0" w:space="0" w:color="auto"/>
            <w:left w:val="none" w:sz="0" w:space="0" w:color="auto"/>
            <w:bottom w:val="none" w:sz="0" w:space="0" w:color="auto"/>
            <w:right w:val="none" w:sz="0" w:space="0" w:color="auto"/>
          </w:divBdr>
        </w:div>
      </w:divsChild>
    </w:div>
    <w:div w:id="76875497">
      <w:bodyDiv w:val="1"/>
      <w:marLeft w:val="0"/>
      <w:marRight w:val="0"/>
      <w:marTop w:val="0"/>
      <w:marBottom w:val="0"/>
      <w:divBdr>
        <w:top w:val="none" w:sz="0" w:space="0" w:color="auto"/>
        <w:left w:val="none" w:sz="0" w:space="0" w:color="auto"/>
        <w:bottom w:val="none" w:sz="0" w:space="0" w:color="auto"/>
        <w:right w:val="none" w:sz="0" w:space="0" w:color="auto"/>
      </w:divBdr>
    </w:div>
    <w:div w:id="77605721">
      <w:bodyDiv w:val="1"/>
      <w:marLeft w:val="0"/>
      <w:marRight w:val="0"/>
      <w:marTop w:val="0"/>
      <w:marBottom w:val="0"/>
      <w:divBdr>
        <w:top w:val="none" w:sz="0" w:space="0" w:color="auto"/>
        <w:left w:val="none" w:sz="0" w:space="0" w:color="auto"/>
        <w:bottom w:val="none" w:sz="0" w:space="0" w:color="auto"/>
        <w:right w:val="none" w:sz="0" w:space="0" w:color="auto"/>
      </w:divBdr>
    </w:div>
    <w:div w:id="88164353">
      <w:bodyDiv w:val="1"/>
      <w:marLeft w:val="0"/>
      <w:marRight w:val="0"/>
      <w:marTop w:val="0"/>
      <w:marBottom w:val="0"/>
      <w:divBdr>
        <w:top w:val="none" w:sz="0" w:space="0" w:color="auto"/>
        <w:left w:val="none" w:sz="0" w:space="0" w:color="auto"/>
        <w:bottom w:val="none" w:sz="0" w:space="0" w:color="auto"/>
        <w:right w:val="none" w:sz="0" w:space="0" w:color="auto"/>
      </w:divBdr>
    </w:div>
    <w:div w:id="88280672">
      <w:bodyDiv w:val="1"/>
      <w:marLeft w:val="0"/>
      <w:marRight w:val="0"/>
      <w:marTop w:val="0"/>
      <w:marBottom w:val="0"/>
      <w:divBdr>
        <w:top w:val="none" w:sz="0" w:space="0" w:color="auto"/>
        <w:left w:val="none" w:sz="0" w:space="0" w:color="auto"/>
        <w:bottom w:val="none" w:sz="0" w:space="0" w:color="auto"/>
        <w:right w:val="none" w:sz="0" w:space="0" w:color="auto"/>
      </w:divBdr>
    </w:div>
    <w:div w:id="91358956">
      <w:bodyDiv w:val="1"/>
      <w:marLeft w:val="0"/>
      <w:marRight w:val="0"/>
      <w:marTop w:val="0"/>
      <w:marBottom w:val="0"/>
      <w:divBdr>
        <w:top w:val="none" w:sz="0" w:space="0" w:color="auto"/>
        <w:left w:val="none" w:sz="0" w:space="0" w:color="auto"/>
        <w:bottom w:val="none" w:sz="0" w:space="0" w:color="auto"/>
        <w:right w:val="none" w:sz="0" w:space="0" w:color="auto"/>
      </w:divBdr>
      <w:divsChild>
        <w:div w:id="47384275">
          <w:marLeft w:val="0"/>
          <w:marRight w:val="0"/>
          <w:marTop w:val="0"/>
          <w:marBottom w:val="0"/>
          <w:divBdr>
            <w:top w:val="none" w:sz="0" w:space="0" w:color="auto"/>
            <w:left w:val="none" w:sz="0" w:space="0" w:color="auto"/>
            <w:bottom w:val="none" w:sz="0" w:space="0" w:color="auto"/>
            <w:right w:val="none" w:sz="0" w:space="0" w:color="auto"/>
          </w:divBdr>
          <w:divsChild>
            <w:div w:id="135607253">
              <w:marLeft w:val="0"/>
              <w:marRight w:val="0"/>
              <w:marTop w:val="0"/>
              <w:marBottom w:val="0"/>
              <w:divBdr>
                <w:top w:val="none" w:sz="0" w:space="0" w:color="auto"/>
                <w:left w:val="none" w:sz="0" w:space="0" w:color="auto"/>
                <w:bottom w:val="none" w:sz="0" w:space="0" w:color="auto"/>
                <w:right w:val="none" w:sz="0" w:space="0" w:color="auto"/>
              </w:divBdr>
            </w:div>
          </w:divsChild>
        </w:div>
        <w:div w:id="89594139">
          <w:marLeft w:val="0"/>
          <w:marRight w:val="0"/>
          <w:marTop w:val="0"/>
          <w:marBottom w:val="0"/>
          <w:divBdr>
            <w:top w:val="none" w:sz="0" w:space="0" w:color="auto"/>
            <w:left w:val="none" w:sz="0" w:space="0" w:color="auto"/>
            <w:bottom w:val="none" w:sz="0" w:space="0" w:color="auto"/>
            <w:right w:val="none" w:sz="0" w:space="0" w:color="auto"/>
          </w:divBdr>
          <w:divsChild>
            <w:div w:id="823206634">
              <w:marLeft w:val="0"/>
              <w:marRight w:val="0"/>
              <w:marTop w:val="0"/>
              <w:marBottom w:val="0"/>
              <w:divBdr>
                <w:top w:val="none" w:sz="0" w:space="0" w:color="auto"/>
                <w:left w:val="none" w:sz="0" w:space="0" w:color="auto"/>
                <w:bottom w:val="none" w:sz="0" w:space="0" w:color="auto"/>
                <w:right w:val="none" w:sz="0" w:space="0" w:color="auto"/>
              </w:divBdr>
            </w:div>
          </w:divsChild>
        </w:div>
        <w:div w:id="134224007">
          <w:marLeft w:val="0"/>
          <w:marRight w:val="0"/>
          <w:marTop w:val="0"/>
          <w:marBottom w:val="0"/>
          <w:divBdr>
            <w:top w:val="none" w:sz="0" w:space="0" w:color="auto"/>
            <w:left w:val="none" w:sz="0" w:space="0" w:color="auto"/>
            <w:bottom w:val="none" w:sz="0" w:space="0" w:color="auto"/>
            <w:right w:val="none" w:sz="0" w:space="0" w:color="auto"/>
          </w:divBdr>
          <w:divsChild>
            <w:div w:id="569996580">
              <w:marLeft w:val="0"/>
              <w:marRight w:val="0"/>
              <w:marTop w:val="0"/>
              <w:marBottom w:val="0"/>
              <w:divBdr>
                <w:top w:val="none" w:sz="0" w:space="0" w:color="auto"/>
                <w:left w:val="none" w:sz="0" w:space="0" w:color="auto"/>
                <w:bottom w:val="none" w:sz="0" w:space="0" w:color="auto"/>
                <w:right w:val="none" w:sz="0" w:space="0" w:color="auto"/>
              </w:divBdr>
            </w:div>
          </w:divsChild>
        </w:div>
        <w:div w:id="151411748">
          <w:marLeft w:val="0"/>
          <w:marRight w:val="0"/>
          <w:marTop w:val="0"/>
          <w:marBottom w:val="0"/>
          <w:divBdr>
            <w:top w:val="none" w:sz="0" w:space="0" w:color="auto"/>
            <w:left w:val="none" w:sz="0" w:space="0" w:color="auto"/>
            <w:bottom w:val="none" w:sz="0" w:space="0" w:color="auto"/>
            <w:right w:val="none" w:sz="0" w:space="0" w:color="auto"/>
          </w:divBdr>
          <w:divsChild>
            <w:div w:id="449280169">
              <w:marLeft w:val="0"/>
              <w:marRight w:val="0"/>
              <w:marTop w:val="0"/>
              <w:marBottom w:val="0"/>
              <w:divBdr>
                <w:top w:val="none" w:sz="0" w:space="0" w:color="auto"/>
                <w:left w:val="none" w:sz="0" w:space="0" w:color="auto"/>
                <w:bottom w:val="none" w:sz="0" w:space="0" w:color="auto"/>
                <w:right w:val="none" w:sz="0" w:space="0" w:color="auto"/>
              </w:divBdr>
            </w:div>
            <w:div w:id="2059894043">
              <w:marLeft w:val="0"/>
              <w:marRight w:val="0"/>
              <w:marTop w:val="0"/>
              <w:marBottom w:val="0"/>
              <w:divBdr>
                <w:top w:val="none" w:sz="0" w:space="0" w:color="auto"/>
                <w:left w:val="none" w:sz="0" w:space="0" w:color="auto"/>
                <w:bottom w:val="none" w:sz="0" w:space="0" w:color="auto"/>
                <w:right w:val="none" w:sz="0" w:space="0" w:color="auto"/>
              </w:divBdr>
            </w:div>
          </w:divsChild>
        </w:div>
        <w:div w:id="248655514">
          <w:marLeft w:val="0"/>
          <w:marRight w:val="0"/>
          <w:marTop w:val="0"/>
          <w:marBottom w:val="0"/>
          <w:divBdr>
            <w:top w:val="none" w:sz="0" w:space="0" w:color="auto"/>
            <w:left w:val="none" w:sz="0" w:space="0" w:color="auto"/>
            <w:bottom w:val="none" w:sz="0" w:space="0" w:color="auto"/>
            <w:right w:val="none" w:sz="0" w:space="0" w:color="auto"/>
          </w:divBdr>
          <w:divsChild>
            <w:div w:id="837890182">
              <w:marLeft w:val="0"/>
              <w:marRight w:val="0"/>
              <w:marTop w:val="0"/>
              <w:marBottom w:val="0"/>
              <w:divBdr>
                <w:top w:val="none" w:sz="0" w:space="0" w:color="auto"/>
                <w:left w:val="none" w:sz="0" w:space="0" w:color="auto"/>
                <w:bottom w:val="none" w:sz="0" w:space="0" w:color="auto"/>
                <w:right w:val="none" w:sz="0" w:space="0" w:color="auto"/>
              </w:divBdr>
            </w:div>
          </w:divsChild>
        </w:div>
        <w:div w:id="297951517">
          <w:marLeft w:val="0"/>
          <w:marRight w:val="0"/>
          <w:marTop w:val="0"/>
          <w:marBottom w:val="0"/>
          <w:divBdr>
            <w:top w:val="none" w:sz="0" w:space="0" w:color="auto"/>
            <w:left w:val="none" w:sz="0" w:space="0" w:color="auto"/>
            <w:bottom w:val="none" w:sz="0" w:space="0" w:color="auto"/>
            <w:right w:val="none" w:sz="0" w:space="0" w:color="auto"/>
          </w:divBdr>
          <w:divsChild>
            <w:div w:id="1876195440">
              <w:marLeft w:val="0"/>
              <w:marRight w:val="0"/>
              <w:marTop w:val="0"/>
              <w:marBottom w:val="0"/>
              <w:divBdr>
                <w:top w:val="none" w:sz="0" w:space="0" w:color="auto"/>
                <w:left w:val="none" w:sz="0" w:space="0" w:color="auto"/>
                <w:bottom w:val="none" w:sz="0" w:space="0" w:color="auto"/>
                <w:right w:val="none" w:sz="0" w:space="0" w:color="auto"/>
              </w:divBdr>
            </w:div>
          </w:divsChild>
        </w:div>
        <w:div w:id="300380785">
          <w:marLeft w:val="0"/>
          <w:marRight w:val="0"/>
          <w:marTop w:val="0"/>
          <w:marBottom w:val="0"/>
          <w:divBdr>
            <w:top w:val="none" w:sz="0" w:space="0" w:color="auto"/>
            <w:left w:val="none" w:sz="0" w:space="0" w:color="auto"/>
            <w:bottom w:val="none" w:sz="0" w:space="0" w:color="auto"/>
            <w:right w:val="none" w:sz="0" w:space="0" w:color="auto"/>
          </w:divBdr>
          <w:divsChild>
            <w:div w:id="1654332275">
              <w:marLeft w:val="0"/>
              <w:marRight w:val="0"/>
              <w:marTop w:val="0"/>
              <w:marBottom w:val="0"/>
              <w:divBdr>
                <w:top w:val="none" w:sz="0" w:space="0" w:color="auto"/>
                <w:left w:val="none" w:sz="0" w:space="0" w:color="auto"/>
                <w:bottom w:val="none" w:sz="0" w:space="0" w:color="auto"/>
                <w:right w:val="none" w:sz="0" w:space="0" w:color="auto"/>
              </w:divBdr>
            </w:div>
          </w:divsChild>
        </w:div>
        <w:div w:id="305429563">
          <w:marLeft w:val="0"/>
          <w:marRight w:val="0"/>
          <w:marTop w:val="0"/>
          <w:marBottom w:val="0"/>
          <w:divBdr>
            <w:top w:val="none" w:sz="0" w:space="0" w:color="auto"/>
            <w:left w:val="none" w:sz="0" w:space="0" w:color="auto"/>
            <w:bottom w:val="none" w:sz="0" w:space="0" w:color="auto"/>
            <w:right w:val="none" w:sz="0" w:space="0" w:color="auto"/>
          </w:divBdr>
          <w:divsChild>
            <w:div w:id="1423725764">
              <w:marLeft w:val="0"/>
              <w:marRight w:val="0"/>
              <w:marTop w:val="0"/>
              <w:marBottom w:val="0"/>
              <w:divBdr>
                <w:top w:val="none" w:sz="0" w:space="0" w:color="auto"/>
                <w:left w:val="none" w:sz="0" w:space="0" w:color="auto"/>
                <w:bottom w:val="none" w:sz="0" w:space="0" w:color="auto"/>
                <w:right w:val="none" w:sz="0" w:space="0" w:color="auto"/>
              </w:divBdr>
            </w:div>
          </w:divsChild>
        </w:div>
        <w:div w:id="361438691">
          <w:marLeft w:val="0"/>
          <w:marRight w:val="0"/>
          <w:marTop w:val="0"/>
          <w:marBottom w:val="0"/>
          <w:divBdr>
            <w:top w:val="none" w:sz="0" w:space="0" w:color="auto"/>
            <w:left w:val="none" w:sz="0" w:space="0" w:color="auto"/>
            <w:bottom w:val="none" w:sz="0" w:space="0" w:color="auto"/>
            <w:right w:val="none" w:sz="0" w:space="0" w:color="auto"/>
          </w:divBdr>
          <w:divsChild>
            <w:div w:id="1400207165">
              <w:marLeft w:val="0"/>
              <w:marRight w:val="0"/>
              <w:marTop w:val="0"/>
              <w:marBottom w:val="0"/>
              <w:divBdr>
                <w:top w:val="none" w:sz="0" w:space="0" w:color="auto"/>
                <w:left w:val="none" w:sz="0" w:space="0" w:color="auto"/>
                <w:bottom w:val="none" w:sz="0" w:space="0" w:color="auto"/>
                <w:right w:val="none" w:sz="0" w:space="0" w:color="auto"/>
              </w:divBdr>
            </w:div>
          </w:divsChild>
        </w:div>
        <w:div w:id="412553015">
          <w:marLeft w:val="0"/>
          <w:marRight w:val="0"/>
          <w:marTop w:val="0"/>
          <w:marBottom w:val="0"/>
          <w:divBdr>
            <w:top w:val="none" w:sz="0" w:space="0" w:color="auto"/>
            <w:left w:val="none" w:sz="0" w:space="0" w:color="auto"/>
            <w:bottom w:val="none" w:sz="0" w:space="0" w:color="auto"/>
            <w:right w:val="none" w:sz="0" w:space="0" w:color="auto"/>
          </w:divBdr>
          <w:divsChild>
            <w:div w:id="562102433">
              <w:marLeft w:val="0"/>
              <w:marRight w:val="0"/>
              <w:marTop w:val="0"/>
              <w:marBottom w:val="0"/>
              <w:divBdr>
                <w:top w:val="none" w:sz="0" w:space="0" w:color="auto"/>
                <w:left w:val="none" w:sz="0" w:space="0" w:color="auto"/>
                <w:bottom w:val="none" w:sz="0" w:space="0" w:color="auto"/>
                <w:right w:val="none" w:sz="0" w:space="0" w:color="auto"/>
              </w:divBdr>
            </w:div>
            <w:div w:id="856308222">
              <w:marLeft w:val="0"/>
              <w:marRight w:val="0"/>
              <w:marTop w:val="0"/>
              <w:marBottom w:val="0"/>
              <w:divBdr>
                <w:top w:val="none" w:sz="0" w:space="0" w:color="auto"/>
                <w:left w:val="none" w:sz="0" w:space="0" w:color="auto"/>
                <w:bottom w:val="none" w:sz="0" w:space="0" w:color="auto"/>
                <w:right w:val="none" w:sz="0" w:space="0" w:color="auto"/>
              </w:divBdr>
            </w:div>
            <w:div w:id="1296831353">
              <w:marLeft w:val="0"/>
              <w:marRight w:val="0"/>
              <w:marTop w:val="0"/>
              <w:marBottom w:val="0"/>
              <w:divBdr>
                <w:top w:val="none" w:sz="0" w:space="0" w:color="auto"/>
                <w:left w:val="none" w:sz="0" w:space="0" w:color="auto"/>
                <w:bottom w:val="none" w:sz="0" w:space="0" w:color="auto"/>
                <w:right w:val="none" w:sz="0" w:space="0" w:color="auto"/>
              </w:divBdr>
            </w:div>
            <w:div w:id="1330865989">
              <w:marLeft w:val="0"/>
              <w:marRight w:val="0"/>
              <w:marTop w:val="0"/>
              <w:marBottom w:val="0"/>
              <w:divBdr>
                <w:top w:val="none" w:sz="0" w:space="0" w:color="auto"/>
                <w:left w:val="none" w:sz="0" w:space="0" w:color="auto"/>
                <w:bottom w:val="none" w:sz="0" w:space="0" w:color="auto"/>
                <w:right w:val="none" w:sz="0" w:space="0" w:color="auto"/>
              </w:divBdr>
            </w:div>
            <w:div w:id="1978337158">
              <w:marLeft w:val="0"/>
              <w:marRight w:val="0"/>
              <w:marTop w:val="0"/>
              <w:marBottom w:val="0"/>
              <w:divBdr>
                <w:top w:val="none" w:sz="0" w:space="0" w:color="auto"/>
                <w:left w:val="none" w:sz="0" w:space="0" w:color="auto"/>
                <w:bottom w:val="none" w:sz="0" w:space="0" w:color="auto"/>
                <w:right w:val="none" w:sz="0" w:space="0" w:color="auto"/>
              </w:divBdr>
            </w:div>
          </w:divsChild>
        </w:div>
        <w:div w:id="440609384">
          <w:marLeft w:val="0"/>
          <w:marRight w:val="0"/>
          <w:marTop w:val="0"/>
          <w:marBottom w:val="0"/>
          <w:divBdr>
            <w:top w:val="none" w:sz="0" w:space="0" w:color="auto"/>
            <w:left w:val="none" w:sz="0" w:space="0" w:color="auto"/>
            <w:bottom w:val="none" w:sz="0" w:space="0" w:color="auto"/>
            <w:right w:val="none" w:sz="0" w:space="0" w:color="auto"/>
          </w:divBdr>
          <w:divsChild>
            <w:div w:id="1027371617">
              <w:marLeft w:val="0"/>
              <w:marRight w:val="0"/>
              <w:marTop w:val="0"/>
              <w:marBottom w:val="0"/>
              <w:divBdr>
                <w:top w:val="none" w:sz="0" w:space="0" w:color="auto"/>
                <w:left w:val="none" w:sz="0" w:space="0" w:color="auto"/>
                <w:bottom w:val="none" w:sz="0" w:space="0" w:color="auto"/>
                <w:right w:val="none" w:sz="0" w:space="0" w:color="auto"/>
              </w:divBdr>
            </w:div>
          </w:divsChild>
        </w:div>
        <w:div w:id="517696214">
          <w:marLeft w:val="0"/>
          <w:marRight w:val="0"/>
          <w:marTop w:val="0"/>
          <w:marBottom w:val="0"/>
          <w:divBdr>
            <w:top w:val="none" w:sz="0" w:space="0" w:color="auto"/>
            <w:left w:val="none" w:sz="0" w:space="0" w:color="auto"/>
            <w:bottom w:val="none" w:sz="0" w:space="0" w:color="auto"/>
            <w:right w:val="none" w:sz="0" w:space="0" w:color="auto"/>
          </w:divBdr>
          <w:divsChild>
            <w:div w:id="662854043">
              <w:marLeft w:val="0"/>
              <w:marRight w:val="0"/>
              <w:marTop w:val="0"/>
              <w:marBottom w:val="0"/>
              <w:divBdr>
                <w:top w:val="none" w:sz="0" w:space="0" w:color="auto"/>
                <w:left w:val="none" w:sz="0" w:space="0" w:color="auto"/>
                <w:bottom w:val="none" w:sz="0" w:space="0" w:color="auto"/>
                <w:right w:val="none" w:sz="0" w:space="0" w:color="auto"/>
              </w:divBdr>
            </w:div>
          </w:divsChild>
        </w:div>
        <w:div w:id="534805830">
          <w:marLeft w:val="0"/>
          <w:marRight w:val="0"/>
          <w:marTop w:val="0"/>
          <w:marBottom w:val="0"/>
          <w:divBdr>
            <w:top w:val="none" w:sz="0" w:space="0" w:color="auto"/>
            <w:left w:val="none" w:sz="0" w:space="0" w:color="auto"/>
            <w:bottom w:val="none" w:sz="0" w:space="0" w:color="auto"/>
            <w:right w:val="none" w:sz="0" w:space="0" w:color="auto"/>
          </w:divBdr>
          <w:divsChild>
            <w:div w:id="844634164">
              <w:marLeft w:val="0"/>
              <w:marRight w:val="0"/>
              <w:marTop w:val="0"/>
              <w:marBottom w:val="0"/>
              <w:divBdr>
                <w:top w:val="none" w:sz="0" w:space="0" w:color="auto"/>
                <w:left w:val="none" w:sz="0" w:space="0" w:color="auto"/>
                <w:bottom w:val="none" w:sz="0" w:space="0" w:color="auto"/>
                <w:right w:val="none" w:sz="0" w:space="0" w:color="auto"/>
              </w:divBdr>
            </w:div>
          </w:divsChild>
        </w:div>
        <w:div w:id="600532086">
          <w:marLeft w:val="0"/>
          <w:marRight w:val="0"/>
          <w:marTop w:val="0"/>
          <w:marBottom w:val="0"/>
          <w:divBdr>
            <w:top w:val="none" w:sz="0" w:space="0" w:color="auto"/>
            <w:left w:val="none" w:sz="0" w:space="0" w:color="auto"/>
            <w:bottom w:val="none" w:sz="0" w:space="0" w:color="auto"/>
            <w:right w:val="none" w:sz="0" w:space="0" w:color="auto"/>
          </w:divBdr>
          <w:divsChild>
            <w:div w:id="1616717848">
              <w:marLeft w:val="0"/>
              <w:marRight w:val="0"/>
              <w:marTop w:val="0"/>
              <w:marBottom w:val="0"/>
              <w:divBdr>
                <w:top w:val="none" w:sz="0" w:space="0" w:color="auto"/>
                <w:left w:val="none" w:sz="0" w:space="0" w:color="auto"/>
                <w:bottom w:val="none" w:sz="0" w:space="0" w:color="auto"/>
                <w:right w:val="none" w:sz="0" w:space="0" w:color="auto"/>
              </w:divBdr>
            </w:div>
          </w:divsChild>
        </w:div>
        <w:div w:id="619726458">
          <w:marLeft w:val="0"/>
          <w:marRight w:val="0"/>
          <w:marTop w:val="0"/>
          <w:marBottom w:val="0"/>
          <w:divBdr>
            <w:top w:val="none" w:sz="0" w:space="0" w:color="auto"/>
            <w:left w:val="none" w:sz="0" w:space="0" w:color="auto"/>
            <w:bottom w:val="none" w:sz="0" w:space="0" w:color="auto"/>
            <w:right w:val="none" w:sz="0" w:space="0" w:color="auto"/>
          </w:divBdr>
          <w:divsChild>
            <w:div w:id="738678034">
              <w:marLeft w:val="0"/>
              <w:marRight w:val="0"/>
              <w:marTop w:val="0"/>
              <w:marBottom w:val="0"/>
              <w:divBdr>
                <w:top w:val="none" w:sz="0" w:space="0" w:color="auto"/>
                <w:left w:val="none" w:sz="0" w:space="0" w:color="auto"/>
                <w:bottom w:val="none" w:sz="0" w:space="0" w:color="auto"/>
                <w:right w:val="none" w:sz="0" w:space="0" w:color="auto"/>
              </w:divBdr>
            </w:div>
          </w:divsChild>
        </w:div>
        <w:div w:id="734276783">
          <w:marLeft w:val="0"/>
          <w:marRight w:val="0"/>
          <w:marTop w:val="0"/>
          <w:marBottom w:val="0"/>
          <w:divBdr>
            <w:top w:val="none" w:sz="0" w:space="0" w:color="auto"/>
            <w:left w:val="none" w:sz="0" w:space="0" w:color="auto"/>
            <w:bottom w:val="none" w:sz="0" w:space="0" w:color="auto"/>
            <w:right w:val="none" w:sz="0" w:space="0" w:color="auto"/>
          </w:divBdr>
          <w:divsChild>
            <w:div w:id="835026120">
              <w:marLeft w:val="0"/>
              <w:marRight w:val="0"/>
              <w:marTop w:val="0"/>
              <w:marBottom w:val="0"/>
              <w:divBdr>
                <w:top w:val="none" w:sz="0" w:space="0" w:color="auto"/>
                <w:left w:val="none" w:sz="0" w:space="0" w:color="auto"/>
                <w:bottom w:val="none" w:sz="0" w:space="0" w:color="auto"/>
                <w:right w:val="none" w:sz="0" w:space="0" w:color="auto"/>
              </w:divBdr>
            </w:div>
            <w:div w:id="933974777">
              <w:marLeft w:val="0"/>
              <w:marRight w:val="0"/>
              <w:marTop w:val="0"/>
              <w:marBottom w:val="0"/>
              <w:divBdr>
                <w:top w:val="none" w:sz="0" w:space="0" w:color="auto"/>
                <w:left w:val="none" w:sz="0" w:space="0" w:color="auto"/>
                <w:bottom w:val="none" w:sz="0" w:space="0" w:color="auto"/>
                <w:right w:val="none" w:sz="0" w:space="0" w:color="auto"/>
              </w:divBdr>
            </w:div>
            <w:div w:id="1031683436">
              <w:marLeft w:val="0"/>
              <w:marRight w:val="0"/>
              <w:marTop w:val="0"/>
              <w:marBottom w:val="0"/>
              <w:divBdr>
                <w:top w:val="none" w:sz="0" w:space="0" w:color="auto"/>
                <w:left w:val="none" w:sz="0" w:space="0" w:color="auto"/>
                <w:bottom w:val="none" w:sz="0" w:space="0" w:color="auto"/>
                <w:right w:val="none" w:sz="0" w:space="0" w:color="auto"/>
              </w:divBdr>
            </w:div>
            <w:div w:id="1098214115">
              <w:marLeft w:val="0"/>
              <w:marRight w:val="0"/>
              <w:marTop w:val="0"/>
              <w:marBottom w:val="0"/>
              <w:divBdr>
                <w:top w:val="none" w:sz="0" w:space="0" w:color="auto"/>
                <w:left w:val="none" w:sz="0" w:space="0" w:color="auto"/>
                <w:bottom w:val="none" w:sz="0" w:space="0" w:color="auto"/>
                <w:right w:val="none" w:sz="0" w:space="0" w:color="auto"/>
              </w:divBdr>
            </w:div>
            <w:div w:id="1848397474">
              <w:marLeft w:val="0"/>
              <w:marRight w:val="0"/>
              <w:marTop w:val="0"/>
              <w:marBottom w:val="0"/>
              <w:divBdr>
                <w:top w:val="none" w:sz="0" w:space="0" w:color="auto"/>
                <w:left w:val="none" w:sz="0" w:space="0" w:color="auto"/>
                <w:bottom w:val="none" w:sz="0" w:space="0" w:color="auto"/>
                <w:right w:val="none" w:sz="0" w:space="0" w:color="auto"/>
              </w:divBdr>
            </w:div>
          </w:divsChild>
        </w:div>
        <w:div w:id="755319461">
          <w:marLeft w:val="0"/>
          <w:marRight w:val="0"/>
          <w:marTop w:val="0"/>
          <w:marBottom w:val="0"/>
          <w:divBdr>
            <w:top w:val="none" w:sz="0" w:space="0" w:color="auto"/>
            <w:left w:val="none" w:sz="0" w:space="0" w:color="auto"/>
            <w:bottom w:val="none" w:sz="0" w:space="0" w:color="auto"/>
            <w:right w:val="none" w:sz="0" w:space="0" w:color="auto"/>
          </w:divBdr>
          <w:divsChild>
            <w:div w:id="188952971">
              <w:marLeft w:val="0"/>
              <w:marRight w:val="0"/>
              <w:marTop w:val="0"/>
              <w:marBottom w:val="0"/>
              <w:divBdr>
                <w:top w:val="none" w:sz="0" w:space="0" w:color="auto"/>
                <w:left w:val="none" w:sz="0" w:space="0" w:color="auto"/>
                <w:bottom w:val="none" w:sz="0" w:space="0" w:color="auto"/>
                <w:right w:val="none" w:sz="0" w:space="0" w:color="auto"/>
              </w:divBdr>
            </w:div>
          </w:divsChild>
        </w:div>
        <w:div w:id="870647569">
          <w:marLeft w:val="0"/>
          <w:marRight w:val="0"/>
          <w:marTop w:val="0"/>
          <w:marBottom w:val="0"/>
          <w:divBdr>
            <w:top w:val="none" w:sz="0" w:space="0" w:color="auto"/>
            <w:left w:val="none" w:sz="0" w:space="0" w:color="auto"/>
            <w:bottom w:val="none" w:sz="0" w:space="0" w:color="auto"/>
            <w:right w:val="none" w:sz="0" w:space="0" w:color="auto"/>
          </w:divBdr>
          <w:divsChild>
            <w:div w:id="916331440">
              <w:marLeft w:val="0"/>
              <w:marRight w:val="0"/>
              <w:marTop w:val="0"/>
              <w:marBottom w:val="0"/>
              <w:divBdr>
                <w:top w:val="none" w:sz="0" w:space="0" w:color="auto"/>
                <w:left w:val="none" w:sz="0" w:space="0" w:color="auto"/>
                <w:bottom w:val="none" w:sz="0" w:space="0" w:color="auto"/>
                <w:right w:val="none" w:sz="0" w:space="0" w:color="auto"/>
              </w:divBdr>
            </w:div>
          </w:divsChild>
        </w:div>
        <w:div w:id="951518694">
          <w:marLeft w:val="0"/>
          <w:marRight w:val="0"/>
          <w:marTop w:val="0"/>
          <w:marBottom w:val="0"/>
          <w:divBdr>
            <w:top w:val="none" w:sz="0" w:space="0" w:color="auto"/>
            <w:left w:val="none" w:sz="0" w:space="0" w:color="auto"/>
            <w:bottom w:val="none" w:sz="0" w:space="0" w:color="auto"/>
            <w:right w:val="none" w:sz="0" w:space="0" w:color="auto"/>
          </w:divBdr>
          <w:divsChild>
            <w:div w:id="1017317942">
              <w:marLeft w:val="0"/>
              <w:marRight w:val="0"/>
              <w:marTop w:val="0"/>
              <w:marBottom w:val="0"/>
              <w:divBdr>
                <w:top w:val="none" w:sz="0" w:space="0" w:color="auto"/>
                <w:left w:val="none" w:sz="0" w:space="0" w:color="auto"/>
                <w:bottom w:val="none" w:sz="0" w:space="0" w:color="auto"/>
                <w:right w:val="none" w:sz="0" w:space="0" w:color="auto"/>
              </w:divBdr>
            </w:div>
            <w:div w:id="1602951673">
              <w:marLeft w:val="0"/>
              <w:marRight w:val="0"/>
              <w:marTop w:val="0"/>
              <w:marBottom w:val="0"/>
              <w:divBdr>
                <w:top w:val="none" w:sz="0" w:space="0" w:color="auto"/>
                <w:left w:val="none" w:sz="0" w:space="0" w:color="auto"/>
                <w:bottom w:val="none" w:sz="0" w:space="0" w:color="auto"/>
                <w:right w:val="none" w:sz="0" w:space="0" w:color="auto"/>
              </w:divBdr>
            </w:div>
            <w:div w:id="1838030081">
              <w:marLeft w:val="0"/>
              <w:marRight w:val="0"/>
              <w:marTop w:val="0"/>
              <w:marBottom w:val="0"/>
              <w:divBdr>
                <w:top w:val="none" w:sz="0" w:space="0" w:color="auto"/>
                <w:left w:val="none" w:sz="0" w:space="0" w:color="auto"/>
                <w:bottom w:val="none" w:sz="0" w:space="0" w:color="auto"/>
                <w:right w:val="none" w:sz="0" w:space="0" w:color="auto"/>
              </w:divBdr>
            </w:div>
          </w:divsChild>
        </w:div>
        <w:div w:id="987828924">
          <w:marLeft w:val="0"/>
          <w:marRight w:val="0"/>
          <w:marTop w:val="0"/>
          <w:marBottom w:val="0"/>
          <w:divBdr>
            <w:top w:val="none" w:sz="0" w:space="0" w:color="auto"/>
            <w:left w:val="none" w:sz="0" w:space="0" w:color="auto"/>
            <w:bottom w:val="none" w:sz="0" w:space="0" w:color="auto"/>
            <w:right w:val="none" w:sz="0" w:space="0" w:color="auto"/>
          </w:divBdr>
          <w:divsChild>
            <w:div w:id="1141537462">
              <w:marLeft w:val="0"/>
              <w:marRight w:val="0"/>
              <w:marTop w:val="0"/>
              <w:marBottom w:val="0"/>
              <w:divBdr>
                <w:top w:val="none" w:sz="0" w:space="0" w:color="auto"/>
                <w:left w:val="none" w:sz="0" w:space="0" w:color="auto"/>
                <w:bottom w:val="none" w:sz="0" w:space="0" w:color="auto"/>
                <w:right w:val="none" w:sz="0" w:space="0" w:color="auto"/>
              </w:divBdr>
            </w:div>
            <w:div w:id="1876431708">
              <w:marLeft w:val="0"/>
              <w:marRight w:val="0"/>
              <w:marTop w:val="0"/>
              <w:marBottom w:val="0"/>
              <w:divBdr>
                <w:top w:val="none" w:sz="0" w:space="0" w:color="auto"/>
                <w:left w:val="none" w:sz="0" w:space="0" w:color="auto"/>
                <w:bottom w:val="none" w:sz="0" w:space="0" w:color="auto"/>
                <w:right w:val="none" w:sz="0" w:space="0" w:color="auto"/>
              </w:divBdr>
            </w:div>
            <w:div w:id="2025669676">
              <w:marLeft w:val="0"/>
              <w:marRight w:val="0"/>
              <w:marTop w:val="0"/>
              <w:marBottom w:val="0"/>
              <w:divBdr>
                <w:top w:val="none" w:sz="0" w:space="0" w:color="auto"/>
                <w:left w:val="none" w:sz="0" w:space="0" w:color="auto"/>
                <w:bottom w:val="none" w:sz="0" w:space="0" w:color="auto"/>
                <w:right w:val="none" w:sz="0" w:space="0" w:color="auto"/>
              </w:divBdr>
            </w:div>
          </w:divsChild>
        </w:div>
        <w:div w:id="990913219">
          <w:marLeft w:val="0"/>
          <w:marRight w:val="0"/>
          <w:marTop w:val="0"/>
          <w:marBottom w:val="0"/>
          <w:divBdr>
            <w:top w:val="none" w:sz="0" w:space="0" w:color="auto"/>
            <w:left w:val="none" w:sz="0" w:space="0" w:color="auto"/>
            <w:bottom w:val="none" w:sz="0" w:space="0" w:color="auto"/>
            <w:right w:val="none" w:sz="0" w:space="0" w:color="auto"/>
          </w:divBdr>
          <w:divsChild>
            <w:div w:id="394084378">
              <w:marLeft w:val="0"/>
              <w:marRight w:val="0"/>
              <w:marTop w:val="0"/>
              <w:marBottom w:val="0"/>
              <w:divBdr>
                <w:top w:val="none" w:sz="0" w:space="0" w:color="auto"/>
                <w:left w:val="none" w:sz="0" w:space="0" w:color="auto"/>
                <w:bottom w:val="none" w:sz="0" w:space="0" w:color="auto"/>
                <w:right w:val="none" w:sz="0" w:space="0" w:color="auto"/>
              </w:divBdr>
            </w:div>
          </w:divsChild>
        </w:div>
        <w:div w:id="992678147">
          <w:marLeft w:val="0"/>
          <w:marRight w:val="0"/>
          <w:marTop w:val="0"/>
          <w:marBottom w:val="0"/>
          <w:divBdr>
            <w:top w:val="none" w:sz="0" w:space="0" w:color="auto"/>
            <w:left w:val="none" w:sz="0" w:space="0" w:color="auto"/>
            <w:bottom w:val="none" w:sz="0" w:space="0" w:color="auto"/>
            <w:right w:val="none" w:sz="0" w:space="0" w:color="auto"/>
          </w:divBdr>
          <w:divsChild>
            <w:div w:id="1347053860">
              <w:marLeft w:val="0"/>
              <w:marRight w:val="0"/>
              <w:marTop w:val="0"/>
              <w:marBottom w:val="0"/>
              <w:divBdr>
                <w:top w:val="none" w:sz="0" w:space="0" w:color="auto"/>
                <w:left w:val="none" w:sz="0" w:space="0" w:color="auto"/>
                <w:bottom w:val="none" w:sz="0" w:space="0" w:color="auto"/>
                <w:right w:val="none" w:sz="0" w:space="0" w:color="auto"/>
              </w:divBdr>
            </w:div>
          </w:divsChild>
        </w:div>
        <w:div w:id="1054231429">
          <w:marLeft w:val="0"/>
          <w:marRight w:val="0"/>
          <w:marTop w:val="0"/>
          <w:marBottom w:val="0"/>
          <w:divBdr>
            <w:top w:val="none" w:sz="0" w:space="0" w:color="auto"/>
            <w:left w:val="none" w:sz="0" w:space="0" w:color="auto"/>
            <w:bottom w:val="none" w:sz="0" w:space="0" w:color="auto"/>
            <w:right w:val="none" w:sz="0" w:space="0" w:color="auto"/>
          </w:divBdr>
          <w:divsChild>
            <w:div w:id="1258709381">
              <w:marLeft w:val="0"/>
              <w:marRight w:val="0"/>
              <w:marTop w:val="0"/>
              <w:marBottom w:val="0"/>
              <w:divBdr>
                <w:top w:val="none" w:sz="0" w:space="0" w:color="auto"/>
                <w:left w:val="none" w:sz="0" w:space="0" w:color="auto"/>
                <w:bottom w:val="none" w:sz="0" w:space="0" w:color="auto"/>
                <w:right w:val="none" w:sz="0" w:space="0" w:color="auto"/>
              </w:divBdr>
            </w:div>
          </w:divsChild>
        </w:div>
        <w:div w:id="1101606361">
          <w:marLeft w:val="0"/>
          <w:marRight w:val="0"/>
          <w:marTop w:val="0"/>
          <w:marBottom w:val="0"/>
          <w:divBdr>
            <w:top w:val="none" w:sz="0" w:space="0" w:color="auto"/>
            <w:left w:val="none" w:sz="0" w:space="0" w:color="auto"/>
            <w:bottom w:val="none" w:sz="0" w:space="0" w:color="auto"/>
            <w:right w:val="none" w:sz="0" w:space="0" w:color="auto"/>
          </w:divBdr>
          <w:divsChild>
            <w:div w:id="1728601770">
              <w:marLeft w:val="0"/>
              <w:marRight w:val="0"/>
              <w:marTop w:val="0"/>
              <w:marBottom w:val="0"/>
              <w:divBdr>
                <w:top w:val="none" w:sz="0" w:space="0" w:color="auto"/>
                <w:left w:val="none" w:sz="0" w:space="0" w:color="auto"/>
                <w:bottom w:val="none" w:sz="0" w:space="0" w:color="auto"/>
                <w:right w:val="none" w:sz="0" w:space="0" w:color="auto"/>
              </w:divBdr>
            </w:div>
          </w:divsChild>
        </w:div>
        <w:div w:id="1104377660">
          <w:marLeft w:val="0"/>
          <w:marRight w:val="0"/>
          <w:marTop w:val="0"/>
          <w:marBottom w:val="0"/>
          <w:divBdr>
            <w:top w:val="none" w:sz="0" w:space="0" w:color="auto"/>
            <w:left w:val="none" w:sz="0" w:space="0" w:color="auto"/>
            <w:bottom w:val="none" w:sz="0" w:space="0" w:color="auto"/>
            <w:right w:val="none" w:sz="0" w:space="0" w:color="auto"/>
          </w:divBdr>
          <w:divsChild>
            <w:div w:id="1147672526">
              <w:marLeft w:val="0"/>
              <w:marRight w:val="0"/>
              <w:marTop w:val="0"/>
              <w:marBottom w:val="0"/>
              <w:divBdr>
                <w:top w:val="none" w:sz="0" w:space="0" w:color="auto"/>
                <w:left w:val="none" w:sz="0" w:space="0" w:color="auto"/>
                <w:bottom w:val="none" w:sz="0" w:space="0" w:color="auto"/>
                <w:right w:val="none" w:sz="0" w:space="0" w:color="auto"/>
              </w:divBdr>
            </w:div>
          </w:divsChild>
        </w:div>
        <w:div w:id="1104962148">
          <w:marLeft w:val="0"/>
          <w:marRight w:val="0"/>
          <w:marTop w:val="0"/>
          <w:marBottom w:val="0"/>
          <w:divBdr>
            <w:top w:val="none" w:sz="0" w:space="0" w:color="auto"/>
            <w:left w:val="none" w:sz="0" w:space="0" w:color="auto"/>
            <w:bottom w:val="none" w:sz="0" w:space="0" w:color="auto"/>
            <w:right w:val="none" w:sz="0" w:space="0" w:color="auto"/>
          </w:divBdr>
          <w:divsChild>
            <w:div w:id="1642729218">
              <w:marLeft w:val="0"/>
              <w:marRight w:val="0"/>
              <w:marTop w:val="0"/>
              <w:marBottom w:val="0"/>
              <w:divBdr>
                <w:top w:val="none" w:sz="0" w:space="0" w:color="auto"/>
                <w:left w:val="none" w:sz="0" w:space="0" w:color="auto"/>
                <w:bottom w:val="none" w:sz="0" w:space="0" w:color="auto"/>
                <w:right w:val="none" w:sz="0" w:space="0" w:color="auto"/>
              </w:divBdr>
            </w:div>
          </w:divsChild>
        </w:div>
        <w:div w:id="1157110014">
          <w:marLeft w:val="0"/>
          <w:marRight w:val="0"/>
          <w:marTop w:val="0"/>
          <w:marBottom w:val="0"/>
          <w:divBdr>
            <w:top w:val="none" w:sz="0" w:space="0" w:color="auto"/>
            <w:left w:val="none" w:sz="0" w:space="0" w:color="auto"/>
            <w:bottom w:val="none" w:sz="0" w:space="0" w:color="auto"/>
            <w:right w:val="none" w:sz="0" w:space="0" w:color="auto"/>
          </w:divBdr>
          <w:divsChild>
            <w:div w:id="483085783">
              <w:marLeft w:val="0"/>
              <w:marRight w:val="0"/>
              <w:marTop w:val="0"/>
              <w:marBottom w:val="0"/>
              <w:divBdr>
                <w:top w:val="none" w:sz="0" w:space="0" w:color="auto"/>
                <w:left w:val="none" w:sz="0" w:space="0" w:color="auto"/>
                <w:bottom w:val="none" w:sz="0" w:space="0" w:color="auto"/>
                <w:right w:val="none" w:sz="0" w:space="0" w:color="auto"/>
              </w:divBdr>
            </w:div>
            <w:div w:id="1194348714">
              <w:marLeft w:val="0"/>
              <w:marRight w:val="0"/>
              <w:marTop w:val="0"/>
              <w:marBottom w:val="0"/>
              <w:divBdr>
                <w:top w:val="none" w:sz="0" w:space="0" w:color="auto"/>
                <w:left w:val="none" w:sz="0" w:space="0" w:color="auto"/>
                <w:bottom w:val="none" w:sz="0" w:space="0" w:color="auto"/>
                <w:right w:val="none" w:sz="0" w:space="0" w:color="auto"/>
              </w:divBdr>
            </w:div>
            <w:div w:id="1527711319">
              <w:marLeft w:val="0"/>
              <w:marRight w:val="0"/>
              <w:marTop w:val="0"/>
              <w:marBottom w:val="0"/>
              <w:divBdr>
                <w:top w:val="none" w:sz="0" w:space="0" w:color="auto"/>
                <w:left w:val="none" w:sz="0" w:space="0" w:color="auto"/>
                <w:bottom w:val="none" w:sz="0" w:space="0" w:color="auto"/>
                <w:right w:val="none" w:sz="0" w:space="0" w:color="auto"/>
              </w:divBdr>
            </w:div>
          </w:divsChild>
        </w:div>
        <w:div w:id="1187141023">
          <w:marLeft w:val="0"/>
          <w:marRight w:val="0"/>
          <w:marTop w:val="0"/>
          <w:marBottom w:val="0"/>
          <w:divBdr>
            <w:top w:val="none" w:sz="0" w:space="0" w:color="auto"/>
            <w:left w:val="none" w:sz="0" w:space="0" w:color="auto"/>
            <w:bottom w:val="none" w:sz="0" w:space="0" w:color="auto"/>
            <w:right w:val="none" w:sz="0" w:space="0" w:color="auto"/>
          </w:divBdr>
          <w:divsChild>
            <w:div w:id="281569767">
              <w:marLeft w:val="0"/>
              <w:marRight w:val="0"/>
              <w:marTop w:val="0"/>
              <w:marBottom w:val="0"/>
              <w:divBdr>
                <w:top w:val="none" w:sz="0" w:space="0" w:color="auto"/>
                <w:left w:val="none" w:sz="0" w:space="0" w:color="auto"/>
                <w:bottom w:val="none" w:sz="0" w:space="0" w:color="auto"/>
                <w:right w:val="none" w:sz="0" w:space="0" w:color="auto"/>
              </w:divBdr>
            </w:div>
            <w:div w:id="969094785">
              <w:marLeft w:val="0"/>
              <w:marRight w:val="0"/>
              <w:marTop w:val="0"/>
              <w:marBottom w:val="0"/>
              <w:divBdr>
                <w:top w:val="none" w:sz="0" w:space="0" w:color="auto"/>
                <w:left w:val="none" w:sz="0" w:space="0" w:color="auto"/>
                <w:bottom w:val="none" w:sz="0" w:space="0" w:color="auto"/>
                <w:right w:val="none" w:sz="0" w:space="0" w:color="auto"/>
              </w:divBdr>
            </w:div>
            <w:div w:id="2029216797">
              <w:marLeft w:val="0"/>
              <w:marRight w:val="0"/>
              <w:marTop w:val="0"/>
              <w:marBottom w:val="0"/>
              <w:divBdr>
                <w:top w:val="none" w:sz="0" w:space="0" w:color="auto"/>
                <w:left w:val="none" w:sz="0" w:space="0" w:color="auto"/>
                <w:bottom w:val="none" w:sz="0" w:space="0" w:color="auto"/>
                <w:right w:val="none" w:sz="0" w:space="0" w:color="auto"/>
              </w:divBdr>
            </w:div>
          </w:divsChild>
        </w:div>
        <w:div w:id="1239438037">
          <w:marLeft w:val="0"/>
          <w:marRight w:val="0"/>
          <w:marTop w:val="0"/>
          <w:marBottom w:val="0"/>
          <w:divBdr>
            <w:top w:val="none" w:sz="0" w:space="0" w:color="auto"/>
            <w:left w:val="none" w:sz="0" w:space="0" w:color="auto"/>
            <w:bottom w:val="none" w:sz="0" w:space="0" w:color="auto"/>
            <w:right w:val="none" w:sz="0" w:space="0" w:color="auto"/>
          </w:divBdr>
          <w:divsChild>
            <w:div w:id="1263609360">
              <w:marLeft w:val="0"/>
              <w:marRight w:val="0"/>
              <w:marTop w:val="0"/>
              <w:marBottom w:val="0"/>
              <w:divBdr>
                <w:top w:val="none" w:sz="0" w:space="0" w:color="auto"/>
                <w:left w:val="none" w:sz="0" w:space="0" w:color="auto"/>
                <w:bottom w:val="none" w:sz="0" w:space="0" w:color="auto"/>
                <w:right w:val="none" w:sz="0" w:space="0" w:color="auto"/>
              </w:divBdr>
            </w:div>
          </w:divsChild>
        </w:div>
        <w:div w:id="1394044800">
          <w:marLeft w:val="0"/>
          <w:marRight w:val="0"/>
          <w:marTop w:val="0"/>
          <w:marBottom w:val="0"/>
          <w:divBdr>
            <w:top w:val="none" w:sz="0" w:space="0" w:color="auto"/>
            <w:left w:val="none" w:sz="0" w:space="0" w:color="auto"/>
            <w:bottom w:val="none" w:sz="0" w:space="0" w:color="auto"/>
            <w:right w:val="none" w:sz="0" w:space="0" w:color="auto"/>
          </w:divBdr>
          <w:divsChild>
            <w:div w:id="1069307569">
              <w:marLeft w:val="0"/>
              <w:marRight w:val="0"/>
              <w:marTop w:val="0"/>
              <w:marBottom w:val="0"/>
              <w:divBdr>
                <w:top w:val="none" w:sz="0" w:space="0" w:color="auto"/>
                <w:left w:val="none" w:sz="0" w:space="0" w:color="auto"/>
                <w:bottom w:val="none" w:sz="0" w:space="0" w:color="auto"/>
                <w:right w:val="none" w:sz="0" w:space="0" w:color="auto"/>
              </w:divBdr>
            </w:div>
          </w:divsChild>
        </w:div>
        <w:div w:id="1398626566">
          <w:marLeft w:val="0"/>
          <w:marRight w:val="0"/>
          <w:marTop w:val="0"/>
          <w:marBottom w:val="0"/>
          <w:divBdr>
            <w:top w:val="none" w:sz="0" w:space="0" w:color="auto"/>
            <w:left w:val="none" w:sz="0" w:space="0" w:color="auto"/>
            <w:bottom w:val="none" w:sz="0" w:space="0" w:color="auto"/>
            <w:right w:val="none" w:sz="0" w:space="0" w:color="auto"/>
          </w:divBdr>
          <w:divsChild>
            <w:div w:id="629409087">
              <w:marLeft w:val="0"/>
              <w:marRight w:val="0"/>
              <w:marTop w:val="0"/>
              <w:marBottom w:val="0"/>
              <w:divBdr>
                <w:top w:val="none" w:sz="0" w:space="0" w:color="auto"/>
                <w:left w:val="none" w:sz="0" w:space="0" w:color="auto"/>
                <w:bottom w:val="none" w:sz="0" w:space="0" w:color="auto"/>
                <w:right w:val="none" w:sz="0" w:space="0" w:color="auto"/>
              </w:divBdr>
            </w:div>
          </w:divsChild>
        </w:div>
        <w:div w:id="1428967125">
          <w:marLeft w:val="0"/>
          <w:marRight w:val="0"/>
          <w:marTop w:val="0"/>
          <w:marBottom w:val="0"/>
          <w:divBdr>
            <w:top w:val="none" w:sz="0" w:space="0" w:color="auto"/>
            <w:left w:val="none" w:sz="0" w:space="0" w:color="auto"/>
            <w:bottom w:val="none" w:sz="0" w:space="0" w:color="auto"/>
            <w:right w:val="none" w:sz="0" w:space="0" w:color="auto"/>
          </w:divBdr>
          <w:divsChild>
            <w:div w:id="688222221">
              <w:marLeft w:val="0"/>
              <w:marRight w:val="0"/>
              <w:marTop w:val="0"/>
              <w:marBottom w:val="0"/>
              <w:divBdr>
                <w:top w:val="none" w:sz="0" w:space="0" w:color="auto"/>
                <w:left w:val="none" w:sz="0" w:space="0" w:color="auto"/>
                <w:bottom w:val="none" w:sz="0" w:space="0" w:color="auto"/>
                <w:right w:val="none" w:sz="0" w:space="0" w:color="auto"/>
              </w:divBdr>
            </w:div>
          </w:divsChild>
        </w:div>
        <w:div w:id="1444348424">
          <w:marLeft w:val="0"/>
          <w:marRight w:val="0"/>
          <w:marTop w:val="0"/>
          <w:marBottom w:val="0"/>
          <w:divBdr>
            <w:top w:val="none" w:sz="0" w:space="0" w:color="auto"/>
            <w:left w:val="none" w:sz="0" w:space="0" w:color="auto"/>
            <w:bottom w:val="none" w:sz="0" w:space="0" w:color="auto"/>
            <w:right w:val="none" w:sz="0" w:space="0" w:color="auto"/>
          </w:divBdr>
          <w:divsChild>
            <w:div w:id="1036926198">
              <w:marLeft w:val="0"/>
              <w:marRight w:val="0"/>
              <w:marTop w:val="0"/>
              <w:marBottom w:val="0"/>
              <w:divBdr>
                <w:top w:val="none" w:sz="0" w:space="0" w:color="auto"/>
                <w:left w:val="none" w:sz="0" w:space="0" w:color="auto"/>
                <w:bottom w:val="none" w:sz="0" w:space="0" w:color="auto"/>
                <w:right w:val="none" w:sz="0" w:space="0" w:color="auto"/>
              </w:divBdr>
            </w:div>
          </w:divsChild>
        </w:div>
        <w:div w:id="1473212504">
          <w:marLeft w:val="0"/>
          <w:marRight w:val="0"/>
          <w:marTop w:val="0"/>
          <w:marBottom w:val="0"/>
          <w:divBdr>
            <w:top w:val="none" w:sz="0" w:space="0" w:color="auto"/>
            <w:left w:val="none" w:sz="0" w:space="0" w:color="auto"/>
            <w:bottom w:val="none" w:sz="0" w:space="0" w:color="auto"/>
            <w:right w:val="none" w:sz="0" w:space="0" w:color="auto"/>
          </w:divBdr>
          <w:divsChild>
            <w:div w:id="1876037151">
              <w:marLeft w:val="0"/>
              <w:marRight w:val="0"/>
              <w:marTop w:val="0"/>
              <w:marBottom w:val="0"/>
              <w:divBdr>
                <w:top w:val="none" w:sz="0" w:space="0" w:color="auto"/>
                <w:left w:val="none" w:sz="0" w:space="0" w:color="auto"/>
                <w:bottom w:val="none" w:sz="0" w:space="0" w:color="auto"/>
                <w:right w:val="none" w:sz="0" w:space="0" w:color="auto"/>
              </w:divBdr>
            </w:div>
          </w:divsChild>
        </w:div>
        <w:div w:id="1573463383">
          <w:marLeft w:val="0"/>
          <w:marRight w:val="0"/>
          <w:marTop w:val="0"/>
          <w:marBottom w:val="0"/>
          <w:divBdr>
            <w:top w:val="none" w:sz="0" w:space="0" w:color="auto"/>
            <w:left w:val="none" w:sz="0" w:space="0" w:color="auto"/>
            <w:bottom w:val="none" w:sz="0" w:space="0" w:color="auto"/>
            <w:right w:val="none" w:sz="0" w:space="0" w:color="auto"/>
          </w:divBdr>
          <w:divsChild>
            <w:div w:id="247665020">
              <w:marLeft w:val="0"/>
              <w:marRight w:val="0"/>
              <w:marTop w:val="0"/>
              <w:marBottom w:val="0"/>
              <w:divBdr>
                <w:top w:val="none" w:sz="0" w:space="0" w:color="auto"/>
                <w:left w:val="none" w:sz="0" w:space="0" w:color="auto"/>
                <w:bottom w:val="none" w:sz="0" w:space="0" w:color="auto"/>
                <w:right w:val="none" w:sz="0" w:space="0" w:color="auto"/>
              </w:divBdr>
            </w:div>
          </w:divsChild>
        </w:div>
        <w:div w:id="1692533113">
          <w:marLeft w:val="0"/>
          <w:marRight w:val="0"/>
          <w:marTop w:val="0"/>
          <w:marBottom w:val="0"/>
          <w:divBdr>
            <w:top w:val="none" w:sz="0" w:space="0" w:color="auto"/>
            <w:left w:val="none" w:sz="0" w:space="0" w:color="auto"/>
            <w:bottom w:val="none" w:sz="0" w:space="0" w:color="auto"/>
            <w:right w:val="none" w:sz="0" w:space="0" w:color="auto"/>
          </w:divBdr>
          <w:divsChild>
            <w:div w:id="324239158">
              <w:marLeft w:val="0"/>
              <w:marRight w:val="0"/>
              <w:marTop w:val="0"/>
              <w:marBottom w:val="0"/>
              <w:divBdr>
                <w:top w:val="none" w:sz="0" w:space="0" w:color="auto"/>
                <w:left w:val="none" w:sz="0" w:space="0" w:color="auto"/>
                <w:bottom w:val="none" w:sz="0" w:space="0" w:color="auto"/>
                <w:right w:val="none" w:sz="0" w:space="0" w:color="auto"/>
              </w:divBdr>
            </w:div>
          </w:divsChild>
        </w:div>
        <w:div w:id="1766925844">
          <w:marLeft w:val="0"/>
          <w:marRight w:val="0"/>
          <w:marTop w:val="0"/>
          <w:marBottom w:val="0"/>
          <w:divBdr>
            <w:top w:val="none" w:sz="0" w:space="0" w:color="auto"/>
            <w:left w:val="none" w:sz="0" w:space="0" w:color="auto"/>
            <w:bottom w:val="none" w:sz="0" w:space="0" w:color="auto"/>
            <w:right w:val="none" w:sz="0" w:space="0" w:color="auto"/>
          </w:divBdr>
          <w:divsChild>
            <w:div w:id="312411636">
              <w:marLeft w:val="0"/>
              <w:marRight w:val="0"/>
              <w:marTop w:val="0"/>
              <w:marBottom w:val="0"/>
              <w:divBdr>
                <w:top w:val="none" w:sz="0" w:space="0" w:color="auto"/>
                <w:left w:val="none" w:sz="0" w:space="0" w:color="auto"/>
                <w:bottom w:val="none" w:sz="0" w:space="0" w:color="auto"/>
                <w:right w:val="none" w:sz="0" w:space="0" w:color="auto"/>
              </w:divBdr>
            </w:div>
          </w:divsChild>
        </w:div>
        <w:div w:id="1812401114">
          <w:marLeft w:val="0"/>
          <w:marRight w:val="0"/>
          <w:marTop w:val="0"/>
          <w:marBottom w:val="0"/>
          <w:divBdr>
            <w:top w:val="none" w:sz="0" w:space="0" w:color="auto"/>
            <w:left w:val="none" w:sz="0" w:space="0" w:color="auto"/>
            <w:bottom w:val="none" w:sz="0" w:space="0" w:color="auto"/>
            <w:right w:val="none" w:sz="0" w:space="0" w:color="auto"/>
          </w:divBdr>
          <w:divsChild>
            <w:div w:id="1542980124">
              <w:marLeft w:val="0"/>
              <w:marRight w:val="0"/>
              <w:marTop w:val="0"/>
              <w:marBottom w:val="0"/>
              <w:divBdr>
                <w:top w:val="none" w:sz="0" w:space="0" w:color="auto"/>
                <w:left w:val="none" w:sz="0" w:space="0" w:color="auto"/>
                <w:bottom w:val="none" w:sz="0" w:space="0" w:color="auto"/>
                <w:right w:val="none" w:sz="0" w:space="0" w:color="auto"/>
              </w:divBdr>
            </w:div>
          </w:divsChild>
        </w:div>
        <w:div w:id="1826699751">
          <w:marLeft w:val="0"/>
          <w:marRight w:val="0"/>
          <w:marTop w:val="0"/>
          <w:marBottom w:val="0"/>
          <w:divBdr>
            <w:top w:val="none" w:sz="0" w:space="0" w:color="auto"/>
            <w:left w:val="none" w:sz="0" w:space="0" w:color="auto"/>
            <w:bottom w:val="none" w:sz="0" w:space="0" w:color="auto"/>
            <w:right w:val="none" w:sz="0" w:space="0" w:color="auto"/>
          </w:divBdr>
          <w:divsChild>
            <w:div w:id="1652099943">
              <w:marLeft w:val="0"/>
              <w:marRight w:val="0"/>
              <w:marTop w:val="0"/>
              <w:marBottom w:val="0"/>
              <w:divBdr>
                <w:top w:val="none" w:sz="0" w:space="0" w:color="auto"/>
                <w:left w:val="none" w:sz="0" w:space="0" w:color="auto"/>
                <w:bottom w:val="none" w:sz="0" w:space="0" w:color="auto"/>
                <w:right w:val="none" w:sz="0" w:space="0" w:color="auto"/>
              </w:divBdr>
            </w:div>
          </w:divsChild>
        </w:div>
        <w:div w:id="1878731996">
          <w:marLeft w:val="0"/>
          <w:marRight w:val="0"/>
          <w:marTop w:val="0"/>
          <w:marBottom w:val="0"/>
          <w:divBdr>
            <w:top w:val="none" w:sz="0" w:space="0" w:color="auto"/>
            <w:left w:val="none" w:sz="0" w:space="0" w:color="auto"/>
            <w:bottom w:val="none" w:sz="0" w:space="0" w:color="auto"/>
            <w:right w:val="none" w:sz="0" w:space="0" w:color="auto"/>
          </w:divBdr>
          <w:divsChild>
            <w:div w:id="589973254">
              <w:marLeft w:val="0"/>
              <w:marRight w:val="0"/>
              <w:marTop w:val="0"/>
              <w:marBottom w:val="0"/>
              <w:divBdr>
                <w:top w:val="none" w:sz="0" w:space="0" w:color="auto"/>
                <w:left w:val="none" w:sz="0" w:space="0" w:color="auto"/>
                <w:bottom w:val="none" w:sz="0" w:space="0" w:color="auto"/>
                <w:right w:val="none" w:sz="0" w:space="0" w:color="auto"/>
              </w:divBdr>
            </w:div>
            <w:div w:id="1358852060">
              <w:marLeft w:val="0"/>
              <w:marRight w:val="0"/>
              <w:marTop w:val="0"/>
              <w:marBottom w:val="0"/>
              <w:divBdr>
                <w:top w:val="none" w:sz="0" w:space="0" w:color="auto"/>
                <w:left w:val="none" w:sz="0" w:space="0" w:color="auto"/>
                <w:bottom w:val="none" w:sz="0" w:space="0" w:color="auto"/>
                <w:right w:val="none" w:sz="0" w:space="0" w:color="auto"/>
              </w:divBdr>
            </w:div>
            <w:div w:id="1548953510">
              <w:marLeft w:val="0"/>
              <w:marRight w:val="0"/>
              <w:marTop w:val="0"/>
              <w:marBottom w:val="0"/>
              <w:divBdr>
                <w:top w:val="none" w:sz="0" w:space="0" w:color="auto"/>
                <w:left w:val="none" w:sz="0" w:space="0" w:color="auto"/>
                <w:bottom w:val="none" w:sz="0" w:space="0" w:color="auto"/>
                <w:right w:val="none" w:sz="0" w:space="0" w:color="auto"/>
              </w:divBdr>
            </w:div>
          </w:divsChild>
        </w:div>
        <w:div w:id="1923566790">
          <w:marLeft w:val="0"/>
          <w:marRight w:val="0"/>
          <w:marTop w:val="0"/>
          <w:marBottom w:val="0"/>
          <w:divBdr>
            <w:top w:val="none" w:sz="0" w:space="0" w:color="auto"/>
            <w:left w:val="none" w:sz="0" w:space="0" w:color="auto"/>
            <w:bottom w:val="none" w:sz="0" w:space="0" w:color="auto"/>
            <w:right w:val="none" w:sz="0" w:space="0" w:color="auto"/>
          </w:divBdr>
          <w:divsChild>
            <w:div w:id="154883174">
              <w:marLeft w:val="0"/>
              <w:marRight w:val="0"/>
              <w:marTop w:val="0"/>
              <w:marBottom w:val="0"/>
              <w:divBdr>
                <w:top w:val="none" w:sz="0" w:space="0" w:color="auto"/>
                <w:left w:val="none" w:sz="0" w:space="0" w:color="auto"/>
                <w:bottom w:val="none" w:sz="0" w:space="0" w:color="auto"/>
                <w:right w:val="none" w:sz="0" w:space="0" w:color="auto"/>
              </w:divBdr>
            </w:div>
          </w:divsChild>
        </w:div>
        <w:div w:id="1926762698">
          <w:marLeft w:val="0"/>
          <w:marRight w:val="0"/>
          <w:marTop w:val="0"/>
          <w:marBottom w:val="0"/>
          <w:divBdr>
            <w:top w:val="none" w:sz="0" w:space="0" w:color="auto"/>
            <w:left w:val="none" w:sz="0" w:space="0" w:color="auto"/>
            <w:bottom w:val="none" w:sz="0" w:space="0" w:color="auto"/>
            <w:right w:val="none" w:sz="0" w:space="0" w:color="auto"/>
          </w:divBdr>
          <w:divsChild>
            <w:div w:id="1753434527">
              <w:marLeft w:val="0"/>
              <w:marRight w:val="0"/>
              <w:marTop w:val="0"/>
              <w:marBottom w:val="0"/>
              <w:divBdr>
                <w:top w:val="none" w:sz="0" w:space="0" w:color="auto"/>
                <w:left w:val="none" w:sz="0" w:space="0" w:color="auto"/>
                <w:bottom w:val="none" w:sz="0" w:space="0" w:color="auto"/>
                <w:right w:val="none" w:sz="0" w:space="0" w:color="auto"/>
              </w:divBdr>
            </w:div>
          </w:divsChild>
        </w:div>
        <w:div w:id="1986465815">
          <w:marLeft w:val="0"/>
          <w:marRight w:val="0"/>
          <w:marTop w:val="0"/>
          <w:marBottom w:val="0"/>
          <w:divBdr>
            <w:top w:val="none" w:sz="0" w:space="0" w:color="auto"/>
            <w:left w:val="none" w:sz="0" w:space="0" w:color="auto"/>
            <w:bottom w:val="none" w:sz="0" w:space="0" w:color="auto"/>
            <w:right w:val="none" w:sz="0" w:space="0" w:color="auto"/>
          </w:divBdr>
          <w:divsChild>
            <w:div w:id="2036156694">
              <w:marLeft w:val="0"/>
              <w:marRight w:val="0"/>
              <w:marTop w:val="0"/>
              <w:marBottom w:val="0"/>
              <w:divBdr>
                <w:top w:val="none" w:sz="0" w:space="0" w:color="auto"/>
                <w:left w:val="none" w:sz="0" w:space="0" w:color="auto"/>
                <w:bottom w:val="none" w:sz="0" w:space="0" w:color="auto"/>
                <w:right w:val="none" w:sz="0" w:space="0" w:color="auto"/>
              </w:divBdr>
            </w:div>
          </w:divsChild>
        </w:div>
        <w:div w:id="2005087701">
          <w:marLeft w:val="0"/>
          <w:marRight w:val="0"/>
          <w:marTop w:val="0"/>
          <w:marBottom w:val="0"/>
          <w:divBdr>
            <w:top w:val="none" w:sz="0" w:space="0" w:color="auto"/>
            <w:left w:val="none" w:sz="0" w:space="0" w:color="auto"/>
            <w:bottom w:val="none" w:sz="0" w:space="0" w:color="auto"/>
            <w:right w:val="none" w:sz="0" w:space="0" w:color="auto"/>
          </w:divBdr>
          <w:divsChild>
            <w:div w:id="425227165">
              <w:marLeft w:val="0"/>
              <w:marRight w:val="0"/>
              <w:marTop w:val="0"/>
              <w:marBottom w:val="0"/>
              <w:divBdr>
                <w:top w:val="none" w:sz="0" w:space="0" w:color="auto"/>
                <w:left w:val="none" w:sz="0" w:space="0" w:color="auto"/>
                <w:bottom w:val="none" w:sz="0" w:space="0" w:color="auto"/>
                <w:right w:val="none" w:sz="0" w:space="0" w:color="auto"/>
              </w:divBdr>
            </w:div>
          </w:divsChild>
        </w:div>
        <w:div w:id="2005281861">
          <w:marLeft w:val="0"/>
          <w:marRight w:val="0"/>
          <w:marTop w:val="0"/>
          <w:marBottom w:val="0"/>
          <w:divBdr>
            <w:top w:val="none" w:sz="0" w:space="0" w:color="auto"/>
            <w:left w:val="none" w:sz="0" w:space="0" w:color="auto"/>
            <w:bottom w:val="none" w:sz="0" w:space="0" w:color="auto"/>
            <w:right w:val="none" w:sz="0" w:space="0" w:color="auto"/>
          </w:divBdr>
          <w:divsChild>
            <w:div w:id="1588080776">
              <w:marLeft w:val="0"/>
              <w:marRight w:val="0"/>
              <w:marTop w:val="0"/>
              <w:marBottom w:val="0"/>
              <w:divBdr>
                <w:top w:val="none" w:sz="0" w:space="0" w:color="auto"/>
                <w:left w:val="none" w:sz="0" w:space="0" w:color="auto"/>
                <w:bottom w:val="none" w:sz="0" w:space="0" w:color="auto"/>
                <w:right w:val="none" w:sz="0" w:space="0" w:color="auto"/>
              </w:divBdr>
            </w:div>
          </w:divsChild>
        </w:div>
        <w:div w:id="2065369053">
          <w:marLeft w:val="0"/>
          <w:marRight w:val="0"/>
          <w:marTop w:val="0"/>
          <w:marBottom w:val="0"/>
          <w:divBdr>
            <w:top w:val="none" w:sz="0" w:space="0" w:color="auto"/>
            <w:left w:val="none" w:sz="0" w:space="0" w:color="auto"/>
            <w:bottom w:val="none" w:sz="0" w:space="0" w:color="auto"/>
            <w:right w:val="none" w:sz="0" w:space="0" w:color="auto"/>
          </w:divBdr>
          <w:divsChild>
            <w:div w:id="1263689918">
              <w:marLeft w:val="0"/>
              <w:marRight w:val="0"/>
              <w:marTop w:val="0"/>
              <w:marBottom w:val="0"/>
              <w:divBdr>
                <w:top w:val="none" w:sz="0" w:space="0" w:color="auto"/>
                <w:left w:val="none" w:sz="0" w:space="0" w:color="auto"/>
                <w:bottom w:val="none" w:sz="0" w:space="0" w:color="auto"/>
                <w:right w:val="none" w:sz="0" w:space="0" w:color="auto"/>
              </w:divBdr>
            </w:div>
          </w:divsChild>
        </w:div>
        <w:div w:id="2068340236">
          <w:marLeft w:val="0"/>
          <w:marRight w:val="0"/>
          <w:marTop w:val="0"/>
          <w:marBottom w:val="0"/>
          <w:divBdr>
            <w:top w:val="none" w:sz="0" w:space="0" w:color="auto"/>
            <w:left w:val="none" w:sz="0" w:space="0" w:color="auto"/>
            <w:bottom w:val="none" w:sz="0" w:space="0" w:color="auto"/>
            <w:right w:val="none" w:sz="0" w:space="0" w:color="auto"/>
          </w:divBdr>
          <w:divsChild>
            <w:div w:id="1659723796">
              <w:marLeft w:val="0"/>
              <w:marRight w:val="0"/>
              <w:marTop w:val="0"/>
              <w:marBottom w:val="0"/>
              <w:divBdr>
                <w:top w:val="none" w:sz="0" w:space="0" w:color="auto"/>
                <w:left w:val="none" w:sz="0" w:space="0" w:color="auto"/>
                <w:bottom w:val="none" w:sz="0" w:space="0" w:color="auto"/>
                <w:right w:val="none" w:sz="0" w:space="0" w:color="auto"/>
              </w:divBdr>
            </w:div>
          </w:divsChild>
        </w:div>
        <w:div w:id="2094816835">
          <w:marLeft w:val="0"/>
          <w:marRight w:val="0"/>
          <w:marTop w:val="0"/>
          <w:marBottom w:val="0"/>
          <w:divBdr>
            <w:top w:val="none" w:sz="0" w:space="0" w:color="auto"/>
            <w:left w:val="none" w:sz="0" w:space="0" w:color="auto"/>
            <w:bottom w:val="none" w:sz="0" w:space="0" w:color="auto"/>
            <w:right w:val="none" w:sz="0" w:space="0" w:color="auto"/>
          </w:divBdr>
          <w:divsChild>
            <w:div w:id="967858399">
              <w:marLeft w:val="0"/>
              <w:marRight w:val="0"/>
              <w:marTop w:val="0"/>
              <w:marBottom w:val="0"/>
              <w:divBdr>
                <w:top w:val="none" w:sz="0" w:space="0" w:color="auto"/>
                <w:left w:val="none" w:sz="0" w:space="0" w:color="auto"/>
                <w:bottom w:val="none" w:sz="0" w:space="0" w:color="auto"/>
                <w:right w:val="none" w:sz="0" w:space="0" w:color="auto"/>
              </w:divBdr>
            </w:div>
          </w:divsChild>
        </w:div>
        <w:div w:id="2103725000">
          <w:marLeft w:val="0"/>
          <w:marRight w:val="0"/>
          <w:marTop w:val="0"/>
          <w:marBottom w:val="0"/>
          <w:divBdr>
            <w:top w:val="none" w:sz="0" w:space="0" w:color="auto"/>
            <w:left w:val="none" w:sz="0" w:space="0" w:color="auto"/>
            <w:bottom w:val="none" w:sz="0" w:space="0" w:color="auto"/>
            <w:right w:val="none" w:sz="0" w:space="0" w:color="auto"/>
          </w:divBdr>
          <w:divsChild>
            <w:div w:id="1028216678">
              <w:marLeft w:val="0"/>
              <w:marRight w:val="0"/>
              <w:marTop w:val="0"/>
              <w:marBottom w:val="0"/>
              <w:divBdr>
                <w:top w:val="none" w:sz="0" w:space="0" w:color="auto"/>
                <w:left w:val="none" w:sz="0" w:space="0" w:color="auto"/>
                <w:bottom w:val="none" w:sz="0" w:space="0" w:color="auto"/>
                <w:right w:val="none" w:sz="0" w:space="0" w:color="auto"/>
              </w:divBdr>
            </w:div>
          </w:divsChild>
        </w:div>
        <w:div w:id="2113931049">
          <w:marLeft w:val="0"/>
          <w:marRight w:val="0"/>
          <w:marTop w:val="0"/>
          <w:marBottom w:val="0"/>
          <w:divBdr>
            <w:top w:val="none" w:sz="0" w:space="0" w:color="auto"/>
            <w:left w:val="none" w:sz="0" w:space="0" w:color="auto"/>
            <w:bottom w:val="none" w:sz="0" w:space="0" w:color="auto"/>
            <w:right w:val="none" w:sz="0" w:space="0" w:color="auto"/>
          </w:divBdr>
          <w:divsChild>
            <w:div w:id="153500322">
              <w:marLeft w:val="0"/>
              <w:marRight w:val="0"/>
              <w:marTop w:val="0"/>
              <w:marBottom w:val="0"/>
              <w:divBdr>
                <w:top w:val="none" w:sz="0" w:space="0" w:color="auto"/>
                <w:left w:val="none" w:sz="0" w:space="0" w:color="auto"/>
                <w:bottom w:val="none" w:sz="0" w:space="0" w:color="auto"/>
                <w:right w:val="none" w:sz="0" w:space="0" w:color="auto"/>
              </w:divBdr>
            </w:div>
          </w:divsChild>
        </w:div>
        <w:div w:id="2122917256">
          <w:marLeft w:val="0"/>
          <w:marRight w:val="0"/>
          <w:marTop w:val="0"/>
          <w:marBottom w:val="0"/>
          <w:divBdr>
            <w:top w:val="none" w:sz="0" w:space="0" w:color="auto"/>
            <w:left w:val="none" w:sz="0" w:space="0" w:color="auto"/>
            <w:bottom w:val="none" w:sz="0" w:space="0" w:color="auto"/>
            <w:right w:val="none" w:sz="0" w:space="0" w:color="auto"/>
          </w:divBdr>
          <w:divsChild>
            <w:div w:id="34625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7737">
      <w:bodyDiv w:val="1"/>
      <w:marLeft w:val="0"/>
      <w:marRight w:val="0"/>
      <w:marTop w:val="0"/>
      <w:marBottom w:val="0"/>
      <w:divBdr>
        <w:top w:val="none" w:sz="0" w:space="0" w:color="auto"/>
        <w:left w:val="none" w:sz="0" w:space="0" w:color="auto"/>
        <w:bottom w:val="none" w:sz="0" w:space="0" w:color="auto"/>
        <w:right w:val="none" w:sz="0" w:space="0" w:color="auto"/>
      </w:divBdr>
    </w:div>
    <w:div w:id="97726876">
      <w:bodyDiv w:val="1"/>
      <w:marLeft w:val="0"/>
      <w:marRight w:val="0"/>
      <w:marTop w:val="0"/>
      <w:marBottom w:val="0"/>
      <w:divBdr>
        <w:top w:val="none" w:sz="0" w:space="0" w:color="auto"/>
        <w:left w:val="none" w:sz="0" w:space="0" w:color="auto"/>
        <w:bottom w:val="none" w:sz="0" w:space="0" w:color="auto"/>
        <w:right w:val="none" w:sz="0" w:space="0" w:color="auto"/>
      </w:divBdr>
    </w:div>
    <w:div w:id="101728516">
      <w:bodyDiv w:val="1"/>
      <w:marLeft w:val="0"/>
      <w:marRight w:val="0"/>
      <w:marTop w:val="0"/>
      <w:marBottom w:val="0"/>
      <w:divBdr>
        <w:top w:val="none" w:sz="0" w:space="0" w:color="auto"/>
        <w:left w:val="none" w:sz="0" w:space="0" w:color="auto"/>
        <w:bottom w:val="none" w:sz="0" w:space="0" w:color="auto"/>
        <w:right w:val="none" w:sz="0" w:space="0" w:color="auto"/>
      </w:divBdr>
    </w:div>
    <w:div w:id="102724840">
      <w:bodyDiv w:val="1"/>
      <w:marLeft w:val="0"/>
      <w:marRight w:val="0"/>
      <w:marTop w:val="0"/>
      <w:marBottom w:val="0"/>
      <w:divBdr>
        <w:top w:val="none" w:sz="0" w:space="0" w:color="auto"/>
        <w:left w:val="none" w:sz="0" w:space="0" w:color="auto"/>
        <w:bottom w:val="none" w:sz="0" w:space="0" w:color="auto"/>
        <w:right w:val="none" w:sz="0" w:space="0" w:color="auto"/>
      </w:divBdr>
    </w:div>
    <w:div w:id="104010300">
      <w:bodyDiv w:val="1"/>
      <w:marLeft w:val="0"/>
      <w:marRight w:val="0"/>
      <w:marTop w:val="0"/>
      <w:marBottom w:val="0"/>
      <w:divBdr>
        <w:top w:val="none" w:sz="0" w:space="0" w:color="auto"/>
        <w:left w:val="none" w:sz="0" w:space="0" w:color="auto"/>
        <w:bottom w:val="none" w:sz="0" w:space="0" w:color="auto"/>
        <w:right w:val="none" w:sz="0" w:space="0" w:color="auto"/>
      </w:divBdr>
    </w:div>
    <w:div w:id="107433254">
      <w:bodyDiv w:val="1"/>
      <w:marLeft w:val="0"/>
      <w:marRight w:val="0"/>
      <w:marTop w:val="0"/>
      <w:marBottom w:val="0"/>
      <w:divBdr>
        <w:top w:val="none" w:sz="0" w:space="0" w:color="auto"/>
        <w:left w:val="none" w:sz="0" w:space="0" w:color="auto"/>
        <w:bottom w:val="none" w:sz="0" w:space="0" w:color="auto"/>
        <w:right w:val="none" w:sz="0" w:space="0" w:color="auto"/>
      </w:divBdr>
    </w:div>
    <w:div w:id="107549479">
      <w:bodyDiv w:val="1"/>
      <w:marLeft w:val="0"/>
      <w:marRight w:val="0"/>
      <w:marTop w:val="0"/>
      <w:marBottom w:val="0"/>
      <w:divBdr>
        <w:top w:val="none" w:sz="0" w:space="0" w:color="auto"/>
        <w:left w:val="none" w:sz="0" w:space="0" w:color="auto"/>
        <w:bottom w:val="none" w:sz="0" w:space="0" w:color="auto"/>
        <w:right w:val="none" w:sz="0" w:space="0" w:color="auto"/>
      </w:divBdr>
      <w:divsChild>
        <w:div w:id="7221025">
          <w:marLeft w:val="0"/>
          <w:marRight w:val="0"/>
          <w:marTop w:val="0"/>
          <w:marBottom w:val="0"/>
          <w:divBdr>
            <w:top w:val="none" w:sz="0" w:space="0" w:color="auto"/>
            <w:left w:val="none" w:sz="0" w:space="0" w:color="auto"/>
            <w:bottom w:val="none" w:sz="0" w:space="0" w:color="auto"/>
            <w:right w:val="none" w:sz="0" w:space="0" w:color="auto"/>
          </w:divBdr>
          <w:divsChild>
            <w:div w:id="1896576435">
              <w:marLeft w:val="0"/>
              <w:marRight w:val="0"/>
              <w:marTop w:val="0"/>
              <w:marBottom w:val="0"/>
              <w:divBdr>
                <w:top w:val="none" w:sz="0" w:space="0" w:color="auto"/>
                <w:left w:val="none" w:sz="0" w:space="0" w:color="auto"/>
                <w:bottom w:val="none" w:sz="0" w:space="0" w:color="auto"/>
                <w:right w:val="none" w:sz="0" w:space="0" w:color="auto"/>
              </w:divBdr>
            </w:div>
          </w:divsChild>
        </w:div>
        <w:div w:id="59254461">
          <w:marLeft w:val="0"/>
          <w:marRight w:val="0"/>
          <w:marTop w:val="0"/>
          <w:marBottom w:val="0"/>
          <w:divBdr>
            <w:top w:val="none" w:sz="0" w:space="0" w:color="auto"/>
            <w:left w:val="none" w:sz="0" w:space="0" w:color="auto"/>
            <w:bottom w:val="none" w:sz="0" w:space="0" w:color="auto"/>
            <w:right w:val="none" w:sz="0" w:space="0" w:color="auto"/>
          </w:divBdr>
          <w:divsChild>
            <w:div w:id="78840392">
              <w:marLeft w:val="0"/>
              <w:marRight w:val="0"/>
              <w:marTop w:val="0"/>
              <w:marBottom w:val="0"/>
              <w:divBdr>
                <w:top w:val="none" w:sz="0" w:space="0" w:color="auto"/>
                <w:left w:val="none" w:sz="0" w:space="0" w:color="auto"/>
                <w:bottom w:val="none" w:sz="0" w:space="0" w:color="auto"/>
                <w:right w:val="none" w:sz="0" w:space="0" w:color="auto"/>
              </w:divBdr>
            </w:div>
          </w:divsChild>
        </w:div>
        <w:div w:id="131406314">
          <w:marLeft w:val="0"/>
          <w:marRight w:val="0"/>
          <w:marTop w:val="0"/>
          <w:marBottom w:val="0"/>
          <w:divBdr>
            <w:top w:val="none" w:sz="0" w:space="0" w:color="auto"/>
            <w:left w:val="none" w:sz="0" w:space="0" w:color="auto"/>
            <w:bottom w:val="none" w:sz="0" w:space="0" w:color="auto"/>
            <w:right w:val="none" w:sz="0" w:space="0" w:color="auto"/>
          </w:divBdr>
          <w:divsChild>
            <w:div w:id="1915626559">
              <w:marLeft w:val="0"/>
              <w:marRight w:val="0"/>
              <w:marTop w:val="0"/>
              <w:marBottom w:val="0"/>
              <w:divBdr>
                <w:top w:val="none" w:sz="0" w:space="0" w:color="auto"/>
                <w:left w:val="none" w:sz="0" w:space="0" w:color="auto"/>
                <w:bottom w:val="none" w:sz="0" w:space="0" w:color="auto"/>
                <w:right w:val="none" w:sz="0" w:space="0" w:color="auto"/>
              </w:divBdr>
            </w:div>
          </w:divsChild>
        </w:div>
        <w:div w:id="148523899">
          <w:marLeft w:val="0"/>
          <w:marRight w:val="0"/>
          <w:marTop w:val="0"/>
          <w:marBottom w:val="0"/>
          <w:divBdr>
            <w:top w:val="none" w:sz="0" w:space="0" w:color="auto"/>
            <w:left w:val="none" w:sz="0" w:space="0" w:color="auto"/>
            <w:bottom w:val="none" w:sz="0" w:space="0" w:color="auto"/>
            <w:right w:val="none" w:sz="0" w:space="0" w:color="auto"/>
          </w:divBdr>
          <w:divsChild>
            <w:div w:id="1402949381">
              <w:marLeft w:val="0"/>
              <w:marRight w:val="0"/>
              <w:marTop w:val="0"/>
              <w:marBottom w:val="0"/>
              <w:divBdr>
                <w:top w:val="none" w:sz="0" w:space="0" w:color="auto"/>
                <w:left w:val="none" w:sz="0" w:space="0" w:color="auto"/>
                <w:bottom w:val="none" w:sz="0" w:space="0" w:color="auto"/>
                <w:right w:val="none" w:sz="0" w:space="0" w:color="auto"/>
              </w:divBdr>
            </w:div>
          </w:divsChild>
        </w:div>
        <w:div w:id="337850446">
          <w:marLeft w:val="0"/>
          <w:marRight w:val="0"/>
          <w:marTop w:val="0"/>
          <w:marBottom w:val="0"/>
          <w:divBdr>
            <w:top w:val="none" w:sz="0" w:space="0" w:color="auto"/>
            <w:left w:val="none" w:sz="0" w:space="0" w:color="auto"/>
            <w:bottom w:val="none" w:sz="0" w:space="0" w:color="auto"/>
            <w:right w:val="none" w:sz="0" w:space="0" w:color="auto"/>
          </w:divBdr>
          <w:divsChild>
            <w:div w:id="1560242958">
              <w:marLeft w:val="0"/>
              <w:marRight w:val="0"/>
              <w:marTop w:val="0"/>
              <w:marBottom w:val="0"/>
              <w:divBdr>
                <w:top w:val="none" w:sz="0" w:space="0" w:color="auto"/>
                <w:left w:val="none" w:sz="0" w:space="0" w:color="auto"/>
                <w:bottom w:val="none" w:sz="0" w:space="0" w:color="auto"/>
                <w:right w:val="none" w:sz="0" w:space="0" w:color="auto"/>
              </w:divBdr>
            </w:div>
          </w:divsChild>
        </w:div>
        <w:div w:id="341591522">
          <w:marLeft w:val="0"/>
          <w:marRight w:val="0"/>
          <w:marTop w:val="0"/>
          <w:marBottom w:val="0"/>
          <w:divBdr>
            <w:top w:val="none" w:sz="0" w:space="0" w:color="auto"/>
            <w:left w:val="none" w:sz="0" w:space="0" w:color="auto"/>
            <w:bottom w:val="none" w:sz="0" w:space="0" w:color="auto"/>
            <w:right w:val="none" w:sz="0" w:space="0" w:color="auto"/>
          </w:divBdr>
          <w:divsChild>
            <w:div w:id="1747680535">
              <w:marLeft w:val="0"/>
              <w:marRight w:val="0"/>
              <w:marTop w:val="0"/>
              <w:marBottom w:val="0"/>
              <w:divBdr>
                <w:top w:val="none" w:sz="0" w:space="0" w:color="auto"/>
                <w:left w:val="none" w:sz="0" w:space="0" w:color="auto"/>
                <w:bottom w:val="none" w:sz="0" w:space="0" w:color="auto"/>
                <w:right w:val="none" w:sz="0" w:space="0" w:color="auto"/>
              </w:divBdr>
            </w:div>
          </w:divsChild>
        </w:div>
        <w:div w:id="346908357">
          <w:marLeft w:val="0"/>
          <w:marRight w:val="0"/>
          <w:marTop w:val="0"/>
          <w:marBottom w:val="0"/>
          <w:divBdr>
            <w:top w:val="none" w:sz="0" w:space="0" w:color="auto"/>
            <w:left w:val="none" w:sz="0" w:space="0" w:color="auto"/>
            <w:bottom w:val="none" w:sz="0" w:space="0" w:color="auto"/>
            <w:right w:val="none" w:sz="0" w:space="0" w:color="auto"/>
          </w:divBdr>
          <w:divsChild>
            <w:div w:id="1261252678">
              <w:marLeft w:val="0"/>
              <w:marRight w:val="0"/>
              <w:marTop w:val="0"/>
              <w:marBottom w:val="0"/>
              <w:divBdr>
                <w:top w:val="none" w:sz="0" w:space="0" w:color="auto"/>
                <w:left w:val="none" w:sz="0" w:space="0" w:color="auto"/>
                <w:bottom w:val="none" w:sz="0" w:space="0" w:color="auto"/>
                <w:right w:val="none" w:sz="0" w:space="0" w:color="auto"/>
              </w:divBdr>
            </w:div>
          </w:divsChild>
        </w:div>
        <w:div w:id="388000847">
          <w:marLeft w:val="0"/>
          <w:marRight w:val="0"/>
          <w:marTop w:val="0"/>
          <w:marBottom w:val="0"/>
          <w:divBdr>
            <w:top w:val="none" w:sz="0" w:space="0" w:color="auto"/>
            <w:left w:val="none" w:sz="0" w:space="0" w:color="auto"/>
            <w:bottom w:val="none" w:sz="0" w:space="0" w:color="auto"/>
            <w:right w:val="none" w:sz="0" w:space="0" w:color="auto"/>
          </w:divBdr>
          <w:divsChild>
            <w:div w:id="871265382">
              <w:marLeft w:val="0"/>
              <w:marRight w:val="0"/>
              <w:marTop w:val="0"/>
              <w:marBottom w:val="0"/>
              <w:divBdr>
                <w:top w:val="none" w:sz="0" w:space="0" w:color="auto"/>
                <w:left w:val="none" w:sz="0" w:space="0" w:color="auto"/>
                <w:bottom w:val="none" w:sz="0" w:space="0" w:color="auto"/>
                <w:right w:val="none" w:sz="0" w:space="0" w:color="auto"/>
              </w:divBdr>
            </w:div>
          </w:divsChild>
        </w:div>
        <w:div w:id="432436587">
          <w:marLeft w:val="0"/>
          <w:marRight w:val="0"/>
          <w:marTop w:val="0"/>
          <w:marBottom w:val="0"/>
          <w:divBdr>
            <w:top w:val="none" w:sz="0" w:space="0" w:color="auto"/>
            <w:left w:val="none" w:sz="0" w:space="0" w:color="auto"/>
            <w:bottom w:val="none" w:sz="0" w:space="0" w:color="auto"/>
            <w:right w:val="none" w:sz="0" w:space="0" w:color="auto"/>
          </w:divBdr>
          <w:divsChild>
            <w:div w:id="1449198202">
              <w:marLeft w:val="0"/>
              <w:marRight w:val="0"/>
              <w:marTop w:val="0"/>
              <w:marBottom w:val="0"/>
              <w:divBdr>
                <w:top w:val="none" w:sz="0" w:space="0" w:color="auto"/>
                <w:left w:val="none" w:sz="0" w:space="0" w:color="auto"/>
                <w:bottom w:val="none" w:sz="0" w:space="0" w:color="auto"/>
                <w:right w:val="none" w:sz="0" w:space="0" w:color="auto"/>
              </w:divBdr>
            </w:div>
          </w:divsChild>
        </w:div>
        <w:div w:id="448671741">
          <w:marLeft w:val="0"/>
          <w:marRight w:val="0"/>
          <w:marTop w:val="0"/>
          <w:marBottom w:val="0"/>
          <w:divBdr>
            <w:top w:val="none" w:sz="0" w:space="0" w:color="auto"/>
            <w:left w:val="none" w:sz="0" w:space="0" w:color="auto"/>
            <w:bottom w:val="none" w:sz="0" w:space="0" w:color="auto"/>
            <w:right w:val="none" w:sz="0" w:space="0" w:color="auto"/>
          </w:divBdr>
          <w:divsChild>
            <w:div w:id="1613054304">
              <w:marLeft w:val="0"/>
              <w:marRight w:val="0"/>
              <w:marTop w:val="0"/>
              <w:marBottom w:val="0"/>
              <w:divBdr>
                <w:top w:val="none" w:sz="0" w:space="0" w:color="auto"/>
                <w:left w:val="none" w:sz="0" w:space="0" w:color="auto"/>
                <w:bottom w:val="none" w:sz="0" w:space="0" w:color="auto"/>
                <w:right w:val="none" w:sz="0" w:space="0" w:color="auto"/>
              </w:divBdr>
            </w:div>
          </w:divsChild>
        </w:div>
        <w:div w:id="469589985">
          <w:marLeft w:val="0"/>
          <w:marRight w:val="0"/>
          <w:marTop w:val="0"/>
          <w:marBottom w:val="0"/>
          <w:divBdr>
            <w:top w:val="none" w:sz="0" w:space="0" w:color="auto"/>
            <w:left w:val="none" w:sz="0" w:space="0" w:color="auto"/>
            <w:bottom w:val="none" w:sz="0" w:space="0" w:color="auto"/>
            <w:right w:val="none" w:sz="0" w:space="0" w:color="auto"/>
          </w:divBdr>
          <w:divsChild>
            <w:div w:id="201327870">
              <w:marLeft w:val="0"/>
              <w:marRight w:val="0"/>
              <w:marTop w:val="0"/>
              <w:marBottom w:val="0"/>
              <w:divBdr>
                <w:top w:val="none" w:sz="0" w:space="0" w:color="auto"/>
                <w:left w:val="none" w:sz="0" w:space="0" w:color="auto"/>
                <w:bottom w:val="none" w:sz="0" w:space="0" w:color="auto"/>
                <w:right w:val="none" w:sz="0" w:space="0" w:color="auto"/>
              </w:divBdr>
            </w:div>
          </w:divsChild>
        </w:div>
        <w:div w:id="627785042">
          <w:marLeft w:val="0"/>
          <w:marRight w:val="0"/>
          <w:marTop w:val="0"/>
          <w:marBottom w:val="0"/>
          <w:divBdr>
            <w:top w:val="none" w:sz="0" w:space="0" w:color="auto"/>
            <w:left w:val="none" w:sz="0" w:space="0" w:color="auto"/>
            <w:bottom w:val="none" w:sz="0" w:space="0" w:color="auto"/>
            <w:right w:val="none" w:sz="0" w:space="0" w:color="auto"/>
          </w:divBdr>
          <w:divsChild>
            <w:div w:id="1620062656">
              <w:marLeft w:val="0"/>
              <w:marRight w:val="0"/>
              <w:marTop w:val="0"/>
              <w:marBottom w:val="0"/>
              <w:divBdr>
                <w:top w:val="none" w:sz="0" w:space="0" w:color="auto"/>
                <w:left w:val="none" w:sz="0" w:space="0" w:color="auto"/>
                <w:bottom w:val="none" w:sz="0" w:space="0" w:color="auto"/>
                <w:right w:val="none" w:sz="0" w:space="0" w:color="auto"/>
              </w:divBdr>
            </w:div>
          </w:divsChild>
        </w:div>
        <w:div w:id="631710214">
          <w:marLeft w:val="0"/>
          <w:marRight w:val="0"/>
          <w:marTop w:val="0"/>
          <w:marBottom w:val="0"/>
          <w:divBdr>
            <w:top w:val="none" w:sz="0" w:space="0" w:color="auto"/>
            <w:left w:val="none" w:sz="0" w:space="0" w:color="auto"/>
            <w:bottom w:val="none" w:sz="0" w:space="0" w:color="auto"/>
            <w:right w:val="none" w:sz="0" w:space="0" w:color="auto"/>
          </w:divBdr>
          <w:divsChild>
            <w:div w:id="154542136">
              <w:marLeft w:val="0"/>
              <w:marRight w:val="0"/>
              <w:marTop w:val="0"/>
              <w:marBottom w:val="0"/>
              <w:divBdr>
                <w:top w:val="none" w:sz="0" w:space="0" w:color="auto"/>
                <w:left w:val="none" w:sz="0" w:space="0" w:color="auto"/>
                <w:bottom w:val="none" w:sz="0" w:space="0" w:color="auto"/>
                <w:right w:val="none" w:sz="0" w:space="0" w:color="auto"/>
              </w:divBdr>
            </w:div>
          </w:divsChild>
        </w:div>
        <w:div w:id="665665570">
          <w:marLeft w:val="0"/>
          <w:marRight w:val="0"/>
          <w:marTop w:val="0"/>
          <w:marBottom w:val="0"/>
          <w:divBdr>
            <w:top w:val="none" w:sz="0" w:space="0" w:color="auto"/>
            <w:left w:val="none" w:sz="0" w:space="0" w:color="auto"/>
            <w:bottom w:val="none" w:sz="0" w:space="0" w:color="auto"/>
            <w:right w:val="none" w:sz="0" w:space="0" w:color="auto"/>
          </w:divBdr>
          <w:divsChild>
            <w:div w:id="941306314">
              <w:marLeft w:val="0"/>
              <w:marRight w:val="0"/>
              <w:marTop w:val="0"/>
              <w:marBottom w:val="0"/>
              <w:divBdr>
                <w:top w:val="none" w:sz="0" w:space="0" w:color="auto"/>
                <w:left w:val="none" w:sz="0" w:space="0" w:color="auto"/>
                <w:bottom w:val="none" w:sz="0" w:space="0" w:color="auto"/>
                <w:right w:val="none" w:sz="0" w:space="0" w:color="auto"/>
              </w:divBdr>
            </w:div>
          </w:divsChild>
        </w:div>
        <w:div w:id="688718187">
          <w:marLeft w:val="0"/>
          <w:marRight w:val="0"/>
          <w:marTop w:val="0"/>
          <w:marBottom w:val="0"/>
          <w:divBdr>
            <w:top w:val="none" w:sz="0" w:space="0" w:color="auto"/>
            <w:left w:val="none" w:sz="0" w:space="0" w:color="auto"/>
            <w:bottom w:val="none" w:sz="0" w:space="0" w:color="auto"/>
            <w:right w:val="none" w:sz="0" w:space="0" w:color="auto"/>
          </w:divBdr>
          <w:divsChild>
            <w:div w:id="1572428617">
              <w:marLeft w:val="0"/>
              <w:marRight w:val="0"/>
              <w:marTop w:val="0"/>
              <w:marBottom w:val="0"/>
              <w:divBdr>
                <w:top w:val="none" w:sz="0" w:space="0" w:color="auto"/>
                <w:left w:val="none" w:sz="0" w:space="0" w:color="auto"/>
                <w:bottom w:val="none" w:sz="0" w:space="0" w:color="auto"/>
                <w:right w:val="none" w:sz="0" w:space="0" w:color="auto"/>
              </w:divBdr>
            </w:div>
          </w:divsChild>
        </w:div>
        <w:div w:id="761488779">
          <w:marLeft w:val="0"/>
          <w:marRight w:val="0"/>
          <w:marTop w:val="0"/>
          <w:marBottom w:val="0"/>
          <w:divBdr>
            <w:top w:val="none" w:sz="0" w:space="0" w:color="auto"/>
            <w:left w:val="none" w:sz="0" w:space="0" w:color="auto"/>
            <w:bottom w:val="none" w:sz="0" w:space="0" w:color="auto"/>
            <w:right w:val="none" w:sz="0" w:space="0" w:color="auto"/>
          </w:divBdr>
          <w:divsChild>
            <w:div w:id="945387046">
              <w:marLeft w:val="0"/>
              <w:marRight w:val="0"/>
              <w:marTop w:val="0"/>
              <w:marBottom w:val="0"/>
              <w:divBdr>
                <w:top w:val="none" w:sz="0" w:space="0" w:color="auto"/>
                <w:left w:val="none" w:sz="0" w:space="0" w:color="auto"/>
                <w:bottom w:val="none" w:sz="0" w:space="0" w:color="auto"/>
                <w:right w:val="none" w:sz="0" w:space="0" w:color="auto"/>
              </w:divBdr>
            </w:div>
          </w:divsChild>
        </w:div>
        <w:div w:id="785122600">
          <w:marLeft w:val="0"/>
          <w:marRight w:val="0"/>
          <w:marTop w:val="0"/>
          <w:marBottom w:val="0"/>
          <w:divBdr>
            <w:top w:val="none" w:sz="0" w:space="0" w:color="auto"/>
            <w:left w:val="none" w:sz="0" w:space="0" w:color="auto"/>
            <w:bottom w:val="none" w:sz="0" w:space="0" w:color="auto"/>
            <w:right w:val="none" w:sz="0" w:space="0" w:color="auto"/>
          </w:divBdr>
          <w:divsChild>
            <w:div w:id="1327709616">
              <w:marLeft w:val="0"/>
              <w:marRight w:val="0"/>
              <w:marTop w:val="0"/>
              <w:marBottom w:val="0"/>
              <w:divBdr>
                <w:top w:val="none" w:sz="0" w:space="0" w:color="auto"/>
                <w:left w:val="none" w:sz="0" w:space="0" w:color="auto"/>
                <w:bottom w:val="none" w:sz="0" w:space="0" w:color="auto"/>
                <w:right w:val="none" w:sz="0" w:space="0" w:color="auto"/>
              </w:divBdr>
            </w:div>
          </w:divsChild>
        </w:div>
        <w:div w:id="796490461">
          <w:marLeft w:val="0"/>
          <w:marRight w:val="0"/>
          <w:marTop w:val="0"/>
          <w:marBottom w:val="0"/>
          <w:divBdr>
            <w:top w:val="none" w:sz="0" w:space="0" w:color="auto"/>
            <w:left w:val="none" w:sz="0" w:space="0" w:color="auto"/>
            <w:bottom w:val="none" w:sz="0" w:space="0" w:color="auto"/>
            <w:right w:val="none" w:sz="0" w:space="0" w:color="auto"/>
          </w:divBdr>
          <w:divsChild>
            <w:div w:id="915015979">
              <w:marLeft w:val="0"/>
              <w:marRight w:val="0"/>
              <w:marTop w:val="0"/>
              <w:marBottom w:val="0"/>
              <w:divBdr>
                <w:top w:val="none" w:sz="0" w:space="0" w:color="auto"/>
                <w:left w:val="none" w:sz="0" w:space="0" w:color="auto"/>
                <w:bottom w:val="none" w:sz="0" w:space="0" w:color="auto"/>
                <w:right w:val="none" w:sz="0" w:space="0" w:color="auto"/>
              </w:divBdr>
            </w:div>
            <w:div w:id="1345325502">
              <w:marLeft w:val="0"/>
              <w:marRight w:val="0"/>
              <w:marTop w:val="0"/>
              <w:marBottom w:val="0"/>
              <w:divBdr>
                <w:top w:val="none" w:sz="0" w:space="0" w:color="auto"/>
                <w:left w:val="none" w:sz="0" w:space="0" w:color="auto"/>
                <w:bottom w:val="none" w:sz="0" w:space="0" w:color="auto"/>
                <w:right w:val="none" w:sz="0" w:space="0" w:color="auto"/>
              </w:divBdr>
            </w:div>
            <w:div w:id="1566988536">
              <w:marLeft w:val="0"/>
              <w:marRight w:val="0"/>
              <w:marTop w:val="0"/>
              <w:marBottom w:val="0"/>
              <w:divBdr>
                <w:top w:val="none" w:sz="0" w:space="0" w:color="auto"/>
                <w:left w:val="none" w:sz="0" w:space="0" w:color="auto"/>
                <w:bottom w:val="none" w:sz="0" w:space="0" w:color="auto"/>
                <w:right w:val="none" w:sz="0" w:space="0" w:color="auto"/>
              </w:divBdr>
            </w:div>
          </w:divsChild>
        </w:div>
        <w:div w:id="854807816">
          <w:marLeft w:val="0"/>
          <w:marRight w:val="0"/>
          <w:marTop w:val="0"/>
          <w:marBottom w:val="0"/>
          <w:divBdr>
            <w:top w:val="none" w:sz="0" w:space="0" w:color="auto"/>
            <w:left w:val="none" w:sz="0" w:space="0" w:color="auto"/>
            <w:bottom w:val="none" w:sz="0" w:space="0" w:color="auto"/>
            <w:right w:val="none" w:sz="0" w:space="0" w:color="auto"/>
          </w:divBdr>
          <w:divsChild>
            <w:div w:id="493642580">
              <w:marLeft w:val="0"/>
              <w:marRight w:val="0"/>
              <w:marTop w:val="0"/>
              <w:marBottom w:val="0"/>
              <w:divBdr>
                <w:top w:val="none" w:sz="0" w:space="0" w:color="auto"/>
                <w:left w:val="none" w:sz="0" w:space="0" w:color="auto"/>
                <w:bottom w:val="none" w:sz="0" w:space="0" w:color="auto"/>
                <w:right w:val="none" w:sz="0" w:space="0" w:color="auto"/>
              </w:divBdr>
            </w:div>
          </w:divsChild>
        </w:div>
        <w:div w:id="945160935">
          <w:marLeft w:val="0"/>
          <w:marRight w:val="0"/>
          <w:marTop w:val="0"/>
          <w:marBottom w:val="0"/>
          <w:divBdr>
            <w:top w:val="none" w:sz="0" w:space="0" w:color="auto"/>
            <w:left w:val="none" w:sz="0" w:space="0" w:color="auto"/>
            <w:bottom w:val="none" w:sz="0" w:space="0" w:color="auto"/>
            <w:right w:val="none" w:sz="0" w:space="0" w:color="auto"/>
          </w:divBdr>
          <w:divsChild>
            <w:div w:id="570309664">
              <w:marLeft w:val="0"/>
              <w:marRight w:val="0"/>
              <w:marTop w:val="0"/>
              <w:marBottom w:val="0"/>
              <w:divBdr>
                <w:top w:val="none" w:sz="0" w:space="0" w:color="auto"/>
                <w:left w:val="none" w:sz="0" w:space="0" w:color="auto"/>
                <w:bottom w:val="none" w:sz="0" w:space="0" w:color="auto"/>
                <w:right w:val="none" w:sz="0" w:space="0" w:color="auto"/>
              </w:divBdr>
            </w:div>
          </w:divsChild>
        </w:div>
        <w:div w:id="962806337">
          <w:marLeft w:val="0"/>
          <w:marRight w:val="0"/>
          <w:marTop w:val="0"/>
          <w:marBottom w:val="0"/>
          <w:divBdr>
            <w:top w:val="none" w:sz="0" w:space="0" w:color="auto"/>
            <w:left w:val="none" w:sz="0" w:space="0" w:color="auto"/>
            <w:bottom w:val="none" w:sz="0" w:space="0" w:color="auto"/>
            <w:right w:val="none" w:sz="0" w:space="0" w:color="auto"/>
          </w:divBdr>
          <w:divsChild>
            <w:div w:id="1781335505">
              <w:marLeft w:val="0"/>
              <w:marRight w:val="0"/>
              <w:marTop w:val="0"/>
              <w:marBottom w:val="0"/>
              <w:divBdr>
                <w:top w:val="none" w:sz="0" w:space="0" w:color="auto"/>
                <w:left w:val="none" w:sz="0" w:space="0" w:color="auto"/>
                <w:bottom w:val="none" w:sz="0" w:space="0" w:color="auto"/>
                <w:right w:val="none" w:sz="0" w:space="0" w:color="auto"/>
              </w:divBdr>
            </w:div>
          </w:divsChild>
        </w:div>
        <w:div w:id="978072231">
          <w:marLeft w:val="0"/>
          <w:marRight w:val="0"/>
          <w:marTop w:val="0"/>
          <w:marBottom w:val="0"/>
          <w:divBdr>
            <w:top w:val="none" w:sz="0" w:space="0" w:color="auto"/>
            <w:left w:val="none" w:sz="0" w:space="0" w:color="auto"/>
            <w:bottom w:val="none" w:sz="0" w:space="0" w:color="auto"/>
            <w:right w:val="none" w:sz="0" w:space="0" w:color="auto"/>
          </w:divBdr>
          <w:divsChild>
            <w:div w:id="38209114">
              <w:marLeft w:val="0"/>
              <w:marRight w:val="0"/>
              <w:marTop w:val="0"/>
              <w:marBottom w:val="0"/>
              <w:divBdr>
                <w:top w:val="none" w:sz="0" w:space="0" w:color="auto"/>
                <w:left w:val="none" w:sz="0" w:space="0" w:color="auto"/>
                <w:bottom w:val="none" w:sz="0" w:space="0" w:color="auto"/>
                <w:right w:val="none" w:sz="0" w:space="0" w:color="auto"/>
              </w:divBdr>
            </w:div>
          </w:divsChild>
        </w:div>
        <w:div w:id="986207101">
          <w:marLeft w:val="0"/>
          <w:marRight w:val="0"/>
          <w:marTop w:val="0"/>
          <w:marBottom w:val="0"/>
          <w:divBdr>
            <w:top w:val="none" w:sz="0" w:space="0" w:color="auto"/>
            <w:left w:val="none" w:sz="0" w:space="0" w:color="auto"/>
            <w:bottom w:val="none" w:sz="0" w:space="0" w:color="auto"/>
            <w:right w:val="none" w:sz="0" w:space="0" w:color="auto"/>
          </w:divBdr>
          <w:divsChild>
            <w:div w:id="786701449">
              <w:marLeft w:val="0"/>
              <w:marRight w:val="0"/>
              <w:marTop w:val="0"/>
              <w:marBottom w:val="0"/>
              <w:divBdr>
                <w:top w:val="none" w:sz="0" w:space="0" w:color="auto"/>
                <w:left w:val="none" w:sz="0" w:space="0" w:color="auto"/>
                <w:bottom w:val="none" w:sz="0" w:space="0" w:color="auto"/>
                <w:right w:val="none" w:sz="0" w:space="0" w:color="auto"/>
              </w:divBdr>
            </w:div>
          </w:divsChild>
        </w:div>
        <w:div w:id="1016886446">
          <w:marLeft w:val="0"/>
          <w:marRight w:val="0"/>
          <w:marTop w:val="0"/>
          <w:marBottom w:val="0"/>
          <w:divBdr>
            <w:top w:val="none" w:sz="0" w:space="0" w:color="auto"/>
            <w:left w:val="none" w:sz="0" w:space="0" w:color="auto"/>
            <w:bottom w:val="none" w:sz="0" w:space="0" w:color="auto"/>
            <w:right w:val="none" w:sz="0" w:space="0" w:color="auto"/>
          </w:divBdr>
          <w:divsChild>
            <w:div w:id="205487391">
              <w:marLeft w:val="0"/>
              <w:marRight w:val="0"/>
              <w:marTop w:val="0"/>
              <w:marBottom w:val="0"/>
              <w:divBdr>
                <w:top w:val="none" w:sz="0" w:space="0" w:color="auto"/>
                <w:left w:val="none" w:sz="0" w:space="0" w:color="auto"/>
                <w:bottom w:val="none" w:sz="0" w:space="0" w:color="auto"/>
                <w:right w:val="none" w:sz="0" w:space="0" w:color="auto"/>
              </w:divBdr>
            </w:div>
          </w:divsChild>
        </w:div>
        <w:div w:id="1021054022">
          <w:marLeft w:val="0"/>
          <w:marRight w:val="0"/>
          <w:marTop w:val="0"/>
          <w:marBottom w:val="0"/>
          <w:divBdr>
            <w:top w:val="none" w:sz="0" w:space="0" w:color="auto"/>
            <w:left w:val="none" w:sz="0" w:space="0" w:color="auto"/>
            <w:bottom w:val="none" w:sz="0" w:space="0" w:color="auto"/>
            <w:right w:val="none" w:sz="0" w:space="0" w:color="auto"/>
          </w:divBdr>
          <w:divsChild>
            <w:div w:id="1043671501">
              <w:marLeft w:val="0"/>
              <w:marRight w:val="0"/>
              <w:marTop w:val="0"/>
              <w:marBottom w:val="0"/>
              <w:divBdr>
                <w:top w:val="none" w:sz="0" w:space="0" w:color="auto"/>
                <w:left w:val="none" w:sz="0" w:space="0" w:color="auto"/>
                <w:bottom w:val="none" w:sz="0" w:space="0" w:color="auto"/>
                <w:right w:val="none" w:sz="0" w:space="0" w:color="auto"/>
              </w:divBdr>
            </w:div>
          </w:divsChild>
        </w:div>
        <w:div w:id="1031102725">
          <w:marLeft w:val="0"/>
          <w:marRight w:val="0"/>
          <w:marTop w:val="0"/>
          <w:marBottom w:val="0"/>
          <w:divBdr>
            <w:top w:val="none" w:sz="0" w:space="0" w:color="auto"/>
            <w:left w:val="none" w:sz="0" w:space="0" w:color="auto"/>
            <w:bottom w:val="none" w:sz="0" w:space="0" w:color="auto"/>
            <w:right w:val="none" w:sz="0" w:space="0" w:color="auto"/>
          </w:divBdr>
          <w:divsChild>
            <w:div w:id="1275215017">
              <w:marLeft w:val="0"/>
              <w:marRight w:val="0"/>
              <w:marTop w:val="0"/>
              <w:marBottom w:val="0"/>
              <w:divBdr>
                <w:top w:val="none" w:sz="0" w:space="0" w:color="auto"/>
                <w:left w:val="none" w:sz="0" w:space="0" w:color="auto"/>
                <w:bottom w:val="none" w:sz="0" w:space="0" w:color="auto"/>
                <w:right w:val="none" w:sz="0" w:space="0" w:color="auto"/>
              </w:divBdr>
            </w:div>
          </w:divsChild>
        </w:div>
        <w:div w:id="1072391627">
          <w:marLeft w:val="0"/>
          <w:marRight w:val="0"/>
          <w:marTop w:val="0"/>
          <w:marBottom w:val="0"/>
          <w:divBdr>
            <w:top w:val="none" w:sz="0" w:space="0" w:color="auto"/>
            <w:left w:val="none" w:sz="0" w:space="0" w:color="auto"/>
            <w:bottom w:val="none" w:sz="0" w:space="0" w:color="auto"/>
            <w:right w:val="none" w:sz="0" w:space="0" w:color="auto"/>
          </w:divBdr>
          <w:divsChild>
            <w:div w:id="1065958279">
              <w:marLeft w:val="0"/>
              <w:marRight w:val="0"/>
              <w:marTop w:val="0"/>
              <w:marBottom w:val="0"/>
              <w:divBdr>
                <w:top w:val="none" w:sz="0" w:space="0" w:color="auto"/>
                <w:left w:val="none" w:sz="0" w:space="0" w:color="auto"/>
                <w:bottom w:val="none" w:sz="0" w:space="0" w:color="auto"/>
                <w:right w:val="none" w:sz="0" w:space="0" w:color="auto"/>
              </w:divBdr>
            </w:div>
          </w:divsChild>
        </w:div>
        <w:div w:id="1084456338">
          <w:marLeft w:val="0"/>
          <w:marRight w:val="0"/>
          <w:marTop w:val="0"/>
          <w:marBottom w:val="0"/>
          <w:divBdr>
            <w:top w:val="none" w:sz="0" w:space="0" w:color="auto"/>
            <w:left w:val="none" w:sz="0" w:space="0" w:color="auto"/>
            <w:bottom w:val="none" w:sz="0" w:space="0" w:color="auto"/>
            <w:right w:val="none" w:sz="0" w:space="0" w:color="auto"/>
          </w:divBdr>
          <w:divsChild>
            <w:div w:id="301083069">
              <w:marLeft w:val="0"/>
              <w:marRight w:val="0"/>
              <w:marTop w:val="0"/>
              <w:marBottom w:val="0"/>
              <w:divBdr>
                <w:top w:val="none" w:sz="0" w:space="0" w:color="auto"/>
                <w:left w:val="none" w:sz="0" w:space="0" w:color="auto"/>
                <w:bottom w:val="none" w:sz="0" w:space="0" w:color="auto"/>
                <w:right w:val="none" w:sz="0" w:space="0" w:color="auto"/>
              </w:divBdr>
            </w:div>
          </w:divsChild>
        </w:div>
        <w:div w:id="1130319496">
          <w:marLeft w:val="0"/>
          <w:marRight w:val="0"/>
          <w:marTop w:val="0"/>
          <w:marBottom w:val="0"/>
          <w:divBdr>
            <w:top w:val="none" w:sz="0" w:space="0" w:color="auto"/>
            <w:left w:val="none" w:sz="0" w:space="0" w:color="auto"/>
            <w:bottom w:val="none" w:sz="0" w:space="0" w:color="auto"/>
            <w:right w:val="none" w:sz="0" w:space="0" w:color="auto"/>
          </w:divBdr>
          <w:divsChild>
            <w:div w:id="1010449641">
              <w:marLeft w:val="0"/>
              <w:marRight w:val="0"/>
              <w:marTop w:val="0"/>
              <w:marBottom w:val="0"/>
              <w:divBdr>
                <w:top w:val="none" w:sz="0" w:space="0" w:color="auto"/>
                <w:left w:val="none" w:sz="0" w:space="0" w:color="auto"/>
                <w:bottom w:val="none" w:sz="0" w:space="0" w:color="auto"/>
                <w:right w:val="none" w:sz="0" w:space="0" w:color="auto"/>
              </w:divBdr>
            </w:div>
          </w:divsChild>
        </w:div>
        <w:div w:id="1142574221">
          <w:marLeft w:val="0"/>
          <w:marRight w:val="0"/>
          <w:marTop w:val="0"/>
          <w:marBottom w:val="0"/>
          <w:divBdr>
            <w:top w:val="none" w:sz="0" w:space="0" w:color="auto"/>
            <w:left w:val="none" w:sz="0" w:space="0" w:color="auto"/>
            <w:bottom w:val="none" w:sz="0" w:space="0" w:color="auto"/>
            <w:right w:val="none" w:sz="0" w:space="0" w:color="auto"/>
          </w:divBdr>
          <w:divsChild>
            <w:div w:id="2030594714">
              <w:marLeft w:val="0"/>
              <w:marRight w:val="0"/>
              <w:marTop w:val="0"/>
              <w:marBottom w:val="0"/>
              <w:divBdr>
                <w:top w:val="none" w:sz="0" w:space="0" w:color="auto"/>
                <w:left w:val="none" w:sz="0" w:space="0" w:color="auto"/>
                <w:bottom w:val="none" w:sz="0" w:space="0" w:color="auto"/>
                <w:right w:val="none" w:sz="0" w:space="0" w:color="auto"/>
              </w:divBdr>
            </w:div>
          </w:divsChild>
        </w:div>
        <w:div w:id="1167021118">
          <w:marLeft w:val="0"/>
          <w:marRight w:val="0"/>
          <w:marTop w:val="0"/>
          <w:marBottom w:val="0"/>
          <w:divBdr>
            <w:top w:val="none" w:sz="0" w:space="0" w:color="auto"/>
            <w:left w:val="none" w:sz="0" w:space="0" w:color="auto"/>
            <w:bottom w:val="none" w:sz="0" w:space="0" w:color="auto"/>
            <w:right w:val="none" w:sz="0" w:space="0" w:color="auto"/>
          </w:divBdr>
          <w:divsChild>
            <w:div w:id="1084960666">
              <w:marLeft w:val="0"/>
              <w:marRight w:val="0"/>
              <w:marTop w:val="0"/>
              <w:marBottom w:val="0"/>
              <w:divBdr>
                <w:top w:val="none" w:sz="0" w:space="0" w:color="auto"/>
                <w:left w:val="none" w:sz="0" w:space="0" w:color="auto"/>
                <w:bottom w:val="none" w:sz="0" w:space="0" w:color="auto"/>
                <w:right w:val="none" w:sz="0" w:space="0" w:color="auto"/>
              </w:divBdr>
            </w:div>
            <w:div w:id="1469126482">
              <w:marLeft w:val="0"/>
              <w:marRight w:val="0"/>
              <w:marTop w:val="0"/>
              <w:marBottom w:val="0"/>
              <w:divBdr>
                <w:top w:val="none" w:sz="0" w:space="0" w:color="auto"/>
                <w:left w:val="none" w:sz="0" w:space="0" w:color="auto"/>
                <w:bottom w:val="none" w:sz="0" w:space="0" w:color="auto"/>
                <w:right w:val="none" w:sz="0" w:space="0" w:color="auto"/>
              </w:divBdr>
            </w:div>
          </w:divsChild>
        </w:div>
        <w:div w:id="1294366864">
          <w:marLeft w:val="0"/>
          <w:marRight w:val="0"/>
          <w:marTop w:val="0"/>
          <w:marBottom w:val="0"/>
          <w:divBdr>
            <w:top w:val="none" w:sz="0" w:space="0" w:color="auto"/>
            <w:left w:val="none" w:sz="0" w:space="0" w:color="auto"/>
            <w:bottom w:val="none" w:sz="0" w:space="0" w:color="auto"/>
            <w:right w:val="none" w:sz="0" w:space="0" w:color="auto"/>
          </w:divBdr>
          <w:divsChild>
            <w:div w:id="1427076279">
              <w:marLeft w:val="0"/>
              <w:marRight w:val="0"/>
              <w:marTop w:val="0"/>
              <w:marBottom w:val="0"/>
              <w:divBdr>
                <w:top w:val="none" w:sz="0" w:space="0" w:color="auto"/>
                <w:left w:val="none" w:sz="0" w:space="0" w:color="auto"/>
                <w:bottom w:val="none" w:sz="0" w:space="0" w:color="auto"/>
                <w:right w:val="none" w:sz="0" w:space="0" w:color="auto"/>
              </w:divBdr>
            </w:div>
          </w:divsChild>
        </w:div>
        <w:div w:id="1347439674">
          <w:marLeft w:val="0"/>
          <w:marRight w:val="0"/>
          <w:marTop w:val="0"/>
          <w:marBottom w:val="0"/>
          <w:divBdr>
            <w:top w:val="none" w:sz="0" w:space="0" w:color="auto"/>
            <w:left w:val="none" w:sz="0" w:space="0" w:color="auto"/>
            <w:bottom w:val="none" w:sz="0" w:space="0" w:color="auto"/>
            <w:right w:val="none" w:sz="0" w:space="0" w:color="auto"/>
          </w:divBdr>
          <w:divsChild>
            <w:div w:id="763648556">
              <w:marLeft w:val="0"/>
              <w:marRight w:val="0"/>
              <w:marTop w:val="0"/>
              <w:marBottom w:val="0"/>
              <w:divBdr>
                <w:top w:val="none" w:sz="0" w:space="0" w:color="auto"/>
                <w:left w:val="none" w:sz="0" w:space="0" w:color="auto"/>
                <w:bottom w:val="none" w:sz="0" w:space="0" w:color="auto"/>
                <w:right w:val="none" w:sz="0" w:space="0" w:color="auto"/>
              </w:divBdr>
            </w:div>
            <w:div w:id="800341712">
              <w:marLeft w:val="0"/>
              <w:marRight w:val="0"/>
              <w:marTop w:val="0"/>
              <w:marBottom w:val="0"/>
              <w:divBdr>
                <w:top w:val="none" w:sz="0" w:space="0" w:color="auto"/>
                <w:left w:val="none" w:sz="0" w:space="0" w:color="auto"/>
                <w:bottom w:val="none" w:sz="0" w:space="0" w:color="auto"/>
                <w:right w:val="none" w:sz="0" w:space="0" w:color="auto"/>
              </w:divBdr>
            </w:div>
            <w:div w:id="2002659252">
              <w:marLeft w:val="0"/>
              <w:marRight w:val="0"/>
              <w:marTop w:val="0"/>
              <w:marBottom w:val="0"/>
              <w:divBdr>
                <w:top w:val="none" w:sz="0" w:space="0" w:color="auto"/>
                <w:left w:val="none" w:sz="0" w:space="0" w:color="auto"/>
                <w:bottom w:val="none" w:sz="0" w:space="0" w:color="auto"/>
                <w:right w:val="none" w:sz="0" w:space="0" w:color="auto"/>
              </w:divBdr>
            </w:div>
          </w:divsChild>
        </w:div>
        <w:div w:id="1373922546">
          <w:marLeft w:val="0"/>
          <w:marRight w:val="0"/>
          <w:marTop w:val="0"/>
          <w:marBottom w:val="0"/>
          <w:divBdr>
            <w:top w:val="none" w:sz="0" w:space="0" w:color="auto"/>
            <w:left w:val="none" w:sz="0" w:space="0" w:color="auto"/>
            <w:bottom w:val="none" w:sz="0" w:space="0" w:color="auto"/>
            <w:right w:val="none" w:sz="0" w:space="0" w:color="auto"/>
          </w:divBdr>
          <w:divsChild>
            <w:div w:id="1716201930">
              <w:marLeft w:val="0"/>
              <w:marRight w:val="0"/>
              <w:marTop w:val="0"/>
              <w:marBottom w:val="0"/>
              <w:divBdr>
                <w:top w:val="none" w:sz="0" w:space="0" w:color="auto"/>
                <w:left w:val="none" w:sz="0" w:space="0" w:color="auto"/>
                <w:bottom w:val="none" w:sz="0" w:space="0" w:color="auto"/>
                <w:right w:val="none" w:sz="0" w:space="0" w:color="auto"/>
              </w:divBdr>
            </w:div>
          </w:divsChild>
        </w:div>
        <w:div w:id="1377974756">
          <w:marLeft w:val="0"/>
          <w:marRight w:val="0"/>
          <w:marTop w:val="0"/>
          <w:marBottom w:val="0"/>
          <w:divBdr>
            <w:top w:val="none" w:sz="0" w:space="0" w:color="auto"/>
            <w:left w:val="none" w:sz="0" w:space="0" w:color="auto"/>
            <w:bottom w:val="none" w:sz="0" w:space="0" w:color="auto"/>
            <w:right w:val="none" w:sz="0" w:space="0" w:color="auto"/>
          </w:divBdr>
          <w:divsChild>
            <w:div w:id="1292324288">
              <w:marLeft w:val="0"/>
              <w:marRight w:val="0"/>
              <w:marTop w:val="0"/>
              <w:marBottom w:val="0"/>
              <w:divBdr>
                <w:top w:val="none" w:sz="0" w:space="0" w:color="auto"/>
                <w:left w:val="none" w:sz="0" w:space="0" w:color="auto"/>
                <w:bottom w:val="none" w:sz="0" w:space="0" w:color="auto"/>
                <w:right w:val="none" w:sz="0" w:space="0" w:color="auto"/>
              </w:divBdr>
            </w:div>
          </w:divsChild>
        </w:div>
        <w:div w:id="1440219409">
          <w:marLeft w:val="0"/>
          <w:marRight w:val="0"/>
          <w:marTop w:val="0"/>
          <w:marBottom w:val="0"/>
          <w:divBdr>
            <w:top w:val="none" w:sz="0" w:space="0" w:color="auto"/>
            <w:left w:val="none" w:sz="0" w:space="0" w:color="auto"/>
            <w:bottom w:val="none" w:sz="0" w:space="0" w:color="auto"/>
            <w:right w:val="none" w:sz="0" w:space="0" w:color="auto"/>
          </w:divBdr>
          <w:divsChild>
            <w:div w:id="1207183535">
              <w:marLeft w:val="0"/>
              <w:marRight w:val="0"/>
              <w:marTop w:val="0"/>
              <w:marBottom w:val="0"/>
              <w:divBdr>
                <w:top w:val="none" w:sz="0" w:space="0" w:color="auto"/>
                <w:left w:val="none" w:sz="0" w:space="0" w:color="auto"/>
                <w:bottom w:val="none" w:sz="0" w:space="0" w:color="auto"/>
                <w:right w:val="none" w:sz="0" w:space="0" w:color="auto"/>
              </w:divBdr>
            </w:div>
          </w:divsChild>
        </w:div>
        <w:div w:id="1451627611">
          <w:marLeft w:val="0"/>
          <w:marRight w:val="0"/>
          <w:marTop w:val="0"/>
          <w:marBottom w:val="0"/>
          <w:divBdr>
            <w:top w:val="none" w:sz="0" w:space="0" w:color="auto"/>
            <w:left w:val="none" w:sz="0" w:space="0" w:color="auto"/>
            <w:bottom w:val="none" w:sz="0" w:space="0" w:color="auto"/>
            <w:right w:val="none" w:sz="0" w:space="0" w:color="auto"/>
          </w:divBdr>
          <w:divsChild>
            <w:div w:id="770244740">
              <w:marLeft w:val="0"/>
              <w:marRight w:val="0"/>
              <w:marTop w:val="0"/>
              <w:marBottom w:val="0"/>
              <w:divBdr>
                <w:top w:val="none" w:sz="0" w:space="0" w:color="auto"/>
                <w:left w:val="none" w:sz="0" w:space="0" w:color="auto"/>
                <w:bottom w:val="none" w:sz="0" w:space="0" w:color="auto"/>
                <w:right w:val="none" w:sz="0" w:space="0" w:color="auto"/>
              </w:divBdr>
            </w:div>
          </w:divsChild>
        </w:div>
        <w:div w:id="1488084790">
          <w:marLeft w:val="0"/>
          <w:marRight w:val="0"/>
          <w:marTop w:val="0"/>
          <w:marBottom w:val="0"/>
          <w:divBdr>
            <w:top w:val="none" w:sz="0" w:space="0" w:color="auto"/>
            <w:left w:val="none" w:sz="0" w:space="0" w:color="auto"/>
            <w:bottom w:val="none" w:sz="0" w:space="0" w:color="auto"/>
            <w:right w:val="none" w:sz="0" w:space="0" w:color="auto"/>
          </w:divBdr>
          <w:divsChild>
            <w:div w:id="465659143">
              <w:marLeft w:val="0"/>
              <w:marRight w:val="0"/>
              <w:marTop w:val="0"/>
              <w:marBottom w:val="0"/>
              <w:divBdr>
                <w:top w:val="none" w:sz="0" w:space="0" w:color="auto"/>
                <w:left w:val="none" w:sz="0" w:space="0" w:color="auto"/>
                <w:bottom w:val="none" w:sz="0" w:space="0" w:color="auto"/>
                <w:right w:val="none" w:sz="0" w:space="0" w:color="auto"/>
              </w:divBdr>
            </w:div>
          </w:divsChild>
        </w:div>
        <w:div w:id="1488668493">
          <w:marLeft w:val="0"/>
          <w:marRight w:val="0"/>
          <w:marTop w:val="0"/>
          <w:marBottom w:val="0"/>
          <w:divBdr>
            <w:top w:val="none" w:sz="0" w:space="0" w:color="auto"/>
            <w:left w:val="none" w:sz="0" w:space="0" w:color="auto"/>
            <w:bottom w:val="none" w:sz="0" w:space="0" w:color="auto"/>
            <w:right w:val="none" w:sz="0" w:space="0" w:color="auto"/>
          </w:divBdr>
          <w:divsChild>
            <w:div w:id="1361006787">
              <w:marLeft w:val="0"/>
              <w:marRight w:val="0"/>
              <w:marTop w:val="0"/>
              <w:marBottom w:val="0"/>
              <w:divBdr>
                <w:top w:val="none" w:sz="0" w:space="0" w:color="auto"/>
                <w:left w:val="none" w:sz="0" w:space="0" w:color="auto"/>
                <w:bottom w:val="none" w:sz="0" w:space="0" w:color="auto"/>
                <w:right w:val="none" w:sz="0" w:space="0" w:color="auto"/>
              </w:divBdr>
            </w:div>
          </w:divsChild>
        </w:div>
        <w:div w:id="1514415349">
          <w:marLeft w:val="0"/>
          <w:marRight w:val="0"/>
          <w:marTop w:val="0"/>
          <w:marBottom w:val="0"/>
          <w:divBdr>
            <w:top w:val="none" w:sz="0" w:space="0" w:color="auto"/>
            <w:left w:val="none" w:sz="0" w:space="0" w:color="auto"/>
            <w:bottom w:val="none" w:sz="0" w:space="0" w:color="auto"/>
            <w:right w:val="none" w:sz="0" w:space="0" w:color="auto"/>
          </w:divBdr>
          <w:divsChild>
            <w:div w:id="1232084296">
              <w:marLeft w:val="0"/>
              <w:marRight w:val="0"/>
              <w:marTop w:val="0"/>
              <w:marBottom w:val="0"/>
              <w:divBdr>
                <w:top w:val="none" w:sz="0" w:space="0" w:color="auto"/>
                <w:left w:val="none" w:sz="0" w:space="0" w:color="auto"/>
                <w:bottom w:val="none" w:sz="0" w:space="0" w:color="auto"/>
                <w:right w:val="none" w:sz="0" w:space="0" w:color="auto"/>
              </w:divBdr>
            </w:div>
          </w:divsChild>
        </w:div>
        <w:div w:id="1534418495">
          <w:marLeft w:val="0"/>
          <w:marRight w:val="0"/>
          <w:marTop w:val="0"/>
          <w:marBottom w:val="0"/>
          <w:divBdr>
            <w:top w:val="none" w:sz="0" w:space="0" w:color="auto"/>
            <w:left w:val="none" w:sz="0" w:space="0" w:color="auto"/>
            <w:bottom w:val="none" w:sz="0" w:space="0" w:color="auto"/>
            <w:right w:val="none" w:sz="0" w:space="0" w:color="auto"/>
          </w:divBdr>
          <w:divsChild>
            <w:div w:id="661664694">
              <w:marLeft w:val="0"/>
              <w:marRight w:val="0"/>
              <w:marTop w:val="0"/>
              <w:marBottom w:val="0"/>
              <w:divBdr>
                <w:top w:val="none" w:sz="0" w:space="0" w:color="auto"/>
                <w:left w:val="none" w:sz="0" w:space="0" w:color="auto"/>
                <w:bottom w:val="none" w:sz="0" w:space="0" w:color="auto"/>
                <w:right w:val="none" w:sz="0" w:space="0" w:color="auto"/>
              </w:divBdr>
            </w:div>
          </w:divsChild>
        </w:div>
        <w:div w:id="1538815470">
          <w:marLeft w:val="0"/>
          <w:marRight w:val="0"/>
          <w:marTop w:val="0"/>
          <w:marBottom w:val="0"/>
          <w:divBdr>
            <w:top w:val="none" w:sz="0" w:space="0" w:color="auto"/>
            <w:left w:val="none" w:sz="0" w:space="0" w:color="auto"/>
            <w:bottom w:val="none" w:sz="0" w:space="0" w:color="auto"/>
            <w:right w:val="none" w:sz="0" w:space="0" w:color="auto"/>
          </w:divBdr>
          <w:divsChild>
            <w:div w:id="2029478361">
              <w:marLeft w:val="0"/>
              <w:marRight w:val="0"/>
              <w:marTop w:val="0"/>
              <w:marBottom w:val="0"/>
              <w:divBdr>
                <w:top w:val="none" w:sz="0" w:space="0" w:color="auto"/>
                <w:left w:val="none" w:sz="0" w:space="0" w:color="auto"/>
                <w:bottom w:val="none" w:sz="0" w:space="0" w:color="auto"/>
                <w:right w:val="none" w:sz="0" w:space="0" w:color="auto"/>
              </w:divBdr>
            </w:div>
          </w:divsChild>
        </w:div>
        <w:div w:id="1562398004">
          <w:marLeft w:val="0"/>
          <w:marRight w:val="0"/>
          <w:marTop w:val="0"/>
          <w:marBottom w:val="0"/>
          <w:divBdr>
            <w:top w:val="none" w:sz="0" w:space="0" w:color="auto"/>
            <w:left w:val="none" w:sz="0" w:space="0" w:color="auto"/>
            <w:bottom w:val="none" w:sz="0" w:space="0" w:color="auto"/>
            <w:right w:val="none" w:sz="0" w:space="0" w:color="auto"/>
          </w:divBdr>
          <w:divsChild>
            <w:div w:id="672101813">
              <w:marLeft w:val="0"/>
              <w:marRight w:val="0"/>
              <w:marTop w:val="0"/>
              <w:marBottom w:val="0"/>
              <w:divBdr>
                <w:top w:val="none" w:sz="0" w:space="0" w:color="auto"/>
                <w:left w:val="none" w:sz="0" w:space="0" w:color="auto"/>
                <w:bottom w:val="none" w:sz="0" w:space="0" w:color="auto"/>
                <w:right w:val="none" w:sz="0" w:space="0" w:color="auto"/>
              </w:divBdr>
            </w:div>
          </w:divsChild>
        </w:div>
        <w:div w:id="1568151939">
          <w:marLeft w:val="0"/>
          <w:marRight w:val="0"/>
          <w:marTop w:val="0"/>
          <w:marBottom w:val="0"/>
          <w:divBdr>
            <w:top w:val="none" w:sz="0" w:space="0" w:color="auto"/>
            <w:left w:val="none" w:sz="0" w:space="0" w:color="auto"/>
            <w:bottom w:val="none" w:sz="0" w:space="0" w:color="auto"/>
            <w:right w:val="none" w:sz="0" w:space="0" w:color="auto"/>
          </w:divBdr>
          <w:divsChild>
            <w:div w:id="1341740087">
              <w:marLeft w:val="0"/>
              <w:marRight w:val="0"/>
              <w:marTop w:val="0"/>
              <w:marBottom w:val="0"/>
              <w:divBdr>
                <w:top w:val="none" w:sz="0" w:space="0" w:color="auto"/>
                <w:left w:val="none" w:sz="0" w:space="0" w:color="auto"/>
                <w:bottom w:val="none" w:sz="0" w:space="0" w:color="auto"/>
                <w:right w:val="none" w:sz="0" w:space="0" w:color="auto"/>
              </w:divBdr>
            </w:div>
          </w:divsChild>
        </w:div>
        <w:div w:id="1612932921">
          <w:marLeft w:val="0"/>
          <w:marRight w:val="0"/>
          <w:marTop w:val="0"/>
          <w:marBottom w:val="0"/>
          <w:divBdr>
            <w:top w:val="none" w:sz="0" w:space="0" w:color="auto"/>
            <w:left w:val="none" w:sz="0" w:space="0" w:color="auto"/>
            <w:bottom w:val="none" w:sz="0" w:space="0" w:color="auto"/>
            <w:right w:val="none" w:sz="0" w:space="0" w:color="auto"/>
          </w:divBdr>
          <w:divsChild>
            <w:div w:id="1014382092">
              <w:marLeft w:val="0"/>
              <w:marRight w:val="0"/>
              <w:marTop w:val="0"/>
              <w:marBottom w:val="0"/>
              <w:divBdr>
                <w:top w:val="none" w:sz="0" w:space="0" w:color="auto"/>
                <w:left w:val="none" w:sz="0" w:space="0" w:color="auto"/>
                <w:bottom w:val="none" w:sz="0" w:space="0" w:color="auto"/>
                <w:right w:val="none" w:sz="0" w:space="0" w:color="auto"/>
              </w:divBdr>
            </w:div>
          </w:divsChild>
        </w:div>
        <w:div w:id="1615863432">
          <w:marLeft w:val="0"/>
          <w:marRight w:val="0"/>
          <w:marTop w:val="0"/>
          <w:marBottom w:val="0"/>
          <w:divBdr>
            <w:top w:val="none" w:sz="0" w:space="0" w:color="auto"/>
            <w:left w:val="none" w:sz="0" w:space="0" w:color="auto"/>
            <w:bottom w:val="none" w:sz="0" w:space="0" w:color="auto"/>
            <w:right w:val="none" w:sz="0" w:space="0" w:color="auto"/>
          </w:divBdr>
          <w:divsChild>
            <w:div w:id="702557089">
              <w:marLeft w:val="0"/>
              <w:marRight w:val="0"/>
              <w:marTop w:val="0"/>
              <w:marBottom w:val="0"/>
              <w:divBdr>
                <w:top w:val="none" w:sz="0" w:space="0" w:color="auto"/>
                <w:left w:val="none" w:sz="0" w:space="0" w:color="auto"/>
                <w:bottom w:val="none" w:sz="0" w:space="0" w:color="auto"/>
                <w:right w:val="none" w:sz="0" w:space="0" w:color="auto"/>
              </w:divBdr>
            </w:div>
          </w:divsChild>
        </w:div>
        <w:div w:id="1653678916">
          <w:marLeft w:val="0"/>
          <w:marRight w:val="0"/>
          <w:marTop w:val="0"/>
          <w:marBottom w:val="0"/>
          <w:divBdr>
            <w:top w:val="none" w:sz="0" w:space="0" w:color="auto"/>
            <w:left w:val="none" w:sz="0" w:space="0" w:color="auto"/>
            <w:bottom w:val="none" w:sz="0" w:space="0" w:color="auto"/>
            <w:right w:val="none" w:sz="0" w:space="0" w:color="auto"/>
          </w:divBdr>
          <w:divsChild>
            <w:div w:id="1055816445">
              <w:marLeft w:val="0"/>
              <w:marRight w:val="0"/>
              <w:marTop w:val="0"/>
              <w:marBottom w:val="0"/>
              <w:divBdr>
                <w:top w:val="none" w:sz="0" w:space="0" w:color="auto"/>
                <w:left w:val="none" w:sz="0" w:space="0" w:color="auto"/>
                <w:bottom w:val="none" w:sz="0" w:space="0" w:color="auto"/>
                <w:right w:val="none" w:sz="0" w:space="0" w:color="auto"/>
              </w:divBdr>
            </w:div>
          </w:divsChild>
        </w:div>
        <w:div w:id="1691880164">
          <w:marLeft w:val="0"/>
          <w:marRight w:val="0"/>
          <w:marTop w:val="0"/>
          <w:marBottom w:val="0"/>
          <w:divBdr>
            <w:top w:val="none" w:sz="0" w:space="0" w:color="auto"/>
            <w:left w:val="none" w:sz="0" w:space="0" w:color="auto"/>
            <w:bottom w:val="none" w:sz="0" w:space="0" w:color="auto"/>
            <w:right w:val="none" w:sz="0" w:space="0" w:color="auto"/>
          </w:divBdr>
          <w:divsChild>
            <w:div w:id="1399086109">
              <w:marLeft w:val="0"/>
              <w:marRight w:val="0"/>
              <w:marTop w:val="0"/>
              <w:marBottom w:val="0"/>
              <w:divBdr>
                <w:top w:val="none" w:sz="0" w:space="0" w:color="auto"/>
                <w:left w:val="none" w:sz="0" w:space="0" w:color="auto"/>
                <w:bottom w:val="none" w:sz="0" w:space="0" w:color="auto"/>
                <w:right w:val="none" w:sz="0" w:space="0" w:color="auto"/>
              </w:divBdr>
            </w:div>
          </w:divsChild>
        </w:div>
        <w:div w:id="1727332794">
          <w:marLeft w:val="0"/>
          <w:marRight w:val="0"/>
          <w:marTop w:val="0"/>
          <w:marBottom w:val="0"/>
          <w:divBdr>
            <w:top w:val="none" w:sz="0" w:space="0" w:color="auto"/>
            <w:left w:val="none" w:sz="0" w:space="0" w:color="auto"/>
            <w:bottom w:val="none" w:sz="0" w:space="0" w:color="auto"/>
            <w:right w:val="none" w:sz="0" w:space="0" w:color="auto"/>
          </w:divBdr>
          <w:divsChild>
            <w:div w:id="28261800">
              <w:marLeft w:val="0"/>
              <w:marRight w:val="0"/>
              <w:marTop w:val="0"/>
              <w:marBottom w:val="0"/>
              <w:divBdr>
                <w:top w:val="none" w:sz="0" w:space="0" w:color="auto"/>
                <w:left w:val="none" w:sz="0" w:space="0" w:color="auto"/>
                <w:bottom w:val="none" w:sz="0" w:space="0" w:color="auto"/>
                <w:right w:val="none" w:sz="0" w:space="0" w:color="auto"/>
              </w:divBdr>
            </w:div>
          </w:divsChild>
        </w:div>
        <w:div w:id="1732192116">
          <w:marLeft w:val="0"/>
          <w:marRight w:val="0"/>
          <w:marTop w:val="0"/>
          <w:marBottom w:val="0"/>
          <w:divBdr>
            <w:top w:val="none" w:sz="0" w:space="0" w:color="auto"/>
            <w:left w:val="none" w:sz="0" w:space="0" w:color="auto"/>
            <w:bottom w:val="none" w:sz="0" w:space="0" w:color="auto"/>
            <w:right w:val="none" w:sz="0" w:space="0" w:color="auto"/>
          </w:divBdr>
          <w:divsChild>
            <w:div w:id="851147747">
              <w:marLeft w:val="0"/>
              <w:marRight w:val="0"/>
              <w:marTop w:val="0"/>
              <w:marBottom w:val="0"/>
              <w:divBdr>
                <w:top w:val="none" w:sz="0" w:space="0" w:color="auto"/>
                <w:left w:val="none" w:sz="0" w:space="0" w:color="auto"/>
                <w:bottom w:val="none" w:sz="0" w:space="0" w:color="auto"/>
                <w:right w:val="none" w:sz="0" w:space="0" w:color="auto"/>
              </w:divBdr>
            </w:div>
          </w:divsChild>
        </w:div>
        <w:div w:id="1836651328">
          <w:marLeft w:val="0"/>
          <w:marRight w:val="0"/>
          <w:marTop w:val="0"/>
          <w:marBottom w:val="0"/>
          <w:divBdr>
            <w:top w:val="none" w:sz="0" w:space="0" w:color="auto"/>
            <w:left w:val="none" w:sz="0" w:space="0" w:color="auto"/>
            <w:bottom w:val="none" w:sz="0" w:space="0" w:color="auto"/>
            <w:right w:val="none" w:sz="0" w:space="0" w:color="auto"/>
          </w:divBdr>
          <w:divsChild>
            <w:div w:id="2043435237">
              <w:marLeft w:val="0"/>
              <w:marRight w:val="0"/>
              <w:marTop w:val="0"/>
              <w:marBottom w:val="0"/>
              <w:divBdr>
                <w:top w:val="none" w:sz="0" w:space="0" w:color="auto"/>
                <w:left w:val="none" w:sz="0" w:space="0" w:color="auto"/>
                <w:bottom w:val="none" w:sz="0" w:space="0" w:color="auto"/>
                <w:right w:val="none" w:sz="0" w:space="0" w:color="auto"/>
              </w:divBdr>
            </w:div>
          </w:divsChild>
        </w:div>
        <w:div w:id="1858349049">
          <w:marLeft w:val="0"/>
          <w:marRight w:val="0"/>
          <w:marTop w:val="0"/>
          <w:marBottom w:val="0"/>
          <w:divBdr>
            <w:top w:val="none" w:sz="0" w:space="0" w:color="auto"/>
            <w:left w:val="none" w:sz="0" w:space="0" w:color="auto"/>
            <w:bottom w:val="none" w:sz="0" w:space="0" w:color="auto"/>
            <w:right w:val="none" w:sz="0" w:space="0" w:color="auto"/>
          </w:divBdr>
          <w:divsChild>
            <w:div w:id="526063317">
              <w:marLeft w:val="0"/>
              <w:marRight w:val="0"/>
              <w:marTop w:val="0"/>
              <w:marBottom w:val="0"/>
              <w:divBdr>
                <w:top w:val="none" w:sz="0" w:space="0" w:color="auto"/>
                <w:left w:val="none" w:sz="0" w:space="0" w:color="auto"/>
                <w:bottom w:val="none" w:sz="0" w:space="0" w:color="auto"/>
                <w:right w:val="none" w:sz="0" w:space="0" w:color="auto"/>
              </w:divBdr>
            </w:div>
          </w:divsChild>
        </w:div>
        <w:div w:id="1887255332">
          <w:marLeft w:val="0"/>
          <w:marRight w:val="0"/>
          <w:marTop w:val="0"/>
          <w:marBottom w:val="0"/>
          <w:divBdr>
            <w:top w:val="none" w:sz="0" w:space="0" w:color="auto"/>
            <w:left w:val="none" w:sz="0" w:space="0" w:color="auto"/>
            <w:bottom w:val="none" w:sz="0" w:space="0" w:color="auto"/>
            <w:right w:val="none" w:sz="0" w:space="0" w:color="auto"/>
          </w:divBdr>
          <w:divsChild>
            <w:div w:id="854004647">
              <w:marLeft w:val="0"/>
              <w:marRight w:val="0"/>
              <w:marTop w:val="0"/>
              <w:marBottom w:val="0"/>
              <w:divBdr>
                <w:top w:val="none" w:sz="0" w:space="0" w:color="auto"/>
                <w:left w:val="none" w:sz="0" w:space="0" w:color="auto"/>
                <w:bottom w:val="none" w:sz="0" w:space="0" w:color="auto"/>
                <w:right w:val="none" w:sz="0" w:space="0" w:color="auto"/>
              </w:divBdr>
            </w:div>
          </w:divsChild>
        </w:div>
        <w:div w:id="1902596158">
          <w:marLeft w:val="0"/>
          <w:marRight w:val="0"/>
          <w:marTop w:val="0"/>
          <w:marBottom w:val="0"/>
          <w:divBdr>
            <w:top w:val="none" w:sz="0" w:space="0" w:color="auto"/>
            <w:left w:val="none" w:sz="0" w:space="0" w:color="auto"/>
            <w:bottom w:val="none" w:sz="0" w:space="0" w:color="auto"/>
            <w:right w:val="none" w:sz="0" w:space="0" w:color="auto"/>
          </w:divBdr>
          <w:divsChild>
            <w:div w:id="87972947">
              <w:marLeft w:val="0"/>
              <w:marRight w:val="0"/>
              <w:marTop w:val="0"/>
              <w:marBottom w:val="0"/>
              <w:divBdr>
                <w:top w:val="none" w:sz="0" w:space="0" w:color="auto"/>
                <w:left w:val="none" w:sz="0" w:space="0" w:color="auto"/>
                <w:bottom w:val="none" w:sz="0" w:space="0" w:color="auto"/>
                <w:right w:val="none" w:sz="0" w:space="0" w:color="auto"/>
              </w:divBdr>
            </w:div>
          </w:divsChild>
        </w:div>
        <w:div w:id="1920096553">
          <w:marLeft w:val="0"/>
          <w:marRight w:val="0"/>
          <w:marTop w:val="0"/>
          <w:marBottom w:val="0"/>
          <w:divBdr>
            <w:top w:val="none" w:sz="0" w:space="0" w:color="auto"/>
            <w:left w:val="none" w:sz="0" w:space="0" w:color="auto"/>
            <w:bottom w:val="none" w:sz="0" w:space="0" w:color="auto"/>
            <w:right w:val="none" w:sz="0" w:space="0" w:color="auto"/>
          </w:divBdr>
          <w:divsChild>
            <w:div w:id="2018771581">
              <w:marLeft w:val="0"/>
              <w:marRight w:val="0"/>
              <w:marTop w:val="0"/>
              <w:marBottom w:val="0"/>
              <w:divBdr>
                <w:top w:val="none" w:sz="0" w:space="0" w:color="auto"/>
                <w:left w:val="none" w:sz="0" w:space="0" w:color="auto"/>
                <w:bottom w:val="none" w:sz="0" w:space="0" w:color="auto"/>
                <w:right w:val="none" w:sz="0" w:space="0" w:color="auto"/>
              </w:divBdr>
            </w:div>
          </w:divsChild>
        </w:div>
        <w:div w:id="1920165058">
          <w:marLeft w:val="0"/>
          <w:marRight w:val="0"/>
          <w:marTop w:val="0"/>
          <w:marBottom w:val="0"/>
          <w:divBdr>
            <w:top w:val="none" w:sz="0" w:space="0" w:color="auto"/>
            <w:left w:val="none" w:sz="0" w:space="0" w:color="auto"/>
            <w:bottom w:val="none" w:sz="0" w:space="0" w:color="auto"/>
            <w:right w:val="none" w:sz="0" w:space="0" w:color="auto"/>
          </w:divBdr>
          <w:divsChild>
            <w:div w:id="1842966145">
              <w:marLeft w:val="0"/>
              <w:marRight w:val="0"/>
              <w:marTop w:val="0"/>
              <w:marBottom w:val="0"/>
              <w:divBdr>
                <w:top w:val="none" w:sz="0" w:space="0" w:color="auto"/>
                <w:left w:val="none" w:sz="0" w:space="0" w:color="auto"/>
                <w:bottom w:val="none" w:sz="0" w:space="0" w:color="auto"/>
                <w:right w:val="none" w:sz="0" w:space="0" w:color="auto"/>
              </w:divBdr>
            </w:div>
          </w:divsChild>
        </w:div>
        <w:div w:id="1961951557">
          <w:marLeft w:val="0"/>
          <w:marRight w:val="0"/>
          <w:marTop w:val="0"/>
          <w:marBottom w:val="0"/>
          <w:divBdr>
            <w:top w:val="none" w:sz="0" w:space="0" w:color="auto"/>
            <w:left w:val="none" w:sz="0" w:space="0" w:color="auto"/>
            <w:bottom w:val="none" w:sz="0" w:space="0" w:color="auto"/>
            <w:right w:val="none" w:sz="0" w:space="0" w:color="auto"/>
          </w:divBdr>
          <w:divsChild>
            <w:div w:id="1765297250">
              <w:marLeft w:val="0"/>
              <w:marRight w:val="0"/>
              <w:marTop w:val="0"/>
              <w:marBottom w:val="0"/>
              <w:divBdr>
                <w:top w:val="none" w:sz="0" w:space="0" w:color="auto"/>
                <w:left w:val="none" w:sz="0" w:space="0" w:color="auto"/>
                <w:bottom w:val="none" w:sz="0" w:space="0" w:color="auto"/>
                <w:right w:val="none" w:sz="0" w:space="0" w:color="auto"/>
              </w:divBdr>
            </w:div>
          </w:divsChild>
        </w:div>
        <w:div w:id="1969310897">
          <w:marLeft w:val="0"/>
          <w:marRight w:val="0"/>
          <w:marTop w:val="0"/>
          <w:marBottom w:val="0"/>
          <w:divBdr>
            <w:top w:val="none" w:sz="0" w:space="0" w:color="auto"/>
            <w:left w:val="none" w:sz="0" w:space="0" w:color="auto"/>
            <w:bottom w:val="none" w:sz="0" w:space="0" w:color="auto"/>
            <w:right w:val="none" w:sz="0" w:space="0" w:color="auto"/>
          </w:divBdr>
          <w:divsChild>
            <w:div w:id="1696300551">
              <w:marLeft w:val="0"/>
              <w:marRight w:val="0"/>
              <w:marTop w:val="0"/>
              <w:marBottom w:val="0"/>
              <w:divBdr>
                <w:top w:val="none" w:sz="0" w:space="0" w:color="auto"/>
                <w:left w:val="none" w:sz="0" w:space="0" w:color="auto"/>
                <w:bottom w:val="none" w:sz="0" w:space="0" w:color="auto"/>
                <w:right w:val="none" w:sz="0" w:space="0" w:color="auto"/>
              </w:divBdr>
            </w:div>
          </w:divsChild>
        </w:div>
        <w:div w:id="1986619375">
          <w:marLeft w:val="0"/>
          <w:marRight w:val="0"/>
          <w:marTop w:val="0"/>
          <w:marBottom w:val="0"/>
          <w:divBdr>
            <w:top w:val="none" w:sz="0" w:space="0" w:color="auto"/>
            <w:left w:val="none" w:sz="0" w:space="0" w:color="auto"/>
            <w:bottom w:val="none" w:sz="0" w:space="0" w:color="auto"/>
            <w:right w:val="none" w:sz="0" w:space="0" w:color="auto"/>
          </w:divBdr>
          <w:divsChild>
            <w:div w:id="1605724337">
              <w:marLeft w:val="0"/>
              <w:marRight w:val="0"/>
              <w:marTop w:val="0"/>
              <w:marBottom w:val="0"/>
              <w:divBdr>
                <w:top w:val="none" w:sz="0" w:space="0" w:color="auto"/>
                <w:left w:val="none" w:sz="0" w:space="0" w:color="auto"/>
                <w:bottom w:val="none" w:sz="0" w:space="0" w:color="auto"/>
                <w:right w:val="none" w:sz="0" w:space="0" w:color="auto"/>
              </w:divBdr>
            </w:div>
          </w:divsChild>
        </w:div>
        <w:div w:id="2013484342">
          <w:marLeft w:val="0"/>
          <w:marRight w:val="0"/>
          <w:marTop w:val="0"/>
          <w:marBottom w:val="0"/>
          <w:divBdr>
            <w:top w:val="none" w:sz="0" w:space="0" w:color="auto"/>
            <w:left w:val="none" w:sz="0" w:space="0" w:color="auto"/>
            <w:bottom w:val="none" w:sz="0" w:space="0" w:color="auto"/>
            <w:right w:val="none" w:sz="0" w:space="0" w:color="auto"/>
          </w:divBdr>
          <w:divsChild>
            <w:div w:id="638462542">
              <w:marLeft w:val="0"/>
              <w:marRight w:val="0"/>
              <w:marTop w:val="0"/>
              <w:marBottom w:val="0"/>
              <w:divBdr>
                <w:top w:val="none" w:sz="0" w:space="0" w:color="auto"/>
                <w:left w:val="none" w:sz="0" w:space="0" w:color="auto"/>
                <w:bottom w:val="none" w:sz="0" w:space="0" w:color="auto"/>
                <w:right w:val="none" w:sz="0" w:space="0" w:color="auto"/>
              </w:divBdr>
            </w:div>
          </w:divsChild>
        </w:div>
        <w:div w:id="2082944107">
          <w:marLeft w:val="0"/>
          <w:marRight w:val="0"/>
          <w:marTop w:val="0"/>
          <w:marBottom w:val="0"/>
          <w:divBdr>
            <w:top w:val="none" w:sz="0" w:space="0" w:color="auto"/>
            <w:left w:val="none" w:sz="0" w:space="0" w:color="auto"/>
            <w:bottom w:val="none" w:sz="0" w:space="0" w:color="auto"/>
            <w:right w:val="none" w:sz="0" w:space="0" w:color="auto"/>
          </w:divBdr>
          <w:divsChild>
            <w:div w:id="1465003975">
              <w:marLeft w:val="0"/>
              <w:marRight w:val="0"/>
              <w:marTop w:val="0"/>
              <w:marBottom w:val="0"/>
              <w:divBdr>
                <w:top w:val="none" w:sz="0" w:space="0" w:color="auto"/>
                <w:left w:val="none" w:sz="0" w:space="0" w:color="auto"/>
                <w:bottom w:val="none" w:sz="0" w:space="0" w:color="auto"/>
                <w:right w:val="none" w:sz="0" w:space="0" w:color="auto"/>
              </w:divBdr>
            </w:div>
          </w:divsChild>
        </w:div>
        <w:div w:id="2100834126">
          <w:marLeft w:val="0"/>
          <w:marRight w:val="0"/>
          <w:marTop w:val="0"/>
          <w:marBottom w:val="0"/>
          <w:divBdr>
            <w:top w:val="none" w:sz="0" w:space="0" w:color="auto"/>
            <w:left w:val="none" w:sz="0" w:space="0" w:color="auto"/>
            <w:bottom w:val="none" w:sz="0" w:space="0" w:color="auto"/>
            <w:right w:val="none" w:sz="0" w:space="0" w:color="auto"/>
          </w:divBdr>
          <w:divsChild>
            <w:div w:id="1246380987">
              <w:marLeft w:val="0"/>
              <w:marRight w:val="0"/>
              <w:marTop w:val="0"/>
              <w:marBottom w:val="0"/>
              <w:divBdr>
                <w:top w:val="none" w:sz="0" w:space="0" w:color="auto"/>
                <w:left w:val="none" w:sz="0" w:space="0" w:color="auto"/>
                <w:bottom w:val="none" w:sz="0" w:space="0" w:color="auto"/>
                <w:right w:val="none" w:sz="0" w:space="0" w:color="auto"/>
              </w:divBdr>
            </w:div>
          </w:divsChild>
        </w:div>
        <w:div w:id="2102487526">
          <w:marLeft w:val="0"/>
          <w:marRight w:val="0"/>
          <w:marTop w:val="0"/>
          <w:marBottom w:val="0"/>
          <w:divBdr>
            <w:top w:val="none" w:sz="0" w:space="0" w:color="auto"/>
            <w:left w:val="none" w:sz="0" w:space="0" w:color="auto"/>
            <w:bottom w:val="none" w:sz="0" w:space="0" w:color="auto"/>
            <w:right w:val="none" w:sz="0" w:space="0" w:color="auto"/>
          </w:divBdr>
          <w:divsChild>
            <w:div w:id="722757662">
              <w:marLeft w:val="0"/>
              <w:marRight w:val="0"/>
              <w:marTop w:val="0"/>
              <w:marBottom w:val="0"/>
              <w:divBdr>
                <w:top w:val="none" w:sz="0" w:space="0" w:color="auto"/>
                <w:left w:val="none" w:sz="0" w:space="0" w:color="auto"/>
                <w:bottom w:val="none" w:sz="0" w:space="0" w:color="auto"/>
                <w:right w:val="none" w:sz="0" w:space="0" w:color="auto"/>
              </w:divBdr>
            </w:div>
          </w:divsChild>
        </w:div>
        <w:div w:id="2116320844">
          <w:marLeft w:val="0"/>
          <w:marRight w:val="0"/>
          <w:marTop w:val="0"/>
          <w:marBottom w:val="0"/>
          <w:divBdr>
            <w:top w:val="none" w:sz="0" w:space="0" w:color="auto"/>
            <w:left w:val="none" w:sz="0" w:space="0" w:color="auto"/>
            <w:bottom w:val="none" w:sz="0" w:space="0" w:color="auto"/>
            <w:right w:val="none" w:sz="0" w:space="0" w:color="auto"/>
          </w:divBdr>
          <w:divsChild>
            <w:div w:id="16015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3942">
      <w:bodyDiv w:val="1"/>
      <w:marLeft w:val="0"/>
      <w:marRight w:val="0"/>
      <w:marTop w:val="0"/>
      <w:marBottom w:val="0"/>
      <w:divBdr>
        <w:top w:val="none" w:sz="0" w:space="0" w:color="auto"/>
        <w:left w:val="none" w:sz="0" w:space="0" w:color="auto"/>
        <w:bottom w:val="none" w:sz="0" w:space="0" w:color="auto"/>
        <w:right w:val="none" w:sz="0" w:space="0" w:color="auto"/>
      </w:divBdr>
      <w:divsChild>
        <w:div w:id="196546254">
          <w:marLeft w:val="0"/>
          <w:marRight w:val="0"/>
          <w:marTop w:val="0"/>
          <w:marBottom w:val="0"/>
          <w:divBdr>
            <w:top w:val="none" w:sz="0" w:space="0" w:color="auto"/>
            <w:left w:val="none" w:sz="0" w:space="0" w:color="auto"/>
            <w:bottom w:val="none" w:sz="0" w:space="0" w:color="auto"/>
            <w:right w:val="none" w:sz="0" w:space="0" w:color="auto"/>
          </w:divBdr>
          <w:divsChild>
            <w:div w:id="994719474">
              <w:marLeft w:val="0"/>
              <w:marRight w:val="0"/>
              <w:marTop w:val="0"/>
              <w:marBottom w:val="0"/>
              <w:divBdr>
                <w:top w:val="none" w:sz="0" w:space="0" w:color="auto"/>
                <w:left w:val="none" w:sz="0" w:space="0" w:color="auto"/>
                <w:bottom w:val="none" w:sz="0" w:space="0" w:color="auto"/>
                <w:right w:val="none" w:sz="0" w:space="0" w:color="auto"/>
              </w:divBdr>
              <w:divsChild>
                <w:div w:id="1103497542">
                  <w:marLeft w:val="0"/>
                  <w:marRight w:val="0"/>
                  <w:marTop w:val="0"/>
                  <w:marBottom w:val="0"/>
                  <w:divBdr>
                    <w:top w:val="none" w:sz="0" w:space="0" w:color="auto"/>
                    <w:left w:val="none" w:sz="0" w:space="0" w:color="auto"/>
                    <w:bottom w:val="none" w:sz="0" w:space="0" w:color="auto"/>
                    <w:right w:val="none" w:sz="0" w:space="0" w:color="auto"/>
                  </w:divBdr>
                  <w:divsChild>
                    <w:div w:id="1837334215">
                      <w:marLeft w:val="0"/>
                      <w:marRight w:val="0"/>
                      <w:marTop w:val="0"/>
                      <w:marBottom w:val="0"/>
                      <w:divBdr>
                        <w:top w:val="none" w:sz="0" w:space="0" w:color="auto"/>
                        <w:left w:val="none" w:sz="0" w:space="0" w:color="auto"/>
                        <w:bottom w:val="none" w:sz="0" w:space="0" w:color="auto"/>
                        <w:right w:val="none" w:sz="0" w:space="0" w:color="auto"/>
                      </w:divBdr>
                      <w:divsChild>
                        <w:div w:id="203889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85613">
      <w:bodyDiv w:val="1"/>
      <w:marLeft w:val="0"/>
      <w:marRight w:val="0"/>
      <w:marTop w:val="0"/>
      <w:marBottom w:val="0"/>
      <w:divBdr>
        <w:top w:val="none" w:sz="0" w:space="0" w:color="auto"/>
        <w:left w:val="none" w:sz="0" w:space="0" w:color="auto"/>
        <w:bottom w:val="none" w:sz="0" w:space="0" w:color="auto"/>
        <w:right w:val="none" w:sz="0" w:space="0" w:color="auto"/>
      </w:divBdr>
    </w:div>
    <w:div w:id="128324619">
      <w:bodyDiv w:val="1"/>
      <w:marLeft w:val="0"/>
      <w:marRight w:val="0"/>
      <w:marTop w:val="0"/>
      <w:marBottom w:val="0"/>
      <w:divBdr>
        <w:top w:val="none" w:sz="0" w:space="0" w:color="auto"/>
        <w:left w:val="none" w:sz="0" w:space="0" w:color="auto"/>
        <w:bottom w:val="none" w:sz="0" w:space="0" w:color="auto"/>
        <w:right w:val="none" w:sz="0" w:space="0" w:color="auto"/>
      </w:divBdr>
    </w:div>
    <w:div w:id="132187356">
      <w:bodyDiv w:val="1"/>
      <w:marLeft w:val="0"/>
      <w:marRight w:val="0"/>
      <w:marTop w:val="0"/>
      <w:marBottom w:val="0"/>
      <w:divBdr>
        <w:top w:val="none" w:sz="0" w:space="0" w:color="auto"/>
        <w:left w:val="none" w:sz="0" w:space="0" w:color="auto"/>
        <w:bottom w:val="none" w:sz="0" w:space="0" w:color="auto"/>
        <w:right w:val="none" w:sz="0" w:space="0" w:color="auto"/>
      </w:divBdr>
    </w:div>
    <w:div w:id="133522712">
      <w:bodyDiv w:val="1"/>
      <w:marLeft w:val="0"/>
      <w:marRight w:val="0"/>
      <w:marTop w:val="0"/>
      <w:marBottom w:val="0"/>
      <w:divBdr>
        <w:top w:val="none" w:sz="0" w:space="0" w:color="auto"/>
        <w:left w:val="none" w:sz="0" w:space="0" w:color="auto"/>
        <w:bottom w:val="none" w:sz="0" w:space="0" w:color="auto"/>
        <w:right w:val="none" w:sz="0" w:space="0" w:color="auto"/>
      </w:divBdr>
    </w:div>
    <w:div w:id="147209458">
      <w:bodyDiv w:val="1"/>
      <w:marLeft w:val="0"/>
      <w:marRight w:val="0"/>
      <w:marTop w:val="0"/>
      <w:marBottom w:val="0"/>
      <w:divBdr>
        <w:top w:val="none" w:sz="0" w:space="0" w:color="auto"/>
        <w:left w:val="none" w:sz="0" w:space="0" w:color="auto"/>
        <w:bottom w:val="none" w:sz="0" w:space="0" w:color="auto"/>
        <w:right w:val="none" w:sz="0" w:space="0" w:color="auto"/>
      </w:divBdr>
      <w:divsChild>
        <w:div w:id="826552964">
          <w:marLeft w:val="0"/>
          <w:marRight w:val="0"/>
          <w:marTop w:val="0"/>
          <w:marBottom w:val="0"/>
          <w:divBdr>
            <w:top w:val="none" w:sz="0" w:space="0" w:color="auto"/>
            <w:left w:val="none" w:sz="0" w:space="0" w:color="auto"/>
            <w:bottom w:val="none" w:sz="0" w:space="0" w:color="auto"/>
            <w:right w:val="none" w:sz="0" w:space="0" w:color="auto"/>
          </w:divBdr>
        </w:div>
      </w:divsChild>
    </w:div>
    <w:div w:id="153108905">
      <w:bodyDiv w:val="1"/>
      <w:marLeft w:val="0"/>
      <w:marRight w:val="0"/>
      <w:marTop w:val="0"/>
      <w:marBottom w:val="0"/>
      <w:divBdr>
        <w:top w:val="none" w:sz="0" w:space="0" w:color="auto"/>
        <w:left w:val="none" w:sz="0" w:space="0" w:color="auto"/>
        <w:bottom w:val="none" w:sz="0" w:space="0" w:color="auto"/>
        <w:right w:val="none" w:sz="0" w:space="0" w:color="auto"/>
      </w:divBdr>
    </w:div>
    <w:div w:id="154229988">
      <w:bodyDiv w:val="1"/>
      <w:marLeft w:val="0"/>
      <w:marRight w:val="0"/>
      <w:marTop w:val="0"/>
      <w:marBottom w:val="0"/>
      <w:divBdr>
        <w:top w:val="none" w:sz="0" w:space="0" w:color="auto"/>
        <w:left w:val="none" w:sz="0" w:space="0" w:color="auto"/>
        <w:bottom w:val="none" w:sz="0" w:space="0" w:color="auto"/>
        <w:right w:val="none" w:sz="0" w:space="0" w:color="auto"/>
      </w:divBdr>
    </w:div>
    <w:div w:id="155196174">
      <w:bodyDiv w:val="1"/>
      <w:marLeft w:val="0"/>
      <w:marRight w:val="0"/>
      <w:marTop w:val="0"/>
      <w:marBottom w:val="0"/>
      <w:divBdr>
        <w:top w:val="none" w:sz="0" w:space="0" w:color="auto"/>
        <w:left w:val="none" w:sz="0" w:space="0" w:color="auto"/>
        <w:bottom w:val="none" w:sz="0" w:space="0" w:color="auto"/>
        <w:right w:val="none" w:sz="0" w:space="0" w:color="auto"/>
      </w:divBdr>
    </w:div>
    <w:div w:id="171723725">
      <w:bodyDiv w:val="1"/>
      <w:marLeft w:val="0"/>
      <w:marRight w:val="0"/>
      <w:marTop w:val="0"/>
      <w:marBottom w:val="0"/>
      <w:divBdr>
        <w:top w:val="none" w:sz="0" w:space="0" w:color="auto"/>
        <w:left w:val="none" w:sz="0" w:space="0" w:color="auto"/>
        <w:bottom w:val="none" w:sz="0" w:space="0" w:color="auto"/>
        <w:right w:val="none" w:sz="0" w:space="0" w:color="auto"/>
      </w:divBdr>
    </w:div>
    <w:div w:id="171916699">
      <w:bodyDiv w:val="1"/>
      <w:marLeft w:val="0"/>
      <w:marRight w:val="0"/>
      <w:marTop w:val="0"/>
      <w:marBottom w:val="0"/>
      <w:divBdr>
        <w:top w:val="none" w:sz="0" w:space="0" w:color="auto"/>
        <w:left w:val="none" w:sz="0" w:space="0" w:color="auto"/>
        <w:bottom w:val="none" w:sz="0" w:space="0" w:color="auto"/>
        <w:right w:val="none" w:sz="0" w:space="0" w:color="auto"/>
      </w:divBdr>
    </w:div>
    <w:div w:id="179779800">
      <w:bodyDiv w:val="1"/>
      <w:marLeft w:val="0"/>
      <w:marRight w:val="0"/>
      <w:marTop w:val="0"/>
      <w:marBottom w:val="0"/>
      <w:divBdr>
        <w:top w:val="none" w:sz="0" w:space="0" w:color="auto"/>
        <w:left w:val="none" w:sz="0" w:space="0" w:color="auto"/>
        <w:bottom w:val="none" w:sz="0" w:space="0" w:color="auto"/>
        <w:right w:val="none" w:sz="0" w:space="0" w:color="auto"/>
      </w:divBdr>
    </w:div>
    <w:div w:id="180584225">
      <w:bodyDiv w:val="1"/>
      <w:marLeft w:val="0"/>
      <w:marRight w:val="0"/>
      <w:marTop w:val="0"/>
      <w:marBottom w:val="0"/>
      <w:divBdr>
        <w:top w:val="none" w:sz="0" w:space="0" w:color="auto"/>
        <w:left w:val="none" w:sz="0" w:space="0" w:color="auto"/>
        <w:bottom w:val="none" w:sz="0" w:space="0" w:color="auto"/>
        <w:right w:val="none" w:sz="0" w:space="0" w:color="auto"/>
      </w:divBdr>
      <w:divsChild>
        <w:div w:id="31881245">
          <w:marLeft w:val="0"/>
          <w:marRight w:val="0"/>
          <w:marTop w:val="0"/>
          <w:marBottom w:val="0"/>
          <w:divBdr>
            <w:top w:val="none" w:sz="0" w:space="0" w:color="auto"/>
            <w:left w:val="none" w:sz="0" w:space="0" w:color="auto"/>
            <w:bottom w:val="none" w:sz="0" w:space="0" w:color="auto"/>
            <w:right w:val="none" w:sz="0" w:space="0" w:color="auto"/>
          </w:divBdr>
          <w:divsChild>
            <w:div w:id="316881173">
              <w:marLeft w:val="0"/>
              <w:marRight w:val="0"/>
              <w:marTop w:val="0"/>
              <w:marBottom w:val="0"/>
              <w:divBdr>
                <w:top w:val="none" w:sz="0" w:space="0" w:color="auto"/>
                <w:left w:val="none" w:sz="0" w:space="0" w:color="auto"/>
                <w:bottom w:val="none" w:sz="0" w:space="0" w:color="auto"/>
                <w:right w:val="none" w:sz="0" w:space="0" w:color="auto"/>
              </w:divBdr>
            </w:div>
          </w:divsChild>
        </w:div>
        <w:div w:id="56320749">
          <w:marLeft w:val="0"/>
          <w:marRight w:val="0"/>
          <w:marTop w:val="0"/>
          <w:marBottom w:val="0"/>
          <w:divBdr>
            <w:top w:val="none" w:sz="0" w:space="0" w:color="auto"/>
            <w:left w:val="none" w:sz="0" w:space="0" w:color="auto"/>
            <w:bottom w:val="none" w:sz="0" w:space="0" w:color="auto"/>
            <w:right w:val="none" w:sz="0" w:space="0" w:color="auto"/>
          </w:divBdr>
          <w:divsChild>
            <w:div w:id="270163904">
              <w:marLeft w:val="0"/>
              <w:marRight w:val="0"/>
              <w:marTop w:val="0"/>
              <w:marBottom w:val="0"/>
              <w:divBdr>
                <w:top w:val="none" w:sz="0" w:space="0" w:color="auto"/>
                <w:left w:val="none" w:sz="0" w:space="0" w:color="auto"/>
                <w:bottom w:val="none" w:sz="0" w:space="0" w:color="auto"/>
                <w:right w:val="none" w:sz="0" w:space="0" w:color="auto"/>
              </w:divBdr>
            </w:div>
            <w:div w:id="1492404603">
              <w:marLeft w:val="0"/>
              <w:marRight w:val="0"/>
              <w:marTop w:val="0"/>
              <w:marBottom w:val="0"/>
              <w:divBdr>
                <w:top w:val="none" w:sz="0" w:space="0" w:color="auto"/>
                <w:left w:val="none" w:sz="0" w:space="0" w:color="auto"/>
                <w:bottom w:val="none" w:sz="0" w:space="0" w:color="auto"/>
                <w:right w:val="none" w:sz="0" w:space="0" w:color="auto"/>
              </w:divBdr>
            </w:div>
            <w:div w:id="1724673692">
              <w:marLeft w:val="0"/>
              <w:marRight w:val="0"/>
              <w:marTop w:val="0"/>
              <w:marBottom w:val="0"/>
              <w:divBdr>
                <w:top w:val="none" w:sz="0" w:space="0" w:color="auto"/>
                <w:left w:val="none" w:sz="0" w:space="0" w:color="auto"/>
                <w:bottom w:val="none" w:sz="0" w:space="0" w:color="auto"/>
                <w:right w:val="none" w:sz="0" w:space="0" w:color="auto"/>
              </w:divBdr>
            </w:div>
          </w:divsChild>
        </w:div>
        <w:div w:id="67192147">
          <w:marLeft w:val="0"/>
          <w:marRight w:val="0"/>
          <w:marTop w:val="0"/>
          <w:marBottom w:val="0"/>
          <w:divBdr>
            <w:top w:val="none" w:sz="0" w:space="0" w:color="auto"/>
            <w:left w:val="none" w:sz="0" w:space="0" w:color="auto"/>
            <w:bottom w:val="none" w:sz="0" w:space="0" w:color="auto"/>
            <w:right w:val="none" w:sz="0" w:space="0" w:color="auto"/>
          </w:divBdr>
          <w:divsChild>
            <w:div w:id="1025670927">
              <w:marLeft w:val="0"/>
              <w:marRight w:val="0"/>
              <w:marTop w:val="0"/>
              <w:marBottom w:val="0"/>
              <w:divBdr>
                <w:top w:val="none" w:sz="0" w:space="0" w:color="auto"/>
                <w:left w:val="none" w:sz="0" w:space="0" w:color="auto"/>
                <w:bottom w:val="none" w:sz="0" w:space="0" w:color="auto"/>
                <w:right w:val="none" w:sz="0" w:space="0" w:color="auto"/>
              </w:divBdr>
            </w:div>
          </w:divsChild>
        </w:div>
        <w:div w:id="75712233">
          <w:marLeft w:val="0"/>
          <w:marRight w:val="0"/>
          <w:marTop w:val="0"/>
          <w:marBottom w:val="0"/>
          <w:divBdr>
            <w:top w:val="none" w:sz="0" w:space="0" w:color="auto"/>
            <w:left w:val="none" w:sz="0" w:space="0" w:color="auto"/>
            <w:bottom w:val="none" w:sz="0" w:space="0" w:color="auto"/>
            <w:right w:val="none" w:sz="0" w:space="0" w:color="auto"/>
          </w:divBdr>
          <w:divsChild>
            <w:div w:id="708143929">
              <w:marLeft w:val="0"/>
              <w:marRight w:val="0"/>
              <w:marTop w:val="0"/>
              <w:marBottom w:val="0"/>
              <w:divBdr>
                <w:top w:val="none" w:sz="0" w:space="0" w:color="auto"/>
                <w:left w:val="none" w:sz="0" w:space="0" w:color="auto"/>
                <w:bottom w:val="none" w:sz="0" w:space="0" w:color="auto"/>
                <w:right w:val="none" w:sz="0" w:space="0" w:color="auto"/>
              </w:divBdr>
            </w:div>
          </w:divsChild>
        </w:div>
        <w:div w:id="99420681">
          <w:marLeft w:val="0"/>
          <w:marRight w:val="0"/>
          <w:marTop w:val="0"/>
          <w:marBottom w:val="0"/>
          <w:divBdr>
            <w:top w:val="none" w:sz="0" w:space="0" w:color="auto"/>
            <w:left w:val="none" w:sz="0" w:space="0" w:color="auto"/>
            <w:bottom w:val="none" w:sz="0" w:space="0" w:color="auto"/>
            <w:right w:val="none" w:sz="0" w:space="0" w:color="auto"/>
          </w:divBdr>
          <w:divsChild>
            <w:div w:id="2003386459">
              <w:marLeft w:val="0"/>
              <w:marRight w:val="0"/>
              <w:marTop w:val="0"/>
              <w:marBottom w:val="0"/>
              <w:divBdr>
                <w:top w:val="none" w:sz="0" w:space="0" w:color="auto"/>
                <w:left w:val="none" w:sz="0" w:space="0" w:color="auto"/>
                <w:bottom w:val="none" w:sz="0" w:space="0" w:color="auto"/>
                <w:right w:val="none" w:sz="0" w:space="0" w:color="auto"/>
              </w:divBdr>
            </w:div>
          </w:divsChild>
        </w:div>
        <w:div w:id="105121852">
          <w:marLeft w:val="0"/>
          <w:marRight w:val="0"/>
          <w:marTop w:val="0"/>
          <w:marBottom w:val="0"/>
          <w:divBdr>
            <w:top w:val="none" w:sz="0" w:space="0" w:color="auto"/>
            <w:left w:val="none" w:sz="0" w:space="0" w:color="auto"/>
            <w:bottom w:val="none" w:sz="0" w:space="0" w:color="auto"/>
            <w:right w:val="none" w:sz="0" w:space="0" w:color="auto"/>
          </w:divBdr>
          <w:divsChild>
            <w:div w:id="2061053829">
              <w:marLeft w:val="0"/>
              <w:marRight w:val="0"/>
              <w:marTop w:val="0"/>
              <w:marBottom w:val="0"/>
              <w:divBdr>
                <w:top w:val="none" w:sz="0" w:space="0" w:color="auto"/>
                <w:left w:val="none" w:sz="0" w:space="0" w:color="auto"/>
                <w:bottom w:val="none" w:sz="0" w:space="0" w:color="auto"/>
                <w:right w:val="none" w:sz="0" w:space="0" w:color="auto"/>
              </w:divBdr>
            </w:div>
          </w:divsChild>
        </w:div>
        <w:div w:id="113449915">
          <w:marLeft w:val="0"/>
          <w:marRight w:val="0"/>
          <w:marTop w:val="0"/>
          <w:marBottom w:val="0"/>
          <w:divBdr>
            <w:top w:val="none" w:sz="0" w:space="0" w:color="auto"/>
            <w:left w:val="none" w:sz="0" w:space="0" w:color="auto"/>
            <w:bottom w:val="none" w:sz="0" w:space="0" w:color="auto"/>
            <w:right w:val="none" w:sz="0" w:space="0" w:color="auto"/>
          </w:divBdr>
          <w:divsChild>
            <w:div w:id="300959331">
              <w:marLeft w:val="0"/>
              <w:marRight w:val="0"/>
              <w:marTop w:val="0"/>
              <w:marBottom w:val="0"/>
              <w:divBdr>
                <w:top w:val="none" w:sz="0" w:space="0" w:color="auto"/>
                <w:left w:val="none" w:sz="0" w:space="0" w:color="auto"/>
                <w:bottom w:val="none" w:sz="0" w:space="0" w:color="auto"/>
                <w:right w:val="none" w:sz="0" w:space="0" w:color="auto"/>
              </w:divBdr>
            </w:div>
            <w:div w:id="1444836240">
              <w:marLeft w:val="0"/>
              <w:marRight w:val="0"/>
              <w:marTop w:val="0"/>
              <w:marBottom w:val="0"/>
              <w:divBdr>
                <w:top w:val="none" w:sz="0" w:space="0" w:color="auto"/>
                <w:left w:val="none" w:sz="0" w:space="0" w:color="auto"/>
                <w:bottom w:val="none" w:sz="0" w:space="0" w:color="auto"/>
                <w:right w:val="none" w:sz="0" w:space="0" w:color="auto"/>
              </w:divBdr>
            </w:div>
            <w:div w:id="1909730838">
              <w:marLeft w:val="0"/>
              <w:marRight w:val="0"/>
              <w:marTop w:val="0"/>
              <w:marBottom w:val="0"/>
              <w:divBdr>
                <w:top w:val="none" w:sz="0" w:space="0" w:color="auto"/>
                <w:left w:val="none" w:sz="0" w:space="0" w:color="auto"/>
                <w:bottom w:val="none" w:sz="0" w:space="0" w:color="auto"/>
                <w:right w:val="none" w:sz="0" w:space="0" w:color="auto"/>
              </w:divBdr>
            </w:div>
          </w:divsChild>
        </w:div>
        <w:div w:id="124930826">
          <w:marLeft w:val="0"/>
          <w:marRight w:val="0"/>
          <w:marTop w:val="0"/>
          <w:marBottom w:val="0"/>
          <w:divBdr>
            <w:top w:val="none" w:sz="0" w:space="0" w:color="auto"/>
            <w:left w:val="none" w:sz="0" w:space="0" w:color="auto"/>
            <w:bottom w:val="none" w:sz="0" w:space="0" w:color="auto"/>
            <w:right w:val="none" w:sz="0" w:space="0" w:color="auto"/>
          </w:divBdr>
          <w:divsChild>
            <w:div w:id="851574851">
              <w:marLeft w:val="0"/>
              <w:marRight w:val="0"/>
              <w:marTop w:val="0"/>
              <w:marBottom w:val="0"/>
              <w:divBdr>
                <w:top w:val="none" w:sz="0" w:space="0" w:color="auto"/>
                <w:left w:val="none" w:sz="0" w:space="0" w:color="auto"/>
                <w:bottom w:val="none" w:sz="0" w:space="0" w:color="auto"/>
                <w:right w:val="none" w:sz="0" w:space="0" w:color="auto"/>
              </w:divBdr>
            </w:div>
          </w:divsChild>
        </w:div>
        <w:div w:id="190656303">
          <w:marLeft w:val="0"/>
          <w:marRight w:val="0"/>
          <w:marTop w:val="0"/>
          <w:marBottom w:val="0"/>
          <w:divBdr>
            <w:top w:val="none" w:sz="0" w:space="0" w:color="auto"/>
            <w:left w:val="none" w:sz="0" w:space="0" w:color="auto"/>
            <w:bottom w:val="none" w:sz="0" w:space="0" w:color="auto"/>
            <w:right w:val="none" w:sz="0" w:space="0" w:color="auto"/>
          </w:divBdr>
          <w:divsChild>
            <w:div w:id="1332830015">
              <w:marLeft w:val="0"/>
              <w:marRight w:val="0"/>
              <w:marTop w:val="0"/>
              <w:marBottom w:val="0"/>
              <w:divBdr>
                <w:top w:val="none" w:sz="0" w:space="0" w:color="auto"/>
                <w:left w:val="none" w:sz="0" w:space="0" w:color="auto"/>
                <w:bottom w:val="none" w:sz="0" w:space="0" w:color="auto"/>
                <w:right w:val="none" w:sz="0" w:space="0" w:color="auto"/>
              </w:divBdr>
            </w:div>
          </w:divsChild>
        </w:div>
        <w:div w:id="234977124">
          <w:marLeft w:val="0"/>
          <w:marRight w:val="0"/>
          <w:marTop w:val="0"/>
          <w:marBottom w:val="0"/>
          <w:divBdr>
            <w:top w:val="none" w:sz="0" w:space="0" w:color="auto"/>
            <w:left w:val="none" w:sz="0" w:space="0" w:color="auto"/>
            <w:bottom w:val="none" w:sz="0" w:space="0" w:color="auto"/>
            <w:right w:val="none" w:sz="0" w:space="0" w:color="auto"/>
          </w:divBdr>
          <w:divsChild>
            <w:div w:id="107238834">
              <w:marLeft w:val="0"/>
              <w:marRight w:val="0"/>
              <w:marTop w:val="0"/>
              <w:marBottom w:val="0"/>
              <w:divBdr>
                <w:top w:val="none" w:sz="0" w:space="0" w:color="auto"/>
                <w:left w:val="none" w:sz="0" w:space="0" w:color="auto"/>
                <w:bottom w:val="none" w:sz="0" w:space="0" w:color="auto"/>
                <w:right w:val="none" w:sz="0" w:space="0" w:color="auto"/>
              </w:divBdr>
            </w:div>
            <w:div w:id="201748881">
              <w:marLeft w:val="0"/>
              <w:marRight w:val="0"/>
              <w:marTop w:val="0"/>
              <w:marBottom w:val="0"/>
              <w:divBdr>
                <w:top w:val="none" w:sz="0" w:space="0" w:color="auto"/>
                <w:left w:val="none" w:sz="0" w:space="0" w:color="auto"/>
                <w:bottom w:val="none" w:sz="0" w:space="0" w:color="auto"/>
                <w:right w:val="none" w:sz="0" w:space="0" w:color="auto"/>
              </w:divBdr>
            </w:div>
            <w:div w:id="877595103">
              <w:marLeft w:val="0"/>
              <w:marRight w:val="0"/>
              <w:marTop w:val="0"/>
              <w:marBottom w:val="0"/>
              <w:divBdr>
                <w:top w:val="none" w:sz="0" w:space="0" w:color="auto"/>
                <w:left w:val="none" w:sz="0" w:space="0" w:color="auto"/>
                <w:bottom w:val="none" w:sz="0" w:space="0" w:color="auto"/>
                <w:right w:val="none" w:sz="0" w:space="0" w:color="auto"/>
              </w:divBdr>
            </w:div>
            <w:div w:id="1187719311">
              <w:marLeft w:val="0"/>
              <w:marRight w:val="0"/>
              <w:marTop w:val="0"/>
              <w:marBottom w:val="0"/>
              <w:divBdr>
                <w:top w:val="none" w:sz="0" w:space="0" w:color="auto"/>
                <w:left w:val="none" w:sz="0" w:space="0" w:color="auto"/>
                <w:bottom w:val="none" w:sz="0" w:space="0" w:color="auto"/>
                <w:right w:val="none" w:sz="0" w:space="0" w:color="auto"/>
              </w:divBdr>
            </w:div>
            <w:div w:id="1766726885">
              <w:marLeft w:val="0"/>
              <w:marRight w:val="0"/>
              <w:marTop w:val="0"/>
              <w:marBottom w:val="0"/>
              <w:divBdr>
                <w:top w:val="none" w:sz="0" w:space="0" w:color="auto"/>
                <w:left w:val="none" w:sz="0" w:space="0" w:color="auto"/>
                <w:bottom w:val="none" w:sz="0" w:space="0" w:color="auto"/>
                <w:right w:val="none" w:sz="0" w:space="0" w:color="auto"/>
              </w:divBdr>
            </w:div>
          </w:divsChild>
        </w:div>
        <w:div w:id="306663090">
          <w:marLeft w:val="0"/>
          <w:marRight w:val="0"/>
          <w:marTop w:val="0"/>
          <w:marBottom w:val="0"/>
          <w:divBdr>
            <w:top w:val="none" w:sz="0" w:space="0" w:color="auto"/>
            <w:left w:val="none" w:sz="0" w:space="0" w:color="auto"/>
            <w:bottom w:val="none" w:sz="0" w:space="0" w:color="auto"/>
            <w:right w:val="none" w:sz="0" w:space="0" w:color="auto"/>
          </w:divBdr>
          <w:divsChild>
            <w:div w:id="1619411126">
              <w:marLeft w:val="0"/>
              <w:marRight w:val="0"/>
              <w:marTop w:val="0"/>
              <w:marBottom w:val="0"/>
              <w:divBdr>
                <w:top w:val="none" w:sz="0" w:space="0" w:color="auto"/>
                <w:left w:val="none" w:sz="0" w:space="0" w:color="auto"/>
                <w:bottom w:val="none" w:sz="0" w:space="0" w:color="auto"/>
                <w:right w:val="none" w:sz="0" w:space="0" w:color="auto"/>
              </w:divBdr>
            </w:div>
          </w:divsChild>
        </w:div>
        <w:div w:id="327445318">
          <w:marLeft w:val="0"/>
          <w:marRight w:val="0"/>
          <w:marTop w:val="0"/>
          <w:marBottom w:val="0"/>
          <w:divBdr>
            <w:top w:val="none" w:sz="0" w:space="0" w:color="auto"/>
            <w:left w:val="none" w:sz="0" w:space="0" w:color="auto"/>
            <w:bottom w:val="none" w:sz="0" w:space="0" w:color="auto"/>
            <w:right w:val="none" w:sz="0" w:space="0" w:color="auto"/>
          </w:divBdr>
          <w:divsChild>
            <w:div w:id="539366442">
              <w:marLeft w:val="0"/>
              <w:marRight w:val="0"/>
              <w:marTop w:val="0"/>
              <w:marBottom w:val="0"/>
              <w:divBdr>
                <w:top w:val="none" w:sz="0" w:space="0" w:color="auto"/>
                <w:left w:val="none" w:sz="0" w:space="0" w:color="auto"/>
                <w:bottom w:val="none" w:sz="0" w:space="0" w:color="auto"/>
                <w:right w:val="none" w:sz="0" w:space="0" w:color="auto"/>
              </w:divBdr>
            </w:div>
            <w:div w:id="1004666987">
              <w:marLeft w:val="0"/>
              <w:marRight w:val="0"/>
              <w:marTop w:val="0"/>
              <w:marBottom w:val="0"/>
              <w:divBdr>
                <w:top w:val="none" w:sz="0" w:space="0" w:color="auto"/>
                <w:left w:val="none" w:sz="0" w:space="0" w:color="auto"/>
                <w:bottom w:val="none" w:sz="0" w:space="0" w:color="auto"/>
                <w:right w:val="none" w:sz="0" w:space="0" w:color="auto"/>
              </w:divBdr>
            </w:div>
            <w:div w:id="1618757522">
              <w:marLeft w:val="0"/>
              <w:marRight w:val="0"/>
              <w:marTop w:val="0"/>
              <w:marBottom w:val="0"/>
              <w:divBdr>
                <w:top w:val="none" w:sz="0" w:space="0" w:color="auto"/>
                <w:left w:val="none" w:sz="0" w:space="0" w:color="auto"/>
                <w:bottom w:val="none" w:sz="0" w:space="0" w:color="auto"/>
                <w:right w:val="none" w:sz="0" w:space="0" w:color="auto"/>
              </w:divBdr>
            </w:div>
          </w:divsChild>
        </w:div>
        <w:div w:id="391588746">
          <w:marLeft w:val="0"/>
          <w:marRight w:val="0"/>
          <w:marTop w:val="0"/>
          <w:marBottom w:val="0"/>
          <w:divBdr>
            <w:top w:val="none" w:sz="0" w:space="0" w:color="auto"/>
            <w:left w:val="none" w:sz="0" w:space="0" w:color="auto"/>
            <w:bottom w:val="none" w:sz="0" w:space="0" w:color="auto"/>
            <w:right w:val="none" w:sz="0" w:space="0" w:color="auto"/>
          </w:divBdr>
          <w:divsChild>
            <w:div w:id="1131099470">
              <w:marLeft w:val="0"/>
              <w:marRight w:val="0"/>
              <w:marTop w:val="0"/>
              <w:marBottom w:val="0"/>
              <w:divBdr>
                <w:top w:val="none" w:sz="0" w:space="0" w:color="auto"/>
                <w:left w:val="none" w:sz="0" w:space="0" w:color="auto"/>
                <w:bottom w:val="none" w:sz="0" w:space="0" w:color="auto"/>
                <w:right w:val="none" w:sz="0" w:space="0" w:color="auto"/>
              </w:divBdr>
            </w:div>
          </w:divsChild>
        </w:div>
        <w:div w:id="406391136">
          <w:marLeft w:val="0"/>
          <w:marRight w:val="0"/>
          <w:marTop w:val="0"/>
          <w:marBottom w:val="0"/>
          <w:divBdr>
            <w:top w:val="none" w:sz="0" w:space="0" w:color="auto"/>
            <w:left w:val="none" w:sz="0" w:space="0" w:color="auto"/>
            <w:bottom w:val="none" w:sz="0" w:space="0" w:color="auto"/>
            <w:right w:val="none" w:sz="0" w:space="0" w:color="auto"/>
          </w:divBdr>
          <w:divsChild>
            <w:div w:id="710881050">
              <w:marLeft w:val="0"/>
              <w:marRight w:val="0"/>
              <w:marTop w:val="0"/>
              <w:marBottom w:val="0"/>
              <w:divBdr>
                <w:top w:val="none" w:sz="0" w:space="0" w:color="auto"/>
                <w:left w:val="none" w:sz="0" w:space="0" w:color="auto"/>
                <w:bottom w:val="none" w:sz="0" w:space="0" w:color="auto"/>
                <w:right w:val="none" w:sz="0" w:space="0" w:color="auto"/>
              </w:divBdr>
            </w:div>
          </w:divsChild>
        </w:div>
        <w:div w:id="407918494">
          <w:marLeft w:val="0"/>
          <w:marRight w:val="0"/>
          <w:marTop w:val="0"/>
          <w:marBottom w:val="0"/>
          <w:divBdr>
            <w:top w:val="none" w:sz="0" w:space="0" w:color="auto"/>
            <w:left w:val="none" w:sz="0" w:space="0" w:color="auto"/>
            <w:bottom w:val="none" w:sz="0" w:space="0" w:color="auto"/>
            <w:right w:val="none" w:sz="0" w:space="0" w:color="auto"/>
          </w:divBdr>
          <w:divsChild>
            <w:div w:id="317736208">
              <w:marLeft w:val="0"/>
              <w:marRight w:val="0"/>
              <w:marTop w:val="0"/>
              <w:marBottom w:val="0"/>
              <w:divBdr>
                <w:top w:val="none" w:sz="0" w:space="0" w:color="auto"/>
                <w:left w:val="none" w:sz="0" w:space="0" w:color="auto"/>
                <w:bottom w:val="none" w:sz="0" w:space="0" w:color="auto"/>
                <w:right w:val="none" w:sz="0" w:space="0" w:color="auto"/>
              </w:divBdr>
            </w:div>
          </w:divsChild>
        </w:div>
        <w:div w:id="512378701">
          <w:marLeft w:val="0"/>
          <w:marRight w:val="0"/>
          <w:marTop w:val="0"/>
          <w:marBottom w:val="0"/>
          <w:divBdr>
            <w:top w:val="none" w:sz="0" w:space="0" w:color="auto"/>
            <w:left w:val="none" w:sz="0" w:space="0" w:color="auto"/>
            <w:bottom w:val="none" w:sz="0" w:space="0" w:color="auto"/>
            <w:right w:val="none" w:sz="0" w:space="0" w:color="auto"/>
          </w:divBdr>
          <w:divsChild>
            <w:div w:id="1947812963">
              <w:marLeft w:val="0"/>
              <w:marRight w:val="0"/>
              <w:marTop w:val="0"/>
              <w:marBottom w:val="0"/>
              <w:divBdr>
                <w:top w:val="none" w:sz="0" w:space="0" w:color="auto"/>
                <w:left w:val="none" w:sz="0" w:space="0" w:color="auto"/>
                <w:bottom w:val="none" w:sz="0" w:space="0" w:color="auto"/>
                <w:right w:val="none" w:sz="0" w:space="0" w:color="auto"/>
              </w:divBdr>
            </w:div>
          </w:divsChild>
        </w:div>
        <w:div w:id="687101873">
          <w:marLeft w:val="0"/>
          <w:marRight w:val="0"/>
          <w:marTop w:val="0"/>
          <w:marBottom w:val="0"/>
          <w:divBdr>
            <w:top w:val="none" w:sz="0" w:space="0" w:color="auto"/>
            <w:left w:val="none" w:sz="0" w:space="0" w:color="auto"/>
            <w:bottom w:val="none" w:sz="0" w:space="0" w:color="auto"/>
            <w:right w:val="none" w:sz="0" w:space="0" w:color="auto"/>
          </w:divBdr>
          <w:divsChild>
            <w:div w:id="1948349546">
              <w:marLeft w:val="0"/>
              <w:marRight w:val="0"/>
              <w:marTop w:val="0"/>
              <w:marBottom w:val="0"/>
              <w:divBdr>
                <w:top w:val="none" w:sz="0" w:space="0" w:color="auto"/>
                <w:left w:val="none" w:sz="0" w:space="0" w:color="auto"/>
                <w:bottom w:val="none" w:sz="0" w:space="0" w:color="auto"/>
                <w:right w:val="none" w:sz="0" w:space="0" w:color="auto"/>
              </w:divBdr>
            </w:div>
          </w:divsChild>
        </w:div>
        <w:div w:id="761536743">
          <w:marLeft w:val="0"/>
          <w:marRight w:val="0"/>
          <w:marTop w:val="0"/>
          <w:marBottom w:val="0"/>
          <w:divBdr>
            <w:top w:val="none" w:sz="0" w:space="0" w:color="auto"/>
            <w:left w:val="none" w:sz="0" w:space="0" w:color="auto"/>
            <w:bottom w:val="none" w:sz="0" w:space="0" w:color="auto"/>
            <w:right w:val="none" w:sz="0" w:space="0" w:color="auto"/>
          </w:divBdr>
          <w:divsChild>
            <w:div w:id="770079814">
              <w:marLeft w:val="0"/>
              <w:marRight w:val="0"/>
              <w:marTop w:val="0"/>
              <w:marBottom w:val="0"/>
              <w:divBdr>
                <w:top w:val="none" w:sz="0" w:space="0" w:color="auto"/>
                <w:left w:val="none" w:sz="0" w:space="0" w:color="auto"/>
                <w:bottom w:val="none" w:sz="0" w:space="0" w:color="auto"/>
                <w:right w:val="none" w:sz="0" w:space="0" w:color="auto"/>
              </w:divBdr>
            </w:div>
          </w:divsChild>
        </w:div>
        <w:div w:id="784153554">
          <w:marLeft w:val="0"/>
          <w:marRight w:val="0"/>
          <w:marTop w:val="0"/>
          <w:marBottom w:val="0"/>
          <w:divBdr>
            <w:top w:val="none" w:sz="0" w:space="0" w:color="auto"/>
            <w:left w:val="none" w:sz="0" w:space="0" w:color="auto"/>
            <w:bottom w:val="none" w:sz="0" w:space="0" w:color="auto"/>
            <w:right w:val="none" w:sz="0" w:space="0" w:color="auto"/>
          </w:divBdr>
          <w:divsChild>
            <w:div w:id="734088425">
              <w:marLeft w:val="0"/>
              <w:marRight w:val="0"/>
              <w:marTop w:val="0"/>
              <w:marBottom w:val="0"/>
              <w:divBdr>
                <w:top w:val="none" w:sz="0" w:space="0" w:color="auto"/>
                <w:left w:val="none" w:sz="0" w:space="0" w:color="auto"/>
                <w:bottom w:val="none" w:sz="0" w:space="0" w:color="auto"/>
                <w:right w:val="none" w:sz="0" w:space="0" w:color="auto"/>
              </w:divBdr>
            </w:div>
            <w:div w:id="1975744865">
              <w:marLeft w:val="0"/>
              <w:marRight w:val="0"/>
              <w:marTop w:val="0"/>
              <w:marBottom w:val="0"/>
              <w:divBdr>
                <w:top w:val="none" w:sz="0" w:space="0" w:color="auto"/>
                <w:left w:val="none" w:sz="0" w:space="0" w:color="auto"/>
                <w:bottom w:val="none" w:sz="0" w:space="0" w:color="auto"/>
                <w:right w:val="none" w:sz="0" w:space="0" w:color="auto"/>
              </w:divBdr>
            </w:div>
          </w:divsChild>
        </w:div>
        <w:div w:id="784662859">
          <w:marLeft w:val="0"/>
          <w:marRight w:val="0"/>
          <w:marTop w:val="0"/>
          <w:marBottom w:val="0"/>
          <w:divBdr>
            <w:top w:val="none" w:sz="0" w:space="0" w:color="auto"/>
            <w:left w:val="none" w:sz="0" w:space="0" w:color="auto"/>
            <w:bottom w:val="none" w:sz="0" w:space="0" w:color="auto"/>
            <w:right w:val="none" w:sz="0" w:space="0" w:color="auto"/>
          </w:divBdr>
          <w:divsChild>
            <w:div w:id="119618899">
              <w:marLeft w:val="0"/>
              <w:marRight w:val="0"/>
              <w:marTop w:val="0"/>
              <w:marBottom w:val="0"/>
              <w:divBdr>
                <w:top w:val="none" w:sz="0" w:space="0" w:color="auto"/>
                <w:left w:val="none" w:sz="0" w:space="0" w:color="auto"/>
                <w:bottom w:val="none" w:sz="0" w:space="0" w:color="auto"/>
                <w:right w:val="none" w:sz="0" w:space="0" w:color="auto"/>
              </w:divBdr>
            </w:div>
            <w:div w:id="837230960">
              <w:marLeft w:val="0"/>
              <w:marRight w:val="0"/>
              <w:marTop w:val="0"/>
              <w:marBottom w:val="0"/>
              <w:divBdr>
                <w:top w:val="none" w:sz="0" w:space="0" w:color="auto"/>
                <w:left w:val="none" w:sz="0" w:space="0" w:color="auto"/>
                <w:bottom w:val="none" w:sz="0" w:space="0" w:color="auto"/>
                <w:right w:val="none" w:sz="0" w:space="0" w:color="auto"/>
              </w:divBdr>
            </w:div>
            <w:div w:id="1454519630">
              <w:marLeft w:val="0"/>
              <w:marRight w:val="0"/>
              <w:marTop w:val="0"/>
              <w:marBottom w:val="0"/>
              <w:divBdr>
                <w:top w:val="none" w:sz="0" w:space="0" w:color="auto"/>
                <w:left w:val="none" w:sz="0" w:space="0" w:color="auto"/>
                <w:bottom w:val="none" w:sz="0" w:space="0" w:color="auto"/>
                <w:right w:val="none" w:sz="0" w:space="0" w:color="auto"/>
              </w:divBdr>
            </w:div>
            <w:div w:id="1953241050">
              <w:marLeft w:val="0"/>
              <w:marRight w:val="0"/>
              <w:marTop w:val="0"/>
              <w:marBottom w:val="0"/>
              <w:divBdr>
                <w:top w:val="none" w:sz="0" w:space="0" w:color="auto"/>
                <w:left w:val="none" w:sz="0" w:space="0" w:color="auto"/>
                <w:bottom w:val="none" w:sz="0" w:space="0" w:color="auto"/>
                <w:right w:val="none" w:sz="0" w:space="0" w:color="auto"/>
              </w:divBdr>
            </w:div>
            <w:div w:id="2037122036">
              <w:marLeft w:val="0"/>
              <w:marRight w:val="0"/>
              <w:marTop w:val="0"/>
              <w:marBottom w:val="0"/>
              <w:divBdr>
                <w:top w:val="none" w:sz="0" w:space="0" w:color="auto"/>
                <w:left w:val="none" w:sz="0" w:space="0" w:color="auto"/>
                <w:bottom w:val="none" w:sz="0" w:space="0" w:color="auto"/>
                <w:right w:val="none" w:sz="0" w:space="0" w:color="auto"/>
              </w:divBdr>
            </w:div>
          </w:divsChild>
        </w:div>
        <w:div w:id="822234280">
          <w:marLeft w:val="0"/>
          <w:marRight w:val="0"/>
          <w:marTop w:val="0"/>
          <w:marBottom w:val="0"/>
          <w:divBdr>
            <w:top w:val="none" w:sz="0" w:space="0" w:color="auto"/>
            <w:left w:val="none" w:sz="0" w:space="0" w:color="auto"/>
            <w:bottom w:val="none" w:sz="0" w:space="0" w:color="auto"/>
            <w:right w:val="none" w:sz="0" w:space="0" w:color="auto"/>
          </w:divBdr>
          <w:divsChild>
            <w:div w:id="1274433312">
              <w:marLeft w:val="0"/>
              <w:marRight w:val="0"/>
              <w:marTop w:val="0"/>
              <w:marBottom w:val="0"/>
              <w:divBdr>
                <w:top w:val="none" w:sz="0" w:space="0" w:color="auto"/>
                <w:left w:val="none" w:sz="0" w:space="0" w:color="auto"/>
                <w:bottom w:val="none" w:sz="0" w:space="0" w:color="auto"/>
                <w:right w:val="none" w:sz="0" w:space="0" w:color="auto"/>
              </w:divBdr>
            </w:div>
          </w:divsChild>
        </w:div>
        <w:div w:id="861745230">
          <w:marLeft w:val="0"/>
          <w:marRight w:val="0"/>
          <w:marTop w:val="0"/>
          <w:marBottom w:val="0"/>
          <w:divBdr>
            <w:top w:val="none" w:sz="0" w:space="0" w:color="auto"/>
            <w:left w:val="none" w:sz="0" w:space="0" w:color="auto"/>
            <w:bottom w:val="none" w:sz="0" w:space="0" w:color="auto"/>
            <w:right w:val="none" w:sz="0" w:space="0" w:color="auto"/>
          </w:divBdr>
          <w:divsChild>
            <w:div w:id="2010786260">
              <w:marLeft w:val="0"/>
              <w:marRight w:val="0"/>
              <w:marTop w:val="0"/>
              <w:marBottom w:val="0"/>
              <w:divBdr>
                <w:top w:val="none" w:sz="0" w:space="0" w:color="auto"/>
                <w:left w:val="none" w:sz="0" w:space="0" w:color="auto"/>
                <w:bottom w:val="none" w:sz="0" w:space="0" w:color="auto"/>
                <w:right w:val="none" w:sz="0" w:space="0" w:color="auto"/>
              </w:divBdr>
            </w:div>
          </w:divsChild>
        </w:div>
        <w:div w:id="942225003">
          <w:marLeft w:val="0"/>
          <w:marRight w:val="0"/>
          <w:marTop w:val="0"/>
          <w:marBottom w:val="0"/>
          <w:divBdr>
            <w:top w:val="none" w:sz="0" w:space="0" w:color="auto"/>
            <w:left w:val="none" w:sz="0" w:space="0" w:color="auto"/>
            <w:bottom w:val="none" w:sz="0" w:space="0" w:color="auto"/>
            <w:right w:val="none" w:sz="0" w:space="0" w:color="auto"/>
          </w:divBdr>
          <w:divsChild>
            <w:div w:id="1596327020">
              <w:marLeft w:val="0"/>
              <w:marRight w:val="0"/>
              <w:marTop w:val="0"/>
              <w:marBottom w:val="0"/>
              <w:divBdr>
                <w:top w:val="none" w:sz="0" w:space="0" w:color="auto"/>
                <w:left w:val="none" w:sz="0" w:space="0" w:color="auto"/>
                <w:bottom w:val="none" w:sz="0" w:space="0" w:color="auto"/>
                <w:right w:val="none" w:sz="0" w:space="0" w:color="auto"/>
              </w:divBdr>
            </w:div>
          </w:divsChild>
        </w:div>
        <w:div w:id="1030031399">
          <w:marLeft w:val="0"/>
          <w:marRight w:val="0"/>
          <w:marTop w:val="0"/>
          <w:marBottom w:val="0"/>
          <w:divBdr>
            <w:top w:val="none" w:sz="0" w:space="0" w:color="auto"/>
            <w:left w:val="none" w:sz="0" w:space="0" w:color="auto"/>
            <w:bottom w:val="none" w:sz="0" w:space="0" w:color="auto"/>
            <w:right w:val="none" w:sz="0" w:space="0" w:color="auto"/>
          </w:divBdr>
          <w:divsChild>
            <w:div w:id="1649238785">
              <w:marLeft w:val="0"/>
              <w:marRight w:val="0"/>
              <w:marTop w:val="0"/>
              <w:marBottom w:val="0"/>
              <w:divBdr>
                <w:top w:val="none" w:sz="0" w:space="0" w:color="auto"/>
                <w:left w:val="none" w:sz="0" w:space="0" w:color="auto"/>
                <w:bottom w:val="none" w:sz="0" w:space="0" w:color="auto"/>
                <w:right w:val="none" w:sz="0" w:space="0" w:color="auto"/>
              </w:divBdr>
            </w:div>
          </w:divsChild>
        </w:div>
        <w:div w:id="1085414900">
          <w:marLeft w:val="0"/>
          <w:marRight w:val="0"/>
          <w:marTop w:val="0"/>
          <w:marBottom w:val="0"/>
          <w:divBdr>
            <w:top w:val="none" w:sz="0" w:space="0" w:color="auto"/>
            <w:left w:val="none" w:sz="0" w:space="0" w:color="auto"/>
            <w:bottom w:val="none" w:sz="0" w:space="0" w:color="auto"/>
            <w:right w:val="none" w:sz="0" w:space="0" w:color="auto"/>
          </w:divBdr>
          <w:divsChild>
            <w:div w:id="863131239">
              <w:marLeft w:val="0"/>
              <w:marRight w:val="0"/>
              <w:marTop w:val="0"/>
              <w:marBottom w:val="0"/>
              <w:divBdr>
                <w:top w:val="none" w:sz="0" w:space="0" w:color="auto"/>
                <w:left w:val="none" w:sz="0" w:space="0" w:color="auto"/>
                <w:bottom w:val="none" w:sz="0" w:space="0" w:color="auto"/>
                <w:right w:val="none" w:sz="0" w:space="0" w:color="auto"/>
              </w:divBdr>
            </w:div>
          </w:divsChild>
        </w:div>
        <w:div w:id="1086271945">
          <w:marLeft w:val="0"/>
          <w:marRight w:val="0"/>
          <w:marTop w:val="0"/>
          <w:marBottom w:val="0"/>
          <w:divBdr>
            <w:top w:val="none" w:sz="0" w:space="0" w:color="auto"/>
            <w:left w:val="none" w:sz="0" w:space="0" w:color="auto"/>
            <w:bottom w:val="none" w:sz="0" w:space="0" w:color="auto"/>
            <w:right w:val="none" w:sz="0" w:space="0" w:color="auto"/>
          </w:divBdr>
          <w:divsChild>
            <w:div w:id="423695373">
              <w:marLeft w:val="0"/>
              <w:marRight w:val="0"/>
              <w:marTop w:val="0"/>
              <w:marBottom w:val="0"/>
              <w:divBdr>
                <w:top w:val="none" w:sz="0" w:space="0" w:color="auto"/>
                <w:left w:val="none" w:sz="0" w:space="0" w:color="auto"/>
                <w:bottom w:val="none" w:sz="0" w:space="0" w:color="auto"/>
                <w:right w:val="none" w:sz="0" w:space="0" w:color="auto"/>
              </w:divBdr>
            </w:div>
          </w:divsChild>
        </w:div>
        <w:div w:id="1181041287">
          <w:marLeft w:val="0"/>
          <w:marRight w:val="0"/>
          <w:marTop w:val="0"/>
          <w:marBottom w:val="0"/>
          <w:divBdr>
            <w:top w:val="none" w:sz="0" w:space="0" w:color="auto"/>
            <w:left w:val="none" w:sz="0" w:space="0" w:color="auto"/>
            <w:bottom w:val="none" w:sz="0" w:space="0" w:color="auto"/>
            <w:right w:val="none" w:sz="0" w:space="0" w:color="auto"/>
          </w:divBdr>
          <w:divsChild>
            <w:div w:id="62729011">
              <w:marLeft w:val="0"/>
              <w:marRight w:val="0"/>
              <w:marTop w:val="0"/>
              <w:marBottom w:val="0"/>
              <w:divBdr>
                <w:top w:val="none" w:sz="0" w:space="0" w:color="auto"/>
                <w:left w:val="none" w:sz="0" w:space="0" w:color="auto"/>
                <w:bottom w:val="none" w:sz="0" w:space="0" w:color="auto"/>
                <w:right w:val="none" w:sz="0" w:space="0" w:color="auto"/>
              </w:divBdr>
            </w:div>
          </w:divsChild>
        </w:div>
        <w:div w:id="1201473245">
          <w:marLeft w:val="0"/>
          <w:marRight w:val="0"/>
          <w:marTop w:val="0"/>
          <w:marBottom w:val="0"/>
          <w:divBdr>
            <w:top w:val="none" w:sz="0" w:space="0" w:color="auto"/>
            <w:left w:val="none" w:sz="0" w:space="0" w:color="auto"/>
            <w:bottom w:val="none" w:sz="0" w:space="0" w:color="auto"/>
            <w:right w:val="none" w:sz="0" w:space="0" w:color="auto"/>
          </w:divBdr>
          <w:divsChild>
            <w:div w:id="24522166">
              <w:marLeft w:val="0"/>
              <w:marRight w:val="0"/>
              <w:marTop w:val="0"/>
              <w:marBottom w:val="0"/>
              <w:divBdr>
                <w:top w:val="none" w:sz="0" w:space="0" w:color="auto"/>
                <w:left w:val="none" w:sz="0" w:space="0" w:color="auto"/>
                <w:bottom w:val="none" w:sz="0" w:space="0" w:color="auto"/>
                <w:right w:val="none" w:sz="0" w:space="0" w:color="auto"/>
              </w:divBdr>
            </w:div>
          </w:divsChild>
        </w:div>
        <w:div w:id="1210653473">
          <w:marLeft w:val="0"/>
          <w:marRight w:val="0"/>
          <w:marTop w:val="0"/>
          <w:marBottom w:val="0"/>
          <w:divBdr>
            <w:top w:val="none" w:sz="0" w:space="0" w:color="auto"/>
            <w:left w:val="none" w:sz="0" w:space="0" w:color="auto"/>
            <w:bottom w:val="none" w:sz="0" w:space="0" w:color="auto"/>
            <w:right w:val="none" w:sz="0" w:space="0" w:color="auto"/>
          </w:divBdr>
          <w:divsChild>
            <w:div w:id="65689966">
              <w:marLeft w:val="0"/>
              <w:marRight w:val="0"/>
              <w:marTop w:val="0"/>
              <w:marBottom w:val="0"/>
              <w:divBdr>
                <w:top w:val="none" w:sz="0" w:space="0" w:color="auto"/>
                <w:left w:val="none" w:sz="0" w:space="0" w:color="auto"/>
                <w:bottom w:val="none" w:sz="0" w:space="0" w:color="auto"/>
                <w:right w:val="none" w:sz="0" w:space="0" w:color="auto"/>
              </w:divBdr>
            </w:div>
            <w:div w:id="1413888571">
              <w:marLeft w:val="0"/>
              <w:marRight w:val="0"/>
              <w:marTop w:val="0"/>
              <w:marBottom w:val="0"/>
              <w:divBdr>
                <w:top w:val="none" w:sz="0" w:space="0" w:color="auto"/>
                <w:left w:val="none" w:sz="0" w:space="0" w:color="auto"/>
                <w:bottom w:val="none" w:sz="0" w:space="0" w:color="auto"/>
                <w:right w:val="none" w:sz="0" w:space="0" w:color="auto"/>
              </w:divBdr>
            </w:div>
            <w:div w:id="1716656128">
              <w:marLeft w:val="0"/>
              <w:marRight w:val="0"/>
              <w:marTop w:val="0"/>
              <w:marBottom w:val="0"/>
              <w:divBdr>
                <w:top w:val="none" w:sz="0" w:space="0" w:color="auto"/>
                <w:left w:val="none" w:sz="0" w:space="0" w:color="auto"/>
                <w:bottom w:val="none" w:sz="0" w:space="0" w:color="auto"/>
                <w:right w:val="none" w:sz="0" w:space="0" w:color="auto"/>
              </w:divBdr>
            </w:div>
          </w:divsChild>
        </w:div>
        <w:div w:id="1221749318">
          <w:marLeft w:val="0"/>
          <w:marRight w:val="0"/>
          <w:marTop w:val="0"/>
          <w:marBottom w:val="0"/>
          <w:divBdr>
            <w:top w:val="none" w:sz="0" w:space="0" w:color="auto"/>
            <w:left w:val="none" w:sz="0" w:space="0" w:color="auto"/>
            <w:bottom w:val="none" w:sz="0" w:space="0" w:color="auto"/>
            <w:right w:val="none" w:sz="0" w:space="0" w:color="auto"/>
          </w:divBdr>
          <w:divsChild>
            <w:div w:id="558828767">
              <w:marLeft w:val="0"/>
              <w:marRight w:val="0"/>
              <w:marTop w:val="0"/>
              <w:marBottom w:val="0"/>
              <w:divBdr>
                <w:top w:val="none" w:sz="0" w:space="0" w:color="auto"/>
                <w:left w:val="none" w:sz="0" w:space="0" w:color="auto"/>
                <w:bottom w:val="none" w:sz="0" w:space="0" w:color="auto"/>
                <w:right w:val="none" w:sz="0" w:space="0" w:color="auto"/>
              </w:divBdr>
            </w:div>
          </w:divsChild>
        </w:div>
        <w:div w:id="1248465719">
          <w:marLeft w:val="0"/>
          <w:marRight w:val="0"/>
          <w:marTop w:val="0"/>
          <w:marBottom w:val="0"/>
          <w:divBdr>
            <w:top w:val="none" w:sz="0" w:space="0" w:color="auto"/>
            <w:left w:val="none" w:sz="0" w:space="0" w:color="auto"/>
            <w:bottom w:val="none" w:sz="0" w:space="0" w:color="auto"/>
            <w:right w:val="none" w:sz="0" w:space="0" w:color="auto"/>
          </w:divBdr>
          <w:divsChild>
            <w:div w:id="98724990">
              <w:marLeft w:val="0"/>
              <w:marRight w:val="0"/>
              <w:marTop w:val="0"/>
              <w:marBottom w:val="0"/>
              <w:divBdr>
                <w:top w:val="none" w:sz="0" w:space="0" w:color="auto"/>
                <w:left w:val="none" w:sz="0" w:space="0" w:color="auto"/>
                <w:bottom w:val="none" w:sz="0" w:space="0" w:color="auto"/>
                <w:right w:val="none" w:sz="0" w:space="0" w:color="auto"/>
              </w:divBdr>
            </w:div>
          </w:divsChild>
        </w:div>
        <w:div w:id="1248880106">
          <w:marLeft w:val="0"/>
          <w:marRight w:val="0"/>
          <w:marTop w:val="0"/>
          <w:marBottom w:val="0"/>
          <w:divBdr>
            <w:top w:val="none" w:sz="0" w:space="0" w:color="auto"/>
            <w:left w:val="none" w:sz="0" w:space="0" w:color="auto"/>
            <w:bottom w:val="none" w:sz="0" w:space="0" w:color="auto"/>
            <w:right w:val="none" w:sz="0" w:space="0" w:color="auto"/>
          </w:divBdr>
          <w:divsChild>
            <w:div w:id="1631010268">
              <w:marLeft w:val="0"/>
              <w:marRight w:val="0"/>
              <w:marTop w:val="0"/>
              <w:marBottom w:val="0"/>
              <w:divBdr>
                <w:top w:val="none" w:sz="0" w:space="0" w:color="auto"/>
                <w:left w:val="none" w:sz="0" w:space="0" w:color="auto"/>
                <w:bottom w:val="none" w:sz="0" w:space="0" w:color="auto"/>
                <w:right w:val="none" w:sz="0" w:space="0" w:color="auto"/>
              </w:divBdr>
            </w:div>
          </w:divsChild>
        </w:div>
        <w:div w:id="1281838122">
          <w:marLeft w:val="0"/>
          <w:marRight w:val="0"/>
          <w:marTop w:val="0"/>
          <w:marBottom w:val="0"/>
          <w:divBdr>
            <w:top w:val="none" w:sz="0" w:space="0" w:color="auto"/>
            <w:left w:val="none" w:sz="0" w:space="0" w:color="auto"/>
            <w:bottom w:val="none" w:sz="0" w:space="0" w:color="auto"/>
            <w:right w:val="none" w:sz="0" w:space="0" w:color="auto"/>
          </w:divBdr>
          <w:divsChild>
            <w:div w:id="353380960">
              <w:marLeft w:val="0"/>
              <w:marRight w:val="0"/>
              <w:marTop w:val="0"/>
              <w:marBottom w:val="0"/>
              <w:divBdr>
                <w:top w:val="none" w:sz="0" w:space="0" w:color="auto"/>
                <w:left w:val="none" w:sz="0" w:space="0" w:color="auto"/>
                <w:bottom w:val="none" w:sz="0" w:space="0" w:color="auto"/>
                <w:right w:val="none" w:sz="0" w:space="0" w:color="auto"/>
              </w:divBdr>
            </w:div>
          </w:divsChild>
        </w:div>
        <w:div w:id="1324242292">
          <w:marLeft w:val="0"/>
          <w:marRight w:val="0"/>
          <w:marTop w:val="0"/>
          <w:marBottom w:val="0"/>
          <w:divBdr>
            <w:top w:val="none" w:sz="0" w:space="0" w:color="auto"/>
            <w:left w:val="none" w:sz="0" w:space="0" w:color="auto"/>
            <w:bottom w:val="none" w:sz="0" w:space="0" w:color="auto"/>
            <w:right w:val="none" w:sz="0" w:space="0" w:color="auto"/>
          </w:divBdr>
          <w:divsChild>
            <w:div w:id="1373381610">
              <w:marLeft w:val="0"/>
              <w:marRight w:val="0"/>
              <w:marTop w:val="0"/>
              <w:marBottom w:val="0"/>
              <w:divBdr>
                <w:top w:val="none" w:sz="0" w:space="0" w:color="auto"/>
                <w:left w:val="none" w:sz="0" w:space="0" w:color="auto"/>
                <w:bottom w:val="none" w:sz="0" w:space="0" w:color="auto"/>
                <w:right w:val="none" w:sz="0" w:space="0" w:color="auto"/>
              </w:divBdr>
            </w:div>
          </w:divsChild>
        </w:div>
        <w:div w:id="1379814833">
          <w:marLeft w:val="0"/>
          <w:marRight w:val="0"/>
          <w:marTop w:val="0"/>
          <w:marBottom w:val="0"/>
          <w:divBdr>
            <w:top w:val="none" w:sz="0" w:space="0" w:color="auto"/>
            <w:left w:val="none" w:sz="0" w:space="0" w:color="auto"/>
            <w:bottom w:val="none" w:sz="0" w:space="0" w:color="auto"/>
            <w:right w:val="none" w:sz="0" w:space="0" w:color="auto"/>
          </w:divBdr>
          <w:divsChild>
            <w:div w:id="95291428">
              <w:marLeft w:val="0"/>
              <w:marRight w:val="0"/>
              <w:marTop w:val="0"/>
              <w:marBottom w:val="0"/>
              <w:divBdr>
                <w:top w:val="none" w:sz="0" w:space="0" w:color="auto"/>
                <w:left w:val="none" w:sz="0" w:space="0" w:color="auto"/>
                <w:bottom w:val="none" w:sz="0" w:space="0" w:color="auto"/>
                <w:right w:val="none" w:sz="0" w:space="0" w:color="auto"/>
              </w:divBdr>
            </w:div>
          </w:divsChild>
        </w:div>
        <w:div w:id="1394620134">
          <w:marLeft w:val="0"/>
          <w:marRight w:val="0"/>
          <w:marTop w:val="0"/>
          <w:marBottom w:val="0"/>
          <w:divBdr>
            <w:top w:val="none" w:sz="0" w:space="0" w:color="auto"/>
            <w:left w:val="none" w:sz="0" w:space="0" w:color="auto"/>
            <w:bottom w:val="none" w:sz="0" w:space="0" w:color="auto"/>
            <w:right w:val="none" w:sz="0" w:space="0" w:color="auto"/>
          </w:divBdr>
          <w:divsChild>
            <w:div w:id="1546024774">
              <w:marLeft w:val="0"/>
              <w:marRight w:val="0"/>
              <w:marTop w:val="0"/>
              <w:marBottom w:val="0"/>
              <w:divBdr>
                <w:top w:val="none" w:sz="0" w:space="0" w:color="auto"/>
                <w:left w:val="none" w:sz="0" w:space="0" w:color="auto"/>
                <w:bottom w:val="none" w:sz="0" w:space="0" w:color="auto"/>
                <w:right w:val="none" w:sz="0" w:space="0" w:color="auto"/>
              </w:divBdr>
            </w:div>
          </w:divsChild>
        </w:div>
        <w:div w:id="1466243209">
          <w:marLeft w:val="0"/>
          <w:marRight w:val="0"/>
          <w:marTop w:val="0"/>
          <w:marBottom w:val="0"/>
          <w:divBdr>
            <w:top w:val="none" w:sz="0" w:space="0" w:color="auto"/>
            <w:left w:val="none" w:sz="0" w:space="0" w:color="auto"/>
            <w:bottom w:val="none" w:sz="0" w:space="0" w:color="auto"/>
            <w:right w:val="none" w:sz="0" w:space="0" w:color="auto"/>
          </w:divBdr>
          <w:divsChild>
            <w:div w:id="1823279354">
              <w:marLeft w:val="0"/>
              <w:marRight w:val="0"/>
              <w:marTop w:val="0"/>
              <w:marBottom w:val="0"/>
              <w:divBdr>
                <w:top w:val="none" w:sz="0" w:space="0" w:color="auto"/>
                <w:left w:val="none" w:sz="0" w:space="0" w:color="auto"/>
                <w:bottom w:val="none" w:sz="0" w:space="0" w:color="auto"/>
                <w:right w:val="none" w:sz="0" w:space="0" w:color="auto"/>
              </w:divBdr>
            </w:div>
          </w:divsChild>
        </w:div>
        <w:div w:id="1494374285">
          <w:marLeft w:val="0"/>
          <w:marRight w:val="0"/>
          <w:marTop w:val="0"/>
          <w:marBottom w:val="0"/>
          <w:divBdr>
            <w:top w:val="none" w:sz="0" w:space="0" w:color="auto"/>
            <w:left w:val="none" w:sz="0" w:space="0" w:color="auto"/>
            <w:bottom w:val="none" w:sz="0" w:space="0" w:color="auto"/>
            <w:right w:val="none" w:sz="0" w:space="0" w:color="auto"/>
          </w:divBdr>
          <w:divsChild>
            <w:div w:id="605507061">
              <w:marLeft w:val="0"/>
              <w:marRight w:val="0"/>
              <w:marTop w:val="0"/>
              <w:marBottom w:val="0"/>
              <w:divBdr>
                <w:top w:val="none" w:sz="0" w:space="0" w:color="auto"/>
                <w:left w:val="none" w:sz="0" w:space="0" w:color="auto"/>
                <w:bottom w:val="none" w:sz="0" w:space="0" w:color="auto"/>
                <w:right w:val="none" w:sz="0" w:space="0" w:color="auto"/>
              </w:divBdr>
            </w:div>
          </w:divsChild>
        </w:div>
        <w:div w:id="1529948092">
          <w:marLeft w:val="0"/>
          <w:marRight w:val="0"/>
          <w:marTop w:val="0"/>
          <w:marBottom w:val="0"/>
          <w:divBdr>
            <w:top w:val="none" w:sz="0" w:space="0" w:color="auto"/>
            <w:left w:val="none" w:sz="0" w:space="0" w:color="auto"/>
            <w:bottom w:val="none" w:sz="0" w:space="0" w:color="auto"/>
            <w:right w:val="none" w:sz="0" w:space="0" w:color="auto"/>
          </w:divBdr>
          <w:divsChild>
            <w:div w:id="1765758761">
              <w:marLeft w:val="0"/>
              <w:marRight w:val="0"/>
              <w:marTop w:val="0"/>
              <w:marBottom w:val="0"/>
              <w:divBdr>
                <w:top w:val="none" w:sz="0" w:space="0" w:color="auto"/>
                <w:left w:val="none" w:sz="0" w:space="0" w:color="auto"/>
                <w:bottom w:val="none" w:sz="0" w:space="0" w:color="auto"/>
                <w:right w:val="none" w:sz="0" w:space="0" w:color="auto"/>
              </w:divBdr>
            </w:div>
          </w:divsChild>
        </w:div>
        <w:div w:id="1551185878">
          <w:marLeft w:val="0"/>
          <w:marRight w:val="0"/>
          <w:marTop w:val="0"/>
          <w:marBottom w:val="0"/>
          <w:divBdr>
            <w:top w:val="none" w:sz="0" w:space="0" w:color="auto"/>
            <w:left w:val="none" w:sz="0" w:space="0" w:color="auto"/>
            <w:bottom w:val="none" w:sz="0" w:space="0" w:color="auto"/>
            <w:right w:val="none" w:sz="0" w:space="0" w:color="auto"/>
          </w:divBdr>
          <w:divsChild>
            <w:div w:id="250360571">
              <w:marLeft w:val="0"/>
              <w:marRight w:val="0"/>
              <w:marTop w:val="0"/>
              <w:marBottom w:val="0"/>
              <w:divBdr>
                <w:top w:val="none" w:sz="0" w:space="0" w:color="auto"/>
                <w:left w:val="none" w:sz="0" w:space="0" w:color="auto"/>
                <w:bottom w:val="none" w:sz="0" w:space="0" w:color="auto"/>
                <w:right w:val="none" w:sz="0" w:space="0" w:color="auto"/>
              </w:divBdr>
            </w:div>
          </w:divsChild>
        </w:div>
        <w:div w:id="1601181180">
          <w:marLeft w:val="0"/>
          <w:marRight w:val="0"/>
          <w:marTop w:val="0"/>
          <w:marBottom w:val="0"/>
          <w:divBdr>
            <w:top w:val="none" w:sz="0" w:space="0" w:color="auto"/>
            <w:left w:val="none" w:sz="0" w:space="0" w:color="auto"/>
            <w:bottom w:val="none" w:sz="0" w:space="0" w:color="auto"/>
            <w:right w:val="none" w:sz="0" w:space="0" w:color="auto"/>
          </w:divBdr>
          <w:divsChild>
            <w:div w:id="19164983">
              <w:marLeft w:val="0"/>
              <w:marRight w:val="0"/>
              <w:marTop w:val="0"/>
              <w:marBottom w:val="0"/>
              <w:divBdr>
                <w:top w:val="none" w:sz="0" w:space="0" w:color="auto"/>
                <w:left w:val="none" w:sz="0" w:space="0" w:color="auto"/>
                <w:bottom w:val="none" w:sz="0" w:space="0" w:color="auto"/>
                <w:right w:val="none" w:sz="0" w:space="0" w:color="auto"/>
              </w:divBdr>
            </w:div>
            <w:div w:id="755443931">
              <w:marLeft w:val="0"/>
              <w:marRight w:val="0"/>
              <w:marTop w:val="0"/>
              <w:marBottom w:val="0"/>
              <w:divBdr>
                <w:top w:val="none" w:sz="0" w:space="0" w:color="auto"/>
                <w:left w:val="none" w:sz="0" w:space="0" w:color="auto"/>
                <w:bottom w:val="none" w:sz="0" w:space="0" w:color="auto"/>
                <w:right w:val="none" w:sz="0" w:space="0" w:color="auto"/>
              </w:divBdr>
            </w:div>
            <w:div w:id="1344013052">
              <w:marLeft w:val="0"/>
              <w:marRight w:val="0"/>
              <w:marTop w:val="0"/>
              <w:marBottom w:val="0"/>
              <w:divBdr>
                <w:top w:val="none" w:sz="0" w:space="0" w:color="auto"/>
                <w:left w:val="none" w:sz="0" w:space="0" w:color="auto"/>
                <w:bottom w:val="none" w:sz="0" w:space="0" w:color="auto"/>
                <w:right w:val="none" w:sz="0" w:space="0" w:color="auto"/>
              </w:divBdr>
            </w:div>
          </w:divsChild>
        </w:div>
        <w:div w:id="1615215203">
          <w:marLeft w:val="0"/>
          <w:marRight w:val="0"/>
          <w:marTop w:val="0"/>
          <w:marBottom w:val="0"/>
          <w:divBdr>
            <w:top w:val="none" w:sz="0" w:space="0" w:color="auto"/>
            <w:left w:val="none" w:sz="0" w:space="0" w:color="auto"/>
            <w:bottom w:val="none" w:sz="0" w:space="0" w:color="auto"/>
            <w:right w:val="none" w:sz="0" w:space="0" w:color="auto"/>
          </w:divBdr>
          <w:divsChild>
            <w:div w:id="939534725">
              <w:marLeft w:val="0"/>
              <w:marRight w:val="0"/>
              <w:marTop w:val="0"/>
              <w:marBottom w:val="0"/>
              <w:divBdr>
                <w:top w:val="none" w:sz="0" w:space="0" w:color="auto"/>
                <w:left w:val="none" w:sz="0" w:space="0" w:color="auto"/>
                <w:bottom w:val="none" w:sz="0" w:space="0" w:color="auto"/>
                <w:right w:val="none" w:sz="0" w:space="0" w:color="auto"/>
              </w:divBdr>
            </w:div>
          </w:divsChild>
        </w:div>
        <w:div w:id="1742017920">
          <w:marLeft w:val="0"/>
          <w:marRight w:val="0"/>
          <w:marTop w:val="0"/>
          <w:marBottom w:val="0"/>
          <w:divBdr>
            <w:top w:val="none" w:sz="0" w:space="0" w:color="auto"/>
            <w:left w:val="none" w:sz="0" w:space="0" w:color="auto"/>
            <w:bottom w:val="none" w:sz="0" w:space="0" w:color="auto"/>
            <w:right w:val="none" w:sz="0" w:space="0" w:color="auto"/>
          </w:divBdr>
          <w:divsChild>
            <w:div w:id="1770933139">
              <w:marLeft w:val="0"/>
              <w:marRight w:val="0"/>
              <w:marTop w:val="0"/>
              <w:marBottom w:val="0"/>
              <w:divBdr>
                <w:top w:val="none" w:sz="0" w:space="0" w:color="auto"/>
                <w:left w:val="none" w:sz="0" w:space="0" w:color="auto"/>
                <w:bottom w:val="none" w:sz="0" w:space="0" w:color="auto"/>
                <w:right w:val="none" w:sz="0" w:space="0" w:color="auto"/>
              </w:divBdr>
            </w:div>
          </w:divsChild>
        </w:div>
        <w:div w:id="1772361498">
          <w:marLeft w:val="0"/>
          <w:marRight w:val="0"/>
          <w:marTop w:val="0"/>
          <w:marBottom w:val="0"/>
          <w:divBdr>
            <w:top w:val="none" w:sz="0" w:space="0" w:color="auto"/>
            <w:left w:val="none" w:sz="0" w:space="0" w:color="auto"/>
            <w:bottom w:val="none" w:sz="0" w:space="0" w:color="auto"/>
            <w:right w:val="none" w:sz="0" w:space="0" w:color="auto"/>
          </w:divBdr>
          <w:divsChild>
            <w:div w:id="1955481804">
              <w:marLeft w:val="0"/>
              <w:marRight w:val="0"/>
              <w:marTop w:val="0"/>
              <w:marBottom w:val="0"/>
              <w:divBdr>
                <w:top w:val="none" w:sz="0" w:space="0" w:color="auto"/>
                <w:left w:val="none" w:sz="0" w:space="0" w:color="auto"/>
                <w:bottom w:val="none" w:sz="0" w:space="0" w:color="auto"/>
                <w:right w:val="none" w:sz="0" w:space="0" w:color="auto"/>
              </w:divBdr>
            </w:div>
          </w:divsChild>
        </w:div>
        <w:div w:id="1781021843">
          <w:marLeft w:val="0"/>
          <w:marRight w:val="0"/>
          <w:marTop w:val="0"/>
          <w:marBottom w:val="0"/>
          <w:divBdr>
            <w:top w:val="none" w:sz="0" w:space="0" w:color="auto"/>
            <w:left w:val="none" w:sz="0" w:space="0" w:color="auto"/>
            <w:bottom w:val="none" w:sz="0" w:space="0" w:color="auto"/>
            <w:right w:val="none" w:sz="0" w:space="0" w:color="auto"/>
          </w:divBdr>
          <w:divsChild>
            <w:div w:id="1644263639">
              <w:marLeft w:val="0"/>
              <w:marRight w:val="0"/>
              <w:marTop w:val="0"/>
              <w:marBottom w:val="0"/>
              <w:divBdr>
                <w:top w:val="none" w:sz="0" w:space="0" w:color="auto"/>
                <w:left w:val="none" w:sz="0" w:space="0" w:color="auto"/>
                <w:bottom w:val="none" w:sz="0" w:space="0" w:color="auto"/>
                <w:right w:val="none" w:sz="0" w:space="0" w:color="auto"/>
              </w:divBdr>
            </w:div>
          </w:divsChild>
        </w:div>
        <w:div w:id="1799954011">
          <w:marLeft w:val="0"/>
          <w:marRight w:val="0"/>
          <w:marTop w:val="0"/>
          <w:marBottom w:val="0"/>
          <w:divBdr>
            <w:top w:val="none" w:sz="0" w:space="0" w:color="auto"/>
            <w:left w:val="none" w:sz="0" w:space="0" w:color="auto"/>
            <w:bottom w:val="none" w:sz="0" w:space="0" w:color="auto"/>
            <w:right w:val="none" w:sz="0" w:space="0" w:color="auto"/>
          </w:divBdr>
          <w:divsChild>
            <w:div w:id="541672966">
              <w:marLeft w:val="0"/>
              <w:marRight w:val="0"/>
              <w:marTop w:val="0"/>
              <w:marBottom w:val="0"/>
              <w:divBdr>
                <w:top w:val="none" w:sz="0" w:space="0" w:color="auto"/>
                <w:left w:val="none" w:sz="0" w:space="0" w:color="auto"/>
                <w:bottom w:val="none" w:sz="0" w:space="0" w:color="auto"/>
                <w:right w:val="none" w:sz="0" w:space="0" w:color="auto"/>
              </w:divBdr>
            </w:div>
          </w:divsChild>
        </w:div>
        <w:div w:id="1891303757">
          <w:marLeft w:val="0"/>
          <w:marRight w:val="0"/>
          <w:marTop w:val="0"/>
          <w:marBottom w:val="0"/>
          <w:divBdr>
            <w:top w:val="none" w:sz="0" w:space="0" w:color="auto"/>
            <w:left w:val="none" w:sz="0" w:space="0" w:color="auto"/>
            <w:bottom w:val="none" w:sz="0" w:space="0" w:color="auto"/>
            <w:right w:val="none" w:sz="0" w:space="0" w:color="auto"/>
          </w:divBdr>
          <w:divsChild>
            <w:div w:id="805052688">
              <w:marLeft w:val="0"/>
              <w:marRight w:val="0"/>
              <w:marTop w:val="0"/>
              <w:marBottom w:val="0"/>
              <w:divBdr>
                <w:top w:val="none" w:sz="0" w:space="0" w:color="auto"/>
                <w:left w:val="none" w:sz="0" w:space="0" w:color="auto"/>
                <w:bottom w:val="none" w:sz="0" w:space="0" w:color="auto"/>
                <w:right w:val="none" w:sz="0" w:space="0" w:color="auto"/>
              </w:divBdr>
            </w:div>
          </w:divsChild>
        </w:div>
        <w:div w:id="1896045043">
          <w:marLeft w:val="0"/>
          <w:marRight w:val="0"/>
          <w:marTop w:val="0"/>
          <w:marBottom w:val="0"/>
          <w:divBdr>
            <w:top w:val="none" w:sz="0" w:space="0" w:color="auto"/>
            <w:left w:val="none" w:sz="0" w:space="0" w:color="auto"/>
            <w:bottom w:val="none" w:sz="0" w:space="0" w:color="auto"/>
            <w:right w:val="none" w:sz="0" w:space="0" w:color="auto"/>
          </w:divBdr>
          <w:divsChild>
            <w:div w:id="616184649">
              <w:marLeft w:val="0"/>
              <w:marRight w:val="0"/>
              <w:marTop w:val="0"/>
              <w:marBottom w:val="0"/>
              <w:divBdr>
                <w:top w:val="none" w:sz="0" w:space="0" w:color="auto"/>
                <w:left w:val="none" w:sz="0" w:space="0" w:color="auto"/>
                <w:bottom w:val="none" w:sz="0" w:space="0" w:color="auto"/>
                <w:right w:val="none" w:sz="0" w:space="0" w:color="auto"/>
              </w:divBdr>
            </w:div>
          </w:divsChild>
        </w:div>
        <w:div w:id="1898515749">
          <w:marLeft w:val="0"/>
          <w:marRight w:val="0"/>
          <w:marTop w:val="0"/>
          <w:marBottom w:val="0"/>
          <w:divBdr>
            <w:top w:val="none" w:sz="0" w:space="0" w:color="auto"/>
            <w:left w:val="none" w:sz="0" w:space="0" w:color="auto"/>
            <w:bottom w:val="none" w:sz="0" w:space="0" w:color="auto"/>
            <w:right w:val="none" w:sz="0" w:space="0" w:color="auto"/>
          </w:divBdr>
          <w:divsChild>
            <w:div w:id="39595157">
              <w:marLeft w:val="0"/>
              <w:marRight w:val="0"/>
              <w:marTop w:val="0"/>
              <w:marBottom w:val="0"/>
              <w:divBdr>
                <w:top w:val="none" w:sz="0" w:space="0" w:color="auto"/>
                <w:left w:val="none" w:sz="0" w:space="0" w:color="auto"/>
                <w:bottom w:val="none" w:sz="0" w:space="0" w:color="auto"/>
                <w:right w:val="none" w:sz="0" w:space="0" w:color="auto"/>
              </w:divBdr>
            </w:div>
          </w:divsChild>
        </w:div>
        <w:div w:id="1956057055">
          <w:marLeft w:val="0"/>
          <w:marRight w:val="0"/>
          <w:marTop w:val="0"/>
          <w:marBottom w:val="0"/>
          <w:divBdr>
            <w:top w:val="none" w:sz="0" w:space="0" w:color="auto"/>
            <w:left w:val="none" w:sz="0" w:space="0" w:color="auto"/>
            <w:bottom w:val="none" w:sz="0" w:space="0" w:color="auto"/>
            <w:right w:val="none" w:sz="0" w:space="0" w:color="auto"/>
          </w:divBdr>
          <w:divsChild>
            <w:div w:id="1128857673">
              <w:marLeft w:val="0"/>
              <w:marRight w:val="0"/>
              <w:marTop w:val="0"/>
              <w:marBottom w:val="0"/>
              <w:divBdr>
                <w:top w:val="none" w:sz="0" w:space="0" w:color="auto"/>
                <w:left w:val="none" w:sz="0" w:space="0" w:color="auto"/>
                <w:bottom w:val="none" w:sz="0" w:space="0" w:color="auto"/>
                <w:right w:val="none" w:sz="0" w:space="0" w:color="auto"/>
              </w:divBdr>
            </w:div>
          </w:divsChild>
        </w:div>
        <w:div w:id="2080713988">
          <w:marLeft w:val="0"/>
          <w:marRight w:val="0"/>
          <w:marTop w:val="0"/>
          <w:marBottom w:val="0"/>
          <w:divBdr>
            <w:top w:val="none" w:sz="0" w:space="0" w:color="auto"/>
            <w:left w:val="none" w:sz="0" w:space="0" w:color="auto"/>
            <w:bottom w:val="none" w:sz="0" w:space="0" w:color="auto"/>
            <w:right w:val="none" w:sz="0" w:space="0" w:color="auto"/>
          </w:divBdr>
          <w:divsChild>
            <w:div w:id="15878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7852">
      <w:bodyDiv w:val="1"/>
      <w:marLeft w:val="0"/>
      <w:marRight w:val="0"/>
      <w:marTop w:val="0"/>
      <w:marBottom w:val="0"/>
      <w:divBdr>
        <w:top w:val="none" w:sz="0" w:space="0" w:color="auto"/>
        <w:left w:val="none" w:sz="0" w:space="0" w:color="auto"/>
        <w:bottom w:val="none" w:sz="0" w:space="0" w:color="auto"/>
        <w:right w:val="none" w:sz="0" w:space="0" w:color="auto"/>
      </w:divBdr>
      <w:divsChild>
        <w:div w:id="541600786">
          <w:marLeft w:val="0"/>
          <w:marRight w:val="0"/>
          <w:marTop w:val="0"/>
          <w:marBottom w:val="0"/>
          <w:divBdr>
            <w:top w:val="none" w:sz="0" w:space="0" w:color="auto"/>
            <w:left w:val="none" w:sz="0" w:space="0" w:color="auto"/>
            <w:bottom w:val="none" w:sz="0" w:space="0" w:color="auto"/>
            <w:right w:val="none" w:sz="0" w:space="0" w:color="auto"/>
          </w:divBdr>
        </w:div>
        <w:div w:id="688682268">
          <w:marLeft w:val="0"/>
          <w:marRight w:val="0"/>
          <w:marTop w:val="0"/>
          <w:marBottom w:val="0"/>
          <w:divBdr>
            <w:top w:val="none" w:sz="0" w:space="0" w:color="auto"/>
            <w:left w:val="none" w:sz="0" w:space="0" w:color="auto"/>
            <w:bottom w:val="none" w:sz="0" w:space="0" w:color="auto"/>
            <w:right w:val="none" w:sz="0" w:space="0" w:color="auto"/>
          </w:divBdr>
        </w:div>
        <w:div w:id="1369062308">
          <w:marLeft w:val="0"/>
          <w:marRight w:val="0"/>
          <w:marTop w:val="0"/>
          <w:marBottom w:val="0"/>
          <w:divBdr>
            <w:top w:val="none" w:sz="0" w:space="0" w:color="auto"/>
            <w:left w:val="none" w:sz="0" w:space="0" w:color="auto"/>
            <w:bottom w:val="none" w:sz="0" w:space="0" w:color="auto"/>
            <w:right w:val="none" w:sz="0" w:space="0" w:color="auto"/>
          </w:divBdr>
        </w:div>
        <w:div w:id="1437171378">
          <w:marLeft w:val="0"/>
          <w:marRight w:val="0"/>
          <w:marTop w:val="0"/>
          <w:marBottom w:val="0"/>
          <w:divBdr>
            <w:top w:val="none" w:sz="0" w:space="0" w:color="auto"/>
            <w:left w:val="none" w:sz="0" w:space="0" w:color="auto"/>
            <w:bottom w:val="none" w:sz="0" w:space="0" w:color="auto"/>
            <w:right w:val="none" w:sz="0" w:space="0" w:color="auto"/>
          </w:divBdr>
        </w:div>
        <w:div w:id="1680696874">
          <w:marLeft w:val="0"/>
          <w:marRight w:val="0"/>
          <w:marTop w:val="0"/>
          <w:marBottom w:val="0"/>
          <w:divBdr>
            <w:top w:val="none" w:sz="0" w:space="0" w:color="auto"/>
            <w:left w:val="none" w:sz="0" w:space="0" w:color="auto"/>
            <w:bottom w:val="none" w:sz="0" w:space="0" w:color="auto"/>
            <w:right w:val="none" w:sz="0" w:space="0" w:color="auto"/>
          </w:divBdr>
        </w:div>
      </w:divsChild>
    </w:div>
    <w:div w:id="186673476">
      <w:bodyDiv w:val="1"/>
      <w:marLeft w:val="0"/>
      <w:marRight w:val="0"/>
      <w:marTop w:val="0"/>
      <w:marBottom w:val="0"/>
      <w:divBdr>
        <w:top w:val="none" w:sz="0" w:space="0" w:color="auto"/>
        <w:left w:val="none" w:sz="0" w:space="0" w:color="auto"/>
        <w:bottom w:val="none" w:sz="0" w:space="0" w:color="auto"/>
        <w:right w:val="none" w:sz="0" w:space="0" w:color="auto"/>
      </w:divBdr>
    </w:div>
    <w:div w:id="187720485">
      <w:bodyDiv w:val="1"/>
      <w:marLeft w:val="0"/>
      <w:marRight w:val="0"/>
      <w:marTop w:val="0"/>
      <w:marBottom w:val="0"/>
      <w:divBdr>
        <w:top w:val="none" w:sz="0" w:space="0" w:color="auto"/>
        <w:left w:val="none" w:sz="0" w:space="0" w:color="auto"/>
        <w:bottom w:val="none" w:sz="0" w:space="0" w:color="auto"/>
        <w:right w:val="none" w:sz="0" w:space="0" w:color="auto"/>
      </w:divBdr>
    </w:div>
    <w:div w:id="193856340">
      <w:bodyDiv w:val="1"/>
      <w:marLeft w:val="0"/>
      <w:marRight w:val="0"/>
      <w:marTop w:val="0"/>
      <w:marBottom w:val="0"/>
      <w:divBdr>
        <w:top w:val="none" w:sz="0" w:space="0" w:color="auto"/>
        <w:left w:val="none" w:sz="0" w:space="0" w:color="auto"/>
        <w:bottom w:val="none" w:sz="0" w:space="0" w:color="auto"/>
        <w:right w:val="none" w:sz="0" w:space="0" w:color="auto"/>
      </w:divBdr>
      <w:divsChild>
        <w:div w:id="461195019">
          <w:marLeft w:val="0"/>
          <w:marRight w:val="0"/>
          <w:marTop w:val="0"/>
          <w:marBottom w:val="0"/>
          <w:divBdr>
            <w:top w:val="none" w:sz="0" w:space="0" w:color="auto"/>
            <w:left w:val="none" w:sz="0" w:space="0" w:color="auto"/>
            <w:bottom w:val="none" w:sz="0" w:space="0" w:color="auto"/>
            <w:right w:val="none" w:sz="0" w:space="0" w:color="auto"/>
          </w:divBdr>
        </w:div>
      </w:divsChild>
    </w:div>
    <w:div w:id="195168102">
      <w:bodyDiv w:val="1"/>
      <w:marLeft w:val="0"/>
      <w:marRight w:val="0"/>
      <w:marTop w:val="0"/>
      <w:marBottom w:val="0"/>
      <w:divBdr>
        <w:top w:val="none" w:sz="0" w:space="0" w:color="auto"/>
        <w:left w:val="none" w:sz="0" w:space="0" w:color="auto"/>
        <w:bottom w:val="none" w:sz="0" w:space="0" w:color="auto"/>
        <w:right w:val="none" w:sz="0" w:space="0" w:color="auto"/>
      </w:divBdr>
    </w:div>
    <w:div w:id="206769156">
      <w:bodyDiv w:val="1"/>
      <w:marLeft w:val="0"/>
      <w:marRight w:val="0"/>
      <w:marTop w:val="0"/>
      <w:marBottom w:val="0"/>
      <w:divBdr>
        <w:top w:val="none" w:sz="0" w:space="0" w:color="auto"/>
        <w:left w:val="none" w:sz="0" w:space="0" w:color="auto"/>
        <w:bottom w:val="none" w:sz="0" w:space="0" w:color="auto"/>
        <w:right w:val="none" w:sz="0" w:space="0" w:color="auto"/>
      </w:divBdr>
      <w:divsChild>
        <w:div w:id="9651645">
          <w:marLeft w:val="0"/>
          <w:marRight w:val="0"/>
          <w:marTop w:val="0"/>
          <w:marBottom w:val="0"/>
          <w:divBdr>
            <w:top w:val="none" w:sz="0" w:space="0" w:color="auto"/>
            <w:left w:val="none" w:sz="0" w:space="0" w:color="auto"/>
            <w:bottom w:val="none" w:sz="0" w:space="0" w:color="auto"/>
            <w:right w:val="none" w:sz="0" w:space="0" w:color="auto"/>
          </w:divBdr>
          <w:divsChild>
            <w:div w:id="115107300">
              <w:marLeft w:val="0"/>
              <w:marRight w:val="0"/>
              <w:marTop w:val="0"/>
              <w:marBottom w:val="0"/>
              <w:divBdr>
                <w:top w:val="none" w:sz="0" w:space="0" w:color="auto"/>
                <w:left w:val="none" w:sz="0" w:space="0" w:color="auto"/>
                <w:bottom w:val="none" w:sz="0" w:space="0" w:color="auto"/>
                <w:right w:val="none" w:sz="0" w:space="0" w:color="auto"/>
              </w:divBdr>
              <w:divsChild>
                <w:div w:id="2121684815">
                  <w:marLeft w:val="0"/>
                  <w:marRight w:val="0"/>
                  <w:marTop w:val="0"/>
                  <w:marBottom w:val="0"/>
                  <w:divBdr>
                    <w:top w:val="none" w:sz="0" w:space="0" w:color="auto"/>
                    <w:left w:val="none" w:sz="0" w:space="0" w:color="auto"/>
                    <w:bottom w:val="none" w:sz="0" w:space="0" w:color="auto"/>
                    <w:right w:val="none" w:sz="0" w:space="0" w:color="auto"/>
                  </w:divBdr>
                  <w:divsChild>
                    <w:div w:id="1664699574">
                      <w:marLeft w:val="0"/>
                      <w:marRight w:val="0"/>
                      <w:marTop w:val="0"/>
                      <w:marBottom w:val="0"/>
                      <w:divBdr>
                        <w:top w:val="none" w:sz="0" w:space="0" w:color="auto"/>
                        <w:left w:val="none" w:sz="0" w:space="0" w:color="auto"/>
                        <w:bottom w:val="none" w:sz="0" w:space="0" w:color="auto"/>
                        <w:right w:val="none" w:sz="0" w:space="0" w:color="auto"/>
                      </w:divBdr>
                      <w:divsChild>
                        <w:div w:id="2004966916">
                          <w:marLeft w:val="0"/>
                          <w:marRight w:val="0"/>
                          <w:marTop w:val="0"/>
                          <w:marBottom w:val="0"/>
                          <w:divBdr>
                            <w:top w:val="none" w:sz="0" w:space="0" w:color="auto"/>
                            <w:left w:val="none" w:sz="0" w:space="0" w:color="auto"/>
                            <w:bottom w:val="none" w:sz="0" w:space="0" w:color="auto"/>
                            <w:right w:val="none" w:sz="0" w:space="0" w:color="auto"/>
                          </w:divBdr>
                          <w:divsChild>
                            <w:div w:id="2054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81423">
      <w:bodyDiv w:val="1"/>
      <w:marLeft w:val="0"/>
      <w:marRight w:val="0"/>
      <w:marTop w:val="0"/>
      <w:marBottom w:val="0"/>
      <w:divBdr>
        <w:top w:val="none" w:sz="0" w:space="0" w:color="auto"/>
        <w:left w:val="none" w:sz="0" w:space="0" w:color="auto"/>
        <w:bottom w:val="none" w:sz="0" w:space="0" w:color="auto"/>
        <w:right w:val="none" w:sz="0" w:space="0" w:color="auto"/>
      </w:divBdr>
    </w:div>
    <w:div w:id="212738272">
      <w:bodyDiv w:val="1"/>
      <w:marLeft w:val="0"/>
      <w:marRight w:val="0"/>
      <w:marTop w:val="0"/>
      <w:marBottom w:val="0"/>
      <w:divBdr>
        <w:top w:val="none" w:sz="0" w:space="0" w:color="auto"/>
        <w:left w:val="none" w:sz="0" w:space="0" w:color="auto"/>
        <w:bottom w:val="none" w:sz="0" w:space="0" w:color="auto"/>
        <w:right w:val="none" w:sz="0" w:space="0" w:color="auto"/>
      </w:divBdr>
    </w:div>
    <w:div w:id="227689147">
      <w:bodyDiv w:val="1"/>
      <w:marLeft w:val="0"/>
      <w:marRight w:val="0"/>
      <w:marTop w:val="0"/>
      <w:marBottom w:val="0"/>
      <w:divBdr>
        <w:top w:val="none" w:sz="0" w:space="0" w:color="auto"/>
        <w:left w:val="none" w:sz="0" w:space="0" w:color="auto"/>
        <w:bottom w:val="none" w:sz="0" w:space="0" w:color="auto"/>
        <w:right w:val="none" w:sz="0" w:space="0" w:color="auto"/>
      </w:divBdr>
    </w:div>
    <w:div w:id="235670640">
      <w:bodyDiv w:val="1"/>
      <w:marLeft w:val="0"/>
      <w:marRight w:val="0"/>
      <w:marTop w:val="0"/>
      <w:marBottom w:val="0"/>
      <w:divBdr>
        <w:top w:val="none" w:sz="0" w:space="0" w:color="auto"/>
        <w:left w:val="none" w:sz="0" w:space="0" w:color="auto"/>
        <w:bottom w:val="none" w:sz="0" w:space="0" w:color="auto"/>
        <w:right w:val="none" w:sz="0" w:space="0" w:color="auto"/>
      </w:divBdr>
      <w:divsChild>
        <w:div w:id="181749612">
          <w:marLeft w:val="0"/>
          <w:marRight w:val="0"/>
          <w:marTop w:val="0"/>
          <w:marBottom w:val="0"/>
          <w:divBdr>
            <w:top w:val="none" w:sz="0" w:space="0" w:color="auto"/>
            <w:left w:val="none" w:sz="0" w:space="0" w:color="auto"/>
            <w:bottom w:val="none" w:sz="0" w:space="0" w:color="auto"/>
            <w:right w:val="none" w:sz="0" w:space="0" w:color="auto"/>
          </w:divBdr>
        </w:div>
      </w:divsChild>
    </w:div>
    <w:div w:id="254482907">
      <w:bodyDiv w:val="1"/>
      <w:marLeft w:val="0"/>
      <w:marRight w:val="0"/>
      <w:marTop w:val="0"/>
      <w:marBottom w:val="0"/>
      <w:divBdr>
        <w:top w:val="none" w:sz="0" w:space="0" w:color="auto"/>
        <w:left w:val="none" w:sz="0" w:space="0" w:color="auto"/>
        <w:bottom w:val="none" w:sz="0" w:space="0" w:color="auto"/>
        <w:right w:val="none" w:sz="0" w:space="0" w:color="auto"/>
      </w:divBdr>
    </w:div>
    <w:div w:id="270556307">
      <w:bodyDiv w:val="1"/>
      <w:marLeft w:val="0"/>
      <w:marRight w:val="0"/>
      <w:marTop w:val="0"/>
      <w:marBottom w:val="0"/>
      <w:divBdr>
        <w:top w:val="none" w:sz="0" w:space="0" w:color="auto"/>
        <w:left w:val="none" w:sz="0" w:space="0" w:color="auto"/>
        <w:bottom w:val="none" w:sz="0" w:space="0" w:color="auto"/>
        <w:right w:val="none" w:sz="0" w:space="0" w:color="auto"/>
      </w:divBdr>
    </w:div>
    <w:div w:id="272594961">
      <w:bodyDiv w:val="1"/>
      <w:marLeft w:val="0"/>
      <w:marRight w:val="0"/>
      <w:marTop w:val="0"/>
      <w:marBottom w:val="0"/>
      <w:divBdr>
        <w:top w:val="none" w:sz="0" w:space="0" w:color="auto"/>
        <w:left w:val="none" w:sz="0" w:space="0" w:color="auto"/>
        <w:bottom w:val="none" w:sz="0" w:space="0" w:color="auto"/>
        <w:right w:val="none" w:sz="0" w:space="0" w:color="auto"/>
      </w:divBdr>
    </w:div>
    <w:div w:id="274212573">
      <w:bodyDiv w:val="1"/>
      <w:marLeft w:val="0"/>
      <w:marRight w:val="0"/>
      <w:marTop w:val="0"/>
      <w:marBottom w:val="0"/>
      <w:divBdr>
        <w:top w:val="none" w:sz="0" w:space="0" w:color="auto"/>
        <w:left w:val="none" w:sz="0" w:space="0" w:color="auto"/>
        <w:bottom w:val="none" w:sz="0" w:space="0" w:color="auto"/>
        <w:right w:val="none" w:sz="0" w:space="0" w:color="auto"/>
      </w:divBdr>
    </w:div>
    <w:div w:id="275454015">
      <w:bodyDiv w:val="1"/>
      <w:marLeft w:val="0"/>
      <w:marRight w:val="0"/>
      <w:marTop w:val="0"/>
      <w:marBottom w:val="0"/>
      <w:divBdr>
        <w:top w:val="none" w:sz="0" w:space="0" w:color="auto"/>
        <w:left w:val="none" w:sz="0" w:space="0" w:color="auto"/>
        <w:bottom w:val="none" w:sz="0" w:space="0" w:color="auto"/>
        <w:right w:val="none" w:sz="0" w:space="0" w:color="auto"/>
      </w:divBdr>
      <w:divsChild>
        <w:div w:id="45221925">
          <w:marLeft w:val="0"/>
          <w:marRight w:val="0"/>
          <w:marTop w:val="0"/>
          <w:marBottom w:val="0"/>
          <w:divBdr>
            <w:top w:val="none" w:sz="0" w:space="0" w:color="auto"/>
            <w:left w:val="none" w:sz="0" w:space="0" w:color="auto"/>
            <w:bottom w:val="none" w:sz="0" w:space="0" w:color="auto"/>
            <w:right w:val="none" w:sz="0" w:space="0" w:color="auto"/>
          </w:divBdr>
        </w:div>
        <w:div w:id="1382167002">
          <w:marLeft w:val="0"/>
          <w:marRight w:val="0"/>
          <w:marTop w:val="0"/>
          <w:marBottom w:val="0"/>
          <w:divBdr>
            <w:top w:val="none" w:sz="0" w:space="0" w:color="auto"/>
            <w:left w:val="none" w:sz="0" w:space="0" w:color="auto"/>
            <w:bottom w:val="none" w:sz="0" w:space="0" w:color="auto"/>
            <w:right w:val="none" w:sz="0" w:space="0" w:color="auto"/>
          </w:divBdr>
        </w:div>
        <w:div w:id="1821536925">
          <w:marLeft w:val="0"/>
          <w:marRight w:val="0"/>
          <w:marTop w:val="0"/>
          <w:marBottom w:val="0"/>
          <w:divBdr>
            <w:top w:val="none" w:sz="0" w:space="0" w:color="auto"/>
            <w:left w:val="none" w:sz="0" w:space="0" w:color="auto"/>
            <w:bottom w:val="none" w:sz="0" w:space="0" w:color="auto"/>
            <w:right w:val="none" w:sz="0" w:space="0" w:color="auto"/>
          </w:divBdr>
        </w:div>
      </w:divsChild>
    </w:div>
    <w:div w:id="278878520">
      <w:bodyDiv w:val="1"/>
      <w:marLeft w:val="0"/>
      <w:marRight w:val="0"/>
      <w:marTop w:val="0"/>
      <w:marBottom w:val="0"/>
      <w:divBdr>
        <w:top w:val="none" w:sz="0" w:space="0" w:color="auto"/>
        <w:left w:val="none" w:sz="0" w:space="0" w:color="auto"/>
        <w:bottom w:val="none" w:sz="0" w:space="0" w:color="auto"/>
        <w:right w:val="none" w:sz="0" w:space="0" w:color="auto"/>
      </w:divBdr>
    </w:div>
    <w:div w:id="280037730">
      <w:bodyDiv w:val="1"/>
      <w:marLeft w:val="0"/>
      <w:marRight w:val="0"/>
      <w:marTop w:val="0"/>
      <w:marBottom w:val="0"/>
      <w:divBdr>
        <w:top w:val="none" w:sz="0" w:space="0" w:color="auto"/>
        <w:left w:val="none" w:sz="0" w:space="0" w:color="auto"/>
        <w:bottom w:val="none" w:sz="0" w:space="0" w:color="auto"/>
        <w:right w:val="none" w:sz="0" w:space="0" w:color="auto"/>
      </w:divBdr>
      <w:divsChild>
        <w:div w:id="873232920">
          <w:marLeft w:val="0"/>
          <w:marRight w:val="0"/>
          <w:marTop w:val="0"/>
          <w:marBottom w:val="0"/>
          <w:divBdr>
            <w:top w:val="none" w:sz="0" w:space="0" w:color="auto"/>
            <w:left w:val="none" w:sz="0" w:space="0" w:color="auto"/>
            <w:bottom w:val="none" w:sz="0" w:space="0" w:color="auto"/>
            <w:right w:val="none" w:sz="0" w:space="0" w:color="auto"/>
          </w:divBdr>
          <w:divsChild>
            <w:div w:id="809903732">
              <w:marLeft w:val="0"/>
              <w:marRight w:val="0"/>
              <w:marTop w:val="0"/>
              <w:marBottom w:val="0"/>
              <w:divBdr>
                <w:top w:val="none" w:sz="0" w:space="0" w:color="auto"/>
                <w:left w:val="none" w:sz="0" w:space="0" w:color="auto"/>
                <w:bottom w:val="none" w:sz="0" w:space="0" w:color="auto"/>
                <w:right w:val="none" w:sz="0" w:space="0" w:color="auto"/>
              </w:divBdr>
              <w:divsChild>
                <w:div w:id="1231691819">
                  <w:marLeft w:val="0"/>
                  <w:marRight w:val="0"/>
                  <w:marTop w:val="0"/>
                  <w:marBottom w:val="0"/>
                  <w:divBdr>
                    <w:top w:val="none" w:sz="0" w:space="0" w:color="auto"/>
                    <w:left w:val="none" w:sz="0" w:space="0" w:color="auto"/>
                    <w:bottom w:val="none" w:sz="0" w:space="0" w:color="auto"/>
                    <w:right w:val="none" w:sz="0" w:space="0" w:color="auto"/>
                  </w:divBdr>
                  <w:divsChild>
                    <w:div w:id="2066025228">
                      <w:marLeft w:val="0"/>
                      <w:marRight w:val="0"/>
                      <w:marTop w:val="0"/>
                      <w:marBottom w:val="0"/>
                      <w:divBdr>
                        <w:top w:val="none" w:sz="0" w:space="0" w:color="auto"/>
                        <w:left w:val="none" w:sz="0" w:space="0" w:color="auto"/>
                        <w:bottom w:val="none" w:sz="0" w:space="0" w:color="auto"/>
                        <w:right w:val="none" w:sz="0" w:space="0" w:color="auto"/>
                      </w:divBdr>
                      <w:divsChild>
                        <w:div w:id="458844194">
                          <w:marLeft w:val="0"/>
                          <w:marRight w:val="0"/>
                          <w:marTop w:val="0"/>
                          <w:marBottom w:val="0"/>
                          <w:divBdr>
                            <w:top w:val="none" w:sz="0" w:space="0" w:color="auto"/>
                            <w:left w:val="none" w:sz="0" w:space="0" w:color="auto"/>
                            <w:bottom w:val="none" w:sz="0" w:space="0" w:color="auto"/>
                            <w:right w:val="none" w:sz="0" w:space="0" w:color="auto"/>
                          </w:divBdr>
                          <w:divsChild>
                            <w:div w:id="4757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191807">
      <w:bodyDiv w:val="1"/>
      <w:marLeft w:val="0"/>
      <w:marRight w:val="0"/>
      <w:marTop w:val="0"/>
      <w:marBottom w:val="0"/>
      <w:divBdr>
        <w:top w:val="none" w:sz="0" w:space="0" w:color="auto"/>
        <w:left w:val="none" w:sz="0" w:space="0" w:color="auto"/>
        <w:bottom w:val="none" w:sz="0" w:space="0" w:color="auto"/>
        <w:right w:val="none" w:sz="0" w:space="0" w:color="auto"/>
      </w:divBdr>
    </w:div>
    <w:div w:id="284654557">
      <w:bodyDiv w:val="1"/>
      <w:marLeft w:val="0"/>
      <w:marRight w:val="0"/>
      <w:marTop w:val="0"/>
      <w:marBottom w:val="0"/>
      <w:divBdr>
        <w:top w:val="none" w:sz="0" w:space="0" w:color="auto"/>
        <w:left w:val="none" w:sz="0" w:space="0" w:color="auto"/>
        <w:bottom w:val="none" w:sz="0" w:space="0" w:color="auto"/>
        <w:right w:val="none" w:sz="0" w:space="0" w:color="auto"/>
      </w:divBdr>
    </w:div>
    <w:div w:id="284774840">
      <w:bodyDiv w:val="1"/>
      <w:marLeft w:val="0"/>
      <w:marRight w:val="0"/>
      <w:marTop w:val="0"/>
      <w:marBottom w:val="0"/>
      <w:divBdr>
        <w:top w:val="none" w:sz="0" w:space="0" w:color="auto"/>
        <w:left w:val="none" w:sz="0" w:space="0" w:color="auto"/>
        <w:bottom w:val="none" w:sz="0" w:space="0" w:color="auto"/>
        <w:right w:val="none" w:sz="0" w:space="0" w:color="auto"/>
      </w:divBdr>
    </w:div>
    <w:div w:id="285039672">
      <w:bodyDiv w:val="1"/>
      <w:marLeft w:val="0"/>
      <w:marRight w:val="0"/>
      <w:marTop w:val="0"/>
      <w:marBottom w:val="0"/>
      <w:divBdr>
        <w:top w:val="none" w:sz="0" w:space="0" w:color="auto"/>
        <w:left w:val="none" w:sz="0" w:space="0" w:color="auto"/>
        <w:bottom w:val="none" w:sz="0" w:space="0" w:color="auto"/>
        <w:right w:val="none" w:sz="0" w:space="0" w:color="auto"/>
      </w:divBdr>
      <w:divsChild>
        <w:div w:id="903224482">
          <w:marLeft w:val="0"/>
          <w:marRight w:val="0"/>
          <w:marTop w:val="0"/>
          <w:marBottom w:val="0"/>
          <w:divBdr>
            <w:top w:val="none" w:sz="0" w:space="0" w:color="auto"/>
            <w:left w:val="none" w:sz="0" w:space="0" w:color="auto"/>
            <w:bottom w:val="none" w:sz="0" w:space="0" w:color="auto"/>
            <w:right w:val="none" w:sz="0" w:space="0" w:color="auto"/>
          </w:divBdr>
        </w:div>
      </w:divsChild>
    </w:div>
    <w:div w:id="293023989">
      <w:bodyDiv w:val="1"/>
      <w:marLeft w:val="0"/>
      <w:marRight w:val="0"/>
      <w:marTop w:val="0"/>
      <w:marBottom w:val="0"/>
      <w:divBdr>
        <w:top w:val="none" w:sz="0" w:space="0" w:color="auto"/>
        <w:left w:val="none" w:sz="0" w:space="0" w:color="auto"/>
        <w:bottom w:val="none" w:sz="0" w:space="0" w:color="auto"/>
        <w:right w:val="none" w:sz="0" w:space="0" w:color="auto"/>
      </w:divBdr>
    </w:div>
    <w:div w:id="303777537">
      <w:bodyDiv w:val="1"/>
      <w:marLeft w:val="0"/>
      <w:marRight w:val="0"/>
      <w:marTop w:val="0"/>
      <w:marBottom w:val="0"/>
      <w:divBdr>
        <w:top w:val="none" w:sz="0" w:space="0" w:color="auto"/>
        <w:left w:val="none" w:sz="0" w:space="0" w:color="auto"/>
        <w:bottom w:val="none" w:sz="0" w:space="0" w:color="auto"/>
        <w:right w:val="none" w:sz="0" w:space="0" w:color="auto"/>
      </w:divBdr>
    </w:div>
    <w:div w:id="311981798">
      <w:bodyDiv w:val="1"/>
      <w:marLeft w:val="0"/>
      <w:marRight w:val="0"/>
      <w:marTop w:val="0"/>
      <w:marBottom w:val="0"/>
      <w:divBdr>
        <w:top w:val="none" w:sz="0" w:space="0" w:color="auto"/>
        <w:left w:val="none" w:sz="0" w:space="0" w:color="auto"/>
        <w:bottom w:val="none" w:sz="0" w:space="0" w:color="auto"/>
        <w:right w:val="none" w:sz="0" w:space="0" w:color="auto"/>
      </w:divBdr>
      <w:divsChild>
        <w:div w:id="385498325">
          <w:marLeft w:val="0"/>
          <w:marRight w:val="0"/>
          <w:marTop w:val="0"/>
          <w:marBottom w:val="0"/>
          <w:divBdr>
            <w:top w:val="none" w:sz="0" w:space="0" w:color="auto"/>
            <w:left w:val="none" w:sz="0" w:space="0" w:color="auto"/>
            <w:bottom w:val="none" w:sz="0" w:space="0" w:color="auto"/>
            <w:right w:val="none" w:sz="0" w:space="0" w:color="auto"/>
          </w:divBdr>
          <w:divsChild>
            <w:div w:id="1199204493">
              <w:marLeft w:val="0"/>
              <w:marRight w:val="0"/>
              <w:marTop w:val="0"/>
              <w:marBottom w:val="0"/>
              <w:divBdr>
                <w:top w:val="none" w:sz="0" w:space="0" w:color="auto"/>
                <w:left w:val="none" w:sz="0" w:space="0" w:color="auto"/>
                <w:bottom w:val="none" w:sz="0" w:space="0" w:color="auto"/>
                <w:right w:val="none" w:sz="0" w:space="0" w:color="auto"/>
              </w:divBdr>
            </w:div>
          </w:divsChild>
        </w:div>
        <w:div w:id="410733653">
          <w:marLeft w:val="0"/>
          <w:marRight w:val="0"/>
          <w:marTop w:val="0"/>
          <w:marBottom w:val="0"/>
          <w:divBdr>
            <w:top w:val="none" w:sz="0" w:space="0" w:color="auto"/>
            <w:left w:val="none" w:sz="0" w:space="0" w:color="auto"/>
            <w:bottom w:val="none" w:sz="0" w:space="0" w:color="auto"/>
            <w:right w:val="none" w:sz="0" w:space="0" w:color="auto"/>
          </w:divBdr>
          <w:divsChild>
            <w:div w:id="1179345497">
              <w:marLeft w:val="0"/>
              <w:marRight w:val="0"/>
              <w:marTop w:val="0"/>
              <w:marBottom w:val="0"/>
              <w:divBdr>
                <w:top w:val="none" w:sz="0" w:space="0" w:color="auto"/>
                <w:left w:val="none" w:sz="0" w:space="0" w:color="auto"/>
                <w:bottom w:val="none" w:sz="0" w:space="0" w:color="auto"/>
                <w:right w:val="none" w:sz="0" w:space="0" w:color="auto"/>
              </w:divBdr>
            </w:div>
          </w:divsChild>
        </w:div>
        <w:div w:id="546994335">
          <w:marLeft w:val="0"/>
          <w:marRight w:val="0"/>
          <w:marTop w:val="0"/>
          <w:marBottom w:val="0"/>
          <w:divBdr>
            <w:top w:val="none" w:sz="0" w:space="0" w:color="auto"/>
            <w:left w:val="none" w:sz="0" w:space="0" w:color="auto"/>
            <w:bottom w:val="none" w:sz="0" w:space="0" w:color="auto"/>
            <w:right w:val="none" w:sz="0" w:space="0" w:color="auto"/>
          </w:divBdr>
          <w:divsChild>
            <w:div w:id="1386637467">
              <w:marLeft w:val="0"/>
              <w:marRight w:val="0"/>
              <w:marTop w:val="0"/>
              <w:marBottom w:val="0"/>
              <w:divBdr>
                <w:top w:val="none" w:sz="0" w:space="0" w:color="auto"/>
                <w:left w:val="none" w:sz="0" w:space="0" w:color="auto"/>
                <w:bottom w:val="none" w:sz="0" w:space="0" w:color="auto"/>
                <w:right w:val="none" w:sz="0" w:space="0" w:color="auto"/>
              </w:divBdr>
            </w:div>
          </w:divsChild>
        </w:div>
        <w:div w:id="834733418">
          <w:marLeft w:val="0"/>
          <w:marRight w:val="0"/>
          <w:marTop w:val="0"/>
          <w:marBottom w:val="0"/>
          <w:divBdr>
            <w:top w:val="none" w:sz="0" w:space="0" w:color="auto"/>
            <w:left w:val="none" w:sz="0" w:space="0" w:color="auto"/>
            <w:bottom w:val="none" w:sz="0" w:space="0" w:color="auto"/>
            <w:right w:val="none" w:sz="0" w:space="0" w:color="auto"/>
          </w:divBdr>
          <w:divsChild>
            <w:div w:id="1398631162">
              <w:marLeft w:val="0"/>
              <w:marRight w:val="0"/>
              <w:marTop w:val="0"/>
              <w:marBottom w:val="0"/>
              <w:divBdr>
                <w:top w:val="none" w:sz="0" w:space="0" w:color="auto"/>
                <w:left w:val="none" w:sz="0" w:space="0" w:color="auto"/>
                <w:bottom w:val="none" w:sz="0" w:space="0" w:color="auto"/>
                <w:right w:val="none" w:sz="0" w:space="0" w:color="auto"/>
              </w:divBdr>
            </w:div>
          </w:divsChild>
        </w:div>
        <w:div w:id="1030885204">
          <w:marLeft w:val="0"/>
          <w:marRight w:val="0"/>
          <w:marTop w:val="0"/>
          <w:marBottom w:val="0"/>
          <w:divBdr>
            <w:top w:val="none" w:sz="0" w:space="0" w:color="auto"/>
            <w:left w:val="none" w:sz="0" w:space="0" w:color="auto"/>
            <w:bottom w:val="none" w:sz="0" w:space="0" w:color="auto"/>
            <w:right w:val="none" w:sz="0" w:space="0" w:color="auto"/>
          </w:divBdr>
          <w:divsChild>
            <w:div w:id="795753564">
              <w:marLeft w:val="0"/>
              <w:marRight w:val="0"/>
              <w:marTop w:val="0"/>
              <w:marBottom w:val="0"/>
              <w:divBdr>
                <w:top w:val="none" w:sz="0" w:space="0" w:color="auto"/>
                <w:left w:val="none" w:sz="0" w:space="0" w:color="auto"/>
                <w:bottom w:val="none" w:sz="0" w:space="0" w:color="auto"/>
                <w:right w:val="none" w:sz="0" w:space="0" w:color="auto"/>
              </w:divBdr>
            </w:div>
          </w:divsChild>
        </w:div>
        <w:div w:id="1049113014">
          <w:marLeft w:val="0"/>
          <w:marRight w:val="0"/>
          <w:marTop w:val="0"/>
          <w:marBottom w:val="0"/>
          <w:divBdr>
            <w:top w:val="none" w:sz="0" w:space="0" w:color="auto"/>
            <w:left w:val="none" w:sz="0" w:space="0" w:color="auto"/>
            <w:bottom w:val="none" w:sz="0" w:space="0" w:color="auto"/>
            <w:right w:val="none" w:sz="0" w:space="0" w:color="auto"/>
          </w:divBdr>
          <w:divsChild>
            <w:div w:id="1332681718">
              <w:marLeft w:val="0"/>
              <w:marRight w:val="0"/>
              <w:marTop w:val="0"/>
              <w:marBottom w:val="0"/>
              <w:divBdr>
                <w:top w:val="none" w:sz="0" w:space="0" w:color="auto"/>
                <w:left w:val="none" w:sz="0" w:space="0" w:color="auto"/>
                <w:bottom w:val="none" w:sz="0" w:space="0" w:color="auto"/>
                <w:right w:val="none" w:sz="0" w:space="0" w:color="auto"/>
              </w:divBdr>
            </w:div>
          </w:divsChild>
        </w:div>
        <w:div w:id="1194539621">
          <w:marLeft w:val="0"/>
          <w:marRight w:val="0"/>
          <w:marTop w:val="0"/>
          <w:marBottom w:val="0"/>
          <w:divBdr>
            <w:top w:val="none" w:sz="0" w:space="0" w:color="auto"/>
            <w:left w:val="none" w:sz="0" w:space="0" w:color="auto"/>
            <w:bottom w:val="none" w:sz="0" w:space="0" w:color="auto"/>
            <w:right w:val="none" w:sz="0" w:space="0" w:color="auto"/>
          </w:divBdr>
          <w:divsChild>
            <w:div w:id="622003062">
              <w:marLeft w:val="0"/>
              <w:marRight w:val="0"/>
              <w:marTop w:val="0"/>
              <w:marBottom w:val="0"/>
              <w:divBdr>
                <w:top w:val="none" w:sz="0" w:space="0" w:color="auto"/>
                <w:left w:val="none" w:sz="0" w:space="0" w:color="auto"/>
                <w:bottom w:val="none" w:sz="0" w:space="0" w:color="auto"/>
                <w:right w:val="none" w:sz="0" w:space="0" w:color="auto"/>
              </w:divBdr>
            </w:div>
          </w:divsChild>
        </w:div>
        <w:div w:id="1253200092">
          <w:marLeft w:val="0"/>
          <w:marRight w:val="0"/>
          <w:marTop w:val="0"/>
          <w:marBottom w:val="0"/>
          <w:divBdr>
            <w:top w:val="none" w:sz="0" w:space="0" w:color="auto"/>
            <w:left w:val="none" w:sz="0" w:space="0" w:color="auto"/>
            <w:bottom w:val="none" w:sz="0" w:space="0" w:color="auto"/>
            <w:right w:val="none" w:sz="0" w:space="0" w:color="auto"/>
          </w:divBdr>
          <w:divsChild>
            <w:div w:id="2128162608">
              <w:marLeft w:val="0"/>
              <w:marRight w:val="0"/>
              <w:marTop w:val="0"/>
              <w:marBottom w:val="0"/>
              <w:divBdr>
                <w:top w:val="none" w:sz="0" w:space="0" w:color="auto"/>
                <w:left w:val="none" w:sz="0" w:space="0" w:color="auto"/>
                <w:bottom w:val="none" w:sz="0" w:space="0" w:color="auto"/>
                <w:right w:val="none" w:sz="0" w:space="0" w:color="auto"/>
              </w:divBdr>
            </w:div>
          </w:divsChild>
        </w:div>
        <w:div w:id="1308049418">
          <w:marLeft w:val="0"/>
          <w:marRight w:val="0"/>
          <w:marTop w:val="0"/>
          <w:marBottom w:val="0"/>
          <w:divBdr>
            <w:top w:val="none" w:sz="0" w:space="0" w:color="auto"/>
            <w:left w:val="none" w:sz="0" w:space="0" w:color="auto"/>
            <w:bottom w:val="none" w:sz="0" w:space="0" w:color="auto"/>
            <w:right w:val="none" w:sz="0" w:space="0" w:color="auto"/>
          </w:divBdr>
          <w:divsChild>
            <w:div w:id="445930561">
              <w:marLeft w:val="0"/>
              <w:marRight w:val="0"/>
              <w:marTop w:val="0"/>
              <w:marBottom w:val="0"/>
              <w:divBdr>
                <w:top w:val="none" w:sz="0" w:space="0" w:color="auto"/>
                <w:left w:val="none" w:sz="0" w:space="0" w:color="auto"/>
                <w:bottom w:val="none" w:sz="0" w:space="0" w:color="auto"/>
                <w:right w:val="none" w:sz="0" w:space="0" w:color="auto"/>
              </w:divBdr>
            </w:div>
          </w:divsChild>
        </w:div>
        <w:div w:id="1531143193">
          <w:marLeft w:val="0"/>
          <w:marRight w:val="0"/>
          <w:marTop w:val="0"/>
          <w:marBottom w:val="0"/>
          <w:divBdr>
            <w:top w:val="none" w:sz="0" w:space="0" w:color="auto"/>
            <w:left w:val="none" w:sz="0" w:space="0" w:color="auto"/>
            <w:bottom w:val="none" w:sz="0" w:space="0" w:color="auto"/>
            <w:right w:val="none" w:sz="0" w:space="0" w:color="auto"/>
          </w:divBdr>
          <w:divsChild>
            <w:div w:id="1477914676">
              <w:marLeft w:val="0"/>
              <w:marRight w:val="0"/>
              <w:marTop w:val="0"/>
              <w:marBottom w:val="0"/>
              <w:divBdr>
                <w:top w:val="none" w:sz="0" w:space="0" w:color="auto"/>
                <w:left w:val="none" w:sz="0" w:space="0" w:color="auto"/>
                <w:bottom w:val="none" w:sz="0" w:space="0" w:color="auto"/>
                <w:right w:val="none" w:sz="0" w:space="0" w:color="auto"/>
              </w:divBdr>
            </w:div>
          </w:divsChild>
        </w:div>
        <w:div w:id="1626228993">
          <w:marLeft w:val="0"/>
          <w:marRight w:val="0"/>
          <w:marTop w:val="0"/>
          <w:marBottom w:val="0"/>
          <w:divBdr>
            <w:top w:val="none" w:sz="0" w:space="0" w:color="auto"/>
            <w:left w:val="none" w:sz="0" w:space="0" w:color="auto"/>
            <w:bottom w:val="none" w:sz="0" w:space="0" w:color="auto"/>
            <w:right w:val="none" w:sz="0" w:space="0" w:color="auto"/>
          </w:divBdr>
          <w:divsChild>
            <w:div w:id="267465123">
              <w:marLeft w:val="0"/>
              <w:marRight w:val="0"/>
              <w:marTop w:val="0"/>
              <w:marBottom w:val="0"/>
              <w:divBdr>
                <w:top w:val="none" w:sz="0" w:space="0" w:color="auto"/>
                <w:left w:val="none" w:sz="0" w:space="0" w:color="auto"/>
                <w:bottom w:val="none" w:sz="0" w:space="0" w:color="auto"/>
                <w:right w:val="none" w:sz="0" w:space="0" w:color="auto"/>
              </w:divBdr>
            </w:div>
          </w:divsChild>
        </w:div>
        <w:div w:id="1642298740">
          <w:marLeft w:val="0"/>
          <w:marRight w:val="0"/>
          <w:marTop w:val="0"/>
          <w:marBottom w:val="0"/>
          <w:divBdr>
            <w:top w:val="none" w:sz="0" w:space="0" w:color="auto"/>
            <w:left w:val="none" w:sz="0" w:space="0" w:color="auto"/>
            <w:bottom w:val="none" w:sz="0" w:space="0" w:color="auto"/>
            <w:right w:val="none" w:sz="0" w:space="0" w:color="auto"/>
          </w:divBdr>
          <w:divsChild>
            <w:div w:id="1017578385">
              <w:marLeft w:val="0"/>
              <w:marRight w:val="0"/>
              <w:marTop w:val="0"/>
              <w:marBottom w:val="0"/>
              <w:divBdr>
                <w:top w:val="none" w:sz="0" w:space="0" w:color="auto"/>
                <w:left w:val="none" w:sz="0" w:space="0" w:color="auto"/>
                <w:bottom w:val="none" w:sz="0" w:space="0" w:color="auto"/>
                <w:right w:val="none" w:sz="0" w:space="0" w:color="auto"/>
              </w:divBdr>
            </w:div>
          </w:divsChild>
        </w:div>
        <w:div w:id="1724985009">
          <w:marLeft w:val="0"/>
          <w:marRight w:val="0"/>
          <w:marTop w:val="0"/>
          <w:marBottom w:val="0"/>
          <w:divBdr>
            <w:top w:val="none" w:sz="0" w:space="0" w:color="auto"/>
            <w:left w:val="none" w:sz="0" w:space="0" w:color="auto"/>
            <w:bottom w:val="none" w:sz="0" w:space="0" w:color="auto"/>
            <w:right w:val="none" w:sz="0" w:space="0" w:color="auto"/>
          </w:divBdr>
          <w:divsChild>
            <w:div w:id="1041631682">
              <w:marLeft w:val="0"/>
              <w:marRight w:val="0"/>
              <w:marTop w:val="0"/>
              <w:marBottom w:val="0"/>
              <w:divBdr>
                <w:top w:val="none" w:sz="0" w:space="0" w:color="auto"/>
                <w:left w:val="none" w:sz="0" w:space="0" w:color="auto"/>
                <w:bottom w:val="none" w:sz="0" w:space="0" w:color="auto"/>
                <w:right w:val="none" w:sz="0" w:space="0" w:color="auto"/>
              </w:divBdr>
            </w:div>
          </w:divsChild>
        </w:div>
        <w:div w:id="1779831022">
          <w:marLeft w:val="0"/>
          <w:marRight w:val="0"/>
          <w:marTop w:val="0"/>
          <w:marBottom w:val="0"/>
          <w:divBdr>
            <w:top w:val="none" w:sz="0" w:space="0" w:color="auto"/>
            <w:left w:val="none" w:sz="0" w:space="0" w:color="auto"/>
            <w:bottom w:val="none" w:sz="0" w:space="0" w:color="auto"/>
            <w:right w:val="none" w:sz="0" w:space="0" w:color="auto"/>
          </w:divBdr>
          <w:divsChild>
            <w:div w:id="2068914861">
              <w:marLeft w:val="0"/>
              <w:marRight w:val="0"/>
              <w:marTop w:val="0"/>
              <w:marBottom w:val="0"/>
              <w:divBdr>
                <w:top w:val="none" w:sz="0" w:space="0" w:color="auto"/>
                <w:left w:val="none" w:sz="0" w:space="0" w:color="auto"/>
                <w:bottom w:val="none" w:sz="0" w:space="0" w:color="auto"/>
                <w:right w:val="none" w:sz="0" w:space="0" w:color="auto"/>
              </w:divBdr>
            </w:div>
          </w:divsChild>
        </w:div>
        <w:div w:id="1823307334">
          <w:marLeft w:val="0"/>
          <w:marRight w:val="0"/>
          <w:marTop w:val="0"/>
          <w:marBottom w:val="0"/>
          <w:divBdr>
            <w:top w:val="none" w:sz="0" w:space="0" w:color="auto"/>
            <w:left w:val="none" w:sz="0" w:space="0" w:color="auto"/>
            <w:bottom w:val="none" w:sz="0" w:space="0" w:color="auto"/>
            <w:right w:val="none" w:sz="0" w:space="0" w:color="auto"/>
          </w:divBdr>
          <w:divsChild>
            <w:div w:id="855771109">
              <w:marLeft w:val="0"/>
              <w:marRight w:val="0"/>
              <w:marTop w:val="0"/>
              <w:marBottom w:val="0"/>
              <w:divBdr>
                <w:top w:val="none" w:sz="0" w:space="0" w:color="auto"/>
                <w:left w:val="none" w:sz="0" w:space="0" w:color="auto"/>
                <w:bottom w:val="none" w:sz="0" w:space="0" w:color="auto"/>
                <w:right w:val="none" w:sz="0" w:space="0" w:color="auto"/>
              </w:divBdr>
            </w:div>
          </w:divsChild>
        </w:div>
        <w:div w:id="1833912961">
          <w:marLeft w:val="0"/>
          <w:marRight w:val="0"/>
          <w:marTop w:val="0"/>
          <w:marBottom w:val="0"/>
          <w:divBdr>
            <w:top w:val="none" w:sz="0" w:space="0" w:color="auto"/>
            <w:left w:val="none" w:sz="0" w:space="0" w:color="auto"/>
            <w:bottom w:val="none" w:sz="0" w:space="0" w:color="auto"/>
            <w:right w:val="none" w:sz="0" w:space="0" w:color="auto"/>
          </w:divBdr>
          <w:divsChild>
            <w:div w:id="1702853376">
              <w:marLeft w:val="0"/>
              <w:marRight w:val="0"/>
              <w:marTop w:val="0"/>
              <w:marBottom w:val="0"/>
              <w:divBdr>
                <w:top w:val="none" w:sz="0" w:space="0" w:color="auto"/>
                <w:left w:val="none" w:sz="0" w:space="0" w:color="auto"/>
                <w:bottom w:val="none" w:sz="0" w:space="0" w:color="auto"/>
                <w:right w:val="none" w:sz="0" w:space="0" w:color="auto"/>
              </w:divBdr>
            </w:div>
          </w:divsChild>
        </w:div>
        <w:div w:id="1840386246">
          <w:marLeft w:val="0"/>
          <w:marRight w:val="0"/>
          <w:marTop w:val="0"/>
          <w:marBottom w:val="0"/>
          <w:divBdr>
            <w:top w:val="none" w:sz="0" w:space="0" w:color="auto"/>
            <w:left w:val="none" w:sz="0" w:space="0" w:color="auto"/>
            <w:bottom w:val="none" w:sz="0" w:space="0" w:color="auto"/>
            <w:right w:val="none" w:sz="0" w:space="0" w:color="auto"/>
          </w:divBdr>
          <w:divsChild>
            <w:div w:id="1603758377">
              <w:marLeft w:val="0"/>
              <w:marRight w:val="0"/>
              <w:marTop w:val="0"/>
              <w:marBottom w:val="0"/>
              <w:divBdr>
                <w:top w:val="none" w:sz="0" w:space="0" w:color="auto"/>
                <w:left w:val="none" w:sz="0" w:space="0" w:color="auto"/>
                <w:bottom w:val="none" w:sz="0" w:space="0" w:color="auto"/>
                <w:right w:val="none" w:sz="0" w:space="0" w:color="auto"/>
              </w:divBdr>
            </w:div>
          </w:divsChild>
        </w:div>
        <w:div w:id="1924605567">
          <w:marLeft w:val="0"/>
          <w:marRight w:val="0"/>
          <w:marTop w:val="0"/>
          <w:marBottom w:val="0"/>
          <w:divBdr>
            <w:top w:val="none" w:sz="0" w:space="0" w:color="auto"/>
            <w:left w:val="none" w:sz="0" w:space="0" w:color="auto"/>
            <w:bottom w:val="none" w:sz="0" w:space="0" w:color="auto"/>
            <w:right w:val="none" w:sz="0" w:space="0" w:color="auto"/>
          </w:divBdr>
          <w:divsChild>
            <w:div w:id="45224994">
              <w:marLeft w:val="0"/>
              <w:marRight w:val="0"/>
              <w:marTop w:val="0"/>
              <w:marBottom w:val="0"/>
              <w:divBdr>
                <w:top w:val="none" w:sz="0" w:space="0" w:color="auto"/>
                <w:left w:val="none" w:sz="0" w:space="0" w:color="auto"/>
                <w:bottom w:val="none" w:sz="0" w:space="0" w:color="auto"/>
                <w:right w:val="none" w:sz="0" w:space="0" w:color="auto"/>
              </w:divBdr>
            </w:div>
          </w:divsChild>
        </w:div>
        <w:div w:id="1941257913">
          <w:marLeft w:val="0"/>
          <w:marRight w:val="0"/>
          <w:marTop w:val="0"/>
          <w:marBottom w:val="0"/>
          <w:divBdr>
            <w:top w:val="none" w:sz="0" w:space="0" w:color="auto"/>
            <w:left w:val="none" w:sz="0" w:space="0" w:color="auto"/>
            <w:bottom w:val="none" w:sz="0" w:space="0" w:color="auto"/>
            <w:right w:val="none" w:sz="0" w:space="0" w:color="auto"/>
          </w:divBdr>
          <w:divsChild>
            <w:div w:id="394086294">
              <w:marLeft w:val="0"/>
              <w:marRight w:val="0"/>
              <w:marTop w:val="0"/>
              <w:marBottom w:val="0"/>
              <w:divBdr>
                <w:top w:val="none" w:sz="0" w:space="0" w:color="auto"/>
                <w:left w:val="none" w:sz="0" w:space="0" w:color="auto"/>
                <w:bottom w:val="none" w:sz="0" w:space="0" w:color="auto"/>
                <w:right w:val="none" w:sz="0" w:space="0" w:color="auto"/>
              </w:divBdr>
            </w:div>
          </w:divsChild>
        </w:div>
        <w:div w:id="2007124849">
          <w:marLeft w:val="0"/>
          <w:marRight w:val="0"/>
          <w:marTop w:val="0"/>
          <w:marBottom w:val="0"/>
          <w:divBdr>
            <w:top w:val="none" w:sz="0" w:space="0" w:color="auto"/>
            <w:left w:val="none" w:sz="0" w:space="0" w:color="auto"/>
            <w:bottom w:val="none" w:sz="0" w:space="0" w:color="auto"/>
            <w:right w:val="none" w:sz="0" w:space="0" w:color="auto"/>
          </w:divBdr>
          <w:divsChild>
            <w:div w:id="2523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3714">
      <w:bodyDiv w:val="1"/>
      <w:marLeft w:val="0"/>
      <w:marRight w:val="0"/>
      <w:marTop w:val="0"/>
      <w:marBottom w:val="0"/>
      <w:divBdr>
        <w:top w:val="none" w:sz="0" w:space="0" w:color="auto"/>
        <w:left w:val="none" w:sz="0" w:space="0" w:color="auto"/>
        <w:bottom w:val="none" w:sz="0" w:space="0" w:color="auto"/>
        <w:right w:val="none" w:sz="0" w:space="0" w:color="auto"/>
      </w:divBdr>
    </w:div>
    <w:div w:id="322467159">
      <w:bodyDiv w:val="1"/>
      <w:marLeft w:val="0"/>
      <w:marRight w:val="0"/>
      <w:marTop w:val="0"/>
      <w:marBottom w:val="0"/>
      <w:divBdr>
        <w:top w:val="none" w:sz="0" w:space="0" w:color="auto"/>
        <w:left w:val="none" w:sz="0" w:space="0" w:color="auto"/>
        <w:bottom w:val="none" w:sz="0" w:space="0" w:color="auto"/>
        <w:right w:val="none" w:sz="0" w:space="0" w:color="auto"/>
      </w:divBdr>
    </w:div>
    <w:div w:id="322508389">
      <w:bodyDiv w:val="1"/>
      <w:marLeft w:val="0"/>
      <w:marRight w:val="0"/>
      <w:marTop w:val="0"/>
      <w:marBottom w:val="0"/>
      <w:divBdr>
        <w:top w:val="none" w:sz="0" w:space="0" w:color="auto"/>
        <w:left w:val="none" w:sz="0" w:space="0" w:color="auto"/>
        <w:bottom w:val="none" w:sz="0" w:space="0" w:color="auto"/>
        <w:right w:val="none" w:sz="0" w:space="0" w:color="auto"/>
      </w:divBdr>
    </w:div>
    <w:div w:id="322856907">
      <w:bodyDiv w:val="1"/>
      <w:marLeft w:val="0"/>
      <w:marRight w:val="0"/>
      <w:marTop w:val="0"/>
      <w:marBottom w:val="0"/>
      <w:divBdr>
        <w:top w:val="none" w:sz="0" w:space="0" w:color="auto"/>
        <w:left w:val="none" w:sz="0" w:space="0" w:color="auto"/>
        <w:bottom w:val="none" w:sz="0" w:space="0" w:color="auto"/>
        <w:right w:val="none" w:sz="0" w:space="0" w:color="auto"/>
      </w:divBdr>
    </w:div>
    <w:div w:id="334652830">
      <w:bodyDiv w:val="1"/>
      <w:marLeft w:val="0"/>
      <w:marRight w:val="0"/>
      <w:marTop w:val="0"/>
      <w:marBottom w:val="0"/>
      <w:divBdr>
        <w:top w:val="none" w:sz="0" w:space="0" w:color="auto"/>
        <w:left w:val="none" w:sz="0" w:space="0" w:color="auto"/>
        <w:bottom w:val="none" w:sz="0" w:space="0" w:color="auto"/>
        <w:right w:val="none" w:sz="0" w:space="0" w:color="auto"/>
      </w:divBdr>
    </w:div>
    <w:div w:id="339352214">
      <w:bodyDiv w:val="1"/>
      <w:marLeft w:val="0"/>
      <w:marRight w:val="0"/>
      <w:marTop w:val="0"/>
      <w:marBottom w:val="0"/>
      <w:divBdr>
        <w:top w:val="none" w:sz="0" w:space="0" w:color="auto"/>
        <w:left w:val="none" w:sz="0" w:space="0" w:color="auto"/>
        <w:bottom w:val="none" w:sz="0" w:space="0" w:color="auto"/>
        <w:right w:val="none" w:sz="0" w:space="0" w:color="auto"/>
      </w:divBdr>
    </w:div>
    <w:div w:id="342980904">
      <w:bodyDiv w:val="1"/>
      <w:marLeft w:val="0"/>
      <w:marRight w:val="0"/>
      <w:marTop w:val="0"/>
      <w:marBottom w:val="0"/>
      <w:divBdr>
        <w:top w:val="none" w:sz="0" w:space="0" w:color="auto"/>
        <w:left w:val="none" w:sz="0" w:space="0" w:color="auto"/>
        <w:bottom w:val="none" w:sz="0" w:space="0" w:color="auto"/>
        <w:right w:val="none" w:sz="0" w:space="0" w:color="auto"/>
      </w:divBdr>
    </w:div>
    <w:div w:id="354384928">
      <w:bodyDiv w:val="1"/>
      <w:marLeft w:val="0"/>
      <w:marRight w:val="0"/>
      <w:marTop w:val="0"/>
      <w:marBottom w:val="0"/>
      <w:divBdr>
        <w:top w:val="none" w:sz="0" w:space="0" w:color="auto"/>
        <w:left w:val="none" w:sz="0" w:space="0" w:color="auto"/>
        <w:bottom w:val="none" w:sz="0" w:space="0" w:color="auto"/>
        <w:right w:val="none" w:sz="0" w:space="0" w:color="auto"/>
      </w:divBdr>
    </w:div>
    <w:div w:id="367878105">
      <w:bodyDiv w:val="1"/>
      <w:marLeft w:val="0"/>
      <w:marRight w:val="0"/>
      <w:marTop w:val="0"/>
      <w:marBottom w:val="0"/>
      <w:divBdr>
        <w:top w:val="none" w:sz="0" w:space="0" w:color="auto"/>
        <w:left w:val="none" w:sz="0" w:space="0" w:color="auto"/>
        <w:bottom w:val="none" w:sz="0" w:space="0" w:color="auto"/>
        <w:right w:val="none" w:sz="0" w:space="0" w:color="auto"/>
      </w:divBdr>
    </w:div>
    <w:div w:id="374040365">
      <w:bodyDiv w:val="1"/>
      <w:marLeft w:val="0"/>
      <w:marRight w:val="0"/>
      <w:marTop w:val="0"/>
      <w:marBottom w:val="0"/>
      <w:divBdr>
        <w:top w:val="none" w:sz="0" w:space="0" w:color="auto"/>
        <w:left w:val="none" w:sz="0" w:space="0" w:color="auto"/>
        <w:bottom w:val="none" w:sz="0" w:space="0" w:color="auto"/>
        <w:right w:val="none" w:sz="0" w:space="0" w:color="auto"/>
      </w:divBdr>
    </w:div>
    <w:div w:id="374502963">
      <w:bodyDiv w:val="1"/>
      <w:marLeft w:val="0"/>
      <w:marRight w:val="0"/>
      <w:marTop w:val="0"/>
      <w:marBottom w:val="0"/>
      <w:divBdr>
        <w:top w:val="none" w:sz="0" w:space="0" w:color="auto"/>
        <w:left w:val="none" w:sz="0" w:space="0" w:color="auto"/>
        <w:bottom w:val="none" w:sz="0" w:space="0" w:color="auto"/>
        <w:right w:val="none" w:sz="0" w:space="0" w:color="auto"/>
      </w:divBdr>
    </w:div>
    <w:div w:id="380253403">
      <w:bodyDiv w:val="1"/>
      <w:marLeft w:val="0"/>
      <w:marRight w:val="0"/>
      <w:marTop w:val="0"/>
      <w:marBottom w:val="0"/>
      <w:divBdr>
        <w:top w:val="none" w:sz="0" w:space="0" w:color="auto"/>
        <w:left w:val="none" w:sz="0" w:space="0" w:color="auto"/>
        <w:bottom w:val="none" w:sz="0" w:space="0" w:color="auto"/>
        <w:right w:val="none" w:sz="0" w:space="0" w:color="auto"/>
      </w:divBdr>
    </w:div>
    <w:div w:id="387264689">
      <w:bodyDiv w:val="1"/>
      <w:marLeft w:val="0"/>
      <w:marRight w:val="0"/>
      <w:marTop w:val="0"/>
      <w:marBottom w:val="0"/>
      <w:divBdr>
        <w:top w:val="none" w:sz="0" w:space="0" w:color="auto"/>
        <w:left w:val="none" w:sz="0" w:space="0" w:color="auto"/>
        <w:bottom w:val="none" w:sz="0" w:space="0" w:color="auto"/>
        <w:right w:val="none" w:sz="0" w:space="0" w:color="auto"/>
      </w:divBdr>
    </w:div>
    <w:div w:id="388309761">
      <w:bodyDiv w:val="1"/>
      <w:marLeft w:val="0"/>
      <w:marRight w:val="0"/>
      <w:marTop w:val="0"/>
      <w:marBottom w:val="0"/>
      <w:divBdr>
        <w:top w:val="none" w:sz="0" w:space="0" w:color="auto"/>
        <w:left w:val="none" w:sz="0" w:space="0" w:color="auto"/>
        <w:bottom w:val="none" w:sz="0" w:space="0" w:color="auto"/>
        <w:right w:val="none" w:sz="0" w:space="0" w:color="auto"/>
      </w:divBdr>
      <w:divsChild>
        <w:div w:id="54008366">
          <w:marLeft w:val="0"/>
          <w:marRight w:val="0"/>
          <w:marTop w:val="0"/>
          <w:marBottom w:val="0"/>
          <w:divBdr>
            <w:top w:val="none" w:sz="0" w:space="0" w:color="auto"/>
            <w:left w:val="none" w:sz="0" w:space="0" w:color="auto"/>
            <w:bottom w:val="none" w:sz="0" w:space="0" w:color="auto"/>
            <w:right w:val="none" w:sz="0" w:space="0" w:color="auto"/>
          </w:divBdr>
          <w:divsChild>
            <w:div w:id="709888044">
              <w:marLeft w:val="-75"/>
              <w:marRight w:val="0"/>
              <w:marTop w:val="30"/>
              <w:marBottom w:val="30"/>
              <w:divBdr>
                <w:top w:val="none" w:sz="0" w:space="0" w:color="auto"/>
                <w:left w:val="none" w:sz="0" w:space="0" w:color="auto"/>
                <w:bottom w:val="none" w:sz="0" w:space="0" w:color="auto"/>
                <w:right w:val="none" w:sz="0" w:space="0" w:color="auto"/>
              </w:divBdr>
              <w:divsChild>
                <w:div w:id="65878610">
                  <w:marLeft w:val="0"/>
                  <w:marRight w:val="0"/>
                  <w:marTop w:val="0"/>
                  <w:marBottom w:val="0"/>
                  <w:divBdr>
                    <w:top w:val="none" w:sz="0" w:space="0" w:color="auto"/>
                    <w:left w:val="none" w:sz="0" w:space="0" w:color="auto"/>
                    <w:bottom w:val="none" w:sz="0" w:space="0" w:color="auto"/>
                    <w:right w:val="none" w:sz="0" w:space="0" w:color="auto"/>
                  </w:divBdr>
                  <w:divsChild>
                    <w:div w:id="1236404285">
                      <w:marLeft w:val="0"/>
                      <w:marRight w:val="0"/>
                      <w:marTop w:val="0"/>
                      <w:marBottom w:val="0"/>
                      <w:divBdr>
                        <w:top w:val="none" w:sz="0" w:space="0" w:color="auto"/>
                        <w:left w:val="none" w:sz="0" w:space="0" w:color="auto"/>
                        <w:bottom w:val="none" w:sz="0" w:space="0" w:color="auto"/>
                        <w:right w:val="none" w:sz="0" w:space="0" w:color="auto"/>
                      </w:divBdr>
                    </w:div>
                  </w:divsChild>
                </w:div>
                <w:div w:id="75329403">
                  <w:marLeft w:val="0"/>
                  <w:marRight w:val="0"/>
                  <w:marTop w:val="0"/>
                  <w:marBottom w:val="0"/>
                  <w:divBdr>
                    <w:top w:val="none" w:sz="0" w:space="0" w:color="auto"/>
                    <w:left w:val="none" w:sz="0" w:space="0" w:color="auto"/>
                    <w:bottom w:val="none" w:sz="0" w:space="0" w:color="auto"/>
                    <w:right w:val="none" w:sz="0" w:space="0" w:color="auto"/>
                  </w:divBdr>
                  <w:divsChild>
                    <w:div w:id="1681085856">
                      <w:marLeft w:val="0"/>
                      <w:marRight w:val="0"/>
                      <w:marTop w:val="0"/>
                      <w:marBottom w:val="0"/>
                      <w:divBdr>
                        <w:top w:val="none" w:sz="0" w:space="0" w:color="auto"/>
                        <w:left w:val="none" w:sz="0" w:space="0" w:color="auto"/>
                        <w:bottom w:val="none" w:sz="0" w:space="0" w:color="auto"/>
                        <w:right w:val="none" w:sz="0" w:space="0" w:color="auto"/>
                      </w:divBdr>
                    </w:div>
                  </w:divsChild>
                </w:div>
                <w:div w:id="135805814">
                  <w:marLeft w:val="0"/>
                  <w:marRight w:val="0"/>
                  <w:marTop w:val="0"/>
                  <w:marBottom w:val="0"/>
                  <w:divBdr>
                    <w:top w:val="none" w:sz="0" w:space="0" w:color="auto"/>
                    <w:left w:val="none" w:sz="0" w:space="0" w:color="auto"/>
                    <w:bottom w:val="none" w:sz="0" w:space="0" w:color="auto"/>
                    <w:right w:val="none" w:sz="0" w:space="0" w:color="auto"/>
                  </w:divBdr>
                  <w:divsChild>
                    <w:div w:id="2052222760">
                      <w:marLeft w:val="0"/>
                      <w:marRight w:val="0"/>
                      <w:marTop w:val="0"/>
                      <w:marBottom w:val="0"/>
                      <w:divBdr>
                        <w:top w:val="none" w:sz="0" w:space="0" w:color="auto"/>
                        <w:left w:val="none" w:sz="0" w:space="0" w:color="auto"/>
                        <w:bottom w:val="none" w:sz="0" w:space="0" w:color="auto"/>
                        <w:right w:val="none" w:sz="0" w:space="0" w:color="auto"/>
                      </w:divBdr>
                    </w:div>
                  </w:divsChild>
                </w:div>
                <w:div w:id="151069435">
                  <w:marLeft w:val="0"/>
                  <w:marRight w:val="0"/>
                  <w:marTop w:val="0"/>
                  <w:marBottom w:val="0"/>
                  <w:divBdr>
                    <w:top w:val="none" w:sz="0" w:space="0" w:color="auto"/>
                    <w:left w:val="none" w:sz="0" w:space="0" w:color="auto"/>
                    <w:bottom w:val="none" w:sz="0" w:space="0" w:color="auto"/>
                    <w:right w:val="none" w:sz="0" w:space="0" w:color="auto"/>
                  </w:divBdr>
                  <w:divsChild>
                    <w:div w:id="528565016">
                      <w:marLeft w:val="0"/>
                      <w:marRight w:val="0"/>
                      <w:marTop w:val="0"/>
                      <w:marBottom w:val="0"/>
                      <w:divBdr>
                        <w:top w:val="none" w:sz="0" w:space="0" w:color="auto"/>
                        <w:left w:val="none" w:sz="0" w:space="0" w:color="auto"/>
                        <w:bottom w:val="none" w:sz="0" w:space="0" w:color="auto"/>
                        <w:right w:val="none" w:sz="0" w:space="0" w:color="auto"/>
                      </w:divBdr>
                    </w:div>
                  </w:divsChild>
                </w:div>
                <w:div w:id="163470590">
                  <w:marLeft w:val="0"/>
                  <w:marRight w:val="0"/>
                  <w:marTop w:val="0"/>
                  <w:marBottom w:val="0"/>
                  <w:divBdr>
                    <w:top w:val="none" w:sz="0" w:space="0" w:color="auto"/>
                    <w:left w:val="none" w:sz="0" w:space="0" w:color="auto"/>
                    <w:bottom w:val="none" w:sz="0" w:space="0" w:color="auto"/>
                    <w:right w:val="none" w:sz="0" w:space="0" w:color="auto"/>
                  </w:divBdr>
                  <w:divsChild>
                    <w:div w:id="1743674088">
                      <w:marLeft w:val="0"/>
                      <w:marRight w:val="0"/>
                      <w:marTop w:val="0"/>
                      <w:marBottom w:val="0"/>
                      <w:divBdr>
                        <w:top w:val="none" w:sz="0" w:space="0" w:color="auto"/>
                        <w:left w:val="none" w:sz="0" w:space="0" w:color="auto"/>
                        <w:bottom w:val="none" w:sz="0" w:space="0" w:color="auto"/>
                        <w:right w:val="none" w:sz="0" w:space="0" w:color="auto"/>
                      </w:divBdr>
                    </w:div>
                  </w:divsChild>
                </w:div>
                <w:div w:id="167908179">
                  <w:marLeft w:val="0"/>
                  <w:marRight w:val="0"/>
                  <w:marTop w:val="0"/>
                  <w:marBottom w:val="0"/>
                  <w:divBdr>
                    <w:top w:val="none" w:sz="0" w:space="0" w:color="auto"/>
                    <w:left w:val="none" w:sz="0" w:space="0" w:color="auto"/>
                    <w:bottom w:val="none" w:sz="0" w:space="0" w:color="auto"/>
                    <w:right w:val="none" w:sz="0" w:space="0" w:color="auto"/>
                  </w:divBdr>
                  <w:divsChild>
                    <w:div w:id="1143276418">
                      <w:marLeft w:val="0"/>
                      <w:marRight w:val="0"/>
                      <w:marTop w:val="0"/>
                      <w:marBottom w:val="0"/>
                      <w:divBdr>
                        <w:top w:val="none" w:sz="0" w:space="0" w:color="auto"/>
                        <w:left w:val="none" w:sz="0" w:space="0" w:color="auto"/>
                        <w:bottom w:val="none" w:sz="0" w:space="0" w:color="auto"/>
                        <w:right w:val="none" w:sz="0" w:space="0" w:color="auto"/>
                      </w:divBdr>
                    </w:div>
                  </w:divsChild>
                </w:div>
                <w:div w:id="269823879">
                  <w:marLeft w:val="0"/>
                  <w:marRight w:val="0"/>
                  <w:marTop w:val="0"/>
                  <w:marBottom w:val="0"/>
                  <w:divBdr>
                    <w:top w:val="none" w:sz="0" w:space="0" w:color="auto"/>
                    <w:left w:val="none" w:sz="0" w:space="0" w:color="auto"/>
                    <w:bottom w:val="none" w:sz="0" w:space="0" w:color="auto"/>
                    <w:right w:val="none" w:sz="0" w:space="0" w:color="auto"/>
                  </w:divBdr>
                  <w:divsChild>
                    <w:div w:id="1800147226">
                      <w:marLeft w:val="0"/>
                      <w:marRight w:val="0"/>
                      <w:marTop w:val="0"/>
                      <w:marBottom w:val="0"/>
                      <w:divBdr>
                        <w:top w:val="none" w:sz="0" w:space="0" w:color="auto"/>
                        <w:left w:val="none" w:sz="0" w:space="0" w:color="auto"/>
                        <w:bottom w:val="none" w:sz="0" w:space="0" w:color="auto"/>
                        <w:right w:val="none" w:sz="0" w:space="0" w:color="auto"/>
                      </w:divBdr>
                    </w:div>
                  </w:divsChild>
                </w:div>
                <w:div w:id="416706357">
                  <w:marLeft w:val="0"/>
                  <w:marRight w:val="0"/>
                  <w:marTop w:val="0"/>
                  <w:marBottom w:val="0"/>
                  <w:divBdr>
                    <w:top w:val="none" w:sz="0" w:space="0" w:color="auto"/>
                    <w:left w:val="none" w:sz="0" w:space="0" w:color="auto"/>
                    <w:bottom w:val="none" w:sz="0" w:space="0" w:color="auto"/>
                    <w:right w:val="none" w:sz="0" w:space="0" w:color="auto"/>
                  </w:divBdr>
                  <w:divsChild>
                    <w:div w:id="522666853">
                      <w:marLeft w:val="0"/>
                      <w:marRight w:val="0"/>
                      <w:marTop w:val="0"/>
                      <w:marBottom w:val="0"/>
                      <w:divBdr>
                        <w:top w:val="none" w:sz="0" w:space="0" w:color="auto"/>
                        <w:left w:val="none" w:sz="0" w:space="0" w:color="auto"/>
                        <w:bottom w:val="none" w:sz="0" w:space="0" w:color="auto"/>
                        <w:right w:val="none" w:sz="0" w:space="0" w:color="auto"/>
                      </w:divBdr>
                    </w:div>
                  </w:divsChild>
                </w:div>
                <w:div w:id="500582040">
                  <w:marLeft w:val="0"/>
                  <w:marRight w:val="0"/>
                  <w:marTop w:val="0"/>
                  <w:marBottom w:val="0"/>
                  <w:divBdr>
                    <w:top w:val="none" w:sz="0" w:space="0" w:color="auto"/>
                    <w:left w:val="none" w:sz="0" w:space="0" w:color="auto"/>
                    <w:bottom w:val="none" w:sz="0" w:space="0" w:color="auto"/>
                    <w:right w:val="none" w:sz="0" w:space="0" w:color="auto"/>
                  </w:divBdr>
                  <w:divsChild>
                    <w:div w:id="1911496106">
                      <w:marLeft w:val="0"/>
                      <w:marRight w:val="0"/>
                      <w:marTop w:val="0"/>
                      <w:marBottom w:val="0"/>
                      <w:divBdr>
                        <w:top w:val="none" w:sz="0" w:space="0" w:color="auto"/>
                        <w:left w:val="none" w:sz="0" w:space="0" w:color="auto"/>
                        <w:bottom w:val="none" w:sz="0" w:space="0" w:color="auto"/>
                        <w:right w:val="none" w:sz="0" w:space="0" w:color="auto"/>
                      </w:divBdr>
                    </w:div>
                  </w:divsChild>
                </w:div>
                <w:div w:id="551423699">
                  <w:marLeft w:val="0"/>
                  <w:marRight w:val="0"/>
                  <w:marTop w:val="0"/>
                  <w:marBottom w:val="0"/>
                  <w:divBdr>
                    <w:top w:val="none" w:sz="0" w:space="0" w:color="auto"/>
                    <w:left w:val="none" w:sz="0" w:space="0" w:color="auto"/>
                    <w:bottom w:val="none" w:sz="0" w:space="0" w:color="auto"/>
                    <w:right w:val="none" w:sz="0" w:space="0" w:color="auto"/>
                  </w:divBdr>
                  <w:divsChild>
                    <w:div w:id="590820346">
                      <w:marLeft w:val="0"/>
                      <w:marRight w:val="0"/>
                      <w:marTop w:val="0"/>
                      <w:marBottom w:val="0"/>
                      <w:divBdr>
                        <w:top w:val="none" w:sz="0" w:space="0" w:color="auto"/>
                        <w:left w:val="none" w:sz="0" w:space="0" w:color="auto"/>
                        <w:bottom w:val="none" w:sz="0" w:space="0" w:color="auto"/>
                        <w:right w:val="none" w:sz="0" w:space="0" w:color="auto"/>
                      </w:divBdr>
                    </w:div>
                  </w:divsChild>
                </w:div>
                <w:div w:id="586579154">
                  <w:marLeft w:val="0"/>
                  <w:marRight w:val="0"/>
                  <w:marTop w:val="0"/>
                  <w:marBottom w:val="0"/>
                  <w:divBdr>
                    <w:top w:val="none" w:sz="0" w:space="0" w:color="auto"/>
                    <w:left w:val="none" w:sz="0" w:space="0" w:color="auto"/>
                    <w:bottom w:val="none" w:sz="0" w:space="0" w:color="auto"/>
                    <w:right w:val="none" w:sz="0" w:space="0" w:color="auto"/>
                  </w:divBdr>
                  <w:divsChild>
                    <w:div w:id="819149542">
                      <w:marLeft w:val="0"/>
                      <w:marRight w:val="0"/>
                      <w:marTop w:val="0"/>
                      <w:marBottom w:val="0"/>
                      <w:divBdr>
                        <w:top w:val="none" w:sz="0" w:space="0" w:color="auto"/>
                        <w:left w:val="none" w:sz="0" w:space="0" w:color="auto"/>
                        <w:bottom w:val="none" w:sz="0" w:space="0" w:color="auto"/>
                        <w:right w:val="none" w:sz="0" w:space="0" w:color="auto"/>
                      </w:divBdr>
                    </w:div>
                  </w:divsChild>
                </w:div>
                <w:div w:id="591662812">
                  <w:marLeft w:val="0"/>
                  <w:marRight w:val="0"/>
                  <w:marTop w:val="0"/>
                  <w:marBottom w:val="0"/>
                  <w:divBdr>
                    <w:top w:val="none" w:sz="0" w:space="0" w:color="auto"/>
                    <w:left w:val="none" w:sz="0" w:space="0" w:color="auto"/>
                    <w:bottom w:val="none" w:sz="0" w:space="0" w:color="auto"/>
                    <w:right w:val="none" w:sz="0" w:space="0" w:color="auto"/>
                  </w:divBdr>
                  <w:divsChild>
                    <w:div w:id="589314530">
                      <w:marLeft w:val="0"/>
                      <w:marRight w:val="0"/>
                      <w:marTop w:val="0"/>
                      <w:marBottom w:val="0"/>
                      <w:divBdr>
                        <w:top w:val="none" w:sz="0" w:space="0" w:color="auto"/>
                        <w:left w:val="none" w:sz="0" w:space="0" w:color="auto"/>
                        <w:bottom w:val="none" w:sz="0" w:space="0" w:color="auto"/>
                        <w:right w:val="none" w:sz="0" w:space="0" w:color="auto"/>
                      </w:divBdr>
                    </w:div>
                  </w:divsChild>
                </w:div>
                <w:div w:id="627049494">
                  <w:marLeft w:val="0"/>
                  <w:marRight w:val="0"/>
                  <w:marTop w:val="0"/>
                  <w:marBottom w:val="0"/>
                  <w:divBdr>
                    <w:top w:val="none" w:sz="0" w:space="0" w:color="auto"/>
                    <w:left w:val="none" w:sz="0" w:space="0" w:color="auto"/>
                    <w:bottom w:val="none" w:sz="0" w:space="0" w:color="auto"/>
                    <w:right w:val="none" w:sz="0" w:space="0" w:color="auto"/>
                  </w:divBdr>
                  <w:divsChild>
                    <w:div w:id="865212789">
                      <w:marLeft w:val="0"/>
                      <w:marRight w:val="0"/>
                      <w:marTop w:val="0"/>
                      <w:marBottom w:val="0"/>
                      <w:divBdr>
                        <w:top w:val="none" w:sz="0" w:space="0" w:color="auto"/>
                        <w:left w:val="none" w:sz="0" w:space="0" w:color="auto"/>
                        <w:bottom w:val="none" w:sz="0" w:space="0" w:color="auto"/>
                        <w:right w:val="none" w:sz="0" w:space="0" w:color="auto"/>
                      </w:divBdr>
                    </w:div>
                  </w:divsChild>
                </w:div>
                <w:div w:id="682166203">
                  <w:marLeft w:val="0"/>
                  <w:marRight w:val="0"/>
                  <w:marTop w:val="0"/>
                  <w:marBottom w:val="0"/>
                  <w:divBdr>
                    <w:top w:val="none" w:sz="0" w:space="0" w:color="auto"/>
                    <w:left w:val="none" w:sz="0" w:space="0" w:color="auto"/>
                    <w:bottom w:val="none" w:sz="0" w:space="0" w:color="auto"/>
                    <w:right w:val="none" w:sz="0" w:space="0" w:color="auto"/>
                  </w:divBdr>
                  <w:divsChild>
                    <w:div w:id="1684478702">
                      <w:marLeft w:val="0"/>
                      <w:marRight w:val="0"/>
                      <w:marTop w:val="0"/>
                      <w:marBottom w:val="0"/>
                      <w:divBdr>
                        <w:top w:val="none" w:sz="0" w:space="0" w:color="auto"/>
                        <w:left w:val="none" w:sz="0" w:space="0" w:color="auto"/>
                        <w:bottom w:val="none" w:sz="0" w:space="0" w:color="auto"/>
                        <w:right w:val="none" w:sz="0" w:space="0" w:color="auto"/>
                      </w:divBdr>
                    </w:div>
                  </w:divsChild>
                </w:div>
                <w:div w:id="752431738">
                  <w:marLeft w:val="0"/>
                  <w:marRight w:val="0"/>
                  <w:marTop w:val="0"/>
                  <w:marBottom w:val="0"/>
                  <w:divBdr>
                    <w:top w:val="none" w:sz="0" w:space="0" w:color="auto"/>
                    <w:left w:val="none" w:sz="0" w:space="0" w:color="auto"/>
                    <w:bottom w:val="none" w:sz="0" w:space="0" w:color="auto"/>
                    <w:right w:val="none" w:sz="0" w:space="0" w:color="auto"/>
                  </w:divBdr>
                  <w:divsChild>
                    <w:div w:id="903031802">
                      <w:marLeft w:val="0"/>
                      <w:marRight w:val="0"/>
                      <w:marTop w:val="0"/>
                      <w:marBottom w:val="0"/>
                      <w:divBdr>
                        <w:top w:val="none" w:sz="0" w:space="0" w:color="auto"/>
                        <w:left w:val="none" w:sz="0" w:space="0" w:color="auto"/>
                        <w:bottom w:val="none" w:sz="0" w:space="0" w:color="auto"/>
                        <w:right w:val="none" w:sz="0" w:space="0" w:color="auto"/>
                      </w:divBdr>
                    </w:div>
                  </w:divsChild>
                </w:div>
                <w:div w:id="792554631">
                  <w:marLeft w:val="0"/>
                  <w:marRight w:val="0"/>
                  <w:marTop w:val="0"/>
                  <w:marBottom w:val="0"/>
                  <w:divBdr>
                    <w:top w:val="none" w:sz="0" w:space="0" w:color="auto"/>
                    <w:left w:val="none" w:sz="0" w:space="0" w:color="auto"/>
                    <w:bottom w:val="none" w:sz="0" w:space="0" w:color="auto"/>
                    <w:right w:val="none" w:sz="0" w:space="0" w:color="auto"/>
                  </w:divBdr>
                  <w:divsChild>
                    <w:div w:id="2047754893">
                      <w:marLeft w:val="0"/>
                      <w:marRight w:val="0"/>
                      <w:marTop w:val="0"/>
                      <w:marBottom w:val="0"/>
                      <w:divBdr>
                        <w:top w:val="none" w:sz="0" w:space="0" w:color="auto"/>
                        <w:left w:val="none" w:sz="0" w:space="0" w:color="auto"/>
                        <w:bottom w:val="none" w:sz="0" w:space="0" w:color="auto"/>
                        <w:right w:val="none" w:sz="0" w:space="0" w:color="auto"/>
                      </w:divBdr>
                    </w:div>
                  </w:divsChild>
                </w:div>
                <w:div w:id="831603679">
                  <w:marLeft w:val="0"/>
                  <w:marRight w:val="0"/>
                  <w:marTop w:val="0"/>
                  <w:marBottom w:val="0"/>
                  <w:divBdr>
                    <w:top w:val="none" w:sz="0" w:space="0" w:color="auto"/>
                    <w:left w:val="none" w:sz="0" w:space="0" w:color="auto"/>
                    <w:bottom w:val="none" w:sz="0" w:space="0" w:color="auto"/>
                    <w:right w:val="none" w:sz="0" w:space="0" w:color="auto"/>
                  </w:divBdr>
                  <w:divsChild>
                    <w:div w:id="670061111">
                      <w:marLeft w:val="0"/>
                      <w:marRight w:val="0"/>
                      <w:marTop w:val="0"/>
                      <w:marBottom w:val="0"/>
                      <w:divBdr>
                        <w:top w:val="none" w:sz="0" w:space="0" w:color="auto"/>
                        <w:left w:val="none" w:sz="0" w:space="0" w:color="auto"/>
                        <w:bottom w:val="none" w:sz="0" w:space="0" w:color="auto"/>
                        <w:right w:val="none" w:sz="0" w:space="0" w:color="auto"/>
                      </w:divBdr>
                    </w:div>
                  </w:divsChild>
                </w:div>
                <w:div w:id="846989219">
                  <w:marLeft w:val="0"/>
                  <w:marRight w:val="0"/>
                  <w:marTop w:val="0"/>
                  <w:marBottom w:val="0"/>
                  <w:divBdr>
                    <w:top w:val="none" w:sz="0" w:space="0" w:color="auto"/>
                    <w:left w:val="none" w:sz="0" w:space="0" w:color="auto"/>
                    <w:bottom w:val="none" w:sz="0" w:space="0" w:color="auto"/>
                    <w:right w:val="none" w:sz="0" w:space="0" w:color="auto"/>
                  </w:divBdr>
                  <w:divsChild>
                    <w:div w:id="1402479630">
                      <w:marLeft w:val="0"/>
                      <w:marRight w:val="0"/>
                      <w:marTop w:val="0"/>
                      <w:marBottom w:val="0"/>
                      <w:divBdr>
                        <w:top w:val="none" w:sz="0" w:space="0" w:color="auto"/>
                        <w:left w:val="none" w:sz="0" w:space="0" w:color="auto"/>
                        <w:bottom w:val="none" w:sz="0" w:space="0" w:color="auto"/>
                        <w:right w:val="none" w:sz="0" w:space="0" w:color="auto"/>
                      </w:divBdr>
                    </w:div>
                  </w:divsChild>
                </w:div>
                <w:div w:id="879248536">
                  <w:marLeft w:val="0"/>
                  <w:marRight w:val="0"/>
                  <w:marTop w:val="0"/>
                  <w:marBottom w:val="0"/>
                  <w:divBdr>
                    <w:top w:val="none" w:sz="0" w:space="0" w:color="auto"/>
                    <w:left w:val="none" w:sz="0" w:space="0" w:color="auto"/>
                    <w:bottom w:val="none" w:sz="0" w:space="0" w:color="auto"/>
                    <w:right w:val="none" w:sz="0" w:space="0" w:color="auto"/>
                  </w:divBdr>
                  <w:divsChild>
                    <w:div w:id="1430468576">
                      <w:marLeft w:val="0"/>
                      <w:marRight w:val="0"/>
                      <w:marTop w:val="0"/>
                      <w:marBottom w:val="0"/>
                      <w:divBdr>
                        <w:top w:val="none" w:sz="0" w:space="0" w:color="auto"/>
                        <w:left w:val="none" w:sz="0" w:space="0" w:color="auto"/>
                        <w:bottom w:val="none" w:sz="0" w:space="0" w:color="auto"/>
                        <w:right w:val="none" w:sz="0" w:space="0" w:color="auto"/>
                      </w:divBdr>
                    </w:div>
                  </w:divsChild>
                </w:div>
                <w:div w:id="1174686204">
                  <w:marLeft w:val="0"/>
                  <w:marRight w:val="0"/>
                  <w:marTop w:val="0"/>
                  <w:marBottom w:val="0"/>
                  <w:divBdr>
                    <w:top w:val="none" w:sz="0" w:space="0" w:color="auto"/>
                    <w:left w:val="none" w:sz="0" w:space="0" w:color="auto"/>
                    <w:bottom w:val="none" w:sz="0" w:space="0" w:color="auto"/>
                    <w:right w:val="none" w:sz="0" w:space="0" w:color="auto"/>
                  </w:divBdr>
                  <w:divsChild>
                    <w:div w:id="956375284">
                      <w:marLeft w:val="0"/>
                      <w:marRight w:val="0"/>
                      <w:marTop w:val="0"/>
                      <w:marBottom w:val="0"/>
                      <w:divBdr>
                        <w:top w:val="none" w:sz="0" w:space="0" w:color="auto"/>
                        <w:left w:val="none" w:sz="0" w:space="0" w:color="auto"/>
                        <w:bottom w:val="none" w:sz="0" w:space="0" w:color="auto"/>
                        <w:right w:val="none" w:sz="0" w:space="0" w:color="auto"/>
                      </w:divBdr>
                    </w:div>
                  </w:divsChild>
                </w:div>
                <w:div w:id="1188563823">
                  <w:marLeft w:val="0"/>
                  <w:marRight w:val="0"/>
                  <w:marTop w:val="0"/>
                  <w:marBottom w:val="0"/>
                  <w:divBdr>
                    <w:top w:val="none" w:sz="0" w:space="0" w:color="auto"/>
                    <w:left w:val="none" w:sz="0" w:space="0" w:color="auto"/>
                    <w:bottom w:val="none" w:sz="0" w:space="0" w:color="auto"/>
                    <w:right w:val="none" w:sz="0" w:space="0" w:color="auto"/>
                  </w:divBdr>
                  <w:divsChild>
                    <w:div w:id="130562981">
                      <w:marLeft w:val="0"/>
                      <w:marRight w:val="0"/>
                      <w:marTop w:val="0"/>
                      <w:marBottom w:val="0"/>
                      <w:divBdr>
                        <w:top w:val="none" w:sz="0" w:space="0" w:color="auto"/>
                        <w:left w:val="none" w:sz="0" w:space="0" w:color="auto"/>
                        <w:bottom w:val="none" w:sz="0" w:space="0" w:color="auto"/>
                        <w:right w:val="none" w:sz="0" w:space="0" w:color="auto"/>
                      </w:divBdr>
                    </w:div>
                  </w:divsChild>
                </w:div>
                <w:div w:id="1244679288">
                  <w:marLeft w:val="0"/>
                  <w:marRight w:val="0"/>
                  <w:marTop w:val="0"/>
                  <w:marBottom w:val="0"/>
                  <w:divBdr>
                    <w:top w:val="none" w:sz="0" w:space="0" w:color="auto"/>
                    <w:left w:val="none" w:sz="0" w:space="0" w:color="auto"/>
                    <w:bottom w:val="none" w:sz="0" w:space="0" w:color="auto"/>
                    <w:right w:val="none" w:sz="0" w:space="0" w:color="auto"/>
                  </w:divBdr>
                  <w:divsChild>
                    <w:div w:id="742334425">
                      <w:marLeft w:val="0"/>
                      <w:marRight w:val="0"/>
                      <w:marTop w:val="0"/>
                      <w:marBottom w:val="0"/>
                      <w:divBdr>
                        <w:top w:val="none" w:sz="0" w:space="0" w:color="auto"/>
                        <w:left w:val="none" w:sz="0" w:space="0" w:color="auto"/>
                        <w:bottom w:val="none" w:sz="0" w:space="0" w:color="auto"/>
                        <w:right w:val="none" w:sz="0" w:space="0" w:color="auto"/>
                      </w:divBdr>
                    </w:div>
                  </w:divsChild>
                </w:div>
                <w:div w:id="1378318429">
                  <w:marLeft w:val="0"/>
                  <w:marRight w:val="0"/>
                  <w:marTop w:val="0"/>
                  <w:marBottom w:val="0"/>
                  <w:divBdr>
                    <w:top w:val="none" w:sz="0" w:space="0" w:color="auto"/>
                    <w:left w:val="none" w:sz="0" w:space="0" w:color="auto"/>
                    <w:bottom w:val="none" w:sz="0" w:space="0" w:color="auto"/>
                    <w:right w:val="none" w:sz="0" w:space="0" w:color="auto"/>
                  </w:divBdr>
                  <w:divsChild>
                    <w:div w:id="1652633382">
                      <w:marLeft w:val="0"/>
                      <w:marRight w:val="0"/>
                      <w:marTop w:val="0"/>
                      <w:marBottom w:val="0"/>
                      <w:divBdr>
                        <w:top w:val="none" w:sz="0" w:space="0" w:color="auto"/>
                        <w:left w:val="none" w:sz="0" w:space="0" w:color="auto"/>
                        <w:bottom w:val="none" w:sz="0" w:space="0" w:color="auto"/>
                        <w:right w:val="none" w:sz="0" w:space="0" w:color="auto"/>
                      </w:divBdr>
                    </w:div>
                  </w:divsChild>
                </w:div>
                <w:div w:id="1444957183">
                  <w:marLeft w:val="0"/>
                  <w:marRight w:val="0"/>
                  <w:marTop w:val="0"/>
                  <w:marBottom w:val="0"/>
                  <w:divBdr>
                    <w:top w:val="none" w:sz="0" w:space="0" w:color="auto"/>
                    <w:left w:val="none" w:sz="0" w:space="0" w:color="auto"/>
                    <w:bottom w:val="none" w:sz="0" w:space="0" w:color="auto"/>
                    <w:right w:val="none" w:sz="0" w:space="0" w:color="auto"/>
                  </w:divBdr>
                  <w:divsChild>
                    <w:div w:id="986589819">
                      <w:marLeft w:val="0"/>
                      <w:marRight w:val="0"/>
                      <w:marTop w:val="0"/>
                      <w:marBottom w:val="0"/>
                      <w:divBdr>
                        <w:top w:val="none" w:sz="0" w:space="0" w:color="auto"/>
                        <w:left w:val="none" w:sz="0" w:space="0" w:color="auto"/>
                        <w:bottom w:val="none" w:sz="0" w:space="0" w:color="auto"/>
                        <w:right w:val="none" w:sz="0" w:space="0" w:color="auto"/>
                      </w:divBdr>
                    </w:div>
                  </w:divsChild>
                </w:div>
                <w:div w:id="1528986653">
                  <w:marLeft w:val="0"/>
                  <w:marRight w:val="0"/>
                  <w:marTop w:val="0"/>
                  <w:marBottom w:val="0"/>
                  <w:divBdr>
                    <w:top w:val="none" w:sz="0" w:space="0" w:color="auto"/>
                    <w:left w:val="none" w:sz="0" w:space="0" w:color="auto"/>
                    <w:bottom w:val="none" w:sz="0" w:space="0" w:color="auto"/>
                    <w:right w:val="none" w:sz="0" w:space="0" w:color="auto"/>
                  </w:divBdr>
                  <w:divsChild>
                    <w:div w:id="1631862350">
                      <w:marLeft w:val="0"/>
                      <w:marRight w:val="0"/>
                      <w:marTop w:val="0"/>
                      <w:marBottom w:val="0"/>
                      <w:divBdr>
                        <w:top w:val="none" w:sz="0" w:space="0" w:color="auto"/>
                        <w:left w:val="none" w:sz="0" w:space="0" w:color="auto"/>
                        <w:bottom w:val="none" w:sz="0" w:space="0" w:color="auto"/>
                        <w:right w:val="none" w:sz="0" w:space="0" w:color="auto"/>
                      </w:divBdr>
                    </w:div>
                  </w:divsChild>
                </w:div>
                <w:div w:id="1749688394">
                  <w:marLeft w:val="0"/>
                  <w:marRight w:val="0"/>
                  <w:marTop w:val="0"/>
                  <w:marBottom w:val="0"/>
                  <w:divBdr>
                    <w:top w:val="none" w:sz="0" w:space="0" w:color="auto"/>
                    <w:left w:val="none" w:sz="0" w:space="0" w:color="auto"/>
                    <w:bottom w:val="none" w:sz="0" w:space="0" w:color="auto"/>
                    <w:right w:val="none" w:sz="0" w:space="0" w:color="auto"/>
                  </w:divBdr>
                  <w:divsChild>
                    <w:div w:id="299893990">
                      <w:marLeft w:val="0"/>
                      <w:marRight w:val="0"/>
                      <w:marTop w:val="0"/>
                      <w:marBottom w:val="0"/>
                      <w:divBdr>
                        <w:top w:val="none" w:sz="0" w:space="0" w:color="auto"/>
                        <w:left w:val="none" w:sz="0" w:space="0" w:color="auto"/>
                        <w:bottom w:val="none" w:sz="0" w:space="0" w:color="auto"/>
                        <w:right w:val="none" w:sz="0" w:space="0" w:color="auto"/>
                      </w:divBdr>
                    </w:div>
                  </w:divsChild>
                </w:div>
                <w:div w:id="1795321796">
                  <w:marLeft w:val="0"/>
                  <w:marRight w:val="0"/>
                  <w:marTop w:val="0"/>
                  <w:marBottom w:val="0"/>
                  <w:divBdr>
                    <w:top w:val="none" w:sz="0" w:space="0" w:color="auto"/>
                    <w:left w:val="none" w:sz="0" w:space="0" w:color="auto"/>
                    <w:bottom w:val="none" w:sz="0" w:space="0" w:color="auto"/>
                    <w:right w:val="none" w:sz="0" w:space="0" w:color="auto"/>
                  </w:divBdr>
                  <w:divsChild>
                    <w:div w:id="1865367502">
                      <w:marLeft w:val="0"/>
                      <w:marRight w:val="0"/>
                      <w:marTop w:val="0"/>
                      <w:marBottom w:val="0"/>
                      <w:divBdr>
                        <w:top w:val="none" w:sz="0" w:space="0" w:color="auto"/>
                        <w:left w:val="none" w:sz="0" w:space="0" w:color="auto"/>
                        <w:bottom w:val="none" w:sz="0" w:space="0" w:color="auto"/>
                        <w:right w:val="none" w:sz="0" w:space="0" w:color="auto"/>
                      </w:divBdr>
                    </w:div>
                  </w:divsChild>
                </w:div>
                <w:div w:id="1812405341">
                  <w:marLeft w:val="0"/>
                  <w:marRight w:val="0"/>
                  <w:marTop w:val="0"/>
                  <w:marBottom w:val="0"/>
                  <w:divBdr>
                    <w:top w:val="none" w:sz="0" w:space="0" w:color="auto"/>
                    <w:left w:val="none" w:sz="0" w:space="0" w:color="auto"/>
                    <w:bottom w:val="none" w:sz="0" w:space="0" w:color="auto"/>
                    <w:right w:val="none" w:sz="0" w:space="0" w:color="auto"/>
                  </w:divBdr>
                  <w:divsChild>
                    <w:div w:id="84502421">
                      <w:marLeft w:val="0"/>
                      <w:marRight w:val="0"/>
                      <w:marTop w:val="0"/>
                      <w:marBottom w:val="0"/>
                      <w:divBdr>
                        <w:top w:val="none" w:sz="0" w:space="0" w:color="auto"/>
                        <w:left w:val="none" w:sz="0" w:space="0" w:color="auto"/>
                        <w:bottom w:val="none" w:sz="0" w:space="0" w:color="auto"/>
                        <w:right w:val="none" w:sz="0" w:space="0" w:color="auto"/>
                      </w:divBdr>
                    </w:div>
                  </w:divsChild>
                </w:div>
                <w:div w:id="1832675670">
                  <w:marLeft w:val="0"/>
                  <w:marRight w:val="0"/>
                  <w:marTop w:val="0"/>
                  <w:marBottom w:val="0"/>
                  <w:divBdr>
                    <w:top w:val="none" w:sz="0" w:space="0" w:color="auto"/>
                    <w:left w:val="none" w:sz="0" w:space="0" w:color="auto"/>
                    <w:bottom w:val="none" w:sz="0" w:space="0" w:color="auto"/>
                    <w:right w:val="none" w:sz="0" w:space="0" w:color="auto"/>
                  </w:divBdr>
                  <w:divsChild>
                    <w:div w:id="1325472849">
                      <w:marLeft w:val="0"/>
                      <w:marRight w:val="0"/>
                      <w:marTop w:val="0"/>
                      <w:marBottom w:val="0"/>
                      <w:divBdr>
                        <w:top w:val="none" w:sz="0" w:space="0" w:color="auto"/>
                        <w:left w:val="none" w:sz="0" w:space="0" w:color="auto"/>
                        <w:bottom w:val="none" w:sz="0" w:space="0" w:color="auto"/>
                        <w:right w:val="none" w:sz="0" w:space="0" w:color="auto"/>
                      </w:divBdr>
                    </w:div>
                  </w:divsChild>
                </w:div>
                <w:div w:id="1869218804">
                  <w:marLeft w:val="0"/>
                  <w:marRight w:val="0"/>
                  <w:marTop w:val="0"/>
                  <w:marBottom w:val="0"/>
                  <w:divBdr>
                    <w:top w:val="none" w:sz="0" w:space="0" w:color="auto"/>
                    <w:left w:val="none" w:sz="0" w:space="0" w:color="auto"/>
                    <w:bottom w:val="none" w:sz="0" w:space="0" w:color="auto"/>
                    <w:right w:val="none" w:sz="0" w:space="0" w:color="auto"/>
                  </w:divBdr>
                  <w:divsChild>
                    <w:div w:id="1444227361">
                      <w:marLeft w:val="0"/>
                      <w:marRight w:val="0"/>
                      <w:marTop w:val="0"/>
                      <w:marBottom w:val="0"/>
                      <w:divBdr>
                        <w:top w:val="none" w:sz="0" w:space="0" w:color="auto"/>
                        <w:left w:val="none" w:sz="0" w:space="0" w:color="auto"/>
                        <w:bottom w:val="none" w:sz="0" w:space="0" w:color="auto"/>
                        <w:right w:val="none" w:sz="0" w:space="0" w:color="auto"/>
                      </w:divBdr>
                    </w:div>
                  </w:divsChild>
                </w:div>
                <w:div w:id="1908688293">
                  <w:marLeft w:val="0"/>
                  <w:marRight w:val="0"/>
                  <w:marTop w:val="0"/>
                  <w:marBottom w:val="0"/>
                  <w:divBdr>
                    <w:top w:val="none" w:sz="0" w:space="0" w:color="auto"/>
                    <w:left w:val="none" w:sz="0" w:space="0" w:color="auto"/>
                    <w:bottom w:val="none" w:sz="0" w:space="0" w:color="auto"/>
                    <w:right w:val="none" w:sz="0" w:space="0" w:color="auto"/>
                  </w:divBdr>
                  <w:divsChild>
                    <w:div w:id="713509112">
                      <w:marLeft w:val="0"/>
                      <w:marRight w:val="0"/>
                      <w:marTop w:val="0"/>
                      <w:marBottom w:val="0"/>
                      <w:divBdr>
                        <w:top w:val="none" w:sz="0" w:space="0" w:color="auto"/>
                        <w:left w:val="none" w:sz="0" w:space="0" w:color="auto"/>
                        <w:bottom w:val="none" w:sz="0" w:space="0" w:color="auto"/>
                        <w:right w:val="none" w:sz="0" w:space="0" w:color="auto"/>
                      </w:divBdr>
                    </w:div>
                  </w:divsChild>
                </w:div>
                <w:div w:id="1946647550">
                  <w:marLeft w:val="0"/>
                  <w:marRight w:val="0"/>
                  <w:marTop w:val="0"/>
                  <w:marBottom w:val="0"/>
                  <w:divBdr>
                    <w:top w:val="none" w:sz="0" w:space="0" w:color="auto"/>
                    <w:left w:val="none" w:sz="0" w:space="0" w:color="auto"/>
                    <w:bottom w:val="none" w:sz="0" w:space="0" w:color="auto"/>
                    <w:right w:val="none" w:sz="0" w:space="0" w:color="auto"/>
                  </w:divBdr>
                  <w:divsChild>
                    <w:div w:id="175199031">
                      <w:marLeft w:val="0"/>
                      <w:marRight w:val="0"/>
                      <w:marTop w:val="0"/>
                      <w:marBottom w:val="0"/>
                      <w:divBdr>
                        <w:top w:val="none" w:sz="0" w:space="0" w:color="auto"/>
                        <w:left w:val="none" w:sz="0" w:space="0" w:color="auto"/>
                        <w:bottom w:val="none" w:sz="0" w:space="0" w:color="auto"/>
                        <w:right w:val="none" w:sz="0" w:space="0" w:color="auto"/>
                      </w:divBdr>
                    </w:div>
                  </w:divsChild>
                </w:div>
                <w:div w:id="2020883307">
                  <w:marLeft w:val="0"/>
                  <w:marRight w:val="0"/>
                  <w:marTop w:val="0"/>
                  <w:marBottom w:val="0"/>
                  <w:divBdr>
                    <w:top w:val="none" w:sz="0" w:space="0" w:color="auto"/>
                    <w:left w:val="none" w:sz="0" w:space="0" w:color="auto"/>
                    <w:bottom w:val="none" w:sz="0" w:space="0" w:color="auto"/>
                    <w:right w:val="none" w:sz="0" w:space="0" w:color="auto"/>
                  </w:divBdr>
                  <w:divsChild>
                    <w:div w:id="15145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7383">
          <w:marLeft w:val="0"/>
          <w:marRight w:val="0"/>
          <w:marTop w:val="0"/>
          <w:marBottom w:val="0"/>
          <w:divBdr>
            <w:top w:val="none" w:sz="0" w:space="0" w:color="auto"/>
            <w:left w:val="none" w:sz="0" w:space="0" w:color="auto"/>
            <w:bottom w:val="none" w:sz="0" w:space="0" w:color="auto"/>
            <w:right w:val="none" w:sz="0" w:space="0" w:color="auto"/>
          </w:divBdr>
          <w:divsChild>
            <w:div w:id="990912938">
              <w:marLeft w:val="-75"/>
              <w:marRight w:val="0"/>
              <w:marTop w:val="30"/>
              <w:marBottom w:val="30"/>
              <w:divBdr>
                <w:top w:val="none" w:sz="0" w:space="0" w:color="auto"/>
                <w:left w:val="none" w:sz="0" w:space="0" w:color="auto"/>
                <w:bottom w:val="none" w:sz="0" w:space="0" w:color="auto"/>
                <w:right w:val="none" w:sz="0" w:space="0" w:color="auto"/>
              </w:divBdr>
              <w:divsChild>
                <w:div w:id="55902673">
                  <w:marLeft w:val="0"/>
                  <w:marRight w:val="0"/>
                  <w:marTop w:val="0"/>
                  <w:marBottom w:val="0"/>
                  <w:divBdr>
                    <w:top w:val="none" w:sz="0" w:space="0" w:color="auto"/>
                    <w:left w:val="none" w:sz="0" w:space="0" w:color="auto"/>
                    <w:bottom w:val="none" w:sz="0" w:space="0" w:color="auto"/>
                    <w:right w:val="none" w:sz="0" w:space="0" w:color="auto"/>
                  </w:divBdr>
                  <w:divsChild>
                    <w:div w:id="694426239">
                      <w:marLeft w:val="0"/>
                      <w:marRight w:val="0"/>
                      <w:marTop w:val="0"/>
                      <w:marBottom w:val="0"/>
                      <w:divBdr>
                        <w:top w:val="none" w:sz="0" w:space="0" w:color="auto"/>
                        <w:left w:val="none" w:sz="0" w:space="0" w:color="auto"/>
                        <w:bottom w:val="none" w:sz="0" w:space="0" w:color="auto"/>
                        <w:right w:val="none" w:sz="0" w:space="0" w:color="auto"/>
                      </w:divBdr>
                    </w:div>
                  </w:divsChild>
                </w:div>
                <w:div w:id="188226518">
                  <w:marLeft w:val="0"/>
                  <w:marRight w:val="0"/>
                  <w:marTop w:val="0"/>
                  <w:marBottom w:val="0"/>
                  <w:divBdr>
                    <w:top w:val="none" w:sz="0" w:space="0" w:color="auto"/>
                    <w:left w:val="none" w:sz="0" w:space="0" w:color="auto"/>
                    <w:bottom w:val="none" w:sz="0" w:space="0" w:color="auto"/>
                    <w:right w:val="none" w:sz="0" w:space="0" w:color="auto"/>
                  </w:divBdr>
                  <w:divsChild>
                    <w:div w:id="1530409187">
                      <w:marLeft w:val="0"/>
                      <w:marRight w:val="0"/>
                      <w:marTop w:val="0"/>
                      <w:marBottom w:val="0"/>
                      <w:divBdr>
                        <w:top w:val="none" w:sz="0" w:space="0" w:color="auto"/>
                        <w:left w:val="none" w:sz="0" w:space="0" w:color="auto"/>
                        <w:bottom w:val="none" w:sz="0" w:space="0" w:color="auto"/>
                        <w:right w:val="none" w:sz="0" w:space="0" w:color="auto"/>
                      </w:divBdr>
                    </w:div>
                  </w:divsChild>
                </w:div>
                <w:div w:id="360977448">
                  <w:marLeft w:val="0"/>
                  <w:marRight w:val="0"/>
                  <w:marTop w:val="0"/>
                  <w:marBottom w:val="0"/>
                  <w:divBdr>
                    <w:top w:val="none" w:sz="0" w:space="0" w:color="auto"/>
                    <w:left w:val="none" w:sz="0" w:space="0" w:color="auto"/>
                    <w:bottom w:val="none" w:sz="0" w:space="0" w:color="auto"/>
                    <w:right w:val="none" w:sz="0" w:space="0" w:color="auto"/>
                  </w:divBdr>
                  <w:divsChild>
                    <w:div w:id="561252246">
                      <w:marLeft w:val="0"/>
                      <w:marRight w:val="0"/>
                      <w:marTop w:val="0"/>
                      <w:marBottom w:val="0"/>
                      <w:divBdr>
                        <w:top w:val="none" w:sz="0" w:space="0" w:color="auto"/>
                        <w:left w:val="none" w:sz="0" w:space="0" w:color="auto"/>
                        <w:bottom w:val="none" w:sz="0" w:space="0" w:color="auto"/>
                        <w:right w:val="none" w:sz="0" w:space="0" w:color="auto"/>
                      </w:divBdr>
                    </w:div>
                  </w:divsChild>
                </w:div>
                <w:div w:id="397555218">
                  <w:marLeft w:val="0"/>
                  <w:marRight w:val="0"/>
                  <w:marTop w:val="0"/>
                  <w:marBottom w:val="0"/>
                  <w:divBdr>
                    <w:top w:val="none" w:sz="0" w:space="0" w:color="auto"/>
                    <w:left w:val="none" w:sz="0" w:space="0" w:color="auto"/>
                    <w:bottom w:val="none" w:sz="0" w:space="0" w:color="auto"/>
                    <w:right w:val="none" w:sz="0" w:space="0" w:color="auto"/>
                  </w:divBdr>
                  <w:divsChild>
                    <w:div w:id="1419522082">
                      <w:marLeft w:val="0"/>
                      <w:marRight w:val="0"/>
                      <w:marTop w:val="0"/>
                      <w:marBottom w:val="0"/>
                      <w:divBdr>
                        <w:top w:val="none" w:sz="0" w:space="0" w:color="auto"/>
                        <w:left w:val="none" w:sz="0" w:space="0" w:color="auto"/>
                        <w:bottom w:val="none" w:sz="0" w:space="0" w:color="auto"/>
                        <w:right w:val="none" w:sz="0" w:space="0" w:color="auto"/>
                      </w:divBdr>
                    </w:div>
                  </w:divsChild>
                </w:div>
                <w:div w:id="459568786">
                  <w:marLeft w:val="0"/>
                  <w:marRight w:val="0"/>
                  <w:marTop w:val="0"/>
                  <w:marBottom w:val="0"/>
                  <w:divBdr>
                    <w:top w:val="none" w:sz="0" w:space="0" w:color="auto"/>
                    <w:left w:val="none" w:sz="0" w:space="0" w:color="auto"/>
                    <w:bottom w:val="none" w:sz="0" w:space="0" w:color="auto"/>
                    <w:right w:val="none" w:sz="0" w:space="0" w:color="auto"/>
                  </w:divBdr>
                  <w:divsChild>
                    <w:div w:id="863205442">
                      <w:marLeft w:val="0"/>
                      <w:marRight w:val="0"/>
                      <w:marTop w:val="0"/>
                      <w:marBottom w:val="0"/>
                      <w:divBdr>
                        <w:top w:val="none" w:sz="0" w:space="0" w:color="auto"/>
                        <w:left w:val="none" w:sz="0" w:space="0" w:color="auto"/>
                        <w:bottom w:val="none" w:sz="0" w:space="0" w:color="auto"/>
                        <w:right w:val="none" w:sz="0" w:space="0" w:color="auto"/>
                      </w:divBdr>
                    </w:div>
                  </w:divsChild>
                </w:div>
                <w:div w:id="470295854">
                  <w:marLeft w:val="0"/>
                  <w:marRight w:val="0"/>
                  <w:marTop w:val="0"/>
                  <w:marBottom w:val="0"/>
                  <w:divBdr>
                    <w:top w:val="none" w:sz="0" w:space="0" w:color="auto"/>
                    <w:left w:val="none" w:sz="0" w:space="0" w:color="auto"/>
                    <w:bottom w:val="none" w:sz="0" w:space="0" w:color="auto"/>
                    <w:right w:val="none" w:sz="0" w:space="0" w:color="auto"/>
                  </w:divBdr>
                  <w:divsChild>
                    <w:div w:id="1662391655">
                      <w:marLeft w:val="0"/>
                      <w:marRight w:val="0"/>
                      <w:marTop w:val="0"/>
                      <w:marBottom w:val="0"/>
                      <w:divBdr>
                        <w:top w:val="none" w:sz="0" w:space="0" w:color="auto"/>
                        <w:left w:val="none" w:sz="0" w:space="0" w:color="auto"/>
                        <w:bottom w:val="none" w:sz="0" w:space="0" w:color="auto"/>
                        <w:right w:val="none" w:sz="0" w:space="0" w:color="auto"/>
                      </w:divBdr>
                    </w:div>
                  </w:divsChild>
                </w:div>
                <w:div w:id="486479196">
                  <w:marLeft w:val="0"/>
                  <w:marRight w:val="0"/>
                  <w:marTop w:val="0"/>
                  <w:marBottom w:val="0"/>
                  <w:divBdr>
                    <w:top w:val="none" w:sz="0" w:space="0" w:color="auto"/>
                    <w:left w:val="none" w:sz="0" w:space="0" w:color="auto"/>
                    <w:bottom w:val="none" w:sz="0" w:space="0" w:color="auto"/>
                    <w:right w:val="none" w:sz="0" w:space="0" w:color="auto"/>
                  </w:divBdr>
                  <w:divsChild>
                    <w:div w:id="652443127">
                      <w:marLeft w:val="0"/>
                      <w:marRight w:val="0"/>
                      <w:marTop w:val="0"/>
                      <w:marBottom w:val="0"/>
                      <w:divBdr>
                        <w:top w:val="none" w:sz="0" w:space="0" w:color="auto"/>
                        <w:left w:val="none" w:sz="0" w:space="0" w:color="auto"/>
                        <w:bottom w:val="none" w:sz="0" w:space="0" w:color="auto"/>
                        <w:right w:val="none" w:sz="0" w:space="0" w:color="auto"/>
                      </w:divBdr>
                    </w:div>
                  </w:divsChild>
                </w:div>
                <w:div w:id="616912801">
                  <w:marLeft w:val="0"/>
                  <w:marRight w:val="0"/>
                  <w:marTop w:val="0"/>
                  <w:marBottom w:val="0"/>
                  <w:divBdr>
                    <w:top w:val="none" w:sz="0" w:space="0" w:color="auto"/>
                    <w:left w:val="none" w:sz="0" w:space="0" w:color="auto"/>
                    <w:bottom w:val="none" w:sz="0" w:space="0" w:color="auto"/>
                    <w:right w:val="none" w:sz="0" w:space="0" w:color="auto"/>
                  </w:divBdr>
                  <w:divsChild>
                    <w:div w:id="329719154">
                      <w:marLeft w:val="0"/>
                      <w:marRight w:val="0"/>
                      <w:marTop w:val="0"/>
                      <w:marBottom w:val="0"/>
                      <w:divBdr>
                        <w:top w:val="none" w:sz="0" w:space="0" w:color="auto"/>
                        <w:left w:val="none" w:sz="0" w:space="0" w:color="auto"/>
                        <w:bottom w:val="none" w:sz="0" w:space="0" w:color="auto"/>
                        <w:right w:val="none" w:sz="0" w:space="0" w:color="auto"/>
                      </w:divBdr>
                    </w:div>
                  </w:divsChild>
                </w:div>
                <w:div w:id="636573234">
                  <w:marLeft w:val="0"/>
                  <w:marRight w:val="0"/>
                  <w:marTop w:val="0"/>
                  <w:marBottom w:val="0"/>
                  <w:divBdr>
                    <w:top w:val="none" w:sz="0" w:space="0" w:color="auto"/>
                    <w:left w:val="none" w:sz="0" w:space="0" w:color="auto"/>
                    <w:bottom w:val="none" w:sz="0" w:space="0" w:color="auto"/>
                    <w:right w:val="none" w:sz="0" w:space="0" w:color="auto"/>
                  </w:divBdr>
                  <w:divsChild>
                    <w:div w:id="1888175126">
                      <w:marLeft w:val="0"/>
                      <w:marRight w:val="0"/>
                      <w:marTop w:val="0"/>
                      <w:marBottom w:val="0"/>
                      <w:divBdr>
                        <w:top w:val="none" w:sz="0" w:space="0" w:color="auto"/>
                        <w:left w:val="none" w:sz="0" w:space="0" w:color="auto"/>
                        <w:bottom w:val="none" w:sz="0" w:space="0" w:color="auto"/>
                        <w:right w:val="none" w:sz="0" w:space="0" w:color="auto"/>
                      </w:divBdr>
                    </w:div>
                  </w:divsChild>
                </w:div>
                <w:div w:id="640841444">
                  <w:marLeft w:val="0"/>
                  <w:marRight w:val="0"/>
                  <w:marTop w:val="0"/>
                  <w:marBottom w:val="0"/>
                  <w:divBdr>
                    <w:top w:val="none" w:sz="0" w:space="0" w:color="auto"/>
                    <w:left w:val="none" w:sz="0" w:space="0" w:color="auto"/>
                    <w:bottom w:val="none" w:sz="0" w:space="0" w:color="auto"/>
                    <w:right w:val="none" w:sz="0" w:space="0" w:color="auto"/>
                  </w:divBdr>
                  <w:divsChild>
                    <w:div w:id="1836148531">
                      <w:marLeft w:val="0"/>
                      <w:marRight w:val="0"/>
                      <w:marTop w:val="0"/>
                      <w:marBottom w:val="0"/>
                      <w:divBdr>
                        <w:top w:val="none" w:sz="0" w:space="0" w:color="auto"/>
                        <w:left w:val="none" w:sz="0" w:space="0" w:color="auto"/>
                        <w:bottom w:val="none" w:sz="0" w:space="0" w:color="auto"/>
                        <w:right w:val="none" w:sz="0" w:space="0" w:color="auto"/>
                      </w:divBdr>
                    </w:div>
                  </w:divsChild>
                </w:div>
                <w:div w:id="691105082">
                  <w:marLeft w:val="0"/>
                  <w:marRight w:val="0"/>
                  <w:marTop w:val="0"/>
                  <w:marBottom w:val="0"/>
                  <w:divBdr>
                    <w:top w:val="none" w:sz="0" w:space="0" w:color="auto"/>
                    <w:left w:val="none" w:sz="0" w:space="0" w:color="auto"/>
                    <w:bottom w:val="none" w:sz="0" w:space="0" w:color="auto"/>
                    <w:right w:val="none" w:sz="0" w:space="0" w:color="auto"/>
                  </w:divBdr>
                  <w:divsChild>
                    <w:div w:id="214045822">
                      <w:marLeft w:val="0"/>
                      <w:marRight w:val="0"/>
                      <w:marTop w:val="0"/>
                      <w:marBottom w:val="0"/>
                      <w:divBdr>
                        <w:top w:val="none" w:sz="0" w:space="0" w:color="auto"/>
                        <w:left w:val="none" w:sz="0" w:space="0" w:color="auto"/>
                        <w:bottom w:val="none" w:sz="0" w:space="0" w:color="auto"/>
                        <w:right w:val="none" w:sz="0" w:space="0" w:color="auto"/>
                      </w:divBdr>
                    </w:div>
                  </w:divsChild>
                </w:div>
                <w:div w:id="756247693">
                  <w:marLeft w:val="0"/>
                  <w:marRight w:val="0"/>
                  <w:marTop w:val="0"/>
                  <w:marBottom w:val="0"/>
                  <w:divBdr>
                    <w:top w:val="none" w:sz="0" w:space="0" w:color="auto"/>
                    <w:left w:val="none" w:sz="0" w:space="0" w:color="auto"/>
                    <w:bottom w:val="none" w:sz="0" w:space="0" w:color="auto"/>
                    <w:right w:val="none" w:sz="0" w:space="0" w:color="auto"/>
                  </w:divBdr>
                  <w:divsChild>
                    <w:div w:id="881743662">
                      <w:marLeft w:val="0"/>
                      <w:marRight w:val="0"/>
                      <w:marTop w:val="0"/>
                      <w:marBottom w:val="0"/>
                      <w:divBdr>
                        <w:top w:val="none" w:sz="0" w:space="0" w:color="auto"/>
                        <w:left w:val="none" w:sz="0" w:space="0" w:color="auto"/>
                        <w:bottom w:val="none" w:sz="0" w:space="0" w:color="auto"/>
                        <w:right w:val="none" w:sz="0" w:space="0" w:color="auto"/>
                      </w:divBdr>
                    </w:div>
                  </w:divsChild>
                </w:div>
                <w:div w:id="783963601">
                  <w:marLeft w:val="0"/>
                  <w:marRight w:val="0"/>
                  <w:marTop w:val="0"/>
                  <w:marBottom w:val="0"/>
                  <w:divBdr>
                    <w:top w:val="none" w:sz="0" w:space="0" w:color="auto"/>
                    <w:left w:val="none" w:sz="0" w:space="0" w:color="auto"/>
                    <w:bottom w:val="none" w:sz="0" w:space="0" w:color="auto"/>
                    <w:right w:val="none" w:sz="0" w:space="0" w:color="auto"/>
                  </w:divBdr>
                  <w:divsChild>
                    <w:div w:id="38752536">
                      <w:marLeft w:val="0"/>
                      <w:marRight w:val="0"/>
                      <w:marTop w:val="0"/>
                      <w:marBottom w:val="0"/>
                      <w:divBdr>
                        <w:top w:val="none" w:sz="0" w:space="0" w:color="auto"/>
                        <w:left w:val="none" w:sz="0" w:space="0" w:color="auto"/>
                        <w:bottom w:val="none" w:sz="0" w:space="0" w:color="auto"/>
                        <w:right w:val="none" w:sz="0" w:space="0" w:color="auto"/>
                      </w:divBdr>
                    </w:div>
                  </w:divsChild>
                </w:div>
                <w:div w:id="859320938">
                  <w:marLeft w:val="0"/>
                  <w:marRight w:val="0"/>
                  <w:marTop w:val="0"/>
                  <w:marBottom w:val="0"/>
                  <w:divBdr>
                    <w:top w:val="none" w:sz="0" w:space="0" w:color="auto"/>
                    <w:left w:val="none" w:sz="0" w:space="0" w:color="auto"/>
                    <w:bottom w:val="none" w:sz="0" w:space="0" w:color="auto"/>
                    <w:right w:val="none" w:sz="0" w:space="0" w:color="auto"/>
                  </w:divBdr>
                  <w:divsChild>
                    <w:div w:id="1603301538">
                      <w:marLeft w:val="0"/>
                      <w:marRight w:val="0"/>
                      <w:marTop w:val="0"/>
                      <w:marBottom w:val="0"/>
                      <w:divBdr>
                        <w:top w:val="none" w:sz="0" w:space="0" w:color="auto"/>
                        <w:left w:val="none" w:sz="0" w:space="0" w:color="auto"/>
                        <w:bottom w:val="none" w:sz="0" w:space="0" w:color="auto"/>
                        <w:right w:val="none" w:sz="0" w:space="0" w:color="auto"/>
                      </w:divBdr>
                    </w:div>
                  </w:divsChild>
                </w:div>
                <w:div w:id="888765420">
                  <w:marLeft w:val="0"/>
                  <w:marRight w:val="0"/>
                  <w:marTop w:val="0"/>
                  <w:marBottom w:val="0"/>
                  <w:divBdr>
                    <w:top w:val="none" w:sz="0" w:space="0" w:color="auto"/>
                    <w:left w:val="none" w:sz="0" w:space="0" w:color="auto"/>
                    <w:bottom w:val="none" w:sz="0" w:space="0" w:color="auto"/>
                    <w:right w:val="none" w:sz="0" w:space="0" w:color="auto"/>
                  </w:divBdr>
                  <w:divsChild>
                    <w:div w:id="1998068582">
                      <w:marLeft w:val="0"/>
                      <w:marRight w:val="0"/>
                      <w:marTop w:val="0"/>
                      <w:marBottom w:val="0"/>
                      <w:divBdr>
                        <w:top w:val="none" w:sz="0" w:space="0" w:color="auto"/>
                        <w:left w:val="none" w:sz="0" w:space="0" w:color="auto"/>
                        <w:bottom w:val="none" w:sz="0" w:space="0" w:color="auto"/>
                        <w:right w:val="none" w:sz="0" w:space="0" w:color="auto"/>
                      </w:divBdr>
                    </w:div>
                  </w:divsChild>
                </w:div>
                <w:div w:id="914582643">
                  <w:marLeft w:val="0"/>
                  <w:marRight w:val="0"/>
                  <w:marTop w:val="0"/>
                  <w:marBottom w:val="0"/>
                  <w:divBdr>
                    <w:top w:val="none" w:sz="0" w:space="0" w:color="auto"/>
                    <w:left w:val="none" w:sz="0" w:space="0" w:color="auto"/>
                    <w:bottom w:val="none" w:sz="0" w:space="0" w:color="auto"/>
                    <w:right w:val="none" w:sz="0" w:space="0" w:color="auto"/>
                  </w:divBdr>
                  <w:divsChild>
                    <w:div w:id="1536499782">
                      <w:marLeft w:val="0"/>
                      <w:marRight w:val="0"/>
                      <w:marTop w:val="0"/>
                      <w:marBottom w:val="0"/>
                      <w:divBdr>
                        <w:top w:val="none" w:sz="0" w:space="0" w:color="auto"/>
                        <w:left w:val="none" w:sz="0" w:space="0" w:color="auto"/>
                        <w:bottom w:val="none" w:sz="0" w:space="0" w:color="auto"/>
                        <w:right w:val="none" w:sz="0" w:space="0" w:color="auto"/>
                      </w:divBdr>
                    </w:div>
                  </w:divsChild>
                </w:div>
                <w:div w:id="952900511">
                  <w:marLeft w:val="0"/>
                  <w:marRight w:val="0"/>
                  <w:marTop w:val="0"/>
                  <w:marBottom w:val="0"/>
                  <w:divBdr>
                    <w:top w:val="none" w:sz="0" w:space="0" w:color="auto"/>
                    <w:left w:val="none" w:sz="0" w:space="0" w:color="auto"/>
                    <w:bottom w:val="none" w:sz="0" w:space="0" w:color="auto"/>
                    <w:right w:val="none" w:sz="0" w:space="0" w:color="auto"/>
                  </w:divBdr>
                  <w:divsChild>
                    <w:div w:id="1311714999">
                      <w:marLeft w:val="0"/>
                      <w:marRight w:val="0"/>
                      <w:marTop w:val="0"/>
                      <w:marBottom w:val="0"/>
                      <w:divBdr>
                        <w:top w:val="none" w:sz="0" w:space="0" w:color="auto"/>
                        <w:left w:val="none" w:sz="0" w:space="0" w:color="auto"/>
                        <w:bottom w:val="none" w:sz="0" w:space="0" w:color="auto"/>
                        <w:right w:val="none" w:sz="0" w:space="0" w:color="auto"/>
                      </w:divBdr>
                    </w:div>
                  </w:divsChild>
                </w:div>
                <w:div w:id="1019435103">
                  <w:marLeft w:val="0"/>
                  <w:marRight w:val="0"/>
                  <w:marTop w:val="0"/>
                  <w:marBottom w:val="0"/>
                  <w:divBdr>
                    <w:top w:val="none" w:sz="0" w:space="0" w:color="auto"/>
                    <w:left w:val="none" w:sz="0" w:space="0" w:color="auto"/>
                    <w:bottom w:val="none" w:sz="0" w:space="0" w:color="auto"/>
                    <w:right w:val="none" w:sz="0" w:space="0" w:color="auto"/>
                  </w:divBdr>
                  <w:divsChild>
                    <w:div w:id="764494968">
                      <w:marLeft w:val="0"/>
                      <w:marRight w:val="0"/>
                      <w:marTop w:val="0"/>
                      <w:marBottom w:val="0"/>
                      <w:divBdr>
                        <w:top w:val="none" w:sz="0" w:space="0" w:color="auto"/>
                        <w:left w:val="none" w:sz="0" w:space="0" w:color="auto"/>
                        <w:bottom w:val="none" w:sz="0" w:space="0" w:color="auto"/>
                        <w:right w:val="none" w:sz="0" w:space="0" w:color="auto"/>
                      </w:divBdr>
                    </w:div>
                  </w:divsChild>
                </w:div>
                <w:div w:id="1062367791">
                  <w:marLeft w:val="0"/>
                  <w:marRight w:val="0"/>
                  <w:marTop w:val="0"/>
                  <w:marBottom w:val="0"/>
                  <w:divBdr>
                    <w:top w:val="none" w:sz="0" w:space="0" w:color="auto"/>
                    <w:left w:val="none" w:sz="0" w:space="0" w:color="auto"/>
                    <w:bottom w:val="none" w:sz="0" w:space="0" w:color="auto"/>
                    <w:right w:val="none" w:sz="0" w:space="0" w:color="auto"/>
                  </w:divBdr>
                  <w:divsChild>
                    <w:div w:id="782965493">
                      <w:marLeft w:val="0"/>
                      <w:marRight w:val="0"/>
                      <w:marTop w:val="0"/>
                      <w:marBottom w:val="0"/>
                      <w:divBdr>
                        <w:top w:val="none" w:sz="0" w:space="0" w:color="auto"/>
                        <w:left w:val="none" w:sz="0" w:space="0" w:color="auto"/>
                        <w:bottom w:val="none" w:sz="0" w:space="0" w:color="auto"/>
                        <w:right w:val="none" w:sz="0" w:space="0" w:color="auto"/>
                      </w:divBdr>
                    </w:div>
                  </w:divsChild>
                </w:div>
                <w:div w:id="1145121335">
                  <w:marLeft w:val="0"/>
                  <w:marRight w:val="0"/>
                  <w:marTop w:val="0"/>
                  <w:marBottom w:val="0"/>
                  <w:divBdr>
                    <w:top w:val="none" w:sz="0" w:space="0" w:color="auto"/>
                    <w:left w:val="none" w:sz="0" w:space="0" w:color="auto"/>
                    <w:bottom w:val="none" w:sz="0" w:space="0" w:color="auto"/>
                    <w:right w:val="none" w:sz="0" w:space="0" w:color="auto"/>
                  </w:divBdr>
                  <w:divsChild>
                    <w:div w:id="1141465170">
                      <w:marLeft w:val="0"/>
                      <w:marRight w:val="0"/>
                      <w:marTop w:val="0"/>
                      <w:marBottom w:val="0"/>
                      <w:divBdr>
                        <w:top w:val="none" w:sz="0" w:space="0" w:color="auto"/>
                        <w:left w:val="none" w:sz="0" w:space="0" w:color="auto"/>
                        <w:bottom w:val="none" w:sz="0" w:space="0" w:color="auto"/>
                        <w:right w:val="none" w:sz="0" w:space="0" w:color="auto"/>
                      </w:divBdr>
                    </w:div>
                  </w:divsChild>
                </w:div>
                <w:div w:id="1157111068">
                  <w:marLeft w:val="0"/>
                  <w:marRight w:val="0"/>
                  <w:marTop w:val="0"/>
                  <w:marBottom w:val="0"/>
                  <w:divBdr>
                    <w:top w:val="none" w:sz="0" w:space="0" w:color="auto"/>
                    <w:left w:val="none" w:sz="0" w:space="0" w:color="auto"/>
                    <w:bottom w:val="none" w:sz="0" w:space="0" w:color="auto"/>
                    <w:right w:val="none" w:sz="0" w:space="0" w:color="auto"/>
                  </w:divBdr>
                  <w:divsChild>
                    <w:div w:id="859196777">
                      <w:marLeft w:val="0"/>
                      <w:marRight w:val="0"/>
                      <w:marTop w:val="0"/>
                      <w:marBottom w:val="0"/>
                      <w:divBdr>
                        <w:top w:val="none" w:sz="0" w:space="0" w:color="auto"/>
                        <w:left w:val="none" w:sz="0" w:space="0" w:color="auto"/>
                        <w:bottom w:val="none" w:sz="0" w:space="0" w:color="auto"/>
                        <w:right w:val="none" w:sz="0" w:space="0" w:color="auto"/>
                      </w:divBdr>
                    </w:div>
                  </w:divsChild>
                </w:div>
                <w:div w:id="1160779417">
                  <w:marLeft w:val="0"/>
                  <w:marRight w:val="0"/>
                  <w:marTop w:val="0"/>
                  <w:marBottom w:val="0"/>
                  <w:divBdr>
                    <w:top w:val="none" w:sz="0" w:space="0" w:color="auto"/>
                    <w:left w:val="none" w:sz="0" w:space="0" w:color="auto"/>
                    <w:bottom w:val="none" w:sz="0" w:space="0" w:color="auto"/>
                    <w:right w:val="none" w:sz="0" w:space="0" w:color="auto"/>
                  </w:divBdr>
                  <w:divsChild>
                    <w:div w:id="585267387">
                      <w:marLeft w:val="0"/>
                      <w:marRight w:val="0"/>
                      <w:marTop w:val="0"/>
                      <w:marBottom w:val="0"/>
                      <w:divBdr>
                        <w:top w:val="none" w:sz="0" w:space="0" w:color="auto"/>
                        <w:left w:val="none" w:sz="0" w:space="0" w:color="auto"/>
                        <w:bottom w:val="none" w:sz="0" w:space="0" w:color="auto"/>
                        <w:right w:val="none" w:sz="0" w:space="0" w:color="auto"/>
                      </w:divBdr>
                    </w:div>
                  </w:divsChild>
                </w:div>
                <w:div w:id="1171486813">
                  <w:marLeft w:val="0"/>
                  <w:marRight w:val="0"/>
                  <w:marTop w:val="0"/>
                  <w:marBottom w:val="0"/>
                  <w:divBdr>
                    <w:top w:val="none" w:sz="0" w:space="0" w:color="auto"/>
                    <w:left w:val="none" w:sz="0" w:space="0" w:color="auto"/>
                    <w:bottom w:val="none" w:sz="0" w:space="0" w:color="auto"/>
                    <w:right w:val="none" w:sz="0" w:space="0" w:color="auto"/>
                  </w:divBdr>
                  <w:divsChild>
                    <w:div w:id="264270938">
                      <w:marLeft w:val="0"/>
                      <w:marRight w:val="0"/>
                      <w:marTop w:val="0"/>
                      <w:marBottom w:val="0"/>
                      <w:divBdr>
                        <w:top w:val="none" w:sz="0" w:space="0" w:color="auto"/>
                        <w:left w:val="none" w:sz="0" w:space="0" w:color="auto"/>
                        <w:bottom w:val="none" w:sz="0" w:space="0" w:color="auto"/>
                        <w:right w:val="none" w:sz="0" w:space="0" w:color="auto"/>
                      </w:divBdr>
                    </w:div>
                  </w:divsChild>
                </w:div>
                <w:div w:id="1189102514">
                  <w:marLeft w:val="0"/>
                  <w:marRight w:val="0"/>
                  <w:marTop w:val="0"/>
                  <w:marBottom w:val="0"/>
                  <w:divBdr>
                    <w:top w:val="none" w:sz="0" w:space="0" w:color="auto"/>
                    <w:left w:val="none" w:sz="0" w:space="0" w:color="auto"/>
                    <w:bottom w:val="none" w:sz="0" w:space="0" w:color="auto"/>
                    <w:right w:val="none" w:sz="0" w:space="0" w:color="auto"/>
                  </w:divBdr>
                  <w:divsChild>
                    <w:div w:id="1046443695">
                      <w:marLeft w:val="0"/>
                      <w:marRight w:val="0"/>
                      <w:marTop w:val="0"/>
                      <w:marBottom w:val="0"/>
                      <w:divBdr>
                        <w:top w:val="none" w:sz="0" w:space="0" w:color="auto"/>
                        <w:left w:val="none" w:sz="0" w:space="0" w:color="auto"/>
                        <w:bottom w:val="none" w:sz="0" w:space="0" w:color="auto"/>
                        <w:right w:val="none" w:sz="0" w:space="0" w:color="auto"/>
                      </w:divBdr>
                    </w:div>
                  </w:divsChild>
                </w:div>
                <w:div w:id="1240405528">
                  <w:marLeft w:val="0"/>
                  <w:marRight w:val="0"/>
                  <w:marTop w:val="0"/>
                  <w:marBottom w:val="0"/>
                  <w:divBdr>
                    <w:top w:val="none" w:sz="0" w:space="0" w:color="auto"/>
                    <w:left w:val="none" w:sz="0" w:space="0" w:color="auto"/>
                    <w:bottom w:val="none" w:sz="0" w:space="0" w:color="auto"/>
                    <w:right w:val="none" w:sz="0" w:space="0" w:color="auto"/>
                  </w:divBdr>
                  <w:divsChild>
                    <w:div w:id="1638795476">
                      <w:marLeft w:val="0"/>
                      <w:marRight w:val="0"/>
                      <w:marTop w:val="0"/>
                      <w:marBottom w:val="0"/>
                      <w:divBdr>
                        <w:top w:val="none" w:sz="0" w:space="0" w:color="auto"/>
                        <w:left w:val="none" w:sz="0" w:space="0" w:color="auto"/>
                        <w:bottom w:val="none" w:sz="0" w:space="0" w:color="auto"/>
                        <w:right w:val="none" w:sz="0" w:space="0" w:color="auto"/>
                      </w:divBdr>
                    </w:div>
                  </w:divsChild>
                </w:div>
                <w:div w:id="1281958019">
                  <w:marLeft w:val="0"/>
                  <w:marRight w:val="0"/>
                  <w:marTop w:val="0"/>
                  <w:marBottom w:val="0"/>
                  <w:divBdr>
                    <w:top w:val="none" w:sz="0" w:space="0" w:color="auto"/>
                    <w:left w:val="none" w:sz="0" w:space="0" w:color="auto"/>
                    <w:bottom w:val="none" w:sz="0" w:space="0" w:color="auto"/>
                    <w:right w:val="none" w:sz="0" w:space="0" w:color="auto"/>
                  </w:divBdr>
                  <w:divsChild>
                    <w:div w:id="1764522918">
                      <w:marLeft w:val="0"/>
                      <w:marRight w:val="0"/>
                      <w:marTop w:val="0"/>
                      <w:marBottom w:val="0"/>
                      <w:divBdr>
                        <w:top w:val="none" w:sz="0" w:space="0" w:color="auto"/>
                        <w:left w:val="none" w:sz="0" w:space="0" w:color="auto"/>
                        <w:bottom w:val="none" w:sz="0" w:space="0" w:color="auto"/>
                        <w:right w:val="none" w:sz="0" w:space="0" w:color="auto"/>
                      </w:divBdr>
                    </w:div>
                  </w:divsChild>
                </w:div>
                <w:div w:id="1307583237">
                  <w:marLeft w:val="0"/>
                  <w:marRight w:val="0"/>
                  <w:marTop w:val="0"/>
                  <w:marBottom w:val="0"/>
                  <w:divBdr>
                    <w:top w:val="none" w:sz="0" w:space="0" w:color="auto"/>
                    <w:left w:val="none" w:sz="0" w:space="0" w:color="auto"/>
                    <w:bottom w:val="none" w:sz="0" w:space="0" w:color="auto"/>
                    <w:right w:val="none" w:sz="0" w:space="0" w:color="auto"/>
                  </w:divBdr>
                  <w:divsChild>
                    <w:div w:id="579170491">
                      <w:marLeft w:val="0"/>
                      <w:marRight w:val="0"/>
                      <w:marTop w:val="0"/>
                      <w:marBottom w:val="0"/>
                      <w:divBdr>
                        <w:top w:val="none" w:sz="0" w:space="0" w:color="auto"/>
                        <w:left w:val="none" w:sz="0" w:space="0" w:color="auto"/>
                        <w:bottom w:val="none" w:sz="0" w:space="0" w:color="auto"/>
                        <w:right w:val="none" w:sz="0" w:space="0" w:color="auto"/>
                      </w:divBdr>
                    </w:div>
                  </w:divsChild>
                </w:div>
                <w:div w:id="1324551582">
                  <w:marLeft w:val="0"/>
                  <w:marRight w:val="0"/>
                  <w:marTop w:val="0"/>
                  <w:marBottom w:val="0"/>
                  <w:divBdr>
                    <w:top w:val="none" w:sz="0" w:space="0" w:color="auto"/>
                    <w:left w:val="none" w:sz="0" w:space="0" w:color="auto"/>
                    <w:bottom w:val="none" w:sz="0" w:space="0" w:color="auto"/>
                    <w:right w:val="none" w:sz="0" w:space="0" w:color="auto"/>
                  </w:divBdr>
                  <w:divsChild>
                    <w:div w:id="1406495053">
                      <w:marLeft w:val="0"/>
                      <w:marRight w:val="0"/>
                      <w:marTop w:val="0"/>
                      <w:marBottom w:val="0"/>
                      <w:divBdr>
                        <w:top w:val="none" w:sz="0" w:space="0" w:color="auto"/>
                        <w:left w:val="none" w:sz="0" w:space="0" w:color="auto"/>
                        <w:bottom w:val="none" w:sz="0" w:space="0" w:color="auto"/>
                        <w:right w:val="none" w:sz="0" w:space="0" w:color="auto"/>
                      </w:divBdr>
                    </w:div>
                  </w:divsChild>
                </w:div>
                <w:div w:id="1342127022">
                  <w:marLeft w:val="0"/>
                  <w:marRight w:val="0"/>
                  <w:marTop w:val="0"/>
                  <w:marBottom w:val="0"/>
                  <w:divBdr>
                    <w:top w:val="none" w:sz="0" w:space="0" w:color="auto"/>
                    <w:left w:val="none" w:sz="0" w:space="0" w:color="auto"/>
                    <w:bottom w:val="none" w:sz="0" w:space="0" w:color="auto"/>
                    <w:right w:val="none" w:sz="0" w:space="0" w:color="auto"/>
                  </w:divBdr>
                  <w:divsChild>
                    <w:div w:id="2082091957">
                      <w:marLeft w:val="0"/>
                      <w:marRight w:val="0"/>
                      <w:marTop w:val="0"/>
                      <w:marBottom w:val="0"/>
                      <w:divBdr>
                        <w:top w:val="none" w:sz="0" w:space="0" w:color="auto"/>
                        <w:left w:val="none" w:sz="0" w:space="0" w:color="auto"/>
                        <w:bottom w:val="none" w:sz="0" w:space="0" w:color="auto"/>
                        <w:right w:val="none" w:sz="0" w:space="0" w:color="auto"/>
                      </w:divBdr>
                    </w:div>
                  </w:divsChild>
                </w:div>
                <w:div w:id="1411658827">
                  <w:marLeft w:val="0"/>
                  <w:marRight w:val="0"/>
                  <w:marTop w:val="0"/>
                  <w:marBottom w:val="0"/>
                  <w:divBdr>
                    <w:top w:val="none" w:sz="0" w:space="0" w:color="auto"/>
                    <w:left w:val="none" w:sz="0" w:space="0" w:color="auto"/>
                    <w:bottom w:val="none" w:sz="0" w:space="0" w:color="auto"/>
                    <w:right w:val="none" w:sz="0" w:space="0" w:color="auto"/>
                  </w:divBdr>
                  <w:divsChild>
                    <w:div w:id="1035809564">
                      <w:marLeft w:val="0"/>
                      <w:marRight w:val="0"/>
                      <w:marTop w:val="0"/>
                      <w:marBottom w:val="0"/>
                      <w:divBdr>
                        <w:top w:val="none" w:sz="0" w:space="0" w:color="auto"/>
                        <w:left w:val="none" w:sz="0" w:space="0" w:color="auto"/>
                        <w:bottom w:val="none" w:sz="0" w:space="0" w:color="auto"/>
                        <w:right w:val="none" w:sz="0" w:space="0" w:color="auto"/>
                      </w:divBdr>
                    </w:div>
                  </w:divsChild>
                </w:div>
                <w:div w:id="1558054680">
                  <w:marLeft w:val="0"/>
                  <w:marRight w:val="0"/>
                  <w:marTop w:val="0"/>
                  <w:marBottom w:val="0"/>
                  <w:divBdr>
                    <w:top w:val="none" w:sz="0" w:space="0" w:color="auto"/>
                    <w:left w:val="none" w:sz="0" w:space="0" w:color="auto"/>
                    <w:bottom w:val="none" w:sz="0" w:space="0" w:color="auto"/>
                    <w:right w:val="none" w:sz="0" w:space="0" w:color="auto"/>
                  </w:divBdr>
                  <w:divsChild>
                    <w:div w:id="176161344">
                      <w:marLeft w:val="0"/>
                      <w:marRight w:val="0"/>
                      <w:marTop w:val="0"/>
                      <w:marBottom w:val="0"/>
                      <w:divBdr>
                        <w:top w:val="none" w:sz="0" w:space="0" w:color="auto"/>
                        <w:left w:val="none" w:sz="0" w:space="0" w:color="auto"/>
                        <w:bottom w:val="none" w:sz="0" w:space="0" w:color="auto"/>
                        <w:right w:val="none" w:sz="0" w:space="0" w:color="auto"/>
                      </w:divBdr>
                    </w:div>
                  </w:divsChild>
                </w:div>
                <w:div w:id="1923566778">
                  <w:marLeft w:val="0"/>
                  <w:marRight w:val="0"/>
                  <w:marTop w:val="0"/>
                  <w:marBottom w:val="0"/>
                  <w:divBdr>
                    <w:top w:val="none" w:sz="0" w:space="0" w:color="auto"/>
                    <w:left w:val="none" w:sz="0" w:space="0" w:color="auto"/>
                    <w:bottom w:val="none" w:sz="0" w:space="0" w:color="auto"/>
                    <w:right w:val="none" w:sz="0" w:space="0" w:color="auto"/>
                  </w:divBdr>
                  <w:divsChild>
                    <w:div w:id="907153909">
                      <w:marLeft w:val="0"/>
                      <w:marRight w:val="0"/>
                      <w:marTop w:val="0"/>
                      <w:marBottom w:val="0"/>
                      <w:divBdr>
                        <w:top w:val="none" w:sz="0" w:space="0" w:color="auto"/>
                        <w:left w:val="none" w:sz="0" w:space="0" w:color="auto"/>
                        <w:bottom w:val="none" w:sz="0" w:space="0" w:color="auto"/>
                        <w:right w:val="none" w:sz="0" w:space="0" w:color="auto"/>
                      </w:divBdr>
                    </w:div>
                  </w:divsChild>
                </w:div>
                <w:div w:id="2022126858">
                  <w:marLeft w:val="0"/>
                  <w:marRight w:val="0"/>
                  <w:marTop w:val="0"/>
                  <w:marBottom w:val="0"/>
                  <w:divBdr>
                    <w:top w:val="none" w:sz="0" w:space="0" w:color="auto"/>
                    <w:left w:val="none" w:sz="0" w:space="0" w:color="auto"/>
                    <w:bottom w:val="none" w:sz="0" w:space="0" w:color="auto"/>
                    <w:right w:val="none" w:sz="0" w:space="0" w:color="auto"/>
                  </w:divBdr>
                  <w:divsChild>
                    <w:div w:id="55378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0936">
          <w:marLeft w:val="0"/>
          <w:marRight w:val="0"/>
          <w:marTop w:val="0"/>
          <w:marBottom w:val="0"/>
          <w:divBdr>
            <w:top w:val="none" w:sz="0" w:space="0" w:color="auto"/>
            <w:left w:val="none" w:sz="0" w:space="0" w:color="auto"/>
            <w:bottom w:val="none" w:sz="0" w:space="0" w:color="auto"/>
            <w:right w:val="none" w:sz="0" w:space="0" w:color="auto"/>
          </w:divBdr>
        </w:div>
        <w:div w:id="103620348">
          <w:marLeft w:val="0"/>
          <w:marRight w:val="0"/>
          <w:marTop w:val="0"/>
          <w:marBottom w:val="0"/>
          <w:divBdr>
            <w:top w:val="none" w:sz="0" w:space="0" w:color="auto"/>
            <w:left w:val="none" w:sz="0" w:space="0" w:color="auto"/>
            <w:bottom w:val="none" w:sz="0" w:space="0" w:color="auto"/>
            <w:right w:val="none" w:sz="0" w:space="0" w:color="auto"/>
          </w:divBdr>
        </w:div>
        <w:div w:id="128672596">
          <w:marLeft w:val="0"/>
          <w:marRight w:val="0"/>
          <w:marTop w:val="0"/>
          <w:marBottom w:val="0"/>
          <w:divBdr>
            <w:top w:val="none" w:sz="0" w:space="0" w:color="auto"/>
            <w:left w:val="none" w:sz="0" w:space="0" w:color="auto"/>
            <w:bottom w:val="none" w:sz="0" w:space="0" w:color="auto"/>
            <w:right w:val="none" w:sz="0" w:space="0" w:color="auto"/>
          </w:divBdr>
        </w:div>
        <w:div w:id="134489885">
          <w:marLeft w:val="0"/>
          <w:marRight w:val="0"/>
          <w:marTop w:val="0"/>
          <w:marBottom w:val="0"/>
          <w:divBdr>
            <w:top w:val="none" w:sz="0" w:space="0" w:color="auto"/>
            <w:left w:val="none" w:sz="0" w:space="0" w:color="auto"/>
            <w:bottom w:val="none" w:sz="0" w:space="0" w:color="auto"/>
            <w:right w:val="none" w:sz="0" w:space="0" w:color="auto"/>
          </w:divBdr>
        </w:div>
        <w:div w:id="181165433">
          <w:marLeft w:val="0"/>
          <w:marRight w:val="0"/>
          <w:marTop w:val="0"/>
          <w:marBottom w:val="0"/>
          <w:divBdr>
            <w:top w:val="none" w:sz="0" w:space="0" w:color="auto"/>
            <w:left w:val="none" w:sz="0" w:space="0" w:color="auto"/>
            <w:bottom w:val="none" w:sz="0" w:space="0" w:color="auto"/>
            <w:right w:val="none" w:sz="0" w:space="0" w:color="auto"/>
          </w:divBdr>
        </w:div>
        <w:div w:id="193352624">
          <w:marLeft w:val="0"/>
          <w:marRight w:val="0"/>
          <w:marTop w:val="0"/>
          <w:marBottom w:val="0"/>
          <w:divBdr>
            <w:top w:val="none" w:sz="0" w:space="0" w:color="auto"/>
            <w:left w:val="none" w:sz="0" w:space="0" w:color="auto"/>
            <w:bottom w:val="none" w:sz="0" w:space="0" w:color="auto"/>
            <w:right w:val="none" w:sz="0" w:space="0" w:color="auto"/>
          </w:divBdr>
        </w:div>
        <w:div w:id="215431627">
          <w:marLeft w:val="0"/>
          <w:marRight w:val="0"/>
          <w:marTop w:val="0"/>
          <w:marBottom w:val="0"/>
          <w:divBdr>
            <w:top w:val="none" w:sz="0" w:space="0" w:color="auto"/>
            <w:left w:val="none" w:sz="0" w:space="0" w:color="auto"/>
            <w:bottom w:val="none" w:sz="0" w:space="0" w:color="auto"/>
            <w:right w:val="none" w:sz="0" w:space="0" w:color="auto"/>
          </w:divBdr>
        </w:div>
        <w:div w:id="221910012">
          <w:marLeft w:val="0"/>
          <w:marRight w:val="0"/>
          <w:marTop w:val="0"/>
          <w:marBottom w:val="0"/>
          <w:divBdr>
            <w:top w:val="none" w:sz="0" w:space="0" w:color="auto"/>
            <w:left w:val="none" w:sz="0" w:space="0" w:color="auto"/>
            <w:bottom w:val="none" w:sz="0" w:space="0" w:color="auto"/>
            <w:right w:val="none" w:sz="0" w:space="0" w:color="auto"/>
          </w:divBdr>
        </w:div>
        <w:div w:id="238447469">
          <w:marLeft w:val="0"/>
          <w:marRight w:val="0"/>
          <w:marTop w:val="0"/>
          <w:marBottom w:val="0"/>
          <w:divBdr>
            <w:top w:val="none" w:sz="0" w:space="0" w:color="auto"/>
            <w:left w:val="none" w:sz="0" w:space="0" w:color="auto"/>
            <w:bottom w:val="none" w:sz="0" w:space="0" w:color="auto"/>
            <w:right w:val="none" w:sz="0" w:space="0" w:color="auto"/>
          </w:divBdr>
        </w:div>
        <w:div w:id="239098561">
          <w:marLeft w:val="0"/>
          <w:marRight w:val="0"/>
          <w:marTop w:val="0"/>
          <w:marBottom w:val="0"/>
          <w:divBdr>
            <w:top w:val="none" w:sz="0" w:space="0" w:color="auto"/>
            <w:left w:val="none" w:sz="0" w:space="0" w:color="auto"/>
            <w:bottom w:val="none" w:sz="0" w:space="0" w:color="auto"/>
            <w:right w:val="none" w:sz="0" w:space="0" w:color="auto"/>
          </w:divBdr>
          <w:divsChild>
            <w:div w:id="1433234607">
              <w:marLeft w:val="-75"/>
              <w:marRight w:val="0"/>
              <w:marTop w:val="30"/>
              <w:marBottom w:val="30"/>
              <w:divBdr>
                <w:top w:val="none" w:sz="0" w:space="0" w:color="auto"/>
                <w:left w:val="none" w:sz="0" w:space="0" w:color="auto"/>
                <w:bottom w:val="none" w:sz="0" w:space="0" w:color="auto"/>
                <w:right w:val="none" w:sz="0" w:space="0" w:color="auto"/>
              </w:divBdr>
              <w:divsChild>
                <w:div w:id="130636855">
                  <w:marLeft w:val="0"/>
                  <w:marRight w:val="0"/>
                  <w:marTop w:val="0"/>
                  <w:marBottom w:val="0"/>
                  <w:divBdr>
                    <w:top w:val="none" w:sz="0" w:space="0" w:color="auto"/>
                    <w:left w:val="none" w:sz="0" w:space="0" w:color="auto"/>
                    <w:bottom w:val="none" w:sz="0" w:space="0" w:color="auto"/>
                    <w:right w:val="none" w:sz="0" w:space="0" w:color="auto"/>
                  </w:divBdr>
                  <w:divsChild>
                    <w:div w:id="503787223">
                      <w:marLeft w:val="0"/>
                      <w:marRight w:val="0"/>
                      <w:marTop w:val="0"/>
                      <w:marBottom w:val="0"/>
                      <w:divBdr>
                        <w:top w:val="none" w:sz="0" w:space="0" w:color="auto"/>
                        <w:left w:val="none" w:sz="0" w:space="0" w:color="auto"/>
                        <w:bottom w:val="none" w:sz="0" w:space="0" w:color="auto"/>
                        <w:right w:val="none" w:sz="0" w:space="0" w:color="auto"/>
                      </w:divBdr>
                    </w:div>
                  </w:divsChild>
                </w:div>
                <w:div w:id="195044533">
                  <w:marLeft w:val="0"/>
                  <w:marRight w:val="0"/>
                  <w:marTop w:val="0"/>
                  <w:marBottom w:val="0"/>
                  <w:divBdr>
                    <w:top w:val="none" w:sz="0" w:space="0" w:color="auto"/>
                    <w:left w:val="none" w:sz="0" w:space="0" w:color="auto"/>
                    <w:bottom w:val="none" w:sz="0" w:space="0" w:color="auto"/>
                    <w:right w:val="none" w:sz="0" w:space="0" w:color="auto"/>
                  </w:divBdr>
                  <w:divsChild>
                    <w:div w:id="1974364501">
                      <w:marLeft w:val="0"/>
                      <w:marRight w:val="0"/>
                      <w:marTop w:val="0"/>
                      <w:marBottom w:val="0"/>
                      <w:divBdr>
                        <w:top w:val="none" w:sz="0" w:space="0" w:color="auto"/>
                        <w:left w:val="none" w:sz="0" w:space="0" w:color="auto"/>
                        <w:bottom w:val="none" w:sz="0" w:space="0" w:color="auto"/>
                        <w:right w:val="none" w:sz="0" w:space="0" w:color="auto"/>
                      </w:divBdr>
                    </w:div>
                  </w:divsChild>
                </w:div>
                <w:div w:id="200292734">
                  <w:marLeft w:val="0"/>
                  <w:marRight w:val="0"/>
                  <w:marTop w:val="0"/>
                  <w:marBottom w:val="0"/>
                  <w:divBdr>
                    <w:top w:val="none" w:sz="0" w:space="0" w:color="auto"/>
                    <w:left w:val="none" w:sz="0" w:space="0" w:color="auto"/>
                    <w:bottom w:val="none" w:sz="0" w:space="0" w:color="auto"/>
                    <w:right w:val="none" w:sz="0" w:space="0" w:color="auto"/>
                  </w:divBdr>
                  <w:divsChild>
                    <w:div w:id="1976252667">
                      <w:marLeft w:val="0"/>
                      <w:marRight w:val="0"/>
                      <w:marTop w:val="0"/>
                      <w:marBottom w:val="0"/>
                      <w:divBdr>
                        <w:top w:val="none" w:sz="0" w:space="0" w:color="auto"/>
                        <w:left w:val="none" w:sz="0" w:space="0" w:color="auto"/>
                        <w:bottom w:val="none" w:sz="0" w:space="0" w:color="auto"/>
                        <w:right w:val="none" w:sz="0" w:space="0" w:color="auto"/>
                      </w:divBdr>
                    </w:div>
                  </w:divsChild>
                </w:div>
                <w:div w:id="217516192">
                  <w:marLeft w:val="0"/>
                  <w:marRight w:val="0"/>
                  <w:marTop w:val="0"/>
                  <w:marBottom w:val="0"/>
                  <w:divBdr>
                    <w:top w:val="none" w:sz="0" w:space="0" w:color="auto"/>
                    <w:left w:val="none" w:sz="0" w:space="0" w:color="auto"/>
                    <w:bottom w:val="none" w:sz="0" w:space="0" w:color="auto"/>
                    <w:right w:val="none" w:sz="0" w:space="0" w:color="auto"/>
                  </w:divBdr>
                  <w:divsChild>
                    <w:div w:id="1672564291">
                      <w:marLeft w:val="0"/>
                      <w:marRight w:val="0"/>
                      <w:marTop w:val="0"/>
                      <w:marBottom w:val="0"/>
                      <w:divBdr>
                        <w:top w:val="none" w:sz="0" w:space="0" w:color="auto"/>
                        <w:left w:val="none" w:sz="0" w:space="0" w:color="auto"/>
                        <w:bottom w:val="none" w:sz="0" w:space="0" w:color="auto"/>
                        <w:right w:val="none" w:sz="0" w:space="0" w:color="auto"/>
                      </w:divBdr>
                    </w:div>
                  </w:divsChild>
                </w:div>
                <w:div w:id="217859554">
                  <w:marLeft w:val="0"/>
                  <w:marRight w:val="0"/>
                  <w:marTop w:val="0"/>
                  <w:marBottom w:val="0"/>
                  <w:divBdr>
                    <w:top w:val="none" w:sz="0" w:space="0" w:color="auto"/>
                    <w:left w:val="none" w:sz="0" w:space="0" w:color="auto"/>
                    <w:bottom w:val="none" w:sz="0" w:space="0" w:color="auto"/>
                    <w:right w:val="none" w:sz="0" w:space="0" w:color="auto"/>
                  </w:divBdr>
                  <w:divsChild>
                    <w:div w:id="1538544132">
                      <w:marLeft w:val="0"/>
                      <w:marRight w:val="0"/>
                      <w:marTop w:val="0"/>
                      <w:marBottom w:val="0"/>
                      <w:divBdr>
                        <w:top w:val="none" w:sz="0" w:space="0" w:color="auto"/>
                        <w:left w:val="none" w:sz="0" w:space="0" w:color="auto"/>
                        <w:bottom w:val="none" w:sz="0" w:space="0" w:color="auto"/>
                        <w:right w:val="none" w:sz="0" w:space="0" w:color="auto"/>
                      </w:divBdr>
                    </w:div>
                  </w:divsChild>
                </w:div>
                <w:div w:id="224491342">
                  <w:marLeft w:val="0"/>
                  <w:marRight w:val="0"/>
                  <w:marTop w:val="0"/>
                  <w:marBottom w:val="0"/>
                  <w:divBdr>
                    <w:top w:val="none" w:sz="0" w:space="0" w:color="auto"/>
                    <w:left w:val="none" w:sz="0" w:space="0" w:color="auto"/>
                    <w:bottom w:val="none" w:sz="0" w:space="0" w:color="auto"/>
                    <w:right w:val="none" w:sz="0" w:space="0" w:color="auto"/>
                  </w:divBdr>
                  <w:divsChild>
                    <w:div w:id="219944038">
                      <w:marLeft w:val="0"/>
                      <w:marRight w:val="0"/>
                      <w:marTop w:val="0"/>
                      <w:marBottom w:val="0"/>
                      <w:divBdr>
                        <w:top w:val="none" w:sz="0" w:space="0" w:color="auto"/>
                        <w:left w:val="none" w:sz="0" w:space="0" w:color="auto"/>
                        <w:bottom w:val="none" w:sz="0" w:space="0" w:color="auto"/>
                        <w:right w:val="none" w:sz="0" w:space="0" w:color="auto"/>
                      </w:divBdr>
                    </w:div>
                  </w:divsChild>
                </w:div>
                <w:div w:id="282615935">
                  <w:marLeft w:val="0"/>
                  <w:marRight w:val="0"/>
                  <w:marTop w:val="0"/>
                  <w:marBottom w:val="0"/>
                  <w:divBdr>
                    <w:top w:val="none" w:sz="0" w:space="0" w:color="auto"/>
                    <w:left w:val="none" w:sz="0" w:space="0" w:color="auto"/>
                    <w:bottom w:val="none" w:sz="0" w:space="0" w:color="auto"/>
                    <w:right w:val="none" w:sz="0" w:space="0" w:color="auto"/>
                  </w:divBdr>
                  <w:divsChild>
                    <w:div w:id="635838143">
                      <w:marLeft w:val="0"/>
                      <w:marRight w:val="0"/>
                      <w:marTop w:val="0"/>
                      <w:marBottom w:val="0"/>
                      <w:divBdr>
                        <w:top w:val="none" w:sz="0" w:space="0" w:color="auto"/>
                        <w:left w:val="none" w:sz="0" w:space="0" w:color="auto"/>
                        <w:bottom w:val="none" w:sz="0" w:space="0" w:color="auto"/>
                        <w:right w:val="none" w:sz="0" w:space="0" w:color="auto"/>
                      </w:divBdr>
                    </w:div>
                  </w:divsChild>
                </w:div>
                <w:div w:id="304239275">
                  <w:marLeft w:val="0"/>
                  <w:marRight w:val="0"/>
                  <w:marTop w:val="0"/>
                  <w:marBottom w:val="0"/>
                  <w:divBdr>
                    <w:top w:val="none" w:sz="0" w:space="0" w:color="auto"/>
                    <w:left w:val="none" w:sz="0" w:space="0" w:color="auto"/>
                    <w:bottom w:val="none" w:sz="0" w:space="0" w:color="auto"/>
                    <w:right w:val="none" w:sz="0" w:space="0" w:color="auto"/>
                  </w:divBdr>
                  <w:divsChild>
                    <w:div w:id="340133488">
                      <w:marLeft w:val="0"/>
                      <w:marRight w:val="0"/>
                      <w:marTop w:val="0"/>
                      <w:marBottom w:val="0"/>
                      <w:divBdr>
                        <w:top w:val="none" w:sz="0" w:space="0" w:color="auto"/>
                        <w:left w:val="none" w:sz="0" w:space="0" w:color="auto"/>
                        <w:bottom w:val="none" w:sz="0" w:space="0" w:color="auto"/>
                        <w:right w:val="none" w:sz="0" w:space="0" w:color="auto"/>
                      </w:divBdr>
                    </w:div>
                  </w:divsChild>
                </w:div>
                <w:div w:id="343677721">
                  <w:marLeft w:val="0"/>
                  <w:marRight w:val="0"/>
                  <w:marTop w:val="0"/>
                  <w:marBottom w:val="0"/>
                  <w:divBdr>
                    <w:top w:val="none" w:sz="0" w:space="0" w:color="auto"/>
                    <w:left w:val="none" w:sz="0" w:space="0" w:color="auto"/>
                    <w:bottom w:val="none" w:sz="0" w:space="0" w:color="auto"/>
                    <w:right w:val="none" w:sz="0" w:space="0" w:color="auto"/>
                  </w:divBdr>
                  <w:divsChild>
                    <w:div w:id="1467553377">
                      <w:marLeft w:val="0"/>
                      <w:marRight w:val="0"/>
                      <w:marTop w:val="0"/>
                      <w:marBottom w:val="0"/>
                      <w:divBdr>
                        <w:top w:val="none" w:sz="0" w:space="0" w:color="auto"/>
                        <w:left w:val="none" w:sz="0" w:space="0" w:color="auto"/>
                        <w:bottom w:val="none" w:sz="0" w:space="0" w:color="auto"/>
                        <w:right w:val="none" w:sz="0" w:space="0" w:color="auto"/>
                      </w:divBdr>
                    </w:div>
                  </w:divsChild>
                </w:div>
                <w:div w:id="524053793">
                  <w:marLeft w:val="0"/>
                  <w:marRight w:val="0"/>
                  <w:marTop w:val="0"/>
                  <w:marBottom w:val="0"/>
                  <w:divBdr>
                    <w:top w:val="none" w:sz="0" w:space="0" w:color="auto"/>
                    <w:left w:val="none" w:sz="0" w:space="0" w:color="auto"/>
                    <w:bottom w:val="none" w:sz="0" w:space="0" w:color="auto"/>
                    <w:right w:val="none" w:sz="0" w:space="0" w:color="auto"/>
                  </w:divBdr>
                  <w:divsChild>
                    <w:div w:id="343244259">
                      <w:marLeft w:val="0"/>
                      <w:marRight w:val="0"/>
                      <w:marTop w:val="0"/>
                      <w:marBottom w:val="0"/>
                      <w:divBdr>
                        <w:top w:val="none" w:sz="0" w:space="0" w:color="auto"/>
                        <w:left w:val="none" w:sz="0" w:space="0" w:color="auto"/>
                        <w:bottom w:val="none" w:sz="0" w:space="0" w:color="auto"/>
                        <w:right w:val="none" w:sz="0" w:space="0" w:color="auto"/>
                      </w:divBdr>
                    </w:div>
                  </w:divsChild>
                </w:div>
                <w:div w:id="548881484">
                  <w:marLeft w:val="0"/>
                  <w:marRight w:val="0"/>
                  <w:marTop w:val="0"/>
                  <w:marBottom w:val="0"/>
                  <w:divBdr>
                    <w:top w:val="none" w:sz="0" w:space="0" w:color="auto"/>
                    <w:left w:val="none" w:sz="0" w:space="0" w:color="auto"/>
                    <w:bottom w:val="none" w:sz="0" w:space="0" w:color="auto"/>
                    <w:right w:val="none" w:sz="0" w:space="0" w:color="auto"/>
                  </w:divBdr>
                  <w:divsChild>
                    <w:div w:id="1018854323">
                      <w:marLeft w:val="0"/>
                      <w:marRight w:val="0"/>
                      <w:marTop w:val="0"/>
                      <w:marBottom w:val="0"/>
                      <w:divBdr>
                        <w:top w:val="none" w:sz="0" w:space="0" w:color="auto"/>
                        <w:left w:val="none" w:sz="0" w:space="0" w:color="auto"/>
                        <w:bottom w:val="none" w:sz="0" w:space="0" w:color="auto"/>
                        <w:right w:val="none" w:sz="0" w:space="0" w:color="auto"/>
                      </w:divBdr>
                    </w:div>
                  </w:divsChild>
                </w:div>
                <w:div w:id="768239395">
                  <w:marLeft w:val="0"/>
                  <w:marRight w:val="0"/>
                  <w:marTop w:val="0"/>
                  <w:marBottom w:val="0"/>
                  <w:divBdr>
                    <w:top w:val="none" w:sz="0" w:space="0" w:color="auto"/>
                    <w:left w:val="none" w:sz="0" w:space="0" w:color="auto"/>
                    <w:bottom w:val="none" w:sz="0" w:space="0" w:color="auto"/>
                    <w:right w:val="none" w:sz="0" w:space="0" w:color="auto"/>
                  </w:divBdr>
                  <w:divsChild>
                    <w:div w:id="937061945">
                      <w:marLeft w:val="0"/>
                      <w:marRight w:val="0"/>
                      <w:marTop w:val="0"/>
                      <w:marBottom w:val="0"/>
                      <w:divBdr>
                        <w:top w:val="none" w:sz="0" w:space="0" w:color="auto"/>
                        <w:left w:val="none" w:sz="0" w:space="0" w:color="auto"/>
                        <w:bottom w:val="none" w:sz="0" w:space="0" w:color="auto"/>
                        <w:right w:val="none" w:sz="0" w:space="0" w:color="auto"/>
                      </w:divBdr>
                    </w:div>
                  </w:divsChild>
                </w:div>
                <w:div w:id="780296570">
                  <w:marLeft w:val="0"/>
                  <w:marRight w:val="0"/>
                  <w:marTop w:val="0"/>
                  <w:marBottom w:val="0"/>
                  <w:divBdr>
                    <w:top w:val="none" w:sz="0" w:space="0" w:color="auto"/>
                    <w:left w:val="none" w:sz="0" w:space="0" w:color="auto"/>
                    <w:bottom w:val="none" w:sz="0" w:space="0" w:color="auto"/>
                    <w:right w:val="none" w:sz="0" w:space="0" w:color="auto"/>
                  </w:divBdr>
                  <w:divsChild>
                    <w:div w:id="2003120993">
                      <w:marLeft w:val="0"/>
                      <w:marRight w:val="0"/>
                      <w:marTop w:val="0"/>
                      <w:marBottom w:val="0"/>
                      <w:divBdr>
                        <w:top w:val="none" w:sz="0" w:space="0" w:color="auto"/>
                        <w:left w:val="none" w:sz="0" w:space="0" w:color="auto"/>
                        <w:bottom w:val="none" w:sz="0" w:space="0" w:color="auto"/>
                        <w:right w:val="none" w:sz="0" w:space="0" w:color="auto"/>
                      </w:divBdr>
                    </w:div>
                  </w:divsChild>
                </w:div>
                <w:div w:id="819423404">
                  <w:marLeft w:val="0"/>
                  <w:marRight w:val="0"/>
                  <w:marTop w:val="0"/>
                  <w:marBottom w:val="0"/>
                  <w:divBdr>
                    <w:top w:val="none" w:sz="0" w:space="0" w:color="auto"/>
                    <w:left w:val="none" w:sz="0" w:space="0" w:color="auto"/>
                    <w:bottom w:val="none" w:sz="0" w:space="0" w:color="auto"/>
                    <w:right w:val="none" w:sz="0" w:space="0" w:color="auto"/>
                  </w:divBdr>
                  <w:divsChild>
                    <w:div w:id="702706794">
                      <w:marLeft w:val="0"/>
                      <w:marRight w:val="0"/>
                      <w:marTop w:val="0"/>
                      <w:marBottom w:val="0"/>
                      <w:divBdr>
                        <w:top w:val="none" w:sz="0" w:space="0" w:color="auto"/>
                        <w:left w:val="none" w:sz="0" w:space="0" w:color="auto"/>
                        <w:bottom w:val="none" w:sz="0" w:space="0" w:color="auto"/>
                        <w:right w:val="none" w:sz="0" w:space="0" w:color="auto"/>
                      </w:divBdr>
                    </w:div>
                  </w:divsChild>
                </w:div>
                <w:div w:id="1045639369">
                  <w:marLeft w:val="0"/>
                  <w:marRight w:val="0"/>
                  <w:marTop w:val="0"/>
                  <w:marBottom w:val="0"/>
                  <w:divBdr>
                    <w:top w:val="none" w:sz="0" w:space="0" w:color="auto"/>
                    <w:left w:val="none" w:sz="0" w:space="0" w:color="auto"/>
                    <w:bottom w:val="none" w:sz="0" w:space="0" w:color="auto"/>
                    <w:right w:val="none" w:sz="0" w:space="0" w:color="auto"/>
                  </w:divBdr>
                  <w:divsChild>
                    <w:div w:id="1652246097">
                      <w:marLeft w:val="0"/>
                      <w:marRight w:val="0"/>
                      <w:marTop w:val="0"/>
                      <w:marBottom w:val="0"/>
                      <w:divBdr>
                        <w:top w:val="none" w:sz="0" w:space="0" w:color="auto"/>
                        <w:left w:val="none" w:sz="0" w:space="0" w:color="auto"/>
                        <w:bottom w:val="none" w:sz="0" w:space="0" w:color="auto"/>
                        <w:right w:val="none" w:sz="0" w:space="0" w:color="auto"/>
                      </w:divBdr>
                    </w:div>
                  </w:divsChild>
                </w:div>
                <w:div w:id="1114641437">
                  <w:marLeft w:val="0"/>
                  <w:marRight w:val="0"/>
                  <w:marTop w:val="0"/>
                  <w:marBottom w:val="0"/>
                  <w:divBdr>
                    <w:top w:val="none" w:sz="0" w:space="0" w:color="auto"/>
                    <w:left w:val="none" w:sz="0" w:space="0" w:color="auto"/>
                    <w:bottom w:val="none" w:sz="0" w:space="0" w:color="auto"/>
                    <w:right w:val="none" w:sz="0" w:space="0" w:color="auto"/>
                  </w:divBdr>
                  <w:divsChild>
                    <w:div w:id="299499682">
                      <w:marLeft w:val="0"/>
                      <w:marRight w:val="0"/>
                      <w:marTop w:val="0"/>
                      <w:marBottom w:val="0"/>
                      <w:divBdr>
                        <w:top w:val="none" w:sz="0" w:space="0" w:color="auto"/>
                        <w:left w:val="none" w:sz="0" w:space="0" w:color="auto"/>
                        <w:bottom w:val="none" w:sz="0" w:space="0" w:color="auto"/>
                        <w:right w:val="none" w:sz="0" w:space="0" w:color="auto"/>
                      </w:divBdr>
                    </w:div>
                  </w:divsChild>
                </w:div>
                <w:div w:id="1161966234">
                  <w:marLeft w:val="0"/>
                  <w:marRight w:val="0"/>
                  <w:marTop w:val="0"/>
                  <w:marBottom w:val="0"/>
                  <w:divBdr>
                    <w:top w:val="none" w:sz="0" w:space="0" w:color="auto"/>
                    <w:left w:val="none" w:sz="0" w:space="0" w:color="auto"/>
                    <w:bottom w:val="none" w:sz="0" w:space="0" w:color="auto"/>
                    <w:right w:val="none" w:sz="0" w:space="0" w:color="auto"/>
                  </w:divBdr>
                  <w:divsChild>
                    <w:div w:id="1577352029">
                      <w:marLeft w:val="0"/>
                      <w:marRight w:val="0"/>
                      <w:marTop w:val="0"/>
                      <w:marBottom w:val="0"/>
                      <w:divBdr>
                        <w:top w:val="none" w:sz="0" w:space="0" w:color="auto"/>
                        <w:left w:val="none" w:sz="0" w:space="0" w:color="auto"/>
                        <w:bottom w:val="none" w:sz="0" w:space="0" w:color="auto"/>
                        <w:right w:val="none" w:sz="0" w:space="0" w:color="auto"/>
                      </w:divBdr>
                    </w:div>
                  </w:divsChild>
                </w:div>
                <w:div w:id="1202475665">
                  <w:marLeft w:val="0"/>
                  <w:marRight w:val="0"/>
                  <w:marTop w:val="0"/>
                  <w:marBottom w:val="0"/>
                  <w:divBdr>
                    <w:top w:val="none" w:sz="0" w:space="0" w:color="auto"/>
                    <w:left w:val="none" w:sz="0" w:space="0" w:color="auto"/>
                    <w:bottom w:val="none" w:sz="0" w:space="0" w:color="auto"/>
                    <w:right w:val="none" w:sz="0" w:space="0" w:color="auto"/>
                  </w:divBdr>
                  <w:divsChild>
                    <w:div w:id="1883439609">
                      <w:marLeft w:val="0"/>
                      <w:marRight w:val="0"/>
                      <w:marTop w:val="0"/>
                      <w:marBottom w:val="0"/>
                      <w:divBdr>
                        <w:top w:val="none" w:sz="0" w:space="0" w:color="auto"/>
                        <w:left w:val="none" w:sz="0" w:space="0" w:color="auto"/>
                        <w:bottom w:val="none" w:sz="0" w:space="0" w:color="auto"/>
                        <w:right w:val="none" w:sz="0" w:space="0" w:color="auto"/>
                      </w:divBdr>
                    </w:div>
                  </w:divsChild>
                </w:div>
                <w:div w:id="1259563597">
                  <w:marLeft w:val="0"/>
                  <w:marRight w:val="0"/>
                  <w:marTop w:val="0"/>
                  <w:marBottom w:val="0"/>
                  <w:divBdr>
                    <w:top w:val="none" w:sz="0" w:space="0" w:color="auto"/>
                    <w:left w:val="none" w:sz="0" w:space="0" w:color="auto"/>
                    <w:bottom w:val="none" w:sz="0" w:space="0" w:color="auto"/>
                    <w:right w:val="none" w:sz="0" w:space="0" w:color="auto"/>
                  </w:divBdr>
                  <w:divsChild>
                    <w:div w:id="1136802605">
                      <w:marLeft w:val="0"/>
                      <w:marRight w:val="0"/>
                      <w:marTop w:val="0"/>
                      <w:marBottom w:val="0"/>
                      <w:divBdr>
                        <w:top w:val="none" w:sz="0" w:space="0" w:color="auto"/>
                        <w:left w:val="none" w:sz="0" w:space="0" w:color="auto"/>
                        <w:bottom w:val="none" w:sz="0" w:space="0" w:color="auto"/>
                        <w:right w:val="none" w:sz="0" w:space="0" w:color="auto"/>
                      </w:divBdr>
                    </w:div>
                  </w:divsChild>
                </w:div>
                <w:div w:id="1336492250">
                  <w:marLeft w:val="0"/>
                  <w:marRight w:val="0"/>
                  <w:marTop w:val="0"/>
                  <w:marBottom w:val="0"/>
                  <w:divBdr>
                    <w:top w:val="none" w:sz="0" w:space="0" w:color="auto"/>
                    <w:left w:val="none" w:sz="0" w:space="0" w:color="auto"/>
                    <w:bottom w:val="none" w:sz="0" w:space="0" w:color="auto"/>
                    <w:right w:val="none" w:sz="0" w:space="0" w:color="auto"/>
                  </w:divBdr>
                  <w:divsChild>
                    <w:div w:id="1689527137">
                      <w:marLeft w:val="0"/>
                      <w:marRight w:val="0"/>
                      <w:marTop w:val="0"/>
                      <w:marBottom w:val="0"/>
                      <w:divBdr>
                        <w:top w:val="none" w:sz="0" w:space="0" w:color="auto"/>
                        <w:left w:val="none" w:sz="0" w:space="0" w:color="auto"/>
                        <w:bottom w:val="none" w:sz="0" w:space="0" w:color="auto"/>
                        <w:right w:val="none" w:sz="0" w:space="0" w:color="auto"/>
                      </w:divBdr>
                    </w:div>
                  </w:divsChild>
                </w:div>
                <w:div w:id="1388721206">
                  <w:marLeft w:val="0"/>
                  <w:marRight w:val="0"/>
                  <w:marTop w:val="0"/>
                  <w:marBottom w:val="0"/>
                  <w:divBdr>
                    <w:top w:val="none" w:sz="0" w:space="0" w:color="auto"/>
                    <w:left w:val="none" w:sz="0" w:space="0" w:color="auto"/>
                    <w:bottom w:val="none" w:sz="0" w:space="0" w:color="auto"/>
                    <w:right w:val="none" w:sz="0" w:space="0" w:color="auto"/>
                  </w:divBdr>
                  <w:divsChild>
                    <w:div w:id="2121995171">
                      <w:marLeft w:val="0"/>
                      <w:marRight w:val="0"/>
                      <w:marTop w:val="0"/>
                      <w:marBottom w:val="0"/>
                      <w:divBdr>
                        <w:top w:val="none" w:sz="0" w:space="0" w:color="auto"/>
                        <w:left w:val="none" w:sz="0" w:space="0" w:color="auto"/>
                        <w:bottom w:val="none" w:sz="0" w:space="0" w:color="auto"/>
                        <w:right w:val="none" w:sz="0" w:space="0" w:color="auto"/>
                      </w:divBdr>
                    </w:div>
                  </w:divsChild>
                </w:div>
                <w:div w:id="1493644942">
                  <w:marLeft w:val="0"/>
                  <w:marRight w:val="0"/>
                  <w:marTop w:val="0"/>
                  <w:marBottom w:val="0"/>
                  <w:divBdr>
                    <w:top w:val="none" w:sz="0" w:space="0" w:color="auto"/>
                    <w:left w:val="none" w:sz="0" w:space="0" w:color="auto"/>
                    <w:bottom w:val="none" w:sz="0" w:space="0" w:color="auto"/>
                    <w:right w:val="none" w:sz="0" w:space="0" w:color="auto"/>
                  </w:divBdr>
                  <w:divsChild>
                    <w:div w:id="669068520">
                      <w:marLeft w:val="0"/>
                      <w:marRight w:val="0"/>
                      <w:marTop w:val="0"/>
                      <w:marBottom w:val="0"/>
                      <w:divBdr>
                        <w:top w:val="none" w:sz="0" w:space="0" w:color="auto"/>
                        <w:left w:val="none" w:sz="0" w:space="0" w:color="auto"/>
                        <w:bottom w:val="none" w:sz="0" w:space="0" w:color="auto"/>
                        <w:right w:val="none" w:sz="0" w:space="0" w:color="auto"/>
                      </w:divBdr>
                    </w:div>
                  </w:divsChild>
                </w:div>
                <w:div w:id="1534268224">
                  <w:marLeft w:val="0"/>
                  <w:marRight w:val="0"/>
                  <w:marTop w:val="0"/>
                  <w:marBottom w:val="0"/>
                  <w:divBdr>
                    <w:top w:val="none" w:sz="0" w:space="0" w:color="auto"/>
                    <w:left w:val="none" w:sz="0" w:space="0" w:color="auto"/>
                    <w:bottom w:val="none" w:sz="0" w:space="0" w:color="auto"/>
                    <w:right w:val="none" w:sz="0" w:space="0" w:color="auto"/>
                  </w:divBdr>
                  <w:divsChild>
                    <w:div w:id="868683666">
                      <w:marLeft w:val="0"/>
                      <w:marRight w:val="0"/>
                      <w:marTop w:val="0"/>
                      <w:marBottom w:val="0"/>
                      <w:divBdr>
                        <w:top w:val="none" w:sz="0" w:space="0" w:color="auto"/>
                        <w:left w:val="none" w:sz="0" w:space="0" w:color="auto"/>
                        <w:bottom w:val="none" w:sz="0" w:space="0" w:color="auto"/>
                        <w:right w:val="none" w:sz="0" w:space="0" w:color="auto"/>
                      </w:divBdr>
                    </w:div>
                  </w:divsChild>
                </w:div>
                <w:div w:id="1550534884">
                  <w:marLeft w:val="0"/>
                  <w:marRight w:val="0"/>
                  <w:marTop w:val="0"/>
                  <w:marBottom w:val="0"/>
                  <w:divBdr>
                    <w:top w:val="none" w:sz="0" w:space="0" w:color="auto"/>
                    <w:left w:val="none" w:sz="0" w:space="0" w:color="auto"/>
                    <w:bottom w:val="none" w:sz="0" w:space="0" w:color="auto"/>
                    <w:right w:val="none" w:sz="0" w:space="0" w:color="auto"/>
                  </w:divBdr>
                  <w:divsChild>
                    <w:div w:id="1583446884">
                      <w:marLeft w:val="0"/>
                      <w:marRight w:val="0"/>
                      <w:marTop w:val="0"/>
                      <w:marBottom w:val="0"/>
                      <w:divBdr>
                        <w:top w:val="none" w:sz="0" w:space="0" w:color="auto"/>
                        <w:left w:val="none" w:sz="0" w:space="0" w:color="auto"/>
                        <w:bottom w:val="none" w:sz="0" w:space="0" w:color="auto"/>
                        <w:right w:val="none" w:sz="0" w:space="0" w:color="auto"/>
                      </w:divBdr>
                    </w:div>
                  </w:divsChild>
                </w:div>
                <w:div w:id="1564565169">
                  <w:marLeft w:val="0"/>
                  <w:marRight w:val="0"/>
                  <w:marTop w:val="0"/>
                  <w:marBottom w:val="0"/>
                  <w:divBdr>
                    <w:top w:val="none" w:sz="0" w:space="0" w:color="auto"/>
                    <w:left w:val="none" w:sz="0" w:space="0" w:color="auto"/>
                    <w:bottom w:val="none" w:sz="0" w:space="0" w:color="auto"/>
                    <w:right w:val="none" w:sz="0" w:space="0" w:color="auto"/>
                  </w:divBdr>
                  <w:divsChild>
                    <w:div w:id="930242399">
                      <w:marLeft w:val="0"/>
                      <w:marRight w:val="0"/>
                      <w:marTop w:val="0"/>
                      <w:marBottom w:val="0"/>
                      <w:divBdr>
                        <w:top w:val="none" w:sz="0" w:space="0" w:color="auto"/>
                        <w:left w:val="none" w:sz="0" w:space="0" w:color="auto"/>
                        <w:bottom w:val="none" w:sz="0" w:space="0" w:color="auto"/>
                        <w:right w:val="none" w:sz="0" w:space="0" w:color="auto"/>
                      </w:divBdr>
                    </w:div>
                  </w:divsChild>
                </w:div>
                <w:div w:id="1752923188">
                  <w:marLeft w:val="0"/>
                  <w:marRight w:val="0"/>
                  <w:marTop w:val="0"/>
                  <w:marBottom w:val="0"/>
                  <w:divBdr>
                    <w:top w:val="none" w:sz="0" w:space="0" w:color="auto"/>
                    <w:left w:val="none" w:sz="0" w:space="0" w:color="auto"/>
                    <w:bottom w:val="none" w:sz="0" w:space="0" w:color="auto"/>
                    <w:right w:val="none" w:sz="0" w:space="0" w:color="auto"/>
                  </w:divBdr>
                  <w:divsChild>
                    <w:div w:id="648632035">
                      <w:marLeft w:val="0"/>
                      <w:marRight w:val="0"/>
                      <w:marTop w:val="0"/>
                      <w:marBottom w:val="0"/>
                      <w:divBdr>
                        <w:top w:val="none" w:sz="0" w:space="0" w:color="auto"/>
                        <w:left w:val="none" w:sz="0" w:space="0" w:color="auto"/>
                        <w:bottom w:val="none" w:sz="0" w:space="0" w:color="auto"/>
                        <w:right w:val="none" w:sz="0" w:space="0" w:color="auto"/>
                      </w:divBdr>
                    </w:div>
                  </w:divsChild>
                </w:div>
                <w:div w:id="1851261967">
                  <w:marLeft w:val="0"/>
                  <w:marRight w:val="0"/>
                  <w:marTop w:val="0"/>
                  <w:marBottom w:val="0"/>
                  <w:divBdr>
                    <w:top w:val="none" w:sz="0" w:space="0" w:color="auto"/>
                    <w:left w:val="none" w:sz="0" w:space="0" w:color="auto"/>
                    <w:bottom w:val="none" w:sz="0" w:space="0" w:color="auto"/>
                    <w:right w:val="none" w:sz="0" w:space="0" w:color="auto"/>
                  </w:divBdr>
                  <w:divsChild>
                    <w:div w:id="1412891811">
                      <w:marLeft w:val="0"/>
                      <w:marRight w:val="0"/>
                      <w:marTop w:val="0"/>
                      <w:marBottom w:val="0"/>
                      <w:divBdr>
                        <w:top w:val="none" w:sz="0" w:space="0" w:color="auto"/>
                        <w:left w:val="none" w:sz="0" w:space="0" w:color="auto"/>
                        <w:bottom w:val="none" w:sz="0" w:space="0" w:color="auto"/>
                        <w:right w:val="none" w:sz="0" w:space="0" w:color="auto"/>
                      </w:divBdr>
                    </w:div>
                  </w:divsChild>
                </w:div>
                <w:div w:id="1857882709">
                  <w:marLeft w:val="0"/>
                  <w:marRight w:val="0"/>
                  <w:marTop w:val="0"/>
                  <w:marBottom w:val="0"/>
                  <w:divBdr>
                    <w:top w:val="none" w:sz="0" w:space="0" w:color="auto"/>
                    <w:left w:val="none" w:sz="0" w:space="0" w:color="auto"/>
                    <w:bottom w:val="none" w:sz="0" w:space="0" w:color="auto"/>
                    <w:right w:val="none" w:sz="0" w:space="0" w:color="auto"/>
                  </w:divBdr>
                  <w:divsChild>
                    <w:div w:id="389425775">
                      <w:marLeft w:val="0"/>
                      <w:marRight w:val="0"/>
                      <w:marTop w:val="0"/>
                      <w:marBottom w:val="0"/>
                      <w:divBdr>
                        <w:top w:val="none" w:sz="0" w:space="0" w:color="auto"/>
                        <w:left w:val="none" w:sz="0" w:space="0" w:color="auto"/>
                        <w:bottom w:val="none" w:sz="0" w:space="0" w:color="auto"/>
                        <w:right w:val="none" w:sz="0" w:space="0" w:color="auto"/>
                      </w:divBdr>
                    </w:div>
                  </w:divsChild>
                </w:div>
                <w:div w:id="1909807866">
                  <w:marLeft w:val="0"/>
                  <w:marRight w:val="0"/>
                  <w:marTop w:val="0"/>
                  <w:marBottom w:val="0"/>
                  <w:divBdr>
                    <w:top w:val="none" w:sz="0" w:space="0" w:color="auto"/>
                    <w:left w:val="none" w:sz="0" w:space="0" w:color="auto"/>
                    <w:bottom w:val="none" w:sz="0" w:space="0" w:color="auto"/>
                    <w:right w:val="none" w:sz="0" w:space="0" w:color="auto"/>
                  </w:divBdr>
                  <w:divsChild>
                    <w:div w:id="639572496">
                      <w:marLeft w:val="0"/>
                      <w:marRight w:val="0"/>
                      <w:marTop w:val="0"/>
                      <w:marBottom w:val="0"/>
                      <w:divBdr>
                        <w:top w:val="none" w:sz="0" w:space="0" w:color="auto"/>
                        <w:left w:val="none" w:sz="0" w:space="0" w:color="auto"/>
                        <w:bottom w:val="none" w:sz="0" w:space="0" w:color="auto"/>
                        <w:right w:val="none" w:sz="0" w:space="0" w:color="auto"/>
                      </w:divBdr>
                    </w:div>
                  </w:divsChild>
                </w:div>
                <w:div w:id="1960329503">
                  <w:marLeft w:val="0"/>
                  <w:marRight w:val="0"/>
                  <w:marTop w:val="0"/>
                  <w:marBottom w:val="0"/>
                  <w:divBdr>
                    <w:top w:val="none" w:sz="0" w:space="0" w:color="auto"/>
                    <w:left w:val="none" w:sz="0" w:space="0" w:color="auto"/>
                    <w:bottom w:val="none" w:sz="0" w:space="0" w:color="auto"/>
                    <w:right w:val="none" w:sz="0" w:space="0" w:color="auto"/>
                  </w:divBdr>
                  <w:divsChild>
                    <w:div w:id="604000672">
                      <w:marLeft w:val="0"/>
                      <w:marRight w:val="0"/>
                      <w:marTop w:val="0"/>
                      <w:marBottom w:val="0"/>
                      <w:divBdr>
                        <w:top w:val="none" w:sz="0" w:space="0" w:color="auto"/>
                        <w:left w:val="none" w:sz="0" w:space="0" w:color="auto"/>
                        <w:bottom w:val="none" w:sz="0" w:space="0" w:color="auto"/>
                        <w:right w:val="none" w:sz="0" w:space="0" w:color="auto"/>
                      </w:divBdr>
                    </w:div>
                  </w:divsChild>
                </w:div>
                <w:div w:id="2005086370">
                  <w:marLeft w:val="0"/>
                  <w:marRight w:val="0"/>
                  <w:marTop w:val="0"/>
                  <w:marBottom w:val="0"/>
                  <w:divBdr>
                    <w:top w:val="none" w:sz="0" w:space="0" w:color="auto"/>
                    <w:left w:val="none" w:sz="0" w:space="0" w:color="auto"/>
                    <w:bottom w:val="none" w:sz="0" w:space="0" w:color="auto"/>
                    <w:right w:val="none" w:sz="0" w:space="0" w:color="auto"/>
                  </w:divBdr>
                  <w:divsChild>
                    <w:div w:id="702173109">
                      <w:marLeft w:val="0"/>
                      <w:marRight w:val="0"/>
                      <w:marTop w:val="0"/>
                      <w:marBottom w:val="0"/>
                      <w:divBdr>
                        <w:top w:val="none" w:sz="0" w:space="0" w:color="auto"/>
                        <w:left w:val="none" w:sz="0" w:space="0" w:color="auto"/>
                        <w:bottom w:val="none" w:sz="0" w:space="0" w:color="auto"/>
                        <w:right w:val="none" w:sz="0" w:space="0" w:color="auto"/>
                      </w:divBdr>
                    </w:div>
                  </w:divsChild>
                </w:div>
                <w:div w:id="2022514373">
                  <w:marLeft w:val="0"/>
                  <w:marRight w:val="0"/>
                  <w:marTop w:val="0"/>
                  <w:marBottom w:val="0"/>
                  <w:divBdr>
                    <w:top w:val="none" w:sz="0" w:space="0" w:color="auto"/>
                    <w:left w:val="none" w:sz="0" w:space="0" w:color="auto"/>
                    <w:bottom w:val="none" w:sz="0" w:space="0" w:color="auto"/>
                    <w:right w:val="none" w:sz="0" w:space="0" w:color="auto"/>
                  </w:divBdr>
                  <w:divsChild>
                    <w:div w:id="626162219">
                      <w:marLeft w:val="0"/>
                      <w:marRight w:val="0"/>
                      <w:marTop w:val="0"/>
                      <w:marBottom w:val="0"/>
                      <w:divBdr>
                        <w:top w:val="none" w:sz="0" w:space="0" w:color="auto"/>
                        <w:left w:val="none" w:sz="0" w:space="0" w:color="auto"/>
                        <w:bottom w:val="none" w:sz="0" w:space="0" w:color="auto"/>
                        <w:right w:val="none" w:sz="0" w:space="0" w:color="auto"/>
                      </w:divBdr>
                    </w:div>
                  </w:divsChild>
                </w:div>
                <w:div w:id="2102096695">
                  <w:marLeft w:val="0"/>
                  <w:marRight w:val="0"/>
                  <w:marTop w:val="0"/>
                  <w:marBottom w:val="0"/>
                  <w:divBdr>
                    <w:top w:val="none" w:sz="0" w:space="0" w:color="auto"/>
                    <w:left w:val="none" w:sz="0" w:space="0" w:color="auto"/>
                    <w:bottom w:val="none" w:sz="0" w:space="0" w:color="auto"/>
                    <w:right w:val="none" w:sz="0" w:space="0" w:color="auto"/>
                  </w:divBdr>
                  <w:divsChild>
                    <w:div w:id="111275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2439">
          <w:marLeft w:val="0"/>
          <w:marRight w:val="0"/>
          <w:marTop w:val="0"/>
          <w:marBottom w:val="0"/>
          <w:divBdr>
            <w:top w:val="none" w:sz="0" w:space="0" w:color="auto"/>
            <w:left w:val="none" w:sz="0" w:space="0" w:color="auto"/>
            <w:bottom w:val="none" w:sz="0" w:space="0" w:color="auto"/>
            <w:right w:val="none" w:sz="0" w:space="0" w:color="auto"/>
          </w:divBdr>
        </w:div>
        <w:div w:id="267852070">
          <w:marLeft w:val="0"/>
          <w:marRight w:val="0"/>
          <w:marTop w:val="0"/>
          <w:marBottom w:val="0"/>
          <w:divBdr>
            <w:top w:val="none" w:sz="0" w:space="0" w:color="auto"/>
            <w:left w:val="none" w:sz="0" w:space="0" w:color="auto"/>
            <w:bottom w:val="none" w:sz="0" w:space="0" w:color="auto"/>
            <w:right w:val="none" w:sz="0" w:space="0" w:color="auto"/>
          </w:divBdr>
        </w:div>
        <w:div w:id="316686091">
          <w:marLeft w:val="0"/>
          <w:marRight w:val="0"/>
          <w:marTop w:val="0"/>
          <w:marBottom w:val="0"/>
          <w:divBdr>
            <w:top w:val="none" w:sz="0" w:space="0" w:color="auto"/>
            <w:left w:val="none" w:sz="0" w:space="0" w:color="auto"/>
            <w:bottom w:val="none" w:sz="0" w:space="0" w:color="auto"/>
            <w:right w:val="none" w:sz="0" w:space="0" w:color="auto"/>
          </w:divBdr>
        </w:div>
        <w:div w:id="335305539">
          <w:marLeft w:val="0"/>
          <w:marRight w:val="0"/>
          <w:marTop w:val="0"/>
          <w:marBottom w:val="0"/>
          <w:divBdr>
            <w:top w:val="none" w:sz="0" w:space="0" w:color="auto"/>
            <w:left w:val="none" w:sz="0" w:space="0" w:color="auto"/>
            <w:bottom w:val="none" w:sz="0" w:space="0" w:color="auto"/>
            <w:right w:val="none" w:sz="0" w:space="0" w:color="auto"/>
          </w:divBdr>
        </w:div>
        <w:div w:id="423451875">
          <w:marLeft w:val="0"/>
          <w:marRight w:val="0"/>
          <w:marTop w:val="0"/>
          <w:marBottom w:val="0"/>
          <w:divBdr>
            <w:top w:val="none" w:sz="0" w:space="0" w:color="auto"/>
            <w:left w:val="none" w:sz="0" w:space="0" w:color="auto"/>
            <w:bottom w:val="none" w:sz="0" w:space="0" w:color="auto"/>
            <w:right w:val="none" w:sz="0" w:space="0" w:color="auto"/>
          </w:divBdr>
        </w:div>
        <w:div w:id="427779282">
          <w:marLeft w:val="0"/>
          <w:marRight w:val="0"/>
          <w:marTop w:val="0"/>
          <w:marBottom w:val="0"/>
          <w:divBdr>
            <w:top w:val="none" w:sz="0" w:space="0" w:color="auto"/>
            <w:left w:val="none" w:sz="0" w:space="0" w:color="auto"/>
            <w:bottom w:val="none" w:sz="0" w:space="0" w:color="auto"/>
            <w:right w:val="none" w:sz="0" w:space="0" w:color="auto"/>
          </w:divBdr>
        </w:div>
        <w:div w:id="428742415">
          <w:marLeft w:val="0"/>
          <w:marRight w:val="0"/>
          <w:marTop w:val="0"/>
          <w:marBottom w:val="0"/>
          <w:divBdr>
            <w:top w:val="none" w:sz="0" w:space="0" w:color="auto"/>
            <w:left w:val="none" w:sz="0" w:space="0" w:color="auto"/>
            <w:bottom w:val="none" w:sz="0" w:space="0" w:color="auto"/>
            <w:right w:val="none" w:sz="0" w:space="0" w:color="auto"/>
          </w:divBdr>
        </w:div>
        <w:div w:id="457576424">
          <w:marLeft w:val="0"/>
          <w:marRight w:val="0"/>
          <w:marTop w:val="0"/>
          <w:marBottom w:val="0"/>
          <w:divBdr>
            <w:top w:val="none" w:sz="0" w:space="0" w:color="auto"/>
            <w:left w:val="none" w:sz="0" w:space="0" w:color="auto"/>
            <w:bottom w:val="none" w:sz="0" w:space="0" w:color="auto"/>
            <w:right w:val="none" w:sz="0" w:space="0" w:color="auto"/>
          </w:divBdr>
        </w:div>
        <w:div w:id="477840364">
          <w:marLeft w:val="0"/>
          <w:marRight w:val="0"/>
          <w:marTop w:val="0"/>
          <w:marBottom w:val="0"/>
          <w:divBdr>
            <w:top w:val="none" w:sz="0" w:space="0" w:color="auto"/>
            <w:left w:val="none" w:sz="0" w:space="0" w:color="auto"/>
            <w:bottom w:val="none" w:sz="0" w:space="0" w:color="auto"/>
            <w:right w:val="none" w:sz="0" w:space="0" w:color="auto"/>
          </w:divBdr>
        </w:div>
        <w:div w:id="478378821">
          <w:marLeft w:val="0"/>
          <w:marRight w:val="0"/>
          <w:marTop w:val="0"/>
          <w:marBottom w:val="0"/>
          <w:divBdr>
            <w:top w:val="none" w:sz="0" w:space="0" w:color="auto"/>
            <w:left w:val="none" w:sz="0" w:space="0" w:color="auto"/>
            <w:bottom w:val="none" w:sz="0" w:space="0" w:color="auto"/>
            <w:right w:val="none" w:sz="0" w:space="0" w:color="auto"/>
          </w:divBdr>
        </w:div>
        <w:div w:id="490831038">
          <w:marLeft w:val="0"/>
          <w:marRight w:val="0"/>
          <w:marTop w:val="0"/>
          <w:marBottom w:val="0"/>
          <w:divBdr>
            <w:top w:val="none" w:sz="0" w:space="0" w:color="auto"/>
            <w:left w:val="none" w:sz="0" w:space="0" w:color="auto"/>
            <w:bottom w:val="none" w:sz="0" w:space="0" w:color="auto"/>
            <w:right w:val="none" w:sz="0" w:space="0" w:color="auto"/>
          </w:divBdr>
        </w:div>
        <w:div w:id="518399257">
          <w:marLeft w:val="0"/>
          <w:marRight w:val="0"/>
          <w:marTop w:val="0"/>
          <w:marBottom w:val="0"/>
          <w:divBdr>
            <w:top w:val="none" w:sz="0" w:space="0" w:color="auto"/>
            <w:left w:val="none" w:sz="0" w:space="0" w:color="auto"/>
            <w:bottom w:val="none" w:sz="0" w:space="0" w:color="auto"/>
            <w:right w:val="none" w:sz="0" w:space="0" w:color="auto"/>
          </w:divBdr>
        </w:div>
        <w:div w:id="520247560">
          <w:marLeft w:val="0"/>
          <w:marRight w:val="0"/>
          <w:marTop w:val="0"/>
          <w:marBottom w:val="0"/>
          <w:divBdr>
            <w:top w:val="none" w:sz="0" w:space="0" w:color="auto"/>
            <w:left w:val="none" w:sz="0" w:space="0" w:color="auto"/>
            <w:bottom w:val="none" w:sz="0" w:space="0" w:color="auto"/>
            <w:right w:val="none" w:sz="0" w:space="0" w:color="auto"/>
          </w:divBdr>
        </w:div>
        <w:div w:id="536508505">
          <w:marLeft w:val="0"/>
          <w:marRight w:val="0"/>
          <w:marTop w:val="0"/>
          <w:marBottom w:val="0"/>
          <w:divBdr>
            <w:top w:val="none" w:sz="0" w:space="0" w:color="auto"/>
            <w:left w:val="none" w:sz="0" w:space="0" w:color="auto"/>
            <w:bottom w:val="none" w:sz="0" w:space="0" w:color="auto"/>
            <w:right w:val="none" w:sz="0" w:space="0" w:color="auto"/>
          </w:divBdr>
        </w:div>
        <w:div w:id="594437504">
          <w:marLeft w:val="0"/>
          <w:marRight w:val="0"/>
          <w:marTop w:val="0"/>
          <w:marBottom w:val="0"/>
          <w:divBdr>
            <w:top w:val="none" w:sz="0" w:space="0" w:color="auto"/>
            <w:left w:val="none" w:sz="0" w:space="0" w:color="auto"/>
            <w:bottom w:val="none" w:sz="0" w:space="0" w:color="auto"/>
            <w:right w:val="none" w:sz="0" w:space="0" w:color="auto"/>
          </w:divBdr>
        </w:div>
        <w:div w:id="610749268">
          <w:marLeft w:val="0"/>
          <w:marRight w:val="0"/>
          <w:marTop w:val="0"/>
          <w:marBottom w:val="0"/>
          <w:divBdr>
            <w:top w:val="none" w:sz="0" w:space="0" w:color="auto"/>
            <w:left w:val="none" w:sz="0" w:space="0" w:color="auto"/>
            <w:bottom w:val="none" w:sz="0" w:space="0" w:color="auto"/>
            <w:right w:val="none" w:sz="0" w:space="0" w:color="auto"/>
          </w:divBdr>
        </w:div>
        <w:div w:id="658653038">
          <w:marLeft w:val="0"/>
          <w:marRight w:val="0"/>
          <w:marTop w:val="0"/>
          <w:marBottom w:val="0"/>
          <w:divBdr>
            <w:top w:val="none" w:sz="0" w:space="0" w:color="auto"/>
            <w:left w:val="none" w:sz="0" w:space="0" w:color="auto"/>
            <w:bottom w:val="none" w:sz="0" w:space="0" w:color="auto"/>
            <w:right w:val="none" w:sz="0" w:space="0" w:color="auto"/>
          </w:divBdr>
        </w:div>
        <w:div w:id="664866765">
          <w:marLeft w:val="0"/>
          <w:marRight w:val="0"/>
          <w:marTop w:val="0"/>
          <w:marBottom w:val="0"/>
          <w:divBdr>
            <w:top w:val="none" w:sz="0" w:space="0" w:color="auto"/>
            <w:left w:val="none" w:sz="0" w:space="0" w:color="auto"/>
            <w:bottom w:val="none" w:sz="0" w:space="0" w:color="auto"/>
            <w:right w:val="none" w:sz="0" w:space="0" w:color="auto"/>
          </w:divBdr>
          <w:divsChild>
            <w:div w:id="1003437201">
              <w:marLeft w:val="-75"/>
              <w:marRight w:val="0"/>
              <w:marTop w:val="30"/>
              <w:marBottom w:val="30"/>
              <w:divBdr>
                <w:top w:val="none" w:sz="0" w:space="0" w:color="auto"/>
                <w:left w:val="none" w:sz="0" w:space="0" w:color="auto"/>
                <w:bottom w:val="none" w:sz="0" w:space="0" w:color="auto"/>
                <w:right w:val="none" w:sz="0" w:space="0" w:color="auto"/>
              </w:divBdr>
              <w:divsChild>
                <w:div w:id="83183785">
                  <w:marLeft w:val="0"/>
                  <w:marRight w:val="0"/>
                  <w:marTop w:val="0"/>
                  <w:marBottom w:val="0"/>
                  <w:divBdr>
                    <w:top w:val="none" w:sz="0" w:space="0" w:color="auto"/>
                    <w:left w:val="none" w:sz="0" w:space="0" w:color="auto"/>
                    <w:bottom w:val="none" w:sz="0" w:space="0" w:color="auto"/>
                    <w:right w:val="none" w:sz="0" w:space="0" w:color="auto"/>
                  </w:divBdr>
                  <w:divsChild>
                    <w:div w:id="1506940573">
                      <w:marLeft w:val="0"/>
                      <w:marRight w:val="0"/>
                      <w:marTop w:val="0"/>
                      <w:marBottom w:val="0"/>
                      <w:divBdr>
                        <w:top w:val="none" w:sz="0" w:space="0" w:color="auto"/>
                        <w:left w:val="none" w:sz="0" w:space="0" w:color="auto"/>
                        <w:bottom w:val="none" w:sz="0" w:space="0" w:color="auto"/>
                        <w:right w:val="none" w:sz="0" w:space="0" w:color="auto"/>
                      </w:divBdr>
                    </w:div>
                  </w:divsChild>
                </w:div>
                <w:div w:id="103621829">
                  <w:marLeft w:val="0"/>
                  <w:marRight w:val="0"/>
                  <w:marTop w:val="0"/>
                  <w:marBottom w:val="0"/>
                  <w:divBdr>
                    <w:top w:val="none" w:sz="0" w:space="0" w:color="auto"/>
                    <w:left w:val="none" w:sz="0" w:space="0" w:color="auto"/>
                    <w:bottom w:val="none" w:sz="0" w:space="0" w:color="auto"/>
                    <w:right w:val="none" w:sz="0" w:space="0" w:color="auto"/>
                  </w:divBdr>
                  <w:divsChild>
                    <w:div w:id="755250637">
                      <w:marLeft w:val="0"/>
                      <w:marRight w:val="0"/>
                      <w:marTop w:val="0"/>
                      <w:marBottom w:val="0"/>
                      <w:divBdr>
                        <w:top w:val="none" w:sz="0" w:space="0" w:color="auto"/>
                        <w:left w:val="none" w:sz="0" w:space="0" w:color="auto"/>
                        <w:bottom w:val="none" w:sz="0" w:space="0" w:color="auto"/>
                        <w:right w:val="none" w:sz="0" w:space="0" w:color="auto"/>
                      </w:divBdr>
                    </w:div>
                  </w:divsChild>
                </w:div>
                <w:div w:id="154735111">
                  <w:marLeft w:val="0"/>
                  <w:marRight w:val="0"/>
                  <w:marTop w:val="0"/>
                  <w:marBottom w:val="0"/>
                  <w:divBdr>
                    <w:top w:val="none" w:sz="0" w:space="0" w:color="auto"/>
                    <w:left w:val="none" w:sz="0" w:space="0" w:color="auto"/>
                    <w:bottom w:val="none" w:sz="0" w:space="0" w:color="auto"/>
                    <w:right w:val="none" w:sz="0" w:space="0" w:color="auto"/>
                  </w:divBdr>
                  <w:divsChild>
                    <w:div w:id="1557862005">
                      <w:marLeft w:val="0"/>
                      <w:marRight w:val="0"/>
                      <w:marTop w:val="0"/>
                      <w:marBottom w:val="0"/>
                      <w:divBdr>
                        <w:top w:val="none" w:sz="0" w:space="0" w:color="auto"/>
                        <w:left w:val="none" w:sz="0" w:space="0" w:color="auto"/>
                        <w:bottom w:val="none" w:sz="0" w:space="0" w:color="auto"/>
                        <w:right w:val="none" w:sz="0" w:space="0" w:color="auto"/>
                      </w:divBdr>
                    </w:div>
                  </w:divsChild>
                </w:div>
                <w:div w:id="208227357">
                  <w:marLeft w:val="0"/>
                  <w:marRight w:val="0"/>
                  <w:marTop w:val="0"/>
                  <w:marBottom w:val="0"/>
                  <w:divBdr>
                    <w:top w:val="none" w:sz="0" w:space="0" w:color="auto"/>
                    <w:left w:val="none" w:sz="0" w:space="0" w:color="auto"/>
                    <w:bottom w:val="none" w:sz="0" w:space="0" w:color="auto"/>
                    <w:right w:val="none" w:sz="0" w:space="0" w:color="auto"/>
                  </w:divBdr>
                  <w:divsChild>
                    <w:div w:id="1172768055">
                      <w:marLeft w:val="0"/>
                      <w:marRight w:val="0"/>
                      <w:marTop w:val="0"/>
                      <w:marBottom w:val="0"/>
                      <w:divBdr>
                        <w:top w:val="none" w:sz="0" w:space="0" w:color="auto"/>
                        <w:left w:val="none" w:sz="0" w:space="0" w:color="auto"/>
                        <w:bottom w:val="none" w:sz="0" w:space="0" w:color="auto"/>
                        <w:right w:val="none" w:sz="0" w:space="0" w:color="auto"/>
                      </w:divBdr>
                    </w:div>
                  </w:divsChild>
                </w:div>
                <w:div w:id="223881778">
                  <w:marLeft w:val="0"/>
                  <w:marRight w:val="0"/>
                  <w:marTop w:val="0"/>
                  <w:marBottom w:val="0"/>
                  <w:divBdr>
                    <w:top w:val="none" w:sz="0" w:space="0" w:color="auto"/>
                    <w:left w:val="none" w:sz="0" w:space="0" w:color="auto"/>
                    <w:bottom w:val="none" w:sz="0" w:space="0" w:color="auto"/>
                    <w:right w:val="none" w:sz="0" w:space="0" w:color="auto"/>
                  </w:divBdr>
                  <w:divsChild>
                    <w:div w:id="2006932290">
                      <w:marLeft w:val="0"/>
                      <w:marRight w:val="0"/>
                      <w:marTop w:val="0"/>
                      <w:marBottom w:val="0"/>
                      <w:divBdr>
                        <w:top w:val="none" w:sz="0" w:space="0" w:color="auto"/>
                        <w:left w:val="none" w:sz="0" w:space="0" w:color="auto"/>
                        <w:bottom w:val="none" w:sz="0" w:space="0" w:color="auto"/>
                        <w:right w:val="none" w:sz="0" w:space="0" w:color="auto"/>
                      </w:divBdr>
                    </w:div>
                  </w:divsChild>
                </w:div>
                <w:div w:id="245917021">
                  <w:marLeft w:val="0"/>
                  <w:marRight w:val="0"/>
                  <w:marTop w:val="0"/>
                  <w:marBottom w:val="0"/>
                  <w:divBdr>
                    <w:top w:val="none" w:sz="0" w:space="0" w:color="auto"/>
                    <w:left w:val="none" w:sz="0" w:space="0" w:color="auto"/>
                    <w:bottom w:val="none" w:sz="0" w:space="0" w:color="auto"/>
                    <w:right w:val="none" w:sz="0" w:space="0" w:color="auto"/>
                  </w:divBdr>
                  <w:divsChild>
                    <w:div w:id="1093015103">
                      <w:marLeft w:val="0"/>
                      <w:marRight w:val="0"/>
                      <w:marTop w:val="0"/>
                      <w:marBottom w:val="0"/>
                      <w:divBdr>
                        <w:top w:val="none" w:sz="0" w:space="0" w:color="auto"/>
                        <w:left w:val="none" w:sz="0" w:space="0" w:color="auto"/>
                        <w:bottom w:val="none" w:sz="0" w:space="0" w:color="auto"/>
                        <w:right w:val="none" w:sz="0" w:space="0" w:color="auto"/>
                      </w:divBdr>
                    </w:div>
                  </w:divsChild>
                </w:div>
                <w:div w:id="294026851">
                  <w:marLeft w:val="0"/>
                  <w:marRight w:val="0"/>
                  <w:marTop w:val="0"/>
                  <w:marBottom w:val="0"/>
                  <w:divBdr>
                    <w:top w:val="none" w:sz="0" w:space="0" w:color="auto"/>
                    <w:left w:val="none" w:sz="0" w:space="0" w:color="auto"/>
                    <w:bottom w:val="none" w:sz="0" w:space="0" w:color="auto"/>
                    <w:right w:val="none" w:sz="0" w:space="0" w:color="auto"/>
                  </w:divBdr>
                  <w:divsChild>
                    <w:div w:id="2066485993">
                      <w:marLeft w:val="0"/>
                      <w:marRight w:val="0"/>
                      <w:marTop w:val="0"/>
                      <w:marBottom w:val="0"/>
                      <w:divBdr>
                        <w:top w:val="none" w:sz="0" w:space="0" w:color="auto"/>
                        <w:left w:val="none" w:sz="0" w:space="0" w:color="auto"/>
                        <w:bottom w:val="none" w:sz="0" w:space="0" w:color="auto"/>
                        <w:right w:val="none" w:sz="0" w:space="0" w:color="auto"/>
                      </w:divBdr>
                    </w:div>
                  </w:divsChild>
                </w:div>
                <w:div w:id="294605940">
                  <w:marLeft w:val="0"/>
                  <w:marRight w:val="0"/>
                  <w:marTop w:val="0"/>
                  <w:marBottom w:val="0"/>
                  <w:divBdr>
                    <w:top w:val="none" w:sz="0" w:space="0" w:color="auto"/>
                    <w:left w:val="none" w:sz="0" w:space="0" w:color="auto"/>
                    <w:bottom w:val="none" w:sz="0" w:space="0" w:color="auto"/>
                    <w:right w:val="none" w:sz="0" w:space="0" w:color="auto"/>
                  </w:divBdr>
                  <w:divsChild>
                    <w:div w:id="1344437517">
                      <w:marLeft w:val="0"/>
                      <w:marRight w:val="0"/>
                      <w:marTop w:val="0"/>
                      <w:marBottom w:val="0"/>
                      <w:divBdr>
                        <w:top w:val="none" w:sz="0" w:space="0" w:color="auto"/>
                        <w:left w:val="none" w:sz="0" w:space="0" w:color="auto"/>
                        <w:bottom w:val="none" w:sz="0" w:space="0" w:color="auto"/>
                        <w:right w:val="none" w:sz="0" w:space="0" w:color="auto"/>
                      </w:divBdr>
                    </w:div>
                  </w:divsChild>
                </w:div>
                <w:div w:id="405956761">
                  <w:marLeft w:val="0"/>
                  <w:marRight w:val="0"/>
                  <w:marTop w:val="0"/>
                  <w:marBottom w:val="0"/>
                  <w:divBdr>
                    <w:top w:val="none" w:sz="0" w:space="0" w:color="auto"/>
                    <w:left w:val="none" w:sz="0" w:space="0" w:color="auto"/>
                    <w:bottom w:val="none" w:sz="0" w:space="0" w:color="auto"/>
                    <w:right w:val="none" w:sz="0" w:space="0" w:color="auto"/>
                  </w:divBdr>
                  <w:divsChild>
                    <w:div w:id="1237403036">
                      <w:marLeft w:val="0"/>
                      <w:marRight w:val="0"/>
                      <w:marTop w:val="0"/>
                      <w:marBottom w:val="0"/>
                      <w:divBdr>
                        <w:top w:val="none" w:sz="0" w:space="0" w:color="auto"/>
                        <w:left w:val="none" w:sz="0" w:space="0" w:color="auto"/>
                        <w:bottom w:val="none" w:sz="0" w:space="0" w:color="auto"/>
                        <w:right w:val="none" w:sz="0" w:space="0" w:color="auto"/>
                      </w:divBdr>
                    </w:div>
                  </w:divsChild>
                </w:div>
                <w:div w:id="466626546">
                  <w:marLeft w:val="0"/>
                  <w:marRight w:val="0"/>
                  <w:marTop w:val="0"/>
                  <w:marBottom w:val="0"/>
                  <w:divBdr>
                    <w:top w:val="none" w:sz="0" w:space="0" w:color="auto"/>
                    <w:left w:val="none" w:sz="0" w:space="0" w:color="auto"/>
                    <w:bottom w:val="none" w:sz="0" w:space="0" w:color="auto"/>
                    <w:right w:val="none" w:sz="0" w:space="0" w:color="auto"/>
                  </w:divBdr>
                  <w:divsChild>
                    <w:div w:id="889919780">
                      <w:marLeft w:val="0"/>
                      <w:marRight w:val="0"/>
                      <w:marTop w:val="0"/>
                      <w:marBottom w:val="0"/>
                      <w:divBdr>
                        <w:top w:val="none" w:sz="0" w:space="0" w:color="auto"/>
                        <w:left w:val="none" w:sz="0" w:space="0" w:color="auto"/>
                        <w:bottom w:val="none" w:sz="0" w:space="0" w:color="auto"/>
                        <w:right w:val="none" w:sz="0" w:space="0" w:color="auto"/>
                      </w:divBdr>
                    </w:div>
                  </w:divsChild>
                </w:div>
                <w:div w:id="646862801">
                  <w:marLeft w:val="0"/>
                  <w:marRight w:val="0"/>
                  <w:marTop w:val="0"/>
                  <w:marBottom w:val="0"/>
                  <w:divBdr>
                    <w:top w:val="none" w:sz="0" w:space="0" w:color="auto"/>
                    <w:left w:val="none" w:sz="0" w:space="0" w:color="auto"/>
                    <w:bottom w:val="none" w:sz="0" w:space="0" w:color="auto"/>
                    <w:right w:val="none" w:sz="0" w:space="0" w:color="auto"/>
                  </w:divBdr>
                  <w:divsChild>
                    <w:div w:id="1755932183">
                      <w:marLeft w:val="0"/>
                      <w:marRight w:val="0"/>
                      <w:marTop w:val="0"/>
                      <w:marBottom w:val="0"/>
                      <w:divBdr>
                        <w:top w:val="none" w:sz="0" w:space="0" w:color="auto"/>
                        <w:left w:val="none" w:sz="0" w:space="0" w:color="auto"/>
                        <w:bottom w:val="none" w:sz="0" w:space="0" w:color="auto"/>
                        <w:right w:val="none" w:sz="0" w:space="0" w:color="auto"/>
                      </w:divBdr>
                    </w:div>
                  </w:divsChild>
                </w:div>
                <w:div w:id="722824711">
                  <w:marLeft w:val="0"/>
                  <w:marRight w:val="0"/>
                  <w:marTop w:val="0"/>
                  <w:marBottom w:val="0"/>
                  <w:divBdr>
                    <w:top w:val="none" w:sz="0" w:space="0" w:color="auto"/>
                    <w:left w:val="none" w:sz="0" w:space="0" w:color="auto"/>
                    <w:bottom w:val="none" w:sz="0" w:space="0" w:color="auto"/>
                    <w:right w:val="none" w:sz="0" w:space="0" w:color="auto"/>
                  </w:divBdr>
                  <w:divsChild>
                    <w:div w:id="1573151989">
                      <w:marLeft w:val="0"/>
                      <w:marRight w:val="0"/>
                      <w:marTop w:val="0"/>
                      <w:marBottom w:val="0"/>
                      <w:divBdr>
                        <w:top w:val="none" w:sz="0" w:space="0" w:color="auto"/>
                        <w:left w:val="none" w:sz="0" w:space="0" w:color="auto"/>
                        <w:bottom w:val="none" w:sz="0" w:space="0" w:color="auto"/>
                        <w:right w:val="none" w:sz="0" w:space="0" w:color="auto"/>
                      </w:divBdr>
                    </w:div>
                  </w:divsChild>
                </w:div>
                <w:div w:id="761611507">
                  <w:marLeft w:val="0"/>
                  <w:marRight w:val="0"/>
                  <w:marTop w:val="0"/>
                  <w:marBottom w:val="0"/>
                  <w:divBdr>
                    <w:top w:val="none" w:sz="0" w:space="0" w:color="auto"/>
                    <w:left w:val="none" w:sz="0" w:space="0" w:color="auto"/>
                    <w:bottom w:val="none" w:sz="0" w:space="0" w:color="auto"/>
                    <w:right w:val="none" w:sz="0" w:space="0" w:color="auto"/>
                  </w:divBdr>
                  <w:divsChild>
                    <w:div w:id="329262774">
                      <w:marLeft w:val="0"/>
                      <w:marRight w:val="0"/>
                      <w:marTop w:val="0"/>
                      <w:marBottom w:val="0"/>
                      <w:divBdr>
                        <w:top w:val="none" w:sz="0" w:space="0" w:color="auto"/>
                        <w:left w:val="none" w:sz="0" w:space="0" w:color="auto"/>
                        <w:bottom w:val="none" w:sz="0" w:space="0" w:color="auto"/>
                        <w:right w:val="none" w:sz="0" w:space="0" w:color="auto"/>
                      </w:divBdr>
                    </w:div>
                  </w:divsChild>
                </w:div>
                <w:div w:id="784737020">
                  <w:marLeft w:val="0"/>
                  <w:marRight w:val="0"/>
                  <w:marTop w:val="0"/>
                  <w:marBottom w:val="0"/>
                  <w:divBdr>
                    <w:top w:val="none" w:sz="0" w:space="0" w:color="auto"/>
                    <w:left w:val="none" w:sz="0" w:space="0" w:color="auto"/>
                    <w:bottom w:val="none" w:sz="0" w:space="0" w:color="auto"/>
                    <w:right w:val="none" w:sz="0" w:space="0" w:color="auto"/>
                  </w:divBdr>
                  <w:divsChild>
                    <w:div w:id="77602933">
                      <w:marLeft w:val="0"/>
                      <w:marRight w:val="0"/>
                      <w:marTop w:val="0"/>
                      <w:marBottom w:val="0"/>
                      <w:divBdr>
                        <w:top w:val="none" w:sz="0" w:space="0" w:color="auto"/>
                        <w:left w:val="none" w:sz="0" w:space="0" w:color="auto"/>
                        <w:bottom w:val="none" w:sz="0" w:space="0" w:color="auto"/>
                        <w:right w:val="none" w:sz="0" w:space="0" w:color="auto"/>
                      </w:divBdr>
                    </w:div>
                  </w:divsChild>
                </w:div>
                <w:div w:id="859468009">
                  <w:marLeft w:val="0"/>
                  <w:marRight w:val="0"/>
                  <w:marTop w:val="0"/>
                  <w:marBottom w:val="0"/>
                  <w:divBdr>
                    <w:top w:val="none" w:sz="0" w:space="0" w:color="auto"/>
                    <w:left w:val="none" w:sz="0" w:space="0" w:color="auto"/>
                    <w:bottom w:val="none" w:sz="0" w:space="0" w:color="auto"/>
                    <w:right w:val="none" w:sz="0" w:space="0" w:color="auto"/>
                  </w:divBdr>
                  <w:divsChild>
                    <w:div w:id="1458912054">
                      <w:marLeft w:val="0"/>
                      <w:marRight w:val="0"/>
                      <w:marTop w:val="0"/>
                      <w:marBottom w:val="0"/>
                      <w:divBdr>
                        <w:top w:val="none" w:sz="0" w:space="0" w:color="auto"/>
                        <w:left w:val="none" w:sz="0" w:space="0" w:color="auto"/>
                        <w:bottom w:val="none" w:sz="0" w:space="0" w:color="auto"/>
                        <w:right w:val="none" w:sz="0" w:space="0" w:color="auto"/>
                      </w:divBdr>
                    </w:div>
                  </w:divsChild>
                </w:div>
                <w:div w:id="945161068">
                  <w:marLeft w:val="0"/>
                  <w:marRight w:val="0"/>
                  <w:marTop w:val="0"/>
                  <w:marBottom w:val="0"/>
                  <w:divBdr>
                    <w:top w:val="none" w:sz="0" w:space="0" w:color="auto"/>
                    <w:left w:val="none" w:sz="0" w:space="0" w:color="auto"/>
                    <w:bottom w:val="none" w:sz="0" w:space="0" w:color="auto"/>
                    <w:right w:val="none" w:sz="0" w:space="0" w:color="auto"/>
                  </w:divBdr>
                  <w:divsChild>
                    <w:div w:id="538861289">
                      <w:marLeft w:val="0"/>
                      <w:marRight w:val="0"/>
                      <w:marTop w:val="0"/>
                      <w:marBottom w:val="0"/>
                      <w:divBdr>
                        <w:top w:val="none" w:sz="0" w:space="0" w:color="auto"/>
                        <w:left w:val="none" w:sz="0" w:space="0" w:color="auto"/>
                        <w:bottom w:val="none" w:sz="0" w:space="0" w:color="auto"/>
                        <w:right w:val="none" w:sz="0" w:space="0" w:color="auto"/>
                      </w:divBdr>
                    </w:div>
                  </w:divsChild>
                </w:div>
                <w:div w:id="949359131">
                  <w:marLeft w:val="0"/>
                  <w:marRight w:val="0"/>
                  <w:marTop w:val="0"/>
                  <w:marBottom w:val="0"/>
                  <w:divBdr>
                    <w:top w:val="none" w:sz="0" w:space="0" w:color="auto"/>
                    <w:left w:val="none" w:sz="0" w:space="0" w:color="auto"/>
                    <w:bottom w:val="none" w:sz="0" w:space="0" w:color="auto"/>
                    <w:right w:val="none" w:sz="0" w:space="0" w:color="auto"/>
                  </w:divBdr>
                  <w:divsChild>
                    <w:div w:id="1940522609">
                      <w:marLeft w:val="0"/>
                      <w:marRight w:val="0"/>
                      <w:marTop w:val="0"/>
                      <w:marBottom w:val="0"/>
                      <w:divBdr>
                        <w:top w:val="none" w:sz="0" w:space="0" w:color="auto"/>
                        <w:left w:val="none" w:sz="0" w:space="0" w:color="auto"/>
                        <w:bottom w:val="none" w:sz="0" w:space="0" w:color="auto"/>
                        <w:right w:val="none" w:sz="0" w:space="0" w:color="auto"/>
                      </w:divBdr>
                    </w:div>
                  </w:divsChild>
                </w:div>
                <w:div w:id="983585047">
                  <w:marLeft w:val="0"/>
                  <w:marRight w:val="0"/>
                  <w:marTop w:val="0"/>
                  <w:marBottom w:val="0"/>
                  <w:divBdr>
                    <w:top w:val="none" w:sz="0" w:space="0" w:color="auto"/>
                    <w:left w:val="none" w:sz="0" w:space="0" w:color="auto"/>
                    <w:bottom w:val="none" w:sz="0" w:space="0" w:color="auto"/>
                    <w:right w:val="none" w:sz="0" w:space="0" w:color="auto"/>
                  </w:divBdr>
                  <w:divsChild>
                    <w:div w:id="1832060670">
                      <w:marLeft w:val="0"/>
                      <w:marRight w:val="0"/>
                      <w:marTop w:val="0"/>
                      <w:marBottom w:val="0"/>
                      <w:divBdr>
                        <w:top w:val="none" w:sz="0" w:space="0" w:color="auto"/>
                        <w:left w:val="none" w:sz="0" w:space="0" w:color="auto"/>
                        <w:bottom w:val="none" w:sz="0" w:space="0" w:color="auto"/>
                        <w:right w:val="none" w:sz="0" w:space="0" w:color="auto"/>
                      </w:divBdr>
                    </w:div>
                  </w:divsChild>
                </w:div>
                <w:div w:id="1001936055">
                  <w:marLeft w:val="0"/>
                  <w:marRight w:val="0"/>
                  <w:marTop w:val="0"/>
                  <w:marBottom w:val="0"/>
                  <w:divBdr>
                    <w:top w:val="none" w:sz="0" w:space="0" w:color="auto"/>
                    <w:left w:val="none" w:sz="0" w:space="0" w:color="auto"/>
                    <w:bottom w:val="none" w:sz="0" w:space="0" w:color="auto"/>
                    <w:right w:val="none" w:sz="0" w:space="0" w:color="auto"/>
                  </w:divBdr>
                  <w:divsChild>
                    <w:div w:id="1890414441">
                      <w:marLeft w:val="0"/>
                      <w:marRight w:val="0"/>
                      <w:marTop w:val="0"/>
                      <w:marBottom w:val="0"/>
                      <w:divBdr>
                        <w:top w:val="none" w:sz="0" w:space="0" w:color="auto"/>
                        <w:left w:val="none" w:sz="0" w:space="0" w:color="auto"/>
                        <w:bottom w:val="none" w:sz="0" w:space="0" w:color="auto"/>
                        <w:right w:val="none" w:sz="0" w:space="0" w:color="auto"/>
                      </w:divBdr>
                    </w:div>
                  </w:divsChild>
                </w:div>
                <w:div w:id="1050887963">
                  <w:marLeft w:val="0"/>
                  <w:marRight w:val="0"/>
                  <w:marTop w:val="0"/>
                  <w:marBottom w:val="0"/>
                  <w:divBdr>
                    <w:top w:val="none" w:sz="0" w:space="0" w:color="auto"/>
                    <w:left w:val="none" w:sz="0" w:space="0" w:color="auto"/>
                    <w:bottom w:val="none" w:sz="0" w:space="0" w:color="auto"/>
                    <w:right w:val="none" w:sz="0" w:space="0" w:color="auto"/>
                  </w:divBdr>
                  <w:divsChild>
                    <w:div w:id="1665086142">
                      <w:marLeft w:val="0"/>
                      <w:marRight w:val="0"/>
                      <w:marTop w:val="0"/>
                      <w:marBottom w:val="0"/>
                      <w:divBdr>
                        <w:top w:val="none" w:sz="0" w:space="0" w:color="auto"/>
                        <w:left w:val="none" w:sz="0" w:space="0" w:color="auto"/>
                        <w:bottom w:val="none" w:sz="0" w:space="0" w:color="auto"/>
                        <w:right w:val="none" w:sz="0" w:space="0" w:color="auto"/>
                      </w:divBdr>
                    </w:div>
                  </w:divsChild>
                </w:div>
                <w:div w:id="1156338265">
                  <w:marLeft w:val="0"/>
                  <w:marRight w:val="0"/>
                  <w:marTop w:val="0"/>
                  <w:marBottom w:val="0"/>
                  <w:divBdr>
                    <w:top w:val="none" w:sz="0" w:space="0" w:color="auto"/>
                    <w:left w:val="none" w:sz="0" w:space="0" w:color="auto"/>
                    <w:bottom w:val="none" w:sz="0" w:space="0" w:color="auto"/>
                    <w:right w:val="none" w:sz="0" w:space="0" w:color="auto"/>
                  </w:divBdr>
                  <w:divsChild>
                    <w:div w:id="1723863366">
                      <w:marLeft w:val="0"/>
                      <w:marRight w:val="0"/>
                      <w:marTop w:val="0"/>
                      <w:marBottom w:val="0"/>
                      <w:divBdr>
                        <w:top w:val="none" w:sz="0" w:space="0" w:color="auto"/>
                        <w:left w:val="none" w:sz="0" w:space="0" w:color="auto"/>
                        <w:bottom w:val="none" w:sz="0" w:space="0" w:color="auto"/>
                        <w:right w:val="none" w:sz="0" w:space="0" w:color="auto"/>
                      </w:divBdr>
                    </w:div>
                  </w:divsChild>
                </w:div>
                <w:div w:id="1242791913">
                  <w:marLeft w:val="0"/>
                  <w:marRight w:val="0"/>
                  <w:marTop w:val="0"/>
                  <w:marBottom w:val="0"/>
                  <w:divBdr>
                    <w:top w:val="none" w:sz="0" w:space="0" w:color="auto"/>
                    <w:left w:val="none" w:sz="0" w:space="0" w:color="auto"/>
                    <w:bottom w:val="none" w:sz="0" w:space="0" w:color="auto"/>
                    <w:right w:val="none" w:sz="0" w:space="0" w:color="auto"/>
                  </w:divBdr>
                  <w:divsChild>
                    <w:div w:id="1049188106">
                      <w:marLeft w:val="0"/>
                      <w:marRight w:val="0"/>
                      <w:marTop w:val="0"/>
                      <w:marBottom w:val="0"/>
                      <w:divBdr>
                        <w:top w:val="none" w:sz="0" w:space="0" w:color="auto"/>
                        <w:left w:val="none" w:sz="0" w:space="0" w:color="auto"/>
                        <w:bottom w:val="none" w:sz="0" w:space="0" w:color="auto"/>
                        <w:right w:val="none" w:sz="0" w:space="0" w:color="auto"/>
                      </w:divBdr>
                    </w:div>
                  </w:divsChild>
                </w:div>
                <w:div w:id="1245917627">
                  <w:marLeft w:val="0"/>
                  <w:marRight w:val="0"/>
                  <w:marTop w:val="0"/>
                  <w:marBottom w:val="0"/>
                  <w:divBdr>
                    <w:top w:val="none" w:sz="0" w:space="0" w:color="auto"/>
                    <w:left w:val="none" w:sz="0" w:space="0" w:color="auto"/>
                    <w:bottom w:val="none" w:sz="0" w:space="0" w:color="auto"/>
                    <w:right w:val="none" w:sz="0" w:space="0" w:color="auto"/>
                  </w:divBdr>
                  <w:divsChild>
                    <w:div w:id="1926186167">
                      <w:marLeft w:val="0"/>
                      <w:marRight w:val="0"/>
                      <w:marTop w:val="0"/>
                      <w:marBottom w:val="0"/>
                      <w:divBdr>
                        <w:top w:val="none" w:sz="0" w:space="0" w:color="auto"/>
                        <w:left w:val="none" w:sz="0" w:space="0" w:color="auto"/>
                        <w:bottom w:val="none" w:sz="0" w:space="0" w:color="auto"/>
                        <w:right w:val="none" w:sz="0" w:space="0" w:color="auto"/>
                      </w:divBdr>
                    </w:div>
                  </w:divsChild>
                </w:div>
                <w:div w:id="1310481412">
                  <w:marLeft w:val="0"/>
                  <w:marRight w:val="0"/>
                  <w:marTop w:val="0"/>
                  <w:marBottom w:val="0"/>
                  <w:divBdr>
                    <w:top w:val="none" w:sz="0" w:space="0" w:color="auto"/>
                    <w:left w:val="none" w:sz="0" w:space="0" w:color="auto"/>
                    <w:bottom w:val="none" w:sz="0" w:space="0" w:color="auto"/>
                    <w:right w:val="none" w:sz="0" w:space="0" w:color="auto"/>
                  </w:divBdr>
                  <w:divsChild>
                    <w:div w:id="944582044">
                      <w:marLeft w:val="0"/>
                      <w:marRight w:val="0"/>
                      <w:marTop w:val="0"/>
                      <w:marBottom w:val="0"/>
                      <w:divBdr>
                        <w:top w:val="none" w:sz="0" w:space="0" w:color="auto"/>
                        <w:left w:val="none" w:sz="0" w:space="0" w:color="auto"/>
                        <w:bottom w:val="none" w:sz="0" w:space="0" w:color="auto"/>
                        <w:right w:val="none" w:sz="0" w:space="0" w:color="auto"/>
                      </w:divBdr>
                    </w:div>
                  </w:divsChild>
                </w:div>
                <w:div w:id="1332025258">
                  <w:marLeft w:val="0"/>
                  <w:marRight w:val="0"/>
                  <w:marTop w:val="0"/>
                  <w:marBottom w:val="0"/>
                  <w:divBdr>
                    <w:top w:val="none" w:sz="0" w:space="0" w:color="auto"/>
                    <w:left w:val="none" w:sz="0" w:space="0" w:color="auto"/>
                    <w:bottom w:val="none" w:sz="0" w:space="0" w:color="auto"/>
                    <w:right w:val="none" w:sz="0" w:space="0" w:color="auto"/>
                  </w:divBdr>
                  <w:divsChild>
                    <w:div w:id="2097435059">
                      <w:marLeft w:val="0"/>
                      <w:marRight w:val="0"/>
                      <w:marTop w:val="0"/>
                      <w:marBottom w:val="0"/>
                      <w:divBdr>
                        <w:top w:val="none" w:sz="0" w:space="0" w:color="auto"/>
                        <w:left w:val="none" w:sz="0" w:space="0" w:color="auto"/>
                        <w:bottom w:val="none" w:sz="0" w:space="0" w:color="auto"/>
                        <w:right w:val="none" w:sz="0" w:space="0" w:color="auto"/>
                      </w:divBdr>
                    </w:div>
                  </w:divsChild>
                </w:div>
                <w:div w:id="1410152517">
                  <w:marLeft w:val="0"/>
                  <w:marRight w:val="0"/>
                  <w:marTop w:val="0"/>
                  <w:marBottom w:val="0"/>
                  <w:divBdr>
                    <w:top w:val="none" w:sz="0" w:space="0" w:color="auto"/>
                    <w:left w:val="none" w:sz="0" w:space="0" w:color="auto"/>
                    <w:bottom w:val="none" w:sz="0" w:space="0" w:color="auto"/>
                    <w:right w:val="none" w:sz="0" w:space="0" w:color="auto"/>
                  </w:divBdr>
                  <w:divsChild>
                    <w:div w:id="1023554462">
                      <w:marLeft w:val="0"/>
                      <w:marRight w:val="0"/>
                      <w:marTop w:val="0"/>
                      <w:marBottom w:val="0"/>
                      <w:divBdr>
                        <w:top w:val="none" w:sz="0" w:space="0" w:color="auto"/>
                        <w:left w:val="none" w:sz="0" w:space="0" w:color="auto"/>
                        <w:bottom w:val="none" w:sz="0" w:space="0" w:color="auto"/>
                        <w:right w:val="none" w:sz="0" w:space="0" w:color="auto"/>
                      </w:divBdr>
                    </w:div>
                  </w:divsChild>
                </w:div>
                <w:div w:id="1452166162">
                  <w:marLeft w:val="0"/>
                  <w:marRight w:val="0"/>
                  <w:marTop w:val="0"/>
                  <w:marBottom w:val="0"/>
                  <w:divBdr>
                    <w:top w:val="none" w:sz="0" w:space="0" w:color="auto"/>
                    <w:left w:val="none" w:sz="0" w:space="0" w:color="auto"/>
                    <w:bottom w:val="none" w:sz="0" w:space="0" w:color="auto"/>
                    <w:right w:val="none" w:sz="0" w:space="0" w:color="auto"/>
                  </w:divBdr>
                  <w:divsChild>
                    <w:div w:id="397898619">
                      <w:marLeft w:val="0"/>
                      <w:marRight w:val="0"/>
                      <w:marTop w:val="0"/>
                      <w:marBottom w:val="0"/>
                      <w:divBdr>
                        <w:top w:val="none" w:sz="0" w:space="0" w:color="auto"/>
                        <w:left w:val="none" w:sz="0" w:space="0" w:color="auto"/>
                        <w:bottom w:val="none" w:sz="0" w:space="0" w:color="auto"/>
                        <w:right w:val="none" w:sz="0" w:space="0" w:color="auto"/>
                      </w:divBdr>
                    </w:div>
                  </w:divsChild>
                </w:div>
                <w:div w:id="1467161281">
                  <w:marLeft w:val="0"/>
                  <w:marRight w:val="0"/>
                  <w:marTop w:val="0"/>
                  <w:marBottom w:val="0"/>
                  <w:divBdr>
                    <w:top w:val="none" w:sz="0" w:space="0" w:color="auto"/>
                    <w:left w:val="none" w:sz="0" w:space="0" w:color="auto"/>
                    <w:bottom w:val="none" w:sz="0" w:space="0" w:color="auto"/>
                    <w:right w:val="none" w:sz="0" w:space="0" w:color="auto"/>
                  </w:divBdr>
                  <w:divsChild>
                    <w:div w:id="571046376">
                      <w:marLeft w:val="0"/>
                      <w:marRight w:val="0"/>
                      <w:marTop w:val="0"/>
                      <w:marBottom w:val="0"/>
                      <w:divBdr>
                        <w:top w:val="none" w:sz="0" w:space="0" w:color="auto"/>
                        <w:left w:val="none" w:sz="0" w:space="0" w:color="auto"/>
                        <w:bottom w:val="none" w:sz="0" w:space="0" w:color="auto"/>
                        <w:right w:val="none" w:sz="0" w:space="0" w:color="auto"/>
                      </w:divBdr>
                    </w:div>
                  </w:divsChild>
                </w:div>
                <w:div w:id="1566211614">
                  <w:marLeft w:val="0"/>
                  <w:marRight w:val="0"/>
                  <w:marTop w:val="0"/>
                  <w:marBottom w:val="0"/>
                  <w:divBdr>
                    <w:top w:val="none" w:sz="0" w:space="0" w:color="auto"/>
                    <w:left w:val="none" w:sz="0" w:space="0" w:color="auto"/>
                    <w:bottom w:val="none" w:sz="0" w:space="0" w:color="auto"/>
                    <w:right w:val="none" w:sz="0" w:space="0" w:color="auto"/>
                  </w:divBdr>
                  <w:divsChild>
                    <w:div w:id="1392120018">
                      <w:marLeft w:val="0"/>
                      <w:marRight w:val="0"/>
                      <w:marTop w:val="0"/>
                      <w:marBottom w:val="0"/>
                      <w:divBdr>
                        <w:top w:val="none" w:sz="0" w:space="0" w:color="auto"/>
                        <w:left w:val="none" w:sz="0" w:space="0" w:color="auto"/>
                        <w:bottom w:val="none" w:sz="0" w:space="0" w:color="auto"/>
                        <w:right w:val="none" w:sz="0" w:space="0" w:color="auto"/>
                      </w:divBdr>
                    </w:div>
                  </w:divsChild>
                </w:div>
                <w:div w:id="1662345859">
                  <w:marLeft w:val="0"/>
                  <w:marRight w:val="0"/>
                  <w:marTop w:val="0"/>
                  <w:marBottom w:val="0"/>
                  <w:divBdr>
                    <w:top w:val="none" w:sz="0" w:space="0" w:color="auto"/>
                    <w:left w:val="none" w:sz="0" w:space="0" w:color="auto"/>
                    <w:bottom w:val="none" w:sz="0" w:space="0" w:color="auto"/>
                    <w:right w:val="none" w:sz="0" w:space="0" w:color="auto"/>
                  </w:divBdr>
                  <w:divsChild>
                    <w:div w:id="783964072">
                      <w:marLeft w:val="0"/>
                      <w:marRight w:val="0"/>
                      <w:marTop w:val="0"/>
                      <w:marBottom w:val="0"/>
                      <w:divBdr>
                        <w:top w:val="none" w:sz="0" w:space="0" w:color="auto"/>
                        <w:left w:val="none" w:sz="0" w:space="0" w:color="auto"/>
                        <w:bottom w:val="none" w:sz="0" w:space="0" w:color="auto"/>
                        <w:right w:val="none" w:sz="0" w:space="0" w:color="auto"/>
                      </w:divBdr>
                    </w:div>
                  </w:divsChild>
                </w:div>
                <w:div w:id="1671176474">
                  <w:marLeft w:val="0"/>
                  <w:marRight w:val="0"/>
                  <w:marTop w:val="0"/>
                  <w:marBottom w:val="0"/>
                  <w:divBdr>
                    <w:top w:val="none" w:sz="0" w:space="0" w:color="auto"/>
                    <w:left w:val="none" w:sz="0" w:space="0" w:color="auto"/>
                    <w:bottom w:val="none" w:sz="0" w:space="0" w:color="auto"/>
                    <w:right w:val="none" w:sz="0" w:space="0" w:color="auto"/>
                  </w:divBdr>
                  <w:divsChild>
                    <w:div w:id="1264922970">
                      <w:marLeft w:val="0"/>
                      <w:marRight w:val="0"/>
                      <w:marTop w:val="0"/>
                      <w:marBottom w:val="0"/>
                      <w:divBdr>
                        <w:top w:val="none" w:sz="0" w:space="0" w:color="auto"/>
                        <w:left w:val="none" w:sz="0" w:space="0" w:color="auto"/>
                        <w:bottom w:val="none" w:sz="0" w:space="0" w:color="auto"/>
                        <w:right w:val="none" w:sz="0" w:space="0" w:color="auto"/>
                      </w:divBdr>
                    </w:div>
                  </w:divsChild>
                </w:div>
                <w:div w:id="1673021110">
                  <w:marLeft w:val="0"/>
                  <w:marRight w:val="0"/>
                  <w:marTop w:val="0"/>
                  <w:marBottom w:val="0"/>
                  <w:divBdr>
                    <w:top w:val="none" w:sz="0" w:space="0" w:color="auto"/>
                    <w:left w:val="none" w:sz="0" w:space="0" w:color="auto"/>
                    <w:bottom w:val="none" w:sz="0" w:space="0" w:color="auto"/>
                    <w:right w:val="none" w:sz="0" w:space="0" w:color="auto"/>
                  </w:divBdr>
                  <w:divsChild>
                    <w:div w:id="1983268501">
                      <w:marLeft w:val="0"/>
                      <w:marRight w:val="0"/>
                      <w:marTop w:val="0"/>
                      <w:marBottom w:val="0"/>
                      <w:divBdr>
                        <w:top w:val="none" w:sz="0" w:space="0" w:color="auto"/>
                        <w:left w:val="none" w:sz="0" w:space="0" w:color="auto"/>
                        <w:bottom w:val="none" w:sz="0" w:space="0" w:color="auto"/>
                        <w:right w:val="none" w:sz="0" w:space="0" w:color="auto"/>
                      </w:divBdr>
                    </w:div>
                  </w:divsChild>
                </w:div>
                <w:div w:id="1713725055">
                  <w:marLeft w:val="0"/>
                  <w:marRight w:val="0"/>
                  <w:marTop w:val="0"/>
                  <w:marBottom w:val="0"/>
                  <w:divBdr>
                    <w:top w:val="none" w:sz="0" w:space="0" w:color="auto"/>
                    <w:left w:val="none" w:sz="0" w:space="0" w:color="auto"/>
                    <w:bottom w:val="none" w:sz="0" w:space="0" w:color="auto"/>
                    <w:right w:val="none" w:sz="0" w:space="0" w:color="auto"/>
                  </w:divBdr>
                  <w:divsChild>
                    <w:div w:id="733702818">
                      <w:marLeft w:val="0"/>
                      <w:marRight w:val="0"/>
                      <w:marTop w:val="0"/>
                      <w:marBottom w:val="0"/>
                      <w:divBdr>
                        <w:top w:val="none" w:sz="0" w:space="0" w:color="auto"/>
                        <w:left w:val="none" w:sz="0" w:space="0" w:color="auto"/>
                        <w:bottom w:val="none" w:sz="0" w:space="0" w:color="auto"/>
                        <w:right w:val="none" w:sz="0" w:space="0" w:color="auto"/>
                      </w:divBdr>
                    </w:div>
                  </w:divsChild>
                </w:div>
                <w:div w:id="1822304980">
                  <w:marLeft w:val="0"/>
                  <w:marRight w:val="0"/>
                  <w:marTop w:val="0"/>
                  <w:marBottom w:val="0"/>
                  <w:divBdr>
                    <w:top w:val="none" w:sz="0" w:space="0" w:color="auto"/>
                    <w:left w:val="none" w:sz="0" w:space="0" w:color="auto"/>
                    <w:bottom w:val="none" w:sz="0" w:space="0" w:color="auto"/>
                    <w:right w:val="none" w:sz="0" w:space="0" w:color="auto"/>
                  </w:divBdr>
                  <w:divsChild>
                    <w:div w:id="43412534">
                      <w:marLeft w:val="0"/>
                      <w:marRight w:val="0"/>
                      <w:marTop w:val="0"/>
                      <w:marBottom w:val="0"/>
                      <w:divBdr>
                        <w:top w:val="none" w:sz="0" w:space="0" w:color="auto"/>
                        <w:left w:val="none" w:sz="0" w:space="0" w:color="auto"/>
                        <w:bottom w:val="none" w:sz="0" w:space="0" w:color="auto"/>
                        <w:right w:val="none" w:sz="0" w:space="0" w:color="auto"/>
                      </w:divBdr>
                    </w:div>
                  </w:divsChild>
                </w:div>
                <w:div w:id="1827238500">
                  <w:marLeft w:val="0"/>
                  <w:marRight w:val="0"/>
                  <w:marTop w:val="0"/>
                  <w:marBottom w:val="0"/>
                  <w:divBdr>
                    <w:top w:val="none" w:sz="0" w:space="0" w:color="auto"/>
                    <w:left w:val="none" w:sz="0" w:space="0" w:color="auto"/>
                    <w:bottom w:val="none" w:sz="0" w:space="0" w:color="auto"/>
                    <w:right w:val="none" w:sz="0" w:space="0" w:color="auto"/>
                  </w:divBdr>
                  <w:divsChild>
                    <w:div w:id="1312632481">
                      <w:marLeft w:val="0"/>
                      <w:marRight w:val="0"/>
                      <w:marTop w:val="0"/>
                      <w:marBottom w:val="0"/>
                      <w:divBdr>
                        <w:top w:val="none" w:sz="0" w:space="0" w:color="auto"/>
                        <w:left w:val="none" w:sz="0" w:space="0" w:color="auto"/>
                        <w:bottom w:val="none" w:sz="0" w:space="0" w:color="auto"/>
                        <w:right w:val="none" w:sz="0" w:space="0" w:color="auto"/>
                      </w:divBdr>
                    </w:div>
                  </w:divsChild>
                </w:div>
                <w:div w:id="1891383439">
                  <w:marLeft w:val="0"/>
                  <w:marRight w:val="0"/>
                  <w:marTop w:val="0"/>
                  <w:marBottom w:val="0"/>
                  <w:divBdr>
                    <w:top w:val="none" w:sz="0" w:space="0" w:color="auto"/>
                    <w:left w:val="none" w:sz="0" w:space="0" w:color="auto"/>
                    <w:bottom w:val="none" w:sz="0" w:space="0" w:color="auto"/>
                    <w:right w:val="none" w:sz="0" w:space="0" w:color="auto"/>
                  </w:divBdr>
                  <w:divsChild>
                    <w:div w:id="1583760922">
                      <w:marLeft w:val="0"/>
                      <w:marRight w:val="0"/>
                      <w:marTop w:val="0"/>
                      <w:marBottom w:val="0"/>
                      <w:divBdr>
                        <w:top w:val="none" w:sz="0" w:space="0" w:color="auto"/>
                        <w:left w:val="none" w:sz="0" w:space="0" w:color="auto"/>
                        <w:bottom w:val="none" w:sz="0" w:space="0" w:color="auto"/>
                        <w:right w:val="none" w:sz="0" w:space="0" w:color="auto"/>
                      </w:divBdr>
                    </w:div>
                  </w:divsChild>
                </w:div>
                <w:div w:id="1897662277">
                  <w:marLeft w:val="0"/>
                  <w:marRight w:val="0"/>
                  <w:marTop w:val="0"/>
                  <w:marBottom w:val="0"/>
                  <w:divBdr>
                    <w:top w:val="none" w:sz="0" w:space="0" w:color="auto"/>
                    <w:left w:val="none" w:sz="0" w:space="0" w:color="auto"/>
                    <w:bottom w:val="none" w:sz="0" w:space="0" w:color="auto"/>
                    <w:right w:val="none" w:sz="0" w:space="0" w:color="auto"/>
                  </w:divBdr>
                  <w:divsChild>
                    <w:div w:id="2078939027">
                      <w:marLeft w:val="0"/>
                      <w:marRight w:val="0"/>
                      <w:marTop w:val="0"/>
                      <w:marBottom w:val="0"/>
                      <w:divBdr>
                        <w:top w:val="none" w:sz="0" w:space="0" w:color="auto"/>
                        <w:left w:val="none" w:sz="0" w:space="0" w:color="auto"/>
                        <w:bottom w:val="none" w:sz="0" w:space="0" w:color="auto"/>
                        <w:right w:val="none" w:sz="0" w:space="0" w:color="auto"/>
                      </w:divBdr>
                    </w:div>
                  </w:divsChild>
                </w:div>
                <w:div w:id="1987321948">
                  <w:marLeft w:val="0"/>
                  <w:marRight w:val="0"/>
                  <w:marTop w:val="0"/>
                  <w:marBottom w:val="0"/>
                  <w:divBdr>
                    <w:top w:val="none" w:sz="0" w:space="0" w:color="auto"/>
                    <w:left w:val="none" w:sz="0" w:space="0" w:color="auto"/>
                    <w:bottom w:val="none" w:sz="0" w:space="0" w:color="auto"/>
                    <w:right w:val="none" w:sz="0" w:space="0" w:color="auto"/>
                  </w:divBdr>
                  <w:divsChild>
                    <w:div w:id="1631134258">
                      <w:marLeft w:val="0"/>
                      <w:marRight w:val="0"/>
                      <w:marTop w:val="0"/>
                      <w:marBottom w:val="0"/>
                      <w:divBdr>
                        <w:top w:val="none" w:sz="0" w:space="0" w:color="auto"/>
                        <w:left w:val="none" w:sz="0" w:space="0" w:color="auto"/>
                        <w:bottom w:val="none" w:sz="0" w:space="0" w:color="auto"/>
                        <w:right w:val="none" w:sz="0" w:space="0" w:color="auto"/>
                      </w:divBdr>
                    </w:div>
                  </w:divsChild>
                </w:div>
                <w:div w:id="1992900074">
                  <w:marLeft w:val="0"/>
                  <w:marRight w:val="0"/>
                  <w:marTop w:val="0"/>
                  <w:marBottom w:val="0"/>
                  <w:divBdr>
                    <w:top w:val="none" w:sz="0" w:space="0" w:color="auto"/>
                    <w:left w:val="none" w:sz="0" w:space="0" w:color="auto"/>
                    <w:bottom w:val="none" w:sz="0" w:space="0" w:color="auto"/>
                    <w:right w:val="none" w:sz="0" w:space="0" w:color="auto"/>
                  </w:divBdr>
                  <w:divsChild>
                    <w:div w:id="636373000">
                      <w:marLeft w:val="0"/>
                      <w:marRight w:val="0"/>
                      <w:marTop w:val="0"/>
                      <w:marBottom w:val="0"/>
                      <w:divBdr>
                        <w:top w:val="none" w:sz="0" w:space="0" w:color="auto"/>
                        <w:left w:val="none" w:sz="0" w:space="0" w:color="auto"/>
                        <w:bottom w:val="none" w:sz="0" w:space="0" w:color="auto"/>
                        <w:right w:val="none" w:sz="0" w:space="0" w:color="auto"/>
                      </w:divBdr>
                    </w:div>
                  </w:divsChild>
                </w:div>
                <w:div w:id="2095785980">
                  <w:marLeft w:val="0"/>
                  <w:marRight w:val="0"/>
                  <w:marTop w:val="0"/>
                  <w:marBottom w:val="0"/>
                  <w:divBdr>
                    <w:top w:val="none" w:sz="0" w:space="0" w:color="auto"/>
                    <w:left w:val="none" w:sz="0" w:space="0" w:color="auto"/>
                    <w:bottom w:val="none" w:sz="0" w:space="0" w:color="auto"/>
                    <w:right w:val="none" w:sz="0" w:space="0" w:color="auto"/>
                  </w:divBdr>
                  <w:divsChild>
                    <w:div w:id="80053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846086">
          <w:marLeft w:val="0"/>
          <w:marRight w:val="0"/>
          <w:marTop w:val="0"/>
          <w:marBottom w:val="0"/>
          <w:divBdr>
            <w:top w:val="none" w:sz="0" w:space="0" w:color="auto"/>
            <w:left w:val="none" w:sz="0" w:space="0" w:color="auto"/>
            <w:bottom w:val="none" w:sz="0" w:space="0" w:color="auto"/>
            <w:right w:val="none" w:sz="0" w:space="0" w:color="auto"/>
          </w:divBdr>
          <w:divsChild>
            <w:div w:id="400713800">
              <w:marLeft w:val="-75"/>
              <w:marRight w:val="0"/>
              <w:marTop w:val="30"/>
              <w:marBottom w:val="30"/>
              <w:divBdr>
                <w:top w:val="none" w:sz="0" w:space="0" w:color="auto"/>
                <w:left w:val="none" w:sz="0" w:space="0" w:color="auto"/>
                <w:bottom w:val="none" w:sz="0" w:space="0" w:color="auto"/>
                <w:right w:val="none" w:sz="0" w:space="0" w:color="auto"/>
              </w:divBdr>
              <w:divsChild>
                <w:div w:id="125861099">
                  <w:marLeft w:val="0"/>
                  <w:marRight w:val="0"/>
                  <w:marTop w:val="0"/>
                  <w:marBottom w:val="0"/>
                  <w:divBdr>
                    <w:top w:val="none" w:sz="0" w:space="0" w:color="auto"/>
                    <w:left w:val="none" w:sz="0" w:space="0" w:color="auto"/>
                    <w:bottom w:val="none" w:sz="0" w:space="0" w:color="auto"/>
                    <w:right w:val="none" w:sz="0" w:space="0" w:color="auto"/>
                  </w:divBdr>
                  <w:divsChild>
                    <w:div w:id="1616906397">
                      <w:marLeft w:val="0"/>
                      <w:marRight w:val="0"/>
                      <w:marTop w:val="0"/>
                      <w:marBottom w:val="0"/>
                      <w:divBdr>
                        <w:top w:val="none" w:sz="0" w:space="0" w:color="auto"/>
                        <w:left w:val="none" w:sz="0" w:space="0" w:color="auto"/>
                        <w:bottom w:val="none" w:sz="0" w:space="0" w:color="auto"/>
                        <w:right w:val="none" w:sz="0" w:space="0" w:color="auto"/>
                      </w:divBdr>
                    </w:div>
                  </w:divsChild>
                </w:div>
                <w:div w:id="160199320">
                  <w:marLeft w:val="0"/>
                  <w:marRight w:val="0"/>
                  <w:marTop w:val="0"/>
                  <w:marBottom w:val="0"/>
                  <w:divBdr>
                    <w:top w:val="none" w:sz="0" w:space="0" w:color="auto"/>
                    <w:left w:val="none" w:sz="0" w:space="0" w:color="auto"/>
                    <w:bottom w:val="none" w:sz="0" w:space="0" w:color="auto"/>
                    <w:right w:val="none" w:sz="0" w:space="0" w:color="auto"/>
                  </w:divBdr>
                  <w:divsChild>
                    <w:div w:id="1756168713">
                      <w:marLeft w:val="0"/>
                      <w:marRight w:val="0"/>
                      <w:marTop w:val="0"/>
                      <w:marBottom w:val="0"/>
                      <w:divBdr>
                        <w:top w:val="none" w:sz="0" w:space="0" w:color="auto"/>
                        <w:left w:val="none" w:sz="0" w:space="0" w:color="auto"/>
                        <w:bottom w:val="none" w:sz="0" w:space="0" w:color="auto"/>
                        <w:right w:val="none" w:sz="0" w:space="0" w:color="auto"/>
                      </w:divBdr>
                    </w:div>
                  </w:divsChild>
                </w:div>
                <w:div w:id="195579443">
                  <w:marLeft w:val="0"/>
                  <w:marRight w:val="0"/>
                  <w:marTop w:val="0"/>
                  <w:marBottom w:val="0"/>
                  <w:divBdr>
                    <w:top w:val="none" w:sz="0" w:space="0" w:color="auto"/>
                    <w:left w:val="none" w:sz="0" w:space="0" w:color="auto"/>
                    <w:bottom w:val="none" w:sz="0" w:space="0" w:color="auto"/>
                    <w:right w:val="none" w:sz="0" w:space="0" w:color="auto"/>
                  </w:divBdr>
                  <w:divsChild>
                    <w:div w:id="1713726591">
                      <w:marLeft w:val="0"/>
                      <w:marRight w:val="0"/>
                      <w:marTop w:val="0"/>
                      <w:marBottom w:val="0"/>
                      <w:divBdr>
                        <w:top w:val="none" w:sz="0" w:space="0" w:color="auto"/>
                        <w:left w:val="none" w:sz="0" w:space="0" w:color="auto"/>
                        <w:bottom w:val="none" w:sz="0" w:space="0" w:color="auto"/>
                        <w:right w:val="none" w:sz="0" w:space="0" w:color="auto"/>
                      </w:divBdr>
                    </w:div>
                  </w:divsChild>
                </w:div>
                <w:div w:id="206600235">
                  <w:marLeft w:val="0"/>
                  <w:marRight w:val="0"/>
                  <w:marTop w:val="0"/>
                  <w:marBottom w:val="0"/>
                  <w:divBdr>
                    <w:top w:val="none" w:sz="0" w:space="0" w:color="auto"/>
                    <w:left w:val="none" w:sz="0" w:space="0" w:color="auto"/>
                    <w:bottom w:val="none" w:sz="0" w:space="0" w:color="auto"/>
                    <w:right w:val="none" w:sz="0" w:space="0" w:color="auto"/>
                  </w:divBdr>
                  <w:divsChild>
                    <w:div w:id="564610513">
                      <w:marLeft w:val="0"/>
                      <w:marRight w:val="0"/>
                      <w:marTop w:val="0"/>
                      <w:marBottom w:val="0"/>
                      <w:divBdr>
                        <w:top w:val="none" w:sz="0" w:space="0" w:color="auto"/>
                        <w:left w:val="none" w:sz="0" w:space="0" w:color="auto"/>
                        <w:bottom w:val="none" w:sz="0" w:space="0" w:color="auto"/>
                        <w:right w:val="none" w:sz="0" w:space="0" w:color="auto"/>
                      </w:divBdr>
                    </w:div>
                  </w:divsChild>
                </w:div>
                <w:div w:id="246621039">
                  <w:marLeft w:val="0"/>
                  <w:marRight w:val="0"/>
                  <w:marTop w:val="0"/>
                  <w:marBottom w:val="0"/>
                  <w:divBdr>
                    <w:top w:val="none" w:sz="0" w:space="0" w:color="auto"/>
                    <w:left w:val="none" w:sz="0" w:space="0" w:color="auto"/>
                    <w:bottom w:val="none" w:sz="0" w:space="0" w:color="auto"/>
                    <w:right w:val="none" w:sz="0" w:space="0" w:color="auto"/>
                  </w:divBdr>
                  <w:divsChild>
                    <w:div w:id="1603798737">
                      <w:marLeft w:val="0"/>
                      <w:marRight w:val="0"/>
                      <w:marTop w:val="0"/>
                      <w:marBottom w:val="0"/>
                      <w:divBdr>
                        <w:top w:val="none" w:sz="0" w:space="0" w:color="auto"/>
                        <w:left w:val="none" w:sz="0" w:space="0" w:color="auto"/>
                        <w:bottom w:val="none" w:sz="0" w:space="0" w:color="auto"/>
                        <w:right w:val="none" w:sz="0" w:space="0" w:color="auto"/>
                      </w:divBdr>
                    </w:div>
                  </w:divsChild>
                </w:div>
                <w:div w:id="433593010">
                  <w:marLeft w:val="0"/>
                  <w:marRight w:val="0"/>
                  <w:marTop w:val="0"/>
                  <w:marBottom w:val="0"/>
                  <w:divBdr>
                    <w:top w:val="none" w:sz="0" w:space="0" w:color="auto"/>
                    <w:left w:val="none" w:sz="0" w:space="0" w:color="auto"/>
                    <w:bottom w:val="none" w:sz="0" w:space="0" w:color="auto"/>
                    <w:right w:val="none" w:sz="0" w:space="0" w:color="auto"/>
                  </w:divBdr>
                  <w:divsChild>
                    <w:div w:id="331226835">
                      <w:marLeft w:val="0"/>
                      <w:marRight w:val="0"/>
                      <w:marTop w:val="0"/>
                      <w:marBottom w:val="0"/>
                      <w:divBdr>
                        <w:top w:val="none" w:sz="0" w:space="0" w:color="auto"/>
                        <w:left w:val="none" w:sz="0" w:space="0" w:color="auto"/>
                        <w:bottom w:val="none" w:sz="0" w:space="0" w:color="auto"/>
                        <w:right w:val="none" w:sz="0" w:space="0" w:color="auto"/>
                      </w:divBdr>
                    </w:div>
                  </w:divsChild>
                </w:div>
                <w:div w:id="493884813">
                  <w:marLeft w:val="0"/>
                  <w:marRight w:val="0"/>
                  <w:marTop w:val="0"/>
                  <w:marBottom w:val="0"/>
                  <w:divBdr>
                    <w:top w:val="none" w:sz="0" w:space="0" w:color="auto"/>
                    <w:left w:val="none" w:sz="0" w:space="0" w:color="auto"/>
                    <w:bottom w:val="none" w:sz="0" w:space="0" w:color="auto"/>
                    <w:right w:val="none" w:sz="0" w:space="0" w:color="auto"/>
                  </w:divBdr>
                  <w:divsChild>
                    <w:div w:id="1005523369">
                      <w:marLeft w:val="0"/>
                      <w:marRight w:val="0"/>
                      <w:marTop w:val="0"/>
                      <w:marBottom w:val="0"/>
                      <w:divBdr>
                        <w:top w:val="none" w:sz="0" w:space="0" w:color="auto"/>
                        <w:left w:val="none" w:sz="0" w:space="0" w:color="auto"/>
                        <w:bottom w:val="none" w:sz="0" w:space="0" w:color="auto"/>
                        <w:right w:val="none" w:sz="0" w:space="0" w:color="auto"/>
                      </w:divBdr>
                    </w:div>
                  </w:divsChild>
                </w:div>
                <w:div w:id="597643960">
                  <w:marLeft w:val="0"/>
                  <w:marRight w:val="0"/>
                  <w:marTop w:val="0"/>
                  <w:marBottom w:val="0"/>
                  <w:divBdr>
                    <w:top w:val="none" w:sz="0" w:space="0" w:color="auto"/>
                    <w:left w:val="none" w:sz="0" w:space="0" w:color="auto"/>
                    <w:bottom w:val="none" w:sz="0" w:space="0" w:color="auto"/>
                    <w:right w:val="none" w:sz="0" w:space="0" w:color="auto"/>
                  </w:divBdr>
                  <w:divsChild>
                    <w:div w:id="769279922">
                      <w:marLeft w:val="0"/>
                      <w:marRight w:val="0"/>
                      <w:marTop w:val="0"/>
                      <w:marBottom w:val="0"/>
                      <w:divBdr>
                        <w:top w:val="none" w:sz="0" w:space="0" w:color="auto"/>
                        <w:left w:val="none" w:sz="0" w:space="0" w:color="auto"/>
                        <w:bottom w:val="none" w:sz="0" w:space="0" w:color="auto"/>
                        <w:right w:val="none" w:sz="0" w:space="0" w:color="auto"/>
                      </w:divBdr>
                    </w:div>
                  </w:divsChild>
                </w:div>
                <w:div w:id="612399519">
                  <w:marLeft w:val="0"/>
                  <w:marRight w:val="0"/>
                  <w:marTop w:val="0"/>
                  <w:marBottom w:val="0"/>
                  <w:divBdr>
                    <w:top w:val="none" w:sz="0" w:space="0" w:color="auto"/>
                    <w:left w:val="none" w:sz="0" w:space="0" w:color="auto"/>
                    <w:bottom w:val="none" w:sz="0" w:space="0" w:color="auto"/>
                    <w:right w:val="none" w:sz="0" w:space="0" w:color="auto"/>
                  </w:divBdr>
                  <w:divsChild>
                    <w:div w:id="2114278380">
                      <w:marLeft w:val="0"/>
                      <w:marRight w:val="0"/>
                      <w:marTop w:val="0"/>
                      <w:marBottom w:val="0"/>
                      <w:divBdr>
                        <w:top w:val="none" w:sz="0" w:space="0" w:color="auto"/>
                        <w:left w:val="none" w:sz="0" w:space="0" w:color="auto"/>
                        <w:bottom w:val="none" w:sz="0" w:space="0" w:color="auto"/>
                        <w:right w:val="none" w:sz="0" w:space="0" w:color="auto"/>
                      </w:divBdr>
                    </w:div>
                  </w:divsChild>
                </w:div>
                <w:div w:id="833569302">
                  <w:marLeft w:val="0"/>
                  <w:marRight w:val="0"/>
                  <w:marTop w:val="0"/>
                  <w:marBottom w:val="0"/>
                  <w:divBdr>
                    <w:top w:val="none" w:sz="0" w:space="0" w:color="auto"/>
                    <w:left w:val="none" w:sz="0" w:space="0" w:color="auto"/>
                    <w:bottom w:val="none" w:sz="0" w:space="0" w:color="auto"/>
                    <w:right w:val="none" w:sz="0" w:space="0" w:color="auto"/>
                  </w:divBdr>
                  <w:divsChild>
                    <w:div w:id="132143932">
                      <w:marLeft w:val="0"/>
                      <w:marRight w:val="0"/>
                      <w:marTop w:val="0"/>
                      <w:marBottom w:val="0"/>
                      <w:divBdr>
                        <w:top w:val="none" w:sz="0" w:space="0" w:color="auto"/>
                        <w:left w:val="none" w:sz="0" w:space="0" w:color="auto"/>
                        <w:bottom w:val="none" w:sz="0" w:space="0" w:color="auto"/>
                        <w:right w:val="none" w:sz="0" w:space="0" w:color="auto"/>
                      </w:divBdr>
                    </w:div>
                  </w:divsChild>
                </w:div>
                <w:div w:id="891574280">
                  <w:marLeft w:val="0"/>
                  <w:marRight w:val="0"/>
                  <w:marTop w:val="0"/>
                  <w:marBottom w:val="0"/>
                  <w:divBdr>
                    <w:top w:val="none" w:sz="0" w:space="0" w:color="auto"/>
                    <w:left w:val="none" w:sz="0" w:space="0" w:color="auto"/>
                    <w:bottom w:val="none" w:sz="0" w:space="0" w:color="auto"/>
                    <w:right w:val="none" w:sz="0" w:space="0" w:color="auto"/>
                  </w:divBdr>
                  <w:divsChild>
                    <w:div w:id="1367750561">
                      <w:marLeft w:val="0"/>
                      <w:marRight w:val="0"/>
                      <w:marTop w:val="0"/>
                      <w:marBottom w:val="0"/>
                      <w:divBdr>
                        <w:top w:val="none" w:sz="0" w:space="0" w:color="auto"/>
                        <w:left w:val="none" w:sz="0" w:space="0" w:color="auto"/>
                        <w:bottom w:val="none" w:sz="0" w:space="0" w:color="auto"/>
                        <w:right w:val="none" w:sz="0" w:space="0" w:color="auto"/>
                      </w:divBdr>
                    </w:div>
                  </w:divsChild>
                </w:div>
                <w:div w:id="978999957">
                  <w:marLeft w:val="0"/>
                  <w:marRight w:val="0"/>
                  <w:marTop w:val="0"/>
                  <w:marBottom w:val="0"/>
                  <w:divBdr>
                    <w:top w:val="none" w:sz="0" w:space="0" w:color="auto"/>
                    <w:left w:val="none" w:sz="0" w:space="0" w:color="auto"/>
                    <w:bottom w:val="none" w:sz="0" w:space="0" w:color="auto"/>
                    <w:right w:val="none" w:sz="0" w:space="0" w:color="auto"/>
                  </w:divBdr>
                  <w:divsChild>
                    <w:div w:id="2036341787">
                      <w:marLeft w:val="0"/>
                      <w:marRight w:val="0"/>
                      <w:marTop w:val="0"/>
                      <w:marBottom w:val="0"/>
                      <w:divBdr>
                        <w:top w:val="none" w:sz="0" w:space="0" w:color="auto"/>
                        <w:left w:val="none" w:sz="0" w:space="0" w:color="auto"/>
                        <w:bottom w:val="none" w:sz="0" w:space="0" w:color="auto"/>
                        <w:right w:val="none" w:sz="0" w:space="0" w:color="auto"/>
                      </w:divBdr>
                    </w:div>
                  </w:divsChild>
                </w:div>
                <w:div w:id="1174028676">
                  <w:marLeft w:val="0"/>
                  <w:marRight w:val="0"/>
                  <w:marTop w:val="0"/>
                  <w:marBottom w:val="0"/>
                  <w:divBdr>
                    <w:top w:val="none" w:sz="0" w:space="0" w:color="auto"/>
                    <w:left w:val="none" w:sz="0" w:space="0" w:color="auto"/>
                    <w:bottom w:val="none" w:sz="0" w:space="0" w:color="auto"/>
                    <w:right w:val="none" w:sz="0" w:space="0" w:color="auto"/>
                  </w:divBdr>
                  <w:divsChild>
                    <w:div w:id="1547185377">
                      <w:marLeft w:val="0"/>
                      <w:marRight w:val="0"/>
                      <w:marTop w:val="0"/>
                      <w:marBottom w:val="0"/>
                      <w:divBdr>
                        <w:top w:val="none" w:sz="0" w:space="0" w:color="auto"/>
                        <w:left w:val="none" w:sz="0" w:space="0" w:color="auto"/>
                        <w:bottom w:val="none" w:sz="0" w:space="0" w:color="auto"/>
                        <w:right w:val="none" w:sz="0" w:space="0" w:color="auto"/>
                      </w:divBdr>
                    </w:div>
                  </w:divsChild>
                </w:div>
                <w:div w:id="1210188874">
                  <w:marLeft w:val="0"/>
                  <w:marRight w:val="0"/>
                  <w:marTop w:val="0"/>
                  <w:marBottom w:val="0"/>
                  <w:divBdr>
                    <w:top w:val="none" w:sz="0" w:space="0" w:color="auto"/>
                    <w:left w:val="none" w:sz="0" w:space="0" w:color="auto"/>
                    <w:bottom w:val="none" w:sz="0" w:space="0" w:color="auto"/>
                    <w:right w:val="none" w:sz="0" w:space="0" w:color="auto"/>
                  </w:divBdr>
                  <w:divsChild>
                    <w:div w:id="1291126976">
                      <w:marLeft w:val="0"/>
                      <w:marRight w:val="0"/>
                      <w:marTop w:val="0"/>
                      <w:marBottom w:val="0"/>
                      <w:divBdr>
                        <w:top w:val="none" w:sz="0" w:space="0" w:color="auto"/>
                        <w:left w:val="none" w:sz="0" w:space="0" w:color="auto"/>
                        <w:bottom w:val="none" w:sz="0" w:space="0" w:color="auto"/>
                        <w:right w:val="none" w:sz="0" w:space="0" w:color="auto"/>
                      </w:divBdr>
                    </w:div>
                  </w:divsChild>
                </w:div>
                <w:div w:id="1279488277">
                  <w:marLeft w:val="0"/>
                  <w:marRight w:val="0"/>
                  <w:marTop w:val="0"/>
                  <w:marBottom w:val="0"/>
                  <w:divBdr>
                    <w:top w:val="none" w:sz="0" w:space="0" w:color="auto"/>
                    <w:left w:val="none" w:sz="0" w:space="0" w:color="auto"/>
                    <w:bottom w:val="none" w:sz="0" w:space="0" w:color="auto"/>
                    <w:right w:val="none" w:sz="0" w:space="0" w:color="auto"/>
                  </w:divBdr>
                  <w:divsChild>
                    <w:div w:id="583993610">
                      <w:marLeft w:val="0"/>
                      <w:marRight w:val="0"/>
                      <w:marTop w:val="0"/>
                      <w:marBottom w:val="0"/>
                      <w:divBdr>
                        <w:top w:val="none" w:sz="0" w:space="0" w:color="auto"/>
                        <w:left w:val="none" w:sz="0" w:space="0" w:color="auto"/>
                        <w:bottom w:val="none" w:sz="0" w:space="0" w:color="auto"/>
                        <w:right w:val="none" w:sz="0" w:space="0" w:color="auto"/>
                      </w:divBdr>
                    </w:div>
                  </w:divsChild>
                </w:div>
                <w:div w:id="1279489328">
                  <w:marLeft w:val="0"/>
                  <w:marRight w:val="0"/>
                  <w:marTop w:val="0"/>
                  <w:marBottom w:val="0"/>
                  <w:divBdr>
                    <w:top w:val="none" w:sz="0" w:space="0" w:color="auto"/>
                    <w:left w:val="none" w:sz="0" w:space="0" w:color="auto"/>
                    <w:bottom w:val="none" w:sz="0" w:space="0" w:color="auto"/>
                    <w:right w:val="none" w:sz="0" w:space="0" w:color="auto"/>
                  </w:divBdr>
                  <w:divsChild>
                    <w:div w:id="1699576913">
                      <w:marLeft w:val="0"/>
                      <w:marRight w:val="0"/>
                      <w:marTop w:val="0"/>
                      <w:marBottom w:val="0"/>
                      <w:divBdr>
                        <w:top w:val="none" w:sz="0" w:space="0" w:color="auto"/>
                        <w:left w:val="none" w:sz="0" w:space="0" w:color="auto"/>
                        <w:bottom w:val="none" w:sz="0" w:space="0" w:color="auto"/>
                        <w:right w:val="none" w:sz="0" w:space="0" w:color="auto"/>
                      </w:divBdr>
                    </w:div>
                  </w:divsChild>
                </w:div>
                <w:div w:id="1404765670">
                  <w:marLeft w:val="0"/>
                  <w:marRight w:val="0"/>
                  <w:marTop w:val="0"/>
                  <w:marBottom w:val="0"/>
                  <w:divBdr>
                    <w:top w:val="none" w:sz="0" w:space="0" w:color="auto"/>
                    <w:left w:val="none" w:sz="0" w:space="0" w:color="auto"/>
                    <w:bottom w:val="none" w:sz="0" w:space="0" w:color="auto"/>
                    <w:right w:val="none" w:sz="0" w:space="0" w:color="auto"/>
                  </w:divBdr>
                  <w:divsChild>
                    <w:div w:id="603390575">
                      <w:marLeft w:val="0"/>
                      <w:marRight w:val="0"/>
                      <w:marTop w:val="0"/>
                      <w:marBottom w:val="0"/>
                      <w:divBdr>
                        <w:top w:val="none" w:sz="0" w:space="0" w:color="auto"/>
                        <w:left w:val="none" w:sz="0" w:space="0" w:color="auto"/>
                        <w:bottom w:val="none" w:sz="0" w:space="0" w:color="auto"/>
                        <w:right w:val="none" w:sz="0" w:space="0" w:color="auto"/>
                      </w:divBdr>
                    </w:div>
                  </w:divsChild>
                </w:div>
                <w:div w:id="1457332851">
                  <w:marLeft w:val="0"/>
                  <w:marRight w:val="0"/>
                  <w:marTop w:val="0"/>
                  <w:marBottom w:val="0"/>
                  <w:divBdr>
                    <w:top w:val="none" w:sz="0" w:space="0" w:color="auto"/>
                    <w:left w:val="none" w:sz="0" w:space="0" w:color="auto"/>
                    <w:bottom w:val="none" w:sz="0" w:space="0" w:color="auto"/>
                    <w:right w:val="none" w:sz="0" w:space="0" w:color="auto"/>
                  </w:divBdr>
                  <w:divsChild>
                    <w:div w:id="2082631623">
                      <w:marLeft w:val="0"/>
                      <w:marRight w:val="0"/>
                      <w:marTop w:val="0"/>
                      <w:marBottom w:val="0"/>
                      <w:divBdr>
                        <w:top w:val="none" w:sz="0" w:space="0" w:color="auto"/>
                        <w:left w:val="none" w:sz="0" w:space="0" w:color="auto"/>
                        <w:bottom w:val="none" w:sz="0" w:space="0" w:color="auto"/>
                        <w:right w:val="none" w:sz="0" w:space="0" w:color="auto"/>
                      </w:divBdr>
                    </w:div>
                  </w:divsChild>
                </w:div>
                <w:div w:id="1489395131">
                  <w:marLeft w:val="0"/>
                  <w:marRight w:val="0"/>
                  <w:marTop w:val="0"/>
                  <w:marBottom w:val="0"/>
                  <w:divBdr>
                    <w:top w:val="none" w:sz="0" w:space="0" w:color="auto"/>
                    <w:left w:val="none" w:sz="0" w:space="0" w:color="auto"/>
                    <w:bottom w:val="none" w:sz="0" w:space="0" w:color="auto"/>
                    <w:right w:val="none" w:sz="0" w:space="0" w:color="auto"/>
                  </w:divBdr>
                  <w:divsChild>
                    <w:div w:id="185217670">
                      <w:marLeft w:val="0"/>
                      <w:marRight w:val="0"/>
                      <w:marTop w:val="0"/>
                      <w:marBottom w:val="0"/>
                      <w:divBdr>
                        <w:top w:val="none" w:sz="0" w:space="0" w:color="auto"/>
                        <w:left w:val="none" w:sz="0" w:space="0" w:color="auto"/>
                        <w:bottom w:val="none" w:sz="0" w:space="0" w:color="auto"/>
                        <w:right w:val="none" w:sz="0" w:space="0" w:color="auto"/>
                      </w:divBdr>
                    </w:div>
                  </w:divsChild>
                </w:div>
                <w:div w:id="1503012496">
                  <w:marLeft w:val="0"/>
                  <w:marRight w:val="0"/>
                  <w:marTop w:val="0"/>
                  <w:marBottom w:val="0"/>
                  <w:divBdr>
                    <w:top w:val="none" w:sz="0" w:space="0" w:color="auto"/>
                    <w:left w:val="none" w:sz="0" w:space="0" w:color="auto"/>
                    <w:bottom w:val="none" w:sz="0" w:space="0" w:color="auto"/>
                    <w:right w:val="none" w:sz="0" w:space="0" w:color="auto"/>
                  </w:divBdr>
                  <w:divsChild>
                    <w:div w:id="858083806">
                      <w:marLeft w:val="0"/>
                      <w:marRight w:val="0"/>
                      <w:marTop w:val="0"/>
                      <w:marBottom w:val="0"/>
                      <w:divBdr>
                        <w:top w:val="none" w:sz="0" w:space="0" w:color="auto"/>
                        <w:left w:val="none" w:sz="0" w:space="0" w:color="auto"/>
                        <w:bottom w:val="none" w:sz="0" w:space="0" w:color="auto"/>
                        <w:right w:val="none" w:sz="0" w:space="0" w:color="auto"/>
                      </w:divBdr>
                    </w:div>
                  </w:divsChild>
                </w:div>
                <w:div w:id="1554151077">
                  <w:marLeft w:val="0"/>
                  <w:marRight w:val="0"/>
                  <w:marTop w:val="0"/>
                  <w:marBottom w:val="0"/>
                  <w:divBdr>
                    <w:top w:val="none" w:sz="0" w:space="0" w:color="auto"/>
                    <w:left w:val="none" w:sz="0" w:space="0" w:color="auto"/>
                    <w:bottom w:val="none" w:sz="0" w:space="0" w:color="auto"/>
                    <w:right w:val="none" w:sz="0" w:space="0" w:color="auto"/>
                  </w:divBdr>
                  <w:divsChild>
                    <w:div w:id="1403287703">
                      <w:marLeft w:val="0"/>
                      <w:marRight w:val="0"/>
                      <w:marTop w:val="0"/>
                      <w:marBottom w:val="0"/>
                      <w:divBdr>
                        <w:top w:val="none" w:sz="0" w:space="0" w:color="auto"/>
                        <w:left w:val="none" w:sz="0" w:space="0" w:color="auto"/>
                        <w:bottom w:val="none" w:sz="0" w:space="0" w:color="auto"/>
                        <w:right w:val="none" w:sz="0" w:space="0" w:color="auto"/>
                      </w:divBdr>
                    </w:div>
                  </w:divsChild>
                </w:div>
                <w:div w:id="1574656505">
                  <w:marLeft w:val="0"/>
                  <w:marRight w:val="0"/>
                  <w:marTop w:val="0"/>
                  <w:marBottom w:val="0"/>
                  <w:divBdr>
                    <w:top w:val="none" w:sz="0" w:space="0" w:color="auto"/>
                    <w:left w:val="none" w:sz="0" w:space="0" w:color="auto"/>
                    <w:bottom w:val="none" w:sz="0" w:space="0" w:color="auto"/>
                    <w:right w:val="none" w:sz="0" w:space="0" w:color="auto"/>
                  </w:divBdr>
                  <w:divsChild>
                    <w:div w:id="450515409">
                      <w:marLeft w:val="0"/>
                      <w:marRight w:val="0"/>
                      <w:marTop w:val="0"/>
                      <w:marBottom w:val="0"/>
                      <w:divBdr>
                        <w:top w:val="none" w:sz="0" w:space="0" w:color="auto"/>
                        <w:left w:val="none" w:sz="0" w:space="0" w:color="auto"/>
                        <w:bottom w:val="none" w:sz="0" w:space="0" w:color="auto"/>
                        <w:right w:val="none" w:sz="0" w:space="0" w:color="auto"/>
                      </w:divBdr>
                    </w:div>
                  </w:divsChild>
                </w:div>
                <w:div w:id="1580794376">
                  <w:marLeft w:val="0"/>
                  <w:marRight w:val="0"/>
                  <w:marTop w:val="0"/>
                  <w:marBottom w:val="0"/>
                  <w:divBdr>
                    <w:top w:val="none" w:sz="0" w:space="0" w:color="auto"/>
                    <w:left w:val="none" w:sz="0" w:space="0" w:color="auto"/>
                    <w:bottom w:val="none" w:sz="0" w:space="0" w:color="auto"/>
                    <w:right w:val="none" w:sz="0" w:space="0" w:color="auto"/>
                  </w:divBdr>
                  <w:divsChild>
                    <w:div w:id="1767921275">
                      <w:marLeft w:val="0"/>
                      <w:marRight w:val="0"/>
                      <w:marTop w:val="0"/>
                      <w:marBottom w:val="0"/>
                      <w:divBdr>
                        <w:top w:val="none" w:sz="0" w:space="0" w:color="auto"/>
                        <w:left w:val="none" w:sz="0" w:space="0" w:color="auto"/>
                        <w:bottom w:val="none" w:sz="0" w:space="0" w:color="auto"/>
                        <w:right w:val="none" w:sz="0" w:space="0" w:color="auto"/>
                      </w:divBdr>
                    </w:div>
                  </w:divsChild>
                </w:div>
                <w:div w:id="1638031342">
                  <w:marLeft w:val="0"/>
                  <w:marRight w:val="0"/>
                  <w:marTop w:val="0"/>
                  <w:marBottom w:val="0"/>
                  <w:divBdr>
                    <w:top w:val="none" w:sz="0" w:space="0" w:color="auto"/>
                    <w:left w:val="none" w:sz="0" w:space="0" w:color="auto"/>
                    <w:bottom w:val="none" w:sz="0" w:space="0" w:color="auto"/>
                    <w:right w:val="none" w:sz="0" w:space="0" w:color="auto"/>
                  </w:divBdr>
                  <w:divsChild>
                    <w:div w:id="434595773">
                      <w:marLeft w:val="0"/>
                      <w:marRight w:val="0"/>
                      <w:marTop w:val="0"/>
                      <w:marBottom w:val="0"/>
                      <w:divBdr>
                        <w:top w:val="none" w:sz="0" w:space="0" w:color="auto"/>
                        <w:left w:val="none" w:sz="0" w:space="0" w:color="auto"/>
                        <w:bottom w:val="none" w:sz="0" w:space="0" w:color="auto"/>
                        <w:right w:val="none" w:sz="0" w:space="0" w:color="auto"/>
                      </w:divBdr>
                    </w:div>
                  </w:divsChild>
                </w:div>
                <w:div w:id="1732851994">
                  <w:marLeft w:val="0"/>
                  <w:marRight w:val="0"/>
                  <w:marTop w:val="0"/>
                  <w:marBottom w:val="0"/>
                  <w:divBdr>
                    <w:top w:val="none" w:sz="0" w:space="0" w:color="auto"/>
                    <w:left w:val="none" w:sz="0" w:space="0" w:color="auto"/>
                    <w:bottom w:val="none" w:sz="0" w:space="0" w:color="auto"/>
                    <w:right w:val="none" w:sz="0" w:space="0" w:color="auto"/>
                  </w:divBdr>
                  <w:divsChild>
                    <w:div w:id="876039526">
                      <w:marLeft w:val="0"/>
                      <w:marRight w:val="0"/>
                      <w:marTop w:val="0"/>
                      <w:marBottom w:val="0"/>
                      <w:divBdr>
                        <w:top w:val="none" w:sz="0" w:space="0" w:color="auto"/>
                        <w:left w:val="none" w:sz="0" w:space="0" w:color="auto"/>
                        <w:bottom w:val="none" w:sz="0" w:space="0" w:color="auto"/>
                        <w:right w:val="none" w:sz="0" w:space="0" w:color="auto"/>
                      </w:divBdr>
                    </w:div>
                  </w:divsChild>
                </w:div>
                <w:div w:id="1760711432">
                  <w:marLeft w:val="0"/>
                  <w:marRight w:val="0"/>
                  <w:marTop w:val="0"/>
                  <w:marBottom w:val="0"/>
                  <w:divBdr>
                    <w:top w:val="none" w:sz="0" w:space="0" w:color="auto"/>
                    <w:left w:val="none" w:sz="0" w:space="0" w:color="auto"/>
                    <w:bottom w:val="none" w:sz="0" w:space="0" w:color="auto"/>
                    <w:right w:val="none" w:sz="0" w:space="0" w:color="auto"/>
                  </w:divBdr>
                  <w:divsChild>
                    <w:div w:id="1864778342">
                      <w:marLeft w:val="0"/>
                      <w:marRight w:val="0"/>
                      <w:marTop w:val="0"/>
                      <w:marBottom w:val="0"/>
                      <w:divBdr>
                        <w:top w:val="none" w:sz="0" w:space="0" w:color="auto"/>
                        <w:left w:val="none" w:sz="0" w:space="0" w:color="auto"/>
                        <w:bottom w:val="none" w:sz="0" w:space="0" w:color="auto"/>
                        <w:right w:val="none" w:sz="0" w:space="0" w:color="auto"/>
                      </w:divBdr>
                    </w:div>
                  </w:divsChild>
                </w:div>
                <w:div w:id="1767338776">
                  <w:marLeft w:val="0"/>
                  <w:marRight w:val="0"/>
                  <w:marTop w:val="0"/>
                  <w:marBottom w:val="0"/>
                  <w:divBdr>
                    <w:top w:val="none" w:sz="0" w:space="0" w:color="auto"/>
                    <w:left w:val="none" w:sz="0" w:space="0" w:color="auto"/>
                    <w:bottom w:val="none" w:sz="0" w:space="0" w:color="auto"/>
                    <w:right w:val="none" w:sz="0" w:space="0" w:color="auto"/>
                  </w:divBdr>
                  <w:divsChild>
                    <w:div w:id="1689984331">
                      <w:marLeft w:val="0"/>
                      <w:marRight w:val="0"/>
                      <w:marTop w:val="0"/>
                      <w:marBottom w:val="0"/>
                      <w:divBdr>
                        <w:top w:val="none" w:sz="0" w:space="0" w:color="auto"/>
                        <w:left w:val="none" w:sz="0" w:space="0" w:color="auto"/>
                        <w:bottom w:val="none" w:sz="0" w:space="0" w:color="auto"/>
                        <w:right w:val="none" w:sz="0" w:space="0" w:color="auto"/>
                      </w:divBdr>
                    </w:div>
                  </w:divsChild>
                </w:div>
                <w:div w:id="1801729026">
                  <w:marLeft w:val="0"/>
                  <w:marRight w:val="0"/>
                  <w:marTop w:val="0"/>
                  <w:marBottom w:val="0"/>
                  <w:divBdr>
                    <w:top w:val="none" w:sz="0" w:space="0" w:color="auto"/>
                    <w:left w:val="none" w:sz="0" w:space="0" w:color="auto"/>
                    <w:bottom w:val="none" w:sz="0" w:space="0" w:color="auto"/>
                    <w:right w:val="none" w:sz="0" w:space="0" w:color="auto"/>
                  </w:divBdr>
                  <w:divsChild>
                    <w:div w:id="1336345519">
                      <w:marLeft w:val="0"/>
                      <w:marRight w:val="0"/>
                      <w:marTop w:val="0"/>
                      <w:marBottom w:val="0"/>
                      <w:divBdr>
                        <w:top w:val="none" w:sz="0" w:space="0" w:color="auto"/>
                        <w:left w:val="none" w:sz="0" w:space="0" w:color="auto"/>
                        <w:bottom w:val="none" w:sz="0" w:space="0" w:color="auto"/>
                        <w:right w:val="none" w:sz="0" w:space="0" w:color="auto"/>
                      </w:divBdr>
                    </w:div>
                  </w:divsChild>
                </w:div>
                <w:div w:id="1818262252">
                  <w:marLeft w:val="0"/>
                  <w:marRight w:val="0"/>
                  <w:marTop w:val="0"/>
                  <w:marBottom w:val="0"/>
                  <w:divBdr>
                    <w:top w:val="none" w:sz="0" w:space="0" w:color="auto"/>
                    <w:left w:val="none" w:sz="0" w:space="0" w:color="auto"/>
                    <w:bottom w:val="none" w:sz="0" w:space="0" w:color="auto"/>
                    <w:right w:val="none" w:sz="0" w:space="0" w:color="auto"/>
                  </w:divBdr>
                  <w:divsChild>
                    <w:div w:id="1094475298">
                      <w:marLeft w:val="0"/>
                      <w:marRight w:val="0"/>
                      <w:marTop w:val="0"/>
                      <w:marBottom w:val="0"/>
                      <w:divBdr>
                        <w:top w:val="none" w:sz="0" w:space="0" w:color="auto"/>
                        <w:left w:val="none" w:sz="0" w:space="0" w:color="auto"/>
                        <w:bottom w:val="none" w:sz="0" w:space="0" w:color="auto"/>
                        <w:right w:val="none" w:sz="0" w:space="0" w:color="auto"/>
                      </w:divBdr>
                    </w:div>
                  </w:divsChild>
                </w:div>
                <w:div w:id="1821145809">
                  <w:marLeft w:val="0"/>
                  <w:marRight w:val="0"/>
                  <w:marTop w:val="0"/>
                  <w:marBottom w:val="0"/>
                  <w:divBdr>
                    <w:top w:val="none" w:sz="0" w:space="0" w:color="auto"/>
                    <w:left w:val="none" w:sz="0" w:space="0" w:color="auto"/>
                    <w:bottom w:val="none" w:sz="0" w:space="0" w:color="auto"/>
                    <w:right w:val="none" w:sz="0" w:space="0" w:color="auto"/>
                  </w:divBdr>
                  <w:divsChild>
                    <w:div w:id="2082093029">
                      <w:marLeft w:val="0"/>
                      <w:marRight w:val="0"/>
                      <w:marTop w:val="0"/>
                      <w:marBottom w:val="0"/>
                      <w:divBdr>
                        <w:top w:val="none" w:sz="0" w:space="0" w:color="auto"/>
                        <w:left w:val="none" w:sz="0" w:space="0" w:color="auto"/>
                        <w:bottom w:val="none" w:sz="0" w:space="0" w:color="auto"/>
                        <w:right w:val="none" w:sz="0" w:space="0" w:color="auto"/>
                      </w:divBdr>
                    </w:div>
                  </w:divsChild>
                </w:div>
                <w:div w:id="1845708556">
                  <w:marLeft w:val="0"/>
                  <w:marRight w:val="0"/>
                  <w:marTop w:val="0"/>
                  <w:marBottom w:val="0"/>
                  <w:divBdr>
                    <w:top w:val="none" w:sz="0" w:space="0" w:color="auto"/>
                    <w:left w:val="none" w:sz="0" w:space="0" w:color="auto"/>
                    <w:bottom w:val="none" w:sz="0" w:space="0" w:color="auto"/>
                    <w:right w:val="none" w:sz="0" w:space="0" w:color="auto"/>
                  </w:divBdr>
                  <w:divsChild>
                    <w:div w:id="1882814802">
                      <w:marLeft w:val="0"/>
                      <w:marRight w:val="0"/>
                      <w:marTop w:val="0"/>
                      <w:marBottom w:val="0"/>
                      <w:divBdr>
                        <w:top w:val="none" w:sz="0" w:space="0" w:color="auto"/>
                        <w:left w:val="none" w:sz="0" w:space="0" w:color="auto"/>
                        <w:bottom w:val="none" w:sz="0" w:space="0" w:color="auto"/>
                        <w:right w:val="none" w:sz="0" w:space="0" w:color="auto"/>
                      </w:divBdr>
                    </w:div>
                  </w:divsChild>
                </w:div>
                <w:div w:id="1857881406">
                  <w:marLeft w:val="0"/>
                  <w:marRight w:val="0"/>
                  <w:marTop w:val="0"/>
                  <w:marBottom w:val="0"/>
                  <w:divBdr>
                    <w:top w:val="none" w:sz="0" w:space="0" w:color="auto"/>
                    <w:left w:val="none" w:sz="0" w:space="0" w:color="auto"/>
                    <w:bottom w:val="none" w:sz="0" w:space="0" w:color="auto"/>
                    <w:right w:val="none" w:sz="0" w:space="0" w:color="auto"/>
                  </w:divBdr>
                  <w:divsChild>
                    <w:div w:id="1115637237">
                      <w:marLeft w:val="0"/>
                      <w:marRight w:val="0"/>
                      <w:marTop w:val="0"/>
                      <w:marBottom w:val="0"/>
                      <w:divBdr>
                        <w:top w:val="none" w:sz="0" w:space="0" w:color="auto"/>
                        <w:left w:val="none" w:sz="0" w:space="0" w:color="auto"/>
                        <w:bottom w:val="none" w:sz="0" w:space="0" w:color="auto"/>
                        <w:right w:val="none" w:sz="0" w:space="0" w:color="auto"/>
                      </w:divBdr>
                    </w:div>
                  </w:divsChild>
                </w:div>
                <w:div w:id="1978337820">
                  <w:marLeft w:val="0"/>
                  <w:marRight w:val="0"/>
                  <w:marTop w:val="0"/>
                  <w:marBottom w:val="0"/>
                  <w:divBdr>
                    <w:top w:val="none" w:sz="0" w:space="0" w:color="auto"/>
                    <w:left w:val="none" w:sz="0" w:space="0" w:color="auto"/>
                    <w:bottom w:val="none" w:sz="0" w:space="0" w:color="auto"/>
                    <w:right w:val="none" w:sz="0" w:space="0" w:color="auto"/>
                  </w:divBdr>
                  <w:divsChild>
                    <w:div w:id="112311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88250">
          <w:marLeft w:val="0"/>
          <w:marRight w:val="0"/>
          <w:marTop w:val="0"/>
          <w:marBottom w:val="0"/>
          <w:divBdr>
            <w:top w:val="none" w:sz="0" w:space="0" w:color="auto"/>
            <w:left w:val="none" w:sz="0" w:space="0" w:color="auto"/>
            <w:bottom w:val="none" w:sz="0" w:space="0" w:color="auto"/>
            <w:right w:val="none" w:sz="0" w:space="0" w:color="auto"/>
          </w:divBdr>
        </w:div>
        <w:div w:id="719522431">
          <w:marLeft w:val="0"/>
          <w:marRight w:val="0"/>
          <w:marTop w:val="0"/>
          <w:marBottom w:val="0"/>
          <w:divBdr>
            <w:top w:val="none" w:sz="0" w:space="0" w:color="auto"/>
            <w:left w:val="none" w:sz="0" w:space="0" w:color="auto"/>
            <w:bottom w:val="none" w:sz="0" w:space="0" w:color="auto"/>
            <w:right w:val="none" w:sz="0" w:space="0" w:color="auto"/>
          </w:divBdr>
        </w:div>
        <w:div w:id="744844466">
          <w:marLeft w:val="0"/>
          <w:marRight w:val="0"/>
          <w:marTop w:val="0"/>
          <w:marBottom w:val="0"/>
          <w:divBdr>
            <w:top w:val="none" w:sz="0" w:space="0" w:color="auto"/>
            <w:left w:val="none" w:sz="0" w:space="0" w:color="auto"/>
            <w:bottom w:val="none" w:sz="0" w:space="0" w:color="auto"/>
            <w:right w:val="none" w:sz="0" w:space="0" w:color="auto"/>
          </w:divBdr>
        </w:div>
        <w:div w:id="798688108">
          <w:marLeft w:val="0"/>
          <w:marRight w:val="0"/>
          <w:marTop w:val="0"/>
          <w:marBottom w:val="0"/>
          <w:divBdr>
            <w:top w:val="none" w:sz="0" w:space="0" w:color="auto"/>
            <w:left w:val="none" w:sz="0" w:space="0" w:color="auto"/>
            <w:bottom w:val="none" w:sz="0" w:space="0" w:color="auto"/>
            <w:right w:val="none" w:sz="0" w:space="0" w:color="auto"/>
          </w:divBdr>
        </w:div>
        <w:div w:id="807864173">
          <w:marLeft w:val="0"/>
          <w:marRight w:val="0"/>
          <w:marTop w:val="0"/>
          <w:marBottom w:val="0"/>
          <w:divBdr>
            <w:top w:val="none" w:sz="0" w:space="0" w:color="auto"/>
            <w:left w:val="none" w:sz="0" w:space="0" w:color="auto"/>
            <w:bottom w:val="none" w:sz="0" w:space="0" w:color="auto"/>
            <w:right w:val="none" w:sz="0" w:space="0" w:color="auto"/>
          </w:divBdr>
        </w:div>
        <w:div w:id="812454570">
          <w:marLeft w:val="0"/>
          <w:marRight w:val="0"/>
          <w:marTop w:val="0"/>
          <w:marBottom w:val="0"/>
          <w:divBdr>
            <w:top w:val="none" w:sz="0" w:space="0" w:color="auto"/>
            <w:left w:val="none" w:sz="0" w:space="0" w:color="auto"/>
            <w:bottom w:val="none" w:sz="0" w:space="0" w:color="auto"/>
            <w:right w:val="none" w:sz="0" w:space="0" w:color="auto"/>
          </w:divBdr>
        </w:div>
        <w:div w:id="821393150">
          <w:marLeft w:val="0"/>
          <w:marRight w:val="0"/>
          <w:marTop w:val="0"/>
          <w:marBottom w:val="0"/>
          <w:divBdr>
            <w:top w:val="none" w:sz="0" w:space="0" w:color="auto"/>
            <w:left w:val="none" w:sz="0" w:space="0" w:color="auto"/>
            <w:bottom w:val="none" w:sz="0" w:space="0" w:color="auto"/>
            <w:right w:val="none" w:sz="0" w:space="0" w:color="auto"/>
          </w:divBdr>
        </w:div>
        <w:div w:id="821888426">
          <w:marLeft w:val="0"/>
          <w:marRight w:val="0"/>
          <w:marTop w:val="0"/>
          <w:marBottom w:val="0"/>
          <w:divBdr>
            <w:top w:val="none" w:sz="0" w:space="0" w:color="auto"/>
            <w:left w:val="none" w:sz="0" w:space="0" w:color="auto"/>
            <w:bottom w:val="none" w:sz="0" w:space="0" w:color="auto"/>
            <w:right w:val="none" w:sz="0" w:space="0" w:color="auto"/>
          </w:divBdr>
        </w:div>
        <w:div w:id="844052805">
          <w:marLeft w:val="0"/>
          <w:marRight w:val="0"/>
          <w:marTop w:val="0"/>
          <w:marBottom w:val="0"/>
          <w:divBdr>
            <w:top w:val="none" w:sz="0" w:space="0" w:color="auto"/>
            <w:left w:val="none" w:sz="0" w:space="0" w:color="auto"/>
            <w:bottom w:val="none" w:sz="0" w:space="0" w:color="auto"/>
            <w:right w:val="none" w:sz="0" w:space="0" w:color="auto"/>
          </w:divBdr>
        </w:div>
        <w:div w:id="846557742">
          <w:marLeft w:val="0"/>
          <w:marRight w:val="0"/>
          <w:marTop w:val="0"/>
          <w:marBottom w:val="0"/>
          <w:divBdr>
            <w:top w:val="none" w:sz="0" w:space="0" w:color="auto"/>
            <w:left w:val="none" w:sz="0" w:space="0" w:color="auto"/>
            <w:bottom w:val="none" w:sz="0" w:space="0" w:color="auto"/>
            <w:right w:val="none" w:sz="0" w:space="0" w:color="auto"/>
          </w:divBdr>
        </w:div>
        <w:div w:id="859708134">
          <w:marLeft w:val="0"/>
          <w:marRight w:val="0"/>
          <w:marTop w:val="0"/>
          <w:marBottom w:val="0"/>
          <w:divBdr>
            <w:top w:val="none" w:sz="0" w:space="0" w:color="auto"/>
            <w:left w:val="none" w:sz="0" w:space="0" w:color="auto"/>
            <w:bottom w:val="none" w:sz="0" w:space="0" w:color="auto"/>
            <w:right w:val="none" w:sz="0" w:space="0" w:color="auto"/>
          </w:divBdr>
        </w:div>
        <w:div w:id="875048720">
          <w:marLeft w:val="0"/>
          <w:marRight w:val="0"/>
          <w:marTop w:val="0"/>
          <w:marBottom w:val="0"/>
          <w:divBdr>
            <w:top w:val="none" w:sz="0" w:space="0" w:color="auto"/>
            <w:left w:val="none" w:sz="0" w:space="0" w:color="auto"/>
            <w:bottom w:val="none" w:sz="0" w:space="0" w:color="auto"/>
            <w:right w:val="none" w:sz="0" w:space="0" w:color="auto"/>
          </w:divBdr>
        </w:div>
        <w:div w:id="875892817">
          <w:marLeft w:val="0"/>
          <w:marRight w:val="0"/>
          <w:marTop w:val="0"/>
          <w:marBottom w:val="0"/>
          <w:divBdr>
            <w:top w:val="none" w:sz="0" w:space="0" w:color="auto"/>
            <w:left w:val="none" w:sz="0" w:space="0" w:color="auto"/>
            <w:bottom w:val="none" w:sz="0" w:space="0" w:color="auto"/>
            <w:right w:val="none" w:sz="0" w:space="0" w:color="auto"/>
          </w:divBdr>
        </w:div>
        <w:div w:id="898788693">
          <w:marLeft w:val="0"/>
          <w:marRight w:val="0"/>
          <w:marTop w:val="0"/>
          <w:marBottom w:val="0"/>
          <w:divBdr>
            <w:top w:val="none" w:sz="0" w:space="0" w:color="auto"/>
            <w:left w:val="none" w:sz="0" w:space="0" w:color="auto"/>
            <w:bottom w:val="none" w:sz="0" w:space="0" w:color="auto"/>
            <w:right w:val="none" w:sz="0" w:space="0" w:color="auto"/>
          </w:divBdr>
        </w:div>
        <w:div w:id="906455072">
          <w:marLeft w:val="0"/>
          <w:marRight w:val="0"/>
          <w:marTop w:val="0"/>
          <w:marBottom w:val="0"/>
          <w:divBdr>
            <w:top w:val="none" w:sz="0" w:space="0" w:color="auto"/>
            <w:left w:val="none" w:sz="0" w:space="0" w:color="auto"/>
            <w:bottom w:val="none" w:sz="0" w:space="0" w:color="auto"/>
            <w:right w:val="none" w:sz="0" w:space="0" w:color="auto"/>
          </w:divBdr>
        </w:div>
        <w:div w:id="946693619">
          <w:marLeft w:val="0"/>
          <w:marRight w:val="0"/>
          <w:marTop w:val="0"/>
          <w:marBottom w:val="0"/>
          <w:divBdr>
            <w:top w:val="none" w:sz="0" w:space="0" w:color="auto"/>
            <w:left w:val="none" w:sz="0" w:space="0" w:color="auto"/>
            <w:bottom w:val="none" w:sz="0" w:space="0" w:color="auto"/>
            <w:right w:val="none" w:sz="0" w:space="0" w:color="auto"/>
          </w:divBdr>
        </w:div>
        <w:div w:id="965506771">
          <w:marLeft w:val="0"/>
          <w:marRight w:val="0"/>
          <w:marTop w:val="0"/>
          <w:marBottom w:val="0"/>
          <w:divBdr>
            <w:top w:val="none" w:sz="0" w:space="0" w:color="auto"/>
            <w:left w:val="none" w:sz="0" w:space="0" w:color="auto"/>
            <w:bottom w:val="none" w:sz="0" w:space="0" w:color="auto"/>
            <w:right w:val="none" w:sz="0" w:space="0" w:color="auto"/>
          </w:divBdr>
        </w:div>
        <w:div w:id="1067728765">
          <w:marLeft w:val="0"/>
          <w:marRight w:val="0"/>
          <w:marTop w:val="0"/>
          <w:marBottom w:val="0"/>
          <w:divBdr>
            <w:top w:val="none" w:sz="0" w:space="0" w:color="auto"/>
            <w:left w:val="none" w:sz="0" w:space="0" w:color="auto"/>
            <w:bottom w:val="none" w:sz="0" w:space="0" w:color="auto"/>
            <w:right w:val="none" w:sz="0" w:space="0" w:color="auto"/>
          </w:divBdr>
        </w:div>
        <w:div w:id="1087458673">
          <w:marLeft w:val="0"/>
          <w:marRight w:val="0"/>
          <w:marTop w:val="0"/>
          <w:marBottom w:val="0"/>
          <w:divBdr>
            <w:top w:val="none" w:sz="0" w:space="0" w:color="auto"/>
            <w:left w:val="none" w:sz="0" w:space="0" w:color="auto"/>
            <w:bottom w:val="none" w:sz="0" w:space="0" w:color="auto"/>
            <w:right w:val="none" w:sz="0" w:space="0" w:color="auto"/>
          </w:divBdr>
        </w:div>
        <w:div w:id="1107578398">
          <w:marLeft w:val="0"/>
          <w:marRight w:val="0"/>
          <w:marTop w:val="0"/>
          <w:marBottom w:val="0"/>
          <w:divBdr>
            <w:top w:val="none" w:sz="0" w:space="0" w:color="auto"/>
            <w:left w:val="none" w:sz="0" w:space="0" w:color="auto"/>
            <w:bottom w:val="none" w:sz="0" w:space="0" w:color="auto"/>
            <w:right w:val="none" w:sz="0" w:space="0" w:color="auto"/>
          </w:divBdr>
        </w:div>
        <w:div w:id="1152911639">
          <w:marLeft w:val="0"/>
          <w:marRight w:val="0"/>
          <w:marTop w:val="0"/>
          <w:marBottom w:val="0"/>
          <w:divBdr>
            <w:top w:val="none" w:sz="0" w:space="0" w:color="auto"/>
            <w:left w:val="none" w:sz="0" w:space="0" w:color="auto"/>
            <w:bottom w:val="none" w:sz="0" w:space="0" w:color="auto"/>
            <w:right w:val="none" w:sz="0" w:space="0" w:color="auto"/>
          </w:divBdr>
        </w:div>
        <w:div w:id="1157645897">
          <w:marLeft w:val="0"/>
          <w:marRight w:val="0"/>
          <w:marTop w:val="0"/>
          <w:marBottom w:val="0"/>
          <w:divBdr>
            <w:top w:val="none" w:sz="0" w:space="0" w:color="auto"/>
            <w:left w:val="none" w:sz="0" w:space="0" w:color="auto"/>
            <w:bottom w:val="none" w:sz="0" w:space="0" w:color="auto"/>
            <w:right w:val="none" w:sz="0" w:space="0" w:color="auto"/>
          </w:divBdr>
        </w:div>
        <w:div w:id="1237009454">
          <w:marLeft w:val="0"/>
          <w:marRight w:val="0"/>
          <w:marTop w:val="0"/>
          <w:marBottom w:val="0"/>
          <w:divBdr>
            <w:top w:val="none" w:sz="0" w:space="0" w:color="auto"/>
            <w:left w:val="none" w:sz="0" w:space="0" w:color="auto"/>
            <w:bottom w:val="none" w:sz="0" w:space="0" w:color="auto"/>
            <w:right w:val="none" w:sz="0" w:space="0" w:color="auto"/>
          </w:divBdr>
          <w:divsChild>
            <w:div w:id="1877114867">
              <w:marLeft w:val="-75"/>
              <w:marRight w:val="0"/>
              <w:marTop w:val="30"/>
              <w:marBottom w:val="30"/>
              <w:divBdr>
                <w:top w:val="none" w:sz="0" w:space="0" w:color="auto"/>
                <w:left w:val="none" w:sz="0" w:space="0" w:color="auto"/>
                <w:bottom w:val="none" w:sz="0" w:space="0" w:color="auto"/>
                <w:right w:val="none" w:sz="0" w:space="0" w:color="auto"/>
              </w:divBdr>
              <w:divsChild>
                <w:div w:id="86969058">
                  <w:marLeft w:val="0"/>
                  <w:marRight w:val="0"/>
                  <w:marTop w:val="0"/>
                  <w:marBottom w:val="0"/>
                  <w:divBdr>
                    <w:top w:val="none" w:sz="0" w:space="0" w:color="auto"/>
                    <w:left w:val="none" w:sz="0" w:space="0" w:color="auto"/>
                    <w:bottom w:val="none" w:sz="0" w:space="0" w:color="auto"/>
                    <w:right w:val="none" w:sz="0" w:space="0" w:color="auto"/>
                  </w:divBdr>
                  <w:divsChild>
                    <w:div w:id="1209149193">
                      <w:marLeft w:val="0"/>
                      <w:marRight w:val="0"/>
                      <w:marTop w:val="0"/>
                      <w:marBottom w:val="0"/>
                      <w:divBdr>
                        <w:top w:val="none" w:sz="0" w:space="0" w:color="auto"/>
                        <w:left w:val="none" w:sz="0" w:space="0" w:color="auto"/>
                        <w:bottom w:val="none" w:sz="0" w:space="0" w:color="auto"/>
                        <w:right w:val="none" w:sz="0" w:space="0" w:color="auto"/>
                      </w:divBdr>
                    </w:div>
                  </w:divsChild>
                </w:div>
                <w:div w:id="135494673">
                  <w:marLeft w:val="0"/>
                  <w:marRight w:val="0"/>
                  <w:marTop w:val="0"/>
                  <w:marBottom w:val="0"/>
                  <w:divBdr>
                    <w:top w:val="none" w:sz="0" w:space="0" w:color="auto"/>
                    <w:left w:val="none" w:sz="0" w:space="0" w:color="auto"/>
                    <w:bottom w:val="none" w:sz="0" w:space="0" w:color="auto"/>
                    <w:right w:val="none" w:sz="0" w:space="0" w:color="auto"/>
                  </w:divBdr>
                  <w:divsChild>
                    <w:div w:id="1595505182">
                      <w:marLeft w:val="0"/>
                      <w:marRight w:val="0"/>
                      <w:marTop w:val="0"/>
                      <w:marBottom w:val="0"/>
                      <w:divBdr>
                        <w:top w:val="none" w:sz="0" w:space="0" w:color="auto"/>
                        <w:left w:val="none" w:sz="0" w:space="0" w:color="auto"/>
                        <w:bottom w:val="none" w:sz="0" w:space="0" w:color="auto"/>
                        <w:right w:val="none" w:sz="0" w:space="0" w:color="auto"/>
                      </w:divBdr>
                    </w:div>
                  </w:divsChild>
                </w:div>
                <w:div w:id="204408736">
                  <w:marLeft w:val="0"/>
                  <w:marRight w:val="0"/>
                  <w:marTop w:val="0"/>
                  <w:marBottom w:val="0"/>
                  <w:divBdr>
                    <w:top w:val="none" w:sz="0" w:space="0" w:color="auto"/>
                    <w:left w:val="none" w:sz="0" w:space="0" w:color="auto"/>
                    <w:bottom w:val="none" w:sz="0" w:space="0" w:color="auto"/>
                    <w:right w:val="none" w:sz="0" w:space="0" w:color="auto"/>
                  </w:divBdr>
                  <w:divsChild>
                    <w:div w:id="1182477082">
                      <w:marLeft w:val="0"/>
                      <w:marRight w:val="0"/>
                      <w:marTop w:val="0"/>
                      <w:marBottom w:val="0"/>
                      <w:divBdr>
                        <w:top w:val="none" w:sz="0" w:space="0" w:color="auto"/>
                        <w:left w:val="none" w:sz="0" w:space="0" w:color="auto"/>
                        <w:bottom w:val="none" w:sz="0" w:space="0" w:color="auto"/>
                        <w:right w:val="none" w:sz="0" w:space="0" w:color="auto"/>
                      </w:divBdr>
                    </w:div>
                  </w:divsChild>
                </w:div>
                <w:div w:id="220289501">
                  <w:marLeft w:val="0"/>
                  <w:marRight w:val="0"/>
                  <w:marTop w:val="0"/>
                  <w:marBottom w:val="0"/>
                  <w:divBdr>
                    <w:top w:val="none" w:sz="0" w:space="0" w:color="auto"/>
                    <w:left w:val="none" w:sz="0" w:space="0" w:color="auto"/>
                    <w:bottom w:val="none" w:sz="0" w:space="0" w:color="auto"/>
                    <w:right w:val="none" w:sz="0" w:space="0" w:color="auto"/>
                  </w:divBdr>
                  <w:divsChild>
                    <w:div w:id="1161234046">
                      <w:marLeft w:val="0"/>
                      <w:marRight w:val="0"/>
                      <w:marTop w:val="0"/>
                      <w:marBottom w:val="0"/>
                      <w:divBdr>
                        <w:top w:val="none" w:sz="0" w:space="0" w:color="auto"/>
                        <w:left w:val="none" w:sz="0" w:space="0" w:color="auto"/>
                        <w:bottom w:val="none" w:sz="0" w:space="0" w:color="auto"/>
                        <w:right w:val="none" w:sz="0" w:space="0" w:color="auto"/>
                      </w:divBdr>
                    </w:div>
                  </w:divsChild>
                </w:div>
                <w:div w:id="365371773">
                  <w:marLeft w:val="0"/>
                  <w:marRight w:val="0"/>
                  <w:marTop w:val="0"/>
                  <w:marBottom w:val="0"/>
                  <w:divBdr>
                    <w:top w:val="none" w:sz="0" w:space="0" w:color="auto"/>
                    <w:left w:val="none" w:sz="0" w:space="0" w:color="auto"/>
                    <w:bottom w:val="none" w:sz="0" w:space="0" w:color="auto"/>
                    <w:right w:val="none" w:sz="0" w:space="0" w:color="auto"/>
                  </w:divBdr>
                  <w:divsChild>
                    <w:div w:id="1162888631">
                      <w:marLeft w:val="0"/>
                      <w:marRight w:val="0"/>
                      <w:marTop w:val="0"/>
                      <w:marBottom w:val="0"/>
                      <w:divBdr>
                        <w:top w:val="none" w:sz="0" w:space="0" w:color="auto"/>
                        <w:left w:val="none" w:sz="0" w:space="0" w:color="auto"/>
                        <w:bottom w:val="none" w:sz="0" w:space="0" w:color="auto"/>
                        <w:right w:val="none" w:sz="0" w:space="0" w:color="auto"/>
                      </w:divBdr>
                    </w:div>
                  </w:divsChild>
                </w:div>
                <w:div w:id="444813565">
                  <w:marLeft w:val="0"/>
                  <w:marRight w:val="0"/>
                  <w:marTop w:val="0"/>
                  <w:marBottom w:val="0"/>
                  <w:divBdr>
                    <w:top w:val="none" w:sz="0" w:space="0" w:color="auto"/>
                    <w:left w:val="none" w:sz="0" w:space="0" w:color="auto"/>
                    <w:bottom w:val="none" w:sz="0" w:space="0" w:color="auto"/>
                    <w:right w:val="none" w:sz="0" w:space="0" w:color="auto"/>
                  </w:divBdr>
                  <w:divsChild>
                    <w:div w:id="553464606">
                      <w:marLeft w:val="0"/>
                      <w:marRight w:val="0"/>
                      <w:marTop w:val="0"/>
                      <w:marBottom w:val="0"/>
                      <w:divBdr>
                        <w:top w:val="none" w:sz="0" w:space="0" w:color="auto"/>
                        <w:left w:val="none" w:sz="0" w:space="0" w:color="auto"/>
                        <w:bottom w:val="none" w:sz="0" w:space="0" w:color="auto"/>
                        <w:right w:val="none" w:sz="0" w:space="0" w:color="auto"/>
                      </w:divBdr>
                    </w:div>
                  </w:divsChild>
                </w:div>
                <w:div w:id="538787350">
                  <w:marLeft w:val="0"/>
                  <w:marRight w:val="0"/>
                  <w:marTop w:val="0"/>
                  <w:marBottom w:val="0"/>
                  <w:divBdr>
                    <w:top w:val="none" w:sz="0" w:space="0" w:color="auto"/>
                    <w:left w:val="none" w:sz="0" w:space="0" w:color="auto"/>
                    <w:bottom w:val="none" w:sz="0" w:space="0" w:color="auto"/>
                    <w:right w:val="none" w:sz="0" w:space="0" w:color="auto"/>
                  </w:divBdr>
                  <w:divsChild>
                    <w:div w:id="954562009">
                      <w:marLeft w:val="0"/>
                      <w:marRight w:val="0"/>
                      <w:marTop w:val="0"/>
                      <w:marBottom w:val="0"/>
                      <w:divBdr>
                        <w:top w:val="none" w:sz="0" w:space="0" w:color="auto"/>
                        <w:left w:val="none" w:sz="0" w:space="0" w:color="auto"/>
                        <w:bottom w:val="none" w:sz="0" w:space="0" w:color="auto"/>
                        <w:right w:val="none" w:sz="0" w:space="0" w:color="auto"/>
                      </w:divBdr>
                    </w:div>
                  </w:divsChild>
                </w:div>
                <w:div w:id="795879780">
                  <w:marLeft w:val="0"/>
                  <w:marRight w:val="0"/>
                  <w:marTop w:val="0"/>
                  <w:marBottom w:val="0"/>
                  <w:divBdr>
                    <w:top w:val="none" w:sz="0" w:space="0" w:color="auto"/>
                    <w:left w:val="none" w:sz="0" w:space="0" w:color="auto"/>
                    <w:bottom w:val="none" w:sz="0" w:space="0" w:color="auto"/>
                    <w:right w:val="none" w:sz="0" w:space="0" w:color="auto"/>
                  </w:divBdr>
                  <w:divsChild>
                    <w:div w:id="364527118">
                      <w:marLeft w:val="0"/>
                      <w:marRight w:val="0"/>
                      <w:marTop w:val="0"/>
                      <w:marBottom w:val="0"/>
                      <w:divBdr>
                        <w:top w:val="none" w:sz="0" w:space="0" w:color="auto"/>
                        <w:left w:val="none" w:sz="0" w:space="0" w:color="auto"/>
                        <w:bottom w:val="none" w:sz="0" w:space="0" w:color="auto"/>
                        <w:right w:val="none" w:sz="0" w:space="0" w:color="auto"/>
                      </w:divBdr>
                    </w:div>
                  </w:divsChild>
                </w:div>
                <w:div w:id="858281226">
                  <w:marLeft w:val="0"/>
                  <w:marRight w:val="0"/>
                  <w:marTop w:val="0"/>
                  <w:marBottom w:val="0"/>
                  <w:divBdr>
                    <w:top w:val="none" w:sz="0" w:space="0" w:color="auto"/>
                    <w:left w:val="none" w:sz="0" w:space="0" w:color="auto"/>
                    <w:bottom w:val="none" w:sz="0" w:space="0" w:color="auto"/>
                    <w:right w:val="none" w:sz="0" w:space="0" w:color="auto"/>
                  </w:divBdr>
                  <w:divsChild>
                    <w:div w:id="1980573413">
                      <w:marLeft w:val="0"/>
                      <w:marRight w:val="0"/>
                      <w:marTop w:val="0"/>
                      <w:marBottom w:val="0"/>
                      <w:divBdr>
                        <w:top w:val="none" w:sz="0" w:space="0" w:color="auto"/>
                        <w:left w:val="none" w:sz="0" w:space="0" w:color="auto"/>
                        <w:bottom w:val="none" w:sz="0" w:space="0" w:color="auto"/>
                        <w:right w:val="none" w:sz="0" w:space="0" w:color="auto"/>
                      </w:divBdr>
                    </w:div>
                  </w:divsChild>
                </w:div>
                <w:div w:id="912852930">
                  <w:marLeft w:val="0"/>
                  <w:marRight w:val="0"/>
                  <w:marTop w:val="0"/>
                  <w:marBottom w:val="0"/>
                  <w:divBdr>
                    <w:top w:val="none" w:sz="0" w:space="0" w:color="auto"/>
                    <w:left w:val="none" w:sz="0" w:space="0" w:color="auto"/>
                    <w:bottom w:val="none" w:sz="0" w:space="0" w:color="auto"/>
                    <w:right w:val="none" w:sz="0" w:space="0" w:color="auto"/>
                  </w:divBdr>
                  <w:divsChild>
                    <w:div w:id="1471171611">
                      <w:marLeft w:val="0"/>
                      <w:marRight w:val="0"/>
                      <w:marTop w:val="0"/>
                      <w:marBottom w:val="0"/>
                      <w:divBdr>
                        <w:top w:val="none" w:sz="0" w:space="0" w:color="auto"/>
                        <w:left w:val="none" w:sz="0" w:space="0" w:color="auto"/>
                        <w:bottom w:val="none" w:sz="0" w:space="0" w:color="auto"/>
                        <w:right w:val="none" w:sz="0" w:space="0" w:color="auto"/>
                      </w:divBdr>
                    </w:div>
                  </w:divsChild>
                </w:div>
                <w:div w:id="922295169">
                  <w:marLeft w:val="0"/>
                  <w:marRight w:val="0"/>
                  <w:marTop w:val="0"/>
                  <w:marBottom w:val="0"/>
                  <w:divBdr>
                    <w:top w:val="none" w:sz="0" w:space="0" w:color="auto"/>
                    <w:left w:val="none" w:sz="0" w:space="0" w:color="auto"/>
                    <w:bottom w:val="none" w:sz="0" w:space="0" w:color="auto"/>
                    <w:right w:val="none" w:sz="0" w:space="0" w:color="auto"/>
                  </w:divBdr>
                  <w:divsChild>
                    <w:div w:id="418335167">
                      <w:marLeft w:val="0"/>
                      <w:marRight w:val="0"/>
                      <w:marTop w:val="0"/>
                      <w:marBottom w:val="0"/>
                      <w:divBdr>
                        <w:top w:val="none" w:sz="0" w:space="0" w:color="auto"/>
                        <w:left w:val="none" w:sz="0" w:space="0" w:color="auto"/>
                        <w:bottom w:val="none" w:sz="0" w:space="0" w:color="auto"/>
                        <w:right w:val="none" w:sz="0" w:space="0" w:color="auto"/>
                      </w:divBdr>
                    </w:div>
                  </w:divsChild>
                </w:div>
                <w:div w:id="988556057">
                  <w:marLeft w:val="0"/>
                  <w:marRight w:val="0"/>
                  <w:marTop w:val="0"/>
                  <w:marBottom w:val="0"/>
                  <w:divBdr>
                    <w:top w:val="none" w:sz="0" w:space="0" w:color="auto"/>
                    <w:left w:val="none" w:sz="0" w:space="0" w:color="auto"/>
                    <w:bottom w:val="none" w:sz="0" w:space="0" w:color="auto"/>
                    <w:right w:val="none" w:sz="0" w:space="0" w:color="auto"/>
                  </w:divBdr>
                  <w:divsChild>
                    <w:div w:id="993605060">
                      <w:marLeft w:val="0"/>
                      <w:marRight w:val="0"/>
                      <w:marTop w:val="0"/>
                      <w:marBottom w:val="0"/>
                      <w:divBdr>
                        <w:top w:val="none" w:sz="0" w:space="0" w:color="auto"/>
                        <w:left w:val="none" w:sz="0" w:space="0" w:color="auto"/>
                        <w:bottom w:val="none" w:sz="0" w:space="0" w:color="auto"/>
                        <w:right w:val="none" w:sz="0" w:space="0" w:color="auto"/>
                      </w:divBdr>
                    </w:div>
                  </w:divsChild>
                </w:div>
                <w:div w:id="1002195847">
                  <w:marLeft w:val="0"/>
                  <w:marRight w:val="0"/>
                  <w:marTop w:val="0"/>
                  <w:marBottom w:val="0"/>
                  <w:divBdr>
                    <w:top w:val="none" w:sz="0" w:space="0" w:color="auto"/>
                    <w:left w:val="none" w:sz="0" w:space="0" w:color="auto"/>
                    <w:bottom w:val="none" w:sz="0" w:space="0" w:color="auto"/>
                    <w:right w:val="none" w:sz="0" w:space="0" w:color="auto"/>
                  </w:divBdr>
                  <w:divsChild>
                    <w:div w:id="1928734974">
                      <w:marLeft w:val="0"/>
                      <w:marRight w:val="0"/>
                      <w:marTop w:val="0"/>
                      <w:marBottom w:val="0"/>
                      <w:divBdr>
                        <w:top w:val="none" w:sz="0" w:space="0" w:color="auto"/>
                        <w:left w:val="none" w:sz="0" w:space="0" w:color="auto"/>
                        <w:bottom w:val="none" w:sz="0" w:space="0" w:color="auto"/>
                        <w:right w:val="none" w:sz="0" w:space="0" w:color="auto"/>
                      </w:divBdr>
                    </w:div>
                  </w:divsChild>
                </w:div>
                <w:div w:id="1026755783">
                  <w:marLeft w:val="0"/>
                  <w:marRight w:val="0"/>
                  <w:marTop w:val="0"/>
                  <w:marBottom w:val="0"/>
                  <w:divBdr>
                    <w:top w:val="none" w:sz="0" w:space="0" w:color="auto"/>
                    <w:left w:val="none" w:sz="0" w:space="0" w:color="auto"/>
                    <w:bottom w:val="none" w:sz="0" w:space="0" w:color="auto"/>
                    <w:right w:val="none" w:sz="0" w:space="0" w:color="auto"/>
                  </w:divBdr>
                  <w:divsChild>
                    <w:div w:id="414865966">
                      <w:marLeft w:val="0"/>
                      <w:marRight w:val="0"/>
                      <w:marTop w:val="0"/>
                      <w:marBottom w:val="0"/>
                      <w:divBdr>
                        <w:top w:val="none" w:sz="0" w:space="0" w:color="auto"/>
                        <w:left w:val="none" w:sz="0" w:space="0" w:color="auto"/>
                        <w:bottom w:val="none" w:sz="0" w:space="0" w:color="auto"/>
                        <w:right w:val="none" w:sz="0" w:space="0" w:color="auto"/>
                      </w:divBdr>
                    </w:div>
                  </w:divsChild>
                </w:div>
                <w:div w:id="1055004142">
                  <w:marLeft w:val="0"/>
                  <w:marRight w:val="0"/>
                  <w:marTop w:val="0"/>
                  <w:marBottom w:val="0"/>
                  <w:divBdr>
                    <w:top w:val="none" w:sz="0" w:space="0" w:color="auto"/>
                    <w:left w:val="none" w:sz="0" w:space="0" w:color="auto"/>
                    <w:bottom w:val="none" w:sz="0" w:space="0" w:color="auto"/>
                    <w:right w:val="none" w:sz="0" w:space="0" w:color="auto"/>
                  </w:divBdr>
                  <w:divsChild>
                    <w:div w:id="1928536375">
                      <w:marLeft w:val="0"/>
                      <w:marRight w:val="0"/>
                      <w:marTop w:val="0"/>
                      <w:marBottom w:val="0"/>
                      <w:divBdr>
                        <w:top w:val="none" w:sz="0" w:space="0" w:color="auto"/>
                        <w:left w:val="none" w:sz="0" w:space="0" w:color="auto"/>
                        <w:bottom w:val="none" w:sz="0" w:space="0" w:color="auto"/>
                        <w:right w:val="none" w:sz="0" w:space="0" w:color="auto"/>
                      </w:divBdr>
                    </w:div>
                  </w:divsChild>
                </w:div>
                <w:div w:id="1069578082">
                  <w:marLeft w:val="0"/>
                  <w:marRight w:val="0"/>
                  <w:marTop w:val="0"/>
                  <w:marBottom w:val="0"/>
                  <w:divBdr>
                    <w:top w:val="none" w:sz="0" w:space="0" w:color="auto"/>
                    <w:left w:val="none" w:sz="0" w:space="0" w:color="auto"/>
                    <w:bottom w:val="none" w:sz="0" w:space="0" w:color="auto"/>
                    <w:right w:val="none" w:sz="0" w:space="0" w:color="auto"/>
                  </w:divBdr>
                  <w:divsChild>
                    <w:div w:id="723648730">
                      <w:marLeft w:val="0"/>
                      <w:marRight w:val="0"/>
                      <w:marTop w:val="0"/>
                      <w:marBottom w:val="0"/>
                      <w:divBdr>
                        <w:top w:val="none" w:sz="0" w:space="0" w:color="auto"/>
                        <w:left w:val="none" w:sz="0" w:space="0" w:color="auto"/>
                        <w:bottom w:val="none" w:sz="0" w:space="0" w:color="auto"/>
                        <w:right w:val="none" w:sz="0" w:space="0" w:color="auto"/>
                      </w:divBdr>
                    </w:div>
                  </w:divsChild>
                </w:div>
                <w:div w:id="1142498331">
                  <w:marLeft w:val="0"/>
                  <w:marRight w:val="0"/>
                  <w:marTop w:val="0"/>
                  <w:marBottom w:val="0"/>
                  <w:divBdr>
                    <w:top w:val="none" w:sz="0" w:space="0" w:color="auto"/>
                    <w:left w:val="none" w:sz="0" w:space="0" w:color="auto"/>
                    <w:bottom w:val="none" w:sz="0" w:space="0" w:color="auto"/>
                    <w:right w:val="none" w:sz="0" w:space="0" w:color="auto"/>
                  </w:divBdr>
                  <w:divsChild>
                    <w:div w:id="1622112183">
                      <w:marLeft w:val="0"/>
                      <w:marRight w:val="0"/>
                      <w:marTop w:val="0"/>
                      <w:marBottom w:val="0"/>
                      <w:divBdr>
                        <w:top w:val="none" w:sz="0" w:space="0" w:color="auto"/>
                        <w:left w:val="none" w:sz="0" w:space="0" w:color="auto"/>
                        <w:bottom w:val="none" w:sz="0" w:space="0" w:color="auto"/>
                        <w:right w:val="none" w:sz="0" w:space="0" w:color="auto"/>
                      </w:divBdr>
                    </w:div>
                  </w:divsChild>
                </w:div>
                <w:div w:id="1144734563">
                  <w:marLeft w:val="0"/>
                  <w:marRight w:val="0"/>
                  <w:marTop w:val="0"/>
                  <w:marBottom w:val="0"/>
                  <w:divBdr>
                    <w:top w:val="none" w:sz="0" w:space="0" w:color="auto"/>
                    <w:left w:val="none" w:sz="0" w:space="0" w:color="auto"/>
                    <w:bottom w:val="none" w:sz="0" w:space="0" w:color="auto"/>
                    <w:right w:val="none" w:sz="0" w:space="0" w:color="auto"/>
                  </w:divBdr>
                  <w:divsChild>
                    <w:div w:id="1292780627">
                      <w:marLeft w:val="0"/>
                      <w:marRight w:val="0"/>
                      <w:marTop w:val="0"/>
                      <w:marBottom w:val="0"/>
                      <w:divBdr>
                        <w:top w:val="none" w:sz="0" w:space="0" w:color="auto"/>
                        <w:left w:val="none" w:sz="0" w:space="0" w:color="auto"/>
                        <w:bottom w:val="none" w:sz="0" w:space="0" w:color="auto"/>
                        <w:right w:val="none" w:sz="0" w:space="0" w:color="auto"/>
                      </w:divBdr>
                    </w:div>
                  </w:divsChild>
                </w:div>
                <w:div w:id="1349989729">
                  <w:marLeft w:val="0"/>
                  <w:marRight w:val="0"/>
                  <w:marTop w:val="0"/>
                  <w:marBottom w:val="0"/>
                  <w:divBdr>
                    <w:top w:val="none" w:sz="0" w:space="0" w:color="auto"/>
                    <w:left w:val="none" w:sz="0" w:space="0" w:color="auto"/>
                    <w:bottom w:val="none" w:sz="0" w:space="0" w:color="auto"/>
                    <w:right w:val="none" w:sz="0" w:space="0" w:color="auto"/>
                  </w:divBdr>
                  <w:divsChild>
                    <w:div w:id="91363405">
                      <w:marLeft w:val="0"/>
                      <w:marRight w:val="0"/>
                      <w:marTop w:val="0"/>
                      <w:marBottom w:val="0"/>
                      <w:divBdr>
                        <w:top w:val="none" w:sz="0" w:space="0" w:color="auto"/>
                        <w:left w:val="none" w:sz="0" w:space="0" w:color="auto"/>
                        <w:bottom w:val="none" w:sz="0" w:space="0" w:color="auto"/>
                        <w:right w:val="none" w:sz="0" w:space="0" w:color="auto"/>
                      </w:divBdr>
                    </w:div>
                  </w:divsChild>
                </w:div>
                <w:div w:id="1370377030">
                  <w:marLeft w:val="0"/>
                  <w:marRight w:val="0"/>
                  <w:marTop w:val="0"/>
                  <w:marBottom w:val="0"/>
                  <w:divBdr>
                    <w:top w:val="none" w:sz="0" w:space="0" w:color="auto"/>
                    <w:left w:val="none" w:sz="0" w:space="0" w:color="auto"/>
                    <w:bottom w:val="none" w:sz="0" w:space="0" w:color="auto"/>
                    <w:right w:val="none" w:sz="0" w:space="0" w:color="auto"/>
                  </w:divBdr>
                  <w:divsChild>
                    <w:div w:id="836699268">
                      <w:marLeft w:val="0"/>
                      <w:marRight w:val="0"/>
                      <w:marTop w:val="0"/>
                      <w:marBottom w:val="0"/>
                      <w:divBdr>
                        <w:top w:val="none" w:sz="0" w:space="0" w:color="auto"/>
                        <w:left w:val="none" w:sz="0" w:space="0" w:color="auto"/>
                        <w:bottom w:val="none" w:sz="0" w:space="0" w:color="auto"/>
                        <w:right w:val="none" w:sz="0" w:space="0" w:color="auto"/>
                      </w:divBdr>
                    </w:div>
                  </w:divsChild>
                </w:div>
                <w:div w:id="1442647463">
                  <w:marLeft w:val="0"/>
                  <w:marRight w:val="0"/>
                  <w:marTop w:val="0"/>
                  <w:marBottom w:val="0"/>
                  <w:divBdr>
                    <w:top w:val="none" w:sz="0" w:space="0" w:color="auto"/>
                    <w:left w:val="none" w:sz="0" w:space="0" w:color="auto"/>
                    <w:bottom w:val="none" w:sz="0" w:space="0" w:color="auto"/>
                    <w:right w:val="none" w:sz="0" w:space="0" w:color="auto"/>
                  </w:divBdr>
                  <w:divsChild>
                    <w:div w:id="898321178">
                      <w:marLeft w:val="0"/>
                      <w:marRight w:val="0"/>
                      <w:marTop w:val="0"/>
                      <w:marBottom w:val="0"/>
                      <w:divBdr>
                        <w:top w:val="none" w:sz="0" w:space="0" w:color="auto"/>
                        <w:left w:val="none" w:sz="0" w:space="0" w:color="auto"/>
                        <w:bottom w:val="none" w:sz="0" w:space="0" w:color="auto"/>
                        <w:right w:val="none" w:sz="0" w:space="0" w:color="auto"/>
                      </w:divBdr>
                    </w:div>
                  </w:divsChild>
                </w:div>
                <w:div w:id="1494032731">
                  <w:marLeft w:val="0"/>
                  <w:marRight w:val="0"/>
                  <w:marTop w:val="0"/>
                  <w:marBottom w:val="0"/>
                  <w:divBdr>
                    <w:top w:val="none" w:sz="0" w:space="0" w:color="auto"/>
                    <w:left w:val="none" w:sz="0" w:space="0" w:color="auto"/>
                    <w:bottom w:val="none" w:sz="0" w:space="0" w:color="auto"/>
                    <w:right w:val="none" w:sz="0" w:space="0" w:color="auto"/>
                  </w:divBdr>
                  <w:divsChild>
                    <w:div w:id="1947762516">
                      <w:marLeft w:val="0"/>
                      <w:marRight w:val="0"/>
                      <w:marTop w:val="0"/>
                      <w:marBottom w:val="0"/>
                      <w:divBdr>
                        <w:top w:val="none" w:sz="0" w:space="0" w:color="auto"/>
                        <w:left w:val="none" w:sz="0" w:space="0" w:color="auto"/>
                        <w:bottom w:val="none" w:sz="0" w:space="0" w:color="auto"/>
                        <w:right w:val="none" w:sz="0" w:space="0" w:color="auto"/>
                      </w:divBdr>
                    </w:div>
                  </w:divsChild>
                </w:div>
                <w:div w:id="1519202137">
                  <w:marLeft w:val="0"/>
                  <w:marRight w:val="0"/>
                  <w:marTop w:val="0"/>
                  <w:marBottom w:val="0"/>
                  <w:divBdr>
                    <w:top w:val="none" w:sz="0" w:space="0" w:color="auto"/>
                    <w:left w:val="none" w:sz="0" w:space="0" w:color="auto"/>
                    <w:bottom w:val="none" w:sz="0" w:space="0" w:color="auto"/>
                    <w:right w:val="none" w:sz="0" w:space="0" w:color="auto"/>
                  </w:divBdr>
                  <w:divsChild>
                    <w:div w:id="1538009283">
                      <w:marLeft w:val="0"/>
                      <w:marRight w:val="0"/>
                      <w:marTop w:val="0"/>
                      <w:marBottom w:val="0"/>
                      <w:divBdr>
                        <w:top w:val="none" w:sz="0" w:space="0" w:color="auto"/>
                        <w:left w:val="none" w:sz="0" w:space="0" w:color="auto"/>
                        <w:bottom w:val="none" w:sz="0" w:space="0" w:color="auto"/>
                        <w:right w:val="none" w:sz="0" w:space="0" w:color="auto"/>
                      </w:divBdr>
                    </w:div>
                  </w:divsChild>
                </w:div>
                <w:div w:id="1564173378">
                  <w:marLeft w:val="0"/>
                  <w:marRight w:val="0"/>
                  <w:marTop w:val="0"/>
                  <w:marBottom w:val="0"/>
                  <w:divBdr>
                    <w:top w:val="none" w:sz="0" w:space="0" w:color="auto"/>
                    <w:left w:val="none" w:sz="0" w:space="0" w:color="auto"/>
                    <w:bottom w:val="none" w:sz="0" w:space="0" w:color="auto"/>
                    <w:right w:val="none" w:sz="0" w:space="0" w:color="auto"/>
                  </w:divBdr>
                  <w:divsChild>
                    <w:div w:id="1569850277">
                      <w:marLeft w:val="0"/>
                      <w:marRight w:val="0"/>
                      <w:marTop w:val="0"/>
                      <w:marBottom w:val="0"/>
                      <w:divBdr>
                        <w:top w:val="none" w:sz="0" w:space="0" w:color="auto"/>
                        <w:left w:val="none" w:sz="0" w:space="0" w:color="auto"/>
                        <w:bottom w:val="none" w:sz="0" w:space="0" w:color="auto"/>
                        <w:right w:val="none" w:sz="0" w:space="0" w:color="auto"/>
                      </w:divBdr>
                    </w:div>
                  </w:divsChild>
                </w:div>
                <w:div w:id="1648364541">
                  <w:marLeft w:val="0"/>
                  <w:marRight w:val="0"/>
                  <w:marTop w:val="0"/>
                  <w:marBottom w:val="0"/>
                  <w:divBdr>
                    <w:top w:val="none" w:sz="0" w:space="0" w:color="auto"/>
                    <w:left w:val="none" w:sz="0" w:space="0" w:color="auto"/>
                    <w:bottom w:val="none" w:sz="0" w:space="0" w:color="auto"/>
                    <w:right w:val="none" w:sz="0" w:space="0" w:color="auto"/>
                  </w:divBdr>
                  <w:divsChild>
                    <w:div w:id="1650524656">
                      <w:marLeft w:val="0"/>
                      <w:marRight w:val="0"/>
                      <w:marTop w:val="0"/>
                      <w:marBottom w:val="0"/>
                      <w:divBdr>
                        <w:top w:val="none" w:sz="0" w:space="0" w:color="auto"/>
                        <w:left w:val="none" w:sz="0" w:space="0" w:color="auto"/>
                        <w:bottom w:val="none" w:sz="0" w:space="0" w:color="auto"/>
                        <w:right w:val="none" w:sz="0" w:space="0" w:color="auto"/>
                      </w:divBdr>
                    </w:div>
                  </w:divsChild>
                </w:div>
                <w:div w:id="1700230356">
                  <w:marLeft w:val="0"/>
                  <w:marRight w:val="0"/>
                  <w:marTop w:val="0"/>
                  <w:marBottom w:val="0"/>
                  <w:divBdr>
                    <w:top w:val="none" w:sz="0" w:space="0" w:color="auto"/>
                    <w:left w:val="none" w:sz="0" w:space="0" w:color="auto"/>
                    <w:bottom w:val="none" w:sz="0" w:space="0" w:color="auto"/>
                    <w:right w:val="none" w:sz="0" w:space="0" w:color="auto"/>
                  </w:divBdr>
                  <w:divsChild>
                    <w:div w:id="562104446">
                      <w:marLeft w:val="0"/>
                      <w:marRight w:val="0"/>
                      <w:marTop w:val="0"/>
                      <w:marBottom w:val="0"/>
                      <w:divBdr>
                        <w:top w:val="none" w:sz="0" w:space="0" w:color="auto"/>
                        <w:left w:val="none" w:sz="0" w:space="0" w:color="auto"/>
                        <w:bottom w:val="none" w:sz="0" w:space="0" w:color="auto"/>
                        <w:right w:val="none" w:sz="0" w:space="0" w:color="auto"/>
                      </w:divBdr>
                    </w:div>
                  </w:divsChild>
                </w:div>
                <w:div w:id="1795293372">
                  <w:marLeft w:val="0"/>
                  <w:marRight w:val="0"/>
                  <w:marTop w:val="0"/>
                  <w:marBottom w:val="0"/>
                  <w:divBdr>
                    <w:top w:val="none" w:sz="0" w:space="0" w:color="auto"/>
                    <w:left w:val="none" w:sz="0" w:space="0" w:color="auto"/>
                    <w:bottom w:val="none" w:sz="0" w:space="0" w:color="auto"/>
                    <w:right w:val="none" w:sz="0" w:space="0" w:color="auto"/>
                  </w:divBdr>
                  <w:divsChild>
                    <w:div w:id="1887260016">
                      <w:marLeft w:val="0"/>
                      <w:marRight w:val="0"/>
                      <w:marTop w:val="0"/>
                      <w:marBottom w:val="0"/>
                      <w:divBdr>
                        <w:top w:val="none" w:sz="0" w:space="0" w:color="auto"/>
                        <w:left w:val="none" w:sz="0" w:space="0" w:color="auto"/>
                        <w:bottom w:val="none" w:sz="0" w:space="0" w:color="auto"/>
                        <w:right w:val="none" w:sz="0" w:space="0" w:color="auto"/>
                      </w:divBdr>
                    </w:div>
                  </w:divsChild>
                </w:div>
                <w:div w:id="1816291830">
                  <w:marLeft w:val="0"/>
                  <w:marRight w:val="0"/>
                  <w:marTop w:val="0"/>
                  <w:marBottom w:val="0"/>
                  <w:divBdr>
                    <w:top w:val="none" w:sz="0" w:space="0" w:color="auto"/>
                    <w:left w:val="none" w:sz="0" w:space="0" w:color="auto"/>
                    <w:bottom w:val="none" w:sz="0" w:space="0" w:color="auto"/>
                    <w:right w:val="none" w:sz="0" w:space="0" w:color="auto"/>
                  </w:divBdr>
                  <w:divsChild>
                    <w:div w:id="1209224383">
                      <w:marLeft w:val="0"/>
                      <w:marRight w:val="0"/>
                      <w:marTop w:val="0"/>
                      <w:marBottom w:val="0"/>
                      <w:divBdr>
                        <w:top w:val="none" w:sz="0" w:space="0" w:color="auto"/>
                        <w:left w:val="none" w:sz="0" w:space="0" w:color="auto"/>
                        <w:bottom w:val="none" w:sz="0" w:space="0" w:color="auto"/>
                        <w:right w:val="none" w:sz="0" w:space="0" w:color="auto"/>
                      </w:divBdr>
                    </w:div>
                  </w:divsChild>
                </w:div>
                <w:div w:id="2022464728">
                  <w:marLeft w:val="0"/>
                  <w:marRight w:val="0"/>
                  <w:marTop w:val="0"/>
                  <w:marBottom w:val="0"/>
                  <w:divBdr>
                    <w:top w:val="none" w:sz="0" w:space="0" w:color="auto"/>
                    <w:left w:val="none" w:sz="0" w:space="0" w:color="auto"/>
                    <w:bottom w:val="none" w:sz="0" w:space="0" w:color="auto"/>
                    <w:right w:val="none" w:sz="0" w:space="0" w:color="auto"/>
                  </w:divBdr>
                  <w:divsChild>
                    <w:div w:id="546380701">
                      <w:marLeft w:val="0"/>
                      <w:marRight w:val="0"/>
                      <w:marTop w:val="0"/>
                      <w:marBottom w:val="0"/>
                      <w:divBdr>
                        <w:top w:val="none" w:sz="0" w:space="0" w:color="auto"/>
                        <w:left w:val="none" w:sz="0" w:space="0" w:color="auto"/>
                        <w:bottom w:val="none" w:sz="0" w:space="0" w:color="auto"/>
                        <w:right w:val="none" w:sz="0" w:space="0" w:color="auto"/>
                      </w:divBdr>
                    </w:div>
                  </w:divsChild>
                </w:div>
                <w:div w:id="2081714059">
                  <w:marLeft w:val="0"/>
                  <w:marRight w:val="0"/>
                  <w:marTop w:val="0"/>
                  <w:marBottom w:val="0"/>
                  <w:divBdr>
                    <w:top w:val="none" w:sz="0" w:space="0" w:color="auto"/>
                    <w:left w:val="none" w:sz="0" w:space="0" w:color="auto"/>
                    <w:bottom w:val="none" w:sz="0" w:space="0" w:color="auto"/>
                    <w:right w:val="none" w:sz="0" w:space="0" w:color="auto"/>
                  </w:divBdr>
                  <w:divsChild>
                    <w:div w:id="1180268856">
                      <w:marLeft w:val="0"/>
                      <w:marRight w:val="0"/>
                      <w:marTop w:val="0"/>
                      <w:marBottom w:val="0"/>
                      <w:divBdr>
                        <w:top w:val="none" w:sz="0" w:space="0" w:color="auto"/>
                        <w:left w:val="none" w:sz="0" w:space="0" w:color="auto"/>
                        <w:bottom w:val="none" w:sz="0" w:space="0" w:color="auto"/>
                        <w:right w:val="none" w:sz="0" w:space="0" w:color="auto"/>
                      </w:divBdr>
                    </w:div>
                  </w:divsChild>
                </w:div>
                <w:div w:id="2091807029">
                  <w:marLeft w:val="0"/>
                  <w:marRight w:val="0"/>
                  <w:marTop w:val="0"/>
                  <w:marBottom w:val="0"/>
                  <w:divBdr>
                    <w:top w:val="none" w:sz="0" w:space="0" w:color="auto"/>
                    <w:left w:val="none" w:sz="0" w:space="0" w:color="auto"/>
                    <w:bottom w:val="none" w:sz="0" w:space="0" w:color="auto"/>
                    <w:right w:val="none" w:sz="0" w:space="0" w:color="auto"/>
                  </w:divBdr>
                  <w:divsChild>
                    <w:div w:id="437139370">
                      <w:marLeft w:val="0"/>
                      <w:marRight w:val="0"/>
                      <w:marTop w:val="0"/>
                      <w:marBottom w:val="0"/>
                      <w:divBdr>
                        <w:top w:val="none" w:sz="0" w:space="0" w:color="auto"/>
                        <w:left w:val="none" w:sz="0" w:space="0" w:color="auto"/>
                        <w:bottom w:val="none" w:sz="0" w:space="0" w:color="auto"/>
                        <w:right w:val="none" w:sz="0" w:space="0" w:color="auto"/>
                      </w:divBdr>
                    </w:div>
                  </w:divsChild>
                </w:div>
                <w:div w:id="2098162360">
                  <w:marLeft w:val="0"/>
                  <w:marRight w:val="0"/>
                  <w:marTop w:val="0"/>
                  <w:marBottom w:val="0"/>
                  <w:divBdr>
                    <w:top w:val="none" w:sz="0" w:space="0" w:color="auto"/>
                    <w:left w:val="none" w:sz="0" w:space="0" w:color="auto"/>
                    <w:bottom w:val="none" w:sz="0" w:space="0" w:color="auto"/>
                    <w:right w:val="none" w:sz="0" w:space="0" w:color="auto"/>
                  </w:divBdr>
                  <w:divsChild>
                    <w:div w:id="151917312">
                      <w:marLeft w:val="0"/>
                      <w:marRight w:val="0"/>
                      <w:marTop w:val="0"/>
                      <w:marBottom w:val="0"/>
                      <w:divBdr>
                        <w:top w:val="none" w:sz="0" w:space="0" w:color="auto"/>
                        <w:left w:val="none" w:sz="0" w:space="0" w:color="auto"/>
                        <w:bottom w:val="none" w:sz="0" w:space="0" w:color="auto"/>
                        <w:right w:val="none" w:sz="0" w:space="0" w:color="auto"/>
                      </w:divBdr>
                    </w:div>
                  </w:divsChild>
                </w:div>
                <w:div w:id="2127314452">
                  <w:marLeft w:val="0"/>
                  <w:marRight w:val="0"/>
                  <w:marTop w:val="0"/>
                  <w:marBottom w:val="0"/>
                  <w:divBdr>
                    <w:top w:val="none" w:sz="0" w:space="0" w:color="auto"/>
                    <w:left w:val="none" w:sz="0" w:space="0" w:color="auto"/>
                    <w:bottom w:val="none" w:sz="0" w:space="0" w:color="auto"/>
                    <w:right w:val="none" w:sz="0" w:space="0" w:color="auto"/>
                  </w:divBdr>
                  <w:divsChild>
                    <w:div w:id="2836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07200">
          <w:marLeft w:val="0"/>
          <w:marRight w:val="0"/>
          <w:marTop w:val="0"/>
          <w:marBottom w:val="0"/>
          <w:divBdr>
            <w:top w:val="none" w:sz="0" w:space="0" w:color="auto"/>
            <w:left w:val="none" w:sz="0" w:space="0" w:color="auto"/>
            <w:bottom w:val="none" w:sz="0" w:space="0" w:color="auto"/>
            <w:right w:val="none" w:sz="0" w:space="0" w:color="auto"/>
          </w:divBdr>
        </w:div>
        <w:div w:id="1347439602">
          <w:marLeft w:val="0"/>
          <w:marRight w:val="0"/>
          <w:marTop w:val="0"/>
          <w:marBottom w:val="0"/>
          <w:divBdr>
            <w:top w:val="none" w:sz="0" w:space="0" w:color="auto"/>
            <w:left w:val="none" w:sz="0" w:space="0" w:color="auto"/>
            <w:bottom w:val="none" w:sz="0" w:space="0" w:color="auto"/>
            <w:right w:val="none" w:sz="0" w:space="0" w:color="auto"/>
          </w:divBdr>
        </w:div>
        <w:div w:id="1375234003">
          <w:marLeft w:val="0"/>
          <w:marRight w:val="0"/>
          <w:marTop w:val="0"/>
          <w:marBottom w:val="0"/>
          <w:divBdr>
            <w:top w:val="none" w:sz="0" w:space="0" w:color="auto"/>
            <w:left w:val="none" w:sz="0" w:space="0" w:color="auto"/>
            <w:bottom w:val="none" w:sz="0" w:space="0" w:color="auto"/>
            <w:right w:val="none" w:sz="0" w:space="0" w:color="auto"/>
          </w:divBdr>
        </w:div>
        <w:div w:id="1384402863">
          <w:marLeft w:val="0"/>
          <w:marRight w:val="0"/>
          <w:marTop w:val="0"/>
          <w:marBottom w:val="0"/>
          <w:divBdr>
            <w:top w:val="none" w:sz="0" w:space="0" w:color="auto"/>
            <w:left w:val="none" w:sz="0" w:space="0" w:color="auto"/>
            <w:bottom w:val="none" w:sz="0" w:space="0" w:color="auto"/>
            <w:right w:val="none" w:sz="0" w:space="0" w:color="auto"/>
          </w:divBdr>
        </w:div>
        <w:div w:id="1401825595">
          <w:marLeft w:val="0"/>
          <w:marRight w:val="0"/>
          <w:marTop w:val="0"/>
          <w:marBottom w:val="0"/>
          <w:divBdr>
            <w:top w:val="none" w:sz="0" w:space="0" w:color="auto"/>
            <w:left w:val="none" w:sz="0" w:space="0" w:color="auto"/>
            <w:bottom w:val="none" w:sz="0" w:space="0" w:color="auto"/>
            <w:right w:val="none" w:sz="0" w:space="0" w:color="auto"/>
          </w:divBdr>
        </w:div>
        <w:div w:id="1462578933">
          <w:marLeft w:val="0"/>
          <w:marRight w:val="0"/>
          <w:marTop w:val="0"/>
          <w:marBottom w:val="0"/>
          <w:divBdr>
            <w:top w:val="none" w:sz="0" w:space="0" w:color="auto"/>
            <w:left w:val="none" w:sz="0" w:space="0" w:color="auto"/>
            <w:bottom w:val="none" w:sz="0" w:space="0" w:color="auto"/>
            <w:right w:val="none" w:sz="0" w:space="0" w:color="auto"/>
          </w:divBdr>
        </w:div>
        <w:div w:id="1503013575">
          <w:marLeft w:val="0"/>
          <w:marRight w:val="0"/>
          <w:marTop w:val="0"/>
          <w:marBottom w:val="0"/>
          <w:divBdr>
            <w:top w:val="none" w:sz="0" w:space="0" w:color="auto"/>
            <w:left w:val="none" w:sz="0" w:space="0" w:color="auto"/>
            <w:bottom w:val="none" w:sz="0" w:space="0" w:color="auto"/>
            <w:right w:val="none" w:sz="0" w:space="0" w:color="auto"/>
          </w:divBdr>
        </w:div>
        <w:div w:id="1622152962">
          <w:marLeft w:val="0"/>
          <w:marRight w:val="0"/>
          <w:marTop w:val="0"/>
          <w:marBottom w:val="0"/>
          <w:divBdr>
            <w:top w:val="none" w:sz="0" w:space="0" w:color="auto"/>
            <w:left w:val="none" w:sz="0" w:space="0" w:color="auto"/>
            <w:bottom w:val="none" w:sz="0" w:space="0" w:color="auto"/>
            <w:right w:val="none" w:sz="0" w:space="0" w:color="auto"/>
          </w:divBdr>
        </w:div>
        <w:div w:id="1642151505">
          <w:marLeft w:val="0"/>
          <w:marRight w:val="0"/>
          <w:marTop w:val="0"/>
          <w:marBottom w:val="0"/>
          <w:divBdr>
            <w:top w:val="none" w:sz="0" w:space="0" w:color="auto"/>
            <w:left w:val="none" w:sz="0" w:space="0" w:color="auto"/>
            <w:bottom w:val="none" w:sz="0" w:space="0" w:color="auto"/>
            <w:right w:val="none" w:sz="0" w:space="0" w:color="auto"/>
          </w:divBdr>
        </w:div>
        <w:div w:id="1697348761">
          <w:marLeft w:val="0"/>
          <w:marRight w:val="0"/>
          <w:marTop w:val="0"/>
          <w:marBottom w:val="0"/>
          <w:divBdr>
            <w:top w:val="none" w:sz="0" w:space="0" w:color="auto"/>
            <w:left w:val="none" w:sz="0" w:space="0" w:color="auto"/>
            <w:bottom w:val="none" w:sz="0" w:space="0" w:color="auto"/>
            <w:right w:val="none" w:sz="0" w:space="0" w:color="auto"/>
          </w:divBdr>
        </w:div>
        <w:div w:id="1816332760">
          <w:marLeft w:val="0"/>
          <w:marRight w:val="0"/>
          <w:marTop w:val="0"/>
          <w:marBottom w:val="0"/>
          <w:divBdr>
            <w:top w:val="none" w:sz="0" w:space="0" w:color="auto"/>
            <w:left w:val="none" w:sz="0" w:space="0" w:color="auto"/>
            <w:bottom w:val="none" w:sz="0" w:space="0" w:color="auto"/>
            <w:right w:val="none" w:sz="0" w:space="0" w:color="auto"/>
          </w:divBdr>
        </w:div>
        <w:div w:id="1818567275">
          <w:marLeft w:val="0"/>
          <w:marRight w:val="0"/>
          <w:marTop w:val="0"/>
          <w:marBottom w:val="0"/>
          <w:divBdr>
            <w:top w:val="none" w:sz="0" w:space="0" w:color="auto"/>
            <w:left w:val="none" w:sz="0" w:space="0" w:color="auto"/>
            <w:bottom w:val="none" w:sz="0" w:space="0" w:color="auto"/>
            <w:right w:val="none" w:sz="0" w:space="0" w:color="auto"/>
          </w:divBdr>
        </w:div>
        <w:div w:id="1818958606">
          <w:marLeft w:val="0"/>
          <w:marRight w:val="0"/>
          <w:marTop w:val="0"/>
          <w:marBottom w:val="0"/>
          <w:divBdr>
            <w:top w:val="none" w:sz="0" w:space="0" w:color="auto"/>
            <w:left w:val="none" w:sz="0" w:space="0" w:color="auto"/>
            <w:bottom w:val="none" w:sz="0" w:space="0" w:color="auto"/>
            <w:right w:val="none" w:sz="0" w:space="0" w:color="auto"/>
          </w:divBdr>
        </w:div>
        <w:div w:id="1827621606">
          <w:marLeft w:val="0"/>
          <w:marRight w:val="0"/>
          <w:marTop w:val="0"/>
          <w:marBottom w:val="0"/>
          <w:divBdr>
            <w:top w:val="none" w:sz="0" w:space="0" w:color="auto"/>
            <w:left w:val="none" w:sz="0" w:space="0" w:color="auto"/>
            <w:bottom w:val="none" w:sz="0" w:space="0" w:color="auto"/>
            <w:right w:val="none" w:sz="0" w:space="0" w:color="auto"/>
          </w:divBdr>
        </w:div>
        <w:div w:id="1863202621">
          <w:marLeft w:val="0"/>
          <w:marRight w:val="0"/>
          <w:marTop w:val="0"/>
          <w:marBottom w:val="0"/>
          <w:divBdr>
            <w:top w:val="none" w:sz="0" w:space="0" w:color="auto"/>
            <w:left w:val="none" w:sz="0" w:space="0" w:color="auto"/>
            <w:bottom w:val="none" w:sz="0" w:space="0" w:color="auto"/>
            <w:right w:val="none" w:sz="0" w:space="0" w:color="auto"/>
          </w:divBdr>
        </w:div>
        <w:div w:id="1871185708">
          <w:marLeft w:val="0"/>
          <w:marRight w:val="0"/>
          <w:marTop w:val="0"/>
          <w:marBottom w:val="0"/>
          <w:divBdr>
            <w:top w:val="none" w:sz="0" w:space="0" w:color="auto"/>
            <w:left w:val="none" w:sz="0" w:space="0" w:color="auto"/>
            <w:bottom w:val="none" w:sz="0" w:space="0" w:color="auto"/>
            <w:right w:val="none" w:sz="0" w:space="0" w:color="auto"/>
          </w:divBdr>
          <w:divsChild>
            <w:div w:id="1496602086">
              <w:marLeft w:val="-75"/>
              <w:marRight w:val="0"/>
              <w:marTop w:val="30"/>
              <w:marBottom w:val="30"/>
              <w:divBdr>
                <w:top w:val="none" w:sz="0" w:space="0" w:color="auto"/>
                <w:left w:val="none" w:sz="0" w:space="0" w:color="auto"/>
                <w:bottom w:val="none" w:sz="0" w:space="0" w:color="auto"/>
                <w:right w:val="none" w:sz="0" w:space="0" w:color="auto"/>
              </w:divBdr>
              <w:divsChild>
                <w:div w:id="50933265">
                  <w:marLeft w:val="0"/>
                  <w:marRight w:val="0"/>
                  <w:marTop w:val="0"/>
                  <w:marBottom w:val="0"/>
                  <w:divBdr>
                    <w:top w:val="none" w:sz="0" w:space="0" w:color="auto"/>
                    <w:left w:val="none" w:sz="0" w:space="0" w:color="auto"/>
                    <w:bottom w:val="none" w:sz="0" w:space="0" w:color="auto"/>
                    <w:right w:val="none" w:sz="0" w:space="0" w:color="auto"/>
                  </w:divBdr>
                  <w:divsChild>
                    <w:div w:id="1240558066">
                      <w:marLeft w:val="0"/>
                      <w:marRight w:val="0"/>
                      <w:marTop w:val="0"/>
                      <w:marBottom w:val="0"/>
                      <w:divBdr>
                        <w:top w:val="none" w:sz="0" w:space="0" w:color="auto"/>
                        <w:left w:val="none" w:sz="0" w:space="0" w:color="auto"/>
                        <w:bottom w:val="none" w:sz="0" w:space="0" w:color="auto"/>
                        <w:right w:val="none" w:sz="0" w:space="0" w:color="auto"/>
                      </w:divBdr>
                    </w:div>
                  </w:divsChild>
                </w:div>
                <w:div w:id="105657330">
                  <w:marLeft w:val="0"/>
                  <w:marRight w:val="0"/>
                  <w:marTop w:val="0"/>
                  <w:marBottom w:val="0"/>
                  <w:divBdr>
                    <w:top w:val="none" w:sz="0" w:space="0" w:color="auto"/>
                    <w:left w:val="none" w:sz="0" w:space="0" w:color="auto"/>
                    <w:bottom w:val="none" w:sz="0" w:space="0" w:color="auto"/>
                    <w:right w:val="none" w:sz="0" w:space="0" w:color="auto"/>
                  </w:divBdr>
                  <w:divsChild>
                    <w:div w:id="1723823736">
                      <w:marLeft w:val="0"/>
                      <w:marRight w:val="0"/>
                      <w:marTop w:val="0"/>
                      <w:marBottom w:val="0"/>
                      <w:divBdr>
                        <w:top w:val="none" w:sz="0" w:space="0" w:color="auto"/>
                        <w:left w:val="none" w:sz="0" w:space="0" w:color="auto"/>
                        <w:bottom w:val="none" w:sz="0" w:space="0" w:color="auto"/>
                        <w:right w:val="none" w:sz="0" w:space="0" w:color="auto"/>
                      </w:divBdr>
                    </w:div>
                  </w:divsChild>
                </w:div>
                <w:div w:id="119032253">
                  <w:marLeft w:val="0"/>
                  <w:marRight w:val="0"/>
                  <w:marTop w:val="0"/>
                  <w:marBottom w:val="0"/>
                  <w:divBdr>
                    <w:top w:val="none" w:sz="0" w:space="0" w:color="auto"/>
                    <w:left w:val="none" w:sz="0" w:space="0" w:color="auto"/>
                    <w:bottom w:val="none" w:sz="0" w:space="0" w:color="auto"/>
                    <w:right w:val="none" w:sz="0" w:space="0" w:color="auto"/>
                  </w:divBdr>
                  <w:divsChild>
                    <w:div w:id="247228243">
                      <w:marLeft w:val="0"/>
                      <w:marRight w:val="0"/>
                      <w:marTop w:val="0"/>
                      <w:marBottom w:val="0"/>
                      <w:divBdr>
                        <w:top w:val="none" w:sz="0" w:space="0" w:color="auto"/>
                        <w:left w:val="none" w:sz="0" w:space="0" w:color="auto"/>
                        <w:bottom w:val="none" w:sz="0" w:space="0" w:color="auto"/>
                        <w:right w:val="none" w:sz="0" w:space="0" w:color="auto"/>
                      </w:divBdr>
                    </w:div>
                  </w:divsChild>
                </w:div>
                <w:div w:id="153956588">
                  <w:marLeft w:val="0"/>
                  <w:marRight w:val="0"/>
                  <w:marTop w:val="0"/>
                  <w:marBottom w:val="0"/>
                  <w:divBdr>
                    <w:top w:val="none" w:sz="0" w:space="0" w:color="auto"/>
                    <w:left w:val="none" w:sz="0" w:space="0" w:color="auto"/>
                    <w:bottom w:val="none" w:sz="0" w:space="0" w:color="auto"/>
                    <w:right w:val="none" w:sz="0" w:space="0" w:color="auto"/>
                  </w:divBdr>
                  <w:divsChild>
                    <w:div w:id="1706558905">
                      <w:marLeft w:val="0"/>
                      <w:marRight w:val="0"/>
                      <w:marTop w:val="0"/>
                      <w:marBottom w:val="0"/>
                      <w:divBdr>
                        <w:top w:val="none" w:sz="0" w:space="0" w:color="auto"/>
                        <w:left w:val="none" w:sz="0" w:space="0" w:color="auto"/>
                        <w:bottom w:val="none" w:sz="0" w:space="0" w:color="auto"/>
                        <w:right w:val="none" w:sz="0" w:space="0" w:color="auto"/>
                      </w:divBdr>
                    </w:div>
                  </w:divsChild>
                </w:div>
                <w:div w:id="316227996">
                  <w:marLeft w:val="0"/>
                  <w:marRight w:val="0"/>
                  <w:marTop w:val="0"/>
                  <w:marBottom w:val="0"/>
                  <w:divBdr>
                    <w:top w:val="none" w:sz="0" w:space="0" w:color="auto"/>
                    <w:left w:val="none" w:sz="0" w:space="0" w:color="auto"/>
                    <w:bottom w:val="none" w:sz="0" w:space="0" w:color="auto"/>
                    <w:right w:val="none" w:sz="0" w:space="0" w:color="auto"/>
                  </w:divBdr>
                  <w:divsChild>
                    <w:div w:id="1053651990">
                      <w:marLeft w:val="0"/>
                      <w:marRight w:val="0"/>
                      <w:marTop w:val="0"/>
                      <w:marBottom w:val="0"/>
                      <w:divBdr>
                        <w:top w:val="none" w:sz="0" w:space="0" w:color="auto"/>
                        <w:left w:val="none" w:sz="0" w:space="0" w:color="auto"/>
                        <w:bottom w:val="none" w:sz="0" w:space="0" w:color="auto"/>
                        <w:right w:val="none" w:sz="0" w:space="0" w:color="auto"/>
                      </w:divBdr>
                    </w:div>
                  </w:divsChild>
                </w:div>
                <w:div w:id="326203262">
                  <w:marLeft w:val="0"/>
                  <w:marRight w:val="0"/>
                  <w:marTop w:val="0"/>
                  <w:marBottom w:val="0"/>
                  <w:divBdr>
                    <w:top w:val="none" w:sz="0" w:space="0" w:color="auto"/>
                    <w:left w:val="none" w:sz="0" w:space="0" w:color="auto"/>
                    <w:bottom w:val="none" w:sz="0" w:space="0" w:color="auto"/>
                    <w:right w:val="none" w:sz="0" w:space="0" w:color="auto"/>
                  </w:divBdr>
                  <w:divsChild>
                    <w:div w:id="396824290">
                      <w:marLeft w:val="0"/>
                      <w:marRight w:val="0"/>
                      <w:marTop w:val="0"/>
                      <w:marBottom w:val="0"/>
                      <w:divBdr>
                        <w:top w:val="none" w:sz="0" w:space="0" w:color="auto"/>
                        <w:left w:val="none" w:sz="0" w:space="0" w:color="auto"/>
                        <w:bottom w:val="none" w:sz="0" w:space="0" w:color="auto"/>
                        <w:right w:val="none" w:sz="0" w:space="0" w:color="auto"/>
                      </w:divBdr>
                    </w:div>
                  </w:divsChild>
                </w:div>
                <w:div w:id="376508155">
                  <w:marLeft w:val="0"/>
                  <w:marRight w:val="0"/>
                  <w:marTop w:val="0"/>
                  <w:marBottom w:val="0"/>
                  <w:divBdr>
                    <w:top w:val="none" w:sz="0" w:space="0" w:color="auto"/>
                    <w:left w:val="none" w:sz="0" w:space="0" w:color="auto"/>
                    <w:bottom w:val="none" w:sz="0" w:space="0" w:color="auto"/>
                    <w:right w:val="none" w:sz="0" w:space="0" w:color="auto"/>
                  </w:divBdr>
                  <w:divsChild>
                    <w:div w:id="950471771">
                      <w:marLeft w:val="0"/>
                      <w:marRight w:val="0"/>
                      <w:marTop w:val="0"/>
                      <w:marBottom w:val="0"/>
                      <w:divBdr>
                        <w:top w:val="none" w:sz="0" w:space="0" w:color="auto"/>
                        <w:left w:val="none" w:sz="0" w:space="0" w:color="auto"/>
                        <w:bottom w:val="none" w:sz="0" w:space="0" w:color="auto"/>
                        <w:right w:val="none" w:sz="0" w:space="0" w:color="auto"/>
                      </w:divBdr>
                    </w:div>
                  </w:divsChild>
                </w:div>
                <w:div w:id="385220746">
                  <w:marLeft w:val="0"/>
                  <w:marRight w:val="0"/>
                  <w:marTop w:val="0"/>
                  <w:marBottom w:val="0"/>
                  <w:divBdr>
                    <w:top w:val="none" w:sz="0" w:space="0" w:color="auto"/>
                    <w:left w:val="none" w:sz="0" w:space="0" w:color="auto"/>
                    <w:bottom w:val="none" w:sz="0" w:space="0" w:color="auto"/>
                    <w:right w:val="none" w:sz="0" w:space="0" w:color="auto"/>
                  </w:divBdr>
                  <w:divsChild>
                    <w:div w:id="1760831758">
                      <w:marLeft w:val="0"/>
                      <w:marRight w:val="0"/>
                      <w:marTop w:val="0"/>
                      <w:marBottom w:val="0"/>
                      <w:divBdr>
                        <w:top w:val="none" w:sz="0" w:space="0" w:color="auto"/>
                        <w:left w:val="none" w:sz="0" w:space="0" w:color="auto"/>
                        <w:bottom w:val="none" w:sz="0" w:space="0" w:color="auto"/>
                        <w:right w:val="none" w:sz="0" w:space="0" w:color="auto"/>
                      </w:divBdr>
                    </w:div>
                  </w:divsChild>
                </w:div>
                <w:div w:id="409232710">
                  <w:marLeft w:val="0"/>
                  <w:marRight w:val="0"/>
                  <w:marTop w:val="0"/>
                  <w:marBottom w:val="0"/>
                  <w:divBdr>
                    <w:top w:val="none" w:sz="0" w:space="0" w:color="auto"/>
                    <w:left w:val="none" w:sz="0" w:space="0" w:color="auto"/>
                    <w:bottom w:val="none" w:sz="0" w:space="0" w:color="auto"/>
                    <w:right w:val="none" w:sz="0" w:space="0" w:color="auto"/>
                  </w:divBdr>
                  <w:divsChild>
                    <w:div w:id="850415879">
                      <w:marLeft w:val="0"/>
                      <w:marRight w:val="0"/>
                      <w:marTop w:val="0"/>
                      <w:marBottom w:val="0"/>
                      <w:divBdr>
                        <w:top w:val="none" w:sz="0" w:space="0" w:color="auto"/>
                        <w:left w:val="none" w:sz="0" w:space="0" w:color="auto"/>
                        <w:bottom w:val="none" w:sz="0" w:space="0" w:color="auto"/>
                        <w:right w:val="none" w:sz="0" w:space="0" w:color="auto"/>
                      </w:divBdr>
                    </w:div>
                  </w:divsChild>
                </w:div>
                <w:div w:id="410395083">
                  <w:marLeft w:val="0"/>
                  <w:marRight w:val="0"/>
                  <w:marTop w:val="0"/>
                  <w:marBottom w:val="0"/>
                  <w:divBdr>
                    <w:top w:val="none" w:sz="0" w:space="0" w:color="auto"/>
                    <w:left w:val="none" w:sz="0" w:space="0" w:color="auto"/>
                    <w:bottom w:val="none" w:sz="0" w:space="0" w:color="auto"/>
                    <w:right w:val="none" w:sz="0" w:space="0" w:color="auto"/>
                  </w:divBdr>
                  <w:divsChild>
                    <w:div w:id="1477604811">
                      <w:marLeft w:val="0"/>
                      <w:marRight w:val="0"/>
                      <w:marTop w:val="0"/>
                      <w:marBottom w:val="0"/>
                      <w:divBdr>
                        <w:top w:val="none" w:sz="0" w:space="0" w:color="auto"/>
                        <w:left w:val="none" w:sz="0" w:space="0" w:color="auto"/>
                        <w:bottom w:val="none" w:sz="0" w:space="0" w:color="auto"/>
                        <w:right w:val="none" w:sz="0" w:space="0" w:color="auto"/>
                      </w:divBdr>
                    </w:div>
                  </w:divsChild>
                </w:div>
                <w:div w:id="751463158">
                  <w:marLeft w:val="0"/>
                  <w:marRight w:val="0"/>
                  <w:marTop w:val="0"/>
                  <w:marBottom w:val="0"/>
                  <w:divBdr>
                    <w:top w:val="none" w:sz="0" w:space="0" w:color="auto"/>
                    <w:left w:val="none" w:sz="0" w:space="0" w:color="auto"/>
                    <w:bottom w:val="none" w:sz="0" w:space="0" w:color="auto"/>
                    <w:right w:val="none" w:sz="0" w:space="0" w:color="auto"/>
                  </w:divBdr>
                  <w:divsChild>
                    <w:div w:id="1997609727">
                      <w:marLeft w:val="0"/>
                      <w:marRight w:val="0"/>
                      <w:marTop w:val="0"/>
                      <w:marBottom w:val="0"/>
                      <w:divBdr>
                        <w:top w:val="none" w:sz="0" w:space="0" w:color="auto"/>
                        <w:left w:val="none" w:sz="0" w:space="0" w:color="auto"/>
                        <w:bottom w:val="none" w:sz="0" w:space="0" w:color="auto"/>
                        <w:right w:val="none" w:sz="0" w:space="0" w:color="auto"/>
                      </w:divBdr>
                    </w:div>
                  </w:divsChild>
                </w:div>
                <w:div w:id="929965778">
                  <w:marLeft w:val="0"/>
                  <w:marRight w:val="0"/>
                  <w:marTop w:val="0"/>
                  <w:marBottom w:val="0"/>
                  <w:divBdr>
                    <w:top w:val="none" w:sz="0" w:space="0" w:color="auto"/>
                    <w:left w:val="none" w:sz="0" w:space="0" w:color="auto"/>
                    <w:bottom w:val="none" w:sz="0" w:space="0" w:color="auto"/>
                    <w:right w:val="none" w:sz="0" w:space="0" w:color="auto"/>
                  </w:divBdr>
                  <w:divsChild>
                    <w:div w:id="1210415651">
                      <w:marLeft w:val="0"/>
                      <w:marRight w:val="0"/>
                      <w:marTop w:val="0"/>
                      <w:marBottom w:val="0"/>
                      <w:divBdr>
                        <w:top w:val="none" w:sz="0" w:space="0" w:color="auto"/>
                        <w:left w:val="none" w:sz="0" w:space="0" w:color="auto"/>
                        <w:bottom w:val="none" w:sz="0" w:space="0" w:color="auto"/>
                        <w:right w:val="none" w:sz="0" w:space="0" w:color="auto"/>
                      </w:divBdr>
                    </w:div>
                  </w:divsChild>
                </w:div>
                <w:div w:id="1167284608">
                  <w:marLeft w:val="0"/>
                  <w:marRight w:val="0"/>
                  <w:marTop w:val="0"/>
                  <w:marBottom w:val="0"/>
                  <w:divBdr>
                    <w:top w:val="none" w:sz="0" w:space="0" w:color="auto"/>
                    <w:left w:val="none" w:sz="0" w:space="0" w:color="auto"/>
                    <w:bottom w:val="none" w:sz="0" w:space="0" w:color="auto"/>
                    <w:right w:val="none" w:sz="0" w:space="0" w:color="auto"/>
                  </w:divBdr>
                  <w:divsChild>
                    <w:div w:id="933243769">
                      <w:marLeft w:val="0"/>
                      <w:marRight w:val="0"/>
                      <w:marTop w:val="0"/>
                      <w:marBottom w:val="0"/>
                      <w:divBdr>
                        <w:top w:val="none" w:sz="0" w:space="0" w:color="auto"/>
                        <w:left w:val="none" w:sz="0" w:space="0" w:color="auto"/>
                        <w:bottom w:val="none" w:sz="0" w:space="0" w:color="auto"/>
                        <w:right w:val="none" w:sz="0" w:space="0" w:color="auto"/>
                      </w:divBdr>
                    </w:div>
                  </w:divsChild>
                </w:div>
                <w:div w:id="1191183006">
                  <w:marLeft w:val="0"/>
                  <w:marRight w:val="0"/>
                  <w:marTop w:val="0"/>
                  <w:marBottom w:val="0"/>
                  <w:divBdr>
                    <w:top w:val="none" w:sz="0" w:space="0" w:color="auto"/>
                    <w:left w:val="none" w:sz="0" w:space="0" w:color="auto"/>
                    <w:bottom w:val="none" w:sz="0" w:space="0" w:color="auto"/>
                    <w:right w:val="none" w:sz="0" w:space="0" w:color="auto"/>
                  </w:divBdr>
                  <w:divsChild>
                    <w:div w:id="1862232894">
                      <w:marLeft w:val="0"/>
                      <w:marRight w:val="0"/>
                      <w:marTop w:val="0"/>
                      <w:marBottom w:val="0"/>
                      <w:divBdr>
                        <w:top w:val="none" w:sz="0" w:space="0" w:color="auto"/>
                        <w:left w:val="none" w:sz="0" w:space="0" w:color="auto"/>
                        <w:bottom w:val="none" w:sz="0" w:space="0" w:color="auto"/>
                        <w:right w:val="none" w:sz="0" w:space="0" w:color="auto"/>
                      </w:divBdr>
                    </w:div>
                  </w:divsChild>
                </w:div>
                <w:div w:id="1210647972">
                  <w:marLeft w:val="0"/>
                  <w:marRight w:val="0"/>
                  <w:marTop w:val="0"/>
                  <w:marBottom w:val="0"/>
                  <w:divBdr>
                    <w:top w:val="none" w:sz="0" w:space="0" w:color="auto"/>
                    <w:left w:val="none" w:sz="0" w:space="0" w:color="auto"/>
                    <w:bottom w:val="none" w:sz="0" w:space="0" w:color="auto"/>
                    <w:right w:val="none" w:sz="0" w:space="0" w:color="auto"/>
                  </w:divBdr>
                  <w:divsChild>
                    <w:div w:id="580145603">
                      <w:marLeft w:val="0"/>
                      <w:marRight w:val="0"/>
                      <w:marTop w:val="0"/>
                      <w:marBottom w:val="0"/>
                      <w:divBdr>
                        <w:top w:val="none" w:sz="0" w:space="0" w:color="auto"/>
                        <w:left w:val="none" w:sz="0" w:space="0" w:color="auto"/>
                        <w:bottom w:val="none" w:sz="0" w:space="0" w:color="auto"/>
                        <w:right w:val="none" w:sz="0" w:space="0" w:color="auto"/>
                      </w:divBdr>
                    </w:div>
                  </w:divsChild>
                </w:div>
                <w:div w:id="1290355541">
                  <w:marLeft w:val="0"/>
                  <w:marRight w:val="0"/>
                  <w:marTop w:val="0"/>
                  <w:marBottom w:val="0"/>
                  <w:divBdr>
                    <w:top w:val="none" w:sz="0" w:space="0" w:color="auto"/>
                    <w:left w:val="none" w:sz="0" w:space="0" w:color="auto"/>
                    <w:bottom w:val="none" w:sz="0" w:space="0" w:color="auto"/>
                    <w:right w:val="none" w:sz="0" w:space="0" w:color="auto"/>
                  </w:divBdr>
                  <w:divsChild>
                    <w:div w:id="1490754223">
                      <w:marLeft w:val="0"/>
                      <w:marRight w:val="0"/>
                      <w:marTop w:val="0"/>
                      <w:marBottom w:val="0"/>
                      <w:divBdr>
                        <w:top w:val="none" w:sz="0" w:space="0" w:color="auto"/>
                        <w:left w:val="none" w:sz="0" w:space="0" w:color="auto"/>
                        <w:bottom w:val="none" w:sz="0" w:space="0" w:color="auto"/>
                        <w:right w:val="none" w:sz="0" w:space="0" w:color="auto"/>
                      </w:divBdr>
                    </w:div>
                  </w:divsChild>
                </w:div>
                <w:div w:id="1308785397">
                  <w:marLeft w:val="0"/>
                  <w:marRight w:val="0"/>
                  <w:marTop w:val="0"/>
                  <w:marBottom w:val="0"/>
                  <w:divBdr>
                    <w:top w:val="none" w:sz="0" w:space="0" w:color="auto"/>
                    <w:left w:val="none" w:sz="0" w:space="0" w:color="auto"/>
                    <w:bottom w:val="none" w:sz="0" w:space="0" w:color="auto"/>
                    <w:right w:val="none" w:sz="0" w:space="0" w:color="auto"/>
                  </w:divBdr>
                  <w:divsChild>
                    <w:div w:id="608044761">
                      <w:marLeft w:val="0"/>
                      <w:marRight w:val="0"/>
                      <w:marTop w:val="0"/>
                      <w:marBottom w:val="0"/>
                      <w:divBdr>
                        <w:top w:val="none" w:sz="0" w:space="0" w:color="auto"/>
                        <w:left w:val="none" w:sz="0" w:space="0" w:color="auto"/>
                        <w:bottom w:val="none" w:sz="0" w:space="0" w:color="auto"/>
                        <w:right w:val="none" w:sz="0" w:space="0" w:color="auto"/>
                      </w:divBdr>
                    </w:div>
                  </w:divsChild>
                </w:div>
                <w:div w:id="1314137229">
                  <w:marLeft w:val="0"/>
                  <w:marRight w:val="0"/>
                  <w:marTop w:val="0"/>
                  <w:marBottom w:val="0"/>
                  <w:divBdr>
                    <w:top w:val="none" w:sz="0" w:space="0" w:color="auto"/>
                    <w:left w:val="none" w:sz="0" w:space="0" w:color="auto"/>
                    <w:bottom w:val="none" w:sz="0" w:space="0" w:color="auto"/>
                    <w:right w:val="none" w:sz="0" w:space="0" w:color="auto"/>
                  </w:divBdr>
                  <w:divsChild>
                    <w:div w:id="1696149686">
                      <w:marLeft w:val="0"/>
                      <w:marRight w:val="0"/>
                      <w:marTop w:val="0"/>
                      <w:marBottom w:val="0"/>
                      <w:divBdr>
                        <w:top w:val="none" w:sz="0" w:space="0" w:color="auto"/>
                        <w:left w:val="none" w:sz="0" w:space="0" w:color="auto"/>
                        <w:bottom w:val="none" w:sz="0" w:space="0" w:color="auto"/>
                        <w:right w:val="none" w:sz="0" w:space="0" w:color="auto"/>
                      </w:divBdr>
                    </w:div>
                  </w:divsChild>
                </w:div>
                <w:div w:id="1422145315">
                  <w:marLeft w:val="0"/>
                  <w:marRight w:val="0"/>
                  <w:marTop w:val="0"/>
                  <w:marBottom w:val="0"/>
                  <w:divBdr>
                    <w:top w:val="none" w:sz="0" w:space="0" w:color="auto"/>
                    <w:left w:val="none" w:sz="0" w:space="0" w:color="auto"/>
                    <w:bottom w:val="none" w:sz="0" w:space="0" w:color="auto"/>
                    <w:right w:val="none" w:sz="0" w:space="0" w:color="auto"/>
                  </w:divBdr>
                  <w:divsChild>
                    <w:div w:id="1609462934">
                      <w:marLeft w:val="0"/>
                      <w:marRight w:val="0"/>
                      <w:marTop w:val="0"/>
                      <w:marBottom w:val="0"/>
                      <w:divBdr>
                        <w:top w:val="none" w:sz="0" w:space="0" w:color="auto"/>
                        <w:left w:val="none" w:sz="0" w:space="0" w:color="auto"/>
                        <w:bottom w:val="none" w:sz="0" w:space="0" w:color="auto"/>
                        <w:right w:val="none" w:sz="0" w:space="0" w:color="auto"/>
                      </w:divBdr>
                    </w:div>
                  </w:divsChild>
                </w:div>
                <w:div w:id="1428229881">
                  <w:marLeft w:val="0"/>
                  <w:marRight w:val="0"/>
                  <w:marTop w:val="0"/>
                  <w:marBottom w:val="0"/>
                  <w:divBdr>
                    <w:top w:val="none" w:sz="0" w:space="0" w:color="auto"/>
                    <w:left w:val="none" w:sz="0" w:space="0" w:color="auto"/>
                    <w:bottom w:val="none" w:sz="0" w:space="0" w:color="auto"/>
                    <w:right w:val="none" w:sz="0" w:space="0" w:color="auto"/>
                  </w:divBdr>
                  <w:divsChild>
                    <w:div w:id="1709330269">
                      <w:marLeft w:val="0"/>
                      <w:marRight w:val="0"/>
                      <w:marTop w:val="0"/>
                      <w:marBottom w:val="0"/>
                      <w:divBdr>
                        <w:top w:val="none" w:sz="0" w:space="0" w:color="auto"/>
                        <w:left w:val="none" w:sz="0" w:space="0" w:color="auto"/>
                        <w:bottom w:val="none" w:sz="0" w:space="0" w:color="auto"/>
                        <w:right w:val="none" w:sz="0" w:space="0" w:color="auto"/>
                      </w:divBdr>
                    </w:div>
                  </w:divsChild>
                </w:div>
                <w:div w:id="1527983052">
                  <w:marLeft w:val="0"/>
                  <w:marRight w:val="0"/>
                  <w:marTop w:val="0"/>
                  <w:marBottom w:val="0"/>
                  <w:divBdr>
                    <w:top w:val="none" w:sz="0" w:space="0" w:color="auto"/>
                    <w:left w:val="none" w:sz="0" w:space="0" w:color="auto"/>
                    <w:bottom w:val="none" w:sz="0" w:space="0" w:color="auto"/>
                    <w:right w:val="none" w:sz="0" w:space="0" w:color="auto"/>
                  </w:divBdr>
                  <w:divsChild>
                    <w:div w:id="1536582618">
                      <w:marLeft w:val="0"/>
                      <w:marRight w:val="0"/>
                      <w:marTop w:val="0"/>
                      <w:marBottom w:val="0"/>
                      <w:divBdr>
                        <w:top w:val="none" w:sz="0" w:space="0" w:color="auto"/>
                        <w:left w:val="none" w:sz="0" w:space="0" w:color="auto"/>
                        <w:bottom w:val="none" w:sz="0" w:space="0" w:color="auto"/>
                        <w:right w:val="none" w:sz="0" w:space="0" w:color="auto"/>
                      </w:divBdr>
                    </w:div>
                  </w:divsChild>
                </w:div>
                <w:div w:id="1632858009">
                  <w:marLeft w:val="0"/>
                  <w:marRight w:val="0"/>
                  <w:marTop w:val="0"/>
                  <w:marBottom w:val="0"/>
                  <w:divBdr>
                    <w:top w:val="none" w:sz="0" w:space="0" w:color="auto"/>
                    <w:left w:val="none" w:sz="0" w:space="0" w:color="auto"/>
                    <w:bottom w:val="none" w:sz="0" w:space="0" w:color="auto"/>
                    <w:right w:val="none" w:sz="0" w:space="0" w:color="auto"/>
                  </w:divBdr>
                  <w:divsChild>
                    <w:div w:id="170031762">
                      <w:marLeft w:val="0"/>
                      <w:marRight w:val="0"/>
                      <w:marTop w:val="0"/>
                      <w:marBottom w:val="0"/>
                      <w:divBdr>
                        <w:top w:val="none" w:sz="0" w:space="0" w:color="auto"/>
                        <w:left w:val="none" w:sz="0" w:space="0" w:color="auto"/>
                        <w:bottom w:val="none" w:sz="0" w:space="0" w:color="auto"/>
                        <w:right w:val="none" w:sz="0" w:space="0" w:color="auto"/>
                      </w:divBdr>
                    </w:div>
                  </w:divsChild>
                </w:div>
                <w:div w:id="1716656032">
                  <w:marLeft w:val="0"/>
                  <w:marRight w:val="0"/>
                  <w:marTop w:val="0"/>
                  <w:marBottom w:val="0"/>
                  <w:divBdr>
                    <w:top w:val="none" w:sz="0" w:space="0" w:color="auto"/>
                    <w:left w:val="none" w:sz="0" w:space="0" w:color="auto"/>
                    <w:bottom w:val="none" w:sz="0" w:space="0" w:color="auto"/>
                    <w:right w:val="none" w:sz="0" w:space="0" w:color="auto"/>
                  </w:divBdr>
                  <w:divsChild>
                    <w:div w:id="1048188629">
                      <w:marLeft w:val="0"/>
                      <w:marRight w:val="0"/>
                      <w:marTop w:val="0"/>
                      <w:marBottom w:val="0"/>
                      <w:divBdr>
                        <w:top w:val="none" w:sz="0" w:space="0" w:color="auto"/>
                        <w:left w:val="none" w:sz="0" w:space="0" w:color="auto"/>
                        <w:bottom w:val="none" w:sz="0" w:space="0" w:color="auto"/>
                        <w:right w:val="none" w:sz="0" w:space="0" w:color="auto"/>
                      </w:divBdr>
                    </w:div>
                  </w:divsChild>
                </w:div>
                <w:div w:id="1796172308">
                  <w:marLeft w:val="0"/>
                  <w:marRight w:val="0"/>
                  <w:marTop w:val="0"/>
                  <w:marBottom w:val="0"/>
                  <w:divBdr>
                    <w:top w:val="none" w:sz="0" w:space="0" w:color="auto"/>
                    <w:left w:val="none" w:sz="0" w:space="0" w:color="auto"/>
                    <w:bottom w:val="none" w:sz="0" w:space="0" w:color="auto"/>
                    <w:right w:val="none" w:sz="0" w:space="0" w:color="auto"/>
                  </w:divBdr>
                  <w:divsChild>
                    <w:div w:id="1700157032">
                      <w:marLeft w:val="0"/>
                      <w:marRight w:val="0"/>
                      <w:marTop w:val="0"/>
                      <w:marBottom w:val="0"/>
                      <w:divBdr>
                        <w:top w:val="none" w:sz="0" w:space="0" w:color="auto"/>
                        <w:left w:val="none" w:sz="0" w:space="0" w:color="auto"/>
                        <w:bottom w:val="none" w:sz="0" w:space="0" w:color="auto"/>
                        <w:right w:val="none" w:sz="0" w:space="0" w:color="auto"/>
                      </w:divBdr>
                    </w:div>
                  </w:divsChild>
                </w:div>
                <w:div w:id="1804690269">
                  <w:marLeft w:val="0"/>
                  <w:marRight w:val="0"/>
                  <w:marTop w:val="0"/>
                  <w:marBottom w:val="0"/>
                  <w:divBdr>
                    <w:top w:val="none" w:sz="0" w:space="0" w:color="auto"/>
                    <w:left w:val="none" w:sz="0" w:space="0" w:color="auto"/>
                    <w:bottom w:val="none" w:sz="0" w:space="0" w:color="auto"/>
                    <w:right w:val="none" w:sz="0" w:space="0" w:color="auto"/>
                  </w:divBdr>
                  <w:divsChild>
                    <w:div w:id="63259822">
                      <w:marLeft w:val="0"/>
                      <w:marRight w:val="0"/>
                      <w:marTop w:val="0"/>
                      <w:marBottom w:val="0"/>
                      <w:divBdr>
                        <w:top w:val="none" w:sz="0" w:space="0" w:color="auto"/>
                        <w:left w:val="none" w:sz="0" w:space="0" w:color="auto"/>
                        <w:bottom w:val="none" w:sz="0" w:space="0" w:color="auto"/>
                        <w:right w:val="none" w:sz="0" w:space="0" w:color="auto"/>
                      </w:divBdr>
                    </w:div>
                  </w:divsChild>
                </w:div>
                <w:div w:id="1821119172">
                  <w:marLeft w:val="0"/>
                  <w:marRight w:val="0"/>
                  <w:marTop w:val="0"/>
                  <w:marBottom w:val="0"/>
                  <w:divBdr>
                    <w:top w:val="none" w:sz="0" w:space="0" w:color="auto"/>
                    <w:left w:val="none" w:sz="0" w:space="0" w:color="auto"/>
                    <w:bottom w:val="none" w:sz="0" w:space="0" w:color="auto"/>
                    <w:right w:val="none" w:sz="0" w:space="0" w:color="auto"/>
                  </w:divBdr>
                  <w:divsChild>
                    <w:div w:id="838235801">
                      <w:marLeft w:val="0"/>
                      <w:marRight w:val="0"/>
                      <w:marTop w:val="0"/>
                      <w:marBottom w:val="0"/>
                      <w:divBdr>
                        <w:top w:val="none" w:sz="0" w:space="0" w:color="auto"/>
                        <w:left w:val="none" w:sz="0" w:space="0" w:color="auto"/>
                        <w:bottom w:val="none" w:sz="0" w:space="0" w:color="auto"/>
                        <w:right w:val="none" w:sz="0" w:space="0" w:color="auto"/>
                      </w:divBdr>
                    </w:div>
                  </w:divsChild>
                </w:div>
                <w:div w:id="1831866013">
                  <w:marLeft w:val="0"/>
                  <w:marRight w:val="0"/>
                  <w:marTop w:val="0"/>
                  <w:marBottom w:val="0"/>
                  <w:divBdr>
                    <w:top w:val="none" w:sz="0" w:space="0" w:color="auto"/>
                    <w:left w:val="none" w:sz="0" w:space="0" w:color="auto"/>
                    <w:bottom w:val="none" w:sz="0" w:space="0" w:color="auto"/>
                    <w:right w:val="none" w:sz="0" w:space="0" w:color="auto"/>
                  </w:divBdr>
                  <w:divsChild>
                    <w:div w:id="1084687163">
                      <w:marLeft w:val="0"/>
                      <w:marRight w:val="0"/>
                      <w:marTop w:val="0"/>
                      <w:marBottom w:val="0"/>
                      <w:divBdr>
                        <w:top w:val="none" w:sz="0" w:space="0" w:color="auto"/>
                        <w:left w:val="none" w:sz="0" w:space="0" w:color="auto"/>
                        <w:bottom w:val="none" w:sz="0" w:space="0" w:color="auto"/>
                        <w:right w:val="none" w:sz="0" w:space="0" w:color="auto"/>
                      </w:divBdr>
                    </w:div>
                  </w:divsChild>
                </w:div>
                <w:div w:id="1842044849">
                  <w:marLeft w:val="0"/>
                  <w:marRight w:val="0"/>
                  <w:marTop w:val="0"/>
                  <w:marBottom w:val="0"/>
                  <w:divBdr>
                    <w:top w:val="none" w:sz="0" w:space="0" w:color="auto"/>
                    <w:left w:val="none" w:sz="0" w:space="0" w:color="auto"/>
                    <w:bottom w:val="none" w:sz="0" w:space="0" w:color="auto"/>
                    <w:right w:val="none" w:sz="0" w:space="0" w:color="auto"/>
                  </w:divBdr>
                  <w:divsChild>
                    <w:div w:id="1703700643">
                      <w:marLeft w:val="0"/>
                      <w:marRight w:val="0"/>
                      <w:marTop w:val="0"/>
                      <w:marBottom w:val="0"/>
                      <w:divBdr>
                        <w:top w:val="none" w:sz="0" w:space="0" w:color="auto"/>
                        <w:left w:val="none" w:sz="0" w:space="0" w:color="auto"/>
                        <w:bottom w:val="none" w:sz="0" w:space="0" w:color="auto"/>
                        <w:right w:val="none" w:sz="0" w:space="0" w:color="auto"/>
                      </w:divBdr>
                    </w:div>
                  </w:divsChild>
                </w:div>
                <w:div w:id="1850287674">
                  <w:marLeft w:val="0"/>
                  <w:marRight w:val="0"/>
                  <w:marTop w:val="0"/>
                  <w:marBottom w:val="0"/>
                  <w:divBdr>
                    <w:top w:val="none" w:sz="0" w:space="0" w:color="auto"/>
                    <w:left w:val="none" w:sz="0" w:space="0" w:color="auto"/>
                    <w:bottom w:val="none" w:sz="0" w:space="0" w:color="auto"/>
                    <w:right w:val="none" w:sz="0" w:space="0" w:color="auto"/>
                  </w:divBdr>
                  <w:divsChild>
                    <w:div w:id="939484850">
                      <w:marLeft w:val="0"/>
                      <w:marRight w:val="0"/>
                      <w:marTop w:val="0"/>
                      <w:marBottom w:val="0"/>
                      <w:divBdr>
                        <w:top w:val="none" w:sz="0" w:space="0" w:color="auto"/>
                        <w:left w:val="none" w:sz="0" w:space="0" w:color="auto"/>
                        <w:bottom w:val="none" w:sz="0" w:space="0" w:color="auto"/>
                        <w:right w:val="none" w:sz="0" w:space="0" w:color="auto"/>
                      </w:divBdr>
                    </w:div>
                  </w:divsChild>
                </w:div>
                <w:div w:id="1851019558">
                  <w:marLeft w:val="0"/>
                  <w:marRight w:val="0"/>
                  <w:marTop w:val="0"/>
                  <w:marBottom w:val="0"/>
                  <w:divBdr>
                    <w:top w:val="none" w:sz="0" w:space="0" w:color="auto"/>
                    <w:left w:val="none" w:sz="0" w:space="0" w:color="auto"/>
                    <w:bottom w:val="none" w:sz="0" w:space="0" w:color="auto"/>
                    <w:right w:val="none" w:sz="0" w:space="0" w:color="auto"/>
                  </w:divBdr>
                  <w:divsChild>
                    <w:div w:id="1565027395">
                      <w:marLeft w:val="0"/>
                      <w:marRight w:val="0"/>
                      <w:marTop w:val="0"/>
                      <w:marBottom w:val="0"/>
                      <w:divBdr>
                        <w:top w:val="none" w:sz="0" w:space="0" w:color="auto"/>
                        <w:left w:val="none" w:sz="0" w:space="0" w:color="auto"/>
                        <w:bottom w:val="none" w:sz="0" w:space="0" w:color="auto"/>
                        <w:right w:val="none" w:sz="0" w:space="0" w:color="auto"/>
                      </w:divBdr>
                    </w:div>
                  </w:divsChild>
                </w:div>
                <w:div w:id="1916817324">
                  <w:marLeft w:val="0"/>
                  <w:marRight w:val="0"/>
                  <w:marTop w:val="0"/>
                  <w:marBottom w:val="0"/>
                  <w:divBdr>
                    <w:top w:val="none" w:sz="0" w:space="0" w:color="auto"/>
                    <w:left w:val="none" w:sz="0" w:space="0" w:color="auto"/>
                    <w:bottom w:val="none" w:sz="0" w:space="0" w:color="auto"/>
                    <w:right w:val="none" w:sz="0" w:space="0" w:color="auto"/>
                  </w:divBdr>
                  <w:divsChild>
                    <w:div w:id="539707473">
                      <w:marLeft w:val="0"/>
                      <w:marRight w:val="0"/>
                      <w:marTop w:val="0"/>
                      <w:marBottom w:val="0"/>
                      <w:divBdr>
                        <w:top w:val="none" w:sz="0" w:space="0" w:color="auto"/>
                        <w:left w:val="none" w:sz="0" w:space="0" w:color="auto"/>
                        <w:bottom w:val="none" w:sz="0" w:space="0" w:color="auto"/>
                        <w:right w:val="none" w:sz="0" w:space="0" w:color="auto"/>
                      </w:divBdr>
                    </w:div>
                  </w:divsChild>
                </w:div>
                <w:div w:id="1930887844">
                  <w:marLeft w:val="0"/>
                  <w:marRight w:val="0"/>
                  <w:marTop w:val="0"/>
                  <w:marBottom w:val="0"/>
                  <w:divBdr>
                    <w:top w:val="none" w:sz="0" w:space="0" w:color="auto"/>
                    <w:left w:val="none" w:sz="0" w:space="0" w:color="auto"/>
                    <w:bottom w:val="none" w:sz="0" w:space="0" w:color="auto"/>
                    <w:right w:val="none" w:sz="0" w:space="0" w:color="auto"/>
                  </w:divBdr>
                  <w:divsChild>
                    <w:div w:id="603004619">
                      <w:marLeft w:val="0"/>
                      <w:marRight w:val="0"/>
                      <w:marTop w:val="0"/>
                      <w:marBottom w:val="0"/>
                      <w:divBdr>
                        <w:top w:val="none" w:sz="0" w:space="0" w:color="auto"/>
                        <w:left w:val="none" w:sz="0" w:space="0" w:color="auto"/>
                        <w:bottom w:val="none" w:sz="0" w:space="0" w:color="auto"/>
                        <w:right w:val="none" w:sz="0" w:space="0" w:color="auto"/>
                      </w:divBdr>
                    </w:div>
                  </w:divsChild>
                </w:div>
                <w:div w:id="2138327686">
                  <w:marLeft w:val="0"/>
                  <w:marRight w:val="0"/>
                  <w:marTop w:val="0"/>
                  <w:marBottom w:val="0"/>
                  <w:divBdr>
                    <w:top w:val="none" w:sz="0" w:space="0" w:color="auto"/>
                    <w:left w:val="none" w:sz="0" w:space="0" w:color="auto"/>
                    <w:bottom w:val="none" w:sz="0" w:space="0" w:color="auto"/>
                    <w:right w:val="none" w:sz="0" w:space="0" w:color="auto"/>
                  </w:divBdr>
                  <w:divsChild>
                    <w:div w:id="197506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937200">
          <w:marLeft w:val="0"/>
          <w:marRight w:val="0"/>
          <w:marTop w:val="0"/>
          <w:marBottom w:val="0"/>
          <w:divBdr>
            <w:top w:val="none" w:sz="0" w:space="0" w:color="auto"/>
            <w:left w:val="none" w:sz="0" w:space="0" w:color="auto"/>
            <w:bottom w:val="none" w:sz="0" w:space="0" w:color="auto"/>
            <w:right w:val="none" w:sz="0" w:space="0" w:color="auto"/>
          </w:divBdr>
        </w:div>
        <w:div w:id="1918513113">
          <w:marLeft w:val="0"/>
          <w:marRight w:val="0"/>
          <w:marTop w:val="0"/>
          <w:marBottom w:val="0"/>
          <w:divBdr>
            <w:top w:val="none" w:sz="0" w:space="0" w:color="auto"/>
            <w:left w:val="none" w:sz="0" w:space="0" w:color="auto"/>
            <w:bottom w:val="none" w:sz="0" w:space="0" w:color="auto"/>
            <w:right w:val="none" w:sz="0" w:space="0" w:color="auto"/>
          </w:divBdr>
        </w:div>
        <w:div w:id="1984698563">
          <w:marLeft w:val="0"/>
          <w:marRight w:val="0"/>
          <w:marTop w:val="0"/>
          <w:marBottom w:val="0"/>
          <w:divBdr>
            <w:top w:val="none" w:sz="0" w:space="0" w:color="auto"/>
            <w:left w:val="none" w:sz="0" w:space="0" w:color="auto"/>
            <w:bottom w:val="none" w:sz="0" w:space="0" w:color="auto"/>
            <w:right w:val="none" w:sz="0" w:space="0" w:color="auto"/>
          </w:divBdr>
        </w:div>
        <w:div w:id="2029869697">
          <w:marLeft w:val="0"/>
          <w:marRight w:val="0"/>
          <w:marTop w:val="0"/>
          <w:marBottom w:val="0"/>
          <w:divBdr>
            <w:top w:val="none" w:sz="0" w:space="0" w:color="auto"/>
            <w:left w:val="none" w:sz="0" w:space="0" w:color="auto"/>
            <w:bottom w:val="none" w:sz="0" w:space="0" w:color="auto"/>
            <w:right w:val="none" w:sz="0" w:space="0" w:color="auto"/>
          </w:divBdr>
        </w:div>
        <w:div w:id="2069987198">
          <w:marLeft w:val="0"/>
          <w:marRight w:val="0"/>
          <w:marTop w:val="0"/>
          <w:marBottom w:val="0"/>
          <w:divBdr>
            <w:top w:val="none" w:sz="0" w:space="0" w:color="auto"/>
            <w:left w:val="none" w:sz="0" w:space="0" w:color="auto"/>
            <w:bottom w:val="none" w:sz="0" w:space="0" w:color="auto"/>
            <w:right w:val="none" w:sz="0" w:space="0" w:color="auto"/>
          </w:divBdr>
        </w:div>
        <w:div w:id="2070760837">
          <w:marLeft w:val="0"/>
          <w:marRight w:val="0"/>
          <w:marTop w:val="0"/>
          <w:marBottom w:val="0"/>
          <w:divBdr>
            <w:top w:val="none" w:sz="0" w:space="0" w:color="auto"/>
            <w:left w:val="none" w:sz="0" w:space="0" w:color="auto"/>
            <w:bottom w:val="none" w:sz="0" w:space="0" w:color="auto"/>
            <w:right w:val="none" w:sz="0" w:space="0" w:color="auto"/>
          </w:divBdr>
        </w:div>
        <w:div w:id="2072923855">
          <w:marLeft w:val="0"/>
          <w:marRight w:val="0"/>
          <w:marTop w:val="0"/>
          <w:marBottom w:val="0"/>
          <w:divBdr>
            <w:top w:val="none" w:sz="0" w:space="0" w:color="auto"/>
            <w:left w:val="none" w:sz="0" w:space="0" w:color="auto"/>
            <w:bottom w:val="none" w:sz="0" w:space="0" w:color="auto"/>
            <w:right w:val="none" w:sz="0" w:space="0" w:color="auto"/>
          </w:divBdr>
        </w:div>
        <w:div w:id="2093964074">
          <w:marLeft w:val="0"/>
          <w:marRight w:val="0"/>
          <w:marTop w:val="0"/>
          <w:marBottom w:val="0"/>
          <w:divBdr>
            <w:top w:val="none" w:sz="0" w:space="0" w:color="auto"/>
            <w:left w:val="none" w:sz="0" w:space="0" w:color="auto"/>
            <w:bottom w:val="none" w:sz="0" w:space="0" w:color="auto"/>
            <w:right w:val="none" w:sz="0" w:space="0" w:color="auto"/>
          </w:divBdr>
        </w:div>
        <w:div w:id="2110587448">
          <w:marLeft w:val="0"/>
          <w:marRight w:val="0"/>
          <w:marTop w:val="0"/>
          <w:marBottom w:val="0"/>
          <w:divBdr>
            <w:top w:val="none" w:sz="0" w:space="0" w:color="auto"/>
            <w:left w:val="none" w:sz="0" w:space="0" w:color="auto"/>
            <w:bottom w:val="none" w:sz="0" w:space="0" w:color="auto"/>
            <w:right w:val="none" w:sz="0" w:space="0" w:color="auto"/>
          </w:divBdr>
        </w:div>
      </w:divsChild>
    </w:div>
    <w:div w:id="388504229">
      <w:bodyDiv w:val="1"/>
      <w:marLeft w:val="0"/>
      <w:marRight w:val="0"/>
      <w:marTop w:val="0"/>
      <w:marBottom w:val="0"/>
      <w:divBdr>
        <w:top w:val="none" w:sz="0" w:space="0" w:color="auto"/>
        <w:left w:val="none" w:sz="0" w:space="0" w:color="auto"/>
        <w:bottom w:val="none" w:sz="0" w:space="0" w:color="auto"/>
        <w:right w:val="none" w:sz="0" w:space="0" w:color="auto"/>
      </w:divBdr>
    </w:div>
    <w:div w:id="398016127">
      <w:bodyDiv w:val="1"/>
      <w:marLeft w:val="0"/>
      <w:marRight w:val="0"/>
      <w:marTop w:val="0"/>
      <w:marBottom w:val="0"/>
      <w:divBdr>
        <w:top w:val="none" w:sz="0" w:space="0" w:color="auto"/>
        <w:left w:val="none" w:sz="0" w:space="0" w:color="auto"/>
        <w:bottom w:val="none" w:sz="0" w:space="0" w:color="auto"/>
        <w:right w:val="none" w:sz="0" w:space="0" w:color="auto"/>
      </w:divBdr>
    </w:div>
    <w:div w:id="414060921">
      <w:bodyDiv w:val="1"/>
      <w:marLeft w:val="0"/>
      <w:marRight w:val="0"/>
      <w:marTop w:val="0"/>
      <w:marBottom w:val="0"/>
      <w:divBdr>
        <w:top w:val="none" w:sz="0" w:space="0" w:color="auto"/>
        <w:left w:val="none" w:sz="0" w:space="0" w:color="auto"/>
        <w:bottom w:val="none" w:sz="0" w:space="0" w:color="auto"/>
        <w:right w:val="none" w:sz="0" w:space="0" w:color="auto"/>
      </w:divBdr>
    </w:div>
    <w:div w:id="422148556">
      <w:bodyDiv w:val="1"/>
      <w:marLeft w:val="0"/>
      <w:marRight w:val="0"/>
      <w:marTop w:val="0"/>
      <w:marBottom w:val="0"/>
      <w:divBdr>
        <w:top w:val="none" w:sz="0" w:space="0" w:color="auto"/>
        <w:left w:val="none" w:sz="0" w:space="0" w:color="auto"/>
        <w:bottom w:val="none" w:sz="0" w:space="0" w:color="auto"/>
        <w:right w:val="none" w:sz="0" w:space="0" w:color="auto"/>
      </w:divBdr>
    </w:div>
    <w:div w:id="422340191">
      <w:bodyDiv w:val="1"/>
      <w:marLeft w:val="0"/>
      <w:marRight w:val="0"/>
      <w:marTop w:val="0"/>
      <w:marBottom w:val="0"/>
      <w:divBdr>
        <w:top w:val="none" w:sz="0" w:space="0" w:color="auto"/>
        <w:left w:val="none" w:sz="0" w:space="0" w:color="auto"/>
        <w:bottom w:val="none" w:sz="0" w:space="0" w:color="auto"/>
        <w:right w:val="none" w:sz="0" w:space="0" w:color="auto"/>
      </w:divBdr>
    </w:div>
    <w:div w:id="431897039">
      <w:bodyDiv w:val="1"/>
      <w:marLeft w:val="0"/>
      <w:marRight w:val="0"/>
      <w:marTop w:val="0"/>
      <w:marBottom w:val="0"/>
      <w:divBdr>
        <w:top w:val="none" w:sz="0" w:space="0" w:color="auto"/>
        <w:left w:val="none" w:sz="0" w:space="0" w:color="auto"/>
        <w:bottom w:val="none" w:sz="0" w:space="0" w:color="auto"/>
        <w:right w:val="none" w:sz="0" w:space="0" w:color="auto"/>
      </w:divBdr>
    </w:div>
    <w:div w:id="434403808">
      <w:bodyDiv w:val="1"/>
      <w:marLeft w:val="0"/>
      <w:marRight w:val="0"/>
      <w:marTop w:val="0"/>
      <w:marBottom w:val="0"/>
      <w:divBdr>
        <w:top w:val="none" w:sz="0" w:space="0" w:color="auto"/>
        <w:left w:val="none" w:sz="0" w:space="0" w:color="auto"/>
        <w:bottom w:val="none" w:sz="0" w:space="0" w:color="auto"/>
        <w:right w:val="none" w:sz="0" w:space="0" w:color="auto"/>
      </w:divBdr>
    </w:div>
    <w:div w:id="443962826">
      <w:bodyDiv w:val="1"/>
      <w:marLeft w:val="0"/>
      <w:marRight w:val="0"/>
      <w:marTop w:val="0"/>
      <w:marBottom w:val="0"/>
      <w:divBdr>
        <w:top w:val="none" w:sz="0" w:space="0" w:color="auto"/>
        <w:left w:val="none" w:sz="0" w:space="0" w:color="auto"/>
        <w:bottom w:val="none" w:sz="0" w:space="0" w:color="auto"/>
        <w:right w:val="none" w:sz="0" w:space="0" w:color="auto"/>
      </w:divBdr>
    </w:div>
    <w:div w:id="444688866">
      <w:bodyDiv w:val="1"/>
      <w:marLeft w:val="0"/>
      <w:marRight w:val="0"/>
      <w:marTop w:val="0"/>
      <w:marBottom w:val="0"/>
      <w:divBdr>
        <w:top w:val="none" w:sz="0" w:space="0" w:color="auto"/>
        <w:left w:val="none" w:sz="0" w:space="0" w:color="auto"/>
        <w:bottom w:val="none" w:sz="0" w:space="0" w:color="auto"/>
        <w:right w:val="none" w:sz="0" w:space="0" w:color="auto"/>
      </w:divBdr>
    </w:div>
    <w:div w:id="447238302">
      <w:bodyDiv w:val="1"/>
      <w:marLeft w:val="0"/>
      <w:marRight w:val="0"/>
      <w:marTop w:val="0"/>
      <w:marBottom w:val="0"/>
      <w:divBdr>
        <w:top w:val="none" w:sz="0" w:space="0" w:color="auto"/>
        <w:left w:val="none" w:sz="0" w:space="0" w:color="auto"/>
        <w:bottom w:val="none" w:sz="0" w:space="0" w:color="auto"/>
        <w:right w:val="none" w:sz="0" w:space="0" w:color="auto"/>
      </w:divBdr>
    </w:div>
    <w:div w:id="447431395">
      <w:bodyDiv w:val="1"/>
      <w:marLeft w:val="0"/>
      <w:marRight w:val="0"/>
      <w:marTop w:val="0"/>
      <w:marBottom w:val="0"/>
      <w:divBdr>
        <w:top w:val="none" w:sz="0" w:space="0" w:color="auto"/>
        <w:left w:val="none" w:sz="0" w:space="0" w:color="auto"/>
        <w:bottom w:val="none" w:sz="0" w:space="0" w:color="auto"/>
        <w:right w:val="none" w:sz="0" w:space="0" w:color="auto"/>
      </w:divBdr>
      <w:divsChild>
        <w:div w:id="34742475">
          <w:marLeft w:val="0"/>
          <w:marRight w:val="0"/>
          <w:marTop w:val="0"/>
          <w:marBottom w:val="0"/>
          <w:divBdr>
            <w:top w:val="none" w:sz="0" w:space="0" w:color="auto"/>
            <w:left w:val="none" w:sz="0" w:space="0" w:color="auto"/>
            <w:bottom w:val="none" w:sz="0" w:space="0" w:color="auto"/>
            <w:right w:val="none" w:sz="0" w:space="0" w:color="auto"/>
          </w:divBdr>
          <w:divsChild>
            <w:div w:id="1330987086">
              <w:marLeft w:val="0"/>
              <w:marRight w:val="0"/>
              <w:marTop w:val="0"/>
              <w:marBottom w:val="0"/>
              <w:divBdr>
                <w:top w:val="none" w:sz="0" w:space="0" w:color="auto"/>
                <w:left w:val="none" w:sz="0" w:space="0" w:color="auto"/>
                <w:bottom w:val="none" w:sz="0" w:space="0" w:color="auto"/>
                <w:right w:val="none" w:sz="0" w:space="0" w:color="auto"/>
              </w:divBdr>
            </w:div>
          </w:divsChild>
        </w:div>
        <w:div w:id="35662060">
          <w:marLeft w:val="0"/>
          <w:marRight w:val="0"/>
          <w:marTop w:val="0"/>
          <w:marBottom w:val="0"/>
          <w:divBdr>
            <w:top w:val="none" w:sz="0" w:space="0" w:color="auto"/>
            <w:left w:val="none" w:sz="0" w:space="0" w:color="auto"/>
            <w:bottom w:val="none" w:sz="0" w:space="0" w:color="auto"/>
            <w:right w:val="none" w:sz="0" w:space="0" w:color="auto"/>
          </w:divBdr>
          <w:divsChild>
            <w:div w:id="991102920">
              <w:marLeft w:val="0"/>
              <w:marRight w:val="0"/>
              <w:marTop w:val="0"/>
              <w:marBottom w:val="0"/>
              <w:divBdr>
                <w:top w:val="none" w:sz="0" w:space="0" w:color="auto"/>
                <w:left w:val="none" w:sz="0" w:space="0" w:color="auto"/>
                <w:bottom w:val="none" w:sz="0" w:space="0" w:color="auto"/>
                <w:right w:val="none" w:sz="0" w:space="0" w:color="auto"/>
              </w:divBdr>
            </w:div>
          </w:divsChild>
        </w:div>
        <w:div w:id="39256170">
          <w:marLeft w:val="0"/>
          <w:marRight w:val="0"/>
          <w:marTop w:val="0"/>
          <w:marBottom w:val="0"/>
          <w:divBdr>
            <w:top w:val="none" w:sz="0" w:space="0" w:color="auto"/>
            <w:left w:val="none" w:sz="0" w:space="0" w:color="auto"/>
            <w:bottom w:val="none" w:sz="0" w:space="0" w:color="auto"/>
            <w:right w:val="none" w:sz="0" w:space="0" w:color="auto"/>
          </w:divBdr>
          <w:divsChild>
            <w:div w:id="1207647173">
              <w:marLeft w:val="0"/>
              <w:marRight w:val="0"/>
              <w:marTop w:val="0"/>
              <w:marBottom w:val="0"/>
              <w:divBdr>
                <w:top w:val="none" w:sz="0" w:space="0" w:color="auto"/>
                <w:left w:val="none" w:sz="0" w:space="0" w:color="auto"/>
                <w:bottom w:val="none" w:sz="0" w:space="0" w:color="auto"/>
                <w:right w:val="none" w:sz="0" w:space="0" w:color="auto"/>
              </w:divBdr>
            </w:div>
          </w:divsChild>
        </w:div>
        <w:div w:id="41440369">
          <w:marLeft w:val="0"/>
          <w:marRight w:val="0"/>
          <w:marTop w:val="0"/>
          <w:marBottom w:val="0"/>
          <w:divBdr>
            <w:top w:val="none" w:sz="0" w:space="0" w:color="auto"/>
            <w:left w:val="none" w:sz="0" w:space="0" w:color="auto"/>
            <w:bottom w:val="none" w:sz="0" w:space="0" w:color="auto"/>
            <w:right w:val="none" w:sz="0" w:space="0" w:color="auto"/>
          </w:divBdr>
          <w:divsChild>
            <w:div w:id="1838958223">
              <w:marLeft w:val="0"/>
              <w:marRight w:val="0"/>
              <w:marTop w:val="0"/>
              <w:marBottom w:val="0"/>
              <w:divBdr>
                <w:top w:val="none" w:sz="0" w:space="0" w:color="auto"/>
                <w:left w:val="none" w:sz="0" w:space="0" w:color="auto"/>
                <w:bottom w:val="none" w:sz="0" w:space="0" w:color="auto"/>
                <w:right w:val="none" w:sz="0" w:space="0" w:color="auto"/>
              </w:divBdr>
            </w:div>
          </w:divsChild>
        </w:div>
        <w:div w:id="46075581">
          <w:marLeft w:val="0"/>
          <w:marRight w:val="0"/>
          <w:marTop w:val="0"/>
          <w:marBottom w:val="0"/>
          <w:divBdr>
            <w:top w:val="none" w:sz="0" w:space="0" w:color="auto"/>
            <w:left w:val="none" w:sz="0" w:space="0" w:color="auto"/>
            <w:bottom w:val="none" w:sz="0" w:space="0" w:color="auto"/>
            <w:right w:val="none" w:sz="0" w:space="0" w:color="auto"/>
          </w:divBdr>
          <w:divsChild>
            <w:div w:id="324089356">
              <w:marLeft w:val="0"/>
              <w:marRight w:val="0"/>
              <w:marTop w:val="0"/>
              <w:marBottom w:val="0"/>
              <w:divBdr>
                <w:top w:val="none" w:sz="0" w:space="0" w:color="auto"/>
                <w:left w:val="none" w:sz="0" w:space="0" w:color="auto"/>
                <w:bottom w:val="none" w:sz="0" w:space="0" w:color="auto"/>
                <w:right w:val="none" w:sz="0" w:space="0" w:color="auto"/>
              </w:divBdr>
            </w:div>
          </w:divsChild>
        </w:div>
        <w:div w:id="71508382">
          <w:marLeft w:val="0"/>
          <w:marRight w:val="0"/>
          <w:marTop w:val="0"/>
          <w:marBottom w:val="0"/>
          <w:divBdr>
            <w:top w:val="none" w:sz="0" w:space="0" w:color="auto"/>
            <w:left w:val="none" w:sz="0" w:space="0" w:color="auto"/>
            <w:bottom w:val="none" w:sz="0" w:space="0" w:color="auto"/>
            <w:right w:val="none" w:sz="0" w:space="0" w:color="auto"/>
          </w:divBdr>
          <w:divsChild>
            <w:div w:id="1817722154">
              <w:marLeft w:val="0"/>
              <w:marRight w:val="0"/>
              <w:marTop w:val="0"/>
              <w:marBottom w:val="0"/>
              <w:divBdr>
                <w:top w:val="none" w:sz="0" w:space="0" w:color="auto"/>
                <w:left w:val="none" w:sz="0" w:space="0" w:color="auto"/>
                <w:bottom w:val="none" w:sz="0" w:space="0" w:color="auto"/>
                <w:right w:val="none" w:sz="0" w:space="0" w:color="auto"/>
              </w:divBdr>
            </w:div>
          </w:divsChild>
        </w:div>
        <w:div w:id="99759732">
          <w:marLeft w:val="0"/>
          <w:marRight w:val="0"/>
          <w:marTop w:val="0"/>
          <w:marBottom w:val="0"/>
          <w:divBdr>
            <w:top w:val="none" w:sz="0" w:space="0" w:color="auto"/>
            <w:left w:val="none" w:sz="0" w:space="0" w:color="auto"/>
            <w:bottom w:val="none" w:sz="0" w:space="0" w:color="auto"/>
            <w:right w:val="none" w:sz="0" w:space="0" w:color="auto"/>
          </w:divBdr>
          <w:divsChild>
            <w:div w:id="1986541315">
              <w:marLeft w:val="0"/>
              <w:marRight w:val="0"/>
              <w:marTop w:val="0"/>
              <w:marBottom w:val="0"/>
              <w:divBdr>
                <w:top w:val="none" w:sz="0" w:space="0" w:color="auto"/>
                <w:left w:val="none" w:sz="0" w:space="0" w:color="auto"/>
                <w:bottom w:val="none" w:sz="0" w:space="0" w:color="auto"/>
                <w:right w:val="none" w:sz="0" w:space="0" w:color="auto"/>
              </w:divBdr>
            </w:div>
          </w:divsChild>
        </w:div>
        <w:div w:id="150945735">
          <w:marLeft w:val="0"/>
          <w:marRight w:val="0"/>
          <w:marTop w:val="0"/>
          <w:marBottom w:val="0"/>
          <w:divBdr>
            <w:top w:val="none" w:sz="0" w:space="0" w:color="auto"/>
            <w:left w:val="none" w:sz="0" w:space="0" w:color="auto"/>
            <w:bottom w:val="none" w:sz="0" w:space="0" w:color="auto"/>
            <w:right w:val="none" w:sz="0" w:space="0" w:color="auto"/>
          </w:divBdr>
          <w:divsChild>
            <w:div w:id="1837845376">
              <w:marLeft w:val="0"/>
              <w:marRight w:val="0"/>
              <w:marTop w:val="0"/>
              <w:marBottom w:val="0"/>
              <w:divBdr>
                <w:top w:val="none" w:sz="0" w:space="0" w:color="auto"/>
                <w:left w:val="none" w:sz="0" w:space="0" w:color="auto"/>
                <w:bottom w:val="none" w:sz="0" w:space="0" w:color="auto"/>
                <w:right w:val="none" w:sz="0" w:space="0" w:color="auto"/>
              </w:divBdr>
            </w:div>
          </w:divsChild>
        </w:div>
        <w:div w:id="204948993">
          <w:marLeft w:val="0"/>
          <w:marRight w:val="0"/>
          <w:marTop w:val="0"/>
          <w:marBottom w:val="0"/>
          <w:divBdr>
            <w:top w:val="none" w:sz="0" w:space="0" w:color="auto"/>
            <w:left w:val="none" w:sz="0" w:space="0" w:color="auto"/>
            <w:bottom w:val="none" w:sz="0" w:space="0" w:color="auto"/>
            <w:right w:val="none" w:sz="0" w:space="0" w:color="auto"/>
          </w:divBdr>
          <w:divsChild>
            <w:div w:id="1394624577">
              <w:marLeft w:val="0"/>
              <w:marRight w:val="0"/>
              <w:marTop w:val="0"/>
              <w:marBottom w:val="0"/>
              <w:divBdr>
                <w:top w:val="none" w:sz="0" w:space="0" w:color="auto"/>
                <w:left w:val="none" w:sz="0" w:space="0" w:color="auto"/>
                <w:bottom w:val="none" w:sz="0" w:space="0" w:color="auto"/>
                <w:right w:val="none" w:sz="0" w:space="0" w:color="auto"/>
              </w:divBdr>
            </w:div>
          </w:divsChild>
        </w:div>
        <w:div w:id="290673131">
          <w:marLeft w:val="0"/>
          <w:marRight w:val="0"/>
          <w:marTop w:val="0"/>
          <w:marBottom w:val="0"/>
          <w:divBdr>
            <w:top w:val="none" w:sz="0" w:space="0" w:color="auto"/>
            <w:left w:val="none" w:sz="0" w:space="0" w:color="auto"/>
            <w:bottom w:val="none" w:sz="0" w:space="0" w:color="auto"/>
            <w:right w:val="none" w:sz="0" w:space="0" w:color="auto"/>
          </w:divBdr>
          <w:divsChild>
            <w:div w:id="475756286">
              <w:marLeft w:val="0"/>
              <w:marRight w:val="0"/>
              <w:marTop w:val="0"/>
              <w:marBottom w:val="0"/>
              <w:divBdr>
                <w:top w:val="none" w:sz="0" w:space="0" w:color="auto"/>
                <w:left w:val="none" w:sz="0" w:space="0" w:color="auto"/>
                <w:bottom w:val="none" w:sz="0" w:space="0" w:color="auto"/>
                <w:right w:val="none" w:sz="0" w:space="0" w:color="auto"/>
              </w:divBdr>
            </w:div>
          </w:divsChild>
        </w:div>
        <w:div w:id="329480699">
          <w:marLeft w:val="0"/>
          <w:marRight w:val="0"/>
          <w:marTop w:val="0"/>
          <w:marBottom w:val="0"/>
          <w:divBdr>
            <w:top w:val="none" w:sz="0" w:space="0" w:color="auto"/>
            <w:left w:val="none" w:sz="0" w:space="0" w:color="auto"/>
            <w:bottom w:val="none" w:sz="0" w:space="0" w:color="auto"/>
            <w:right w:val="none" w:sz="0" w:space="0" w:color="auto"/>
          </w:divBdr>
          <w:divsChild>
            <w:div w:id="2136941741">
              <w:marLeft w:val="0"/>
              <w:marRight w:val="0"/>
              <w:marTop w:val="0"/>
              <w:marBottom w:val="0"/>
              <w:divBdr>
                <w:top w:val="none" w:sz="0" w:space="0" w:color="auto"/>
                <w:left w:val="none" w:sz="0" w:space="0" w:color="auto"/>
                <w:bottom w:val="none" w:sz="0" w:space="0" w:color="auto"/>
                <w:right w:val="none" w:sz="0" w:space="0" w:color="auto"/>
              </w:divBdr>
            </w:div>
          </w:divsChild>
        </w:div>
        <w:div w:id="339704022">
          <w:marLeft w:val="0"/>
          <w:marRight w:val="0"/>
          <w:marTop w:val="0"/>
          <w:marBottom w:val="0"/>
          <w:divBdr>
            <w:top w:val="none" w:sz="0" w:space="0" w:color="auto"/>
            <w:left w:val="none" w:sz="0" w:space="0" w:color="auto"/>
            <w:bottom w:val="none" w:sz="0" w:space="0" w:color="auto"/>
            <w:right w:val="none" w:sz="0" w:space="0" w:color="auto"/>
          </w:divBdr>
          <w:divsChild>
            <w:div w:id="1893687203">
              <w:marLeft w:val="0"/>
              <w:marRight w:val="0"/>
              <w:marTop w:val="0"/>
              <w:marBottom w:val="0"/>
              <w:divBdr>
                <w:top w:val="none" w:sz="0" w:space="0" w:color="auto"/>
                <w:left w:val="none" w:sz="0" w:space="0" w:color="auto"/>
                <w:bottom w:val="none" w:sz="0" w:space="0" w:color="auto"/>
                <w:right w:val="none" w:sz="0" w:space="0" w:color="auto"/>
              </w:divBdr>
            </w:div>
          </w:divsChild>
        </w:div>
        <w:div w:id="494692067">
          <w:marLeft w:val="0"/>
          <w:marRight w:val="0"/>
          <w:marTop w:val="0"/>
          <w:marBottom w:val="0"/>
          <w:divBdr>
            <w:top w:val="none" w:sz="0" w:space="0" w:color="auto"/>
            <w:left w:val="none" w:sz="0" w:space="0" w:color="auto"/>
            <w:bottom w:val="none" w:sz="0" w:space="0" w:color="auto"/>
            <w:right w:val="none" w:sz="0" w:space="0" w:color="auto"/>
          </w:divBdr>
          <w:divsChild>
            <w:div w:id="90051953">
              <w:marLeft w:val="0"/>
              <w:marRight w:val="0"/>
              <w:marTop w:val="0"/>
              <w:marBottom w:val="0"/>
              <w:divBdr>
                <w:top w:val="none" w:sz="0" w:space="0" w:color="auto"/>
                <w:left w:val="none" w:sz="0" w:space="0" w:color="auto"/>
                <w:bottom w:val="none" w:sz="0" w:space="0" w:color="auto"/>
                <w:right w:val="none" w:sz="0" w:space="0" w:color="auto"/>
              </w:divBdr>
            </w:div>
            <w:div w:id="355738176">
              <w:marLeft w:val="0"/>
              <w:marRight w:val="0"/>
              <w:marTop w:val="0"/>
              <w:marBottom w:val="0"/>
              <w:divBdr>
                <w:top w:val="none" w:sz="0" w:space="0" w:color="auto"/>
                <w:left w:val="none" w:sz="0" w:space="0" w:color="auto"/>
                <w:bottom w:val="none" w:sz="0" w:space="0" w:color="auto"/>
                <w:right w:val="none" w:sz="0" w:space="0" w:color="auto"/>
              </w:divBdr>
            </w:div>
            <w:div w:id="399329910">
              <w:marLeft w:val="0"/>
              <w:marRight w:val="0"/>
              <w:marTop w:val="0"/>
              <w:marBottom w:val="0"/>
              <w:divBdr>
                <w:top w:val="none" w:sz="0" w:space="0" w:color="auto"/>
                <w:left w:val="none" w:sz="0" w:space="0" w:color="auto"/>
                <w:bottom w:val="none" w:sz="0" w:space="0" w:color="auto"/>
                <w:right w:val="none" w:sz="0" w:space="0" w:color="auto"/>
              </w:divBdr>
            </w:div>
            <w:div w:id="1561751890">
              <w:marLeft w:val="0"/>
              <w:marRight w:val="0"/>
              <w:marTop w:val="0"/>
              <w:marBottom w:val="0"/>
              <w:divBdr>
                <w:top w:val="none" w:sz="0" w:space="0" w:color="auto"/>
                <w:left w:val="none" w:sz="0" w:space="0" w:color="auto"/>
                <w:bottom w:val="none" w:sz="0" w:space="0" w:color="auto"/>
                <w:right w:val="none" w:sz="0" w:space="0" w:color="auto"/>
              </w:divBdr>
            </w:div>
            <w:div w:id="1929847065">
              <w:marLeft w:val="0"/>
              <w:marRight w:val="0"/>
              <w:marTop w:val="0"/>
              <w:marBottom w:val="0"/>
              <w:divBdr>
                <w:top w:val="none" w:sz="0" w:space="0" w:color="auto"/>
                <w:left w:val="none" w:sz="0" w:space="0" w:color="auto"/>
                <w:bottom w:val="none" w:sz="0" w:space="0" w:color="auto"/>
                <w:right w:val="none" w:sz="0" w:space="0" w:color="auto"/>
              </w:divBdr>
            </w:div>
          </w:divsChild>
        </w:div>
        <w:div w:id="530194199">
          <w:marLeft w:val="0"/>
          <w:marRight w:val="0"/>
          <w:marTop w:val="0"/>
          <w:marBottom w:val="0"/>
          <w:divBdr>
            <w:top w:val="none" w:sz="0" w:space="0" w:color="auto"/>
            <w:left w:val="none" w:sz="0" w:space="0" w:color="auto"/>
            <w:bottom w:val="none" w:sz="0" w:space="0" w:color="auto"/>
            <w:right w:val="none" w:sz="0" w:space="0" w:color="auto"/>
          </w:divBdr>
          <w:divsChild>
            <w:div w:id="1853446691">
              <w:marLeft w:val="0"/>
              <w:marRight w:val="0"/>
              <w:marTop w:val="0"/>
              <w:marBottom w:val="0"/>
              <w:divBdr>
                <w:top w:val="none" w:sz="0" w:space="0" w:color="auto"/>
                <w:left w:val="none" w:sz="0" w:space="0" w:color="auto"/>
                <w:bottom w:val="none" w:sz="0" w:space="0" w:color="auto"/>
                <w:right w:val="none" w:sz="0" w:space="0" w:color="auto"/>
              </w:divBdr>
            </w:div>
          </w:divsChild>
        </w:div>
        <w:div w:id="606818646">
          <w:marLeft w:val="0"/>
          <w:marRight w:val="0"/>
          <w:marTop w:val="0"/>
          <w:marBottom w:val="0"/>
          <w:divBdr>
            <w:top w:val="none" w:sz="0" w:space="0" w:color="auto"/>
            <w:left w:val="none" w:sz="0" w:space="0" w:color="auto"/>
            <w:bottom w:val="none" w:sz="0" w:space="0" w:color="auto"/>
            <w:right w:val="none" w:sz="0" w:space="0" w:color="auto"/>
          </w:divBdr>
          <w:divsChild>
            <w:div w:id="846335154">
              <w:marLeft w:val="0"/>
              <w:marRight w:val="0"/>
              <w:marTop w:val="0"/>
              <w:marBottom w:val="0"/>
              <w:divBdr>
                <w:top w:val="none" w:sz="0" w:space="0" w:color="auto"/>
                <w:left w:val="none" w:sz="0" w:space="0" w:color="auto"/>
                <w:bottom w:val="none" w:sz="0" w:space="0" w:color="auto"/>
                <w:right w:val="none" w:sz="0" w:space="0" w:color="auto"/>
              </w:divBdr>
            </w:div>
          </w:divsChild>
        </w:div>
        <w:div w:id="616375030">
          <w:marLeft w:val="0"/>
          <w:marRight w:val="0"/>
          <w:marTop w:val="0"/>
          <w:marBottom w:val="0"/>
          <w:divBdr>
            <w:top w:val="none" w:sz="0" w:space="0" w:color="auto"/>
            <w:left w:val="none" w:sz="0" w:space="0" w:color="auto"/>
            <w:bottom w:val="none" w:sz="0" w:space="0" w:color="auto"/>
            <w:right w:val="none" w:sz="0" w:space="0" w:color="auto"/>
          </w:divBdr>
          <w:divsChild>
            <w:div w:id="24067207">
              <w:marLeft w:val="0"/>
              <w:marRight w:val="0"/>
              <w:marTop w:val="0"/>
              <w:marBottom w:val="0"/>
              <w:divBdr>
                <w:top w:val="none" w:sz="0" w:space="0" w:color="auto"/>
                <w:left w:val="none" w:sz="0" w:space="0" w:color="auto"/>
                <w:bottom w:val="none" w:sz="0" w:space="0" w:color="auto"/>
                <w:right w:val="none" w:sz="0" w:space="0" w:color="auto"/>
              </w:divBdr>
            </w:div>
          </w:divsChild>
        </w:div>
        <w:div w:id="625500714">
          <w:marLeft w:val="0"/>
          <w:marRight w:val="0"/>
          <w:marTop w:val="0"/>
          <w:marBottom w:val="0"/>
          <w:divBdr>
            <w:top w:val="none" w:sz="0" w:space="0" w:color="auto"/>
            <w:left w:val="none" w:sz="0" w:space="0" w:color="auto"/>
            <w:bottom w:val="none" w:sz="0" w:space="0" w:color="auto"/>
            <w:right w:val="none" w:sz="0" w:space="0" w:color="auto"/>
          </w:divBdr>
          <w:divsChild>
            <w:div w:id="1911117634">
              <w:marLeft w:val="0"/>
              <w:marRight w:val="0"/>
              <w:marTop w:val="0"/>
              <w:marBottom w:val="0"/>
              <w:divBdr>
                <w:top w:val="none" w:sz="0" w:space="0" w:color="auto"/>
                <w:left w:val="none" w:sz="0" w:space="0" w:color="auto"/>
                <w:bottom w:val="none" w:sz="0" w:space="0" w:color="auto"/>
                <w:right w:val="none" w:sz="0" w:space="0" w:color="auto"/>
              </w:divBdr>
            </w:div>
          </w:divsChild>
        </w:div>
        <w:div w:id="640765015">
          <w:marLeft w:val="0"/>
          <w:marRight w:val="0"/>
          <w:marTop w:val="0"/>
          <w:marBottom w:val="0"/>
          <w:divBdr>
            <w:top w:val="none" w:sz="0" w:space="0" w:color="auto"/>
            <w:left w:val="none" w:sz="0" w:space="0" w:color="auto"/>
            <w:bottom w:val="none" w:sz="0" w:space="0" w:color="auto"/>
            <w:right w:val="none" w:sz="0" w:space="0" w:color="auto"/>
          </w:divBdr>
          <w:divsChild>
            <w:div w:id="16733658">
              <w:marLeft w:val="0"/>
              <w:marRight w:val="0"/>
              <w:marTop w:val="0"/>
              <w:marBottom w:val="0"/>
              <w:divBdr>
                <w:top w:val="none" w:sz="0" w:space="0" w:color="auto"/>
                <w:left w:val="none" w:sz="0" w:space="0" w:color="auto"/>
                <w:bottom w:val="none" w:sz="0" w:space="0" w:color="auto"/>
                <w:right w:val="none" w:sz="0" w:space="0" w:color="auto"/>
              </w:divBdr>
            </w:div>
            <w:div w:id="481049269">
              <w:marLeft w:val="0"/>
              <w:marRight w:val="0"/>
              <w:marTop w:val="0"/>
              <w:marBottom w:val="0"/>
              <w:divBdr>
                <w:top w:val="none" w:sz="0" w:space="0" w:color="auto"/>
                <w:left w:val="none" w:sz="0" w:space="0" w:color="auto"/>
                <w:bottom w:val="none" w:sz="0" w:space="0" w:color="auto"/>
                <w:right w:val="none" w:sz="0" w:space="0" w:color="auto"/>
              </w:divBdr>
            </w:div>
            <w:div w:id="979455870">
              <w:marLeft w:val="0"/>
              <w:marRight w:val="0"/>
              <w:marTop w:val="0"/>
              <w:marBottom w:val="0"/>
              <w:divBdr>
                <w:top w:val="none" w:sz="0" w:space="0" w:color="auto"/>
                <w:left w:val="none" w:sz="0" w:space="0" w:color="auto"/>
                <w:bottom w:val="none" w:sz="0" w:space="0" w:color="auto"/>
                <w:right w:val="none" w:sz="0" w:space="0" w:color="auto"/>
              </w:divBdr>
            </w:div>
            <w:div w:id="1059207392">
              <w:marLeft w:val="0"/>
              <w:marRight w:val="0"/>
              <w:marTop w:val="0"/>
              <w:marBottom w:val="0"/>
              <w:divBdr>
                <w:top w:val="none" w:sz="0" w:space="0" w:color="auto"/>
                <w:left w:val="none" w:sz="0" w:space="0" w:color="auto"/>
                <w:bottom w:val="none" w:sz="0" w:space="0" w:color="auto"/>
                <w:right w:val="none" w:sz="0" w:space="0" w:color="auto"/>
              </w:divBdr>
            </w:div>
          </w:divsChild>
        </w:div>
        <w:div w:id="763189833">
          <w:marLeft w:val="0"/>
          <w:marRight w:val="0"/>
          <w:marTop w:val="0"/>
          <w:marBottom w:val="0"/>
          <w:divBdr>
            <w:top w:val="none" w:sz="0" w:space="0" w:color="auto"/>
            <w:left w:val="none" w:sz="0" w:space="0" w:color="auto"/>
            <w:bottom w:val="none" w:sz="0" w:space="0" w:color="auto"/>
            <w:right w:val="none" w:sz="0" w:space="0" w:color="auto"/>
          </w:divBdr>
          <w:divsChild>
            <w:div w:id="1142189018">
              <w:marLeft w:val="0"/>
              <w:marRight w:val="0"/>
              <w:marTop w:val="0"/>
              <w:marBottom w:val="0"/>
              <w:divBdr>
                <w:top w:val="none" w:sz="0" w:space="0" w:color="auto"/>
                <w:left w:val="none" w:sz="0" w:space="0" w:color="auto"/>
                <w:bottom w:val="none" w:sz="0" w:space="0" w:color="auto"/>
                <w:right w:val="none" w:sz="0" w:space="0" w:color="auto"/>
              </w:divBdr>
            </w:div>
          </w:divsChild>
        </w:div>
        <w:div w:id="766080945">
          <w:marLeft w:val="0"/>
          <w:marRight w:val="0"/>
          <w:marTop w:val="0"/>
          <w:marBottom w:val="0"/>
          <w:divBdr>
            <w:top w:val="none" w:sz="0" w:space="0" w:color="auto"/>
            <w:left w:val="none" w:sz="0" w:space="0" w:color="auto"/>
            <w:bottom w:val="none" w:sz="0" w:space="0" w:color="auto"/>
            <w:right w:val="none" w:sz="0" w:space="0" w:color="auto"/>
          </w:divBdr>
          <w:divsChild>
            <w:div w:id="1391536062">
              <w:marLeft w:val="0"/>
              <w:marRight w:val="0"/>
              <w:marTop w:val="0"/>
              <w:marBottom w:val="0"/>
              <w:divBdr>
                <w:top w:val="none" w:sz="0" w:space="0" w:color="auto"/>
                <w:left w:val="none" w:sz="0" w:space="0" w:color="auto"/>
                <w:bottom w:val="none" w:sz="0" w:space="0" w:color="auto"/>
                <w:right w:val="none" w:sz="0" w:space="0" w:color="auto"/>
              </w:divBdr>
            </w:div>
          </w:divsChild>
        </w:div>
        <w:div w:id="770051491">
          <w:marLeft w:val="0"/>
          <w:marRight w:val="0"/>
          <w:marTop w:val="0"/>
          <w:marBottom w:val="0"/>
          <w:divBdr>
            <w:top w:val="none" w:sz="0" w:space="0" w:color="auto"/>
            <w:left w:val="none" w:sz="0" w:space="0" w:color="auto"/>
            <w:bottom w:val="none" w:sz="0" w:space="0" w:color="auto"/>
            <w:right w:val="none" w:sz="0" w:space="0" w:color="auto"/>
          </w:divBdr>
          <w:divsChild>
            <w:div w:id="969822335">
              <w:marLeft w:val="0"/>
              <w:marRight w:val="0"/>
              <w:marTop w:val="0"/>
              <w:marBottom w:val="0"/>
              <w:divBdr>
                <w:top w:val="none" w:sz="0" w:space="0" w:color="auto"/>
                <w:left w:val="none" w:sz="0" w:space="0" w:color="auto"/>
                <w:bottom w:val="none" w:sz="0" w:space="0" w:color="auto"/>
                <w:right w:val="none" w:sz="0" w:space="0" w:color="auto"/>
              </w:divBdr>
            </w:div>
          </w:divsChild>
        </w:div>
        <w:div w:id="793131667">
          <w:marLeft w:val="0"/>
          <w:marRight w:val="0"/>
          <w:marTop w:val="0"/>
          <w:marBottom w:val="0"/>
          <w:divBdr>
            <w:top w:val="none" w:sz="0" w:space="0" w:color="auto"/>
            <w:left w:val="none" w:sz="0" w:space="0" w:color="auto"/>
            <w:bottom w:val="none" w:sz="0" w:space="0" w:color="auto"/>
            <w:right w:val="none" w:sz="0" w:space="0" w:color="auto"/>
          </w:divBdr>
          <w:divsChild>
            <w:div w:id="1020663258">
              <w:marLeft w:val="0"/>
              <w:marRight w:val="0"/>
              <w:marTop w:val="0"/>
              <w:marBottom w:val="0"/>
              <w:divBdr>
                <w:top w:val="none" w:sz="0" w:space="0" w:color="auto"/>
                <w:left w:val="none" w:sz="0" w:space="0" w:color="auto"/>
                <w:bottom w:val="none" w:sz="0" w:space="0" w:color="auto"/>
                <w:right w:val="none" w:sz="0" w:space="0" w:color="auto"/>
              </w:divBdr>
            </w:div>
            <w:div w:id="1142430249">
              <w:marLeft w:val="0"/>
              <w:marRight w:val="0"/>
              <w:marTop w:val="0"/>
              <w:marBottom w:val="0"/>
              <w:divBdr>
                <w:top w:val="none" w:sz="0" w:space="0" w:color="auto"/>
                <w:left w:val="none" w:sz="0" w:space="0" w:color="auto"/>
                <w:bottom w:val="none" w:sz="0" w:space="0" w:color="auto"/>
                <w:right w:val="none" w:sz="0" w:space="0" w:color="auto"/>
              </w:divBdr>
            </w:div>
            <w:div w:id="1461150542">
              <w:marLeft w:val="0"/>
              <w:marRight w:val="0"/>
              <w:marTop w:val="0"/>
              <w:marBottom w:val="0"/>
              <w:divBdr>
                <w:top w:val="none" w:sz="0" w:space="0" w:color="auto"/>
                <w:left w:val="none" w:sz="0" w:space="0" w:color="auto"/>
                <w:bottom w:val="none" w:sz="0" w:space="0" w:color="auto"/>
                <w:right w:val="none" w:sz="0" w:space="0" w:color="auto"/>
              </w:divBdr>
            </w:div>
            <w:div w:id="1551072426">
              <w:marLeft w:val="0"/>
              <w:marRight w:val="0"/>
              <w:marTop w:val="0"/>
              <w:marBottom w:val="0"/>
              <w:divBdr>
                <w:top w:val="none" w:sz="0" w:space="0" w:color="auto"/>
                <w:left w:val="none" w:sz="0" w:space="0" w:color="auto"/>
                <w:bottom w:val="none" w:sz="0" w:space="0" w:color="auto"/>
                <w:right w:val="none" w:sz="0" w:space="0" w:color="auto"/>
              </w:divBdr>
            </w:div>
          </w:divsChild>
        </w:div>
        <w:div w:id="939482839">
          <w:marLeft w:val="0"/>
          <w:marRight w:val="0"/>
          <w:marTop w:val="0"/>
          <w:marBottom w:val="0"/>
          <w:divBdr>
            <w:top w:val="none" w:sz="0" w:space="0" w:color="auto"/>
            <w:left w:val="none" w:sz="0" w:space="0" w:color="auto"/>
            <w:bottom w:val="none" w:sz="0" w:space="0" w:color="auto"/>
            <w:right w:val="none" w:sz="0" w:space="0" w:color="auto"/>
          </w:divBdr>
          <w:divsChild>
            <w:div w:id="1496842875">
              <w:marLeft w:val="0"/>
              <w:marRight w:val="0"/>
              <w:marTop w:val="0"/>
              <w:marBottom w:val="0"/>
              <w:divBdr>
                <w:top w:val="none" w:sz="0" w:space="0" w:color="auto"/>
                <w:left w:val="none" w:sz="0" w:space="0" w:color="auto"/>
                <w:bottom w:val="none" w:sz="0" w:space="0" w:color="auto"/>
                <w:right w:val="none" w:sz="0" w:space="0" w:color="auto"/>
              </w:divBdr>
            </w:div>
          </w:divsChild>
        </w:div>
        <w:div w:id="947083194">
          <w:marLeft w:val="0"/>
          <w:marRight w:val="0"/>
          <w:marTop w:val="0"/>
          <w:marBottom w:val="0"/>
          <w:divBdr>
            <w:top w:val="none" w:sz="0" w:space="0" w:color="auto"/>
            <w:left w:val="none" w:sz="0" w:space="0" w:color="auto"/>
            <w:bottom w:val="none" w:sz="0" w:space="0" w:color="auto"/>
            <w:right w:val="none" w:sz="0" w:space="0" w:color="auto"/>
          </w:divBdr>
          <w:divsChild>
            <w:div w:id="45881847">
              <w:marLeft w:val="0"/>
              <w:marRight w:val="0"/>
              <w:marTop w:val="0"/>
              <w:marBottom w:val="0"/>
              <w:divBdr>
                <w:top w:val="none" w:sz="0" w:space="0" w:color="auto"/>
                <w:left w:val="none" w:sz="0" w:space="0" w:color="auto"/>
                <w:bottom w:val="none" w:sz="0" w:space="0" w:color="auto"/>
                <w:right w:val="none" w:sz="0" w:space="0" w:color="auto"/>
              </w:divBdr>
            </w:div>
            <w:div w:id="751045265">
              <w:marLeft w:val="0"/>
              <w:marRight w:val="0"/>
              <w:marTop w:val="0"/>
              <w:marBottom w:val="0"/>
              <w:divBdr>
                <w:top w:val="none" w:sz="0" w:space="0" w:color="auto"/>
                <w:left w:val="none" w:sz="0" w:space="0" w:color="auto"/>
                <w:bottom w:val="none" w:sz="0" w:space="0" w:color="auto"/>
                <w:right w:val="none" w:sz="0" w:space="0" w:color="auto"/>
              </w:divBdr>
            </w:div>
            <w:div w:id="774911625">
              <w:marLeft w:val="0"/>
              <w:marRight w:val="0"/>
              <w:marTop w:val="0"/>
              <w:marBottom w:val="0"/>
              <w:divBdr>
                <w:top w:val="none" w:sz="0" w:space="0" w:color="auto"/>
                <w:left w:val="none" w:sz="0" w:space="0" w:color="auto"/>
                <w:bottom w:val="none" w:sz="0" w:space="0" w:color="auto"/>
                <w:right w:val="none" w:sz="0" w:space="0" w:color="auto"/>
              </w:divBdr>
            </w:div>
            <w:div w:id="1146554637">
              <w:marLeft w:val="0"/>
              <w:marRight w:val="0"/>
              <w:marTop w:val="0"/>
              <w:marBottom w:val="0"/>
              <w:divBdr>
                <w:top w:val="none" w:sz="0" w:space="0" w:color="auto"/>
                <w:left w:val="none" w:sz="0" w:space="0" w:color="auto"/>
                <w:bottom w:val="none" w:sz="0" w:space="0" w:color="auto"/>
                <w:right w:val="none" w:sz="0" w:space="0" w:color="auto"/>
              </w:divBdr>
            </w:div>
            <w:div w:id="1825243957">
              <w:marLeft w:val="0"/>
              <w:marRight w:val="0"/>
              <w:marTop w:val="0"/>
              <w:marBottom w:val="0"/>
              <w:divBdr>
                <w:top w:val="none" w:sz="0" w:space="0" w:color="auto"/>
                <w:left w:val="none" w:sz="0" w:space="0" w:color="auto"/>
                <w:bottom w:val="none" w:sz="0" w:space="0" w:color="auto"/>
                <w:right w:val="none" w:sz="0" w:space="0" w:color="auto"/>
              </w:divBdr>
            </w:div>
          </w:divsChild>
        </w:div>
        <w:div w:id="1005011954">
          <w:marLeft w:val="0"/>
          <w:marRight w:val="0"/>
          <w:marTop w:val="0"/>
          <w:marBottom w:val="0"/>
          <w:divBdr>
            <w:top w:val="none" w:sz="0" w:space="0" w:color="auto"/>
            <w:left w:val="none" w:sz="0" w:space="0" w:color="auto"/>
            <w:bottom w:val="none" w:sz="0" w:space="0" w:color="auto"/>
            <w:right w:val="none" w:sz="0" w:space="0" w:color="auto"/>
          </w:divBdr>
          <w:divsChild>
            <w:div w:id="39984923">
              <w:marLeft w:val="0"/>
              <w:marRight w:val="0"/>
              <w:marTop w:val="0"/>
              <w:marBottom w:val="0"/>
              <w:divBdr>
                <w:top w:val="none" w:sz="0" w:space="0" w:color="auto"/>
                <w:left w:val="none" w:sz="0" w:space="0" w:color="auto"/>
                <w:bottom w:val="none" w:sz="0" w:space="0" w:color="auto"/>
                <w:right w:val="none" w:sz="0" w:space="0" w:color="auto"/>
              </w:divBdr>
            </w:div>
            <w:div w:id="751699264">
              <w:marLeft w:val="0"/>
              <w:marRight w:val="0"/>
              <w:marTop w:val="0"/>
              <w:marBottom w:val="0"/>
              <w:divBdr>
                <w:top w:val="none" w:sz="0" w:space="0" w:color="auto"/>
                <w:left w:val="none" w:sz="0" w:space="0" w:color="auto"/>
                <w:bottom w:val="none" w:sz="0" w:space="0" w:color="auto"/>
                <w:right w:val="none" w:sz="0" w:space="0" w:color="auto"/>
              </w:divBdr>
            </w:div>
            <w:div w:id="1474562894">
              <w:marLeft w:val="0"/>
              <w:marRight w:val="0"/>
              <w:marTop w:val="0"/>
              <w:marBottom w:val="0"/>
              <w:divBdr>
                <w:top w:val="none" w:sz="0" w:space="0" w:color="auto"/>
                <w:left w:val="none" w:sz="0" w:space="0" w:color="auto"/>
                <w:bottom w:val="none" w:sz="0" w:space="0" w:color="auto"/>
                <w:right w:val="none" w:sz="0" w:space="0" w:color="auto"/>
              </w:divBdr>
            </w:div>
          </w:divsChild>
        </w:div>
        <w:div w:id="1128936164">
          <w:marLeft w:val="0"/>
          <w:marRight w:val="0"/>
          <w:marTop w:val="0"/>
          <w:marBottom w:val="0"/>
          <w:divBdr>
            <w:top w:val="none" w:sz="0" w:space="0" w:color="auto"/>
            <w:left w:val="none" w:sz="0" w:space="0" w:color="auto"/>
            <w:bottom w:val="none" w:sz="0" w:space="0" w:color="auto"/>
            <w:right w:val="none" w:sz="0" w:space="0" w:color="auto"/>
          </w:divBdr>
          <w:divsChild>
            <w:div w:id="253589004">
              <w:marLeft w:val="0"/>
              <w:marRight w:val="0"/>
              <w:marTop w:val="0"/>
              <w:marBottom w:val="0"/>
              <w:divBdr>
                <w:top w:val="none" w:sz="0" w:space="0" w:color="auto"/>
                <w:left w:val="none" w:sz="0" w:space="0" w:color="auto"/>
                <w:bottom w:val="none" w:sz="0" w:space="0" w:color="auto"/>
                <w:right w:val="none" w:sz="0" w:space="0" w:color="auto"/>
              </w:divBdr>
            </w:div>
          </w:divsChild>
        </w:div>
        <w:div w:id="1200515030">
          <w:marLeft w:val="0"/>
          <w:marRight w:val="0"/>
          <w:marTop w:val="0"/>
          <w:marBottom w:val="0"/>
          <w:divBdr>
            <w:top w:val="none" w:sz="0" w:space="0" w:color="auto"/>
            <w:left w:val="none" w:sz="0" w:space="0" w:color="auto"/>
            <w:bottom w:val="none" w:sz="0" w:space="0" w:color="auto"/>
            <w:right w:val="none" w:sz="0" w:space="0" w:color="auto"/>
          </w:divBdr>
          <w:divsChild>
            <w:div w:id="1705671420">
              <w:marLeft w:val="0"/>
              <w:marRight w:val="0"/>
              <w:marTop w:val="0"/>
              <w:marBottom w:val="0"/>
              <w:divBdr>
                <w:top w:val="none" w:sz="0" w:space="0" w:color="auto"/>
                <w:left w:val="none" w:sz="0" w:space="0" w:color="auto"/>
                <w:bottom w:val="none" w:sz="0" w:space="0" w:color="auto"/>
                <w:right w:val="none" w:sz="0" w:space="0" w:color="auto"/>
              </w:divBdr>
            </w:div>
          </w:divsChild>
        </w:div>
        <w:div w:id="1245338542">
          <w:marLeft w:val="0"/>
          <w:marRight w:val="0"/>
          <w:marTop w:val="0"/>
          <w:marBottom w:val="0"/>
          <w:divBdr>
            <w:top w:val="none" w:sz="0" w:space="0" w:color="auto"/>
            <w:left w:val="none" w:sz="0" w:space="0" w:color="auto"/>
            <w:bottom w:val="none" w:sz="0" w:space="0" w:color="auto"/>
            <w:right w:val="none" w:sz="0" w:space="0" w:color="auto"/>
          </w:divBdr>
          <w:divsChild>
            <w:div w:id="1407071915">
              <w:marLeft w:val="0"/>
              <w:marRight w:val="0"/>
              <w:marTop w:val="0"/>
              <w:marBottom w:val="0"/>
              <w:divBdr>
                <w:top w:val="none" w:sz="0" w:space="0" w:color="auto"/>
                <w:left w:val="none" w:sz="0" w:space="0" w:color="auto"/>
                <w:bottom w:val="none" w:sz="0" w:space="0" w:color="auto"/>
                <w:right w:val="none" w:sz="0" w:space="0" w:color="auto"/>
              </w:divBdr>
            </w:div>
          </w:divsChild>
        </w:div>
        <w:div w:id="1283462071">
          <w:marLeft w:val="0"/>
          <w:marRight w:val="0"/>
          <w:marTop w:val="0"/>
          <w:marBottom w:val="0"/>
          <w:divBdr>
            <w:top w:val="none" w:sz="0" w:space="0" w:color="auto"/>
            <w:left w:val="none" w:sz="0" w:space="0" w:color="auto"/>
            <w:bottom w:val="none" w:sz="0" w:space="0" w:color="auto"/>
            <w:right w:val="none" w:sz="0" w:space="0" w:color="auto"/>
          </w:divBdr>
          <w:divsChild>
            <w:div w:id="403526247">
              <w:marLeft w:val="0"/>
              <w:marRight w:val="0"/>
              <w:marTop w:val="0"/>
              <w:marBottom w:val="0"/>
              <w:divBdr>
                <w:top w:val="none" w:sz="0" w:space="0" w:color="auto"/>
                <w:left w:val="none" w:sz="0" w:space="0" w:color="auto"/>
                <w:bottom w:val="none" w:sz="0" w:space="0" w:color="auto"/>
                <w:right w:val="none" w:sz="0" w:space="0" w:color="auto"/>
              </w:divBdr>
            </w:div>
          </w:divsChild>
        </w:div>
        <w:div w:id="1308976671">
          <w:marLeft w:val="0"/>
          <w:marRight w:val="0"/>
          <w:marTop w:val="0"/>
          <w:marBottom w:val="0"/>
          <w:divBdr>
            <w:top w:val="none" w:sz="0" w:space="0" w:color="auto"/>
            <w:left w:val="none" w:sz="0" w:space="0" w:color="auto"/>
            <w:bottom w:val="none" w:sz="0" w:space="0" w:color="auto"/>
            <w:right w:val="none" w:sz="0" w:space="0" w:color="auto"/>
          </w:divBdr>
          <w:divsChild>
            <w:div w:id="1897013262">
              <w:marLeft w:val="0"/>
              <w:marRight w:val="0"/>
              <w:marTop w:val="0"/>
              <w:marBottom w:val="0"/>
              <w:divBdr>
                <w:top w:val="none" w:sz="0" w:space="0" w:color="auto"/>
                <w:left w:val="none" w:sz="0" w:space="0" w:color="auto"/>
                <w:bottom w:val="none" w:sz="0" w:space="0" w:color="auto"/>
                <w:right w:val="none" w:sz="0" w:space="0" w:color="auto"/>
              </w:divBdr>
            </w:div>
          </w:divsChild>
        </w:div>
        <w:div w:id="1449465890">
          <w:marLeft w:val="0"/>
          <w:marRight w:val="0"/>
          <w:marTop w:val="0"/>
          <w:marBottom w:val="0"/>
          <w:divBdr>
            <w:top w:val="none" w:sz="0" w:space="0" w:color="auto"/>
            <w:left w:val="none" w:sz="0" w:space="0" w:color="auto"/>
            <w:bottom w:val="none" w:sz="0" w:space="0" w:color="auto"/>
            <w:right w:val="none" w:sz="0" w:space="0" w:color="auto"/>
          </w:divBdr>
          <w:divsChild>
            <w:div w:id="39938565">
              <w:marLeft w:val="0"/>
              <w:marRight w:val="0"/>
              <w:marTop w:val="0"/>
              <w:marBottom w:val="0"/>
              <w:divBdr>
                <w:top w:val="none" w:sz="0" w:space="0" w:color="auto"/>
                <w:left w:val="none" w:sz="0" w:space="0" w:color="auto"/>
                <w:bottom w:val="none" w:sz="0" w:space="0" w:color="auto"/>
                <w:right w:val="none" w:sz="0" w:space="0" w:color="auto"/>
              </w:divBdr>
            </w:div>
          </w:divsChild>
        </w:div>
        <w:div w:id="1465582439">
          <w:marLeft w:val="0"/>
          <w:marRight w:val="0"/>
          <w:marTop w:val="0"/>
          <w:marBottom w:val="0"/>
          <w:divBdr>
            <w:top w:val="none" w:sz="0" w:space="0" w:color="auto"/>
            <w:left w:val="none" w:sz="0" w:space="0" w:color="auto"/>
            <w:bottom w:val="none" w:sz="0" w:space="0" w:color="auto"/>
            <w:right w:val="none" w:sz="0" w:space="0" w:color="auto"/>
          </w:divBdr>
          <w:divsChild>
            <w:div w:id="1973709300">
              <w:marLeft w:val="0"/>
              <w:marRight w:val="0"/>
              <w:marTop w:val="0"/>
              <w:marBottom w:val="0"/>
              <w:divBdr>
                <w:top w:val="none" w:sz="0" w:space="0" w:color="auto"/>
                <w:left w:val="none" w:sz="0" w:space="0" w:color="auto"/>
                <w:bottom w:val="none" w:sz="0" w:space="0" w:color="auto"/>
                <w:right w:val="none" w:sz="0" w:space="0" w:color="auto"/>
              </w:divBdr>
            </w:div>
          </w:divsChild>
        </w:div>
        <w:div w:id="1472863644">
          <w:marLeft w:val="0"/>
          <w:marRight w:val="0"/>
          <w:marTop w:val="0"/>
          <w:marBottom w:val="0"/>
          <w:divBdr>
            <w:top w:val="none" w:sz="0" w:space="0" w:color="auto"/>
            <w:left w:val="none" w:sz="0" w:space="0" w:color="auto"/>
            <w:bottom w:val="none" w:sz="0" w:space="0" w:color="auto"/>
            <w:right w:val="none" w:sz="0" w:space="0" w:color="auto"/>
          </w:divBdr>
          <w:divsChild>
            <w:div w:id="1882399285">
              <w:marLeft w:val="0"/>
              <w:marRight w:val="0"/>
              <w:marTop w:val="0"/>
              <w:marBottom w:val="0"/>
              <w:divBdr>
                <w:top w:val="none" w:sz="0" w:space="0" w:color="auto"/>
                <w:left w:val="none" w:sz="0" w:space="0" w:color="auto"/>
                <w:bottom w:val="none" w:sz="0" w:space="0" w:color="auto"/>
                <w:right w:val="none" w:sz="0" w:space="0" w:color="auto"/>
              </w:divBdr>
            </w:div>
          </w:divsChild>
        </w:div>
        <w:div w:id="1488549789">
          <w:marLeft w:val="0"/>
          <w:marRight w:val="0"/>
          <w:marTop w:val="0"/>
          <w:marBottom w:val="0"/>
          <w:divBdr>
            <w:top w:val="none" w:sz="0" w:space="0" w:color="auto"/>
            <w:left w:val="none" w:sz="0" w:space="0" w:color="auto"/>
            <w:bottom w:val="none" w:sz="0" w:space="0" w:color="auto"/>
            <w:right w:val="none" w:sz="0" w:space="0" w:color="auto"/>
          </w:divBdr>
          <w:divsChild>
            <w:div w:id="1088503304">
              <w:marLeft w:val="0"/>
              <w:marRight w:val="0"/>
              <w:marTop w:val="0"/>
              <w:marBottom w:val="0"/>
              <w:divBdr>
                <w:top w:val="none" w:sz="0" w:space="0" w:color="auto"/>
                <w:left w:val="none" w:sz="0" w:space="0" w:color="auto"/>
                <w:bottom w:val="none" w:sz="0" w:space="0" w:color="auto"/>
                <w:right w:val="none" w:sz="0" w:space="0" w:color="auto"/>
              </w:divBdr>
            </w:div>
          </w:divsChild>
        </w:div>
        <w:div w:id="1576473444">
          <w:marLeft w:val="0"/>
          <w:marRight w:val="0"/>
          <w:marTop w:val="0"/>
          <w:marBottom w:val="0"/>
          <w:divBdr>
            <w:top w:val="none" w:sz="0" w:space="0" w:color="auto"/>
            <w:left w:val="none" w:sz="0" w:space="0" w:color="auto"/>
            <w:bottom w:val="none" w:sz="0" w:space="0" w:color="auto"/>
            <w:right w:val="none" w:sz="0" w:space="0" w:color="auto"/>
          </w:divBdr>
          <w:divsChild>
            <w:div w:id="1342395203">
              <w:marLeft w:val="0"/>
              <w:marRight w:val="0"/>
              <w:marTop w:val="0"/>
              <w:marBottom w:val="0"/>
              <w:divBdr>
                <w:top w:val="none" w:sz="0" w:space="0" w:color="auto"/>
                <w:left w:val="none" w:sz="0" w:space="0" w:color="auto"/>
                <w:bottom w:val="none" w:sz="0" w:space="0" w:color="auto"/>
                <w:right w:val="none" w:sz="0" w:space="0" w:color="auto"/>
              </w:divBdr>
            </w:div>
          </w:divsChild>
        </w:div>
        <w:div w:id="1625498630">
          <w:marLeft w:val="0"/>
          <w:marRight w:val="0"/>
          <w:marTop w:val="0"/>
          <w:marBottom w:val="0"/>
          <w:divBdr>
            <w:top w:val="none" w:sz="0" w:space="0" w:color="auto"/>
            <w:left w:val="none" w:sz="0" w:space="0" w:color="auto"/>
            <w:bottom w:val="none" w:sz="0" w:space="0" w:color="auto"/>
            <w:right w:val="none" w:sz="0" w:space="0" w:color="auto"/>
          </w:divBdr>
          <w:divsChild>
            <w:div w:id="1268611370">
              <w:marLeft w:val="0"/>
              <w:marRight w:val="0"/>
              <w:marTop w:val="0"/>
              <w:marBottom w:val="0"/>
              <w:divBdr>
                <w:top w:val="none" w:sz="0" w:space="0" w:color="auto"/>
                <w:left w:val="none" w:sz="0" w:space="0" w:color="auto"/>
                <w:bottom w:val="none" w:sz="0" w:space="0" w:color="auto"/>
                <w:right w:val="none" w:sz="0" w:space="0" w:color="auto"/>
              </w:divBdr>
            </w:div>
          </w:divsChild>
        </w:div>
        <w:div w:id="1628856353">
          <w:marLeft w:val="0"/>
          <w:marRight w:val="0"/>
          <w:marTop w:val="0"/>
          <w:marBottom w:val="0"/>
          <w:divBdr>
            <w:top w:val="none" w:sz="0" w:space="0" w:color="auto"/>
            <w:left w:val="none" w:sz="0" w:space="0" w:color="auto"/>
            <w:bottom w:val="none" w:sz="0" w:space="0" w:color="auto"/>
            <w:right w:val="none" w:sz="0" w:space="0" w:color="auto"/>
          </w:divBdr>
          <w:divsChild>
            <w:div w:id="583026889">
              <w:marLeft w:val="0"/>
              <w:marRight w:val="0"/>
              <w:marTop w:val="0"/>
              <w:marBottom w:val="0"/>
              <w:divBdr>
                <w:top w:val="none" w:sz="0" w:space="0" w:color="auto"/>
                <w:left w:val="none" w:sz="0" w:space="0" w:color="auto"/>
                <w:bottom w:val="none" w:sz="0" w:space="0" w:color="auto"/>
                <w:right w:val="none" w:sz="0" w:space="0" w:color="auto"/>
              </w:divBdr>
            </w:div>
            <w:div w:id="1493180367">
              <w:marLeft w:val="0"/>
              <w:marRight w:val="0"/>
              <w:marTop w:val="0"/>
              <w:marBottom w:val="0"/>
              <w:divBdr>
                <w:top w:val="none" w:sz="0" w:space="0" w:color="auto"/>
                <w:left w:val="none" w:sz="0" w:space="0" w:color="auto"/>
                <w:bottom w:val="none" w:sz="0" w:space="0" w:color="auto"/>
                <w:right w:val="none" w:sz="0" w:space="0" w:color="auto"/>
              </w:divBdr>
            </w:div>
            <w:div w:id="1860310140">
              <w:marLeft w:val="0"/>
              <w:marRight w:val="0"/>
              <w:marTop w:val="0"/>
              <w:marBottom w:val="0"/>
              <w:divBdr>
                <w:top w:val="none" w:sz="0" w:space="0" w:color="auto"/>
                <w:left w:val="none" w:sz="0" w:space="0" w:color="auto"/>
                <w:bottom w:val="none" w:sz="0" w:space="0" w:color="auto"/>
                <w:right w:val="none" w:sz="0" w:space="0" w:color="auto"/>
              </w:divBdr>
            </w:div>
          </w:divsChild>
        </w:div>
        <w:div w:id="1711763330">
          <w:marLeft w:val="0"/>
          <w:marRight w:val="0"/>
          <w:marTop w:val="0"/>
          <w:marBottom w:val="0"/>
          <w:divBdr>
            <w:top w:val="none" w:sz="0" w:space="0" w:color="auto"/>
            <w:left w:val="none" w:sz="0" w:space="0" w:color="auto"/>
            <w:bottom w:val="none" w:sz="0" w:space="0" w:color="auto"/>
            <w:right w:val="none" w:sz="0" w:space="0" w:color="auto"/>
          </w:divBdr>
          <w:divsChild>
            <w:div w:id="344021278">
              <w:marLeft w:val="0"/>
              <w:marRight w:val="0"/>
              <w:marTop w:val="0"/>
              <w:marBottom w:val="0"/>
              <w:divBdr>
                <w:top w:val="none" w:sz="0" w:space="0" w:color="auto"/>
                <w:left w:val="none" w:sz="0" w:space="0" w:color="auto"/>
                <w:bottom w:val="none" w:sz="0" w:space="0" w:color="auto"/>
                <w:right w:val="none" w:sz="0" w:space="0" w:color="auto"/>
              </w:divBdr>
            </w:div>
          </w:divsChild>
        </w:div>
        <w:div w:id="1880167068">
          <w:marLeft w:val="0"/>
          <w:marRight w:val="0"/>
          <w:marTop w:val="0"/>
          <w:marBottom w:val="0"/>
          <w:divBdr>
            <w:top w:val="none" w:sz="0" w:space="0" w:color="auto"/>
            <w:left w:val="none" w:sz="0" w:space="0" w:color="auto"/>
            <w:bottom w:val="none" w:sz="0" w:space="0" w:color="auto"/>
            <w:right w:val="none" w:sz="0" w:space="0" w:color="auto"/>
          </w:divBdr>
          <w:divsChild>
            <w:div w:id="2144232221">
              <w:marLeft w:val="0"/>
              <w:marRight w:val="0"/>
              <w:marTop w:val="0"/>
              <w:marBottom w:val="0"/>
              <w:divBdr>
                <w:top w:val="none" w:sz="0" w:space="0" w:color="auto"/>
                <w:left w:val="none" w:sz="0" w:space="0" w:color="auto"/>
                <w:bottom w:val="none" w:sz="0" w:space="0" w:color="auto"/>
                <w:right w:val="none" w:sz="0" w:space="0" w:color="auto"/>
              </w:divBdr>
            </w:div>
          </w:divsChild>
        </w:div>
        <w:div w:id="1913617176">
          <w:marLeft w:val="0"/>
          <w:marRight w:val="0"/>
          <w:marTop w:val="0"/>
          <w:marBottom w:val="0"/>
          <w:divBdr>
            <w:top w:val="none" w:sz="0" w:space="0" w:color="auto"/>
            <w:left w:val="none" w:sz="0" w:space="0" w:color="auto"/>
            <w:bottom w:val="none" w:sz="0" w:space="0" w:color="auto"/>
            <w:right w:val="none" w:sz="0" w:space="0" w:color="auto"/>
          </w:divBdr>
          <w:divsChild>
            <w:div w:id="1984583929">
              <w:marLeft w:val="0"/>
              <w:marRight w:val="0"/>
              <w:marTop w:val="0"/>
              <w:marBottom w:val="0"/>
              <w:divBdr>
                <w:top w:val="none" w:sz="0" w:space="0" w:color="auto"/>
                <w:left w:val="none" w:sz="0" w:space="0" w:color="auto"/>
                <w:bottom w:val="none" w:sz="0" w:space="0" w:color="auto"/>
                <w:right w:val="none" w:sz="0" w:space="0" w:color="auto"/>
              </w:divBdr>
            </w:div>
          </w:divsChild>
        </w:div>
        <w:div w:id="1925530867">
          <w:marLeft w:val="0"/>
          <w:marRight w:val="0"/>
          <w:marTop w:val="0"/>
          <w:marBottom w:val="0"/>
          <w:divBdr>
            <w:top w:val="none" w:sz="0" w:space="0" w:color="auto"/>
            <w:left w:val="none" w:sz="0" w:space="0" w:color="auto"/>
            <w:bottom w:val="none" w:sz="0" w:space="0" w:color="auto"/>
            <w:right w:val="none" w:sz="0" w:space="0" w:color="auto"/>
          </w:divBdr>
          <w:divsChild>
            <w:div w:id="1074667525">
              <w:marLeft w:val="0"/>
              <w:marRight w:val="0"/>
              <w:marTop w:val="0"/>
              <w:marBottom w:val="0"/>
              <w:divBdr>
                <w:top w:val="none" w:sz="0" w:space="0" w:color="auto"/>
                <w:left w:val="none" w:sz="0" w:space="0" w:color="auto"/>
                <w:bottom w:val="none" w:sz="0" w:space="0" w:color="auto"/>
                <w:right w:val="none" w:sz="0" w:space="0" w:color="auto"/>
              </w:divBdr>
            </w:div>
          </w:divsChild>
        </w:div>
        <w:div w:id="1928726449">
          <w:marLeft w:val="0"/>
          <w:marRight w:val="0"/>
          <w:marTop w:val="0"/>
          <w:marBottom w:val="0"/>
          <w:divBdr>
            <w:top w:val="none" w:sz="0" w:space="0" w:color="auto"/>
            <w:left w:val="none" w:sz="0" w:space="0" w:color="auto"/>
            <w:bottom w:val="none" w:sz="0" w:space="0" w:color="auto"/>
            <w:right w:val="none" w:sz="0" w:space="0" w:color="auto"/>
          </w:divBdr>
          <w:divsChild>
            <w:div w:id="837160650">
              <w:marLeft w:val="0"/>
              <w:marRight w:val="0"/>
              <w:marTop w:val="0"/>
              <w:marBottom w:val="0"/>
              <w:divBdr>
                <w:top w:val="none" w:sz="0" w:space="0" w:color="auto"/>
                <w:left w:val="none" w:sz="0" w:space="0" w:color="auto"/>
                <w:bottom w:val="none" w:sz="0" w:space="0" w:color="auto"/>
                <w:right w:val="none" w:sz="0" w:space="0" w:color="auto"/>
              </w:divBdr>
            </w:div>
          </w:divsChild>
        </w:div>
        <w:div w:id="1931769338">
          <w:marLeft w:val="0"/>
          <w:marRight w:val="0"/>
          <w:marTop w:val="0"/>
          <w:marBottom w:val="0"/>
          <w:divBdr>
            <w:top w:val="none" w:sz="0" w:space="0" w:color="auto"/>
            <w:left w:val="none" w:sz="0" w:space="0" w:color="auto"/>
            <w:bottom w:val="none" w:sz="0" w:space="0" w:color="auto"/>
            <w:right w:val="none" w:sz="0" w:space="0" w:color="auto"/>
          </w:divBdr>
          <w:divsChild>
            <w:div w:id="366105429">
              <w:marLeft w:val="0"/>
              <w:marRight w:val="0"/>
              <w:marTop w:val="0"/>
              <w:marBottom w:val="0"/>
              <w:divBdr>
                <w:top w:val="none" w:sz="0" w:space="0" w:color="auto"/>
                <w:left w:val="none" w:sz="0" w:space="0" w:color="auto"/>
                <w:bottom w:val="none" w:sz="0" w:space="0" w:color="auto"/>
                <w:right w:val="none" w:sz="0" w:space="0" w:color="auto"/>
              </w:divBdr>
            </w:div>
          </w:divsChild>
        </w:div>
        <w:div w:id="1992639144">
          <w:marLeft w:val="0"/>
          <w:marRight w:val="0"/>
          <w:marTop w:val="0"/>
          <w:marBottom w:val="0"/>
          <w:divBdr>
            <w:top w:val="none" w:sz="0" w:space="0" w:color="auto"/>
            <w:left w:val="none" w:sz="0" w:space="0" w:color="auto"/>
            <w:bottom w:val="none" w:sz="0" w:space="0" w:color="auto"/>
            <w:right w:val="none" w:sz="0" w:space="0" w:color="auto"/>
          </w:divBdr>
          <w:divsChild>
            <w:div w:id="1288972878">
              <w:marLeft w:val="0"/>
              <w:marRight w:val="0"/>
              <w:marTop w:val="0"/>
              <w:marBottom w:val="0"/>
              <w:divBdr>
                <w:top w:val="none" w:sz="0" w:space="0" w:color="auto"/>
                <w:left w:val="none" w:sz="0" w:space="0" w:color="auto"/>
                <w:bottom w:val="none" w:sz="0" w:space="0" w:color="auto"/>
                <w:right w:val="none" w:sz="0" w:space="0" w:color="auto"/>
              </w:divBdr>
            </w:div>
          </w:divsChild>
        </w:div>
        <w:div w:id="2023433575">
          <w:marLeft w:val="0"/>
          <w:marRight w:val="0"/>
          <w:marTop w:val="0"/>
          <w:marBottom w:val="0"/>
          <w:divBdr>
            <w:top w:val="none" w:sz="0" w:space="0" w:color="auto"/>
            <w:left w:val="none" w:sz="0" w:space="0" w:color="auto"/>
            <w:bottom w:val="none" w:sz="0" w:space="0" w:color="auto"/>
            <w:right w:val="none" w:sz="0" w:space="0" w:color="auto"/>
          </w:divBdr>
          <w:divsChild>
            <w:div w:id="1764642107">
              <w:marLeft w:val="0"/>
              <w:marRight w:val="0"/>
              <w:marTop w:val="0"/>
              <w:marBottom w:val="0"/>
              <w:divBdr>
                <w:top w:val="none" w:sz="0" w:space="0" w:color="auto"/>
                <w:left w:val="none" w:sz="0" w:space="0" w:color="auto"/>
                <w:bottom w:val="none" w:sz="0" w:space="0" w:color="auto"/>
                <w:right w:val="none" w:sz="0" w:space="0" w:color="auto"/>
              </w:divBdr>
            </w:div>
          </w:divsChild>
        </w:div>
        <w:div w:id="2029792128">
          <w:marLeft w:val="0"/>
          <w:marRight w:val="0"/>
          <w:marTop w:val="0"/>
          <w:marBottom w:val="0"/>
          <w:divBdr>
            <w:top w:val="none" w:sz="0" w:space="0" w:color="auto"/>
            <w:left w:val="none" w:sz="0" w:space="0" w:color="auto"/>
            <w:bottom w:val="none" w:sz="0" w:space="0" w:color="auto"/>
            <w:right w:val="none" w:sz="0" w:space="0" w:color="auto"/>
          </w:divBdr>
          <w:divsChild>
            <w:div w:id="1608654656">
              <w:marLeft w:val="0"/>
              <w:marRight w:val="0"/>
              <w:marTop w:val="0"/>
              <w:marBottom w:val="0"/>
              <w:divBdr>
                <w:top w:val="none" w:sz="0" w:space="0" w:color="auto"/>
                <w:left w:val="none" w:sz="0" w:space="0" w:color="auto"/>
                <w:bottom w:val="none" w:sz="0" w:space="0" w:color="auto"/>
                <w:right w:val="none" w:sz="0" w:space="0" w:color="auto"/>
              </w:divBdr>
            </w:div>
          </w:divsChild>
        </w:div>
        <w:div w:id="2124029804">
          <w:marLeft w:val="0"/>
          <w:marRight w:val="0"/>
          <w:marTop w:val="0"/>
          <w:marBottom w:val="0"/>
          <w:divBdr>
            <w:top w:val="none" w:sz="0" w:space="0" w:color="auto"/>
            <w:left w:val="none" w:sz="0" w:space="0" w:color="auto"/>
            <w:bottom w:val="none" w:sz="0" w:space="0" w:color="auto"/>
            <w:right w:val="none" w:sz="0" w:space="0" w:color="auto"/>
          </w:divBdr>
          <w:divsChild>
            <w:div w:id="1682270439">
              <w:marLeft w:val="0"/>
              <w:marRight w:val="0"/>
              <w:marTop w:val="0"/>
              <w:marBottom w:val="0"/>
              <w:divBdr>
                <w:top w:val="none" w:sz="0" w:space="0" w:color="auto"/>
                <w:left w:val="none" w:sz="0" w:space="0" w:color="auto"/>
                <w:bottom w:val="none" w:sz="0" w:space="0" w:color="auto"/>
                <w:right w:val="none" w:sz="0" w:space="0" w:color="auto"/>
              </w:divBdr>
            </w:div>
          </w:divsChild>
        </w:div>
        <w:div w:id="2130200629">
          <w:marLeft w:val="0"/>
          <w:marRight w:val="0"/>
          <w:marTop w:val="0"/>
          <w:marBottom w:val="0"/>
          <w:divBdr>
            <w:top w:val="none" w:sz="0" w:space="0" w:color="auto"/>
            <w:left w:val="none" w:sz="0" w:space="0" w:color="auto"/>
            <w:bottom w:val="none" w:sz="0" w:space="0" w:color="auto"/>
            <w:right w:val="none" w:sz="0" w:space="0" w:color="auto"/>
          </w:divBdr>
          <w:divsChild>
            <w:div w:id="525874383">
              <w:marLeft w:val="0"/>
              <w:marRight w:val="0"/>
              <w:marTop w:val="0"/>
              <w:marBottom w:val="0"/>
              <w:divBdr>
                <w:top w:val="none" w:sz="0" w:space="0" w:color="auto"/>
                <w:left w:val="none" w:sz="0" w:space="0" w:color="auto"/>
                <w:bottom w:val="none" w:sz="0" w:space="0" w:color="auto"/>
                <w:right w:val="none" w:sz="0" w:space="0" w:color="auto"/>
              </w:divBdr>
            </w:div>
          </w:divsChild>
        </w:div>
        <w:div w:id="2142379012">
          <w:marLeft w:val="0"/>
          <w:marRight w:val="0"/>
          <w:marTop w:val="0"/>
          <w:marBottom w:val="0"/>
          <w:divBdr>
            <w:top w:val="none" w:sz="0" w:space="0" w:color="auto"/>
            <w:left w:val="none" w:sz="0" w:space="0" w:color="auto"/>
            <w:bottom w:val="none" w:sz="0" w:space="0" w:color="auto"/>
            <w:right w:val="none" w:sz="0" w:space="0" w:color="auto"/>
          </w:divBdr>
          <w:divsChild>
            <w:div w:id="21786465">
              <w:marLeft w:val="0"/>
              <w:marRight w:val="0"/>
              <w:marTop w:val="0"/>
              <w:marBottom w:val="0"/>
              <w:divBdr>
                <w:top w:val="none" w:sz="0" w:space="0" w:color="auto"/>
                <w:left w:val="none" w:sz="0" w:space="0" w:color="auto"/>
                <w:bottom w:val="none" w:sz="0" w:space="0" w:color="auto"/>
                <w:right w:val="none" w:sz="0" w:space="0" w:color="auto"/>
              </w:divBdr>
            </w:div>
            <w:div w:id="377434656">
              <w:marLeft w:val="0"/>
              <w:marRight w:val="0"/>
              <w:marTop w:val="0"/>
              <w:marBottom w:val="0"/>
              <w:divBdr>
                <w:top w:val="none" w:sz="0" w:space="0" w:color="auto"/>
                <w:left w:val="none" w:sz="0" w:space="0" w:color="auto"/>
                <w:bottom w:val="none" w:sz="0" w:space="0" w:color="auto"/>
                <w:right w:val="none" w:sz="0" w:space="0" w:color="auto"/>
              </w:divBdr>
            </w:div>
            <w:div w:id="190067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2960">
      <w:bodyDiv w:val="1"/>
      <w:marLeft w:val="0"/>
      <w:marRight w:val="0"/>
      <w:marTop w:val="0"/>
      <w:marBottom w:val="0"/>
      <w:divBdr>
        <w:top w:val="none" w:sz="0" w:space="0" w:color="auto"/>
        <w:left w:val="none" w:sz="0" w:space="0" w:color="auto"/>
        <w:bottom w:val="none" w:sz="0" w:space="0" w:color="auto"/>
        <w:right w:val="none" w:sz="0" w:space="0" w:color="auto"/>
      </w:divBdr>
    </w:div>
    <w:div w:id="449906874">
      <w:bodyDiv w:val="1"/>
      <w:marLeft w:val="0"/>
      <w:marRight w:val="0"/>
      <w:marTop w:val="0"/>
      <w:marBottom w:val="0"/>
      <w:divBdr>
        <w:top w:val="none" w:sz="0" w:space="0" w:color="auto"/>
        <w:left w:val="none" w:sz="0" w:space="0" w:color="auto"/>
        <w:bottom w:val="none" w:sz="0" w:space="0" w:color="auto"/>
        <w:right w:val="none" w:sz="0" w:space="0" w:color="auto"/>
      </w:divBdr>
      <w:divsChild>
        <w:div w:id="4408542">
          <w:marLeft w:val="0"/>
          <w:marRight w:val="0"/>
          <w:marTop w:val="0"/>
          <w:marBottom w:val="0"/>
          <w:divBdr>
            <w:top w:val="none" w:sz="0" w:space="0" w:color="auto"/>
            <w:left w:val="none" w:sz="0" w:space="0" w:color="auto"/>
            <w:bottom w:val="none" w:sz="0" w:space="0" w:color="auto"/>
            <w:right w:val="none" w:sz="0" w:space="0" w:color="auto"/>
          </w:divBdr>
          <w:divsChild>
            <w:div w:id="1560164446">
              <w:marLeft w:val="0"/>
              <w:marRight w:val="0"/>
              <w:marTop w:val="0"/>
              <w:marBottom w:val="0"/>
              <w:divBdr>
                <w:top w:val="none" w:sz="0" w:space="0" w:color="auto"/>
                <w:left w:val="none" w:sz="0" w:space="0" w:color="auto"/>
                <w:bottom w:val="none" w:sz="0" w:space="0" w:color="auto"/>
                <w:right w:val="none" w:sz="0" w:space="0" w:color="auto"/>
              </w:divBdr>
            </w:div>
          </w:divsChild>
        </w:div>
        <w:div w:id="84420134">
          <w:marLeft w:val="0"/>
          <w:marRight w:val="0"/>
          <w:marTop w:val="0"/>
          <w:marBottom w:val="0"/>
          <w:divBdr>
            <w:top w:val="none" w:sz="0" w:space="0" w:color="auto"/>
            <w:left w:val="none" w:sz="0" w:space="0" w:color="auto"/>
            <w:bottom w:val="none" w:sz="0" w:space="0" w:color="auto"/>
            <w:right w:val="none" w:sz="0" w:space="0" w:color="auto"/>
          </w:divBdr>
          <w:divsChild>
            <w:div w:id="721245740">
              <w:marLeft w:val="0"/>
              <w:marRight w:val="0"/>
              <w:marTop w:val="0"/>
              <w:marBottom w:val="0"/>
              <w:divBdr>
                <w:top w:val="none" w:sz="0" w:space="0" w:color="auto"/>
                <w:left w:val="none" w:sz="0" w:space="0" w:color="auto"/>
                <w:bottom w:val="none" w:sz="0" w:space="0" w:color="auto"/>
                <w:right w:val="none" w:sz="0" w:space="0" w:color="auto"/>
              </w:divBdr>
            </w:div>
          </w:divsChild>
        </w:div>
        <w:div w:id="109904894">
          <w:marLeft w:val="0"/>
          <w:marRight w:val="0"/>
          <w:marTop w:val="0"/>
          <w:marBottom w:val="0"/>
          <w:divBdr>
            <w:top w:val="none" w:sz="0" w:space="0" w:color="auto"/>
            <w:left w:val="none" w:sz="0" w:space="0" w:color="auto"/>
            <w:bottom w:val="none" w:sz="0" w:space="0" w:color="auto"/>
            <w:right w:val="none" w:sz="0" w:space="0" w:color="auto"/>
          </w:divBdr>
          <w:divsChild>
            <w:div w:id="1293364207">
              <w:marLeft w:val="0"/>
              <w:marRight w:val="0"/>
              <w:marTop w:val="0"/>
              <w:marBottom w:val="0"/>
              <w:divBdr>
                <w:top w:val="none" w:sz="0" w:space="0" w:color="auto"/>
                <w:left w:val="none" w:sz="0" w:space="0" w:color="auto"/>
                <w:bottom w:val="none" w:sz="0" w:space="0" w:color="auto"/>
                <w:right w:val="none" w:sz="0" w:space="0" w:color="auto"/>
              </w:divBdr>
            </w:div>
          </w:divsChild>
        </w:div>
        <w:div w:id="158548624">
          <w:marLeft w:val="0"/>
          <w:marRight w:val="0"/>
          <w:marTop w:val="0"/>
          <w:marBottom w:val="0"/>
          <w:divBdr>
            <w:top w:val="none" w:sz="0" w:space="0" w:color="auto"/>
            <w:left w:val="none" w:sz="0" w:space="0" w:color="auto"/>
            <w:bottom w:val="none" w:sz="0" w:space="0" w:color="auto"/>
            <w:right w:val="none" w:sz="0" w:space="0" w:color="auto"/>
          </w:divBdr>
          <w:divsChild>
            <w:div w:id="1209610133">
              <w:marLeft w:val="0"/>
              <w:marRight w:val="0"/>
              <w:marTop w:val="0"/>
              <w:marBottom w:val="0"/>
              <w:divBdr>
                <w:top w:val="none" w:sz="0" w:space="0" w:color="auto"/>
                <w:left w:val="none" w:sz="0" w:space="0" w:color="auto"/>
                <w:bottom w:val="none" w:sz="0" w:space="0" w:color="auto"/>
                <w:right w:val="none" w:sz="0" w:space="0" w:color="auto"/>
              </w:divBdr>
            </w:div>
            <w:div w:id="1806197343">
              <w:marLeft w:val="0"/>
              <w:marRight w:val="0"/>
              <w:marTop w:val="0"/>
              <w:marBottom w:val="0"/>
              <w:divBdr>
                <w:top w:val="none" w:sz="0" w:space="0" w:color="auto"/>
                <w:left w:val="none" w:sz="0" w:space="0" w:color="auto"/>
                <w:bottom w:val="none" w:sz="0" w:space="0" w:color="auto"/>
                <w:right w:val="none" w:sz="0" w:space="0" w:color="auto"/>
              </w:divBdr>
            </w:div>
            <w:div w:id="1927373824">
              <w:marLeft w:val="0"/>
              <w:marRight w:val="0"/>
              <w:marTop w:val="0"/>
              <w:marBottom w:val="0"/>
              <w:divBdr>
                <w:top w:val="none" w:sz="0" w:space="0" w:color="auto"/>
                <w:left w:val="none" w:sz="0" w:space="0" w:color="auto"/>
                <w:bottom w:val="none" w:sz="0" w:space="0" w:color="auto"/>
                <w:right w:val="none" w:sz="0" w:space="0" w:color="auto"/>
              </w:divBdr>
            </w:div>
          </w:divsChild>
        </w:div>
        <w:div w:id="220094596">
          <w:marLeft w:val="0"/>
          <w:marRight w:val="0"/>
          <w:marTop w:val="0"/>
          <w:marBottom w:val="0"/>
          <w:divBdr>
            <w:top w:val="none" w:sz="0" w:space="0" w:color="auto"/>
            <w:left w:val="none" w:sz="0" w:space="0" w:color="auto"/>
            <w:bottom w:val="none" w:sz="0" w:space="0" w:color="auto"/>
            <w:right w:val="none" w:sz="0" w:space="0" w:color="auto"/>
          </w:divBdr>
          <w:divsChild>
            <w:div w:id="1274482105">
              <w:marLeft w:val="0"/>
              <w:marRight w:val="0"/>
              <w:marTop w:val="0"/>
              <w:marBottom w:val="0"/>
              <w:divBdr>
                <w:top w:val="none" w:sz="0" w:space="0" w:color="auto"/>
                <w:left w:val="none" w:sz="0" w:space="0" w:color="auto"/>
                <w:bottom w:val="none" w:sz="0" w:space="0" w:color="auto"/>
                <w:right w:val="none" w:sz="0" w:space="0" w:color="auto"/>
              </w:divBdr>
            </w:div>
          </w:divsChild>
        </w:div>
        <w:div w:id="345792403">
          <w:marLeft w:val="0"/>
          <w:marRight w:val="0"/>
          <w:marTop w:val="0"/>
          <w:marBottom w:val="0"/>
          <w:divBdr>
            <w:top w:val="none" w:sz="0" w:space="0" w:color="auto"/>
            <w:left w:val="none" w:sz="0" w:space="0" w:color="auto"/>
            <w:bottom w:val="none" w:sz="0" w:space="0" w:color="auto"/>
            <w:right w:val="none" w:sz="0" w:space="0" w:color="auto"/>
          </w:divBdr>
          <w:divsChild>
            <w:div w:id="469439328">
              <w:marLeft w:val="0"/>
              <w:marRight w:val="0"/>
              <w:marTop w:val="0"/>
              <w:marBottom w:val="0"/>
              <w:divBdr>
                <w:top w:val="none" w:sz="0" w:space="0" w:color="auto"/>
                <w:left w:val="none" w:sz="0" w:space="0" w:color="auto"/>
                <w:bottom w:val="none" w:sz="0" w:space="0" w:color="auto"/>
                <w:right w:val="none" w:sz="0" w:space="0" w:color="auto"/>
              </w:divBdr>
            </w:div>
            <w:div w:id="528420338">
              <w:marLeft w:val="0"/>
              <w:marRight w:val="0"/>
              <w:marTop w:val="0"/>
              <w:marBottom w:val="0"/>
              <w:divBdr>
                <w:top w:val="none" w:sz="0" w:space="0" w:color="auto"/>
                <w:left w:val="none" w:sz="0" w:space="0" w:color="auto"/>
                <w:bottom w:val="none" w:sz="0" w:space="0" w:color="auto"/>
                <w:right w:val="none" w:sz="0" w:space="0" w:color="auto"/>
              </w:divBdr>
            </w:div>
            <w:div w:id="628246865">
              <w:marLeft w:val="0"/>
              <w:marRight w:val="0"/>
              <w:marTop w:val="0"/>
              <w:marBottom w:val="0"/>
              <w:divBdr>
                <w:top w:val="none" w:sz="0" w:space="0" w:color="auto"/>
                <w:left w:val="none" w:sz="0" w:space="0" w:color="auto"/>
                <w:bottom w:val="none" w:sz="0" w:space="0" w:color="auto"/>
                <w:right w:val="none" w:sz="0" w:space="0" w:color="auto"/>
              </w:divBdr>
            </w:div>
            <w:div w:id="1011642203">
              <w:marLeft w:val="0"/>
              <w:marRight w:val="0"/>
              <w:marTop w:val="0"/>
              <w:marBottom w:val="0"/>
              <w:divBdr>
                <w:top w:val="none" w:sz="0" w:space="0" w:color="auto"/>
                <w:left w:val="none" w:sz="0" w:space="0" w:color="auto"/>
                <w:bottom w:val="none" w:sz="0" w:space="0" w:color="auto"/>
                <w:right w:val="none" w:sz="0" w:space="0" w:color="auto"/>
              </w:divBdr>
            </w:div>
            <w:div w:id="1031884983">
              <w:marLeft w:val="0"/>
              <w:marRight w:val="0"/>
              <w:marTop w:val="0"/>
              <w:marBottom w:val="0"/>
              <w:divBdr>
                <w:top w:val="none" w:sz="0" w:space="0" w:color="auto"/>
                <w:left w:val="none" w:sz="0" w:space="0" w:color="auto"/>
                <w:bottom w:val="none" w:sz="0" w:space="0" w:color="auto"/>
                <w:right w:val="none" w:sz="0" w:space="0" w:color="auto"/>
              </w:divBdr>
            </w:div>
            <w:div w:id="1401170860">
              <w:marLeft w:val="0"/>
              <w:marRight w:val="0"/>
              <w:marTop w:val="0"/>
              <w:marBottom w:val="0"/>
              <w:divBdr>
                <w:top w:val="none" w:sz="0" w:space="0" w:color="auto"/>
                <w:left w:val="none" w:sz="0" w:space="0" w:color="auto"/>
                <w:bottom w:val="none" w:sz="0" w:space="0" w:color="auto"/>
                <w:right w:val="none" w:sz="0" w:space="0" w:color="auto"/>
              </w:divBdr>
            </w:div>
            <w:div w:id="2040424714">
              <w:marLeft w:val="0"/>
              <w:marRight w:val="0"/>
              <w:marTop w:val="0"/>
              <w:marBottom w:val="0"/>
              <w:divBdr>
                <w:top w:val="none" w:sz="0" w:space="0" w:color="auto"/>
                <w:left w:val="none" w:sz="0" w:space="0" w:color="auto"/>
                <w:bottom w:val="none" w:sz="0" w:space="0" w:color="auto"/>
                <w:right w:val="none" w:sz="0" w:space="0" w:color="auto"/>
              </w:divBdr>
            </w:div>
            <w:div w:id="2065829285">
              <w:marLeft w:val="0"/>
              <w:marRight w:val="0"/>
              <w:marTop w:val="0"/>
              <w:marBottom w:val="0"/>
              <w:divBdr>
                <w:top w:val="none" w:sz="0" w:space="0" w:color="auto"/>
                <w:left w:val="none" w:sz="0" w:space="0" w:color="auto"/>
                <w:bottom w:val="none" w:sz="0" w:space="0" w:color="auto"/>
                <w:right w:val="none" w:sz="0" w:space="0" w:color="auto"/>
              </w:divBdr>
            </w:div>
            <w:div w:id="2079546699">
              <w:marLeft w:val="0"/>
              <w:marRight w:val="0"/>
              <w:marTop w:val="0"/>
              <w:marBottom w:val="0"/>
              <w:divBdr>
                <w:top w:val="none" w:sz="0" w:space="0" w:color="auto"/>
                <w:left w:val="none" w:sz="0" w:space="0" w:color="auto"/>
                <w:bottom w:val="none" w:sz="0" w:space="0" w:color="auto"/>
                <w:right w:val="none" w:sz="0" w:space="0" w:color="auto"/>
              </w:divBdr>
            </w:div>
          </w:divsChild>
        </w:div>
        <w:div w:id="364403126">
          <w:marLeft w:val="0"/>
          <w:marRight w:val="0"/>
          <w:marTop w:val="0"/>
          <w:marBottom w:val="0"/>
          <w:divBdr>
            <w:top w:val="none" w:sz="0" w:space="0" w:color="auto"/>
            <w:left w:val="none" w:sz="0" w:space="0" w:color="auto"/>
            <w:bottom w:val="none" w:sz="0" w:space="0" w:color="auto"/>
            <w:right w:val="none" w:sz="0" w:space="0" w:color="auto"/>
          </w:divBdr>
          <w:divsChild>
            <w:div w:id="260995622">
              <w:marLeft w:val="0"/>
              <w:marRight w:val="0"/>
              <w:marTop w:val="0"/>
              <w:marBottom w:val="0"/>
              <w:divBdr>
                <w:top w:val="none" w:sz="0" w:space="0" w:color="auto"/>
                <w:left w:val="none" w:sz="0" w:space="0" w:color="auto"/>
                <w:bottom w:val="none" w:sz="0" w:space="0" w:color="auto"/>
                <w:right w:val="none" w:sz="0" w:space="0" w:color="auto"/>
              </w:divBdr>
            </w:div>
            <w:div w:id="578906467">
              <w:marLeft w:val="0"/>
              <w:marRight w:val="0"/>
              <w:marTop w:val="0"/>
              <w:marBottom w:val="0"/>
              <w:divBdr>
                <w:top w:val="none" w:sz="0" w:space="0" w:color="auto"/>
                <w:left w:val="none" w:sz="0" w:space="0" w:color="auto"/>
                <w:bottom w:val="none" w:sz="0" w:space="0" w:color="auto"/>
                <w:right w:val="none" w:sz="0" w:space="0" w:color="auto"/>
              </w:divBdr>
            </w:div>
          </w:divsChild>
        </w:div>
        <w:div w:id="378091209">
          <w:marLeft w:val="0"/>
          <w:marRight w:val="0"/>
          <w:marTop w:val="0"/>
          <w:marBottom w:val="0"/>
          <w:divBdr>
            <w:top w:val="none" w:sz="0" w:space="0" w:color="auto"/>
            <w:left w:val="none" w:sz="0" w:space="0" w:color="auto"/>
            <w:bottom w:val="none" w:sz="0" w:space="0" w:color="auto"/>
            <w:right w:val="none" w:sz="0" w:space="0" w:color="auto"/>
          </w:divBdr>
          <w:divsChild>
            <w:div w:id="1147472529">
              <w:marLeft w:val="0"/>
              <w:marRight w:val="0"/>
              <w:marTop w:val="0"/>
              <w:marBottom w:val="0"/>
              <w:divBdr>
                <w:top w:val="none" w:sz="0" w:space="0" w:color="auto"/>
                <w:left w:val="none" w:sz="0" w:space="0" w:color="auto"/>
                <w:bottom w:val="none" w:sz="0" w:space="0" w:color="auto"/>
                <w:right w:val="none" w:sz="0" w:space="0" w:color="auto"/>
              </w:divBdr>
            </w:div>
            <w:div w:id="1593859416">
              <w:marLeft w:val="0"/>
              <w:marRight w:val="0"/>
              <w:marTop w:val="0"/>
              <w:marBottom w:val="0"/>
              <w:divBdr>
                <w:top w:val="none" w:sz="0" w:space="0" w:color="auto"/>
                <w:left w:val="none" w:sz="0" w:space="0" w:color="auto"/>
                <w:bottom w:val="none" w:sz="0" w:space="0" w:color="auto"/>
                <w:right w:val="none" w:sz="0" w:space="0" w:color="auto"/>
              </w:divBdr>
            </w:div>
            <w:div w:id="1612126869">
              <w:marLeft w:val="0"/>
              <w:marRight w:val="0"/>
              <w:marTop w:val="0"/>
              <w:marBottom w:val="0"/>
              <w:divBdr>
                <w:top w:val="none" w:sz="0" w:space="0" w:color="auto"/>
                <w:left w:val="none" w:sz="0" w:space="0" w:color="auto"/>
                <w:bottom w:val="none" w:sz="0" w:space="0" w:color="auto"/>
                <w:right w:val="none" w:sz="0" w:space="0" w:color="auto"/>
              </w:divBdr>
            </w:div>
          </w:divsChild>
        </w:div>
        <w:div w:id="428697629">
          <w:marLeft w:val="0"/>
          <w:marRight w:val="0"/>
          <w:marTop w:val="0"/>
          <w:marBottom w:val="0"/>
          <w:divBdr>
            <w:top w:val="none" w:sz="0" w:space="0" w:color="auto"/>
            <w:left w:val="none" w:sz="0" w:space="0" w:color="auto"/>
            <w:bottom w:val="none" w:sz="0" w:space="0" w:color="auto"/>
            <w:right w:val="none" w:sz="0" w:space="0" w:color="auto"/>
          </w:divBdr>
          <w:divsChild>
            <w:div w:id="1213149552">
              <w:marLeft w:val="0"/>
              <w:marRight w:val="0"/>
              <w:marTop w:val="0"/>
              <w:marBottom w:val="0"/>
              <w:divBdr>
                <w:top w:val="none" w:sz="0" w:space="0" w:color="auto"/>
                <w:left w:val="none" w:sz="0" w:space="0" w:color="auto"/>
                <w:bottom w:val="none" w:sz="0" w:space="0" w:color="auto"/>
                <w:right w:val="none" w:sz="0" w:space="0" w:color="auto"/>
              </w:divBdr>
            </w:div>
          </w:divsChild>
        </w:div>
        <w:div w:id="460539172">
          <w:marLeft w:val="0"/>
          <w:marRight w:val="0"/>
          <w:marTop w:val="0"/>
          <w:marBottom w:val="0"/>
          <w:divBdr>
            <w:top w:val="none" w:sz="0" w:space="0" w:color="auto"/>
            <w:left w:val="none" w:sz="0" w:space="0" w:color="auto"/>
            <w:bottom w:val="none" w:sz="0" w:space="0" w:color="auto"/>
            <w:right w:val="none" w:sz="0" w:space="0" w:color="auto"/>
          </w:divBdr>
          <w:divsChild>
            <w:div w:id="183639615">
              <w:marLeft w:val="0"/>
              <w:marRight w:val="0"/>
              <w:marTop w:val="0"/>
              <w:marBottom w:val="0"/>
              <w:divBdr>
                <w:top w:val="none" w:sz="0" w:space="0" w:color="auto"/>
                <w:left w:val="none" w:sz="0" w:space="0" w:color="auto"/>
                <w:bottom w:val="none" w:sz="0" w:space="0" w:color="auto"/>
                <w:right w:val="none" w:sz="0" w:space="0" w:color="auto"/>
              </w:divBdr>
            </w:div>
            <w:div w:id="1605264881">
              <w:marLeft w:val="0"/>
              <w:marRight w:val="0"/>
              <w:marTop w:val="0"/>
              <w:marBottom w:val="0"/>
              <w:divBdr>
                <w:top w:val="none" w:sz="0" w:space="0" w:color="auto"/>
                <w:left w:val="none" w:sz="0" w:space="0" w:color="auto"/>
                <w:bottom w:val="none" w:sz="0" w:space="0" w:color="auto"/>
                <w:right w:val="none" w:sz="0" w:space="0" w:color="auto"/>
              </w:divBdr>
            </w:div>
            <w:div w:id="1880970582">
              <w:marLeft w:val="0"/>
              <w:marRight w:val="0"/>
              <w:marTop w:val="0"/>
              <w:marBottom w:val="0"/>
              <w:divBdr>
                <w:top w:val="none" w:sz="0" w:space="0" w:color="auto"/>
                <w:left w:val="none" w:sz="0" w:space="0" w:color="auto"/>
                <w:bottom w:val="none" w:sz="0" w:space="0" w:color="auto"/>
                <w:right w:val="none" w:sz="0" w:space="0" w:color="auto"/>
              </w:divBdr>
            </w:div>
            <w:div w:id="1930380760">
              <w:marLeft w:val="0"/>
              <w:marRight w:val="0"/>
              <w:marTop w:val="0"/>
              <w:marBottom w:val="0"/>
              <w:divBdr>
                <w:top w:val="none" w:sz="0" w:space="0" w:color="auto"/>
                <w:left w:val="none" w:sz="0" w:space="0" w:color="auto"/>
                <w:bottom w:val="none" w:sz="0" w:space="0" w:color="auto"/>
                <w:right w:val="none" w:sz="0" w:space="0" w:color="auto"/>
              </w:divBdr>
            </w:div>
            <w:div w:id="1984460308">
              <w:marLeft w:val="0"/>
              <w:marRight w:val="0"/>
              <w:marTop w:val="0"/>
              <w:marBottom w:val="0"/>
              <w:divBdr>
                <w:top w:val="none" w:sz="0" w:space="0" w:color="auto"/>
                <w:left w:val="none" w:sz="0" w:space="0" w:color="auto"/>
                <w:bottom w:val="none" w:sz="0" w:space="0" w:color="auto"/>
                <w:right w:val="none" w:sz="0" w:space="0" w:color="auto"/>
              </w:divBdr>
            </w:div>
          </w:divsChild>
        </w:div>
        <w:div w:id="491524231">
          <w:marLeft w:val="0"/>
          <w:marRight w:val="0"/>
          <w:marTop w:val="0"/>
          <w:marBottom w:val="0"/>
          <w:divBdr>
            <w:top w:val="none" w:sz="0" w:space="0" w:color="auto"/>
            <w:left w:val="none" w:sz="0" w:space="0" w:color="auto"/>
            <w:bottom w:val="none" w:sz="0" w:space="0" w:color="auto"/>
            <w:right w:val="none" w:sz="0" w:space="0" w:color="auto"/>
          </w:divBdr>
          <w:divsChild>
            <w:div w:id="922957992">
              <w:marLeft w:val="0"/>
              <w:marRight w:val="0"/>
              <w:marTop w:val="0"/>
              <w:marBottom w:val="0"/>
              <w:divBdr>
                <w:top w:val="none" w:sz="0" w:space="0" w:color="auto"/>
                <w:left w:val="none" w:sz="0" w:space="0" w:color="auto"/>
                <w:bottom w:val="none" w:sz="0" w:space="0" w:color="auto"/>
                <w:right w:val="none" w:sz="0" w:space="0" w:color="auto"/>
              </w:divBdr>
            </w:div>
          </w:divsChild>
        </w:div>
        <w:div w:id="509492485">
          <w:marLeft w:val="0"/>
          <w:marRight w:val="0"/>
          <w:marTop w:val="0"/>
          <w:marBottom w:val="0"/>
          <w:divBdr>
            <w:top w:val="none" w:sz="0" w:space="0" w:color="auto"/>
            <w:left w:val="none" w:sz="0" w:space="0" w:color="auto"/>
            <w:bottom w:val="none" w:sz="0" w:space="0" w:color="auto"/>
            <w:right w:val="none" w:sz="0" w:space="0" w:color="auto"/>
          </w:divBdr>
          <w:divsChild>
            <w:div w:id="507446627">
              <w:marLeft w:val="0"/>
              <w:marRight w:val="0"/>
              <w:marTop w:val="0"/>
              <w:marBottom w:val="0"/>
              <w:divBdr>
                <w:top w:val="none" w:sz="0" w:space="0" w:color="auto"/>
                <w:left w:val="none" w:sz="0" w:space="0" w:color="auto"/>
                <w:bottom w:val="none" w:sz="0" w:space="0" w:color="auto"/>
                <w:right w:val="none" w:sz="0" w:space="0" w:color="auto"/>
              </w:divBdr>
            </w:div>
          </w:divsChild>
        </w:div>
        <w:div w:id="600525672">
          <w:marLeft w:val="0"/>
          <w:marRight w:val="0"/>
          <w:marTop w:val="0"/>
          <w:marBottom w:val="0"/>
          <w:divBdr>
            <w:top w:val="none" w:sz="0" w:space="0" w:color="auto"/>
            <w:left w:val="none" w:sz="0" w:space="0" w:color="auto"/>
            <w:bottom w:val="none" w:sz="0" w:space="0" w:color="auto"/>
            <w:right w:val="none" w:sz="0" w:space="0" w:color="auto"/>
          </w:divBdr>
          <w:divsChild>
            <w:div w:id="271910696">
              <w:marLeft w:val="0"/>
              <w:marRight w:val="0"/>
              <w:marTop w:val="0"/>
              <w:marBottom w:val="0"/>
              <w:divBdr>
                <w:top w:val="none" w:sz="0" w:space="0" w:color="auto"/>
                <w:left w:val="none" w:sz="0" w:space="0" w:color="auto"/>
                <w:bottom w:val="none" w:sz="0" w:space="0" w:color="auto"/>
                <w:right w:val="none" w:sz="0" w:space="0" w:color="auto"/>
              </w:divBdr>
            </w:div>
          </w:divsChild>
        </w:div>
        <w:div w:id="616646375">
          <w:marLeft w:val="0"/>
          <w:marRight w:val="0"/>
          <w:marTop w:val="0"/>
          <w:marBottom w:val="0"/>
          <w:divBdr>
            <w:top w:val="none" w:sz="0" w:space="0" w:color="auto"/>
            <w:left w:val="none" w:sz="0" w:space="0" w:color="auto"/>
            <w:bottom w:val="none" w:sz="0" w:space="0" w:color="auto"/>
            <w:right w:val="none" w:sz="0" w:space="0" w:color="auto"/>
          </w:divBdr>
          <w:divsChild>
            <w:div w:id="773860363">
              <w:marLeft w:val="0"/>
              <w:marRight w:val="0"/>
              <w:marTop w:val="0"/>
              <w:marBottom w:val="0"/>
              <w:divBdr>
                <w:top w:val="none" w:sz="0" w:space="0" w:color="auto"/>
                <w:left w:val="none" w:sz="0" w:space="0" w:color="auto"/>
                <w:bottom w:val="none" w:sz="0" w:space="0" w:color="auto"/>
                <w:right w:val="none" w:sz="0" w:space="0" w:color="auto"/>
              </w:divBdr>
            </w:div>
          </w:divsChild>
        </w:div>
        <w:div w:id="638270067">
          <w:marLeft w:val="0"/>
          <w:marRight w:val="0"/>
          <w:marTop w:val="0"/>
          <w:marBottom w:val="0"/>
          <w:divBdr>
            <w:top w:val="none" w:sz="0" w:space="0" w:color="auto"/>
            <w:left w:val="none" w:sz="0" w:space="0" w:color="auto"/>
            <w:bottom w:val="none" w:sz="0" w:space="0" w:color="auto"/>
            <w:right w:val="none" w:sz="0" w:space="0" w:color="auto"/>
          </w:divBdr>
          <w:divsChild>
            <w:div w:id="421493719">
              <w:marLeft w:val="0"/>
              <w:marRight w:val="0"/>
              <w:marTop w:val="0"/>
              <w:marBottom w:val="0"/>
              <w:divBdr>
                <w:top w:val="none" w:sz="0" w:space="0" w:color="auto"/>
                <w:left w:val="none" w:sz="0" w:space="0" w:color="auto"/>
                <w:bottom w:val="none" w:sz="0" w:space="0" w:color="auto"/>
                <w:right w:val="none" w:sz="0" w:space="0" w:color="auto"/>
              </w:divBdr>
            </w:div>
          </w:divsChild>
        </w:div>
        <w:div w:id="733234178">
          <w:marLeft w:val="0"/>
          <w:marRight w:val="0"/>
          <w:marTop w:val="0"/>
          <w:marBottom w:val="0"/>
          <w:divBdr>
            <w:top w:val="none" w:sz="0" w:space="0" w:color="auto"/>
            <w:left w:val="none" w:sz="0" w:space="0" w:color="auto"/>
            <w:bottom w:val="none" w:sz="0" w:space="0" w:color="auto"/>
            <w:right w:val="none" w:sz="0" w:space="0" w:color="auto"/>
          </w:divBdr>
          <w:divsChild>
            <w:div w:id="1866406591">
              <w:marLeft w:val="0"/>
              <w:marRight w:val="0"/>
              <w:marTop w:val="0"/>
              <w:marBottom w:val="0"/>
              <w:divBdr>
                <w:top w:val="none" w:sz="0" w:space="0" w:color="auto"/>
                <w:left w:val="none" w:sz="0" w:space="0" w:color="auto"/>
                <w:bottom w:val="none" w:sz="0" w:space="0" w:color="auto"/>
                <w:right w:val="none" w:sz="0" w:space="0" w:color="auto"/>
              </w:divBdr>
            </w:div>
          </w:divsChild>
        </w:div>
        <w:div w:id="784227188">
          <w:marLeft w:val="0"/>
          <w:marRight w:val="0"/>
          <w:marTop w:val="0"/>
          <w:marBottom w:val="0"/>
          <w:divBdr>
            <w:top w:val="none" w:sz="0" w:space="0" w:color="auto"/>
            <w:left w:val="none" w:sz="0" w:space="0" w:color="auto"/>
            <w:bottom w:val="none" w:sz="0" w:space="0" w:color="auto"/>
            <w:right w:val="none" w:sz="0" w:space="0" w:color="auto"/>
          </w:divBdr>
          <w:divsChild>
            <w:div w:id="1381587662">
              <w:marLeft w:val="0"/>
              <w:marRight w:val="0"/>
              <w:marTop w:val="0"/>
              <w:marBottom w:val="0"/>
              <w:divBdr>
                <w:top w:val="none" w:sz="0" w:space="0" w:color="auto"/>
                <w:left w:val="none" w:sz="0" w:space="0" w:color="auto"/>
                <w:bottom w:val="none" w:sz="0" w:space="0" w:color="auto"/>
                <w:right w:val="none" w:sz="0" w:space="0" w:color="auto"/>
              </w:divBdr>
            </w:div>
          </w:divsChild>
        </w:div>
        <w:div w:id="804081899">
          <w:marLeft w:val="0"/>
          <w:marRight w:val="0"/>
          <w:marTop w:val="0"/>
          <w:marBottom w:val="0"/>
          <w:divBdr>
            <w:top w:val="none" w:sz="0" w:space="0" w:color="auto"/>
            <w:left w:val="none" w:sz="0" w:space="0" w:color="auto"/>
            <w:bottom w:val="none" w:sz="0" w:space="0" w:color="auto"/>
            <w:right w:val="none" w:sz="0" w:space="0" w:color="auto"/>
          </w:divBdr>
          <w:divsChild>
            <w:div w:id="1717123781">
              <w:marLeft w:val="0"/>
              <w:marRight w:val="0"/>
              <w:marTop w:val="0"/>
              <w:marBottom w:val="0"/>
              <w:divBdr>
                <w:top w:val="none" w:sz="0" w:space="0" w:color="auto"/>
                <w:left w:val="none" w:sz="0" w:space="0" w:color="auto"/>
                <w:bottom w:val="none" w:sz="0" w:space="0" w:color="auto"/>
                <w:right w:val="none" w:sz="0" w:space="0" w:color="auto"/>
              </w:divBdr>
            </w:div>
          </w:divsChild>
        </w:div>
        <w:div w:id="808674222">
          <w:marLeft w:val="0"/>
          <w:marRight w:val="0"/>
          <w:marTop w:val="0"/>
          <w:marBottom w:val="0"/>
          <w:divBdr>
            <w:top w:val="none" w:sz="0" w:space="0" w:color="auto"/>
            <w:left w:val="none" w:sz="0" w:space="0" w:color="auto"/>
            <w:bottom w:val="none" w:sz="0" w:space="0" w:color="auto"/>
            <w:right w:val="none" w:sz="0" w:space="0" w:color="auto"/>
          </w:divBdr>
          <w:divsChild>
            <w:div w:id="479074157">
              <w:marLeft w:val="0"/>
              <w:marRight w:val="0"/>
              <w:marTop w:val="0"/>
              <w:marBottom w:val="0"/>
              <w:divBdr>
                <w:top w:val="none" w:sz="0" w:space="0" w:color="auto"/>
                <w:left w:val="none" w:sz="0" w:space="0" w:color="auto"/>
                <w:bottom w:val="none" w:sz="0" w:space="0" w:color="auto"/>
                <w:right w:val="none" w:sz="0" w:space="0" w:color="auto"/>
              </w:divBdr>
            </w:div>
          </w:divsChild>
        </w:div>
        <w:div w:id="832914810">
          <w:marLeft w:val="0"/>
          <w:marRight w:val="0"/>
          <w:marTop w:val="0"/>
          <w:marBottom w:val="0"/>
          <w:divBdr>
            <w:top w:val="none" w:sz="0" w:space="0" w:color="auto"/>
            <w:left w:val="none" w:sz="0" w:space="0" w:color="auto"/>
            <w:bottom w:val="none" w:sz="0" w:space="0" w:color="auto"/>
            <w:right w:val="none" w:sz="0" w:space="0" w:color="auto"/>
          </w:divBdr>
          <w:divsChild>
            <w:div w:id="565074625">
              <w:marLeft w:val="0"/>
              <w:marRight w:val="0"/>
              <w:marTop w:val="0"/>
              <w:marBottom w:val="0"/>
              <w:divBdr>
                <w:top w:val="none" w:sz="0" w:space="0" w:color="auto"/>
                <w:left w:val="none" w:sz="0" w:space="0" w:color="auto"/>
                <w:bottom w:val="none" w:sz="0" w:space="0" w:color="auto"/>
                <w:right w:val="none" w:sz="0" w:space="0" w:color="auto"/>
              </w:divBdr>
            </w:div>
          </w:divsChild>
        </w:div>
        <w:div w:id="852378079">
          <w:marLeft w:val="0"/>
          <w:marRight w:val="0"/>
          <w:marTop w:val="0"/>
          <w:marBottom w:val="0"/>
          <w:divBdr>
            <w:top w:val="none" w:sz="0" w:space="0" w:color="auto"/>
            <w:left w:val="none" w:sz="0" w:space="0" w:color="auto"/>
            <w:bottom w:val="none" w:sz="0" w:space="0" w:color="auto"/>
            <w:right w:val="none" w:sz="0" w:space="0" w:color="auto"/>
          </w:divBdr>
          <w:divsChild>
            <w:div w:id="432557540">
              <w:marLeft w:val="0"/>
              <w:marRight w:val="0"/>
              <w:marTop w:val="0"/>
              <w:marBottom w:val="0"/>
              <w:divBdr>
                <w:top w:val="none" w:sz="0" w:space="0" w:color="auto"/>
                <w:left w:val="none" w:sz="0" w:space="0" w:color="auto"/>
                <w:bottom w:val="none" w:sz="0" w:space="0" w:color="auto"/>
                <w:right w:val="none" w:sz="0" w:space="0" w:color="auto"/>
              </w:divBdr>
            </w:div>
          </w:divsChild>
        </w:div>
        <w:div w:id="902566119">
          <w:marLeft w:val="0"/>
          <w:marRight w:val="0"/>
          <w:marTop w:val="0"/>
          <w:marBottom w:val="0"/>
          <w:divBdr>
            <w:top w:val="none" w:sz="0" w:space="0" w:color="auto"/>
            <w:left w:val="none" w:sz="0" w:space="0" w:color="auto"/>
            <w:bottom w:val="none" w:sz="0" w:space="0" w:color="auto"/>
            <w:right w:val="none" w:sz="0" w:space="0" w:color="auto"/>
          </w:divBdr>
          <w:divsChild>
            <w:div w:id="863321561">
              <w:marLeft w:val="0"/>
              <w:marRight w:val="0"/>
              <w:marTop w:val="0"/>
              <w:marBottom w:val="0"/>
              <w:divBdr>
                <w:top w:val="none" w:sz="0" w:space="0" w:color="auto"/>
                <w:left w:val="none" w:sz="0" w:space="0" w:color="auto"/>
                <w:bottom w:val="none" w:sz="0" w:space="0" w:color="auto"/>
                <w:right w:val="none" w:sz="0" w:space="0" w:color="auto"/>
              </w:divBdr>
            </w:div>
          </w:divsChild>
        </w:div>
        <w:div w:id="943731025">
          <w:marLeft w:val="0"/>
          <w:marRight w:val="0"/>
          <w:marTop w:val="0"/>
          <w:marBottom w:val="0"/>
          <w:divBdr>
            <w:top w:val="none" w:sz="0" w:space="0" w:color="auto"/>
            <w:left w:val="none" w:sz="0" w:space="0" w:color="auto"/>
            <w:bottom w:val="none" w:sz="0" w:space="0" w:color="auto"/>
            <w:right w:val="none" w:sz="0" w:space="0" w:color="auto"/>
          </w:divBdr>
          <w:divsChild>
            <w:div w:id="127749504">
              <w:marLeft w:val="0"/>
              <w:marRight w:val="0"/>
              <w:marTop w:val="0"/>
              <w:marBottom w:val="0"/>
              <w:divBdr>
                <w:top w:val="none" w:sz="0" w:space="0" w:color="auto"/>
                <w:left w:val="none" w:sz="0" w:space="0" w:color="auto"/>
                <w:bottom w:val="none" w:sz="0" w:space="0" w:color="auto"/>
                <w:right w:val="none" w:sz="0" w:space="0" w:color="auto"/>
              </w:divBdr>
            </w:div>
          </w:divsChild>
        </w:div>
        <w:div w:id="946424233">
          <w:marLeft w:val="0"/>
          <w:marRight w:val="0"/>
          <w:marTop w:val="0"/>
          <w:marBottom w:val="0"/>
          <w:divBdr>
            <w:top w:val="none" w:sz="0" w:space="0" w:color="auto"/>
            <w:left w:val="none" w:sz="0" w:space="0" w:color="auto"/>
            <w:bottom w:val="none" w:sz="0" w:space="0" w:color="auto"/>
            <w:right w:val="none" w:sz="0" w:space="0" w:color="auto"/>
          </w:divBdr>
          <w:divsChild>
            <w:div w:id="265502365">
              <w:marLeft w:val="0"/>
              <w:marRight w:val="0"/>
              <w:marTop w:val="0"/>
              <w:marBottom w:val="0"/>
              <w:divBdr>
                <w:top w:val="none" w:sz="0" w:space="0" w:color="auto"/>
                <w:left w:val="none" w:sz="0" w:space="0" w:color="auto"/>
                <w:bottom w:val="none" w:sz="0" w:space="0" w:color="auto"/>
                <w:right w:val="none" w:sz="0" w:space="0" w:color="auto"/>
              </w:divBdr>
            </w:div>
          </w:divsChild>
        </w:div>
        <w:div w:id="974918759">
          <w:marLeft w:val="0"/>
          <w:marRight w:val="0"/>
          <w:marTop w:val="0"/>
          <w:marBottom w:val="0"/>
          <w:divBdr>
            <w:top w:val="none" w:sz="0" w:space="0" w:color="auto"/>
            <w:left w:val="none" w:sz="0" w:space="0" w:color="auto"/>
            <w:bottom w:val="none" w:sz="0" w:space="0" w:color="auto"/>
            <w:right w:val="none" w:sz="0" w:space="0" w:color="auto"/>
          </w:divBdr>
          <w:divsChild>
            <w:div w:id="1099063144">
              <w:marLeft w:val="0"/>
              <w:marRight w:val="0"/>
              <w:marTop w:val="0"/>
              <w:marBottom w:val="0"/>
              <w:divBdr>
                <w:top w:val="none" w:sz="0" w:space="0" w:color="auto"/>
                <w:left w:val="none" w:sz="0" w:space="0" w:color="auto"/>
                <w:bottom w:val="none" w:sz="0" w:space="0" w:color="auto"/>
                <w:right w:val="none" w:sz="0" w:space="0" w:color="auto"/>
              </w:divBdr>
            </w:div>
          </w:divsChild>
        </w:div>
        <w:div w:id="1062144539">
          <w:marLeft w:val="0"/>
          <w:marRight w:val="0"/>
          <w:marTop w:val="0"/>
          <w:marBottom w:val="0"/>
          <w:divBdr>
            <w:top w:val="none" w:sz="0" w:space="0" w:color="auto"/>
            <w:left w:val="none" w:sz="0" w:space="0" w:color="auto"/>
            <w:bottom w:val="none" w:sz="0" w:space="0" w:color="auto"/>
            <w:right w:val="none" w:sz="0" w:space="0" w:color="auto"/>
          </w:divBdr>
          <w:divsChild>
            <w:div w:id="320162930">
              <w:marLeft w:val="0"/>
              <w:marRight w:val="0"/>
              <w:marTop w:val="0"/>
              <w:marBottom w:val="0"/>
              <w:divBdr>
                <w:top w:val="none" w:sz="0" w:space="0" w:color="auto"/>
                <w:left w:val="none" w:sz="0" w:space="0" w:color="auto"/>
                <w:bottom w:val="none" w:sz="0" w:space="0" w:color="auto"/>
                <w:right w:val="none" w:sz="0" w:space="0" w:color="auto"/>
              </w:divBdr>
            </w:div>
            <w:div w:id="384069071">
              <w:marLeft w:val="0"/>
              <w:marRight w:val="0"/>
              <w:marTop w:val="0"/>
              <w:marBottom w:val="0"/>
              <w:divBdr>
                <w:top w:val="none" w:sz="0" w:space="0" w:color="auto"/>
                <w:left w:val="none" w:sz="0" w:space="0" w:color="auto"/>
                <w:bottom w:val="none" w:sz="0" w:space="0" w:color="auto"/>
                <w:right w:val="none" w:sz="0" w:space="0" w:color="auto"/>
              </w:divBdr>
            </w:div>
            <w:div w:id="1328090262">
              <w:marLeft w:val="0"/>
              <w:marRight w:val="0"/>
              <w:marTop w:val="0"/>
              <w:marBottom w:val="0"/>
              <w:divBdr>
                <w:top w:val="none" w:sz="0" w:space="0" w:color="auto"/>
                <w:left w:val="none" w:sz="0" w:space="0" w:color="auto"/>
                <w:bottom w:val="none" w:sz="0" w:space="0" w:color="auto"/>
                <w:right w:val="none" w:sz="0" w:space="0" w:color="auto"/>
              </w:divBdr>
            </w:div>
            <w:div w:id="1364211714">
              <w:marLeft w:val="0"/>
              <w:marRight w:val="0"/>
              <w:marTop w:val="0"/>
              <w:marBottom w:val="0"/>
              <w:divBdr>
                <w:top w:val="none" w:sz="0" w:space="0" w:color="auto"/>
                <w:left w:val="none" w:sz="0" w:space="0" w:color="auto"/>
                <w:bottom w:val="none" w:sz="0" w:space="0" w:color="auto"/>
                <w:right w:val="none" w:sz="0" w:space="0" w:color="auto"/>
              </w:divBdr>
            </w:div>
            <w:div w:id="1487815905">
              <w:marLeft w:val="0"/>
              <w:marRight w:val="0"/>
              <w:marTop w:val="0"/>
              <w:marBottom w:val="0"/>
              <w:divBdr>
                <w:top w:val="none" w:sz="0" w:space="0" w:color="auto"/>
                <w:left w:val="none" w:sz="0" w:space="0" w:color="auto"/>
                <w:bottom w:val="none" w:sz="0" w:space="0" w:color="auto"/>
                <w:right w:val="none" w:sz="0" w:space="0" w:color="auto"/>
              </w:divBdr>
            </w:div>
          </w:divsChild>
        </w:div>
        <w:div w:id="1065684246">
          <w:marLeft w:val="0"/>
          <w:marRight w:val="0"/>
          <w:marTop w:val="0"/>
          <w:marBottom w:val="0"/>
          <w:divBdr>
            <w:top w:val="none" w:sz="0" w:space="0" w:color="auto"/>
            <w:left w:val="none" w:sz="0" w:space="0" w:color="auto"/>
            <w:bottom w:val="none" w:sz="0" w:space="0" w:color="auto"/>
            <w:right w:val="none" w:sz="0" w:space="0" w:color="auto"/>
          </w:divBdr>
          <w:divsChild>
            <w:div w:id="237175686">
              <w:marLeft w:val="0"/>
              <w:marRight w:val="0"/>
              <w:marTop w:val="0"/>
              <w:marBottom w:val="0"/>
              <w:divBdr>
                <w:top w:val="none" w:sz="0" w:space="0" w:color="auto"/>
                <w:left w:val="none" w:sz="0" w:space="0" w:color="auto"/>
                <w:bottom w:val="none" w:sz="0" w:space="0" w:color="auto"/>
                <w:right w:val="none" w:sz="0" w:space="0" w:color="auto"/>
              </w:divBdr>
            </w:div>
          </w:divsChild>
        </w:div>
        <w:div w:id="1069499679">
          <w:marLeft w:val="0"/>
          <w:marRight w:val="0"/>
          <w:marTop w:val="0"/>
          <w:marBottom w:val="0"/>
          <w:divBdr>
            <w:top w:val="none" w:sz="0" w:space="0" w:color="auto"/>
            <w:left w:val="none" w:sz="0" w:space="0" w:color="auto"/>
            <w:bottom w:val="none" w:sz="0" w:space="0" w:color="auto"/>
            <w:right w:val="none" w:sz="0" w:space="0" w:color="auto"/>
          </w:divBdr>
          <w:divsChild>
            <w:div w:id="1136026316">
              <w:marLeft w:val="0"/>
              <w:marRight w:val="0"/>
              <w:marTop w:val="0"/>
              <w:marBottom w:val="0"/>
              <w:divBdr>
                <w:top w:val="none" w:sz="0" w:space="0" w:color="auto"/>
                <w:left w:val="none" w:sz="0" w:space="0" w:color="auto"/>
                <w:bottom w:val="none" w:sz="0" w:space="0" w:color="auto"/>
                <w:right w:val="none" w:sz="0" w:space="0" w:color="auto"/>
              </w:divBdr>
            </w:div>
          </w:divsChild>
        </w:div>
        <w:div w:id="1145126389">
          <w:marLeft w:val="0"/>
          <w:marRight w:val="0"/>
          <w:marTop w:val="0"/>
          <w:marBottom w:val="0"/>
          <w:divBdr>
            <w:top w:val="none" w:sz="0" w:space="0" w:color="auto"/>
            <w:left w:val="none" w:sz="0" w:space="0" w:color="auto"/>
            <w:bottom w:val="none" w:sz="0" w:space="0" w:color="auto"/>
            <w:right w:val="none" w:sz="0" w:space="0" w:color="auto"/>
          </w:divBdr>
          <w:divsChild>
            <w:div w:id="1687630573">
              <w:marLeft w:val="0"/>
              <w:marRight w:val="0"/>
              <w:marTop w:val="0"/>
              <w:marBottom w:val="0"/>
              <w:divBdr>
                <w:top w:val="none" w:sz="0" w:space="0" w:color="auto"/>
                <w:left w:val="none" w:sz="0" w:space="0" w:color="auto"/>
                <w:bottom w:val="none" w:sz="0" w:space="0" w:color="auto"/>
                <w:right w:val="none" w:sz="0" w:space="0" w:color="auto"/>
              </w:divBdr>
            </w:div>
          </w:divsChild>
        </w:div>
        <w:div w:id="1182552459">
          <w:marLeft w:val="0"/>
          <w:marRight w:val="0"/>
          <w:marTop w:val="0"/>
          <w:marBottom w:val="0"/>
          <w:divBdr>
            <w:top w:val="none" w:sz="0" w:space="0" w:color="auto"/>
            <w:left w:val="none" w:sz="0" w:space="0" w:color="auto"/>
            <w:bottom w:val="none" w:sz="0" w:space="0" w:color="auto"/>
            <w:right w:val="none" w:sz="0" w:space="0" w:color="auto"/>
          </w:divBdr>
          <w:divsChild>
            <w:div w:id="1213929018">
              <w:marLeft w:val="0"/>
              <w:marRight w:val="0"/>
              <w:marTop w:val="0"/>
              <w:marBottom w:val="0"/>
              <w:divBdr>
                <w:top w:val="none" w:sz="0" w:space="0" w:color="auto"/>
                <w:left w:val="none" w:sz="0" w:space="0" w:color="auto"/>
                <w:bottom w:val="none" w:sz="0" w:space="0" w:color="auto"/>
                <w:right w:val="none" w:sz="0" w:space="0" w:color="auto"/>
              </w:divBdr>
            </w:div>
          </w:divsChild>
        </w:div>
        <w:div w:id="1187523167">
          <w:marLeft w:val="0"/>
          <w:marRight w:val="0"/>
          <w:marTop w:val="0"/>
          <w:marBottom w:val="0"/>
          <w:divBdr>
            <w:top w:val="none" w:sz="0" w:space="0" w:color="auto"/>
            <w:left w:val="none" w:sz="0" w:space="0" w:color="auto"/>
            <w:bottom w:val="none" w:sz="0" w:space="0" w:color="auto"/>
            <w:right w:val="none" w:sz="0" w:space="0" w:color="auto"/>
          </w:divBdr>
          <w:divsChild>
            <w:div w:id="113133681">
              <w:marLeft w:val="0"/>
              <w:marRight w:val="0"/>
              <w:marTop w:val="0"/>
              <w:marBottom w:val="0"/>
              <w:divBdr>
                <w:top w:val="none" w:sz="0" w:space="0" w:color="auto"/>
                <w:left w:val="none" w:sz="0" w:space="0" w:color="auto"/>
                <w:bottom w:val="none" w:sz="0" w:space="0" w:color="auto"/>
                <w:right w:val="none" w:sz="0" w:space="0" w:color="auto"/>
              </w:divBdr>
            </w:div>
            <w:div w:id="483200251">
              <w:marLeft w:val="0"/>
              <w:marRight w:val="0"/>
              <w:marTop w:val="0"/>
              <w:marBottom w:val="0"/>
              <w:divBdr>
                <w:top w:val="none" w:sz="0" w:space="0" w:color="auto"/>
                <w:left w:val="none" w:sz="0" w:space="0" w:color="auto"/>
                <w:bottom w:val="none" w:sz="0" w:space="0" w:color="auto"/>
                <w:right w:val="none" w:sz="0" w:space="0" w:color="auto"/>
              </w:divBdr>
            </w:div>
          </w:divsChild>
        </w:div>
        <w:div w:id="1251885411">
          <w:marLeft w:val="0"/>
          <w:marRight w:val="0"/>
          <w:marTop w:val="0"/>
          <w:marBottom w:val="0"/>
          <w:divBdr>
            <w:top w:val="none" w:sz="0" w:space="0" w:color="auto"/>
            <w:left w:val="none" w:sz="0" w:space="0" w:color="auto"/>
            <w:bottom w:val="none" w:sz="0" w:space="0" w:color="auto"/>
            <w:right w:val="none" w:sz="0" w:space="0" w:color="auto"/>
          </w:divBdr>
          <w:divsChild>
            <w:div w:id="1359545279">
              <w:marLeft w:val="0"/>
              <w:marRight w:val="0"/>
              <w:marTop w:val="0"/>
              <w:marBottom w:val="0"/>
              <w:divBdr>
                <w:top w:val="none" w:sz="0" w:space="0" w:color="auto"/>
                <w:left w:val="none" w:sz="0" w:space="0" w:color="auto"/>
                <w:bottom w:val="none" w:sz="0" w:space="0" w:color="auto"/>
                <w:right w:val="none" w:sz="0" w:space="0" w:color="auto"/>
              </w:divBdr>
            </w:div>
          </w:divsChild>
        </w:div>
        <w:div w:id="1275600931">
          <w:marLeft w:val="0"/>
          <w:marRight w:val="0"/>
          <w:marTop w:val="0"/>
          <w:marBottom w:val="0"/>
          <w:divBdr>
            <w:top w:val="none" w:sz="0" w:space="0" w:color="auto"/>
            <w:left w:val="none" w:sz="0" w:space="0" w:color="auto"/>
            <w:bottom w:val="none" w:sz="0" w:space="0" w:color="auto"/>
            <w:right w:val="none" w:sz="0" w:space="0" w:color="auto"/>
          </w:divBdr>
          <w:divsChild>
            <w:div w:id="239754869">
              <w:marLeft w:val="0"/>
              <w:marRight w:val="0"/>
              <w:marTop w:val="0"/>
              <w:marBottom w:val="0"/>
              <w:divBdr>
                <w:top w:val="none" w:sz="0" w:space="0" w:color="auto"/>
                <w:left w:val="none" w:sz="0" w:space="0" w:color="auto"/>
                <w:bottom w:val="none" w:sz="0" w:space="0" w:color="auto"/>
                <w:right w:val="none" w:sz="0" w:space="0" w:color="auto"/>
              </w:divBdr>
            </w:div>
          </w:divsChild>
        </w:div>
        <w:div w:id="1277638427">
          <w:marLeft w:val="0"/>
          <w:marRight w:val="0"/>
          <w:marTop w:val="0"/>
          <w:marBottom w:val="0"/>
          <w:divBdr>
            <w:top w:val="none" w:sz="0" w:space="0" w:color="auto"/>
            <w:left w:val="none" w:sz="0" w:space="0" w:color="auto"/>
            <w:bottom w:val="none" w:sz="0" w:space="0" w:color="auto"/>
            <w:right w:val="none" w:sz="0" w:space="0" w:color="auto"/>
          </w:divBdr>
          <w:divsChild>
            <w:div w:id="2708413">
              <w:marLeft w:val="0"/>
              <w:marRight w:val="0"/>
              <w:marTop w:val="0"/>
              <w:marBottom w:val="0"/>
              <w:divBdr>
                <w:top w:val="none" w:sz="0" w:space="0" w:color="auto"/>
                <w:left w:val="none" w:sz="0" w:space="0" w:color="auto"/>
                <w:bottom w:val="none" w:sz="0" w:space="0" w:color="auto"/>
                <w:right w:val="none" w:sz="0" w:space="0" w:color="auto"/>
              </w:divBdr>
            </w:div>
            <w:div w:id="455877077">
              <w:marLeft w:val="0"/>
              <w:marRight w:val="0"/>
              <w:marTop w:val="0"/>
              <w:marBottom w:val="0"/>
              <w:divBdr>
                <w:top w:val="none" w:sz="0" w:space="0" w:color="auto"/>
                <w:left w:val="none" w:sz="0" w:space="0" w:color="auto"/>
                <w:bottom w:val="none" w:sz="0" w:space="0" w:color="auto"/>
                <w:right w:val="none" w:sz="0" w:space="0" w:color="auto"/>
              </w:divBdr>
            </w:div>
            <w:div w:id="866987601">
              <w:marLeft w:val="0"/>
              <w:marRight w:val="0"/>
              <w:marTop w:val="0"/>
              <w:marBottom w:val="0"/>
              <w:divBdr>
                <w:top w:val="none" w:sz="0" w:space="0" w:color="auto"/>
                <w:left w:val="none" w:sz="0" w:space="0" w:color="auto"/>
                <w:bottom w:val="none" w:sz="0" w:space="0" w:color="auto"/>
                <w:right w:val="none" w:sz="0" w:space="0" w:color="auto"/>
              </w:divBdr>
            </w:div>
            <w:div w:id="1980302335">
              <w:marLeft w:val="0"/>
              <w:marRight w:val="0"/>
              <w:marTop w:val="0"/>
              <w:marBottom w:val="0"/>
              <w:divBdr>
                <w:top w:val="none" w:sz="0" w:space="0" w:color="auto"/>
                <w:left w:val="none" w:sz="0" w:space="0" w:color="auto"/>
                <w:bottom w:val="none" w:sz="0" w:space="0" w:color="auto"/>
                <w:right w:val="none" w:sz="0" w:space="0" w:color="auto"/>
              </w:divBdr>
            </w:div>
            <w:div w:id="2006933549">
              <w:marLeft w:val="0"/>
              <w:marRight w:val="0"/>
              <w:marTop w:val="0"/>
              <w:marBottom w:val="0"/>
              <w:divBdr>
                <w:top w:val="none" w:sz="0" w:space="0" w:color="auto"/>
                <w:left w:val="none" w:sz="0" w:space="0" w:color="auto"/>
                <w:bottom w:val="none" w:sz="0" w:space="0" w:color="auto"/>
                <w:right w:val="none" w:sz="0" w:space="0" w:color="auto"/>
              </w:divBdr>
            </w:div>
            <w:div w:id="2135899597">
              <w:marLeft w:val="0"/>
              <w:marRight w:val="0"/>
              <w:marTop w:val="0"/>
              <w:marBottom w:val="0"/>
              <w:divBdr>
                <w:top w:val="none" w:sz="0" w:space="0" w:color="auto"/>
                <w:left w:val="none" w:sz="0" w:space="0" w:color="auto"/>
                <w:bottom w:val="none" w:sz="0" w:space="0" w:color="auto"/>
                <w:right w:val="none" w:sz="0" w:space="0" w:color="auto"/>
              </w:divBdr>
            </w:div>
          </w:divsChild>
        </w:div>
        <w:div w:id="1280843883">
          <w:marLeft w:val="0"/>
          <w:marRight w:val="0"/>
          <w:marTop w:val="0"/>
          <w:marBottom w:val="0"/>
          <w:divBdr>
            <w:top w:val="none" w:sz="0" w:space="0" w:color="auto"/>
            <w:left w:val="none" w:sz="0" w:space="0" w:color="auto"/>
            <w:bottom w:val="none" w:sz="0" w:space="0" w:color="auto"/>
            <w:right w:val="none" w:sz="0" w:space="0" w:color="auto"/>
          </w:divBdr>
          <w:divsChild>
            <w:div w:id="694231901">
              <w:marLeft w:val="0"/>
              <w:marRight w:val="0"/>
              <w:marTop w:val="0"/>
              <w:marBottom w:val="0"/>
              <w:divBdr>
                <w:top w:val="none" w:sz="0" w:space="0" w:color="auto"/>
                <w:left w:val="none" w:sz="0" w:space="0" w:color="auto"/>
                <w:bottom w:val="none" w:sz="0" w:space="0" w:color="auto"/>
                <w:right w:val="none" w:sz="0" w:space="0" w:color="auto"/>
              </w:divBdr>
            </w:div>
          </w:divsChild>
        </w:div>
        <w:div w:id="1296524233">
          <w:marLeft w:val="0"/>
          <w:marRight w:val="0"/>
          <w:marTop w:val="0"/>
          <w:marBottom w:val="0"/>
          <w:divBdr>
            <w:top w:val="none" w:sz="0" w:space="0" w:color="auto"/>
            <w:left w:val="none" w:sz="0" w:space="0" w:color="auto"/>
            <w:bottom w:val="none" w:sz="0" w:space="0" w:color="auto"/>
            <w:right w:val="none" w:sz="0" w:space="0" w:color="auto"/>
          </w:divBdr>
          <w:divsChild>
            <w:div w:id="1077359882">
              <w:marLeft w:val="0"/>
              <w:marRight w:val="0"/>
              <w:marTop w:val="0"/>
              <w:marBottom w:val="0"/>
              <w:divBdr>
                <w:top w:val="none" w:sz="0" w:space="0" w:color="auto"/>
                <w:left w:val="none" w:sz="0" w:space="0" w:color="auto"/>
                <w:bottom w:val="none" w:sz="0" w:space="0" w:color="auto"/>
                <w:right w:val="none" w:sz="0" w:space="0" w:color="auto"/>
              </w:divBdr>
            </w:div>
            <w:div w:id="1426342875">
              <w:marLeft w:val="0"/>
              <w:marRight w:val="0"/>
              <w:marTop w:val="0"/>
              <w:marBottom w:val="0"/>
              <w:divBdr>
                <w:top w:val="none" w:sz="0" w:space="0" w:color="auto"/>
                <w:left w:val="none" w:sz="0" w:space="0" w:color="auto"/>
                <w:bottom w:val="none" w:sz="0" w:space="0" w:color="auto"/>
                <w:right w:val="none" w:sz="0" w:space="0" w:color="auto"/>
              </w:divBdr>
            </w:div>
            <w:div w:id="1521433937">
              <w:marLeft w:val="0"/>
              <w:marRight w:val="0"/>
              <w:marTop w:val="0"/>
              <w:marBottom w:val="0"/>
              <w:divBdr>
                <w:top w:val="none" w:sz="0" w:space="0" w:color="auto"/>
                <w:left w:val="none" w:sz="0" w:space="0" w:color="auto"/>
                <w:bottom w:val="none" w:sz="0" w:space="0" w:color="auto"/>
                <w:right w:val="none" w:sz="0" w:space="0" w:color="auto"/>
              </w:divBdr>
            </w:div>
            <w:div w:id="1533423878">
              <w:marLeft w:val="0"/>
              <w:marRight w:val="0"/>
              <w:marTop w:val="0"/>
              <w:marBottom w:val="0"/>
              <w:divBdr>
                <w:top w:val="none" w:sz="0" w:space="0" w:color="auto"/>
                <w:left w:val="none" w:sz="0" w:space="0" w:color="auto"/>
                <w:bottom w:val="none" w:sz="0" w:space="0" w:color="auto"/>
                <w:right w:val="none" w:sz="0" w:space="0" w:color="auto"/>
              </w:divBdr>
            </w:div>
            <w:div w:id="1690445301">
              <w:marLeft w:val="0"/>
              <w:marRight w:val="0"/>
              <w:marTop w:val="0"/>
              <w:marBottom w:val="0"/>
              <w:divBdr>
                <w:top w:val="none" w:sz="0" w:space="0" w:color="auto"/>
                <w:left w:val="none" w:sz="0" w:space="0" w:color="auto"/>
                <w:bottom w:val="none" w:sz="0" w:space="0" w:color="auto"/>
                <w:right w:val="none" w:sz="0" w:space="0" w:color="auto"/>
              </w:divBdr>
            </w:div>
          </w:divsChild>
        </w:div>
        <w:div w:id="1301349760">
          <w:marLeft w:val="0"/>
          <w:marRight w:val="0"/>
          <w:marTop w:val="0"/>
          <w:marBottom w:val="0"/>
          <w:divBdr>
            <w:top w:val="none" w:sz="0" w:space="0" w:color="auto"/>
            <w:left w:val="none" w:sz="0" w:space="0" w:color="auto"/>
            <w:bottom w:val="none" w:sz="0" w:space="0" w:color="auto"/>
            <w:right w:val="none" w:sz="0" w:space="0" w:color="auto"/>
          </w:divBdr>
          <w:divsChild>
            <w:div w:id="634022294">
              <w:marLeft w:val="0"/>
              <w:marRight w:val="0"/>
              <w:marTop w:val="0"/>
              <w:marBottom w:val="0"/>
              <w:divBdr>
                <w:top w:val="none" w:sz="0" w:space="0" w:color="auto"/>
                <w:left w:val="none" w:sz="0" w:space="0" w:color="auto"/>
                <w:bottom w:val="none" w:sz="0" w:space="0" w:color="auto"/>
                <w:right w:val="none" w:sz="0" w:space="0" w:color="auto"/>
              </w:divBdr>
            </w:div>
          </w:divsChild>
        </w:div>
        <w:div w:id="1311784351">
          <w:marLeft w:val="0"/>
          <w:marRight w:val="0"/>
          <w:marTop w:val="0"/>
          <w:marBottom w:val="0"/>
          <w:divBdr>
            <w:top w:val="none" w:sz="0" w:space="0" w:color="auto"/>
            <w:left w:val="none" w:sz="0" w:space="0" w:color="auto"/>
            <w:bottom w:val="none" w:sz="0" w:space="0" w:color="auto"/>
            <w:right w:val="none" w:sz="0" w:space="0" w:color="auto"/>
          </w:divBdr>
          <w:divsChild>
            <w:div w:id="343676598">
              <w:marLeft w:val="0"/>
              <w:marRight w:val="0"/>
              <w:marTop w:val="0"/>
              <w:marBottom w:val="0"/>
              <w:divBdr>
                <w:top w:val="none" w:sz="0" w:space="0" w:color="auto"/>
                <w:left w:val="none" w:sz="0" w:space="0" w:color="auto"/>
                <w:bottom w:val="none" w:sz="0" w:space="0" w:color="auto"/>
                <w:right w:val="none" w:sz="0" w:space="0" w:color="auto"/>
              </w:divBdr>
            </w:div>
          </w:divsChild>
        </w:div>
        <w:div w:id="1388800933">
          <w:marLeft w:val="0"/>
          <w:marRight w:val="0"/>
          <w:marTop w:val="0"/>
          <w:marBottom w:val="0"/>
          <w:divBdr>
            <w:top w:val="none" w:sz="0" w:space="0" w:color="auto"/>
            <w:left w:val="none" w:sz="0" w:space="0" w:color="auto"/>
            <w:bottom w:val="none" w:sz="0" w:space="0" w:color="auto"/>
            <w:right w:val="none" w:sz="0" w:space="0" w:color="auto"/>
          </w:divBdr>
          <w:divsChild>
            <w:div w:id="571936575">
              <w:marLeft w:val="0"/>
              <w:marRight w:val="0"/>
              <w:marTop w:val="0"/>
              <w:marBottom w:val="0"/>
              <w:divBdr>
                <w:top w:val="none" w:sz="0" w:space="0" w:color="auto"/>
                <w:left w:val="none" w:sz="0" w:space="0" w:color="auto"/>
                <w:bottom w:val="none" w:sz="0" w:space="0" w:color="auto"/>
                <w:right w:val="none" w:sz="0" w:space="0" w:color="auto"/>
              </w:divBdr>
            </w:div>
            <w:div w:id="1258441395">
              <w:marLeft w:val="0"/>
              <w:marRight w:val="0"/>
              <w:marTop w:val="0"/>
              <w:marBottom w:val="0"/>
              <w:divBdr>
                <w:top w:val="none" w:sz="0" w:space="0" w:color="auto"/>
                <w:left w:val="none" w:sz="0" w:space="0" w:color="auto"/>
                <w:bottom w:val="none" w:sz="0" w:space="0" w:color="auto"/>
                <w:right w:val="none" w:sz="0" w:space="0" w:color="auto"/>
              </w:divBdr>
            </w:div>
            <w:div w:id="1367633225">
              <w:marLeft w:val="0"/>
              <w:marRight w:val="0"/>
              <w:marTop w:val="0"/>
              <w:marBottom w:val="0"/>
              <w:divBdr>
                <w:top w:val="none" w:sz="0" w:space="0" w:color="auto"/>
                <w:left w:val="none" w:sz="0" w:space="0" w:color="auto"/>
                <w:bottom w:val="none" w:sz="0" w:space="0" w:color="auto"/>
                <w:right w:val="none" w:sz="0" w:space="0" w:color="auto"/>
              </w:divBdr>
            </w:div>
            <w:div w:id="1406805331">
              <w:marLeft w:val="0"/>
              <w:marRight w:val="0"/>
              <w:marTop w:val="0"/>
              <w:marBottom w:val="0"/>
              <w:divBdr>
                <w:top w:val="none" w:sz="0" w:space="0" w:color="auto"/>
                <w:left w:val="none" w:sz="0" w:space="0" w:color="auto"/>
                <w:bottom w:val="none" w:sz="0" w:space="0" w:color="auto"/>
                <w:right w:val="none" w:sz="0" w:space="0" w:color="auto"/>
              </w:divBdr>
            </w:div>
            <w:div w:id="1466849084">
              <w:marLeft w:val="0"/>
              <w:marRight w:val="0"/>
              <w:marTop w:val="0"/>
              <w:marBottom w:val="0"/>
              <w:divBdr>
                <w:top w:val="none" w:sz="0" w:space="0" w:color="auto"/>
                <w:left w:val="none" w:sz="0" w:space="0" w:color="auto"/>
                <w:bottom w:val="none" w:sz="0" w:space="0" w:color="auto"/>
                <w:right w:val="none" w:sz="0" w:space="0" w:color="auto"/>
              </w:divBdr>
            </w:div>
            <w:div w:id="1697001861">
              <w:marLeft w:val="0"/>
              <w:marRight w:val="0"/>
              <w:marTop w:val="0"/>
              <w:marBottom w:val="0"/>
              <w:divBdr>
                <w:top w:val="none" w:sz="0" w:space="0" w:color="auto"/>
                <w:left w:val="none" w:sz="0" w:space="0" w:color="auto"/>
                <w:bottom w:val="none" w:sz="0" w:space="0" w:color="auto"/>
                <w:right w:val="none" w:sz="0" w:space="0" w:color="auto"/>
              </w:divBdr>
            </w:div>
            <w:div w:id="2087458826">
              <w:marLeft w:val="0"/>
              <w:marRight w:val="0"/>
              <w:marTop w:val="0"/>
              <w:marBottom w:val="0"/>
              <w:divBdr>
                <w:top w:val="none" w:sz="0" w:space="0" w:color="auto"/>
                <w:left w:val="none" w:sz="0" w:space="0" w:color="auto"/>
                <w:bottom w:val="none" w:sz="0" w:space="0" w:color="auto"/>
                <w:right w:val="none" w:sz="0" w:space="0" w:color="auto"/>
              </w:divBdr>
            </w:div>
          </w:divsChild>
        </w:div>
        <w:div w:id="1407340680">
          <w:marLeft w:val="0"/>
          <w:marRight w:val="0"/>
          <w:marTop w:val="0"/>
          <w:marBottom w:val="0"/>
          <w:divBdr>
            <w:top w:val="none" w:sz="0" w:space="0" w:color="auto"/>
            <w:left w:val="none" w:sz="0" w:space="0" w:color="auto"/>
            <w:bottom w:val="none" w:sz="0" w:space="0" w:color="auto"/>
            <w:right w:val="none" w:sz="0" w:space="0" w:color="auto"/>
          </w:divBdr>
          <w:divsChild>
            <w:div w:id="287131999">
              <w:marLeft w:val="0"/>
              <w:marRight w:val="0"/>
              <w:marTop w:val="0"/>
              <w:marBottom w:val="0"/>
              <w:divBdr>
                <w:top w:val="none" w:sz="0" w:space="0" w:color="auto"/>
                <w:left w:val="none" w:sz="0" w:space="0" w:color="auto"/>
                <w:bottom w:val="none" w:sz="0" w:space="0" w:color="auto"/>
                <w:right w:val="none" w:sz="0" w:space="0" w:color="auto"/>
              </w:divBdr>
            </w:div>
          </w:divsChild>
        </w:div>
        <w:div w:id="1434980675">
          <w:marLeft w:val="0"/>
          <w:marRight w:val="0"/>
          <w:marTop w:val="0"/>
          <w:marBottom w:val="0"/>
          <w:divBdr>
            <w:top w:val="none" w:sz="0" w:space="0" w:color="auto"/>
            <w:left w:val="none" w:sz="0" w:space="0" w:color="auto"/>
            <w:bottom w:val="none" w:sz="0" w:space="0" w:color="auto"/>
            <w:right w:val="none" w:sz="0" w:space="0" w:color="auto"/>
          </w:divBdr>
          <w:divsChild>
            <w:div w:id="88744434">
              <w:marLeft w:val="0"/>
              <w:marRight w:val="0"/>
              <w:marTop w:val="0"/>
              <w:marBottom w:val="0"/>
              <w:divBdr>
                <w:top w:val="none" w:sz="0" w:space="0" w:color="auto"/>
                <w:left w:val="none" w:sz="0" w:space="0" w:color="auto"/>
                <w:bottom w:val="none" w:sz="0" w:space="0" w:color="auto"/>
                <w:right w:val="none" w:sz="0" w:space="0" w:color="auto"/>
              </w:divBdr>
            </w:div>
          </w:divsChild>
        </w:div>
        <w:div w:id="1457675583">
          <w:marLeft w:val="0"/>
          <w:marRight w:val="0"/>
          <w:marTop w:val="0"/>
          <w:marBottom w:val="0"/>
          <w:divBdr>
            <w:top w:val="none" w:sz="0" w:space="0" w:color="auto"/>
            <w:left w:val="none" w:sz="0" w:space="0" w:color="auto"/>
            <w:bottom w:val="none" w:sz="0" w:space="0" w:color="auto"/>
            <w:right w:val="none" w:sz="0" w:space="0" w:color="auto"/>
          </w:divBdr>
          <w:divsChild>
            <w:div w:id="884098192">
              <w:marLeft w:val="0"/>
              <w:marRight w:val="0"/>
              <w:marTop w:val="0"/>
              <w:marBottom w:val="0"/>
              <w:divBdr>
                <w:top w:val="none" w:sz="0" w:space="0" w:color="auto"/>
                <w:left w:val="none" w:sz="0" w:space="0" w:color="auto"/>
                <w:bottom w:val="none" w:sz="0" w:space="0" w:color="auto"/>
                <w:right w:val="none" w:sz="0" w:space="0" w:color="auto"/>
              </w:divBdr>
            </w:div>
          </w:divsChild>
        </w:div>
        <w:div w:id="1502771701">
          <w:marLeft w:val="0"/>
          <w:marRight w:val="0"/>
          <w:marTop w:val="0"/>
          <w:marBottom w:val="0"/>
          <w:divBdr>
            <w:top w:val="none" w:sz="0" w:space="0" w:color="auto"/>
            <w:left w:val="none" w:sz="0" w:space="0" w:color="auto"/>
            <w:bottom w:val="none" w:sz="0" w:space="0" w:color="auto"/>
            <w:right w:val="none" w:sz="0" w:space="0" w:color="auto"/>
          </w:divBdr>
          <w:divsChild>
            <w:div w:id="1639677663">
              <w:marLeft w:val="0"/>
              <w:marRight w:val="0"/>
              <w:marTop w:val="0"/>
              <w:marBottom w:val="0"/>
              <w:divBdr>
                <w:top w:val="none" w:sz="0" w:space="0" w:color="auto"/>
                <w:left w:val="none" w:sz="0" w:space="0" w:color="auto"/>
                <w:bottom w:val="none" w:sz="0" w:space="0" w:color="auto"/>
                <w:right w:val="none" w:sz="0" w:space="0" w:color="auto"/>
              </w:divBdr>
            </w:div>
          </w:divsChild>
        </w:div>
        <w:div w:id="1658651600">
          <w:marLeft w:val="0"/>
          <w:marRight w:val="0"/>
          <w:marTop w:val="0"/>
          <w:marBottom w:val="0"/>
          <w:divBdr>
            <w:top w:val="none" w:sz="0" w:space="0" w:color="auto"/>
            <w:left w:val="none" w:sz="0" w:space="0" w:color="auto"/>
            <w:bottom w:val="none" w:sz="0" w:space="0" w:color="auto"/>
            <w:right w:val="none" w:sz="0" w:space="0" w:color="auto"/>
          </w:divBdr>
          <w:divsChild>
            <w:div w:id="712383886">
              <w:marLeft w:val="0"/>
              <w:marRight w:val="0"/>
              <w:marTop w:val="0"/>
              <w:marBottom w:val="0"/>
              <w:divBdr>
                <w:top w:val="none" w:sz="0" w:space="0" w:color="auto"/>
                <w:left w:val="none" w:sz="0" w:space="0" w:color="auto"/>
                <w:bottom w:val="none" w:sz="0" w:space="0" w:color="auto"/>
                <w:right w:val="none" w:sz="0" w:space="0" w:color="auto"/>
              </w:divBdr>
            </w:div>
          </w:divsChild>
        </w:div>
        <w:div w:id="1736125076">
          <w:marLeft w:val="0"/>
          <w:marRight w:val="0"/>
          <w:marTop w:val="0"/>
          <w:marBottom w:val="0"/>
          <w:divBdr>
            <w:top w:val="none" w:sz="0" w:space="0" w:color="auto"/>
            <w:left w:val="none" w:sz="0" w:space="0" w:color="auto"/>
            <w:bottom w:val="none" w:sz="0" w:space="0" w:color="auto"/>
            <w:right w:val="none" w:sz="0" w:space="0" w:color="auto"/>
          </w:divBdr>
          <w:divsChild>
            <w:div w:id="1269969846">
              <w:marLeft w:val="0"/>
              <w:marRight w:val="0"/>
              <w:marTop w:val="0"/>
              <w:marBottom w:val="0"/>
              <w:divBdr>
                <w:top w:val="none" w:sz="0" w:space="0" w:color="auto"/>
                <w:left w:val="none" w:sz="0" w:space="0" w:color="auto"/>
                <w:bottom w:val="none" w:sz="0" w:space="0" w:color="auto"/>
                <w:right w:val="none" w:sz="0" w:space="0" w:color="auto"/>
              </w:divBdr>
            </w:div>
          </w:divsChild>
        </w:div>
        <w:div w:id="1765758438">
          <w:marLeft w:val="0"/>
          <w:marRight w:val="0"/>
          <w:marTop w:val="0"/>
          <w:marBottom w:val="0"/>
          <w:divBdr>
            <w:top w:val="none" w:sz="0" w:space="0" w:color="auto"/>
            <w:left w:val="none" w:sz="0" w:space="0" w:color="auto"/>
            <w:bottom w:val="none" w:sz="0" w:space="0" w:color="auto"/>
            <w:right w:val="none" w:sz="0" w:space="0" w:color="auto"/>
          </w:divBdr>
          <w:divsChild>
            <w:div w:id="634918965">
              <w:marLeft w:val="0"/>
              <w:marRight w:val="0"/>
              <w:marTop w:val="0"/>
              <w:marBottom w:val="0"/>
              <w:divBdr>
                <w:top w:val="none" w:sz="0" w:space="0" w:color="auto"/>
                <w:left w:val="none" w:sz="0" w:space="0" w:color="auto"/>
                <w:bottom w:val="none" w:sz="0" w:space="0" w:color="auto"/>
                <w:right w:val="none" w:sz="0" w:space="0" w:color="auto"/>
              </w:divBdr>
            </w:div>
            <w:div w:id="929851846">
              <w:marLeft w:val="0"/>
              <w:marRight w:val="0"/>
              <w:marTop w:val="0"/>
              <w:marBottom w:val="0"/>
              <w:divBdr>
                <w:top w:val="none" w:sz="0" w:space="0" w:color="auto"/>
                <w:left w:val="none" w:sz="0" w:space="0" w:color="auto"/>
                <w:bottom w:val="none" w:sz="0" w:space="0" w:color="auto"/>
                <w:right w:val="none" w:sz="0" w:space="0" w:color="auto"/>
              </w:divBdr>
            </w:div>
          </w:divsChild>
        </w:div>
        <w:div w:id="1778937946">
          <w:marLeft w:val="0"/>
          <w:marRight w:val="0"/>
          <w:marTop w:val="0"/>
          <w:marBottom w:val="0"/>
          <w:divBdr>
            <w:top w:val="none" w:sz="0" w:space="0" w:color="auto"/>
            <w:left w:val="none" w:sz="0" w:space="0" w:color="auto"/>
            <w:bottom w:val="none" w:sz="0" w:space="0" w:color="auto"/>
            <w:right w:val="none" w:sz="0" w:space="0" w:color="auto"/>
          </w:divBdr>
          <w:divsChild>
            <w:div w:id="1733430953">
              <w:marLeft w:val="0"/>
              <w:marRight w:val="0"/>
              <w:marTop w:val="0"/>
              <w:marBottom w:val="0"/>
              <w:divBdr>
                <w:top w:val="none" w:sz="0" w:space="0" w:color="auto"/>
                <w:left w:val="none" w:sz="0" w:space="0" w:color="auto"/>
                <w:bottom w:val="none" w:sz="0" w:space="0" w:color="auto"/>
                <w:right w:val="none" w:sz="0" w:space="0" w:color="auto"/>
              </w:divBdr>
            </w:div>
          </w:divsChild>
        </w:div>
        <w:div w:id="1837768601">
          <w:marLeft w:val="0"/>
          <w:marRight w:val="0"/>
          <w:marTop w:val="0"/>
          <w:marBottom w:val="0"/>
          <w:divBdr>
            <w:top w:val="none" w:sz="0" w:space="0" w:color="auto"/>
            <w:left w:val="none" w:sz="0" w:space="0" w:color="auto"/>
            <w:bottom w:val="none" w:sz="0" w:space="0" w:color="auto"/>
            <w:right w:val="none" w:sz="0" w:space="0" w:color="auto"/>
          </w:divBdr>
          <w:divsChild>
            <w:div w:id="622079439">
              <w:marLeft w:val="0"/>
              <w:marRight w:val="0"/>
              <w:marTop w:val="0"/>
              <w:marBottom w:val="0"/>
              <w:divBdr>
                <w:top w:val="none" w:sz="0" w:space="0" w:color="auto"/>
                <w:left w:val="none" w:sz="0" w:space="0" w:color="auto"/>
                <w:bottom w:val="none" w:sz="0" w:space="0" w:color="auto"/>
                <w:right w:val="none" w:sz="0" w:space="0" w:color="auto"/>
              </w:divBdr>
            </w:div>
          </w:divsChild>
        </w:div>
        <w:div w:id="1893925584">
          <w:marLeft w:val="0"/>
          <w:marRight w:val="0"/>
          <w:marTop w:val="0"/>
          <w:marBottom w:val="0"/>
          <w:divBdr>
            <w:top w:val="none" w:sz="0" w:space="0" w:color="auto"/>
            <w:left w:val="none" w:sz="0" w:space="0" w:color="auto"/>
            <w:bottom w:val="none" w:sz="0" w:space="0" w:color="auto"/>
            <w:right w:val="none" w:sz="0" w:space="0" w:color="auto"/>
          </w:divBdr>
          <w:divsChild>
            <w:div w:id="266811555">
              <w:marLeft w:val="0"/>
              <w:marRight w:val="0"/>
              <w:marTop w:val="0"/>
              <w:marBottom w:val="0"/>
              <w:divBdr>
                <w:top w:val="none" w:sz="0" w:space="0" w:color="auto"/>
                <w:left w:val="none" w:sz="0" w:space="0" w:color="auto"/>
                <w:bottom w:val="none" w:sz="0" w:space="0" w:color="auto"/>
                <w:right w:val="none" w:sz="0" w:space="0" w:color="auto"/>
              </w:divBdr>
            </w:div>
          </w:divsChild>
        </w:div>
        <w:div w:id="1930238928">
          <w:marLeft w:val="0"/>
          <w:marRight w:val="0"/>
          <w:marTop w:val="0"/>
          <w:marBottom w:val="0"/>
          <w:divBdr>
            <w:top w:val="none" w:sz="0" w:space="0" w:color="auto"/>
            <w:left w:val="none" w:sz="0" w:space="0" w:color="auto"/>
            <w:bottom w:val="none" w:sz="0" w:space="0" w:color="auto"/>
            <w:right w:val="none" w:sz="0" w:space="0" w:color="auto"/>
          </w:divBdr>
          <w:divsChild>
            <w:div w:id="367030907">
              <w:marLeft w:val="0"/>
              <w:marRight w:val="0"/>
              <w:marTop w:val="0"/>
              <w:marBottom w:val="0"/>
              <w:divBdr>
                <w:top w:val="none" w:sz="0" w:space="0" w:color="auto"/>
                <w:left w:val="none" w:sz="0" w:space="0" w:color="auto"/>
                <w:bottom w:val="none" w:sz="0" w:space="0" w:color="auto"/>
                <w:right w:val="none" w:sz="0" w:space="0" w:color="auto"/>
              </w:divBdr>
            </w:div>
          </w:divsChild>
        </w:div>
        <w:div w:id="1960452729">
          <w:marLeft w:val="0"/>
          <w:marRight w:val="0"/>
          <w:marTop w:val="0"/>
          <w:marBottom w:val="0"/>
          <w:divBdr>
            <w:top w:val="none" w:sz="0" w:space="0" w:color="auto"/>
            <w:left w:val="none" w:sz="0" w:space="0" w:color="auto"/>
            <w:bottom w:val="none" w:sz="0" w:space="0" w:color="auto"/>
            <w:right w:val="none" w:sz="0" w:space="0" w:color="auto"/>
          </w:divBdr>
          <w:divsChild>
            <w:div w:id="861673937">
              <w:marLeft w:val="0"/>
              <w:marRight w:val="0"/>
              <w:marTop w:val="0"/>
              <w:marBottom w:val="0"/>
              <w:divBdr>
                <w:top w:val="none" w:sz="0" w:space="0" w:color="auto"/>
                <w:left w:val="none" w:sz="0" w:space="0" w:color="auto"/>
                <w:bottom w:val="none" w:sz="0" w:space="0" w:color="auto"/>
                <w:right w:val="none" w:sz="0" w:space="0" w:color="auto"/>
              </w:divBdr>
            </w:div>
            <w:div w:id="2112041540">
              <w:marLeft w:val="0"/>
              <w:marRight w:val="0"/>
              <w:marTop w:val="0"/>
              <w:marBottom w:val="0"/>
              <w:divBdr>
                <w:top w:val="none" w:sz="0" w:space="0" w:color="auto"/>
                <w:left w:val="none" w:sz="0" w:space="0" w:color="auto"/>
                <w:bottom w:val="none" w:sz="0" w:space="0" w:color="auto"/>
                <w:right w:val="none" w:sz="0" w:space="0" w:color="auto"/>
              </w:divBdr>
            </w:div>
          </w:divsChild>
        </w:div>
        <w:div w:id="2003924040">
          <w:marLeft w:val="0"/>
          <w:marRight w:val="0"/>
          <w:marTop w:val="0"/>
          <w:marBottom w:val="0"/>
          <w:divBdr>
            <w:top w:val="none" w:sz="0" w:space="0" w:color="auto"/>
            <w:left w:val="none" w:sz="0" w:space="0" w:color="auto"/>
            <w:bottom w:val="none" w:sz="0" w:space="0" w:color="auto"/>
            <w:right w:val="none" w:sz="0" w:space="0" w:color="auto"/>
          </w:divBdr>
          <w:divsChild>
            <w:div w:id="950236504">
              <w:marLeft w:val="0"/>
              <w:marRight w:val="0"/>
              <w:marTop w:val="0"/>
              <w:marBottom w:val="0"/>
              <w:divBdr>
                <w:top w:val="none" w:sz="0" w:space="0" w:color="auto"/>
                <w:left w:val="none" w:sz="0" w:space="0" w:color="auto"/>
                <w:bottom w:val="none" w:sz="0" w:space="0" w:color="auto"/>
                <w:right w:val="none" w:sz="0" w:space="0" w:color="auto"/>
              </w:divBdr>
            </w:div>
            <w:div w:id="1033655457">
              <w:marLeft w:val="0"/>
              <w:marRight w:val="0"/>
              <w:marTop w:val="0"/>
              <w:marBottom w:val="0"/>
              <w:divBdr>
                <w:top w:val="none" w:sz="0" w:space="0" w:color="auto"/>
                <w:left w:val="none" w:sz="0" w:space="0" w:color="auto"/>
                <w:bottom w:val="none" w:sz="0" w:space="0" w:color="auto"/>
                <w:right w:val="none" w:sz="0" w:space="0" w:color="auto"/>
              </w:divBdr>
            </w:div>
            <w:div w:id="1354921563">
              <w:marLeft w:val="0"/>
              <w:marRight w:val="0"/>
              <w:marTop w:val="0"/>
              <w:marBottom w:val="0"/>
              <w:divBdr>
                <w:top w:val="none" w:sz="0" w:space="0" w:color="auto"/>
                <w:left w:val="none" w:sz="0" w:space="0" w:color="auto"/>
                <w:bottom w:val="none" w:sz="0" w:space="0" w:color="auto"/>
                <w:right w:val="none" w:sz="0" w:space="0" w:color="auto"/>
              </w:divBdr>
            </w:div>
            <w:div w:id="1498227224">
              <w:marLeft w:val="0"/>
              <w:marRight w:val="0"/>
              <w:marTop w:val="0"/>
              <w:marBottom w:val="0"/>
              <w:divBdr>
                <w:top w:val="none" w:sz="0" w:space="0" w:color="auto"/>
                <w:left w:val="none" w:sz="0" w:space="0" w:color="auto"/>
                <w:bottom w:val="none" w:sz="0" w:space="0" w:color="auto"/>
                <w:right w:val="none" w:sz="0" w:space="0" w:color="auto"/>
              </w:divBdr>
            </w:div>
            <w:div w:id="2089880820">
              <w:marLeft w:val="0"/>
              <w:marRight w:val="0"/>
              <w:marTop w:val="0"/>
              <w:marBottom w:val="0"/>
              <w:divBdr>
                <w:top w:val="none" w:sz="0" w:space="0" w:color="auto"/>
                <w:left w:val="none" w:sz="0" w:space="0" w:color="auto"/>
                <w:bottom w:val="none" w:sz="0" w:space="0" w:color="auto"/>
                <w:right w:val="none" w:sz="0" w:space="0" w:color="auto"/>
              </w:divBdr>
            </w:div>
          </w:divsChild>
        </w:div>
        <w:div w:id="2031758878">
          <w:marLeft w:val="0"/>
          <w:marRight w:val="0"/>
          <w:marTop w:val="0"/>
          <w:marBottom w:val="0"/>
          <w:divBdr>
            <w:top w:val="none" w:sz="0" w:space="0" w:color="auto"/>
            <w:left w:val="none" w:sz="0" w:space="0" w:color="auto"/>
            <w:bottom w:val="none" w:sz="0" w:space="0" w:color="auto"/>
            <w:right w:val="none" w:sz="0" w:space="0" w:color="auto"/>
          </w:divBdr>
          <w:divsChild>
            <w:div w:id="180243884">
              <w:marLeft w:val="0"/>
              <w:marRight w:val="0"/>
              <w:marTop w:val="0"/>
              <w:marBottom w:val="0"/>
              <w:divBdr>
                <w:top w:val="none" w:sz="0" w:space="0" w:color="auto"/>
                <w:left w:val="none" w:sz="0" w:space="0" w:color="auto"/>
                <w:bottom w:val="none" w:sz="0" w:space="0" w:color="auto"/>
                <w:right w:val="none" w:sz="0" w:space="0" w:color="auto"/>
              </w:divBdr>
            </w:div>
            <w:div w:id="442073074">
              <w:marLeft w:val="0"/>
              <w:marRight w:val="0"/>
              <w:marTop w:val="0"/>
              <w:marBottom w:val="0"/>
              <w:divBdr>
                <w:top w:val="none" w:sz="0" w:space="0" w:color="auto"/>
                <w:left w:val="none" w:sz="0" w:space="0" w:color="auto"/>
                <w:bottom w:val="none" w:sz="0" w:space="0" w:color="auto"/>
                <w:right w:val="none" w:sz="0" w:space="0" w:color="auto"/>
              </w:divBdr>
            </w:div>
            <w:div w:id="1673333140">
              <w:marLeft w:val="0"/>
              <w:marRight w:val="0"/>
              <w:marTop w:val="0"/>
              <w:marBottom w:val="0"/>
              <w:divBdr>
                <w:top w:val="none" w:sz="0" w:space="0" w:color="auto"/>
                <w:left w:val="none" w:sz="0" w:space="0" w:color="auto"/>
                <w:bottom w:val="none" w:sz="0" w:space="0" w:color="auto"/>
                <w:right w:val="none" w:sz="0" w:space="0" w:color="auto"/>
              </w:divBdr>
            </w:div>
            <w:div w:id="1975913676">
              <w:marLeft w:val="0"/>
              <w:marRight w:val="0"/>
              <w:marTop w:val="0"/>
              <w:marBottom w:val="0"/>
              <w:divBdr>
                <w:top w:val="none" w:sz="0" w:space="0" w:color="auto"/>
                <w:left w:val="none" w:sz="0" w:space="0" w:color="auto"/>
                <w:bottom w:val="none" w:sz="0" w:space="0" w:color="auto"/>
                <w:right w:val="none" w:sz="0" w:space="0" w:color="auto"/>
              </w:divBdr>
            </w:div>
            <w:div w:id="2143842862">
              <w:marLeft w:val="0"/>
              <w:marRight w:val="0"/>
              <w:marTop w:val="0"/>
              <w:marBottom w:val="0"/>
              <w:divBdr>
                <w:top w:val="none" w:sz="0" w:space="0" w:color="auto"/>
                <w:left w:val="none" w:sz="0" w:space="0" w:color="auto"/>
                <w:bottom w:val="none" w:sz="0" w:space="0" w:color="auto"/>
                <w:right w:val="none" w:sz="0" w:space="0" w:color="auto"/>
              </w:divBdr>
            </w:div>
          </w:divsChild>
        </w:div>
        <w:div w:id="2062900629">
          <w:marLeft w:val="0"/>
          <w:marRight w:val="0"/>
          <w:marTop w:val="0"/>
          <w:marBottom w:val="0"/>
          <w:divBdr>
            <w:top w:val="none" w:sz="0" w:space="0" w:color="auto"/>
            <w:left w:val="none" w:sz="0" w:space="0" w:color="auto"/>
            <w:bottom w:val="none" w:sz="0" w:space="0" w:color="auto"/>
            <w:right w:val="none" w:sz="0" w:space="0" w:color="auto"/>
          </w:divBdr>
          <w:divsChild>
            <w:div w:id="1500121045">
              <w:marLeft w:val="0"/>
              <w:marRight w:val="0"/>
              <w:marTop w:val="0"/>
              <w:marBottom w:val="0"/>
              <w:divBdr>
                <w:top w:val="none" w:sz="0" w:space="0" w:color="auto"/>
                <w:left w:val="none" w:sz="0" w:space="0" w:color="auto"/>
                <w:bottom w:val="none" w:sz="0" w:space="0" w:color="auto"/>
                <w:right w:val="none" w:sz="0" w:space="0" w:color="auto"/>
              </w:divBdr>
            </w:div>
          </w:divsChild>
        </w:div>
        <w:div w:id="2071951953">
          <w:marLeft w:val="0"/>
          <w:marRight w:val="0"/>
          <w:marTop w:val="0"/>
          <w:marBottom w:val="0"/>
          <w:divBdr>
            <w:top w:val="none" w:sz="0" w:space="0" w:color="auto"/>
            <w:left w:val="none" w:sz="0" w:space="0" w:color="auto"/>
            <w:bottom w:val="none" w:sz="0" w:space="0" w:color="auto"/>
            <w:right w:val="none" w:sz="0" w:space="0" w:color="auto"/>
          </w:divBdr>
          <w:divsChild>
            <w:div w:id="1651983034">
              <w:marLeft w:val="0"/>
              <w:marRight w:val="0"/>
              <w:marTop w:val="0"/>
              <w:marBottom w:val="0"/>
              <w:divBdr>
                <w:top w:val="none" w:sz="0" w:space="0" w:color="auto"/>
                <w:left w:val="none" w:sz="0" w:space="0" w:color="auto"/>
                <w:bottom w:val="none" w:sz="0" w:space="0" w:color="auto"/>
                <w:right w:val="none" w:sz="0" w:space="0" w:color="auto"/>
              </w:divBdr>
            </w:div>
          </w:divsChild>
        </w:div>
        <w:div w:id="2083020190">
          <w:marLeft w:val="0"/>
          <w:marRight w:val="0"/>
          <w:marTop w:val="0"/>
          <w:marBottom w:val="0"/>
          <w:divBdr>
            <w:top w:val="none" w:sz="0" w:space="0" w:color="auto"/>
            <w:left w:val="none" w:sz="0" w:space="0" w:color="auto"/>
            <w:bottom w:val="none" w:sz="0" w:space="0" w:color="auto"/>
            <w:right w:val="none" w:sz="0" w:space="0" w:color="auto"/>
          </w:divBdr>
          <w:divsChild>
            <w:div w:id="897321367">
              <w:marLeft w:val="0"/>
              <w:marRight w:val="0"/>
              <w:marTop w:val="0"/>
              <w:marBottom w:val="0"/>
              <w:divBdr>
                <w:top w:val="none" w:sz="0" w:space="0" w:color="auto"/>
                <w:left w:val="none" w:sz="0" w:space="0" w:color="auto"/>
                <w:bottom w:val="none" w:sz="0" w:space="0" w:color="auto"/>
                <w:right w:val="none" w:sz="0" w:space="0" w:color="auto"/>
              </w:divBdr>
            </w:div>
          </w:divsChild>
        </w:div>
        <w:div w:id="2083023306">
          <w:marLeft w:val="0"/>
          <w:marRight w:val="0"/>
          <w:marTop w:val="0"/>
          <w:marBottom w:val="0"/>
          <w:divBdr>
            <w:top w:val="none" w:sz="0" w:space="0" w:color="auto"/>
            <w:left w:val="none" w:sz="0" w:space="0" w:color="auto"/>
            <w:bottom w:val="none" w:sz="0" w:space="0" w:color="auto"/>
            <w:right w:val="none" w:sz="0" w:space="0" w:color="auto"/>
          </w:divBdr>
          <w:divsChild>
            <w:div w:id="309755002">
              <w:marLeft w:val="0"/>
              <w:marRight w:val="0"/>
              <w:marTop w:val="0"/>
              <w:marBottom w:val="0"/>
              <w:divBdr>
                <w:top w:val="none" w:sz="0" w:space="0" w:color="auto"/>
                <w:left w:val="none" w:sz="0" w:space="0" w:color="auto"/>
                <w:bottom w:val="none" w:sz="0" w:space="0" w:color="auto"/>
                <w:right w:val="none" w:sz="0" w:space="0" w:color="auto"/>
              </w:divBdr>
            </w:div>
          </w:divsChild>
        </w:div>
        <w:div w:id="2134321704">
          <w:marLeft w:val="0"/>
          <w:marRight w:val="0"/>
          <w:marTop w:val="0"/>
          <w:marBottom w:val="0"/>
          <w:divBdr>
            <w:top w:val="none" w:sz="0" w:space="0" w:color="auto"/>
            <w:left w:val="none" w:sz="0" w:space="0" w:color="auto"/>
            <w:bottom w:val="none" w:sz="0" w:space="0" w:color="auto"/>
            <w:right w:val="none" w:sz="0" w:space="0" w:color="auto"/>
          </w:divBdr>
          <w:divsChild>
            <w:div w:id="123081691">
              <w:marLeft w:val="0"/>
              <w:marRight w:val="0"/>
              <w:marTop w:val="0"/>
              <w:marBottom w:val="0"/>
              <w:divBdr>
                <w:top w:val="none" w:sz="0" w:space="0" w:color="auto"/>
                <w:left w:val="none" w:sz="0" w:space="0" w:color="auto"/>
                <w:bottom w:val="none" w:sz="0" w:space="0" w:color="auto"/>
                <w:right w:val="none" w:sz="0" w:space="0" w:color="auto"/>
              </w:divBdr>
            </w:div>
            <w:div w:id="353045830">
              <w:marLeft w:val="0"/>
              <w:marRight w:val="0"/>
              <w:marTop w:val="0"/>
              <w:marBottom w:val="0"/>
              <w:divBdr>
                <w:top w:val="none" w:sz="0" w:space="0" w:color="auto"/>
                <w:left w:val="none" w:sz="0" w:space="0" w:color="auto"/>
                <w:bottom w:val="none" w:sz="0" w:space="0" w:color="auto"/>
                <w:right w:val="none" w:sz="0" w:space="0" w:color="auto"/>
              </w:divBdr>
            </w:div>
            <w:div w:id="749541357">
              <w:marLeft w:val="0"/>
              <w:marRight w:val="0"/>
              <w:marTop w:val="0"/>
              <w:marBottom w:val="0"/>
              <w:divBdr>
                <w:top w:val="none" w:sz="0" w:space="0" w:color="auto"/>
                <w:left w:val="none" w:sz="0" w:space="0" w:color="auto"/>
                <w:bottom w:val="none" w:sz="0" w:space="0" w:color="auto"/>
                <w:right w:val="none" w:sz="0" w:space="0" w:color="auto"/>
              </w:divBdr>
            </w:div>
            <w:div w:id="883908385">
              <w:marLeft w:val="0"/>
              <w:marRight w:val="0"/>
              <w:marTop w:val="0"/>
              <w:marBottom w:val="0"/>
              <w:divBdr>
                <w:top w:val="none" w:sz="0" w:space="0" w:color="auto"/>
                <w:left w:val="none" w:sz="0" w:space="0" w:color="auto"/>
                <w:bottom w:val="none" w:sz="0" w:space="0" w:color="auto"/>
                <w:right w:val="none" w:sz="0" w:space="0" w:color="auto"/>
              </w:divBdr>
            </w:div>
            <w:div w:id="957444834">
              <w:marLeft w:val="0"/>
              <w:marRight w:val="0"/>
              <w:marTop w:val="0"/>
              <w:marBottom w:val="0"/>
              <w:divBdr>
                <w:top w:val="none" w:sz="0" w:space="0" w:color="auto"/>
                <w:left w:val="none" w:sz="0" w:space="0" w:color="auto"/>
                <w:bottom w:val="none" w:sz="0" w:space="0" w:color="auto"/>
                <w:right w:val="none" w:sz="0" w:space="0" w:color="auto"/>
              </w:divBdr>
            </w:div>
            <w:div w:id="1051465963">
              <w:marLeft w:val="0"/>
              <w:marRight w:val="0"/>
              <w:marTop w:val="0"/>
              <w:marBottom w:val="0"/>
              <w:divBdr>
                <w:top w:val="none" w:sz="0" w:space="0" w:color="auto"/>
                <w:left w:val="none" w:sz="0" w:space="0" w:color="auto"/>
                <w:bottom w:val="none" w:sz="0" w:space="0" w:color="auto"/>
                <w:right w:val="none" w:sz="0" w:space="0" w:color="auto"/>
              </w:divBdr>
            </w:div>
            <w:div w:id="1153372864">
              <w:marLeft w:val="0"/>
              <w:marRight w:val="0"/>
              <w:marTop w:val="0"/>
              <w:marBottom w:val="0"/>
              <w:divBdr>
                <w:top w:val="none" w:sz="0" w:space="0" w:color="auto"/>
                <w:left w:val="none" w:sz="0" w:space="0" w:color="auto"/>
                <w:bottom w:val="none" w:sz="0" w:space="0" w:color="auto"/>
                <w:right w:val="none" w:sz="0" w:space="0" w:color="auto"/>
              </w:divBdr>
            </w:div>
            <w:div w:id="1453207162">
              <w:marLeft w:val="0"/>
              <w:marRight w:val="0"/>
              <w:marTop w:val="0"/>
              <w:marBottom w:val="0"/>
              <w:divBdr>
                <w:top w:val="none" w:sz="0" w:space="0" w:color="auto"/>
                <w:left w:val="none" w:sz="0" w:space="0" w:color="auto"/>
                <w:bottom w:val="none" w:sz="0" w:space="0" w:color="auto"/>
                <w:right w:val="none" w:sz="0" w:space="0" w:color="auto"/>
              </w:divBdr>
            </w:div>
            <w:div w:id="1541551493">
              <w:marLeft w:val="0"/>
              <w:marRight w:val="0"/>
              <w:marTop w:val="0"/>
              <w:marBottom w:val="0"/>
              <w:divBdr>
                <w:top w:val="none" w:sz="0" w:space="0" w:color="auto"/>
                <w:left w:val="none" w:sz="0" w:space="0" w:color="auto"/>
                <w:bottom w:val="none" w:sz="0" w:space="0" w:color="auto"/>
                <w:right w:val="none" w:sz="0" w:space="0" w:color="auto"/>
              </w:divBdr>
            </w:div>
            <w:div w:id="1814371996">
              <w:marLeft w:val="0"/>
              <w:marRight w:val="0"/>
              <w:marTop w:val="0"/>
              <w:marBottom w:val="0"/>
              <w:divBdr>
                <w:top w:val="none" w:sz="0" w:space="0" w:color="auto"/>
                <w:left w:val="none" w:sz="0" w:space="0" w:color="auto"/>
                <w:bottom w:val="none" w:sz="0" w:space="0" w:color="auto"/>
                <w:right w:val="none" w:sz="0" w:space="0" w:color="auto"/>
              </w:divBdr>
            </w:div>
            <w:div w:id="203090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07080">
      <w:bodyDiv w:val="1"/>
      <w:marLeft w:val="0"/>
      <w:marRight w:val="0"/>
      <w:marTop w:val="0"/>
      <w:marBottom w:val="0"/>
      <w:divBdr>
        <w:top w:val="none" w:sz="0" w:space="0" w:color="auto"/>
        <w:left w:val="none" w:sz="0" w:space="0" w:color="auto"/>
        <w:bottom w:val="none" w:sz="0" w:space="0" w:color="auto"/>
        <w:right w:val="none" w:sz="0" w:space="0" w:color="auto"/>
      </w:divBdr>
    </w:div>
    <w:div w:id="451091561">
      <w:bodyDiv w:val="1"/>
      <w:marLeft w:val="0"/>
      <w:marRight w:val="0"/>
      <w:marTop w:val="0"/>
      <w:marBottom w:val="0"/>
      <w:divBdr>
        <w:top w:val="none" w:sz="0" w:space="0" w:color="auto"/>
        <w:left w:val="none" w:sz="0" w:space="0" w:color="auto"/>
        <w:bottom w:val="none" w:sz="0" w:space="0" w:color="auto"/>
        <w:right w:val="none" w:sz="0" w:space="0" w:color="auto"/>
      </w:divBdr>
    </w:div>
    <w:div w:id="471481816">
      <w:bodyDiv w:val="1"/>
      <w:marLeft w:val="0"/>
      <w:marRight w:val="0"/>
      <w:marTop w:val="0"/>
      <w:marBottom w:val="0"/>
      <w:divBdr>
        <w:top w:val="none" w:sz="0" w:space="0" w:color="auto"/>
        <w:left w:val="none" w:sz="0" w:space="0" w:color="auto"/>
        <w:bottom w:val="none" w:sz="0" w:space="0" w:color="auto"/>
        <w:right w:val="none" w:sz="0" w:space="0" w:color="auto"/>
      </w:divBdr>
      <w:divsChild>
        <w:div w:id="429473649">
          <w:marLeft w:val="0"/>
          <w:marRight w:val="0"/>
          <w:marTop w:val="0"/>
          <w:marBottom w:val="0"/>
          <w:divBdr>
            <w:top w:val="none" w:sz="0" w:space="0" w:color="auto"/>
            <w:left w:val="none" w:sz="0" w:space="0" w:color="auto"/>
            <w:bottom w:val="none" w:sz="0" w:space="0" w:color="auto"/>
            <w:right w:val="none" w:sz="0" w:space="0" w:color="auto"/>
          </w:divBdr>
        </w:div>
        <w:div w:id="877661609">
          <w:marLeft w:val="0"/>
          <w:marRight w:val="0"/>
          <w:marTop w:val="0"/>
          <w:marBottom w:val="0"/>
          <w:divBdr>
            <w:top w:val="none" w:sz="0" w:space="0" w:color="auto"/>
            <w:left w:val="none" w:sz="0" w:space="0" w:color="auto"/>
            <w:bottom w:val="none" w:sz="0" w:space="0" w:color="auto"/>
            <w:right w:val="none" w:sz="0" w:space="0" w:color="auto"/>
          </w:divBdr>
        </w:div>
        <w:div w:id="944311062">
          <w:marLeft w:val="0"/>
          <w:marRight w:val="0"/>
          <w:marTop w:val="0"/>
          <w:marBottom w:val="0"/>
          <w:divBdr>
            <w:top w:val="none" w:sz="0" w:space="0" w:color="auto"/>
            <w:left w:val="none" w:sz="0" w:space="0" w:color="auto"/>
            <w:bottom w:val="none" w:sz="0" w:space="0" w:color="auto"/>
            <w:right w:val="none" w:sz="0" w:space="0" w:color="auto"/>
          </w:divBdr>
        </w:div>
        <w:div w:id="1140881735">
          <w:marLeft w:val="0"/>
          <w:marRight w:val="0"/>
          <w:marTop w:val="0"/>
          <w:marBottom w:val="0"/>
          <w:divBdr>
            <w:top w:val="none" w:sz="0" w:space="0" w:color="auto"/>
            <w:left w:val="none" w:sz="0" w:space="0" w:color="auto"/>
            <w:bottom w:val="none" w:sz="0" w:space="0" w:color="auto"/>
            <w:right w:val="none" w:sz="0" w:space="0" w:color="auto"/>
          </w:divBdr>
        </w:div>
        <w:div w:id="2119637392">
          <w:marLeft w:val="0"/>
          <w:marRight w:val="0"/>
          <w:marTop w:val="0"/>
          <w:marBottom w:val="0"/>
          <w:divBdr>
            <w:top w:val="none" w:sz="0" w:space="0" w:color="auto"/>
            <w:left w:val="none" w:sz="0" w:space="0" w:color="auto"/>
            <w:bottom w:val="none" w:sz="0" w:space="0" w:color="auto"/>
            <w:right w:val="none" w:sz="0" w:space="0" w:color="auto"/>
          </w:divBdr>
        </w:div>
      </w:divsChild>
    </w:div>
    <w:div w:id="479932397">
      <w:bodyDiv w:val="1"/>
      <w:marLeft w:val="0"/>
      <w:marRight w:val="0"/>
      <w:marTop w:val="0"/>
      <w:marBottom w:val="0"/>
      <w:divBdr>
        <w:top w:val="none" w:sz="0" w:space="0" w:color="auto"/>
        <w:left w:val="none" w:sz="0" w:space="0" w:color="auto"/>
        <w:bottom w:val="none" w:sz="0" w:space="0" w:color="auto"/>
        <w:right w:val="none" w:sz="0" w:space="0" w:color="auto"/>
      </w:divBdr>
      <w:divsChild>
        <w:div w:id="1794706987">
          <w:marLeft w:val="0"/>
          <w:marRight w:val="0"/>
          <w:marTop w:val="0"/>
          <w:marBottom w:val="0"/>
          <w:divBdr>
            <w:top w:val="none" w:sz="0" w:space="0" w:color="auto"/>
            <w:left w:val="none" w:sz="0" w:space="0" w:color="auto"/>
            <w:bottom w:val="none" w:sz="0" w:space="0" w:color="auto"/>
            <w:right w:val="none" w:sz="0" w:space="0" w:color="auto"/>
          </w:divBdr>
          <w:divsChild>
            <w:div w:id="1654524935">
              <w:marLeft w:val="0"/>
              <w:marRight w:val="0"/>
              <w:marTop w:val="0"/>
              <w:marBottom w:val="0"/>
              <w:divBdr>
                <w:top w:val="none" w:sz="0" w:space="0" w:color="auto"/>
                <w:left w:val="none" w:sz="0" w:space="0" w:color="auto"/>
                <w:bottom w:val="none" w:sz="0" w:space="0" w:color="auto"/>
                <w:right w:val="none" w:sz="0" w:space="0" w:color="auto"/>
              </w:divBdr>
              <w:divsChild>
                <w:div w:id="438374310">
                  <w:marLeft w:val="0"/>
                  <w:marRight w:val="0"/>
                  <w:marTop w:val="0"/>
                  <w:marBottom w:val="0"/>
                  <w:divBdr>
                    <w:top w:val="none" w:sz="0" w:space="0" w:color="auto"/>
                    <w:left w:val="none" w:sz="0" w:space="0" w:color="auto"/>
                    <w:bottom w:val="none" w:sz="0" w:space="0" w:color="auto"/>
                    <w:right w:val="none" w:sz="0" w:space="0" w:color="auto"/>
                  </w:divBdr>
                  <w:divsChild>
                    <w:div w:id="9631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477286">
      <w:bodyDiv w:val="1"/>
      <w:marLeft w:val="0"/>
      <w:marRight w:val="0"/>
      <w:marTop w:val="0"/>
      <w:marBottom w:val="0"/>
      <w:divBdr>
        <w:top w:val="none" w:sz="0" w:space="0" w:color="auto"/>
        <w:left w:val="none" w:sz="0" w:space="0" w:color="auto"/>
        <w:bottom w:val="none" w:sz="0" w:space="0" w:color="auto"/>
        <w:right w:val="none" w:sz="0" w:space="0" w:color="auto"/>
      </w:divBdr>
    </w:div>
    <w:div w:id="489057298">
      <w:bodyDiv w:val="1"/>
      <w:marLeft w:val="0"/>
      <w:marRight w:val="0"/>
      <w:marTop w:val="0"/>
      <w:marBottom w:val="0"/>
      <w:divBdr>
        <w:top w:val="none" w:sz="0" w:space="0" w:color="auto"/>
        <w:left w:val="none" w:sz="0" w:space="0" w:color="auto"/>
        <w:bottom w:val="none" w:sz="0" w:space="0" w:color="auto"/>
        <w:right w:val="none" w:sz="0" w:space="0" w:color="auto"/>
      </w:divBdr>
      <w:divsChild>
        <w:div w:id="1042511944">
          <w:marLeft w:val="0"/>
          <w:marRight w:val="0"/>
          <w:marTop w:val="0"/>
          <w:marBottom w:val="0"/>
          <w:divBdr>
            <w:top w:val="none" w:sz="0" w:space="0" w:color="auto"/>
            <w:left w:val="none" w:sz="0" w:space="0" w:color="auto"/>
            <w:bottom w:val="none" w:sz="0" w:space="0" w:color="auto"/>
            <w:right w:val="none" w:sz="0" w:space="0" w:color="auto"/>
          </w:divBdr>
          <w:divsChild>
            <w:div w:id="585768677">
              <w:marLeft w:val="0"/>
              <w:marRight w:val="0"/>
              <w:marTop w:val="0"/>
              <w:marBottom w:val="0"/>
              <w:divBdr>
                <w:top w:val="none" w:sz="0" w:space="0" w:color="auto"/>
                <w:left w:val="none" w:sz="0" w:space="0" w:color="auto"/>
                <w:bottom w:val="none" w:sz="0" w:space="0" w:color="auto"/>
                <w:right w:val="none" w:sz="0" w:space="0" w:color="auto"/>
              </w:divBdr>
              <w:divsChild>
                <w:div w:id="1388724860">
                  <w:marLeft w:val="0"/>
                  <w:marRight w:val="0"/>
                  <w:marTop w:val="0"/>
                  <w:marBottom w:val="0"/>
                  <w:divBdr>
                    <w:top w:val="none" w:sz="0" w:space="0" w:color="auto"/>
                    <w:left w:val="none" w:sz="0" w:space="0" w:color="auto"/>
                    <w:bottom w:val="none" w:sz="0" w:space="0" w:color="auto"/>
                    <w:right w:val="none" w:sz="0" w:space="0" w:color="auto"/>
                  </w:divBdr>
                  <w:divsChild>
                    <w:div w:id="1610162988">
                      <w:marLeft w:val="0"/>
                      <w:marRight w:val="0"/>
                      <w:marTop w:val="0"/>
                      <w:marBottom w:val="0"/>
                      <w:divBdr>
                        <w:top w:val="none" w:sz="0" w:space="0" w:color="auto"/>
                        <w:left w:val="none" w:sz="0" w:space="0" w:color="auto"/>
                        <w:bottom w:val="none" w:sz="0" w:space="0" w:color="auto"/>
                        <w:right w:val="none" w:sz="0" w:space="0" w:color="auto"/>
                      </w:divBdr>
                      <w:divsChild>
                        <w:div w:id="132870982">
                          <w:marLeft w:val="0"/>
                          <w:marRight w:val="0"/>
                          <w:marTop w:val="0"/>
                          <w:marBottom w:val="0"/>
                          <w:divBdr>
                            <w:top w:val="none" w:sz="0" w:space="0" w:color="auto"/>
                            <w:left w:val="none" w:sz="0" w:space="0" w:color="auto"/>
                            <w:bottom w:val="none" w:sz="0" w:space="0" w:color="auto"/>
                            <w:right w:val="none" w:sz="0" w:space="0" w:color="auto"/>
                          </w:divBdr>
                          <w:divsChild>
                            <w:div w:id="50444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214724">
      <w:bodyDiv w:val="1"/>
      <w:marLeft w:val="0"/>
      <w:marRight w:val="0"/>
      <w:marTop w:val="0"/>
      <w:marBottom w:val="0"/>
      <w:divBdr>
        <w:top w:val="none" w:sz="0" w:space="0" w:color="auto"/>
        <w:left w:val="none" w:sz="0" w:space="0" w:color="auto"/>
        <w:bottom w:val="none" w:sz="0" w:space="0" w:color="auto"/>
        <w:right w:val="none" w:sz="0" w:space="0" w:color="auto"/>
      </w:divBdr>
    </w:div>
    <w:div w:id="493182784">
      <w:bodyDiv w:val="1"/>
      <w:marLeft w:val="0"/>
      <w:marRight w:val="0"/>
      <w:marTop w:val="0"/>
      <w:marBottom w:val="0"/>
      <w:divBdr>
        <w:top w:val="none" w:sz="0" w:space="0" w:color="auto"/>
        <w:left w:val="none" w:sz="0" w:space="0" w:color="auto"/>
        <w:bottom w:val="none" w:sz="0" w:space="0" w:color="auto"/>
        <w:right w:val="none" w:sz="0" w:space="0" w:color="auto"/>
      </w:divBdr>
    </w:div>
    <w:div w:id="495001086">
      <w:bodyDiv w:val="1"/>
      <w:marLeft w:val="0"/>
      <w:marRight w:val="0"/>
      <w:marTop w:val="0"/>
      <w:marBottom w:val="0"/>
      <w:divBdr>
        <w:top w:val="none" w:sz="0" w:space="0" w:color="auto"/>
        <w:left w:val="none" w:sz="0" w:space="0" w:color="auto"/>
        <w:bottom w:val="none" w:sz="0" w:space="0" w:color="auto"/>
        <w:right w:val="none" w:sz="0" w:space="0" w:color="auto"/>
      </w:divBdr>
    </w:div>
    <w:div w:id="498884376">
      <w:bodyDiv w:val="1"/>
      <w:marLeft w:val="0"/>
      <w:marRight w:val="0"/>
      <w:marTop w:val="0"/>
      <w:marBottom w:val="0"/>
      <w:divBdr>
        <w:top w:val="none" w:sz="0" w:space="0" w:color="auto"/>
        <w:left w:val="none" w:sz="0" w:space="0" w:color="auto"/>
        <w:bottom w:val="none" w:sz="0" w:space="0" w:color="auto"/>
        <w:right w:val="none" w:sz="0" w:space="0" w:color="auto"/>
      </w:divBdr>
      <w:divsChild>
        <w:div w:id="133301933">
          <w:marLeft w:val="0"/>
          <w:marRight w:val="0"/>
          <w:marTop w:val="0"/>
          <w:marBottom w:val="0"/>
          <w:divBdr>
            <w:top w:val="none" w:sz="0" w:space="0" w:color="auto"/>
            <w:left w:val="none" w:sz="0" w:space="0" w:color="auto"/>
            <w:bottom w:val="none" w:sz="0" w:space="0" w:color="auto"/>
            <w:right w:val="none" w:sz="0" w:space="0" w:color="auto"/>
          </w:divBdr>
        </w:div>
      </w:divsChild>
    </w:div>
    <w:div w:id="501164974">
      <w:bodyDiv w:val="1"/>
      <w:marLeft w:val="0"/>
      <w:marRight w:val="0"/>
      <w:marTop w:val="0"/>
      <w:marBottom w:val="0"/>
      <w:divBdr>
        <w:top w:val="none" w:sz="0" w:space="0" w:color="auto"/>
        <w:left w:val="none" w:sz="0" w:space="0" w:color="auto"/>
        <w:bottom w:val="none" w:sz="0" w:space="0" w:color="auto"/>
        <w:right w:val="none" w:sz="0" w:space="0" w:color="auto"/>
      </w:divBdr>
      <w:divsChild>
        <w:div w:id="1323895714">
          <w:marLeft w:val="0"/>
          <w:marRight w:val="0"/>
          <w:marTop w:val="0"/>
          <w:marBottom w:val="0"/>
          <w:divBdr>
            <w:top w:val="none" w:sz="0" w:space="0" w:color="auto"/>
            <w:left w:val="none" w:sz="0" w:space="0" w:color="auto"/>
            <w:bottom w:val="none" w:sz="0" w:space="0" w:color="auto"/>
            <w:right w:val="none" w:sz="0" w:space="0" w:color="auto"/>
          </w:divBdr>
        </w:div>
        <w:div w:id="1375960637">
          <w:marLeft w:val="0"/>
          <w:marRight w:val="0"/>
          <w:marTop w:val="0"/>
          <w:marBottom w:val="0"/>
          <w:divBdr>
            <w:top w:val="none" w:sz="0" w:space="0" w:color="auto"/>
            <w:left w:val="none" w:sz="0" w:space="0" w:color="auto"/>
            <w:bottom w:val="none" w:sz="0" w:space="0" w:color="auto"/>
            <w:right w:val="none" w:sz="0" w:space="0" w:color="auto"/>
          </w:divBdr>
        </w:div>
        <w:div w:id="1840391750">
          <w:marLeft w:val="0"/>
          <w:marRight w:val="0"/>
          <w:marTop w:val="0"/>
          <w:marBottom w:val="0"/>
          <w:divBdr>
            <w:top w:val="none" w:sz="0" w:space="0" w:color="auto"/>
            <w:left w:val="none" w:sz="0" w:space="0" w:color="auto"/>
            <w:bottom w:val="none" w:sz="0" w:space="0" w:color="auto"/>
            <w:right w:val="none" w:sz="0" w:space="0" w:color="auto"/>
          </w:divBdr>
        </w:div>
      </w:divsChild>
    </w:div>
    <w:div w:id="506595743">
      <w:bodyDiv w:val="1"/>
      <w:marLeft w:val="0"/>
      <w:marRight w:val="0"/>
      <w:marTop w:val="0"/>
      <w:marBottom w:val="0"/>
      <w:divBdr>
        <w:top w:val="none" w:sz="0" w:space="0" w:color="auto"/>
        <w:left w:val="none" w:sz="0" w:space="0" w:color="auto"/>
        <w:bottom w:val="none" w:sz="0" w:space="0" w:color="auto"/>
        <w:right w:val="none" w:sz="0" w:space="0" w:color="auto"/>
      </w:divBdr>
    </w:div>
    <w:div w:id="518468955">
      <w:bodyDiv w:val="1"/>
      <w:marLeft w:val="0"/>
      <w:marRight w:val="0"/>
      <w:marTop w:val="0"/>
      <w:marBottom w:val="0"/>
      <w:divBdr>
        <w:top w:val="none" w:sz="0" w:space="0" w:color="auto"/>
        <w:left w:val="none" w:sz="0" w:space="0" w:color="auto"/>
        <w:bottom w:val="none" w:sz="0" w:space="0" w:color="auto"/>
        <w:right w:val="none" w:sz="0" w:space="0" w:color="auto"/>
      </w:divBdr>
      <w:divsChild>
        <w:div w:id="1497768528">
          <w:marLeft w:val="0"/>
          <w:marRight w:val="0"/>
          <w:marTop w:val="0"/>
          <w:marBottom w:val="0"/>
          <w:divBdr>
            <w:top w:val="none" w:sz="0" w:space="0" w:color="auto"/>
            <w:left w:val="none" w:sz="0" w:space="0" w:color="auto"/>
            <w:bottom w:val="none" w:sz="0" w:space="0" w:color="auto"/>
            <w:right w:val="none" w:sz="0" w:space="0" w:color="auto"/>
          </w:divBdr>
        </w:div>
        <w:div w:id="1631325049">
          <w:marLeft w:val="0"/>
          <w:marRight w:val="0"/>
          <w:marTop w:val="0"/>
          <w:marBottom w:val="0"/>
          <w:divBdr>
            <w:top w:val="none" w:sz="0" w:space="0" w:color="auto"/>
            <w:left w:val="none" w:sz="0" w:space="0" w:color="auto"/>
            <w:bottom w:val="none" w:sz="0" w:space="0" w:color="auto"/>
            <w:right w:val="none" w:sz="0" w:space="0" w:color="auto"/>
          </w:divBdr>
        </w:div>
        <w:div w:id="1824195597">
          <w:marLeft w:val="0"/>
          <w:marRight w:val="0"/>
          <w:marTop w:val="0"/>
          <w:marBottom w:val="0"/>
          <w:divBdr>
            <w:top w:val="none" w:sz="0" w:space="0" w:color="auto"/>
            <w:left w:val="none" w:sz="0" w:space="0" w:color="auto"/>
            <w:bottom w:val="none" w:sz="0" w:space="0" w:color="auto"/>
            <w:right w:val="none" w:sz="0" w:space="0" w:color="auto"/>
          </w:divBdr>
        </w:div>
      </w:divsChild>
    </w:div>
    <w:div w:id="520976912">
      <w:bodyDiv w:val="1"/>
      <w:marLeft w:val="0"/>
      <w:marRight w:val="0"/>
      <w:marTop w:val="0"/>
      <w:marBottom w:val="0"/>
      <w:divBdr>
        <w:top w:val="none" w:sz="0" w:space="0" w:color="auto"/>
        <w:left w:val="none" w:sz="0" w:space="0" w:color="auto"/>
        <w:bottom w:val="none" w:sz="0" w:space="0" w:color="auto"/>
        <w:right w:val="none" w:sz="0" w:space="0" w:color="auto"/>
      </w:divBdr>
    </w:div>
    <w:div w:id="521555640">
      <w:bodyDiv w:val="1"/>
      <w:marLeft w:val="0"/>
      <w:marRight w:val="0"/>
      <w:marTop w:val="0"/>
      <w:marBottom w:val="0"/>
      <w:divBdr>
        <w:top w:val="none" w:sz="0" w:space="0" w:color="auto"/>
        <w:left w:val="none" w:sz="0" w:space="0" w:color="auto"/>
        <w:bottom w:val="none" w:sz="0" w:space="0" w:color="auto"/>
        <w:right w:val="none" w:sz="0" w:space="0" w:color="auto"/>
      </w:divBdr>
    </w:div>
    <w:div w:id="522473656">
      <w:bodyDiv w:val="1"/>
      <w:marLeft w:val="0"/>
      <w:marRight w:val="0"/>
      <w:marTop w:val="0"/>
      <w:marBottom w:val="0"/>
      <w:divBdr>
        <w:top w:val="none" w:sz="0" w:space="0" w:color="auto"/>
        <w:left w:val="none" w:sz="0" w:space="0" w:color="auto"/>
        <w:bottom w:val="none" w:sz="0" w:space="0" w:color="auto"/>
        <w:right w:val="none" w:sz="0" w:space="0" w:color="auto"/>
      </w:divBdr>
    </w:div>
    <w:div w:id="529611899">
      <w:bodyDiv w:val="1"/>
      <w:marLeft w:val="0"/>
      <w:marRight w:val="0"/>
      <w:marTop w:val="0"/>
      <w:marBottom w:val="0"/>
      <w:divBdr>
        <w:top w:val="none" w:sz="0" w:space="0" w:color="auto"/>
        <w:left w:val="none" w:sz="0" w:space="0" w:color="auto"/>
        <w:bottom w:val="none" w:sz="0" w:space="0" w:color="auto"/>
        <w:right w:val="none" w:sz="0" w:space="0" w:color="auto"/>
      </w:divBdr>
      <w:divsChild>
        <w:div w:id="429200763">
          <w:marLeft w:val="0"/>
          <w:marRight w:val="0"/>
          <w:marTop w:val="0"/>
          <w:marBottom w:val="0"/>
          <w:divBdr>
            <w:top w:val="none" w:sz="0" w:space="0" w:color="auto"/>
            <w:left w:val="none" w:sz="0" w:space="0" w:color="auto"/>
            <w:bottom w:val="none" w:sz="0" w:space="0" w:color="auto"/>
            <w:right w:val="none" w:sz="0" w:space="0" w:color="auto"/>
          </w:divBdr>
          <w:divsChild>
            <w:div w:id="7560376">
              <w:marLeft w:val="0"/>
              <w:marRight w:val="0"/>
              <w:marTop w:val="0"/>
              <w:marBottom w:val="0"/>
              <w:divBdr>
                <w:top w:val="none" w:sz="0" w:space="0" w:color="auto"/>
                <w:left w:val="none" w:sz="0" w:space="0" w:color="auto"/>
                <w:bottom w:val="none" w:sz="0" w:space="0" w:color="auto"/>
                <w:right w:val="none" w:sz="0" w:space="0" w:color="auto"/>
              </w:divBdr>
              <w:divsChild>
                <w:div w:id="1381982031">
                  <w:marLeft w:val="0"/>
                  <w:marRight w:val="0"/>
                  <w:marTop w:val="0"/>
                  <w:marBottom w:val="0"/>
                  <w:divBdr>
                    <w:top w:val="none" w:sz="0" w:space="0" w:color="auto"/>
                    <w:left w:val="none" w:sz="0" w:space="0" w:color="auto"/>
                    <w:bottom w:val="none" w:sz="0" w:space="0" w:color="auto"/>
                    <w:right w:val="none" w:sz="0" w:space="0" w:color="auto"/>
                  </w:divBdr>
                  <w:divsChild>
                    <w:div w:id="36200690">
                      <w:marLeft w:val="0"/>
                      <w:marRight w:val="0"/>
                      <w:marTop w:val="0"/>
                      <w:marBottom w:val="0"/>
                      <w:divBdr>
                        <w:top w:val="none" w:sz="0" w:space="0" w:color="auto"/>
                        <w:left w:val="none" w:sz="0" w:space="0" w:color="auto"/>
                        <w:bottom w:val="none" w:sz="0" w:space="0" w:color="auto"/>
                        <w:right w:val="none" w:sz="0" w:space="0" w:color="auto"/>
                      </w:divBdr>
                      <w:divsChild>
                        <w:div w:id="889464851">
                          <w:marLeft w:val="0"/>
                          <w:marRight w:val="0"/>
                          <w:marTop w:val="0"/>
                          <w:marBottom w:val="0"/>
                          <w:divBdr>
                            <w:top w:val="none" w:sz="0" w:space="0" w:color="auto"/>
                            <w:left w:val="none" w:sz="0" w:space="0" w:color="auto"/>
                            <w:bottom w:val="none" w:sz="0" w:space="0" w:color="auto"/>
                            <w:right w:val="none" w:sz="0" w:space="0" w:color="auto"/>
                          </w:divBdr>
                          <w:divsChild>
                            <w:div w:id="8580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366198">
      <w:bodyDiv w:val="1"/>
      <w:marLeft w:val="0"/>
      <w:marRight w:val="0"/>
      <w:marTop w:val="0"/>
      <w:marBottom w:val="0"/>
      <w:divBdr>
        <w:top w:val="none" w:sz="0" w:space="0" w:color="auto"/>
        <w:left w:val="none" w:sz="0" w:space="0" w:color="auto"/>
        <w:bottom w:val="none" w:sz="0" w:space="0" w:color="auto"/>
        <w:right w:val="none" w:sz="0" w:space="0" w:color="auto"/>
      </w:divBdr>
    </w:div>
    <w:div w:id="547573642">
      <w:bodyDiv w:val="1"/>
      <w:marLeft w:val="0"/>
      <w:marRight w:val="0"/>
      <w:marTop w:val="0"/>
      <w:marBottom w:val="0"/>
      <w:divBdr>
        <w:top w:val="none" w:sz="0" w:space="0" w:color="auto"/>
        <w:left w:val="none" w:sz="0" w:space="0" w:color="auto"/>
        <w:bottom w:val="none" w:sz="0" w:space="0" w:color="auto"/>
        <w:right w:val="none" w:sz="0" w:space="0" w:color="auto"/>
      </w:divBdr>
      <w:divsChild>
        <w:div w:id="1981155933">
          <w:marLeft w:val="0"/>
          <w:marRight w:val="0"/>
          <w:marTop w:val="0"/>
          <w:marBottom w:val="0"/>
          <w:divBdr>
            <w:top w:val="none" w:sz="0" w:space="0" w:color="auto"/>
            <w:left w:val="none" w:sz="0" w:space="0" w:color="auto"/>
            <w:bottom w:val="none" w:sz="0" w:space="0" w:color="auto"/>
            <w:right w:val="none" w:sz="0" w:space="0" w:color="auto"/>
          </w:divBdr>
          <w:divsChild>
            <w:div w:id="1628852483">
              <w:marLeft w:val="0"/>
              <w:marRight w:val="0"/>
              <w:marTop w:val="0"/>
              <w:marBottom w:val="0"/>
              <w:divBdr>
                <w:top w:val="none" w:sz="0" w:space="0" w:color="auto"/>
                <w:left w:val="none" w:sz="0" w:space="0" w:color="auto"/>
                <w:bottom w:val="none" w:sz="0" w:space="0" w:color="auto"/>
                <w:right w:val="none" w:sz="0" w:space="0" w:color="auto"/>
              </w:divBdr>
              <w:divsChild>
                <w:div w:id="1352949118">
                  <w:marLeft w:val="0"/>
                  <w:marRight w:val="0"/>
                  <w:marTop w:val="0"/>
                  <w:marBottom w:val="0"/>
                  <w:divBdr>
                    <w:top w:val="none" w:sz="0" w:space="0" w:color="auto"/>
                    <w:left w:val="none" w:sz="0" w:space="0" w:color="auto"/>
                    <w:bottom w:val="none" w:sz="0" w:space="0" w:color="auto"/>
                    <w:right w:val="none" w:sz="0" w:space="0" w:color="auto"/>
                  </w:divBdr>
                  <w:divsChild>
                    <w:div w:id="286670007">
                      <w:marLeft w:val="0"/>
                      <w:marRight w:val="0"/>
                      <w:marTop w:val="0"/>
                      <w:marBottom w:val="0"/>
                      <w:divBdr>
                        <w:top w:val="none" w:sz="0" w:space="0" w:color="auto"/>
                        <w:left w:val="none" w:sz="0" w:space="0" w:color="auto"/>
                        <w:bottom w:val="none" w:sz="0" w:space="0" w:color="auto"/>
                        <w:right w:val="none" w:sz="0" w:space="0" w:color="auto"/>
                      </w:divBdr>
                      <w:divsChild>
                        <w:div w:id="183464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761742">
      <w:bodyDiv w:val="1"/>
      <w:marLeft w:val="0"/>
      <w:marRight w:val="0"/>
      <w:marTop w:val="0"/>
      <w:marBottom w:val="0"/>
      <w:divBdr>
        <w:top w:val="none" w:sz="0" w:space="0" w:color="auto"/>
        <w:left w:val="none" w:sz="0" w:space="0" w:color="auto"/>
        <w:bottom w:val="none" w:sz="0" w:space="0" w:color="auto"/>
        <w:right w:val="none" w:sz="0" w:space="0" w:color="auto"/>
      </w:divBdr>
    </w:div>
    <w:div w:id="549149420">
      <w:bodyDiv w:val="1"/>
      <w:marLeft w:val="0"/>
      <w:marRight w:val="0"/>
      <w:marTop w:val="0"/>
      <w:marBottom w:val="0"/>
      <w:divBdr>
        <w:top w:val="none" w:sz="0" w:space="0" w:color="auto"/>
        <w:left w:val="none" w:sz="0" w:space="0" w:color="auto"/>
        <w:bottom w:val="none" w:sz="0" w:space="0" w:color="auto"/>
        <w:right w:val="none" w:sz="0" w:space="0" w:color="auto"/>
      </w:divBdr>
    </w:div>
    <w:div w:id="553542985">
      <w:bodyDiv w:val="1"/>
      <w:marLeft w:val="0"/>
      <w:marRight w:val="0"/>
      <w:marTop w:val="0"/>
      <w:marBottom w:val="0"/>
      <w:divBdr>
        <w:top w:val="none" w:sz="0" w:space="0" w:color="auto"/>
        <w:left w:val="none" w:sz="0" w:space="0" w:color="auto"/>
        <w:bottom w:val="none" w:sz="0" w:space="0" w:color="auto"/>
        <w:right w:val="none" w:sz="0" w:space="0" w:color="auto"/>
      </w:divBdr>
    </w:div>
    <w:div w:id="561603728">
      <w:bodyDiv w:val="1"/>
      <w:marLeft w:val="0"/>
      <w:marRight w:val="0"/>
      <w:marTop w:val="0"/>
      <w:marBottom w:val="0"/>
      <w:divBdr>
        <w:top w:val="none" w:sz="0" w:space="0" w:color="auto"/>
        <w:left w:val="none" w:sz="0" w:space="0" w:color="auto"/>
        <w:bottom w:val="none" w:sz="0" w:space="0" w:color="auto"/>
        <w:right w:val="none" w:sz="0" w:space="0" w:color="auto"/>
      </w:divBdr>
      <w:divsChild>
        <w:div w:id="18261617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219615">
      <w:bodyDiv w:val="1"/>
      <w:marLeft w:val="0"/>
      <w:marRight w:val="0"/>
      <w:marTop w:val="0"/>
      <w:marBottom w:val="0"/>
      <w:divBdr>
        <w:top w:val="none" w:sz="0" w:space="0" w:color="auto"/>
        <w:left w:val="none" w:sz="0" w:space="0" w:color="auto"/>
        <w:bottom w:val="none" w:sz="0" w:space="0" w:color="auto"/>
        <w:right w:val="none" w:sz="0" w:space="0" w:color="auto"/>
      </w:divBdr>
      <w:divsChild>
        <w:div w:id="916324523">
          <w:marLeft w:val="0"/>
          <w:marRight w:val="0"/>
          <w:marTop w:val="0"/>
          <w:marBottom w:val="0"/>
          <w:divBdr>
            <w:top w:val="none" w:sz="0" w:space="0" w:color="auto"/>
            <w:left w:val="none" w:sz="0" w:space="0" w:color="auto"/>
            <w:bottom w:val="none" w:sz="0" w:space="0" w:color="auto"/>
            <w:right w:val="none" w:sz="0" w:space="0" w:color="auto"/>
          </w:divBdr>
        </w:div>
      </w:divsChild>
    </w:div>
    <w:div w:id="566769649">
      <w:bodyDiv w:val="1"/>
      <w:marLeft w:val="0"/>
      <w:marRight w:val="0"/>
      <w:marTop w:val="0"/>
      <w:marBottom w:val="0"/>
      <w:divBdr>
        <w:top w:val="none" w:sz="0" w:space="0" w:color="auto"/>
        <w:left w:val="none" w:sz="0" w:space="0" w:color="auto"/>
        <w:bottom w:val="none" w:sz="0" w:space="0" w:color="auto"/>
        <w:right w:val="none" w:sz="0" w:space="0" w:color="auto"/>
      </w:divBdr>
    </w:div>
    <w:div w:id="572392674">
      <w:bodyDiv w:val="1"/>
      <w:marLeft w:val="0"/>
      <w:marRight w:val="0"/>
      <w:marTop w:val="0"/>
      <w:marBottom w:val="0"/>
      <w:divBdr>
        <w:top w:val="none" w:sz="0" w:space="0" w:color="auto"/>
        <w:left w:val="none" w:sz="0" w:space="0" w:color="auto"/>
        <w:bottom w:val="none" w:sz="0" w:space="0" w:color="auto"/>
        <w:right w:val="none" w:sz="0" w:space="0" w:color="auto"/>
      </w:divBdr>
    </w:div>
    <w:div w:id="583953652">
      <w:bodyDiv w:val="1"/>
      <w:marLeft w:val="0"/>
      <w:marRight w:val="0"/>
      <w:marTop w:val="0"/>
      <w:marBottom w:val="0"/>
      <w:divBdr>
        <w:top w:val="none" w:sz="0" w:space="0" w:color="auto"/>
        <w:left w:val="none" w:sz="0" w:space="0" w:color="auto"/>
        <w:bottom w:val="none" w:sz="0" w:space="0" w:color="auto"/>
        <w:right w:val="none" w:sz="0" w:space="0" w:color="auto"/>
      </w:divBdr>
      <w:divsChild>
        <w:div w:id="5787155">
          <w:marLeft w:val="0"/>
          <w:marRight w:val="0"/>
          <w:marTop w:val="0"/>
          <w:marBottom w:val="0"/>
          <w:divBdr>
            <w:top w:val="none" w:sz="0" w:space="0" w:color="auto"/>
            <w:left w:val="none" w:sz="0" w:space="0" w:color="auto"/>
            <w:bottom w:val="none" w:sz="0" w:space="0" w:color="auto"/>
            <w:right w:val="none" w:sz="0" w:space="0" w:color="auto"/>
          </w:divBdr>
          <w:divsChild>
            <w:div w:id="1844398232">
              <w:marLeft w:val="0"/>
              <w:marRight w:val="0"/>
              <w:marTop w:val="0"/>
              <w:marBottom w:val="0"/>
              <w:divBdr>
                <w:top w:val="none" w:sz="0" w:space="0" w:color="auto"/>
                <w:left w:val="none" w:sz="0" w:space="0" w:color="auto"/>
                <w:bottom w:val="none" w:sz="0" w:space="0" w:color="auto"/>
                <w:right w:val="none" w:sz="0" w:space="0" w:color="auto"/>
              </w:divBdr>
            </w:div>
          </w:divsChild>
        </w:div>
        <w:div w:id="47841575">
          <w:marLeft w:val="0"/>
          <w:marRight w:val="0"/>
          <w:marTop w:val="0"/>
          <w:marBottom w:val="0"/>
          <w:divBdr>
            <w:top w:val="none" w:sz="0" w:space="0" w:color="auto"/>
            <w:left w:val="none" w:sz="0" w:space="0" w:color="auto"/>
            <w:bottom w:val="none" w:sz="0" w:space="0" w:color="auto"/>
            <w:right w:val="none" w:sz="0" w:space="0" w:color="auto"/>
          </w:divBdr>
          <w:divsChild>
            <w:div w:id="1419641859">
              <w:marLeft w:val="0"/>
              <w:marRight w:val="0"/>
              <w:marTop w:val="0"/>
              <w:marBottom w:val="0"/>
              <w:divBdr>
                <w:top w:val="none" w:sz="0" w:space="0" w:color="auto"/>
                <w:left w:val="none" w:sz="0" w:space="0" w:color="auto"/>
                <w:bottom w:val="none" w:sz="0" w:space="0" w:color="auto"/>
                <w:right w:val="none" w:sz="0" w:space="0" w:color="auto"/>
              </w:divBdr>
            </w:div>
          </w:divsChild>
        </w:div>
        <w:div w:id="160316912">
          <w:marLeft w:val="0"/>
          <w:marRight w:val="0"/>
          <w:marTop w:val="0"/>
          <w:marBottom w:val="0"/>
          <w:divBdr>
            <w:top w:val="none" w:sz="0" w:space="0" w:color="auto"/>
            <w:left w:val="none" w:sz="0" w:space="0" w:color="auto"/>
            <w:bottom w:val="none" w:sz="0" w:space="0" w:color="auto"/>
            <w:right w:val="none" w:sz="0" w:space="0" w:color="auto"/>
          </w:divBdr>
          <w:divsChild>
            <w:div w:id="1981299333">
              <w:marLeft w:val="0"/>
              <w:marRight w:val="0"/>
              <w:marTop w:val="0"/>
              <w:marBottom w:val="0"/>
              <w:divBdr>
                <w:top w:val="none" w:sz="0" w:space="0" w:color="auto"/>
                <w:left w:val="none" w:sz="0" w:space="0" w:color="auto"/>
                <w:bottom w:val="none" w:sz="0" w:space="0" w:color="auto"/>
                <w:right w:val="none" w:sz="0" w:space="0" w:color="auto"/>
              </w:divBdr>
            </w:div>
          </w:divsChild>
        </w:div>
        <w:div w:id="240876828">
          <w:marLeft w:val="0"/>
          <w:marRight w:val="0"/>
          <w:marTop w:val="0"/>
          <w:marBottom w:val="0"/>
          <w:divBdr>
            <w:top w:val="none" w:sz="0" w:space="0" w:color="auto"/>
            <w:left w:val="none" w:sz="0" w:space="0" w:color="auto"/>
            <w:bottom w:val="none" w:sz="0" w:space="0" w:color="auto"/>
            <w:right w:val="none" w:sz="0" w:space="0" w:color="auto"/>
          </w:divBdr>
          <w:divsChild>
            <w:div w:id="1567571252">
              <w:marLeft w:val="0"/>
              <w:marRight w:val="0"/>
              <w:marTop w:val="0"/>
              <w:marBottom w:val="0"/>
              <w:divBdr>
                <w:top w:val="none" w:sz="0" w:space="0" w:color="auto"/>
                <w:left w:val="none" w:sz="0" w:space="0" w:color="auto"/>
                <w:bottom w:val="none" w:sz="0" w:space="0" w:color="auto"/>
                <w:right w:val="none" w:sz="0" w:space="0" w:color="auto"/>
              </w:divBdr>
            </w:div>
          </w:divsChild>
        </w:div>
        <w:div w:id="269897658">
          <w:marLeft w:val="0"/>
          <w:marRight w:val="0"/>
          <w:marTop w:val="0"/>
          <w:marBottom w:val="0"/>
          <w:divBdr>
            <w:top w:val="none" w:sz="0" w:space="0" w:color="auto"/>
            <w:left w:val="none" w:sz="0" w:space="0" w:color="auto"/>
            <w:bottom w:val="none" w:sz="0" w:space="0" w:color="auto"/>
            <w:right w:val="none" w:sz="0" w:space="0" w:color="auto"/>
          </w:divBdr>
          <w:divsChild>
            <w:div w:id="1203977881">
              <w:marLeft w:val="0"/>
              <w:marRight w:val="0"/>
              <w:marTop w:val="0"/>
              <w:marBottom w:val="0"/>
              <w:divBdr>
                <w:top w:val="none" w:sz="0" w:space="0" w:color="auto"/>
                <w:left w:val="none" w:sz="0" w:space="0" w:color="auto"/>
                <w:bottom w:val="none" w:sz="0" w:space="0" w:color="auto"/>
                <w:right w:val="none" w:sz="0" w:space="0" w:color="auto"/>
              </w:divBdr>
            </w:div>
          </w:divsChild>
        </w:div>
        <w:div w:id="270941521">
          <w:marLeft w:val="0"/>
          <w:marRight w:val="0"/>
          <w:marTop w:val="0"/>
          <w:marBottom w:val="0"/>
          <w:divBdr>
            <w:top w:val="none" w:sz="0" w:space="0" w:color="auto"/>
            <w:left w:val="none" w:sz="0" w:space="0" w:color="auto"/>
            <w:bottom w:val="none" w:sz="0" w:space="0" w:color="auto"/>
            <w:right w:val="none" w:sz="0" w:space="0" w:color="auto"/>
          </w:divBdr>
          <w:divsChild>
            <w:div w:id="686099744">
              <w:marLeft w:val="0"/>
              <w:marRight w:val="0"/>
              <w:marTop w:val="0"/>
              <w:marBottom w:val="0"/>
              <w:divBdr>
                <w:top w:val="none" w:sz="0" w:space="0" w:color="auto"/>
                <w:left w:val="none" w:sz="0" w:space="0" w:color="auto"/>
                <w:bottom w:val="none" w:sz="0" w:space="0" w:color="auto"/>
                <w:right w:val="none" w:sz="0" w:space="0" w:color="auto"/>
              </w:divBdr>
            </w:div>
          </w:divsChild>
        </w:div>
        <w:div w:id="316149680">
          <w:marLeft w:val="0"/>
          <w:marRight w:val="0"/>
          <w:marTop w:val="0"/>
          <w:marBottom w:val="0"/>
          <w:divBdr>
            <w:top w:val="none" w:sz="0" w:space="0" w:color="auto"/>
            <w:left w:val="none" w:sz="0" w:space="0" w:color="auto"/>
            <w:bottom w:val="none" w:sz="0" w:space="0" w:color="auto"/>
            <w:right w:val="none" w:sz="0" w:space="0" w:color="auto"/>
          </w:divBdr>
          <w:divsChild>
            <w:div w:id="1163011772">
              <w:marLeft w:val="0"/>
              <w:marRight w:val="0"/>
              <w:marTop w:val="0"/>
              <w:marBottom w:val="0"/>
              <w:divBdr>
                <w:top w:val="none" w:sz="0" w:space="0" w:color="auto"/>
                <w:left w:val="none" w:sz="0" w:space="0" w:color="auto"/>
                <w:bottom w:val="none" w:sz="0" w:space="0" w:color="auto"/>
                <w:right w:val="none" w:sz="0" w:space="0" w:color="auto"/>
              </w:divBdr>
            </w:div>
          </w:divsChild>
        </w:div>
        <w:div w:id="435251728">
          <w:marLeft w:val="0"/>
          <w:marRight w:val="0"/>
          <w:marTop w:val="0"/>
          <w:marBottom w:val="0"/>
          <w:divBdr>
            <w:top w:val="none" w:sz="0" w:space="0" w:color="auto"/>
            <w:left w:val="none" w:sz="0" w:space="0" w:color="auto"/>
            <w:bottom w:val="none" w:sz="0" w:space="0" w:color="auto"/>
            <w:right w:val="none" w:sz="0" w:space="0" w:color="auto"/>
          </w:divBdr>
          <w:divsChild>
            <w:div w:id="1489176804">
              <w:marLeft w:val="0"/>
              <w:marRight w:val="0"/>
              <w:marTop w:val="0"/>
              <w:marBottom w:val="0"/>
              <w:divBdr>
                <w:top w:val="none" w:sz="0" w:space="0" w:color="auto"/>
                <w:left w:val="none" w:sz="0" w:space="0" w:color="auto"/>
                <w:bottom w:val="none" w:sz="0" w:space="0" w:color="auto"/>
                <w:right w:val="none" w:sz="0" w:space="0" w:color="auto"/>
              </w:divBdr>
            </w:div>
          </w:divsChild>
        </w:div>
        <w:div w:id="482965538">
          <w:marLeft w:val="0"/>
          <w:marRight w:val="0"/>
          <w:marTop w:val="0"/>
          <w:marBottom w:val="0"/>
          <w:divBdr>
            <w:top w:val="none" w:sz="0" w:space="0" w:color="auto"/>
            <w:left w:val="none" w:sz="0" w:space="0" w:color="auto"/>
            <w:bottom w:val="none" w:sz="0" w:space="0" w:color="auto"/>
            <w:right w:val="none" w:sz="0" w:space="0" w:color="auto"/>
          </w:divBdr>
          <w:divsChild>
            <w:div w:id="197205929">
              <w:marLeft w:val="0"/>
              <w:marRight w:val="0"/>
              <w:marTop w:val="0"/>
              <w:marBottom w:val="0"/>
              <w:divBdr>
                <w:top w:val="none" w:sz="0" w:space="0" w:color="auto"/>
                <w:left w:val="none" w:sz="0" w:space="0" w:color="auto"/>
                <w:bottom w:val="none" w:sz="0" w:space="0" w:color="auto"/>
                <w:right w:val="none" w:sz="0" w:space="0" w:color="auto"/>
              </w:divBdr>
            </w:div>
          </w:divsChild>
        </w:div>
        <w:div w:id="525292225">
          <w:marLeft w:val="0"/>
          <w:marRight w:val="0"/>
          <w:marTop w:val="0"/>
          <w:marBottom w:val="0"/>
          <w:divBdr>
            <w:top w:val="none" w:sz="0" w:space="0" w:color="auto"/>
            <w:left w:val="none" w:sz="0" w:space="0" w:color="auto"/>
            <w:bottom w:val="none" w:sz="0" w:space="0" w:color="auto"/>
            <w:right w:val="none" w:sz="0" w:space="0" w:color="auto"/>
          </w:divBdr>
          <w:divsChild>
            <w:div w:id="1097752346">
              <w:marLeft w:val="0"/>
              <w:marRight w:val="0"/>
              <w:marTop w:val="0"/>
              <w:marBottom w:val="0"/>
              <w:divBdr>
                <w:top w:val="none" w:sz="0" w:space="0" w:color="auto"/>
                <w:left w:val="none" w:sz="0" w:space="0" w:color="auto"/>
                <w:bottom w:val="none" w:sz="0" w:space="0" w:color="auto"/>
                <w:right w:val="none" w:sz="0" w:space="0" w:color="auto"/>
              </w:divBdr>
            </w:div>
          </w:divsChild>
        </w:div>
        <w:div w:id="543173164">
          <w:marLeft w:val="0"/>
          <w:marRight w:val="0"/>
          <w:marTop w:val="0"/>
          <w:marBottom w:val="0"/>
          <w:divBdr>
            <w:top w:val="none" w:sz="0" w:space="0" w:color="auto"/>
            <w:left w:val="none" w:sz="0" w:space="0" w:color="auto"/>
            <w:bottom w:val="none" w:sz="0" w:space="0" w:color="auto"/>
            <w:right w:val="none" w:sz="0" w:space="0" w:color="auto"/>
          </w:divBdr>
          <w:divsChild>
            <w:div w:id="1164708222">
              <w:marLeft w:val="0"/>
              <w:marRight w:val="0"/>
              <w:marTop w:val="0"/>
              <w:marBottom w:val="0"/>
              <w:divBdr>
                <w:top w:val="none" w:sz="0" w:space="0" w:color="auto"/>
                <w:left w:val="none" w:sz="0" w:space="0" w:color="auto"/>
                <w:bottom w:val="none" w:sz="0" w:space="0" w:color="auto"/>
                <w:right w:val="none" w:sz="0" w:space="0" w:color="auto"/>
              </w:divBdr>
            </w:div>
          </w:divsChild>
        </w:div>
        <w:div w:id="572933787">
          <w:marLeft w:val="0"/>
          <w:marRight w:val="0"/>
          <w:marTop w:val="0"/>
          <w:marBottom w:val="0"/>
          <w:divBdr>
            <w:top w:val="none" w:sz="0" w:space="0" w:color="auto"/>
            <w:left w:val="none" w:sz="0" w:space="0" w:color="auto"/>
            <w:bottom w:val="none" w:sz="0" w:space="0" w:color="auto"/>
            <w:right w:val="none" w:sz="0" w:space="0" w:color="auto"/>
          </w:divBdr>
          <w:divsChild>
            <w:div w:id="202209363">
              <w:marLeft w:val="0"/>
              <w:marRight w:val="0"/>
              <w:marTop w:val="0"/>
              <w:marBottom w:val="0"/>
              <w:divBdr>
                <w:top w:val="none" w:sz="0" w:space="0" w:color="auto"/>
                <w:left w:val="none" w:sz="0" w:space="0" w:color="auto"/>
                <w:bottom w:val="none" w:sz="0" w:space="0" w:color="auto"/>
                <w:right w:val="none" w:sz="0" w:space="0" w:color="auto"/>
              </w:divBdr>
            </w:div>
            <w:div w:id="517163518">
              <w:marLeft w:val="0"/>
              <w:marRight w:val="0"/>
              <w:marTop w:val="0"/>
              <w:marBottom w:val="0"/>
              <w:divBdr>
                <w:top w:val="none" w:sz="0" w:space="0" w:color="auto"/>
                <w:left w:val="none" w:sz="0" w:space="0" w:color="auto"/>
                <w:bottom w:val="none" w:sz="0" w:space="0" w:color="auto"/>
                <w:right w:val="none" w:sz="0" w:space="0" w:color="auto"/>
              </w:divBdr>
            </w:div>
            <w:div w:id="565845689">
              <w:marLeft w:val="0"/>
              <w:marRight w:val="0"/>
              <w:marTop w:val="0"/>
              <w:marBottom w:val="0"/>
              <w:divBdr>
                <w:top w:val="none" w:sz="0" w:space="0" w:color="auto"/>
                <w:left w:val="none" w:sz="0" w:space="0" w:color="auto"/>
                <w:bottom w:val="none" w:sz="0" w:space="0" w:color="auto"/>
                <w:right w:val="none" w:sz="0" w:space="0" w:color="auto"/>
              </w:divBdr>
            </w:div>
            <w:div w:id="590118821">
              <w:marLeft w:val="0"/>
              <w:marRight w:val="0"/>
              <w:marTop w:val="0"/>
              <w:marBottom w:val="0"/>
              <w:divBdr>
                <w:top w:val="none" w:sz="0" w:space="0" w:color="auto"/>
                <w:left w:val="none" w:sz="0" w:space="0" w:color="auto"/>
                <w:bottom w:val="none" w:sz="0" w:space="0" w:color="auto"/>
                <w:right w:val="none" w:sz="0" w:space="0" w:color="auto"/>
              </w:divBdr>
            </w:div>
            <w:div w:id="1250042426">
              <w:marLeft w:val="0"/>
              <w:marRight w:val="0"/>
              <w:marTop w:val="0"/>
              <w:marBottom w:val="0"/>
              <w:divBdr>
                <w:top w:val="none" w:sz="0" w:space="0" w:color="auto"/>
                <w:left w:val="none" w:sz="0" w:space="0" w:color="auto"/>
                <w:bottom w:val="none" w:sz="0" w:space="0" w:color="auto"/>
                <w:right w:val="none" w:sz="0" w:space="0" w:color="auto"/>
              </w:divBdr>
            </w:div>
          </w:divsChild>
        </w:div>
        <w:div w:id="614756817">
          <w:marLeft w:val="0"/>
          <w:marRight w:val="0"/>
          <w:marTop w:val="0"/>
          <w:marBottom w:val="0"/>
          <w:divBdr>
            <w:top w:val="none" w:sz="0" w:space="0" w:color="auto"/>
            <w:left w:val="none" w:sz="0" w:space="0" w:color="auto"/>
            <w:bottom w:val="none" w:sz="0" w:space="0" w:color="auto"/>
            <w:right w:val="none" w:sz="0" w:space="0" w:color="auto"/>
          </w:divBdr>
          <w:divsChild>
            <w:div w:id="937634756">
              <w:marLeft w:val="0"/>
              <w:marRight w:val="0"/>
              <w:marTop w:val="0"/>
              <w:marBottom w:val="0"/>
              <w:divBdr>
                <w:top w:val="none" w:sz="0" w:space="0" w:color="auto"/>
                <w:left w:val="none" w:sz="0" w:space="0" w:color="auto"/>
                <w:bottom w:val="none" w:sz="0" w:space="0" w:color="auto"/>
                <w:right w:val="none" w:sz="0" w:space="0" w:color="auto"/>
              </w:divBdr>
            </w:div>
          </w:divsChild>
        </w:div>
        <w:div w:id="633871750">
          <w:marLeft w:val="0"/>
          <w:marRight w:val="0"/>
          <w:marTop w:val="0"/>
          <w:marBottom w:val="0"/>
          <w:divBdr>
            <w:top w:val="none" w:sz="0" w:space="0" w:color="auto"/>
            <w:left w:val="none" w:sz="0" w:space="0" w:color="auto"/>
            <w:bottom w:val="none" w:sz="0" w:space="0" w:color="auto"/>
            <w:right w:val="none" w:sz="0" w:space="0" w:color="auto"/>
          </w:divBdr>
          <w:divsChild>
            <w:div w:id="480274838">
              <w:marLeft w:val="0"/>
              <w:marRight w:val="0"/>
              <w:marTop w:val="0"/>
              <w:marBottom w:val="0"/>
              <w:divBdr>
                <w:top w:val="none" w:sz="0" w:space="0" w:color="auto"/>
                <w:left w:val="none" w:sz="0" w:space="0" w:color="auto"/>
                <w:bottom w:val="none" w:sz="0" w:space="0" w:color="auto"/>
                <w:right w:val="none" w:sz="0" w:space="0" w:color="auto"/>
              </w:divBdr>
            </w:div>
            <w:div w:id="544023999">
              <w:marLeft w:val="0"/>
              <w:marRight w:val="0"/>
              <w:marTop w:val="0"/>
              <w:marBottom w:val="0"/>
              <w:divBdr>
                <w:top w:val="none" w:sz="0" w:space="0" w:color="auto"/>
                <w:left w:val="none" w:sz="0" w:space="0" w:color="auto"/>
                <w:bottom w:val="none" w:sz="0" w:space="0" w:color="auto"/>
                <w:right w:val="none" w:sz="0" w:space="0" w:color="auto"/>
              </w:divBdr>
            </w:div>
            <w:div w:id="1476994420">
              <w:marLeft w:val="0"/>
              <w:marRight w:val="0"/>
              <w:marTop w:val="0"/>
              <w:marBottom w:val="0"/>
              <w:divBdr>
                <w:top w:val="none" w:sz="0" w:space="0" w:color="auto"/>
                <w:left w:val="none" w:sz="0" w:space="0" w:color="auto"/>
                <w:bottom w:val="none" w:sz="0" w:space="0" w:color="auto"/>
                <w:right w:val="none" w:sz="0" w:space="0" w:color="auto"/>
              </w:divBdr>
            </w:div>
            <w:div w:id="1544754555">
              <w:marLeft w:val="0"/>
              <w:marRight w:val="0"/>
              <w:marTop w:val="0"/>
              <w:marBottom w:val="0"/>
              <w:divBdr>
                <w:top w:val="none" w:sz="0" w:space="0" w:color="auto"/>
                <w:left w:val="none" w:sz="0" w:space="0" w:color="auto"/>
                <w:bottom w:val="none" w:sz="0" w:space="0" w:color="auto"/>
                <w:right w:val="none" w:sz="0" w:space="0" w:color="auto"/>
              </w:divBdr>
            </w:div>
          </w:divsChild>
        </w:div>
        <w:div w:id="649332455">
          <w:marLeft w:val="0"/>
          <w:marRight w:val="0"/>
          <w:marTop w:val="0"/>
          <w:marBottom w:val="0"/>
          <w:divBdr>
            <w:top w:val="none" w:sz="0" w:space="0" w:color="auto"/>
            <w:left w:val="none" w:sz="0" w:space="0" w:color="auto"/>
            <w:bottom w:val="none" w:sz="0" w:space="0" w:color="auto"/>
            <w:right w:val="none" w:sz="0" w:space="0" w:color="auto"/>
          </w:divBdr>
          <w:divsChild>
            <w:div w:id="273438313">
              <w:marLeft w:val="0"/>
              <w:marRight w:val="0"/>
              <w:marTop w:val="0"/>
              <w:marBottom w:val="0"/>
              <w:divBdr>
                <w:top w:val="none" w:sz="0" w:space="0" w:color="auto"/>
                <w:left w:val="none" w:sz="0" w:space="0" w:color="auto"/>
                <w:bottom w:val="none" w:sz="0" w:space="0" w:color="auto"/>
                <w:right w:val="none" w:sz="0" w:space="0" w:color="auto"/>
              </w:divBdr>
            </w:div>
            <w:div w:id="882670621">
              <w:marLeft w:val="0"/>
              <w:marRight w:val="0"/>
              <w:marTop w:val="0"/>
              <w:marBottom w:val="0"/>
              <w:divBdr>
                <w:top w:val="none" w:sz="0" w:space="0" w:color="auto"/>
                <w:left w:val="none" w:sz="0" w:space="0" w:color="auto"/>
                <w:bottom w:val="none" w:sz="0" w:space="0" w:color="auto"/>
                <w:right w:val="none" w:sz="0" w:space="0" w:color="auto"/>
              </w:divBdr>
            </w:div>
            <w:div w:id="1069421817">
              <w:marLeft w:val="0"/>
              <w:marRight w:val="0"/>
              <w:marTop w:val="0"/>
              <w:marBottom w:val="0"/>
              <w:divBdr>
                <w:top w:val="none" w:sz="0" w:space="0" w:color="auto"/>
                <w:left w:val="none" w:sz="0" w:space="0" w:color="auto"/>
                <w:bottom w:val="none" w:sz="0" w:space="0" w:color="auto"/>
                <w:right w:val="none" w:sz="0" w:space="0" w:color="auto"/>
              </w:divBdr>
            </w:div>
          </w:divsChild>
        </w:div>
        <w:div w:id="828255184">
          <w:marLeft w:val="0"/>
          <w:marRight w:val="0"/>
          <w:marTop w:val="0"/>
          <w:marBottom w:val="0"/>
          <w:divBdr>
            <w:top w:val="none" w:sz="0" w:space="0" w:color="auto"/>
            <w:left w:val="none" w:sz="0" w:space="0" w:color="auto"/>
            <w:bottom w:val="none" w:sz="0" w:space="0" w:color="auto"/>
            <w:right w:val="none" w:sz="0" w:space="0" w:color="auto"/>
          </w:divBdr>
          <w:divsChild>
            <w:div w:id="2000230887">
              <w:marLeft w:val="0"/>
              <w:marRight w:val="0"/>
              <w:marTop w:val="0"/>
              <w:marBottom w:val="0"/>
              <w:divBdr>
                <w:top w:val="none" w:sz="0" w:space="0" w:color="auto"/>
                <w:left w:val="none" w:sz="0" w:space="0" w:color="auto"/>
                <w:bottom w:val="none" w:sz="0" w:space="0" w:color="auto"/>
                <w:right w:val="none" w:sz="0" w:space="0" w:color="auto"/>
              </w:divBdr>
            </w:div>
          </w:divsChild>
        </w:div>
        <w:div w:id="843785199">
          <w:marLeft w:val="0"/>
          <w:marRight w:val="0"/>
          <w:marTop w:val="0"/>
          <w:marBottom w:val="0"/>
          <w:divBdr>
            <w:top w:val="none" w:sz="0" w:space="0" w:color="auto"/>
            <w:left w:val="none" w:sz="0" w:space="0" w:color="auto"/>
            <w:bottom w:val="none" w:sz="0" w:space="0" w:color="auto"/>
            <w:right w:val="none" w:sz="0" w:space="0" w:color="auto"/>
          </w:divBdr>
          <w:divsChild>
            <w:div w:id="1162695050">
              <w:marLeft w:val="0"/>
              <w:marRight w:val="0"/>
              <w:marTop w:val="0"/>
              <w:marBottom w:val="0"/>
              <w:divBdr>
                <w:top w:val="none" w:sz="0" w:space="0" w:color="auto"/>
                <w:left w:val="none" w:sz="0" w:space="0" w:color="auto"/>
                <w:bottom w:val="none" w:sz="0" w:space="0" w:color="auto"/>
                <w:right w:val="none" w:sz="0" w:space="0" w:color="auto"/>
              </w:divBdr>
            </w:div>
          </w:divsChild>
        </w:div>
        <w:div w:id="847450663">
          <w:marLeft w:val="0"/>
          <w:marRight w:val="0"/>
          <w:marTop w:val="0"/>
          <w:marBottom w:val="0"/>
          <w:divBdr>
            <w:top w:val="none" w:sz="0" w:space="0" w:color="auto"/>
            <w:left w:val="none" w:sz="0" w:space="0" w:color="auto"/>
            <w:bottom w:val="none" w:sz="0" w:space="0" w:color="auto"/>
            <w:right w:val="none" w:sz="0" w:space="0" w:color="auto"/>
          </w:divBdr>
          <w:divsChild>
            <w:div w:id="534855375">
              <w:marLeft w:val="0"/>
              <w:marRight w:val="0"/>
              <w:marTop w:val="0"/>
              <w:marBottom w:val="0"/>
              <w:divBdr>
                <w:top w:val="none" w:sz="0" w:space="0" w:color="auto"/>
                <w:left w:val="none" w:sz="0" w:space="0" w:color="auto"/>
                <w:bottom w:val="none" w:sz="0" w:space="0" w:color="auto"/>
                <w:right w:val="none" w:sz="0" w:space="0" w:color="auto"/>
              </w:divBdr>
            </w:div>
          </w:divsChild>
        </w:div>
        <w:div w:id="1075201388">
          <w:marLeft w:val="0"/>
          <w:marRight w:val="0"/>
          <w:marTop w:val="0"/>
          <w:marBottom w:val="0"/>
          <w:divBdr>
            <w:top w:val="none" w:sz="0" w:space="0" w:color="auto"/>
            <w:left w:val="none" w:sz="0" w:space="0" w:color="auto"/>
            <w:bottom w:val="none" w:sz="0" w:space="0" w:color="auto"/>
            <w:right w:val="none" w:sz="0" w:space="0" w:color="auto"/>
          </w:divBdr>
          <w:divsChild>
            <w:div w:id="533422756">
              <w:marLeft w:val="0"/>
              <w:marRight w:val="0"/>
              <w:marTop w:val="0"/>
              <w:marBottom w:val="0"/>
              <w:divBdr>
                <w:top w:val="none" w:sz="0" w:space="0" w:color="auto"/>
                <w:left w:val="none" w:sz="0" w:space="0" w:color="auto"/>
                <w:bottom w:val="none" w:sz="0" w:space="0" w:color="auto"/>
                <w:right w:val="none" w:sz="0" w:space="0" w:color="auto"/>
              </w:divBdr>
            </w:div>
          </w:divsChild>
        </w:div>
        <w:div w:id="1162624006">
          <w:marLeft w:val="0"/>
          <w:marRight w:val="0"/>
          <w:marTop w:val="0"/>
          <w:marBottom w:val="0"/>
          <w:divBdr>
            <w:top w:val="none" w:sz="0" w:space="0" w:color="auto"/>
            <w:left w:val="none" w:sz="0" w:space="0" w:color="auto"/>
            <w:bottom w:val="none" w:sz="0" w:space="0" w:color="auto"/>
            <w:right w:val="none" w:sz="0" w:space="0" w:color="auto"/>
          </w:divBdr>
          <w:divsChild>
            <w:div w:id="37625993">
              <w:marLeft w:val="0"/>
              <w:marRight w:val="0"/>
              <w:marTop w:val="0"/>
              <w:marBottom w:val="0"/>
              <w:divBdr>
                <w:top w:val="none" w:sz="0" w:space="0" w:color="auto"/>
                <w:left w:val="none" w:sz="0" w:space="0" w:color="auto"/>
                <w:bottom w:val="none" w:sz="0" w:space="0" w:color="auto"/>
                <w:right w:val="none" w:sz="0" w:space="0" w:color="auto"/>
              </w:divBdr>
            </w:div>
          </w:divsChild>
        </w:div>
        <w:div w:id="1204754122">
          <w:marLeft w:val="0"/>
          <w:marRight w:val="0"/>
          <w:marTop w:val="0"/>
          <w:marBottom w:val="0"/>
          <w:divBdr>
            <w:top w:val="none" w:sz="0" w:space="0" w:color="auto"/>
            <w:left w:val="none" w:sz="0" w:space="0" w:color="auto"/>
            <w:bottom w:val="none" w:sz="0" w:space="0" w:color="auto"/>
            <w:right w:val="none" w:sz="0" w:space="0" w:color="auto"/>
          </w:divBdr>
          <w:divsChild>
            <w:div w:id="1475104709">
              <w:marLeft w:val="0"/>
              <w:marRight w:val="0"/>
              <w:marTop w:val="0"/>
              <w:marBottom w:val="0"/>
              <w:divBdr>
                <w:top w:val="none" w:sz="0" w:space="0" w:color="auto"/>
                <w:left w:val="none" w:sz="0" w:space="0" w:color="auto"/>
                <w:bottom w:val="none" w:sz="0" w:space="0" w:color="auto"/>
                <w:right w:val="none" w:sz="0" w:space="0" w:color="auto"/>
              </w:divBdr>
            </w:div>
          </w:divsChild>
        </w:div>
        <w:div w:id="1290623643">
          <w:marLeft w:val="0"/>
          <w:marRight w:val="0"/>
          <w:marTop w:val="0"/>
          <w:marBottom w:val="0"/>
          <w:divBdr>
            <w:top w:val="none" w:sz="0" w:space="0" w:color="auto"/>
            <w:left w:val="none" w:sz="0" w:space="0" w:color="auto"/>
            <w:bottom w:val="none" w:sz="0" w:space="0" w:color="auto"/>
            <w:right w:val="none" w:sz="0" w:space="0" w:color="auto"/>
          </w:divBdr>
          <w:divsChild>
            <w:div w:id="22638655">
              <w:marLeft w:val="0"/>
              <w:marRight w:val="0"/>
              <w:marTop w:val="0"/>
              <w:marBottom w:val="0"/>
              <w:divBdr>
                <w:top w:val="none" w:sz="0" w:space="0" w:color="auto"/>
                <w:left w:val="none" w:sz="0" w:space="0" w:color="auto"/>
                <w:bottom w:val="none" w:sz="0" w:space="0" w:color="auto"/>
                <w:right w:val="none" w:sz="0" w:space="0" w:color="auto"/>
              </w:divBdr>
            </w:div>
          </w:divsChild>
        </w:div>
        <w:div w:id="1349216268">
          <w:marLeft w:val="0"/>
          <w:marRight w:val="0"/>
          <w:marTop w:val="0"/>
          <w:marBottom w:val="0"/>
          <w:divBdr>
            <w:top w:val="none" w:sz="0" w:space="0" w:color="auto"/>
            <w:left w:val="none" w:sz="0" w:space="0" w:color="auto"/>
            <w:bottom w:val="none" w:sz="0" w:space="0" w:color="auto"/>
            <w:right w:val="none" w:sz="0" w:space="0" w:color="auto"/>
          </w:divBdr>
          <w:divsChild>
            <w:div w:id="1724719095">
              <w:marLeft w:val="0"/>
              <w:marRight w:val="0"/>
              <w:marTop w:val="0"/>
              <w:marBottom w:val="0"/>
              <w:divBdr>
                <w:top w:val="none" w:sz="0" w:space="0" w:color="auto"/>
                <w:left w:val="none" w:sz="0" w:space="0" w:color="auto"/>
                <w:bottom w:val="none" w:sz="0" w:space="0" w:color="auto"/>
                <w:right w:val="none" w:sz="0" w:space="0" w:color="auto"/>
              </w:divBdr>
            </w:div>
          </w:divsChild>
        </w:div>
        <w:div w:id="1383365939">
          <w:marLeft w:val="0"/>
          <w:marRight w:val="0"/>
          <w:marTop w:val="0"/>
          <w:marBottom w:val="0"/>
          <w:divBdr>
            <w:top w:val="none" w:sz="0" w:space="0" w:color="auto"/>
            <w:left w:val="none" w:sz="0" w:space="0" w:color="auto"/>
            <w:bottom w:val="none" w:sz="0" w:space="0" w:color="auto"/>
            <w:right w:val="none" w:sz="0" w:space="0" w:color="auto"/>
          </w:divBdr>
          <w:divsChild>
            <w:div w:id="506748046">
              <w:marLeft w:val="0"/>
              <w:marRight w:val="0"/>
              <w:marTop w:val="0"/>
              <w:marBottom w:val="0"/>
              <w:divBdr>
                <w:top w:val="none" w:sz="0" w:space="0" w:color="auto"/>
                <w:left w:val="none" w:sz="0" w:space="0" w:color="auto"/>
                <w:bottom w:val="none" w:sz="0" w:space="0" w:color="auto"/>
                <w:right w:val="none" w:sz="0" w:space="0" w:color="auto"/>
              </w:divBdr>
            </w:div>
          </w:divsChild>
        </w:div>
        <w:div w:id="1391535152">
          <w:marLeft w:val="0"/>
          <w:marRight w:val="0"/>
          <w:marTop w:val="0"/>
          <w:marBottom w:val="0"/>
          <w:divBdr>
            <w:top w:val="none" w:sz="0" w:space="0" w:color="auto"/>
            <w:left w:val="none" w:sz="0" w:space="0" w:color="auto"/>
            <w:bottom w:val="none" w:sz="0" w:space="0" w:color="auto"/>
            <w:right w:val="none" w:sz="0" w:space="0" w:color="auto"/>
          </w:divBdr>
          <w:divsChild>
            <w:div w:id="1114444997">
              <w:marLeft w:val="0"/>
              <w:marRight w:val="0"/>
              <w:marTop w:val="0"/>
              <w:marBottom w:val="0"/>
              <w:divBdr>
                <w:top w:val="none" w:sz="0" w:space="0" w:color="auto"/>
                <w:left w:val="none" w:sz="0" w:space="0" w:color="auto"/>
                <w:bottom w:val="none" w:sz="0" w:space="0" w:color="auto"/>
                <w:right w:val="none" w:sz="0" w:space="0" w:color="auto"/>
              </w:divBdr>
            </w:div>
          </w:divsChild>
        </w:div>
        <w:div w:id="1396587167">
          <w:marLeft w:val="0"/>
          <w:marRight w:val="0"/>
          <w:marTop w:val="0"/>
          <w:marBottom w:val="0"/>
          <w:divBdr>
            <w:top w:val="none" w:sz="0" w:space="0" w:color="auto"/>
            <w:left w:val="none" w:sz="0" w:space="0" w:color="auto"/>
            <w:bottom w:val="none" w:sz="0" w:space="0" w:color="auto"/>
            <w:right w:val="none" w:sz="0" w:space="0" w:color="auto"/>
          </w:divBdr>
          <w:divsChild>
            <w:div w:id="1896772114">
              <w:marLeft w:val="0"/>
              <w:marRight w:val="0"/>
              <w:marTop w:val="0"/>
              <w:marBottom w:val="0"/>
              <w:divBdr>
                <w:top w:val="none" w:sz="0" w:space="0" w:color="auto"/>
                <w:left w:val="none" w:sz="0" w:space="0" w:color="auto"/>
                <w:bottom w:val="none" w:sz="0" w:space="0" w:color="auto"/>
                <w:right w:val="none" w:sz="0" w:space="0" w:color="auto"/>
              </w:divBdr>
            </w:div>
          </w:divsChild>
        </w:div>
        <w:div w:id="1487357828">
          <w:marLeft w:val="0"/>
          <w:marRight w:val="0"/>
          <w:marTop w:val="0"/>
          <w:marBottom w:val="0"/>
          <w:divBdr>
            <w:top w:val="none" w:sz="0" w:space="0" w:color="auto"/>
            <w:left w:val="none" w:sz="0" w:space="0" w:color="auto"/>
            <w:bottom w:val="none" w:sz="0" w:space="0" w:color="auto"/>
            <w:right w:val="none" w:sz="0" w:space="0" w:color="auto"/>
          </w:divBdr>
          <w:divsChild>
            <w:div w:id="896553091">
              <w:marLeft w:val="0"/>
              <w:marRight w:val="0"/>
              <w:marTop w:val="0"/>
              <w:marBottom w:val="0"/>
              <w:divBdr>
                <w:top w:val="none" w:sz="0" w:space="0" w:color="auto"/>
                <w:left w:val="none" w:sz="0" w:space="0" w:color="auto"/>
                <w:bottom w:val="none" w:sz="0" w:space="0" w:color="auto"/>
                <w:right w:val="none" w:sz="0" w:space="0" w:color="auto"/>
              </w:divBdr>
            </w:div>
            <w:div w:id="1259830406">
              <w:marLeft w:val="0"/>
              <w:marRight w:val="0"/>
              <w:marTop w:val="0"/>
              <w:marBottom w:val="0"/>
              <w:divBdr>
                <w:top w:val="none" w:sz="0" w:space="0" w:color="auto"/>
                <w:left w:val="none" w:sz="0" w:space="0" w:color="auto"/>
                <w:bottom w:val="none" w:sz="0" w:space="0" w:color="auto"/>
                <w:right w:val="none" w:sz="0" w:space="0" w:color="auto"/>
              </w:divBdr>
            </w:div>
            <w:div w:id="1341619741">
              <w:marLeft w:val="0"/>
              <w:marRight w:val="0"/>
              <w:marTop w:val="0"/>
              <w:marBottom w:val="0"/>
              <w:divBdr>
                <w:top w:val="none" w:sz="0" w:space="0" w:color="auto"/>
                <w:left w:val="none" w:sz="0" w:space="0" w:color="auto"/>
                <w:bottom w:val="none" w:sz="0" w:space="0" w:color="auto"/>
                <w:right w:val="none" w:sz="0" w:space="0" w:color="auto"/>
              </w:divBdr>
            </w:div>
            <w:div w:id="1412657580">
              <w:marLeft w:val="0"/>
              <w:marRight w:val="0"/>
              <w:marTop w:val="0"/>
              <w:marBottom w:val="0"/>
              <w:divBdr>
                <w:top w:val="none" w:sz="0" w:space="0" w:color="auto"/>
                <w:left w:val="none" w:sz="0" w:space="0" w:color="auto"/>
                <w:bottom w:val="none" w:sz="0" w:space="0" w:color="auto"/>
                <w:right w:val="none" w:sz="0" w:space="0" w:color="auto"/>
              </w:divBdr>
            </w:div>
            <w:div w:id="1873692401">
              <w:marLeft w:val="0"/>
              <w:marRight w:val="0"/>
              <w:marTop w:val="0"/>
              <w:marBottom w:val="0"/>
              <w:divBdr>
                <w:top w:val="none" w:sz="0" w:space="0" w:color="auto"/>
                <w:left w:val="none" w:sz="0" w:space="0" w:color="auto"/>
                <w:bottom w:val="none" w:sz="0" w:space="0" w:color="auto"/>
                <w:right w:val="none" w:sz="0" w:space="0" w:color="auto"/>
              </w:divBdr>
            </w:div>
          </w:divsChild>
        </w:div>
        <w:div w:id="1520046934">
          <w:marLeft w:val="0"/>
          <w:marRight w:val="0"/>
          <w:marTop w:val="0"/>
          <w:marBottom w:val="0"/>
          <w:divBdr>
            <w:top w:val="none" w:sz="0" w:space="0" w:color="auto"/>
            <w:left w:val="none" w:sz="0" w:space="0" w:color="auto"/>
            <w:bottom w:val="none" w:sz="0" w:space="0" w:color="auto"/>
            <w:right w:val="none" w:sz="0" w:space="0" w:color="auto"/>
          </w:divBdr>
          <w:divsChild>
            <w:div w:id="1767119109">
              <w:marLeft w:val="0"/>
              <w:marRight w:val="0"/>
              <w:marTop w:val="0"/>
              <w:marBottom w:val="0"/>
              <w:divBdr>
                <w:top w:val="none" w:sz="0" w:space="0" w:color="auto"/>
                <w:left w:val="none" w:sz="0" w:space="0" w:color="auto"/>
                <w:bottom w:val="none" w:sz="0" w:space="0" w:color="auto"/>
                <w:right w:val="none" w:sz="0" w:space="0" w:color="auto"/>
              </w:divBdr>
            </w:div>
          </w:divsChild>
        </w:div>
        <w:div w:id="1554004595">
          <w:marLeft w:val="0"/>
          <w:marRight w:val="0"/>
          <w:marTop w:val="0"/>
          <w:marBottom w:val="0"/>
          <w:divBdr>
            <w:top w:val="none" w:sz="0" w:space="0" w:color="auto"/>
            <w:left w:val="none" w:sz="0" w:space="0" w:color="auto"/>
            <w:bottom w:val="none" w:sz="0" w:space="0" w:color="auto"/>
            <w:right w:val="none" w:sz="0" w:space="0" w:color="auto"/>
          </w:divBdr>
          <w:divsChild>
            <w:div w:id="1690983062">
              <w:marLeft w:val="0"/>
              <w:marRight w:val="0"/>
              <w:marTop w:val="0"/>
              <w:marBottom w:val="0"/>
              <w:divBdr>
                <w:top w:val="none" w:sz="0" w:space="0" w:color="auto"/>
                <w:left w:val="none" w:sz="0" w:space="0" w:color="auto"/>
                <w:bottom w:val="none" w:sz="0" w:space="0" w:color="auto"/>
                <w:right w:val="none" w:sz="0" w:space="0" w:color="auto"/>
              </w:divBdr>
            </w:div>
          </w:divsChild>
        </w:div>
        <w:div w:id="1591545864">
          <w:marLeft w:val="0"/>
          <w:marRight w:val="0"/>
          <w:marTop w:val="0"/>
          <w:marBottom w:val="0"/>
          <w:divBdr>
            <w:top w:val="none" w:sz="0" w:space="0" w:color="auto"/>
            <w:left w:val="none" w:sz="0" w:space="0" w:color="auto"/>
            <w:bottom w:val="none" w:sz="0" w:space="0" w:color="auto"/>
            <w:right w:val="none" w:sz="0" w:space="0" w:color="auto"/>
          </w:divBdr>
          <w:divsChild>
            <w:div w:id="396783376">
              <w:marLeft w:val="0"/>
              <w:marRight w:val="0"/>
              <w:marTop w:val="0"/>
              <w:marBottom w:val="0"/>
              <w:divBdr>
                <w:top w:val="none" w:sz="0" w:space="0" w:color="auto"/>
                <w:left w:val="none" w:sz="0" w:space="0" w:color="auto"/>
                <w:bottom w:val="none" w:sz="0" w:space="0" w:color="auto"/>
                <w:right w:val="none" w:sz="0" w:space="0" w:color="auto"/>
              </w:divBdr>
            </w:div>
            <w:div w:id="563882224">
              <w:marLeft w:val="0"/>
              <w:marRight w:val="0"/>
              <w:marTop w:val="0"/>
              <w:marBottom w:val="0"/>
              <w:divBdr>
                <w:top w:val="none" w:sz="0" w:space="0" w:color="auto"/>
                <w:left w:val="none" w:sz="0" w:space="0" w:color="auto"/>
                <w:bottom w:val="none" w:sz="0" w:space="0" w:color="auto"/>
                <w:right w:val="none" w:sz="0" w:space="0" w:color="auto"/>
              </w:divBdr>
            </w:div>
            <w:div w:id="1944999020">
              <w:marLeft w:val="0"/>
              <w:marRight w:val="0"/>
              <w:marTop w:val="0"/>
              <w:marBottom w:val="0"/>
              <w:divBdr>
                <w:top w:val="none" w:sz="0" w:space="0" w:color="auto"/>
                <w:left w:val="none" w:sz="0" w:space="0" w:color="auto"/>
                <w:bottom w:val="none" w:sz="0" w:space="0" w:color="auto"/>
                <w:right w:val="none" w:sz="0" w:space="0" w:color="auto"/>
              </w:divBdr>
            </w:div>
          </w:divsChild>
        </w:div>
        <w:div w:id="1594241970">
          <w:marLeft w:val="0"/>
          <w:marRight w:val="0"/>
          <w:marTop w:val="0"/>
          <w:marBottom w:val="0"/>
          <w:divBdr>
            <w:top w:val="none" w:sz="0" w:space="0" w:color="auto"/>
            <w:left w:val="none" w:sz="0" w:space="0" w:color="auto"/>
            <w:bottom w:val="none" w:sz="0" w:space="0" w:color="auto"/>
            <w:right w:val="none" w:sz="0" w:space="0" w:color="auto"/>
          </w:divBdr>
          <w:divsChild>
            <w:div w:id="802115098">
              <w:marLeft w:val="0"/>
              <w:marRight w:val="0"/>
              <w:marTop w:val="0"/>
              <w:marBottom w:val="0"/>
              <w:divBdr>
                <w:top w:val="none" w:sz="0" w:space="0" w:color="auto"/>
                <w:left w:val="none" w:sz="0" w:space="0" w:color="auto"/>
                <w:bottom w:val="none" w:sz="0" w:space="0" w:color="auto"/>
                <w:right w:val="none" w:sz="0" w:space="0" w:color="auto"/>
              </w:divBdr>
            </w:div>
          </w:divsChild>
        </w:div>
        <w:div w:id="1611088726">
          <w:marLeft w:val="0"/>
          <w:marRight w:val="0"/>
          <w:marTop w:val="0"/>
          <w:marBottom w:val="0"/>
          <w:divBdr>
            <w:top w:val="none" w:sz="0" w:space="0" w:color="auto"/>
            <w:left w:val="none" w:sz="0" w:space="0" w:color="auto"/>
            <w:bottom w:val="none" w:sz="0" w:space="0" w:color="auto"/>
            <w:right w:val="none" w:sz="0" w:space="0" w:color="auto"/>
          </w:divBdr>
          <w:divsChild>
            <w:div w:id="466557643">
              <w:marLeft w:val="0"/>
              <w:marRight w:val="0"/>
              <w:marTop w:val="0"/>
              <w:marBottom w:val="0"/>
              <w:divBdr>
                <w:top w:val="none" w:sz="0" w:space="0" w:color="auto"/>
                <w:left w:val="none" w:sz="0" w:space="0" w:color="auto"/>
                <w:bottom w:val="none" w:sz="0" w:space="0" w:color="auto"/>
                <w:right w:val="none" w:sz="0" w:space="0" w:color="auto"/>
              </w:divBdr>
            </w:div>
          </w:divsChild>
        </w:div>
        <w:div w:id="1611544004">
          <w:marLeft w:val="0"/>
          <w:marRight w:val="0"/>
          <w:marTop w:val="0"/>
          <w:marBottom w:val="0"/>
          <w:divBdr>
            <w:top w:val="none" w:sz="0" w:space="0" w:color="auto"/>
            <w:left w:val="none" w:sz="0" w:space="0" w:color="auto"/>
            <w:bottom w:val="none" w:sz="0" w:space="0" w:color="auto"/>
            <w:right w:val="none" w:sz="0" w:space="0" w:color="auto"/>
          </w:divBdr>
          <w:divsChild>
            <w:div w:id="1477449111">
              <w:marLeft w:val="0"/>
              <w:marRight w:val="0"/>
              <w:marTop w:val="0"/>
              <w:marBottom w:val="0"/>
              <w:divBdr>
                <w:top w:val="none" w:sz="0" w:space="0" w:color="auto"/>
                <w:left w:val="none" w:sz="0" w:space="0" w:color="auto"/>
                <w:bottom w:val="none" w:sz="0" w:space="0" w:color="auto"/>
                <w:right w:val="none" w:sz="0" w:space="0" w:color="auto"/>
              </w:divBdr>
            </w:div>
          </w:divsChild>
        </w:div>
        <w:div w:id="1647540169">
          <w:marLeft w:val="0"/>
          <w:marRight w:val="0"/>
          <w:marTop w:val="0"/>
          <w:marBottom w:val="0"/>
          <w:divBdr>
            <w:top w:val="none" w:sz="0" w:space="0" w:color="auto"/>
            <w:left w:val="none" w:sz="0" w:space="0" w:color="auto"/>
            <w:bottom w:val="none" w:sz="0" w:space="0" w:color="auto"/>
            <w:right w:val="none" w:sz="0" w:space="0" w:color="auto"/>
          </w:divBdr>
          <w:divsChild>
            <w:div w:id="1022634496">
              <w:marLeft w:val="0"/>
              <w:marRight w:val="0"/>
              <w:marTop w:val="0"/>
              <w:marBottom w:val="0"/>
              <w:divBdr>
                <w:top w:val="none" w:sz="0" w:space="0" w:color="auto"/>
                <w:left w:val="none" w:sz="0" w:space="0" w:color="auto"/>
                <w:bottom w:val="none" w:sz="0" w:space="0" w:color="auto"/>
                <w:right w:val="none" w:sz="0" w:space="0" w:color="auto"/>
              </w:divBdr>
            </w:div>
          </w:divsChild>
        </w:div>
        <w:div w:id="1659455312">
          <w:marLeft w:val="0"/>
          <w:marRight w:val="0"/>
          <w:marTop w:val="0"/>
          <w:marBottom w:val="0"/>
          <w:divBdr>
            <w:top w:val="none" w:sz="0" w:space="0" w:color="auto"/>
            <w:left w:val="none" w:sz="0" w:space="0" w:color="auto"/>
            <w:bottom w:val="none" w:sz="0" w:space="0" w:color="auto"/>
            <w:right w:val="none" w:sz="0" w:space="0" w:color="auto"/>
          </w:divBdr>
          <w:divsChild>
            <w:div w:id="1129590816">
              <w:marLeft w:val="0"/>
              <w:marRight w:val="0"/>
              <w:marTop w:val="0"/>
              <w:marBottom w:val="0"/>
              <w:divBdr>
                <w:top w:val="none" w:sz="0" w:space="0" w:color="auto"/>
                <w:left w:val="none" w:sz="0" w:space="0" w:color="auto"/>
                <w:bottom w:val="none" w:sz="0" w:space="0" w:color="auto"/>
                <w:right w:val="none" w:sz="0" w:space="0" w:color="auto"/>
              </w:divBdr>
            </w:div>
          </w:divsChild>
        </w:div>
        <w:div w:id="1715226329">
          <w:marLeft w:val="0"/>
          <w:marRight w:val="0"/>
          <w:marTop w:val="0"/>
          <w:marBottom w:val="0"/>
          <w:divBdr>
            <w:top w:val="none" w:sz="0" w:space="0" w:color="auto"/>
            <w:left w:val="none" w:sz="0" w:space="0" w:color="auto"/>
            <w:bottom w:val="none" w:sz="0" w:space="0" w:color="auto"/>
            <w:right w:val="none" w:sz="0" w:space="0" w:color="auto"/>
          </w:divBdr>
          <w:divsChild>
            <w:div w:id="7291991">
              <w:marLeft w:val="0"/>
              <w:marRight w:val="0"/>
              <w:marTop w:val="0"/>
              <w:marBottom w:val="0"/>
              <w:divBdr>
                <w:top w:val="none" w:sz="0" w:space="0" w:color="auto"/>
                <w:left w:val="none" w:sz="0" w:space="0" w:color="auto"/>
                <w:bottom w:val="none" w:sz="0" w:space="0" w:color="auto"/>
                <w:right w:val="none" w:sz="0" w:space="0" w:color="auto"/>
              </w:divBdr>
            </w:div>
            <w:div w:id="527185380">
              <w:marLeft w:val="0"/>
              <w:marRight w:val="0"/>
              <w:marTop w:val="0"/>
              <w:marBottom w:val="0"/>
              <w:divBdr>
                <w:top w:val="none" w:sz="0" w:space="0" w:color="auto"/>
                <w:left w:val="none" w:sz="0" w:space="0" w:color="auto"/>
                <w:bottom w:val="none" w:sz="0" w:space="0" w:color="auto"/>
                <w:right w:val="none" w:sz="0" w:space="0" w:color="auto"/>
              </w:divBdr>
            </w:div>
            <w:div w:id="758019775">
              <w:marLeft w:val="0"/>
              <w:marRight w:val="0"/>
              <w:marTop w:val="0"/>
              <w:marBottom w:val="0"/>
              <w:divBdr>
                <w:top w:val="none" w:sz="0" w:space="0" w:color="auto"/>
                <w:left w:val="none" w:sz="0" w:space="0" w:color="auto"/>
                <w:bottom w:val="none" w:sz="0" w:space="0" w:color="auto"/>
                <w:right w:val="none" w:sz="0" w:space="0" w:color="auto"/>
              </w:divBdr>
            </w:div>
            <w:div w:id="1369452887">
              <w:marLeft w:val="0"/>
              <w:marRight w:val="0"/>
              <w:marTop w:val="0"/>
              <w:marBottom w:val="0"/>
              <w:divBdr>
                <w:top w:val="none" w:sz="0" w:space="0" w:color="auto"/>
                <w:left w:val="none" w:sz="0" w:space="0" w:color="auto"/>
                <w:bottom w:val="none" w:sz="0" w:space="0" w:color="auto"/>
                <w:right w:val="none" w:sz="0" w:space="0" w:color="auto"/>
              </w:divBdr>
            </w:div>
          </w:divsChild>
        </w:div>
        <w:div w:id="1761293165">
          <w:marLeft w:val="0"/>
          <w:marRight w:val="0"/>
          <w:marTop w:val="0"/>
          <w:marBottom w:val="0"/>
          <w:divBdr>
            <w:top w:val="none" w:sz="0" w:space="0" w:color="auto"/>
            <w:left w:val="none" w:sz="0" w:space="0" w:color="auto"/>
            <w:bottom w:val="none" w:sz="0" w:space="0" w:color="auto"/>
            <w:right w:val="none" w:sz="0" w:space="0" w:color="auto"/>
          </w:divBdr>
          <w:divsChild>
            <w:div w:id="1602107512">
              <w:marLeft w:val="0"/>
              <w:marRight w:val="0"/>
              <w:marTop w:val="0"/>
              <w:marBottom w:val="0"/>
              <w:divBdr>
                <w:top w:val="none" w:sz="0" w:space="0" w:color="auto"/>
                <w:left w:val="none" w:sz="0" w:space="0" w:color="auto"/>
                <w:bottom w:val="none" w:sz="0" w:space="0" w:color="auto"/>
                <w:right w:val="none" w:sz="0" w:space="0" w:color="auto"/>
              </w:divBdr>
            </w:div>
          </w:divsChild>
        </w:div>
        <w:div w:id="1817793738">
          <w:marLeft w:val="0"/>
          <w:marRight w:val="0"/>
          <w:marTop w:val="0"/>
          <w:marBottom w:val="0"/>
          <w:divBdr>
            <w:top w:val="none" w:sz="0" w:space="0" w:color="auto"/>
            <w:left w:val="none" w:sz="0" w:space="0" w:color="auto"/>
            <w:bottom w:val="none" w:sz="0" w:space="0" w:color="auto"/>
            <w:right w:val="none" w:sz="0" w:space="0" w:color="auto"/>
          </w:divBdr>
          <w:divsChild>
            <w:div w:id="744761406">
              <w:marLeft w:val="0"/>
              <w:marRight w:val="0"/>
              <w:marTop w:val="0"/>
              <w:marBottom w:val="0"/>
              <w:divBdr>
                <w:top w:val="none" w:sz="0" w:space="0" w:color="auto"/>
                <w:left w:val="none" w:sz="0" w:space="0" w:color="auto"/>
                <w:bottom w:val="none" w:sz="0" w:space="0" w:color="auto"/>
                <w:right w:val="none" w:sz="0" w:space="0" w:color="auto"/>
              </w:divBdr>
            </w:div>
          </w:divsChild>
        </w:div>
        <w:div w:id="1865438939">
          <w:marLeft w:val="0"/>
          <w:marRight w:val="0"/>
          <w:marTop w:val="0"/>
          <w:marBottom w:val="0"/>
          <w:divBdr>
            <w:top w:val="none" w:sz="0" w:space="0" w:color="auto"/>
            <w:left w:val="none" w:sz="0" w:space="0" w:color="auto"/>
            <w:bottom w:val="none" w:sz="0" w:space="0" w:color="auto"/>
            <w:right w:val="none" w:sz="0" w:space="0" w:color="auto"/>
          </w:divBdr>
          <w:divsChild>
            <w:div w:id="819155540">
              <w:marLeft w:val="0"/>
              <w:marRight w:val="0"/>
              <w:marTop w:val="0"/>
              <w:marBottom w:val="0"/>
              <w:divBdr>
                <w:top w:val="none" w:sz="0" w:space="0" w:color="auto"/>
                <w:left w:val="none" w:sz="0" w:space="0" w:color="auto"/>
                <w:bottom w:val="none" w:sz="0" w:space="0" w:color="auto"/>
                <w:right w:val="none" w:sz="0" w:space="0" w:color="auto"/>
              </w:divBdr>
            </w:div>
          </w:divsChild>
        </w:div>
        <w:div w:id="1932347622">
          <w:marLeft w:val="0"/>
          <w:marRight w:val="0"/>
          <w:marTop w:val="0"/>
          <w:marBottom w:val="0"/>
          <w:divBdr>
            <w:top w:val="none" w:sz="0" w:space="0" w:color="auto"/>
            <w:left w:val="none" w:sz="0" w:space="0" w:color="auto"/>
            <w:bottom w:val="none" w:sz="0" w:space="0" w:color="auto"/>
            <w:right w:val="none" w:sz="0" w:space="0" w:color="auto"/>
          </w:divBdr>
          <w:divsChild>
            <w:div w:id="1832133861">
              <w:marLeft w:val="0"/>
              <w:marRight w:val="0"/>
              <w:marTop w:val="0"/>
              <w:marBottom w:val="0"/>
              <w:divBdr>
                <w:top w:val="none" w:sz="0" w:space="0" w:color="auto"/>
                <w:left w:val="none" w:sz="0" w:space="0" w:color="auto"/>
                <w:bottom w:val="none" w:sz="0" w:space="0" w:color="auto"/>
                <w:right w:val="none" w:sz="0" w:space="0" w:color="auto"/>
              </w:divBdr>
            </w:div>
          </w:divsChild>
        </w:div>
        <w:div w:id="1948274926">
          <w:marLeft w:val="0"/>
          <w:marRight w:val="0"/>
          <w:marTop w:val="0"/>
          <w:marBottom w:val="0"/>
          <w:divBdr>
            <w:top w:val="none" w:sz="0" w:space="0" w:color="auto"/>
            <w:left w:val="none" w:sz="0" w:space="0" w:color="auto"/>
            <w:bottom w:val="none" w:sz="0" w:space="0" w:color="auto"/>
            <w:right w:val="none" w:sz="0" w:space="0" w:color="auto"/>
          </w:divBdr>
          <w:divsChild>
            <w:div w:id="1970433708">
              <w:marLeft w:val="0"/>
              <w:marRight w:val="0"/>
              <w:marTop w:val="0"/>
              <w:marBottom w:val="0"/>
              <w:divBdr>
                <w:top w:val="none" w:sz="0" w:space="0" w:color="auto"/>
                <w:left w:val="none" w:sz="0" w:space="0" w:color="auto"/>
                <w:bottom w:val="none" w:sz="0" w:space="0" w:color="auto"/>
                <w:right w:val="none" w:sz="0" w:space="0" w:color="auto"/>
              </w:divBdr>
            </w:div>
          </w:divsChild>
        </w:div>
        <w:div w:id="1950814865">
          <w:marLeft w:val="0"/>
          <w:marRight w:val="0"/>
          <w:marTop w:val="0"/>
          <w:marBottom w:val="0"/>
          <w:divBdr>
            <w:top w:val="none" w:sz="0" w:space="0" w:color="auto"/>
            <w:left w:val="none" w:sz="0" w:space="0" w:color="auto"/>
            <w:bottom w:val="none" w:sz="0" w:space="0" w:color="auto"/>
            <w:right w:val="none" w:sz="0" w:space="0" w:color="auto"/>
          </w:divBdr>
          <w:divsChild>
            <w:div w:id="1479955421">
              <w:marLeft w:val="0"/>
              <w:marRight w:val="0"/>
              <w:marTop w:val="0"/>
              <w:marBottom w:val="0"/>
              <w:divBdr>
                <w:top w:val="none" w:sz="0" w:space="0" w:color="auto"/>
                <w:left w:val="none" w:sz="0" w:space="0" w:color="auto"/>
                <w:bottom w:val="none" w:sz="0" w:space="0" w:color="auto"/>
                <w:right w:val="none" w:sz="0" w:space="0" w:color="auto"/>
              </w:divBdr>
            </w:div>
          </w:divsChild>
        </w:div>
        <w:div w:id="1951356774">
          <w:marLeft w:val="0"/>
          <w:marRight w:val="0"/>
          <w:marTop w:val="0"/>
          <w:marBottom w:val="0"/>
          <w:divBdr>
            <w:top w:val="none" w:sz="0" w:space="0" w:color="auto"/>
            <w:left w:val="none" w:sz="0" w:space="0" w:color="auto"/>
            <w:bottom w:val="none" w:sz="0" w:space="0" w:color="auto"/>
            <w:right w:val="none" w:sz="0" w:space="0" w:color="auto"/>
          </w:divBdr>
          <w:divsChild>
            <w:div w:id="638651429">
              <w:marLeft w:val="0"/>
              <w:marRight w:val="0"/>
              <w:marTop w:val="0"/>
              <w:marBottom w:val="0"/>
              <w:divBdr>
                <w:top w:val="none" w:sz="0" w:space="0" w:color="auto"/>
                <w:left w:val="none" w:sz="0" w:space="0" w:color="auto"/>
                <w:bottom w:val="none" w:sz="0" w:space="0" w:color="auto"/>
                <w:right w:val="none" w:sz="0" w:space="0" w:color="auto"/>
              </w:divBdr>
            </w:div>
          </w:divsChild>
        </w:div>
        <w:div w:id="1969045193">
          <w:marLeft w:val="0"/>
          <w:marRight w:val="0"/>
          <w:marTop w:val="0"/>
          <w:marBottom w:val="0"/>
          <w:divBdr>
            <w:top w:val="none" w:sz="0" w:space="0" w:color="auto"/>
            <w:left w:val="none" w:sz="0" w:space="0" w:color="auto"/>
            <w:bottom w:val="none" w:sz="0" w:space="0" w:color="auto"/>
            <w:right w:val="none" w:sz="0" w:space="0" w:color="auto"/>
          </w:divBdr>
          <w:divsChild>
            <w:div w:id="249121990">
              <w:marLeft w:val="0"/>
              <w:marRight w:val="0"/>
              <w:marTop w:val="0"/>
              <w:marBottom w:val="0"/>
              <w:divBdr>
                <w:top w:val="none" w:sz="0" w:space="0" w:color="auto"/>
                <w:left w:val="none" w:sz="0" w:space="0" w:color="auto"/>
                <w:bottom w:val="none" w:sz="0" w:space="0" w:color="auto"/>
                <w:right w:val="none" w:sz="0" w:space="0" w:color="auto"/>
              </w:divBdr>
            </w:div>
          </w:divsChild>
        </w:div>
        <w:div w:id="1983271733">
          <w:marLeft w:val="0"/>
          <w:marRight w:val="0"/>
          <w:marTop w:val="0"/>
          <w:marBottom w:val="0"/>
          <w:divBdr>
            <w:top w:val="none" w:sz="0" w:space="0" w:color="auto"/>
            <w:left w:val="none" w:sz="0" w:space="0" w:color="auto"/>
            <w:bottom w:val="none" w:sz="0" w:space="0" w:color="auto"/>
            <w:right w:val="none" w:sz="0" w:space="0" w:color="auto"/>
          </w:divBdr>
          <w:divsChild>
            <w:div w:id="1494447409">
              <w:marLeft w:val="0"/>
              <w:marRight w:val="0"/>
              <w:marTop w:val="0"/>
              <w:marBottom w:val="0"/>
              <w:divBdr>
                <w:top w:val="none" w:sz="0" w:space="0" w:color="auto"/>
                <w:left w:val="none" w:sz="0" w:space="0" w:color="auto"/>
                <w:bottom w:val="none" w:sz="0" w:space="0" w:color="auto"/>
                <w:right w:val="none" w:sz="0" w:space="0" w:color="auto"/>
              </w:divBdr>
            </w:div>
          </w:divsChild>
        </w:div>
        <w:div w:id="2006546068">
          <w:marLeft w:val="0"/>
          <w:marRight w:val="0"/>
          <w:marTop w:val="0"/>
          <w:marBottom w:val="0"/>
          <w:divBdr>
            <w:top w:val="none" w:sz="0" w:space="0" w:color="auto"/>
            <w:left w:val="none" w:sz="0" w:space="0" w:color="auto"/>
            <w:bottom w:val="none" w:sz="0" w:space="0" w:color="auto"/>
            <w:right w:val="none" w:sz="0" w:space="0" w:color="auto"/>
          </w:divBdr>
          <w:divsChild>
            <w:div w:id="1886479076">
              <w:marLeft w:val="0"/>
              <w:marRight w:val="0"/>
              <w:marTop w:val="0"/>
              <w:marBottom w:val="0"/>
              <w:divBdr>
                <w:top w:val="none" w:sz="0" w:space="0" w:color="auto"/>
                <w:left w:val="none" w:sz="0" w:space="0" w:color="auto"/>
                <w:bottom w:val="none" w:sz="0" w:space="0" w:color="auto"/>
                <w:right w:val="none" w:sz="0" w:space="0" w:color="auto"/>
              </w:divBdr>
            </w:div>
          </w:divsChild>
        </w:div>
        <w:div w:id="2067949681">
          <w:marLeft w:val="0"/>
          <w:marRight w:val="0"/>
          <w:marTop w:val="0"/>
          <w:marBottom w:val="0"/>
          <w:divBdr>
            <w:top w:val="none" w:sz="0" w:space="0" w:color="auto"/>
            <w:left w:val="none" w:sz="0" w:space="0" w:color="auto"/>
            <w:bottom w:val="none" w:sz="0" w:space="0" w:color="auto"/>
            <w:right w:val="none" w:sz="0" w:space="0" w:color="auto"/>
          </w:divBdr>
          <w:divsChild>
            <w:div w:id="1388411872">
              <w:marLeft w:val="0"/>
              <w:marRight w:val="0"/>
              <w:marTop w:val="0"/>
              <w:marBottom w:val="0"/>
              <w:divBdr>
                <w:top w:val="none" w:sz="0" w:space="0" w:color="auto"/>
                <w:left w:val="none" w:sz="0" w:space="0" w:color="auto"/>
                <w:bottom w:val="none" w:sz="0" w:space="0" w:color="auto"/>
                <w:right w:val="none" w:sz="0" w:space="0" w:color="auto"/>
              </w:divBdr>
            </w:div>
          </w:divsChild>
        </w:div>
        <w:div w:id="2087457364">
          <w:marLeft w:val="0"/>
          <w:marRight w:val="0"/>
          <w:marTop w:val="0"/>
          <w:marBottom w:val="0"/>
          <w:divBdr>
            <w:top w:val="none" w:sz="0" w:space="0" w:color="auto"/>
            <w:left w:val="none" w:sz="0" w:space="0" w:color="auto"/>
            <w:bottom w:val="none" w:sz="0" w:space="0" w:color="auto"/>
            <w:right w:val="none" w:sz="0" w:space="0" w:color="auto"/>
          </w:divBdr>
          <w:divsChild>
            <w:div w:id="11340799">
              <w:marLeft w:val="0"/>
              <w:marRight w:val="0"/>
              <w:marTop w:val="0"/>
              <w:marBottom w:val="0"/>
              <w:divBdr>
                <w:top w:val="none" w:sz="0" w:space="0" w:color="auto"/>
                <w:left w:val="none" w:sz="0" w:space="0" w:color="auto"/>
                <w:bottom w:val="none" w:sz="0" w:space="0" w:color="auto"/>
                <w:right w:val="none" w:sz="0" w:space="0" w:color="auto"/>
              </w:divBdr>
            </w:div>
            <w:div w:id="902835733">
              <w:marLeft w:val="0"/>
              <w:marRight w:val="0"/>
              <w:marTop w:val="0"/>
              <w:marBottom w:val="0"/>
              <w:divBdr>
                <w:top w:val="none" w:sz="0" w:space="0" w:color="auto"/>
                <w:left w:val="none" w:sz="0" w:space="0" w:color="auto"/>
                <w:bottom w:val="none" w:sz="0" w:space="0" w:color="auto"/>
                <w:right w:val="none" w:sz="0" w:space="0" w:color="auto"/>
              </w:divBdr>
            </w:div>
            <w:div w:id="1089739978">
              <w:marLeft w:val="0"/>
              <w:marRight w:val="0"/>
              <w:marTop w:val="0"/>
              <w:marBottom w:val="0"/>
              <w:divBdr>
                <w:top w:val="none" w:sz="0" w:space="0" w:color="auto"/>
                <w:left w:val="none" w:sz="0" w:space="0" w:color="auto"/>
                <w:bottom w:val="none" w:sz="0" w:space="0" w:color="auto"/>
                <w:right w:val="none" w:sz="0" w:space="0" w:color="auto"/>
              </w:divBdr>
            </w:div>
          </w:divsChild>
        </w:div>
        <w:div w:id="2098206827">
          <w:marLeft w:val="0"/>
          <w:marRight w:val="0"/>
          <w:marTop w:val="0"/>
          <w:marBottom w:val="0"/>
          <w:divBdr>
            <w:top w:val="none" w:sz="0" w:space="0" w:color="auto"/>
            <w:left w:val="none" w:sz="0" w:space="0" w:color="auto"/>
            <w:bottom w:val="none" w:sz="0" w:space="0" w:color="auto"/>
            <w:right w:val="none" w:sz="0" w:space="0" w:color="auto"/>
          </w:divBdr>
          <w:divsChild>
            <w:div w:id="14929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88109">
      <w:bodyDiv w:val="1"/>
      <w:marLeft w:val="0"/>
      <w:marRight w:val="0"/>
      <w:marTop w:val="0"/>
      <w:marBottom w:val="0"/>
      <w:divBdr>
        <w:top w:val="none" w:sz="0" w:space="0" w:color="auto"/>
        <w:left w:val="none" w:sz="0" w:space="0" w:color="auto"/>
        <w:bottom w:val="none" w:sz="0" w:space="0" w:color="auto"/>
        <w:right w:val="none" w:sz="0" w:space="0" w:color="auto"/>
      </w:divBdr>
    </w:div>
    <w:div w:id="590361082">
      <w:bodyDiv w:val="1"/>
      <w:marLeft w:val="0"/>
      <w:marRight w:val="0"/>
      <w:marTop w:val="0"/>
      <w:marBottom w:val="0"/>
      <w:divBdr>
        <w:top w:val="none" w:sz="0" w:space="0" w:color="auto"/>
        <w:left w:val="none" w:sz="0" w:space="0" w:color="auto"/>
        <w:bottom w:val="none" w:sz="0" w:space="0" w:color="auto"/>
        <w:right w:val="none" w:sz="0" w:space="0" w:color="auto"/>
      </w:divBdr>
      <w:divsChild>
        <w:div w:id="12924087">
          <w:marLeft w:val="0"/>
          <w:marRight w:val="0"/>
          <w:marTop w:val="0"/>
          <w:marBottom w:val="0"/>
          <w:divBdr>
            <w:top w:val="none" w:sz="0" w:space="0" w:color="auto"/>
            <w:left w:val="none" w:sz="0" w:space="0" w:color="auto"/>
            <w:bottom w:val="none" w:sz="0" w:space="0" w:color="auto"/>
            <w:right w:val="none" w:sz="0" w:space="0" w:color="auto"/>
          </w:divBdr>
          <w:divsChild>
            <w:div w:id="177159793">
              <w:marLeft w:val="0"/>
              <w:marRight w:val="0"/>
              <w:marTop w:val="0"/>
              <w:marBottom w:val="0"/>
              <w:divBdr>
                <w:top w:val="none" w:sz="0" w:space="0" w:color="auto"/>
                <w:left w:val="none" w:sz="0" w:space="0" w:color="auto"/>
                <w:bottom w:val="none" w:sz="0" w:space="0" w:color="auto"/>
                <w:right w:val="none" w:sz="0" w:space="0" w:color="auto"/>
              </w:divBdr>
            </w:div>
          </w:divsChild>
        </w:div>
        <w:div w:id="47462516">
          <w:marLeft w:val="0"/>
          <w:marRight w:val="0"/>
          <w:marTop w:val="0"/>
          <w:marBottom w:val="0"/>
          <w:divBdr>
            <w:top w:val="none" w:sz="0" w:space="0" w:color="auto"/>
            <w:left w:val="none" w:sz="0" w:space="0" w:color="auto"/>
            <w:bottom w:val="none" w:sz="0" w:space="0" w:color="auto"/>
            <w:right w:val="none" w:sz="0" w:space="0" w:color="auto"/>
          </w:divBdr>
          <w:divsChild>
            <w:div w:id="148987140">
              <w:marLeft w:val="0"/>
              <w:marRight w:val="0"/>
              <w:marTop w:val="0"/>
              <w:marBottom w:val="0"/>
              <w:divBdr>
                <w:top w:val="none" w:sz="0" w:space="0" w:color="auto"/>
                <w:left w:val="none" w:sz="0" w:space="0" w:color="auto"/>
                <w:bottom w:val="none" w:sz="0" w:space="0" w:color="auto"/>
                <w:right w:val="none" w:sz="0" w:space="0" w:color="auto"/>
              </w:divBdr>
            </w:div>
          </w:divsChild>
        </w:div>
        <w:div w:id="57942430">
          <w:marLeft w:val="0"/>
          <w:marRight w:val="0"/>
          <w:marTop w:val="0"/>
          <w:marBottom w:val="0"/>
          <w:divBdr>
            <w:top w:val="none" w:sz="0" w:space="0" w:color="auto"/>
            <w:left w:val="none" w:sz="0" w:space="0" w:color="auto"/>
            <w:bottom w:val="none" w:sz="0" w:space="0" w:color="auto"/>
            <w:right w:val="none" w:sz="0" w:space="0" w:color="auto"/>
          </w:divBdr>
          <w:divsChild>
            <w:div w:id="834033250">
              <w:marLeft w:val="0"/>
              <w:marRight w:val="0"/>
              <w:marTop w:val="0"/>
              <w:marBottom w:val="0"/>
              <w:divBdr>
                <w:top w:val="none" w:sz="0" w:space="0" w:color="auto"/>
                <w:left w:val="none" w:sz="0" w:space="0" w:color="auto"/>
                <w:bottom w:val="none" w:sz="0" w:space="0" w:color="auto"/>
                <w:right w:val="none" w:sz="0" w:space="0" w:color="auto"/>
              </w:divBdr>
            </w:div>
            <w:div w:id="2039112712">
              <w:marLeft w:val="0"/>
              <w:marRight w:val="0"/>
              <w:marTop w:val="0"/>
              <w:marBottom w:val="0"/>
              <w:divBdr>
                <w:top w:val="none" w:sz="0" w:space="0" w:color="auto"/>
                <w:left w:val="none" w:sz="0" w:space="0" w:color="auto"/>
                <w:bottom w:val="none" w:sz="0" w:space="0" w:color="auto"/>
                <w:right w:val="none" w:sz="0" w:space="0" w:color="auto"/>
              </w:divBdr>
            </w:div>
          </w:divsChild>
        </w:div>
        <w:div w:id="79762140">
          <w:marLeft w:val="0"/>
          <w:marRight w:val="0"/>
          <w:marTop w:val="0"/>
          <w:marBottom w:val="0"/>
          <w:divBdr>
            <w:top w:val="none" w:sz="0" w:space="0" w:color="auto"/>
            <w:left w:val="none" w:sz="0" w:space="0" w:color="auto"/>
            <w:bottom w:val="none" w:sz="0" w:space="0" w:color="auto"/>
            <w:right w:val="none" w:sz="0" w:space="0" w:color="auto"/>
          </w:divBdr>
          <w:divsChild>
            <w:div w:id="649023405">
              <w:marLeft w:val="0"/>
              <w:marRight w:val="0"/>
              <w:marTop w:val="0"/>
              <w:marBottom w:val="0"/>
              <w:divBdr>
                <w:top w:val="none" w:sz="0" w:space="0" w:color="auto"/>
                <w:left w:val="none" w:sz="0" w:space="0" w:color="auto"/>
                <w:bottom w:val="none" w:sz="0" w:space="0" w:color="auto"/>
                <w:right w:val="none" w:sz="0" w:space="0" w:color="auto"/>
              </w:divBdr>
            </w:div>
            <w:div w:id="832648122">
              <w:marLeft w:val="0"/>
              <w:marRight w:val="0"/>
              <w:marTop w:val="0"/>
              <w:marBottom w:val="0"/>
              <w:divBdr>
                <w:top w:val="none" w:sz="0" w:space="0" w:color="auto"/>
                <w:left w:val="none" w:sz="0" w:space="0" w:color="auto"/>
                <w:bottom w:val="none" w:sz="0" w:space="0" w:color="auto"/>
                <w:right w:val="none" w:sz="0" w:space="0" w:color="auto"/>
              </w:divBdr>
            </w:div>
          </w:divsChild>
        </w:div>
        <w:div w:id="82772720">
          <w:marLeft w:val="0"/>
          <w:marRight w:val="0"/>
          <w:marTop w:val="0"/>
          <w:marBottom w:val="0"/>
          <w:divBdr>
            <w:top w:val="none" w:sz="0" w:space="0" w:color="auto"/>
            <w:left w:val="none" w:sz="0" w:space="0" w:color="auto"/>
            <w:bottom w:val="none" w:sz="0" w:space="0" w:color="auto"/>
            <w:right w:val="none" w:sz="0" w:space="0" w:color="auto"/>
          </w:divBdr>
          <w:divsChild>
            <w:div w:id="1430197643">
              <w:marLeft w:val="0"/>
              <w:marRight w:val="0"/>
              <w:marTop w:val="0"/>
              <w:marBottom w:val="0"/>
              <w:divBdr>
                <w:top w:val="none" w:sz="0" w:space="0" w:color="auto"/>
                <w:left w:val="none" w:sz="0" w:space="0" w:color="auto"/>
                <w:bottom w:val="none" w:sz="0" w:space="0" w:color="auto"/>
                <w:right w:val="none" w:sz="0" w:space="0" w:color="auto"/>
              </w:divBdr>
            </w:div>
          </w:divsChild>
        </w:div>
        <w:div w:id="128254513">
          <w:marLeft w:val="0"/>
          <w:marRight w:val="0"/>
          <w:marTop w:val="0"/>
          <w:marBottom w:val="0"/>
          <w:divBdr>
            <w:top w:val="none" w:sz="0" w:space="0" w:color="auto"/>
            <w:left w:val="none" w:sz="0" w:space="0" w:color="auto"/>
            <w:bottom w:val="none" w:sz="0" w:space="0" w:color="auto"/>
            <w:right w:val="none" w:sz="0" w:space="0" w:color="auto"/>
          </w:divBdr>
          <w:divsChild>
            <w:div w:id="1201357048">
              <w:marLeft w:val="0"/>
              <w:marRight w:val="0"/>
              <w:marTop w:val="0"/>
              <w:marBottom w:val="0"/>
              <w:divBdr>
                <w:top w:val="none" w:sz="0" w:space="0" w:color="auto"/>
                <w:left w:val="none" w:sz="0" w:space="0" w:color="auto"/>
                <w:bottom w:val="none" w:sz="0" w:space="0" w:color="auto"/>
                <w:right w:val="none" w:sz="0" w:space="0" w:color="auto"/>
              </w:divBdr>
            </w:div>
          </w:divsChild>
        </w:div>
        <w:div w:id="173345955">
          <w:marLeft w:val="0"/>
          <w:marRight w:val="0"/>
          <w:marTop w:val="0"/>
          <w:marBottom w:val="0"/>
          <w:divBdr>
            <w:top w:val="none" w:sz="0" w:space="0" w:color="auto"/>
            <w:left w:val="none" w:sz="0" w:space="0" w:color="auto"/>
            <w:bottom w:val="none" w:sz="0" w:space="0" w:color="auto"/>
            <w:right w:val="none" w:sz="0" w:space="0" w:color="auto"/>
          </w:divBdr>
          <w:divsChild>
            <w:div w:id="1496602941">
              <w:marLeft w:val="0"/>
              <w:marRight w:val="0"/>
              <w:marTop w:val="0"/>
              <w:marBottom w:val="0"/>
              <w:divBdr>
                <w:top w:val="none" w:sz="0" w:space="0" w:color="auto"/>
                <w:left w:val="none" w:sz="0" w:space="0" w:color="auto"/>
                <w:bottom w:val="none" w:sz="0" w:space="0" w:color="auto"/>
                <w:right w:val="none" w:sz="0" w:space="0" w:color="auto"/>
              </w:divBdr>
            </w:div>
          </w:divsChild>
        </w:div>
        <w:div w:id="200287445">
          <w:marLeft w:val="0"/>
          <w:marRight w:val="0"/>
          <w:marTop w:val="0"/>
          <w:marBottom w:val="0"/>
          <w:divBdr>
            <w:top w:val="none" w:sz="0" w:space="0" w:color="auto"/>
            <w:left w:val="none" w:sz="0" w:space="0" w:color="auto"/>
            <w:bottom w:val="none" w:sz="0" w:space="0" w:color="auto"/>
            <w:right w:val="none" w:sz="0" w:space="0" w:color="auto"/>
          </w:divBdr>
          <w:divsChild>
            <w:div w:id="1521241287">
              <w:marLeft w:val="0"/>
              <w:marRight w:val="0"/>
              <w:marTop w:val="0"/>
              <w:marBottom w:val="0"/>
              <w:divBdr>
                <w:top w:val="none" w:sz="0" w:space="0" w:color="auto"/>
                <w:left w:val="none" w:sz="0" w:space="0" w:color="auto"/>
                <w:bottom w:val="none" w:sz="0" w:space="0" w:color="auto"/>
                <w:right w:val="none" w:sz="0" w:space="0" w:color="auto"/>
              </w:divBdr>
            </w:div>
          </w:divsChild>
        </w:div>
        <w:div w:id="261959310">
          <w:marLeft w:val="0"/>
          <w:marRight w:val="0"/>
          <w:marTop w:val="0"/>
          <w:marBottom w:val="0"/>
          <w:divBdr>
            <w:top w:val="none" w:sz="0" w:space="0" w:color="auto"/>
            <w:left w:val="none" w:sz="0" w:space="0" w:color="auto"/>
            <w:bottom w:val="none" w:sz="0" w:space="0" w:color="auto"/>
            <w:right w:val="none" w:sz="0" w:space="0" w:color="auto"/>
          </w:divBdr>
          <w:divsChild>
            <w:div w:id="656374566">
              <w:marLeft w:val="0"/>
              <w:marRight w:val="0"/>
              <w:marTop w:val="0"/>
              <w:marBottom w:val="0"/>
              <w:divBdr>
                <w:top w:val="none" w:sz="0" w:space="0" w:color="auto"/>
                <w:left w:val="none" w:sz="0" w:space="0" w:color="auto"/>
                <w:bottom w:val="none" w:sz="0" w:space="0" w:color="auto"/>
                <w:right w:val="none" w:sz="0" w:space="0" w:color="auto"/>
              </w:divBdr>
            </w:div>
          </w:divsChild>
        </w:div>
        <w:div w:id="328100412">
          <w:marLeft w:val="0"/>
          <w:marRight w:val="0"/>
          <w:marTop w:val="0"/>
          <w:marBottom w:val="0"/>
          <w:divBdr>
            <w:top w:val="none" w:sz="0" w:space="0" w:color="auto"/>
            <w:left w:val="none" w:sz="0" w:space="0" w:color="auto"/>
            <w:bottom w:val="none" w:sz="0" w:space="0" w:color="auto"/>
            <w:right w:val="none" w:sz="0" w:space="0" w:color="auto"/>
          </w:divBdr>
          <w:divsChild>
            <w:div w:id="533033896">
              <w:marLeft w:val="0"/>
              <w:marRight w:val="0"/>
              <w:marTop w:val="0"/>
              <w:marBottom w:val="0"/>
              <w:divBdr>
                <w:top w:val="none" w:sz="0" w:space="0" w:color="auto"/>
                <w:left w:val="none" w:sz="0" w:space="0" w:color="auto"/>
                <w:bottom w:val="none" w:sz="0" w:space="0" w:color="auto"/>
                <w:right w:val="none" w:sz="0" w:space="0" w:color="auto"/>
              </w:divBdr>
            </w:div>
          </w:divsChild>
        </w:div>
        <w:div w:id="409622418">
          <w:marLeft w:val="0"/>
          <w:marRight w:val="0"/>
          <w:marTop w:val="0"/>
          <w:marBottom w:val="0"/>
          <w:divBdr>
            <w:top w:val="none" w:sz="0" w:space="0" w:color="auto"/>
            <w:left w:val="none" w:sz="0" w:space="0" w:color="auto"/>
            <w:bottom w:val="none" w:sz="0" w:space="0" w:color="auto"/>
            <w:right w:val="none" w:sz="0" w:space="0" w:color="auto"/>
          </w:divBdr>
          <w:divsChild>
            <w:div w:id="607008055">
              <w:marLeft w:val="0"/>
              <w:marRight w:val="0"/>
              <w:marTop w:val="0"/>
              <w:marBottom w:val="0"/>
              <w:divBdr>
                <w:top w:val="none" w:sz="0" w:space="0" w:color="auto"/>
                <w:left w:val="none" w:sz="0" w:space="0" w:color="auto"/>
                <w:bottom w:val="none" w:sz="0" w:space="0" w:color="auto"/>
                <w:right w:val="none" w:sz="0" w:space="0" w:color="auto"/>
              </w:divBdr>
            </w:div>
          </w:divsChild>
        </w:div>
        <w:div w:id="512769663">
          <w:marLeft w:val="0"/>
          <w:marRight w:val="0"/>
          <w:marTop w:val="0"/>
          <w:marBottom w:val="0"/>
          <w:divBdr>
            <w:top w:val="none" w:sz="0" w:space="0" w:color="auto"/>
            <w:left w:val="none" w:sz="0" w:space="0" w:color="auto"/>
            <w:bottom w:val="none" w:sz="0" w:space="0" w:color="auto"/>
            <w:right w:val="none" w:sz="0" w:space="0" w:color="auto"/>
          </w:divBdr>
          <w:divsChild>
            <w:div w:id="885682795">
              <w:marLeft w:val="0"/>
              <w:marRight w:val="0"/>
              <w:marTop w:val="0"/>
              <w:marBottom w:val="0"/>
              <w:divBdr>
                <w:top w:val="none" w:sz="0" w:space="0" w:color="auto"/>
                <w:left w:val="none" w:sz="0" w:space="0" w:color="auto"/>
                <w:bottom w:val="none" w:sz="0" w:space="0" w:color="auto"/>
                <w:right w:val="none" w:sz="0" w:space="0" w:color="auto"/>
              </w:divBdr>
            </w:div>
          </w:divsChild>
        </w:div>
        <w:div w:id="567377293">
          <w:marLeft w:val="0"/>
          <w:marRight w:val="0"/>
          <w:marTop w:val="0"/>
          <w:marBottom w:val="0"/>
          <w:divBdr>
            <w:top w:val="none" w:sz="0" w:space="0" w:color="auto"/>
            <w:left w:val="none" w:sz="0" w:space="0" w:color="auto"/>
            <w:bottom w:val="none" w:sz="0" w:space="0" w:color="auto"/>
            <w:right w:val="none" w:sz="0" w:space="0" w:color="auto"/>
          </w:divBdr>
          <w:divsChild>
            <w:div w:id="103889748">
              <w:marLeft w:val="0"/>
              <w:marRight w:val="0"/>
              <w:marTop w:val="0"/>
              <w:marBottom w:val="0"/>
              <w:divBdr>
                <w:top w:val="none" w:sz="0" w:space="0" w:color="auto"/>
                <w:left w:val="none" w:sz="0" w:space="0" w:color="auto"/>
                <w:bottom w:val="none" w:sz="0" w:space="0" w:color="auto"/>
                <w:right w:val="none" w:sz="0" w:space="0" w:color="auto"/>
              </w:divBdr>
            </w:div>
          </w:divsChild>
        </w:div>
        <w:div w:id="673461890">
          <w:marLeft w:val="0"/>
          <w:marRight w:val="0"/>
          <w:marTop w:val="0"/>
          <w:marBottom w:val="0"/>
          <w:divBdr>
            <w:top w:val="none" w:sz="0" w:space="0" w:color="auto"/>
            <w:left w:val="none" w:sz="0" w:space="0" w:color="auto"/>
            <w:bottom w:val="none" w:sz="0" w:space="0" w:color="auto"/>
            <w:right w:val="none" w:sz="0" w:space="0" w:color="auto"/>
          </w:divBdr>
          <w:divsChild>
            <w:div w:id="641352447">
              <w:marLeft w:val="0"/>
              <w:marRight w:val="0"/>
              <w:marTop w:val="0"/>
              <w:marBottom w:val="0"/>
              <w:divBdr>
                <w:top w:val="none" w:sz="0" w:space="0" w:color="auto"/>
                <w:left w:val="none" w:sz="0" w:space="0" w:color="auto"/>
                <w:bottom w:val="none" w:sz="0" w:space="0" w:color="auto"/>
                <w:right w:val="none" w:sz="0" w:space="0" w:color="auto"/>
              </w:divBdr>
            </w:div>
            <w:div w:id="1296832585">
              <w:marLeft w:val="0"/>
              <w:marRight w:val="0"/>
              <w:marTop w:val="0"/>
              <w:marBottom w:val="0"/>
              <w:divBdr>
                <w:top w:val="none" w:sz="0" w:space="0" w:color="auto"/>
                <w:left w:val="none" w:sz="0" w:space="0" w:color="auto"/>
                <w:bottom w:val="none" w:sz="0" w:space="0" w:color="auto"/>
                <w:right w:val="none" w:sz="0" w:space="0" w:color="auto"/>
              </w:divBdr>
            </w:div>
          </w:divsChild>
        </w:div>
        <w:div w:id="695276678">
          <w:marLeft w:val="0"/>
          <w:marRight w:val="0"/>
          <w:marTop w:val="0"/>
          <w:marBottom w:val="0"/>
          <w:divBdr>
            <w:top w:val="none" w:sz="0" w:space="0" w:color="auto"/>
            <w:left w:val="none" w:sz="0" w:space="0" w:color="auto"/>
            <w:bottom w:val="none" w:sz="0" w:space="0" w:color="auto"/>
            <w:right w:val="none" w:sz="0" w:space="0" w:color="auto"/>
          </w:divBdr>
          <w:divsChild>
            <w:div w:id="1354763649">
              <w:marLeft w:val="0"/>
              <w:marRight w:val="0"/>
              <w:marTop w:val="0"/>
              <w:marBottom w:val="0"/>
              <w:divBdr>
                <w:top w:val="none" w:sz="0" w:space="0" w:color="auto"/>
                <w:left w:val="none" w:sz="0" w:space="0" w:color="auto"/>
                <w:bottom w:val="none" w:sz="0" w:space="0" w:color="auto"/>
                <w:right w:val="none" w:sz="0" w:space="0" w:color="auto"/>
              </w:divBdr>
            </w:div>
          </w:divsChild>
        </w:div>
        <w:div w:id="727187658">
          <w:marLeft w:val="0"/>
          <w:marRight w:val="0"/>
          <w:marTop w:val="0"/>
          <w:marBottom w:val="0"/>
          <w:divBdr>
            <w:top w:val="none" w:sz="0" w:space="0" w:color="auto"/>
            <w:left w:val="none" w:sz="0" w:space="0" w:color="auto"/>
            <w:bottom w:val="none" w:sz="0" w:space="0" w:color="auto"/>
            <w:right w:val="none" w:sz="0" w:space="0" w:color="auto"/>
          </w:divBdr>
          <w:divsChild>
            <w:div w:id="469283">
              <w:marLeft w:val="0"/>
              <w:marRight w:val="0"/>
              <w:marTop w:val="0"/>
              <w:marBottom w:val="0"/>
              <w:divBdr>
                <w:top w:val="none" w:sz="0" w:space="0" w:color="auto"/>
                <w:left w:val="none" w:sz="0" w:space="0" w:color="auto"/>
                <w:bottom w:val="none" w:sz="0" w:space="0" w:color="auto"/>
                <w:right w:val="none" w:sz="0" w:space="0" w:color="auto"/>
              </w:divBdr>
            </w:div>
          </w:divsChild>
        </w:div>
        <w:div w:id="766459387">
          <w:marLeft w:val="0"/>
          <w:marRight w:val="0"/>
          <w:marTop w:val="0"/>
          <w:marBottom w:val="0"/>
          <w:divBdr>
            <w:top w:val="none" w:sz="0" w:space="0" w:color="auto"/>
            <w:left w:val="none" w:sz="0" w:space="0" w:color="auto"/>
            <w:bottom w:val="none" w:sz="0" w:space="0" w:color="auto"/>
            <w:right w:val="none" w:sz="0" w:space="0" w:color="auto"/>
          </w:divBdr>
          <w:divsChild>
            <w:div w:id="926814354">
              <w:marLeft w:val="0"/>
              <w:marRight w:val="0"/>
              <w:marTop w:val="0"/>
              <w:marBottom w:val="0"/>
              <w:divBdr>
                <w:top w:val="none" w:sz="0" w:space="0" w:color="auto"/>
                <w:left w:val="none" w:sz="0" w:space="0" w:color="auto"/>
                <w:bottom w:val="none" w:sz="0" w:space="0" w:color="auto"/>
                <w:right w:val="none" w:sz="0" w:space="0" w:color="auto"/>
              </w:divBdr>
            </w:div>
          </w:divsChild>
        </w:div>
        <w:div w:id="785125885">
          <w:marLeft w:val="0"/>
          <w:marRight w:val="0"/>
          <w:marTop w:val="0"/>
          <w:marBottom w:val="0"/>
          <w:divBdr>
            <w:top w:val="none" w:sz="0" w:space="0" w:color="auto"/>
            <w:left w:val="none" w:sz="0" w:space="0" w:color="auto"/>
            <w:bottom w:val="none" w:sz="0" w:space="0" w:color="auto"/>
            <w:right w:val="none" w:sz="0" w:space="0" w:color="auto"/>
          </w:divBdr>
          <w:divsChild>
            <w:div w:id="1481580003">
              <w:marLeft w:val="0"/>
              <w:marRight w:val="0"/>
              <w:marTop w:val="0"/>
              <w:marBottom w:val="0"/>
              <w:divBdr>
                <w:top w:val="none" w:sz="0" w:space="0" w:color="auto"/>
                <w:left w:val="none" w:sz="0" w:space="0" w:color="auto"/>
                <w:bottom w:val="none" w:sz="0" w:space="0" w:color="auto"/>
                <w:right w:val="none" w:sz="0" w:space="0" w:color="auto"/>
              </w:divBdr>
            </w:div>
          </w:divsChild>
        </w:div>
        <w:div w:id="786705777">
          <w:marLeft w:val="0"/>
          <w:marRight w:val="0"/>
          <w:marTop w:val="0"/>
          <w:marBottom w:val="0"/>
          <w:divBdr>
            <w:top w:val="none" w:sz="0" w:space="0" w:color="auto"/>
            <w:left w:val="none" w:sz="0" w:space="0" w:color="auto"/>
            <w:bottom w:val="none" w:sz="0" w:space="0" w:color="auto"/>
            <w:right w:val="none" w:sz="0" w:space="0" w:color="auto"/>
          </w:divBdr>
          <w:divsChild>
            <w:div w:id="534852636">
              <w:marLeft w:val="0"/>
              <w:marRight w:val="0"/>
              <w:marTop w:val="0"/>
              <w:marBottom w:val="0"/>
              <w:divBdr>
                <w:top w:val="none" w:sz="0" w:space="0" w:color="auto"/>
                <w:left w:val="none" w:sz="0" w:space="0" w:color="auto"/>
                <w:bottom w:val="none" w:sz="0" w:space="0" w:color="auto"/>
                <w:right w:val="none" w:sz="0" w:space="0" w:color="auto"/>
              </w:divBdr>
            </w:div>
          </w:divsChild>
        </w:div>
        <w:div w:id="793446651">
          <w:marLeft w:val="0"/>
          <w:marRight w:val="0"/>
          <w:marTop w:val="0"/>
          <w:marBottom w:val="0"/>
          <w:divBdr>
            <w:top w:val="none" w:sz="0" w:space="0" w:color="auto"/>
            <w:left w:val="none" w:sz="0" w:space="0" w:color="auto"/>
            <w:bottom w:val="none" w:sz="0" w:space="0" w:color="auto"/>
            <w:right w:val="none" w:sz="0" w:space="0" w:color="auto"/>
          </w:divBdr>
          <w:divsChild>
            <w:div w:id="213783271">
              <w:marLeft w:val="0"/>
              <w:marRight w:val="0"/>
              <w:marTop w:val="0"/>
              <w:marBottom w:val="0"/>
              <w:divBdr>
                <w:top w:val="none" w:sz="0" w:space="0" w:color="auto"/>
                <w:left w:val="none" w:sz="0" w:space="0" w:color="auto"/>
                <w:bottom w:val="none" w:sz="0" w:space="0" w:color="auto"/>
                <w:right w:val="none" w:sz="0" w:space="0" w:color="auto"/>
              </w:divBdr>
            </w:div>
          </w:divsChild>
        </w:div>
        <w:div w:id="798766202">
          <w:marLeft w:val="0"/>
          <w:marRight w:val="0"/>
          <w:marTop w:val="0"/>
          <w:marBottom w:val="0"/>
          <w:divBdr>
            <w:top w:val="none" w:sz="0" w:space="0" w:color="auto"/>
            <w:left w:val="none" w:sz="0" w:space="0" w:color="auto"/>
            <w:bottom w:val="none" w:sz="0" w:space="0" w:color="auto"/>
            <w:right w:val="none" w:sz="0" w:space="0" w:color="auto"/>
          </w:divBdr>
          <w:divsChild>
            <w:div w:id="1252857582">
              <w:marLeft w:val="0"/>
              <w:marRight w:val="0"/>
              <w:marTop w:val="0"/>
              <w:marBottom w:val="0"/>
              <w:divBdr>
                <w:top w:val="none" w:sz="0" w:space="0" w:color="auto"/>
                <w:left w:val="none" w:sz="0" w:space="0" w:color="auto"/>
                <w:bottom w:val="none" w:sz="0" w:space="0" w:color="auto"/>
                <w:right w:val="none" w:sz="0" w:space="0" w:color="auto"/>
              </w:divBdr>
            </w:div>
          </w:divsChild>
        </w:div>
        <w:div w:id="843858138">
          <w:marLeft w:val="0"/>
          <w:marRight w:val="0"/>
          <w:marTop w:val="0"/>
          <w:marBottom w:val="0"/>
          <w:divBdr>
            <w:top w:val="none" w:sz="0" w:space="0" w:color="auto"/>
            <w:left w:val="none" w:sz="0" w:space="0" w:color="auto"/>
            <w:bottom w:val="none" w:sz="0" w:space="0" w:color="auto"/>
            <w:right w:val="none" w:sz="0" w:space="0" w:color="auto"/>
          </w:divBdr>
          <w:divsChild>
            <w:div w:id="696196159">
              <w:marLeft w:val="0"/>
              <w:marRight w:val="0"/>
              <w:marTop w:val="0"/>
              <w:marBottom w:val="0"/>
              <w:divBdr>
                <w:top w:val="none" w:sz="0" w:space="0" w:color="auto"/>
                <w:left w:val="none" w:sz="0" w:space="0" w:color="auto"/>
                <w:bottom w:val="none" w:sz="0" w:space="0" w:color="auto"/>
                <w:right w:val="none" w:sz="0" w:space="0" w:color="auto"/>
              </w:divBdr>
            </w:div>
          </w:divsChild>
        </w:div>
        <w:div w:id="845676990">
          <w:marLeft w:val="0"/>
          <w:marRight w:val="0"/>
          <w:marTop w:val="0"/>
          <w:marBottom w:val="0"/>
          <w:divBdr>
            <w:top w:val="none" w:sz="0" w:space="0" w:color="auto"/>
            <w:left w:val="none" w:sz="0" w:space="0" w:color="auto"/>
            <w:bottom w:val="none" w:sz="0" w:space="0" w:color="auto"/>
            <w:right w:val="none" w:sz="0" w:space="0" w:color="auto"/>
          </w:divBdr>
          <w:divsChild>
            <w:div w:id="1304236268">
              <w:marLeft w:val="0"/>
              <w:marRight w:val="0"/>
              <w:marTop w:val="0"/>
              <w:marBottom w:val="0"/>
              <w:divBdr>
                <w:top w:val="none" w:sz="0" w:space="0" w:color="auto"/>
                <w:left w:val="none" w:sz="0" w:space="0" w:color="auto"/>
                <w:bottom w:val="none" w:sz="0" w:space="0" w:color="auto"/>
                <w:right w:val="none" w:sz="0" w:space="0" w:color="auto"/>
              </w:divBdr>
            </w:div>
          </w:divsChild>
        </w:div>
        <w:div w:id="854222276">
          <w:marLeft w:val="0"/>
          <w:marRight w:val="0"/>
          <w:marTop w:val="0"/>
          <w:marBottom w:val="0"/>
          <w:divBdr>
            <w:top w:val="none" w:sz="0" w:space="0" w:color="auto"/>
            <w:left w:val="none" w:sz="0" w:space="0" w:color="auto"/>
            <w:bottom w:val="none" w:sz="0" w:space="0" w:color="auto"/>
            <w:right w:val="none" w:sz="0" w:space="0" w:color="auto"/>
          </w:divBdr>
          <w:divsChild>
            <w:div w:id="503937060">
              <w:marLeft w:val="0"/>
              <w:marRight w:val="0"/>
              <w:marTop w:val="0"/>
              <w:marBottom w:val="0"/>
              <w:divBdr>
                <w:top w:val="none" w:sz="0" w:space="0" w:color="auto"/>
                <w:left w:val="none" w:sz="0" w:space="0" w:color="auto"/>
                <w:bottom w:val="none" w:sz="0" w:space="0" w:color="auto"/>
                <w:right w:val="none" w:sz="0" w:space="0" w:color="auto"/>
              </w:divBdr>
            </w:div>
          </w:divsChild>
        </w:div>
        <w:div w:id="857698530">
          <w:marLeft w:val="0"/>
          <w:marRight w:val="0"/>
          <w:marTop w:val="0"/>
          <w:marBottom w:val="0"/>
          <w:divBdr>
            <w:top w:val="none" w:sz="0" w:space="0" w:color="auto"/>
            <w:left w:val="none" w:sz="0" w:space="0" w:color="auto"/>
            <w:bottom w:val="none" w:sz="0" w:space="0" w:color="auto"/>
            <w:right w:val="none" w:sz="0" w:space="0" w:color="auto"/>
          </w:divBdr>
          <w:divsChild>
            <w:div w:id="1202858829">
              <w:marLeft w:val="0"/>
              <w:marRight w:val="0"/>
              <w:marTop w:val="0"/>
              <w:marBottom w:val="0"/>
              <w:divBdr>
                <w:top w:val="none" w:sz="0" w:space="0" w:color="auto"/>
                <w:left w:val="none" w:sz="0" w:space="0" w:color="auto"/>
                <w:bottom w:val="none" w:sz="0" w:space="0" w:color="auto"/>
                <w:right w:val="none" w:sz="0" w:space="0" w:color="auto"/>
              </w:divBdr>
            </w:div>
          </w:divsChild>
        </w:div>
        <w:div w:id="881097681">
          <w:marLeft w:val="0"/>
          <w:marRight w:val="0"/>
          <w:marTop w:val="0"/>
          <w:marBottom w:val="0"/>
          <w:divBdr>
            <w:top w:val="none" w:sz="0" w:space="0" w:color="auto"/>
            <w:left w:val="none" w:sz="0" w:space="0" w:color="auto"/>
            <w:bottom w:val="none" w:sz="0" w:space="0" w:color="auto"/>
            <w:right w:val="none" w:sz="0" w:space="0" w:color="auto"/>
          </w:divBdr>
          <w:divsChild>
            <w:div w:id="1132864770">
              <w:marLeft w:val="0"/>
              <w:marRight w:val="0"/>
              <w:marTop w:val="0"/>
              <w:marBottom w:val="0"/>
              <w:divBdr>
                <w:top w:val="none" w:sz="0" w:space="0" w:color="auto"/>
                <w:left w:val="none" w:sz="0" w:space="0" w:color="auto"/>
                <w:bottom w:val="none" w:sz="0" w:space="0" w:color="auto"/>
                <w:right w:val="none" w:sz="0" w:space="0" w:color="auto"/>
              </w:divBdr>
            </w:div>
            <w:div w:id="1662193606">
              <w:marLeft w:val="0"/>
              <w:marRight w:val="0"/>
              <w:marTop w:val="0"/>
              <w:marBottom w:val="0"/>
              <w:divBdr>
                <w:top w:val="none" w:sz="0" w:space="0" w:color="auto"/>
                <w:left w:val="none" w:sz="0" w:space="0" w:color="auto"/>
                <w:bottom w:val="none" w:sz="0" w:space="0" w:color="auto"/>
                <w:right w:val="none" w:sz="0" w:space="0" w:color="auto"/>
              </w:divBdr>
            </w:div>
          </w:divsChild>
        </w:div>
        <w:div w:id="917789885">
          <w:marLeft w:val="0"/>
          <w:marRight w:val="0"/>
          <w:marTop w:val="0"/>
          <w:marBottom w:val="0"/>
          <w:divBdr>
            <w:top w:val="none" w:sz="0" w:space="0" w:color="auto"/>
            <w:left w:val="none" w:sz="0" w:space="0" w:color="auto"/>
            <w:bottom w:val="none" w:sz="0" w:space="0" w:color="auto"/>
            <w:right w:val="none" w:sz="0" w:space="0" w:color="auto"/>
          </w:divBdr>
          <w:divsChild>
            <w:div w:id="67775769">
              <w:marLeft w:val="0"/>
              <w:marRight w:val="0"/>
              <w:marTop w:val="0"/>
              <w:marBottom w:val="0"/>
              <w:divBdr>
                <w:top w:val="none" w:sz="0" w:space="0" w:color="auto"/>
                <w:left w:val="none" w:sz="0" w:space="0" w:color="auto"/>
                <w:bottom w:val="none" w:sz="0" w:space="0" w:color="auto"/>
                <w:right w:val="none" w:sz="0" w:space="0" w:color="auto"/>
              </w:divBdr>
            </w:div>
          </w:divsChild>
        </w:div>
        <w:div w:id="939293965">
          <w:marLeft w:val="0"/>
          <w:marRight w:val="0"/>
          <w:marTop w:val="0"/>
          <w:marBottom w:val="0"/>
          <w:divBdr>
            <w:top w:val="none" w:sz="0" w:space="0" w:color="auto"/>
            <w:left w:val="none" w:sz="0" w:space="0" w:color="auto"/>
            <w:bottom w:val="none" w:sz="0" w:space="0" w:color="auto"/>
            <w:right w:val="none" w:sz="0" w:space="0" w:color="auto"/>
          </w:divBdr>
          <w:divsChild>
            <w:div w:id="1741319484">
              <w:marLeft w:val="0"/>
              <w:marRight w:val="0"/>
              <w:marTop w:val="0"/>
              <w:marBottom w:val="0"/>
              <w:divBdr>
                <w:top w:val="none" w:sz="0" w:space="0" w:color="auto"/>
                <w:left w:val="none" w:sz="0" w:space="0" w:color="auto"/>
                <w:bottom w:val="none" w:sz="0" w:space="0" w:color="auto"/>
                <w:right w:val="none" w:sz="0" w:space="0" w:color="auto"/>
              </w:divBdr>
            </w:div>
          </w:divsChild>
        </w:div>
        <w:div w:id="955797072">
          <w:marLeft w:val="0"/>
          <w:marRight w:val="0"/>
          <w:marTop w:val="0"/>
          <w:marBottom w:val="0"/>
          <w:divBdr>
            <w:top w:val="none" w:sz="0" w:space="0" w:color="auto"/>
            <w:left w:val="none" w:sz="0" w:space="0" w:color="auto"/>
            <w:bottom w:val="none" w:sz="0" w:space="0" w:color="auto"/>
            <w:right w:val="none" w:sz="0" w:space="0" w:color="auto"/>
          </w:divBdr>
          <w:divsChild>
            <w:div w:id="2140295742">
              <w:marLeft w:val="0"/>
              <w:marRight w:val="0"/>
              <w:marTop w:val="0"/>
              <w:marBottom w:val="0"/>
              <w:divBdr>
                <w:top w:val="none" w:sz="0" w:space="0" w:color="auto"/>
                <w:left w:val="none" w:sz="0" w:space="0" w:color="auto"/>
                <w:bottom w:val="none" w:sz="0" w:space="0" w:color="auto"/>
                <w:right w:val="none" w:sz="0" w:space="0" w:color="auto"/>
              </w:divBdr>
            </w:div>
          </w:divsChild>
        </w:div>
        <w:div w:id="998731335">
          <w:marLeft w:val="0"/>
          <w:marRight w:val="0"/>
          <w:marTop w:val="0"/>
          <w:marBottom w:val="0"/>
          <w:divBdr>
            <w:top w:val="none" w:sz="0" w:space="0" w:color="auto"/>
            <w:left w:val="none" w:sz="0" w:space="0" w:color="auto"/>
            <w:bottom w:val="none" w:sz="0" w:space="0" w:color="auto"/>
            <w:right w:val="none" w:sz="0" w:space="0" w:color="auto"/>
          </w:divBdr>
          <w:divsChild>
            <w:div w:id="1648703186">
              <w:marLeft w:val="0"/>
              <w:marRight w:val="0"/>
              <w:marTop w:val="0"/>
              <w:marBottom w:val="0"/>
              <w:divBdr>
                <w:top w:val="none" w:sz="0" w:space="0" w:color="auto"/>
                <w:left w:val="none" w:sz="0" w:space="0" w:color="auto"/>
                <w:bottom w:val="none" w:sz="0" w:space="0" w:color="auto"/>
                <w:right w:val="none" w:sz="0" w:space="0" w:color="auto"/>
              </w:divBdr>
            </w:div>
          </w:divsChild>
        </w:div>
        <w:div w:id="1021008544">
          <w:marLeft w:val="0"/>
          <w:marRight w:val="0"/>
          <w:marTop w:val="0"/>
          <w:marBottom w:val="0"/>
          <w:divBdr>
            <w:top w:val="none" w:sz="0" w:space="0" w:color="auto"/>
            <w:left w:val="none" w:sz="0" w:space="0" w:color="auto"/>
            <w:bottom w:val="none" w:sz="0" w:space="0" w:color="auto"/>
            <w:right w:val="none" w:sz="0" w:space="0" w:color="auto"/>
          </w:divBdr>
          <w:divsChild>
            <w:div w:id="1161235458">
              <w:marLeft w:val="0"/>
              <w:marRight w:val="0"/>
              <w:marTop w:val="0"/>
              <w:marBottom w:val="0"/>
              <w:divBdr>
                <w:top w:val="none" w:sz="0" w:space="0" w:color="auto"/>
                <w:left w:val="none" w:sz="0" w:space="0" w:color="auto"/>
                <w:bottom w:val="none" w:sz="0" w:space="0" w:color="auto"/>
                <w:right w:val="none" w:sz="0" w:space="0" w:color="auto"/>
              </w:divBdr>
            </w:div>
          </w:divsChild>
        </w:div>
        <w:div w:id="1055156611">
          <w:marLeft w:val="0"/>
          <w:marRight w:val="0"/>
          <w:marTop w:val="0"/>
          <w:marBottom w:val="0"/>
          <w:divBdr>
            <w:top w:val="none" w:sz="0" w:space="0" w:color="auto"/>
            <w:left w:val="none" w:sz="0" w:space="0" w:color="auto"/>
            <w:bottom w:val="none" w:sz="0" w:space="0" w:color="auto"/>
            <w:right w:val="none" w:sz="0" w:space="0" w:color="auto"/>
          </w:divBdr>
          <w:divsChild>
            <w:div w:id="544636428">
              <w:marLeft w:val="0"/>
              <w:marRight w:val="0"/>
              <w:marTop w:val="0"/>
              <w:marBottom w:val="0"/>
              <w:divBdr>
                <w:top w:val="none" w:sz="0" w:space="0" w:color="auto"/>
                <w:left w:val="none" w:sz="0" w:space="0" w:color="auto"/>
                <w:bottom w:val="none" w:sz="0" w:space="0" w:color="auto"/>
                <w:right w:val="none" w:sz="0" w:space="0" w:color="auto"/>
              </w:divBdr>
            </w:div>
          </w:divsChild>
        </w:div>
        <w:div w:id="1145656577">
          <w:marLeft w:val="0"/>
          <w:marRight w:val="0"/>
          <w:marTop w:val="0"/>
          <w:marBottom w:val="0"/>
          <w:divBdr>
            <w:top w:val="none" w:sz="0" w:space="0" w:color="auto"/>
            <w:left w:val="none" w:sz="0" w:space="0" w:color="auto"/>
            <w:bottom w:val="none" w:sz="0" w:space="0" w:color="auto"/>
            <w:right w:val="none" w:sz="0" w:space="0" w:color="auto"/>
          </w:divBdr>
          <w:divsChild>
            <w:div w:id="1391466706">
              <w:marLeft w:val="0"/>
              <w:marRight w:val="0"/>
              <w:marTop w:val="0"/>
              <w:marBottom w:val="0"/>
              <w:divBdr>
                <w:top w:val="none" w:sz="0" w:space="0" w:color="auto"/>
                <w:left w:val="none" w:sz="0" w:space="0" w:color="auto"/>
                <w:bottom w:val="none" w:sz="0" w:space="0" w:color="auto"/>
                <w:right w:val="none" w:sz="0" w:space="0" w:color="auto"/>
              </w:divBdr>
            </w:div>
          </w:divsChild>
        </w:div>
        <w:div w:id="1216432246">
          <w:marLeft w:val="0"/>
          <w:marRight w:val="0"/>
          <w:marTop w:val="0"/>
          <w:marBottom w:val="0"/>
          <w:divBdr>
            <w:top w:val="none" w:sz="0" w:space="0" w:color="auto"/>
            <w:left w:val="none" w:sz="0" w:space="0" w:color="auto"/>
            <w:bottom w:val="none" w:sz="0" w:space="0" w:color="auto"/>
            <w:right w:val="none" w:sz="0" w:space="0" w:color="auto"/>
          </w:divBdr>
          <w:divsChild>
            <w:div w:id="2138139988">
              <w:marLeft w:val="0"/>
              <w:marRight w:val="0"/>
              <w:marTop w:val="0"/>
              <w:marBottom w:val="0"/>
              <w:divBdr>
                <w:top w:val="none" w:sz="0" w:space="0" w:color="auto"/>
                <w:left w:val="none" w:sz="0" w:space="0" w:color="auto"/>
                <w:bottom w:val="none" w:sz="0" w:space="0" w:color="auto"/>
                <w:right w:val="none" w:sz="0" w:space="0" w:color="auto"/>
              </w:divBdr>
            </w:div>
          </w:divsChild>
        </w:div>
        <w:div w:id="1314991447">
          <w:marLeft w:val="0"/>
          <w:marRight w:val="0"/>
          <w:marTop w:val="0"/>
          <w:marBottom w:val="0"/>
          <w:divBdr>
            <w:top w:val="none" w:sz="0" w:space="0" w:color="auto"/>
            <w:left w:val="none" w:sz="0" w:space="0" w:color="auto"/>
            <w:bottom w:val="none" w:sz="0" w:space="0" w:color="auto"/>
            <w:right w:val="none" w:sz="0" w:space="0" w:color="auto"/>
          </w:divBdr>
          <w:divsChild>
            <w:div w:id="1390113452">
              <w:marLeft w:val="0"/>
              <w:marRight w:val="0"/>
              <w:marTop w:val="0"/>
              <w:marBottom w:val="0"/>
              <w:divBdr>
                <w:top w:val="none" w:sz="0" w:space="0" w:color="auto"/>
                <w:left w:val="none" w:sz="0" w:space="0" w:color="auto"/>
                <w:bottom w:val="none" w:sz="0" w:space="0" w:color="auto"/>
                <w:right w:val="none" w:sz="0" w:space="0" w:color="auto"/>
              </w:divBdr>
            </w:div>
          </w:divsChild>
        </w:div>
        <w:div w:id="1317342284">
          <w:marLeft w:val="0"/>
          <w:marRight w:val="0"/>
          <w:marTop w:val="0"/>
          <w:marBottom w:val="0"/>
          <w:divBdr>
            <w:top w:val="none" w:sz="0" w:space="0" w:color="auto"/>
            <w:left w:val="none" w:sz="0" w:space="0" w:color="auto"/>
            <w:bottom w:val="none" w:sz="0" w:space="0" w:color="auto"/>
            <w:right w:val="none" w:sz="0" w:space="0" w:color="auto"/>
          </w:divBdr>
          <w:divsChild>
            <w:div w:id="275989781">
              <w:marLeft w:val="0"/>
              <w:marRight w:val="0"/>
              <w:marTop w:val="0"/>
              <w:marBottom w:val="0"/>
              <w:divBdr>
                <w:top w:val="none" w:sz="0" w:space="0" w:color="auto"/>
                <w:left w:val="none" w:sz="0" w:space="0" w:color="auto"/>
                <w:bottom w:val="none" w:sz="0" w:space="0" w:color="auto"/>
                <w:right w:val="none" w:sz="0" w:space="0" w:color="auto"/>
              </w:divBdr>
            </w:div>
          </w:divsChild>
        </w:div>
        <w:div w:id="1325822289">
          <w:marLeft w:val="0"/>
          <w:marRight w:val="0"/>
          <w:marTop w:val="0"/>
          <w:marBottom w:val="0"/>
          <w:divBdr>
            <w:top w:val="none" w:sz="0" w:space="0" w:color="auto"/>
            <w:left w:val="none" w:sz="0" w:space="0" w:color="auto"/>
            <w:bottom w:val="none" w:sz="0" w:space="0" w:color="auto"/>
            <w:right w:val="none" w:sz="0" w:space="0" w:color="auto"/>
          </w:divBdr>
          <w:divsChild>
            <w:div w:id="1776633376">
              <w:marLeft w:val="0"/>
              <w:marRight w:val="0"/>
              <w:marTop w:val="0"/>
              <w:marBottom w:val="0"/>
              <w:divBdr>
                <w:top w:val="none" w:sz="0" w:space="0" w:color="auto"/>
                <w:left w:val="none" w:sz="0" w:space="0" w:color="auto"/>
                <w:bottom w:val="none" w:sz="0" w:space="0" w:color="auto"/>
                <w:right w:val="none" w:sz="0" w:space="0" w:color="auto"/>
              </w:divBdr>
            </w:div>
          </w:divsChild>
        </w:div>
        <w:div w:id="1392459070">
          <w:marLeft w:val="0"/>
          <w:marRight w:val="0"/>
          <w:marTop w:val="0"/>
          <w:marBottom w:val="0"/>
          <w:divBdr>
            <w:top w:val="none" w:sz="0" w:space="0" w:color="auto"/>
            <w:left w:val="none" w:sz="0" w:space="0" w:color="auto"/>
            <w:bottom w:val="none" w:sz="0" w:space="0" w:color="auto"/>
            <w:right w:val="none" w:sz="0" w:space="0" w:color="auto"/>
          </w:divBdr>
          <w:divsChild>
            <w:div w:id="257103312">
              <w:marLeft w:val="0"/>
              <w:marRight w:val="0"/>
              <w:marTop w:val="0"/>
              <w:marBottom w:val="0"/>
              <w:divBdr>
                <w:top w:val="none" w:sz="0" w:space="0" w:color="auto"/>
                <w:left w:val="none" w:sz="0" w:space="0" w:color="auto"/>
                <w:bottom w:val="none" w:sz="0" w:space="0" w:color="auto"/>
                <w:right w:val="none" w:sz="0" w:space="0" w:color="auto"/>
              </w:divBdr>
            </w:div>
          </w:divsChild>
        </w:div>
        <w:div w:id="1558472276">
          <w:marLeft w:val="0"/>
          <w:marRight w:val="0"/>
          <w:marTop w:val="0"/>
          <w:marBottom w:val="0"/>
          <w:divBdr>
            <w:top w:val="none" w:sz="0" w:space="0" w:color="auto"/>
            <w:left w:val="none" w:sz="0" w:space="0" w:color="auto"/>
            <w:bottom w:val="none" w:sz="0" w:space="0" w:color="auto"/>
            <w:right w:val="none" w:sz="0" w:space="0" w:color="auto"/>
          </w:divBdr>
          <w:divsChild>
            <w:div w:id="581138830">
              <w:marLeft w:val="0"/>
              <w:marRight w:val="0"/>
              <w:marTop w:val="0"/>
              <w:marBottom w:val="0"/>
              <w:divBdr>
                <w:top w:val="none" w:sz="0" w:space="0" w:color="auto"/>
                <w:left w:val="none" w:sz="0" w:space="0" w:color="auto"/>
                <w:bottom w:val="none" w:sz="0" w:space="0" w:color="auto"/>
                <w:right w:val="none" w:sz="0" w:space="0" w:color="auto"/>
              </w:divBdr>
            </w:div>
          </w:divsChild>
        </w:div>
        <w:div w:id="1592281016">
          <w:marLeft w:val="0"/>
          <w:marRight w:val="0"/>
          <w:marTop w:val="0"/>
          <w:marBottom w:val="0"/>
          <w:divBdr>
            <w:top w:val="none" w:sz="0" w:space="0" w:color="auto"/>
            <w:left w:val="none" w:sz="0" w:space="0" w:color="auto"/>
            <w:bottom w:val="none" w:sz="0" w:space="0" w:color="auto"/>
            <w:right w:val="none" w:sz="0" w:space="0" w:color="auto"/>
          </w:divBdr>
          <w:divsChild>
            <w:div w:id="472674301">
              <w:marLeft w:val="0"/>
              <w:marRight w:val="0"/>
              <w:marTop w:val="0"/>
              <w:marBottom w:val="0"/>
              <w:divBdr>
                <w:top w:val="none" w:sz="0" w:space="0" w:color="auto"/>
                <w:left w:val="none" w:sz="0" w:space="0" w:color="auto"/>
                <w:bottom w:val="none" w:sz="0" w:space="0" w:color="auto"/>
                <w:right w:val="none" w:sz="0" w:space="0" w:color="auto"/>
              </w:divBdr>
            </w:div>
          </w:divsChild>
        </w:div>
        <w:div w:id="1644432246">
          <w:marLeft w:val="0"/>
          <w:marRight w:val="0"/>
          <w:marTop w:val="0"/>
          <w:marBottom w:val="0"/>
          <w:divBdr>
            <w:top w:val="none" w:sz="0" w:space="0" w:color="auto"/>
            <w:left w:val="none" w:sz="0" w:space="0" w:color="auto"/>
            <w:bottom w:val="none" w:sz="0" w:space="0" w:color="auto"/>
            <w:right w:val="none" w:sz="0" w:space="0" w:color="auto"/>
          </w:divBdr>
          <w:divsChild>
            <w:div w:id="1348868354">
              <w:marLeft w:val="0"/>
              <w:marRight w:val="0"/>
              <w:marTop w:val="0"/>
              <w:marBottom w:val="0"/>
              <w:divBdr>
                <w:top w:val="none" w:sz="0" w:space="0" w:color="auto"/>
                <w:left w:val="none" w:sz="0" w:space="0" w:color="auto"/>
                <w:bottom w:val="none" w:sz="0" w:space="0" w:color="auto"/>
                <w:right w:val="none" w:sz="0" w:space="0" w:color="auto"/>
              </w:divBdr>
            </w:div>
          </w:divsChild>
        </w:div>
        <w:div w:id="1710370921">
          <w:marLeft w:val="0"/>
          <w:marRight w:val="0"/>
          <w:marTop w:val="0"/>
          <w:marBottom w:val="0"/>
          <w:divBdr>
            <w:top w:val="none" w:sz="0" w:space="0" w:color="auto"/>
            <w:left w:val="none" w:sz="0" w:space="0" w:color="auto"/>
            <w:bottom w:val="none" w:sz="0" w:space="0" w:color="auto"/>
            <w:right w:val="none" w:sz="0" w:space="0" w:color="auto"/>
          </w:divBdr>
          <w:divsChild>
            <w:div w:id="1823227647">
              <w:marLeft w:val="0"/>
              <w:marRight w:val="0"/>
              <w:marTop w:val="0"/>
              <w:marBottom w:val="0"/>
              <w:divBdr>
                <w:top w:val="none" w:sz="0" w:space="0" w:color="auto"/>
                <w:left w:val="none" w:sz="0" w:space="0" w:color="auto"/>
                <w:bottom w:val="none" w:sz="0" w:space="0" w:color="auto"/>
                <w:right w:val="none" w:sz="0" w:space="0" w:color="auto"/>
              </w:divBdr>
            </w:div>
          </w:divsChild>
        </w:div>
        <w:div w:id="1725249377">
          <w:marLeft w:val="0"/>
          <w:marRight w:val="0"/>
          <w:marTop w:val="0"/>
          <w:marBottom w:val="0"/>
          <w:divBdr>
            <w:top w:val="none" w:sz="0" w:space="0" w:color="auto"/>
            <w:left w:val="none" w:sz="0" w:space="0" w:color="auto"/>
            <w:bottom w:val="none" w:sz="0" w:space="0" w:color="auto"/>
            <w:right w:val="none" w:sz="0" w:space="0" w:color="auto"/>
          </w:divBdr>
          <w:divsChild>
            <w:div w:id="1771461301">
              <w:marLeft w:val="0"/>
              <w:marRight w:val="0"/>
              <w:marTop w:val="0"/>
              <w:marBottom w:val="0"/>
              <w:divBdr>
                <w:top w:val="none" w:sz="0" w:space="0" w:color="auto"/>
                <w:left w:val="none" w:sz="0" w:space="0" w:color="auto"/>
                <w:bottom w:val="none" w:sz="0" w:space="0" w:color="auto"/>
                <w:right w:val="none" w:sz="0" w:space="0" w:color="auto"/>
              </w:divBdr>
            </w:div>
          </w:divsChild>
        </w:div>
        <w:div w:id="1737775234">
          <w:marLeft w:val="0"/>
          <w:marRight w:val="0"/>
          <w:marTop w:val="0"/>
          <w:marBottom w:val="0"/>
          <w:divBdr>
            <w:top w:val="none" w:sz="0" w:space="0" w:color="auto"/>
            <w:left w:val="none" w:sz="0" w:space="0" w:color="auto"/>
            <w:bottom w:val="none" w:sz="0" w:space="0" w:color="auto"/>
            <w:right w:val="none" w:sz="0" w:space="0" w:color="auto"/>
          </w:divBdr>
          <w:divsChild>
            <w:div w:id="1131903234">
              <w:marLeft w:val="0"/>
              <w:marRight w:val="0"/>
              <w:marTop w:val="0"/>
              <w:marBottom w:val="0"/>
              <w:divBdr>
                <w:top w:val="none" w:sz="0" w:space="0" w:color="auto"/>
                <w:left w:val="none" w:sz="0" w:space="0" w:color="auto"/>
                <w:bottom w:val="none" w:sz="0" w:space="0" w:color="auto"/>
                <w:right w:val="none" w:sz="0" w:space="0" w:color="auto"/>
              </w:divBdr>
            </w:div>
          </w:divsChild>
        </w:div>
        <w:div w:id="1824085331">
          <w:marLeft w:val="0"/>
          <w:marRight w:val="0"/>
          <w:marTop w:val="0"/>
          <w:marBottom w:val="0"/>
          <w:divBdr>
            <w:top w:val="none" w:sz="0" w:space="0" w:color="auto"/>
            <w:left w:val="none" w:sz="0" w:space="0" w:color="auto"/>
            <w:bottom w:val="none" w:sz="0" w:space="0" w:color="auto"/>
            <w:right w:val="none" w:sz="0" w:space="0" w:color="auto"/>
          </w:divBdr>
          <w:divsChild>
            <w:div w:id="931278837">
              <w:marLeft w:val="0"/>
              <w:marRight w:val="0"/>
              <w:marTop w:val="0"/>
              <w:marBottom w:val="0"/>
              <w:divBdr>
                <w:top w:val="none" w:sz="0" w:space="0" w:color="auto"/>
                <w:left w:val="none" w:sz="0" w:space="0" w:color="auto"/>
                <w:bottom w:val="none" w:sz="0" w:space="0" w:color="auto"/>
                <w:right w:val="none" w:sz="0" w:space="0" w:color="auto"/>
              </w:divBdr>
            </w:div>
          </w:divsChild>
        </w:div>
        <w:div w:id="1878539468">
          <w:marLeft w:val="0"/>
          <w:marRight w:val="0"/>
          <w:marTop w:val="0"/>
          <w:marBottom w:val="0"/>
          <w:divBdr>
            <w:top w:val="none" w:sz="0" w:space="0" w:color="auto"/>
            <w:left w:val="none" w:sz="0" w:space="0" w:color="auto"/>
            <w:bottom w:val="none" w:sz="0" w:space="0" w:color="auto"/>
            <w:right w:val="none" w:sz="0" w:space="0" w:color="auto"/>
          </w:divBdr>
          <w:divsChild>
            <w:div w:id="2074964119">
              <w:marLeft w:val="0"/>
              <w:marRight w:val="0"/>
              <w:marTop w:val="0"/>
              <w:marBottom w:val="0"/>
              <w:divBdr>
                <w:top w:val="none" w:sz="0" w:space="0" w:color="auto"/>
                <w:left w:val="none" w:sz="0" w:space="0" w:color="auto"/>
                <w:bottom w:val="none" w:sz="0" w:space="0" w:color="auto"/>
                <w:right w:val="none" w:sz="0" w:space="0" w:color="auto"/>
              </w:divBdr>
            </w:div>
          </w:divsChild>
        </w:div>
        <w:div w:id="2044089247">
          <w:marLeft w:val="0"/>
          <w:marRight w:val="0"/>
          <w:marTop w:val="0"/>
          <w:marBottom w:val="0"/>
          <w:divBdr>
            <w:top w:val="none" w:sz="0" w:space="0" w:color="auto"/>
            <w:left w:val="none" w:sz="0" w:space="0" w:color="auto"/>
            <w:bottom w:val="none" w:sz="0" w:space="0" w:color="auto"/>
            <w:right w:val="none" w:sz="0" w:space="0" w:color="auto"/>
          </w:divBdr>
          <w:divsChild>
            <w:div w:id="1888375583">
              <w:marLeft w:val="0"/>
              <w:marRight w:val="0"/>
              <w:marTop w:val="0"/>
              <w:marBottom w:val="0"/>
              <w:divBdr>
                <w:top w:val="none" w:sz="0" w:space="0" w:color="auto"/>
                <w:left w:val="none" w:sz="0" w:space="0" w:color="auto"/>
                <w:bottom w:val="none" w:sz="0" w:space="0" w:color="auto"/>
                <w:right w:val="none" w:sz="0" w:space="0" w:color="auto"/>
              </w:divBdr>
            </w:div>
          </w:divsChild>
        </w:div>
        <w:div w:id="2120106044">
          <w:marLeft w:val="0"/>
          <w:marRight w:val="0"/>
          <w:marTop w:val="0"/>
          <w:marBottom w:val="0"/>
          <w:divBdr>
            <w:top w:val="none" w:sz="0" w:space="0" w:color="auto"/>
            <w:left w:val="none" w:sz="0" w:space="0" w:color="auto"/>
            <w:bottom w:val="none" w:sz="0" w:space="0" w:color="auto"/>
            <w:right w:val="none" w:sz="0" w:space="0" w:color="auto"/>
          </w:divBdr>
          <w:divsChild>
            <w:div w:id="98586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76676">
      <w:bodyDiv w:val="1"/>
      <w:marLeft w:val="0"/>
      <w:marRight w:val="0"/>
      <w:marTop w:val="0"/>
      <w:marBottom w:val="0"/>
      <w:divBdr>
        <w:top w:val="none" w:sz="0" w:space="0" w:color="auto"/>
        <w:left w:val="none" w:sz="0" w:space="0" w:color="auto"/>
        <w:bottom w:val="none" w:sz="0" w:space="0" w:color="auto"/>
        <w:right w:val="none" w:sz="0" w:space="0" w:color="auto"/>
      </w:divBdr>
    </w:div>
    <w:div w:id="599684009">
      <w:bodyDiv w:val="1"/>
      <w:marLeft w:val="0"/>
      <w:marRight w:val="0"/>
      <w:marTop w:val="0"/>
      <w:marBottom w:val="0"/>
      <w:divBdr>
        <w:top w:val="none" w:sz="0" w:space="0" w:color="auto"/>
        <w:left w:val="none" w:sz="0" w:space="0" w:color="auto"/>
        <w:bottom w:val="none" w:sz="0" w:space="0" w:color="auto"/>
        <w:right w:val="none" w:sz="0" w:space="0" w:color="auto"/>
      </w:divBdr>
    </w:div>
    <w:div w:id="605815123">
      <w:bodyDiv w:val="1"/>
      <w:marLeft w:val="0"/>
      <w:marRight w:val="0"/>
      <w:marTop w:val="0"/>
      <w:marBottom w:val="0"/>
      <w:divBdr>
        <w:top w:val="none" w:sz="0" w:space="0" w:color="auto"/>
        <w:left w:val="none" w:sz="0" w:space="0" w:color="auto"/>
        <w:bottom w:val="none" w:sz="0" w:space="0" w:color="auto"/>
        <w:right w:val="none" w:sz="0" w:space="0" w:color="auto"/>
      </w:divBdr>
    </w:div>
    <w:div w:id="616447738">
      <w:bodyDiv w:val="1"/>
      <w:marLeft w:val="0"/>
      <w:marRight w:val="0"/>
      <w:marTop w:val="0"/>
      <w:marBottom w:val="0"/>
      <w:divBdr>
        <w:top w:val="none" w:sz="0" w:space="0" w:color="auto"/>
        <w:left w:val="none" w:sz="0" w:space="0" w:color="auto"/>
        <w:bottom w:val="none" w:sz="0" w:space="0" w:color="auto"/>
        <w:right w:val="none" w:sz="0" w:space="0" w:color="auto"/>
      </w:divBdr>
      <w:divsChild>
        <w:div w:id="1587783">
          <w:marLeft w:val="0"/>
          <w:marRight w:val="0"/>
          <w:marTop w:val="0"/>
          <w:marBottom w:val="0"/>
          <w:divBdr>
            <w:top w:val="none" w:sz="0" w:space="0" w:color="auto"/>
            <w:left w:val="none" w:sz="0" w:space="0" w:color="auto"/>
            <w:bottom w:val="none" w:sz="0" w:space="0" w:color="auto"/>
            <w:right w:val="none" w:sz="0" w:space="0" w:color="auto"/>
          </w:divBdr>
          <w:divsChild>
            <w:div w:id="586423191">
              <w:marLeft w:val="0"/>
              <w:marRight w:val="0"/>
              <w:marTop w:val="0"/>
              <w:marBottom w:val="0"/>
              <w:divBdr>
                <w:top w:val="none" w:sz="0" w:space="0" w:color="auto"/>
                <w:left w:val="none" w:sz="0" w:space="0" w:color="auto"/>
                <w:bottom w:val="none" w:sz="0" w:space="0" w:color="auto"/>
                <w:right w:val="none" w:sz="0" w:space="0" w:color="auto"/>
              </w:divBdr>
            </w:div>
          </w:divsChild>
        </w:div>
        <w:div w:id="108399204">
          <w:marLeft w:val="0"/>
          <w:marRight w:val="0"/>
          <w:marTop w:val="0"/>
          <w:marBottom w:val="0"/>
          <w:divBdr>
            <w:top w:val="none" w:sz="0" w:space="0" w:color="auto"/>
            <w:left w:val="none" w:sz="0" w:space="0" w:color="auto"/>
            <w:bottom w:val="none" w:sz="0" w:space="0" w:color="auto"/>
            <w:right w:val="none" w:sz="0" w:space="0" w:color="auto"/>
          </w:divBdr>
          <w:divsChild>
            <w:div w:id="1078794555">
              <w:marLeft w:val="0"/>
              <w:marRight w:val="0"/>
              <w:marTop w:val="0"/>
              <w:marBottom w:val="0"/>
              <w:divBdr>
                <w:top w:val="none" w:sz="0" w:space="0" w:color="auto"/>
                <w:left w:val="none" w:sz="0" w:space="0" w:color="auto"/>
                <w:bottom w:val="none" w:sz="0" w:space="0" w:color="auto"/>
                <w:right w:val="none" w:sz="0" w:space="0" w:color="auto"/>
              </w:divBdr>
            </w:div>
          </w:divsChild>
        </w:div>
        <w:div w:id="131292198">
          <w:marLeft w:val="0"/>
          <w:marRight w:val="0"/>
          <w:marTop w:val="0"/>
          <w:marBottom w:val="0"/>
          <w:divBdr>
            <w:top w:val="none" w:sz="0" w:space="0" w:color="auto"/>
            <w:left w:val="none" w:sz="0" w:space="0" w:color="auto"/>
            <w:bottom w:val="none" w:sz="0" w:space="0" w:color="auto"/>
            <w:right w:val="none" w:sz="0" w:space="0" w:color="auto"/>
          </w:divBdr>
          <w:divsChild>
            <w:div w:id="473958651">
              <w:marLeft w:val="0"/>
              <w:marRight w:val="0"/>
              <w:marTop w:val="0"/>
              <w:marBottom w:val="0"/>
              <w:divBdr>
                <w:top w:val="none" w:sz="0" w:space="0" w:color="auto"/>
                <w:left w:val="none" w:sz="0" w:space="0" w:color="auto"/>
                <w:bottom w:val="none" w:sz="0" w:space="0" w:color="auto"/>
                <w:right w:val="none" w:sz="0" w:space="0" w:color="auto"/>
              </w:divBdr>
            </w:div>
          </w:divsChild>
        </w:div>
        <w:div w:id="141234940">
          <w:marLeft w:val="0"/>
          <w:marRight w:val="0"/>
          <w:marTop w:val="0"/>
          <w:marBottom w:val="0"/>
          <w:divBdr>
            <w:top w:val="none" w:sz="0" w:space="0" w:color="auto"/>
            <w:left w:val="none" w:sz="0" w:space="0" w:color="auto"/>
            <w:bottom w:val="none" w:sz="0" w:space="0" w:color="auto"/>
            <w:right w:val="none" w:sz="0" w:space="0" w:color="auto"/>
          </w:divBdr>
          <w:divsChild>
            <w:div w:id="1344822866">
              <w:marLeft w:val="0"/>
              <w:marRight w:val="0"/>
              <w:marTop w:val="0"/>
              <w:marBottom w:val="0"/>
              <w:divBdr>
                <w:top w:val="none" w:sz="0" w:space="0" w:color="auto"/>
                <w:left w:val="none" w:sz="0" w:space="0" w:color="auto"/>
                <w:bottom w:val="none" w:sz="0" w:space="0" w:color="auto"/>
                <w:right w:val="none" w:sz="0" w:space="0" w:color="auto"/>
              </w:divBdr>
            </w:div>
          </w:divsChild>
        </w:div>
        <w:div w:id="163016626">
          <w:marLeft w:val="0"/>
          <w:marRight w:val="0"/>
          <w:marTop w:val="0"/>
          <w:marBottom w:val="0"/>
          <w:divBdr>
            <w:top w:val="none" w:sz="0" w:space="0" w:color="auto"/>
            <w:left w:val="none" w:sz="0" w:space="0" w:color="auto"/>
            <w:bottom w:val="none" w:sz="0" w:space="0" w:color="auto"/>
            <w:right w:val="none" w:sz="0" w:space="0" w:color="auto"/>
          </w:divBdr>
          <w:divsChild>
            <w:div w:id="698749393">
              <w:marLeft w:val="0"/>
              <w:marRight w:val="0"/>
              <w:marTop w:val="0"/>
              <w:marBottom w:val="0"/>
              <w:divBdr>
                <w:top w:val="none" w:sz="0" w:space="0" w:color="auto"/>
                <w:left w:val="none" w:sz="0" w:space="0" w:color="auto"/>
                <w:bottom w:val="none" w:sz="0" w:space="0" w:color="auto"/>
                <w:right w:val="none" w:sz="0" w:space="0" w:color="auto"/>
              </w:divBdr>
            </w:div>
          </w:divsChild>
        </w:div>
        <w:div w:id="179206222">
          <w:marLeft w:val="0"/>
          <w:marRight w:val="0"/>
          <w:marTop w:val="0"/>
          <w:marBottom w:val="0"/>
          <w:divBdr>
            <w:top w:val="none" w:sz="0" w:space="0" w:color="auto"/>
            <w:left w:val="none" w:sz="0" w:space="0" w:color="auto"/>
            <w:bottom w:val="none" w:sz="0" w:space="0" w:color="auto"/>
            <w:right w:val="none" w:sz="0" w:space="0" w:color="auto"/>
          </w:divBdr>
          <w:divsChild>
            <w:div w:id="881094898">
              <w:marLeft w:val="0"/>
              <w:marRight w:val="0"/>
              <w:marTop w:val="0"/>
              <w:marBottom w:val="0"/>
              <w:divBdr>
                <w:top w:val="none" w:sz="0" w:space="0" w:color="auto"/>
                <w:left w:val="none" w:sz="0" w:space="0" w:color="auto"/>
                <w:bottom w:val="none" w:sz="0" w:space="0" w:color="auto"/>
                <w:right w:val="none" w:sz="0" w:space="0" w:color="auto"/>
              </w:divBdr>
            </w:div>
          </w:divsChild>
        </w:div>
        <w:div w:id="193276235">
          <w:marLeft w:val="0"/>
          <w:marRight w:val="0"/>
          <w:marTop w:val="0"/>
          <w:marBottom w:val="0"/>
          <w:divBdr>
            <w:top w:val="none" w:sz="0" w:space="0" w:color="auto"/>
            <w:left w:val="none" w:sz="0" w:space="0" w:color="auto"/>
            <w:bottom w:val="none" w:sz="0" w:space="0" w:color="auto"/>
            <w:right w:val="none" w:sz="0" w:space="0" w:color="auto"/>
          </w:divBdr>
          <w:divsChild>
            <w:div w:id="1499493401">
              <w:marLeft w:val="0"/>
              <w:marRight w:val="0"/>
              <w:marTop w:val="0"/>
              <w:marBottom w:val="0"/>
              <w:divBdr>
                <w:top w:val="none" w:sz="0" w:space="0" w:color="auto"/>
                <w:left w:val="none" w:sz="0" w:space="0" w:color="auto"/>
                <w:bottom w:val="none" w:sz="0" w:space="0" w:color="auto"/>
                <w:right w:val="none" w:sz="0" w:space="0" w:color="auto"/>
              </w:divBdr>
            </w:div>
          </w:divsChild>
        </w:div>
        <w:div w:id="242186613">
          <w:marLeft w:val="0"/>
          <w:marRight w:val="0"/>
          <w:marTop w:val="0"/>
          <w:marBottom w:val="0"/>
          <w:divBdr>
            <w:top w:val="none" w:sz="0" w:space="0" w:color="auto"/>
            <w:left w:val="none" w:sz="0" w:space="0" w:color="auto"/>
            <w:bottom w:val="none" w:sz="0" w:space="0" w:color="auto"/>
            <w:right w:val="none" w:sz="0" w:space="0" w:color="auto"/>
          </w:divBdr>
          <w:divsChild>
            <w:div w:id="1589537106">
              <w:marLeft w:val="0"/>
              <w:marRight w:val="0"/>
              <w:marTop w:val="0"/>
              <w:marBottom w:val="0"/>
              <w:divBdr>
                <w:top w:val="none" w:sz="0" w:space="0" w:color="auto"/>
                <w:left w:val="none" w:sz="0" w:space="0" w:color="auto"/>
                <w:bottom w:val="none" w:sz="0" w:space="0" w:color="auto"/>
                <w:right w:val="none" w:sz="0" w:space="0" w:color="auto"/>
              </w:divBdr>
            </w:div>
          </w:divsChild>
        </w:div>
        <w:div w:id="311909308">
          <w:marLeft w:val="0"/>
          <w:marRight w:val="0"/>
          <w:marTop w:val="0"/>
          <w:marBottom w:val="0"/>
          <w:divBdr>
            <w:top w:val="none" w:sz="0" w:space="0" w:color="auto"/>
            <w:left w:val="none" w:sz="0" w:space="0" w:color="auto"/>
            <w:bottom w:val="none" w:sz="0" w:space="0" w:color="auto"/>
            <w:right w:val="none" w:sz="0" w:space="0" w:color="auto"/>
          </w:divBdr>
          <w:divsChild>
            <w:div w:id="301471663">
              <w:marLeft w:val="0"/>
              <w:marRight w:val="0"/>
              <w:marTop w:val="0"/>
              <w:marBottom w:val="0"/>
              <w:divBdr>
                <w:top w:val="none" w:sz="0" w:space="0" w:color="auto"/>
                <w:left w:val="none" w:sz="0" w:space="0" w:color="auto"/>
                <w:bottom w:val="none" w:sz="0" w:space="0" w:color="auto"/>
                <w:right w:val="none" w:sz="0" w:space="0" w:color="auto"/>
              </w:divBdr>
            </w:div>
          </w:divsChild>
        </w:div>
        <w:div w:id="539898540">
          <w:marLeft w:val="0"/>
          <w:marRight w:val="0"/>
          <w:marTop w:val="0"/>
          <w:marBottom w:val="0"/>
          <w:divBdr>
            <w:top w:val="none" w:sz="0" w:space="0" w:color="auto"/>
            <w:left w:val="none" w:sz="0" w:space="0" w:color="auto"/>
            <w:bottom w:val="none" w:sz="0" w:space="0" w:color="auto"/>
            <w:right w:val="none" w:sz="0" w:space="0" w:color="auto"/>
          </w:divBdr>
          <w:divsChild>
            <w:div w:id="1006204390">
              <w:marLeft w:val="0"/>
              <w:marRight w:val="0"/>
              <w:marTop w:val="0"/>
              <w:marBottom w:val="0"/>
              <w:divBdr>
                <w:top w:val="none" w:sz="0" w:space="0" w:color="auto"/>
                <w:left w:val="none" w:sz="0" w:space="0" w:color="auto"/>
                <w:bottom w:val="none" w:sz="0" w:space="0" w:color="auto"/>
                <w:right w:val="none" w:sz="0" w:space="0" w:color="auto"/>
              </w:divBdr>
            </w:div>
          </w:divsChild>
        </w:div>
        <w:div w:id="568734375">
          <w:marLeft w:val="0"/>
          <w:marRight w:val="0"/>
          <w:marTop w:val="0"/>
          <w:marBottom w:val="0"/>
          <w:divBdr>
            <w:top w:val="none" w:sz="0" w:space="0" w:color="auto"/>
            <w:left w:val="none" w:sz="0" w:space="0" w:color="auto"/>
            <w:bottom w:val="none" w:sz="0" w:space="0" w:color="auto"/>
            <w:right w:val="none" w:sz="0" w:space="0" w:color="auto"/>
          </w:divBdr>
          <w:divsChild>
            <w:div w:id="870872820">
              <w:marLeft w:val="0"/>
              <w:marRight w:val="0"/>
              <w:marTop w:val="0"/>
              <w:marBottom w:val="0"/>
              <w:divBdr>
                <w:top w:val="none" w:sz="0" w:space="0" w:color="auto"/>
                <w:left w:val="none" w:sz="0" w:space="0" w:color="auto"/>
                <w:bottom w:val="none" w:sz="0" w:space="0" w:color="auto"/>
                <w:right w:val="none" w:sz="0" w:space="0" w:color="auto"/>
              </w:divBdr>
            </w:div>
          </w:divsChild>
        </w:div>
        <w:div w:id="754328516">
          <w:marLeft w:val="0"/>
          <w:marRight w:val="0"/>
          <w:marTop w:val="0"/>
          <w:marBottom w:val="0"/>
          <w:divBdr>
            <w:top w:val="none" w:sz="0" w:space="0" w:color="auto"/>
            <w:left w:val="none" w:sz="0" w:space="0" w:color="auto"/>
            <w:bottom w:val="none" w:sz="0" w:space="0" w:color="auto"/>
            <w:right w:val="none" w:sz="0" w:space="0" w:color="auto"/>
          </w:divBdr>
          <w:divsChild>
            <w:div w:id="555629633">
              <w:marLeft w:val="0"/>
              <w:marRight w:val="0"/>
              <w:marTop w:val="0"/>
              <w:marBottom w:val="0"/>
              <w:divBdr>
                <w:top w:val="none" w:sz="0" w:space="0" w:color="auto"/>
                <w:left w:val="none" w:sz="0" w:space="0" w:color="auto"/>
                <w:bottom w:val="none" w:sz="0" w:space="0" w:color="auto"/>
                <w:right w:val="none" w:sz="0" w:space="0" w:color="auto"/>
              </w:divBdr>
            </w:div>
          </w:divsChild>
        </w:div>
        <w:div w:id="763843167">
          <w:marLeft w:val="0"/>
          <w:marRight w:val="0"/>
          <w:marTop w:val="0"/>
          <w:marBottom w:val="0"/>
          <w:divBdr>
            <w:top w:val="none" w:sz="0" w:space="0" w:color="auto"/>
            <w:left w:val="none" w:sz="0" w:space="0" w:color="auto"/>
            <w:bottom w:val="none" w:sz="0" w:space="0" w:color="auto"/>
            <w:right w:val="none" w:sz="0" w:space="0" w:color="auto"/>
          </w:divBdr>
          <w:divsChild>
            <w:div w:id="1309553849">
              <w:marLeft w:val="0"/>
              <w:marRight w:val="0"/>
              <w:marTop w:val="0"/>
              <w:marBottom w:val="0"/>
              <w:divBdr>
                <w:top w:val="none" w:sz="0" w:space="0" w:color="auto"/>
                <w:left w:val="none" w:sz="0" w:space="0" w:color="auto"/>
                <w:bottom w:val="none" w:sz="0" w:space="0" w:color="auto"/>
                <w:right w:val="none" w:sz="0" w:space="0" w:color="auto"/>
              </w:divBdr>
            </w:div>
          </w:divsChild>
        </w:div>
        <w:div w:id="790319941">
          <w:marLeft w:val="0"/>
          <w:marRight w:val="0"/>
          <w:marTop w:val="0"/>
          <w:marBottom w:val="0"/>
          <w:divBdr>
            <w:top w:val="none" w:sz="0" w:space="0" w:color="auto"/>
            <w:left w:val="none" w:sz="0" w:space="0" w:color="auto"/>
            <w:bottom w:val="none" w:sz="0" w:space="0" w:color="auto"/>
            <w:right w:val="none" w:sz="0" w:space="0" w:color="auto"/>
          </w:divBdr>
          <w:divsChild>
            <w:div w:id="289095062">
              <w:marLeft w:val="0"/>
              <w:marRight w:val="0"/>
              <w:marTop w:val="0"/>
              <w:marBottom w:val="0"/>
              <w:divBdr>
                <w:top w:val="none" w:sz="0" w:space="0" w:color="auto"/>
                <w:left w:val="none" w:sz="0" w:space="0" w:color="auto"/>
                <w:bottom w:val="none" w:sz="0" w:space="0" w:color="auto"/>
                <w:right w:val="none" w:sz="0" w:space="0" w:color="auto"/>
              </w:divBdr>
            </w:div>
          </w:divsChild>
        </w:div>
        <w:div w:id="817572675">
          <w:marLeft w:val="0"/>
          <w:marRight w:val="0"/>
          <w:marTop w:val="0"/>
          <w:marBottom w:val="0"/>
          <w:divBdr>
            <w:top w:val="none" w:sz="0" w:space="0" w:color="auto"/>
            <w:left w:val="none" w:sz="0" w:space="0" w:color="auto"/>
            <w:bottom w:val="none" w:sz="0" w:space="0" w:color="auto"/>
            <w:right w:val="none" w:sz="0" w:space="0" w:color="auto"/>
          </w:divBdr>
          <w:divsChild>
            <w:div w:id="1745448465">
              <w:marLeft w:val="0"/>
              <w:marRight w:val="0"/>
              <w:marTop w:val="0"/>
              <w:marBottom w:val="0"/>
              <w:divBdr>
                <w:top w:val="none" w:sz="0" w:space="0" w:color="auto"/>
                <w:left w:val="none" w:sz="0" w:space="0" w:color="auto"/>
                <w:bottom w:val="none" w:sz="0" w:space="0" w:color="auto"/>
                <w:right w:val="none" w:sz="0" w:space="0" w:color="auto"/>
              </w:divBdr>
            </w:div>
          </w:divsChild>
        </w:div>
        <w:div w:id="827136313">
          <w:marLeft w:val="0"/>
          <w:marRight w:val="0"/>
          <w:marTop w:val="0"/>
          <w:marBottom w:val="0"/>
          <w:divBdr>
            <w:top w:val="none" w:sz="0" w:space="0" w:color="auto"/>
            <w:left w:val="none" w:sz="0" w:space="0" w:color="auto"/>
            <w:bottom w:val="none" w:sz="0" w:space="0" w:color="auto"/>
            <w:right w:val="none" w:sz="0" w:space="0" w:color="auto"/>
          </w:divBdr>
          <w:divsChild>
            <w:div w:id="1314868467">
              <w:marLeft w:val="0"/>
              <w:marRight w:val="0"/>
              <w:marTop w:val="0"/>
              <w:marBottom w:val="0"/>
              <w:divBdr>
                <w:top w:val="none" w:sz="0" w:space="0" w:color="auto"/>
                <w:left w:val="none" w:sz="0" w:space="0" w:color="auto"/>
                <w:bottom w:val="none" w:sz="0" w:space="0" w:color="auto"/>
                <w:right w:val="none" w:sz="0" w:space="0" w:color="auto"/>
              </w:divBdr>
            </w:div>
          </w:divsChild>
        </w:div>
        <w:div w:id="958337492">
          <w:marLeft w:val="0"/>
          <w:marRight w:val="0"/>
          <w:marTop w:val="0"/>
          <w:marBottom w:val="0"/>
          <w:divBdr>
            <w:top w:val="none" w:sz="0" w:space="0" w:color="auto"/>
            <w:left w:val="none" w:sz="0" w:space="0" w:color="auto"/>
            <w:bottom w:val="none" w:sz="0" w:space="0" w:color="auto"/>
            <w:right w:val="none" w:sz="0" w:space="0" w:color="auto"/>
          </w:divBdr>
          <w:divsChild>
            <w:div w:id="1953898580">
              <w:marLeft w:val="0"/>
              <w:marRight w:val="0"/>
              <w:marTop w:val="0"/>
              <w:marBottom w:val="0"/>
              <w:divBdr>
                <w:top w:val="none" w:sz="0" w:space="0" w:color="auto"/>
                <w:left w:val="none" w:sz="0" w:space="0" w:color="auto"/>
                <w:bottom w:val="none" w:sz="0" w:space="0" w:color="auto"/>
                <w:right w:val="none" w:sz="0" w:space="0" w:color="auto"/>
              </w:divBdr>
            </w:div>
          </w:divsChild>
        </w:div>
        <w:div w:id="962660370">
          <w:marLeft w:val="0"/>
          <w:marRight w:val="0"/>
          <w:marTop w:val="0"/>
          <w:marBottom w:val="0"/>
          <w:divBdr>
            <w:top w:val="none" w:sz="0" w:space="0" w:color="auto"/>
            <w:left w:val="none" w:sz="0" w:space="0" w:color="auto"/>
            <w:bottom w:val="none" w:sz="0" w:space="0" w:color="auto"/>
            <w:right w:val="none" w:sz="0" w:space="0" w:color="auto"/>
          </w:divBdr>
          <w:divsChild>
            <w:div w:id="1034649520">
              <w:marLeft w:val="0"/>
              <w:marRight w:val="0"/>
              <w:marTop w:val="0"/>
              <w:marBottom w:val="0"/>
              <w:divBdr>
                <w:top w:val="none" w:sz="0" w:space="0" w:color="auto"/>
                <w:left w:val="none" w:sz="0" w:space="0" w:color="auto"/>
                <w:bottom w:val="none" w:sz="0" w:space="0" w:color="auto"/>
                <w:right w:val="none" w:sz="0" w:space="0" w:color="auto"/>
              </w:divBdr>
            </w:div>
          </w:divsChild>
        </w:div>
        <w:div w:id="963462620">
          <w:marLeft w:val="0"/>
          <w:marRight w:val="0"/>
          <w:marTop w:val="0"/>
          <w:marBottom w:val="0"/>
          <w:divBdr>
            <w:top w:val="none" w:sz="0" w:space="0" w:color="auto"/>
            <w:left w:val="none" w:sz="0" w:space="0" w:color="auto"/>
            <w:bottom w:val="none" w:sz="0" w:space="0" w:color="auto"/>
            <w:right w:val="none" w:sz="0" w:space="0" w:color="auto"/>
          </w:divBdr>
          <w:divsChild>
            <w:div w:id="833839903">
              <w:marLeft w:val="0"/>
              <w:marRight w:val="0"/>
              <w:marTop w:val="0"/>
              <w:marBottom w:val="0"/>
              <w:divBdr>
                <w:top w:val="none" w:sz="0" w:space="0" w:color="auto"/>
                <w:left w:val="none" w:sz="0" w:space="0" w:color="auto"/>
                <w:bottom w:val="none" w:sz="0" w:space="0" w:color="auto"/>
                <w:right w:val="none" w:sz="0" w:space="0" w:color="auto"/>
              </w:divBdr>
            </w:div>
          </w:divsChild>
        </w:div>
        <w:div w:id="964388823">
          <w:marLeft w:val="0"/>
          <w:marRight w:val="0"/>
          <w:marTop w:val="0"/>
          <w:marBottom w:val="0"/>
          <w:divBdr>
            <w:top w:val="none" w:sz="0" w:space="0" w:color="auto"/>
            <w:left w:val="none" w:sz="0" w:space="0" w:color="auto"/>
            <w:bottom w:val="none" w:sz="0" w:space="0" w:color="auto"/>
            <w:right w:val="none" w:sz="0" w:space="0" w:color="auto"/>
          </w:divBdr>
          <w:divsChild>
            <w:div w:id="505218390">
              <w:marLeft w:val="0"/>
              <w:marRight w:val="0"/>
              <w:marTop w:val="0"/>
              <w:marBottom w:val="0"/>
              <w:divBdr>
                <w:top w:val="none" w:sz="0" w:space="0" w:color="auto"/>
                <w:left w:val="none" w:sz="0" w:space="0" w:color="auto"/>
                <w:bottom w:val="none" w:sz="0" w:space="0" w:color="auto"/>
                <w:right w:val="none" w:sz="0" w:space="0" w:color="auto"/>
              </w:divBdr>
            </w:div>
          </w:divsChild>
        </w:div>
        <w:div w:id="980236512">
          <w:marLeft w:val="0"/>
          <w:marRight w:val="0"/>
          <w:marTop w:val="0"/>
          <w:marBottom w:val="0"/>
          <w:divBdr>
            <w:top w:val="none" w:sz="0" w:space="0" w:color="auto"/>
            <w:left w:val="none" w:sz="0" w:space="0" w:color="auto"/>
            <w:bottom w:val="none" w:sz="0" w:space="0" w:color="auto"/>
            <w:right w:val="none" w:sz="0" w:space="0" w:color="auto"/>
          </w:divBdr>
          <w:divsChild>
            <w:div w:id="1435247436">
              <w:marLeft w:val="0"/>
              <w:marRight w:val="0"/>
              <w:marTop w:val="0"/>
              <w:marBottom w:val="0"/>
              <w:divBdr>
                <w:top w:val="none" w:sz="0" w:space="0" w:color="auto"/>
                <w:left w:val="none" w:sz="0" w:space="0" w:color="auto"/>
                <w:bottom w:val="none" w:sz="0" w:space="0" w:color="auto"/>
                <w:right w:val="none" w:sz="0" w:space="0" w:color="auto"/>
              </w:divBdr>
            </w:div>
          </w:divsChild>
        </w:div>
        <w:div w:id="1024205678">
          <w:marLeft w:val="0"/>
          <w:marRight w:val="0"/>
          <w:marTop w:val="0"/>
          <w:marBottom w:val="0"/>
          <w:divBdr>
            <w:top w:val="none" w:sz="0" w:space="0" w:color="auto"/>
            <w:left w:val="none" w:sz="0" w:space="0" w:color="auto"/>
            <w:bottom w:val="none" w:sz="0" w:space="0" w:color="auto"/>
            <w:right w:val="none" w:sz="0" w:space="0" w:color="auto"/>
          </w:divBdr>
          <w:divsChild>
            <w:div w:id="8144195">
              <w:marLeft w:val="0"/>
              <w:marRight w:val="0"/>
              <w:marTop w:val="0"/>
              <w:marBottom w:val="0"/>
              <w:divBdr>
                <w:top w:val="none" w:sz="0" w:space="0" w:color="auto"/>
                <w:left w:val="none" w:sz="0" w:space="0" w:color="auto"/>
                <w:bottom w:val="none" w:sz="0" w:space="0" w:color="auto"/>
                <w:right w:val="none" w:sz="0" w:space="0" w:color="auto"/>
              </w:divBdr>
            </w:div>
          </w:divsChild>
        </w:div>
        <w:div w:id="1060402577">
          <w:marLeft w:val="0"/>
          <w:marRight w:val="0"/>
          <w:marTop w:val="0"/>
          <w:marBottom w:val="0"/>
          <w:divBdr>
            <w:top w:val="none" w:sz="0" w:space="0" w:color="auto"/>
            <w:left w:val="none" w:sz="0" w:space="0" w:color="auto"/>
            <w:bottom w:val="none" w:sz="0" w:space="0" w:color="auto"/>
            <w:right w:val="none" w:sz="0" w:space="0" w:color="auto"/>
          </w:divBdr>
          <w:divsChild>
            <w:div w:id="691883989">
              <w:marLeft w:val="0"/>
              <w:marRight w:val="0"/>
              <w:marTop w:val="0"/>
              <w:marBottom w:val="0"/>
              <w:divBdr>
                <w:top w:val="none" w:sz="0" w:space="0" w:color="auto"/>
                <w:left w:val="none" w:sz="0" w:space="0" w:color="auto"/>
                <w:bottom w:val="none" w:sz="0" w:space="0" w:color="auto"/>
                <w:right w:val="none" w:sz="0" w:space="0" w:color="auto"/>
              </w:divBdr>
            </w:div>
          </w:divsChild>
        </w:div>
        <w:div w:id="1130365395">
          <w:marLeft w:val="0"/>
          <w:marRight w:val="0"/>
          <w:marTop w:val="0"/>
          <w:marBottom w:val="0"/>
          <w:divBdr>
            <w:top w:val="none" w:sz="0" w:space="0" w:color="auto"/>
            <w:left w:val="none" w:sz="0" w:space="0" w:color="auto"/>
            <w:bottom w:val="none" w:sz="0" w:space="0" w:color="auto"/>
            <w:right w:val="none" w:sz="0" w:space="0" w:color="auto"/>
          </w:divBdr>
          <w:divsChild>
            <w:div w:id="1191264969">
              <w:marLeft w:val="0"/>
              <w:marRight w:val="0"/>
              <w:marTop w:val="0"/>
              <w:marBottom w:val="0"/>
              <w:divBdr>
                <w:top w:val="none" w:sz="0" w:space="0" w:color="auto"/>
                <w:left w:val="none" w:sz="0" w:space="0" w:color="auto"/>
                <w:bottom w:val="none" w:sz="0" w:space="0" w:color="auto"/>
                <w:right w:val="none" w:sz="0" w:space="0" w:color="auto"/>
              </w:divBdr>
            </w:div>
          </w:divsChild>
        </w:div>
        <w:div w:id="1167289502">
          <w:marLeft w:val="0"/>
          <w:marRight w:val="0"/>
          <w:marTop w:val="0"/>
          <w:marBottom w:val="0"/>
          <w:divBdr>
            <w:top w:val="none" w:sz="0" w:space="0" w:color="auto"/>
            <w:left w:val="none" w:sz="0" w:space="0" w:color="auto"/>
            <w:bottom w:val="none" w:sz="0" w:space="0" w:color="auto"/>
            <w:right w:val="none" w:sz="0" w:space="0" w:color="auto"/>
          </w:divBdr>
          <w:divsChild>
            <w:div w:id="2080126438">
              <w:marLeft w:val="0"/>
              <w:marRight w:val="0"/>
              <w:marTop w:val="0"/>
              <w:marBottom w:val="0"/>
              <w:divBdr>
                <w:top w:val="none" w:sz="0" w:space="0" w:color="auto"/>
                <w:left w:val="none" w:sz="0" w:space="0" w:color="auto"/>
                <w:bottom w:val="none" w:sz="0" w:space="0" w:color="auto"/>
                <w:right w:val="none" w:sz="0" w:space="0" w:color="auto"/>
              </w:divBdr>
            </w:div>
          </w:divsChild>
        </w:div>
        <w:div w:id="1183593160">
          <w:marLeft w:val="0"/>
          <w:marRight w:val="0"/>
          <w:marTop w:val="0"/>
          <w:marBottom w:val="0"/>
          <w:divBdr>
            <w:top w:val="none" w:sz="0" w:space="0" w:color="auto"/>
            <w:left w:val="none" w:sz="0" w:space="0" w:color="auto"/>
            <w:bottom w:val="none" w:sz="0" w:space="0" w:color="auto"/>
            <w:right w:val="none" w:sz="0" w:space="0" w:color="auto"/>
          </w:divBdr>
          <w:divsChild>
            <w:div w:id="969171673">
              <w:marLeft w:val="0"/>
              <w:marRight w:val="0"/>
              <w:marTop w:val="0"/>
              <w:marBottom w:val="0"/>
              <w:divBdr>
                <w:top w:val="none" w:sz="0" w:space="0" w:color="auto"/>
                <w:left w:val="none" w:sz="0" w:space="0" w:color="auto"/>
                <w:bottom w:val="none" w:sz="0" w:space="0" w:color="auto"/>
                <w:right w:val="none" w:sz="0" w:space="0" w:color="auto"/>
              </w:divBdr>
            </w:div>
          </w:divsChild>
        </w:div>
        <w:div w:id="1218592217">
          <w:marLeft w:val="0"/>
          <w:marRight w:val="0"/>
          <w:marTop w:val="0"/>
          <w:marBottom w:val="0"/>
          <w:divBdr>
            <w:top w:val="none" w:sz="0" w:space="0" w:color="auto"/>
            <w:left w:val="none" w:sz="0" w:space="0" w:color="auto"/>
            <w:bottom w:val="none" w:sz="0" w:space="0" w:color="auto"/>
            <w:right w:val="none" w:sz="0" w:space="0" w:color="auto"/>
          </w:divBdr>
          <w:divsChild>
            <w:div w:id="1084958408">
              <w:marLeft w:val="0"/>
              <w:marRight w:val="0"/>
              <w:marTop w:val="0"/>
              <w:marBottom w:val="0"/>
              <w:divBdr>
                <w:top w:val="none" w:sz="0" w:space="0" w:color="auto"/>
                <w:left w:val="none" w:sz="0" w:space="0" w:color="auto"/>
                <w:bottom w:val="none" w:sz="0" w:space="0" w:color="auto"/>
                <w:right w:val="none" w:sz="0" w:space="0" w:color="auto"/>
              </w:divBdr>
            </w:div>
          </w:divsChild>
        </w:div>
        <w:div w:id="1277908715">
          <w:marLeft w:val="0"/>
          <w:marRight w:val="0"/>
          <w:marTop w:val="0"/>
          <w:marBottom w:val="0"/>
          <w:divBdr>
            <w:top w:val="none" w:sz="0" w:space="0" w:color="auto"/>
            <w:left w:val="none" w:sz="0" w:space="0" w:color="auto"/>
            <w:bottom w:val="none" w:sz="0" w:space="0" w:color="auto"/>
            <w:right w:val="none" w:sz="0" w:space="0" w:color="auto"/>
          </w:divBdr>
          <w:divsChild>
            <w:div w:id="403919012">
              <w:marLeft w:val="0"/>
              <w:marRight w:val="0"/>
              <w:marTop w:val="0"/>
              <w:marBottom w:val="0"/>
              <w:divBdr>
                <w:top w:val="none" w:sz="0" w:space="0" w:color="auto"/>
                <w:left w:val="none" w:sz="0" w:space="0" w:color="auto"/>
                <w:bottom w:val="none" w:sz="0" w:space="0" w:color="auto"/>
                <w:right w:val="none" w:sz="0" w:space="0" w:color="auto"/>
              </w:divBdr>
            </w:div>
          </w:divsChild>
        </w:div>
        <w:div w:id="1396853446">
          <w:marLeft w:val="0"/>
          <w:marRight w:val="0"/>
          <w:marTop w:val="0"/>
          <w:marBottom w:val="0"/>
          <w:divBdr>
            <w:top w:val="none" w:sz="0" w:space="0" w:color="auto"/>
            <w:left w:val="none" w:sz="0" w:space="0" w:color="auto"/>
            <w:bottom w:val="none" w:sz="0" w:space="0" w:color="auto"/>
            <w:right w:val="none" w:sz="0" w:space="0" w:color="auto"/>
          </w:divBdr>
          <w:divsChild>
            <w:div w:id="958683348">
              <w:marLeft w:val="0"/>
              <w:marRight w:val="0"/>
              <w:marTop w:val="0"/>
              <w:marBottom w:val="0"/>
              <w:divBdr>
                <w:top w:val="none" w:sz="0" w:space="0" w:color="auto"/>
                <w:left w:val="none" w:sz="0" w:space="0" w:color="auto"/>
                <w:bottom w:val="none" w:sz="0" w:space="0" w:color="auto"/>
                <w:right w:val="none" w:sz="0" w:space="0" w:color="auto"/>
              </w:divBdr>
            </w:div>
          </w:divsChild>
        </w:div>
        <w:div w:id="1410469760">
          <w:marLeft w:val="0"/>
          <w:marRight w:val="0"/>
          <w:marTop w:val="0"/>
          <w:marBottom w:val="0"/>
          <w:divBdr>
            <w:top w:val="none" w:sz="0" w:space="0" w:color="auto"/>
            <w:left w:val="none" w:sz="0" w:space="0" w:color="auto"/>
            <w:bottom w:val="none" w:sz="0" w:space="0" w:color="auto"/>
            <w:right w:val="none" w:sz="0" w:space="0" w:color="auto"/>
          </w:divBdr>
          <w:divsChild>
            <w:div w:id="1154687481">
              <w:marLeft w:val="0"/>
              <w:marRight w:val="0"/>
              <w:marTop w:val="0"/>
              <w:marBottom w:val="0"/>
              <w:divBdr>
                <w:top w:val="none" w:sz="0" w:space="0" w:color="auto"/>
                <w:left w:val="none" w:sz="0" w:space="0" w:color="auto"/>
                <w:bottom w:val="none" w:sz="0" w:space="0" w:color="auto"/>
                <w:right w:val="none" w:sz="0" w:space="0" w:color="auto"/>
              </w:divBdr>
            </w:div>
          </w:divsChild>
        </w:div>
        <w:div w:id="1437335995">
          <w:marLeft w:val="0"/>
          <w:marRight w:val="0"/>
          <w:marTop w:val="0"/>
          <w:marBottom w:val="0"/>
          <w:divBdr>
            <w:top w:val="none" w:sz="0" w:space="0" w:color="auto"/>
            <w:left w:val="none" w:sz="0" w:space="0" w:color="auto"/>
            <w:bottom w:val="none" w:sz="0" w:space="0" w:color="auto"/>
            <w:right w:val="none" w:sz="0" w:space="0" w:color="auto"/>
          </w:divBdr>
          <w:divsChild>
            <w:div w:id="929587853">
              <w:marLeft w:val="0"/>
              <w:marRight w:val="0"/>
              <w:marTop w:val="0"/>
              <w:marBottom w:val="0"/>
              <w:divBdr>
                <w:top w:val="none" w:sz="0" w:space="0" w:color="auto"/>
                <w:left w:val="none" w:sz="0" w:space="0" w:color="auto"/>
                <w:bottom w:val="none" w:sz="0" w:space="0" w:color="auto"/>
                <w:right w:val="none" w:sz="0" w:space="0" w:color="auto"/>
              </w:divBdr>
            </w:div>
          </w:divsChild>
        </w:div>
        <w:div w:id="1438865368">
          <w:marLeft w:val="0"/>
          <w:marRight w:val="0"/>
          <w:marTop w:val="0"/>
          <w:marBottom w:val="0"/>
          <w:divBdr>
            <w:top w:val="none" w:sz="0" w:space="0" w:color="auto"/>
            <w:left w:val="none" w:sz="0" w:space="0" w:color="auto"/>
            <w:bottom w:val="none" w:sz="0" w:space="0" w:color="auto"/>
            <w:right w:val="none" w:sz="0" w:space="0" w:color="auto"/>
          </w:divBdr>
          <w:divsChild>
            <w:div w:id="1745570490">
              <w:marLeft w:val="0"/>
              <w:marRight w:val="0"/>
              <w:marTop w:val="0"/>
              <w:marBottom w:val="0"/>
              <w:divBdr>
                <w:top w:val="none" w:sz="0" w:space="0" w:color="auto"/>
                <w:left w:val="none" w:sz="0" w:space="0" w:color="auto"/>
                <w:bottom w:val="none" w:sz="0" w:space="0" w:color="auto"/>
                <w:right w:val="none" w:sz="0" w:space="0" w:color="auto"/>
              </w:divBdr>
            </w:div>
          </w:divsChild>
        </w:div>
        <w:div w:id="1455751759">
          <w:marLeft w:val="0"/>
          <w:marRight w:val="0"/>
          <w:marTop w:val="0"/>
          <w:marBottom w:val="0"/>
          <w:divBdr>
            <w:top w:val="none" w:sz="0" w:space="0" w:color="auto"/>
            <w:left w:val="none" w:sz="0" w:space="0" w:color="auto"/>
            <w:bottom w:val="none" w:sz="0" w:space="0" w:color="auto"/>
            <w:right w:val="none" w:sz="0" w:space="0" w:color="auto"/>
          </w:divBdr>
          <w:divsChild>
            <w:div w:id="981816064">
              <w:marLeft w:val="0"/>
              <w:marRight w:val="0"/>
              <w:marTop w:val="0"/>
              <w:marBottom w:val="0"/>
              <w:divBdr>
                <w:top w:val="none" w:sz="0" w:space="0" w:color="auto"/>
                <w:left w:val="none" w:sz="0" w:space="0" w:color="auto"/>
                <w:bottom w:val="none" w:sz="0" w:space="0" w:color="auto"/>
                <w:right w:val="none" w:sz="0" w:space="0" w:color="auto"/>
              </w:divBdr>
            </w:div>
          </w:divsChild>
        </w:div>
        <w:div w:id="1514489206">
          <w:marLeft w:val="0"/>
          <w:marRight w:val="0"/>
          <w:marTop w:val="0"/>
          <w:marBottom w:val="0"/>
          <w:divBdr>
            <w:top w:val="none" w:sz="0" w:space="0" w:color="auto"/>
            <w:left w:val="none" w:sz="0" w:space="0" w:color="auto"/>
            <w:bottom w:val="none" w:sz="0" w:space="0" w:color="auto"/>
            <w:right w:val="none" w:sz="0" w:space="0" w:color="auto"/>
          </w:divBdr>
          <w:divsChild>
            <w:div w:id="809515321">
              <w:marLeft w:val="0"/>
              <w:marRight w:val="0"/>
              <w:marTop w:val="0"/>
              <w:marBottom w:val="0"/>
              <w:divBdr>
                <w:top w:val="none" w:sz="0" w:space="0" w:color="auto"/>
                <w:left w:val="none" w:sz="0" w:space="0" w:color="auto"/>
                <w:bottom w:val="none" w:sz="0" w:space="0" w:color="auto"/>
                <w:right w:val="none" w:sz="0" w:space="0" w:color="auto"/>
              </w:divBdr>
            </w:div>
          </w:divsChild>
        </w:div>
        <w:div w:id="1609579493">
          <w:marLeft w:val="0"/>
          <w:marRight w:val="0"/>
          <w:marTop w:val="0"/>
          <w:marBottom w:val="0"/>
          <w:divBdr>
            <w:top w:val="none" w:sz="0" w:space="0" w:color="auto"/>
            <w:left w:val="none" w:sz="0" w:space="0" w:color="auto"/>
            <w:bottom w:val="none" w:sz="0" w:space="0" w:color="auto"/>
            <w:right w:val="none" w:sz="0" w:space="0" w:color="auto"/>
          </w:divBdr>
          <w:divsChild>
            <w:div w:id="2051494346">
              <w:marLeft w:val="0"/>
              <w:marRight w:val="0"/>
              <w:marTop w:val="0"/>
              <w:marBottom w:val="0"/>
              <w:divBdr>
                <w:top w:val="none" w:sz="0" w:space="0" w:color="auto"/>
                <w:left w:val="none" w:sz="0" w:space="0" w:color="auto"/>
                <w:bottom w:val="none" w:sz="0" w:space="0" w:color="auto"/>
                <w:right w:val="none" w:sz="0" w:space="0" w:color="auto"/>
              </w:divBdr>
            </w:div>
          </w:divsChild>
        </w:div>
        <w:div w:id="1645087987">
          <w:marLeft w:val="0"/>
          <w:marRight w:val="0"/>
          <w:marTop w:val="0"/>
          <w:marBottom w:val="0"/>
          <w:divBdr>
            <w:top w:val="none" w:sz="0" w:space="0" w:color="auto"/>
            <w:left w:val="none" w:sz="0" w:space="0" w:color="auto"/>
            <w:bottom w:val="none" w:sz="0" w:space="0" w:color="auto"/>
            <w:right w:val="none" w:sz="0" w:space="0" w:color="auto"/>
          </w:divBdr>
          <w:divsChild>
            <w:div w:id="1758357734">
              <w:marLeft w:val="0"/>
              <w:marRight w:val="0"/>
              <w:marTop w:val="0"/>
              <w:marBottom w:val="0"/>
              <w:divBdr>
                <w:top w:val="none" w:sz="0" w:space="0" w:color="auto"/>
                <w:left w:val="none" w:sz="0" w:space="0" w:color="auto"/>
                <w:bottom w:val="none" w:sz="0" w:space="0" w:color="auto"/>
                <w:right w:val="none" w:sz="0" w:space="0" w:color="auto"/>
              </w:divBdr>
            </w:div>
          </w:divsChild>
        </w:div>
        <w:div w:id="1653288923">
          <w:marLeft w:val="0"/>
          <w:marRight w:val="0"/>
          <w:marTop w:val="0"/>
          <w:marBottom w:val="0"/>
          <w:divBdr>
            <w:top w:val="none" w:sz="0" w:space="0" w:color="auto"/>
            <w:left w:val="none" w:sz="0" w:space="0" w:color="auto"/>
            <w:bottom w:val="none" w:sz="0" w:space="0" w:color="auto"/>
            <w:right w:val="none" w:sz="0" w:space="0" w:color="auto"/>
          </w:divBdr>
          <w:divsChild>
            <w:div w:id="215049779">
              <w:marLeft w:val="0"/>
              <w:marRight w:val="0"/>
              <w:marTop w:val="0"/>
              <w:marBottom w:val="0"/>
              <w:divBdr>
                <w:top w:val="none" w:sz="0" w:space="0" w:color="auto"/>
                <w:left w:val="none" w:sz="0" w:space="0" w:color="auto"/>
                <w:bottom w:val="none" w:sz="0" w:space="0" w:color="auto"/>
                <w:right w:val="none" w:sz="0" w:space="0" w:color="auto"/>
              </w:divBdr>
            </w:div>
          </w:divsChild>
        </w:div>
        <w:div w:id="1685938999">
          <w:marLeft w:val="0"/>
          <w:marRight w:val="0"/>
          <w:marTop w:val="0"/>
          <w:marBottom w:val="0"/>
          <w:divBdr>
            <w:top w:val="none" w:sz="0" w:space="0" w:color="auto"/>
            <w:left w:val="none" w:sz="0" w:space="0" w:color="auto"/>
            <w:bottom w:val="none" w:sz="0" w:space="0" w:color="auto"/>
            <w:right w:val="none" w:sz="0" w:space="0" w:color="auto"/>
          </w:divBdr>
          <w:divsChild>
            <w:div w:id="743450209">
              <w:marLeft w:val="0"/>
              <w:marRight w:val="0"/>
              <w:marTop w:val="0"/>
              <w:marBottom w:val="0"/>
              <w:divBdr>
                <w:top w:val="none" w:sz="0" w:space="0" w:color="auto"/>
                <w:left w:val="none" w:sz="0" w:space="0" w:color="auto"/>
                <w:bottom w:val="none" w:sz="0" w:space="0" w:color="auto"/>
                <w:right w:val="none" w:sz="0" w:space="0" w:color="auto"/>
              </w:divBdr>
            </w:div>
          </w:divsChild>
        </w:div>
        <w:div w:id="1695883438">
          <w:marLeft w:val="0"/>
          <w:marRight w:val="0"/>
          <w:marTop w:val="0"/>
          <w:marBottom w:val="0"/>
          <w:divBdr>
            <w:top w:val="none" w:sz="0" w:space="0" w:color="auto"/>
            <w:left w:val="none" w:sz="0" w:space="0" w:color="auto"/>
            <w:bottom w:val="none" w:sz="0" w:space="0" w:color="auto"/>
            <w:right w:val="none" w:sz="0" w:space="0" w:color="auto"/>
          </w:divBdr>
          <w:divsChild>
            <w:div w:id="1896157054">
              <w:marLeft w:val="0"/>
              <w:marRight w:val="0"/>
              <w:marTop w:val="0"/>
              <w:marBottom w:val="0"/>
              <w:divBdr>
                <w:top w:val="none" w:sz="0" w:space="0" w:color="auto"/>
                <w:left w:val="none" w:sz="0" w:space="0" w:color="auto"/>
                <w:bottom w:val="none" w:sz="0" w:space="0" w:color="auto"/>
                <w:right w:val="none" w:sz="0" w:space="0" w:color="auto"/>
              </w:divBdr>
            </w:div>
          </w:divsChild>
        </w:div>
        <w:div w:id="1761246386">
          <w:marLeft w:val="0"/>
          <w:marRight w:val="0"/>
          <w:marTop w:val="0"/>
          <w:marBottom w:val="0"/>
          <w:divBdr>
            <w:top w:val="none" w:sz="0" w:space="0" w:color="auto"/>
            <w:left w:val="none" w:sz="0" w:space="0" w:color="auto"/>
            <w:bottom w:val="none" w:sz="0" w:space="0" w:color="auto"/>
            <w:right w:val="none" w:sz="0" w:space="0" w:color="auto"/>
          </w:divBdr>
          <w:divsChild>
            <w:div w:id="1346059524">
              <w:marLeft w:val="0"/>
              <w:marRight w:val="0"/>
              <w:marTop w:val="0"/>
              <w:marBottom w:val="0"/>
              <w:divBdr>
                <w:top w:val="none" w:sz="0" w:space="0" w:color="auto"/>
                <w:left w:val="none" w:sz="0" w:space="0" w:color="auto"/>
                <w:bottom w:val="none" w:sz="0" w:space="0" w:color="auto"/>
                <w:right w:val="none" w:sz="0" w:space="0" w:color="auto"/>
              </w:divBdr>
            </w:div>
          </w:divsChild>
        </w:div>
        <w:div w:id="1768385965">
          <w:marLeft w:val="0"/>
          <w:marRight w:val="0"/>
          <w:marTop w:val="0"/>
          <w:marBottom w:val="0"/>
          <w:divBdr>
            <w:top w:val="none" w:sz="0" w:space="0" w:color="auto"/>
            <w:left w:val="none" w:sz="0" w:space="0" w:color="auto"/>
            <w:bottom w:val="none" w:sz="0" w:space="0" w:color="auto"/>
            <w:right w:val="none" w:sz="0" w:space="0" w:color="auto"/>
          </w:divBdr>
          <w:divsChild>
            <w:div w:id="460149889">
              <w:marLeft w:val="0"/>
              <w:marRight w:val="0"/>
              <w:marTop w:val="0"/>
              <w:marBottom w:val="0"/>
              <w:divBdr>
                <w:top w:val="none" w:sz="0" w:space="0" w:color="auto"/>
                <w:left w:val="none" w:sz="0" w:space="0" w:color="auto"/>
                <w:bottom w:val="none" w:sz="0" w:space="0" w:color="auto"/>
                <w:right w:val="none" w:sz="0" w:space="0" w:color="auto"/>
              </w:divBdr>
            </w:div>
          </w:divsChild>
        </w:div>
        <w:div w:id="1780030687">
          <w:marLeft w:val="0"/>
          <w:marRight w:val="0"/>
          <w:marTop w:val="0"/>
          <w:marBottom w:val="0"/>
          <w:divBdr>
            <w:top w:val="none" w:sz="0" w:space="0" w:color="auto"/>
            <w:left w:val="none" w:sz="0" w:space="0" w:color="auto"/>
            <w:bottom w:val="none" w:sz="0" w:space="0" w:color="auto"/>
            <w:right w:val="none" w:sz="0" w:space="0" w:color="auto"/>
          </w:divBdr>
          <w:divsChild>
            <w:div w:id="386806840">
              <w:marLeft w:val="0"/>
              <w:marRight w:val="0"/>
              <w:marTop w:val="0"/>
              <w:marBottom w:val="0"/>
              <w:divBdr>
                <w:top w:val="none" w:sz="0" w:space="0" w:color="auto"/>
                <w:left w:val="none" w:sz="0" w:space="0" w:color="auto"/>
                <w:bottom w:val="none" w:sz="0" w:space="0" w:color="auto"/>
                <w:right w:val="none" w:sz="0" w:space="0" w:color="auto"/>
              </w:divBdr>
            </w:div>
          </w:divsChild>
        </w:div>
        <w:div w:id="1793865574">
          <w:marLeft w:val="0"/>
          <w:marRight w:val="0"/>
          <w:marTop w:val="0"/>
          <w:marBottom w:val="0"/>
          <w:divBdr>
            <w:top w:val="none" w:sz="0" w:space="0" w:color="auto"/>
            <w:left w:val="none" w:sz="0" w:space="0" w:color="auto"/>
            <w:bottom w:val="none" w:sz="0" w:space="0" w:color="auto"/>
            <w:right w:val="none" w:sz="0" w:space="0" w:color="auto"/>
          </w:divBdr>
          <w:divsChild>
            <w:div w:id="575435613">
              <w:marLeft w:val="0"/>
              <w:marRight w:val="0"/>
              <w:marTop w:val="0"/>
              <w:marBottom w:val="0"/>
              <w:divBdr>
                <w:top w:val="none" w:sz="0" w:space="0" w:color="auto"/>
                <w:left w:val="none" w:sz="0" w:space="0" w:color="auto"/>
                <w:bottom w:val="none" w:sz="0" w:space="0" w:color="auto"/>
                <w:right w:val="none" w:sz="0" w:space="0" w:color="auto"/>
              </w:divBdr>
            </w:div>
          </w:divsChild>
        </w:div>
        <w:div w:id="1794519654">
          <w:marLeft w:val="0"/>
          <w:marRight w:val="0"/>
          <w:marTop w:val="0"/>
          <w:marBottom w:val="0"/>
          <w:divBdr>
            <w:top w:val="none" w:sz="0" w:space="0" w:color="auto"/>
            <w:left w:val="none" w:sz="0" w:space="0" w:color="auto"/>
            <w:bottom w:val="none" w:sz="0" w:space="0" w:color="auto"/>
            <w:right w:val="none" w:sz="0" w:space="0" w:color="auto"/>
          </w:divBdr>
          <w:divsChild>
            <w:div w:id="1537429429">
              <w:marLeft w:val="0"/>
              <w:marRight w:val="0"/>
              <w:marTop w:val="0"/>
              <w:marBottom w:val="0"/>
              <w:divBdr>
                <w:top w:val="none" w:sz="0" w:space="0" w:color="auto"/>
                <w:left w:val="none" w:sz="0" w:space="0" w:color="auto"/>
                <w:bottom w:val="none" w:sz="0" w:space="0" w:color="auto"/>
                <w:right w:val="none" w:sz="0" w:space="0" w:color="auto"/>
              </w:divBdr>
            </w:div>
          </w:divsChild>
        </w:div>
        <w:div w:id="1824542413">
          <w:marLeft w:val="0"/>
          <w:marRight w:val="0"/>
          <w:marTop w:val="0"/>
          <w:marBottom w:val="0"/>
          <w:divBdr>
            <w:top w:val="none" w:sz="0" w:space="0" w:color="auto"/>
            <w:left w:val="none" w:sz="0" w:space="0" w:color="auto"/>
            <w:bottom w:val="none" w:sz="0" w:space="0" w:color="auto"/>
            <w:right w:val="none" w:sz="0" w:space="0" w:color="auto"/>
          </w:divBdr>
          <w:divsChild>
            <w:div w:id="1378889991">
              <w:marLeft w:val="0"/>
              <w:marRight w:val="0"/>
              <w:marTop w:val="0"/>
              <w:marBottom w:val="0"/>
              <w:divBdr>
                <w:top w:val="none" w:sz="0" w:space="0" w:color="auto"/>
                <w:left w:val="none" w:sz="0" w:space="0" w:color="auto"/>
                <w:bottom w:val="none" w:sz="0" w:space="0" w:color="auto"/>
                <w:right w:val="none" w:sz="0" w:space="0" w:color="auto"/>
              </w:divBdr>
            </w:div>
          </w:divsChild>
        </w:div>
        <w:div w:id="1833720621">
          <w:marLeft w:val="0"/>
          <w:marRight w:val="0"/>
          <w:marTop w:val="0"/>
          <w:marBottom w:val="0"/>
          <w:divBdr>
            <w:top w:val="none" w:sz="0" w:space="0" w:color="auto"/>
            <w:left w:val="none" w:sz="0" w:space="0" w:color="auto"/>
            <w:bottom w:val="none" w:sz="0" w:space="0" w:color="auto"/>
            <w:right w:val="none" w:sz="0" w:space="0" w:color="auto"/>
          </w:divBdr>
          <w:divsChild>
            <w:div w:id="1881823321">
              <w:marLeft w:val="0"/>
              <w:marRight w:val="0"/>
              <w:marTop w:val="0"/>
              <w:marBottom w:val="0"/>
              <w:divBdr>
                <w:top w:val="none" w:sz="0" w:space="0" w:color="auto"/>
                <w:left w:val="none" w:sz="0" w:space="0" w:color="auto"/>
                <w:bottom w:val="none" w:sz="0" w:space="0" w:color="auto"/>
                <w:right w:val="none" w:sz="0" w:space="0" w:color="auto"/>
              </w:divBdr>
            </w:div>
          </w:divsChild>
        </w:div>
        <w:div w:id="1848326522">
          <w:marLeft w:val="0"/>
          <w:marRight w:val="0"/>
          <w:marTop w:val="0"/>
          <w:marBottom w:val="0"/>
          <w:divBdr>
            <w:top w:val="none" w:sz="0" w:space="0" w:color="auto"/>
            <w:left w:val="none" w:sz="0" w:space="0" w:color="auto"/>
            <w:bottom w:val="none" w:sz="0" w:space="0" w:color="auto"/>
            <w:right w:val="none" w:sz="0" w:space="0" w:color="auto"/>
          </w:divBdr>
          <w:divsChild>
            <w:div w:id="278075373">
              <w:marLeft w:val="0"/>
              <w:marRight w:val="0"/>
              <w:marTop w:val="0"/>
              <w:marBottom w:val="0"/>
              <w:divBdr>
                <w:top w:val="none" w:sz="0" w:space="0" w:color="auto"/>
                <w:left w:val="none" w:sz="0" w:space="0" w:color="auto"/>
                <w:bottom w:val="none" w:sz="0" w:space="0" w:color="auto"/>
                <w:right w:val="none" w:sz="0" w:space="0" w:color="auto"/>
              </w:divBdr>
            </w:div>
          </w:divsChild>
        </w:div>
        <w:div w:id="1852138059">
          <w:marLeft w:val="0"/>
          <w:marRight w:val="0"/>
          <w:marTop w:val="0"/>
          <w:marBottom w:val="0"/>
          <w:divBdr>
            <w:top w:val="none" w:sz="0" w:space="0" w:color="auto"/>
            <w:left w:val="none" w:sz="0" w:space="0" w:color="auto"/>
            <w:bottom w:val="none" w:sz="0" w:space="0" w:color="auto"/>
            <w:right w:val="none" w:sz="0" w:space="0" w:color="auto"/>
          </w:divBdr>
          <w:divsChild>
            <w:div w:id="82457153">
              <w:marLeft w:val="0"/>
              <w:marRight w:val="0"/>
              <w:marTop w:val="0"/>
              <w:marBottom w:val="0"/>
              <w:divBdr>
                <w:top w:val="none" w:sz="0" w:space="0" w:color="auto"/>
                <w:left w:val="none" w:sz="0" w:space="0" w:color="auto"/>
                <w:bottom w:val="none" w:sz="0" w:space="0" w:color="auto"/>
                <w:right w:val="none" w:sz="0" w:space="0" w:color="auto"/>
              </w:divBdr>
            </w:div>
            <w:div w:id="1733771231">
              <w:marLeft w:val="0"/>
              <w:marRight w:val="0"/>
              <w:marTop w:val="0"/>
              <w:marBottom w:val="0"/>
              <w:divBdr>
                <w:top w:val="none" w:sz="0" w:space="0" w:color="auto"/>
                <w:left w:val="none" w:sz="0" w:space="0" w:color="auto"/>
                <w:bottom w:val="none" w:sz="0" w:space="0" w:color="auto"/>
                <w:right w:val="none" w:sz="0" w:space="0" w:color="auto"/>
              </w:divBdr>
            </w:div>
            <w:div w:id="1995526457">
              <w:marLeft w:val="0"/>
              <w:marRight w:val="0"/>
              <w:marTop w:val="0"/>
              <w:marBottom w:val="0"/>
              <w:divBdr>
                <w:top w:val="none" w:sz="0" w:space="0" w:color="auto"/>
                <w:left w:val="none" w:sz="0" w:space="0" w:color="auto"/>
                <w:bottom w:val="none" w:sz="0" w:space="0" w:color="auto"/>
                <w:right w:val="none" w:sz="0" w:space="0" w:color="auto"/>
              </w:divBdr>
            </w:div>
          </w:divsChild>
        </w:div>
        <w:div w:id="1858811816">
          <w:marLeft w:val="0"/>
          <w:marRight w:val="0"/>
          <w:marTop w:val="0"/>
          <w:marBottom w:val="0"/>
          <w:divBdr>
            <w:top w:val="none" w:sz="0" w:space="0" w:color="auto"/>
            <w:left w:val="none" w:sz="0" w:space="0" w:color="auto"/>
            <w:bottom w:val="none" w:sz="0" w:space="0" w:color="auto"/>
            <w:right w:val="none" w:sz="0" w:space="0" w:color="auto"/>
          </w:divBdr>
          <w:divsChild>
            <w:div w:id="272245952">
              <w:marLeft w:val="0"/>
              <w:marRight w:val="0"/>
              <w:marTop w:val="0"/>
              <w:marBottom w:val="0"/>
              <w:divBdr>
                <w:top w:val="none" w:sz="0" w:space="0" w:color="auto"/>
                <w:left w:val="none" w:sz="0" w:space="0" w:color="auto"/>
                <w:bottom w:val="none" w:sz="0" w:space="0" w:color="auto"/>
                <w:right w:val="none" w:sz="0" w:space="0" w:color="auto"/>
              </w:divBdr>
            </w:div>
          </w:divsChild>
        </w:div>
        <w:div w:id="1862889308">
          <w:marLeft w:val="0"/>
          <w:marRight w:val="0"/>
          <w:marTop w:val="0"/>
          <w:marBottom w:val="0"/>
          <w:divBdr>
            <w:top w:val="none" w:sz="0" w:space="0" w:color="auto"/>
            <w:left w:val="none" w:sz="0" w:space="0" w:color="auto"/>
            <w:bottom w:val="none" w:sz="0" w:space="0" w:color="auto"/>
            <w:right w:val="none" w:sz="0" w:space="0" w:color="auto"/>
          </w:divBdr>
          <w:divsChild>
            <w:div w:id="151262923">
              <w:marLeft w:val="0"/>
              <w:marRight w:val="0"/>
              <w:marTop w:val="0"/>
              <w:marBottom w:val="0"/>
              <w:divBdr>
                <w:top w:val="none" w:sz="0" w:space="0" w:color="auto"/>
                <w:left w:val="none" w:sz="0" w:space="0" w:color="auto"/>
                <w:bottom w:val="none" w:sz="0" w:space="0" w:color="auto"/>
                <w:right w:val="none" w:sz="0" w:space="0" w:color="auto"/>
              </w:divBdr>
            </w:div>
          </w:divsChild>
        </w:div>
        <w:div w:id="1987465433">
          <w:marLeft w:val="0"/>
          <w:marRight w:val="0"/>
          <w:marTop w:val="0"/>
          <w:marBottom w:val="0"/>
          <w:divBdr>
            <w:top w:val="none" w:sz="0" w:space="0" w:color="auto"/>
            <w:left w:val="none" w:sz="0" w:space="0" w:color="auto"/>
            <w:bottom w:val="none" w:sz="0" w:space="0" w:color="auto"/>
            <w:right w:val="none" w:sz="0" w:space="0" w:color="auto"/>
          </w:divBdr>
          <w:divsChild>
            <w:div w:id="1042100501">
              <w:marLeft w:val="0"/>
              <w:marRight w:val="0"/>
              <w:marTop w:val="0"/>
              <w:marBottom w:val="0"/>
              <w:divBdr>
                <w:top w:val="none" w:sz="0" w:space="0" w:color="auto"/>
                <w:left w:val="none" w:sz="0" w:space="0" w:color="auto"/>
                <w:bottom w:val="none" w:sz="0" w:space="0" w:color="auto"/>
                <w:right w:val="none" w:sz="0" w:space="0" w:color="auto"/>
              </w:divBdr>
            </w:div>
          </w:divsChild>
        </w:div>
        <w:div w:id="1995720336">
          <w:marLeft w:val="0"/>
          <w:marRight w:val="0"/>
          <w:marTop w:val="0"/>
          <w:marBottom w:val="0"/>
          <w:divBdr>
            <w:top w:val="none" w:sz="0" w:space="0" w:color="auto"/>
            <w:left w:val="none" w:sz="0" w:space="0" w:color="auto"/>
            <w:bottom w:val="none" w:sz="0" w:space="0" w:color="auto"/>
            <w:right w:val="none" w:sz="0" w:space="0" w:color="auto"/>
          </w:divBdr>
          <w:divsChild>
            <w:div w:id="690111072">
              <w:marLeft w:val="0"/>
              <w:marRight w:val="0"/>
              <w:marTop w:val="0"/>
              <w:marBottom w:val="0"/>
              <w:divBdr>
                <w:top w:val="none" w:sz="0" w:space="0" w:color="auto"/>
                <w:left w:val="none" w:sz="0" w:space="0" w:color="auto"/>
                <w:bottom w:val="none" w:sz="0" w:space="0" w:color="auto"/>
                <w:right w:val="none" w:sz="0" w:space="0" w:color="auto"/>
              </w:divBdr>
            </w:div>
          </w:divsChild>
        </w:div>
        <w:div w:id="2085292570">
          <w:marLeft w:val="0"/>
          <w:marRight w:val="0"/>
          <w:marTop w:val="0"/>
          <w:marBottom w:val="0"/>
          <w:divBdr>
            <w:top w:val="none" w:sz="0" w:space="0" w:color="auto"/>
            <w:left w:val="none" w:sz="0" w:space="0" w:color="auto"/>
            <w:bottom w:val="none" w:sz="0" w:space="0" w:color="auto"/>
            <w:right w:val="none" w:sz="0" w:space="0" w:color="auto"/>
          </w:divBdr>
          <w:divsChild>
            <w:div w:id="941424963">
              <w:marLeft w:val="0"/>
              <w:marRight w:val="0"/>
              <w:marTop w:val="0"/>
              <w:marBottom w:val="0"/>
              <w:divBdr>
                <w:top w:val="none" w:sz="0" w:space="0" w:color="auto"/>
                <w:left w:val="none" w:sz="0" w:space="0" w:color="auto"/>
                <w:bottom w:val="none" w:sz="0" w:space="0" w:color="auto"/>
                <w:right w:val="none" w:sz="0" w:space="0" w:color="auto"/>
              </w:divBdr>
            </w:div>
          </w:divsChild>
        </w:div>
        <w:div w:id="2088532885">
          <w:marLeft w:val="0"/>
          <w:marRight w:val="0"/>
          <w:marTop w:val="0"/>
          <w:marBottom w:val="0"/>
          <w:divBdr>
            <w:top w:val="none" w:sz="0" w:space="0" w:color="auto"/>
            <w:left w:val="none" w:sz="0" w:space="0" w:color="auto"/>
            <w:bottom w:val="none" w:sz="0" w:space="0" w:color="auto"/>
            <w:right w:val="none" w:sz="0" w:space="0" w:color="auto"/>
          </w:divBdr>
          <w:divsChild>
            <w:div w:id="1704598403">
              <w:marLeft w:val="0"/>
              <w:marRight w:val="0"/>
              <w:marTop w:val="0"/>
              <w:marBottom w:val="0"/>
              <w:divBdr>
                <w:top w:val="none" w:sz="0" w:space="0" w:color="auto"/>
                <w:left w:val="none" w:sz="0" w:space="0" w:color="auto"/>
                <w:bottom w:val="none" w:sz="0" w:space="0" w:color="auto"/>
                <w:right w:val="none" w:sz="0" w:space="0" w:color="auto"/>
              </w:divBdr>
            </w:div>
          </w:divsChild>
        </w:div>
        <w:div w:id="2120491644">
          <w:marLeft w:val="0"/>
          <w:marRight w:val="0"/>
          <w:marTop w:val="0"/>
          <w:marBottom w:val="0"/>
          <w:divBdr>
            <w:top w:val="none" w:sz="0" w:space="0" w:color="auto"/>
            <w:left w:val="none" w:sz="0" w:space="0" w:color="auto"/>
            <w:bottom w:val="none" w:sz="0" w:space="0" w:color="auto"/>
            <w:right w:val="none" w:sz="0" w:space="0" w:color="auto"/>
          </w:divBdr>
          <w:divsChild>
            <w:div w:id="617680760">
              <w:marLeft w:val="0"/>
              <w:marRight w:val="0"/>
              <w:marTop w:val="0"/>
              <w:marBottom w:val="0"/>
              <w:divBdr>
                <w:top w:val="none" w:sz="0" w:space="0" w:color="auto"/>
                <w:left w:val="none" w:sz="0" w:space="0" w:color="auto"/>
                <w:bottom w:val="none" w:sz="0" w:space="0" w:color="auto"/>
                <w:right w:val="none" w:sz="0" w:space="0" w:color="auto"/>
              </w:divBdr>
            </w:div>
          </w:divsChild>
        </w:div>
        <w:div w:id="2144156010">
          <w:marLeft w:val="0"/>
          <w:marRight w:val="0"/>
          <w:marTop w:val="0"/>
          <w:marBottom w:val="0"/>
          <w:divBdr>
            <w:top w:val="none" w:sz="0" w:space="0" w:color="auto"/>
            <w:left w:val="none" w:sz="0" w:space="0" w:color="auto"/>
            <w:bottom w:val="none" w:sz="0" w:space="0" w:color="auto"/>
            <w:right w:val="none" w:sz="0" w:space="0" w:color="auto"/>
          </w:divBdr>
          <w:divsChild>
            <w:div w:id="6664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86528">
      <w:bodyDiv w:val="1"/>
      <w:marLeft w:val="0"/>
      <w:marRight w:val="0"/>
      <w:marTop w:val="0"/>
      <w:marBottom w:val="0"/>
      <w:divBdr>
        <w:top w:val="none" w:sz="0" w:space="0" w:color="auto"/>
        <w:left w:val="none" w:sz="0" w:space="0" w:color="auto"/>
        <w:bottom w:val="none" w:sz="0" w:space="0" w:color="auto"/>
        <w:right w:val="none" w:sz="0" w:space="0" w:color="auto"/>
      </w:divBdr>
    </w:div>
    <w:div w:id="630869999">
      <w:bodyDiv w:val="1"/>
      <w:marLeft w:val="0"/>
      <w:marRight w:val="0"/>
      <w:marTop w:val="0"/>
      <w:marBottom w:val="0"/>
      <w:divBdr>
        <w:top w:val="none" w:sz="0" w:space="0" w:color="auto"/>
        <w:left w:val="none" w:sz="0" w:space="0" w:color="auto"/>
        <w:bottom w:val="none" w:sz="0" w:space="0" w:color="auto"/>
        <w:right w:val="none" w:sz="0" w:space="0" w:color="auto"/>
      </w:divBdr>
    </w:div>
    <w:div w:id="633022152">
      <w:bodyDiv w:val="1"/>
      <w:marLeft w:val="0"/>
      <w:marRight w:val="0"/>
      <w:marTop w:val="0"/>
      <w:marBottom w:val="0"/>
      <w:divBdr>
        <w:top w:val="none" w:sz="0" w:space="0" w:color="auto"/>
        <w:left w:val="none" w:sz="0" w:space="0" w:color="auto"/>
        <w:bottom w:val="none" w:sz="0" w:space="0" w:color="auto"/>
        <w:right w:val="none" w:sz="0" w:space="0" w:color="auto"/>
      </w:divBdr>
    </w:div>
    <w:div w:id="638416469">
      <w:bodyDiv w:val="1"/>
      <w:marLeft w:val="0"/>
      <w:marRight w:val="0"/>
      <w:marTop w:val="0"/>
      <w:marBottom w:val="0"/>
      <w:divBdr>
        <w:top w:val="none" w:sz="0" w:space="0" w:color="auto"/>
        <w:left w:val="none" w:sz="0" w:space="0" w:color="auto"/>
        <w:bottom w:val="none" w:sz="0" w:space="0" w:color="auto"/>
        <w:right w:val="none" w:sz="0" w:space="0" w:color="auto"/>
      </w:divBdr>
      <w:divsChild>
        <w:div w:id="264269539">
          <w:marLeft w:val="0"/>
          <w:marRight w:val="0"/>
          <w:marTop w:val="0"/>
          <w:marBottom w:val="0"/>
          <w:divBdr>
            <w:top w:val="none" w:sz="0" w:space="0" w:color="auto"/>
            <w:left w:val="none" w:sz="0" w:space="0" w:color="auto"/>
            <w:bottom w:val="none" w:sz="0" w:space="0" w:color="auto"/>
            <w:right w:val="none" w:sz="0" w:space="0" w:color="auto"/>
          </w:divBdr>
        </w:div>
      </w:divsChild>
    </w:div>
    <w:div w:id="647513349">
      <w:bodyDiv w:val="1"/>
      <w:marLeft w:val="0"/>
      <w:marRight w:val="0"/>
      <w:marTop w:val="0"/>
      <w:marBottom w:val="0"/>
      <w:divBdr>
        <w:top w:val="none" w:sz="0" w:space="0" w:color="auto"/>
        <w:left w:val="none" w:sz="0" w:space="0" w:color="auto"/>
        <w:bottom w:val="none" w:sz="0" w:space="0" w:color="auto"/>
        <w:right w:val="none" w:sz="0" w:space="0" w:color="auto"/>
      </w:divBdr>
      <w:divsChild>
        <w:div w:id="49816032">
          <w:marLeft w:val="0"/>
          <w:marRight w:val="0"/>
          <w:marTop w:val="0"/>
          <w:marBottom w:val="0"/>
          <w:divBdr>
            <w:top w:val="none" w:sz="0" w:space="0" w:color="auto"/>
            <w:left w:val="none" w:sz="0" w:space="0" w:color="auto"/>
            <w:bottom w:val="none" w:sz="0" w:space="0" w:color="auto"/>
            <w:right w:val="none" w:sz="0" w:space="0" w:color="auto"/>
          </w:divBdr>
          <w:divsChild>
            <w:div w:id="1079712513">
              <w:marLeft w:val="0"/>
              <w:marRight w:val="0"/>
              <w:marTop w:val="0"/>
              <w:marBottom w:val="0"/>
              <w:divBdr>
                <w:top w:val="none" w:sz="0" w:space="0" w:color="auto"/>
                <w:left w:val="none" w:sz="0" w:space="0" w:color="auto"/>
                <w:bottom w:val="none" w:sz="0" w:space="0" w:color="auto"/>
                <w:right w:val="none" w:sz="0" w:space="0" w:color="auto"/>
              </w:divBdr>
              <w:divsChild>
                <w:div w:id="1809974687">
                  <w:marLeft w:val="0"/>
                  <w:marRight w:val="0"/>
                  <w:marTop w:val="0"/>
                  <w:marBottom w:val="300"/>
                  <w:divBdr>
                    <w:top w:val="none" w:sz="0" w:space="0" w:color="auto"/>
                    <w:left w:val="none" w:sz="0" w:space="0" w:color="auto"/>
                    <w:bottom w:val="none" w:sz="0" w:space="0" w:color="auto"/>
                    <w:right w:val="none" w:sz="0" w:space="0" w:color="auto"/>
                  </w:divBdr>
                  <w:divsChild>
                    <w:div w:id="1578662463">
                      <w:marLeft w:val="0"/>
                      <w:marRight w:val="0"/>
                      <w:marTop w:val="0"/>
                      <w:marBottom w:val="0"/>
                      <w:divBdr>
                        <w:top w:val="none" w:sz="0" w:space="0" w:color="auto"/>
                        <w:left w:val="none" w:sz="0" w:space="0" w:color="auto"/>
                        <w:bottom w:val="none" w:sz="0" w:space="0" w:color="auto"/>
                        <w:right w:val="none" w:sz="0" w:space="0" w:color="auto"/>
                      </w:divBdr>
                      <w:divsChild>
                        <w:div w:id="14652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056774">
          <w:marLeft w:val="0"/>
          <w:marRight w:val="0"/>
          <w:marTop w:val="0"/>
          <w:marBottom w:val="0"/>
          <w:divBdr>
            <w:top w:val="none" w:sz="0" w:space="0" w:color="auto"/>
            <w:left w:val="none" w:sz="0" w:space="0" w:color="auto"/>
            <w:bottom w:val="none" w:sz="0" w:space="0" w:color="auto"/>
            <w:right w:val="none" w:sz="0" w:space="0" w:color="auto"/>
          </w:divBdr>
          <w:divsChild>
            <w:div w:id="580262224">
              <w:marLeft w:val="0"/>
              <w:marRight w:val="0"/>
              <w:marTop w:val="0"/>
              <w:marBottom w:val="0"/>
              <w:divBdr>
                <w:top w:val="none" w:sz="0" w:space="0" w:color="auto"/>
                <w:left w:val="none" w:sz="0" w:space="0" w:color="auto"/>
                <w:bottom w:val="none" w:sz="0" w:space="0" w:color="auto"/>
                <w:right w:val="none" w:sz="0" w:space="0" w:color="auto"/>
              </w:divBdr>
              <w:divsChild>
                <w:div w:id="1477187426">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 w:id="648943869">
      <w:bodyDiv w:val="1"/>
      <w:marLeft w:val="0"/>
      <w:marRight w:val="0"/>
      <w:marTop w:val="0"/>
      <w:marBottom w:val="0"/>
      <w:divBdr>
        <w:top w:val="none" w:sz="0" w:space="0" w:color="auto"/>
        <w:left w:val="none" w:sz="0" w:space="0" w:color="auto"/>
        <w:bottom w:val="none" w:sz="0" w:space="0" w:color="auto"/>
        <w:right w:val="none" w:sz="0" w:space="0" w:color="auto"/>
      </w:divBdr>
    </w:div>
    <w:div w:id="650838176">
      <w:bodyDiv w:val="1"/>
      <w:marLeft w:val="0"/>
      <w:marRight w:val="0"/>
      <w:marTop w:val="0"/>
      <w:marBottom w:val="0"/>
      <w:divBdr>
        <w:top w:val="none" w:sz="0" w:space="0" w:color="auto"/>
        <w:left w:val="none" w:sz="0" w:space="0" w:color="auto"/>
        <w:bottom w:val="none" w:sz="0" w:space="0" w:color="auto"/>
        <w:right w:val="none" w:sz="0" w:space="0" w:color="auto"/>
      </w:divBdr>
    </w:div>
    <w:div w:id="662316281">
      <w:bodyDiv w:val="1"/>
      <w:marLeft w:val="0"/>
      <w:marRight w:val="0"/>
      <w:marTop w:val="0"/>
      <w:marBottom w:val="0"/>
      <w:divBdr>
        <w:top w:val="none" w:sz="0" w:space="0" w:color="auto"/>
        <w:left w:val="none" w:sz="0" w:space="0" w:color="auto"/>
        <w:bottom w:val="none" w:sz="0" w:space="0" w:color="auto"/>
        <w:right w:val="none" w:sz="0" w:space="0" w:color="auto"/>
      </w:divBdr>
    </w:div>
    <w:div w:id="670566232">
      <w:bodyDiv w:val="1"/>
      <w:marLeft w:val="0"/>
      <w:marRight w:val="0"/>
      <w:marTop w:val="0"/>
      <w:marBottom w:val="0"/>
      <w:divBdr>
        <w:top w:val="none" w:sz="0" w:space="0" w:color="auto"/>
        <w:left w:val="none" w:sz="0" w:space="0" w:color="auto"/>
        <w:bottom w:val="none" w:sz="0" w:space="0" w:color="auto"/>
        <w:right w:val="none" w:sz="0" w:space="0" w:color="auto"/>
      </w:divBdr>
      <w:divsChild>
        <w:div w:id="1191994393">
          <w:marLeft w:val="0"/>
          <w:marRight w:val="0"/>
          <w:marTop w:val="0"/>
          <w:marBottom w:val="0"/>
          <w:divBdr>
            <w:top w:val="none" w:sz="0" w:space="0" w:color="auto"/>
            <w:left w:val="none" w:sz="0" w:space="0" w:color="auto"/>
            <w:bottom w:val="none" w:sz="0" w:space="0" w:color="auto"/>
            <w:right w:val="none" w:sz="0" w:space="0" w:color="auto"/>
          </w:divBdr>
          <w:divsChild>
            <w:div w:id="1448962127">
              <w:marLeft w:val="0"/>
              <w:marRight w:val="0"/>
              <w:marTop w:val="0"/>
              <w:marBottom w:val="0"/>
              <w:divBdr>
                <w:top w:val="none" w:sz="0" w:space="0" w:color="auto"/>
                <w:left w:val="none" w:sz="0" w:space="0" w:color="auto"/>
                <w:bottom w:val="none" w:sz="0" w:space="0" w:color="auto"/>
                <w:right w:val="none" w:sz="0" w:space="0" w:color="auto"/>
              </w:divBdr>
              <w:divsChild>
                <w:div w:id="2065981209">
                  <w:marLeft w:val="0"/>
                  <w:marRight w:val="0"/>
                  <w:marTop w:val="0"/>
                  <w:marBottom w:val="0"/>
                  <w:divBdr>
                    <w:top w:val="none" w:sz="0" w:space="0" w:color="auto"/>
                    <w:left w:val="none" w:sz="0" w:space="0" w:color="auto"/>
                    <w:bottom w:val="none" w:sz="0" w:space="0" w:color="auto"/>
                    <w:right w:val="none" w:sz="0" w:space="0" w:color="auto"/>
                  </w:divBdr>
                  <w:divsChild>
                    <w:div w:id="1958946361">
                      <w:marLeft w:val="0"/>
                      <w:marRight w:val="0"/>
                      <w:marTop w:val="0"/>
                      <w:marBottom w:val="0"/>
                      <w:divBdr>
                        <w:top w:val="none" w:sz="0" w:space="0" w:color="auto"/>
                        <w:left w:val="none" w:sz="0" w:space="0" w:color="auto"/>
                        <w:bottom w:val="none" w:sz="0" w:space="0" w:color="auto"/>
                        <w:right w:val="none" w:sz="0" w:space="0" w:color="auto"/>
                      </w:divBdr>
                      <w:divsChild>
                        <w:div w:id="596332656">
                          <w:marLeft w:val="0"/>
                          <w:marRight w:val="0"/>
                          <w:marTop w:val="0"/>
                          <w:marBottom w:val="0"/>
                          <w:divBdr>
                            <w:top w:val="none" w:sz="0" w:space="0" w:color="auto"/>
                            <w:left w:val="none" w:sz="0" w:space="0" w:color="auto"/>
                            <w:bottom w:val="none" w:sz="0" w:space="0" w:color="auto"/>
                            <w:right w:val="none" w:sz="0" w:space="0" w:color="auto"/>
                          </w:divBdr>
                          <w:divsChild>
                            <w:div w:id="29183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0909664">
      <w:bodyDiv w:val="1"/>
      <w:marLeft w:val="0"/>
      <w:marRight w:val="0"/>
      <w:marTop w:val="0"/>
      <w:marBottom w:val="0"/>
      <w:divBdr>
        <w:top w:val="none" w:sz="0" w:space="0" w:color="auto"/>
        <w:left w:val="none" w:sz="0" w:space="0" w:color="auto"/>
        <w:bottom w:val="none" w:sz="0" w:space="0" w:color="auto"/>
        <w:right w:val="none" w:sz="0" w:space="0" w:color="auto"/>
      </w:divBdr>
      <w:divsChild>
        <w:div w:id="141503212">
          <w:marLeft w:val="0"/>
          <w:marRight w:val="0"/>
          <w:marTop w:val="0"/>
          <w:marBottom w:val="0"/>
          <w:divBdr>
            <w:top w:val="none" w:sz="0" w:space="0" w:color="auto"/>
            <w:left w:val="none" w:sz="0" w:space="0" w:color="auto"/>
            <w:bottom w:val="none" w:sz="0" w:space="0" w:color="auto"/>
            <w:right w:val="none" w:sz="0" w:space="0" w:color="auto"/>
          </w:divBdr>
        </w:div>
        <w:div w:id="176507200">
          <w:marLeft w:val="0"/>
          <w:marRight w:val="0"/>
          <w:marTop w:val="0"/>
          <w:marBottom w:val="0"/>
          <w:divBdr>
            <w:top w:val="none" w:sz="0" w:space="0" w:color="auto"/>
            <w:left w:val="none" w:sz="0" w:space="0" w:color="auto"/>
            <w:bottom w:val="none" w:sz="0" w:space="0" w:color="auto"/>
            <w:right w:val="none" w:sz="0" w:space="0" w:color="auto"/>
          </w:divBdr>
        </w:div>
        <w:div w:id="212736354">
          <w:marLeft w:val="0"/>
          <w:marRight w:val="0"/>
          <w:marTop w:val="0"/>
          <w:marBottom w:val="0"/>
          <w:divBdr>
            <w:top w:val="none" w:sz="0" w:space="0" w:color="auto"/>
            <w:left w:val="none" w:sz="0" w:space="0" w:color="auto"/>
            <w:bottom w:val="none" w:sz="0" w:space="0" w:color="auto"/>
            <w:right w:val="none" w:sz="0" w:space="0" w:color="auto"/>
          </w:divBdr>
        </w:div>
        <w:div w:id="281688684">
          <w:marLeft w:val="0"/>
          <w:marRight w:val="0"/>
          <w:marTop w:val="0"/>
          <w:marBottom w:val="0"/>
          <w:divBdr>
            <w:top w:val="none" w:sz="0" w:space="0" w:color="auto"/>
            <w:left w:val="none" w:sz="0" w:space="0" w:color="auto"/>
            <w:bottom w:val="none" w:sz="0" w:space="0" w:color="auto"/>
            <w:right w:val="none" w:sz="0" w:space="0" w:color="auto"/>
          </w:divBdr>
        </w:div>
        <w:div w:id="429933504">
          <w:marLeft w:val="0"/>
          <w:marRight w:val="0"/>
          <w:marTop w:val="0"/>
          <w:marBottom w:val="0"/>
          <w:divBdr>
            <w:top w:val="none" w:sz="0" w:space="0" w:color="auto"/>
            <w:left w:val="none" w:sz="0" w:space="0" w:color="auto"/>
            <w:bottom w:val="none" w:sz="0" w:space="0" w:color="auto"/>
            <w:right w:val="none" w:sz="0" w:space="0" w:color="auto"/>
          </w:divBdr>
        </w:div>
        <w:div w:id="663973651">
          <w:marLeft w:val="0"/>
          <w:marRight w:val="0"/>
          <w:marTop w:val="0"/>
          <w:marBottom w:val="0"/>
          <w:divBdr>
            <w:top w:val="none" w:sz="0" w:space="0" w:color="auto"/>
            <w:left w:val="none" w:sz="0" w:space="0" w:color="auto"/>
            <w:bottom w:val="none" w:sz="0" w:space="0" w:color="auto"/>
            <w:right w:val="none" w:sz="0" w:space="0" w:color="auto"/>
          </w:divBdr>
        </w:div>
        <w:div w:id="671566311">
          <w:marLeft w:val="0"/>
          <w:marRight w:val="0"/>
          <w:marTop w:val="0"/>
          <w:marBottom w:val="0"/>
          <w:divBdr>
            <w:top w:val="none" w:sz="0" w:space="0" w:color="auto"/>
            <w:left w:val="none" w:sz="0" w:space="0" w:color="auto"/>
            <w:bottom w:val="none" w:sz="0" w:space="0" w:color="auto"/>
            <w:right w:val="none" w:sz="0" w:space="0" w:color="auto"/>
          </w:divBdr>
        </w:div>
        <w:div w:id="1004822564">
          <w:marLeft w:val="0"/>
          <w:marRight w:val="0"/>
          <w:marTop w:val="0"/>
          <w:marBottom w:val="0"/>
          <w:divBdr>
            <w:top w:val="none" w:sz="0" w:space="0" w:color="auto"/>
            <w:left w:val="none" w:sz="0" w:space="0" w:color="auto"/>
            <w:bottom w:val="none" w:sz="0" w:space="0" w:color="auto"/>
            <w:right w:val="none" w:sz="0" w:space="0" w:color="auto"/>
          </w:divBdr>
        </w:div>
        <w:div w:id="1338338195">
          <w:marLeft w:val="0"/>
          <w:marRight w:val="0"/>
          <w:marTop w:val="0"/>
          <w:marBottom w:val="0"/>
          <w:divBdr>
            <w:top w:val="none" w:sz="0" w:space="0" w:color="auto"/>
            <w:left w:val="none" w:sz="0" w:space="0" w:color="auto"/>
            <w:bottom w:val="none" w:sz="0" w:space="0" w:color="auto"/>
            <w:right w:val="none" w:sz="0" w:space="0" w:color="auto"/>
          </w:divBdr>
        </w:div>
        <w:div w:id="1384863076">
          <w:marLeft w:val="0"/>
          <w:marRight w:val="0"/>
          <w:marTop w:val="0"/>
          <w:marBottom w:val="0"/>
          <w:divBdr>
            <w:top w:val="none" w:sz="0" w:space="0" w:color="auto"/>
            <w:left w:val="none" w:sz="0" w:space="0" w:color="auto"/>
            <w:bottom w:val="none" w:sz="0" w:space="0" w:color="auto"/>
            <w:right w:val="none" w:sz="0" w:space="0" w:color="auto"/>
          </w:divBdr>
        </w:div>
        <w:div w:id="1594507012">
          <w:marLeft w:val="0"/>
          <w:marRight w:val="0"/>
          <w:marTop w:val="0"/>
          <w:marBottom w:val="0"/>
          <w:divBdr>
            <w:top w:val="none" w:sz="0" w:space="0" w:color="auto"/>
            <w:left w:val="none" w:sz="0" w:space="0" w:color="auto"/>
            <w:bottom w:val="none" w:sz="0" w:space="0" w:color="auto"/>
            <w:right w:val="none" w:sz="0" w:space="0" w:color="auto"/>
          </w:divBdr>
        </w:div>
        <w:div w:id="1598828965">
          <w:marLeft w:val="0"/>
          <w:marRight w:val="0"/>
          <w:marTop w:val="0"/>
          <w:marBottom w:val="0"/>
          <w:divBdr>
            <w:top w:val="none" w:sz="0" w:space="0" w:color="auto"/>
            <w:left w:val="none" w:sz="0" w:space="0" w:color="auto"/>
            <w:bottom w:val="none" w:sz="0" w:space="0" w:color="auto"/>
            <w:right w:val="none" w:sz="0" w:space="0" w:color="auto"/>
          </w:divBdr>
        </w:div>
        <w:div w:id="1842159392">
          <w:marLeft w:val="0"/>
          <w:marRight w:val="0"/>
          <w:marTop w:val="0"/>
          <w:marBottom w:val="0"/>
          <w:divBdr>
            <w:top w:val="none" w:sz="0" w:space="0" w:color="auto"/>
            <w:left w:val="none" w:sz="0" w:space="0" w:color="auto"/>
            <w:bottom w:val="none" w:sz="0" w:space="0" w:color="auto"/>
            <w:right w:val="none" w:sz="0" w:space="0" w:color="auto"/>
          </w:divBdr>
        </w:div>
        <w:div w:id="1947998747">
          <w:marLeft w:val="0"/>
          <w:marRight w:val="0"/>
          <w:marTop w:val="0"/>
          <w:marBottom w:val="0"/>
          <w:divBdr>
            <w:top w:val="none" w:sz="0" w:space="0" w:color="auto"/>
            <w:left w:val="none" w:sz="0" w:space="0" w:color="auto"/>
            <w:bottom w:val="none" w:sz="0" w:space="0" w:color="auto"/>
            <w:right w:val="none" w:sz="0" w:space="0" w:color="auto"/>
          </w:divBdr>
        </w:div>
      </w:divsChild>
    </w:div>
    <w:div w:id="671181800">
      <w:bodyDiv w:val="1"/>
      <w:marLeft w:val="0"/>
      <w:marRight w:val="0"/>
      <w:marTop w:val="0"/>
      <w:marBottom w:val="0"/>
      <w:divBdr>
        <w:top w:val="none" w:sz="0" w:space="0" w:color="auto"/>
        <w:left w:val="none" w:sz="0" w:space="0" w:color="auto"/>
        <w:bottom w:val="none" w:sz="0" w:space="0" w:color="auto"/>
        <w:right w:val="none" w:sz="0" w:space="0" w:color="auto"/>
      </w:divBdr>
      <w:divsChild>
        <w:div w:id="188300288">
          <w:marLeft w:val="0"/>
          <w:marRight w:val="0"/>
          <w:marTop w:val="0"/>
          <w:marBottom w:val="0"/>
          <w:divBdr>
            <w:top w:val="none" w:sz="0" w:space="0" w:color="auto"/>
            <w:left w:val="none" w:sz="0" w:space="0" w:color="auto"/>
            <w:bottom w:val="none" w:sz="0" w:space="0" w:color="auto"/>
            <w:right w:val="none" w:sz="0" w:space="0" w:color="auto"/>
          </w:divBdr>
          <w:divsChild>
            <w:div w:id="286937975">
              <w:marLeft w:val="0"/>
              <w:marRight w:val="0"/>
              <w:marTop w:val="0"/>
              <w:marBottom w:val="0"/>
              <w:divBdr>
                <w:top w:val="none" w:sz="0" w:space="0" w:color="auto"/>
                <w:left w:val="none" w:sz="0" w:space="0" w:color="auto"/>
                <w:bottom w:val="none" w:sz="0" w:space="0" w:color="auto"/>
                <w:right w:val="none" w:sz="0" w:space="0" w:color="auto"/>
              </w:divBdr>
            </w:div>
          </w:divsChild>
        </w:div>
        <w:div w:id="224265001">
          <w:marLeft w:val="0"/>
          <w:marRight w:val="0"/>
          <w:marTop w:val="0"/>
          <w:marBottom w:val="0"/>
          <w:divBdr>
            <w:top w:val="none" w:sz="0" w:space="0" w:color="auto"/>
            <w:left w:val="none" w:sz="0" w:space="0" w:color="auto"/>
            <w:bottom w:val="none" w:sz="0" w:space="0" w:color="auto"/>
            <w:right w:val="none" w:sz="0" w:space="0" w:color="auto"/>
          </w:divBdr>
          <w:divsChild>
            <w:div w:id="1590700128">
              <w:marLeft w:val="0"/>
              <w:marRight w:val="0"/>
              <w:marTop w:val="0"/>
              <w:marBottom w:val="0"/>
              <w:divBdr>
                <w:top w:val="none" w:sz="0" w:space="0" w:color="auto"/>
                <w:left w:val="none" w:sz="0" w:space="0" w:color="auto"/>
                <w:bottom w:val="none" w:sz="0" w:space="0" w:color="auto"/>
                <w:right w:val="none" w:sz="0" w:space="0" w:color="auto"/>
              </w:divBdr>
            </w:div>
          </w:divsChild>
        </w:div>
        <w:div w:id="263155091">
          <w:marLeft w:val="0"/>
          <w:marRight w:val="0"/>
          <w:marTop w:val="0"/>
          <w:marBottom w:val="0"/>
          <w:divBdr>
            <w:top w:val="none" w:sz="0" w:space="0" w:color="auto"/>
            <w:left w:val="none" w:sz="0" w:space="0" w:color="auto"/>
            <w:bottom w:val="none" w:sz="0" w:space="0" w:color="auto"/>
            <w:right w:val="none" w:sz="0" w:space="0" w:color="auto"/>
          </w:divBdr>
          <w:divsChild>
            <w:div w:id="764421920">
              <w:marLeft w:val="0"/>
              <w:marRight w:val="0"/>
              <w:marTop w:val="0"/>
              <w:marBottom w:val="0"/>
              <w:divBdr>
                <w:top w:val="none" w:sz="0" w:space="0" w:color="auto"/>
                <w:left w:val="none" w:sz="0" w:space="0" w:color="auto"/>
                <w:bottom w:val="none" w:sz="0" w:space="0" w:color="auto"/>
                <w:right w:val="none" w:sz="0" w:space="0" w:color="auto"/>
              </w:divBdr>
            </w:div>
          </w:divsChild>
        </w:div>
        <w:div w:id="292368409">
          <w:marLeft w:val="0"/>
          <w:marRight w:val="0"/>
          <w:marTop w:val="0"/>
          <w:marBottom w:val="0"/>
          <w:divBdr>
            <w:top w:val="none" w:sz="0" w:space="0" w:color="auto"/>
            <w:left w:val="none" w:sz="0" w:space="0" w:color="auto"/>
            <w:bottom w:val="none" w:sz="0" w:space="0" w:color="auto"/>
            <w:right w:val="none" w:sz="0" w:space="0" w:color="auto"/>
          </w:divBdr>
          <w:divsChild>
            <w:div w:id="1134177630">
              <w:marLeft w:val="0"/>
              <w:marRight w:val="0"/>
              <w:marTop w:val="0"/>
              <w:marBottom w:val="0"/>
              <w:divBdr>
                <w:top w:val="none" w:sz="0" w:space="0" w:color="auto"/>
                <w:left w:val="none" w:sz="0" w:space="0" w:color="auto"/>
                <w:bottom w:val="none" w:sz="0" w:space="0" w:color="auto"/>
                <w:right w:val="none" w:sz="0" w:space="0" w:color="auto"/>
              </w:divBdr>
            </w:div>
          </w:divsChild>
        </w:div>
        <w:div w:id="338042341">
          <w:marLeft w:val="0"/>
          <w:marRight w:val="0"/>
          <w:marTop w:val="0"/>
          <w:marBottom w:val="0"/>
          <w:divBdr>
            <w:top w:val="none" w:sz="0" w:space="0" w:color="auto"/>
            <w:left w:val="none" w:sz="0" w:space="0" w:color="auto"/>
            <w:bottom w:val="none" w:sz="0" w:space="0" w:color="auto"/>
            <w:right w:val="none" w:sz="0" w:space="0" w:color="auto"/>
          </w:divBdr>
          <w:divsChild>
            <w:div w:id="1445729282">
              <w:marLeft w:val="0"/>
              <w:marRight w:val="0"/>
              <w:marTop w:val="0"/>
              <w:marBottom w:val="0"/>
              <w:divBdr>
                <w:top w:val="none" w:sz="0" w:space="0" w:color="auto"/>
                <w:left w:val="none" w:sz="0" w:space="0" w:color="auto"/>
                <w:bottom w:val="none" w:sz="0" w:space="0" w:color="auto"/>
                <w:right w:val="none" w:sz="0" w:space="0" w:color="auto"/>
              </w:divBdr>
            </w:div>
          </w:divsChild>
        </w:div>
        <w:div w:id="391126534">
          <w:marLeft w:val="0"/>
          <w:marRight w:val="0"/>
          <w:marTop w:val="0"/>
          <w:marBottom w:val="0"/>
          <w:divBdr>
            <w:top w:val="none" w:sz="0" w:space="0" w:color="auto"/>
            <w:left w:val="none" w:sz="0" w:space="0" w:color="auto"/>
            <w:bottom w:val="none" w:sz="0" w:space="0" w:color="auto"/>
            <w:right w:val="none" w:sz="0" w:space="0" w:color="auto"/>
          </w:divBdr>
          <w:divsChild>
            <w:div w:id="1428891491">
              <w:marLeft w:val="0"/>
              <w:marRight w:val="0"/>
              <w:marTop w:val="0"/>
              <w:marBottom w:val="0"/>
              <w:divBdr>
                <w:top w:val="none" w:sz="0" w:space="0" w:color="auto"/>
                <w:left w:val="none" w:sz="0" w:space="0" w:color="auto"/>
                <w:bottom w:val="none" w:sz="0" w:space="0" w:color="auto"/>
                <w:right w:val="none" w:sz="0" w:space="0" w:color="auto"/>
              </w:divBdr>
            </w:div>
          </w:divsChild>
        </w:div>
        <w:div w:id="499736809">
          <w:marLeft w:val="0"/>
          <w:marRight w:val="0"/>
          <w:marTop w:val="0"/>
          <w:marBottom w:val="0"/>
          <w:divBdr>
            <w:top w:val="none" w:sz="0" w:space="0" w:color="auto"/>
            <w:left w:val="none" w:sz="0" w:space="0" w:color="auto"/>
            <w:bottom w:val="none" w:sz="0" w:space="0" w:color="auto"/>
            <w:right w:val="none" w:sz="0" w:space="0" w:color="auto"/>
          </w:divBdr>
          <w:divsChild>
            <w:div w:id="2114470924">
              <w:marLeft w:val="0"/>
              <w:marRight w:val="0"/>
              <w:marTop w:val="0"/>
              <w:marBottom w:val="0"/>
              <w:divBdr>
                <w:top w:val="none" w:sz="0" w:space="0" w:color="auto"/>
                <w:left w:val="none" w:sz="0" w:space="0" w:color="auto"/>
                <w:bottom w:val="none" w:sz="0" w:space="0" w:color="auto"/>
                <w:right w:val="none" w:sz="0" w:space="0" w:color="auto"/>
              </w:divBdr>
            </w:div>
          </w:divsChild>
        </w:div>
        <w:div w:id="506291998">
          <w:marLeft w:val="0"/>
          <w:marRight w:val="0"/>
          <w:marTop w:val="0"/>
          <w:marBottom w:val="0"/>
          <w:divBdr>
            <w:top w:val="none" w:sz="0" w:space="0" w:color="auto"/>
            <w:left w:val="none" w:sz="0" w:space="0" w:color="auto"/>
            <w:bottom w:val="none" w:sz="0" w:space="0" w:color="auto"/>
            <w:right w:val="none" w:sz="0" w:space="0" w:color="auto"/>
          </w:divBdr>
          <w:divsChild>
            <w:div w:id="303127699">
              <w:marLeft w:val="0"/>
              <w:marRight w:val="0"/>
              <w:marTop w:val="0"/>
              <w:marBottom w:val="0"/>
              <w:divBdr>
                <w:top w:val="none" w:sz="0" w:space="0" w:color="auto"/>
                <w:left w:val="none" w:sz="0" w:space="0" w:color="auto"/>
                <w:bottom w:val="none" w:sz="0" w:space="0" w:color="auto"/>
                <w:right w:val="none" w:sz="0" w:space="0" w:color="auto"/>
              </w:divBdr>
            </w:div>
          </w:divsChild>
        </w:div>
        <w:div w:id="510144585">
          <w:marLeft w:val="0"/>
          <w:marRight w:val="0"/>
          <w:marTop w:val="0"/>
          <w:marBottom w:val="0"/>
          <w:divBdr>
            <w:top w:val="none" w:sz="0" w:space="0" w:color="auto"/>
            <w:left w:val="none" w:sz="0" w:space="0" w:color="auto"/>
            <w:bottom w:val="none" w:sz="0" w:space="0" w:color="auto"/>
            <w:right w:val="none" w:sz="0" w:space="0" w:color="auto"/>
          </w:divBdr>
          <w:divsChild>
            <w:div w:id="1182820924">
              <w:marLeft w:val="0"/>
              <w:marRight w:val="0"/>
              <w:marTop w:val="0"/>
              <w:marBottom w:val="0"/>
              <w:divBdr>
                <w:top w:val="none" w:sz="0" w:space="0" w:color="auto"/>
                <w:left w:val="none" w:sz="0" w:space="0" w:color="auto"/>
                <w:bottom w:val="none" w:sz="0" w:space="0" w:color="auto"/>
                <w:right w:val="none" w:sz="0" w:space="0" w:color="auto"/>
              </w:divBdr>
            </w:div>
          </w:divsChild>
        </w:div>
        <w:div w:id="519702432">
          <w:marLeft w:val="0"/>
          <w:marRight w:val="0"/>
          <w:marTop w:val="0"/>
          <w:marBottom w:val="0"/>
          <w:divBdr>
            <w:top w:val="none" w:sz="0" w:space="0" w:color="auto"/>
            <w:left w:val="none" w:sz="0" w:space="0" w:color="auto"/>
            <w:bottom w:val="none" w:sz="0" w:space="0" w:color="auto"/>
            <w:right w:val="none" w:sz="0" w:space="0" w:color="auto"/>
          </w:divBdr>
          <w:divsChild>
            <w:div w:id="1887136433">
              <w:marLeft w:val="0"/>
              <w:marRight w:val="0"/>
              <w:marTop w:val="0"/>
              <w:marBottom w:val="0"/>
              <w:divBdr>
                <w:top w:val="none" w:sz="0" w:space="0" w:color="auto"/>
                <w:left w:val="none" w:sz="0" w:space="0" w:color="auto"/>
                <w:bottom w:val="none" w:sz="0" w:space="0" w:color="auto"/>
                <w:right w:val="none" w:sz="0" w:space="0" w:color="auto"/>
              </w:divBdr>
            </w:div>
          </w:divsChild>
        </w:div>
        <w:div w:id="554977007">
          <w:marLeft w:val="0"/>
          <w:marRight w:val="0"/>
          <w:marTop w:val="0"/>
          <w:marBottom w:val="0"/>
          <w:divBdr>
            <w:top w:val="none" w:sz="0" w:space="0" w:color="auto"/>
            <w:left w:val="none" w:sz="0" w:space="0" w:color="auto"/>
            <w:bottom w:val="none" w:sz="0" w:space="0" w:color="auto"/>
            <w:right w:val="none" w:sz="0" w:space="0" w:color="auto"/>
          </w:divBdr>
          <w:divsChild>
            <w:div w:id="788475851">
              <w:marLeft w:val="0"/>
              <w:marRight w:val="0"/>
              <w:marTop w:val="0"/>
              <w:marBottom w:val="0"/>
              <w:divBdr>
                <w:top w:val="none" w:sz="0" w:space="0" w:color="auto"/>
                <w:left w:val="none" w:sz="0" w:space="0" w:color="auto"/>
                <w:bottom w:val="none" w:sz="0" w:space="0" w:color="auto"/>
                <w:right w:val="none" w:sz="0" w:space="0" w:color="auto"/>
              </w:divBdr>
            </w:div>
          </w:divsChild>
        </w:div>
        <w:div w:id="594554686">
          <w:marLeft w:val="0"/>
          <w:marRight w:val="0"/>
          <w:marTop w:val="0"/>
          <w:marBottom w:val="0"/>
          <w:divBdr>
            <w:top w:val="none" w:sz="0" w:space="0" w:color="auto"/>
            <w:left w:val="none" w:sz="0" w:space="0" w:color="auto"/>
            <w:bottom w:val="none" w:sz="0" w:space="0" w:color="auto"/>
            <w:right w:val="none" w:sz="0" w:space="0" w:color="auto"/>
          </w:divBdr>
          <w:divsChild>
            <w:div w:id="1185904509">
              <w:marLeft w:val="0"/>
              <w:marRight w:val="0"/>
              <w:marTop w:val="0"/>
              <w:marBottom w:val="0"/>
              <w:divBdr>
                <w:top w:val="none" w:sz="0" w:space="0" w:color="auto"/>
                <w:left w:val="none" w:sz="0" w:space="0" w:color="auto"/>
                <w:bottom w:val="none" w:sz="0" w:space="0" w:color="auto"/>
                <w:right w:val="none" w:sz="0" w:space="0" w:color="auto"/>
              </w:divBdr>
            </w:div>
          </w:divsChild>
        </w:div>
        <w:div w:id="669797337">
          <w:marLeft w:val="0"/>
          <w:marRight w:val="0"/>
          <w:marTop w:val="0"/>
          <w:marBottom w:val="0"/>
          <w:divBdr>
            <w:top w:val="none" w:sz="0" w:space="0" w:color="auto"/>
            <w:left w:val="none" w:sz="0" w:space="0" w:color="auto"/>
            <w:bottom w:val="none" w:sz="0" w:space="0" w:color="auto"/>
            <w:right w:val="none" w:sz="0" w:space="0" w:color="auto"/>
          </w:divBdr>
          <w:divsChild>
            <w:div w:id="861667899">
              <w:marLeft w:val="0"/>
              <w:marRight w:val="0"/>
              <w:marTop w:val="0"/>
              <w:marBottom w:val="0"/>
              <w:divBdr>
                <w:top w:val="none" w:sz="0" w:space="0" w:color="auto"/>
                <w:left w:val="none" w:sz="0" w:space="0" w:color="auto"/>
                <w:bottom w:val="none" w:sz="0" w:space="0" w:color="auto"/>
                <w:right w:val="none" w:sz="0" w:space="0" w:color="auto"/>
              </w:divBdr>
            </w:div>
          </w:divsChild>
        </w:div>
        <w:div w:id="702553691">
          <w:marLeft w:val="0"/>
          <w:marRight w:val="0"/>
          <w:marTop w:val="0"/>
          <w:marBottom w:val="0"/>
          <w:divBdr>
            <w:top w:val="none" w:sz="0" w:space="0" w:color="auto"/>
            <w:left w:val="none" w:sz="0" w:space="0" w:color="auto"/>
            <w:bottom w:val="none" w:sz="0" w:space="0" w:color="auto"/>
            <w:right w:val="none" w:sz="0" w:space="0" w:color="auto"/>
          </w:divBdr>
          <w:divsChild>
            <w:div w:id="1125586540">
              <w:marLeft w:val="0"/>
              <w:marRight w:val="0"/>
              <w:marTop w:val="0"/>
              <w:marBottom w:val="0"/>
              <w:divBdr>
                <w:top w:val="none" w:sz="0" w:space="0" w:color="auto"/>
                <w:left w:val="none" w:sz="0" w:space="0" w:color="auto"/>
                <w:bottom w:val="none" w:sz="0" w:space="0" w:color="auto"/>
                <w:right w:val="none" w:sz="0" w:space="0" w:color="auto"/>
              </w:divBdr>
            </w:div>
          </w:divsChild>
        </w:div>
        <w:div w:id="737246089">
          <w:marLeft w:val="0"/>
          <w:marRight w:val="0"/>
          <w:marTop w:val="0"/>
          <w:marBottom w:val="0"/>
          <w:divBdr>
            <w:top w:val="none" w:sz="0" w:space="0" w:color="auto"/>
            <w:left w:val="none" w:sz="0" w:space="0" w:color="auto"/>
            <w:bottom w:val="none" w:sz="0" w:space="0" w:color="auto"/>
            <w:right w:val="none" w:sz="0" w:space="0" w:color="auto"/>
          </w:divBdr>
          <w:divsChild>
            <w:div w:id="639000560">
              <w:marLeft w:val="0"/>
              <w:marRight w:val="0"/>
              <w:marTop w:val="0"/>
              <w:marBottom w:val="0"/>
              <w:divBdr>
                <w:top w:val="none" w:sz="0" w:space="0" w:color="auto"/>
                <w:left w:val="none" w:sz="0" w:space="0" w:color="auto"/>
                <w:bottom w:val="none" w:sz="0" w:space="0" w:color="auto"/>
                <w:right w:val="none" w:sz="0" w:space="0" w:color="auto"/>
              </w:divBdr>
            </w:div>
          </w:divsChild>
        </w:div>
        <w:div w:id="759303088">
          <w:marLeft w:val="0"/>
          <w:marRight w:val="0"/>
          <w:marTop w:val="0"/>
          <w:marBottom w:val="0"/>
          <w:divBdr>
            <w:top w:val="none" w:sz="0" w:space="0" w:color="auto"/>
            <w:left w:val="none" w:sz="0" w:space="0" w:color="auto"/>
            <w:bottom w:val="none" w:sz="0" w:space="0" w:color="auto"/>
            <w:right w:val="none" w:sz="0" w:space="0" w:color="auto"/>
          </w:divBdr>
          <w:divsChild>
            <w:div w:id="1244143496">
              <w:marLeft w:val="0"/>
              <w:marRight w:val="0"/>
              <w:marTop w:val="0"/>
              <w:marBottom w:val="0"/>
              <w:divBdr>
                <w:top w:val="none" w:sz="0" w:space="0" w:color="auto"/>
                <w:left w:val="none" w:sz="0" w:space="0" w:color="auto"/>
                <w:bottom w:val="none" w:sz="0" w:space="0" w:color="auto"/>
                <w:right w:val="none" w:sz="0" w:space="0" w:color="auto"/>
              </w:divBdr>
            </w:div>
          </w:divsChild>
        </w:div>
        <w:div w:id="762142441">
          <w:marLeft w:val="0"/>
          <w:marRight w:val="0"/>
          <w:marTop w:val="0"/>
          <w:marBottom w:val="0"/>
          <w:divBdr>
            <w:top w:val="none" w:sz="0" w:space="0" w:color="auto"/>
            <w:left w:val="none" w:sz="0" w:space="0" w:color="auto"/>
            <w:bottom w:val="none" w:sz="0" w:space="0" w:color="auto"/>
            <w:right w:val="none" w:sz="0" w:space="0" w:color="auto"/>
          </w:divBdr>
          <w:divsChild>
            <w:div w:id="190994259">
              <w:marLeft w:val="0"/>
              <w:marRight w:val="0"/>
              <w:marTop w:val="0"/>
              <w:marBottom w:val="0"/>
              <w:divBdr>
                <w:top w:val="none" w:sz="0" w:space="0" w:color="auto"/>
                <w:left w:val="none" w:sz="0" w:space="0" w:color="auto"/>
                <w:bottom w:val="none" w:sz="0" w:space="0" w:color="auto"/>
                <w:right w:val="none" w:sz="0" w:space="0" w:color="auto"/>
              </w:divBdr>
            </w:div>
          </w:divsChild>
        </w:div>
        <w:div w:id="858352792">
          <w:marLeft w:val="0"/>
          <w:marRight w:val="0"/>
          <w:marTop w:val="0"/>
          <w:marBottom w:val="0"/>
          <w:divBdr>
            <w:top w:val="none" w:sz="0" w:space="0" w:color="auto"/>
            <w:left w:val="none" w:sz="0" w:space="0" w:color="auto"/>
            <w:bottom w:val="none" w:sz="0" w:space="0" w:color="auto"/>
            <w:right w:val="none" w:sz="0" w:space="0" w:color="auto"/>
          </w:divBdr>
          <w:divsChild>
            <w:div w:id="1227640562">
              <w:marLeft w:val="0"/>
              <w:marRight w:val="0"/>
              <w:marTop w:val="0"/>
              <w:marBottom w:val="0"/>
              <w:divBdr>
                <w:top w:val="none" w:sz="0" w:space="0" w:color="auto"/>
                <w:left w:val="none" w:sz="0" w:space="0" w:color="auto"/>
                <w:bottom w:val="none" w:sz="0" w:space="0" w:color="auto"/>
                <w:right w:val="none" w:sz="0" w:space="0" w:color="auto"/>
              </w:divBdr>
            </w:div>
          </w:divsChild>
        </w:div>
        <w:div w:id="875771554">
          <w:marLeft w:val="0"/>
          <w:marRight w:val="0"/>
          <w:marTop w:val="0"/>
          <w:marBottom w:val="0"/>
          <w:divBdr>
            <w:top w:val="none" w:sz="0" w:space="0" w:color="auto"/>
            <w:left w:val="none" w:sz="0" w:space="0" w:color="auto"/>
            <w:bottom w:val="none" w:sz="0" w:space="0" w:color="auto"/>
            <w:right w:val="none" w:sz="0" w:space="0" w:color="auto"/>
          </w:divBdr>
          <w:divsChild>
            <w:div w:id="1938369487">
              <w:marLeft w:val="0"/>
              <w:marRight w:val="0"/>
              <w:marTop w:val="0"/>
              <w:marBottom w:val="0"/>
              <w:divBdr>
                <w:top w:val="none" w:sz="0" w:space="0" w:color="auto"/>
                <w:left w:val="none" w:sz="0" w:space="0" w:color="auto"/>
                <w:bottom w:val="none" w:sz="0" w:space="0" w:color="auto"/>
                <w:right w:val="none" w:sz="0" w:space="0" w:color="auto"/>
              </w:divBdr>
            </w:div>
          </w:divsChild>
        </w:div>
        <w:div w:id="1021468203">
          <w:marLeft w:val="0"/>
          <w:marRight w:val="0"/>
          <w:marTop w:val="0"/>
          <w:marBottom w:val="0"/>
          <w:divBdr>
            <w:top w:val="none" w:sz="0" w:space="0" w:color="auto"/>
            <w:left w:val="none" w:sz="0" w:space="0" w:color="auto"/>
            <w:bottom w:val="none" w:sz="0" w:space="0" w:color="auto"/>
            <w:right w:val="none" w:sz="0" w:space="0" w:color="auto"/>
          </w:divBdr>
          <w:divsChild>
            <w:div w:id="1129055344">
              <w:marLeft w:val="0"/>
              <w:marRight w:val="0"/>
              <w:marTop w:val="0"/>
              <w:marBottom w:val="0"/>
              <w:divBdr>
                <w:top w:val="none" w:sz="0" w:space="0" w:color="auto"/>
                <w:left w:val="none" w:sz="0" w:space="0" w:color="auto"/>
                <w:bottom w:val="none" w:sz="0" w:space="0" w:color="auto"/>
                <w:right w:val="none" w:sz="0" w:space="0" w:color="auto"/>
              </w:divBdr>
            </w:div>
          </w:divsChild>
        </w:div>
        <w:div w:id="1032346499">
          <w:marLeft w:val="0"/>
          <w:marRight w:val="0"/>
          <w:marTop w:val="0"/>
          <w:marBottom w:val="0"/>
          <w:divBdr>
            <w:top w:val="none" w:sz="0" w:space="0" w:color="auto"/>
            <w:left w:val="none" w:sz="0" w:space="0" w:color="auto"/>
            <w:bottom w:val="none" w:sz="0" w:space="0" w:color="auto"/>
            <w:right w:val="none" w:sz="0" w:space="0" w:color="auto"/>
          </w:divBdr>
          <w:divsChild>
            <w:div w:id="1085414320">
              <w:marLeft w:val="0"/>
              <w:marRight w:val="0"/>
              <w:marTop w:val="0"/>
              <w:marBottom w:val="0"/>
              <w:divBdr>
                <w:top w:val="none" w:sz="0" w:space="0" w:color="auto"/>
                <w:left w:val="none" w:sz="0" w:space="0" w:color="auto"/>
                <w:bottom w:val="none" w:sz="0" w:space="0" w:color="auto"/>
                <w:right w:val="none" w:sz="0" w:space="0" w:color="auto"/>
              </w:divBdr>
            </w:div>
          </w:divsChild>
        </w:div>
        <w:div w:id="1036737113">
          <w:marLeft w:val="0"/>
          <w:marRight w:val="0"/>
          <w:marTop w:val="0"/>
          <w:marBottom w:val="0"/>
          <w:divBdr>
            <w:top w:val="none" w:sz="0" w:space="0" w:color="auto"/>
            <w:left w:val="none" w:sz="0" w:space="0" w:color="auto"/>
            <w:bottom w:val="none" w:sz="0" w:space="0" w:color="auto"/>
            <w:right w:val="none" w:sz="0" w:space="0" w:color="auto"/>
          </w:divBdr>
          <w:divsChild>
            <w:div w:id="1706170968">
              <w:marLeft w:val="0"/>
              <w:marRight w:val="0"/>
              <w:marTop w:val="0"/>
              <w:marBottom w:val="0"/>
              <w:divBdr>
                <w:top w:val="none" w:sz="0" w:space="0" w:color="auto"/>
                <w:left w:val="none" w:sz="0" w:space="0" w:color="auto"/>
                <w:bottom w:val="none" w:sz="0" w:space="0" w:color="auto"/>
                <w:right w:val="none" w:sz="0" w:space="0" w:color="auto"/>
              </w:divBdr>
            </w:div>
          </w:divsChild>
        </w:div>
        <w:div w:id="1041593570">
          <w:marLeft w:val="0"/>
          <w:marRight w:val="0"/>
          <w:marTop w:val="0"/>
          <w:marBottom w:val="0"/>
          <w:divBdr>
            <w:top w:val="none" w:sz="0" w:space="0" w:color="auto"/>
            <w:left w:val="none" w:sz="0" w:space="0" w:color="auto"/>
            <w:bottom w:val="none" w:sz="0" w:space="0" w:color="auto"/>
            <w:right w:val="none" w:sz="0" w:space="0" w:color="auto"/>
          </w:divBdr>
          <w:divsChild>
            <w:div w:id="45883019">
              <w:marLeft w:val="0"/>
              <w:marRight w:val="0"/>
              <w:marTop w:val="0"/>
              <w:marBottom w:val="0"/>
              <w:divBdr>
                <w:top w:val="none" w:sz="0" w:space="0" w:color="auto"/>
                <w:left w:val="none" w:sz="0" w:space="0" w:color="auto"/>
                <w:bottom w:val="none" w:sz="0" w:space="0" w:color="auto"/>
                <w:right w:val="none" w:sz="0" w:space="0" w:color="auto"/>
              </w:divBdr>
            </w:div>
          </w:divsChild>
        </w:div>
        <w:div w:id="1142577300">
          <w:marLeft w:val="0"/>
          <w:marRight w:val="0"/>
          <w:marTop w:val="0"/>
          <w:marBottom w:val="0"/>
          <w:divBdr>
            <w:top w:val="none" w:sz="0" w:space="0" w:color="auto"/>
            <w:left w:val="none" w:sz="0" w:space="0" w:color="auto"/>
            <w:bottom w:val="none" w:sz="0" w:space="0" w:color="auto"/>
            <w:right w:val="none" w:sz="0" w:space="0" w:color="auto"/>
          </w:divBdr>
          <w:divsChild>
            <w:div w:id="1407260482">
              <w:marLeft w:val="0"/>
              <w:marRight w:val="0"/>
              <w:marTop w:val="0"/>
              <w:marBottom w:val="0"/>
              <w:divBdr>
                <w:top w:val="none" w:sz="0" w:space="0" w:color="auto"/>
                <w:left w:val="none" w:sz="0" w:space="0" w:color="auto"/>
                <w:bottom w:val="none" w:sz="0" w:space="0" w:color="auto"/>
                <w:right w:val="none" w:sz="0" w:space="0" w:color="auto"/>
              </w:divBdr>
            </w:div>
          </w:divsChild>
        </w:div>
        <w:div w:id="1216352132">
          <w:marLeft w:val="0"/>
          <w:marRight w:val="0"/>
          <w:marTop w:val="0"/>
          <w:marBottom w:val="0"/>
          <w:divBdr>
            <w:top w:val="none" w:sz="0" w:space="0" w:color="auto"/>
            <w:left w:val="none" w:sz="0" w:space="0" w:color="auto"/>
            <w:bottom w:val="none" w:sz="0" w:space="0" w:color="auto"/>
            <w:right w:val="none" w:sz="0" w:space="0" w:color="auto"/>
          </w:divBdr>
          <w:divsChild>
            <w:div w:id="1564217580">
              <w:marLeft w:val="0"/>
              <w:marRight w:val="0"/>
              <w:marTop w:val="0"/>
              <w:marBottom w:val="0"/>
              <w:divBdr>
                <w:top w:val="none" w:sz="0" w:space="0" w:color="auto"/>
                <w:left w:val="none" w:sz="0" w:space="0" w:color="auto"/>
                <w:bottom w:val="none" w:sz="0" w:space="0" w:color="auto"/>
                <w:right w:val="none" w:sz="0" w:space="0" w:color="auto"/>
              </w:divBdr>
            </w:div>
          </w:divsChild>
        </w:div>
        <w:div w:id="1337924488">
          <w:marLeft w:val="0"/>
          <w:marRight w:val="0"/>
          <w:marTop w:val="0"/>
          <w:marBottom w:val="0"/>
          <w:divBdr>
            <w:top w:val="none" w:sz="0" w:space="0" w:color="auto"/>
            <w:left w:val="none" w:sz="0" w:space="0" w:color="auto"/>
            <w:bottom w:val="none" w:sz="0" w:space="0" w:color="auto"/>
            <w:right w:val="none" w:sz="0" w:space="0" w:color="auto"/>
          </w:divBdr>
          <w:divsChild>
            <w:div w:id="395395886">
              <w:marLeft w:val="0"/>
              <w:marRight w:val="0"/>
              <w:marTop w:val="0"/>
              <w:marBottom w:val="0"/>
              <w:divBdr>
                <w:top w:val="none" w:sz="0" w:space="0" w:color="auto"/>
                <w:left w:val="none" w:sz="0" w:space="0" w:color="auto"/>
                <w:bottom w:val="none" w:sz="0" w:space="0" w:color="auto"/>
                <w:right w:val="none" w:sz="0" w:space="0" w:color="auto"/>
              </w:divBdr>
            </w:div>
          </w:divsChild>
        </w:div>
        <w:div w:id="1338311182">
          <w:marLeft w:val="0"/>
          <w:marRight w:val="0"/>
          <w:marTop w:val="0"/>
          <w:marBottom w:val="0"/>
          <w:divBdr>
            <w:top w:val="none" w:sz="0" w:space="0" w:color="auto"/>
            <w:left w:val="none" w:sz="0" w:space="0" w:color="auto"/>
            <w:bottom w:val="none" w:sz="0" w:space="0" w:color="auto"/>
            <w:right w:val="none" w:sz="0" w:space="0" w:color="auto"/>
          </w:divBdr>
          <w:divsChild>
            <w:div w:id="551959762">
              <w:marLeft w:val="0"/>
              <w:marRight w:val="0"/>
              <w:marTop w:val="0"/>
              <w:marBottom w:val="0"/>
              <w:divBdr>
                <w:top w:val="none" w:sz="0" w:space="0" w:color="auto"/>
                <w:left w:val="none" w:sz="0" w:space="0" w:color="auto"/>
                <w:bottom w:val="none" w:sz="0" w:space="0" w:color="auto"/>
                <w:right w:val="none" w:sz="0" w:space="0" w:color="auto"/>
              </w:divBdr>
            </w:div>
          </w:divsChild>
        </w:div>
        <w:div w:id="1344090510">
          <w:marLeft w:val="0"/>
          <w:marRight w:val="0"/>
          <w:marTop w:val="0"/>
          <w:marBottom w:val="0"/>
          <w:divBdr>
            <w:top w:val="none" w:sz="0" w:space="0" w:color="auto"/>
            <w:left w:val="none" w:sz="0" w:space="0" w:color="auto"/>
            <w:bottom w:val="none" w:sz="0" w:space="0" w:color="auto"/>
            <w:right w:val="none" w:sz="0" w:space="0" w:color="auto"/>
          </w:divBdr>
          <w:divsChild>
            <w:div w:id="450324342">
              <w:marLeft w:val="0"/>
              <w:marRight w:val="0"/>
              <w:marTop w:val="0"/>
              <w:marBottom w:val="0"/>
              <w:divBdr>
                <w:top w:val="none" w:sz="0" w:space="0" w:color="auto"/>
                <w:left w:val="none" w:sz="0" w:space="0" w:color="auto"/>
                <w:bottom w:val="none" w:sz="0" w:space="0" w:color="auto"/>
                <w:right w:val="none" w:sz="0" w:space="0" w:color="auto"/>
              </w:divBdr>
            </w:div>
          </w:divsChild>
        </w:div>
        <w:div w:id="1366103571">
          <w:marLeft w:val="0"/>
          <w:marRight w:val="0"/>
          <w:marTop w:val="0"/>
          <w:marBottom w:val="0"/>
          <w:divBdr>
            <w:top w:val="none" w:sz="0" w:space="0" w:color="auto"/>
            <w:left w:val="none" w:sz="0" w:space="0" w:color="auto"/>
            <w:bottom w:val="none" w:sz="0" w:space="0" w:color="auto"/>
            <w:right w:val="none" w:sz="0" w:space="0" w:color="auto"/>
          </w:divBdr>
          <w:divsChild>
            <w:div w:id="7565422">
              <w:marLeft w:val="0"/>
              <w:marRight w:val="0"/>
              <w:marTop w:val="0"/>
              <w:marBottom w:val="0"/>
              <w:divBdr>
                <w:top w:val="none" w:sz="0" w:space="0" w:color="auto"/>
                <w:left w:val="none" w:sz="0" w:space="0" w:color="auto"/>
                <w:bottom w:val="none" w:sz="0" w:space="0" w:color="auto"/>
                <w:right w:val="none" w:sz="0" w:space="0" w:color="auto"/>
              </w:divBdr>
            </w:div>
            <w:div w:id="1643343289">
              <w:marLeft w:val="0"/>
              <w:marRight w:val="0"/>
              <w:marTop w:val="0"/>
              <w:marBottom w:val="0"/>
              <w:divBdr>
                <w:top w:val="none" w:sz="0" w:space="0" w:color="auto"/>
                <w:left w:val="none" w:sz="0" w:space="0" w:color="auto"/>
                <w:bottom w:val="none" w:sz="0" w:space="0" w:color="auto"/>
                <w:right w:val="none" w:sz="0" w:space="0" w:color="auto"/>
              </w:divBdr>
            </w:div>
          </w:divsChild>
        </w:div>
        <w:div w:id="1367488885">
          <w:marLeft w:val="0"/>
          <w:marRight w:val="0"/>
          <w:marTop w:val="0"/>
          <w:marBottom w:val="0"/>
          <w:divBdr>
            <w:top w:val="none" w:sz="0" w:space="0" w:color="auto"/>
            <w:left w:val="none" w:sz="0" w:space="0" w:color="auto"/>
            <w:bottom w:val="none" w:sz="0" w:space="0" w:color="auto"/>
            <w:right w:val="none" w:sz="0" w:space="0" w:color="auto"/>
          </w:divBdr>
          <w:divsChild>
            <w:div w:id="1773622547">
              <w:marLeft w:val="0"/>
              <w:marRight w:val="0"/>
              <w:marTop w:val="0"/>
              <w:marBottom w:val="0"/>
              <w:divBdr>
                <w:top w:val="none" w:sz="0" w:space="0" w:color="auto"/>
                <w:left w:val="none" w:sz="0" w:space="0" w:color="auto"/>
                <w:bottom w:val="none" w:sz="0" w:space="0" w:color="auto"/>
                <w:right w:val="none" w:sz="0" w:space="0" w:color="auto"/>
              </w:divBdr>
            </w:div>
          </w:divsChild>
        </w:div>
        <w:div w:id="1392264794">
          <w:marLeft w:val="0"/>
          <w:marRight w:val="0"/>
          <w:marTop w:val="0"/>
          <w:marBottom w:val="0"/>
          <w:divBdr>
            <w:top w:val="none" w:sz="0" w:space="0" w:color="auto"/>
            <w:left w:val="none" w:sz="0" w:space="0" w:color="auto"/>
            <w:bottom w:val="none" w:sz="0" w:space="0" w:color="auto"/>
            <w:right w:val="none" w:sz="0" w:space="0" w:color="auto"/>
          </w:divBdr>
          <w:divsChild>
            <w:div w:id="125702448">
              <w:marLeft w:val="0"/>
              <w:marRight w:val="0"/>
              <w:marTop w:val="0"/>
              <w:marBottom w:val="0"/>
              <w:divBdr>
                <w:top w:val="none" w:sz="0" w:space="0" w:color="auto"/>
                <w:left w:val="none" w:sz="0" w:space="0" w:color="auto"/>
                <w:bottom w:val="none" w:sz="0" w:space="0" w:color="auto"/>
                <w:right w:val="none" w:sz="0" w:space="0" w:color="auto"/>
              </w:divBdr>
            </w:div>
            <w:div w:id="1077746959">
              <w:marLeft w:val="0"/>
              <w:marRight w:val="0"/>
              <w:marTop w:val="0"/>
              <w:marBottom w:val="0"/>
              <w:divBdr>
                <w:top w:val="none" w:sz="0" w:space="0" w:color="auto"/>
                <w:left w:val="none" w:sz="0" w:space="0" w:color="auto"/>
                <w:bottom w:val="none" w:sz="0" w:space="0" w:color="auto"/>
                <w:right w:val="none" w:sz="0" w:space="0" w:color="auto"/>
              </w:divBdr>
            </w:div>
            <w:div w:id="1239251217">
              <w:marLeft w:val="0"/>
              <w:marRight w:val="0"/>
              <w:marTop w:val="0"/>
              <w:marBottom w:val="0"/>
              <w:divBdr>
                <w:top w:val="none" w:sz="0" w:space="0" w:color="auto"/>
                <w:left w:val="none" w:sz="0" w:space="0" w:color="auto"/>
                <w:bottom w:val="none" w:sz="0" w:space="0" w:color="auto"/>
                <w:right w:val="none" w:sz="0" w:space="0" w:color="auto"/>
              </w:divBdr>
            </w:div>
            <w:div w:id="1598054099">
              <w:marLeft w:val="0"/>
              <w:marRight w:val="0"/>
              <w:marTop w:val="0"/>
              <w:marBottom w:val="0"/>
              <w:divBdr>
                <w:top w:val="none" w:sz="0" w:space="0" w:color="auto"/>
                <w:left w:val="none" w:sz="0" w:space="0" w:color="auto"/>
                <w:bottom w:val="none" w:sz="0" w:space="0" w:color="auto"/>
                <w:right w:val="none" w:sz="0" w:space="0" w:color="auto"/>
              </w:divBdr>
            </w:div>
            <w:div w:id="1850286898">
              <w:marLeft w:val="0"/>
              <w:marRight w:val="0"/>
              <w:marTop w:val="0"/>
              <w:marBottom w:val="0"/>
              <w:divBdr>
                <w:top w:val="none" w:sz="0" w:space="0" w:color="auto"/>
                <w:left w:val="none" w:sz="0" w:space="0" w:color="auto"/>
                <w:bottom w:val="none" w:sz="0" w:space="0" w:color="auto"/>
                <w:right w:val="none" w:sz="0" w:space="0" w:color="auto"/>
              </w:divBdr>
            </w:div>
          </w:divsChild>
        </w:div>
        <w:div w:id="1420178207">
          <w:marLeft w:val="0"/>
          <w:marRight w:val="0"/>
          <w:marTop w:val="0"/>
          <w:marBottom w:val="0"/>
          <w:divBdr>
            <w:top w:val="none" w:sz="0" w:space="0" w:color="auto"/>
            <w:left w:val="none" w:sz="0" w:space="0" w:color="auto"/>
            <w:bottom w:val="none" w:sz="0" w:space="0" w:color="auto"/>
            <w:right w:val="none" w:sz="0" w:space="0" w:color="auto"/>
          </w:divBdr>
          <w:divsChild>
            <w:div w:id="1744984156">
              <w:marLeft w:val="0"/>
              <w:marRight w:val="0"/>
              <w:marTop w:val="0"/>
              <w:marBottom w:val="0"/>
              <w:divBdr>
                <w:top w:val="none" w:sz="0" w:space="0" w:color="auto"/>
                <w:left w:val="none" w:sz="0" w:space="0" w:color="auto"/>
                <w:bottom w:val="none" w:sz="0" w:space="0" w:color="auto"/>
                <w:right w:val="none" w:sz="0" w:space="0" w:color="auto"/>
              </w:divBdr>
            </w:div>
          </w:divsChild>
        </w:div>
        <w:div w:id="1438721804">
          <w:marLeft w:val="0"/>
          <w:marRight w:val="0"/>
          <w:marTop w:val="0"/>
          <w:marBottom w:val="0"/>
          <w:divBdr>
            <w:top w:val="none" w:sz="0" w:space="0" w:color="auto"/>
            <w:left w:val="none" w:sz="0" w:space="0" w:color="auto"/>
            <w:bottom w:val="none" w:sz="0" w:space="0" w:color="auto"/>
            <w:right w:val="none" w:sz="0" w:space="0" w:color="auto"/>
          </w:divBdr>
          <w:divsChild>
            <w:div w:id="1007751735">
              <w:marLeft w:val="0"/>
              <w:marRight w:val="0"/>
              <w:marTop w:val="0"/>
              <w:marBottom w:val="0"/>
              <w:divBdr>
                <w:top w:val="none" w:sz="0" w:space="0" w:color="auto"/>
                <w:left w:val="none" w:sz="0" w:space="0" w:color="auto"/>
                <w:bottom w:val="none" w:sz="0" w:space="0" w:color="auto"/>
                <w:right w:val="none" w:sz="0" w:space="0" w:color="auto"/>
              </w:divBdr>
            </w:div>
          </w:divsChild>
        </w:div>
        <w:div w:id="1498695594">
          <w:marLeft w:val="0"/>
          <w:marRight w:val="0"/>
          <w:marTop w:val="0"/>
          <w:marBottom w:val="0"/>
          <w:divBdr>
            <w:top w:val="none" w:sz="0" w:space="0" w:color="auto"/>
            <w:left w:val="none" w:sz="0" w:space="0" w:color="auto"/>
            <w:bottom w:val="none" w:sz="0" w:space="0" w:color="auto"/>
            <w:right w:val="none" w:sz="0" w:space="0" w:color="auto"/>
          </w:divBdr>
          <w:divsChild>
            <w:div w:id="897008587">
              <w:marLeft w:val="0"/>
              <w:marRight w:val="0"/>
              <w:marTop w:val="0"/>
              <w:marBottom w:val="0"/>
              <w:divBdr>
                <w:top w:val="none" w:sz="0" w:space="0" w:color="auto"/>
                <w:left w:val="none" w:sz="0" w:space="0" w:color="auto"/>
                <w:bottom w:val="none" w:sz="0" w:space="0" w:color="auto"/>
                <w:right w:val="none" w:sz="0" w:space="0" w:color="auto"/>
              </w:divBdr>
            </w:div>
          </w:divsChild>
        </w:div>
        <w:div w:id="1596549549">
          <w:marLeft w:val="0"/>
          <w:marRight w:val="0"/>
          <w:marTop w:val="0"/>
          <w:marBottom w:val="0"/>
          <w:divBdr>
            <w:top w:val="none" w:sz="0" w:space="0" w:color="auto"/>
            <w:left w:val="none" w:sz="0" w:space="0" w:color="auto"/>
            <w:bottom w:val="none" w:sz="0" w:space="0" w:color="auto"/>
            <w:right w:val="none" w:sz="0" w:space="0" w:color="auto"/>
          </w:divBdr>
          <w:divsChild>
            <w:div w:id="1771924984">
              <w:marLeft w:val="0"/>
              <w:marRight w:val="0"/>
              <w:marTop w:val="0"/>
              <w:marBottom w:val="0"/>
              <w:divBdr>
                <w:top w:val="none" w:sz="0" w:space="0" w:color="auto"/>
                <w:left w:val="none" w:sz="0" w:space="0" w:color="auto"/>
                <w:bottom w:val="none" w:sz="0" w:space="0" w:color="auto"/>
                <w:right w:val="none" w:sz="0" w:space="0" w:color="auto"/>
              </w:divBdr>
            </w:div>
          </w:divsChild>
        </w:div>
        <w:div w:id="1745105437">
          <w:marLeft w:val="0"/>
          <w:marRight w:val="0"/>
          <w:marTop w:val="0"/>
          <w:marBottom w:val="0"/>
          <w:divBdr>
            <w:top w:val="none" w:sz="0" w:space="0" w:color="auto"/>
            <w:left w:val="none" w:sz="0" w:space="0" w:color="auto"/>
            <w:bottom w:val="none" w:sz="0" w:space="0" w:color="auto"/>
            <w:right w:val="none" w:sz="0" w:space="0" w:color="auto"/>
          </w:divBdr>
          <w:divsChild>
            <w:div w:id="831606525">
              <w:marLeft w:val="0"/>
              <w:marRight w:val="0"/>
              <w:marTop w:val="0"/>
              <w:marBottom w:val="0"/>
              <w:divBdr>
                <w:top w:val="none" w:sz="0" w:space="0" w:color="auto"/>
                <w:left w:val="none" w:sz="0" w:space="0" w:color="auto"/>
                <w:bottom w:val="none" w:sz="0" w:space="0" w:color="auto"/>
                <w:right w:val="none" w:sz="0" w:space="0" w:color="auto"/>
              </w:divBdr>
            </w:div>
          </w:divsChild>
        </w:div>
        <w:div w:id="1798721426">
          <w:marLeft w:val="0"/>
          <w:marRight w:val="0"/>
          <w:marTop w:val="0"/>
          <w:marBottom w:val="0"/>
          <w:divBdr>
            <w:top w:val="none" w:sz="0" w:space="0" w:color="auto"/>
            <w:left w:val="none" w:sz="0" w:space="0" w:color="auto"/>
            <w:bottom w:val="none" w:sz="0" w:space="0" w:color="auto"/>
            <w:right w:val="none" w:sz="0" w:space="0" w:color="auto"/>
          </w:divBdr>
          <w:divsChild>
            <w:div w:id="1433085317">
              <w:marLeft w:val="0"/>
              <w:marRight w:val="0"/>
              <w:marTop w:val="0"/>
              <w:marBottom w:val="0"/>
              <w:divBdr>
                <w:top w:val="none" w:sz="0" w:space="0" w:color="auto"/>
                <w:left w:val="none" w:sz="0" w:space="0" w:color="auto"/>
                <w:bottom w:val="none" w:sz="0" w:space="0" w:color="auto"/>
                <w:right w:val="none" w:sz="0" w:space="0" w:color="auto"/>
              </w:divBdr>
            </w:div>
          </w:divsChild>
        </w:div>
        <w:div w:id="1816726557">
          <w:marLeft w:val="0"/>
          <w:marRight w:val="0"/>
          <w:marTop w:val="0"/>
          <w:marBottom w:val="0"/>
          <w:divBdr>
            <w:top w:val="none" w:sz="0" w:space="0" w:color="auto"/>
            <w:left w:val="none" w:sz="0" w:space="0" w:color="auto"/>
            <w:bottom w:val="none" w:sz="0" w:space="0" w:color="auto"/>
            <w:right w:val="none" w:sz="0" w:space="0" w:color="auto"/>
          </w:divBdr>
          <w:divsChild>
            <w:div w:id="1438594455">
              <w:marLeft w:val="0"/>
              <w:marRight w:val="0"/>
              <w:marTop w:val="0"/>
              <w:marBottom w:val="0"/>
              <w:divBdr>
                <w:top w:val="none" w:sz="0" w:space="0" w:color="auto"/>
                <w:left w:val="none" w:sz="0" w:space="0" w:color="auto"/>
                <w:bottom w:val="none" w:sz="0" w:space="0" w:color="auto"/>
                <w:right w:val="none" w:sz="0" w:space="0" w:color="auto"/>
              </w:divBdr>
            </w:div>
          </w:divsChild>
        </w:div>
        <w:div w:id="1844007441">
          <w:marLeft w:val="0"/>
          <w:marRight w:val="0"/>
          <w:marTop w:val="0"/>
          <w:marBottom w:val="0"/>
          <w:divBdr>
            <w:top w:val="none" w:sz="0" w:space="0" w:color="auto"/>
            <w:left w:val="none" w:sz="0" w:space="0" w:color="auto"/>
            <w:bottom w:val="none" w:sz="0" w:space="0" w:color="auto"/>
            <w:right w:val="none" w:sz="0" w:space="0" w:color="auto"/>
          </w:divBdr>
          <w:divsChild>
            <w:div w:id="197670547">
              <w:marLeft w:val="0"/>
              <w:marRight w:val="0"/>
              <w:marTop w:val="0"/>
              <w:marBottom w:val="0"/>
              <w:divBdr>
                <w:top w:val="none" w:sz="0" w:space="0" w:color="auto"/>
                <w:left w:val="none" w:sz="0" w:space="0" w:color="auto"/>
                <w:bottom w:val="none" w:sz="0" w:space="0" w:color="auto"/>
                <w:right w:val="none" w:sz="0" w:space="0" w:color="auto"/>
              </w:divBdr>
            </w:div>
            <w:div w:id="734740679">
              <w:marLeft w:val="0"/>
              <w:marRight w:val="0"/>
              <w:marTop w:val="0"/>
              <w:marBottom w:val="0"/>
              <w:divBdr>
                <w:top w:val="none" w:sz="0" w:space="0" w:color="auto"/>
                <w:left w:val="none" w:sz="0" w:space="0" w:color="auto"/>
                <w:bottom w:val="none" w:sz="0" w:space="0" w:color="auto"/>
                <w:right w:val="none" w:sz="0" w:space="0" w:color="auto"/>
              </w:divBdr>
            </w:div>
            <w:div w:id="801387953">
              <w:marLeft w:val="0"/>
              <w:marRight w:val="0"/>
              <w:marTop w:val="0"/>
              <w:marBottom w:val="0"/>
              <w:divBdr>
                <w:top w:val="none" w:sz="0" w:space="0" w:color="auto"/>
                <w:left w:val="none" w:sz="0" w:space="0" w:color="auto"/>
                <w:bottom w:val="none" w:sz="0" w:space="0" w:color="auto"/>
                <w:right w:val="none" w:sz="0" w:space="0" w:color="auto"/>
              </w:divBdr>
            </w:div>
          </w:divsChild>
        </w:div>
        <w:div w:id="1861967287">
          <w:marLeft w:val="0"/>
          <w:marRight w:val="0"/>
          <w:marTop w:val="0"/>
          <w:marBottom w:val="0"/>
          <w:divBdr>
            <w:top w:val="none" w:sz="0" w:space="0" w:color="auto"/>
            <w:left w:val="none" w:sz="0" w:space="0" w:color="auto"/>
            <w:bottom w:val="none" w:sz="0" w:space="0" w:color="auto"/>
            <w:right w:val="none" w:sz="0" w:space="0" w:color="auto"/>
          </w:divBdr>
          <w:divsChild>
            <w:div w:id="1782186314">
              <w:marLeft w:val="0"/>
              <w:marRight w:val="0"/>
              <w:marTop w:val="0"/>
              <w:marBottom w:val="0"/>
              <w:divBdr>
                <w:top w:val="none" w:sz="0" w:space="0" w:color="auto"/>
                <w:left w:val="none" w:sz="0" w:space="0" w:color="auto"/>
                <w:bottom w:val="none" w:sz="0" w:space="0" w:color="auto"/>
                <w:right w:val="none" w:sz="0" w:space="0" w:color="auto"/>
              </w:divBdr>
            </w:div>
          </w:divsChild>
        </w:div>
        <w:div w:id="1875733415">
          <w:marLeft w:val="0"/>
          <w:marRight w:val="0"/>
          <w:marTop w:val="0"/>
          <w:marBottom w:val="0"/>
          <w:divBdr>
            <w:top w:val="none" w:sz="0" w:space="0" w:color="auto"/>
            <w:left w:val="none" w:sz="0" w:space="0" w:color="auto"/>
            <w:bottom w:val="none" w:sz="0" w:space="0" w:color="auto"/>
            <w:right w:val="none" w:sz="0" w:space="0" w:color="auto"/>
          </w:divBdr>
          <w:divsChild>
            <w:div w:id="1044981032">
              <w:marLeft w:val="0"/>
              <w:marRight w:val="0"/>
              <w:marTop w:val="0"/>
              <w:marBottom w:val="0"/>
              <w:divBdr>
                <w:top w:val="none" w:sz="0" w:space="0" w:color="auto"/>
                <w:left w:val="none" w:sz="0" w:space="0" w:color="auto"/>
                <w:bottom w:val="none" w:sz="0" w:space="0" w:color="auto"/>
                <w:right w:val="none" w:sz="0" w:space="0" w:color="auto"/>
              </w:divBdr>
            </w:div>
          </w:divsChild>
        </w:div>
        <w:div w:id="1896235767">
          <w:marLeft w:val="0"/>
          <w:marRight w:val="0"/>
          <w:marTop w:val="0"/>
          <w:marBottom w:val="0"/>
          <w:divBdr>
            <w:top w:val="none" w:sz="0" w:space="0" w:color="auto"/>
            <w:left w:val="none" w:sz="0" w:space="0" w:color="auto"/>
            <w:bottom w:val="none" w:sz="0" w:space="0" w:color="auto"/>
            <w:right w:val="none" w:sz="0" w:space="0" w:color="auto"/>
          </w:divBdr>
          <w:divsChild>
            <w:div w:id="986010416">
              <w:marLeft w:val="0"/>
              <w:marRight w:val="0"/>
              <w:marTop w:val="0"/>
              <w:marBottom w:val="0"/>
              <w:divBdr>
                <w:top w:val="none" w:sz="0" w:space="0" w:color="auto"/>
                <w:left w:val="none" w:sz="0" w:space="0" w:color="auto"/>
                <w:bottom w:val="none" w:sz="0" w:space="0" w:color="auto"/>
                <w:right w:val="none" w:sz="0" w:space="0" w:color="auto"/>
              </w:divBdr>
            </w:div>
          </w:divsChild>
        </w:div>
        <w:div w:id="1940678382">
          <w:marLeft w:val="0"/>
          <w:marRight w:val="0"/>
          <w:marTop w:val="0"/>
          <w:marBottom w:val="0"/>
          <w:divBdr>
            <w:top w:val="none" w:sz="0" w:space="0" w:color="auto"/>
            <w:left w:val="none" w:sz="0" w:space="0" w:color="auto"/>
            <w:bottom w:val="none" w:sz="0" w:space="0" w:color="auto"/>
            <w:right w:val="none" w:sz="0" w:space="0" w:color="auto"/>
          </w:divBdr>
          <w:divsChild>
            <w:div w:id="60368389">
              <w:marLeft w:val="0"/>
              <w:marRight w:val="0"/>
              <w:marTop w:val="0"/>
              <w:marBottom w:val="0"/>
              <w:divBdr>
                <w:top w:val="none" w:sz="0" w:space="0" w:color="auto"/>
                <w:left w:val="none" w:sz="0" w:space="0" w:color="auto"/>
                <w:bottom w:val="none" w:sz="0" w:space="0" w:color="auto"/>
                <w:right w:val="none" w:sz="0" w:space="0" w:color="auto"/>
              </w:divBdr>
            </w:div>
            <w:div w:id="546572735">
              <w:marLeft w:val="0"/>
              <w:marRight w:val="0"/>
              <w:marTop w:val="0"/>
              <w:marBottom w:val="0"/>
              <w:divBdr>
                <w:top w:val="none" w:sz="0" w:space="0" w:color="auto"/>
                <w:left w:val="none" w:sz="0" w:space="0" w:color="auto"/>
                <w:bottom w:val="none" w:sz="0" w:space="0" w:color="auto"/>
                <w:right w:val="none" w:sz="0" w:space="0" w:color="auto"/>
              </w:divBdr>
            </w:div>
          </w:divsChild>
        </w:div>
        <w:div w:id="1955096216">
          <w:marLeft w:val="0"/>
          <w:marRight w:val="0"/>
          <w:marTop w:val="0"/>
          <w:marBottom w:val="0"/>
          <w:divBdr>
            <w:top w:val="none" w:sz="0" w:space="0" w:color="auto"/>
            <w:left w:val="none" w:sz="0" w:space="0" w:color="auto"/>
            <w:bottom w:val="none" w:sz="0" w:space="0" w:color="auto"/>
            <w:right w:val="none" w:sz="0" w:space="0" w:color="auto"/>
          </w:divBdr>
          <w:divsChild>
            <w:div w:id="839852201">
              <w:marLeft w:val="0"/>
              <w:marRight w:val="0"/>
              <w:marTop w:val="0"/>
              <w:marBottom w:val="0"/>
              <w:divBdr>
                <w:top w:val="none" w:sz="0" w:space="0" w:color="auto"/>
                <w:left w:val="none" w:sz="0" w:space="0" w:color="auto"/>
                <w:bottom w:val="none" w:sz="0" w:space="0" w:color="auto"/>
                <w:right w:val="none" w:sz="0" w:space="0" w:color="auto"/>
              </w:divBdr>
            </w:div>
          </w:divsChild>
        </w:div>
        <w:div w:id="1999073860">
          <w:marLeft w:val="0"/>
          <w:marRight w:val="0"/>
          <w:marTop w:val="0"/>
          <w:marBottom w:val="0"/>
          <w:divBdr>
            <w:top w:val="none" w:sz="0" w:space="0" w:color="auto"/>
            <w:left w:val="none" w:sz="0" w:space="0" w:color="auto"/>
            <w:bottom w:val="none" w:sz="0" w:space="0" w:color="auto"/>
            <w:right w:val="none" w:sz="0" w:space="0" w:color="auto"/>
          </w:divBdr>
          <w:divsChild>
            <w:div w:id="1143039143">
              <w:marLeft w:val="0"/>
              <w:marRight w:val="0"/>
              <w:marTop w:val="0"/>
              <w:marBottom w:val="0"/>
              <w:divBdr>
                <w:top w:val="none" w:sz="0" w:space="0" w:color="auto"/>
                <w:left w:val="none" w:sz="0" w:space="0" w:color="auto"/>
                <w:bottom w:val="none" w:sz="0" w:space="0" w:color="auto"/>
                <w:right w:val="none" w:sz="0" w:space="0" w:color="auto"/>
              </w:divBdr>
            </w:div>
          </w:divsChild>
        </w:div>
        <w:div w:id="2092465886">
          <w:marLeft w:val="0"/>
          <w:marRight w:val="0"/>
          <w:marTop w:val="0"/>
          <w:marBottom w:val="0"/>
          <w:divBdr>
            <w:top w:val="none" w:sz="0" w:space="0" w:color="auto"/>
            <w:left w:val="none" w:sz="0" w:space="0" w:color="auto"/>
            <w:bottom w:val="none" w:sz="0" w:space="0" w:color="auto"/>
            <w:right w:val="none" w:sz="0" w:space="0" w:color="auto"/>
          </w:divBdr>
          <w:divsChild>
            <w:div w:id="17453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0273">
      <w:bodyDiv w:val="1"/>
      <w:marLeft w:val="0"/>
      <w:marRight w:val="0"/>
      <w:marTop w:val="0"/>
      <w:marBottom w:val="0"/>
      <w:divBdr>
        <w:top w:val="none" w:sz="0" w:space="0" w:color="auto"/>
        <w:left w:val="none" w:sz="0" w:space="0" w:color="auto"/>
        <w:bottom w:val="none" w:sz="0" w:space="0" w:color="auto"/>
        <w:right w:val="none" w:sz="0" w:space="0" w:color="auto"/>
      </w:divBdr>
    </w:div>
    <w:div w:id="684790621">
      <w:bodyDiv w:val="1"/>
      <w:marLeft w:val="0"/>
      <w:marRight w:val="0"/>
      <w:marTop w:val="0"/>
      <w:marBottom w:val="0"/>
      <w:divBdr>
        <w:top w:val="none" w:sz="0" w:space="0" w:color="auto"/>
        <w:left w:val="none" w:sz="0" w:space="0" w:color="auto"/>
        <w:bottom w:val="none" w:sz="0" w:space="0" w:color="auto"/>
        <w:right w:val="none" w:sz="0" w:space="0" w:color="auto"/>
      </w:divBdr>
      <w:divsChild>
        <w:div w:id="672954421">
          <w:marLeft w:val="0"/>
          <w:marRight w:val="0"/>
          <w:marTop w:val="150"/>
          <w:marBottom w:val="150"/>
          <w:divBdr>
            <w:top w:val="none" w:sz="0" w:space="0" w:color="auto"/>
            <w:left w:val="none" w:sz="0" w:space="0" w:color="auto"/>
            <w:bottom w:val="none" w:sz="0" w:space="0" w:color="auto"/>
            <w:right w:val="none" w:sz="0" w:space="0" w:color="auto"/>
          </w:divBdr>
          <w:divsChild>
            <w:div w:id="1066882545">
              <w:marLeft w:val="0"/>
              <w:marRight w:val="0"/>
              <w:marTop w:val="0"/>
              <w:marBottom w:val="0"/>
              <w:divBdr>
                <w:top w:val="none" w:sz="0" w:space="0" w:color="auto"/>
                <w:left w:val="none" w:sz="0" w:space="0" w:color="auto"/>
                <w:bottom w:val="none" w:sz="0" w:space="0" w:color="auto"/>
                <w:right w:val="none" w:sz="0" w:space="0" w:color="auto"/>
              </w:divBdr>
            </w:div>
          </w:divsChild>
        </w:div>
        <w:div w:id="751394837">
          <w:marLeft w:val="0"/>
          <w:marRight w:val="0"/>
          <w:marTop w:val="150"/>
          <w:marBottom w:val="150"/>
          <w:divBdr>
            <w:top w:val="none" w:sz="0" w:space="0" w:color="auto"/>
            <w:left w:val="none" w:sz="0" w:space="0" w:color="auto"/>
            <w:bottom w:val="none" w:sz="0" w:space="0" w:color="auto"/>
            <w:right w:val="none" w:sz="0" w:space="0" w:color="auto"/>
          </w:divBdr>
          <w:divsChild>
            <w:div w:id="1372269585">
              <w:marLeft w:val="0"/>
              <w:marRight w:val="0"/>
              <w:marTop w:val="0"/>
              <w:marBottom w:val="0"/>
              <w:divBdr>
                <w:top w:val="none" w:sz="0" w:space="0" w:color="auto"/>
                <w:left w:val="none" w:sz="0" w:space="0" w:color="auto"/>
                <w:bottom w:val="none" w:sz="0" w:space="0" w:color="auto"/>
                <w:right w:val="none" w:sz="0" w:space="0" w:color="auto"/>
              </w:divBdr>
            </w:div>
          </w:divsChild>
        </w:div>
        <w:div w:id="2140025134">
          <w:marLeft w:val="0"/>
          <w:marRight w:val="0"/>
          <w:marTop w:val="150"/>
          <w:marBottom w:val="150"/>
          <w:divBdr>
            <w:top w:val="none" w:sz="0" w:space="0" w:color="auto"/>
            <w:left w:val="none" w:sz="0" w:space="0" w:color="auto"/>
            <w:bottom w:val="none" w:sz="0" w:space="0" w:color="auto"/>
            <w:right w:val="none" w:sz="0" w:space="0" w:color="auto"/>
          </w:divBdr>
          <w:divsChild>
            <w:div w:id="113495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8737">
      <w:bodyDiv w:val="1"/>
      <w:marLeft w:val="0"/>
      <w:marRight w:val="0"/>
      <w:marTop w:val="0"/>
      <w:marBottom w:val="0"/>
      <w:divBdr>
        <w:top w:val="none" w:sz="0" w:space="0" w:color="auto"/>
        <w:left w:val="none" w:sz="0" w:space="0" w:color="auto"/>
        <w:bottom w:val="none" w:sz="0" w:space="0" w:color="auto"/>
        <w:right w:val="none" w:sz="0" w:space="0" w:color="auto"/>
      </w:divBdr>
      <w:divsChild>
        <w:div w:id="698160549">
          <w:marLeft w:val="0"/>
          <w:marRight w:val="0"/>
          <w:marTop w:val="150"/>
          <w:marBottom w:val="150"/>
          <w:divBdr>
            <w:top w:val="none" w:sz="0" w:space="0" w:color="auto"/>
            <w:left w:val="none" w:sz="0" w:space="0" w:color="auto"/>
            <w:bottom w:val="none" w:sz="0" w:space="0" w:color="auto"/>
            <w:right w:val="none" w:sz="0" w:space="0" w:color="auto"/>
          </w:divBdr>
          <w:divsChild>
            <w:div w:id="5133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6872">
      <w:bodyDiv w:val="1"/>
      <w:marLeft w:val="0"/>
      <w:marRight w:val="0"/>
      <w:marTop w:val="0"/>
      <w:marBottom w:val="0"/>
      <w:divBdr>
        <w:top w:val="none" w:sz="0" w:space="0" w:color="auto"/>
        <w:left w:val="none" w:sz="0" w:space="0" w:color="auto"/>
        <w:bottom w:val="none" w:sz="0" w:space="0" w:color="auto"/>
        <w:right w:val="none" w:sz="0" w:space="0" w:color="auto"/>
      </w:divBdr>
    </w:div>
    <w:div w:id="704870958">
      <w:bodyDiv w:val="1"/>
      <w:marLeft w:val="0"/>
      <w:marRight w:val="0"/>
      <w:marTop w:val="0"/>
      <w:marBottom w:val="0"/>
      <w:divBdr>
        <w:top w:val="none" w:sz="0" w:space="0" w:color="auto"/>
        <w:left w:val="none" w:sz="0" w:space="0" w:color="auto"/>
        <w:bottom w:val="none" w:sz="0" w:space="0" w:color="auto"/>
        <w:right w:val="none" w:sz="0" w:space="0" w:color="auto"/>
      </w:divBdr>
    </w:div>
    <w:div w:id="707678982">
      <w:bodyDiv w:val="1"/>
      <w:marLeft w:val="0"/>
      <w:marRight w:val="0"/>
      <w:marTop w:val="0"/>
      <w:marBottom w:val="0"/>
      <w:divBdr>
        <w:top w:val="none" w:sz="0" w:space="0" w:color="auto"/>
        <w:left w:val="none" w:sz="0" w:space="0" w:color="auto"/>
        <w:bottom w:val="none" w:sz="0" w:space="0" w:color="auto"/>
        <w:right w:val="none" w:sz="0" w:space="0" w:color="auto"/>
      </w:divBdr>
      <w:divsChild>
        <w:div w:id="2562234">
          <w:marLeft w:val="0"/>
          <w:marRight w:val="0"/>
          <w:marTop w:val="0"/>
          <w:marBottom w:val="0"/>
          <w:divBdr>
            <w:top w:val="none" w:sz="0" w:space="0" w:color="auto"/>
            <w:left w:val="none" w:sz="0" w:space="0" w:color="auto"/>
            <w:bottom w:val="none" w:sz="0" w:space="0" w:color="auto"/>
            <w:right w:val="none" w:sz="0" w:space="0" w:color="auto"/>
          </w:divBdr>
          <w:divsChild>
            <w:div w:id="765200101">
              <w:marLeft w:val="0"/>
              <w:marRight w:val="0"/>
              <w:marTop w:val="0"/>
              <w:marBottom w:val="0"/>
              <w:divBdr>
                <w:top w:val="none" w:sz="0" w:space="0" w:color="auto"/>
                <w:left w:val="none" w:sz="0" w:space="0" w:color="auto"/>
                <w:bottom w:val="none" w:sz="0" w:space="0" w:color="auto"/>
                <w:right w:val="none" w:sz="0" w:space="0" w:color="auto"/>
              </w:divBdr>
            </w:div>
          </w:divsChild>
        </w:div>
        <w:div w:id="3214307">
          <w:marLeft w:val="0"/>
          <w:marRight w:val="0"/>
          <w:marTop w:val="0"/>
          <w:marBottom w:val="0"/>
          <w:divBdr>
            <w:top w:val="none" w:sz="0" w:space="0" w:color="auto"/>
            <w:left w:val="none" w:sz="0" w:space="0" w:color="auto"/>
            <w:bottom w:val="none" w:sz="0" w:space="0" w:color="auto"/>
            <w:right w:val="none" w:sz="0" w:space="0" w:color="auto"/>
          </w:divBdr>
          <w:divsChild>
            <w:div w:id="966862884">
              <w:marLeft w:val="0"/>
              <w:marRight w:val="0"/>
              <w:marTop w:val="0"/>
              <w:marBottom w:val="0"/>
              <w:divBdr>
                <w:top w:val="none" w:sz="0" w:space="0" w:color="auto"/>
                <w:left w:val="none" w:sz="0" w:space="0" w:color="auto"/>
                <w:bottom w:val="none" w:sz="0" w:space="0" w:color="auto"/>
                <w:right w:val="none" w:sz="0" w:space="0" w:color="auto"/>
              </w:divBdr>
            </w:div>
          </w:divsChild>
        </w:div>
        <w:div w:id="52434630">
          <w:marLeft w:val="0"/>
          <w:marRight w:val="0"/>
          <w:marTop w:val="0"/>
          <w:marBottom w:val="0"/>
          <w:divBdr>
            <w:top w:val="none" w:sz="0" w:space="0" w:color="auto"/>
            <w:left w:val="none" w:sz="0" w:space="0" w:color="auto"/>
            <w:bottom w:val="none" w:sz="0" w:space="0" w:color="auto"/>
            <w:right w:val="none" w:sz="0" w:space="0" w:color="auto"/>
          </w:divBdr>
          <w:divsChild>
            <w:div w:id="1805737397">
              <w:marLeft w:val="0"/>
              <w:marRight w:val="0"/>
              <w:marTop w:val="0"/>
              <w:marBottom w:val="0"/>
              <w:divBdr>
                <w:top w:val="none" w:sz="0" w:space="0" w:color="auto"/>
                <w:left w:val="none" w:sz="0" w:space="0" w:color="auto"/>
                <w:bottom w:val="none" w:sz="0" w:space="0" w:color="auto"/>
                <w:right w:val="none" w:sz="0" w:space="0" w:color="auto"/>
              </w:divBdr>
            </w:div>
          </w:divsChild>
        </w:div>
        <w:div w:id="60490403">
          <w:marLeft w:val="0"/>
          <w:marRight w:val="0"/>
          <w:marTop w:val="0"/>
          <w:marBottom w:val="0"/>
          <w:divBdr>
            <w:top w:val="none" w:sz="0" w:space="0" w:color="auto"/>
            <w:left w:val="none" w:sz="0" w:space="0" w:color="auto"/>
            <w:bottom w:val="none" w:sz="0" w:space="0" w:color="auto"/>
            <w:right w:val="none" w:sz="0" w:space="0" w:color="auto"/>
          </w:divBdr>
          <w:divsChild>
            <w:div w:id="1009258911">
              <w:marLeft w:val="0"/>
              <w:marRight w:val="0"/>
              <w:marTop w:val="0"/>
              <w:marBottom w:val="0"/>
              <w:divBdr>
                <w:top w:val="none" w:sz="0" w:space="0" w:color="auto"/>
                <w:left w:val="none" w:sz="0" w:space="0" w:color="auto"/>
                <w:bottom w:val="none" w:sz="0" w:space="0" w:color="auto"/>
                <w:right w:val="none" w:sz="0" w:space="0" w:color="auto"/>
              </w:divBdr>
            </w:div>
          </w:divsChild>
        </w:div>
        <w:div w:id="127744371">
          <w:marLeft w:val="0"/>
          <w:marRight w:val="0"/>
          <w:marTop w:val="0"/>
          <w:marBottom w:val="0"/>
          <w:divBdr>
            <w:top w:val="none" w:sz="0" w:space="0" w:color="auto"/>
            <w:left w:val="none" w:sz="0" w:space="0" w:color="auto"/>
            <w:bottom w:val="none" w:sz="0" w:space="0" w:color="auto"/>
            <w:right w:val="none" w:sz="0" w:space="0" w:color="auto"/>
          </w:divBdr>
          <w:divsChild>
            <w:div w:id="41759574">
              <w:marLeft w:val="0"/>
              <w:marRight w:val="0"/>
              <w:marTop w:val="0"/>
              <w:marBottom w:val="0"/>
              <w:divBdr>
                <w:top w:val="none" w:sz="0" w:space="0" w:color="auto"/>
                <w:left w:val="none" w:sz="0" w:space="0" w:color="auto"/>
                <w:bottom w:val="none" w:sz="0" w:space="0" w:color="auto"/>
                <w:right w:val="none" w:sz="0" w:space="0" w:color="auto"/>
              </w:divBdr>
            </w:div>
          </w:divsChild>
        </w:div>
        <w:div w:id="227037818">
          <w:marLeft w:val="0"/>
          <w:marRight w:val="0"/>
          <w:marTop w:val="0"/>
          <w:marBottom w:val="0"/>
          <w:divBdr>
            <w:top w:val="none" w:sz="0" w:space="0" w:color="auto"/>
            <w:left w:val="none" w:sz="0" w:space="0" w:color="auto"/>
            <w:bottom w:val="none" w:sz="0" w:space="0" w:color="auto"/>
            <w:right w:val="none" w:sz="0" w:space="0" w:color="auto"/>
          </w:divBdr>
          <w:divsChild>
            <w:div w:id="62143586">
              <w:marLeft w:val="0"/>
              <w:marRight w:val="0"/>
              <w:marTop w:val="0"/>
              <w:marBottom w:val="0"/>
              <w:divBdr>
                <w:top w:val="none" w:sz="0" w:space="0" w:color="auto"/>
                <w:left w:val="none" w:sz="0" w:space="0" w:color="auto"/>
                <w:bottom w:val="none" w:sz="0" w:space="0" w:color="auto"/>
                <w:right w:val="none" w:sz="0" w:space="0" w:color="auto"/>
              </w:divBdr>
            </w:div>
          </w:divsChild>
        </w:div>
        <w:div w:id="242182278">
          <w:marLeft w:val="0"/>
          <w:marRight w:val="0"/>
          <w:marTop w:val="0"/>
          <w:marBottom w:val="0"/>
          <w:divBdr>
            <w:top w:val="none" w:sz="0" w:space="0" w:color="auto"/>
            <w:left w:val="none" w:sz="0" w:space="0" w:color="auto"/>
            <w:bottom w:val="none" w:sz="0" w:space="0" w:color="auto"/>
            <w:right w:val="none" w:sz="0" w:space="0" w:color="auto"/>
          </w:divBdr>
          <w:divsChild>
            <w:div w:id="1374227651">
              <w:marLeft w:val="0"/>
              <w:marRight w:val="0"/>
              <w:marTop w:val="0"/>
              <w:marBottom w:val="0"/>
              <w:divBdr>
                <w:top w:val="none" w:sz="0" w:space="0" w:color="auto"/>
                <w:left w:val="none" w:sz="0" w:space="0" w:color="auto"/>
                <w:bottom w:val="none" w:sz="0" w:space="0" w:color="auto"/>
                <w:right w:val="none" w:sz="0" w:space="0" w:color="auto"/>
              </w:divBdr>
            </w:div>
          </w:divsChild>
        </w:div>
        <w:div w:id="333529789">
          <w:marLeft w:val="0"/>
          <w:marRight w:val="0"/>
          <w:marTop w:val="0"/>
          <w:marBottom w:val="0"/>
          <w:divBdr>
            <w:top w:val="none" w:sz="0" w:space="0" w:color="auto"/>
            <w:left w:val="none" w:sz="0" w:space="0" w:color="auto"/>
            <w:bottom w:val="none" w:sz="0" w:space="0" w:color="auto"/>
            <w:right w:val="none" w:sz="0" w:space="0" w:color="auto"/>
          </w:divBdr>
          <w:divsChild>
            <w:div w:id="813838290">
              <w:marLeft w:val="0"/>
              <w:marRight w:val="0"/>
              <w:marTop w:val="0"/>
              <w:marBottom w:val="0"/>
              <w:divBdr>
                <w:top w:val="none" w:sz="0" w:space="0" w:color="auto"/>
                <w:left w:val="none" w:sz="0" w:space="0" w:color="auto"/>
                <w:bottom w:val="none" w:sz="0" w:space="0" w:color="auto"/>
                <w:right w:val="none" w:sz="0" w:space="0" w:color="auto"/>
              </w:divBdr>
            </w:div>
            <w:div w:id="1241869511">
              <w:marLeft w:val="0"/>
              <w:marRight w:val="0"/>
              <w:marTop w:val="0"/>
              <w:marBottom w:val="0"/>
              <w:divBdr>
                <w:top w:val="none" w:sz="0" w:space="0" w:color="auto"/>
                <w:left w:val="none" w:sz="0" w:space="0" w:color="auto"/>
                <w:bottom w:val="none" w:sz="0" w:space="0" w:color="auto"/>
                <w:right w:val="none" w:sz="0" w:space="0" w:color="auto"/>
              </w:divBdr>
            </w:div>
            <w:div w:id="1914853277">
              <w:marLeft w:val="0"/>
              <w:marRight w:val="0"/>
              <w:marTop w:val="0"/>
              <w:marBottom w:val="0"/>
              <w:divBdr>
                <w:top w:val="none" w:sz="0" w:space="0" w:color="auto"/>
                <w:left w:val="none" w:sz="0" w:space="0" w:color="auto"/>
                <w:bottom w:val="none" w:sz="0" w:space="0" w:color="auto"/>
                <w:right w:val="none" w:sz="0" w:space="0" w:color="auto"/>
              </w:divBdr>
            </w:div>
          </w:divsChild>
        </w:div>
        <w:div w:id="389618526">
          <w:marLeft w:val="0"/>
          <w:marRight w:val="0"/>
          <w:marTop w:val="0"/>
          <w:marBottom w:val="0"/>
          <w:divBdr>
            <w:top w:val="none" w:sz="0" w:space="0" w:color="auto"/>
            <w:left w:val="none" w:sz="0" w:space="0" w:color="auto"/>
            <w:bottom w:val="none" w:sz="0" w:space="0" w:color="auto"/>
            <w:right w:val="none" w:sz="0" w:space="0" w:color="auto"/>
          </w:divBdr>
          <w:divsChild>
            <w:div w:id="1032998251">
              <w:marLeft w:val="0"/>
              <w:marRight w:val="0"/>
              <w:marTop w:val="0"/>
              <w:marBottom w:val="0"/>
              <w:divBdr>
                <w:top w:val="none" w:sz="0" w:space="0" w:color="auto"/>
                <w:left w:val="none" w:sz="0" w:space="0" w:color="auto"/>
                <w:bottom w:val="none" w:sz="0" w:space="0" w:color="auto"/>
                <w:right w:val="none" w:sz="0" w:space="0" w:color="auto"/>
              </w:divBdr>
            </w:div>
          </w:divsChild>
        </w:div>
        <w:div w:id="456290921">
          <w:marLeft w:val="0"/>
          <w:marRight w:val="0"/>
          <w:marTop w:val="0"/>
          <w:marBottom w:val="0"/>
          <w:divBdr>
            <w:top w:val="none" w:sz="0" w:space="0" w:color="auto"/>
            <w:left w:val="none" w:sz="0" w:space="0" w:color="auto"/>
            <w:bottom w:val="none" w:sz="0" w:space="0" w:color="auto"/>
            <w:right w:val="none" w:sz="0" w:space="0" w:color="auto"/>
          </w:divBdr>
          <w:divsChild>
            <w:div w:id="358744161">
              <w:marLeft w:val="0"/>
              <w:marRight w:val="0"/>
              <w:marTop w:val="0"/>
              <w:marBottom w:val="0"/>
              <w:divBdr>
                <w:top w:val="none" w:sz="0" w:space="0" w:color="auto"/>
                <w:left w:val="none" w:sz="0" w:space="0" w:color="auto"/>
                <w:bottom w:val="none" w:sz="0" w:space="0" w:color="auto"/>
                <w:right w:val="none" w:sz="0" w:space="0" w:color="auto"/>
              </w:divBdr>
            </w:div>
          </w:divsChild>
        </w:div>
        <w:div w:id="513572599">
          <w:marLeft w:val="0"/>
          <w:marRight w:val="0"/>
          <w:marTop w:val="0"/>
          <w:marBottom w:val="0"/>
          <w:divBdr>
            <w:top w:val="none" w:sz="0" w:space="0" w:color="auto"/>
            <w:left w:val="none" w:sz="0" w:space="0" w:color="auto"/>
            <w:bottom w:val="none" w:sz="0" w:space="0" w:color="auto"/>
            <w:right w:val="none" w:sz="0" w:space="0" w:color="auto"/>
          </w:divBdr>
          <w:divsChild>
            <w:div w:id="1318420159">
              <w:marLeft w:val="0"/>
              <w:marRight w:val="0"/>
              <w:marTop w:val="0"/>
              <w:marBottom w:val="0"/>
              <w:divBdr>
                <w:top w:val="none" w:sz="0" w:space="0" w:color="auto"/>
                <w:left w:val="none" w:sz="0" w:space="0" w:color="auto"/>
                <w:bottom w:val="none" w:sz="0" w:space="0" w:color="auto"/>
                <w:right w:val="none" w:sz="0" w:space="0" w:color="auto"/>
              </w:divBdr>
            </w:div>
          </w:divsChild>
        </w:div>
        <w:div w:id="534998296">
          <w:marLeft w:val="0"/>
          <w:marRight w:val="0"/>
          <w:marTop w:val="0"/>
          <w:marBottom w:val="0"/>
          <w:divBdr>
            <w:top w:val="none" w:sz="0" w:space="0" w:color="auto"/>
            <w:left w:val="none" w:sz="0" w:space="0" w:color="auto"/>
            <w:bottom w:val="none" w:sz="0" w:space="0" w:color="auto"/>
            <w:right w:val="none" w:sz="0" w:space="0" w:color="auto"/>
          </w:divBdr>
          <w:divsChild>
            <w:div w:id="100074290">
              <w:marLeft w:val="0"/>
              <w:marRight w:val="0"/>
              <w:marTop w:val="0"/>
              <w:marBottom w:val="0"/>
              <w:divBdr>
                <w:top w:val="none" w:sz="0" w:space="0" w:color="auto"/>
                <w:left w:val="none" w:sz="0" w:space="0" w:color="auto"/>
                <w:bottom w:val="none" w:sz="0" w:space="0" w:color="auto"/>
                <w:right w:val="none" w:sz="0" w:space="0" w:color="auto"/>
              </w:divBdr>
            </w:div>
          </w:divsChild>
        </w:div>
        <w:div w:id="557472080">
          <w:marLeft w:val="0"/>
          <w:marRight w:val="0"/>
          <w:marTop w:val="0"/>
          <w:marBottom w:val="0"/>
          <w:divBdr>
            <w:top w:val="none" w:sz="0" w:space="0" w:color="auto"/>
            <w:left w:val="none" w:sz="0" w:space="0" w:color="auto"/>
            <w:bottom w:val="none" w:sz="0" w:space="0" w:color="auto"/>
            <w:right w:val="none" w:sz="0" w:space="0" w:color="auto"/>
          </w:divBdr>
          <w:divsChild>
            <w:div w:id="1122308755">
              <w:marLeft w:val="0"/>
              <w:marRight w:val="0"/>
              <w:marTop w:val="0"/>
              <w:marBottom w:val="0"/>
              <w:divBdr>
                <w:top w:val="none" w:sz="0" w:space="0" w:color="auto"/>
                <w:left w:val="none" w:sz="0" w:space="0" w:color="auto"/>
                <w:bottom w:val="none" w:sz="0" w:space="0" w:color="auto"/>
                <w:right w:val="none" w:sz="0" w:space="0" w:color="auto"/>
              </w:divBdr>
            </w:div>
          </w:divsChild>
        </w:div>
        <w:div w:id="571162316">
          <w:marLeft w:val="0"/>
          <w:marRight w:val="0"/>
          <w:marTop w:val="0"/>
          <w:marBottom w:val="0"/>
          <w:divBdr>
            <w:top w:val="none" w:sz="0" w:space="0" w:color="auto"/>
            <w:left w:val="none" w:sz="0" w:space="0" w:color="auto"/>
            <w:bottom w:val="none" w:sz="0" w:space="0" w:color="auto"/>
            <w:right w:val="none" w:sz="0" w:space="0" w:color="auto"/>
          </w:divBdr>
          <w:divsChild>
            <w:div w:id="2003923990">
              <w:marLeft w:val="0"/>
              <w:marRight w:val="0"/>
              <w:marTop w:val="0"/>
              <w:marBottom w:val="0"/>
              <w:divBdr>
                <w:top w:val="none" w:sz="0" w:space="0" w:color="auto"/>
                <w:left w:val="none" w:sz="0" w:space="0" w:color="auto"/>
                <w:bottom w:val="none" w:sz="0" w:space="0" w:color="auto"/>
                <w:right w:val="none" w:sz="0" w:space="0" w:color="auto"/>
              </w:divBdr>
            </w:div>
          </w:divsChild>
        </w:div>
        <w:div w:id="670137888">
          <w:marLeft w:val="0"/>
          <w:marRight w:val="0"/>
          <w:marTop w:val="0"/>
          <w:marBottom w:val="0"/>
          <w:divBdr>
            <w:top w:val="none" w:sz="0" w:space="0" w:color="auto"/>
            <w:left w:val="none" w:sz="0" w:space="0" w:color="auto"/>
            <w:bottom w:val="none" w:sz="0" w:space="0" w:color="auto"/>
            <w:right w:val="none" w:sz="0" w:space="0" w:color="auto"/>
          </w:divBdr>
          <w:divsChild>
            <w:div w:id="212736013">
              <w:marLeft w:val="0"/>
              <w:marRight w:val="0"/>
              <w:marTop w:val="0"/>
              <w:marBottom w:val="0"/>
              <w:divBdr>
                <w:top w:val="none" w:sz="0" w:space="0" w:color="auto"/>
                <w:left w:val="none" w:sz="0" w:space="0" w:color="auto"/>
                <w:bottom w:val="none" w:sz="0" w:space="0" w:color="auto"/>
                <w:right w:val="none" w:sz="0" w:space="0" w:color="auto"/>
              </w:divBdr>
            </w:div>
            <w:div w:id="1371566161">
              <w:marLeft w:val="0"/>
              <w:marRight w:val="0"/>
              <w:marTop w:val="0"/>
              <w:marBottom w:val="0"/>
              <w:divBdr>
                <w:top w:val="none" w:sz="0" w:space="0" w:color="auto"/>
                <w:left w:val="none" w:sz="0" w:space="0" w:color="auto"/>
                <w:bottom w:val="none" w:sz="0" w:space="0" w:color="auto"/>
                <w:right w:val="none" w:sz="0" w:space="0" w:color="auto"/>
              </w:divBdr>
            </w:div>
            <w:div w:id="1507673889">
              <w:marLeft w:val="0"/>
              <w:marRight w:val="0"/>
              <w:marTop w:val="0"/>
              <w:marBottom w:val="0"/>
              <w:divBdr>
                <w:top w:val="none" w:sz="0" w:space="0" w:color="auto"/>
                <w:left w:val="none" w:sz="0" w:space="0" w:color="auto"/>
                <w:bottom w:val="none" w:sz="0" w:space="0" w:color="auto"/>
                <w:right w:val="none" w:sz="0" w:space="0" w:color="auto"/>
              </w:divBdr>
            </w:div>
          </w:divsChild>
        </w:div>
        <w:div w:id="718866799">
          <w:marLeft w:val="0"/>
          <w:marRight w:val="0"/>
          <w:marTop w:val="0"/>
          <w:marBottom w:val="0"/>
          <w:divBdr>
            <w:top w:val="none" w:sz="0" w:space="0" w:color="auto"/>
            <w:left w:val="none" w:sz="0" w:space="0" w:color="auto"/>
            <w:bottom w:val="none" w:sz="0" w:space="0" w:color="auto"/>
            <w:right w:val="none" w:sz="0" w:space="0" w:color="auto"/>
          </w:divBdr>
          <w:divsChild>
            <w:div w:id="758135666">
              <w:marLeft w:val="0"/>
              <w:marRight w:val="0"/>
              <w:marTop w:val="0"/>
              <w:marBottom w:val="0"/>
              <w:divBdr>
                <w:top w:val="none" w:sz="0" w:space="0" w:color="auto"/>
                <w:left w:val="none" w:sz="0" w:space="0" w:color="auto"/>
                <w:bottom w:val="none" w:sz="0" w:space="0" w:color="auto"/>
                <w:right w:val="none" w:sz="0" w:space="0" w:color="auto"/>
              </w:divBdr>
            </w:div>
          </w:divsChild>
        </w:div>
        <w:div w:id="723798685">
          <w:marLeft w:val="0"/>
          <w:marRight w:val="0"/>
          <w:marTop w:val="0"/>
          <w:marBottom w:val="0"/>
          <w:divBdr>
            <w:top w:val="none" w:sz="0" w:space="0" w:color="auto"/>
            <w:left w:val="none" w:sz="0" w:space="0" w:color="auto"/>
            <w:bottom w:val="none" w:sz="0" w:space="0" w:color="auto"/>
            <w:right w:val="none" w:sz="0" w:space="0" w:color="auto"/>
          </w:divBdr>
          <w:divsChild>
            <w:div w:id="196549505">
              <w:marLeft w:val="0"/>
              <w:marRight w:val="0"/>
              <w:marTop w:val="0"/>
              <w:marBottom w:val="0"/>
              <w:divBdr>
                <w:top w:val="none" w:sz="0" w:space="0" w:color="auto"/>
                <w:left w:val="none" w:sz="0" w:space="0" w:color="auto"/>
                <w:bottom w:val="none" w:sz="0" w:space="0" w:color="auto"/>
                <w:right w:val="none" w:sz="0" w:space="0" w:color="auto"/>
              </w:divBdr>
            </w:div>
            <w:div w:id="2101636124">
              <w:marLeft w:val="0"/>
              <w:marRight w:val="0"/>
              <w:marTop w:val="0"/>
              <w:marBottom w:val="0"/>
              <w:divBdr>
                <w:top w:val="none" w:sz="0" w:space="0" w:color="auto"/>
                <w:left w:val="none" w:sz="0" w:space="0" w:color="auto"/>
                <w:bottom w:val="none" w:sz="0" w:space="0" w:color="auto"/>
                <w:right w:val="none" w:sz="0" w:space="0" w:color="auto"/>
              </w:divBdr>
            </w:div>
          </w:divsChild>
        </w:div>
        <w:div w:id="727144505">
          <w:marLeft w:val="0"/>
          <w:marRight w:val="0"/>
          <w:marTop w:val="0"/>
          <w:marBottom w:val="0"/>
          <w:divBdr>
            <w:top w:val="none" w:sz="0" w:space="0" w:color="auto"/>
            <w:left w:val="none" w:sz="0" w:space="0" w:color="auto"/>
            <w:bottom w:val="none" w:sz="0" w:space="0" w:color="auto"/>
            <w:right w:val="none" w:sz="0" w:space="0" w:color="auto"/>
          </w:divBdr>
          <w:divsChild>
            <w:div w:id="35667807">
              <w:marLeft w:val="0"/>
              <w:marRight w:val="0"/>
              <w:marTop w:val="0"/>
              <w:marBottom w:val="0"/>
              <w:divBdr>
                <w:top w:val="none" w:sz="0" w:space="0" w:color="auto"/>
                <w:left w:val="none" w:sz="0" w:space="0" w:color="auto"/>
                <w:bottom w:val="none" w:sz="0" w:space="0" w:color="auto"/>
                <w:right w:val="none" w:sz="0" w:space="0" w:color="auto"/>
              </w:divBdr>
            </w:div>
            <w:div w:id="296104375">
              <w:marLeft w:val="0"/>
              <w:marRight w:val="0"/>
              <w:marTop w:val="0"/>
              <w:marBottom w:val="0"/>
              <w:divBdr>
                <w:top w:val="none" w:sz="0" w:space="0" w:color="auto"/>
                <w:left w:val="none" w:sz="0" w:space="0" w:color="auto"/>
                <w:bottom w:val="none" w:sz="0" w:space="0" w:color="auto"/>
                <w:right w:val="none" w:sz="0" w:space="0" w:color="auto"/>
              </w:divBdr>
            </w:div>
            <w:div w:id="1127354610">
              <w:marLeft w:val="0"/>
              <w:marRight w:val="0"/>
              <w:marTop w:val="0"/>
              <w:marBottom w:val="0"/>
              <w:divBdr>
                <w:top w:val="none" w:sz="0" w:space="0" w:color="auto"/>
                <w:left w:val="none" w:sz="0" w:space="0" w:color="auto"/>
                <w:bottom w:val="none" w:sz="0" w:space="0" w:color="auto"/>
                <w:right w:val="none" w:sz="0" w:space="0" w:color="auto"/>
              </w:divBdr>
            </w:div>
            <w:div w:id="1142649157">
              <w:marLeft w:val="0"/>
              <w:marRight w:val="0"/>
              <w:marTop w:val="0"/>
              <w:marBottom w:val="0"/>
              <w:divBdr>
                <w:top w:val="none" w:sz="0" w:space="0" w:color="auto"/>
                <w:left w:val="none" w:sz="0" w:space="0" w:color="auto"/>
                <w:bottom w:val="none" w:sz="0" w:space="0" w:color="auto"/>
                <w:right w:val="none" w:sz="0" w:space="0" w:color="auto"/>
              </w:divBdr>
            </w:div>
            <w:div w:id="1544050761">
              <w:marLeft w:val="0"/>
              <w:marRight w:val="0"/>
              <w:marTop w:val="0"/>
              <w:marBottom w:val="0"/>
              <w:divBdr>
                <w:top w:val="none" w:sz="0" w:space="0" w:color="auto"/>
                <w:left w:val="none" w:sz="0" w:space="0" w:color="auto"/>
                <w:bottom w:val="none" w:sz="0" w:space="0" w:color="auto"/>
                <w:right w:val="none" w:sz="0" w:space="0" w:color="auto"/>
              </w:divBdr>
            </w:div>
          </w:divsChild>
        </w:div>
        <w:div w:id="733510486">
          <w:marLeft w:val="0"/>
          <w:marRight w:val="0"/>
          <w:marTop w:val="0"/>
          <w:marBottom w:val="0"/>
          <w:divBdr>
            <w:top w:val="none" w:sz="0" w:space="0" w:color="auto"/>
            <w:left w:val="none" w:sz="0" w:space="0" w:color="auto"/>
            <w:bottom w:val="none" w:sz="0" w:space="0" w:color="auto"/>
            <w:right w:val="none" w:sz="0" w:space="0" w:color="auto"/>
          </w:divBdr>
          <w:divsChild>
            <w:div w:id="303393077">
              <w:marLeft w:val="0"/>
              <w:marRight w:val="0"/>
              <w:marTop w:val="0"/>
              <w:marBottom w:val="0"/>
              <w:divBdr>
                <w:top w:val="none" w:sz="0" w:space="0" w:color="auto"/>
                <w:left w:val="none" w:sz="0" w:space="0" w:color="auto"/>
                <w:bottom w:val="none" w:sz="0" w:space="0" w:color="auto"/>
                <w:right w:val="none" w:sz="0" w:space="0" w:color="auto"/>
              </w:divBdr>
            </w:div>
          </w:divsChild>
        </w:div>
        <w:div w:id="753934686">
          <w:marLeft w:val="0"/>
          <w:marRight w:val="0"/>
          <w:marTop w:val="0"/>
          <w:marBottom w:val="0"/>
          <w:divBdr>
            <w:top w:val="none" w:sz="0" w:space="0" w:color="auto"/>
            <w:left w:val="none" w:sz="0" w:space="0" w:color="auto"/>
            <w:bottom w:val="none" w:sz="0" w:space="0" w:color="auto"/>
            <w:right w:val="none" w:sz="0" w:space="0" w:color="auto"/>
          </w:divBdr>
          <w:divsChild>
            <w:div w:id="76445615">
              <w:marLeft w:val="0"/>
              <w:marRight w:val="0"/>
              <w:marTop w:val="0"/>
              <w:marBottom w:val="0"/>
              <w:divBdr>
                <w:top w:val="none" w:sz="0" w:space="0" w:color="auto"/>
                <w:left w:val="none" w:sz="0" w:space="0" w:color="auto"/>
                <w:bottom w:val="none" w:sz="0" w:space="0" w:color="auto"/>
                <w:right w:val="none" w:sz="0" w:space="0" w:color="auto"/>
              </w:divBdr>
            </w:div>
            <w:div w:id="2067798551">
              <w:marLeft w:val="0"/>
              <w:marRight w:val="0"/>
              <w:marTop w:val="0"/>
              <w:marBottom w:val="0"/>
              <w:divBdr>
                <w:top w:val="none" w:sz="0" w:space="0" w:color="auto"/>
                <w:left w:val="none" w:sz="0" w:space="0" w:color="auto"/>
                <w:bottom w:val="none" w:sz="0" w:space="0" w:color="auto"/>
                <w:right w:val="none" w:sz="0" w:space="0" w:color="auto"/>
              </w:divBdr>
            </w:div>
          </w:divsChild>
        </w:div>
        <w:div w:id="760683240">
          <w:marLeft w:val="0"/>
          <w:marRight w:val="0"/>
          <w:marTop w:val="0"/>
          <w:marBottom w:val="0"/>
          <w:divBdr>
            <w:top w:val="none" w:sz="0" w:space="0" w:color="auto"/>
            <w:left w:val="none" w:sz="0" w:space="0" w:color="auto"/>
            <w:bottom w:val="none" w:sz="0" w:space="0" w:color="auto"/>
            <w:right w:val="none" w:sz="0" w:space="0" w:color="auto"/>
          </w:divBdr>
          <w:divsChild>
            <w:div w:id="1742632436">
              <w:marLeft w:val="0"/>
              <w:marRight w:val="0"/>
              <w:marTop w:val="0"/>
              <w:marBottom w:val="0"/>
              <w:divBdr>
                <w:top w:val="none" w:sz="0" w:space="0" w:color="auto"/>
                <w:left w:val="none" w:sz="0" w:space="0" w:color="auto"/>
                <w:bottom w:val="none" w:sz="0" w:space="0" w:color="auto"/>
                <w:right w:val="none" w:sz="0" w:space="0" w:color="auto"/>
              </w:divBdr>
            </w:div>
          </w:divsChild>
        </w:div>
        <w:div w:id="863905123">
          <w:marLeft w:val="0"/>
          <w:marRight w:val="0"/>
          <w:marTop w:val="0"/>
          <w:marBottom w:val="0"/>
          <w:divBdr>
            <w:top w:val="none" w:sz="0" w:space="0" w:color="auto"/>
            <w:left w:val="none" w:sz="0" w:space="0" w:color="auto"/>
            <w:bottom w:val="none" w:sz="0" w:space="0" w:color="auto"/>
            <w:right w:val="none" w:sz="0" w:space="0" w:color="auto"/>
          </w:divBdr>
          <w:divsChild>
            <w:div w:id="31617217">
              <w:marLeft w:val="0"/>
              <w:marRight w:val="0"/>
              <w:marTop w:val="0"/>
              <w:marBottom w:val="0"/>
              <w:divBdr>
                <w:top w:val="none" w:sz="0" w:space="0" w:color="auto"/>
                <w:left w:val="none" w:sz="0" w:space="0" w:color="auto"/>
                <w:bottom w:val="none" w:sz="0" w:space="0" w:color="auto"/>
                <w:right w:val="none" w:sz="0" w:space="0" w:color="auto"/>
              </w:divBdr>
            </w:div>
          </w:divsChild>
        </w:div>
        <w:div w:id="874393688">
          <w:marLeft w:val="0"/>
          <w:marRight w:val="0"/>
          <w:marTop w:val="0"/>
          <w:marBottom w:val="0"/>
          <w:divBdr>
            <w:top w:val="none" w:sz="0" w:space="0" w:color="auto"/>
            <w:left w:val="none" w:sz="0" w:space="0" w:color="auto"/>
            <w:bottom w:val="none" w:sz="0" w:space="0" w:color="auto"/>
            <w:right w:val="none" w:sz="0" w:space="0" w:color="auto"/>
          </w:divBdr>
          <w:divsChild>
            <w:div w:id="861091328">
              <w:marLeft w:val="0"/>
              <w:marRight w:val="0"/>
              <w:marTop w:val="0"/>
              <w:marBottom w:val="0"/>
              <w:divBdr>
                <w:top w:val="none" w:sz="0" w:space="0" w:color="auto"/>
                <w:left w:val="none" w:sz="0" w:space="0" w:color="auto"/>
                <w:bottom w:val="none" w:sz="0" w:space="0" w:color="auto"/>
                <w:right w:val="none" w:sz="0" w:space="0" w:color="auto"/>
              </w:divBdr>
            </w:div>
          </w:divsChild>
        </w:div>
        <w:div w:id="886571481">
          <w:marLeft w:val="0"/>
          <w:marRight w:val="0"/>
          <w:marTop w:val="0"/>
          <w:marBottom w:val="0"/>
          <w:divBdr>
            <w:top w:val="none" w:sz="0" w:space="0" w:color="auto"/>
            <w:left w:val="none" w:sz="0" w:space="0" w:color="auto"/>
            <w:bottom w:val="none" w:sz="0" w:space="0" w:color="auto"/>
            <w:right w:val="none" w:sz="0" w:space="0" w:color="auto"/>
          </w:divBdr>
          <w:divsChild>
            <w:div w:id="151869788">
              <w:marLeft w:val="0"/>
              <w:marRight w:val="0"/>
              <w:marTop w:val="0"/>
              <w:marBottom w:val="0"/>
              <w:divBdr>
                <w:top w:val="none" w:sz="0" w:space="0" w:color="auto"/>
                <w:left w:val="none" w:sz="0" w:space="0" w:color="auto"/>
                <w:bottom w:val="none" w:sz="0" w:space="0" w:color="auto"/>
                <w:right w:val="none" w:sz="0" w:space="0" w:color="auto"/>
              </w:divBdr>
            </w:div>
            <w:div w:id="807743139">
              <w:marLeft w:val="0"/>
              <w:marRight w:val="0"/>
              <w:marTop w:val="0"/>
              <w:marBottom w:val="0"/>
              <w:divBdr>
                <w:top w:val="none" w:sz="0" w:space="0" w:color="auto"/>
                <w:left w:val="none" w:sz="0" w:space="0" w:color="auto"/>
                <w:bottom w:val="none" w:sz="0" w:space="0" w:color="auto"/>
                <w:right w:val="none" w:sz="0" w:space="0" w:color="auto"/>
              </w:divBdr>
            </w:div>
            <w:div w:id="1014647267">
              <w:marLeft w:val="0"/>
              <w:marRight w:val="0"/>
              <w:marTop w:val="0"/>
              <w:marBottom w:val="0"/>
              <w:divBdr>
                <w:top w:val="none" w:sz="0" w:space="0" w:color="auto"/>
                <w:left w:val="none" w:sz="0" w:space="0" w:color="auto"/>
                <w:bottom w:val="none" w:sz="0" w:space="0" w:color="auto"/>
                <w:right w:val="none" w:sz="0" w:space="0" w:color="auto"/>
              </w:divBdr>
            </w:div>
            <w:div w:id="1819154203">
              <w:marLeft w:val="0"/>
              <w:marRight w:val="0"/>
              <w:marTop w:val="0"/>
              <w:marBottom w:val="0"/>
              <w:divBdr>
                <w:top w:val="none" w:sz="0" w:space="0" w:color="auto"/>
                <w:left w:val="none" w:sz="0" w:space="0" w:color="auto"/>
                <w:bottom w:val="none" w:sz="0" w:space="0" w:color="auto"/>
                <w:right w:val="none" w:sz="0" w:space="0" w:color="auto"/>
              </w:divBdr>
            </w:div>
            <w:div w:id="1849369793">
              <w:marLeft w:val="0"/>
              <w:marRight w:val="0"/>
              <w:marTop w:val="0"/>
              <w:marBottom w:val="0"/>
              <w:divBdr>
                <w:top w:val="none" w:sz="0" w:space="0" w:color="auto"/>
                <w:left w:val="none" w:sz="0" w:space="0" w:color="auto"/>
                <w:bottom w:val="none" w:sz="0" w:space="0" w:color="auto"/>
                <w:right w:val="none" w:sz="0" w:space="0" w:color="auto"/>
              </w:divBdr>
            </w:div>
          </w:divsChild>
        </w:div>
        <w:div w:id="924537163">
          <w:marLeft w:val="0"/>
          <w:marRight w:val="0"/>
          <w:marTop w:val="0"/>
          <w:marBottom w:val="0"/>
          <w:divBdr>
            <w:top w:val="none" w:sz="0" w:space="0" w:color="auto"/>
            <w:left w:val="none" w:sz="0" w:space="0" w:color="auto"/>
            <w:bottom w:val="none" w:sz="0" w:space="0" w:color="auto"/>
            <w:right w:val="none" w:sz="0" w:space="0" w:color="auto"/>
          </w:divBdr>
          <w:divsChild>
            <w:div w:id="763845556">
              <w:marLeft w:val="0"/>
              <w:marRight w:val="0"/>
              <w:marTop w:val="0"/>
              <w:marBottom w:val="0"/>
              <w:divBdr>
                <w:top w:val="none" w:sz="0" w:space="0" w:color="auto"/>
                <w:left w:val="none" w:sz="0" w:space="0" w:color="auto"/>
                <w:bottom w:val="none" w:sz="0" w:space="0" w:color="auto"/>
                <w:right w:val="none" w:sz="0" w:space="0" w:color="auto"/>
              </w:divBdr>
            </w:div>
          </w:divsChild>
        </w:div>
        <w:div w:id="1000621697">
          <w:marLeft w:val="0"/>
          <w:marRight w:val="0"/>
          <w:marTop w:val="0"/>
          <w:marBottom w:val="0"/>
          <w:divBdr>
            <w:top w:val="none" w:sz="0" w:space="0" w:color="auto"/>
            <w:left w:val="none" w:sz="0" w:space="0" w:color="auto"/>
            <w:bottom w:val="none" w:sz="0" w:space="0" w:color="auto"/>
            <w:right w:val="none" w:sz="0" w:space="0" w:color="auto"/>
          </w:divBdr>
          <w:divsChild>
            <w:div w:id="1367413676">
              <w:marLeft w:val="0"/>
              <w:marRight w:val="0"/>
              <w:marTop w:val="0"/>
              <w:marBottom w:val="0"/>
              <w:divBdr>
                <w:top w:val="none" w:sz="0" w:space="0" w:color="auto"/>
                <w:left w:val="none" w:sz="0" w:space="0" w:color="auto"/>
                <w:bottom w:val="none" w:sz="0" w:space="0" w:color="auto"/>
                <w:right w:val="none" w:sz="0" w:space="0" w:color="auto"/>
              </w:divBdr>
            </w:div>
          </w:divsChild>
        </w:div>
        <w:div w:id="1053313134">
          <w:marLeft w:val="0"/>
          <w:marRight w:val="0"/>
          <w:marTop w:val="0"/>
          <w:marBottom w:val="0"/>
          <w:divBdr>
            <w:top w:val="none" w:sz="0" w:space="0" w:color="auto"/>
            <w:left w:val="none" w:sz="0" w:space="0" w:color="auto"/>
            <w:bottom w:val="none" w:sz="0" w:space="0" w:color="auto"/>
            <w:right w:val="none" w:sz="0" w:space="0" w:color="auto"/>
          </w:divBdr>
          <w:divsChild>
            <w:div w:id="2048723073">
              <w:marLeft w:val="0"/>
              <w:marRight w:val="0"/>
              <w:marTop w:val="0"/>
              <w:marBottom w:val="0"/>
              <w:divBdr>
                <w:top w:val="none" w:sz="0" w:space="0" w:color="auto"/>
                <w:left w:val="none" w:sz="0" w:space="0" w:color="auto"/>
                <w:bottom w:val="none" w:sz="0" w:space="0" w:color="auto"/>
                <w:right w:val="none" w:sz="0" w:space="0" w:color="auto"/>
              </w:divBdr>
            </w:div>
          </w:divsChild>
        </w:div>
        <w:div w:id="1092749336">
          <w:marLeft w:val="0"/>
          <w:marRight w:val="0"/>
          <w:marTop w:val="0"/>
          <w:marBottom w:val="0"/>
          <w:divBdr>
            <w:top w:val="none" w:sz="0" w:space="0" w:color="auto"/>
            <w:left w:val="none" w:sz="0" w:space="0" w:color="auto"/>
            <w:bottom w:val="none" w:sz="0" w:space="0" w:color="auto"/>
            <w:right w:val="none" w:sz="0" w:space="0" w:color="auto"/>
          </w:divBdr>
          <w:divsChild>
            <w:div w:id="1590045427">
              <w:marLeft w:val="0"/>
              <w:marRight w:val="0"/>
              <w:marTop w:val="0"/>
              <w:marBottom w:val="0"/>
              <w:divBdr>
                <w:top w:val="none" w:sz="0" w:space="0" w:color="auto"/>
                <w:left w:val="none" w:sz="0" w:space="0" w:color="auto"/>
                <w:bottom w:val="none" w:sz="0" w:space="0" w:color="auto"/>
                <w:right w:val="none" w:sz="0" w:space="0" w:color="auto"/>
              </w:divBdr>
            </w:div>
          </w:divsChild>
        </w:div>
        <w:div w:id="1121729695">
          <w:marLeft w:val="0"/>
          <w:marRight w:val="0"/>
          <w:marTop w:val="0"/>
          <w:marBottom w:val="0"/>
          <w:divBdr>
            <w:top w:val="none" w:sz="0" w:space="0" w:color="auto"/>
            <w:left w:val="none" w:sz="0" w:space="0" w:color="auto"/>
            <w:bottom w:val="none" w:sz="0" w:space="0" w:color="auto"/>
            <w:right w:val="none" w:sz="0" w:space="0" w:color="auto"/>
          </w:divBdr>
          <w:divsChild>
            <w:div w:id="142039812">
              <w:marLeft w:val="0"/>
              <w:marRight w:val="0"/>
              <w:marTop w:val="0"/>
              <w:marBottom w:val="0"/>
              <w:divBdr>
                <w:top w:val="none" w:sz="0" w:space="0" w:color="auto"/>
                <w:left w:val="none" w:sz="0" w:space="0" w:color="auto"/>
                <w:bottom w:val="none" w:sz="0" w:space="0" w:color="auto"/>
                <w:right w:val="none" w:sz="0" w:space="0" w:color="auto"/>
              </w:divBdr>
            </w:div>
            <w:div w:id="521281997">
              <w:marLeft w:val="0"/>
              <w:marRight w:val="0"/>
              <w:marTop w:val="0"/>
              <w:marBottom w:val="0"/>
              <w:divBdr>
                <w:top w:val="none" w:sz="0" w:space="0" w:color="auto"/>
                <w:left w:val="none" w:sz="0" w:space="0" w:color="auto"/>
                <w:bottom w:val="none" w:sz="0" w:space="0" w:color="auto"/>
                <w:right w:val="none" w:sz="0" w:space="0" w:color="auto"/>
              </w:divBdr>
            </w:div>
            <w:div w:id="1136414101">
              <w:marLeft w:val="0"/>
              <w:marRight w:val="0"/>
              <w:marTop w:val="0"/>
              <w:marBottom w:val="0"/>
              <w:divBdr>
                <w:top w:val="none" w:sz="0" w:space="0" w:color="auto"/>
                <w:left w:val="none" w:sz="0" w:space="0" w:color="auto"/>
                <w:bottom w:val="none" w:sz="0" w:space="0" w:color="auto"/>
                <w:right w:val="none" w:sz="0" w:space="0" w:color="auto"/>
              </w:divBdr>
            </w:div>
            <w:div w:id="1328636183">
              <w:marLeft w:val="0"/>
              <w:marRight w:val="0"/>
              <w:marTop w:val="0"/>
              <w:marBottom w:val="0"/>
              <w:divBdr>
                <w:top w:val="none" w:sz="0" w:space="0" w:color="auto"/>
                <w:left w:val="none" w:sz="0" w:space="0" w:color="auto"/>
                <w:bottom w:val="none" w:sz="0" w:space="0" w:color="auto"/>
                <w:right w:val="none" w:sz="0" w:space="0" w:color="auto"/>
              </w:divBdr>
            </w:div>
            <w:div w:id="1361279253">
              <w:marLeft w:val="0"/>
              <w:marRight w:val="0"/>
              <w:marTop w:val="0"/>
              <w:marBottom w:val="0"/>
              <w:divBdr>
                <w:top w:val="none" w:sz="0" w:space="0" w:color="auto"/>
                <w:left w:val="none" w:sz="0" w:space="0" w:color="auto"/>
                <w:bottom w:val="none" w:sz="0" w:space="0" w:color="auto"/>
                <w:right w:val="none" w:sz="0" w:space="0" w:color="auto"/>
              </w:divBdr>
            </w:div>
            <w:div w:id="1391534016">
              <w:marLeft w:val="0"/>
              <w:marRight w:val="0"/>
              <w:marTop w:val="0"/>
              <w:marBottom w:val="0"/>
              <w:divBdr>
                <w:top w:val="none" w:sz="0" w:space="0" w:color="auto"/>
                <w:left w:val="none" w:sz="0" w:space="0" w:color="auto"/>
                <w:bottom w:val="none" w:sz="0" w:space="0" w:color="auto"/>
                <w:right w:val="none" w:sz="0" w:space="0" w:color="auto"/>
              </w:divBdr>
            </w:div>
            <w:div w:id="1583493663">
              <w:marLeft w:val="0"/>
              <w:marRight w:val="0"/>
              <w:marTop w:val="0"/>
              <w:marBottom w:val="0"/>
              <w:divBdr>
                <w:top w:val="none" w:sz="0" w:space="0" w:color="auto"/>
                <w:left w:val="none" w:sz="0" w:space="0" w:color="auto"/>
                <w:bottom w:val="none" w:sz="0" w:space="0" w:color="auto"/>
                <w:right w:val="none" w:sz="0" w:space="0" w:color="auto"/>
              </w:divBdr>
            </w:div>
            <w:div w:id="1924223120">
              <w:marLeft w:val="0"/>
              <w:marRight w:val="0"/>
              <w:marTop w:val="0"/>
              <w:marBottom w:val="0"/>
              <w:divBdr>
                <w:top w:val="none" w:sz="0" w:space="0" w:color="auto"/>
                <w:left w:val="none" w:sz="0" w:space="0" w:color="auto"/>
                <w:bottom w:val="none" w:sz="0" w:space="0" w:color="auto"/>
                <w:right w:val="none" w:sz="0" w:space="0" w:color="auto"/>
              </w:divBdr>
            </w:div>
            <w:div w:id="2133212003">
              <w:marLeft w:val="0"/>
              <w:marRight w:val="0"/>
              <w:marTop w:val="0"/>
              <w:marBottom w:val="0"/>
              <w:divBdr>
                <w:top w:val="none" w:sz="0" w:space="0" w:color="auto"/>
                <w:left w:val="none" w:sz="0" w:space="0" w:color="auto"/>
                <w:bottom w:val="none" w:sz="0" w:space="0" w:color="auto"/>
                <w:right w:val="none" w:sz="0" w:space="0" w:color="auto"/>
              </w:divBdr>
            </w:div>
          </w:divsChild>
        </w:div>
        <w:div w:id="1167524078">
          <w:marLeft w:val="0"/>
          <w:marRight w:val="0"/>
          <w:marTop w:val="0"/>
          <w:marBottom w:val="0"/>
          <w:divBdr>
            <w:top w:val="none" w:sz="0" w:space="0" w:color="auto"/>
            <w:left w:val="none" w:sz="0" w:space="0" w:color="auto"/>
            <w:bottom w:val="none" w:sz="0" w:space="0" w:color="auto"/>
            <w:right w:val="none" w:sz="0" w:space="0" w:color="auto"/>
          </w:divBdr>
          <w:divsChild>
            <w:div w:id="1839536415">
              <w:marLeft w:val="0"/>
              <w:marRight w:val="0"/>
              <w:marTop w:val="0"/>
              <w:marBottom w:val="0"/>
              <w:divBdr>
                <w:top w:val="none" w:sz="0" w:space="0" w:color="auto"/>
                <w:left w:val="none" w:sz="0" w:space="0" w:color="auto"/>
                <w:bottom w:val="none" w:sz="0" w:space="0" w:color="auto"/>
                <w:right w:val="none" w:sz="0" w:space="0" w:color="auto"/>
              </w:divBdr>
            </w:div>
          </w:divsChild>
        </w:div>
        <w:div w:id="1237328028">
          <w:marLeft w:val="0"/>
          <w:marRight w:val="0"/>
          <w:marTop w:val="0"/>
          <w:marBottom w:val="0"/>
          <w:divBdr>
            <w:top w:val="none" w:sz="0" w:space="0" w:color="auto"/>
            <w:left w:val="none" w:sz="0" w:space="0" w:color="auto"/>
            <w:bottom w:val="none" w:sz="0" w:space="0" w:color="auto"/>
            <w:right w:val="none" w:sz="0" w:space="0" w:color="auto"/>
          </w:divBdr>
          <w:divsChild>
            <w:div w:id="520708768">
              <w:marLeft w:val="0"/>
              <w:marRight w:val="0"/>
              <w:marTop w:val="0"/>
              <w:marBottom w:val="0"/>
              <w:divBdr>
                <w:top w:val="none" w:sz="0" w:space="0" w:color="auto"/>
                <w:left w:val="none" w:sz="0" w:space="0" w:color="auto"/>
                <w:bottom w:val="none" w:sz="0" w:space="0" w:color="auto"/>
                <w:right w:val="none" w:sz="0" w:space="0" w:color="auto"/>
              </w:divBdr>
            </w:div>
          </w:divsChild>
        </w:div>
        <w:div w:id="1258245643">
          <w:marLeft w:val="0"/>
          <w:marRight w:val="0"/>
          <w:marTop w:val="0"/>
          <w:marBottom w:val="0"/>
          <w:divBdr>
            <w:top w:val="none" w:sz="0" w:space="0" w:color="auto"/>
            <w:left w:val="none" w:sz="0" w:space="0" w:color="auto"/>
            <w:bottom w:val="none" w:sz="0" w:space="0" w:color="auto"/>
            <w:right w:val="none" w:sz="0" w:space="0" w:color="auto"/>
          </w:divBdr>
          <w:divsChild>
            <w:div w:id="217938507">
              <w:marLeft w:val="0"/>
              <w:marRight w:val="0"/>
              <w:marTop w:val="0"/>
              <w:marBottom w:val="0"/>
              <w:divBdr>
                <w:top w:val="none" w:sz="0" w:space="0" w:color="auto"/>
                <w:left w:val="none" w:sz="0" w:space="0" w:color="auto"/>
                <w:bottom w:val="none" w:sz="0" w:space="0" w:color="auto"/>
                <w:right w:val="none" w:sz="0" w:space="0" w:color="auto"/>
              </w:divBdr>
            </w:div>
          </w:divsChild>
        </w:div>
        <w:div w:id="1262107977">
          <w:marLeft w:val="0"/>
          <w:marRight w:val="0"/>
          <w:marTop w:val="0"/>
          <w:marBottom w:val="0"/>
          <w:divBdr>
            <w:top w:val="none" w:sz="0" w:space="0" w:color="auto"/>
            <w:left w:val="none" w:sz="0" w:space="0" w:color="auto"/>
            <w:bottom w:val="none" w:sz="0" w:space="0" w:color="auto"/>
            <w:right w:val="none" w:sz="0" w:space="0" w:color="auto"/>
          </w:divBdr>
          <w:divsChild>
            <w:div w:id="408503862">
              <w:marLeft w:val="0"/>
              <w:marRight w:val="0"/>
              <w:marTop w:val="0"/>
              <w:marBottom w:val="0"/>
              <w:divBdr>
                <w:top w:val="none" w:sz="0" w:space="0" w:color="auto"/>
                <w:left w:val="none" w:sz="0" w:space="0" w:color="auto"/>
                <w:bottom w:val="none" w:sz="0" w:space="0" w:color="auto"/>
                <w:right w:val="none" w:sz="0" w:space="0" w:color="auto"/>
              </w:divBdr>
            </w:div>
            <w:div w:id="813647169">
              <w:marLeft w:val="0"/>
              <w:marRight w:val="0"/>
              <w:marTop w:val="0"/>
              <w:marBottom w:val="0"/>
              <w:divBdr>
                <w:top w:val="none" w:sz="0" w:space="0" w:color="auto"/>
                <w:left w:val="none" w:sz="0" w:space="0" w:color="auto"/>
                <w:bottom w:val="none" w:sz="0" w:space="0" w:color="auto"/>
                <w:right w:val="none" w:sz="0" w:space="0" w:color="auto"/>
              </w:divBdr>
            </w:div>
            <w:div w:id="824932622">
              <w:marLeft w:val="0"/>
              <w:marRight w:val="0"/>
              <w:marTop w:val="0"/>
              <w:marBottom w:val="0"/>
              <w:divBdr>
                <w:top w:val="none" w:sz="0" w:space="0" w:color="auto"/>
                <w:left w:val="none" w:sz="0" w:space="0" w:color="auto"/>
                <w:bottom w:val="none" w:sz="0" w:space="0" w:color="auto"/>
                <w:right w:val="none" w:sz="0" w:space="0" w:color="auto"/>
              </w:divBdr>
            </w:div>
            <w:div w:id="1931350879">
              <w:marLeft w:val="0"/>
              <w:marRight w:val="0"/>
              <w:marTop w:val="0"/>
              <w:marBottom w:val="0"/>
              <w:divBdr>
                <w:top w:val="none" w:sz="0" w:space="0" w:color="auto"/>
                <w:left w:val="none" w:sz="0" w:space="0" w:color="auto"/>
                <w:bottom w:val="none" w:sz="0" w:space="0" w:color="auto"/>
                <w:right w:val="none" w:sz="0" w:space="0" w:color="auto"/>
              </w:divBdr>
            </w:div>
            <w:div w:id="2095934204">
              <w:marLeft w:val="0"/>
              <w:marRight w:val="0"/>
              <w:marTop w:val="0"/>
              <w:marBottom w:val="0"/>
              <w:divBdr>
                <w:top w:val="none" w:sz="0" w:space="0" w:color="auto"/>
                <w:left w:val="none" w:sz="0" w:space="0" w:color="auto"/>
                <w:bottom w:val="none" w:sz="0" w:space="0" w:color="auto"/>
                <w:right w:val="none" w:sz="0" w:space="0" w:color="auto"/>
              </w:divBdr>
            </w:div>
          </w:divsChild>
        </w:div>
        <w:div w:id="1285504516">
          <w:marLeft w:val="0"/>
          <w:marRight w:val="0"/>
          <w:marTop w:val="0"/>
          <w:marBottom w:val="0"/>
          <w:divBdr>
            <w:top w:val="none" w:sz="0" w:space="0" w:color="auto"/>
            <w:left w:val="none" w:sz="0" w:space="0" w:color="auto"/>
            <w:bottom w:val="none" w:sz="0" w:space="0" w:color="auto"/>
            <w:right w:val="none" w:sz="0" w:space="0" w:color="auto"/>
          </w:divBdr>
          <w:divsChild>
            <w:div w:id="337774673">
              <w:marLeft w:val="0"/>
              <w:marRight w:val="0"/>
              <w:marTop w:val="0"/>
              <w:marBottom w:val="0"/>
              <w:divBdr>
                <w:top w:val="none" w:sz="0" w:space="0" w:color="auto"/>
                <w:left w:val="none" w:sz="0" w:space="0" w:color="auto"/>
                <w:bottom w:val="none" w:sz="0" w:space="0" w:color="auto"/>
                <w:right w:val="none" w:sz="0" w:space="0" w:color="auto"/>
              </w:divBdr>
            </w:div>
            <w:div w:id="362051030">
              <w:marLeft w:val="0"/>
              <w:marRight w:val="0"/>
              <w:marTop w:val="0"/>
              <w:marBottom w:val="0"/>
              <w:divBdr>
                <w:top w:val="none" w:sz="0" w:space="0" w:color="auto"/>
                <w:left w:val="none" w:sz="0" w:space="0" w:color="auto"/>
                <w:bottom w:val="none" w:sz="0" w:space="0" w:color="auto"/>
                <w:right w:val="none" w:sz="0" w:space="0" w:color="auto"/>
              </w:divBdr>
            </w:div>
            <w:div w:id="636952116">
              <w:marLeft w:val="0"/>
              <w:marRight w:val="0"/>
              <w:marTop w:val="0"/>
              <w:marBottom w:val="0"/>
              <w:divBdr>
                <w:top w:val="none" w:sz="0" w:space="0" w:color="auto"/>
                <w:left w:val="none" w:sz="0" w:space="0" w:color="auto"/>
                <w:bottom w:val="none" w:sz="0" w:space="0" w:color="auto"/>
                <w:right w:val="none" w:sz="0" w:space="0" w:color="auto"/>
              </w:divBdr>
            </w:div>
            <w:div w:id="920261063">
              <w:marLeft w:val="0"/>
              <w:marRight w:val="0"/>
              <w:marTop w:val="0"/>
              <w:marBottom w:val="0"/>
              <w:divBdr>
                <w:top w:val="none" w:sz="0" w:space="0" w:color="auto"/>
                <w:left w:val="none" w:sz="0" w:space="0" w:color="auto"/>
                <w:bottom w:val="none" w:sz="0" w:space="0" w:color="auto"/>
                <w:right w:val="none" w:sz="0" w:space="0" w:color="auto"/>
              </w:divBdr>
            </w:div>
            <w:div w:id="1317034299">
              <w:marLeft w:val="0"/>
              <w:marRight w:val="0"/>
              <w:marTop w:val="0"/>
              <w:marBottom w:val="0"/>
              <w:divBdr>
                <w:top w:val="none" w:sz="0" w:space="0" w:color="auto"/>
                <w:left w:val="none" w:sz="0" w:space="0" w:color="auto"/>
                <w:bottom w:val="none" w:sz="0" w:space="0" w:color="auto"/>
                <w:right w:val="none" w:sz="0" w:space="0" w:color="auto"/>
              </w:divBdr>
            </w:div>
          </w:divsChild>
        </w:div>
        <w:div w:id="1288001684">
          <w:marLeft w:val="0"/>
          <w:marRight w:val="0"/>
          <w:marTop w:val="0"/>
          <w:marBottom w:val="0"/>
          <w:divBdr>
            <w:top w:val="none" w:sz="0" w:space="0" w:color="auto"/>
            <w:left w:val="none" w:sz="0" w:space="0" w:color="auto"/>
            <w:bottom w:val="none" w:sz="0" w:space="0" w:color="auto"/>
            <w:right w:val="none" w:sz="0" w:space="0" w:color="auto"/>
          </w:divBdr>
          <w:divsChild>
            <w:div w:id="1679651727">
              <w:marLeft w:val="0"/>
              <w:marRight w:val="0"/>
              <w:marTop w:val="0"/>
              <w:marBottom w:val="0"/>
              <w:divBdr>
                <w:top w:val="none" w:sz="0" w:space="0" w:color="auto"/>
                <w:left w:val="none" w:sz="0" w:space="0" w:color="auto"/>
                <w:bottom w:val="none" w:sz="0" w:space="0" w:color="auto"/>
                <w:right w:val="none" w:sz="0" w:space="0" w:color="auto"/>
              </w:divBdr>
            </w:div>
          </w:divsChild>
        </w:div>
        <w:div w:id="1309938732">
          <w:marLeft w:val="0"/>
          <w:marRight w:val="0"/>
          <w:marTop w:val="0"/>
          <w:marBottom w:val="0"/>
          <w:divBdr>
            <w:top w:val="none" w:sz="0" w:space="0" w:color="auto"/>
            <w:left w:val="none" w:sz="0" w:space="0" w:color="auto"/>
            <w:bottom w:val="none" w:sz="0" w:space="0" w:color="auto"/>
            <w:right w:val="none" w:sz="0" w:space="0" w:color="auto"/>
          </w:divBdr>
          <w:divsChild>
            <w:div w:id="1566068810">
              <w:marLeft w:val="0"/>
              <w:marRight w:val="0"/>
              <w:marTop w:val="0"/>
              <w:marBottom w:val="0"/>
              <w:divBdr>
                <w:top w:val="none" w:sz="0" w:space="0" w:color="auto"/>
                <w:left w:val="none" w:sz="0" w:space="0" w:color="auto"/>
                <w:bottom w:val="none" w:sz="0" w:space="0" w:color="auto"/>
                <w:right w:val="none" w:sz="0" w:space="0" w:color="auto"/>
              </w:divBdr>
            </w:div>
          </w:divsChild>
        </w:div>
        <w:div w:id="1350065957">
          <w:marLeft w:val="0"/>
          <w:marRight w:val="0"/>
          <w:marTop w:val="0"/>
          <w:marBottom w:val="0"/>
          <w:divBdr>
            <w:top w:val="none" w:sz="0" w:space="0" w:color="auto"/>
            <w:left w:val="none" w:sz="0" w:space="0" w:color="auto"/>
            <w:bottom w:val="none" w:sz="0" w:space="0" w:color="auto"/>
            <w:right w:val="none" w:sz="0" w:space="0" w:color="auto"/>
          </w:divBdr>
          <w:divsChild>
            <w:div w:id="80374458">
              <w:marLeft w:val="0"/>
              <w:marRight w:val="0"/>
              <w:marTop w:val="0"/>
              <w:marBottom w:val="0"/>
              <w:divBdr>
                <w:top w:val="none" w:sz="0" w:space="0" w:color="auto"/>
                <w:left w:val="none" w:sz="0" w:space="0" w:color="auto"/>
                <w:bottom w:val="none" w:sz="0" w:space="0" w:color="auto"/>
                <w:right w:val="none" w:sz="0" w:space="0" w:color="auto"/>
              </w:divBdr>
            </w:div>
            <w:div w:id="207885184">
              <w:marLeft w:val="0"/>
              <w:marRight w:val="0"/>
              <w:marTop w:val="0"/>
              <w:marBottom w:val="0"/>
              <w:divBdr>
                <w:top w:val="none" w:sz="0" w:space="0" w:color="auto"/>
                <w:left w:val="none" w:sz="0" w:space="0" w:color="auto"/>
                <w:bottom w:val="none" w:sz="0" w:space="0" w:color="auto"/>
                <w:right w:val="none" w:sz="0" w:space="0" w:color="auto"/>
              </w:divBdr>
            </w:div>
            <w:div w:id="274752692">
              <w:marLeft w:val="0"/>
              <w:marRight w:val="0"/>
              <w:marTop w:val="0"/>
              <w:marBottom w:val="0"/>
              <w:divBdr>
                <w:top w:val="none" w:sz="0" w:space="0" w:color="auto"/>
                <w:left w:val="none" w:sz="0" w:space="0" w:color="auto"/>
                <w:bottom w:val="none" w:sz="0" w:space="0" w:color="auto"/>
                <w:right w:val="none" w:sz="0" w:space="0" w:color="auto"/>
              </w:divBdr>
            </w:div>
            <w:div w:id="746850217">
              <w:marLeft w:val="0"/>
              <w:marRight w:val="0"/>
              <w:marTop w:val="0"/>
              <w:marBottom w:val="0"/>
              <w:divBdr>
                <w:top w:val="none" w:sz="0" w:space="0" w:color="auto"/>
                <w:left w:val="none" w:sz="0" w:space="0" w:color="auto"/>
                <w:bottom w:val="none" w:sz="0" w:space="0" w:color="auto"/>
                <w:right w:val="none" w:sz="0" w:space="0" w:color="auto"/>
              </w:divBdr>
            </w:div>
            <w:div w:id="860169448">
              <w:marLeft w:val="0"/>
              <w:marRight w:val="0"/>
              <w:marTop w:val="0"/>
              <w:marBottom w:val="0"/>
              <w:divBdr>
                <w:top w:val="none" w:sz="0" w:space="0" w:color="auto"/>
                <w:left w:val="none" w:sz="0" w:space="0" w:color="auto"/>
                <w:bottom w:val="none" w:sz="0" w:space="0" w:color="auto"/>
                <w:right w:val="none" w:sz="0" w:space="0" w:color="auto"/>
              </w:divBdr>
            </w:div>
            <w:div w:id="1228490863">
              <w:marLeft w:val="0"/>
              <w:marRight w:val="0"/>
              <w:marTop w:val="0"/>
              <w:marBottom w:val="0"/>
              <w:divBdr>
                <w:top w:val="none" w:sz="0" w:space="0" w:color="auto"/>
                <w:left w:val="none" w:sz="0" w:space="0" w:color="auto"/>
                <w:bottom w:val="none" w:sz="0" w:space="0" w:color="auto"/>
                <w:right w:val="none" w:sz="0" w:space="0" w:color="auto"/>
              </w:divBdr>
            </w:div>
            <w:div w:id="1816146647">
              <w:marLeft w:val="0"/>
              <w:marRight w:val="0"/>
              <w:marTop w:val="0"/>
              <w:marBottom w:val="0"/>
              <w:divBdr>
                <w:top w:val="none" w:sz="0" w:space="0" w:color="auto"/>
                <w:left w:val="none" w:sz="0" w:space="0" w:color="auto"/>
                <w:bottom w:val="none" w:sz="0" w:space="0" w:color="auto"/>
                <w:right w:val="none" w:sz="0" w:space="0" w:color="auto"/>
              </w:divBdr>
            </w:div>
            <w:div w:id="1833327739">
              <w:marLeft w:val="0"/>
              <w:marRight w:val="0"/>
              <w:marTop w:val="0"/>
              <w:marBottom w:val="0"/>
              <w:divBdr>
                <w:top w:val="none" w:sz="0" w:space="0" w:color="auto"/>
                <w:left w:val="none" w:sz="0" w:space="0" w:color="auto"/>
                <w:bottom w:val="none" w:sz="0" w:space="0" w:color="auto"/>
                <w:right w:val="none" w:sz="0" w:space="0" w:color="auto"/>
              </w:divBdr>
            </w:div>
            <w:div w:id="1913734769">
              <w:marLeft w:val="0"/>
              <w:marRight w:val="0"/>
              <w:marTop w:val="0"/>
              <w:marBottom w:val="0"/>
              <w:divBdr>
                <w:top w:val="none" w:sz="0" w:space="0" w:color="auto"/>
                <w:left w:val="none" w:sz="0" w:space="0" w:color="auto"/>
                <w:bottom w:val="none" w:sz="0" w:space="0" w:color="auto"/>
                <w:right w:val="none" w:sz="0" w:space="0" w:color="auto"/>
              </w:divBdr>
            </w:div>
            <w:div w:id="2029018643">
              <w:marLeft w:val="0"/>
              <w:marRight w:val="0"/>
              <w:marTop w:val="0"/>
              <w:marBottom w:val="0"/>
              <w:divBdr>
                <w:top w:val="none" w:sz="0" w:space="0" w:color="auto"/>
                <w:left w:val="none" w:sz="0" w:space="0" w:color="auto"/>
                <w:bottom w:val="none" w:sz="0" w:space="0" w:color="auto"/>
                <w:right w:val="none" w:sz="0" w:space="0" w:color="auto"/>
              </w:divBdr>
            </w:div>
            <w:div w:id="2060933669">
              <w:marLeft w:val="0"/>
              <w:marRight w:val="0"/>
              <w:marTop w:val="0"/>
              <w:marBottom w:val="0"/>
              <w:divBdr>
                <w:top w:val="none" w:sz="0" w:space="0" w:color="auto"/>
                <w:left w:val="none" w:sz="0" w:space="0" w:color="auto"/>
                <w:bottom w:val="none" w:sz="0" w:space="0" w:color="auto"/>
                <w:right w:val="none" w:sz="0" w:space="0" w:color="auto"/>
              </w:divBdr>
            </w:div>
          </w:divsChild>
        </w:div>
        <w:div w:id="1397706440">
          <w:marLeft w:val="0"/>
          <w:marRight w:val="0"/>
          <w:marTop w:val="0"/>
          <w:marBottom w:val="0"/>
          <w:divBdr>
            <w:top w:val="none" w:sz="0" w:space="0" w:color="auto"/>
            <w:left w:val="none" w:sz="0" w:space="0" w:color="auto"/>
            <w:bottom w:val="none" w:sz="0" w:space="0" w:color="auto"/>
            <w:right w:val="none" w:sz="0" w:space="0" w:color="auto"/>
          </w:divBdr>
          <w:divsChild>
            <w:div w:id="558979151">
              <w:marLeft w:val="0"/>
              <w:marRight w:val="0"/>
              <w:marTop w:val="0"/>
              <w:marBottom w:val="0"/>
              <w:divBdr>
                <w:top w:val="none" w:sz="0" w:space="0" w:color="auto"/>
                <w:left w:val="none" w:sz="0" w:space="0" w:color="auto"/>
                <w:bottom w:val="none" w:sz="0" w:space="0" w:color="auto"/>
                <w:right w:val="none" w:sz="0" w:space="0" w:color="auto"/>
              </w:divBdr>
            </w:div>
            <w:div w:id="2137983299">
              <w:marLeft w:val="0"/>
              <w:marRight w:val="0"/>
              <w:marTop w:val="0"/>
              <w:marBottom w:val="0"/>
              <w:divBdr>
                <w:top w:val="none" w:sz="0" w:space="0" w:color="auto"/>
                <w:left w:val="none" w:sz="0" w:space="0" w:color="auto"/>
                <w:bottom w:val="none" w:sz="0" w:space="0" w:color="auto"/>
                <w:right w:val="none" w:sz="0" w:space="0" w:color="auto"/>
              </w:divBdr>
            </w:div>
          </w:divsChild>
        </w:div>
        <w:div w:id="1419523588">
          <w:marLeft w:val="0"/>
          <w:marRight w:val="0"/>
          <w:marTop w:val="0"/>
          <w:marBottom w:val="0"/>
          <w:divBdr>
            <w:top w:val="none" w:sz="0" w:space="0" w:color="auto"/>
            <w:left w:val="none" w:sz="0" w:space="0" w:color="auto"/>
            <w:bottom w:val="none" w:sz="0" w:space="0" w:color="auto"/>
            <w:right w:val="none" w:sz="0" w:space="0" w:color="auto"/>
          </w:divBdr>
          <w:divsChild>
            <w:div w:id="1991127092">
              <w:marLeft w:val="0"/>
              <w:marRight w:val="0"/>
              <w:marTop w:val="0"/>
              <w:marBottom w:val="0"/>
              <w:divBdr>
                <w:top w:val="none" w:sz="0" w:space="0" w:color="auto"/>
                <w:left w:val="none" w:sz="0" w:space="0" w:color="auto"/>
                <w:bottom w:val="none" w:sz="0" w:space="0" w:color="auto"/>
                <w:right w:val="none" w:sz="0" w:space="0" w:color="auto"/>
              </w:divBdr>
            </w:div>
          </w:divsChild>
        </w:div>
        <w:div w:id="1422214472">
          <w:marLeft w:val="0"/>
          <w:marRight w:val="0"/>
          <w:marTop w:val="0"/>
          <w:marBottom w:val="0"/>
          <w:divBdr>
            <w:top w:val="none" w:sz="0" w:space="0" w:color="auto"/>
            <w:left w:val="none" w:sz="0" w:space="0" w:color="auto"/>
            <w:bottom w:val="none" w:sz="0" w:space="0" w:color="auto"/>
            <w:right w:val="none" w:sz="0" w:space="0" w:color="auto"/>
          </w:divBdr>
          <w:divsChild>
            <w:div w:id="1967269479">
              <w:marLeft w:val="0"/>
              <w:marRight w:val="0"/>
              <w:marTop w:val="0"/>
              <w:marBottom w:val="0"/>
              <w:divBdr>
                <w:top w:val="none" w:sz="0" w:space="0" w:color="auto"/>
                <w:left w:val="none" w:sz="0" w:space="0" w:color="auto"/>
                <w:bottom w:val="none" w:sz="0" w:space="0" w:color="auto"/>
                <w:right w:val="none" w:sz="0" w:space="0" w:color="auto"/>
              </w:divBdr>
            </w:div>
          </w:divsChild>
        </w:div>
        <w:div w:id="1480882606">
          <w:marLeft w:val="0"/>
          <w:marRight w:val="0"/>
          <w:marTop w:val="0"/>
          <w:marBottom w:val="0"/>
          <w:divBdr>
            <w:top w:val="none" w:sz="0" w:space="0" w:color="auto"/>
            <w:left w:val="none" w:sz="0" w:space="0" w:color="auto"/>
            <w:bottom w:val="none" w:sz="0" w:space="0" w:color="auto"/>
            <w:right w:val="none" w:sz="0" w:space="0" w:color="auto"/>
          </w:divBdr>
          <w:divsChild>
            <w:div w:id="17657926">
              <w:marLeft w:val="0"/>
              <w:marRight w:val="0"/>
              <w:marTop w:val="0"/>
              <w:marBottom w:val="0"/>
              <w:divBdr>
                <w:top w:val="none" w:sz="0" w:space="0" w:color="auto"/>
                <w:left w:val="none" w:sz="0" w:space="0" w:color="auto"/>
                <w:bottom w:val="none" w:sz="0" w:space="0" w:color="auto"/>
                <w:right w:val="none" w:sz="0" w:space="0" w:color="auto"/>
              </w:divBdr>
            </w:div>
            <w:div w:id="1231816857">
              <w:marLeft w:val="0"/>
              <w:marRight w:val="0"/>
              <w:marTop w:val="0"/>
              <w:marBottom w:val="0"/>
              <w:divBdr>
                <w:top w:val="none" w:sz="0" w:space="0" w:color="auto"/>
                <w:left w:val="none" w:sz="0" w:space="0" w:color="auto"/>
                <w:bottom w:val="none" w:sz="0" w:space="0" w:color="auto"/>
                <w:right w:val="none" w:sz="0" w:space="0" w:color="auto"/>
              </w:divBdr>
            </w:div>
            <w:div w:id="1364939491">
              <w:marLeft w:val="0"/>
              <w:marRight w:val="0"/>
              <w:marTop w:val="0"/>
              <w:marBottom w:val="0"/>
              <w:divBdr>
                <w:top w:val="none" w:sz="0" w:space="0" w:color="auto"/>
                <w:left w:val="none" w:sz="0" w:space="0" w:color="auto"/>
                <w:bottom w:val="none" w:sz="0" w:space="0" w:color="auto"/>
                <w:right w:val="none" w:sz="0" w:space="0" w:color="auto"/>
              </w:divBdr>
            </w:div>
            <w:div w:id="1387296131">
              <w:marLeft w:val="0"/>
              <w:marRight w:val="0"/>
              <w:marTop w:val="0"/>
              <w:marBottom w:val="0"/>
              <w:divBdr>
                <w:top w:val="none" w:sz="0" w:space="0" w:color="auto"/>
                <w:left w:val="none" w:sz="0" w:space="0" w:color="auto"/>
                <w:bottom w:val="none" w:sz="0" w:space="0" w:color="auto"/>
                <w:right w:val="none" w:sz="0" w:space="0" w:color="auto"/>
              </w:divBdr>
            </w:div>
            <w:div w:id="1923833401">
              <w:marLeft w:val="0"/>
              <w:marRight w:val="0"/>
              <w:marTop w:val="0"/>
              <w:marBottom w:val="0"/>
              <w:divBdr>
                <w:top w:val="none" w:sz="0" w:space="0" w:color="auto"/>
                <w:left w:val="none" w:sz="0" w:space="0" w:color="auto"/>
                <w:bottom w:val="none" w:sz="0" w:space="0" w:color="auto"/>
                <w:right w:val="none" w:sz="0" w:space="0" w:color="auto"/>
              </w:divBdr>
            </w:div>
            <w:div w:id="2076003326">
              <w:marLeft w:val="0"/>
              <w:marRight w:val="0"/>
              <w:marTop w:val="0"/>
              <w:marBottom w:val="0"/>
              <w:divBdr>
                <w:top w:val="none" w:sz="0" w:space="0" w:color="auto"/>
                <w:left w:val="none" w:sz="0" w:space="0" w:color="auto"/>
                <w:bottom w:val="none" w:sz="0" w:space="0" w:color="auto"/>
                <w:right w:val="none" w:sz="0" w:space="0" w:color="auto"/>
              </w:divBdr>
            </w:div>
          </w:divsChild>
        </w:div>
        <w:div w:id="1518350886">
          <w:marLeft w:val="0"/>
          <w:marRight w:val="0"/>
          <w:marTop w:val="0"/>
          <w:marBottom w:val="0"/>
          <w:divBdr>
            <w:top w:val="none" w:sz="0" w:space="0" w:color="auto"/>
            <w:left w:val="none" w:sz="0" w:space="0" w:color="auto"/>
            <w:bottom w:val="none" w:sz="0" w:space="0" w:color="auto"/>
            <w:right w:val="none" w:sz="0" w:space="0" w:color="auto"/>
          </w:divBdr>
          <w:divsChild>
            <w:div w:id="341585732">
              <w:marLeft w:val="0"/>
              <w:marRight w:val="0"/>
              <w:marTop w:val="0"/>
              <w:marBottom w:val="0"/>
              <w:divBdr>
                <w:top w:val="none" w:sz="0" w:space="0" w:color="auto"/>
                <w:left w:val="none" w:sz="0" w:space="0" w:color="auto"/>
                <w:bottom w:val="none" w:sz="0" w:space="0" w:color="auto"/>
                <w:right w:val="none" w:sz="0" w:space="0" w:color="auto"/>
              </w:divBdr>
            </w:div>
          </w:divsChild>
        </w:div>
        <w:div w:id="1526824077">
          <w:marLeft w:val="0"/>
          <w:marRight w:val="0"/>
          <w:marTop w:val="0"/>
          <w:marBottom w:val="0"/>
          <w:divBdr>
            <w:top w:val="none" w:sz="0" w:space="0" w:color="auto"/>
            <w:left w:val="none" w:sz="0" w:space="0" w:color="auto"/>
            <w:bottom w:val="none" w:sz="0" w:space="0" w:color="auto"/>
            <w:right w:val="none" w:sz="0" w:space="0" w:color="auto"/>
          </w:divBdr>
          <w:divsChild>
            <w:div w:id="943153701">
              <w:marLeft w:val="0"/>
              <w:marRight w:val="0"/>
              <w:marTop w:val="0"/>
              <w:marBottom w:val="0"/>
              <w:divBdr>
                <w:top w:val="none" w:sz="0" w:space="0" w:color="auto"/>
                <w:left w:val="none" w:sz="0" w:space="0" w:color="auto"/>
                <w:bottom w:val="none" w:sz="0" w:space="0" w:color="auto"/>
                <w:right w:val="none" w:sz="0" w:space="0" w:color="auto"/>
              </w:divBdr>
            </w:div>
          </w:divsChild>
        </w:div>
        <w:div w:id="1649940371">
          <w:marLeft w:val="0"/>
          <w:marRight w:val="0"/>
          <w:marTop w:val="0"/>
          <w:marBottom w:val="0"/>
          <w:divBdr>
            <w:top w:val="none" w:sz="0" w:space="0" w:color="auto"/>
            <w:left w:val="none" w:sz="0" w:space="0" w:color="auto"/>
            <w:bottom w:val="none" w:sz="0" w:space="0" w:color="auto"/>
            <w:right w:val="none" w:sz="0" w:space="0" w:color="auto"/>
          </w:divBdr>
          <w:divsChild>
            <w:div w:id="545063875">
              <w:marLeft w:val="0"/>
              <w:marRight w:val="0"/>
              <w:marTop w:val="0"/>
              <w:marBottom w:val="0"/>
              <w:divBdr>
                <w:top w:val="none" w:sz="0" w:space="0" w:color="auto"/>
                <w:left w:val="none" w:sz="0" w:space="0" w:color="auto"/>
                <w:bottom w:val="none" w:sz="0" w:space="0" w:color="auto"/>
                <w:right w:val="none" w:sz="0" w:space="0" w:color="auto"/>
              </w:divBdr>
            </w:div>
            <w:div w:id="612251345">
              <w:marLeft w:val="0"/>
              <w:marRight w:val="0"/>
              <w:marTop w:val="0"/>
              <w:marBottom w:val="0"/>
              <w:divBdr>
                <w:top w:val="none" w:sz="0" w:space="0" w:color="auto"/>
                <w:left w:val="none" w:sz="0" w:space="0" w:color="auto"/>
                <w:bottom w:val="none" w:sz="0" w:space="0" w:color="auto"/>
                <w:right w:val="none" w:sz="0" w:space="0" w:color="auto"/>
              </w:divBdr>
            </w:div>
            <w:div w:id="619844525">
              <w:marLeft w:val="0"/>
              <w:marRight w:val="0"/>
              <w:marTop w:val="0"/>
              <w:marBottom w:val="0"/>
              <w:divBdr>
                <w:top w:val="none" w:sz="0" w:space="0" w:color="auto"/>
                <w:left w:val="none" w:sz="0" w:space="0" w:color="auto"/>
                <w:bottom w:val="none" w:sz="0" w:space="0" w:color="auto"/>
                <w:right w:val="none" w:sz="0" w:space="0" w:color="auto"/>
              </w:divBdr>
            </w:div>
            <w:div w:id="1021903980">
              <w:marLeft w:val="0"/>
              <w:marRight w:val="0"/>
              <w:marTop w:val="0"/>
              <w:marBottom w:val="0"/>
              <w:divBdr>
                <w:top w:val="none" w:sz="0" w:space="0" w:color="auto"/>
                <w:left w:val="none" w:sz="0" w:space="0" w:color="auto"/>
                <w:bottom w:val="none" w:sz="0" w:space="0" w:color="auto"/>
                <w:right w:val="none" w:sz="0" w:space="0" w:color="auto"/>
              </w:divBdr>
            </w:div>
            <w:div w:id="1589728328">
              <w:marLeft w:val="0"/>
              <w:marRight w:val="0"/>
              <w:marTop w:val="0"/>
              <w:marBottom w:val="0"/>
              <w:divBdr>
                <w:top w:val="none" w:sz="0" w:space="0" w:color="auto"/>
                <w:left w:val="none" w:sz="0" w:space="0" w:color="auto"/>
                <w:bottom w:val="none" w:sz="0" w:space="0" w:color="auto"/>
                <w:right w:val="none" w:sz="0" w:space="0" w:color="auto"/>
              </w:divBdr>
            </w:div>
            <w:div w:id="1985621934">
              <w:marLeft w:val="0"/>
              <w:marRight w:val="0"/>
              <w:marTop w:val="0"/>
              <w:marBottom w:val="0"/>
              <w:divBdr>
                <w:top w:val="none" w:sz="0" w:space="0" w:color="auto"/>
                <w:left w:val="none" w:sz="0" w:space="0" w:color="auto"/>
                <w:bottom w:val="none" w:sz="0" w:space="0" w:color="auto"/>
                <w:right w:val="none" w:sz="0" w:space="0" w:color="auto"/>
              </w:divBdr>
            </w:div>
            <w:div w:id="2099936823">
              <w:marLeft w:val="0"/>
              <w:marRight w:val="0"/>
              <w:marTop w:val="0"/>
              <w:marBottom w:val="0"/>
              <w:divBdr>
                <w:top w:val="none" w:sz="0" w:space="0" w:color="auto"/>
                <w:left w:val="none" w:sz="0" w:space="0" w:color="auto"/>
                <w:bottom w:val="none" w:sz="0" w:space="0" w:color="auto"/>
                <w:right w:val="none" w:sz="0" w:space="0" w:color="auto"/>
              </w:divBdr>
            </w:div>
          </w:divsChild>
        </w:div>
        <w:div w:id="1666786667">
          <w:marLeft w:val="0"/>
          <w:marRight w:val="0"/>
          <w:marTop w:val="0"/>
          <w:marBottom w:val="0"/>
          <w:divBdr>
            <w:top w:val="none" w:sz="0" w:space="0" w:color="auto"/>
            <w:left w:val="none" w:sz="0" w:space="0" w:color="auto"/>
            <w:bottom w:val="none" w:sz="0" w:space="0" w:color="auto"/>
            <w:right w:val="none" w:sz="0" w:space="0" w:color="auto"/>
          </w:divBdr>
          <w:divsChild>
            <w:div w:id="1932858612">
              <w:marLeft w:val="0"/>
              <w:marRight w:val="0"/>
              <w:marTop w:val="0"/>
              <w:marBottom w:val="0"/>
              <w:divBdr>
                <w:top w:val="none" w:sz="0" w:space="0" w:color="auto"/>
                <w:left w:val="none" w:sz="0" w:space="0" w:color="auto"/>
                <w:bottom w:val="none" w:sz="0" w:space="0" w:color="auto"/>
                <w:right w:val="none" w:sz="0" w:space="0" w:color="auto"/>
              </w:divBdr>
            </w:div>
          </w:divsChild>
        </w:div>
        <w:div w:id="1674917915">
          <w:marLeft w:val="0"/>
          <w:marRight w:val="0"/>
          <w:marTop w:val="0"/>
          <w:marBottom w:val="0"/>
          <w:divBdr>
            <w:top w:val="none" w:sz="0" w:space="0" w:color="auto"/>
            <w:left w:val="none" w:sz="0" w:space="0" w:color="auto"/>
            <w:bottom w:val="none" w:sz="0" w:space="0" w:color="auto"/>
            <w:right w:val="none" w:sz="0" w:space="0" w:color="auto"/>
          </w:divBdr>
          <w:divsChild>
            <w:div w:id="605772449">
              <w:marLeft w:val="0"/>
              <w:marRight w:val="0"/>
              <w:marTop w:val="0"/>
              <w:marBottom w:val="0"/>
              <w:divBdr>
                <w:top w:val="none" w:sz="0" w:space="0" w:color="auto"/>
                <w:left w:val="none" w:sz="0" w:space="0" w:color="auto"/>
                <w:bottom w:val="none" w:sz="0" w:space="0" w:color="auto"/>
                <w:right w:val="none" w:sz="0" w:space="0" w:color="auto"/>
              </w:divBdr>
            </w:div>
          </w:divsChild>
        </w:div>
        <w:div w:id="1702702197">
          <w:marLeft w:val="0"/>
          <w:marRight w:val="0"/>
          <w:marTop w:val="0"/>
          <w:marBottom w:val="0"/>
          <w:divBdr>
            <w:top w:val="none" w:sz="0" w:space="0" w:color="auto"/>
            <w:left w:val="none" w:sz="0" w:space="0" w:color="auto"/>
            <w:bottom w:val="none" w:sz="0" w:space="0" w:color="auto"/>
            <w:right w:val="none" w:sz="0" w:space="0" w:color="auto"/>
          </w:divBdr>
          <w:divsChild>
            <w:div w:id="1420449657">
              <w:marLeft w:val="0"/>
              <w:marRight w:val="0"/>
              <w:marTop w:val="0"/>
              <w:marBottom w:val="0"/>
              <w:divBdr>
                <w:top w:val="none" w:sz="0" w:space="0" w:color="auto"/>
                <w:left w:val="none" w:sz="0" w:space="0" w:color="auto"/>
                <w:bottom w:val="none" w:sz="0" w:space="0" w:color="auto"/>
                <w:right w:val="none" w:sz="0" w:space="0" w:color="auto"/>
              </w:divBdr>
            </w:div>
          </w:divsChild>
        </w:div>
        <w:div w:id="1777865142">
          <w:marLeft w:val="0"/>
          <w:marRight w:val="0"/>
          <w:marTop w:val="0"/>
          <w:marBottom w:val="0"/>
          <w:divBdr>
            <w:top w:val="none" w:sz="0" w:space="0" w:color="auto"/>
            <w:left w:val="none" w:sz="0" w:space="0" w:color="auto"/>
            <w:bottom w:val="none" w:sz="0" w:space="0" w:color="auto"/>
            <w:right w:val="none" w:sz="0" w:space="0" w:color="auto"/>
          </w:divBdr>
          <w:divsChild>
            <w:div w:id="80683643">
              <w:marLeft w:val="0"/>
              <w:marRight w:val="0"/>
              <w:marTop w:val="0"/>
              <w:marBottom w:val="0"/>
              <w:divBdr>
                <w:top w:val="none" w:sz="0" w:space="0" w:color="auto"/>
                <w:left w:val="none" w:sz="0" w:space="0" w:color="auto"/>
                <w:bottom w:val="none" w:sz="0" w:space="0" w:color="auto"/>
                <w:right w:val="none" w:sz="0" w:space="0" w:color="auto"/>
              </w:divBdr>
            </w:div>
          </w:divsChild>
        </w:div>
        <w:div w:id="1807353649">
          <w:marLeft w:val="0"/>
          <w:marRight w:val="0"/>
          <w:marTop w:val="0"/>
          <w:marBottom w:val="0"/>
          <w:divBdr>
            <w:top w:val="none" w:sz="0" w:space="0" w:color="auto"/>
            <w:left w:val="none" w:sz="0" w:space="0" w:color="auto"/>
            <w:bottom w:val="none" w:sz="0" w:space="0" w:color="auto"/>
            <w:right w:val="none" w:sz="0" w:space="0" w:color="auto"/>
          </w:divBdr>
          <w:divsChild>
            <w:div w:id="18314366">
              <w:marLeft w:val="0"/>
              <w:marRight w:val="0"/>
              <w:marTop w:val="0"/>
              <w:marBottom w:val="0"/>
              <w:divBdr>
                <w:top w:val="none" w:sz="0" w:space="0" w:color="auto"/>
                <w:left w:val="none" w:sz="0" w:space="0" w:color="auto"/>
                <w:bottom w:val="none" w:sz="0" w:space="0" w:color="auto"/>
                <w:right w:val="none" w:sz="0" w:space="0" w:color="auto"/>
              </w:divBdr>
            </w:div>
            <w:div w:id="102695572">
              <w:marLeft w:val="0"/>
              <w:marRight w:val="0"/>
              <w:marTop w:val="0"/>
              <w:marBottom w:val="0"/>
              <w:divBdr>
                <w:top w:val="none" w:sz="0" w:space="0" w:color="auto"/>
                <w:left w:val="none" w:sz="0" w:space="0" w:color="auto"/>
                <w:bottom w:val="none" w:sz="0" w:space="0" w:color="auto"/>
                <w:right w:val="none" w:sz="0" w:space="0" w:color="auto"/>
              </w:divBdr>
            </w:div>
            <w:div w:id="549725587">
              <w:marLeft w:val="0"/>
              <w:marRight w:val="0"/>
              <w:marTop w:val="0"/>
              <w:marBottom w:val="0"/>
              <w:divBdr>
                <w:top w:val="none" w:sz="0" w:space="0" w:color="auto"/>
                <w:left w:val="none" w:sz="0" w:space="0" w:color="auto"/>
                <w:bottom w:val="none" w:sz="0" w:space="0" w:color="auto"/>
                <w:right w:val="none" w:sz="0" w:space="0" w:color="auto"/>
              </w:divBdr>
            </w:div>
            <w:div w:id="553009691">
              <w:marLeft w:val="0"/>
              <w:marRight w:val="0"/>
              <w:marTop w:val="0"/>
              <w:marBottom w:val="0"/>
              <w:divBdr>
                <w:top w:val="none" w:sz="0" w:space="0" w:color="auto"/>
                <w:left w:val="none" w:sz="0" w:space="0" w:color="auto"/>
                <w:bottom w:val="none" w:sz="0" w:space="0" w:color="auto"/>
                <w:right w:val="none" w:sz="0" w:space="0" w:color="auto"/>
              </w:divBdr>
            </w:div>
            <w:div w:id="621421037">
              <w:marLeft w:val="0"/>
              <w:marRight w:val="0"/>
              <w:marTop w:val="0"/>
              <w:marBottom w:val="0"/>
              <w:divBdr>
                <w:top w:val="none" w:sz="0" w:space="0" w:color="auto"/>
                <w:left w:val="none" w:sz="0" w:space="0" w:color="auto"/>
                <w:bottom w:val="none" w:sz="0" w:space="0" w:color="auto"/>
                <w:right w:val="none" w:sz="0" w:space="0" w:color="auto"/>
              </w:divBdr>
            </w:div>
          </w:divsChild>
        </w:div>
        <w:div w:id="1832678725">
          <w:marLeft w:val="0"/>
          <w:marRight w:val="0"/>
          <w:marTop w:val="0"/>
          <w:marBottom w:val="0"/>
          <w:divBdr>
            <w:top w:val="none" w:sz="0" w:space="0" w:color="auto"/>
            <w:left w:val="none" w:sz="0" w:space="0" w:color="auto"/>
            <w:bottom w:val="none" w:sz="0" w:space="0" w:color="auto"/>
            <w:right w:val="none" w:sz="0" w:space="0" w:color="auto"/>
          </w:divBdr>
          <w:divsChild>
            <w:div w:id="1097942460">
              <w:marLeft w:val="0"/>
              <w:marRight w:val="0"/>
              <w:marTop w:val="0"/>
              <w:marBottom w:val="0"/>
              <w:divBdr>
                <w:top w:val="none" w:sz="0" w:space="0" w:color="auto"/>
                <w:left w:val="none" w:sz="0" w:space="0" w:color="auto"/>
                <w:bottom w:val="none" w:sz="0" w:space="0" w:color="auto"/>
                <w:right w:val="none" w:sz="0" w:space="0" w:color="auto"/>
              </w:divBdr>
            </w:div>
          </w:divsChild>
        </w:div>
        <w:div w:id="1851144738">
          <w:marLeft w:val="0"/>
          <w:marRight w:val="0"/>
          <w:marTop w:val="0"/>
          <w:marBottom w:val="0"/>
          <w:divBdr>
            <w:top w:val="none" w:sz="0" w:space="0" w:color="auto"/>
            <w:left w:val="none" w:sz="0" w:space="0" w:color="auto"/>
            <w:bottom w:val="none" w:sz="0" w:space="0" w:color="auto"/>
            <w:right w:val="none" w:sz="0" w:space="0" w:color="auto"/>
          </w:divBdr>
          <w:divsChild>
            <w:div w:id="1535145044">
              <w:marLeft w:val="0"/>
              <w:marRight w:val="0"/>
              <w:marTop w:val="0"/>
              <w:marBottom w:val="0"/>
              <w:divBdr>
                <w:top w:val="none" w:sz="0" w:space="0" w:color="auto"/>
                <w:left w:val="none" w:sz="0" w:space="0" w:color="auto"/>
                <w:bottom w:val="none" w:sz="0" w:space="0" w:color="auto"/>
                <w:right w:val="none" w:sz="0" w:space="0" w:color="auto"/>
              </w:divBdr>
            </w:div>
          </w:divsChild>
        </w:div>
        <w:div w:id="1938978211">
          <w:marLeft w:val="0"/>
          <w:marRight w:val="0"/>
          <w:marTop w:val="0"/>
          <w:marBottom w:val="0"/>
          <w:divBdr>
            <w:top w:val="none" w:sz="0" w:space="0" w:color="auto"/>
            <w:left w:val="none" w:sz="0" w:space="0" w:color="auto"/>
            <w:bottom w:val="none" w:sz="0" w:space="0" w:color="auto"/>
            <w:right w:val="none" w:sz="0" w:space="0" w:color="auto"/>
          </w:divBdr>
          <w:divsChild>
            <w:div w:id="496920389">
              <w:marLeft w:val="0"/>
              <w:marRight w:val="0"/>
              <w:marTop w:val="0"/>
              <w:marBottom w:val="0"/>
              <w:divBdr>
                <w:top w:val="none" w:sz="0" w:space="0" w:color="auto"/>
                <w:left w:val="none" w:sz="0" w:space="0" w:color="auto"/>
                <w:bottom w:val="none" w:sz="0" w:space="0" w:color="auto"/>
                <w:right w:val="none" w:sz="0" w:space="0" w:color="auto"/>
              </w:divBdr>
            </w:div>
          </w:divsChild>
        </w:div>
        <w:div w:id="1954632156">
          <w:marLeft w:val="0"/>
          <w:marRight w:val="0"/>
          <w:marTop w:val="0"/>
          <w:marBottom w:val="0"/>
          <w:divBdr>
            <w:top w:val="none" w:sz="0" w:space="0" w:color="auto"/>
            <w:left w:val="none" w:sz="0" w:space="0" w:color="auto"/>
            <w:bottom w:val="none" w:sz="0" w:space="0" w:color="auto"/>
            <w:right w:val="none" w:sz="0" w:space="0" w:color="auto"/>
          </w:divBdr>
          <w:divsChild>
            <w:div w:id="1758625560">
              <w:marLeft w:val="0"/>
              <w:marRight w:val="0"/>
              <w:marTop w:val="0"/>
              <w:marBottom w:val="0"/>
              <w:divBdr>
                <w:top w:val="none" w:sz="0" w:space="0" w:color="auto"/>
                <w:left w:val="none" w:sz="0" w:space="0" w:color="auto"/>
                <w:bottom w:val="none" w:sz="0" w:space="0" w:color="auto"/>
                <w:right w:val="none" w:sz="0" w:space="0" w:color="auto"/>
              </w:divBdr>
            </w:div>
          </w:divsChild>
        </w:div>
        <w:div w:id="1957251897">
          <w:marLeft w:val="0"/>
          <w:marRight w:val="0"/>
          <w:marTop w:val="0"/>
          <w:marBottom w:val="0"/>
          <w:divBdr>
            <w:top w:val="none" w:sz="0" w:space="0" w:color="auto"/>
            <w:left w:val="none" w:sz="0" w:space="0" w:color="auto"/>
            <w:bottom w:val="none" w:sz="0" w:space="0" w:color="auto"/>
            <w:right w:val="none" w:sz="0" w:space="0" w:color="auto"/>
          </w:divBdr>
          <w:divsChild>
            <w:div w:id="405147205">
              <w:marLeft w:val="0"/>
              <w:marRight w:val="0"/>
              <w:marTop w:val="0"/>
              <w:marBottom w:val="0"/>
              <w:divBdr>
                <w:top w:val="none" w:sz="0" w:space="0" w:color="auto"/>
                <w:left w:val="none" w:sz="0" w:space="0" w:color="auto"/>
                <w:bottom w:val="none" w:sz="0" w:space="0" w:color="auto"/>
                <w:right w:val="none" w:sz="0" w:space="0" w:color="auto"/>
              </w:divBdr>
            </w:div>
          </w:divsChild>
        </w:div>
        <w:div w:id="2024894478">
          <w:marLeft w:val="0"/>
          <w:marRight w:val="0"/>
          <w:marTop w:val="0"/>
          <w:marBottom w:val="0"/>
          <w:divBdr>
            <w:top w:val="none" w:sz="0" w:space="0" w:color="auto"/>
            <w:left w:val="none" w:sz="0" w:space="0" w:color="auto"/>
            <w:bottom w:val="none" w:sz="0" w:space="0" w:color="auto"/>
            <w:right w:val="none" w:sz="0" w:space="0" w:color="auto"/>
          </w:divBdr>
          <w:divsChild>
            <w:div w:id="751506870">
              <w:marLeft w:val="0"/>
              <w:marRight w:val="0"/>
              <w:marTop w:val="0"/>
              <w:marBottom w:val="0"/>
              <w:divBdr>
                <w:top w:val="none" w:sz="0" w:space="0" w:color="auto"/>
                <w:left w:val="none" w:sz="0" w:space="0" w:color="auto"/>
                <w:bottom w:val="none" w:sz="0" w:space="0" w:color="auto"/>
                <w:right w:val="none" w:sz="0" w:space="0" w:color="auto"/>
              </w:divBdr>
            </w:div>
          </w:divsChild>
        </w:div>
        <w:div w:id="2026782552">
          <w:marLeft w:val="0"/>
          <w:marRight w:val="0"/>
          <w:marTop w:val="0"/>
          <w:marBottom w:val="0"/>
          <w:divBdr>
            <w:top w:val="none" w:sz="0" w:space="0" w:color="auto"/>
            <w:left w:val="none" w:sz="0" w:space="0" w:color="auto"/>
            <w:bottom w:val="none" w:sz="0" w:space="0" w:color="auto"/>
            <w:right w:val="none" w:sz="0" w:space="0" w:color="auto"/>
          </w:divBdr>
          <w:divsChild>
            <w:div w:id="1563952068">
              <w:marLeft w:val="0"/>
              <w:marRight w:val="0"/>
              <w:marTop w:val="0"/>
              <w:marBottom w:val="0"/>
              <w:divBdr>
                <w:top w:val="none" w:sz="0" w:space="0" w:color="auto"/>
                <w:left w:val="none" w:sz="0" w:space="0" w:color="auto"/>
                <w:bottom w:val="none" w:sz="0" w:space="0" w:color="auto"/>
                <w:right w:val="none" w:sz="0" w:space="0" w:color="auto"/>
              </w:divBdr>
            </w:div>
          </w:divsChild>
        </w:div>
        <w:div w:id="2084449080">
          <w:marLeft w:val="0"/>
          <w:marRight w:val="0"/>
          <w:marTop w:val="0"/>
          <w:marBottom w:val="0"/>
          <w:divBdr>
            <w:top w:val="none" w:sz="0" w:space="0" w:color="auto"/>
            <w:left w:val="none" w:sz="0" w:space="0" w:color="auto"/>
            <w:bottom w:val="none" w:sz="0" w:space="0" w:color="auto"/>
            <w:right w:val="none" w:sz="0" w:space="0" w:color="auto"/>
          </w:divBdr>
          <w:divsChild>
            <w:div w:id="554199164">
              <w:marLeft w:val="0"/>
              <w:marRight w:val="0"/>
              <w:marTop w:val="0"/>
              <w:marBottom w:val="0"/>
              <w:divBdr>
                <w:top w:val="none" w:sz="0" w:space="0" w:color="auto"/>
                <w:left w:val="none" w:sz="0" w:space="0" w:color="auto"/>
                <w:bottom w:val="none" w:sz="0" w:space="0" w:color="auto"/>
                <w:right w:val="none" w:sz="0" w:space="0" w:color="auto"/>
              </w:divBdr>
            </w:div>
          </w:divsChild>
        </w:div>
        <w:div w:id="2106924601">
          <w:marLeft w:val="0"/>
          <w:marRight w:val="0"/>
          <w:marTop w:val="0"/>
          <w:marBottom w:val="0"/>
          <w:divBdr>
            <w:top w:val="none" w:sz="0" w:space="0" w:color="auto"/>
            <w:left w:val="none" w:sz="0" w:space="0" w:color="auto"/>
            <w:bottom w:val="none" w:sz="0" w:space="0" w:color="auto"/>
            <w:right w:val="none" w:sz="0" w:space="0" w:color="auto"/>
          </w:divBdr>
          <w:divsChild>
            <w:div w:id="1385059610">
              <w:marLeft w:val="0"/>
              <w:marRight w:val="0"/>
              <w:marTop w:val="0"/>
              <w:marBottom w:val="0"/>
              <w:divBdr>
                <w:top w:val="none" w:sz="0" w:space="0" w:color="auto"/>
                <w:left w:val="none" w:sz="0" w:space="0" w:color="auto"/>
                <w:bottom w:val="none" w:sz="0" w:space="0" w:color="auto"/>
                <w:right w:val="none" w:sz="0" w:space="0" w:color="auto"/>
              </w:divBdr>
            </w:div>
            <w:div w:id="159108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397819">
      <w:bodyDiv w:val="1"/>
      <w:marLeft w:val="0"/>
      <w:marRight w:val="0"/>
      <w:marTop w:val="0"/>
      <w:marBottom w:val="0"/>
      <w:divBdr>
        <w:top w:val="none" w:sz="0" w:space="0" w:color="auto"/>
        <w:left w:val="none" w:sz="0" w:space="0" w:color="auto"/>
        <w:bottom w:val="none" w:sz="0" w:space="0" w:color="auto"/>
        <w:right w:val="none" w:sz="0" w:space="0" w:color="auto"/>
      </w:divBdr>
    </w:div>
    <w:div w:id="726538603">
      <w:bodyDiv w:val="1"/>
      <w:marLeft w:val="0"/>
      <w:marRight w:val="0"/>
      <w:marTop w:val="0"/>
      <w:marBottom w:val="0"/>
      <w:divBdr>
        <w:top w:val="none" w:sz="0" w:space="0" w:color="auto"/>
        <w:left w:val="none" w:sz="0" w:space="0" w:color="auto"/>
        <w:bottom w:val="none" w:sz="0" w:space="0" w:color="auto"/>
        <w:right w:val="none" w:sz="0" w:space="0" w:color="auto"/>
      </w:divBdr>
    </w:div>
    <w:div w:id="726609509">
      <w:bodyDiv w:val="1"/>
      <w:marLeft w:val="0"/>
      <w:marRight w:val="0"/>
      <w:marTop w:val="0"/>
      <w:marBottom w:val="0"/>
      <w:divBdr>
        <w:top w:val="none" w:sz="0" w:space="0" w:color="auto"/>
        <w:left w:val="none" w:sz="0" w:space="0" w:color="auto"/>
        <w:bottom w:val="none" w:sz="0" w:space="0" w:color="auto"/>
        <w:right w:val="none" w:sz="0" w:space="0" w:color="auto"/>
      </w:divBdr>
    </w:div>
    <w:div w:id="730036817">
      <w:bodyDiv w:val="1"/>
      <w:marLeft w:val="0"/>
      <w:marRight w:val="0"/>
      <w:marTop w:val="0"/>
      <w:marBottom w:val="0"/>
      <w:divBdr>
        <w:top w:val="none" w:sz="0" w:space="0" w:color="auto"/>
        <w:left w:val="none" w:sz="0" w:space="0" w:color="auto"/>
        <w:bottom w:val="none" w:sz="0" w:space="0" w:color="auto"/>
        <w:right w:val="none" w:sz="0" w:space="0" w:color="auto"/>
      </w:divBdr>
    </w:div>
    <w:div w:id="733628630">
      <w:bodyDiv w:val="1"/>
      <w:marLeft w:val="0"/>
      <w:marRight w:val="0"/>
      <w:marTop w:val="0"/>
      <w:marBottom w:val="0"/>
      <w:divBdr>
        <w:top w:val="none" w:sz="0" w:space="0" w:color="auto"/>
        <w:left w:val="none" w:sz="0" w:space="0" w:color="auto"/>
        <w:bottom w:val="none" w:sz="0" w:space="0" w:color="auto"/>
        <w:right w:val="none" w:sz="0" w:space="0" w:color="auto"/>
      </w:divBdr>
    </w:div>
    <w:div w:id="734816558">
      <w:bodyDiv w:val="1"/>
      <w:marLeft w:val="0"/>
      <w:marRight w:val="0"/>
      <w:marTop w:val="0"/>
      <w:marBottom w:val="0"/>
      <w:divBdr>
        <w:top w:val="none" w:sz="0" w:space="0" w:color="auto"/>
        <w:left w:val="none" w:sz="0" w:space="0" w:color="auto"/>
        <w:bottom w:val="none" w:sz="0" w:space="0" w:color="auto"/>
        <w:right w:val="none" w:sz="0" w:space="0" w:color="auto"/>
      </w:divBdr>
    </w:div>
    <w:div w:id="743383214">
      <w:bodyDiv w:val="1"/>
      <w:marLeft w:val="0"/>
      <w:marRight w:val="0"/>
      <w:marTop w:val="0"/>
      <w:marBottom w:val="0"/>
      <w:divBdr>
        <w:top w:val="none" w:sz="0" w:space="0" w:color="auto"/>
        <w:left w:val="none" w:sz="0" w:space="0" w:color="auto"/>
        <w:bottom w:val="none" w:sz="0" w:space="0" w:color="auto"/>
        <w:right w:val="none" w:sz="0" w:space="0" w:color="auto"/>
      </w:divBdr>
      <w:divsChild>
        <w:div w:id="1683705405">
          <w:marLeft w:val="0"/>
          <w:marRight w:val="0"/>
          <w:marTop w:val="0"/>
          <w:marBottom w:val="0"/>
          <w:divBdr>
            <w:top w:val="none" w:sz="0" w:space="0" w:color="auto"/>
            <w:left w:val="none" w:sz="0" w:space="0" w:color="auto"/>
            <w:bottom w:val="none" w:sz="0" w:space="0" w:color="auto"/>
            <w:right w:val="none" w:sz="0" w:space="0" w:color="auto"/>
          </w:divBdr>
        </w:div>
      </w:divsChild>
    </w:div>
    <w:div w:id="745688403">
      <w:bodyDiv w:val="1"/>
      <w:marLeft w:val="0"/>
      <w:marRight w:val="0"/>
      <w:marTop w:val="0"/>
      <w:marBottom w:val="0"/>
      <w:divBdr>
        <w:top w:val="none" w:sz="0" w:space="0" w:color="auto"/>
        <w:left w:val="none" w:sz="0" w:space="0" w:color="auto"/>
        <w:bottom w:val="none" w:sz="0" w:space="0" w:color="auto"/>
        <w:right w:val="none" w:sz="0" w:space="0" w:color="auto"/>
      </w:divBdr>
    </w:div>
    <w:div w:id="746999868">
      <w:bodyDiv w:val="1"/>
      <w:marLeft w:val="0"/>
      <w:marRight w:val="0"/>
      <w:marTop w:val="0"/>
      <w:marBottom w:val="0"/>
      <w:divBdr>
        <w:top w:val="none" w:sz="0" w:space="0" w:color="auto"/>
        <w:left w:val="none" w:sz="0" w:space="0" w:color="auto"/>
        <w:bottom w:val="none" w:sz="0" w:space="0" w:color="auto"/>
        <w:right w:val="none" w:sz="0" w:space="0" w:color="auto"/>
      </w:divBdr>
      <w:divsChild>
        <w:div w:id="1621452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330634">
      <w:bodyDiv w:val="1"/>
      <w:marLeft w:val="0"/>
      <w:marRight w:val="0"/>
      <w:marTop w:val="0"/>
      <w:marBottom w:val="0"/>
      <w:divBdr>
        <w:top w:val="none" w:sz="0" w:space="0" w:color="auto"/>
        <w:left w:val="none" w:sz="0" w:space="0" w:color="auto"/>
        <w:bottom w:val="none" w:sz="0" w:space="0" w:color="auto"/>
        <w:right w:val="none" w:sz="0" w:space="0" w:color="auto"/>
      </w:divBdr>
      <w:divsChild>
        <w:div w:id="5063846">
          <w:marLeft w:val="0"/>
          <w:marRight w:val="0"/>
          <w:marTop w:val="0"/>
          <w:marBottom w:val="0"/>
          <w:divBdr>
            <w:top w:val="none" w:sz="0" w:space="0" w:color="auto"/>
            <w:left w:val="none" w:sz="0" w:space="0" w:color="auto"/>
            <w:bottom w:val="none" w:sz="0" w:space="0" w:color="auto"/>
            <w:right w:val="none" w:sz="0" w:space="0" w:color="auto"/>
          </w:divBdr>
        </w:div>
        <w:div w:id="28264289">
          <w:marLeft w:val="0"/>
          <w:marRight w:val="0"/>
          <w:marTop w:val="0"/>
          <w:marBottom w:val="0"/>
          <w:divBdr>
            <w:top w:val="none" w:sz="0" w:space="0" w:color="auto"/>
            <w:left w:val="none" w:sz="0" w:space="0" w:color="auto"/>
            <w:bottom w:val="none" w:sz="0" w:space="0" w:color="auto"/>
            <w:right w:val="none" w:sz="0" w:space="0" w:color="auto"/>
          </w:divBdr>
        </w:div>
        <w:div w:id="368533698">
          <w:marLeft w:val="0"/>
          <w:marRight w:val="0"/>
          <w:marTop w:val="0"/>
          <w:marBottom w:val="0"/>
          <w:divBdr>
            <w:top w:val="none" w:sz="0" w:space="0" w:color="auto"/>
            <w:left w:val="none" w:sz="0" w:space="0" w:color="auto"/>
            <w:bottom w:val="none" w:sz="0" w:space="0" w:color="auto"/>
            <w:right w:val="none" w:sz="0" w:space="0" w:color="auto"/>
          </w:divBdr>
        </w:div>
        <w:div w:id="399179886">
          <w:marLeft w:val="0"/>
          <w:marRight w:val="0"/>
          <w:marTop w:val="0"/>
          <w:marBottom w:val="0"/>
          <w:divBdr>
            <w:top w:val="none" w:sz="0" w:space="0" w:color="auto"/>
            <w:left w:val="none" w:sz="0" w:space="0" w:color="auto"/>
            <w:bottom w:val="none" w:sz="0" w:space="0" w:color="auto"/>
            <w:right w:val="none" w:sz="0" w:space="0" w:color="auto"/>
          </w:divBdr>
        </w:div>
        <w:div w:id="1005670010">
          <w:marLeft w:val="0"/>
          <w:marRight w:val="0"/>
          <w:marTop w:val="0"/>
          <w:marBottom w:val="0"/>
          <w:divBdr>
            <w:top w:val="none" w:sz="0" w:space="0" w:color="auto"/>
            <w:left w:val="none" w:sz="0" w:space="0" w:color="auto"/>
            <w:bottom w:val="none" w:sz="0" w:space="0" w:color="auto"/>
            <w:right w:val="none" w:sz="0" w:space="0" w:color="auto"/>
          </w:divBdr>
        </w:div>
        <w:div w:id="1292709125">
          <w:marLeft w:val="0"/>
          <w:marRight w:val="0"/>
          <w:marTop w:val="0"/>
          <w:marBottom w:val="0"/>
          <w:divBdr>
            <w:top w:val="none" w:sz="0" w:space="0" w:color="auto"/>
            <w:left w:val="none" w:sz="0" w:space="0" w:color="auto"/>
            <w:bottom w:val="none" w:sz="0" w:space="0" w:color="auto"/>
            <w:right w:val="none" w:sz="0" w:space="0" w:color="auto"/>
          </w:divBdr>
        </w:div>
      </w:divsChild>
    </w:div>
    <w:div w:id="761343661">
      <w:bodyDiv w:val="1"/>
      <w:marLeft w:val="0"/>
      <w:marRight w:val="0"/>
      <w:marTop w:val="0"/>
      <w:marBottom w:val="0"/>
      <w:divBdr>
        <w:top w:val="none" w:sz="0" w:space="0" w:color="auto"/>
        <w:left w:val="none" w:sz="0" w:space="0" w:color="auto"/>
        <w:bottom w:val="none" w:sz="0" w:space="0" w:color="auto"/>
        <w:right w:val="none" w:sz="0" w:space="0" w:color="auto"/>
      </w:divBdr>
      <w:divsChild>
        <w:div w:id="80025256">
          <w:marLeft w:val="0"/>
          <w:marRight w:val="0"/>
          <w:marTop w:val="0"/>
          <w:marBottom w:val="0"/>
          <w:divBdr>
            <w:top w:val="none" w:sz="0" w:space="0" w:color="auto"/>
            <w:left w:val="none" w:sz="0" w:space="0" w:color="auto"/>
            <w:bottom w:val="none" w:sz="0" w:space="0" w:color="auto"/>
            <w:right w:val="none" w:sz="0" w:space="0" w:color="auto"/>
          </w:divBdr>
          <w:divsChild>
            <w:div w:id="1881816195">
              <w:marLeft w:val="0"/>
              <w:marRight w:val="0"/>
              <w:marTop w:val="0"/>
              <w:marBottom w:val="0"/>
              <w:divBdr>
                <w:top w:val="none" w:sz="0" w:space="0" w:color="auto"/>
                <w:left w:val="none" w:sz="0" w:space="0" w:color="auto"/>
                <w:bottom w:val="none" w:sz="0" w:space="0" w:color="auto"/>
                <w:right w:val="none" w:sz="0" w:space="0" w:color="auto"/>
              </w:divBdr>
            </w:div>
          </w:divsChild>
        </w:div>
        <w:div w:id="190186910">
          <w:marLeft w:val="0"/>
          <w:marRight w:val="0"/>
          <w:marTop w:val="0"/>
          <w:marBottom w:val="0"/>
          <w:divBdr>
            <w:top w:val="none" w:sz="0" w:space="0" w:color="auto"/>
            <w:left w:val="none" w:sz="0" w:space="0" w:color="auto"/>
            <w:bottom w:val="none" w:sz="0" w:space="0" w:color="auto"/>
            <w:right w:val="none" w:sz="0" w:space="0" w:color="auto"/>
          </w:divBdr>
          <w:divsChild>
            <w:div w:id="2023437669">
              <w:marLeft w:val="0"/>
              <w:marRight w:val="0"/>
              <w:marTop w:val="0"/>
              <w:marBottom w:val="0"/>
              <w:divBdr>
                <w:top w:val="none" w:sz="0" w:space="0" w:color="auto"/>
                <w:left w:val="none" w:sz="0" w:space="0" w:color="auto"/>
                <w:bottom w:val="none" w:sz="0" w:space="0" w:color="auto"/>
                <w:right w:val="none" w:sz="0" w:space="0" w:color="auto"/>
              </w:divBdr>
            </w:div>
          </w:divsChild>
        </w:div>
        <w:div w:id="418601990">
          <w:marLeft w:val="0"/>
          <w:marRight w:val="0"/>
          <w:marTop w:val="0"/>
          <w:marBottom w:val="0"/>
          <w:divBdr>
            <w:top w:val="none" w:sz="0" w:space="0" w:color="auto"/>
            <w:left w:val="none" w:sz="0" w:space="0" w:color="auto"/>
            <w:bottom w:val="none" w:sz="0" w:space="0" w:color="auto"/>
            <w:right w:val="none" w:sz="0" w:space="0" w:color="auto"/>
          </w:divBdr>
          <w:divsChild>
            <w:div w:id="729694432">
              <w:marLeft w:val="0"/>
              <w:marRight w:val="0"/>
              <w:marTop w:val="0"/>
              <w:marBottom w:val="0"/>
              <w:divBdr>
                <w:top w:val="none" w:sz="0" w:space="0" w:color="auto"/>
                <w:left w:val="none" w:sz="0" w:space="0" w:color="auto"/>
                <w:bottom w:val="none" w:sz="0" w:space="0" w:color="auto"/>
                <w:right w:val="none" w:sz="0" w:space="0" w:color="auto"/>
              </w:divBdr>
            </w:div>
            <w:div w:id="1007093611">
              <w:marLeft w:val="0"/>
              <w:marRight w:val="0"/>
              <w:marTop w:val="0"/>
              <w:marBottom w:val="0"/>
              <w:divBdr>
                <w:top w:val="none" w:sz="0" w:space="0" w:color="auto"/>
                <w:left w:val="none" w:sz="0" w:space="0" w:color="auto"/>
                <w:bottom w:val="none" w:sz="0" w:space="0" w:color="auto"/>
                <w:right w:val="none" w:sz="0" w:space="0" w:color="auto"/>
              </w:divBdr>
            </w:div>
            <w:div w:id="1503157508">
              <w:marLeft w:val="0"/>
              <w:marRight w:val="0"/>
              <w:marTop w:val="0"/>
              <w:marBottom w:val="0"/>
              <w:divBdr>
                <w:top w:val="none" w:sz="0" w:space="0" w:color="auto"/>
                <w:left w:val="none" w:sz="0" w:space="0" w:color="auto"/>
                <w:bottom w:val="none" w:sz="0" w:space="0" w:color="auto"/>
                <w:right w:val="none" w:sz="0" w:space="0" w:color="auto"/>
              </w:divBdr>
            </w:div>
            <w:div w:id="1896088402">
              <w:marLeft w:val="0"/>
              <w:marRight w:val="0"/>
              <w:marTop w:val="0"/>
              <w:marBottom w:val="0"/>
              <w:divBdr>
                <w:top w:val="none" w:sz="0" w:space="0" w:color="auto"/>
                <w:left w:val="none" w:sz="0" w:space="0" w:color="auto"/>
                <w:bottom w:val="none" w:sz="0" w:space="0" w:color="auto"/>
                <w:right w:val="none" w:sz="0" w:space="0" w:color="auto"/>
              </w:divBdr>
            </w:div>
          </w:divsChild>
        </w:div>
        <w:div w:id="691763886">
          <w:marLeft w:val="0"/>
          <w:marRight w:val="0"/>
          <w:marTop w:val="0"/>
          <w:marBottom w:val="0"/>
          <w:divBdr>
            <w:top w:val="none" w:sz="0" w:space="0" w:color="auto"/>
            <w:left w:val="none" w:sz="0" w:space="0" w:color="auto"/>
            <w:bottom w:val="none" w:sz="0" w:space="0" w:color="auto"/>
            <w:right w:val="none" w:sz="0" w:space="0" w:color="auto"/>
          </w:divBdr>
          <w:divsChild>
            <w:div w:id="913776406">
              <w:marLeft w:val="0"/>
              <w:marRight w:val="0"/>
              <w:marTop w:val="0"/>
              <w:marBottom w:val="0"/>
              <w:divBdr>
                <w:top w:val="none" w:sz="0" w:space="0" w:color="auto"/>
                <w:left w:val="none" w:sz="0" w:space="0" w:color="auto"/>
                <w:bottom w:val="none" w:sz="0" w:space="0" w:color="auto"/>
                <w:right w:val="none" w:sz="0" w:space="0" w:color="auto"/>
              </w:divBdr>
            </w:div>
            <w:div w:id="932278661">
              <w:marLeft w:val="0"/>
              <w:marRight w:val="0"/>
              <w:marTop w:val="0"/>
              <w:marBottom w:val="0"/>
              <w:divBdr>
                <w:top w:val="none" w:sz="0" w:space="0" w:color="auto"/>
                <w:left w:val="none" w:sz="0" w:space="0" w:color="auto"/>
                <w:bottom w:val="none" w:sz="0" w:space="0" w:color="auto"/>
                <w:right w:val="none" w:sz="0" w:space="0" w:color="auto"/>
              </w:divBdr>
            </w:div>
            <w:div w:id="1164473253">
              <w:marLeft w:val="0"/>
              <w:marRight w:val="0"/>
              <w:marTop w:val="0"/>
              <w:marBottom w:val="0"/>
              <w:divBdr>
                <w:top w:val="none" w:sz="0" w:space="0" w:color="auto"/>
                <w:left w:val="none" w:sz="0" w:space="0" w:color="auto"/>
                <w:bottom w:val="none" w:sz="0" w:space="0" w:color="auto"/>
                <w:right w:val="none" w:sz="0" w:space="0" w:color="auto"/>
              </w:divBdr>
            </w:div>
          </w:divsChild>
        </w:div>
        <w:div w:id="875045028">
          <w:marLeft w:val="0"/>
          <w:marRight w:val="0"/>
          <w:marTop w:val="0"/>
          <w:marBottom w:val="0"/>
          <w:divBdr>
            <w:top w:val="none" w:sz="0" w:space="0" w:color="auto"/>
            <w:left w:val="none" w:sz="0" w:space="0" w:color="auto"/>
            <w:bottom w:val="none" w:sz="0" w:space="0" w:color="auto"/>
            <w:right w:val="none" w:sz="0" w:space="0" w:color="auto"/>
          </w:divBdr>
          <w:divsChild>
            <w:div w:id="25450942">
              <w:marLeft w:val="0"/>
              <w:marRight w:val="0"/>
              <w:marTop w:val="0"/>
              <w:marBottom w:val="0"/>
              <w:divBdr>
                <w:top w:val="none" w:sz="0" w:space="0" w:color="auto"/>
                <w:left w:val="none" w:sz="0" w:space="0" w:color="auto"/>
                <w:bottom w:val="none" w:sz="0" w:space="0" w:color="auto"/>
                <w:right w:val="none" w:sz="0" w:space="0" w:color="auto"/>
              </w:divBdr>
            </w:div>
            <w:div w:id="108280128">
              <w:marLeft w:val="0"/>
              <w:marRight w:val="0"/>
              <w:marTop w:val="0"/>
              <w:marBottom w:val="0"/>
              <w:divBdr>
                <w:top w:val="none" w:sz="0" w:space="0" w:color="auto"/>
                <w:left w:val="none" w:sz="0" w:space="0" w:color="auto"/>
                <w:bottom w:val="none" w:sz="0" w:space="0" w:color="auto"/>
                <w:right w:val="none" w:sz="0" w:space="0" w:color="auto"/>
              </w:divBdr>
            </w:div>
            <w:div w:id="595748068">
              <w:marLeft w:val="0"/>
              <w:marRight w:val="0"/>
              <w:marTop w:val="0"/>
              <w:marBottom w:val="0"/>
              <w:divBdr>
                <w:top w:val="none" w:sz="0" w:space="0" w:color="auto"/>
                <w:left w:val="none" w:sz="0" w:space="0" w:color="auto"/>
                <w:bottom w:val="none" w:sz="0" w:space="0" w:color="auto"/>
                <w:right w:val="none" w:sz="0" w:space="0" w:color="auto"/>
              </w:divBdr>
            </w:div>
            <w:div w:id="1831365586">
              <w:marLeft w:val="0"/>
              <w:marRight w:val="0"/>
              <w:marTop w:val="0"/>
              <w:marBottom w:val="0"/>
              <w:divBdr>
                <w:top w:val="none" w:sz="0" w:space="0" w:color="auto"/>
                <w:left w:val="none" w:sz="0" w:space="0" w:color="auto"/>
                <w:bottom w:val="none" w:sz="0" w:space="0" w:color="auto"/>
                <w:right w:val="none" w:sz="0" w:space="0" w:color="auto"/>
              </w:divBdr>
            </w:div>
            <w:div w:id="1900092369">
              <w:marLeft w:val="0"/>
              <w:marRight w:val="0"/>
              <w:marTop w:val="0"/>
              <w:marBottom w:val="0"/>
              <w:divBdr>
                <w:top w:val="none" w:sz="0" w:space="0" w:color="auto"/>
                <w:left w:val="none" w:sz="0" w:space="0" w:color="auto"/>
                <w:bottom w:val="none" w:sz="0" w:space="0" w:color="auto"/>
                <w:right w:val="none" w:sz="0" w:space="0" w:color="auto"/>
              </w:divBdr>
            </w:div>
          </w:divsChild>
        </w:div>
        <w:div w:id="976179737">
          <w:marLeft w:val="0"/>
          <w:marRight w:val="0"/>
          <w:marTop w:val="0"/>
          <w:marBottom w:val="0"/>
          <w:divBdr>
            <w:top w:val="none" w:sz="0" w:space="0" w:color="auto"/>
            <w:left w:val="none" w:sz="0" w:space="0" w:color="auto"/>
            <w:bottom w:val="none" w:sz="0" w:space="0" w:color="auto"/>
            <w:right w:val="none" w:sz="0" w:space="0" w:color="auto"/>
          </w:divBdr>
          <w:divsChild>
            <w:div w:id="232085094">
              <w:marLeft w:val="0"/>
              <w:marRight w:val="0"/>
              <w:marTop w:val="0"/>
              <w:marBottom w:val="0"/>
              <w:divBdr>
                <w:top w:val="none" w:sz="0" w:space="0" w:color="auto"/>
                <w:left w:val="none" w:sz="0" w:space="0" w:color="auto"/>
                <w:bottom w:val="none" w:sz="0" w:space="0" w:color="auto"/>
                <w:right w:val="none" w:sz="0" w:space="0" w:color="auto"/>
              </w:divBdr>
            </w:div>
          </w:divsChild>
        </w:div>
        <w:div w:id="1087189662">
          <w:marLeft w:val="0"/>
          <w:marRight w:val="0"/>
          <w:marTop w:val="0"/>
          <w:marBottom w:val="0"/>
          <w:divBdr>
            <w:top w:val="none" w:sz="0" w:space="0" w:color="auto"/>
            <w:left w:val="none" w:sz="0" w:space="0" w:color="auto"/>
            <w:bottom w:val="none" w:sz="0" w:space="0" w:color="auto"/>
            <w:right w:val="none" w:sz="0" w:space="0" w:color="auto"/>
          </w:divBdr>
          <w:divsChild>
            <w:div w:id="2014839379">
              <w:marLeft w:val="0"/>
              <w:marRight w:val="0"/>
              <w:marTop w:val="0"/>
              <w:marBottom w:val="0"/>
              <w:divBdr>
                <w:top w:val="none" w:sz="0" w:space="0" w:color="auto"/>
                <w:left w:val="none" w:sz="0" w:space="0" w:color="auto"/>
                <w:bottom w:val="none" w:sz="0" w:space="0" w:color="auto"/>
                <w:right w:val="none" w:sz="0" w:space="0" w:color="auto"/>
              </w:divBdr>
            </w:div>
          </w:divsChild>
        </w:div>
        <w:div w:id="1132863980">
          <w:marLeft w:val="0"/>
          <w:marRight w:val="0"/>
          <w:marTop w:val="0"/>
          <w:marBottom w:val="0"/>
          <w:divBdr>
            <w:top w:val="none" w:sz="0" w:space="0" w:color="auto"/>
            <w:left w:val="none" w:sz="0" w:space="0" w:color="auto"/>
            <w:bottom w:val="none" w:sz="0" w:space="0" w:color="auto"/>
            <w:right w:val="none" w:sz="0" w:space="0" w:color="auto"/>
          </w:divBdr>
          <w:divsChild>
            <w:div w:id="693264082">
              <w:marLeft w:val="0"/>
              <w:marRight w:val="0"/>
              <w:marTop w:val="0"/>
              <w:marBottom w:val="0"/>
              <w:divBdr>
                <w:top w:val="none" w:sz="0" w:space="0" w:color="auto"/>
                <w:left w:val="none" w:sz="0" w:space="0" w:color="auto"/>
                <w:bottom w:val="none" w:sz="0" w:space="0" w:color="auto"/>
                <w:right w:val="none" w:sz="0" w:space="0" w:color="auto"/>
              </w:divBdr>
            </w:div>
          </w:divsChild>
        </w:div>
        <w:div w:id="1186362472">
          <w:marLeft w:val="0"/>
          <w:marRight w:val="0"/>
          <w:marTop w:val="0"/>
          <w:marBottom w:val="0"/>
          <w:divBdr>
            <w:top w:val="none" w:sz="0" w:space="0" w:color="auto"/>
            <w:left w:val="none" w:sz="0" w:space="0" w:color="auto"/>
            <w:bottom w:val="none" w:sz="0" w:space="0" w:color="auto"/>
            <w:right w:val="none" w:sz="0" w:space="0" w:color="auto"/>
          </w:divBdr>
          <w:divsChild>
            <w:div w:id="1776896637">
              <w:marLeft w:val="0"/>
              <w:marRight w:val="0"/>
              <w:marTop w:val="0"/>
              <w:marBottom w:val="0"/>
              <w:divBdr>
                <w:top w:val="none" w:sz="0" w:space="0" w:color="auto"/>
                <w:left w:val="none" w:sz="0" w:space="0" w:color="auto"/>
                <w:bottom w:val="none" w:sz="0" w:space="0" w:color="auto"/>
                <w:right w:val="none" w:sz="0" w:space="0" w:color="auto"/>
              </w:divBdr>
            </w:div>
          </w:divsChild>
        </w:div>
        <w:div w:id="1348213731">
          <w:marLeft w:val="0"/>
          <w:marRight w:val="0"/>
          <w:marTop w:val="0"/>
          <w:marBottom w:val="0"/>
          <w:divBdr>
            <w:top w:val="none" w:sz="0" w:space="0" w:color="auto"/>
            <w:left w:val="none" w:sz="0" w:space="0" w:color="auto"/>
            <w:bottom w:val="none" w:sz="0" w:space="0" w:color="auto"/>
            <w:right w:val="none" w:sz="0" w:space="0" w:color="auto"/>
          </w:divBdr>
          <w:divsChild>
            <w:div w:id="27612908">
              <w:marLeft w:val="0"/>
              <w:marRight w:val="0"/>
              <w:marTop w:val="0"/>
              <w:marBottom w:val="0"/>
              <w:divBdr>
                <w:top w:val="none" w:sz="0" w:space="0" w:color="auto"/>
                <w:left w:val="none" w:sz="0" w:space="0" w:color="auto"/>
                <w:bottom w:val="none" w:sz="0" w:space="0" w:color="auto"/>
                <w:right w:val="none" w:sz="0" w:space="0" w:color="auto"/>
              </w:divBdr>
            </w:div>
          </w:divsChild>
        </w:div>
        <w:div w:id="1359307463">
          <w:marLeft w:val="0"/>
          <w:marRight w:val="0"/>
          <w:marTop w:val="0"/>
          <w:marBottom w:val="0"/>
          <w:divBdr>
            <w:top w:val="none" w:sz="0" w:space="0" w:color="auto"/>
            <w:left w:val="none" w:sz="0" w:space="0" w:color="auto"/>
            <w:bottom w:val="none" w:sz="0" w:space="0" w:color="auto"/>
            <w:right w:val="none" w:sz="0" w:space="0" w:color="auto"/>
          </w:divBdr>
          <w:divsChild>
            <w:div w:id="628172708">
              <w:marLeft w:val="0"/>
              <w:marRight w:val="0"/>
              <w:marTop w:val="0"/>
              <w:marBottom w:val="0"/>
              <w:divBdr>
                <w:top w:val="none" w:sz="0" w:space="0" w:color="auto"/>
                <w:left w:val="none" w:sz="0" w:space="0" w:color="auto"/>
                <w:bottom w:val="none" w:sz="0" w:space="0" w:color="auto"/>
                <w:right w:val="none" w:sz="0" w:space="0" w:color="auto"/>
              </w:divBdr>
            </w:div>
          </w:divsChild>
        </w:div>
        <w:div w:id="1408379780">
          <w:marLeft w:val="0"/>
          <w:marRight w:val="0"/>
          <w:marTop w:val="0"/>
          <w:marBottom w:val="0"/>
          <w:divBdr>
            <w:top w:val="none" w:sz="0" w:space="0" w:color="auto"/>
            <w:left w:val="none" w:sz="0" w:space="0" w:color="auto"/>
            <w:bottom w:val="none" w:sz="0" w:space="0" w:color="auto"/>
            <w:right w:val="none" w:sz="0" w:space="0" w:color="auto"/>
          </w:divBdr>
          <w:divsChild>
            <w:div w:id="1795708399">
              <w:marLeft w:val="0"/>
              <w:marRight w:val="0"/>
              <w:marTop w:val="0"/>
              <w:marBottom w:val="0"/>
              <w:divBdr>
                <w:top w:val="none" w:sz="0" w:space="0" w:color="auto"/>
                <w:left w:val="none" w:sz="0" w:space="0" w:color="auto"/>
                <w:bottom w:val="none" w:sz="0" w:space="0" w:color="auto"/>
                <w:right w:val="none" w:sz="0" w:space="0" w:color="auto"/>
              </w:divBdr>
            </w:div>
          </w:divsChild>
        </w:div>
        <w:div w:id="1700618924">
          <w:marLeft w:val="0"/>
          <w:marRight w:val="0"/>
          <w:marTop w:val="0"/>
          <w:marBottom w:val="0"/>
          <w:divBdr>
            <w:top w:val="none" w:sz="0" w:space="0" w:color="auto"/>
            <w:left w:val="none" w:sz="0" w:space="0" w:color="auto"/>
            <w:bottom w:val="none" w:sz="0" w:space="0" w:color="auto"/>
            <w:right w:val="none" w:sz="0" w:space="0" w:color="auto"/>
          </w:divBdr>
          <w:divsChild>
            <w:div w:id="522742861">
              <w:marLeft w:val="0"/>
              <w:marRight w:val="0"/>
              <w:marTop w:val="0"/>
              <w:marBottom w:val="0"/>
              <w:divBdr>
                <w:top w:val="none" w:sz="0" w:space="0" w:color="auto"/>
                <w:left w:val="none" w:sz="0" w:space="0" w:color="auto"/>
                <w:bottom w:val="none" w:sz="0" w:space="0" w:color="auto"/>
                <w:right w:val="none" w:sz="0" w:space="0" w:color="auto"/>
              </w:divBdr>
            </w:div>
          </w:divsChild>
        </w:div>
        <w:div w:id="1835760932">
          <w:marLeft w:val="0"/>
          <w:marRight w:val="0"/>
          <w:marTop w:val="0"/>
          <w:marBottom w:val="0"/>
          <w:divBdr>
            <w:top w:val="none" w:sz="0" w:space="0" w:color="auto"/>
            <w:left w:val="none" w:sz="0" w:space="0" w:color="auto"/>
            <w:bottom w:val="none" w:sz="0" w:space="0" w:color="auto"/>
            <w:right w:val="none" w:sz="0" w:space="0" w:color="auto"/>
          </w:divBdr>
          <w:divsChild>
            <w:div w:id="174918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93572">
      <w:bodyDiv w:val="1"/>
      <w:marLeft w:val="0"/>
      <w:marRight w:val="0"/>
      <w:marTop w:val="0"/>
      <w:marBottom w:val="0"/>
      <w:divBdr>
        <w:top w:val="none" w:sz="0" w:space="0" w:color="auto"/>
        <w:left w:val="none" w:sz="0" w:space="0" w:color="auto"/>
        <w:bottom w:val="none" w:sz="0" w:space="0" w:color="auto"/>
        <w:right w:val="none" w:sz="0" w:space="0" w:color="auto"/>
      </w:divBdr>
      <w:divsChild>
        <w:div w:id="789788744">
          <w:marLeft w:val="0"/>
          <w:marRight w:val="0"/>
          <w:marTop w:val="0"/>
          <w:marBottom w:val="0"/>
          <w:divBdr>
            <w:top w:val="none" w:sz="0" w:space="0" w:color="auto"/>
            <w:left w:val="none" w:sz="0" w:space="0" w:color="auto"/>
            <w:bottom w:val="none" w:sz="0" w:space="0" w:color="auto"/>
            <w:right w:val="none" w:sz="0" w:space="0" w:color="auto"/>
          </w:divBdr>
        </w:div>
      </w:divsChild>
    </w:div>
    <w:div w:id="763065110">
      <w:bodyDiv w:val="1"/>
      <w:marLeft w:val="0"/>
      <w:marRight w:val="0"/>
      <w:marTop w:val="0"/>
      <w:marBottom w:val="0"/>
      <w:divBdr>
        <w:top w:val="none" w:sz="0" w:space="0" w:color="auto"/>
        <w:left w:val="none" w:sz="0" w:space="0" w:color="auto"/>
        <w:bottom w:val="none" w:sz="0" w:space="0" w:color="auto"/>
        <w:right w:val="none" w:sz="0" w:space="0" w:color="auto"/>
      </w:divBdr>
      <w:divsChild>
        <w:div w:id="11226339">
          <w:marLeft w:val="0"/>
          <w:marRight w:val="0"/>
          <w:marTop w:val="0"/>
          <w:marBottom w:val="0"/>
          <w:divBdr>
            <w:top w:val="none" w:sz="0" w:space="0" w:color="auto"/>
            <w:left w:val="none" w:sz="0" w:space="0" w:color="auto"/>
            <w:bottom w:val="none" w:sz="0" w:space="0" w:color="auto"/>
            <w:right w:val="none" w:sz="0" w:space="0" w:color="auto"/>
          </w:divBdr>
          <w:divsChild>
            <w:div w:id="1846943693">
              <w:marLeft w:val="0"/>
              <w:marRight w:val="0"/>
              <w:marTop w:val="0"/>
              <w:marBottom w:val="0"/>
              <w:divBdr>
                <w:top w:val="none" w:sz="0" w:space="0" w:color="auto"/>
                <w:left w:val="none" w:sz="0" w:space="0" w:color="auto"/>
                <w:bottom w:val="none" w:sz="0" w:space="0" w:color="auto"/>
                <w:right w:val="none" w:sz="0" w:space="0" w:color="auto"/>
              </w:divBdr>
            </w:div>
          </w:divsChild>
        </w:div>
        <w:div w:id="80757055">
          <w:marLeft w:val="0"/>
          <w:marRight w:val="0"/>
          <w:marTop w:val="0"/>
          <w:marBottom w:val="0"/>
          <w:divBdr>
            <w:top w:val="none" w:sz="0" w:space="0" w:color="auto"/>
            <w:left w:val="none" w:sz="0" w:space="0" w:color="auto"/>
            <w:bottom w:val="none" w:sz="0" w:space="0" w:color="auto"/>
            <w:right w:val="none" w:sz="0" w:space="0" w:color="auto"/>
          </w:divBdr>
          <w:divsChild>
            <w:div w:id="77136141">
              <w:marLeft w:val="0"/>
              <w:marRight w:val="0"/>
              <w:marTop w:val="0"/>
              <w:marBottom w:val="0"/>
              <w:divBdr>
                <w:top w:val="none" w:sz="0" w:space="0" w:color="auto"/>
                <w:left w:val="none" w:sz="0" w:space="0" w:color="auto"/>
                <w:bottom w:val="none" w:sz="0" w:space="0" w:color="auto"/>
                <w:right w:val="none" w:sz="0" w:space="0" w:color="auto"/>
              </w:divBdr>
            </w:div>
            <w:div w:id="257638614">
              <w:marLeft w:val="0"/>
              <w:marRight w:val="0"/>
              <w:marTop w:val="0"/>
              <w:marBottom w:val="0"/>
              <w:divBdr>
                <w:top w:val="none" w:sz="0" w:space="0" w:color="auto"/>
                <w:left w:val="none" w:sz="0" w:space="0" w:color="auto"/>
                <w:bottom w:val="none" w:sz="0" w:space="0" w:color="auto"/>
                <w:right w:val="none" w:sz="0" w:space="0" w:color="auto"/>
              </w:divBdr>
            </w:div>
            <w:div w:id="555355796">
              <w:marLeft w:val="0"/>
              <w:marRight w:val="0"/>
              <w:marTop w:val="0"/>
              <w:marBottom w:val="0"/>
              <w:divBdr>
                <w:top w:val="none" w:sz="0" w:space="0" w:color="auto"/>
                <w:left w:val="none" w:sz="0" w:space="0" w:color="auto"/>
                <w:bottom w:val="none" w:sz="0" w:space="0" w:color="auto"/>
                <w:right w:val="none" w:sz="0" w:space="0" w:color="auto"/>
              </w:divBdr>
            </w:div>
            <w:div w:id="931359681">
              <w:marLeft w:val="0"/>
              <w:marRight w:val="0"/>
              <w:marTop w:val="0"/>
              <w:marBottom w:val="0"/>
              <w:divBdr>
                <w:top w:val="none" w:sz="0" w:space="0" w:color="auto"/>
                <w:left w:val="none" w:sz="0" w:space="0" w:color="auto"/>
                <w:bottom w:val="none" w:sz="0" w:space="0" w:color="auto"/>
                <w:right w:val="none" w:sz="0" w:space="0" w:color="auto"/>
              </w:divBdr>
            </w:div>
            <w:div w:id="1588536099">
              <w:marLeft w:val="0"/>
              <w:marRight w:val="0"/>
              <w:marTop w:val="0"/>
              <w:marBottom w:val="0"/>
              <w:divBdr>
                <w:top w:val="none" w:sz="0" w:space="0" w:color="auto"/>
                <w:left w:val="none" w:sz="0" w:space="0" w:color="auto"/>
                <w:bottom w:val="none" w:sz="0" w:space="0" w:color="auto"/>
                <w:right w:val="none" w:sz="0" w:space="0" w:color="auto"/>
              </w:divBdr>
            </w:div>
            <w:div w:id="1608079646">
              <w:marLeft w:val="0"/>
              <w:marRight w:val="0"/>
              <w:marTop w:val="0"/>
              <w:marBottom w:val="0"/>
              <w:divBdr>
                <w:top w:val="none" w:sz="0" w:space="0" w:color="auto"/>
                <w:left w:val="none" w:sz="0" w:space="0" w:color="auto"/>
                <w:bottom w:val="none" w:sz="0" w:space="0" w:color="auto"/>
                <w:right w:val="none" w:sz="0" w:space="0" w:color="auto"/>
              </w:divBdr>
            </w:div>
            <w:div w:id="1650862141">
              <w:marLeft w:val="0"/>
              <w:marRight w:val="0"/>
              <w:marTop w:val="0"/>
              <w:marBottom w:val="0"/>
              <w:divBdr>
                <w:top w:val="none" w:sz="0" w:space="0" w:color="auto"/>
                <w:left w:val="none" w:sz="0" w:space="0" w:color="auto"/>
                <w:bottom w:val="none" w:sz="0" w:space="0" w:color="auto"/>
                <w:right w:val="none" w:sz="0" w:space="0" w:color="auto"/>
              </w:divBdr>
            </w:div>
            <w:div w:id="2023774992">
              <w:marLeft w:val="0"/>
              <w:marRight w:val="0"/>
              <w:marTop w:val="0"/>
              <w:marBottom w:val="0"/>
              <w:divBdr>
                <w:top w:val="none" w:sz="0" w:space="0" w:color="auto"/>
                <w:left w:val="none" w:sz="0" w:space="0" w:color="auto"/>
                <w:bottom w:val="none" w:sz="0" w:space="0" w:color="auto"/>
                <w:right w:val="none" w:sz="0" w:space="0" w:color="auto"/>
              </w:divBdr>
            </w:div>
            <w:div w:id="2028679231">
              <w:marLeft w:val="0"/>
              <w:marRight w:val="0"/>
              <w:marTop w:val="0"/>
              <w:marBottom w:val="0"/>
              <w:divBdr>
                <w:top w:val="none" w:sz="0" w:space="0" w:color="auto"/>
                <w:left w:val="none" w:sz="0" w:space="0" w:color="auto"/>
                <w:bottom w:val="none" w:sz="0" w:space="0" w:color="auto"/>
                <w:right w:val="none" w:sz="0" w:space="0" w:color="auto"/>
              </w:divBdr>
            </w:div>
          </w:divsChild>
        </w:div>
        <w:div w:id="86851987">
          <w:marLeft w:val="0"/>
          <w:marRight w:val="0"/>
          <w:marTop w:val="0"/>
          <w:marBottom w:val="0"/>
          <w:divBdr>
            <w:top w:val="none" w:sz="0" w:space="0" w:color="auto"/>
            <w:left w:val="none" w:sz="0" w:space="0" w:color="auto"/>
            <w:bottom w:val="none" w:sz="0" w:space="0" w:color="auto"/>
            <w:right w:val="none" w:sz="0" w:space="0" w:color="auto"/>
          </w:divBdr>
          <w:divsChild>
            <w:div w:id="79911952">
              <w:marLeft w:val="0"/>
              <w:marRight w:val="0"/>
              <w:marTop w:val="0"/>
              <w:marBottom w:val="0"/>
              <w:divBdr>
                <w:top w:val="none" w:sz="0" w:space="0" w:color="auto"/>
                <w:left w:val="none" w:sz="0" w:space="0" w:color="auto"/>
                <w:bottom w:val="none" w:sz="0" w:space="0" w:color="auto"/>
                <w:right w:val="none" w:sz="0" w:space="0" w:color="auto"/>
              </w:divBdr>
            </w:div>
          </w:divsChild>
        </w:div>
        <w:div w:id="93988370">
          <w:marLeft w:val="0"/>
          <w:marRight w:val="0"/>
          <w:marTop w:val="0"/>
          <w:marBottom w:val="0"/>
          <w:divBdr>
            <w:top w:val="none" w:sz="0" w:space="0" w:color="auto"/>
            <w:left w:val="none" w:sz="0" w:space="0" w:color="auto"/>
            <w:bottom w:val="none" w:sz="0" w:space="0" w:color="auto"/>
            <w:right w:val="none" w:sz="0" w:space="0" w:color="auto"/>
          </w:divBdr>
          <w:divsChild>
            <w:div w:id="55203152">
              <w:marLeft w:val="0"/>
              <w:marRight w:val="0"/>
              <w:marTop w:val="0"/>
              <w:marBottom w:val="0"/>
              <w:divBdr>
                <w:top w:val="none" w:sz="0" w:space="0" w:color="auto"/>
                <w:left w:val="none" w:sz="0" w:space="0" w:color="auto"/>
                <w:bottom w:val="none" w:sz="0" w:space="0" w:color="auto"/>
                <w:right w:val="none" w:sz="0" w:space="0" w:color="auto"/>
              </w:divBdr>
            </w:div>
            <w:div w:id="294723409">
              <w:marLeft w:val="0"/>
              <w:marRight w:val="0"/>
              <w:marTop w:val="0"/>
              <w:marBottom w:val="0"/>
              <w:divBdr>
                <w:top w:val="none" w:sz="0" w:space="0" w:color="auto"/>
                <w:left w:val="none" w:sz="0" w:space="0" w:color="auto"/>
                <w:bottom w:val="none" w:sz="0" w:space="0" w:color="auto"/>
                <w:right w:val="none" w:sz="0" w:space="0" w:color="auto"/>
              </w:divBdr>
            </w:div>
            <w:div w:id="592279768">
              <w:marLeft w:val="0"/>
              <w:marRight w:val="0"/>
              <w:marTop w:val="0"/>
              <w:marBottom w:val="0"/>
              <w:divBdr>
                <w:top w:val="none" w:sz="0" w:space="0" w:color="auto"/>
                <w:left w:val="none" w:sz="0" w:space="0" w:color="auto"/>
                <w:bottom w:val="none" w:sz="0" w:space="0" w:color="auto"/>
                <w:right w:val="none" w:sz="0" w:space="0" w:color="auto"/>
              </w:divBdr>
            </w:div>
            <w:div w:id="685642666">
              <w:marLeft w:val="0"/>
              <w:marRight w:val="0"/>
              <w:marTop w:val="0"/>
              <w:marBottom w:val="0"/>
              <w:divBdr>
                <w:top w:val="none" w:sz="0" w:space="0" w:color="auto"/>
                <w:left w:val="none" w:sz="0" w:space="0" w:color="auto"/>
                <w:bottom w:val="none" w:sz="0" w:space="0" w:color="auto"/>
                <w:right w:val="none" w:sz="0" w:space="0" w:color="auto"/>
              </w:divBdr>
            </w:div>
            <w:div w:id="729882427">
              <w:marLeft w:val="0"/>
              <w:marRight w:val="0"/>
              <w:marTop w:val="0"/>
              <w:marBottom w:val="0"/>
              <w:divBdr>
                <w:top w:val="none" w:sz="0" w:space="0" w:color="auto"/>
                <w:left w:val="none" w:sz="0" w:space="0" w:color="auto"/>
                <w:bottom w:val="none" w:sz="0" w:space="0" w:color="auto"/>
                <w:right w:val="none" w:sz="0" w:space="0" w:color="auto"/>
              </w:divBdr>
            </w:div>
            <w:div w:id="934750731">
              <w:marLeft w:val="0"/>
              <w:marRight w:val="0"/>
              <w:marTop w:val="0"/>
              <w:marBottom w:val="0"/>
              <w:divBdr>
                <w:top w:val="none" w:sz="0" w:space="0" w:color="auto"/>
                <w:left w:val="none" w:sz="0" w:space="0" w:color="auto"/>
                <w:bottom w:val="none" w:sz="0" w:space="0" w:color="auto"/>
                <w:right w:val="none" w:sz="0" w:space="0" w:color="auto"/>
              </w:divBdr>
            </w:div>
            <w:div w:id="1622178862">
              <w:marLeft w:val="0"/>
              <w:marRight w:val="0"/>
              <w:marTop w:val="0"/>
              <w:marBottom w:val="0"/>
              <w:divBdr>
                <w:top w:val="none" w:sz="0" w:space="0" w:color="auto"/>
                <w:left w:val="none" w:sz="0" w:space="0" w:color="auto"/>
                <w:bottom w:val="none" w:sz="0" w:space="0" w:color="auto"/>
                <w:right w:val="none" w:sz="0" w:space="0" w:color="auto"/>
              </w:divBdr>
            </w:div>
            <w:div w:id="1835144814">
              <w:marLeft w:val="0"/>
              <w:marRight w:val="0"/>
              <w:marTop w:val="0"/>
              <w:marBottom w:val="0"/>
              <w:divBdr>
                <w:top w:val="none" w:sz="0" w:space="0" w:color="auto"/>
                <w:left w:val="none" w:sz="0" w:space="0" w:color="auto"/>
                <w:bottom w:val="none" w:sz="0" w:space="0" w:color="auto"/>
                <w:right w:val="none" w:sz="0" w:space="0" w:color="auto"/>
              </w:divBdr>
            </w:div>
            <w:div w:id="1965386273">
              <w:marLeft w:val="0"/>
              <w:marRight w:val="0"/>
              <w:marTop w:val="0"/>
              <w:marBottom w:val="0"/>
              <w:divBdr>
                <w:top w:val="none" w:sz="0" w:space="0" w:color="auto"/>
                <w:left w:val="none" w:sz="0" w:space="0" w:color="auto"/>
                <w:bottom w:val="none" w:sz="0" w:space="0" w:color="auto"/>
                <w:right w:val="none" w:sz="0" w:space="0" w:color="auto"/>
              </w:divBdr>
            </w:div>
            <w:div w:id="2073237081">
              <w:marLeft w:val="0"/>
              <w:marRight w:val="0"/>
              <w:marTop w:val="0"/>
              <w:marBottom w:val="0"/>
              <w:divBdr>
                <w:top w:val="none" w:sz="0" w:space="0" w:color="auto"/>
                <w:left w:val="none" w:sz="0" w:space="0" w:color="auto"/>
                <w:bottom w:val="none" w:sz="0" w:space="0" w:color="auto"/>
                <w:right w:val="none" w:sz="0" w:space="0" w:color="auto"/>
              </w:divBdr>
            </w:div>
            <w:div w:id="2145073258">
              <w:marLeft w:val="0"/>
              <w:marRight w:val="0"/>
              <w:marTop w:val="0"/>
              <w:marBottom w:val="0"/>
              <w:divBdr>
                <w:top w:val="none" w:sz="0" w:space="0" w:color="auto"/>
                <w:left w:val="none" w:sz="0" w:space="0" w:color="auto"/>
                <w:bottom w:val="none" w:sz="0" w:space="0" w:color="auto"/>
                <w:right w:val="none" w:sz="0" w:space="0" w:color="auto"/>
              </w:divBdr>
            </w:div>
          </w:divsChild>
        </w:div>
        <w:div w:id="95370395">
          <w:marLeft w:val="0"/>
          <w:marRight w:val="0"/>
          <w:marTop w:val="0"/>
          <w:marBottom w:val="0"/>
          <w:divBdr>
            <w:top w:val="none" w:sz="0" w:space="0" w:color="auto"/>
            <w:left w:val="none" w:sz="0" w:space="0" w:color="auto"/>
            <w:bottom w:val="none" w:sz="0" w:space="0" w:color="auto"/>
            <w:right w:val="none" w:sz="0" w:space="0" w:color="auto"/>
          </w:divBdr>
          <w:divsChild>
            <w:div w:id="1487088990">
              <w:marLeft w:val="0"/>
              <w:marRight w:val="0"/>
              <w:marTop w:val="0"/>
              <w:marBottom w:val="0"/>
              <w:divBdr>
                <w:top w:val="none" w:sz="0" w:space="0" w:color="auto"/>
                <w:left w:val="none" w:sz="0" w:space="0" w:color="auto"/>
                <w:bottom w:val="none" w:sz="0" w:space="0" w:color="auto"/>
                <w:right w:val="none" w:sz="0" w:space="0" w:color="auto"/>
              </w:divBdr>
            </w:div>
          </w:divsChild>
        </w:div>
        <w:div w:id="164904474">
          <w:marLeft w:val="0"/>
          <w:marRight w:val="0"/>
          <w:marTop w:val="0"/>
          <w:marBottom w:val="0"/>
          <w:divBdr>
            <w:top w:val="none" w:sz="0" w:space="0" w:color="auto"/>
            <w:left w:val="none" w:sz="0" w:space="0" w:color="auto"/>
            <w:bottom w:val="none" w:sz="0" w:space="0" w:color="auto"/>
            <w:right w:val="none" w:sz="0" w:space="0" w:color="auto"/>
          </w:divBdr>
          <w:divsChild>
            <w:div w:id="131874830">
              <w:marLeft w:val="0"/>
              <w:marRight w:val="0"/>
              <w:marTop w:val="0"/>
              <w:marBottom w:val="0"/>
              <w:divBdr>
                <w:top w:val="none" w:sz="0" w:space="0" w:color="auto"/>
                <w:left w:val="none" w:sz="0" w:space="0" w:color="auto"/>
                <w:bottom w:val="none" w:sz="0" w:space="0" w:color="auto"/>
                <w:right w:val="none" w:sz="0" w:space="0" w:color="auto"/>
              </w:divBdr>
            </w:div>
            <w:div w:id="1867324008">
              <w:marLeft w:val="0"/>
              <w:marRight w:val="0"/>
              <w:marTop w:val="0"/>
              <w:marBottom w:val="0"/>
              <w:divBdr>
                <w:top w:val="none" w:sz="0" w:space="0" w:color="auto"/>
                <w:left w:val="none" w:sz="0" w:space="0" w:color="auto"/>
                <w:bottom w:val="none" w:sz="0" w:space="0" w:color="auto"/>
                <w:right w:val="none" w:sz="0" w:space="0" w:color="auto"/>
              </w:divBdr>
            </w:div>
          </w:divsChild>
        </w:div>
        <w:div w:id="204559614">
          <w:marLeft w:val="0"/>
          <w:marRight w:val="0"/>
          <w:marTop w:val="0"/>
          <w:marBottom w:val="0"/>
          <w:divBdr>
            <w:top w:val="none" w:sz="0" w:space="0" w:color="auto"/>
            <w:left w:val="none" w:sz="0" w:space="0" w:color="auto"/>
            <w:bottom w:val="none" w:sz="0" w:space="0" w:color="auto"/>
            <w:right w:val="none" w:sz="0" w:space="0" w:color="auto"/>
          </w:divBdr>
          <w:divsChild>
            <w:div w:id="1567835321">
              <w:marLeft w:val="0"/>
              <w:marRight w:val="0"/>
              <w:marTop w:val="0"/>
              <w:marBottom w:val="0"/>
              <w:divBdr>
                <w:top w:val="none" w:sz="0" w:space="0" w:color="auto"/>
                <w:left w:val="none" w:sz="0" w:space="0" w:color="auto"/>
                <w:bottom w:val="none" w:sz="0" w:space="0" w:color="auto"/>
                <w:right w:val="none" w:sz="0" w:space="0" w:color="auto"/>
              </w:divBdr>
            </w:div>
          </w:divsChild>
        </w:div>
        <w:div w:id="248271456">
          <w:marLeft w:val="0"/>
          <w:marRight w:val="0"/>
          <w:marTop w:val="0"/>
          <w:marBottom w:val="0"/>
          <w:divBdr>
            <w:top w:val="none" w:sz="0" w:space="0" w:color="auto"/>
            <w:left w:val="none" w:sz="0" w:space="0" w:color="auto"/>
            <w:bottom w:val="none" w:sz="0" w:space="0" w:color="auto"/>
            <w:right w:val="none" w:sz="0" w:space="0" w:color="auto"/>
          </w:divBdr>
          <w:divsChild>
            <w:div w:id="985935292">
              <w:marLeft w:val="0"/>
              <w:marRight w:val="0"/>
              <w:marTop w:val="0"/>
              <w:marBottom w:val="0"/>
              <w:divBdr>
                <w:top w:val="none" w:sz="0" w:space="0" w:color="auto"/>
                <w:left w:val="none" w:sz="0" w:space="0" w:color="auto"/>
                <w:bottom w:val="none" w:sz="0" w:space="0" w:color="auto"/>
                <w:right w:val="none" w:sz="0" w:space="0" w:color="auto"/>
              </w:divBdr>
            </w:div>
          </w:divsChild>
        </w:div>
        <w:div w:id="292446428">
          <w:marLeft w:val="0"/>
          <w:marRight w:val="0"/>
          <w:marTop w:val="0"/>
          <w:marBottom w:val="0"/>
          <w:divBdr>
            <w:top w:val="none" w:sz="0" w:space="0" w:color="auto"/>
            <w:left w:val="none" w:sz="0" w:space="0" w:color="auto"/>
            <w:bottom w:val="none" w:sz="0" w:space="0" w:color="auto"/>
            <w:right w:val="none" w:sz="0" w:space="0" w:color="auto"/>
          </w:divBdr>
          <w:divsChild>
            <w:div w:id="406659492">
              <w:marLeft w:val="0"/>
              <w:marRight w:val="0"/>
              <w:marTop w:val="0"/>
              <w:marBottom w:val="0"/>
              <w:divBdr>
                <w:top w:val="none" w:sz="0" w:space="0" w:color="auto"/>
                <w:left w:val="none" w:sz="0" w:space="0" w:color="auto"/>
                <w:bottom w:val="none" w:sz="0" w:space="0" w:color="auto"/>
                <w:right w:val="none" w:sz="0" w:space="0" w:color="auto"/>
              </w:divBdr>
            </w:div>
            <w:div w:id="642271223">
              <w:marLeft w:val="0"/>
              <w:marRight w:val="0"/>
              <w:marTop w:val="0"/>
              <w:marBottom w:val="0"/>
              <w:divBdr>
                <w:top w:val="none" w:sz="0" w:space="0" w:color="auto"/>
                <w:left w:val="none" w:sz="0" w:space="0" w:color="auto"/>
                <w:bottom w:val="none" w:sz="0" w:space="0" w:color="auto"/>
                <w:right w:val="none" w:sz="0" w:space="0" w:color="auto"/>
              </w:divBdr>
            </w:div>
            <w:div w:id="693843079">
              <w:marLeft w:val="0"/>
              <w:marRight w:val="0"/>
              <w:marTop w:val="0"/>
              <w:marBottom w:val="0"/>
              <w:divBdr>
                <w:top w:val="none" w:sz="0" w:space="0" w:color="auto"/>
                <w:left w:val="none" w:sz="0" w:space="0" w:color="auto"/>
                <w:bottom w:val="none" w:sz="0" w:space="0" w:color="auto"/>
                <w:right w:val="none" w:sz="0" w:space="0" w:color="auto"/>
              </w:divBdr>
            </w:div>
            <w:div w:id="1331060346">
              <w:marLeft w:val="0"/>
              <w:marRight w:val="0"/>
              <w:marTop w:val="0"/>
              <w:marBottom w:val="0"/>
              <w:divBdr>
                <w:top w:val="none" w:sz="0" w:space="0" w:color="auto"/>
                <w:left w:val="none" w:sz="0" w:space="0" w:color="auto"/>
                <w:bottom w:val="none" w:sz="0" w:space="0" w:color="auto"/>
                <w:right w:val="none" w:sz="0" w:space="0" w:color="auto"/>
              </w:divBdr>
            </w:div>
            <w:div w:id="1647391691">
              <w:marLeft w:val="0"/>
              <w:marRight w:val="0"/>
              <w:marTop w:val="0"/>
              <w:marBottom w:val="0"/>
              <w:divBdr>
                <w:top w:val="none" w:sz="0" w:space="0" w:color="auto"/>
                <w:left w:val="none" w:sz="0" w:space="0" w:color="auto"/>
                <w:bottom w:val="none" w:sz="0" w:space="0" w:color="auto"/>
                <w:right w:val="none" w:sz="0" w:space="0" w:color="auto"/>
              </w:divBdr>
            </w:div>
          </w:divsChild>
        </w:div>
        <w:div w:id="346366367">
          <w:marLeft w:val="0"/>
          <w:marRight w:val="0"/>
          <w:marTop w:val="0"/>
          <w:marBottom w:val="0"/>
          <w:divBdr>
            <w:top w:val="none" w:sz="0" w:space="0" w:color="auto"/>
            <w:left w:val="none" w:sz="0" w:space="0" w:color="auto"/>
            <w:bottom w:val="none" w:sz="0" w:space="0" w:color="auto"/>
            <w:right w:val="none" w:sz="0" w:space="0" w:color="auto"/>
          </w:divBdr>
          <w:divsChild>
            <w:div w:id="579951132">
              <w:marLeft w:val="0"/>
              <w:marRight w:val="0"/>
              <w:marTop w:val="0"/>
              <w:marBottom w:val="0"/>
              <w:divBdr>
                <w:top w:val="none" w:sz="0" w:space="0" w:color="auto"/>
                <w:left w:val="none" w:sz="0" w:space="0" w:color="auto"/>
                <w:bottom w:val="none" w:sz="0" w:space="0" w:color="auto"/>
                <w:right w:val="none" w:sz="0" w:space="0" w:color="auto"/>
              </w:divBdr>
            </w:div>
          </w:divsChild>
        </w:div>
        <w:div w:id="409351241">
          <w:marLeft w:val="0"/>
          <w:marRight w:val="0"/>
          <w:marTop w:val="0"/>
          <w:marBottom w:val="0"/>
          <w:divBdr>
            <w:top w:val="none" w:sz="0" w:space="0" w:color="auto"/>
            <w:left w:val="none" w:sz="0" w:space="0" w:color="auto"/>
            <w:bottom w:val="none" w:sz="0" w:space="0" w:color="auto"/>
            <w:right w:val="none" w:sz="0" w:space="0" w:color="auto"/>
          </w:divBdr>
          <w:divsChild>
            <w:div w:id="1417938535">
              <w:marLeft w:val="0"/>
              <w:marRight w:val="0"/>
              <w:marTop w:val="0"/>
              <w:marBottom w:val="0"/>
              <w:divBdr>
                <w:top w:val="none" w:sz="0" w:space="0" w:color="auto"/>
                <w:left w:val="none" w:sz="0" w:space="0" w:color="auto"/>
                <w:bottom w:val="none" w:sz="0" w:space="0" w:color="auto"/>
                <w:right w:val="none" w:sz="0" w:space="0" w:color="auto"/>
              </w:divBdr>
            </w:div>
            <w:div w:id="1987776558">
              <w:marLeft w:val="0"/>
              <w:marRight w:val="0"/>
              <w:marTop w:val="0"/>
              <w:marBottom w:val="0"/>
              <w:divBdr>
                <w:top w:val="none" w:sz="0" w:space="0" w:color="auto"/>
                <w:left w:val="none" w:sz="0" w:space="0" w:color="auto"/>
                <w:bottom w:val="none" w:sz="0" w:space="0" w:color="auto"/>
                <w:right w:val="none" w:sz="0" w:space="0" w:color="auto"/>
              </w:divBdr>
            </w:div>
          </w:divsChild>
        </w:div>
        <w:div w:id="439684247">
          <w:marLeft w:val="0"/>
          <w:marRight w:val="0"/>
          <w:marTop w:val="0"/>
          <w:marBottom w:val="0"/>
          <w:divBdr>
            <w:top w:val="none" w:sz="0" w:space="0" w:color="auto"/>
            <w:left w:val="none" w:sz="0" w:space="0" w:color="auto"/>
            <w:bottom w:val="none" w:sz="0" w:space="0" w:color="auto"/>
            <w:right w:val="none" w:sz="0" w:space="0" w:color="auto"/>
          </w:divBdr>
          <w:divsChild>
            <w:div w:id="761603696">
              <w:marLeft w:val="0"/>
              <w:marRight w:val="0"/>
              <w:marTop w:val="0"/>
              <w:marBottom w:val="0"/>
              <w:divBdr>
                <w:top w:val="none" w:sz="0" w:space="0" w:color="auto"/>
                <w:left w:val="none" w:sz="0" w:space="0" w:color="auto"/>
                <w:bottom w:val="none" w:sz="0" w:space="0" w:color="auto"/>
                <w:right w:val="none" w:sz="0" w:space="0" w:color="auto"/>
              </w:divBdr>
            </w:div>
          </w:divsChild>
        </w:div>
        <w:div w:id="546838942">
          <w:marLeft w:val="0"/>
          <w:marRight w:val="0"/>
          <w:marTop w:val="0"/>
          <w:marBottom w:val="0"/>
          <w:divBdr>
            <w:top w:val="none" w:sz="0" w:space="0" w:color="auto"/>
            <w:left w:val="none" w:sz="0" w:space="0" w:color="auto"/>
            <w:bottom w:val="none" w:sz="0" w:space="0" w:color="auto"/>
            <w:right w:val="none" w:sz="0" w:space="0" w:color="auto"/>
          </w:divBdr>
          <w:divsChild>
            <w:div w:id="610891642">
              <w:marLeft w:val="0"/>
              <w:marRight w:val="0"/>
              <w:marTop w:val="0"/>
              <w:marBottom w:val="0"/>
              <w:divBdr>
                <w:top w:val="none" w:sz="0" w:space="0" w:color="auto"/>
                <w:left w:val="none" w:sz="0" w:space="0" w:color="auto"/>
                <w:bottom w:val="none" w:sz="0" w:space="0" w:color="auto"/>
                <w:right w:val="none" w:sz="0" w:space="0" w:color="auto"/>
              </w:divBdr>
            </w:div>
          </w:divsChild>
        </w:div>
        <w:div w:id="567229056">
          <w:marLeft w:val="0"/>
          <w:marRight w:val="0"/>
          <w:marTop w:val="0"/>
          <w:marBottom w:val="0"/>
          <w:divBdr>
            <w:top w:val="none" w:sz="0" w:space="0" w:color="auto"/>
            <w:left w:val="none" w:sz="0" w:space="0" w:color="auto"/>
            <w:bottom w:val="none" w:sz="0" w:space="0" w:color="auto"/>
            <w:right w:val="none" w:sz="0" w:space="0" w:color="auto"/>
          </w:divBdr>
          <w:divsChild>
            <w:div w:id="234362105">
              <w:marLeft w:val="0"/>
              <w:marRight w:val="0"/>
              <w:marTop w:val="0"/>
              <w:marBottom w:val="0"/>
              <w:divBdr>
                <w:top w:val="none" w:sz="0" w:space="0" w:color="auto"/>
                <w:left w:val="none" w:sz="0" w:space="0" w:color="auto"/>
                <w:bottom w:val="none" w:sz="0" w:space="0" w:color="auto"/>
                <w:right w:val="none" w:sz="0" w:space="0" w:color="auto"/>
              </w:divBdr>
            </w:div>
          </w:divsChild>
        </w:div>
        <w:div w:id="579102253">
          <w:marLeft w:val="0"/>
          <w:marRight w:val="0"/>
          <w:marTop w:val="0"/>
          <w:marBottom w:val="0"/>
          <w:divBdr>
            <w:top w:val="none" w:sz="0" w:space="0" w:color="auto"/>
            <w:left w:val="none" w:sz="0" w:space="0" w:color="auto"/>
            <w:bottom w:val="none" w:sz="0" w:space="0" w:color="auto"/>
            <w:right w:val="none" w:sz="0" w:space="0" w:color="auto"/>
          </w:divBdr>
          <w:divsChild>
            <w:div w:id="290282350">
              <w:marLeft w:val="0"/>
              <w:marRight w:val="0"/>
              <w:marTop w:val="0"/>
              <w:marBottom w:val="0"/>
              <w:divBdr>
                <w:top w:val="none" w:sz="0" w:space="0" w:color="auto"/>
                <w:left w:val="none" w:sz="0" w:space="0" w:color="auto"/>
                <w:bottom w:val="none" w:sz="0" w:space="0" w:color="auto"/>
                <w:right w:val="none" w:sz="0" w:space="0" w:color="auto"/>
              </w:divBdr>
            </w:div>
          </w:divsChild>
        </w:div>
        <w:div w:id="638462256">
          <w:marLeft w:val="0"/>
          <w:marRight w:val="0"/>
          <w:marTop w:val="0"/>
          <w:marBottom w:val="0"/>
          <w:divBdr>
            <w:top w:val="none" w:sz="0" w:space="0" w:color="auto"/>
            <w:left w:val="none" w:sz="0" w:space="0" w:color="auto"/>
            <w:bottom w:val="none" w:sz="0" w:space="0" w:color="auto"/>
            <w:right w:val="none" w:sz="0" w:space="0" w:color="auto"/>
          </w:divBdr>
          <w:divsChild>
            <w:div w:id="1272587921">
              <w:marLeft w:val="0"/>
              <w:marRight w:val="0"/>
              <w:marTop w:val="0"/>
              <w:marBottom w:val="0"/>
              <w:divBdr>
                <w:top w:val="none" w:sz="0" w:space="0" w:color="auto"/>
                <w:left w:val="none" w:sz="0" w:space="0" w:color="auto"/>
                <w:bottom w:val="none" w:sz="0" w:space="0" w:color="auto"/>
                <w:right w:val="none" w:sz="0" w:space="0" w:color="auto"/>
              </w:divBdr>
            </w:div>
          </w:divsChild>
        </w:div>
        <w:div w:id="645865532">
          <w:marLeft w:val="0"/>
          <w:marRight w:val="0"/>
          <w:marTop w:val="0"/>
          <w:marBottom w:val="0"/>
          <w:divBdr>
            <w:top w:val="none" w:sz="0" w:space="0" w:color="auto"/>
            <w:left w:val="none" w:sz="0" w:space="0" w:color="auto"/>
            <w:bottom w:val="none" w:sz="0" w:space="0" w:color="auto"/>
            <w:right w:val="none" w:sz="0" w:space="0" w:color="auto"/>
          </w:divBdr>
          <w:divsChild>
            <w:div w:id="1066759667">
              <w:marLeft w:val="0"/>
              <w:marRight w:val="0"/>
              <w:marTop w:val="0"/>
              <w:marBottom w:val="0"/>
              <w:divBdr>
                <w:top w:val="none" w:sz="0" w:space="0" w:color="auto"/>
                <w:left w:val="none" w:sz="0" w:space="0" w:color="auto"/>
                <w:bottom w:val="none" w:sz="0" w:space="0" w:color="auto"/>
                <w:right w:val="none" w:sz="0" w:space="0" w:color="auto"/>
              </w:divBdr>
            </w:div>
          </w:divsChild>
        </w:div>
        <w:div w:id="690037835">
          <w:marLeft w:val="0"/>
          <w:marRight w:val="0"/>
          <w:marTop w:val="0"/>
          <w:marBottom w:val="0"/>
          <w:divBdr>
            <w:top w:val="none" w:sz="0" w:space="0" w:color="auto"/>
            <w:left w:val="none" w:sz="0" w:space="0" w:color="auto"/>
            <w:bottom w:val="none" w:sz="0" w:space="0" w:color="auto"/>
            <w:right w:val="none" w:sz="0" w:space="0" w:color="auto"/>
          </w:divBdr>
          <w:divsChild>
            <w:div w:id="1209563459">
              <w:marLeft w:val="0"/>
              <w:marRight w:val="0"/>
              <w:marTop w:val="0"/>
              <w:marBottom w:val="0"/>
              <w:divBdr>
                <w:top w:val="none" w:sz="0" w:space="0" w:color="auto"/>
                <w:left w:val="none" w:sz="0" w:space="0" w:color="auto"/>
                <w:bottom w:val="none" w:sz="0" w:space="0" w:color="auto"/>
                <w:right w:val="none" w:sz="0" w:space="0" w:color="auto"/>
              </w:divBdr>
            </w:div>
          </w:divsChild>
        </w:div>
        <w:div w:id="690231238">
          <w:marLeft w:val="0"/>
          <w:marRight w:val="0"/>
          <w:marTop w:val="0"/>
          <w:marBottom w:val="0"/>
          <w:divBdr>
            <w:top w:val="none" w:sz="0" w:space="0" w:color="auto"/>
            <w:left w:val="none" w:sz="0" w:space="0" w:color="auto"/>
            <w:bottom w:val="none" w:sz="0" w:space="0" w:color="auto"/>
            <w:right w:val="none" w:sz="0" w:space="0" w:color="auto"/>
          </w:divBdr>
          <w:divsChild>
            <w:div w:id="553390863">
              <w:marLeft w:val="0"/>
              <w:marRight w:val="0"/>
              <w:marTop w:val="0"/>
              <w:marBottom w:val="0"/>
              <w:divBdr>
                <w:top w:val="none" w:sz="0" w:space="0" w:color="auto"/>
                <w:left w:val="none" w:sz="0" w:space="0" w:color="auto"/>
                <w:bottom w:val="none" w:sz="0" w:space="0" w:color="auto"/>
                <w:right w:val="none" w:sz="0" w:space="0" w:color="auto"/>
              </w:divBdr>
            </w:div>
          </w:divsChild>
        </w:div>
        <w:div w:id="697699079">
          <w:marLeft w:val="0"/>
          <w:marRight w:val="0"/>
          <w:marTop w:val="0"/>
          <w:marBottom w:val="0"/>
          <w:divBdr>
            <w:top w:val="none" w:sz="0" w:space="0" w:color="auto"/>
            <w:left w:val="none" w:sz="0" w:space="0" w:color="auto"/>
            <w:bottom w:val="none" w:sz="0" w:space="0" w:color="auto"/>
            <w:right w:val="none" w:sz="0" w:space="0" w:color="auto"/>
          </w:divBdr>
          <w:divsChild>
            <w:div w:id="1572160364">
              <w:marLeft w:val="0"/>
              <w:marRight w:val="0"/>
              <w:marTop w:val="0"/>
              <w:marBottom w:val="0"/>
              <w:divBdr>
                <w:top w:val="none" w:sz="0" w:space="0" w:color="auto"/>
                <w:left w:val="none" w:sz="0" w:space="0" w:color="auto"/>
                <w:bottom w:val="none" w:sz="0" w:space="0" w:color="auto"/>
                <w:right w:val="none" w:sz="0" w:space="0" w:color="auto"/>
              </w:divBdr>
            </w:div>
          </w:divsChild>
        </w:div>
        <w:div w:id="728267246">
          <w:marLeft w:val="0"/>
          <w:marRight w:val="0"/>
          <w:marTop w:val="0"/>
          <w:marBottom w:val="0"/>
          <w:divBdr>
            <w:top w:val="none" w:sz="0" w:space="0" w:color="auto"/>
            <w:left w:val="none" w:sz="0" w:space="0" w:color="auto"/>
            <w:bottom w:val="none" w:sz="0" w:space="0" w:color="auto"/>
            <w:right w:val="none" w:sz="0" w:space="0" w:color="auto"/>
          </w:divBdr>
          <w:divsChild>
            <w:div w:id="1603144834">
              <w:marLeft w:val="0"/>
              <w:marRight w:val="0"/>
              <w:marTop w:val="0"/>
              <w:marBottom w:val="0"/>
              <w:divBdr>
                <w:top w:val="none" w:sz="0" w:space="0" w:color="auto"/>
                <w:left w:val="none" w:sz="0" w:space="0" w:color="auto"/>
                <w:bottom w:val="none" w:sz="0" w:space="0" w:color="auto"/>
                <w:right w:val="none" w:sz="0" w:space="0" w:color="auto"/>
              </w:divBdr>
            </w:div>
            <w:div w:id="1754161443">
              <w:marLeft w:val="0"/>
              <w:marRight w:val="0"/>
              <w:marTop w:val="0"/>
              <w:marBottom w:val="0"/>
              <w:divBdr>
                <w:top w:val="none" w:sz="0" w:space="0" w:color="auto"/>
                <w:left w:val="none" w:sz="0" w:space="0" w:color="auto"/>
                <w:bottom w:val="none" w:sz="0" w:space="0" w:color="auto"/>
                <w:right w:val="none" w:sz="0" w:space="0" w:color="auto"/>
              </w:divBdr>
            </w:div>
            <w:div w:id="1766608033">
              <w:marLeft w:val="0"/>
              <w:marRight w:val="0"/>
              <w:marTop w:val="0"/>
              <w:marBottom w:val="0"/>
              <w:divBdr>
                <w:top w:val="none" w:sz="0" w:space="0" w:color="auto"/>
                <w:left w:val="none" w:sz="0" w:space="0" w:color="auto"/>
                <w:bottom w:val="none" w:sz="0" w:space="0" w:color="auto"/>
                <w:right w:val="none" w:sz="0" w:space="0" w:color="auto"/>
              </w:divBdr>
            </w:div>
          </w:divsChild>
        </w:div>
        <w:div w:id="797531051">
          <w:marLeft w:val="0"/>
          <w:marRight w:val="0"/>
          <w:marTop w:val="0"/>
          <w:marBottom w:val="0"/>
          <w:divBdr>
            <w:top w:val="none" w:sz="0" w:space="0" w:color="auto"/>
            <w:left w:val="none" w:sz="0" w:space="0" w:color="auto"/>
            <w:bottom w:val="none" w:sz="0" w:space="0" w:color="auto"/>
            <w:right w:val="none" w:sz="0" w:space="0" w:color="auto"/>
          </w:divBdr>
          <w:divsChild>
            <w:div w:id="1317563531">
              <w:marLeft w:val="0"/>
              <w:marRight w:val="0"/>
              <w:marTop w:val="0"/>
              <w:marBottom w:val="0"/>
              <w:divBdr>
                <w:top w:val="none" w:sz="0" w:space="0" w:color="auto"/>
                <w:left w:val="none" w:sz="0" w:space="0" w:color="auto"/>
                <w:bottom w:val="none" w:sz="0" w:space="0" w:color="auto"/>
                <w:right w:val="none" w:sz="0" w:space="0" w:color="auto"/>
              </w:divBdr>
            </w:div>
          </w:divsChild>
        </w:div>
        <w:div w:id="805586393">
          <w:marLeft w:val="0"/>
          <w:marRight w:val="0"/>
          <w:marTop w:val="0"/>
          <w:marBottom w:val="0"/>
          <w:divBdr>
            <w:top w:val="none" w:sz="0" w:space="0" w:color="auto"/>
            <w:left w:val="none" w:sz="0" w:space="0" w:color="auto"/>
            <w:bottom w:val="none" w:sz="0" w:space="0" w:color="auto"/>
            <w:right w:val="none" w:sz="0" w:space="0" w:color="auto"/>
          </w:divBdr>
          <w:divsChild>
            <w:div w:id="124349985">
              <w:marLeft w:val="0"/>
              <w:marRight w:val="0"/>
              <w:marTop w:val="0"/>
              <w:marBottom w:val="0"/>
              <w:divBdr>
                <w:top w:val="none" w:sz="0" w:space="0" w:color="auto"/>
                <w:left w:val="none" w:sz="0" w:space="0" w:color="auto"/>
                <w:bottom w:val="none" w:sz="0" w:space="0" w:color="auto"/>
                <w:right w:val="none" w:sz="0" w:space="0" w:color="auto"/>
              </w:divBdr>
            </w:div>
            <w:div w:id="155583856">
              <w:marLeft w:val="0"/>
              <w:marRight w:val="0"/>
              <w:marTop w:val="0"/>
              <w:marBottom w:val="0"/>
              <w:divBdr>
                <w:top w:val="none" w:sz="0" w:space="0" w:color="auto"/>
                <w:left w:val="none" w:sz="0" w:space="0" w:color="auto"/>
                <w:bottom w:val="none" w:sz="0" w:space="0" w:color="auto"/>
                <w:right w:val="none" w:sz="0" w:space="0" w:color="auto"/>
              </w:divBdr>
            </w:div>
          </w:divsChild>
        </w:div>
        <w:div w:id="809059793">
          <w:marLeft w:val="0"/>
          <w:marRight w:val="0"/>
          <w:marTop w:val="0"/>
          <w:marBottom w:val="0"/>
          <w:divBdr>
            <w:top w:val="none" w:sz="0" w:space="0" w:color="auto"/>
            <w:left w:val="none" w:sz="0" w:space="0" w:color="auto"/>
            <w:bottom w:val="none" w:sz="0" w:space="0" w:color="auto"/>
            <w:right w:val="none" w:sz="0" w:space="0" w:color="auto"/>
          </w:divBdr>
          <w:divsChild>
            <w:div w:id="49154377">
              <w:marLeft w:val="0"/>
              <w:marRight w:val="0"/>
              <w:marTop w:val="0"/>
              <w:marBottom w:val="0"/>
              <w:divBdr>
                <w:top w:val="none" w:sz="0" w:space="0" w:color="auto"/>
                <w:left w:val="none" w:sz="0" w:space="0" w:color="auto"/>
                <w:bottom w:val="none" w:sz="0" w:space="0" w:color="auto"/>
                <w:right w:val="none" w:sz="0" w:space="0" w:color="auto"/>
              </w:divBdr>
            </w:div>
          </w:divsChild>
        </w:div>
        <w:div w:id="890773613">
          <w:marLeft w:val="0"/>
          <w:marRight w:val="0"/>
          <w:marTop w:val="0"/>
          <w:marBottom w:val="0"/>
          <w:divBdr>
            <w:top w:val="none" w:sz="0" w:space="0" w:color="auto"/>
            <w:left w:val="none" w:sz="0" w:space="0" w:color="auto"/>
            <w:bottom w:val="none" w:sz="0" w:space="0" w:color="auto"/>
            <w:right w:val="none" w:sz="0" w:space="0" w:color="auto"/>
          </w:divBdr>
          <w:divsChild>
            <w:div w:id="363798441">
              <w:marLeft w:val="0"/>
              <w:marRight w:val="0"/>
              <w:marTop w:val="0"/>
              <w:marBottom w:val="0"/>
              <w:divBdr>
                <w:top w:val="none" w:sz="0" w:space="0" w:color="auto"/>
                <w:left w:val="none" w:sz="0" w:space="0" w:color="auto"/>
                <w:bottom w:val="none" w:sz="0" w:space="0" w:color="auto"/>
                <w:right w:val="none" w:sz="0" w:space="0" w:color="auto"/>
              </w:divBdr>
            </w:div>
            <w:div w:id="377701930">
              <w:marLeft w:val="0"/>
              <w:marRight w:val="0"/>
              <w:marTop w:val="0"/>
              <w:marBottom w:val="0"/>
              <w:divBdr>
                <w:top w:val="none" w:sz="0" w:space="0" w:color="auto"/>
                <w:left w:val="none" w:sz="0" w:space="0" w:color="auto"/>
                <w:bottom w:val="none" w:sz="0" w:space="0" w:color="auto"/>
                <w:right w:val="none" w:sz="0" w:space="0" w:color="auto"/>
              </w:divBdr>
            </w:div>
            <w:div w:id="1281956155">
              <w:marLeft w:val="0"/>
              <w:marRight w:val="0"/>
              <w:marTop w:val="0"/>
              <w:marBottom w:val="0"/>
              <w:divBdr>
                <w:top w:val="none" w:sz="0" w:space="0" w:color="auto"/>
                <w:left w:val="none" w:sz="0" w:space="0" w:color="auto"/>
                <w:bottom w:val="none" w:sz="0" w:space="0" w:color="auto"/>
                <w:right w:val="none" w:sz="0" w:space="0" w:color="auto"/>
              </w:divBdr>
            </w:div>
            <w:div w:id="1458571065">
              <w:marLeft w:val="0"/>
              <w:marRight w:val="0"/>
              <w:marTop w:val="0"/>
              <w:marBottom w:val="0"/>
              <w:divBdr>
                <w:top w:val="none" w:sz="0" w:space="0" w:color="auto"/>
                <w:left w:val="none" w:sz="0" w:space="0" w:color="auto"/>
                <w:bottom w:val="none" w:sz="0" w:space="0" w:color="auto"/>
                <w:right w:val="none" w:sz="0" w:space="0" w:color="auto"/>
              </w:divBdr>
            </w:div>
            <w:div w:id="2066298844">
              <w:marLeft w:val="0"/>
              <w:marRight w:val="0"/>
              <w:marTop w:val="0"/>
              <w:marBottom w:val="0"/>
              <w:divBdr>
                <w:top w:val="none" w:sz="0" w:space="0" w:color="auto"/>
                <w:left w:val="none" w:sz="0" w:space="0" w:color="auto"/>
                <w:bottom w:val="none" w:sz="0" w:space="0" w:color="auto"/>
                <w:right w:val="none" w:sz="0" w:space="0" w:color="auto"/>
              </w:divBdr>
            </w:div>
          </w:divsChild>
        </w:div>
        <w:div w:id="901673977">
          <w:marLeft w:val="0"/>
          <w:marRight w:val="0"/>
          <w:marTop w:val="0"/>
          <w:marBottom w:val="0"/>
          <w:divBdr>
            <w:top w:val="none" w:sz="0" w:space="0" w:color="auto"/>
            <w:left w:val="none" w:sz="0" w:space="0" w:color="auto"/>
            <w:bottom w:val="none" w:sz="0" w:space="0" w:color="auto"/>
            <w:right w:val="none" w:sz="0" w:space="0" w:color="auto"/>
          </w:divBdr>
          <w:divsChild>
            <w:div w:id="144205225">
              <w:marLeft w:val="0"/>
              <w:marRight w:val="0"/>
              <w:marTop w:val="0"/>
              <w:marBottom w:val="0"/>
              <w:divBdr>
                <w:top w:val="none" w:sz="0" w:space="0" w:color="auto"/>
                <w:left w:val="none" w:sz="0" w:space="0" w:color="auto"/>
                <w:bottom w:val="none" w:sz="0" w:space="0" w:color="auto"/>
                <w:right w:val="none" w:sz="0" w:space="0" w:color="auto"/>
              </w:divBdr>
            </w:div>
          </w:divsChild>
        </w:div>
        <w:div w:id="905840278">
          <w:marLeft w:val="0"/>
          <w:marRight w:val="0"/>
          <w:marTop w:val="0"/>
          <w:marBottom w:val="0"/>
          <w:divBdr>
            <w:top w:val="none" w:sz="0" w:space="0" w:color="auto"/>
            <w:left w:val="none" w:sz="0" w:space="0" w:color="auto"/>
            <w:bottom w:val="none" w:sz="0" w:space="0" w:color="auto"/>
            <w:right w:val="none" w:sz="0" w:space="0" w:color="auto"/>
          </w:divBdr>
          <w:divsChild>
            <w:div w:id="981421259">
              <w:marLeft w:val="0"/>
              <w:marRight w:val="0"/>
              <w:marTop w:val="0"/>
              <w:marBottom w:val="0"/>
              <w:divBdr>
                <w:top w:val="none" w:sz="0" w:space="0" w:color="auto"/>
                <w:left w:val="none" w:sz="0" w:space="0" w:color="auto"/>
                <w:bottom w:val="none" w:sz="0" w:space="0" w:color="auto"/>
                <w:right w:val="none" w:sz="0" w:space="0" w:color="auto"/>
              </w:divBdr>
            </w:div>
          </w:divsChild>
        </w:div>
        <w:div w:id="914242496">
          <w:marLeft w:val="0"/>
          <w:marRight w:val="0"/>
          <w:marTop w:val="0"/>
          <w:marBottom w:val="0"/>
          <w:divBdr>
            <w:top w:val="none" w:sz="0" w:space="0" w:color="auto"/>
            <w:left w:val="none" w:sz="0" w:space="0" w:color="auto"/>
            <w:bottom w:val="none" w:sz="0" w:space="0" w:color="auto"/>
            <w:right w:val="none" w:sz="0" w:space="0" w:color="auto"/>
          </w:divBdr>
          <w:divsChild>
            <w:div w:id="1610503112">
              <w:marLeft w:val="0"/>
              <w:marRight w:val="0"/>
              <w:marTop w:val="0"/>
              <w:marBottom w:val="0"/>
              <w:divBdr>
                <w:top w:val="none" w:sz="0" w:space="0" w:color="auto"/>
                <w:left w:val="none" w:sz="0" w:space="0" w:color="auto"/>
                <w:bottom w:val="none" w:sz="0" w:space="0" w:color="auto"/>
                <w:right w:val="none" w:sz="0" w:space="0" w:color="auto"/>
              </w:divBdr>
            </w:div>
          </w:divsChild>
        </w:div>
        <w:div w:id="956713342">
          <w:marLeft w:val="0"/>
          <w:marRight w:val="0"/>
          <w:marTop w:val="0"/>
          <w:marBottom w:val="0"/>
          <w:divBdr>
            <w:top w:val="none" w:sz="0" w:space="0" w:color="auto"/>
            <w:left w:val="none" w:sz="0" w:space="0" w:color="auto"/>
            <w:bottom w:val="none" w:sz="0" w:space="0" w:color="auto"/>
            <w:right w:val="none" w:sz="0" w:space="0" w:color="auto"/>
          </w:divBdr>
          <w:divsChild>
            <w:div w:id="1150252832">
              <w:marLeft w:val="0"/>
              <w:marRight w:val="0"/>
              <w:marTop w:val="0"/>
              <w:marBottom w:val="0"/>
              <w:divBdr>
                <w:top w:val="none" w:sz="0" w:space="0" w:color="auto"/>
                <w:left w:val="none" w:sz="0" w:space="0" w:color="auto"/>
                <w:bottom w:val="none" w:sz="0" w:space="0" w:color="auto"/>
                <w:right w:val="none" w:sz="0" w:space="0" w:color="auto"/>
              </w:divBdr>
            </w:div>
            <w:div w:id="1174687851">
              <w:marLeft w:val="0"/>
              <w:marRight w:val="0"/>
              <w:marTop w:val="0"/>
              <w:marBottom w:val="0"/>
              <w:divBdr>
                <w:top w:val="none" w:sz="0" w:space="0" w:color="auto"/>
                <w:left w:val="none" w:sz="0" w:space="0" w:color="auto"/>
                <w:bottom w:val="none" w:sz="0" w:space="0" w:color="auto"/>
                <w:right w:val="none" w:sz="0" w:space="0" w:color="auto"/>
              </w:divBdr>
            </w:div>
          </w:divsChild>
        </w:div>
        <w:div w:id="970672809">
          <w:marLeft w:val="0"/>
          <w:marRight w:val="0"/>
          <w:marTop w:val="0"/>
          <w:marBottom w:val="0"/>
          <w:divBdr>
            <w:top w:val="none" w:sz="0" w:space="0" w:color="auto"/>
            <w:left w:val="none" w:sz="0" w:space="0" w:color="auto"/>
            <w:bottom w:val="none" w:sz="0" w:space="0" w:color="auto"/>
            <w:right w:val="none" w:sz="0" w:space="0" w:color="auto"/>
          </w:divBdr>
          <w:divsChild>
            <w:div w:id="304045511">
              <w:marLeft w:val="0"/>
              <w:marRight w:val="0"/>
              <w:marTop w:val="0"/>
              <w:marBottom w:val="0"/>
              <w:divBdr>
                <w:top w:val="none" w:sz="0" w:space="0" w:color="auto"/>
                <w:left w:val="none" w:sz="0" w:space="0" w:color="auto"/>
                <w:bottom w:val="none" w:sz="0" w:space="0" w:color="auto"/>
                <w:right w:val="none" w:sz="0" w:space="0" w:color="auto"/>
              </w:divBdr>
            </w:div>
            <w:div w:id="1127355097">
              <w:marLeft w:val="0"/>
              <w:marRight w:val="0"/>
              <w:marTop w:val="0"/>
              <w:marBottom w:val="0"/>
              <w:divBdr>
                <w:top w:val="none" w:sz="0" w:space="0" w:color="auto"/>
                <w:left w:val="none" w:sz="0" w:space="0" w:color="auto"/>
                <w:bottom w:val="none" w:sz="0" w:space="0" w:color="auto"/>
                <w:right w:val="none" w:sz="0" w:space="0" w:color="auto"/>
              </w:divBdr>
            </w:div>
            <w:div w:id="1278683061">
              <w:marLeft w:val="0"/>
              <w:marRight w:val="0"/>
              <w:marTop w:val="0"/>
              <w:marBottom w:val="0"/>
              <w:divBdr>
                <w:top w:val="none" w:sz="0" w:space="0" w:color="auto"/>
                <w:left w:val="none" w:sz="0" w:space="0" w:color="auto"/>
                <w:bottom w:val="none" w:sz="0" w:space="0" w:color="auto"/>
                <w:right w:val="none" w:sz="0" w:space="0" w:color="auto"/>
              </w:divBdr>
            </w:div>
            <w:div w:id="1333332262">
              <w:marLeft w:val="0"/>
              <w:marRight w:val="0"/>
              <w:marTop w:val="0"/>
              <w:marBottom w:val="0"/>
              <w:divBdr>
                <w:top w:val="none" w:sz="0" w:space="0" w:color="auto"/>
                <w:left w:val="none" w:sz="0" w:space="0" w:color="auto"/>
                <w:bottom w:val="none" w:sz="0" w:space="0" w:color="auto"/>
                <w:right w:val="none" w:sz="0" w:space="0" w:color="auto"/>
              </w:divBdr>
            </w:div>
            <w:div w:id="2123331891">
              <w:marLeft w:val="0"/>
              <w:marRight w:val="0"/>
              <w:marTop w:val="0"/>
              <w:marBottom w:val="0"/>
              <w:divBdr>
                <w:top w:val="none" w:sz="0" w:space="0" w:color="auto"/>
                <w:left w:val="none" w:sz="0" w:space="0" w:color="auto"/>
                <w:bottom w:val="none" w:sz="0" w:space="0" w:color="auto"/>
                <w:right w:val="none" w:sz="0" w:space="0" w:color="auto"/>
              </w:divBdr>
            </w:div>
          </w:divsChild>
        </w:div>
        <w:div w:id="1012612917">
          <w:marLeft w:val="0"/>
          <w:marRight w:val="0"/>
          <w:marTop w:val="0"/>
          <w:marBottom w:val="0"/>
          <w:divBdr>
            <w:top w:val="none" w:sz="0" w:space="0" w:color="auto"/>
            <w:left w:val="none" w:sz="0" w:space="0" w:color="auto"/>
            <w:bottom w:val="none" w:sz="0" w:space="0" w:color="auto"/>
            <w:right w:val="none" w:sz="0" w:space="0" w:color="auto"/>
          </w:divBdr>
          <w:divsChild>
            <w:div w:id="755901584">
              <w:marLeft w:val="0"/>
              <w:marRight w:val="0"/>
              <w:marTop w:val="0"/>
              <w:marBottom w:val="0"/>
              <w:divBdr>
                <w:top w:val="none" w:sz="0" w:space="0" w:color="auto"/>
                <w:left w:val="none" w:sz="0" w:space="0" w:color="auto"/>
                <w:bottom w:val="none" w:sz="0" w:space="0" w:color="auto"/>
                <w:right w:val="none" w:sz="0" w:space="0" w:color="auto"/>
              </w:divBdr>
            </w:div>
          </w:divsChild>
        </w:div>
        <w:div w:id="1053653316">
          <w:marLeft w:val="0"/>
          <w:marRight w:val="0"/>
          <w:marTop w:val="0"/>
          <w:marBottom w:val="0"/>
          <w:divBdr>
            <w:top w:val="none" w:sz="0" w:space="0" w:color="auto"/>
            <w:left w:val="none" w:sz="0" w:space="0" w:color="auto"/>
            <w:bottom w:val="none" w:sz="0" w:space="0" w:color="auto"/>
            <w:right w:val="none" w:sz="0" w:space="0" w:color="auto"/>
          </w:divBdr>
          <w:divsChild>
            <w:div w:id="721488908">
              <w:marLeft w:val="0"/>
              <w:marRight w:val="0"/>
              <w:marTop w:val="0"/>
              <w:marBottom w:val="0"/>
              <w:divBdr>
                <w:top w:val="none" w:sz="0" w:space="0" w:color="auto"/>
                <w:left w:val="none" w:sz="0" w:space="0" w:color="auto"/>
                <w:bottom w:val="none" w:sz="0" w:space="0" w:color="auto"/>
                <w:right w:val="none" w:sz="0" w:space="0" w:color="auto"/>
              </w:divBdr>
            </w:div>
          </w:divsChild>
        </w:div>
        <w:div w:id="1209217567">
          <w:marLeft w:val="0"/>
          <w:marRight w:val="0"/>
          <w:marTop w:val="0"/>
          <w:marBottom w:val="0"/>
          <w:divBdr>
            <w:top w:val="none" w:sz="0" w:space="0" w:color="auto"/>
            <w:left w:val="none" w:sz="0" w:space="0" w:color="auto"/>
            <w:bottom w:val="none" w:sz="0" w:space="0" w:color="auto"/>
            <w:right w:val="none" w:sz="0" w:space="0" w:color="auto"/>
          </w:divBdr>
          <w:divsChild>
            <w:div w:id="1688748168">
              <w:marLeft w:val="0"/>
              <w:marRight w:val="0"/>
              <w:marTop w:val="0"/>
              <w:marBottom w:val="0"/>
              <w:divBdr>
                <w:top w:val="none" w:sz="0" w:space="0" w:color="auto"/>
                <w:left w:val="none" w:sz="0" w:space="0" w:color="auto"/>
                <w:bottom w:val="none" w:sz="0" w:space="0" w:color="auto"/>
                <w:right w:val="none" w:sz="0" w:space="0" w:color="auto"/>
              </w:divBdr>
            </w:div>
          </w:divsChild>
        </w:div>
        <w:div w:id="1216355045">
          <w:marLeft w:val="0"/>
          <w:marRight w:val="0"/>
          <w:marTop w:val="0"/>
          <w:marBottom w:val="0"/>
          <w:divBdr>
            <w:top w:val="none" w:sz="0" w:space="0" w:color="auto"/>
            <w:left w:val="none" w:sz="0" w:space="0" w:color="auto"/>
            <w:bottom w:val="none" w:sz="0" w:space="0" w:color="auto"/>
            <w:right w:val="none" w:sz="0" w:space="0" w:color="auto"/>
          </w:divBdr>
          <w:divsChild>
            <w:div w:id="526603348">
              <w:marLeft w:val="0"/>
              <w:marRight w:val="0"/>
              <w:marTop w:val="0"/>
              <w:marBottom w:val="0"/>
              <w:divBdr>
                <w:top w:val="none" w:sz="0" w:space="0" w:color="auto"/>
                <w:left w:val="none" w:sz="0" w:space="0" w:color="auto"/>
                <w:bottom w:val="none" w:sz="0" w:space="0" w:color="auto"/>
                <w:right w:val="none" w:sz="0" w:space="0" w:color="auto"/>
              </w:divBdr>
            </w:div>
            <w:div w:id="1371036015">
              <w:marLeft w:val="0"/>
              <w:marRight w:val="0"/>
              <w:marTop w:val="0"/>
              <w:marBottom w:val="0"/>
              <w:divBdr>
                <w:top w:val="none" w:sz="0" w:space="0" w:color="auto"/>
                <w:left w:val="none" w:sz="0" w:space="0" w:color="auto"/>
                <w:bottom w:val="none" w:sz="0" w:space="0" w:color="auto"/>
                <w:right w:val="none" w:sz="0" w:space="0" w:color="auto"/>
              </w:divBdr>
            </w:div>
            <w:div w:id="1706637048">
              <w:marLeft w:val="0"/>
              <w:marRight w:val="0"/>
              <w:marTop w:val="0"/>
              <w:marBottom w:val="0"/>
              <w:divBdr>
                <w:top w:val="none" w:sz="0" w:space="0" w:color="auto"/>
                <w:left w:val="none" w:sz="0" w:space="0" w:color="auto"/>
                <w:bottom w:val="none" w:sz="0" w:space="0" w:color="auto"/>
                <w:right w:val="none" w:sz="0" w:space="0" w:color="auto"/>
              </w:divBdr>
            </w:div>
          </w:divsChild>
        </w:div>
        <w:div w:id="1229075836">
          <w:marLeft w:val="0"/>
          <w:marRight w:val="0"/>
          <w:marTop w:val="0"/>
          <w:marBottom w:val="0"/>
          <w:divBdr>
            <w:top w:val="none" w:sz="0" w:space="0" w:color="auto"/>
            <w:left w:val="none" w:sz="0" w:space="0" w:color="auto"/>
            <w:bottom w:val="none" w:sz="0" w:space="0" w:color="auto"/>
            <w:right w:val="none" w:sz="0" w:space="0" w:color="auto"/>
          </w:divBdr>
          <w:divsChild>
            <w:div w:id="843789000">
              <w:marLeft w:val="0"/>
              <w:marRight w:val="0"/>
              <w:marTop w:val="0"/>
              <w:marBottom w:val="0"/>
              <w:divBdr>
                <w:top w:val="none" w:sz="0" w:space="0" w:color="auto"/>
                <w:left w:val="none" w:sz="0" w:space="0" w:color="auto"/>
                <w:bottom w:val="none" w:sz="0" w:space="0" w:color="auto"/>
                <w:right w:val="none" w:sz="0" w:space="0" w:color="auto"/>
              </w:divBdr>
            </w:div>
          </w:divsChild>
        </w:div>
        <w:div w:id="1252157157">
          <w:marLeft w:val="0"/>
          <w:marRight w:val="0"/>
          <w:marTop w:val="0"/>
          <w:marBottom w:val="0"/>
          <w:divBdr>
            <w:top w:val="none" w:sz="0" w:space="0" w:color="auto"/>
            <w:left w:val="none" w:sz="0" w:space="0" w:color="auto"/>
            <w:bottom w:val="none" w:sz="0" w:space="0" w:color="auto"/>
            <w:right w:val="none" w:sz="0" w:space="0" w:color="auto"/>
          </w:divBdr>
          <w:divsChild>
            <w:div w:id="33508774">
              <w:marLeft w:val="0"/>
              <w:marRight w:val="0"/>
              <w:marTop w:val="0"/>
              <w:marBottom w:val="0"/>
              <w:divBdr>
                <w:top w:val="none" w:sz="0" w:space="0" w:color="auto"/>
                <w:left w:val="none" w:sz="0" w:space="0" w:color="auto"/>
                <w:bottom w:val="none" w:sz="0" w:space="0" w:color="auto"/>
                <w:right w:val="none" w:sz="0" w:space="0" w:color="auto"/>
              </w:divBdr>
            </w:div>
            <w:div w:id="1084641002">
              <w:marLeft w:val="0"/>
              <w:marRight w:val="0"/>
              <w:marTop w:val="0"/>
              <w:marBottom w:val="0"/>
              <w:divBdr>
                <w:top w:val="none" w:sz="0" w:space="0" w:color="auto"/>
                <w:left w:val="none" w:sz="0" w:space="0" w:color="auto"/>
                <w:bottom w:val="none" w:sz="0" w:space="0" w:color="auto"/>
                <w:right w:val="none" w:sz="0" w:space="0" w:color="auto"/>
              </w:divBdr>
            </w:div>
            <w:div w:id="1766026209">
              <w:marLeft w:val="0"/>
              <w:marRight w:val="0"/>
              <w:marTop w:val="0"/>
              <w:marBottom w:val="0"/>
              <w:divBdr>
                <w:top w:val="none" w:sz="0" w:space="0" w:color="auto"/>
                <w:left w:val="none" w:sz="0" w:space="0" w:color="auto"/>
                <w:bottom w:val="none" w:sz="0" w:space="0" w:color="auto"/>
                <w:right w:val="none" w:sz="0" w:space="0" w:color="auto"/>
              </w:divBdr>
            </w:div>
          </w:divsChild>
        </w:div>
        <w:div w:id="1254313068">
          <w:marLeft w:val="0"/>
          <w:marRight w:val="0"/>
          <w:marTop w:val="0"/>
          <w:marBottom w:val="0"/>
          <w:divBdr>
            <w:top w:val="none" w:sz="0" w:space="0" w:color="auto"/>
            <w:left w:val="none" w:sz="0" w:space="0" w:color="auto"/>
            <w:bottom w:val="none" w:sz="0" w:space="0" w:color="auto"/>
            <w:right w:val="none" w:sz="0" w:space="0" w:color="auto"/>
          </w:divBdr>
          <w:divsChild>
            <w:div w:id="1214924310">
              <w:marLeft w:val="0"/>
              <w:marRight w:val="0"/>
              <w:marTop w:val="0"/>
              <w:marBottom w:val="0"/>
              <w:divBdr>
                <w:top w:val="none" w:sz="0" w:space="0" w:color="auto"/>
                <w:left w:val="none" w:sz="0" w:space="0" w:color="auto"/>
                <w:bottom w:val="none" w:sz="0" w:space="0" w:color="auto"/>
                <w:right w:val="none" w:sz="0" w:space="0" w:color="auto"/>
              </w:divBdr>
            </w:div>
          </w:divsChild>
        </w:div>
        <w:div w:id="1293291045">
          <w:marLeft w:val="0"/>
          <w:marRight w:val="0"/>
          <w:marTop w:val="0"/>
          <w:marBottom w:val="0"/>
          <w:divBdr>
            <w:top w:val="none" w:sz="0" w:space="0" w:color="auto"/>
            <w:left w:val="none" w:sz="0" w:space="0" w:color="auto"/>
            <w:bottom w:val="none" w:sz="0" w:space="0" w:color="auto"/>
            <w:right w:val="none" w:sz="0" w:space="0" w:color="auto"/>
          </w:divBdr>
          <w:divsChild>
            <w:div w:id="637344919">
              <w:marLeft w:val="0"/>
              <w:marRight w:val="0"/>
              <w:marTop w:val="0"/>
              <w:marBottom w:val="0"/>
              <w:divBdr>
                <w:top w:val="none" w:sz="0" w:space="0" w:color="auto"/>
                <w:left w:val="none" w:sz="0" w:space="0" w:color="auto"/>
                <w:bottom w:val="none" w:sz="0" w:space="0" w:color="auto"/>
                <w:right w:val="none" w:sz="0" w:space="0" w:color="auto"/>
              </w:divBdr>
            </w:div>
          </w:divsChild>
        </w:div>
        <w:div w:id="1295715955">
          <w:marLeft w:val="0"/>
          <w:marRight w:val="0"/>
          <w:marTop w:val="0"/>
          <w:marBottom w:val="0"/>
          <w:divBdr>
            <w:top w:val="none" w:sz="0" w:space="0" w:color="auto"/>
            <w:left w:val="none" w:sz="0" w:space="0" w:color="auto"/>
            <w:bottom w:val="none" w:sz="0" w:space="0" w:color="auto"/>
            <w:right w:val="none" w:sz="0" w:space="0" w:color="auto"/>
          </w:divBdr>
          <w:divsChild>
            <w:div w:id="1991129771">
              <w:marLeft w:val="0"/>
              <w:marRight w:val="0"/>
              <w:marTop w:val="0"/>
              <w:marBottom w:val="0"/>
              <w:divBdr>
                <w:top w:val="none" w:sz="0" w:space="0" w:color="auto"/>
                <w:left w:val="none" w:sz="0" w:space="0" w:color="auto"/>
                <w:bottom w:val="none" w:sz="0" w:space="0" w:color="auto"/>
                <w:right w:val="none" w:sz="0" w:space="0" w:color="auto"/>
              </w:divBdr>
            </w:div>
          </w:divsChild>
        </w:div>
        <w:div w:id="1318992623">
          <w:marLeft w:val="0"/>
          <w:marRight w:val="0"/>
          <w:marTop w:val="0"/>
          <w:marBottom w:val="0"/>
          <w:divBdr>
            <w:top w:val="none" w:sz="0" w:space="0" w:color="auto"/>
            <w:left w:val="none" w:sz="0" w:space="0" w:color="auto"/>
            <w:bottom w:val="none" w:sz="0" w:space="0" w:color="auto"/>
            <w:right w:val="none" w:sz="0" w:space="0" w:color="auto"/>
          </w:divBdr>
          <w:divsChild>
            <w:div w:id="854537091">
              <w:marLeft w:val="0"/>
              <w:marRight w:val="0"/>
              <w:marTop w:val="0"/>
              <w:marBottom w:val="0"/>
              <w:divBdr>
                <w:top w:val="none" w:sz="0" w:space="0" w:color="auto"/>
                <w:left w:val="none" w:sz="0" w:space="0" w:color="auto"/>
                <w:bottom w:val="none" w:sz="0" w:space="0" w:color="auto"/>
                <w:right w:val="none" w:sz="0" w:space="0" w:color="auto"/>
              </w:divBdr>
            </w:div>
          </w:divsChild>
        </w:div>
        <w:div w:id="1319920885">
          <w:marLeft w:val="0"/>
          <w:marRight w:val="0"/>
          <w:marTop w:val="0"/>
          <w:marBottom w:val="0"/>
          <w:divBdr>
            <w:top w:val="none" w:sz="0" w:space="0" w:color="auto"/>
            <w:left w:val="none" w:sz="0" w:space="0" w:color="auto"/>
            <w:bottom w:val="none" w:sz="0" w:space="0" w:color="auto"/>
            <w:right w:val="none" w:sz="0" w:space="0" w:color="auto"/>
          </w:divBdr>
          <w:divsChild>
            <w:div w:id="329716449">
              <w:marLeft w:val="0"/>
              <w:marRight w:val="0"/>
              <w:marTop w:val="0"/>
              <w:marBottom w:val="0"/>
              <w:divBdr>
                <w:top w:val="none" w:sz="0" w:space="0" w:color="auto"/>
                <w:left w:val="none" w:sz="0" w:space="0" w:color="auto"/>
                <w:bottom w:val="none" w:sz="0" w:space="0" w:color="auto"/>
                <w:right w:val="none" w:sz="0" w:space="0" w:color="auto"/>
              </w:divBdr>
            </w:div>
          </w:divsChild>
        </w:div>
        <w:div w:id="1478305308">
          <w:marLeft w:val="0"/>
          <w:marRight w:val="0"/>
          <w:marTop w:val="0"/>
          <w:marBottom w:val="0"/>
          <w:divBdr>
            <w:top w:val="none" w:sz="0" w:space="0" w:color="auto"/>
            <w:left w:val="none" w:sz="0" w:space="0" w:color="auto"/>
            <w:bottom w:val="none" w:sz="0" w:space="0" w:color="auto"/>
            <w:right w:val="none" w:sz="0" w:space="0" w:color="auto"/>
          </w:divBdr>
          <w:divsChild>
            <w:div w:id="37633474">
              <w:marLeft w:val="0"/>
              <w:marRight w:val="0"/>
              <w:marTop w:val="0"/>
              <w:marBottom w:val="0"/>
              <w:divBdr>
                <w:top w:val="none" w:sz="0" w:space="0" w:color="auto"/>
                <w:left w:val="none" w:sz="0" w:space="0" w:color="auto"/>
                <w:bottom w:val="none" w:sz="0" w:space="0" w:color="auto"/>
                <w:right w:val="none" w:sz="0" w:space="0" w:color="auto"/>
              </w:divBdr>
            </w:div>
          </w:divsChild>
        </w:div>
        <w:div w:id="1700623907">
          <w:marLeft w:val="0"/>
          <w:marRight w:val="0"/>
          <w:marTop w:val="0"/>
          <w:marBottom w:val="0"/>
          <w:divBdr>
            <w:top w:val="none" w:sz="0" w:space="0" w:color="auto"/>
            <w:left w:val="none" w:sz="0" w:space="0" w:color="auto"/>
            <w:bottom w:val="none" w:sz="0" w:space="0" w:color="auto"/>
            <w:right w:val="none" w:sz="0" w:space="0" w:color="auto"/>
          </w:divBdr>
          <w:divsChild>
            <w:div w:id="72508068">
              <w:marLeft w:val="0"/>
              <w:marRight w:val="0"/>
              <w:marTop w:val="0"/>
              <w:marBottom w:val="0"/>
              <w:divBdr>
                <w:top w:val="none" w:sz="0" w:space="0" w:color="auto"/>
                <w:left w:val="none" w:sz="0" w:space="0" w:color="auto"/>
                <w:bottom w:val="none" w:sz="0" w:space="0" w:color="auto"/>
                <w:right w:val="none" w:sz="0" w:space="0" w:color="auto"/>
              </w:divBdr>
            </w:div>
            <w:div w:id="140385313">
              <w:marLeft w:val="0"/>
              <w:marRight w:val="0"/>
              <w:marTop w:val="0"/>
              <w:marBottom w:val="0"/>
              <w:divBdr>
                <w:top w:val="none" w:sz="0" w:space="0" w:color="auto"/>
                <w:left w:val="none" w:sz="0" w:space="0" w:color="auto"/>
                <w:bottom w:val="none" w:sz="0" w:space="0" w:color="auto"/>
                <w:right w:val="none" w:sz="0" w:space="0" w:color="auto"/>
              </w:divBdr>
            </w:div>
            <w:div w:id="1023895078">
              <w:marLeft w:val="0"/>
              <w:marRight w:val="0"/>
              <w:marTop w:val="0"/>
              <w:marBottom w:val="0"/>
              <w:divBdr>
                <w:top w:val="none" w:sz="0" w:space="0" w:color="auto"/>
                <w:left w:val="none" w:sz="0" w:space="0" w:color="auto"/>
                <w:bottom w:val="none" w:sz="0" w:space="0" w:color="auto"/>
                <w:right w:val="none" w:sz="0" w:space="0" w:color="auto"/>
              </w:divBdr>
            </w:div>
            <w:div w:id="1168129792">
              <w:marLeft w:val="0"/>
              <w:marRight w:val="0"/>
              <w:marTop w:val="0"/>
              <w:marBottom w:val="0"/>
              <w:divBdr>
                <w:top w:val="none" w:sz="0" w:space="0" w:color="auto"/>
                <w:left w:val="none" w:sz="0" w:space="0" w:color="auto"/>
                <w:bottom w:val="none" w:sz="0" w:space="0" w:color="auto"/>
                <w:right w:val="none" w:sz="0" w:space="0" w:color="auto"/>
              </w:divBdr>
            </w:div>
            <w:div w:id="1246188345">
              <w:marLeft w:val="0"/>
              <w:marRight w:val="0"/>
              <w:marTop w:val="0"/>
              <w:marBottom w:val="0"/>
              <w:divBdr>
                <w:top w:val="none" w:sz="0" w:space="0" w:color="auto"/>
                <w:left w:val="none" w:sz="0" w:space="0" w:color="auto"/>
                <w:bottom w:val="none" w:sz="0" w:space="0" w:color="auto"/>
                <w:right w:val="none" w:sz="0" w:space="0" w:color="auto"/>
              </w:divBdr>
            </w:div>
            <w:div w:id="1621960829">
              <w:marLeft w:val="0"/>
              <w:marRight w:val="0"/>
              <w:marTop w:val="0"/>
              <w:marBottom w:val="0"/>
              <w:divBdr>
                <w:top w:val="none" w:sz="0" w:space="0" w:color="auto"/>
                <w:left w:val="none" w:sz="0" w:space="0" w:color="auto"/>
                <w:bottom w:val="none" w:sz="0" w:space="0" w:color="auto"/>
                <w:right w:val="none" w:sz="0" w:space="0" w:color="auto"/>
              </w:divBdr>
            </w:div>
            <w:div w:id="1668555898">
              <w:marLeft w:val="0"/>
              <w:marRight w:val="0"/>
              <w:marTop w:val="0"/>
              <w:marBottom w:val="0"/>
              <w:divBdr>
                <w:top w:val="none" w:sz="0" w:space="0" w:color="auto"/>
                <w:left w:val="none" w:sz="0" w:space="0" w:color="auto"/>
                <w:bottom w:val="none" w:sz="0" w:space="0" w:color="auto"/>
                <w:right w:val="none" w:sz="0" w:space="0" w:color="auto"/>
              </w:divBdr>
            </w:div>
          </w:divsChild>
        </w:div>
        <w:div w:id="1707830658">
          <w:marLeft w:val="0"/>
          <w:marRight w:val="0"/>
          <w:marTop w:val="0"/>
          <w:marBottom w:val="0"/>
          <w:divBdr>
            <w:top w:val="none" w:sz="0" w:space="0" w:color="auto"/>
            <w:left w:val="none" w:sz="0" w:space="0" w:color="auto"/>
            <w:bottom w:val="none" w:sz="0" w:space="0" w:color="auto"/>
            <w:right w:val="none" w:sz="0" w:space="0" w:color="auto"/>
          </w:divBdr>
          <w:divsChild>
            <w:div w:id="111024997">
              <w:marLeft w:val="0"/>
              <w:marRight w:val="0"/>
              <w:marTop w:val="0"/>
              <w:marBottom w:val="0"/>
              <w:divBdr>
                <w:top w:val="none" w:sz="0" w:space="0" w:color="auto"/>
                <w:left w:val="none" w:sz="0" w:space="0" w:color="auto"/>
                <w:bottom w:val="none" w:sz="0" w:space="0" w:color="auto"/>
                <w:right w:val="none" w:sz="0" w:space="0" w:color="auto"/>
              </w:divBdr>
            </w:div>
            <w:div w:id="330835452">
              <w:marLeft w:val="0"/>
              <w:marRight w:val="0"/>
              <w:marTop w:val="0"/>
              <w:marBottom w:val="0"/>
              <w:divBdr>
                <w:top w:val="none" w:sz="0" w:space="0" w:color="auto"/>
                <w:left w:val="none" w:sz="0" w:space="0" w:color="auto"/>
                <w:bottom w:val="none" w:sz="0" w:space="0" w:color="auto"/>
                <w:right w:val="none" w:sz="0" w:space="0" w:color="auto"/>
              </w:divBdr>
            </w:div>
            <w:div w:id="1112431666">
              <w:marLeft w:val="0"/>
              <w:marRight w:val="0"/>
              <w:marTop w:val="0"/>
              <w:marBottom w:val="0"/>
              <w:divBdr>
                <w:top w:val="none" w:sz="0" w:space="0" w:color="auto"/>
                <w:left w:val="none" w:sz="0" w:space="0" w:color="auto"/>
                <w:bottom w:val="none" w:sz="0" w:space="0" w:color="auto"/>
                <w:right w:val="none" w:sz="0" w:space="0" w:color="auto"/>
              </w:divBdr>
            </w:div>
            <w:div w:id="1186209919">
              <w:marLeft w:val="0"/>
              <w:marRight w:val="0"/>
              <w:marTop w:val="0"/>
              <w:marBottom w:val="0"/>
              <w:divBdr>
                <w:top w:val="none" w:sz="0" w:space="0" w:color="auto"/>
                <w:left w:val="none" w:sz="0" w:space="0" w:color="auto"/>
                <w:bottom w:val="none" w:sz="0" w:space="0" w:color="auto"/>
                <w:right w:val="none" w:sz="0" w:space="0" w:color="auto"/>
              </w:divBdr>
            </w:div>
            <w:div w:id="1985574080">
              <w:marLeft w:val="0"/>
              <w:marRight w:val="0"/>
              <w:marTop w:val="0"/>
              <w:marBottom w:val="0"/>
              <w:divBdr>
                <w:top w:val="none" w:sz="0" w:space="0" w:color="auto"/>
                <w:left w:val="none" w:sz="0" w:space="0" w:color="auto"/>
                <w:bottom w:val="none" w:sz="0" w:space="0" w:color="auto"/>
                <w:right w:val="none" w:sz="0" w:space="0" w:color="auto"/>
              </w:divBdr>
            </w:div>
            <w:div w:id="2003001390">
              <w:marLeft w:val="0"/>
              <w:marRight w:val="0"/>
              <w:marTop w:val="0"/>
              <w:marBottom w:val="0"/>
              <w:divBdr>
                <w:top w:val="none" w:sz="0" w:space="0" w:color="auto"/>
                <w:left w:val="none" w:sz="0" w:space="0" w:color="auto"/>
                <w:bottom w:val="none" w:sz="0" w:space="0" w:color="auto"/>
                <w:right w:val="none" w:sz="0" w:space="0" w:color="auto"/>
              </w:divBdr>
            </w:div>
          </w:divsChild>
        </w:div>
        <w:div w:id="1737892526">
          <w:marLeft w:val="0"/>
          <w:marRight w:val="0"/>
          <w:marTop w:val="0"/>
          <w:marBottom w:val="0"/>
          <w:divBdr>
            <w:top w:val="none" w:sz="0" w:space="0" w:color="auto"/>
            <w:left w:val="none" w:sz="0" w:space="0" w:color="auto"/>
            <w:bottom w:val="none" w:sz="0" w:space="0" w:color="auto"/>
            <w:right w:val="none" w:sz="0" w:space="0" w:color="auto"/>
          </w:divBdr>
          <w:divsChild>
            <w:div w:id="1332027300">
              <w:marLeft w:val="0"/>
              <w:marRight w:val="0"/>
              <w:marTop w:val="0"/>
              <w:marBottom w:val="0"/>
              <w:divBdr>
                <w:top w:val="none" w:sz="0" w:space="0" w:color="auto"/>
                <w:left w:val="none" w:sz="0" w:space="0" w:color="auto"/>
                <w:bottom w:val="none" w:sz="0" w:space="0" w:color="auto"/>
                <w:right w:val="none" w:sz="0" w:space="0" w:color="auto"/>
              </w:divBdr>
            </w:div>
          </w:divsChild>
        </w:div>
        <w:div w:id="1773086209">
          <w:marLeft w:val="0"/>
          <w:marRight w:val="0"/>
          <w:marTop w:val="0"/>
          <w:marBottom w:val="0"/>
          <w:divBdr>
            <w:top w:val="none" w:sz="0" w:space="0" w:color="auto"/>
            <w:left w:val="none" w:sz="0" w:space="0" w:color="auto"/>
            <w:bottom w:val="none" w:sz="0" w:space="0" w:color="auto"/>
            <w:right w:val="none" w:sz="0" w:space="0" w:color="auto"/>
          </w:divBdr>
          <w:divsChild>
            <w:div w:id="1422146760">
              <w:marLeft w:val="0"/>
              <w:marRight w:val="0"/>
              <w:marTop w:val="0"/>
              <w:marBottom w:val="0"/>
              <w:divBdr>
                <w:top w:val="none" w:sz="0" w:space="0" w:color="auto"/>
                <w:left w:val="none" w:sz="0" w:space="0" w:color="auto"/>
                <w:bottom w:val="none" w:sz="0" w:space="0" w:color="auto"/>
                <w:right w:val="none" w:sz="0" w:space="0" w:color="auto"/>
              </w:divBdr>
            </w:div>
          </w:divsChild>
        </w:div>
        <w:div w:id="1773622312">
          <w:marLeft w:val="0"/>
          <w:marRight w:val="0"/>
          <w:marTop w:val="0"/>
          <w:marBottom w:val="0"/>
          <w:divBdr>
            <w:top w:val="none" w:sz="0" w:space="0" w:color="auto"/>
            <w:left w:val="none" w:sz="0" w:space="0" w:color="auto"/>
            <w:bottom w:val="none" w:sz="0" w:space="0" w:color="auto"/>
            <w:right w:val="none" w:sz="0" w:space="0" w:color="auto"/>
          </w:divBdr>
          <w:divsChild>
            <w:div w:id="660891494">
              <w:marLeft w:val="0"/>
              <w:marRight w:val="0"/>
              <w:marTop w:val="0"/>
              <w:marBottom w:val="0"/>
              <w:divBdr>
                <w:top w:val="none" w:sz="0" w:space="0" w:color="auto"/>
                <w:left w:val="none" w:sz="0" w:space="0" w:color="auto"/>
                <w:bottom w:val="none" w:sz="0" w:space="0" w:color="auto"/>
                <w:right w:val="none" w:sz="0" w:space="0" w:color="auto"/>
              </w:divBdr>
            </w:div>
          </w:divsChild>
        </w:div>
        <w:div w:id="1821074526">
          <w:marLeft w:val="0"/>
          <w:marRight w:val="0"/>
          <w:marTop w:val="0"/>
          <w:marBottom w:val="0"/>
          <w:divBdr>
            <w:top w:val="none" w:sz="0" w:space="0" w:color="auto"/>
            <w:left w:val="none" w:sz="0" w:space="0" w:color="auto"/>
            <w:bottom w:val="none" w:sz="0" w:space="0" w:color="auto"/>
            <w:right w:val="none" w:sz="0" w:space="0" w:color="auto"/>
          </w:divBdr>
          <w:divsChild>
            <w:div w:id="1659070080">
              <w:marLeft w:val="0"/>
              <w:marRight w:val="0"/>
              <w:marTop w:val="0"/>
              <w:marBottom w:val="0"/>
              <w:divBdr>
                <w:top w:val="none" w:sz="0" w:space="0" w:color="auto"/>
                <w:left w:val="none" w:sz="0" w:space="0" w:color="auto"/>
                <w:bottom w:val="none" w:sz="0" w:space="0" w:color="auto"/>
                <w:right w:val="none" w:sz="0" w:space="0" w:color="auto"/>
              </w:divBdr>
            </w:div>
            <w:div w:id="2079744183">
              <w:marLeft w:val="0"/>
              <w:marRight w:val="0"/>
              <w:marTop w:val="0"/>
              <w:marBottom w:val="0"/>
              <w:divBdr>
                <w:top w:val="none" w:sz="0" w:space="0" w:color="auto"/>
                <w:left w:val="none" w:sz="0" w:space="0" w:color="auto"/>
                <w:bottom w:val="none" w:sz="0" w:space="0" w:color="auto"/>
                <w:right w:val="none" w:sz="0" w:space="0" w:color="auto"/>
              </w:divBdr>
            </w:div>
          </w:divsChild>
        </w:div>
        <w:div w:id="1825849126">
          <w:marLeft w:val="0"/>
          <w:marRight w:val="0"/>
          <w:marTop w:val="0"/>
          <w:marBottom w:val="0"/>
          <w:divBdr>
            <w:top w:val="none" w:sz="0" w:space="0" w:color="auto"/>
            <w:left w:val="none" w:sz="0" w:space="0" w:color="auto"/>
            <w:bottom w:val="none" w:sz="0" w:space="0" w:color="auto"/>
            <w:right w:val="none" w:sz="0" w:space="0" w:color="auto"/>
          </w:divBdr>
          <w:divsChild>
            <w:div w:id="112408792">
              <w:marLeft w:val="0"/>
              <w:marRight w:val="0"/>
              <w:marTop w:val="0"/>
              <w:marBottom w:val="0"/>
              <w:divBdr>
                <w:top w:val="none" w:sz="0" w:space="0" w:color="auto"/>
                <w:left w:val="none" w:sz="0" w:space="0" w:color="auto"/>
                <w:bottom w:val="none" w:sz="0" w:space="0" w:color="auto"/>
                <w:right w:val="none" w:sz="0" w:space="0" w:color="auto"/>
              </w:divBdr>
            </w:div>
            <w:div w:id="951784424">
              <w:marLeft w:val="0"/>
              <w:marRight w:val="0"/>
              <w:marTop w:val="0"/>
              <w:marBottom w:val="0"/>
              <w:divBdr>
                <w:top w:val="none" w:sz="0" w:space="0" w:color="auto"/>
                <w:left w:val="none" w:sz="0" w:space="0" w:color="auto"/>
                <w:bottom w:val="none" w:sz="0" w:space="0" w:color="auto"/>
                <w:right w:val="none" w:sz="0" w:space="0" w:color="auto"/>
              </w:divBdr>
            </w:div>
            <w:div w:id="1046373312">
              <w:marLeft w:val="0"/>
              <w:marRight w:val="0"/>
              <w:marTop w:val="0"/>
              <w:marBottom w:val="0"/>
              <w:divBdr>
                <w:top w:val="none" w:sz="0" w:space="0" w:color="auto"/>
                <w:left w:val="none" w:sz="0" w:space="0" w:color="auto"/>
                <w:bottom w:val="none" w:sz="0" w:space="0" w:color="auto"/>
                <w:right w:val="none" w:sz="0" w:space="0" w:color="auto"/>
              </w:divBdr>
            </w:div>
            <w:div w:id="1475295861">
              <w:marLeft w:val="0"/>
              <w:marRight w:val="0"/>
              <w:marTop w:val="0"/>
              <w:marBottom w:val="0"/>
              <w:divBdr>
                <w:top w:val="none" w:sz="0" w:space="0" w:color="auto"/>
                <w:left w:val="none" w:sz="0" w:space="0" w:color="auto"/>
                <w:bottom w:val="none" w:sz="0" w:space="0" w:color="auto"/>
                <w:right w:val="none" w:sz="0" w:space="0" w:color="auto"/>
              </w:divBdr>
            </w:div>
            <w:div w:id="1658268684">
              <w:marLeft w:val="0"/>
              <w:marRight w:val="0"/>
              <w:marTop w:val="0"/>
              <w:marBottom w:val="0"/>
              <w:divBdr>
                <w:top w:val="none" w:sz="0" w:space="0" w:color="auto"/>
                <w:left w:val="none" w:sz="0" w:space="0" w:color="auto"/>
                <w:bottom w:val="none" w:sz="0" w:space="0" w:color="auto"/>
                <w:right w:val="none" w:sz="0" w:space="0" w:color="auto"/>
              </w:divBdr>
            </w:div>
          </w:divsChild>
        </w:div>
        <w:div w:id="1843082613">
          <w:marLeft w:val="0"/>
          <w:marRight w:val="0"/>
          <w:marTop w:val="0"/>
          <w:marBottom w:val="0"/>
          <w:divBdr>
            <w:top w:val="none" w:sz="0" w:space="0" w:color="auto"/>
            <w:left w:val="none" w:sz="0" w:space="0" w:color="auto"/>
            <w:bottom w:val="none" w:sz="0" w:space="0" w:color="auto"/>
            <w:right w:val="none" w:sz="0" w:space="0" w:color="auto"/>
          </w:divBdr>
          <w:divsChild>
            <w:div w:id="1561862222">
              <w:marLeft w:val="0"/>
              <w:marRight w:val="0"/>
              <w:marTop w:val="0"/>
              <w:marBottom w:val="0"/>
              <w:divBdr>
                <w:top w:val="none" w:sz="0" w:space="0" w:color="auto"/>
                <w:left w:val="none" w:sz="0" w:space="0" w:color="auto"/>
                <w:bottom w:val="none" w:sz="0" w:space="0" w:color="auto"/>
                <w:right w:val="none" w:sz="0" w:space="0" w:color="auto"/>
              </w:divBdr>
            </w:div>
          </w:divsChild>
        </w:div>
        <w:div w:id="1847213342">
          <w:marLeft w:val="0"/>
          <w:marRight w:val="0"/>
          <w:marTop w:val="0"/>
          <w:marBottom w:val="0"/>
          <w:divBdr>
            <w:top w:val="none" w:sz="0" w:space="0" w:color="auto"/>
            <w:left w:val="none" w:sz="0" w:space="0" w:color="auto"/>
            <w:bottom w:val="none" w:sz="0" w:space="0" w:color="auto"/>
            <w:right w:val="none" w:sz="0" w:space="0" w:color="auto"/>
          </w:divBdr>
          <w:divsChild>
            <w:div w:id="1390373715">
              <w:marLeft w:val="0"/>
              <w:marRight w:val="0"/>
              <w:marTop w:val="0"/>
              <w:marBottom w:val="0"/>
              <w:divBdr>
                <w:top w:val="none" w:sz="0" w:space="0" w:color="auto"/>
                <w:left w:val="none" w:sz="0" w:space="0" w:color="auto"/>
                <w:bottom w:val="none" w:sz="0" w:space="0" w:color="auto"/>
                <w:right w:val="none" w:sz="0" w:space="0" w:color="auto"/>
              </w:divBdr>
            </w:div>
            <w:div w:id="1998262615">
              <w:marLeft w:val="0"/>
              <w:marRight w:val="0"/>
              <w:marTop w:val="0"/>
              <w:marBottom w:val="0"/>
              <w:divBdr>
                <w:top w:val="none" w:sz="0" w:space="0" w:color="auto"/>
                <w:left w:val="none" w:sz="0" w:space="0" w:color="auto"/>
                <w:bottom w:val="none" w:sz="0" w:space="0" w:color="auto"/>
                <w:right w:val="none" w:sz="0" w:space="0" w:color="auto"/>
              </w:divBdr>
            </w:div>
          </w:divsChild>
        </w:div>
        <w:div w:id="1855001374">
          <w:marLeft w:val="0"/>
          <w:marRight w:val="0"/>
          <w:marTop w:val="0"/>
          <w:marBottom w:val="0"/>
          <w:divBdr>
            <w:top w:val="none" w:sz="0" w:space="0" w:color="auto"/>
            <w:left w:val="none" w:sz="0" w:space="0" w:color="auto"/>
            <w:bottom w:val="none" w:sz="0" w:space="0" w:color="auto"/>
            <w:right w:val="none" w:sz="0" w:space="0" w:color="auto"/>
          </w:divBdr>
          <w:divsChild>
            <w:div w:id="1892619035">
              <w:marLeft w:val="0"/>
              <w:marRight w:val="0"/>
              <w:marTop w:val="0"/>
              <w:marBottom w:val="0"/>
              <w:divBdr>
                <w:top w:val="none" w:sz="0" w:space="0" w:color="auto"/>
                <w:left w:val="none" w:sz="0" w:space="0" w:color="auto"/>
                <w:bottom w:val="none" w:sz="0" w:space="0" w:color="auto"/>
                <w:right w:val="none" w:sz="0" w:space="0" w:color="auto"/>
              </w:divBdr>
            </w:div>
          </w:divsChild>
        </w:div>
        <w:div w:id="1933390343">
          <w:marLeft w:val="0"/>
          <w:marRight w:val="0"/>
          <w:marTop w:val="0"/>
          <w:marBottom w:val="0"/>
          <w:divBdr>
            <w:top w:val="none" w:sz="0" w:space="0" w:color="auto"/>
            <w:left w:val="none" w:sz="0" w:space="0" w:color="auto"/>
            <w:bottom w:val="none" w:sz="0" w:space="0" w:color="auto"/>
            <w:right w:val="none" w:sz="0" w:space="0" w:color="auto"/>
          </w:divBdr>
          <w:divsChild>
            <w:div w:id="664361483">
              <w:marLeft w:val="0"/>
              <w:marRight w:val="0"/>
              <w:marTop w:val="0"/>
              <w:marBottom w:val="0"/>
              <w:divBdr>
                <w:top w:val="none" w:sz="0" w:space="0" w:color="auto"/>
                <w:left w:val="none" w:sz="0" w:space="0" w:color="auto"/>
                <w:bottom w:val="none" w:sz="0" w:space="0" w:color="auto"/>
                <w:right w:val="none" w:sz="0" w:space="0" w:color="auto"/>
              </w:divBdr>
            </w:div>
          </w:divsChild>
        </w:div>
        <w:div w:id="1950500377">
          <w:marLeft w:val="0"/>
          <w:marRight w:val="0"/>
          <w:marTop w:val="0"/>
          <w:marBottom w:val="0"/>
          <w:divBdr>
            <w:top w:val="none" w:sz="0" w:space="0" w:color="auto"/>
            <w:left w:val="none" w:sz="0" w:space="0" w:color="auto"/>
            <w:bottom w:val="none" w:sz="0" w:space="0" w:color="auto"/>
            <w:right w:val="none" w:sz="0" w:space="0" w:color="auto"/>
          </w:divBdr>
          <w:divsChild>
            <w:div w:id="95179641">
              <w:marLeft w:val="0"/>
              <w:marRight w:val="0"/>
              <w:marTop w:val="0"/>
              <w:marBottom w:val="0"/>
              <w:divBdr>
                <w:top w:val="none" w:sz="0" w:space="0" w:color="auto"/>
                <w:left w:val="none" w:sz="0" w:space="0" w:color="auto"/>
                <w:bottom w:val="none" w:sz="0" w:space="0" w:color="auto"/>
                <w:right w:val="none" w:sz="0" w:space="0" w:color="auto"/>
              </w:divBdr>
            </w:div>
          </w:divsChild>
        </w:div>
        <w:div w:id="1958104509">
          <w:marLeft w:val="0"/>
          <w:marRight w:val="0"/>
          <w:marTop w:val="0"/>
          <w:marBottom w:val="0"/>
          <w:divBdr>
            <w:top w:val="none" w:sz="0" w:space="0" w:color="auto"/>
            <w:left w:val="none" w:sz="0" w:space="0" w:color="auto"/>
            <w:bottom w:val="none" w:sz="0" w:space="0" w:color="auto"/>
            <w:right w:val="none" w:sz="0" w:space="0" w:color="auto"/>
          </w:divBdr>
          <w:divsChild>
            <w:div w:id="1002706745">
              <w:marLeft w:val="0"/>
              <w:marRight w:val="0"/>
              <w:marTop w:val="0"/>
              <w:marBottom w:val="0"/>
              <w:divBdr>
                <w:top w:val="none" w:sz="0" w:space="0" w:color="auto"/>
                <w:left w:val="none" w:sz="0" w:space="0" w:color="auto"/>
                <w:bottom w:val="none" w:sz="0" w:space="0" w:color="auto"/>
                <w:right w:val="none" w:sz="0" w:space="0" w:color="auto"/>
              </w:divBdr>
            </w:div>
          </w:divsChild>
        </w:div>
        <w:div w:id="2013600791">
          <w:marLeft w:val="0"/>
          <w:marRight w:val="0"/>
          <w:marTop w:val="0"/>
          <w:marBottom w:val="0"/>
          <w:divBdr>
            <w:top w:val="none" w:sz="0" w:space="0" w:color="auto"/>
            <w:left w:val="none" w:sz="0" w:space="0" w:color="auto"/>
            <w:bottom w:val="none" w:sz="0" w:space="0" w:color="auto"/>
            <w:right w:val="none" w:sz="0" w:space="0" w:color="auto"/>
          </w:divBdr>
          <w:divsChild>
            <w:div w:id="162933017">
              <w:marLeft w:val="0"/>
              <w:marRight w:val="0"/>
              <w:marTop w:val="0"/>
              <w:marBottom w:val="0"/>
              <w:divBdr>
                <w:top w:val="none" w:sz="0" w:space="0" w:color="auto"/>
                <w:left w:val="none" w:sz="0" w:space="0" w:color="auto"/>
                <w:bottom w:val="none" w:sz="0" w:space="0" w:color="auto"/>
                <w:right w:val="none" w:sz="0" w:space="0" w:color="auto"/>
              </w:divBdr>
            </w:div>
            <w:div w:id="630551318">
              <w:marLeft w:val="0"/>
              <w:marRight w:val="0"/>
              <w:marTop w:val="0"/>
              <w:marBottom w:val="0"/>
              <w:divBdr>
                <w:top w:val="none" w:sz="0" w:space="0" w:color="auto"/>
                <w:left w:val="none" w:sz="0" w:space="0" w:color="auto"/>
                <w:bottom w:val="none" w:sz="0" w:space="0" w:color="auto"/>
                <w:right w:val="none" w:sz="0" w:space="0" w:color="auto"/>
              </w:divBdr>
            </w:div>
            <w:div w:id="815143120">
              <w:marLeft w:val="0"/>
              <w:marRight w:val="0"/>
              <w:marTop w:val="0"/>
              <w:marBottom w:val="0"/>
              <w:divBdr>
                <w:top w:val="none" w:sz="0" w:space="0" w:color="auto"/>
                <w:left w:val="none" w:sz="0" w:space="0" w:color="auto"/>
                <w:bottom w:val="none" w:sz="0" w:space="0" w:color="auto"/>
                <w:right w:val="none" w:sz="0" w:space="0" w:color="auto"/>
              </w:divBdr>
            </w:div>
            <w:div w:id="961809670">
              <w:marLeft w:val="0"/>
              <w:marRight w:val="0"/>
              <w:marTop w:val="0"/>
              <w:marBottom w:val="0"/>
              <w:divBdr>
                <w:top w:val="none" w:sz="0" w:space="0" w:color="auto"/>
                <w:left w:val="none" w:sz="0" w:space="0" w:color="auto"/>
                <w:bottom w:val="none" w:sz="0" w:space="0" w:color="auto"/>
                <w:right w:val="none" w:sz="0" w:space="0" w:color="auto"/>
              </w:divBdr>
            </w:div>
            <w:div w:id="1334532290">
              <w:marLeft w:val="0"/>
              <w:marRight w:val="0"/>
              <w:marTop w:val="0"/>
              <w:marBottom w:val="0"/>
              <w:divBdr>
                <w:top w:val="none" w:sz="0" w:space="0" w:color="auto"/>
                <w:left w:val="none" w:sz="0" w:space="0" w:color="auto"/>
                <w:bottom w:val="none" w:sz="0" w:space="0" w:color="auto"/>
                <w:right w:val="none" w:sz="0" w:space="0" w:color="auto"/>
              </w:divBdr>
            </w:div>
          </w:divsChild>
        </w:div>
        <w:div w:id="2094275212">
          <w:marLeft w:val="0"/>
          <w:marRight w:val="0"/>
          <w:marTop w:val="0"/>
          <w:marBottom w:val="0"/>
          <w:divBdr>
            <w:top w:val="none" w:sz="0" w:space="0" w:color="auto"/>
            <w:left w:val="none" w:sz="0" w:space="0" w:color="auto"/>
            <w:bottom w:val="none" w:sz="0" w:space="0" w:color="auto"/>
            <w:right w:val="none" w:sz="0" w:space="0" w:color="auto"/>
          </w:divBdr>
          <w:divsChild>
            <w:div w:id="6373630">
              <w:marLeft w:val="0"/>
              <w:marRight w:val="0"/>
              <w:marTop w:val="0"/>
              <w:marBottom w:val="0"/>
              <w:divBdr>
                <w:top w:val="none" w:sz="0" w:space="0" w:color="auto"/>
                <w:left w:val="none" w:sz="0" w:space="0" w:color="auto"/>
                <w:bottom w:val="none" w:sz="0" w:space="0" w:color="auto"/>
                <w:right w:val="none" w:sz="0" w:space="0" w:color="auto"/>
              </w:divBdr>
            </w:div>
          </w:divsChild>
        </w:div>
        <w:div w:id="2116754103">
          <w:marLeft w:val="0"/>
          <w:marRight w:val="0"/>
          <w:marTop w:val="0"/>
          <w:marBottom w:val="0"/>
          <w:divBdr>
            <w:top w:val="none" w:sz="0" w:space="0" w:color="auto"/>
            <w:left w:val="none" w:sz="0" w:space="0" w:color="auto"/>
            <w:bottom w:val="none" w:sz="0" w:space="0" w:color="auto"/>
            <w:right w:val="none" w:sz="0" w:space="0" w:color="auto"/>
          </w:divBdr>
          <w:divsChild>
            <w:div w:id="12021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2593">
      <w:bodyDiv w:val="1"/>
      <w:marLeft w:val="0"/>
      <w:marRight w:val="0"/>
      <w:marTop w:val="0"/>
      <w:marBottom w:val="0"/>
      <w:divBdr>
        <w:top w:val="none" w:sz="0" w:space="0" w:color="auto"/>
        <w:left w:val="none" w:sz="0" w:space="0" w:color="auto"/>
        <w:bottom w:val="none" w:sz="0" w:space="0" w:color="auto"/>
        <w:right w:val="none" w:sz="0" w:space="0" w:color="auto"/>
      </w:divBdr>
    </w:div>
    <w:div w:id="772936335">
      <w:bodyDiv w:val="1"/>
      <w:marLeft w:val="0"/>
      <w:marRight w:val="0"/>
      <w:marTop w:val="0"/>
      <w:marBottom w:val="0"/>
      <w:divBdr>
        <w:top w:val="none" w:sz="0" w:space="0" w:color="auto"/>
        <w:left w:val="none" w:sz="0" w:space="0" w:color="auto"/>
        <w:bottom w:val="none" w:sz="0" w:space="0" w:color="auto"/>
        <w:right w:val="none" w:sz="0" w:space="0" w:color="auto"/>
      </w:divBdr>
      <w:divsChild>
        <w:div w:id="231546500">
          <w:marLeft w:val="0"/>
          <w:marRight w:val="0"/>
          <w:marTop w:val="0"/>
          <w:marBottom w:val="0"/>
          <w:divBdr>
            <w:top w:val="none" w:sz="0" w:space="0" w:color="auto"/>
            <w:left w:val="none" w:sz="0" w:space="0" w:color="auto"/>
            <w:bottom w:val="none" w:sz="0" w:space="0" w:color="auto"/>
            <w:right w:val="none" w:sz="0" w:space="0" w:color="auto"/>
          </w:divBdr>
        </w:div>
        <w:div w:id="1277061624">
          <w:marLeft w:val="0"/>
          <w:marRight w:val="0"/>
          <w:marTop w:val="0"/>
          <w:marBottom w:val="0"/>
          <w:divBdr>
            <w:top w:val="none" w:sz="0" w:space="0" w:color="auto"/>
            <w:left w:val="none" w:sz="0" w:space="0" w:color="auto"/>
            <w:bottom w:val="none" w:sz="0" w:space="0" w:color="auto"/>
            <w:right w:val="none" w:sz="0" w:space="0" w:color="auto"/>
          </w:divBdr>
        </w:div>
        <w:div w:id="1975484158">
          <w:marLeft w:val="0"/>
          <w:marRight w:val="0"/>
          <w:marTop w:val="0"/>
          <w:marBottom w:val="0"/>
          <w:divBdr>
            <w:top w:val="none" w:sz="0" w:space="0" w:color="auto"/>
            <w:left w:val="none" w:sz="0" w:space="0" w:color="auto"/>
            <w:bottom w:val="none" w:sz="0" w:space="0" w:color="auto"/>
            <w:right w:val="none" w:sz="0" w:space="0" w:color="auto"/>
          </w:divBdr>
        </w:div>
      </w:divsChild>
    </w:div>
    <w:div w:id="773132184">
      <w:bodyDiv w:val="1"/>
      <w:marLeft w:val="0"/>
      <w:marRight w:val="0"/>
      <w:marTop w:val="0"/>
      <w:marBottom w:val="0"/>
      <w:divBdr>
        <w:top w:val="none" w:sz="0" w:space="0" w:color="auto"/>
        <w:left w:val="none" w:sz="0" w:space="0" w:color="auto"/>
        <w:bottom w:val="none" w:sz="0" w:space="0" w:color="auto"/>
        <w:right w:val="none" w:sz="0" w:space="0" w:color="auto"/>
      </w:divBdr>
    </w:div>
    <w:div w:id="777137817">
      <w:bodyDiv w:val="1"/>
      <w:marLeft w:val="0"/>
      <w:marRight w:val="0"/>
      <w:marTop w:val="0"/>
      <w:marBottom w:val="0"/>
      <w:divBdr>
        <w:top w:val="none" w:sz="0" w:space="0" w:color="auto"/>
        <w:left w:val="none" w:sz="0" w:space="0" w:color="auto"/>
        <w:bottom w:val="none" w:sz="0" w:space="0" w:color="auto"/>
        <w:right w:val="none" w:sz="0" w:space="0" w:color="auto"/>
      </w:divBdr>
    </w:div>
    <w:div w:id="783497116">
      <w:bodyDiv w:val="1"/>
      <w:marLeft w:val="0"/>
      <w:marRight w:val="0"/>
      <w:marTop w:val="0"/>
      <w:marBottom w:val="0"/>
      <w:divBdr>
        <w:top w:val="none" w:sz="0" w:space="0" w:color="auto"/>
        <w:left w:val="none" w:sz="0" w:space="0" w:color="auto"/>
        <w:bottom w:val="none" w:sz="0" w:space="0" w:color="auto"/>
        <w:right w:val="none" w:sz="0" w:space="0" w:color="auto"/>
      </w:divBdr>
    </w:div>
    <w:div w:id="792135133">
      <w:bodyDiv w:val="1"/>
      <w:marLeft w:val="0"/>
      <w:marRight w:val="0"/>
      <w:marTop w:val="0"/>
      <w:marBottom w:val="0"/>
      <w:divBdr>
        <w:top w:val="none" w:sz="0" w:space="0" w:color="auto"/>
        <w:left w:val="none" w:sz="0" w:space="0" w:color="auto"/>
        <w:bottom w:val="none" w:sz="0" w:space="0" w:color="auto"/>
        <w:right w:val="none" w:sz="0" w:space="0" w:color="auto"/>
      </w:divBdr>
    </w:div>
    <w:div w:id="792479951">
      <w:bodyDiv w:val="1"/>
      <w:marLeft w:val="0"/>
      <w:marRight w:val="0"/>
      <w:marTop w:val="0"/>
      <w:marBottom w:val="0"/>
      <w:divBdr>
        <w:top w:val="none" w:sz="0" w:space="0" w:color="auto"/>
        <w:left w:val="none" w:sz="0" w:space="0" w:color="auto"/>
        <w:bottom w:val="none" w:sz="0" w:space="0" w:color="auto"/>
        <w:right w:val="none" w:sz="0" w:space="0" w:color="auto"/>
      </w:divBdr>
    </w:div>
    <w:div w:id="798256342">
      <w:bodyDiv w:val="1"/>
      <w:marLeft w:val="0"/>
      <w:marRight w:val="0"/>
      <w:marTop w:val="0"/>
      <w:marBottom w:val="0"/>
      <w:divBdr>
        <w:top w:val="none" w:sz="0" w:space="0" w:color="auto"/>
        <w:left w:val="none" w:sz="0" w:space="0" w:color="auto"/>
        <w:bottom w:val="none" w:sz="0" w:space="0" w:color="auto"/>
        <w:right w:val="none" w:sz="0" w:space="0" w:color="auto"/>
      </w:divBdr>
    </w:div>
    <w:div w:id="799297692">
      <w:bodyDiv w:val="1"/>
      <w:marLeft w:val="0"/>
      <w:marRight w:val="0"/>
      <w:marTop w:val="0"/>
      <w:marBottom w:val="0"/>
      <w:divBdr>
        <w:top w:val="none" w:sz="0" w:space="0" w:color="auto"/>
        <w:left w:val="none" w:sz="0" w:space="0" w:color="auto"/>
        <w:bottom w:val="none" w:sz="0" w:space="0" w:color="auto"/>
        <w:right w:val="none" w:sz="0" w:space="0" w:color="auto"/>
      </w:divBdr>
      <w:divsChild>
        <w:div w:id="47655385">
          <w:marLeft w:val="0"/>
          <w:marRight w:val="0"/>
          <w:marTop w:val="0"/>
          <w:marBottom w:val="0"/>
          <w:divBdr>
            <w:top w:val="none" w:sz="0" w:space="0" w:color="auto"/>
            <w:left w:val="none" w:sz="0" w:space="0" w:color="auto"/>
            <w:bottom w:val="none" w:sz="0" w:space="0" w:color="auto"/>
            <w:right w:val="none" w:sz="0" w:space="0" w:color="auto"/>
          </w:divBdr>
          <w:divsChild>
            <w:div w:id="641887083">
              <w:marLeft w:val="0"/>
              <w:marRight w:val="0"/>
              <w:marTop w:val="0"/>
              <w:marBottom w:val="0"/>
              <w:divBdr>
                <w:top w:val="none" w:sz="0" w:space="0" w:color="auto"/>
                <w:left w:val="none" w:sz="0" w:space="0" w:color="auto"/>
                <w:bottom w:val="none" w:sz="0" w:space="0" w:color="auto"/>
                <w:right w:val="none" w:sz="0" w:space="0" w:color="auto"/>
              </w:divBdr>
            </w:div>
          </w:divsChild>
        </w:div>
        <w:div w:id="117142319">
          <w:marLeft w:val="0"/>
          <w:marRight w:val="0"/>
          <w:marTop w:val="0"/>
          <w:marBottom w:val="0"/>
          <w:divBdr>
            <w:top w:val="none" w:sz="0" w:space="0" w:color="auto"/>
            <w:left w:val="none" w:sz="0" w:space="0" w:color="auto"/>
            <w:bottom w:val="none" w:sz="0" w:space="0" w:color="auto"/>
            <w:right w:val="none" w:sz="0" w:space="0" w:color="auto"/>
          </w:divBdr>
          <w:divsChild>
            <w:div w:id="766199559">
              <w:marLeft w:val="0"/>
              <w:marRight w:val="0"/>
              <w:marTop w:val="0"/>
              <w:marBottom w:val="0"/>
              <w:divBdr>
                <w:top w:val="none" w:sz="0" w:space="0" w:color="auto"/>
                <w:left w:val="none" w:sz="0" w:space="0" w:color="auto"/>
                <w:bottom w:val="none" w:sz="0" w:space="0" w:color="auto"/>
                <w:right w:val="none" w:sz="0" w:space="0" w:color="auto"/>
              </w:divBdr>
            </w:div>
          </w:divsChild>
        </w:div>
        <w:div w:id="152110065">
          <w:marLeft w:val="0"/>
          <w:marRight w:val="0"/>
          <w:marTop w:val="0"/>
          <w:marBottom w:val="0"/>
          <w:divBdr>
            <w:top w:val="none" w:sz="0" w:space="0" w:color="auto"/>
            <w:left w:val="none" w:sz="0" w:space="0" w:color="auto"/>
            <w:bottom w:val="none" w:sz="0" w:space="0" w:color="auto"/>
            <w:right w:val="none" w:sz="0" w:space="0" w:color="auto"/>
          </w:divBdr>
          <w:divsChild>
            <w:div w:id="918557037">
              <w:marLeft w:val="0"/>
              <w:marRight w:val="0"/>
              <w:marTop w:val="0"/>
              <w:marBottom w:val="0"/>
              <w:divBdr>
                <w:top w:val="none" w:sz="0" w:space="0" w:color="auto"/>
                <w:left w:val="none" w:sz="0" w:space="0" w:color="auto"/>
                <w:bottom w:val="none" w:sz="0" w:space="0" w:color="auto"/>
                <w:right w:val="none" w:sz="0" w:space="0" w:color="auto"/>
              </w:divBdr>
            </w:div>
          </w:divsChild>
        </w:div>
        <w:div w:id="172913799">
          <w:marLeft w:val="0"/>
          <w:marRight w:val="0"/>
          <w:marTop w:val="0"/>
          <w:marBottom w:val="0"/>
          <w:divBdr>
            <w:top w:val="none" w:sz="0" w:space="0" w:color="auto"/>
            <w:left w:val="none" w:sz="0" w:space="0" w:color="auto"/>
            <w:bottom w:val="none" w:sz="0" w:space="0" w:color="auto"/>
            <w:right w:val="none" w:sz="0" w:space="0" w:color="auto"/>
          </w:divBdr>
          <w:divsChild>
            <w:div w:id="389840274">
              <w:marLeft w:val="0"/>
              <w:marRight w:val="0"/>
              <w:marTop w:val="0"/>
              <w:marBottom w:val="0"/>
              <w:divBdr>
                <w:top w:val="none" w:sz="0" w:space="0" w:color="auto"/>
                <w:left w:val="none" w:sz="0" w:space="0" w:color="auto"/>
                <w:bottom w:val="none" w:sz="0" w:space="0" w:color="auto"/>
                <w:right w:val="none" w:sz="0" w:space="0" w:color="auto"/>
              </w:divBdr>
            </w:div>
          </w:divsChild>
        </w:div>
        <w:div w:id="287662267">
          <w:marLeft w:val="0"/>
          <w:marRight w:val="0"/>
          <w:marTop w:val="0"/>
          <w:marBottom w:val="0"/>
          <w:divBdr>
            <w:top w:val="none" w:sz="0" w:space="0" w:color="auto"/>
            <w:left w:val="none" w:sz="0" w:space="0" w:color="auto"/>
            <w:bottom w:val="none" w:sz="0" w:space="0" w:color="auto"/>
            <w:right w:val="none" w:sz="0" w:space="0" w:color="auto"/>
          </w:divBdr>
          <w:divsChild>
            <w:div w:id="1457455498">
              <w:marLeft w:val="0"/>
              <w:marRight w:val="0"/>
              <w:marTop w:val="0"/>
              <w:marBottom w:val="0"/>
              <w:divBdr>
                <w:top w:val="none" w:sz="0" w:space="0" w:color="auto"/>
                <w:left w:val="none" w:sz="0" w:space="0" w:color="auto"/>
                <w:bottom w:val="none" w:sz="0" w:space="0" w:color="auto"/>
                <w:right w:val="none" w:sz="0" w:space="0" w:color="auto"/>
              </w:divBdr>
            </w:div>
          </w:divsChild>
        </w:div>
        <w:div w:id="324212580">
          <w:marLeft w:val="0"/>
          <w:marRight w:val="0"/>
          <w:marTop w:val="0"/>
          <w:marBottom w:val="0"/>
          <w:divBdr>
            <w:top w:val="none" w:sz="0" w:space="0" w:color="auto"/>
            <w:left w:val="none" w:sz="0" w:space="0" w:color="auto"/>
            <w:bottom w:val="none" w:sz="0" w:space="0" w:color="auto"/>
            <w:right w:val="none" w:sz="0" w:space="0" w:color="auto"/>
          </w:divBdr>
          <w:divsChild>
            <w:div w:id="630015301">
              <w:marLeft w:val="0"/>
              <w:marRight w:val="0"/>
              <w:marTop w:val="0"/>
              <w:marBottom w:val="0"/>
              <w:divBdr>
                <w:top w:val="none" w:sz="0" w:space="0" w:color="auto"/>
                <w:left w:val="none" w:sz="0" w:space="0" w:color="auto"/>
                <w:bottom w:val="none" w:sz="0" w:space="0" w:color="auto"/>
                <w:right w:val="none" w:sz="0" w:space="0" w:color="auto"/>
              </w:divBdr>
            </w:div>
          </w:divsChild>
        </w:div>
        <w:div w:id="330104963">
          <w:marLeft w:val="0"/>
          <w:marRight w:val="0"/>
          <w:marTop w:val="0"/>
          <w:marBottom w:val="0"/>
          <w:divBdr>
            <w:top w:val="none" w:sz="0" w:space="0" w:color="auto"/>
            <w:left w:val="none" w:sz="0" w:space="0" w:color="auto"/>
            <w:bottom w:val="none" w:sz="0" w:space="0" w:color="auto"/>
            <w:right w:val="none" w:sz="0" w:space="0" w:color="auto"/>
          </w:divBdr>
          <w:divsChild>
            <w:div w:id="1866552239">
              <w:marLeft w:val="0"/>
              <w:marRight w:val="0"/>
              <w:marTop w:val="0"/>
              <w:marBottom w:val="0"/>
              <w:divBdr>
                <w:top w:val="none" w:sz="0" w:space="0" w:color="auto"/>
                <w:left w:val="none" w:sz="0" w:space="0" w:color="auto"/>
                <w:bottom w:val="none" w:sz="0" w:space="0" w:color="auto"/>
                <w:right w:val="none" w:sz="0" w:space="0" w:color="auto"/>
              </w:divBdr>
            </w:div>
          </w:divsChild>
        </w:div>
        <w:div w:id="345333459">
          <w:marLeft w:val="0"/>
          <w:marRight w:val="0"/>
          <w:marTop w:val="0"/>
          <w:marBottom w:val="0"/>
          <w:divBdr>
            <w:top w:val="none" w:sz="0" w:space="0" w:color="auto"/>
            <w:left w:val="none" w:sz="0" w:space="0" w:color="auto"/>
            <w:bottom w:val="none" w:sz="0" w:space="0" w:color="auto"/>
            <w:right w:val="none" w:sz="0" w:space="0" w:color="auto"/>
          </w:divBdr>
          <w:divsChild>
            <w:div w:id="268244630">
              <w:marLeft w:val="0"/>
              <w:marRight w:val="0"/>
              <w:marTop w:val="0"/>
              <w:marBottom w:val="0"/>
              <w:divBdr>
                <w:top w:val="none" w:sz="0" w:space="0" w:color="auto"/>
                <w:left w:val="none" w:sz="0" w:space="0" w:color="auto"/>
                <w:bottom w:val="none" w:sz="0" w:space="0" w:color="auto"/>
                <w:right w:val="none" w:sz="0" w:space="0" w:color="auto"/>
              </w:divBdr>
            </w:div>
          </w:divsChild>
        </w:div>
        <w:div w:id="349382646">
          <w:marLeft w:val="0"/>
          <w:marRight w:val="0"/>
          <w:marTop w:val="0"/>
          <w:marBottom w:val="0"/>
          <w:divBdr>
            <w:top w:val="none" w:sz="0" w:space="0" w:color="auto"/>
            <w:left w:val="none" w:sz="0" w:space="0" w:color="auto"/>
            <w:bottom w:val="none" w:sz="0" w:space="0" w:color="auto"/>
            <w:right w:val="none" w:sz="0" w:space="0" w:color="auto"/>
          </w:divBdr>
          <w:divsChild>
            <w:div w:id="1031567793">
              <w:marLeft w:val="0"/>
              <w:marRight w:val="0"/>
              <w:marTop w:val="0"/>
              <w:marBottom w:val="0"/>
              <w:divBdr>
                <w:top w:val="none" w:sz="0" w:space="0" w:color="auto"/>
                <w:left w:val="none" w:sz="0" w:space="0" w:color="auto"/>
                <w:bottom w:val="none" w:sz="0" w:space="0" w:color="auto"/>
                <w:right w:val="none" w:sz="0" w:space="0" w:color="auto"/>
              </w:divBdr>
            </w:div>
          </w:divsChild>
        </w:div>
        <w:div w:id="387730176">
          <w:marLeft w:val="0"/>
          <w:marRight w:val="0"/>
          <w:marTop w:val="0"/>
          <w:marBottom w:val="0"/>
          <w:divBdr>
            <w:top w:val="none" w:sz="0" w:space="0" w:color="auto"/>
            <w:left w:val="none" w:sz="0" w:space="0" w:color="auto"/>
            <w:bottom w:val="none" w:sz="0" w:space="0" w:color="auto"/>
            <w:right w:val="none" w:sz="0" w:space="0" w:color="auto"/>
          </w:divBdr>
          <w:divsChild>
            <w:div w:id="866916808">
              <w:marLeft w:val="0"/>
              <w:marRight w:val="0"/>
              <w:marTop w:val="0"/>
              <w:marBottom w:val="0"/>
              <w:divBdr>
                <w:top w:val="none" w:sz="0" w:space="0" w:color="auto"/>
                <w:left w:val="none" w:sz="0" w:space="0" w:color="auto"/>
                <w:bottom w:val="none" w:sz="0" w:space="0" w:color="auto"/>
                <w:right w:val="none" w:sz="0" w:space="0" w:color="auto"/>
              </w:divBdr>
            </w:div>
          </w:divsChild>
        </w:div>
        <w:div w:id="434979025">
          <w:marLeft w:val="0"/>
          <w:marRight w:val="0"/>
          <w:marTop w:val="0"/>
          <w:marBottom w:val="0"/>
          <w:divBdr>
            <w:top w:val="none" w:sz="0" w:space="0" w:color="auto"/>
            <w:left w:val="none" w:sz="0" w:space="0" w:color="auto"/>
            <w:bottom w:val="none" w:sz="0" w:space="0" w:color="auto"/>
            <w:right w:val="none" w:sz="0" w:space="0" w:color="auto"/>
          </w:divBdr>
          <w:divsChild>
            <w:div w:id="1530992265">
              <w:marLeft w:val="0"/>
              <w:marRight w:val="0"/>
              <w:marTop w:val="0"/>
              <w:marBottom w:val="0"/>
              <w:divBdr>
                <w:top w:val="none" w:sz="0" w:space="0" w:color="auto"/>
                <w:left w:val="none" w:sz="0" w:space="0" w:color="auto"/>
                <w:bottom w:val="none" w:sz="0" w:space="0" w:color="auto"/>
                <w:right w:val="none" w:sz="0" w:space="0" w:color="auto"/>
              </w:divBdr>
            </w:div>
          </w:divsChild>
        </w:div>
        <w:div w:id="544949791">
          <w:marLeft w:val="0"/>
          <w:marRight w:val="0"/>
          <w:marTop w:val="0"/>
          <w:marBottom w:val="0"/>
          <w:divBdr>
            <w:top w:val="none" w:sz="0" w:space="0" w:color="auto"/>
            <w:left w:val="none" w:sz="0" w:space="0" w:color="auto"/>
            <w:bottom w:val="none" w:sz="0" w:space="0" w:color="auto"/>
            <w:right w:val="none" w:sz="0" w:space="0" w:color="auto"/>
          </w:divBdr>
          <w:divsChild>
            <w:div w:id="1871452499">
              <w:marLeft w:val="0"/>
              <w:marRight w:val="0"/>
              <w:marTop w:val="0"/>
              <w:marBottom w:val="0"/>
              <w:divBdr>
                <w:top w:val="none" w:sz="0" w:space="0" w:color="auto"/>
                <w:left w:val="none" w:sz="0" w:space="0" w:color="auto"/>
                <w:bottom w:val="none" w:sz="0" w:space="0" w:color="auto"/>
                <w:right w:val="none" w:sz="0" w:space="0" w:color="auto"/>
              </w:divBdr>
            </w:div>
          </w:divsChild>
        </w:div>
        <w:div w:id="556624507">
          <w:marLeft w:val="0"/>
          <w:marRight w:val="0"/>
          <w:marTop w:val="0"/>
          <w:marBottom w:val="0"/>
          <w:divBdr>
            <w:top w:val="none" w:sz="0" w:space="0" w:color="auto"/>
            <w:left w:val="none" w:sz="0" w:space="0" w:color="auto"/>
            <w:bottom w:val="none" w:sz="0" w:space="0" w:color="auto"/>
            <w:right w:val="none" w:sz="0" w:space="0" w:color="auto"/>
          </w:divBdr>
          <w:divsChild>
            <w:div w:id="1506901292">
              <w:marLeft w:val="0"/>
              <w:marRight w:val="0"/>
              <w:marTop w:val="0"/>
              <w:marBottom w:val="0"/>
              <w:divBdr>
                <w:top w:val="none" w:sz="0" w:space="0" w:color="auto"/>
                <w:left w:val="none" w:sz="0" w:space="0" w:color="auto"/>
                <w:bottom w:val="none" w:sz="0" w:space="0" w:color="auto"/>
                <w:right w:val="none" w:sz="0" w:space="0" w:color="auto"/>
              </w:divBdr>
            </w:div>
          </w:divsChild>
        </w:div>
        <w:div w:id="640816612">
          <w:marLeft w:val="0"/>
          <w:marRight w:val="0"/>
          <w:marTop w:val="0"/>
          <w:marBottom w:val="0"/>
          <w:divBdr>
            <w:top w:val="none" w:sz="0" w:space="0" w:color="auto"/>
            <w:left w:val="none" w:sz="0" w:space="0" w:color="auto"/>
            <w:bottom w:val="none" w:sz="0" w:space="0" w:color="auto"/>
            <w:right w:val="none" w:sz="0" w:space="0" w:color="auto"/>
          </w:divBdr>
          <w:divsChild>
            <w:div w:id="1805729310">
              <w:marLeft w:val="0"/>
              <w:marRight w:val="0"/>
              <w:marTop w:val="0"/>
              <w:marBottom w:val="0"/>
              <w:divBdr>
                <w:top w:val="none" w:sz="0" w:space="0" w:color="auto"/>
                <w:left w:val="none" w:sz="0" w:space="0" w:color="auto"/>
                <w:bottom w:val="none" w:sz="0" w:space="0" w:color="auto"/>
                <w:right w:val="none" w:sz="0" w:space="0" w:color="auto"/>
              </w:divBdr>
            </w:div>
          </w:divsChild>
        </w:div>
        <w:div w:id="641466811">
          <w:marLeft w:val="0"/>
          <w:marRight w:val="0"/>
          <w:marTop w:val="0"/>
          <w:marBottom w:val="0"/>
          <w:divBdr>
            <w:top w:val="none" w:sz="0" w:space="0" w:color="auto"/>
            <w:left w:val="none" w:sz="0" w:space="0" w:color="auto"/>
            <w:bottom w:val="none" w:sz="0" w:space="0" w:color="auto"/>
            <w:right w:val="none" w:sz="0" w:space="0" w:color="auto"/>
          </w:divBdr>
          <w:divsChild>
            <w:div w:id="1123504585">
              <w:marLeft w:val="0"/>
              <w:marRight w:val="0"/>
              <w:marTop w:val="0"/>
              <w:marBottom w:val="0"/>
              <w:divBdr>
                <w:top w:val="none" w:sz="0" w:space="0" w:color="auto"/>
                <w:left w:val="none" w:sz="0" w:space="0" w:color="auto"/>
                <w:bottom w:val="none" w:sz="0" w:space="0" w:color="auto"/>
                <w:right w:val="none" w:sz="0" w:space="0" w:color="auto"/>
              </w:divBdr>
            </w:div>
          </w:divsChild>
        </w:div>
        <w:div w:id="658655103">
          <w:marLeft w:val="0"/>
          <w:marRight w:val="0"/>
          <w:marTop w:val="0"/>
          <w:marBottom w:val="0"/>
          <w:divBdr>
            <w:top w:val="none" w:sz="0" w:space="0" w:color="auto"/>
            <w:left w:val="none" w:sz="0" w:space="0" w:color="auto"/>
            <w:bottom w:val="none" w:sz="0" w:space="0" w:color="auto"/>
            <w:right w:val="none" w:sz="0" w:space="0" w:color="auto"/>
          </w:divBdr>
          <w:divsChild>
            <w:div w:id="791552931">
              <w:marLeft w:val="0"/>
              <w:marRight w:val="0"/>
              <w:marTop w:val="0"/>
              <w:marBottom w:val="0"/>
              <w:divBdr>
                <w:top w:val="none" w:sz="0" w:space="0" w:color="auto"/>
                <w:left w:val="none" w:sz="0" w:space="0" w:color="auto"/>
                <w:bottom w:val="none" w:sz="0" w:space="0" w:color="auto"/>
                <w:right w:val="none" w:sz="0" w:space="0" w:color="auto"/>
              </w:divBdr>
            </w:div>
          </w:divsChild>
        </w:div>
        <w:div w:id="706956375">
          <w:marLeft w:val="0"/>
          <w:marRight w:val="0"/>
          <w:marTop w:val="0"/>
          <w:marBottom w:val="0"/>
          <w:divBdr>
            <w:top w:val="none" w:sz="0" w:space="0" w:color="auto"/>
            <w:left w:val="none" w:sz="0" w:space="0" w:color="auto"/>
            <w:bottom w:val="none" w:sz="0" w:space="0" w:color="auto"/>
            <w:right w:val="none" w:sz="0" w:space="0" w:color="auto"/>
          </w:divBdr>
          <w:divsChild>
            <w:div w:id="1870952044">
              <w:marLeft w:val="0"/>
              <w:marRight w:val="0"/>
              <w:marTop w:val="0"/>
              <w:marBottom w:val="0"/>
              <w:divBdr>
                <w:top w:val="none" w:sz="0" w:space="0" w:color="auto"/>
                <w:left w:val="none" w:sz="0" w:space="0" w:color="auto"/>
                <w:bottom w:val="none" w:sz="0" w:space="0" w:color="auto"/>
                <w:right w:val="none" w:sz="0" w:space="0" w:color="auto"/>
              </w:divBdr>
            </w:div>
          </w:divsChild>
        </w:div>
        <w:div w:id="713626004">
          <w:marLeft w:val="0"/>
          <w:marRight w:val="0"/>
          <w:marTop w:val="0"/>
          <w:marBottom w:val="0"/>
          <w:divBdr>
            <w:top w:val="none" w:sz="0" w:space="0" w:color="auto"/>
            <w:left w:val="none" w:sz="0" w:space="0" w:color="auto"/>
            <w:bottom w:val="none" w:sz="0" w:space="0" w:color="auto"/>
            <w:right w:val="none" w:sz="0" w:space="0" w:color="auto"/>
          </w:divBdr>
          <w:divsChild>
            <w:div w:id="248777273">
              <w:marLeft w:val="0"/>
              <w:marRight w:val="0"/>
              <w:marTop w:val="0"/>
              <w:marBottom w:val="0"/>
              <w:divBdr>
                <w:top w:val="none" w:sz="0" w:space="0" w:color="auto"/>
                <w:left w:val="none" w:sz="0" w:space="0" w:color="auto"/>
                <w:bottom w:val="none" w:sz="0" w:space="0" w:color="auto"/>
                <w:right w:val="none" w:sz="0" w:space="0" w:color="auto"/>
              </w:divBdr>
            </w:div>
          </w:divsChild>
        </w:div>
        <w:div w:id="738938956">
          <w:marLeft w:val="0"/>
          <w:marRight w:val="0"/>
          <w:marTop w:val="0"/>
          <w:marBottom w:val="0"/>
          <w:divBdr>
            <w:top w:val="none" w:sz="0" w:space="0" w:color="auto"/>
            <w:left w:val="none" w:sz="0" w:space="0" w:color="auto"/>
            <w:bottom w:val="none" w:sz="0" w:space="0" w:color="auto"/>
            <w:right w:val="none" w:sz="0" w:space="0" w:color="auto"/>
          </w:divBdr>
          <w:divsChild>
            <w:div w:id="1690448283">
              <w:marLeft w:val="0"/>
              <w:marRight w:val="0"/>
              <w:marTop w:val="0"/>
              <w:marBottom w:val="0"/>
              <w:divBdr>
                <w:top w:val="none" w:sz="0" w:space="0" w:color="auto"/>
                <w:left w:val="none" w:sz="0" w:space="0" w:color="auto"/>
                <w:bottom w:val="none" w:sz="0" w:space="0" w:color="auto"/>
                <w:right w:val="none" w:sz="0" w:space="0" w:color="auto"/>
              </w:divBdr>
            </w:div>
          </w:divsChild>
        </w:div>
        <w:div w:id="755595970">
          <w:marLeft w:val="0"/>
          <w:marRight w:val="0"/>
          <w:marTop w:val="0"/>
          <w:marBottom w:val="0"/>
          <w:divBdr>
            <w:top w:val="none" w:sz="0" w:space="0" w:color="auto"/>
            <w:left w:val="none" w:sz="0" w:space="0" w:color="auto"/>
            <w:bottom w:val="none" w:sz="0" w:space="0" w:color="auto"/>
            <w:right w:val="none" w:sz="0" w:space="0" w:color="auto"/>
          </w:divBdr>
          <w:divsChild>
            <w:div w:id="1450973377">
              <w:marLeft w:val="0"/>
              <w:marRight w:val="0"/>
              <w:marTop w:val="0"/>
              <w:marBottom w:val="0"/>
              <w:divBdr>
                <w:top w:val="none" w:sz="0" w:space="0" w:color="auto"/>
                <w:left w:val="none" w:sz="0" w:space="0" w:color="auto"/>
                <w:bottom w:val="none" w:sz="0" w:space="0" w:color="auto"/>
                <w:right w:val="none" w:sz="0" w:space="0" w:color="auto"/>
              </w:divBdr>
            </w:div>
          </w:divsChild>
        </w:div>
        <w:div w:id="766999080">
          <w:marLeft w:val="0"/>
          <w:marRight w:val="0"/>
          <w:marTop w:val="0"/>
          <w:marBottom w:val="0"/>
          <w:divBdr>
            <w:top w:val="none" w:sz="0" w:space="0" w:color="auto"/>
            <w:left w:val="none" w:sz="0" w:space="0" w:color="auto"/>
            <w:bottom w:val="none" w:sz="0" w:space="0" w:color="auto"/>
            <w:right w:val="none" w:sz="0" w:space="0" w:color="auto"/>
          </w:divBdr>
          <w:divsChild>
            <w:div w:id="1780680509">
              <w:marLeft w:val="0"/>
              <w:marRight w:val="0"/>
              <w:marTop w:val="0"/>
              <w:marBottom w:val="0"/>
              <w:divBdr>
                <w:top w:val="none" w:sz="0" w:space="0" w:color="auto"/>
                <w:left w:val="none" w:sz="0" w:space="0" w:color="auto"/>
                <w:bottom w:val="none" w:sz="0" w:space="0" w:color="auto"/>
                <w:right w:val="none" w:sz="0" w:space="0" w:color="auto"/>
              </w:divBdr>
            </w:div>
          </w:divsChild>
        </w:div>
        <w:div w:id="793141034">
          <w:marLeft w:val="0"/>
          <w:marRight w:val="0"/>
          <w:marTop w:val="0"/>
          <w:marBottom w:val="0"/>
          <w:divBdr>
            <w:top w:val="none" w:sz="0" w:space="0" w:color="auto"/>
            <w:left w:val="none" w:sz="0" w:space="0" w:color="auto"/>
            <w:bottom w:val="none" w:sz="0" w:space="0" w:color="auto"/>
            <w:right w:val="none" w:sz="0" w:space="0" w:color="auto"/>
          </w:divBdr>
          <w:divsChild>
            <w:div w:id="644358047">
              <w:marLeft w:val="0"/>
              <w:marRight w:val="0"/>
              <w:marTop w:val="0"/>
              <w:marBottom w:val="0"/>
              <w:divBdr>
                <w:top w:val="none" w:sz="0" w:space="0" w:color="auto"/>
                <w:left w:val="none" w:sz="0" w:space="0" w:color="auto"/>
                <w:bottom w:val="none" w:sz="0" w:space="0" w:color="auto"/>
                <w:right w:val="none" w:sz="0" w:space="0" w:color="auto"/>
              </w:divBdr>
            </w:div>
          </w:divsChild>
        </w:div>
        <w:div w:id="796530775">
          <w:marLeft w:val="0"/>
          <w:marRight w:val="0"/>
          <w:marTop w:val="0"/>
          <w:marBottom w:val="0"/>
          <w:divBdr>
            <w:top w:val="none" w:sz="0" w:space="0" w:color="auto"/>
            <w:left w:val="none" w:sz="0" w:space="0" w:color="auto"/>
            <w:bottom w:val="none" w:sz="0" w:space="0" w:color="auto"/>
            <w:right w:val="none" w:sz="0" w:space="0" w:color="auto"/>
          </w:divBdr>
          <w:divsChild>
            <w:div w:id="1926452898">
              <w:marLeft w:val="0"/>
              <w:marRight w:val="0"/>
              <w:marTop w:val="0"/>
              <w:marBottom w:val="0"/>
              <w:divBdr>
                <w:top w:val="none" w:sz="0" w:space="0" w:color="auto"/>
                <w:left w:val="none" w:sz="0" w:space="0" w:color="auto"/>
                <w:bottom w:val="none" w:sz="0" w:space="0" w:color="auto"/>
                <w:right w:val="none" w:sz="0" w:space="0" w:color="auto"/>
              </w:divBdr>
            </w:div>
          </w:divsChild>
        </w:div>
        <w:div w:id="889610351">
          <w:marLeft w:val="0"/>
          <w:marRight w:val="0"/>
          <w:marTop w:val="0"/>
          <w:marBottom w:val="0"/>
          <w:divBdr>
            <w:top w:val="none" w:sz="0" w:space="0" w:color="auto"/>
            <w:left w:val="none" w:sz="0" w:space="0" w:color="auto"/>
            <w:bottom w:val="none" w:sz="0" w:space="0" w:color="auto"/>
            <w:right w:val="none" w:sz="0" w:space="0" w:color="auto"/>
          </w:divBdr>
          <w:divsChild>
            <w:div w:id="1281643350">
              <w:marLeft w:val="0"/>
              <w:marRight w:val="0"/>
              <w:marTop w:val="0"/>
              <w:marBottom w:val="0"/>
              <w:divBdr>
                <w:top w:val="none" w:sz="0" w:space="0" w:color="auto"/>
                <w:left w:val="none" w:sz="0" w:space="0" w:color="auto"/>
                <w:bottom w:val="none" w:sz="0" w:space="0" w:color="auto"/>
                <w:right w:val="none" w:sz="0" w:space="0" w:color="auto"/>
              </w:divBdr>
            </w:div>
          </w:divsChild>
        </w:div>
        <w:div w:id="983242713">
          <w:marLeft w:val="0"/>
          <w:marRight w:val="0"/>
          <w:marTop w:val="0"/>
          <w:marBottom w:val="0"/>
          <w:divBdr>
            <w:top w:val="none" w:sz="0" w:space="0" w:color="auto"/>
            <w:left w:val="none" w:sz="0" w:space="0" w:color="auto"/>
            <w:bottom w:val="none" w:sz="0" w:space="0" w:color="auto"/>
            <w:right w:val="none" w:sz="0" w:space="0" w:color="auto"/>
          </w:divBdr>
          <w:divsChild>
            <w:div w:id="1772968244">
              <w:marLeft w:val="0"/>
              <w:marRight w:val="0"/>
              <w:marTop w:val="0"/>
              <w:marBottom w:val="0"/>
              <w:divBdr>
                <w:top w:val="none" w:sz="0" w:space="0" w:color="auto"/>
                <w:left w:val="none" w:sz="0" w:space="0" w:color="auto"/>
                <w:bottom w:val="none" w:sz="0" w:space="0" w:color="auto"/>
                <w:right w:val="none" w:sz="0" w:space="0" w:color="auto"/>
              </w:divBdr>
            </w:div>
          </w:divsChild>
        </w:div>
        <w:div w:id="987441725">
          <w:marLeft w:val="0"/>
          <w:marRight w:val="0"/>
          <w:marTop w:val="0"/>
          <w:marBottom w:val="0"/>
          <w:divBdr>
            <w:top w:val="none" w:sz="0" w:space="0" w:color="auto"/>
            <w:left w:val="none" w:sz="0" w:space="0" w:color="auto"/>
            <w:bottom w:val="none" w:sz="0" w:space="0" w:color="auto"/>
            <w:right w:val="none" w:sz="0" w:space="0" w:color="auto"/>
          </w:divBdr>
          <w:divsChild>
            <w:div w:id="1337222122">
              <w:marLeft w:val="0"/>
              <w:marRight w:val="0"/>
              <w:marTop w:val="0"/>
              <w:marBottom w:val="0"/>
              <w:divBdr>
                <w:top w:val="none" w:sz="0" w:space="0" w:color="auto"/>
                <w:left w:val="none" w:sz="0" w:space="0" w:color="auto"/>
                <w:bottom w:val="none" w:sz="0" w:space="0" w:color="auto"/>
                <w:right w:val="none" w:sz="0" w:space="0" w:color="auto"/>
              </w:divBdr>
            </w:div>
          </w:divsChild>
        </w:div>
        <w:div w:id="1044333046">
          <w:marLeft w:val="0"/>
          <w:marRight w:val="0"/>
          <w:marTop w:val="0"/>
          <w:marBottom w:val="0"/>
          <w:divBdr>
            <w:top w:val="none" w:sz="0" w:space="0" w:color="auto"/>
            <w:left w:val="none" w:sz="0" w:space="0" w:color="auto"/>
            <w:bottom w:val="none" w:sz="0" w:space="0" w:color="auto"/>
            <w:right w:val="none" w:sz="0" w:space="0" w:color="auto"/>
          </w:divBdr>
          <w:divsChild>
            <w:div w:id="1975912633">
              <w:marLeft w:val="0"/>
              <w:marRight w:val="0"/>
              <w:marTop w:val="0"/>
              <w:marBottom w:val="0"/>
              <w:divBdr>
                <w:top w:val="none" w:sz="0" w:space="0" w:color="auto"/>
                <w:left w:val="none" w:sz="0" w:space="0" w:color="auto"/>
                <w:bottom w:val="none" w:sz="0" w:space="0" w:color="auto"/>
                <w:right w:val="none" w:sz="0" w:space="0" w:color="auto"/>
              </w:divBdr>
            </w:div>
          </w:divsChild>
        </w:div>
        <w:div w:id="1061905311">
          <w:marLeft w:val="0"/>
          <w:marRight w:val="0"/>
          <w:marTop w:val="0"/>
          <w:marBottom w:val="0"/>
          <w:divBdr>
            <w:top w:val="none" w:sz="0" w:space="0" w:color="auto"/>
            <w:left w:val="none" w:sz="0" w:space="0" w:color="auto"/>
            <w:bottom w:val="none" w:sz="0" w:space="0" w:color="auto"/>
            <w:right w:val="none" w:sz="0" w:space="0" w:color="auto"/>
          </w:divBdr>
          <w:divsChild>
            <w:div w:id="1718238314">
              <w:marLeft w:val="0"/>
              <w:marRight w:val="0"/>
              <w:marTop w:val="0"/>
              <w:marBottom w:val="0"/>
              <w:divBdr>
                <w:top w:val="none" w:sz="0" w:space="0" w:color="auto"/>
                <w:left w:val="none" w:sz="0" w:space="0" w:color="auto"/>
                <w:bottom w:val="none" w:sz="0" w:space="0" w:color="auto"/>
                <w:right w:val="none" w:sz="0" w:space="0" w:color="auto"/>
              </w:divBdr>
            </w:div>
          </w:divsChild>
        </w:div>
        <w:div w:id="1083720791">
          <w:marLeft w:val="0"/>
          <w:marRight w:val="0"/>
          <w:marTop w:val="0"/>
          <w:marBottom w:val="0"/>
          <w:divBdr>
            <w:top w:val="none" w:sz="0" w:space="0" w:color="auto"/>
            <w:left w:val="none" w:sz="0" w:space="0" w:color="auto"/>
            <w:bottom w:val="none" w:sz="0" w:space="0" w:color="auto"/>
            <w:right w:val="none" w:sz="0" w:space="0" w:color="auto"/>
          </w:divBdr>
          <w:divsChild>
            <w:div w:id="1616325163">
              <w:marLeft w:val="0"/>
              <w:marRight w:val="0"/>
              <w:marTop w:val="0"/>
              <w:marBottom w:val="0"/>
              <w:divBdr>
                <w:top w:val="none" w:sz="0" w:space="0" w:color="auto"/>
                <w:left w:val="none" w:sz="0" w:space="0" w:color="auto"/>
                <w:bottom w:val="none" w:sz="0" w:space="0" w:color="auto"/>
                <w:right w:val="none" w:sz="0" w:space="0" w:color="auto"/>
              </w:divBdr>
            </w:div>
          </w:divsChild>
        </w:div>
        <w:div w:id="1090928933">
          <w:marLeft w:val="0"/>
          <w:marRight w:val="0"/>
          <w:marTop w:val="0"/>
          <w:marBottom w:val="0"/>
          <w:divBdr>
            <w:top w:val="none" w:sz="0" w:space="0" w:color="auto"/>
            <w:left w:val="none" w:sz="0" w:space="0" w:color="auto"/>
            <w:bottom w:val="none" w:sz="0" w:space="0" w:color="auto"/>
            <w:right w:val="none" w:sz="0" w:space="0" w:color="auto"/>
          </w:divBdr>
          <w:divsChild>
            <w:div w:id="1945842733">
              <w:marLeft w:val="0"/>
              <w:marRight w:val="0"/>
              <w:marTop w:val="0"/>
              <w:marBottom w:val="0"/>
              <w:divBdr>
                <w:top w:val="none" w:sz="0" w:space="0" w:color="auto"/>
                <w:left w:val="none" w:sz="0" w:space="0" w:color="auto"/>
                <w:bottom w:val="none" w:sz="0" w:space="0" w:color="auto"/>
                <w:right w:val="none" w:sz="0" w:space="0" w:color="auto"/>
              </w:divBdr>
            </w:div>
          </w:divsChild>
        </w:div>
        <w:div w:id="1094471962">
          <w:marLeft w:val="0"/>
          <w:marRight w:val="0"/>
          <w:marTop w:val="0"/>
          <w:marBottom w:val="0"/>
          <w:divBdr>
            <w:top w:val="none" w:sz="0" w:space="0" w:color="auto"/>
            <w:left w:val="none" w:sz="0" w:space="0" w:color="auto"/>
            <w:bottom w:val="none" w:sz="0" w:space="0" w:color="auto"/>
            <w:right w:val="none" w:sz="0" w:space="0" w:color="auto"/>
          </w:divBdr>
          <w:divsChild>
            <w:div w:id="844057770">
              <w:marLeft w:val="0"/>
              <w:marRight w:val="0"/>
              <w:marTop w:val="0"/>
              <w:marBottom w:val="0"/>
              <w:divBdr>
                <w:top w:val="none" w:sz="0" w:space="0" w:color="auto"/>
                <w:left w:val="none" w:sz="0" w:space="0" w:color="auto"/>
                <w:bottom w:val="none" w:sz="0" w:space="0" w:color="auto"/>
                <w:right w:val="none" w:sz="0" w:space="0" w:color="auto"/>
              </w:divBdr>
            </w:div>
          </w:divsChild>
        </w:div>
        <w:div w:id="1215770292">
          <w:marLeft w:val="0"/>
          <w:marRight w:val="0"/>
          <w:marTop w:val="0"/>
          <w:marBottom w:val="0"/>
          <w:divBdr>
            <w:top w:val="none" w:sz="0" w:space="0" w:color="auto"/>
            <w:left w:val="none" w:sz="0" w:space="0" w:color="auto"/>
            <w:bottom w:val="none" w:sz="0" w:space="0" w:color="auto"/>
            <w:right w:val="none" w:sz="0" w:space="0" w:color="auto"/>
          </w:divBdr>
          <w:divsChild>
            <w:div w:id="158737386">
              <w:marLeft w:val="0"/>
              <w:marRight w:val="0"/>
              <w:marTop w:val="0"/>
              <w:marBottom w:val="0"/>
              <w:divBdr>
                <w:top w:val="none" w:sz="0" w:space="0" w:color="auto"/>
                <w:left w:val="none" w:sz="0" w:space="0" w:color="auto"/>
                <w:bottom w:val="none" w:sz="0" w:space="0" w:color="auto"/>
                <w:right w:val="none" w:sz="0" w:space="0" w:color="auto"/>
              </w:divBdr>
            </w:div>
          </w:divsChild>
        </w:div>
        <w:div w:id="1258053133">
          <w:marLeft w:val="0"/>
          <w:marRight w:val="0"/>
          <w:marTop w:val="0"/>
          <w:marBottom w:val="0"/>
          <w:divBdr>
            <w:top w:val="none" w:sz="0" w:space="0" w:color="auto"/>
            <w:left w:val="none" w:sz="0" w:space="0" w:color="auto"/>
            <w:bottom w:val="none" w:sz="0" w:space="0" w:color="auto"/>
            <w:right w:val="none" w:sz="0" w:space="0" w:color="auto"/>
          </w:divBdr>
          <w:divsChild>
            <w:div w:id="250237479">
              <w:marLeft w:val="0"/>
              <w:marRight w:val="0"/>
              <w:marTop w:val="0"/>
              <w:marBottom w:val="0"/>
              <w:divBdr>
                <w:top w:val="none" w:sz="0" w:space="0" w:color="auto"/>
                <w:left w:val="none" w:sz="0" w:space="0" w:color="auto"/>
                <w:bottom w:val="none" w:sz="0" w:space="0" w:color="auto"/>
                <w:right w:val="none" w:sz="0" w:space="0" w:color="auto"/>
              </w:divBdr>
            </w:div>
          </w:divsChild>
        </w:div>
        <w:div w:id="1259019903">
          <w:marLeft w:val="0"/>
          <w:marRight w:val="0"/>
          <w:marTop w:val="0"/>
          <w:marBottom w:val="0"/>
          <w:divBdr>
            <w:top w:val="none" w:sz="0" w:space="0" w:color="auto"/>
            <w:left w:val="none" w:sz="0" w:space="0" w:color="auto"/>
            <w:bottom w:val="none" w:sz="0" w:space="0" w:color="auto"/>
            <w:right w:val="none" w:sz="0" w:space="0" w:color="auto"/>
          </w:divBdr>
          <w:divsChild>
            <w:div w:id="661664300">
              <w:marLeft w:val="0"/>
              <w:marRight w:val="0"/>
              <w:marTop w:val="0"/>
              <w:marBottom w:val="0"/>
              <w:divBdr>
                <w:top w:val="none" w:sz="0" w:space="0" w:color="auto"/>
                <w:left w:val="none" w:sz="0" w:space="0" w:color="auto"/>
                <w:bottom w:val="none" w:sz="0" w:space="0" w:color="auto"/>
                <w:right w:val="none" w:sz="0" w:space="0" w:color="auto"/>
              </w:divBdr>
            </w:div>
          </w:divsChild>
        </w:div>
        <w:div w:id="1297612971">
          <w:marLeft w:val="0"/>
          <w:marRight w:val="0"/>
          <w:marTop w:val="0"/>
          <w:marBottom w:val="0"/>
          <w:divBdr>
            <w:top w:val="none" w:sz="0" w:space="0" w:color="auto"/>
            <w:left w:val="none" w:sz="0" w:space="0" w:color="auto"/>
            <w:bottom w:val="none" w:sz="0" w:space="0" w:color="auto"/>
            <w:right w:val="none" w:sz="0" w:space="0" w:color="auto"/>
          </w:divBdr>
          <w:divsChild>
            <w:div w:id="292947937">
              <w:marLeft w:val="0"/>
              <w:marRight w:val="0"/>
              <w:marTop w:val="0"/>
              <w:marBottom w:val="0"/>
              <w:divBdr>
                <w:top w:val="none" w:sz="0" w:space="0" w:color="auto"/>
                <w:left w:val="none" w:sz="0" w:space="0" w:color="auto"/>
                <w:bottom w:val="none" w:sz="0" w:space="0" w:color="auto"/>
                <w:right w:val="none" w:sz="0" w:space="0" w:color="auto"/>
              </w:divBdr>
            </w:div>
          </w:divsChild>
        </w:div>
        <w:div w:id="1391731138">
          <w:marLeft w:val="0"/>
          <w:marRight w:val="0"/>
          <w:marTop w:val="0"/>
          <w:marBottom w:val="0"/>
          <w:divBdr>
            <w:top w:val="none" w:sz="0" w:space="0" w:color="auto"/>
            <w:left w:val="none" w:sz="0" w:space="0" w:color="auto"/>
            <w:bottom w:val="none" w:sz="0" w:space="0" w:color="auto"/>
            <w:right w:val="none" w:sz="0" w:space="0" w:color="auto"/>
          </w:divBdr>
          <w:divsChild>
            <w:div w:id="1259288372">
              <w:marLeft w:val="0"/>
              <w:marRight w:val="0"/>
              <w:marTop w:val="0"/>
              <w:marBottom w:val="0"/>
              <w:divBdr>
                <w:top w:val="none" w:sz="0" w:space="0" w:color="auto"/>
                <w:left w:val="none" w:sz="0" w:space="0" w:color="auto"/>
                <w:bottom w:val="none" w:sz="0" w:space="0" w:color="auto"/>
                <w:right w:val="none" w:sz="0" w:space="0" w:color="auto"/>
              </w:divBdr>
            </w:div>
          </w:divsChild>
        </w:div>
        <w:div w:id="1402561078">
          <w:marLeft w:val="0"/>
          <w:marRight w:val="0"/>
          <w:marTop w:val="0"/>
          <w:marBottom w:val="0"/>
          <w:divBdr>
            <w:top w:val="none" w:sz="0" w:space="0" w:color="auto"/>
            <w:left w:val="none" w:sz="0" w:space="0" w:color="auto"/>
            <w:bottom w:val="none" w:sz="0" w:space="0" w:color="auto"/>
            <w:right w:val="none" w:sz="0" w:space="0" w:color="auto"/>
          </w:divBdr>
          <w:divsChild>
            <w:div w:id="638462174">
              <w:marLeft w:val="0"/>
              <w:marRight w:val="0"/>
              <w:marTop w:val="0"/>
              <w:marBottom w:val="0"/>
              <w:divBdr>
                <w:top w:val="none" w:sz="0" w:space="0" w:color="auto"/>
                <w:left w:val="none" w:sz="0" w:space="0" w:color="auto"/>
                <w:bottom w:val="none" w:sz="0" w:space="0" w:color="auto"/>
                <w:right w:val="none" w:sz="0" w:space="0" w:color="auto"/>
              </w:divBdr>
            </w:div>
          </w:divsChild>
        </w:div>
        <w:div w:id="1425343721">
          <w:marLeft w:val="0"/>
          <w:marRight w:val="0"/>
          <w:marTop w:val="0"/>
          <w:marBottom w:val="0"/>
          <w:divBdr>
            <w:top w:val="none" w:sz="0" w:space="0" w:color="auto"/>
            <w:left w:val="none" w:sz="0" w:space="0" w:color="auto"/>
            <w:bottom w:val="none" w:sz="0" w:space="0" w:color="auto"/>
            <w:right w:val="none" w:sz="0" w:space="0" w:color="auto"/>
          </w:divBdr>
          <w:divsChild>
            <w:div w:id="1055665564">
              <w:marLeft w:val="0"/>
              <w:marRight w:val="0"/>
              <w:marTop w:val="0"/>
              <w:marBottom w:val="0"/>
              <w:divBdr>
                <w:top w:val="none" w:sz="0" w:space="0" w:color="auto"/>
                <w:left w:val="none" w:sz="0" w:space="0" w:color="auto"/>
                <w:bottom w:val="none" w:sz="0" w:space="0" w:color="auto"/>
                <w:right w:val="none" w:sz="0" w:space="0" w:color="auto"/>
              </w:divBdr>
            </w:div>
          </w:divsChild>
        </w:div>
        <w:div w:id="1508128801">
          <w:marLeft w:val="0"/>
          <w:marRight w:val="0"/>
          <w:marTop w:val="0"/>
          <w:marBottom w:val="0"/>
          <w:divBdr>
            <w:top w:val="none" w:sz="0" w:space="0" w:color="auto"/>
            <w:left w:val="none" w:sz="0" w:space="0" w:color="auto"/>
            <w:bottom w:val="none" w:sz="0" w:space="0" w:color="auto"/>
            <w:right w:val="none" w:sz="0" w:space="0" w:color="auto"/>
          </w:divBdr>
          <w:divsChild>
            <w:div w:id="1417743757">
              <w:marLeft w:val="0"/>
              <w:marRight w:val="0"/>
              <w:marTop w:val="0"/>
              <w:marBottom w:val="0"/>
              <w:divBdr>
                <w:top w:val="none" w:sz="0" w:space="0" w:color="auto"/>
                <w:left w:val="none" w:sz="0" w:space="0" w:color="auto"/>
                <w:bottom w:val="none" w:sz="0" w:space="0" w:color="auto"/>
                <w:right w:val="none" w:sz="0" w:space="0" w:color="auto"/>
              </w:divBdr>
            </w:div>
          </w:divsChild>
        </w:div>
        <w:div w:id="1536189181">
          <w:marLeft w:val="0"/>
          <w:marRight w:val="0"/>
          <w:marTop w:val="0"/>
          <w:marBottom w:val="0"/>
          <w:divBdr>
            <w:top w:val="none" w:sz="0" w:space="0" w:color="auto"/>
            <w:left w:val="none" w:sz="0" w:space="0" w:color="auto"/>
            <w:bottom w:val="none" w:sz="0" w:space="0" w:color="auto"/>
            <w:right w:val="none" w:sz="0" w:space="0" w:color="auto"/>
          </w:divBdr>
          <w:divsChild>
            <w:div w:id="1337536998">
              <w:marLeft w:val="0"/>
              <w:marRight w:val="0"/>
              <w:marTop w:val="0"/>
              <w:marBottom w:val="0"/>
              <w:divBdr>
                <w:top w:val="none" w:sz="0" w:space="0" w:color="auto"/>
                <w:left w:val="none" w:sz="0" w:space="0" w:color="auto"/>
                <w:bottom w:val="none" w:sz="0" w:space="0" w:color="auto"/>
                <w:right w:val="none" w:sz="0" w:space="0" w:color="auto"/>
              </w:divBdr>
            </w:div>
          </w:divsChild>
        </w:div>
        <w:div w:id="1578321684">
          <w:marLeft w:val="0"/>
          <w:marRight w:val="0"/>
          <w:marTop w:val="0"/>
          <w:marBottom w:val="0"/>
          <w:divBdr>
            <w:top w:val="none" w:sz="0" w:space="0" w:color="auto"/>
            <w:left w:val="none" w:sz="0" w:space="0" w:color="auto"/>
            <w:bottom w:val="none" w:sz="0" w:space="0" w:color="auto"/>
            <w:right w:val="none" w:sz="0" w:space="0" w:color="auto"/>
          </w:divBdr>
          <w:divsChild>
            <w:div w:id="1151211094">
              <w:marLeft w:val="0"/>
              <w:marRight w:val="0"/>
              <w:marTop w:val="0"/>
              <w:marBottom w:val="0"/>
              <w:divBdr>
                <w:top w:val="none" w:sz="0" w:space="0" w:color="auto"/>
                <w:left w:val="none" w:sz="0" w:space="0" w:color="auto"/>
                <w:bottom w:val="none" w:sz="0" w:space="0" w:color="auto"/>
                <w:right w:val="none" w:sz="0" w:space="0" w:color="auto"/>
              </w:divBdr>
            </w:div>
          </w:divsChild>
        </w:div>
        <w:div w:id="1584102876">
          <w:marLeft w:val="0"/>
          <w:marRight w:val="0"/>
          <w:marTop w:val="0"/>
          <w:marBottom w:val="0"/>
          <w:divBdr>
            <w:top w:val="none" w:sz="0" w:space="0" w:color="auto"/>
            <w:left w:val="none" w:sz="0" w:space="0" w:color="auto"/>
            <w:bottom w:val="none" w:sz="0" w:space="0" w:color="auto"/>
            <w:right w:val="none" w:sz="0" w:space="0" w:color="auto"/>
          </w:divBdr>
          <w:divsChild>
            <w:div w:id="243689542">
              <w:marLeft w:val="0"/>
              <w:marRight w:val="0"/>
              <w:marTop w:val="0"/>
              <w:marBottom w:val="0"/>
              <w:divBdr>
                <w:top w:val="none" w:sz="0" w:space="0" w:color="auto"/>
                <w:left w:val="none" w:sz="0" w:space="0" w:color="auto"/>
                <w:bottom w:val="none" w:sz="0" w:space="0" w:color="auto"/>
                <w:right w:val="none" w:sz="0" w:space="0" w:color="auto"/>
              </w:divBdr>
            </w:div>
          </w:divsChild>
        </w:div>
        <w:div w:id="1613901643">
          <w:marLeft w:val="0"/>
          <w:marRight w:val="0"/>
          <w:marTop w:val="0"/>
          <w:marBottom w:val="0"/>
          <w:divBdr>
            <w:top w:val="none" w:sz="0" w:space="0" w:color="auto"/>
            <w:left w:val="none" w:sz="0" w:space="0" w:color="auto"/>
            <w:bottom w:val="none" w:sz="0" w:space="0" w:color="auto"/>
            <w:right w:val="none" w:sz="0" w:space="0" w:color="auto"/>
          </w:divBdr>
          <w:divsChild>
            <w:div w:id="418604605">
              <w:marLeft w:val="0"/>
              <w:marRight w:val="0"/>
              <w:marTop w:val="0"/>
              <w:marBottom w:val="0"/>
              <w:divBdr>
                <w:top w:val="none" w:sz="0" w:space="0" w:color="auto"/>
                <w:left w:val="none" w:sz="0" w:space="0" w:color="auto"/>
                <w:bottom w:val="none" w:sz="0" w:space="0" w:color="auto"/>
                <w:right w:val="none" w:sz="0" w:space="0" w:color="auto"/>
              </w:divBdr>
            </w:div>
          </w:divsChild>
        </w:div>
        <w:div w:id="1668097404">
          <w:marLeft w:val="0"/>
          <w:marRight w:val="0"/>
          <w:marTop w:val="0"/>
          <w:marBottom w:val="0"/>
          <w:divBdr>
            <w:top w:val="none" w:sz="0" w:space="0" w:color="auto"/>
            <w:left w:val="none" w:sz="0" w:space="0" w:color="auto"/>
            <w:bottom w:val="none" w:sz="0" w:space="0" w:color="auto"/>
            <w:right w:val="none" w:sz="0" w:space="0" w:color="auto"/>
          </w:divBdr>
          <w:divsChild>
            <w:div w:id="125851350">
              <w:marLeft w:val="0"/>
              <w:marRight w:val="0"/>
              <w:marTop w:val="0"/>
              <w:marBottom w:val="0"/>
              <w:divBdr>
                <w:top w:val="none" w:sz="0" w:space="0" w:color="auto"/>
                <w:left w:val="none" w:sz="0" w:space="0" w:color="auto"/>
                <w:bottom w:val="none" w:sz="0" w:space="0" w:color="auto"/>
                <w:right w:val="none" w:sz="0" w:space="0" w:color="auto"/>
              </w:divBdr>
            </w:div>
          </w:divsChild>
        </w:div>
        <w:div w:id="1701776791">
          <w:marLeft w:val="0"/>
          <w:marRight w:val="0"/>
          <w:marTop w:val="0"/>
          <w:marBottom w:val="0"/>
          <w:divBdr>
            <w:top w:val="none" w:sz="0" w:space="0" w:color="auto"/>
            <w:left w:val="none" w:sz="0" w:space="0" w:color="auto"/>
            <w:bottom w:val="none" w:sz="0" w:space="0" w:color="auto"/>
            <w:right w:val="none" w:sz="0" w:space="0" w:color="auto"/>
          </w:divBdr>
          <w:divsChild>
            <w:div w:id="449321171">
              <w:marLeft w:val="0"/>
              <w:marRight w:val="0"/>
              <w:marTop w:val="0"/>
              <w:marBottom w:val="0"/>
              <w:divBdr>
                <w:top w:val="none" w:sz="0" w:space="0" w:color="auto"/>
                <w:left w:val="none" w:sz="0" w:space="0" w:color="auto"/>
                <w:bottom w:val="none" w:sz="0" w:space="0" w:color="auto"/>
                <w:right w:val="none" w:sz="0" w:space="0" w:color="auto"/>
              </w:divBdr>
            </w:div>
          </w:divsChild>
        </w:div>
        <w:div w:id="1717461020">
          <w:marLeft w:val="0"/>
          <w:marRight w:val="0"/>
          <w:marTop w:val="0"/>
          <w:marBottom w:val="0"/>
          <w:divBdr>
            <w:top w:val="none" w:sz="0" w:space="0" w:color="auto"/>
            <w:left w:val="none" w:sz="0" w:space="0" w:color="auto"/>
            <w:bottom w:val="none" w:sz="0" w:space="0" w:color="auto"/>
            <w:right w:val="none" w:sz="0" w:space="0" w:color="auto"/>
          </w:divBdr>
          <w:divsChild>
            <w:div w:id="108356748">
              <w:marLeft w:val="0"/>
              <w:marRight w:val="0"/>
              <w:marTop w:val="0"/>
              <w:marBottom w:val="0"/>
              <w:divBdr>
                <w:top w:val="none" w:sz="0" w:space="0" w:color="auto"/>
                <w:left w:val="none" w:sz="0" w:space="0" w:color="auto"/>
                <w:bottom w:val="none" w:sz="0" w:space="0" w:color="auto"/>
                <w:right w:val="none" w:sz="0" w:space="0" w:color="auto"/>
              </w:divBdr>
            </w:div>
          </w:divsChild>
        </w:div>
        <w:div w:id="1729188157">
          <w:marLeft w:val="0"/>
          <w:marRight w:val="0"/>
          <w:marTop w:val="0"/>
          <w:marBottom w:val="0"/>
          <w:divBdr>
            <w:top w:val="none" w:sz="0" w:space="0" w:color="auto"/>
            <w:left w:val="none" w:sz="0" w:space="0" w:color="auto"/>
            <w:bottom w:val="none" w:sz="0" w:space="0" w:color="auto"/>
            <w:right w:val="none" w:sz="0" w:space="0" w:color="auto"/>
          </w:divBdr>
          <w:divsChild>
            <w:div w:id="1523669745">
              <w:marLeft w:val="0"/>
              <w:marRight w:val="0"/>
              <w:marTop w:val="0"/>
              <w:marBottom w:val="0"/>
              <w:divBdr>
                <w:top w:val="none" w:sz="0" w:space="0" w:color="auto"/>
                <w:left w:val="none" w:sz="0" w:space="0" w:color="auto"/>
                <w:bottom w:val="none" w:sz="0" w:space="0" w:color="auto"/>
                <w:right w:val="none" w:sz="0" w:space="0" w:color="auto"/>
              </w:divBdr>
            </w:div>
          </w:divsChild>
        </w:div>
        <w:div w:id="1732536890">
          <w:marLeft w:val="0"/>
          <w:marRight w:val="0"/>
          <w:marTop w:val="0"/>
          <w:marBottom w:val="0"/>
          <w:divBdr>
            <w:top w:val="none" w:sz="0" w:space="0" w:color="auto"/>
            <w:left w:val="none" w:sz="0" w:space="0" w:color="auto"/>
            <w:bottom w:val="none" w:sz="0" w:space="0" w:color="auto"/>
            <w:right w:val="none" w:sz="0" w:space="0" w:color="auto"/>
          </w:divBdr>
          <w:divsChild>
            <w:div w:id="1627810222">
              <w:marLeft w:val="0"/>
              <w:marRight w:val="0"/>
              <w:marTop w:val="0"/>
              <w:marBottom w:val="0"/>
              <w:divBdr>
                <w:top w:val="none" w:sz="0" w:space="0" w:color="auto"/>
                <w:left w:val="none" w:sz="0" w:space="0" w:color="auto"/>
                <w:bottom w:val="none" w:sz="0" w:space="0" w:color="auto"/>
                <w:right w:val="none" w:sz="0" w:space="0" w:color="auto"/>
              </w:divBdr>
            </w:div>
          </w:divsChild>
        </w:div>
        <w:div w:id="1857114692">
          <w:marLeft w:val="0"/>
          <w:marRight w:val="0"/>
          <w:marTop w:val="0"/>
          <w:marBottom w:val="0"/>
          <w:divBdr>
            <w:top w:val="none" w:sz="0" w:space="0" w:color="auto"/>
            <w:left w:val="none" w:sz="0" w:space="0" w:color="auto"/>
            <w:bottom w:val="none" w:sz="0" w:space="0" w:color="auto"/>
            <w:right w:val="none" w:sz="0" w:space="0" w:color="auto"/>
          </w:divBdr>
          <w:divsChild>
            <w:div w:id="482281185">
              <w:marLeft w:val="0"/>
              <w:marRight w:val="0"/>
              <w:marTop w:val="0"/>
              <w:marBottom w:val="0"/>
              <w:divBdr>
                <w:top w:val="none" w:sz="0" w:space="0" w:color="auto"/>
                <w:left w:val="none" w:sz="0" w:space="0" w:color="auto"/>
                <w:bottom w:val="none" w:sz="0" w:space="0" w:color="auto"/>
                <w:right w:val="none" w:sz="0" w:space="0" w:color="auto"/>
              </w:divBdr>
            </w:div>
          </w:divsChild>
        </w:div>
        <w:div w:id="1888031077">
          <w:marLeft w:val="0"/>
          <w:marRight w:val="0"/>
          <w:marTop w:val="0"/>
          <w:marBottom w:val="0"/>
          <w:divBdr>
            <w:top w:val="none" w:sz="0" w:space="0" w:color="auto"/>
            <w:left w:val="none" w:sz="0" w:space="0" w:color="auto"/>
            <w:bottom w:val="none" w:sz="0" w:space="0" w:color="auto"/>
            <w:right w:val="none" w:sz="0" w:space="0" w:color="auto"/>
          </w:divBdr>
          <w:divsChild>
            <w:div w:id="270825034">
              <w:marLeft w:val="0"/>
              <w:marRight w:val="0"/>
              <w:marTop w:val="0"/>
              <w:marBottom w:val="0"/>
              <w:divBdr>
                <w:top w:val="none" w:sz="0" w:space="0" w:color="auto"/>
                <w:left w:val="none" w:sz="0" w:space="0" w:color="auto"/>
                <w:bottom w:val="none" w:sz="0" w:space="0" w:color="auto"/>
                <w:right w:val="none" w:sz="0" w:space="0" w:color="auto"/>
              </w:divBdr>
            </w:div>
            <w:div w:id="712389644">
              <w:marLeft w:val="0"/>
              <w:marRight w:val="0"/>
              <w:marTop w:val="0"/>
              <w:marBottom w:val="0"/>
              <w:divBdr>
                <w:top w:val="none" w:sz="0" w:space="0" w:color="auto"/>
                <w:left w:val="none" w:sz="0" w:space="0" w:color="auto"/>
                <w:bottom w:val="none" w:sz="0" w:space="0" w:color="auto"/>
                <w:right w:val="none" w:sz="0" w:space="0" w:color="auto"/>
              </w:divBdr>
            </w:div>
            <w:div w:id="990713750">
              <w:marLeft w:val="0"/>
              <w:marRight w:val="0"/>
              <w:marTop w:val="0"/>
              <w:marBottom w:val="0"/>
              <w:divBdr>
                <w:top w:val="none" w:sz="0" w:space="0" w:color="auto"/>
                <w:left w:val="none" w:sz="0" w:space="0" w:color="auto"/>
                <w:bottom w:val="none" w:sz="0" w:space="0" w:color="auto"/>
                <w:right w:val="none" w:sz="0" w:space="0" w:color="auto"/>
              </w:divBdr>
            </w:div>
          </w:divsChild>
        </w:div>
        <w:div w:id="1921713884">
          <w:marLeft w:val="0"/>
          <w:marRight w:val="0"/>
          <w:marTop w:val="0"/>
          <w:marBottom w:val="0"/>
          <w:divBdr>
            <w:top w:val="none" w:sz="0" w:space="0" w:color="auto"/>
            <w:left w:val="none" w:sz="0" w:space="0" w:color="auto"/>
            <w:bottom w:val="none" w:sz="0" w:space="0" w:color="auto"/>
            <w:right w:val="none" w:sz="0" w:space="0" w:color="auto"/>
          </w:divBdr>
          <w:divsChild>
            <w:div w:id="1530532945">
              <w:marLeft w:val="0"/>
              <w:marRight w:val="0"/>
              <w:marTop w:val="0"/>
              <w:marBottom w:val="0"/>
              <w:divBdr>
                <w:top w:val="none" w:sz="0" w:space="0" w:color="auto"/>
                <w:left w:val="none" w:sz="0" w:space="0" w:color="auto"/>
                <w:bottom w:val="none" w:sz="0" w:space="0" w:color="auto"/>
                <w:right w:val="none" w:sz="0" w:space="0" w:color="auto"/>
              </w:divBdr>
            </w:div>
          </w:divsChild>
        </w:div>
        <w:div w:id="1938709306">
          <w:marLeft w:val="0"/>
          <w:marRight w:val="0"/>
          <w:marTop w:val="0"/>
          <w:marBottom w:val="0"/>
          <w:divBdr>
            <w:top w:val="none" w:sz="0" w:space="0" w:color="auto"/>
            <w:left w:val="none" w:sz="0" w:space="0" w:color="auto"/>
            <w:bottom w:val="none" w:sz="0" w:space="0" w:color="auto"/>
            <w:right w:val="none" w:sz="0" w:space="0" w:color="auto"/>
          </w:divBdr>
          <w:divsChild>
            <w:div w:id="44179348">
              <w:marLeft w:val="0"/>
              <w:marRight w:val="0"/>
              <w:marTop w:val="0"/>
              <w:marBottom w:val="0"/>
              <w:divBdr>
                <w:top w:val="none" w:sz="0" w:space="0" w:color="auto"/>
                <w:left w:val="none" w:sz="0" w:space="0" w:color="auto"/>
                <w:bottom w:val="none" w:sz="0" w:space="0" w:color="auto"/>
                <w:right w:val="none" w:sz="0" w:space="0" w:color="auto"/>
              </w:divBdr>
            </w:div>
          </w:divsChild>
        </w:div>
        <w:div w:id="1950115330">
          <w:marLeft w:val="0"/>
          <w:marRight w:val="0"/>
          <w:marTop w:val="0"/>
          <w:marBottom w:val="0"/>
          <w:divBdr>
            <w:top w:val="none" w:sz="0" w:space="0" w:color="auto"/>
            <w:left w:val="none" w:sz="0" w:space="0" w:color="auto"/>
            <w:bottom w:val="none" w:sz="0" w:space="0" w:color="auto"/>
            <w:right w:val="none" w:sz="0" w:space="0" w:color="auto"/>
          </w:divBdr>
          <w:divsChild>
            <w:div w:id="616064904">
              <w:marLeft w:val="0"/>
              <w:marRight w:val="0"/>
              <w:marTop w:val="0"/>
              <w:marBottom w:val="0"/>
              <w:divBdr>
                <w:top w:val="none" w:sz="0" w:space="0" w:color="auto"/>
                <w:left w:val="none" w:sz="0" w:space="0" w:color="auto"/>
                <w:bottom w:val="none" w:sz="0" w:space="0" w:color="auto"/>
                <w:right w:val="none" w:sz="0" w:space="0" w:color="auto"/>
              </w:divBdr>
            </w:div>
          </w:divsChild>
        </w:div>
        <w:div w:id="1979188910">
          <w:marLeft w:val="0"/>
          <w:marRight w:val="0"/>
          <w:marTop w:val="0"/>
          <w:marBottom w:val="0"/>
          <w:divBdr>
            <w:top w:val="none" w:sz="0" w:space="0" w:color="auto"/>
            <w:left w:val="none" w:sz="0" w:space="0" w:color="auto"/>
            <w:bottom w:val="none" w:sz="0" w:space="0" w:color="auto"/>
            <w:right w:val="none" w:sz="0" w:space="0" w:color="auto"/>
          </w:divBdr>
          <w:divsChild>
            <w:div w:id="1724599471">
              <w:marLeft w:val="0"/>
              <w:marRight w:val="0"/>
              <w:marTop w:val="0"/>
              <w:marBottom w:val="0"/>
              <w:divBdr>
                <w:top w:val="none" w:sz="0" w:space="0" w:color="auto"/>
                <w:left w:val="none" w:sz="0" w:space="0" w:color="auto"/>
                <w:bottom w:val="none" w:sz="0" w:space="0" w:color="auto"/>
                <w:right w:val="none" w:sz="0" w:space="0" w:color="auto"/>
              </w:divBdr>
            </w:div>
          </w:divsChild>
        </w:div>
        <w:div w:id="2049527167">
          <w:marLeft w:val="0"/>
          <w:marRight w:val="0"/>
          <w:marTop w:val="0"/>
          <w:marBottom w:val="0"/>
          <w:divBdr>
            <w:top w:val="none" w:sz="0" w:space="0" w:color="auto"/>
            <w:left w:val="none" w:sz="0" w:space="0" w:color="auto"/>
            <w:bottom w:val="none" w:sz="0" w:space="0" w:color="auto"/>
            <w:right w:val="none" w:sz="0" w:space="0" w:color="auto"/>
          </w:divBdr>
          <w:divsChild>
            <w:div w:id="1445030452">
              <w:marLeft w:val="0"/>
              <w:marRight w:val="0"/>
              <w:marTop w:val="0"/>
              <w:marBottom w:val="0"/>
              <w:divBdr>
                <w:top w:val="none" w:sz="0" w:space="0" w:color="auto"/>
                <w:left w:val="none" w:sz="0" w:space="0" w:color="auto"/>
                <w:bottom w:val="none" w:sz="0" w:space="0" w:color="auto"/>
                <w:right w:val="none" w:sz="0" w:space="0" w:color="auto"/>
              </w:divBdr>
            </w:div>
          </w:divsChild>
        </w:div>
        <w:div w:id="2065174372">
          <w:marLeft w:val="0"/>
          <w:marRight w:val="0"/>
          <w:marTop w:val="0"/>
          <w:marBottom w:val="0"/>
          <w:divBdr>
            <w:top w:val="none" w:sz="0" w:space="0" w:color="auto"/>
            <w:left w:val="none" w:sz="0" w:space="0" w:color="auto"/>
            <w:bottom w:val="none" w:sz="0" w:space="0" w:color="auto"/>
            <w:right w:val="none" w:sz="0" w:space="0" w:color="auto"/>
          </w:divBdr>
          <w:divsChild>
            <w:div w:id="109801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76639">
      <w:bodyDiv w:val="1"/>
      <w:marLeft w:val="0"/>
      <w:marRight w:val="0"/>
      <w:marTop w:val="0"/>
      <w:marBottom w:val="0"/>
      <w:divBdr>
        <w:top w:val="none" w:sz="0" w:space="0" w:color="auto"/>
        <w:left w:val="none" w:sz="0" w:space="0" w:color="auto"/>
        <w:bottom w:val="none" w:sz="0" w:space="0" w:color="auto"/>
        <w:right w:val="none" w:sz="0" w:space="0" w:color="auto"/>
      </w:divBdr>
    </w:div>
    <w:div w:id="811026395">
      <w:bodyDiv w:val="1"/>
      <w:marLeft w:val="0"/>
      <w:marRight w:val="0"/>
      <w:marTop w:val="0"/>
      <w:marBottom w:val="0"/>
      <w:divBdr>
        <w:top w:val="none" w:sz="0" w:space="0" w:color="auto"/>
        <w:left w:val="none" w:sz="0" w:space="0" w:color="auto"/>
        <w:bottom w:val="none" w:sz="0" w:space="0" w:color="auto"/>
        <w:right w:val="none" w:sz="0" w:space="0" w:color="auto"/>
      </w:divBdr>
    </w:div>
    <w:div w:id="812454286">
      <w:bodyDiv w:val="1"/>
      <w:marLeft w:val="0"/>
      <w:marRight w:val="0"/>
      <w:marTop w:val="0"/>
      <w:marBottom w:val="0"/>
      <w:divBdr>
        <w:top w:val="none" w:sz="0" w:space="0" w:color="auto"/>
        <w:left w:val="none" w:sz="0" w:space="0" w:color="auto"/>
        <w:bottom w:val="none" w:sz="0" w:space="0" w:color="auto"/>
        <w:right w:val="none" w:sz="0" w:space="0" w:color="auto"/>
      </w:divBdr>
    </w:div>
    <w:div w:id="812909620">
      <w:bodyDiv w:val="1"/>
      <w:marLeft w:val="0"/>
      <w:marRight w:val="0"/>
      <w:marTop w:val="0"/>
      <w:marBottom w:val="0"/>
      <w:divBdr>
        <w:top w:val="none" w:sz="0" w:space="0" w:color="auto"/>
        <w:left w:val="none" w:sz="0" w:space="0" w:color="auto"/>
        <w:bottom w:val="none" w:sz="0" w:space="0" w:color="auto"/>
        <w:right w:val="none" w:sz="0" w:space="0" w:color="auto"/>
      </w:divBdr>
    </w:div>
    <w:div w:id="817840479">
      <w:bodyDiv w:val="1"/>
      <w:marLeft w:val="0"/>
      <w:marRight w:val="0"/>
      <w:marTop w:val="0"/>
      <w:marBottom w:val="0"/>
      <w:divBdr>
        <w:top w:val="none" w:sz="0" w:space="0" w:color="auto"/>
        <w:left w:val="none" w:sz="0" w:space="0" w:color="auto"/>
        <w:bottom w:val="none" w:sz="0" w:space="0" w:color="auto"/>
        <w:right w:val="none" w:sz="0" w:space="0" w:color="auto"/>
      </w:divBdr>
    </w:div>
    <w:div w:id="852379017">
      <w:bodyDiv w:val="1"/>
      <w:marLeft w:val="0"/>
      <w:marRight w:val="0"/>
      <w:marTop w:val="0"/>
      <w:marBottom w:val="0"/>
      <w:divBdr>
        <w:top w:val="none" w:sz="0" w:space="0" w:color="auto"/>
        <w:left w:val="none" w:sz="0" w:space="0" w:color="auto"/>
        <w:bottom w:val="none" w:sz="0" w:space="0" w:color="auto"/>
        <w:right w:val="none" w:sz="0" w:space="0" w:color="auto"/>
      </w:divBdr>
    </w:div>
    <w:div w:id="873423176">
      <w:bodyDiv w:val="1"/>
      <w:marLeft w:val="0"/>
      <w:marRight w:val="0"/>
      <w:marTop w:val="0"/>
      <w:marBottom w:val="0"/>
      <w:divBdr>
        <w:top w:val="none" w:sz="0" w:space="0" w:color="auto"/>
        <w:left w:val="none" w:sz="0" w:space="0" w:color="auto"/>
        <w:bottom w:val="none" w:sz="0" w:space="0" w:color="auto"/>
        <w:right w:val="none" w:sz="0" w:space="0" w:color="auto"/>
      </w:divBdr>
    </w:div>
    <w:div w:id="878542736">
      <w:bodyDiv w:val="1"/>
      <w:marLeft w:val="0"/>
      <w:marRight w:val="0"/>
      <w:marTop w:val="0"/>
      <w:marBottom w:val="0"/>
      <w:divBdr>
        <w:top w:val="none" w:sz="0" w:space="0" w:color="auto"/>
        <w:left w:val="none" w:sz="0" w:space="0" w:color="auto"/>
        <w:bottom w:val="none" w:sz="0" w:space="0" w:color="auto"/>
        <w:right w:val="none" w:sz="0" w:space="0" w:color="auto"/>
      </w:divBdr>
      <w:divsChild>
        <w:div w:id="129641388">
          <w:marLeft w:val="0"/>
          <w:marRight w:val="0"/>
          <w:marTop w:val="0"/>
          <w:marBottom w:val="0"/>
          <w:divBdr>
            <w:top w:val="none" w:sz="0" w:space="0" w:color="auto"/>
            <w:left w:val="none" w:sz="0" w:space="0" w:color="auto"/>
            <w:bottom w:val="none" w:sz="0" w:space="0" w:color="auto"/>
            <w:right w:val="none" w:sz="0" w:space="0" w:color="auto"/>
          </w:divBdr>
        </w:div>
        <w:div w:id="533731059">
          <w:marLeft w:val="0"/>
          <w:marRight w:val="0"/>
          <w:marTop w:val="0"/>
          <w:marBottom w:val="0"/>
          <w:divBdr>
            <w:top w:val="none" w:sz="0" w:space="0" w:color="auto"/>
            <w:left w:val="none" w:sz="0" w:space="0" w:color="auto"/>
            <w:bottom w:val="none" w:sz="0" w:space="0" w:color="auto"/>
            <w:right w:val="none" w:sz="0" w:space="0" w:color="auto"/>
          </w:divBdr>
        </w:div>
        <w:div w:id="757020747">
          <w:marLeft w:val="0"/>
          <w:marRight w:val="0"/>
          <w:marTop w:val="0"/>
          <w:marBottom w:val="0"/>
          <w:divBdr>
            <w:top w:val="none" w:sz="0" w:space="0" w:color="auto"/>
            <w:left w:val="none" w:sz="0" w:space="0" w:color="auto"/>
            <w:bottom w:val="none" w:sz="0" w:space="0" w:color="auto"/>
            <w:right w:val="none" w:sz="0" w:space="0" w:color="auto"/>
          </w:divBdr>
        </w:div>
        <w:div w:id="988947319">
          <w:marLeft w:val="0"/>
          <w:marRight w:val="0"/>
          <w:marTop w:val="0"/>
          <w:marBottom w:val="0"/>
          <w:divBdr>
            <w:top w:val="none" w:sz="0" w:space="0" w:color="auto"/>
            <w:left w:val="none" w:sz="0" w:space="0" w:color="auto"/>
            <w:bottom w:val="none" w:sz="0" w:space="0" w:color="auto"/>
            <w:right w:val="none" w:sz="0" w:space="0" w:color="auto"/>
          </w:divBdr>
        </w:div>
        <w:div w:id="1950620338">
          <w:marLeft w:val="0"/>
          <w:marRight w:val="0"/>
          <w:marTop w:val="0"/>
          <w:marBottom w:val="0"/>
          <w:divBdr>
            <w:top w:val="none" w:sz="0" w:space="0" w:color="auto"/>
            <w:left w:val="none" w:sz="0" w:space="0" w:color="auto"/>
            <w:bottom w:val="none" w:sz="0" w:space="0" w:color="auto"/>
            <w:right w:val="none" w:sz="0" w:space="0" w:color="auto"/>
          </w:divBdr>
        </w:div>
      </w:divsChild>
    </w:div>
    <w:div w:id="897058822">
      <w:bodyDiv w:val="1"/>
      <w:marLeft w:val="0"/>
      <w:marRight w:val="0"/>
      <w:marTop w:val="0"/>
      <w:marBottom w:val="0"/>
      <w:divBdr>
        <w:top w:val="none" w:sz="0" w:space="0" w:color="auto"/>
        <w:left w:val="none" w:sz="0" w:space="0" w:color="auto"/>
        <w:bottom w:val="none" w:sz="0" w:space="0" w:color="auto"/>
        <w:right w:val="none" w:sz="0" w:space="0" w:color="auto"/>
      </w:divBdr>
      <w:divsChild>
        <w:div w:id="1120808291">
          <w:marLeft w:val="0"/>
          <w:marRight w:val="0"/>
          <w:marTop w:val="0"/>
          <w:marBottom w:val="0"/>
          <w:divBdr>
            <w:top w:val="none" w:sz="0" w:space="0" w:color="auto"/>
            <w:left w:val="none" w:sz="0" w:space="0" w:color="auto"/>
            <w:bottom w:val="none" w:sz="0" w:space="0" w:color="auto"/>
            <w:right w:val="none" w:sz="0" w:space="0" w:color="auto"/>
          </w:divBdr>
        </w:div>
      </w:divsChild>
    </w:div>
    <w:div w:id="900601474">
      <w:bodyDiv w:val="1"/>
      <w:marLeft w:val="0"/>
      <w:marRight w:val="0"/>
      <w:marTop w:val="0"/>
      <w:marBottom w:val="0"/>
      <w:divBdr>
        <w:top w:val="none" w:sz="0" w:space="0" w:color="auto"/>
        <w:left w:val="none" w:sz="0" w:space="0" w:color="auto"/>
        <w:bottom w:val="none" w:sz="0" w:space="0" w:color="auto"/>
        <w:right w:val="none" w:sz="0" w:space="0" w:color="auto"/>
      </w:divBdr>
    </w:div>
    <w:div w:id="909926180">
      <w:bodyDiv w:val="1"/>
      <w:marLeft w:val="0"/>
      <w:marRight w:val="0"/>
      <w:marTop w:val="0"/>
      <w:marBottom w:val="0"/>
      <w:divBdr>
        <w:top w:val="none" w:sz="0" w:space="0" w:color="auto"/>
        <w:left w:val="none" w:sz="0" w:space="0" w:color="auto"/>
        <w:bottom w:val="none" w:sz="0" w:space="0" w:color="auto"/>
        <w:right w:val="none" w:sz="0" w:space="0" w:color="auto"/>
      </w:divBdr>
    </w:div>
    <w:div w:id="914048085">
      <w:bodyDiv w:val="1"/>
      <w:marLeft w:val="0"/>
      <w:marRight w:val="0"/>
      <w:marTop w:val="0"/>
      <w:marBottom w:val="0"/>
      <w:divBdr>
        <w:top w:val="none" w:sz="0" w:space="0" w:color="auto"/>
        <w:left w:val="none" w:sz="0" w:space="0" w:color="auto"/>
        <w:bottom w:val="none" w:sz="0" w:space="0" w:color="auto"/>
        <w:right w:val="none" w:sz="0" w:space="0" w:color="auto"/>
      </w:divBdr>
    </w:div>
    <w:div w:id="922495789">
      <w:bodyDiv w:val="1"/>
      <w:marLeft w:val="0"/>
      <w:marRight w:val="0"/>
      <w:marTop w:val="0"/>
      <w:marBottom w:val="0"/>
      <w:divBdr>
        <w:top w:val="none" w:sz="0" w:space="0" w:color="auto"/>
        <w:left w:val="none" w:sz="0" w:space="0" w:color="auto"/>
        <w:bottom w:val="none" w:sz="0" w:space="0" w:color="auto"/>
        <w:right w:val="none" w:sz="0" w:space="0" w:color="auto"/>
      </w:divBdr>
      <w:divsChild>
        <w:div w:id="398602025">
          <w:marLeft w:val="0"/>
          <w:marRight w:val="0"/>
          <w:marTop w:val="0"/>
          <w:marBottom w:val="0"/>
          <w:divBdr>
            <w:top w:val="none" w:sz="0" w:space="0" w:color="auto"/>
            <w:left w:val="none" w:sz="0" w:space="0" w:color="auto"/>
            <w:bottom w:val="none" w:sz="0" w:space="0" w:color="auto"/>
            <w:right w:val="none" w:sz="0" w:space="0" w:color="auto"/>
          </w:divBdr>
        </w:div>
        <w:div w:id="1291937413">
          <w:marLeft w:val="0"/>
          <w:marRight w:val="0"/>
          <w:marTop w:val="0"/>
          <w:marBottom w:val="0"/>
          <w:divBdr>
            <w:top w:val="none" w:sz="0" w:space="0" w:color="auto"/>
            <w:left w:val="none" w:sz="0" w:space="0" w:color="auto"/>
            <w:bottom w:val="none" w:sz="0" w:space="0" w:color="auto"/>
            <w:right w:val="none" w:sz="0" w:space="0" w:color="auto"/>
          </w:divBdr>
        </w:div>
        <w:div w:id="1395395061">
          <w:marLeft w:val="0"/>
          <w:marRight w:val="0"/>
          <w:marTop w:val="0"/>
          <w:marBottom w:val="0"/>
          <w:divBdr>
            <w:top w:val="none" w:sz="0" w:space="0" w:color="auto"/>
            <w:left w:val="none" w:sz="0" w:space="0" w:color="auto"/>
            <w:bottom w:val="none" w:sz="0" w:space="0" w:color="auto"/>
            <w:right w:val="none" w:sz="0" w:space="0" w:color="auto"/>
          </w:divBdr>
        </w:div>
        <w:div w:id="1407798612">
          <w:marLeft w:val="0"/>
          <w:marRight w:val="0"/>
          <w:marTop w:val="0"/>
          <w:marBottom w:val="0"/>
          <w:divBdr>
            <w:top w:val="none" w:sz="0" w:space="0" w:color="auto"/>
            <w:left w:val="none" w:sz="0" w:space="0" w:color="auto"/>
            <w:bottom w:val="none" w:sz="0" w:space="0" w:color="auto"/>
            <w:right w:val="none" w:sz="0" w:space="0" w:color="auto"/>
          </w:divBdr>
        </w:div>
        <w:div w:id="1981960943">
          <w:marLeft w:val="0"/>
          <w:marRight w:val="0"/>
          <w:marTop w:val="0"/>
          <w:marBottom w:val="0"/>
          <w:divBdr>
            <w:top w:val="none" w:sz="0" w:space="0" w:color="auto"/>
            <w:left w:val="none" w:sz="0" w:space="0" w:color="auto"/>
            <w:bottom w:val="none" w:sz="0" w:space="0" w:color="auto"/>
            <w:right w:val="none" w:sz="0" w:space="0" w:color="auto"/>
          </w:divBdr>
        </w:div>
        <w:div w:id="2082100055">
          <w:marLeft w:val="0"/>
          <w:marRight w:val="0"/>
          <w:marTop w:val="0"/>
          <w:marBottom w:val="0"/>
          <w:divBdr>
            <w:top w:val="none" w:sz="0" w:space="0" w:color="auto"/>
            <w:left w:val="none" w:sz="0" w:space="0" w:color="auto"/>
            <w:bottom w:val="none" w:sz="0" w:space="0" w:color="auto"/>
            <w:right w:val="none" w:sz="0" w:space="0" w:color="auto"/>
          </w:divBdr>
        </w:div>
      </w:divsChild>
    </w:div>
    <w:div w:id="933511670">
      <w:bodyDiv w:val="1"/>
      <w:marLeft w:val="0"/>
      <w:marRight w:val="0"/>
      <w:marTop w:val="0"/>
      <w:marBottom w:val="0"/>
      <w:divBdr>
        <w:top w:val="none" w:sz="0" w:space="0" w:color="auto"/>
        <w:left w:val="none" w:sz="0" w:space="0" w:color="auto"/>
        <w:bottom w:val="none" w:sz="0" w:space="0" w:color="auto"/>
        <w:right w:val="none" w:sz="0" w:space="0" w:color="auto"/>
      </w:divBdr>
    </w:div>
    <w:div w:id="944387665">
      <w:bodyDiv w:val="1"/>
      <w:marLeft w:val="0"/>
      <w:marRight w:val="0"/>
      <w:marTop w:val="0"/>
      <w:marBottom w:val="0"/>
      <w:divBdr>
        <w:top w:val="none" w:sz="0" w:space="0" w:color="auto"/>
        <w:left w:val="none" w:sz="0" w:space="0" w:color="auto"/>
        <w:bottom w:val="none" w:sz="0" w:space="0" w:color="auto"/>
        <w:right w:val="none" w:sz="0" w:space="0" w:color="auto"/>
      </w:divBdr>
    </w:div>
    <w:div w:id="951546629">
      <w:bodyDiv w:val="1"/>
      <w:marLeft w:val="0"/>
      <w:marRight w:val="0"/>
      <w:marTop w:val="0"/>
      <w:marBottom w:val="0"/>
      <w:divBdr>
        <w:top w:val="none" w:sz="0" w:space="0" w:color="auto"/>
        <w:left w:val="none" w:sz="0" w:space="0" w:color="auto"/>
        <w:bottom w:val="none" w:sz="0" w:space="0" w:color="auto"/>
        <w:right w:val="none" w:sz="0" w:space="0" w:color="auto"/>
      </w:divBdr>
      <w:divsChild>
        <w:div w:id="359358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081000">
      <w:bodyDiv w:val="1"/>
      <w:marLeft w:val="0"/>
      <w:marRight w:val="0"/>
      <w:marTop w:val="0"/>
      <w:marBottom w:val="0"/>
      <w:divBdr>
        <w:top w:val="none" w:sz="0" w:space="0" w:color="auto"/>
        <w:left w:val="none" w:sz="0" w:space="0" w:color="auto"/>
        <w:bottom w:val="none" w:sz="0" w:space="0" w:color="auto"/>
        <w:right w:val="none" w:sz="0" w:space="0" w:color="auto"/>
      </w:divBdr>
    </w:div>
    <w:div w:id="962348358">
      <w:bodyDiv w:val="1"/>
      <w:marLeft w:val="0"/>
      <w:marRight w:val="0"/>
      <w:marTop w:val="0"/>
      <w:marBottom w:val="0"/>
      <w:divBdr>
        <w:top w:val="none" w:sz="0" w:space="0" w:color="auto"/>
        <w:left w:val="none" w:sz="0" w:space="0" w:color="auto"/>
        <w:bottom w:val="none" w:sz="0" w:space="0" w:color="auto"/>
        <w:right w:val="none" w:sz="0" w:space="0" w:color="auto"/>
      </w:divBdr>
      <w:divsChild>
        <w:div w:id="412050827">
          <w:marLeft w:val="0"/>
          <w:marRight w:val="0"/>
          <w:marTop w:val="0"/>
          <w:marBottom w:val="0"/>
          <w:divBdr>
            <w:top w:val="none" w:sz="0" w:space="0" w:color="auto"/>
            <w:left w:val="none" w:sz="0" w:space="0" w:color="auto"/>
            <w:bottom w:val="none" w:sz="0" w:space="0" w:color="auto"/>
            <w:right w:val="none" w:sz="0" w:space="0" w:color="auto"/>
          </w:divBdr>
        </w:div>
        <w:div w:id="538903704">
          <w:marLeft w:val="0"/>
          <w:marRight w:val="0"/>
          <w:marTop w:val="0"/>
          <w:marBottom w:val="0"/>
          <w:divBdr>
            <w:top w:val="none" w:sz="0" w:space="0" w:color="auto"/>
            <w:left w:val="none" w:sz="0" w:space="0" w:color="auto"/>
            <w:bottom w:val="none" w:sz="0" w:space="0" w:color="auto"/>
            <w:right w:val="none" w:sz="0" w:space="0" w:color="auto"/>
          </w:divBdr>
        </w:div>
        <w:div w:id="955523643">
          <w:marLeft w:val="0"/>
          <w:marRight w:val="0"/>
          <w:marTop w:val="0"/>
          <w:marBottom w:val="0"/>
          <w:divBdr>
            <w:top w:val="none" w:sz="0" w:space="0" w:color="auto"/>
            <w:left w:val="none" w:sz="0" w:space="0" w:color="auto"/>
            <w:bottom w:val="none" w:sz="0" w:space="0" w:color="auto"/>
            <w:right w:val="none" w:sz="0" w:space="0" w:color="auto"/>
          </w:divBdr>
        </w:div>
        <w:div w:id="1239051777">
          <w:marLeft w:val="0"/>
          <w:marRight w:val="0"/>
          <w:marTop w:val="0"/>
          <w:marBottom w:val="0"/>
          <w:divBdr>
            <w:top w:val="none" w:sz="0" w:space="0" w:color="auto"/>
            <w:left w:val="none" w:sz="0" w:space="0" w:color="auto"/>
            <w:bottom w:val="none" w:sz="0" w:space="0" w:color="auto"/>
            <w:right w:val="none" w:sz="0" w:space="0" w:color="auto"/>
          </w:divBdr>
        </w:div>
        <w:div w:id="1279408260">
          <w:marLeft w:val="0"/>
          <w:marRight w:val="0"/>
          <w:marTop w:val="0"/>
          <w:marBottom w:val="0"/>
          <w:divBdr>
            <w:top w:val="none" w:sz="0" w:space="0" w:color="auto"/>
            <w:left w:val="none" w:sz="0" w:space="0" w:color="auto"/>
            <w:bottom w:val="none" w:sz="0" w:space="0" w:color="auto"/>
            <w:right w:val="none" w:sz="0" w:space="0" w:color="auto"/>
          </w:divBdr>
        </w:div>
        <w:div w:id="1358191274">
          <w:marLeft w:val="0"/>
          <w:marRight w:val="0"/>
          <w:marTop w:val="0"/>
          <w:marBottom w:val="0"/>
          <w:divBdr>
            <w:top w:val="none" w:sz="0" w:space="0" w:color="auto"/>
            <w:left w:val="none" w:sz="0" w:space="0" w:color="auto"/>
            <w:bottom w:val="none" w:sz="0" w:space="0" w:color="auto"/>
            <w:right w:val="none" w:sz="0" w:space="0" w:color="auto"/>
          </w:divBdr>
        </w:div>
        <w:div w:id="1533495850">
          <w:marLeft w:val="0"/>
          <w:marRight w:val="0"/>
          <w:marTop w:val="0"/>
          <w:marBottom w:val="0"/>
          <w:divBdr>
            <w:top w:val="none" w:sz="0" w:space="0" w:color="auto"/>
            <w:left w:val="none" w:sz="0" w:space="0" w:color="auto"/>
            <w:bottom w:val="none" w:sz="0" w:space="0" w:color="auto"/>
            <w:right w:val="none" w:sz="0" w:space="0" w:color="auto"/>
          </w:divBdr>
        </w:div>
      </w:divsChild>
    </w:div>
    <w:div w:id="964001499">
      <w:bodyDiv w:val="1"/>
      <w:marLeft w:val="0"/>
      <w:marRight w:val="0"/>
      <w:marTop w:val="0"/>
      <w:marBottom w:val="0"/>
      <w:divBdr>
        <w:top w:val="none" w:sz="0" w:space="0" w:color="auto"/>
        <w:left w:val="none" w:sz="0" w:space="0" w:color="auto"/>
        <w:bottom w:val="none" w:sz="0" w:space="0" w:color="auto"/>
        <w:right w:val="none" w:sz="0" w:space="0" w:color="auto"/>
      </w:divBdr>
    </w:div>
    <w:div w:id="970400480">
      <w:bodyDiv w:val="1"/>
      <w:marLeft w:val="0"/>
      <w:marRight w:val="0"/>
      <w:marTop w:val="0"/>
      <w:marBottom w:val="0"/>
      <w:divBdr>
        <w:top w:val="none" w:sz="0" w:space="0" w:color="auto"/>
        <w:left w:val="none" w:sz="0" w:space="0" w:color="auto"/>
        <w:bottom w:val="none" w:sz="0" w:space="0" w:color="auto"/>
        <w:right w:val="none" w:sz="0" w:space="0" w:color="auto"/>
      </w:divBdr>
      <w:divsChild>
        <w:div w:id="29839705">
          <w:marLeft w:val="0"/>
          <w:marRight w:val="0"/>
          <w:marTop w:val="0"/>
          <w:marBottom w:val="0"/>
          <w:divBdr>
            <w:top w:val="none" w:sz="0" w:space="0" w:color="auto"/>
            <w:left w:val="none" w:sz="0" w:space="0" w:color="auto"/>
            <w:bottom w:val="none" w:sz="0" w:space="0" w:color="auto"/>
            <w:right w:val="none" w:sz="0" w:space="0" w:color="auto"/>
          </w:divBdr>
          <w:divsChild>
            <w:div w:id="1274286431">
              <w:marLeft w:val="0"/>
              <w:marRight w:val="0"/>
              <w:marTop w:val="0"/>
              <w:marBottom w:val="0"/>
              <w:divBdr>
                <w:top w:val="none" w:sz="0" w:space="0" w:color="auto"/>
                <w:left w:val="none" w:sz="0" w:space="0" w:color="auto"/>
                <w:bottom w:val="none" w:sz="0" w:space="0" w:color="auto"/>
                <w:right w:val="none" w:sz="0" w:space="0" w:color="auto"/>
              </w:divBdr>
            </w:div>
          </w:divsChild>
        </w:div>
        <w:div w:id="33773039">
          <w:marLeft w:val="0"/>
          <w:marRight w:val="0"/>
          <w:marTop w:val="0"/>
          <w:marBottom w:val="0"/>
          <w:divBdr>
            <w:top w:val="none" w:sz="0" w:space="0" w:color="auto"/>
            <w:left w:val="none" w:sz="0" w:space="0" w:color="auto"/>
            <w:bottom w:val="none" w:sz="0" w:space="0" w:color="auto"/>
            <w:right w:val="none" w:sz="0" w:space="0" w:color="auto"/>
          </w:divBdr>
          <w:divsChild>
            <w:div w:id="90661728">
              <w:marLeft w:val="0"/>
              <w:marRight w:val="0"/>
              <w:marTop w:val="0"/>
              <w:marBottom w:val="0"/>
              <w:divBdr>
                <w:top w:val="none" w:sz="0" w:space="0" w:color="auto"/>
                <w:left w:val="none" w:sz="0" w:space="0" w:color="auto"/>
                <w:bottom w:val="none" w:sz="0" w:space="0" w:color="auto"/>
                <w:right w:val="none" w:sz="0" w:space="0" w:color="auto"/>
              </w:divBdr>
            </w:div>
            <w:div w:id="1527865494">
              <w:marLeft w:val="0"/>
              <w:marRight w:val="0"/>
              <w:marTop w:val="0"/>
              <w:marBottom w:val="0"/>
              <w:divBdr>
                <w:top w:val="none" w:sz="0" w:space="0" w:color="auto"/>
                <w:left w:val="none" w:sz="0" w:space="0" w:color="auto"/>
                <w:bottom w:val="none" w:sz="0" w:space="0" w:color="auto"/>
                <w:right w:val="none" w:sz="0" w:space="0" w:color="auto"/>
              </w:divBdr>
            </w:div>
          </w:divsChild>
        </w:div>
        <w:div w:id="85152984">
          <w:marLeft w:val="0"/>
          <w:marRight w:val="0"/>
          <w:marTop w:val="0"/>
          <w:marBottom w:val="0"/>
          <w:divBdr>
            <w:top w:val="none" w:sz="0" w:space="0" w:color="auto"/>
            <w:left w:val="none" w:sz="0" w:space="0" w:color="auto"/>
            <w:bottom w:val="none" w:sz="0" w:space="0" w:color="auto"/>
            <w:right w:val="none" w:sz="0" w:space="0" w:color="auto"/>
          </w:divBdr>
          <w:divsChild>
            <w:div w:id="1369530251">
              <w:marLeft w:val="0"/>
              <w:marRight w:val="0"/>
              <w:marTop w:val="0"/>
              <w:marBottom w:val="0"/>
              <w:divBdr>
                <w:top w:val="none" w:sz="0" w:space="0" w:color="auto"/>
                <w:left w:val="none" w:sz="0" w:space="0" w:color="auto"/>
                <w:bottom w:val="none" w:sz="0" w:space="0" w:color="auto"/>
                <w:right w:val="none" w:sz="0" w:space="0" w:color="auto"/>
              </w:divBdr>
            </w:div>
          </w:divsChild>
        </w:div>
        <w:div w:id="90054151">
          <w:marLeft w:val="0"/>
          <w:marRight w:val="0"/>
          <w:marTop w:val="0"/>
          <w:marBottom w:val="0"/>
          <w:divBdr>
            <w:top w:val="none" w:sz="0" w:space="0" w:color="auto"/>
            <w:left w:val="none" w:sz="0" w:space="0" w:color="auto"/>
            <w:bottom w:val="none" w:sz="0" w:space="0" w:color="auto"/>
            <w:right w:val="none" w:sz="0" w:space="0" w:color="auto"/>
          </w:divBdr>
          <w:divsChild>
            <w:div w:id="1471824170">
              <w:marLeft w:val="0"/>
              <w:marRight w:val="0"/>
              <w:marTop w:val="0"/>
              <w:marBottom w:val="0"/>
              <w:divBdr>
                <w:top w:val="none" w:sz="0" w:space="0" w:color="auto"/>
                <w:left w:val="none" w:sz="0" w:space="0" w:color="auto"/>
                <w:bottom w:val="none" w:sz="0" w:space="0" w:color="auto"/>
                <w:right w:val="none" w:sz="0" w:space="0" w:color="auto"/>
              </w:divBdr>
            </w:div>
          </w:divsChild>
        </w:div>
        <w:div w:id="109859073">
          <w:marLeft w:val="0"/>
          <w:marRight w:val="0"/>
          <w:marTop w:val="0"/>
          <w:marBottom w:val="0"/>
          <w:divBdr>
            <w:top w:val="none" w:sz="0" w:space="0" w:color="auto"/>
            <w:left w:val="none" w:sz="0" w:space="0" w:color="auto"/>
            <w:bottom w:val="none" w:sz="0" w:space="0" w:color="auto"/>
            <w:right w:val="none" w:sz="0" w:space="0" w:color="auto"/>
          </w:divBdr>
          <w:divsChild>
            <w:div w:id="2069841208">
              <w:marLeft w:val="0"/>
              <w:marRight w:val="0"/>
              <w:marTop w:val="0"/>
              <w:marBottom w:val="0"/>
              <w:divBdr>
                <w:top w:val="none" w:sz="0" w:space="0" w:color="auto"/>
                <w:left w:val="none" w:sz="0" w:space="0" w:color="auto"/>
                <w:bottom w:val="none" w:sz="0" w:space="0" w:color="auto"/>
                <w:right w:val="none" w:sz="0" w:space="0" w:color="auto"/>
              </w:divBdr>
            </w:div>
          </w:divsChild>
        </w:div>
        <w:div w:id="142889618">
          <w:marLeft w:val="0"/>
          <w:marRight w:val="0"/>
          <w:marTop w:val="0"/>
          <w:marBottom w:val="0"/>
          <w:divBdr>
            <w:top w:val="none" w:sz="0" w:space="0" w:color="auto"/>
            <w:left w:val="none" w:sz="0" w:space="0" w:color="auto"/>
            <w:bottom w:val="none" w:sz="0" w:space="0" w:color="auto"/>
            <w:right w:val="none" w:sz="0" w:space="0" w:color="auto"/>
          </w:divBdr>
          <w:divsChild>
            <w:div w:id="447548083">
              <w:marLeft w:val="0"/>
              <w:marRight w:val="0"/>
              <w:marTop w:val="0"/>
              <w:marBottom w:val="0"/>
              <w:divBdr>
                <w:top w:val="none" w:sz="0" w:space="0" w:color="auto"/>
                <w:left w:val="none" w:sz="0" w:space="0" w:color="auto"/>
                <w:bottom w:val="none" w:sz="0" w:space="0" w:color="auto"/>
                <w:right w:val="none" w:sz="0" w:space="0" w:color="auto"/>
              </w:divBdr>
            </w:div>
            <w:div w:id="1130124608">
              <w:marLeft w:val="0"/>
              <w:marRight w:val="0"/>
              <w:marTop w:val="0"/>
              <w:marBottom w:val="0"/>
              <w:divBdr>
                <w:top w:val="none" w:sz="0" w:space="0" w:color="auto"/>
                <w:left w:val="none" w:sz="0" w:space="0" w:color="auto"/>
                <w:bottom w:val="none" w:sz="0" w:space="0" w:color="auto"/>
                <w:right w:val="none" w:sz="0" w:space="0" w:color="auto"/>
              </w:divBdr>
            </w:div>
          </w:divsChild>
        </w:div>
        <w:div w:id="211890712">
          <w:marLeft w:val="0"/>
          <w:marRight w:val="0"/>
          <w:marTop w:val="0"/>
          <w:marBottom w:val="0"/>
          <w:divBdr>
            <w:top w:val="none" w:sz="0" w:space="0" w:color="auto"/>
            <w:left w:val="none" w:sz="0" w:space="0" w:color="auto"/>
            <w:bottom w:val="none" w:sz="0" w:space="0" w:color="auto"/>
            <w:right w:val="none" w:sz="0" w:space="0" w:color="auto"/>
          </w:divBdr>
          <w:divsChild>
            <w:div w:id="74477830">
              <w:marLeft w:val="0"/>
              <w:marRight w:val="0"/>
              <w:marTop w:val="0"/>
              <w:marBottom w:val="0"/>
              <w:divBdr>
                <w:top w:val="none" w:sz="0" w:space="0" w:color="auto"/>
                <w:left w:val="none" w:sz="0" w:space="0" w:color="auto"/>
                <w:bottom w:val="none" w:sz="0" w:space="0" w:color="auto"/>
                <w:right w:val="none" w:sz="0" w:space="0" w:color="auto"/>
              </w:divBdr>
            </w:div>
          </w:divsChild>
        </w:div>
        <w:div w:id="222067222">
          <w:marLeft w:val="0"/>
          <w:marRight w:val="0"/>
          <w:marTop w:val="0"/>
          <w:marBottom w:val="0"/>
          <w:divBdr>
            <w:top w:val="none" w:sz="0" w:space="0" w:color="auto"/>
            <w:left w:val="none" w:sz="0" w:space="0" w:color="auto"/>
            <w:bottom w:val="none" w:sz="0" w:space="0" w:color="auto"/>
            <w:right w:val="none" w:sz="0" w:space="0" w:color="auto"/>
          </w:divBdr>
          <w:divsChild>
            <w:div w:id="1123307292">
              <w:marLeft w:val="0"/>
              <w:marRight w:val="0"/>
              <w:marTop w:val="0"/>
              <w:marBottom w:val="0"/>
              <w:divBdr>
                <w:top w:val="none" w:sz="0" w:space="0" w:color="auto"/>
                <w:left w:val="none" w:sz="0" w:space="0" w:color="auto"/>
                <w:bottom w:val="none" w:sz="0" w:space="0" w:color="auto"/>
                <w:right w:val="none" w:sz="0" w:space="0" w:color="auto"/>
              </w:divBdr>
            </w:div>
          </w:divsChild>
        </w:div>
        <w:div w:id="256837524">
          <w:marLeft w:val="0"/>
          <w:marRight w:val="0"/>
          <w:marTop w:val="0"/>
          <w:marBottom w:val="0"/>
          <w:divBdr>
            <w:top w:val="none" w:sz="0" w:space="0" w:color="auto"/>
            <w:left w:val="none" w:sz="0" w:space="0" w:color="auto"/>
            <w:bottom w:val="none" w:sz="0" w:space="0" w:color="auto"/>
            <w:right w:val="none" w:sz="0" w:space="0" w:color="auto"/>
          </w:divBdr>
          <w:divsChild>
            <w:div w:id="2071033354">
              <w:marLeft w:val="0"/>
              <w:marRight w:val="0"/>
              <w:marTop w:val="0"/>
              <w:marBottom w:val="0"/>
              <w:divBdr>
                <w:top w:val="none" w:sz="0" w:space="0" w:color="auto"/>
                <w:left w:val="none" w:sz="0" w:space="0" w:color="auto"/>
                <w:bottom w:val="none" w:sz="0" w:space="0" w:color="auto"/>
                <w:right w:val="none" w:sz="0" w:space="0" w:color="auto"/>
              </w:divBdr>
            </w:div>
          </w:divsChild>
        </w:div>
        <w:div w:id="265769586">
          <w:marLeft w:val="0"/>
          <w:marRight w:val="0"/>
          <w:marTop w:val="0"/>
          <w:marBottom w:val="0"/>
          <w:divBdr>
            <w:top w:val="none" w:sz="0" w:space="0" w:color="auto"/>
            <w:left w:val="none" w:sz="0" w:space="0" w:color="auto"/>
            <w:bottom w:val="none" w:sz="0" w:space="0" w:color="auto"/>
            <w:right w:val="none" w:sz="0" w:space="0" w:color="auto"/>
          </w:divBdr>
          <w:divsChild>
            <w:div w:id="1535002441">
              <w:marLeft w:val="0"/>
              <w:marRight w:val="0"/>
              <w:marTop w:val="0"/>
              <w:marBottom w:val="0"/>
              <w:divBdr>
                <w:top w:val="none" w:sz="0" w:space="0" w:color="auto"/>
                <w:left w:val="none" w:sz="0" w:space="0" w:color="auto"/>
                <w:bottom w:val="none" w:sz="0" w:space="0" w:color="auto"/>
                <w:right w:val="none" w:sz="0" w:space="0" w:color="auto"/>
              </w:divBdr>
            </w:div>
            <w:div w:id="1609661799">
              <w:marLeft w:val="0"/>
              <w:marRight w:val="0"/>
              <w:marTop w:val="0"/>
              <w:marBottom w:val="0"/>
              <w:divBdr>
                <w:top w:val="none" w:sz="0" w:space="0" w:color="auto"/>
                <w:left w:val="none" w:sz="0" w:space="0" w:color="auto"/>
                <w:bottom w:val="none" w:sz="0" w:space="0" w:color="auto"/>
                <w:right w:val="none" w:sz="0" w:space="0" w:color="auto"/>
              </w:divBdr>
            </w:div>
          </w:divsChild>
        </w:div>
        <w:div w:id="300772253">
          <w:marLeft w:val="0"/>
          <w:marRight w:val="0"/>
          <w:marTop w:val="0"/>
          <w:marBottom w:val="0"/>
          <w:divBdr>
            <w:top w:val="none" w:sz="0" w:space="0" w:color="auto"/>
            <w:left w:val="none" w:sz="0" w:space="0" w:color="auto"/>
            <w:bottom w:val="none" w:sz="0" w:space="0" w:color="auto"/>
            <w:right w:val="none" w:sz="0" w:space="0" w:color="auto"/>
          </w:divBdr>
          <w:divsChild>
            <w:div w:id="24336621">
              <w:marLeft w:val="0"/>
              <w:marRight w:val="0"/>
              <w:marTop w:val="0"/>
              <w:marBottom w:val="0"/>
              <w:divBdr>
                <w:top w:val="none" w:sz="0" w:space="0" w:color="auto"/>
                <w:left w:val="none" w:sz="0" w:space="0" w:color="auto"/>
                <w:bottom w:val="none" w:sz="0" w:space="0" w:color="auto"/>
                <w:right w:val="none" w:sz="0" w:space="0" w:color="auto"/>
              </w:divBdr>
            </w:div>
          </w:divsChild>
        </w:div>
        <w:div w:id="321131133">
          <w:marLeft w:val="0"/>
          <w:marRight w:val="0"/>
          <w:marTop w:val="0"/>
          <w:marBottom w:val="0"/>
          <w:divBdr>
            <w:top w:val="none" w:sz="0" w:space="0" w:color="auto"/>
            <w:left w:val="none" w:sz="0" w:space="0" w:color="auto"/>
            <w:bottom w:val="none" w:sz="0" w:space="0" w:color="auto"/>
            <w:right w:val="none" w:sz="0" w:space="0" w:color="auto"/>
          </w:divBdr>
          <w:divsChild>
            <w:div w:id="2107188934">
              <w:marLeft w:val="0"/>
              <w:marRight w:val="0"/>
              <w:marTop w:val="0"/>
              <w:marBottom w:val="0"/>
              <w:divBdr>
                <w:top w:val="none" w:sz="0" w:space="0" w:color="auto"/>
                <w:left w:val="none" w:sz="0" w:space="0" w:color="auto"/>
                <w:bottom w:val="none" w:sz="0" w:space="0" w:color="auto"/>
                <w:right w:val="none" w:sz="0" w:space="0" w:color="auto"/>
              </w:divBdr>
            </w:div>
          </w:divsChild>
        </w:div>
        <w:div w:id="418908380">
          <w:marLeft w:val="0"/>
          <w:marRight w:val="0"/>
          <w:marTop w:val="0"/>
          <w:marBottom w:val="0"/>
          <w:divBdr>
            <w:top w:val="none" w:sz="0" w:space="0" w:color="auto"/>
            <w:left w:val="none" w:sz="0" w:space="0" w:color="auto"/>
            <w:bottom w:val="none" w:sz="0" w:space="0" w:color="auto"/>
            <w:right w:val="none" w:sz="0" w:space="0" w:color="auto"/>
          </w:divBdr>
          <w:divsChild>
            <w:div w:id="1487093074">
              <w:marLeft w:val="0"/>
              <w:marRight w:val="0"/>
              <w:marTop w:val="0"/>
              <w:marBottom w:val="0"/>
              <w:divBdr>
                <w:top w:val="none" w:sz="0" w:space="0" w:color="auto"/>
                <w:left w:val="none" w:sz="0" w:space="0" w:color="auto"/>
                <w:bottom w:val="none" w:sz="0" w:space="0" w:color="auto"/>
                <w:right w:val="none" w:sz="0" w:space="0" w:color="auto"/>
              </w:divBdr>
            </w:div>
          </w:divsChild>
        </w:div>
        <w:div w:id="435516875">
          <w:marLeft w:val="0"/>
          <w:marRight w:val="0"/>
          <w:marTop w:val="0"/>
          <w:marBottom w:val="0"/>
          <w:divBdr>
            <w:top w:val="none" w:sz="0" w:space="0" w:color="auto"/>
            <w:left w:val="none" w:sz="0" w:space="0" w:color="auto"/>
            <w:bottom w:val="none" w:sz="0" w:space="0" w:color="auto"/>
            <w:right w:val="none" w:sz="0" w:space="0" w:color="auto"/>
          </w:divBdr>
          <w:divsChild>
            <w:div w:id="1705981733">
              <w:marLeft w:val="0"/>
              <w:marRight w:val="0"/>
              <w:marTop w:val="0"/>
              <w:marBottom w:val="0"/>
              <w:divBdr>
                <w:top w:val="none" w:sz="0" w:space="0" w:color="auto"/>
                <w:left w:val="none" w:sz="0" w:space="0" w:color="auto"/>
                <w:bottom w:val="none" w:sz="0" w:space="0" w:color="auto"/>
                <w:right w:val="none" w:sz="0" w:space="0" w:color="auto"/>
              </w:divBdr>
            </w:div>
          </w:divsChild>
        </w:div>
        <w:div w:id="442773810">
          <w:marLeft w:val="0"/>
          <w:marRight w:val="0"/>
          <w:marTop w:val="0"/>
          <w:marBottom w:val="0"/>
          <w:divBdr>
            <w:top w:val="none" w:sz="0" w:space="0" w:color="auto"/>
            <w:left w:val="none" w:sz="0" w:space="0" w:color="auto"/>
            <w:bottom w:val="none" w:sz="0" w:space="0" w:color="auto"/>
            <w:right w:val="none" w:sz="0" w:space="0" w:color="auto"/>
          </w:divBdr>
          <w:divsChild>
            <w:div w:id="1127049507">
              <w:marLeft w:val="0"/>
              <w:marRight w:val="0"/>
              <w:marTop w:val="0"/>
              <w:marBottom w:val="0"/>
              <w:divBdr>
                <w:top w:val="none" w:sz="0" w:space="0" w:color="auto"/>
                <w:left w:val="none" w:sz="0" w:space="0" w:color="auto"/>
                <w:bottom w:val="none" w:sz="0" w:space="0" w:color="auto"/>
                <w:right w:val="none" w:sz="0" w:space="0" w:color="auto"/>
              </w:divBdr>
            </w:div>
          </w:divsChild>
        </w:div>
        <w:div w:id="443696132">
          <w:marLeft w:val="0"/>
          <w:marRight w:val="0"/>
          <w:marTop w:val="0"/>
          <w:marBottom w:val="0"/>
          <w:divBdr>
            <w:top w:val="none" w:sz="0" w:space="0" w:color="auto"/>
            <w:left w:val="none" w:sz="0" w:space="0" w:color="auto"/>
            <w:bottom w:val="none" w:sz="0" w:space="0" w:color="auto"/>
            <w:right w:val="none" w:sz="0" w:space="0" w:color="auto"/>
          </w:divBdr>
          <w:divsChild>
            <w:div w:id="1838810193">
              <w:marLeft w:val="0"/>
              <w:marRight w:val="0"/>
              <w:marTop w:val="0"/>
              <w:marBottom w:val="0"/>
              <w:divBdr>
                <w:top w:val="none" w:sz="0" w:space="0" w:color="auto"/>
                <w:left w:val="none" w:sz="0" w:space="0" w:color="auto"/>
                <w:bottom w:val="none" w:sz="0" w:space="0" w:color="auto"/>
                <w:right w:val="none" w:sz="0" w:space="0" w:color="auto"/>
              </w:divBdr>
            </w:div>
          </w:divsChild>
        </w:div>
        <w:div w:id="513232547">
          <w:marLeft w:val="0"/>
          <w:marRight w:val="0"/>
          <w:marTop w:val="0"/>
          <w:marBottom w:val="0"/>
          <w:divBdr>
            <w:top w:val="none" w:sz="0" w:space="0" w:color="auto"/>
            <w:left w:val="none" w:sz="0" w:space="0" w:color="auto"/>
            <w:bottom w:val="none" w:sz="0" w:space="0" w:color="auto"/>
            <w:right w:val="none" w:sz="0" w:space="0" w:color="auto"/>
          </w:divBdr>
          <w:divsChild>
            <w:div w:id="822740870">
              <w:marLeft w:val="0"/>
              <w:marRight w:val="0"/>
              <w:marTop w:val="0"/>
              <w:marBottom w:val="0"/>
              <w:divBdr>
                <w:top w:val="none" w:sz="0" w:space="0" w:color="auto"/>
                <w:left w:val="none" w:sz="0" w:space="0" w:color="auto"/>
                <w:bottom w:val="none" w:sz="0" w:space="0" w:color="auto"/>
                <w:right w:val="none" w:sz="0" w:space="0" w:color="auto"/>
              </w:divBdr>
            </w:div>
          </w:divsChild>
        </w:div>
        <w:div w:id="607322321">
          <w:marLeft w:val="0"/>
          <w:marRight w:val="0"/>
          <w:marTop w:val="0"/>
          <w:marBottom w:val="0"/>
          <w:divBdr>
            <w:top w:val="none" w:sz="0" w:space="0" w:color="auto"/>
            <w:left w:val="none" w:sz="0" w:space="0" w:color="auto"/>
            <w:bottom w:val="none" w:sz="0" w:space="0" w:color="auto"/>
            <w:right w:val="none" w:sz="0" w:space="0" w:color="auto"/>
          </w:divBdr>
          <w:divsChild>
            <w:div w:id="1687557209">
              <w:marLeft w:val="0"/>
              <w:marRight w:val="0"/>
              <w:marTop w:val="0"/>
              <w:marBottom w:val="0"/>
              <w:divBdr>
                <w:top w:val="none" w:sz="0" w:space="0" w:color="auto"/>
                <w:left w:val="none" w:sz="0" w:space="0" w:color="auto"/>
                <w:bottom w:val="none" w:sz="0" w:space="0" w:color="auto"/>
                <w:right w:val="none" w:sz="0" w:space="0" w:color="auto"/>
              </w:divBdr>
            </w:div>
          </w:divsChild>
        </w:div>
        <w:div w:id="706561434">
          <w:marLeft w:val="0"/>
          <w:marRight w:val="0"/>
          <w:marTop w:val="0"/>
          <w:marBottom w:val="0"/>
          <w:divBdr>
            <w:top w:val="none" w:sz="0" w:space="0" w:color="auto"/>
            <w:left w:val="none" w:sz="0" w:space="0" w:color="auto"/>
            <w:bottom w:val="none" w:sz="0" w:space="0" w:color="auto"/>
            <w:right w:val="none" w:sz="0" w:space="0" w:color="auto"/>
          </w:divBdr>
          <w:divsChild>
            <w:div w:id="1459493050">
              <w:marLeft w:val="0"/>
              <w:marRight w:val="0"/>
              <w:marTop w:val="0"/>
              <w:marBottom w:val="0"/>
              <w:divBdr>
                <w:top w:val="none" w:sz="0" w:space="0" w:color="auto"/>
                <w:left w:val="none" w:sz="0" w:space="0" w:color="auto"/>
                <w:bottom w:val="none" w:sz="0" w:space="0" w:color="auto"/>
                <w:right w:val="none" w:sz="0" w:space="0" w:color="auto"/>
              </w:divBdr>
            </w:div>
          </w:divsChild>
        </w:div>
        <w:div w:id="718284850">
          <w:marLeft w:val="0"/>
          <w:marRight w:val="0"/>
          <w:marTop w:val="0"/>
          <w:marBottom w:val="0"/>
          <w:divBdr>
            <w:top w:val="none" w:sz="0" w:space="0" w:color="auto"/>
            <w:left w:val="none" w:sz="0" w:space="0" w:color="auto"/>
            <w:bottom w:val="none" w:sz="0" w:space="0" w:color="auto"/>
            <w:right w:val="none" w:sz="0" w:space="0" w:color="auto"/>
          </w:divBdr>
          <w:divsChild>
            <w:div w:id="365373857">
              <w:marLeft w:val="0"/>
              <w:marRight w:val="0"/>
              <w:marTop w:val="0"/>
              <w:marBottom w:val="0"/>
              <w:divBdr>
                <w:top w:val="none" w:sz="0" w:space="0" w:color="auto"/>
                <w:left w:val="none" w:sz="0" w:space="0" w:color="auto"/>
                <w:bottom w:val="none" w:sz="0" w:space="0" w:color="auto"/>
                <w:right w:val="none" w:sz="0" w:space="0" w:color="auto"/>
              </w:divBdr>
            </w:div>
          </w:divsChild>
        </w:div>
        <w:div w:id="758020779">
          <w:marLeft w:val="0"/>
          <w:marRight w:val="0"/>
          <w:marTop w:val="0"/>
          <w:marBottom w:val="0"/>
          <w:divBdr>
            <w:top w:val="none" w:sz="0" w:space="0" w:color="auto"/>
            <w:left w:val="none" w:sz="0" w:space="0" w:color="auto"/>
            <w:bottom w:val="none" w:sz="0" w:space="0" w:color="auto"/>
            <w:right w:val="none" w:sz="0" w:space="0" w:color="auto"/>
          </w:divBdr>
          <w:divsChild>
            <w:div w:id="1364674102">
              <w:marLeft w:val="0"/>
              <w:marRight w:val="0"/>
              <w:marTop w:val="0"/>
              <w:marBottom w:val="0"/>
              <w:divBdr>
                <w:top w:val="none" w:sz="0" w:space="0" w:color="auto"/>
                <w:left w:val="none" w:sz="0" w:space="0" w:color="auto"/>
                <w:bottom w:val="none" w:sz="0" w:space="0" w:color="auto"/>
                <w:right w:val="none" w:sz="0" w:space="0" w:color="auto"/>
              </w:divBdr>
            </w:div>
          </w:divsChild>
        </w:div>
        <w:div w:id="781807363">
          <w:marLeft w:val="0"/>
          <w:marRight w:val="0"/>
          <w:marTop w:val="0"/>
          <w:marBottom w:val="0"/>
          <w:divBdr>
            <w:top w:val="none" w:sz="0" w:space="0" w:color="auto"/>
            <w:left w:val="none" w:sz="0" w:space="0" w:color="auto"/>
            <w:bottom w:val="none" w:sz="0" w:space="0" w:color="auto"/>
            <w:right w:val="none" w:sz="0" w:space="0" w:color="auto"/>
          </w:divBdr>
          <w:divsChild>
            <w:div w:id="1480070830">
              <w:marLeft w:val="0"/>
              <w:marRight w:val="0"/>
              <w:marTop w:val="0"/>
              <w:marBottom w:val="0"/>
              <w:divBdr>
                <w:top w:val="none" w:sz="0" w:space="0" w:color="auto"/>
                <w:left w:val="none" w:sz="0" w:space="0" w:color="auto"/>
                <w:bottom w:val="none" w:sz="0" w:space="0" w:color="auto"/>
                <w:right w:val="none" w:sz="0" w:space="0" w:color="auto"/>
              </w:divBdr>
            </w:div>
          </w:divsChild>
        </w:div>
        <w:div w:id="811412581">
          <w:marLeft w:val="0"/>
          <w:marRight w:val="0"/>
          <w:marTop w:val="0"/>
          <w:marBottom w:val="0"/>
          <w:divBdr>
            <w:top w:val="none" w:sz="0" w:space="0" w:color="auto"/>
            <w:left w:val="none" w:sz="0" w:space="0" w:color="auto"/>
            <w:bottom w:val="none" w:sz="0" w:space="0" w:color="auto"/>
            <w:right w:val="none" w:sz="0" w:space="0" w:color="auto"/>
          </w:divBdr>
          <w:divsChild>
            <w:div w:id="1252935199">
              <w:marLeft w:val="0"/>
              <w:marRight w:val="0"/>
              <w:marTop w:val="0"/>
              <w:marBottom w:val="0"/>
              <w:divBdr>
                <w:top w:val="none" w:sz="0" w:space="0" w:color="auto"/>
                <w:left w:val="none" w:sz="0" w:space="0" w:color="auto"/>
                <w:bottom w:val="none" w:sz="0" w:space="0" w:color="auto"/>
                <w:right w:val="none" w:sz="0" w:space="0" w:color="auto"/>
              </w:divBdr>
            </w:div>
          </w:divsChild>
        </w:div>
        <w:div w:id="867908027">
          <w:marLeft w:val="0"/>
          <w:marRight w:val="0"/>
          <w:marTop w:val="0"/>
          <w:marBottom w:val="0"/>
          <w:divBdr>
            <w:top w:val="none" w:sz="0" w:space="0" w:color="auto"/>
            <w:left w:val="none" w:sz="0" w:space="0" w:color="auto"/>
            <w:bottom w:val="none" w:sz="0" w:space="0" w:color="auto"/>
            <w:right w:val="none" w:sz="0" w:space="0" w:color="auto"/>
          </w:divBdr>
          <w:divsChild>
            <w:div w:id="1087460930">
              <w:marLeft w:val="0"/>
              <w:marRight w:val="0"/>
              <w:marTop w:val="0"/>
              <w:marBottom w:val="0"/>
              <w:divBdr>
                <w:top w:val="none" w:sz="0" w:space="0" w:color="auto"/>
                <w:left w:val="none" w:sz="0" w:space="0" w:color="auto"/>
                <w:bottom w:val="none" w:sz="0" w:space="0" w:color="auto"/>
                <w:right w:val="none" w:sz="0" w:space="0" w:color="auto"/>
              </w:divBdr>
            </w:div>
          </w:divsChild>
        </w:div>
        <w:div w:id="873999755">
          <w:marLeft w:val="0"/>
          <w:marRight w:val="0"/>
          <w:marTop w:val="0"/>
          <w:marBottom w:val="0"/>
          <w:divBdr>
            <w:top w:val="none" w:sz="0" w:space="0" w:color="auto"/>
            <w:left w:val="none" w:sz="0" w:space="0" w:color="auto"/>
            <w:bottom w:val="none" w:sz="0" w:space="0" w:color="auto"/>
            <w:right w:val="none" w:sz="0" w:space="0" w:color="auto"/>
          </w:divBdr>
          <w:divsChild>
            <w:div w:id="815027351">
              <w:marLeft w:val="0"/>
              <w:marRight w:val="0"/>
              <w:marTop w:val="0"/>
              <w:marBottom w:val="0"/>
              <w:divBdr>
                <w:top w:val="none" w:sz="0" w:space="0" w:color="auto"/>
                <w:left w:val="none" w:sz="0" w:space="0" w:color="auto"/>
                <w:bottom w:val="none" w:sz="0" w:space="0" w:color="auto"/>
                <w:right w:val="none" w:sz="0" w:space="0" w:color="auto"/>
              </w:divBdr>
            </w:div>
          </w:divsChild>
        </w:div>
        <w:div w:id="915477577">
          <w:marLeft w:val="0"/>
          <w:marRight w:val="0"/>
          <w:marTop w:val="0"/>
          <w:marBottom w:val="0"/>
          <w:divBdr>
            <w:top w:val="none" w:sz="0" w:space="0" w:color="auto"/>
            <w:left w:val="none" w:sz="0" w:space="0" w:color="auto"/>
            <w:bottom w:val="none" w:sz="0" w:space="0" w:color="auto"/>
            <w:right w:val="none" w:sz="0" w:space="0" w:color="auto"/>
          </w:divBdr>
          <w:divsChild>
            <w:div w:id="43844379">
              <w:marLeft w:val="0"/>
              <w:marRight w:val="0"/>
              <w:marTop w:val="0"/>
              <w:marBottom w:val="0"/>
              <w:divBdr>
                <w:top w:val="none" w:sz="0" w:space="0" w:color="auto"/>
                <w:left w:val="none" w:sz="0" w:space="0" w:color="auto"/>
                <w:bottom w:val="none" w:sz="0" w:space="0" w:color="auto"/>
                <w:right w:val="none" w:sz="0" w:space="0" w:color="auto"/>
              </w:divBdr>
            </w:div>
          </w:divsChild>
        </w:div>
        <w:div w:id="989410346">
          <w:marLeft w:val="0"/>
          <w:marRight w:val="0"/>
          <w:marTop w:val="0"/>
          <w:marBottom w:val="0"/>
          <w:divBdr>
            <w:top w:val="none" w:sz="0" w:space="0" w:color="auto"/>
            <w:left w:val="none" w:sz="0" w:space="0" w:color="auto"/>
            <w:bottom w:val="none" w:sz="0" w:space="0" w:color="auto"/>
            <w:right w:val="none" w:sz="0" w:space="0" w:color="auto"/>
          </w:divBdr>
          <w:divsChild>
            <w:div w:id="783840432">
              <w:marLeft w:val="0"/>
              <w:marRight w:val="0"/>
              <w:marTop w:val="0"/>
              <w:marBottom w:val="0"/>
              <w:divBdr>
                <w:top w:val="none" w:sz="0" w:space="0" w:color="auto"/>
                <w:left w:val="none" w:sz="0" w:space="0" w:color="auto"/>
                <w:bottom w:val="none" w:sz="0" w:space="0" w:color="auto"/>
                <w:right w:val="none" w:sz="0" w:space="0" w:color="auto"/>
              </w:divBdr>
            </w:div>
          </w:divsChild>
        </w:div>
        <w:div w:id="1041828217">
          <w:marLeft w:val="0"/>
          <w:marRight w:val="0"/>
          <w:marTop w:val="0"/>
          <w:marBottom w:val="0"/>
          <w:divBdr>
            <w:top w:val="none" w:sz="0" w:space="0" w:color="auto"/>
            <w:left w:val="none" w:sz="0" w:space="0" w:color="auto"/>
            <w:bottom w:val="none" w:sz="0" w:space="0" w:color="auto"/>
            <w:right w:val="none" w:sz="0" w:space="0" w:color="auto"/>
          </w:divBdr>
          <w:divsChild>
            <w:div w:id="637761012">
              <w:marLeft w:val="0"/>
              <w:marRight w:val="0"/>
              <w:marTop w:val="0"/>
              <w:marBottom w:val="0"/>
              <w:divBdr>
                <w:top w:val="none" w:sz="0" w:space="0" w:color="auto"/>
                <w:left w:val="none" w:sz="0" w:space="0" w:color="auto"/>
                <w:bottom w:val="none" w:sz="0" w:space="0" w:color="auto"/>
                <w:right w:val="none" w:sz="0" w:space="0" w:color="auto"/>
              </w:divBdr>
            </w:div>
          </w:divsChild>
        </w:div>
        <w:div w:id="1056851371">
          <w:marLeft w:val="0"/>
          <w:marRight w:val="0"/>
          <w:marTop w:val="0"/>
          <w:marBottom w:val="0"/>
          <w:divBdr>
            <w:top w:val="none" w:sz="0" w:space="0" w:color="auto"/>
            <w:left w:val="none" w:sz="0" w:space="0" w:color="auto"/>
            <w:bottom w:val="none" w:sz="0" w:space="0" w:color="auto"/>
            <w:right w:val="none" w:sz="0" w:space="0" w:color="auto"/>
          </w:divBdr>
          <w:divsChild>
            <w:div w:id="1760787716">
              <w:marLeft w:val="0"/>
              <w:marRight w:val="0"/>
              <w:marTop w:val="0"/>
              <w:marBottom w:val="0"/>
              <w:divBdr>
                <w:top w:val="none" w:sz="0" w:space="0" w:color="auto"/>
                <w:left w:val="none" w:sz="0" w:space="0" w:color="auto"/>
                <w:bottom w:val="none" w:sz="0" w:space="0" w:color="auto"/>
                <w:right w:val="none" w:sz="0" w:space="0" w:color="auto"/>
              </w:divBdr>
            </w:div>
          </w:divsChild>
        </w:div>
        <w:div w:id="1097335441">
          <w:marLeft w:val="0"/>
          <w:marRight w:val="0"/>
          <w:marTop w:val="0"/>
          <w:marBottom w:val="0"/>
          <w:divBdr>
            <w:top w:val="none" w:sz="0" w:space="0" w:color="auto"/>
            <w:left w:val="none" w:sz="0" w:space="0" w:color="auto"/>
            <w:bottom w:val="none" w:sz="0" w:space="0" w:color="auto"/>
            <w:right w:val="none" w:sz="0" w:space="0" w:color="auto"/>
          </w:divBdr>
          <w:divsChild>
            <w:div w:id="1288052426">
              <w:marLeft w:val="0"/>
              <w:marRight w:val="0"/>
              <w:marTop w:val="0"/>
              <w:marBottom w:val="0"/>
              <w:divBdr>
                <w:top w:val="none" w:sz="0" w:space="0" w:color="auto"/>
                <w:left w:val="none" w:sz="0" w:space="0" w:color="auto"/>
                <w:bottom w:val="none" w:sz="0" w:space="0" w:color="auto"/>
                <w:right w:val="none" w:sz="0" w:space="0" w:color="auto"/>
              </w:divBdr>
            </w:div>
          </w:divsChild>
        </w:div>
        <w:div w:id="1136026604">
          <w:marLeft w:val="0"/>
          <w:marRight w:val="0"/>
          <w:marTop w:val="0"/>
          <w:marBottom w:val="0"/>
          <w:divBdr>
            <w:top w:val="none" w:sz="0" w:space="0" w:color="auto"/>
            <w:left w:val="none" w:sz="0" w:space="0" w:color="auto"/>
            <w:bottom w:val="none" w:sz="0" w:space="0" w:color="auto"/>
            <w:right w:val="none" w:sz="0" w:space="0" w:color="auto"/>
          </w:divBdr>
          <w:divsChild>
            <w:div w:id="852115105">
              <w:marLeft w:val="0"/>
              <w:marRight w:val="0"/>
              <w:marTop w:val="0"/>
              <w:marBottom w:val="0"/>
              <w:divBdr>
                <w:top w:val="none" w:sz="0" w:space="0" w:color="auto"/>
                <w:left w:val="none" w:sz="0" w:space="0" w:color="auto"/>
                <w:bottom w:val="none" w:sz="0" w:space="0" w:color="auto"/>
                <w:right w:val="none" w:sz="0" w:space="0" w:color="auto"/>
              </w:divBdr>
            </w:div>
          </w:divsChild>
        </w:div>
        <w:div w:id="1169558693">
          <w:marLeft w:val="0"/>
          <w:marRight w:val="0"/>
          <w:marTop w:val="0"/>
          <w:marBottom w:val="0"/>
          <w:divBdr>
            <w:top w:val="none" w:sz="0" w:space="0" w:color="auto"/>
            <w:left w:val="none" w:sz="0" w:space="0" w:color="auto"/>
            <w:bottom w:val="none" w:sz="0" w:space="0" w:color="auto"/>
            <w:right w:val="none" w:sz="0" w:space="0" w:color="auto"/>
          </w:divBdr>
          <w:divsChild>
            <w:div w:id="535434126">
              <w:marLeft w:val="0"/>
              <w:marRight w:val="0"/>
              <w:marTop w:val="0"/>
              <w:marBottom w:val="0"/>
              <w:divBdr>
                <w:top w:val="none" w:sz="0" w:space="0" w:color="auto"/>
                <w:left w:val="none" w:sz="0" w:space="0" w:color="auto"/>
                <w:bottom w:val="none" w:sz="0" w:space="0" w:color="auto"/>
                <w:right w:val="none" w:sz="0" w:space="0" w:color="auto"/>
              </w:divBdr>
            </w:div>
          </w:divsChild>
        </w:div>
        <w:div w:id="1415471194">
          <w:marLeft w:val="0"/>
          <w:marRight w:val="0"/>
          <w:marTop w:val="0"/>
          <w:marBottom w:val="0"/>
          <w:divBdr>
            <w:top w:val="none" w:sz="0" w:space="0" w:color="auto"/>
            <w:left w:val="none" w:sz="0" w:space="0" w:color="auto"/>
            <w:bottom w:val="none" w:sz="0" w:space="0" w:color="auto"/>
            <w:right w:val="none" w:sz="0" w:space="0" w:color="auto"/>
          </w:divBdr>
          <w:divsChild>
            <w:div w:id="1244950381">
              <w:marLeft w:val="0"/>
              <w:marRight w:val="0"/>
              <w:marTop w:val="0"/>
              <w:marBottom w:val="0"/>
              <w:divBdr>
                <w:top w:val="none" w:sz="0" w:space="0" w:color="auto"/>
                <w:left w:val="none" w:sz="0" w:space="0" w:color="auto"/>
                <w:bottom w:val="none" w:sz="0" w:space="0" w:color="auto"/>
                <w:right w:val="none" w:sz="0" w:space="0" w:color="auto"/>
              </w:divBdr>
            </w:div>
          </w:divsChild>
        </w:div>
        <w:div w:id="1420562372">
          <w:marLeft w:val="0"/>
          <w:marRight w:val="0"/>
          <w:marTop w:val="0"/>
          <w:marBottom w:val="0"/>
          <w:divBdr>
            <w:top w:val="none" w:sz="0" w:space="0" w:color="auto"/>
            <w:left w:val="none" w:sz="0" w:space="0" w:color="auto"/>
            <w:bottom w:val="none" w:sz="0" w:space="0" w:color="auto"/>
            <w:right w:val="none" w:sz="0" w:space="0" w:color="auto"/>
          </w:divBdr>
          <w:divsChild>
            <w:div w:id="1736581842">
              <w:marLeft w:val="0"/>
              <w:marRight w:val="0"/>
              <w:marTop w:val="0"/>
              <w:marBottom w:val="0"/>
              <w:divBdr>
                <w:top w:val="none" w:sz="0" w:space="0" w:color="auto"/>
                <w:left w:val="none" w:sz="0" w:space="0" w:color="auto"/>
                <w:bottom w:val="none" w:sz="0" w:space="0" w:color="auto"/>
                <w:right w:val="none" w:sz="0" w:space="0" w:color="auto"/>
              </w:divBdr>
            </w:div>
          </w:divsChild>
        </w:div>
        <w:div w:id="1457792618">
          <w:marLeft w:val="0"/>
          <w:marRight w:val="0"/>
          <w:marTop w:val="0"/>
          <w:marBottom w:val="0"/>
          <w:divBdr>
            <w:top w:val="none" w:sz="0" w:space="0" w:color="auto"/>
            <w:left w:val="none" w:sz="0" w:space="0" w:color="auto"/>
            <w:bottom w:val="none" w:sz="0" w:space="0" w:color="auto"/>
            <w:right w:val="none" w:sz="0" w:space="0" w:color="auto"/>
          </w:divBdr>
          <w:divsChild>
            <w:div w:id="2113012231">
              <w:marLeft w:val="0"/>
              <w:marRight w:val="0"/>
              <w:marTop w:val="0"/>
              <w:marBottom w:val="0"/>
              <w:divBdr>
                <w:top w:val="none" w:sz="0" w:space="0" w:color="auto"/>
                <w:left w:val="none" w:sz="0" w:space="0" w:color="auto"/>
                <w:bottom w:val="none" w:sz="0" w:space="0" w:color="auto"/>
                <w:right w:val="none" w:sz="0" w:space="0" w:color="auto"/>
              </w:divBdr>
            </w:div>
          </w:divsChild>
        </w:div>
        <w:div w:id="1479884770">
          <w:marLeft w:val="0"/>
          <w:marRight w:val="0"/>
          <w:marTop w:val="0"/>
          <w:marBottom w:val="0"/>
          <w:divBdr>
            <w:top w:val="none" w:sz="0" w:space="0" w:color="auto"/>
            <w:left w:val="none" w:sz="0" w:space="0" w:color="auto"/>
            <w:bottom w:val="none" w:sz="0" w:space="0" w:color="auto"/>
            <w:right w:val="none" w:sz="0" w:space="0" w:color="auto"/>
          </w:divBdr>
          <w:divsChild>
            <w:div w:id="1300647974">
              <w:marLeft w:val="0"/>
              <w:marRight w:val="0"/>
              <w:marTop w:val="0"/>
              <w:marBottom w:val="0"/>
              <w:divBdr>
                <w:top w:val="none" w:sz="0" w:space="0" w:color="auto"/>
                <w:left w:val="none" w:sz="0" w:space="0" w:color="auto"/>
                <w:bottom w:val="none" w:sz="0" w:space="0" w:color="auto"/>
                <w:right w:val="none" w:sz="0" w:space="0" w:color="auto"/>
              </w:divBdr>
            </w:div>
          </w:divsChild>
        </w:div>
        <w:div w:id="1497107497">
          <w:marLeft w:val="0"/>
          <w:marRight w:val="0"/>
          <w:marTop w:val="0"/>
          <w:marBottom w:val="0"/>
          <w:divBdr>
            <w:top w:val="none" w:sz="0" w:space="0" w:color="auto"/>
            <w:left w:val="none" w:sz="0" w:space="0" w:color="auto"/>
            <w:bottom w:val="none" w:sz="0" w:space="0" w:color="auto"/>
            <w:right w:val="none" w:sz="0" w:space="0" w:color="auto"/>
          </w:divBdr>
          <w:divsChild>
            <w:div w:id="685448880">
              <w:marLeft w:val="0"/>
              <w:marRight w:val="0"/>
              <w:marTop w:val="0"/>
              <w:marBottom w:val="0"/>
              <w:divBdr>
                <w:top w:val="none" w:sz="0" w:space="0" w:color="auto"/>
                <w:left w:val="none" w:sz="0" w:space="0" w:color="auto"/>
                <w:bottom w:val="none" w:sz="0" w:space="0" w:color="auto"/>
                <w:right w:val="none" w:sz="0" w:space="0" w:color="auto"/>
              </w:divBdr>
            </w:div>
          </w:divsChild>
        </w:div>
        <w:div w:id="1554542740">
          <w:marLeft w:val="0"/>
          <w:marRight w:val="0"/>
          <w:marTop w:val="0"/>
          <w:marBottom w:val="0"/>
          <w:divBdr>
            <w:top w:val="none" w:sz="0" w:space="0" w:color="auto"/>
            <w:left w:val="none" w:sz="0" w:space="0" w:color="auto"/>
            <w:bottom w:val="none" w:sz="0" w:space="0" w:color="auto"/>
            <w:right w:val="none" w:sz="0" w:space="0" w:color="auto"/>
          </w:divBdr>
          <w:divsChild>
            <w:div w:id="290138521">
              <w:marLeft w:val="0"/>
              <w:marRight w:val="0"/>
              <w:marTop w:val="0"/>
              <w:marBottom w:val="0"/>
              <w:divBdr>
                <w:top w:val="none" w:sz="0" w:space="0" w:color="auto"/>
                <w:left w:val="none" w:sz="0" w:space="0" w:color="auto"/>
                <w:bottom w:val="none" w:sz="0" w:space="0" w:color="auto"/>
                <w:right w:val="none" w:sz="0" w:space="0" w:color="auto"/>
              </w:divBdr>
            </w:div>
            <w:div w:id="1833371349">
              <w:marLeft w:val="0"/>
              <w:marRight w:val="0"/>
              <w:marTop w:val="0"/>
              <w:marBottom w:val="0"/>
              <w:divBdr>
                <w:top w:val="none" w:sz="0" w:space="0" w:color="auto"/>
                <w:left w:val="none" w:sz="0" w:space="0" w:color="auto"/>
                <w:bottom w:val="none" w:sz="0" w:space="0" w:color="auto"/>
                <w:right w:val="none" w:sz="0" w:space="0" w:color="auto"/>
              </w:divBdr>
            </w:div>
          </w:divsChild>
        </w:div>
        <w:div w:id="1584340628">
          <w:marLeft w:val="0"/>
          <w:marRight w:val="0"/>
          <w:marTop w:val="0"/>
          <w:marBottom w:val="0"/>
          <w:divBdr>
            <w:top w:val="none" w:sz="0" w:space="0" w:color="auto"/>
            <w:left w:val="none" w:sz="0" w:space="0" w:color="auto"/>
            <w:bottom w:val="none" w:sz="0" w:space="0" w:color="auto"/>
            <w:right w:val="none" w:sz="0" w:space="0" w:color="auto"/>
          </w:divBdr>
          <w:divsChild>
            <w:div w:id="1966622671">
              <w:marLeft w:val="0"/>
              <w:marRight w:val="0"/>
              <w:marTop w:val="0"/>
              <w:marBottom w:val="0"/>
              <w:divBdr>
                <w:top w:val="none" w:sz="0" w:space="0" w:color="auto"/>
                <w:left w:val="none" w:sz="0" w:space="0" w:color="auto"/>
                <w:bottom w:val="none" w:sz="0" w:space="0" w:color="auto"/>
                <w:right w:val="none" w:sz="0" w:space="0" w:color="auto"/>
              </w:divBdr>
            </w:div>
          </w:divsChild>
        </w:div>
        <w:div w:id="1604261032">
          <w:marLeft w:val="0"/>
          <w:marRight w:val="0"/>
          <w:marTop w:val="0"/>
          <w:marBottom w:val="0"/>
          <w:divBdr>
            <w:top w:val="none" w:sz="0" w:space="0" w:color="auto"/>
            <w:left w:val="none" w:sz="0" w:space="0" w:color="auto"/>
            <w:bottom w:val="none" w:sz="0" w:space="0" w:color="auto"/>
            <w:right w:val="none" w:sz="0" w:space="0" w:color="auto"/>
          </w:divBdr>
          <w:divsChild>
            <w:div w:id="2117402977">
              <w:marLeft w:val="0"/>
              <w:marRight w:val="0"/>
              <w:marTop w:val="0"/>
              <w:marBottom w:val="0"/>
              <w:divBdr>
                <w:top w:val="none" w:sz="0" w:space="0" w:color="auto"/>
                <w:left w:val="none" w:sz="0" w:space="0" w:color="auto"/>
                <w:bottom w:val="none" w:sz="0" w:space="0" w:color="auto"/>
                <w:right w:val="none" w:sz="0" w:space="0" w:color="auto"/>
              </w:divBdr>
            </w:div>
          </w:divsChild>
        </w:div>
        <w:div w:id="1686589612">
          <w:marLeft w:val="0"/>
          <w:marRight w:val="0"/>
          <w:marTop w:val="0"/>
          <w:marBottom w:val="0"/>
          <w:divBdr>
            <w:top w:val="none" w:sz="0" w:space="0" w:color="auto"/>
            <w:left w:val="none" w:sz="0" w:space="0" w:color="auto"/>
            <w:bottom w:val="none" w:sz="0" w:space="0" w:color="auto"/>
            <w:right w:val="none" w:sz="0" w:space="0" w:color="auto"/>
          </w:divBdr>
          <w:divsChild>
            <w:div w:id="384835245">
              <w:marLeft w:val="0"/>
              <w:marRight w:val="0"/>
              <w:marTop w:val="0"/>
              <w:marBottom w:val="0"/>
              <w:divBdr>
                <w:top w:val="none" w:sz="0" w:space="0" w:color="auto"/>
                <w:left w:val="none" w:sz="0" w:space="0" w:color="auto"/>
                <w:bottom w:val="none" w:sz="0" w:space="0" w:color="auto"/>
                <w:right w:val="none" w:sz="0" w:space="0" w:color="auto"/>
              </w:divBdr>
            </w:div>
          </w:divsChild>
        </w:div>
        <w:div w:id="1695959627">
          <w:marLeft w:val="0"/>
          <w:marRight w:val="0"/>
          <w:marTop w:val="0"/>
          <w:marBottom w:val="0"/>
          <w:divBdr>
            <w:top w:val="none" w:sz="0" w:space="0" w:color="auto"/>
            <w:left w:val="none" w:sz="0" w:space="0" w:color="auto"/>
            <w:bottom w:val="none" w:sz="0" w:space="0" w:color="auto"/>
            <w:right w:val="none" w:sz="0" w:space="0" w:color="auto"/>
          </w:divBdr>
          <w:divsChild>
            <w:div w:id="1701658858">
              <w:marLeft w:val="0"/>
              <w:marRight w:val="0"/>
              <w:marTop w:val="0"/>
              <w:marBottom w:val="0"/>
              <w:divBdr>
                <w:top w:val="none" w:sz="0" w:space="0" w:color="auto"/>
                <w:left w:val="none" w:sz="0" w:space="0" w:color="auto"/>
                <w:bottom w:val="none" w:sz="0" w:space="0" w:color="auto"/>
                <w:right w:val="none" w:sz="0" w:space="0" w:color="auto"/>
              </w:divBdr>
            </w:div>
          </w:divsChild>
        </w:div>
        <w:div w:id="1750157986">
          <w:marLeft w:val="0"/>
          <w:marRight w:val="0"/>
          <w:marTop w:val="0"/>
          <w:marBottom w:val="0"/>
          <w:divBdr>
            <w:top w:val="none" w:sz="0" w:space="0" w:color="auto"/>
            <w:left w:val="none" w:sz="0" w:space="0" w:color="auto"/>
            <w:bottom w:val="none" w:sz="0" w:space="0" w:color="auto"/>
            <w:right w:val="none" w:sz="0" w:space="0" w:color="auto"/>
          </w:divBdr>
          <w:divsChild>
            <w:div w:id="2124182035">
              <w:marLeft w:val="0"/>
              <w:marRight w:val="0"/>
              <w:marTop w:val="0"/>
              <w:marBottom w:val="0"/>
              <w:divBdr>
                <w:top w:val="none" w:sz="0" w:space="0" w:color="auto"/>
                <w:left w:val="none" w:sz="0" w:space="0" w:color="auto"/>
                <w:bottom w:val="none" w:sz="0" w:space="0" w:color="auto"/>
                <w:right w:val="none" w:sz="0" w:space="0" w:color="auto"/>
              </w:divBdr>
            </w:div>
          </w:divsChild>
        </w:div>
        <w:div w:id="1783915772">
          <w:marLeft w:val="0"/>
          <w:marRight w:val="0"/>
          <w:marTop w:val="0"/>
          <w:marBottom w:val="0"/>
          <w:divBdr>
            <w:top w:val="none" w:sz="0" w:space="0" w:color="auto"/>
            <w:left w:val="none" w:sz="0" w:space="0" w:color="auto"/>
            <w:bottom w:val="none" w:sz="0" w:space="0" w:color="auto"/>
            <w:right w:val="none" w:sz="0" w:space="0" w:color="auto"/>
          </w:divBdr>
          <w:divsChild>
            <w:div w:id="425001179">
              <w:marLeft w:val="0"/>
              <w:marRight w:val="0"/>
              <w:marTop w:val="0"/>
              <w:marBottom w:val="0"/>
              <w:divBdr>
                <w:top w:val="none" w:sz="0" w:space="0" w:color="auto"/>
                <w:left w:val="none" w:sz="0" w:space="0" w:color="auto"/>
                <w:bottom w:val="none" w:sz="0" w:space="0" w:color="auto"/>
                <w:right w:val="none" w:sz="0" w:space="0" w:color="auto"/>
              </w:divBdr>
            </w:div>
          </w:divsChild>
        </w:div>
        <w:div w:id="1849057764">
          <w:marLeft w:val="0"/>
          <w:marRight w:val="0"/>
          <w:marTop w:val="0"/>
          <w:marBottom w:val="0"/>
          <w:divBdr>
            <w:top w:val="none" w:sz="0" w:space="0" w:color="auto"/>
            <w:left w:val="none" w:sz="0" w:space="0" w:color="auto"/>
            <w:bottom w:val="none" w:sz="0" w:space="0" w:color="auto"/>
            <w:right w:val="none" w:sz="0" w:space="0" w:color="auto"/>
          </w:divBdr>
          <w:divsChild>
            <w:div w:id="193735906">
              <w:marLeft w:val="0"/>
              <w:marRight w:val="0"/>
              <w:marTop w:val="0"/>
              <w:marBottom w:val="0"/>
              <w:divBdr>
                <w:top w:val="none" w:sz="0" w:space="0" w:color="auto"/>
                <w:left w:val="none" w:sz="0" w:space="0" w:color="auto"/>
                <w:bottom w:val="none" w:sz="0" w:space="0" w:color="auto"/>
                <w:right w:val="none" w:sz="0" w:space="0" w:color="auto"/>
              </w:divBdr>
            </w:div>
          </w:divsChild>
        </w:div>
        <w:div w:id="1988243741">
          <w:marLeft w:val="0"/>
          <w:marRight w:val="0"/>
          <w:marTop w:val="0"/>
          <w:marBottom w:val="0"/>
          <w:divBdr>
            <w:top w:val="none" w:sz="0" w:space="0" w:color="auto"/>
            <w:left w:val="none" w:sz="0" w:space="0" w:color="auto"/>
            <w:bottom w:val="none" w:sz="0" w:space="0" w:color="auto"/>
            <w:right w:val="none" w:sz="0" w:space="0" w:color="auto"/>
          </w:divBdr>
          <w:divsChild>
            <w:div w:id="1432358282">
              <w:marLeft w:val="0"/>
              <w:marRight w:val="0"/>
              <w:marTop w:val="0"/>
              <w:marBottom w:val="0"/>
              <w:divBdr>
                <w:top w:val="none" w:sz="0" w:space="0" w:color="auto"/>
                <w:left w:val="none" w:sz="0" w:space="0" w:color="auto"/>
                <w:bottom w:val="none" w:sz="0" w:space="0" w:color="auto"/>
                <w:right w:val="none" w:sz="0" w:space="0" w:color="auto"/>
              </w:divBdr>
            </w:div>
          </w:divsChild>
        </w:div>
        <w:div w:id="2075807659">
          <w:marLeft w:val="0"/>
          <w:marRight w:val="0"/>
          <w:marTop w:val="0"/>
          <w:marBottom w:val="0"/>
          <w:divBdr>
            <w:top w:val="none" w:sz="0" w:space="0" w:color="auto"/>
            <w:left w:val="none" w:sz="0" w:space="0" w:color="auto"/>
            <w:bottom w:val="none" w:sz="0" w:space="0" w:color="auto"/>
            <w:right w:val="none" w:sz="0" w:space="0" w:color="auto"/>
          </w:divBdr>
          <w:divsChild>
            <w:div w:id="1060832006">
              <w:marLeft w:val="0"/>
              <w:marRight w:val="0"/>
              <w:marTop w:val="0"/>
              <w:marBottom w:val="0"/>
              <w:divBdr>
                <w:top w:val="none" w:sz="0" w:space="0" w:color="auto"/>
                <w:left w:val="none" w:sz="0" w:space="0" w:color="auto"/>
                <w:bottom w:val="none" w:sz="0" w:space="0" w:color="auto"/>
                <w:right w:val="none" w:sz="0" w:space="0" w:color="auto"/>
              </w:divBdr>
            </w:div>
          </w:divsChild>
        </w:div>
        <w:div w:id="2084059129">
          <w:marLeft w:val="0"/>
          <w:marRight w:val="0"/>
          <w:marTop w:val="0"/>
          <w:marBottom w:val="0"/>
          <w:divBdr>
            <w:top w:val="none" w:sz="0" w:space="0" w:color="auto"/>
            <w:left w:val="none" w:sz="0" w:space="0" w:color="auto"/>
            <w:bottom w:val="none" w:sz="0" w:space="0" w:color="auto"/>
            <w:right w:val="none" w:sz="0" w:space="0" w:color="auto"/>
          </w:divBdr>
          <w:divsChild>
            <w:div w:id="116439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179822">
      <w:bodyDiv w:val="1"/>
      <w:marLeft w:val="0"/>
      <w:marRight w:val="0"/>
      <w:marTop w:val="0"/>
      <w:marBottom w:val="0"/>
      <w:divBdr>
        <w:top w:val="none" w:sz="0" w:space="0" w:color="auto"/>
        <w:left w:val="none" w:sz="0" w:space="0" w:color="auto"/>
        <w:bottom w:val="none" w:sz="0" w:space="0" w:color="auto"/>
        <w:right w:val="none" w:sz="0" w:space="0" w:color="auto"/>
      </w:divBdr>
    </w:div>
    <w:div w:id="990403458">
      <w:bodyDiv w:val="1"/>
      <w:marLeft w:val="0"/>
      <w:marRight w:val="0"/>
      <w:marTop w:val="0"/>
      <w:marBottom w:val="0"/>
      <w:divBdr>
        <w:top w:val="none" w:sz="0" w:space="0" w:color="auto"/>
        <w:left w:val="none" w:sz="0" w:space="0" w:color="auto"/>
        <w:bottom w:val="none" w:sz="0" w:space="0" w:color="auto"/>
        <w:right w:val="none" w:sz="0" w:space="0" w:color="auto"/>
      </w:divBdr>
    </w:div>
    <w:div w:id="994794422">
      <w:bodyDiv w:val="1"/>
      <w:marLeft w:val="0"/>
      <w:marRight w:val="0"/>
      <w:marTop w:val="0"/>
      <w:marBottom w:val="0"/>
      <w:divBdr>
        <w:top w:val="none" w:sz="0" w:space="0" w:color="auto"/>
        <w:left w:val="none" w:sz="0" w:space="0" w:color="auto"/>
        <w:bottom w:val="none" w:sz="0" w:space="0" w:color="auto"/>
        <w:right w:val="none" w:sz="0" w:space="0" w:color="auto"/>
      </w:divBdr>
    </w:div>
    <w:div w:id="1001348592">
      <w:bodyDiv w:val="1"/>
      <w:marLeft w:val="0"/>
      <w:marRight w:val="0"/>
      <w:marTop w:val="0"/>
      <w:marBottom w:val="0"/>
      <w:divBdr>
        <w:top w:val="none" w:sz="0" w:space="0" w:color="auto"/>
        <w:left w:val="none" w:sz="0" w:space="0" w:color="auto"/>
        <w:bottom w:val="none" w:sz="0" w:space="0" w:color="auto"/>
        <w:right w:val="none" w:sz="0" w:space="0" w:color="auto"/>
      </w:divBdr>
      <w:divsChild>
        <w:div w:id="76631189">
          <w:marLeft w:val="0"/>
          <w:marRight w:val="0"/>
          <w:marTop w:val="0"/>
          <w:marBottom w:val="0"/>
          <w:divBdr>
            <w:top w:val="none" w:sz="0" w:space="0" w:color="auto"/>
            <w:left w:val="none" w:sz="0" w:space="0" w:color="auto"/>
            <w:bottom w:val="none" w:sz="0" w:space="0" w:color="auto"/>
            <w:right w:val="none" w:sz="0" w:space="0" w:color="auto"/>
          </w:divBdr>
          <w:divsChild>
            <w:div w:id="524831559">
              <w:marLeft w:val="0"/>
              <w:marRight w:val="0"/>
              <w:marTop w:val="0"/>
              <w:marBottom w:val="0"/>
              <w:divBdr>
                <w:top w:val="none" w:sz="0" w:space="0" w:color="auto"/>
                <w:left w:val="none" w:sz="0" w:space="0" w:color="auto"/>
                <w:bottom w:val="none" w:sz="0" w:space="0" w:color="auto"/>
                <w:right w:val="none" w:sz="0" w:space="0" w:color="auto"/>
              </w:divBdr>
            </w:div>
          </w:divsChild>
        </w:div>
        <w:div w:id="109321012">
          <w:marLeft w:val="0"/>
          <w:marRight w:val="0"/>
          <w:marTop w:val="0"/>
          <w:marBottom w:val="0"/>
          <w:divBdr>
            <w:top w:val="none" w:sz="0" w:space="0" w:color="auto"/>
            <w:left w:val="none" w:sz="0" w:space="0" w:color="auto"/>
            <w:bottom w:val="none" w:sz="0" w:space="0" w:color="auto"/>
            <w:right w:val="none" w:sz="0" w:space="0" w:color="auto"/>
          </w:divBdr>
          <w:divsChild>
            <w:div w:id="163976894">
              <w:marLeft w:val="0"/>
              <w:marRight w:val="0"/>
              <w:marTop w:val="0"/>
              <w:marBottom w:val="0"/>
              <w:divBdr>
                <w:top w:val="none" w:sz="0" w:space="0" w:color="auto"/>
                <w:left w:val="none" w:sz="0" w:space="0" w:color="auto"/>
                <w:bottom w:val="none" w:sz="0" w:space="0" w:color="auto"/>
                <w:right w:val="none" w:sz="0" w:space="0" w:color="auto"/>
              </w:divBdr>
            </w:div>
            <w:div w:id="755320974">
              <w:marLeft w:val="0"/>
              <w:marRight w:val="0"/>
              <w:marTop w:val="0"/>
              <w:marBottom w:val="0"/>
              <w:divBdr>
                <w:top w:val="none" w:sz="0" w:space="0" w:color="auto"/>
                <w:left w:val="none" w:sz="0" w:space="0" w:color="auto"/>
                <w:bottom w:val="none" w:sz="0" w:space="0" w:color="auto"/>
                <w:right w:val="none" w:sz="0" w:space="0" w:color="auto"/>
              </w:divBdr>
            </w:div>
          </w:divsChild>
        </w:div>
        <w:div w:id="129253698">
          <w:marLeft w:val="0"/>
          <w:marRight w:val="0"/>
          <w:marTop w:val="0"/>
          <w:marBottom w:val="0"/>
          <w:divBdr>
            <w:top w:val="none" w:sz="0" w:space="0" w:color="auto"/>
            <w:left w:val="none" w:sz="0" w:space="0" w:color="auto"/>
            <w:bottom w:val="none" w:sz="0" w:space="0" w:color="auto"/>
            <w:right w:val="none" w:sz="0" w:space="0" w:color="auto"/>
          </w:divBdr>
          <w:divsChild>
            <w:div w:id="133761692">
              <w:marLeft w:val="0"/>
              <w:marRight w:val="0"/>
              <w:marTop w:val="0"/>
              <w:marBottom w:val="0"/>
              <w:divBdr>
                <w:top w:val="none" w:sz="0" w:space="0" w:color="auto"/>
                <w:left w:val="none" w:sz="0" w:space="0" w:color="auto"/>
                <w:bottom w:val="none" w:sz="0" w:space="0" w:color="auto"/>
                <w:right w:val="none" w:sz="0" w:space="0" w:color="auto"/>
              </w:divBdr>
            </w:div>
          </w:divsChild>
        </w:div>
        <w:div w:id="160660726">
          <w:marLeft w:val="0"/>
          <w:marRight w:val="0"/>
          <w:marTop w:val="0"/>
          <w:marBottom w:val="0"/>
          <w:divBdr>
            <w:top w:val="none" w:sz="0" w:space="0" w:color="auto"/>
            <w:left w:val="none" w:sz="0" w:space="0" w:color="auto"/>
            <w:bottom w:val="none" w:sz="0" w:space="0" w:color="auto"/>
            <w:right w:val="none" w:sz="0" w:space="0" w:color="auto"/>
          </w:divBdr>
          <w:divsChild>
            <w:div w:id="683482815">
              <w:marLeft w:val="0"/>
              <w:marRight w:val="0"/>
              <w:marTop w:val="0"/>
              <w:marBottom w:val="0"/>
              <w:divBdr>
                <w:top w:val="none" w:sz="0" w:space="0" w:color="auto"/>
                <w:left w:val="none" w:sz="0" w:space="0" w:color="auto"/>
                <w:bottom w:val="none" w:sz="0" w:space="0" w:color="auto"/>
                <w:right w:val="none" w:sz="0" w:space="0" w:color="auto"/>
              </w:divBdr>
            </w:div>
          </w:divsChild>
        </w:div>
        <w:div w:id="236943179">
          <w:marLeft w:val="0"/>
          <w:marRight w:val="0"/>
          <w:marTop w:val="0"/>
          <w:marBottom w:val="0"/>
          <w:divBdr>
            <w:top w:val="none" w:sz="0" w:space="0" w:color="auto"/>
            <w:left w:val="none" w:sz="0" w:space="0" w:color="auto"/>
            <w:bottom w:val="none" w:sz="0" w:space="0" w:color="auto"/>
            <w:right w:val="none" w:sz="0" w:space="0" w:color="auto"/>
          </w:divBdr>
          <w:divsChild>
            <w:div w:id="70348831">
              <w:marLeft w:val="0"/>
              <w:marRight w:val="0"/>
              <w:marTop w:val="0"/>
              <w:marBottom w:val="0"/>
              <w:divBdr>
                <w:top w:val="none" w:sz="0" w:space="0" w:color="auto"/>
                <w:left w:val="none" w:sz="0" w:space="0" w:color="auto"/>
                <w:bottom w:val="none" w:sz="0" w:space="0" w:color="auto"/>
                <w:right w:val="none" w:sz="0" w:space="0" w:color="auto"/>
              </w:divBdr>
            </w:div>
          </w:divsChild>
        </w:div>
        <w:div w:id="277878330">
          <w:marLeft w:val="0"/>
          <w:marRight w:val="0"/>
          <w:marTop w:val="0"/>
          <w:marBottom w:val="0"/>
          <w:divBdr>
            <w:top w:val="none" w:sz="0" w:space="0" w:color="auto"/>
            <w:left w:val="none" w:sz="0" w:space="0" w:color="auto"/>
            <w:bottom w:val="none" w:sz="0" w:space="0" w:color="auto"/>
            <w:right w:val="none" w:sz="0" w:space="0" w:color="auto"/>
          </w:divBdr>
          <w:divsChild>
            <w:div w:id="1120613427">
              <w:marLeft w:val="0"/>
              <w:marRight w:val="0"/>
              <w:marTop w:val="0"/>
              <w:marBottom w:val="0"/>
              <w:divBdr>
                <w:top w:val="none" w:sz="0" w:space="0" w:color="auto"/>
                <w:left w:val="none" w:sz="0" w:space="0" w:color="auto"/>
                <w:bottom w:val="none" w:sz="0" w:space="0" w:color="auto"/>
                <w:right w:val="none" w:sz="0" w:space="0" w:color="auto"/>
              </w:divBdr>
            </w:div>
          </w:divsChild>
        </w:div>
        <w:div w:id="347950183">
          <w:marLeft w:val="0"/>
          <w:marRight w:val="0"/>
          <w:marTop w:val="0"/>
          <w:marBottom w:val="0"/>
          <w:divBdr>
            <w:top w:val="none" w:sz="0" w:space="0" w:color="auto"/>
            <w:left w:val="none" w:sz="0" w:space="0" w:color="auto"/>
            <w:bottom w:val="none" w:sz="0" w:space="0" w:color="auto"/>
            <w:right w:val="none" w:sz="0" w:space="0" w:color="auto"/>
          </w:divBdr>
          <w:divsChild>
            <w:div w:id="1665548236">
              <w:marLeft w:val="0"/>
              <w:marRight w:val="0"/>
              <w:marTop w:val="0"/>
              <w:marBottom w:val="0"/>
              <w:divBdr>
                <w:top w:val="none" w:sz="0" w:space="0" w:color="auto"/>
                <w:left w:val="none" w:sz="0" w:space="0" w:color="auto"/>
                <w:bottom w:val="none" w:sz="0" w:space="0" w:color="auto"/>
                <w:right w:val="none" w:sz="0" w:space="0" w:color="auto"/>
              </w:divBdr>
            </w:div>
          </w:divsChild>
        </w:div>
        <w:div w:id="376704030">
          <w:marLeft w:val="0"/>
          <w:marRight w:val="0"/>
          <w:marTop w:val="0"/>
          <w:marBottom w:val="0"/>
          <w:divBdr>
            <w:top w:val="none" w:sz="0" w:space="0" w:color="auto"/>
            <w:left w:val="none" w:sz="0" w:space="0" w:color="auto"/>
            <w:bottom w:val="none" w:sz="0" w:space="0" w:color="auto"/>
            <w:right w:val="none" w:sz="0" w:space="0" w:color="auto"/>
          </w:divBdr>
          <w:divsChild>
            <w:div w:id="1231961463">
              <w:marLeft w:val="0"/>
              <w:marRight w:val="0"/>
              <w:marTop w:val="0"/>
              <w:marBottom w:val="0"/>
              <w:divBdr>
                <w:top w:val="none" w:sz="0" w:space="0" w:color="auto"/>
                <w:left w:val="none" w:sz="0" w:space="0" w:color="auto"/>
                <w:bottom w:val="none" w:sz="0" w:space="0" w:color="auto"/>
                <w:right w:val="none" w:sz="0" w:space="0" w:color="auto"/>
              </w:divBdr>
            </w:div>
          </w:divsChild>
        </w:div>
        <w:div w:id="383647801">
          <w:marLeft w:val="0"/>
          <w:marRight w:val="0"/>
          <w:marTop w:val="0"/>
          <w:marBottom w:val="0"/>
          <w:divBdr>
            <w:top w:val="none" w:sz="0" w:space="0" w:color="auto"/>
            <w:left w:val="none" w:sz="0" w:space="0" w:color="auto"/>
            <w:bottom w:val="none" w:sz="0" w:space="0" w:color="auto"/>
            <w:right w:val="none" w:sz="0" w:space="0" w:color="auto"/>
          </w:divBdr>
          <w:divsChild>
            <w:div w:id="1196889200">
              <w:marLeft w:val="0"/>
              <w:marRight w:val="0"/>
              <w:marTop w:val="0"/>
              <w:marBottom w:val="0"/>
              <w:divBdr>
                <w:top w:val="none" w:sz="0" w:space="0" w:color="auto"/>
                <w:left w:val="none" w:sz="0" w:space="0" w:color="auto"/>
                <w:bottom w:val="none" w:sz="0" w:space="0" w:color="auto"/>
                <w:right w:val="none" w:sz="0" w:space="0" w:color="auto"/>
              </w:divBdr>
            </w:div>
          </w:divsChild>
        </w:div>
        <w:div w:id="422411117">
          <w:marLeft w:val="0"/>
          <w:marRight w:val="0"/>
          <w:marTop w:val="0"/>
          <w:marBottom w:val="0"/>
          <w:divBdr>
            <w:top w:val="none" w:sz="0" w:space="0" w:color="auto"/>
            <w:left w:val="none" w:sz="0" w:space="0" w:color="auto"/>
            <w:bottom w:val="none" w:sz="0" w:space="0" w:color="auto"/>
            <w:right w:val="none" w:sz="0" w:space="0" w:color="auto"/>
          </w:divBdr>
          <w:divsChild>
            <w:div w:id="619806">
              <w:marLeft w:val="0"/>
              <w:marRight w:val="0"/>
              <w:marTop w:val="0"/>
              <w:marBottom w:val="0"/>
              <w:divBdr>
                <w:top w:val="none" w:sz="0" w:space="0" w:color="auto"/>
                <w:left w:val="none" w:sz="0" w:space="0" w:color="auto"/>
                <w:bottom w:val="none" w:sz="0" w:space="0" w:color="auto"/>
                <w:right w:val="none" w:sz="0" w:space="0" w:color="auto"/>
              </w:divBdr>
            </w:div>
          </w:divsChild>
        </w:div>
        <w:div w:id="423574675">
          <w:marLeft w:val="0"/>
          <w:marRight w:val="0"/>
          <w:marTop w:val="0"/>
          <w:marBottom w:val="0"/>
          <w:divBdr>
            <w:top w:val="none" w:sz="0" w:space="0" w:color="auto"/>
            <w:left w:val="none" w:sz="0" w:space="0" w:color="auto"/>
            <w:bottom w:val="none" w:sz="0" w:space="0" w:color="auto"/>
            <w:right w:val="none" w:sz="0" w:space="0" w:color="auto"/>
          </w:divBdr>
          <w:divsChild>
            <w:div w:id="1119910544">
              <w:marLeft w:val="0"/>
              <w:marRight w:val="0"/>
              <w:marTop w:val="0"/>
              <w:marBottom w:val="0"/>
              <w:divBdr>
                <w:top w:val="none" w:sz="0" w:space="0" w:color="auto"/>
                <w:left w:val="none" w:sz="0" w:space="0" w:color="auto"/>
                <w:bottom w:val="none" w:sz="0" w:space="0" w:color="auto"/>
                <w:right w:val="none" w:sz="0" w:space="0" w:color="auto"/>
              </w:divBdr>
            </w:div>
          </w:divsChild>
        </w:div>
        <w:div w:id="432744480">
          <w:marLeft w:val="0"/>
          <w:marRight w:val="0"/>
          <w:marTop w:val="0"/>
          <w:marBottom w:val="0"/>
          <w:divBdr>
            <w:top w:val="none" w:sz="0" w:space="0" w:color="auto"/>
            <w:left w:val="none" w:sz="0" w:space="0" w:color="auto"/>
            <w:bottom w:val="none" w:sz="0" w:space="0" w:color="auto"/>
            <w:right w:val="none" w:sz="0" w:space="0" w:color="auto"/>
          </w:divBdr>
          <w:divsChild>
            <w:div w:id="954212772">
              <w:marLeft w:val="0"/>
              <w:marRight w:val="0"/>
              <w:marTop w:val="0"/>
              <w:marBottom w:val="0"/>
              <w:divBdr>
                <w:top w:val="none" w:sz="0" w:space="0" w:color="auto"/>
                <w:left w:val="none" w:sz="0" w:space="0" w:color="auto"/>
                <w:bottom w:val="none" w:sz="0" w:space="0" w:color="auto"/>
                <w:right w:val="none" w:sz="0" w:space="0" w:color="auto"/>
              </w:divBdr>
            </w:div>
          </w:divsChild>
        </w:div>
        <w:div w:id="469713186">
          <w:marLeft w:val="0"/>
          <w:marRight w:val="0"/>
          <w:marTop w:val="0"/>
          <w:marBottom w:val="0"/>
          <w:divBdr>
            <w:top w:val="none" w:sz="0" w:space="0" w:color="auto"/>
            <w:left w:val="none" w:sz="0" w:space="0" w:color="auto"/>
            <w:bottom w:val="none" w:sz="0" w:space="0" w:color="auto"/>
            <w:right w:val="none" w:sz="0" w:space="0" w:color="auto"/>
          </w:divBdr>
          <w:divsChild>
            <w:div w:id="1210147020">
              <w:marLeft w:val="0"/>
              <w:marRight w:val="0"/>
              <w:marTop w:val="0"/>
              <w:marBottom w:val="0"/>
              <w:divBdr>
                <w:top w:val="none" w:sz="0" w:space="0" w:color="auto"/>
                <w:left w:val="none" w:sz="0" w:space="0" w:color="auto"/>
                <w:bottom w:val="none" w:sz="0" w:space="0" w:color="auto"/>
                <w:right w:val="none" w:sz="0" w:space="0" w:color="auto"/>
              </w:divBdr>
            </w:div>
          </w:divsChild>
        </w:div>
        <w:div w:id="478885439">
          <w:marLeft w:val="0"/>
          <w:marRight w:val="0"/>
          <w:marTop w:val="0"/>
          <w:marBottom w:val="0"/>
          <w:divBdr>
            <w:top w:val="none" w:sz="0" w:space="0" w:color="auto"/>
            <w:left w:val="none" w:sz="0" w:space="0" w:color="auto"/>
            <w:bottom w:val="none" w:sz="0" w:space="0" w:color="auto"/>
            <w:right w:val="none" w:sz="0" w:space="0" w:color="auto"/>
          </w:divBdr>
          <w:divsChild>
            <w:div w:id="597641589">
              <w:marLeft w:val="0"/>
              <w:marRight w:val="0"/>
              <w:marTop w:val="0"/>
              <w:marBottom w:val="0"/>
              <w:divBdr>
                <w:top w:val="none" w:sz="0" w:space="0" w:color="auto"/>
                <w:left w:val="none" w:sz="0" w:space="0" w:color="auto"/>
                <w:bottom w:val="none" w:sz="0" w:space="0" w:color="auto"/>
                <w:right w:val="none" w:sz="0" w:space="0" w:color="auto"/>
              </w:divBdr>
            </w:div>
          </w:divsChild>
        </w:div>
        <w:div w:id="480580563">
          <w:marLeft w:val="0"/>
          <w:marRight w:val="0"/>
          <w:marTop w:val="0"/>
          <w:marBottom w:val="0"/>
          <w:divBdr>
            <w:top w:val="none" w:sz="0" w:space="0" w:color="auto"/>
            <w:left w:val="none" w:sz="0" w:space="0" w:color="auto"/>
            <w:bottom w:val="none" w:sz="0" w:space="0" w:color="auto"/>
            <w:right w:val="none" w:sz="0" w:space="0" w:color="auto"/>
          </w:divBdr>
          <w:divsChild>
            <w:div w:id="567960237">
              <w:marLeft w:val="0"/>
              <w:marRight w:val="0"/>
              <w:marTop w:val="0"/>
              <w:marBottom w:val="0"/>
              <w:divBdr>
                <w:top w:val="none" w:sz="0" w:space="0" w:color="auto"/>
                <w:left w:val="none" w:sz="0" w:space="0" w:color="auto"/>
                <w:bottom w:val="none" w:sz="0" w:space="0" w:color="auto"/>
                <w:right w:val="none" w:sz="0" w:space="0" w:color="auto"/>
              </w:divBdr>
            </w:div>
          </w:divsChild>
        </w:div>
        <w:div w:id="545531053">
          <w:marLeft w:val="0"/>
          <w:marRight w:val="0"/>
          <w:marTop w:val="0"/>
          <w:marBottom w:val="0"/>
          <w:divBdr>
            <w:top w:val="none" w:sz="0" w:space="0" w:color="auto"/>
            <w:left w:val="none" w:sz="0" w:space="0" w:color="auto"/>
            <w:bottom w:val="none" w:sz="0" w:space="0" w:color="auto"/>
            <w:right w:val="none" w:sz="0" w:space="0" w:color="auto"/>
          </w:divBdr>
          <w:divsChild>
            <w:div w:id="1149859826">
              <w:marLeft w:val="0"/>
              <w:marRight w:val="0"/>
              <w:marTop w:val="0"/>
              <w:marBottom w:val="0"/>
              <w:divBdr>
                <w:top w:val="none" w:sz="0" w:space="0" w:color="auto"/>
                <w:left w:val="none" w:sz="0" w:space="0" w:color="auto"/>
                <w:bottom w:val="none" w:sz="0" w:space="0" w:color="auto"/>
                <w:right w:val="none" w:sz="0" w:space="0" w:color="auto"/>
              </w:divBdr>
            </w:div>
          </w:divsChild>
        </w:div>
        <w:div w:id="584605578">
          <w:marLeft w:val="0"/>
          <w:marRight w:val="0"/>
          <w:marTop w:val="0"/>
          <w:marBottom w:val="0"/>
          <w:divBdr>
            <w:top w:val="none" w:sz="0" w:space="0" w:color="auto"/>
            <w:left w:val="none" w:sz="0" w:space="0" w:color="auto"/>
            <w:bottom w:val="none" w:sz="0" w:space="0" w:color="auto"/>
            <w:right w:val="none" w:sz="0" w:space="0" w:color="auto"/>
          </w:divBdr>
          <w:divsChild>
            <w:div w:id="368258662">
              <w:marLeft w:val="0"/>
              <w:marRight w:val="0"/>
              <w:marTop w:val="0"/>
              <w:marBottom w:val="0"/>
              <w:divBdr>
                <w:top w:val="none" w:sz="0" w:space="0" w:color="auto"/>
                <w:left w:val="none" w:sz="0" w:space="0" w:color="auto"/>
                <w:bottom w:val="none" w:sz="0" w:space="0" w:color="auto"/>
                <w:right w:val="none" w:sz="0" w:space="0" w:color="auto"/>
              </w:divBdr>
            </w:div>
          </w:divsChild>
        </w:div>
        <w:div w:id="608312925">
          <w:marLeft w:val="0"/>
          <w:marRight w:val="0"/>
          <w:marTop w:val="0"/>
          <w:marBottom w:val="0"/>
          <w:divBdr>
            <w:top w:val="none" w:sz="0" w:space="0" w:color="auto"/>
            <w:left w:val="none" w:sz="0" w:space="0" w:color="auto"/>
            <w:bottom w:val="none" w:sz="0" w:space="0" w:color="auto"/>
            <w:right w:val="none" w:sz="0" w:space="0" w:color="auto"/>
          </w:divBdr>
          <w:divsChild>
            <w:div w:id="780799687">
              <w:marLeft w:val="0"/>
              <w:marRight w:val="0"/>
              <w:marTop w:val="0"/>
              <w:marBottom w:val="0"/>
              <w:divBdr>
                <w:top w:val="none" w:sz="0" w:space="0" w:color="auto"/>
                <w:left w:val="none" w:sz="0" w:space="0" w:color="auto"/>
                <w:bottom w:val="none" w:sz="0" w:space="0" w:color="auto"/>
                <w:right w:val="none" w:sz="0" w:space="0" w:color="auto"/>
              </w:divBdr>
            </w:div>
            <w:div w:id="864486071">
              <w:marLeft w:val="0"/>
              <w:marRight w:val="0"/>
              <w:marTop w:val="0"/>
              <w:marBottom w:val="0"/>
              <w:divBdr>
                <w:top w:val="none" w:sz="0" w:space="0" w:color="auto"/>
                <w:left w:val="none" w:sz="0" w:space="0" w:color="auto"/>
                <w:bottom w:val="none" w:sz="0" w:space="0" w:color="auto"/>
                <w:right w:val="none" w:sz="0" w:space="0" w:color="auto"/>
              </w:divBdr>
            </w:div>
            <w:div w:id="1368022307">
              <w:marLeft w:val="0"/>
              <w:marRight w:val="0"/>
              <w:marTop w:val="0"/>
              <w:marBottom w:val="0"/>
              <w:divBdr>
                <w:top w:val="none" w:sz="0" w:space="0" w:color="auto"/>
                <w:left w:val="none" w:sz="0" w:space="0" w:color="auto"/>
                <w:bottom w:val="none" w:sz="0" w:space="0" w:color="auto"/>
                <w:right w:val="none" w:sz="0" w:space="0" w:color="auto"/>
              </w:divBdr>
            </w:div>
            <w:div w:id="1769501444">
              <w:marLeft w:val="0"/>
              <w:marRight w:val="0"/>
              <w:marTop w:val="0"/>
              <w:marBottom w:val="0"/>
              <w:divBdr>
                <w:top w:val="none" w:sz="0" w:space="0" w:color="auto"/>
                <w:left w:val="none" w:sz="0" w:space="0" w:color="auto"/>
                <w:bottom w:val="none" w:sz="0" w:space="0" w:color="auto"/>
                <w:right w:val="none" w:sz="0" w:space="0" w:color="auto"/>
              </w:divBdr>
            </w:div>
            <w:div w:id="2145803810">
              <w:marLeft w:val="0"/>
              <w:marRight w:val="0"/>
              <w:marTop w:val="0"/>
              <w:marBottom w:val="0"/>
              <w:divBdr>
                <w:top w:val="none" w:sz="0" w:space="0" w:color="auto"/>
                <w:left w:val="none" w:sz="0" w:space="0" w:color="auto"/>
                <w:bottom w:val="none" w:sz="0" w:space="0" w:color="auto"/>
                <w:right w:val="none" w:sz="0" w:space="0" w:color="auto"/>
              </w:divBdr>
            </w:div>
          </w:divsChild>
        </w:div>
        <w:div w:id="608656960">
          <w:marLeft w:val="0"/>
          <w:marRight w:val="0"/>
          <w:marTop w:val="0"/>
          <w:marBottom w:val="0"/>
          <w:divBdr>
            <w:top w:val="none" w:sz="0" w:space="0" w:color="auto"/>
            <w:left w:val="none" w:sz="0" w:space="0" w:color="auto"/>
            <w:bottom w:val="none" w:sz="0" w:space="0" w:color="auto"/>
            <w:right w:val="none" w:sz="0" w:space="0" w:color="auto"/>
          </w:divBdr>
          <w:divsChild>
            <w:div w:id="87506199">
              <w:marLeft w:val="0"/>
              <w:marRight w:val="0"/>
              <w:marTop w:val="0"/>
              <w:marBottom w:val="0"/>
              <w:divBdr>
                <w:top w:val="none" w:sz="0" w:space="0" w:color="auto"/>
                <w:left w:val="none" w:sz="0" w:space="0" w:color="auto"/>
                <w:bottom w:val="none" w:sz="0" w:space="0" w:color="auto"/>
                <w:right w:val="none" w:sz="0" w:space="0" w:color="auto"/>
              </w:divBdr>
            </w:div>
          </w:divsChild>
        </w:div>
        <w:div w:id="680737140">
          <w:marLeft w:val="0"/>
          <w:marRight w:val="0"/>
          <w:marTop w:val="0"/>
          <w:marBottom w:val="0"/>
          <w:divBdr>
            <w:top w:val="none" w:sz="0" w:space="0" w:color="auto"/>
            <w:left w:val="none" w:sz="0" w:space="0" w:color="auto"/>
            <w:bottom w:val="none" w:sz="0" w:space="0" w:color="auto"/>
            <w:right w:val="none" w:sz="0" w:space="0" w:color="auto"/>
          </w:divBdr>
          <w:divsChild>
            <w:div w:id="454908225">
              <w:marLeft w:val="0"/>
              <w:marRight w:val="0"/>
              <w:marTop w:val="0"/>
              <w:marBottom w:val="0"/>
              <w:divBdr>
                <w:top w:val="none" w:sz="0" w:space="0" w:color="auto"/>
                <w:left w:val="none" w:sz="0" w:space="0" w:color="auto"/>
                <w:bottom w:val="none" w:sz="0" w:space="0" w:color="auto"/>
                <w:right w:val="none" w:sz="0" w:space="0" w:color="auto"/>
              </w:divBdr>
            </w:div>
          </w:divsChild>
        </w:div>
        <w:div w:id="709037252">
          <w:marLeft w:val="0"/>
          <w:marRight w:val="0"/>
          <w:marTop w:val="0"/>
          <w:marBottom w:val="0"/>
          <w:divBdr>
            <w:top w:val="none" w:sz="0" w:space="0" w:color="auto"/>
            <w:left w:val="none" w:sz="0" w:space="0" w:color="auto"/>
            <w:bottom w:val="none" w:sz="0" w:space="0" w:color="auto"/>
            <w:right w:val="none" w:sz="0" w:space="0" w:color="auto"/>
          </w:divBdr>
          <w:divsChild>
            <w:div w:id="1446923694">
              <w:marLeft w:val="0"/>
              <w:marRight w:val="0"/>
              <w:marTop w:val="0"/>
              <w:marBottom w:val="0"/>
              <w:divBdr>
                <w:top w:val="none" w:sz="0" w:space="0" w:color="auto"/>
                <w:left w:val="none" w:sz="0" w:space="0" w:color="auto"/>
                <w:bottom w:val="none" w:sz="0" w:space="0" w:color="auto"/>
                <w:right w:val="none" w:sz="0" w:space="0" w:color="auto"/>
              </w:divBdr>
            </w:div>
          </w:divsChild>
        </w:div>
        <w:div w:id="801114436">
          <w:marLeft w:val="0"/>
          <w:marRight w:val="0"/>
          <w:marTop w:val="0"/>
          <w:marBottom w:val="0"/>
          <w:divBdr>
            <w:top w:val="none" w:sz="0" w:space="0" w:color="auto"/>
            <w:left w:val="none" w:sz="0" w:space="0" w:color="auto"/>
            <w:bottom w:val="none" w:sz="0" w:space="0" w:color="auto"/>
            <w:right w:val="none" w:sz="0" w:space="0" w:color="auto"/>
          </w:divBdr>
          <w:divsChild>
            <w:div w:id="405030137">
              <w:marLeft w:val="0"/>
              <w:marRight w:val="0"/>
              <w:marTop w:val="0"/>
              <w:marBottom w:val="0"/>
              <w:divBdr>
                <w:top w:val="none" w:sz="0" w:space="0" w:color="auto"/>
                <w:left w:val="none" w:sz="0" w:space="0" w:color="auto"/>
                <w:bottom w:val="none" w:sz="0" w:space="0" w:color="auto"/>
                <w:right w:val="none" w:sz="0" w:space="0" w:color="auto"/>
              </w:divBdr>
            </w:div>
          </w:divsChild>
        </w:div>
        <w:div w:id="829979303">
          <w:marLeft w:val="0"/>
          <w:marRight w:val="0"/>
          <w:marTop w:val="0"/>
          <w:marBottom w:val="0"/>
          <w:divBdr>
            <w:top w:val="none" w:sz="0" w:space="0" w:color="auto"/>
            <w:left w:val="none" w:sz="0" w:space="0" w:color="auto"/>
            <w:bottom w:val="none" w:sz="0" w:space="0" w:color="auto"/>
            <w:right w:val="none" w:sz="0" w:space="0" w:color="auto"/>
          </w:divBdr>
          <w:divsChild>
            <w:div w:id="1525751274">
              <w:marLeft w:val="0"/>
              <w:marRight w:val="0"/>
              <w:marTop w:val="0"/>
              <w:marBottom w:val="0"/>
              <w:divBdr>
                <w:top w:val="none" w:sz="0" w:space="0" w:color="auto"/>
                <w:left w:val="none" w:sz="0" w:space="0" w:color="auto"/>
                <w:bottom w:val="none" w:sz="0" w:space="0" w:color="auto"/>
                <w:right w:val="none" w:sz="0" w:space="0" w:color="auto"/>
              </w:divBdr>
            </w:div>
          </w:divsChild>
        </w:div>
        <w:div w:id="839854848">
          <w:marLeft w:val="0"/>
          <w:marRight w:val="0"/>
          <w:marTop w:val="0"/>
          <w:marBottom w:val="0"/>
          <w:divBdr>
            <w:top w:val="none" w:sz="0" w:space="0" w:color="auto"/>
            <w:left w:val="none" w:sz="0" w:space="0" w:color="auto"/>
            <w:bottom w:val="none" w:sz="0" w:space="0" w:color="auto"/>
            <w:right w:val="none" w:sz="0" w:space="0" w:color="auto"/>
          </w:divBdr>
          <w:divsChild>
            <w:div w:id="351149686">
              <w:marLeft w:val="0"/>
              <w:marRight w:val="0"/>
              <w:marTop w:val="0"/>
              <w:marBottom w:val="0"/>
              <w:divBdr>
                <w:top w:val="none" w:sz="0" w:space="0" w:color="auto"/>
                <w:left w:val="none" w:sz="0" w:space="0" w:color="auto"/>
                <w:bottom w:val="none" w:sz="0" w:space="0" w:color="auto"/>
                <w:right w:val="none" w:sz="0" w:space="0" w:color="auto"/>
              </w:divBdr>
            </w:div>
          </w:divsChild>
        </w:div>
        <w:div w:id="985670930">
          <w:marLeft w:val="0"/>
          <w:marRight w:val="0"/>
          <w:marTop w:val="0"/>
          <w:marBottom w:val="0"/>
          <w:divBdr>
            <w:top w:val="none" w:sz="0" w:space="0" w:color="auto"/>
            <w:left w:val="none" w:sz="0" w:space="0" w:color="auto"/>
            <w:bottom w:val="none" w:sz="0" w:space="0" w:color="auto"/>
            <w:right w:val="none" w:sz="0" w:space="0" w:color="auto"/>
          </w:divBdr>
          <w:divsChild>
            <w:div w:id="1689260215">
              <w:marLeft w:val="0"/>
              <w:marRight w:val="0"/>
              <w:marTop w:val="0"/>
              <w:marBottom w:val="0"/>
              <w:divBdr>
                <w:top w:val="none" w:sz="0" w:space="0" w:color="auto"/>
                <w:left w:val="none" w:sz="0" w:space="0" w:color="auto"/>
                <w:bottom w:val="none" w:sz="0" w:space="0" w:color="auto"/>
                <w:right w:val="none" w:sz="0" w:space="0" w:color="auto"/>
              </w:divBdr>
            </w:div>
          </w:divsChild>
        </w:div>
        <w:div w:id="1157067183">
          <w:marLeft w:val="0"/>
          <w:marRight w:val="0"/>
          <w:marTop w:val="0"/>
          <w:marBottom w:val="0"/>
          <w:divBdr>
            <w:top w:val="none" w:sz="0" w:space="0" w:color="auto"/>
            <w:left w:val="none" w:sz="0" w:space="0" w:color="auto"/>
            <w:bottom w:val="none" w:sz="0" w:space="0" w:color="auto"/>
            <w:right w:val="none" w:sz="0" w:space="0" w:color="auto"/>
          </w:divBdr>
          <w:divsChild>
            <w:div w:id="865479815">
              <w:marLeft w:val="0"/>
              <w:marRight w:val="0"/>
              <w:marTop w:val="0"/>
              <w:marBottom w:val="0"/>
              <w:divBdr>
                <w:top w:val="none" w:sz="0" w:space="0" w:color="auto"/>
                <w:left w:val="none" w:sz="0" w:space="0" w:color="auto"/>
                <w:bottom w:val="none" w:sz="0" w:space="0" w:color="auto"/>
                <w:right w:val="none" w:sz="0" w:space="0" w:color="auto"/>
              </w:divBdr>
            </w:div>
          </w:divsChild>
        </w:div>
        <w:div w:id="1175075279">
          <w:marLeft w:val="0"/>
          <w:marRight w:val="0"/>
          <w:marTop w:val="0"/>
          <w:marBottom w:val="0"/>
          <w:divBdr>
            <w:top w:val="none" w:sz="0" w:space="0" w:color="auto"/>
            <w:left w:val="none" w:sz="0" w:space="0" w:color="auto"/>
            <w:bottom w:val="none" w:sz="0" w:space="0" w:color="auto"/>
            <w:right w:val="none" w:sz="0" w:space="0" w:color="auto"/>
          </w:divBdr>
          <w:divsChild>
            <w:div w:id="973218904">
              <w:marLeft w:val="0"/>
              <w:marRight w:val="0"/>
              <w:marTop w:val="0"/>
              <w:marBottom w:val="0"/>
              <w:divBdr>
                <w:top w:val="none" w:sz="0" w:space="0" w:color="auto"/>
                <w:left w:val="none" w:sz="0" w:space="0" w:color="auto"/>
                <w:bottom w:val="none" w:sz="0" w:space="0" w:color="auto"/>
                <w:right w:val="none" w:sz="0" w:space="0" w:color="auto"/>
              </w:divBdr>
            </w:div>
          </w:divsChild>
        </w:div>
        <w:div w:id="1179083826">
          <w:marLeft w:val="0"/>
          <w:marRight w:val="0"/>
          <w:marTop w:val="0"/>
          <w:marBottom w:val="0"/>
          <w:divBdr>
            <w:top w:val="none" w:sz="0" w:space="0" w:color="auto"/>
            <w:left w:val="none" w:sz="0" w:space="0" w:color="auto"/>
            <w:bottom w:val="none" w:sz="0" w:space="0" w:color="auto"/>
            <w:right w:val="none" w:sz="0" w:space="0" w:color="auto"/>
          </w:divBdr>
          <w:divsChild>
            <w:div w:id="458035907">
              <w:marLeft w:val="0"/>
              <w:marRight w:val="0"/>
              <w:marTop w:val="0"/>
              <w:marBottom w:val="0"/>
              <w:divBdr>
                <w:top w:val="none" w:sz="0" w:space="0" w:color="auto"/>
                <w:left w:val="none" w:sz="0" w:space="0" w:color="auto"/>
                <w:bottom w:val="none" w:sz="0" w:space="0" w:color="auto"/>
                <w:right w:val="none" w:sz="0" w:space="0" w:color="auto"/>
              </w:divBdr>
            </w:div>
            <w:div w:id="2104763685">
              <w:marLeft w:val="0"/>
              <w:marRight w:val="0"/>
              <w:marTop w:val="0"/>
              <w:marBottom w:val="0"/>
              <w:divBdr>
                <w:top w:val="none" w:sz="0" w:space="0" w:color="auto"/>
                <w:left w:val="none" w:sz="0" w:space="0" w:color="auto"/>
                <w:bottom w:val="none" w:sz="0" w:space="0" w:color="auto"/>
                <w:right w:val="none" w:sz="0" w:space="0" w:color="auto"/>
              </w:divBdr>
            </w:div>
          </w:divsChild>
        </w:div>
        <w:div w:id="1286809717">
          <w:marLeft w:val="0"/>
          <w:marRight w:val="0"/>
          <w:marTop w:val="0"/>
          <w:marBottom w:val="0"/>
          <w:divBdr>
            <w:top w:val="none" w:sz="0" w:space="0" w:color="auto"/>
            <w:left w:val="none" w:sz="0" w:space="0" w:color="auto"/>
            <w:bottom w:val="none" w:sz="0" w:space="0" w:color="auto"/>
            <w:right w:val="none" w:sz="0" w:space="0" w:color="auto"/>
          </w:divBdr>
          <w:divsChild>
            <w:div w:id="1315373191">
              <w:marLeft w:val="0"/>
              <w:marRight w:val="0"/>
              <w:marTop w:val="0"/>
              <w:marBottom w:val="0"/>
              <w:divBdr>
                <w:top w:val="none" w:sz="0" w:space="0" w:color="auto"/>
                <w:left w:val="none" w:sz="0" w:space="0" w:color="auto"/>
                <w:bottom w:val="none" w:sz="0" w:space="0" w:color="auto"/>
                <w:right w:val="none" w:sz="0" w:space="0" w:color="auto"/>
              </w:divBdr>
            </w:div>
          </w:divsChild>
        </w:div>
        <w:div w:id="1578443045">
          <w:marLeft w:val="0"/>
          <w:marRight w:val="0"/>
          <w:marTop w:val="0"/>
          <w:marBottom w:val="0"/>
          <w:divBdr>
            <w:top w:val="none" w:sz="0" w:space="0" w:color="auto"/>
            <w:left w:val="none" w:sz="0" w:space="0" w:color="auto"/>
            <w:bottom w:val="none" w:sz="0" w:space="0" w:color="auto"/>
            <w:right w:val="none" w:sz="0" w:space="0" w:color="auto"/>
          </w:divBdr>
          <w:divsChild>
            <w:div w:id="1693532370">
              <w:marLeft w:val="0"/>
              <w:marRight w:val="0"/>
              <w:marTop w:val="0"/>
              <w:marBottom w:val="0"/>
              <w:divBdr>
                <w:top w:val="none" w:sz="0" w:space="0" w:color="auto"/>
                <w:left w:val="none" w:sz="0" w:space="0" w:color="auto"/>
                <w:bottom w:val="none" w:sz="0" w:space="0" w:color="auto"/>
                <w:right w:val="none" w:sz="0" w:space="0" w:color="auto"/>
              </w:divBdr>
            </w:div>
          </w:divsChild>
        </w:div>
        <w:div w:id="1584097530">
          <w:marLeft w:val="0"/>
          <w:marRight w:val="0"/>
          <w:marTop w:val="0"/>
          <w:marBottom w:val="0"/>
          <w:divBdr>
            <w:top w:val="none" w:sz="0" w:space="0" w:color="auto"/>
            <w:left w:val="none" w:sz="0" w:space="0" w:color="auto"/>
            <w:bottom w:val="none" w:sz="0" w:space="0" w:color="auto"/>
            <w:right w:val="none" w:sz="0" w:space="0" w:color="auto"/>
          </w:divBdr>
          <w:divsChild>
            <w:div w:id="1441874437">
              <w:marLeft w:val="0"/>
              <w:marRight w:val="0"/>
              <w:marTop w:val="0"/>
              <w:marBottom w:val="0"/>
              <w:divBdr>
                <w:top w:val="none" w:sz="0" w:space="0" w:color="auto"/>
                <w:left w:val="none" w:sz="0" w:space="0" w:color="auto"/>
                <w:bottom w:val="none" w:sz="0" w:space="0" w:color="auto"/>
                <w:right w:val="none" w:sz="0" w:space="0" w:color="auto"/>
              </w:divBdr>
            </w:div>
          </w:divsChild>
        </w:div>
        <w:div w:id="1610770197">
          <w:marLeft w:val="0"/>
          <w:marRight w:val="0"/>
          <w:marTop w:val="0"/>
          <w:marBottom w:val="0"/>
          <w:divBdr>
            <w:top w:val="none" w:sz="0" w:space="0" w:color="auto"/>
            <w:left w:val="none" w:sz="0" w:space="0" w:color="auto"/>
            <w:bottom w:val="none" w:sz="0" w:space="0" w:color="auto"/>
            <w:right w:val="none" w:sz="0" w:space="0" w:color="auto"/>
          </w:divBdr>
          <w:divsChild>
            <w:div w:id="15740643">
              <w:marLeft w:val="0"/>
              <w:marRight w:val="0"/>
              <w:marTop w:val="0"/>
              <w:marBottom w:val="0"/>
              <w:divBdr>
                <w:top w:val="none" w:sz="0" w:space="0" w:color="auto"/>
                <w:left w:val="none" w:sz="0" w:space="0" w:color="auto"/>
                <w:bottom w:val="none" w:sz="0" w:space="0" w:color="auto"/>
                <w:right w:val="none" w:sz="0" w:space="0" w:color="auto"/>
              </w:divBdr>
            </w:div>
          </w:divsChild>
        </w:div>
        <w:div w:id="1617710214">
          <w:marLeft w:val="0"/>
          <w:marRight w:val="0"/>
          <w:marTop w:val="0"/>
          <w:marBottom w:val="0"/>
          <w:divBdr>
            <w:top w:val="none" w:sz="0" w:space="0" w:color="auto"/>
            <w:left w:val="none" w:sz="0" w:space="0" w:color="auto"/>
            <w:bottom w:val="none" w:sz="0" w:space="0" w:color="auto"/>
            <w:right w:val="none" w:sz="0" w:space="0" w:color="auto"/>
          </w:divBdr>
          <w:divsChild>
            <w:div w:id="1361904449">
              <w:marLeft w:val="0"/>
              <w:marRight w:val="0"/>
              <w:marTop w:val="0"/>
              <w:marBottom w:val="0"/>
              <w:divBdr>
                <w:top w:val="none" w:sz="0" w:space="0" w:color="auto"/>
                <w:left w:val="none" w:sz="0" w:space="0" w:color="auto"/>
                <w:bottom w:val="none" w:sz="0" w:space="0" w:color="auto"/>
                <w:right w:val="none" w:sz="0" w:space="0" w:color="auto"/>
              </w:divBdr>
            </w:div>
          </w:divsChild>
        </w:div>
        <w:div w:id="1651135799">
          <w:marLeft w:val="0"/>
          <w:marRight w:val="0"/>
          <w:marTop w:val="0"/>
          <w:marBottom w:val="0"/>
          <w:divBdr>
            <w:top w:val="none" w:sz="0" w:space="0" w:color="auto"/>
            <w:left w:val="none" w:sz="0" w:space="0" w:color="auto"/>
            <w:bottom w:val="none" w:sz="0" w:space="0" w:color="auto"/>
            <w:right w:val="none" w:sz="0" w:space="0" w:color="auto"/>
          </w:divBdr>
          <w:divsChild>
            <w:div w:id="950211735">
              <w:marLeft w:val="0"/>
              <w:marRight w:val="0"/>
              <w:marTop w:val="0"/>
              <w:marBottom w:val="0"/>
              <w:divBdr>
                <w:top w:val="none" w:sz="0" w:space="0" w:color="auto"/>
                <w:left w:val="none" w:sz="0" w:space="0" w:color="auto"/>
                <w:bottom w:val="none" w:sz="0" w:space="0" w:color="auto"/>
                <w:right w:val="none" w:sz="0" w:space="0" w:color="auto"/>
              </w:divBdr>
            </w:div>
            <w:div w:id="1371999261">
              <w:marLeft w:val="0"/>
              <w:marRight w:val="0"/>
              <w:marTop w:val="0"/>
              <w:marBottom w:val="0"/>
              <w:divBdr>
                <w:top w:val="none" w:sz="0" w:space="0" w:color="auto"/>
                <w:left w:val="none" w:sz="0" w:space="0" w:color="auto"/>
                <w:bottom w:val="none" w:sz="0" w:space="0" w:color="auto"/>
                <w:right w:val="none" w:sz="0" w:space="0" w:color="auto"/>
              </w:divBdr>
            </w:div>
            <w:div w:id="1424956460">
              <w:marLeft w:val="0"/>
              <w:marRight w:val="0"/>
              <w:marTop w:val="0"/>
              <w:marBottom w:val="0"/>
              <w:divBdr>
                <w:top w:val="none" w:sz="0" w:space="0" w:color="auto"/>
                <w:left w:val="none" w:sz="0" w:space="0" w:color="auto"/>
                <w:bottom w:val="none" w:sz="0" w:space="0" w:color="auto"/>
                <w:right w:val="none" w:sz="0" w:space="0" w:color="auto"/>
              </w:divBdr>
            </w:div>
          </w:divsChild>
        </w:div>
        <w:div w:id="1656645253">
          <w:marLeft w:val="0"/>
          <w:marRight w:val="0"/>
          <w:marTop w:val="0"/>
          <w:marBottom w:val="0"/>
          <w:divBdr>
            <w:top w:val="none" w:sz="0" w:space="0" w:color="auto"/>
            <w:left w:val="none" w:sz="0" w:space="0" w:color="auto"/>
            <w:bottom w:val="none" w:sz="0" w:space="0" w:color="auto"/>
            <w:right w:val="none" w:sz="0" w:space="0" w:color="auto"/>
          </w:divBdr>
          <w:divsChild>
            <w:div w:id="1537156565">
              <w:marLeft w:val="0"/>
              <w:marRight w:val="0"/>
              <w:marTop w:val="0"/>
              <w:marBottom w:val="0"/>
              <w:divBdr>
                <w:top w:val="none" w:sz="0" w:space="0" w:color="auto"/>
                <w:left w:val="none" w:sz="0" w:space="0" w:color="auto"/>
                <w:bottom w:val="none" w:sz="0" w:space="0" w:color="auto"/>
                <w:right w:val="none" w:sz="0" w:space="0" w:color="auto"/>
              </w:divBdr>
            </w:div>
          </w:divsChild>
        </w:div>
        <w:div w:id="1701280205">
          <w:marLeft w:val="0"/>
          <w:marRight w:val="0"/>
          <w:marTop w:val="0"/>
          <w:marBottom w:val="0"/>
          <w:divBdr>
            <w:top w:val="none" w:sz="0" w:space="0" w:color="auto"/>
            <w:left w:val="none" w:sz="0" w:space="0" w:color="auto"/>
            <w:bottom w:val="none" w:sz="0" w:space="0" w:color="auto"/>
            <w:right w:val="none" w:sz="0" w:space="0" w:color="auto"/>
          </w:divBdr>
          <w:divsChild>
            <w:div w:id="1799910244">
              <w:marLeft w:val="0"/>
              <w:marRight w:val="0"/>
              <w:marTop w:val="0"/>
              <w:marBottom w:val="0"/>
              <w:divBdr>
                <w:top w:val="none" w:sz="0" w:space="0" w:color="auto"/>
                <w:left w:val="none" w:sz="0" w:space="0" w:color="auto"/>
                <w:bottom w:val="none" w:sz="0" w:space="0" w:color="auto"/>
                <w:right w:val="none" w:sz="0" w:space="0" w:color="auto"/>
              </w:divBdr>
            </w:div>
          </w:divsChild>
        </w:div>
        <w:div w:id="1719669034">
          <w:marLeft w:val="0"/>
          <w:marRight w:val="0"/>
          <w:marTop w:val="0"/>
          <w:marBottom w:val="0"/>
          <w:divBdr>
            <w:top w:val="none" w:sz="0" w:space="0" w:color="auto"/>
            <w:left w:val="none" w:sz="0" w:space="0" w:color="auto"/>
            <w:bottom w:val="none" w:sz="0" w:space="0" w:color="auto"/>
            <w:right w:val="none" w:sz="0" w:space="0" w:color="auto"/>
          </w:divBdr>
          <w:divsChild>
            <w:div w:id="477963843">
              <w:marLeft w:val="0"/>
              <w:marRight w:val="0"/>
              <w:marTop w:val="0"/>
              <w:marBottom w:val="0"/>
              <w:divBdr>
                <w:top w:val="none" w:sz="0" w:space="0" w:color="auto"/>
                <w:left w:val="none" w:sz="0" w:space="0" w:color="auto"/>
                <w:bottom w:val="none" w:sz="0" w:space="0" w:color="auto"/>
                <w:right w:val="none" w:sz="0" w:space="0" w:color="auto"/>
              </w:divBdr>
            </w:div>
          </w:divsChild>
        </w:div>
        <w:div w:id="1734546738">
          <w:marLeft w:val="0"/>
          <w:marRight w:val="0"/>
          <w:marTop w:val="0"/>
          <w:marBottom w:val="0"/>
          <w:divBdr>
            <w:top w:val="none" w:sz="0" w:space="0" w:color="auto"/>
            <w:left w:val="none" w:sz="0" w:space="0" w:color="auto"/>
            <w:bottom w:val="none" w:sz="0" w:space="0" w:color="auto"/>
            <w:right w:val="none" w:sz="0" w:space="0" w:color="auto"/>
          </w:divBdr>
          <w:divsChild>
            <w:div w:id="1966891851">
              <w:marLeft w:val="0"/>
              <w:marRight w:val="0"/>
              <w:marTop w:val="0"/>
              <w:marBottom w:val="0"/>
              <w:divBdr>
                <w:top w:val="none" w:sz="0" w:space="0" w:color="auto"/>
                <w:left w:val="none" w:sz="0" w:space="0" w:color="auto"/>
                <w:bottom w:val="none" w:sz="0" w:space="0" w:color="auto"/>
                <w:right w:val="none" w:sz="0" w:space="0" w:color="auto"/>
              </w:divBdr>
            </w:div>
          </w:divsChild>
        </w:div>
        <w:div w:id="1791128009">
          <w:marLeft w:val="0"/>
          <w:marRight w:val="0"/>
          <w:marTop w:val="0"/>
          <w:marBottom w:val="0"/>
          <w:divBdr>
            <w:top w:val="none" w:sz="0" w:space="0" w:color="auto"/>
            <w:left w:val="none" w:sz="0" w:space="0" w:color="auto"/>
            <w:bottom w:val="none" w:sz="0" w:space="0" w:color="auto"/>
            <w:right w:val="none" w:sz="0" w:space="0" w:color="auto"/>
          </w:divBdr>
          <w:divsChild>
            <w:div w:id="1039086995">
              <w:marLeft w:val="0"/>
              <w:marRight w:val="0"/>
              <w:marTop w:val="0"/>
              <w:marBottom w:val="0"/>
              <w:divBdr>
                <w:top w:val="none" w:sz="0" w:space="0" w:color="auto"/>
                <w:left w:val="none" w:sz="0" w:space="0" w:color="auto"/>
                <w:bottom w:val="none" w:sz="0" w:space="0" w:color="auto"/>
                <w:right w:val="none" w:sz="0" w:space="0" w:color="auto"/>
              </w:divBdr>
            </w:div>
          </w:divsChild>
        </w:div>
        <w:div w:id="1794246491">
          <w:marLeft w:val="0"/>
          <w:marRight w:val="0"/>
          <w:marTop w:val="0"/>
          <w:marBottom w:val="0"/>
          <w:divBdr>
            <w:top w:val="none" w:sz="0" w:space="0" w:color="auto"/>
            <w:left w:val="none" w:sz="0" w:space="0" w:color="auto"/>
            <w:bottom w:val="none" w:sz="0" w:space="0" w:color="auto"/>
            <w:right w:val="none" w:sz="0" w:space="0" w:color="auto"/>
          </w:divBdr>
          <w:divsChild>
            <w:div w:id="728921336">
              <w:marLeft w:val="0"/>
              <w:marRight w:val="0"/>
              <w:marTop w:val="0"/>
              <w:marBottom w:val="0"/>
              <w:divBdr>
                <w:top w:val="none" w:sz="0" w:space="0" w:color="auto"/>
                <w:left w:val="none" w:sz="0" w:space="0" w:color="auto"/>
                <w:bottom w:val="none" w:sz="0" w:space="0" w:color="auto"/>
                <w:right w:val="none" w:sz="0" w:space="0" w:color="auto"/>
              </w:divBdr>
            </w:div>
          </w:divsChild>
        </w:div>
        <w:div w:id="1918854543">
          <w:marLeft w:val="0"/>
          <w:marRight w:val="0"/>
          <w:marTop w:val="0"/>
          <w:marBottom w:val="0"/>
          <w:divBdr>
            <w:top w:val="none" w:sz="0" w:space="0" w:color="auto"/>
            <w:left w:val="none" w:sz="0" w:space="0" w:color="auto"/>
            <w:bottom w:val="none" w:sz="0" w:space="0" w:color="auto"/>
            <w:right w:val="none" w:sz="0" w:space="0" w:color="auto"/>
          </w:divBdr>
          <w:divsChild>
            <w:div w:id="458765368">
              <w:marLeft w:val="0"/>
              <w:marRight w:val="0"/>
              <w:marTop w:val="0"/>
              <w:marBottom w:val="0"/>
              <w:divBdr>
                <w:top w:val="none" w:sz="0" w:space="0" w:color="auto"/>
                <w:left w:val="none" w:sz="0" w:space="0" w:color="auto"/>
                <w:bottom w:val="none" w:sz="0" w:space="0" w:color="auto"/>
                <w:right w:val="none" w:sz="0" w:space="0" w:color="auto"/>
              </w:divBdr>
            </w:div>
          </w:divsChild>
        </w:div>
        <w:div w:id="1946114269">
          <w:marLeft w:val="0"/>
          <w:marRight w:val="0"/>
          <w:marTop w:val="0"/>
          <w:marBottom w:val="0"/>
          <w:divBdr>
            <w:top w:val="none" w:sz="0" w:space="0" w:color="auto"/>
            <w:left w:val="none" w:sz="0" w:space="0" w:color="auto"/>
            <w:bottom w:val="none" w:sz="0" w:space="0" w:color="auto"/>
            <w:right w:val="none" w:sz="0" w:space="0" w:color="auto"/>
          </w:divBdr>
          <w:divsChild>
            <w:div w:id="513769364">
              <w:marLeft w:val="0"/>
              <w:marRight w:val="0"/>
              <w:marTop w:val="0"/>
              <w:marBottom w:val="0"/>
              <w:divBdr>
                <w:top w:val="none" w:sz="0" w:space="0" w:color="auto"/>
                <w:left w:val="none" w:sz="0" w:space="0" w:color="auto"/>
                <w:bottom w:val="none" w:sz="0" w:space="0" w:color="auto"/>
                <w:right w:val="none" w:sz="0" w:space="0" w:color="auto"/>
              </w:divBdr>
            </w:div>
          </w:divsChild>
        </w:div>
        <w:div w:id="2002540510">
          <w:marLeft w:val="0"/>
          <w:marRight w:val="0"/>
          <w:marTop w:val="0"/>
          <w:marBottom w:val="0"/>
          <w:divBdr>
            <w:top w:val="none" w:sz="0" w:space="0" w:color="auto"/>
            <w:left w:val="none" w:sz="0" w:space="0" w:color="auto"/>
            <w:bottom w:val="none" w:sz="0" w:space="0" w:color="auto"/>
            <w:right w:val="none" w:sz="0" w:space="0" w:color="auto"/>
          </w:divBdr>
          <w:divsChild>
            <w:div w:id="1105226953">
              <w:marLeft w:val="0"/>
              <w:marRight w:val="0"/>
              <w:marTop w:val="0"/>
              <w:marBottom w:val="0"/>
              <w:divBdr>
                <w:top w:val="none" w:sz="0" w:space="0" w:color="auto"/>
                <w:left w:val="none" w:sz="0" w:space="0" w:color="auto"/>
                <w:bottom w:val="none" w:sz="0" w:space="0" w:color="auto"/>
                <w:right w:val="none" w:sz="0" w:space="0" w:color="auto"/>
              </w:divBdr>
            </w:div>
          </w:divsChild>
        </w:div>
        <w:div w:id="2051998211">
          <w:marLeft w:val="0"/>
          <w:marRight w:val="0"/>
          <w:marTop w:val="0"/>
          <w:marBottom w:val="0"/>
          <w:divBdr>
            <w:top w:val="none" w:sz="0" w:space="0" w:color="auto"/>
            <w:left w:val="none" w:sz="0" w:space="0" w:color="auto"/>
            <w:bottom w:val="none" w:sz="0" w:space="0" w:color="auto"/>
            <w:right w:val="none" w:sz="0" w:space="0" w:color="auto"/>
          </w:divBdr>
          <w:divsChild>
            <w:div w:id="659845371">
              <w:marLeft w:val="0"/>
              <w:marRight w:val="0"/>
              <w:marTop w:val="0"/>
              <w:marBottom w:val="0"/>
              <w:divBdr>
                <w:top w:val="none" w:sz="0" w:space="0" w:color="auto"/>
                <w:left w:val="none" w:sz="0" w:space="0" w:color="auto"/>
                <w:bottom w:val="none" w:sz="0" w:space="0" w:color="auto"/>
                <w:right w:val="none" w:sz="0" w:space="0" w:color="auto"/>
              </w:divBdr>
            </w:div>
          </w:divsChild>
        </w:div>
        <w:div w:id="2068599565">
          <w:marLeft w:val="0"/>
          <w:marRight w:val="0"/>
          <w:marTop w:val="0"/>
          <w:marBottom w:val="0"/>
          <w:divBdr>
            <w:top w:val="none" w:sz="0" w:space="0" w:color="auto"/>
            <w:left w:val="none" w:sz="0" w:space="0" w:color="auto"/>
            <w:bottom w:val="none" w:sz="0" w:space="0" w:color="auto"/>
            <w:right w:val="none" w:sz="0" w:space="0" w:color="auto"/>
          </w:divBdr>
          <w:divsChild>
            <w:div w:id="983198210">
              <w:marLeft w:val="0"/>
              <w:marRight w:val="0"/>
              <w:marTop w:val="0"/>
              <w:marBottom w:val="0"/>
              <w:divBdr>
                <w:top w:val="none" w:sz="0" w:space="0" w:color="auto"/>
                <w:left w:val="none" w:sz="0" w:space="0" w:color="auto"/>
                <w:bottom w:val="none" w:sz="0" w:space="0" w:color="auto"/>
                <w:right w:val="none" w:sz="0" w:space="0" w:color="auto"/>
              </w:divBdr>
            </w:div>
          </w:divsChild>
        </w:div>
        <w:div w:id="2095933043">
          <w:marLeft w:val="0"/>
          <w:marRight w:val="0"/>
          <w:marTop w:val="0"/>
          <w:marBottom w:val="0"/>
          <w:divBdr>
            <w:top w:val="none" w:sz="0" w:space="0" w:color="auto"/>
            <w:left w:val="none" w:sz="0" w:space="0" w:color="auto"/>
            <w:bottom w:val="none" w:sz="0" w:space="0" w:color="auto"/>
            <w:right w:val="none" w:sz="0" w:space="0" w:color="auto"/>
          </w:divBdr>
          <w:divsChild>
            <w:div w:id="19996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066388">
      <w:bodyDiv w:val="1"/>
      <w:marLeft w:val="0"/>
      <w:marRight w:val="0"/>
      <w:marTop w:val="0"/>
      <w:marBottom w:val="0"/>
      <w:divBdr>
        <w:top w:val="none" w:sz="0" w:space="0" w:color="auto"/>
        <w:left w:val="none" w:sz="0" w:space="0" w:color="auto"/>
        <w:bottom w:val="none" w:sz="0" w:space="0" w:color="auto"/>
        <w:right w:val="none" w:sz="0" w:space="0" w:color="auto"/>
      </w:divBdr>
      <w:divsChild>
        <w:div w:id="2054186640">
          <w:marLeft w:val="0"/>
          <w:marRight w:val="0"/>
          <w:marTop w:val="0"/>
          <w:marBottom w:val="0"/>
          <w:divBdr>
            <w:top w:val="none" w:sz="0" w:space="0" w:color="auto"/>
            <w:left w:val="none" w:sz="0" w:space="0" w:color="auto"/>
            <w:bottom w:val="none" w:sz="0" w:space="0" w:color="auto"/>
            <w:right w:val="none" w:sz="0" w:space="0" w:color="auto"/>
          </w:divBdr>
          <w:divsChild>
            <w:div w:id="1909800374">
              <w:marLeft w:val="0"/>
              <w:marRight w:val="0"/>
              <w:marTop w:val="0"/>
              <w:marBottom w:val="0"/>
              <w:divBdr>
                <w:top w:val="none" w:sz="0" w:space="0" w:color="auto"/>
                <w:left w:val="none" w:sz="0" w:space="0" w:color="auto"/>
                <w:bottom w:val="none" w:sz="0" w:space="0" w:color="auto"/>
                <w:right w:val="none" w:sz="0" w:space="0" w:color="auto"/>
              </w:divBdr>
              <w:divsChild>
                <w:div w:id="2141608736">
                  <w:marLeft w:val="0"/>
                  <w:marRight w:val="0"/>
                  <w:marTop w:val="0"/>
                  <w:marBottom w:val="0"/>
                  <w:divBdr>
                    <w:top w:val="none" w:sz="0" w:space="0" w:color="auto"/>
                    <w:left w:val="none" w:sz="0" w:space="0" w:color="auto"/>
                    <w:bottom w:val="none" w:sz="0" w:space="0" w:color="auto"/>
                    <w:right w:val="none" w:sz="0" w:space="0" w:color="auto"/>
                  </w:divBdr>
                  <w:divsChild>
                    <w:div w:id="1812405717">
                      <w:marLeft w:val="0"/>
                      <w:marRight w:val="0"/>
                      <w:marTop w:val="0"/>
                      <w:marBottom w:val="0"/>
                      <w:divBdr>
                        <w:top w:val="none" w:sz="0" w:space="0" w:color="auto"/>
                        <w:left w:val="none" w:sz="0" w:space="0" w:color="auto"/>
                        <w:bottom w:val="none" w:sz="0" w:space="0" w:color="auto"/>
                        <w:right w:val="none" w:sz="0" w:space="0" w:color="auto"/>
                      </w:divBdr>
                      <w:divsChild>
                        <w:div w:id="868832448">
                          <w:marLeft w:val="0"/>
                          <w:marRight w:val="0"/>
                          <w:marTop w:val="0"/>
                          <w:marBottom w:val="0"/>
                          <w:divBdr>
                            <w:top w:val="none" w:sz="0" w:space="0" w:color="auto"/>
                            <w:left w:val="none" w:sz="0" w:space="0" w:color="auto"/>
                            <w:bottom w:val="none" w:sz="0" w:space="0" w:color="auto"/>
                            <w:right w:val="none" w:sz="0" w:space="0" w:color="auto"/>
                          </w:divBdr>
                          <w:divsChild>
                            <w:div w:id="94561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305465">
      <w:bodyDiv w:val="1"/>
      <w:marLeft w:val="0"/>
      <w:marRight w:val="0"/>
      <w:marTop w:val="0"/>
      <w:marBottom w:val="0"/>
      <w:divBdr>
        <w:top w:val="none" w:sz="0" w:space="0" w:color="auto"/>
        <w:left w:val="none" w:sz="0" w:space="0" w:color="auto"/>
        <w:bottom w:val="none" w:sz="0" w:space="0" w:color="auto"/>
        <w:right w:val="none" w:sz="0" w:space="0" w:color="auto"/>
      </w:divBdr>
    </w:div>
    <w:div w:id="1037125914">
      <w:bodyDiv w:val="1"/>
      <w:marLeft w:val="0"/>
      <w:marRight w:val="0"/>
      <w:marTop w:val="0"/>
      <w:marBottom w:val="0"/>
      <w:divBdr>
        <w:top w:val="none" w:sz="0" w:space="0" w:color="auto"/>
        <w:left w:val="none" w:sz="0" w:space="0" w:color="auto"/>
        <w:bottom w:val="none" w:sz="0" w:space="0" w:color="auto"/>
        <w:right w:val="none" w:sz="0" w:space="0" w:color="auto"/>
      </w:divBdr>
      <w:divsChild>
        <w:div w:id="1632057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0518660">
      <w:bodyDiv w:val="1"/>
      <w:marLeft w:val="0"/>
      <w:marRight w:val="0"/>
      <w:marTop w:val="0"/>
      <w:marBottom w:val="0"/>
      <w:divBdr>
        <w:top w:val="none" w:sz="0" w:space="0" w:color="auto"/>
        <w:left w:val="none" w:sz="0" w:space="0" w:color="auto"/>
        <w:bottom w:val="none" w:sz="0" w:space="0" w:color="auto"/>
        <w:right w:val="none" w:sz="0" w:space="0" w:color="auto"/>
      </w:divBdr>
    </w:div>
    <w:div w:id="1043169043">
      <w:bodyDiv w:val="1"/>
      <w:marLeft w:val="0"/>
      <w:marRight w:val="0"/>
      <w:marTop w:val="0"/>
      <w:marBottom w:val="0"/>
      <w:divBdr>
        <w:top w:val="none" w:sz="0" w:space="0" w:color="auto"/>
        <w:left w:val="none" w:sz="0" w:space="0" w:color="auto"/>
        <w:bottom w:val="none" w:sz="0" w:space="0" w:color="auto"/>
        <w:right w:val="none" w:sz="0" w:space="0" w:color="auto"/>
      </w:divBdr>
      <w:divsChild>
        <w:div w:id="123546653">
          <w:marLeft w:val="0"/>
          <w:marRight w:val="0"/>
          <w:marTop w:val="0"/>
          <w:marBottom w:val="0"/>
          <w:divBdr>
            <w:top w:val="none" w:sz="0" w:space="0" w:color="auto"/>
            <w:left w:val="none" w:sz="0" w:space="0" w:color="auto"/>
            <w:bottom w:val="none" w:sz="0" w:space="0" w:color="auto"/>
            <w:right w:val="none" w:sz="0" w:space="0" w:color="auto"/>
          </w:divBdr>
          <w:divsChild>
            <w:div w:id="1266957626">
              <w:marLeft w:val="0"/>
              <w:marRight w:val="0"/>
              <w:marTop w:val="0"/>
              <w:marBottom w:val="0"/>
              <w:divBdr>
                <w:top w:val="none" w:sz="0" w:space="0" w:color="auto"/>
                <w:left w:val="none" w:sz="0" w:space="0" w:color="auto"/>
                <w:bottom w:val="none" w:sz="0" w:space="0" w:color="auto"/>
                <w:right w:val="none" w:sz="0" w:space="0" w:color="auto"/>
              </w:divBdr>
            </w:div>
          </w:divsChild>
        </w:div>
        <w:div w:id="247203132">
          <w:marLeft w:val="0"/>
          <w:marRight w:val="0"/>
          <w:marTop w:val="0"/>
          <w:marBottom w:val="0"/>
          <w:divBdr>
            <w:top w:val="none" w:sz="0" w:space="0" w:color="auto"/>
            <w:left w:val="none" w:sz="0" w:space="0" w:color="auto"/>
            <w:bottom w:val="none" w:sz="0" w:space="0" w:color="auto"/>
            <w:right w:val="none" w:sz="0" w:space="0" w:color="auto"/>
          </w:divBdr>
          <w:divsChild>
            <w:div w:id="82384895">
              <w:marLeft w:val="0"/>
              <w:marRight w:val="0"/>
              <w:marTop w:val="0"/>
              <w:marBottom w:val="0"/>
              <w:divBdr>
                <w:top w:val="none" w:sz="0" w:space="0" w:color="auto"/>
                <w:left w:val="none" w:sz="0" w:space="0" w:color="auto"/>
                <w:bottom w:val="none" w:sz="0" w:space="0" w:color="auto"/>
                <w:right w:val="none" w:sz="0" w:space="0" w:color="auto"/>
              </w:divBdr>
            </w:div>
          </w:divsChild>
        </w:div>
        <w:div w:id="295985397">
          <w:marLeft w:val="0"/>
          <w:marRight w:val="0"/>
          <w:marTop w:val="0"/>
          <w:marBottom w:val="0"/>
          <w:divBdr>
            <w:top w:val="none" w:sz="0" w:space="0" w:color="auto"/>
            <w:left w:val="none" w:sz="0" w:space="0" w:color="auto"/>
            <w:bottom w:val="none" w:sz="0" w:space="0" w:color="auto"/>
            <w:right w:val="none" w:sz="0" w:space="0" w:color="auto"/>
          </w:divBdr>
          <w:divsChild>
            <w:div w:id="1464155955">
              <w:marLeft w:val="0"/>
              <w:marRight w:val="0"/>
              <w:marTop w:val="0"/>
              <w:marBottom w:val="0"/>
              <w:divBdr>
                <w:top w:val="none" w:sz="0" w:space="0" w:color="auto"/>
                <w:left w:val="none" w:sz="0" w:space="0" w:color="auto"/>
                <w:bottom w:val="none" w:sz="0" w:space="0" w:color="auto"/>
                <w:right w:val="none" w:sz="0" w:space="0" w:color="auto"/>
              </w:divBdr>
            </w:div>
          </w:divsChild>
        </w:div>
        <w:div w:id="364983817">
          <w:marLeft w:val="0"/>
          <w:marRight w:val="0"/>
          <w:marTop w:val="0"/>
          <w:marBottom w:val="0"/>
          <w:divBdr>
            <w:top w:val="none" w:sz="0" w:space="0" w:color="auto"/>
            <w:left w:val="none" w:sz="0" w:space="0" w:color="auto"/>
            <w:bottom w:val="none" w:sz="0" w:space="0" w:color="auto"/>
            <w:right w:val="none" w:sz="0" w:space="0" w:color="auto"/>
          </w:divBdr>
          <w:divsChild>
            <w:div w:id="1551769172">
              <w:marLeft w:val="0"/>
              <w:marRight w:val="0"/>
              <w:marTop w:val="0"/>
              <w:marBottom w:val="0"/>
              <w:divBdr>
                <w:top w:val="none" w:sz="0" w:space="0" w:color="auto"/>
                <w:left w:val="none" w:sz="0" w:space="0" w:color="auto"/>
                <w:bottom w:val="none" w:sz="0" w:space="0" w:color="auto"/>
                <w:right w:val="none" w:sz="0" w:space="0" w:color="auto"/>
              </w:divBdr>
            </w:div>
          </w:divsChild>
        </w:div>
        <w:div w:id="483084209">
          <w:marLeft w:val="0"/>
          <w:marRight w:val="0"/>
          <w:marTop w:val="0"/>
          <w:marBottom w:val="0"/>
          <w:divBdr>
            <w:top w:val="none" w:sz="0" w:space="0" w:color="auto"/>
            <w:left w:val="none" w:sz="0" w:space="0" w:color="auto"/>
            <w:bottom w:val="none" w:sz="0" w:space="0" w:color="auto"/>
            <w:right w:val="none" w:sz="0" w:space="0" w:color="auto"/>
          </w:divBdr>
          <w:divsChild>
            <w:div w:id="1973243560">
              <w:marLeft w:val="0"/>
              <w:marRight w:val="0"/>
              <w:marTop w:val="0"/>
              <w:marBottom w:val="0"/>
              <w:divBdr>
                <w:top w:val="none" w:sz="0" w:space="0" w:color="auto"/>
                <w:left w:val="none" w:sz="0" w:space="0" w:color="auto"/>
                <w:bottom w:val="none" w:sz="0" w:space="0" w:color="auto"/>
                <w:right w:val="none" w:sz="0" w:space="0" w:color="auto"/>
              </w:divBdr>
            </w:div>
          </w:divsChild>
        </w:div>
        <w:div w:id="761536806">
          <w:marLeft w:val="0"/>
          <w:marRight w:val="0"/>
          <w:marTop w:val="0"/>
          <w:marBottom w:val="0"/>
          <w:divBdr>
            <w:top w:val="none" w:sz="0" w:space="0" w:color="auto"/>
            <w:left w:val="none" w:sz="0" w:space="0" w:color="auto"/>
            <w:bottom w:val="none" w:sz="0" w:space="0" w:color="auto"/>
            <w:right w:val="none" w:sz="0" w:space="0" w:color="auto"/>
          </w:divBdr>
          <w:divsChild>
            <w:div w:id="186411083">
              <w:marLeft w:val="0"/>
              <w:marRight w:val="0"/>
              <w:marTop w:val="0"/>
              <w:marBottom w:val="0"/>
              <w:divBdr>
                <w:top w:val="none" w:sz="0" w:space="0" w:color="auto"/>
                <w:left w:val="none" w:sz="0" w:space="0" w:color="auto"/>
                <w:bottom w:val="none" w:sz="0" w:space="0" w:color="auto"/>
                <w:right w:val="none" w:sz="0" w:space="0" w:color="auto"/>
              </w:divBdr>
            </w:div>
          </w:divsChild>
        </w:div>
        <w:div w:id="900411481">
          <w:marLeft w:val="0"/>
          <w:marRight w:val="0"/>
          <w:marTop w:val="0"/>
          <w:marBottom w:val="0"/>
          <w:divBdr>
            <w:top w:val="none" w:sz="0" w:space="0" w:color="auto"/>
            <w:left w:val="none" w:sz="0" w:space="0" w:color="auto"/>
            <w:bottom w:val="none" w:sz="0" w:space="0" w:color="auto"/>
            <w:right w:val="none" w:sz="0" w:space="0" w:color="auto"/>
          </w:divBdr>
          <w:divsChild>
            <w:div w:id="1082948481">
              <w:marLeft w:val="0"/>
              <w:marRight w:val="0"/>
              <w:marTop w:val="0"/>
              <w:marBottom w:val="0"/>
              <w:divBdr>
                <w:top w:val="none" w:sz="0" w:space="0" w:color="auto"/>
                <w:left w:val="none" w:sz="0" w:space="0" w:color="auto"/>
                <w:bottom w:val="none" w:sz="0" w:space="0" w:color="auto"/>
                <w:right w:val="none" w:sz="0" w:space="0" w:color="auto"/>
              </w:divBdr>
            </w:div>
          </w:divsChild>
        </w:div>
        <w:div w:id="909194720">
          <w:marLeft w:val="0"/>
          <w:marRight w:val="0"/>
          <w:marTop w:val="0"/>
          <w:marBottom w:val="0"/>
          <w:divBdr>
            <w:top w:val="none" w:sz="0" w:space="0" w:color="auto"/>
            <w:left w:val="none" w:sz="0" w:space="0" w:color="auto"/>
            <w:bottom w:val="none" w:sz="0" w:space="0" w:color="auto"/>
            <w:right w:val="none" w:sz="0" w:space="0" w:color="auto"/>
          </w:divBdr>
          <w:divsChild>
            <w:div w:id="1454321135">
              <w:marLeft w:val="0"/>
              <w:marRight w:val="0"/>
              <w:marTop w:val="0"/>
              <w:marBottom w:val="0"/>
              <w:divBdr>
                <w:top w:val="none" w:sz="0" w:space="0" w:color="auto"/>
                <w:left w:val="none" w:sz="0" w:space="0" w:color="auto"/>
                <w:bottom w:val="none" w:sz="0" w:space="0" w:color="auto"/>
                <w:right w:val="none" w:sz="0" w:space="0" w:color="auto"/>
              </w:divBdr>
            </w:div>
          </w:divsChild>
        </w:div>
        <w:div w:id="1083333989">
          <w:marLeft w:val="0"/>
          <w:marRight w:val="0"/>
          <w:marTop w:val="0"/>
          <w:marBottom w:val="0"/>
          <w:divBdr>
            <w:top w:val="none" w:sz="0" w:space="0" w:color="auto"/>
            <w:left w:val="none" w:sz="0" w:space="0" w:color="auto"/>
            <w:bottom w:val="none" w:sz="0" w:space="0" w:color="auto"/>
            <w:right w:val="none" w:sz="0" w:space="0" w:color="auto"/>
          </w:divBdr>
          <w:divsChild>
            <w:div w:id="1510874079">
              <w:marLeft w:val="0"/>
              <w:marRight w:val="0"/>
              <w:marTop w:val="0"/>
              <w:marBottom w:val="0"/>
              <w:divBdr>
                <w:top w:val="none" w:sz="0" w:space="0" w:color="auto"/>
                <w:left w:val="none" w:sz="0" w:space="0" w:color="auto"/>
                <w:bottom w:val="none" w:sz="0" w:space="0" w:color="auto"/>
                <w:right w:val="none" w:sz="0" w:space="0" w:color="auto"/>
              </w:divBdr>
            </w:div>
          </w:divsChild>
        </w:div>
        <w:div w:id="1220940855">
          <w:marLeft w:val="0"/>
          <w:marRight w:val="0"/>
          <w:marTop w:val="0"/>
          <w:marBottom w:val="0"/>
          <w:divBdr>
            <w:top w:val="none" w:sz="0" w:space="0" w:color="auto"/>
            <w:left w:val="none" w:sz="0" w:space="0" w:color="auto"/>
            <w:bottom w:val="none" w:sz="0" w:space="0" w:color="auto"/>
            <w:right w:val="none" w:sz="0" w:space="0" w:color="auto"/>
          </w:divBdr>
          <w:divsChild>
            <w:div w:id="1028021780">
              <w:marLeft w:val="0"/>
              <w:marRight w:val="0"/>
              <w:marTop w:val="0"/>
              <w:marBottom w:val="0"/>
              <w:divBdr>
                <w:top w:val="none" w:sz="0" w:space="0" w:color="auto"/>
                <w:left w:val="none" w:sz="0" w:space="0" w:color="auto"/>
                <w:bottom w:val="none" w:sz="0" w:space="0" w:color="auto"/>
                <w:right w:val="none" w:sz="0" w:space="0" w:color="auto"/>
              </w:divBdr>
            </w:div>
          </w:divsChild>
        </w:div>
        <w:div w:id="1468204585">
          <w:marLeft w:val="0"/>
          <w:marRight w:val="0"/>
          <w:marTop w:val="0"/>
          <w:marBottom w:val="0"/>
          <w:divBdr>
            <w:top w:val="none" w:sz="0" w:space="0" w:color="auto"/>
            <w:left w:val="none" w:sz="0" w:space="0" w:color="auto"/>
            <w:bottom w:val="none" w:sz="0" w:space="0" w:color="auto"/>
            <w:right w:val="none" w:sz="0" w:space="0" w:color="auto"/>
          </w:divBdr>
          <w:divsChild>
            <w:div w:id="1928341209">
              <w:marLeft w:val="0"/>
              <w:marRight w:val="0"/>
              <w:marTop w:val="0"/>
              <w:marBottom w:val="0"/>
              <w:divBdr>
                <w:top w:val="none" w:sz="0" w:space="0" w:color="auto"/>
                <w:left w:val="none" w:sz="0" w:space="0" w:color="auto"/>
                <w:bottom w:val="none" w:sz="0" w:space="0" w:color="auto"/>
                <w:right w:val="none" w:sz="0" w:space="0" w:color="auto"/>
              </w:divBdr>
            </w:div>
          </w:divsChild>
        </w:div>
        <w:div w:id="1546327824">
          <w:marLeft w:val="0"/>
          <w:marRight w:val="0"/>
          <w:marTop w:val="0"/>
          <w:marBottom w:val="0"/>
          <w:divBdr>
            <w:top w:val="none" w:sz="0" w:space="0" w:color="auto"/>
            <w:left w:val="none" w:sz="0" w:space="0" w:color="auto"/>
            <w:bottom w:val="none" w:sz="0" w:space="0" w:color="auto"/>
            <w:right w:val="none" w:sz="0" w:space="0" w:color="auto"/>
          </w:divBdr>
          <w:divsChild>
            <w:div w:id="252202746">
              <w:marLeft w:val="0"/>
              <w:marRight w:val="0"/>
              <w:marTop w:val="0"/>
              <w:marBottom w:val="0"/>
              <w:divBdr>
                <w:top w:val="none" w:sz="0" w:space="0" w:color="auto"/>
                <w:left w:val="none" w:sz="0" w:space="0" w:color="auto"/>
                <w:bottom w:val="none" w:sz="0" w:space="0" w:color="auto"/>
                <w:right w:val="none" w:sz="0" w:space="0" w:color="auto"/>
              </w:divBdr>
            </w:div>
          </w:divsChild>
        </w:div>
        <w:div w:id="1601598442">
          <w:marLeft w:val="0"/>
          <w:marRight w:val="0"/>
          <w:marTop w:val="0"/>
          <w:marBottom w:val="0"/>
          <w:divBdr>
            <w:top w:val="none" w:sz="0" w:space="0" w:color="auto"/>
            <w:left w:val="none" w:sz="0" w:space="0" w:color="auto"/>
            <w:bottom w:val="none" w:sz="0" w:space="0" w:color="auto"/>
            <w:right w:val="none" w:sz="0" w:space="0" w:color="auto"/>
          </w:divBdr>
          <w:divsChild>
            <w:div w:id="1657756067">
              <w:marLeft w:val="0"/>
              <w:marRight w:val="0"/>
              <w:marTop w:val="0"/>
              <w:marBottom w:val="0"/>
              <w:divBdr>
                <w:top w:val="none" w:sz="0" w:space="0" w:color="auto"/>
                <w:left w:val="none" w:sz="0" w:space="0" w:color="auto"/>
                <w:bottom w:val="none" w:sz="0" w:space="0" w:color="auto"/>
                <w:right w:val="none" w:sz="0" w:space="0" w:color="auto"/>
              </w:divBdr>
            </w:div>
          </w:divsChild>
        </w:div>
        <w:div w:id="1608192002">
          <w:marLeft w:val="0"/>
          <w:marRight w:val="0"/>
          <w:marTop w:val="0"/>
          <w:marBottom w:val="0"/>
          <w:divBdr>
            <w:top w:val="none" w:sz="0" w:space="0" w:color="auto"/>
            <w:left w:val="none" w:sz="0" w:space="0" w:color="auto"/>
            <w:bottom w:val="none" w:sz="0" w:space="0" w:color="auto"/>
            <w:right w:val="none" w:sz="0" w:space="0" w:color="auto"/>
          </w:divBdr>
          <w:divsChild>
            <w:div w:id="50351018">
              <w:marLeft w:val="0"/>
              <w:marRight w:val="0"/>
              <w:marTop w:val="0"/>
              <w:marBottom w:val="0"/>
              <w:divBdr>
                <w:top w:val="none" w:sz="0" w:space="0" w:color="auto"/>
                <w:left w:val="none" w:sz="0" w:space="0" w:color="auto"/>
                <w:bottom w:val="none" w:sz="0" w:space="0" w:color="auto"/>
                <w:right w:val="none" w:sz="0" w:space="0" w:color="auto"/>
              </w:divBdr>
            </w:div>
          </w:divsChild>
        </w:div>
        <w:div w:id="1835410791">
          <w:marLeft w:val="0"/>
          <w:marRight w:val="0"/>
          <w:marTop w:val="0"/>
          <w:marBottom w:val="0"/>
          <w:divBdr>
            <w:top w:val="none" w:sz="0" w:space="0" w:color="auto"/>
            <w:left w:val="none" w:sz="0" w:space="0" w:color="auto"/>
            <w:bottom w:val="none" w:sz="0" w:space="0" w:color="auto"/>
            <w:right w:val="none" w:sz="0" w:space="0" w:color="auto"/>
          </w:divBdr>
          <w:divsChild>
            <w:div w:id="630476291">
              <w:marLeft w:val="0"/>
              <w:marRight w:val="0"/>
              <w:marTop w:val="0"/>
              <w:marBottom w:val="0"/>
              <w:divBdr>
                <w:top w:val="none" w:sz="0" w:space="0" w:color="auto"/>
                <w:left w:val="none" w:sz="0" w:space="0" w:color="auto"/>
                <w:bottom w:val="none" w:sz="0" w:space="0" w:color="auto"/>
                <w:right w:val="none" w:sz="0" w:space="0" w:color="auto"/>
              </w:divBdr>
            </w:div>
          </w:divsChild>
        </w:div>
        <w:div w:id="1847942423">
          <w:marLeft w:val="0"/>
          <w:marRight w:val="0"/>
          <w:marTop w:val="0"/>
          <w:marBottom w:val="0"/>
          <w:divBdr>
            <w:top w:val="none" w:sz="0" w:space="0" w:color="auto"/>
            <w:left w:val="none" w:sz="0" w:space="0" w:color="auto"/>
            <w:bottom w:val="none" w:sz="0" w:space="0" w:color="auto"/>
            <w:right w:val="none" w:sz="0" w:space="0" w:color="auto"/>
          </w:divBdr>
          <w:divsChild>
            <w:div w:id="1843083901">
              <w:marLeft w:val="0"/>
              <w:marRight w:val="0"/>
              <w:marTop w:val="0"/>
              <w:marBottom w:val="0"/>
              <w:divBdr>
                <w:top w:val="none" w:sz="0" w:space="0" w:color="auto"/>
                <w:left w:val="none" w:sz="0" w:space="0" w:color="auto"/>
                <w:bottom w:val="none" w:sz="0" w:space="0" w:color="auto"/>
                <w:right w:val="none" w:sz="0" w:space="0" w:color="auto"/>
              </w:divBdr>
            </w:div>
          </w:divsChild>
        </w:div>
        <w:div w:id="1963687275">
          <w:marLeft w:val="0"/>
          <w:marRight w:val="0"/>
          <w:marTop w:val="0"/>
          <w:marBottom w:val="0"/>
          <w:divBdr>
            <w:top w:val="none" w:sz="0" w:space="0" w:color="auto"/>
            <w:left w:val="none" w:sz="0" w:space="0" w:color="auto"/>
            <w:bottom w:val="none" w:sz="0" w:space="0" w:color="auto"/>
            <w:right w:val="none" w:sz="0" w:space="0" w:color="auto"/>
          </w:divBdr>
          <w:divsChild>
            <w:div w:id="71857780">
              <w:marLeft w:val="0"/>
              <w:marRight w:val="0"/>
              <w:marTop w:val="0"/>
              <w:marBottom w:val="0"/>
              <w:divBdr>
                <w:top w:val="none" w:sz="0" w:space="0" w:color="auto"/>
                <w:left w:val="none" w:sz="0" w:space="0" w:color="auto"/>
                <w:bottom w:val="none" w:sz="0" w:space="0" w:color="auto"/>
                <w:right w:val="none" w:sz="0" w:space="0" w:color="auto"/>
              </w:divBdr>
            </w:div>
          </w:divsChild>
        </w:div>
        <w:div w:id="2017344219">
          <w:marLeft w:val="0"/>
          <w:marRight w:val="0"/>
          <w:marTop w:val="0"/>
          <w:marBottom w:val="0"/>
          <w:divBdr>
            <w:top w:val="none" w:sz="0" w:space="0" w:color="auto"/>
            <w:left w:val="none" w:sz="0" w:space="0" w:color="auto"/>
            <w:bottom w:val="none" w:sz="0" w:space="0" w:color="auto"/>
            <w:right w:val="none" w:sz="0" w:space="0" w:color="auto"/>
          </w:divBdr>
          <w:divsChild>
            <w:div w:id="1696341150">
              <w:marLeft w:val="0"/>
              <w:marRight w:val="0"/>
              <w:marTop w:val="0"/>
              <w:marBottom w:val="0"/>
              <w:divBdr>
                <w:top w:val="none" w:sz="0" w:space="0" w:color="auto"/>
                <w:left w:val="none" w:sz="0" w:space="0" w:color="auto"/>
                <w:bottom w:val="none" w:sz="0" w:space="0" w:color="auto"/>
                <w:right w:val="none" w:sz="0" w:space="0" w:color="auto"/>
              </w:divBdr>
            </w:div>
          </w:divsChild>
        </w:div>
        <w:div w:id="2030712251">
          <w:marLeft w:val="0"/>
          <w:marRight w:val="0"/>
          <w:marTop w:val="0"/>
          <w:marBottom w:val="0"/>
          <w:divBdr>
            <w:top w:val="none" w:sz="0" w:space="0" w:color="auto"/>
            <w:left w:val="none" w:sz="0" w:space="0" w:color="auto"/>
            <w:bottom w:val="none" w:sz="0" w:space="0" w:color="auto"/>
            <w:right w:val="none" w:sz="0" w:space="0" w:color="auto"/>
          </w:divBdr>
          <w:divsChild>
            <w:div w:id="2113889817">
              <w:marLeft w:val="0"/>
              <w:marRight w:val="0"/>
              <w:marTop w:val="0"/>
              <w:marBottom w:val="0"/>
              <w:divBdr>
                <w:top w:val="none" w:sz="0" w:space="0" w:color="auto"/>
                <w:left w:val="none" w:sz="0" w:space="0" w:color="auto"/>
                <w:bottom w:val="none" w:sz="0" w:space="0" w:color="auto"/>
                <w:right w:val="none" w:sz="0" w:space="0" w:color="auto"/>
              </w:divBdr>
            </w:div>
          </w:divsChild>
        </w:div>
        <w:div w:id="2095544647">
          <w:marLeft w:val="0"/>
          <w:marRight w:val="0"/>
          <w:marTop w:val="0"/>
          <w:marBottom w:val="0"/>
          <w:divBdr>
            <w:top w:val="none" w:sz="0" w:space="0" w:color="auto"/>
            <w:left w:val="none" w:sz="0" w:space="0" w:color="auto"/>
            <w:bottom w:val="none" w:sz="0" w:space="0" w:color="auto"/>
            <w:right w:val="none" w:sz="0" w:space="0" w:color="auto"/>
          </w:divBdr>
          <w:divsChild>
            <w:div w:id="32925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75017">
      <w:bodyDiv w:val="1"/>
      <w:marLeft w:val="0"/>
      <w:marRight w:val="0"/>
      <w:marTop w:val="0"/>
      <w:marBottom w:val="0"/>
      <w:divBdr>
        <w:top w:val="none" w:sz="0" w:space="0" w:color="auto"/>
        <w:left w:val="none" w:sz="0" w:space="0" w:color="auto"/>
        <w:bottom w:val="none" w:sz="0" w:space="0" w:color="auto"/>
        <w:right w:val="none" w:sz="0" w:space="0" w:color="auto"/>
      </w:divBdr>
    </w:div>
    <w:div w:id="1051731276">
      <w:bodyDiv w:val="1"/>
      <w:marLeft w:val="0"/>
      <w:marRight w:val="0"/>
      <w:marTop w:val="0"/>
      <w:marBottom w:val="0"/>
      <w:divBdr>
        <w:top w:val="none" w:sz="0" w:space="0" w:color="auto"/>
        <w:left w:val="none" w:sz="0" w:space="0" w:color="auto"/>
        <w:bottom w:val="none" w:sz="0" w:space="0" w:color="auto"/>
        <w:right w:val="none" w:sz="0" w:space="0" w:color="auto"/>
      </w:divBdr>
    </w:div>
    <w:div w:id="1061442752">
      <w:bodyDiv w:val="1"/>
      <w:marLeft w:val="0"/>
      <w:marRight w:val="0"/>
      <w:marTop w:val="0"/>
      <w:marBottom w:val="0"/>
      <w:divBdr>
        <w:top w:val="none" w:sz="0" w:space="0" w:color="auto"/>
        <w:left w:val="none" w:sz="0" w:space="0" w:color="auto"/>
        <w:bottom w:val="none" w:sz="0" w:space="0" w:color="auto"/>
        <w:right w:val="none" w:sz="0" w:space="0" w:color="auto"/>
      </w:divBdr>
      <w:divsChild>
        <w:div w:id="110318723">
          <w:marLeft w:val="0"/>
          <w:marRight w:val="0"/>
          <w:marTop w:val="0"/>
          <w:marBottom w:val="0"/>
          <w:divBdr>
            <w:top w:val="none" w:sz="0" w:space="0" w:color="auto"/>
            <w:left w:val="none" w:sz="0" w:space="0" w:color="auto"/>
            <w:bottom w:val="none" w:sz="0" w:space="0" w:color="auto"/>
            <w:right w:val="none" w:sz="0" w:space="0" w:color="auto"/>
          </w:divBdr>
        </w:div>
      </w:divsChild>
    </w:div>
    <w:div w:id="1064916169">
      <w:bodyDiv w:val="1"/>
      <w:marLeft w:val="0"/>
      <w:marRight w:val="0"/>
      <w:marTop w:val="0"/>
      <w:marBottom w:val="0"/>
      <w:divBdr>
        <w:top w:val="none" w:sz="0" w:space="0" w:color="auto"/>
        <w:left w:val="none" w:sz="0" w:space="0" w:color="auto"/>
        <w:bottom w:val="none" w:sz="0" w:space="0" w:color="auto"/>
        <w:right w:val="none" w:sz="0" w:space="0" w:color="auto"/>
      </w:divBdr>
    </w:div>
    <w:div w:id="1065295279">
      <w:bodyDiv w:val="1"/>
      <w:marLeft w:val="0"/>
      <w:marRight w:val="0"/>
      <w:marTop w:val="0"/>
      <w:marBottom w:val="0"/>
      <w:divBdr>
        <w:top w:val="none" w:sz="0" w:space="0" w:color="auto"/>
        <w:left w:val="none" w:sz="0" w:space="0" w:color="auto"/>
        <w:bottom w:val="none" w:sz="0" w:space="0" w:color="auto"/>
        <w:right w:val="none" w:sz="0" w:space="0" w:color="auto"/>
      </w:divBdr>
      <w:divsChild>
        <w:div w:id="86199236">
          <w:marLeft w:val="0"/>
          <w:marRight w:val="0"/>
          <w:marTop w:val="0"/>
          <w:marBottom w:val="0"/>
          <w:divBdr>
            <w:top w:val="none" w:sz="0" w:space="0" w:color="auto"/>
            <w:left w:val="none" w:sz="0" w:space="0" w:color="auto"/>
            <w:bottom w:val="none" w:sz="0" w:space="0" w:color="auto"/>
            <w:right w:val="none" w:sz="0" w:space="0" w:color="auto"/>
          </w:divBdr>
          <w:divsChild>
            <w:div w:id="414865154">
              <w:marLeft w:val="0"/>
              <w:marRight w:val="0"/>
              <w:marTop w:val="0"/>
              <w:marBottom w:val="0"/>
              <w:divBdr>
                <w:top w:val="none" w:sz="0" w:space="0" w:color="auto"/>
                <w:left w:val="none" w:sz="0" w:space="0" w:color="auto"/>
                <w:bottom w:val="none" w:sz="0" w:space="0" w:color="auto"/>
                <w:right w:val="none" w:sz="0" w:space="0" w:color="auto"/>
              </w:divBdr>
            </w:div>
          </w:divsChild>
        </w:div>
        <w:div w:id="122577539">
          <w:marLeft w:val="0"/>
          <w:marRight w:val="0"/>
          <w:marTop w:val="0"/>
          <w:marBottom w:val="0"/>
          <w:divBdr>
            <w:top w:val="none" w:sz="0" w:space="0" w:color="auto"/>
            <w:left w:val="none" w:sz="0" w:space="0" w:color="auto"/>
            <w:bottom w:val="none" w:sz="0" w:space="0" w:color="auto"/>
            <w:right w:val="none" w:sz="0" w:space="0" w:color="auto"/>
          </w:divBdr>
          <w:divsChild>
            <w:div w:id="1171798110">
              <w:marLeft w:val="0"/>
              <w:marRight w:val="0"/>
              <w:marTop w:val="0"/>
              <w:marBottom w:val="0"/>
              <w:divBdr>
                <w:top w:val="none" w:sz="0" w:space="0" w:color="auto"/>
                <w:left w:val="none" w:sz="0" w:space="0" w:color="auto"/>
                <w:bottom w:val="none" w:sz="0" w:space="0" w:color="auto"/>
                <w:right w:val="none" w:sz="0" w:space="0" w:color="auto"/>
              </w:divBdr>
            </w:div>
          </w:divsChild>
        </w:div>
        <w:div w:id="128285490">
          <w:marLeft w:val="0"/>
          <w:marRight w:val="0"/>
          <w:marTop w:val="0"/>
          <w:marBottom w:val="0"/>
          <w:divBdr>
            <w:top w:val="none" w:sz="0" w:space="0" w:color="auto"/>
            <w:left w:val="none" w:sz="0" w:space="0" w:color="auto"/>
            <w:bottom w:val="none" w:sz="0" w:space="0" w:color="auto"/>
            <w:right w:val="none" w:sz="0" w:space="0" w:color="auto"/>
          </w:divBdr>
          <w:divsChild>
            <w:div w:id="1471634492">
              <w:marLeft w:val="0"/>
              <w:marRight w:val="0"/>
              <w:marTop w:val="0"/>
              <w:marBottom w:val="0"/>
              <w:divBdr>
                <w:top w:val="none" w:sz="0" w:space="0" w:color="auto"/>
                <w:left w:val="none" w:sz="0" w:space="0" w:color="auto"/>
                <w:bottom w:val="none" w:sz="0" w:space="0" w:color="auto"/>
                <w:right w:val="none" w:sz="0" w:space="0" w:color="auto"/>
              </w:divBdr>
            </w:div>
          </w:divsChild>
        </w:div>
        <w:div w:id="166334847">
          <w:marLeft w:val="0"/>
          <w:marRight w:val="0"/>
          <w:marTop w:val="0"/>
          <w:marBottom w:val="0"/>
          <w:divBdr>
            <w:top w:val="none" w:sz="0" w:space="0" w:color="auto"/>
            <w:left w:val="none" w:sz="0" w:space="0" w:color="auto"/>
            <w:bottom w:val="none" w:sz="0" w:space="0" w:color="auto"/>
            <w:right w:val="none" w:sz="0" w:space="0" w:color="auto"/>
          </w:divBdr>
          <w:divsChild>
            <w:div w:id="1685135950">
              <w:marLeft w:val="0"/>
              <w:marRight w:val="0"/>
              <w:marTop w:val="0"/>
              <w:marBottom w:val="0"/>
              <w:divBdr>
                <w:top w:val="none" w:sz="0" w:space="0" w:color="auto"/>
                <w:left w:val="none" w:sz="0" w:space="0" w:color="auto"/>
                <w:bottom w:val="none" w:sz="0" w:space="0" w:color="auto"/>
                <w:right w:val="none" w:sz="0" w:space="0" w:color="auto"/>
              </w:divBdr>
            </w:div>
          </w:divsChild>
        </w:div>
        <w:div w:id="266813623">
          <w:marLeft w:val="0"/>
          <w:marRight w:val="0"/>
          <w:marTop w:val="0"/>
          <w:marBottom w:val="0"/>
          <w:divBdr>
            <w:top w:val="none" w:sz="0" w:space="0" w:color="auto"/>
            <w:left w:val="none" w:sz="0" w:space="0" w:color="auto"/>
            <w:bottom w:val="none" w:sz="0" w:space="0" w:color="auto"/>
            <w:right w:val="none" w:sz="0" w:space="0" w:color="auto"/>
          </w:divBdr>
          <w:divsChild>
            <w:div w:id="177349128">
              <w:marLeft w:val="0"/>
              <w:marRight w:val="0"/>
              <w:marTop w:val="0"/>
              <w:marBottom w:val="0"/>
              <w:divBdr>
                <w:top w:val="none" w:sz="0" w:space="0" w:color="auto"/>
                <w:left w:val="none" w:sz="0" w:space="0" w:color="auto"/>
                <w:bottom w:val="none" w:sz="0" w:space="0" w:color="auto"/>
                <w:right w:val="none" w:sz="0" w:space="0" w:color="auto"/>
              </w:divBdr>
            </w:div>
          </w:divsChild>
        </w:div>
        <w:div w:id="384722063">
          <w:marLeft w:val="0"/>
          <w:marRight w:val="0"/>
          <w:marTop w:val="0"/>
          <w:marBottom w:val="0"/>
          <w:divBdr>
            <w:top w:val="none" w:sz="0" w:space="0" w:color="auto"/>
            <w:left w:val="none" w:sz="0" w:space="0" w:color="auto"/>
            <w:bottom w:val="none" w:sz="0" w:space="0" w:color="auto"/>
            <w:right w:val="none" w:sz="0" w:space="0" w:color="auto"/>
          </w:divBdr>
          <w:divsChild>
            <w:div w:id="2062049434">
              <w:marLeft w:val="0"/>
              <w:marRight w:val="0"/>
              <w:marTop w:val="0"/>
              <w:marBottom w:val="0"/>
              <w:divBdr>
                <w:top w:val="none" w:sz="0" w:space="0" w:color="auto"/>
                <w:left w:val="none" w:sz="0" w:space="0" w:color="auto"/>
                <w:bottom w:val="none" w:sz="0" w:space="0" w:color="auto"/>
                <w:right w:val="none" w:sz="0" w:space="0" w:color="auto"/>
              </w:divBdr>
            </w:div>
          </w:divsChild>
        </w:div>
        <w:div w:id="405034121">
          <w:marLeft w:val="0"/>
          <w:marRight w:val="0"/>
          <w:marTop w:val="0"/>
          <w:marBottom w:val="0"/>
          <w:divBdr>
            <w:top w:val="none" w:sz="0" w:space="0" w:color="auto"/>
            <w:left w:val="none" w:sz="0" w:space="0" w:color="auto"/>
            <w:bottom w:val="none" w:sz="0" w:space="0" w:color="auto"/>
            <w:right w:val="none" w:sz="0" w:space="0" w:color="auto"/>
          </w:divBdr>
          <w:divsChild>
            <w:div w:id="1422337901">
              <w:marLeft w:val="0"/>
              <w:marRight w:val="0"/>
              <w:marTop w:val="0"/>
              <w:marBottom w:val="0"/>
              <w:divBdr>
                <w:top w:val="none" w:sz="0" w:space="0" w:color="auto"/>
                <w:left w:val="none" w:sz="0" w:space="0" w:color="auto"/>
                <w:bottom w:val="none" w:sz="0" w:space="0" w:color="auto"/>
                <w:right w:val="none" w:sz="0" w:space="0" w:color="auto"/>
              </w:divBdr>
            </w:div>
          </w:divsChild>
        </w:div>
        <w:div w:id="406657510">
          <w:marLeft w:val="0"/>
          <w:marRight w:val="0"/>
          <w:marTop w:val="0"/>
          <w:marBottom w:val="0"/>
          <w:divBdr>
            <w:top w:val="none" w:sz="0" w:space="0" w:color="auto"/>
            <w:left w:val="none" w:sz="0" w:space="0" w:color="auto"/>
            <w:bottom w:val="none" w:sz="0" w:space="0" w:color="auto"/>
            <w:right w:val="none" w:sz="0" w:space="0" w:color="auto"/>
          </w:divBdr>
          <w:divsChild>
            <w:div w:id="490951163">
              <w:marLeft w:val="0"/>
              <w:marRight w:val="0"/>
              <w:marTop w:val="0"/>
              <w:marBottom w:val="0"/>
              <w:divBdr>
                <w:top w:val="none" w:sz="0" w:space="0" w:color="auto"/>
                <w:left w:val="none" w:sz="0" w:space="0" w:color="auto"/>
                <w:bottom w:val="none" w:sz="0" w:space="0" w:color="auto"/>
                <w:right w:val="none" w:sz="0" w:space="0" w:color="auto"/>
              </w:divBdr>
            </w:div>
          </w:divsChild>
        </w:div>
        <w:div w:id="411243096">
          <w:marLeft w:val="0"/>
          <w:marRight w:val="0"/>
          <w:marTop w:val="0"/>
          <w:marBottom w:val="0"/>
          <w:divBdr>
            <w:top w:val="none" w:sz="0" w:space="0" w:color="auto"/>
            <w:left w:val="none" w:sz="0" w:space="0" w:color="auto"/>
            <w:bottom w:val="none" w:sz="0" w:space="0" w:color="auto"/>
            <w:right w:val="none" w:sz="0" w:space="0" w:color="auto"/>
          </w:divBdr>
          <w:divsChild>
            <w:div w:id="1779762534">
              <w:marLeft w:val="0"/>
              <w:marRight w:val="0"/>
              <w:marTop w:val="0"/>
              <w:marBottom w:val="0"/>
              <w:divBdr>
                <w:top w:val="none" w:sz="0" w:space="0" w:color="auto"/>
                <w:left w:val="none" w:sz="0" w:space="0" w:color="auto"/>
                <w:bottom w:val="none" w:sz="0" w:space="0" w:color="auto"/>
                <w:right w:val="none" w:sz="0" w:space="0" w:color="auto"/>
              </w:divBdr>
            </w:div>
          </w:divsChild>
        </w:div>
        <w:div w:id="415977342">
          <w:marLeft w:val="0"/>
          <w:marRight w:val="0"/>
          <w:marTop w:val="0"/>
          <w:marBottom w:val="0"/>
          <w:divBdr>
            <w:top w:val="none" w:sz="0" w:space="0" w:color="auto"/>
            <w:left w:val="none" w:sz="0" w:space="0" w:color="auto"/>
            <w:bottom w:val="none" w:sz="0" w:space="0" w:color="auto"/>
            <w:right w:val="none" w:sz="0" w:space="0" w:color="auto"/>
          </w:divBdr>
          <w:divsChild>
            <w:div w:id="1928075476">
              <w:marLeft w:val="0"/>
              <w:marRight w:val="0"/>
              <w:marTop w:val="0"/>
              <w:marBottom w:val="0"/>
              <w:divBdr>
                <w:top w:val="none" w:sz="0" w:space="0" w:color="auto"/>
                <w:left w:val="none" w:sz="0" w:space="0" w:color="auto"/>
                <w:bottom w:val="none" w:sz="0" w:space="0" w:color="auto"/>
                <w:right w:val="none" w:sz="0" w:space="0" w:color="auto"/>
              </w:divBdr>
            </w:div>
          </w:divsChild>
        </w:div>
        <w:div w:id="443310237">
          <w:marLeft w:val="0"/>
          <w:marRight w:val="0"/>
          <w:marTop w:val="0"/>
          <w:marBottom w:val="0"/>
          <w:divBdr>
            <w:top w:val="none" w:sz="0" w:space="0" w:color="auto"/>
            <w:left w:val="none" w:sz="0" w:space="0" w:color="auto"/>
            <w:bottom w:val="none" w:sz="0" w:space="0" w:color="auto"/>
            <w:right w:val="none" w:sz="0" w:space="0" w:color="auto"/>
          </w:divBdr>
          <w:divsChild>
            <w:div w:id="112092451">
              <w:marLeft w:val="0"/>
              <w:marRight w:val="0"/>
              <w:marTop w:val="0"/>
              <w:marBottom w:val="0"/>
              <w:divBdr>
                <w:top w:val="none" w:sz="0" w:space="0" w:color="auto"/>
                <w:left w:val="none" w:sz="0" w:space="0" w:color="auto"/>
                <w:bottom w:val="none" w:sz="0" w:space="0" w:color="auto"/>
                <w:right w:val="none" w:sz="0" w:space="0" w:color="auto"/>
              </w:divBdr>
            </w:div>
            <w:div w:id="540898272">
              <w:marLeft w:val="0"/>
              <w:marRight w:val="0"/>
              <w:marTop w:val="0"/>
              <w:marBottom w:val="0"/>
              <w:divBdr>
                <w:top w:val="none" w:sz="0" w:space="0" w:color="auto"/>
                <w:left w:val="none" w:sz="0" w:space="0" w:color="auto"/>
                <w:bottom w:val="none" w:sz="0" w:space="0" w:color="auto"/>
                <w:right w:val="none" w:sz="0" w:space="0" w:color="auto"/>
              </w:divBdr>
            </w:div>
            <w:div w:id="1327629925">
              <w:marLeft w:val="0"/>
              <w:marRight w:val="0"/>
              <w:marTop w:val="0"/>
              <w:marBottom w:val="0"/>
              <w:divBdr>
                <w:top w:val="none" w:sz="0" w:space="0" w:color="auto"/>
                <w:left w:val="none" w:sz="0" w:space="0" w:color="auto"/>
                <w:bottom w:val="none" w:sz="0" w:space="0" w:color="auto"/>
                <w:right w:val="none" w:sz="0" w:space="0" w:color="auto"/>
              </w:divBdr>
            </w:div>
            <w:div w:id="1678077810">
              <w:marLeft w:val="0"/>
              <w:marRight w:val="0"/>
              <w:marTop w:val="0"/>
              <w:marBottom w:val="0"/>
              <w:divBdr>
                <w:top w:val="none" w:sz="0" w:space="0" w:color="auto"/>
                <w:left w:val="none" w:sz="0" w:space="0" w:color="auto"/>
                <w:bottom w:val="none" w:sz="0" w:space="0" w:color="auto"/>
                <w:right w:val="none" w:sz="0" w:space="0" w:color="auto"/>
              </w:divBdr>
            </w:div>
          </w:divsChild>
        </w:div>
        <w:div w:id="449906772">
          <w:marLeft w:val="0"/>
          <w:marRight w:val="0"/>
          <w:marTop w:val="0"/>
          <w:marBottom w:val="0"/>
          <w:divBdr>
            <w:top w:val="none" w:sz="0" w:space="0" w:color="auto"/>
            <w:left w:val="none" w:sz="0" w:space="0" w:color="auto"/>
            <w:bottom w:val="none" w:sz="0" w:space="0" w:color="auto"/>
            <w:right w:val="none" w:sz="0" w:space="0" w:color="auto"/>
          </w:divBdr>
          <w:divsChild>
            <w:div w:id="1405303125">
              <w:marLeft w:val="0"/>
              <w:marRight w:val="0"/>
              <w:marTop w:val="0"/>
              <w:marBottom w:val="0"/>
              <w:divBdr>
                <w:top w:val="none" w:sz="0" w:space="0" w:color="auto"/>
                <w:left w:val="none" w:sz="0" w:space="0" w:color="auto"/>
                <w:bottom w:val="none" w:sz="0" w:space="0" w:color="auto"/>
                <w:right w:val="none" w:sz="0" w:space="0" w:color="auto"/>
              </w:divBdr>
            </w:div>
          </w:divsChild>
        </w:div>
        <w:div w:id="535586165">
          <w:marLeft w:val="0"/>
          <w:marRight w:val="0"/>
          <w:marTop w:val="0"/>
          <w:marBottom w:val="0"/>
          <w:divBdr>
            <w:top w:val="none" w:sz="0" w:space="0" w:color="auto"/>
            <w:left w:val="none" w:sz="0" w:space="0" w:color="auto"/>
            <w:bottom w:val="none" w:sz="0" w:space="0" w:color="auto"/>
            <w:right w:val="none" w:sz="0" w:space="0" w:color="auto"/>
          </w:divBdr>
          <w:divsChild>
            <w:div w:id="945042787">
              <w:marLeft w:val="0"/>
              <w:marRight w:val="0"/>
              <w:marTop w:val="0"/>
              <w:marBottom w:val="0"/>
              <w:divBdr>
                <w:top w:val="none" w:sz="0" w:space="0" w:color="auto"/>
                <w:left w:val="none" w:sz="0" w:space="0" w:color="auto"/>
                <w:bottom w:val="none" w:sz="0" w:space="0" w:color="auto"/>
                <w:right w:val="none" w:sz="0" w:space="0" w:color="auto"/>
              </w:divBdr>
            </w:div>
          </w:divsChild>
        </w:div>
        <w:div w:id="557522172">
          <w:marLeft w:val="0"/>
          <w:marRight w:val="0"/>
          <w:marTop w:val="0"/>
          <w:marBottom w:val="0"/>
          <w:divBdr>
            <w:top w:val="none" w:sz="0" w:space="0" w:color="auto"/>
            <w:left w:val="none" w:sz="0" w:space="0" w:color="auto"/>
            <w:bottom w:val="none" w:sz="0" w:space="0" w:color="auto"/>
            <w:right w:val="none" w:sz="0" w:space="0" w:color="auto"/>
          </w:divBdr>
          <w:divsChild>
            <w:div w:id="237176169">
              <w:marLeft w:val="0"/>
              <w:marRight w:val="0"/>
              <w:marTop w:val="0"/>
              <w:marBottom w:val="0"/>
              <w:divBdr>
                <w:top w:val="none" w:sz="0" w:space="0" w:color="auto"/>
                <w:left w:val="none" w:sz="0" w:space="0" w:color="auto"/>
                <w:bottom w:val="none" w:sz="0" w:space="0" w:color="auto"/>
                <w:right w:val="none" w:sz="0" w:space="0" w:color="auto"/>
              </w:divBdr>
            </w:div>
          </w:divsChild>
        </w:div>
        <w:div w:id="572398489">
          <w:marLeft w:val="0"/>
          <w:marRight w:val="0"/>
          <w:marTop w:val="0"/>
          <w:marBottom w:val="0"/>
          <w:divBdr>
            <w:top w:val="none" w:sz="0" w:space="0" w:color="auto"/>
            <w:left w:val="none" w:sz="0" w:space="0" w:color="auto"/>
            <w:bottom w:val="none" w:sz="0" w:space="0" w:color="auto"/>
            <w:right w:val="none" w:sz="0" w:space="0" w:color="auto"/>
          </w:divBdr>
          <w:divsChild>
            <w:div w:id="1306472882">
              <w:marLeft w:val="0"/>
              <w:marRight w:val="0"/>
              <w:marTop w:val="0"/>
              <w:marBottom w:val="0"/>
              <w:divBdr>
                <w:top w:val="none" w:sz="0" w:space="0" w:color="auto"/>
                <w:left w:val="none" w:sz="0" w:space="0" w:color="auto"/>
                <w:bottom w:val="none" w:sz="0" w:space="0" w:color="auto"/>
                <w:right w:val="none" w:sz="0" w:space="0" w:color="auto"/>
              </w:divBdr>
            </w:div>
          </w:divsChild>
        </w:div>
        <w:div w:id="631058146">
          <w:marLeft w:val="0"/>
          <w:marRight w:val="0"/>
          <w:marTop w:val="0"/>
          <w:marBottom w:val="0"/>
          <w:divBdr>
            <w:top w:val="none" w:sz="0" w:space="0" w:color="auto"/>
            <w:left w:val="none" w:sz="0" w:space="0" w:color="auto"/>
            <w:bottom w:val="none" w:sz="0" w:space="0" w:color="auto"/>
            <w:right w:val="none" w:sz="0" w:space="0" w:color="auto"/>
          </w:divBdr>
          <w:divsChild>
            <w:div w:id="1063018997">
              <w:marLeft w:val="0"/>
              <w:marRight w:val="0"/>
              <w:marTop w:val="0"/>
              <w:marBottom w:val="0"/>
              <w:divBdr>
                <w:top w:val="none" w:sz="0" w:space="0" w:color="auto"/>
                <w:left w:val="none" w:sz="0" w:space="0" w:color="auto"/>
                <w:bottom w:val="none" w:sz="0" w:space="0" w:color="auto"/>
                <w:right w:val="none" w:sz="0" w:space="0" w:color="auto"/>
              </w:divBdr>
            </w:div>
          </w:divsChild>
        </w:div>
        <w:div w:id="655836887">
          <w:marLeft w:val="0"/>
          <w:marRight w:val="0"/>
          <w:marTop w:val="0"/>
          <w:marBottom w:val="0"/>
          <w:divBdr>
            <w:top w:val="none" w:sz="0" w:space="0" w:color="auto"/>
            <w:left w:val="none" w:sz="0" w:space="0" w:color="auto"/>
            <w:bottom w:val="none" w:sz="0" w:space="0" w:color="auto"/>
            <w:right w:val="none" w:sz="0" w:space="0" w:color="auto"/>
          </w:divBdr>
          <w:divsChild>
            <w:div w:id="81607245">
              <w:marLeft w:val="0"/>
              <w:marRight w:val="0"/>
              <w:marTop w:val="0"/>
              <w:marBottom w:val="0"/>
              <w:divBdr>
                <w:top w:val="none" w:sz="0" w:space="0" w:color="auto"/>
                <w:left w:val="none" w:sz="0" w:space="0" w:color="auto"/>
                <w:bottom w:val="none" w:sz="0" w:space="0" w:color="auto"/>
                <w:right w:val="none" w:sz="0" w:space="0" w:color="auto"/>
              </w:divBdr>
            </w:div>
          </w:divsChild>
        </w:div>
        <w:div w:id="666055162">
          <w:marLeft w:val="0"/>
          <w:marRight w:val="0"/>
          <w:marTop w:val="0"/>
          <w:marBottom w:val="0"/>
          <w:divBdr>
            <w:top w:val="none" w:sz="0" w:space="0" w:color="auto"/>
            <w:left w:val="none" w:sz="0" w:space="0" w:color="auto"/>
            <w:bottom w:val="none" w:sz="0" w:space="0" w:color="auto"/>
            <w:right w:val="none" w:sz="0" w:space="0" w:color="auto"/>
          </w:divBdr>
          <w:divsChild>
            <w:div w:id="280579545">
              <w:marLeft w:val="0"/>
              <w:marRight w:val="0"/>
              <w:marTop w:val="0"/>
              <w:marBottom w:val="0"/>
              <w:divBdr>
                <w:top w:val="none" w:sz="0" w:space="0" w:color="auto"/>
                <w:left w:val="none" w:sz="0" w:space="0" w:color="auto"/>
                <w:bottom w:val="none" w:sz="0" w:space="0" w:color="auto"/>
                <w:right w:val="none" w:sz="0" w:space="0" w:color="auto"/>
              </w:divBdr>
            </w:div>
          </w:divsChild>
        </w:div>
        <w:div w:id="695236667">
          <w:marLeft w:val="0"/>
          <w:marRight w:val="0"/>
          <w:marTop w:val="0"/>
          <w:marBottom w:val="0"/>
          <w:divBdr>
            <w:top w:val="none" w:sz="0" w:space="0" w:color="auto"/>
            <w:left w:val="none" w:sz="0" w:space="0" w:color="auto"/>
            <w:bottom w:val="none" w:sz="0" w:space="0" w:color="auto"/>
            <w:right w:val="none" w:sz="0" w:space="0" w:color="auto"/>
          </w:divBdr>
          <w:divsChild>
            <w:div w:id="1421491135">
              <w:marLeft w:val="0"/>
              <w:marRight w:val="0"/>
              <w:marTop w:val="0"/>
              <w:marBottom w:val="0"/>
              <w:divBdr>
                <w:top w:val="none" w:sz="0" w:space="0" w:color="auto"/>
                <w:left w:val="none" w:sz="0" w:space="0" w:color="auto"/>
                <w:bottom w:val="none" w:sz="0" w:space="0" w:color="auto"/>
                <w:right w:val="none" w:sz="0" w:space="0" w:color="auto"/>
              </w:divBdr>
            </w:div>
          </w:divsChild>
        </w:div>
        <w:div w:id="718936987">
          <w:marLeft w:val="0"/>
          <w:marRight w:val="0"/>
          <w:marTop w:val="0"/>
          <w:marBottom w:val="0"/>
          <w:divBdr>
            <w:top w:val="none" w:sz="0" w:space="0" w:color="auto"/>
            <w:left w:val="none" w:sz="0" w:space="0" w:color="auto"/>
            <w:bottom w:val="none" w:sz="0" w:space="0" w:color="auto"/>
            <w:right w:val="none" w:sz="0" w:space="0" w:color="auto"/>
          </w:divBdr>
          <w:divsChild>
            <w:div w:id="1598826586">
              <w:marLeft w:val="0"/>
              <w:marRight w:val="0"/>
              <w:marTop w:val="0"/>
              <w:marBottom w:val="0"/>
              <w:divBdr>
                <w:top w:val="none" w:sz="0" w:space="0" w:color="auto"/>
                <w:left w:val="none" w:sz="0" w:space="0" w:color="auto"/>
                <w:bottom w:val="none" w:sz="0" w:space="0" w:color="auto"/>
                <w:right w:val="none" w:sz="0" w:space="0" w:color="auto"/>
              </w:divBdr>
            </w:div>
          </w:divsChild>
        </w:div>
        <w:div w:id="751897383">
          <w:marLeft w:val="0"/>
          <w:marRight w:val="0"/>
          <w:marTop w:val="0"/>
          <w:marBottom w:val="0"/>
          <w:divBdr>
            <w:top w:val="none" w:sz="0" w:space="0" w:color="auto"/>
            <w:left w:val="none" w:sz="0" w:space="0" w:color="auto"/>
            <w:bottom w:val="none" w:sz="0" w:space="0" w:color="auto"/>
            <w:right w:val="none" w:sz="0" w:space="0" w:color="auto"/>
          </w:divBdr>
          <w:divsChild>
            <w:div w:id="1028988898">
              <w:marLeft w:val="0"/>
              <w:marRight w:val="0"/>
              <w:marTop w:val="0"/>
              <w:marBottom w:val="0"/>
              <w:divBdr>
                <w:top w:val="none" w:sz="0" w:space="0" w:color="auto"/>
                <w:left w:val="none" w:sz="0" w:space="0" w:color="auto"/>
                <w:bottom w:val="none" w:sz="0" w:space="0" w:color="auto"/>
                <w:right w:val="none" w:sz="0" w:space="0" w:color="auto"/>
              </w:divBdr>
            </w:div>
          </w:divsChild>
        </w:div>
        <w:div w:id="762460081">
          <w:marLeft w:val="0"/>
          <w:marRight w:val="0"/>
          <w:marTop w:val="0"/>
          <w:marBottom w:val="0"/>
          <w:divBdr>
            <w:top w:val="none" w:sz="0" w:space="0" w:color="auto"/>
            <w:left w:val="none" w:sz="0" w:space="0" w:color="auto"/>
            <w:bottom w:val="none" w:sz="0" w:space="0" w:color="auto"/>
            <w:right w:val="none" w:sz="0" w:space="0" w:color="auto"/>
          </w:divBdr>
          <w:divsChild>
            <w:div w:id="547225757">
              <w:marLeft w:val="0"/>
              <w:marRight w:val="0"/>
              <w:marTop w:val="0"/>
              <w:marBottom w:val="0"/>
              <w:divBdr>
                <w:top w:val="none" w:sz="0" w:space="0" w:color="auto"/>
                <w:left w:val="none" w:sz="0" w:space="0" w:color="auto"/>
                <w:bottom w:val="none" w:sz="0" w:space="0" w:color="auto"/>
                <w:right w:val="none" w:sz="0" w:space="0" w:color="auto"/>
              </w:divBdr>
            </w:div>
            <w:div w:id="586772864">
              <w:marLeft w:val="0"/>
              <w:marRight w:val="0"/>
              <w:marTop w:val="0"/>
              <w:marBottom w:val="0"/>
              <w:divBdr>
                <w:top w:val="none" w:sz="0" w:space="0" w:color="auto"/>
                <w:left w:val="none" w:sz="0" w:space="0" w:color="auto"/>
                <w:bottom w:val="none" w:sz="0" w:space="0" w:color="auto"/>
                <w:right w:val="none" w:sz="0" w:space="0" w:color="auto"/>
              </w:divBdr>
            </w:div>
            <w:div w:id="952787005">
              <w:marLeft w:val="0"/>
              <w:marRight w:val="0"/>
              <w:marTop w:val="0"/>
              <w:marBottom w:val="0"/>
              <w:divBdr>
                <w:top w:val="none" w:sz="0" w:space="0" w:color="auto"/>
                <w:left w:val="none" w:sz="0" w:space="0" w:color="auto"/>
                <w:bottom w:val="none" w:sz="0" w:space="0" w:color="auto"/>
                <w:right w:val="none" w:sz="0" w:space="0" w:color="auto"/>
              </w:divBdr>
            </w:div>
            <w:div w:id="1155610616">
              <w:marLeft w:val="0"/>
              <w:marRight w:val="0"/>
              <w:marTop w:val="0"/>
              <w:marBottom w:val="0"/>
              <w:divBdr>
                <w:top w:val="none" w:sz="0" w:space="0" w:color="auto"/>
                <w:left w:val="none" w:sz="0" w:space="0" w:color="auto"/>
                <w:bottom w:val="none" w:sz="0" w:space="0" w:color="auto"/>
                <w:right w:val="none" w:sz="0" w:space="0" w:color="auto"/>
              </w:divBdr>
            </w:div>
            <w:div w:id="1732386285">
              <w:marLeft w:val="0"/>
              <w:marRight w:val="0"/>
              <w:marTop w:val="0"/>
              <w:marBottom w:val="0"/>
              <w:divBdr>
                <w:top w:val="none" w:sz="0" w:space="0" w:color="auto"/>
                <w:left w:val="none" w:sz="0" w:space="0" w:color="auto"/>
                <w:bottom w:val="none" w:sz="0" w:space="0" w:color="auto"/>
                <w:right w:val="none" w:sz="0" w:space="0" w:color="auto"/>
              </w:divBdr>
            </w:div>
            <w:div w:id="1823616315">
              <w:marLeft w:val="0"/>
              <w:marRight w:val="0"/>
              <w:marTop w:val="0"/>
              <w:marBottom w:val="0"/>
              <w:divBdr>
                <w:top w:val="none" w:sz="0" w:space="0" w:color="auto"/>
                <w:left w:val="none" w:sz="0" w:space="0" w:color="auto"/>
                <w:bottom w:val="none" w:sz="0" w:space="0" w:color="auto"/>
                <w:right w:val="none" w:sz="0" w:space="0" w:color="auto"/>
              </w:divBdr>
            </w:div>
            <w:div w:id="2083991358">
              <w:marLeft w:val="0"/>
              <w:marRight w:val="0"/>
              <w:marTop w:val="0"/>
              <w:marBottom w:val="0"/>
              <w:divBdr>
                <w:top w:val="none" w:sz="0" w:space="0" w:color="auto"/>
                <w:left w:val="none" w:sz="0" w:space="0" w:color="auto"/>
                <w:bottom w:val="none" w:sz="0" w:space="0" w:color="auto"/>
                <w:right w:val="none" w:sz="0" w:space="0" w:color="auto"/>
              </w:divBdr>
            </w:div>
            <w:div w:id="2093816965">
              <w:marLeft w:val="0"/>
              <w:marRight w:val="0"/>
              <w:marTop w:val="0"/>
              <w:marBottom w:val="0"/>
              <w:divBdr>
                <w:top w:val="none" w:sz="0" w:space="0" w:color="auto"/>
                <w:left w:val="none" w:sz="0" w:space="0" w:color="auto"/>
                <w:bottom w:val="none" w:sz="0" w:space="0" w:color="auto"/>
                <w:right w:val="none" w:sz="0" w:space="0" w:color="auto"/>
              </w:divBdr>
            </w:div>
          </w:divsChild>
        </w:div>
        <w:div w:id="785780091">
          <w:marLeft w:val="0"/>
          <w:marRight w:val="0"/>
          <w:marTop w:val="0"/>
          <w:marBottom w:val="0"/>
          <w:divBdr>
            <w:top w:val="none" w:sz="0" w:space="0" w:color="auto"/>
            <w:left w:val="none" w:sz="0" w:space="0" w:color="auto"/>
            <w:bottom w:val="none" w:sz="0" w:space="0" w:color="auto"/>
            <w:right w:val="none" w:sz="0" w:space="0" w:color="auto"/>
          </w:divBdr>
          <w:divsChild>
            <w:div w:id="119082066">
              <w:marLeft w:val="0"/>
              <w:marRight w:val="0"/>
              <w:marTop w:val="0"/>
              <w:marBottom w:val="0"/>
              <w:divBdr>
                <w:top w:val="none" w:sz="0" w:space="0" w:color="auto"/>
                <w:left w:val="none" w:sz="0" w:space="0" w:color="auto"/>
                <w:bottom w:val="none" w:sz="0" w:space="0" w:color="auto"/>
                <w:right w:val="none" w:sz="0" w:space="0" w:color="auto"/>
              </w:divBdr>
            </w:div>
          </w:divsChild>
        </w:div>
        <w:div w:id="858003117">
          <w:marLeft w:val="0"/>
          <w:marRight w:val="0"/>
          <w:marTop w:val="0"/>
          <w:marBottom w:val="0"/>
          <w:divBdr>
            <w:top w:val="none" w:sz="0" w:space="0" w:color="auto"/>
            <w:left w:val="none" w:sz="0" w:space="0" w:color="auto"/>
            <w:bottom w:val="none" w:sz="0" w:space="0" w:color="auto"/>
            <w:right w:val="none" w:sz="0" w:space="0" w:color="auto"/>
          </w:divBdr>
          <w:divsChild>
            <w:div w:id="1990135043">
              <w:marLeft w:val="0"/>
              <w:marRight w:val="0"/>
              <w:marTop w:val="0"/>
              <w:marBottom w:val="0"/>
              <w:divBdr>
                <w:top w:val="none" w:sz="0" w:space="0" w:color="auto"/>
                <w:left w:val="none" w:sz="0" w:space="0" w:color="auto"/>
                <w:bottom w:val="none" w:sz="0" w:space="0" w:color="auto"/>
                <w:right w:val="none" w:sz="0" w:space="0" w:color="auto"/>
              </w:divBdr>
            </w:div>
          </w:divsChild>
        </w:div>
        <w:div w:id="876742755">
          <w:marLeft w:val="0"/>
          <w:marRight w:val="0"/>
          <w:marTop w:val="0"/>
          <w:marBottom w:val="0"/>
          <w:divBdr>
            <w:top w:val="none" w:sz="0" w:space="0" w:color="auto"/>
            <w:left w:val="none" w:sz="0" w:space="0" w:color="auto"/>
            <w:bottom w:val="none" w:sz="0" w:space="0" w:color="auto"/>
            <w:right w:val="none" w:sz="0" w:space="0" w:color="auto"/>
          </w:divBdr>
          <w:divsChild>
            <w:div w:id="1109086128">
              <w:marLeft w:val="0"/>
              <w:marRight w:val="0"/>
              <w:marTop w:val="0"/>
              <w:marBottom w:val="0"/>
              <w:divBdr>
                <w:top w:val="none" w:sz="0" w:space="0" w:color="auto"/>
                <w:left w:val="none" w:sz="0" w:space="0" w:color="auto"/>
                <w:bottom w:val="none" w:sz="0" w:space="0" w:color="auto"/>
                <w:right w:val="none" w:sz="0" w:space="0" w:color="auto"/>
              </w:divBdr>
            </w:div>
          </w:divsChild>
        </w:div>
        <w:div w:id="884097128">
          <w:marLeft w:val="0"/>
          <w:marRight w:val="0"/>
          <w:marTop w:val="0"/>
          <w:marBottom w:val="0"/>
          <w:divBdr>
            <w:top w:val="none" w:sz="0" w:space="0" w:color="auto"/>
            <w:left w:val="none" w:sz="0" w:space="0" w:color="auto"/>
            <w:bottom w:val="none" w:sz="0" w:space="0" w:color="auto"/>
            <w:right w:val="none" w:sz="0" w:space="0" w:color="auto"/>
          </w:divBdr>
          <w:divsChild>
            <w:div w:id="2134442229">
              <w:marLeft w:val="0"/>
              <w:marRight w:val="0"/>
              <w:marTop w:val="0"/>
              <w:marBottom w:val="0"/>
              <w:divBdr>
                <w:top w:val="none" w:sz="0" w:space="0" w:color="auto"/>
                <w:left w:val="none" w:sz="0" w:space="0" w:color="auto"/>
                <w:bottom w:val="none" w:sz="0" w:space="0" w:color="auto"/>
                <w:right w:val="none" w:sz="0" w:space="0" w:color="auto"/>
              </w:divBdr>
            </w:div>
          </w:divsChild>
        </w:div>
        <w:div w:id="892424973">
          <w:marLeft w:val="0"/>
          <w:marRight w:val="0"/>
          <w:marTop w:val="0"/>
          <w:marBottom w:val="0"/>
          <w:divBdr>
            <w:top w:val="none" w:sz="0" w:space="0" w:color="auto"/>
            <w:left w:val="none" w:sz="0" w:space="0" w:color="auto"/>
            <w:bottom w:val="none" w:sz="0" w:space="0" w:color="auto"/>
            <w:right w:val="none" w:sz="0" w:space="0" w:color="auto"/>
          </w:divBdr>
          <w:divsChild>
            <w:div w:id="1235897984">
              <w:marLeft w:val="0"/>
              <w:marRight w:val="0"/>
              <w:marTop w:val="0"/>
              <w:marBottom w:val="0"/>
              <w:divBdr>
                <w:top w:val="none" w:sz="0" w:space="0" w:color="auto"/>
                <w:left w:val="none" w:sz="0" w:space="0" w:color="auto"/>
                <w:bottom w:val="none" w:sz="0" w:space="0" w:color="auto"/>
                <w:right w:val="none" w:sz="0" w:space="0" w:color="auto"/>
              </w:divBdr>
            </w:div>
          </w:divsChild>
        </w:div>
        <w:div w:id="896165015">
          <w:marLeft w:val="0"/>
          <w:marRight w:val="0"/>
          <w:marTop w:val="0"/>
          <w:marBottom w:val="0"/>
          <w:divBdr>
            <w:top w:val="none" w:sz="0" w:space="0" w:color="auto"/>
            <w:left w:val="none" w:sz="0" w:space="0" w:color="auto"/>
            <w:bottom w:val="none" w:sz="0" w:space="0" w:color="auto"/>
            <w:right w:val="none" w:sz="0" w:space="0" w:color="auto"/>
          </w:divBdr>
          <w:divsChild>
            <w:div w:id="1248269235">
              <w:marLeft w:val="0"/>
              <w:marRight w:val="0"/>
              <w:marTop w:val="0"/>
              <w:marBottom w:val="0"/>
              <w:divBdr>
                <w:top w:val="none" w:sz="0" w:space="0" w:color="auto"/>
                <w:left w:val="none" w:sz="0" w:space="0" w:color="auto"/>
                <w:bottom w:val="none" w:sz="0" w:space="0" w:color="auto"/>
                <w:right w:val="none" w:sz="0" w:space="0" w:color="auto"/>
              </w:divBdr>
            </w:div>
          </w:divsChild>
        </w:div>
        <w:div w:id="990907042">
          <w:marLeft w:val="0"/>
          <w:marRight w:val="0"/>
          <w:marTop w:val="0"/>
          <w:marBottom w:val="0"/>
          <w:divBdr>
            <w:top w:val="none" w:sz="0" w:space="0" w:color="auto"/>
            <w:left w:val="none" w:sz="0" w:space="0" w:color="auto"/>
            <w:bottom w:val="none" w:sz="0" w:space="0" w:color="auto"/>
            <w:right w:val="none" w:sz="0" w:space="0" w:color="auto"/>
          </w:divBdr>
          <w:divsChild>
            <w:div w:id="1966738438">
              <w:marLeft w:val="0"/>
              <w:marRight w:val="0"/>
              <w:marTop w:val="0"/>
              <w:marBottom w:val="0"/>
              <w:divBdr>
                <w:top w:val="none" w:sz="0" w:space="0" w:color="auto"/>
                <w:left w:val="none" w:sz="0" w:space="0" w:color="auto"/>
                <w:bottom w:val="none" w:sz="0" w:space="0" w:color="auto"/>
                <w:right w:val="none" w:sz="0" w:space="0" w:color="auto"/>
              </w:divBdr>
            </w:div>
          </w:divsChild>
        </w:div>
        <w:div w:id="1028916800">
          <w:marLeft w:val="0"/>
          <w:marRight w:val="0"/>
          <w:marTop w:val="0"/>
          <w:marBottom w:val="0"/>
          <w:divBdr>
            <w:top w:val="none" w:sz="0" w:space="0" w:color="auto"/>
            <w:left w:val="none" w:sz="0" w:space="0" w:color="auto"/>
            <w:bottom w:val="none" w:sz="0" w:space="0" w:color="auto"/>
            <w:right w:val="none" w:sz="0" w:space="0" w:color="auto"/>
          </w:divBdr>
          <w:divsChild>
            <w:div w:id="1988120376">
              <w:marLeft w:val="0"/>
              <w:marRight w:val="0"/>
              <w:marTop w:val="0"/>
              <w:marBottom w:val="0"/>
              <w:divBdr>
                <w:top w:val="none" w:sz="0" w:space="0" w:color="auto"/>
                <w:left w:val="none" w:sz="0" w:space="0" w:color="auto"/>
                <w:bottom w:val="none" w:sz="0" w:space="0" w:color="auto"/>
                <w:right w:val="none" w:sz="0" w:space="0" w:color="auto"/>
              </w:divBdr>
            </w:div>
          </w:divsChild>
        </w:div>
        <w:div w:id="1053383798">
          <w:marLeft w:val="0"/>
          <w:marRight w:val="0"/>
          <w:marTop w:val="0"/>
          <w:marBottom w:val="0"/>
          <w:divBdr>
            <w:top w:val="none" w:sz="0" w:space="0" w:color="auto"/>
            <w:left w:val="none" w:sz="0" w:space="0" w:color="auto"/>
            <w:bottom w:val="none" w:sz="0" w:space="0" w:color="auto"/>
            <w:right w:val="none" w:sz="0" w:space="0" w:color="auto"/>
          </w:divBdr>
          <w:divsChild>
            <w:div w:id="1124233889">
              <w:marLeft w:val="0"/>
              <w:marRight w:val="0"/>
              <w:marTop w:val="0"/>
              <w:marBottom w:val="0"/>
              <w:divBdr>
                <w:top w:val="none" w:sz="0" w:space="0" w:color="auto"/>
                <w:left w:val="none" w:sz="0" w:space="0" w:color="auto"/>
                <w:bottom w:val="none" w:sz="0" w:space="0" w:color="auto"/>
                <w:right w:val="none" w:sz="0" w:space="0" w:color="auto"/>
              </w:divBdr>
            </w:div>
          </w:divsChild>
        </w:div>
        <w:div w:id="1105076922">
          <w:marLeft w:val="0"/>
          <w:marRight w:val="0"/>
          <w:marTop w:val="0"/>
          <w:marBottom w:val="0"/>
          <w:divBdr>
            <w:top w:val="none" w:sz="0" w:space="0" w:color="auto"/>
            <w:left w:val="none" w:sz="0" w:space="0" w:color="auto"/>
            <w:bottom w:val="none" w:sz="0" w:space="0" w:color="auto"/>
            <w:right w:val="none" w:sz="0" w:space="0" w:color="auto"/>
          </w:divBdr>
          <w:divsChild>
            <w:div w:id="868101625">
              <w:marLeft w:val="0"/>
              <w:marRight w:val="0"/>
              <w:marTop w:val="0"/>
              <w:marBottom w:val="0"/>
              <w:divBdr>
                <w:top w:val="none" w:sz="0" w:space="0" w:color="auto"/>
                <w:left w:val="none" w:sz="0" w:space="0" w:color="auto"/>
                <w:bottom w:val="none" w:sz="0" w:space="0" w:color="auto"/>
                <w:right w:val="none" w:sz="0" w:space="0" w:color="auto"/>
              </w:divBdr>
            </w:div>
          </w:divsChild>
        </w:div>
        <w:div w:id="1126198654">
          <w:marLeft w:val="0"/>
          <w:marRight w:val="0"/>
          <w:marTop w:val="0"/>
          <w:marBottom w:val="0"/>
          <w:divBdr>
            <w:top w:val="none" w:sz="0" w:space="0" w:color="auto"/>
            <w:left w:val="none" w:sz="0" w:space="0" w:color="auto"/>
            <w:bottom w:val="none" w:sz="0" w:space="0" w:color="auto"/>
            <w:right w:val="none" w:sz="0" w:space="0" w:color="auto"/>
          </w:divBdr>
          <w:divsChild>
            <w:div w:id="28070135">
              <w:marLeft w:val="0"/>
              <w:marRight w:val="0"/>
              <w:marTop w:val="0"/>
              <w:marBottom w:val="0"/>
              <w:divBdr>
                <w:top w:val="none" w:sz="0" w:space="0" w:color="auto"/>
                <w:left w:val="none" w:sz="0" w:space="0" w:color="auto"/>
                <w:bottom w:val="none" w:sz="0" w:space="0" w:color="auto"/>
                <w:right w:val="none" w:sz="0" w:space="0" w:color="auto"/>
              </w:divBdr>
            </w:div>
          </w:divsChild>
        </w:div>
        <w:div w:id="1178234381">
          <w:marLeft w:val="0"/>
          <w:marRight w:val="0"/>
          <w:marTop w:val="0"/>
          <w:marBottom w:val="0"/>
          <w:divBdr>
            <w:top w:val="none" w:sz="0" w:space="0" w:color="auto"/>
            <w:left w:val="none" w:sz="0" w:space="0" w:color="auto"/>
            <w:bottom w:val="none" w:sz="0" w:space="0" w:color="auto"/>
            <w:right w:val="none" w:sz="0" w:space="0" w:color="auto"/>
          </w:divBdr>
          <w:divsChild>
            <w:div w:id="66265115">
              <w:marLeft w:val="0"/>
              <w:marRight w:val="0"/>
              <w:marTop w:val="0"/>
              <w:marBottom w:val="0"/>
              <w:divBdr>
                <w:top w:val="none" w:sz="0" w:space="0" w:color="auto"/>
                <w:left w:val="none" w:sz="0" w:space="0" w:color="auto"/>
                <w:bottom w:val="none" w:sz="0" w:space="0" w:color="auto"/>
                <w:right w:val="none" w:sz="0" w:space="0" w:color="auto"/>
              </w:divBdr>
            </w:div>
          </w:divsChild>
        </w:div>
        <w:div w:id="1178806686">
          <w:marLeft w:val="0"/>
          <w:marRight w:val="0"/>
          <w:marTop w:val="0"/>
          <w:marBottom w:val="0"/>
          <w:divBdr>
            <w:top w:val="none" w:sz="0" w:space="0" w:color="auto"/>
            <w:left w:val="none" w:sz="0" w:space="0" w:color="auto"/>
            <w:bottom w:val="none" w:sz="0" w:space="0" w:color="auto"/>
            <w:right w:val="none" w:sz="0" w:space="0" w:color="auto"/>
          </w:divBdr>
          <w:divsChild>
            <w:div w:id="1920822355">
              <w:marLeft w:val="0"/>
              <w:marRight w:val="0"/>
              <w:marTop w:val="0"/>
              <w:marBottom w:val="0"/>
              <w:divBdr>
                <w:top w:val="none" w:sz="0" w:space="0" w:color="auto"/>
                <w:left w:val="none" w:sz="0" w:space="0" w:color="auto"/>
                <w:bottom w:val="none" w:sz="0" w:space="0" w:color="auto"/>
                <w:right w:val="none" w:sz="0" w:space="0" w:color="auto"/>
              </w:divBdr>
            </w:div>
          </w:divsChild>
        </w:div>
        <w:div w:id="1185481088">
          <w:marLeft w:val="0"/>
          <w:marRight w:val="0"/>
          <w:marTop w:val="0"/>
          <w:marBottom w:val="0"/>
          <w:divBdr>
            <w:top w:val="none" w:sz="0" w:space="0" w:color="auto"/>
            <w:left w:val="none" w:sz="0" w:space="0" w:color="auto"/>
            <w:bottom w:val="none" w:sz="0" w:space="0" w:color="auto"/>
            <w:right w:val="none" w:sz="0" w:space="0" w:color="auto"/>
          </w:divBdr>
          <w:divsChild>
            <w:div w:id="993949446">
              <w:marLeft w:val="0"/>
              <w:marRight w:val="0"/>
              <w:marTop w:val="0"/>
              <w:marBottom w:val="0"/>
              <w:divBdr>
                <w:top w:val="none" w:sz="0" w:space="0" w:color="auto"/>
                <w:left w:val="none" w:sz="0" w:space="0" w:color="auto"/>
                <w:bottom w:val="none" w:sz="0" w:space="0" w:color="auto"/>
                <w:right w:val="none" w:sz="0" w:space="0" w:color="auto"/>
              </w:divBdr>
            </w:div>
          </w:divsChild>
        </w:div>
        <w:div w:id="1201363409">
          <w:marLeft w:val="0"/>
          <w:marRight w:val="0"/>
          <w:marTop w:val="0"/>
          <w:marBottom w:val="0"/>
          <w:divBdr>
            <w:top w:val="none" w:sz="0" w:space="0" w:color="auto"/>
            <w:left w:val="none" w:sz="0" w:space="0" w:color="auto"/>
            <w:bottom w:val="none" w:sz="0" w:space="0" w:color="auto"/>
            <w:right w:val="none" w:sz="0" w:space="0" w:color="auto"/>
          </w:divBdr>
          <w:divsChild>
            <w:div w:id="508834234">
              <w:marLeft w:val="0"/>
              <w:marRight w:val="0"/>
              <w:marTop w:val="0"/>
              <w:marBottom w:val="0"/>
              <w:divBdr>
                <w:top w:val="none" w:sz="0" w:space="0" w:color="auto"/>
                <w:left w:val="none" w:sz="0" w:space="0" w:color="auto"/>
                <w:bottom w:val="none" w:sz="0" w:space="0" w:color="auto"/>
                <w:right w:val="none" w:sz="0" w:space="0" w:color="auto"/>
              </w:divBdr>
            </w:div>
          </w:divsChild>
        </w:div>
        <w:div w:id="1222445922">
          <w:marLeft w:val="0"/>
          <w:marRight w:val="0"/>
          <w:marTop w:val="0"/>
          <w:marBottom w:val="0"/>
          <w:divBdr>
            <w:top w:val="none" w:sz="0" w:space="0" w:color="auto"/>
            <w:left w:val="none" w:sz="0" w:space="0" w:color="auto"/>
            <w:bottom w:val="none" w:sz="0" w:space="0" w:color="auto"/>
            <w:right w:val="none" w:sz="0" w:space="0" w:color="auto"/>
          </w:divBdr>
          <w:divsChild>
            <w:div w:id="1887642738">
              <w:marLeft w:val="0"/>
              <w:marRight w:val="0"/>
              <w:marTop w:val="0"/>
              <w:marBottom w:val="0"/>
              <w:divBdr>
                <w:top w:val="none" w:sz="0" w:space="0" w:color="auto"/>
                <w:left w:val="none" w:sz="0" w:space="0" w:color="auto"/>
                <w:bottom w:val="none" w:sz="0" w:space="0" w:color="auto"/>
                <w:right w:val="none" w:sz="0" w:space="0" w:color="auto"/>
              </w:divBdr>
            </w:div>
          </w:divsChild>
        </w:div>
        <w:div w:id="1301880871">
          <w:marLeft w:val="0"/>
          <w:marRight w:val="0"/>
          <w:marTop w:val="0"/>
          <w:marBottom w:val="0"/>
          <w:divBdr>
            <w:top w:val="none" w:sz="0" w:space="0" w:color="auto"/>
            <w:left w:val="none" w:sz="0" w:space="0" w:color="auto"/>
            <w:bottom w:val="none" w:sz="0" w:space="0" w:color="auto"/>
            <w:right w:val="none" w:sz="0" w:space="0" w:color="auto"/>
          </w:divBdr>
          <w:divsChild>
            <w:div w:id="1395816281">
              <w:marLeft w:val="0"/>
              <w:marRight w:val="0"/>
              <w:marTop w:val="0"/>
              <w:marBottom w:val="0"/>
              <w:divBdr>
                <w:top w:val="none" w:sz="0" w:space="0" w:color="auto"/>
                <w:left w:val="none" w:sz="0" w:space="0" w:color="auto"/>
                <w:bottom w:val="none" w:sz="0" w:space="0" w:color="auto"/>
                <w:right w:val="none" w:sz="0" w:space="0" w:color="auto"/>
              </w:divBdr>
            </w:div>
          </w:divsChild>
        </w:div>
        <w:div w:id="1307903946">
          <w:marLeft w:val="0"/>
          <w:marRight w:val="0"/>
          <w:marTop w:val="0"/>
          <w:marBottom w:val="0"/>
          <w:divBdr>
            <w:top w:val="none" w:sz="0" w:space="0" w:color="auto"/>
            <w:left w:val="none" w:sz="0" w:space="0" w:color="auto"/>
            <w:bottom w:val="none" w:sz="0" w:space="0" w:color="auto"/>
            <w:right w:val="none" w:sz="0" w:space="0" w:color="auto"/>
          </w:divBdr>
          <w:divsChild>
            <w:div w:id="1852185517">
              <w:marLeft w:val="0"/>
              <w:marRight w:val="0"/>
              <w:marTop w:val="0"/>
              <w:marBottom w:val="0"/>
              <w:divBdr>
                <w:top w:val="none" w:sz="0" w:space="0" w:color="auto"/>
                <w:left w:val="none" w:sz="0" w:space="0" w:color="auto"/>
                <w:bottom w:val="none" w:sz="0" w:space="0" w:color="auto"/>
                <w:right w:val="none" w:sz="0" w:space="0" w:color="auto"/>
              </w:divBdr>
            </w:div>
          </w:divsChild>
        </w:div>
        <w:div w:id="1390154231">
          <w:marLeft w:val="0"/>
          <w:marRight w:val="0"/>
          <w:marTop w:val="0"/>
          <w:marBottom w:val="0"/>
          <w:divBdr>
            <w:top w:val="none" w:sz="0" w:space="0" w:color="auto"/>
            <w:left w:val="none" w:sz="0" w:space="0" w:color="auto"/>
            <w:bottom w:val="none" w:sz="0" w:space="0" w:color="auto"/>
            <w:right w:val="none" w:sz="0" w:space="0" w:color="auto"/>
          </w:divBdr>
          <w:divsChild>
            <w:div w:id="1771391200">
              <w:marLeft w:val="0"/>
              <w:marRight w:val="0"/>
              <w:marTop w:val="0"/>
              <w:marBottom w:val="0"/>
              <w:divBdr>
                <w:top w:val="none" w:sz="0" w:space="0" w:color="auto"/>
                <w:left w:val="none" w:sz="0" w:space="0" w:color="auto"/>
                <w:bottom w:val="none" w:sz="0" w:space="0" w:color="auto"/>
                <w:right w:val="none" w:sz="0" w:space="0" w:color="auto"/>
              </w:divBdr>
            </w:div>
          </w:divsChild>
        </w:div>
        <w:div w:id="1420176440">
          <w:marLeft w:val="0"/>
          <w:marRight w:val="0"/>
          <w:marTop w:val="0"/>
          <w:marBottom w:val="0"/>
          <w:divBdr>
            <w:top w:val="none" w:sz="0" w:space="0" w:color="auto"/>
            <w:left w:val="none" w:sz="0" w:space="0" w:color="auto"/>
            <w:bottom w:val="none" w:sz="0" w:space="0" w:color="auto"/>
            <w:right w:val="none" w:sz="0" w:space="0" w:color="auto"/>
          </w:divBdr>
          <w:divsChild>
            <w:div w:id="455489919">
              <w:marLeft w:val="0"/>
              <w:marRight w:val="0"/>
              <w:marTop w:val="0"/>
              <w:marBottom w:val="0"/>
              <w:divBdr>
                <w:top w:val="none" w:sz="0" w:space="0" w:color="auto"/>
                <w:left w:val="none" w:sz="0" w:space="0" w:color="auto"/>
                <w:bottom w:val="none" w:sz="0" w:space="0" w:color="auto"/>
                <w:right w:val="none" w:sz="0" w:space="0" w:color="auto"/>
              </w:divBdr>
            </w:div>
          </w:divsChild>
        </w:div>
        <w:div w:id="1453137277">
          <w:marLeft w:val="0"/>
          <w:marRight w:val="0"/>
          <w:marTop w:val="0"/>
          <w:marBottom w:val="0"/>
          <w:divBdr>
            <w:top w:val="none" w:sz="0" w:space="0" w:color="auto"/>
            <w:left w:val="none" w:sz="0" w:space="0" w:color="auto"/>
            <w:bottom w:val="none" w:sz="0" w:space="0" w:color="auto"/>
            <w:right w:val="none" w:sz="0" w:space="0" w:color="auto"/>
          </w:divBdr>
          <w:divsChild>
            <w:div w:id="1144591427">
              <w:marLeft w:val="0"/>
              <w:marRight w:val="0"/>
              <w:marTop w:val="0"/>
              <w:marBottom w:val="0"/>
              <w:divBdr>
                <w:top w:val="none" w:sz="0" w:space="0" w:color="auto"/>
                <w:left w:val="none" w:sz="0" w:space="0" w:color="auto"/>
                <w:bottom w:val="none" w:sz="0" w:space="0" w:color="auto"/>
                <w:right w:val="none" w:sz="0" w:space="0" w:color="auto"/>
              </w:divBdr>
            </w:div>
          </w:divsChild>
        </w:div>
        <w:div w:id="1463616695">
          <w:marLeft w:val="0"/>
          <w:marRight w:val="0"/>
          <w:marTop w:val="0"/>
          <w:marBottom w:val="0"/>
          <w:divBdr>
            <w:top w:val="none" w:sz="0" w:space="0" w:color="auto"/>
            <w:left w:val="none" w:sz="0" w:space="0" w:color="auto"/>
            <w:bottom w:val="none" w:sz="0" w:space="0" w:color="auto"/>
            <w:right w:val="none" w:sz="0" w:space="0" w:color="auto"/>
          </w:divBdr>
          <w:divsChild>
            <w:div w:id="232393191">
              <w:marLeft w:val="0"/>
              <w:marRight w:val="0"/>
              <w:marTop w:val="0"/>
              <w:marBottom w:val="0"/>
              <w:divBdr>
                <w:top w:val="none" w:sz="0" w:space="0" w:color="auto"/>
                <w:left w:val="none" w:sz="0" w:space="0" w:color="auto"/>
                <w:bottom w:val="none" w:sz="0" w:space="0" w:color="auto"/>
                <w:right w:val="none" w:sz="0" w:space="0" w:color="auto"/>
              </w:divBdr>
            </w:div>
            <w:div w:id="587736713">
              <w:marLeft w:val="0"/>
              <w:marRight w:val="0"/>
              <w:marTop w:val="0"/>
              <w:marBottom w:val="0"/>
              <w:divBdr>
                <w:top w:val="none" w:sz="0" w:space="0" w:color="auto"/>
                <w:left w:val="none" w:sz="0" w:space="0" w:color="auto"/>
                <w:bottom w:val="none" w:sz="0" w:space="0" w:color="auto"/>
                <w:right w:val="none" w:sz="0" w:space="0" w:color="auto"/>
              </w:divBdr>
            </w:div>
            <w:div w:id="780951524">
              <w:marLeft w:val="0"/>
              <w:marRight w:val="0"/>
              <w:marTop w:val="0"/>
              <w:marBottom w:val="0"/>
              <w:divBdr>
                <w:top w:val="none" w:sz="0" w:space="0" w:color="auto"/>
                <w:left w:val="none" w:sz="0" w:space="0" w:color="auto"/>
                <w:bottom w:val="none" w:sz="0" w:space="0" w:color="auto"/>
                <w:right w:val="none" w:sz="0" w:space="0" w:color="auto"/>
              </w:divBdr>
            </w:div>
            <w:div w:id="1070423808">
              <w:marLeft w:val="0"/>
              <w:marRight w:val="0"/>
              <w:marTop w:val="0"/>
              <w:marBottom w:val="0"/>
              <w:divBdr>
                <w:top w:val="none" w:sz="0" w:space="0" w:color="auto"/>
                <w:left w:val="none" w:sz="0" w:space="0" w:color="auto"/>
                <w:bottom w:val="none" w:sz="0" w:space="0" w:color="auto"/>
                <w:right w:val="none" w:sz="0" w:space="0" w:color="auto"/>
              </w:divBdr>
            </w:div>
            <w:div w:id="1592816009">
              <w:marLeft w:val="0"/>
              <w:marRight w:val="0"/>
              <w:marTop w:val="0"/>
              <w:marBottom w:val="0"/>
              <w:divBdr>
                <w:top w:val="none" w:sz="0" w:space="0" w:color="auto"/>
                <w:left w:val="none" w:sz="0" w:space="0" w:color="auto"/>
                <w:bottom w:val="none" w:sz="0" w:space="0" w:color="auto"/>
                <w:right w:val="none" w:sz="0" w:space="0" w:color="auto"/>
              </w:divBdr>
            </w:div>
          </w:divsChild>
        </w:div>
        <w:div w:id="1465781002">
          <w:marLeft w:val="0"/>
          <w:marRight w:val="0"/>
          <w:marTop w:val="0"/>
          <w:marBottom w:val="0"/>
          <w:divBdr>
            <w:top w:val="none" w:sz="0" w:space="0" w:color="auto"/>
            <w:left w:val="none" w:sz="0" w:space="0" w:color="auto"/>
            <w:bottom w:val="none" w:sz="0" w:space="0" w:color="auto"/>
            <w:right w:val="none" w:sz="0" w:space="0" w:color="auto"/>
          </w:divBdr>
          <w:divsChild>
            <w:div w:id="1049501430">
              <w:marLeft w:val="0"/>
              <w:marRight w:val="0"/>
              <w:marTop w:val="0"/>
              <w:marBottom w:val="0"/>
              <w:divBdr>
                <w:top w:val="none" w:sz="0" w:space="0" w:color="auto"/>
                <w:left w:val="none" w:sz="0" w:space="0" w:color="auto"/>
                <w:bottom w:val="none" w:sz="0" w:space="0" w:color="auto"/>
                <w:right w:val="none" w:sz="0" w:space="0" w:color="auto"/>
              </w:divBdr>
            </w:div>
          </w:divsChild>
        </w:div>
        <w:div w:id="1487043969">
          <w:marLeft w:val="0"/>
          <w:marRight w:val="0"/>
          <w:marTop w:val="0"/>
          <w:marBottom w:val="0"/>
          <w:divBdr>
            <w:top w:val="none" w:sz="0" w:space="0" w:color="auto"/>
            <w:left w:val="none" w:sz="0" w:space="0" w:color="auto"/>
            <w:bottom w:val="none" w:sz="0" w:space="0" w:color="auto"/>
            <w:right w:val="none" w:sz="0" w:space="0" w:color="auto"/>
          </w:divBdr>
          <w:divsChild>
            <w:div w:id="1736512192">
              <w:marLeft w:val="0"/>
              <w:marRight w:val="0"/>
              <w:marTop w:val="0"/>
              <w:marBottom w:val="0"/>
              <w:divBdr>
                <w:top w:val="none" w:sz="0" w:space="0" w:color="auto"/>
                <w:left w:val="none" w:sz="0" w:space="0" w:color="auto"/>
                <w:bottom w:val="none" w:sz="0" w:space="0" w:color="auto"/>
                <w:right w:val="none" w:sz="0" w:space="0" w:color="auto"/>
              </w:divBdr>
            </w:div>
          </w:divsChild>
        </w:div>
        <w:div w:id="1548492562">
          <w:marLeft w:val="0"/>
          <w:marRight w:val="0"/>
          <w:marTop w:val="0"/>
          <w:marBottom w:val="0"/>
          <w:divBdr>
            <w:top w:val="none" w:sz="0" w:space="0" w:color="auto"/>
            <w:left w:val="none" w:sz="0" w:space="0" w:color="auto"/>
            <w:bottom w:val="none" w:sz="0" w:space="0" w:color="auto"/>
            <w:right w:val="none" w:sz="0" w:space="0" w:color="auto"/>
          </w:divBdr>
          <w:divsChild>
            <w:div w:id="54087928">
              <w:marLeft w:val="0"/>
              <w:marRight w:val="0"/>
              <w:marTop w:val="0"/>
              <w:marBottom w:val="0"/>
              <w:divBdr>
                <w:top w:val="none" w:sz="0" w:space="0" w:color="auto"/>
                <w:left w:val="none" w:sz="0" w:space="0" w:color="auto"/>
                <w:bottom w:val="none" w:sz="0" w:space="0" w:color="auto"/>
                <w:right w:val="none" w:sz="0" w:space="0" w:color="auto"/>
              </w:divBdr>
            </w:div>
            <w:div w:id="1176653085">
              <w:marLeft w:val="0"/>
              <w:marRight w:val="0"/>
              <w:marTop w:val="0"/>
              <w:marBottom w:val="0"/>
              <w:divBdr>
                <w:top w:val="none" w:sz="0" w:space="0" w:color="auto"/>
                <w:left w:val="none" w:sz="0" w:space="0" w:color="auto"/>
                <w:bottom w:val="none" w:sz="0" w:space="0" w:color="auto"/>
                <w:right w:val="none" w:sz="0" w:space="0" w:color="auto"/>
              </w:divBdr>
            </w:div>
            <w:div w:id="1619334456">
              <w:marLeft w:val="0"/>
              <w:marRight w:val="0"/>
              <w:marTop w:val="0"/>
              <w:marBottom w:val="0"/>
              <w:divBdr>
                <w:top w:val="none" w:sz="0" w:space="0" w:color="auto"/>
                <w:left w:val="none" w:sz="0" w:space="0" w:color="auto"/>
                <w:bottom w:val="none" w:sz="0" w:space="0" w:color="auto"/>
                <w:right w:val="none" w:sz="0" w:space="0" w:color="auto"/>
              </w:divBdr>
            </w:div>
          </w:divsChild>
        </w:div>
        <w:div w:id="1570995620">
          <w:marLeft w:val="0"/>
          <w:marRight w:val="0"/>
          <w:marTop w:val="0"/>
          <w:marBottom w:val="0"/>
          <w:divBdr>
            <w:top w:val="none" w:sz="0" w:space="0" w:color="auto"/>
            <w:left w:val="none" w:sz="0" w:space="0" w:color="auto"/>
            <w:bottom w:val="none" w:sz="0" w:space="0" w:color="auto"/>
            <w:right w:val="none" w:sz="0" w:space="0" w:color="auto"/>
          </w:divBdr>
          <w:divsChild>
            <w:div w:id="1930693735">
              <w:marLeft w:val="0"/>
              <w:marRight w:val="0"/>
              <w:marTop w:val="0"/>
              <w:marBottom w:val="0"/>
              <w:divBdr>
                <w:top w:val="none" w:sz="0" w:space="0" w:color="auto"/>
                <w:left w:val="none" w:sz="0" w:space="0" w:color="auto"/>
                <w:bottom w:val="none" w:sz="0" w:space="0" w:color="auto"/>
                <w:right w:val="none" w:sz="0" w:space="0" w:color="auto"/>
              </w:divBdr>
            </w:div>
          </w:divsChild>
        </w:div>
        <w:div w:id="1602758345">
          <w:marLeft w:val="0"/>
          <w:marRight w:val="0"/>
          <w:marTop w:val="0"/>
          <w:marBottom w:val="0"/>
          <w:divBdr>
            <w:top w:val="none" w:sz="0" w:space="0" w:color="auto"/>
            <w:left w:val="none" w:sz="0" w:space="0" w:color="auto"/>
            <w:bottom w:val="none" w:sz="0" w:space="0" w:color="auto"/>
            <w:right w:val="none" w:sz="0" w:space="0" w:color="auto"/>
          </w:divBdr>
          <w:divsChild>
            <w:div w:id="222764193">
              <w:marLeft w:val="0"/>
              <w:marRight w:val="0"/>
              <w:marTop w:val="0"/>
              <w:marBottom w:val="0"/>
              <w:divBdr>
                <w:top w:val="none" w:sz="0" w:space="0" w:color="auto"/>
                <w:left w:val="none" w:sz="0" w:space="0" w:color="auto"/>
                <w:bottom w:val="none" w:sz="0" w:space="0" w:color="auto"/>
                <w:right w:val="none" w:sz="0" w:space="0" w:color="auto"/>
              </w:divBdr>
            </w:div>
          </w:divsChild>
        </w:div>
        <w:div w:id="1620988711">
          <w:marLeft w:val="0"/>
          <w:marRight w:val="0"/>
          <w:marTop w:val="0"/>
          <w:marBottom w:val="0"/>
          <w:divBdr>
            <w:top w:val="none" w:sz="0" w:space="0" w:color="auto"/>
            <w:left w:val="none" w:sz="0" w:space="0" w:color="auto"/>
            <w:bottom w:val="none" w:sz="0" w:space="0" w:color="auto"/>
            <w:right w:val="none" w:sz="0" w:space="0" w:color="auto"/>
          </w:divBdr>
          <w:divsChild>
            <w:div w:id="1808665216">
              <w:marLeft w:val="0"/>
              <w:marRight w:val="0"/>
              <w:marTop w:val="0"/>
              <w:marBottom w:val="0"/>
              <w:divBdr>
                <w:top w:val="none" w:sz="0" w:space="0" w:color="auto"/>
                <w:left w:val="none" w:sz="0" w:space="0" w:color="auto"/>
                <w:bottom w:val="none" w:sz="0" w:space="0" w:color="auto"/>
                <w:right w:val="none" w:sz="0" w:space="0" w:color="auto"/>
              </w:divBdr>
            </w:div>
          </w:divsChild>
        </w:div>
        <w:div w:id="1636328718">
          <w:marLeft w:val="0"/>
          <w:marRight w:val="0"/>
          <w:marTop w:val="0"/>
          <w:marBottom w:val="0"/>
          <w:divBdr>
            <w:top w:val="none" w:sz="0" w:space="0" w:color="auto"/>
            <w:left w:val="none" w:sz="0" w:space="0" w:color="auto"/>
            <w:bottom w:val="none" w:sz="0" w:space="0" w:color="auto"/>
            <w:right w:val="none" w:sz="0" w:space="0" w:color="auto"/>
          </w:divBdr>
          <w:divsChild>
            <w:div w:id="1122723846">
              <w:marLeft w:val="0"/>
              <w:marRight w:val="0"/>
              <w:marTop w:val="0"/>
              <w:marBottom w:val="0"/>
              <w:divBdr>
                <w:top w:val="none" w:sz="0" w:space="0" w:color="auto"/>
                <w:left w:val="none" w:sz="0" w:space="0" w:color="auto"/>
                <w:bottom w:val="none" w:sz="0" w:space="0" w:color="auto"/>
                <w:right w:val="none" w:sz="0" w:space="0" w:color="auto"/>
              </w:divBdr>
            </w:div>
          </w:divsChild>
        </w:div>
        <w:div w:id="1720738198">
          <w:marLeft w:val="0"/>
          <w:marRight w:val="0"/>
          <w:marTop w:val="0"/>
          <w:marBottom w:val="0"/>
          <w:divBdr>
            <w:top w:val="none" w:sz="0" w:space="0" w:color="auto"/>
            <w:left w:val="none" w:sz="0" w:space="0" w:color="auto"/>
            <w:bottom w:val="none" w:sz="0" w:space="0" w:color="auto"/>
            <w:right w:val="none" w:sz="0" w:space="0" w:color="auto"/>
          </w:divBdr>
          <w:divsChild>
            <w:div w:id="1965381304">
              <w:marLeft w:val="0"/>
              <w:marRight w:val="0"/>
              <w:marTop w:val="0"/>
              <w:marBottom w:val="0"/>
              <w:divBdr>
                <w:top w:val="none" w:sz="0" w:space="0" w:color="auto"/>
                <w:left w:val="none" w:sz="0" w:space="0" w:color="auto"/>
                <w:bottom w:val="none" w:sz="0" w:space="0" w:color="auto"/>
                <w:right w:val="none" w:sz="0" w:space="0" w:color="auto"/>
              </w:divBdr>
            </w:div>
          </w:divsChild>
        </w:div>
        <w:div w:id="1744524957">
          <w:marLeft w:val="0"/>
          <w:marRight w:val="0"/>
          <w:marTop w:val="0"/>
          <w:marBottom w:val="0"/>
          <w:divBdr>
            <w:top w:val="none" w:sz="0" w:space="0" w:color="auto"/>
            <w:left w:val="none" w:sz="0" w:space="0" w:color="auto"/>
            <w:bottom w:val="none" w:sz="0" w:space="0" w:color="auto"/>
            <w:right w:val="none" w:sz="0" w:space="0" w:color="auto"/>
          </w:divBdr>
          <w:divsChild>
            <w:div w:id="311763583">
              <w:marLeft w:val="0"/>
              <w:marRight w:val="0"/>
              <w:marTop w:val="0"/>
              <w:marBottom w:val="0"/>
              <w:divBdr>
                <w:top w:val="none" w:sz="0" w:space="0" w:color="auto"/>
                <w:left w:val="none" w:sz="0" w:space="0" w:color="auto"/>
                <w:bottom w:val="none" w:sz="0" w:space="0" w:color="auto"/>
                <w:right w:val="none" w:sz="0" w:space="0" w:color="auto"/>
              </w:divBdr>
            </w:div>
          </w:divsChild>
        </w:div>
        <w:div w:id="1854686314">
          <w:marLeft w:val="0"/>
          <w:marRight w:val="0"/>
          <w:marTop w:val="0"/>
          <w:marBottom w:val="0"/>
          <w:divBdr>
            <w:top w:val="none" w:sz="0" w:space="0" w:color="auto"/>
            <w:left w:val="none" w:sz="0" w:space="0" w:color="auto"/>
            <w:bottom w:val="none" w:sz="0" w:space="0" w:color="auto"/>
            <w:right w:val="none" w:sz="0" w:space="0" w:color="auto"/>
          </w:divBdr>
          <w:divsChild>
            <w:div w:id="1012493853">
              <w:marLeft w:val="0"/>
              <w:marRight w:val="0"/>
              <w:marTop w:val="0"/>
              <w:marBottom w:val="0"/>
              <w:divBdr>
                <w:top w:val="none" w:sz="0" w:space="0" w:color="auto"/>
                <w:left w:val="none" w:sz="0" w:space="0" w:color="auto"/>
                <w:bottom w:val="none" w:sz="0" w:space="0" w:color="auto"/>
                <w:right w:val="none" w:sz="0" w:space="0" w:color="auto"/>
              </w:divBdr>
            </w:div>
          </w:divsChild>
        </w:div>
        <w:div w:id="1856459107">
          <w:marLeft w:val="0"/>
          <w:marRight w:val="0"/>
          <w:marTop w:val="0"/>
          <w:marBottom w:val="0"/>
          <w:divBdr>
            <w:top w:val="none" w:sz="0" w:space="0" w:color="auto"/>
            <w:left w:val="none" w:sz="0" w:space="0" w:color="auto"/>
            <w:bottom w:val="none" w:sz="0" w:space="0" w:color="auto"/>
            <w:right w:val="none" w:sz="0" w:space="0" w:color="auto"/>
          </w:divBdr>
          <w:divsChild>
            <w:div w:id="1212229421">
              <w:marLeft w:val="0"/>
              <w:marRight w:val="0"/>
              <w:marTop w:val="0"/>
              <w:marBottom w:val="0"/>
              <w:divBdr>
                <w:top w:val="none" w:sz="0" w:space="0" w:color="auto"/>
                <w:left w:val="none" w:sz="0" w:space="0" w:color="auto"/>
                <w:bottom w:val="none" w:sz="0" w:space="0" w:color="auto"/>
                <w:right w:val="none" w:sz="0" w:space="0" w:color="auto"/>
              </w:divBdr>
            </w:div>
          </w:divsChild>
        </w:div>
        <w:div w:id="1889536816">
          <w:marLeft w:val="0"/>
          <w:marRight w:val="0"/>
          <w:marTop w:val="0"/>
          <w:marBottom w:val="0"/>
          <w:divBdr>
            <w:top w:val="none" w:sz="0" w:space="0" w:color="auto"/>
            <w:left w:val="none" w:sz="0" w:space="0" w:color="auto"/>
            <w:bottom w:val="none" w:sz="0" w:space="0" w:color="auto"/>
            <w:right w:val="none" w:sz="0" w:space="0" w:color="auto"/>
          </w:divBdr>
          <w:divsChild>
            <w:div w:id="640499476">
              <w:marLeft w:val="0"/>
              <w:marRight w:val="0"/>
              <w:marTop w:val="0"/>
              <w:marBottom w:val="0"/>
              <w:divBdr>
                <w:top w:val="none" w:sz="0" w:space="0" w:color="auto"/>
                <w:left w:val="none" w:sz="0" w:space="0" w:color="auto"/>
                <w:bottom w:val="none" w:sz="0" w:space="0" w:color="auto"/>
                <w:right w:val="none" w:sz="0" w:space="0" w:color="auto"/>
              </w:divBdr>
            </w:div>
          </w:divsChild>
        </w:div>
        <w:div w:id="1961842642">
          <w:marLeft w:val="0"/>
          <w:marRight w:val="0"/>
          <w:marTop w:val="0"/>
          <w:marBottom w:val="0"/>
          <w:divBdr>
            <w:top w:val="none" w:sz="0" w:space="0" w:color="auto"/>
            <w:left w:val="none" w:sz="0" w:space="0" w:color="auto"/>
            <w:bottom w:val="none" w:sz="0" w:space="0" w:color="auto"/>
            <w:right w:val="none" w:sz="0" w:space="0" w:color="auto"/>
          </w:divBdr>
          <w:divsChild>
            <w:div w:id="340011975">
              <w:marLeft w:val="0"/>
              <w:marRight w:val="0"/>
              <w:marTop w:val="0"/>
              <w:marBottom w:val="0"/>
              <w:divBdr>
                <w:top w:val="none" w:sz="0" w:space="0" w:color="auto"/>
                <w:left w:val="none" w:sz="0" w:space="0" w:color="auto"/>
                <w:bottom w:val="none" w:sz="0" w:space="0" w:color="auto"/>
                <w:right w:val="none" w:sz="0" w:space="0" w:color="auto"/>
              </w:divBdr>
            </w:div>
          </w:divsChild>
        </w:div>
        <w:div w:id="1998340621">
          <w:marLeft w:val="0"/>
          <w:marRight w:val="0"/>
          <w:marTop w:val="0"/>
          <w:marBottom w:val="0"/>
          <w:divBdr>
            <w:top w:val="none" w:sz="0" w:space="0" w:color="auto"/>
            <w:left w:val="none" w:sz="0" w:space="0" w:color="auto"/>
            <w:bottom w:val="none" w:sz="0" w:space="0" w:color="auto"/>
            <w:right w:val="none" w:sz="0" w:space="0" w:color="auto"/>
          </w:divBdr>
          <w:divsChild>
            <w:div w:id="240989554">
              <w:marLeft w:val="0"/>
              <w:marRight w:val="0"/>
              <w:marTop w:val="0"/>
              <w:marBottom w:val="0"/>
              <w:divBdr>
                <w:top w:val="none" w:sz="0" w:space="0" w:color="auto"/>
                <w:left w:val="none" w:sz="0" w:space="0" w:color="auto"/>
                <w:bottom w:val="none" w:sz="0" w:space="0" w:color="auto"/>
                <w:right w:val="none" w:sz="0" w:space="0" w:color="auto"/>
              </w:divBdr>
            </w:div>
          </w:divsChild>
        </w:div>
        <w:div w:id="2029217741">
          <w:marLeft w:val="0"/>
          <w:marRight w:val="0"/>
          <w:marTop w:val="0"/>
          <w:marBottom w:val="0"/>
          <w:divBdr>
            <w:top w:val="none" w:sz="0" w:space="0" w:color="auto"/>
            <w:left w:val="none" w:sz="0" w:space="0" w:color="auto"/>
            <w:bottom w:val="none" w:sz="0" w:space="0" w:color="auto"/>
            <w:right w:val="none" w:sz="0" w:space="0" w:color="auto"/>
          </w:divBdr>
          <w:divsChild>
            <w:div w:id="1349600781">
              <w:marLeft w:val="0"/>
              <w:marRight w:val="0"/>
              <w:marTop w:val="0"/>
              <w:marBottom w:val="0"/>
              <w:divBdr>
                <w:top w:val="none" w:sz="0" w:space="0" w:color="auto"/>
                <w:left w:val="none" w:sz="0" w:space="0" w:color="auto"/>
                <w:bottom w:val="none" w:sz="0" w:space="0" w:color="auto"/>
                <w:right w:val="none" w:sz="0" w:space="0" w:color="auto"/>
              </w:divBdr>
            </w:div>
          </w:divsChild>
        </w:div>
        <w:div w:id="2086947016">
          <w:marLeft w:val="0"/>
          <w:marRight w:val="0"/>
          <w:marTop w:val="0"/>
          <w:marBottom w:val="0"/>
          <w:divBdr>
            <w:top w:val="none" w:sz="0" w:space="0" w:color="auto"/>
            <w:left w:val="none" w:sz="0" w:space="0" w:color="auto"/>
            <w:bottom w:val="none" w:sz="0" w:space="0" w:color="auto"/>
            <w:right w:val="none" w:sz="0" w:space="0" w:color="auto"/>
          </w:divBdr>
          <w:divsChild>
            <w:div w:id="651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55111">
      <w:bodyDiv w:val="1"/>
      <w:marLeft w:val="0"/>
      <w:marRight w:val="0"/>
      <w:marTop w:val="0"/>
      <w:marBottom w:val="0"/>
      <w:divBdr>
        <w:top w:val="none" w:sz="0" w:space="0" w:color="auto"/>
        <w:left w:val="none" w:sz="0" w:space="0" w:color="auto"/>
        <w:bottom w:val="none" w:sz="0" w:space="0" w:color="auto"/>
        <w:right w:val="none" w:sz="0" w:space="0" w:color="auto"/>
      </w:divBdr>
      <w:divsChild>
        <w:div w:id="97650242">
          <w:marLeft w:val="0"/>
          <w:marRight w:val="0"/>
          <w:marTop w:val="0"/>
          <w:marBottom w:val="0"/>
          <w:divBdr>
            <w:top w:val="none" w:sz="0" w:space="0" w:color="auto"/>
            <w:left w:val="none" w:sz="0" w:space="0" w:color="auto"/>
            <w:bottom w:val="none" w:sz="0" w:space="0" w:color="auto"/>
            <w:right w:val="none" w:sz="0" w:space="0" w:color="auto"/>
          </w:divBdr>
          <w:divsChild>
            <w:div w:id="1695956132">
              <w:marLeft w:val="0"/>
              <w:marRight w:val="0"/>
              <w:marTop w:val="0"/>
              <w:marBottom w:val="0"/>
              <w:divBdr>
                <w:top w:val="none" w:sz="0" w:space="0" w:color="auto"/>
                <w:left w:val="none" w:sz="0" w:space="0" w:color="auto"/>
                <w:bottom w:val="none" w:sz="0" w:space="0" w:color="auto"/>
                <w:right w:val="none" w:sz="0" w:space="0" w:color="auto"/>
              </w:divBdr>
            </w:div>
          </w:divsChild>
        </w:div>
        <w:div w:id="99952388">
          <w:marLeft w:val="0"/>
          <w:marRight w:val="0"/>
          <w:marTop w:val="0"/>
          <w:marBottom w:val="0"/>
          <w:divBdr>
            <w:top w:val="none" w:sz="0" w:space="0" w:color="auto"/>
            <w:left w:val="none" w:sz="0" w:space="0" w:color="auto"/>
            <w:bottom w:val="none" w:sz="0" w:space="0" w:color="auto"/>
            <w:right w:val="none" w:sz="0" w:space="0" w:color="auto"/>
          </w:divBdr>
          <w:divsChild>
            <w:div w:id="1751777740">
              <w:marLeft w:val="0"/>
              <w:marRight w:val="0"/>
              <w:marTop w:val="0"/>
              <w:marBottom w:val="0"/>
              <w:divBdr>
                <w:top w:val="none" w:sz="0" w:space="0" w:color="auto"/>
                <w:left w:val="none" w:sz="0" w:space="0" w:color="auto"/>
                <w:bottom w:val="none" w:sz="0" w:space="0" w:color="auto"/>
                <w:right w:val="none" w:sz="0" w:space="0" w:color="auto"/>
              </w:divBdr>
            </w:div>
          </w:divsChild>
        </w:div>
        <w:div w:id="113447058">
          <w:marLeft w:val="0"/>
          <w:marRight w:val="0"/>
          <w:marTop w:val="0"/>
          <w:marBottom w:val="0"/>
          <w:divBdr>
            <w:top w:val="none" w:sz="0" w:space="0" w:color="auto"/>
            <w:left w:val="none" w:sz="0" w:space="0" w:color="auto"/>
            <w:bottom w:val="none" w:sz="0" w:space="0" w:color="auto"/>
            <w:right w:val="none" w:sz="0" w:space="0" w:color="auto"/>
          </w:divBdr>
          <w:divsChild>
            <w:div w:id="718944124">
              <w:marLeft w:val="0"/>
              <w:marRight w:val="0"/>
              <w:marTop w:val="0"/>
              <w:marBottom w:val="0"/>
              <w:divBdr>
                <w:top w:val="none" w:sz="0" w:space="0" w:color="auto"/>
                <w:left w:val="none" w:sz="0" w:space="0" w:color="auto"/>
                <w:bottom w:val="none" w:sz="0" w:space="0" w:color="auto"/>
                <w:right w:val="none" w:sz="0" w:space="0" w:color="auto"/>
              </w:divBdr>
            </w:div>
            <w:div w:id="749347405">
              <w:marLeft w:val="0"/>
              <w:marRight w:val="0"/>
              <w:marTop w:val="0"/>
              <w:marBottom w:val="0"/>
              <w:divBdr>
                <w:top w:val="none" w:sz="0" w:space="0" w:color="auto"/>
                <w:left w:val="none" w:sz="0" w:space="0" w:color="auto"/>
                <w:bottom w:val="none" w:sz="0" w:space="0" w:color="auto"/>
                <w:right w:val="none" w:sz="0" w:space="0" w:color="auto"/>
              </w:divBdr>
            </w:div>
            <w:div w:id="1446924201">
              <w:marLeft w:val="0"/>
              <w:marRight w:val="0"/>
              <w:marTop w:val="0"/>
              <w:marBottom w:val="0"/>
              <w:divBdr>
                <w:top w:val="none" w:sz="0" w:space="0" w:color="auto"/>
                <w:left w:val="none" w:sz="0" w:space="0" w:color="auto"/>
                <w:bottom w:val="none" w:sz="0" w:space="0" w:color="auto"/>
                <w:right w:val="none" w:sz="0" w:space="0" w:color="auto"/>
              </w:divBdr>
            </w:div>
            <w:div w:id="1910579231">
              <w:marLeft w:val="0"/>
              <w:marRight w:val="0"/>
              <w:marTop w:val="0"/>
              <w:marBottom w:val="0"/>
              <w:divBdr>
                <w:top w:val="none" w:sz="0" w:space="0" w:color="auto"/>
                <w:left w:val="none" w:sz="0" w:space="0" w:color="auto"/>
                <w:bottom w:val="none" w:sz="0" w:space="0" w:color="auto"/>
                <w:right w:val="none" w:sz="0" w:space="0" w:color="auto"/>
              </w:divBdr>
            </w:div>
          </w:divsChild>
        </w:div>
        <w:div w:id="113863886">
          <w:marLeft w:val="0"/>
          <w:marRight w:val="0"/>
          <w:marTop w:val="0"/>
          <w:marBottom w:val="0"/>
          <w:divBdr>
            <w:top w:val="none" w:sz="0" w:space="0" w:color="auto"/>
            <w:left w:val="none" w:sz="0" w:space="0" w:color="auto"/>
            <w:bottom w:val="none" w:sz="0" w:space="0" w:color="auto"/>
            <w:right w:val="none" w:sz="0" w:space="0" w:color="auto"/>
          </w:divBdr>
          <w:divsChild>
            <w:div w:id="1248153145">
              <w:marLeft w:val="0"/>
              <w:marRight w:val="0"/>
              <w:marTop w:val="0"/>
              <w:marBottom w:val="0"/>
              <w:divBdr>
                <w:top w:val="none" w:sz="0" w:space="0" w:color="auto"/>
                <w:left w:val="none" w:sz="0" w:space="0" w:color="auto"/>
                <w:bottom w:val="none" w:sz="0" w:space="0" w:color="auto"/>
                <w:right w:val="none" w:sz="0" w:space="0" w:color="auto"/>
              </w:divBdr>
            </w:div>
          </w:divsChild>
        </w:div>
        <w:div w:id="135998084">
          <w:marLeft w:val="0"/>
          <w:marRight w:val="0"/>
          <w:marTop w:val="0"/>
          <w:marBottom w:val="0"/>
          <w:divBdr>
            <w:top w:val="none" w:sz="0" w:space="0" w:color="auto"/>
            <w:left w:val="none" w:sz="0" w:space="0" w:color="auto"/>
            <w:bottom w:val="none" w:sz="0" w:space="0" w:color="auto"/>
            <w:right w:val="none" w:sz="0" w:space="0" w:color="auto"/>
          </w:divBdr>
          <w:divsChild>
            <w:div w:id="756052226">
              <w:marLeft w:val="0"/>
              <w:marRight w:val="0"/>
              <w:marTop w:val="0"/>
              <w:marBottom w:val="0"/>
              <w:divBdr>
                <w:top w:val="none" w:sz="0" w:space="0" w:color="auto"/>
                <w:left w:val="none" w:sz="0" w:space="0" w:color="auto"/>
                <w:bottom w:val="none" w:sz="0" w:space="0" w:color="auto"/>
                <w:right w:val="none" w:sz="0" w:space="0" w:color="auto"/>
              </w:divBdr>
            </w:div>
          </w:divsChild>
        </w:div>
        <w:div w:id="161241056">
          <w:marLeft w:val="0"/>
          <w:marRight w:val="0"/>
          <w:marTop w:val="0"/>
          <w:marBottom w:val="0"/>
          <w:divBdr>
            <w:top w:val="none" w:sz="0" w:space="0" w:color="auto"/>
            <w:left w:val="none" w:sz="0" w:space="0" w:color="auto"/>
            <w:bottom w:val="none" w:sz="0" w:space="0" w:color="auto"/>
            <w:right w:val="none" w:sz="0" w:space="0" w:color="auto"/>
          </w:divBdr>
          <w:divsChild>
            <w:div w:id="1666935402">
              <w:marLeft w:val="0"/>
              <w:marRight w:val="0"/>
              <w:marTop w:val="0"/>
              <w:marBottom w:val="0"/>
              <w:divBdr>
                <w:top w:val="none" w:sz="0" w:space="0" w:color="auto"/>
                <w:left w:val="none" w:sz="0" w:space="0" w:color="auto"/>
                <w:bottom w:val="none" w:sz="0" w:space="0" w:color="auto"/>
                <w:right w:val="none" w:sz="0" w:space="0" w:color="auto"/>
              </w:divBdr>
            </w:div>
          </w:divsChild>
        </w:div>
        <w:div w:id="188685264">
          <w:marLeft w:val="0"/>
          <w:marRight w:val="0"/>
          <w:marTop w:val="0"/>
          <w:marBottom w:val="0"/>
          <w:divBdr>
            <w:top w:val="none" w:sz="0" w:space="0" w:color="auto"/>
            <w:left w:val="none" w:sz="0" w:space="0" w:color="auto"/>
            <w:bottom w:val="none" w:sz="0" w:space="0" w:color="auto"/>
            <w:right w:val="none" w:sz="0" w:space="0" w:color="auto"/>
          </w:divBdr>
          <w:divsChild>
            <w:div w:id="400520036">
              <w:marLeft w:val="0"/>
              <w:marRight w:val="0"/>
              <w:marTop w:val="0"/>
              <w:marBottom w:val="0"/>
              <w:divBdr>
                <w:top w:val="none" w:sz="0" w:space="0" w:color="auto"/>
                <w:left w:val="none" w:sz="0" w:space="0" w:color="auto"/>
                <w:bottom w:val="none" w:sz="0" w:space="0" w:color="auto"/>
                <w:right w:val="none" w:sz="0" w:space="0" w:color="auto"/>
              </w:divBdr>
            </w:div>
            <w:div w:id="440296453">
              <w:marLeft w:val="0"/>
              <w:marRight w:val="0"/>
              <w:marTop w:val="0"/>
              <w:marBottom w:val="0"/>
              <w:divBdr>
                <w:top w:val="none" w:sz="0" w:space="0" w:color="auto"/>
                <w:left w:val="none" w:sz="0" w:space="0" w:color="auto"/>
                <w:bottom w:val="none" w:sz="0" w:space="0" w:color="auto"/>
                <w:right w:val="none" w:sz="0" w:space="0" w:color="auto"/>
              </w:divBdr>
            </w:div>
            <w:div w:id="870999912">
              <w:marLeft w:val="0"/>
              <w:marRight w:val="0"/>
              <w:marTop w:val="0"/>
              <w:marBottom w:val="0"/>
              <w:divBdr>
                <w:top w:val="none" w:sz="0" w:space="0" w:color="auto"/>
                <w:left w:val="none" w:sz="0" w:space="0" w:color="auto"/>
                <w:bottom w:val="none" w:sz="0" w:space="0" w:color="auto"/>
                <w:right w:val="none" w:sz="0" w:space="0" w:color="auto"/>
              </w:divBdr>
            </w:div>
            <w:div w:id="1337027856">
              <w:marLeft w:val="0"/>
              <w:marRight w:val="0"/>
              <w:marTop w:val="0"/>
              <w:marBottom w:val="0"/>
              <w:divBdr>
                <w:top w:val="none" w:sz="0" w:space="0" w:color="auto"/>
                <w:left w:val="none" w:sz="0" w:space="0" w:color="auto"/>
                <w:bottom w:val="none" w:sz="0" w:space="0" w:color="auto"/>
                <w:right w:val="none" w:sz="0" w:space="0" w:color="auto"/>
              </w:divBdr>
            </w:div>
            <w:div w:id="1790929394">
              <w:marLeft w:val="0"/>
              <w:marRight w:val="0"/>
              <w:marTop w:val="0"/>
              <w:marBottom w:val="0"/>
              <w:divBdr>
                <w:top w:val="none" w:sz="0" w:space="0" w:color="auto"/>
                <w:left w:val="none" w:sz="0" w:space="0" w:color="auto"/>
                <w:bottom w:val="none" w:sz="0" w:space="0" w:color="auto"/>
                <w:right w:val="none" w:sz="0" w:space="0" w:color="auto"/>
              </w:divBdr>
            </w:div>
          </w:divsChild>
        </w:div>
        <w:div w:id="190801944">
          <w:marLeft w:val="0"/>
          <w:marRight w:val="0"/>
          <w:marTop w:val="0"/>
          <w:marBottom w:val="0"/>
          <w:divBdr>
            <w:top w:val="none" w:sz="0" w:space="0" w:color="auto"/>
            <w:left w:val="none" w:sz="0" w:space="0" w:color="auto"/>
            <w:bottom w:val="none" w:sz="0" w:space="0" w:color="auto"/>
            <w:right w:val="none" w:sz="0" w:space="0" w:color="auto"/>
          </w:divBdr>
          <w:divsChild>
            <w:div w:id="665548278">
              <w:marLeft w:val="0"/>
              <w:marRight w:val="0"/>
              <w:marTop w:val="0"/>
              <w:marBottom w:val="0"/>
              <w:divBdr>
                <w:top w:val="none" w:sz="0" w:space="0" w:color="auto"/>
                <w:left w:val="none" w:sz="0" w:space="0" w:color="auto"/>
                <w:bottom w:val="none" w:sz="0" w:space="0" w:color="auto"/>
                <w:right w:val="none" w:sz="0" w:space="0" w:color="auto"/>
              </w:divBdr>
            </w:div>
          </w:divsChild>
        </w:div>
        <w:div w:id="263854082">
          <w:marLeft w:val="0"/>
          <w:marRight w:val="0"/>
          <w:marTop w:val="0"/>
          <w:marBottom w:val="0"/>
          <w:divBdr>
            <w:top w:val="none" w:sz="0" w:space="0" w:color="auto"/>
            <w:left w:val="none" w:sz="0" w:space="0" w:color="auto"/>
            <w:bottom w:val="none" w:sz="0" w:space="0" w:color="auto"/>
            <w:right w:val="none" w:sz="0" w:space="0" w:color="auto"/>
          </w:divBdr>
          <w:divsChild>
            <w:div w:id="1023046701">
              <w:marLeft w:val="0"/>
              <w:marRight w:val="0"/>
              <w:marTop w:val="0"/>
              <w:marBottom w:val="0"/>
              <w:divBdr>
                <w:top w:val="none" w:sz="0" w:space="0" w:color="auto"/>
                <w:left w:val="none" w:sz="0" w:space="0" w:color="auto"/>
                <w:bottom w:val="none" w:sz="0" w:space="0" w:color="auto"/>
                <w:right w:val="none" w:sz="0" w:space="0" w:color="auto"/>
              </w:divBdr>
            </w:div>
          </w:divsChild>
        </w:div>
        <w:div w:id="269508882">
          <w:marLeft w:val="0"/>
          <w:marRight w:val="0"/>
          <w:marTop w:val="0"/>
          <w:marBottom w:val="0"/>
          <w:divBdr>
            <w:top w:val="none" w:sz="0" w:space="0" w:color="auto"/>
            <w:left w:val="none" w:sz="0" w:space="0" w:color="auto"/>
            <w:bottom w:val="none" w:sz="0" w:space="0" w:color="auto"/>
            <w:right w:val="none" w:sz="0" w:space="0" w:color="auto"/>
          </w:divBdr>
          <w:divsChild>
            <w:div w:id="679622924">
              <w:marLeft w:val="0"/>
              <w:marRight w:val="0"/>
              <w:marTop w:val="0"/>
              <w:marBottom w:val="0"/>
              <w:divBdr>
                <w:top w:val="none" w:sz="0" w:space="0" w:color="auto"/>
                <w:left w:val="none" w:sz="0" w:space="0" w:color="auto"/>
                <w:bottom w:val="none" w:sz="0" w:space="0" w:color="auto"/>
                <w:right w:val="none" w:sz="0" w:space="0" w:color="auto"/>
              </w:divBdr>
            </w:div>
          </w:divsChild>
        </w:div>
        <w:div w:id="271984293">
          <w:marLeft w:val="0"/>
          <w:marRight w:val="0"/>
          <w:marTop w:val="0"/>
          <w:marBottom w:val="0"/>
          <w:divBdr>
            <w:top w:val="none" w:sz="0" w:space="0" w:color="auto"/>
            <w:left w:val="none" w:sz="0" w:space="0" w:color="auto"/>
            <w:bottom w:val="none" w:sz="0" w:space="0" w:color="auto"/>
            <w:right w:val="none" w:sz="0" w:space="0" w:color="auto"/>
          </w:divBdr>
          <w:divsChild>
            <w:div w:id="1332024465">
              <w:marLeft w:val="0"/>
              <w:marRight w:val="0"/>
              <w:marTop w:val="0"/>
              <w:marBottom w:val="0"/>
              <w:divBdr>
                <w:top w:val="none" w:sz="0" w:space="0" w:color="auto"/>
                <w:left w:val="none" w:sz="0" w:space="0" w:color="auto"/>
                <w:bottom w:val="none" w:sz="0" w:space="0" w:color="auto"/>
                <w:right w:val="none" w:sz="0" w:space="0" w:color="auto"/>
              </w:divBdr>
            </w:div>
          </w:divsChild>
        </w:div>
        <w:div w:id="423890119">
          <w:marLeft w:val="0"/>
          <w:marRight w:val="0"/>
          <w:marTop w:val="0"/>
          <w:marBottom w:val="0"/>
          <w:divBdr>
            <w:top w:val="none" w:sz="0" w:space="0" w:color="auto"/>
            <w:left w:val="none" w:sz="0" w:space="0" w:color="auto"/>
            <w:bottom w:val="none" w:sz="0" w:space="0" w:color="auto"/>
            <w:right w:val="none" w:sz="0" w:space="0" w:color="auto"/>
          </w:divBdr>
          <w:divsChild>
            <w:div w:id="1517111201">
              <w:marLeft w:val="0"/>
              <w:marRight w:val="0"/>
              <w:marTop w:val="0"/>
              <w:marBottom w:val="0"/>
              <w:divBdr>
                <w:top w:val="none" w:sz="0" w:space="0" w:color="auto"/>
                <w:left w:val="none" w:sz="0" w:space="0" w:color="auto"/>
                <w:bottom w:val="none" w:sz="0" w:space="0" w:color="auto"/>
                <w:right w:val="none" w:sz="0" w:space="0" w:color="auto"/>
              </w:divBdr>
            </w:div>
          </w:divsChild>
        </w:div>
        <w:div w:id="570232792">
          <w:marLeft w:val="0"/>
          <w:marRight w:val="0"/>
          <w:marTop w:val="0"/>
          <w:marBottom w:val="0"/>
          <w:divBdr>
            <w:top w:val="none" w:sz="0" w:space="0" w:color="auto"/>
            <w:left w:val="none" w:sz="0" w:space="0" w:color="auto"/>
            <w:bottom w:val="none" w:sz="0" w:space="0" w:color="auto"/>
            <w:right w:val="none" w:sz="0" w:space="0" w:color="auto"/>
          </w:divBdr>
          <w:divsChild>
            <w:div w:id="1132595655">
              <w:marLeft w:val="0"/>
              <w:marRight w:val="0"/>
              <w:marTop w:val="0"/>
              <w:marBottom w:val="0"/>
              <w:divBdr>
                <w:top w:val="none" w:sz="0" w:space="0" w:color="auto"/>
                <w:left w:val="none" w:sz="0" w:space="0" w:color="auto"/>
                <w:bottom w:val="none" w:sz="0" w:space="0" w:color="auto"/>
                <w:right w:val="none" w:sz="0" w:space="0" w:color="auto"/>
              </w:divBdr>
            </w:div>
          </w:divsChild>
        </w:div>
        <w:div w:id="681248478">
          <w:marLeft w:val="0"/>
          <w:marRight w:val="0"/>
          <w:marTop w:val="0"/>
          <w:marBottom w:val="0"/>
          <w:divBdr>
            <w:top w:val="none" w:sz="0" w:space="0" w:color="auto"/>
            <w:left w:val="none" w:sz="0" w:space="0" w:color="auto"/>
            <w:bottom w:val="none" w:sz="0" w:space="0" w:color="auto"/>
            <w:right w:val="none" w:sz="0" w:space="0" w:color="auto"/>
          </w:divBdr>
          <w:divsChild>
            <w:div w:id="555354497">
              <w:marLeft w:val="0"/>
              <w:marRight w:val="0"/>
              <w:marTop w:val="0"/>
              <w:marBottom w:val="0"/>
              <w:divBdr>
                <w:top w:val="none" w:sz="0" w:space="0" w:color="auto"/>
                <w:left w:val="none" w:sz="0" w:space="0" w:color="auto"/>
                <w:bottom w:val="none" w:sz="0" w:space="0" w:color="auto"/>
                <w:right w:val="none" w:sz="0" w:space="0" w:color="auto"/>
              </w:divBdr>
            </w:div>
          </w:divsChild>
        </w:div>
        <w:div w:id="715352346">
          <w:marLeft w:val="0"/>
          <w:marRight w:val="0"/>
          <w:marTop w:val="0"/>
          <w:marBottom w:val="0"/>
          <w:divBdr>
            <w:top w:val="none" w:sz="0" w:space="0" w:color="auto"/>
            <w:left w:val="none" w:sz="0" w:space="0" w:color="auto"/>
            <w:bottom w:val="none" w:sz="0" w:space="0" w:color="auto"/>
            <w:right w:val="none" w:sz="0" w:space="0" w:color="auto"/>
          </w:divBdr>
          <w:divsChild>
            <w:div w:id="495538803">
              <w:marLeft w:val="0"/>
              <w:marRight w:val="0"/>
              <w:marTop w:val="0"/>
              <w:marBottom w:val="0"/>
              <w:divBdr>
                <w:top w:val="none" w:sz="0" w:space="0" w:color="auto"/>
                <w:left w:val="none" w:sz="0" w:space="0" w:color="auto"/>
                <w:bottom w:val="none" w:sz="0" w:space="0" w:color="auto"/>
                <w:right w:val="none" w:sz="0" w:space="0" w:color="auto"/>
              </w:divBdr>
            </w:div>
          </w:divsChild>
        </w:div>
        <w:div w:id="743454846">
          <w:marLeft w:val="0"/>
          <w:marRight w:val="0"/>
          <w:marTop w:val="0"/>
          <w:marBottom w:val="0"/>
          <w:divBdr>
            <w:top w:val="none" w:sz="0" w:space="0" w:color="auto"/>
            <w:left w:val="none" w:sz="0" w:space="0" w:color="auto"/>
            <w:bottom w:val="none" w:sz="0" w:space="0" w:color="auto"/>
            <w:right w:val="none" w:sz="0" w:space="0" w:color="auto"/>
          </w:divBdr>
          <w:divsChild>
            <w:div w:id="1802379351">
              <w:marLeft w:val="0"/>
              <w:marRight w:val="0"/>
              <w:marTop w:val="0"/>
              <w:marBottom w:val="0"/>
              <w:divBdr>
                <w:top w:val="none" w:sz="0" w:space="0" w:color="auto"/>
                <w:left w:val="none" w:sz="0" w:space="0" w:color="auto"/>
                <w:bottom w:val="none" w:sz="0" w:space="0" w:color="auto"/>
                <w:right w:val="none" w:sz="0" w:space="0" w:color="auto"/>
              </w:divBdr>
            </w:div>
          </w:divsChild>
        </w:div>
        <w:div w:id="744566855">
          <w:marLeft w:val="0"/>
          <w:marRight w:val="0"/>
          <w:marTop w:val="0"/>
          <w:marBottom w:val="0"/>
          <w:divBdr>
            <w:top w:val="none" w:sz="0" w:space="0" w:color="auto"/>
            <w:left w:val="none" w:sz="0" w:space="0" w:color="auto"/>
            <w:bottom w:val="none" w:sz="0" w:space="0" w:color="auto"/>
            <w:right w:val="none" w:sz="0" w:space="0" w:color="auto"/>
          </w:divBdr>
          <w:divsChild>
            <w:div w:id="994184979">
              <w:marLeft w:val="0"/>
              <w:marRight w:val="0"/>
              <w:marTop w:val="0"/>
              <w:marBottom w:val="0"/>
              <w:divBdr>
                <w:top w:val="none" w:sz="0" w:space="0" w:color="auto"/>
                <w:left w:val="none" w:sz="0" w:space="0" w:color="auto"/>
                <w:bottom w:val="none" w:sz="0" w:space="0" w:color="auto"/>
                <w:right w:val="none" w:sz="0" w:space="0" w:color="auto"/>
              </w:divBdr>
            </w:div>
            <w:div w:id="1033578890">
              <w:marLeft w:val="0"/>
              <w:marRight w:val="0"/>
              <w:marTop w:val="0"/>
              <w:marBottom w:val="0"/>
              <w:divBdr>
                <w:top w:val="none" w:sz="0" w:space="0" w:color="auto"/>
                <w:left w:val="none" w:sz="0" w:space="0" w:color="auto"/>
                <w:bottom w:val="none" w:sz="0" w:space="0" w:color="auto"/>
                <w:right w:val="none" w:sz="0" w:space="0" w:color="auto"/>
              </w:divBdr>
            </w:div>
            <w:div w:id="1280185587">
              <w:marLeft w:val="0"/>
              <w:marRight w:val="0"/>
              <w:marTop w:val="0"/>
              <w:marBottom w:val="0"/>
              <w:divBdr>
                <w:top w:val="none" w:sz="0" w:space="0" w:color="auto"/>
                <w:left w:val="none" w:sz="0" w:space="0" w:color="auto"/>
                <w:bottom w:val="none" w:sz="0" w:space="0" w:color="auto"/>
                <w:right w:val="none" w:sz="0" w:space="0" w:color="auto"/>
              </w:divBdr>
            </w:div>
            <w:div w:id="1670059361">
              <w:marLeft w:val="0"/>
              <w:marRight w:val="0"/>
              <w:marTop w:val="0"/>
              <w:marBottom w:val="0"/>
              <w:divBdr>
                <w:top w:val="none" w:sz="0" w:space="0" w:color="auto"/>
                <w:left w:val="none" w:sz="0" w:space="0" w:color="auto"/>
                <w:bottom w:val="none" w:sz="0" w:space="0" w:color="auto"/>
                <w:right w:val="none" w:sz="0" w:space="0" w:color="auto"/>
              </w:divBdr>
            </w:div>
          </w:divsChild>
        </w:div>
        <w:div w:id="758913758">
          <w:marLeft w:val="0"/>
          <w:marRight w:val="0"/>
          <w:marTop w:val="0"/>
          <w:marBottom w:val="0"/>
          <w:divBdr>
            <w:top w:val="none" w:sz="0" w:space="0" w:color="auto"/>
            <w:left w:val="none" w:sz="0" w:space="0" w:color="auto"/>
            <w:bottom w:val="none" w:sz="0" w:space="0" w:color="auto"/>
            <w:right w:val="none" w:sz="0" w:space="0" w:color="auto"/>
          </w:divBdr>
          <w:divsChild>
            <w:div w:id="1253196125">
              <w:marLeft w:val="0"/>
              <w:marRight w:val="0"/>
              <w:marTop w:val="0"/>
              <w:marBottom w:val="0"/>
              <w:divBdr>
                <w:top w:val="none" w:sz="0" w:space="0" w:color="auto"/>
                <w:left w:val="none" w:sz="0" w:space="0" w:color="auto"/>
                <w:bottom w:val="none" w:sz="0" w:space="0" w:color="auto"/>
                <w:right w:val="none" w:sz="0" w:space="0" w:color="auto"/>
              </w:divBdr>
            </w:div>
          </w:divsChild>
        </w:div>
        <w:div w:id="787050393">
          <w:marLeft w:val="0"/>
          <w:marRight w:val="0"/>
          <w:marTop w:val="0"/>
          <w:marBottom w:val="0"/>
          <w:divBdr>
            <w:top w:val="none" w:sz="0" w:space="0" w:color="auto"/>
            <w:left w:val="none" w:sz="0" w:space="0" w:color="auto"/>
            <w:bottom w:val="none" w:sz="0" w:space="0" w:color="auto"/>
            <w:right w:val="none" w:sz="0" w:space="0" w:color="auto"/>
          </w:divBdr>
          <w:divsChild>
            <w:div w:id="1563756903">
              <w:marLeft w:val="0"/>
              <w:marRight w:val="0"/>
              <w:marTop w:val="0"/>
              <w:marBottom w:val="0"/>
              <w:divBdr>
                <w:top w:val="none" w:sz="0" w:space="0" w:color="auto"/>
                <w:left w:val="none" w:sz="0" w:space="0" w:color="auto"/>
                <w:bottom w:val="none" w:sz="0" w:space="0" w:color="auto"/>
                <w:right w:val="none" w:sz="0" w:space="0" w:color="auto"/>
              </w:divBdr>
            </w:div>
          </w:divsChild>
        </w:div>
        <w:div w:id="820005017">
          <w:marLeft w:val="0"/>
          <w:marRight w:val="0"/>
          <w:marTop w:val="0"/>
          <w:marBottom w:val="0"/>
          <w:divBdr>
            <w:top w:val="none" w:sz="0" w:space="0" w:color="auto"/>
            <w:left w:val="none" w:sz="0" w:space="0" w:color="auto"/>
            <w:bottom w:val="none" w:sz="0" w:space="0" w:color="auto"/>
            <w:right w:val="none" w:sz="0" w:space="0" w:color="auto"/>
          </w:divBdr>
          <w:divsChild>
            <w:div w:id="347027641">
              <w:marLeft w:val="0"/>
              <w:marRight w:val="0"/>
              <w:marTop w:val="0"/>
              <w:marBottom w:val="0"/>
              <w:divBdr>
                <w:top w:val="none" w:sz="0" w:space="0" w:color="auto"/>
                <w:left w:val="none" w:sz="0" w:space="0" w:color="auto"/>
                <w:bottom w:val="none" w:sz="0" w:space="0" w:color="auto"/>
                <w:right w:val="none" w:sz="0" w:space="0" w:color="auto"/>
              </w:divBdr>
            </w:div>
          </w:divsChild>
        </w:div>
        <w:div w:id="943415422">
          <w:marLeft w:val="0"/>
          <w:marRight w:val="0"/>
          <w:marTop w:val="0"/>
          <w:marBottom w:val="0"/>
          <w:divBdr>
            <w:top w:val="none" w:sz="0" w:space="0" w:color="auto"/>
            <w:left w:val="none" w:sz="0" w:space="0" w:color="auto"/>
            <w:bottom w:val="none" w:sz="0" w:space="0" w:color="auto"/>
            <w:right w:val="none" w:sz="0" w:space="0" w:color="auto"/>
          </w:divBdr>
          <w:divsChild>
            <w:div w:id="1819418808">
              <w:marLeft w:val="0"/>
              <w:marRight w:val="0"/>
              <w:marTop w:val="0"/>
              <w:marBottom w:val="0"/>
              <w:divBdr>
                <w:top w:val="none" w:sz="0" w:space="0" w:color="auto"/>
                <w:left w:val="none" w:sz="0" w:space="0" w:color="auto"/>
                <w:bottom w:val="none" w:sz="0" w:space="0" w:color="auto"/>
                <w:right w:val="none" w:sz="0" w:space="0" w:color="auto"/>
              </w:divBdr>
            </w:div>
          </w:divsChild>
        </w:div>
        <w:div w:id="950824262">
          <w:marLeft w:val="0"/>
          <w:marRight w:val="0"/>
          <w:marTop w:val="0"/>
          <w:marBottom w:val="0"/>
          <w:divBdr>
            <w:top w:val="none" w:sz="0" w:space="0" w:color="auto"/>
            <w:left w:val="none" w:sz="0" w:space="0" w:color="auto"/>
            <w:bottom w:val="none" w:sz="0" w:space="0" w:color="auto"/>
            <w:right w:val="none" w:sz="0" w:space="0" w:color="auto"/>
          </w:divBdr>
          <w:divsChild>
            <w:div w:id="981083136">
              <w:marLeft w:val="0"/>
              <w:marRight w:val="0"/>
              <w:marTop w:val="0"/>
              <w:marBottom w:val="0"/>
              <w:divBdr>
                <w:top w:val="none" w:sz="0" w:space="0" w:color="auto"/>
                <w:left w:val="none" w:sz="0" w:space="0" w:color="auto"/>
                <w:bottom w:val="none" w:sz="0" w:space="0" w:color="auto"/>
                <w:right w:val="none" w:sz="0" w:space="0" w:color="auto"/>
              </w:divBdr>
            </w:div>
          </w:divsChild>
        </w:div>
        <w:div w:id="969627937">
          <w:marLeft w:val="0"/>
          <w:marRight w:val="0"/>
          <w:marTop w:val="0"/>
          <w:marBottom w:val="0"/>
          <w:divBdr>
            <w:top w:val="none" w:sz="0" w:space="0" w:color="auto"/>
            <w:left w:val="none" w:sz="0" w:space="0" w:color="auto"/>
            <w:bottom w:val="none" w:sz="0" w:space="0" w:color="auto"/>
            <w:right w:val="none" w:sz="0" w:space="0" w:color="auto"/>
          </w:divBdr>
          <w:divsChild>
            <w:div w:id="837498675">
              <w:marLeft w:val="0"/>
              <w:marRight w:val="0"/>
              <w:marTop w:val="0"/>
              <w:marBottom w:val="0"/>
              <w:divBdr>
                <w:top w:val="none" w:sz="0" w:space="0" w:color="auto"/>
                <w:left w:val="none" w:sz="0" w:space="0" w:color="auto"/>
                <w:bottom w:val="none" w:sz="0" w:space="0" w:color="auto"/>
                <w:right w:val="none" w:sz="0" w:space="0" w:color="auto"/>
              </w:divBdr>
            </w:div>
            <w:div w:id="1181356788">
              <w:marLeft w:val="0"/>
              <w:marRight w:val="0"/>
              <w:marTop w:val="0"/>
              <w:marBottom w:val="0"/>
              <w:divBdr>
                <w:top w:val="none" w:sz="0" w:space="0" w:color="auto"/>
                <w:left w:val="none" w:sz="0" w:space="0" w:color="auto"/>
                <w:bottom w:val="none" w:sz="0" w:space="0" w:color="auto"/>
                <w:right w:val="none" w:sz="0" w:space="0" w:color="auto"/>
              </w:divBdr>
            </w:div>
            <w:div w:id="1253971074">
              <w:marLeft w:val="0"/>
              <w:marRight w:val="0"/>
              <w:marTop w:val="0"/>
              <w:marBottom w:val="0"/>
              <w:divBdr>
                <w:top w:val="none" w:sz="0" w:space="0" w:color="auto"/>
                <w:left w:val="none" w:sz="0" w:space="0" w:color="auto"/>
                <w:bottom w:val="none" w:sz="0" w:space="0" w:color="auto"/>
                <w:right w:val="none" w:sz="0" w:space="0" w:color="auto"/>
              </w:divBdr>
            </w:div>
          </w:divsChild>
        </w:div>
        <w:div w:id="1023821791">
          <w:marLeft w:val="0"/>
          <w:marRight w:val="0"/>
          <w:marTop w:val="0"/>
          <w:marBottom w:val="0"/>
          <w:divBdr>
            <w:top w:val="none" w:sz="0" w:space="0" w:color="auto"/>
            <w:left w:val="none" w:sz="0" w:space="0" w:color="auto"/>
            <w:bottom w:val="none" w:sz="0" w:space="0" w:color="auto"/>
            <w:right w:val="none" w:sz="0" w:space="0" w:color="auto"/>
          </w:divBdr>
          <w:divsChild>
            <w:div w:id="1874345836">
              <w:marLeft w:val="0"/>
              <w:marRight w:val="0"/>
              <w:marTop w:val="0"/>
              <w:marBottom w:val="0"/>
              <w:divBdr>
                <w:top w:val="none" w:sz="0" w:space="0" w:color="auto"/>
                <w:left w:val="none" w:sz="0" w:space="0" w:color="auto"/>
                <w:bottom w:val="none" w:sz="0" w:space="0" w:color="auto"/>
                <w:right w:val="none" w:sz="0" w:space="0" w:color="auto"/>
              </w:divBdr>
            </w:div>
          </w:divsChild>
        </w:div>
        <w:div w:id="1081950512">
          <w:marLeft w:val="0"/>
          <w:marRight w:val="0"/>
          <w:marTop w:val="0"/>
          <w:marBottom w:val="0"/>
          <w:divBdr>
            <w:top w:val="none" w:sz="0" w:space="0" w:color="auto"/>
            <w:left w:val="none" w:sz="0" w:space="0" w:color="auto"/>
            <w:bottom w:val="none" w:sz="0" w:space="0" w:color="auto"/>
            <w:right w:val="none" w:sz="0" w:space="0" w:color="auto"/>
          </w:divBdr>
          <w:divsChild>
            <w:div w:id="1689403551">
              <w:marLeft w:val="0"/>
              <w:marRight w:val="0"/>
              <w:marTop w:val="0"/>
              <w:marBottom w:val="0"/>
              <w:divBdr>
                <w:top w:val="none" w:sz="0" w:space="0" w:color="auto"/>
                <w:left w:val="none" w:sz="0" w:space="0" w:color="auto"/>
                <w:bottom w:val="none" w:sz="0" w:space="0" w:color="auto"/>
                <w:right w:val="none" w:sz="0" w:space="0" w:color="auto"/>
              </w:divBdr>
            </w:div>
          </w:divsChild>
        </w:div>
        <w:div w:id="1126044618">
          <w:marLeft w:val="0"/>
          <w:marRight w:val="0"/>
          <w:marTop w:val="0"/>
          <w:marBottom w:val="0"/>
          <w:divBdr>
            <w:top w:val="none" w:sz="0" w:space="0" w:color="auto"/>
            <w:left w:val="none" w:sz="0" w:space="0" w:color="auto"/>
            <w:bottom w:val="none" w:sz="0" w:space="0" w:color="auto"/>
            <w:right w:val="none" w:sz="0" w:space="0" w:color="auto"/>
          </w:divBdr>
          <w:divsChild>
            <w:div w:id="2010252333">
              <w:marLeft w:val="0"/>
              <w:marRight w:val="0"/>
              <w:marTop w:val="0"/>
              <w:marBottom w:val="0"/>
              <w:divBdr>
                <w:top w:val="none" w:sz="0" w:space="0" w:color="auto"/>
                <w:left w:val="none" w:sz="0" w:space="0" w:color="auto"/>
                <w:bottom w:val="none" w:sz="0" w:space="0" w:color="auto"/>
                <w:right w:val="none" w:sz="0" w:space="0" w:color="auto"/>
              </w:divBdr>
            </w:div>
          </w:divsChild>
        </w:div>
        <w:div w:id="1186289266">
          <w:marLeft w:val="0"/>
          <w:marRight w:val="0"/>
          <w:marTop w:val="0"/>
          <w:marBottom w:val="0"/>
          <w:divBdr>
            <w:top w:val="none" w:sz="0" w:space="0" w:color="auto"/>
            <w:left w:val="none" w:sz="0" w:space="0" w:color="auto"/>
            <w:bottom w:val="none" w:sz="0" w:space="0" w:color="auto"/>
            <w:right w:val="none" w:sz="0" w:space="0" w:color="auto"/>
          </w:divBdr>
          <w:divsChild>
            <w:div w:id="1647278657">
              <w:marLeft w:val="0"/>
              <w:marRight w:val="0"/>
              <w:marTop w:val="0"/>
              <w:marBottom w:val="0"/>
              <w:divBdr>
                <w:top w:val="none" w:sz="0" w:space="0" w:color="auto"/>
                <w:left w:val="none" w:sz="0" w:space="0" w:color="auto"/>
                <w:bottom w:val="none" w:sz="0" w:space="0" w:color="auto"/>
                <w:right w:val="none" w:sz="0" w:space="0" w:color="auto"/>
              </w:divBdr>
            </w:div>
          </w:divsChild>
        </w:div>
        <w:div w:id="1334450567">
          <w:marLeft w:val="0"/>
          <w:marRight w:val="0"/>
          <w:marTop w:val="0"/>
          <w:marBottom w:val="0"/>
          <w:divBdr>
            <w:top w:val="none" w:sz="0" w:space="0" w:color="auto"/>
            <w:left w:val="none" w:sz="0" w:space="0" w:color="auto"/>
            <w:bottom w:val="none" w:sz="0" w:space="0" w:color="auto"/>
            <w:right w:val="none" w:sz="0" w:space="0" w:color="auto"/>
          </w:divBdr>
          <w:divsChild>
            <w:div w:id="1725057491">
              <w:marLeft w:val="0"/>
              <w:marRight w:val="0"/>
              <w:marTop w:val="0"/>
              <w:marBottom w:val="0"/>
              <w:divBdr>
                <w:top w:val="none" w:sz="0" w:space="0" w:color="auto"/>
                <w:left w:val="none" w:sz="0" w:space="0" w:color="auto"/>
                <w:bottom w:val="none" w:sz="0" w:space="0" w:color="auto"/>
                <w:right w:val="none" w:sz="0" w:space="0" w:color="auto"/>
              </w:divBdr>
            </w:div>
          </w:divsChild>
        </w:div>
        <w:div w:id="1338189863">
          <w:marLeft w:val="0"/>
          <w:marRight w:val="0"/>
          <w:marTop w:val="0"/>
          <w:marBottom w:val="0"/>
          <w:divBdr>
            <w:top w:val="none" w:sz="0" w:space="0" w:color="auto"/>
            <w:left w:val="none" w:sz="0" w:space="0" w:color="auto"/>
            <w:bottom w:val="none" w:sz="0" w:space="0" w:color="auto"/>
            <w:right w:val="none" w:sz="0" w:space="0" w:color="auto"/>
          </w:divBdr>
          <w:divsChild>
            <w:div w:id="1826044877">
              <w:marLeft w:val="0"/>
              <w:marRight w:val="0"/>
              <w:marTop w:val="0"/>
              <w:marBottom w:val="0"/>
              <w:divBdr>
                <w:top w:val="none" w:sz="0" w:space="0" w:color="auto"/>
                <w:left w:val="none" w:sz="0" w:space="0" w:color="auto"/>
                <w:bottom w:val="none" w:sz="0" w:space="0" w:color="auto"/>
                <w:right w:val="none" w:sz="0" w:space="0" w:color="auto"/>
              </w:divBdr>
            </w:div>
          </w:divsChild>
        </w:div>
        <w:div w:id="1349525804">
          <w:marLeft w:val="0"/>
          <w:marRight w:val="0"/>
          <w:marTop w:val="0"/>
          <w:marBottom w:val="0"/>
          <w:divBdr>
            <w:top w:val="none" w:sz="0" w:space="0" w:color="auto"/>
            <w:left w:val="none" w:sz="0" w:space="0" w:color="auto"/>
            <w:bottom w:val="none" w:sz="0" w:space="0" w:color="auto"/>
            <w:right w:val="none" w:sz="0" w:space="0" w:color="auto"/>
          </w:divBdr>
          <w:divsChild>
            <w:div w:id="100346972">
              <w:marLeft w:val="0"/>
              <w:marRight w:val="0"/>
              <w:marTop w:val="0"/>
              <w:marBottom w:val="0"/>
              <w:divBdr>
                <w:top w:val="none" w:sz="0" w:space="0" w:color="auto"/>
                <w:left w:val="none" w:sz="0" w:space="0" w:color="auto"/>
                <w:bottom w:val="none" w:sz="0" w:space="0" w:color="auto"/>
                <w:right w:val="none" w:sz="0" w:space="0" w:color="auto"/>
              </w:divBdr>
            </w:div>
          </w:divsChild>
        </w:div>
        <w:div w:id="1399941668">
          <w:marLeft w:val="0"/>
          <w:marRight w:val="0"/>
          <w:marTop w:val="0"/>
          <w:marBottom w:val="0"/>
          <w:divBdr>
            <w:top w:val="none" w:sz="0" w:space="0" w:color="auto"/>
            <w:left w:val="none" w:sz="0" w:space="0" w:color="auto"/>
            <w:bottom w:val="none" w:sz="0" w:space="0" w:color="auto"/>
            <w:right w:val="none" w:sz="0" w:space="0" w:color="auto"/>
          </w:divBdr>
          <w:divsChild>
            <w:div w:id="422722359">
              <w:marLeft w:val="0"/>
              <w:marRight w:val="0"/>
              <w:marTop w:val="0"/>
              <w:marBottom w:val="0"/>
              <w:divBdr>
                <w:top w:val="none" w:sz="0" w:space="0" w:color="auto"/>
                <w:left w:val="none" w:sz="0" w:space="0" w:color="auto"/>
                <w:bottom w:val="none" w:sz="0" w:space="0" w:color="auto"/>
                <w:right w:val="none" w:sz="0" w:space="0" w:color="auto"/>
              </w:divBdr>
            </w:div>
          </w:divsChild>
        </w:div>
        <w:div w:id="1402756105">
          <w:marLeft w:val="0"/>
          <w:marRight w:val="0"/>
          <w:marTop w:val="0"/>
          <w:marBottom w:val="0"/>
          <w:divBdr>
            <w:top w:val="none" w:sz="0" w:space="0" w:color="auto"/>
            <w:left w:val="none" w:sz="0" w:space="0" w:color="auto"/>
            <w:bottom w:val="none" w:sz="0" w:space="0" w:color="auto"/>
            <w:right w:val="none" w:sz="0" w:space="0" w:color="auto"/>
          </w:divBdr>
          <w:divsChild>
            <w:div w:id="1111557439">
              <w:marLeft w:val="0"/>
              <w:marRight w:val="0"/>
              <w:marTop w:val="0"/>
              <w:marBottom w:val="0"/>
              <w:divBdr>
                <w:top w:val="none" w:sz="0" w:space="0" w:color="auto"/>
                <w:left w:val="none" w:sz="0" w:space="0" w:color="auto"/>
                <w:bottom w:val="none" w:sz="0" w:space="0" w:color="auto"/>
                <w:right w:val="none" w:sz="0" w:space="0" w:color="auto"/>
              </w:divBdr>
            </w:div>
          </w:divsChild>
        </w:div>
        <w:div w:id="1459639482">
          <w:marLeft w:val="0"/>
          <w:marRight w:val="0"/>
          <w:marTop w:val="0"/>
          <w:marBottom w:val="0"/>
          <w:divBdr>
            <w:top w:val="none" w:sz="0" w:space="0" w:color="auto"/>
            <w:left w:val="none" w:sz="0" w:space="0" w:color="auto"/>
            <w:bottom w:val="none" w:sz="0" w:space="0" w:color="auto"/>
            <w:right w:val="none" w:sz="0" w:space="0" w:color="auto"/>
          </w:divBdr>
          <w:divsChild>
            <w:div w:id="1348480639">
              <w:marLeft w:val="0"/>
              <w:marRight w:val="0"/>
              <w:marTop w:val="0"/>
              <w:marBottom w:val="0"/>
              <w:divBdr>
                <w:top w:val="none" w:sz="0" w:space="0" w:color="auto"/>
                <w:left w:val="none" w:sz="0" w:space="0" w:color="auto"/>
                <w:bottom w:val="none" w:sz="0" w:space="0" w:color="auto"/>
                <w:right w:val="none" w:sz="0" w:space="0" w:color="auto"/>
              </w:divBdr>
            </w:div>
          </w:divsChild>
        </w:div>
        <w:div w:id="1477793342">
          <w:marLeft w:val="0"/>
          <w:marRight w:val="0"/>
          <w:marTop w:val="0"/>
          <w:marBottom w:val="0"/>
          <w:divBdr>
            <w:top w:val="none" w:sz="0" w:space="0" w:color="auto"/>
            <w:left w:val="none" w:sz="0" w:space="0" w:color="auto"/>
            <w:bottom w:val="none" w:sz="0" w:space="0" w:color="auto"/>
            <w:right w:val="none" w:sz="0" w:space="0" w:color="auto"/>
          </w:divBdr>
          <w:divsChild>
            <w:div w:id="1908832360">
              <w:marLeft w:val="0"/>
              <w:marRight w:val="0"/>
              <w:marTop w:val="0"/>
              <w:marBottom w:val="0"/>
              <w:divBdr>
                <w:top w:val="none" w:sz="0" w:space="0" w:color="auto"/>
                <w:left w:val="none" w:sz="0" w:space="0" w:color="auto"/>
                <w:bottom w:val="none" w:sz="0" w:space="0" w:color="auto"/>
                <w:right w:val="none" w:sz="0" w:space="0" w:color="auto"/>
              </w:divBdr>
            </w:div>
          </w:divsChild>
        </w:div>
        <w:div w:id="1506632136">
          <w:marLeft w:val="0"/>
          <w:marRight w:val="0"/>
          <w:marTop w:val="0"/>
          <w:marBottom w:val="0"/>
          <w:divBdr>
            <w:top w:val="none" w:sz="0" w:space="0" w:color="auto"/>
            <w:left w:val="none" w:sz="0" w:space="0" w:color="auto"/>
            <w:bottom w:val="none" w:sz="0" w:space="0" w:color="auto"/>
            <w:right w:val="none" w:sz="0" w:space="0" w:color="auto"/>
          </w:divBdr>
          <w:divsChild>
            <w:div w:id="507327437">
              <w:marLeft w:val="0"/>
              <w:marRight w:val="0"/>
              <w:marTop w:val="0"/>
              <w:marBottom w:val="0"/>
              <w:divBdr>
                <w:top w:val="none" w:sz="0" w:space="0" w:color="auto"/>
                <w:left w:val="none" w:sz="0" w:space="0" w:color="auto"/>
                <w:bottom w:val="none" w:sz="0" w:space="0" w:color="auto"/>
                <w:right w:val="none" w:sz="0" w:space="0" w:color="auto"/>
              </w:divBdr>
            </w:div>
            <w:div w:id="549459620">
              <w:marLeft w:val="0"/>
              <w:marRight w:val="0"/>
              <w:marTop w:val="0"/>
              <w:marBottom w:val="0"/>
              <w:divBdr>
                <w:top w:val="none" w:sz="0" w:space="0" w:color="auto"/>
                <w:left w:val="none" w:sz="0" w:space="0" w:color="auto"/>
                <w:bottom w:val="none" w:sz="0" w:space="0" w:color="auto"/>
                <w:right w:val="none" w:sz="0" w:space="0" w:color="auto"/>
              </w:divBdr>
            </w:div>
            <w:div w:id="806360089">
              <w:marLeft w:val="0"/>
              <w:marRight w:val="0"/>
              <w:marTop w:val="0"/>
              <w:marBottom w:val="0"/>
              <w:divBdr>
                <w:top w:val="none" w:sz="0" w:space="0" w:color="auto"/>
                <w:left w:val="none" w:sz="0" w:space="0" w:color="auto"/>
                <w:bottom w:val="none" w:sz="0" w:space="0" w:color="auto"/>
                <w:right w:val="none" w:sz="0" w:space="0" w:color="auto"/>
              </w:divBdr>
            </w:div>
            <w:div w:id="1666400387">
              <w:marLeft w:val="0"/>
              <w:marRight w:val="0"/>
              <w:marTop w:val="0"/>
              <w:marBottom w:val="0"/>
              <w:divBdr>
                <w:top w:val="none" w:sz="0" w:space="0" w:color="auto"/>
                <w:left w:val="none" w:sz="0" w:space="0" w:color="auto"/>
                <w:bottom w:val="none" w:sz="0" w:space="0" w:color="auto"/>
                <w:right w:val="none" w:sz="0" w:space="0" w:color="auto"/>
              </w:divBdr>
            </w:div>
            <w:div w:id="1941180843">
              <w:marLeft w:val="0"/>
              <w:marRight w:val="0"/>
              <w:marTop w:val="0"/>
              <w:marBottom w:val="0"/>
              <w:divBdr>
                <w:top w:val="none" w:sz="0" w:space="0" w:color="auto"/>
                <w:left w:val="none" w:sz="0" w:space="0" w:color="auto"/>
                <w:bottom w:val="none" w:sz="0" w:space="0" w:color="auto"/>
                <w:right w:val="none" w:sz="0" w:space="0" w:color="auto"/>
              </w:divBdr>
            </w:div>
          </w:divsChild>
        </w:div>
        <w:div w:id="1516269817">
          <w:marLeft w:val="0"/>
          <w:marRight w:val="0"/>
          <w:marTop w:val="0"/>
          <w:marBottom w:val="0"/>
          <w:divBdr>
            <w:top w:val="none" w:sz="0" w:space="0" w:color="auto"/>
            <w:left w:val="none" w:sz="0" w:space="0" w:color="auto"/>
            <w:bottom w:val="none" w:sz="0" w:space="0" w:color="auto"/>
            <w:right w:val="none" w:sz="0" w:space="0" w:color="auto"/>
          </w:divBdr>
          <w:divsChild>
            <w:div w:id="1109550997">
              <w:marLeft w:val="0"/>
              <w:marRight w:val="0"/>
              <w:marTop w:val="0"/>
              <w:marBottom w:val="0"/>
              <w:divBdr>
                <w:top w:val="none" w:sz="0" w:space="0" w:color="auto"/>
                <w:left w:val="none" w:sz="0" w:space="0" w:color="auto"/>
                <w:bottom w:val="none" w:sz="0" w:space="0" w:color="auto"/>
                <w:right w:val="none" w:sz="0" w:space="0" w:color="auto"/>
              </w:divBdr>
            </w:div>
            <w:div w:id="1704818598">
              <w:marLeft w:val="0"/>
              <w:marRight w:val="0"/>
              <w:marTop w:val="0"/>
              <w:marBottom w:val="0"/>
              <w:divBdr>
                <w:top w:val="none" w:sz="0" w:space="0" w:color="auto"/>
                <w:left w:val="none" w:sz="0" w:space="0" w:color="auto"/>
                <w:bottom w:val="none" w:sz="0" w:space="0" w:color="auto"/>
                <w:right w:val="none" w:sz="0" w:space="0" w:color="auto"/>
              </w:divBdr>
            </w:div>
            <w:div w:id="1831094896">
              <w:marLeft w:val="0"/>
              <w:marRight w:val="0"/>
              <w:marTop w:val="0"/>
              <w:marBottom w:val="0"/>
              <w:divBdr>
                <w:top w:val="none" w:sz="0" w:space="0" w:color="auto"/>
                <w:left w:val="none" w:sz="0" w:space="0" w:color="auto"/>
                <w:bottom w:val="none" w:sz="0" w:space="0" w:color="auto"/>
                <w:right w:val="none" w:sz="0" w:space="0" w:color="auto"/>
              </w:divBdr>
            </w:div>
          </w:divsChild>
        </w:div>
        <w:div w:id="1521822703">
          <w:marLeft w:val="0"/>
          <w:marRight w:val="0"/>
          <w:marTop w:val="0"/>
          <w:marBottom w:val="0"/>
          <w:divBdr>
            <w:top w:val="none" w:sz="0" w:space="0" w:color="auto"/>
            <w:left w:val="none" w:sz="0" w:space="0" w:color="auto"/>
            <w:bottom w:val="none" w:sz="0" w:space="0" w:color="auto"/>
            <w:right w:val="none" w:sz="0" w:space="0" w:color="auto"/>
          </w:divBdr>
          <w:divsChild>
            <w:div w:id="1568151529">
              <w:marLeft w:val="0"/>
              <w:marRight w:val="0"/>
              <w:marTop w:val="0"/>
              <w:marBottom w:val="0"/>
              <w:divBdr>
                <w:top w:val="none" w:sz="0" w:space="0" w:color="auto"/>
                <w:left w:val="none" w:sz="0" w:space="0" w:color="auto"/>
                <w:bottom w:val="none" w:sz="0" w:space="0" w:color="auto"/>
                <w:right w:val="none" w:sz="0" w:space="0" w:color="auto"/>
              </w:divBdr>
            </w:div>
          </w:divsChild>
        </w:div>
        <w:div w:id="1528635217">
          <w:marLeft w:val="0"/>
          <w:marRight w:val="0"/>
          <w:marTop w:val="0"/>
          <w:marBottom w:val="0"/>
          <w:divBdr>
            <w:top w:val="none" w:sz="0" w:space="0" w:color="auto"/>
            <w:left w:val="none" w:sz="0" w:space="0" w:color="auto"/>
            <w:bottom w:val="none" w:sz="0" w:space="0" w:color="auto"/>
            <w:right w:val="none" w:sz="0" w:space="0" w:color="auto"/>
          </w:divBdr>
          <w:divsChild>
            <w:div w:id="382757120">
              <w:marLeft w:val="0"/>
              <w:marRight w:val="0"/>
              <w:marTop w:val="0"/>
              <w:marBottom w:val="0"/>
              <w:divBdr>
                <w:top w:val="none" w:sz="0" w:space="0" w:color="auto"/>
                <w:left w:val="none" w:sz="0" w:space="0" w:color="auto"/>
                <w:bottom w:val="none" w:sz="0" w:space="0" w:color="auto"/>
                <w:right w:val="none" w:sz="0" w:space="0" w:color="auto"/>
              </w:divBdr>
            </w:div>
          </w:divsChild>
        </w:div>
        <w:div w:id="1589381916">
          <w:marLeft w:val="0"/>
          <w:marRight w:val="0"/>
          <w:marTop w:val="0"/>
          <w:marBottom w:val="0"/>
          <w:divBdr>
            <w:top w:val="none" w:sz="0" w:space="0" w:color="auto"/>
            <w:left w:val="none" w:sz="0" w:space="0" w:color="auto"/>
            <w:bottom w:val="none" w:sz="0" w:space="0" w:color="auto"/>
            <w:right w:val="none" w:sz="0" w:space="0" w:color="auto"/>
          </w:divBdr>
          <w:divsChild>
            <w:div w:id="1942882200">
              <w:marLeft w:val="0"/>
              <w:marRight w:val="0"/>
              <w:marTop w:val="0"/>
              <w:marBottom w:val="0"/>
              <w:divBdr>
                <w:top w:val="none" w:sz="0" w:space="0" w:color="auto"/>
                <w:left w:val="none" w:sz="0" w:space="0" w:color="auto"/>
                <w:bottom w:val="none" w:sz="0" w:space="0" w:color="auto"/>
                <w:right w:val="none" w:sz="0" w:space="0" w:color="auto"/>
              </w:divBdr>
            </w:div>
          </w:divsChild>
        </w:div>
        <w:div w:id="1638796765">
          <w:marLeft w:val="0"/>
          <w:marRight w:val="0"/>
          <w:marTop w:val="0"/>
          <w:marBottom w:val="0"/>
          <w:divBdr>
            <w:top w:val="none" w:sz="0" w:space="0" w:color="auto"/>
            <w:left w:val="none" w:sz="0" w:space="0" w:color="auto"/>
            <w:bottom w:val="none" w:sz="0" w:space="0" w:color="auto"/>
            <w:right w:val="none" w:sz="0" w:space="0" w:color="auto"/>
          </w:divBdr>
          <w:divsChild>
            <w:div w:id="1056591373">
              <w:marLeft w:val="0"/>
              <w:marRight w:val="0"/>
              <w:marTop w:val="0"/>
              <w:marBottom w:val="0"/>
              <w:divBdr>
                <w:top w:val="none" w:sz="0" w:space="0" w:color="auto"/>
                <w:left w:val="none" w:sz="0" w:space="0" w:color="auto"/>
                <w:bottom w:val="none" w:sz="0" w:space="0" w:color="auto"/>
                <w:right w:val="none" w:sz="0" w:space="0" w:color="auto"/>
              </w:divBdr>
            </w:div>
          </w:divsChild>
        </w:div>
        <w:div w:id="1669868429">
          <w:marLeft w:val="0"/>
          <w:marRight w:val="0"/>
          <w:marTop w:val="0"/>
          <w:marBottom w:val="0"/>
          <w:divBdr>
            <w:top w:val="none" w:sz="0" w:space="0" w:color="auto"/>
            <w:left w:val="none" w:sz="0" w:space="0" w:color="auto"/>
            <w:bottom w:val="none" w:sz="0" w:space="0" w:color="auto"/>
            <w:right w:val="none" w:sz="0" w:space="0" w:color="auto"/>
          </w:divBdr>
          <w:divsChild>
            <w:div w:id="1011487244">
              <w:marLeft w:val="0"/>
              <w:marRight w:val="0"/>
              <w:marTop w:val="0"/>
              <w:marBottom w:val="0"/>
              <w:divBdr>
                <w:top w:val="none" w:sz="0" w:space="0" w:color="auto"/>
                <w:left w:val="none" w:sz="0" w:space="0" w:color="auto"/>
                <w:bottom w:val="none" w:sz="0" w:space="0" w:color="auto"/>
                <w:right w:val="none" w:sz="0" w:space="0" w:color="auto"/>
              </w:divBdr>
            </w:div>
          </w:divsChild>
        </w:div>
        <w:div w:id="1700274264">
          <w:marLeft w:val="0"/>
          <w:marRight w:val="0"/>
          <w:marTop w:val="0"/>
          <w:marBottom w:val="0"/>
          <w:divBdr>
            <w:top w:val="none" w:sz="0" w:space="0" w:color="auto"/>
            <w:left w:val="none" w:sz="0" w:space="0" w:color="auto"/>
            <w:bottom w:val="none" w:sz="0" w:space="0" w:color="auto"/>
            <w:right w:val="none" w:sz="0" w:space="0" w:color="auto"/>
          </w:divBdr>
          <w:divsChild>
            <w:div w:id="463503195">
              <w:marLeft w:val="0"/>
              <w:marRight w:val="0"/>
              <w:marTop w:val="0"/>
              <w:marBottom w:val="0"/>
              <w:divBdr>
                <w:top w:val="none" w:sz="0" w:space="0" w:color="auto"/>
                <w:left w:val="none" w:sz="0" w:space="0" w:color="auto"/>
                <w:bottom w:val="none" w:sz="0" w:space="0" w:color="auto"/>
                <w:right w:val="none" w:sz="0" w:space="0" w:color="auto"/>
              </w:divBdr>
            </w:div>
          </w:divsChild>
        </w:div>
        <w:div w:id="1776247873">
          <w:marLeft w:val="0"/>
          <w:marRight w:val="0"/>
          <w:marTop w:val="0"/>
          <w:marBottom w:val="0"/>
          <w:divBdr>
            <w:top w:val="none" w:sz="0" w:space="0" w:color="auto"/>
            <w:left w:val="none" w:sz="0" w:space="0" w:color="auto"/>
            <w:bottom w:val="none" w:sz="0" w:space="0" w:color="auto"/>
            <w:right w:val="none" w:sz="0" w:space="0" w:color="auto"/>
          </w:divBdr>
          <w:divsChild>
            <w:div w:id="1554341110">
              <w:marLeft w:val="0"/>
              <w:marRight w:val="0"/>
              <w:marTop w:val="0"/>
              <w:marBottom w:val="0"/>
              <w:divBdr>
                <w:top w:val="none" w:sz="0" w:space="0" w:color="auto"/>
                <w:left w:val="none" w:sz="0" w:space="0" w:color="auto"/>
                <w:bottom w:val="none" w:sz="0" w:space="0" w:color="auto"/>
                <w:right w:val="none" w:sz="0" w:space="0" w:color="auto"/>
              </w:divBdr>
            </w:div>
          </w:divsChild>
        </w:div>
        <w:div w:id="1776629667">
          <w:marLeft w:val="0"/>
          <w:marRight w:val="0"/>
          <w:marTop w:val="0"/>
          <w:marBottom w:val="0"/>
          <w:divBdr>
            <w:top w:val="none" w:sz="0" w:space="0" w:color="auto"/>
            <w:left w:val="none" w:sz="0" w:space="0" w:color="auto"/>
            <w:bottom w:val="none" w:sz="0" w:space="0" w:color="auto"/>
            <w:right w:val="none" w:sz="0" w:space="0" w:color="auto"/>
          </w:divBdr>
          <w:divsChild>
            <w:div w:id="21246001">
              <w:marLeft w:val="0"/>
              <w:marRight w:val="0"/>
              <w:marTop w:val="0"/>
              <w:marBottom w:val="0"/>
              <w:divBdr>
                <w:top w:val="none" w:sz="0" w:space="0" w:color="auto"/>
                <w:left w:val="none" w:sz="0" w:space="0" w:color="auto"/>
                <w:bottom w:val="none" w:sz="0" w:space="0" w:color="auto"/>
                <w:right w:val="none" w:sz="0" w:space="0" w:color="auto"/>
              </w:divBdr>
            </w:div>
            <w:div w:id="186407881">
              <w:marLeft w:val="0"/>
              <w:marRight w:val="0"/>
              <w:marTop w:val="0"/>
              <w:marBottom w:val="0"/>
              <w:divBdr>
                <w:top w:val="none" w:sz="0" w:space="0" w:color="auto"/>
                <w:left w:val="none" w:sz="0" w:space="0" w:color="auto"/>
                <w:bottom w:val="none" w:sz="0" w:space="0" w:color="auto"/>
                <w:right w:val="none" w:sz="0" w:space="0" w:color="auto"/>
              </w:divBdr>
            </w:div>
            <w:div w:id="1421562852">
              <w:marLeft w:val="0"/>
              <w:marRight w:val="0"/>
              <w:marTop w:val="0"/>
              <w:marBottom w:val="0"/>
              <w:divBdr>
                <w:top w:val="none" w:sz="0" w:space="0" w:color="auto"/>
                <w:left w:val="none" w:sz="0" w:space="0" w:color="auto"/>
                <w:bottom w:val="none" w:sz="0" w:space="0" w:color="auto"/>
                <w:right w:val="none" w:sz="0" w:space="0" w:color="auto"/>
              </w:divBdr>
            </w:div>
          </w:divsChild>
        </w:div>
        <w:div w:id="1833990166">
          <w:marLeft w:val="0"/>
          <w:marRight w:val="0"/>
          <w:marTop w:val="0"/>
          <w:marBottom w:val="0"/>
          <w:divBdr>
            <w:top w:val="none" w:sz="0" w:space="0" w:color="auto"/>
            <w:left w:val="none" w:sz="0" w:space="0" w:color="auto"/>
            <w:bottom w:val="none" w:sz="0" w:space="0" w:color="auto"/>
            <w:right w:val="none" w:sz="0" w:space="0" w:color="auto"/>
          </w:divBdr>
          <w:divsChild>
            <w:div w:id="1476727525">
              <w:marLeft w:val="0"/>
              <w:marRight w:val="0"/>
              <w:marTop w:val="0"/>
              <w:marBottom w:val="0"/>
              <w:divBdr>
                <w:top w:val="none" w:sz="0" w:space="0" w:color="auto"/>
                <w:left w:val="none" w:sz="0" w:space="0" w:color="auto"/>
                <w:bottom w:val="none" w:sz="0" w:space="0" w:color="auto"/>
                <w:right w:val="none" w:sz="0" w:space="0" w:color="auto"/>
              </w:divBdr>
            </w:div>
          </w:divsChild>
        </w:div>
        <w:div w:id="1928340702">
          <w:marLeft w:val="0"/>
          <w:marRight w:val="0"/>
          <w:marTop w:val="0"/>
          <w:marBottom w:val="0"/>
          <w:divBdr>
            <w:top w:val="none" w:sz="0" w:space="0" w:color="auto"/>
            <w:left w:val="none" w:sz="0" w:space="0" w:color="auto"/>
            <w:bottom w:val="none" w:sz="0" w:space="0" w:color="auto"/>
            <w:right w:val="none" w:sz="0" w:space="0" w:color="auto"/>
          </w:divBdr>
          <w:divsChild>
            <w:div w:id="794105133">
              <w:marLeft w:val="0"/>
              <w:marRight w:val="0"/>
              <w:marTop w:val="0"/>
              <w:marBottom w:val="0"/>
              <w:divBdr>
                <w:top w:val="none" w:sz="0" w:space="0" w:color="auto"/>
                <w:left w:val="none" w:sz="0" w:space="0" w:color="auto"/>
                <w:bottom w:val="none" w:sz="0" w:space="0" w:color="auto"/>
                <w:right w:val="none" w:sz="0" w:space="0" w:color="auto"/>
              </w:divBdr>
            </w:div>
          </w:divsChild>
        </w:div>
        <w:div w:id="1983652984">
          <w:marLeft w:val="0"/>
          <w:marRight w:val="0"/>
          <w:marTop w:val="0"/>
          <w:marBottom w:val="0"/>
          <w:divBdr>
            <w:top w:val="none" w:sz="0" w:space="0" w:color="auto"/>
            <w:left w:val="none" w:sz="0" w:space="0" w:color="auto"/>
            <w:bottom w:val="none" w:sz="0" w:space="0" w:color="auto"/>
            <w:right w:val="none" w:sz="0" w:space="0" w:color="auto"/>
          </w:divBdr>
          <w:divsChild>
            <w:div w:id="1935671713">
              <w:marLeft w:val="0"/>
              <w:marRight w:val="0"/>
              <w:marTop w:val="0"/>
              <w:marBottom w:val="0"/>
              <w:divBdr>
                <w:top w:val="none" w:sz="0" w:space="0" w:color="auto"/>
                <w:left w:val="none" w:sz="0" w:space="0" w:color="auto"/>
                <w:bottom w:val="none" w:sz="0" w:space="0" w:color="auto"/>
                <w:right w:val="none" w:sz="0" w:space="0" w:color="auto"/>
              </w:divBdr>
            </w:div>
          </w:divsChild>
        </w:div>
        <w:div w:id="2024286643">
          <w:marLeft w:val="0"/>
          <w:marRight w:val="0"/>
          <w:marTop w:val="0"/>
          <w:marBottom w:val="0"/>
          <w:divBdr>
            <w:top w:val="none" w:sz="0" w:space="0" w:color="auto"/>
            <w:left w:val="none" w:sz="0" w:space="0" w:color="auto"/>
            <w:bottom w:val="none" w:sz="0" w:space="0" w:color="auto"/>
            <w:right w:val="none" w:sz="0" w:space="0" w:color="auto"/>
          </w:divBdr>
          <w:divsChild>
            <w:div w:id="1638024493">
              <w:marLeft w:val="0"/>
              <w:marRight w:val="0"/>
              <w:marTop w:val="0"/>
              <w:marBottom w:val="0"/>
              <w:divBdr>
                <w:top w:val="none" w:sz="0" w:space="0" w:color="auto"/>
                <w:left w:val="none" w:sz="0" w:space="0" w:color="auto"/>
                <w:bottom w:val="none" w:sz="0" w:space="0" w:color="auto"/>
                <w:right w:val="none" w:sz="0" w:space="0" w:color="auto"/>
              </w:divBdr>
            </w:div>
          </w:divsChild>
        </w:div>
        <w:div w:id="2136558873">
          <w:marLeft w:val="0"/>
          <w:marRight w:val="0"/>
          <w:marTop w:val="0"/>
          <w:marBottom w:val="0"/>
          <w:divBdr>
            <w:top w:val="none" w:sz="0" w:space="0" w:color="auto"/>
            <w:left w:val="none" w:sz="0" w:space="0" w:color="auto"/>
            <w:bottom w:val="none" w:sz="0" w:space="0" w:color="auto"/>
            <w:right w:val="none" w:sz="0" w:space="0" w:color="auto"/>
          </w:divBdr>
          <w:divsChild>
            <w:div w:id="158225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49069">
      <w:bodyDiv w:val="1"/>
      <w:marLeft w:val="0"/>
      <w:marRight w:val="0"/>
      <w:marTop w:val="0"/>
      <w:marBottom w:val="0"/>
      <w:divBdr>
        <w:top w:val="none" w:sz="0" w:space="0" w:color="auto"/>
        <w:left w:val="none" w:sz="0" w:space="0" w:color="auto"/>
        <w:bottom w:val="none" w:sz="0" w:space="0" w:color="auto"/>
        <w:right w:val="none" w:sz="0" w:space="0" w:color="auto"/>
      </w:divBdr>
    </w:div>
    <w:div w:id="1077701756">
      <w:bodyDiv w:val="1"/>
      <w:marLeft w:val="0"/>
      <w:marRight w:val="0"/>
      <w:marTop w:val="0"/>
      <w:marBottom w:val="0"/>
      <w:divBdr>
        <w:top w:val="none" w:sz="0" w:space="0" w:color="auto"/>
        <w:left w:val="none" w:sz="0" w:space="0" w:color="auto"/>
        <w:bottom w:val="none" w:sz="0" w:space="0" w:color="auto"/>
        <w:right w:val="none" w:sz="0" w:space="0" w:color="auto"/>
      </w:divBdr>
      <w:divsChild>
        <w:div w:id="338434561">
          <w:marLeft w:val="0"/>
          <w:marRight w:val="0"/>
          <w:marTop w:val="0"/>
          <w:marBottom w:val="0"/>
          <w:divBdr>
            <w:top w:val="none" w:sz="0" w:space="0" w:color="auto"/>
            <w:left w:val="none" w:sz="0" w:space="0" w:color="auto"/>
            <w:bottom w:val="none" w:sz="0" w:space="0" w:color="auto"/>
            <w:right w:val="none" w:sz="0" w:space="0" w:color="auto"/>
          </w:divBdr>
        </w:div>
        <w:div w:id="458501897">
          <w:marLeft w:val="0"/>
          <w:marRight w:val="0"/>
          <w:marTop w:val="0"/>
          <w:marBottom w:val="0"/>
          <w:divBdr>
            <w:top w:val="none" w:sz="0" w:space="0" w:color="auto"/>
            <w:left w:val="none" w:sz="0" w:space="0" w:color="auto"/>
            <w:bottom w:val="none" w:sz="0" w:space="0" w:color="auto"/>
            <w:right w:val="none" w:sz="0" w:space="0" w:color="auto"/>
          </w:divBdr>
        </w:div>
        <w:div w:id="1222592634">
          <w:marLeft w:val="0"/>
          <w:marRight w:val="0"/>
          <w:marTop w:val="0"/>
          <w:marBottom w:val="0"/>
          <w:divBdr>
            <w:top w:val="none" w:sz="0" w:space="0" w:color="auto"/>
            <w:left w:val="none" w:sz="0" w:space="0" w:color="auto"/>
            <w:bottom w:val="none" w:sz="0" w:space="0" w:color="auto"/>
            <w:right w:val="none" w:sz="0" w:space="0" w:color="auto"/>
          </w:divBdr>
        </w:div>
        <w:div w:id="1654020851">
          <w:marLeft w:val="0"/>
          <w:marRight w:val="0"/>
          <w:marTop w:val="0"/>
          <w:marBottom w:val="0"/>
          <w:divBdr>
            <w:top w:val="none" w:sz="0" w:space="0" w:color="auto"/>
            <w:left w:val="none" w:sz="0" w:space="0" w:color="auto"/>
            <w:bottom w:val="none" w:sz="0" w:space="0" w:color="auto"/>
            <w:right w:val="none" w:sz="0" w:space="0" w:color="auto"/>
          </w:divBdr>
        </w:div>
        <w:div w:id="2115326460">
          <w:marLeft w:val="0"/>
          <w:marRight w:val="0"/>
          <w:marTop w:val="0"/>
          <w:marBottom w:val="0"/>
          <w:divBdr>
            <w:top w:val="none" w:sz="0" w:space="0" w:color="auto"/>
            <w:left w:val="none" w:sz="0" w:space="0" w:color="auto"/>
            <w:bottom w:val="none" w:sz="0" w:space="0" w:color="auto"/>
            <w:right w:val="none" w:sz="0" w:space="0" w:color="auto"/>
          </w:divBdr>
        </w:div>
      </w:divsChild>
    </w:div>
    <w:div w:id="1084299864">
      <w:bodyDiv w:val="1"/>
      <w:marLeft w:val="0"/>
      <w:marRight w:val="0"/>
      <w:marTop w:val="0"/>
      <w:marBottom w:val="0"/>
      <w:divBdr>
        <w:top w:val="none" w:sz="0" w:space="0" w:color="auto"/>
        <w:left w:val="none" w:sz="0" w:space="0" w:color="auto"/>
        <w:bottom w:val="none" w:sz="0" w:space="0" w:color="auto"/>
        <w:right w:val="none" w:sz="0" w:space="0" w:color="auto"/>
      </w:divBdr>
      <w:divsChild>
        <w:div w:id="1251548238">
          <w:marLeft w:val="0"/>
          <w:marRight w:val="0"/>
          <w:marTop w:val="0"/>
          <w:marBottom w:val="0"/>
          <w:divBdr>
            <w:top w:val="none" w:sz="0" w:space="0" w:color="auto"/>
            <w:left w:val="none" w:sz="0" w:space="0" w:color="auto"/>
            <w:bottom w:val="none" w:sz="0" w:space="0" w:color="auto"/>
            <w:right w:val="none" w:sz="0" w:space="0" w:color="auto"/>
          </w:divBdr>
        </w:div>
        <w:div w:id="2063555574">
          <w:marLeft w:val="0"/>
          <w:marRight w:val="0"/>
          <w:marTop w:val="0"/>
          <w:marBottom w:val="0"/>
          <w:divBdr>
            <w:top w:val="none" w:sz="0" w:space="0" w:color="auto"/>
            <w:left w:val="none" w:sz="0" w:space="0" w:color="auto"/>
            <w:bottom w:val="none" w:sz="0" w:space="0" w:color="auto"/>
            <w:right w:val="none" w:sz="0" w:space="0" w:color="auto"/>
          </w:divBdr>
        </w:div>
      </w:divsChild>
    </w:div>
    <w:div w:id="1095058469">
      <w:bodyDiv w:val="1"/>
      <w:marLeft w:val="0"/>
      <w:marRight w:val="0"/>
      <w:marTop w:val="0"/>
      <w:marBottom w:val="0"/>
      <w:divBdr>
        <w:top w:val="none" w:sz="0" w:space="0" w:color="auto"/>
        <w:left w:val="none" w:sz="0" w:space="0" w:color="auto"/>
        <w:bottom w:val="none" w:sz="0" w:space="0" w:color="auto"/>
        <w:right w:val="none" w:sz="0" w:space="0" w:color="auto"/>
      </w:divBdr>
    </w:div>
    <w:div w:id="1099639925">
      <w:bodyDiv w:val="1"/>
      <w:marLeft w:val="0"/>
      <w:marRight w:val="0"/>
      <w:marTop w:val="0"/>
      <w:marBottom w:val="0"/>
      <w:divBdr>
        <w:top w:val="none" w:sz="0" w:space="0" w:color="auto"/>
        <w:left w:val="none" w:sz="0" w:space="0" w:color="auto"/>
        <w:bottom w:val="none" w:sz="0" w:space="0" w:color="auto"/>
        <w:right w:val="none" w:sz="0" w:space="0" w:color="auto"/>
      </w:divBdr>
    </w:div>
    <w:div w:id="1103766075">
      <w:bodyDiv w:val="1"/>
      <w:marLeft w:val="0"/>
      <w:marRight w:val="0"/>
      <w:marTop w:val="0"/>
      <w:marBottom w:val="0"/>
      <w:divBdr>
        <w:top w:val="none" w:sz="0" w:space="0" w:color="auto"/>
        <w:left w:val="none" w:sz="0" w:space="0" w:color="auto"/>
        <w:bottom w:val="none" w:sz="0" w:space="0" w:color="auto"/>
        <w:right w:val="none" w:sz="0" w:space="0" w:color="auto"/>
      </w:divBdr>
    </w:div>
    <w:div w:id="1136795210">
      <w:bodyDiv w:val="1"/>
      <w:marLeft w:val="0"/>
      <w:marRight w:val="0"/>
      <w:marTop w:val="0"/>
      <w:marBottom w:val="0"/>
      <w:divBdr>
        <w:top w:val="none" w:sz="0" w:space="0" w:color="auto"/>
        <w:left w:val="none" w:sz="0" w:space="0" w:color="auto"/>
        <w:bottom w:val="none" w:sz="0" w:space="0" w:color="auto"/>
        <w:right w:val="none" w:sz="0" w:space="0" w:color="auto"/>
      </w:divBdr>
    </w:div>
    <w:div w:id="1137529063">
      <w:bodyDiv w:val="1"/>
      <w:marLeft w:val="0"/>
      <w:marRight w:val="0"/>
      <w:marTop w:val="0"/>
      <w:marBottom w:val="0"/>
      <w:divBdr>
        <w:top w:val="none" w:sz="0" w:space="0" w:color="auto"/>
        <w:left w:val="none" w:sz="0" w:space="0" w:color="auto"/>
        <w:bottom w:val="none" w:sz="0" w:space="0" w:color="auto"/>
        <w:right w:val="none" w:sz="0" w:space="0" w:color="auto"/>
      </w:divBdr>
    </w:div>
    <w:div w:id="1141263324">
      <w:bodyDiv w:val="1"/>
      <w:marLeft w:val="0"/>
      <w:marRight w:val="0"/>
      <w:marTop w:val="0"/>
      <w:marBottom w:val="0"/>
      <w:divBdr>
        <w:top w:val="none" w:sz="0" w:space="0" w:color="auto"/>
        <w:left w:val="none" w:sz="0" w:space="0" w:color="auto"/>
        <w:bottom w:val="none" w:sz="0" w:space="0" w:color="auto"/>
        <w:right w:val="none" w:sz="0" w:space="0" w:color="auto"/>
      </w:divBdr>
    </w:div>
    <w:div w:id="1142770688">
      <w:bodyDiv w:val="1"/>
      <w:marLeft w:val="0"/>
      <w:marRight w:val="0"/>
      <w:marTop w:val="0"/>
      <w:marBottom w:val="0"/>
      <w:divBdr>
        <w:top w:val="none" w:sz="0" w:space="0" w:color="auto"/>
        <w:left w:val="none" w:sz="0" w:space="0" w:color="auto"/>
        <w:bottom w:val="none" w:sz="0" w:space="0" w:color="auto"/>
        <w:right w:val="none" w:sz="0" w:space="0" w:color="auto"/>
      </w:divBdr>
    </w:div>
    <w:div w:id="1151753597">
      <w:bodyDiv w:val="1"/>
      <w:marLeft w:val="0"/>
      <w:marRight w:val="0"/>
      <w:marTop w:val="0"/>
      <w:marBottom w:val="0"/>
      <w:divBdr>
        <w:top w:val="none" w:sz="0" w:space="0" w:color="auto"/>
        <w:left w:val="none" w:sz="0" w:space="0" w:color="auto"/>
        <w:bottom w:val="none" w:sz="0" w:space="0" w:color="auto"/>
        <w:right w:val="none" w:sz="0" w:space="0" w:color="auto"/>
      </w:divBdr>
    </w:div>
    <w:div w:id="1155683945">
      <w:bodyDiv w:val="1"/>
      <w:marLeft w:val="0"/>
      <w:marRight w:val="0"/>
      <w:marTop w:val="0"/>
      <w:marBottom w:val="0"/>
      <w:divBdr>
        <w:top w:val="none" w:sz="0" w:space="0" w:color="auto"/>
        <w:left w:val="none" w:sz="0" w:space="0" w:color="auto"/>
        <w:bottom w:val="none" w:sz="0" w:space="0" w:color="auto"/>
        <w:right w:val="none" w:sz="0" w:space="0" w:color="auto"/>
      </w:divBdr>
    </w:div>
    <w:div w:id="1159148792">
      <w:bodyDiv w:val="1"/>
      <w:marLeft w:val="0"/>
      <w:marRight w:val="0"/>
      <w:marTop w:val="0"/>
      <w:marBottom w:val="0"/>
      <w:divBdr>
        <w:top w:val="none" w:sz="0" w:space="0" w:color="auto"/>
        <w:left w:val="none" w:sz="0" w:space="0" w:color="auto"/>
        <w:bottom w:val="none" w:sz="0" w:space="0" w:color="auto"/>
        <w:right w:val="none" w:sz="0" w:space="0" w:color="auto"/>
      </w:divBdr>
    </w:div>
    <w:div w:id="1160387618">
      <w:bodyDiv w:val="1"/>
      <w:marLeft w:val="0"/>
      <w:marRight w:val="0"/>
      <w:marTop w:val="0"/>
      <w:marBottom w:val="0"/>
      <w:divBdr>
        <w:top w:val="none" w:sz="0" w:space="0" w:color="auto"/>
        <w:left w:val="none" w:sz="0" w:space="0" w:color="auto"/>
        <w:bottom w:val="none" w:sz="0" w:space="0" w:color="auto"/>
        <w:right w:val="none" w:sz="0" w:space="0" w:color="auto"/>
      </w:divBdr>
    </w:div>
    <w:div w:id="1160580575">
      <w:bodyDiv w:val="1"/>
      <w:marLeft w:val="0"/>
      <w:marRight w:val="0"/>
      <w:marTop w:val="0"/>
      <w:marBottom w:val="0"/>
      <w:divBdr>
        <w:top w:val="none" w:sz="0" w:space="0" w:color="auto"/>
        <w:left w:val="none" w:sz="0" w:space="0" w:color="auto"/>
        <w:bottom w:val="none" w:sz="0" w:space="0" w:color="auto"/>
        <w:right w:val="none" w:sz="0" w:space="0" w:color="auto"/>
      </w:divBdr>
      <w:divsChild>
        <w:div w:id="10764698">
          <w:marLeft w:val="0"/>
          <w:marRight w:val="0"/>
          <w:marTop w:val="0"/>
          <w:marBottom w:val="0"/>
          <w:divBdr>
            <w:top w:val="none" w:sz="0" w:space="0" w:color="auto"/>
            <w:left w:val="none" w:sz="0" w:space="0" w:color="auto"/>
            <w:bottom w:val="none" w:sz="0" w:space="0" w:color="auto"/>
            <w:right w:val="none" w:sz="0" w:space="0" w:color="auto"/>
          </w:divBdr>
          <w:divsChild>
            <w:div w:id="315768803">
              <w:marLeft w:val="0"/>
              <w:marRight w:val="0"/>
              <w:marTop w:val="0"/>
              <w:marBottom w:val="0"/>
              <w:divBdr>
                <w:top w:val="none" w:sz="0" w:space="0" w:color="auto"/>
                <w:left w:val="none" w:sz="0" w:space="0" w:color="auto"/>
                <w:bottom w:val="none" w:sz="0" w:space="0" w:color="auto"/>
                <w:right w:val="none" w:sz="0" w:space="0" w:color="auto"/>
              </w:divBdr>
            </w:div>
            <w:div w:id="1764061736">
              <w:marLeft w:val="0"/>
              <w:marRight w:val="0"/>
              <w:marTop w:val="0"/>
              <w:marBottom w:val="0"/>
              <w:divBdr>
                <w:top w:val="none" w:sz="0" w:space="0" w:color="auto"/>
                <w:left w:val="none" w:sz="0" w:space="0" w:color="auto"/>
                <w:bottom w:val="none" w:sz="0" w:space="0" w:color="auto"/>
                <w:right w:val="none" w:sz="0" w:space="0" w:color="auto"/>
              </w:divBdr>
            </w:div>
          </w:divsChild>
        </w:div>
        <w:div w:id="13925734">
          <w:marLeft w:val="0"/>
          <w:marRight w:val="0"/>
          <w:marTop w:val="0"/>
          <w:marBottom w:val="0"/>
          <w:divBdr>
            <w:top w:val="none" w:sz="0" w:space="0" w:color="auto"/>
            <w:left w:val="none" w:sz="0" w:space="0" w:color="auto"/>
            <w:bottom w:val="none" w:sz="0" w:space="0" w:color="auto"/>
            <w:right w:val="none" w:sz="0" w:space="0" w:color="auto"/>
          </w:divBdr>
          <w:divsChild>
            <w:div w:id="307056705">
              <w:marLeft w:val="0"/>
              <w:marRight w:val="0"/>
              <w:marTop w:val="0"/>
              <w:marBottom w:val="0"/>
              <w:divBdr>
                <w:top w:val="none" w:sz="0" w:space="0" w:color="auto"/>
                <w:left w:val="none" w:sz="0" w:space="0" w:color="auto"/>
                <w:bottom w:val="none" w:sz="0" w:space="0" w:color="auto"/>
                <w:right w:val="none" w:sz="0" w:space="0" w:color="auto"/>
              </w:divBdr>
            </w:div>
            <w:div w:id="436099368">
              <w:marLeft w:val="0"/>
              <w:marRight w:val="0"/>
              <w:marTop w:val="0"/>
              <w:marBottom w:val="0"/>
              <w:divBdr>
                <w:top w:val="none" w:sz="0" w:space="0" w:color="auto"/>
                <w:left w:val="none" w:sz="0" w:space="0" w:color="auto"/>
                <w:bottom w:val="none" w:sz="0" w:space="0" w:color="auto"/>
                <w:right w:val="none" w:sz="0" w:space="0" w:color="auto"/>
              </w:divBdr>
            </w:div>
            <w:div w:id="687220212">
              <w:marLeft w:val="0"/>
              <w:marRight w:val="0"/>
              <w:marTop w:val="0"/>
              <w:marBottom w:val="0"/>
              <w:divBdr>
                <w:top w:val="none" w:sz="0" w:space="0" w:color="auto"/>
                <w:left w:val="none" w:sz="0" w:space="0" w:color="auto"/>
                <w:bottom w:val="none" w:sz="0" w:space="0" w:color="auto"/>
                <w:right w:val="none" w:sz="0" w:space="0" w:color="auto"/>
              </w:divBdr>
            </w:div>
            <w:div w:id="1858737588">
              <w:marLeft w:val="0"/>
              <w:marRight w:val="0"/>
              <w:marTop w:val="0"/>
              <w:marBottom w:val="0"/>
              <w:divBdr>
                <w:top w:val="none" w:sz="0" w:space="0" w:color="auto"/>
                <w:left w:val="none" w:sz="0" w:space="0" w:color="auto"/>
                <w:bottom w:val="none" w:sz="0" w:space="0" w:color="auto"/>
                <w:right w:val="none" w:sz="0" w:space="0" w:color="auto"/>
              </w:divBdr>
            </w:div>
            <w:div w:id="1926650230">
              <w:marLeft w:val="0"/>
              <w:marRight w:val="0"/>
              <w:marTop w:val="0"/>
              <w:marBottom w:val="0"/>
              <w:divBdr>
                <w:top w:val="none" w:sz="0" w:space="0" w:color="auto"/>
                <w:left w:val="none" w:sz="0" w:space="0" w:color="auto"/>
                <w:bottom w:val="none" w:sz="0" w:space="0" w:color="auto"/>
                <w:right w:val="none" w:sz="0" w:space="0" w:color="auto"/>
              </w:divBdr>
            </w:div>
          </w:divsChild>
        </w:div>
        <w:div w:id="22367579">
          <w:marLeft w:val="0"/>
          <w:marRight w:val="0"/>
          <w:marTop w:val="0"/>
          <w:marBottom w:val="0"/>
          <w:divBdr>
            <w:top w:val="none" w:sz="0" w:space="0" w:color="auto"/>
            <w:left w:val="none" w:sz="0" w:space="0" w:color="auto"/>
            <w:bottom w:val="none" w:sz="0" w:space="0" w:color="auto"/>
            <w:right w:val="none" w:sz="0" w:space="0" w:color="auto"/>
          </w:divBdr>
          <w:divsChild>
            <w:div w:id="1926183660">
              <w:marLeft w:val="0"/>
              <w:marRight w:val="0"/>
              <w:marTop w:val="0"/>
              <w:marBottom w:val="0"/>
              <w:divBdr>
                <w:top w:val="none" w:sz="0" w:space="0" w:color="auto"/>
                <w:left w:val="none" w:sz="0" w:space="0" w:color="auto"/>
                <w:bottom w:val="none" w:sz="0" w:space="0" w:color="auto"/>
                <w:right w:val="none" w:sz="0" w:space="0" w:color="auto"/>
              </w:divBdr>
            </w:div>
          </w:divsChild>
        </w:div>
        <w:div w:id="40175532">
          <w:marLeft w:val="0"/>
          <w:marRight w:val="0"/>
          <w:marTop w:val="0"/>
          <w:marBottom w:val="0"/>
          <w:divBdr>
            <w:top w:val="none" w:sz="0" w:space="0" w:color="auto"/>
            <w:left w:val="none" w:sz="0" w:space="0" w:color="auto"/>
            <w:bottom w:val="none" w:sz="0" w:space="0" w:color="auto"/>
            <w:right w:val="none" w:sz="0" w:space="0" w:color="auto"/>
          </w:divBdr>
          <w:divsChild>
            <w:div w:id="269892582">
              <w:marLeft w:val="0"/>
              <w:marRight w:val="0"/>
              <w:marTop w:val="0"/>
              <w:marBottom w:val="0"/>
              <w:divBdr>
                <w:top w:val="none" w:sz="0" w:space="0" w:color="auto"/>
                <w:left w:val="none" w:sz="0" w:space="0" w:color="auto"/>
                <w:bottom w:val="none" w:sz="0" w:space="0" w:color="auto"/>
                <w:right w:val="none" w:sz="0" w:space="0" w:color="auto"/>
              </w:divBdr>
            </w:div>
          </w:divsChild>
        </w:div>
        <w:div w:id="57437159">
          <w:marLeft w:val="0"/>
          <w:marRight w:val="0"/>
          <w:marTop w:val="0"/>
          <w:marBottom w:val="0"/>
          <w:divBdr>
            <w:top w:val="none" w:sz="0" w:space="0" w:color="auto"/>
            <w:left w:val="none" w:sz="0" w:space="0" w:color="auto"/>
            <w:bottom w:val="none" w:sz="0" w:space="0" w:color="auto"/>
            <w:right w:val="none" w:sz="0" w:space="0" w:color="auto"/>
          </w:divBdr>
          <w:divsChild>
            <w:div w:id="225338605">
              <w:marLeft w:val="0"/>
              <w:marRight w:val="0"/>
              <w:marTop w:val="0"/>
              <w:marBottom w:val="0"/>
              <w:divBdr>
                <w:top w:val="none" w:sz="0" w:space="0" w:color="auto"/>
                <w:left w:val="none" w:sz="0" w:space="0" w:color="auto"/>
                <w:bottom w:val="none" w:sz="0" w:space="0" w:color="auto"/>
                <w:right w:val="none" w:sz="0" w:space="0" w:color="auto"/>
              </w:divBdr>
            </w:div>
          </w:divsChild>
        </w:div>
        <w:div w:id="251594033">
          <w:marLeft w:val="0"/>
          <w:marRight w:val="0"/>
          <w:marTop w:val="0"/>
          <w:marBottom w:val="0"/>
          <w:divBdr>
            <w:top w:val="none" w:sz="0" w:space="0" w:color="auto"/>
            <w:left w:val="none" w:sz="0" w:space="0" w:color="auto"/>
            <w:bottom w:val="none" w:sz="0" w:space="0" w:color="auto"/>
            <w:right w:val="none" w:sz="0" w:space="0" w:color="auto"/>
          </w:divBdr>
          <w:divsChild>
            <w:div w:id="1719435166">
              <w:marLeft w:val="0"/>
              <w:marRight w:val="0"/>
              <w:marTop w:val="0"/>
              <w:marBottom w:val="0"/>
              <w:divBdr>
                <w:top w:val="none" w:sz="0" w:space="0" w:color="auto"/>
                <w:left w:val="none" w:sz="0" w:space="0" w:color="auto"/>
                <w:bottom w:val="none" w:sz="0" w:space="0" w:color="auto"/>
                <w:right w:val="none" w:sz="0" w:space="0" w:color="auto"/>
              </w:divBdr>
            </w:div>
          </w:divsChild>
        </w:div>
        <w:div w:id="384450827">
          <w:marLeft w:val="0"/>
          <w:marRight w:val="0"/>
          <w:marTop w:val="0"/>
          <w:marBottom w:val="0"/>
          <w:divBdr>
            <w:top w:val="none" w:sz="0" w:space="0" w:color="auto"/>
            <w:left w:val="none" w:sz="0" w:space="0" w:color="auto"/>
            <w:bottom w:val="none" w:sz="0" w:space="0" w:color="auto"/>
            <w:right w:val="none" w:sz="0" w:space="0" w:color="auto"/>
          </w:divBdr>
          <w:divsChild>
            <w:div w:id="184442890">
              <w:marLeft w:val="0"/>
              <w:marRight w:val="0"/>
              <w:marTop w:val="0"/>
              <w:marBottom w:val="0"/>
              <w:divBdr>
                <w:top w:val="none" w:sz="0" w:space="0" w:color="auto"/>
                <w:left w:val="none" w:sz="0" w:space="0" w:color="auto"/>
                <w:bottom w:val="none" w:sz="0" w:space="0" w:color="auto"/>
                <w:right w:val="none" w:sz="0" w:space="0" w:color="auto"/>
              </w:divBdr>
            </w:div>
          </w:divsChild>
        </w:div>
        <w:div w:id="431826329">
          <w:marLeft w:val="0"/>
          <w:marRight w:val="0"/>
          <w:marTop w:val="0"/>
          <w:marBottom w:val="0"/>
          <w:divBdr>
            <w:top w:val="none" w:sz="0" w:space="0" w:color="auto"/>
            <w:left w:val="none" w:sz="0" w:space="0" w:color="auto"/>
            <w:bottom w:val="none" w:sz="0" w:space="0" w:color="auto"/>
            <w:right w:val="none" w:sz="0" w:space="0" w:color="auto"/>
          </w:divBdr>
          <w:divsChild>
            <w:div w:id="182476334">
              <w:marLeft w:val="0"/>
              <w:marRight w:val="0"/>
              <w:marTop w:val="0"/>
              <w:marBottom w:val="0"/>
              <w:divBdr>
                <w:top w:val="none" w:sz="0" w:space="0" w:color="auto"/>
                <w:left w:val="none" w:sz="0" w:space="0" w:color="auto"/>
                <w:bottom w:val="none" w:sz="0" w:space="0" w:color="auto"/>
                <w:right w:val="none" w:sz="0" w:space="0" w:color="auto"/>
              </w:divBdr>
            </w:div>
            <w:div w:id="207376984">
              <w:marLeft w:val="0"/>
              <w:marRight w:val="0"/>
              <w:marTop w:val="0"/>
              <w:marBottom w:val="0"/>
              <w:divBdr>
                <w:top w:val="none" w:sz="0" w:space="0" w:color="auto"/>
                <w:left w:val="none" w:sz="0" w:space="0" w:color="auto"/>
                <w:bottom w:val="none" w:sz="0" w:space="0" w:color="auto"/>
                <w:right w:val="none" w:sz="0" w:space="0" w:color="auto"/>
              </w:divBdr>
            </w:div>
            <w:div w:id="251818608">
              <w:marLeft w:val="0"/>
              <w:marRight w:val="0"/>
              <w:marTop w:val="0"/>
              <w:marBottom w:val="0"/>
              <w:divBdr>
                <w:top w:val="none" w:sz="0" w:space="0" w:color="auto"/>
                <w:left w:val="none" w:sz="0" w:space="0" w:color="auto"/>
                <w:bottom w:val="none" w:sz="0" w:space="0" w:color="auto"/>
                <w:right w:val="none" w:sz="0" w:space="0" w:color="auto"/>
              </w:divBdr>
            </w:div>
            <w:div w:id="270555499">
              <w:marLeft w:val="0"/>
              <w:marRight w:val="0"/>
              <w:marTop w:val="0"/>
              <w:marBottom w:val="0"/>
              <w:divBdr>
                <w:top w:val="none" w:sz="0" w:space="0" w:color="auto"/>
                <w:left w:val="none" w:sz="0" w:space="0" w:color="auto"/>
                <w:bottom w:val="none" w:sz="0" w:space="0" w:color="auto"/>
                <w:right w:val="none" w:sz="0" w:space="0" w:color="auto"/>
              </w:divBdr>
            </w:div>
            <w:div w:id="630133774">
              <w:marLeft w:val="0"/>
              <w:marRight w:val="0"/>
              <w:marTop w:val="0"/>
              <w:marBottom w:val="0"/>
              <w:divBdr>
                <w:top w:val="none" w:sz="0" w:space="0" w:color="auto"/>
                <w:left w:val="none" w:sz="0" w:space="0" w:color="auto"/>
                <w:bottom w:val="none" w:sz="0" w:space="0" w:color="auto"/>
                <w:right w:val="none" w:sz="0" w:space="0" w:color="auto"/>
              </w:divBdr>
            </w:div>
            <w:div w:id="834609948">
              <w:marLeft w:val="0"/>
              <w:marRight w:val="0"/>
              <w:marTop w:val="0"/>
              <w:marBottom w:val="0"/>
              <w:divBdr>
                <w:top w:val="none" w:sz="0" w:space="0" w:color="auto"/>
                <w:left w:val="none" w:sz="0" w:space="0" w:color="auto"/>
                <w:bottom w:val="none" w:sz="0" w:space="0" w:color="auto"/>
                <w:right w:val="none" w:sz="0" w:space="0" w:color="auto"/>
              </w:divBdr>
            </w:div>
            <w:div w:id="1093432348">
              <w:marLeft w:val="0"/>
              <w:marRight w:val="0"/>
              <w:marTop w:val="0"/>
              <w:marBottom w:val="0"/>
              <w:divBdr>
                <w:top w:val="none" w:sz="0" w:space="0" w:color="auto"/>
                <w:left w:val="none" w:sz="0" w:space="0" w:color="auto"/>
                <w:bottom w:val="none" w:sz="0" w:space="0" w:color="auto"/>
                <w:right w:val="none" w:sz="0" w:space="0" w:color="auto"/>
              </w:divBdr>
            </w:div>
            <w:div w:id="1436484939">
              <w:marLeft w:val="0"/>
              <w:marRight w:val="0"/>
              <w:marTop w:val="0"/>
              <w:marBottom w:val="0"/>
              <w:divBdr>
                <w:top w:val="none" w:sz="0" w:space="0" w:color="auto"/>
                <w:left w:val="none" w:sz="0" w:space="0" w:color="auto"/>
                <w:bottom w:val="none" w:sz="0" w:space="0" w:color="auto"/>
                <w:right w:val="none" w:sz="0" w:space="0" w:color="auto"/>
              </w:divBdr>
            </w:div>
            <w:div w:id="1558933835">
              <w:marLeft w:val="0"/>
              <w:marRight w:val="0"/>
              <w:marTop w:val="0"/>
              <w:marBottom w:val="0"/>
              <w:divBdr>
                <w:top w:val="none" w:sz="0" w:space="0" w:color="auto"/>
                <w:left w:val="none" w:sz="0" w:space="0" w:color="auto"/>
                <w:bottom w:val="none" w:sz="0" w:space="0" w:color="auto"/>
                <w:right w:val="none" w:sz="0" w:space="0" w:color="auto"/>
              </w:divBdr>
            </w:div>
            <w:div w:id="1592817129">
              <w:marLeft w:val="0"/>
              <w:marRight w:val="0"/>
              <w:marTop w:val="0"/>
              <w:marBottom w:val="0"/>
              <w:divBdr>
                <w:top w:val="none" w:sz="0" w:space="0" w:color="auto"/>
                <w:left w:val="none" w:sz="0" w:space="0" w:color="auto"/>
                <w:bottom w:val="none" w:sz="0" w:space="0" w:color="auto"/>
                <w:right w:val="none" w:sz="0" w:space="0" w:color="auto"/>
              </w:divBdr>
            </w:div>
            <w:div w:id="2009137480">
              <w:marLeft w:val="0"/>
              <w:marRight w:val="0"/>
              <w:marTop w:val="0"/>
              <w:marBottom w:val="0"/>
              <w:divBdr>
                <w:top w:val="none" w:sz="0" w:space="0" w:color="auto"/>
                <w:left w:val="none" w:sz="0" w:space="0" w:color="auto"/>
                <w:bottom w:val="none" w:sz="0" w:space="0" w:color="auto"/>
                <w:right w:val="none" w:sz="0" w:space="0" w:color="auto"/>
              </w:divBdr>
            </w:div>
          </w:divsChild>
        </w:div>
        <w:div w:id="468013249">
          <w:marLeft w:val="0"/>
          <w:marRight w:val="0"/>
          <w:marTop w:val="0"/>
          <w:marBottom w:val="0"/>
          <w:divBdr>
            <w:top w:val="none" w:sz="0" w:space="0" w:color="auto"/>
            <w:left w:val="none" w:sz="0" w:space="0" w:color="auto"/>
            <w:bottom w:val="none" w:sz="0" w:space="0" w:color="auto"/>
            <w:right w:val="none" w:sz="0" w:space="0" w:color="auto"/>
          </w:divBdr>
          <w:divsChild>
            <w:div w:id="1028064811">
              <w:marLeft w:val="0"/>
              <w:marRight w:val="0"/>
              <w:marTop w:val="0"/>
              <w:marBottom w:val="0"/>
              <w:divBdr>
                <w:top w:val="none" w:sz="0" w:space="0" w:color="auto"/>
                <w:left w:val="none" w:sz="0" w:space="0" w:color="auto"/>
                <w:bottom w:val="none" w:sz="0" w:space="0" w:color="auto"/>
                <w:right w:val="none" w:sz="0" w:space="0" w:color="auto"/>
              </w:divBdr>
            </w:div>
          </w:divsChild>
        </w:div>
        <w:div w:id="473908105">
          <w:marLeft w:val="0"/>
          <w:marRight w:val="0"/>
          <w:marTop w:val="0"/>
          <w:marBottom w:val="0"/>
          <w:divBdr>
            <w:top w:val="none" w:sz="0" w:space="0" w:color="auto"/>
            <w:left w:val="none" w:sz="0" w:space="0" w:color="auto"/>
            <w:bottom w:val="none" w:sz="0" w:space="0" w:color="auto"/>
            <w:right w:val="none" w:sz="0" w:space="0" w:color="auto"/>
          </w:divBdr>
          <w:divsChild>
            <w:div w:id="2069107873">
              <w:marLeft w:val="0"/>
              <w:marRight w:val="0"/>
              <w:marTop w:val="0"/>
              <w:marBottom w:val="0"/>
              <w:divBdr>
                <w:top w:val="none" w:sz="0" w:space="0" w:color="auto"/>
                <w:left w:val="none" w:sz="0" w:space="0" w:color="auto"/>
                <w:bottom w:val="none" w:sz="0" w:space="0" w:color="auto"/>
                <w:right w:val="none" w:sz="0" w:space="0" w:color="auto"/>
              </w:divBdr>
            </w:div>
            <w:div w:id="2102986329">
              <w:marLeft w:val="0"/>
              <w:marRight w:val="0"/>
              <w:marTop w:val="0"/>
              <w:marBottom w:val="0"/>
              <w:divBdr>
                <w:top w:val="none" w:sz="0" w:space="0" w:color="auto"/>
                <w:left w:val="none" w:sz="0" w:space="0" w:color="auto"/>
                <w:bottom w:val="none" w:sz="0" w:space="0" w:color="auto"/>
                <w:right w:val="none" w:sz="0" w:space="0" w:color="auto"/>
              </w:divBdr>
            </w:div>
          </w:divsChild>
        </w:div>
        <w:div w:id="498277625">
          <w:marLeft w:val="0"/>
          <w:marRight w:val="0"/>
          <w:marTop w:val="0"/>
          <w:marBottom w:val="0"/>
          <w:divBdr>
            <w:top w:val="none" w:sz="0" w:space="0" w:color="auto"/>
            <w:left w:val="none" w:sz="0" w:space="0" w:color="auto"/>
            <w:bottom w:val="none" w:sz="0" w:space="0" w:color="auto"/>
            <w:right w:val="none" w:sz="0" w:space="0" w:color="auto"/>
          </w:divBdr>
          <w:divsChild>
            <w:div w:id="1536385065">
              <w:marLeft w:val="0"/>
              <w:marRight w:val="0"/>
              <w:marTop w:val="0"/>
              <w:marBottom w:val="0"/>
              <w:divBdr>
                <w:top w:val="none" w:sz="0" w:space="0" w:color="auto"/>
                <w:left w:val="none" w:sz="0" w:space="0" w:color="auto"/>
                <w:bottom w:val="none" w:sz="0" w:space="0" w:color="auto"/>
                <w:right w:val="none" w:sz="0" w:space="0" w:color="auto"/>
              </w:divBdr>
            </w:div>
          </w:divsChild>
        </w:div>
        <w:div w:id="512767309">
          <w:marLeft w:val="0"/>
          <w:marRight w:val="0"/>
          <w:marTop w:val="0"/>
          <w:marBottom w:val="0"/>
          <w:divBdr>
            <w:top w:val="none" w:sz="0" w:space="0" w:color="auto"/>
            <w:left w:val="none" w:sz="0" w:space="0" w:color="auto"/>
            <w:bottom w:val="none" w:sz="0" w:space="0" w:color="auto"/>
            <w:right w:val="none" w:sz="0" w:space="0" w:color="auto"/>
          </w:divBdr>
          <w:divsChild>
            <w:div w:id="447353428">
              <w:marLeft w:val="0"/>
              <w:marRight w:val="0"/>
              <w:marTop w:val="0"/>
              <w:marBottom w:val="0"/>
              <w:divBdr>
                <w:top w:val="none" w:sz="0" w:space="0" w:color="auto"/>
                <w:left w:val="none" w:sz="0" w:space="0" w:color="auto"/>
                <w:bottom w:val="none" w:sz="0" w:space="0" w:color="auto"/>
                <w:right w:val="none" w:sz="0" w:space="0" w:color="auto"/>
              </w:divBdr>
            </w:div>
          </w:divsChild>
        </w:div>
        <w:div w:id="545263834">
          <w:marLeft w:val="0"/>
          <w:marRight w:val="0"/>
          <w:marTop w:val="0"/>
          <w:marBottom w:val="0"/>
          <w:divBdr>
            <w:top w:val="none" w:sz="0" w:space="0" w:color="auto"/>
            <w:left w:val="none" w:sz="0" w:space="0" w:color="auto"/>
            <w:bottom w:val="none" w:sz="0" w:space="0" w:color="auto"/>
            <w:right w:val="none" w:sz="0" w:space="0" w:color="auto"/>
          </w:divBdr>
          <w:divsChild>
            <w:div w:id="997804044">
              <w:marLeft w:val="0"/>
              <w:marRight w:val="0"/>
              <w:marTop w:val="0"/>
              <w:marBottom w:val="0"/>
              <w:divBdr>
                <w:top w:val="none" w:sz="0" w:space="0" w:color="auto"/>
                <w:left w:val="none" w:sz="0" w:space="0" w:color="auto"/>
                <w:bottom w:val="none" w:sz="0" w:space="0" w:color="auto"/>
                <w:right w:val="none" w:sz="0" w:space="0" w:color="auto"/>
              </w:divBdr>
            </w:div>
          </w:divsChild>
        </w:div>
        <w:div w:id="558444587">
          <w:marLeft w:val="0"/>
          <w:marRight w:val="0"/>
          <w:marTop w:val="0"/>
          <w:marBottom w:val="0"/>
          <w:divBdr>
            <w:top w:val="none" w:sz="0" w:space="0" w:color="auto"/>
            <w:left w:val="none" w:sz="0" w:space="0" w:color="auto"/>
            <w:bottom w:val="none" w:sz="0" w:space="0" w:color="auto"/>
            <w:right w:val="none" w:sz="0" w:space="0" w:color="auto"/>
          </w:divBdr>
          <w:divsChild>
            <w:div w:id="1492058116">
              <w:marLeft w:val="0"/>
              <w:marRight w:val="0"/>
              <w:marTop w:val="0"/>
              <w:marBottom w:val="0"/>
              <w:divBdr>
                <w:top w:val="none" w:sz="0" w:space="0" w:color="auto"/>
                <w:left w:val="none" w:sz="0" w:space="0" w:color="auto"/>
                <w:bottom w:val="none" w:sz="0" w:space="0" w:color="auto"/>
                <w:right w:val="none" w:sz="0" w:space="0" w:color="auto"/>
              </w:divBdr>
            </w:div>
            <w:div w:id="1507938605">
              <w:marLeft w:val="0"/>
              <w:marRight w:val="0"/>
              <w:marTop w:val="0"/>
              <w:marBottom w:val="0"/>
              <w:divBdr>
                <w:top w:val="none" w:sz="0" w:space="0" w:color="auto"/>
                <w:left w:val="none" w:sz="0" w:space="0" w:color="auto"/>
                <w:bottom w:val="none" w:sz="0" w:space="0" w:color="auto"/>
                <w:right w:val="none" w:sz="0" w:space="0" w:color="auto"/>
              </w:divBdr>
            </w:div>
          </w:divsChild>
        </w:div>
        <w:div w:id="570389124">
          <w:marLeft w:val="0"/>
          <w:marRight w:val="0"/>
          <w:marTop w:val="0"/>
          <w:marBottom w:val="0"/>
          <w:divBdr>
            <w:top w:val="none" w:sz="0" w:space="0" w:color="auto"/>
            <w:left w:val="none" w:sz="0" w:space="0" w:color="auto"/>
            <w:bottom w:val="none" w:sz="0" w:space="0" w:color="auto"/>
            <w:right w:val="none" w:sz="0" w:space="0" w:color="auto"/>
          </w:divBdr>
          <w:divsChild>
            <w:div w:id="2144225603">
              <w:marLeft w:val="0"/>
              <w:marRight w:val="0"/>
              <w:marTop w:val="0"/>
              <w:marBottom w:val="0"/>
              <w:divBdr>
                <w:top w:val="none" w:sz="0" w:space="0" w:color="auto"/>
                <w:left w:val="none" w:sz="0" w:space="0" w:color="auto"/>
                <w:bottom w:val="none" w:sz="0" w:space="0" w:color="auto"/>
                <w:right w:val="none" w:sz="0" w:space="0" w:color="auto"/>
              </w:divBdr>
            </w:div>
          </w:divsChild>
        </w:div>
        <w:div w:id="588852428">
          <w:marLeft w:val="0"/>
          <w:marRight w:val="0"/>
          <w:marTop w:val="0"/>
          <w:marBottom w:val="0"/>
          <w:divBdr>
            <w:top w:val="none" w:sz="0" w:space="0" w:color="auto"/>
            <w:left w:val="none" w:sz="0" w:space="0" w:color="auto"/>
            <w:bottom w:val="none" w:sz="0" w:space="0" w:color="auto"/>
            <w:right w:val="none" w:sz="0" w:space="0" w:color="auto"/>
          </w:divBdr>
          <w:divsChild>
            <w:div w:id="155846214">
              <w:marLeft w:val="0"/>
              <w:marRight w:val="0"/>
              <w:marTop w:val="0"/>
              <w:marBottom w:val="0"/>
              <w:divBdr>
                <w:top w:val="none" w:sz="0" w:space="0" w:color="auto"/>
                <w:left w:val="none" w:sz="0" w:space="0" w:color="auto"/>
                <w:bottom w:val="none" w:sz="0" w:space="0" w:color="auto"/>
                <w:right w:val="none" w:sz="0" w:space="0" w:color="auto"/>
              </w:divBdr>
            </w:div>
          </w:divsChild>
        </w:div>
        <w:div w:id="609049664">
          <w:marLeft w:val="0"/>
          <w:marRight w:val="0"/>
          <w:marTop w:val="0"/>
          <w:marBottom w:val="0"/>
          <w:divBdr>
            <w:top w:val="none" w:sz="0" w:space="0" w:color="auto"/>
            <w:left w:val="none" w:sz="0" w:space="0" w:color="auto"/>
            <w:bottom w:val="none" w:sz="0" w:space="0" w:color="auto"/>
            <w:right w:val="none" w:sz="0" w:space="0" w:color="auto"/>
          </w:divBdr>
          <w:divsChild>
            <w:div w:id="1314069343">
              <w:marLeft w:val="0"/>
              <w:marRight w:val="0"/>
              <w:marTop w:val="0"/>
              <w:marBottom w:val="0"/>
              <w:divBdr>
                <w:top w:val="none" w:sz="0" w:space="0" w:color="auto"/>
                <w:left w:val="none" w:sz="0" w:space="0" w:color="auto"/>
                <w:bottom w:val="none" w:sz="0" w:space="0" w:color="auto"/>
                <w:right w:val="none" w:sz="0" w:space="0" w:color="auto"/>
              </w:divBdr>
            </w:div>
          </w:divsChild>
        </w:div>
        <w:div w:id="627853290">
          <w:marLeft w:val="0"/>
          <w:marRight w:val="0"/>
          <w:marTop w:val="0"/>
          <w:marBottom w:val="0"/>
          <w:divBdr>
            <w:top w:val="none" w:sz="0" w:space="0" w:color="auto"/>
            <w:left w:val="none" w:sz="0" w:space="0" w:color="auto"/>
            <w:bottom w:val="none" w:sz="0" w:space="0" w:color="auto"/>
            <w:right w:val="none" w:sz="0" w:space="0" w:color="auto"/>
          </w:divBdr>
          <w:divsChild>
            <w:div w:id="1061637076">
              <w:marLeft w:val="0"/>
              <w:marRight w:val="0"/>
              <w:marTop w:val="0"/>
              <w:marBottom w:val="0"/>
              <w:divBdr>
                <w:top w:val="none" w:sz="0" w:space="0" w:color="auto"/>
                <w:left w:val="none" w:sz="0" w:space="0" w:color="auto"/>
                <w:bottom w:val="none" w:sz="0" w:space="0" w:color="auto"/>
                <w:right w:val="none" w:sz="0" w:space="0" w:color="auto"/>
              </w:divBdr>
            </w:div>
          </w:divsChild>
        </w:div>
        <w:div w:id="636492781">
          <w:marLeft w:val="0"/>
          <w:marRight w:val="0"/>
          <w:marTop w:val="0"/>
          <w:marBottom w:val="0"/>
          <w:divBdr>
            <w:top w:val="none" w:sz="0" w:space="0" w:color="auto"/>
            <w:left w:val="none" w:sz="0" w:space="0" w:color="auto"/>
            <w:bottom w:val="none" w:sz="0" w:space="0" w:color="auto"/>
            <w:right w:val="none" w:sz="0" w:space="0" w:color="auto"/>
          </w:divBdr>
          <w:divsChild>
            <w:div w:id="1595555051">
              <w:marLeft w:val="0"/>
              <w:marRight w:val="0"/>
              <w:marTop w:val="0"/>
              <w:marBottom w:val="0"/>
              <w:divBdr>
                <w:top w:val="none" w:sz="0" w:space="0" w:color="auto"/>
                <w:left w:val="none" w:sz="0" w:space="0" w:color="auto"/>
                <w:bottom w:val="none" w:sz="0" w:space="0" w:color="auto"/>
                <w:right w:val="none" w:sz="0" w:space="0" w:color="auto"/>
              </w:divBdr>
            </w:div>
          </w:divsChild>
        </w:div>
        <w:div w:id="684597690">
          <w:marLeft w:val="0"/>
          <w:marRight w:val="0"/>
          <w:marTop w:val="0"/>
          <w:marBottom w:val="0"/>
          <w:divBdr>
            <w:top w:val="none" w:sz="0" w:space="0" w:color="auto"/>
            <w:left w:val="none" w:sz="0" w:space="0" w:color="auto"/>
            <w:bottom w:val="none" w:sz="0" w:space="0" w:color="auto"/>
            <w:right w:val="none" w:sz="0" w:space="0" w:color="auto"/>
          </w:divBdr>
          <w:divsChild>
            <w:div w:id="667251501">
              <w:marLeft w:val="0"/>
              <w:marRight w:val="0"/>
              <w:marTop w:val="0"/>
              <w:marBottom w:val="0"/>
              <w:divBdr>
                <w:top w:val="none" w:sz="0" w:space="0" w:color="auto"/>
                <w:left w:val="none" w:sz="0" w:space="0" w:color="auto"/>
                <w:bottom w:val="none" w:sz="0" w:space="0" w:color="auto"/>
                <w:right w:val="none" w:sz="0" w:space="0" w:color="auto"/>
              </w:divBdr>
            </w:div>
          </w:divsChild>
        </w:div>
        <w:div w:id="694817227">
          <w:marLeft w:val="0"/>
          <w:marRight w:val="0"/>
          <w:marTop w:val="0"/>
          <w:marBottom w:val="0"/>
          <w:divBdr>
            <w:top w:val="none" w:sz="0" w:space="0" w:color="auto"/>
            <w:left w:val="none" w:sz="0" w:space="0" w:color="auto"/>
            <w:bottom w:val="none" w:sz="0" w:space="0" w:color="auto"/>
            <w:right w:val="none" w:sz="0" w:space="0" w:color="auto"/>
          </w:divBdr>
          <w:divsChild>
            <w:div w:id="1196501623">
              <w:marLeft w:val="0"/>
              <w:marRight w:val="0"/>
              <w:marTop w:val="0"/>
              <w:marBottom w:val="0"/>
              <w:divBdr>
                <w:top w:val="none" w:sz="0" w:space="0" w:color="auto"/>
                <w:left w:val="none" w:sz="0" w:space="0" w:color="auto"/>
                <w:bottom w:val="none" w:sz="0" w:space="0" w:color="auto"/>
                <w:right w:val="none" w:sz="0" w:space="0" w:color="auto"/>
              </w:divBdr>
            </w:div>
          </w:divsChild>
        </w:div>
        <w:div w:id="696583920">
          <w:marLeft w:val="0"/>
          <w:marRight w:val="0"/>
          <w:marTop w:val="0"/>
          <w:marBottom w:val="0"/>
          <w:divBdr>
            <w:top w:val="none" w:sz="0" w:space="0" w:color="auto"/>
            <w:left w:val="none" w:sz="0" w:space="0" w:color="auto"/>
            <w:bottom w:val="none" w:sz="0" w:space="0" w:color="auto"/>
            <w:right w:val="none" w:sz="0" w:space="0" w:color="auto"/>
          </w:divBdr>
          <w:divsChild>
            <w:div w:id="1401053850">
              <w:marLeft w:val="0"/>
              <w:marRight w:val="0"/>
              <w:marTop w:val="0"/>
              <w:marBottom w:val="0"/>
              <w:divBdr>
                <w:top w:val="none" w:sz="0" w:space="0" w:color="auto"/>
                <w:left w:val="none" w:sz="0" w:space="0" w:color="auto"/>
                <w:bottom w:val="none" w:sz="0" w:space="0" w:color="auto"/>
                <w:right w:val="none" w:sz="0" w:space="0" w:color="auto"/>
              </w:divBdr>
            </w:div>
            <w:div w:id="1504398756">
              <w:marLeft w:val="0"/>
              <w:marRight w:val="0"/>
              <w:marTop w:val="0"/>
              <w:marBottom w:val="0"/>
              <w:divBdr>
                <w:top w:val="none" w:sz="0" w:space="0" w:color="auto"/>
                <w:left w:val="none" w:sz="0" w:space="0" w:color="auto"/>
                <w:bottom w:val="none" w:sz="0" w:space="0" w:color="auto"/>
                <w:right w:val="none" w:sz="0" w:space="0" w:color="auto"/>
              </w:divBdr>
            </w:div>
          </w:divsChild>
        </w:div>
        <w:div w:id="893196422">
          <w:marLeft w:val="0"/>
          <w:marRight w:val="0"/>
          <w:marTop w:val="0"/>
          <w:marBottom w:val="0"/>
          <w:divBdr>
            <w:top w:val="none" w:sz="0" w:space="0" w:color="auto"/>
            <w:left w:val="none" w:sz="0" w:space="0" w:color="auto"/>
            <w:bottom w:val="none" w:sz="0" w:space="0" w:color="auto"/>
            <w:right w:val="none" w:sz="0" w:space="0" w:color="auto"/>
          </w:divBdr>
          <w:divsChild>
            <w:div w:id="715666957">
              <w:marLeft w:val="0"/>
              <w:marRight w:val="0"/>
              <w:marTop w:val="0"/>
              <w:marBottom w:val="0"/>
              <w:divBdr>
                <w:top w:val="none" w:sz="0" w:space="0" w:color="auto"/>
                <w:left w:val="none" w:sz="0" w:space="0" w:color="auto"/>
                <w:bottom w:val="none" w:sz="0" w:space="0" w:color="auto"/>
                <w:right w:val="none" w:sz="0" w:space="0" w:color="auto"/>
              </w:divBdr>
            </w:div>
          </w:divsChild>
        </w:div>
        <w:div w:id="899749928">
          <w:marLeft w:val="0"/>
          <w:marRight w:val="0"/>
          <w:marTop w:val="0"/>
          <w:marBottom w:val="0"/>
          <w:divBdr>
            <w:top w:val="none" w:sz="0" w:space="0" w:color="auto"/>
            <w:left w:val="none" w:sz="0" w:space="0" w:color="auto"/>
            <w:bottom w:val="none" w:sz="0" w:space="0" w:color="auto"/>
            <w:right w:val="none" w:sz="0" w:space="0" w:color="auto"/>
          </w:divBdr>
          <w:divsChild>
            <w:div w:id="436603733">
              <w:marLeft w:val="0"/>
              <w:marRight w:val="0"/>
              <w:marTop w:val="0"/>
              <w:marBottom w:val="0"/>
              <w:divBdr>
                <w:top w:val="none" w:sz="0" w:space="0" w:color="auto"/>
                <w:left w:val="none" w:sz="0" w:space="0" w:color="auto"/>
                <w:bottom w:val="none" w:sz="0" w:space="0" w:color="auto"/>
                <w:right w:val="none" w:sz="0" w:space="0" w:color="auto"/>
              </w:divBdr>
            </w:div>
            <w:div w:id="689525630">
              <w:marLeft w:val="0"/>
              <w:marRight w:val="0"/>
              <w:marTop w:val="0"/>
              <w:marBottom w:val="0"/>
              <w:divBdr>
                <w:top w:val="none" w:sz="0" w:space="0" w:color="auto"/>
                <w:left w:val="none" w:sz="0" w:space="0" w:color="auto"/>
                <w:bottom w:val="none" w:sz="0" w:space="0" w:color="auto"/>
                <w:right w:val="none" w:sz="0" w:space="0" w:color="auto"/>
              </w:divBdr>
            </w:div>
            <w:div w:id="774983564">
              <w:marLeft w:val="0"/>
              <w:marRight w:val="0"/>
              <w:marTop w:val="0"/>
              <w:marBottom w:val="0"/>
              <w:divBdr>
                <w:top w:val="none" w:sz="0" w:space="0" w:color="auto"/>
                <w:left w:val="none" w:sz="0" w:space="0" w:color="auto"/>
                <w:bottom w:val="none" w:sz="0" w:space="0" w:color="auto"/>
                <w:right w:val="none" w:sz="0" w:space="0" w:color="auto"/>
              </w:divBdr>
            </w:div>
            <w:div w:id="1516193693">
              <w:marLeft w:val="0"/>
              <w:marRight w:val="0"/>
              <w:marTop w:val="0"/>
              <w:marBottom w:val="0"/>
              <w:divBdr>
                <w:top w:val="none" w:sz="0" w:space="0" w:color="auto"/>
                <w:left w:val="none" w:sz="0" w:space="0" w:color="auto"/>
                <w:bottom w:val="none" w:sz="0" w:space="0" w:color="auto"/>
                <w:right w:val="none" w:sz="0" w:space="0" w:color="auto"/>
              </w:divBdr>
            </w:div>
            <w:div w:id="1648240926">
              <w:marLeft w:val="0"/>
              <w:marRight w:val="0"/>
              <w:marTop w:val="0"/>
              <w:marBottom w:val="0"/>
              <w:divBdr>
                <w:top w:val="none" w:sz="0" w:space="0" w:color="auto"/>
                <w:left w:val="none" w:sz="0" w:space="0" w:color="auto"/>
                <w:bottom w:val="none" w:sz="0" w:space="0" w:color="auto"/>
                <w:right w:val="none" w:sz="0" w:space="0" w:color="auto"/>
              </w:divBdr>
            </w:div>
            <w:div w:id="1667392201">
              <w:marLeft w:val="0"/>
              <w:marRight w:val="0"/>
              <w:marTop w:val="0"/>
              <w:marBottom w:val="0"/>
              <w:divBdr>
                <w:top w:val="none" w:sz="0" w:space="0" w:color="auto"/>
                <w:left w:val="none" w:sz="0" w:space="0" w:color="auto"/>
                <w:bottom w:val="none" w:sz="0" w:space="0" w:color="auto"/>
                <w:right w:val="none" w:sz="0" w:space="0" w:color="auto"/>
              </w:divBdr>
            </w:div>
            <w:div w:id="1727097087">
              <w:marLeft w:val="0"/>
              <w:marRight w:val="0"/>
              <w:marTop w:val="0"/>
              <w:marBottom w:val="0"/>
              <w:divBdr>
                <w:top w:val="none" w:sz="0" w:space="0" w:color="auto"/>
                <w:left w:val="none" w:sz="0" w:space="0" w:color="auto"/>
                <w:bottom w:val="none" w:sz="0" w:space="0" w:color="auto"/>
                <w:right w:val="none" w:sz="0" w:space="0" w:color="auto"/>
              </w:divBdr>
            </w:div>
            <w:div w:id="1780875827">
              <w:marLeft w:val="0"/>
              <w:marRight w:val="0"/>
              <w:marTop w:val="0"/>
              <w:marBottom w:val="0"/>
              <w:divBdr>
                <w:top w:val="none" w:sz="0" w:space="0" w:color="auto"/>
                <w:left w:val="none" w:sz="0" w:space="0" w:color="auto"/>
                <w:bottom w:val="none" w:sz="0" w:space="0" w:color="auto"/>
                <w:right w:val="none" w:sz="0" w:space="0" w:color="auto"/>
              </w:divBdr>
            </w:div>
            <w:div w:id="1784184701">
              <w:marLeft w:val="0"/>
              <w:marRight w:val="0"/>
              <w:marTop w:val="0"/>
              <w:marBottom w:val="0"/>
              <w:divBdr>
                <w:top w:val="none" w:sz="0" w:space="0" w:color="auto"/>
                <w:left w:val="none" w:sz="0" w:space="0" w:color="auto"/>
                <w:bottom w:val="none" w:sz="0" w:space="0" w:color="auto"/>
                <w:right w:val="none" w:sz="0" w:space="0" w:color="auto"/>
              </w:divBdr>
            </w:div>
          </w:divsChild>
        </w:div>
        <w:div w:id="966275044">
          <w:marLeft w:val="0"/>
          <w:marRight w:val="0"/>
          <w:marTop w:val="0"/>
          <w:marBottom w:val="0"/>
          <w:divBdr>
            <w:top w:val="none" w:sz="0" w:space="0" w:color="auto"/>
            <w:left w:val="none" w:sz="0" w:space="0" w:color="auto"/>
            <w:bottom w:val="none" w:sz="0" w:space="0" w:color="auto"/>
            <w:right w:val="none" w:sz="0" w:space="0" w:color="auto"/>
          </w:divBdr>
          <w:divsChild>
            <w:div w:id="315963097">
              <w:marLeft w:val="0"/>
              <w:marRight w:val="0"/>
              <w:marTop w:val="0"/>
              <w:marBottom w:val="0"/>
              <w:divBdr>
                <w:top w:val="none" w:sz="0" w:space="0" w:color="auto"/>
                <w:left w:val="none" w:sz="0" w:space="0" w:color="auto"/>
                <w:bottom w:val="none" w:sz="0" w:space="0" w:color="auto"/>
                <w:right w:val="none" w:sz="0" w:space="0" w:color="auto"/>
              </w:divBdr>
            </w:div>
          </w:divsChild>
        </w:div>
        <w:div w:id="971518375">
          <w:marLeft w:val="0"/>
          <w:marRight w:val="0"/>
          <w:marTop w:val="0"/>
          <w:marBottom w:val="0"/>
          <w:divBdr>
            <w:top w:val="none" w:sz="0" w:space="0" w:color="auto"/>
            <w:left w:val="none" w:sz="0" w:space="0" w:color="auto"/>
            <w:bottom w:val="none" w:sz="0" w:space="0" w:color="auto"/>
            <w:right w:val="none" w:sz="0" w:space="0" w:color="auto"/>
          </w:divBdr>
          <w:divsChild>
            <w:div w:id="841891697">
              <w:marLeft w:val="0"/>
              <w:marRight w:val="0"/>
              <w:marTop w:val="0"/>
              <w:marBottom w:val="0"/>
              <w:divBdr>
                <w:top w:val="none" w:sz="0" w:space="0" w:color="auto"/>
                <w:left w:val="none" w:sz="0" w:space="0" w:color="auto"/>
                <w:bottom w:val="none" w:sz="0" w:space="0" w:color="auto"/>
                <w:right w:val="none" w:sz="0" w:space="0" w:color="auto"/>
              </w:divBdr>
            </w:div>
            <w:div w:id="1146749163">
              <w:marLeft w:val="0"/>
              <w:marRight w:val="0"/>
              <w:marTop w:val="0"/>
              <w:marBottom w:val="0"/>
              <w:divBdr>
                <w:top w:val="none" w:sz="0" w:space="0" w:color="auto"/>
                <w:left w:val="none" w:sz="0" w:space="0" w:color="auto"/>
                <w:bottom w:val="none" w:sz="0" w:space="0" w:color="auto"/>
                <w:right w:val="none" w:sz="0" w:space="0" w:color="auto"/>
              </w:divBdr>
            </w:div>
            <w:div w:id="1650859502">
              <w:marLeft w:val="0"/>
              <w:marRight w:val="0"/>
              <w:marTop w:val="0"/>
              <w:marBottom w:val="0"/>
              <w:divBdr>
                <w:top w:val="none" w:sz="0" w:space="0" w:color="auto"/>
                <w:left w:val="none" w:sz="0" w:space="0" w:color="auto"/>
                <w:bottom w:val="none" w:sz="0" w:space="0" w:color="auto"/>
                <w:right w:val="none" w:sz="0" w:space="0" w:color="auto"/>
              </w:divBdr>
            </w:div>
            <w:div w:id="1657418498">
              <w:marLeft w:val="0"/>
              <w:marRight w:val="0"/>
              <w:marTop w:val="0"/>
              <w:marBottom w:val="0"/>
              <w:divBdr>
                <w:top w:val="none" w:sz="0" w:space="0" w:color="auto"/>
                <w:left w:val="none" w:sz="0" w:space="0" w:color="auto"/>
                <w:bottom w:val="none" w:sz="0" w:space="0" w:color="auto"/>
                <w:right w:val="none" w:sz="0" w:space="0" w:color="auto"/>
              </w:divBdr>
            </w:div>
            <w:div w:id="2073500202">
              <w:marLeft w:val="0"/>
              <w:marRight w:val="0"/>
              <w:marTop w:val="0"/>
              <w:marBottom w:val="0"/>
              <w:divBdr>
                <w:top w:val="none" w:sz="0" w:space="0" w:color="auto"/>
                <w:left w:val="none" w:sz="0" w:space="0" w:color="auto"/>
                <w:bottom w:val="none" w:sz="0" w:space="0" w:color="auto"/>
                <w:right w:val="none" w:sz="0" w:space="0" w:color="auto"/>
              </w:divBdr>
            </w:div>
          </w:divsChild>
        </w:div>
        <w:div w:id="1004667715">
          <w:marLeft w:val="0"/>
          <w:marRight w:val="0"/>
          <w:marTop w:val="0"/>
          <w:marBottom w:val="0"/>
          <w:divBdr>
            <w:top w:val="none" w:sz="0" w:space="0" w:color="auto"/>
            <w:left w:val="none" w:sz="0" w:space="0" w:color="auto"/>
            <w:bottom w:val="none" w:sz="0" w:space="0" w:color="auto"/>
            <w:right w:val="none" w:sz="0" w:space="0" w:color="auto"/>
          </w:divBdr>
          <w:divsChild>
            <w:div w:id="847450608">
              <w:marLeft w:val="0"/>
              <w:marRight w:val="0"/>
              <w:marTop w:val="0"/>
              <w:marBottom w:val="0"/>
              <w:divBdr>
                <w:top w:val="none" w:sz="0" w:space="0" w:color="auto"/>
                <w:left w:val="none" w:sz="0" w:space="0" w:color="auto"/>
                <w:bottom w:val="none" w:sz="0" w:space="0" w:color="auto"/>
                <w:right w:val="none" w:sz="0" w:space="0" w:color="auto"/>
              </w:divBdr>
            </w:div>
          </w:divsChild>
        </w:div>
        <w:div w:id="1033311763">
          <w:marLeft w:val="0"/>
          <w:marRight w:val="0"/>
          <w:marTop w:val="0"/>
          <w:marBottom w:val="0"/>
          <w:divBdr>
            <w:top w:val="none" w:sz="0" w:space="0" w:color="auto"/>
            <w:left w:val="none" w:sz="0" w:space="0" w:color="auto"/>
            <w:bottom w:val="none" w:sz="0" w:space="0" w:color="auto"/>
            <w:right w:val="none" w:sz="0" w:space="0" w:color="auto"/>
          </w:divBdr>
          <w:divsChild>
            <w:div w:id="1237089904">
              <w:marLeft w:val="0"/>
              <w:marRight w:val="0"/>
              <w:marTop w:val="0"/>
              <w:marBottom w:val="0"/>
              <w:divBdr>
                <w:top w:val="none" w:sz="0" w:space="0" w:color="auto"/>
                <w:left w:val="none" w:sz="0" w:space="0" w:color="auto"/>
                <w:bottom w:val="none" w:sz="0" w:space="0" w:color="auto"/>
                <w:right w:val="none" w:sz="0" w:space="0" w:color="auto"/>
              </w:divBdr>
            </w:div>
          </w:divsChild>
        </w:div>
        <w:div w:id="1043602191">
          <w:marLeft w:val="0"/>
          <w:marRight w:val="0"/>
          <w:marTop w:val="0"/>
          <w:marBottom w:val="0"/>
          <w:divBdr>
            <w:top w:val="none" w:sz="0" w:space="0" w:color="auto"/>
            <w:left w:val="none" w:sz="0" w:space="0" w:color="auto"/>
            <w:bottom w:val="none" w:sz="0" w:space="0" w:color="auto"/>
            <w:right w:val="none" w:sz="0" w:space="0" w:color="auto"/>
          </w:divBdr>
          <w:divsChild>
            <w:div w:id="1254633500">
              <w:marLeft w:val="0"/>
              <w:marRight w:val="0"/>
              <w:marTop w:val="0"/>
              <w:marBottom w:val="0"/>
              <w:divBdr>
                <w:top w:val="none" w:sz="0" w:space="0" w:color="auto"/>
                <w:left w:val="none" w:sz="0" w:space="0" w:color="auto"/>
                <w:bottom w:val="none" w:sz="0" w:space="0" w:color="auto"/>
                <w:right w:val="none" w:sz="0" w:space="0" w:color="auto"/>
              </w:divBdr>
            </w:div>
          </w:divsChild>
        </w:div>
        <w:div w:id="1069305497">
          <w:marLeft w:val="0"/>
          <w:marRight w:val="0"/>
          <w:marTop w:val="0"/>
          <w:marBottom w:val="0"/>
          <w:divBdr>
            <w:top w:val="none" w:sz="0" w:space="0" w:color="auto"/>
            <w:left w:val="none" w:sz="0" w:space="0" w:color="auto"/>
            <w:bottom w:val="none" w:sz="0" w:space="0" w:color="auto"/>
            <w:right w:val="none" w:sz="0" w:space="0" w:color="auto"/>
          </w:divBdr>
          <w:divsChild>
            <w:div w:id="1527673255">
              <w:marLeft w:val="0"/>
              <w:marRight w:val="0"/>
              <w:marTop w:val="0"/>
              <w:marBottom w:val="0"/>
              <w:divBdr>
                <w:top w:val="none" w:sz="0" w:space="0" w:color="auto"/>
                <w:left w:val="none" w:sz="0" w:space="0" w:color="auto"/>
                <w:bottom w:val="none" w:sz="0" w:space="0" w:color="auto"/>
                <w:right w:val="none" w:sz="0" w:space="0" w:color="auto"/>
              </w:divBdr>
            </w:div>
          </w:divsChild>
        </w:div>
        <w:div w:id="1104232448">
          <w:marLeft w:val="0"/>
          <w:marRight w:val="0"/>
          <w:marTop w:val="0"/>
          <w:marBottom w:val="0"/>
          <w:divBdr>
            <w:top w:val="none" w:sz="0" w:space="0" w:color="auto"/>
            <w:left w:val="none" w:sz="0" w:space="0" w:color="auto"/>
            <w:bottom w:val="none" w:sz="0" w:space="0" w:color="auto"/>
            <w:right w:val="none" w:sz="0" w:space="0" w:color="auto"/>
          </w:divBdr>
          <w:divsChild>
            <w:div w:id="366149975">
              <w:marLeft w:val="0"/>
              <w:marRight w:val="0"/>
              <w:marTop w:val="0"/>
              <w:marBottom w:val="0"/>
              <w:divBdr>
                <w:top w:val="none" w:sz="0" w:space="0" w:color="auto"/>
                <w:left w:val="none" w:sz="0" w:space="0" w:color="auto"/>
                <w:bottom w:val="none" w:sz="0" w:space="0" w:color="auto"/>
                <w:right w:val="none" w:sz="0" w:space="0" w:color="auto"/>
              </w:divBdr>
            </w:div>
            <w:div w:id="798106051">
              <w:marLeft w:val="0"/>
              <w:marRight w:val="0"/>
              <w:marTop w:val="0"/>
              <w:marBottom w:val="0"/>
              <w:divBdr>
                <w:top w:val="none" w:sz="0" w:space="0" w:color="auto"/>
                <w:left w:val="none" w:sz="0" w:space="0" w:color="auto"/>
                <w:bottom w:val="none" w:sz="0" w:space="0" w:color="auto"/>
                <w:right w:val="none" w:sz="0" w:space="0" w:color="auto"/>
              </w:divBdr>
            </w:div>
            <w:div w:id="1433697633">
              <w:marLeft w:val="0"/>
              <w:marRight w:val="0"/>
              <w:marTop w:val="0"/>
              <w:marBottom w:val="0"/>
              <w:divBdr>
                <w:top w:val="none" w:sz="0" w:space="0" w:color="auto"/>
                <w:left w:val="none" w:sz="0" w:space="0" w:color="auto"/>
                <w:bottom w:val="none" w:sz="0" w:space="0" w:color="auto"/>
                <w:right w:val="none" w:sz="0" w:space="0" w:color="auto"/>
              </w:divBdr>
            </w:div>
            <w:div w:id="1674261460">
              <w:marLeft w:val="0"/>
              <w:marRight w:val="0"/>
              <w:marTop w:val="0"/>
              <w:marBottom w:val="0"/>
              <w:divBdr>
                <w:top w:val="none" w:sz="0" w:space="0" w:color="auto"/>
                <w:left w:val="none" w:sz="0" w:space="0" w:color="auto"/>
                <w:bottom w:val="none" w:sz="0" w:space="0" w:color="auto"/>
                <w:right w:val="none" w:sz="0" w:space="0" w:color="auto"/>
              </w:divBdr>
            </w:div>
            <w:div w:id="2062635362">
              <w:marLeft w:val="0"/>
              <w:marRight w:val="0"/>
              <w:marTop w:val="0"/>
              <w:marBottom w:val="0"/>
              <w:divBdr>
                <w:top w:val="none" w:sz="0" w:space="0" w:color="auto"/>
                <w:left w:val="none" w:sz="0" w:space="0" w:color="auto"/>
                <w:bottom w:val="none" w:sz="0" w:space="0" w:color="auto"/>
                <w:right w:val="none" w:sz="0" w:space="0" w:color="auto"/>
              </w:divBdr>
            </w:div>
          </w:divsChild>
        </w:div>
        <w:div w:id="1118718288">
          <w:marLeft w:val="0"/>
          <w:marRight w:val="0"/>
          <w:marTop w:val="0"/>
          <w:marBottom w:val="0"/>
          <w:divBdr>
            <w:top w:val="none" w:sz="0" w:space="0" w:color="auto"/>
            <w:left w:val="none" w:sz="0" w:space="0" w:color="auto"/>
            <w:bottom w:val="none" w:sz="0" w:space="0" w:color="auto"/>
            <w:right w:val="none" w:sz="0" w:space="0" w:color="auto"/>
          </w:divBdr>
          <w:divsChild>
            <w:div w:id="1512911624">
              <w:marLeft w:val="0"/>
              <w:marRight w:val="0"/>
              <w:marTop w:val="0"/>
              <w:marBottom w:val="0"/>
              <w:divBdr>
                <w:top w:val="none" w:sz="0" w:space="0" w:color="auto"/>
                <w:left w:val="none" w:sz="0" w:space="0" w:color="auto"/>
                <w:bottom w:val="none" w:sz="0" w:space="0" w:color="auto"/>
                <w:right w:val="none" w:sz="0" w:space="0" w:color="auto"/>
              </w:divBdr>
            </w:div>
          </w:divsChild>
        </w:div>
        <w:div w:id="1137600157">
          <w:marLeft w:val="0"/>
          <w:marRight w:val="0"/>
          <w:marTop w:val="0"/>
          <w:marBottom w:val="0"/>
          <w:divBdr>
            <w:top w:val="none" w:sz="0" w:space="0" w:color="auto"/>
            <w:left w:val="none" w:sz="0" w:space="0" w:color="auto"/>
            <w:bottom w:val="none" w:sz="0" w:space="0" w:color="auto"/>
            <w:right w:val="none" w:sz="0" w:space="0" w:color="auto"/>
          </w:divBdr>
          <w:divsChild>
            <w:div w:id="841435103">
              <w:marLeft w:val="0"/>
              <w:marRight w:val="0"/>
              <w:marTop w:val="0"/>
              <w:marBottom w:val="0"/>
              <w:divBdr>
                <w:top w:val="none" w:sz="0" w:space="0" w:color="auto"/>
                <w:left w:val="none" w:sz="0" w:space="0" w:color="auto"/>
                <w:bottom w:val="none" w:sz="0" w:space="0" w:color="auto"/>
                <w:right w:val="none" w:sz="0" w:space="0" w:color="auto"/>
              </w:divBdr>
            </w:div>
          </w:divsChild>
        </w:div>
        <w:div w:id="1215384490">
          <w:marLeft w:val="0"/>
          <w:marRight w:val="0"/>
          <w:marTop w:val="0"/>
          <w:marBottom w:val="0"/>
          <w:divBdr>
            <w:top w:val="none" w:sz="0" w:space="0" w:color="auto"/>
            <w:left w:val="none" w:sz="0" w:space="0" w:color="auto"/>
            <w:bottom w:val="none" w:sz="0" w:space="0" w:color="auto"/>
            <w:right w:val="none" w:sz="0" w:space="0" w:color="auto"/>
          </w:divBdr>
          <w:divsChild>
            <w:div w:id="1097485876">
              <w:marLeft w:val="0"/>
              <w:marRight w:val="0"/>
              <w:marTop w:val="0"/>
              <w:marBottom w:val="0"/>
              <w:divBdr>
                <w:top w:val="none" w:sz="0" w:space="0" w:color="auto"/>
                <w:left w:val="none" w:sz="0" w:space="0" w:color="auto"/>
                <w:bottom w:val="none" w:sz="0" w:space="0" w:color="auto"/>
                <w:right w:val="none" w:sz="0" w:space="0" w:color="auto"/>
              </w:divBdr>
            </w:div>
            <w:div w:id="1284656800">
              <w:marLeft w:val="0"/>
              <w:marRight w:val="0"/>
              <w:marTop w:val="0"/>
              <w:marBottom w:val="0"/>
              <w:divBdr>
                <w:top w:val="none" w:sz="0" w:space="0" w:color="auto"/>
                <w:left w:val="none" w:sz="0" w:space="0" w:color="auto"/>
                <w:bottom w:val="none" w:sz="0" w:space="0" w:color="auto"/>
                <w:right w:val="none" w:sz="0" w:space="0" w:color="auto"/>
              </w:divBdr>
            </w:div>
            <w:div w:id="1391998621">
              <w:marLeft w:val="0"/>
              <w:marRight w:val="0"/>
              <w:marTop w:val="0"/>
              <w:marBottom w:val="0"/>
              <w:divBdr>
                <w:top w:val="none" w:sz="0" w:space="0" w:color="auto"/>
                <w:left w:val="none" w:sz="0" w:space="0" w:color="auto"/>
                <w:bottom w:val="none" w:sz="0" w:space="0" w:color="auto"/>
                <w:right w:val="none" w:sz="0" w:space="0" w:color="auto"/>
              </w:divBdr>
            </w:div>
            <w:div w:id="1589924388">
              <w:marLeft w:val="0"/>
              <w:marRight w:val="0"/>
              <w:marTop w:val="0"/>
              <w:marBottom w:val="0"/>
              <w:divBdr>
                <w:top w:val="none" w:sz="0" w:space="0" w:color="auto"/>
                <w:left w:val="none" w:sz="0" w:space="0" w:color="auto"/>
                <w:bottom w:val="none" w:sz="0" w:space="0" w:color="auto"/>
                <w:right w:val="none" w:sz="0" w:space="0" w:color="auto"/>
              </w:divBdr>
            </w:div>
            <w:div w:id="1653677534">
              <w:marLeft w:val="0"/>
              <w:marRight w:val="0"/>
              <w:marTop w:val="0"/>
              <w:marBottom w:val="0"/>
              <w:divBdr>
                <w:top w:val="none" w:sz="0" w:space="0" w:color="auto"/>
                <w:left w:val="none" w:sz="0" w:space="0" w:color="auto"/>
                <w:bottom w:val="none" w:sz="0" w:space="0" w:color="auto"/>
                <w:right w:val="none" w:sz="0" w:space="0" w:color="auto"/>
              </w:divBdr>
            </w:div>
          </w:divsChild>
        </w:div>
        <w:div w:id="1240603871">
          <w:marLeft w:val="0"/>
          <w:marRight w:val="0"/>
          <w:marTop w:val="0"/>
          <w:marBottom w:val="0"/>
          <w:divBdr>
            <w:top w:val="none" w:sz="0" w:space="0" w:color="auto"/>
            <w:left w:val="none" w:sz="0" w:space="0" w:color="auto"/>
            <w:bottom w:val="none" w:sz="0" w:space="0" w:color="auto"/>
            <w:right w:val="none" w:sz="0" w:space="0" w:color="auto"/>
          </w:divBdr>
          <w:divsChild>
            <w:div w:id="1437020752">
              <w:marLeft w:val="0"/>
              <w:marRight w:val="0"/>
              <w:marTop w:val="0"/>
              <w:marBottom w:val="0"/>
              <w:divBdr>
                <w:top w:val="none" w:sz="0" w:space="0" w:color="auto"/>
                <w:left w:val="none" w:sz="0" w:space="0" w:color="auto"/>
                <w:bottom w:val="none" w:sz="0" w:space="0" w:color="auto"/>
                <w:right w:val="none" w:sz="0" w:space="0" w:color="auto"/>
              </w:divBdr>
            </w:div>
          </w:divsChild>
        </w:div>
        <w:div w:id="1279872723">
          <w:marLeft w:val="0"/>
          <w:marRight w:val="0"/>
          <w:marTop w:val="0"/>
          <w:marBottom w:val="0"/>
          <w:divBdr>
            <w:top w:val="none" w:sz="0" w:space="0" w:color="auto"/>
            <w:left w:val="none" w:sz="0" w:space="0" w:color="auto"/>
            <w:bottom w:val="none" w:sz="0" w:space="0" w:color="auto"/>
            <w:right w:val="none" w:sz="0" w:space="0" w:color="auto"/>
          </w:divBdr>
          <w:divsChild>
            <w:div w:id="1666780306">
              <w:marLeft w:val="0"/>
              <w:marRight w:val="0"/>
              <w:marTop w:val="0"/>
              <w:marBottom w:val="0"/>
              <w:divBdr>
                <w:top w:val="none" w:sz="0" w:space="0" w:color="auto"/>
                <w:left w:val="none" w:sz="0" w:space="0" w:color="auto"/>
                <w:bottom w:val="none" w:sz="0" w:space="0" w:color="auto"/>
                <w:right w:val="none" w:sz="0" w:space="0" w:color="auto"/>
              </w:divBdr>
            </w:div>
          </w:divsChild>
        </w:div>
        <w:div w:id="1308434305">
          <w:marLeft w:val="0"/>
          <w:marRight w:val="0"/>
          <w:marTop w:val="0"/>
          <w:marBottom w:val="0"/>
          <w:divBdr>
            <w:top w:val="none" w:sz="0" w:space="0" w:color="auto"/>
            <w:left w:val="none" w:sz="0" w:space="0" w:color="auto"/>
            <w:bottom w:val="none" w:sz="0" w:space="0" w:color="auto"/>
            <w:right w:val="none" w:sz="0" w:space="0" w:color="auto"/>
          </w:divBdr>
          <w:divsChild>
            <w:div w:id="439642582">
              <w:marLeft w:val="0"/>
              <w:marRight w:val="0"/>
              <w:marTop w:val="0"/>
              <w:marBottom w:val="0"/>
              <w:divBdr>
                <w:top w:val="none" w:sz="0" w:space="0" w:color="auto"/>
                <w:left w:val="none" w:sz="0" w:space="0" w:color="auto"/>
                <w:bottom w:val="none" w:sz="0" w:space="0" w:color="auto"/>
                <w:right w:val="none" w:sz="0" w:space="0" w:color="auto"/>
              </w:divBdr>
            </w:div>
          </w:divsChild>
        </w:div>
        <w:div w:id="1317605980">
          <w:marLeft w:val="0"/>
          <w:marRight w:val="0"/>
          <w:marTop w:val="0"/>
          <w:marBottom w:val="0"/>
          <w:divBdr>
            <w:top w:val="none" w:sz="0" w:space="0" w:color="auto"/>
            <w:left w:val="none" w:sz="0" w:space="0" w:color="auto"/>
            <w:bottom w:val="none" w:sz="0" w:space="0" w:color="auto"/>
            <w:right w:val="none" w:sz="0" w:space="0" w:color="auto"/>
          </w:divBdr>
          <w:divsChild>
            <w:div w:id="11033172">
              <w:marLeft w:val="0"/>
              <w:marRight w:val="0"/>
              <w:marTop w:val="0"/>
              <w:marBottom w:val="0"/>
              <w:divBdr>
                <w:top w:val="none" w:sz="0" w:space="0" w:color="auto"/>
                <w:left w:val="none" w:sz="0" w:space="0" w:color="auto"/>
                <w:bottom w:val="none" w:sz="0" w:space="0" w:color="auto"/>
                <w:right w:val="none" w:sz="0" w:space="0" w:color="auto"/>
              </w:divBdr>
            </w:div>
            <w:div w:id="199635680">
              <w:marLeft w:val="0"/>
              <w:marRight w:val="0"/>
              <w:marTop w:val="0"/>
              <w:marBottom w:val="0"/>
              <w:divBdr>
                <w:top w:val="none" w:sz="0" w:space="0" w:color="auto"/>
                <w:left w:val="none" w:sz="0" w:space="0" w:color="auto"/>
                <w:bottom w:val="none" w:sz="0" w:space="0" w:color="auto"/>
                <w:right w:val="none" w:sz="0" w:space="0" w:color="auto"/>
              </w:divBdr>
            </w:div>
            <w:div w:id="1525946183">
              <w:marLeft w:val="0"/>
              <w:marRight w:val="0"/>
              <w:marTop w:val="0"/>
              <w:marBottom w:val="0"/>
              <w:divBdr>
                <w:top w:val="none" w:sz="0" w:space="0" w:color="auto"/>
                <w:left w:val="none" w:sz="0" w:space="0" w:color="auto"/>
                <w:bottom w:val="none" w:sz="0" w:space="0" w:color="auto"/>
                <w:right w:val="none" w:sz="0" w:space="0" w:color="auto"/>
              </w:divBdr>
            </w:div>
          </w:divsChild>
        </w:div>
        <w:div w:id="1332416637">
          <w:marLeft w:val="0"/>
          <w:marRight w:val="0"/>
          <w:marTop w:val="0"/>
          <w:marBottom w:val="0"/>
          <w:divBdr>
            <w:top w:val="none" w:sz="0" w:space="0" w:color="auto"/>
            <w:left w:val="none" w:sz="0" w:space="0" w:color="auto"/>
            <w:bottom w:val="none" w:sz="0" w:space="0" w:color="auto"/>
            <w:right w:val="none" w:sz="0" w:space="0" w:color="auto"/>
          </w:divBdr>
          <w:divsChild>
            <w:div w:id="1294559101">
              <w:marLeft w:val="0"/>
              <w:marRight w:val="0"/>
              <w:marTop w:val="0"/>
              <w:marBottom w:val="0"/>
              <w:divBdr>
                <w:top w:val="none" w:sz="0" w:space="0" w:color="auto"/>
                <w:left w:val="none" w:sz="0" w:space="0" w:color="auto"/>
                <w:bottom w:val="none" w:sz="0" w:space="0" w:color="auto"/>
                <w:right w:val="none" w:sz="0" w:space="0" w:color="auto"/>
              </w:divBdr>
            </w:div>
          </w:divsChild>
        </w:div>
        <w:div w:id="1362828202">
          <w:marLeft w:val="0"/>
          <w:marRight w:val="0"/>
          <w:marTop w:val="0"/>
          <w:marBottom w:val="0"/>
          <w:divBdr>
            <w:top w:val="none" w:sz="0" w:space="0" w:color="auto"/>
            <w:left w:val="none" w:sz="0" w:space="0" w:color="auto"/>
            <w:bottom w:val="none" w:sz="0" w:space="0" w:color="auto"/>
            <w:right w:val="none" w:sz="0" w:space="0" w:color="auto"/>
          </w:divBdr>
          <w:divsChild>
            <w:div w:id="249657641">
              <w:marLeft w:val="0"/>
              <w:marRight w:val="0"/>
              <w:marTop w:val="0"/>
              <w:marBottom w:val="0"/>
              <w:divBdr>
                <w:top w:val="none" w:sz="0" w:space="0" w:color="auto"/>
                <w:left w:val="none" w:sz="0" w:space="0" w:color="auto"/>
                <w:bottom w:val="none" w:sz="0" w:space="0" w:color="auto"/>
                <w:right w:val="none" w:sz="0" w:space="0" w:color="auto"/>
              </w:divBdr>
            </w:div>
            <w:div w:id="422605424">
              <w:marLeft w:val="0"/>
              <w:marRight w:val="0"/>
              <w:marTop w:val="0"/>
              <w:marBottom w:val="0"/>
              <w:divBdr>
                <w:top w:val="none" w:sz="0" w:space="0" w:color="auto"/>
                <w:left w:val="none" w:sz="0" w:space="0" w:color="auto"/>
                <w:bottom w:val="none" w:sz="0" w:space="0" w:color="auto"/>
                <w:right w:val="none" w:sz="0" w:space="0" w:color="auto"/>
              </w:divBdr>
            </w:div>
            <w:div w:id="519242344">
              <w:marLeft w:val="0"/>
              <w:marRight w:val="0"/>
              <w:marTop w:val="0"/>
              <w:marBottom w:val="0"/>
              <w:divBdr>
                <w:top w:val="none" w:sz="0" w:space="0" w:color="auto"/>
                <w:left w:val="none" w:sz="0" w:space="0" w:color="auto"/>
                <w:bottom w:val="none" w:sz="0" w:space="0" w:color="auto"/>
                <w:right w:val="none" w:sz="0" w:space="0" w:color="auto"/>
              </w:divBdr>
            </w:div>
            <w:div w:id="997001877">
              <w:marLeft w:val="0"/>
              <w:marRight w:val="0"/>
              <w:marTop w:val="0"/>
              <w:marBottom w:val="0"/>
              <w:divBdr>
                <w:top w:val="none" w:sz="0" w:space="0" w:color="auto"/>
                <w:left w:val="none" w:sz="0" w:space="0" w:color="auto"/>
                <w:bottom w:val="none" w:sz="0" w:space="0" w:color="auto"/>
                <w:right w:val="none" w:sz="0" w:space="0" w:color="auto"/>
              </w:divBdr>
            </w:div>
            <w:div w:id="1327322069">
              <w:marLeft w:val="0"/>
              <w:marRight w:val="0"/>
              <w:marTop w:val="0"/>
              <w:marBottom w:val="0"/>
              <w:divBdr>
                <w:top w:val="none" w:sz="0" w:space="0" w:color="auto"/>
                <w:left w:val="none" w:sz="0" w:space="0" w:color="auto"/>
                <w:bottom w:val="none" w:sz="0" w:space="0" w:color="auto"/>
                <w:right w:val="none" w:sz="0" w:space="0" w:color="auto"/>
              </w:divBdr>
            </w:div>
            <w:div w:id="1479881038">
              <w:marLeft w:val="0"/>
              <w:marRight w:val="0"/>
              <w:marTop w:val="0"/>
              <w:marBottom w:val="0"/>
              <w:divBdr>
                <w:top w:val="none" w:sz="0" w:space="0" w:color="auto"/>
                <w:left w:val="none" w:sz="0" w:space="0" w:color="auto"/>
                <w:bottom w:val="none" w:sz="0" w:space="0" w:color="auto"/>
                <w:right w:val="none" w:sz="0" w:space="0" w:color="auto"/>
              </w:divBdr>
            </w:div>
          </w:divsChild>
        </w:div>
        <w:div w:id="1390568855">
          <w:marLeft w:val="0"/>
          <w:marRight w:val="0"/>
          <w:marTop w:val="0"/>
          <w:marBottom w:val="0"/>
          <w:divBdr>
            <w:top w:val="none" w:sz="0" w:space="0" w:color="auto"/>
            <w:left w:val="none" w:sz="0" w:space="0" w:color="auto"/>
            <w:bottom w:val="none" w:sz="0" w:space="0" w:color="auto"/>
            <w:right w:val="none" w:sz="0" w:space="0" w:color="auto"/>
          </w:divBdr>
          <w:divsChild>
            <w:div w:id="1905871092">
              <w:marLeft w:val="0"/>
              <w:marRight w:val="0"/>
              <w:marTop w:val="0"/>
              <w:marBottom w:val="0"/>
              <w:divBdr>
                <w:top w:val="none" w:sz="0" w:space="0" w:color="auto"/>
                <w:left w:val="none" w:sz="0" w:space="0" w:color="auto"/>
                <w:bottom w:val="none" w:sz="0" w:space="0" w:color="auto"/>
                <w:right w:val="none" w:sz="0" w:space="0" w:color="auto"/>
              </w:divBdr>
            </w:div>
          </w:divsChild>
        </w:div>
        <w:div w:id="1397897249">
          <w:marLeft w:val="0"/>
          <w:marRight w:val="0"/>
          <w:marTop w:val="0"/>
          <w:marBottom w:val="0"/>
          <w:divBdr>
            <w:top w:val="none" w:sz="0" w:space="0" w:color="auto"/>
            <w:left w:val="none" w:sz="0" w:space="0" w:color="auto"/>
            <w:bottom w:val="none" w:sz="0" w:space="0" w:color="auto"/>
            <w:right w:val="none" w:sz="0" w:space="0" w:color="auto"/>
          </w:divBdr>
          <w:divsChild>
            <w:div w:id="836845898">
              <w:marLeft w:val="0"/>
              <w:marRight w:val="0"/>
              <w:marTop w:val="0"/>
              <w:marBottom w:val="0"/>
              <w:divBdr>
                <w:top w:val="none" w:sz="0" w:space="0" w:color="auto"/>
                <w:left w:val="none" w:sz="0" w:space="0" w:color="auto"/>
                <w:bottom w:val="none" w:sz="0" w:space="0" w:color="auto"/>
                <w:right w:val="none" w:sz="0" w:space="0" w:color="auto"/>
              </w:divBdr>
            </w:div>
          </w:divsChild>
        </w:div>
        <w:div w:id="1400860178">
          <w:marLeft w:val="0"/>
          <w:marRight w:val="0"/>
          <w:marTop w:val="0"/>
          <w:marBottom w:val="0"/>
          <w:divBdr>
            <w:top w:val="none" w:sz="0" w:space="0" w:color="auto"/>
            <w:left w:val="none" w:sz="0" w:space="0" w:color="auto"/>
            <w:bottom w:val="none" w:sz="0" w:space="0" w:color="auto"/>
            <w:right w:val="none" w:sz="0" w:space="0" w:color="auto"/>
          </w:divBdr>
          <w:divsChild>
            <w:div w:id="915167191">
              <w:marLeft w:val="0"/>
              <w:marRight w:val="0"/>
              <w:marTop w:val="0"/>
              <w:marBottom w:val="0"/>
              <w:divBdr>
                <w:top w:val="none" w:sz="0" w:space="0" w:color="auto"/>
                <w:left w:val="none" w:sz="0" w:space="0" w:color="auto"/>
                <w:bottom w:val="none" w:sz="0" w:space="0" w:color="auto"/>
                <w:right w:val="none" w:sz="0" w:space="0" w:color="auto"/>
              </w:divBdr>
            </w:div>
            <w:div w:id="1022586136">
              <w:marLeft w:val="0"/>
              <w:marRight w:val="0"/>
              <w:marTop w:val="0"/>
              <w:marBottom w:val="0"/>
              <w:divBdr>
                <w:top w:val="none" w:sz="0" w:space="0" w:color="auto"/>
                <w:left w:val="none" w:sz="0" w:space="0" w:color="auto"/>
                <w:bottom w:val="none" w:sz="0" w:space="0" w:color="auto"/>
                <w:right w:val="none" w:sz="0" w:space="0" w:color="auto"/>
              </w:divBdr>
            </w:div>
            <w:div w:id="1292637827">
              <w:marLeft w:val="0"/>
              <w:marRight w:val="0"/>
              <w:marTop w:val="0"/>
              <w:marBottom w:val="0"/>
              <w:divBdr>
                <w:top w:val="none" w:sz="0" w:space="0" w:color="auto"/>
                <w:left w:val="none" w:sz="0" w:space="0" w:color="auto"/>
                <w:bottom w:val="none" w:sz="0" w:space="0" w:color="auto"/>
                <w:right w:val="none" w:sz="0" w:space="0" w:color="auto"/>
              </w:divBdr>
            </w:div>
            <w:div w:id="1527718666">
              <w:marLeft w:val="0"/>
              <w:marRight w:val="0"/>
              <w:marTop w:val="0"/>
              <w:marBottom w:val="0"/>
              <w:divBdr>
                <w:top w:val="none" w:sz="0" w:space="0" w:color="auto"/>
                <w:left w:val="none" w:sz="0" w:space="0" w:color="auto"/>
                <w:bottom w:val="none" w:sz="0" w:space="0" w:color="auto"/>
                <w:right w:val="none" w:sz="0" w:space="0" w:color="auto"/>
              </w:divBdr>
            </w:div>
            <w:div w:id="1946382472">
              <w:marLeft w:val="0"/>
              <w:marRight w:val="0"/>
              <w:marTop w:val="0"/>
              <w:marBottom w:val="0"/>
              <w:divBdr>
                <w:top w:val="none" w:sz="0" w:space="0" w:color="auto"/>
                <w:left w:val="none" w:sz="0" w:space="0" w:color="auto"/>
                <w:bottom w:val="none" w:sz="0" w:space="0" w:color="auto"/>
                <w:right w:val="none" w:sz="0" w:space="0" w:color="auto"/>
              </w:divBdr>
            </w:div>
            <w:div w:id="2001957098">
              <w:marLeft w:val="0"/>
              <w:marRight w:val="0"/>
              <w:marTop w:val="0"/>
              <w:marBottom w:val="0"/>
              <w:divBdr>
                <w:top w:val="none" w:sz="0" w:space="0" w:color="auto"/>
                <w:left w:val="none" w:sz="0" w:space="0" w:color="auto"/>
                <w:bottom w:val="none" w:sz="0" w:space="0" w:color="auto"/>
                <w:right w:val="none" w:sz="0" w:space="0" w:color="auto"/>
              </w:divBdr>
            </w:div>
            <w:div w:id="2009404470">
              <w:marLeft w:val="0"/>
              <w:marRight w:val="0"/>
              <w:marTop w:val="0"/>
              <w:marBottom w:val="0"/>
              <w:divBdr>
                <w:top w:val="none" w:sz="0" w:space="0" w:color="auto"/>
                <w:left w:val="none" w:sz="0" w:space="0" w:color="auto"/>
                <w:bottom w:val="none" w:sz="0" w:space="0" w:color="auto"/>
                <w:right w:val="none" w:sz="0" w:space="0" w:color="auto"/>
              </w:divBdr>
            </w:div>
          </w:divsChild>
        </w:div>
        <w:div w:id="1474060294">
          <w:marLeft w:val="0"/>
          <w:marRight w:val="0"/>
          <w:marTop w:val="0"/>
          <w:marBottom w:val="0"/>
          <w:divBdr>
            <w:top w:val="none" w:sz="0" w:space="0" w:color="auto"/>
            <w:left w:val="none" w:sz="0" w:space="0" w:color="auto"/>
            <w:bottom w:val="none" w:sz="0" w:space="0" w:color="auto"/>
            <w:right w:val="none" w:sz="0" w:space="0" w:color="auto"/>
          </w:divBdr>
          <w:divsChild>
            <w:div w:id="464934153">
              <w:marLeft w:val="0"/>
              <w:marRight w:val="0"/>
              <w:marTop w:val="0"/>
              <w:marBottom w:val="0"/>
              <w:divBdr>
                <w:top w:val="none" w:sz="0" w:space="0" w:color="auto"/>
                <w:left w:val="none" w:sz="0" w:space="0" w:color="auto"/>
                <w:bottom w:val="none" w:sz="0" w:space="0" w:color="auto"/>
                <w:right w:val="none" w:sz="0" w:space="0" w:color="auto"/>
              </w:divBdr>
            </w:div>
          </w:divsChild>
        </w:div>
        <w:div w:id="1504472782">
          <w:marLeft w:val="0"/>
          <w:marRight w:val="0"/>
          <w:marTop w:val="0"/>
          <w:marBottom w:val="0"/>
          <w:divBdr>
            <w:top w:val="none" w:sz="0" w:space="0" w:color="auto"/>
            <w:left w:val="none" w:sz="0" w:space="0" w:color="auto"/>
            <w:bottom w:val="none" w:sz="0" w:space="0" w:color="auto"/>
            <w:right w:val="none" w:sz="0" w:space="0" w:color="auto"/>
          </w:divBdr>
          <w:divsChild>
            <w:div w:id="1755859632">
              <w:marLeft w:val="0"/>
              <w:marRight w:val="0"/>
              <w:marTop w:val="0"/>
              <w:marBottom w:val="0"/>
              <w:divBdr>
                <w:top w:val="none" w:sz="0" w:space="0" w:color="auto"/>
                <w:left w:val="none" w:sz="0" w:space="0" w:color="auto"/>
                <w:bottom w:val="none" w:sz="0" w:space="0" w:color="auto"/>
                <w:right w:val="none" w:sz="0" w:space="0" w:color="auto"/>
              </w:divBdr>
            </w:div>
          </w:divsChild>
        </w:div>
        <w:div w:id="1528717943">
          <w:marLeft w:val="0"/>
          <w:marRight w:val="0"/>
          <w:marTop w:val="0"/>
          <w:marBottom w:val="0"/>
          <w:divBdr>
            <w:top w:val="none" w:sz="0" w:space="0" w:color="auto"/>
            <w:left w:val="none" w:sz="0" w:space="0" w:color="auto"/>
            <w:bottom w:val="none" w:sz="0" w:space="0" w:color="auto"/>
            <w:right w:val="none" w:sz="0" w:space="0" w:color="auto"/>
          </w:divBdr>
          <w:divsChild>
            <w:div w:id="1326086">
              <w:marLeft w:val="0"/>
              <w:marRight w:val="0"/>
              <w:marTop w:val="0"/>
              <w:marBottom w:val="0"/>
              <w:divBdr>
                <w:top w:val="none" w:sz="0" w:space="0" w:color="auto"/>
                <w:left w:val="none" w:sz="0" w:space="0" w:color="auto"/>
                <w:bottom w:val="none" w:sz="0" w:space="0" w:color="auto"/>
                <w:right w:val="none" w:sz="0" w:space="0" w:color="auto"/>
              </w:divBdr>
            </w:div>
          </w:divsChild>
        </w:div>
        <w:div w:id="1555390219">
          <w:marLeft w:val="0"/>
          <w:marRight w:val="0"/>
          <w:marTop w:val="0"/>
          <w:marBottom w:val="0"/>
          <w:divBdr>
            <w:top w:val="none" w:sz="0" w:space="0" w:color="auto"/>
            <w:left w:val="none" w:sz="0" w:space="0" w:color="auto"/>
            <w:bottom w:val="none" w:sz="0" w:space="0" w:color="auto"/>
            <w:right w:val="none" w:sz="0" w:space="0" w:color="auto"/>
          </w:divBdr>
          <w:divsChild>
            <w:div w:id="511140590">
              <w:marLeft w:val="0"/>
              <w:marRight w:val="0"/>
              <w:marTop w:val="0"/>
              <w:marBottom w:val="0"/>
              <w:divBdr>
                <w:top w:val="none" w:sz="0" w:space="0" w:color="auto"/>
                <w:left w:val="none" w:sz="0" w:space="0" w:color="auto"/>
                <w:bottom w:val="none" w:sz="0" w:space="0" w:color="auto"/>
                <w:right w:val="none" w:sz="0" w:space="0" w:color="auto"/>
              </w:divBdr>
            </w:div>
          </w:divsChild>
        </w:div>
        <w:div w:id="1592354544">
          <w:marLeft w:val="0"/>
          <w:marRight w:val="0"/>
          <w:marTop w:val="0"/>
          <w:marBottom w:val="0"/>
          <w:divBdr>
            <w:top w:val="none" w:sz="0" w:space="0" w:color="auto"/>
            <w:left w:val="none" w:sz="0" w:space="0" w:color="auto"/>
            <w:bottom w:val="none" w:sz="0" w:space="0" w:color="auto"/>
            <w:right w:val="none" w:sz="0" w:space="0" w:color="auto"/>
          </w:divBdr>
          <w:divsChild>
            <w:div w:id="218172406">
              <w:marLeft w:val="0"/>
              <w:marRight w:val="0"/>
              <w:marTop w:val="0"/>
              <w:marBottom w:val="0"/>
              <w:divBdr>
                <w:top w:val="none" w:sz="0" w:space="0" w:color="auto"/>
                <w:left w:val="none" w:sz="0" w:space="0" w:color="auto"/>
                <w:bottom w:val="none" w:sz="0" w:space="0" w:color="auto"/>
                <w:right w:val="none" w:sz="0" w:space="0" w:color="auto"/>
              </w:divBdr>
            </w:div>
          </w:divsChild>
        </w:div>
        <w:div w:id="1646200969">
          <w:marLeft w:val="0"/>
          <w:marRight w:val="0"/>
          <w:marTop w:val="0"/>
          <w:marBottom w:val="0"/>
          <w:divBdr>
            <w:top w:val="none" w:sz="0" w:space="0" w:color="auto"/>
            <w:left w:val="none" w:sz="0" w:space="0" w:color="auto"/>
            <w:bottom w:val="none" w:sz="0" w:space="0" w:color="auto"/>
            <w:right w:val="none" w:sz="0" w:space="0" w:color="auto"/>
          </w:divBdr>
          <w:divsChild>
            <w:div w:id="1430006966">
              <w:marLeft w:val="0"/>
              <w:marRight w:val="0"/>
              <w:marTop w:val="0"/>
              <w:marBottom w:val="0"/>
              <w:divBdr>
                <w:top w:val="none" w:sz="0" w:space="0" w:color="auto"/>
                <w:left w:val="none" w:sz="0" w:space="0" w:color="auto"/>
                <w:bottom w:val="none" w:sz="0" w:space="0" w:color="auto"/>
                <w:right w:val="none" w:sz="0" w:space="0" w:color="auto"/>
              </w:divBdr>
            </w:div>
          </w:divsChild>
        </w:div>
        <w:div w:id="1667786967">
          <w:marLeft w:val="0"/>
          <w:marRight w:val="0"/>
          <w:marTop w:val="0"/>
          <w:marBottom w:val="0"/>
          <w:divBdr>
            <w:top w:val="none" w:sz="0" w:space="0" w:color="auto"/>
            <w:left w:val="none" w:sz="0" w:space="0" w:color="auto"/>
            <w:bottom w:val="none" w:sz="0" w:space="0" w:color="auto"/>
            <w:right w:val="none" w:sz="0" w:space="0" w:color="auto"/>
          </w:divBdr>
          <w:divsChild>
            <w:div w:id="381711004">
              <w:marLeft w:val="0"/>
              <w:marRight w:val="0"/>
              <w:marTop w:val="0"/>
              <w:marBottom w:val="0"/>
              <w:divBdr>
                <w:top w:val="none" w:sz="0" w:space="0" w:color="auto"/>
                <w:left w:val="none" w:sz="0" w:space="0" w:color="auto"/>
                <w:bottom w:val="none" w:sz="0" w:space="0" w:color="auto"/>
                <w:right w:val="none" w:sz="0" w:space="0" w:color="auto"/>
              </w:divBdr>
            </w:div>
          </w:divsChild>
        </w:div>
        <w:div w:id="1712459213">
          <w:marLeft w:val="0"/>
          <w:marRight w:val="0"/>
          <w:marTop w:val="0"/>
          <w:marBottom w:val="0"/>
          <w:divBdr>
            <w:top w:val="none" w:sz="0" w:space="0" w:color="auto"/>
            <w:left w:val="none" w:sz="0" w:space="0" w:color="auto"/>
            <w:bottom w:val="none" w:sz="0" w:space="0" w:color="auto"/>
            <w:right w:val="none" w:sz="0" w:space="0" w:color="auto"/>
          </w:divBdr>
          <w:divsChild>
            <w:div w:id="1445535799">
              <w:marLeft w:val="0"/>
              <w:marRight w:val="0"/>
              <w:marTop w:val="0"/>
              <w:marBottom w:val="0"/>
              <w:divBdr>
                <w:top w:val="none" w:sz="0" w:space="0" w:color="auto"/>
                <w:left w:val="none" w:sz="0" w:space="0" w:color="auto"/>
                <w:bottom w:val="none" w:sz="0" w:space="0" w:color="auto"/>
                <w:right w:val="none" w:sz="0" w:space="0" w:color="auto"/>
              </w:divBdr>
            </w:div>
          </w:divsChild>
        </w:div>
        <w:div w:id="1739554691">
          <w:marLeft w:val="0"/>
          <w:marRight w:val="0"/>
          <w:marTop w:val="0"/>
          <w:marBottom w:val="0"/>
          <w:divBdr>
            <w:top w:val="none" w:sz="0" w:space="0" w:color="auto"/>
            <w:left w:val="none" w:sz="0" w:space="0" w:color="auto"/>
            <w:bottom w:val="none" w:sz="0" w:space="0" w:color="auto"/>
            <w:right w:val="none" w:sz="0" w:space="0" w:color="auto"/>
          </w:divBdr>
          <w:divsChild>
            <w:div w:id="577441062">
              <w:marLeft w:val="0"/>
              <w:marRight w:val="0"/>
              <w:marTop w:val="0"/>
              <w:marBottom w:val="0"/>
              <w:divBdr>
                <w:top w:val="none" w:sz="0" w:space="0" w:color="auto"/>
                <w:left w:val="none" w:sz="0" w:space="0" w:color="auto"/>
                <w:bottom w:val="none" w:sz="0" w:space="0" w:color="auto"/>
                <w:right w:val="none" w:sz="0" w:space="0" w:color="auto"/>
              </w:divBdr>
            </w:div>
            <w:div w:id="939678933">
              <w:marLeft w:val="0"/>
              <w:marRight w:val="0"/>
              <w:marTop w:val="0"/>
              <w:marBottom w:val="0"/>
              <w:divBdr>
                <w:top w:val="none" w:sz="0" w:space="0" w:color="auto"/>
                <w:left w:val="none" w:sz="0" w:space="0" w:color="auto"/>
                <w:bottom w:val="none" w:sz="0" w:space="0" w:color="auto"/>
                <w:right w:val="none" w:sz="0" w:space="0" w:color="auto"/>
              </w:divBdr>
            </w:div>
            <w:div w:id="1276864977">
              <w:marLeft w:val="0"/>
              <w:marRight w:val="0"/>
              <w:marTop w:val="0"/>
              <w:marBottom w:val="0"/>
              <w:divBdr>
                <w:top w:val="none" w:sz="0" w:space="0" w:color="auto"/>
                <w:left w:val="none" w:sz="0" w:space="0" w:color="auto"/>
                <w:bottom w:val="none" w:sz="0" w:space="0" w:color="auto"/>
                <w:right w:val="none" w:sz="0" w:space="0" w:color="auto"/>
              </w:divBdr>
            </w:div>
            <w:div w:id="1563251446">
              <w:marLeft w:val="0"/>
              <w:marRight w:val="0"/>
              <w:marTop w:val="0"/>
              <w:marBottom w:val="0"/>
              <w:divBdr>
                <w:top w:val="none" w:sz="0" w:space="0" w:color="auto"/>
                <w:left w:val="none" w:sz="0" w:space="0" w:color="auto"/>
                <w:bottom w:val="none" w:sz="0" w:space="0" w:color="auto"/>
                <w:right w:val="none" w:sz="0" w:space="0" w:color="auto"/>
              </w:divBdr>
            </w:div>
            <w:div w:id="1892812232">
              <w:marLeft w:val="0"/>
              <w:marRight w:val="0"/>
              <w:marTop w:val="0"/>
              <w:marBottom w:val="0"/>
              <w:divBdr>
                <w:top w:val="none" w:sz="0" w:space="0" w:color="auto"/>
                <w:left w:val="none" w:sz="0" w:space="0" w:color="auto"/>
                <w:bottom w:val="none" w:sz="0" w:space="0" w:color="auto"/>
                <w:right w:val="none" w:sz="0" w:space="0" w:color="auto"/>
              </w:divBdr>
            </w:div>
          </w:divsChild>
        </w:div>
        <w:div w:id="1750809249">
          <w:marLeft w:val="0"/>
          <w:marRight w:val="0"/>
          <w:marTop w:val="0"/>
          <w:marBottom w:val="0"/>
          <w:divBdr>
            <w:top w:val="none" w:sz="0" w:space="0" w:color="auto"/>
            <w:left w:val="none" w:sz="0" w:space="0" w:color="auto"/>
            <w:bottom w:val="none" w:sz="0" w:space="0" w:color="auto"/>
            <w:right w:val="none" w:sz="0" w:space="0" w:color="auto"/>
          </w:divBdr>
          <w:divsChild>
            <w:div w:id="2135518525">
              <w:marLeft w:val="0"/>
              <w:marRight w:val="0"/>
              <w:marTop w:val="0"/>
              <w:marBottom w:val="0"/>
              <w:divBdr>
                <w:top w:val="none" w:sz="0" w:space="0" w:color="auto"/>
                <w:left w:val="none" w:sz="0" w:space="0" w:color="auto"/>
                <w:bottom w:val="none" w:sz="0" w:space="0" w:color="auto"/>
                <w:right w:val="none" w:sz="0" w:space="0" w:color="auto"/>
              </w:divBdr>
            </w:div>
          </w:divsChild>
        </w:div>
        <w:div w:id="1800995880">
          <w:marLeft w:val="0"/>
          <w:marRight w:val="0"/>
          <w:marTop w:val="0"/>
          <w:marBottom w:val="0"/>
          <w:divBdr>
            <w:top w:val="none" w:sz="0" w:space="0" w:color="auto"/>
            <w:left w:val="none" w:sz="0" w:space="0" w:color="auto"/>
            <w:bottom w:val="none" w:sz="0" w:space="0" w:color="auto"/>
            <w:right w:val="none" w:sz="0" w:space="0" w:color="auto"/>
          </w:divBdr>
          <w:divsChild>
            <w:div w:id="963540916">
              <w:marLeft w:val="0"/>
              <w:marRight w:val="0"/>
              <w:marTop w:val="0"/>
              <w:marBottom w:val="0"/>
              <w:divBdr>
                <w:top w:val="none" w:sz="0" w:space="0" w:color="auto"/>
                <w:left w:val="none" w:sz="0" w:space="0" w:color="auto"/>
                <w:bottom w:val="none" w:sz="0" w:space="0" w:color="auto"/>
                <w:right w:val="none" w:sz="0" w:space="0" w:color="auto"/>
              </w:divBdr>
            </w:div>
          </w:divsChild>
        </w:div>
        <w:div w:id="1842349130">
          <w:marLeft w:val="0"/>
          <w:marRight w:val="0"/>
          <w:marTop w:val="0"/>
          <w:marBottom w:val="0"/>
          <w:divBdr>
            <w:top w:val="none" w:sz="0" w:space="0" w:color="auto"/>
            <w:left w:val="none" w:sz="0" w:space="0" w:color="auto"/>
            <w:bottom w:val="none" w:sz="0" w:space="0" w:color="auto"/>
            <w:right w:val="none" w:sz="0" w:space="0" w:color="auto"/>
          </w:divBdr>
          <w:divsChild>
            <w:div w:id="1727028947">
              <w:marLeft w:val="0"/>
              <w:marRight w:val="0"/>
              <w:marTop w:val="0"/>
              <w:marBottom w:val="0"/>
              <w:divBdr>
                <w:top w:val="none" w:sz="0" w:space="0" w:color="auto"/>
                <w:left w:val="none" w:sz="0" w:space="0" w:color="auto"/>
                <w:bottom w:val="none" w:sz="0" w:space="0" w:color="auto"/>
                <w:right w:val="none" w:sz="0" w:space="0" w:color="auto"/>
              </w:divBdr>
            </w:div>
          </w:divsChild>
        </w:div>
        <w:div w:id="1908031039">
          <w:marLeft w:val="0"/>
          <w:marRight w:val="0"/>
          <w:marTop w:val="0"/>
          <w:marBottom w:val="0"/>
          <w:divBdr>
            <w:top w:val="none" w:sz="0" w:space="0" w:color="auto"/>
            <w:left w:val="none" w:sz="0" w:space="0" w:color="auto"/>
            <w:bottom w:val="none" w:sz="0" w:space="0" w:color="auto"/>
            <w:right w:val="none" w:sz="0" w:space="0" w:color="auto"/>
          </w:divBdr>
          <w:divsChild>
            <w:div w:id="406617093">
              <w:marLeft w:val="0"/>
              <w:marRight w:val="0"/>
              <w:marTop w:val="0"/>
              <w:marBottom w:val="0"/>
              <w:divBdr>
                <w:top w:val="none" w:sz="0" w:space="0" w:color="auto"/>
                <w:left w:val="none" w:sz="0" w:space="0" w:color="auto"/>
                <w:bottom w:val="none" w:sz="0" w:space="0" w:color="auto"/>
                <w:right w:val="none" w:sz="0" w:space="0" w:color="auto"/>
              </w:divBdr>
            </w:div>
          </w:divsChild>
        </w:div>
        <w:div w:id="1910116368">
          <w:marLeft w:val="0"/>
          <w:marRight w:val="0"/>
          <w:marTop w:val="0"/>
          <w:marBottom w:val="0"/>
          <w:divBdr>
            <w:top w:val="none" w:sz="0" w:space="0" w:color="auto"/>
            <w:left w:val="none" w:sz="0" w:space="0" w:color="auto"/>
            <w:bottom w:val="none" w:sz="0" w:space="0" w:color="auto"/>
            <w:right w:val="none" w:sz="0" w:space="0" w:color="auto"/>
          </w:divBdr>
          <w:divsChild>
            <w:div w:id="491406404">
              <w:marLeft w:val="0"/>
              <w:marRight w:val="0"/>
              <w:marTop w:val="0"/>
              <w:marBottom w:val="0"/>
              <w:divBdr>
                <w:top w:val="none" w:sz="0" w:space="0" w:color="auto"/>
                <w:left w:val="none" w:sz="0" w:space="0" w:color="auto"/>
                <w:bottom w:val="none" w:sz="0" w:space="0" w:color="auto"/>
                <w:right w:val="none" w:sz="0" w:space="0" w:color="auto"/>
              </w:divBdr>
            </w:div>
          </w:divsChild>
        </w:div>
        <w:div w:id="2009482471">
          <w:marLeft w:val="0"/>
          <w:marRight w:val="0"/>
          <w:marTop w:val="0"/>
          <w:marBottom w:val="0"/>
          <w:divBdr>
            <w:top w:val="none" w:sz="0" w:space="0" w:color="auto"/>
            <w:left w:val="none" w:sz="0" w:space="0" w:color="auto"/>
            <w:bottom w:val="none" w:sz="0" w:space="0" w:color="auto"/>
            <w:right w:val="none" w:sz="0" w:space="0" w:color="auto"/>
          </w:divBdr>
          <w:divsChild>
            <w:div w:id="572199839">
              <w:marLeft w:val="0"/>
              <w:marRight w:val="0"/>
              <w:marTop w:val="0"/>
              <w:marBottom w:val="0"/>
              <w:divBdr>
                <w:top w:val="none" w:sz="0" w:space="0" w:color="auto"/>
                <w:left w:val="none" w:sz="0" w:space="0" w:color="auto"/>
                <w:bottom w:val="none" w:sz="0" w:space="0" w:color="auto"/>
                <w:right w:val="none" w:sz="0" w:space="0" w:color="auto"/>
              </w:divBdr>
            </w:div>
            <w:div w:id="1034112472">
              <w:marLeft w:val="0"/>
              <w:marRight w:val="0"/>
              <w:marTop w:val="0"/>
              <w:marBottom w:val="0"/>
              <w:divBdr>
                <w:top w:val="none" w:sz="0" w:space="0" w:color="auto"/>
                <w:left w:val="none" w:sz="0" w:space="0" w:color="auto"/>
                <w:bottom w:val="none" w:sz="0" w:space="0" w:color="auto"/>
                <w:right w:val="none" w:sz="0" w:space="0" w:color="auto"/>
              </w:divBdr>
            </w:div>
            <w:div w:id="160171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14304">
      <w:bodyDiv w:val="1"/>
      <w:marLeft w:val="0"/>
      <w:marRight w:val="0"/>
      <w:marTop w:val="0"/>
      <w:marBottom w:val="0"/>
      <w:divBdr>
        <w:top w:val="none" w:sz="0" w:space="0" w:color="auto"/>
        <w:left w:val="none" w:sz="0" w:space="0" w:color="auto"/>
        <w:bottom w:val="none" w:sz="0" w:space="0" w:color="auto"/>
        <w:right w:val="none" w:sz="0" w:space="0" w:color="auto"/>
      </w:divBdr>
    </w:div>
    <w:div w:id="1168445604">
      <w:bodyDiv w:val="1"/>
      <w:marLeft w:val="0"/>
      <w:marRight w:val="0"/>
      <w:marTop w:val="0"/>
      <w:marBottom w:val="0"/>
      <w:divBdr>
        <w:top w:val="none" w:sz="0" w:space="0" w:color="auto"/>
        <w:left w:val="none" w:sz="0" w:space="0" w:color="auto"/>
        <w:bottom w:val="none" w:sz="0" w:space="0" w:color="auto"/>
        <w:right w:val="none" w:sz="0" w:space="0" w:color="auto"/>
      </w:divBdr>
      <w:divsChild>
        <w:div w:id="174735024">
          <w:marLeft w:val="0"/>
          <w:marRight w:val="0"/>
          <w:marTop w:val="0"/>
          <w:marBottom w:val="0"/>
          <w:divBdr>
            <w:top w:val="none" w:sz="0" w:space="0" w:color="auto"/>
            <w:left w:val="none" w:sz="0" w:space="0" w:color="auto"/>
            <w:bottom w:val="none" w:sz="0" w:space="0" w:color="auto"/>
            <w:right w:val="none" w:sz="0" w:space="0" w:color="auto"/>
          </w:divBdr>
        </w:div>
        <w:div w:id="1372337986">
          <w:marLeft w:val="0"/>
          <w:marRight w:val="0"/>
          <w:marTop w:val="0"/>
          <w:marBottom w:val="0"/>
          <w:divBdr>
            <w:top w:val="none" w:sz="0" w:space="0" w:color="auto"/>
            <w:left w:val="none" w:sz="0" w:space="0" w:color="auto"/>
            <w:bottom w:val="none" w:sz="0" w:space="0" w:color="auto"/>
            <w:right w:val="none" w:sz="0" w:space="0" w:color="auto"/>
          </w:divBdr>
        </w:div>
        <w:div w:id="1946497846">
          <w:marLeft w:val="0"/>
          <w:marRight w:val="0"/>
          <w:marTop w:val="0"/>
          <w:marBottom w:val="0"/>
          <w:divBdr>
            <w:top w:val="none" w:sz="0" w:space="0" w:color="auto"/>
            <w:left w:val="none" w:sz="0" w:space="0" w:color="auto"/>
            <w:bottom w:val="none" w:sz="0" w:space="0" w:color="auto"/>
            <w:right w:val="none" w:sz="0" w:space="0" w:color="auto"/>
          </w:divBdr>
        </w:div>
      </w:divsChild>
    </w:div>
    <w:div w:id="1174028275">
      <w:bodyDiv w:val="1"/>
      <w:marLeft w:val="0"/>
      <w:marRight w:val="0"/>
      <w:marTop w:val="0"/>
      <w:marBottom w:val="0"/>
      <w:divBdr>
        <w:top w:val="none" w:sz="0" w:space="0" w:color="auto"/>
        <w:left w:val="none" w:sz="0" w:space="0" w:color="auto"/>
        <w:bottom w:val="none" w:sz="0" w:space="0" w:color="auto"/>
        <w:right w:val="none" w:sz="0" w:space="0" w:color="auto"/>
      </w:divBdr>
    </w:div>
    <w:div w:id="1186796848">
      <w:bodyDiv w:val="1"/>
      <w:marLeft w:val="0"/>
      <w:marRight w:val="0"/>
      <w:marTop w:val="0"/>
      <w:marBottom w:val="0"/>
      <w:divBdr>
        <w:top w:val="none" w:sz="0" w:space="0" w:color="auto"/>
        <w:left w:val="none" w:sz="0" w:space="0" w:color="auto"/>
        <w:bottom w:val="none" w:sz="0" w:space="0" w:color="auto"/>
        <w:right w:val="none" w:sz="0" w:space="0" w:color="auto"/>
      </w:divBdr>
    </w:div>
    <w:div w:id="1188374504">
      <w:bodyDiv w:val="1"/>
      <w:marLeft w:val="0"/>
      <w:marRight w:val="0"/>
      <w:marTop w:val="0"/>
      <w:marBottom w:val="0"/>
      <w:divBdr>
        <w:top w:val="none" w:sz="0" w:space="0" w:color="auto"/>
        <w:left w:val="none" w:sz="0" w:space="0" w:color="auto"/>
        <w:bottom w:val="none" w:sz="0" w:space="0" w:color="auto"/>
        <w:right w:val="none" w:sz="0" w:space="0" w:color="auto"/>
      </w:divBdr>
    </w:div>
    <w:div w:id="1188719192">
      <w:bodyDiv w:val="1"/>
      <w:marLeft w:val="0"/>
      <w:marRight w:val="0"/>
      <w:marTop w:val="0"/>
      <w:marBottom w:val="0"/>
      <w:divBdr>
        <w:top w:val="none" w:sz="0" w:space="0" w:color="auto"/>
        <w:left w:val="none" w:sz="0" w:space="0" w:color="auto"/>
        <w:bottom w:val="none" w:sz="0" w:space="0" w:color="auto"/>
        <w:right w:val="none" w:sz="0" w:space="0" w:color="auto"/>
      </w:divBdr>
      <w:divsChild>
        <w:div w:id="26876030">
          <w:marLeft w:val="0"/>
          <w:marRight w:val="0"/>
          <w:marTop w:val="0"/>
          <w:marBottom w:val="0"/>
          <w:divBdr>
            <w:top w:val="none" w:sz="0" w:space="0" w:color="auto"/>
            <w:left w:val="none" w:sz="0" w:space="0" w:color="auto"/>
            <w:bottom w:val="none" w:sz="0" w:space="0" w:color="auto"/>
            <w:right w:val="none" w:sz="0" w:space="0" w:color="auto"/>
          </w:divBdr>
          <w:divsChild>
            <w:div w:id="731276047">
              <w:marLeft w:val="0"/>
              <w:marRight w:val="0"/>
              <w:marTop w:val="0"/>
              <w:marBottom w:val="0"/>
              <w:divBdr>
                <w:top w:val="none" w:sz="0" w:space="0" w:color="auto"/>
                <w:left w:val="none" w:sz="0" w:space="0" w:color="auto"/>
                <w:bottom w:val="none" w:sz="0" w:space="0" w:color="auto"/>
                <w:right w:val="none" w:sz="0" w:space="0" w:color="auto"/>
              </w:divBdr>
            </w:div>
            <w:div w:id="782967734">
              <w:marLeft w:val="0"/>
              <w:marRight w:val="0"/>
              <w:marTop w:val="0"/>
              <w:marBottom w:val="0"/>
              <w:divBdr>
                <w:top w:val="none" w:sz="0" w:space="0" w:color="auto"/>
                <w:left w:val="none" w:sz="0" w:space="0" w:color="auto"/>
                <w:bottom w:val="none" w:sz="0" w:space="0" w:color="auto"/>
                <w:right w:val="none" w:sz="0" w:space="0" w:color="auto"/>
              </w:divBdr>
            </w:div>
            <w:div w:id="1563637813">
              <w:marLeft w:val="0"/>
              <w:marRight w:val="0"/>
              <w:marTop w:val="0"/>
              <w:marBottom w:val="0"/>
              <w:divBdr>
                <w:top w:val="none" w:sz="0" w:space="0" w:color="auto"/>
                <w:left w:val="none" w:sz="0" w:space="0" w:color="auto"/>
                <w:bottom w:val="none" w:sz="0" w:space="0" w:color="auto"/>
                <w:right w:val="none" w:sz="0" w:space="0" w:color="auto"/>
              </w:divBdr>
            </w:div>
            <w:div w:id="1737362114">
              <w:marLeft w:val="0"/>
              <w:marRight w:val="0"/>
              <w:marTop w:val="0"/>
              <w:marBottom w:val="0"/>
              <w:divBdr>
                <w:top w:val="none" w:sz="0" w:space="0" w:color="auto"/>
                <w:left w:val="none" w:sz="0" w:space="0" w:color="auto"/>
                <w:bottom w:val="none" w:sz="0" w:space="0" w:color="auto"/>
                <w:right w:val="none" w:sz="0" w:space="0" w:color="auto"/>
              </w:divBdr>
            </w:div>
            <w:div w:id="1804928702">
              <w:marLeft w:val="0"/>
              <w:marRight w:val="0"/>
              <w:marTop w:val="0"/>
              <w:marBottom w:val="0"/>
              <w:divBdr>
                <w:top w:val="none" w:sz="0" w:space="0" w:color="auto"/>
                <w:left w:val="none" w:sz="0" w:space="0" w:color="auto"/>
                <w:bottom w:val="none" w:sz="0" w:space="0" w:color="auto"/>
                <w:right w:val="none" w:sz="0" w:space="0" w:color="auto"/>
              </w:divBdr>
            </w:div>
          </w:divsChild>
        </w:div>
        <w:div w:id="107086196">
          <w:marLeft w:val="0"/>
          <w:marRight w:val="0"/>
          <w:marTop w:val="0"/>
          <w:marBottom w:val="0"/>
          <w:divBdr>
            <w:top w:val="none" w:sz="0" w:space="0" w:color="auto"/>
            <w:left w:val="none" w:sz="0" w:space="0" w:color="auto"/>
            <w:bottom w:val="none" w:sz="0" w:space="0" w:color="auto"/>
            <w:right w:val="none" w:sz="0" w:space="0" w:color="auto"/>
          </w:divBdr>
          <w:divsChild>
            <w:div w:id="706487255">
              <w:marLeft w:val="0"/>
              <w:marRight w:val="0"/>
              <w:marTop w:val="0"/>
              <w:marBottom w:val="0"/>
              <w:divBdr>
                <w:top w:val="none" w:sz="0" w:space="0" w:color="auto"/>
                <w:left w:val="none" w:sz="0" w:space="0" w:color="auto"/>
                <w:bottom w:val="none" w:sz="0" w:space="0" w:color="auto"/>
                <w:right w:val="none" w:sz="0" w:space="0" w:color="auto"/>
              </w:divBdr>
            </w:div>
          </w:divsChild>
        </w:div>
        <w:div w:id="139157329">
          <w:marLeft w:val="0"/>
          <w:marRight w:val="0"/>
          <w:marTop w:val="0"/>
          <w:marBottom w:val="0"/>
          <w:divBdr>
            <w:top w:val="none" w:sz="0" w:space="0" w:color="auto"/>
            <w:left w:val="none" w:sz="0" w:space="0" w:color="auto"/>
            <w:bottom w:val="none" w:sz="0" w:space="0" w:color="auto"/>
            <w:right w:val="none" w:sz="0" w:space="0" w:color="auto"/>
          </w:divBdr>
          <w:divsChild>
            <w:div w:id="916325098">
              <w:marLeft w:val="0"/>
              <w:marRight w:val="0"/>
              <w:marTop w:val="0"/>
              <w:marBottom w:val="0"/>
              <w:divBdr>
                <w:top w:val="none" w:sz="0" w:space="0" w:color="auto"/>
                <w:left w:val="none" w:sz="0" w:space="0" w:color="auto"/>
                <w:bottom w:val="none" w:sz="0" w:space="0" w:color="auto"/>
                <w:right w:val="none" w:sz="0" w:space="0" w:color="auto"/>
              </w:divBdr>
            </w:div>
            <w:div w:id="1451246926">
              <w:marLeft w:val="0"/>
              <w:marRight w:val="0"/>
              <w:marTop w:val="0"/>
              <w:marBottom w:val="0"/>
              <w:divBdr>
                <w:top w:val="none" w:sz="0" w:space="0" w:color="auto"/>
                <w:left w:val="none" w:sz="0" w:space="0" w:color="auto"/>
                <w:bottom w:val="none" w:sz="0" w:space="0" w:color="auto"/>
                <w:right w:val="none" w:sz="0" w:space="0" w:color="auto"/>
              </w:divBdr>
            </w:div>
            <w:div w:id="1657680936">
              <w:marLeft w:val="0"/>
              <w:marRight w:val="0"/>
              <w:marTop w:val="0"/>
              <w:marBottom w:val="0"/>
              <w:divBdr>
                <w:top w:val="none" w:sz="0" w:space="0" w:color="auto"/>
                <w:left w:val="none" w:sz="0" w:space="0" w:color="auto"/>
                <w:bottom w:val="none" w:sz="0" w:space="0" w:color="auto"/>
                <w:right w:val="none" w:sz="0" w:space="0" w:color="auto"/>
              </w:divBdr>
            </w:div>
            <w:div w:id="1693995023">
              <w:marLeft w:val="0"/>
              <w:marRight w:val="0"/>
              <w:marTop w:val="0"/>
              <w:marBottom w:val="0"/>
              <w:divBdr>
                <w:top w:val="none" w:sz="0" w:space="0" w:color="auto"/>
                <w:left w:val="none" w:sz="0" w:space="0" w:color="auto"/>
                <w:bottom w:val="none" w:sz="0" w:space="0" w:color="auto"/>
                <w:right w:val="none" w:sz="0" w:space="0" w:color="auto"/>
              </w:divBdr>
            </w:div>
            <w:div w:id="1951160215">
              <w:marLeft w:val="0"/>
              <w:marRight w:val="0"/>
              <w:marTop w:val="0"/>
              <w:marBottom w:val="0"/>
              <w:divBdr>
                <w:top w:val="none" w:sz="0" w:space="0" w:color="auto"/>
                <w:left w:val="none" w:sz="0" w:space="0" w:color="auto"/>
                <w:bottom w:val="none" w:sz="0" w:space="0" w:color="auto"/>
                <w:right w:val="none" w:sz="0" w:space="0" w:color="auto"/>
              </w:divBdr>
            </w:div>
          </w:divsChild>
        </w:div>
        <w:div w:id="274215618">
          <w:marLeft w:val="0"/>
          <w:marRight w:val="0"/>
          <w:marTop w:val="0"/>
          <w:marBottom w:val="0"/>
          <w:divBdr>
            <w:top w:val="none" w:sz="0" w:space="0" w:color="auto"/>
            <w:left w:val="none" w:sz="0" w:space="0" w:color="auto"/>
            <w:bottom w:val="none" w:sz="0" w:space="0" w:color="auto"/>
            <w:right w:val="none" w:sz="0" w:space="0" w:color="auto"/>
          </w:divBdr>
          <w:divsChild>
            <w:div w:id="1472863451">
              <w:marLeft w:val="0"/>
              <w:marRight w:val="0"/>
              <w:marTop w:val="0"/>
              <w:marBottom w:val="0"/>
              <w:divBdr>
                <w:top w:val="none" w:sz="0" w:space="0" w:color="auto"/>
                <w:left w:val="none" w:sz="0" w:space="0" w:color="auto"/>
                <w:bottom w:val="none" w:sz="0" w:space="0" w:color="auto"/>
                <w:right w:val="none" w:sz="0" w:space="0" w:color="auto"/>
              </w:divBdr>
            </w:div>
          </w:divsChild>
        </w:div>
        <w:div w:id="325404857">
          <w:marLeft w:val="0"/>
          <w:marRight w:val="0"/>
          <w:marTop w:val="0"/>
          <w:marBottom w:val="0"/>
          <w:divBdr>
            <w:top w:val="none" w:sz="0" w:space="0" w:color="auto"/>
            <w:left w:val="none" w:sz="0" w:space="0" w:color="auto"/>
            <w:bottom w:val="none" w:sz="0" w:space="0" w:color="auto"/>
            <w:right w:val="none" w:sz="0" w:space="0" w:color="auto"/>
          </w:divBdr>
          <w:divsChild>
            <w:div w:id="472675363">
              <w:marLeft w:val="0"/>
              <w:marRight w:val="0"/>
              <w:marTop w:val="0"/>
              <w:marBottom w:val="0"/>
              <w:divBdr>
                <w:top w:val="none" w:sz="0" w:space="0" w:color="auto"/>
                <w:left w:val="none" w:sz="0" w:space="0" w:color="auto"/>
                <w:bottom w:val="none" w:sz="0" w:space="0" w:color="auto"/>
                <w:right w:val="none" w:sz="0" w:space="0" w:color="auto"/>
              </w:divBdr>
            </w:div>
          </w:divsChild>
        </w:div>
        <w:div w:id="359667339">
          <w:marLeft w:val="0"/>
          <w:marRight w:val="0"/>
          <w:marTop w:val="0"/>
          <w:marBottom w:val="0"/>
          <w:divBdr>
            <w:top w:val="none" w:sz="0" w:space="0" w:color="auto"/>
            <w:left w:val="none" w:sz="0" w:space="0" w:color="auto"/>
            <w:bottom w:val="none" w:sz="0" w:space="0" w:color="auto"/>
            <w:right w:val="none" w:sz="0" w:space="0" w:color="auto"/>
          </w:divBdr>
          <w:divsChild>
            <w:div w:id="1868830585">
              <w:marLeft w:val="0"/>
              <w:marRight w:val="0"/>
              <w:marTop w:val="0"/>
              <w:marBottom w:val="0"/>
              <w:divBdr>
                <w:top w:val="none" w:sz="0" w:space="0" w:color="auto"/>
                <w:left w:val="none" w:sz="0" w:space="0" w:color="auto"/>
                <w:bottom w:val="none" w:sz="0" w:space="0" w:color="auto"/>
                <w:right w:val="none" w:sz="0" w:space="0" w:color="auto"/>
              </w:divBdr>
            </w:div>
          </w:divsChild>
        </w:div>
        <w:div w:id="362751815">
          <w:marLeft w:val="0"/>
          <w:marRight w:val="0"/>
          <w:marTop w:val="0"/>
          <w:marBottom w:val="0"/>
          <w:divBdr>
            <w:top w:val="none" w:sz="0" w:space="0" w:color="auto"/>
            <w:left w:val="none" w:sz="0" w:space="0" w:color="auto"/>
            <w:bottom w:val="none" w:sz="0" w:space="0" w:color="auto"/>
            <w:right w:val="none" w:sz="0" w:space="0" w:color="auto"/>
          </w:divBdr>
          <w:divsChild>
            <w:div w:id="492381237">
              <w:marLeft w:val="0"/>
              <w:marRight w:val="0"/>
              <w:marTop w:val="0"/>
              <w:marBottom w:val="0"/>
              <w:divBdr>
                <w:top w:val="none" w:sz="0" w:space="0" w:color="auto"/>
                <w:left w:val="none" w:sz="0" w:space="0" w:color="auto"/>
                <w:bottom w:val="none" w:sz="0" w:space="0" w:color="auto"/>
                <w:right w:val="none" w:sz="0" w:space="0" w:color="auto"/>
              </w:divBdr>
            </w:div>
          </w:divsChild>
        </w:div>
        <w:div w:id="405349074">
          <w:marLeft w:val="0"/>
          <w:marRight w:val="0"/>
          <w:marTop w:val="0"/>
          <w:marBottom w:val="0"/>
          <w:divBdr>
            <w:top w:val="none" w:sz="0" w:space="0" w:color="auto"/>
            <w:left w:val="none" w:sz="0" w:space="0" w:color="auto"/>
            <w:bottom w:val="none" w:sz="0" w:space="0" w:color="auto"/>
            <w:right w:val="none" w:sz="0" w:space="0" w:color="auto"/>
          </w:divBdr>
          <w:divsChild>
            <w:div w:id="566305428">
              <w:marLeft w:val="0"/>
              <w:marRight w:val="0"/>
              <w:marTop w:val="0"/>
              <w:marBottom w:val="0"/>
              <w:divBdr>
                <w:top w:val="none" w:sz="0" w:space="0" w:color="auto"/>
                <w:left w:val="none" w:sz="0" w:space="0" w:color="auto"/>
                <w:bottom w:val="none" w:sz="0" w:space="0" w:color="auto"/>
                <w:right w:val="none" w:sz="0" w:space="0" w:color="auto"/>
              </w:divBdr>
            </w:div>
          </w:divsChild>
        </w:div>
        <w:div w:id="448664374">
          <w:marLeft w:val="0"/>
          <w:marRight w:val="0"/>
          <w:marTop w:val="0"/>
          <w:marBottom w:val="0"/>
          <w:divBdr>
            <w:top w:val="none" w:sz="0" w:space="0" w:color="auto"/>
            <w:left w:val="none" w:sz="0" w:space="0" w:color="auto"/>
            <w:bottom w:val="none" w:sz="0" w:space="0" w:color="auto"/>
            <w:right w:val="none" w:sz="0" w:space="0" w:color="auto"/>
          </w:divBdr>
          <w:divsChild>
            <w:div w:id="563682573">
              <w:marLeft w:val="0"/>
              <w:marRight w:val="0"/>
              <w:marTop w:val="0"/>
              <w:marBottom w:val="0"/>
              <w:divBdr>
                <w:top w:val="none" w:sz="0" w:space="0" w:color="auto"/>
                <w:left w:val="none" w:sz="0" w:space="0" w:color="auto"/>
                <w:bottom w:val="none" w:sz="0" w:space="0" w:color="auto"/>
                <w:right w:val="none" w:sz="0" w:space="0" w:color="auto"/>
              </w:divBdr>
            </w:div>
          </w:divsChild>
        </w:div>
        <w:div w:id="449513170">
          <w:marLeft w:val="0"/>
          <w:marRight w:val="0"/>
          <w:marTop w:val="0"/>
          <w:marBottom w:val="0"/>
          <w:divBdr>
            <w:top w:val="none" w:sz="0" w:space="0" w:color="auto"/>
            <w:left w:val="none" w:sz="0" w:space="0" w:color="auto"/>
            <w:bottom w:val="none" w:sz="0" w:space="0" w:color="auto"/>
            <w:right w:val="none" w:sz="0" w:space="0" w:color="auto"/>
          </w:divBdr>
          <w:divsChild>
            <w:div w:id="868222240">
              <w:marLeft w:val="0"/>
              <w:marRight w:val="0"/>
              <w:marTop w:val="0"/>
              <w:marBottom w:val="0"/>
              <w:divBdr>
                <w:top w:val="none" w:sz="0" w:space="0" w:color="auto"/>
                <w:left w:val="none" w:sz="0" w:space="0" w:color="auto"/>
                <w:bottom w:val="none" w:sz="0" w:space="0" w:color="auto"/>
                <w:right w:val="none" w:sz="0" w:space="0" w:color="auto"/>
              </w:divBdr>
            </w:div>
          </w:divsChild>
        </w:div>
        <w:div w:id="454762844">
          <w:marLeft w:val="0"/>
          <w:marRight w:val="0"/>
          <w:marTop w:val="0"/>
          <w:marBottom w:val="0"/>
          <w:divBdr>
            <w:top w:val="none" w:sz="0" w:space="0" w:color="auto"/>
            <w:left w:val="none" w:sz="0" w:space="0" w:color="auto"/>
            <w:bottom w:val="none" w:sz="0" w:space="0" w:color="auto"/>
            <w:right w:val="none" w:sz="0" w:space="0" w:color="auto"/>
          </w:divBdr>
          <w:divsChild>
            <w:div w:id="1929460744">
              <w:marLeft w:val="0"/>
              <w:marRight w:val="0"/>
              <w:marTop w:val="0"/>
              <w:marBottom w:val="0"/>
              <w:divBdr>
                <w:top w:val="none" w:sz="0" w:space="0" w:color="auto"/>
                <w:left w:val="none" w:sz="0" w:space="0" w:color="auto"/>
                <w:bottom w:val="none" w:sz="0" w:space="0" w:color="auto"/>
                <w:right w:val="none" w:sz="0" w:space="0" w:color="auto"/>
              </w:divBdr>
            </w:div>
          </w:divsChild>
        </w:div>
        <w:div w:id="478116924">
          <w:marLeft w:val="0"/>
          <w:marRight w:val="0"/>
          <w:marTop w:val="0"/>
          <w:marBottom w:val="0"/>
          <w:divBdr>
            <w:top w:val="none" w:sz="0" w:space="0" w:color="auto"/>
            <w:left w:val="none" w:sz="0" w:space="0" w:color="auto"/>
            <w:bottom w:val="none" w:sz="0" w:space="0" w:color="auto"/>
            <w:right w:val="none" w:sz="0" w:space="0" w:color="auto"/>
          </w:divBdr>
          <w:divsChild>
            <w:div w:id="1762751263">
              <w:marLeft w:val="0"/>
              <w:marRight w:val="0"/>
              <w:marTop w:val="0"/>
              <w:marBottom w:val="0"/>
              <w:divBdr>
                <w:top w:val="none" w:sz="0" w:space="0" w:color="auto"/>
                <w:left w:val="none" w:sz="0" w:space="0" w:color="auto"/>
                <w:bottom w:val="none" w:sz="0" w:space="0" w:color="auto"/>
                <w:right w:val="none" w:sz="0" w:space="0" w:color="auto"/>
              </w:divBdr>
            </w:div>
          </w:divsChild>
        </w:div>
        <w:div w:id="490608081">
          <w:marLeft w:val="0"/>
          <w:marRight w:val="0"/>
          <w:marTop w:val="0"/>
          <w:marBottom w:val="0"/>
          <w:divBdr>
            <w:top w:val="none" w:sz="0" w:space="0" w:color="auto"/>
            <w:left w:val="none" w:sz="0" w:space="0" w:color="auto"/>
            <w:bottom w:val="none" w:sz="0" w:space="0" w:color="auto"/>
            <w:right w:val="none" w:sz="0" w:space="0" w:color="auto"/>
          </w:divBdr>
          <w:divsChild>
            <w:div w:id="1416628052">
              <w:marLeft w:val="0"/>
              <w:marRight w:val="0"/>
              <w:marTop w:val="0"/>
              <w:marBottom w:val="0"/>
              <w:divBdr>
                <w:top w:val="none" w:sz="0" w:space="0" w:color="auto"/>
                <w:left w:val="none" w:sz="0" w:space="0" w:color="auto"/>
                <w:bottom w:val="none" w:sz="0" w:space="0" w:color="auto"/>
                <w:right w:val="none" w:sz="0" w:space="0" w:color="auto"/>
              </w:divBdr>
            </w:div>
          </w:divsChild>
        </w:div>
        <w:div w:id="539321603">
          <w:marLeft w:val="0"/>
          <w:marRight w:val="0"/>
          <w:marTop w:val="0"/>
          <w:marBottom w:val="0"/>
          <w:divBdr>
            <w:top w:val="none" w:sz="0" w:space="0" w:color="auto"/>
            <w:left w:val="none" w:sz="0" w:space="0" w:color="auto"/>
            <w:bottom w:val="none" w:sz="0" w:space="0" w:color="auto"/>
            <w:right w:val="none" w:sz="0" w:space="0" w:color="auto"/>
          </w:divBdr>
          <w:divsChild>
            <w:div w:id="1720472165">
              <w:marLeft w:val="0"/>
              <w:marRight w:val="0"/>
              <w:marTop w:val="0"/>
              <w:marBottom w:val="0"/>
              <w:divBdr>
                <w:top w:val="none" w:sz="0" w:space="0" w:color="auto"/>
                <w:left w:val="none" w:sz="0" w:space="0" w:color="auto"/>
                <w:bottom w:val="none" w:sz="0" w:space="0" w:color="auto"/>
                <w:right w:val="none" w:sz="0" w:space="0" w:color="auto"/>
              </w:divBdr>
            </w:div>
          </w:divsChild>
        </w:div>
        <w:div w:id="562378436">
          <w:marLeft w:val="0"/>
          <w:marRight w:val="0"/>
          <w:marTop w:val="0"/>
          <w:marBottom w:val="0"/>
          <w:divBdr>
            <w:top w:val="none" w:sz="0" w:space="0" w:color="auto"/>
            <w:left w:val="none" w:sz="0" w:space="0" w:color="auto"/>
            <w:bottom w:val="none" w:sz="0" w:space="0" w:color="auto"/>
            <w:right w:val="none" w:sz="0" w:space="0" w:color="auto"/>
          </w:divBdr>
          <w:divsChild>
            <w:div w:id="1127968353">
              <w:marLeft w:val="0"/>
              <w:marRight w:val="0"/>
              <w:marTop w:val="0"/>
              <w:marBottom w:val="0"/>
              <w:divBdr>
                <w:top w:val="none" w:sz="0" w:space="0" w:color="auto"/>
                <w:left w:val="none" w:sz="0" w:space="0" w:color="auto"/>
                <w:bottom w:val="none" w:sz="0" w:space="0" w:color="auto"/>
                <w:right w:val="none" w:sz="0" w:space="0" w:color="auto"/>
              </w:divBdr>
            </w:div>
          </w:divsChild>
        </w:div>
        <w:div w:id="568275321">
          <w:marLeft w:val="0"/>
          <w:marRight w:val="0"/>
          <w:marTop w:val="0"/>
          <w:marBottom w:val="0"/>
          <w:divBdr>
            <w:top w:val="none" w:sz="0" w:space="0" w:color="auto"/>
            <w:left w:val="none" w:sz="0" w:space="0" w:color="auto"/>
            <w:bottom w:val="none" w:sz="0" w:space="0" w:color="auto"/>
            <w:right w:val="none" w:sz="0" w:space="0" w:color="auto"/>
          </w:divBdr>
          <w:divsChild>
            <w:div w:id="669480258">
              <w:marLeft w:val="0"/>
              <w:marRight w:val="0"/>
              <w:marTop w:val="0"/>
              <w:marBottom w:val="0"/>
              <w:divBdr>
                <w:top w:val="none" w:sz="0" w:space="0" w:color="auto"/>
                <w:left w:val="none" w:sz="0" w:space="0" w:color="auto"/>
                <w:bottom w:val="none" w:sz="0" w:space="0" w:color="auto"/>
                <w:right w:val="none" w:sz="0" w:space="0" w:color="auto"/>
              </w:divBdr>
            </w:div>
            <w:div w:id="839276539">
              <w:marLeft w:val="0"/>
              <w:marRight w:val="0"/>
              <w:marTop w:val="0"/>
              <w:marBottom w:val="0"/>
              <w:divBdr>
                <w:top w:val="none" w:sz="0" w:space="0" w:color="auto"/>
                <w:left w:val="none" w:sz="0" w:space="0" w:color="auto"/>
                <w:bottom w:val="none" w:sz="0" w:space="0" w:color="auto"/>
                <w:right w:val="none" w:sz="0" w:space="0" w:color="auto"/>
              </w:divBdr>
            </w:div>
            <w:div w:id="1572347337">
              <w:marLeft w:val="0"/>
              <w:marRight w:val="0"/>
              <w:marTop w:val="0"/>
              <w:marBottom w:val="0"/>
              <w:divBdr>
                <w:top w:val="none" w:sz="0" w:space="0" w:color="auto"/>
                <w:left w:val="none" w:sz="0" w:space="0" w:color="auto"/>
                <w:bottom w:val="none" w:sz="0" w:space="0" w:color="auto"/>
                <w:right w:val="none" w:sz="0" w:space="0" w:color="auto"/>
              </w:divBdr>
            </w:div>
          </w:divsChild>
        </w:div>
        <w:div w:id="582837186">
          <w:marLeft w:val="0"/>
          <w:marRight w:val="0"/>
          <w:marTop w:val="0"/>
          <w:marBottom w:val="0"/>
          <w:divBdr>
            <w:top w:val="none" w:sz="0" w:space="0" w:color="auto"/>
            <w:left w:val="none" w:sz="0" w:space="0" w:color="auto"/>
            <w:bottom w:val="none" w:sz="0" w:space="0" w:color="auto"/>
            <w:right w:val="none" w:sz="0" w:space="0" w:color="auto"/>
          </w:divBdr>
          <w:divsChild>
            <w:div w:id="1705058337">
              <w:marLeft w:val="0"/>
              <w:marRight w:val="0"/>
              <w:marTop w:val="0"/>
              <w:marBottom w:val="0"/>
              <w:divBdr>
                <w:top w:val="none" w:sz="0" w:space="0" w:color="auto"/>
                <w:left w:val="none" w:sz="0" w:space="0" w:color="auto"/>
                <w:bottom w:val="none" w:sz="0" w:space="0" w:color="auto"/>
                <w:right w:val="none" w:sz="0" w:space="0" w:color="auto"/>
              </w:divBdr>
            </w:div>
          </w:divsChild>
        </w:div>
        <w:div w:id="594822887">
          <w:marLeft w:val="0"/>
          <w:marRight w:val="0"/>
          <w:marTop w:val="0"/>
          <w:marBottom w:val="0"/>
          <w:divBdr>
            <w:top w:val="none" w:sz="0" w:space="0" w:color="auto"/>
            <w:left w:val="none" w:sz="0" w:space="0" w:color="auto"/>
            <w:bottom w:val="none" w:sz="0" w:space="0" w:color="auto"/>
            <w:right w:val="none" w:sz="0" w:space="0" w:color="auto"/>
          </w:divBdr>
          <w:divsChild>
            <w:div w:id="15274236">
              <w:marLeft w:val="0"/>
              <w:marRight w:val="0"/>
              <w:marTop w:val="0"/>
              <w:marBottom w:val="0"/>
              <w:divBdr>
                <w:top w:val="none" w:sz="0" w:space="0" w:color="auto"/>
                <w:left w:val="none" w:sz="0" w:space="0" w:color="auto"/>
                <w:bottom w:val="none" w:sz="0" w:space="0" w:color="auto"/>
                <w:right w:val="none" w:sz="0" w:space="0" w:color="auto"/>
              </w:divBdr>
            </w:div>
          </w:divsChild>
        </w:div>
        <w:div w:id="640815034">
          <w:marLeft w:val="0"/>
          <w:marRight w:val="0"/>
          <w:marTop w:val="0"/>
          <w:marBottom w:val="0"/>
          <w:divBdr>
            <w:top w:val="none" w:sz="0" w:space="0" w:color="auto"/>
            <w:left w:val="none" w:sz="0" w:space="0" w:color="auto"/>
            <w:bottom w:val="none" w:sz="0" w:space="0" w:color="auto"/>
            <w:right w:val="none" w:sz="0" w:space="0" w:color="auto"/>
          </w:divBdr>
          <w:divsChild>
            <w:div w:id="962150959">
              <w:marLeft w:val="0"/>
              <w:marRight w:val="0"/>
              <w:marTop w:val="0"/>
              <w:marBottom w:val="0"/>
              <w:divBdr>
                <w:top w:val="none" w:sz="0" w:space="0" w:color="auto"/>
                <w:left w:val="none" w:sz="0" w:space="0" w:color="auto"/>
                <w:bottom w:val="none" w:sz="0" w:space="0" w:color="auto"/>
                <w:right w:val="none" w:sz="0" w:space="0" w:color="auto"/>
              </w:divBdr>
            </w:div>
          </w:divsChild>
        </w:div>
        <w:div w:id="641084697">
          <w:marLeft w:val="0"/>
          <w:marRight w:val="0"/>
          <w:marTop w:val="0"/>
          <w:marBottom w:val="0"/>
          <w:divBdr>
            <w:top w:val="none" w:sz="0" w:space="0" w:color="auto"/>
            <w:left w:val="none" w:sz="0" w:space="0" w:color="auto"/>
            <w:bottom w:val="none" w:sz="0" w:space="0" w:color="auto"/>
            <w:right w:val="none" w:sz="0" w:space="0" w:color="auto"/>
          </w:divBdr>
          <w:divsChild>
            <w:div w:id="140388406">
              <w:marLeft w:val="0"/>
              <w:marRight w:val="0"/>
              <w:marTop w:val="0"/>
              <w:marBottom w:val="0"/>
              <w:divBdr>
                <w:top w:val="none" w:sz="0" w:space="0" w:color="auto"/>
                <w:left w:val="none" w:sz="0" w:space="0" w:color="auto"/>
                <w:bottom w:val="none" w:sz="0" w:space="0" w:color="auto"/>
                <w:right w:val="none" w:sz="0" w:space="0" w:color="auto"/>
              </w:divBdr>
            </w:div>
          </w:divsChild>
        </w:div>
        <w:div w:id="680820119">
          <w:marLeft w:val="0"/>
          <w:marRight w:val="0"/>
          <w:marTop w:val="0"/>
          <w:marBottom w:val="0"/>
          <w:divBdr>
            <w:top w:val="none" w:sz="0" w:space="0" w:color="auto"/>
            <w:left w:val="none" w:sz="0" w:space="0" w:color="auto"/>
            <w:bottom w:val="none" w:sz="0" w:space="0" w:color="auto"/>
            <w:right w:val="none" w:sz="0" w:space="0" w:color="auto"/>
          </w:divBdr>
          <w:divsChild>
            <w:div w:id="1634557789">
              <w:marLeft w:val="0"/>
              <w:marRight w:val="0"/>
              <w:marTop w:val="0"/>
              <w:marBottom w:val="0"/>
              <w:divBdr>
                <w:top w:val="none" w:sz="0" w:space="0" w:color="auto"/>
                <w:left w:val="none" w:sz="0" w:space="0" w:color="auto"/>
                <w:bottom w:val="none" w:sz="0" w:space="0" w:color="auto"/>
                <w:right w:val="none" w:sz="0" w:space="0" w:color="auto"/>
              </w:divBdr>
            </w:div>
          </w:divsChild>
        </w:div>
        <w:div w:id="798494678">
          <w:marLeft w:val="0"/>
          <w:marRight w:val="0"/>
          <w:marTop w:val="0"/>
          <w:marBottom w:val="0"/>
          <w:divBdr>
            <w:top w:val="none" w:sz="0" w:space="0" w:color="auto"/>
            <w:left w:val="none" w:sz="0" w:space="0" w:color="auto"/>
            <w:bottom w:val="none" w:sz="0" w:space="0" w:color="auto"/>
            <w:right w:val="none" w:sz="0" w:space="0" w:color="auto"/>
          </w:divBdr>
          <w:divsChild>
            <w:div w:id="905335772">
              <w:marLeft w:val="0"/>
              <w:marRight w:val="0"/>
              <w:marTop w:val="0"/>
              <w:marBottom w:val="0"/>
              <w:divBdr>
                <w:top w:val="none" w:sz="0" w:space="0" w:color="auto"/>
                <w:left w:val="none" w:sz="0" w:space="0" w:color="auto"/>
                <w:bottom w:val="none" w:sz="0" w:space="0" w:color="auto"/>
                <w:right w:val="none" w:sz="0" w:space="0" w:color="auto"/>
              </w:divBdr>
            </w:div>
          </w:divsChild>
        </w:div>
        <w:div w:id="817235477">
          <w:marLeft w:val="0"/>
          <w:marRight w:val="0"/>
          <w:marTop w:val="0"/>
          <w:marBottom w:val="0"/>
          <w:divBdr>
            <w:top w:val="none" w:sz="0" w:space="0" w:color="auto"/>
            <w:left w:val="none" w:sz="0" w:space="0" w:color="auto"/>
            <w:bottom w:val="none" w:sz="0" w:space="0" w:color="auto"/>
            <w:right w:val="none" w:sz="0" w:space="0" w:color="auto"/>
          </w:divBdr>
          <w:divsChild>
            <w:div w:id="1507792849">
              <w:marLeft w:val="0"/>
              <w:marRight w:val="0"/>
              <w:marTop w:val="0"/>
              <w:marBottom w:val="0"/>
              <w:divBdr>
                <w:top w:val="none" w:sz="0" w:space="0" w:color="auto"/>
                <w:left w:val="none" w:sz="0" w:space="0" w:color="auto"/>
                <w:bottom w:val="none" w:sz="0" w:space="0" w:color="auto"/>
                <w:right w:val="none" w:sz="0" w:space="0" w:color="auto"/>
              </w:divBdr>
            </w:div>
          </w:divsChild>
        </w:div>
        <w:div w:id="835458629">
          <w:marLeft w:val="0"/>
          <w:marRight w:val="0"/>
          <w:marTop w:val="0"/>
          <w:marBottom w:val="0"/>
          <w:divBdr>
            <w:top w:val="none" w:sz="0" w:space="0" w:color="auto"/>
            <w:left w:val="none" w:sz="0" w:space="0" w:color="auto"/>
            <w:bottom w:val="none" w:sz="0" w:space="0" w:color="auto"/>
            <w:right w:val="none" w:sz="0" w:space="0" w:color="auto"/>
          </w:divBdr>
          <w:divsChild>
            <w:div w:id="786050619">
              <w:marLeft w:val="0"/>
              <w:marRight w:val="0"/>
              <w:marTop w:val="0"/>
              <w:marBottom w:val="0"/>
              <w:divBdr>
                <w:top w:val="none" w:sz="0" w:space="0" w:color="auto"/>
                <w:left w:val="none" w:sz="0" w:space="0" w:color="auto"/>
                <w:bottom w:val="none" w:sz="0" w:space="0" w:color="auto"/>
                <w:right w:val="none" w:sz="0" w:space="0" w:color="auto"/>
              </w:divBdr>
            </w:div>
          </w:divsChild>
        </w:div>
        <w:div w:id="843976552">
          <w:marLeft w:val="0"/>
          <w:marRight w:val="0"/>
          <w:marTop w:val="0"/>
          <w:marBottom w:val="0"/>
          <w:divBdr>
            <w:top w:val="none" w:sz="0" w:space="0" w:color="auto"/>
            <w:left w:val="none" w:sz="0" w:space="0" w:color="auto"/>
            <w:bottom w:val="none" w:sz="0" w:space="0" w:color="auto"/>
            <w:right w:val="none" w:sz="0" w:space="0" w:color="auto"/>
          </w:divBdr>
          <w:divsChild>
            <w:div w:id="1848597085">
              <w:marLeft w:val="0"/>
              <w:marRight w:val="0"/>
              <w:marTop w:val="0"/>
              <w:marBottom w:val="0"/>
              <w:divBdr>
                <w:top w:val="none" w:sz="0" w:space="0" w:color="auto"/>
                <w:left w:val="none" w:sz="0" w:space="0" w:color="auto"/>
                <w:bottom w:val="none" w:sz="0" w:space="0" w:color="auto"/>
                <w:right w:val="none" w:sz="0" w:space="0" w:color="auto"/>
              </w:divBdr>
            </w:div>
          </w:divsChild>
        </w:div>
        <w:div w:id="900487414">
          <w:marLeft w:val="0"/>
          <w:marRight w:val="0"/>
          <w:marTop w:val="0"/>
          <w:marBottom w:val="0"/>
          <w:divBdr>
            <w:top w:val="none" w:sz="0" w:space="0" w:color="auto"/>
            <w:left w:val="none" w:sz="0" w:space="0" w:color="auto"/>
            <w:bottom w:val="none" w:sz="0" w:space="0" w:color="auto"/>
            <w:right w:val="none" w:sz="0" w:space="0" w:color="auto"/>
          </w:divBdr>
          <w:divsChild>
            <w:div w:id="263617843">
              <w:marLeft w:val="0"/>
              <w:marRight w:val="0"/>
              <w:marTop w:val="0"/>
              <w:marBottom w:val="0"/>
              <w:divBdr>
                <w:top w:val="none" w:sz="0" w:space="0" w:color="auto"/>
                <w:left w:val="none" w:sz="0" w:space="0" w:color="auto"/>
                <w:bottom w:val="none" w:sz="0" w:space="0" w:color="auto"/>
                <w:right w:val="none" w:sz="0" w:space="0" w:color="auto"/>
              </w:divBdr>
            </w:div>
            <w:div w:id="325016029">
              <w:marLeft w:val="0"/>
              <w:marRight w:val="0"/>
              <w:marTop w:val="0"/>
              <w:marBottom w:val="0"/>
              <w:divBdr>
                <w:top w:val="none" w:sz="0" w:space="0" w:color="auto"/>
                <w:left w:val="none" w:sz="0" w:space="0" w:color="auto"/>
                <w:bottom w:val="none" w:sz="0" w:space="0" w:color="auto"/>
                <w:right w:val="none" w:sz="0" w:space="0" w:color="auto"/>
              </w:divBdr>
            </w:div>
          </w:divsChild>
        </w:div>
        <w:div w:id="976761287">
          <w:marLeft w:val="0"/>
          <w:marRight w:val="0"/>
          <w:marTop w:val="0"/>
          <w:marBottom w:val="0"/>
          <w:divBdr>
            <w:top w:val="none" w:sz="0" w:space="0" w:color="auto"/>
            <w:left w:val="none" w:sz="0" w:space="0" w:color="auto"/>
            <w:bottom w:val="none" w:sz="0" w:space="0" w:color="auto"/>
            <w:right w:val="none" w:sz="0" w:space="0" w:color="auto"/>
          </w:divBdr>
          <w:divsChild>
            <w:div w:id="199976241">
              <w:marLeft w:val="0"/>
              <w:marRight w:val="0"/>
              <w:marTop w:val="0"/>
              <w:marBottom w:val="0"/>
              <w:divBdr>
                <w:top w:val="none" w:sz="0" w:space="0" w:color="auto"/>
                <w:left w:val="none" w:sz="0" w:space="0" w:color="auto"/>
                <w:bottom w:val="none" w:sz="0" w:space="0" w:color="auto"/>
                <w:right w:val="none" w:sz="0" w:space="0" w:color="auto"/>
              </w:divBdr>
            </w:div>
          </w:divsChild>
        </w:div>
        <w:div w:id="978336785">
          <w:marLeft w:val="0"/>
          <w:marRight w:val="0"/>
          <w:marTop w:val="0"/>
          <w:marBottom w:val="0"/>
          <w:divBdr>
            <w:top w:val="none" w:sz="0" w:space="0" w:color="auto"/>
            <w:left w:val="none" w:sz="0" w:space="0" w:color="auto"/>
            <w:bottom w:val="none" w:sz="0" w:space="0" w:color="auto"/>
            <w:right w:val="none" w:sz="0" w:space="0" w:color="auto"/>
          </w:divBdr>
          <w:divsChild>
            <w:div w:id="919798185">
              <w:marLeft w:val="0"/>
              <w:marRight w:val="0"/>
              <w:marTop w:val="0"/>
              <w:marBottom w:val="0"/>
              <w:divBdr>
                <w:top w:val="none" w:sz="0" w:space="0" w:color="auto"/>
                <w:left w:val="none" w:sz="0" w:space="0" w:color="auto"/>
                <w:bottom w:val="none" w:sz="0" w:space="0" w:color="auto"/>
                <w:right w:val="none" w:sz="0" w:space="0" w:color="auto"/>
              </w:divBdr>
            </w:div>
          </w:divsChild>
        </w:div>
        <w:div w:id="982077117">
          <w:marLeft w:val="0"/>
          <w:marRight w:val="0"/>
          <w:marTop w:val="0"/>
          <w:marBottom w:val="0"/>
          <w:divBdr>
            <w:top w:val="none" w:sz="0" w:space="0" w:color="auto"/>
            <w:left w:val="none" w:sz="0" w:space="0" w:color="auto"/>
            <w:bottom w:val="none" w:sz="0" w:space="0" w:color="auto"/>
            <w:right w:val="none" w:sz="0" w:space="0" w:color="auto"/>
          </w:divBdr>
          <w:divsChild>
            <w:div w:id="2118327850">
              <w:marLeft w:val="0"/>
              <w:marRight w:val="0"/>
              <w:marTop w:val="0"/>
              <w:marBottom w:val="0"/>
              <w:divBdr>
                <w:top w:val="none" w:sz="0" w:space="0" w:color="auto"/>
                <w:left w:val="none" w:sz="0" w:space="0" w:color="auto"/>
                <w:bottom w:val="none" w:sz="0" w:space="0" w:color="auto"/>
                <w:right w:val="none" w:sz="0" w:space="0" w:color="auto"/>
              </w:divBdr>
            </w:div>
          </w:divsChild>
        </w:div>
        <w:div w:id="1001808709">
          <w:marLeft w:val="0"/>
          <w:marRight w:val="0"/>
          <w:marTop w:val="0"/>
          <w:marBottom w:val="0"/>
          <w:divBdr>
            <w:top w:val="none" w:sz="0" w:space="0" w:color="auto"/>
            <w:left w:val="none" w:sz="0" w:space="0" w:color="auto"/>
            <w:bottom w:val="none" w:sz="0" w:space="0" w:color="auto"/>
            <w:right w:val="none" w:sz="0" w:space="0" w:color="auto"/>
          </w:divBdr>
          <w:divsChild>
            <w:div w:id="832719528">
              <w:marLeft w:val="0"/>
              <w:marRight w:val="0"/>
              <w:marTop w:val="0"/>
              <w:marBottom w:val="0"/>
              <w:divBdr>
                <w:top w:val="none" w:sz="0" w:space="0" w:color="auto"/>
                <w:left w:val="none" w:sz="0" w:space="0" w:color="auto"/>
                <w:bottom w:val="none" w:sz="0" w:space="0" w:color="auto"/>
                <w:right w:val="none" w:sz="0" w:space="0" w:color="auto"/>
              </w:divBdr>
            </w:div>
            <w:div w:id="1129203658">
              <w:marLeft w:val="0"/>
              <w:marRight w:val="0"/>
              <w:marTop w:val="0"/>
              <w:marBottom w:val="0"/>
              <w:divBdr>
                <w:top w:val="none" w:sz="0" w:space="0" w:color="auto"/>
                <w:left w:val="none" w:sz="0" w:space="0" w:color="auto"/>
                <w:bottom w:val="none" w:sz="0" w:space="0" w:color="auto"/>
                <w:right w:val="none" w:sz="0" w:space="0" w:color="auto"/>
              </w:divBdr>
            </w:div>
          </w:divsChild>
        </w:div>
        <w:div w:id="1025639947">
          <w:marLeft w:val="0"/>
          <w:marRight w:val="0"/>
          <w:marTop w:val="0"/>
          <w:marBottom w:val="0"/>
          <w:divBdr>
            <w:top w:val="none" w:sz="0" w:space="0" w:color="auto"/>
            <w:left w:val="none" w:sz="0" w:space="0" w:color="auto"/>
            <w:bottom w:val="none" w:sz="0" w:space="0" w:color="auto"/>
            <w:right w:val="none" w:sz="0" w:space="0" w:color="auto"/>
          </w:divBdr>
          <w:divsChild>
            <w:div w:id="1987010521">
              <w:marLeft w:val="0"/>
              <w:marRight w:val="0"/>
              <w:marTop w:val="0"/>
              <w:marBottom w:val="0"/>
              <w:divBdr>
                <w:top w:val="none" w:sz="0" w:space="0" w:color="auto"/>
                <w:left w:val="none" w:sz="0" w:space="0" w:color="auto"/>
                <w:bottom w:val="none" w:sz="0" w:space="0" w:color="auto"/>
                <w:right w:val="none" w:sz="0" w:space="0" w:color="auto"/>
              </w:divBdr>
            </w:div>
          </w:divsChild>
        </w:div>
        <w:div w:id="1087464315">
          <w:marLeft w:val="0"/>
          <w:marRight w:val="0"/>
          <w:marTop w:val="0"/>
          <w:marBottom w:val="0"/>
          <w:divBdr>
            <w:top w:val="none" w:sz="0" w:space="0" w:color="auto"/>
            <w:left w:val="none" w:sz="0" w:space="0" w:color="auto"/>
            <w:bottom w:val="none" w:sz="0" w:space="0" w:color="auto"/>
            <w:right w:val="none" w:sz="0" w:space="0" w:color="auto"/>
          </w:divBdr>
          <w:divsChild>
            <w:div w:id="1040547060">
              <w:marLeft w:val="0"/>
              <w:marRight w:val="0"/>
              <w:marTop w:val="0"/>
              <w:marBottom w:val="0"/>
              <w:divBdr>
                <w:top w:val="none" w:sz="0" w:space="0" w:color="auto"/>
                <w:left w:val="none" w:sz="0" w:space="0" w:color="auto"/>
                <w:bottom w:val="none" w:sz="0" w:space="0" w:color="auto"/>
                <w:right w:val="none" w:sz="0" w:space="0" w:color="auto"/>
              </w:divBdr>
            </w:div>
            <w:div w:id="1980111438">
              <w:marLeft w:val="0"/>
              <w:marRight w:val="0"/>
              <w:marTop w:val="0"/>
              <w:marBottom w:val="0"/>
              <w:divBdr>
                <w:top w:val="none" w:sz="0" w:space="0" w:color="auto"/>
                <w:left w:val="none" w:sz="0" w:space="0" w:color="auto"/>
                <w:bottom w:val="none" w:sz="0" w:space="0" w:color="auto"/>
                <w:right w:val="none" w:sz="0" w:space="0" w:color="auto"/>
              </w:divBdr>
            </w:div>
          </w:divsChild>
        </w:div>
        <w:div w:id="1130632254">
          <w:marLeft w:val="0"/>
          <w:marRight w:val="0"/>
          <w:marTop w:val="0"/>
          <w:marBottom w:val="0"/>
          <w:divBdr>
            <w:top w:val="none" w:sz="0" w:space="0" w:color="auto"/>
            <w:left w:val="none" w:sz="0" w:space="0" w:color="auto"/>
            <w:bottom w:val="none" w:sz="0" w:space="0" w:color="auto"/>
            <w:right w:val="none" w:sz="0" w:space="0" w:color="auto"/>
          </w:divBdr>
          <w:divsChild>
            <w:div w:id="369300543">
              <w:marLeft w:val="0"/>
              <w:marRight w:val="0"/>
              <w:marTop w:val="0"/>
              <w:marBottom w:val="0"/>
              <w:divBdr>
                <w:top w:val="none" w:sz="0" w:space="0" w:color="auto"/>
                <w:left w:val="none" w:sz="0" w:space="0" w:color="auto"/>
                <w:bottom w:val="none" w:sz="0" w:space="0" w:color="auto"/>
                <w:right w:val="none" w:sz="0" w:space="0" w:color="auto"/>
              </w:divBdr>
            </w:div>
          </w:divsChild>
        </w:div>
        <w:div w:id="1159271022">
          <w:marLeft w:val="0"/>
          <w:marRight w:val="0"/>
          <w:marTop w:val="0"/>
          <w:marBottom w:val="0"/>
          <w:divBdr>
            <w:top w:val="none" w:sz="0" w:space="0" w:color="auto"/>
            <w:left w:val="none" w:sz="0" w:space="0" w:color="auto"/>
            <w:bottom w:val="none" w:sz="0" w:space="0" w:color="auto"/>
            <w:right w:val="none" w:sz="0" w:space="0" w:color="auto"/>
          </w:divBdr>
          <w:divsChild>
            <w:div w:id="979261408">
              <w:marLeft w:val="0"/>
              <w:marRight w:val="0"/>
              <w:marTop w:val="0"/>
              <w:marBottom w:val="0"/>
              <w:divBdr>
                <w:top w:val="none" w:sz="0" w:space="0" w:color="auto"/>
                <w:left w:val="none" w:sz="0" w:space="0" w:color="auto"/>
                <w:bottom w:val="none" w:sz="0" w:space="0" w:color="auto"/>
                <w:right w:val="none" w:sz="0" w:space="0" w:color="auto"/>
              </w:divBdr>
            </w:div>
          </w:divsChild>
        </w:div>
        <w:div w:id="1215309680">
          <w:marLeft w:val="0"/>
          <w:marRight w:val="0"/>
          <w:marTop w:val="0"/>
          <w:marBottom w:val="0"/>
          <w:divBdr>
            <w:top w:val="none" w:sz="0" w:space="0" w:color="auto"/>
            <w:left w:val="none" w:sz="0" w:space="0" w:color="auto"/>
            <w:bottom w:val="none" w:sz="0" w:space="0" w:color="auto"/>
            <w:right w:val="none" w:sz="0" w:space="0" w:color="auto"/>
          </w:divBdr>
          <w:divsChild>
            <w:div w:id="806165068">
              <w:marLeft w:val="0"/>
              <w:marRight w:val="0"/>
              <w:marTop w:val="0"/>
              <w:marBottom w:val="0"/>
              <w:divBdr>
                <w:top w:val="none" w:sz="0" w:space="0" w:color="auto"/>
                <w:left w:val="none" w:sz="0" w:space="0" w:color="auto"/>
                <w:bottom w:val="none" w:sz="0" w:space="0" w:color="auto"/>
                <w:right w:val="none" w:sz="0" w:space="0" w:color="auto"/>
              </w:divBdr>
            </w:div>
            <w:div w:id="1439638079">
              <w:marLeft w:val="0"/>
              <w:marRight w:val="0"/>
              <w:marTop w:val="0"/>
              <w:marBottom w:val="0"/>
              <w:divBdr>
                <w:top w:val="none" w:sz="0" w:space="0" w:color="auto"/>
                <w:left w:val="none" w:sz="0" w:space="0" w:color="auto"/>
                <w:bottom w:val="none" w:sz="0" w:space="0" w:color="auto"/>
                <w:right w:val="none" w:sz="0" w:space="0" w:color="auto"/>
              </w:divBdr>
            </w:div>
            <w:div w:id="1442646896">
              <w:marLeft w:val="0"/>
              <w:marRight w:val="0"/>
              <w:marTop w:val="0"/>
              <w:marBottom w:val="0"/>
              <w:divBdr>
                <w:top w:val="none" w:sz="0" w:space="0" w:color="auto"/>
                <w:left w:val="none" w:sz="0" w:space="0" w:color="auto"/>
                <w:bottom w:val="none" w:sz="0" w:space="0" w:color="auto"/>
                <w:right w:val="none" w:sz="0" w:space="0" w:color="auto"/>
              </w:divBdr>
            </w:div>
            <w:div w:id="1571231231">
              <w:marLeft w:val="0"/>
              <w:marRight w:val="0"/>
              <w:marTop w:val="0"/>
              <w:marBottom w:val="0"/>
              <w:divBdr>
                <w:top w:val="none" w:sz="0" w:space="0" w:color="auto"/>
                <w:left w:val="none" w:sz="0" w:space="0" w:color="auto"/>
                <w:bottom w:val="none" w:sz="0" w:space="0" w:color="auto"/>
                <w:right w:val="none" w:sz="0" w:space="0" w:color="auto"/>
              </w:divBdr>
            </w:div>
            <w:div w:id="1916284159">
              <w:marLeft w:val="0"/>
              <w:marRight w:val="0"/>
              <w:marTop w:val="0"/>
              <w:marBottom w:val="0"/>
              <w:divBdr>
                <w:top w:val="none" w:sz="0" w:space="0" w:color="auto"/>
                <w:left w:val="none" w:sz="0" w:space="0" w:color="auto"/>
                <w:bottom w:val="none" w:sz="0" w:space="0" w:color="auto"/>
                <w:right w:val="none" w:sz="0" w:space="0" w:color="auto"/>
              </w:divBdr>
            </w:div>
          </w:divsChild>
        </w:div>
        <w:div w:id="1218514312">
          <w:marLeft w:val="0"/>
          <w:marRight w:val="0"/>
          <w:marTop w:val="0"/>
          <w:marBottom w:val="0"/>
          <w:divBdr>
            <w:top w:val="none" w:sz="0" w:space="0" w:color="auto"/>
            <w:left w:val="none" w:sz="0" w:space="0" w:color="auto"/>
            <w:bottom w:val="none" w:sz="0" w:space="0" w:color="auto"/>
            <w:right w:val="none" w:sz="0" w:space="0" w:color="auto"/>
          </w:divBdr>
          <w:divsChild>
            <w:div w:id="1784299066">
              <w:marLeft w:val="0"/>
              <w:marRight w:val="0"/>
              <w:marTop w:val="0"/>
              <w:marBottom w:val="0"/>
              <w:divBdr>
                <w:top w:val="none" w:sz="0" w:space="0" w:color="auto"/>
                <w:left w:val="none" w:sz="0" w:space="0" w:color="auto"/>
                <w:bottom w:val="none" w:sz="0" w:space="0" w:color="auto"/>
                <w:right w:val="none" w:sz="0" w:space="0" w:color="auto"/>
              </w:divBdr>
            </w:div>
          </w:divsChild>
        </w:div>
        <w:div w:id="1276131654">
          <w:marLeft w:val="0"/>
          <w:marRight w:val="0"/>
          <w:marTop w:val="0"/>
          <w:marBottom w:val="0"/>
          <w:divBdr>
            <w:top w:val="none" w:sz="0" w:space="0" w:color="auto"/>
            <w:left w:val="none" w:sz="0" w:space="0" w:color="auto"/>
            <w:bottom w:val="none" w:sz="0" w:space="0" w:color="auto"/>
            <w:right w:val="none" w:sz="0" w:space="0" w:color="auto"/>
          </w:divBdr>
          <w:divsChild>
            <w:div w:id="504326523">
              <w:marLeft w:val="0"/>
              <w:marRight w:val="0"/>
              <w:marTop w:val="0"/>
              <w:marBottom w:val="0"/>
              <w:divBdr>
                <w:top w:val="none" w:sz="0" w:space="0" w:color="auto"/>
                <w:left w:val="none" w:sz="0" w:space="0" w:color="auto"/>
                <w:bottom w:val="none" w:sz="0" w:space="0" w:color="auto"/>
                <w:right w:val="none" w:sz="0" w:space="0" w:color="auto"/>
              </w:divBdr>
            </w:div>
            <w:div w:id="527529457">
              <w:marLeft w:val="0"/>
              <w:marRight w:val="0"/>
              <w:marTop w:val="0"/>
              <w:marBottom w:val="0"/>
              <w:divBdr>
                <w:top w:val="none" w:sz="0" w:space="0" w:color="auto"/>
                <w:left w:val="none" w:sz="0" w:space="0" w:color="auto"/>
                <w:bottom w:val="none" w:sz="0" w:space="0" w:color="auto"/>
                <w:right w:val="none" w:sz="0" w:space="0" w:color="auto"/>
              </w:divBdr>
            </w:div>
            <w:div w:id="931399249">
              <w:marLeft w:val="0"/>
              <w:marRight w:val="0"/>
              <w:marTop w:val="0"/>
              <w:marBottom w:val="0"/>
              <w:divBdr>
                <w:top w:val="none" w:sz="0" w:space="0" w:color="auto"/>
                <w:left w:val="none" w:sz="0" w:space="0" w:color="auto"/>
                <w:bottom w:val="none" w:sz="0" w:space="0" w:color="auto"/>
                <w:right w:val="none" w:sz="0" w:space="0" w:color="auto"/>
              </w:divBdr>
            </w:div>
            <w:div w:id="1505508951">
              <w:marLeft w:val="0"/>
              <w:marRight w:val="0"/>
              <w:marTop w:val="0"/>
              <w:marBottom w:val="0"/>
              <w:divBdr>
                <w:top w:val="none" w:sz="0" w:space="0" w:color="auto"/>
                <w:left w:val="none" w:sz="0" w:space="0" w:color="auto"/>
                <w:bottom w:val="none" w:sz="0" w:space="0" w:color="auto"/>
                <w:right w:val="none" w:sz="0" w:space="0" w:color="auto"/>
              </w:divBdr>
            </w:div>
            <w:div w:id="1586107475">
              <w:marLeft w:val="0"/>
              <w:marRight w:val="0"/>
              <w:marTop w:val="0"/>
              <w:marBottom w:val="0"/>
              <w:divBdr>
                <w:top w:val="none" w:sz="0" w:space="0" w:color="auto"/>
                <w:left w:val="none" w:sz="0" w:space="0" w:color="auto"/>
                <w:bottom w:val="none" w:sz="0" w:space="0" w:color="auto"/>
                <w:right w:val="none" w:sz="0" w:space="0" w:color="auto"/>
              </w:divBdr>
            </w:div>
          </w:divsChild>
        </w:div>
        <w:div w:id="1292437731">
          <w:marLeft w:val="0"/>
          <w:marRight w:val="0"/>
          <w:marTop w:val="0"/>
          <w:marBottom w:val="0"/>
          <w:divBdr>
            <w:top w:val="none" w:sz="0" w:space="0" w:color="auto"/>
            <w:left w:val="none" w:sz="0" w:space="0" w:color="auto"/>
            <w:bottom w:val="none" w:sz="0" w:space="0" w:color="auto"/>
            <w:right w:val="none" w:sz="0" w:space="0" w:color="auto"/>
          </w:divBdr>
          <w:divsChild>
            <w:div w:id="1541743006">
              <w:marLeft w:val="0"/>
              <w:marRight w:val="0"/>
              <w:marTop w:val="0"/>
              <w:marBottom w:val="0"/>
              <w:divBdr>
                <w:top w:val="none" w:sz="0" w:space="0" w:color="auto"/>
                <w:left w:val="none" w:sz="0" w:space="0" w:color="auto"/>
                <w:bottom w:val="none" w:sz="0" w:space="0" w:color="auto"/>
                <w:right w:val="none" w:sz="0" w:space="0" w:color="auto"/>
              </w:divBdr>
            </w:div>
          </w:divsChild>
        </w:div>
        <w:div w:id="1353803306">
          <w:marLeft w:val="0"/>
          <w:marRight w:val="0"/>
          <w:marTop w:val="0"/>
          <w:marBottom w:val="0"/>
          <w:divBdr>
            <w:top w:val="none" w:sz="0" w:space="0" w:color="auto"/>
            <w:left w:val="none" w:sz="0" w:space="0" w:color="auto"/>
            <w:bottom w:val="none" w:sz="0" w:space="0" w:color="auto"/>
            <w:right w:val="none" w:sz="0" w:space="0" w:color="auto"/>
          </w:divBdr>
          <w:divsChild>
            <w:div w:id="1801610536">
              <w:marLeft w:val="0"/>
              <w:marRight w:val="0"/>
              <w:marTop w:val="0"/>
              <w:marBottom w:val="0"/>
              <w:divBdr>
                <w:top w:val="none" w:sz="0" w:space="0" w:color="auto"/>
                <w:left w:val="none" w:sz="0" w:space="0" w:color="auto"/>
                <w:bottom w:val="none" w:sz="0" w:space="0" w:color="auto"/>
                <w:right w:val="none" w:sz="0" w:space="0" w:color="auto"/>
              </w:divBdr>
            </w:div>
          </w:divsChild>
        </w:div>
        <w:div w:id="1409183806">
          <w:marLeft w:val="0"/>
          <w:marRight w:val="0"/>
          <w:marTop w:val="0"/>
          <w:marBottom w:val="0"/>
          <w:divBdr>
            <w:top w:val="none" w:sz="0" w:space="0" w:color="auto"/>
            <w:left w:val="none" w:sz="0" w:space="0" w:color="auto"/>
            <w:bottom w:val="none" w:sz="0" w:space="0" w:color="auto"/>
            <w:right w:val="none" w:sz="0" w:space="0" w:color="auto"/>
          </w:divBdr>
          <w:divsChild>
            <w:div w:id="1401639830">
              <w:marLeft w:val="0"/>
              <w:marRight w:val="0"/>
              <w:marTop w:val="0"/>
              <w:marBottom w:val="0"/>
              <w:divBdr>
                <w:top w:val="none" w:sz="0" w:space="0" w:color="auto"/>
                <w:left w:val="none" w:sz="0" w:space="0" w:color="auto"/>
                <w:bottom w:val="none" w:sz="0" w:space="0" w:color="auto"/>
                <w:right w:val="none" w:sz="0" w:space="0" w:color="auto"/>
              </w:divBdr>
            </w:div>
          </w:divsChild>
        </w:div>
        <w:div w:id="1482966486">
          <w:marLeft w:val="0"/>
          <w:marRight w:val="0"/>
          <w:marTop w:val="0"/>
          <w:marBottom w:val="0"/>
          <w:divBdr>
            <w:top w:val="none" w:sz="0" w:space="0" w:color="auto"/>
            <w:left w:val="none" w:sz="0" w:space="0" w:color="auto"/>
            <w:bottom w:val="none" w:sz="0" w:space="0" w:color="auto"/>
            <w:right w:val="none" w:sz="0" w:space="0" w:color="auto"/>
          </w:divBdr>
          <w:divsChild>
            <w:div w:id="305859884">
              <w:marLeft w:val="0"/>
              <w:marRight w:val="0"/>
              <w:marTop w:val="0"/>
              <w:marBottom w:val="0"/>
              <w:divBdr>
                <w:top w:val="none" w:sz="0" w:space="0" w:color="auto"/>
                <w:left w:val="none" w:sz="0" w:space="0" w:color="auto"/>
                <w:bottom w:val="none" w:sz="0" w:space="0" w:color="auto"/>
                <w:right w:val="none" w:sz="0" w:space="0" w:color="auto"/>
              </w:divBdr>
            </w:div>
          </w:divsChild>
        </w:div>
        <w:div w:id="1495994343">
          <w:marLeft w:val="0"/>
          <w:marRight w:val="0"/>
          <w:marTop w:val="0"/>
          <w:marBottom w:val="0"/>
          <w:divBdr>
            <w:top w:val="none" w:sz="0" w:space="0" w:color="auto"/>
            <w:left w:val="none" w:sz="0" w:space="0" w:color="auto"/>
            <w:bottom w:val="none" w:sz="0" w:space="0" w:color="auto"/>
            <w:right w:val="none" w:sz="0" w:space="0" w:color="auto"/>
          </w:divBdr>
          <w:divsChild>
            <w:div w:id="1776359595">
              <w:marLeft w:val="0"/>
              <w:marRight w:val="0"/>
              <w:marTop w:val="0"/>
              <w:marBottom w:val="0"/>
              <w:divBdr>
                <w:top w:val="none" w:sz="0" w:space="0" w:color="auto"/>
                <w:left w:val="none" w:sz="0" w:space="0" w:color="auto"/>
                <w:bottom w:val="none" w:sz="0" w:space="0" w:color="auto"/>
                <w:right w:val="none" w:sz="0" w:space="0" w:color="auto"/>
              </w:divBdr>
            </w:div>
          </w:divsChild>
        </w:div>
        <w:div w:id="1555580229">
          <w:marLeft w:val="0"/>
          <w:marRight w:val="0"/>
          <w:marTop w:val="0"/>
          <w:marBottom w:val="0"/>
          <w:divBdr>
            <w:top w:val="none" w:sz="0" w:space="0" w:color="auto"/>
            <w:left w:val="none" w:sz="0" w:space="0" w:color="auto"/>
            <w:bottom w:val="none" w:sz="0" w:space="0" w:color="auto"/>
            <w:right w:val="none" w:sz="0" w:space="0" w:color="auto"/>
          </w:divBdr>
          <w:divsChild>
            <w:div w:id="168958013">
              <w:marLeft w:val="0"/>
              <w:marRight w:val="0"/>
              <w:marTop w:val="0"/>
              <w:marBottom w:val="0"/>
              <w:divBdr>
                <w:top w:val="none" w:sz="0" w:space="0" w:color="auto"/>
                <w:left w:val="none" w:sz="0" w:space="0" w:color="auto"/>
                <w:bottom w:val="none" w:sz="0" w:space="0" w:color="auto"/>
                <w:right w:val="none" w:sz="0" w:space="0" w:color="auto"/>
              </w:divBdr>
            </w:div>
            <w:div w:id="653490777">
              <w:marLeft w:val="0"/>
              <w:marRight w:val="0"/>
              <w:marTop w:val="0"/>
              <w:marBottom w:val="0"/>
              <w:divBdr>
                <w:top w:val="none" w:sz="0" w:space="0" w:color="auto"/>
                <w:left w:val="none" w:sz="0" w:space="0" w:color="auto"/>
                <w:bottom w:val="none" w:sz="0" w:space="0" w:color="auto"/>
                <w:right w:val="none" w:sz="0" w:space="0" w:color="auto"/>
              </w:divBdr>
            </w:div>
            <w:div w:id="1866863188">
              <w:marLeft w:val="0"/>
              <w:marRight w:val="0"/>
              <w:marTop w:val="0"/>
              <w:marBottom w:val="0"/>
              <w:divBdr>
                <w:top w:val="none" w:sz="0" w:space="0" w:color="auto"/>
                <w:left w:val="none" w:sz="0" w:space="0" w:color="auto"/>
                <w:bottom w:val="none" w:sz="0" w:space="0" w:color="auto"/>
                <w:right w:val="none" w:sz="0" w:space="0" w:color="auto"/>
              </w:divBdr>
            </w:div>
          </w:divsChild>
        </w:div>
        <w:div w:id="1571959602">
          <w:marLeft w:val="0"/>
          <w:marRight w:val="0"/>
          <w:marTop w:val="0"/>
          <w:marBottom w:val="0"/>
          <w:divBdr>
            <w:top w:val="none" w:sz="0" w:space="0" w:color="auto"/>
            <w:left w:val="none" w:sz="0" w:space="0" w:color="auto"/>
            <w:bottom w:val="none" w:sz="0" w:space="0" w:color="auto"/>
            <w:right w:val="none" w:sz="0" w:space="0" w:color="auto"/>
          </w:divBdr>
          <w:divsChild>
            <w:div w:id="484516525">
              <w:marLeft w:val="0"/>
              <w:marRight w:val="0"/>
              <w:marTop w:val="0"/>
              <w:marBottom w:val="0"/>
              <w:divBdr>
                <w:top w:val="none" w:sz="0" w:space="0" w:color="auto"/>
                <w:left w:val="none" w:sz="0" w:space="0" w:color="auto"/>
                <w:bottom w:val="none" w:sz="0" w:space="0" w:color="auto"/>
                <w:right w:val="none" w:sz="0" w:space="0" w:color="auto"/>
              </w:divBdr>
            </w:div>
            <w:div w:id="1801485630">
              <w:marLeft w:val="0"/>
              <w:marRight w:val="0"/>
              <w:marTop w:val="0"/>
              <w:marBottom w:val="0"/>
              <w:divBdr>
                <w:top w:val="none" w:sz="0" w:space="0" w:color="auto"/>
                <w:left w:val="none" w:sz="0" w:space="0" w:color="auto"/>
                <w:bottom w:val="none" w:sz="0" w:space="0" w:color="auto"/>
                <w:right w:val="none" w:sz="0" w:space="0" w:color="auto"/>
              </w:divBdr>
            </w:div>
          </w:divsChild>
        </w:div>
        <w:div w:id="1579099516">
          <w:marLeft w:val="0"/>
          <w:marRight w:val="0"/>
          <w:marTop w:val="0"/>
          <w:marBottom w:val="0"/>
          <w:divBdr>
            <w:top w:val="none" w:sz="0" w:space="0" w:color="auto"/>
            <w:left w:val="none" w:sz="0" w:space="0" w:color="auto"/>
            <w:bottom w:val="none" w:sz="0" w:space="0" w:color="auto"/>
            <w:right w:val="none" w:sz="0" w:space="0" w:color="auto"/>
          </w:divBdr>
          <w:divsChild>
            <w:div w:id="1946226498">
              <w:marLeft w:val="0"/>
              <w:marRight w:val="0"/>
              <w:marTop w:val="0"/>
              <w:marBottom w:val="0"/>
              <w:divBdr>
                <w:top w:val="none" w:sz="0" w:space="0" w:color="auto"/>
                <w:left w:val="none" w:sz="0" w:space="0" w:color="auto"/>
                <w:bottom w:val="none" w:sz="0" w:space="0" w:color="auto"/>
                <w:right w:val="none" w:sz="0" w:space="0" w:color="auto"/>
              </w:divBdr>
            </w:div>
          </w:divsChild>
        </w:div>
        <w:div w:id="1583635312">
          <w:marLeft w:val="0"/>
          <w:marRight w:val="0"/>
          <w:marTop w:val="0"/>
          <w:marBottom w:val="0"/>
          <w:divBdr>
            <w:top w:val="none" w:sz="0" w:space="0" w:color="auto"/>
            <w:left w:val="none" w:sz="0" w:space="0" w:color="auto"/>
            <w:bottom w:val="none" w:sz="0" w:space="0" w:color="auto"/>
            <w:right w:val="none" w:sz="0" w:space="0" w:color="auto"/>
          </w:divBdr>
          <w:divsChild>
            <w:div w:id="1574005706">
              <w:marLeft w:val="0"/>
              <w:marRight w:val="0"/>
              <w:marTop w:val="0"/>
              <w:marBottom w:val="0"/>
              <w:divBdr>
                <w:top w:val="none" w:sz="0" w:space="0" w:color="auto"/>
                <w:left w:val="none" w:sz="0" w:space="0" w:color="auto"/>
                <w:bottom w:val="none" w:sz="0" w:space="0" w:color="auto"/>
                <w:right w:val="none" w:sz="0" w:space="0" w:color="auto"/>
              </w:divBdr>
            </w:div>
          </w:divsChild>
        </w:div>
        <w:div w:id="1602563375">
          <w:marLeft w:val="0"/>
          <w:marRight w:val="0"/>
          <w:marTop w:val="0"/>
          <w:marBottom w:val="0"/>
          <w:divBdr>
            <w:top w:val="none" w:sz="0" w:space="0" w:color="auto"/>
            <w:left w:val="none" w:sz="0" w:space="0" w:color="auto"/>
            <w:bottom w:val="none" w:sz="0" w:space="0" w:color="auto"/>
            <w:right w:val="none" w:sz="0" w:space="0" w:color="auto"/>
          </w:divBdr>
          <w:divsChild>
            <w:div w:id="344865415">
              <w:marLeft w:val="0"/>
              <w:marRight w:val="0"/>
              <w:marTop w:val="0"/>
              <w:marBottom w:val="0"/>
              <w:divBdr>
                <w:top w:val="none" w:sz="0" w:space="0" w:color="auto"/>
                <w:left w:val="none" w:sz="0" w:space="0" w:color="auto"/>
                <w:bottom w:val="none" w:sz="0" w:space="0" w:color="auto"/>
                <w:right w:val="none" w:sz="0" w:space="0" w:color="auto"/>
              </w:divBdr>
            </w:div>
          </w:divsChild>
        </w:div>
        <w:div w:id="1654985564">
          <w:marLeft w:val="0"/>
          <w:marRight w:val="0"/>
          <w:marTop w:val="0"/>
          <w:marBottom w:val="0"/>
          <w:divBdr>
            <w:top w:val="none" w:sz="0" w:space="0" w:color="auto"/>
            <w:left w:val="none" w:sz="0" w:space="0" w:color="auto"/>
            <w:bottom w:val="none" w:sz="0" w:space="0" w:color="auto"/>
            <w:right w:val="none" w:sz="0" w:space="0" w:color="auto"/>
          </w:divBdr>
          <w:divsChild>
            <w:div w:id="1772431232">
              <w:marLeft w:val="0"/>
              <w:marRight w:val="0"/>
              <w:marTop w:val="0"/>
              <w:marBottom w:val="0"/>
              <w:divBdr>
                <w:top w:val="none" w:sz="0" w:space="0" w:color="auto"/>
                <w:left w:val="none" w:sz="0" w:space="0" w:color="auto"/>
                <w:bottom w:val="none" w:sz="0" w:space="0" w:color="auto"/>
                <w:right w:val="none" w:sz="0" w:space="0" w:color="auto"/>
              </w:divBdr>
            </w:div>
          </w:divsChild>
        </w:div>
        <w:div w:id="1661351528">
          <w:marLeft w:val="0"/>
          <w:marRight w:val="0"/>
          <w:marTop w:val="0"/>
          <w:marBottom w:val="0"/>
          <w:divBdr>
            <w:top w:val="none" w:sz="0" w:space="0" w:color="auto"/>
            <w:left w:val="none" w:sz="0" w:space="0" w:color="auto"/>
            <w:bottom w:val="none" w:sz="0" w:space="0" w:color="auto"/>
            <w:right w:val="none" w:sz="0" w:space="0" w:color="auto"/>
          </w:divBdr>
          <w:divsChild>
            <w:div w:id="340738498">
              <w:marLeft w:val="0"/>
              <w:marRight w:val="0"/>
              <w:marTop w:val="0"/>
              <w:marBottom w:val="0"/>
              <w:divBdr>
                <w:top w:val="none" w:sz="0" w:space="0" w:color="auto"/>
                <w:left w:val="none" w:sz="0" w:space="0" w:color="auto"/>
                <w:bottom w:val="none" w:sz="0" w:space="0" w:color="auto"/>
                <w:right w:val="none" w:sz="0" w:space="0" w:color="auto"/>
              </w:divBdr>
            </w:div>
            <w:div w:id="492795670">
              <w:marLeft w:val="0"/>
              <w:marRight w:val="0"/>
              <w:marTop w:val="0"/>
              <w:marBottom w:val="0"/>
              <w:divBdr>
                <w:top w:val="none" w:sz="0" w:space="0" w:color="auto"/>
                <w:left w:val="none" w:sz="0" w:space="0" w:color="auto"/>
                <w:bottom w:val="none" w:sz="0" w:space="0" w:color="auto"/>
                <w:right w:val="none" w:sz="0" w:space="0" w:color="auto"/>
              </w:divBdr>
            </w:div>
            <w:div w:id="518473440">
              <w:marLeft w:val="0"/>
              <w:marRight w:val="0"/>
              <w:marTop w:val="0"/>
              <w:marBottom w:val="0"/>
              <w:divBdr>
                <w:top w:val="none" w:sz="0" w:space="0" w:color="auto"/>
                <w:left w:val="none" w:sz="0" w:space="0" w:color="auto"/>
                <w:bottom w:val="none" w:sz="0" w:space="0" w:color="auto"/>
                <w:right w:val="none" w:sz="0" w:space="0" w:color="auto"/>
              </w:divBdr>
            </w:div>
            <w:div w:id="699206604">
              <w:marLeft w:val="0"/>
              <w:marRight w:val="0"/>
              <w:marTop w:val="0"/>
              <w:marBottom w:val="0"/>
              <w:divBdr>
                <w:top w:val="none" w:sz="0" w:space="0" w:color="auto"/>
                <w:left w:val="none" w:sz="0" w:space="0" w:color="auto"/>
                <w:bottom w:val="none" w:sz="0" w:space="0" w:color="auto"/>
                <w:right w:val="none" w:sz="0" w:space="0" w:color="auto"/>
              </w:divBdr>
            </w:div>
            <w:div w:id="800730127">
              <w:marLeft w:val="0"/>
              <w:marRight w:val="0"/>
              <w:marTop w:val="0"/>
              <w:marBottom w:val="0"/>
              <w:divBdr>
                <w:top w:val="none" w:sz="0" w:space="0" w:color="auto"/>
                <w:left w:val="none" w:sz="0" w:space="0" w:color="auto"/>
                <w:bottom w:val="none" w:sz="0" w:space="0" w:color="auto"/>
                <w:right w:val="none" w:sz="0" w:space="0" w:color="auto"/>
              </w:divBdr>
            </w:div>
            <w:div w:id="1169906921">
              <w:marLeft w:val="0"/>
              <w:marRight w:val="0"/>
              <w:marTop w:val="0"/>
              <w:marBottom w:val="0"/>
              <w:divBdr>
                <w:top w:val="none" w:sz="0" w:space="0" w:color="auto"/>
                <w:left w:val="none" w:sz="0" w:space="0" w:color="auto"/>
                <w:bottom w:val="none" w:sz="0" w:space="0" w:color="auto"/>
                <w:right w:val="none" w:sz="0" w:space="0" w:color="auto"/>
              </w:divBdr>
            </w:div>
            <w:div w:id="1209878098">
              <w:marLeft w:val="0"/>
              <w:marRight w:val="0"/>
              <w:marTop w:val="0"/>
              <w:marBottom w:val="0"/>
              <w:divBdr>
                <w:top w:val="none" w:sz="0" w:space="0" w:color="auto"/>
                <w:left w:val="none" w:sz="0" w:space="0" w:color="auto"/>
                <w:bottom w:val="none" w:sz="0" w:space="0" w:color="auto"/>
                <w:right w:val="none" w:sz="0" w:space="0" w:color="auto"/>
              </w:divBdr>
            </w:div>
            <w:div w:id="1231112899">
              <w:marLeft w:val="0"/>
              <w:marRight w:val="0"/>
              <w:marTop w:val="0"/>
              <w:marBottom w:val="0"/>
              <w:divBdr>
                <w:top w:val="none" w:sz="0" w:space="0" w:color="auto"/>
                <w:left w:val="none" w:sz="0" w:space="0" w:color="auto"/>
                <w:bottom w:val="none" w:sz="0" w:space="0" w:color="auto"/>
                <w:right w:val="none" w:sz="0" w:space="0" w:color="auto"/>
              </w:divBdr>
            </w:div>
            <w:div w:id="1797260987">
              <w:marLeft w:val="0"/>
              <w:marRight w:val="0"/>
              <w:marTop w:val="0"/>
              <w:marBottom w:val="0"/>
              <w:divBdr>
                <w:top w:val="none" w:sz="0" w:space="0" w:color="auto"/>
                <w:left w:val="none" w:sz="0" w:space="0" w:color="auto"/>
                <w:bottom w:val="none" w:sz="0" w:space="0" w:color="auto"/>
                <w:right w:val="none" w:sz="0" w:space="0" w:color="auto"/>
              </w:divBdr>
            </w:div>
          </w:divsChild>
        </w:div>
        <w:div w:id="1705327881">
          <w:marLeft w:val="0"/>
          <w:marRight w:val="0"/>
          <w:marTop w:val="0"/>
          <w:marBottom w:val="0"/>
          <w:divBdr>
            <w:top w:val="none" w:sz="0" w:space="0" w:color="auto"/>
            <w:left w:val="none" w:sz="0" w:space="0" w:color="auto"/>
            <w:bottom w:val="none" w:sz="0" w:space="0" w:color="auto"/>
            <w:right w:val="none" w:sz="0" w:space="0" w:color="auto"/>
          </w:divBdr>
          <w:divsChild>
            <w:div w:id="520434731">
              <w:marLeft w:val="0"/>
              <w:marRight w:val="0"/>
              <w:marTop w:val="0"/>
              <w:marBottom w:val="0"/>
              <w:divBdr>
                <w:top w:val="none" w:sz="0" w:space="0" w:color="auto"/>
                <w:left w:val="none" w:sz="0" w:space="0" w:color="auto"/>
                <w:bottom w:val="none" w:sz="0" w:space="0" w:color="auto"/>
                <w:right w:val="none" w:sz="0" w:space="0" w:color="auto"/>
              </w:divBdr>
            </w:div>
            <w:div w:id="585303907">
              <w:marLeft w:val="0"/>
              <w:marRight w:val="0"/>
              <w:marTop w:val="0"/>
              <w:marBottom w:val="0"/>
              <w:divBdr>
                <w:top w:val="none" w:sz="0" w:space="0" w:color="auto"/>
                <w:left w:val="none" w:sz="0" w:space="0" w:color="auto"/>
                <w:bottom w:val="none" w:sz="0" w:space="0" w:color="auto"/>
                <w:right w:val="none" w:sz="0" w:space="0" w:color="auto"/>
              </w:divBdr>
            </w:div>
            <w:div w:id="757482567">
              <w:marLeft w:val="0"/>
              <w:marRight w:val="0"/>
              <w:marTop w:val="0"/>
              <w:marBottom w:val="0"/>
              <w:divBdr>
                <w:top w:val="none" w:sz="0" w:space="0" w:color="auto"/>
                <w:left w:val="none" w:sz="0" w:space="0" w:color="auto"/>
                <w:bottom w:val="none" w:sz="0" w:space="0" w:color="auto"/>
                <w:right w:val="none" w:sz="0" w:space="0" w:color="auto"/>
              </w:divBdr>
            </w:div>
            <w:div w:id="1361278184">
              <w:marLeft w:val="0"/>
              <w:marRight w:val="0"/>
              <w:marTop w:val="0"/>
              <w:marBottom w:val="0"/>
              <w:divBdr>
                <w:top w:val="none" w:sz="0" w:space="0" w:color="auto"/>
                <w:left w:val="none" w:sz="0" w:space="0" w:color="auto"/>
                <w:bottom w:val="none" w:sz="0" w:space="0" w:color="auto"/>
                <w:right w:val="none" w:sz="0" w:space="0" w:color="auto"/>
              </w:divBdr>
            </w:div>
            <w:div w:id="1532916460">
              <w:marLeft w:val="0"/>
              <w:marRight w:val="0"/>
              <w:marTop w:val="0"/>
              <w:marBottom w:val="0"/>
              <w:divBdr>
                <w:top w:val="none" w:sz="0" w:space="0" w:color="auto"/>
                <w:left w:val="none" w:sz="0" w:space="0" w:color="auto"/>
                <w:bottom w:val="none" w:sz="0" w:space="0" w:color="auto"/>
                <w:right w:val="none" w:sz="0" w:space="0" w:color="auto"/>
              </w:divBdr>
            </w:div>
            <w:div w:id="1872956973">
              <w:marLeft w:val="0"/>
              <w:marRight w:val="0"/>
              <w:marTop w:val="0"/>
              <w:marBottom w:val="0"/>
              <w:divBdr>
                <w:top w:val="none" w:sz="0" w:space="0" w:color="auto"/>
                <w:left w:val="none" w:sz="0" w:space="0" w:color="auto"/>
                <w:bottom w:val="none" w:sz="0" w:space="0" w:color="auto"/>
                <w:right w:val="none" w:sz="0" w:space="0" w:color="auto"/>
              </w:divBdr>
            </w:div>
            <w:div w:id="2058358405">
              <w:marLeft w:val="0"/>
              <w:marRight w:val="0"/>
              <w:marTop w:val="0"/>
              <w:marBottom w:val="0"/>
              <w:divBdr>
                <w:top w:val="none" w:sz="0" w:space="0" w:color="auto"/>
                <w:left w:val="none" w:sz="0" w:space="0" w:color="auto"/>
                <w:bottom w:val="none" w:sz="0" w:space="0" w:color="auto"/>
                <w:right w:val="none" w:sz="0" w:space="0" w:color="auto"/>
              </w:divBdr>
            </w:div>
          </w:divsChild>
        </w:div>
        <w:div w:id="1707757653">
          <w:marLeft w:val="0"/>
          <w:marRight w:val="0"/>
          <w:marTop w:val="0"/>
          <w:marBottom w:val="0"/>
          <w:divBdr>
            <w:top w:val="none" w:sz="0" w:space="0" w:color="auto"/>
            <w:left w:val="none" w:sz="0" w:space="0" w:color="auto"/>
            <w:bottom w:val="none" w:sz="0" w:space="0" w:color="auto"/>
            <w:right w:val="none" w:sz="0" w:space="0" w:color="auto"/>
          </w:divBdr>
          <w:divsChild>
            <w:div w:id="214051142">
              <w:marLeft w:val="0"/>
              <w:marRight w:val="0"/>
              <w:marTop w:val="0"/>
              <w:marBottom w:val="0"/>
              <w:divBdr>
                <w:top w:val="none" w:sz="0" w:space="0" w:color="auto"/>
                <w:left w:val="none" w:sz="0" w:space="0" w:color="auto"/>
                <w:bottom w:val="none" w:sz="0" w:space="0" w:color="auto"/>
                <w:right w:val="none" w:sz="0" w:space="0" w:color="auto"/>
              </w:divBdr>
            </w:div>
          </w:divsChild>
        </w:div>
        <w:div w:id="1745493857">
          <w:marLeft w:val="0"/>
          <w:marRight w:val="0"/>
          <w:marTop w:val="0"/>
          <w:marBottom w:val="0"/>
          <w:divBdr>
            <w:top w:val="none" w:sz="0" w:space="0" w:color="auto"/>
            <w:left w:val="none" w:sz="0" w:space="0" w:color="auto"/>
            <w:bottom w:val="none" w:sz="0" w:space="0" w:color="auto"/>
            <w:right w:val="none" w:sz="0" w:space="0" w:color="auto"/>
          </w:divBdr>
          <w:divsChild>
            <w:div w:id="480774544">
              <w:marLeft w:val="0"/>
              <w:marRight w:val="0"/>
              <w:marTop w:val="0"/>
              <w:marBottom w:val="0"/>
              <w:divBdr>
                <w:top w:val="none" w:sz="0" w:space="0" w:color="auto"/>
                <w:left w:val="none" w:sz="0" w:space="0" w:color="auto"/>
                <w:bottom w:val="none" w:sz="0" w:space="0" w:color="auto"/>
                <w:right w:val="none" w:sz="0" w:space="0" w:color="auto"/>
              </w:divBdr>
            </w:div>
            <w:div w:id="509486211">
              <w:marLeft w:val="0"/>
              <w:marRight w:val="0"/>
              <w:marTop w:val="0"/>
              <w:marBottom w:val="0"/>
              <w:divBdr>
                <w:top w:val="none" w:sz="0" w:space="0" w:color="auto"/>
                <w:left w:val="none" w:sz="0" w:space="0" w:color="auto"/>
                <w:bottom w:val="none" w:sz="0" w:space="0" w:color="auto"/>
                <w:right w:val="none" w:sz="0" w:space="0" w:color="auto"/>
              </w:divBdr>
            </w:div>
            <w:div w:id="894439124">
              <w:marLeft w:val="0"/>
              <w:marRight w:val="0"/>
              <w:marTop w:val="0"/>
              <w:marBottom w:val="0"/>
              <w:divBdr>
                <w:top w:val="none" w:sz="0" w:space="0" w:color="auto"/>
                <w:left w:val="none" w:sz="0" w:space="0" w:color="auto"/>
                <w:bottom w:val="none" w:sz="0" w:space="0" w:color="auto"/>
                <w:right w:val="none" w:sz="0" w:space="0" w:color="auto"/>
              </w:divBdr>
            </w:div>
            <w:div w:id="1227690887">
              <w:marLeft w:val="0"/>
              <w:marRight w:val="0"/>
              <w:marTop w:val="0"/>
              <w:marBottom w:val="0"/>
              <w:divBdr>
                <w:top w:val="none" w:sz="0" w:space="0" w:color="auto"/>
                <w:left w:val="none" w:sz="0" w:space="0" w:color="auto"/>
                <w:bottom w:val="none" w:sz="0" w:space="0" w:color="auto"/>
                <w:right w:val="none" w:sz="0" w:space="0" w:color="auto"/>
              </w:divBdr>
            </w:div>
            <w:div w:id="1470703896">
              <w:marLeft w:val="0"/>
              <w:marRight w:val="0"/>
              <w:marTop w:val="0"/>
              <w:marBottom w:val="0"/>
              <w:divBdr>
                <w:top w:val="none" w:sz="0" w:space="0" w:color="auto"/>
                <w:left w:val="none" w:sz="0" w:space="0" w:color="auto"/>
                <w:bottom w:val="none" w:sz="0" w:space="0" w:color="auto"/>
                <w:right w:val="none" w:sz="0" w:space="0" w:color="auto"/>
              </w:divBdr>
            </w:div>
            <w:div w:id="1750498358">
              <w:marLeft w:val="0"/>
              <w:marRight w:val="0"/>
              <w:marTop w:val="0"/>
              <w:marBottom w:val="0"/>
              <w:divBdr>
                <w:top w:val="none" w:sz="0" w:space="0" w:color="auto"/>
                <w:left w:val="none" w:sz="0" w:space="0" w:color="auto"/>
                <w:bottom w:val="none" w:sz="0" w:space="0" w:color="auto"/>
                <w:right w:val="none" w:sz="0" w:space="0" w:color="auto"/>
              </w:divBdr>
            </w:div>
          </w:divsChild>
        </w:div>
        <w:div w:id="1930771812">
          <w:marLeft w:val="0"/>
          <w:marRight w:val="0"/>
          <w:marTop w:val="0"/>
          <w:marBottom w:val="0"/>
          <w:divBdr>
            <w:top w:val="none" w:sz="0" w:space="0" w:color="auto"/>
            <w:left w:val="none" w:sz="0" w:space="0" w:color="auto"/>
            <w:bottom w:val="none" w:sz="0" w:space="0" w:color="auto"/>
            <w:right w:val="none" w:sz="0" w:space="0" w:color="auto"/>
          </w:divBdr>
          <w:divsChild>
            <w:div w:id="614597843">
              <w:marLeft w:val="0"/>
              <w:marRight w:val="0"/>
              <w:marTop w:val="0"/>
              <w:marBottom w:val="0"/>
              <w:divBdr>
                <w:top w:val="none" w:sz="0" w:space="0" w:color="auto"/>
                <w:left w:val="none" w:sz="0" w:space="0" w:color="auto"/>
                <w:bottom w:val="none" w:sz="0" w:space="0" w:color="auto"/>
                <w:right w:val="none" w:sz="0" w:space="0" w:color="auto"/>
              </w:divBdr>
            </w:div>
            <w:div w:id="667169237">
              <w:marLeft w:val="0"/>
              <w:marRight w:val="0"/>
              <w:marTop w:val="0"/>
              <w:marBottom w:val="0"/>
              <w:divBdr>
                <w:top w:val="none" w:sz="0" w:space="0" w:color="auto"/>
                <w:left w:val="none" w:sz="0" w:space="0" w:color="auto"/>
                <w:bottom w:val="none" w:sz="0" w:space="0" w:color="auto"/>
                <w:right w:val="none" w:sz="0" w:space="0" w:color="auto"/>
              </w:divBdr>
            </w:div>
            <w:div w:id="1357736313">
              <w:marLeft w:val="0"/>
              <w:marRight w:val="0"/>
              <w:marTop w:val="0"/>
              <w:marBottom w:val="0"/>
              <w:divBdr>
                <w:top w:val="none" w:sz="0" w:space="0" w:color="auto"/>
                <w:left w:val="none" w:sz="0" w:space="0" w:color="auto"/>
                <w:bottom w:val="none" w:sz="0" w:space="0" w:color="auto"/>
                <w:right w:val="none" w:sz="0" w:space="0" w:color="auto"/>
              </w:divBdr>
            </w:div>
            <w:div w:id="1769080176">
              <w:marLeft w:val="0"/>
              <w:marRight w:val="0"/>
              <w:marTop w:val="0"/>
              <w:marBottom w:val="0"/>
              <w:divBdr>
                <w:top w:val="none" w:sz="0" w:space="0" w:color="auto"/>
                <w:left w:val="none" w:sz="0" w:space="0" w:color="auto"/>
                <w:bottom w:val="none" w:sz="0" w:space="0" w:color="auto"/>
                <w:right w:val="none" w:sz="0" w:space="0" w:color="auto"/>
              </w:divBdr>
            </w:div>
            <w:div w:id="1951083132">
              <w:marLeft w:val="0"/>
              <w:marRight w:val="0"/>
              <w:marTop w:val="0"/>
              <w:marBottom w:val="0"/>
              <w:divBdr>
                <w:top w:val="none" w:sz="0" w:space="0" w:color="auto"/>
                <w:left w:val="none" w:sz="0" w:space="0" w:color="auto"/>
                <w:bottom w:val="none" w:sz="0" w:space="0" w:color="auto"/>
                <w:right w:val="none" w:sz="0" w:space="0" w:color="auto"/>
              </w:divBdr>
            </w:div>
          </w:divsChild>
        </w:div>
        <w:div w:id="1933735388">
          <w:marLeft w:val="0"/>
          <w:marRight w:val="0"/>
          <w:marTop w:val="0"/>
          <w:marBottom w:val="0"/>
          <w:divBdr>
            <w:top w:val="none" w:sz="0" w:space="0" w:color="auto"/>
            <w:left w:val="none" w:sz="0" w:space="0" w:color="auto"/>
            <w:bottom w:val="none" w:sz="0" w:space="0" w:color="auto"/>
            <w:right w:val="none" w:sz="0" w:space="0" w:color="auto"/>
          </w:divBdr>
          <w:divsChild>
            <w:div w:id="225579193">
              <w:marLeft w:val="0"/>
              <w:marRight w:val="0"/>
              <w:marTop w:val="0"/>
              <w:marBottom w:val="0"/>
              <w:divBdr>
                <w:top w:val="none" w:sz="0" w:space="0" w:color="auto"/>
                <w:left w:val="none" w:sz="0" w:space="0" w:color="auto"/>
                <w:bottom w:val="none" w:sz="0" w:space="0" w:color="auto"/>
                <w:right w:val="none" w:sz="0" w:space="0" w:color="auto"/>
              </w:divBdr>
            </w:div>
            <w:div w:id="689332199">
              <w:marLeft w:val="0"/>
              <w:marRight w:val="0"/>
              <w:marTop w:val="0"/>
              <w:marBottom w:val="0"/>
              <w:divBdr>
                <w:top w:val="none" w:sz="0" w:space="0" w:color="auto"/>
                <w:left w:val="none" w:sz="0" w:space="0" w:color="auto"/>
                <w:bottom w:val="none" w:sz="0" w:space="0" w:color="auto"/>
                <w:right w:val="none" w:sz="0" w:space="0" w:color="auto"/>
              </w:divBdr>
            </w:div>
            <w:div w:id="749546421">
              <w:marLeft w:val="0"/>
              <w:marRight w:val="0"/>
              <w:marTop w:val="0"/>
              <w:marBottom w:val="0"/>
              <w:divBdr>
                <w:top w:val="none" w:sz="0" w:space="0" w:color="auto"/>
                <w:left w:val="none" w:sz="0" w:space="0" w:color="auto"/>
                <w:bottom w:val="none" w:sz="0" w:space="0" w:color="auto"/>
                <w:right w:val="none" w:sz="0" w:space="0" w:color="auto"/>
              </w:divBdr>
            </w:div>
            <w:div w:id="769131196">
              <w:marLeft w:val="0"/>
              <w:marRight w:val="0"/>
              <w:marTop w:val="0"/>
              <w:marBottom w:val="0"/>
              <w:divBdr>
                <w:top w:val="none" w:sz="0" w:space="0" w:color="auto"/>
                <w:left w:val="none" w:sz="0" w:space="0" w:color="auto"/>
                <w:bottom w:val="none" w:sz="0" w:space="0" w:color="auto"/>
                <w:right w:val="none" w:sz="0" w:space="0" w:color="auto"/>
              </w:divBdr>
            </w:div>
            <w:div w:id="934750132">
              <w:marLeft w:val="0"/>
              <w:marRight w:val="0"/>
              <w:marTop w:val="0"/>
              <w:marBottom w:val="0"/>
              <w:divBdr>
                <w:top w:val="none" w:sz="0" w:space="0" w:color="auto"/>
                <w:left w:val="none" w:sz="0" w:space="0" w:color="auto"/>
                <w:bottom w:val="none" w:sz="0" w:space="0" w:color="auto"/>
                <w:right w:val="none" w:sz="0" w:space="0" w:color="auto"/>
              </w:divBdr>
            </w:div>
            <w:div w:id="935214979">
              <w:marLeft w:val="0"/>
              <w:marRight w:val="0"/>
              <w:marTop w:val="0"/>
              <w:marBottom w:val="0"/>
              <w:divBdr>
                <w:top w:val="none" w:sz="0" w:space="0" w:color="auto"/>
                <w:left w:val="none" w:sz="0" w:space="0" w:color="auto"/>
                <w:bottom w:val="none" w:sz="0" w:space="0" w:color="auto"/>
                <w:right w:val="none" w:sz="0" w:space="0" w:color="auto"/>
              </w:divBdr>
            </w:div>
            <w:div w:id="1494298724">
              <w:marLeft w:val="0"/>
              <w:marRight w:val="0"/>
              <w:marTop w:val="0"/>
              <w:marBottom w:val="0"/>
              <w:divBdr>
                <w:top w:val="none" w:sz="0" w:space="0" w:color="auto"/>
                <w:left w:val="none" w:sz="0" w:space="0" w:color="auto"/>
                <w:bottom w:val="none" w:sz="0" w:space="0" w:color="auto"/>
                <w:right w:val="none" w:sz="0" w:space="0" w:color="auto"/>
              </w:divBdr>
            </w:div>
            <w:div w:id="1706177919">
              <w:marLeft w:val="0"/>
              <w:marRight w:val="0"/>
              <w:marTop w:val="0"/>
              <w:marBottom w:val="0"/>
              <w:divBdr>
                <w:top w:val="none" w:sz="0" w:space="0" w:color="auto"/>
                <w:left w:val="none" w:sz="0" w:space="0" w:color="auto"/>
                <w:bottom w:val="none" w:sz="0" w:space="0" w:color="auto"/>
                <w:right w:val="none" w:sz="0" w:space="0" w:color="auto"/>
              </w:divBdr>
            </w:div>
            <w:div w:id="1808550853">
              <w:marLeft w:val="0"/>
              <w:marRight w:val="0"/>
              <w:marTop w:val="0"/>
              <w:marBottom w:val="0"/>
              <w:divBdr>
                <w:top w:val="none" w:sz="0" w:space="0" w:color="auto"/>
                <w:left w:val="none" w:sz="0" w:space="0" w:color="auto"/>
                <w:bottom w:val="none" w:sz="0" w:space="0" w:color="auto"/>
                <w:right w:val="none" w:sz="0" w:space="0" w:color="auto"/>
              </w:divBdr>
            </w:div>
            <w:div w:id="1832015374">
              <w:marLeft w:val="0"/>
              <w:marRight w:val="0"/>
              <w:marTop w:val="0"/>
              <w:marBottom w:val="0"/>
              <w:divBdr>
                <w:top w:val="none" w:sz="0" w:space="0" w:color="auto"/>
                <w:left w:val="none" w:sz="0" w:space="0" w:color="auto"/>
                <w:bottom w:val="none" w:sz="0" w:space="0" w:color="auto"/>
                <w:right w:val="none" w:sz="0" w:space="0" w:color="auto"/>
              </w:divBdr>
            </w:div>
            <w:div w:id="1857109194">
              <w:marLeft w:val="0"/>
              <w:marRight w:val="0"/>
              <w:marTop w:val="0"/>
              <w:marBottom w:val="0"/>
              <w:divBdr>
                <w:top w:val="none" w:sz="0" w:space="0" w:color="auto"/>
                <w:left w:val="none" w:sz="0" w:space="0" w:color="auto"/>
                <w:bottom w:val="none" w:sz="0" w:space="0" w:color="auto"/>
                <w:right w:val="none" w:sz="0" w:space="0" w:color="auto"/>
              </w:divBdr>
            </w:div>
          </w:divsChild>
        </w:div>
        <w:div w:id="2044861024">
          <w:marLeft w:val="0"/>
          <w:marRight w:val="0"/>
          <w:marTop w:val="0"/>
          <w:marBottom w:val="0"/>
          <w:divBdr>
            <w:top w:val="none" w:sz="0" w:space="0" w:color="auto"/>
            <w:left w:val="none" w:sz="0" w:space="0" w:color="auto"/>
            <w:bottom w:val="none" w:sz="0" w:space="0" w:color="auto"/>
            <w:right w:val="none" w:sz="0" w:space="0" w:color="auto"/>
          </w:divBdr>
          <w:divsChild>
            <w:div w:id="424542528">
              <w:marLeft w:val="0"/>
              <w:marRight w:val="0"/>
              <w:marTop w:val="0"/>
              <w:marBottom w:val="0"/>
              <w:divBdr>
                <w:top w:val="none" w:sz="0" w:space="0" w:color="auto"/>
                <w:left w:val="none" w:sz="0" w:space="0" w:color="auto"/>
                <w:bottom w:val="none" w:sz="0" w:space="0" w:color="auto"/>
                <w:right w:val="none" w:sz="0" w:space="0" w:color="auto"/>
              </w:divBdr>
            </w:div>
          </w:divsChild>
        </w:div>
        <w:div w:id="2088838652">
          <w:marLeft w:val="0"/>
          <w:marRight w:val="0"/>
          <w:marTop w:val="0"/>
          <w:marBottom w:val="0"/>
          <w:divBdr>
            <w:top w:val="none" w:sz="0" w:space="0" w:color="auto"/>
            <w:left w:val="none" w:sz="0" w:space="0" w:color="auto"/>
            <w:bottom w:val="none" w:sz="0" w:space="0" w:color="auto"/>
            <w:right w:val="none" w:sz="0" w:space="0" w:color="auto"/>
          </w:divBdr>
          <w:divsChild>
            <w:div w:id="139006543">
              <w:marLeft w:val="0"/>
              <w:marRight w:val="0"/>
              <w:marTop w:val="0"/>
              <w:marBottom w:val="0"/>
              <w:divBdr>
                <w:top w:val="none" w:sz="0" w:space="0" w:color="auto"/>
                <w:left w:val="none" w:sz="0" w:space="0" w:color="auto"/>
                <w:bottom w:val="none" w:sz="0" w:space="0" w:color="auto"/>
                <w:right w:val="none" w:sz="0" w:space="0" w:color="auto"/>
              </w:divBdr>
            </w:div>
          </w:divsChild>
        </w:div>
        <w:div w:id="2098938964">
          <w:marLeft w:val="0"/>
          <w:marRight w:val="0"/>
          <w:marTop w:val="0"/>
          <w:marBottom w:val="0"/>
          <w:divBdr>
            <w:top w:val="none" w:sz="0" w:space="0" w:color="auto"/>
            <w:left w:val="none" w:sz="0" w:space="0" w:color="auto"/>
            <w:bottom w:val="none" w:sz="0" w:space="0" w:color="auto"/>
            <w:right w:val="none" w:sz="0" w:space="0" w:color="auto"/>
          </w:divBdr>
          <w:divsChild>
            <w:div w:id="62219047">
              <w:marLeft w:val="0"/>
              <w:marRight w:val="0"/>
              <w:marTop w:val="0"/>
              <w:marBottom w:val="0"/>
              <w:divBdr>
                <w:top w:val="none" w:sz="0" w:space="0" w:color="auto"/>
                <w:left w:val="none" w:sz="0" w:space="0" w:color="auto"/>
                <w:bottom w:val="none" w:sz="0" w:space="0" w:color="auto"/>
                <w:right w:val="none" w:sz="0" w:space="0" w:color="auto"/>
              </w:divBdr>
            </w:div>
          </w:divsChild>
        </w:div>
        <w:div w:id="2129274272">
          <w:marLeft w:val="0"/>
          <w:marRight w:val="0"/>
          <w:marTop w:val="0"/>
          <w:marBottom w:val="0"/>
          <w:divBdr>
            <w:top w:val="none" w:sz="0" w:space="0" w:color="auto"/>
            <w:left w:val="none" w:sz="0" w:space="0" w:color="auto"/>
            <w:bottom w:val="none" w:sz="0" w:space="0" w:color="auto"/>
            <w:right w:val="none" w:sz="0" w:space="0" w:color="auto"/>
          </w:divBdr>
          <w:divsChild>
            <w:div w:id="112021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49147">
      <w:bodyDiv w:val="1"/>
      <w:marLeft w:val="0"/>
      <w:marRight w:val="0"/>
      <w:marTop w:val="0"/>
      <w:marBottom w:val="0"/>
      <w:divBdr>
        <w:top w:val="none" w:sz="0" w:space="0" w:color="auto"/>
        <w:left w:val="none" w:sz="0" w:space="0" w:color="auto"/>
        <w:bottom w:val="none" w:sz="0" w:space="0" w:color="auto"/>
        <w:right w:val="none" w:sz="0" w:space="0" w:color="auto"/>
      </w:divBdr>
      <w:divsChild>
        <w:div w:id="11500101">
          <w:marLeft w:val="0"/>
          <w:marRight w:val="0"/>
          <w:marTop w:val="0"/>
          <w:marBottom w:val="0"/>
          <w:divBdr>
            <w:top w:val="none" w:sz="0" w:space="0" w:color="auto"/>
            <w:left w:val="none" w:sz="0" w:space="0" w:color="auto"/>
            <w:bottom w:val="none" w:sz="0" w:space="0" w:color="auto"/>
            <w:right w:val="none" w:sz="0" w:space="0" w:color="auto"/>
          </w:divBdr>
          <w:divsChild>
            <w:div w:id="1318724841">
              <w:marLeft w:val="0"/>
              <w:marRight w:val="0"/>
              <w:marTop w:val="0"/>
              <w:marBottom w:val="0"/>
              <w:divBdr>
                <w:top w:val="none" w:sz="0" w:space="0" w:color="auto"/>
                <w:left w:val="none" w:sz="0" w:space="0" w:color="auto"/>
                <w:bottom w:val="none" w:sz="0" w:space="0" w:color="auto"/>
                <w:right w:val="none" w:sz="0" w:space="0" w:color="auto"/>
              </w:divBdr>
            </w:div>
          </w:divsChild>
        </w:div>
        <w:div w:id="15815866">
          <w:marLeft w:val="0"/>
          <w:marRight w:val="0"/>
          <w:marTop w:val="0"/>
          <w:marBottom w:val="0"/>
          <w:divBdr>
            <w:top w:val="none" w:sz="0" w:space="0" w:color="auto"/>
            <w:left w:val="none" w:sz="0" w:space="0" w:color="auto"/>
            <w:bottom w:val="none" w:sz="0" w:space="0" w:color="auto"/>
            <w:right w:val="none" w:sz="0" w:space="0" w:color="auto"/>
          </w:divBdr>
          <w:divsChild>
            <w:div w:id="559292666">
              <w:marLeft w:val="0"/>
              <w:marRight w:val="0"/>
              <w:marTop w:val="0"/>
              <w:marBottom w:val="0"/>
              <w:divBdr>
                <w:top w:val="none" w:sz="0" w:space="0" w:color="auto"/>
                <w:left w:val="none" w:sz="0" w:space="0" w:color="auto"/>
                <w:bottom w:val="none" w:sz="0" w:space="0" w:color="auto"/>
                <w:right w:val="none" w:sz="0" w:space="0" w:color="auto"/>
              </w:divBdr>
            </w:div>
            <w:div w:id="596837082">
              <w:marLeft w:val="0"/>
              <w:marRight w:val="0"/>
              <w:marTop w:val="0"/>
              <w:marBottom w:val="0"/>
              <w:divBdr>
                <w:top w:val="none" w:sz="0" w:space="0" w:color="auto"/>
                <w:left w:val="none" w:sz="0" w:space="0" w:color="auto"/>
                <w:bottom w:val="none" w:sz="0" w:space="0" w:color="auto"/>
                <w:right w:val="none" w:sz="0" w:space="0" w:color="auto"/>
              </w:divBdr>
            </w:div>
            <w:div w:id="810829853">
              <w:marLeft w:val="0"/>
              <w:marRight w:val="0"/>
              <w:marTop w:val="0"/>
              <w:marBottom w:val="0"/>
              <w:divBdr>
                <w:top w:val="none" w:sz="0" w:space="0" w:color="auto"/>
                <w:left w:val="none" w:sz="0" w:space="0" w:color="auto"/>
                <w:bottom w:val="none" w:sz="0" w:space="0" w:color="auto"/>
                <w:right w:val="none" w:sz="0" w:space="0" w:color="auto"/>
              </w:divBdr>
            </w:div>
          </w:divsChild>
        </w:div>
        <w:div w:id="56325463">
          <w:marLeft w:val="0"/>
          <w:marRight w:val="0"/>
          <w:marTop w:val="0"/>
          <w:marBottom w:val="0"/>
          <w:divBdr>
            <w:top w:val="none" w:sz="0" w:space="0" w:color="auto"/>
            <w:left w:val="none" w:sz="0" w:space="0" w:color="auto"/>
            <w:bottom w:val="none" w:sz="0" w:space="0" w:color="auto"/>
            <w:right w:val="none" w:sz="0" w:space="0" w:color="auto"/>
          </w:divBdr>
          <w:divsChild>
            <w:div w:id="205261720">
              <w:marLeft w:val="0"/>
              <w:marRight w:val="0"/>
              <w:marTop w:val="0"/>
              <w:marBottom w:val="0"/>
              <w:divBdr>
                <w:top w:val="none" w:sz="0" w:space="0" w:color="auto"/>
                <w:left w:val="none" w:sz="0" w:space="0" w:color="auto"/>
                <w:bottom w:val="none" w:sz="0" w:space="0" w:color="auto"/>
                <w:right w:val="none" w:sz="0" w:space="0" w:color="auto"/>
              </w:divBdr>
            </w:div>
            <w:div w:id="1282570842">
              <w:marLeft w:val="0"/>
              <w:marRight w:val="0"/>
              <w:marTop w:val="0"/>
              <w:marBottom w:val="0"/>
              <w:divBdr>
                <w:top w:val="none" w:sz="0" w:space="0" w:color="auto"/>
                <w:left w:val="none" w:sz="0" w:space="0" w:color="auto"/>
                <w:bottom w:val="none" w:sz="0" w:space="0" w:color="auto"/>
                <w:right w:val="none" w:sz="0" w:space="0" w:color="auto"/>
              </w:divBdr>
            </w:div>
            <w:div w:id="1424447427">
              <w:marLeft w:val="0"/>
              <w:marRight w:val="0"/>
              <w:marTop w:val="0"/>
              <w:marBottom w:val="0"/>
              <w:divBdr>
                <w:top w:val="none" w:sz="0" w:space="0" w:color="auto"/>
                <w:left w:val="none" w:sz="0" w:space="0" w:color="auto"/>
                <w:bottom w:val="none" w:sz="0" w:space="0" w:color="auto"/>
                <w:right w:val="none" w:sz="0" w:space="0" w:color="auto"/>
              </w:divBdr>
            </w:div>
            <w:div w:id="1948928185">
              <w:marLeft w:val="0"/>
              <w:marRight w:val="0"/>
              <w:marTop w:val="0"/>
              <w:marBottom w:val="0"/>
              <w:divBdr>
                <w:top w:val="none" w:sz="0" w:space="0" w:color="auto"/>
                <w:left w:val="none" w:sz="0" w:space="0" w:color="auto"/>
                <w:bottom w:val="none" w:sz="0" w:space="0" w:color="auto"/>
                <w:right w:val="none" w:sz="0" w:space="0" w:color="auto"/>
              </w:divBdr>
            </w:div>
            <w:div w:id="2052682540">
              <w:marLeft w:val="0"/>
              <w:marRight w:val="0"/>
              <w:marTop w:val="0"/>
              <w:marBottom w:val="0"/>
              <w:divBdr>
                <w:top w:val="none" w:sz="0" w:space="0" w:color="auto"/>
                <w:left w:val="none" w:sz="0" w:space="0" w:color="auto"/>
                <w:bottom w:val="none" w:sz="0" w:space="0" w:color="auto"/>
                <w:right w:val="none" w:sz="0" w:space="0" w:color="auto"/>
              </w:divBdr>
            </w:div>
          </w:divsChild>
        </w:div>
        <w:div w:id="74666953">
          <w:marLeft w:val="0"/>
          <w:marRight w:val="0"/>
          <w:marTop w:val="0"/>
          <w:marBottom w:val="0"/>
          <w:divBdr>
            <w:top w:val="none" w:sz="0" w:space="0" w:color="auto"/>
            <w:left w:val="none" w:sz="0" w:space="0" w:color="auto"/>
            <w:bottom w:val="none" w:sz="0" w:space="0" w:color="auto"/>
            <w:right w:val="none" w:sz="0" w:space="0" w:color="auto"/>
          </w:divBdr>
          <w:divsChild>
            <w:div w:id="1160657170">
              <w:marLeft w:val="0"/>
              <w:marRight w:val="0"/>
              <w:marTop w:val="0"/>
              <w:marBottom w:val="0"/>
              <w:divBdr>
                <w:top w:val="none" w:sz="0" w:space="0" w:color="auto"/>
                <w:left w:val="none" w:sz="0" w:space="0" w:color="auto"/>
                <w:bottom w:val="none" w:sz="0" w:space="0" w:color="auto"/>
                <w:right w:val="none" w:sz="0" w:space="0" w:color="auto"/>
              </w:divBdr>
            </w:div>
          </w:divsChild>
        </w:div>
        <w:div w:id="102845829">
          <w:marLeft w:val="0"/>
          <w:marRight w:val="0"/>
          <w:marTop w:val="0"/>
          <w:marBottom w:val="0"/>
          <w:divBdr>
            <w:top w:val="none" w:sz="0" w:space="0" w:color="auto"/>
            <w:left w:val="none" w:sz="0" w:space="0" w:color="auto"/>
            <w:bottom w:val="none" w:sz="0" w:space="0" w:color="auto"/>
            <w:right w:val="none" w:sz="0" w:space="0" w:color="auto"/>
          </w:divBdr>
          <w:divsChild>
            <w:div w:id="1553229520">
              <w:marLeft w:val="0"/>
              <w:marRight w:val="0"/>
              <w:marTop w:val="0"/>
              <w:marBottom w:val="0"/>
              <w:divBdr>
                <w:top w:val="none" w:sz="0" w:space="0" w:color="auto"/>
                <w:left w:val="none" w:sz="0" w:space="0" w:color="auto"/>
                <w:bottom w:val="none" w:sz="0" w:space="0" w:color="auto"/>
                <w:right w:val="none" w:sz="0" w:space="0" w:color="auto"/>
              </w:divBdr>
            </w:div>
            <w:div w:id="1639527211">
              <w:marLeft w:val="0"/>
              <w:marRight w:val="0"/>
              <w:marTop w:val="0"/>
              <w:marBottom w:val="0"/>
              <w:divBdr>
                <w:top w:val="none" w:sz="0" w:space="0" w:color="auto"/>
                <w:left w:val="none" w:sz="0" w:space="0" w:color="auto"/>
                <w:bottom w:val="none" w:sz="0" w:space="0" w:color="auto"/>
                <w:right w:val="none" w:sz="0" w:space="0" w:color="auto"/>
              </w:divBdr>
            </w:div>
            <w:div w:id="2121295101">
              <w:marLeft w:val="0"/>
              <w:marRight w:val="0"/>
              <w:marTop w:val="0"/>
              <w:marBottom w:val="0"/>
              <w:divBdr>
                <w:top w:val="none" w:sz="0" w:space="0" w:color="auto"/>
                <w:left w:val="none" w:sz="0" w:space="0" w:color="auto"/>
                <w:bottom w:val="none" w:sz="0" w:space="0" w:color="auto"/>
                <w:right w:val="none" w:sz="0" w:space="0" w:color="auto"/>
              </w:divBdr>
            </w:div>
          </w:divsChild>
        </w:div>
        <w:div w:id="125972025">
          <w:marLeft w:val="0"/>
          <w:marRight w:val="0"/>
          <w:marTop w:val="0"/>
          <w:marBottom w:val="0"/>
          <w:divBdr>
            <w:top w:val="none" w:sz="0" w:space="0" w:color="auto"/>
            <w:left w:val="none" w:sz="0" w:space="0" w:color="auto"/>
            <w:bottom w:val="none" w:sz="0" w:space="0" w:color="auto"/>
            <w:right w:val="none" w:sz="0" w:space="0" w:color="auto"/>
          </w:divBdr>
          <w:divsChild>
            <w:div w:id="253322870">
              <w:marLeft w:val="0"/>
              <w:marRight w:val="0"/>
              <w:marTop w:val="0"/>
              <w:marBottom w:val="0"/>
              <w:divBdr>
                <w:top w:val="none" w:sz="0" w:space="0" w:color="auto"/>
                <w:left w:val="none" w:sz="0" w:space="0" w:color="auto"/>
                <w:bottom w:val="none" w:sz="0" w:space="0" w:color="auto"/>
                <w:right w:val="none" w:sz="0" w:space="0" w:color="auto"/>
              </w:divBdr>
            </w:div>
            <w:div w:id="1165439399">
              <w:marLeft w:val="0"/>
              <w:marRight w:val="0"/>
              <w:marTop w:val="0"/>
              <w:marBottom w:val="0"/>
              <w:divBdr>
                <w:top w:val="none" w:sz="0" w:space="0" w:color="auto"/>
                <w:left w:val="none" w:sz="0" w:space="0" w:color="auto"/>
                <w:bottom w:val="none" w:sz="0" w:space="0" w:color="auto"/>
                <w:right w:val="none" w:sz="0" w:space="0" w:color="auto"/>
              </w:divBdr>
            </w:div>
            <w:div w:id="1382244916">
              <w:marLeft w:val="0"/>
              <w:marRight w:val="0"/>
              <w:marTop w:val="0"/>
              <w:marBottom w:val="0"/>
              <w:divBdr>
                <w:top w:val="none" w:sz="0" w:space="0" w:color="auto"/>
                <w:left w:val="none" w:sz="0" w:space="0" w:color="auto"/>
                <w:bottom w:val="none" w:sz="0" w:space="0" w:color="auto"/>
                <w:right w:val="none" w:sz="0" w:space="0" w:color="auto"/>
              </w:divBdr>
            </w:div>
            <w:div w:id="1573660136">
              <w:marLeft w:val="0"/>
              <w:marRight w:val="0"/>
              <w:marTop w:val="0"/>
              <w:marBottom w:val="0"/>
              <w:divBdr>
                <w:top w:val="none" w:sz="0" w:space="0" w:color="auto"/>
                <w:left w:val="none" w:sz="0" w:space="0" w:color="auto"/>
                <w:bottom w:val="none" w:sz="0" w:space="0" w:color="auto"/>
                <w:right w:val="none" w:sz="0" w:space="0" w:color="auto"/>
              </w:divBdr>
            </w:div>
            <w:div w:id="1716277112">
              <w:marLeft w:val="0"/>
              <w:marRight w:val="0"/>
              <w:marTop w:val="0"/>
              <w:marBottom w:val="0"/>
              <w:divBdr>
                <w:top w:val="none" w:sz="0" w:space="0" w:color="auto"/>
                <w:left w:val="none" w:sz="0" w:space="0" w:color="auto"/>
                <w:bottom w:val="none" w:sz="0" w:space="0" w:color="auto"/>
                <w:right w:val="none" w:sz="0" w:space="0" w:color="auto"/>
              </w:divBdr>
            </w:div>
          </w:divsChild>
        </w:div>
        <w:div w:id="136187237">
          <w:marLeft w:val="0"/>
          <w:marRight w:val="0"/>
          <w:marTop w:val="0"/>
          <w:marBottom w:val="0"/>
          <w:divBdr>
            <w:top w:val="none" w:sz="0" w:space="0" w:color="auto"/>
            <w:left w:val="none" w:sz="0" w:space="0" w:color="auto"/>
            <w:bottom w:val="none" w:sz="0" w:space="0" w:color="auto"/>
            <w:right w:val="none" w:sz="0" w:space="0" w:color="auto"/>
          </w:divBdr>
          <w:divsChild>
            <w:div w:id="282808005">
              <w:marLeft w:val="0"/>
              <w:marRight w:val="0"/>
              <w:marTop w:val="0"/>
              <w:marBottom w:val="0"/>
              <w:divBdr>
                <w:top w:val="none" w:sz="0" w:space="0" w:color="auto"/>
                <w:left w:val="none" w:sz="0" w:space="0" w:color="auto"/>
                <w:bottom w:val="none" w:sz="0" w:space="0" w:color="auto"/>
                <w:right w:val="none" w:sz="0" w:space="0" w:color="auto"/>
              </w:divBdr>
            </w:div>
          </w:divsChild>
        </w:div>
        <w:div w:id="144399540">
          <w:marLeft w:val="0"/>
          <w:marRight w:val="0"/>
          <w:marTop w:val="0"/>
          <w:marBottom w:val="0"/>
          <w:divBdr>
            <w:top w:val="none" w:sz="0" w:space="0" w:color="auto"/>
            <w:left w:val="none" w:sz="0" w:space="0" w:color="auto"/>
            <w:bottom w:val="none" w:sz="0" w:space="0" w:color="auto"/>
            <w:right w:val="none" w:sz="0" w:space="0" w:color="auto"/>
          </w:divBdr>
          <w:divsChild>
            <w:div w:id="783622356">
              <w:marLeft w:val="0"/>
              <w:marRight w:val="0"/>
              <w:marTop w:val="0"/>
              <w:marBottom w:val="0"/>
              <w:divBdr>
                <w:top w:val="none" w:sz="0" w:space="0" w:color="auto"/>
                <w:left w:val="none" w:sz="0" w:space="0" w:color="auto"/>
                <w:bottom w:val="none" w:sz="0" w:space="0" w:color="auto"/>
                <w:right w:val="none" w:sz="0" w:space="0" w:color="auto"/>
              </w:divBdr>
            </w:div>
            <w:div w:id="937757919">
              <w:marLeft w:val="0"/>
              <w:marRight w:val="0"/>
              <w:marTop w:val="0"/>
              <w:marBottom w:val="0"/>
              <w:divBdr>
                <w:top w:val="none" w:sz="0" w:space="0" w:color="auto"/>
                <w:left w:val="none" w:sz="0" w:space="0" w:color="auto"/>
                <w:bottom w:val="none" w:sz="0" w:space="0" w:color="auto"/>
                <w:right w:val="none" w:sz="0" w:space="0" w:color="auto"/>
              </w:divBdr>
            </w:div>
            <w:div w:id="978343220">
              <w:marLeft w:val="0"/>
              <w:marRight w:val="0"/>
              <w:marTop w:val="0"/>
              <w:marBottom w:val="0"/>
              <w:divBdr>
                <w:top w:val="none" w:sz="0" w:space="0" w:color="auto"/>
                <w:left w:val="none" w:sz="0" w:space="0" w:color="auto"/>
                <w:bottom w:val="none" w:sz="0" w:space="0" w:color="auto"/>
                <w:right w:val="none" w:sz="0" w:space="0" w:color="auto"/>
              </w:divBdr>
            </w:div>
            <w:div w:id="997534074">
              <w:marLeft w:val="0"/>
              <w:marRight w:val="0"/>
              <w:marTop w:val="0"/>
              <w:marBottom w:val="0"/>
              <w:divBdr>
                <w:top w:val="none" w:sz="0" w:space="0" w:color="auto"/>
                <w:left w:val="none" w:sz="0" w:space="0" w:color="auto"/>
                <w:bottom w:val="none" w:sz="0" w:space="0" w:color="auto"/>
                <w:right w:val="none" w:sz="0" w:space="0" w:color="auto"/>
              </w:divBdr>
            </w:div>
            <w:div w:id="1108622020">
              <w:marLeft w:val="0"/>
              <w:marRight w:val="0"/>
              <w:marTop w:val="0"/>
              <w:marBottom w:val="0"/>
              <w:divBdr>
                <w:top w:val="none" w:sz="0" w:space="0" w:color="auto"/>
                <w:left w:val="none" w:sz="0" w:space="0" w:color="auto"/>
                <w:bottom w:val="none" w:sz="0" w:space="0" w:color="auto"/>
                <w:right w:val="none" w:sz="0" w:space="0" w:color="auto"/>
              </w:divBdr>
            </w:div>
            <w:div w:id="1372338803">
              <w:marLeft w:val="0"/>
              <w:marRight w:val="0"/>
              <w:marTop w:val="0"/>
              <w:marBottom w:val="0"/>
              <w:divBdr>
                <w:top w:val="none" w:sz="0" w:space="0" w:color="auto"/>
                <w:left w:val="none" w:sz="0" w:space="0" w:color="auto"/>
                <w:bottom w:val="none" w:sz="0" w:space="0" w:color="auto"/>
                <w:right w:val="none" w:sz="0" w:space="0" w:color="auto"/>
              </w:divBdr>
            </w:div>
            <w:div w:id="1485858494">
              <w:marLeft w:val="0"/>
              <w:marRight w:val="0"/>
              <w:marTop w:val="0"/>
              <w:marBottom w:val="0"/>
              <w:divBdr>
                <w:top w:val="none" w:sz="0" w:space="0" w:color="auto"/>
                <w:left w:val="none" w:sz="0" w:space="0" w:color="auto"/>
                <w:bottom w:val="none" w:sz="0" w:space="0" w:color="auto"/>
                <w:right w:val="none" w:sz="0" w:space="0" w:color="auto"/>
              </w:divBdr>
            </w:div>
            <w:div w:id="1932547196">
              <w:marLeft w:val="0"/>
              <w:marRight w:val="0"/>
              <w:marTop w:val="0"/>
              <w:marBottom w:val="0"/>
              <w:divBdr>
                <w:top w:val="none" w:sz="0" w:space="0" w:color="auto"/>
                <w:left w:val="none" w:sz="0" w:space="0" w:color="auto"/>
                <w:bottom w:val="none" w:sz="0" w:space="0" w:color="auto"/>
                <w:right w:val="none" w:sz="0" w:space="0" w:color="auto"/>
              </w:divBdr>
            </w:div>
            <w:div w:id="2029410478">
              <w:marLeft w:val="0"/>
              <w:marRight w:val="0"/>
              <w:marTop w:val="0"/>
              <w:marBottom w:val="0"/>
              <w:divBdr>
                <w:top w:val="none" w:sz="0" w:space="0" w:color="auto"/>
                <w:left w:val="none" w:sz="0" w:space="0" w:color="auto"/>
                <w:bottom w:val="none" w:sz="0" w:space="0" w:color="auto"/>
                <w:right w:val="none" w:sz="0" w:space="0" w:color="auto"/>
              </w:divBdr>
            </w:div>
            <w:div w:id="2057660310">
              <w:marLeft w:val="0"/>
              <w:marRight w:val="0"/>
              <w:marTop w:val="0"/>
              <w:marBottom w:val="0"/>
              <w:divBdr>
                <w:top w:val="none" w:sz="0" w:space="0" w:color="auto"/>
                <w:left w:val="none" w:sz="0" w:space="0" w:color="auto"/>
                <w:bottom w:val="none" w:sz="0" w:space="0" w:color="auto"/>
                <w:right w:val="none" w:sz="0" w:space="0" w:color="auto"/>
              </w:divBdr>
            </w:div>
            <w:div w:id="2143037529">
              <w:marLeft w:val="0"/>
              <w:marRight w:val="0"/>
              <w:marTop w:val="0"/>
              <w:marBottom w:val="0"/>
              <w:divBdr>
                <w:top w:val="none" w:sz="0" w:space="0" w:color="auto"/>
                <w:left w:val="none" w:sz="0" w:space="0" w:color="auto"/>
                <w:bottom w:val="none" w:sz="0" w:space="0" w:color="auto"/>
                <w:right w:val="none" w:sz="0" w:space="0" w:color="auto"/>
              </w:divBdr>
            </w:div>
          </w:divsChild>
        </w:div>
        <w:div w:id="183180246">
          <w:marLeft w:val="0"/>
          <w:marRight w:val="0"/>
          <w:marTop w:val="0"/>
          <w:marBottom w:val="0"/>
          <w:divBdr>
            <w:top w:val="none" w:sz="0" w:space="0" w:color="auto"/>
            <w:left w:val="none" w:sz="0" w:space="0" w:color="auto"/>
            <w:bottom w:val="none" w:sz="0" w:space="0" w:color="auto"/>
            <w:right w:val="none" w:sz="0" w:space="0" w:color="auto"/>
          </w:divBdr>
          <w:divsChild>
            <w:div w:id="189035526">
              <w:marLeft w:val="0"/>
              <w:marRight w:val="0"/>
              <w:marTop w:val="0"/>
              <w:marBottom w:val="0"/>
              <w:divBdr>
                <w:top w:val="none" w:sz="0" w:space="0" w:color="auto"/>
                <w:left w:val="none" w:sz="0" w:space="0" w:color="auto"/>
                <w:bottom w:val="none" w:sz="0" w:space="0" w:color="auto"/>
                <w:right w:val="none" w:sz="0" w:space="0" w:color="auto"/>
              </w:divBdr>
            </w:div>
            <w:div w:id="206987158">
              <w:marLeft w:val="0"/>
              <w:marRight w:val="0"/>
              <w:marTop w:val="0"/>
              <w:marBottom w:val="0"/>
              <w:divBdr>
                <w:top w:val="none" w:sz="0" w:space="0" w:color="auto"/>
                <w:left w:val="none" w:sz="0" w:space="0" w:color="auto"/>
                <w:bottom w:val="none" w:sz="0" w:space="0" w:color="auto"/>
                <w:right w:val="none" w:sz="0" w:space="0" w:color="auto"/>
              </w:divBdr>
            </w:div>
            <w:div w:id="881017454">
              <w:marLeft w:val="0"/>
              <w:marRight w:val="0"/>
              <w:marTop w:val="0"/>
              <w:marBottom w:val="0"/>
              <w:divBdr>
                <w:top w:val="none" w:sz="0" w:space="0" w:color="auto"/>
                <w:left w:val="none" w:sz="0" w:space="0" w:color="auto"/>
                <w:bottom w:val="none" w:sz="0" w:space="0" w:color="auto"/>
                <w:right w:val="none" w:sz="0" w:space="0" w:color="auto"/>
              </w:divBdr>
            </w:div>
            <w:div w:id="1049186917">
              <w:marLeft w:val="0"/>
              <w:marRight w:val="0"/>
              <w:marTop w:val="0"/>
              <w:marBottom w:val="0"/>
              <w:divBdr>
                <w:top w:val="none" w:sz="0" w:space="0" w:color="auto"/>
                <w:left w:val="none" w:sz="0" w:space="0" w:color="auto"/>
                <w:bottom w:val="none" w:sz="0" w:space="0" w:color="auto"/>
                <w:right w:val="none" w:sz="0" w:space="0" w:color="auto"/>
              </w:divBdr>
            </w:div>
            <w:div w:id="1061639601">
              <w:marLeft w:val="0"/>
              <w:marRight w:val="0"/>
              <w:marTop w:val="0"/>
              <w:marBottom w:val="0"/>
              <w:divBdr>
                <w:top w:val="none" w:sz="0" w:space="0" w:color="auto"/>
                <w:left w:val="none" w:sz="0" w:space="0" w:color="auto"/>
                <w:bottom w:val="none" w:sz="0" w:space="0" w:color="auto"/>
                <w:right w:val="none" w:sz="0" w:space="0" w:color="auto"/>
              </w:divBdr>
            </w:div>
          </w:divsChild>
        </w:div>
        <w:div w:id="283005521">
          <w:marLeft w:val="0"/>
          <w:marRight w:val="0"/>
          <w:marTop w:val="0"/>
          <w:marBottom w:val="0"/>
          <w:divBdr>
            <w:top w:val="none" w:sz="0" w:space="0" w:color="auto"/>
            <w:left w:val="none" w:sz="0" w:space="0" w:color="auto"/>
            <w:bottom w:val="none" w:sz="0" w:space="0" w:color="auto"/>
            <w:right w:val="none" w:sz="0" w:space="0" w:color="auto"/>
          </w:divBdr>
          <w:divsChild>
            <w:div w:id="613178068">
              <w:marLeft w:val="0"/>
              <w:marRight w:val="0"/>
              <w:marTop w:val="0"/>
              <w:marBottom w:val="0"/>
              <w:divBdr>
                <w:top w:val="none" w:sz="0" w:space="0" w:color="auto"/>
                <w:left w:val="none" w:sz="0" w:space="0" w:color="auto"/>
                <w:bottom w:val="none" w:sz="0" w:space="0" w:color="auto"/>
                <w:right w:val="none" w:sz="0" w:space="0" w:color="auto"/>
              </w:divBdr>
            </w:div>
            <w:div w:id="977799617">
              <w:marLeft w:val="0"/>
              <w:marRight w:val="0"/>
              <w:marTop w:val="0"/>
              <w:marBottom w:val="0"/>
              <w:divBdr>
                <w:top w:val="none" w:sz="0" w:space="0" w:color="auto"/>
                <w:left w:val="none" w:sz="0" w:space="0" w:color="auto"/>
                <w:bottom w:val="none" w:sz="0" w:space="0" w:color="auto"/>
                <w:right w:val="none" w:sz="0" w:space="0" w:color="auto"/>
              </w:divBdr>
            </w:div>
            <w:div w:id="1245188927">
              <w:marLeft w:val="0"/>
              <w:marRight w:val="0"/>
              <w:marTop w:val="0"/>
              <w:marBottom w:val="0"/>
              <w:divBdr>
                <w:top w:val="none" w:sz="0" w:space="0" w:color="auto"/>
                <w:left w:val="none" w:sz="0" w:space="0" w:color="auto"/>
                <w:bottom w:val="none" w:sz="0" w:space="0" w:color="auto"/>
                <w:right w:val="none" w:sz="0" w:space="0" w:color="auto"/>
              </w:divBdr>
            </w:div>
            <w:div w:id="1713115498">
              <w:marLeft w:val="0"/>
              <w:marRight w:val="0"/>
              <w:marTop w:val="0"/>
              <w:marBottom w:val="0"/>
              <w:divBdr>
                <w:top w:val="none" w:sz="0" w:space="0" w:color="auto"/>
                <w:left w:val="none" w:sz="0" w:space="0" w:color="auto"/>
                <w:bottom w:val="none" w:sz="0" w:space="0" w:color="auto"/>
                <w:right w:val="none" w:sz="0" w:space="0" w:color="auto"/>
              </w:divBdr>
            </w:div>
            <w:div w:id="2087989530">
              <w:marLeft w:val="0"/>
              <w:marRight w:val="0"/>
              <w:marTop w:val="0"/>
              <w:marBottom w:val="0"/>
              <w:divBdr>
                <w:top w:val="none" w:sz="0" w:space="0" w:color="auto"/>
                <w:left w:val="none" w:sz="0" w:space="0" w:color="auto"/>
                <w:bottom w:val="none" w:sz="0" w:space="0" w:color="auto"/>
                <w:right w:val="none" w:sz="0" w:space="0" w:color="auto"/>
              </w:divBdr>
            </w:div>
          </w:divsChild>
        </w:div>
        <w:div w:id="347561837">
          <w:marLeft w:val="0"/>
          <w:marRight w:val="0"/>
          <w:marTop w:val="0"/>
          <w:marBottom w:val="0"/>
          <w:divBdr>
            <w:top w:val="none" w:sz="0" w:space="0" w:color="auto"/>
            <w:left w:val="none" w:sz="0" w:space="0" w:color="auto"/>
            <w:bottom w:val="none" w:sz="0" w:space="0" w:color="auto"/>
            <w:right w:val="none" w:sz="0" w:space="0" w:color="auto"/>
          </w:divBdr>
          <w:divsChild>
            <w:div w:id="540433815">
              <w:marLeft w:val="0"/>
              <w:marRight w:val="0"/>
              <w:marTop w:val="0"/>
              <w:marBottom w:val="0"/>
              <w:divBdr>
                <w:top w:val="none" w:sz="0" w:space="0" w:color="auto"/>
                <w:left w:val="none" w:sz="0" w:space="0" w:color="auto"/>
                <w:bottom w:val="none" w:sz="0" w:space="0" w:color="auto"/>
                <w:right w:val="none" w:sz="0" w:space="0" w:color="auto"/>
              </w:divBdr>
            </w:div>
          </w:divsChild>
        </w:div>
        <w:div w:id="368576727">
          <w:marLeft w:val="0"/>
          <w:marRight w:val="0"/>
          <w:marTop w:val="0"/>
          <w:marBottom w:val="0"/>
          <w:divBdr>
            <w:top w:val="none" w:sz="0" w:space="0" w:color="auto"/>
            <w:left w:val="none" w:sz="0" w:space="0" w:color="auto"/>
            <w:bottom w:val="none" w:sz="0" w:space="0" w:color="auto"/>
            <w:right w:val="none" w:sz="0" w:space="0" w:color="auto"/>
          </w:divBdr>
          <w:divsChild>
            <w:div w:id="303199804">
              <w:marLeft w:val="0"/>
              <w:marRight w:val="0"/>
              <w:marTop w:val="0"/>
              <w:marBottom w:val="0"/>
              <w:divBdr>
                <w:top w:val="none" w:sz="0" w:space="0" w:color="auto"/>
                <w:left w:val="none" w:sz="0" w:space="0" w:color="auto"/>
                <w:bottom w:val="none" w:sz="0" w:space="0" w:color="auto"/>
                <w:right w:val="none" w:sz="0" w:space="0" w:color="auto"/>
              </w:divBdr>
            </w:div>
          </w:divsChild>
        </w:div>
        <w:div w:id="401804674">
          <w:marLeft w:val="0"/>
          <w:marRight w:val="0"/>
          <w:marTop w:val="0"/>
          <w:marBottom w:val="0"/>
          <w:divBdr>
            <w:top w:val="none" w:sz="0" w:space="0" w:color="auto"/>
            <w:left w:val="none" w:sz="0" w:space="0" w:color="auto"/>
            <w:bottom w:val="none" w:sz="0" w:space="0" w:color="auto"/>
            <w:right w:val="none" w:sz="0" w:space="0" w:color="auto"/>
          </w:divBdr>
          <w:divsChild>
            <w:div w:id="398284249">
              <w:marLeft w:val="0"/>
              <w:marRight w:val="0"/>
              <w:marTop w:val="0"/>
              <w:marBottom w:val="0"/>
              <w:divBdr>
                <w:top w:val="none" w:sz="0" w:space="0" w:color="auto"/>
                <w:left w:val="none" w:sz="0" w:space="0" w:color="auto"/>
                <w:bottom w:val="none" w:sz="0" w:space="0" w:color="auto"/>
                <w:right w:val="none" w:sz="0" w:space="0" w:color="auto"/>
              </w:divBdr>
            </w:div>
          </w:divsChild>
        </w:div>
        <w:div w:id="476261144">
          <w:marLeft w:val="0"/>
          <w:marRight w:val="0"/>
          <w:marTop w:val="0"/>
          <w:marBottom w:val="0"/>
          <w:divBdr>
            <w:top w:val="none" w:sz="0" w:space="0" w:color="auto"/>
            <w:left w:val="none" w:sz="0" w:space="0" w:color="auto"/>
            <w:bottom w:val="none" w:sz="0" w:space="0" w:color="auto"/>
            <w:right w:val="none" w:sz="0" w:space="0" w:color="auto"/>
          </w:divBdr>
          <w:divsChild>
            <w:div w:id="1284578093">
              <w:marLeft w:val="0"/>
              <w:marRight w:val="0"/>
              <w:marTop w:val="0"/>
              <w:marBottom w:val="0"/>
              <w:divBdr>
                <w:top w:val="none" w:sz="0" w:space="0" w:color="auto"/>
                <w:left w:val="none" w:sz="0" w:space="0" w:color="auto"/>
                <w:bottom w:val="none" w:sz="0" w:space="0" w:color="auto"/>
                <w:right w:val="none" w:sz="0" w:space="0" w:color="auto"/>
              </w:divBdr>
            </w:div>
          </w:divsChild>
        </w:div>
        <w:div w:id="500585468">
          <w:marLeft w:val="0"/>
          <w:marRight w:val="0"/>
          <w:marTop w:val="0"/>
          <w:marBottom w:val="0"/>
          <w:divBdr>
            <w:top w:val="none" w:sz="0" w:space="0" w:color="auto"/>
            <w:left w:val="none" w:sz="0" w:space="0" w:color="auto"/>
            <w:bottom w:val="none" w:sz="0" w:space="0" w:color="auto"/>
            <w:right w:val="none" w:sz="0" w:space="0" w:color="auto"/>
          </w:divBdr>
          <w:divsChild>
            <w:div w:id="695235222">
              <w:marLeft w:val="0"/>
              <w:marRight w:val="0"/>
              <w:marTop w:val="0"/>
              <w:marBottom w:val="0"/>
              <w:divBdr>
                <w:top w:val="none" w:sz="0" w:space="0" w:color="auto"/>
                <w:left w:val="none" w:sz="0" w:space="0" w:color="auto"/>
                <w:bottom w:val="none" w:sz="0" w:space="0" w:color="auto"/>
                <w:right w:val="none" w:sz="0" w:space="0" w:color="auto"/>
              </w:divBdr>
            </w:div>
          </w:divsChild>
        </w:div>
        <w:div w:id="523323426">
          <w:marLeft w:val="0"/>
          <w:marRight w:val="0"/>
          <w:marTop w:val="0"/>
          <w:marBottom w:val="0"/>
          <w:divBdr>
            <w:top w:val="none" w:sz="0" w:space="0" w:color="auto"/>
            <w:left w:val="none" w:sz="0" w:space="0" w:color="auto"/>
            <w:bottom w:val="none" w:sz="0" w:space="0" w:color="auto"/>
            <w:right w:val="none" w:sz="0" w:space="0" w:color="auto"/>
          </w:divBdr>
          <w:divsChild>
            <w:div w:id="145972391">
              <w:marLeft w:val="0"/>
              <w:marRight w:val="0"/>
              <w:marTop w:val="0"/>
              <w:marBottom w:val="0"/>
              <w:divBdr>
                <w:top w:val="none" w:sz="0" w:space="0" w:color="auto"/>
                <w:left w:val="none" w:sz="0" w:space="0" w:color="auto"/>
                <w:bottom w:val="none" w:sz="0" w:space="0" w:color="auto"/>
                <w:right w:val="none" w:sz="0" w:space="0" w:color="auto"/>
              </w:divBdr>
            </w:div>
          </w:divsChild>
        </w:div>
        <w:div w:id="558319228">
          <w:marLeft w:val="0"/>
          <w:marRight w:val="0"/>
          <w:marTop w:val="0"/>
          <w:marBottom w:val="0"/>
          <w:divBdr>
            <w:top w:val="none" w:sz="0" w:space="0" w:color="auto"/>
            <w:left w:val="none" w:sz="0" w:space="0" w:color="auto"/>
            <w:bottom w:val="none" w:sz="0" w:space="0" w:color="auto"/>
            <w:right w:val="none" w:sz="0" w:space="0" w:color="auto"/>
          </w:divBdr>
          <w:divsChild>
            <w:div w:id="1328940283">
              <w:marLeft w:val="0"/>
              <w:marRight w:val="0"/>
              <w:marTop w:val="0"/>
              <w:marBottom w:val="0"/>
              <w:divBdr>
                <w:top w:val="none" w:sz="0" w:space="0" w:color="auto"/>
                <w:left w:val="none" w:sz="0" w:space="0" w:color="auto"/>
                <w:bottom w:val="none" w:sz="0" w:space="0" w:color="auto"/>
                <w:right w:val="none" w:sz="0" w:space="0" w:color="auto"/>
              </w:divBdr>
            </w:div>
          </w:divsChild>
        </w:div>
        <w:div w:id="641081369">
          <w:marLeft w:val="0"/>
          <w:marRight w:val="0"/>
          <w:marTop w:val="0"/>
          <w:marBottom w:val="0"/>
          <w:divBdr>
            <w:top w:val="none" w:sz="0" w:space="0" w:color="auto"/>
            <w:left w:val="none" w:sz="0" w:space="0" w:color="auto"/>
            <w:bottom w:val="none" w:sz="0" w:space="0" w:color="auto"/>
            <w:right w:val="none" w:sz="0" w:space="0" w:color="auto"/>
          </w:divBdr>
          <w:divsChild>
            <w:div w:id="1103299749">
              <w:marLeft w:val="0"/>
              <w:marRight w:val="0"/>
              <w:marTop w:val="0"/>
              <w:marBottom w:val="0"/>
              <w:divBdr>
                <w:top w:val="none" w:sz="0" w:space="0" w:color="auto"/>
                <w:left w:val="none" w:sz="0" w:space="0" w:color="auto"/>
                <w:bottom w:val="none" w:sz="0" w:space="0" w:color="auto"/>
                <w:right w:val="none" w:sz="0" w:space="0" w:color="auto"/>
              </w:divBdr>
            </w:div>
          </w:divsChild>
        </w:div>
        <w:div w:id="720636053">
          <w:marLeft w:val="0"/>
          <w:marRight w:val="0"/>
          <w:marTop w:val="0"/>
          <w:marBottom w:val="0"/>
          <w:divBdr>
            <w:top w:val="none" w:sz="0" w:space="0" w:color="auto"/>
            <w:left w:val="none" w:sz="0" w:space="0" w:color="auto"/>
            <w:bottom w:val="none" w:sz="0" w:space="0" w:color="auto"/>
            <w:right w:val="none" w:sz="0" w:space="0" w:color="auto"/>
          </w:divBdr>
          <w:divsChild>
            <w:div w:id="754789660">
              <w:marLeft w:val="0"/>
              <w:marRight w:val="0"/>
              <w:marTop w:val="0"/>
              <w:marBottom w:val="0"/>
              <w:divBdr>
                <w:top w:val="none" w:sz="0" w:space="0" w:color="auto"/>
                <w:left w:val="none" w:sz="0" w:space="0" w:color="auto"/>
                <w:bottom w:val="none" w:sz="0" w:space="0" w:color="auto"/>
                <w:right w:val="none" w:sz="0" w:space="0" w:color="auto"/>
              </w:divBdr>
            </w:div>
            <w:div w:id="1361278849">
              <w:marLeft w:val="0"/>
              <w:marRight w:val="0"/>
              <w:marTop w:val="0"/>
              <w:marBottom w:val="0"/>
              <w:divBdr>
                <w:top w:val="none" w:sz="0" w:space="0" w:color="auto"/>
                <w:left w:val="none" w:sz="0" w:space="0" w:color="auto"/>
                <w:bottom w:val="none" w:sz="0" w:space="0" w:color="auto"/>
                <w:right w:val="none" w:sz="0" w:space="0" w:color="auto"/>
              </w:divBdr>
            </w:div>
          </w:divsChild>
        </w:div>
        <w:div w:id="729426776">
          <w:marLeft w:val="0"/>
          <w:marRight w:val="0"/>
          <w:marTop w:val="0"/>
          <w:marBottom w:val="0"/>
          <w:divBdr>
            <w:top w:val="none" w:sz="0" w:space="0" w:color="auto"/>
            <w:left w:val="none" w:sz="0" w:space="0" w:color="auto"/>
            <w:bottom w:val="none" w:sz="0" w:space="0" w:color="auto"/>
            <w:right w:val="none" w:sz="0" w:space="0" w:color="auto"/>
          </w:divBdr>
          <w:divsChild>
            <w:div w:id="866018349">
              <w:marLeft w:val="0"/>
              <w:marRight w:val="0"/>
              <w:marTop w:val="0"/>
              <w:marBottom w:val="0"/>
              <w:divBdr>
                <w:top w:val="none" w:sz="0" w:space="0" w:color="auto"/>
                <w:left w:val="none" w:sz="0" w:space="0" w:color="auto"/>
                <w:bottom w:val="none" w:sz="0" w:space="0" w:color="auto"/>
                <w:right w:val="none" w:sz="0" w:space="0" w:color="auto"/>
              </w:divBdr>
            </w:div>
          </w:divsChild>
        </w:div>
        <w:div w:id="737283748">
          <w:marLeft w:val="0"/>
          <w:marRight w:val="0"/>
          <w:marTop w:val="0"/>
          <w:marBottom w:val="0"/>
          <w:divBdr>
            <w:top w:val="none" w:sz="0" w:space="0" w:color="auto"/>
            <w:left w:val="none" w:sz="0" w:space="0" w:color="auto"/>
            <w:bottom w:val="none" w:sz="0" w:space="0" w:color="auto"/>
            <w:right w:val="none" w:sz="0" w:space="0" w:color="auto"/>
          </w:divBdr>
          <w:divsChild>
            <w:div w:id="457336363">
              <w:marLeft w:val="0"/>
              <w:marRight w:val="0"/>
              <w:marTop w:val="0"/>
              <w:marBottom w:val="0"/>
              <w:divBdr>
                <w:top w:val="none" w:sz="0" w:space="0" w:color="auto"/>
                <w:left w:val="none" w:sz="0" w:space="0" w:color="auto"/>
                <w:bottom w:val="none" w:sz="0" w:space="0" w:color="auto"/>
                <w:right w:val="none" w:sz="0" w:space="0" w:color="auto"/>
              </w:divBdr>
            </w:div>
          </w:divsChild>
        </w:div>
        <w:div w:id="810168901">
          <w:marLeft w:val="0"/>
          <w:marRight w:val="0"/>
          <w:marTop w:val="0"/>
          <w:marBottom w:val="0"/>
          <w:divBdr>
            <w:top w:val="none" w:sz="0" w:space="0" w:color="auto"/>
            <w:left w:val="none" w:sz="0" w:space="0" w:color="auto"/>
            <w:bottom w:val="none" w:sz="0" w:space="0" w:color="auto"/>
            <w:right w:val="none" w:sz="0" w:space="0" w:color="auto"/>
          </w:divBdr>
          <w:divsChild>
            <w:div w:id="1764644294">
              <w:marLeft w:val="0"/>
              <w:marRight w:val="0"/>
              <w:marTop w:val="0"/>
              <w:marBottom w:val="0"/>
              <w:divBdr>
                <w:top w:val="none" w:sz="0" w:space="0" w:color="auto"/>
                <w:left w:val="none" w:sz="0" w:space="0" w:color="auto"/>
                <w:bottom w:val="none" w:sz="0" w:space="0" w:color="auto"/>
                <w:right w:val="none" w:sz="0" w:space="0" w:color="auto"/>
              </w:divBdr>
            </w:div>
          </w:divsChild>
        </w:div>
        <w:div w:id="834102927">
          <w:marLeft w:val="0"/>
          <w:marRight w:val="0"/>
          <w:marTop w:val="0"/>
          <w:marBottom w:val="0"/>
          <w:divBdr>
            <w:top w:val="none" w:sz="0" w:space="0" w:color="auto"/>
            <w:left w:val="none" w:sz="0" w:space="0" w:color="auto"/>
            <w:bottom w:val="none" w:sz="0" w:space="0" w:color="auto"/>
            <w:right w:val="none" w:sz="0" w:space="0" w:color="auto"/>
          </w:divBdr>
          <w:divsChild>
            <w:div w:id="1253511023">
              <w:marLeft w:val="0"/>
              <w:marRight w:val="0"/>
              <w:marTop w:val="0"/>
              <w:marBottom w:val="0"/>
              <w:divBdr>
                <w:top w:val="none" w:sz="0" w:space="0" w:color="auto"/>
                <w:left w:val="none" w:sz="0" w:space="0" w:color="auto"/>
                <w:bottom w:val="none" w:sz="0" w:space="0" w:color="auto"/>
                <w:right w:val="none" w:sz="0" w:space="0" w:color="auto"/>
              </w:divBdr>
            </w:div>
          </w:divsChild>
        </w:div>
        <w:div w:id="930818266">
          <w:marLeft w:val="0"/>
          <w:marRight w:val="0"/>
          <w:marTop w:val="0"/>
          <w:marBottom w:val="0"/>
          <w:divBdr>
            <w:top w:val="none" w:sz="0" w:space="0" w:color="auto"/>
            <w:left w:val="none" w:sz="0" w:space="0" w:color="auto"/>
            <w:bottom w:val="none" w:sz="0" w:space="0" w:color="auto"/>
            <w:right w:val="none" w:sz="0" w:space="0" w:color="auto"/>
          </w:divBdr>
          <w:divsChild>
            <w:div w:id="855389176">
              <w:marLeft w:val="0"/>
              <w:marRight w:val="0"/>
              <w:marTop w:val="0"/>
              <w:marBottom w:val="0"/>
              <w:divBdr>
                <w:top w:val="none" w:sz="0" w:space="0" w:color="auto"/>
                <w:left w:val="none" w:sz="0" w:space="0" w:color="auto"/>
                <w:bottom w:val="none" w:sz="0" w:space="0" w:color="auto"/>
                <w:right w:val="none" w:sz="0" w:space="0" w:color="auto"/>
              </w:divBdr>
            </w:div>
          </w:divsChild>
        </w:div>
        <w:div w:id="938756760">
          <w:marLeft w:val="0"/>
          <w:marRight w:val="0"/>
          <w:marTop w:val="0"/>
          <w:marBottom w:val="0"/>
          <w:divBdr>
            <w:top w:val="none" w:sz="0" w:space="0" w:color="auto"/>
            <w:left w:val="none" w:sz="0" w:space="0" w:color="auto"/>
            <w:bottom w:val="none" w:sz="0" w:space="0" w:color="auto"/>
            <w:right w:val="none" w:sz="0" w:space="0" w:color="auto"/>
          </w:divBdr>
          <w:divsChild>
            <w:div w:id="100998921">
              <w:marLeft w:val="0"/>
              <w:marRight w:val="0"/>
              <w:marTop w:val="0"/>
              <w:marBottom w:val="0"/>
              <w:divBdr>
                <w:top w:val="none" w:sz="0" w:space="0" w:color="auto"/>
                <w:left w:val="none" w:sz="0" w:space="0" w:color="auto"/>
                <w:bottom w:val="none" w:sz="0" w:space="0" w:color="auto"/>
                <w:right w:val="none" w:sz="0" w:space="0" w:color="auto"/>
              </w:divBdr>
            </w:div>
          </w:divsChild>
        </w:div>
        <w:div w:id="974067008">
          <w:marLeft w:val="0"/>
          <w:marRight w:val="0"/>
          <w:marTop w:val="0"/>
          <w:marBottom w:val="0"/>
          <w:divBdr>
            <w:top w:val="none" w:sz="0" w:space="0" w:color="auto"/>
            <w:left w:val="none" w:sz="0" w:space="0" w:color="auto"/>
            <w:bottom w:val="none" w:sz="0" w:space="0" w:color="auto"/>
            <w:right w:val="none" w:sz="0" w:space="0" w:color="auto"/>
          </w:divBdr>
          <w:divsChild>
            <w:div w:id="1110129629">
              <w:marLeft w:val="0"/>
              <w:marRight w:val="0"/>
              <w:marTop w:val="0"/>
              <w:marBottom w:val="0"/>
              <w:divBdr>
                <w:top w:val="none" w:sz="0" w:space="0" w:color="auto"/>
                <w:left w:val="none" w:sz="0" w:space="0" w:color="auto"/>
                <w:bottom w:val="none" w:sz="0" w:space="0" w:color="auto"/>
                <w:right w:val="none" w:sz="0" w:space="0" w:color="auto"/>
              </w:divBdr>
            </w:div>
          </w:divsChild>
        </w:div>
        <w:div w:id="1060640298">
          <w:marLeft w:val="0"/>
          <w:marRight w:val="0"/>
          <w:marTop w:val="0"/>
          <w:marBottom w:val="0"/>
          <w:divBdr>
            <w:top w:val="none" w:sz="0" w:space="0" w:color="auto"/>
            <w:left w:val="none" w:sz="0" w:space="0" w:color="auto"/>
            <w:bottom w:val="none" w:sz="0" w:space="0" w:color="auto"/>
            <w:right w:val="none" w:sz="0" w:space="0" w:color="auto"/>
          </w:divBdr>
          <w:divsChild>
            <w:div w:id="1042829063">
              <w:marLeft w:val="0"/>
              <w:marRight w:val="0"/>
              <w:marTop w:val="0"/>
              <w:marBottom w:val="0"/>
              <w:divBdr>
                <w:top w:val="none" w:sz="0" w:space="0" w:color="auto"/>
                <w:left w:val="none" w:sz="0" w:space="0" w:color="auto"/>
                <w:bottom w:val="none" w:sz="0" w:space="0" w:color="auto"/>
                <w:right w:val="none" w:sz="0" w:space="0" w:color="auto"/>
              </w:divBdr>
            </w:div>
            <w:div w:id="1570848640">
              <w:marLeft w:val="0"/>
              <w:marRight w:val="0"/>
              <w:marTop w:val="0"/>
              <w:marBottom w:val="0"/>
              <w:divBdr>
                <w:top w:val="none" w:sz="0" w:space="0" w:color="auto"/>
                <w:left w:val="none" w:sz="0" w:space="0" w:color="auto"/>
                <w:bottom w:val="none" w:sz="0" w:space="0" w:color="auto"/>
                <w:right w:val="none" w:sz="0" w:space="0" w:color="auto"/>
              </w:divBdr>
            </w:div>
          </w:divsChild>
        </w:div>
        <w:div w:id="1085566084">
          <w:marLeft w:val="0"/>
          <w:marRight w:val="0"/>
          <w:marTop w:val="0"/>
          <w:marBottom w:val="0"/>
          <w:divBdr>
            <w:top w:val="none" w:sz="0" w:space="0" w:color="auto"/>
            <w:left w:val="none" w:sz="0" w:space="0" w:color="auto"/>
            <w:bottom w:val="none" w:sz="0" w:space="0" w:color="auto"/>
            <w:right w:val="none" w:sz="0" w:space="0" w:color="auto"/>
          </w:divBdr>
          <w:divsChild>
            <w:div w:id="158817640">
              <w:marLeft w:val="0"/>
              <w:marRight w:val="0"/>
              <w:marTop w:val="0"/>
              <w:marBottom w:val="0"/>
              <w:divBdr>
                <w:top w:val="none" w:sz="0" w:space="0" w:color="auto"/>
                <w:left w:val="none" w:sz="0" w:space="0" w:color="auto"/>
                <w:bottom w:val="none" w:sz="0" w:space="0" w:color="auto"/>
                <w:right w:val="none" w:sz="0" w:space="0" w:color="auto"/>
              </w:divBdr>
            </w:div>
            <w:div w:id="247731904">
              <w:marLeft w:val="0"/>
              <w:marRight w:val="0"/>
              <w:marTop w:val="0"/>
              <w:marBottom w:val="0"/>
              <w:divBdr>
                <w:top w:val="none" w:sz="0" w:space="0" w:color="auto"/>
                <w:left w:val="none" w:sz="0" w:space="0" w:color="auto"/>
                <w:bottom w:val="none" w:sz="0" w:space="0" w:color="auto"/>
                <w:right w:val="none" w:sz="0" w:space="0" w:color="auto"/>
              </w:divBdr>
            </w:div>
            <w:div w:id="304510788">
              <w:marLeft w:val="0"/>
              <w:marRight w:val="0"/>
              <w:marTop w:val="0"/>
              <w:marBottom w:val="0"/>
              <w:divBdr>
                <w:top w:val="none" w:sz="0" w:space="0" w:color="auto"/>
                <w:left w:val="none" w:sz="0" w:space="0" w:color="auto"/>
                <w:bottom w:val="none" w:sz="0" w:space="0" w:color="auto"/>
                <w:right w:val="none" w:sz="0" w:space="0" w:color="auto"/>
              </w:divBdr>
            </w:div>
            <w:div w:id="471674410">
              <w:marLeft w:val="0"/>
              <w:marRight w:val="0"/>
              <w:marTop w:val="0"/>
              <w:marBottom w:val="0"/>
              <w:divBdr>
                <w:top w:val="none" w:sz="0" w:space="0" w:color="auto"/>
                <w:left w:val="none" w:sz="0" w:space="0" w:color="auto"/>
                <w:bottom w:val="none" w:sz="0" w:space="0" w:color="auto"/>
                <w:right w:val="none" w:sz="0" w:space="0" w:color="auto"/>
              </w:divBdr>
            </w:div>
            <w:div w:id="529027285">
              <w:marLeft w:val="0"/>
              <w:marRight w:val="0"/>
              <w:marTop w:val="0"/>
              <w:marBottom w:val="0"/>
              <w:divBdr>
                <w:top w:val="none" w:sz="0" w:space="0" w:color="auto"/>
                <w:left w:val="none" w:sz="0" w:space="0" w:color="auto"/>
                <w:bottom w:val="none" w:sz="0" w:space="0" w:color="auto"/>
                <w:right w:val="none" w:sz="0" w:space="0" w:color="auto"/>
              </w:divBdr>
            </w:div>
            <w:div w:id="1223522237">
              <w:marLeft w:val="0"/>
              <w:marRight w:val="0"/>
              <w:marTop w:val="0"/>
              <w:marBottom w:val="0"/>
              <w:divBdr>
                <w:top w:val="none" w:sz="0" w:space="0" w:color="auto"/>
                <w:left w:val="none" w:sz="0" w:space="0" w:color="auto"/>
                <w:bottom w:val="none" w:sz="0" w:space="0" w:color="auto"/>
                <w:right w:val="none" w:sz="0" w:space="0" w:color="auto"/>
              </w:divBdr>
            </w:div>
          </w:divsChild>
        </w:div>
        <w:div w:id="1102991631">
          <w:marLeft w:val="0"/>
          <w:marRight w:val="0"/>
          <w:marTop w:val="0"/>
          <w:marBottom w:val="0"/>
          <w:divBdr>
            <w:top w:val="none" w:sz="0" w:space="0" w:color="auto"/>
            <w:left w:val="none" w:sz="0" w:space="0" w:color="auto"/>
            <w:bottom w:val="none" w:sz="0" w:space="0" w:color="auto"/>
            <w:right w:val="none" w:sz="0" w:space="0" w:color="auto"/>
          </w:divBdr>
          <w:divsChild>
            <w:div w:id="141118648">
              <w:marLeft w:val="0"/>
              <w:marRight w:val="0"/>
              <w:marTop w:val="0"/>
              <w:marBottom w:val="0"/>
              <w:divBdr>
                <w:top w:val="none" w:sz="0" w:space="0" w:color="auto"/>
                <w:left w:val="none" w:sz="0" w:space="0" w:color="auto"/>
                <w:bottom w:val="none" w:sz="0" w:space="0" w:color="auto"/>
                <w:right w:val="none" w:sz="0" w:space="0" w:color="auto"/>
              </w:divBdr>
            </w:div>
            <w:div w:id="358507240">
              <w:marLeft w:val="0"/>
              <w:marRight w:val="0"/>
              <w:marTop w:val="0"/>
              <w:marBottom w:val="0"/>
              <w:divBdr>
                <w:top w:val="none" w:sz="0" w:space="0" w:color="auto"/>
                <w:left w:val="none" w:sz="0" w:space="0" w:color="auto"/>
                <w:bottom w:val="none" w:sz="0" w:space="0" w:color="auto"/>
                <w:right w:val="none" w:sz="0" w:space="0" w:color="auto"/>
              </w:divBdr>
            </w:div>
          </w:divsChild>
        </w:div>
        <w:div w:id="1234047333">
          <w:marLeft w:val="0"/>
          <w:marRight w:val="0"/>
          <w:marTop w:val="0"/>
          <w:marBottom w:val="0"/>
          <w:divBdr>
            <w:top w:val="none" w:sz="0" w:space="0" w:color="auto"/>
            <w:left w:val="none" w:sz="0" w:space="0" w:color="auto"/>
            <w:bottom w:val="none" w:sz="0" w:space="0" w:color="auto"/>
            <w:right w:val="none" w:sz="0" w:space="0" w:color="auto"/>
          </w:divBdr>
          <w:divsChild>
            <w:div w:id="2064022185">
              <w:marLeft w:val="0"/>
              <w:marRight w:val="0"/>
              <w:marTop w:val="0"/>
              <w:marBottom w:val="0"/>
              <w:divBdr>
                <w:top w:val="none" w:sz="0" w:space="0" w:color="auto"/>
                <w:left w:val="none" w:sz="0" w:space="0" w:color="auto"/>
                <w:bottom w:val="none" w:sz="0" w:space="0" w:color="auto"/>
                <w:right w:val="none" w:sz="0" w:space="0" w:color="auto"/>
              </w:divBdr>
            </w:div>
          </w:divsChild>
        </w:div>
        <w:div w:id="1258060068">
          <w:marLeft w:val="0"/>
          <w:marRight w:val="0"/>
          <w:marTop w:val="0"/>
          <w:marBottom w:val="0"/>
          <w:divBdr>
            <w:top w:val="none" w:sz="0" w:space="0" w:color="auto"/>
            <w:left w:val="none" w:sz="0" w:space="0" w:color="auto"/>
            <w:bottom w:val="none" w:sz="0" w:space="0" w:color="auto"/>
            <w:right w:val="none" w:sz="0" w:space="0" w:color="auto"/>
          </w:divBdr>
          <w:divsChild>
            <w:div w:id="1153838899">
              <w:marLeft w:val="0"/>
              <w:marRight w:val="0"/>
              <w:marTop w:val="0"/>
              <w:marBottom w:val="0"/>
              <w:divBdr>
                <w:top w:val="none" w:sz="0" w:space="0" w:color="auto"/>
                <w:left w:val="none" w:sz="0" w:space="0" w:color="auto"/>
                <w:bottom w:val="none" w:sz="0" w:space="0" w:color="auto"/>
                <w:right w:val="none" w:sz="0" w:space="0" w:color="auto"/>
              </w:divBdr>
            </w:div>
          </w:divsChild>
        </w:div>
        <w:div w:id="1266231923">
          <w:marLeft w:val="0"/>
          <w:marRight w:val="0"/>
          <w:marTop w:val="0"/>
          <w:marBottom w:val="0"/>
          <w:divBdr>
            <w:top w:val="none" w:sz="0" w:space="0" w:color="auto"/>
            <w:left w:val="none" w:sz="0" w:space="0" w:color="auto"/>
            <w:bottom w:val="none" w:sz="0" w:space="0" w:color="auto"/>
            <w:right w:val="none" w:sz="0" w:space="0" w:color="auto"/>
          </w:divBdr>
          <w:divsChild>
            <w:div w:id="756512171">
              <w:marLeft w:val="0"/>
              <w:marRight w:val="0"/>
              <w:marTop w:val="0"/>
              <w:marBottom w:val="0"/>
              <w:divBdr>
                <w:top w:val="none" w:sz="0" w:space="0" w:color="auto"/>
                <w:left w:val="none" w:sz="0" w:space="0" w:color="auto"/>
                <w:bottom w:val="none" w:sz="0" w:space="0" w:color="auto"/>
                <w:right w:val="none" w:sz="0" w:space="0" w:color="auto"/>
              </w:divBdr>
            </w:div>
          </w:divsChild>
        </w:div>
        <w:div w:id="1298730035">
          <w:marLeft w:val="0"/>
          <w:marRight w:val="0"/>
          <w:marTop w:val="0"/>
          <w:marBottom w:val="0"/>
          <w:divBdr>
            <w:top w:val="none" w:sz="0" w:space="0" w:color="auto"/>
            <w:left w:val="none" w:sz="0" w:space="0" w:color="auto"/>
            <w:bottom w:val="none" w:sz="0" w:space="0" w:color="auto"/>
            <w:right w:val="none" w:sz="0" w:space="0" w:color="auto"/>
          </w:divBdr>
          <w:divsChild>
            <w:div w:id="658533966">
              <w:marLeft w:val="0"/>
              <w:marRight w:val="0"/>
              <w:marTop w:val="0"/>
              <w:marBottom w:val="0"/>
              <w:divBdr>
                <w:top w:val="none" w:sz="0" w:space="0" w:color="auto"/>
                <w:left w:val="none" w:sz="0" w:space="0" w:color="auto"/>
                <w:bottom w:val="none" w:sz="0" w:space="0" w:color="auto"/>
                <w:right w:val="none" w:sz="0" w:space="0" w:color="auto"/>
              </w:divBdr>
            </w:div>
            <w:div w:id="662856085">
              <w:marLeft w:val="0"/>
              <w:marRight w:val="0"/>
              <w:marTop w:val="0"/>
              <w:marBottom w:val="0"/>
              <w:divBdr>
                <w:top w:val="none" w:sz="0" w:space="0" w:color="auto"/>
                <w:left w:val="none" w:sz="0" w:space="0" w:color="auto"/>
                <w:bottom w:val="none" w:sz="0" w:space="0" w:color="auto"/>
                <w:right w:val="none" w:sz="0" w:space="0" w:color="auto"/>
              </w:divBdr>
            </w:div>
            <w:div w:id="846217606">
              <w:marLeft w:val="0"/>
              <w:marRight w:val="0"/>
              <w:marTop w:val="0"/>
              <w:marBottom w:val="0"/>
              <w:divBdr>
                <w:top w:val="none" w:sz="0" w:space="0" w:color="auto"/>
                <w:left w:val="none" w:sz="0" w:space="0" w:color="auto"/>
                <w:bottom w:val="none" w:sz="0" w:space="0" w:color="auto"/>
                <w:right w:val="none" w:sz="0" w:space="0" w:color="auto"/>
              </w:divBdr>
            </w:div>
            <w:div w:id="1082721745">
              <w:marLeft w:val="0"/>
              <w:marRight w:val="0"/>
              <w:marTop w:val="0"/>
              <w:marBottom w:val="0"/>
              <w:divBdr>
                <w:top w:val="none" w:sz="0" w:space="0" w:color="auto"/>
                <w:left w:val="none" w:sz="0" w:space="0" w:color="auto"/>
                <w:bottom w:val="none" w:sz="0" w:space="0" w:color="auto"/>
                <w:right w:val="none" w:sz="0" w:space="0" w:color="auto"/>
              </w:divBdr>
            </w:div>
            <w:div w:id="1199468850">
              <w:marLeft w:val="0"/>
              <w:marRight w:val="0"/>
              <w:marTop w:val="0"/>
              <w:marBottom w:val="0"/>
              <w:divBdr>
                <w:top w:val="none" w:sz="0" w:space="0" w:color="auto"/>
                <w:left w:val="none" w:sz="0" w:space="0" w:color="auto"/>
                <w:bottom w:val="none" w:sz="0" w:space="0" w:color="auto"/>
                <w:right w:val="none" w:sz="0" w:space="0" w:color="auto"/>
              </w:divBdr>
            </w:div>
          </w:divsChild>
        </w:div>
        <w:div w:id="1300258611">
          <w:marLeft w:val="0"/>
          <w:marRight w:val="0"/>
          <w:marTop w:val="0"/>
          <w:marBottom w:val="0"/>
          <w:divBdr>
            <w:top w:val="none" w:sz="0" w:space="0" w:color="auto"/>
            <w:left w:val="none" w:sz="0" w:space="0" w:color="auto"/>
            <w:bottom w:val="none" w:sz="0" w:space="0" w:color="auto"/>
            <w:right w:val="none" w:sz="0" w:space="0" w:color="auto"/>
          </w:divBdr>
          <w:divsChild>
            <w:div w:id="2086099693">
              <w:marLeft w:val="0"/>
              <w:marRight w:val="0"/>
              <w:marTop w:val="0"/>
              <w:marBottom w:val="0"/>
              <w:divBdr>
                <w:top w:val="none" w:sz="0" w:space="0" w:color="auto"/>
                <w:left w:val="none" w:sz="0" w:space="0" w:color="auto"/>
                <w:bottom w:val="none" w:sz="0" w:space="0" w:color="auto"/>
                <w:right w:val="none" w:sz="0" w:space="0" w:color="auto"/>
              </w:divBdr>
            </w:div>
          </w:divsChild>
        </w:div>
        <w:div w:id="1304700896">
          <w:marLeft w:val="0"/>
          <w:marRight w:val="0"/>
          <w:marTop w:val="0"/>
          <w:marBottom w:val="0"/>
          <w:divBdr>
            <w:top w:val="none" w:sz="0" w:space="0" w:color="auto"/>
            <w:left w:val="none" w:sz="0" w:space="0" w:color="auto"/>
            <w:bottom w:val="none" w:sz="0" w:space="0" w:color="auto"/>
            <w:right w:val="none" w:sz="0" w:space="0" w:color="auto"/>
          </w:divBdr>
          <w:divsChild>
            <w:div w:id="1072198816">
              <w:marLeft w:val="0"/>
              <w:marRight w:val="0"/>
              <w:marTop w:val="0"/>
              <w:marBottom w:val="0"/>
              <w:divBdr>
                <w:top w:val="none" w:sz="0" w:space="0" w:color="auto"/>
                <w:left w:val="none" w:sz="0" w:space="0" w:color="auto"/>
                <w:bottom w:val="none" w:sz="0" w:space="0" w:color="auto"/>
                <w:right w:val="none" w:sz="0" w:space="0" w:color="auto"/>
              </w:divBdr>
            </w:div>
          </w:divsChild>
        </w:div>
        <w:div w:id="1327319583">
          <w:marLeft w:val="0"/>
          <w:marRight w:val="0"/>
          <w:marTop w:val="0"/>
          <w:marBottom w:val="0"/>
          <w:divBdr>
            <w:top w:val="none" w:sz="0" w:space="0" w:color="auto"/>
            <w:left w:val="none" w:sz="0" w:space="0" w:color="auto"/>
            <w:bottom w:val="none" w:sz="0" w:space="0" w:color="auto"/>
            <w:right w:val="none" w:sz="0" w:space="0" w:color="auto"/>
          </w:divBdr>
          <w:divsChild>
            <w:div w:id="1879853146">
              <w:marLeft w:val="0"/>
              <w:marRight w:val="0"/>
              <w:marTop w:val="0"/>
              <w:marBottom w:val="0"/>
              <w:divBdr>
                <w:top w:val="none" w:sz="0" w:space="0" w:color="auto"/>
                <w:left w:val="none" w:sz="0" w:space="0" w:color="auto"/>
                <w:bottom w:val="none" w:sz="0" w:space="0" w:color="auto"/>
                <w:right w:val="none" w:sz="0" w:space="0" w:color="auto"/>
              </w:divBdr>
            </w:div>
          </w:divsChild>
        </w:div>
        <w:div w:id="1430394022">
          <w:marLeft w:val="0"/>
          <w:marRight w:val="0"/>
          <w:marTop w:val="0"/>
          <w:marBottom w:val="0"/>
          <w:divBdr>
            <w:top w:val="none" w:sz="0" w:space="0" w:color="auto"/>
            <w:left w:val="none" w:sz="0" w:space="0" w:color="auto"/>
            <w:bottom w:val="none" w:sz="0" w:space="0" w:color="auto"/>
            <w:right w:val="none" w:sz="0" w:space="0" w:color="auto"/>
          </w:divBdr>
          <w:divsChild>
            <w:div w:id="1672486606">
              <w:marLeft w:val="0"/>
              <w:marRight w:val="0"/>
              <w:marTop w:val="0"/>
              <w:marBottom w:val="0"/>
              <w:divBdr>
                <w:top w:val="none" w:sz="0" w:space="0" w:color="auto"/>
                <w:left w:val="none" w:sz="0" w:space="0" w:color="auto"/>
                <w:bottom w:val="none" w:sz="0" w:space="0" w:color="auto"/>
                <w:right w:val="none" w:sz="0" w:space="0" w:color="auto"/>
              </w:divBdr>
            </w:div>
          </w:divsChild>
        </w:div>
        <w:div w:id="1473517954">
          <w:marLeft w:val="0"/>
          <w:marRight w:val="0"/>
          <w:marTop w:val="0"/>
          <w:marBottom w:val="0"/>
          <w:divBdr>
            <w:top w:val="none" w:sz="0" w:space="0" w:color="auto"/>
            <w:left w:val="none" w:sz="0" w:space="0" w:color="auto"/>
            <w:bottom w:val="none" w:sz="0" w:space="0" w:color="auto"/>
            <w:right w:val="none" w:sz="0" w:space="0" w:color="auto"/>
          </w:divBdr>
          <w:divsChild>
            <w:div w:id="167184176">
              <w:marLeft w:val="0"/>
              <w:marRight w:val="0"/>
              <w:marTop w:val="0"/>
              <w:marBottom w:val="0"/>
              <w:divBdr>
                <w:top w:val="none" w:sz="0" w:space="0" w:color="auto"/>
                <w:left w:val="none" w:sz="0" w:space="0" w:color="auto"/>
                <w:bottom w:val="none" w:sz="0" w:space="0" w:color="auto"/>
                <w:right w:val="none" w:sz="0" w:space="0" w:color="auto"/>
              </w:divBdr>
            </w:div>
            <w:div w:id="234242181">
              <w:marLeft w:val="0"/>
              <w:marRight w:val="0"/>
              <w:marTop w:val="0"/>
              <w:marBottom w:val="0"/>
              <w:divBdr>
                <w:top w:val="none" w:sz="0" w:space="0" w:color="auto"/>
                <w:left w:val="none" w:sz="0" w:space="0" w:color="auto"/>
                <w:bottom w:val="none" w:sz="0" w:space="0" w:color="auto"/>
                <w:right w:val="none" w:sz="0" w:space="0" w:color="auto"/>
              </w:divBdr>
            </w:div>
            <w:div w:id="300035911">
              <w:marLeft w:val="0"/>
              <w:marRight w:val="0"/>
              <w:marTop w:val="0"/>
              <w:marBottom w:val="0"/>
              <w:divBdr>
                <w:top w:val="none" w:sz="0" w:space="0" w:color="auto"/>
                <w:left w:val="none" w:sz="0" w:space="0" w:color="auto"/>
                <w:bottom w:val="none" w:sz="0" w:space="0" w:color="auto"/>
                <w:right w:val="none" w:sz="0" w:space="0" w:color="auto"/>
              </w:divBdr>
            </w:div>
            <w:div w:id="1012998558">
              <w:marLeft w:val="0"/>
              <w:marRight w:val="0"/>
              <w:marTop w:val="0"/>
              <w:marBottom w:val="0"/>
              <w:divBdr>
                <w:top w:val="none" w:sz="0" w:space="0" w:color="auto"/>
                <w:left w:val="none" w:sz="0" w:space="0" w:color="auto"/>
                <w:bottom w:val="none" w:sz="0" w:space="0" w:color="auto"/>
                <w:right w:val="none" w:sz="0" w:space="0" w:color="auto"/>
              </w:divBdr>
            </w:div>
            <w:div w:id="1037119822">
              <w:marLeft w:val="0"/>
              <w:marRight w:val="0"/>
              <w:marTop w:val="0"/>
              <w:marBottom w:val="0"/>
              <w:divBdr>
                <w:top w:val="none" w:sz="0" w:space="0" w:color="auto"/>
                <w:left w:val="none" w:sz="0" w:space="0" w:color="auto"/>
                <w:bottom w:val="none" w:sz="0" w:space="0" w:color="auto"/>
                <w:right w:val="none" w:sz="0" w:space="0" w:color="auto"/>
              </w:divBdr>
            </w:div>
            <w:div w:id="1047803104">
              <w:marLeft w:val="0"/>
              <w:marRight w:val="0"/>
              <w:marTop w:val="0"/>
              <w:marBottom w:val="0"/>
              <w:divBdr>
                <w:top w:val="none" w:sz="0" w:space="0" w:color="auto"/>
                <w:left w:val="none" w:sz="0" w:space="0" w:color="auto"/>
                <w:bottom w:val="none" w:sz="0" w:space="0" w:color="auto"/>
                <w:right w:val="none" w:sz="0" w:space="0" w:color="auto"/>
              </w:divBdr>
            </w:div>
            <w:div w:id="1304846404">
              <w:marLeft w:val="0"/>
              <w:marRight w:val="0"/>
              <w:marTop w:val="0"/>
              <w:marBottom w:val="0"/>
              <w:divBdr>
                <w:top w:val="none" w:sz="0" w:space="0" w:color="auto"/>
                <w:left w:val="none" w:sz="0" w:space="0" w:color="auto"/>
                <w:bottom w:val="none" w:sz="0" w:space="0" w:color="auto"/>
                <w:right w:val="none" w:sz="0" w:space="0" w:color="auto"/>
              </w:divBdr>
            </w:div>
          </w:divsChild>
        </w:div>
        <w:div w:id="1475754305">
          <w:marLeft w:val="0"/>
          <w:marRight w:val="0"/>
          <w:marTop w:val="0"/>
          <w:marBottom w:val="0"/>
          <w:divBdr>
            <w:top w:val="none" w:sz="0" w:space="0" w:color="auto"/>
            <w:left w:val="none" w:sz="0" w:space="0" w:color="auto"/>
            <w:bottom w:val="none" w:sz="0" w:space="0" w:color="auto"/>
            <w:right w:val="none" w:sz="0" w:space="0" w:color="auto"/>
          </w:divBdr>
          <w:divsChild>
            <w:div w:id="177088867">
              <w:marLeft w:val="0"/>
              <w:marRight w:val="0"/>
              <w:marTop w:val="0"/>
              <w:marBottom w:val="0"/>
              <w:divBdr>
                <w:top w:val="none" w:sz="0" w:space="0" w:color="auto"/>
                <w:left w:val="none" w:sz="0" w:space="0" w:color="auto"/>
                <w:bottom w:val="none" w:sz="0" w:space="0" w:color="auto"/>
                <w:right w:val="none" w:sz="0" w:space="0" w:color="auto"/>
              </w:divBdr>
            </w:div>
          </w:divsChild>
        </w:div>
        <w:div w:id="1500341568">
          <w:marLeft w:val="0"/>
          <w:marRight w:val="0"/>
          <w:marTop w:val="0"/>
          <w:marBottom w:val="0"/>
          <w:divBdr>
            <w:top w:val="none" w:sz="0" w:space="0" w:color="auto"/>
            <w:left w:val="none" w:sz="0" w:space="0" w:color="auto"/>
            <w:bottom w:val="none" w:sz="0" w:space="0" w:color="auto"/>
            <w:right w:val="none" w:sz="0" w:space="0" w:color="auto"/>
          </w:divBdr>
          <w:divsChild>
            <w:div w:id="1240797901">
              <w:marLeft w:val="0"/>
              <w:marRight w:val="0"/>
              <w:marTop w:val="0"/>
              <w:marBottom w:val="0"/>
              <w:divBdr>
                <w:top w:val="none" w:sz="0" w:space="0" w:color="auto"/>
                <w:left w:val="none" w:sz="0" w:space="0" w:color="auto"/>
                <w:bottom w:val="none" w:sz="0" w:space="0" w:color="auto"/>
                <w:right w:val="none" w:sz="0" w:space="0" w:color="auto"/>
              </w:divBdr>
            </w:div>
          </w:divsChild>
        </w:div>
        <w:div w:id="1537431377">
          <w:marLeft w:val="0"/>
          <w:marRight w:val="0"/>
          <w:marTop w:val="0"/>
          <w:marBottom w:val="0"/>
          <w:divBdr>
            <w:top w:val="none" w:sz="0" w:space="0" w:color="auto"/>
            <w:left w:val="none" w:sz="0" w:space="0" w:color="auto"/>
            <w:bottom w:val="none" w:sz="0" w:space="0" w:color="auto"/>
            <w:right w:val="none" w:sz="0" w:space="0" w:color="auto"/>
          </w:divBdr>
          <w:divsChild>
            <w:div w:id="495610316">
              <w:marLeft w:val="0"/>
              <w:marRight w:val="0"/>
              <w:marTop w:val="0"/>
              <w:marBottom w:val="0"/>
              <w:divBdr>
                <w:top w:val="none" w:sz="0" w:space="0" w:color="auto"/>
                <w:left w:val="none" w:sz="0" w:space="0" w:color="auto"/>
                <w:bottom w:val="none" w:sz="0" w:space="0" w:color="auto"/>
                <w:right w:val="none" w:sz="0" w:space="0" w:color="auto"/>
              </w:divBdr>
            </w:div>
          </w:divsChild>
        </w:div>
        <w:div w:id="1539317134">
          <w:marLeft w:val="0"/>
          <w:marRight w:val="0"/>
          <w:marTop w:val="0"/>
          <w:marBottom w:val="0"/>
          <w:divBdr>
            <w:top w:val="none" w:sz="0" w:space="0" w:color="auto"/>
            <w:left w:val="none" w:sz="0" w:space="0" w:color="auto"/>
            <w:bottom w:val="none" w:sz="0" w:space="0" w:color="auto"/>
            <w:right w:val="none" w:sz="0" w:space="0" w:color="auto"/>
          </w:divBdr>
          <w:divsChild>
            <w:div w:id="416175085">
              <w:marLeft w:val="0"/>
              <w:marRight w:val="0"/>
              <w:marTop w:val="0"/>
              <w:marBottom w:val="0"/>
              <w:divBdr>
                <w:top w:val="none" w:sz="0" w:space="0" w:color="auto"/>
                <w:left w:val="none" w:sz="0" w:space="0" w:color="auto"/>
                <w:bottom w:val="none" w:sz="0" w:space="0" w:color="auto"/>
                <w:right w:val="none" w:sz="0" w:space="0" w:color="auto"/>
              </w:divBdr>
            </w:div>
          </w:divsChild>
        </w:div>
        <w:div w:id="1580410504">
          <w:marLeft w:val="0"/>
          <w:marRight w:val="0"/>
          <w:marTop w:val="0"/>
          <w:marBottom w:val="0"/>
          <w:divBdr>
            <w:top w:val="none" w:sz="0" w:space="0" w:color="auto"/>
            <w:left w:val="none" w:sz="0" w:space="0" w:color="auto"/>
            <w:bottom w:val="none" w:sz="0" w:space="0" w:color="auto"/>
            <w:right w:val="none" w:sz="0" w:space="0" w:color="auto"/>
          </w:divBdr>
          <w:divsChild>
            <w:div w:id="1964076345">
              <w:marLeft w:val="0"/>
              <w:marRight w:val="0"/>
              <w:marTop w:val="0"/>
              <w:marBottom w:val="0"/>
              <w:divBdr>
                <w:top w:val="none" w:sz="0" w:space="0" w:color="auto"/>
                <w:left w:val="none" w:sz="0" w:space="0" w:color="auto"/>
                <w:bottom w:val="none" w:sz="0" w:space="0" w:color="auto"/>
                <w:right w:val="none" w:sz="0" w:space="0" w:color="auto"/>
              </w:divBdr>
            </w:div>
          </w:divsChild>
        </w:div>
        <w:div w:id="1608805437">
          <w:marLeft w:val="0"/>
          <w:marRight w:val="0"/>
          <w:marTop w:val="0"/>
          <w:marBottom w:val="0"/>
          <w:divBdr>
            <w:top w:val="none" w:sz="0" w:space="0" w:color="auto"/>
            <w:left w:val="none" w:sz="0" w:space="0" w:color="auto"/>
            <w:bottom w:val="none" w:sz="0" w:space="0" w:color="auto"/>
            <w:right w:val="none" w:sz="0" w:space="0" w:color="auto"/>
          </w:divBdr>
          <w:divsChild>
            <w:div w:id="1957440718">
              <w:marLeft w:val="0"/>
              <w:marRight w:val="0"/>
              <w:marTop w:val="0"/>
              <w:marBottom w:val="0"/>
              <w:divBdr>
                <w:top w:val="none" w:sz="0" w:space="0" w:color="auto"/>
                <w:left w:val="none" w:sz="0" w:space="0" w:color="auto"/>
                <w:bottom w:val="none" w:sz="0" w:space="0" w:color="auto"/>
                <w:right w:val="none" w:sz="0" w:space="0" w:color="auto"/>
              </w:divBdr>
            </w:div>
          </w:divsChild>
        </w:div>
        <w:div w:id="1613629113">
          <w:marLeft w:val="0"/>
          <w:marRight w:val="0"/>
          <w:marTop w:val="0"/>
          <w:marBottom w:val="0"/>
          <w:divBdr>
            <w:top w:val="none" w:sz="0" w:space="0" w:color="auto"/>
            <w:left w:val="none" w:sz="0" w:space="0" w:color="auto"/>
            <w:bottom w:val="none" w:sz="0" w:space="0" w:color="auto"/>
            <w:right w:val="none" w:sz="0" w:space="0" w:color="auto"/>
          </w:divBdr>
          <w:divsChild>
            <w:div w:id="864288877">
              <w:marLeft w:val="0"/>
              <w:marRight w:val="0"/>
              <w:marTop w:val="0"/>
              <w:marBottom w:val="0"/>
              <w:divBdr>
                <w:top w:val="none" w:sz="0" w:space="0" w:color="auto"/>
                <w:left w:val="none" w:sz="0" w:space="0" w:color="auto"/>
                <w:bottom w:val="none" w:sz="0" w:space="0" w:color="auto"/>
                <w:right w:val="none" w:sz="0" w:space="0" w:color="auto"/>
              </w:divBdr>
            </w:div>
          </w:divsChild>
        </w:div>
        <w:div w:id="1631131430">
          <w:marLeft w:val="0"/>
          <w:marRight w:val="0"/>
          <w:marTop w:val="0"/>
          <w:marBottom w:val="0"/>
          <w:divBdr>
            <w:top w:val="none" w:sz="0" w:space="0" w:color="auto"/>
            <w:left w:val="none" w:sz="0" w:space="0" w:color="auto"/>
            <w:bottom w:val="none" w:sz="0" w:space="0" w:color="auto"/>
            <w:right w:val="none" w:sz="0" w:space="0" w:color="auto"/>
          </w:divBdr>
          <w:divsChild>
            <w:div w:id="1144543254">
              <w:marLeft w:val="0"/>
              <w:marRight w:val="0"/>
              <w:marTop w:val="0"/>
              <w:marBottom w:val="0"/>
              <w:divBdr>
                <w:top w:val="none" w:sz="0" w:space="0" w:color="auto"/>
                <w:left w:val="none" w:sz="0" w:space="0" w:color="auto"/>
                <w:bottom w:val="none" w:sz="0" w:space="0" w:color="auto"/>
                <w:right w:val="none" w:sz="0" w:space="0" w:color="auto"/>
              </w:divBdr>
            </w:div>
          </w:divsChild>
        </w:div>
        <w:div w:id="1694072196">
          <w:marLeft w:val="0"/>
          <w:marRight w:val="0"/>
          <w:marTop w:val="0"/>
          <w:marBottom w:val="0"/>
          <w:divBdr>
            <w:top w:val="none" w:sz="0" w:space="0" w:color="auto"/>
            <w:left w:val="none" w:sz="0" w:space="0" w:color="auto"/>
            <w:bottom w:val="none" w:sz="0" w:space="0" w:color="auto"/>
            <w:right w:val="none" w:sz="0" w:space="0" w:color="auto"/>
          </w:divBdr>
          <w:divsChild>
            <w:div w:id="1054894650">
              <w:marLeft w:val="0"/>
              <w:marRight w:val="0"/>
              <w:marTop w:val="0"/>
              <w:marBottom w:val="0"/>
              <w:divBdr>
                <w:top w:val="none" w:sz="0" w:space="0" w:color="auto"/>
                <w:left w:val="none" w:sz="0" w:space="0" w:color="auto"/>
                <w:bottom w:val="none" w:sz="0" w:space="0" w:color="auto"/>
                <w:right w:val="none" w:sz="0" w:space="0" w:color="auto"/>
              </w:divBdr>
            </w:div>
          </w:divsChild>
        </w:div>
        <w:div w:id="1918518584">
          <w:marLeft w:val="0"/>
          <w:marRight w:val="0"/>
          <w:marTop w:val="0"/>
          <w:marBottom w:val="0"/>
          <w:divBdr>
            <w:top w:val="none" w:sz="0" w:space="0" w:color="auto"/>
            <w:left w:val="none" w:sz="0" w:space="0" w:color="auto"/>
            <w:bottom w:val="none" w:sz="0" w:space="0" w:color="auto"/>
            <w:right w:val="none" w:sz="0" w:space="0" w:color="auto"/>
          </w:divBdr>
          <w:divsChild>
            <w:div w:id="1598900642">
              <w:marLeft w:val="0"/>
              <w:marRight w:val="0"/>
              <w:marTop w:val="0"/>
              <w:marBottom w:val="0"/>
              <w:divBdr>
                <w:top w:val="none" w:sz="0" w:space="0" w:color="auto"/>
                <w:left w:val="none" w:sz="0" w:space="0" w:color="auto"/>
                <w:bottom w:val="none" w:sz="0" w:space="0" w:color="auto"/>
                <w:right w:val="none" w:sz="0" w:space="0" w:color="auto"/>
              </w:divBdr>
            </w:div>
          </w:divsChild>
        </w:div>
        <w:div w:id="1924334218">
          <w:marLeft w:val="0"/>
          <w:marRight w:val="0"/>
          <w:marTop w:val="0"/>
          <w:marBottom w:val="0"/>
          <w:divBdr>
            <w:top w:val="none" w:sz="0" w:space="0" w:color="auto"/>
            <w:left w:val="none" w:sz="0" w:space="0" w:color="auto"/>
            <w:bottom w:val="none" w:sz="0" w:space="0" w:color="auto"/>
            <w:right w:val="none" w:sz="0" w:space="0" w:color="auto"/>
          </w:divBdr>
          <w:divsChild>
            <w:div w:id="268784836">
              <w:marLeft w:val="0"/>
              <w:marRight w:val="0"/>
              <w:marTop w:val="0"/>
              <w:marBottom w:val="0"/>
              <w:divBdr>
                <w:top w:val="none" w:sz="0" w:space="0" w:color="auto"/>
                <w:left w:val="none" w:sz="0" w:space="0" w:color="auto"/>
                <w:bottom w:val="none" w:sz="0" w:space="0" w:color="auto"/>
                <w:right w:val="none" w:sz="0" w:space="0" w:color="auto"/>
              </w:divBdr>
            </w:div>
          </w:divsChild>
        </w:div>
        <w:div w:id="1944072898">
          <w:marLeft w:val="0"/>
          <w:marRight w:val="0"/>
          <w:marTop w:val="0"/>
          <w:marBottom w:val="0"/>
          <w:divBdr>
            <w:top w:val="none" w:sz="0" w:space="0" w:color="auto"/>
            <w:left w:val="none" w:sz="0" w:space="0" w:color="auto"/>
            <w:bottom w:val="none" w:sz="0" w:space="0" w:color="auto"/>
            <w:right w:val="none" w:sz="0" w:space="0" w:color="auto"/>
          </w:divBdr>
          <w:divsChild>
            <w:div w:id="233201186">
              <w:marLeft w:val="0"/>
              <w:marRight w:val="0"/>
              <w:marTop w:val="0"/>
              <w:marBottom w:val="0"/>
              <w:divBdr>
                <w:top w:val="none" w:sz="0" w:space="0" w:color="auto"/>
                <w:left w:val="none" w:sz="0" w:space="0" w:color="auto"/>
                <w:bottom w:val="none" w:sz="0" w:space="0" w:color="auto"/>
                <w:right w:val="none" w:sz="0" w:space="0" w:color="auto"/>
              </w:divBdr>
            </w:div>
          </w:divsChild>
        </w:div>
        <w:div w:id="1973633044">
          <w:marLeft w:val="0"/>
          <w:marRight w:val="0"/>
          <w:marTop w:val="0"/>
          <w:marBottom w:val="0"/>
          <w:divBdr>
            <w:top w:val="none" w:sz="0" w:space="0" w:color="auto"/>
            <w:left w:val="none" w:sz="0" w:space="0" w:color="auto"/>
            <w:bottom w:val="none" w:sz="0" w:space="0" w:color="auto"/>
            <w:right w:val="none" w:sz="0" w:space="0" w:color="auto"/>
          </w:divBdr>
          <w:divsChild>
            <w:div w:id="875435473">
              <w:marLeft w:val="0"/>
              <w:marRight w:val="0"/>
              <w:marTop w:val="0"/>
              <w:marBottom w:val="0"/>
              <w:divBdr>
                <w:top w:val="none" w:sz="0" w:space="0" w:color="auto"/>
                <w:left w:val="none" w:sz="0" w:space="0" w:color="auto"/>
                <w:bottom w:val="none" w:sz="0" w:space="0" w:color="auto"/>
                <w:right w:val="none" w:sz="0" w:space="0" w:color="auto"/>
              </w:divBdr>
            </w:div>
          </w:divsChild>
        </w:div>
        <w:div w:id="1985156186">
          <w:marLeft w:val="0"/>
          <w:marRight w:val="0"/>
          <w:marTop w:val="0"/>
          <w:marBottom w:val="0"/>
          <w:divBdr>
            <w:top w:val="none" w:sz="0" w:space="0" w:color="auto"/>
            <w:left w:val="none" w:sz="0" w:space="0" w:color="auto"/>
            <w:bottom w:val="none" w:sz="0" w:space="0" w:color="auto"/>
            <w:right w:val="none" w:sz="0" w:space="0" w:color="auto"/>
          </w:divBdr>
          <w:divsChild>
            <w:div w:id="60832425">
              <w:marLeft w:val="0"/>
              <w:marRight w:val="0"/>
              <w:marTop w:val="0"/>
              <w:marBottom w:val="0"/>
              <w:divBdr>
                <w:top w:val="none" w:sz="0" w:space="0" w:color="auto"/>
                <w:left w:val="none" w:sz="0" w:space="0" w:color="auto"/>
                <w:bottom w:val="none" w:sz="0" w:space="0" w:color="auto"/>
                <w:right w:val="none" w:sz="0" w:space="0" w:color="auto"/>
              </w:divBdr>
            </w:div>
            <w:div w:id="682441300">
              <w:marLeft w:val="0"/>
              <w:marRight w:val="0"/>
              <w:marTop w:val="0"/>
              <w:marBottom w:val="0"/>
              <w:divBdr>
                <w:top w:val="none" w:sz="0" w:space="0" w:color="auto"/>
                <w:left w:val="none" w:sz="0" w:space="0" w:color="auto"/>
                <w:bottom w:val="none" w:sz="0" w:space="0" w:color="auto"/>
                <w:right w:val="none" w:sz="0" w:space="0" w:color="auto"/>
              </w:divBdr>
            </w:div>
            <w:div w:id="887493860">
              <w:marLeft w:val="0"/>
              <w:marRight w:val="0"/>
              <w:marTop w:val="0"/>
              <w:marBottom w:val="0"/>
              <w:divBdr>
                <w:top w:val="none" w:sz="0" w:space="0" w:color="auto"/>
                <w:left w:val="none" w:sz="0" w:space="0" w:color="auto"/>
                <w:bottom w:val="none" w:sz="0" w:space="0" w:color="auto"/>
                <w:right w:val="none" w:sz="0" w:space="0" w:color="auto"/>
              </w:divBdr>
            </w:div>
            <w:div w:id="1130705576">
              <w:marLeft w:val="0"/>
              <w:marRight w:val="0"/>
              <w:marTop w:val="0"/>
              <w:marBottom w:val="0"/>
              <w:divBdr>
                <w:top w:val="none" w:sz="0" w:space="0" w:color="auto"/>
                <w:left w:val="none" w:sz="0" w:space="0" w:color="auto"/>
                <w:bottom w:val="none" w:sz="0" w:space="0" w:color="auto"/>
                <w:right w:val="none" w:sz="0" w:space="0" w:color="auto"/>
              </w:divBdr>
            </w:div>
            <w:div w:id="1219243251">
              <w:marLeft w:val="0"/>
              <w:marRight w:val="0"/>
              <w:marTop w:val="0"/>
              <w:marBottom w:val="0"/>
              <w:divBdr>
                <w:top w:val="none" w:sz="0" w:space="0" w:color="auto"/>
                <w:left w:val="none" w:sz="0" w:space="0" w:color="auto"/>
                <w:bottom w:val="none" w:sz="0" w:space="0" w:color="auto"/>
                <w:right w:val="none" w:sz="0" w:space="0" w:color="auto"/>
              </w:divBdr>
            </w:div>
            <w:div w:id="1304577013">
              <w:marLeft w:val="0"/>
              <w:marRight w:val="0"/>
              <w:marTop w:val="0"/>
              <w:marBottom w:val="0"/>
              <w:divBdr>
                <w:top w:val="none" w:sz="0" w:space="0" w:color="auto"/>
                <w:left w:val="none" w:sz="0" w:space="0" w:color="auto"/>
                <w:bottom w:val="none" w:sz="0" w:space="0" w:color="auto"/>
                <w:right w:val="none" w:sz="0" w:space="0" w:color="auto"/>
              </w:divBdr>
            </w:div>
            <w:div w:id="1375155499">
              <w:marLeft w:val="0"/>
              <w:marRight w:val="0"/>
              <w:marTop w:val="0"/>
              <w:marBottom w:val="0"/>
              <w:divBdr>
                <w:top w:val="none" w:sz="0" w:space="0" w:color="auto"/>
                <w:left w:val="none" w:sz="0" w:space="0" w:color="auto"/>
                <w:bottom w:val="none" w:sz="0" w:space="0" w:color="auto"/>
                <w:right w:val="none" w:sz="0" w:space="0" w:color="auto"/>
              </w:divBdr>
            </w:div>
            <w:div w:id="1852256942">
              <w:marLeft w:val="0"/>
              <w:marRight w:val="0"/>
              <w:marTop w:val="0"/>
              <w:marBottom w:val="0"/>
              <w:divBdr>
                <w:top w:val="none" w:sz="0" w:space="0" w:color="auto"/>
                <w:left w:val="none" w:sz="0" w:space="0" w:color="auto"/>
                <w:bottom w:val="none" w:sz="0" w:space="0" w:color="auto"/>
                <w:right w:val="none" w:sz="0" w:space="0" w:color="auto"/>
              </w:divBdr>
            </w:div>
            <w:div w:id="1962295228">
              <w:marLeft w:val="0"/>
              <w:marRight w:val="0"/>
              <w:marTop w:val="0"/>
              <w:marBottom w:val="0"/>
              <w:divBdr>
                <w:top w:val="none" w:sz="0" w:space="0" w:color="auto"/>
                <w:left w:val="none" w:sz="0" w:space="0" w:color="auto"/>
                <w:bottom w:val="none" w:sz="0" w:space="0" w:color="auto"/>
                <w:right w:val="none" w:sz="0" w:space="0" w:color="auto"/>
              </w:divBdr>
            </w:div>
          </w:divsChild>
        </w:div>
        <w:div w:id="2003654736">
          <w:marLeft w:val="0"/>
          <w:marRight w:val="0"/>
          <w:marTop w:val="0"/>
          <w:marBottom w:val="0"/>
          <w:divBdr>
            <w:top w:val="none" w:sz="0" w:space="0" w:color="auto"/>
            <w:left w:val="none" w:sz="0" w:space="0" w:color="auto"/>
            <w:bottom w:val="none" w:sz="0" w:space="0" w:color="auto"/>
            <w:right w:val="none" w:sz="0" w:space="0" w:color="auto"/>
          </w:divBdr>
          <w:divsChild>
            <w:div w:id="1832796625">
              <w:marLeft w:val="0"/>
              <w:marRight w:val="0"/>
              <w:marTop w:val="0"/>
              <w:marBottom w:val="0"/>
              <w:divBdr>
                <w:top w:val="none" w:sz="0" w:space="0" w:color="auto"/>
                <w:left w:val="none" w:sz="0" w:space="0" w:color="auto"/>
                <w:bottom w:val="none" w:sz="0" w:space="0" w:color="auto"/>
                <w:right w:val="none" w:sz="0" w:space="0" w:color="auto"/>
              </w:divBdr>
            </w:div>
          </w:divsChild>
        </w:div>
        <w:div w:id="2028409870">
          <w:marLeft w:val="0"/>
          <w:marRight w:val="0"/>
          <w:marTop w:val="0"/>
          <w:marBottom w:val="0"/>
          <w:divBdr>
            <w:top w:val="none" w:sz="0" w:space="0" w:color="auto"/>
            <w:left w:val="none" w:sz="0" w:space="0" w:color="auto"/>
            <w:bottom w:val="none" w:sz="0" w:space="0" w:color="auto"/>
            <w:right w:val="none" w:sz="0" w:space="0" w:color="auto"/>
          </w:divBdr>
          <w:divsChild>
            <w:div w:id="189145444">
              <w:marLeft w:val="0"/>
              <w:marRight w:val="0"/>
              <w:marTop w:val="0"/>
              <w:marBottom w:val="0"/>
              <w:divBdr>
                <w:top w:val="none" w:sz="0" w:space="0" w:color="auto"/>
                <w:left w:val="none" w:sz="0" w:space="0" w:color="auto"/>
                <w:bottom w:val="none" w:sz="0" w:space="0" w:color="auto"/>
                <w:right w:val="none" w:sz="0" w:space="0" w:color="auto"/>
              </w:divBdr>
            </w:div>
          </w:divsChild>
        </w:div>
        <w:div w:id="2034651232">
          <w:marLeft w:val="0"/>
          <w:marRight w:val="0"/>
          <w:marTop w:val="0"/>
          <w:marBottom w:val="0"/>
          <w:divBdr>
            <w:top w:val="none" w:sz="0" w:space="0" w:color="auto"/>
            <w:left w:val="none" w:sz="0" w:space="0" w:color="auto"/>
            <w:bottom w:val="none" w:sz="0" w:space="0" w:color="auto"/>
            <w:right w:val="none" w:sz="0" w:space="0" w:color="auto"/>
          </w:divBdr>
          <w:divsChild>
            <w:div w:id="1771392679">
              <w:marLeft w:val="0"/>
              <w:marRight w:val="0"/>
              <w:marTop w:val="0"/>
              <w:marBottom w:val="0"/>
              <w:divBdr>
                <w:top w:val="none" w:sz="0" w:space="0" w:color="auto"/>
                <w:left w:val="none" w:sz="0" w:space="0" w:color="auto"/>
                <w:bottom w:val="none" w:sz="0" w:space="0" w:color="auto"/>
                <w:right w:val="none" w:sz="0" w:space="0" w:color="auto"/>
              </w:divBdr>
            </w:div>
          </w:divsChild>
        </w:div>
        <w:div w:id="2037000920">
          <w:marLeft w:val="0"/>
          <w:marRight w:val="0"/>
          <w:marTop w:val="0"/>
          <w:marBottom w:val="0"/>
          <w:divBdr>
            <w:top w:val="none" w:sz="0" w:space="0" w:color="auto"/>
            <w:left w:val="none" w:sz="0" w:space="0" w:color="auto"/>
            <w:bottom w:val="none" w:sz="0" w:space="0" w:color="auto"/>
            <w:right w:val="none" w:sz="0" w:space="0" w:color="auto"/>
          </w:divBdr>
          <w:divsChild>
            <w:div w:id="1758018394">
              <w:marLeft w:val="0"/>
              <w:marRight w:val="0"/>
              <w:marTop w:val="0"/>
              <w:marBottom w:val="0"/>
              <w:divBdr>
                <w:top w:val="none" w:sz="0" w:space="0" w:color="auto"/>
                <w:left w:val="none" w:sz="0" w:space="0" w:color="auto"/>
                <w:bottom w:val="none" w:sz="0" w:space="0" w:color="auto"/>
                <w:right w:val="none" w:sz="0" w:space="0" w:color="auto"/>
              </w:divBdr>
            </w:div>
          </w:divsChild>
        </w:div>
        <w:div w:id="2119982125">
          <w:marLeft w:val="0"/>
          <w:marRight w:val="0"/>
          <w:marTop w:val="0"/>
          <w:marBottom w:val="0"/>
          <w:divBdr>
            <w:top w:val="none" w:sz="0" w:space="0" w:color="auto"/>
            <w:left w:val="none" w:sz="0" w:space="0" w:color="auto"/>
            <w:bottom w:val="none" w:sz="0" w:space="0" w:color="auto"/>
            <w:right w:val="none" w:sz="0" w:space="0" w:color="auto"/>
          </w:divBdr>
          <w:divsChild>
            <w:div w:id="158498805">
              <w:marLeft w:val="0"/>
              <w:marRight w:val="0"/>
              <w:marTop w:val="0"/>
              <w:marBottom w:val="0"/>
              <w:divBdr>
                <w:top w:val="none" w:sz="0" w:space="0" w:color="auto"/>
                <w:left w:val="none" w:sz="0" w:space="0" w:color="auto"/>
                <w:bottom w:val="none" w:sz="0" w:space="0" w:color="auto"/>
                <w:right w:val="none" w:sz="0" w:space="0" w:color="auto"/>
              </w:divBdr>
            </w:div>
            <w:div w:id="1677265113">
              <w:marLeft w:val="0"/>
              <w:marRight w:val="0"/>
              <w:marTop w:val="0"/>
              <w:marBottom w:val="0"/>
              <w:divBdr>
                <w:top w:val="none" w:sz="0" w:space="0" w:color="auto"/>
                <w:left w:val="none" w:sz="0" w:space="0" w:color="auto"/>
                <w:bottom w:val="none" w:sz="0" w:space="0" w:color="auto"/>
                <w:right w:val="none" w:sz="0" w:space="0" w:color="auto"/>
              </w:divBdr>
            </w:div>
          </w:divsChild>
        </w:div>
        <w:div w:id="2136943921">
          <w:marLeft w:val="0"/>
          <w:marRight w:val="0"/>
          <w:marTop w:val="0"/>
          <w:marBottom w:val="0"/>
          <w:divBdr>
            <w:top w:val="none" w:sz="0" w:space="0" w:color="auto"/>
            <w:left w:val="none" w:sz="0" w:space="0" w:color="auto"/>
            <w:bottom w:val="none" w:sz="0" w:space="0" w:color="auto"/>
            <w:right w:val="none" w:sz="0" w:space="0" w:color="auto"/>
          </w:divBdr>
          <w:divsChild>
            <w:div w:id="210437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70676">
      <w:bodyDiv w:val="1"/>
      <w:marLeft w:val="0"/>
      <w:marRight w:val="0"/>
      <w:marTop w:val="0"/>
      <w:marBottom w:val="0"/>
      <w:divBdr>
        <w:top w:val="none" w:sz="0" w:space="0" w:color="auto"/>
        <w:left w:val="none" w:sz="0" w:space="0" w:color="auto"/>
        <w:bottom w:val="none" w:sz="0" w:space="0" w:color="auto"/>
        <w:right w:val="none" w:sz="0" w:space="0" w:color="auto"/>
      </w:divBdr>
    </w:div>
    <w:div w:id="1200970778">
      <w:bodyDiv w:val="1"/>
      <w:marLeft w:val="0"/>
      <w:marRight w:val="0"/>
      <w:marTop w:val="0"/>
      <w:marBottom w:val="0"/>
      <w:divBdr>
        <w:top w:val="none" w:sz="0" w:space="0" w:color="auto"/>
        <w:left w:val="none" w:sz="0" w:space="0" w:color="auto"/>
        <w:bottom w:val="none" w:sz="0" w:space="0" w:color="auto"/>
        <w:right w:val="none" w:sz="0" w:space="0" w:color="auto"/>
      </w:divBdr>
      <w:divsChild>
        <w:div w:id="10880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3248990">
      <w:bodyDiv w:val="1"/>
      <w:marLeft w:val="0"/>
      <w:marRight w:val="0"/>
      <w:marTop w:val="0"/>
      <w:marBottom w:val="0"/>
      <w:divBdr>
        <w:top w:val="none" w:sz="0" w:space="0" w:color="auto"/>
        <w:left w:val="none" w:sz="0" w:space="0" w:color="auto"/>
        <w:bottom w:val="none" w:sz="0" w:space="0" w:color="auto"/>
        <w:right w:val="none" w:sz="0" w:space="0" w:color="auto"/>
      </w:divBdr>
    </w:div>
    <w:div w:id="1205480156">
      <w:bodyDiv w:val="1"/>
      <w:marLeft w:val="0"/>
      <w:marRight w:val="0"/>
      <w:marTop w:val="0"/>
      <w:marBottom w:val="0"/>
      <w:divBdr>
        <w:top w:val="none" w:sz="0" w:space="0" w:color="auto"/>
        <w:left w:val="none" w:sz="0" w:space="0" w:color="auto"/>
        <w:bottom w:val="none" w:sz="0" w:space="0" w:color="auto"/>
        <w:right w:val="none" w:sz="0" w:space="0" w:color="auto"/>
      </w:divBdr>
    </w:div>
    <w:div w:id="1207060002">
      <w:bodyDiv w:val="1"/>
      <w:marLeft w:val="0"/>
      <w:marRight w:val="0"/>
      <w:marTop w:val="0"/>
      <w:marBottom w:val="0"/>
      <w:divBdr>
        <w:top w:val="none" w:sz="0" w:space="0" w:color="auto"/>
        <w:left w:val="none" w:sz="0" w:space="0" w:color="auto"/>
        <w:bottom w:val="none" w:sz="0" w:space="0" w:color="auto"/>
        <w:right w:val="none" w:sz="0" w:space="0" w:color="auto"/>
      </w:divBdr>
    </w:div>
    <w:div w:id="1207261020">
      <w:bodyDiv w:val="1"/>
      <w:marLeft w:val="0"/>
      <w:marRight w:val="0"/>
      <w:marTop w:val="0"/>
      <w:marBottom w:val="0"/>
      <w:divBdr>
        <w:top w:val="none" w:sz="0" w:space="0" w:color="auto"/>
        <w:left w:val="none" w:sz="0" w:space="0" w:color="auto"/>
        <w:bottom w:val="none" w:sz="0" w:space="0" w:color="auto"/>
        <w:right w:val="none" w:sz="0" w:space="0" w:color="auto"/>
      </w:divBdr>
    </w:div>
    <w:div w:id="1213419973">
      <w:bodyDiv w:val="1"/>
      <w:marLeft w:val="0"/>
      <w:marRight w:val="0"/>
      <w:marTop w:val="0"/>
      <w:marBottom w:val="0"/>
      <w:divBdr>
        <w:top w:val="none" w:sz="0" w:space="0" w:color="auto"/>
        <w:left w:val="none" w:sz="0" w:space="0" w:color="auto"/>
        <w:bottom w:val="none" w:sz="0" w:space="0" w:color="auto"/>
        <w:right w:val="none" w:sz="0" w:space="0" w:color="auto"/>
      </w:divBdr>
    </w:div>
    <w:div w:id="1214849823">
      <w:bodyDiv w:val="1"/>
      <w:marLeft w:val="0"/>
      <w:marRight w:val="0"/>
      <w:marTop w:val="0"/>
      <w:marBottom w:val="0"/>
      <w:divBdr>
        <w:top w:val="none" w:sz="0" w:space="0" w:color="auto"/>
        <w:left w:val="none" w:sz="0" w:space="0" w:color="auto"/>
        <w:bottom w:val="none" w:sz="0" w:space="0" w:color="auto"/>
        <w:right w:val="none" w:sz="0" w:space="0" w:color="auto"/>
      </w:divBdr>
    </w:div>
    <w:div w:id="1216963005">
      <w:bodyDiv w:val="1"/>
      <w:marLeft w:val="0"/>
      <w:marRight w:val="0"/>
      <w:marTop w:val="0"/>
      <w:marBottom w:val="0"/>
      <w:divBdr>
        <w:top w:val="none" w:sz="0" w:space="0" w:color="auto"/>
        <w:left w:val="none" w:sz="0" w:space="0" w:color="auto"/>
        <w:bottom w:val="none" w:sz="0" w:space="0" w:color="auto"/>
        <w:right w:val="none" w:sz="0" w:space="0" w:color="auto"/>
      </w:divBdr>
    </w:div>
    <w:div w:id="1218274752">
      <w:bodyDiv w:val="1"/>
      <w:marLeft w:val="0"/>
      <w:marRight w:val="0"/>
      <w:marTop w:val="0"/>
      <w:marBottom w:val="0"/>
      <w:divBdr>
        <w:top w:val="none" w:sz="0" w:space="0" w:color="auto"/>
        <w:left w:val="none" w:sz="0" w:space="0" w:color="auto"/>
        <w:bottom w:val="none" w:sz="0" w:space="0" w:color="auto"/>
        <w:right w:val="none" w:sz="0" w:space="0" w:color="auto"/>
      </w:divBdr>
    </w:div>
    <w:div w:id="1221357823">
      <w:bodyDiv w:val="1"/>
      <w:marLeft w:val="0"/>
      <w:marRight w:val="0"/>
      <w:marTop w:val="0"/>
      <w:marBottom w:val="0"/>
      <w:divBdr>
        <w:top w:val="none" w:sz="0" w:space="0" w:color="auto"/>
        <w:left w:val="none" w:sz="0" w:space="0" w:color="auto"/>
        <w:bottom w:val="none" w:sz="0" w:space="0" w:color="auto"/>
        <w:right w:val="none" w:sz="0" w:space="0" w:color="auto"/>
      </w:divBdr>
    </w:div>
    <w:div w:id="1223327561">
      <w:bodyDiv w:val="1"/>
      <w:marLeft w:val="0"/>
      <w:marRight w:val="0"/>
      <w:marTop w:val="0"/>
      <w:marBottom w:val="0"/>
      <w:divBdr>
        <w:top w:val="none" w:sz="0" w:space="0" w:color="auto"/>
        <w:left w:val="none" w:sz="0" w:space="0" w:color="auto"/>
        <w:bottom w:val="none" w:sz="0" w:space="0" w:color="auto"/>
        <w:right w:val="none" w:sz="0" w:space="0" w:color="auto"/>
      </w:divBdr>
    </w:div>
    <w:div w:id="1224491202">
      <w:bodyDiv w:val="1"/>
      <w:marLeft w:val="0"/>
      <w:marRight w:val="0"/>
      <w:marTop w:val="0"/>
      <w:marBottom w:val="0"/>
      <w:divBdr>
        <w:top w:val="none" w:sz="0" w:space="0" w:color="auto"/>
        <w:left w:val="none" w:sz="0" w:space="0" w:color="auto"/>
        <w:bottom w:val="none" w:sz="0" w:space="0" w:color="auto"/>
        <w:right w:val="none" w:sz="0" w:space="0" w:color="auto"/>
      </w:divBdr>
    </w:div>
    <w:div w:id="1246068051">
      <w:bodyDiv w:val="1"/>
      <w:marLeft w:val="0"/>
      <w:marRight w:val="0"/>
      <w:marTop w:val="0"/>
      <w:marBottom w:val="0"/>
      <w:divBdr>
        <w:top w:val="none" w:sz="0" w:space="0" w:color="auto"/>
        <w:left w:val="none" w:sz="0" w:space="0" w:color="auto"/>
        <w:bottom w:val="none" w:sz="0" w:space="0" w:color="auto"/>
        <w:right w:val="none" w:sz="0" w:space="0" w:color="auto"/>
      </w:divBdr>
    </w:div>
    <w:div w:id="1266839319">
      <w:bodyDiv w:val="1"/>
      <w:marLeft w:val="0"/>
      <w:marRight w:val="0"/>
      <w:marTop w:val="0"/>
      <w:marBottom w:val="0"/>
      <w:divBdr>
        <w:top w:val="none" w:sz="0" w:space="0" w:color="auto"/>
        <w:left w:val="none" w:sz="0" w:space="0" w:color="auto"/>
        <w:bottom w:val="none" w:sz="0" w:space="0" w:color="auto"/>
        <w:right w:val="none" w:sz="0" w:space="0" w:color="auto"/>
      </w:divBdr>
    </w:div>
    <w:div w:id="1287664505">
      <w:bodyDiv w:val="1"/>
      <w:marLeft w:val="0"/>
      <w:marRight w:val="0"/>
      <w:marTop w:val="0"/>
      <w:marBottom w:val="0"/>
      <w:divBdr>
        <w:top w:val="none" w:sz="0" w:space="0" w:color="auto"/>
        <w:left w:val="none" w:sz="0" w:space="0" w:color="auto"/>
        <w:bottom w:val="none" w:sz="0" w:space="0" w:color="auto"/>
        <w:right w:val="none" w:sz="0" w:space="0" w:color="auto"/>
      </w:divBdr>
      <w:divsChild>
        <w:div w:id="22366593">
          <w:marLeft w:val="0"/>
          <w:marRight w:val="0"/>
          <w:marTop w:val="0"/>
          <w:marBottom w:val="0"/>
          <w:divBdr>
            <w:top w:val="none" w:sz="0" w:space="0" w:color="auto"/>
            <w:left w:val="none" w:sz="0" w:space="0" w:color="auto"/>
            <w:bottom w:val="none" w:sz="0" w:space="0" w:color="auto"/>
            <w:right w:val="none" w:sz="0" w:space="0" w:color="auto"/>
          </w:divBdr>
          <w:divsChild>
            <w:div w:id="919363814">
              <w:marLeft w:val="0"/>
              <w:marRight w:val="0"/>
              <w:marTop w:val="0"/>
              <w:marBottom w:val="0"/>
              <w:divBdr>
                <w:top w:val="none" w:sz="0" w:space="0" w:color="auto"/>
                <w:left w:val="none" w:sz="0" w:space="0" w:color="auto"/>
                <w:bottom w:val="none" w:sz="0" w:space="0" w:color="auto"/>
                <w:right w:val="none" w:sz="0" w:space="0" w:color="auto"/>
              </w:divBdr>
            </w:div>
          </w:divsChild>
        </w:div>
        <w:div w:id="50465192">
          <w:marLeft w:val="0"/>
          <w:marRight w:val="0"/>
          <w:marTop w:val="0"/>
          <w:marBottom w:val="0"/>
          <w:divBdr>
            <w:top w:val="none" w:sz="0" w:space="0" w:color="auto"/>
            <w:left w:val="none" w:sz="0" w:space="0" w:color="auto"/>
            <w:bottom w:val="none" w:sz="0" w:space="0" w:color="auto"/>
            <w:right w:val="none" w:sz="0" w:space="0" w:color="auto"/>
          </w:divBdr>
          <w:divsChild>
            <w:div w:id="912814888">
              <w:marLeft w:val="0"/>
              <w:marRight w:val="0"/>
              <w:marTop w:val="0"/>
              <w:marBottom w:val="0"/>
              <w:divBdr>
                <w:top w:val="none" w:sz="0" w:space="0" w:color="auto"/>
                <w:left w:val="none" w:sz="0" w:space="0" w:color="auto"/>
                <w:bottom w:val="none" w:sz="0" w:space="0" w:color="auto"/>
                <w:right w:val="none" w:sz="0" w:space="0" w:color="auto"/>
              </w:divBdr>
            </w:div>
          </w:divsChild>
        </w:div>
        <w:div w:id="120733025">
          <w:marLeft w:val="0"/>
          <w:marRight w:val="0"/>
          <w:marTop w:val="0"/>
          <w:marBottom w:val="0"/>
          <w:divBdr>
            <w:top w:val="none" w:sz="0" w:space="0" w:color="auto"/>
            <w:left w:val="none" w:sz="0" w:space="0" w:color="auto"/>
            <w:bottom w:val="none" w:sz="0" w:space="0" w:color="auto"/>
            <w:right w:val="none" w:sz="0" w:space="0" w:color="auto"/>
          </w:divBdr>
          <w:divsChild>
            <w:div w:id="1678726370">
              <w:marLeft w:val="0"/>
              <w:marRight w:val="0"/>
              <w:marTop w:val="0"/>
              <w:marBottom w:val="0"/>
              <w:divBdr>
                <w:top w:val="none" w:sz="0" w:space="0" w:color="auto"/>
                <w:left w:val="none" w:sz="0" w:space="0" w:color="auto"/>
                <w:bottom w:val="none" w:sz="0" w:space="0" w:color="auto"/>
                <w:right w:val="none" w:sz="0" w:space="0" w:color="auto"/>
              </w:divBdr>
            </w:div>
          </w:divsChild>
        </w:div>
        <w:div w:id="364261015">
          <w:marLeft w:val="0"/>
          <w:marRight w:val="0"/>
          <w:marTop w:val="0"/>
          <w:marBottom w:val="0"/>
          <w:divBdr>
            <w:top w:val="none" w:sz="0" w:space="0" w:color="auto"/>
            <w:left w:val="none" w:sz="0" w:space="0" w:color="auto"/>
            <w:bottom w:val="none" w:sz="0" w:space="0" w:color="auto"/>
            <w:right w:val="none" w:sz="0" w:space="0" w:color="auto"/>
          </w:divBdr>
          <w:divsChild>
            <w:div w:id="1423260617">
              <w:marLeft w:val="0"/>
              <w:marRight w:val="0"/>
              <w:marTop w:val="0"/>
              <w:marBottom w:val="0"/>
              <w:divBdr>
                <w:top w:val="none" w:sz="0" w:space="0" w:color="auto"/>
                <w:left w:val="none" w:sz="0" w:space="0" w:color="auto"/>
                <w:bottom w:val="none" w:sz="0" w:space="0" w:color="auto"/>
                <w:right w:val="none" w:sz="0" w:space="0" w:color="auto"/>
              </w:divBdr>
            </w:div>
          </w:divsChild>
        </w:div>
        <w:div w:id="435834491">
          <w:marLeft w:val="0"/>
          <w:marRight w:val="0"/>
          <w:marTop w:val="0"/>
          <w:marBottom w:val="0"/>
          <w:divBdr>
            <w:top w:val="none" w:sz="0" w:space="0" w:color="auto"/>
            <w:left w:val="none" w:sz="0" w:space="0" w:color="auto"/>
            <w:bottom w:val="none" w:sz="0" w:space="0" w:color="auto"/>
            <w:right w:val="none" w:sz="0" w:space="0" w:color="auto"/>
          </w:divBdr>
          <w:divsChild>
            <w:div w:id="2124493338">
              <w:marLeft w:val="0"/>
              <w:marRight w:val="0"/>
              <w:marTop w:val="0"/>
              <w:marBottom w:val="0"/>
              <w:divBdr>
                <w:top w:val="none" w:sz="0" w:space="0" w:color="auto"/>
                <w:left w:val="none" w:sz="0" w:space="0" w:color="auto"/>
                <w:bottom w:val="none" w:sz="0" w:space="0" w:color="auto"/>
                <w:right w:val="none" w:sz="0" w:space="0" w:color="auto"/>
              </w:divBdr>
            </w:div>
          </w:divsChild>
        </w:div>
        <w:div w:id="451821471">
          <w:marLeft w:val="0"/>
          <w:marRight w:val="0"/>
          <w:marTop w:val="0"/>
          <w:marBottom w:val="0"/>
          <w:divBdr>
            <w:top w:val="none" w:sz="0" w:space="0" w:color="auto"/>
            <w:left w:val="none" w:sz="0" w:space="0" w:color="auto"/>
            <w:bottom w:val="none" w:sz="0" w:space="0" w:color="auto"/>
            <w:right w:val="none" w:sz="0" w:space="0" w:color="auto"/>
          </w:divBdr>
          <w:divsChild>
            <w:div w:id="400442660">
              <w:marLeft w:val="0"/>
              <w:marRight w:val="0"/>
              <w:marTop w:val="0"/>
              <w:marBottom w:val="0"/>
              <w:divBdr>
                <w:top w:val="none" w:sz="0" w:space="0" w:color="auto"/>
                <w:left w:val="none" w:sz="0" w:space="0" w:color="auto"/>
                <w:bottom w:val="none" w:sz="0" w:space="0" w:color="auto"/>
                <w:right w:val="none" w:sz="0" w:space="0" w:color="auto"/>
              </w:divBdr>
            </w:div>
          </w:divsChild>
        </w:div>
        <w:div w:id="617034123">
          <w:marLeft w:val="0"/>
          <w:marRight w:val="0"/>
          <w:marTop w:val="0"/>
          <w:marBottom w:val="0"/>
          <w:divBdr>
            <w:top w:val="none" w:sz="0" w:space="0" w:color="auto"/>
            <w:left w:val="none" w:sz="0" w:space="0" w:color="auto"/>
            <w:bottom w:val="none" w:sz="0" w:space="0" w:color="auto"/>
            <w:right w:val="none" w:sz="0" w:space="0" w:color="auto"/>
          </w:divBdr>
          <w:divsChild>
            <w:div w:id="703871848">
              <w:marLeft w:val="0"/>
              <w:marRight w:val="0"/>
              <w:marTop w:val="0"/>
              <w:marBottom w:val="0"/>
              <w:divBdr>
                <w:top w:val="none" w:sz="0" w:space="0" w:color="auto"/>
                <w:left w:val="none" w:sz="0" w:space="0" w:color="auto"/>
                <w:bottom w:val="none" w:sz="0" w:space="0" w:color="auto"/>
                <w:right w:val="none" w:sz="0" w:space="0" w:color="auto"/>
              </w:divBdr>
            </w:div>
          </w:divsChild>
        </w:div>
        <w:div w:id="812062183">
          <w:marLeft w:val="0"/>
          <w:marRight w:val="0"/>
          <w:marTop w:val="0"/>
          <w:marBottom w:val="0"/>
          <w:divBdr>
            <w:top w:val="none" w:sz="0" w:space="0" w:color="auto"/>
            <w:left w:val="none" w:sz="0" w:space="0" w:color="auto"/>
            <w:bottom w:val="none" w:sz="0" w:space="0" w:color="auto"/>
            <w:right w:val="none" w:sz="0" w:space="0" w:color="auto"/>
          </w:divBdr>
          <w:divsChild>
            <w:div w:id="402341333">
              <w:marLeft w:val="0"/>
              <w:marRight w:val="0"/>
              <w:marTop w:val="0"/>
              <w:marBottom w:val="0"/>
              <w:divBdr>
                <w:top w:val="none" w:sz="0" w:space="0" w:color="auto"/>
                <w:left w:val="none" w:sz="0" w:space="0" w:color="auto"/>
                <w:bottom w:val="none" w:sz="0" w:space="0" w:color="auto"/>
                <w:right w:val="none" w:sz="0" w:space="0" w:color="auto"/>
              </w:divBdr>
            </w:div>
          </w:divsChild>
        </w:div>
        <w:div w:id="828520111">
          <w:marLeft w:val="0"/>
          <w:marRight w:val="0"/>
          <w:marTop w:val="0"/>
          <w:marBottom w:val="0"/>
          <w:divBdr>
            <w:top w:val="none" w:sz="0" w:space="0" w:color="auto"/>
            <w:left w:val="none" w:sz="0" w:space="0" w:color="auto"/>
            <w:bottom w:val="none" w:sz="0" w:space="0" w:color="auto"/>
            <w:right w:val="none" w:sz="0" w:space="0" w:color="auto"/>
          </w:divBdr>
          <w:divsChild>
            <w:div w:id="1999992074">
              <w:marLeft w:val="0"/>
              <w:marRight w:val="0"/>
              <w:marTop w:val="0"/>
              <w:marBottom w:val="0"/>
              <w:divBdr>
                <w:top w:val="none" w:sz="0" w:space="0" w:color="auto"/>
                <w:left w:val="none" w:sz="0" w:space="0" w:color="auto"/>
                <w:bottom w:val="none" w:sz="0" w:space="0" w:color="auto"/>
                <w:right w:val="none" w:sz="0" w:space="0" w:color="auto"/>
              </w:divBdr>
            </w:div>
          </w:divsChild>
        </w:div>
        <w:div w:id="1007370999">
          <w:marLeft w:val="0"/>
          <w:marRight w:val="0"/>
          <w:marTop w:val="0"/>
          <w:marBottom w:val="0"/>
          <w:divBdr>
            <w:top w:val="none" w:sz="0" w:space="0" w:color="auto"/>
            <w:left w:val="none" w:sz="0" w:space="0" w:color="auto"/>
            <w:bottom w:val="none" w:sz="0" w:space="0" w:color="auto"/>
            <w:right w:val="none" w:sz="0" w:space="0" w:color="auto"/>
          </w:divBdr>
          <w:divsChild>
            <w:div w:id="871654262">
              <w:marLeft w:val="0"/>
              <w:marRight w:val="0"/>
              <w:marTop w:val="0"/>
              <w:marBottom w:val="0"/>
              <w:divBdr>
                <w:top w:val="none" w:sz="0" w:space="0" w:color="auto"/>
                <w:left w:val="none" w:sz="0" w:space="0" w:color="auto"/>
                <w:bottom w:val="none" w:sz="0" w:space="0" w:color="auto"/>
                <w:right w:val="none" w:sz="0" w:space="0" w:color="auto"/>
              </w:divBdr>
            </w:div>
          </w:divsChild>
        </w:div>
        <w:div w:id="1068189973">
          <w:marLeft w:val="0"/>
          <w:marRight w:val="0"/>
          <w:marTop w:val="0"/>
          <w:marBottom w:val="0"/>
          <w:divBdr>
            <w:top w:val="none" w:sz="0" w:space="0" w:color="auto"/>
            <w:left w:val="none" w:sz="0" w:space="0" w:color="auto"/>
            <w:bottom w:val="none" w:sz="0" w:space="0" w:color="auto"/>
            <w:right w:val="none" w:sz="0" w:space="0" w:color="auto"/>
          </w:divBdr>
          <w:divsChild>
            <w:div w:id="1996645822">
              <w:marLeft w:val="0"/>
              <w:marRight w:val="0"/>
              <w:marTop w:val="0"/>
              <w:marBottom w:val="0"/>
              <w:divBdr>
                <w:top w:val="none" w:sz="0" w:space="0" w:color="auto"/>
                <w:left w:val="none" w:sz="0" w:space="0" w:color="auto"/>
                <w:bottom w:val="none" w:sz="0" w:space="0" w:color="auto"/>
                <w:right w:val="none" w:sz="0" w:space="0" w:color="auto"/>
              </w:divBdr>
            </w:div>
          </w:divsChild>
        </w:div>
        <w:div w:id="1124612460">
          <w:marLeft w:val="0"/>
          <w:marRight w:val="0"/>
          <w:marTop w:val="0"/>
          <w:marBottom w:val="0"/>
          <w:divBdr>
            <w:top w:val="none" w:sz="0" w:space="0" w:color="auto"/>
            <w:left w:val="none" w:sz="0" w:space="0" w:color="auto"/>
            <w:bottom w:val="none" w:sz="0" w:space="0" w:color="auto"/>
            <w:right w:val="none" w:sz="0" w:space="0" w:color="auto"/>
          </w:divBdr>
          <w:divsChild>
            <w:div w:id="91895450">
              <w:marLeft w:val="0"/>
              <w:marRight w:val="0"/>
              <w:marTop w:val="0"/>
              <w:marBottom w:val="0"/>
              <w:divBdr>
                <w:top w:val="none" w:sz="0" w:space="0" w:color="auto"/>
                <w:left w:val="none" w:sz="0" w:space="0" w:color="auto"/>
                <w:bottom w:val="none" w:sz="0" w:space="0" w:color="auto"/>
                <w:right w:val="none" w:sz="0" w:space="0" w:color="auto"/>
              </w:divBdr>
            </w:div>
          </w:divsChild>
        </w:div>
        <w:div w:id="1161387320">
          <w:marLeft w:val="0"/>
          <w:marRight w:val="0"/>
          <w:marTop w:val="0"/>
          <w:marBottom w:val="0"/>
          <w:divBdr>
            <w:top w:val="none" w:sz="0" w:space="0" w:color="auto"/>
            <w:left w:val="none" w:sz="0" w:space="0" w:color="auto"/>
            <w:bottom w:val="none" w:sz="0" w:space="0" w:color="auto"/>
            <w:right w:val="none" w:sz="0" w:space="0" w:color="auto"/>
          </w:divBdr>
          <w:divsChild>
            <w:div w:id="1416587900">
              <w:marLeft w:val="0"/>
              <w:marRight w:val="0"/>
              <w:marTop w:val="0"/>
              <w:marBottom w:val="0"/>
              <w:divBdr>
                <w:top w:val="none" w:sz="0" w:space="0" w:color="auto"/>
                <w:left w:val="none" w:sz="0" w:space="0" w:color="auto"/>
                <w:bottom w:val="none" w:sz="0" w:space="0" w:color="auto"/>
                <w:right w:val="none" w:sz="0" w:space="0" w:color="auto"/>
              </w:divBdr>
            </w:div>
          </w:divsChild>
        </w:div>
        <w:div w:id="1635333075">
          <w:marLeft w:val="0"/>
          <w:marRight w:val="0"/>
          <w:marTop w:val="0"/>
          <w:marBottom w:val="0"/>
          <w:divBdr>
            <w:top w:val="none" w:sz="0" w:space="0" w:color="auto"/>
            <w:left w:val="none" w:sz="0" w:space="0" w:color="auto"/>
            <w:bottom w:val="none" w:sz="0" w:space="0" w:color="auto"/>
            <w:right w:val="none" w:sz="0" w:space="0" w:color="auto"/>
          </w:divBdr>
          <w:divsChild>
            <w:div w:id="1317077471">
              <w:marLeft w:val="0"/>
              <w:marRight w:val="0"/>
              <w:marTop w:val="0"/>
              <w:marBottom w:val="0"/>
              <w:divBdr>
                <w:top w:val="none" w:sz="0" w:space="0" w:color="auto"/>
                <w:left w:val="none" w:sz="0" w:space="0" w:color="auto"/>
                <w:bottom w:val="none" w:sz="0" w:space="0" w:color="auto"/>
                <w:right w:val="none" w:sz="0" w:space="0" w:color="auto"/>
              </w:divBdr>
            </w:div>
          </w:divsChild>
        </w:div>
        <w:div w:id="1635988408">
          <w:marLeft w:val="0"/>
          <w:marRight w:val="0"/>
          <w:marTop w:val="0"/>
          <w:marBottom w:val="0"/>
          <w:divBdr>
            <w:top w:val="none" w:sz="0" w:space="0" w:color="auto"/>
            <w:left w:val="none" w:sz="0" w:space="0" w:color="auto"/>
            <w:bottom w:val="none" w:sz="0" w:space="0" w:color="auto"/>
            <w:right w:val="none" w:sz="0" w:space="0" w:color="auto"/>
          </w:divBdr>
          <w:divsChild>
            <w:div w:id="1523009043">
              <w:marLeft w:val="0"/>
              <w:marRight w:val="0"/>
              <w:marTop w:val="0"/>
              <w:marBottom w:val="0"/>
              <w:divBdr>
                <w:top w:val="none" w:sz="0" w:space="0" w:color="auto"/>
                <w:left w:val="none" w:sz="0" w:space="0" w:color="auto"/>
                <w:bottom w:val="none" w:sz="0" w:space="0" w:color="auto"/>
                <w:right w:val="none" w:sz="0" w:space="0" w:color="auto"/>
              </w:divBdr>
            </w:div>
          </w:divsChild>
        </w:div>
        <w:div w:id="1670056391">
          <w:marLeft w:val="0"/>
          <w:marRight w:val="0"/>
          <w:marTop w:val="0"/>
          <w:marBottom w:val="0"/>
          <w:divBdr>
            <w:top w:val="none" w:sz="0" w:space="0" w:color="auto"/>
            <w:left w:val="none" w:sz="0" w:space="0" w:color="auto"/>
            <w:bottom w:val="none" w:sz="0" w:space="0" w:color="auto"/>
            <w:right w:val="none" w:sz="0" w:space="0" w:color="auto"/>
          </w:divBdr>
          <w:divsChild>
            <w:div w:id="1260017583">
              <w:marLeft w:val="0"/>
              <w:marRight w:val="0"/>
              <w:marTop w:val="0"/>
              <w:marBottom w:val="0"/>
              <w:divBdr>
                <w:top w:val="none" w:sz="0" w:space="0" w:color="auto"/>
                <w:left w:val="none" w:sz="0" w:space="0" w:color="auto"/>
                <w:bottom w:val="none" w:sz="0" w:space="0" w:color="auto"/>
                <w:right w:val="none" w:sz="0" w:space="0" w:color="auto"/>
              </w:divBdr>
            </w:div>
          </w:divsChild>
        </w:div>
        <w:div w:id="1728454659">
          <w:marLeft w:val="0"/>
          <w:marRight w:val="0"/>
          <w:marTop w:val="0"/>
          <w:marBottom w:val="0"/>
          <w:divBdr>
            <w:top w:val="none" w:sz="0" w:space="0" w:color="auto"/>
            <w:left w:val="none" w:sz="0" w:space="0" w:color="auto"/>
            <w:bottom w:val="none" w:sz="0" w:space="0" w:color="auto"/>
            <w:right w:val="none" w:sz="0" w:space="0" w:color="auto"/>
          </w:divBdr>
          <w:divsChild>
            <w:div w:id="2125886271">
              <w:marLeft w:val="0"/>
              <w:marRight w:val="0"/>
              <w:marTop w:val="0"/>
              <w:marBottom w:val="0"/>
              <w:divBdr>
                <w:top w:val="none" w:sz="0" w:space="0" w:color="auto"/>
                <w:left w:val="none" w:sz="0" w:space="0" w:color="auto"/>
                <w:bottom w:val="none" w:sz="0" w:space="0" w:color="auto"/>
                <w:right w:val="none" w:sz="0" w:space="0" w:color="auto"/>
              </w:divBdr>
            </w:div>
          </w:divsChild>
        </w:div>
        <w:div w:id="1931044771">
          <w:marLeft w:val="0"/>
          <w:marRight w:val="0"/>
          <w:marTop w:val="0"/>
          <w:marBottom w:val="0"/>
          <w:divBdr>
            <w:top w:val="none" w:sz="0" w:space="0" w:color="auto"/>
            <w:left w:val="none" w:sz="0" w:space="0" w:color="auto"/>
            <w:bottom w:val="none" w:sz="0" w:space="0" w:color="auto"/>
            <w:right w:val="none" w:sz="0" w:space="0" w:color="auto"/>
          </w:divBdr>
          <w:divsChild>
            <w:div w:id="1072312663">
              <w:marLeft w:val="0"/>
              <w:marRight w:val="0"/>
              <w:marTop w:val="0"/>
              <w:marBottom w:val="0"/>
              <w:divBdr>
                <w:top w:val="none" w:sz="0" w:space="0" w:color="auto"/>
                <w:left w:val="none" w:sz="0" w:space="0" w:color="auto"/>
                <w:bottom w:val="none" w:sz="0" w:space="0" w:color="auto"/>
                <w:right w:val="none" w:sz="0" w:space="0" w:color="auto"/>
              </w:divBdr>
            </w:div>
          </w:divsChild>
        </w:div>
        <w:div w:id="2109812897">
          <w:marLeft w:val="0"/>
          <w:marRight w:val="0"/>
          <w:marTop w:val="0"/>
          <w:marBottom w:val="0"/>
          <w:divBdr>
            <w:top w:val="none" w:sz="0" w:space="0" w:color="auto"/>
            <w:left w:val="none" w:sz="0" w:space="0" w:color="auto"/>
            <w:bottom w:val="none" w:sz="0" w:space="0" w:color="auto"/>
            <w:right w:val="none" w:sz="0" w:space="0" w:color="auto"/>
          </w:divBdr>
          <w:divsChild>
            <w:div w:id="1487084462">
              <w:marLeft w:val="0"/>
              <w:marRight w:val="0"/>
              <w:marTop w:val="0"/>
              <w:marBottom w:val="0"/>
              <w:divBdr>
                <w:top w:val="none" w:sz="0" w:space="0" w:color="auto"/>
                <w:left w:val="none" w:sz="0" w:space="0" w:color="auto"/>
                <w:bottom w:val="none" w:sz="0" w:space="0" w:color="auto"/>
                <w:right w:val="none" w:sz="0" w:space="0" w:color="auto"/>
              </w:divBdr>
            </w:div>
          </w:divsChild>
        </w:div>
        <w:div w:id="2132282347">
          <w:marLeft w:val="0"/>
          <w:marRight w:val="0"/>
          <w:marTop w:val="0"/>
          <w:marBottom w:val="0"/>
          <w:divBdr>
            <w:top w:val="none" w:sz="0" w:space="0" w:color="auto"/>
            <w:left w:val="none" w:sz="0" w:space="0" w:color="auto"/>
            <w:bottom w:val="none" w:sz="0" w:space="0" w:color="auto"/>
            <w:right w:val="none" w:sz="0" w:space="0" w:color="auto"/>
          </w:divBdr>
          <w:divsChild>
            <w:div w:id="11431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666220">
      <w:bodyDiv w:val="1"/>
      <w:marLeft w:val="0"/>
      <w:marRight w:val="0"/>
      <w:marTop w:val="0"/>
      <w:marBottom w:val="0"/>
      <w:divBdr>
        <w:top w:val="none" w:sz="0" w:space="0" w:color="auto"/>
        <w:left w:val="none" w:sz="0" w:space="0" w:color="auto"/>
        <w:bottom w:val="none" w:sz="0" w:space="0" w:color="auto"/>
        <w:right w:val="none" w:sz="0" w:space="0" w:color="auto"/>
      </w:divBdr>
      <w:divsChild>
        <w:div w:id="1709069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4561277">
      <w:bodyDiv w:val="1"/>
      <w:marLeft w:val="0"/>
      <w:marRight w:val="0"/>
      <w:marTop w:val="0"/>
      <w:marBottom w:val="0"/>
      <w:divBdr>
        <w:top w:val="none" w:sz="0" w:space="0" w:color="auto"/>
        <w:left w:val="none" w:sz="0" w:space="0" w:color="auto"/>
        <w:bottom w:val="none" w:sz="0" w:space="0" w:color="auto"/>
        <w:right w:val="none" w:sz="0" w:space="0" w:color="auto"/>
      </w:divBdr>
    </w:div>
    <w:div w:id="1296259493">
      <w:bodyDiv w:val="1"/>
      <w:marLeft w:val="0"/>
      <w:marRight w:val="0"/>
      <w:marTop w:val="0"/>
      <w:marBottom w:val="0"/>
      <w:divBdr>
        <w:top w:val="none" w:sz="0" w:space="0" w:color="auto"/>
        <w:left w:val="none" w:sz="0" w:space="0" w:color="auto"/>
        <w:bottom w:val="none" w:sz="0" w:space="0" w:color="auto"/>
        <w:right w:val="none" w:sz="0" w:space="0" w:color="auto"/>
      </w:divBdr>
      <w:divsChild>
        <w:div w:id="30763221">
          <w:marLeft w:val="0"/>
          <w:marRight w:val="0"/>
          <w:marTop w:val="0"/>
          <w:marBottom w:val="0"/>
          <w:divBdr>
            <w:top w:val="none" w:sz="0" w:space="0" w:color="auto"/>
            <w:left w:val="none" w:sz="0" w:space="0" w:color="auto"/>
            <w:bottom w:val="none" w:sz="0" w:space="0" w:color="auto"/>
            <w:right w:val="none" w:sz="0" w:space="0" w:color="auto"/>
          </w:divBdr>
          <w:divsChild>
            <w:div w:id="1060519366">
              <w:marLeft w:val="0"/>
              <w:marRight w:val="0"/>
              <w:marTop w:val="0"/>
              <w:marBottom w:val="0"/>
              <w:divBdr>
                <w:top w:val="none" w:sz="0" w:space="0" w:color="auto"/>
                <w:left w:val="none" w:sz="0" w:space="0" w:color="auto"/>
                <w:bottom w:val="none" w:sz="0" w:space="0" w:color="auto"/>
                <w:right w:val="none" w:sz="0" w:space="0" w:color="auto"/>
              </w:divBdr>
            </w:div>
          </w:divsChild>
        </w:div>
        <w:div w:id="85198543">
          <w:marLeft w:val="0"/>
          <w:marRight w:val="0"/>
          <w:marTop w:val="0"/>
          <w:marBottom w:val="0"/>
          <w:divBdr>
            <w:top w:val="none" w:sz="0" w:space="0" w:color="auto"/>
            <w:left w:val="none" w:sz="0" w:space="0" w:color="auto"/>
            <w:bottom w:val="none" w:sz="0" w:space="0" w:color="auto"/>
            <w:right w:val="none" w:sz="0" w:space="0" w:color="auto"/>
          </w:divBdr>
          <w:divsChild>
            <w:div w:id="1185290255">
              <w:marLeft w:val="0"/>
              <w:marRight w:val="0"/>
              <w:marTop w:val="0"/>
              <w:marBottom w:val="0"/>
              <w:divBdr>
                <w:top w:val="none" w:sz="0" w:space="0" w:color="auto"/>
                <w:left w:val="none" w:sz="0" w:space="0" w:color="auto"/>
                <w:bottom w:val="none" w:sz="0" w:space="0" w:color="auto"/>
                <w:right w:val="none" w:sz="0" w:space="0" w:color="auto"/>
              </w:divBdr>
            </w:div>
          </w:divsChild>
        </w:div>
        <w:div w:id="86771971">
          <w:marLeft w:val="0"/>
          <w:marRight w:val="0"/>
          <w:marTop w:val="0"/>
          <w:marBottom w:val="0"/>
          <w:divBdr>
            <w:top w:val="none" w:sz="0" w:space="0" w:color="auto"/>
            <w:left w:val="none" w:sz="0" w:space="0" w:color="auto"/>
            <w:bottom w:val="none" w:sz="0" w:space="0" w:color="auto"/>
            <w:right w:val="none" w:sz="0" w:space="0" w:color="auto"/>
          </w:divBdr>
          <w:divsChild>
            <w:div w:id="479884283">
              <w:marLeft w:val="0"/>
              <w:marRight w:val="0"/>
              <w:marTop w:val="0"/>
              <w:marBottom w:val="0"/>
              <w:divBdr>
                <w:top w:val="none" w:sz="0" w:space="0" w:color="auto"/>
                <w:left w:val="none" w:sz="0" w:space="0" w:color="auto"/>
                <w:bottom w:val="none" w:sz="0" w:space="0" w:color="auto"/>
                <w:right w:val="none" w:sz="0" w:space="0" w:color="auto"/>
              </w:divBdr>
            </w:div>
          </w:divsChild>
        </w:div>
        <w:div w:id="87896918">
          <w:marLeft w:val="0"/>
          <w:marRight w:val="0"/>
          <w:marTop w:val="0"/>
          <w:marBottom w:val="0"/>
          <w:divBdr>
            <w:top w:val="none" w:sz="0" w:space="0" w:color="auto"/>
            <w:left w:val="none" w:sz="0" w:space="0" w:color="auto"/>
            <w:bottom w:val="none" w:sz="0" w:space="0" w:color="auto"/>
            <w:right w:val="none" w:sz="0" w:space="0" w:color="auto"/>
          </w:divBdr>
          <w:divsChild>
            <w:div w:id="145820794">
              <w:marLeft w:val="0"/>
              <w:marRight w:val="0"/>
              <w:marTop w:val="0"/>
              <w:marBottom w:val="0"/>
              <w:divBdr>
                <w:top w:val="none" w:sz="0" w:space="0" w:color="auto"/>
                <w:left w:val="none" w:sz="0" w:space="0" w:color="auto"/>
                <w:bottom w:val="none" w:sz="0" w:space="0" w:color="auto"/>
                <w:right w:val="none" w:sz="0" w:space="0" w:color="auto"/>
              </w:divBdr>
            </w:div>
            <w:div w:id="993334127">
              <w:marLeft w:val="0"/>
              <w:marRight w:val="0"/>
              <w:marTop w:val="0"/>
              <w:marBottom w:val="0"/>
              <w:divBdr>
                <w:top w:val="none" w:sz="0" w:space="0" w:color="auto"/>
                <w:left w:val="none" w:sz="0" w:space="0" w:color="auto"/>
                <w:bottom w:val="none" w:sz="0" w:space="0" w:color="auto"/>
                <w:right w:val="none" w:sz="0" w:space="0" w:color="auto"/>
              </w:divBdr>
            </w:div>
          </w:divsChild>
        </w:div>
        <w:div w:id="98260167">
          <w:marLeft w:val="0"/>
          <w:marRight w:val="0"/>
          <w:marTop w:val="0"/>
          <w:marBottom w:val="0"/>
          <w:divBdr>
            <w:top w:val="none" w:sz="0" w:space="0" w:color="auto"/>
            <w:left w:val="none" w:sz="0" w:space="0" w:color="auto"/>
            <w:bottom w:val="none" w:sz="0" w:space="0" w:color="auto"/>
            <w:right w:val="none" w:sz="0" w:space="0" w:color="auto"/>
          </w:divBdr>
          <w:divsChild>
            <w:div w:id="1326205747">
              <w:marLeft w:val="0"/>
              <w:marRight w:val="0"/>
              <w:marTop w:val="0"/>
              <w:marBottom w:val="0"/>
              <w:divBdr>
                <w:top w:val="none" w:sz="0" w:space="0" w:color="auto"/>
                <w:left w:val="none" w:sz="0" w:space="0" w:color="auto"/>
                <w:bottom w:val="none" w:sz="0" w:space="0" w:color="auto"/>
                <w:right w:val="none" w:sz="0" w:space="0" w:color="auto"/>
              </w:divBdr>
            </w:div>
          </w:divsChild>
        </w:div>
        <w:div w:id="103615500">
          <w:marLeft w:val="0"/>
          <w:marRight w:val="0"/>
          <w:marTop w:val="0"/>
          <w:marBottom w:val="0"/>
          <w:divBdr>
            <w:top w:val="none" w:sz="0" w:space="0" w:color="auto"/>
            <w:left w:val="none" w:sz="0" w:space="0" w:color="auto"/>
            <w:bottom w:val="none" w:sz="0" w:space="0" w:color="auto"/>
            <w:right w:val="none" w:sz="0" w:space="0" w:color="auto"/>
          </w:divBdr>
          <w:divsChild>
            <w:div w:id="860699562">
              <w:marLeft w:val="0"/>
              <w:marRight w:val="0"/>
              <w:marTop w:val="0"/>
              <w:marBottom w:val="0"/>
              <w:divBdr>
                <w:top w:val="none" w:sz="0" w:space="0" w:color="auto"/>
                <w:left w:val="none" w:sz="0" w:space="0" w:color="auto"/>
                <w:bottom w:val="none" w:sz="0" w:space="0" w:color="auto"/>
                <w:right w:val="none" w:sz="0" w:space="0" w:color="auto"/>
              </w:divBdr>
            </w:div>
          </w:divsChild>
        </w:div>
        <w:div w:id="109787230">
          <w:marLeft w:val="0"/>
          <w:marRight w:val="0"/>
          <w:marTop w:val="0"/>
          <w:marBottom w:val="0"/>
          <w:divBdr>
            <w:top w:val="none" w:sz="0" w:space="0" w:color="auto"/>
            <w:left w:val="none" w:sz="0" w:space="0" w:color="auto"/>
            <w:bottom w:val="none" w:sz="0" w:space="0" w:color="auto"/>
            <w:right w:val="none" w:sz="0" w:space="0" w:color="auto"/>
          </w:divBdr>
          <w:divsChild>
            <w:div w:id="52848116">
              <w:marLeft w:val="0"/>
              <w:marRight w:val="0"/>
              <w:marTop w:val="0"/>
              <w:marBottom w:val="0"/>
              <w:divBdr>
                <w:top w:val="none" w:sz="0" w:space="0" w:color="auto"/>
                <w:left w:val="none" w:sz="0" w:space="0" w:color="auto"/>
                <w:bottom w:val="none" w:sz="0" w:space="0" w:color="auto"/>
                <w:right w:val="none" w:sz="0" w:space="0" w:color="auto"/>
              </w:divBdr>
            </w:div>
            <w:div w:id="248274102">
              <w:marLeft w:val="0"/>
              <w:marRight w:val="0"/>
              <w:marTop w:val="0"/>
              <w:marBottom w:val="0"/>
              <w:divBdr>
                <w:top w:val="none" w:sz="0" w:space="0" w:color="auto"/>
                <w:left w:val="none" w:sz="0" w:space="0" w:color="auto"/>
                <w:bottom w:val="none" w:sz="0" w:space="0" w:color="auto"/>
                <w:right w:val="none" w:sz="0" w:space="0" w:color="auto"/>
              </w:divBdr>
            </w:div>
            <w:div w:id="256644882">
              <w:marLeft w:val="0"/>
              <w:marRight w:val="0"/>
              <w:marTop w:val="0"/>
              <w:marBottom w:val="0"/>
              <w:divBdr>
                <w:top w:val="none" w:sz="0" w:space="0" w:color="auto"/>
                <w:left w:val="none" w:sz="0" w:space="0" w:color="auto"/>
                <w:bottom w:val="none" w:sz="0" w:space="0" w:color="auto"/>
                <w:right w:val="none" w:sz="0" w:space="0" w:color="auto"/>
              </w:divBdr>
            </w:div>
            <w:div w:id="1671328743">
              <w:marLeft w:val="0"/>
              <w:marRight w:val="0"/>
              <w:marTop w:val="0"/>
              <w:marBottom w:val="0"/>
              <w:divBdr>
                <w:top w:val="none" w:sz="0" w:space="0" w:color="auto"/>
                <w:left w:val="none" w:sz="0" w:space="0" w:color="auto"/>
                <w:bottom w:val="none" w:sz="0" w:space="0" w:color="auto"/>
                <w:right w:val="none" w:sz="0" w:space="0" w:color="auto"/>
              </w:divBdr>
            </w:div>
            <w:div w:id="1833906516">
              <w:marLeft w:val="0"/>
              <w:marRight w:val="0"/>
              <w:marTop w:val="0"/>
              <w:marBottom w:val="0"/>
              <w:divBdr>
                <w:top w:val="none" w:sz="0" w:space="0" w:color="auto"/>
                <w:left w:val="none" w:sz="0" w:space="0" w:color="auto"/>
                <w:bottom w:val="none" w:sz="0" w:space="0" w:color="auto"/>
                <w:right w:val="none" w:sz="0" w:space="0" w:color="auto"/>
              </w:divBdr>
            </w:div>
          </w:divsChild>
        </w:div>
        <w:div w:id="110588057">
          <w:marLeft w:val="0"/>
          <w:marRight w:val="0"/>
          <w:marTop w:val="0"/>
          <w:marBottom w:val="0"/>
          <w:divBdr>
            <w:top w:val="none" w:sz="0" w:space="0" w:color="auto"/>
            <w:left w:val="none" w:sz="0" w:space="0" w:color="auto"/>
            <w:bottom w:val="none" w:sz="0" w:space="0" w:color="auto"/>
            <w:right w:val="none" w:sz="0" w:space="0" w:color="auto"/>
          </w:divBdr>
          <w:divsChild>
            <w:div w:id="817961209">
              <w:marLeft w:val="0"/>
              <w:marRight w:val="0"/>
              <w:marTop w:val="0"/>
              <w:marBottom w:val="0"/>
              <w:divBdr>
                <w:top w:val="none" w:sz="0" w:space="0" w:color="auto"/>
                <w:left w:val="none" w:sz="0" w:space="0" w:color="auto"/>
                <w:bottom w:val="none" w:sz="0" w:space="0" w:color="auto"/>
                <w:right w:val="none" w:sz="0" w:space="0" w:color="auto"/>
              </w:divBdr>
            </w:div>
          </w:divsChild>
        </w:div>
        <w:div w:id="137694026">
          <w:marLeft w:val="0"/>
          <w:marRight w:val="0"/>
          <w:marTop w:val="0"/>
          <w:marBottom w:val="0"/>
          <w:divBdr>
            <w:top w:val="none" w:sz="0" w:space="0" w:color="auto"/>
            <w:left w:val="none" w:sz="0" w:space="0" w:color="auto"/>
            <w:bottom w:val="none" w:sz="0" w:space="0" w:color="auto"/>
            <w:right w:val="none" w:sz="0" w:space="0" w:color="auto"/>
          </w:divBdr>
          <w:divsChild>
            <w:div w:id="1098213941">
              <w:marLeft w:val="0"/>
              <w:marRight w:val="0"/>
              <w:marTop w:val="0"/>
              <w:marBottom w:val="0"/>
              <w:divBdr>
                <w:top w:val="none" w:sz="0" w:space="0" w:color="auto"/>
                <w:left w:val="none" w:sz="0" w:space="0" w:color="auto"/>
                <w:bottom w:val="none" w:sz="0" w:space="0" w:color="auto"/>
                <w:right w:val="none" w:sz="0" w:space="0" w:color="auto"/>
              </w:divBdr>
            </w:div>
          </w:divsChild>
        </w:div>
        <w:div w:id="147484856">
          <w:marLeft w:val="0"/>
          <w:marRight w:val="0"/>
          <w:marTop w:val="0"/>
          <w:marBottom w:val="0"/>
          <w:divBdr>
            <w:top w:val="none" w:sz="0" w:space="0" w:color="auto"/>
            <w:left w:val="none" w:sz="0" w:space="0" w:color="auto"/>
            <w:bottom w:val="none" w:sz="0" w:space="0" w:color="auto"/>
            <w:right w:val="none" w:sz="0" w:space="0" w:color="auto"/>
          </w:divBdr>
          <w:divsChild>
            <w:div w:id="1287004489">
              <w:marLeft w:val="0"/>
              <w:marRight w:val="0"/>
              <w:marTop w:val="0"/>
              <w:marBottom w:val="0"/>
              <w:divBdr>
                <w:top w:val="none" w:sz="0" w:space="0" w:color="auto"/>
                <w:left w:val="none" w:sz="0" w:space="0" w:color="auto"/>
                <w:bottom w:val="none" w:sz="0" w:space="0" w:color="auto"/>
                <w:right w:val="none" w:sz="0" w:space="0" w:color="auto"/>
              </w:divBdr>
            </w:div>
          </w:divsChild>
        </w:div>
        <w:div w:id="243685495">
          <w:marLeft w:val="0"/>
          <w:marRight w:val="0"/>
          <w:marTop w:val="0"/>
          <w:marBottom w:val="0"/>
          <w:divBdr>
            <w:top w:val="none" w:sz="0" w:space="0" w:color="auto"/>
            <w:left w:val="none" w:sz="0" w:space="0" w:color="auto"/>
            <w:bottom w:val="none" w:sz="0" w:space="0" w:color="auto"/>
            <w:right w:val="none" w:sz="0" w:space="0" w:color="auto"/>
          </w:divBdr>
          <w:divsChild>
            <w:div w:id="2070498553">
              <w:marLeft w:val="0"/>
              <w:marRight w:val="0"/>
              <w:marTop w:val="0"/>
              <w:marBottom w:val="0"/>
              <w:divBdr>
                <w:top w:val="none" w:sz="0" w:space="0" w:color="auto"/>
                <w:left w:val="none" w:sz="0" w:space="0" w:color="auto"/>
                <w:bottom w:val="none" w:sz="0" w:space="0" w:color="auto"/>
                <w:right w:val="none" w:sz="0" w:space="0" w:color="auto"/>
              </w:divBdr>
            </w:div>
          </w:divsChild>
        </w:div>
        <w:div w:id="357899819">
          <w:marLeft w:val="0"/>
          <w:marRight w:val="0"/>
          <w:marTop w:val="0"/>
          <w:marBottom w:val="0"/>
          <w:divBdr>
            <w:top w:val="none" w:sz="0" w:space="0" w:color="auto"/>
            <w:left w:val="none" w:sz="0" w:space="0" w:color="auto"/>
            <w:bottom w:val="none" w:sz="0" w:space="0" w:color="auto"/>
            <w:right w:val="none" w:sz="0" w:space="0" w:color="auto"/>
          </w:divBdr>
          <w:divsChild>
            <w:div w:id="1037049075">
              <w:marLeft w:val="0"/>
              <w:marRight w:val="0"/>
              <w:marTop w:val="0"/>
              <w:marBottom w:val="0"/>
              <w:divBdr>
                <w:top w:val="none" w:sz="0" w:space="0" w:color="auto"/>
                <w:left w:val="none" w:sz="0" w:space="0" w:color="auto"/>
                <w:bottom w:val="none" w:sz="0" w:space="0" w:color="auto"/>
                <w:right w:val="none" w:sz="0" w:space="0" w:color="auto"/>
              </w:divBdr>
            </w:div>
          </w:divsChild>
        </w:div>
        <w:div w:id="367603270">
          <w:marLeft w:val="0"/>
          <w:marRight w:val="0"/>
          <w:marTop w:val="0"/>
          <w:marBottom w:val="0"/>
          <w:divBdr>
            <w:top w:val="none" w:sz="0" w:space="0" w:color="auto"/>
            <w:left w:val="none" w:sz="0" w:space="0" w:color="auto"/>
            <w:bottom w:val="none" w:sz="0" w:space="0" w:color="auto"/>
            <w:right w:val="none" w:sz="0" w:space="0" w:color="auto"/>
          </w:divBdr>
          <w:divsChild>
            <w:div w:id="1686783455">
              <w:marLeft w:val="0"/>
              <w:marRight w:val="0"/>
              <w:marTop w:val="0"/>
              <w:marBottom w:val="0"/>
              <w:divBdr>
                <w:top w:val="none" w:sz="0" w:space="0" w:color="auto"/>
                <w:left w:val="none" w:sz="0" w:space="0" w:color="auto"/>
                <w:bottom w:val="none" w:sz="0" w:space="0" w:color="auto"/>
                <w:right w:val="none" w:sz="0" w:space="0" w:color="auto"/>
              </w:divBdr>
            </w:div>
          </w:divsChild>
        </w:div>
        <w:div w:id="368575210">
          <w:marLeft w:val="0"/>
          <w:marRight w:val="0"/>
          <w:marTop w:val="0"/>
          <w:marBottom w:val="0"/>
          <w:divBdr>
            <w:top w:val="none" w:sz="0" w:space="0" w:color="auto"/>
            <w:left w:val="none" w:sz="0" w:space="0" w:color="auto"/>
            <w:bottom w:val="none" w:sz="0" w:space="0" w:color="auto"/>
            <w:right w:val="none" w:sz="0" w:space="0" w:color="auto"/>
          </w:divBdr>
          <w:divsChild>
            <w:div w:id="1200776106">
              <w:marLeft w:val="0"/>
              <w:marRight w:val="0"/>
              <w:marTop w:val="0"/>
              <w:marBottom w:val="0"/>
              <w:divBdr>
                <w:top w:val="none" w:sz="0" w:space="0" w:color="auto"/>
                <w:left w:val="none" w:sz="0" w:space="0" w:color="auto"/>
                <w:bottom w:val="none" w:sz="0" w:space="0" w:color="auto"/>
                <w:right w:val="none" w:sz="0" w:space="0" w:color="auto"/>
              </w:divBdr>
            </w:div>
          </w:divsChild>
        </w:div>
        <w:div w:id="453790230">
          <w:marLeft w:val="0"/>
          <w:marRight w:val="0"/>
          <w:marTop w:val="0"/>
          <w:marBottom w:val="0"/>
          <w:divBdr>
            <w:top w:val="none" w:sz="0" w:space="0" w:color="auto"/>
            <w:left w:val="none" w:sz="0" w:space="0" w:color="auto"/>
            <w:bottom w:val="none" w:sz="0" w:space="0" w:color="auto"/>
            <w:right w:val="none" w:sz="0" w:space="0" w:color="auto"/>
          </w:divBdr>
          <w:divsChild>
            <w:div w:id="142817288">
              <w:marLeft w:val="0"/>
              <w:marRight w:val="0"/>
              <w:marTop w:val="0"/>
              <w:marBottom w:val="0"/>
              <w:divBdr>
                <w:top w:val="none" w:sz="0" w:space="0" w:color="auto"/>
                <w:left w:val="none" w:sz="0" w:space="0" w:color="auto"/>
                <w:bottom w:val="none" w:sz="0" w:space="0" w:color="auto"/>
                <w:right w:val="none" w:sz="0" w:space="0" w:color="auto"/>
              </w:divBdr>
            </w:div>
            <w:div w:id="415829717">
              <w:marLeft w:val="0"/>
              <w:marRight w:val="0"/>
              <w:marTop w:val="0"/>
              <w:marBottom w:val="0"/>
              <w:divBdr>
                <w:top w:val="none" w:sz="0" w:space="0" w:color="auto"/>
                <w:left w:val="none" w:sz="0" w:space="0" w:color="auto"/>
                <w:bottom w:val="none" w:sz="0" w:space="0" w:color="auto"/>
                <w:right w:val="none" w:sz="0" w:space="0" w:color="auto"/>
              </w:divBdr>
            </w:div>
          </w:divsChild>
        </w:div>
        <w:div w:id="504323643">
          <w:marLeft w:val="0"/>
          <w:marRight w:val="0"/>
          <w:marTop w:val="0"/>
          <w:marBottom w:val="0"/>
          <w:divBdr>
            <w:top w:val="none" w:sz="0" w:space="0" w:color="auto"/>
            <w:left w:val="none" w:sz="0" w:space="0" w:color="auto"/>
            <w:bottom w:val="none" w:sz="0" w:space="0" w:color="auto"/>
            <w:right w:val="none" w:sz="0" w:space="0" w:color="auto"/>
          </w:divBdr>
          <w:divsChild>
            <w:div w:id="1863663261">
              <w:marLeft w:val="0"/>
              <w:marRight w:val="0"/>
              <w:marTop w:val="0"/>
              <w:marBottom w:val="0"/>
              <w:divBdr>
                <w:top w:val="none" w:sz="0" w:space="0" w:color="auto"/>
                <w:left w:val="none" w:sz="0" w:space="0" w:color="auto"/>
                <w:bottom w:val="none" w:sz="0" w:space="0" w:color="auto"/>
                <w:right w:val="none" w:sz="0" w:space="0" w:color="auto"/>
              </w:divBdr>
            </w:div>
          </w:divsChild>
        </w:div>
        <w:div w:id="528876033">
          <w:marLeft w:val="0"/>
          <w:marRight w:val="0"/>
          <w:marTop w:val="0"/>
          <w:marBottom w:val="0"/>
          <w:divBdr>
            <w:top w:val="none" w:sz="0" w:space="0" w:color="auto"/>
            <w:left w:val="none" w:sz="0" w:space="0" w:color="auto"/>
            <w:bottom w:val="none" w:sz="0" w:space="0" w:color="auto"/>
            <w:right w:val="none" w:sz="0" w:space="0" w:color="auto"/>
          </w:divBdr>
          <w:divsChild>
            <w:div w:id="990407178">
              <w:marLeft w:val="0"/>
              <w:marRight w:val="0"/>
              <w:marTop w:val="0"/>
              <w:marBottom w:val="0"/>
              <w:divBdr>
                <w:top w:val="none" w:sz="0" w:space="0" w:color="auto"/>
                <w:left w:val="none" w:sz="0" w:space="0" w:color="auto"/>
                <w:bottom w:val="none" w:sz="0" w:space="0" w:color="auto"/>
                <w:right w:val="none" w:sz="0" w:space="0" w:color="auto"/>
              </w:divBdr>
            </w:div>
          </w:divsChild>
        </w:div>
        <w:div w:id="548031642">
          <w:marLeft w:val="0"/>
          <w:marRight w:val="0"/>
          <w:marTop w:val="0"/>
          <w:marBottom w:val="0"/>
          <w:divBdr>
            <w:top w:val="none" w:sz="0" w:space="0" w:color="auto"/>
            <w:left w:val="none" w:sz="0" w:space="0" w:color="auto"/>
            <w:bottom w:val="none" w:sz="0" w:space="0" w:color="auto"/>
            <w:right w:val="none" w:sz="0" w:space="0" w:color="auto"/>
          </w:divBdr>
          <w:divsChild>
            <w:div w:id="1423335553">
              <w:marLeft w:val="0"/>
              <w:marRight w:val="0"/>
              <w:marTop w:val="0"/>
              <w:marBottom w:val="0"/>
              <w:divBdr>
                <w:top w:val="none" w:sz="0" w:space="0" w:color="auto"/>
                <w:left w:val="none" w:sz="0" w:space="0" w:color="auto"/>
                <w:bottom w:val="none" w:sz="0" w:space="0" w:color="auto"/>
                <w:right w:val="none" w:sz="0" w:space="0" w:color="auto"/>
              </w:divBdr>
            </w:div>
            <w:div w:id="1541092830">
              <w:marLeft w:val="0"/>
              <w:marRight w:val="0"/>
              <w:marTop w:val="0"/>
              <w:marBottom w:val="0"/>
              <w:divBdr>
                <w:top w:val="none" w:sz="0" w:space="0" w:color="auto"/>
                <w:left w:val="none" w:sz="0" w:space="0" w:color="auto"/>
                <w:bottom w:val="none" w:sz="0" w:space="0" w:color="auto"/>
                <w:right w:val="none" w:sz="0" w:space="0" w:color="auto"/>
              </w:divBdr>
            </w:div>
          </w:divsChild>
        </w:div>
        <w:div w:id="551423734">
          <w:marLeft w:val="0"/>
          <w:marRight w:val="0"/>
          <w:marTop w:val="0"/>
          <w:marBottom w:val="0"/>
          <w:divBdr>
            <w:top w:val="none" w:sz="0" w:space="0" w:color="auto"/>
            <w:left w:val="none" w:sz="0" w:space="0" w:color="auto"/>
            <w:bottom w:val="none" w:sz="0" w:space="0" w:color="auto"/>
            <w:right w:val="none" w:sz="0" w:space="0" w:color="auto"/>
          </w:divBdr>
          <w:divsChild>
            <w:div w:id="2080975662">
              <w:marLeft w:val="0"/>
              <w:marRight w:val="0"/>
              <w:marTop w:val="0"/>
              <w:marBottom w:val="0"/>
              <w:divBdr>
                <w:top w:val="none" w:sz="0" w:space="0" w:color="auto"/>
                <w:left w:val="none" w:sz="0" w:space="0" w:color="auto"/>
                <w:bottom w:val="none" w:sz="0" w:space="0" w:color="auto"/>
                <w:right w:val="none" w:sz="0" w:space="0" w:color="auto"/>
              </w:divBdr>
            </w:div>
          </w:divsChild>
        </w:div>
        <w:div w:id="649674303">
          <w:marLeft w:val="0"/>
          <w:marRight w:val="0"/>
          <w:marTop w:val="0"/>
          <w:marBottom w:val="0"/>
          <w:divBdr>
            <w:top w:val="none" w:sz="0" w:space="0" w:color="auto"/>
            <w:left w:val="none" w:sz="0" w:space="0" w:color="auto"/>
            <w:bottom w:val="none" w:sz="0" w:space="0" w:color="auto"/>
            <w:right w:val="none" w:sz="0" w:space="0" w:color="auto"/>
          </w:divBdr>
          <w:divsChild>
            <w:div w:id="463084917">
              <w:marLeft w:val="0"/>
              <w:marRight w:val="0"/>
              <w:marTop w:val="0"/>
              <w:marBottom w:val="0"/>
              <w:divBdr>
                <w:top w:val="none" w:sz="0" w:space="0" w:color="auto"/>
                <w:left w:val="none" w:sz="0" w:space="0" w:color="auto"/>
                <w:bottom w:val="none" w:sz="0" w:space="0" w:color="auto"/>
                <w:right w:val="none" w:sz="0" w:space="0" w:color="auto"/>
              </w:divBdr>
            </w:div>
            <w:div w:id="597442589">
              <w:marLeft w:val="0"/>
              <w:marRight w:val="0"/>
              <w:marTop w:val="0"/>
              <w:marBottom w:val="0"/>
              <w:divBdr>
                <w:top w:val="none" w:sz="0" w:space="0" w:color="auto"/>
                <w:left w:val="none" w:sz="0" w:space="0" w:color="auto"/>
                <w:bottom w:val="none" w:sz="0" w:space="0" w:color="auto"/>
                <w:right w:val="none" w:sz="0" w:space="0" w:color="auto"/>
              </w:divBdr>
            </w:div>
          </w:divsChild>
        </w:div>
        <w:div w:id="677122913">
          <w:marLeft w:val="0"/>
          <w:marRight w:val="0"/>
          <w:marTop w:val="0"/>
          <w:marBottom w:val="0"/>
          <w:divBdr>
            <w:top w:val="none" w:sz="0" w:space="0" w:color="auto"/>
            <w:left w:val="none" w:sz="0" w:space="0" w:color="auto"/>
            <w:bottom w:val="none" w:sz="0" w:space="0" w:color="auto"/>
            <w:right w:val="none" w:sz="0" w:space="0" w:color="auto"/>
          </w:divBdr>
          <w:divsChild>
            <w:div w:id="1801924499">
              <w:marLeft w:val="0"/>
              <w:marRight w:val="0"/>
              <w:marTop w:val="0"/>
              <w:marBottom w:val="0"/>
              <w:divBdr>
                <w:top w:val="none" w:sz="0" w:space="0" w:color="auto"/>
                <w:left w:val="none" w:sz="0" w:space="0" w:color="auto"/>
                <w:bottom w:val="none" w:sz="0" w:space="0" w:color="auto"/>
                <w:right w:val="none" w:sz="0" w:space="0" w:color="auto"/>
              </w:divBdr>
            </w:div>
          </w:divsChild>
        </w:div>
        <w:div w:id="687096758">
          <w:marLeft w:val="0"/>
          <w:marRight w:val="0"/>
          <w:marTop w:val="0"/>
          <w:marBottom w:val="0"/>
          <w:divBdr>
            <w:top w:val="none" w:sz="0" w:space="0" w:color="auto"/>
            <w:left w:val="none" w:sz="0" w:space="0" w:color="auto"/>
            <w:bottom w:val="none" w:sz="0" w:space="0" w:color="auto"/>
            <w:right w:val="none" w:sz="0" w:space="0" w:color="auto"/>
          </w:divBdr>
          <w:divsChild>
            <w:div w:id="89282090">
              <w:marLeft w:val="0"/>
              <w:marRight w:val="0"/>
              <w:marTop w:val="0"/>
              <w:marBottom w:val="0"/>
              <w:divBdr>
                <w:top w:val="none" w:sz="0" w:space="0" w:color="auto"/>
                <w:left w:val="none" w:sz="0" w:space="0" w:color="auto"/>
                <w:bottom w:val="none" w:sz="0" w:space="0" w:color="auto"/>
                <w:right w:val="none" w:sz="0" w:space="0" w:color="auto"/>
              </w:divBdr>
            </w:div>
            <w:div w:id="245648356">
              <w:marLeft w:val="0"/>
              <w:marRight w:val="0"/>
              <w:marTop w:val="0"/>
              <w:marBottom w:val="0"/>
              <w:divBdr>
                <w:top w:val="none" w:sz="0" w:space="0" w:color="auto"/>
                <w:left w:val="none" w:sz="0" w:space="0" w:color="auto"/>
                <w:bottom w:val="none" w:sz="0" w:space="0" w:color="auto"/>
                <w:right w:val="none" w:sz="0" w:space="0" w:color="auto"/>
              </w:divBdr>
            </w:div>
            <w:div w:id="1304116906">
              <w:marLeft w:val="0"/>
              <w:marRight w:val="0"/>
              <w:marTop w:val="0"/>
              <w:marBottom w:val="0"/>
              <w:divBdr>
                <w:top w:val="none" w:sz="0" w:space="0" w:color="auto"/>
                <w:left w:val="none" w:sz="0" w:space="0" w:color="auto"/>
                <w:bottom w:val="none" w:sz="0" w:space="0" w:color="auto"/>
                <w:right w:val="none" w:sz="0" w:space="0" w:color="auto"/>
              </w:divBdr>
            </w:div>
          </w:divsChild>
        </w:div>
        <w:div w:id="699357270">
          <w:marLeft w:val="0"/>
          <w:marRight w:val="0"/>
          <w:marTop w:val="0"/>
          <w:marBottom w:val="0"/>
          <w:divBdr>
            <w:top w:val="none" w:sz="0" w:space="0" w:color="auto"/>
            <w:left w:val="none" w:sz="0" w:space="0" w:color="auto"/>
            <w:bottom w:val="none" w:sz="0" w:space="0" w:color="auto"/>
            <w:right w:val="none" w:sz="0" w:space="0" w:color="auto"/>
          </w:divBdr>
          <w:divsChild>
            <w:div w:id="29648394">
              <w:marLeft w:val="0"/>
              <w:marRight w:val="0"/>
              <w:marTop w:val="0"/>
              <w:marBottom w:val="0"/>
              <w:divBdr>
                <w:top w:val="none" w:sz="0" w:space="0" w:color="auto"/>
                <w:left w:val="none" w:sz="0" w:space="0" w:color="auto"/>
                <w:bottom w:val="none" w:sz="0" w:space="0" w:color="auto"/>
                <w:right w:val="none" w:sz="0" w:space="0" w:color="auto"/>
              </w:divBdr>
            </w:div>
          </w:divsChild>
        </w:div>
        <w:div w:id="845367010">
          <w:marLeft w:val="0"/>
          <w:marRight w:val="0"/>
          <w:marTop w:val="0"/>
          <w:marBottom w:val="0"/>
          <w:divBdr>
            <w:top w:val="none" w:sz="0" w:space="0" w:color="auto"/>
            <w:left w:val="none" w:sz="0" w:space="0" w:color="auto"/>
            <w:bottom w:val="none" w:sz="0" w:space="0" w:color="auto"/>
            <w:right w:val="none" w:sz="0" w:space="0" w:color="auto"/>
          </w:divBdr>
          <w:divsChild>
            <w:div w:id="2141414008">
              <w:marLeft w:val="0"/>
              <w:marRight w:val="0"/>
              <w:marTop w:val="0"/>
              <w:marBottom w:val="0"/>
              <w:divBdr>
                <w:top w:val="none" w:sz="0" w:space="0" w:color="auto"/>
                <w:left w:val="none" w:sz="0" w:space="0" w:color="auto"/>
                <w:bottom w:val="none" w:sz="0" w:space="0" w:color="auto"/>
                <w:right w:val="none" w:sz="0" w:space="0" w:color="auto"/>
              </w:divBdr>
            </w:div>
          </w:divsChild>
        </w:div>
        <w:div w:id="883910444">
          <w:marLeft w:val="0"/>
          <w:marRight w:val="0"/>
          <w:marTop w:val="0"/>
          <w:marBottom w:val="0"/>
          <w:divBdr>
            <w:top w:val="none" w:sz="0" w:space="0" w:color="auto"/>
            <w:left w:val="none" w:sz="0" w:space="0" w:color="auto"/>
            <w:bottom w:val="none" w:sz="0" w:space="0" w:color="auto"/>
            <w:right w:val="none" w:sz="0" w:space="0" w:color="auto"/>
          </w:divBdr>
          <w:divsChild>
            <w:div w:id="332610005">
              <w:marLeft w:val="0"/>
              <w:marRight w:val="0"/>
              <w:marTop w:val="0"/>
              <w:marBottom w:val="0"/>
              <w:divBdr>
                <w:top w:val="none" w:sz="0" w:space="0" w:color="auto"/>
                <w:left w:val="none" w:sz="0" w:space="0" w:color="auto"/>
                <w:bottom w:val="none" w:sz="0" w:space="0" w:color="auto"/>
                <w:right w:val="none" w:sz="0" w:space="0" w:color="auto"/>
              </w:divBdr>
            </w:div>
            <w:div w:id="1885169592">
              <w:marLeft w:val="0"/>
              <w:marRight w:val="0"/>
              <w:marTop w:val="0"/>
              <w:marBottom w:val="0"/>
              <w:divBdr>
                <w:top w:val="none" w:sz="0" w:space="0" w:color="auto"/>
                <w:left w:val="none" w:sz="0" w:space="0" w:color="auto"/>
                <w:bottom w:val="none" w:sz="0" w:space="0" w:color="auto"/>
                <w:right w:val="none" w:sz="0" w:space="0" w:color="auto"/>
              </w:divBdr>
            </w:div>
          </w:divsChild>
        </w:div>
        <w:div w:id="907610928">
          <w:marLeft w:val="0"/>
          <w:marRight w:val="0"/>
          <w:marTop w:val="0"/>
          <w:marBottom w:val="0"/>
          <w:divBdr>
            <w:top w:val="none" w:sz="0" w:space="0" w:color="auto"/>
            <w:left w:val="none" w:sz="0" w:space="0" w:color="auto"/>
            <w:bottom w:val="none" w:sz="0" w:space="0" w:color="auto"/>
            <w:right w:val="none" w:sz="0" w:space="0" w:color="auto"/>
          </w:divBdr>
          <w:divsChild>
            <w:div w:id="1776434832">
              <w:marLeft w:val="0"/>
              <w:marRight w:val="0"/>
              <w:marTop w:val="0"/>
              <w:marBottom w:val="0"/>
              <w:divBdr>
                <w:top w:val="none" w:sz="0" w:space="0" w:color="auto"/>
                <w:left w:val="none" w:sz="0" w:space="0" w:color="auto"/>
                <w:bottom w:val="none" w:sz="0" w:space="0" w:color="auto"/>
                <w:right w:val="none" w:sz="0" w:space="0" w:color="auto"/>
              </w:divBdr>
            </w:div>
          </w:divsChild>
        </w:div>
        <w:div w:id="973752473">
          <w:marLeft w:val="0"/>
          <w:marRight w:val="0"/>
          <w:marTop w:val="0"/>
          <w:marBottom w:val="0"/>
          <w:divBdr>
            <w:top w:val="none" w:sz="0" w:space="0" w:color="auto"/>
            <w:left w:val="none" w:sz="0" w:space="0" w:color="auto"/>
            <w:bottom w:val="none" w:sz="0" w:space="0" w:color="auto"/>
            <w:right w:val="none" w:sz="0" w:space="0" w:color="auto"/>
          </w:divBdr>
          <w:divsChild>
            <w:div w:id="1420911381">
              <w:marLeft w:val="0"/>
              <w:marRight w:val="0"/>
              <w:marTop w:val="0"/>
              <w:marBottom w:val="0"/>
              <w:divBdr>
                <w:top w:val="none" w:sz="0" w:space="0" w:color="auto"/>
                <w:left w:val="none" w:sz="0" w:space="0" w:color="auto"/>
                <w:bottom w:val="none" w:sz="0" w:space="0" w:color="auto"/>
                <w:right w:val="none" w:sz="0" w:space="0" w:color="auto"/>
              </w:divBdr>
            </w:div>
          </w:divsChild>
        </w:div>
        <w:div w:id="977144987">
          <w:marLeft w:val="0"/>
          <w:marRight w:val="0"/>
          <w:marTop w:val="0"/>
          <w:marBottom w:val="0"/>
          <w:divBdr>
            <w:top w:val="none" w:sz="0" w:space="0" w:color="auto"/>
            <w:left w:val="none" w:sz="0" w:space="0" w:color="auto"/>
            <w:bottom w:val="none" w:sz="0" w:space="0" w:color="auto"/>
            <w:right w:val="none" w:sz="0" w:space="0" w:color="auto"/>
          </w:divBdr>
          <w:divsChild>
            <w:div w:id="870455653">
              <w:marLeft w:val="0"/>
              <w:marRight w:val="0"/>
              <w:marTop w:val="0"/>
              <w:marBottom w:val="0"/>
              <w:divBdr>
                <w:top w:val="none" w:sz="0" w:space="0" w:color="auto"/>
                <w:left w:val="none" w:sz="0" w:space="0" w:color="auto"/>
                <w:bottom w:val="none" w:sz="0" w:space="0" w:color="auto"/>
                <w:right w:val="none" w:sz="0" w:space="0" w:color="auto"/>
              </w:divBdr>
            </w:div>
          </w:divsChild>
        </w:div>
        <w:div w:id="1057704108">
          <w:marLeft w:val="0"/>
          <w:marRight w:val="0"/>
          <w:marTop w:val="0"/>
          <w:marBottom w:val="0"/>
          <w:divBdr>
            <w:top w:val="none" w:sz="0" w:space="0" w:color="auto"/>
            <w:left w:val="none" w:sz="0" w:space="0" w:color="auto"/>
            <w:bottom w:val="none" w:sz="0" w:space="0" w:color="auto"/>
            <w:right w:val="none" w:sz="0" w:space="0" w:color="auto"/>
          </w:divBdr>
          <w:divsChild>
            <w:div w:id="544145576">
              <w:marLeft w:val="0"/>
              <w:marRight w:val="0"/>
              <w:marTop w:val="0"/>
              <w:marBottom w:val="0"/>
              <w:divBdr>
                <w:top w:val="none" w:sz="0" w:space="0" w:color="auto"/>
                <w:left w:val="none" w:sz="0" w:space="0" w:color="auto"/>
                <w:bottom w:val="none" w:sz="0" w:space="0" w:color="auto"/>
                <w:right w:val="none" w:sz="0" w:space="0" w:color="auto"/>
              </w:divBdr>
            </w:div>
          </w:divsChild>
        </w:div>
        <w:div w:id="1083382123">
          <w:marLeft w:val="0"/>
          <w:marRight w:val="0"/>
          <w:marTop w:val="0"/>
          <w:marBottom w:val="0"/>
          <w:divBdr>
            <w:top w:val="none" w:sz="0" w:space="0" w:color="auto"/>
            <w:left w:val="none" w:sz="0" w:space="0" w:color="auto"/>
            <w:bottom w:val="none" w:sz="0" w:space="0" w:color="auto"/>
            <w:right w:val="none" w:sz="0" w:space="0" w:color="auto"/>
          </w:divBdr>
          <w:divsChild>
            <w:div w:id="1952780374">
              <w:marLeft w:val="0"/>
              <w:marRight w:val="0"/>
              <w:marTop w:val="0"/>
              <w:marBottom w:val="0"/>
              <w:divBdr>
                <w:top w:val="none" w:sz="0" w:space="0" w:color="auto"/>
                <w:left w:val="none" w:sz="0" w:space="0" w:color="auto"/>
                <w:bottom w:val="none" w:sz="0" w:space="0" w:color="auto"/>
                <w:right w:val="none" w:sz="0" w:space="0" w:color="auto"/>
              </w:divBdr>
            </w:div>
          </w:divsChild>
        </w:div>
        <w:div w:id="1095593816">
          <w:marLeft w:val="0"/>
          <w:marRight w:val="0"/>
          <w:marTop w:val="0"/>
          <w:marBottom w:val="0"/>
          <w:divBdr>
            <w:top w:val="none" w:sz="0" w:space="0" w:color="auto"/>
            <w:left w:val="none" w:sz="0" w:space="0" w:color="auto"/>
            <w:bottom w:val="none" w:sz="0" w:space="0" w:color="auto"/>
            <w:right w:val="none" w:sz="0" w:space="0" w:color="auto"/>
          </w:divBdr>
          <w:divsChild>
            <w:div w:id="268239837">
              <w:marLeft w:val="0"/>
              <w:marRight w:val="0"/>
              <w:marTop w:val="0"/>
              <w:marBottom w:val="0"/>
              <w:divBdr>
                <w:top w:val="none" w:sz="0" w:space="0" w:color="auto"/>
                <w:left w:val="none" w:sz="0" w:space="0" w:color="auto"/>
                <w:bottom w:val="none" w:sz="0" w:space="0" w:color="auto"/>
                <w:right w:val="none" w:sz="0" w:space="0" w:color="auto"/>
              </w:divBdr>
            </w:div>
          </w:divsChild>
        </w:div>
        <w:div w:id="1146581397">
          <w:marLeft w:val="0"/>
          <w:marRight w:val="0"/>
          <w:marTop w:val="0"/>
          <w:marBottom w:val="0"/>
          <w:divBdr>
            <w:top w:val="none" w:sz="0" w:space="0" w:color="auto"/>
            <w:left w:val="none" w:sz="0" w:space="0" w:color="auto"/>
            <w:bottom w:val="none" w:sz="0" w:space="0" w:color="auto"/>
            <w:right w:val="none" w:sz="0" w:space="0" w:color="auto"/>
          </w:divBdr>
          <w:divsChild>
            <w:div w:id="1917353634">
              <w:marLeft w:val="0"/>
              <w:marRight w:val="0"/>
              <w:marTop w:val="0"/>
              <w:marBottom w:val="0"/>
              <w:divBdr>
                <w:top w:val="none" w:sz="0" w:space="0" w:color="auto"/>
                <w:left w:val="none" w:sz="0" w:space="0" w:color="auto"/>
                <w:bottom w:val="none" w:sz="0" w:space="0" w:color="auto"/>
                <w:right w:val="none" w:sz="0" w:space="0" w:color="auto"/>
              </w:divBdr>
            </w:div>
          </w:divsChild>
        </w:div>
        <w:div w:id="1156460804">
          <w:marLeft w:val="0"/>
          <w:marRight w:val="0"/>
          <w:marTop w:val="0"/>
          <w:marBottom w:val="0"/>
          <w:divBdr>
            <w:top w:val="none" w:sz="0" w:space="0" w:color="auto"/>
            <w:left w:val="none" w:sz="0" w:space="0" w:color="auto"/>
            <w:bottom w:val="none" w:sz="0" w:space="0" w:color="auto"/>
            <w:right w:val="none" w:sz="0" w:space="0" w:color="auto"/>
          </w:divBdr>
          <w:divsChild>
            <w:div w:id="849104303">
              <w:marLeft w:val="0"/>
              <w:marRight w:val="0"/>
              <w:marTop w:val="0"/>
              <w:marBottom w:val="0"/>
              <w:divBdr>
                <w:top w:val="none" w:sz="0" w:space="0" w:color="auto"/>
                <w:left w:val="none" w:sz="0" w:space="0" w:color="auto"/>
                <w:bottom w:val="none" w:sz="0" w:space="0" w:color="auto"/>
                <w:right w:val="none" w:sz="0" w:space="0" w:color="auto"/>
              </w:divBdr>
            </w:div>
          </w:divsChild>
        </w:div>
        <w:div w:id="1216505333">
          <w:marLeft w:val="0"/>
          <w:marRight w:val="0"/>
          <w:marTop w:val="0"/>
          <w:marBottom w:val="0"/>
          <w:divBdr>
            <w:top w:val="none" w:sz="0" w:space="0" w:color="auto"/>
            <w:left w:val="none" w:sz="0" w:space="0" w:color="auto"/>
            <w:bottom w:val="none" w:sz="0" w:space="0" w:color="auto"/>
            <w:right w:val="none" w:sz="0" w:space="0" w:color="auto"/>
          </w:divBdr>
          <w:divsChild>
            <w:div w:id="883954304">
              <w:marLeft w:val="0"/>
              <w:marRight w:val="0"/>
              <w:marTop w:val="0"/>
              <w:marBottom w:val="0"/>
              <w:divBdr>
                <w:top w:val="none" w:sz="0" w:space="0" w:color="auto"/>
                <w:left w:val="none" w:sz="0" w:space="0" w:color="auto"/>
                <w:bottom w:val="none" w:sz="0" w:space="0" w:color="auto"/>
                <w:right w:val="none" w:sz="0" w:space="0" w:color="auto"/>
              </w:divBdr>
            </w:div>
          </w:divsChild>
        </w:div>
        <w:div w:id="1218316585">
          <w:marLeft w:val="0"/>
          <w:marRight w:val="0"/>
          <w:marTop w:val="0"/>
          <w:marBottom w:val="0"/>
          <w:divBdr>
            <w:top w:val="none" w:sz="0" w:space="0" w:color="auto"/>
            <w:left w:val="none" w:sz="0" w:space="0" w:color="auto"/>
            <w:bottom w:val="none" w:sz="0" w:space="0" w:color="auto"/>
            <w:right w:val="none" w:sz="0" w:space="0" w:color="auto"/>
          </w:divBdr>
          <w:divsChild>
            <w:div w:id="876158236">
              <w:marLeft w:val="0"/>
              <w:marRight w:val="0"/>
              <w:marTop w:val="0"/>
              <w:marBottom w:val="0"/>
              <w:divBdr>
                <w:top w:val="none" w:sz="0" w:space="0" w:color="auto"/>
                <w:left w:val="none" w:sz="0" w:space="0" w:color="auto"/>
                <w:bottom w:val="none" w:sz="0" w:space="0" w:color="auto"/>
                <w:right w:val="none" w:sz="0" w:space="0" w:color="auto"/>
              </w:divBdr>
            </w:div>
          </w:divsChild>
        </w:div>
        <w:div w:id="1240553745">
          <w:marLeft w:val="0"/>
          <w:marRight w:val="0"/>
          <w:marTop w:val="0"/>
          <w:marBottom w:val="0"/>
          <w:divBdr>
            <w:top w:val="none" w:sz="0" w:space="0" w:color="auto"/>
            <w:left w:val="none" w:sz="0" w:space="0" w:color="auto"/>
            <w:bottom w:val="none" w:sz="0" w:space="0" w:color="auto"/>
            <w:right w:val="none" w:sz="0" w:space="0" w:color="auto"/>
          </w:divBdr>
          <w:divsChild>
            <w:div w:id="1515535463">
              <w:marLeft w:val="0"/>
              <w:marRight w:val="0"/>
              <w:marTop w:val="0"/>
              <w:marBottom w:val="0"/>
              <w:divBdr>
                <w:top w:val="none" w:sz="0" w:space="0" w:color="auto"/>
                <w:left w:val="none" w:sz="0" w:space="0" w:color="auto"/>
                <w:bottom w:val="none" w:sz="0" w:space="0" w:color="auto"/>
                <w:right w:val="none" w:sz="0" w:space="0" w:color="auto"/>
              </w:divBdr>
            </w:div>
          </w:divsChild>
        </w:div>
        <w:div w:id="1244070593">
          <w:marLeft w:val="0"/>
          <w:marRight w:val="0"/>
          <w:marTop w:val="0"/>
          <w:marBottom w:val="0"/>
          <w:divBdr>
            <w:top w:val="none" w:sz="0" w:space="0" w:color="auto"/>
            <w:left w:val="none" w:sz="0" w:space="0" w:color="auto"/>
            <w:bottom w:val="none" w:sz="0" w:space="0" w:color="auto"/>
            <w:right w:val="none" w:sz="0" w:space="0" w:color="auto"/>
          </w:divBdr>
          <w:divsChild>
            <w:div w:id="1991401854">
              <w:marLeft w:val="0"/>
              <w:marRight w:val="0"/>
              <w:marTop w:val="0"/>
              <w:marBottom w:val="0"/>
              <w:divBdr>
                <w:top w:val="none" w:sz="0" w:space="0" w:color="auto"/>
                <w:left w:val="none" w:sz="0" w:space="0" w:color="auto"/>
                <w:bottom w:val="none" w:sz="0" w:space="0" w:color="auto"/>
                <w:right w:val="none" w:sz="0" w:space="0" w:color="auto"/>
              </w:divBdr>
            </w:div>
          </w:divsChild>
        </w:div>
        <w:div w:id="1244298319">
          <w:marLeft w:val="0"/>
          <w:marRight w:val="0"/>
          <w:marTop w:val="0"/>
          <w:marBottom w:val="0"/>
          <w:divBdr>
            <w:top w:val="none" w:sz="0" w:space="0" w:color="auto"/>
            <w:left w:val="none" w:sz="0" w:space="0" w:color="auto"/>
            <w:bottom w:val="none" w:sz="0" w:space="0" w:color="auto"/>
            <w:right w:val="none" w:sz="0" w:space="0" w:color="auto"/>
          </w:divBdr>
          <w:divsChild>
            <w:div w:id="1489134808">
              <w:marLeft w:val="0"/>
              <w:marRight w:val="0"/>
              <w:marTop w:val="0"/>
              <w:marBottom w:val="0"/>
              <w:divBdr>
                <w:top w:val="none" w:sz="0" w:space="0" w:color="auto"/>
                <w:left w:val="none" w:sz="0" w:space="0" w:color="auto"/>
                <w:bottom w:val="none" w:sz="0" w:space="0" w:color="auto"/>
                <w:right w:val="none" w:sz="0" w:space="0" w:color="auto"/>
              </w:divBdr>
            </w:div>
          </w:divsChild>
        </w:div>
        <w:div w:id="1254586171">
          <w:marLeft w:val="0"/>
          <w:marRight w:val="0"/>
          <w:marTop w:val="0"/>
          <w:marBottom w:val="0"/>
          <w:divBdr>
            <w:top w:val="none" w:sz="0" w:space="0" w:color="auto"/>
            <w:left w:val="none" w:sz="0" w:space="0" w:color="auto"/>
            <w:bottom w:val="none" w:sz="0" w:space="0" w:color="auto"/>
            <w:right w:val="none" w:sz="0" w:space="0" w:color="auto"/>
          </w:divBdr>
          <w:divsChild>
            <w:div w:id="694573141">
              <w:marLeft w:val="0"/>
              <w:marRight w:val="0"/>
              <w:marTop w:val="0"/>
              <w:marBottom w:val="0"/>
              <w:divBdr>
                <w:top w:val="none" w:sz="0" w:space="0" w:color="auto"/>
                <w:left w:val="none" w:sz="0" w:space="0" w:color="auto"/>
                <w:bottom w:val="none" w:sz="0" w:space="0" w:color="auto"/>
                <w:right w:val="none" w:sz="0" w:space="0" w:color="auto"/>
              </w:divBdr>
            </w:div>
          </w:divsChild>
        </w:div>
        <w:div w:id="1280257934">
          <w:marLeft w:val="0"/>
          <w:marRight w:val="0"/>
          <w:marTop w:val="0"/>
          <w:marBottom w:val="0"/>
          <w:divBdr>
            <w:top w:val="none" w:sz="0" w:space="0" w:color="auto"/>
            <w:left w:val="none" w:sz="0" w:space="0" w:color="auto"/>
            <w:bottom w:val="none" w:sz="0" w:space="0" w:color="auto"/>
            <w:right w:val="none" w:sz="0" w:space="0" w:color="auto"/>
          </w:divBdr>
          <w:divsChild>
            <w:div w:id="152840317">
              <w:marLeft w:val="0"/>
              <w:marRight w:val="0"/>
              <w:marTop w:val="0"/>
              <w:marBottom w:val="0"/>
              <w:divBdr>
                <w:top w:val="none" w:sz="0" w:space="0" w:color="auto"/>
                <w:left w:val="none" w:sz="0" w:space="0" w:color="auto"/>
                <w:bottom w:val="none" w:sz="0" w:space="0" w:color="auto"/>
                <w:right w:val="none" w:sz="0" w:space="0" w:color="auto"/>
              </w:divBdr>
            </w:div>
          </w:divsChild>
        </w:div>
        <w:div w:id="1319267195">
          <w:marLeft w:val="0"/>
          <w:marRight w:val="0"/>
          <w:marTop w:val="0"/>
          <w:marBottom w:val="0"/>
          <w:divBdr>
            <w:top w:val="none" w:sz="0" w:space="0" w:color="auto"/>
            <w:left w:val="none" w:sz="0" w:space="0" w:color="auto"/>
            <w:bottom w:val="none" w:sz="0" w:space="0" w:color="auto"/>
            <w:right w:val="none" w:sz="0" w:space="0" w:color="auto"/>
          </w:divBdr>
          <w:divsChild>
            <w:div w:id="1634822217">
              <w:marLeft w:val="0"/>
              <w:marRight w:val="0"/>
              <w:marTop w:val="0"/>
              <w:marBottom w:val="0"/>
              <w:divBdr>
                <w:top w:val="none" w:sz="0" w:space="0" w:color="auto"/>
                <w:left w:val="none" w:sz="0" w:space="0" w:color="auto"/>
                <w:bottom w:val="none" w:sz="0" w:space="0" w:color="auto"/>
                <w:right w:val="none" w:sz="0" w:space="0" w:color="auto"/>
              </w:divBdr>
            </w:div>
          </w:divsChild>
        </w:div>
        <w:div w:id="1384595467">
          <w:marLeft w:val="0"/>
          <w:marRight w:val="0"/>
          <w:marTop w:val="0"/>
          <w:marBottom w:val="0"/>
          <w:divBdr>
            <w:top w:val="none" w:sz="0" w:space="0" w:color="auto"/>
            <w:left w:val="none" w:sz="0" w:space="0" w:color="auto"/>
            <w:bottom w:val="none" w:sz="0" w:space="0" w:color="auto"/>
            <w:right w:val="none" w:sz="0" w:space="0" w:color="auto"/>
          </w:divBdr>
          <w:divsChild>
            <w:div w:id="457916262">
              <w:marLeft w:val="0"/>
              <w:marRight w:val="0"/>
              <w:marTop w:val="0"/>
              <w:marBottom w:val="0"/>
              <w:divBdr>
                <w:top w:val="none" w:sz="0" w:space="0" w:color="auto"/>
                <w:left w:val="none" w:sz="0" w:space="0" w:color="auto"/>
                <w:bottom w:val="none" w:sz="0" w:space="0" w:color="auto"/>
                <w:right w:val="none" w:sz="0" w:space="0" w:color="auto"/>
              </w:divBdr>
            </w:div>
            <w:div w:id="1485505597">
              <w:marLeft w:val="0"/>
              <w:marRight w:val="0"/>
              <w:marTop w:val="0"/>
              <w:marBottom w:val="0"/>
              <w:divBdr>
                <w:top w:val="none" w:sz="0" w:space="0" w:color="auto"/>
                <w:left w:val="none" w:sz="0" w:space="0" w:color="auto"/>
                <w:bottom w:val="none" w:sz="0" w:space="0" w:color="auto"/>
                <w:right w:val="none" w:sz="0" w:space="0" w:color="auto"/>
              </w:divBdr>
            </w:div>
          </w:divsChild>
        </w:div>
        <w:div w:id="1395424486">
          <w:marLeft w:val="0"/>
          <w:marRight w:val="0"/>
          <w:marTop w:val="0"/>
          <w:marBottom w:val="0"/>
          <w:divBdr>
            <w:top w:val="none" w:sz="0" w:space="0" w:color="auto"/>
            <w:left w:val="none" w:sz="0" w:space="0" w:color="auto"/>
            <w:bottom w:val="none" w:sz="0" w:space="0" w:color="auto"/>
            <w:right w:val="none" w:sz="0" w:space="0" w:color="auto"/>
          </w:divBdr>
          <w:divsChild>
            <w:div w:id="1725177657">
              <w:marLeft w:val="0"/>
              <w:marRight w:val="0"/>
              <w:marTop w:val="0"/>
              <w:marBottom w:val="0"/>
              <w:divBdr>
                <w:top w:val="none" w:sz="0" w:space="0" w:color="auto"/>
                <w:left w:val="none" w:sz="0" w:space="0" w:color="auto"/>
                <w:bottom w:val="none" w:sz="0" w:space="0" w:color="auto"/>
                <w:right w:val="none" w:sz="0" w:space="0" w:color="auto"/>
              </w:divBdr>
            </w:div>
          </w:divsChild>
        </w:div>
        <w:div w:id="1449812245">
          <w:marLeft w:val="0"/>
          <w:marRight w:val="0"/>
          <w:marTop w:val="0"/>
          <w:marBottom w:val="0"/>
          <w:divBdr>
            <w:top w:val="none" w:sz="0" w:space="0" w:color="auto"/>
            <w:left w:val="none" w:sz="0" w:space="0" w:color="auto"/>
            <w:bottom w:val="none" w:sz="0" w:space="0" w:color="auto"/>
            <w:right w:val="none" w:sz="0" w:space="0" w:color="auto"/>
          </w:divBdr>
          <w:divsChild>
            <w:div w:id="285088435">
              <w:marLeft w:val="0"/>
              <w:marRight w:val="0"/>
              <w:marTop w:val="0"/>
              <w:marBottom w:val="0"/>
              <w:divBdr>
                <w:top w:val="none" w:sz="0" w:space="0" w:color="auto"/>
                <w:left w:val="none" w:sz="0" w:space="0" w:color="auto"/>
                <w:bottom w:val="none" w:sz="0" w:space="0" w:color="auto"/>
                <w:right w:val="none" w:sz="0" w:space="0" w:color="auto"/>
              </w:divBdr>
            </w:div>
          </w:divsChild>
        </w:div>
        <w:div w:id="1467580113">
          <w:marLeft w:val="0"/>
          <w:marRight w:val="0"/>
          <w:marTop w:val="0"/>
          <w:marBottom w:val="0"/>
          <w:divBdr>
            <w:top w:val="none" w:sz="0" w:space="0" w:color="auto"/>
            <w:left w:val="none" w:sz="0" w:space="0" w:color="auto"/>
            <w:bottom w:val="none" w:sz="0" w:space="0" w:color="auto"/>
            <w:right w:val="none" w:sz="0" w:space="0" w:color="auto"/>
          </w:divBdr>
          <w:divsChild>
            <w:div w:id="487939287">
              <w:marLeft w:val="0"/>
              <w:marRight w:val="0"/>
              <w:marTop w:val="0"/>
              <w:marBottom w:val="0"/>
              <w:divBdr>
                <w:top w:val="none" w:sz="0" w:space="0" w:color="auto"/>
                <w:left w:val="none" w:sz="0" w:space="0" w:color="auto"/>
                <w:bottom w:val="none" w:sz="0" w:space="0" w:color="auto"/>
                <w:right w:val="none" w:sz="0" w:space="0" w:color="auto"/>
              </w:divBdr>
            </w:div>
          </w:divsChild>
        </w:div>
        <w:div w:id="1504710429">
          <w:marLeft w:val="0"/>
          <w:marRight w:val="0"/>
          <w:marTop w:val="0"/>
          <w:marBottom w:val="0"/>
          <w:divBdr>
            <w:top w:val="none" w:sz="0" w:space="0" w:color="auto"/>
            <w:left w:val="none" w:sz="0" w:space="0" w:color="auto"/>
            <w:bottom w:val="none" w:sz="0" w:space="0" w:color="auto"/>
            <w:right w:val="none" w:sz="0" w:space="0" w:color="auto"/>
          </w:divBdr>
          <w:divsChild>
            <w:div w:id="1876654888">
              <w:marLeft w:val="0"/>
              <w:marRight w:val="0"/>
              <w:marTop w:val="0"/>
              <w:marBottom w:val="0"/>
              <w:divBdr>
                <w:top w:val="none" w:sz="0" w:space="0" w:color="auto"/>
                <w:left w:val="none" w:sz="0" w:space="0" w:color="auto"/>
                <w:bottom w:val="none" w:sz="0" w:space="0" w:color="auto"/>
                <w:right w:val="none" w:sz="0" w:space="0" w:color="auto"/>
              </w:divBdr>
            </w:div>
          </w:divsChild>
        </w:div>
        <w:div w:id="1640382170">
          <w:marLeft w:val="0"/>
          <w:marRight w:val="0"/>
          <w:marTop w:val="0"/>
          <w:marBottom w:val="0"/>
          <w:divBdr>
            <w:top w:val="none" w:sz="0" w:space="0" w:color="auto"/>
            <w:left w:val="none" w:sz="0" w:space="0" w:color="auto"/>
            <w:bottom w:val="none" w:sz="0" w:space="0" w:color="auto"/>
            <w:right w:val="none" w:sz="0" w:space="0" w:color="auto"/>
          </w:divBdr>
          <w:divsChild>
            <w:div w:id="1296132906">
              <w:marLeft w:val="0"/>
              <w:marRight w:val="0"/>
              <w:marTop w:val="0"/>
              <w:marBottom w:val="0"/>
              <w:divBdr>
                <w:top w:val="none" w:sz="0" w:space="0" w:color="auto"/>
                <w:left w:val="none" w:sz="0" w:space="0" w:color="auto"/>
                <w:bottom w:val="none" w:sz="0" w:space="0" w:color="auto"/>
                <w:right w:val="none" w:sz="0" w:space="0" w:color="auto"/>
              </w:divBdr>
            </w:div>
          </w:divsChild>
        </w:div>
        <w:div w:id="1696078951">
          <w:marLeft w:val="0"/>
          <w:marRight w:val="0"/>
          <w:marTop w:val="0"/>
          <w:marBottom w:val="0"/>
          <w:divBdr>
            <w:top w:val="none" w:sz="0" w:space="0" w:color="auto"/>
            <w:left w:val="none" w:sz="0" w:space="0" w:color="auto"/>
            <w:bottom w:val="none" w:sz="0" w:space="0" w:color="auto"/>
            <w:right w:val="none" w:sz="0" w:space="0" w:color="auto"/>
          </w:divBdr>
          <w:divsChild>
            <w:div w:id="1125998494">
              <w:marLeft w:val="0"/>
              <w:marRight w:val="0"/>
              <w:marTop w:val="0"/>
              <w:marBottom w:val="0"/>
              <w:divBdr>
                <w:top w:val="none" w:sz="0" w:space="0" w:color="auto"/>
                <w:left w:val="none" w:sz="0" w:space="0" w:color="auto"/>
                <w:bottom w:val="none" w:sz="0" w:space="0" w:color="auto"/>
                <w:right w:val="none" w:sz="0" w:space="0" w:color="auto"/>
              </w:divBdr>
            </w:div>
          </w:divsChild>
        </w:div>
        <w:div w:id="1718972323">
          <w:marLeft w:val="0"/>
          <w:marRight w:val="0"/>
          <w:marTop w:val="0"/>
          <w:marBottom w:val="0"/>
          <w:divBdr>
            <w:top w:val="none" w:sz="0" w:space="0" w:color="auto"/>
            <w:left w:val="none" w:sz="0" w:space="0" w:color="auto"/>
            <w:bottom w:val="none" w:sz="0" w:space="0" w:color="auto"/>
            <w:right w:val="none" w:sz="0" w:space="0" w:color="auto"/>
          </w:divBdr>
          <w:divsChild>
            <w:div w:id="1678995166">
              <w:marLeft w:val="0"/>
              <w:marRight w:val="0"/>
              <w:marTop w:val="0"/>
              <w:marBottom w:val="0"/>
              <w:divBdr>
                <w:top w:val="none" w:sz="0" w:space="0" w:color="auto"/>
                <w:left w:val="none" w:sz="0" w:space="0" w:color="auto"/>
                <w:bottom w:val="none" w:sz="0" w:space="0" w:color="auto"/>
                <w:right w:val="none" w:sz="0" w:space="0" w:color="auto"/>
              </w:divBdr>
            </w:div>
          </w:divsChild>
        </w:div>
        <w:div w:id="1751384701">
          <w:marLeft w:val="0"/>
          <w:marRight w:val="0"/>
          <w:marTop w:val="0"/>
          <w:marBottom w:val="0"/>
          <w:divBdr>
            <w:top w:val="none" w:sz="0" w:space="0" w:color="auto"/>
            <w:left w:val="none" w:sz="0" w:space="0" w:color="auto"/>
            <w:bottom w:val="none" w:sz="0" w:space="0" w:color="auto"/>
            <w:right w:val="none" w:sz="0" w:space="0" w:color="auto"/>
          </w:divBdr>
          <w:divsChild>
            <w:div w:id="857812324">
              <w:marLeft w:val="0"/>
              <w:marRight w:val="0"/>
              <w:marTop w:val="0"/>
              <w:marBottom w:val="0"/>
              <w:divBdr>
                <w:top w:val="none" w:sz="0" w:space="0" w:color="auto"/>
                <w:left w:val="none" w:sz="0" w:space="0" w:color="auto"/>
                <w:bottom w:val="none" w:sz="0" w:space="0" w:color="auto"/>
                <w:right w:val="none" w:sz="0" w:space="0" w:color="auto"/>
              </w:divBdr>
            </w:div>
            <w:div w:id="1172720201">
              <w:marLeft w:val="0"/>
              <w:marRight w:val="0"/>
              <w:marTop w:val="0"/>
              <w:marBottom w:val="0"/>
              <w:divBdr>
                <w:top w:val="none" w:sz="0" w:space="0" w:color="auto"/>
                <w:left w:val="none" w:sz="0" w:space="0" w:color="auto"/>
                <w:bottom w:val="none" w:sz="0" w:space="0" w:color="auto"/>
                <w:right w:val="none" w:sz="0" w:space="0" w:color="auto"/>
              </w:divBdr>
            </w:div>
            <w:div w:id="2075660885">
              <w:marLeft w:val="0"/>
              <w:marRight w:val="0"/>
              <w:marTop w:val="0"/>
              <w:marBottom w:val="0"/>
              <w:divBdr>
                <w:top w:val="none" w:sz="0" w:space="0" w:color="auto"/>
                <w:left w:val="none" w:sz="0" w:space="0" w:color="auto"/>
                <w:bottom w:val="none" w:sz="0" w:space="0" w:color="auto"/>
                <w:right w:val="none" w:sz="0" w:space="0" w:color="auto"/>
              </w:divBdr>
            </w:div>
          </w:divsChild>
        </w:div>
        <w:div w:id="1755128460">
          <w:marLeft w:val="0"/>
          <w:marRight w:val="0"/>
          <w:marTop w:val="0"/>
          <w:marBottom w:val="0"/>
          <w:divBdr>
            <w:top w:val="none" w:sz="0" w:space="0" w:color="auto"/>
            <w:left w:val="none" w:sz="0" w:space="0" w:color="auto"/>
            <w:bottom w:val="none" w:sz="0" w:space="0" w:color="auto"/>
            <w:right w:val="none" w:sz="0" w:space="0" w:color="auto"/>
          </w:divBdr>
          <w:divsChild>
            <w:div w:id="349766792">
              <w:marLeft w:val="0"/>
              <w:marRight w:val="0"/>
              <w:marTop w:val="0"/>
              <w:marBottom w:val="0"/>
              <w:divBdr>
                <w:top w:val="none" w:sz="0" w:space="0" w:color="auto"/>
                <w:left w:val="none" w:sz="0" w:space="0" w:color="auto"/>
                <w:bottom w:val="none" w:sz="0" w:space="0" w:color="auto"/>
                <w:right w:val="none" w:sz="0" w:space="0" w:color="auto"/>
              </w:divBdr>
            </w:div>
          </w:divsChild>
        </w:div>
        <w:div w:id="1856267190">
          <w:marLeft w:val="0"/>
          <w:marRight w:val="0"/>
          <w:marTop w:val="0"/>
          <w:marBottom w:val="0"/>
          <w:divBdr>
            <w:top w:val="none" w:sz="0" w:space="0" w:color="auto"/>
            <w:left w:val="none" w:sz="0" w:space="0" w:color="auto"/>
            <w:bottom w:val="none" w:sz="0" w:space="0" w:color="auto"/>
            <w:right w:val="none" w:sz="0" w:space="0" w:color="auto"/>
          </w:divBdr>
          <w:divsChild>
            <w:div w:id="1234660362">
              <w:marLeft w:val="0"/>
              <w:marRight w:val="0"/>
              <w:marTop w:val="0"/>
              <w:marBottom w:val="0"/>
              <w:divBdr>
                <w:top w:val="none" w:sz="0" w:space="0" w:color="auto"/>
                <w:left w:val="none" w:sz="0" w:space="0" w:color="auto"/>
                <w:bottom w:val="none" w:sz="0" w:space="0" w:color="auto"/>
                <w:right w:val="none" w:sz="0" w:space="0" w:color="auto"/>
              </w:divBdr>
            </w:div>
            <w:div w:id="1683240900">
              <w:marLeft w:val="0"/>
              <w:marRight w:val="0"/>
              <w:marTop w:val="0"/>
              <w:marBottom w:val="0"/>
              <w:divBdr>
                <w:top w:val="none" w:sz="0" w:space="0" w:color="auto"/>
                <w:left w:val="none" w:sz="0" w:space="0" w:color="auto"/>
                <w:bottom w:val="none" w:sz="0" w:space="0" w:color="auto"/>
                <w:right w:val="none" w:sz="0" w:space="0" w:color="auto"/>
              </w:divBdr>
            </w:div>
          </w:divsChild>
        </w:div>
        <w:div w:id="1883663847">
          <w:marLeft w:val="0"/>
          <w:marRight w:val="0"/>
          <w:marTop w:val="0"/>
          <w:marBottom w:val="0"/>
          <w:divBdr>
            <w:top w:val="none" w:sz="0" w:space="0" w:color="auto"/>
            <w:left w:val="none" w:sz="0" w:space="0" w:color="auto"/>
            <w:bottom w:val="none" w:sz="0" w:space="0" w:color="auto"/>
            <w:right w:val="none" w:sz="0" w:space="0" w:color="auto"/>
          </w:divBdr>
          <w:divsChild>
            <w:div w:id="1221402445">
              <w:marLeft w:val="0"/>
              <w:marRight w:val="0"/>
              <w:marTop w:val="0"/>
              <w:marBottom w:val="0"/>
              <w:divBdr>
                <w:top w:val="none" w:sz="0" w:space="0" w:color="auto"/>
                <w:left w:val="none" w:sz="0" w:space="0" w:color="auto"/>
                <w:bottom w:val="none" w:sz="0" w:space="0" w:color="auto"/>
                <w:right w:val="none" w:sz="0" w:space="0" w:color="auto"/>
              </w:divBdr>
            </w:div>
          </w:divsChild>
        </w:div>
        <w:div w:id="1916162353">
          <w:marLeft w:val="0"/>
          <w:marRight w:val="0"/>
          <w:marTop w:val="0"/>
          <w:marBottom w:val="0"/>
          <w:divBdr>
            <w:top w:val="none" w:sz="0" w:space="0" w:color="auto"/>
            <w:left w:val="none" w:sz="0" w:space="0" w:color="auto"/>
            <w:bottom w:val="none" w:sz="0" w:space="0" w:color="auto"/>
            <w:right w:val="none" w:sz="0" w:space="0" w:color="auto"/>
          </w:divBdr>
          <w:divsChild>
            <w:div w:id="85078513">
              <w:marLeft w:val="0"/>
              <w:marRight w:val="0"/>
              <w:marTop w:val="0"/>
              <w:marBottom w:val="0"/>
              <w:divBdr>
                <w:top w:val="none" w:sz="0" w:space="0" w:color="auto"/>
                <w:left w:val="none" w:sz="0" w:space="0" w:color="auto"/>
                <w:bottom w:val="none" w:sz="0" w:space="0" w:color="auto"/>
                <w:right w:val="none" w:sz="0" w:space="0" w:color="auto"/>
              </w:divBdr>
            </w:div>
          </w:divsChild>
        </w:div>
        <w:div w:id="1928415974">
          <w:marLeft w:val="0"/>
          <w:marRight w:val="0"/>
          <w:marTop w:val="0"/>
          <w:marBottom w:val="0"/>
          <w:divBdr>
            <w:top w:val="none" w:sz="0" w:space="0" w:color="auto"/>
            <w:left w:val="none" w:sz="0" w:space="0" w:color="auto"/>
            <w:bottom w:val="none" w:sz="0" w:space="0" w:color="auto"/>
            <w:right w:val="none" w:sz="0" w:space="0" w:color="auto"/>
          </w:divBdr>
          <w:divsChild>
            <w:div w:id="427040403">
              <w:marLeft w:val="0"/>
              <w:marRight w:val="0"/>
              <w:marTop w:val="0"/>
              <w:marBottom w:val="0"/>
              <w:divBdr>
                <w:top w:val="none" w:sz="0" w:space="0" w:color="auto"/>
                <w:left w:val="none" w:sz="0" w:space="0" w:color="auto"/>
                <w:bottom w:val="none" w:sz="0" w:space="0" w:color="auto"/>
                <w:right w:val="none" w:sz="0" w:space="0" w:color="auto"/>
              </w:divBdr>
            </w:div>
          </w:divsChild>
        </w:div>
        <w:div w:id="1959022605">
          <w:marLeft w:val="0"/>
          <w:marRight w:val="0"/>
          <w:marTop w:val="0"/>
          <w:marBottom w:val="0"/>
          <w:divBdr>
            <w:top w:val="none" w:sz="0" w:space="0" w:color="auto"/>
            <w:left w:val="none" w:sz="0" w:space="0" w:color="auto"/>
            <w:bottom w:val="none" w:sz="0" w:space="0" w:color="auto"/>
            <w:right w:val="none" w:sz="0" w:space="0" w:color="auto"/>
          </w:divBdr>
          <w:divsChild>
            <w:div w:id="1682047222">
              <w:marLeft w:val="0"/>
              <w:marRight w:val="0"/>
              <w:marTop w:val="0"/>
              <w:marBottom w:val="0"/>
              <w:divBdr>
                <w:top w:val="none" w:sz="0" w:space="0" w:color="auto"/>
                <w:left w:val="none" w:sz="0" w:space="0" w:color="auto"/>
                <w:bottom w:val="none" w:sz="0" w:space="0" w:color="auto"/>
                <w:right w:val="none" w:sz="0" w:space="0" w:color="auto"/>
              </w:divBdr>
            </w:div>
          </w:divsChild>
        </w:div>
        <w:div w:id="1977639638">
          <w:marLeft w:val="0"/>
          <w:marRight w:val="0"/>
          <w:marTop w:val="0"/>
          <w:marBottom w:val="0"/>
          <w:divBdr>
            <w:top w:val="none" w:sz="0" w:space="0" w:color="auto"/>
            <w:left w:val="none" w:sz="0" w:space="0" w:color="auto"/>
            <w:bottom w:val="none" w:sz="0" w:space="0" w:color="auto"/>
            <w:right w:val="none" w:sz="0" w:space="0" w:color="auto"/>
          </w:divBdr>
          <w:divsChild>
            <w:div w:id="1472867531">
              <w:marLeft w:val="0"/>
              <w:marRight w:val="0"/>
              <w:marTop w:val="0"/>
              <w:marBottom w:val="0"/>
              <w:divBdr>
                <w:top w:val="none" w:sz="0" w:space="0" w:color="auto"/>
                <w:left w:val="none" w:sz="0" w:space="0" w:color="auto"/>
                <w:bottom w:val="none" w:sz="0" w:space="0" w:color="auto"/>
                <w:right w:val="none" w:sz="0" w:space="0" w:color="auto"/>
              </w:divBdr>
            </w:div>
          </w:divsChild>
        </w:div>
        <w:div w:id="1980113274">
          <w:marLeft w:val="0"/>
          <w:marRight w:val="0"/>
          <w:marTop w:val="0"/>
          <w:marBottom w:val="0"/>
          <w:divBdr>
            <w:top w:val="none" w:sz="0" w:space="0" w:color="auto"/>
            <w:left w:val="none" w:sz="0" w:space="0" w:color="auto"/>
            <w:bottom w:val="none" w:sz="0" w:space="0" w:color="auto"/>
            <w:right w:val="none" w:sz="0" w:space="0" w:color="auto"/>
          </w:divBdr>
          <w:divsChild>
            <w:div w:id="1967544229">
              <w:marLeft w:val="0"/>
              <w:marRight w:val="0"/>
              <w:marTop w:val="0"/>
              <w:marBottom w:val="0"/>
              <w:divBdr>
                <w:top w:val="none" w:sz="0" w:space="0" w:color="auto"/>
                <w:left w:val="none" w:sz="0" w:space="0" w:color="auto"/>
                <w:bottom w:val="none" w:sz="0" w:space="0" w:color="auto"/>
                <w:right w:val="none" w:sz="0" w:space="0" w:color="auto"/>
              </w:divBdr>
            </w:div>
          </w:divsChild>
        </w:div>
        <w:div w:id="2011132225">
          <w:marLeft w:val="0"/>
          <w:marRight w:val="0"/>
          <w:marTop w:val="0"/>
          <w:marBottom w:val="0"/>
          <w:divBdr>
            <w:top w:val="none" w:sz="0" w:space="0" w:color="auto"/>
            <w:left w:val="none" w:sz="0" w:space="0" w:color="auto"/>
            <w:bottom w:val="none" w:sz="0" w:space="0" w:color="auto"/>
            <w:right w:val="none" w:sz="0" w:space="0" w:color="auto"/>
          </w:divBdr>
          <w:divsChild>
            <w:div w:id="2016029759">
              <w:marLeft w:val="0"/>
              <w:marRight w:val="0"/>
              <w:marTop w:val="0"/>
              <w:marBottom w:val="0"/>
              <w:divBdr>
                <w:top w:val="none" w:sz="0" w:space="0" w:color="auto"/>
                <w:left w:val="none" w:sz="0" w:space="0" w:color="auto"/>
                <w:bottom w:val="none" w:sz="0" w:space="0" w:color="auto"/>
                <w:right w:val="none" w:sz="0" w:space="0" w:color="auto"/>
              </w:divBdr>
            </w:div>
          </w:divsChild>
        </w:div>
        <w:div w:id="2011832369">
          <w:marLeft w:val="0"/>
          <w:marRight w:val="0"/>
          <w:marTop w:val="0"/>
          <w:marBottom w:val="0"/>
          <w:divBdr>
            <w:top w:val="none" w:sz="0" w:space="0" w:color="auto"/>
            <w:left w:val="none" w:sz="0" w:space="0" w:color="auto"/>
            <w:bottom w:val="none" w:sz="0" w:space="0" w:color="auto"/>
            <w:right w:val="none" w:sz="0" w:space="0" w:color="auto"/>
          </w:divBdr>
          <w:divsChild>
            <w:div w:id="1008600000">
              <w:marLeft w:val="0"/>
              <w:marRight w:val="0"/>
              <w:marTop w:val="0"/>
              <w:marBottom w:val="0"/>
              <w:divBdr>
                <w:top w:val="none" w:sz="0" w:space="0" w:color="auto"/>
                <w:left w:val="none" w:sz="0" w:space="0" w:color="auto"/>
                <w:bottom w:val="none" w:sz="0" w:space="0" w:color="auto"/>
                <w:right w:val="none" w:sz="0" w:space="0" w:color="auto"/>
              </w:divBdr>
            </w:div>
          </w:divsChild>
        </w:div>
        <w:div w:id="2042975231">
          <w:marLeft w:val="0"/>
          <w:marRight w:val="0"/>
          <w:marTop w:val="0"/>
          <w:marBottom w:val="0"/>
          <w:divBdr>
            <w:top w:val="none" w:sz="0" w:space="0" w:color="auto"/>
            <w:left w:val="none" w:sz="0" w:space="0" w:color="auto"/>
            <w:bottom w:val="none" w:sz="0" w:space="0" w:color="auto"/>
            <w:right w:val="none" w:sz="0" w:space="0" w:color="auto"/>
          </w:divBdr>
          <w:divsChild>
            <w:div w:id="1673801057">
              <w:marLeft w:val="0"/>
              <w:marRight w:val="0"/>
              <w:marTop w:val="0"/>
              <w:marBottom w:val="0"/>
              <w:divBdr>
                <w:top w:val="none" w:sz="0" w:space="0" w:color="auto"/>
                <w:left w:val="none" w:sz="0" w:space="0" w:color="auto"/>
                <w:bottom w:val="none" w:sz="0" w:space="0" w:color="auto"/>
                <w:right w:val="none" w:sz="0" w:space="0" w:color="auto"/>
              </w:divBdr>
            </w:div>
          </w:divsChild>
        </w:div>
        <w:div w:id="2135975398">
          <w:marLeft w:val="0"/>
          <w:marRight w:val="0"/>
          <w:marTop w:val="0"/>
          <w:marBottom w:val="0"/>
          <w:divBdr>
            <w:top w:val="none" w:sz="0" w:space="0" w:color="auto"/>
            <w:left w:val="none" w:sz="0" w:space="0" w:color="auto"/>
            <w:bottom w:val="none" w:sz="0" w:space="0" w:color="auto"/>
            <w:right w:val="none" w:sz="0" w:space="0" w:color="auto"/>
          </w:divBdr>
          <w:divsChild>
            <w:div w:id="389378372">
              <w:marLeft w:val="0"/>
              <w:marRight w:val="0"/>
              <w:marTop w:val="0"/>
              <w:marBottom w:val="0"/>
              <w:divBdr>
                <w:top w:val="none" w:sz="0" w:space="0" w:color="auto"/>
                <w:left w:val="none" w:sz="0" w:space="0" w:color="auto"/>
                <w:bottom w:val="none" w:sz="0" w:space="0" w:color="auto"/>
                <w:right w:val="none" w:sz="0" w:space="0" w:color="auto"/>
              </w:divBdr>
            </w:div>
            <w:div w:id="1765683026">
              <w:marLeft w:val="0"/>
              <w:marRight w:val="0"/>
              <w:marTop w:val="0"/>
              <w:marBottom w:val="0"/>
              <w:divBdr>
                <w:top w:val="none" w:sz="0" w:space="0" w:color="auto"/>
                <w:left w:val="none" w:sz="0" w:space="0" w:color="auto"/>
                <w:bottom w:val="none" w:sz="0" w:space="0" w:color="auto"/>
                <w:right w:val="none" w:sz="0" w:space="0" w:color="auto"/>
              </w:divBdr>
            </w:div>
            <w:div w:id="1792894436">
              <w:marLeft w:val="0"/>
              <w:marRight w:val="0"/>
              <w:marTop w:val="0"/>
              <w:marBottom w:val="0"/>
              <w:divBdr>
                <w:top w:val="none" w:sz="0" w:space="0" w:color="auto"/>
                <w:left w:val="none" w:sz="0" w:space="0" w:color="auto"/>
                <w:bottom w:val="none" w:sz="0" w:space="0" w:color="auto"/>
                <w:right w:val="none" w:sz="0" w:space="0" w:color="auto"/>
              </w:divBdr>
            </w:div>
            <w:div w:id="20322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90067">
      <w:bodyDiv w:val="1"/>
      <w:marLeft w:val="0"/>
      <w:marRight w:val="0"/>
      <w:marTop w:val="0"/>
      <w:marBottom w:val="0"/>
      <w:divBdr>
        <w:top w:val="none" w:sz="0" w:space="0" w:color="auto"/>
        <w:left w:val="none" w:sz="0" w:space="0" w:color="auto"/>
        <w:bottom w:val="none" w:sz="0" w:space="0" w:color="auto"/>
        <w:right w:val="none" w:sz="0" w:space="0" w:color="auto"/>
      </w:divBdr>
    </w:div>
    <w:div w:id="1300183297">
      <w:bodyDiv w:val="1"/>
      <w:marLeft w:val="0"/>
      <w:marRight w:val="0"/>
      <w:marTop w:val="0"/>
      <w:marBottom w:val="0"/>
      <w:divBdr>
        <w:top w:val="none" w:sz="0" w:space="0" w:color="auto"/>
        <w:left w:val="none" w:sz="0" w:space="0" w:color="auto"/>
        <w:bottom w:val="none" w:sz="0" w:space="0" w:color="auto"/>
        <w:right w:val="none" w:sz="0" w:space="0" w:color="auto"/>
      </w:divBdr>
      <w:divsChild>
        <w:div w:id="9988030">
          <w:marLeft w:val="0"/>
          <w:marRight w:val="0"/>
          <w:marTop w:val="0"/>
          <w:marBottom w:val="0"/>
          <w:divBdr>
            <w:top w:val="none" w:sz="0" w:space="0" w:color="auto"/>
            <w:left w:val="none" w:sz="0" w:space="0" w:color="auto"/>
            <w:bottom w:val="none" w:sz="0" w:space="0" w:color="auto"/>
            <w:right w:val="none" w:sz="0" w:space="0" w:color="auto"/>
          </w:divBdr>
          <w:divsChild>
            <w:div w:id="575476734">
              <w:marLeft w:val="0"/>
              <w:marRight w:val="0"/>
              <w:marTop w:val="0"/>
              <w:marBottom w:val="0"/>
              <w:divBdr>
                <w:top w:val="none" w:sz="0" w:space="0" w:color="auto"/>
                <w:left w:val="none" w:sz="0" w:space="0" w:color="auto"/>
                <w:bottom w:val="none" w:sz="0" w:space="0" w:color="auto"/>
                <w:right w:val="none" w:sz="0" w:space="0" w:color="auto"/>
              </w:divBdr>
            </w:div>
          </w:divsChild>
        </w:div>
        <w:div w:id="46073963">
          <w:marLeft w:val="0"/>
          <w:marRight w:val="0"/>
          <w:marTop w:val="0"/>
          <w:marBottom w:val="0"/>
          <w:divBdr>
            <w:top w:val="none" w:sz="0" w:space="0" w:color="auto"/>
            <w:left w:val="none" w:sz="0" w:space="0" w:color="auto"/>
            <w:bottom w:val="none" w:sz="0" w:space="0" w:color="auto"/>
            <w:right w:val="none" w:sz="0" w:space="0" w:color="auto"/>
          </w:divBdr>
          <w:divsChild>
            <w:div w:id="571082869">
              <w:marLeft w:val="0"/>
              <w:marRight w:val="0"/>
              <w:marTop w:val="0"/>
              <w:marBottom w:val="0"/>
              <w:divBdr>
                <w:top w:val="none" w:sz="0" w:space="0" w:color="auto"/>
                <w:left w:val="none" w:sz="0" w:space="0" w:color="auto"/>
                <w:bottom w:val="none" w:sz="0" w:space="0" w:color="auto"/>
                <w:right w:val="none" w:sz="0" w:space="0" w:color="auto"/>
              </w:divBdr>
            </w:div>
          </w:divsChild>
        </w:div>
        <w:div w:id="112218031">
          <w:marLeft w:val="0"/>
          <w:marRight w:val="0"/>
          <w:marTop w:val="0"/>
          <w:marBottom w:val="0"/>
          <w:divBdr>
            <w:top w:val="none" w:sz="0" w:space="0" w:color="auto"/>
            <w:left w:val="none" w:sz="0" w:space="0" w:color="auto"/>
            <w:bottom w:val="none" w:sz="0" w:space="0" w:color="auto"/>
            <w:right w:val="none" w:sz="0" w:space="0" w:color="auto"/>
          </w:divBdr>
          <w:divsChild>
            <w:div w:id="1587417339">
              <w:marLeft w:val="0"/>
              <w:marRight w:val="0"/>
              <w:marTop w:val="0"/>
              <w:marBottom w:val="0"/>
              <w:divBdr>
                <w:top w:val="none" w:sz="0" w:space="0" w:color="auto"/>
                <w:left w:val="none" w:sz="0" w:space="0" w:color="auto"/>
                <w:bottom w:val="none" w:sz="0" w:space="0" w:color="auto"/>
                <w:right w:val="none" w:sz="0" w:space="0" w:color="auto"/>
              </w:divBdr>
            </w:div>
          </w:divsChild>
        </w:div>
        <w:div w:id="199754116">
          <w:marLeft w:val="0"/>
          <w:marRight w:val="0"/>
          <w:marTop w:val="0"/>
          <w:marBottom w:val="0"/>
          <w:divBdr>
            <w:top w:val="none" w:sz="0" w:space="0" w:color="auto"/>
            <w:left w:val="none" w:sz="0" w:space="0" w:color="auto"/>
            <w:bottom w:val="none" w:sz="0" w:space="0" w:color="auto"/>
            <w:right w:val="none" w:sz="0" w:space="0" w:color="auto"/>
          </w:divBdr>
          <w:divsChild>
            <w:div w:id="481585229">
              <w:marLeft w:val="0"/>
              <w:marRight w:val="0"/>
              <w:marTop w:val="0"/>
              <w:marBottom w:val="0"/>
              <w:divBdr>
                <w:top w:val="none" w:sz="0" w:space="0" w:color="auto"/>
                <w:left w:val="none" w:sz="0" w:space="0" w:color="auto"/>
                <w:bottom w:val="none" w:sz="0" w:space="0" w:color="auto"/>
                <w:right w:val="none" w:sz="0" w:space="0" w:color="auto"/>
              </w:divBdr>
            </w:div>
          </w:divsChild>
        </w:div>
        <w:div w:id="450982423">
          <w:marLeft w:val="0"/>
          <w:marRight w:val="0"/>
          <w:marTop w:val="0"/>
          <w:marBottom w:val="0"/>
          <w:divBdr>
            <w:top w:val="none" w:sz="0" w:space="0" w:color="auto"/>
            <w:left w:val="none" w:sz="0" w:space="0" w:color="auto"/>
            <w:bottom w:val="none" w:sz="0" w:space="0" w:color="auto"/>
            <w:right w:val="none" w:sz="0" w:space="0" w:color="auto"/>
          </w:divBdr>
          <w:divsChild>
            <w:div w:id="656761930">
              <w:marLeft w:val="0"/>
              <w:marRight w:val="0"/>
              <w:marTop w:val="0"/>
              <w:marBottom w:val="0"/>
              <w:divBdr>
                <w:top w:val="none" w:sz="0" w:space="0" w:color="auto"/>
                <w:left w:val="none" w:sz="0" w:space="0" w:color="auto"/>
                <w:bottom w:val="none" w:sz="0" w:space="0" w:color="auto"/>
                <w:right w:val="none" w:sz="0" w:space="0" w:color="auto"/>
              </w:divBdr>
            </w:div>
          </w:divsChild>
        </w:div>
        <w:div w:id="475756399">
          <w:marLeft w:val="0"/>
          <w:marRight w:val="0"/>
          <w:marTop w:val="0"/>
          <w:marBottom w:val="0"/>
          <w:divBdr>
            <w:top w:val="none" w:sz="0" w:space="0" w:color="auto"/>
            <w:left w:val="none" w:sz="0" w:space="0" w:color="auto"/>
            <w:bottom w:val="none" w:sz="0" w:space="0" w:color="auto"/>
            <w:right w:val="none" w:sz="0" w:space="0" w:color="auto"/>
          </w:divBdr>
          <w:divsChild>
            <w:div w:id="2062168258">
              <w:marLeft w:val="0"/>
              <w:marRight w:val="0"/>
              <w:marTop w:val="0"/>
              <w:marBottom w:val="0"/>
              <w:divBdr>
                <w:top w:val="none" w:sz="0" w:space="0" w:color="auto"/>
                <w:left w:val="none" w:sz="0" w:space="0" w:color="auto"/>
                <w:bottom w:val="none" w:sz="0" w:space="0" w:color="auto"/>
                <w:right w:val="none" w:sz="0" w:space="0" w:color="auto"/>
              </w:divBdr>
            </w:div>
          </w:divsChild>
        </w:div>
        <w:div w:id="499540847">
          <w:marLeft w:val="0"/>
          <w:marRight w:val="0"/>
          <w:marTop w:val="0"/>
          <w:marBottom w:val="0"/>
          <w:divBdr>
            <w:top w:val="none" w:sz="0" w:space="0" w:color="auto"/>
            <w:left w:val="none" w:sz="0" w:space="0" w:color="auto"/>
            <w:bottom w:val="none" w:sz="0" w:space="0" w:color="auto"/>
            <w:right w:val="none" w:sz="0" w:space="0" w:color="auto"/>
          </w:divBdr>
          <w:divsChild>
            <w:div w:id="871723173">
              <w:marLeft w:val="0"/>
              <w:marRight w:val="0"/>
              <w:marTop w:val="0"/>
              <w:marBottom w:val="0"/>
              <w:divBdr>
                <w:top w:val="none" w:sz="0" w:space="0" w:color="auto"/>
                <w:left w:val="none" w:sz="0" w:space="0" w:color="auto"/>
                <w:bottom w:val="none" w:sz="0" w:space="0" w:color="auto"/>
                <w:right w:val="none" w:sz="0" w:space="0" w:color="auto"/>
              </w:divBdr>
            </w:div>
          </w:divsChild>
        </w:div>
        <w:div w:id="517885908">
          <w:marLeft w:val="0"/>
          <w:marRight w:val="0"/>
          <w:marTop w:val="0"/>
          <w:marBottom w:val="0"/>
          <w:divBdr>
            <w:top w:val="none" w:sz="0" w:space="0" w:color="auto"/>
            <w:left w:val="none" w:sz="0" w:space="0" w:color="auto"/>
            <w:bottom w:val="none" w:sz="0" w:space="0" w:color="auto"/>
            <w:right w:val="none" w:sz="0" w:space="0" w:color="auto"/>
          </w:divBdr>
          <w:divsChild>
            <w:div w:id="1872257762">
              <w:marLeft w:val="0"/>
              <w:marRight w:val="0"/>
              <w:marTop w:val="0"/>
              <w:marBottom w:val="0"/>
              <w:divBdr>
                <w:top w:val="none" w:sz="0" w:space="0" w:color="auto"/>
                <w:left w:val="none" w:sz="0" w:space="0" w:color="auto"/>
                <w:bottom w:val="none" w:sz="0" w:space="0" w:color="auto"/>
                <w:right w:val="none" w:sz="0" w:space="0" w:color="auto"/>
              </w:divBdr>
            </w:div>
          </w:divsChild>
        </w:div>
        <w:div w:id="564343479">
          <w:marLeft w:val="0"/>
          <w:marRight w:val="0"/>
          <w:marTop w:val="0"/>
          <w:marBottom w:val="0"/>
          <w:divBdr>
            <w:top w:val="none" w:sz="0" w:space="0" w:color="auto"/>
            <w:left w:val="none" w:sz="0" w:space="0" w:color="auto"/>
            <w:bottom w:val="none" w:sz="0" w:space="0" w:color="auto"/>
            <w:right w:val="none" w:sz="0" w:space="0" w:color="auto"/>
          </w:divBdr>
          <w:divsChild>
            <w:div w:id="2120056251">
              <w:marLeft w:val="0"/>
              <w:marRight w:val="0"/>
              <w:marTop w:val="0"/>
              <w:marBottom w:val="0"/>
              <w:divBdr>
                <w:top w:val="none" w:sz="0" w:space="0" w:color="auto"/>
                <w:left w:val="none" w:sz="0" w:space="0" w:color="auto"/>
                <w:bottom w:val="none" w:sz="0" w:space="0" w:color="auto"/>
                <w:right w:val="none" w:sz="0" w:space="0" w:color="auto"/>
              </w:divBdr>
            </w:div>
          </w:divsChild>
        </w:div>
        <w:div w:id="569967959">
          <w:marLeft w:val="0"/>
          <w:marRight w:val="0"/>
          <w:marTop w:val="0"/>
          <w:marBottom w:val="0"/>
          <w:divBdr>
            <w:top w:val="none" w:sz="0" w:space="0" w:color="auto"/>
            <w:left w:val="none" w:sz="0" w:space="0" w:color="auto"/>
            <w:bottom w:val="none" w:sz="0" w:space="0" w:color="auto"/>
            <w:right w:val="none" w:sz="0" w:space="0" w:color="auto"/>
          </w:divBdr>
          <w:divsChild>
            <w:div w:id="272523151">
              <w:marLeft w:val="0"/>
              <w:marRight w:val="0"/>
              <w:marTop w:val="0"/>
              <w:marBottom w:val="0"/>
              <w:divBdr>
                <w:top w:val="none" w:sz="0" w:space="0" w:color="auto"/>
                <w:left w:val="none" w:sz="0" w:space="0" w:color="auto"/>
                <w:bottom w:val="none" w:sz="0" w:space="0" w:color="auto"/>
                <w:right w:val="none" w:sz="0" w:space="0" w:color="auto"/>
              </w:divBdr>
            </w:div>
          </w:divsChild>
        </w:div>
        <w:div w:id="583271135">
          <w:marLeft w:val="0"/>
          <w:marRight w:val="0"/>
          <w:marTop w:val="0"/>
          <w:marBottom w:val="0"/>
          <w:divBdr>
            <w:top w:val="none" w:sz="0" w:space="0" w:color="auto"/>
            <w:left w:val="none" w:sz="0" w:space="0" w:color="auto"/>
            <w:bottom w:val="none" w:sz="0" w:space="0" w:color="auto"/>
            <w:right w:val="none" w:sz="0" w:space="0" w:color="auto"/>
          </w:divBdr>
          <w:divsChild>
            <w:div w:id="710229699">
              <w:marLeft w:val="0"/>
              <w:marRight w:val="0"/>
              <w:marTop w:val="0"/>
              <w:marBottom w:val="0"/>
              <w:divBdr>
                <w:top w:val="none" w:sz="0" w:space="0" w:color="auto"/>
                <w:left w:val="none" w:sz="0" w:space="0" w:color="auto"/>
                <w:bottom w:val="none" w:sz="0" w:space="0" w:color="auto"/>
                <w:right w:val="none" w:sz="0" w:space="0" w:color="auto"/>
              </w:divBdr>
            </w:div>
            <w:div w:id="1338339674">
              <w:marLeft w:val="0"/>
              <w:marRight w:val="0"/>
              <w:marTop w:val="0"/>
              <w:marBottom w:val="0"/>
              <w:divBdr>
                <w:top w:val="none" w:sz="0" w:space="0" w:color="auto"/>
                <w:left w:val="none" w:sz="0" w:space="0" w:color="auto"/>
                <w:bottom w:val="none" w:sz="0" w:space="0" w:color="auto"/>
                <w:right w:val="none" w:sz="0" w:space="0" w:color="auto"/>
              </w:divBdr>
            </w:div>
            <w:div w:id="1368291581">
              <w:marLeft w:val="0"/>
              <w:marRight w:val="0"/>
              <w:marTop w:val="0"/>
              <w:marBottom w:val="0"/>
              <w:divBdr>
                <w:top w:val="none" w:sz="0" w:space="0" w:color="auto"/>
                <w:left w:val="none" w:sz="0" w:space="0" w:color="auto"/>
                <w:bottom w:val="none" w:sz="0" w:space="0" w:color="auto"/>
                <w:right w:val="none" w:sz="0" w:space="0" w:color="auto"/>
              </w:divBdr>
            </w:div>
          </w:divsChild>
        </w:div>
        <w:div w:id="615142848">
          <w:marLeft w:val="0"/>
          <w:marRight w:val="0"/>
          <w:marTop w:val="0"/>
          <w:marBottom w:val="0"/>
          <w:divBdr>
            <w:top w:val="none" w:sz="0" w:space="0" w:color="auto"/>
            <w:left w:val="none" w:sz="0" w:space="0" w:color="auto"/>
            <w:bottom w:val="none" w:sz="0" w:space="0" w:color="auto"/>
            <w:right w:val="none" w:sz="0" w:space="0" w:color="auto"/>
          </w:divBdr>
          <w:divsChild>
            <w:div w:id="1223368467">
              <w:marLeft w:val="0"/>
              <w:marRight w:val="0"/>
              <w:marTop w:val="0"/>
              <w:marBottom w:val="0"/>
              <w:divBdr>
                <w:top w:val="none" w:sz="0" w:space="0" w:color="auto"/>
                <w:left w:val="none" w:sz="0" w:space="0" w:color="auto"/>
                <w:bottom w:val="none" w:sz="0" w:space="0" w:color="auto"/>
                <w:right w:val="none" w:sz="0" w:space="0" w:color="auto"/>
              </w:divBdr>
            </w:div>
          </w:divsChild>
        </w:div>
        <w:div w:id="616646180">
          <w:marLeft w:val="0"/>
          <w:marRight w:val="0"/>
          <w:marTop w:val="0"/>
          <w:marBottom w:val="0"/>
          <w:divBdr>
            <w:top w:val="none" w:sz="0" w:space="0" w:color="auto"/>
            <w:left w:val="none" w:sz="0" w:space="0" w:color="auto"/>
            <w:bottom w:val="none" w:sz="0" w:space="0" w:color="auto"/>
            <w:right w:val="none" w:sz="0" w:space="0" w:color="auto"/>
          </w:divBdr>
          <w:divsChild>
            <w:div w:id="1325972">
              <w:marLeft w:val="0"/>
              <w:marRight w:val="0"/>
              <w:marTop w:val="0"/>
              <w:marBottom w:val="0"/>
              <w:divBdr>
                <w:top w:val="none" w:sz="0" w:space="0" w:color="auto"/>
                <w:left w:val="none" w:sz="0" w:space="0" w:color="auto"/>
                <w:bottom w:val="none" w:sz="0" w:space="0" w:color="auto"/>
                <w:right w:val="none" w:sz="0" w:space="0" w:color="auto"/>
              </w:divBdr>
            </w:div>
          </w:divsChild>
        </w:div>
        <w:div w:id="623658400">
          <w:marLeft w:val="0"/>
          <w:marRight w:val="0"/>
          <w:marTop w:val="0"/>
          <w:marBottom w:val="0"/>
          <w:divBdr>
            <w:top w:val="none" w:sz="0" w:space="0" w:color="auto"/>
            <w:left w:val="none" w:sz="0" w:space="0" w:color="auto"/>
            <w:bottom w:val="none" w:sz="0" w:space="0" w:color="auto"/>
            <w:right w:val="none" w:sz="0" w:space="0" w:color="auto"/>
          </w:divBdr>
          <w:divsChild>
            <w:div w:id="474420650">
              <w:marLeft w:val="0"/>
              <w:marRight w:val="0"/>
              <w:marTop w:val="0"/>
              <w:marBottom w:val="0"/>
              <w:divBdr>
                <w:top w:val="none" w:sz="0" w:space="0" w:color="auto"/>
                <w:left w:val="none" w:sz="0" w:space="0" w:color="auto"/>
                <w:bottom w:val="none" w:sz="0" w:space="0" w:color="auto"/>
                <w:right w:val="none" w:sz="0" w:space="0" w:color="auto"/>
              </w:divBdr>
            </w:div>
          </w:divsChild>
        </w:div>
        <w:div w:id="635068799">
          <w:marLeft w:val="0"/>
          <w:marRight w:val="0"/>
          <w:marTop w:val="0"/>
          <w:marBottom w:val="0"/>
          <w:divBdr>
            <w:top w:val="none" w:sz="0" w:space="0" w:color="auto"/>
            <w:left w:val="none" w:sz="0" w:space="0" w:color="auto"/>
            <w:bottom w:val="none" w:sz="0" w:space="0" w:color="auto"/>
            <w:right w:val="none" w:sz="0" w:space="0" w:color="auto"/>
          </w:divBdr>
          <w:divsChild>
            <w:div w:id="1035272586">
              <w:marLeft w:val="0"/>
              <w:marRight w:val="0"/>
              <w:marTop w:val="0"/>
              <w:marBottom w:val="0"/>
              <w:divBdr>
                <w:top w:val="none" w:sz="0" w:space="0" w:color="auto"/>
                <w:left w:val="none" w:sz="0" w:space="0" w:color="auto"/>
                <w:bottom w:val="none" w:sz="0" w:space="0" w:color="auto"/>
                <w:right w:val="none" w:sz="0" w:space="0" w:color="auto"/>
              </w:divBdr>
            </w:div>
          </w:divsChild>
        </w:div>
        <w:div w:id="673337637">
          <w:marLeft w:val="0"/>
          <w:marRight w:val="0"/>
          <w:marTop w:val="0"/>
          <w:marBottom w:val="0"/>
          <w:divBdr>
            <w:top w:val="none" w:sz="0" w:space="0" w:color="auto"/>
            <w:left w:val="none" w:sz="0" w:space="0" w:color="auto"/>
            <w:bottom w:val="none" w:sz="0" w:space="0" w:color="auto"/>
            <w:right w:val="none" w:sz="0" w:space="0" w:color="auto"/>
          </w:divBdr>
          <w:divsChild>
            <w:div w:id="1943488124">
              <w:marLeft w:val="0"/>
              <w:marRight w:val="0"/>
              <w:marTop w:val="0"/>
              <w:marBottom w:val="0"/>
              <w:divBdr>
                <w:top w:val="none" w:sz="0" w:space="0" w:color="auto"/>
                <w:left w:val="none" w:sz="0" w:space="0" w:color="auto"/>
                <w:bottom w:val="none" w:sz="0" w:space="0" w:color="auto"/>
                <w:right w:val="none" w:sz="0" w:space="0" w:color="auto"/>
              </w:divBdr>
            </w:div>
          </w:divsChild>
        </w:div>
        <w:div w:id="695540765">
          <w:marLeft w:val="0"/>
          <w:marRight w:val="0"/>
          <w:marTop w:val="0"/>
          <w:marBottom w:val="0"/>
          <w:divBdr>
            <w:top w:val="none" w:sz="0" w:space="0" w:color="auto"/>
            <w:left w:val="none" w:sz="0" w:space="0" w:color="auto"/>
            <w:bottom w:val="none" w:sz="0" w:space="0" w:color="auto"/>
            <w:right w:val="none" w:sz="0" w:space="0" w:color="auto"/>
          </w:divBdr>
          <w:divsChild>
            <w:div w:id="1441561724">
              <w:marLeft w:val="0"/>
              <w:marRight w:val="0"/>
              <w:marTop w:val="0"/>
              <w:marBottom w:val="0"/>
              <w:divBdr>
                <w:top w:val="none" w:sz="0" w:space="0" w:color="auto"/>
                <w:left w:val="none" w:sz="0" w:space="0" w:color="auto"/>
                <w:bottom w:val="none" w:sz="0" w:space="0" w:color="auto"/>
                <w:right w:val="none" w:sz="0" w:space="0" w:color="auto"/>
              </w:divBdr>
            </w:div>
            <w:div w:id="1545826833">
              <w:marLeft w:val="0"/>
              <w:marRight w:val="0"/>
              <w:marTop w:val="0"/>
              <w:marBottom w:val="0"/>
              <w:divBdr>
                <w:top w:val="none" w:sz="0" w:space="0" w:color="auto"/>
                <w:left w:val="none" w:sz="0" w:space="0" w:color="auto"/>
                <w:bottom w:val="none" w:sz="0" w:space="0" w:color="auto"/>
                <w:right w:val="none" w:sz="0" w:space="0" w:color="auto"/>
              </w:divBdr>
            </w:div>
          </w:divsChild>
        </w:div>
        <w:div w:id="744185714">
          <w:marLeft w:val="0"/>
          <w:marRight w:val="0"/>
          <w:marTop w:val="0"/>
          <w:marBottom w:val="0"/>
          <w:divBdr>
            <w:top w:val="none" w:sz="0" w:space="0" w:color="auto"/>
            <w:left w:val="none" w:sz="0" w:space="0" w:color="auto"/>
            <w:bottom w:val="none" w:sz="0" w:space="0" w:color="auto"/>
            <w:right w:val="none" w:sz="0" w:space="0" w:color="auto"/>
          </w:divBdr>
          <w:divsChild>
            <w:div w:id="143864651">
              <w:marLeft w:val="0"/>
              <w:marRight w:val="0"/>
              <w:marTop w:val="0"/>
              <w:marBottom w:val="0"/>
              <w:divBdr>
                <w:top w:val="none" w:sz="0" w:space="0" w:color="auto"/>
                <w:left w:val="none" w:sz="0" w:space="0" w:color="auto"/>
                <w:bottom w:val="none" w:sz="0" w:space="0" w:color="auto"/>
                <w:right w:val="none" w:sz="0" w:space="0" w:color="auto"/>
              </w:divBdr>
            </w:div>
            <w:div w:id="360938158">
              <w:marLeft w:val="0"/>
              <w:marRight w:val="0"/>
              <w:marTop w:val="0"/>
              <w:marBottom w:val="0"/>
              <w:divBdr>
                <w:top w:val="none" w:sz="0" w:space="0" w:color="auto"/>
                <w:left w:val="none" w:sz="0" w:space="0" w:color="auto"/>
                <w:bottom w:val="none" w:sz="0" w:space="0" w:color="auto"/>
                <w:right w:val="none" w:sz="0" w:space="0" w:color="auto"/>
              </w:divBdr>
            </w:div>
            <w:div w:id="720907163">
              <w:marLeft w:val="0"/>
              <w:marRight w:val="0"/>
              <w:marTop w:val="0"/>
              <w:marBottom w:val="0"/>
              <w:divBdr>
                <w:top w:val="none" w:sz="0" w:space="0" w:color="auto"/>
                <w:left w:val="none" w:sz="0" w:space="0" w:color="auto"/>
                <w:bottom w:val="none" w:sz="0" w:space="0" w:color="auto"/>
                <w:right w:val="none" w:sz="0" w:space="0" w:color="auto"/>
              </w:divBdr>
            </w:div>
            <w:div w:id="1004170106">
              <w:marLeft w:val="0"/>
              <w:marRight w:val="0"/>
              <w:marTop w:val="0"/>
              <w:marBottom w:val="0"/>
              <w:divBdr>
                <w:top w:val="none" w:sz="0" w:space="0" w:color="auto"/>
                <w:left w:val="none" w:sz="0" w:space="0" w:color="auto"/>
                <w:bottom w:val="none" w:sz="0" w:space="0" w:color="auto"/>
                <w:right w:val="none" w:sz="0" w:space="0" w:color="auto"/>
              </w:divBdr>
            </w:div>
            <w:div w:id="1507207968">
              <w:marLeft w:val="0"/>
              <w:marRight w:val="0"/>
              <w:marTop w:val="0"/>
              <w:marBottom w:val="0"/>
              <w:divBdr>
                <w:top w:val="none" w:sz="0" w:space="0" w:color="auto"/>
                <w:left w:val="none" w:sz="0" w:space="0" w:color="auto"/>
                <w:bottom w:val="none" w:sz="0" w:space="0" w:color="auto"/>
                <w:right w:val="none" w:sz="0" w:space="0" w:color="auto"/>
              </w:divBdr>
            </w:div>
            <w:div w:id="1633945635">
              <w:marLeft w:val="0"/>
              <w:marRight w:val="0"/>
              <w:marTop w:val="0"/>
              <w:marBottom w:val="0"/>
              <w:divBdr>
                <w:top w:val="none" w:sz="0" w:space="0" w:color="auto"/>
                <w:left w:val="none" w:sz="0" w:space="0" w:color="auto"/>
                <w:bottom w:val="none" w:sz="0" w:space="0" w:color="auto"/>
                <w:right w:val="none" w:sz="0" w:space="0" w:color="auto"/>
              </w:divBdr>
            </w:div>
            <w:div w:id="2061127283">
              <w:marLeft w:val="0"/>
              <w:marRight w:val="0"/>
              <w:marTop w:val="0"/>
              <w:marBottom w:val="0"/>
              <w:divBdr>
                <w:top w:val="none" w:sz="0" w:space="0" w:color="auto"/>
                <w:left w:val="none" w:sz="0" w:space="0" w:color="auto"/>
                <w:bottom w:val="none" w:sz="0" w:space="0" w:color="auto"/>
                <w:right w:val="none" w:sz="0" w:space="0" w:color="auto"/>
              </w:divBdr>
            </w:div>
            <w:div w:id="2116973816">
              <w:marLeft w:val="0"/>
              <w:marRight w:val="0"/>
              <w:marTop w:val="0"/>
              <w:marBottom w:val="0"/>
              <w:divBdr>
                <w:top w:val="none" w:sz="0" w:space="0" w:color="auto"/>
                <w:left w:val="none" w:sz="0" w:space="0" w:color="auto"/>
                <w:bottom w:val="none" w:sz="0" w:space="0" w:color="auto"/>
                <w:right w:val="none" w:sz="0" w:space="0" w:color="auto"/>
              </w:divBdr>
            </w:div>
            <w:div w:id="2126653928">
              <w:marLeft w:val="0"/>
              <w:marRight w:val="0"/>
              <w:marTop w:val="0"/>
              <w:marBottom w:val="0"/>
              <w:divBdr>
                <w:top w:val="none" w:sz="0" w:space="0" w:color="auto"/>
                <w:left w:val="none" w:sz="0" w:space="0" w:color="auto"/>
                <w:bottom w:val="none" w:sz="0" w:space="0" w:color="auto"/>
                <w:right w:val="none" w:sz="0" w:space="0" w:color="auto"/>
              </w:divBdr>
            </w:div>
          </w:divsChild>
        </w:div>
        <w:div w:id="775560444">
          <w:marLeft w:val="0"/>
          <w:marRight w:val="0"/>
          <w:marTop w:val="0"/>
          <w:marBottom w:val="0"/>
          <w:divBdr>
            <w:top w:val="none" w:sz="0" w:space="0" w:color="auto"/>
            <w:left w:val="none" w:sz="0" w:space="0" w:color="auto"/>
            <w:bottom w:val="none" w:sz="0" w:space="0" w:color="auto"/>
            <w:right w:val="none" w:sz="0" w:space="0" w:color="auto"/>
          </w:divBdr>
          <w:divsChild>
            <w:div w:id="805468687">
              <w:marLeft w:val="0"/>
              <w:marRight w:val="0"/>
              <w:marTop w:val="0"/>
              <w:marBottom w:val="0"/>
              <w:divBdr>
                <w:top w:val="none" w:sz="0" w:space="0" w:color="auto"/>
                <w:left w:val="none" w:sz="0" w:space="0" w:color="auto"/>
                <w:bottom w:val="none" w:sz="0" w:space="0" w:color="auto"/>
                <w:right w:val="none" w:sz="0" w:space="0" w:color="auto"/>
              </w:divBdr>
            </w:div>
          </w:divsChild>
        </w:div>
        <w:div w:id="808089903">
          <w:marLeft w:val="0"/>
          <w:marRight w:val="0"/>
          <w:marTop w:val="0"/>
          <w:marBottom w:val="0"/>
          <w:divBdr>
            <w:top w:val="none" w:sz="0" w:space="0" w:color="auto"/>
            <w:left w:val="none" w:sz="0" w:space="0" w:color="auto"/>
            <w:bottom w:val="none" w:sz="0" w:space="0" w:color="auto"/>
            <w:right w:val="none" w:sz="0" w:space="0" w:color="auto"/>
          </w:divBdr>
          <w:divsChild>
            <w:div w:id="72824954">
              <w:marLeft w:val="0"/>
              <w:marRight w:val="0"/>
              <w:marTop w:val="0"/>
              <w:marBottom w:val="0"/>
              <w:divBdr>
                <w:top w:val="none" w:sz="0" w:space="0" w:color="auto"/>
                <w:left w:val="none" w:sz="0" w:space="0" w:color="auto"/>
                <w:bottom w:val="none" w:sz="0" w:space="0" w:color="auto"/>
                <w:right w:val="none" w:sz="0" w:space="0" w:color="auto"/>
              </w:divBdr>
            </w:div>
          </w:divsChild>
        </w:div>
        <w:div w:id="816996973">
          <w:marLeft w:val="0"/>
          <w:marRight w:val="0"/>
          <w:marTop w:val="0"/>
          <w:marBottom w:val="0"/>
          <w:divBdr>
            <w:top w:val="none" w:sz="0" w:space="0" w:color="auto"/>
            <w:left w:val="none" w:sz="0" w:space="0" w:color="auto"/>
            <w:bottom w:val="none" w:sz="0" w:space="0" w:color="auto"/>
            <w:right w:val="none" w:sz="0" w:space="0" w:color="auto"/>
          </w:divBdr>
          <w:divsChild>
            <w:div w:id="1555464012">
              <w:marLeft w:val="0"/>
              <w:marRight w:val="0"/>
              <w:marTop w:val="0"/>
              <w:marBottom w:val="0"/>
              <w:divBdr>
                <w:top w:val="none" w:sz="0" w:space="0" w:color="auto"/>
                <w:left w:val="none" w:sz="0" w:space="0" w:color="auto"/>
                <w:bottom w:val="none" w:sz="0" w:space="0" w:color="auto"/>
                <w:right w:val="none" w:sz="0" w:space="0" w:color="auto"/>
              </w:divBdr>
            </w:div>
          </w:divsChild>
        </w:div>
        <w:div w:id="843515928">
          <w:marLeft w:val="0"/>
          <w:marRight w:val="0"/>
          <w:marTop w:val="0"/>
          <w:marBottom w:val="0"/>
          <w:divBdr>
            <w:top w:val="none" w:sz="0" w:space="0" w:color="auto"/>
            <w:left w:val="none" w:sz="0" w:space="0" w:color="auto"/>
            <w:bottom w:val="none" w:sz="0" w:space="0" w:color="auto"/>
            <w:right w:val="none" w:sz="0" w:space="0" w:color="auto"/>
          </w:divBdr>
          <w:divsChild>
            <w:div w:id="686709954">
              <w:marLeft w:val="0"/>
              <w:marRight w:val="0"/>
              <w:marTop w:val="0"/>
              <w:marBottom w:val="0"/>
              <w:divBdr>
                <w:top w:val="none" w:sz="0" w:space="0" w:color="auto"/>
                <w:left w:val="none" w:sz="0" w:space="0" w:color="auto"/>
                <w:bottom w:val="none" w:sz="0" w:space="0" w:color="auto"/>
                <w:right w:val="none" w:sz="0" w:space="0" w:color="auto"/>
              </w:divBdr>
            </w:div>
          </w:divsChild>
        </w:div>
        <w:div w:id="849567604">
          <w:marLeft w:val="0"/>
          <w:marRight w:val="0"/>
          <w:marTop w:val="0"/>
          <w:marBottom w:val="0"/>
          <w:divBdr>
            <w:top w:val="none" w:sz="0" w:space="0" w:color="auto"/>
            <w:left w:val="none" w:sz="0" w:space="0" w:color="auto"/>
            <w:bottom w:val="none" w:sz="0" w:space="0" w:color="auto"/>
            <w:right w:val="none" w:sz="0" w:space="0" w:color="auto"/>
          </w:divBdr>
          <w:divsChild>
            <w:div w:id="2045906953">
              <w:marLeft w:val="0"/>
              <w:marRight w:val="0"/>
              <w:marTop w:val="0"/>
              <w:marBottom w:val="0"/>
              <w:divBdr>
                <w:top w:val="none" w:sz="0" w:space="0" w:color="auto"/>
                <w:left w:val="none" w:sz="0" w:space="0" w:color="auto"/>
                <w:bottom w:val="none" w:sz="0" w:space="0" w:color="auto"/>
                <w:right w:val="none" w:sz="0" w:space="0" w:color="auto"/>
              </w:divBdr>
            </w:div>
          </w:divsChild>
        </w:div>
        <w:div w:id="903221855">
          <w:marLeft w:val="0"/>
          <w:marRight w:val="0"/>
          <w:marTop w:val="0"/>
          <w:marBottom w:val="0"/>
          <w:divBdr>
            <w:top w:val="none" w:sz="0" w:space="0" w:color="auto"/>
            <w:left w:val="none" w:sz="0" w:space="0" w:color="auto"/>
            <w:bottom w:val="none" w:sz="0" w:space="0" w:color="auto"/>
            <w:right w:val="none" w:sz="0" w:space="0" w:color="auto"/>
          </w:divBdr>
          <w:divsChild>
            <w:div w:id="1028679125">
              <w:marLeft w:val="0"/>
              <w:marRight w:val="0"/>
              <w:marTop w:val="0"/>
              <w:marBottom w:val="0"/>
              <w:divBdr>
                <w:top w:val="none" w:sz="0" w:space="0" w:color="auto"/>
                <w:left w:val="none" w:sz="0" w:space="0" w:color="auto"/>
                <w:bottom w:val="none" w:sz="0" w:space="0" w:color="auto"/>
                <w:right w:val="none" w:sz="0" w:space="0" w:color="auto"/>
              </w:divBdr>
            </w:div>
          </w:divsChild>
        </w:div>
        <w:div w:id="914434702">
          <w:marLeft w:val="0"/>
          <w:marRight w:val="0"/>
          <w:marTop w:val="0"/>
          <w:marBottom w:val="0"/>
          <w:divBdr>
            <w:top w:val="none" w:sz="0" w:space="0" w:color="auto"/>
            <w:left w:val="none" w:sz="0" w:space="0" w:color="auto"/>
            <w:bottom w:val="none" w:sz="0" w:space="0" w:color="auto"/>
            <w:right w:val="none" w:sz="0" w:space="0" w:color="auto"/>
          </w:divBdr>
          <w:divsChild>
            <w:div w:id="204951066">
              <w:marLeft w:val="0"/>
              <w:marRight w:val="0"/>
              <w:marTop w:val="0"/>
              <w:marBottom w:val="0"/>
              <w:divBdr>
                <w:top w:val="none" w:sz="0" w:space="0" w:color="auto"/>
                <w:left w:val="none" w:sz="0" w:space="0" w:color="auto"/>
                <w:bottom w:val="none" w:sz="0" w:space="0" w:color="auto"/>
                <w:right w:val="none" w:sz="0" w:space="0" w:color="auto"/>
              </w:divBdr>
            </w:div>
            <w:div w:id="557939844">
              <w:marLeft w:val="0"/>
              <w:marRight w:val="0"/>
              <w:marTop w:val="0"/>
              <w:marBottom w:val="0"/>
              <w:divBdr>
                <w:top w:val="none" w:sz="0" w:space="0" w:color="auto"/>
                <w:left w:val="none" w:sz="0" w:space="0" w:color="auto"/>
                <w:bottom w:val="none" w:sz="0" w:space="0" w:color="auto"/>
                <w:right w:val="none" w:sz="0" w:space="0" w:color="auto"/>
              </w:divBdr>
            </w:div>
            <w:div w:id="1019769613">
              <w:marLeft w:val="0"/>
              <w:marRight w:val="0"/>
              <w:marTop w:val="0"/>
              <w:marBottom w:val="0"/>
              <w:divBdr>
                <w:top w:val="none" w:sz="0" w:space="0" w:color="auto"/>
                <w:left w:val="none" w:sz="0" w:space="0" w:color="auto"/>
                <w:bottom w:val="none" w:sz="0" w:space="0" w:color="auto"/>
                <w:right w:val="none" w:sz="0" w:space="0" w:color="auto"/>
              </w:divBdr>
            </w:div>
            <w:div w:id="1386370392">
              <w:marLeft w:val="0"/>
              <w:marRight w:val="0"/>
              <w:marTop w:val="0"/>
              <w:marBottom w:val="0"/>
              <w:divBdr>
                <w:top w:val="none" w:sz="0" w:space="0" w:color="auto"/>
                <w:left w:val="none" w:sz="0" w:space="0" w:color="auto"/>
                <w:bottom w:val="none" w:sz="0" w:space="0" w:color="auto"/>
                <w:right w:val="none" w:sz="0" w:space="0" w:color="auto"/>
              </w:divBdr>
            </w:div>
            <w:div w:id="1437672045">
              <w:marLeft w:val="0"/>
              <w:marRight w:val="0"/>
              <w:marTop w:val="0"/>
              <w:marBottom w:val="0"/>
              <w:divBdr>
                <w:top w:val="none" w:sz="0" w:space="0" w:color="auto"/>
                <w:left w:val="none" w:sz="0" w:space="0" w:color="auto"/>
                <w:bottom w:val="none" w:sz="0" w:space="0" w:color="auto"/>
                <w:right w:val="none" w:sz="0" w:space="0" w:color="auto"/>
              </w:divBdr>
            </w:div>
            <w:div w:id="1636326104">
              <w:marLeft w:val="0"/>
              <w:marRight w:val="0"/>
              <w:marTop w:val="0"/>
              <w:marBottom w:val="0"/>
              <w:divBdr>
                <w:top w:val="none" w:sz="0" w:space="0" w:color="auto"/>
                <w:left w:val="none" w:sz="0" w:space="0" w:color="auto"/>
                <w:bottom w:val="none" w:sz="0" w:space="0" w:color="auto"/>
                <w:right w:val="none" w:sz="0" w:space="0" w:color="auto"/>
              </w:divBdr>
            </w:div>
            <w:div w:id="2076581333">
              <w:marLeft w:val="0"/>
              <w:marRight w:val="0"/>
              <w:marTop w:val="0"/>
              <w:marBottom w:val="0"/>
              <w:divBdr>
                <w:top w:val="none" w:sz="0" w:space="0" w:color="auto"/>
                <w:left w:val="none" w:sz="0" w:space="0" w:color="auto"/>
                <w:bottom w:val="none" w:sz="0" w:space="0" w:color="auto"/>
                <w:right w:val="none" w:sz="0" w:space="0" w:color="auto"/>
              </w:divBdr>
            </w:div>
          </w:divsChild>
        </w:div>
        <w:div w:id="936015997">
          <w:marLeft w:val="0"/>
          <w:marRight w:val="0"/>
          <w:marTop w:val="0"/>
          <w:marBottom w:val="0"/>
          <w:divBdr>
            <w:top w:val="none" w:sz="0" w:space="0" w:color="auto"/>
            <w:left w:val="none" w:sz="0" w:space="0" w:color="auto"/>
            <w:bottom w:val="none" w:sz="0" w:space="0" w:color="auto"/>
            <w:right w:val="none" w:sz="0" w:space="0" w:color="auto"/>
          </w:divBdr>
          <w:divsChild>
            <w:div w:id="1014459865">
              <w:marLeft w:val="0"/>
              <w:marRight w:val="0"/>
              <w:marTop w:val="0"/>
              <w:marBottom w:val="0"/>
              <w:divBdr>
                <w:top w:val="none" w:sz="0" w:space="0" w:color="auto"/>
                <w:left w:val="none" w:sz="0" w:space="0" w:color="auto"/>
                <w:bottom w:val="none" w:sz="0" w:space="0" w:color="auto"/>
                <w:right w:val="none" w:sz="0" w:space="0" w:color="auto"/>
              </w:divBdr>
            </w:div>
          </w:divsChild>
        </w:div>
        <w:div w:id="1014960158">
          <w:marLeft w:val="0"/>
          <w:marRight w:val="0"/>
          <w:marTop w:val="0"/>
          <w:marBottom w:val="0"/>
          <w:divBdr>
            <w:top w:val="none" w:sz="0" w:space="0" w:color="auto"/>
            <w:left w:val="none" w:sz="0" w:space="0" w:color="auto"/>
            <w:bottom w:val="none" w:sz="0" w:space="0" w:color="auto"/>
            <w:right w:val="none" w:sz="0" w:space="0" w:color="auto"/>
          </w:divBdr>
          <w:divsChild>
            <w:div w:id="106585743">
              <w:marLeft w:val="0"/>
              <w:marRight w:val="0"/>
              <w:marTop w:val="0"/>
              <w:marBottom w:val="0"/>
              <w:divBdr>
                <w:top w:val="none" w:sz="0" w:space="0" w:color="auto"/>
                <w:left w:val="none" w:sz="0" w:space="0" w:color="auto"/>
                <w:bottom w:val="none" w:sz="0" w:space="0" w:color="auto"/>
                <w:right w:val="none" w:sz="0" w:space="0" w:color="auto"/>
              </w:divBdr>
            </w:div>
          </w:divsChild>
        </w:div>
        <w:div w:id="1040126839">
          <w:marLeft w:val="0"/>
          <w:marRight w:val="0"/>
          <w:marTop w:val="0"/>
          <w:marBottom w:val="0"/>
          <w:divBdr>
            <w:top w:val="none" w:sz="0" w:space="0" w:color="auto"/>
            <w:left w:val="none" w:sz="0" w:space="0" w:color="auto"/>
            <w:bottom w:val="none" w:sz="0" w:space="0" w:color="auto"/>
            <w:right w:val="none" w:sz="0" w:space="0" w:color="auto"/>
          </w:divBdr>
          <w:divsChild>
            <w:div w:id="616524425">
              <w:marLeft w:val="0"/>
              <w:marRight w:val="0"/>
              <w:marTop w:val="0"/>
              <w:marBottom w:val="0"/>
              <w:divBdr>
                <w:top w:val="none" w:sz="0" w:space="0" w:color="auto"/>
                <w:left w:val="none" w:sz="0" w:space="0" w:color="auto"/>
                <w:bottom w:val="none" w:sz="0" w:space="0" w:color="auto"/>
                <w:right w:val="none" w:sz="0" w:space="0" w:color="auto"/>
              </w:divBdr>
            </w:div>
          </w:divsChild>
        </w:div>
        <w:div w:id="1064254024">
          <w:marLeft w:val="0"/>
          <w:marRight w:val="0"/>
          <w:marTop w:val="0"/>
          <w:marBottom w:val="0"/>
          <w:divBdr>
            <w:top w:val="none" w:sz="0" w:space="0" w:color="auto"/>
            <w:left w:val="none" w:sz="0" w:space="0" w:color="auto"/>
            <w:bottom w:val="none" w:sz="0" w:space="0" w:color="auto"/>
            <w:right w:val="none" w:sz="0" w:space="0" w:color="auto"/>
          </w:divBdr>
          <w:divsChild>
            <w:div w:id="214315610">
              <w:marLeft w:val="0"/>
              <w:marRight w:val="0"/>
              <w:marTop w:val="0"/>
              <w:marBottom w:val="0"/>
              <w:divBdr>
                <w:top w:val="none" w:sz="0" w:space="0" w:color="auto"/>
                <w:left w:val="none" w:sz="0" w:space="0" w:color="auto"/>
                <w:bottom w:val="none" w:sz="0" w:space="0" w:color="auto"/>
                <w:right w:val="none" w:sz="0" w:space="0" w:color="auto"/>
              </w:divBdr>
            </w:div>
          </w:divsChild>
        </w:div>
        <w:div w:id="1109009193">
          <w:marLeft w:val="0"/>
          <w:marRight w:val="0"/>
          <w:marTop w:val="0"/>
          <w:marBottom w:val="0"/>
          <w:divBdr>
            <w:top w:val="none" w:sz="0" w:space="0" w:color="auto"/>
            <w:left w:val="none" w:sz="0" w:space="0" w:color="auto"/>
            <w:bottom w:val="none" w:sz="0" w:space="0" w:color="auto"/>
            <w:right w:val="none" w:sz="0" w:space="0" w:color="auto"/>
          </w:divBdr>
          <w:divsChild>
            <w:div w:id="2017270831">
              <w:marLeft w:val="0"/>
              <w:marRight w:val="0"/>
              <w:marTop w:val="0"/>
              <w:marBottom w:val="0"/>
              <w:divBdr>
                <w:top w:val="none" w:sz="0" w:space="0" w:color="auto"/>
                <w:left w:val="none" w:sz="0" w:space="0" w:color="auto"/>
                <w:bottom w:val="none" w:sz="0" w:space="0" w:color="auto"/>
                <w:right w:val="none" w:sz="0" w:space="0" w:color="auto"/>
              </w:divBdr>
            </w:div>
          </w:divsChild>
        </w:div>
        <w:div w:id="1161120055">
          <w:marLeft w:val="0"/>
          <w:marRight w:val="0"/>
          <w:marTop w:val="0"/>
          <w:marBottom w:val="0"/>
          <w:divBdr>
            <w:top w:val="none" w:sz="0" w:space="0" w:color="auto"/>
            <w:left w:val="none" w:sz="0" w:space="0" w:color="auto"/>
            <w:bottom w:val="none" w:sz="0" w:space="0" w:color="auto"/>
            <w:right w:val="none" w:sz="0" w:space="0" w:color="auto"/>
          </w:divBdr>
          <w:divsChild>
            <w:div w:id="15085706">
              <w:marLeft w:val="0"/>
              <w:marRight w:val="0"/>
              <w:marTop w:val="0"/>
              <w:marBottom w:val="0"/>
              <w:divBdr>
                <w:top w:val="none" w:sz="0" w:space="0" w:color="auto"/>
                <w:left w:val="none" w:sz="0" w:space="0" w:color="auto"/>
                <w:bottom w:val="none" w:sz="0" w:space="0" w:color="auto"/>
                <w:right w:val="none" w:sz="0" w:space="0" w:color="auto"/>
              </w:divBdr>
            </w:div>
            <w:div w:id="792528301">
              <w:marLeft w:val="0"/>
              <w:marRight w:val="0"/>
              <w:marTop w:val="0"/>
              <w:marBottom w:val="0"/>
              <w:divBdr>
                <w:top w:val="none" w:sz="0" w:space="0" w:color="auto"/>
                <w:left w:val="none" w:sz="0" w:space="0" w:color="auto"/>
                <w:bottom w:val="none" w:sz="0" w:space="0" w:color="auto"/>
                <w:right w:val="none" w:sz="0" w:space="0" w:color="auto"/>
              </w:divBdr>
            </w:div>
            <w:div w:id="1352605418">
              <w:marLeft w:val="0"/>
              <w:marRight w:val="0"/>
              <w:marTop w:val="0"/>
              <w:marBottom w:val="0"/>
              <w:divBdr>
                <w:top w:val="none" w:sz="0" w:space="0" w:color="auto"/>
                <w:left w:val="none" w:sz="0" w:space="0" w:color="auto"/>
                <w:bottom w:val="none" w:sz="0" w:space="0" w:color="auto"/>
                <w:right w:val="none" w:sz="0" w:space="0" w:color="auto"/>
              </w:divBdr>
            </w:div>
          </w:divsChild>
        </w:div>
        <w:div w:id="1161430440">
          <w:marLeft w:val="0"/>
          <w:marRight w:val="0"/>
          <w:marTop w:val="0"/>
          <w:marBottom w:val="0"/>
          <w:divBdr>
            <w:top w:val="none" w:sz="0" w:space="0" w:color="auto"/>
            <w:left w:val="none" w:sz="0" w:space="0" w:color="auto"/>
            <w:bottom w:val="none" w:sz="0" w:space="0" w:color="auto"/>
            <w:right w:val="none" w:sz="0" w:space="0" w:color="auto"/>
          </w:divBdr>
          <w:divsChild>
            <w:div w:id="117340292">
              <w:marLeft w:val="0"/>
              <w:marRight w:val="0"/>
              <w:marTop w:val="0"/>
              <w:marBottom w:val="0"/>
              <w:divBdr>
                <w:top w:val="none" w:sz="0" w:space="0" w:color="auto"/>
                <w:left w:val="none" w:sz="0" w:space="0" w:color="auto"/>
                <w:bottom w:val="none" w:sz="0" w:space="0" w:color="auto"/>
                <w:right w:val="none" w:sz="0" w:space="0" w:color="auto"/>
              </w:divBdr>
            </w:div>
            <w:div w:id="381058953">
              <w:marLeft w:val="0"/>
              <w:marRight w:val="0"/>
              <w:marTop w:val="0"/>
              <w:marBottom w:val="0"/>
              <w:divBdr>
                <w:top w:val="none" w:sz="0" w:space="0" w:color="auto"/>
                <w:left w:val="none" w:sz="0" w:space="0" w:color="auto"/>
                <w:bottom w:val="none" w:sz="0" w:space="0" w:color="auto"/>
                <w:right w:val="none" w:sz="0" w:space="0" w:color="auto"/>
              </w:divBdr>
            </w:div>
            <w:div w:id="456029153">
              <w:marLeft w:val="0"/>
              <w:marRight w:val="0"/>
              <w:marTop w:val="0"/>
              <w:marBottom w:val="0"/>
              <w:divBdr>
                <w:top w:val="none" w:sz="0" w:space="0" w:color="auto"/>
                <w:left w:val="none" w:sz="0" w:space="0" w:color="auto"/>
                <w:bottom w:val="none" w:sz="0" w:space="0" w:color="auto"/>
                <w:right w:val="none" w:sz="0" w:space="0" w:color="auto"/>
              </w:divBdr>
            </w:div>
            <w:div w:id="867716817">
              <w:marLeft w:val="0"/>
              <w:marRight w:val="0"/>
              <w:marTop w:val="0"/>
              <w:marBottom w:val="0"/>
              <w:divBdr>
                <w:top w:val="none" w:sz="0" w:space="0" w:color="auto"/>
                <w:left w:val="none" w:sz="0" w:space="0" w:color="auto"/>
                <w:bottom w:val="none" w:sz="0" w:space="0" w:color="auto"/>
                <w:right w:val="none" w:sz="0" w:space="0" w:color="auto"/>
              </w:divBdr>
            </w:div>
            <w:div w:id="1407191165">
              <w:marLeft w:val="0"/>
              <w:marRight w:val="0"/>
              <w:marTop w:val="0"/>
              <w:marBottom w:val="0"/>
              <w:divBdr>
                <w:top w:val="none" w:sz="0" w:space="0" w:color="auto"/>
                <w:left w:val="none" w:sz="0" w:space="0" w:color="auto"/>
                <w:bottom w:val="none" w:sz="0" w:space="0" w:color="auto"/>
                <w:right w:val="none" w:sz="0" w:space="0" w:color="auto"/>
              </w:divBdr>
            </w:div>
          </w:divsChild>
        </w:div>
        <w:div w:id="1170146079">
          <w:marLeft w:val="0"/>
          <w:marRight w:val="0"/>
          <w:marTop w:val="0"/>
          <w:marBottom w:val="0"/>
          <w:divBdr>
            <w:top w:val="none" w:sz="0" w:space="0" w:color="auto"/>
            <w:left w:val="none" w:sz="0" w:space="0" w:color="auto"/>
            <w:bottom w:val="none" w:sz="0" w:space="0" w:color="auto"/>
            <w:right w:val="none" w:sz="0" w:space="0" w:color="auto"/>
          </w:divBdr>
          <w:divsChild>
            <w:div w:id="394622869">
              <w:marLeft w:val="0"/>
              <w:marRight w:val="0"/>
              <w:marTop w:val="0"/>
              <w:marBottom w:val="0"/>
              <w:divBdr>
                <w:top w:val="none" w:sz="0" w:space="0" w:color="auto"/>
                <w:left w:val="none" w:sz="0" w:space="0" w:color="auto"/>
                <w:bottom w:val="none" w:sz="0" w:space="0" w:color="auto"/>
                <w:right w:val="none" w:sz="0" w:space="0" w:color="auto"/>
              </w:divBdr>
            </w:div>
          </w:divsChild>
        </w:div>
        <w:div w:id="1177648798">
          <w:marLeft w:val="0"/>
          <w:marRight w:val="0"/>
          <w:marTop w:val="0"/>
          <w:marBottom w:val="0"/>
          <w:divBdr>
            <w:top w:val="none" w:sz="0" w:space="0" w:color="auto"/>
            <w:left w:val="none" w:sz="0" w:space="0" w:color="auto"/>
            <w:bottom w:val="none" w:sz="0" w:space="0" w:color="auto"/>
            <w:right w:val="none" w:sz="0" w:space="0" w:color="auto"/>
          </w:divBdr>
          <w:divsChild>
            <w:div w:id="1883322270">
              <w:marLeft w:val="0"/>
              <w:marRight w:val="0"/>
              <w:marTop w:val="0"/>
              <w:marBottom w:val="0"/>
              <w:divBdr>
                <w:top w:val="none" w:sz="0" w:space="0" w:color="auto"/>
                <w:left w:val="none" w:sz="0" w:space="0" w:color="auto"/>
                <w:bottom w:val="none" w:sz="0" w:space="0" w:color="auto"/>
                <w:right w:val="none" w:sz="0" w:space="0" w:color="auto"/>
              </w:divBdr>
            </w:div>
          </w:divsChild>
        </w:div>
        <w:div w:id="1236164255">
          <w:marLeft w:val="0"/>
          <w:marRight w:val="0"/>
          <w:marTop w:val="0"/>
          <w:marBottom w:val="0"/>
          <w:divBdr>
            <w:top w:val="none" w:sz="0" w:space="0" w:color="auto"/>
            <w:left w:val="none" w:sz="0" w:space="0" w:color="auto"/>
            <w:bottom w:val="none" w:sz="0" w:space="0" w:color="auto"/>
            <w:right w:val="none" w:sz="0" w:space="0" w:color="auto"/>
          </w:divBdr>
          <w:divsChild>
            <w:div w:id="578711608">
              <w:marLeft w:val="0"/>
              <w:marRight w:val="0"/>
              <w:marTop w:val="0"/>
              <w:marBottom w:val="0"/>
              <w:divBdr>
                <w:top w:val="none" w:sz="0" w:space="0" w:color="auto"/>
                <w:left w:val="none" w:sz="0" w:space="0" w:color="auto"/>
                <w:bottom w:val="none" w:sz="0" w:space="0" w:color="auto"/>
                <w:right w:val="none" w:sz="0" w:space="0" w:color="auto"/>
              </w:divBdr>
            </w:div>
            <w:div w:id="1263152103">
              <w:marLeft w:val="0"/>
              <w:marRight w:val="0"/>
              <w:marTop w:val="0"/>
              <w:marBottom w:val="0"/>
              <w:divBdr>
                <w:top w:val="none" w:sz="0" w:space="0" w:color="auto"/>
                <w:left w:val="none" w:sz="0" w:space="0" w:color="auto"/>
                <w:bottom w:val="none" w:sz="0" w:space="0" w:color="auto"/>
                <w:right w:val="none" w:sz="0" w:space="0" w:color="auto"/>
              </w:divBdr>
            </w:div>
          </w:divsChild>
        </w:div>
        <w:div w:id="1314063473">
          <w:marLeft w:val="0"/>
          <w:marRight w:val="0"/>
          <w:marTop w:val="0"/>
          <w:marBottom w:val="0"/>
          <w:divBdr>
            <w:top w:val="none" w:sz="0" w:space="0" w:color="auto"/>
            <w:left w:val="none" w:sz="0" w:space="0" w:color="auto"/>
            <w:bottom w:val="none" w:sz="0" w:space="0" w:color="auto"/>
            <w:right w:val="none" w:sz="0" w:space="0" w:color="auto"/>
          </w:divBdr>
          <w:divsChild>
            <w:div w:id="153836813">
              <w:marLeft w:val="0"/>
              <w:marRight w:val="0"/>
              <w:marTop w:val="0"/>
              <w:marBottom w:val="0"/>
              <w:divBdr>
                <w:top w:val="none" w:sz="0" w:space="0" w:color="auto"/>
                <w:left w:val="none" w:sz="0" w:space="0" w:color="auto"/>
                <w:bottom w:val="none" w:sz="0" w:space="0" w:color="auto"/>
                <w:right w:val="none" w:sz="0" w:space="0" w:color="auto"/>
              </w:divBdr>
            </w:div>
            <w:div w:id="182942353">
              <w:marLeft w:val="0"/>
              <w:marRight w:val="0"/>
              <w:marTop w:val="0"/>
              <w:marBottom w:val="0"/>
              <w:divBdr>
                <w:top w:val="none" w:sz="0" w:space="0" w:color="auto"/>
                <w:left w:val="none" w:sz="0" w:space="0" w:color="auto"/>
                <w:bottom w:val="none" w:sz="0" w:space="0" w:color="auto"/>
                <w:right w:val="none" w:sz="0" w:space="0" w:color="auto"/>
              </w:divBdr>
            </w:div>
            <w:div w:id="1206989339">
              <w:marLeft w:val="0"/>
              <w:marRight w:val="0"/>
              <w:marTop w:val="0"/>
              <w:marBottom w:val="0"/>
              <w:divBdr>
                <w:top w:val="none" w:sz="0" w:space="0" w:color="auto"/>
                <w:left w:val="none" w:sz="0" w:space="0" w:color="auto"/>
                <w:bottom w:val="none" w:sz="0" w:space="0" w:color="auto"/>
                <w:right w:val="none" w:sz="0" w:space="0" w:color="auto"/>
              </w:divBdr>
            </w:div>
            <w:div w:id="1348556596">
              <w:marLeft w:val="0"/>
              <w:marRight w:val="0"/>
              <w:marTop w:val="0"/>
              <w:marBottom w:val="0"/>
              <w:divBdr>
                <w:top w:val="none" w:sz="0" w:space="0" w:color="auto"/>
                <w:left w:val="none" w:sz="0" w:space="0" w:color="auto"/>
                <w:bottom w:val="none" w:sz="0" w:space="0" w:color="auto"/>
                <w:right w:val="none" w:sz="0" w:space="0" w:color="auto"/>
              </w:divBdr>
            </w:div>
            <w:div w:id="1811434805">
              <w:marLeft w:val="0"/>
              <w:marRight w:val="0"/>
              <w:marTop w:val="0"/>
              <w:marBottom w:val="0"/>
              <w:divBdr>
                <w:top w:val="none" w:sz="0" w:space="0" w:color="auto"/>
                <w:left w:val="none" w:sz="0" w:space="0" w:color="auto"/>
                <w:bottom w:val="none" w:sz="0" w:space="0" w:color="auto"/>
                <w:right w:val="none" w:sz="0" w:space="0" w:color="auto"/>
              </w:divBdr>
            </w:div>
          </w:divsChild>
        </w:div>
        <w:div w:id="1320766282">
          <w:marLeft w:val="0"/>
          <w:marRight w:val="0"/>
          <w:marTop w:val="0"/>
          <w:marBottom w:val="0"/>
          <w:divBdr>
            <w:top w:val="none" w:sz="0" w:space="0" w:color="auto"/>
            <w:left w:val="none" w:sz="0" w:space="0" w:color="auto"/>
            <w:bottom w:val="none" w:sz="0" w:space="0" w:color="auto"/>
            <w:right w:val="none" w:sz="0" w:space="0" w:color="auto"/>
          </w:divBdr>
          <w:divsChild>
            <w:div w:id="524367641">
              <w:marLeft w:val="0"/>
              <w:marRight w:val="0"/>
              <w:marTop w:val="0"/>
              <w:marBottom w:val="0"/>
              <w:divBdr>
                <w:top w:val="none" w:sz="0" w:space="0" w:color="auto"/>
                <w:left w:val="none" w:sz="0" w:space="0" w:color="auto"/>
                <w:bottom w:val="none" w:sz="0" w:space="0" w:color="auto"/>
                <w:right w:val="none" w:sz="0" w:space="0" w:color="auto"/>
              </w:divBdr>
            </w:div>
          </w:divsChild>
        </w:div>
        <w:div w:id="1348098136">
          <w:marLeft w:val="0"/>
          <w:marRight w:val="0"/>
          <w:marTop w:val="0"/>
          <w:marBottom w:val="0"/>
          <w:divBdr>
            <w:top w:val="none" w:sz="0" w:space="0" w:color="auto"/>
            <w:left w:val="none" w:sz="0" w:space="0" w:color="auto"/>
            <w:bottom w:val="none" w:sz="0" w:space="0" w:color="auto"/>
            <w:right w:val="none" w:sz="0" w:space="0" w:color="auto"/>
          </w:divBdr>
          <w:divsChild>
            <w:div w:id="1047072381">
              <w:marLeft w:val="0"/>
              <w:marRight w:val="0"/>
              <w:marTop w:val="0"/>
              <w:marBottom w:val="0"/>
              <w:divBdr>
                <w:top w:val="none" w:sz="0" w:space="0" w:color="auto"/>
                <w:left w:val="none" w:sz="0" w:space="0" w:color="auto"/>
                <w:bottom w:val="none" w:sz="0" w:space="0" w:color="auto"/>
                <w:right w:val="none" w:sz="0" w:space="0" w:color="auto"/>
              </w:divBdr>
            </w:div>
            <w:div w:id="1582376017">
              <w:marLeft w:val="0"/>
              <w:marRight w:val="0"/>
              <w:marTop w:val="0"/>
              <w:marBottom w:val="0"/>
              <w:divBdr>
                <w:top w:val="none" w:sz="0" w:space="0" w:color="auto"/>
                <w:left w:val="none" w:sz="0" w:space="0" w:color="auto"/>
                <w:bottom w:val="none" w:sz="0" w:space="0" w:color="auto"/>
                <w:right w:val="none" w:sz="0" w:space="0" w:color="auto"/>
              </w:divBdr>
            </w:div>
          </w:divsChild>
        </w:div>
        <w:div w:id="1367489244">
          <w:marLeft w:val="0"/>
          <w:marRight w:val="0"/>
          <w:marTop w:val="0"/>
          <w:marBottom w:val="0"/>
          <w:divBdr>
            <w:top w:val="none" w:sz="0" w:space="0" w:color="auto"/>
            <w:left w:val="none" w:sz="0" w:space="0" w:color="auto"/>
            <w:bottom w:val="none" w:sz="0" w:space="0" w:color="auto"/>
            <w:right w:val="none" w:sz="0" w:space="0" w:color="auto"/>
          </w:divBdr>
          <w:divsChild>
            <w:div w:id="1821070474">
              <w:marLeft w:val="0"/>
              <w:marRight w:val="0"/>
              <w:marTop w:val="0"/>
              <w:marBottom w:val="0"/>
              <w:divBdr>
                <w:top w:val="none" w:sz="0" w:space="0" w:color="auto"/>
                <w:left w:val="none" w:sz="0" w:space="0" w:color="auto"/>
                <w:bottom w:val="none" w:sz="0" w:space="0" w:color="auto"/>
                <w:right w:val="none" w:sz="0" w:space="0" w:color="auto"/>
              </w:divBdr>
            </w:div>
          </w:divsChild>
        </w:div>
        <w:div w:id="1460683154">
          <w:marLeft w:val="0"/>
          <w:marRight w:val="0"/>
          <w:marTop w:val="0"/>
          <w:marBottom w:val="0"/>
          <w:divBdr>
            <w:top w:val="none" w:sz="0" w:space="0" w:color="auto"/>
            <w:left w:val="none" w:sz="0" w:space="0" w:color="auto"/>
            <w:bottom w:val="none" w:sz="0" w:space="0" w:color="auto"/>
            <w:right w:val="none" w:sz="0" w:space="0" w:color="auto"/>
          </w:divBdr>
          <w:divsChild>
            <w:div w:id="173038791">
              <w:marLeft w:val="0"/>
              <w:marRight w:val="0"/>
              <w:marTop w:val="0"/>
              <w:marBottom w:val="0"/>
              <w:divBdr>
                <w:top w:val="none" w:sz="0" w:space="0" w:color="auto"/>
                <w:left w:val="none" w:sz="0" w:space="0" w:color="auto"/>
                <w:bottom w:val="none" w:sz="0" w:space="0" w:color="auto"/>
                <w:right w:val="none" w:sz="0" w:space="0" w:color="auto"/>
              </w:divBdr>
            </w:div>
            <w:div w:id="337270392">
              <w:marLeft w:val="0"/>
              <w:marRight w:val="0"/>
              <w:marTop w:val="0"/>
              <w:marBottom w:val="0"/>
              <w:divBdr>
                <w:top w:val="none" w:sz="0" w:space="0" w:color="auto"/>
                <w:left w:val="none" w:sz="0" w:space="0" w:color="auto"/>
                <w:bottom w:val="none" w:sz="0" w:space="0" w:color="auto"/>
                <w:right w:val="none" w:sz="0" w:space="0" w:color="auto"/>
              </w:divBdr>
            </w:div>
            <w:div w:id="423379846">
              <w:marLeft w:val="0"/>
              <w:marRight w:val="0"/>
              <w:marTop w:val="0"/>
              <w:marBottom w:val="0"/>
              <w:divBdr>
                <w:top w:val="none" w:sz="0" w:space="0" w:color="auto"/>
                <w:left w:val="none" w:sz="0" w:space="0" w:color="auto"/>
                <w:bottom w:val="none" w:sz="0" w:space="0" w:color="auto"/>
                <w:right w:val="none" w:sz="0" w:space="0" w:color="auto"/>
              </w:divBdr>
            </w:div>
            <w:div w:id="1469283434">
              <w:marLeft w:val="0"/>
              <w:marRight w:val="0"/>
              <w:marTop w:val="0"/>
              <w:marBottom w:val="0"/>
              <w:divBdr>
                <w:top w:val="none" w:sz="0" w:space="0" w:color="auto"/>
                <w:left w:val="none" w:sz="0" w:space="0" w:color="auto"/>
                <w:bottom w:val="none" w:sz="0" w:space="0" w:color="auto"/>
                <w:right w:val="none" w:sz="0" w:space="0" w:color="auto"/>
              </w:divBdr>
            </w:div>
            <w:div w:id="1942029029">
              <w:marLeft w:val="0"/>
              <w:marRight w:val="0"/>
              <w:marTop w:val="0"/>
              <w:marBottom w:val="0"/>
              <w:divBdr>
                <w:top w:val="none" w:sz="0" w:space="0" w:color="auto"/>
                <w:left w:val="none" w:sz="0" w:space="0" w:color="auto"/>
                <w:bottom w:val="none" w:sz="0" w:space="0" w:color="auto"/>
                <w:right w:val="none" w:sz="0" w:space="0" w:color="auto"/>
              </w:divBdr>
            </w:div>
          </w:divsChild>
        </w:div>
        <w:div w:id="1494031678">
          <w:marLeft w:val="0"/>
          <w:marRight w:val="0"/>
          <w:marTop w:val="0"/>
          <w:marBottom w:val="0"/>
          <w:divBdr>
            <w:top w:val="none" w:sz="0" w:space="0" w:color="auto"/>
            <w:left w:val="none" w:sz="0" w:space="0" w:color="auto"/>
            <w:bottom w:val="none" w:sz="0" w:space="0" w:color="auto"/>
            <w:right w:val="none" w:sz="0" w:space="0" w:color="auto"/>
          </w:divBdr>
          <w:divsChild>
            <w:div w:id="15813403">
              <w:marLeft w:val="0"/>
              <w:marRight w:val="0"/>
              <w:marTop w:val="0"/>
              <w:marBottom w:val="0"/>
              <w:divBdr>
                <w:top w:val="none" w:sz="0" w:space="0" w:color="auto"/>
                <w:left w:val="none" w:sz="0" w:space="0" w:color="auto"/>
                <w:bottom w:val="none" w:sz="0" w:space="0" w:color="auto"/>
                <w:right w:val="none" w:sz="0" w:space="0" w:color="auto"/>
              </w:divBdr>
            </w:div>
          </w:divsChild>
        </w:div>
        <w:div w:id="1511598239">
          <w:marLeft w:val="0"/>
          <w:marRight w:val="0"/>
          <w:marTop w:val="0"/>
          <w:marBottom w:val="0"/>
          <w:divBdr>
            <w:top w:val="none" w:sz="0" w:space="0" w:color="auto"/>
            <w:left w:val="none" w:sz="0" w:space="0" w:color="auto"/>
            <w:bottom w:val="none" w:sz="0" w:space="0" w:color="auto"/>
            <w:right w:val="none" w:sz="0" w:space="0" w:color="auto"/>
          </w:divBdr>
          <w:divsChild>
            <w:div w:id="88046483">
              <w:marLeft w:val="0"/>
              <w:marRight w:val="0"/>
              <w:marTop w:val="0"/>
              <w:marBottom w:val="0"/>
              <w:divBdr>
                <w:top w:val="none" w:sz="0" w:space="0" w:color="auto"/>
                <w:left w:val="none" w:sz="0" w:space="0" w:color="auto"/>
                <w:bottom w:val="none" w:sz="0" w:space="0" w:color="auto"/>
                <w:right w:val="none" w:sz="0" w:space="0" w:color="auto"/>
              </w:divBdr>
            </w:div>
          </w:divsChild>
        </w:div>
        <w:div w:id="1583181734">
          <w:marLeft w:val="0"/>
          <w:marRight w:val="0"/>
          <w:marTop w:val="0"/>
          <w:marBottom w:val="0"/>
          <w:divBdr>
            <w:top w:val="none" w:sz="0" w:space="0" w:color="auto"/>
            <w:left w:val="none" w:sz="0" w:space="0" w:color="auto"/>
            <w:bottom w:val="none" w:sz="0" w:space="0" w:color="auto"/>
            <w:right w:val="none" w:sz="0" w:space="0" w:color="auto"/>
          </w:divBdr>
          <w:divsChild>
            <w:div w:id="17128900">
              <w:marLeft w:val="0"/>
              <w:marRight w:val="0"/>
              <w:marTop w:val="0"/>
              <w:marBottom w:val="0"/>
              <w:divBdr>
                <w:top w:val="none" w:sz="0" w:space="0" w:color="auto"/>
                <w:left w:val="none" w:sz="0" w:space="0" w:color="auto"/>
                <w:bottom w:val="none" w:sz="0" w:space="0" w:color="auto"/>
                <w:right w:val="none" w:sz="0" w:space="0" w:color="auto"/>
              </w:divBdr>
            </w:div>
            <w:div w:id="98641755">
              <w:marLeft w:val="0"/>
              <w:marRight w:val="0"/>
              <w:marTop w:val="0"/>
              <w:marBottom w:val="0"/>
              <w:divBdr>
                <w:top w:val="none" w:sz="0" w:space="0" w:color="auto"/>
                <w:left w:val="none" w:sz="0" w:space="0" w:color="auto"/>
                <w:bottom w:val="none" w:sz="0" w:space="0" w:color="auto"/>
                <w:right w:val="none" w:sz="0" w:space="0" w:color="auto"/>
              </w:divBdr>
            </w:div>
            <w:div w:id="107547098">
              <w:marLeft w:val="0"/>
              <w:marRight w:val="0"/>
              <w:marTop w:val="0"/>
              <w:marBottom w:val="0"/>
              <w:divBdr>
                <w:top w:val="none" w:sz="0" w:space="0" w:color="auto"/>
                <w:left w:val="none" w:sz="0" w:space="0" w:color="auto"/>
                <w:bottom w:val="none" w:sz="0" w:space="0" w:color="auto"/>
                <w:right w:val="none" w:sz="0" w:space="0" w:color="auto"/>
              </w:divBdr>
            </w:div>
            <w:div w:id="781537489">
              <w:marLeft w:val="0"/>
              <w:marRight w:val="0"/>
              <w:marTop w:val="0"/>
              <w:marBottom w:val="0"/>
              <w:divBdr>
                <w:top w:val="none" w:sz="0" w:space="0" w:color="auto"/>
                <w:left w:val="none" w:sz="0" w:space="0" w:color="auto"/>
                <w:bottom w:val="none" w:sz="0" w:space="0" w:color="auto"/>
                <w:right w:val="none" w:sz="0" w:space="0" w:color="auto"/>
              </w:divBdr>
            </w:div>
            <w:div w:id="1073090767">
              <w:marLeft w:val="0"/>
              <w:marRight w:val="0"/>
              <w:marTop w:val="0"/>
              <w:marBottom w:val="0"/>
              <w:divBdr>
                <w:top w:val="none" w:sz="0" w:space="0" w:color="auto"/>
                <w:left w:val="none" w:sz="0" w:space="0" w:color="auto"/>
                <w:bottom w:val="none" w:sz="0" w:space="0" w:color="auto"/>
                <w:right w:val="none" w:sz="0" w:space="0" w:color="auto"/>
              </w:divBdr>
            </w:div>
            <w:div w:id="1203517745">
              <w:marLeft w:val="0"/>
              <w:marRight w:val="0"/>
              <w:marTop w:val="0"/>
              <w:marBottom w:val="0"/>
              <w:divBdr>
                <w:top w:val="none" w:sz="0" w:space="0" w:color="auto"/>
                <w:left w:val="none" w:sz="0" w:space="0" w:color="auto"/>
                <w:bottom w:val="none" w:sz="0" w:space="0" w:color="auto"/>
                <w:right w:val="none" w:sz="0" w:space="0" w:color="auto"/>
              </w:divBdr>
            </w:div>
            <w:div w:id="1265647619">
              <w:marLeft w:val="0"/>
              <w:marRight w:val="0"/>
              <w:marTop w:val="0"/>
              <w:marBottom w:val="0"/>
              <w:divBdr>
                <w:top w:val="none" w:sz="0" w:space="0" w:color="auto"/>
                <w:left w:val="none" w:sz="0" w:space="0" w:color="auto"/>
                <w:bottom w:val="none" w:sz="0" w:space="0" w:color="auto"/>
                <w:right w:val="none" w:sz="0" w:space="0" w:color="auto"/>
              </w:divBdr>
            </w:div>
            <w:div w:id="1457406910">
              <w:marLeft w:val="0"/>
              <w:marRight w:val="0"/>
              <w:marTop w:val="0"/>
              <w:marBottom w:val="0"/>
              <w:divBdr>
                <w:top w:val="none" w:sz="0" w:space="0" w:color="auto"/>
                <w:left w:val="none" w:sz="0" w:space="0" w:color="auto"/>
                <w:bottom w:val="none" w:sz="0" w:space="0" w:color="auto"/>
                <w:right w:val="none" w:sz="0" w:space="0" w:color="auto"/>
              </w:divBdr>
            </w:div>
            <w:div w:id="1820612301">
              <w:marLeft w:val="0"/>
              <w:marRight w:val="0"/>
              <w:marTop w:val="0"/>
              <w:marBottom w:val="0"/>
              <w:divBdr>
                <w:top w:val="none" w:sz="0" w:space="0" w:color="auto"/>
                <w:left w:val="none" w:sz="0" w:space="0" w:color="auto"/>
                <w:bottom w:val="none" w:sz="0" w:space="0" w:color="auto"/>
                <w:right w:val="none" w:sz="0" w:space="0" w:color="auto"/>
              </w:divBdr>
            </w:div>
            <w:div w:id="1850215674">
              <w:marLeft w:val="0"/>
              <w:marRight w:val="0"/>
              <w:marTop w:val="0"/>
              <w:marBottom w:val="0"/>
              <w:divBdr>
                <w:top w:val="none" w:sz="0" w:space="0" w:color="auto"/>
                <w:left w:val="none" w:sz="0" w:space="0" w:color="auto"/>
                <w:bottom w:val="none" w:sz="0" w:space="0" w:color="auto"/>
                <w:right w:val="none" w:sz="0" w:space="0" w:color="auto"/>
              </w:divBdr>
            </w:div>
            <w:div w:id="2102946013">
              <w:marLeft w:val="0"/>
              <w:marRight w:val="0"/>
              <w:marTop w:val="0"/>
              <w:marBottom w:val="0"/>
              <w:divBdr>
                <w:top w:val="none" w:sz="0" w:space="0" w:color="auto"/>
                <w:left w:val="none" w:sz="0" w:space="0" w:color="auto"/>
                <w:bottom w:val="none" w:sz="0" w:space="0" w:color="auto"/>
                <w:right w:val="none" w:sz="0" w:space="0" w:color="auto"/>
              </w:divBdr>
            </w:div>
          </w:divsChild>
        </w:div>
        <w:div w:id="1593855060">
          <w:marLeft w:val="0"/>
          <w:marRight w:val="0"/>
          <w:marTop w:val="0"/>
          <w:marBottom w:val="0"/>
          <w:divBdr>
            <w:top w:val="none" w:sz="0" w:space="0" w:color="auto"/>
            <w:left w:val="none" w:sz="0" w:space="0" w:color="auto"/>
            <w:bottom w:val="none" w:sz="0" w:space="0" w:color="auto"/>
            <w:right w:val="none" w:sz="0" w:space="0" w:color="auto"/>
          </w:divBdr>
          <w:divsChild>
            <w:div w:id="121535339">
              <w:marLeft w:val="0"/>
              <w:marRight w:val="0"/>
              <w:marTop w:val="0"/>
              <w:marBottom w:val="0"/>
              <w:divBdr>
                <w:top w:val="none" w:sz="0" w:space="0" w:color="auto"/>
                <w:left w:val="none" w:sz="0" w:space="0" w:color="auto"/>
                <w:bottom w:val="none" w:sz="0" w:space="0" w:color="auto"/>
                <w:right w:val="none" w:sz="0" w:space="0" w:color="auto"/>
              </w:divBdr>
            </w:div>
          </w:divsChild>
        </w:div>
        <w:div w:id="1605989768">
          <w:marLeft w:val="0"/>
          <w:marRight w:val="0"/>
          <w:marTop w:val="0"/>
          <w:marBottom w:val="0"/>
          <w:divBdr>
            <w:top w:val="none" w:sz="0" w:space="0" w:color="auto"/>
            <w:left w:val="none" w:sz="0" w:space="0" w:color="auto"/>
            <w:bottom w:val="none" w:sz="0" w:space="0" w:color="auto"/>
            <w:right w:val="none" w:sz="0" w:space="0" w:color="auto"/>
          </w:divBdr>
          <w:divsChild>
            <w:div w:id="1664043863">
              <w:marLeft w:val="0"/>
              <w:marRight w:val="0"/>
              <w:marTop w:val="0"/>
              <w:marBottom w:val="0"/>
              <w:divBdr>
                <w:top w:val="none" w:sz="0" w:space="0" w:color="auto"/>
                <w:left w:val="none" w:sz="0" w:space="0" w:color="auto"/>
                <w:bottom w:val="none" w:sz="0" w:space="0" w:color="auto"/>
                <w:right w:val="none" w:sz="0" w:space="0" w:color="auto"/>
              </w:divBdr>
            </w:div>
          </w:divsChild>
        </w:div>
        <w:div w:id="1610238624">
          <w:marLeft w:val="0"/>
          <w:marRight w:val="0"/>
          <w:marTop w:val="0"/>
          <w:marBottom w:val="0"/>
          <w:divBdr>
            <w:top w:val="none" w:sz="0" w:space="0" w:color="auto"/>
            <w:left w:val="none" w:sz="0" w:space="0" w:color="auto"/>
            <w:bottom w:val="none" w:sz="0" w:space="0" w:color="auto"/>
            <w:right w:val="none" w:sz="0" w:space="0" w:color="auto"/>
          </w:divBdr>
          <w:divsChild>
            <w:div w:id="408774771">
              <w:marLeft w:val="0"/>
              <w:marRight w:val="0"/>
              <w:marTop w:val="0"/>
              <w:marBottom w:val="0"/>
              <w:divBdr>
                <w:top w:val="none" w:sz="0" w:space="0" w:color="auto"/>
                <w:left w:val="none" w:sz="0" w:space="0" w:color="auto"/>
                <w:bottom w:val="none" w:sz="0" w:space="0" w:color="auto"/>
                <w:right w:val="none" w:sz="0" w:space="0" w:color="auto"/>
              </w:divBdr>
            </w:div>
            <w:div w:id="917253336">
              <w:marLeft w:val="0"/>
              <w:marRight w:val="0"/>
              <w:marTop w:val="0"/>
              <w:marBottom w:val="0"/>
              <w:divBdr>
                <w:top w:val="none" w:sz="0" w:space="0" w:color="auto"/>
                <w:left w:val="none" w:sz="0" w:space="0" w:color="auto"/>
                <w:bottom w:val="none" w:sz="0" w:space="0" w:color="auto"/>
                <w:right w:val="none" w:sz="0" w:space="0" w:color="auto"/>
              </w:divBdr>
            </w:div>
            <w:div w:id="1622422741">
              <w:marLeft w:val="0"/>
              <w:marRight w:val="0"/>
              <w:marTop w:val="0"/>
              <w:marBottom w:val="0"/>
              <w:divBdr>
                <w:top w:val="none" w:sz="0" w:space="0" w:color="auto"/>
                <w:left w:val="none" w:sz="0" w:space="0" w:color="auto"/>
                <w:bottom w:val="none" w:sz="0" w:space="0" w:color="auto"/>
                <w:right w:val="none" w:sz="0" w:space="0" w:color="auto"/>
              </w:divBdr>
            </w:div>
            <w:div w:id="1954827653">
              <w:marLeft w:val="0"/>
              <w:marRight w:val="0"/>
              <w:marTop w:val="0"/>
              <w:marBottom w:val="0"/>
              <w:divBdr>
                <w:top w:val="none" w:sz="0" w:space="0" w:color="auto"/>
                <w:left w:val="none" w:sz="0" w:space="0" w:color="auto"/>
                <w:bottom w:val="none" w:sz="0" w:space="0" w:color="auto"/>
                <w:right w:val="none" w:sz="0" w:space="0" w:color="auto"/>
              </w:divBdr>
            </w:div>
            <w:div w:id="1959409293">
              <w:marLeft w:val="0"/>
              <w:marRight w:val="0"/>
              <w:marTop w:val="0"/>
              <w:marBottom w:val="0"/>
              <w:divBdr>
                <w:top w:val="none" w:sz="0" w:space="0" w:color="auto"/>
                <w:left w:val="none" w:sz="0" w:space="0" w:color="auto"/>
                <w:bottom w:val="none" w:sz="0" w:space="0" w:color="auto"/>
                <w:right w:val="none" w:sz="0" w:space="0" w:color="auto"/>
              </w:divBdr>
            </w:div>
          </w:divsChild>
        </w:div>
        <w:div w:id="1667978969">
          <w:marLeft w:val="0"/>
          <w:marRight w:val="0"/>
          <w:marTop w:val="0"/>
          <w:marBottom w:val="0"/>
          <w:divBdr>
            <w:top w:val="none" w:sz="0" w:space="0" w:color="auto"/>
            <w:left w:val="none" w:sz="0" w:space="0" w:color="auto"/>
            <w:bottom w:val="none" w:sz="0" w:space="0" w:color="auto"/>
            <w:right w:val="none" w:sz="0" w:space="0" w:color="auto"/>
          </w:divBdr>
          <w:divsChild>
            <w:div w:id="93138285">
              <w:marLeft w:val="0"/>
              <w:marRight w:val="0"/>
              <w:marTop w:val="0"/>
              <w:marBottom w:val="0"/>
              <w:divBdr>
                <w:top w:val="none" w:sz="0" w:space="0" w:color="auto"/>
                <w:left w:val="none" w:sz="0" w:space="0" w:color="auto"/>
                <w:bottom w:val="none" w:sz="0" w:space="0" w:color="auto"/>
                <w:right w:val="none" w:sz="0" w:space="0" w:color="auto"/>
              </w:divBdr>
            </w:div>
            <w:div w:id="693386793">
              <w:marLeft w:val="0"/>
              <w:marRight w:val="0"/>
              <w:marTop w:val="0"/>
              <w:marBottom w:val="0"/>
              <w:divBdr>
                <w:top w:val="none" w:sz="0" w:space="0" w:color="auto"/>
                <w:left w:val="none" w:sz="0" w:space="0" w:color="auto"/>
                <w:bottom w:val="none" w:sz="0" w:space="0" w:color="auto"/>
                <w:right w:val="none" w:sz="0" w:space="0" w:color="auto"/>
              </w:divBdr>
            </w:div>
            <w:div w:id="1086225950">
              <w:marLeft w:val="0"/>
              <w:marRight w:val="0"/>
              <w:marTop w:val="0"/>
              <w:marBottom w:val="0"/>
              <w:divBdr>
                <w:top w:val="none" w:sz="0" w:space="0" w:color="auto"/>
                <w:left w:val="none" w:sz="0" w:space="0" w:color="auto"/>
                <w:bottom w:val="none" w:sz="0" w:space="0" w:color="auto"/>
                <w:right w:val="none" w:sz="0" w:space="0" w:color="auto"/>
              </w:divBdr>
            </w:div>
            <w:div w:id="1430469265">
              <w:marLeft w:val="0"/>
              <w:marRight w:val="0"/>
              <w:marTop w:val="0"/>
              <w:marBottom w:val="0"/>
              <w:divBdr>
                <w:top w:val="none" w:sz="0" w:space="0" w:color="auto"/>
                <w:left w:val="none" w:sz="0" w:space="0" w:color="auto"/>
                <w:bottom w:val="none" w:sz="0" w:space="0" w:color="auto"/>
                <w:right w:val="none" w:sz="0" w:space="0" w:color="auto"/>
              </w:divBdr>
            </w:div>
            <w:div w:id="1844976463">
              <w:marLeft w:val="0"/>
              <w:marRight w:val="0"/>
              <w:marTop w:val="0"/>
              <w:marBottom w:val="0"/>
              <w:divBdr>
                <w:top w:val="none" w:sz="0" w:space="0" w:color="auto"/>
                <w:left w:val="none" w:sz="0" w:space="0" w:color="auto"/>
                <w:bottom w:val="none" w:sz="0" w:space="0" w:color="auto"/>
                <w:right w:val="none" w:sz="0" w:space="0" w:color="auto"/>
              </w:divBdr>
            </w:div>
          </w:divsChild>
        </w:div>
        <w:div w:id="1685547515">
          <w:marLeft w:val="0"/>
          <w:marRight w:val="0"/>
          <w:marTop w:val="0"/>
          <w:marBottom w:val="0"/>
          <w:divBdr>
            <w:top w:val="none" w:sz="0" w:space="0" w:color="auto"/>
            <w:left w:val="none" w:sz="0" w:space="0" w:color="auto"/>
            <w:bottom w:val="none" w:sz="0" w:space="0" w:color="auto"/>
            <w:right w:val="none" w:sz="0" w:space="0" w:color="auto"/>
          </w:divBdr>
          <w:divsChild>
            <w:div w:id="1229074781">
              <w:marLeft w:val="0"/>
              <w:marRight w:val="0"/>
              <w:marTop w:val="0"/>
              <w:marBottom w:val="0"/>
              <w:divBdr>
                <w:top w:val="none" w:sz="0" w:space="0" w:color="auto"/>
                <w:left w:val="none" w:sz="0" w:space="0" w:color="auto"/>
                <w:bottom w:val="none" w:sz="0" w:space="0" w:color="auto"/>
                <w:right w:val="none" w:sz="0" w:space="0" w:color="auto"/>
              </w:divBdr>
            </w:div>
          </w:divsChild>
        </w:div>
        <w:div w:id="1744253266">
          <w:marLeft w:val="0"/>
          <w:marRight w:val="0"/>
          <w:marTop w:val="0"/>
          <w:marBottom w:val="0"/>
          <w:divBdr>
            <w:top w:val="none" w:sz="0" w:space="0" w:color="auto"/>
            <w:left w:val="none" w:sz="0" w:space="0" w:color="auto"/>
            <w:bottom w:val="none" w:sz="0" w:space="0" w:color="auto"/>
            <w:right w:val="none" w:sz="0" w:space="0" w:color="auto"/>
          </w:divBdr>
          <w:divsChild>
            <w:div w:id="817307366">
              <w:marLeft w:val="0"/>
              <w:marRight w:val="0"/>
              <w:marTop w:val="0"/>
              <w:marBottom w:val="0"/>
              <w:divBdr>
                <w:top w:val="none" w:sz="0" w:space="0" w:color="auto"/>
                <w:left w:val="none" w:sz="0" w:space="0" w:color="auto"/>
                <w:bottom w:val="none" w:sz="0" w:space="0" w:color="auto"/>
                <w:right w:val="none" w:sz="0" w:space="0" w:color="auto"/>
              </w:divBdr>
            </w:div>
          </w:divsChild>
        </w:div>
        <w:div w:id="1889219669">
          <w:marLeft w:val="0"/>
          <w:marRight w:val="0"/>
          <w:marTop w:val="0"/>
          <w:marBottom w:val="0"/>
          <w:divBdr>
            <w:top w:val="none" w:sz="0" w:space="0" w:color="auto"/>
            <w:left w:val="none" w:sz="0" w:space="0" w:color="auto"/>
            <w:bottom w:val="none" w:sz="0" w:space="0" w:color="auto"/>
            <w:right w:val="none" w:sz="0" w:space="0" w:color="auto"/>
          </w:divBdr>
          <w:divsChild>
            <w:div w:id="1482845828">
              <w:marLeft w:val="0"/>
              <w:marRight w:val="0"/>
              <w:marTop w:val="0"/>
              <w:marBottom w:val="0"/>
              <w:divBdr>
                <w:top w:val="none" w:sz="0" w:space="0" w:color="auto"/>
                <w:left w:val="none" w:sz="0" w:space="0" w:color="auto"/>
                <w:bottom w:val="none" w:sz="0" w:space="0" w:color="auto"/>
                <w:right w:val="none" w:sz="0" w:space="0" w:color="auto"/>
              </w:divBdr>
            </w:div>
          </w:divsChild>
        </w:div>
        <w:div w:id="1911770177">
          <w:marLeft w:val="0"/>
          <w:marRight w:val="0"/>
          <w:marTop w:val="0"/>
          <w:marBottom w:val="0"/>
          <w:divBdr>
            <w:top w:val="none" w:sz="0" w:space="0" w:color="auto"/>
            <w:left w:val="none" w:sz="0" w:space="0" w:color="auto"/>
            <w:bottom w:val="none" w:sz="0" w:space="0" w:color="auto"/>
            <w:right w:val="none" w:sz="0" w:space="0" w:color="auto"/>
          </w:divBdr>
          <w:divsChild>
            <w:div w:id="2093505465">
              <w:marLeft w:val="0"/>
              <w:marRight w:val="0"/>
              <w:marTop w:val="0"/>
              <w:marBottom w:val="0"/>
              <w:divBdr>
                <w:top w:val="none" w:sz="0" w:space="0" w:color="auto"/>
                <w:left w:val="none" w:sz="0" w:space="0" w:color="auto"/>
                <w:bottom w:val="none" w:sz="0" w:space="0" w:color="auto"/>
                <w:right w:val="none" w:sz="0" w:space="0" w:color="auto"/>
              </w:divBdr>
            </w:div>
          </w:divsChild>
        </w:div>
        <w:div w:id="1913392704">
          <w:marLeft w:val="0"/>
          <w:marRight w:val="0"/>
          <w:marTop w:val="0"/>
          <w:marBottom w:val="0"/>
          <w:divBdr>
            <w:top w:val="none" w:sz="0" w:space="0" w:color="auto"/>
            <w:left w:val="none" w:sz="0" w:space="0" w:color="auto"/>
            <w:bottom w:val="none" w:sz="0" w:space="0" w:color="auto"/>
            <w:right w:val="none" w:sz="0" w:space="0" w:color="auto"/>
          </w:divBdr>
          <w:divsChild>
            <w:div w:id="647710277">
              <w:marLeft w:val="0"/>
              <w:marRight w:val="0"/>
              <w:marTop w:val="0"/>
              <w:marBottom w:val="0"/>
              <w:divBdr>
                <w:top w:val="none" w:sz="0" w:space="0" w:color="auto"/>
                <w:left w:val="none" w:sz="0" w:space="0" w:color="auto"/>
                <w:bottom w:val="none" w:sz="0" w:space="0" w:color="auto"/>
                <w:right w:val="none" w:sz="0" w:space="0" w:color="auto"/>
              </w:divBdr>
            </w:div>
          </w:divsChild>
        </w:div>
        <w:div w:id="1963879927">
          <w:marLeft w:val="0"/>
          <w:marRight w:val="0"/>
          <w:marTop w:val="0"/>
          <w:marBottom w:val="0"/>
          <w:divBdr>
            <w:top w:val="none" w:sz="0" w:space="0" w:color="auto"/>
            <w:left w:val="none" w:sz="0" w:space="0" w:color="auto"/>
            <w:bottom w:val="none" w:sz="0" w:space="0" w:color="auto"/>
            <w:right w:val="none" w:sz="0" w:space="0" w:color="auto"/>
          </w:divBdr>
          <w:divsChild>
            <w:div w:id="714894318">
              <w:marLeft w:val="0"/>
              <w:marRight w:val="0"/>
              <w:marTop w:val="0"/>
              <w:marBottom w:val="0"/>
              <w:divBdr>
                <w:top w:val="none" w:sz="0" w:space="0" w:color="auto"/>
                <w:left w:val="none" w:sz="0" w:space="0" w:color="auto"/>
                <w:bottom w:val="none" w:sz="0" w:space="0" w:color="auto"/>
                <w:right w:val="none" w:sz="0" w:space="0" w:color="auto"/>
              </w:divBdr>
            </w:div>
            <w:div w:id="792286180">
              <w:marLeft w:val="0"/>
              <w:marRight w:val="0"/>
              <w:marTop w:val="0"/>
              <w:marBottom w:val="0"/>
              <w:divBdr>
                <w:top w:val="none" w:sz="0" w:space="0" w:color="auto"/>
                <w:left w:val="none" w:sz="0" w:space="0" w:color="auto"/>
                <w:bottom w:val="none" w:sz="0" w:space="0" w:color="auto"/>
                <w:right w:val="none" w:sz="0" w:space="0" w:color="auto"/>
              </w:divBdr>
            </w:div>
          </w:divsChild>
        </w:div>
        <w:div w:id="1978799038">
          <w:marLeft w:val="0"/>
          <w:marRight w:val="0"/>
          <w:marTop w:val="0"/>
          <w:marBottom w:val="0"/>
          <w:divBdr>
            <w:top w:val="none" w:sz="0" w:space="0" w:color="auto"/>
            <w:left w:val="none" w:sz="0" w:space="0" w:color="auto"/>
            <w:bottom w:val="none" w:sz="0" w:space="0" w:color="auto"/>
            <w:right w:val="none" w:sz="0" w:space="0" w:color="auto"/>
          </w:divBdr>
          <w:divsChild>
            <w:div w:id="1375275415">
              <w:marLeft w:val="0"/>
              <w:marRight w:val="0"/>
              <w:marTop w:val="0"/>
              <w:marBottom w:val="0"/>
              <w:divBdr>
                <w:top w:val="none" w:sz="0" w:space="0" w:color="auto"/>
                <w:left w:val="none" w:sz="0" w:space="0" w:color="auto"/>
                <w:bottom w:val="none" w:sz="0" w:space="0" w:color="auto"/>
                <w:right w:val="none" w:sz="0" w:space="0" w:color="auto"/>
              </w:divBdr>
            </w:div>
          </w:divsChild>
        </w:div>
        <w:div w:id="1983659413">
          <w:marLeft w:val="0"/>
          <w:marRight w:val="0"/>
          <w:marTop w:val="0"/>
          <w:marBottom w:val="0"/>
          <w:divBdr>
            <w:top w:val="none" w:sz="0" w:space="0" w:color="auto"/>
            <w:left w:val="none" w:sz="0" w:space="0" w:color="auto"/>
            <w:bottom w:val="none" w:sz="0" w:space="0" w:color="auto"/>
            <w:right w:val="none" w:sz="0" w:space="0" w:color="auto"/>
          </w:divBdr>
          <w:divsChild>
            <w:div w:id="422535500">
              <w:marLeft w:val="0"/>
              <w:marRight w:val="0"/>
              <w:marTop w:val="0"/>
              <w:marBottom w:val="0"/>
              <w:divBdr>
                <w:top w:val="none" w:sz="0" w:space="0" w:color="auto"/>
                <w:left w:val="none" w:sz="0" w:space="0" w:color="auto"/>
                <w:bottom w:val="none" w:sz="0" w:space="0" w:color="auto"/>
                <w:right w:val="none" w:sz="0" w:space="0" w:color="auto"/>
              </w:divBdr>
            </w:div>
            <w:div w:id="779833955">
              <w:marLeft w:val="0"/>
              <w:marRight w:val="0"/>
              <w:marTop w:val="0"/>
              <w:marBottom w:val="0"/>
              <w:divBdr>
                <w:top w:val="none" w:sz="0" w:space="0" w:color="auto"/>
                <w:left w:val="none" w:sz="0" w:space="0" w:color="auto"/>
                <w:bottom w:val="none" w:sz="0" w:space="0" w:color="auto"/>
                <w:right w:val="none" w:sz="0" w:space="0" w:color="auto"/>
              </w:divBdr>
            </w:div>
            <w:div w:id="906307207">
              <w:marLeft w:val="0"/>
              <w:marRight w:val="0"/>
              <w:marTop w:val="0"/>
              <w:marBottom w:val="0"/>
              <w:divBdr>
                <w:top w:val="none" w:sz="0" w:space="0" w:color="auto"/>
                <w:left w:val="none" w:sz="0" w:space="0" w:color="auto"/>
                <w:bottom w:val="none" w:sz="0" w:space="0" w:color="auto"/>
                <w:right w:val="none" w:sz="0" w:space="0" w:color="auto"/>
              </w:divBdr>
            </w:div>
            <w:div w:id="1152797463">
              <w:marLeft w:val="0"/>
              <w:marRight w:val="0"/>
              <w:marTop w:val="0"/>
              <w:marBottom w:val="0"/>
              <w:divBdr>
                <w:top w:val="none" w:sz="0" w:space="0" w:color="auto"/>
                <w:left w:val="none" w:sz="0" w:space="0" w:color="auto"/>
                <w:bottom w:val="none" w:sz="0" w:space="0" w:color="auto"/>
                <w:right w:val="none" w:sz="0" w:space="0" w:color="auto"/>
              </w:divBdr>
            </w:div>
            <w:div w:id="1297106758">
              <w:marLeft w:val="0"/>
              <w:marRight w:val="0"/>
              <w:marTop w:val="0"/>
              <w:marBottom w:val="0"/>
              <w:divBdr>
                <w:top w:val="none" w:sz="0" w:space="0" w:color="auto"/>
                <w:left w:val="none" w:sz="0" w:space="0" w:color="auto"/>
                <w:bottom w:val="none" w:sz="0" w:space="0" w:color="auto"/>
                <w:right w:val="none" w:sz="0" w:space="0" w:color="auto"/>
              </w:divBdr>
            </w:div>
            <w:div w:id="1568420074">
              <w:marLeft w:val="0"/>
              <w:marRight w:val="0"/>
              <w:marTop w:val="0"/>
              <w:marBottom w:val="0"/>
              <w:divBdr>
                <w:top w:val="none" w:sz="0" w:space="0" w:color="auto"/>
                <w:left w:val="none" w:sz="0" w:space="0" w:color="auto"/>
                <w:bottom w:val="none" w:sz="0" w:space="0" w:color="auto"/>
                <w:right w:val="none" w:sz="0" w:space="0" w:color="auto"/>
              </w:divBdr>
            </w:div>
          </w:divsChild>
        </w:div>
        <w:div w:id="2007172010">
          <w:marLeft w:val="0"/>
          <w:marRight w:val="0"/>
          <w:marTop w:val="0"/>
          <w:marBottom w:val="0"/>
          <w:divBdr>
            <w:top w:val="none" w:sz="0" w:space="0" w:color="auto"/>
            <w:left w:val="none" w:sz="0" w:space="0" w:color="auto"/>
            <w:bottom w:val="none" w:sz="0" w:space="0" w:color="auto"/>
            <w:right w:val="none" w:sz="0" w:space="0" w:color="auto"/>
          </w:divBdr>
          <w:divsChild>
            <w:div w:id="1749956882">
              <w:marLeft w:val="0"/>
              <w:marRight w:val="0"/>
              <w:marTop w:val="0"/>
              <w:marBottom w:val="0"/>
              <w:divBdr>
                <w:top w:val="none" w:sz="0" w:space="0" w:color="auto"/>
                <w:left w:val="none" w:sz="0" w:space="0" w:color="auto"/>
                <w:bottom w:val="none" w:sz="0" w:space="0" w:color="auto"/>
                <w:right w:val="none" w:sz="0" w:space="0" w:color="auto"/>
              </w:divBdr>
            </w:div>
          </w:divsChild>
        </w:div>
        <w:div w:id="2089450772">
          <w:marLeft w:val="0"/>
          <w:marRight w:val="0"/>
          <w:marTop w:val="0"/>
          <w:marBottom w:val="0"/>
          <w:divBdr>
            <w:top w:val="none" w:sz="0" w:space="0" w:color="auto"/>
            <w:left w:val="none" w:sz="0" w:space="0" w:color="auto"/>
            <w:bottom w:val="none" w:sz="0" w:space="0" w:color="auto"/>
            <w:right w:val="none" w:sz="0" w:space="0" w:color="auto"/>
          </w:divBdr>
          <w:divsChild>
            <w:div w:id="1897357188">
              <w:marLeft w:val="0"/>
              <w:marRight w:val="0"/>
              <w:marTop w:val="0"/>
              <w:marBottom w:val="0"/>
              <w:divBdr>
                <w:top w:val="none" w:sz="0" w:space="0" w:color="auto"/>
                <w:left w:val="none" w:sz="0" w:space="0" w:color="auto"/>
                <w:bottom w:val="none" w:sz="0" w:space="0" w:color="auto"/>
                <w:right w:val="none" w:sz="0" w:space="0" w:color="auto"/>
              </w:divBdr>
            </w:div>
          </w:divsChild>
        </w:div>
        <w:div w:id="2107997399">
          <w:marLeft w:val="0"/>
          <w:marRight w:val="0"/>
          <w:marTop w:val="0"/>
          <w:marBottom w:val="0"/>
          <w:divBdr>
            <w:top w:val="none" w:sz="0" w:space="0" w:color="auto"/>
            <w:left w:val="none" w:sz="0" w:space="0" w:color="auto"/>
            <w:bottom w:val="none" w:sz="0" w:space="0" w:color="auto"/>
            <w:right w:val="none" w:sz="0" w:space="0" w:color="auto"/>
          </w:divBdr>
          <w:divsChild>
            <w:div w:id="1732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7778">
      <w:bodyDiv w:val="1"/>
      <w:marLeft w:val="0"/>
      <w:marRight w:val="0"/>
      <w:marTop w:val="0"/>
      <w:marBottom w:val="0"/>
      <w:divBdr>
        <w:top w:val="none" w:sz="0" w:space="0" w:color="auto"/>
        <w:left w:val="none" w:sz="0" w:space="0" w:color="auto"/>
        <w:bottom w:val="none" w:sz="0" w:space="0" w:color="auto"/>
        <w:right w:val="none" w:sz="0" w:space="0" w:color="auto"/>
      </w:divBdr>
    </w:div>
    <w:div w:id="1318413067">
      <w:bodyDiv w:val="1"/>
      <w:marLeft w:val="0"/>
      <w:marRight w:val="0"/>
      <w:marTop w:val="0"/>
      <w:marBottom w:val="0"/>
      <w:divBdr>
        <w:top w:val="none" w:sz="0" w:space="0" w:color="auto"/>
        <w:left w:val="none" w:sz="0" w:space="0" w:color="auto"/>
        <w:bottom w:val="none" w:sz="0" w:space="0" w:color="auto"/>
        <w:right w:val="none" w:sz="0" w:space="0" w:color="auto"/>
      </w:divBdr>
      <w:divsChild>
        <w:div w:id="902255166">
          <w:marLeft w:val="0"/>
          <w:marRight w:val="0"/>
          <w:marTop w:val="150"/>
          <w:marBottom w:val="150"/>
          <w:divBdr>
            <w:top w:val="none" w:sz="0" w:space="0" w:color="auto"/>
            <w:left w:val="none" w:sz="0" w:space="0" w:color="auto"/>
            <w:bottom w:val="none" w:sz="0" w:space="0" w:color="auto"/>
            <w:right w:val="none" w:sz="0" w:space="0" w:color="auto"/>
          </w:divBdr>
          <w:divsChild>
            <w:div w:id="317266166">
              <w:marLeft w:val="0"/>
              <w:marRight w:val="0"/>
              <w:marTop w:val="0"/>
              <w:marBottom w:val="0"/>
              <w:divBdr>
                <w:top w:val="none" w:sz="0" w:space="0" w:color="auto"/>
                <w:left w:val="none" w:sz="0" w:space="0" w:color="auto"/>
                <w:bottom w:val="none" w:sz="0" w:space="0" w:color="auto"/>
                <w:right w:val="none" w:sz="0" w:space="0" w:color="auto"/>
              </w:divBdr>
            </w:div>
          </w:divsChild>
        </w:div>
        <w:div w:id="1760559179">
          <w:marLeft w:val="0"/>
          <w:marRight w:val="0"/>
          <w:marTop w:val="150"/>
          <w:marBottom w:val="150"/>
          <w:divBdr>
            <w:top w:val="none" w:sz="0" w:space="0" w:color="auto"/>
            <w:left w:val="none" w:sz="0" w:space="0" w:color="auto"/>
            <w:bottom w:val="none" w:sz="0" w:space="0" w:color="auto"/>
            <w:right w:val="none" w:sz="0" w:space="0" w:color="auto"/>
          </w:divBdr>
          <w:divsChild>
            <w:div w:id="57099939">
              <w:marLeft w:val="0"/>
              <w:marRight w:val="0"/>
              <w:marTop w:val="0"/>
              <w:marBottom w:val="0"/>
              <w:divBdr>
                <w:top w:val="none" w:sz="0" w:space="0" w:color="auto"/>
                <w:left w:val="none" w:sz="0" w:space="0" w:color="auto"/>
                <w:bottom w:val="none" w:sz="0" w:space="0" w:color="auto"/>
                <w:right w:val="none" w:sz="0" w:space="0" w:color="auto"/>
              </w:divBdr>
            </w:div>
          </w:divsChild>
        </w:div>
        <w:div w:id="1806046066">
          <w:marLeft w:val="0"/>
          <w:marRight w:val="0"/>
          <w:marTop w:val="150"/>
          <w:marBottom w:val="150"/>
          <w:divBdr>
            <w:top w:val="none" w:sz="0" w:space="0" w:color="auto"/>
            <w:left w:val="none" w:sz="0" w:space="0" w:color="auto"/>
            <w:bottom w:val="none" w:sz="0" w:space="0" w:color="auto"/>
            <w:right w:val="none" w:sz="0" w:space="0" w:color="auto"/>
          </w:divBdr>
          <w:divsChild>
            <w:div w:id="5936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58800">
      <w:bodyDiv w:val="1"/>
      <w:marLeft w:val="0"/>
      <w:marRight w:val="0"/>
      <w:marTop w:val="0"/>
      <w:marBottom w:val="0"/>
      <w:divBdr>
        <w:top w:val="none" w:sz="0" w:space="0" w:color="auto"/>
        <w:left w:val="none" w:sz="0" w:space="0" w:color="auto"/>
        <w:bottom w:val="none" w:sz="0" w:space="0" w:color="auto"/>
        <w:right w:val="none" w:sz="0" w:space="0" w:color="auto"/>
      </w:divBdr>
    </w:div>
    <w:div w:id="1323781156">
      <w:bodyDiv w:val="1"/>
      <w:marLeft w:val="0"/>
      <w:marRight w:val="0"/>
      <w:marTop w:val="0"/>
      <w:marBottom w:val="0"/>
      <w:divBdr>
        <w:top w:val="none" w:sz="0" w:space="0" w:color="auto"/>
        <w:left w:val="none" w:sz="0" w:space="0" w:color="auto"/>
        <w:bottom w:val="none" w:sz="0" w:space="0" w:color="auto"/>
        <w:right w:val="none" w:sz="0" w:space="0" w:color="auto"/>
      </w:divBdr>
      <w:divsChild>
        <w:div w:id="820082002">
          <w:marLeft w:val="0"/>
          <w:marRight w:val="0"/>
          <w:marTop w:val="0"/>
          <w:marBottom w:val="0"/>
          <w:divBdr>
            <w:top w:val="none" w:sz="0" w:space="0" w:color="auto"/>
            <w:left w:val="none" w:sz="0" w:space="0" w:color="auto"/>
            <w:bottom w:val="none" w:sz="0" w:space="0" w:color="auto"/>
            <w:right w:val="none" w:sz="0" w:space="0" w:color="auto"/>
          </w:divBdr>
        </w:div>
        <w:div w:id="1689984444">
          <w:marLeft w:val="0"/>
          <w:marRight w:val="0"/>
          <w:marTop w:val="0"/>
          <w:marBottom w:val="0"/>
          <w:divBdr>
            <w:top w:val="none" w:sz="0" w:space="0" w:color="auto"/>
            <w:left w:val="none" w:sz="0" w:space="0" w:color="auto"/>
            <w:bottom w:val="none" w:sz="0" w:space="0" w:color="auto"/>
            <w:right w:val="none" w:sz="0" w:space="0" w:color="auto"/>
          </w:divBdr>
        </w:div>
      </w:divsChild>
    </w:div>
    <w:div w:id="1327784508">
      <w:bodyDiv w:val="1"/>
      <w:marLeft w:val="0"/>
      <w:marRight w:val="0"/>
      <w:marTop w:val="0"/>
      <w:marBottom w:val="0"/>
      <w:divBdr>
        <w:top w:val="none" w:sz="0" w:space="0" w:color="auto"/>
        <w:left w:val="none" w:sz="0" w:space="0" w:color="auto"/>
        <w:bottom w:val="none" w:sz="0" w:space="0" w:color="auto"/>
        <w:right w:val="none" w:sz="0" w:space="0" w:color="auto"/>
      </w:divBdr>
    </w:div>
    <w:div w:id="1337221117">
      <w:bodyDiv w:val="1"/>
      <w:marLeft w:val="0"/>
      <w:marRight w:val="0"/>
      <w:marTop w:val="0"/>
      <w:marBottom w:val="0"/>
      <w:divBdr>
        <w:top w:val="none" w:sz="0" w:space="0" w:color="auto"/>
        <w:left w:val="none" w:sz="0" w:space="0" w:color="auto"/>
        <w:bottom w:val="none" w:sz="0" w:space="0" w:color="auto"/>
        <w:right w:val="none" w:sz="0" w:space="0" w:color="auto"/>
      </w:divBdr>
    </w:div>
    <w:div w:id="1337417977">
      <w:bodyDiv w:val="1"/>
      <w:marLeft w:val="0"/>
      <w:marRight w:val="0"/>
      <w:marTop w:val="0"/>
      <w:marBottom w:val="0"/>
      <w:divBdr>
        <w:top w:val="none" w:sz="0" w:space="0" w:color="auto"/>
        <w:left w:val="none" w:sz="0" w:space="0" w:color="auto"/>
        <w:bottom w:val="none" w:sz="0" w:space="0" w:color="auto"/>
        <w:right w:val="none" w:sz="0" w:space="0" w:color="auto"/>
      </w:divBdr>
      <w:divsChild>
        <w:div w:id="29112863">
          <w:marLeft w:val="0"/>
          <w:marRight w:val="0"/>
          <w:marTop w:val="0"/>
          <w:marBottom w:val="0"/>
          <w:divBdr>
            <w:top w:val="none" w:sz="0" w:space="0" w:color="auto"/>
            <w:left w:val="none" w:sz="0" w:space="0" w:color="auto"/>
            <w:bottom w:val="none" w:sz="0" w:space="0" w:color="auto"/>
            <w:right w:val="none" w:sz="0" w:space="0" w:color="auto"/>
          </w:divBdr>
          <w:divsChild>
            <w:div w:id="1331299652">
              <w:marLeft w:val="0"/>
              <w:marRight w:val="0"/>
              <w:marTop w:val="0"/>
              <w:marBottom w:val="0"/>
              <w:divBdr>
                <w:top w:val="none" w:sz="0" w:space="0" w:color="auto"/>
                <w:left w:val="none" w:sz="0" w:space="0" w:color="auto"/>
                <w:bottom w:val="none" w:sz="0" w:space="0" w:color="auto"/>
                <w:right w:val="none" w:sz="0" w:space="0" w:color="auto"/>
              </w:divBdr>
            </w:div>
          </w:divsChild>
        </w:div>
        <w:div w:id="32115132">
          <w:marLeft w:val="0"/>
          <w:marRight w:val="0"/>
          <w:marTop w:val="0"/>
          <w:marBottom w:val="0"/>
          <w:divBdr>
            <w:top w:val="none" w:sz="0" w:space="0" w:color="auto"/>
            <w:left w:val="none" w:sz="0" w:space="0" w:color="auto"/>
            <w:bottom w:val="none" w:sz="0" w:space="0" w:color="auto"/>
            <w:right w:val="none" w:sz="0" w:space="0" w:color="auto"/>
          </w:divBdr>
          <w:divsChild>
            <w:div w:id="1427267811">
              <w:marLeft w:val="0"/>
              <w:marRight w:val="0"/>
              <w:marTop w:val="0"/>
              <w:marBottom w:val="0"/>
              <w:divBdr>
                <w:top w:val="none" w:sz="0" w:space="0" w:color="auto"/>
                <w:left w:val="none" w:sz="0" w:space="0" w:color="auto"/>
                <w:bottom w:val="none" w:sz="0" w:space="0" w:color="auto"/>
                <w:right w:val="none" w:sz="0" w:space="0" w:color="auto"/>
              </w:divBdr>
            </w:div>
          </w:divsChild>
        </w:div>
        <w:div w:id="47464169">
          <w:marLeft w:val="0"/>
          <w:marRight w:val="0"/>
          <w:marTop w:val="0"/>
          <w:marBottom w:val="0"/>
          <w:divBdr>
            <w:top w:val="none" w:sz="0" w:space="0" w:color="auto"/>
            <w:left w:val="none" w:sz="0" w:space="0" w:color="auto"/>
            <w:bottom w:val="none" w:sz="0" w:space="0" w:color="auto"/>
            <w:right w:val="none" w:sz="0" w:space="0" w:color="auto"/>
          </w:divBdr>
          <w:divsChild>
            <w:div w:id="843472596">
              <w:marLeft w:val="0"/>
              <w:marRight w:val="0"/>
              <w:marTop w:val="0"/>
              <w:marBottom w:val="0"/>
              <w:divBdr>
                <w:top w:val="none" w:sz="0" w:space="0" w:color="auto"/>
                <w:left w:val="none" w:sz="0" w:space="0" w:color="auto"/>
                <w:bottom w:val="none" w:sz="0" w:space="0" w:color="auto"/>
                <w:right w:val="none" w:sz="0" w:space="0" w:color="auto"/>
              </w:divBdr>
            </w:div>
          </w:divsChild>
        </w:div>
        <w:div w:id="154803029">
          <w:marLeft w:val="0"/>
          <w:marRight w:val="0"/>
          <w:marTop w:val="0"/>
          <w:marBottom w:val="0"/>
          <w:divBdr>
            <w:top w:val="none" w:sz="0" w:space="0" w:color="auto"/>
            <w:left w:val="none" w:sz="0" w:space="0" w:color="auto"/>
            <w:bottom w:val="none" w:sz="0" w:space="0" w:color="auto"/>
            <w:right w:val="none" w:sz="0" w:space="0" w:color="auto"/>
          </w:divBdr>
          <w:divsChild>
            <w:div w:id="54277274">
              <w:marLeft w:val="0"/>
              <w:marRight w:val="0"/>
              <w:marTop w:val="0"/>
              <w:marBottom w:val="0"/>
              <w:divBdr>
                <w:top w:val="none" w:sz="0" w:space="0" w:color="auto"/>
                <w:left w:val="none" w:sz="0" w:space="0" w:color="auto"/>
                <w:bottom w:val="none" w:sz="0" w:space="0" w:color="auto"/>
                <w:right w:val="none" w:sz="0" w:space="0" w:color="auto"/>
              </w:divBdr>
            </w:div>
          </w:divsChild>
        </w:div>
        <w:div w:id="188416009">
          <w:marLeft w:val="0"/>
          <w:marRight w:val="0"/>
          <w:marTop w:val="0"/>
          <w:marBottom w:val="0"/>
          <w:divBdr>
            <w:top w:val="none" w:sz="0" w:space="0" w:color="auto"/>
            <w:left w:val="none" w:sz="0" w:space="0" w:color="auto"/>
            <w:bottom w:val="none" w:sz="0" w:space="0" w:color="auto"/>
            <w:right w:val="none" w:sz="0" w:space="0" w:color="auto"/>
          </w:divBdr>
          <w:divsChild>
            <w:div w:id="312292426">
              <w:marLeft w:val="0"/>
              <w:marRight w:val="0"/>
              <w:marTop w:val="0"/>
              <w:marBottom w:val="0"/>
              <w:divBdr>
                <w:top w:val="none" w:sz="0" w:space="0" w:color="auto"/>
                <w:left w:val="none" w:sz="0" w:space="0" w:color="auto"/>
                <w:bottom w:val="none" w:sz="0" w:space="0" w:color="auto"/>
                <w:right w:val="none" w:sz="0" w:space="0" w:color="auto"/>
              </w:divBdr>
            </w:div>
          </w:divsChild>
        </w:div>
        <w:div w:id="208030218">
          <w:marLeft w:val="0"/>
          <w:marRight w:val="0"/>
          <w:marTop w:val="0"/>
          <w:marBottom w:val="0"/>
          <w:divBdr>
            <w:top w:val="none" w:sz="0" w:space="0" w:color="auto"/>
            <w:left w:val="none" w:sz="0" w:space="0" w:color="auto"/>
            <w:bottom w:val="none" w:sz="0" w:space="0" w:color="auto"/>
            <w:right w:val="none" w:sz="0" w:space="0" w:color="auto"/>
          </w:divBdr>
          <w:divsChild>
            <w:div w:id="858852653">
              <w:marLeft w:val="0"/>
              <w:marRight w:val="0"/>
              <w:marTop w:val="0"/>
              <w:marBottom w:val="0"/>
              <w:divBdr>
                <w:top w:val="none" w:sz="0" w:space="0" w:color="auto"/>
                <w:left w:val="none" w:sz="0" w:space="0" w:color="auto"/>
                <w:bottom w:val="none" w:sz="0" w:space="0" w:color="auto"/>
                <w:right w:val="none" w:sz="0" w:space="0" w:color="auto"/>
              </w:divBdr>
            </w:div>
          </w:divsChild>
        </w:div>
        <w:div w:id="270162146">
          <w:marLeft w:val="0"/>
          <w:marRight w:val="0"/>
          <w:marTop w:val="0"/>
          <w:marBottom w:val="0"/>
          <w:divBdr>
            <w:top w:val="none" w:sz="0" w:space="0" w:color="auto"/>
            <w:left w:val="none" w:sz="0" w:space="0" w:color="auto"/>
            <w:bottom w:val="none" w:sz="0" w:space="0" w:color="auto"/>
            <w:right w:val="none" w:sz="0" w:space="0" w:color="auto"/>
          </w:divBdr>
          <w:divsChild>
            <w:div w:id="1601597772">
              <w:marLeft w:val="0"/>
              <w:marRight w:val="0"/>
              <w:marTop w:val="0"/>
              <w:marBottom w:val="0"/>
              <w:divBdr>
                <w:top w:val="none" w:sz="0" w:space="0" w:color="auto"/>
                <w:left w:val="none" w:sz="0" w:space="0" w:color="auto"/>
                <w:bottom w:val="none" w:sz="0" w:space="0" w:color="auto"/>
                <w:right w:val="none" w:sz="0" w:space="0" w:color="auto"/>
              </w:divBdr>
            </w:div>
          </w:divsChild>
        </w:div>
        <w:div w:id="297691012">
          <w:marLeft w:val="0"/>
          <w:marRight w:val="0"/>
          <w:marTop w:val="0"/>
          <w:marBottom w:val="0"/>
          <w:divBdr>
            <w:top w:val="none" w:sz="0" w:space="0" w:color="auto"/>
            <w:left w:val="none" w:sz="0" w:space="0" w:color="auto"/>
            <w:bottom w:val="none" w:sz="0" w:space="0" w:color="auto"/>
            <w:right w:val="none" w:sz="0" w:space="0" w:color="auto"/>
          </w:divBdr>
          <w:divsChild>
            <w:div w:id="452754728">
              <w:marLeft w:val="0"/>
              <w:marRight w:val="0"/>
              <w:marTop w:val="0"/>
              <w:marBottom w:val="0"/>
              <w:divBdr>
                <w:top w:val="none" w:sz="0" w:space="0" w:color="auto"/>
                <w:left w:val="none" w:sz="0" w:space="0" w:color="auto"/>
                <w:bottom w:val="none" w:sz="0" w:space="0" w:color="auto"/>
                <w:right w:val="none" w:sz="0" w:space="0" w:color="auto"/>
              </w:divBdr>
            </w:div>
          </w:divsChild>
        </w:div>
        <w:div w:id="343022816">
          <w:marLeft w:val="0"/>
          <w:marRight w:val="0"/>
          <w:marTop w:val="0"/>
          <w:marBottom w:val="0"/>
          <w:divBdr>
            <w:top w:val="none" w:sz="0" w:space="0" w:color="auto"/>
            <w:left w:val="none" w:sz="0" w:space="0" w:color="auto"/>
            <w:bottom w:val="none" w:sz="0" w:space="0" w:color="auto"/>
            <w:right w:val="none" w:sz="0" w:space="0" w:color="auto"/>
          </w:divBdr>
          <w:divsChild>
            <w:div w:id="1132672691">
              <w:marLeft w:val="0"/>
              <w:marRight w:val="0"/>
              <w:marTop w:val="0"/>
              <w:marBottom w:val="0"/>
              <w:divBdr>
                <w:top w:val="none" w:sz="0" w:space="0" w:color="auto"/>
                <w:left w:val="none" w:sz="0" w:space="0" w:color="auto"/>
                <w:bottom w:val="none" w:sz="0" w:space="0" w:color="auto"/>
                <w:right w:val="none" w:sz="0" w:space="0" w:color="auto"/>
              </w:divBdr>
            </w:div>
          </w:divsChild>
        </w:div>
        <w:div w:id="352001554">
          <w:marLeft w:val="0"/>
          <w:marRight w:val="0"/>
          <w:marTop w:val="0"/>
          <w:marBottom w:val="0"/>
          <w:divBdr>
            <w:top w:val="none" w:sz="0" w:space="0" w:color="auto"/>
            <w:left w:val="none" w:sz="0" w:space="0" w:color="auto"/>
            <w:bottom w:val="none" w:sz="0" w:space="0" w:color="auto"/>
            <w:right w:val="none" w:sz="0" w:space="0" w:color="auto"/>
          </w:divBdr>
          <w:divsChild>
            <w:div w:id="1924875770">
              <w:marLeft w:val="0"/>
              <w:marRight w:val="0"/>
              <w:marTop w:val="0"/>
              <w:marBottom w:val="0"/>
              <w:divBdr>
                <w:top w:val="none" w:sz="0" w:space="0" w:color="auto"/>
                <w:left w:val="none" w:sz="0" w:space="0" w:color="auto"/>
                <w:bottom w:val="none" w:sz="0" w:space="0" w:color="auto"/>
                <w:right w:val="none" w:sz="0" w:space="0" w:color="auto"/>
              </w:divBdr>
            </w:div>
          </w:divsChild>
        </w:div>
        <w:div w:id="386688233">
          <w:marLeft w:val="0"/>
          <w:marRight w:val="0"/>
          <w:marTop w:val="0"/>
          <w:marBottom w:val="0"/>
          <w:divBdr>
            <w:top w:val="none" w:sz="0" w:space="0" w:color="auto"/>
            <w:left w:val="none" w:sz="0" w:space="0" w:color="auto"/>
            <w:bottom w:val="none" w:sz="0" w:space="0" w:color="auto"/>
            <w:right w:val="none" w:sz="0" w:space="0" w:color="auto"/>
          </w:divBdr>
          <w:divsChild>
            <w:div w:id="593827302">
              <w:marLeft w:val="0"/>
              <w:marRight w:val="0"/>
              <w:marTop w:val="0"/>
              <w:marBottom w:val="0"/>
              <w:divBdr>
                <w:top w:val="none" w:sz="0" w:space="0" w:color="auto"/>
                <w:left w:val="none" w:sz="0" w:space="0" w:color="auto"/>
                <w:bottom w:val="none" w:sz="0" w:space="0" w:color="auto"/>
                <w:right w:val="none" w:sz="0" w:space="0" w:color="auto"/>
              </w:divBdr>
            </w:div>
          </w:divsChild>
        </w:div>
        <w:div w:id="391387318">
          <w:marLeft w:val="0"/>
          <w:marRight w:val="0"/>
          <w:marTop w:val="0"/>
          <w:marBottom w:val="0"/>
          <w:divBdr>
            <w:top w:val="none" w:sz="0" w:space="0" w:color="auto"/>
            <w:left w:val="none" w:sz="0" w:space="0" w:color="auto"/>
            <w:bottom w:val="none" w:sz="0" w:space="0" w:color="auto"/>
            <w:right w:val="none" w:sz="0" w:space="0" w:color="auto"/>
          </w:divBdr>
          <w:divsChild>
            <w:div w:id="1073817176">
              <w:marLeft w:val="0"/>
              <w:marRight w:val="0"/>
              <w:marTop w:val="0"/>
              <w:marBottom w:val="0"/>
              <w:divBdr>
                <w:top w:val="none" w:sz="0" w:space="0" w:color="auto"/>
                <w:left w:val="none" w:sz="0" w:space="0" w:color="auto"/>
                <w:bottom w:val="none" w:sz="0" w:space="0" w:color="auto"/>
                <w:right w:val="none" w:sz="0" w:space="0" w:color="auto"/>
              </w:divBdr>
            </w:div>
          </w:divsChild>
        </w:div>
        <w:div w:id="407464239">
          <w:marLeft w:val="0"/>
          <w:marRight w:val="0"/>
          <w:marTop w:val="0"/>
          <w:marBottom w:val="0"/>
          <w:divBdr>
            <w:top w:val="none" w:sz="0" w:space="0" w:color="auto"/>
            <w:left w:val="none" w:sz="0" w:space="0" w:color="auto"/>
            <w:bottom w:val="none" w:sz="0" w:space="0" w:color="auto"/>
            <w:right w:val="none" w:sz="0" w:space="0" w:color="auto"/>
          </w:divBdr>
          <w:divsChild>
            <w:div w:id="795753080">
              <w:marLeft w:val="0"/>
              <w:marRight w:val="0"/>
              <w:marTop w:val="0"/>
              <w:marBottom w:val="0"/>
              <w:divBdr>
                <w:top w:val="none" w:sz="0" w:space="0" w:color="auto"/>
                <w:left w:val="none" w:sz="0" w:space="0" w:color="auto"/>
                <w:bottom w:val="none" w:sz="0" w:space="0" w:color="auto"/>
                <w:right w:val="none" w:sz="0" w:space="0" w:color="auto"/>
              </w:divBdr>
            </w:div>
          </w:divsChild>
        </w:div>
        <w:div w:id="417793809">
          <w:marLeft w:val="0"/>
          <w:marRight w:val="0"/>
          <w:marTop w:val="0"/>
          <w:marBottom w:val="0"/>
          <w:divBdr>
            <w:top w:val="none" w:sz="0" w:space="0" w:color="auto"/>
            <w:left w:val="none" w:sz="0" w:space="0" w:color="auto"/>
            <w:bottom w:val="none" w:sz="0" w:space="0" w:color="auto"/>
            <w:right w:val="none" w:sz="0" w:space="0" w:color="auto"/>
          </w:divBdr>
          <w:divsChild>
            <w:div w:id="71195406">
              <w:marLeft w:val="0"/>
              <w:marRight w:val="0"/>
              <w:marTop w:val="0"/>
              <w:marBottom w:val="0"/>
              <w:divBdr>
                <w:top w:val="none" w:sz="0" w:space="0" w:color="auto"/>
                <w:left w:val="none" w:sz="0" w:space="0" w:color="auto"/>
                <w:bottom w:val="none" w:sz="0" w:space="0" w:color="auto"/>
                <w:right w:val="none" w:sz="0" w:space="0" w:color="auto"/>
              </w:divBdr>
            </w:div>
            <w:div w:id="665590259">
              <w:marLeft w:val="0"/>
              <w:marRight w:val="0"/>
              <w:marTop w:val="0"/>
              <w:marBottom w:val="0"/>
              <w:divBdr>
                <w:top w:val="none" w:sz="0" w:space="0" w:color="auto"/>
                <w:left w:val="none" w:sz="0" w:space="0" w:color="auto"/>
                <w:bottom w:val="none" w:sz="0" w:space="0" w:color="auto"/>
                <w:right w:val="none" w:sz="0" w:space="0" w:color="auto"/>
              </w:divBdr>
            </w:div>
            <w:div w:id="1253473366">
              <w:marLeft w:val="0"/>
              <w:marRight w:val="0"/>
              <w:marTop w:val="0"/>
              <w:marBottom w:val="0"/>
              <w:divBdr>
                <w:top w:val="none" w:sz="0" w:space="0" w:color="auto"/>
                <w:left w:val="none" w:sz="0" w:space="0" w:color="auto"/>
                <w:bottom w:val="none" w:sz="0" w:space="0" w:color="auto"/>
                <w:right w:val="none" w:sz="0" w:space="0" w:color="auto"/>
              </w:divBdr>
            </w:div>
            <w:div w:id="1415125324">
              <w:marLeft w:val="0"/>
              <w:marRight w:val="0"/>
              <w:marTop w:val="0"/>
              <w:marBottom w:val="0"/>
              <w:divBdr>
                <w:top w:val="none" w:sz="0" w:space="0" w:color="auto"/>
                <w:left w:val="none" w:sz="0" w:space="0" w:color="auto"/>
                <w:bottom w:val="none" w:sz="0" w:space="0" w:color="auto"/>
                <w:right w:val="none" w:sz="0" w:space="0" w:color="auto"/>
              </w:divBdr>
            </w:div>
          </w:divsChild>
        </w:div>
        <w:div w:id="490875547">
          <w:marLeft w:val="0"/>
          <w:marRight w:val="0"/>
          <w:marTop w:val="0"/>
          <w:marBottom w:val="0"/>
          <w:divBdr>
            <w:top w:val="none" w:sz="0" w:space="0" w:color="auto"/>
            <w:left w:val="none" w:sz="0" w:space="0" w:color="auto"/>
            <w:bottom w:val="none" w:sz="0" w:space="0" w:color="auto"/>
            <w:right w:val="none" w:sz="0" w:space="0" w:color="auto"/>
          </w:divBdr>
          <w:divsChild>
            <w:div w:id="61292492">
              <w:marLeft w:val="0"/>
              <w:marRight w:val="0"/>
              <w:marTop w:val="0"/>
              <w:marBottom w:val="0"/>
              <w:divBdr>
                <w:top w:val="none" w:sz="0" w:space="0" w:color="auto"/>
                <w:left w:val="none" w:sz="0" w:space="0" w:color="auto"/>
                <w:bottom w:val="none" w:sz="0" w:space="0" w:color="auto"/>
                <w:right w:val="none" w:sz="0" w:space="0" w:color="auto"/>
              </w:divBdr>
            </w:div>
            <w:div w:id="205021928">
              <w:marLeft w:val="0"/>
              <w:marRight w:val="0"/>
              <w:marTop w:val="0"/>
              <w:marBottom w:val="0"/>
              <w:divBdr>
                <w:top w:val="none" w:sz="0" w:space="0" w:color="auto"/>
                <w:left w:val="none" w:sz="0" w:space="0" w:color="auto"/>
                <w:bottom w:val="none" w:sz="0" w:space="0" w:color="auto"/>
                <w:right w:val="none" w:sz="0" w:space="0" w:color="auto"/>
              </w:divBdr>
            </w:div>
            <w:div w:id="237448670">
              <w:marLeft w:val="0"/>
              <w:marRight w:val="0"/>
              <w:marTop w:val="0"/>
              <w:marBottom w:val="0"/>
              <w:divBdr>
                <w:top w:val="none" w:sz="0" w:space="0" w:color="auto"/>
                <w:left w:val="none" w:sz="0" w:space="0" w:color="auto"/>
                <w:bottom w:val="none" w:sz="0" w:space="0" w:color="auto"/>
                <w:right w:val="none" w:sz="0" w:space="0" w:color="auto"/>
              </w:divBdr>
            </w:div>
            <w:div w:id="570165492">
              <w:marLeft w:val="0"/>
              <w:marRight w:val="0"/>
              <w:marTop w:val="0"/>
              <w:marBottom w:val="0"/>
              <w:divBdr>
                <w:top w:val="none" w:sz="0" w:space="0" w:color="auto"/>
                <w:left w:val="none" w:sz="0" w:space="0" w:color="auto"/>
                <w:bottom w:val="none" w:sz="0" w:space="0" w:color="auto"/>
                <w:right w:val="none" w:sz="0" w:space="0" w:color="auto"/>
              </w:divBdr>
            </w:div>
            <w:div w:id="1064067810">
              <w:marLeft w:val="0"/>
              <w:marRight w:val="0"/>
              <w:marTop w:val="0"/>
              <w:marBottom w:val="0"/>
              <w:divBdr>
                <w:top w:val="none" w:sz="0" w:space="0" w:color="auto"/>
                <w:left w:val="none" w:sz="0" w:space="0" w:color="auto"/>
                <w:bottom w:val="none" w:sz="0" w:space="0" w:color="auto"/>
                <w:right w:val="none" w:sz="0" w:space="0" w:color="auto"/>
              </w:divBdr>
            </w:div>
          </w:divsChild>
        </w:div>
        <w:div w:id="504049698">
          <w:marLeft w:val="0"/>
          <w:marRight w:val="0"/>
          <w:marTop w:val="0"/>
          <w:marBottom w:val="0"/>
          <w:divBdr>
            <w:top w:val="none" w:sz="0" w:space="0" w:color="auto"/>
            <w:left w:val="none" w:sz="0" w:space="0" w:color="auto"/>
            <w:bottom w:val="none" w:sz="0" w:space="0" w:color="auto"/>
            <w:right w:val="none" w:sz="0" w:space="0" w:color="auto"/>
          </w:divBdr>
          <w:divsChild>
            <w:div w:id="379018611">
              <w:marLeft w:val="0"/>
              <w:marRight w:val="0"/>
              <w:marTop w:val="0"/>
              <w:marBottom w:val="0"/>
              <w:divBdr>
                <w:top w:val="none" w:sz="0" w:space="0" w:color="auto"/>
                <w:left w:val="none" w:sz="0" w:space="0" w:color="auto"/>
                <w:bottom w:val="none" w:sz="0" w:space="0" w:color="auto"/>
                <w:right w:val="none" w:sz="0" w:space="0" w:color="auto"/>
              </w:divBdr>
            </w:div>
          </w:divsChild>
        </w:div>
        <w:div w:id="530191747">
          <w:marLeft w:val="0"/>
          <w:marRight w:val="0"/>
          <w:marTop w:val="0"/>
          <w:marBottom w:val="0"/>
          <w:divBdr>
            <w:top w:val="none" w:sz="0" w:space="0" w:color="auto"/>
            <w:left w:val="none" w:sz="0" w:space="0" w:color="auto"/>
            <w:bottom w:val="none" w:sz="0" w:space="0" w:color="auto"/>
            <w:right w:val="none" w:sz="0" w:space="0" w:color="auto"/>
          </w:divBdr>
          <w:divsChild>
            <w:div w:id="1811359744">
              <w:marLeft w:val="0"/>
              <w:marRight w:val="0"/>
              <w:marTop w:val="0"/>
              <w:marBottom w:val="0"/>
              <w:divBdr>
                <w:top w:val="none" w:sz="0" w:space="0" w:color="auto"/>
                <w:left w:val="none" w:sz="0" w:space="0" w:color="auto"/>
                <w:bottom w:val="none" w:sz="0" w:space="0" w:color="auto"/>
                <w:right w:val="none" w:sz="0" w:space="0" w:color="auto"/>
              </w:divBdr>
            </w:div>
          </w:divsChild>
        </w:div>
        <w:div w:id="605890593">
          <w:marLeft w:val="0"/>
          <w:marRight w:val="0"/>
          <w:marTop w:val="0"/>
          <w:marBottom w:val="0"/>
          <w:divBdr>
            <w:top w:val="none" w:sz="0" w:space="0" w:color="auto"/>
            <w:left w:val="none" w:sz="0" w:space="0" w:color="auto"/>
            <w:bottom w:val="none" w:sz="0" w:space="0" w:color="auto"/>
            <w:right w:val="none" w:sz="0" w:space="0" w:color="auto"/>
          </w:divBdr>
          <w:divsChild>
            <w:div w:id="493108085">
              <w:marLeft w:val="0"/>
              <w:marRight w:val="0"/>
              <w:marTop w:val="0"/>
              <w:marBottom w:val="0"/>
              <w:divBdr>
                <w:top w:val="none" w:sz="0" w:space="0" w:color="auto"/>
                <w:left w:val="none" w:sz="0" w:space="0" w:color="auto"/>
                <w:bottom w:val="none" w:sz="0" w:space="0" w:color="auto"/>
                <w:right w:val="none" w:sz="0" w:space="0" w:color="auto"/>
              </w:divBdr>
            </w:div>
          </w:divsChild>
        </w:div>
        <w:div w:id="631986409">
          <w:marLeft w:val="0"/>
          <w:marRight w:val="0"/>
          <w:marTop w:val="0"/>
          <w:marBottom w:val="0"/>
          <w:divBdr>
            <w:top w:val="none" w:sz="0" w:space="0" w:color="auto"/>
            <w:left w:val="none" w:sz="0" w:space="0" w:color="auto"/>
            <w:bottom w:val="none" w:sz="0" w:space="0" w:color="auto"/>
            <w:right w:val="none" w:sz="0" w:space="0" w:color="auto"/>
          </w:divBdr>
          <w:divsChild>
            <w:div w:id="835222614">
              <w:marLeft w:val="0"/>
              <w:marRight w:val="0"/>
              <w:marTop w:val="0"/>
              <w:marBottom w:val="0"/>
              <w:divBdr>
                <w:top w:val="none" w:sz="0" w:space="0" w:color="auto"/>
                <w:left w:val="none" w:sz="0" w:space="0" w:color="auto"/>
                <w:bottom w:val="none" w:sz="0" w:space="0" w:color="auto"/>
                <w:right w:val="none" w:sz="0" w:space="0" w:color="auto"/>
              </w:divBdr>
            </w:div>
          </w:divsChild>
        </w:div>
        <w:div w:id="664089457">
          <w:marLeft w:val="0"/>
          <w:marRight w:val="0"/>
          <w:marTop w:val="0"/>
          <w:marBottom w:val="0"/>
          <w:divBdr>
            <w:top w:val="none" w:sz="0" w:space="0" w:color="auto"/>
            <w:left w:val="none" w:sz="0" w:space="0" w:color="auto"/>
            <w:bottom w:val="none" w:sz="0" w:space="0" w:color="auto"/>
            <w:right w:val="none" w:sz="0" w:space="0" w:color="auto"/>
          </w:divBdr>
          <w:divsChild>
            <w:div w:id="577130134">
              <w:marLeft w:val="0"/>
              <w:marRight w:val="0"/>
              <w:marTop w:val="0"/>
              <w:marBottom w:val="0"/>
              <w:divBdr>
                <w:top w:val="none" w:sz="0" w:space="0" w:color="auto"/>
                <w:left w:val="none" w:sz="0" w:space="0" w:color="auto"/>
                <w:bottom w:val="none" w:sz="0" w:space="0" w:color="auto"/>
                <w:right w:val="none" w:sz="0" w:space="0" w:color="auto"/>
              </w:divBdr>
            </w:div>
            <w:div w:id="1518033832">
              <w:marLeft w:val="0"/>
              <w:marRight w:val="0"/>
              <w:marTop w:val="0"/>
              <w:marBottom w:val="0"/>
              <w:divBdr>
                <w:top w:val="none" w:sz="0" w:space="0" w:color="auto"/>
                <w:left w:val="none" w:sz="0" w:space="0" w:color="auto"/>
                <w:bottom w:val="none" w:sz="0" w:space="0" w:color="auto"/>
                <w:right w:val="none" w:sz="0" w:space="0" w:color="auto"/>
              </w:divBdr>
            </w:div>
            <w:div w:id="1638683980">
              <w:marLeft w:val="0"/>
              <w:marRight w:val="0"/>
              <w:marTop w:val="0"/>
              <w:marBottom w:val="0"/>
              <w:divBdr>
                <w:top w:val="none" w:sz="0" w:space="0" w:color="auto"/>
                <w:left w:val="none" w:sz="0" w:space="0" w:color="auto"/>
                <w:bottom w:val="none" w:sz="0" w:space="0" w:color="auto"/>
                <w:right w:val="none" w:sz="0" w:space="0" w:color="auto"/>
              </w:divBdr>
            </w:div>
            <w:div w:id="1750153991">
              <w:marLeft w:val="0"/>
              <w:marRight w:val="0"/>
              <w:marTop w:val="0"/>
              <w:marBottom w:val="0"/>
              <w:divBdr>
                <w:top w:val="none" w:sz="0" w:space="0" w:color="auto"/>
                <w:left w:val="none" w:sz="0" w:space="0" w:color="auto"/>
                <w:bottom w:val="none" w:sz="0" w:space="0" w:color="auto"/>
                <w:right w:val="none" w:sz="0" w:space="0" w:color="auto"/>
              </w:divBdr>
            </w:div>
            <w:div w:id="2001737121">
              <w:marLeft w:val="0"/>
              <w:marRight w:val="0"/>
              <w:marTop w:val="0"/>
              <w:marBottom w:val="0"/>
              <w:divBdr>
                <w:top w:val="none" w:sz="0" w:space="0" w:color="auto"/>
                <w:left w:val="none" w:sz="0" w:space="0" w:color="auto"/>
                <w:bottom w:val="none" w:sz="0" w:space="0" w:color="auto"/>
                <w:right w:val="none" w:sz="0" w:space="0" w:color="auto"/>
              </w:divBdr>
            </w:div>
          </w:divsChild>
        </w:div>
        <w:div w:id="681201638">
          <w:marLeft w:val="0"/>
          <w:marRight w:val="0"/>
          <w:marTop w:val="0"/>
          <w:marBottom w:val="0"/>
          <w:divBdr>
            <w:top w:val="none" w:sz="0" w:space="0" w:color="auto"/>
            <w:left w:val="none" w:sz="0" w:space="0" w:color="auto"/>
            <w:bottom w:val="none" w:sz="0" w:space="0" w:color="auto"/>
            <w:right w:val="none" w:sz="0" w:space="0" w:color="auto"/>
          </w:divBdr>
          <w:divsChild>
            <w:div w:id="1586261444">
              <w:marLeft w:val="0"/>
              <w:marRight w:val="0"/>
              <w:marTop w:val="0"/>
              <w:marBottom w:val="0"/>
              <w:divBdr>
                <w:top w:val="none" w:sz="0" w:space="0" w:color="auto"/>
                <w:left w:val="none" w:sz="0" w:space="0" w:color="auto"/>
                <w:bottom w:val="none" w:sz="0" w:space="0" w:color="auto"/>
                <w:right w:val="none" w:sz="0" w:space="0" w:color="auto"/>
              </w:divBdr>
            </w:div>
          </w:divsChild>
        </w:div>
        <w:div w:id="726027617">
          <w:marLeft w:val="0"/>
          <w:marRight w:val="0"/>
          <w:marTop w:val="0"/>
          <w:marBottom w:val="0"/>
          <w:divBdr>
            <w:top w:val="none" w:sz="0" w:space="0" w:color="auto"/>
            <w:left w:val="none" w:sz="0" w:space="0" w:color="auto"/>
            <w:bottom w:val="none" w:sz="0" w:space="0" w:color="auto"/>
            <w:right w:val="none" w:sz="0" w:space="0" w:color="auto"/>
          </w:divBdr>
          <w:divsChild>
            <w:div w:id="89938348">
              <w:marLeft w:val="0"/>
              <w:marRight w:val="0"/>
              <w:marTop w:val="0"/>
              <w:marBottom w:val="0"/>
              <w:divBdr>
                <w:top w:val="none" w:sz="0" w:space="0" w:color="auto"/>
                <w:left w:val="none" w:sz="0" w:space="0" w:color="auto"/>
                <w:bottom w:val="none" w:sz="0" w:space="0" w:color="auto"/>
                <w:right w:val="none" w:sz="0" w:space="0" w:color="auto"/>
              </w:divBdr>
            </w:div>
          </w:divsChild>
        </w:div>
        <w:div w:id="766736155">
          <w:marLeft w:val="0"/>
          <w:marRight w:val="0"/>
          <w:marTop w:val="0"/>
          <w:marBottom w:val="0"/>
          <w:divBdr>
            <w:top w:val="none" w:sz="0" w:space="0" w:color="auto"/>
            <w:left w:val="none" w:sz="0" w:space="0" w:color="auto"/>
            <w:bottom w:val="none" w:sz="0" w:space="0" w:color="auto"/>
            <w:right w:val="none" w:sz="0" w:space="0" w:color="auto"/>
          </w:divBdr>
          <w:divsChild>
            <w:div w:id="1498614282">
              <w:marLeft w:val="0"/>
              <w:marRight w:val="0"/>
              <w:marTop w:val="0"/>
              <w:marBottom w:val="0"/>
              <w:divBdr>
                <w:top w:val="none" w:sz="0" w:space="0" w:color="auto"/>
                <w:left w:val="none" w:sz="0" w:space="0" w:color="auto"/>
                <w:bottom w:val="none" w:sz="0" w:space="0" w:color="auto"/>
                <w:right w:val="none" w:sz="0" w:space="0" w:color="auto"/>
              </w:divBdr>
            </w:div>
          </w:divsChild>
        </w:div>
        <w:div w:id="812135291">
          <w:marLeft w:val="0"/>
          <w:marRight w:val="0"/>
          <w:marTop w:val="0"/>
          <w:marBottom w:val="0"/>
          <w:divBdr>
            <w:top w:val="none" w:sz="0" w:space="0" w:color="auto"/>
            <w:left w:val="none" w:sz="0" w:space="0" w:color="auto"/>
            <w:bottom w:val="none" w:sz="0" w:space="0" w:color="auto"/>
            <w:right w:val="none" w:sz="0" w:space="0" w:color="auto"/>
          </w:divBdr>
          <w:divsChild>
            <w:div w:id="1137802563">
              <w:marLeft w:val="0"/>
              <w:marRight w:val="0"/>
              <w:marTop w:val="0"/>
              <w:marBottom w:val="0"/>
              <w:divBdr>
                <w:top w:val="none" w:sz="0" w:space="0" w:color="auto"/>
                <w:left w:val="none" w:sz="0" w:space="0" w:color="auto"/>
                <w:bottom w:val="none" w:sz="0" w:space="0" w:color="auto"/>
                <w:right w:val="none" w:sz="0" w:space="0" w:color="auto"/>
              </w:divBdr>
            </w:div>
          </w:divsChild>
        </w:div>
        <w:div w:id="845633565">
          <w:marLeft w:val="0"/>
          <w:marRight w:val="0"/>
          <w:marTop w:val="0"/>
          <w:marBottom w:val="0"/>
          <w:divBdr>
            <w:top w:val="none" w:sz="0" w:space="0" w:color="auto"/>
            <w:left w:val="none" w:sz="0" w:space="0" w:color="auto"/>
            <w:bottom w:val="none" w:sz="0" w:space="0" w:color="auto"/>
            <w:right w:val="none" w:sz="0" w:space="0" w:color="auto"/>
          </w:divBdr>
          <w:divsChild>
            <w:div w:id="112676017">
              <w:marLeft w:val="0"/>
              <w:marRight w:val="0"/>
              <w:marTop w:val="0"/>
              <w:marBottom w:val="0"/>
              <w:divBdr>
                <w:top w:val="none" w:sz="0" w:space="0" w:color="auto"/>
                <w:left w:val="none" w:sz="0" w:space="0" w:color="auto"/>
                <w:bottom w:val="none" w:sz="0" w:space="0" w:color="auto"/>
                <w:right w:val="none" w:sz="0" w:space="0" w:color="auto"/>
              </w:divBdr>
            </w:div>
          </w:divsChild>
        </w:div>
        <w:div w:id="863784586">
          <w:marLeft w:val="0"/>
          <w:marRight w:val="0"/>
          <w:marTop w:val="0"/>
          <w:marBottom w:val="0"/>
          <w:divBdr>
            <w:top w:val="none" w:sz="0" w:space="0" w:color="auto"/>
            <w:left w:val="none" w:sz="0" w:space="0" w:color="auto"/>
            <w:bottom w:val="none" w:sz="0" w:space="0" w:color="auto"/>
            <w:right w:val="none" w:sz="0" w:space="0" w:color="auto"/>
          </w:divBdr>
          <w:divsChild>
            <w:div w:id="54740725">
              <w:marLeft w:val="0"/>
              <w:marRight w:val="0"/>
              <w:marTop w:val="0"/>
              <w:marBottom w:val="0"/>
              <w:divBdr>
                <w:top w:val="none" w:sz="0" w:space="0" w:color="auto"/>
                <w:left w:val="none" w:sz="0" w:space="0" w:color="auto"/>
                <w:bottom w:val="none" w:sz="0" w:space="0" w:color="auto"/>
                <w:right w:val="none" w:sz="0" w:space="0" w:color="auto"/>
              </w:divBdr>
            </w:div>
          </w:divsChild>
        </w:div>
        <w:div w:id="903567514">
          <w:marLeft w:val="0"/>
          <w:marRight w:val="0"/>
          <w:marTop w:val="0"/>
          <w:marBottom w:val="0"/>
          <w:divBdr>
            <w:top w:val="none" w:sz="0" w:space="0" w:color="auto"/>
            <w:left w:val="none" w:sz="0" w:space="0" w:color="auto"/>
            <w:bottom w:val="none" w:sz="0" w:space="0" w:color="auto"/>
            <w:right w:val="none" w:sz="0" w:space="0" w:color="auto"/>
          </w:divBdr>
          <w:divsChild>
            <w:div w:id="351764137">
              <w:marLeft w:val="0"/>
              <w:marRight w:val="0"/>
              <w:marTop w:val="0"/>
              <w:marBottom w:val="0"/>
              <w:divBdr>
                <w:top w:val="none" w:sz="0" w:space="0" w:color="auto"/>
                <w:left w:val="none" w:sz="0" w:space="0" w:color="auto"/>
                <w:bottom w:val="none" w:sz="0" w:space="0" w:color="auto"/>
                <w:right w:val="none" w:sz="0" w:space="0" w:color="auto"/>
              </w:divBdr>
            </w:div>
          </w:divsChild>
        </w:div>
        <w:div w:id="908155009">
          <w:marLeft w:val="0"/>
          <w:marRight w:val="0"/>
          <w:marTop w:val="0"/>
          <w:marBottom w:val="0"/>
          <w:divBdr>
            <w:top w:val="none" w:sz="0" w:space="0" w:color="auto"/>
            <w:left w:val="none" w:sz="0" w:space="0" w:color="auto"/>
            <w:bottom w:val="none" w:sz="0" w:space="0" w:color="auto"/>
            <w:right w:val="none" w:sz="0" w:space="0" w:color="auto"/>
          </w:divBdr>
          <w:divsChild>
            <w:div w:id="309988708">
              <w:marLeft w:val="0"/>
              <w:marRight w:val="0"/>
              <w:marTop w:val="0"/>
              <w:marBottom w:val="0"/>
              <w:divBdr>
                <w:top w:val="none" w:sz="0" w:space="0" w:color="auto"/>
                <w:left w:val="none" w:sz="0" w:space="0" w:color="auto"/>
                <w:bottom w:val="none" w:sz="0" w:space="0" w:color="auto"/>
                <w:right w:val="none" w:sz="0" w:space="0" w:color="auto"/>
              </w:divBdr>
            </w:div>
            <w:div w:id="1457791462">
              <w:marLeft w:val="0"/>
              <w:marRight w:val="0"/>
              <w:marTop w:val="0"/>
              <w:marBottom w:val="0"/>
              <w:divBdr>
                <w:top w:val="none" w:sz="0" w:space="0" w:color="auto"/>
                <w:left w:val="none" w:sz="0" w:space="0" w:color="auto"/>
                <w:bottom w:val="none" w:sz="0" w:space="0" w:color="auto"/>
                <w:right w:val="none" w:sz="0" w:space="0" w:color="auto"/>
              </w:divBdr>
            </w:div>
            <w:div w:id="1588809716">
              <w:marLeft w:val="0"/>
              <w:marRight w:val="0"/>
              <w:marTop w:val="0"/>
              <w:marBottom w:val="0"/>
              <w:divBdr>
                <w:top w:val="none" w:sz="0" w:space="0" w:color="auto"/>
                <w:left w:val="none" w:sz="0" w:space="0" w:color="auto"/>
                <w:bottom w:val="none" w:sz="0" w:space="0" w:color="auto"/>
                <w:right w:val="none" w:sz="0" w:space="0" w:color="auto"/>
              </w:divBdr>
            </w:div>
          </w:divsChild>
        </w:div>
        <w:div w:id="914973537">
          <w:marLeft w:val="0"/>
          <w:marRight w:val="0"/>
          <w:marTop w:val="0"/>
          <w:marBottom w:val="0"/>
          <w:divBdr>
            <w:top w:val="none" w:sz="0" w:space="0" w:color="auto"/>
            <w:left w:val="none" w:sz="0" w:space="0" w:color="auto"/>
            <w:bottom w:val="none" w:sz="0" w:space="0" w:color="auto"/>
            <w:right w:val="none" w:sz="0" w:space="0" w:color="auto"/>
          </w:divBdr>
          <w:divsChild>
            <w:div w:id="605845230">
              <w:marLeft w:val="0"/>
              <w:marRight w:val="0"/>
              <w:marTop w:val="0"/>
              <w:marBottom w:val="0"/>
              <w:divBdr>
                <w:top w:val="none" w:sz="0" w:space="0" w:color="auto"/>
                <w:left w:val="none" w:sz="0" w:space="0" w:color="auto"/>
                <w:bottom w:val="none" w:sz="0" w:space="0" w:color="auto"/>
                <w:right w:val="none" w:sz="0" w:space="0" w:color="auto"/>
              </w:divBdr>
            </w:div>
          </w:divsChild>
        </w:div>
        <w:div w:id="921644507">
          <w:marLeft w:val="0"/>
          <w:marRight w:val="0"/>
          <w:marTop w:val="0"/>
          <w:marBottom w:val="0"/>
          <w:divBdr>
            <w:top w:val="none" w:sz="0" w:space="0" w:color="auto"/>
            <w:left w:val="none" w:sz="0" w:space="0" w:color="auto"/>
            <w:bottom w:val="none" w:sz="0" w:space="0" w:color="auto"/>
            <w:right w:val="none" w:sz="0" w:space="0" w:color="auto"/>
          </w:divBdr>
          <w:divsChild>
            <w:div w:id="316308276">
              <w:marLeft w:val="0"/>
              <w:marRight w:val="0"/>
              <w:marTop w:val="0"/>
              <w:marBottom w:val="0"/>
              <w:divBdr>
                <w:top w:val="none" w:sz="0" w:space="0" w:color="auto"/>
                <w:left w:val="none" w:sz="0" w:space="0" w:color="auto"/>
                <w:bottom w:val="none" w:sz="0" w:space="0" w:color="auto"/>
                <w:right w:val="none" w:sz="0" w:space="0" w:color="auto"/>
              </w:divBdr>
            </w:div>
            <w:div w:id="1501046412">
              <w:marLeft w:val="0"/>
              <w:marRight w:val="0"/>
              <w:marTop w:val="0"/>
              <w:marBottom w:val="0"/>
              <w:divBdr>
                <w:top w:val="none" w:sz="0" w:space="0" w:color="auto"/>
                <w:left w:val="none" w:sz="0" w:space="0" w:color="auto"/>
                <w:bottom w:val="none" w:sz="0" w:space="0" w:color="auto"/>
                <w:right w:val="none" w:sz="0" w:space="0" w:color="auto"/>
              </w:divBdr>
            </w:div>
            <w:div w:id="1869636665">
              <w:marLeft w:val="0"/>
              <w:marRight w:val="0"/>
              <w:marTop w:val="0"/>
              <w:marBottom w:val="0"/>
              <w:divBdr>
                <w:top w:val="none" w:sz="0" w:space="0" w:color="auto"/>
                <w:left w:val="none" w:sz="0" w:space="0" w:color="auto"/>
                <w:bottom w:val="none" w:sz="0" w:space="0" w:color="auto"/>
                <w:right w:val="none" w:sz="0" w:space="0" w:color="auto"/>
              </w:divBdr>
            </w:div>
            <w:div w:id="2078741334">
              <w:marLeft w:val="0"/>
              <w:marRight w:val="0"/>
              <w:marTop w:val="0"/>
              <w:marBottom w:val="0"/>
              <w:divBdr>
                <w:top w:val="none" w:sz="0" w:space="0" w:color="auto"/>
                <w:left w:val="none" w:sz="0" w:space="0" w:color="auto"/>
                <w:bottom w:val="none" w:sz="0" w:space="0" w:color="auto"/>
                <w:right w:val="none" w:sz="0" w:space="0" w:color="auto"/>
              </w:divBdr>
            </w:div>
          </w:divsChild>
        </w:div>
        <w:div w:id="923101496">
          <w:marLeft w:val="0"/>
          <w:marRight w:val="0"/>
          <w:marTop w:val="0"/>
          <w:marBottom w:val="0"/>
          <w:divBdr>
            <w:top w:val="none" w:sz="0" w:space="0" w:color="auto"/>
            <w:left w:val="none" w:sz="0" w:space="0" w:color="auto"/>
            <w:bottom w:val="none" w:sz="0" w:space="0" w:color="auto"/>
            <w:right w:val="none" w:sz="0" w:space="0" w:color="auto"/>
          </w:divBdr>
          <w:divsChild>
            <w:div w:id="815604863">
              <w:marLeft w:val="0"/>
              <w:marRight w:val="0"/>
              <w:marTop w:val="0"/>
              <w:marBottom w:val="0"/>
              <w:divBdr>
                <w:top w:val="none" w:sz="0" w:space="0" w:color="auto"/>
                <w:left w:val="none" w:sz="0" w:space="0" w:color="auto"/>
                <w:bottom w:val="none" w:sz="0" w:space="0" w:color="auto"/>
                <w:right w:val="none" w:sz="0" w:space="0" w:color="auto"/>
              </w:divBdr>
            </w:div>
          </w:divsChild>
        </w:div>
        <w:div w:id="956791891">
          <w:marLeft w:val="0"/>
          <w:marRight w:val="0"/>
          <w:marTop w:val="0"/>
          <w:marBottom w:val="0"/>
          <w:divBdr>
            <w:top w:val="none" w:sz="0" w:space="0" w:color="auto"/>
            <w:left w:val="none" w:sz="0" w:space="0" w:color="auto"/>
            <w:bottom w:val="none" w:sz="0" w:space="0" w:color="auto"/>
            <w:right w:val="none" w:sz="0" w:space="0" w:color="auto"/>
          </w:divBdr>
          <w:divsChild>
            <w:div w:id="434792252">
              <w:marLeft w:val="0"/>
              <w:marRight w:val="0"/>
              <w:marTop w:val="0"/>
              <w:marBottom w:val="0"/>
              <w:divBdr>
                <w:top w:val="none" w:sz="0" w:space="0" w:color="auto"/>
                <w:left w:val="none" w:sz="0" w:space="0" w:color="auto"/>
                <w:bottom w:val="none" w:sz="0" w:space="0" w:color="auto"/>
                <w:right w:val="none" w:sz="0" w:space="0" w:color="auto"/>
              </w:divBdr>
            </w:div>
            <w:div w:id="447939546">
              <w:marLeft w:val="0"/>
              <w:marRight w:val="0"/>
              <w:marTop w:val="0"/>
              <w:marBottom w:val="0"/>
              <w:divBdr>
                <w:top w:val="none" w:sz="0" w:space="0" w:color="auto"/>
                <w:left w:val="none" w:sz="0" w:space="0" w:color="auto"/>
                <w:bottom w:val="none" w:sz="0" w:space="0" w:color="auto"/>
                <w:right w:val="none" w:sz="0" w:space="0" w:color="auto"/>
              </w:divBdr>
            </w:div>
            <w:div w:id="1430202455">
              <w:marLeft w:val="0"/>
              <w:marRight w:val="0"/>
              <w:marTop w:val="0"/>
              <w:marBottom w:val="0"/>
              <w:divBdr>
                <w:top w:val="none" w:sz="0" w:space="0" w:color="auto"/>
                <w:left w:val="none" w:sz="0" w:space="0" w:color="auto"/>
                <w:bottom w:val="none" w:sz="0" w:space="0" w:color="auto"/>
                <w:right w:val="none" w:sz="0" w:space="0" w:color="auto"/>
              </w:divBdr>
            </w:div>
          </w:divsChild>
        </w:div>
        <w:div w:id="1155485559">
          <w:marLeft w:val="0"/>
          <w:marRight w:val="0"/>
          <w:marTop w:val="0"/>
          <w:marBottom w:val="0"/>
          <w:divBdr>
            <w:top w:val="none" w:sz="0" w:space="0" w:color="auto"/>
            <w:left w:val="none" w:sz="0" w:space="0" w:color="auto"/>
            <w:bottom w:val="none" w:sz="0" w:space="0" w:color="auto"/>
            <w:right w:val="none" w:sz="0" w:space="0" w:color="auto"/>
          </w:divBdr>
          <w:divsChild>
            <w:div w:id="1121652121">
              <w:marLeft w:val="0"/>
              <w:marRight w:val="0"/>
              <w:marTop w:val="0"/>
              <w:marBottom w:val="0"/>
              <w:divBdr>
                <w:top w:val="none" w:sz="0" w:space="0" w:color="auto"/>
                <w:left w:val="none" w:sz="0" w:space="0" w:color="auto"/>
                <w:bottom w:val="none" w:sz="0" w:space="0" w:color="auto"/>
                <w:right w:val="none" w:sz="0" w:space="0" w:color="auto"/>
              </w:divBdr>
            </w:div>
          </w:divsChild>
        </w:div>
        <w:div w:id="1174413648">
          <w:marLeft w:val="0"/>
          <w:marRight w:val="0"/>
          <w:marTop w:val="0"/>
          <w:marBottom w:val="0"/>
          <w:divBdr>
            <w:top w:val="none" w:sz="0" w:space="0" w:color="auto"/>
            <w:left w:val="none" w:sz="0" w:space="0" w:color="auto"/>
            <w:bottom w:val="none" w:sz="0" w:space="0" w:color="auto"/>
            <w:right w:val="none" w:sz="0" w:space="0" w:color="auto"/>
          </w:divBdr>
          <w:divsChild>
            <w:div w:id="261844304">
              <w:marLeft w:val="0"/>
              <w:marRight w:val="0"/>
              <w:marTop w:val="0"/>
              <w:marBottom w:val="0"/>
              <w:divBdr>
                <w:top w:val="none" w:sz="0" w:space="0" w:color="auto"/>
                <w:left w:val="none" w:sz="0" w:space="0" w:color="auto"/>
                <w:bottom w:val="none" w:sz="0" w:space="0" w:color="auto"/>
                <w:right w:val="none" w:sz="0" w:space="0" w:color="auto"/>
              </w:divBdr>
            </w:div>
          </w:divsChild>
        </w:div>
        <w:div w:id="1270166145">
          <w:marLeft w:val="0"/>
          <w:marRight w:val="0"/>
          <w:marTop w:val="0"/>
          <w:marBottom w:val="0"/>
          <w:divBdr>
            <w:top w:val="none" w:sz="0" w:space="0" w:color="auto"/>
            <w:left w:val="none" w:sz="0" w:space="0" w:color="auto"/>
            <w:bottom w:val="none" w:sz="0" w:space="0" w:color="auto"/>
            <w:right w:val="none" w:sz="0" w:space="0" w:color="auto"/>
          </w:divBdr>
          <w:divsChild>
            <w:div w:id="1707828360">
              <w:marLeft w:val="0"/>
              <w:marRight w:val="0"/>
              <w:marTop w:val="0"/>
              <w:marBottom w:val="0"/>
              <w:divBdr>
                <w:top w:val="none" w:sz="0" w:space="0" w:color="auto"/>
                <w:left w:val="none" w:sz="0" w:space="0" w:color="auto"/>
                <w:bottom w:val="none" w:sz="0" w:space="0" w:color="auto"/>
                <w:right w:val="none" w:sz="0" w:space="0" w:color="auto"/>
              </w:divBdr>
            </w:div>
          </w:divsChild>
        </w:div>
        <w:div w:id="1276250268">
          <w:marLeft w:val="0"/>
          <w:marRight w:val="0"/>
          <w:marTop w:val="0"/>
          <w:marBottom w:val="0"/>
          <w:divBdr>
            <w:top w:val="none" w:sz="0" w:space="0" w:color="auto"/>
            <w:left w:val="none" w:sz="0" w:space="0" w:color="auto"/>
            <w:bottom w:val="none" w:sz="0" w:space="0" w:color="auto"/>
            <w:right w:val="none" w:sz="0" w:space="0" w:color="auto"/>
          </w:divBdr>
          <w:divsChild>
            <w:div w:id="134030344">
              <w:marLeft w:val="0"/>
              <w:marRight w:val="0"/>
              <w:marTop w:val="0"/>
              <w:marBottom w:val="0"/>
              <w:divBdr>
                <w:top w:val="none" w:sz="0" w:space="0" w:color="auto"/>
                <w:left w:val="none" w:sz="0" w:space="0" w:color="auto"/>
                <w:bottom w:val="none" w:sz="0" w:space="0" w:color="auto"/>
                <w:right w:val="none" w:sz="0" w:space="0" w:color="auto"/>
              </w:divBdr>
            </w:div>
          </w:divsChild>
        </w:div>
        <w:div w:id="1277365665">
          <w:marLeft w:val="0"/>
          <w:marRight w:val="0"/>
          <w:marTop w:val="0"/>
          <w:marBottom w:val="0"/>
          <w:divBdr>
            <w:top w:val="none" w:sz="0" w:space="0" w:color="auto"/>
            <w:left w:val="none" w:sz="0" w:space="0" w:color="auto"/>
            <w:bottom w:val="none" w:sz="0" w:space="0" w:color="auto"/>
            <w:right w:val="none" w:sz="0" w:space="0" w:color="auto"/>
          </w:divBdr>
          <w:divsChild>
            <w:div w:id="1579634082">
              <w:marLeft w:val="0"/>
              <w:marRight w:val="0"/>
              <w:marTop w:val="0"/>
              <w:marBottom w:val="0"/>
              <w:divBdr>
                <w:top w:val="none" w:sz="0" w:space="0" w:color="auto"/>
                <w:left w:val="none" w:sz="0" w:space="0" w:color="auto"/>
                <w:bottom w:val="none" w:sz="0" w:space="0" w:color="auto"/>
                <w:right w:val="none" w:sz="0" w:space="0" w:color="auto"/>
              </w:divBdr>
            </w:div>
          </w:divsChild>
        </w:div>
        <w:div w:id="1426918315">
          <w:marLeft w:val="0"/>
          <w:marRight w:val="0"/>
          <w:marTop w:val="0"/>
          <w:marBottom w:val="0"/>
          <w:divBdr>
            <w:top w:val="none" w:sz="0" w:space="0" w:color="auto"/>
            <w:left w:val="none" w:sz="0" w:space="0" w:color="auto"/>
            <w:bottom w:val="none" w:sz="0" w:space="0" w:color="auto"/>
            <w:right w:val="none" w:sz="0" w:space="0" w:color="auto"/>
          </w:divBdr>
          <w:divsChild>
            <w:div w:id="1013455452">
              <w:marLeft w:val="0"/>
              <w:marRight w:val="0"/>
              <w:marTop w:val="0"/>
              <w:marBottom w:val="0"/>
              <w:divBdr>
                <w:top w:val="none" w:sz="0" w:space="0" w:color="auto"/>
                <w:left w:val="none" w:sz="0" w:space="0" w:color="auto"/>
                <w:bottom w:val="none" w:sz="0" w:space="0" w:color="auto"/>
                <w:right w:val="none" w:sz="0" w:space="0" w:color="auto"/>
              </w:divBdr>
            </w:div>
          </w:divsChild>
        </w:div>
        <w:div w:id="1462921194">
          <w:marLeft w:val="0"/>
          <w:marRight w:val="0"/>
          <w:marTop w:val="0"/>
          <w:marBottom w:val="0"/>
          <w:divBdr>
            <w:top w:val="none" w:sz="0" w:space="0" w:color="auto"/>
            <w:left w:val="none" w:sz="0" w:space="0" w:color="auto"/>
            <w:bottom w:val="none" w:sz="0" w:space="0" w:color="auto"/>
            <w:right w:val="none" w:sz="0" w:space="0" w:color="auto"/>
          </w:divBdr>
          <w:divsChild>
            <w:div w:id="1947153814">
              <w:marLeft w:val="0"/>
              <w:marRight w:val="0"/>
              <w:marTop w:val="0"/>
              <w:marBottom w:val="0"/>
              <w:divBdr>
                <w:top w:val="none" w:sz="0" w:space="0" w:color="auto"/>
                <w:left w:val="none" w:sz="0" w:space="0" w:color="auto"/>
                <w:bottom w:val="none" w:sz="0" w:space="0" w:color="auto"/>
                <w:right w:val="none" w:sz="0" w:space="0" w:color="auto"/>
              </w:divBdr>
            </w:div>
          </w:divsChild>
        </w:div>
        <w:div w:id="1506703552">
          <w:marLeft w:val="0"/>
          <w:marRight w:val="0"/>
          <w:marTop w:val="0"/>
          <w:marBottom w:val="0"/>
          <w:divBdr>
            <w:top w:val="none" w:sz="0" w:space="0" w:color="auto"/>
            <w:left w:val="none" w:sz="0" w:space="0" w:color="auto"/>
            <w:bottom w:val="none" w:sz="0" w:space="0" w:color="auto"/>
            <w:right w:val="none" w:sz="0" w:space="0" w:color="auto"/>
          </w:divBdr>
          <w:divsChild>
            <w:div w:id="223680055">
              <w:marLeft w:val="0"/>
              <w:marRight w:val="0"/>
              <w:marTop w:val="0"/>
              <w:marBottom w:val="0"/>
              <w:divBdr>
                <w:top w:val="none" w:sz="0" w:space="0" w:color="auto"/>
                <w:left w:val="none" w:sz="0" w:space="0" w:color="auto"/>
                <w:bottom w:val="none" w:sz="0" w:space="0" w:color="auto"/>
                <w:right w:val="none" w:sz="0" w:space="0" w:color="auto"/>
              </w:divBdr>
            </w:div>
          </w:divsChild>
        </w:div>
        <w:div w:id="1547599677">
          <w:marLeft w:val="0"/>
          <w:marRight w:val="0"/>
          <w:marTop w:val="0"/>
          <w:marBottom w:val="0"/>
          <w:divBdr>
            <w:top w:val="none" w:sz="0" w:space="0" w:color="auto"/>
            <w:left w:val="none" w:sz="0" w:space="0" w:color="auto"/>
            <w:bottom w:val="none" w:sz="0" w:space="0" w:color="auto"/>
            <w:right w:val="none" w:sz="0" w:space="0" w:color="auto"/>
          </w:divBdr>
          <w:divsChild>
            <w:div w:id="1425227809">
              <w:marLeft w:val="0"/>
              <w:marRight w:val="0"/>
              <w:marTop w:val="0"/>
              <w:marBottom w:val="0"/>
              <w:divBdr>
                <w:top w:val="none" w:sz="0" w:space="0" w:color="auto"/>
                <w:left w:val="none" w:sz="0" w:space="0" w:color="auto"/>
                <w:bottom w:val="none" w:sz="0" w:space="0" w:color="auto"/>
                <w:right w:val="none" w:sz="0" w:space="0" w:color="auto"/>
              </w:divBdr>
            </w:div>
          </w:divsChild>
        </w:div>
        <w:div w:id="1593011439">
          <w:marLeft w:val="0"/>
          <w:marRight w:val="0"/>
          <w:marTop w:val="0"/>
          <w:marBottom w:val="0"/>
          <w:divBdr>
            <w:top w:val="none" w:sz="0" w:space="0" w:color="auto"/>
            <w:left w:val="none" w:sz="0" w:space="0" w:color="auto"/>
            <w:bottom w:val="none" w:sz="0" w:space="0" w:color="auto"/>
            <w:right w:val="none" w:sz="0" w:space="0" w:color="auto"/>
          </w:divBdr>
          <w:divsChild>
            <w:div w:id="53429886">
              <w:marLeft w:val="0"/>
              <w:marRight w:val="0"/>
              <w:marTop w:val="0"/>
              <w:marBottom w:val="0"/>
              <w:divBdr>
                <w:top w:val="none" w:sz="0" w:space="0" w:color="auto"/>
                <w:left w:val="none" w:sz="0" w:space="0" w:color="auto"/>
                <w:bottom w:val="none" w:sz="0" w:space="0" w:color="auto"/>
                <w:right w:val="none" w:sz="0" w:space="0" w:color="auto"/>
              </w:divBdr>
            </w:div>
          </w:divsChild>
        </w:div>
        <w:div w:id="1614821285">
          <w:marLeft w:val="0"/>
          <w:marRight w:val="0"/>
          <w:marTop w:val="0"/>
          <w:marBottom w:val="0"/>
          <w:divBdr>
            <w:top w:val="none" w:sz="0" w:space="0" w:color="auto"/>
            <w:left w:val="none" w:sz="0" w:space="0" w:color="auto"/>
            <w:bottom w:val="none" w:sz="0" w:space="0" w:color="auto"/>
            <w:right w:val="none" w:sz="0" w:space="0" w:color="auto"/>
          </w:divBdr>
          <w:divsChild>
            <w:div w:id="665286726">
              <w:marLeft w:val="0"/>
              <w:marRight w:val="0"/>
              <w:marTop w:val="0"/>
              <w:marBottom w:val="0"/>
              <w:divBdr>
                <w:top w:val="none" w:sz="0" w:space="0" w:color="auto"/>
                <w:left w:val="none" w:sz="0" w:space="0" w:color="auto"/>
                <w:bottom w:val="none" w:sz="0" w:space="0" w:color="auto"/>
                <w:right w:val="none" w:sz="0" w:space="0" w:color="auto"/>
              </w:divBdr>
            </w:div>
            <w:div w:id="844395961">
              <w:marLeft w:val="0"/>
              <w:marRight w:val="0"/>
              <w:marTop w:val="0"/>
              <w:marBottom w:val="0"/>
              <w:divBdr>
                <w:top w:val="none" w:sz="0" w:space="0" w:color="auto"/>
                <w:left w:val="none" w:sz="0" w:space="0" w:color="auto"/>
                <w:bottom w:val="none" w:sz="0" w:space="0" w:color="auto"/>
                <w:right w:val="none" w:sz="0" w:space="0" w:color="auto"/>
              </w:divBdr>
            </w:div>
            <w:div w:id="1858813435">
              <w:marLeft w:val="0"/>
              <w:marRight w:val="0"/>
              <w:marTop w:val="0"/>
              <w:marBottom w:val="0"/>
              <w:divBdr>
                <w:top w:val="none" w:sz="0" w:space="0" w:color="auto"/>
                <w:left w:val="none" w:sz="0" w:space="0" w:color="auto"/>
                <w:bottom w:val="none" w:sz="0" w:space="0" w:color="auto"/>
                <w:right w:val="none" w:sz="0" w:space="0" w:color="auto"/>
              </w:divBdr>
            </w:div>
          </w:divsChild>
        </w:div>
        <w:div w:id="1633251723">
          <w:marLeft w:val="0"/>
          <w:marRight w:val="0"/>
          <w:marTop w:val="0"/>
          <w:marBottom w:val="0"/>
          <w:divBdr>
            <w:top w:val="none" w:sz="0" w:space="0" w:color="auto"/>
            <w:left w:val="none" w:sz="0" w:space="0" w:color="auto"/>
            <w:bottom w:val="none" w:sz="0" w:space="0" w:color="auto"/>
            <w:right w:val="none" w:sz="0" w:space="0" w:color="auto"/>
          </w:divBdr>
          <w:divsChild>
            <w:div w:id="317418072">
              <w:marLeft w:val="0"/>
              <w:marRight w:val="0"/>
              <w:marTop w:val="0"/>
              <w:marBottom w:val="0"/>
              <w:divBdr>
                <w:top w:val="none" w:sz="0" w:space="0" w:color="auto"/>
                <w:left w:val="none" w:sz="0" w:space="0" w:color="auto"/>
                <w:bottom w:val="none" w:sz="0" w:space="0" w:color="auto"/>
                <w:right w:val="none" w:sz="0" w:space="0" w:color="auto"/>
              </w:divBdr>
            </w:div>
          </w:divsChild>
        </w:div>
        <w:div w:id="1681003065">
          <w:marLeft w:val="0"/>
          <w:marRight w:val="0"/>
          <w:marTop w:val="0"/>
          <w:marBottom w:val="0"/>
          <w:divBdr>
            <w:top w:val="none" w:sz="0" w:space="0" w:color="auto"/>
            <w:left w:val="none" w:sz="0" w:space="0" w:color="auto"/>
            <w:bottom w:val="none" w:sz="0" w:space="0" w:color="auto"/>
            <w:right w:val="none" w:sz="0" w:space="0" w:color="auto"/>
          </w:divBdr>
          <w:divsChild>
            <w:div w:id="702558077">
              <w:marLeft w:val="0"/>
              <w:marRight w:val="0"/>
              <w:marTop w:val="0"/>
              <w:marBottom w:val="0"/>
              <w:divBdr>
                <w:top w:val="none" w:sz="0" w:space="0" w:color="auto"/>
                <w:left w:val="none" w:sz="0" w:space="0" w:color="auto"/>
                <w:bottom w:val="none" w:sz="0" w:space="0" w:color="auto"/>
                <w:right w:val="none" w:sz="0" w:space="0" w:color="auto"/>
              </w:divBdr>
            </w:div>
          </w:divsChild>
        </w:div>
        <w:div w:id="1692534998">
          <w:marLeft w:val="0"/>
          <w:marRight w:val="0"/>
          <w:marTop w:val="0"/>
          <w:marBottom w:val="0"/>
          <w:divBdr>
            <w:top w:val="none" w:sz="0" w:space="0" w:color="auto"/>
            <w:left w:val="none" w:sz="0" w:space="0" w:color="auto"/>
            <w:bottom w:val="none" w:sz="0" w:space="0" w:color="auto"/>
            <w:right w:val="none" w:sz="0" w:space="0" w:color="auto"/>
          </w:divBdr>
          <w:divsChild>
            <w:div w:id="63261367">
              <w:marLeft w:val="0"/>
              <w:marRight w:val="0"/>
              <w:marTop w:val="0"/>
              <w:marBottom w:val="0"/>
              <w:divBdr>
                <w:top w:val="none" w:sz="0" w:space="0" w:color="auto"/>
                <w:left w:val="none" w:sz="0" w:space="0" w:color="auto"/>
                <w:bottom w:val="none" w:sz="0" w:space="0" w:color="auto"/>
                <w:right w:val="none" w:sz="0" w:space="0" w:color="auto"/>
              </w:divBdr>
            </w:div>
          </w:divsChild>
        </w:div>
        <w:div w:id="1893925087">
          <w:marLeft w:val="0"/>
          <w:marRight w:val="0"/>
          <w:marTop w:val="0"/>
          <w:marBottom w:val="0"/>
          <w:divBdr>
            <w:top w:val="none" w:sz="0" w:space="0" w:color="auto"/>
            <w:left w:val="none" w:sz="0" w:space="0" w:color="auto"/>
            <w:bottom w:val="none" w:sz="0" w:space="0" w:color="auto"/>
            <w:right w:val="none" w:sz="0" w:space="0" w:color="auto"/>
          </w:divBdr>
          <w:divsChild>
            <w:div w:id="11153351">
              <w:marLeft w:val="0"/>
              <w:marRight w:val="0"/>
              <w:marTop w:val="0"/>
              <w:marBottom w:val="0"/>
              <w:divBdr>
                <w:top w:val="none" w:sz="0" w:space="0" w:color="auto"/>
                <w:left w:val="none" w:sz="0" w:space="0" w:color="auto"/>
                <w:bottom w:val="none" w:sz="0" w:space="0" w:color="auto"/>
                <w:right w:val="none" w:sz="0" w:space="0" w:color="auto"/>
              </w:divBdr>
            </w:div>
          </w:divsChild>
        </w:div>
        <w:div w:id="1945305811">
          <w:marLeft w:val="0"/>
          <w:marRight w:val="0"/>
          <w:marTop w:val="0"/>
          <w:marBottom w:val="0"/>
          <w:divBdr>
            <w:top w:val="none" w:sz="0" w:space="0" w:color="auto"/>
            <w:left w:val="none" w:sz="0" w:space="0" w:color="auto"/>
            <w:bottom w:val="none" w:sz="0" w:space="0" w:color="auto"/>
            <w:right w:val="none" w:sz="0" w:space="0" w:color="auto"/>
          </w:divBdr>
          <w:divsChild>
            <w:div w:id="382676825">
              <w:marLeft w:val="0"/>
              <w:marRight w:val="0"/>
              <w:marTop w:val="0"/>
              <w:marBottom w:val="0"/>
              <w:divBdr>
                <w:top w:val="none" w:sz="0" w:space="0" w:color="auto"/>
                <w:left w:val="none" w:sz="0" w:space="0" w:color="auto"/>
                <w:bottom w:val="none" w:sz="0" w:space="0" w:color="auto"/>
                <w:right w:val="none" w:sz="0" w:space="0" w:color="auto"/>
              </w:divBdr>
            </w:div>
          </w:divsChild>
        </w:div>
        <w:div w:id="1987124745">
          <w:marLeft w:val="0"/>
          <w:marRight w:val="0"/>
          <w:marTop w:val="0"/>
          <w:marBottom w:val="0"/>
          <w:divBdr>
            <w:top w:val="none" w:sz="0" w:space="0" w:color="auto"/>
            <w:left w:val="none" w:sz="0" w:space="0" w:color="auto"/>
            <w:bottom w:val="none" w:sz="0" w:space="0" w:color="auto"/>
            <w:right w:val="none" w:sz="0" w:space="0" w:color="auto"/>
          </w:divBdr>
          <w:divsChild>
            <w:div w:id="70386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2470">
      <w:bodyDiv w:val="1"/>
      <w:marLeft w:val="0"/>
      <w:marRight w:val="0"/>
      <w:marTop w:val="0"/>
      <w:marBottom w:val="0"/>
      <w:divBdr>
        <w:top w:val="none" w:sz="0" w:space="0" w:color="auto"/>
        <w:left w:val="none" w:sz="0" w:space="0" w:color="auto"/>
        <w:bottom w:val="none" w:sz="0" w:space="0" w:color="auto"/>
        <w:right w:val="none" w:sz="0" w:space="0" w:color="auto"/>
      </w:divBdr>
    </w:div>
    <w:div w:id="1352033274">
      <w:bodyDiv w:val="1"/>
      <w:marLeft w:val="0"/>
      <w:marRight w:val="0"/>
      <w:marTop w:val="0"/>
      <w:marBottom w:val="0"/>
      <w:divBdr>
        <w:top w:val="none" w:sz="0" w:space="0" w:color="auto"/>
        <w:left w:val="none" w:sz="0" w:space="0" w:color="auto"/>
        <w:bottom w:val="none" w:sz="0" w:space="0" w:color="auto"/>
        <w:right w:val="none" w:sz="0" w:space="0" w:color="auto"/>
      </w:divBdr>
      <w:divsChild>
        <w:div w:id="247858131">
          <w:marLeft w:val="0"/>
          <w:marRight w:val="0"/>
          <w:marTop w:val="0"/>
          <w:marBottom w:val="0"/>
          <w:divBdr>
            <w:top w:val="none" w:sz="0" w:space="0" w:color="auto"/>
            <w:left w:val="none" w:sz="0" w:space="0" w:color="auto"/>
            <w:bottom w:val="none" w:sz="0" w:space="0" w:color="auto"/>
            <w:right w:val="none" w:sz="0" w:space="0" w:color="auto"/>
          </w:divBdr>
          <w:divsChild>
            <w:div w:id="38849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14734">
      <w:bodyDiv w:val="1"/>
      <w:marLeft w:val="0"/>
      <w:marRight w:val="0"/>
      <w:marTop w:val="0"/>
      <w:marBottom w:val="0"/>
      <w:divBdr>
        <w:top w:val="none" w:sz="0" w:space="0" w:color="auto"/>
        <w:left w:val="none" w:sz="0" w:space="0" w:color="auto"/>
        <w:bottom w:val="none" w:sz="0" w:space="0" w:color="auto"/>
        <w:right w:val="none" w:sz="0" w:space="0" w:color="auto"/>
      </w:divBdr>
    </w:div>
    <w:div w:id="1367755293">
      <w:bodyDiv w:val="1"/>
      <w:marLeft w:val="0"/>
      <w:marRight w:val="0"/>
      <w:marTop w:val="0"/>
      <w:marBottom w:val="0"/>
      <w:divBdr>
        <w:top w:val="none" w:sz="0" w:space="0" w:color="auto"/>
        <w:left w:val="none" w:sz="0" w:space="0" w:color="auto"/>
        <w:bottom w:val="none" w:sz="0" w:space="0" w:color="auto"/>
        <w:right w:val="none" w:sz="0" w:space="0" w:color="auto"/>
      </w:divBdr>
    </w:div>
    <w:div w:id="1383210448">
      <w:bodyDiv w:val="1"/>
      <w:marLeft w:val="0"/>
      <w:marRight w:val="0"/>
      <w:marTop w:val="0"/>
      <w:marBottom w:val="0"/>
      <w:divBdr>
        <w:top w:val="none" w:sz="0" w:space="0" w:color="auto"/>
        <w:left w:val="none" w:sz="0" w:space="0" w:color="auto"/>
        <w:bottom w:val="none" w:sz="0" w:space="0" w:color="auto"/>
        <w:right w:val="none" w:sz="0" w:space="0" w:color="auto"/>
      </w:divBdr>
    </w:div>
    <w:div w:id="1408072230">
      <w:bodyDiv w:val="1"/>
      <w:marLeft w:val="0"/>
      <w:marRight w:val="0"/>
      <w:marTop w:val="0"/>
      <w:marBottom w:val="0"/>
      <w:divBdr>
        <w:top w:val="none" w:sz="0" w:space="0" w:color="auto"/>
        <w:left w:val="none" w:sz="0" w:space="0" w:color="auto"/>
        <w:bottom w:val="none" w:sz="0" w:space="0" w:color="auto"/>
        <w:right w:val="none" w:sz="0" w:space="0" w:color="auto"/>
      </w:divBdr>
    </w:div>
    <w:div w:id="1418285386">
      <w:bodyDiv w:val="1"/>
      <w:marLeft w:val="0"/>
      <w:marRight w:val="0"/>
      <w:marTop w:val="0"/>
      <w:marBottom w:val="0"/>
      <w:divBdr>
        <w:top w:val="none" w:sz="0" w:space="0" w:color="auto"/>
        <w:left w:val="none" w:sz="0" w:space="0" w:color="auto"/>
        <w:bottom w:val="none" w:sz="0" w:space="0" w:color="auto"/>
        <w:right w:val="none" w:sz="0" w:space="0" w:color="auto"/>
      </w:divBdr>
    </w:div>
    <w:div w:id="1427068246">
      <w:bodyDiv w:val="1"/>
      <w:marLeft w:val="0"/>
      <w:marRight w:val="0"/>
      <w:marTop w:val="0"/>
      <w:marBottom w:val="0"/>
      <w:divBdr>
        <w:top w:val="none" w:sz="0" w:space="0" w:color="auto"/>
        <w:left w:val="none" w:sz="0" w:space="0" w:color="auto"/>
        <w:bottom w:val="none" w:sz="0" w:space="0" w:color="auto"/>
        <w:right w:val="none" w:sz="0" w:space="0" w:color="auto"/>
      </w:divBdr>
      <w:divsChild>
        <w:div w:id="1119490570">
          <w:marLeft w:val="0"/>
          <w:marRight w:val="0"/>
          <w:marTop w:val="0"/>
          <w:marBottom w:val="0"/>
          <w:divBdr>
            <w:top w:val="none" w:sz="0" w:space="0" w:color="auto"/>
            <w:left w:val="none" w:sz="0" w:space="0" w:color="auto"/>
            <w:bottom w:val="none" w:sz="0" w:space="0" w:color="auto"/>
            <w:right w:val="none" w:sz="0" w:space="0" w:color="auto"/>
          </w:divBdr>
          <w:divsChild>
            <w:div w:id="1646349389">
              <w:marLeft w:val="0"/>
              <w:marRight w:val="0"/>
              <w:marTop w:val="0"/>
              <w:marBottom w:val="0"/>
              <w:divBdr>
                <w:top w:val="none" w:sz="0" w:space="0" w:color="auto"/>
                <w:left w:val="none" w:sz="0" w:space="0" w:color="auto"/>
                <w:bottom w:val="none" w:sz="0" w:space="0" w:color="auto"/>
                <w:right w:val="none" w:sz="0" w:space="0" w:color="auto"/>
              </w:divBdr>
              <w:divsChild>
                <w:div w:id="426728901">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1846045876">
          <w:marLeft w:val="0"/>
          <w:marRight w:val="0"/>
          <w:marTop w:val="0"/>
          <w:marBottom w:val="0"/>
          <w:divBdr>
            <w:top w:val="none" w:sz="0" w:space="0" w:color="auto"/>
            <w:left w:val="none" w:sz="0" w:space="0" w:color="auto"/>
            <w:bottom w:val="none" w:sz="0" w:space="0" w:color="auto"/>
            <w:right w:val="none" w:sz="0" w:space="0" w:color="auto"/>
          </w:divBdr>
          <w:divsChild>
            <w:div w:id="1890798036">
              <w:marLeft w:val="0"/>
              <w:marRight w:val="0"/>
              <w:marTop w:val="0"/>
              <w:marBottom w:val="0"/>
              <w:divBdr>
                <w:top w:val="none" w:sz="0" w:space="0" w:color="auto"/>
                <w:left w:val="none" w:sz="0" w:space="0" w:color="auto"/>
                <w:bottom w:val="none" w:sz="0" w:space="0" w:color="auto"/>
                <w:right w:val="none" w:sz="0" w:space="0" w:color="auto"/>
              </w:divBdr>
              <w:divsChild>
                <w:div w:id="1398700740">
                  <w:marLeft w:val="0"/>
                  <w:marRight w:val="0"/>
                  <w:marTop w:val="0"/>
                  <w:marBottom w:val="300"/>
                  <w:divBdr>
                    <w:top w:val="none" w:sz="0" w:space="0" w:color="auto"/>
                    <w:left w:val="none" w:sz="0" w:space="0" w:color="auto"/>
                    <w:bottom w:val="none" w:sz="0" w:space="0" w:color="auto"/>
                    <w:right w:val="none" w:sz="0" w:space="0" w:color="auto"/>
                  </w:divBdr>
                  <w:divsChild>
                    <w:div w:id="908199225">
                      <w:marLeft w:val="0"/>
                      <w:marRight w:val="0"/>
                      <w:marTop w:val="0"/>
                      <w:marBottom w:val="0"/>
                      <w:divBdr>
                        <w:top w:val="none" w:sz="0" w:space="0" w:color="auto"/>
                        <w:left w:val="none" w:sz="0" w:space="0" w:color="auto"/>
                        <w:bottom w:val="none" w:sz="0" w:space="0" w:color="auto"/>
                        <w:right w:val="none" w:sz="0" w:space="0" w:color="auto"/>
                      </w:divBdr>
                      <w:divsChild>
                        <w:div w:id="5384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966996">
      <w:bodyDiv w:val="1"/>
      <w:marLeft w:val="0"/>
      <w:marRight w:val="0"/>
      <w:marTop w:val="0"/>
      <w:marBottom w:val="0"/>
      <w:divBdr>
        <w:top w:val="none" w:sz="0" w:space="0" w:color="auto"/>
        <w:left w:val="none" w:sz="0" w:space="0" w:color="auto"/>
        <w:bottom w:val="none" w:sz="0" w:space="0" w:color="auto"/>
        <w:right w:val="none" w:sz="0" w:space="0" w:color="auto"/>
      </w:divBdr>
    </w:div>
    <w:div w:id="1432314033">
      <w:bodyDiv w:val="1"/>
      <w:marLeft w:val="0"/>
      <w:marRight w:val="0"/>
      <w:marTop w:val="0"/>
      <w:marBottom w:val="0"/>
      <w:divBdr>
        <w:top w:val="none" w:sz="0" w:space="0" w:color="auto"/>
        <w:left w:val="none" w:sz="0" w:space="0" w:color="auto"/>
        <w:bottom w:val="none" w:sz="0" w:space="0" w:color="auto"/>
        <w:right w:val="none" w:sz="0" w:space="0" w:color="auto"/>
      </w:divBdr>
    </w:div>
    <w:div w:id="1439059082">
      <w:bodyDiv w:val="1"/>
      <w:marLeft w:val="0"/>
      <w:marRight w:val="0"/>
      <w:marTop w:val="0"/>
      <w:marBottom w:val="0"/>
      <w:divBdr>
        <w:top w:val="none" w:sz="0" w:space="0" w:color="auto"/>
        <w:left w:val="none" w:sz="0" w:space="0" w:color="auto"/>
        <w:bottom w:val="none" w:sz="0" w:space="0" w:color="auto"/>
        <w:right w:val="none" w:sz="0" w:space="0" w:color="auto"/>
      </w:divBdr>
    </w:div>
    <w:div w:id="1440027137">
      <w:bodyDiv w:val="1"/>
      <w:marLeft w:val="0"/>
      <w:marRight w:val="0"/>
      <w:marTop w:val="0"/>
      <w:marBottom w:val="0"/>
      <w:divBdr>
        <w:top w:val="none" w:sz="0" w:space="0" w:color="auto"/>
        <w:left w:val="none" w:sz="0" w:space="0" w:color="auto"/>
        <w:bottom w:val="none" w:sz="0" w:space="0" w:color="auto"/>
        <w:right w:val="none" w:sz="0" w:space="0" w:color="auto"/>
      </w:divBdr>
    </w:div>
    <w:div w:id="1440221883">
      <w:bodyDiv w:val="1"/>
      <w:marLeft w:val="0"/>
      <w:marRight w:val="0"/>
      <w:marTop w:val="0"/>
      <w:marBottom w:val="0"/>
      <w:divBdr>
        <w:top w:val="none" w:sz="0" w:space="0" w:color="auto"/>
        <w:left w:val="none" w:sz="0" w:space="0" w:color="auto"/>
        <w:bottom w:val="none" w:sz="0" w:space="0" w:color="auto"/>
        <w:right w:val="none" w:sz="0" w:space="0" w:color="auto"/>
      </w:divBdr>
      <w:divsChild>
        <w:div w:id="482812445">
          <w:marLeft w:val="0"/>
          <w:marRight w:val="0"/>
          <w:marTop w:val="0"/>
          <w:marBottom w:val="0"/>
          <w:divBdr>
            <w:top w:val="none" w:sz="0" w:space="0" w:color="auto"/>
            <w:left w:val="none" w:sz="0" w:space="0" w:color="auto"/>
            <w:bottom w:val="none" w:sz="0" w:space="0" w:color="auto"/>
            <w:right w:val="none" w:sz="0" w:space="0" w:color="auto"/>
          </w:divBdr>
        </w:div>
        <w:div w:id="627662575">
          <w:marLeft w:val="0"/>
          <w:marRight w:val="0"/>
          <w:marTop w:val="0"/>
          <w:marBottom w:val="0"/>
          <w:divBdr>
            <w:top w:val="none" w:sz="0" w:space="0" w:color="auto"/>
            <w:left w:val="none" w:sz="0" w:space="0" w:color="auto"/>
            <w:bottom w:val="none" w:sz="0" w:space="0" w:color="auto"/>
            <w:right w:val="none" w:sz="0" w:space="0" w:color="auto"/>
          </w:divBdr>
        </w:div>
        <w:div w:id="669257830">
          <w:marLeft w:val="0"/>
          <w:marRight w:val="0"/>
          <w:marTop w:val="0"/>
          <w:marBottom w:val="0"/>
          <w:divBdr>
            <w:top w:val="none" w:sz="0" w:space="0" w:color="auto"/>
            <w:left w:val="none" w:sz="0" w:space="0" w:color="auto"/>
            <w:bottom w:val="none" w:sz="0" w:space="0" w:color="auto"/>
            <w:right w:val="none" w:sz="0" w:space="0" w:color="auto"/>
          </w:divBdr>
        </w:div>
      </w:divsChild>
    </w:div>
    <w:div w:id="1441294490">
      <w:bodyDiv w:val="1"/>
      <w:marLeft w:val="0"/>
      <w:marRight w:val="0"/>
      <w:marTop w:val="0"/>
      <w:marBottom w:val="0"/>
      <w:divBdr>
        <w:top w:val="none" w:sz="0" w:space="0" w:color="auto"/>
        <w:left w:val="none" w:sz="0" w:space="0" w:color="auto"/>
        <w:bottom w:val="none" w:sz="0" w:space="0" w:color="auto"/>
        <w:right w:val="none" w:sz="0" w:space="0" w:color="auto"/>
      </w:divBdr>
      <w:divsChild>
        <w:div w:id="350689660">
          <w:marLeft w:val="0"/>
          <w:marRight w:val="0"/>
          <w:marTop w:val="0"/>
          <w:marBottom w:val="0"/>
          <w:divBdr>
            <w:top w:val="none" w:sz="0" w:space="0" w:color="auto"/>
            <w:left w:val="none" w:sz="0" w:space="0" w:color="auto"/>
            <w:bottom w:val="none" w:sz="0" w:space="0" w:color="auto"/>
            <w:right w:val="none" w:sz="0" w:space="0" w:color="auto"/>
          </w:divBdr>
        </w:div>
        <w:div w:id="670370322">
          <w:marLeft w:val="0"/>
          <w:marRight w:val="0"/>
          <w:marTop w:val="0"/>
          <w:marBottom w:val="0"/>
          <w:divBdr>
            <w:top w:val="none" w:sz="0" w:space="0" w:color="auto"/>
            <w:left w:val="none" w:sz="0" w:space="0" w:color="auto"/>
            <w:bottom w:val="none" w:sz="0" w:space="0" w:color="auto"/>
            <w:right w:val="none" w:sz="0" w:space="0" w:color="auto"/>
          </w:divBdr>
        </w:div>
        <w:div w:id="830683329">
          <w:marLeft w:val="0"/>
          <w:marRight w:val="0"/>
          <w:marTop w:val="0"/>
          <w:marBottom w:val="0"/>
          <w:divBdr>
            <w:top w:val="none" w:sz="0" w:space="0" w:color="auto"/>
            <w:left w:val="none" w:sz="0" w:space="0" w:color="auto"/>
            <w:bottom w:val="none" w:sz="0" w:space="0" w:color="auto"/>
            <w:right w:val="none" w:sz="0" w:space="0" w:color="auto"/>
          </w:divBdr>
        </w:div>
        <w:div w:id="1372613687">
          <w:marLeft w:val="0"/>
          <w:marRight w:val="0"/>
          <w:marTop w:val="0"/>
          <w:marBottom w:val="0"/>
          <w:divBdr>
            <w:top w:val="none" w:sz="0" w:space="0" w:color="auto"/>
            <w:left w:val="none" w:sz="0" w:space="0" w:color="auto"/>
            <w:bottom w:val="none" w:sz="0" w:space="0" w:color="auto"/>
            <w:right w:val="none" w:sz="0" w:space="0" w:color="auto"/>
          </w:divBdr>
        </w:div>
        <w:div w:id="1521359674">
          <w:marLeft w:val="0"/>
          <w:marRight w:val="0"/>
          <w:marTop w:val="0"/>
          <w:marBottom w:val="0"/>
          <w:divBdr>
            <w:top w:val="none" w:sz="0" w:space="0" w:color="auto"/>
            <w:left w:val="none" w:sz="0" w:space="0" w:color="auto"/>
            <w:bottom w:val="none" w:sz="0" w:space="0" w:color="auto"/>
            <w:right w:val="none" w:sz="0" w:space="0" w:color="auto"/>
          </w:divBdr>
        </w:div>
      </w:divsChild>
    </w:div>
    <w:div w:id="1443498758">
      <w:bodyDiv w:val="1"/>
      <w:marLeft w:val="0"/>
      <w:marRight w:val="0"/>
      <w:marTop w:val="0"/>
      <w:marBottom w:val="0"/>
      <w:divBdr>
        <w:top w:val="none" w:sz="0" w:space="0" w:color="auto"/>
        <w:left w:val="none" w:sz="0" w:space="0" w:color="auto"/>
        <w:bottom w:val="none" w:sz="0" w:space="0" w:color="auto"/>
        <w:right w:val="none" w:sz="0" w:space="0" w:color="auto"/>
      </w:divBdr>
    </w:div>
    <w:div w:id="1467116901">
      <w:bodyDiv w:val="1"/>
      <w:marLeft w:val="0"/>
      <w:marRight w:val="0"/>
      <w:marTop w:val="0"/>
      <w:marBottom w:val="0"/>
      <w:divBdr>
        <w:top w:val="none" w:sz="0" w:space="0" w:color="auto"/>
        <w:left w:val="none" w:sz="0" w:space="0" w:color="auto"/>
        <w:bottom w:val="none" w:sz="0" w:space="0" w:color="auto"/>
        <w:right w:val="none" w:sz="0" w:space="0" w:color="auto"/>
      </w:divBdr>
    </w:div>
    <w:div w:id="1469788343">
      <w:bodyDiv w:val="1"/>
      <w:marLeft w:val="0"/>
      <w:marRight w:val="0"/>
      <w:marTop w:val="0"/>
      <w:marBottom w:val="0"/>
      <w:divBdr>
        <w:top w:val="none" w:sz="0" w:space="0" w:color="auto"/>
        <w:left w:val="none" w:sz="0" w:space="0" w:color="auto"/>
        <w:bottom w:val="none" w:sz="0" w:space="0" w:color="auto"/>
        <w:right w:val="none" w:sz="0" w:space="0" w:color="auto"/>
      </w:divBdr>
      <w:divsChild>
        <w:div w:id="2122915257">
          <w:marLeft w:val="0"/>
          <w:marRight w:val="0"/>
          <w:marTop w:val="0"/>
          <w:marBottom w:val="0"/>
          <w:divBdr>
            <w:top w:val="none" w:sz="0" w:space="0" w:color="auto"/>
            <w:left w:val="none" w:sz="0" w:space="0" w:color="auto"/>
            <w:bottom w:val="none" w:sz="0" w:space="0" w:color="auto"/>
            <w:right w:val="none" w:sz="0" w:space="0" w:color="auto"/>
          </w:divBdr>
          <w:divsChild>
            <w:div w:id="1952317990">
              <w:marLeft w:val="0"/>
              <w:marRight w:val="0"/>
              <w:marTop w:val="0"/>
              <w:marBottom w:val="0"/>
              <w:divBdr>
                <w:top w:val="none" w:sz="0" w:space="0" w:color="auto"/>
                <w:left w:val="none" w:sz="0" w:space="0" w:color="auto"/>
                <w:bottom w:val="none" w:sz="0" w:space="0" w:color="auto"/>
                <w:right w:val="none" w:sz="0" w:space="0" w:color="auto"/>
              </w:divBdr>
              <w:divsChild>
                <w:div w:id="424739066">
                  <w:marLeft w:val="0"/>
                  <w:marRight w:val="0"/>
                  <w:marTop w:val="0"/>
                  <w:marBottom w:val="0"/>
                  <w:divBdr>
                    <w:top w:val="none" w:sz="0" w:space="0" w:color="auto"/>
                    <w:left w:val="none" w:sz="0" w:space="0" w:color="auto"/>
                    <w:bottom w:val="none" w:sz="0" w:space="0" w:color="auto"/>
                    <w:right w:val="none" w:sz="0" w:space="0" w:color="auto"/>
                  </w:divBdr>
                  <w:divsChild>
                    <w:div w:id="1350452803">
                      <w:marLeft w:val="0"/>
                      <w:marRight w:val="0"/>
                      <w:marTop w:val="0"/>
                      <w:marBottom w:val="0"/>
                      <w:divBdr>
                        <w:top w:val="none" w:sz="0" w:space="0" w:color="auto"/>
                        <w:left w:val="none" w:sz="0" w:space="0" w:color="auto"/>
                        <w:bottom w:val="none" w:sz="0" w:space="0" w:color="auto"/>
                        <w:right w:val="none" w:sz="0" w:space="0" w:color="auto"/>
                      </w:divBdr>
                      <w:divsChild>
                        <w:div w:id="1999843814">
                          <w:marLeft w:val="0"/>
                          <w:marRight w:val="0"/>
                          <w:marTop w:val="0"/>
                          <w:marBottom w:val="0"/>
                          <w:divBdr>
                            <w:top w:val="none" w:sz="0" w:space="0" w:color="auto"/>
                            <w:left w:val="none" w:sz="0" w:space="0" w:color="auto"/>
                            <w:bottom w:val="none" w:sz="0" w:space="0" w:color="auto"/>
                            <w:right w:val="none" w:sz="0" w:space="0" w:color="auto"/>
                          </w:divBdr>
                          <w:divsChild>
                            <w:div w:id="78816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243808">
      <w:bodyDiv w:val="1"/>
      <w:marLeft w:val="0"/>
      <w:marRight w:val="0"/>
      <w:marTop w:val="0"/>
      <w:marBottom w:val="0"/>
      <w:divBdr>
        <w:top w:val="none" w:sz="0" w:space="0" w:color="auto"/>
        <w:left w:val="none" w:sz="0" w:space="0" w:color="auto"/>
        <w:bottom w:val="none" w:sz="0" w:space="0" w:color="auto"/>
        <w:right w:val="none" w:sz="0" w:space="0" w:color="auto"/>
      </w:divBdr>
    </w:div>
    <w:div w:id="1470709777">
      <w:bodyDiv w:val="1"/>
      <w:marLeft w:val="0"/>
      <w:marRight w:val="0"/>
      <w:marTop w:val="0"/>
      <w:marBottom w:val="0"/>
      <w:divBdr>
        <w:top w:val="none" w:sz="0" w:space="0" w:color="auto"/>
        <w:left w:val="none" w:sz="0" w:space="0" w:color="auto"/>
        <w:bottom w:val="none" w:sz="0" w:space="0" w:color="auto"/>
        <w:right w:val="none" w:sz="0" w:space="0" w:color="auto"/>
      </w:divBdr>
      <w:divsChild>
        <w:div w:id="500852525">
          <w:marLeft w:val="0"/>
          <w:marRight w:val="0"/>
          <w:marTop w:val="0"/>
          <w:marBottom w:val="0"/>
          <w:divBdr>
            <w:top w:val="none" w:sz="0" w:space="0" w:color="auto"/>
            <w:left w:val="none" w:sz="0" w:space="0" w:color="auto"/>
            <w:bottom w:val="none" w:sz="0" w:space="0" w:color="auto"/>
            <w:right w:val="none" w:sz="0" w:space="0" w:color="auto"/>
          </w:divBdr>
          <w:divsChild>
            <w:div w:id="363210622">
              <w:marLeft w:val="0"/>
              <w:marRight w:val="0"/>
              <w:marTop w:val="0"/>
              <w:marBottom w:val="0"/>
              <w:divBdr>
                <w:top w:val="none" w:sz="0" w:space="0" w:color="auto"/>
                <w:left w:val="none" w:sz="0" w:space="0" w:color="auto"/>
                <w:bottom w:val="none" w:sz="0" w:space="0" w:color="auto"/>
                <w:right w:val="none" w:sz="0" w:space="0" w:color="auto"/>
              </w:divBdr>
              <w:divsChild>
                <w:div w:id="1713650212">
                  <w:marLeft w:val="0"/>
                  <w:marRight w:val="0"/>
                  <w:marTop w:val="0"/>
                  <w:marBottom w:val="0"/>
                  <w:divBdr>
                    <w:top w:val="none" w:sz="0" w:space="0" w:color="auto"/>
                    <w:left w:val="none" w:sz="0" w:space="0" w:color="auto"/>
                    <w:bottom w:val="none" w:sz="0" w:space="0" w:color="auto"/>
                    <w:right w:val="none" w:sz="0" w:space="0" w:color="auto"/>
                  </w:divBdr>
                  <w:divsChild>
                    <w:div w:id="950019080">
                      <w:marLeft w:val="0"/>
                      <w:marRight w:val="0"/>
                      <w:marTop w:val="0"/>
                      <w:marBottom w:val="0"/>
                      <w:divBdr>
                        <w:top w:val="none" w:sz="0" w:space="0" w:color="auto"/>
                        <w:left w:val="none" w:sz="0" w:space="0" w:color="auto"/>
                        <w:bottom w:val="none" w:sz="0" w:space="0" w:color="auto"/>
                        <w:right w:val="none" w:sz="0" w:space="0" w:color="auto"/>
                      </w:divBdr>
                      <w:divsChild>
                        <w:div w:id="1479684074">
                          <w:marLeft w:val="0"/>
                          <w:marRight w:val="0"/>
                          <w:marTop w:val="0"/>
                          <w:marBottom w:val="0"/>
                          <w:divBdr>
                            <w:top w:val="none" w:sz="0" w:space="0" w:color="auto"/>
                            <w:left w:val="none" w:sz="0" w:space="0" w:color="auto"/>
                            <w:bottom w:val="none" w:sz="0" w:space="0" w:color="auto"/>
                            <w:right w:val="none" w:sz="0" w:space="0" w:color="auto"/>
                          </w:divBdr>
                          <w:divsChild>
                            <w:div w:id="136664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482722">
      <w:bodyDiv w:val="1"/>
      <w:marLeft w:val="0"/>
      <w:marRight w:val="0"/>
      <w:marTop w:val="0"/>
      <w:marBottom w:val="0"/>
      <w:divBdr>
        <w:top w:val="none" w:sz="0" w:space="0" w:color="auto"/>
        <w:left w:val="none" w:sz="0" w:space="0" w:color="auto"/>
        <w:bottom w:val="none" w:sz="0" w:space="0" w:color="auto"/>
        <w:right w:val="none" w:sz="0" w:space="0" w:color="auto"/>
      </w:divBdr>
      <w:divsChild>
        <w:div w:id="89398004">
          <w:marLeft w:val="0"/>
          <w:marRight w:val="0"/>
          <w:marTop w:val="0"/>
          <w:marBottom w:val="0"/>
          <w:divBdr>
            <w:top w:val="none" w:sz="0" w:space="0" w:color="auto"/>
            <w:left w:val="none" w:sz="0" w:space="0" w:color="auto"/>
            <w:bottom w:val="none" w:sz="0" w:space="0" w:color="auto"/>
            <w:right w:val="none" w:sz="0" w:space="0" w:color="auto"/>
          </w:divBdr>
          <w:divsChild>
            <w:div w:id="1144197198">
              <w:marLeft w:val="0"/>
              <w:marRight w:val="0"/>
              <w:marTop w:val="0"/>
              <w:marBottom w:val="0"/>
              <w:divBdr>
                <w:top w:val="none" w:sz="0" w:space="0" w:color="auto"/>
                <w:left w:val="none" w:sz="0" w:space="0" w:color="auto"/>
                <w:bottom w:val="none" w:sz="0" w:space="0" w:color="auto"/>
                <w:right w:val="none" w:sz="0" w:space="0" w:color="auto"/>
              </w:divBdr>
            </w:div>
          </w:divsChild>
        </w:div>
        <w:div w:id="115491781">
          <w:marLeft w:val="0"/>
          <w:marRight w:val="0"/>
          <w:marTop w:val="0"/>
          <w:marBottom w:val="0"/>
          <w:divBdr>
            <w:top w:val="none" w:sz="0" w:space="0" w:color="auto"/>
            <w:left w:val="none" w:sz="0" w:space="0" w:color="auto"/>
            <w:bottom w:val="none" w:sz="0" w:space="0" w:color="auto"/>
            <w:right w:val="none" w:sz="0" w:space="0" w:color="auto"/>
          </w:divBdr>
          <w:divsChild>
            <w:div w:id="1825507535">
              <w:marLeft w:val="0"/>
              <w:marRight w:val="0"/>
              <w:marTop w:val="0"/>
              <w:marBottom w:val="0"/>
              <w:divBdr>
                <w:top w:val="none" w:sz="0" w:space="0" w:color="auto"/>
                <w:left w:val="none" w:sz="0" w:space="0" w:color="auto"/>
                <w:bottom w:val="none" w:sz="0" w:space="0" w:color="auto"/>
                <w:right w:val="none" w:sz="0" w:space="0" w:color="auto"/>
              </w:divBdr>
            </w:div>
          </w:divsChild>
        </w:div>
        <w:div w:id="152993771">
          <w:marLeft w:val="0"/>
          <w:marRight w:val="0"/>
          <w:marTop w:val="0"/>
          <w:marBottom w:val="0"/>
          <w:divBdr>
            <w:top w:val="none" w:sz="0" w:space="0" w:color="auto"/>
            <w:left w:val="none" w:sz="0" w:space="0" w:color="auto"/>
            <w:bottom w:val="none" w:sz="0" w:space="0" w:color="auto"/>
            <w:right w:val="none" w:sz="0" w:space="0" w:color="auto"/>
          </w:divBdr>
          <w:divsChild>
            <w:div w:id="454907069">
              <w:marLeft w:val="0"/>
              <w:marRight w:val="0"/>
              <w:marTop w:val="0"/>
              <w:marBottom w:val="0"/>
              <w:divBdr>
                <w:top w:val="none" w:sz="0" w:space="0" w:color="auto"/>
                <w:left w:val="none" w:sz="0" w:space="0" w:color="auto"/>
                <w:bottom w:val="none" w:sz="0" w:space="0" w:color="auto"/>
                <w:right w:val="none" w:sz="0" w:space="0" w:color="auto"/>
              </w:divBdr>
            </w:div>
          </w:divsChild>
        </w:div>
        <w:div w:id="177357835">
          <w:marLeft w:val="0"/>
          <w:marRight w:val="0"/>
          <w:marTop w:val="0"/>
          <w:marBottom w:val="0"/>
          <w:divBdr>
            <w:top w:val="none" w:sz="0" w:space="0" w:color="auto"/>
            <w:left w:val="none" w:sz="0" w:space="0" w:color="auto"/>
            <w:bottom w:val="none" w:sz="0" w:space="0" w:color="auto"/>
            <w:right w:val="none" w:sz="0" w:space="0" w:color="auto"/>
          </w:divBdr>
          <w:divsChild>
            <w:div w:id="308294543">
              <w:marLeft w:val="0"/>
              <w:marRight w:val="0"/>
              <w:marTop w:val="0"/>
              <w:marBottom w:val="0"/>
              <w:divBdr>
                <w:top w:val="none" w:sz="0" w:space="0" w:color="auto"/>
                <w:left w:val="none" w:sz="0" w:space="0" w:color="auto"/>
                <w:bottom w:val="none" w:sz="0" w:space="0" w:color="auto"/>
                <w:right w:val="none" w:sz="0" w:space="0" w:color="auto"/>
              </w:divBdr>
            </w:div>
          </w:divsChild>
        </w:div>
        <w:div w:id="183641676">
          <w:marLeft w:val="0"/>
          <w:marRight w:val="0"/>
          <w:marTop w:val="0"/>
          <w:marBottom w:val="0"/>
          <w:divBdr>
            <w:top w:val="none" w:sz="0" w:space="0" w:color="auto"/>
            <w:left w:val="none" w:sz="0" w:space="0" w:color="auto"/>
            <w:bottom w:val="none" w:sz="0" w:space="0" w:color="auto"/>
            <w:right w:val="none" w:sz="0" w:space="0" w:color="auto"/>
          </w:divBdr>
          <w:divsChild>
            <w:div w:id="392772619">
              <w:marLeft w:val="0"/>
              <w:marRight w:val="0"/>
              <w:marTop w:val="0"/>
              <w:marBottom w:val="0"/>
              <w:divBdr>
                <w:top w:val="none" w:sz="0" w:space="0" w:color="auto"/>
                <w:left w:val="none" w:sz="0" w:space="0" w:color="auto"/>
                <w:bottom w:val="none" w:sz="0" w:space="0" w:color="auto"/>
                <w:right w:val="none" w:sz="0" w:space="0" w:color="auto"/>
              </w:divBdr>
            </w:div>
          </w:divsChild>
        </w:div>
        <w:div w:id="195124603">
          <w:marLeft w:val="0"/>
          <w:marRight w:val="0"/>
          <w:marTop w:val="0"/>
          <w:marBottom w:val="0"/>
          <w:divBdr>
            <w:top w:val="none" w:sz="0" w:space="0" w:color="auto"/>
            <w:left w:val="none" w:sz="0" w:space="0" w:color="auto"/>
            <w:bottom w:val="none" w:sz="0" w:space="0" w:color="auto"/>
            <w:right w:val="none" w:sz="0" w:space="0" w:color="auto"/>
          </w:divBdr>
          <w:divsChild>
            <w:div w:id="937828114">
              <w:marLeft w:val="0"/>
              <w:marRight w:val="0"/>
              <w:marTop w:val="0"/>
              <w:marBottom w:val="0"/>
              <w:divBdr>
                <w:top w:val="none" w:sz="0" w:space="0" w:color="auto"/>
                <w:left w:val="none" w:sz="0" w:space="0" w:color="auto"/>
                <w:bottom w:val="none" w:sz="0" w:space="0" w:color="auto"/>
                <w:right w:val="none" w:sz="0" w:space="0" w:color="auto"/>
              </w:divBdr>
            </w:div>
          </w:divsChild>
        </w:div>
        <w:div w:id="278728657">
          <w:marLeft w:val="0"/>
          <w:marRight w:val="0"/>
          <w:marTop w:val="0"/>
          <w:marBottom w:val="0"/>
          <w:divBdr>
            <w:top w:val="none" w:sz="0" w:space="0" w:color="auto"/>
            <w:left w:val="none" w:sz="0" w:space="0" w:color="auto"/>
            <w:bottom w:val="none" w:sz="0" w:space="0" w:color="auto"/>
            <w:right w:val="none" w:sz="0" w:space="0" w:color="auto"/>
          </w:divBdr>
          <w:divsChild>
            <w:div w:id="87970462">
              <w:marLeft w:val="0"/>
              <w:marRight w:val="0"/>
              <w:marTop w:val="0"/>
              <w:marBottom w:val="0"/>
              <w:divBdr>
                <w:top w:val="none" w:sz="0" w:space="0" w:color="auto"/>
                <w:left w:val="none" w:sz="0" w:space="0" w:color="auto"/>
                <w:bottom w:val="none" w:sz="0" w:space="0" w:color="auto"/>
                <w:right w:val="none" w:sz="0" w:space="0" w:color="auto"/>
              </w:divBdr>
            </w:div>
          </w:divsChild>
        </w:div>
        <w:div w:id="307979616">
          <w:marLeft w:val="0"/>
          <w:marRight w:val="0"/>
          <w:marTop w:val="0"/>
          <w:marBottom w:val="0"/>
          <w:divBdr>
            <w:top w:val="none" w:sz="0" w:space="0" w:color="auto"/>
            <w:left w:val="none" w:sz="0" w:space="0" w:color="auto"/>
            <w:bottom w:val="none" w:sz="0" w:space="0" w:color="auto"/>
            <w:right w:val="none" w:sz="0" w:space="0" w:color="auto"/>
          </w:divBdr>
          <w:divsChild>
            <w:div w:id="135606653">
              <w:marLeft w:val="0"/>
              <w:marRight w:val="0"/>
              <w:marTop w:val="0"/>
              <w:marBottom w:val="0"/>
              <w:divBdr>
                <w:top w:val="none" w:sz="0" w:space="0" w:color="auto"/>
                <w:left w:val="none" w:sz="0" w:space="0" w:color="auto"/>
                <w:bottom w:val="none" w:sz="0" w:space="0" w:color="auto"/>
                <w:right w:val="none" w:sz="0" w:space="0" w:color="auto"/>
              </w:divBdr>
            </w:div>
          </w:divsChild>
        </w:div>
        <w:div w:id="417098616">
          <w:marLeft w:val="0"/>
          <w:marRight w:val="0"/>
          <w:marTop w:val="0"/>
          <w:marBottom w:val="0"/>
          <w:divBdr>
            <w:top w:val="none" w:sz="0" w:space="0" w:color="auto"/>
            <w:left w:val="none" w:sz="0" w:space="0" w:color="auto"/>
            <w:bottom w:val="none" w:sz="0" w:space="0" w:color="auto"/>
            <w:right w:val="none" w:sz="0" w:space="0" w:color="auto"/>
          </w:divBdr>
          <w:divsChild>
            <w:div w:id="1073114917">
              <w:marLeft w:val="0"/>
              <w:marRight w:val="0"/>
              <w:marTop w:val="0"/>
              <w:marBottom w:val="0"/>
              <w:divBdr>
                <w:top w:val="none" w:sz="0" w:space="0" w:color="auto"/>
                <w:left w:val="none" w:sz="0" w:space="0" w:color="auto"/>
                <w:bottom w:val="none" w:sz="0" w:space="0" w:color="auto"/>
                <w:right w:val="none" w:sz="0" w:space="0" w:color="auto"/>
              </w:divBdr>
            </w:div>
            <w:div w:id="1247106001">
              <w:marLeft w:val="0"/>
              <w:marRight w:val="0"/>
              <w:marTop w:val="0"/>
              <w:marBottom w:val="0"/>
              <w:divBdr>
                <w:top w:val="none" w:sz="0" w:space="0" w:color="auto"/>
                <w:left w:val="none" w:sz="0" w:space="0" w:color="auto"/>
                <w:bottom w:val="none" w:sz="0" w:space="0" w:color="auto"/>
                <w:right w:val="none" w:sz="0" w:space="0" w:color="auto"/>
              </w:divBdr>
            </w:div>
            <w:div w:id="2052339044">
              <w:marLeft w:val="0"/>
              <w:marRight w:val="0"/>
              <w:marTop w:val="0"/>
              <w:marBottom w:val="0"/>
              <w:divBdr>
                <w:top w:val="none" w:sz="0" w:space="0" w:color="auto"/>
                <w:left w:val="none" w:sz="0" w:space="0" w:color="auto"/>
                <w:bottom w:val="none" w:sz="0" w:space="0" w:color="auto"/>
                <w:right w:val="none" w:sz="0" w:space="0" w:color="auto"/>
              </w:divBdr>
            </w:div>
          </w:divsChild>
        </w:div>
        <w:div w:id="482426517">
          <w:marLeft w:val="0"/>
          <w:marRight w:val="0"/>
          <w:marTop w:val="0"/>
          <w:marBottom w:val="0"/>
          <w:divBdr>
            <w:top w:val="none" w:sz="0" w:space="0" w:color="auto"/>
            <w:left w:val="none" w:sz="0" w:space="0" w:color="auto"/>
            <w:bottom w:val="none" w:sz="0" w:space="0" w:color="auto"/>
            <w:right w:val="none" w:sz="0" w:space="0" w:color="auto"/>
          </w:divBdr>
          <w:divsChild>
            <w:div w:id="1483353509">
              <w:marLeft w:val="0"/>
              <w:marRight w:val="0"/>
              <w:marTop w:val="0"/>
              <w:marBottom w:val="0"/>
              <w:divBdr>
                <w:top w:val="none" w:sz="0" w:space="0" w:color="auto"/>
                <w:left w:val="none" w:sz="0" w:space="0" w:color="auto"/>
                <w:bottom w:val="none" w:sz="0" w:space="0" w:color="auto"/>
                <w:right w:val="none" w:sz="0" w:space="0" w:color="auto"/>
              </w:divBdr>
            </w:div>
          </w:divsChild>
        </w:div>
        <w:div w:id="565533194">
          <w:marLeft w:val="0"/>
          <w:marRight w:val="0"/>
          <w:marTop w:val="0"/>
          <w:marBottom w:val="0"/>
          <w:divBdr>
            <w:top w:val="none" w:sz="0" w:space="0" w:color="auto"/>
            <w:left w:val="none" w:sz="0" w:space="0" w:color="auto"/>
            <w:bottom w:val="none" w:sz="0" w:space="0" w:color="auto"/>
            <w:right w:val="none" w:sz="0" w:space="0" w:color="auto"/>
          </w:divBdr>
          <w:divsChild>
            <w:div w:id="320424472">
              <w:marLeft w:val="0"/>
              <w:marRight w:val="0"/>
              <w:marTop w:val="0"/>
              <w:marBottom w:val="0"/>
              <w:divBdr>
                <w:top w:val="none" w:sz="0" w:space="0" w:color="auto"/>
                <w:left w:val="none" w:sz="0" w:space="0" w:color="auto"/>
                <w:bottom w:val="none" w:sz="0" w:space="0" w:color="auto"/>
                <w:right w:val="none" w:sz="0" w:space="0" w:color="auto"/>
              </w:divBdr>
            </w:div>
          </w:divsChild>
        </w:div>
        <w:div w:id="657267608">
          <w:marLeft w:val="0"/>
          <w:marRight w:val="0"/>
          <w:marTop w:val="0"/>
          <w:marBottom w:val="0"/>
          <w:divBdr>
            <w:top w:val="none" w:sz="0" w:space="0" w:color="auto"/>
            <w:left w:val="none" w:sz="0" w:space="0" w:color="auto"/>
            <w:bottom w:val="none" w:sz="0" w:space="0" w:color="auto"/>
            <w:right w:val="none" w:sz="0" w:space="0" w:color="auto"/>
          </w:divBdr>
          <w:divsChild>
            <w:div w:id="1298681566">
              <w:marLeft w:val="0"/>
              <w:marRight w:val="0"/>
              <w:marTop w:val="0"/>
              <w:marBottom w:val="0"/>
              <w:divBdr>
                <w:top w:val="none" w:sz="0" w:space="0" w:color="auto"/>
                <w:left w:val="none" w:sz="0" w:space="0" w:color="auto"/>
                <w:bottom w:val="none" w:sz="0" w:space="0" w:color="auto"/>
                <w:right w:val="none" w:sz="0" w:space="0" w:color="auto"/>
              </w:divBdr>
            </w:div>
          </w:divsChild>
        </w:div>
        <w:div w:id="683868959">
          <w:marLeft w:val="0"/>
          <w:marRight w:val="0"/>
          <w:marTop w:val="0"/>
          <w:marBottom w:val="0"/>
          <w:divBdr>
            <w:top w:val="none" w:sz="0" w:space="0" w:color="auto"/>
            <w:left w:val="none" w:sz="0" w:space="0" w:color="auto"/>
            <w:bottom w:val="none" w:sz="0" w:space="0" w:color="auto"/>
            <w:right w:val="none" w:sz="0" w:space="0" w:color="auto"/>
          </w:divBdr>
          <w:divsChild>
            <w:div w:id="1946812457">
              <w:marLeft w:val="0"/>
              <w:marRight w:val="0"/>
              <w:marTop w:val="0"/>
              <w:marBottom w:val="0"/>
              <w:divBdr>
                <w:top w:val="none" w:sz="0" w:space="0" w:color="auto"/>
                <w:left w:val="none" w:sz="0" w:space="0" w:color="auto"/>
                <w:bottom w:val="none" w:sz="0" w:space="0" w:color="auto"/>
                <w:right w:val="none" w:sz="0" w:space="0" w:color="auto"/>
              </w:divBdr>
            </w:div>
          </w:divsChild>
        </w:div>
        <w:div w:id="687415145">
          <w:marLeft w:val="0"/>
          <w:marRight w:val="0"/>
          <w:marTop w:val="0"/>
          <w:marBottom w:val="0"/>
          <w:divBdr>
            <w:top w:val="none" w:sz="0" w:space="0" w:color="auto"/>
            <w:left w:val="none" w:sz="0" w:space="0" w:color="auto"/>
            <w:bottom w:val="none" w:sz="0" w:space="0" w:color="auto"/>
            <w:right w:val="none" w:sz="0" w:space="0" w:color="auto"/>
          </w:divBdr>
          <w:divsChild>
            <w:div w:id="791096447">
              <w:marLeft w:val="0"/>
              <w:marRight w:val="0"/>
              <w:marTop w:val="0"/>
              <w:marBottom w:val="0"/>
              <w:divBdr>
                <w:top w:val="none" w:sz="0" w:space="0" w:color="auto"/>
                <w:left w:val="none" w:sz="0" w:space="0" w:color="auto"/>
                <w:bottom w:val="none" w:sz="0" w:space="0" w:color="auto"/>
                <w:right w:val="none" w:sz="0" w:space="0" w:color="auto"/>
              </w:divBdr>
            </w:div>
          </w:divsChild>
        </w:div>
        <w:div w:id="700934464">
          <w:marLeft w:val="0"/>
          <w:marRight w:val="0"/>
          <w:marTop w:val="0"/>
          <w:marBottom w:val="0"/>
          <w:divBdr>
            <w:top w:val="none" w:sz="0" w:space="0" w:color="auto"/>
            <w:left w:val="none" w:sz="0" w:space="0" w:color="auto"/>
            <w:bottom w:val="none" w:sz="0" w:space="0" w:color="auto"/>
            <w:right w:val="none" w:sz="0" w:space="0" w:color="auto"/>
          </w:divBdr>
          <w:divsChild>
            <w:div w:id="1566644493">
              <w:marLeft w:val="0"/>
              <w:marRight w:val="0"/>
              <w:marTop w:val="0"/>
              <w:marBottom w:val="0"/>
              <w:divBdr>
                <w:top w:val="none" w:sz="0" w:space="0" w:color="auto"/>
                <w:left w:val="none" w:sz="0" w:space="0" w:color="auto"/>
                <w:bottom w:val="none" w:sz="0" w:space="0" w:color="auto"/>
                <w:right w:val="none" w:sz="0" w:space="0" w:color="auto"/>
              </w:divBdr>
            </w:div>
          </w:divsChild>
        </w:div>
        <w:div w:id="804350685">
          <w:marLeft w:val="0"/>
          <w:marRight w:val="0"/>
          <w:marTop w:val="0"/>
          <w:marBottom w:val="0"/>
          <w:divBdr>
            <w:top w:val="none" w:sz="0" w:space="0" w:color="auto"/>
            <w:left w:val="none" w:sz="0" w:space="0" w:color="auto"/>
            <w:bottom w:val="none" w:sz="0" w:space="0" w:color="auto"/>
            <w:right w:val="none" w:sz="0" w:space="0" w:color="auto"/>
          </w:divBdr>
          <w:divsChild>
            <w:div w:id="562302371">
              <w:marLeft w:val="0"/>
              <w:marRight w:val="0"/>
              <w:marTop w:val="0"/>
              <w:marBottom w:val="0"/>
              <w:divBdr>
                <w:top w:val="none" w:sz="0" w:space="0" w:color="auto"/>
                <w:left w:val="none" w:sz="0" w:space="0" w:color="auto"/>
                <w:bottom w:val="none" w:sz="0" w:space="0" w:color="auto"/>
                <w:right w:val="none" w:sz="0" w:space="0" w:color="auto"/>
              </w:divBdr>
            </w:div>
          </w:divsChild>
        </w:div>
        <w:div w:id="819271131">
          <w:marLeft w:val="0"/>
          <w:marRight w:val="0"/>
          <w:marTop w:val="0"/>
          <w:marBottom w:val="0"/>
          <w:divBdr>
            <w:top w:val="none" w:sz="0" w:space="0" w:color="auto"/>
            <w:left w:val="none" w:sz="0" w:space="0" w:color="auto"/>
            <w:bottom w:val="none" w:sz="0" w:space="0" w:color="auto"/>
            <w:right w:val="none" w:sz="0" w:space="0" w:color="auto"/>
          </w:divBdr>
          <w:divsChild>
            <w:div w:id="1710448624">
              <w:marLeft w:val="0"/>
              <w:marRight w:val="0"/>
              <w:marTop w:val="0"/>
              <w:marBottom w:val="0"/>
              <w:divBdr>
                <w:top w:val="none" w:sz="0" w:space="0" w:color="auto"/>
                <w:left w:val="none" w:sz="0" w:space="0" w:color="auto"/>
                <w:bottom w:val="none" w:sz="0" w:space="0" w:color="auto"/>
                <w:right w:val="none" w:sz="0" w:space="0" w:color="auto"/>
              </w:divBdr>
            </w:div>
          </w:divsChild>
        </w:div>
        <w:div w:id="827671640">
          <w:marLeft w:val="0"/>
          <w:marRight w:val="0"/>
          <w:marTop w:val="0"/>
          <w:marBottom w:val="0"/>
          <w:divBdr>
            <w:top w:val="none" w:sz="0" w:space="0" w:color="auto"/>
            <w:left w:val="none" w:sz="0" w:space="0" w:color="auto"/>
            <w:bottom w:val="none" w:sz="0" w:space="0" w:color="auto"/>
            <w:right w:val="none" w:sz="0" w:space="0" w:color="auto"/>
          </w:divBdr>
          <w:divsChild>
            <w:div w:id="421488667">
              <w:marLeft w:val="0"/>
              <w:marRight w:val="0"/>
              <w:marTop w:val="0"/>
              <w:marBottom w:val="0"/>
              <w:divBdr>
                <w:top w:val="none" w:sz="0" w:space="0" w:color="auto"/>
                <w:left w:val="none" w:sz="0" w:space="0" w:color="auto"/>
                <w:bottom w:val="none" w:sz="0" w:space="0" w:color="auto"/>
                <w:right w:val="none" w:sz="0" w:space="0" w:color="auto"/>
              </w:divBdr>
            </w:div>
            <w:div w:id="1242835595">
              <w:marLeft w:val="0"/>
              <w:marRight w:val="0"/>
              <w:marTop w:val="0"/>
              <w:marBottom w:val="0"/>
              <w:divBdr>
                <w:top w:val="none" w:sz="0" w:space="0" w:color="auto"/>
                <w:left w:val="none" w:sz="0" w:space="0" w:color="auto"/>
                <w:bottom w:val="none" w:sz="0" w:space="0" w:color="auto"/>
                <w:right w:val="none" w:sz="0" w:space="0" w:color="auto"/>
              </w:divBdr>
            </w:div>
            <w:div w:id="1840534736">
              <w:marLeft w:val="0"/>
              <w:marRight w:val="0"/>
              <w:marTop w:val="0"/>
              <w:marBottom w:val="0"/>
              <w:divBdr>
                <w:top w:val="none" w:sz="0" w:space="0" w:color="auto"/>
                <w:left w:val="none" w:sz="0" w:space="0" w:color="auto"/>
                <w:bottom w:val="none" w:sz="0" w:space="0" w:color="auto"/>
                <w:right w:val="none" w:sz="0" w:space="0" w:color="auto"/>
              </w:divBdr>
            </w:div>
          </w:divsChild>
        </w:div>
        <w:div w:id="839660958">
          <w:marLeft w:val="0"/>
          <w:marRight w:val="0"/>
          <w:marTop w:val="0"/>
          <w:marBottom w:val="0"/>
          <w:divBdr>
            <w:top w:val="none" w:sz="0" w:space="0" w:color="auto"/>
            <w:left w:val="none" w:sz="0" w:space="0" w:color="auto"/>
            <w:bottom w:val="none" w:sz="0" w:space="0" w:color="auto"/>
            <w:right w:val="none" w:sz="0" w:space="0" w:color="auto"/>
          </w:divBdr>
          <w:divsChild>
            <w:div w:id="1025181244">
              <w:marLeft w:val="0"/>
              <w:marRight w:val="0"/>
              <w:marTop w:val="0"/>
              <w:marBottom w:val="0"/>
              <w:divBdr>
                <w:top w:val="none" w:sz="0" w:space="0" w:color="auto"/>
                <w:left w:val="none" w:sz="0" w:space="0" w:color="auto"/>
                <w:bottom w:val="none" w:sz="0" w:space="0" w:color="auto"/>
                <w:right w:val="none" w:sz="0" w:space="0" w:color="auto"/>
              </w:divBdr>
            </w:div>
          </w:divsChild>
        </w:div>
        <w:div w:id="879169299">
          <w:marLeft w:val="0"/>
          <w:marRight w:val="0"/>
          <w:marTop w:val="0"/>
          <w:marBottom w:val="0"/>
          <w:divBdr>
            <w:top w:val="none" w:sz="0" w:space="0" w:color="auto"/>
            <w:left w:val="none" w:sz="0" w:space="0" w:color="auto"/>
            <w:bottom w:val="none" w:sz="0" w:space="0" w:color="auto"/>
            <w:right w:val="none" w:sz="0" w:space="0" w:color="auto"/>
          </w:divBdr>
          <w:divsChild>
            <w:div w:id="1056857363">
              <w:marLeft w:val="0"/>
              <w:marRight w:val="0"/>
              <w:marTop w:val="0"/>
              <w:marBottom w:val="0"/>
              <w:divBdr>
                <w:top w:val="none" w:sz="0" w:space="0" w:color="auto"/>
                <w:left w:val="none" w:sz="0" w:space="0" w:color="auto"/>
                <w:bottom w:val="none" w:sz="0" w:space="0" w:color="auto"/>
                <w:right w:val="none" w:sz="0" w:space="0" w:color="auto"/>
              </w:divBdr>
            </w:div>
          </w:divsChild>
        </w:div>
        <w:div w:id="880048073">
          <w:marLeft w:val="0"/>
          <w:marRight w:val="0"/>
          <w:marTop w:val="0"/>
          <w:marBottom w:val="0"/>
          <w:divBdr>
            <w:top w:val="none" w:sz="0" w:space="0" w:color="auto"/>
            <w:left w:val="none" w:sz="0" w:space="0" w:color="auto"/>
            <w:bottom w:val="none" w:sz="0" w:space="0" w:color="auto"/>
            <w:right w:val="none" w:sz="0" w:space="0" w:color="auto"/>
          </w:divBdr>
          <w:divsChild>
            <w:div w:id="904725943">
              <w:marLeft w:val="0"/>
              <w:marRight w:val="0"/>
              <w:marTop w:val="0"/>
              <w:marBottom w:val="0"/>
              <w:divBdr>
                <w:top w:val="none" w:sz="0" w:space="0" w:color="auto"/>
                <w:left w:val="none" w:sz="0" w:space="0" w:color="auto"/>
                <w:bottom w:val="none" w:sz="0" w:space="0" w:color="auto"/>
                <w:right w:val="none" w:sz="0" w:space="0" w:color="auto"/>
              </w:divBdr>
            </w:div>
            <w:div w:id="1344699246">
              <w:marLeft w:val="0"/>
              <w:marRight w:val="0"/>
              <w:marTop w:val="0"/>
              <w:marBottom w:val="0"/>
              <w:divBdr>
                <w:top w:val="none" w:sz="0" w:space="0" w:color="auto"/>
                <w:left w:val="none" w:sz="0" w:space="0" w:color="auto"/>
                <w:bottom w:val="none" w:sz="0" w:space="0" w:color="auto"/>
                <w:right w:val="none" w:sz="0" w:space="0" w:color="auto"/>
              </w:divBdr>
            </w:div>
            <w:div w:id="1476290143">
              <w:marLeft w:val="0"/>
              <w:marRight w:val="0"/>
              <w:marTop w:val="0"/>
              <w:marBottom w:val="0"/>
              <w:divBdr>
                <w:top w:val="none" w:sz="0" w:space="0" w:color="auto"/>
                <w:left w:val="none" w:sz="0" w:space="0" w:color="auto"/>
                <w:bottom w:val="none" w:sz="0" w:space="0" w:color="auto"/>
                <w:right w:val="none" w:sz="0" w:space="0" w:color="auto"/>
              </w:divBdr>
            </w:div>
            <w:div w:id="1512258603">
              <w:marLeft w:val="0"/>
              <w:marRight w:val="0"/>
              <w:marTop w:val="0"/>
              <w:marBottom w:val="0"/>
              <w:divBdr>
                <w:top w:val="none" w:sz="0" w:space="0" w:color="auto"/>
                <w:left w:val="none" w:sz="0" w:space="0" w:color="auto"/>
                <w:bottom w:val="none" w:sz="0" w:space="0" w:color="auto"/>
                <w:right w:val="none" w:sz="0" w:space="0" w:color="auto"/>
              </w:divBdr>
            </w:div>
            <w:div w:id="1780637510">
              <w:marLeft w:val="0"/>
              <w:marRight w:val="0"/>
              <w:marTop w:val="0"/>
              <w:marBottom w:val="0"/>
              <w:divBdr>
                <w:top w:val="none" w:sz="0" w:space="0" w:color="auto"/>
                <w:left w:val="none" w:sz="0" w:space="0" w:color="auto"/>
                <w:bottom w:val="none" w:sz="0" w:space="0" w:color="auto"/>
                <w:right w:val="none" w:sz="0" w:space="0" w:color="auto"/>
              </w:divBdr>
            </w:div>
          </w:divsChild>
        </w:div>
        <w:div w:id="902107141">
          <w:marLeft w:val="0"/>
          <w:marRight w:val="0"/>
          <w:marTop w:val="0"/>
          <w:marBottom w:val="0"/>
          <w:divBdr>
            <w:top w:val="none" w:sz="0" w:space="0" w:color="auto"/>
            <w:left w:val="none" w:sz="0" w:space="0" w:color="auto"/>
            <w:bottom w:val="none" w:sz="0" w:space="0" w:color="auto"/>
            <w:right w:val="none" w:sz="0" w:space="0" w:color="auto"/>
          </w:divBdr>
          <w:divsChild>
            <w:div w:id="1652322834">
              <w:marLeft w:val="0"/>
              <w:marRight w:val="0"/>
              <w:marTop w:val="0"/>
              <w:marBottom w:val="0"/>
              <w:divBdr>
                <w:top w:val="none" w:sz="0" w:space="0" w:color="auto"/>
                <w:left w:val="none" w:sz="0" w:space="0" w:color="auto"/>
                <w:bottom w:val="none" w:sz="0" w:space="0" w:color="auto"/>
                <w:right w:val="none" w:sz="0" w:space="0" w:color="auto"/>
              </w:divBdr>
            </w:div>
          </w:divsChild>
        </w:div>
        <w:div w:id="948661906">
          <w:marLeft w:val="0"/>
          <w:marRight w:val="0"/>
          <w:marTop w:val="0"/>
          <w:marBottom w:val="0"/>
          <w:divBdr>
            <w:top w:val="none" w:sz="0" w:space="0" w:color="auto"/>
            <w:left w:val="none" w:sz="0" w:space="0" w:color="auto"/>
            <w:bottom w:val="none" w:sz="0" w:space="0" w:color="auto"/>
            <w:right w:val="none" w:sz="0" w:space="0" w:color="auto"/>
          </w:divBdr>
          <w:divsChild>
            <w:div w:id="436952409">
              <w:marLeft w:val="0"/>
              <w:marRight w:val="0"/>
              <w:marTop w:val="0"/>
              <w:marBottom w:val="0"/>
              <w:divBdr>
                <w:top w:val="none" w:sz="0" w:space="0" w:color="auto"/>
                <w:left w:val="none" w:sz="0" w:space="0" w:color="auto"/>
                <w:bottom w:val="none" w:sz="0" w:space="0" w:color="auto"/>
                <w:right w:val="none" w:sz="0" w:space="0" w:color="auto"/>
              </w:divBdr>
            </w:div>
          </w:divsChild>
        </w:div>
        <w:div w:id="950088536">
          <w:marLeft w:val="0"/>
          <w:marRight w:val="0"/>
          <w:marTop w:val="0"/>
          <w:marBottom w:val="0"/>
          <w:divBdr>
            <w:top w:val="none" w:sz="0" w:space="0" w:color="auto"/>
            <w:left w:val="none" w:sz="0" w:space="0" w:color="auto"/>
            <w:bottom w:val="none" w:sz="0" w:space="0" w:color="auto"/>
            <w:right w:val="none" w:sz="0" w:space="0" w:color="auto"/>
          </w:divBdr>
          <w:divsChild>
            <w:div w:id="210653798">
              <w:marLeft w:val="0"/>
              <w:marRight w:val="0"/>
              <w:marTop w:val="0"/>
              <w:marBottom w:val="0"/>
              <w:divBdr>
                <w:top w:val="none" w:sz="0" w:space="0" w:color="auto"/>
                <w:left w:val="none" w:sz="0" w:space="0" w:color="auto"/>
                <w:bottom w:val="none" w:sz="0" w:space="0" w:color="auto"/>
                <w:right w:val="none" w:sz="0" w:space="0" w:color="auto"/>
              </w:divBdr>
            </w:div>
          </w:divsChild>
        </w:div>
        <w:div w:id="986086501">
          <w:marLeft w:val="0"/>
          <w:marRight w:val="0"/>
          <w:marTop w:val="0"/>
          <w:marBottom w:val="0"/>
          <w:divBdr>
            <w:top w:val="none" w:sz="0" w:space="0" w:color="auto"/>
            <w:left w:val="none" w:sz="0" w:space="0" w:color="auto"/>
            <w:bottom w:val="none" w:sz="0" w:space="0" w:color="auto"/>
            <w:right w:val="none" w:sz="0" w:space="0" w:color="auto"/>
          </w:divBdr>
          <w:divsChild>
            <w:div w:id="1689866224">
              <w:marLeft w:val="0"/>
              <w:marRight w:val="0"/>
              <w:marTop w:val="0"/>
              <w:marBottom w:val="0"/>
              <w:divBdr>
                <w:top w:val="none" w:sz="0" w:space="0" w:color="auto"/>
                <w:left w:val="none" w:sz="0" w:space="0" w:color="auto"/>
                <w:bottom w:val="none" w:sz="0" w:space="0" w:color="auto"/>
                <w:right w:val="none" w:sz="0" w:space="0" w:color="auto"/>
              </w:divBdr>
            </w:div>
          </w:divsChild>
        </w:div>
        <w:div w:id="1088380220">
          <w:marLeft w:val="0"/>
          <w:marRight w:val="0"/>
          <w:marTop w:val="0"/>
          <w:marBottom w:val="0"/>
          <w:divBdr>
            <w:top w:val="none" w:sz="0" w:space="0" w:color="auto"/>
            <w:left w:val="none" w:sz="0" w:space="0" w:color="auto"/>
            <w:bottom w:val="none" w:sz="0" w:space="0" w:color="auto"/>
            <w:right w:val="none" w:sz="0" w:space="0" w:color="auto"/>
          </w:divBdr>
          <w:divsChild>
            <w:div w:id="2048721001">
              <w:marLeft w:val="0"/>
              <w:marRight w:val="0"/>
              <w:marTop w:val="0"/>
              <w:marBottom w:val="0"/>
              <w:divBdr>
                <w:top w:val="none" w:sz="0" w:space="0" w:color="auto"/>
                <w:left w:val="none" w:sz="0" w:space="0" w:color="auto"/>
                <w:bottom w:val="none" w:sz="0" w:space="0" w:color="auto"/>
                <w:right w:val="none" w:sz="0" w:space="0" w:color="auto"/>
              </w:divBdr>
            </w:div>
          </w:divsChild>
        </w:div>
        <w:div w:id="1257860459">
          <w:marLeft w:val="0"/>
          <w:marRight w:val="0"/>
          <w:marTop w:val="0"/>
          <w:marBottom w:val="0"/>
          <w:divBdr>
            <w:top w:val="none" w:sz="0" w:space="0" w:color="auto"/>
            <w:left w:val="none" w:sz="0" w:space="0" w:color="auto"/>
            <w:bottom w:val="none" w:sz="0" w:space="0" w:color="auto"/>
            <w:right w:val="none" w:sz="0" w:space="0" w:color="auto"/>
          </w:divBdr>
          <w:divsChild>
            <w:div w:id="1292514289">
              <w:marLeft w:val="0"/>
              <w:marRight w:val="0"/>
              <w:marTop w:val="0"/>
              <w:marBottom w:val="0"/>
              <w:divBdr>
                <w:top w:val="none" w:sz="0" w:space="0" w:color="auto"/>
                <w:left w:val="none" w:sz="0" w:space="0" w:color="auto"/>
                <w:bottom w:val="none" w:sz="0" w:space="0" w:color="auto"/>
                <w:right w:val="none" w:sz="0" w:space="0" w:color="auto"/>
              </w:divBdr>
            </w:div>
          </w:divsChild>
        </w:div>
        <w:div w:id="1347709228">
          <w:marLeft w:val="0"/>
          <w:marRight w:val="0"/>
          <w:marTop w:val="0"/>
          <w:marBottom w:val="0"/>
          <w:divBdr>
            <w:top w:val="none" w:sz="0" w:space="0" w:color="auto"/>
            <w:left w:val="none" w:sz="0" w:space="0" w:color="auto"/>
            <w:bottom w:val="none" w:sz="0" w:space="0" w:color="auto"/>
            <w:right w:val="none" w:sz="0" w:space="0" w:color="auto"/>
          </w:divBdr>
          <w:divsChild>
            <w:div w:id="89356991">
              <w:marLeft w:val="0"/>
              <w:marRight w:val="0"/>
              <w:marTop w:val="0"/>
              <w:marBottom w:val="0"/>
              <w:divBdr>
                <w:top w:val="none" w:sz="0" w:space="0" w:color="auto"/>
                <w:left w:val="none" w:sz="0" w:space="0" w:color="auto"/>
                <w:bottom w:val="none" w:sz="0" w:space="0" w:color="auto"/>
                <w:right w:val="none" w:sz="0" w:space="0" w:color="auto"/>
              </w:divBdr>
            </w:div>
            <w:div w:id="258679371">
              <w:marLeft w:val="0"/>
              <w:marRight w:val="0"/>
              <w:marTop w:val="0"/>
              <w:marBottom w:val="0"/>
              <w:divBdr>
                <w:top w:val="none" w:sz="0" w:space="0" w:color="auto"/>
                <w:left w:val="none" w:sz="0" w:space="0" w:color="auto"/>
                <w:bottom w:val="none" w:sz="0" w:space="0" w:color="auto"/>
                <w:right w:val="none" w:sz="0" w:space="0" w:color="auto"/>
              </w:divBdr>
            </w:div>
            <w:div w:id="629630555">
              <w:marLeft w:val="0"/>
              <w:marRight w:val="0"/>
              <w:marTop w:val="0"/>
              <w:marBottom w:val="0"/>
              <w:divBdr>
                <w:top w:val="none" w:sz="0" w:space="0" w:color="auto"/>
                <w:left w:val="none" w:sz="0" w:space="0" w:color="auto"/>
                <w:bottom w:val="none" w:sz="0" w:space="0" w:color="auto"/>
                <w:right w:val="none" w:sz="0" w:space="0" w:color="auto"/>
              </w:divBdr>
            </w:div>
            <w:div w:id="1799295314">
              <w:marLeft w:val="0"/>
              <w:marRight w:val="0"/>
              <w:marTop w:val="0"/>
              <w:marBottom w:val="0"/>
              <w:divBdr>
                <w:top w:val="none" w:sz="0" w:space="0" w:color="auto"/>
                <w:left w:val="none" w:sz="0" w:space="0" w:color="auto"/>
                <w:bottom w:val="none" w:sz="0" w:space="0" w:color="auto"/>
                <w:right w:val="none" w:sz="0" w:space="0" w:color="auto"/>
              </w:divBdr>
            </w:div>
          </w:divsChild>
        </w:div>
        <w:div w:id="1384325571">
          <w:marLeft w:val="0"/>
          <w:marRight w:val="0"/>
          <w:marTop w:val="0"/>
          <w:marBottom w:val="0"/>
          <w:divBdr>
            <w:top w:val="none" w:sz="0" w:space="0" w:color="auto"/>
            <w:left w:val="none" w:sz="0" w:space="0" w:color="auto"/>
            <w:bottom w:val="none" w:sz="0" w:space="0" w:color="auto"/>
            <w:right w:val="none" w:sz="0" w:space="0" w:color="auto"/>
          </w:divBdr>
          <w:divsChild>
            <w:div w:id="1038581084">
              <w:marLeft w:val="0"/>
              <w:marRight w:val="0"/>
              <w:marTop w:val="0"/>
              <w:marBottom w:val="0"/>
              <w:divBdr>
                <w:top w:val="none" w:sz="0" w:space="0" w:color="auto"/>
                <w:left w:val="none" w:sz="0" w:space="0" w:color="auto"/>
                <w:bottom w:val="none" w:sz="0" w:space="0" w:color="auto"/>
                <w:right w:val="none" w:sz="0" w:space="0" w:color="auto"/>
              </w:divBdr>
            </w:div>
          </w:divsChild>
        </w:div>
        <w:div w:id="1386487880">
          <w:marLeft w:val="0"/>
          <w:marRight w:val="0"/>
          <w:marTop w:val="0"/>
          <w:marBottom w:val="0"/>
          <w:divBdr>
            <w:top w:val="none" w:sz="0" w:space="0" w:color="auto"/>
            <w:left w:val="none" w:sz="0" w:space="0" w:color="auto"/>
            <w:bottom w:val="none" w:sz="0" w:space="0" w:color="auto"/>
            <w:right w:val="none" w:sz="0" w:space="0" w:color="auto"/>
          </w:divBdr>
          <w:divsChild>
            <w:div w:id="2069069728">
              <w:marLeft w:val="0"/>
              <w:marRight w:val="0"/>
              <w:marTop w:val="0"/>
              <w:marBottom w:val="0"/>
              <w:divBdr>
                <w:top w:val="none" w:sz="0" w:space="0" w:color="auto"/>
                <w:left w:val="none" w:sz="0" w:space="0" w:color="auto"/>
                <w:bottom w:val="none" w:sz="0" w:space="0" w:color="auto"/>
                <w:right w:val="none" w:sz="0" w:space="0" w:color="auto"/>
              </w:divBdr>
            </w:div>
          </w:divsChild>
        </w:div>
        <w:div w:id="1444112415">
          <w:marLeft w:val="0"/>
          <w:marRight w:val="0"/>
          <w:marTop w:val="0"/>
          <w:marBottom w:val="0"/>
          <w:divBdr>
            <w:top w:val="none" w:sz="0" w:space="0" w:color="auto"/>
            <w:left w:val="none" w:sz="0" w:space="0" w:color="auto"/>
            <w:bottom w:val="none" w:sz="0" w:space="0" w:color="auto"/>
            <w:right w:val="none" w:sz="0" w:space="0" w:color="auto"/>
          </w:divBdr>
          <w:divsChild>
            <w:div w:id="1865290519">
              <w:marLeft w:val="0"/>
              <w:marRight w:val="0"/>
              <w:marTop w:val="0"/>
              <w:marBottom w:val="0"/>
              <w:divBdr>
                <w:top w:val="none" w:sz="0" w:space="0" w:color="auto"/>
                <w:left w:val="none" w:sz="0" w:space="0" w:color="auto"/>
                <w:bottom w:val="none" w:sz="0" w:space="0" w:color="auto"/>
                <w:right w:val="none" w:sz="0" w:space="0" w:color="auto"/>
              </w:divBdr>
            </w:div>
          </w:divsChild>
        </w:div>
        <w:div w:id="1532763244">
          <w:marLeft w:val="0"/>
          <w:marRight w:val="0"/>
          <w:marTop w:val="0"/>
          <w:marBottom w:val="0"/>
          <w:divBdr>
            <w:top w:val="none" w:sz="0" w:space="0" w:color="auto"/>
            <w:left w:val="none" w:sz="0" w:space="0" w:color="auto"/>
            <w:bottom w:val="none" w:sz="0" w:space="0" w:color="auto"/>
            <w:right w:val="none" w:sz="0" w:space="0" w:color="auto"/>
          </w:divBdr>
          <w:divsChild>
            <w:div w:id="576981577">
              <w:marLeft w:val="0"/>
              <w:marRight w:val="0"/>
              <w:marTop w:val="0"/>
              <w:marBottom w:val="0"/>
              <w:divBdr>
                <w:top w:val="none" w:sz="0" w:space="0" w:color="auto"/>
                <w:left w:val="none" w:sz="0" w:space="0" w:color="auto"/>
                <w:bottom w:val="none" w:sz="0" w:space="0" w:color="auto"/>
                <w:right w:val="none" w:sz="0" w:space="0" w:color="auto"/>
              </w:divBdr>
            </w:div>
            <w:div w:id="731120853">
              <w:marLeft w:val="0"/>
              <w:marRight w:val="0"/>
              <w:marTop w:val="0"/>
              <w:marBottom w:val="0"/>
              <w:divBdr>
                <w:top w:val="none" w:sz="0" w:space="0" w:color="auto"/>
                <w:left w:val="none" w:sz="0" w:space="0" w:color="auto"/>
                <w:bottom w:val="none" w:sz="0" w:space="0" w:color="auto"/>
                <w:right w:val="none" w:sz="0" w:space="0" w:color="auto"/>
              </w:divBdr>
            </w:div>
            <w:div w:id="1710914898">
              <w:marLeft w:val="0"/>
              <w:marRight w:val="0"/>
              <w:marTop w:val="0"/>
              <w:marBottom w:val="0"/>
              <w:divBdr>
                <w:top w:val="none" w:sz="0" w:space="0" w:color="auto"/>
                <w:left w:val="none" w:sz="0" w:space="0" w:color="auto"/>
                <w:bottom w:val="none" w:sz="0" w:space="0" w:color="auto"/>
                <w:right w:val="none" w:sz="0" w:space="0" w:color="auto"/>
              </w:divBdr>
            </w:div>
            <w:div w:id="1857383649">
              <w:marLeft w:val="0"/>
              <w:marRight w:val="0"/>
              <w:marTop w:val="0"/>
              <w:marBottom w:val="0"/>
              <w:divBdr>
                <w:top w:val="none" w:sz="0" w:space="0" w:color="auto"/>
                <w:left w:val="none" w:sz="0" w:space="0" w:color="auto"/>
                <w:bottom w:val="none" w:sz="0" w:space="0" w:color="auto"/>
                <w:right w:val="none" w:sz="0" w:space="0" w:color="auto"/>
              </w:divBdr>
            </w:div>
          </w:divsChild>
        </w:div>
        <w:div w:id="1616401398">
          <w:marLeft w:val="0"/>
          <w:marRight w:val="0"/>
          <w:marTop w:val="0"/>
          <w:marBottom w:val="0"/>
          <w:divBdr>
            <w:top w:val="none" w:sz="0" w:space="0" w:color="auto"/>
            <w:left w:val="none" w:sz="0" w:space="0" w:color="auto"/>
            <w:bottom w:val="none" w:sz="0" w:space="0" w:color="auto"/>
            <w:right w:val="none" w:sz="0" w:space="0" w:color="auto"/>
          </w:divBdr>
          <w:divsChild>
            <w:div w:id="1226793606">
              <w:marLeft w:val="0"/>
              <w:marRight w:val="0"/>
              <w:marTop w:val="0"/>
              <w:marBottom w:val="0"/>
              <w:divBdr>
                <w:top w:val="none" w:sz="0" w:space="0" w:color="auto"/>
                <w:left w:val="none" w:sz="0" w:space="0" w:color="auto"/>
                <w:bottom w:val="none" w:sz="0" w:space="0" w:color="auto"/>
                <w:right w:val="none" w:sz="0" w:space="0" w:color="auto"/>
              </w:divBdr>
            </w:div>
          </w:divsChild>
        </w:div>
        <w:div w:id="1667902056">
          <w:marLeft w:val="0"/>
          <w:marRight w:val="0"/>
          <w:marTop w:val="0"/>
          <w:marBottom w:val="0"/>
          <w:divBdr>
            <w:top w:val="none" w:sz="0" w:space="0" w:color="auto"/>
            <w:left w:val="none" w:sz="0" w:space="0" w:color="auto"/>
            <w:bottom w:val="none" w:sz="0" w:space="0" w:color="auto"/>
            <w:right w:val="none" w:sz="0" w:space="0" w:color="auto"/>
          </w:divBdr>
          <w:divsChild>
            <w:div w:id="202601506">
              <w:marLeft w:val="0"/>
              <w:marRight w:val="0"/>
              <w:marTop w:val="0"/>
              <w:marBottom w:val="0"/>
              <w:divBdr>
                <w:top w:val="none" w:sz="0" w:space="0" w:color="auto"/>
                <w:left w:val="none" w:sz="0" w:space="0" w:color="auto"/>
                <w:bottom w:val="none" w:sz="0" w:space="0" w:color="auto"/>
                <w:right w:val="none" w:sz="0" w:space="0" w:color="auto"/>
              </w:divBdr>
            </w:div>
          </w:divsChild>
        </w:div>
        <w:div w:id="1673289271">
          <w:marLeft w:val="0"/>
          <w:marRight w:val="0"/>
          <w:marTop w:val="0"/>
          <w:marBottom w:val="0"/>
          <w:divBdr>
            <w:top w:val="none" w:sz="0" w:space="0" w:color="auto"/>
            <w:left w:val="none" w:sz="0" w:space="0" w:color="auto"/>
            <w:bottom w:val="none" w:sz="0" w:space="0" w:color="auto"/>
            <w:right w:val="none" w:sz="0" w:space="0" w:color="auto"/>
          </w:divBdr>
          <w:divsChild>
            <w:div w:id="583875307">
              <w:marLeft w:val="0"/>
              <w:marRight w:val="0"/>
              <w:marTop w:val="0"/>
              <w:marBottom w:val="0"/>
              <w:divBdr>
                <w:top w:val="none" w:sz="0" w:space="0" w:color="auto"/>
                <w:left w:val="none" w:sz="0" w:space="0" w:color="auto"/>
                <w:bottom w:val="none" w:sz="0" w:space="0" w:color="auto"/>
                <w:right w:val="none" w:sz="0" w:space="0" w:color="auto"/>
              </w:divBdr>
            </w:div>
          </w:divsChild>
        </w:div>
        <w:div w:id="1730347127">
          <w:marLeft w:val="0"/>
          <w:marRight w:val="0"/>
          <w:marTop w:val="0"/>
          <w:marBottom w:val="0"/>
          <w:divBdr>
            <w:top w:val="none" w:sz="0" w:space="0" w:color="auto"/>
            <w:left w:val="none" w:sz="0" w:space="0" w:color="auto"/>
            <w:bottom w:val="none" w:sz="0" w:space="0" w:color="auto"/>
            <w:right w:val="none" w:sz="0" w:space="0" w:color="auto"/>
          </w:divBdr>
          <w:divsChild>
            <w:div w:id="770660387">
              <w:marLeft w:val="0"/>
              <w:marRight w:val="0"/>
              <w:marTop w:val="0"/>
              <w:marBottom w:val="0"/>
              <w:divBdr>
                <w:top w:val="none" w:sz="0" w:space="0" w:color="auto"/>
                <w:left w:val="none" w:sz="0" w:space="0" w:color="auto"/>
                <w:bottom w:val="none" w:sz="0" w:space="0" w:color="auto"/>
                <w:right w:val="none" w:sz="0" w:space="0" w:color="auto"/>
              </w:divBdr>
            </w:div>
            <w:div w:id="1159151302">
              <w:marLeft w:val="0"/>
              <w:marRight w:val="0"/>
              <w:marTop w:val="0"/>
              <w:marBottom w:val="0"/>
              <w:divBdr>
                <w:top w:val="none" w:sz="0" w:space="0" w:color="auto"/>
                <w:left w:val="none" w:sz="0" w:space="0" w:color="auto"/>
                <w:bottom w:val="none" w:sz="0" w:space="0" w:color="auto"/>
                <w:right w:val="none" w:sz="0" w:space="0" w:color="auto"/>
              </w:divBdr>
            </w:div>
            <w:div w:id="1439061257">
              <w:marLeft w:val="0"/>
              <w:marRight w:val="0"/>
              <w:marTop w:val="0"/>
              <w:marBottom w:val="0"/>
              <w:divBdr>
                <w:top w:val="none" w:sz="0" w:space="0" w:color="auto"/>
                <w:left w:val="none" w:sz="0" w:space="0" w:color="auto"/>
                <w:bottom w:val="none" w:sz="0" w:space="0" w:color="auto"/>
                <w:right w:val="none" w:sz="0" w:space="0" w:color="auto"/>
              </w:divBdr>
            </w:div>
            <w:div w:id="1451850773">
              <w:marLeft w:val="0"/>
              <w:marRight w:val="0"/>
              <w:marTop w:val="0"/>
              <w:marBottom w:val="0"/>
              <w:divBdr>
                <w:top w:val="none" w:sz="0" w:space="0" w:color="auto"/>
                <w:left w:val="none" w:sz="0" w:space="0" w:color="auto"/>
                <w:bottom w:val="none" w:sz="0" w:space="0" w:color="auto"/>
                <w:right w:val="none" w:sz="0" w:space="0" w:color="auto"/>
              </w:divBdr>
            </w:div>
            <w:div w:id="1834564640">
              <w:marLeft w:val="0"/>
              <w:marRight w:val="0"/>
              <w:marTop w:val="0"/>
              <w:marBottom w:val="0"/>
              <w:divBdr>
                <w:top w:val="none" w:sz="0" w:space="0" w:color="auto"/>
                <w:left w:val="none" w:sz="0" w:space="0" w:color="auto"/>
                <w:bottom w:val="none" w:sz="0" w:space="0" w:color="auto"/>
                <w:right w:val="none" w:sz="0" w:space="0" w:color="auto"/>
              </w:divBdr>
            </w:div>
          </w:divsChild>
        </w:div>
        <w:div w:id="1746031176">
          <w:marLeft w:val="0"/>
          <w:marRight w:val="0"/>
          <w:marTop w:val="0"/>
          <w:marBottom w:val="0"/>
          <w:divBdr>
            <w:top w:val="none" w:sz="0" w:space="0" w:color="auto"/>
            <w:left w:val="none" w:sz="0" w:space="0" w:color="auto"/>
            <w:bottom w:val="none" w:sz="0" w:space="0" w:color="auto"/>
            <w:right w:val="none" w:sz="0" w:space="0" w:color="auto"/>
          </w:divBdr>
          <w:divsChild>
            <w:div w:id="597250944">
              <w:marLeft w:val="0"/>
              <w:marRight w:val="0"/>
              <w:marTop w:val="0"/>
              <w:marBottom w:val="0"/>
              <w:divBdr>
                <w:top w:val="none" w:sz="0" w:space="0" w:color="auto"/>
                <w:left w:val="none" w:sz="0" w:space="0" w:color="auto"/>
                <w:bottom w:val="none" w:sz="0" w:space="0" w:color="auto"/>
                <w:right w:val="none" w:sz="0" w:space="0" w:color="auto"/>
              </w:divBdr>
            </w:div>
          </w:divsChild>
        </w:div>
        <w:div w:id="1761170761">
          <w:marLeft w:val="0"/>
          <w:marRight w:val="0"/>
          <w:marTop w:val="0"/>
          <w:marBottom w:val="0"/>
          <w:divBdr>
            <w:top w:val="none" w:sz="0" w:space="0" w:color="auto"/>
            <w:left w:val="none" w:sz="0" w:space="0" w:color="auto"/>
            <w:bottom w:val="none" w:sz="0" w:space="0" w:color="auto"/>
            <w:right w:val="none" w:sz="0" w:space="0" w:color="auto"/>
          </w:divBdr>
          <w:divsChild>
            <w:div w:id="34696289">
              <w:marLeft w:val="0"/>
              <w:marRight w:val="0"/>
              <w:marTop w:val="0"/>
              <w:marBottom w:val="0"/>
              <w:divBdr>
                <w:top w:val="none" w:sz="0" w:space="0" w:color="auto"/>
                <w:left w:val="none" w:sz="0" w:space="0" w:color="auto"/>
                <w:bottom w:val="none" w:sz="0" w:space="0" w:color="auto"/>
                <w:right w:val="none" w:sz="0" w:space="0" w:color="auto"/>
              </w:divBdr>
            </w:div>
          </w:divsChild>
        </w:div>
        <w:div w:id="1790203748">
          <w:marLeft w:val="0"/>
          <w:marRight w:val="0"/>
          <w:marTop w:val="0"/>
          <w:marBottom w:val="0"/>
          <w:divBdr>
            <w:top w:val="none" w:sz="0" w:space="0" w:color="auto"/>
            <w:left w:val="none" w:sz="0" w:space="0" w:color="auto"/>
            <w:bottom w:val="none" w:sz="0" w:space="0" w:color="auto"/>
            <w:right w:val="none" w:sz="0" w:space="0" w:color="auto"/>
          </w:divBdr>
          <w:divsChild>
            <w:div w:id="588972512">
              <w:marLeft w:val="0"/>
              <w:marRight w:val="0"/>
              <w:marTop w:val="0"/>
              <w:marBottom w:val="0"/>
              <w:divBdr>
                <w:top w:val="none" w:sz="0" w:space="0" w:color="auto"/>
                <w:left w:val="none" w:sz="0" w:space="0" w:color="auto"/>
                <w:bottom w:val="none" w:sz="0" w:space="0" w:color="auto"/>
                <w:right w:val="none" w:sz="0" w:space="0" w:color="auto"/>
              </w:divBdr>
            </w:div>
            <w:div w:id="1629165707">
              <w:marLeft w:val="0"/>
              <w:marRight w:val="0"/>
              <w:marTop w:val="0"/>
              <w:marBottom w:val="0"/>
              <w:divBdr>
                <w:top w:val="none" w:sz="0" w:space="0" w:color="auto"/>
                <w:left w:val="none" w:sz="0" w:space="0" w:color="auto"/>
                <w:bottom w:val="none" w:sz="0" w:space="0" w:color="auto"/>
                <w:right w:val="none" w:sz="0" w:space="0" w:color="auto"/>
              </w:divBdr>
            </w:div>
            <w:div w:id="2053267322">
              <w:marLeft w:val="0"/>
              <w:marRight w:val="0"/>
              <w:marTop w:val="0"/>
              <w:marBottom w:val="0"/>
              <w:divBdr>
                <w:top w:val="none" w:sz="0" w:space="0" w:color="auto"/>
                <w:left w:val="none" w:sz="0" w:space="0" w:color="auto"/>
                <w:bottom w:val="none" w:sz="0" w:space="0" w:color="auto"/>
                <w:right w:val="none" w:sz="0" w:space="0" w:color="auto"/>
              </w:divBdr>
            </w:div>
          </w:divsChild>
        </w:div>
        <w:div w:id="1796950104">
          <w:marLeft w:val="0"/>
          <w:marRight w:val="0"/>
          <w:marTop w:val="0"/>
          <w:marBottom w:val="0"/>
          <w:divBdr>
            <w:top w:val="none" w:sz="0" w:space="0" w:color="auto"/>
            <w:left w:val="none" w:sz="0" w:space="0" w:color="auto"/>
            <w:bottom w:val="none" w:sz="0" w:space="0" w:color="auto"/>
            <w:right w:val="none" w:sz="0" w:space="0" w:color="auto"/>
          </w:divBdr>
          <w:divsChild>
            <w:div w:id="1888641958">
              <w:marLeft w:val="0"/>
              <w:marRight w:val="0"/>
              <w:marTop w:val="0"/>
              <w:marBottom w:val="0"/>
              <w:divBdr>
                <w:top w:val="none" w:sz="0" w:space="0" w:color="auto"/>
                <w:left w:val="none" w:sz="0" w:space="0" w:color="auto"/>
                <w:bottom w:val="none" w:sz="0" w:space="0" w:color="auto"/>
                <w:right w:val="none" w:sz="0" w:space="0" w:color="auto"/>
              </w:divBdr>
            </w:div>
          </w:divsChild>
        </w:div>
        <w:div w:id="1825273811">
          <w:marLeft w:val="0"/>
          <w:marRight w:val="0"/>
          <w:marTop w:val="0"/>
          <w:marBottom w:val="0"/>
          <w:divBdr>
            <w:top w:val="none" w:sz="0" w:space="0" w:color="auto"/>
            <w:left w:val="none" w:sz="0" w:space="0" w:color="auto"/>
            <w:bottom w:val="none" w:sz="0" w:space="0" w:color="auto"/>
            <w:right w:val="none" w:sz="0" w:space="0" w:color="auto"/>
          </w:divBdr>
          <w:divsChild>
            <w:div w:id="1206992506">
              <w:marLeft w:val="0"/>
              <w:marRight w:val="0"/>
              <w:marTop w:val="0"/>
              <w:marBottom w:val="0"/>
              <w:divBdr>
                <w:top w:val="none" w:sz="0" w:space="0" w:color="auto"/>
                <w:left w:val="none" w:sz="0" w:space="0" w:color="auto"/>
                <w:bottom w:val="none" w:sz="0" w:space="0" w:color="auto"/>
                <w:right w:val="none" w:sz="0" w:space="0" w:color="auto"/>
              </w:divBdr>
            </w:div>
          </w:divsChild>
        </w:div>
        <w:div w:id="1841652931">
          <w:marLeft w:val="0"/>
          <w:marRight w:val="0"/>
          <w:marTop w:val="0"/>
          <w:marBottom w:val="0"/>
          <w:divBdr>
            <w:top w:val="none" w:sz="0" w:space="0" w:color="auto"/>
            <w:left w:val="none" w:sz="0" w:space="0" w:color="auto"/>
            <w:bottom w:val="none" w:sz="0" w:space="0" w:color="auto"/>
            <w:right w:val="none" w:sz="0" w:space="0" w:color="auto"/>
          </w:divBdr>
          <w:divsChild>
            <w:div w:id="131992546">
              <w:marLeft w:val="0"/>
              <w:marRight w:val="0"/>
              <w:marTop w:val="0"/>
              <w:marBottom w:val="0"/>
              <w:divBdr>
                <w:top w:val="none" w:sz="0" w:space="0" w:color="auto"/>
                <w:left w:val="none" w:sz="0" w:space="0" w:color="auto"/>
                <w:bottom w:val="none" w:sz="0" w:space="0" w:color="auto"/>
                <w:right w:val="none" w:sz="0" w:space="0" w:color="auto"/>
              </w:divBdr>
            </w:div>
          </w:divsChild>
        </w:div>
        <w:div w:id="1849903813">
          <w:marLeft w:val="0"/>
          <w:marRight w:val="0"/>
          <w:marTop w:val="0"/>
          <w:marBottom w:val="0"/>
          <w:divBdr>
            <w:top w:val="none" w:sz="0" w:space="0" w:color="auto"/>
            <w:left w:val="none" w:sz="0" w:space="0" w:color="auto"/>
            <w:bottom w:val="none" w:sz="0" w:space="0" w:color="auto"/>
            <w:right w:val="none" w:sz="0" w:space="0" w:color="auto"/>
          </w:divBdr>
          <w:divsChild>
            <w:div w:id="1686133572">
              <w:marLeft w:val="0"/>
              <w:marRight w:val="0"/>
              <w:marTop w:val="0"/>
              <w:marBottom w:val="0"/>
              <w:divBdr>
                <w:top w:val="none" w:sz="0" w:space="0" w:color="auto"/>
                <w:left w:val="none" w:sz="0" w:space="0" w:color="auto"/>
                <w:bottom w:val="none" w:sz="0" w:space="0" w:color="auto"/>
                <w:right w:val="none" w:sz="0" w:space="0" w:color="auto"/>
              </w:divBdr>
            </w:div>
          </w:divsChild>
        </w:div>
        <w:div w:id="1876772183">
          <w:marLeft w:val="0"/>
          <w:marRight w:val="0"/>
          <w:marTop w:val="0"/>
          <w:marBottom w:val="0"/>
          <w:divBdr>
            <w:top w:val="none" w:sz="0" w:space="0" w:color="auto"/>
            <w:left w:val="none" w:sz="0" w:space="0" w:color="auto"/>
            <w:bottom w:val="none" w:sz="0" w:space="0" w:color="auto"/>
            <w:right w:val="none" w:sz="0" w:space="0" w:color="auto"/>
          </w:divBdr>
          <w:divsChild>
            <w:div w:id="19478822">
              <w:marLeft w:val="0"/>
              <w:marRight w:val="0"/>
              <w:marTop w:val="0"/>
              <w:marBottom w:val="0"/>
              <w:divBdr>
                <w:top w:val="none" w:sz="0" w:space="0" w:color="auto"/>
                <w:left w:val="none" w:sz="0" w:space="0" w:color="auto"/>
                <w:bottom w:val="none" w:sz="0" w:space="0" w:color="auto"/>
                <w:right w:val="none" w:sz="0" w:space="0" w:color="auto"/>
              </w:divBdr>
            </w:div>
          </w:divsChild>
        </w:div>
        <w:div w:id="1916552914">
          <w:marLeft w:val="0"/>
          <w:marRight w:val="0"/>
          <w:marTop w:val="0"/>
          <w:marBottom w:val="0"/>
          <w:divBdr>
            <w:top w:val="none" w:sz="0" w:space="0" w:color="auto"/>
            <w:left w:val="none" w:sz="0" w:space="0" w:color="auto"/>
            <w:bottom w:val="none" w:sz="0" w:space="0" w:color="auto"/>
            <w:right w:val="none" w:sz="0" w:space="0" w:color="auto"/>
          </w:divBdr>
          <w:divsChild>
            <w:div w:id="480123081">
              <w:marLeft w:val="0"/>
              <w:marRight w:val="0"/>
              <w:marTop w:val="0"/>
              <w:marBottom w:val="0"/>
              <w:divBdr>
                <w:top w:val="none" w:sz="0" w:space="0" w:color="auto"/>
                <w:left w:val="none" w:sz="0" w:space="0" w:color="auto"/>
                <w:bottom w:val="none" w:sz="0" w:space="0" w:color="auto"/>
                <w:right w:val="none" w:sz="0" w:space="0" w:color="auto"/>
              </w:divBdr>
            </w:div>
          </w:divsChild>
        </w:div>
        <w:div w:id="2000579165">
          <w:marLeft w:val="0"/>
          <w:marRight w:val="0"/>
          <w:marTop w:val="0"/>
          <w:marBottom w:val="0"/>
          <w:divBdr>
            <w:top w:val="none" w:sz="0" w:space="0" w:color="auto"/>
            <w:left w:val="none" w:sz="0" w:space="0" w:color="auto"/>
            <w:bottom w:val="none" w:sz="0" w:space="0" w:color="auto"/>
            <w:right w:val="none" w:sz="0" w:space="0" w:color="auto"/>
          </w:divBdr>
          <w:divsChild>
            <w:div w:id="974020010">
              <w:marLeft w:val="0"/>
              <w:marRight w:val="0"/>
              <w:marTop w:val="0"/>
              <w:marBottom w:val="0"/>
              <w:divBdr>
                <w:top w:val="none" w:sz="0" w:space="0" w:color="auto"/>
                <w:left w:val="none" w:sz="0" w:space="0" w:color="auto"/>
                <w:bottom w:val="none" w:sz="0" w:space="0" w:color="auto"/>
                <w:right w:val="none" w:sz="0" w:space="0" w:color="auto"/>
              </w:divBdr>
            </w:div>
          </w:divsChild>
        </w:div>
        <w:div w:id="2006128549">
          <w:marLeft w:val="0"/>
          <w:marRight w:val="0"/>
          <w:marTop w:val="0"/>
          <w:marBottom w:val="0"/>
          <w:divBdr>
            <w:top w:val="none" w:sz="0" w:space="0" w:color="auto"/>
            <w:left w:val="none" w:sz="0" w:space="0" w:color="auto"/>
            <w:bottom w:val="none" w:sz="0" w:space="0" w:color="auto"/>
            <w:right w:val="none" w:sz="0" w:space="0" w:color="auto"/>
          </w:divBdr>
          <w:divsChild>
            <w:div w:id="1561283235">
              <w:marLeft w:val="0"/>
              <w:marRight w:val="0"/>
              <w:marTop w:val="0"/>
              <w:marBottom w:val="0"/>
              <w:divBdr>
                <w:top w:val="none" w:sz="0" w:space="0" w:color="auto"/>
                <w:left w:val="none" w:sz="0" w:space="0" w:color="auto"/>
                <w:bottom w:val="none" w:sz="0" w:space="0" w:color="auto"/>
                <w:right w:val="none" w:sz="0" w:space="0" w:color="auto"/>
              </w:divBdr>
            </w:div>
          </w:divsChild>
        </w:div>
        <w:div w:id="2011759521">
          <w:marLeft w:val="0"/>
          <w:marRight w:val="0"/>
          <w:marTop w:val="0"/>
          <w:marBottom w:val="0"/>
          <w:divBdr>
            <w:top w:val="none" w:sz="0" w:space="0" w:color="auto"/>
            <w:left w:val="none" w:sz="0" w:space="0" w:color="auto"/>
            <w:bottom w:val="none" w:sz="0" w:space="0" w:color="auto"/>
            <w:right w:val="none" w:sz="0" w:space="0" w:color="auto"/>
          </w:divBdr>
          <w:divsChild>
            <w:div w:id="593436357">
              <w:marLeft w:val="0"/>
              <w:marRight w:val="0"/>
              <w:marTop w:val="0"/>
              <w:marBottom w:val="0"/>
              <w:divBdr>
                <w:top w:val="none" w:sz="0" w:space="0" w:color="auto"/>
                <w:left w:val="none" w:sz="0" w:space="0" w:color="auto"/>
                <w:bottom w:val="none" w:sz="0" w:space="0" w:color="auto"/>
                <w:right w:val="none" w:sz="0" w:space="0" w:color="auto"/>
              </w:divBdr>
            </w:div>
          </w:divsChild>
        </w:div>
        <w:div w:id="2065837321">
          <w:marLeft w:val="0"/>
          <w:marRight w:val="0"/>
          <w:marTop w:val="0"/>
          <w:marBottom w:val="0"/>
          <w:divBdr>
            <w:top w:val="none" w:sz="0" w:space="0" w:color="auto"/>
            <w:left w:val="none" w:sz="0" w:space="0" w:color="auto"/>
            <w:bottom w:val="none" w:sz="0" w:space="0" w:color="auto"/>
            <w:right w:val="none" w:sz="0" w:space="0" w:color="auto"/>
          </w:divBdr>
          <w:divsChild>
            <w:div w:id="606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08737">
      <w:bodyDiv w:val="1"/>
      <w:marLeft w:val="0"/>
      <w:marRight w:val="0"/>
      <w:marTop w:val="0"/>
      <w:marBottom w:val="0"/>
      <w:divBdr>
        <w:top w:val="none" w:sz="0" w:space="0" w:color="auto"/>
        <w:left w:val="none" w:sz="0" w:space="0" w:color="auto"/>
        <w:bottom w:val="none" w:sz="0" w:space="0" w:color="auto"/>
        <w:right w:val="none" w:sz="0" w:space="0" w:color="auto"/>
      </w:divBdr>
    </w:div>
    <w:div w:id="1473985023">
      <w:bodyDiv w:val="1"/>
      <w:marLeft w:val="0"/>
      <w:marRight w:val="0"/>
      <w:marTop w:val="0"/>
      <w:marBottom w:val="0"/>
      <w:divBdr>
        <w:top w:val="none" w:sz="0" w:space="0" w:color="auto"/>
        <w:left w:val="none" w:sz="0" w:space="0" w:color="auto"/>
        <w:bottom w:val="none" w:sz="0" w:space="0" w:color="auto"/>
        <w:right w:val="none" w:sz="0" w:space="0" w:color="auto"/>
      </w:divBdr>
    </w:div>
    <w:div w:id="1477797772">
      <w:bodyDiv w:val="1"/>
      <w:marLeft w:val="0"/>
      <w:marRight w:val="0"/>
      <w:marTop w:val="0"/>
      <w:marBottom w:val="0"/>
      <w:divBdr>
        <w:top w:val="none" w:sz="0" w:space="0" w:color="auto"/>
        <w:left w:val="none" w:sz="0" w:space="0" w:color="auto"/>
        <w:bottom w:val="none" w:sz="0" w:space="0" w:color="auto"/>
        <w:right w:val="none" w:sz="0" w:space="0" w:color="auto"/>
      </w:divBdr>
    </w:div>
    <w:div w:id="1478914195">
      <w:bodyDiv w:val="1"/>
      <w:marLeft w:val="0"/>
      <w:marRight w:val="0"/>
      <w:marTop w:val="0"/>
      <w:marBottom w:val="0"/>
      <w:divBdr>
        <w:top w:val="none" w:sz="0" w:space="0" w:color="auto"/>
        <w:left w:val="none" w:sz="0" w:space="0" w:color="auto"/>
        <w:bottom w:val="none" w:sz="0" w:space="0" w:color="auto"/>
        <w:right w:val="none" w:sz="0" w:space="0" w:color="auto"/>
      </w:divBdr>
    </w:div>
    <w:div w:id="1488401651">
      <w:bodyDiv w:val="1"/>
      <w:marLeft w:val="0"/>
      <w:marRight w:val="0"/>
      <w:marTop w:val="0"/>
      <w:marBottom w:val="0"/>
      <w:divBdr>
        <w:top w:val="none" w:sz="0" w:space="0" w:color="auto"/>
        <w:left w:val="none" w:sz="0" w:space="0" w:color="auto"/>
        <w:bottom w:val="none" w:sz="0" w:space="0" w:color="auto"/>
        <w:right w:val="none" w:sz="0" w:space="0" w:color="auto"/>
      </w:divBdr>
    </w:div>
    <w:div w:id="1489134317">
      <w:bodyDiv w:val="1"/>
      <w:marLeft w:val="0"/>
      <w:marRight w:val="0"/>
      <w:marTop w:val="0"/>
      <w:marBottom w:val="0"/>
      <w:divBdr>
        <w:top w:val="none" w:sz="0" w:space="0" w:color="auto"/>
        <w:left w:val="none" w:sz="0" w:space="0" w:color="auto"/>
        <w:bottom w:val="none" w:sz="0" w:space="0" w:color="auto"/>
        <w:right w:val="none" w:sz="0" w:space="0" w:color="auto"/>
      </w:divBdr>
    </w:div>
    <w:div w:id="1491408669">
      <w:bodyDiv w:val="1"/>
      <w:marLeft w:val="0"/>
      <w:marRight w:val="0"/>
      <w:marTop w:val="0"/>
      <w:marBottom w:val="0"/>
      <w:divBdr>
        <w:top w:val="none" w:sz="0" w:space="0" w:color="auto"/>
        <w:left w:val="none" w:sz="0" w:space="0" w:color="auto"/>
        <w:bottom w:val="none" w:sz="0" w:space="0" w:color="auto"/>
        <w:right w:val="none" w:sz="0" w:space="0" w:color="auto"/>
      </w:divBdr>
    </w:div>
    <w:div w:id="1496339777">
      <w:bodyDiv w:val="1"/>
      <w:marLeft w:val="0"/>
      <w:marRight w:val="0"/>
      <w:marTop w:val="0"/>
      <w:marBottom w:val="0"/>
      <w:divBdr>
        <w:top w:val="none" w:sz="0" w:space="0" w:color="auto"/>
        <w:left w:val="none" w:sz="0" w:space="0" w:color="auto"/>
        <w:bottom w:val="none" w:sz="0" w:space="0" w:color="auto"/>
        <w:right w:val="none" w:sz="0" w:space="0" w:color="auto"/>
      </w:divBdr>
    </w:div>
    <w:div w:id="1518813248">
      <w:bodyDiv w:val="1"/>
      <w:marLeft w:val="0"/>
      <w:marRight w:val="0"/>
      <w:marTop w:val="0"/>
      <w:marBottom w:val="0"/>
      <w:divBdr>
        <w:top w:val="none" w:sz="0" w:space="0" w:color="auto"/>
        <w:left w:val="none" w:sz="0" w:space="0" w:color="auto"/>
        <w:bottom w:val="none" w:sz="0" w:space="0" w:color="auto"/>
        <w:right w:val="none" w:sz="0" w:space="0" w:color="auto"/>
      </w:divBdr>
    </w:div>
    <w:div w:id="1521972431">
      <w:bodyDiv w:val="1"/>
      <w:marLeft w:val="0"/>
      <w:marRight w:val="0"/>
      <w:marTop w:val="0"/>
      <w:marBottom w:val="0"/>
      <w:divBdr>
        <w:top w:val="none" w:sz="0" w:space="0" w:color="auto"/>
        <w:left w:val="none" w:sz="0" w:space="0" w:color="auto"/>
        <w:bottom w:val="none" w:sz="0" w:space="0" w:color="auto"/>
        <w:right w:val="none" w:sz="0" w:space="0" w:color="auto"/>
      </w:divBdr>
      <w:divsChild>
        <w:div w:id="11538841">
          <w:marLeft w:val="0"/>
          <w:marRight w:val="0"/>
          <w:marTop w:val="0"/>
          <w:marBottom w:val="0"/>
          <w:divBdr>
            <w:top w:val="none" w:sz="0" w:space="0" w:color="auto"/>
            <w:left w:val="none" w:sz="0" w:space="0" w:color="auto"/>
            <w:bottom w:val="none" w:sz="0" w:space="0" w:color="auto"/>
            <w:right w:val="none" w:sz="0" w:space="0" w:color="auto"/>
          </w:divBdr>
          <w:divsChild>
            <w:div w:id="596862016">
              <w:marLeft w:val="0"/>
              <w:marRight w:val="0"/>
              <w:marTop w:val="0"/>
              <w:marBottom w:val="0"/>
              <w:divBdr>
                <w:top w:val="none" w:sz="0" w:space="0" w:color="auto"/>
                <w:left w:val="none" w:sz="0" w:space="0" w:color="auto"/>
                <w:bottom w:val="none" w:sz="0" w:space="0" w:color="auto"/>
                <w:right w:val="none" w:sz="0" w:space="0" w:color="auto"/>
              </w:divBdr>
            </w:div>
          </w:divsChild>
        </w:div>
        <w:div w:id="18162882">
          <w:marLeft w:val="0"/>
          <w:marRight w:val="0"/>
          <w:marTop w:val="0"/>
          <w:marBottom w:val="0"/>
          <w:divBdr>
            <w:top w:val="none" w:sz="0" w:space="0" w:color="auto"/>
            <w:left w:val="none" w:sz="0" w:space="0" w:color="auto"/>
            <w:bottom w:val="none" w:sz="0" w:space="0" w:color="auto"/>
            <w:right w:val="none" w:sz="0" w:space="0" w:color="auto"/>
          </w:divBdr>
          <w:divsChild>
            <w:div w:id="1791707481">
              <w:marLeft w:val="0"/>
              <w:marRight w:val="0"/>
              <w:marTop w:val="0"/>
              <w:marBottom w:val="0"/>
              <w:divBdr>
                <w:top w:val="none" w:sz="0" w:space="0" w:color="auto"/>
                <w:left w:val="none" w:sz="0" w:space="0" w:color="auto"/>
                <w:bottom w:val="none" w:sz="0" w:space="0" w:color="auto"/>
                <w:right w:val="none" w:sz="0" w:space="0" w:color="auto"/>
              </w:divBdr>
            </w:div>
          </w:divsChild>
        </w:div>
        <w:div w:id="35855584">
          <w:marLeft w:val="0"/>
          <w:marRight w:val="0"/>
          <w:marTop w:val="0"/>
          <w:marBottom w:val="0"/>
          <w:divBdr>
            <w:top w:val="none" w:sz="0" w:space="0" w:color="auto"/>
            <w:left w:val="none" w:sz="0" w:space="0" w:color="auto"/>
            <w:bottom w:val="none" w:sz="0" w:space="0" w:color="auto"/>
            <w:right w:val="none" w:sz="0" w:space="0" w:color="auto"/>
          </w:divBdr>
          <w:divsChild>
            <w:div w:id="605233324">
              <w:marLeft w:val="0"/>
              <w:marRight w:val="0"/>
              <w:marTop w:val="0"/>
              <w:marBottom w:val="0"/>
              <w:divBdr>
                <w:top w:val="none" w:sz="0" w:space="0" w:color="auto"/>
                <w:left w:val="none" w:sz="0" w:space="0" w:color="auto"/>
                <w:bottom w:val="none" w:sz="0" w:space="0" w:color="auto"/>
                <w:right w:val="none" w:sz="0" w:space="0" w:color="auto"/>
              </w:divBdr>
            </w:div>
          </w:divsChild>
        </w:div>
        <w:div w:id="90978495">
          <w:marLeft w:val="0"/>
          <w:marRight w:val="0"/>
          <w:marTop w:val="0"/>
          <w:marBottom w:val="0"/>
          <w:divBdr>
            <w:top w:val="none" w:sz="0" w:space="0" w:color="auto"/>
            <w:left w:val="none" w:sz="0" w:space="0" w:color="auto"/>
            <w:bottom w:val="none" w:sz="0" w:space="0" w:color="auto"/>
            <w:right w:val="none" w:sz="0" w:space="0" w:color="auto"/>
          </w:divBdr>
          <w:divsChild>
            <w:div w:id="328872653">
              <w:marLeft w:val="0"/>
              <w:marRight w:val="0"/>
              <w:marTop w:val="0"/>
              <w:marBottom w:val="0"/>
              <w:divBdr>
                <w:top w:val="none" w:sz="0" w:space="0" w:color="auto"/>
                <w:left w:val="none" w:sz="0" w:space="0" w:color="auto"/>
                <w:bottom w:val="none" w:sz="0" w:space="0" w:color="auto"/>
                <w:right w:val="none" w:sz="0" w:space="0" w:color="auto"/>
              </w:divBdr>
            </w:div>
          </w:divsChild>
        </w:div>
        <w:div w:id="93092401">
          <w:marLeft w:val="0"/>
          <w:marRight w:val="0"/>
          <w:marTop w:val="0"/>
          <w:marBottom w:val="0"/>
          <w:divBdr>
            <w:top w:val="none" w:sz="0" w:space="0" w:color="auto"/>
            <w:left w:val="none" w:sz="0" w:space="0" w:color="auto"/>
            <w:bottom w:val="none" w:sz="0" w:space="0" w:color="auto"/>
            <w:right w:val="none" w:sz="0" w:space="0" w:color="auto"/>
          </w:divBdr>
          <w:divsChild>
            <w:div w:id="203294597">
              <w:marLeft w:val="0"/>
              <w:marRight w:val="0"/>
              <w:marTop w:val="0"/>
              <w:marBottom w:val="0"/>
              <w:divBdr>
                <w:top w:val="none" w:sz="0" w:space="0" w:color="auto"/>
                <w:left w:val="none" w:sz="0" w:space="0" w:color="auto"/>
                <w:bottom w:val="none" w:sz="0" w:space="0" w:color="auto"/>
                <w:right w:val="none" w:sz="0" w:space="0" w:color="auto"/>
              </w:divBdr>
            </w:div>
          </w:divsChild>
        </w:div>
        <w:div w:id="93205964">
          <w:marLeft w:val="0"/>
          <w:marRight w:val="0"/>
          <w:marTop w:val="0"/>
          <w:marBottom w:val="0"/>
          <w:divBdr>
            <w:top w:val="none" w:sz="0" w:space="0" w:color="auto"/>
            <w:left w:val="none" w:sz="0" w:space="0" w:color="auto"/>
            <w:bottom w:val="none" w:sz="0" w:space="0" w:color="auto"/>
            <w:right w:val="none" w:sz="0" w:space="0" w:color="auto"/>
          </w:divBdr>
          <w:divsChild>
            <w:div w:id="277033657">
              <w:marLeft w:val="0"/>
              <w:marRight w:val="0"/>
              <w:marTop w:val="0"/>
              <w:marBottom w:val="0"/>
              <w:divBdr>
                <w:top w:val="none" w:sz="0" w:space="0" w:color="auto"/>
                <w:left w:val="none" w:sz="0" w:space="0" w:color="auto"/>
                <w:bottom w:val="none" w:sz="0" w:space="0" w:color="auto"/>
                <w:right w:val="none" w:sz="0" w:space="0" w:color="auto"/>
              </w:divBdr>
            </w:div>
          </w:divsChild>
        </w:div>
        <w:div w:id="207911673">
          <w:marLeft w:val="0"/>
          <w:marRight w:val="0"/>
          <w:marTop w:val="0"/>
          <w:marBottom w:val="0"/>
          <w:divBdr>
            <w:top w:val="none" w:sz="0" w:space="0" w:color="auto"/>
            <w:left w:val="none" w:sz="0" w:space="0" w:color="auto"/>
            <w:bottom w:val="none" w:sz="0" w:space="0" w:color="auto"/>
            <w:right w:val="none" w:sz="0" w:space="0" w:color="auto"/>
          </w:divBdr>
          <w:divsChild>
            <w:div w:id="1850563430">
              <w:marLeft w:val="0"/>
              <w:marRight w:val="0"/>
              <w:marTop w:val="0"/>
              <w:marBottom w:val="0"/>
              <w:divBdr>
                <w:top w:val="none" w:sz="0" w:space="0" w:color="auto"/>
                <w:left w:val="none" w:sz="0" w:space="0" w:color="auto"/>
                <w:bottom w:val="none" w:sz="0" w:space="0" w:color="auto"/>
                <w:right w:val="none" w:sz="0" w:space="0" w:color="auto"/>
              </w:divBdr>
            </w:div>
          </w:divsChild>
        </w:div>
        <w:div w:id="252979131">
          <w:marLeft w:val="0"/>
          <w:marRight w:val="0"/>
          <w:marTop w:val="0"/>
          <w:marBottom w:val="0"/>
          <w:divBdr>
            <w:top w:val="none" w:sz="0" w:space="0" w:color="auto"/>
            <w:left w:val="none" w:sz="0" w:space="0" w:color="auto"/>
            <w:bottom w:val="none" w:sz="0" w:space="0" w:color="auto"/>
            <w:right w:val="none" w:sz="0" w:space="0" w:color="auto"/>
          </w:divBdr>
          <w:divsChild>
            <w:div w:id="1338539904">
              <w:marLeft w:val="0"/>
              <w:marRight w:val="0"/>
              <w:marTop w:val="0"/>
              <w:marBottom w:val="0"/>
              <w:divBdr>
                <w:top w:val="none" w:sz="0" w:space="0" w:color="auto"/>
                <w:left w:val="none" w:sz="0" w:space="0" w:color="auto"/>
                <w:bottom w:val="none" w:sz="0" w:space="0" w:color="auto"/>
                <w:right w:val="none" w:sz="0" w:space="0" w:color="auto"/>
              </w:divBdr>
            </w:div>
          </w:divsChild>
        </w:div>
        <w:div w:id="254436400">
          <w:marLeft w:val="0"/>
          <w:marRight w:val="0"/>
          <w:marTop w:val="0"/>
          <w:marBottom w:val="0"/>
          <w:divBdr>
            <w:top w:val="none" w:sz="0" w:space="0" w:color="auto"/>
            <w:left w:val="none" w:sz="0" w:space="0" w:color="auto"/>
            <w:bottom w:val="none" w:sz="0" w:space="0" w:color="auto"/>
            <w:right w:val="none" w:sz="0" w:space="0" w:color="auto"/>
          </w:divBdr>
          <w:divsChild>
            <w:div w:id="2130279583">
              <w:marLeft w:val="0"/>
              <w:marRight w:val="0"/>
              <w:marTop w:val="0"/>
              <w:marBottom w:val="0"/>
              <w:divBdr>
                <w:top w:val="none" w:sz="0" w:space="0" w:color="auto"/>
                <w:left w:val="none" w:sz="0" w:space="0" w:color="auto"/>
                <w:bottom w:val="none" w:sz="0" w:space="0" w:color="auto"/>
                <w:right w:val="none" w:sz="0" w:space="0" w:color="auto"/>
              </w:divBdr>
            </w:div>
          </w:divsChild>
        </w:div>
        <w:div w:id="278144682">
          <w:marLeft w:val="0"/>
          <w:marRight w:val="0"/>
          <w:marTop w:val="0"/>
          <w:marBottom w:val="0"/>
          <w:divBdr>
            <w:top w:val="none" w:sz="0" w:space="0" w:color="auto"/>
            <w:left w:val="none" w:sz="0" w:space="0" w:color="auto"/>
            <w:bottom w:val="none" w:sz="0" w:space="0" w:color="auto"/>
            <w:right w:val="none" w:sz="0" w:space="0" w:color="auto"/>
          </w:divBdr>
          <w:divsChild>
            <w:div w:id="796071784">
              <w:marLeft w:val="0"/>
              <w:marRight w:val="0"/>
              <w:marTop w:val="0"/>
              <w:marBottom w:val="0"/>
              <w:divBdr>
                <w:top w:val="none" w:sz="0" w:space="0" w:color="auto"/>
                <w:left w:val="none" w:sz="0" w:space="0" w:color="auto"/>
                <w:bottom w:val="none" w:sz="0" w:space="0" w:color="auto"/>
                <w:right w:val="none" w:sz="0" w:space="0" w:color="auto"/>
              </w:divBdr>
            </w:div>
          </w:divsChild>
        </w:div>
        <w:div w:id="284623909">
          <w:marLeft w:val="0"/>
          <w:marRight w:val="0"/>
          <w:marTop w:val="0"/>
          <w:marBottom w:val="0"/>
          <w:divBdr>
            <w:top w:val="none" w:sz="0" w:space="0" w:color="auto"/>
            <w:left w:val="none" w:sz="0" w:space="0" w:color="auto"/>
            <w:bottom w:val="none" w:sz="0" w:space="0" w:color="auto"/>
            <w:right w:val="none" w:sz="0" w:space="0" w:color="auto"/>
          </w:divBdr>
          <w:divsChild>
            <w:div w:id="1264845851">
              <w:marLeft w:val="0"/>
              <w:marRight w:val="0"/>
              <w:marTop w:val="0"/>
              <w:marBottom w:val="0"/>
              <w:divBdr>
                <w:top w:val="none" w:sz="0" w:space="0" w:color="auto"/>
                <w:left w:val="none" w:sz="0" w:space="0" w:color="auto"/>
                <w:bottom w:val="none" w:sz="0" w:space="0" w:color="auto"/>
                <w:right w:val="none" w:sz="0" w:space="0" w:color="auto"/>
              </w:divBdr>
            </w:div>
          </w:divsChild>
        </w:div>
        <w:div w:id="385421724">
          <w:marLeft w:val="0"/>
          <w:marRight w:val="0"/>
          <w:marTop w:val="0"/>
          <w:marBottom w:val="0"/>
          <w:divBdr>
            <w:top w:val="none" w:sz="0" w:space="0" w:color="auto"/>
            <w:left w:val="none" w:sz="0" w:space="0" w:color="auto"/>
            <w:bottom w:val="none" w:sz="0" w:space="0" w:color="auto"/>
            <w:right w:val="none" w:sz="0" w:space="0" w:color="auto"/>
          </w:divBdr>
          <w:divsChild>
            <w:div w:id="502164161">
              <w:marLeft w:val="0"/>
              <w:marRight w:val="0"/>
              <w:marTop w:val="0"/>
              <w:marBottom w:val="0"/>
              <w:divBdr>
                <w:top w:val="none" w:sz="0" w:space="0" w:color="auto"/>
                <w:left w:val="none" w:sz="0" w:space="0" w:color="auto"/>
                <w:bottom w:val="none" w:sz="0" w:space="0" w:color="auto"/>
                <w:right w:val="none" w:sz="0" w:space="0" w:color="auto"/>
              </w:divBdr>
            </w:div>
          </w:divsChild>
        </w:div>
        <w:div w:id="390077592">
          <w:marLeft w:val="0"/>
          <w:marRight w:val="0"/>
          <w:marTop w:val="0"/>
          <w:marBottom w:val="0"/>
          <w:divBdr>
            <w:top w:val="none" w:sz="0" w:space="0" w:color="auto"/>
            <w:left w:val="none" w:sz="0" w:space="0" w:color="auto"/>
            <w:bottom w:val="none" w:sz="0" w:space="0" w:color="auto"/>
            <w:right w:val="none" w:sz="0" w:space="0" w:color="auto"/>
          </w:divBdr>
          <w:divsChild>
            <w:div w:id="1699046164">
              <w:marLeft w:val="0"/>
              <w:marRight w:val="0"/>
              <w:marTop w:val="0"/>
              <w:marBottom w:val="0"/>
              <w:divBdr>
                <w:top w:val="none" w:sz="0" w:space="0" w:color="auto"/>
                <w:left w:val="none" w:sz="0" w:space="0" w:color="auto"/>
                <w:bottom w:val="none" w:sz="0" w:space="0" w:color="auto"/>
                <w:right w:val="none" w:sz="0" w:space="0" w:color="auto"/>
              </w:divBdr>
            </w:div>
          </w:divsChild>
        </w:div>
        <w:div w:id="408116116">
          <w:marLeft w:val="0"/>
          <w:marRight w:val="0"/>
          <w:marTop w:val="0"/>
          <w:marBottom w:val="0"/>
          <w:divBdr>
            <w:top w:val="none" w:sz="0" w:space="0" w:color="auto"/>
            <w:left w:val="none" w:sz="0" w:space="0" w:color="auto"/>
            <w:bottom w:val="none" w:sz="0" w:space="0" w:color="auto"/>
            <w:right w:val="none" w:sz="0" w:space="0" w:color="auto"/>
          </w:divBdr>
          <w:divsChild>
            <w:div w:id="1077631980">
              <w:marLeft w:val="0"/>
              <w:marRight w:val="0"/>
              <w:marTop w:val="0"/>
              <w:marBottom w:val="0"/>
              <w:divBdr>
                <w:top w:val="none" w:sz="0" w:space="0" w:color="auto"/>
                <w:left w:val="none" w:sz="0" w:space="0" w:color="auto"/>
                <w:bottom w:val="none" w:sz="0" w:space="0" w:color="auto"/>
                <w:right w:val="none" w:sz="0" w:space="0" w:color="auto"/>
              </w:divBdr>
            </w:div>
          </w:divsChild>
        </w:div>
        <w:div w:id="439034708">
          <w:marLeft w:val="0"/>
          <w:marRight w:val="0"/>
          <w:marTop w:val="0"/>
          <w:marBottom w:val="0"/>
          <w:divBdr>
            <w:top w:val="none" w:sz="0" w:space="0" w:color="auto"/>
            <w:left w:val="none" w:sz="0" w:space="0" w:color="auto"/>
            <w:bottom w:val="none" w:sz="0" w:space="0" w:color="auto"/>
            <w:right w:val="none" w:sz="0" w:space="0" w:color="auto"/>
          </w:divBdr>
          <w:divsChild>
            <w:div w:id="1077242281">
              <w:marLeft w:val="0"/>
              <w:marRight w:val="0"/>
              <w:marTop w:val="0"/>
              <w:marBottom w:val="0"/>
              <w:divBdr>
                <w:top w:val="none" w:sz="0" w:space="0" w:color="auto"/>
                <w:left w:val="none" w:sz="0" w:space="0" w:color="auto"/>
                <w:bottom w:val="none" w:sz="0" w:space="0" w:color="auto"/>
                <w:right w:val="none" w:sz="0" w:space="0" w:color="auto"/>
              </w:divBdr>
            </w:div>
          </w:divsChild>
        </w:div>
        <w:div w:id="489712833">
          <w:marLeft w:val="0"/>
          <w:marRight w:val="0"/>
          <w:marTop w:val="0"/>
          <w:marBottom w:val="0"/>
          <w:divBdr>
            <w:top w:val="none" w:sz="0" w:space="0" w:color="auto"/>
            <w:left w:val="none" w:sz="0" w:space="0" w:color="auto"/>
            <w:bottom w:val="none" w:sz="0" w:space="0" w:color="auto"/>
            <w:right w:val="none" w:sz="0" w:space="0" w:color="auto"/>
          </w:divBdr>
          <w:divsChild>
            <w:div w:id="492186542">
              <w:marLeft w:val="0"/>
              <w:marRight w:val="0"/>
              <w:marTop w:val="0"/>
              <w:marBottom w:val="0"/>
              <w:divBdr>
                <w:top w:val="none" w:sz="0" w:space="0" w:color="auto"/>
                <w:left w:val="none" w:sz="0" w:space="0" w:color="auto"/>
                <w:bottom w:val="none" w:sz="0" w:space="0" w:color="auto"/>
                <w:right w:val="none" w:sz="0" w:space="0" w:color="auto"/>
              </w:divBdr>
            </w:div>
            <w:div w:id="1435134337">
              <w:marLeft w:val="0"/>
              <w:marRight w:val="0"/>
              <w:marTop w:val="0"/>
              <w:marBottom w:val="0"/>
              <w:divBdr>
                <w:top w:val="none" w:sz="0" w:space="0" w:color="auto"/>
                <w:left w:val="none" w:sz="0" w:space="0" w:color="auto"/>
                <w:bottom w:val="none" w:sz="0" w:space="0" w:color="auto"/>
                <w:right w:val="none" w:sz="0" w:space="0" w:color="auto"/>
              </w:divBdr>
            </w:div>
            <w:div w:id="1468082151">
              <w:marLeft w:val="0"/>
              <w:marRight w:val="0"/>
              <w:marTop w:val="0"/>
              <w:marBottom w:val="0"/>
              <w:divBdr>
                <w:top w:val="none" w:sz="0" w:space="0" w:color="auto"/>
                <w:left w:val="none" w:sz="0" w:space="0" w:color="auto"/>
                <w:bottom w:val="none" w:sz="0" w:space="0" w:color="auto"/>
                <w:right w:val="none" w:sz="0" w:space="0" w:color="auto"/>
              </w:divBdr>
            </w:div>
          </w:divsChild>
        </w:div>
        <w:div w:id="555629915">
          <w:marLeft w:val="0"/>
          <w:marRight w:val="0"/>
          <w:marTop w:val="0"/>
          <w:marBottom w:val="0"/>
          <w:divBdr>
            <w:top w:val="none" w:sz="0" w:space="0" w:color="auto"/>
            <w:left w:val="none" w:sz="0" w:space="0" w:color="auto"/>
            <w:bottom w:val="none" w:sz="0" w:space="0" w:color="auto"/>
            <w:right w:val="none" w:sz="0" w:space="0" w:color="auto"/>
          </w:divBdr>
          <w:divsChild>
            <w:div w:id="2031032559">
              <w:marLeft w:val="0"/>
              <w:marRight w:val="0"/>
              <w:marTop w:val="0"/>
              <w:marBottom w:val="0"/>
              <w:divBdr>
                <w:top w:val="none" w:sz="0" w:space="0" w:color="auto"/>
                <w:left w:val="none" w:sz="0" w:space="0" w:color="auto"/>
                <w:bottom w:val="none" w:sz="0" w:space="0" w:color="auto"/>
                <w:right w:val="none" w:sz="0" w:space="0" w:color="auto"/>
              </w:divBdr>
            </w:div>
          </w:divsChild>
        </w:div>
        <w:div w:id="585379094">
          <w:marLeft w:val="0"/>
          <w:marRight w:val="0"/>
          <w:marTop w:val="0"/>
          <w:marBottom w:val="0"/>
          <w:divBdr>
            <w:top w:val="none" w:sz="0" w:space="0" w:color="auto"/>
            <w:left w:val="none" w:sz="0" w:space="0" w:color="auto"/>
            <w:bottom w:val="none" w:sz="0" w:space="0" w:color="auto"/>
            <w:right w:val="none" w:sz="0" w:space="0" w:color="auto"/>
          </w:divBdr>
          <w:divsChild>
            <w:div w:id="1506827051">
              <w:marLeft w:val="0"/>
              <w:marRight w:val="0"/>
              <w:marTop w:val="0"/>
              <w:marBottom w:val="0"/>
              <w:divBdr>
                <w:top w:val="none" w:sz="0" w:space="0" w:color="auto"/>
                <w:left w:val="none" w:sz="0" w:space="0" w:color="auto"/>
                <w:bottom w:val="none" w:sz="0" w:space="0" w:color="auto"/>
                <w:right w:val="none" w:sz="0" w:space="0" w:color="auto"/>
              </w:divBdr>
            </w:div>
          </w:divsChild>
        </w:div>
        <w:div w:id="590479649">
          <w:marLeft w:val="0"/>
          <w:marRight w:val="0"/>
          <w:marTop w:val="0"/>
          <w:marBottom w:val="0"/>
          <w:divBdr>
            <w:top w:val="none" w:sz="0" w:space="0" w:color="auto"/>
            <w:left w:val="none" w:sz="0" w:space="0" w:color="auto"/>
            <w:bottom w:val="none" w:sz="0" w:space="0" w:color="auto"/>
            <w:right w:val="none" w:sz="0" w:space="0" w:color="auto"/>
          </w:divBdr>
          <w:divsChild>
            <w:div w:id="857891507">
              <w:marLeft w:val="0"/>
              <w:marRight w:val="0"/>
              <w:marTop w:val="0"/>
              <w:marBottom w:val="0"/>
              <w:divBdr>
                <w:top w:val="none" w:sz="0" w:space="0" w:color="auto"/>
                <w:left w:val="none" w:sz="0" w:space="0" w:color="auto"/>
                <w:bottom w:val="none" w:sz="0" w:space="0" w:color="auto"/>
                <w:right w:val="none" w:sz="0" w:space="0" w:color="auto"/>
              </w:divBdr>
            </w:div>
          </w:divsChild>
        </w:div>
        <w:div w:id="596400143">
          <w:marLeft w:val="0"/>
          <w:marRight w:val="0"/>
          <w:marTop w:val="0"/>
          <w:marBottom w:val="0"/>
          <w:divBdr>
            <w:top w:val="none" w:sz="0" w:space="0" w:color="auto"/>
            <w:left w:val="none" w:sz="0" w:space="0" w:color="auto"/>
            <w:bottom w:val="none" w:sz="0" w:space="0" w:color="auto"/>
            <w:right w:val="none" w:sz="0" w:space="0" w:color="auto"/>
          </w:divBdr>
          <w:divsChild>
            <w:div w:id="217017817">
              <w:marLeft w:val="0"/>
              <w:marRight w:val="0"/>
              <w:marTop w:val="0"/>
              <w:marBottom w:val="0"/>
              <w:divBdr>
                <w:top w:val="none" w:sz="0" w:space="0" w:color="auto"/>
                <w:left w:val="none" w:sz="0" w:space="0" w:color="auto"/>
                <w:bottom w:val="none" w:sz="0" w:space="0" w:color="auto"/>
                <w:right w:val="none" w:sz="0" w:space="0" w:color="auto"/>
              </w:divBdr>
            </w:div>
            <w:div w:id="358243356">
              <w:marLeft w:val="0"/>
              <w:marRight w:val="0"/>
              <w:marTop w:val="0"/>
              <w:marBottom w:val="0"/>
              <w:divBdr>
                <w:top w:val="none" w:sz="0" w:space="0" w:color="auto"/>
                <w:left w:val="none" w:sz="0" w:space="0" w:color="auto"/>
                <w:bottom w:val="none" w:sz="0" w:space="0" w:color="auto"/>
                <w:right w:val="none" w:sz="0" w:space="0" w:color="auto"/>
              </w:divBdr>
            </w:div>
            <w:div w:id="372199300">
              <w:marLeft w:val="0"/>
              <w:marRight w:val="0"/>
              <w:marTop w:val="0"/>
              <w:marBottom w:val="0"/>
              <w:divBdr>
                <w:top w:val="none" w:sz="0" w:space="0" w:color="auto"/>
                <w:left w:val="none" w:sz="0" w:space="0" w:color="auto"/>
                <w:bottom w:val="none" w:sz="0" w:space="0" w:color="auto"/>
                <w:right w:val="none" w:sz="0" w:space="0" w:color="auto"/>
              </w:divBdr>
            </w:div>
            <w:div w:id="431126572">
              <w:marLeft w:val="0"/>
              <w:marRight w:val="0"/>
              <w:marTop w:val="0"/>
              <w:marBottom w:val="0"/>
              <w:divBdr>
                <w:top w:val="none" w:sz="0" w:space="0" w:color="auto"/>
                <w:left w:val="none" w:sz="0" w:space="0" w:color="auto"/>
                <w:bottom w:val="none" w:sz="0" w:space="0" w:color="auto"/>
                <w:right w:val="none" w:sz="0" w:space="0" w:color="auto"/>
              </w:divBdr>
            </w:div>
            <w:div w:id="1078214639">
              <w:marLeft w:val="0"/>
              <w:marRight w:val="0"/>
              <w:marTop w:val="0"/>
              <w:marBottom w:val="0"/>
              <w:divBdr>
                <w:top w:val="none" w:sz="0" w:space="0" w:color="auto"/>
                <w:left w:val="none" w:sz="0" w:space="0" w:color="auto"/>
                <w:bottom w:val="none" w:sz="0" w:space="0" w:color="auto"/>
                <w:right w:val="none" w:sz="0" w:space="0" w:color="auto"/>
              </w:divBdr>
            </w:div>
            <w:div w:id="1291979090">
              <w:marLeft w:val="0"/>
              <w:marRight w:val="0"/>
              <w:marTop w:val="0"/>
              <w:marBottom w:val="0"/>
              <w:divBdr>
                <w:top w:val="none" w:sz="0" w:space="0" w:color="auto"/>
                <w:left w:val="none" w:sz="0" w:space="0" w:color="auto"/>
                <w:bottom w:val="none" w:sz="0" w:space="0" w:color="auto"/>
                <w:right w:val="none" w:sz="0" w:space="0" w:color="auto"/>
              </w:divBdr>
            </w:div>
            <w:div w:id="1298755886">
              <w:marLeft w:val="0"/>
              <w:marRight w:val="0"/>
              <w:marTop w:val="0"/>
              <w:marBottom w:val="0"/>
              <w:divBdr>
                <w:top w:val="none" w:sz="0" w:space="0" w:color="auto"/>
                <w:left w:val="none" w:sz="0" w:space="0" w:color="auto"/>
                <w:bottom w:val="none" w:sz="0" w:space="0" w:color="auto"/>
                <w:right w:val="none" w:sz="0" w:space="0" w:color="auto"/>
              </w:divBdr>
            </w:div>
            <w:div w:id="1593973842">
              <w:marLeft w:val="0"/>
              <w:marRight w:val="0"/>
              <w:marTop w:val="0"/>
              <w:marBottom w:val="0"/>
              <w:divBdr>
                <w:top w:val="none" w:sz="0" w:space="0" w:color="auto"/>
                <w:left w:val="none" w:sz="0" w:space="0" w:color="auto"/>
                <w:bottom w:val="none" w:sz="0" w:space="0" w:color="auto"/>
                <w:right w:val="none" w:sz="0" w:space="0" w:color="auto"/>
              </w:divBdr>
            </w:div>
          </w:divsChild>
        </w:div>
        <w:div w:id="662901880">
          <w:marLeft w:val="0"/>
          <w:marRight w:val="0"/>
          <w:marTop w:val="0"/>
          <w:marBottom w:val="0"/>
          <w:divBdr>
            <w:top w:val="none" w:sz="0" w:space="0" w:color="auto"/>
            <w:left w:val="none" w:sz="0" w:space="0" w:color="auto"/>
            <w:bottom w:val="none" w:sz="0" w:space="0" w:color="auto"/>
            <w:right w:val="none" w:sz="0" w:space="0" w:color="auto"/>
          </w:divBdr>
          <w:divsChild>
            <w:div w:id="1762989012">
              <w:marLeft w:val="0"/>
              <w:marRight w:val="0"/>
              <w:marTop w:val="0"/>
              <w:marBottom w:val="0"/>
              <w:divBdr>
                <w:top w:val="none" w:sz="0" w:space="0" w:color="auto"/>
                <w:left w:val="none" w:sz="0" w:space="0" w:color="auto"/>
                <w:bottom w:val="none" w:sz="0" w:space="0" w:color="auto"/>
                <w:right w:val="none" w:sz="0" w:space="0" w:color="auto"/>
              </w:divBdr>
            </w:div>
          </w:divsChild>
        </w:div>
        <w:div w:id="676611601">
          <w:marLeft w:val="0"/>
          <w:marRight w:val="0"/>
          <w:marTop w:val="0"/>
          <w:marBottom w:val="0"/>
          <w:divBdr>
            <w:top w:val="none" w:sz="0" w:space="0" w:color="auto"/>
            <w:left w:val="none" w:sz="0" w:space="0" w:color="auto"/>
            <w:bottom w:val="none" w:sz="0" w:space="0" w:color="auto"/>
            <w:right w:val="none" w:sz="0" w:space="0" w:color="auto"/>
          </w:divBdr>
          <w:divsChild>
            <w:div w:id="709039720">
              <w:marLeft w:val="0"/>
              <w:marRight w:val="0"/>
              <w:marTop w:val="0"/>
              <w:marBottom w:val="0"/>
              <w:divBdr>
                <w:top w:val="none" w:sz="0" w:space="0" w:color="auto"/>
                <w:left w:val="none" w:sz="0" w:space="0" w:color="auto"/>
                <w:bottom w:val="none" w:sz="0" w:space="0" w:color="auto"/>
                <w:right w:val="none" w:sz="0" w:space="0" w:color="auto"/>
              </w:divBdr>
            </w:div>
          </w:divsChild>
        </w:div>
        <w:div w:id="718818977">
          <w:marLeft w:val="0"/>
          <w:marRight w:val="0"/>
          <w:marTop w:val="0"/>
          <w:marBottom w:val="0"/>
          <w:divBdr>
            <w:top w:val="none" w:sz="0" w:space="0" w:color="auto"/>
            <w:left w:val="none" w:sz="0" w:space="0" w:color="auto"/>
            <w:bottom w:val="none" w:sz="0" w:space="0" w:color="auto"/>
            <w:right w:val="none" w:sz="0" w:space="0" w:color="auto"/>
          </w:divBdr>
          <w:divsChild>
            <w:div w:id="966279457">
              <w:marLeft w:val="0"/>
              <w:marRight w:val="0"/>
              <w:marTop w:val="0"/>
              <w:marBottom w:val="0"/>
              <w:divBdr>
                <w:top w:val="none" w:sz="0" w:space="0" w:color="auto"/>
                <w:left w:val="none" w:sz="0" w:space="0" w:color="auto"/>
                <w:bottom w:val="none" w:sz="0" w:space="0" w:color="auto"/>
                <w:right w:val="none" w:sz="0" w:space="0" w:color="auto"/>
              </w:divBdr>
            </w:div>
          </w:divsChild>
        </w:div>
        <w:div w:id="745569523">
          <w:marLeft w:val="0"/>
          <w:marRight w:val="0"/>
          <w:marTop w:val="0"/>
          <w:marBottom w:val="0"/>
          <w:divBdr>
            <w:top w:val="none" w:sz="0" w:space="0" w:color="auto"/>
            <w:left w:val="none" w:sz="0" w:space="0" w:color="auto"/>
            <w:bottom w:val="none" w:sz="0" w:space="0" w:color="auto"/>
            <w:right w:val="none" w:sz="0" w:space="0" w:color="auto"/>
          </w:divBdr>
          <w:divsChild>
            <w:div w:id="2091805097">
              <w:marLeft w:val="0"/>
              <w:marRight w:val="0"/>
              <w:marTop w:val="0"/>
              <w:marBottom w:val="0"/>
              <w:divBdr>
                <w:top w:val="none" w:sz="0" w:space="0" w:color="auto"/>
                <w:left w:val="none" w:sz="0" w:space="0" w:color="auto"/>
                <w:bottom w:val="none" w:sz="0" w:space="0" w:color="auto"/>
                <w:right w:val="none" w:sz="0" w:space="0" w:color="auto"/>
              </w:divBdr>
            </w:div>
          </w:divsChild>
        </w:div>
        <w:div w:id="763112019">
          <w:marLeft w:val="0"/>
          <w:marRight w:val="0"/>
          <w:marTop w:val="0"/>
          <w:marBottom w:val="0"/>
          <w:divBdr>
            <w:top w:val="none" w:sz="0" w:space="0" w:color="auto"/>
            <w:left w:val="none" w:sz="0" w:space="0" w:color="auto"/>
            <w:bottom w:val="none" w:sz="0" w:space="0" w:color="auto"/>
            <w:right w:val="none" w:sz="0" w:space="0" w:color="auto"/>
          </w:divBdr>
          <w:divsChild>
            <w:div w:id="813718799">
              <w:marLeft w:val="0"/>
              <w:marRight w:val="0"/>
              <w:marTop w:val="0"/>
              <w:marBottom w:val="0"/>
              <w:divBdr>
                <w:top w:val="none" w:sz="0" w:space="0" w:color="auto"/>
                <w:left w:val="none" w:sz="0" w:space="0" w:color="auto"/>
                <w:bottom w:val="none" w:sz="0" w:space="0" w:color="auto"/>
                <w:right w:val="none" w:sz="0" w:space="0" w:color="auto"/>
              </w:divBdr>
            </w:div>
          </w:divsChild>
        </w:div>
        <w:div w:id="789512321">
          <w:marLeft w:val="0"/>
          <w:marRight w:val="0"/>
          <w:marTop w:val="0"/>
          <w:marBottom w:val="0"/>
          <w:divBdr>
            <w:top w:val="none" w:sz="0" w:space="0" w:color="auto"/>
            <w:left w:val="none" w:sz="0" w:space="0" w:color="auto"/>
            <w:bottom w:val="none" w:sz="0" w:space="0" w:color="auto"/>
            <w:right w:val="none" w:sz="0" w:space="0" w:color="auto"/>
          </w:divBdr>
          <w:divsChild>
            <w:div w:id="1595476750">
              <w:marLeft w:val="0"/>
              <w:marRight w:val="0"/>
              <w:marTop w:val="0"/>
              <w:marBottom w:val="0"/>
              <w:divBdr>
                <w:top w:val="none" w:sz="0" w:space="0" w:color="auto"/>
                <w:left w:val="none" w:sz="0" w:space="0" w:color="auto"/>
                <w:bottom w:val="none" w:sz="0" w:space="0" w:color="auto"/>
                <w:right w:val="none" w:sz="0" w:space="0" w:color="auto"/>
              </w:divBdr>
            </w:div>
          </w:divsChild>
        </w:div>
        <w:div w:id="801386737">
          <w:marLeft w:val="0"/>
          <w:marRight w:val="0"/>
          <w:marTop w:val="0"/>
          <w:marBottom w:val="0"/>
          <w:divBdr>
            <w:top w:val="none" w:sz="0" w:space="0" w:color="auto"/>
            <w:left w:val="none" w:sz="0" w:space="0" w:color="auto"/>
            <w:bottom w:val="none" w:sz="0" w:space="0" w:color="auto"/>
            <w:right w:val="none" w:sz="0" w:space="0" w:color="auto"/>
          </w:divBdr>
          <w:divsChild>
            <w:div w:id="1025252212">
              <w:marLeft w:val="0"/>
              <w:marRight w:val="0"/>
              <w:marTop w:val="0"/>
              <w:marBottom w:val="0"/>
              <w:divBdr>
                <w:top w:val="none" w:sz="0" w:space="0" w:color="auto"/>
                <w:left w:val="none" w:sz="0" w:space="0" w:color="auto"/>
                <w:bottom w:val="none" w:sz="0" w:space="0" w:color="auto"/>
                <w:right w:val="none" w:sz="0" w:space="0" w:color="auto"/>
              </w:divBdr>
            </w:div>
          </w:divsChild>
        </w:div>
        <w:div w:id="805125685">
          <w:marLeft w:val="0"/>
          <w:marRight w:val="0"/>
          <w:marTop w:val="0"/>
          <w:marBottom w:val="0"/>
          <w:divBdr>
            <w:top w:val="none" w:sz="0" w:space="0" w:color="auto"/>
            <w:left w:val="none" w:sz="0" w:space="0" w:color="auto"/>
            <w:bottom w:val="none" w:sz="0" w:space="0" w:color="auto"/>
            <w:right w:val="none" w:sz="0" w:space="0" w:color="auto"/>
          </w:divBdr>
          <w:divsChild>
            <w:div w:id="598366769">
              <w:marLeft w:val="0"/>
              <w:marRight w:val="0"/>
              <w:marTop w:val="0"/>
              <w:marBottom w:val="0"/>
              <w:divBdr>
                <w:top w:val="none" w:sz="0" w:space="0" w:color="auto"/>
                <w:left w:val="none" w:sz="0" w:space="0" w:color="auto"/>
                <w:bottom w:val="none" w:sz="0" w:space="0" w:color="auto"/>
                <w:right w:val="none" w:sz="0" w:space="0" w:color="auto"/>
              </w:divBdr>
            </w:div>
          </w:divsChild>
        </w:div>
        <w:div w:id="846481131">
          <w:marLeft w:val="0"/>
          <w:marRight w:val="0"/>
          <w:marTop w:val="0"/>
          <w:marBottom w:val="0"/>
          <w:divBdr>
            <w:top w:val="none" w:sz="0" w:space="0" w:color="auto"/>
            <w:left w:val="none" w:sz="0" w:space="0" w:color="auto"/>
            <w:bottom w:val="none" w:sz="0" w:space="0" w:color="auto"/>
            <w:right w:val="none" w:sz="0" w:space="0" w:color="auto"/>
          </w:divBdr>
          <w:divsChild>
            <w:div w:id="1514417907">
              <w:marLeft w:val="0"/>
              <w:marRight w:val="0"/>
              <w:marTop w:val="0"/>
              <w:marBottom w:val="0"/>
              <w:divBdr>
                <w:top w:val="none" w:sz="0" w:space="0" w:color="auto"/>
                <w:left w:val="none" w:sz="0" w:space="0" w:color="auto"/>
                <w:bottom w:val="none" w:sz="0" w:space="0" w:color="auto"/>
                <w:right w:val="none" w:sz="0" w:space="0" w:color="auto"/>
              </w:divBdr>
            </w:div>
          </w:divsChild>
        </w:div>
        <w:div w:id="847327181">
          <w:marLeft w:val="0"/>
          <w:marRight w:val="0"/>
          <w:marTop w:val="0"/>
          <w:marBottom w:val="0"/>
          <w:divBdr>
            <w:top w:val="none" w:sz="0" w:space="0" w:color="auto"/>
            <w:left w:val="none" w:sz="0" w:space="0" w:color="auto"/>
            <w:bottom w:val="none" w:sz="0" w:space="0" w:color="auto"/>
            <w:right w:val="none" w:sz="0" w:space="0" w:color="auto"/>
          </w:divBdr>
          <w:divsChild>
            <w:div w:id="809979510">
              <w:marLeft w:val="0"/>
              <w:marRight w:val="0"/>
              <w:marTop w:val="0"/>
              <w:marBottom w:val="0"/>
              <w:divBdr>
                <w:top w:val="none" w:sz="0" w:space="0" w:color="auto"/>
                <w:left w:val="none" w:sz="0" w:space="0" w:color="auto"/>
                <w:bottom w:val="none" w:sz="0" w:space="0" w:color="auto"/>
                <w:right w:val="none" w:sz="0" w:space="0" w:color="auto"/>
              </w:divBdr>
            </w:div>
          </w:divsChild>
        </w:div>
        <w:div w:id="876427237">
          <w:marLeft w:val="0"/>
          <w:marRight w:val="0"/>
          <w:marTop w:val="0"/>
          <w:marBottom w:val="0"/>
          <w:divBdr>
            <w:top w:val="none" w:sz="0" w:space="0" w:color="auto"/>
            <w:left w:val="none" w:sz="0" w:space="0" w:color="auto"/>
            <w:bottom w:val="none" w:sz="0" w:space="0" w:color="auto"/>
            <w:right w:val="none" w:sz="0" w:space="0" w:color="auto"/>
          </w:divBdr>
          <w:divsChild>
            <w:div w:id="1005858644">
              <w:marLeft w:val="0"/>
              <w:marRight w:val="0"/>
              <w:marTop w:val="0"/>
              <w:marBottom w:val="0"/>
              <w:divBdr>
                <w:top w:val="none" w:sz="0" w:space="0" w:color="auto"/>
                <w:left w:val="none" w:sz="0" w:space="0" w:color="auto"/>
                <w:bottom w:val="none" w:sz="0" w:space="0" w:color="auto"/>
                <w:right w:val="none" w:sz="0" w:space="0" w:color="auto"/>
              </w:divBdr>
            </w:div>
            <w:div w:id="1358889803">
              <w:marLeft w:val="0"/>
              <w:marRight w:val="0"/>
              <w:marTop w:val="0"/>
              <w:marBottom w:val="0"/>
              <w:divBdr>
                <w:top w:val="none" w:sz="0" w:space="0" w:color="auto"/>
                <w:left w:val="none" w:sz="0" w:space="0" w:color="auto"/>
                <w:bottom w:val="none" w:sz="0" w:space="0" w:color="auto"/>
                <w:right w:val="none" w:sz="0" w:space="0" w:color="auto"/>
              </w:divBdr>
            </w:div>
            <w:div w:id="1486048945">
              <w:marLeft w:val="0"/>
              <w:marRight w:val="0"/>
              <w:marTop w:val="0"/>
              <w:marBottom w:val="0"/>
              <w:divBdr>
                <w:top w:val="none" w:sz="0" w:space="0" w:color="auto"/>
                <w:left w:val="none" w:sz="0" w:space="0" w:color="auto"/>
                <w:bottom w:val="none" w:sz="0" w:space="0" w:color="auto"/>
                <w:right w:val="none" w:sz="0" w:space="0" w:color="auto"/>
              </w:divBdr>
            </w:div>
            <w:div w:id="1567644147">
              <w:marLeft w:val="0"/>
              <w:marRight w:val="0"/>
              <w:marTop w:val="0"/>
              <w:marBottom w:val="0"/>
              <w:divBdr>
                <w:top w:val="none" w:sz="0" w:space="0" w:color="auto"/>
                <w:left w:val="none" w:sz="0" w:space="0" w:color="auto"/>
                <w:bottom w:val="none" w:sz="0" w:space="0" w:color="auto"/>
                <w:right w:val="none" w:sz="0" w:space="0" w:color="auto"/>
              </w:divBdr>
            </w:div>
            <w:div w:id="1831483224">
              <w:marLeft w:val="0"/>
              <w:marRight w:val="0"/>
              <w:marTop w:val="0"/>
              <w:marBottom w:val="0"/>
              <w:divBdr>
                <w:top w:val="none" w:sz="0" w:space="0" w:color="auto"/>
                <w:left w:val="none" w:sz="0" w:space="0" w:color="auto"/>
                <w:bottom w:val="none" w:sz="0" w:space="0" w:color="auto"/>
                <w:right w:val="none" w:sz="0" w:space="0" w:color="auto"/>
              </w:divBdr>
            </w:div>
          </w:divsChild>
        </w:div>
        <w:div w:id="939801984">
          <w:marLeft w:val="0"/>
          <w:marRight w:val="0"/>
          <w:marTop w:val="0"/>
          <w:marBottom w:val="0"/>
          <w:divBdr>
            <w:top w:val="none" w:sz="0" w:space="0" w:color="auto"/>
            <w:left w:val="none" w:sz="0" w:space="0" w:color="auto"/>
            <w:bottom w:val="none" w:sz="0" w:space="0" w:color="auto"/>
            <w:right w:val="none" w:sz="0" w:space="0" w:color="auto"/>
          </w:divBdr>
          <w:divsChild>
            <w:div w:id="888689785">
              <w:marLeft w:val="0"/>
              <w:marRight w:val="0"/>
              <w:marTop w:val="0"/>
              <w:marBottom w:val="0"/>
              <w:divBdr>
                <w:top w:val="none" w:sz="0" w:space="0" w:color="auto"/>
                <w:left w:val="none" w:sz="0" w:space="0" w:color="auto"/>
                <w:bottom w:val="none" w:sz="0" w:space="0" w:color="auto"/>
                <w:right w:val="none" w:sz="0" w:space="0" w:color="auto"/>
              </w:divBdr>
            </w:div>
            <w:div w:id="1318799464">
              <w:marLeft w:val="0"/>
              <w:marRight w:val="0"/>
              <w:marTop w:val="0"/>
              <w:marBottom w:val="0"/>
              <w:divBdr>
                <w:top w:val="none" w:sz="0" w:space="0" w:color="auto"/>
                <w:left w:val="none" w:sz="0" w:space="0" w:color="auto"/>
                <w:bottom w:val="none" w:sz="0" w:space="0" w:color="auto"/>
                <w:right w:val="none" w:sz="0" w:space="0" w:color="auto"/>
              </w:divBdr>
            </w:div>
            <w:div w:id="1502575082">
              <w:marLeft w:val="0"/>
              <w:marRight w:val="0"/>
              <w:marTop w:val="0"/>
              <w:marBottom w:val="0"/>
              <w:divBdr>
                <w:top w:val="none" w:sz="0" w:space="0" w:color="auto"/>
                <w:left w:val="none" w:sz="0" w:space="0" w:color="auto"/>
                <w:bottom w:val="none" w:sz="0" w:space="0" w:color="auto"/>
                <w:right w:val="none" w:sz="0" w:space="0" w:color="auto"/>
              </w:divBdr>
            </w:div>
            <w:div w:id="1537692083">
              <w:marLeft w:val="0"/>
              <w:marRight w:val="0"/>
              <w:marTop w:val="0"/>
              <w:marBottom w:val="0"/>
              <w:divBdr>
                <w:top w:val="none" w:sz="0" w:space="0" w:color="auto"/>
                <w:left w:val="none" w:sz="0" w:space="0" w:color="auto"/>
                <w:bottom w:val="none" w:sz="0" w:space="0" w:color="auto"/>
                <w:right w:val="none" w:sz="0" w:space="0" w:color="auto"/>
              </w:divBdr>
            </w:div>
          </w:divsChild>
        </w:div>
        <w:div w:id="1076904031">
          <w:marLeft w:val="0"/>
          <w:marRight w:val="0"/>
          <w:marTop w:val="0"/>
          <w:marBottom w:val="0"/>
          <w:divBdr>
            <w:top w:val="none" w:sz="0" w:space="0" w:color="auto"/>
            <w:left w:val="none" w:sz="0" w:space="0" w:color="auto"/>
            <w:bottom w:val="none" w:sz="0" w:space="0" w:color="auto"/>
            <w:right w:val="none" w:sz="0" w:space="0" w:color="auto"/>
          </w:divBdr>
          <w:divsChild>
            <w:div w:id="1613321087">
              <w:marLeft w:val="0"/>
              <w:marRight w:val="0"/>
              <w:marTop w:val="0"/>
              <w:marBottom w:val="0"/>
              <w:divBdr>
                <w:top w:val="none" w:sz="0" w:space="0" w:color="auto"/>
                <w:left w:val="none" w:sz="0" w:space="0" w:color="auto"/>
                <w:bottom w:val="none" w:sz="0" w:space="0" w:color="auto"/>
                <w:right w:val="none" w:sz="0" w:space="0" w:color="auto"/>
              </w:divBdr>
            </w:div>
          </w:divsChild>
        </w:div>
        <w:div w:id="1096244411">
          <w:marLeft w:val="0"/>
          <w:marRight w:val="0"/>
          <w:marTop w:val="0"/>
          <w:marBottom w:val="0"/>
          <w:divBdr>
            <w:top w:val="none" w:sz="0" w:space="0" w:color="auto"/>
            <w:left w:val="none" w:sz="0" w:space="0" w:color="auto"/>
            <w:bottom w:val="none" w:sz="0" w:space="0" w:color="auto"/>
            <w:right w:val="none" w:sz="0" w:space="0" w:color="auto"/>
          </w:divBdr>
          <w:divsChild>
            <w:div w:id="2092578895">
              <w:marLeft w:val="0"/>
              <w:marRight w:val="0"/>
              <w:marTop w:val="0"/>
              <w:marBottom w:val="0"/>
              <w:divBdr>
                <w:top w:val="none" w:sz="0" w:space="0" w:color="auto"/>
                <w:left w:val="none" w:sz="0" w:space="0" w:color="auto"/>
                <w:bottom w:val="none" w:sz="0" w:space="0" w:color="auto"/>
                <w:right w:val="none" w:sz="0" w:space="0" w:color="auto"/>
              </w:divBdr>
            </w:div>
          </w:divsChild>
        </w:div>
        <w:div w:id="1108694633">
          <w:marLeft w:val="0"/>
          <w:marRight w:val="0"/>
          <w:marTop w:val="0"/>
          <w:marBottom w:val="0"/>
          <w:divBdr>
            <w:top w:val="none" w:sz="0" w:space="0" w:color="auto"/>
            <w:left w:val="none" w:sz="0" w:space="0" w:color="auto"/>
            <w:bottom w:val="none" w:sz="0" w:space="0" w:color="auto"/>
            <w:right w:val="none" w:sz="0" w:space="0" w:color="auto"/>
          </w:divBdr>
          <w:divsChild>
            <w:div w:id="1840533211">
              <w:marLeft w:val="0"/>
              <w:marRight w:val="0"/>
              <w:marTop w:val="0"/>
              <w:marBottom w:val="0"/>
              <w:divBdr>
                <w:top w:val="none" w:sz="0" w:space="0" w:color="auto"/>
                <w:left w:val="none" w:sz="0" w:space="0" w:color="auto"/>
                <w:bottom w:val="none" w:sz="0" w:space="0" w:color="auto"/>
                <w:right w:val="none" w:sz="0" w:space="0" w:color="auto"/>
              </w:divBdr>
            </w:div>
          </w:divsChild>
        </w:div>
        <w:div w:id="1145120863">
          <w:marLeft w:val="0"/>
          <w:marRight w:val="0"/>
          <w:marTop w:val="0"/>
          <w:marBottom w:val="0"/>
          <w:divBdr>
            <w:top w:val="none" w:sz="0" w:space="0" w:color="auto"/>
            <w:left w:val="none" w:sz="0" w:space="0" w:color="auto"/>
            <w:bottom w:val="none" w:sz="0" w:space="0" w:color="auto"/>
            <w:right w:val="none" w:sz="0" w:space="0" w:color="auto"/>
          </w:divBdr>
          <w:divsChild>
            <w:div w:id="237986571">
              <w:marLeft w:val="0"/>
              <w:marRight w:val="0"/>
              <w:marTop w:val="0"/>
              <w:marBottom w:val="0"/>
              <w:divBdr>
                <w:top w:val="none" w:sz="0" w:space="0" w:color="auto"/>
                <w:left w:val="none" w:sz="0" w:space="0" w:color="auto"/>
                <w:bottom w:val="none" w:sz="0" w:space="0" w:color="auto"/>
                <w:right w:val="none" w:sz="0" w:space="0" w:color="auto"/>
              </w:divBdr>
            </w:div>
          </w:divsChild>
        </w:div>
        <w:div w:id="1160198804">
          <w:marLeft w:val="0"/>
          <w:marRight w:val="0"/>
          <w:marTop w:val="0"/>
          <w:marBottom w:val="0"/>
          <w:divBdr>
            <w:top w:val="none" w:sz="0" w:space="0" w:color="auto"/>
            <w:left w:val="none" w:sz="0" w:space="0" w:color="auto"/>
            <w:bottom w:val="none" w:sz="0" w:space="0" w:color="auto"/>
            <w:right w:val="none" w:sz="0" w:space="0" w:color="auto"/>
          </w:divBdr>
          <w:divsChild>
            <w:div w:id="505245582">
              <w:marLeft w:val="0"/>
              <w:marRight w:val="0"/>
              <w:marTop w:val="0"/>
              <w:marBottom w:val="0"/>
              <w:divBdr>
                <w:top w:val="none" w:sz="0" w:space="0" w:color="auto"/>
                <w:left w:val="none" w:sz="0" w:space="0" w:color="auto"/>
                <w:bottom w:val="none" w:sz="0" w:space="0" w:color="auto"/>
                <w:right w:val="none" w:sz="0" w:space="0" w:color="auto"/>
              </w:divBdr>
            </w:div>
          </w:divsChild>
        </w:div>
        <w:div w:id="1184588868">
          <w:marLeft w:val="0"/>
          <w:marRight w:val="0"/>
          <w:marTop w:val="0"/>
          <w:marBottom w:val="0"/>
          <w:divBdr>
            <w:top w:val="none" w:sz="0" w:space="0" w:color="auto"/>
            <w:left w:val="none" w:sz="0" w:space="0" w:color="auto"/>
            <w:bottom w:val="none" w:sz="0" w:space="0" w:color="auto"/>
            <w:right w:val="none" w:sz="0" w:space="0" w:color="auto"/>
          </w:divBdr>
          <w:divsChild>
            <w:div w:id="682517132">
              <w:marLeft w:val="0"/>
              <w:marRight w:val="0"/>
              <w:marTop w:val="0"/>
              <w:marBottom w:val="0"/>
              <w:divBdr>
                <w:top w:val="none" w:sz="0" w:space="0" w:color="auto"/>
                <w:left w:val="none" w:sz="0" w:space="0" w:color="auto"/>
                <w:bottom w:val="none" w:sz="0" w:space="0" w:color="auto"/>
                <w:right w:val="none" w:sz="0" w:space="0" w:color="auto"/>
              </w:divBdr>
            </w:div>
          </w:divsChild>
        </w:div>
        <w:div w:id="1280918854">
          <w:marLeft w:val="0"/>
          <w:marRight w:val="0"/>
          <w:marTop w:val="0"/>
          <w:marBottom w:val="0"/>
          <w:divBdr>
            <w:top w:val="none" w:sz="0" w:space="0" w:color="auto"/>
            <w:left w:val="none" w:sz="0" w:space="0" w:color="auto"/>
            <w:bottom w:val="none" w:sz="0" w:space="0" w:color="auto"/>
            <w:right w:val="none" w:sz="0" w:space="0" w:color="auto"/>
          </w:divBdr>
          <w:divsChild>
            <w:div w:id="1605113419">
              <w:marLeft w:val="0"/>
              <w:marRight w:val="0"/>
              <w:marTop w:val="0"/>
              <w:marBottom w:val="0"/>
              <w:divBdr>
                <w:top w:val="none" w:sz="0" w:space="0" w:color="auto"/>
                <w:left w:val="none" w:sz="0" w:space="0" w:color="auto"/>
                <w:bottom w:val="none" w:sz="0" w:space="0" w:color="auto"/>
                <w:right w:val="none" w:sz="0" w:space="0" w:color="auto"/>
              </w:divBdr>
            </w:div>
          </w:divsChild>
        </w:div>
        <w:div w:id="1294402991">
          <w:marLeft w:val="0"/>
          <w:marRight w:val="0"/>
          <w:marTop w:val="0"/>
          <w:marBottom w:val="0"/>
          <w:divBdr>
            <w:top w:val="none" w:sz="0" w:space="0" w:color="auto"/>
            <w:left w:val="none" w:sz="0" w:space="0" w:color="auto"/>
            <w:bottom w:val="none" w:sz="0" w:space="0" w:color="auto"/>
            <w:right w:val="none" w:sz="0" w:space="0" w:color="auto"/>
          </w:divBdr>
          <w:divsChild>
            <w:div w:id="482087405">
              <w:marLeft w:val="0"/>
              <w:marRight w:val="0"/>
              <w:marTop w:val="0"/>
              <w:marBottom w:val="0"/>
              <w:divBdr>
                <w:top w:val="none" w:sz="0" w:space="0" w:color="auto"/>
                <w:left w:val="none" w:sz="0" w:space="0" w:color="auto"/>
                <w:bottom w:val="none" w:sz="0" w:space="0" w:color="auto"/>
                <w:right w:val="none" w:sz="0" w:space="0" w:color="auto"/>
              </w:divBdr>
            </w:div>
          </w:divsChild>
        </w:div>
        <w:div w:id="1356685860">
          <w:marLeft w:val="0"/>
          <w:marRight w:val="0"/>
          <w:marTop w:val="0"/>
          <w:marBottom w:val="0"/>
          <w:divBdr>
            <w:top w:val="none" w:sz="0" w:space="0" w:color="auto"/>
            <w:left w:val="none" w:sz="0" w:space="0" w:color="auto"/>
            <w:bottom w:val="none" w:sz="0" w:space="0" w:color="auto"/>
            <w:right w:val="none" w:sz="0" w:space="0" w:color="auto"/>
          </w:divBdr>
          <w:divsChild>
            <w:div w:id="435758148">
              <w:marLeft w:val="0"/>
              <w:marRight w:val="0"/>
              <w:marTop w:val="0"/>
              <w:marBottom w:val="0"/>
              <w:divBdr>
                <w:top w:val="none" w:sz="0" w:space="0" w:color="auto"/>
                <w:left w:val="none" w:sz="0" w:space="0" w:color="auto"/>
                <w:bottom w:val="none" w:sz="0" w:space="0" w:color="auto"/>
                <w:right w:val="none" w:sz="0" w:space="0" w:color="auto"/>
              </w:divBdr>
            </w:div>
          </w:divsChild>
        </w:div>
        <w:div w:id="1384135620">
          <w:marLeft w:val="0"/>
          <w:marRight w:val="0"/>
          <w:marTop w:val="0"/>
          <w:marBottom w:val="0"/>
          <w:divBdr>
            <w:top w:val="none" w:sz="0" w:space="0" w:color="auto"/>
            <w:left w:val="none" w:sz="0" w:space="0" w:color="auto"/>
            <w:bottom w:val="none" w:sz="0" w:space="0" w:color="auto"/>
            <w:right w:val="none" w:sz="0" w:space="0" w:color="auto"/>
          </w:divBdr>
          <w:divsChild>
            <w:div w:id="1041831286">
              <w:marLeft w:val="0"/>
              <w:marRight w:val="0"/>
              <w:marTop w:val="0"/>
              <w:marBottom w:val="0"/>
              <w:divBdr>
                <w:top w:val="none" w:sz="0" w:space="0" w:color="auto"/>
                <w:left w:val="none" w:sz="0" w:space="0" w:color="auto"/>
                <w:bottom w:val="none" w:sz="0" w:space="0" w:color="auto"/>
                <w:right w:val="none" w:sz="0" w:space="0" w:color="auto"/>
              </w:divBdr>
            </w:div>
          </w:divsChild>
        </w:div>
        <w:div w:id="1400325477">
          <w:marLeft w:val="0"/>
          <w:marRight w:val="0"/>
          <w:marTop w:val="0"/>
          <w:marBottom w:val="0"/>
          <w:divBdr>
            <w:top w:val="none" w:sz="0" w:space="0" w:color="auto"/>
            <w:left w:val="none" w:sz="0" w:space="0" w:color="auto"/>
            <w:bottom w:val="none" w:sz="0" w:space="0" w:color="auto"/>
            <w:right w:val="none" w:sz="0" w:space="0" w:color="auto"/>
          </w:divBdr>
          <w:divsChild>
            <w:div w:id="193814246">
              <w:marLeft w:val="0"/>
              <w:marRight w:val="0"/>
              <w:marTop w:val="0"/>
              <w:marBottom w:val="0"/>
              <w:divBdr>
                <w:top w:val="none" w:sz="0" w:space="0" w:color="auto"/>
                <w:left w:val="none" w:sz="0" w:space="0" w:color="auto"/>
                <w:bottom w:val="none" w:sz="0" w:space="0" w:color="auto"/>
                <w:right w:val="none" w:sz="0" w:space="0" w:color="auto"/>
              </w:divBdr>
            </w:div>
          </w:divsChild>
        </w:div>
        <w:div w:id="1408578466">
          <w:marLeft w:val="0"/>
          <w:marRight w:val="0"/>
          <w:marTop w:val="0"/>
          <w:marBottom w:val="0"/>
          <w:divBdr>
            <w:top w:val="none" w:sz="0" w:space="0" w:color="auto"/>
            <w:left w:val="none" w:sz="0" w:space="0" w:color="auto"/>
            <w:bottom w:val="none" w:sz="0" w:space="0" w:color="auto"/>
            <w:right w:val="none" w:sz="0" w:space="0" w:color="auto"/>
          </w:divBdr>
          <w:divsChild>
            <w:div w:id="1291519362">
              <w:marLeft w:val="0"/>
              <w:marRight w:val="0"/>
              <w:marTop w:val="0"/>
              <w:marBottom w:val="0"/>
              <w:divBdr>
                <w:top w:val="none" w:sz="0" w:space="0" w:color="auto"/>
                <w:left w:val="none" w:sz="0" w:space="0" w:color="auto"/>
                <w:bottom w:val="none" w:sz="0" w:space="0" w:color="auto"/>
                <w:right w:val="none" w:sz="0" w:space="0" w:color="auto"/>
              </w:divBdr>
            </w:div>
          </w:divsChild>
        </w:div>
        <w:div w:id="1488522358">
          <w:marLeft w:val="0"/>
          <w:marRight w:val="0"/>
          <w:marTop w:val="0"/>
          <w:marBottom w:val="0"/>
          <w:divBdr>
            <w:top w:val="none" w:sz="0" w:space="0" w:color="auto"/>
            <w:left w:val="none" w:sz="0" w:space="0" w:color="auto"/>
            <w:bottom w:val="none" w:sz="0" w:space="0" w:color="auto"/>
            <w:right w:val="none" w:sz="0" w:space="0" w:color="auto"/>
          </w:divBdr>
          <w:divsChild>
            <w:div w:id="1929192733">
              <w:marLeft w:val="0"/>
              <w:marRight w:val="0"/>
              <w:marTop w:val="0"/>
              <w:marBottom w:val="0"/>
              <w:divBdr>
                <w:top w:val="none" w:sz="0" w:space="0" w:color="auto"/>
                <w:left w:val="none" w:sz="0" w:space="0" w:color="auto"/>
                <w:bottom w:val="none" w:sz="0" w:space="0" w:color="auto"/>
                <w:right w:val="none" w:sz="0" w:space="0" w:color="auto"/>
              </w:divBdr>
            </w:div>
          </w:divsChild>
        </w:div>
        <w:div w:id="1555459110">
          <w:marLeft w:val="0"/>
          <w:marRight w:val="0"/>
          <w:marTop w:val="0"/>
          <w:marBottom w:val="0"/>
          <w:divBdr>
            <w:top w:val="none" w:sz="0" w:space="0" w:color="auto"/>
            <w:left w:val="none" w:sz="0" w:space="0" w:color="auto"/>
            <w:bottom w:val="none" w:sz="0" w:space="0" w:color="auto"/>
            <w:right w:val="none" w:sz="0" w:space="0" w:color="auto"/>
          </w:divBdr>
          <w:divsChild>
            <w:div w:id="1596933581">
              <w:marLeft w:val="0"/>
              <w:marRight w:val="0"/>
              <w:marTop w:val="0"/>
              <w:marBottom w:val="0"/>
              <w:divBdr>
                <w:top w:val="none" w:sz="0" w:space="0" w:color="auto"/>
                <w:left w:val="none" w:sz="0" w:space="0" w:color="auto"/>
                <w:bottom w:val="none" w:sz="0" w:space="0" w:color="auto"/>
                <w:right w:val="none" w:sz="0" w:space="0" w:color="auto"/>
              </w:divBdr>
            </w:div>
          </w:divsChild>
        </w:div>
        <w:div w:id="1584610982">
          <w:marLeft w:val="0"/>
          <w:marRight w:val="0"/>
          <w:marTop w:val="0"/>
          <w:marBottom w:val="0"/>
          <w:divBdr>
            <w:top w:val="none" w:sz="0" w:space="0" w:color="auto"/>
            <w:left w:val="none" w:sz="0" w:space="0" w:color="auto"/>
            <w:bottom w:val="none" w:sz="0" w:space="0" w:color="auto"/>
            <w:right w:val="none" w:sz="0" w:space="0" w:color="auto"/>
          </w:divBdr>
          <w:divsChild>
            <w:div w:id="535656629">
              <w:marLeft w:val="0"/>
              <w:marRight w:val="0"/>
              <w:marTop w:val="0"/>
              <w:marBottom w:val="0"/>
              <w:divBdr>
                <w:top w:val="none" w:sz="0" w:space="0" w:color="auto"/>
                <w:left w:val="none" w:sz="0" w:space="0" w:color="auto"/>
                <w:bottom w:val="none" w:sz="0" w:space="0" w:color="auto"/>
                <w:right w:val="none" w:sz="0" w:space="0" w:color="auto"/>
              </w:divBdr>
            </w:div>
          </w:divsChild>
        </w:div>
        <w:div w:id="1628272257">
          <w:marLeft w:val="0"/>
          <w:marRight w:val="0"/>
          <w:marTop w:val="0"/>
          <w:marBottom w:val="0"/>
          <w:divBdr>
            <w:top w:val="none" w:sz="0" w:space="0" w:color="auto"/>
            <w:left w:val="none" w:sz="0" w:space="0" w:color="auto"/>
            <w:bottom w:val="none" w:sz="0" w:space="0" w:color="auto"/>
            <w:right w:val="none" w:sz="0" w:space="0" w:color="auto"/>
          </w:divBdr>
          <w:divsChild>
            <w:div w:id="1410729320">
              <w:marLeft w:val="0"/>
              <w:marRight w:val="0"/>
              <w:marTop w:val="0"/>
              <w:marBottom w:val="0"/>
              <w:divBdr>
                <w:top w:val="none" w:sz="0" w:space="0" w:color="auto"/>
                <w:left w:val="none" w:sz="0" w:space="0" w:color="auto"/>
                <w:bottom w:val="none" w:sz="0" w:space="0" w:color="auto"/>
                <w:right w:val="none" w:sz="0" w:space="0" w:color="auto"/>
              </w:divBdr>
            </w:div>
          </w:divsChild>
        </w:div>
        <w:div w:id="1640529415">
          <w:marLeft w:val="0"/>
          <w:marRight w:val="0"/>
          <w:marTop w:val="0"/>
          <w:marBottom w:val="0"/>
          <w:divBdr>
            <w:top w:val="none" w:sz="0" w:space="0" w:color="auto"/>
            <w:left w:val="none" w:sz="0" w:space="0" w:color="auto"/>
            <w:bottom w:val="none" w:sz="0" w:space="0" w:color="auto"/>
            <w:right w:val="none" w:sz="0" w:space="0" w:color="auto"/>
          </w:divBdr>
          <w:divsChild>
            <w:div w:id="1060052666">
              <w:marLeft w:val="0"/>
              <w:marRight w:val="0"/>
              <w:marTop w:val="0"/>
              <w:marBottom w:val="0"/>
              <w:divBdr>
                <w:top w:val="none" w:sz="0" w:space="0" w:color="auto"/>
                <w:left w:val="none" w:sz="0" w:space="0" w:color="auto"/>
                <w:bottom w:val="none" w:sz="0" w:space="0" w:color="auto"/>
                <w:right w:val="none" w:sz="0" w:space="0" w:color="auto"/>
              </w:divBdr>
            </w:div>
          </w:divsChild>
        </w:div>
        <w:div w:id="1642729211">
          <w:marLeft w:val="0"/>
          <w:marRight w:val="0"/>
          <w:marTop w:val="0"/>
          <w:marBottom w:val="0"/>
          <w:divBdr>
            <w:top w:val="none" w:sz="0" w:space="0" w:color="auto"/>
            <w:left w:val="none" w:sz="0" w:space="0" w:color="auto"/>
            <w:bottom w:val="none" w:sz="0" w:space="0" w:color="auto"/>
            <w:right w:val="none" w:sz="0" w:space="0" w:color="auto"/>
          </w:divBdr>
          <w:divsChild>
            <w:div w:id="1255673776">
              <w:marLeft w:val="0"/>
              <w:marRight w:val="0"/>
              <w:marTop w:val="0"/>
              <w:marBottom w:val="0"/>
              <w:divBdr>
                <w:top w:val="none" w:sz="0" w:space="0" w:color="auto"/>
                <w:left w:val="none" w:sz="0" w:space="0" w:color="auto"/>
                <w:bottom w:val="none" w:sz="0" w:space="0" w:color="auto"/>
                <w:right w:val="none" w:sz="0" w:space="0" w:color="auto"/>
              </w:divBdr>
            </w:div>
          </w:divsChild>
        </w:div>
        <w:div w:id="1703356771">
          <w:marLeft w:val="0"/>
          <w:marRight w:val="0"/>
          <w:marTop w:val="0"/>
          <w:marBottom w:val="0"/>
          <w:divBdr>
            <w:top w:val="none" w:sz="0" w:space="0" w:color="auto"/>
            <w:left w:val="none" w:sz="0" w:space="0" w:color="auto"/>
            <w:bottom w:val="none" w:sz="0" w:space="0" w:color="auto"/>
            <w:right w:val="none" w:sz="0" w:space="0" w:color="auto"/>
          </w:divBdr>
          <w:divsChild>
            <w:div w:id="1308903358">
              <w:marLeft w:val="0"/>
              <w:marRight w:val="0"/>
              <w:marTop w:val="0"/>
              <w:marBottom w:val="0"/>
              <w:divBdr>
                <w:top w:val="none" w:sz="0" w:space="0" w:color="auto"/>
                <w:left w:val="none" w:sz="0" w:space="0" w:color="auto"/>
                <w:bottom w:val="none" w:sz="0" w:space="0" w:color="auto"/>
                <w:right w:val="none" w:sz="0" w:space="0" w:color="auto"/>
              </w:divBdr>
            </w:div>
          </w:divsChild>
        </w:div>
        <w:div w:id="1823081746">
          <w:marLeft w:val="0"/>
          <w:marRight w:val="0"/>
          <w:marTop w:val="0"/>
          <w:marBottom w:val="0"/>
          <w:divBdr>
            <w:top w:val="none" w:sz="0" w:space="0" w:color="auto"/>
            <w:left w:val="none" w:sz="0" w:space="0" w:color="auto"/>
            <w:bottom w:val="none" w:sz="0" w:space="0" w:color="auto"/>
            <w:right w:val="none" w:sz="0" w:space="0" w:color="auto"/>
          </w:divBdr>
          <w:divsChild>
            <w:div w:id="990868951">
              <w:marLeft w:val="0"/>
              <w:marRight w:val="0"/>
              <w:marTop w:val="0"/>
              <w:marBottom w:val="0"/>
              <w:divBdr>
                <w:top w:val="none" w:sz="0" w:space="0" w:color="auto"/>
                <w:left w:val="none" w:sz="0" w:space="0" w:color="auto"/>
                <w:bottom w:val="none" w:sz="0" w:space="0" w:color="auto"/>
                <w:right w:val="none" w:sz="0" w:space="0" w:color="auto"/>
              </w:divBdr>
            </w:div>
          </w:divsChild>
        </w:div>
        <w:div w:id="1828940639">
          <w:marLeft w:val="0"/>
          <w:marRight w:val="0"/>
          <w:marTop w:val="0"/>
          <w:marBottom w:val="0"/>
          <w:divBdr>
            <w:top w:val="none" w:sz="0" w:space="0" w:color="auto"/>
            <w:left w:val="none" w:sz="0" w:space="0" w:color="auto"/>
            <w:bottom w:val="none" w:sz="0" w:space="0" w:color="auto"/>
            <w:right w:val="none" w:sz="0" w:space="0" w:color="auto"/>
          </w:divBdr>
          <w:divsChild>
            <w:div w:id="1912504268">
              <w:marLeft w:val="0"/>
              <w:marRight w:val="0"/>
              <w:marTop w:val="0"/>
              <w:marBottom w:val="0"/>
              <w:divBdr>
                <w:top w:val="none" w:sz="0" w:space="0" w:color="auto"/>
                <w:left w:val="none" w:sz="0" w:space="0" w:color="auto"/>
                <w:bottom w:val="none" w:sz="0" w:space="0" w:color="auto"/>
                <w:right w:val="none" w:sz="0" w:space="0" w:color="auto"/>
              </w:divBdr>
            </w:div>
          </w:divsChild>
        </w:div>
        <w:div w:id="1876190574">
          <w:marLeft w:val="0"/>
          <w:marRight w:val="0"/>
          <w:marTop w:val="0"/>
          <w:marBottom w:val="0"/>
          <w:divBdr>
            <w:top w:val="none" w:sz="0" w:space="0" w:color="auto"/>
            <w:left w:val="none" w:sz="0" w:space="0" w:color="auto"/>
            <w:bottom w:val="none" w:sz="0" w:space="0" w:color="auto"/>
            <w:right w:val="none" w:sz="0" w:space="0" w:color="auto"/>
          </w:divBdr>
          <w:divsChild>
            <w:div w:id="593442045">
              <w:marLeft w:val="0"/>
              <w:marRight w:val="0"/>
              <w:marTop w:val="0"/>
              <w:marBottom w:val="0"/>
              <w:divBdr>
                <w:top w:val="none" w:sz="0" w:space="0" w:color="auto"/>
                <w:left w:val="none" w:sz="0" w:space="0" w:color="auto"/>
                <w:bottom w:val="none" w:sz="0" w:space="0" w:color="auto"/>
                <w:right w:val="none" w:sz="0" w:space="0" w:color="auto"/>
              </w:divBdr>
            </w:div>
          </w:divsChild>
        </w:div>
        <w:div w:id="1989892547">
          <w:marLeft w:val="0"/>
          <w:marRight w:val="0"/>
          <w:marTop w:val="0"/>
          <w:marBottom w:val="0"/>
          <w:divBdr>
            <w:top w:val="none" w:sz="0" w:space="0" w:color="auto"/>
            <w:left w:val="none" w:sz="0" w:space="0" w:color="auto"/>
            <w:bottom w:val="none" w:sz="0" w:space="0" w:color="auto"/>
            <w:right w:val="none" w:sz="0" w:space="0" w:color="auto"/>
          </w:divBdr>
          <w:divsChild>
            <w:div w:id="116919343">
              <w:marLeft w:val="0"/>
              <w:marRight w:val="0"/>
              <w:marTop w:val="0"/>
              <w:marBottom w:val="0"/>
              <w:divBdr>
                <w:top w:val="none" w:sz="0" w:space="0" w:color="auto"/>
                <w:left w:val="none" w:sz="0" w:space="0" w:color="auto"/>
                <w:bottom w:val="none" w:sz="0" w:space="0" w:color="auto"/>
                <w:right w:val="none" w:sz="0" w:space="0" w:color="auto"/>
              </w:divBdr>
            </w:div>
          </w:divsChild>
        </w:div>
        <w:div w:id="2013753485">
          <w:marLeft w:val="0"/>
          <w:marRight w:val="0"/>
          <w:marTop w:val="0"/>
          <w:marBottom w:val="0"/>
          <w:divBdr>
            <w:top w:val="none" w:sz="0" w:space="0" w:color="auto"/>
            <w:left w:val="none" w:sz="0" w:space="0" w:color="auto"/>
            <w:bottom w:val="none" w:sz="0" w:space="0" w:color="auto"/>
            <w:right w:val="none" w:sz="0" w:space="0" w:color="auto"/>
          </w:divBdr>
          <w:divsChild>
            <w:div w:id="1607039778">
              <w:marLeft w:val="0"/>
              <w:marRight w:val="0"/>
              <w:marTop w:val="0"/>
              <w:marBottom w:val="0"/>
              <w:divBdr>
                <w:top w:val="none" w:sz="0" w:space="0" w:color="auto"/>
                <w:left w:val="none" w:sz="0" w:space="0" w:color="auto"/>
                <w:bottom w:val="none" w:sz="0" w:space="0" w:color="auto"/>
                <w:right w:val="none" w:sz="0" w:space="0" w:color="auto"/>
              </w:divBdr>
            </w:div>
          </w:divsChild>
        </w:div>
        <w:div w:id="2050834304">
          <w:marLeft w:val="0"/>
          <w:marRight w:val="0"/>
          <w:marTop w:val="0"/>
          <w:marBottom w:val="0"/>
          <w:divBdr>
            <w:top w:val="none" w:sz="0" w:space="0" w:color="auto"/>
            <w:left w:val="none" w:sz="0" w:space="0" w:color="auto"/>
            <w:bottom w:val="none" w:sz="0" w:space="0" w:color="auto"/>
            <w:right w:val="none" w:sz="0" w:space="0" w:color="auto"/>
          </w:divBdr>
          <w:divsChild>
            <w:div w:id="1529558913">
              <w:marLeft w:val="0"/>
              <w:marRight w:val="0"/>
              <w:marTop w:val="0"/>
              <w:marBottom w:val="0"/>
              <w:divBdr>
                <w:top w:val="none" w:sz="0" w:space="0" w:color="auto"/>
                <w:left w:val="none" w:sz="0" w:space="0" w:color="auto"/>
                <w:bottom w:val="none" w:sz="0" w:space="0" w:color="auto"/>
                <w:right w:val="none" w:sz="0" w:space="0" w:color="auto"/>
              </w:divBdr>
            </w:div>
          </w:divsChild>
        </w:div>
        <w:div w:id="2079014895">
          <w:marLeft w:val="0"/>
          <w:marRight w:val="0"/>
          <w:marTop w:val="0"/>
          <w:marBottom w:val="0"/>
          <w:divBdr>
            <w:top w:val="none" w:sz="0" w:space="0" w:color="auto"/>
            <w:left w:val="none" w:sz="0" w:space="0" w:color="auto"/>
            <w:bottom w:val="none" w:sz="0" w:space="0" w:color="auto"/>
            <w:right w:val="none" w:sz="0" w:space="0" w:color="auto"/>
          </w:divBdr>
          <w:divsChild>
            <w:div w:id="666903784">
              <w:marLeft w:val="0"/>
              <w:marRight w:val="0"/>
              <w:marTop w:val="0"/>
              <w:marBottom w:val="0"/>
              <w:divBdr>
                <w:top w:val="none" w:sz="0" w:space="0" w:color="auto"/>
                <w:left w:val="none" w:sz="0" w:space="0" w:color="auto"/>
                <w:bottom w:val="none" w:sz="0" w:space="0" w:color="auto"/>
                <w:right w:val="none" w:sz="0" w:space="0" w:color="auto"/>
              </w:divBdr>
            </w:div>
          </w:divsChild>
        </w:div>
        <w:div w:id="2125492172">
          <w:marLeft w:val="0"/>
          <w:marRight w:val="0"/>
          <w:marTop w:val="0"/>
          <w:marBottom w:val="0"/>
          <w:divBdr>
            <w:top w:val="none" w:sz="0" w:space="0" w:color="auto"/>
            <w:left w:val="none" w:sz="0" w:space="0" w:color="auto"/>
            <w:bottom w:val="none" w:sz="0" w:space="0" w:color="auto"/>
            <w:right w:val="none" w:sz="0" w:space="0" w:color="auto"/>
          </w:divBdr>
          <w:divsChild>
            <w:div w:id="1410232221">
              <w:marLeft w:val="0"/>
              <w:marRight w:val="0"/>
              <w:marTop w:val="0"/>
              <w:marBottom w:val="0"/>
              <w:divBdr>
                <w:top w:val="none" w:sz="0" w:space="0" w:color="auto"/>
                <w:left w:val="none" w:sz="0" w:space="0" w:color="auto"/>
                <w:bottom w:val="none" w:sz="0" w:space="0" w:color="auto"/>
                <w:right w:val="none" w:sz="0" w:space="0" w:color="auto"/>
              </w:divBdr>
            </w:div>
          </w:divsChild>
        </w:div>
        <w:div w:id="2133790658">
          <w:marLeft w:val="0"/>
          <w:marRight w:val="0"/>
          <w:marTop w:val="0"/>
          <w:marBottom w:val="0"/>
          <w:divBdr>
            <w:top w:val="none" w:sz="0" w:space="0" w:color="auto"/>
            <w:left w:val="none" w:sz="0" w:space="0" w:color="auto"/>
            <w:bottom w:val="none" w:sz="0" w:space="0" w:color="auto"/>
            <w:right w:val="none" w:sz="0" w:space="0" w:color="auto"/>
          </w:divBdr>
          <w:divsChild>
            <w:div w:id="209855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77780">
      <w:bodyDiv w:val="1"/>
      <w:marLeft w:val="0"/>
      <w:marRight w:val="0"/>
      <w:marTop w:val="0"/>
      <w:marBottom w:val="0"/>
      <w:divBdr>
        <w:top w:val="none" w:sz="0" w:space="0" w:color="auto"/>
        <w:left w:val="none" w:sz="0" w:space="0" w:color="auto"/>
        <w:bottom w:val="none" w:sz="0" w:space="0" w:color="auto"/>
        <w:right w:val="none" w:sz="0" w:space="0" w:color="auto"/>
      </w:divBdr>
    </w:div>
    <w:div w:id="1534343794">
      <w:bodyDiv w:val="1"/>
      <w:marLeft w:val="0"/>
      <w:marRight w:val="0"/>
      <w:marTop w:val="0"/>
      <w:marBottom w:val="0"/>
      <w:divBdr>
        <w:top w:val="none" w:sz="0" w:space="0" w:color="auto"/>
        <w:left w:val="none" w:sz="0" w:space="0" w:color="auto"/>
        <w:bottom w:val="none" w:sz="0" w:space="0" w:color="auto"/>
        <w:right w:val="none" w:sz="0" w:space="0" w:color="auto"/>
      </w:divBdr>
    </w:div>
    <w:div w:id="1547720507">
      <w:bodyDiv w:val="1"/>
      <w:marLeft w:val="0"/>
      <w:marRight w:val="0"/>
      <w:marTop w:val="0"/>
      <w:marBottom w:val="0"/>
      <w:divBdr>
        <w:top w:val="none" w:sz="0" w:space="0" w:color="auto"/>
        <w:left w:val="none" w:sz="0" w:space="0" w:color="auto"/>
        <w:bottom w:val="none" w:sz="0" w:space="0" w:color="auto"/>
        <w:right w:val="none" w:sz="0" w:space="0" w:color="auto"/>
      </w:divBdr>
    </w:div>
    <w:div w:id="1551650892">
      <w:bodyDiv w:val="1"/>
      <w:marLeft w:val="0"/>
      <w:marRight w:val="0"/>
      <w:marTop w:val="0"/>
      <w:marBottom w:val="0"/>
      <w:divBdr>
        <w:top w:val="none" w:sz="0" w:space="0" w:color="auto"/>
        <w:left w:val="none" w:sz="0" w:space="0" w:color="auto"/>
        <w:bottom w:val="none" w:sz="0" w:space="0" w:color="auto"/>
        <w:right w:val="none" w:sz="0" w:space="0" w:color="auto"/>
      </w:divBdr>
      <w:divsChild>
        <w:div w:id="1539319346">
          <w:marLeft w:val="0"/>
          <w:marRight w:val="0"/>
          <w:marTop w:val="0"/>
          <w:marBottom w:val="0"/>
          <w:divBdr>
            <w:top w:val="none" w:sz="0" w:space="0" w:color="auto"/>
            <w:left w:val="none" w:sz="0" w:space="0" w:color="auto"/>
            <w:bottom w:val="none" w:sz="0" w:space="0" w:color="auto"/>
            <w:right w:val="none" w:sz="0" w:space="0" w:color="auto"/>
          </w:divBdr>
          <w:divsChild>
            <w:div w:id="1518541922">
              <w:marLeft w:val="0"/>
              <w:marRight w:val="0"/>
              <w:marTop w:val="0"/>
              <w:marBottom w:val="0"/>
              <w:divBdr>
                <w:top w:val="none" w:sz="0" w:space="0" w:color="auto"/>
                <w:left w:val="none" w:sz="0" w:space="0" w:color="auto"/>
                <w:bottom w:val="none" w:sz="0" w:space="0" w:color="auto"/>
                <w:right w:val="none" w:sz="0" w:space="0" w:color="auto"/>
              </w:divBdr>
              <w:divsChild>
                <w:div w:id="1645116490">
                  <w:marLeft w:val="0"/>
                  <w:marRight w:val="0"/>
                  <w:marTop w:val="0"/>
                  <w:marBottom w:val="0"/>
                  <w:divBdr>
                    <w:top w:val="none" w:sz="0" w:space="0" w:color="auto"/>
                    <w:left w:val="none" w:sz="0" w:space="0" w:color="auto"/>
                    <w:bottom w:val="none" w:sz="0" w:space="0" w:color="auto"/>
                    <w:right w:val="none" w:sz="0" w:space="0" w:color="auto"/>
                  </w:divBdr>
                  <w:divsChild>
                    <w:div w:id="469443826">
                      <w:marLeft w:val="0"/>
                      <w:marRight w:val="0"/>
                      <w:marTop w:val="0"/>
                      <w:marBottom w:val="0"/>
                      <w:divBdr>
                        <w:top w:val="none" w:sz="0" w:space="0" w:color="auto"/>
                        <w:left w:val="none" w:sz="0" w:space="0" w:color="auto"/>
                        <w:bottom w:val="none" w:sz="0" w:space="0" w:color="auto"/>
                        <w:right w:val="none" w:sz="0" w:space="0" w:color="auto"/>
                      </w:divBdr>
                      <w:divsChild>
                        <w:div w:id="2005892839">
                          <w:marLeft w:val="0"/>
                          <w:marRight w:val="0"/>
                          <w:marTop w:val="0"/>
                          <w:marBottom w:val="0"/>
                          <w:divBdr>
                            <w:top w:val="none" w:sz="0" w:space="0" w:color="auto"/>
                            <w:left w:val="none" w:sz="0" w:space="0" w:color="auto"/>
                            <w:bottom w:val="none" w:sz="0" w:space="0" w:color="auto"/>
                            <w:right w:val="none" w:sz="0" w:space="0" w:color="auto"/>
                          </w:divBdr>
                          <w:divsChild>
                            <w:div w:id="20246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097773">
      <w:bodyDiv w:val="1"/>
      <w:marLeft w:val="0"/>
      <w:marRight w:val="0"/>
      <w:marTop w:val="0"/>
      <w:marBottom w:val="0"/>
      <w:divBdr>
        <w:top w:val="none" w:sz="0" w:space="0" w:color="auto"/>
        <w:left w:val="none" w:sz="0" w:space="0" w:color="auto"/>
        <w:bottom w:val="none" w:sz="0" w:space="0" w:color="auto"/>
        <w:right w:val="none" w:sz="0" w:space="0" w:color="auto"/>
      </w:divBdr>
    </w:div>
    <w:div w:id="1565484079">
      <w:bodyDiv w:val="1"/>
      <w:marLeft w:val="0"/>
      <w:marRight w:val="0"/>
      <w:marTop w:val="0"/>
      <w:marBottom w:val="0"/>
      <w:divBdr>
        <w:top w:val="none" w:sz="0" w:space="0" w:color="auto"/>
        <w:left w:val="none" w:sz="0" w:space="0" w:color="auto"/>
        <w:bottom w:val="none" w:sz="0" w:space="0" w:color="auto"/>
        <w:right w:val="none" w:sz="0" w:space="0" w:color="auto"/>
      </w:divBdr>
      <w:divsChild>
        <w:div w:id="219169810">
          <w:marLeft w:val="0"/>
          <w:marRight w:val="0"/>
          <w:marTop w:val="0"/>
          <w:marBottom w:val="0"/>
          <w:divBdr>
            <w:top w:val="none" w:sz="0" w:space="0" w:color="auto"/>
            <w:left w:val="none" w:sz="0" w:space="0" w:color="auto"/>
            <w:bottom w:val="none" w:sz="0" w:space="0" w:color="auto"/>
            <w:right w:val="none" w:sz="0" w:space="0" w:color="auto"/>
          </w:divBdr>
          <w:divsChild>
            <w:div w:id="1359741909">
              <w:marLeft w:val="0"/>
              <w:marRight w:val="0"/>
              <w:marTop w:val="0"/>
              <w:marBottom w:val="0"/>
              <w:divBdr>
                <w:top w:val="none" w:sz="0" w:space="0" w:color="auto"/>
                <w:left w:val="none" w:sz="0" w:space="0" w:color="auto"/>
                <w:bottom w:val="none" w:sz="0" w:space="0" w:color="auto"/>
                <w:right w:val="none" w:sz="0" w:space="0" w:color="auto"/>
              </w:divBdr>
            </w:div>
          </w:divsChild>
        </w:div>
        <w:div w:id="267351484">
          <w:marLeft w:val="0"/>
          <w:marRight w:val="0"/>
          <w:marTop w:val="0"/>
          <w:marBottom w:val="0"/>
          <w:divBdr>
            <w:top w:val="none" w:sz="0" w:space="0" w:color="auto"/>
            <w:left w:val="none" w:sz="0" w:space="0" w:color="auto"/>
            <w:bottom w:val="none" w:sz="0" w:space="0" w:color="auto"/>
            <w:right w:val="none" w:sz="0" w:space="0" w:color="auto"/>
          </w:divBdr>
          <w:divsChild>
            <w:div w:id="684599958">
              <w:marLeft w:val="0"/>
              <w:marRight w:val="0"/>
              <w:marTop w:val="0"/>
              <w:marBottom w:val="0"/>
              <w:divBdr>
                <w:top w:val="none" w:sz="0" w:space="0" w:color="auto"/>
                <w:left w:val="none" w:sz="0" w:space="0" w:color="auto"/>
                <w:bottom w:val="none" w:sz="0" w:space="0" w:color="auto"/>
                <w:right w:val="none" w:sz="0" w:space="0" w:color="auto"/>
              </w:divBdr>
            </w:div>
            <w:div w:id="933128302">
              <w:marLeft w:val="0"/>
              <w:marRight w:val="0"/>
              <w:marTop w:val="0"/>
              <w:marBottom w:val="0"/>
              <w:divBdr>
                <w:top w:val="none" w:sz="0" w:space="0" w:color="auto"/>
                <w:left w:val="none" w:sz="0" w:space="0" w:color="auto"/>
                <w:bottom w:val="none" w:sz="0" w:space="0" w:color="auto"/>
                <w:right w:val="none" w:sz="0" w:space="0" w:color="auto"/>
              </w:divBdr>
            </w:div>
            <w:div w:id="1400786926">
              <w:marLeft w:val="0"/>
              <w:marRight w:val="0"/>
              <w:marTop w:val="0"/>
              <w:marBottom w:val="0"/>
              <w:divBdr>
                <w:top w:val="none" w:sz="0" w:space="0" w:color="auto"/>
                <w:left w:val="none" w:sz="0" w:space="0" w:color="auto"/>
                <w:bottom w:val="none" w:sz="0" w:space="0" w:color="auto"/>
                <w:right w:val="none" w:sz="0" w:space="0" w:color="auto"/>
              </w:divBdr>
            </w:div>
            <w:div w:id="1540701211">
              <w:marLeft w:val="0"/>
              <w:marRight w:val="0"/>
              <w:marTop w:val="0"/>
              <w:marBottom w:val="0"/>
              <w:divBdr>
                <w:top w:val="none" w:sz="0" w:space="0" w:color="auto"/>
                <w:left w:val="none" w:sz="0" w:space="0" w:color="auto"/>
                <w:bottom w:val="none" w:sz="0" w:space="0" w:color="auto"/>
                <w:right w:val="none" w:sz="0" w:space="0" w:color="auto"/>
              </w:divBdr>
            </w:div>
            <w:div w:id="1739086558">
              <w:marLeft w:val="0"/>
              <w:marRight w:val="0"/>
              <w:marTop w:val="0"/>
              <w:marBottom w:val="0"/>
              <w:divBdr>
                <w:top w:val="none" w:sz="0" w:space="0" w:color="auto"/>
                <w:left w:val="none" w:sz="0" w:space="0" w:color="auto"/>
                <w:bottom w:val="none" w:sz="0" w:space="0" w:color="auto"/>
                <w:right w:val="none" w:sz="0" w:space="0" w:color="auto"/>
              </w:divBdr>
            </w:div>
          </w:divsChild>
        </w:div>
        <w:div w:id="377243681">
          <w:marLeft w:val="0"/>
          <w:marRight w:val="0"/>
          <w:marTop w:val="0"/>
          <w:marBottom w:val="0"/>
          <w:divBdr>
            <w:top w:val="none" w:sz="0" w:space="0" w:color="auto"/>
            <w:left w:val="none" w:sz="0" w:space="0" w:color="auto"/>
            <w:bottom w:val="none" w:sz="0" w:space="0" w:color="auto"/>
            <w:right w:val="none" w:sz="0" w:space="0" w:color="auto"/>
          </w:divBdr>
          <w:divsChild>
            <w:div w:id="1062484058">
              <w:marLeft w:val="0"/>
              <w:marRight w:val="0"/>
              <w:marTop w:val="0"/>
              <w:marBottom w:val="0"/>
              <w:divBdr>
                <w:top w:val="none" w:sz="0" w:space="0" w:color="auto"/>
                <w:left w:val="none" w:sz="0" w:space="0" w:color="auto"/>
                <w:bottom w:val="none" w:sz="0" w:space="0" w:color="auto"/>
                <w:right w:val="none" w:sz="0" w:space="0" w:color="auto"/>
              </w:divBdr>
            </w:div>
            <w:div w:id="1606232541">
              <w:marLeft w:val="0"/>
              <w:marRight w:val="0"/>
              <w:marTop w:val="0"/>
              <w:marBottom w:val="0"/>
              <w:divBdr>
                <w:top w:val="none" w:sz="0" w:space="0" w:color="auto"/>
                <w:left w:val="none" w:sz="0" w:space="0" w:color="auto"/>
                <w:bottom w:val="none" w:sz="0" w:space="0" w:color="auto"/>
                <w:right w:val="none" w:sz="0" w:space="0" w:color="auto"/>
              </w:divBdr>
            </w:div>
            <w:div w:id="1967422294">
              <w:marLeft w:val="0"/>
              <w:marRight w:val="0"/>
              <w:marTop w:val="0"/>
              <w:marBottom w:val="0"/>
              <w:divBdr>
                <w:top w:val="none" w:sz="0" w:space="0" w:color="auto"/>
                <w:left w:val="none" w:sz="0" w:space="0" w:color="auto"/>
                <w:bottom w:val="none" w:sz="0" w:space="0" w:color="auto"/>
                <w:right w:val="none" w:sz="0" w:space="0" w:color="auto"/>
              </w:divBdr>
            </w:div>
          </w:divsChild>
        </w:div>
        <w:div w:id="428549462">
          <w:marLeft w:val="0"/>
          <w:marRight w:val="0"/>
          <w:marTop w:val="0"/>
          <w:marBottom w:val="0"/>
          <w:divBdr>
            <w:top w:val="none" w:sz="0" w:space="0" w:color="auto"/>
            <w:left w:val="none" w:sz="0" w:space="0" w:color="auto"/>
            <w:bottom w:val="none" w:sz="0" w:space="0" w:color="auto"/>
            <w:right w:val="none" w:sz="0" w:space="0" w:color="auto"/>
          </w:divBdr>
          <w:divsChild>
            <w:div w:id="61100846">
              <w:marLeft w:val="0"/>
              <w:marRight w:val="0"/>
              <w:marTop w:val="0"/>
              <w:marBottom w:val="0"/>
              <w:divBdr>
                <w:top w:val="none" w:sz="0" w:space="0" w:color="auto"/>
                <w:left w:val="none" w:sz="0" w:space="0" w:color="auto"/>
                <w:bottom w:val="none" w:sz="0" w:space="0" w:color="auto"/>
                <w:right w:val="none" w:sz="0" w:space="0" w:color="auto"/>
              </w:divBdr>
            </w:div>
          </w:divsChild>
        </w:div>
        <w:div w:id="616643357">
          <w:marLeft w:val="0"/>
          <w:marRight w:val="0"/>
          <w:marTop w:val="0"/>
          <w:marBottom w:val="0"/>
          <w:divBdr>
            <w:top w:val="none" w:sz="0" w:space="0" w:color="auto"/>
            <w:left w:val="none" w:sz="0" w:space="0" w:color="auto"/>
            <w:bottom w:val="none" w:sz="0" w:space="0" w:color="auto"/>
            <w:right w:val="none" w:sz="0" w:space="0" w:color="auto"/>
          </w:divBdr>
          <w:divsChild>
            <w:div w:id="1755780465">
              <w:marLeft w:val="0"/>
              <w:marRight w:val="0"/>
              <w:marTop w:val="0"/>
              <w:marBottom w:val="0"/>
              <w:divBdr>
                <w:top w:val="none" w:sz="0" w:space="0" w:color="auto"/>
                <w:left w:val="none" w:sz="0" w:space="0" w:color="auto"/>
                <w:bottom w:val="none" w:sz="0" w:space="0" w:color="auto"/>
                <w:right w:val="none" w:sz="0" w:space="0" w:color="auto"/>
              </w:divBdr>
            </w:div>
          </w:divsChild>
        </w:div>
        <w:div w:id="843667646">
          <w:marLeft w:val="0"/>
          <w:marRight w:val="0"/>
          <w:marTop w:val="0"/>
          <w:marBottom w:val="0"/>
          <w:divBdr>
            <w:top w:val="none" w:sz="0" w:space="0" w:color="auto"/>
            <w:left w:val="none" w:sz="0" w:space="0" w:color="auto"/>
            <w:bottom w:val="none" w:sz="0" w:space="0" w:color="auto"/>
            <w:right w:val="none" w:sz="0" w:space="0" w:color="auto"/>
          </w:divBdr>
          <w:divsChild>
            <w:div w:id="154762674">
              <w:marLeft w:val="0"/>
              <w:marRight w:val="0"/>
              <w:marTop w:val="0"/>
              <w:marBottom w:val="0"/>
              <w:divBdr>
                <w:top w:val="none" w:sz="0" w:space="0" w:color="auto"/>
                <w:left w:val="none" w:sz="0" w:space="0" w:color="auto"/>
                <w:bottom w:val="none" w:sz="0" w:space="0" w:color="auto"/>
                <w:right w:val="none" w:sz="0" w:space="0" w:color="auto"/>
              </w:divBdr>
            </w:div>
          </w:divsChild>
        </w:div>
        <w:div w:id="853688947">
          <w:marLeft w:val="0"/>
          <w:marRight w:val="0"/>
          <w:marTop w:val="0"/>
          <w:marBottom w:val="0"/>
          <w:divBdr>
            <w:top w:val="none" w:sz="0" w:space="0" w:color="auto"/>
            <w:left w:val="none" w:sz="0" w:space="0" w:color="auto"/>
            <w:bottom w:val="none" w:sz="0" w:space="0" w:color="auto"/>
            <w:right w:val="none" w:sz="0" w:space="0" w:color="auto"/>
          </w:divBdr>
          <w:divsChild>
            <w:div w:id="960261626">
              <w:marLeft w:val="0"/>
              <w:marRight w:val="0"/>
              <w:marTop w:val="0"/>
              <w:marBottom w:val="0"/>
              <w:divBdr>
                <w:top w:val="none" w:sz="0" w:space="0" w:color="auto"/>
                <w:left w:val="none" w:sz="0" w:space="0" w:color="auto"/>
                <w:bottom w:val="none" w:sz="0" w:space="0" w:color="auto"/>
                <w:right w:val="none" w:sz="0" w:space="0" w:color="auto"/>
              </w:divBdr>
            </w:div>
          </w:divsChild>
        </w:div>
        <w:div w:id="883711788">
          <w:marLeft w:val="0"/>
          <w:marRight w:val="0"/>
          <w:marTop w:val="0"/>
          <w:marBottom w:val="0"/>
          <w:divBdr>
            <w:top w:val="none" w:sz="0" w:space="0" w:color="auto"/>
            <w:left w:val="none" w:sz="0" w:space="0" w:color="auto"/>
            <w:bottom w:val="none" w:sz="0" w:space="0" w:color="auto"/>
            <w:right w:val="none" w:sz="0" w:space="0" w:color="auto"/>
          </w:divBdr>
          <w:divsChild>
            <w:div w:id="77678084">
              <w:marLeft w:val="0"/>
              <w:marRight w:val="0"/>
              <w:marTop w:val="0"/>
              <w:marBottom w:val="0"/>
              <w:divBdr>
                <w:top w:val="none" w:sz="0" w:space="0" w:color="auto"/>
                <w:left w:val="none" w:sz="0" w:space="0" w:color="auto"/>
                <w:bottom w:val="none" w:sz="0" w:space="0" w:color="auto"/>
                <w:right w:val="none" w:sz="0" w:space="0" w:color="auto"/>
              </w:divBdr>
            </w:div>
          </w:divsChild>
        </w:div>
        <w:div w:id="1067992045">
          <w:marLeft w:val="0"/>
          <w:marRight w:val="0"/>
          <w:marTop w:val="0"/>
          <w:marBottom w:val="0"/>
          <w:divBdr>
            <w:top w:val="none" w:sz="0" w:space="0" w:color="auto"/>
            <w:left w:val="none" w:sz="0" w:space="0" w:color="auto"/>
            <w:bottom w:val="none" w:sz="0" w:space="0" w:color="auto"/>
            <w:right w:val="none" w:sz="0" w:space="0" w:color="auto"/>
          </w:divBdr>
          <w:divsChild>
            <w:div w:id="651445321">
              <w:marLeft w:val="0"/>
              <w:marRight w:val="0"/>
              <w:marTop w:val="0"/>
              <w:marBottom w:val="0"/>
              <w:divBdr>
                <w:top w:val="none" w:sz="0" w:space="0" w:color="auto"/>
                <w:left w:val="none" w:sz="0" w:space="0" w:color="auto"/>
                <w:bottom w:val="none" w:sz="0" w:space="0" w:color="auto"/>
                <w:right w:val="none" w:sz="0" w:space="0" w:color="auto"/>
              </w:divBdr>
            </w:div>
          </w:divsChild>
        </w:div>
        <w:div w:id="1294823032">
          <w:marLeft w:val="0"/>
          <w:marRight w:val="0"/>
          <w:marTop w:val="0"/>
          <w:marBottom w:val="0"/>
          <w:divBdr>
            <w:top w:val="none" w:sz="0" w:space="0" w:color="auto"/>
            <w:left w:val="none" w:sz="0" w:space="0" w:color="auto"/>
            <w:bottom w:val="none" w:sz="0" w:space="0" w:color="auto"/>
            <w:right w:val="none" w:sz="0" w:space="0" w:color="auto"/>
          </w:divBdr>
          <w:divsChild>
            <w:div w:id="1376461775">
              <w:marLeft w:val="0"/>
              <w:marRight w:val="0"/>
              <w:marTop w:val="0"/>
              <w:marBottom w:val="0"/>
              <w:divBdr>
                <w:top w:val="none" w:sz="0" w:space="0" w:color="auto"/>
                <w:left w:val="none" w:sz="0" w:space="0" w:color="auto"/>
                <w:bottom w:val="none" w:sz="0" w:space="0" w:color="auto"/>
                <w:right w:val="none" w:sz="0" w:space="0" w:color="auto"/>
              </w:divBdr>
            </w:div>
          </w:divsChild>
        </w:div>
        <w:div w:id="1861116084">
          <w:marLeft w:val="0"/>
          <w:marRight w:val="0"/>
          <w:marTop w:val="0"/>
          <w:marBottom w:val="0"/>
          <w:divBdr>
            <w:top w:val="none" w:sz="0" w:space="0" w:color="auto"/>
            <w:left w:val="none" w:sz="0" w:space="0" w:color="auto"/>
            <w:bottom w:val="none" w:sz="0" w:space="0" w:color="auto"/>
            <w:right w:val="none" w:sz="0" w:space="0" w:color="auto"/>
          </w:divBdr>
          <w:divsChild>
            <w:div w:id="1809663320">
              <w:marLeft w:val="0"/>
              <w:marRight w:val="0"/>
              <w:marTop w:val="0"/>
              <w:marBottom w:val="0"/>
              <w:divBdr>
                <w:top w:val="none" w:sz="0" w:space="0" w:color="auto"/>
                <w:left w:val="none" w:sz="0" w:space="0" w:color="auto"/>
                <w:bottom w:val="none" w:sz="0" w:space="0" w:color="auto"/>
                <w:right w:val="none" w:sz="0" w:space="0" w:color="auto"/>
              </w:divBdr>
            </w:div>
          </w:divsChild>
        </w:div>
        <w:div w:id="1909732470">
          <w:marLeft w:val="0"/>
          <w:marRight w:val="0"/>
          <w:marTop w:val="0"/>
          <w:marBottom w:val="0"/>
          <w:divBdr>
            <w:top w:val="none" w:sz="0" w:space="0" w:color="auto"/>
            <w:left w:val="none" w:sz="0" w:space="0" w:color="auto"/>
            <w:bottom w:val="none" w:sz="0" w:space="0" w:color="auto"/>
            <w:right w:val="none" w:sz="0" w:space="0" w:color="auto"/>
          </w:divBdr>
          <w:divsChild>
            <w:div w:id="255141243">
              <w:marLeft w:val="0"/>
              <w:marRight w:val="0"/>
              <w:marTop w:val="0"/>
              <w:marBottom w:val="0"/>
              <w:divBdr>
                <w:top w:val="none" w:sz="0" w:space="0" w:color="auto"/>
                <w:left w:val="none" w:sz="0" w:space="0" w:color="auto"/>
                <w:bottom w:val="none" w:sz="0" w:space="0" w:color="auto"/>
                <w:right w:val="none" w:sz="0" w:space="0" w:color="auto"/>
              </w:divBdr>
            </w:div>
          </w:divsChild>
        </w:div>
        <w:div w:id="1996454272">
          <w:marLeft w:val="0"/>
          <w:marRight w:val="0"/>
          <w:marTop w:val="0"/>
          <w:marBottom w:val="0"/>
          <w:divBdr>
            <w:top w:val="none" w:sz="0" w:space="0" w:color="auto"/>
            <w:left w:val="none" w:sz="0" w:space="0" w:color="auto"/>
            <w:bottom w:val="none" w:sz="0" w:space="0" w:color="auto"/>
            <w:right w:val="none" w:sz="0" w:space="0" w:color="auto"/>
          </w:divBdr>
          <w:divsChild>
            <w:div w:id="90201231">
              <w:marLeft w:val="0"/>
              <w:marRight w:val="0"/>
              <w:marTop w:val="0"/>
              <w:marBottom w:val="0"/>
              <w:divBdr>
                <w:top w:val="none" w:sz="0" w:space="0" w:color="auto"/>
                <w:left w:val="none" w:sz="0" w:space="0" w:color="auto"/>
                <w:bottom w:val="none" w:sz="0" w:space="0" w:color="auto"/>
                <w:right w:val="none" w:sz="0" w:space="0" w:color="auto"/>
              </w:divBdr>
            </w:div>
            <w:div w:id="1465660843">
              <w:marLeft w:val="0"/>
              <w:marRight w:val="0"/>
              <w:marTop w:val="0"/>
              <w:marBottom w:val="0"/>
              <w:divBdr>
                <w:top w:val="none" w:sz="0" w:space="0" w:color="auto"/>
                <w:left w:val="none" w:sz="0" w:space="0" w:color="auto"/>
                <w:bottom w:val="none" w:sz="0" w:space="0" w:color="auto"/>
                <w:right w:val="none" w:sz="0" w:space="0" w:color="auto"/>
              </w:divBdr>
            </w:div>
            <w:div w:id="1671057010">
              <w:marLeft w:val="0"/>
              <w:marRight w:val="0"/>
              <w:marTop w:val="0"/>
              <w:marBottom w:val="0"/>
              <w:divBdr>
                <w:top w:val="none" w:sz="0" w:space="0" w:color="auto"/>
                <w:left w:val="none" w:sz="0" w:space="0" w:color="auto"/>
                <w:bottom w:val="none" w:sz="0" w:space="0" w:color="auto"/>
                <w:right w:val="none" w:sz="0" w:space="0" w:color="auto"/>
              </w:divBdr>
            </w:div>
            <w:div w:id="1954626106">
              <w:marLeft w:val="0"/>
              <w:marRight w:val="0"/>
              <w:marTop w:val="0"/>
              <w:marBottom w:val="0"/>
              <w:divBdr>
                <w:top w:val="none" w:sz="0" w:space="0" w:color="auto"/>
                <w:left w:val="none" w:sz="0" w:space="0" w:color="auto"/>
                <w:bottom w:val="none" w:sz="0" w:space="0" w:color="auto"/>
                <w:right w:val="none" w:sz="0" w:space="0" w:color="auto"/>
              </w:divBdr>
            </w:div>
          </w:divsChild>
        </w:div>
        <w:div w:id="2110199826">
          <w:marLeft w:val="0"/>
          <w:marRight w:val="0"/>
          <w:marTop w:val="0"/>
          <w:marBottom w:val="0"/>
          <w:divBdr>
            <w:top w:val="none" w:sz="0" w:space="0" w:color="auto"/>
            <w:left w:val="none" w:sz="0" w:space="0" w:color="auto"/>
            <w:bottom w:val="none" w:sz="0" w:space="0" w:color="auto"/>
            <w:right w:val="none" w:sz="0" w:space="0" w:color="auto"/>
          </w:divBdr>
          <w:divsChild>
            <w:div w:id="14774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504995">
      <w:bodyDiv w:val="1"/>
      <w:marLeft w:val="0"/>
      <w:marRight w:val="0"/>
      <w:marTop w:val="0"/>
      <w:marBottom w:val="0"/>
      <w:divBdr>
        <w:top w:val="none" w:sz="0" w:space="0" w:color="auto"/>
        <w:left w:val="none" w:sz="0" w:space="0" w:color="auto"/>
        <w:bottom w:val="none" w:sz="0" w:space="0" w:color="auto"/>
        <w:right w:val="none" w:sz="0" w:space="0" w:color="auto"/>
      </w:divBdr>
    </w:div>
    <w:div w:id="1573344400">
      <w:bodyDiv w:val="1"/>
      <w:marLeft w:val="0"/>
      <w:marRight w:val="0"/>
      <w:marTop w:val="0"/>
      <w:marBottom w:val="0"/>
      <w:divBdr>
        <w:top w:val="none" w:sz="0" w:space="0" w:color="auto"/>
        <w:left w:val="none" w:sz="0" w:space="0" w:color="auto"/>
        <w:bottom w:val="none" w:sz="0" w:space="0" w:color="auto"/>
        <w:right w:val="none" w:sz="0" w:space="0" w:color="auto"/>
      </w:divBdr>
    </w:div>
    <w:div w:id="1579099610">
      <w:bodyDiv w:val="1"/>
      <w:marLeft w:val="0"/>
      <w:marRight w:val="0"/>
      <w:marTop w:val="0"/>
      <w:marBottom w:val="0"/>
      <w:divBdr>
        <w:top w:val="none" w:sz="0" w:space="0" w:color="auto"/>
        <w:left w:val="none" w:sz="0" w:space="0" w:color="auto"/>
        <w:bottom w:val="none" w:sz="0" w:space="0" w:color="auto"/>
        <w:right w:val="none" w:sz="0" w:space="0" w:color="auto"/>
      </w:divBdr>
    </w:div>
    <w:div w:id="1581334556">
      <w:bodyDiv w:val="1"/>
      <w:marLeft w:val="0"/>
      <w:marRight w:val="0"/>
      <w:marTop w:val="0"/>
      <w:marBottom w:val="0"/>
      <w:divBdr>
        <w:top w:val="none" w:sz="0" w:space="0" w:color="auto"/>
        <w:left w:val="none" w:sz="0" w:space="0" w:color="auto"/>
        <w:bottom w:val="none" w:sz="0" w:space="0" w:color="auto"/>
        <w:right w:val="none" w:sz="0" w:space="0" w:color="auto"/>
      </w:divBdr>
    </w:div>
    <w:div w:id="1590311986">
      <w:bodyDiv w:val="1"/>
      <w:marLeft w:val="0"/>
      <w:marRight w:val="0"/>
      <w:marTop w:val="0"/>
      <w:marBottom w:val="0"/>
      <w:divBdr>
        <w:top w:val="none" w:sz="0" w:space="0" w:color="auto"/>
        <w:left w:val="none" w:sz="0" w:space="0" w:color="auto"/>
        <w:bottom w:val="none" w:sz="0" w:space="0" w:color="auto"/>
        <w:right w:val="none" w:sz="0" w:space="0" w:color="auto"/>
      </w:divBdr>
    </w:div>
    <w:div w:id="1590847294">
      <w:bodyDiv w:val="1"/>
      <w:marLeft w:val="0"/>
      <w:marRight w:val="0"/>
      <w:marTop w:val="0"/>
      <w:marBottom w:val="0"/>
      <w:divBdr>
        <w:top w:val="none" w:sz="0" w:space="0" w:color="auto"/>
        <w:left w:val="none" w:sz="0" w:space="0" w:color="auto"/>
        <w:bottom w:val="none" w:sz="0" w:space="0" w:color="auto"/>
        <w:right w:val="none" w:sz="0" w:space="0" w:color="auto"/>
      </w:divBdr>
      <w:divsChild>
        <w:div w:id="35860529">
          <w:marLeft w:val="0"/>
          <w:marRight w:val="0"/>
          <w:marTop w:val="0"/>
          <w:marBottom w:val="0"/>
          <w:divBdr>
            <w:top w:val="none" w:sz="0" w:space="0" w:color="auto"/>
            <w:left w:val="none" w:sz="0" w:space="0" w:color="auto"/>
            <w:bottom w:val="none" w:sz="0" w:space="0" w:color="auto"/>
            <w:right w:val="none" w:sz="0" w:space="0" w:color="auto"/>
          </w:divBdr>
          <w:divsChild>
            <w:div w:id="1814718178">
              <w:marLeft w:val="0"/>
              <w:marRight w:val="0"/>
              <w:marTop w:val="0"/>
              <w:marBottom w:val="0"/>
              <w:divBdr>
                <w:top w:val="none" w:sz="0" w:space="0" w:color="auto"/>
                <w:left w:val="none" w:sz="0" w:space="0" w:color="auto"/>
                <w:bottom w:val="none" w:sz="0" w:space="0" w:color="auto"/>
                <w:right w:val="none" w:sz="0" w:space="0" w:color="auto"/>
              </w:divBdr>
            </w:div>
          </w:divsChild>
        </w:div>
        <w:div w:id="78796411">
          <w:marLeft w:val="0"/>
          <w:marRight w:val="0"/>
          <w:marTop w:val="0"/>
          <w:marBottom w:val="0"/>
          <w:divBdr>
            <w:top w:val="none" w:sz="0" w:space="0" w:color="auto"/>
            <w:left w:val="none" w:sz="0" w:space="0" w:color="auto"/>
            <w:bottom w:val="none" w:sz="0" w:space="0" w:color="auto"/>
            <w:right w:val="none" w:sz="0" w:space="0" w:color="auto"/>
          </w:divBdr>
          <w:divsChild>
            <w:div w:id="1952978782">
              <w:marLeft w:val="0"/>
              <w:marRight w:val="0"/>
              <w:marTop w:val="0"/>
              <w:marBottom w:val="0"/>
              <w:divBdr>
                <w:top w:val="none" w:sz="0" w:space="0" w:color="auto"/>
                <w:left w:val="none" w:sz="0" w:space="0" w:color="auto"/>
                <w:bottom w:val="none" w:sz="0" w:space="0" w:color="auto"/>
                <w:right w:val="none" w:sz="0" w:space="0" w:color="auto"/>
              </w:divBdr>
            </w:div>
          </w:divsChild>
        </w:div>
        <w:div w:id="110980773">
          <w:marLeft w:val="0"/>
          <w:marRight w:val="0"/>
          <w:marTop w:val="0"/>
          <w:marBottom w:val="0"/>
          <w:divBdr>
            <w:top w:val="none" w:sz="0" w:space="0" w:color="auto"/>
            <w:left w:val="none" w:sz="0" w:space="0" w:color="auto"/>
            <w:bottom w:val="none" w:sz="0" w:space="0" w:color="auto"/>
            <w:right w:val="none" w:sz="0" w:space="0" w:color="auto"/>
          </w:divBdr>
          <w:divsChild>
            <w:div w:id="1185288166">
              <w:marLeft w:val="0"/>
              <w:marRight w:val="0"/>
              <w:marTop w:val="0"/>
              <w:marBottom w:val="0"/>
              <w:divBdr>
                <w:top w:val="none" w:sz="0" w:space="0" w:color="auto"/>
                <w:left w:val="none" w:sz="0" w:space="0" w:color="auto"/>
                <w:bottom w:val="none" w:sz="0" w:space="0" w:color="auto"/>
                <w:right w:val="none" w:sz="0" w:space="0" w:color="auto"/>
              </w:divBdr>
            </w:div>
          </w:divsChild>
        </w:div>
        <w:div w:id="118308865">
          <w:marLeft w:val="0"/>
          <w:marRight w:val="0"/>
          <w:marTop w:val="0"/>
          <w:marBottom w:val="0"/>
          <w:divBdr>
            <w:top w:val="none" w:sz="0" w:space="0" w:color="auto"/>
            <w:left w:val="none" w:sz="0" w:space="0" w:color="auto"/>
            <w:bottom w:val="none" w:sz="0" w:space="0" w:color="auto"/>
            <w:right w:val="none" w:sz="0" w:space="0" w:color="auto"/>
          </w:divBdr>
          <w:divsChild>
            <w:div w:id="1274940063">
              <w:marLeft w:val="0"/>
              <w:marRight w:val="0"/>
              <w:marTop w:val="0"/>
              <w:marBottom w:val="0"/>
              <w:divBdr>
                <w:top w:val="none" w:sz="0" w:space="0" w:color="auto"/>
                <w:left w:val="none" w:sz="0" w:space="0" w:color="auto"/>
                <w:bottom w:val="none" w:sz="0" w:space="0" w:color="auto"/>
                <w:right w:val="none" w:sz="0" w:space="0" w:color="auto"/>
              </w:divBdr>
            </w:div>
          </w:divsChild>
        </w:div>
        <w:div w:id="165828162">
          <w:marLeft w:val="0"/>
          <w:marRight w:val="0"/>
          <w:marTop w:val="0"/>
          <w:marBottom w:val="0"/>
          <w:divBdr>
            <w:top w:val="none" w:sz="0" w:space="0" w:color="auto"/>
            <w:left w:val="none" w:sz="0" w:space="0" w:color="auto"/>
            <w:bottom w:val="none" w:sz="0" w:space="0" w:color="auto"/>
            <w:right w:val="none" w:sz="0" w:space="0" w:color="auto"/>
          </w:divBdr>
          <w:divsChild>
            <w:div w:id="1550217087">
              <w:marLeft w:val="0"/>
              <w:marRight w:val="0"/>
              <w:marTop w:val="0"/>
              <w:marBottom w:val="0"/>
              <w:divBdr>
                <w:top w:val="none" w:sz="0" w:space="0" w:color="auto"/>
                <w:left w:val="none" w:sz="0" w:space="0" w:color="auto"/>
                <w:bottom w:val="none" w:sz="0" w:space="0" w:color="auto"/>
                <w:right w:val="none" w:sz="0" w:space="0" w:color="auto"/>
              </w:divBdr>
            </w:div>
          </w:divsChild>
        </w:div>
        <w:div w:id="216355797">
          <w:marLeft w:val="0"/>
          <w:marRight w:val="0"/>
          <w:marTop w:val="0"/>
          <w:marBottom w:val="0"/>
          <w:divBdr>
            <w:top w:val="none" w:sz="0" w:space="0" w:color="auto"/>
            <w:left w:val="none" w:sz="0" w:space="0" w:color="auto"/>
            <w:bottom w:val="none" w:sz="0" w:space="0" w:color="auto"/>
            <w:right w:val="none" w:sz="0" w:space="0" w:color="auto"/>
          </w:divBdr>
          <w:divsChild>
            <w:div w:id="317269889">
              <w:marLeft w:val="0"/>
              <w:marRight w:val="0"/>
              <w:marTop w:val="0"/>
              <w:marBottom w:val="0"/>
              <w:divBdr>
                <w:top w:val="none" w:sz="0" w:space="0" w:color="auto"/>
                <w:left w:val="none" w:sz="0" w:space="0" w:color="auto"/>
                <w:bottom w:val="none" w:sz="0" w:space="0" w:color="auto"/>
                <w:right w:val="none" w:sz="0" w:space="0" w:color="auto"/>
              </w:divBdr>
            </w:div>
          </w:divsChild>
        </w:div>
        <w:div w:id="220167796">
          <w:marLeft w:val="0"/>
          <w:marRight w:val="0"/>
          <w:marTop w:val="0"/>
          <w:marBottom w:val="0"/>
          <w:divBdr>
            <w:top w:val="none" w:sz="0" w:space="0" w:color="auto"/>
            <w:left w:val="none" w:sz="0" w:space="0" w:color="auto"/>
            <w:bottom w:val="none" w:sz="0" w:space="0" w:color="auto"/>
            <w:right w:val="none" w:sz="0" w:space="0" w:color="auto"/>
          </w:divBdr>
          <w:divsChild>
            <w:div w:id="175073881">
              <w:marLeft w:val="0"/>
              <w:marRight w:val="0"/>
              <w:marTop w:val="0"/>
              <w:marBottom w:val="0"/>
              <w:divBdr>
                <w:top w:val="none" w:sz="0" w:space="0" w:color="auto"/>
                <w:left w:val="none" w:sz="0" w:space="0" w:color="auto"/>
                <w:bottom w:val="none" w:sz="0" w:space="0" w:color="auto"/>
                <w:right w:val="none" w:sz="0" w:space="0" w:color="auto"/>
              </w:divBdr>
            </w:div>
          </w:divsChild>
        </w:div>
        <w:div w:id="257640093">
          <w:marLeft w:val="0"/>
          <w:marRight w:val="0"/>
          <w:marTop w:val="0"/>
          <w:marBottom w:val="0"/>
          <w:divBdr>
            <w:top w:val="none" w:sz="0" w:space="0" w:color="auto"/>
            <w:left w:val="none" w:sz="0" w:space="0" w:color="auto"/>
            <w:bottom w:val="none" w:sz="0" w:space="0" w:color="auto"/>
            <w:right w:val="none" w:sz="0" w:space="0" w:color="auto"/>
          </w:divBdr>
          <w:divsChild>
            <w:div w:id="304087938">
              <w:marLeft w:val="0"/>
              <w:marRight w:val="0"/>
              <w:marTop w:val="0"/>
              <w:marBottom w:val="0"/>
              <w:divBdr>
                <w:top w:val="none" w:sz="0" w:space="0" w:color="auto"/>
                <w:left w:val="none" w:sz="0" w:space="0" w:color="auto"/>
                <w:bottom w:val="none" w:sz="0" w:space="0" w:color="auto"/>
                <w:right w:val="none" w:sz="0" w:space="0" w:color="auto"/>
              </w:divBdr>
            </w:div>
            <w:div w:id="1998608477">
              <w:marLeft w:val="0"/>
              <w:marRight w:val="0"/>
              <w:marTop w:val="0"/>
              <w:marBottom w:val="0"/>
              <w:divBdr>
                <w:top w:val="none" w:sz="0" w:space="0" w:color="auto"/>
                <w:left w:val="none" w:sz="0" w:space="0" w:color="auto"/>
                <w:bottom w:val="none" w:sz="0" w:space="0" w:color="auto"/>
                <w:right w:val="none" w:sz="0" w:space="0" w:color="auto"/>
              </w:divBdr>
            </w:div>
          </w:divsChild>
        </w:div>
        <w:div w:id="265356384">
          <w:marLeft w:val="0"/>
          <w:marRight w:val="0"/>
          <w:marTop w:val="0"/>
          <w:marBottom w:val="0"/>
          <w:divBdr>
            <w:top w:val="none" w:sz="0" w:space="0" w:color="auto"/>
            <w:left w:val="none" w:sz="0" w:space="0" w:color="auto"/>
            <w:bottom w:val="none" w:sz="0" w:space="0" w:color="auto"/>
            <w:right w:val="none" w:sz="0" w:space="0" w:color="auto"/>
          </w:divBdr>
          <w:divsChild>
            <w:div w:id="585656721">
              <w:marLeft w:val="0"/>
              <w:marRight w:val="0"/>
              <w:marTop w:val="0"/>
              <w:marBottom w:val="0"/>
              <w:divBdr>
                <w:top w:val="none" w:sz="0" w:space="0" w:color="auto"/>
                <w:left w:val="none" w:sz="0" w:space="0" w:color="auto"/>
                <w:bottom w:val="none" w:sz="0" w:space="0" w:color="auto"/>
                <w:right w:val="none" w:sz="0" w:space="0" w:color="auto"/>
              </w:divBdr>
            </w:div>
          </w:divsChild>
        </w:div>
        <w:div w:id="304051215">
          <w:marLeft w:val="0"/>
          <w:marRight w:val="0"/>
          <w:marTop w:val="0"/>
          <w:marBottom w:val="0"/>
          <w:divBdr>
            <w:top w:val="none" w:sz="0" w:space="0" w:color="auto"/>
            <w:left w:val="none" w:sz="0" w:space="0" w:color="auto"/>
            <w:bottom w:val="none" w:sz="0" w:space="0" w:color="auto"/>
            <w:right w:val="none" w:sz="0" w:space="0" w:color="auto"/>
          </w:divBdr>
          <w:divsChild>
            <w:div w:id="1059211693">
              <w:marLeft w:val="0"/>
              <w:marRight w:val="0"/>
              <w:marTop w:val="0"/>
              <w:marBottom w:val="0"/>
              <w:divBdr>
                <w:top w:val="none" w:sz="0" w:space="0" w:color="auto"/>
                <w:left w:val="none" w:sz="0" w:space="0" w:color="auto"/>
                <w:bottom w:val="none" w:sz="0" w:space="0" w:color="auto"/>
                <w:right w:val="none" w:sz="0" w:space="0" w:color="auto"/>
              </w:divBdr>
            </w:div>
          </w:divsChild>
        </w:div>
        <w:div w:id="314722468">
          <w:marLeft w:val="0"/>
          <w:marRight w:val="0"/>
          <w:marTop w:val="0"/>
          <w:marBottom w:val="0"/>
          <w:divBdr>
            <w:top w:val="none" w:sz="0" w:space="0" w:color="auto"/>
            <w:left w:val="none" w:sz="0" w:space="0" w:color="auto"/>
            <w:bottom w:val="none" w:sz="0" w:space="0" w:color="auto"/>
            <w:right w:val="none" w:sz="0" w:space="0" w:color="auto"/>
          </w:divBdr>
          <w:divsChild>
            <w:div w:id="404307506">
              <w:marLeft w:val="0"/>
              <w:marRight w:val="0"/>
              <w:marTop w:val="0"/>
              <w:marBottom w:val="0"/>
              <w:divBdr>
                <w:top w:val="none" w:sz="0" w:space="0" w:color="auto"/>
                <w:left w:val="none" w:sz="0" w:space="0" w:color="auto"/>
                <w:bottom w:val="none" w:sz="0" w:space="0" w:color="auto"/>
                <w:right w:val="none" w:sz="0" w:space="0" w:color="auto"/>
              </w:divBdr>
            </w:div>
            <w:div w:id="409889576">
              <w:marLeft w:val="0"/>
              <w:marRight w:val="0"/>
              <w:marTop w:val="0"/>
              <w:marBottom w:val="0"/>
              <w:divBdr>
                <w:top w:val="none" w:sz="0" w:space="0" w:color="auto"/>
                <w:left w:val="none" w:sz="0" w:space="0" w:color="auto"/>
                <w:bottom w:val="none" w:sz="0" w:space="0" w:color="auto"/>
                <w:right w:val="none" w:sz="0" w:space="0" w:color="auto"/>
              </w:divBdr>
            </w:div>
            <w:div w:id="1722165692">
              <w:marLeft w:val="0"/>
              <w:marRight w:val="0"/>
              <w:marTop w:val="0"/>
              <w:marBottom w:val="0"/>
              <w:divBdr>
                <w:top w:val="none" w:sz="0" w:space="0" w:color="auto"/>
                <w:left w:val="none" w:sz="0" w:space="0" w:color="auto"/>
                <w:bottom w:val="none" w:sz="0" w:space="0" w:color="auto"/>
                <w:right w:val="none" w:sz="0" w:space="0" w:color="auto"/>
              </w:divBdr>
            </w:div>
          </w:divsChild>
        </w:div>
        <w:div w:id="426846605">
          <w:marLeft w:val="0"/>
          <w:marRight w:val="0"/>
          <w:marTop w:val="0"/>
          <w:marBottom w:val="0"/>
          <w:divBdr>
            <w:top w:val="none" w:sz="0" w:space="0" w:color="auto"/>
            <w:left w:val="none" w:sz="0" w:space="0" w:color="auto"/>
            <w:bottom w:val="none" w:sz="0" w:space="0" w:color="auto"/>
            <w:right w:val="none" w:sz="0" w:space="0" w:color="auto"/>
          </w:divBdr>
          <w:divsChild>
            <w:div w:id="1696497350">
              <w:marLeft w:val="0"/>
              <w:marRight w:val="0"/>
              <w:marTop w:val="0"/>
              <w:marBottom w:val="0"/>
              <w:divBdr>
                <w:top w:val="none" w:sz="0" w:space="0" w:color="auto"/>
                <w:left w:val="none" w:sz="0" w:space="0" w:color="auto"/>
                <w:bottom w:val="none" w:sz="0" w:space="0" w:color="auto"/>
                <w:right w:val="none" w:sz="0" w:space="0" w:color="auto"/>
              </w:divBdr>
            </w:div>
          </w:divsChild>
        </w:div>
        <w:div w:id="429013782">
          <w:marLeft w:val="0"/>
          <w:marRight w:val="0"/>
          <w:marTop w:val="0"/>
          <w:marBottom w:val="0"/>
          <w:divBdr>
            <w:top w:val="none" w:sz="0" w:space="0" w:color="auto"/>
            <w:left w:val="none" w:sz="0" w:space="0" w:color="auto"/>
            <w:bottom w:val="none" w:sz="0" w:space="0" w:color="auto"/>
            <w:right w:val="none" w:sz="0" w:space="0" w:color="auto"/>
          </w:divBdr>
          <w:divsChild>
            <w:div w:id="1733312794">
              <w:marLeft w:val="0"/>
              <w:marRight w:val="0"/>
              <w:marTop w:val="0"/>
              <w:marBottom w:val="0"/>
              <w:divBdr>
                <w:top w:val="none" w:sz="0" w:space="0" w:color="auto"/>
                <w:left w:val="none" w:sz="0" w:space="0" w:color="auto"/>
                <w:bottom w:val="none" w:sz="0" w:space="0" w:color="auto"/>
                <w:right w:val="none" w:sz="0" w:space="0" w:color="auto"/>
              </w:divBdr>
            </w:div>
          </w:divsChild>
        </w:div>
        <w:div w:id="622540331">
          <w:marLeft w:val="0"/>
          <w:marRight w:val="0"/>
          <w:marTop w:val="0"/>
          <w:marBottom w:val="0"/>
          <w:divBdr>
            <w:top w:val="none" w:sz="0" w:space="0" w:color="auto"/>
            <w:left w:val="none" w:sz="0" w:space="0" w:color="auto"/>
            <w:bottom w:val="none" w:sz="0" w:space="0" w:color="auto"/>
            <w:right w:val="none" w:sz="0" w:space="0" w:color="auto"/>
          </w:divBdr>
          <w:divsChild>
            <w:div w:id="1911496984">
              <w:marLeft w:val="0"/>
              <w:marRight w:val="0"/>
              <w:marTop w:val="0"/>
              <w:marBottom w:val="0"/>
              <w:divBdr>
                <w:top w:val="none" w:sz="0" w:space="0" w:color="auto"/>
                <w:left w:val="none" w:sz="0" w:space="0" w:color="auto"/>
                <w:bottom w:val="none" w:sz="0" w:space="0" w:color="auto"/>
                <w:right w:val="none" w:sz="0" w:space="0" w:color="auto"/>
              </w:divBdr>
            </w:div>
          </w:divsChild>
        </w:div>
        <w:div w:id="665402928">
          <w:marLeft w:val="0"/>
          <w:marRight w:val="0"/>
          <w:marTop w:val="0"/>
          <w:marBottom w:val="0"/>
          <w:divBdr>
            <w:top w:val="none" w:sz="0" w:space="0" w:color="auto"/>
            <w:left w:val="none" w:sz="0" w:space="0" w:color="auto"/>
            <w:bottom w:val="none" w:sz="0" w:space="0" w:color="auto"/>
            <w:right w:val="none" w:sz="0" w:space="0" w:color="auto"/>
          </w:divBdr>
          <w:divsChild>
            <w:div w:id="1687057047">
              <w:marLeft w:val="0"/>
              <w:marRight w:val="0"/>
              <w:marTop w:val="0"/>
              <w:marBottom w:val="0"/>
              <w:divBdr>
                <w:top w:val="none" w:sz="0" w:space="0" w:color="auto"/>
                <w:left w:val="none" w:sz="0" w:space="0" w:color="auto"/>
                <w:bottom w:val="none" w:sz="0" w:space="0" w:color="auto"/>
                <w:right w:val="none" w:sz="0" w:space="0" w:color="auto"/>
              </w:divBdr>
            </w:div>
          </w:divsChild>
        </w:div>
        <w:div w:id="680815217">
          <w:marLeft w:val="0"/>
          <w:marRight w:val="0"/>
          <w:marTop w:val="0"/>
          <w:marBottom w:val="0"/>
          <w:divBdr>
            <w:top w:val="none" w:sz="0" w:space="0" w:color="auto"/>
            <w:left w:val="none" w:sz="0" w:space="0" w:color="auto"/>
            <w:bottom w:val="none" w:sz="0" w:space="0" w:color="auto"/>
            <w:right w:val="none" w:sz="0" w:space="0" w:color="auto"/>
          </w:divBdr>
          <w:divsChild>
            <w:div w:id="518274047">
              <w:marLeft w:val="0"/>
              <w:marRight w:val="0"/>
              <w:marTop w:val="0"/>
              <w:marBottom w:val="0"/>
              <w:divBdr>
                <w:top w:val="none" w:sz="0" w:space="0" w:color="auto"/>
                <w:left w:val="none" w:sz="0" w:space="0" w:color="auto"/>
                <w:bottom w:val="none" w:sz="0" w:space="0" w:color="auto"/>
                <w:right w:val="none" w:sz="0" w:space="0" w:color="auto"/>
              </w:divBdr>
            </w:div>
            <w:div w:id="717432477">
              <w:marLeft w:val="0"/>
              <w:marRight w:val="0"/>
              <w:marTop w:val="0"/>
              <w:marBottom w:val="0"/>
              <w:divBdr>
                <w:top w:val="none" w:sz="0" w:space="0" w:color="auto"/>
                <w:left w:val="none" w:sz="0" w:space="0" w:color="auto"/>
                <w:bottom w:val="none" w:sz="0" w:space="0" w:color="auto"/>
                <w:right w:val="none" w:sz="0" w:space="0" w:color="auto"/>
              </w:divBdr>
            </w:div>
            <w:div w:id="764152920">
              <w:marLeft w:val="0"/>
              <w:marRight w:val="0"/>
              <w:marTop w:val="0"/>
              <w:marBottom w:val="0"/>
              <w:divBdr>
                <w:top w:val="none" w:sz="0" w:space="0" w:color="auto"/>
                <w:left w:val="none" w:sz="0" w:space="0" w:color="auto"/>
                <w:bottom w:val="none" w:sz="0" w:space="0" w:color="auto"/>
                <w:right w:val="none" w:sz="0" w:space="0" w:color="auto"/>
              </w:divBdr>
            </w:div>
            <w:div w:id="911544896">
              <w:marLeft w:val="0"/>
              <w:marRight w:val="0"/>
              <w:marTop w:val="0"/>
              <w:marBottom w:val="0"/>
              <w:divBdr>
                <w:top w:val="none" w:sz="0" w:space="0" w:color="auto"/>
                <w:left w:val="none" w:sz="0" w:space="0" w:color="auto"/>
                <w:bottom w:val="none" w:sz="0" w:space="0" w:color="auto"/>
                <w:right w:val="none" w:sz="0" w:space="0" w:color="auto"/>
              </w:divBdr>
            </w:div>
            <w:div w:id="1690256293">
              <w:marLeft w:val="0"/>
              <w:marRight w:val="0"/>
              <w:marTop w:val="0"/>
              <w:marBottom w:val="0"/>
              <w:divBdr>
                <w:top w:val="none" w:sz="0" w:space="0" w:color="auto"/>
                <w:left w:val="none" w:sz="0" w:space="0" w:color="auto"/>
                <w:bottom w:val="none" w:sz="0" w:space="0" w:color="auto"/>
                <w:right w:val="none" w:sz="0" w:space="0" w:color="auto"/>
              </w:divBdr>
            </w:div>
          </w:divsChild>
        </w:div>
        <w:div w:id="692003608">
          <w:marLeft w:val="0"/>
          <w:marRight w:val="0"/>
          <w:marTop w:val="0"/>
          <w:marBottom w:val="0"/>
          <w:divBdr>
            <w:top w:val="none" w:sz="0" w:space="0" w:color="auto"/>
            <w:left w:val="none" w:sz="0" w:space="0" w:color="auto"/>
            <w:bottom w:val="none" w:sz="0" w:space="0" w:color="auto"/>
            <w:right w:val="none" w:sz="0" w:space="0" w:color="auto"/>
          </w:divBdr>
          <w:divsChild>
            <w:div w:id="1603100423">
              <w:marLeft w:val="0"/>
              <w:marRight w:val="0"/>
              <w:marTop w:val="0"/>
              <w:marBottom w:val="0"/>
              <w:divBdr>
                <w:top w:val="none" w:sz="0" w:space="0" w:color="auto"/>
                <w:left w:val="none" w:sz="0" w:space="0" w:color="auto"/>
                <w:bottom w:val="none" w:sz="0" w:space="0" w:color="auto"/>
                <w:right w:val="none" w:sz="0" w:space="0" w:color="auto"/>
              </w:divBdr>
            </w:div>
          </w:divsChild>
        </w:div>
        <w:div w:id="869801046">
          <w:marLeft w:val="0"/>
          <w:marRight w:val="0"/>
          <w:marTop w:val="0"/>
          <w:marBottom w:val="0"/>
          <w:divBdr>
            <w:top w:val="none" w:sz="0" w:space="0" w:color="auto"/>
            <w:left w:val="none" w:sz="0" w:space="0" w:color="auto"/>
            <w:bottom w:val="none" w:sz="0" w:space="0" w:color="auto"/>
            <w:right w:val="none" w:sz="0" w:space="0" w:color="auto"/>
          </w:divBdr>
          <w:divsChild>
            <w:div w:id="1389843590">
              <w:marLeft w:val="0"/>
              <w:marRight w:val="0"/>
              <w:marTop w:val="0"/>
              <w:marBottom w:val="0"/>
              <w:divBdr>
                <w:top w:val="none" w:sz="0" w:space="0" w:color="auto"/>
                <w:left w:val="none" w:sz="0" w:space="0" w:color="auto"/>
                <w:bottom w:val="none" w:sz="0" w:space="0" w:color="auto"/>
                <w:right w:val="none" w:sz="0" w:space="0" w:color="auto"/>
              </w:divBdr>
            </w:div>
          </w:divsChild>
        </w:div>
        <w:div w:id="910308461">
          <w:marLeft w:val="0"/>
          <w:marRight w:val="0"/>
          <w:marTop w:val="0"/>
          <w:marBottom w:val="0"/>
          <w:divBdr>
            <w:top w:val="none" w:sz="0" w:space="0" w:color="auto"/>
            <w:left w:val="none" w:sz="0" w:space="0" w:color="auto"/>
            <w:bottom w:val="none" w:sz="0" w:space="0" w:color="auto"/>
            <w:right w:val="none" w:sz="0" w:space="0" w:color="auto"/>
          </w:divBdr>
          <w:divsChild>
            <w:div w:id="457376169">
              <w:marLeft w:val="0"/>
              <w:marRight w:val="0"/>
              <w:marTop w:val="0"/>
              <w:marBottom w:val="0"/>
              <w:divBdr>
                <w:top w:val="none" w:sz="0" w:space="0" w:color="auto"/>
                <w:left w:val="none" w:sz="0" w:space="0" w:color="auto"/>
                <w:bottom w:val="none" w:sz="0" w:space="0" w:color="auto"/>
                <w:right w:val="none" w:sz="0" w:space="0" w:color="auto"/>
              </w:divBdr>
            </w:div>
          </w:divsChild>
        </w:div>
        <w:div w:id="927348754">
          <w:marLeft w:val="0"/>
          <w:marRight w:val="0"/>
          <w:marTop w:val="0"/>
          <w:marBottom w:val="0"/>
          <w:divBdr>
            <w:top w:val="none" w:sz="0" w:space="0" w:color="auto"/>
            <w:left w:val="none" w:sz="0" w:space="0" w:color="auto"/>
            <w:bottom w:val="none" w:sz="0" w:space="0" w:color="auto"/>
            <w:right w:val="none" w:sz="0" w:space="0" w:color="auto"/>
          </w:divBdr>
          <w:divsChild>
            <w:div w:id="1317298211">
              <w:marLeft w:val="0"/>
              <w:marRight w:val="0"/>
              <w:marTop w:val="0"/>
              <w:marBottom w:val="0"/>
              <w:divBdr>
                <w:top w:val="none" w:sz="0" w:space="0" w:color="auto"/>
                <w:left w:val="none" w:sz="0" w:space="0" w:color="auto"/>
                <w:bottom w:val="none" w:sz="0" w:space="0" w:color="auto"/>
                <w:right w:val="none" w:sz="0" w:space="0" w:color="auto"/>
              </w:divBdr>
            </w:div>
          </w:divsChild>
        </w:div>
        <w:div w:id="951017681">
          <w:marLeft w:val="0"/>
          <w:marRight w:val="0"/>
          <w:marTop w:val="0"/>
          <w:marBottom w:val="0"/>
          <w:divBdr>
            <w:top w:val="none" w:sz="0" w:space="0" w:color="auto"/>
            <w:left w:val="none" w:sz="0" w:space="0" w:color="auto"/>
            <w:bottom w:val="none" w:sz="0" w:space="0" w:color="auto"/>
            <w:right w:val="none" w:sz="0" w:space="0" w:color="auto"/>
          </w:divBdr>
          <w:divsChild>
            <w:div w:id="1281381840">
              <w:marLeft w:val="0"/>
              <w:marRight w:val="0"/>
              <w:marTop w:val="0"/>
              <w:marBottom w:val="0"/>
              <w:divBdr>
                <w:top w:val="none" w:sz="0" w:space="0" w:color="auto"/>
                <w:left w:val="none" w:sz="0" w:space="0" w:color="auto"/>
                <w:bottom w:val="none" w:sz="0" w:space="0" w:color="auto"/>
                <w:right w:val="none" w:sz="0" w:space="0" w:color="auto"/>
              </w:divBdr>
            </w:div>
          </w:divsChild>
        </w:div>
        <w:div w:id="979383395">
          <w:marLeft w:val="0"/>
          <w:marRight w:val="0"/>
          <w:marTop w:val="0"/>
          <w:marBottom w:val="0"/>
          <w:divBdr>
            <w:top w:val="none" w:sz="0" w:space="0" w:color="auto"/>
            <w:left w:val="none" w:sz="0" w:space="0" w:color="auto"/>
            <w:bottom w:val="none" w:sz="0" w:space="0" w:color="auto"/>
            <w:right w:val="none" w:sz="0" w:space="0" w:color="auto"/>
          </w:divBdr>
          <w:divsChild>
            <w:div w:id="963999487">
              <w:marLeft w:val="0"/>
              <w:marRight w:val="0"/>
              <w:marTop w:val="0"/>
              <w:marBottom w:val="0"/>
              <w:divBdr>
                <w:top w:val="none" w:sz="0" w:space="0" w:color="auto"/>
                <w:left w:val="none" w:sz="0" w:space="0" w:color="auto"/>
                <w:bottom w:val="none" w:sz="0" w:space="0" w:color="auto"/>
                <w:right w:val="none" w:sz="0" w:space="0" w:color="auto"/>
              </w:divBdr>
            </w:div>
          </w:divsChild>
        </w:div>
        <w:div w:id="1040665608">
          <w:marLeft w:val="0"/>
          <w:marRight w:val="0"/>
          <w:marTop w:val="0"/>
          <w:marBottom w:val="0"/>
          <w:divBdr>
            <w:top w:val="none" w:sz="0" w:space="0" w:color="auto"/>
            <w:left w:val="none" w:sz="0" w:space="0" w:color="auto"/>
            <w:bottom w:val="none" w:sz="0" w:space="0" w:color="auto"/>
            <w:right w:val="none" w:sz="0" w:space="0" w:color="auto"/>
          </w:divBdr>
          <w:divsChild>
            <w:div w:id="555774999">
              <w:marLeft w:val="0"/>
              <w:marRight w:val="0"/>
              <w:marTop w:val="0"/>
              <w:marBottom w:val="0"/>
              <w:divBdr>
                <w:top w:val="none" w:sz="0" w:space="0" w:color="auto"/>
                <w:left w:val="none" w:sz="0" w:space="0" w:color="auto"/>
                <w:bottom w:val="none" w:sz="0" w:space="0" w:color="auto"/>
                <w:right w:val="none" w:sz="0" w:space="0" w:color="auto"/>
              </w:divBdr>
            </w:div>
            <w:div w:id="1084107721">
              <w:marLeft w:val="0"/>
              <w:marRight w:val="0"/>
              <w:marTop w:val="0"/>
              <w:marBottom w:val="0"/>
              <w:divBdr>
                <w:top w:val="none" w:sz="0" w:space="0" w:color="auto"/>
                <w:left w:val="none" w:sz="0" w:space="0" w:color="auto"/>
                <w:bottom w:val="none" w:sz="0" w:space="0" w:color="auto"/>
                <w:right w:val="none" w:sz="0" w:space="0" w:color="auto"/>
              </w:divBdr>
            </w:div>
            <w:div w:id="1331906627">
              <w:marLeft w:val="0"/>
              <w:marRight w:val="0"/>
              <w:marTop w:val="0"/>
              <w:marBottom w:val="0"/>
              <w:divBdr>
                <w:top w:val="none" w:sz="0" w:space="0" w:color="auto"/>
                <w:left w:val="none" w:sz="0" w:space="0" w:color="auto"/>
                <w:bottom w:val="none" w:sz="0" w:space="0" w:color="auto"/>
                <w:right w:val="none" w:sz="0" w:space="0" w:color="auto"/>
              </w:divBdr>
            </w:div>
          </w:divsChild>
        </w:div>
        <w:div w:id="1044019691">
          <w:marLeft w:val="0"/>
          <w:marRight w:val="0"/>
          <w:marTop w:val="0"/>
          <w:marBottom w:val="0"/>
          <w:divBdr>
            <w:top w:val="none" w:sz="0" w:space="0" w:color="auto"/>
            <w:left w:val="none" w:sz="0" w:space="0" w:color="auto"/>
            <w:bottom w:val="none" w:sz="0" w:space="0" w:color="auto"/>
            <w:right w:val="none" w:sz="0" w:space="0" w:color="auto"/>
          </w:divBdr>
          <w:divsChild>
            <w:div w:id="1939948961">
              <w:marLeft w:val="0"/>
              <w:marRight w:val="0"/>
              <w:marTop w:val="0"/>
              <w:marBottom w:val="0"/>
              <w:divBdr>
                <w:top w:val="none" w:sz="0" w:space="0" w:color="auto"/>
                <w:left w:val="none" w:sz="0" w:space="0" w:color="auto"/>
                <w:bottom w:val="none" w:sz="0" w:space="0" w:color="auto"/>
                <w:right w:val="none" w:sz="0" w:space="0" w:color="auto"/>
              </w:divBdr>
            </w:div>
          </w:divsChild>
        </w:div>
        <w:div w:id="1070034468">
          <w:marLeft w:val="0"/>
          <w:marRight w:val="0"/>
          <w:marTop w:val="0"/>
          <w:marBottom w:val="0"/>
          <w:divBdr>
            <w:top w:val="none" w:sz="0" w:space="0" w:color="auto"/>
            <w:left w:val="none" w:sz="0" w:space="0" w:color="auto"/>
            <w:bottom w:val="none" w:sz="0" w:space="0" w:color="auto"/>
            <w:right w:val="none" w:sz="0" w:space="0" w:color="auto"/>
          </w:divBdr>
          <w:divsChild>
            <w:div w:id="146941976">
              <w:marLeft w:val="0"/>
              <w:marRight w:val="0"/>
              <w:marTop w:val="0"/>
              <w:marBottom w:val="0"/>
              <w:divBdr>
                <w:top w:val="none" w:sz="0" w:space="0" w:color="auto"/>
                <w:left w:val="none" w:sz="0" w:space="0" w:color="auto"/>
                <w:bottom w:val="none" w:sz="0" w:space="0" w:color="auto"/>
                <w:right w:val="none" w:sz="0" w:space="0" w:color="auto"/>
              </w:divBdr>
            </w:div>
          </w:divsChild>
        </w:div>
        <w:div w:id="1070881861">
          <w:marLeft w:val="0"/>
          <w:marRight w:val="0"/>
          <w:marTop w:val="0"/>
          <w:marBottom w:val="0"/>
          <w:divBdr>
            <w:top w:val="none" w:sz="0" w:space="0" w:color="auto"/>
            <w:left w:val="none" w:sz="0" w:space="0" w:color="auto"/>
            <w:bottom w:val="none" w:sz="0" w:space="0" w:color="auto"/>
            <w:right w:val="none" w:sz="0" w:space="0" w:color="auto"/>
          </w:divBdr>
          <w:divsChild>
            <w:div w:id="1580207940">
              <w:marLeft w:val="0"/>
              <w:marRight w:val="0"/>
              <w:marTop w:val="0"/>
              <w:marBottom w:val="0"/>
              <w:divBdr>
                <w:top w:val="none" w:sz="0" w:space="0" w:color="auto"/>
                <w:left w:val="none" w:sz="0" w:space="0" w:color="auto"/>
                <w:bottom w:val="none" w:sz="0" w:space="0" w:color="auto"/>
                <w:right w:val="none" w:sz="0" w:space="0" w:color="auto"/>
              </w:divBdr>
            </w:div>
          </w:divsChild>
        </w:div>
        <w:div w:id="1084498501">
          <w:marLeft w:val="0"/>
          <w:marRight w:val="0"/>
          <w:marTop w:val="0"/>
          <w:marBottom w:val="0"/>
          <w:divBdr>
            <w:top w:val="none" w:sz="0" w:space="0" w:color="auto"/>
            <w:left w:val="none" w:sz="0" w:space="0" w:color="auto"/>
            <w:bottom w:val="none" w:sz="0" w:space="0" w:color="auto"/>
            <w:right w:val="none" w:sz="0" w:space="0" w:color="auto"/>
          </w:divBdr>
          <w:divsChild>
            <w:div w:id="875312483">
              <w:marLeft w:val="0"/>
              <w:marRight w:val="0"/>
              <w:marTop w:val="0"/>
              <w:marBottom w:val="0"/>
              <w:divBdr>
                <w:top w:val="none" w:sz="0" w:space="0" w:color="auto"/>
                <w:left w:val="none" w:sz="0" w:space="0" w:color="auto"/>
                <w:bottom w:val="none" w:sz="0" w:space="0" w:color="auto"/>
                <w:right w:val="none" w:sz="0" w:space="0" w:color="auto"/>
              </w:divBdr>
            </w:div>
          </w:divsChild>
        </w:div>
        <w:div w:id="1122647591">
          <w:marLeft w:val="0"/>
          <w:marRight w:val="0"/>
          <w:marTop w:val="0"/>
          <w:marBottom w:val="0"/>
          <w:divBdr>
            <w:top w:val="none" w:sz="0" w:space="0" w:color="auto"/>
            <w:left w:val="none" w:sz="0" w:space="0" w:color="auto"/>
            <w:bottom w:val="none" w:sz="0" w:space="0" w:color="auto"/>
            <w:right w:val="none" w:sz="0" w:space="0" w:color="auto"/>
          </w:divBdr>
          <w:divsChild>
            <w:div w:id="604189908">
              <w:marLeft w:val="0"/>
              <w:marRight w:val="0"/>
              <w:marTop w:val="0"/>
              <w:marBottom w:val="0"/>
              <w:divBdr>
                <w:top w:val="none" w:sz="0" w:space="0" w:color="auto"/>
                <w:left w:val="none" w:sz="0" w:space="0" w:color="auto"/>
                <w:bottom w:val="none" w:sz="0" w:space="0" w:color="auto"/>
                <w:right w:val="none" w:sz="0" w:space="0" w:color="auto"/>
              </w:divBdr>
            </w:div>
          </w:divsChild>
        </w:div>
        <w:div w:id="1126238767">
          <w:marLeft w:val="0"/>
          <w:marRight w:val="0"/>
          <w:marTop w:val="0"/>
          <w:marBottom w:val="0"/>
          <w:divBdr>
            <w:top w:val="none" w:sz="0" w:space="0" w:color="auto"/>
            <w:left w:val="none" w:sz="0" w:space="0" w:color="auto"/>
            <w:bottom w:val="none" w:sz="0" w:space="0" w:color="auto"/>
            <w:right w:val="none" w:sz="0" w:space="0" w:color="auto"/>
          </w:divBdr>
          <w:divsChild>
            <w:div w:id="1554582377">
              <w:marLeft w:val="0"/>
              <w:marRight w:val="0"/>
              <w:marTop w:val="0"/>
              <w:marBottom w:val="0"/>
              <w:divBdr>
                <w:top w:val="none" w:sz="0" w:space="0" w:color="auto"/>
                <w:left w:val="none" w:sz="0" w:space="0" w:color="auto"/>
                <w:bottom w:val="none" w:sz="0" w:space="0" w:color="auto"/>
                <w:right w:val="none" w:sz="0" w:space="0" w:color="auto"/>
              </w:divBdr>
            </w:div>
          </w:divsChild>
        </w:div>
        <w:div w:id="1172186859">
          <w:marLeft w:val="0"/>
          <w:marRight w:val="0"/>
          <w:marTop w:val="0"/>
          <w:marBottom w:val="0"/>
          <w:divBdr>
            <w:top w:val="none" w:sz="0" w:space="0" w:color="auto"/>
            <w:left w:val="none" w:sz="0" w:space="0" w:color="auto"/>
            <w:bottom w:val="none" w:sz="0" w:space="0" w:color="auto"/>
            <w:right w:val="none" w:sz="0" w:space="0" w:color="auto"/>
          </w:divBdr>
          <w:divsChild>
            <w:div w:id="1865745073">
              <w:marLeft w:val="0"/>
              <w:marRight w:val="0"/>
              <w:marTop w:val="0"/>
              <w:marBottom w:val="0"/>
              <w:divBdr>
                <w:top w:val="none" w:sz="0" w:space="0" w:color="auto"/>
                <w:left w:val="none" w:sz="0" w:space="0" w:color="auto"/>
                <w:bottom w:val="none" w:sz="0" w:space="0" w:color="auto"/>
                <w:right w:val="none" w:sz="0" w:space="0" w:color="auto"/>
              </w:divBdr>
            </w:div>
          </w:divsChild>
        </w:div>
        <w:div w:id="1177386558">
          <w:marLeft w:val="0"/>
          <w:marRight w:val="0"/>
          <w:marTop w:val="0"/>
          <w:marBottom w:val="0"/>
          <w:divBdr>
            <w:top w:val="none" w:sz="0" w:space="0" w:color="auto"/>
            <w:left w:val="none" w:sz="0" w:space="0" w:color="auto"/>
            <w:bottom w:val="none" w:sz="0" w:space="0" w:color="auto"/>
            <w:right w:val="none" w:sz="0" w:space="0" w:color="auto"/>
          </w:divBdr>
          <w:divsChild>
            <w:div w:id="761728596">
              <w:marLeft w:val="0"/>
              <w:marRight w:val="0"/>
              <w:marTop w:val="0"/>
              <w:marBottom w:val="0"/>
              <w:divBdr>
                <w:top w:val="none" w:sz="0" w:space="0" w:color="auto"/>
                <w:left w:val="none" w:sz="0" w:space="0" w:color="auto"/>
                <w:bottom w:val="none" w:sz="0" w:space="0" w:color="auto"/>
                <w:right w:val="none" w:sz="0" w:space="0" w:color="auto"/>
              </w:divBdr>
            </w:div>
          </w:divsChild>
        </w:div>
        <w:div w:id="1185632904">
          <w:marLeft w:val="0"/>
          <w:marRight w:val="0"/>
          <w:marTop w:val="0"/>
          <w:marBottom w:val="0"/>
          <w:divBdr>
            <w:top w:val="none" w:sz="0" w:space="0" w:color="auto"/>
            <w:left w:val="none" w:sz="0" w:space="0" w:color="auto"/>
            <w:bottom w:val="none" w:sz="0" w:space="0" w:color="auto"/>
            <w:right w:val="none" w:sz="0" w:space="0" w:color="auto"/>
          </w:divBdr>
          <w:divsChild>
            <w:div w:id="1505239748">
              <w:marLeft w:val="0"/>
              <w:marRight w:val="0"/>
              <w:marTop w:val="0"/>
              <w:marBottom w:val="0"/>
              <w:divBdr>
                <w:top w:val="none" w:sz="0" w:space="0" w:color="auto"/>
                <w:left w:val="none" w:sz="0" w:space="0" w:color="auto"/>
                <w:bottom w:val="none" w:sz="0" w:space="0" w:color="auto"/>
                <w:right w:val="none" w:sz="0" w:space="0" w:color="auto"/>
              </w:divBdr>
            </w:div>
          </w:divsChild>
        </w:div>
        <w:div w:id="1197616537">
          <w:marLeft w:val="0"/>
          <w:marRight w:val="0"/>
          <w:marTop w:val="0"/>
          <w:marBottom w:val="0"/>
          <w:divBdr>
            <w:top w:val="none" w:sz="0" w:space="0" w:color="auto"/>
            <w:left w:val="none" w:sz="0" w:space="0" w:color="auto"/>
            <w:bottom w:val="none" w:sz="0" w:space="0" w:color="auto"/>
            <w:right w:val="none" w:sz="0" w:space="0" w:color="auto"/>
          </w:divBdr>
          <w:divsChild>
            <w:div w:id="1382249205">
              <w:marLeft w:val="0"/>
              <w:marRight w:val="0"/>
              <w:marTop w:val="0"/>
              <w:marBottom w:val="0"/>
              <w:divBdr>
                <w:top w:val="none" w:sz="0" w:space="0" w:color="auto"/>
                <w:left w:val="none" w:sz="0" w:space="0" w:color="auto"/>
                <w:bottom w:val="none" w:sz="0" w:space="0" w:color="auto"/>
                <w:right w:val="none" w:sz="0" w:space="0" w:color="auto"/>
              </w:divBdr>
            </w:div>
          </w:divsChild>
        </w:div>
        <w:div w:id="1250695262">
          <w:marLeft w:val="0"/>
          <w:marRight w:val="0"/>
          <w:marTop w:val="0"/>
          <w:marBottom w:val="0"/>
          <w:divBdr>
            <w:top w:val="none" w:sz="0" w:space="0" w:color="auto"/>
            <w:left w:val="none" w:sz="0" w:space="0" w:color="auto"/>
            <w:bottom w:val="none" w:sz="0" w:space="0" w:color="auto"/>
            <w:right w:val="none" w:sz="0" w:space="0" w:color="auto"/>
          </w:divBdr>
          <w:divsChild>
            <w:div w:id="873006039">
              <w:marLeft w:val="0"/>
              <w:marRight w:val="0"/>
              <w:marTop w:val="0"/>
              <w:marBottom w:val="0"/>
              <w:divBdr>
                <w:top w:val="none" w:sz="0" w:space="0" w:color="auto"/>
                <w:left w:val="none" w:sz="0" w:space="0" w:color="auto"/>
                <w:bottom w:val="none" w:sz="0" w:space="0" w:color="auto"/>
                <w:right w:val="none" w:sz="0" w:space="0" w:color="auto"/>
              </w:divBdr>
            </w:div>
          </w:divsChild>
        </w:div>
        <w:div w:id="1348143032">
          <w:marLeft w:val="0"/>
          <w:marRight w:val="0"/>
          <w:marTop w:val="0"/>
          <w:marBottom w:val="0"/>
          <w:divBdr>
            <w:top w:val="none" w:sz="0" w:space="0" w:color="auto"/>
            <w:left w:val="none" w:sz="0" w:space="0" w:color="auto"/>
            <w:bottom w:val="none" w:sz="0" w:space="0" w:color="auto"/>
            <w:right w:val="none" w:sz="0" w:space="0" w:color="auto"/>
          </w:divBdr>
          <w:divsChild>
            <w:div w:id="1999845752">
              <w:marLeft w:val="0"/>
              <w:marRight w:val="0"/>
              <w:marTop w:val="0"/>
              <w:marBottom w:val="0"/>
              <w:divBdr>
                <w:top w:val="none" w:sz="0" w:space="0" w:color="auto"/>
                <w:left w:val="none" w:sz="0" w:space="0" w:color="auto"/>
                <w:bottom w:val="none" w:sz="0" w:space="0" w:color="auto"/>
                <w:right w:val="none" w:sz="0" w:space="0" w:color="auto"/>
              </w:divBdr>
            </w:div>
          </w:divsChild>
        </w:div>
        <w:div w:id="1390112417">
          <w:marLeft w:val="0"/>
          <w:marRight w:val="0"/>
          <w:marTop w:val="0"/>
          <w:marBottom w:val="0"/>
          <w:divBdr>
            <w:top w:val="none" w:sz="0" w:space="0" w:color="auto"/>
            <w:left w:val="none" w:sz="0" w:space="0" w:color="auto"/>
            <w:bottom w:val="none" w:sz="0" w:space="0" w:color="auto"/>
            <w:right w:val="none" w:sz="0" w:space="0" w:color="auto"/>
          </w:divBdr>
          <w:divsChild>
            <w:div w:id="414324829">
              <w:marLeft w:val="0"/>
              <w:marRight w:val="0"/>
              <w:marTop w:val="0"/>
              <w:marBottom w:val="0"/>
              <w:divBdr>
                <w:top w:val="none" w:sz="0" w:space="0" w:color="auto"/>
                <w:left w:val="none" w:sz="0" w:space="0" w:color="auto"/>
                <w:bottom w:val="none" w:sz="0" w:space="0" w:color="auto"/>
                <w:right w:val="none" w:sz="0" w:space="0" w:color="auto"/>
              </w:divBdr>
            </w:div>
            <w:div w:id="519900251">
              <w:marLeft w:val="0"/>
              <w:marRight w:val="0"/>
              <w:marTop w:val="0"/>
              <w:marBottom w:val="0"/>
              <w:divBdr>
                <w:top w:val="none" w:sz="0" w:space="0" w:color="auto"/>
                <w:left w:val="none" w:sz="0" w:space="0" w:color="auto"/>
                <w:bottom w:val="none" w:sz="0" w:space="0" w:color="auto"/>
                <w:right w:val="none" w:sz="0" w:space="0" w:color="auto"/>
              </w:divBdr>
            </w:div>
            <w:div w:id="760414951">
              <w:marLeft w:val="0"/>
              <w:marRight w:val="0"/>
              <w:marTop w:val="0"/>
              <w:marBottom w:val="0"/>
              <w:divBdr>
                <w:top w:val="none" w:sz="0" w:space="0" w:color="auto"/>
                <w:left w:val="none" w:sz="0" w:space="0" w:color="auto"/>
                <w:bottom w:val="none" w:sz="0" w:space="0" w:color="auto"/>
                <w:right w:val="none" w:sz="0" w:space="0" w:color="auto"/>
              </w:divBdr>
            </w:div>
            <w:div w:id="1570537444">
              <w:marLeft w:val="0"/>
              <w:marRight w:val="0"/>
              <w:marTop w:val="0"/>
              <w:marBottom w:val="0"/>
              <w:divBdr>
                <w:top w:val="none" w:sz="0" w:space="0" w:color="auto"/>
                <w:left w:val="none" w:sz="0" w:space="0" w:color="auto"/>
                <w:bottom w:val="none" w:sz="0" w:space="0" w:color="auto"/>
                <w:right w:val="none" w:sz="0" w:space="0" w:color="auto"/>
              </w:divBdr>
            </w:div>
            <w:div w:id="1770850766">
              <w:marLeft w:val="0"/>
              <w:marRight w:val="0"/>
              <w:marTop w:val="0"/>
              <w:marBottom w:val="0"/>
              <w:divBdr>
                <w:top w:val="none" w:sz="0" w:space="0" w:color="auto"/>
                <w:left w:val="none" w:sz="0" w:space="0" w:color="auto"/>
                <w:bottom w:val="none" w:sz="0" w:space="0" w:color="auto"/>
                <w:right w:val="none" w:sz="0" w:space="0" w:color="auto"/>
              </w:divBdr>
            </w:div>
          </w:divsChild>
        </w:div>
        <w:div w:id="1408109414">
          <w:marLeft w:val="0"/>
          <w:marRight w:val="0"/>
          <w:marTop w:val="0"/>
          <w:marBottom w:val="0"/>
          <w:divBdr>
            <w:top w:val="none" w:sz="0" w:space="0" w:color="auto"/>
            <w:left w:val="none" w:sz="0" w:space="0" w:color="auto"/>
            <w:bottom w:val="none" w:sz="0" w:space="0" w:color="auto"/>
            <w:right w:val="none" w:sz="0" w:space="0" w:color="auto"/>
          </w:divBdr>
          <w:divsChild>
            <w:div w:id="1060204344">
              <w:marLeft w:val="0"/>
              <w:marRight w:val="0"/>
              <w:marTop w:val="0"/>
              <w:marBottom w:val="0"/>
              <w:divBdr>
                <w:top w:val="none" w:sz="0" w:space="0" w:color="auto"/>
                <w:left w:val="none" w:sz="0" w:space="0" w:color="auto"/>
                <w:bottom w:val="none" w:sz="0" w:space="0" w:color="auto"/>
                <w:right w:val="none" w:sz="0" w:space="0" w:color="auto"/>
              </w:divBdr>
            </w:div>
          </w:divsChild>
        </w:div>
        <w:div w:id="1460956356">
          <w:marLeft w:val="0"/>
          <w:marRight w:val="0"/>
          <w:marTop w:val="0"/>
          <w:marBottom w:val="0"/>
          <w:divBdr>
            <w:top w:val="none" w:sz="0" w:space="0" w:color="auto"/>
            <w:left w:val="none" w:sz="0" w:space="0" w:color="auto"/>
            <w:bottom w:val="none" w:sz="0" w:space="0" w:color="auto"/>
            <w:right w:val="none" w:sz="0" w:space="0" w:color="auto"/>
          </w:divBdr>
          <w:divsChild>
            <w:div w:id="1130173173">
              <w:marLeft w:val="0"/>
              <w:marRight w:val="0"/>
              <w:marTop w:val="0"/>
              <w:marBottom w:val="0"/>
              <w:divBdr>
                <w:top w:val="none" w:sz="0" w:space="0" w:color="auto"/>
                <w:left w:val="none" w:sz="0" w:space="0" w:color="auto"/>
                <w:bottom w:val="none" w:sz="0" w:space="0" w:color="auto"/>
                <w:right w:val="none" w:sz="0" w:space="0" w:color="auto"/>
              </w:divBdr>
            </w:div>
          </w:divsChild>
        </w:div>
        <w:div w:id="1471053398">
          <w:marLeft w:val="0"/>
          <w:marRight w:val="0"/>
          <w:marTop w:val="0"/>
          <w:marBottom w:val="0"/>
          <w:divBdr>
            <w:top w:val="none" w:sz="0" w:space="0" w:color="auto"/>
            <w:left w:val="none" w:sz="0" w:space="0" w:color="auto"/>
            <w:bottom w:val="none" w:sz="0" w:space="0" w:color="auto"/>
            <w:right w:val="none" w:sz="0" w:space="0" w:color="auto"/>
          </w:divBdr>
          <w:divsChild>
            <w:div w:id="1597981383">
              <w:marLeft w:val="0"/>
              <w:marRight w:val="0"/>
              <w:marTop w:val="0"/>
              <w:marBottom w:val="0"/>
              <w:divBdr>
                <w:top w:val="none" w:sz="0" w:space="0" w:color="auto"/>
                <w:left w:val="none" w:sz="0" w:space="0" w:color="auto"/>
                <w:bottom w:val="none" w:sz="0" w:space="0" w:color="auto"/>
                <w:right w:val="none" w:sz="0" w:space="0" w:color="auto"/>
              </w:divBdr>
            </w:div>
          </w:divsChild>
        </w:div>
        <w:div w:id="1512794725">
          <w:marLeft w:val="0"/>
          <w:marRight w:val="0"/>
          <w:marTop w:val="0"/>
          <w:marBottom w:val="0"/>
          <w:divBdr>
            <w:top w:val="none" w:sz="0" w:space="0" w:color="auto"/>
            <w:left w:val="none" w:sz="0" w:space="0" w:color="auto"/>
            <w:bottom w:val="none" w:sz="0" w:space="0" w:color="auto"/>
            <w:right w:val="none" w:sz="0" w:space="0" w:color="auto"/>
          </w:divBdr>
          <w:divsChild>
            <w:div w:id="682630642">
              <w:marLeft w:val="0"/>
              <w:marRight w:val="0"/>
              <w:marTop w:val="0"/>
              <w:marBottom w:val="0"/>
              <w:divBdr>
                <w:top w:val="none" w:sz="0" w:space="0" w:color="auto"/>
                <w:left w:val="none" w:sz="0" w:space="0" w:color="auto"/>
                <w:bottom w:val="none" w:sz="0" w:space="0" w:color="auto"/>
                <w:right w:val="none" w:sz="0" w:space="0" w:color="auto"/>
              </w:divBdr>
            </w:div>
          </w:divsChild>
        </w:div>
        <w:div w:id="1558080535">
          <w:marLeft w:val="0"/>
          <w:marRight w:val="0"/>
          <w:marTop w:val="0"/>
          <w:marBottom w:val="0"/>
          <w:divBdr>
            <w:top w:val="none" w:sz="0" w:space="0" w:color="auto"/>
            <w:left w:val="none" w:sz="0" w:space="0" w:color="auto"/>
            <w:bottom w:val="none" w:sz="0" w:space="0" w:color="auto"/>
            <w:right w:val="none" w:sz="0" w:space="0" w:color="auto"/>
          </w:divBdr>
          <w:divsChild>
            <w:div w:id="647788174">
              <w:marLeft w:val="0"/>
              <w:marRight w:val="0"/>
              <w:marTop w:val="0"/>
              <w:marBottom w:val="0"/>
              <w:divBdr>
                <w:top w:val="none" w:sz="0" w:space="0" w:color="auto"/>
                <w:left w:val="none" w:sz="0" w:space="0" w:color="auto"/>
                <w:bottom w:val="none" w:sz="0" w:space="0" w:color="auto"/>
                <w:right w:val="none" w:sz="0" w:space="0" w:color="auto"/>
              </w:divBdr>
            </w:div>
          </w:divsChild>
        </w:div>
        <w:div w:id="1724332405">
          <w:marLeft w:val="0"/>
          <w:marRight w:val="0"/>
          <w:marTop w:val="0"/>
          <w:marBottom w:val="0"/>
          <w:divBdr>
            <w:top w:val="none" w:sz="0" w:space="0" w:color="auto"/>
            <w:left w:val="none" w:sz="0" w:space="0" w:color="auto"/>
            <w:bottom w:val="none" w:sz="0" w:space="0" w:color="auto"/>
            <w:right w:val="none" w:sz="0" w:space="0" w:color="auto"/>
          </w:divBdr>
          <w:divsChild>
            <w:div w:id="935597137">
              <w:marLeft w:val="0"/>
              <w:marRight w:val="0"/>
              <w:marTop w:val="0"/>
              <w:marBottom w:val="0"/>
              <w:divBdr>
                <w:top w:val="none" w:sz="0" w:space="0" w:color="auto"/>
                <w:left w:val="none" w:sz="0" w:space="0" w:color="auto"/>
                <w:bottom w:val="none" w:sz="0" w:space="0" w:color="auto"/>
                <w:right w:val="none" w:sz="0" w:space="0" w:color="auto"/>
              </w:divBdr>
            </w:div>
          </w:divsChild>
        </w:div>
        <w:div w:id="1767269728">
          <w:marLeft w:val="0"/>
          <w:marRight w:val="0"/>
          <w:marTop w:val="0"/>
          <w:marBottom w:val="0"/>
          <w:divBdr>
            <w:top w:val="none" w:sz="0" w:space="0" w:color="auto"/>
            <w:left w:val="none" w:sz="0" w:space="0" w:color="auto"/>
            <w:bottom w:val="none" w:sz="0" w:space="0" w:color="auto"/>
            <w:right w:val="none" w:sz="0" w:space="0" w:color="auto"/>
          </w:divBdr>
          <w:divsChild>
            <w:div w:id="646011916">
              <w:marLeft w:val="0"/>
              <w:marRight w:val="0"/>
              <w:marTop w:val="0"/>
              <w:marBottom w:val="0"/>
              <w:divBdr>
                <w:top w:val="none" w:sz="0" w:space="0" w:color="auto"/>
                <w:left w:val="none" w:sz="0" w:space="0" w:color="auto"/>
                <w:bottom w:val="none" w:sz="0" w:space="0" w:color="auto"/>
                <w:right w:val="none" w:sz="0" w:space="0" w:color="auto"/>
              </w:divBdr>
            </w:div>
            <w:div w:id="1535970121">
              <w:marLeft w:val="0"/>
              <w:marRight w:val="0"/>
              <w:marTop w:val="0"/>
              <w:marBottom w:val="0"/>
              <w:divBdr>
                <w:top w:val="none" w:sz="0" w:space="0" w:color="auto"/>
                <w:left w:val="none" w:sz="0" w:space="0" w:color="auto"/>
                <w:bottom w:val="none" w:sz="0" w:space="0" w:color="auto"/>
                <w:right w:val="none" w:sz="0" w:space="0" w:color="auto"/>
              </w:divBdr>
            </w:div>
            <w:div w:id="1560820968">
              <w:marLeft w:val="0"/>
              <w:marRight w:val="0"/>
              <w:marTop w:val="0"/>
              <w:marBottom w:val="0"/>
              <w:divBdr>
                <w:top w:val="none" w:sz="0" w:space="0" w:color="auto"/>
                <w:left w:val="none" w:sz="0" w:space="0" w:color="auto"/>
                <w:bottom w:val="none" w:sz="0" w:space="0" w:color="auto"/>
                <w:right w:val="none" w:sz="0" w:space="0" w:color="auto"/>
              </w:divBdr>
            </w:div>
          </w:divsChild>
        </w:div>
        <w:div w:id="1773696323">
          <w:marLeft w:val="0"/>
          <w:marRight w:val="0"/>
          <w:marTop w:val="0"/>
          <w:marBottom w:val="0"/>
          <w:divBdr>
            <w:top w:val="none" w:sz="0" w:space="0" w:color="auto"/>
            <w:left w:val="none" w:sz="0" w:space="0" w:color="auto"/>
            <w:bottom w:val="none" w:sz="0" w:space="0" w:color="auto"/>
            <w:right w:val="none" w:sz="0" w:space="0" w:color="auto"/>
          </w:divBdr>
          <w:divsChild>
            <w:div w:id="795217356">
              <w:marLeft w:val="0"/>
              <w:marRight w:val="0"/>
              <w:marTop w:val="0"/>
              <w:marBottom w:val="0"/>
              <w:divBdr>
                <w:top w:val="none" w:sz="0" w:space="0" w:color="auto"/>
                <w:left w:val="none" w:sz="0" w:space="0" w:color="auto"/>
                <w:bottom w:val="none" w:sz="0" w:space="0" w:color="auto"/>
                <w:right w:val="none" w:sz="0" w:space="0" w:color="auto"/>
              </w:divBdr>
            </w:div>
          </w:divsChild>
        </w:div>
        <w:div w:id="1792549503">
          <w:marLeft w:val="0"/>
          <w:marRight w:val="0"/>
          <w:marTop w:val="0"/>
          <w:marBottom w:val="0"/>
          <w:divBdr>
            <w:top w:val="none" w:sz="0" w:space="0" w:color="auto"/>
            <w:left w:val="none" w:sz="0" w:space="0" w:color="auto"/>
            <w:bottom w:val="none" w:sz="0" w:space="0" w:color="auto"/>
            <w:right w:val="none" w:sz="0" w:space="0" w:color="auto"/>
          </w:divBdr>
          <w:divsChild>
            <w:div w:id="1135177321">
              <w:marLeft w:val="0"/>
              <w:marRight w:val="0"/>
              <w:marTop w:val="0"/>
              <w:marBottom w:val="0"/>
              <w:divBdr>
                <w:top w:val="none" w:sz="0" w:space="0" w:color="auto"/>
                <w:left w:val="none" w:sz="0" w:space="0" w:color="auto"/>
                <w:bottom w:val="none" w:sz="0" w:space="0" w:color="auto"/>
                <w:right w:val="none" w:sz="0" w:space="0" w:color="auto"/>
              </w:divBdr>
            </w:div>
          </w:divsChild>
        </w:div>
        <w:div w:id="1901475925">
          <w:marLeft w:val="0"/>
          <w:marRight w:val="0"/>
          <w:marTop w:val="0"/>
          <w:marBottom w:val="0"/>
          <w:divBdr>
            <w:top w:val="none" w:sz="0" w:space="0" w:color="auto"/>
            <w:left w:val="none" w:sz="0" w:space="0" w:color="auto"/>
            <w:bottom w:val="none" w:sz="0" w:space="0" w:color="auto"/>
            <w:right w:val="none" w:sz="0" w:space="0" w:color="auto"/>
          </w:divBdr>
          <w:divsChild>
            <w:div w:id="679819754">
              <w:marLeft w:val="0"/>
              <w:marRight w:val="0"/>
              <w:marTop w:val="0"/>
              <w:marBottom w:val="0"/>
              <w:divBdr>
                <w:top w:val="none" w:sz="0" w:space="0" w:color="auto"/>
                <w:left w:val="none" w:sz="0" w:space="0" w:color="auto"/>
                <w:bottom w:val="none" w:sz="0" w:space="0" w:color="auto"/>
                <w:right w:val="none" w:sz="0" w:space="0" w:color="auto"/>
              </w:divBdr>
            </w:div>
            <w:div w:id="1335718052">
              <w:marLeft w:val="0"/>
              <w:marRight w:val="0"/>
              <w:marTop w:val="0"/>
              <w:marBottom w:val="0"/>
              <w:divBdr>
                <w:top w:val="none" w:sz="0" w:space="0" w:color="auto"/>
                <w:left w:val="none" w:sz="0" w:space="0" w:color="auto"/>
                <w:bottom w:val="none" w:sz="0" w:space="0" w:color="auto"/>
                <w:right w:val="none" w:sz="0" w:space="0" w:color="auto"/>
              </w:divBdr>
            </w:div>
            <w:div w:id="1965034328">
              <w:marLeft w:val="0"/>
              <w:marRight w:val="0"/>
              <w:marTop w:val="0"/>
              <w:marBottom w:val="0"/>
              <w:divBdr>
                <w:top w:val="none" w:sz="0" w:space="0" w:color="auto"/>
                <w:left w:val="none" w:sz="0" w:space="0" w:color="auto"/>
                <w:bottom w:val="none" w:sz="0" w:space="0" w:color="auto"/>
                <w:right w:val="none" w:sz="0" w:space="0" w:color="auto"/>
              </w:divBdr>
            </w:div>
          </w:divsChild>
        </w:div>
        <w:div w:id="1907256480">
          <w:marLeft w:val="0"/>
          <w:marRight w:val="0"/>
          <w:marTop w:val="0"/>
          <w:marBottom w:val="0"/>
          <w:divBdr>
            <w:top w:val="none" w:sz="0" w:space="0" w:color="auto"/>
            <w:left w:val="none" w:sz="0" w:space="0" w:color="auto"/>
            <w:bottom w:val="none" w:sz="0" w:space="0" w:color="auto"/>
            <w:right w:val="none" w:sz="0" w:space="0" w:color="auto"/>
          </w:divBdr>
          <w:divsChild>
            <w:div w:id="1477919194">
              <w:marLeft w:val="0"/>
              <w:marRight w:val="0"/>
              <w:marTop w:val="0"/>
              <w:marBottom w:val="0"/>
              <w:divBdr>
                <w:top w:val="none" w:sz="0" w:space="0" w:color="auto"/>
                <w:left w:val="none" w:sz="0" w:space="0" w:color="auto"/>
                <w:bottom w:val="none" w:sz="0" w:space="0" w:color="auto"/>
                <w:right w:val="none" w:sz="0" w:space="0" w:color="auto"/>
              </w:divBdr>
            </w:div>
          </w:divsChild>
        </w:div>
        <w:div w:id="1908106265">
          <w:marLeft w:val="0"/>
          <w:marRight w:val="0"/>
          <w:marTop w:val="0"/>
          <w:marBottom w:val="0"/>
          <w:divBdr>
            <w:top w:val="none" w:sz="0" w:space="0" w:color="auto"/>
            <w:left w:val="none" w:sz="0" w:space="0" w:color="auto"/>
            <w:bottom w:val="none" w:sz="0" w:space="0" w:color="auto"/>
            <w:right w:val="none" w:sz="0" w:space="0" w:color="auto"/>
          </w:divBdr>
          <w:divsChild>
            <w:div w:id="1399745767">
              <w:marLeft w:val="0"/>
              <w:marRight w:val="0"/>
              <w:marTop w:val="0"/>
              <w:marBottom w:val="0"/>
              <w:divBdr>
                <w:top w:val="none" w:sz="0" w:space="0" w:color="auto"/>
                <w:left w:val="none" w:sz="0" w:space="0" w:color="auto"/>
                <w:bottom w:val="none" w:sz="0" w:space="0" w:color="auto"/>
                <w:right w:val="none" w:sz="0" w:space="0" w:color="auto"/>
              </w:divBdr>
            </w:div>
          </w:divsChild>
        </w:div>
        <w:div w:id="1915241651">
          <w:marLeft w:val="0"/>
          <w:marRight w:val="0"/>
          <w:marTop w:val="0"/>
          <w:marBottom w:val="0"/>
          <w:divBdr>
            <w:top w:val="none" w:sz="0" w:space="0" w:color="auto"/>
            <w:left w:val="none" w:sz="0" w:space="0" w:color="auto"/>
            <w:bottom w:val="none" w:sz="0" w:space="0" w:color="auto"/>
            <w:right w:val="none" w:sz="0" w:space="0" w:color="auto"/>
          </w:divBdr>
          <w:divsChild>
            <w:div w:id="1593053655">
              <w:marLeft w:val="0"/>
              <w:marRight w:val="0"/>
              <w:marTop w:val="0"/>
              <w:marBottom w:val="0"/>
              <w:divBdr>
                <w:top w:val="none" w:sz="0" w:space="0" w:color="auto"/>
                <w:left w:val="none" w:sz="0" w:space="0" w:color="auto"/>
                <w:bottom w:val="none" w:sz="0" w:space="0" w:color="auto"/>
                <w:right w:val="none" w:sz="0" w:space="0" w:color="auto"/>
              </w:divBdr>
            </w:div>
          </w:divsChild>
        </w:div>
        <w:div w:id="2114396122">
          <w:marLeft w:val="0"/>
          <w:marRight w:val="0"/>
          <w:marTop w:val="0"/>
          <w:marBottom w:val="0"/>
          <w:divBdr>
            <w:top w:val="none" w:sz="0" w:space="0" w:color="auto"/>
            <w:left w:val="none" w:sz="0" w:space="0" w:color="auto"/>
            <w:bottom w:val="none" w:sz="0" w:space="0" w:color="auto"/>
            <w:right w:val="none" w:sz="0" w:space="0" w:color="auto"/>
          </w:divBdr>
          <w:divsChild>
            <w:div w:id="186523889">
              <w:marLeft w:val="0"/>
              <w:marRight w:val="0"/>
              <w:marTop w:val="0"/>
              <w:marBottom w:val="0"/>
              <w:divBdr>
                <w:top w:val="none" w:sz="0" w:space="0" w:color="auto"/>
                <w:left w:val="none" w:sz="0" w:space="0" w:color="auto"/>
                <w:bottom w:val="none" w:sz="0" w:space="0" w:color="auto"/>
                <w:right w:val="none" w:sz="0" w:space="0" w:color="auto"/>
              </w:divBdr>
            </w:div>
            <w:div w:id="806355464">
              <w:marLeft w:val="0"/>
              <w:marRight w:val="0"/>
              <w:marTop w:val="0"/>
              <w:marBottom w:val="0"/>
              <w:divBdr>
                <w:top w:val="none" w:sz="0" w:space="0" w:color="auto"/>
                <w:left w:val="none" w:sz="0" w:space="0" w:color="auto"/>
                <w:bottom w:val="none" w:sz="0" w:space="0" w:color="auto"/>
                <w:right w:val="none" w:sz="0" w:space="0" w:color="auto"/>
              </w:divBdr>
            </w:div>
            <w:div w:id="1028721683">
              <w:marLeft w:val="0"/>
              <w:marRight w:val="0"/>
              <w:marTop w:val="0"/>
              <w:marBottom w:val="0"/>
              <w:divBdr>
                <w:top w:val="none" w:sz="0" w:space="0" w:color="auto"/>
                <w:left w:val="none" w:sz="0" w:space="0" w:color="auto"/>
                <w:bottom w:val="none" w:sz="0" w:space="0" w:color="auto"/>
                <w:right w:val="none" w:sz="0" w:space="0" w:color="auto"/>
              </w:divBdr>
            </w:div>
          </w:divsChild>
        </w:div>
        <w:div w:id="2119328319">
          <w:marLeft w:val="0"/>
          <w:marRight w:val="0"/>
          <w:marTop w:val="0"/>
          <w:marBottom w:val="0"/>
          <w:divBdr>
            <w:top w:val="none" w:sz="0" w:space="0" w:color="auto"/>
            <w:left w:val="none" w:sz="0" w:space="0" w:color="auto"/>
            <w:bottom w:val="none" w:sz="0" w:space="0" w:color="auto"/>
            <w:right w:val="none" w:sz="0" w:space="0" w:color="auto"/>
          </w:divBdr>
          <w:divsChild>
            <w:div w:id="5880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280844">
      <w:bodyDiv w:val="1"/>
      <w:marLeft w:val="0"/>
      <w:marRight w:val="0"/>
      <w:marTop w:val="0"/>
      <w:marBottom w:val="0"/>
      <w:divBdr>
        <w:top w:val="none" w:sz="0" w:space="0" w:color="auto"/>
        <w:left w:val="none" w:sz="0" w:space="0" w:color="auto"/>
        <w:bottom w:val="none" w:sz="0" w:space="0" w:color="auto"/>
        <w:right w:val="none" w:sz="0" w:space="0" w:color="auto"/>
      </w:divBdr>
    </w:div>
    <w:div w:id="1595549904">
      <w:bodyDiv w:val="1"/>
      <w:marLeft w:val="0"/>
      <w:marRight w:val="0"/>
      <w:marTop w:val="0"/>
      <w:marBottom w:val="0"/>
      <w:divBdr>
        <w:top w:val="none" w:sz="0" w:space="0" w:color="auto"/>
        <w:left w:val="none" w:sz="0" w:space="0" w:color="auto"/>
        <w:bottom w:val="none" w:sz="0" w:space="0" w:color="auto"/>
        <w:right w:val="none" w:sz="0" w:space="0" w:color="auto"/>
      </w:divBdr>
    </w:div>
    <w:div w:id="1601985197">
      <w:bodyDiv w:val="1"/>
      <w:marLeft w:val="0"/>
      <w:marRight w:val="0"/>
      <w:marTop w:val="0"/>
      <w:marBottom w:val="0"/>
      <w:divBdr>
        <w:top w:val="none" w:sz="0" w:space="0" w:color="auto"/>
        <w:left w:val="none" w:sz="0" w:space="0" w:color="auto"/>
        <w:bottom w:val="none" w:sz="0" w:space="0" w:color="auto"/>
        <w:right w:val="none" w:sz="0" w:space="0" w:color="auto"/>
      </w:divBdr>
    </w:div>
    <w:div w:id="1617058058">
      <w:bodyDiv w:val="1"/>
      <w:marLeft w:val="0"/>
      <w:marRight w:val="0"/>
      <w:marTop w:val="0"/>
      <w:marBottom w:val="0"/>
      <w:divBdr>
        <w:top w:val="none" w:sz="0" w:space="0" w:color="auto"/>
        <w:left w:val="none" w:sz="0" w:space="0" w:color="auto"/>
        <w:bottom w:val="none" w:sz="0" w:space="0" w:color="auto"/>
        <w:right w:val="none" w:sz="0" w:space="0" w:color="auto"/>
      </w:divBdr>
    </w:div>
    <w:div w:id="1640378157">
      <w:bodyDiv w:val="1"/>
      <w:marLeft w:val="0"/>
      <w:marRight w:val="0"/>
      <w:marTop w:val="0"/>
      <w:marBottom w:val="0"/>
      <w:divBdr>
        <w:top w:val="none" w:sz="0" w:space="0" w:color="auto"/>
        <w:left w:val="none" w:sz="0" w:space="0" w:color="auto"/>
        <w:bottom w:val="none" w:sz="0" w:space="0" w:color="auto"/>
        <w:right w:val="none" w:sz="0" w:space="0" w:color="auto"/>
      </w:divBdr>
    </w:div>
    <w:div w:id="1646930493">
      <w:bodyDiv w:val="1"/>
      <w:marLeft w:val="0"/>
      <w:marRight w:val="0"/>
      <w:marTop w:val="0"/>
      <w:marBottom w:val="0"/>
      <w:divBdr>
        <w:top w:val="none" w:sz="0" w:space="0" w:color="auto"/>
        <w:left w:val="none" w:sz="0" w:space="0" w:color="auto"/>
        <w:bottom w:val="none" w:sz="0" w:space="0" w:color="auto"/>
        <w:right w:val="none" w:sz="0" w:space="0" w:color="auto"/>
      </w:divBdr>
    </w:div>
    <w:div w:id="1650017927">
      <w:bodyDiv w:val="1"/>
      <w:marLeft w:val="0"/>
      <w:marRight w:val="0"/>
      <w:marTop w:val="0"/>
      <w:marBottom w:val="0"/>
      <w:divBdr>
        <w:top w:val="none" w:sz="0" w:space="0" w:color="auto"/>
        <w:left w:val="none" w:sz="0" w:space="0" w:color="auto"/>
        <w:bottom w:val="none" w:sz="0" w:space="0" w:color="auto"/>
        <w:right w:val="none" w:sz="0" w:space="0" w:color="auto"/>
      </w:divBdr>
      <w:divsChild>
        <w:div w:id="218789081">
          <w:marLeft w:val="0"/>
          <w:marRight w:val="0"/>
          <w:marTop w:val="0"/>
          <w:marBottom w:val="0"/>
          <w:divBdr>
            <w:top w:val="none" w:sz="0" w:space="0" w:color="auto"/>
            <w:left w:val="none" w:sz="0" w:space="0" w:color="auto"/>
            <w:bottom w:val="none" w:sz="0" w:space="0" w:color="auto"/>
            <w:right w:val="none" w:sz="0" w:space="0" w:color="auto"/>
          </w:divBdr>
        </w:div>
      </w:divsChild>
    </w:div>
    <w:div w:id="1690910882">
      <w:bodyDiv w:val="1"/>
      <w:marLeft w:val="0"/>
      <w:marRight w:val="0"/>
      <w:marTop w:val="0"/>
      <w:marBottom w:val="0"/>
      <w:divBdr>
        <w:top w:val="none" w:sz="0" w:space="0" w:color="auto"/>
        <w:left w:val="none" w:sz="0" w:space="0" w:color="auto"/>
        <w:bottom w:val="none" w:sz="0" w:space="0" w:color="auto"/>
        <w:right w:val="none" w:sz="0" w:space="0" w:color="auto"/>
      </w:divBdr>
    </w:div>
    <w:div w:id="1695501947">
      <w:bodyDiv w:val="1"/>
      <w:marLeft w:val="0"/>
      <w:marRight w:val="0"/>
      <w:marTop w:val="0"/>
      <w:marBottom w:val="0"/>
      <w:divBdr>
        <w:top w:val="none" w:sz="0" w:space="0" w:color="auto"/>
        <w:left w:val="none" w:sz="0" w:space="0" w:color="auto"/>
        <w:bottom w:val="none" w:sz="0" w:space="0" w:color="auto"/>
        <w:right w:val="none" w:sz="0" w:space="0" w:color="auto"/>
      </w:divBdr>
      <w:divsChild>
        <w:div w:id="815694">
          <w:marLeft w:val="0"/>
          <w:marRight w:val="0"/>
          <w:marTop w:val="0"/>
          <w:marBottom w:val="0"/>
          <w:divBdr>
            <w:top w:val="none" w:sz="0" w:space="0" w:color="auto"/>
            <w:left w:val="none" w:sz="0" w:space="0" w:color="auto"/>
            <w:bottom w:val="none" w:sz="0" w:space="0" w:color="auto"/>
            <w:right w:val="none" w:sz="0" w:space="0" w:color="auto"/>
          </w:divBdr>
          <w:divsChild>
            <w:div w:id="496849026">
              <w:marLeft w:val="0"/>
              <w:marRight w:val="0"/>
              <w:marTop w:val="0"/>
              <w:marBottom w:val="0"/>
              <w:divBdr>
                <w:top w:val="none" w:sz="0" w:space="0" w:color="auto"/>
                <w:left w:val="none" w:sz="0" w:space="0" w:color="auto"/>
                <w:bottom w:val="none" w:sz="0" w:space="0" w:color="auto"/>
                <w:right w:val="none" w:sz="0" w:space="0" w:color="auto"/>
              </w:divBdr>
            </w:div>
            <w:div w:id="666902380">
              <w:marLeft w:val="0"/>
              <w:marRight w:val="0"/>
              <w:marTop w:val="0"/>
              <w:marBottom w:val="0"/>
              <w:divBdr>
                <w:top w:val="none" w:sz="0" w:space="0" w:color="auto"/>
                <w:left w:val="none" w:sz="0" w:space="0" w:color="auto"/>
                <w:bottom w:val="none" w:sz="0" w:space="0" w:color="auto"/>
                <w:right w:val="none" w:sz="0" w:space="0" w:color="auto"/>
              </w:divBdr>
            </w:div>
            <w:div w:id="1764838870">
              <w:marLeft w:val="0"/>
              <w:marRight w:val="0"/>
              <w:marTop w:val="0"/>
              <w:marBottom w:val="0"/>
              <w:divBdr>
                <w:top w:val="none" w:sz="0" w:space="0" w:color="auto"/>
                <w:left w:val="none" w:sz="0" w:space="0" w:color="auto"/>
                <w:bottom w:val="none" w:sz="0" w:space="0" w:color="auto"/>
                <w:right w:val="none" w:sz="0" w:space="0" w:color="auto"/>
              </w:divBdr>
            </w:div>
          </w:divsChild>
        </w:div>
        <w:div w:id="37433995">
          <w:marLeft w:val="0"/>
          <w:marRight w:val="0"/>
          <w:marTop w:val="0"/>
          <w:marBottom w:val="0"/>
          <w:divBdr>
            <w:top w:val="none" w:sz="0" w:space="0" w:color="auto"/>
            <w:left w:val="none" w:sz="0" w:space="0" w:color="auto"/>
            <w:bottom w:val="none" w:sz="0" w:space="0" w:color="auto"/>
            <w:right w:val="none" w:sz="0" w:space="0" w:color="auto"/>
          </w:divBdr>
          <w:divsChild>
            <w:div w:id="515313752">
              <w:marLeft w:val="0"/>
              <w:marRight w:val="0"/>
              <w:marTop w:val="0"/>
              <w:marBottom w:val="0"/>
              <w:divBdr>
                <w:top w:val="none" w:sz="0" w:space="0" w:color="auto"/>
                <w:left w:val="none" w:sz="0" w:space="0" w:color="auto"/>
                <w:bottom w:val="none" w:sz="0" w:space="0" w:color="auto"/>
                <w:right w:val="none" w:sz="0" w:space="0" w:color="auto"/>
              </w:divBdr>
            </w:div>
          </w:divsChild>
        </w:div>
        <w:div w:id="38364663">
          <w:marLeft w:val="0"/>
          <w:marRight w:val="0"/>
          <w:marTop w:val="0"/>
          <w:marBottom w:val="0"/>
          <w:divBdr>
            <w:top w:val="none" w:sz="0" w:space="0" w:color="auto"/>
            <w:left w:val="none" w:sz="0" w:space="0" w:color="auto"/>
            <w:bottom w:val="none" w:sz="0" w:space="0" w:color="auto"/>
            <w:right w:val="none" w:sz="0" w:space="0" w:color="auto"/>
          </w:divBdr>
          <w:divsChild>
            <w:div w:id="664548339">
              <w:marLeft w:val="0"/>
              <w:marRight w:val="0"/>
              <w:marTop w:val="0"/>
              <w:marBottom w:val="0"/>
              <w:divBdr>
                <w:top w:val="none" w:sz="0" w:space="0" w:color="auto"/>
                <w:left w:val="none" w:sz="0" w:space="0" w:color="auto"/>
                <w:bottom w:val="none" w:sz="0" w:space="0" w:color="auto"/>
                <w:right w:val="none" w:sz="0" w:space="0" w:color="auto"/>
              </w:divBdr>
            </w:div>
          </w:divsChild>
        </w:div>
        <w:div w:id="53743157">
          <w:marLeft w:val="0"/>
          <w:marRight w:val="0"/>
          <w:marTop w:val="0"/>
          <w:marBottom w:val="0"/>
          <w:divBdr>
            <w:top w:val="none" w:sz="0" w:space="0" w:color="auto"/>
            <w:left w:val="none" w:sz="0" w:space="0" w:color="auto"/>
            <w:bottom w:val="none" w:sz="0" w:space="0" w:color="auto"/>
            <w:right w:val="none" w:sz="0" w:space="0" w:color="auto"/>
          </w:divBdr>
          <w:divsChild>
            <w:div w:id="1906180793">
              <w:marLeft w:val="0"/>
              <w:marRight w:val="0"/>
              <w:marTop w:val="0"/>
              <w:marBottom w:val="0"/>
              <w:divBdr>
                <w:top w:val="none" w:sz="0" w:space="0" w:color="auto"/>
                <w:left w:val="none" w:sz="0" w:space="0" w:color="auto"/>
                <w:bottom w:val="none" w:sz="0" w:space="0" w:color="auto"/>
                <w:right w:val="none" w:sz="0" w:space="0" w:color="auto"/>
              </w:divBdr>
            </w:div>
          </w:divsChild>
        </w:div>
        <w:div w:id="178586914">
          <w:marLeft w:val="0"/>
          <w:marRight w:val="0"/>
          <w:marTop w:val="0"/>
          <w:marBottom w:val="0"/>
          <w:divBdr>
            <w:top w:val="none" w:sz="0" w:space="0" w:color="auto"/>
            <w:left w:val="none" w:sz="0" w:space="0" w:color="auto"/>
            <w:bottom w:val="none" w:sz="0" w:space="0" w:color="auto"/>
            <w:right w:val="none" w:sz="0" w:space="0" w:color="auto"/>
          </w:divBdr>
          <w:divsChild>
            <w:div w:id="81604328">
              <w:marLeft w:val="0"/>
              <w:marRight w:val="0"/>
              <w:marTop w:val="0"/>
              <w:marBottom w:val="0"/>
              <w:divBdr>
                <w:top w:val="none" w:sz="0" w:space="0" w:color="auto"/>
                <w:left w:val="none" w:sz="0" w:space="0" w:color="auto"/>
                <w:bottom w:val="none" w:sz="0" w:space="0" w:color="auto"/>
                <w:right w:val="none" w:sz="0" w:space="0" w:color="auto"/>
              </w:divBdr>
            </w:div>
          </w:divsChild>
        </w:div>
        <w:div w:id="204678317">
          <w:marLeft w:val="0"/>
          <w:marRight w:val="0"/>
          <w:marTop w:val="0"/>
          <w:marBottom w:val="0"/>
          <w:divBdr>
            <w:top w:val="none" w:sz="0" w:space="0" w:color="auto"/>
            <w:left w:val="none" w:sz="0" w:space="0" w:color="auto"/>
            <w:bottom w:val="none" w:sz="0" w:space="0" w:color="auto"/>
            <w:right w:val="none" w:sz="0" w:space="0" w:color="auto"/>
          </w:divBdr>
          <w:divsChild>
            <w:div w:id="284822742">
              <w:marLeft w:val="0"/>
              <w:marRight w:val="0"/>
              <w:marTop w:val="0"/>
              <w:marBottom w:val="0"/>
              <w:divBdr>
                <w:top w:val="none" w:sz="0" w:space="0" w:color="auto"/>
                <w:left w:val="none" w:sz="0" w:space="0" w:color="auto"/>
                <w:bottom w:val="none" w:sz="0" w:space="0" w:color="auto"/>
                <w:right w:val="none" w:sz="0" w:space="0" w:color="auto"/>
              </w:divBdr>
            </w:div>
          </w:divsChild>
        </w:div>
        <w:div w:id="244070698">
          <w:marLeft w:val="0"/>
          <w:marRight w:val="0"/>
          <w:marTop w:val="0"/>
          <w:marBottom w:val="0"/>
          <w:divBdr>
            <w:top w:val="none" w:sz="0" w:space="0" w:color="auto"/>
            <w:left w:val="none" w:sz="0" w:space="0" w:color="auto"/>
            <w:bottom w:val="none" w:sz="0" w:space="0" w:color="auto"/>
            <w:right w:val="none" w:sz="0" w:space="0" w:color="auto"/>
          </w:divBdr>
          <w:divsChild>
            <w:div w:id="338702149">
              <w:marLeft w:val="0"/>
              <w:marRight w:val="0"/>
              <w:marTop w:val="0"/>
              <w:marBottom w:val="0"/>
              <w:divBdr>
                <w:top w:val="none" w:sz="0" w:space="0" w:color="auto"/>
                <w:left w:val="none" w:sz="0" w:space="0" w:color="auto"/>
                <w:bottom w:val="none" w:sz="0" w:space="0" w:color="auto"/>
                <w:right w:val="none" w:sz="0" w:space="0" w:color="auto"/>
              </w:divBdr>
            </w:div>
          </w:divsChild>
        </w:div>
        <w:div w:id="268658005">
          <w:marLeft w:val="0"/>
          <w:marRight w:val="0"/>
          <w:marTop w:val="0"/>
          <w:marBottom w:val="0"/>
          <w:divBdr>
            <w:top w:val="none" w:sz="0" w:space="0" w:color="auto"/>
            <w:left w:val="none" w:sz="0" w:space="0" w:color="auto"/>
            <w:bottom w:val="none" w:sz="0" w:space="0" w:color="auto"/>
            <w:right w:val="none" w:sz="0" w:space="0" w:color="auto"/>
          </w:divBdr>
          <w:divsChild>
            <w:div w:id="512963201">
              <w:marLeft w:val="0"/>
              <w:marRight w:val="0"/>
              <w:marTop w:val="0"/>
              <w:marBottom w:val="0"/>
              <w:divBdr>
                <w:top w:val="none" w:sz="0" w:space="0" w:color="auto"/>
                <w:left w:val="none" w:sz="0" w:space="0" w:color="auto"/>
                <w:bottom w:val="none" w:sz="0" w:space="0" w:color="auto"/>
                <w:right w:val="none" w:sz="0" w:space="0" w:color="auto"/>
              </w:divBdr>
            </w:div>
          </w:divsChild>
        </w:div>
        <w:div w:id="270745647">
          <w:marLeft w:val="0"/>
          <w:marRight w:val="0"/>
          <w:marTop w:val="0"/>
          <w:marBottom w:val="0"/>
          <w:divBdr>
            <w:top w:val="none" w:sz="0" w:space="0" w:color="auto"/>
            <w:left w:val="none" w:sz="0" w:space="0" w:color="auto"/>
            <w:bottom w:val="none" w:sz="0" w:space="0" w:color="auto"/>
            <w:right w:val="none" w:sz="0" w:space="0" w:color="auto"/>
          </w:divBdr>
          <w:divsChild>
            <w:div w:id="1661272448">
              <w:marLeft w:val="0"/>
              <w:marRight w:val="0"/>
              <w:marTop w:val="0"/>
              <w:marBottom w:val="0"/>
              <w:divBdr>
                <w:top w:val="none" w:sz="0" w:space="0" w:color="auto"/>
                <w:left w:val="none" w:sz="0" w:space="0" w:color="auto"/>
                <w:bottom w:val="none" w:sz="0" w:space="0" w:color="auto"/>
                <w:right w:val="none" w:sz="0" w:space="0" w:color="auto"/>
              </w:divBdr>
            </w:div>
          </w:divsChild>
        </w:div>
        <w:div w:id="312414746">
          <w:marLeft w:val="0"/>
          <w:marRight w:val="0"/>
          <w:marTop w:val="0"/>
          <w:marBottom w:val="0"/>
          <w:divBdr>
            <w:top w:val="none" w:sz="0" w:space="0" w:color="auto"/>
            <w:left w:val="none" w:sz="0" w:space="0" w:color="auto"/>
            <w:bottom w:val="none" w:sz="0" w:space="0" w:color="auto"/>
            <w:right w:val="none" w:sz="0" w:space="0" w:color="auto"/>
          </w:divBdr>
          <w:divsChild>
            <w:div w:id="828667709">
              <w:marLeft w:val="0"/>
              <w:marRight w:val="0"/>
              <w:marTop w:val="0"/>
              <w:marBottom w:val="0"/>
              <w:divBdr>
                <w:top w:val="none" w:sz="0" w:space="0" w:color="auto"/>
                <w:left w:val="none" w:sz="0" w:space="0" w:color="auto"/>
                <w:bottom w:val="none" w:sz="0" w:space="0" w:color="auto"/>
                <w:right w:val="none" w:sz="0" w:space="0" w:color="auto"/>
              </w:divBdr>
            </w:div>
          </w:divsChild>
        </w:div>
        <w:div w:id="377248535">
          <w:marLeft w:val="0"/>
          <w:marRight w:val="0"/>
          <w:marTop w:val="0"/>
          <w:marBottom w:val="0"/>
          <w:divBdr>
            <w:top w:val="none" w:sz="0" w:space="0" w:color="auto"/>
            <w:left w:val="none" w:sz="0" w:space="0" w:color="auto"/>
            <w:bottom w:val="none" w:sz="0" w:space="0" w:color="auto"/>
            <w:right w:val="none" w:sz="0" w:space="0" w:color="auto"/>
          </w:divBdr>
          <w:divsChild>
            <w:div w:id="1546092437">
              <w:marLeft w:val="0"/>
              <w:marRight w:val="0"/>
              <w:marTop w:val="0"/>
              <w:marBottom w:val="0"/>
              <w:divBdr>
                <w:top w:val="none" w:sz="0" w:space="0" w:color="auto"/>
                <w:left w:val="none" w:sz="0" w:space="0" w:color="auto"/>
                <w:bottom w:val="none" w:sz="0" w:space="0" w:color="auto"/>
                <w:right w:val="none" w:sz="0" w:space="0" w:color="auto"/>
              </w:divBdr>
            </w:div>
          </w:divsChild>
        </w:div>
        <w:div w:id="509836641">
          <w:marLeft w:val="0"/>
          <w:marRight w:val="0"/>
          <w:marTop w:val="0"/>
          <w:marBottom w:val="0"/>
          <w:divBdr>
            <w:top w:val="none" w:sz="0" w:space="0" w:color="auto"/>
            <w:left w:val="none" w:sz="0" w:space="0" w:color="auto"/>
            <w:bottom w:val="none" w:sz="0" w:space="0" w:color="auto"/>
            <w:right w:val="none" w:sz="0" w:space="0" w:color="auto"/>
          </w:divBdr>
          <w:divsChild>
            <w:div w:id="1546288441">
              <w:marLeft w:val="0"/>
              <w:marRight w:val="0"/>
              <w:marTop w:val="0"/>
              <w:marBottom w:val="0"/>
              <w:divBdr>
                <w:top w:val="none" w:sz="0" w:space="0" w:color="auto"/>
                <w:left w:val="none" w:sz="0" w:space="0" w:color="auto"/>
                <w:bottom w:val="none" w:sz="0" w:space="0" w:color="auto"/>
                <w:right w:val="none" w:sz="0" w:space="0" w:color="auto"/>
              </w:divBdr>
            </w:div>
          </w:divsChild>
        </w:div>
        <w:div w:id="586303920">
          <w:marLeft w:val="0"/>
          <w:marRight w:val="0"/>
          <w:marTop w:val="0"/>
          <w:marBottom w:val="0"/>
          <w:divBdr>
            <w:top w:val="none" w:sz="0" w:space="0" w:color="auto"/>
            <w:left w:val="none" w:sz="0" w:space="0" w:color="auto"/>
            <w:bottom w:val="none" w:sz="0" w:space="0" w:color="auto"/>
            <w:right w:val="none" w:sz="0" w:space="0" w:color="auto"/>
          </w:divBdr>
          <w:divsChild>
            <w:div w:id="1024597065">
              <w:marLeft w:val="0"/>
              <w:marRight w:val="0"/>
              <w:marTop w:val="0"/>
              <w:marBottom w:val="0"/>
              <w:divBdr>
                <w:top w:val="none" w:sz="0" w:space="0" w:color="auto"/>
                <w:left w:val="none" w:sz="0" w:space="0" w:color="auto"/>
                <w:bottom w:val="none" w:sz="0" w:space="0" w:color="auto"/>
                <w:right w:val="none" w:sz="0" w:space="0" w:color="auto"/>
              </w:divBdr>
            </w:div>
          </w:divsChild>
        </w:div>
        <w:div w:id="630667533">
          <w:marLeft w:val="0"/>
          <w:marRight w:val="0"/>
          <w:marTop w:val="0"/>
          <w:marBottom w:val="0"/>
          <w:divBdr>
            <w:top w:val="none" w:sz="0" w:space="0" w:color="auto"/>
            <w:left w:val="none" w:sz="0" w:space="0" w:color="auto"/>
            <w:bottom w:val="none" w:sz="0" w:space="0" w:color="auto"/>
            <w:right w:val="none" w:sz="0" w:space="0" w:color="auto"/>
          </w:divBdr>
          <w:divsChild>
            <w:div w:id="687410258">
              <w:marLeft w:val="0"/>
              <w:marRight w:val="0"/>
              <w:marTop w:val="0"/>
              <w:marBottom w:val="0"/>
              <w:divBdr>
                <w:top w:val="none" w:sz="0" w:space="0" w:color="auto"/>
                <w:left w:val="none" w:sz="0" w:space="0" w:color="auto"/>
                <w:bottom w:val="none" w:sz="0" w:space="0" w:color="auto"/>
                <w:right w:val="none" w:sz="0" w:space="0" w:color="auto"/>
              </w:divBdr>
            </w:div>
          </w:divsChild>
        </w:div>
        <w:div w:id="640237032">
          <w:marLeft w:val="0"/>
          <w:marRight w:val="0"/>
          <w:marTop w:val="0"/>
          <w:marBottom w:val="0"/>
          <w:divBdr>
            <w:top w:val="none" w:sz="0" w:space="0" w:color="auto"/>
            <w:left w:val="none" w:sz="0" w:space="0" w:color="auto"/>
            <w:bottom w:val="none" w:sz="0" w:space="0" w:color="auto"/>
            <w:right w:val="none" w:sz="0" w:space="0" w:color="auto"/>
          </w:divBdr>
          <w:divsChild>
            <w:div w:id="535583011">
              <w:marLeft w:val="0"/>
              <w:marRight w:val="0"/>
              <w:marTop w:val="0"/>
              <w:marBottom w:val="0"/>
              <w:divBdr>
                <w:top w:val="none" w:sz="0" w:space="0" w:color="auto"/>
                <w:left w:val="none" w:sz="0" w:space="0" w:color="auto"/>
                <w:bottom w:val="none" w:sz="0" w:space="0" w:color="auto"/>
                <w:right w:val="none" w:sz="0" w:space="0" w:color="auto"/>
              </w:divBdr>
            </w:div>
            <w:div w:id="759063079">
              <w:marLeft w:val="0"/>
              <w:marRight w:val="0"/>
              <w:marTop w:val="0"/>
              <w:marBottom w:val="0"/>
              <w:divBdr>
                <w:top w:val="none" w:sz="0" w:space="0" w:color="auto"/>
                <w:left w:val="none" w:sz="0" w:space="0" w:color="auto"/>
                <w:bottom w:val="none" w:sz="0" w:space="0" w:color="auto"/>
                <w:right w:val="none" w:sz="0" w:space="0" w:color="auto"/>
              </w:divBdr>
            </w:div>
          </w:divsChild>
        </w:div>
        <w:div w:id="703487129">
          <w:marLeft w:val="0"/>
          <w:marRight w:val="0"/>
          <w:marTop w:val="0"/>
          <w:marBottom w:val="0"/>
          <w:divBdr>
            <w:top w:val="none" w:sz="0" w:space="0" w:color="auto"/>
            <w:left w:val="none" w:sz="0" w:space="0" w:color="auto"/>
            <w:bottom w:val="none" w:sz="0" w:space="0" w:color="auto"/>
            <w:right w:val="none" w:sz="0" w:space="0" w:color="auto"/>
          </w:divBdr>
          <w:divsChild>
            <w:div w:id="236866616">
              <w:marLeft w:val="0"/>
              <w:marRight w:val="0"/>
              <w:marTop w:val="0"/>
              <w:marBottom w:val="0"/>
              <w:divBdr>
                <w:top w:val="none" w:sz="0" w:space="0" w:color="auto"/>
                <w:left w:val="none" w:sz="0" w:space="0" w:color="auto"/>
                <w:bottom w:val="none" w:sz="0" w:space="0" w:color="auto"/>
                <w:right w:val="none" w:sz="0" w:space="0" w:color="auto"/>
              </w:divBdr>
            </w:div>
          </w:divsChild>
        </w:div>
        <w:div w:id="767312665">
          <w:marLeft w:val="0"/>
          <w:marRight w:val="0"/>
          <w:marTop w:val="0"/>
          <w:marBottom w:val="0"/>
          <w:divBdr>
            <w:top w:val="none" w:sz="0" w:space="0" w:color="auto"/>
            <w:left w:val="none" w:sz="0" w:space="0" w:color="auto"/>
            <w:bottom w:val="none" w:sz="0" w:space="0" w:color="auto"/>
            <w:right w:val="none" w:sz="0" w:space="0" w:color="auto"/>
          </w:divBdr>
          <w:divsChild>
            <w:div w:id="1002898016">
              <w:marLeft w:val="0"/>
              <w:marRight w:val="0"/>
              <w:marTop w:val="0"/>
              <w:marBottom w:val="0"/>
              <w:divBdr>
                <w:top w:val="none" w:sz="0" w:space="0" w:color="auto"/>
                <w:left w:val="none" w:sz="0" w:space="0" w:color="auto"/>
                <w:bottom w:val="none" w:sz="0" w:space="0" w:color="auto"/>
                <w:right w:val="none" w:sz="0" w:space="0" w:color="auto"/>
              </w:divBdr>
            </w:div>
          </w:divsChild>
        </w:div>
        <w:div w:id="768426040">
          <w:marLeft w:val="0"/>
          <w:marRight w:val="0"/>
          <w:marTop w:val="0"/>
          <w:marBottom w:val="0"/>
          <w:divBdr>
            <w:top w:val="none" w:sz="0" w:space="0" w:color="auto"/>
            <w:left w:val="none" w:sz="0" w:space="0" w:color="auto"/>
            <w:bottom w:val="none" w:sz="0" w:space="0" w:color="auto"/>
            <w:right w:val="none" w:sz="0" w:space="0" w:color="auto"/>
          </w:divBdr>
          <w:divsChild>
            <w:div w:id="1147089588">
              <w:marLeft w:val="0"/>
              <w:marRight w:val="0"/>
              <w:marTop w:val="0"/>
              <w:marBottom w:val="0"/>
              <w:divBdr>
                <w:top w:val="none" w:sz="0" w:space="0" w:color="auto"/>
                <w:left w:val="none" w:sz="0" w:space="0" w:color="auto"/>
                <w:bottom w:val="none" w:sz="0" w:space="0" w:color="auto"/>
                <w:right w:val="none" w:sz="0" w:space="0" w:color="auto"/>
              </w:divBdr>
            </w:div>
          </w:divsChild>
        </w:div>
        <w:div w:id="770516593">
          <w:marLeft w:val="0"/>
          <w:marRight w:val="0"/>
          <w:marTop w:val="0"/>
          <w:marBottom w:val="0"/>
          <w:divBdr>
            <w:top w:val="none" w:sz="0" w:space="0" w:color="auto"/>
            <w:left w:val="none" w:sz="0" w:space="0" w:color="auto"/>
            <w:bottom w:val="none" w:sz="0" w:space="0" w:color="auto"/>
            <w:right w:val="none" w:sz="0" w:space="0" w:color="auto"/>
          </w:divBdr>
          <w:divsChild>
            <w:div w:id="221524096">
              <w:marLeft w:val="0"/>
              <w:marRight w:val="0"/>
              <w:marTop w:val="0"/>
              <w:marBottom w:val="0"/>
              <w:divBdr>
                <w:top w:val="none" w:sz="0" w:space="0" w:color="auto"/>
                <w:left w:val="none" w:sz="0" w:space="0" w:color="auto"/>
                <w:bottom w:val="none" w:sz="0" w:space="0" w:color="auto"/>
                <w:right w:val="none" w:sz="0" w:space="0" w:color="auto"/>
              </w:divBdr>
            </w:div>
          </w:divsChild>
        </w:div>
        <w:div w:id="777875822">
          <w:marLeft w:val="0"/>
          <w:marRight w:val="0"/>
          <w:marTop w:val="0"/>
          <w:marBottom w:val="0"/>
          <w:divBdr>
            <w:top w:val="none" w:sz="0" w:space="0" w:color="auto"/>
            <w:left w:val="none" w:sz="0" w:space="0" w:color="auto"/>
            <w:bottom w:val="none" w:sz="0" w:space="0" w:color="auto"/>
            <w:right w:val="none" w:sz="0" w:space="0" w:color="auto"/>
          </w:divBdr>
          <w:divsChild>
            <w:div w:id="284579083">
              <w:marLeft w:val="0"/>
              <w:marRight w:val="0"/>
              <w:marTop w:val="0"/>
              <w:marBottom w:val="0"/>
              <w:divBdr>
                <w:top w:val="none" w:sz="0" w:space="0" w:color="auto"/>
                <w:left w:val="none" w:sz="0" w:space="0" w:color="auto"/>
                <w:bottom w:val="none" w:sz="0" w:space="0" w:color="auto"/>
                <w:right w:val="none" w:sz="0" w:space="0" w:color="auto"/>
              </w:divBdr>
            </w:div>
          </w:divsChild>
        </w:div>
        <w:div w:id="812450006">
          <w:marLeft w:val="0"/>
          <w:marRight w:val="0"/>
          <w:marTop w:val="0"/>
          <w:marBottom w:val="0"/>
          <w:divBdr>
            <w:top w:val="none" w:sz="0" w:space="0" w:color="auto"/>
            <w:left w:val="none" w:sz="0" w:space="0" w:color="auto"/>
            <w:bottom w:val="none" w:sz="0" w:space="0" w:color="auto"/>
            <w:right w:val="none" w:sz="0" w:space="0" w:color="auto"/>
          </w:divBdr>
          <w:divsChild>
            <w:div w:id="86580167">
              <w:marLeft w:val="0"/>
              <w:marRight w:val="0"/>
              <w:marTop w:val="0"/>
              <w:marBottom w:val="0"/>
              <w:divBdr>
                <w:top w:val="none" w:sz="0" w:space="0" w:color="auto"/>
                <w:left w:val="none" w:sz="0" w:space="0" w:color="auto"/>
                <w:bottom w:val="none" w:sz="0" w:space="0" w:color="auto"/>
                <w:right w:val="none" w:sz="0" w:space="0" w:color="auto"/>
              </w:divBdr>
            </w:div>
          </w:divsChild>
        </w:div>
        <w:div w:id="860513907">
          <w:marLeft w:val="0"/>
          <w:marRight w:val="0"/>
          <w:marTop w:val="0"/>
          <w:marBottom w:val="0"/>
          <w:divBdr>
            <w:top w:val="none" w:sz="0" w:space="0" w:color="auto"/>
            <w:left w:val="none" w:sz="0" w:space="0" w:color="auto"/>
            <w:bottom w:val="none" w:sz="0" w:space="0" w:color="auto"/>
            <w:right w:val="none" w:sz="0" w:space="0" w:color="auto"/>
          </w:divBdr>
          <w:divsChild>
            <w:div w:id="449321203">
              <w:marLeft w:val="0"/>
              <w:marRight w:val="0"/>
              <w:marTop w:val="0"/>
              <w:marBottom w:val="0"/>
              <w:divBdr>
                <w:top w:val="none" w:sz="0" w:space="0" w:color="auto"/>
                <w:left w:val="none" w:sz="0" w:space="0" w:color="auto"/>
                <w:bottom w:val="none" w:sz="0" w:space="0" w:color="auto"/>
                <w:right w:val="none" w:sz="0" w:space="0" w:color="auto"/>
              </w:divBdr>
            </w:div>
            <w:div w:id="1701275416">
              <w:marLeft w:val="0"/>
              <w:marRight w:val="0"/>
              <w:marTop w:val="0"/>
              <w:marBottom w:val="0"/>
              <w:divBdr>
                <w:top w:val="none" w:sz="0" w:space="0" w:color="auto"/>
                <w:left w:val="none" w:sz="0" w:space="0" w:color="auto"/>
                <w:bottom w:val="none" w:sz="0" w:space="0" w:color="auto"/>
                <w:right w:val="none" w:sz="0" w:space="0" w:color="auto"/>
              </w:divBdr>
            </w:div>
          </w:divsChild>
        </w:div>
        <w:div w:id="866914780">
          <w:marLeft w:val="0"/>
          <w:marRight w:val="0"/>
          <w:marTop w:val="0"/>
          <w:marBottom w:val="0"/>
          <w:divBdr>
            <w:top w:val="none" w:sz="0" w:space="0" w:color="auto"/>
            <w:left w:val="none" w:sz="0" w:space="0" w:color="auto"/>
            <w:bottom w:val="none" w:sz="0" w:space="0" w:color="auto"/>
            <w:right w:val="none" w:sz="0" w:space="0" w:color="auto"/>
          </w:divBdr>
          <w:divsChild>
            <w:div w:id="918295948">
              <w:marLeft w:val="0"/>
              <w:marRight w:val="0"/>
              <w:marTop w:val="0"/>
              <w:marBottom w:val="0"/>
              <w:divBdr>
                <w:top w:val="none" w:sz="0" w:space="0" w:color="auto"/>
                <w:left w:val="none" w:sz="0" w:space="0" w:color="auto"/>
                <w:bottom w:val="none" w:sz="0" w:space="0" w:color="auto"/>
                <w:right w:val="none" w:sz="0" w:space="0" w:color="auto"/>
              </w:divBdr>
            </w:div>
          </w:divsChild>
        </w:div>
        <w:div w:id="867378037">
          <w:marLeft w:val="0"/>
          <w:marRight w:val="0"/>
          <w:marTop w:val="0"/>
          <w:marBottom w:val="0"/>
          <w:divBdr>
            <w:top w:val="none" w:sz="0" w:space="0" w:color="auto"/>
            <w:left w:val="none" w:sz="0" w:space="0" w:color="auto"/>
            <w:bottom w:val="none" w:sz="0" w:space="0" w:color="auto"/>
            <w:right w:val="none" w:sz="0" w:space="0" w:color="auto"/>
          </w:divBdr>
          <w:divsChild>
            <w:div w:id="1227959674">
              <w:marLeft w:val="0"/>
              <w:marRight w:val="0"/>
              <w:marTop w:val="0"/>
              <w:marBottom w:val="0"/>
              <w:divBdr>
                <w:top w:val="none" w:sz="0" w:space="0" w:color="auto"/>
                <w:left w:val="none" w:sz="0" w:space="0" w:color="auto"/>
                <w:bottom w:val="none" w:sz="0" w:space="0" w:color="auto"/>
                <w:right w:val="none" w:sz="0" w:space="0" w:color="auto"/>
              </w:divBdr>
            </w:div>
          </w:divsChild>
        </w:div>
        <w:div w:id="899556368">
          <w:marLeft w:val="0"/>
          <w:marRight w:val="0"/>
          <w:marTop w:val="0"/>
          <w:marBottom w:val="0"/>
          <w:divBdr>
            <w:top w:val="none" w:sz="0" w:space="0" w:color="auto"/>
            <w:left w:val="none" w:sz="0" w:space="0" w:color="auto"/>
            <w:bottom w:val="none" w:sz="0" w:space="0" w:color="auto"/>
            <w:right w:val="none" w:sz="0" w:space="0" w:color="auto"/>
          </w:divBdr>
          <w:divsChild>
            <w:div w:id="426998294">
              <w:marLeft w:val="0"/>
              <w:marRight w:val="0"/>
              <w:marTop w:val="0"/>
              <w:marBottom w:val="0"/>
              <w:divBdr>
                <w:top w:val="none" w:sz="0" w:space="0" w:color="auto"/>
                <w:left w:val="none" w:sz="0" w:space="0" w:color="auto"/>
                <w:bottom w:val="none" w:sz="0" w:space="0" w:color="auto"/>
                <w:right w:val="none" w:sz="0" w:space="0" w:color="auto"/>
              </w:divBdr>
            </w:div>
            <w:div w:id="1117336704">
              <w:marLeft w:val="0"/>
              <w:marRight w:val="0"/>
              <w:marTop w:val="0"/>
              <w:marBottom w:val="0"/>
              <w:divBdr>
                <w:top w:val="none" w:sz="0" w:space="0" w:color="auto"/>
                <w:left w:val="none" w:sz="0" w:space="0" w:color="auto"/>
                <w:bottom w:val="none" w:sz="0" w:space="0" w:color="auto"/>
                <w:right w:val="none" w:sz="0" w:space="0" w:color="auto"/>
              </w:divBdr>
            </w:div>
          </w:divsChild>
        </w:div>
        <w:div w:id="900409378">
          <w:marLeft w:val="0"/>
          <w:marRight w:val="0"/>
          <w:marTop w:val="0"/>
          <w:marBottom w:val="0"/>
          <w:divBdr>
            <w:top w:val="none" w:sz="0" w:space="0" w:color="auto"/>
            <w:left w:val="none" w:sz="0" w:space="0" w:color="auto"/>
            <w:bottom w:val="none" w:sz="0" w:space="0" w:color="auto"/>
            <w:right w:val="none" w:sz="0" w:space="0" w:color="auto"/>
          </w:divBdr>
          <w:divsChild>
            <w:div w:id="1609854555">
              <w:marLeft w:val="0"/>
              <w:marRight w:val="0"/>
              <w:marTop w:val="0"/>
              <w:marBottom w:val="0"/>
              <w:divBdr>
                <w:top w:val="none" w:sz="0" w:space="0" w:color="auto"/>
                <w:left w:val="none" w:sz="0" w:space="0" w:color="auto"/>
                <w:bottom w:val="none" w:sz="0" w:space="0" w:color="auto"/>
                <w:right w:val="none" w:sz="0" w:space="0" w:color="auto"/>
              </w:divBdr>
            </w:div>
          </w:divsChild>
        </w:div>
        <w:div w:id="935946108">
          <w:marLeft w:val="0"/>
          <w:marRight w:val="0"/>
          <w:marTop w:val="0"/>
          <w:marBottom w:val="0"/>
          <w:divBdr>
            <w:top w:val="none" w:sz="0" w:space="0" w:color="auto"/>
            <w:left w:val="none" w:sz="0" w:space="0" w:color="auto"/>
            <w:bottom w:val="none" w:sz="0" w:space="0" w:color="auto"/>
            <w:right w:val="none" w:sz="0" w:space="0" w:color="auto"/>
          </w:divBdr>
          <w:divsChild>
            <w:div w:id="762724294">
              <w:marLeft w:val="0"/>
              <w:marRight w:val="0"/>
              <w:marTop w:val="0"/>
              <w:marBottom w:val="0"/>
              <w:divBdr>
                <w:top w:val="none" w:sz="0" w:space="0" w:color="auto"/>
                <w:left w:val="none" w:sz="0" w:space="0" w:color="auto"/>
                <w:bottom w:val="none" w:sz="0" w:space="0" w:color="auto"/>
                <w:right w:val="none" w:sz="0" w:space="0" w:color="auto"/>
              </w:divBdr>
            </w:div>
          </w:divsChild>
        </w:div>
        <w:div w:id="968585332">
          <w:marLeft w:val="0"/>
          <w:marRight w:val="0"/>
          <w:marTop w:val="0"/>
          <w:marBottom w:val="0"/>
          <w:divBdr>
            <w:top w:val="none" w:sz="0" w:space="0" w:color="auto"/>
            <w:left w:val="none" w:sz="0" w:space="0" w:color="auto"/>
            <w:bottom w:val="none" w:sz="0" w:space="0" w:color="auto"/>
            <w:right w:val="none" w:sz="0" w:space="0" w:color="auto"/>
          </w:divBdr>
          <w:divsChild>
            <w:div w:id="1740403942">
              <w:marLeft w:val="0"/>
              <w:marRight w:val="0"/>
              <w:marTop w:val="0"/>
              <w:marBottom w:val="0"/>
              <w:divBdr>
                <w:top w:val="none" w:sz="0" w:space="0" w:color="auto"/>
                <w:left w:val="none" w:sz="0" w:space="0" w:color="auto"/>
                <w:bottom w:val="none" w:sz="0" w:space="0" w:color="auto"/>
                <w:right w:val="none" w:sz="0" w:space="0" w:color="auto"/>
              </w:divBdr>
            </w:div>
          </w:divsChild>
        </w:div>
        <w:div w:id="1080638066">
          <w:marLeft w:val="0"/>
          <w:marRight w:val="0"/>
          <w:marTop w:val="0"/>
          <w:marBottom w:val="0"/>
          <w:divBdr>
            <w:top w:val="none" w:sz="0" w:space="0" w:color="auto"/>
            <w:left w:val="none" w:sz="0" w:space="0" w:color="auto"/>
            <w:bottom w:val="none" w:sz="0" w:space="0" w:color="auto"/>
            <w:right w:val="none" w:sz="0" w:space="0" w:color="auto"/>
          </w:divBdr>
          <w:divsChild>
            <w:div w:id="802312993">
              <w:marLeft w:val="0"/>
              <w:marRight w:val="0"/>
              <w:marTop w:val="0"/>
              <w:marBottom w:val="0"/>
              <w:divBdr>
                <w:top w:val="none" w:sz="0" w:space="0" w:color="auto"/>
                <w:left w:val="none" w:sz="0" w:space="0" w:color="auto"/>
                <w:bottom w:val="none" w:sz="0" w:space="0" w:color="auto"/>
                <w:right w:val="none" w:sz="0" w:space="0" w:color="auto"/>
              </w:divBdr>
            </w:div>
          </w:divsChild>
        </w:div>
        <w:div w:id="1087117477">
          <w:marLeft w:val="0"/>
          <w:marRight w:val="0"/>
          <w:marTop w:val="0"/>
          <w:marBottom w:val="0"/>
          <w:divBdr>
            <w:top w:val="none" w:sz="0" w:space="0" w:color="auto"/>
            <w:left w:val="none" w:sz="0" w:space="0" w:color="auto"/>
            <w:bottom w:val="none" w:sz="0" w:space="0" w:color="auto"/>
            <w:right w:val="none" w:sz="0" w:space="0" w:color="auto"/>
          </w:divBdr>
          <w:divsChild>
            <w:div w:id="357196538">
              <w:marLeft w:val="0"/>
              <w:marRight w:val="0"/>
              <w:marTop w:val="0"/>
              <w:marBottom w:val="0"/>
              <w:divBdr>
                <w:top w:val="none" w:sz="0" w:space="0" w:color="auto"/>
                <w:left w:val="none" w:sz="0" w:space="0" w:color="auto"/>
                <w:bottom w:val="none" w:sz="0" w:space="0" w:color="auto"/>
                <w:right w:val="none" w:sz="0" w:space="0" w:color="auto"/>
              </w:divBdr>
            </w:div>
          </w:divsChild>
        </w:div>
        <w:div w:id="1089736470">
          <w:marLeft w:val="0"/>
          <w:marRight w:val="0"/>
          <w:marTop w:val="0"/>
          <w:marBottom w:val="0"/>
          <w:divBdr>
            <w:top w:val="none" w:sz="0" w:space="0" w:color="auto"/>
            <w:left w:val="none" w:sz="0" w:space="0" w:color="auto"/>
            <w:bottom w:val="none" w:sz="0" w:space="0" w:color="auto"/>
            <w:right w:val="none" w:sz="0" w:space="0" w:color="auto"/>
          </w:divBdr>
          <w:divsChild>
            <w:div w:id="315644762">
              <w:marLeft w:val="0"/>
              <w:marRight w:val="0"/>
              <w:marTop w:val="0"/>
              <w:marBottom w:val="0"/>
              <w:divBdr>
                <w:top w:val="none" w:sz="0" w:space="0" w:color="auto"/>
                <w:left w:val="none" w:sz="0" w:space="0" w:color="auto"/>
                <w:bottom w:val="none" w:sz="0" w:space="0" w:color="auto"/>
                <w:right w:val="none" w:sz="0" w:space="0" w:color="auto"/>
              </w:divBdr>
            </w:div>
          </w:divsChild>
        </w:div>
        <w:div w:id="1119421587">
          <w:marLeft w:val="0"/>
          <w:marRight w:val="0"/>
          <w:marTop w:val="0"/>
          <w:marBottom w:val="0"/>
          <w:divBdr>
            <w:top w:val="none" w:sz="0" w:space="0" w:color="auto"/>
            <w:left w:val="none" w:sz="0" w:space="0" w:color="auto"/>
            <w:bottom w:val="none" w:sz="0" w:space="0" w:color="auto"/>
            <w:right w:val="none" w:sz="0" w:space="0" w:color="auto"/>
          </w:divBdr>
          <w:divsChild>
            <w:div w:id="422847138">
              <w:marLeft w:val="0"/>
              <w:marRight w:val="0"/>
              <w:marTop w:val="0"/>
              <w:marBottom w:val="0"/>
              <w:divBdr>
                <w:top w:val="none" w:sz="0" w:space="0" w:color="auto"/>
                <w:left w:val="none" w:sz="0" w:space="0" w:color="auto"/>
                <w:bottom w:val="none" w:sz="0" w:space="0" w:color="auto"/>
                <w:right w:val="none" w:sz="0" w:space="0" w:color="auto"/>
              </w:divBdr>
            </w:div>
            <w:div w:id="625820355">
              <w:marLeft w:val="0"/>
              <w:marRight w:val="0"/>
              <w:marTop w:val="0"/>
              <w:marBottom w:val="0"/>
              <w:divBdr>
                <w:top w:val="none" w:sz="0" w:space="0" w:color="auto"/>
                <w:left w:val="none" w:sz="0" w:space="0" w:color="auto"/>
                <w:bottom w:val="none" w:sz="0" w:space="0" w:color="auto"/>
                <w:right w:val="none" w:sz="0" w:space="0" w:color="auto"/>
              </w:divBdr>
            </w:div>
            <w:div w:id="750928249">
              <w:marLeft w:val="0"/>
              <w:marRight w:val="0"/>
              <w:marTop w:val="0"/>
              <w:marBottom w:val="0"/>
              <w:divBdr>
                <w:top w:val="none" w:sz="0" w:space="0" w:color="auto"/>
                <w:left w:val="none" w:sz="0" w:space="0" w:color="auto"/>
                <w:bottom w:val="none" w:sz="0" w:space="0" w:color="auto"/>
                <w:right w:val="none" w:sz="0" w:space="0" w:color="auto"/>
              </w:divBdr>
            </w:div>
            <w:div w:id="1622347697">
              <w:marLeft w:val="0"/>
              <w:marRight w:val="0"/>
              <w:marTop w:val="0"/>
              <w:marBottom w:val="0"/>
              <w:divBdr>
                <w:top w:val="none" w:sz="0" w:space="0" w:color="auto"/>
                <w:left w:val="none" w:sz="0" w:space="0" w:color="auto"/>
                <w:bottom w:val="none" w:sz="0" w:space="0" w:color="auto"/>
                <w:right w:val="none" w:sz="0" w:space="0" w:color="auto"/>
              </w:divBdr>
            </w:div>
            <w:div w:id="2106535726">
              <w:marLeft w:val="0"/>
              <w:marRight w:val="0"/>
              <w:marTop w:val="0"/>
              <w:marBottom w:val="0"/>
              <w:divBdr>
                <w:top w:val="none" w:sz="0" w:space="0" w:color="auto"/>
                <w:left w:val="none" w:sz="0" w:space="0" w:color="auto"/>
                <w:bottom w:val="none" w:sz="0" w:space="0" w:color="auto"/>
                <w:right w:val="none" w:sz="0" w:space="0" w:color="auto"/>
              </w:divBdr>
            </w:div>
          </w:divsChild>
        </w:div>
        <w:div w:id="1178345108">
          <w:marLeft w:val="0"/>
          <w:marRight w:val="0"/>
          <w:marTop w:val="0"/>
          <w:marBottom w:val="0"/>
          <w:divBdr>
            <w:top w:val="none" w:sz="0" w:space="0" w:color="auto"/>
            <w:left w:val="none" w:sz="0" w:space="0" w:color="auto"/>
            <w:bottom w:val="none" w:sz="0" w:space="0" w:color="auto"/>
            <w:right w:val="none" w:sz="0" w:space="0" w:color="auto"/>
          </w:divBdr>
          <w:divsChild>
            <w:div w:id="1095327269">
              <w:marLeft w:val="0"/>
              <w:marRight w:val="0"/>
              <w:marTop w:val="0"/>
              <w:marBottom w:val="0"/>
              <w:divBdr>
                <w:top w:val="none" w:sz="0" w:space="0" w:color="auto"/>
                <w:left w:val="none" w:sz="0" w:space="0" w:color="auto"/>
                <w:bottom w:val="none" w:sz="0" w:space="0" w:color="auto"/>
                <w:right w:val="none" w:sz="0" w:space="0" w:color="auto"/>
              </w:divBdr>
            </w:div>
          </w:divsChild>
        </w:div>
        <w:div w:id="1186020435">
          <w:marLeft w:val="0"/>
          <w:marRight w:val="0"/>
          <w:marTop w:val="0"/>
          <w:marBottom w:val="0"/>
          <w:divBdr>
            <w:top w:val="none" w:sz="0" w:space="0" w:color="auto"/>
            <w:left w:val="none" w:sz="0" w:space="0" w:color="auto"/>
            <w:bottom w:val="none" w:sz="0" w:space="0" w:color="auto"/>
            <w:right w:val="none" w:sz="0" w:space="0" w:color="auto"/>
          </w:divBdr>
          <w:divsChild>
            <w:div w:id="1595819401">
              <w:marLeft w:val="0"/>
              <w:marRight w:val="0"/>
              <w:marTop w:val="0"/>
              <w:marBottom w:val="0"/>
              <w:divBdr>
                <w:top w:val="none" w:sz="0" w:space="0" w:color="auto"/>
                <w:left w:val="none" w:sz="0" w:space="0" w:color="auto"/>
                <w:bottom w:val="none" w:sz="0" w:space="0" w:color="auto"/>
                <w:right w:val="none" w:sz="0" w:space="0" w:color="auto"/>
              </w:divBdr>
            </w:div>
          </w:divsChild>
        </w:div>
        <w:div w:id="1190872713">
          <w:marLeft w:val="0"/>
          <w:marRight w:val="0"/>
          <w:marTop w:val="0"/>
          <w:marBottom w:val="0"/>
          <w:divBdr>
            <w:top w:val="none" w:sz="0" w:space="0" w:color="auto"/>
            <w:left w:val="none" w:sz="0" w:space="0" w:color="auto"/>
            <w:bottom w:val="none" w:sz="0" w:space="0" w:color="auto"/>
            <w:right w:val="none" w:sz="0" w:space="0" w:color="auto"/>
          </w:divBdr>
          <w:divsChild>
            <w:div w:id="2069568295">
              <w:marLeft w:val="0"/>
              <w:marRight w:val="0"/>
              <w:marTop w:val="0"/>
              <w:marBottom w:val="0"/>
              <w:divBdr>
                <w:top w:val="none" w:sz="0" w:space="0" w:color="auto"/>
                <w:left w:val="none" w:sz="0" w:space="0" w:color="auto"/>
                <w:bottom w:val="none" w:sz="0" w:space="0" w:color="auto"/>
                <w:right w:val="none" w:sz="0" w:space="0" w:color="auto"/>
              </w:divBdr>
            </w:div>
          </w:divsChild>
        </w:div>
        <w:div w:id="1221206282">
          <w:marLeft w:val="0"/>
          <w:marRight w:val="0"/>
          <w:marTop w:val="0"/>
          <w:marBottom w:val="0"/>
          <w:divBdr>
            <w:top w:val="none" w:sz="0" w:space="0" w:color="auto"/>
            <w:left w:val="none" w:sz="0" w:space="0" w:color="auto"/>
            <w:bottom w:val="none" w:sz="0" w:space="0" w:color="auto"/>
            <w:right w:val="none" w:sz="0" w:space="0" w:color="auto"/>
          </w:divBdr>
          <w:divsChild>
            <w:div w:id="605429273">
              <w:marLeft w:val="0"/>
              <w:marRight w:val="0"/>
              <w:marTop w:val="0"/>
              <w:marBottom w:val="0"/>
              <w:divBdr>
                <w:top w:val="none" w:sz="0" w:space="0" w:color="auto"/>
                <w:left w:val="none" w:sz="0" w:space="0" w:color="auto"/>
                <w:bottom w:val="none" w:sz="0" w:space="0" w:color="auto"/>
                <w:right w:val="none" w:sz="0" w:space="0" w:color="auto"/>
              </w:divBdr>
            </w:div>
          </w:divsChild>
        </w:div>
        <w:div w:id="1344094545">
          <w:marLeft w:val="0"/>
          <w:marRight w:val="0"/>
          <w:marTop w:val="0"/>
          <w:marBottom w:val="0"/>
          <w:divBdr>
            <w:top w:val="none" w:sz="0" w:space="0" w:color="auto"/>
            <w:left w:val="none" w:sz="0" w:space="0" w:color="auto"/>
            <w:bottom w:val="none" w:sz="0" w:space="0" w:color="auto"/>
            <w:right w:val="none" w:sz="0" w:space="0" w:color="auto"/>
          </w:divBdr>
          <w:divsChild>
            <w:div w:id="1484853314">
              <w:marLeft w:val="0"/>
              <w:marRight w:val="0"/>
              <w:marTop w:val="0"/>
              <w:marBottom w:val="0"/>
              <w:divBdr>
                <w:top w:val="none" w:sz="0" w:space="0" w:color="auto"/>
                <w:left w:val="none" w:sz="0" w:space="0" w:color="auto"/>
                <w:bottom w:val="none" w:sz="0" w:space="0" w:color="auto"/>
                <w:right w:val="none" w:sz="0" w:space="0" w:color="auto"/>
              </w:divBdr>
            </w:div>
          </w:divsChild>
        </w:div>
        <w:div w:id="1434933529">
          <w:marLeft w:val="0"/>
          <w:marRight w:val="0"/>
          <w:marTop w:val="0"/>
          <w:marBottom w:val="0"/>
          <w:divBdr>
            <w:top w:val="none" w:sz="0" w:space="0" w:color="auto"/>
            <w:left w:val="none" w:sz="0" w:space="0" w:color="auto"/>
            <w:bottom w:val="none" w:sz="0" w:space="0" w:color="auto"/>
            <w:right w:val="none" w:sz="0" w:space="0" w:color="auto"/>
          </w:divBdr>
          <w:divsChild>
            <w:div w:id="758407334">
              <w:marLeft w:val="0"/>
              <w:marRight w:val="0"/>
              <w:marTop w:val="0"/>
              <w:marBottom w:val="0"/>
              <w:divBdr>
                <w:top w:val="none" w:sz="0" w:space="0" w:color="auto"/>
                <w:left w:val="none" w:sz="0" w:space="0" w:color="auto"/>
                <w:bottom w:val="none" w:sz="0" w:space="0" w:color="auto"/>
                <w:right w:val="none" w:sz="0" w:space="0" w:color="auto"/>
              </w:divBdr>
            </w:div>
          </w:divsChild>
        </w:div>
        <w:div w:id="1468164214">
          <w:marLeft w:val="0"/>
          <w:marRight w:val="0"/>
          <w:marTop w:val="0"/>
          <w:marBottom w:val="0"/>
          <w:divBdr>
            <w:top w:val="none" w:sz="0" w:space="0" w:color="auto"/>
            <w:left w:val="none" w:sz="0" w:space="0" w:color="auto"/>
            <w:bottom w:val="none" w:sz="0" w:space="0" w:color="auto"/>
            <w:right w:val="none" w:sz="0" w:space="0" w:color="auto"/>
          </w:divBdr>
          <w:divsChild>
            <w:div w:id="1445154390">
              <w:marLeft w:val="0"/>
              <w:marRight w:val="0"/>
              <w:marTop w:val="0"/>
              <w:marBottom w:val="0"/>
              <w:divBdr>
                <w:top w:val="none" w:sz="0" w:space="0" w:color="auto"/>
                <w:left w:val="none" w:sz="0" w:space="0" w:color="auto"/>
                <w:bottom w:val="none" w:sz="0" w:space="0" w:color="auto"/>
                <w:right w:val="none" w:sz="0" w:space="0" w:color="auto"/>
              </w:divBdr>
            </w:div>
          </w:divsChild>
        </w:div>
        <w:div w:id="1485513762">
          <w:marLeft w:val="0"/>
          <w:marRight w:val="0"/>
          <w:marTop w:val="0"/>
          <w:marBottom w:val="0"/>
          <w:divBdr>
            <w:top w:val="none" w:sz="0" w:space="0" w:color="auto"/>
            <w:left w:val="none" w:sz="0" w:space="0" w:color="auto"/>
            <w:bottom w:val="none" w:sz="0" w:space="0" w:color="auto"/>
            <w:right w:val="none" w:sz="0" w:space="0" w:color="auto"/>
          </w:divBdr>
          <w:divsChild>
            <w:div w:id="115300354">
              <w:marLeft w:val="0"/>
              <w:marRight w:val="0"/>
              <w:marTop w:val="0"/>
              <w:marBottom w:val="0"/>
              <w:divBdr>
                <w:top w:val="none" w:sz="0" w:space="0" w:color="auto"/>
                <w:left w:val="none" w:sz="0" w:space="0" w:color="auto"/>
                <w:bottom w:val="none" w:sz="0" w:space="0" w:color="auto"/>
                <w:right w:val="none" w:sz="0" w:space="0" w:color="auto"/>
              </w:divBdr>
            </w:div>
            <w:div w:id="313996625">
              <w:marLeft w:val="0"/>
              <w:marRight w:val="0"/>
              <w:marTop w:val="0"/>
              <w:marBottom w:val="0"/>
              <w:divBdr>
                <w:top w:val="none" w:sz="0" w:space="0" w:color="auto"/>
                <w:left w:val="none" w:sz="0" w:space="0" w:color="auto"/>
                <w:bottom w:val="none" w:sz="0" w:space="0" w:color="auto"/>
                <w:right w:val="none" w:sz="0" w:space="0" w:color="auto"/>
              </w:divBdr>
            </w:div>
          </w:divsChild>
        </w:div>
        <w:div w:id="1521814003">
          <w:marLeft w:val="0"/>
          <w:marRight w:val="0"/>
          <w:marTop w:val="0"/>
          <w:marBottom w:val="0"/>
          <w:divBdr>
            <w:top w:val="none" w:sz="0" w:space="0" w:color="auto"/>
            <w:left w:val="none" w:sz="0" w:space="0" w:color="auto"/>
            <w:bottom w:val="none" w:sz="0" w:space="0" w:color="auto"/>
            <w:right w:val="none" w:sz="0" w:space="0" w:color="auto"/>
          </w:divBdr>
          <w:divsChild>
            <w:div w:id="1579752362">
              <w:marLeft w:val="0"/>
              <w:marRight w:val="0"/>
              <w:marTop w:val="0"/>
              <w:marBottom w:val="0"/>
              <w:divBdr>
                <w:top w:val="none" w:sz="0" w:space="0" w:color="auto"/>
                <w:left w:val="none" w:sz="0" w:space="0" w:color="auto"/>
                <w:bottom w:val="none" w:sz="0" w:space="0" w:color="auto"/>
                <w:right w:val="none" w:sz="0" w:space="0" w:color="auto"/>
              </w:divBdr>
            </w:div>
          </w:divsChild>
        </w:div>
        <w:div w:id="1658459115">
          <w:marLeft w:val="0"/>
          <w:marRight w:val="0"/>
          <w:marTop w:val="0"/>
          <w:marBottom w:val="0"/>
          <w:divBdr>
            <w:top w:val="none" w:sz="0" w:space="0" w:color="auto"/>
            <w:left w:val="none" w:sz="0" w:space="0" w:color="auto"/>
            <w:bottom w:val="none" w:sz="0" w:space="0" w:color="auto"/>
            <w:right w:val="none" w:sz="0" w:space="0" w:color="auto"/>
          </w:divBdr>
          <w:divsChild>
            <w:div w:id="1416707052">
              <w:marLeft w:val="0"/>
              <w:marRight w:val="0"/>
              <w:marTop w:val="0"/>
              <w:marBottom w:val="0"/>
              <w:divBdr>
                <w:top w:val="none" w:sz="0" w:space="0" w:color="auto"/>
                <w:left w:val="none" w:sz="0" w:space="0" w:color="auto"/>
                <w:bottom w:val="none" w:sz="0" w:space="0" w:color="auto"/>
                <w:right w:val="none" w:sz="0" w:space="0" w:color="auto"/>
              </w:divBdr>
            </w:div>
          </w:divsChild>
        </w:div>
        <w:div w:id="1714502122">
          <w:marLeft w:val="0"/>
          <w:marRight w:val="0"/>
          <w:marTop w:val="0"/>
          <w:marBottom w:val="0"/>
          <w:divBdr>
            <w:top w:val="none" w:sz="0" w:space="0" w:color="auto"/>
            <w:left w:val="none" w:sz="0" w:space="0" w:color="auto"/>
            <w:bottom w:val="none" w:sz="0" w:space="0" w:color="auto"/>
            <w:right w:val="none" w:sz="0" w:space="0" w:color="auto"/>
          </w:divBdr>
          <w:divsChild>
            <w:div w:id="394818556">
              <w:marLeft w:val="0"/>
              <w:marRight w:val="0"/>
              <w:marTop w:val="0"/>
              <w:marBottom w:val="0"/>
              <w:divBdr>
                <w:top w:val="none" w:sz="0" w:space="0" w:color="auto"/>
                <w:left w:val="none" w:sz="0" w:space="0" w:color="auto"/>
                <w:bottom w:val="none" w:sz="0" w:space="0" w:color="auto"/>
                <w:right w:val="none" w:sz="0" w:space="0" w:color="auto"/>
              </w:divBdr>
            </w:div>
            <w:div w:id="809980886">
              <w:marLeft w:val="0"/>
              <w:marRight w:val="0"/>
              <w:marTop w:val="0"/>
              <w:marBottom w:val="0"/>
              <w:divBdr>
                <w:top w:val="none" w:sz="0" w:space="0" w:color="auto"/>
                <w:left w:val="none" w:sz="0" w:space="0" w:color="auto"/>
                <w:bottom w:val="none" w:sz="0" w:space="0" w:color="auto"/>
                <w:right w:val="none" w:sz="0" w:space="0" w:color="auto"/>
              </w:divBdr>
            </w:div>
            <w:div w:id="1180856330">
              <w:marLeft w:val="0"/>
              <w:marRight w:val="0"/>
              <w:marTop w:val="0"/>
              <w:marBottom w:val="0"/>
              <w:divBdr>
                <w:top w:val="none" w:sz="0" w:space="0" w:color="auto"/>
                <w:left w:val="none" w:sz="0" w:space="0" w:color="auto"/>
                <w:bottom w:val="none" w:sz="0" w:space="0" w:color="auto"/>
                <w:right w:val="none" w:sz="0" w:space="0" w:color="auto"/>
              </w:divBdr>
            </w:div>
            <w:div w:id="1551838645">
              <w:marLeft w:val="0"/>
              <w:marRight w:val="0"/>
              <w:marTop w:val="0"/>
              <w:marBottom w:val="0"/>
              <w:divBdr>
                <w:top w:val="none" w:sz="0" w:space="0" w:color="auto"/>
                <w:left w:val="none" w:sz="0" w:space="0" w:color="auto"/>
                <w:bottom w:val="none" w:sz="0" w:space="0" w:color="auto"/>
                <w:right w:val="none" w:sz="0" w:space="0" w:color="auto"/>
              </w:divBdr>
            </w:div>
          </w:divsChild>
        </w:div>
        <w:div w:id="1730419419">
          <w:marLeft w:val="0"/>
          <w:marRight w:val="0"/>
          <w:marTop w:val="0"/>
          <w:marBottom w:val="0"/>
          <w:divBdr>
            <w:top w:val="none" w:sz="0" w:space="0" w:color="auto"/>
            <w:left w:val="none" w:sz="0" w:space="0" w:color="auto"/>
            <w:bottom w:val="none" w:sz="0" w:space="0" w:color="auto"/>
            <w:right w:val="none" w:sz="0" w:space="0" w:color="auto"/>
          </w:divBdr>
          <w:divsChild>
            <w:div w:id="56823141">
              <w:marLeft w:val="0"/>
              <w:marRight w:val="0"/>
              <w:marTop w:val="0"/>
              <w:marBottom w:val="0"/>
              <w:divBdr>
                <w:top w:val="none" w:sz="0" w:space="0" w:color="auto"/>
                <w:left w:val="none" w:sz="0" w:space="0" w:color="auto"/>
                <w:bottom w:val="none" w:sz="0" w:space="0" w:color="auto"/>
                <w:right w:val="none" w:sz="0" w:space="0" w:color="auto"/>
              </w:divBdr>
            </w:div>
          </w:divsChild>
        </w:div>
        <w:div w:id="1751536887">
          <w:marLeft w:val="0"/>
          <w:marRight w:val="0"/>
          <w:marTop w:val="0"/>
          <w:marBottom w:val="0"/>
          <w:divBdr>
            <w:top w:val="none" w:sz="0" w:space="0" w:color="auto"/>
            <w:left w:val="none" w:sz="0" w:space="0" w:color="auto"/>
            <w:bottom w:val="none" w:sz="0" w:space="0" w:color="auto"/>
            <w:right w:val="none" w:sz="0" w:space="0" w:color="auto"/>
          </w:divBdr>
          <w:divsChild>
            <w:div w:id="430511618">
              <w:marLeft w:val="0"/>
              <w:marRight w:val="0"/>
              <w:marTop w:val="0"/>
              <w:marBottom w:val="0"/>
              <w:divBdr>
                <w:top w:val="none" w:sz="0" w:space="0" w:color="auto"/>
                <w:left w:val="none" w:sz="0" w:space="0" w:color="auto"/>
                <w:bottom w:val="none" w:sz="0" w:space="0" w:color="auto"/>
                <w:right w:val="none" w:sz="0" w:space="0" w:color="auto"/>
              </w:divBdr>
            </w:div>
            <w:div w:id="677149752">
              <w:marLeft w:val="0"/>
              <w:marRight w:val="0"/>
              <w:marTop w:val="0"/>
              <w:marBottom w:val="0"/>
              <w:divBdr>
                <w:top w:val="none" w:sz="0" w:space="0" w:color="auto"/>
                <w:left w:val="none" w:sz="0" w:space="0" w:color="auto"/>
                <w:bottom w:val="none" w:sz="0" w:space="0" w:color="auto"/>
                <w:right w:val="none" w:sz="0" w:space="0" w:color="auto"/>
              </w:divBdr>
            </w:div>
          </w:divsChild>
        </w:div>
        <w:div w:id="1754155795">
          <w:marLeft w:val="0"/>
          <w:marRight w:val="0"/>
          <w:marTop w:val="0"/>
          <w:marBottom w:val="0"/>
          <w:divBdr>
            <w:top w:val="none" w:sz="0" w:space="0" w:color="auto"/>
            <w:left w:val="none" w:sz="0" w:space="0" w:color="auto"/>
            <w:bottom w:val="none" w:sz="0" w:space="0" w:color="auto"/>
            <w:right w:val="none" w:sz="0" w:space="0" w:color="auto"/>
          </w:divBdr>
          <w:divsChild>
            <w:div w:id="369646771">
              <w:marLeft w:val="0"/>
              <w:marRight w:val="0"/>
              <w:marTop w:val="0"/>
              <w:marBottom w:val="0"/>
              <w:divBdr>
                <w:top w:val="none" w:sz="0" w:space="0" w:color="auto"/>
                <w:left w:val="none" w:sz="0" w:space="0" w:color="auto"/>
                <w:bottom w:val="none" w:sz="0" w:space="0" w:color="auto"/>
                <w:right w:val="none" w:sz="0" w:space="0" w:color="auto"/>
              </w:divBdr>
            </w:div>
          </w:divsChild>
        </w:div>
        <w:div w:id="1768888010">
          <w:marLeft w:val="0"/>
          <w:marRight w:val="0"/>
          <w:marTop w:val="0"/>
          <w:marBottom w:val="0"/>
          <w:divBdr>
            <w:top w:val="none" w:sz="0" w:space="0" w:color="auto"/>
            <w:left w:val="none" w:sz="0" w:space="0" w:color="auto"/>
            <w:bottom w:val="none" w:sz="0" w:space="0" w:color="auto"/>
            <w:right w:val="none" w:sz="0" w:space="0" w:color="auto"/>
          </w:divBdr>
          <w:divsChild>
            <w:div w:id="1203057086">
              <w:marLeft w:val="0"/>
              <w:marRight w:val="0"/>
              <w:marTop w:val="0"/>
              <w:marBottom w:val="0"/>
              <w:divBdr>
                <w:top w:val="none" w:sz="0" w:space="0" w:color="auto"/>
                <w:left w:val="none" w:sz="0" w:space="0" w:color="auto"/>
                <w:bottom w:val="none" w:sz="0" w:space="0" w:color="auto"/>
                <w:right w:val="none" w:sz="0" w:space="0" w:color="auto"/>
              </w:divBdr>
            </w:div>
          </w:divsChild>
        </w:div>
        <w:div w:id="1782145446">
          <w:marLeft w:val="0"/>
          <w:marRight w:val="0"/>
          <w:marTop w:val="0"/>
          <w:marBottom w:val="0"/>
          <w:divBdr>
            <w:top w:val="none" w:sz="0" w:space="0" w:color="auto"/>
            <w:left w:val="none" w:sz="0" w:space="0" w:color="auto"/>
            <w:bottom w:val="none" w:sz="0" w:space="0" w:color="auto"/>
            <w:right w:val="none" w:sz="0" w:space="0" w:color="auto"/>
          </w:divBdr>
          <w:divsChild>
            <w:div w:id="1271352448">
              <w:marLeft w:val="0"/>
              <w:marRight w:val="0"/>
              <w:marTop w:val="0"/>
              <w:marBottom w:val="0"/>
              <w:divBdr>
                <w:top w:val="none" w:sz="0" w:space="0" w:color="auto"/>
                <w:left w:val="none" w:sz="0" w:space="0" w:color="auto"/>
                <w:bottom w:val="none" w:sz="0" w:space="0" w:color="auto"/>
                <w:right w:val="none" w:sz="0" w:space="0" w:color="auto"/>
              </w:divBdr>
            </w:div>
          </w:divsChild>
        </w:div>
        <w:div w:id="1786844575">
          <w:marLeft w:val="0"/>
          <w:marRight w:val="0"/>
          <w:marTop w:val="0"/>
          <w:marBottom w:val="0"/>
          <w:divBdr>
            <w:top w:val="none" w:sz="0" w:space="0" w:color="auto"/>
            <w:left w:val="none" w:sz="0" w:space="0" w:color="auto"/>
            <w:bottom w:val="none" w:sz="0" w:space="0" w:color="auto"/>
            <w:right w:val="none" w:sz="0" w:space="0" w:color="auto"/>
          </w:divBdr>
          <w:divsChild>
            <w:div w:id="191500025">
              <w:marLeft w:val="0"/>
              <w:marRight w:val="0"/>
              <w:marTop w:val="0"/>
              <w:marBottom w:val="0"/>
              <w:divBdr>
                <w:top w:val="none" w:sz="0" w:space="0" w:color="auto"/>
                <w:left w:val="none" w:sz="0" w:space="0" w:color="auto"/>
                <w:bottom w:val="none" w:sz="0" w:space="0" w:color="auto"/>
                <w:right w:val="none" w:sz="0" w:space="0" w:color="auto"/>
              </w:divBdr>
            </w:div>
          </w:divsChild>
        </w:div>
        <w:div w:id="1826432852">
          <w:marLeft w:val="0"/>
          <w:marRight w:val="0"/>
          <w:marTop w:val="0"/>
          <w:marBottom w:val="0"/>
          <w:divBdr>
            <w:top w:val="none" w:sz="0" w:space="0" w:color="auto"/>
            <w:left w:val="none" w:sz="0" w:space="0" w:color="auto"/>
            <w:bottom w:val="none" w:sz="0" w:space="0" w:color="auto"/>
            <w:right w:val="none" w:sz="0" w:space="0" w:color="auto"/>
          </w:divBdr>
          <w:divsChild>
            <w:div w:id="844397940">
              <w:marLeft w:val="0"/>
              <w:marRight w:val="0"/>
              <w:marTop w:val="0"/>
              <w:marBottom w:val="0"/>
              <w:divBdr>
                <w:top w:val="none" w:sz="0" w:space="0" w:color="auto"/>
                <w:left w:val="none" w:sz="0" w:space="0" w:color="auto"/>
                <w:bottom w:val="none" w:sz="0" w:space="0" w:color="auto"/>
                <w:right w:val="none" w:sz="0" w:space="0" w:color="auto"/>
              </w:divBdr>
            </w:div>
          </w:divsChild>
        </w:div>
        <w:div w:id="1858499206">
          <w:marLeft w:val="0"/>
          <w:marRight w:val="0"/>
          <w:marTop w:val="0"/>
          <w:marBottom w:val="0"/>
          <w:divBdr>
            <w:top w:val="none" w:sz="0" w:space="0" w:color="auto"/>
            <w:left w:val="none" w:sz="0" w:space="0" w:color="auto"/>
            <w:bottom w:val="none" w:sz="0" w:space="0" w:color="auto"/>
            <w:right w:val="none" w:sz="0" w:space="0" w:color="auto"/>
          </w:divBdr>
          <w:divsChild>
            <w:div w:id="1352145164">
              <w:marLeft w:val="0"/>
              <w:marRight w:val="0"/>
              <w:marTop w:val="0"/>
              <w:marBottom w:val="0"/>
              <w:divBdr>
                <w:top w:val="none" w:sz="0" w:space="0" w:color="auto"/>
                <w:left w:val="none" w:sz="0" w:space="0" w:color="auto"/>
                <w:bottom w:val="none" w:sz="0" w:space="0" w:color="auto"/>
                <w:right w:val="none" w:sz="0" w:space="0" w:color="auto"/>
              </w:divBdr>
            </w:div>
          </w:divsChild>
        </w:div>
        <w:div w:id="1881475348">
          <w:marLeft w:val="0"/>
          <w:marRight w:val="0"/>
          <w:marTop w:val="0"/>
          <w:marBottom w:val="0"/>
          <w:divBdr>
            <w:top w:val="none" w:sz="0" w:space="0" w:color="auto"/>
            <w:left w:val="none" w:sz="0" w:space="0" w:color="auto"/>
            <w:bottom w:val="none" w:sz="0" w:space="0" w:color="auto"/>
            <w:right w:val="none" w:sz="0" w:space="0" w:color="auto"/>
          </w:divBdr>
          <w:divsChild>
            <w:div w:id="1503665153">
              <w:marLeft w:val="0"/>
              <w:marRight w:val="0"/>
              <w:marTop w:val="0"/>
              <w:marBottom w:val="0"/>
              <w:divBdr>
                <w:top w:val="none" w:sz="0" w:space="0" w:color="auto"/>
                <w:left w:val="none" w:sz="0" w:space="0" w:color="auto"/>
                <w:bottom w:val="none" w:sz="0" w:space="0" w:color="auto"/>
                <w:right w:val="none" w:sz="0" w:space="0" w:color="auto"/>
              </w:divBdr>
            </w:div>
          </w:divsChild>
        </w:div>
        <w:div w:id="1893927753">
          <w:marLeft w:val="0"/>
          <w:marRight w:val="0"/>
          <w:marTop w:val="0"/>
          <w:marBottom w:val="0"/>
          <w:divBdr>
            <w:top w:val="none" w:sz="0" w:space="0" w:color="auto"/>
            <w:left w:val="none" w:sz="0" w:space="0" w:color="auto"/>
            <w:bottom w:val="none" w:sz="0" w:space="0" w:color="auto"/>
            <w:right w:val="none" w:sz="0" w:space="0" w:color="auto"/>
          </w:divBdr>
          <w:divsChild>
            <w:div w:id="270404308">
              <w:marLeft w:val="0"/>
              <w:marRight w:val="0"/>
              <w:marTop w:val="0"/>
              <w:marBottom w:val="0"/>
              <w:divBdr>
                <w:top w:val="none" w:sz="0" w:space="0" w:color="auto"/>
                <w:left w:val="none" w:sz="0" w:space="0" w:color="auto"/>
                <w:bottom w:val="none" w:sz="0" w:space="0" w:color="auto"/>
                <w:right w:val="none" w:sz="0" w:space="0" w:color="auto"/>
              </w:divBdr>
            </w:div>
          </w:divsChild>
        </w:div>
        <w:div w:id="1920139443">
          <w:marLeft w:val="0"/>
          <w:marRight w:val="0"/>
          <w:marTop w:val="0"/>
          <w:marBottom w:val="0"/>
          <w:divBdr>
            <w:top w:val="none" w:sz="0" w:space="0" w:color="auto"/>
            <w:left w:val="none" w:sz="0" w:space="0" w:color="auto"/>
            <w:bottom w:val="none" w:sz="0" w:space="0" w:color="auto"/>
            <w:right w:val="none" w:sz="0" w:space="0" w:color="auto"/>
          </w:divBdr>
          <w:divsChild>
            <w:div w:id="227229082">
              <w:marLeft w:val="0"/>
              <w:marRight w:val="0"/>
              <w:marTop w:val="0"/>
              <w:marBottom w:val="0"/>
              <w:divBdr>
                <w:top w:val="none" w:sz="0" w:space="0" w:color="auto"/>
                <w:left w:val="none" w:sz="0" w:space="0" w:color="auto"/>
                <w:bottom w:val="none" w:sz="0" w:space="0" w:color="auto"/>
                <w:right w:val="none" w:sz="0" w:space="0" w:color="auto"/>
              </w:divBdr>
            </w:div>
            <w:div w:id="599021270">
              <w:marLeft w:val="0"/>
              <w:marRight w:val="0"/>
              <w:marTop w:val="0"/>
              <w:marBottom w:val="0"/>
              <w:divBdr>
                <w:top w:val="none" w:sz="0" w:space="0" w:color="auto"/>
                <w:left w:val="none" w:sz="0" w:space="0" w:color="auto"/>
                <w:bottom w:val="none" w:sz="0" w:space="0" w:color="auto"/>
                <w:right w:val="none" w:sz="0" w:space="0" w:color="auto"/>
              </w:divBdr>
            </w:div>
            <w:div w:id="1334919770">
              <w:marLeft w:val="0"/>
              <w:marRight w:val="0"/>
              <w:marTop w:val="0"/>
              <w:marBottom w:val="0"/>
              <w:divBdr>
                <w:top w:val="none" w:sz="0" w:space="0" w:color="auto"/>
                <w:left w:val="none" w:sz="0" w:space="0" w:color="auto"/>
                <w:bottom w:val="none" w:sz="0" w:space="0" w:color="auto"/>
                <w:right w:val="none" w:sz="0" w:space="0" w:color="auto"/>
              </w:divBdr>
            </w:div>
          </w:divsChild>
        </w:div>
        <w:div w:id="1946688624">
          <w:marLeft w:val="0"/>
          <w:marRight w:val="0"/>
          <w:marTop w:val="0"/>
          <w:marBottom w:val="0"/>
          <w:divBdr>
            <w:top w:val="none" w:sz="0" w:space="0" w:color="auto"/>
            <w:left w:val="none" w:sz="0" w:space="0" w:color="auto"/>
            <w:bottom w:val="none" w:sz="0" w:space="0" w:color="auto"/>
            <w:right w:val="none" w:sz="0" w:space="0" w:color="auto"/>
          </w:divBdr>
          <w:divsChild>
            <w:div w:id="1429691148">
              <w:marLeft w:val="0"/>
              <w:marRight w:val="0"/>
              <w:marTop w:val="0"/>
              <w:marBottom w:val="0"/>
              <w:divBdr>
                <w:top w:val="none" w:sz="0" w:space="0" w:color="auto"/>
                <w:left w:val="none" w:sz="0" w:space="0" w:color="auto"/>
                <w:bottom w:val="none" w:sz="0" w:space="0" w:color="auto"/>
                <w:right w:val="none" w:sz="0" w:space="0" w:color="auto"/>
              </w:divBdr>
            </w:div>
          </w:divsChild>
        </w:div>
        <w:div w:id="1956323351">
          <w:marLeft w:val="0"/>
          <w:marRight w:val="0"/>
          <w:marTop w:val="0"/>
          <w:marBottom w:val="0"/>
          <w:divBdr>
            <w:top w:val="none" w:sz="0" w:space="0" w:color="auto"/>
            <w:left w:val="none" w:sz="0" w:space="0" w:color="auto"/>
            <w:bottom w:val="none" w:sz="0" w:space="0" w:color="auto"/>
            <w:right w:val="none" w:sz="0" w:space="0" w:color="auto"/>
          </w:divBdr>
          <w:divsChild>
            <w:div w:id="991251691">
              <w:marLeft w:val="0"/>
              <w:marRight w:val="0"/>
              <w:marTop w:val="0"/>
              <w:marBottom w:val="0"/>
              <w:divBdr>
                <w:top w:val="none" w:sz="0" w:space="0" w:color="auto"/>
                <w:left w:val="none" w:sz="0" w:space="0" w:color="auto"/>
                <w:bottom w:val="none" w:sz="0" w:space="0" w:color="auto"/>
                <w:right w:val="none" w:sz="0" w:space="0" w:color="auto"/>
              </w:divBdr>
            </w:div>
          </w:divsChild>
        </w:div>
        <w:div w:id="1962572945">
          <w:marLeft w:val="0"/>
          <w:marRight w:val="0"/>
          <w:marTop w:val="0"/>
          <w:marBottom w:val="0"/>
          <w:divBdr>
            <w:top w:val="none" w:sz="0" w:space="0" w:color="auto"/>
            <w:left w:val="none" w:sz="0" w:space="0" w:color="auto"/>
            <w:bottom w:val="none" w:sz="0" w:space="0" w:color="auto"/>
            <w:right w:val="none" w:sz="0" w:space="0" w:color="auto"/>
          </w:divBdr>
          <w:divsChild>
            <w:div w:id="919875911">
              <w:marLeft w:val="0"/>
              <w:marRight w:val="0"/>
              <w:marTop w:val="0"/>
              <w:marBottom w:val="0"/>
              <w:divBdr>
                <w:top w:val="none" w:sz="0" w:space="0" w:color="auto"/>
                <w:left w:val="none" w:sz="0" w:space="0" w:color="auto"/>
                <w:bottom w:val="none" w:sz="0" w:space="0" w:color="auto"/>
                <w:right w:val="none" w:sz="0" w:space="0" w:color="auto"/>
              </w:divBdr>
            </w:div>
          </w:divsChild>
        </w:div>
        <w:div w:id="1975064003">
          <w:marLeft w:val="0"/>
          <w:marRight w:val="0"/>
          <w:marTop w:val="0"/>
          <w:marBottom w:val="0"/>
          <w:divBdr>
            <w:top w:val="none" w:sz="0" w:space="0" w:color="auto"/>
            <w:left w:val="none" w:sz="0" w:space="0" w:color="auto"/>
            <w:bottom w:val="none" w:sz="0" w:space="0" w:color="auto"/>
            <w:right w:val="none" w:sz="0" w:space="0" w:color="auto"/>
          </w:divBdr>
          <w:divsChild>
            <w:div w:id="1931618039">
              <w:marLeft w:val="0"/>
              <w:marRight w:val="0"/>
              <w:marTop w:val="0"/>
              <w:marBottom w:val="0"/>
              <w:divBdr>
                <w:top w:val="none" w:sz="0" w:space="0" w:color="auto"/>
                <w:left w:val="none" w:sz="0" w:space="0" w:color="auto"/>
                <w:bottom w:val="none" w:sz="0" w:space="0" w:color="auto"/>
                <w:right w:val="none" w:sz="0" w:space="0" w:color="auto"/>
              </w:divBdr>
            </w:div>
          </w:divsChild>
        </w:div>
        <w:div w:id="2063406376">
          <w:marLeft w:val="0"/>
          <w:marRight w:val="0"/>
          <w:marTop w:val="0"/>
          <w:marBottom w:val="0"/>
          <w:divBdr>
            <w:top w:val="none" w:sz="0" w:space="0" w:color="auto"/>
            <w:left w:val="none" w:sz="0" w:space="0" w:color="auto"/>
            <w:bottom w:val="none" w:sz="0" w:space="0" w:color="auto"/>
            <w:right w:val="none" w:sz="0" w:space="0" w:color="auto"/>
          </w:divBdr>
          <w:divsChild>
            <w:div w:id="617640177">
              <w:marLeft w:val="0"/>
              <w:marRight w:val="0"/>
              <w:marTop w:val="0"/>
              <w:marBottom w:val="0"/>
              <w:divBdr>
                <w:top w:val="none" w:sz="0" w:space="0" w:color="auto"/>
                <w:left w:val="none" w:sz="0" w:space="0" w:color="auto"/>
                <w:bottom w:val="none" w:sz="0" w:space="0" w:color="auto"/>
                <w:right w:val="none" w:sz="0" w:space="0" w:color="auto"/>
              </w:divBdr>
            </w:div>
            <w:div w:id="1140001907">
              <w:marLeft w:val="0"/>
              <w:marRight w:val="0"/>
              <w:marTop w:val="0"/>
              <w:marBottom w:val="0"/>
              <w:divBdr>
                <w:top w:val="none" w:sz="0" w:space="0" w:color="auto"/>
                <w:left w:val="none" w:sz="0" w:space="0" w:color="auto"/>
                <w:bottom w:val="none" w:sz="0" w:space="0" w:color="auto"/>
                <w:right w:val="none" w:sz="0" w:space="0" w:color="auto"/>
              </w:divBdr>
            </w:div>
          </w:divsChild>
        </w:div>
        <w:div w:id="2077707105">
          <w:marLeft w:val="0"/>
          <w:marRight w:val="0"/>
          <w:marTop w:val="0"/>
          <w:marBottom w:val="0"/>
          <w:divBdr>
            <w:top w:val="none" w:sz="0" w:space="0" w:color="auto"/>
            <w:left w:val="none" w:sz="0" w:space="0" w:color="auto"/>
            <w:bottom w:val="none" w:sz="0" w:space="0" w:color="auto"/>
            <w:right w:val="none" w:sz="0" w:space="0" w:color="auto"/>
          </w:divBdr>
          <w:divsChild>
            <w:div w:id="972904861">
              <w:marLeft w:val="0"/>
              <w:marRight w:val="0"/>
              <w:marTop w:val="0"/>
              <w:marBottom w:val="0"/>
              <w:divBdr>
                <w:top w:val="none" w:sz="0" w:space="0" w:color="auto"/>
                <w:left w:val="none" w:sz="0" w:space="0" w:color="auto"/>
                <w:bottom w:val="none" w:sz="0" w:space="0" w:color="auto"/>
                <w:right w:val="none" w:sz="0" w:space="0" w:color="auto"/>
              </w:divBdr>
            </w:div>
          </w:divsChild>
        </w:div>
        <w:div w:id="2128117112">
          <w:marLeft w:val="0"/>
          <w:marRight w:val="0"/>
          <w:marTop w:val="0"/>
          <w:marBottom w:val="0"/>
          <w:divBdr>
            <w:top w:val="none" w:sz="0" w:space="0" w:color="auto"/>
            <w:left w:val="none" w:sz="0" w:space="0" w:color="auto"/>
            <w:bottom w:val="none" w:sz="0" w:space="0" w:color="auto"/>
            <w:right w:val="none" w:sz="0" w:space="0" w:color="auto"/>
          </w:divBdr>
          <w:divsChild>
            <w:div w:id="23943694">
              <w:marLeft w:val="0"/>
              <w:marRight w:val="0"/>
              <w:marTop w:val="0"/>
              <w:marBottom w:val="0"/>
              <w:divBdr>
                <w:top w:val="none" w:sz="0" w:space="0" w:color="auto"/>
                <w:left w:val="none" w:sz="0" w:space="0" w:color="auto"/>
                <w:bottom w:val="none" w:sz="0" w:space="0" w:color="auto"/>
                <w:right w:val="none" w:sz="0" w:space="0" w:color="auto"/>
              </w:divBdr>
            </w:div>
            <w:div w:id="1540777874">
              <w:marLeft w:val="0"/>
              <w:marRight w:val="0"/>
              <w:marTop w:val="0"/>
              <w:marBottom w:val="0"/>
              <w:divBdr>
                <w:top w:val="none" w:sz="0" w:space="0" w:color="auto"/>
                <w:left w:val="none" w:sz="0" w:space="0" w:color="auto"/>
                <w:bottom w:val="none" w:sz="0" w:space="0" w:color="auto"/>
                <w:right w:val="none" w:sz="0" w:space="0" w:color="auto"/>
              </w:divBdr>
            </w:div>
          </w:divsChild>
        </w:div>
        <w:div w:id="2140687747">
          <w:marLeft w:val="0"/>
          <w:marRight w:val="0"/>
          <w:marTop w:val="0"/>
          <w:marBottom w:val="0"/>
          <w:divBdr>
            <w:top w:val="none" w:sz="0" w:space="0" w:color="auto"/>
            <w:left w:val="none" w:sz="0" w:space="0" w:color="auto"/>
            <w:bottom w:val="none" w:sz="0" w:space="0" w:color="auto"/>
            <w:right w:val="none" w:sz="0" w:space="0" w:color="auto"/>
          </w:divBdr>
          <w:divsChild>
            <w:div w:id="55334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8078">
      <w:bodyDiv w:val="1"/>
      <w:marLeft w:val="0"/>
      <w:marRight w:val="0"/>
      <w:marTop w:val="0"/>
      <w:marBottom w:val="0"/>
      <w:divBdr>
        <w:top w:val="none" w:sz="0" w:space="0" w:color="auto"/>
        <w:left w:val="none" w:sz="0" w:space="0" w:color="auto"/>
        <w:bottom w:val="none" w:sz="0" w:space="0" w:color="auto"/>
        <w:right w:val="none" w:sz="0" w:space="0" w:color="auto"/>
      </w:divBdr>
      <w:divsChild>
        <w:div w:id="393088230">
          <w:marLeft w:val="0"/>
          <w:marRight w:val="0"/>
          <w:marTop w:val="0"/>
          <w:marBottom w:val="0"/>
          <w:divBdr>
            <w:top w:val="none" w:sz="0" w:space="0" w:color="auto"/>
            <w:left w:val="none" w:sz="0" w:space="0" w:color="auto"/>
            <w:bottom w:val="none" w:sz="0" w:space="0" w:color="auto"/>
            <w:right w:val="none" w:sz="0" w:space="0" w:color="auto"/>
          </w:divBdr>
          <w:divsChild>
            <w:div w:id="1219319674">
              <w:marLeft w:val="0"/>
              <w:marRight w:val="0"/>
              <w:marTop w:val="0"/>
              <w:marBottom w:val="0"/>
              <w:divBdr>
                <w:top w:val="none" w:sz="0" w:space="0" w:color="auto"/>
                <w:left w:val="none" w:sz="0" w:space="0" w:color="auto"/>
                <w:bottom w:val="none" w:sz="0" w:space="0" w:color="auto"/>
                <w:right w:val="none" w:sz="0" w:space="0" w:color="auto"/>
              </w:divBdr>
              <w:divsChild>
                <w:div w:id="24600197">
                  <w:marLeft w:val="0"/>
                  <w:marRight w:val="0"/>
                  <w:marTop w:val="0"/>
                  <w:marBottom w:val="0"/>
                  <w:divBdr>
                    <w:top w:val="none" w:sz="0" w:space="0" w:color="auto"/>
                    <w:left w:val="none" w:sz="0" w:space="0" w:color="auto"/>
                    <w:bottom w:val="none" w:sz="0" w:space="0" w:color="auto"/>
                    <w:right w:val="none" w:sz="0" w:space="0" w:color="auto"/>
                  </w:divBdr>
                  <w:divsChild>
                    <w:div w:id="31649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641676">
      <w:bodyDiv w:val="1"/>
      <w:marLeft w:val="0"/>
      <w:marRight w:val="0"/>
      <w:marTop w:val="0"/>
      <w:marBottom w:val="0"/>
      <w:divBdr>
        <w:top w:val="none" w:sz="0" w:space="0" w:color="auto"/>
        <w:left w:val="none" w:sz="0" w:space="0" w:color="auto"/>
        <w:bottom w:val="none" w:sz="0" w:space="0" w:color="auto"/>
        <w:right w:val="none" w:sz="0" w:space="0" w:color="auto"/>
      </w:divBdr>
    </w:div>
    <w:div w:id="1718627337">
      <w:bodyDiv w:val="1"/>
      <w:marLeft w:val="0"/>
      <w:marRight w:val="0"/>
      <w:marTop w:val="0"/>
      <w:marBottom w:val="0"/>
      <w:divBdr>
        <w:top w:val="none" w:sz="0" w:space="0" w:color="auto"/>
        <w:left w:val="none" w:sz="0" w:space="0" w:color="auto"/>
        <w:bottom w:val="none" w:sz="0" w:space="0" w:color="auto"/>
        <w:right w:val="none" w:sz="0" w:space="0" w:color="auto"/>
      </w:divBdr>
    </w:div>
    <w:div w:id="1720007056">
      <w:bodyDiv w:val="1"/>
      <w:marLeft w:val="0"/>
      <w:marRight w:val="0"/>
      <w:marTop w:val="0"/>
      <w:marBottom w:val="0"/>
      <w:divBdr>
        <w:top w:val="none" w:sz="0" w:space="0" w:color="auto"/>
        <w:left w:val="none" w:sz="0" w:space="0" w:color="auto"/>
        <w:bottom w:val="none" w:sz="0" w:space="0" w:color="auto"/>
        <w:right w:val="none" w:sz="0" w:space="0" w:color="auto"/>
      </w:divBdr>
      <w:divsChild>
        <w:div w:id="20590874">
          <w:marLeft w:val="0"/>
          <w:marRight w:val="0"/>
          <w:marTop w:val="0"/>
          <w:marBottom w:val="0"/>
          <w:divBdr>
            <w:top w:val="none" w:sz="0" w:space="0" w:color="auto"/>
            <w:left w:val="none" w:sz="0" w:space="0" w:color="auto"/>
            <w:bottom w:val="none" w:sz="0" w:space="0" w:color="auto"/>
            <w:right w:val="none" w:sz="0" w:space="0" w:color="auto"/>
          </w:divBdr>
          <w:divsChild>
            <w:div w:id="424229241">
              <w:marLeft w:val="0"/>
              <w:marRight w:val="0"/>
              <w:marTop w:val="0"/>
              <w:marBottom w:val="0"/>
              <w:divBdr>
                <w:top w:val="none" w:sz="0" w:space="0" w:color="auto"/>
                <w:left w:val="none" w:sz="0" w:space="0" w:color="auto"/>
                <w:bottom w:val="none" w:sz="0" w:space="0" w:color="auto"/>
                <w:right w:val="none" w:sz="0" w:space="0" w:color="auto"/>
              </w:divBdr>
            </w:div>
            <w:div w:id="1259633463">
              <w:marLeft w:val="0"/>
              <w:marRight w:val="0"/>
              <w:marTop w:val="0"/>
              <w:marBottom w:val="0"/>
              <w:divBdr>
                <w:top w:val="none" w:sz="0" w:space="0" w:color="auto"/>
                <w:left w:val="none" w:sz="0" w:space="0" w:color="auto"/>
                <w:bottom w:val="none" w:sz="0" w:space="0" w:color="auto"/>
                <w:right w:val="none" w:sz="0" w:space="0" w:color="auto"/>
              </w:divBdr>
            </w:div>
            <w:div w:id="1565139715">
              <w:marLeft w:val="0"/>
              <w:marRight w:val="0"/>
              <w:marTop w:val="0"/>
              <w:marBottom w:val="0"/>
              <w:divBdr>
                <w:top w:val="none" w:sz="0" w:space="0" w:color="auto"/>
                <w:left w:val="none" w:sz="0" w:space="0" w:color="auto"/>
                <w:bottom w:val="none" w:sz="0" w:space="0" w:color="auto"/>
                <w:right w:val="none" w:sz="0" w:space="0" w:color="auto"/>
              </w:divBdr>
            </w:div>
          </w:divsChild>
        </w:div>
        <w:div w:id="34359087">
          <w:marLeft w:val="0"/>
          <w:marRight w:val="0"/>
          <w:marTop w:val="0"/>
          <w:marBottom w:val="0"/>
          <w:divBdr>
            <w:top w:val="none" w:sz="0" w:space="0" w:color="auto"/>
            <w:left w:val="none" w:sz="0" w:space="0" w:color="auto"/>
            <w:bottom w:val="none" w:sz="0" w:space="0" w:color="auto"/>
            <w:right w:val="none" w:sz="0" w:space="0" w:color="auto"/>
          </w:divBdr>
          <w:divsChild>
            <w:div w:id="329408702">
              <w:marLeft w:val="0"/>
              <w:marRight w:val="0"/>
              <w:marTop w:val="0"/>
              <w:marBottom w:val="0"/>
              <w:divBdr>
                <w:top w:val="none" w:sz="0" w:space="0" w:color="auto"/>
                <w:left w:val="none" w:sz="0" w:space="0" w:color="auto"/>
                <w:bottom w:val="none" w:sz="0" w:space="0" w:color="auto"/>
                <w:right w:val="none" w:sz="0" w:space="0" w:color="auto"/>
              </w:divBdr>
            </w:div>
          </w:divsChild>
        </w:div>
        <w:div w:id="94254780">
          <w:marLeft w:val="0"/>
          <w:marRight w:val="0"/>
          <w:marTop w:val="0"/>
          <w:marBottom w:val="0"/>
          <w:divBdr>
            <w:top w:val="none" w:sz="0" w:space="0" w:color="auto"/>
            <w:left w:val="none" w:sz="0" w:space="0" w:color="auto"/>
            <w:bottom w:val="none" w:sz="0" w:space="0" w:color="auto"/>
            <w:right w:val="none" w:sz="0" w:space="0" w:color="auto"/>
          </w:divBdr>
          <w:divsChild>
            <w:div w:id="842742178">
              <w:marLeft w:val="0"/>
              <w:marRight w:val="0"/>
              <w:marTop w:val="0"/>
              <w:marBottom w:val="0"/>
              <w:divBdr>
                <w:top w:val="none" w:sz="0" w:space="0" w:color="auto"/>
                <w:left w:val="none" w:sz="0" w:space="0" w:color="auto"/>
                <w:bottom w:val="none" w:sz="0" w:space="0" w:color="auto"/>
                <w:right w:val="none" w:sz="0" w:space="0" w:color="auto"/>
              </w:divBdr>
            </w:div>
          </w:divsChild>
        </w:div>
        <w:div w:id="148597477">
          <w:marLeft w:val="0"/>
          <w:marRight w:val="0"/>
          <w:marTop w:val="0"/>
          <w:marBottom w:val="0"/>
          <w:divBdr>
            <w:top w:val="none" w:sz="0" w:space="0" w:color="auto"/>
            <w:left w:val="none" w:sz="0" w:space="0" w:color="auto"/>
            <w:bottom w:val="none" w:sz="0" w:space="0" w:color="auto"/>
            <w:right w:val="none" w:sz="0" w:space="0" w:color="auto"/>
          </w:divBdr>
          <w:divsChild>
            <w:div w:id="1828739509">
              <w:marLeft w:val="0"/>
              <w:marRight w:val="0"/>
              <w:marTop w:val="0"/>
              <w:marBottom w:val="0"/>
              <w:divBdr>
                <w:top w:val="none" w:sz="0" w:space="0" w:color="auto"/>
                <w:left w:val="none" w:sz="0" w:space="0" w:color="auto"/>
                <w:bottom w:val="none" w:sz="0" w:space="0" w:color="auto"/>
                <w:right w:val="none" w:sz="0" w:space="0" w:color="auto"/>
              </w:divBdr>
            </w:div>
          </w:divsChild>
        </w:div>
        <w:div w:id="197549777">
          <w:marLeft w:val="0"/>
          <w:marRight w:val="0"/>
          <w:marTop w:val="0"/>
          <w:marBottom w:val="0"/>
          <w:divBdr>
            <w:top w:val="none" w:sz="0" w:space="0" w:color="auto"/>
            <w:left w:val="none" w:sz="0" w:space="0" w:color="auto"/>
            <w:bottom w:val="none" w:sz="0" w:space="0" w:color="auto"/>
            <w:right w:val="none" w:sz="0" w:space="0" w:color="auto"/>
          </w:divBdr>
          <w:divsChild>
            <w:div w:id="355036455">
              <w:marLeft w:val="0"/>
              <w:marRight w:val="0"/>
              <w:marTop w:val="0"/>
              <w:marBottom w:val="0"/>
              <w:divBdr>
                <w:top w:val="none" w:sz="0" w:space="0" w:color="auto"/>
                <w:left w:val="none" w:sz="0" w:space="0" w:color="auto"/>
                <w:bottom w:val="none" w:sz="0" w:space="0" w:color="auto"/>
                <w:right w:val="none" w:sz="0" w:space="0" w:color="auto"/>
              </w:divBdr>
            </w:div>
          </w:divsChild>
        </w:div>
        <w:div w:id="241722303">
          <w:marLeft w:val="0"/>
          <w:marRight w:val="0"/>
          <w:marTop w:val="0"/>
          <w:marBottom w:val="0"/>
          <w:divBdr>
            <w:top w:val="none" w:sz="0" w:space="0" w:color="auto"/>
            <w:left w:val="none" w:sz="0" w:space="0" w:color="auto"/>
            <w:bottom w:val="none" w:sz="0" w:space="0" w:color="auto"/>
            <w:right w:val="none" w:sz="0" w:space="0" w:color="auto"/>
          </w:divBdr>
          <w:divsChild>
            <w:div w:id="930815118">
              <w:marLeft w:val="0"/>
              <w:marRight w:val="0"/>
              <w:marTop w:val="0"/>
              <w:marBottom w:val="0"/>
              <w:divBdr>
                <w:top w:val="none" w:sz="0" w:space="0" w:color="auto"/>
                <w:left w:val="none" w:sz="0" w:space="0" w:color="auto"/>
                <w:bottom w:val="none" w:sz="0" w:space="0" w:color="auto"/>
                <w:right w:val="none" w:sz="0" w:space="0" w:color="auto"/>
              </w:divBdr>
            </w:div>
          </w:divsChild>
        </w:div>
        <w:div w:id="264775442">
          <w:marLeft w:val="0"/>
          <w:marRight w:val="0"/>
          <w:marTop w:val="0"/>
          <w:marBottom w:val="0"/>
          <w:divBdr>
            <w:top w:val="none" w:sz="0" w:space="0" w:color="auto"/>
            <w:left w:val="none" w:sz="0" w:space="0" w:color="auto"/>
            <w:bottom w:val="none" w:sz="0" w:space="0" w:color="auto"/>
            <w:right w:val="none" w:sz="0" w:space="0" w:color="auto"/>
          </w:divBdr>
          <w:divsChild>
            <w:div w:id="1778600395">
              <w:marLeft w:val="0"/>
              <w:marRight w:val="0"/>
              <w:marTop w:val="0"/>
              <w:marBottom w:val="0"/>
              <w:divBdr>
                <w:top w:val="none" w:sz="0" w:space="0" w:color="auto"/>
                <w:left w:val="none" w:sz="0" w:space="0" w:color="auto"/>
                <w:bottom w:val="none" w:sz="0" w:space="0" w:color="auto"/>
                <w:right w:val="none" w:sz="0" w:space="0" w:color="auto"/>
              </w:divBdr>
            </w:div>
          </w:divsChild>
        </w:div>
        <w:div w:id="291401411">
          <w:marLeft w:val="0"/>
          <w:marRight w:val="0"/>
          <w:marTop w:val="0"/>
          <w:marBottom w:val="0"/>
          <w:divBdr>
            <w:top w:val="none" w:sz="0" w:space="0" w:color="auto"/>
            <w:left w:val="none" w:sz="0" w:space="0" w:color="auto"/>
            <w:bottom w:val="none" w:sz="0" w:space="0" w:color="auto"/>
            <w:right w:val="none" w:sz="0" w:space="0" w:color="auto"/>
          </w:divBdr>
          <w:divsChild>
            <w:div w:id="1701661652">
              <w:marLeft w:val="0"/>
              <w:marRight w:val="0"/>
              <w:marTop w:val="0"/>
              <w:marBottom w:val="0"/>
              <w:divBdr>
                <w:top w:val="none" w:sz="0" w:space="0" w:color="auto"/>
                <w:left w:val="none" w:sz="0" w:space="0" w:color="auto"/>
                <w:bottom w:val="none" w:sz="0" w:space="0" w:color="auto"/>
                <w:right w:val="none" w:sz="0" w:space="0" w:color="auto"/>
              </w:divBdr>
            </w:div>
          </w:divsChild>
        </w:div>
        <w:div w:id="369961246">
          <w:marLeft w:val="0"/>
          <w:marRight w:val="0"/>
          <w:marTop w:val="0"/>
          <w:marBottom w:val="0"/>
          <w:divBdr>
            <w:top w:val="none" w:sz="0" w:space="0" w:color="auto"/>
            <w:left w:val="none" w:sz="0" w:space="0" w:color="auto"/>
            <w:bottom w:val="none" w:sz="0" w:space="0" w:color="auto"/>
            <w:right w:val="none" w:sz="0" w:space="0" w:color="auto"/>
          </w:divBdr>
          <w:divsChild>
            <w:div w:id="691494137">
              <w:marLeft w:val="0"/>
              <w:marRight w:val="0"/>
              <w:marTop w:val="0"/>
              <w:marBottom w:val="0"/>
              <w:divBdr>
                <w:top w:val="none" w:sz="0" w:space="0" w:color="auto"/>
                <w:left w:val="none" w:sz="0" w:space="0" w:color="auto"/>
                <w:bottom w:val="none" w:sz="0" w:space="0" w:color="auto"/>
                <w:right w:val="none" w:sz="0" w:space="0" w:color="auto"/>
              </w:divBdr>
            </w:div>
            <w:div w:id="774835969">
              <w:marLeft w:val="0"/>
              <w:marRight w:val="0"/>
              <w:marTop w:val="0"/>
              <w:marBottom w:val="0"/>
              <w:divBdr>
                <w:top w:val="none" w:sz="0" w:space="0" w:color="auto"/>
                <w:left w:val="none" w:sz="0" w:space="0" w:color="auto"/>
                <w:bottom w:val="none" w:sz="0" w:space="0" w:color="auto"/>
                <w:right w:val="none" w:sz="0" w:space="0" w:color="auto"/>
              </w:divBdr>
            </w:div>
            <w:div w:id="1569613156">
              <w:marLeft w:val="0"/>
              <w:marRight w:val="0"/>
              <w:marTop w:val="0"/>
              <w:marBottom w:val="0"/>
              <w:divBdr>
                <w:top w:val="none" w:sz="0" w:space="0" w:color="auto"/>
                <w:left w:val="none" w:sz="0" w:space="0" w:color="auto"/>
                <w:bottom w:val="none" w:sz="0" w:space="0" w:color="auto"/>
                <w:right w:val="none" w:sz="0" w:space="0" w:color="auto"/>
              </w:divBdr>
            </w:div>
            <w:div w:id="1719747236">
              <w:marLeft w:val="0"/>
              <w:marRight w:val="0"/>
              <w:marTop w:val="0"/>
              <w:marBottom w:val="0"/>
              <w:divBdr>
                <w:top w:val="none" w:sz="0" w:space="0" w:color="auto"/>
                <w:left w:val="none" w:sz="0" w:space="0" w:color="auto"/>
                <w:bottom w:val="none" w:sz="0" w:space="0" w:color="auto"/>
                <w:right w:val="none" w:sz="0" w:space="0" w:color="auto"/>
              </w:divBdr>
            </w:div>
            <w:div w:id="1839422239">
              <w:marLeft w:val="0"/>
              <w:marRight w:val="0"/>
              <w:marTop w:val="0"/>
              <w:marBottom w:val="0"/>
              <w:divBdr>
                <w:top w:val="none" w:sz="0" w:space="0" w:color="auto"/>
                <w:left w:val="none" w:sz="0" w:space="0" w:color="auto"/>
                <w:bottom w:val="none" w:sz="0" w:space="0" w:color="auto"/>
                <w:right w:val="none" w:sz="0" w:space="0" w:color="auto"/>
              </w:divBdr>
            </w:div>
          </w:divsChild>
        </w:div>
        <w:div w:id="400712422">
          <w:marLeft w:val="0"/>
          <w:marRight w:val="0"/>
          <w:marTop w:val="0"/>
          <w:marBottom w:val="0"/>
          <w:divBdr>
            <w:top w:val="none" w:sz="0" w:space="0" w:color="auto"/>
            <w:left w:val="none" w:sz="0" w:space="0" w:color="auto"/>
            <w:bottom w:val="none" w:sz="0" w:space="0" w:color="auto"/>
            <w:right w:val="none" w:sz="0" w:space="0" w:color="auto"/>
          </w:divBdr>
          <w:divsChild>
            <w:div w:id="121732573">
              <w:marLeft w:val="0"/>
              <w:marRight w:val="0"/>
              <w:marTop w:val="0"/>
              <w:marBottom w:val="0"/>
              <w:divBdr>
                <w:top w:val="none" w:sz="0" w:space="0" w:color="auto"/>
                <w:left w:val="none" w:sz="0" w:space="0" w:color="auto"/>
                <w:bottom w:val="none" w:sz="0" w:space="0" w:color="auto"/>
                <w:right w:val="none" w:sz="0" w:space="0" w:color="auto"/>
              </w:divBdr>
            </w:div>
            <w:div w:id="846944112">
              <w:marLeft w:val="0"/>
              <w:marRight w:val="0"/>
              <w:marTop w:val="0"/>
              <w:marBottom w:val="0"/>
              <w:divBdr>
                <w:top w:val="none" w:sz="0" w:space="0" w:color="auto"/>
                <w:left w:val="none" w:sz="0" w:space="0" w:color="auto"/>
                <w:bottom w:val="none" w:sz="0" w:space="0" w:color="auto"/>
                <w:right w:val="none" w:sz="0" w:space="0" w:color="auto"/>
              </w:divBdr>
            </w:div>
          </w:divsChild>
        </w:div>
        <w:div w:id="410935464">
          <w:marLeft w:val="0"/>
          <w:marRight w:val="0"/>
          <w:marTop w:val="0"/>
          <w:marBottom w:val="0"/>
          <w:divBdr>
            <w:top w:val="none" w:sz="0" w:space="0" w:color="auto"/>
            <w:left w:val="none" w:sz="0" w:space="0" w:color="auto"/>
            <w:bottom w:val="none" w:sz="0" w:space="0" w:color="auto"/>
            <w:right w:val="none" w:sz="0" w:space="0" w:color="auto"/>
          </w:divBdr>
          <w:divsChild>
            <w:div w:id="1469545688">
              <w:marLeft w:val="0"/>
              <w:marRight w:val="0"/>
              <w:marTop w:val="0"/>
              <w:marBottom w:val="0"/>
              <w:divBdr>
                <w:top w:val="none" w:sz="0" w:space="0" w:color="auto"/>
                <w:left w:val="none" w:sz="0" w:space="0" w:color="auto"/>
                <w:bottom w:val="none" w:sz="0" w:space="0" w:color="auto"/>
                <w:right w:val="none" w:sz="0" w:space="0" w:color="auto"/>
              </w:divBdr>
            </w:div>
          </w:divsChild>
        </w:div>
        <w:div w:id="412774925">
          <w:marLeft w:val="0"/>
          <w:marRight w:val="0"/>
          <w:marTop w:val="0"/>
          <w:marBottom w:val="0"/>
          <w:divBdr>
            <w:top w:val="none" w:sz="0" w:space="0" w:color="auto"/>
            <w:left w:val="none" w:sz="0" w:space="0" w:color="auto"/>
            <w:bottom w:val="none" w:sz="0" w:space="0" w:color="auto"/>
            <w:right w:val="none" w:sz="0" w:space="0" w:color="auto"/>
          </w:divBdr>
          <w:divsChild>
            <w:div w:id="823667585">
              <w:marLeft w:val="0"/>
              <w:marRight w:val="0"/>
              <w:marTop w:val="0"/>
              <w:marBottom w:val="0"/>
              <w:divBdr>
                <w:top w:val="none" w:sz="0" w:space="0" w:color="auto"/>
                <w:left w:val="none" w:sz="0" w:space="0" w:color="auto"/>
                <w:bottom w:val="none" w:sz="0" w:space="0" w:color="auto"/>
                <w:right w:val="none" w:sz="0" w:space="0" w:color="auto"/>
              </w:divBdr>
            </w:div>
          </w:divsChild>
        </w:div>
        <w:div w:id="438179042">
          <w:marLeft w:val="0"/>
          <w:marRight w:val="0"/>
          <w:marTop w:val="0"/>
          <w:marBottom w:val="0"/>
          <w:divBdr>
            <w:top w:val="none" w:sz="0" w:space="0" w:color="auto"/>
            <w:left w:val="none" w:sz="0" w:space="0" w:color="auto"/>
            <w:bottom w:val="none" w:sz="0" w:space="0" w:color="auto"/>
            <w:right w:val="none" w:sz="0" w:space="0" w:color="auto"/>
          </w:divBdr>
          <w:divsChild>
            <w:div w:id="1998530473">
              <w:marLeft w:val="0"/>
              <w:marRight w:val="0"/>
              <w:marTop w:val="0"/>
              <w:marBottom w:val="0"/>
              <w:divBdr>
                <w:top w:val="none" w:sz="0" w:space="0" w:color="auto"/>
                <w:left w:val="none" w:sz="0" w:space="0" w:color="auto"/>
                <w:bottom w:val="none" w:sz="0" w:space="0" w:color="auto"/>
                <w:right w:val="none" w:sz="0" w:space="0" w:color="auto"/>
              </w:divBdr>
            </w:div>
          </w:divsChild>
        </w:div>
        <w:div w:id="489642274">
          <w:marLeft w:val="0"/>
          <w:marRight w:val="0"/>
          <w:marTop w:val="0"/>
          <w:marBottom w:val="0"/>
          <w:divBdr>
            <w:top w:val="none" w:sz="0" w:space="0" w:color="auto"/>
            <w:left w:val="none" w:sz="0" w:space="0" w:color="auto"/>
            <w:bottom w:val="none" w:sz="0" w:space="0" w:color="auto"/>
            <w:right w:val="none" w:sz="0" w:space="0" w:color="auto"/>
          </w:divBdr>
          <w:divsChild>
            <w:div w:id="1704556500">
              <w:marLeft w:val="0"/>
              <w:marRight w:val="0"/>
              <w:marTop w:val="0"/>
              <w:marBottom w:val="0"/>
              <w:divBdr>
                <w:top w:val="none" w:sz="0" w:space="0" w:color="auto"/>
                <w:left w:val="none" w:sz="0" w:space="0" w:color="auto"/>
                <w:bottom w:val="none" w:sz="0" w:space="0" w:color="auto"/>
                <w:right w:val="none" w:sz="0" w:space="0" w:color="auto"/>
              </w:divBdr>
            </w:div>
          </w:divsChild>
        </w:div>
        <w:div w:id="497112142">
          <w:marLeft w:val="0"/>
          <w:marRight w:val="0"/>
          <w:marTop w:val="0"/>
          <w:marBottom w:val="0"/>
          <w:divBdr>
            <w:top w:val="none" w:sz="0" w:space="0" w:color="auto"/>
            <w:left w:val="none" w:sz="0" w:space="0" w:color="auto"/>
            <w:bottom w:val="none" w:sz="0" w:space="0" w:color="auto"/>
            <w:right w:val="none" w:sz="0" w:space="0" w:color="auto"/>
          </w:divBdr>
          <w:divsChild>
            <w:div w:id="996030266">
              <w:marLeft w:val="0"/>
              <w:marRight w:val="0"/>
              <w:marTop w:val="0"/>
              <w:marBottom w:val="0"/>
              <w:divBdr>
                <w:top w:val="none" w:sz="0" w:space="0" w:color="auto"/>
                <w:left w:val="none" w:sz="0" w:space="0" w:color="auto"/>
                <w:bottom w:val="none" w:sz="0" w:space="0" w:color="auto"/>
                <w:right w:val="none" w:sz="0" w:space="0" w:color="auto"/>
              </w:divBdr>
            </w:div>
            <w:div w:id="1055006816">
              <w:marLeft w:val="0"/>
              <w:marRight w:val="0"/>
              <w:marTop w:val="0"/>
              <w:marBottom w:val="0"/>
              <w:divBdr>
                <w:top w:val="none" w:sz="0" w:space="0" w:color="auto"/>
                <w:left w:val="none" w:sz="0" w:space="0" w:color="auto"/>
                <w:bottom w:val="none" w:sz="0" w:space="0" w:color="auto"/>
                <w:right w:val="none" w:sz="0" w:space="0" w:color="auto"/>
              </w:divBdr>
            </w:div>
          </w:divsChild>
        </w:div>
        <w:div w:id="500660991">
          <w:marLeft w:val="0"/>
          <w:marRight w:val="0"/>
          <w:marTop w:val="0"/>
          <w:marBottom w:val="0"/>
          <w:divBdr>
            <w:top w:val="none" w:sz="0" w:space="0" w:color="auto"/>
            <w:left w:val="none" w:sz="0" w:space="0" w:color="auto"/>
            <w:bottom w:val="none" w:sz="0" w:space="0" w:color="auto"/>
            <w:right w:val="none" w:sz="0" w:space="0" w:color="auto"/>
          </w:divBdr>
          <w:divsChild>
            <w:div w:id="83766376">
              <w:marLeft w:val="0"/>
              <w:marRight w:val="0"/>
              <w:marTop w:val="0"/>
              <w:marBottom w:val="0"/>
              <w:divBdr>
                <w:top w:val="none" w:sz="0" w:space="0" w:color="auto"/>
                <w:left w:val="none" w:sz="0" w:space="0" w:color="auto"/>
                <w:bottom w:val="none" w:sz="0" w:space="0" w:color="auto"/>
                <w:right w:val="none" w:sz="0" w:space="0" w:color="auto"/>
              </w:divBdr>
            </w:div>
          </w:divsChild>
        </w:div>
        <w:div w:id="510879650">
          <w:marLeft w:val="0"/>
          <w:marRight w:val="0"/>
          <w:marTop w:val="0"/>
          <w:marBottom w:val="0"/>
          <w:divBdr>
            <w:top w:val="none" w:sz="0" w:space="0" w:color="auto"/>
            <w:left w:val="none" w:sz="0" w:space="0" w:color="auto"/>
            <w:bottom w:val="none" w:sz="0" w:space="0" w:color="auto"/>
            <w:right w:val="none" w:sz="0" w:space="0" w:color="auto"/>
          </w:divBdr>
          <w:divsChild>
            <w:div w:id="59404220">
              <w:marLeft w:val="0"/>
              <w:marRight w:val="0"/>
              <w:marTop w:val="0"/>
              <w:marBottom w:val="0"/>
              <w:divBdr>
                <w:top w:val="none" w:sz="0" w:space="0" w:color="auto"/>
                <w:left w:val="none" w:sz="0" w:space="0" w:color="auto"/>
                <w:bottom w:val="none" w:sz="0" w:space="0" w:color="auto"/>
                <w:right w:val="none" w:sz="0" w:space="0" w:color="auto"/>
              </w:divBdr>
            </w:div>
            <w:div w:id="201331138">
              <w:marLeft w:val="0"/>
              <w:marRight w:val="0"/>
              <w:marTop w:val="0"/>
              <w:marBottom w:val="0"/>
              <w:divBdr>
                <w:top w:val="none" w:sz="0" w:space="0" w:color="auto"/>
                <w:left w:val="none" w:sz="0" w:space="0" w:color="auto"/>
                <w:bottom w:val="none" w:sz="0" w:space="0" w:color="auto"/>
                <w:right w:val="none" w:sz="0" w:space="0" w:color="auto"/>
              </w:divBdr>
            </w:div>
            <w:div w:id="872115571">
              <w:marLeft w:val="0"/>
              <w:marRight w:val="0"/>
              <w:marTop w:val="0"/>
              <w:marBottom w:val="0"/>
              <w:divBdr>
                <w:top w:val="none" w:sz="0" w:space="0" w:color="auto"/>
                <w:left w:val="none" w:sz="0" w:space="0" w:color="auto"/>
                <w:bottom w:val="none" w:sz="0" w:space="0" w:color="auto"/>
                <w:right w:val="none" w:sz="0" w:space="0" w:color="auto"/>
              </w:divBdr>
            </w:div>
            <w:div w:id="1067991251">
              <w:marLeft w:val="0"/>
              <w:marRight w:val="0"/>
              <w:marTop w:val="0"/>
              <w:marBottom w:val="0"/>
              <w:divBdr>
                <w:top w:val="none" w:sz="0" w:space="0" w:color="auto"/>
                <w:left w:val="none" w:sz="0" w:space="0" w:color="auto"/>
                <w:bottom w:val="none" w:sz="0" w:space="0" w:color="auto"/>
                <w:right w:val="none" w:sz="0" w:space="0" w:color="auto"/>
              </w:divBdr>
            </w:div>
            <w:div w:id="1919561555">
              <w:marLeft w:val="0"/>
              <w:marRight w:val="0"/>
              <w:marTop w:val="0"/>
              <w:marBottom w:val="0"/>
              <w:divBdr>
                <w:top w:val="none" w:sz="0" w:space="0" w:color="auto"/>
                <w:left w:val="none" w:sz="0" w:space="0" w:color="auto"/>
                <w:bottom w:val="none" w:sz="0" w:space="0" w:color="auto"/>
                <w:right w:val="none" w:sz="0" w:space="0" w:color="auto"/>
              </w:divBdr>
            </w:div>
          </w:divsChild>
        </w:div>
        <w:div w:id="555237968">
          <w:marLeft w:val="0"/>
          <w:marRight w:val="0"/>
          <w:marTop w:val="0"/>
          <w:marBottom w:val="0"/>
          <w:divBdr>
            <w:top w:val="none" w:sz="0" w:space="0" w:color="auto"/>
            <w:left w:val="none" w:sz="0" w:space="0" w:color="auto"/>
            <w:bottom w:val="none" w:sz="0" w:space="0" w:color="auto"/>
            <w:right w:val="none" w:sz="0" w:space="0" w:color="auto"/>
          </w:divBdr>
          <w:divsChild>
            <w:div w:id="804203050">
              <w:marLeft w:val="0"/>
              <w:marRight w:val="0"/>
              <w:marTop w:val="0"/>
              <w:marBottom w:val="0"/>
              <w:divBdr>
                <w:top w:val="none" w:sz="0" w:space="0" w:color="auto"/>
                <w:left w:val="none" w:sz="0" w:space="0" w:color="auto"/>
                <w:bottom w:val="none" w:sz="0" w:space="0" w:color="auto"/>
                <w:right w:val="none" w:sz="0" w:space="0" w:color="auto"/>
              </w:divBdr>
            </w:div>
          </w:divsChild>
        </w:div>
        <w:div w:id="584804894">
          <w:marLeft w:val="0"/>
          <w:marRight w:val="0"/>
          <w:marTop w:val="0"/>
          <w:marBottom w:val="0"/>
          <w:divBdr>
            <w:top w:val="none" w:sz="0" w:space="0" w:color="auto"/>
            <w:left w:val="none" w:sz="0" w:space="0" w:color="auto"/>
            <w:bottom w:val="none" w:sz="0" w:space="0" w:color="auto"/>
            <w:right w:val="none" w:sz="0" w:space="0" w:color="auto"/>
          </w:divBdr>
          <w:divsChild>
            <w:div w:id="1277106042">
              <w:marLeft w:val="0"/>
              <w:marRight w:val="0"/>
              <w:marTop w:val="0"/>
              <w:marBottom w:val="0"/>
              <w:divBdr>
                <w:top w:val="none" w:sz="0" w:space="0" w:color="auto"/>
                <w:left w:val="none" w:sz="0" w:space="0" w:color="auto"/>
                <w:bottom w:val="none" w:sz="0" w:space="0" w:color="auto"/>
                <w:right w:val="none" w:sz="0" w:space="0" w:color="auto"/>
              </w:divBdr>
            </w:div>
          </w:divsChild>
        </w:div>
        <w:div w:id="601956271">
          <w:marLeft w:val="0"/>
          <w:marRight w:val="0"/>
          <w:marTop w:val="0"/>
          <w:marBottom w:val="0"/>
          <w:divBdr>
            <w:top w:val="none" w:sz="0" w:space="0" w:color="auto"/>
            <w:left w:val="none" w:sz="0" w:space="0" w:color="auto"/>
            <w:bottom w:val="none" w:sz="0" w:space="0" w:color="auto"/>
            <w:right w:val="none" w:sz="0" w:space="0" w:color="auto"/>
          </w:divBdr>
          <w:divsChild>
            <w:div w:id="291400666">
              <w:marLeft w:val="0"/>
              <w:marRight w:val="0"/>
              <w:marTop w:val="0"/>
              <w:marBottom w:val="0"/>
              <w:divBdr>
                <w:top w:val="none" w:sz="0" w:space="0" w:color="auto"/>
                <w:left w:val="none" w:sz="0" w:space="0" w:color="auto"/>
                <w:bottom w:val="none" w:sz="0" w:space="0" w:color="auto"/>
                <w:right w:val="none" w:sz="0" w:space="0" w:color="auto"/>
              </w:divBdr>
            </w:div>
          </w:divsChild>
        </w:div>
        <w:div w:id="632254551">
          <w:marLeft w:val="0"/>
          <w:marRight w:val="0"/>
          <w:marTop w:val="0"/>
          <w:marBottom w:val="0"/>
          <w:divBdr>
            <w:top w:val="none" w:sz="0" w:space="0" w:color="auto"/>
            <w:left w:val="none" w:sz="0" w:space="0" w:color="auto"/>
            <w:bottom w:val="none" w:sz="0" w:space="0" w:color="auto"/>
            <w:right w:val="none" w:sz="0" w:space="0" w:color="auto"/>
          </w:divBdr>
          <w:divsChild>
            <w:div w:id="342558274">
              <w:marLeft w:val="0"/>
              <w:marRight w:val="0"/>
              <w:marTop w:val="0"/>
              <w:marBottom w:val="0"/>
              <w:divBdr>
                <w:top w:val="none" w:sz="0" w:space="0" w:color="auto"/>
                <w:left w:val="none" w:sz="0" w:space="0" w:color="auto"/>
                <w:bottom w:val="none" w:sz="0" w:space="0" w:color="auto"/>
                <w:right w:val="none" w:sz="0" w:space="0" w:color="auto"/>
              </w:divBdr>
            </w:div>
          </w:divsChild>
        </w:div>
        <w:div w:id="663094846">
          <w:marLeft w:val="0"/>
          <w:marRight w:val="0"/>
          <w:marTop w:val="0"/>
          <w:marBottom w:val="0"/>
          <w:divBdr>
            <w:top w:val="none" w:sz="0" w:space="0" w:color="auto"/>
            <w:left w:val="none" w:sz="0" w:space="0" w:color="auto"/>
            <w:bottom w:val="none" w:sz="0" w:space="0" w:color="auto"/>
            <w:right w:val="none" w:sz="0" w:space="0" w:color="auto"/>
          </w:divBdr>
          <w:divsChild>
            <w:div w:id="1824152140">
              <w:marLeft w:val="0"/>
              <w:marRight w:val="0"/>
              <w:marTop w:val="0"/>
              <w:marBottom w:val="0"/>
              <w:divBdr>
                <w:top w:val="none" w:sz="0" w:space="0" w:color="auto"/>
                <w:left w:val="none" w:sz="0" w:space="0" w:color="auto"/>
                <w:bottom w:val="none" w:sz="0" w:space="0" w:color="auto"/>
                <w:right w:val="none" w:sz="0" w:space="0" w:color="auto"/>
              </w:divBdr>
            </w:div>
          </w:divsChild>
        </w:div>
        <w:div w:id="684553204">
          <w:marLeft w:val="0"/>
          <w:marRight w:val="0"/>
          <w:marTop w:val="0"/>
          <w:marBottom w:val="0"/>
          <w:divBdr>
            <w:top w:val="none" w:sz="0" w:space="0" w:color="auto"/>
            <w:left w:val="none" w:sz="0" w:space="0" w:color="auto"/>
            <w:bottom w:val="none" w:sz="0" w:space="0" w:color="auto"/>
            <w:right w:val="none" w:sz="0" w:space="0" w:color="auto"/>
          </w:divBdr>
          <w:divsChild>
            <w:div w:id="166791501">
              <w:marLeft w:val="0"/>
              <w:marRight w:val="0"/>
              <w:marTop w:val="0"/>
              <w:marBottom w:val="0"/>
              <w:divBdr>
                <w:top w:val="none" w:sz="0" w:space="0" w:color="auto"/>
                <w:left w:val="none" w:sz="0" w:space="0" w:color="auto"/>
                <w:bottom w:val="none" w:sz="0" w:space="0" w:color="auto"/>
                <w:right w:val="none" w:sz="0" w:space="0" w:color="auto"/>
              </w:divBdr>
            </w:div>
            <w:div w:id="291862386">
              <w:marLeft w:val="0"/>
              <w:marRight w:val="0"/>
              <w:marTop w:val="0"/>
              <w:marBottom w:val="0"/>
              <w:divBdr>
                <w:top w:val="none" w:sz="0" w:space="0" w:color="auto"/>
                <w:left w:val="none" w:sz="0" w:space="0" w:color="auto"/>
                <w:bottom w:val="none" w:sz="0" w:space="0" w:color="auto"/>
                <w:right w:val="none" w:sz="0" w:space="0" w:color="auto"/>
              </w:divBdr>
            </w:div>
            <w:div w:id="1454792071">
              <w:marLeft w:val="0"/>
              <w:marRight w:val="0"/>
              <w:marTop w:val="0"/>
              <w:marBottom w:val="0"/>
              <w:divBdr>
                <w:top w:val="none" w:sz="0" w:space="0" w:color="auto"/>
                <w:left w:val="none" w:sz="0" w:space="0" w:color="auto"/>
                <w:bottom w:val="none" w:sz="0" w:space="0" w:color="auto"/>
                <w:right w:val="none" w:sz="0" w:space="0" w:color="auto"/>
              </w:divBdr>
            </w:div>
            <w:div w:id="1542591369">
              <w:marLeft w:val="0"/>
              <w:marRight w:val="0"/>
              <w:marTop w:val="0"/>
              <w:marBottom w:val="0"/>
              <w:divBdr>
                <w:top w:val="none" w:sz="0" w:space="0" w:color="auto"/>
                <w:left w:val="none" w:sz="0" w:space="0" w:color="auto"/>
                <w:bottom w:val="none" w:sz="0" w:space="0" w:color="auto"/>
                <w:right w:val="none" w:sz="0" w:space="0" w:color="auto"/>
              </w:divBdr>
            </w:div>
            <w:div w:id="1822847718">
              <w:marLeft w:val="0"/>
              <w:marRight w:val="0"/>
              <w:marTop w:val="0"/>
              <w:marBottom w:val="0"/>
              <w:divBdr>
                <w:top w:val="none" w:sz="0" w:space="0" w:color="auto"/>
                <w:left w:val="none" w:sz="0" w:space="0" w:color="auto"/>
                <w:bottom w:val="none" w:sz="0" w:space="0" w:color="auto"/>
                <w:right w:val="none" w:sz="0" w:space="0" w:color="auto"/>
              </w:divBdr>
            </w:div>
          </w:divsChild>
        </w:div>
        <w:div w:id="721056901">
          <w:marLeft w:val="0"/>
          <w:marRight w:val="0"/>
          <w:marTop w:val="0"/>
          <w:marBottom w:val="0"/>
          <w:divBdr>
            <w:top w:val="none" w:sz="0" w:space="0" w:color="auto"/>
            <w:left w:val="none" w:sz="0" w:space="0" w:color="auto"/>
            <w:bottom w:val="none" w:sz="0" w:space="0" w:color="auto"/>
            <w:right w:val="none" w:sz="0" w:space="0" w:color="auto"/>
          </w:divBdr>
          <w:divsChild>
            <w:div w:id="1344626095">
              <w:marLeft w:val="0"/>
              <w:marRight w:val="0"/>
              <w:marTop w:val="0"/>
              <w:marBottom w:val="0"/>
              <w:divBdr>
                <w:top w:val="none" w:sz="0" w:space="0" w:color="auto"/>
                <w:left w:val="none" w:sz="0" w:space="0" w:color="auto"/>
                <w:bottom w:val="none" w:sz="0" w:space="0" w:color="auto"/>
                <w:right w:val="none" w:sz="0" w:space="0" w:color="auto"/>
              </w:divBdr>
            </w:div>
          </w:divsChild>
        </w:div>
        <w:div w:id="770855137">
          <w:marLeft w:val="0"/>
          <w:marRight w:val="0"/>
          <w:marTop w:val="0"/>
          <w:marBottom w:val="0"/>
          <w:divBdr>
            <w:top w:val="none" w:sz="0" w:space="0" w:color="auto"/>
            <w:left w:val="none" w:sz="0" w:space="0" w:color="auto"/>
            <w:bottom w:val="none" w:sz="0" w:space="0" w:color="auto"/>
            <w:right w:val="none" w:sz="0" w:space="0" w:color="auto"/>
          </w:divBdr>
          <w:divsChild>
            <w:div w:id="49888587">
              <w:marLeft w:val="0"/>
              <w:marRight w:val="0"/>
              <w:marTop w:val="0"/>
              <w:marBottom w:val="0"/>
              <w:divBdr>
                <w:top w:val="none" w:sz="0" w:space="0" w:color="auto"/>
                <w:left w:val="none" w:sz="0" w:space="0" w:color="auto"/>
                <w:bottom w:val="none" w:sz="0" w:space="0" w:color="auto"/>
                <w:right w:val="none" w:sz="0" w:space="0" w:color="auto"/>
              </w:divBdr>
            </w:div>
            <w:div w:id="276916643">
              <w:marLeft w:val="0"/>
              <w:marRight w:val="0"/>
              <w:marTop w:val="0"/>
              <w:marBottom w:val="0"/>
              <w:divBdr>
                <w:top w:val="none" w:sz="0" w:space="0" w:color="auto"/>
                <w:left w:val="none" w:sz="0" w:space="0" w:color="auto"/>
                <w:bottom w:val="none" w:sz="0" w:space="0" w:color="auto"/>
                <w:right w:val="none" w:sz="0" w:space="0" w:color="auto"/>
              </w:divBdr>
            </w:div>
            <w:div w:id="395513878">
              <w:marLeft w:val="0"/>
              <w:marRight w:val="0"/>
              <w:marTop w:val="0"/>
              <w:marBottom w:val="0"/>
              <w:divBdr>
                <w:top w:val="none" w:sz="0" w:space="0" w:color="auto"/>
                <w:left w:val="none" w:sz="0" w:space="0" w:color="auto"/>
                <w:bottom w:val="none" w:sz="0" w:space="0" w:color="auto"/>
                <w:right w:val="none" w:sz="0" w:space="0" w:color="auto"/>
              </w:divBdr>
            </w:div>
            <w:div w:id="434597798">
              <w:marLeft w:val="0"/>
              <w:marRight w:val="0"/>
              <w:marTop w:val="0"/>
              <w:marBottom w:val="0"/>
              <w:divBdr>
                <w:top w:val="none" w:sz="0" w:space="0" w:color="auto"/>
                <w:left w:val="none" w:sz="0" w:space="0" w:color="auto"/>
                <w:bottom w:val="none" w:sz="0" w:space="0" w:color="auto"/>
                <w:right w:val="none" w:sz="0" w:space="0" w:color="auto"/>
              </w:divBdr>
            </w:div>
            <w:div w:id="814102308">
              <w:marLeft w:val="0"/>
              <w:marRight w:val="0"/>
              <w:marTop w:val="0"/>
              <w:marBottom w:val="0"/>
              <w:divBdr>
                <w:top w:val="none" w:sz="0" w:space="0" w:color="auto"/>
                <w:left w:val="none" w:sz="0" w:space="0" w:color="auto"/>
                <w:bottom w:val="none" w:sz="0" w:space="0" w:color="auto"/>
                <w:right w:val="none" w:sz="0" w:space="0" w:color="auto"/>
              </w:divBdr>
            </w:div>
            <w:div w:id="1152985611">
              <w:marLeft w:val="0"/>
              <w:marRight w:val="0"/>
              <w:marTop w:val="0"/>
              <w:marBottom w:val="0"/>
              <w:divBdr>
                <w:top w:val="none" w:sz="0" w:space="0" w:color="auto"/>
                <w:left w:val="none" w:sz="0" w:space="0" w:color="auto"/>
                <w:bottom w:val="none" w:sz="0" w:space="0" w:color="auto"/>
                <w:right w:val="none" w:sz="0" w:space="0" w:color="auto"/>
              </w:divBdr>
            </w:div>
            <w:div w:id="1321999609">
              <w:marLeft w:val="0"/>
              <w:marRight w:val="0"/>
              <w:marTop w:val="0"/>
              <w:marBottom w:val="0"/>
              <w:divBdr>
                <w:top w:val="none" w:sz="0" w:space="0" w:color="auto"/>
                <w:left w:val="none" w:sz="0" w:space="0" w:color="auto"/>
                <w:bottom w:val="none" w:sz="0" w:space="0" w:color="auto"/>
                <w:right w:val="none" w:sz="0" w:space="0" w:color="auto"/>
              </w:divBdr>
            </w:div>
            <w:div w:id="1596085786">
              <w:marLeft w:val="0"/>
              <w:marRight w:val="0"/>
              <w:marTop w:val="0"/>
              <w:marBottom w:val="0"/>
              <w:divBdr>
                <w:top w:val="none" w:sz="0" w:space="0" w:color="auto"/>
                <w:left w:val="none" w:sz="0" w:space="0" w:color="auto"/>
                <w:bottom w:val="none" w:sz="0" w:space="0" w:color="auto"/>
                <w:right w:val="none" w:sz="0" w:space="0" w:color="auto"/>
              </w:divBdr>
            </w:div>
            <w:div w:id="1668289463">
              <w:marLeft w:val="0"/>
              <w:marRight w:val="0"/>
              <w:marTop w:val="0"/>
              <w:marBottom w:val="0"/>
              <w:divBdr>
                <w:top w:val="none" w:sz="0" w:space="0" w:color="auto"/>
                <w:left w:val="none" w:sz="0" w:space="0" w:color="auto"/>
                <w:bottom w:val="none" w:sz="0" w:space="0" w:color="auto"/>
                <w:right w:val="none" w:sz="0" w:space="0" w:color="auto"/>
              </w:divBdr>
            </w:div>
            <w:div w:id="1864780542">
              <w:marLeft w:val="0"/>
              <w:marRight w:val="0"/>
              <w:marTop w:val="0"/>
              <w:marBottom w:val="0"/>
              <w:divBdr>
                <w:top w:val="none" w:sz="0" w:space="0" w:color="auto"/>
                <w:left w:val="none" w:sz="0" w:space="0" w:color="auto"/>
                <w:bottom w:val="none" w:sz="0" w:space="0" w:color="auto"/>
                <w:right w:val="none" w:sz="0" w:space="0" w:color="auto"/>
              </w:divBdr>
            </w:div>
            <w:div w:id="1924104000">
              <w:marLeft w:val="0"/>
              <w:marRight w:val="0"/>
              <w:marTop w:val="0"/>
              <w:marBottom w:val="0"/>
              <w:divBdr>
                <w:top w:val="none" w:sz="0" w:space="0" w:color="auto"/>
                <w:left w:val="none" w:sz="0" w:space="0" w:color="auto"/>
                <w:bottom w:val="none" w:sz="0" w:space="0" w:color="auto"/>
                <w:right w:val="none" w:sz="0" w:space="0" w:color="auto"/>
              </w:divBdr>
            </w:div>
          </w:divsChild>
        </w:div>
        <w:div w:id="815536528">
          <w:marLeft w:val="0"/>
          <w:marRight w:val="0"/>
          <w:marTop w:val="0"/>
          <w:marBottom w:val="0"/>
          <w:divBdr>
            <w:top w:val="none" w:sz="0" w:space="0" w:color="auto"/>
            <w:left w:val="none" w:sz="0" w:space="0" w:color="auto"/>
            <w:bottom w:val="none" w:sz="0" w:space="0" w:color="auto"/>
            <w:right w:val="none" w:sz="0" w:space="0" w:color="auto"/>
          </w:divBdr>
          <w:divsChild>
            <w:div w:id="139730253">
              <w:marLeft w:val="0"/>
              <w:marRight w:val="0"/>
              <w:marTop w:val="0"/>
              <w:marBottom w:val="0"/>
              <w:divBdr>
                <w:top w:val="none" w:sz="0" w:space="0" w:color="auto"/>
                <w:left w:val="none" w:sz="0" w:space="0" w:color="auto"/>
                <w:bottom w:val="none" w:sz="0" w:space="0" w:color="auto"/>
                <w:right w:val="none" w:sz="0" w:space="0" w:color="auto"/>
              </w:divBdr>
            </w:div>
          </w:divsChild>
        </w:div>
        <w:div w:id="862938643">
          <w:marLeft w:val="0"/>
          <w:marRight w:val="0"/>
          <w:marTop w:val="0"/>
          <w:marBottom w:val="0"/>
          <w:divBdr>
            <w:top w:val="none" w:sz="0" w:space="0" w:color="auto"/>
            <w:left w:val="none" w:sz="0" w:space="0" w:color="auto"/>
            <w:bottom w:val="none" w:sz="0" w:space="0" w:color="auto"/>
            <w:right w:val="none" w:sz="0" w:space="0" w:color="auto"/>
          </w:divBdr>
          <w:divsChild>
            <w:div w:id="1608393094">
              <w:marLeft w:val="0"/>
              <w:marRight w:val="0"/>
              <w:marTop w:val="0"/>
              <w:marBottom w:val="0"/>
              <w:divBdr>
                <w:top w:val="none" w:sz="0" w:space="0" w:color="auto"/>
                <w:left w:val="none" w:sz="0" w:space="0" w:color="auto"/>
                <w:bottom w:val="none" w:sz="0" w:space="0" w:color="auto"/>
                <w:right w:val="none" w:sz="0" w:space="0" w:color="auto"/>
              </w:divBdr>
            </w:div>
          </w:divsChild>
        </w:div>
        <w:div w:id="902905445">
          <w:marLeft w:val="0"/>
          <w:marRight w:val="0"/>
          <w:marTop w:val="0"/>
          <w:marBottom w:val="0"/>
          <w:divBdr>
            <w:top w:val="none" w:sz="0" w:space="0" w:color="auto"/>
            <w:left w:val="none" w:sz="0" w:space="0" w:color="auto"/>
            <w:bottom w:val="none" w:sz="0" w:space="0" w:color="auto"/>
            <w:right w:val="none" w:sz="0" w:space="0" w:color="auto"/>
          </w:divBdr>
          <w:divsChild>
            <w:div w:id="564682406">
              <w:marLeft w:val="0"/>
              <w:marRight w:val="0"/>
              <w:marTop w:val="0"/>
              <w:marBottom w:val="0"/>
              <w:divBdr>
                <w:top w:val="none" w:sz="0" w:space="0" w:color="auto"/>
                <w:left w:val="none" w:sz="0" w:space="0" w:color="auto"/>
                <w:bottom w:val="none" w:sz="0" w:space="0" w:color="auto"/>
                <w:right w:val="none" w:sz="0" w:space="0" w:color="auto"/>
              </w:divBdr>
            </w:div>
          </w:divsChild>
        </w:div>
        <w:div w:id="919023589">
          <w:marLeft w:val="0"/>
          <w:marRight w:val="0"/>
          <w:marTop w:val="0"/>
          <w:marBottom w:val="0"/>
          <w:divBdr>
            <w:top w:val="none" w:sz="0" w:space="0" w:color="auto"/>
            <w:left w:val="none" w:sz="0" w:space="0" w:color="auto"/>
            <w:bottom w:val="none" w:sz="0" w:space="0" w:color="auto"/>
            <w:right w:val="none" w:sz="0" w:space="0" w:color="auto"/>
          </w:divBdr>
          <w:divsChild>
            <w:div w:id="601036816">
              <w:marLeft w:val="0"/>
              <w:marRight w:val="0"/>
              <w:marTop w:val="0"/>
              <w:marBottom w:val="0"/>
              <w:divBdr>
                <w:top w:val="none" w:sz="0" w:space="0" w:color="auto"/>
                <w:left w:val="none" w:sz="0" w:space="0" w:color="auto"/>
                <w:bottom w:val="none" w:sz="0" w:space="0" w:color="auto"/>
                <w:right w:val="none" w:sz="0" w:space="0" w:color="auto"/>
              </w:divBdr>
            </w:div>
          </w:divsChild>
        </w:div>
        <w:div w:id="975372445">
          <w:marLeft w:val="0"/>
          <w:marRight w:val="0"/>
          <w:marTop w:val="0"/>
          <w:marBottom w:val="0"/>
          <w:divBdr>
            <w:top w:val="none" w:sz="0" w:space="0" w:color="auto"/>
            <w:left w:val="none" w:sz="0" w:space="0" w:color="auto"/>
            <w:bottom w:val="none" w:sz="0" w:space="0" w:color="auto"/>
            <w:right w:val="none" w:sz="0" w:space="0" w:color="auto"/>
          </w:divBdr>
          <w:divsChild>
            <w:div w:id="9911689">
              <w:marLeft w:val="0"/>
              <w:marRight w:val="0"/>
              <w:marTop w:val="0"/>
              <w:marBottom w:val="0"/>
              <w:divBdr>
                <w:top w:val="none" w:sz="0" w:space="0" w:color="auto"/>
                <w:left w:val="none" w:sz="0" w:space="0" w:color="auto"/>
                <w:bottom w:val="none" w:sz="0" w:space="0" w:color="auto"/>
                <w:right w:val="none" w:sz="0" w:space="0" w:color="auto"/>
              </w:divBdr>
            </w:div>
          </w:divsChild>
        </w:div>
        <w:div w:id="1027178079">
          <w:marLeft w:val="0"/>
          <w:marRight w:val="0"/>
          <w:marTop w:val="0"/>
          <w:marBottom w:val="0"/>
          <w:divBdr>
            <w:top w:val="none" w:sz="0" w:space="0" w:color="auto"/>
            <w:left w:val="none" w:sz="0" w:space="0" w:color="auto"/>
            <w:bottom w:val="none" w:sz="0" w:space="0" w:color="auto"/>
            <w:right w:val="none" w:sz="0" w:space="0" w:color="auto"/>
          </w:divBdr>
          <w:divsChild>
            <w:div w:id="604583408">
              <w:marLeft w:val="0"/>
              <w:marRight w:val="0"/>
              <w:marTop w:val="0"/>
              <w:marBottom w:val="0"/>
              <w:divBdr>
                <w:top w:val="none" w:sz="0" w:space="0" w:color="auto"/>
                <w:left w:val="none" w:sz="0" w:space="0" w:color="auto"/>
                <w:bottom w:val="none" w:sz="0" w:space="0" w:color="auto"/>
                <w:right w:val="none" w:sz="0" w:space="0" w:color="auto"/>
              </w:divBdr>
            </w:div>
            <w:div w:id="1174034250">
              <w:marLeft w:val="0"/>
              <w:marRight w:val="0"/>
              <w:marTop w:val="0"/>
              <w:marBottom w:val="0"/>
              <w:divBdr>
                <w:top w:val="none" w:sz="0" w:space="0" w:color="auto"/>
                <w:left w:val="none" w:sz="0" w:space="0" w:color="auto"/>
                <w:bottom w:val="none" w:sz="0" w:space="0" w:color="auto"/>
                <w:right w:val="none" w:sz="0" w:space="0" w:color="auto"/>
              </w:divBdr>
            </w:div>
            <w:div w:id="1278945017">
              <w:marLeft w:val="0"/>
              <w:marRight w:val="0"/>
              <w:marTop w:val="0"/>
              <w:marBottom w:val="0"/>
              <w:divBdr>
                <w:top w:val="none" w:sz="0" w:space="0" w:color="auto"/>
                <w:left w:val="none" w:sz="0" w:space="0" w:color="auto"/>
                <w:bottom w:val="none" w:sz="0" w:space="0" w:color="auto"/>
                <w:right w:val="none" w:sz="0" w:space="0" w:color="auto"/>
              </w:divBdr>
            </w:div>
            <w:div w:id="1405490896">
              <w:marLeft w:val="0"/>
              <w:marRight w:val="0"/>
              <w:marTop w:val="0"/>
              <w:marBottom w:val="0"/>
              <w:divBdr>
                <w:top w:val="none" w:sz="0" w:space="0" w:color="auto"/>
                <w:left w:val="none" w:sz="0" w:space="0" w:color="auto"/>
                <w:bottom w:val="none" w:sz="0" w:space="0" w:color="auto"/>
                <w:right w:val="none" w:sz="0" w:space="0" w:color="auto"/>
              </w:divBdr>
            </w:div>
            <w:div w:id="1626040833">
              <w:marLeft w:val="0"/>
              <w:marRight w:val="0"/>
              <w:marTop w:val="0"/>
              <w:marBottom w:val="0"/>
              <w:divBdr>
                <w:top w:val="none" w:sz="0" w:space="0" w:color="auto"/>
                <w:left w:val="none" w:sz="0" w:space="0" w:color="auto"/>
                <w:bottom w:val="none" w:sz="0" w:space="0" w:color="auto"/>
                <w:right w:val="none" w:sz="0" w:space="0" w:color="auto"/>
              </w:divBdr>
            </w:div>
          </w:divsChild>
        </w:div>
        <w:div w:id="1072238380">
          <w:marLeft w:val="0"/>
          <w:marRight w:val="0"/>
          <w:marTop w:val="0"/>
          <w:marBottom w:val="0"/>
          <w:divBdr>
            <w:top w:val="none" w:sz="0" w:space="0" w:color="auto"/>
            <w:left w:val="none" w:sz="0" w:space="0" w:color="auto"/>
            <w:bottom w:val="none" w:sz="0" w:space="0" w:color="auto"/>
            <w:right w:val="none" w:sz="0" w:space="0" w:color="auto"/>
          </w:divBdr>
          <w:divsChild>
            <w:div w:id="261302233">
              <w:marLeft w:val="0"/>
              <w:marRight w:val="0"/>
              <w:marTop w:val="0"/>
              <w:marBottom w:val="0"/>
              <w:divBdr>
                <w:top w:val="none" w:sz="0" w:space="0" w:color="auto"/>
                <w:left w:val="none" w:sz="0" w:space="0" w:color="auto"/>
                <w:bottom w:val="none" w:sz="0" w:space="0" w:color="auto"/>
                <w:right w:val="none" w:sz="0" w:space="0" w:color="auto"/>
              </w:divBdr>
            </w:div>
            <w:div w:id="948899012">
              <w:marLeft w:val="0"/>
              <w:marRight w:val="0"/>
              <w:marTop w:val="0"/>
              <w:marBottom w:val="0"/>
              <w:divBdr>
                <w:top w:val="none" w:sz="0" w:space="0" w:color="auto"/>
                <w:left w:val="none" w:sz="0" w:space="0" w:color="auto"/>
                <w:bottom w:val="none" w:sz="0" w:space="0" w:color="auto"/>
                <w:right w:val="none" w:sz="0" w:space="0" w:color="auto"/>
              </w:divBdr>
            </w:div>
            <w:div w:id="1328903978">
              <w:marLeft w:val="0"/>
              <w:marRight w:val="0"/>
              <w:marTop w:val="0"/>
              <w:marBottom w:val="0"/>
              <w:divBdr>
                <w:top w:val="none" w:sz="0" w:space="0" w:color="auto"/>
                <w:left w:val="none" w:sz="0" w:space="0" w:color="auto"/>
                <w:bottom w:val="none" w:sz="0" w:space="0" w:color="auto"/>
                <w:right w:val="none" w:sz="0" w:space="0" w:color="auto"/>
              </w:divBdr>
            </w:div>
            <w:div w:id="1336885368">
              <w:marLeft w:val="0"/>
              <w:marRight w:val="0"/>
              <w:marTop w:val="0"/>
              <w:marBottom w:val="0"/>
              <w:divBdr>
                <w:top w:val="none" w:sz="0" w:space="0" w:color="auto"/>
                <w:left w:val="none" w:sz="0" w:space="0" w:color="auto"/>
                <w:bottom w:val="none" w:sz="0" w:space="0" w:color="auto"/>
                <w:right w:val="none" w:sz="0" w:space="0" w:color="auto"/>
              </w:divBdr>
            </w:div>
            <w:div w:id="1408266221">
              <w:marLeft w:val="0"/>
              <w:marRight w:val="0"/>
              <w:marTop w:val="0"/>
              <w:marBottom w:val="0"/>
              <w:divBdr>
                <w:top w:val="none" w:sz="0" w:space="0" w:color="auto"/>
                <w:left w:val="none" w:sz="0" w:space="0" w:color="auto"/>
                <w:bottom w:val="none" w:sz="0" w:space="0" w:color="auto"/>
                <w:right w:val="none" w:sz="0" w:space="0" w:color="auto"/>
              </w:divBdr>
            </w:div>
            <w:div w:id="1712073924">
              <w:marLeft w:val="0"/>
              <w:marRight w:val="0"/>
              <w:marTop w:val="0"/>
              <w:marBottom w:val="0"/>
              <w:divBdr>
                <w:top w:val="none" w:sz="0" w:space="0" w:color="auto"/>
                <w:left w:val="none" w:sz="0" w:space="0" w:color="auto"/>
                <w:bottom w:val="none" w:sz="0" w:space="0" w:color="auto"/>
                <w:right w:val="none" w:sz="0" w:space="0" w:color="auto"/>
              </w:divBdr>
            </w:div>
            <w:div w:id="2075467776">
              <w:marLeft w:val="0"/>
              <w:marRight w:val="0"/>
              <w:marTop w:val="0"/>
              <w:marBottom w:val="0"/>
              <w:divBdr>
                <w:top w:val="none" w:sz="0" w:space="0" w:color="auto"/>
                <w:left w:val="none" w:sz="0" w:space="0" w:color="auto"/>
                <w:bottom w:val="none" w:sz="0" w:space="0" w:color="auto"/>
                <w:right w:val="none" w:sz="0" w:space="0" w:color="auto"/>
              </w:divBdr>
            </w:div>
          </w:divsChild>
        </w:div>
        <w:div w:id="1236474097">
          <w:marLeft w:val="0"/>
          <w:marRight w:val="0"/>
          <w:marTop w:val="0"/>
          <w:marBottom w:val="0"/>
          <w:divBdr>
            <w:top w:val="none" w:sz="0" w:space="0" w:color="auto"/>
            <w:left w:val="none" w:sz="0" w:space="0" w:color="auto"/>
            <w:bottom w:val="none" w:sz="0" w:space="0" w:color="auto"/>
            <w:right w:val="none" w:sz="0" w:space="0" w:color="auto"/>
          </w:divBdr>
          <w:divsChild>
            <w:div w:id="647051006">
              <w:marLeft w:val="0"/>
              <w:marRight w:val="0"/>
              <w:marTop w:val="0"/>
              <w:marBottom w:val="0"/>
              <w:divBdr>
                <w:top w:val="none" w:sz="0" w:space="0" w:color="auto"/>
                <w:left w:val="none" w:sz="0" w:space="0" w:color="auto"/>
                <w:bottom w:val="none" w:sz="0" w:space="0" w:color="auto"/>
                <w:right w:val="none" w:sz="0" w:space="0" w:color="auto"/>
              </w:divBdr>
            </w:div>
          </w:divsChild>
        </w:div>
        <w:div w:id="1254509706">
          <w:marLeft w:val="0"/>
          <w:marRight w:val="0"/>
          <w:marTop w:val="0"/>
          <w:marBottom w:val="0"/>
          <w:divBdr>
            <w:top w:val="none" w:sz="0" w:space="0" w:color="auto"/>
            <w:left w:val="none" w:sz="0" w:space="0" w:color="auto"/>
            <w:bottom w:val="none" w:sz="0" w:space="0" w:color="auto"/>
            <w:right w:val="none" w:sz="0" w:space="0" w:color="auto"/>
          </w:divBdr>
          <w:divsChild>
            <w:div w:id="56826437">
              <w:marLeft w:val="0"/>
              <w:marRight w:val="0"/>
              <w:marTop w:val="0"/>
              <w:marBottom w:val="0"/>
              <w:divBdr>
                <w:top w:val="none" w:sz="0" w:space="0" w:color="auto"/>
                <w:left w:val="none" w:sz="0" w:space="0" w:color="auto"/>
                <w:bottom w:val="none" w:sz="0" w:space="0" w:color="auto"/>
                <w:right w:val="none" w:sz="0" w:space="0" w:color="auto"/>
              </w:divBdr>
            </w:div>
          </w:divsChild>
        </w:div>
        <w:div w:id="1260286040">
          <w:marLeft w:val="0"/>
          <w:marRight w:val="0"/>
          <w:marTop w:val="0"/>
          <w:marBottom w:val="0"/>
          <w:divBdr>
            <w:top w:val="none" w:sz="0" w:space="0" w:color="auto"/>
            <w:left w:val="none" w:sz="0" w:space="0" w:color="auto"/>
            <w:bottom w:val="none" w:sz="0" w:space="0" w:color="auto"/>
            <w:right w:val="none" w:sz="0" w:space="0" w:color="auto"/>
          </w:divBdr>
          <w:divsChild>
            <w:div w:id="224489465">
              <w:marLeft w:val="0"/>
              <w:marRight w:val="0"/>
              <w:marTop w:val="0"/>
              <w:marBottom w:val="0"/>
              <w:divBdr>
                <w:top w:val="none" w:sz="0" w:space="0" w:color="auto"/>
                <w:left w:val="none" w:sz="0" w:space="0" w:color="auto"/>
                <w:bottom w:val="none" w:sz="0" w:space="0" w:color="auto"/>
                <w:right w:val="none" w:sz="0" w:space="0" w:color="auto"/>
              </w:divBdr>
            </w:div>
            <w:div w:id="1220628382">
              <w:marLeft w:val="0"/>
              <w:marRight w:val="0"/>
              <w:marTop w:val="0"/>
              <w:marBottom w:val="0"/>
              <w:divBdr>
                <w:top w:val="none" w:sz="0" w:space="0" w:color="auto"/>
                <w:left w:val="none" w:sz="0" w:space="0" w:color="auto"/>
                <w:bottom w:val="none" w:sz="0" w:space="0" w:color="auto"/>
                <w:right w:val="none" w:sz="0" w:space="0" w:color="auto"/>
              </w:divBdr>
            </w:div>
            <w:div w:id="1236472508">
              <w:marLeft w:val="0"/>
              <w:marRight w:val="0"/>
              <w:marTop w:val="0"/>
              <w:marBottom w:val="0"/>
              <w:divBdr>
                <w:top w:val="none" w:sz="0" w:space="0" w:color="auto"/>
                <w:left w:val="none" w:sz="0" w:space="0" w:color="auto"/>
                <w:bottom w:val="none" w:sz="0" w:space="0" w:color="auto"/>
                <w:right w:val="none" w:sz="0" w:space="0" w:color="auto"/>
              </w:divBdr>
            </w:div>
          </w:divsChild>
        </w:div>
        <w:div w:id="1283079069">
          <w:marLeft w:val="0"/>
          <w:marRight w:val="0"/>
          <w:marTop w:val="0"/>
          <w:marBottom w:val="0"/>
          <w:divBdr>
            <w:top w:val="none" w:sz="0" w:space="0" w:color="auto"/>
            <w:left w:val="none" w:sz="0" w:space="0" w:color="auto"/>
            <w:bottom w:val="none" w:sz="0" w:space="0" w:color="auto"/>
            <w:right w:val="none" w:sz="0" w:space="0" w:color="auto"/>
          </w:divBdr>
          <w:divsChild>
            <w:div w:id="1788965174">
              <w:marLeft w:val="0"/>
              <w:marRight w:val="0"/>
              <w:marTop w:val="0"/>
              <w:marBottom w:val="0"/>
              <w:divBdr>
                <w:top w:val="none" w:sz="0" w:space="0" w:color="auto"/>
                <w:left w:val="none" w:sz="0" w:space="0" w:color="auto"/>
                <w:bottom w:val="none" w:sz="0" w:space="0" w:color="auto"/>
                <w:right w:val="none" w:sz="0" w:space="0" w:color="auto"/>
              </w:divBdr>
            </w:div>
          </w:divsChild>
        </w:div>
        <w:div w:id="1327053114">
          <w:marLeft w:val="0"/>
          <w:marRight w:val="0"/>
          <w:marTop w:val="0"/>
          <w:marBottom w:val="0"/>
          <w:divBdr>
            <w:top w:val="none" w:sz="0" w:space="0" w:color="auto"/>
            <w:left w:val="none" w:sz="0" w:space="0" w:color="auto"/>
            <w:bottom w:val="none" w:sz="0" w:space="0" w:color="auto"/>
            <w:right w:val="none" w:sz="0" w:space="0" w:color="auto"/>
          </w:divBdr>
          <w:divsChild>
            <w:div w:id="1644850129">
              <w:marLeft w:val="0"/>
              <w:marRight w:val="0"/>
              <w:marTop w:val="0"/>
              <w:marBottom w:val="0"/>
              <w:divBdr>
                <w:top w:val="none" w:sz="0" w:space="0" w:color="auto"/>
                <w:left w:val="none" w:sz="0" w:space="0" w:color="auto"/>
                <w:bottom w:val="none" w:sz="0" w:space="0" w:color="auto"/>
                <w:right w:val="none" w:sz="0" w:space="0" w:color="auto"/>
              </w:divBdr>
            </w:div>
          </w:divsChild>
        </w:div>
        <w:div w:id="1370835741">
          <w:marLeft w:val="0"/>
          <w:marRight w:val="0"/>
          <w:marTop w:val="0"/>
          <w:marBottom w:val="0"/>
          <w:divBdr>
            <w:top w:val="none" w:sz="0" w:space="0" w:color="auto"/>
            <w:left w:val="none" w:sz="0" w:space="0" w:color="auto"/>
            <w:bottom w:val="none" w:sz="0" w:space="0" w:color="auto"/>
            <w:right w:val="none" w:sz="0" w:space="0" w:color="auto"/>
          </w:divBdr>
          <w:divsChild>
            <w:div w:id="901907892">
              <w:marLeft w:val="0"/>
              <w:marRight w:val="0"/>
              <w:marTop w:val="0"/>
              <w:marBottom w:val="0"/>
              <w:divBdr>
                <w:top w:val="none" w:sz="0" w:space="0" w:color="auto"/>
                <w:left w:val="none" w:sz="0" w:space="0" w:color="auto"/>
                <w:bottom w:val="none" w:sz="0" w:space="0" w:color="auto"/>
                <w:right w:val="none" w:sz="0" w:space="0" w:color="auto"/>
              </w:divBdr>
            </w:div>
          </w:divsChild>
        </w:div>
        <w:div w:id="1372342036">
          <w:marLeft w:val="0"/>
          <w:marRight w:val="0"/>
          <w:marTop w:val="0"/>
          <w:marBottom w:val="0"/>
          <w:divBdr>
            <w:top w:val="none" w:sz="0" w:space="0" w:color="auto"/>
            <w:left w:val="none" w:sz="0" w:space="0" w:color="auto"/>
            <w:bottom w:val="none" w:sz="0" w:space="0" w:color="auto"/>
            <w:right w:val="none" w:sz="0" w:space="0" w:color="auto"/>
          </w:divBdr>
          <w:divsChild>
            <w:div w:id="279846439">
              <w:marLeft w:val="0"/>
              <w:marRight w:val="0"/>
              <w:marTop w:val="0"/>
              <w:marBottom w:val="0"/>
              <w:divBdr>
                <w:top w:val="none" w:sz="0" w:space="0" w:color="auto"/>
                <w:left w:val="none" w:sz="0" w:space="0" w:color="auto"/>
                <w:bottom w:val="none" w:sz="0" w:space="0" w:color="auto"/>
                <w:right w:val="none" w:sz="0" w:space="0" w:color="auto"/>
              </w:divBdr>
            </w:div>
          </w:divsChild>
        </w:div>
        <w:div w:id="1396926832">
          <w:marLeft w:val="0"/>
          <w:marRight w:val="0"/>
          <w:marTop w:val="0"/>
          <w:marBottom w:val="0"/>
          <w:divBdr>
            <w:top w:val="none" w:sz="0" w:space="0" w:color="auto"/>
            <w:left w:val="none" w:sz="0" w:space="0" w:color="auto"/>
            <w:bottom w:val="none" w:sz="0" w:space="0" w:color="auto"/>
            <w:right w:val="none" w:sz="0" w:space="0" w:color="auto"/>
          </w:divBdr>
          <w:divsChild>
            <w:div w:id="981881867">
              <w:marLeft w:val="0"/>
              <w:marRight w:val="0"/>
              <w:marTop w:val="0"/>
              <w:marBottom w:val="0"/>
              <w:divBdr>
                <w:top w:val="none" w:sz="0" w:space="0" w:color="auto"/>
                <w:left w:val="none" w:sz="0" w:space="0" w:color="auto"/>
                <w:bottom w:val="none" w:sz="0" w:space="0" w:color="auto"/>
                <w:right w:val="none" w:sz="0" w:space="0" w:color="auto"/>
              </w:divBdr>
            </w:div>
          </w:divsChild>
        </w:div>
        <w:div w:id="1494643137">
          <w:marLeft w:val="0"/>
          <w:marRight w:val="0"/>
          <w:marTop w:val="0"/>
          <w:marBottom w:val="0"/>
          <w:divBdr>
            <w:top w:val="none" w:sz="0" w:space="0" w:color="auto"/>
            <w:left w:val="none" w:sz="0" w:space="0" w:color="auto"/>
            <w:bottom w:val="none" w:sz="0" w:space="0" w:color="auto"/>
            <w:right w:val="none" w:sz="0" w:space="0" w:color="auto"/>
          </w:divBdr>
          <w:divsChild>
            <w:div w:id="885992597">
              <w:marLeft w:val="0"/>
              <w:marRight w:val="0"/>
              <w:marTop w:val="0"/>
              <w:marBottom w:val="0"/>
              <w:divBdr>
                <w:top w:val="none" w:sz="0" w:space="0" w:color="auto"/>
                <w:left w:val="none" w:sz="0" w:space="0" w:color="auto"/>
                <w:bottom w:val="none" w:sz="0" w:space="0" w:color="auto"/>
                <w:right w:val="none" w:sz="0" w:space="0" w:color="auto"/>
              </w:divBdr>
            </w:div>
          </w:divsChild>
        </w:div>
        <w:div w:id="1521164526">
          <w:marLeft w:val="0"/>
          <w:marRight w:val="0"/>
          <w:marTop w:val="0"/>
          <w:marBottom w:val="0"/>
          <w:divBdr>
            <w:top w:val="none" w:sz="0" w:space="0" w:color="auto"/>
            <w:left w:val="none" w:sz="0" w:space="0" w:color="auto"/>
            <w:bottom w:val="none" w:sz="0" w:space="0" w:color="auto"/>
            <w:right w:val="none" w:sz="0" w:space="0" w:color="auto"/>
          </w:divBdr>
          <w:divsChild>
            <w:div w:id="1133524287">
              <w:marLeft w:val="0"/>
              <w:marRight w:val="0"/>
              <w:marTop w:val="0"/>
              <w:marBottom w:val="0"/>
              <w:divBdr>
                <w:top w:val="none" w:sz="0" w:space="0" w:color="auto"/>
                <w:left w:val="none" w:sz="0" w:space="0" w:color="auto"/>
                <w:bottom w:val="none" w:sz="0" w:space="0" w:color="auto"/>
                <w:right w:val="none" w:sz="0" w:space="0" w:color="auto"/>
              </w:divBdr>
            </w:div>
          </w:divsChild>
        </w:div>
        <w:div w:id="1529179714">
          <w:marLeft w:val="0"/>
          <w:marRight w:val="0"/>
          <w:marTop w:val="0"/>
          <w:marBottom w:val="0"/>
          <w:divBdr>
            <w:top w:val="none" w:sz="0" w:space="0" w:color="auto"/>
            <w:left w:val="none" w:sz="0" w:space="0" w:color="auto"/>
            <w:bottom w:val="none" w:sz="0" w:space="0" w:color="auto"/>
            <w:right w:val="none" w:sz="0" w:space="0" w:color="auto"/>
          </w:divBdr>
          <w:divsChild>
            <w:div w:id="82919690">
              <w:marLeft w:val="0"/>
              <w:marRight w:val="0"/>
              <w:marTop w:val="0"/>
              <w:marBottom w:val="0"/>
              <w:divBdr>
                <w:top w:val="none" w:sz="0" w:space="0" w:color="auto"/>
                <w:left w:val="none" w:sz="0" w:space="0" w:color="auto"/>
                <w:bottom w:val="none" w:sz="0" w:space="0" w:color="auto"/>
                <w:right w:val="none" w:sz="0" w:space="0" w:color="auto"/>
              </w:divBdr>
            </w:div>
            <w:div w:id="195778030">
              <w:marLeft w:val="0"/>
              <w:marRight w:val="0"/>
              <w:marTop w:val="0"/>
              <w:marBottom w:val="0"/>
              <w:divBdr>
                <w:top w:val="none" w:sz="0" w:space="0" w:color="auto"/>
                <w:left w:val="none" w:sz="0" w:space="0" w:color="auto"/>
                <w:bottom w:val="none" w:sz="0" w:space="0" w:color="auto"/>
                <w:right w:val="none" w:sz="0" w:space="0" w:color="auto"/>
              </w:divBdr>
            </w:div>
            <w:div w:id="309211373">
              <w:marLeft w:val="0"/>
              <w:marRight w:val="0"/>
              <w:marTop w:val="0"/>
              <w:marBottom w:val="0"/>
              <w:divBdr>
                <w:top w:val="none" w:sz="0" w:space="0" w:color="auto"/>
                <w:left w:val="none" w:sz="0" w:space="0" w:color="auto"/>
                <w:bottom w:val="none" w:sz="0" w:space="0" w:color="auto"/>
                <w:right w:val="none" w:sz="0" w:space="0" w:color="auto"/>
              </w:divBdr>
            </w:div>
            <w:div w:id="462892419">
              <w:marLeft w:val="0"/>
              <w:marRight w:val="0"/>
              <w:marTop w:val="0"/>
              <w:marBottom w:val="0"/>
              <w:divBdr>
                <w:top w:val="none" w:sz="0" w:space="0" w:color="auto"/>
                <w:left w:val="none" w:sz="0" w:space="0" w:color="auto"/>
                <w:bottom w:val="none" w:sz="0" w:space="0" w:color="auto"/>
                <w:right w:val="none" w:sz="0" w:space="0" w:color="auto"/>
              </w:divBdr>
            </w:div>
            <w:div w:id="787087670">
              <w:marLeft w:val="0"/>
              <w:marRight w:val="0"/>
              <w:marTop w:val="0"/>
              <w:marBottom w:val="0"/>
              <w:divBdr>
                <w:top w:val="none" w:sz="0" w:space="0" w:color="auto"/>
                <w:left w:val="none" w:sz="0" w:space="0" w:color="auto"/>
                <w:bottom w:val="none" w:sz="0" w:space="0" w:color="auto"/>
                <w:right w:val="none" w:sz="0" w:space="0" w:color="auto"/>
              </w:divBdr>
            </w:div>
            <w:div w:id="1031687106">
              <w:marLeft w:val="0"/>
              <w:marRight w:val="0"/>
              <w:marTop w:val="0"/>
              <w:marBottom w:val="0"/>
              <w:divBdr>
                <w:top w:val="none" w:sz="0" w:space="0" w:color="auto"/>
                <w:left w:val="none" w:sz="0" w:space="0" w:color="auto"/>
                <w:bottom w:val="none" w:sz="0" w:space="0" w:color="auto"/>
                <w:right w:val="none" w:sz="0" w:space="0" w:color="auto"/>
              </w:divBdr>
            </w:div>
            <w:div w:id="1522739597">
              <w:marLeft w:val="0"/>
              <w:marRight w:val="0"/>
              <w:marTop w:val="0"/>
              <w:marBottom w:val="0"/>
              <w:divBdr>
                <w:top w:val="none" w:sz="0" w:space="0" w:color="auto"/>
                <w:left w:val="none" w:sz="0" w:space="0" w:color="auto"/>
                <w:bottom w:val="none" w:sz="0" w:space="0" w:color="auto"/>
                <w:right w:val="none" w:sz="0" w:space="0" w:color="auto"/>
              </w:divBdr>
            </w:div>
            <w:div w:id="1890917393">
              <w:marLeft w:val="0"/>
              <w:marRight w:val="0"/>
              <w:marTop w:val="0"/>
              <w:marBottom w:val="0"/>
              <w:divBdr>
                <w:top w:val="none" w:sz="0" w:space="0" w:color="auto"/>
                <w:left w:val="none" w:sz="0" w:space="0" w:color="auto"/>
                <w:bottom w:val="none" w:sz="0" w:space="0" w:color="auto"/>
                <w:right w:val="none" w:sz="0" w:space="0" w:color="auto"/>
              </w:divBdr>
            </w:div>
            <w:div w:id="2105570261">
              <w:marLeft w:val="0"/>
              <w:marRight w:val="0"/>
              <w:marTop w:val="0"/>
              <w:marBottom w:val="0"/>
              <w:divBdr>
                <w:top w:val="none" w:sz="0" w:space="0" w:color="auto"/>
                <w:left w:val="none" w:sz="0" w:space="0" w:color="auto"/>
                <w:bottom w:val="none" w:sz="0" w:space="0" w:color="auto"/>
                <w:right w:val="none" w:sz="0" w:space="0" w:color="auto"/>
              </w:divBdr>
            </w:div>
          </w:divsChild>
        </w:div>
        <w:div w:id="1540431653">
          <w:marLeft w:val="0"/>
          <w:marRight w:val="0"/>
          <w:marTop w:val="0"/>
          <w:marBottom w:val="0"/>
          <w:divBdr>
            <w:top w:val="none" w:sz="0" w:space="0" w:color="auto"/>
            <w:left w:val="none" w:sz="0" w:space="0" w:color="auto"/>
            <w:bottom w:val="none" w:sz="0" w:space="0" w:color="auto"/>
            <w:right w:val="none" w:sz="0" w:space="0" w:color="auto"/>
          </w:divBdr>
          <w:divsChild>
            <w:div w:id="847056989">
              <w:marLeft w:val="0"/>
              <w:marRight w:val="0"/>
              <w:marTop w:val="0"/>
              <w:marBottom w:val="0"/>
              <w:divBdr>
                <w:top w:val="none" w:sz="0" w:space="0" w:color="auto"/>
                <w:left w:val="none" w:sz="0" w:space="0" w:color="auto"/>
                <w:bottom w:val="none" w:sz="0" w:space="0" w:color="auto"/>
                <w:right w:val="none" w:sz="0" w:space="0" w:color="auto"/>
              </w:divBdr>
            </w:div>
          </w:divsChild>
        </w:div>
        <w:div w:id="1564562466">
          <w:marLeft w:val="0"/>
          <w:marRight w:val="0"/>
          <w:marTop w:val="0"/>
          <w:marBottom w:val="0"/>
          <w:divBdr>
            <w:top w:val="none" w:sz="0" w:space="0" w:color="auto"/>
            <w:left w:val="none" w:sz="0" w:space="0" w:color="auto"/>
            <w:bottom w:val="none" w:sz="0" w:space="0" w:color="auto"/>
            <w:right w:val="none" w:sz="0" w:space="0" w:color="auto"/>
          </w:divBdr>
          <w:divsChild>
            <w:div w:id="1281960949">
              <w:marLeft w:val="0"/>
              <w:marRight w:val="0"/>
              <w:marTop w:val="0"/>
              <w:marBottom w:val="0"/>
              <w:divBdr>
                <w:top w:val="none" w:sz="0" w:space="0" w:color="auto"/>
                <w:left w:val="none" w:sz="0" w:space="0" w:color="auto"/>
                <w:bottom w:val="none" w:sz="0" w:space="0" w:color="auto"/>
                <w:right w:val="none" w:sz="0" w:space="0" w:color="auto"/>
              </w:divBdr>
            </w:div>
          </w:divsChild>
        </w:div>
        <w:div w:id="1576087966">
          <w:marLeft w:val="0"/>
          <w:marRight w:val="0"/>
          <w:marTop w:val="0"/>
          <w:marBottom w:val="0"/>
          <w:divBdr>
            <w:top w:val="none" w:sz="0" w:space="0" w:color="auto"/>
            <w:left w:val="none" w:sz="0" w:space="0" w:color="auto"/>
            <w:bottom w:val="none" w:sz="0" w:space="0" w:color="auto"/>
            <w:right w:val="none" w:sz="0" w:space="0" w:color="auto"/>
          </w:divBdr>
          <w:divsChild>
            <w:div w:id="349532023">
              <w:marLeft w:val="0"/>
              <w:marRight w:val="0"/>
              <w:marTop w:val="0"/>
              <w:marBottom w:val="0"/>
              <w:divBdr>
                <w:top w:val="none" w:sz="0" w:space="0" w:color="auto"/>
                <w:left w:val="none" w:sz="0" w:space="0" w:color="auto"/>
                <w:bottom w:val="none" w:sz="0" w:space="0" w:color="auto"/>
                <w:right w:val="none" w:sz="0" w:space="0" w:color="auto"/>
              </w:divBdr>
            </w:div>
          </w:divsChild>
        </w:div>
        <w:div w:id="1591305357">
          <w:marLeft w:val="0"/>
          <w:marRight w:val="0"/>
          <w:marTop w:val="0"/>
          <w:marBottom w:val="0"/>
          <w:divBdr>
            <w:top w:val="none" w:sz="0" w:space="0" w:color="auto"/>
            <w:left w:val="none" w:sz="0" w:space="0" w:color="auto"/>
            <w:bottom w:val="none" w:sz="0" w:space="0" w:color="auto"/>
            <w:right w:val="none" w:sz="0" w:space="0" w:color="auto"/>
          </w:divBdr>
          <w:divsChild>
            <w:div w:id="2114205886">
              <w:marLeft w:val="0"/>
              <w:marRight w:val="0"/>
              <w:marTop w:val="0"/>
              <w:marBottom w:val="0"/>
              <w:divBdr>
                <w:top w:val="none" w:sz="0" w:space="0" w:color="auto"/>
                <w:left w:val="none" w:sz="0" w:space="0" w:color="auto"/>
                <w:bottom w:val="none" w:sz="0" w:space="0" w:color="auto"/>
                <w:right w:val="none" w:sz="0" w:space="0" w:color="auto"/>
              </w:divBdr>
            </w:div>
          </w:divsChild>
        </w:div>
        <w:div w:id="1603609364">
          <w:marLeft w:val="0"/>
          <w:marRight w:val="0"/>
          <w:marTop w:val="0"/>
          <w:marBottom w:val="0"/>
          <w:divBdr>
            <w:top w:val="none" w:sz="0" w:space="0" w:color="auto"/>
            <w:left w:val="none" w:sz="0" w:space="0" w:color="auto"/>
            <w:bottom w:val="none" w:sz="0" w:space="0" w:color="auto"/>
            <w:right w:val="none" w:sz="0" w:space="0" w:color="auto"/>
          </w:divBdr>
          <w:divsChild>
            <w:div w:id="459883804">
              <w:marLeft w:val="0"/>
              <w:marRight w:val="0"/>
              <w:marTop w:val="0"/>
              <w:marBottom w:val="0"/>
              <w:divBdr>
                <w:top w:val="none" w:sz="0" w:space="0" w:color="auto"/>
                <w:left w:val="none" w:sz="0" w:space="0" w:color="auto"/>
                <w:bottom w:val="none" w:sz="0" w:space="0" w:color="auto"/>
                <w:right w:val="none" w:sz="0" w:space="0" w:color="auto"/>
              </w:divBdr>
            </w:div>
          </w:divsChild>
        </w:div>
        <w:div w:id="1619415659">
          <w:marLeft w:val="0"/>
          <w:marRight w:val="0"/>
          <w:marTop w:val="0"/>
          <w:marBottom w:val="0"/>
          <w:divBdr>
            <w:top w:val="none" w:sz="0" w:space="0" w:color="auto"/>
            <w:left w:val="none" w:sz="0" w:space="0" w:color="auto"/>
            <w:bottom w:val="none" w:sz="0" w:space="0" w:color="auto"/>
            <w:right w:val="none" w:sz="0" w:space="0" w:color="auto"/>
          </w:divBdr>
          <w:divsChild>
            <w:div w:id="536813553">
              <w:marLeft w:val="0"/>
              <w:marRight w:val="0"/>
              <w:marTop w:val="0"/>
              <w:marBottom w:val="0"/>
              <w:divBdr>
                <w:top w:val="none" w:sz="0" w:space="0" w:color="auto"/>
                <w:left w:val="none" w:sz="0" w:space="0" w:color="auto"/>
                <w:bottom w:val="none" w:sz="0" w:space="0" w:color="auto"/>
                <w:right w:val="none" w:sz="0" w:space="0" w:color="auto"/>
              </w:divBdr>
            </w:div>
          </w:divsChild>
        </w:div>
        <w:div w:id="1735662937">
          <w:marLeft w:val="0"/>
          <w:marRight w:val="0"/>
          <w:marTop w:val="0"/>
          <w:marBottom w:val="0"/>
          <w:divBdr>
            <w:top w:val="none" w:sz="0" w:space="0" w:color="auto"/>
            <w:left w:val="none" w:sz="0" w:space="0" w:color="auto"/>
            <w:bottom w:val="none" w:sz="0" w:space="0" w:color="auto"/>
            <w:right w:val="none" w:sz="0" w:space="0" w:color="auto"/>
          </w:divBdr>
          <w:divsChild>
            <w:div w:id="726301873">
              <w:marLeft w:val="0"/>
              <w:marRight w:val="0"/>
              <w:marTop w:val="0"/>
              <w:marBottom w:val="0"/>
              <w:divBdr>
                <w:top w:val="none" w:sz="0" w:space="0" w:color="auto"/>
                <w:left w:val="none" w:sz="0" w:space="0" w:color="auto"/>
                <w:bottom w:val="none" w:sz="0" w:space="0" w:color="auto"/>
                <w:right w:val="none" w:sz="0" w:space="0" w:color="auto"/>
              </w:divBdr>
            </w:div>
            <w:div w:id="873037118">
              <w:marLeft w:val="0"/>
              <w:marRight w:val="0"/>
              <w:marTop w:val="0"/>
              <w:marBottom w:val="0"/>
              <w:divBdr>
                <w:top w:val="none" w:sz="0" w:space="0" w:color="auto"/>
                <w:left w:val="none" w:sz="0" w:space="0" w:color="auto"/>
                <w:bottom w:val="none" w:sz="0" w:space="0" w:color="auto"/>
                <w:right w:val="none" w:sz="0" w:space="0" w:color="auto"/>
              </w:divBdr>
            </w:div>
          </w:divsChild>
        </w:div>
        <w:div w:id="1742481117">
          <w:marLeft w:val="0"/>
          <w:marRight w:val="0"/>
          <w:marTop w:val="0"/>
          <w:marBottom w:val="0"/>
          <w:divBdr>
            <w:top w:val="none" w:sz="0" w:space="0" w:color="auto"/>
            <w:left w:val="none" w:sz="0" w:space="0" w:color="auto"/>
            <w:bottom w:val="none" w:sz="0" w:space="0" w:color="auto"/>
            <w:right w:val="none" w:sz="0" w:space="0" w:color="auto"/>
          </w:divBdr>
          <w:divsChild>
            <w:div w:id="1161506809">
              <w:marLeft w:val="0"/>
              <w:marRight w:val="0"/>
              <w:marTop w:val="0"/>
              <w:marBottom w:val="0"/>
              <w:divBdr>
                <w:top w:val="none" w:sz="0" w:space="0" w:color="auto"/>
                <w:left w:val="none" w:sz="0" w:space="0" w:color="auto"/>
                <w:bottom w:val="none" w:sz="0" w:space="0" w:color="auto"/>
                <w:right w:val="none" w:sz="0" w:space="0" w:color="auto"/>
              </w:divBdr>
            </w:div>
          </w:divsChild>
        </w:div>
        <w:div w:id="1781530839">
          <w:marLeft w:val="0"/>
          <w:marRight w:val="0"/>
          <w:marTop w:val="0"/>
          <w:marBottom w:val="0"/>
          <w:divBdr>
            <w:top w:val="none" w:sz="0" w:space="0" w:color="auto"/>
            <w:left w:val="none" w:sz="0" w:space="0" w:color="auto"/>
            <w:bottom w:val="none" w:sz="0" w:space="0" w:color="auto"/>
            <w:right w:val="none" w:sz="0" w:space="0" w:color="auto"/>
          </w:divBdr>
          <w:divsChild>
            <w:div w:id="707144483">
              <w:marLeft w:val="0"/>
              <w:marRight w:val="0"/>
              <w:marTop w:val="0"/>
              <w:marBottom w:val="0"/>
              <w:divBdr>
                <w:top w:val="none" w:sz="0" w:space="0" w:color="auto"/>
                <w:left w:val="none" w:sz="0" w:space="0" w:color="auto"/>
                <w:bottom w:val="none" w:sz="0" w:space="0" w:color="auto"/>
                <w:right w:val="none" w:sz="0" w:space="0" w:color="auto"/>
              </w:divBdr>
            </w:div>
          </w:divsChild>
        </w:div>
        <w:div w:id="1860846423">
          <w:marLeft w:val="0"/>
          <w:marRight w:val="0"/>
          <w:marTop w:val="0"/>
          <w:marBottom w:val="0"/>
          <w:divBdr>
            <w:top w:val="none" w:sz="0" w:space="0" w:color="auto"/>
            <w:left w:val="none" w:sz="0" w:space="0" w:color="auto"/>
            <w:bottom w:val="none" w:sz="0" w:space="0" w:color="auto"/>
            <w:right w:val="none" w:sz="0" w:space="0" w:color="auto"/>
          </w:divBdr>
          <w:divsChild>
            <w:div w:id="2061048747">
              <w:marLeft w:val="0"/>
              <w:marRight w:val="0"/>
              <w:marTop w:val="0"/>
              <w:marBottom w:val="0"/>
              <w:divBdr>
                <w:top w:val="none" w:sz="0" w:space="0" w:color="auto"/>
                <w:left w:val="none" w:sz="0" w:space="0" w:color="auto"/>
                <w:bottom w:val="none" w:sz="0" w:space="0" w:color="auto"/>
                <w:right w:val="none" w:sz="0" w:space="0" w:color="auto"/>
              </w:divBdr>
            </w:div>
          </w:divsChild>
        </w:div>
        <w:div w:id="1937666158">
          <w:marLeft w:val="0"/>
          <w:marRight w:val="0"/>
          <w:marTop w:val="0"/>
          <w:marBottom w:val="0"/>
          <w:divBdr>
            <w:top w:val="none" w:sz="0" w:space="0" w:color="auto"/>
            <w:left w:val="none" w:sz="0" w:space="0" w:color="auto"/>
            <w:bottom w:val="none" w:sz="0" w:space="0" w:color="auto"/>
            <w:right w:val="none" w:sz="0" w:space="0" w:color="auto"/>
          </w:divBdr>
          <w:divsChild>
            <w:div w:id="1785347002">
              <w:marLeft w:val="0"/>
              <w:marRight w:val="0"/>
              <w:marTop w:val="0"/>
              <w:marBottom w:val="0"/>
              <w:divBdr>
                <w:top w:val="none" w:sz="0" w:space="0" w:color="auto"/>
                <w:left w:val="none" w:sz="0" w:space="0" w:color="auto"/>
                <w:bottom w:val="none" w:sz="0" w:space="0" w:color="auto"/>
                <w:right w:val="none" w:sz="0" w:space="0" w:color="auto"/>
              </w:divBdr>
            </w:div>
          </w:divsChild>
        </w:div>
        <w:div w:id="1992828715">
          <w:marLeft w:val="0"/>
          <w:marRight w:val="0"/>
          <w:marTop w:val="0"/>
          <w:marBottom w:val="0"/>
          <w:divBdr>
            <w:top w:val="none" w:sz="0" w:space="0" w:color="auto"/>
            <w:left w:val="none" w:sz="0" w:space="0" w:color="auto"/>
            <w:bottom w:val="none" w:sz="0" w:space="0" w:color="auto"/>
            <w:right w:val="none" w:sz="0" w:space="0" w:color="auto"/>
          </w:divBdr>
          <w:divsChild>
            <w:div w:id="1145120794">
              <w:marLeft w:val="0"/>
              <w:marRight w:val="0"/>
              <w:marTop w:val="0"/>
              <w:marBottom w:val="0"/>
              <w:divBdr>
                <w:top w:val="none" w:sz="0" w:space="0" w:color="auto"/>
                <w:left w:val="none" w:sz="0" w:space="0" w:color="auto"/>
                <w:bottom w:val="none" w:sz="0" w:space="0" w:color="auto"/>
                <w:right w:val="none" w:sz="0" w:space="0" w:color="auto"/>
              </w:divBdr>
            </w:div>
            <w:div w:id="2042052998">
              <w:marLeft w:val="0"/>
              <w:marRight w:val="0"/>
              <w:marTop w:val="0"/>
              <w:marBottom w:val="0"/>
              <w:divBdr>
                <w:top w:val="none" w:sz="0" w:space="0" w:color="auto"/>
                <w:left w:val="none" w:sz="0" w:space="0" w:color="auto"/>
                <w:bottom w:val="none" w:sz="0" w:space="0" w:color="auto"/>
                <w:right w:val="none" w:sz="0" w:space="0" w:color="auto"/>
              </w:divBdr>
            </w:div>
          </w:divsChild>
        </w:div>
        <w:div w:id="2015641443">
          <w:marLeft w:val="0"/>
          <w:marRight w:val="0"/>
          <w:marTop w:val="0"/>
          <w:marBottom w:val="0"/>
          <w:divBdr>
            <w:top w:val="none" w:sz="0" w:space="0" w:color="auto"/>
            <w:left w:val="none" w:sz="0" w:space="0" w:color="auto"/>
            <w:bottom w:val="none" w:sz="0" w:space="0" w:color="auto"/>
            <w:right w:val="none" w:sz="0" w:space="0" w:color="auto"/>
          </w:divBdr>
          <w:divsChild>
            <w:div w:id="1079836915">
              <w:marLeft w:val="0"/>
              <w:marRight w:val="0"/>
              <w:marTop w:val="0"/>
              <w:marBottom w:val="0"/>
              <w:divBdr>
                <w:top w:val="none" w:sz="0" w:space="0" w:color="auto"/>
                <w:left w:val="none" w:sz="0" w:space="0" w:color="auto"/>
                <w:bottom w:val="none" w:sz="0" w:space="0" w:color="auto"/>
                <w:right w:val="none" w:sz="0" w:space="0" w:color="auto"/>
              </w:divBdr>
            </w:div>
            <w:div w:id="1114446562">
              <w:marLeft w:val="0"/>
              <w:marRight w:val="0"/>
              <w:marTop w:val="0"/>
              <w:marBottom w:val="0"/>
              <w:divBdr>
                <w:top w:val="none" w:sz="0" w:space="0" w:color="auto"/>
                <w:left w:val="none" w:sz="0" w:space="0" w:color="auto"/>
                <w:bottom w:val="none" w:sz="0" w:space="0" w:color="auto"/>
                <w:right w:val="none" w:sz="0" w:space="0" w:color="auto"/>
              </w:divBdr>
            </w:div>
            <w:div w:id="1352993285">
              <w:marLeft w:val="0"/>
              <w:marRight w:val="0"/>
              <w:marTop w:val="0"/>
              <w:marBottom w:val="0"/>
              <w:divBdr>
                <w:top w:val="none" w:sz="0" w:space="0" w:color="auto"/>
                <w:left w:val="none" w:sz="0" w:space="0" w:color="auto"/>
                <w:bottom w:val="none" w:sz="0" w:space="0" w:color="auto"/>
                <w:right w:val="none" w:sz="0" w:space="0" w:color="auto"/>
              </w:divBdr>
            </w:div>
            <w:div w:id="1373844353">
              <w:marLeft w:val="0"/>
              <w:marRight w:val="0"/>
              <w:marTop w:val="0"/>
              <w:marBottom w:val="0"/>
              <w:divBdr>
                <w:top w:val="none" w:sz="0" w:space="0" w:color="auto"/>
                <w:left w:val="none" w:sz="0" w:space="0" w:color="auto"/>
                <w:bottom w:val="none" w:sz="0" w:space="0" w:color="auto"/>
                <w:right w:val="none" w:sz="0" w:space="0" w:color="auto"/>
              </w:divBdr>
            </w:div>
            <w:div w:id="1854538811">
              <w:marLeft w:val="0"/>
              <w:marRight w:val="0"/>
              <w:marTop w:val="0"/>
              <w:marBottom w:val="0"/>
              <w:divBdr>
                <w:top w:val="none" w:sz="0" w:space="0" w:color="auto"/>
                <w:left w:val="none" w:sz="0" w:space="0" w:color="auto"/>
                <w:bottom w:val="none" w:sz="0" w:space="0" w:color="auto"/>
                <w:right w:val="none" w:sz="0" w:space="0" w:color="auto"/>
              </w:divBdr>
            </w:div>
            <w:div w:id="2047367853">
              <w:marLeft w:val="0"/>
              <w:marRight w:val="0"/>
              <w:marTop w:val="0"/>
              <w:marBottom w:val="0"/>
              <w:divBdr>
                <w:top w:val="none" w:sz="0" w:space="0" w:color="auto"/>
                <w:left w:val="none" w:sz="0" w:space="0" w:color="auto"/>
                <w:bottom w:val="none" w:sz="0" w:space="0" w:color="auto"/>
                <w:right w:val="none" w:sz="0" w:space="0" w:color="auto"/>
              </w:divBdr>
            </w:div>
          </w:divsChild>
        </w:div>
        <w:div w:id="2026439568">
          <w:marLeft w:val="0"/>
          <w:marRight w:val="0"/>
          <w:marTop w:val="0"/>
          <w:marBottom w:val="0"/>
          <w:divBdr>
            <w:top w:val="none" w:sz="0" w:space="0" w:color="auto"/>
            <w:left w:val="none" w:sz="0" w:space="0" w:color="auto"/>
            <w:bottom w:val="none" w:sz="0" w:space="0" w:color="auto"/>
            <w:right w:val="none" w:sz="0" w:space="0" w:color="auto"/>
          </w:divBdr>
          <w:divsChild>
            <w:div w:id="277177642">
              <w:marLeft w:val="0"/>
              <w:marRight w:val="0"/>
              <w:marTop w:val="0"/>
              <w:marBottom w:val="0"/>
              <w:divBdr>
                <w:top w:val="none" w:sz="0" w:space="0" w:color="auto"/>
                <w:left w:val="none" w:sz="0" w:space="0" w:color="auto"/>
                <w:bottom w:val="none" w:sz="0" w:space="0" w:color="auto"/>
                <w:right w:val="none" w:sz="0" w:space="0" w:color="auto"/>
              </w:divBdr>
            </w:div>
            <w:div w:id="498154346">
              <w:marLeft w:val="0"/>
              <w:marRight w:val="0"/>
              <w:marTop w:val="0"/>
              <w:marBottom w:val="0"/>
              <w:divBdr>
                <w:top w:val="none" w:sz="0" w:space="0" w:color="auto"/>
                <w:left w:val="none" w:sz="0" w:space="0" w:color="auto"/>
                <w:bottom w:val="none" w:sz="0" w:space="0" w:color="auto"/>
                <w:right w:val="none" w:sz="0" w:space="0" w:color="auto"/>
              </w:divBdr>
            </w:div>
            <w:div w:id="802427655">
              <w:marLeft w:val="0"/>
              <w:marRight w:val="0"/>
              <w:marTop w:val="0"/>
              <w:marBottom w:val="0"/>
              <w:divBdr>
                <w:top w:val="none" w:sz="0" w:space="0" w:color="auto"/>
                <w:left w:val="none" w:sz="0" w:space="0" w:color="auto"/>
                <w:bottom w:val="none" w:sz="0" w:space="0" w:color="auto"/>
                <w:right w:val="none" w:sz="0" w:space="0" w:color="auto"/>
              </w:divBdr>
            </w:div>
            <w:div w:id="1150094805">
              <w:marLeft w:val="0"/>
              <w:marRight w:val="0"/>
              <w:marTop w:val="0"/>
              <w:marBottom w:val="0"/>
              <w:divBdr>
                <w:top w:val="none" w:sz="0" w:space="0" w:color="auto"/>
                <w:left w:val="none" w:sz="0" w:space="0" w:color="auto"/>
                <w:bottom w:val="none" w:sz="0" w:space="0" w:color="auto"/>
                <w:right w:val="none" w:sz="0" w:space="0" w:color="auto"/>
              </w:divBdr>
            </w:div>
            <w:div w:id="1848396697">
              <w:marLeft w:val="0"/>
              <w:marRight w:val="0"/>
              <w:marTop w:val="0"/>
              <w:marBottom w:val="0"/>
              <w:divBdr>
                <w:top w:val="none" w:sz="0" w:space="0" w:color="auto"/>
                <w:left w:val="none" w:sz="0" w:space="0" w:color="auto"/>
                <w:bottom w:val="none" w:sz="0" w:space="0" w:color="auto"/>
                <w:right w:val="none" w:sz="0" w:space="0" w:color="auto"/>
              </w:divBdr>
            </w:div>
          </w:divsChild>
        </w:div>
        <w:div w:id="2125152866">
          <w:marLeft w:val="0"/>
          <w:marRight w:val="0"/>
          <w:marTop w:val="0"/>
          <w:marBottom w:val="0"/>
          <w:divBdr>
            <w:top w:val="none" w:sz="0" w:space="0" w:color="auto"/>
            <w:left w:val="none" w:sz="0" w:space="0" w:color="auto"/>
            <w:bottom w:val="none" w:sz="0" w:space="0" w:color="auto"/>
            <w:right w:val="none" w:sz="0" w:space="0" w:color="auto"/>
          </w:divBdr>
          <w:divsChild>
            <w:div w:id="3588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74413">
      <w:bodyDiv w:val="1"/>
      <w:marLeft w:val="0"/>
      <w:marRight w:val="0"/>
      <w:marTop w:val="0"/>
      <w:marBottom w:val="0"/>
      <w:divBdr>
        <w:top w:val="none" w:sz="0" w:space="0" w:color="auto"/>
        <w:left w:val="none" w:sz="0" w:space="0" w:color="auto"/>
        <w:bottom w:val="none" w:sz="0" w:space="0" w:color="auto"/>
        <w:right w:val="none" w:sz="0" w:space="0" w:color="auto"/>
      </w:divBdr>
      <w:divsChild>
        <w:div w:id="1628000788">
          <w:marLeft w:val="0"/>
          <w:marRight w:val="0"/>
          <w:marTop w:val="0"/>
          <w:marBottom w:val="0"/>
          <w:divBdr>
            <w:top w:val="none" w:sz="0" w:space="0" w:color="auto"/>
            <w:left w:val="none" w:sz="0" w:space="0" w:color="auto"/>
            <w:bottom w:val="none" w:sz="0" w:space="0" w:color="auto"/>
            <w:right w:val="none" w:sz="0" w:space="0" w:color="auto"/>
          </w:divBdr>
        </w:div>
      </w:divsChild>
    </w:div>
    <w:div w:id="1721317311">
      <w:bodyDiv w:val="1"/>
      <w:marLeft w:val="0"/>
      <w:marRight w:val="0"/>
      <w:marTop w:val="0"/>
      <w:marBottom w:val="0"/>
      <w:divBdr>
        <w:top w:val="none" w:sz="0" w:space="0" w:color="auto"/>
        <w:left w:val="none" w:sz="0" w:space="0" w:color="auto"/>
        <w:bottom w:val="none" w:sz="0" w:space="0" w:color="auto"/>
        <w:right w:val="none" w:sz="0" w:space="0" w:color="auto"/>
      </w:divBdr>
    </w:div>
    <w:div w:id="1723824812">
      <w:bodyDiv w:val="1"/>
      <w:marLeft w:val="0"/>
      <w:marRight w:val="0"/>
      <w:marTop w:val="0"/>
      <w:marBottom w:val="0"/>
      <w:divBdr>
        <w:top w:val="none" w:sz="0" w:space="0" w:color="auto"/>
        <w:left w:val="none" w:sz="0" w:space="0" w:color="auto"/>
        <w:bottom w:val="none" w:sz="0" w:space="0" w:color="auto"/>
        <w:right w:val="none" w:sz="0" w:space="0" w:color="auto"/>
      </w:divBdr>
      <w:divsChild>
        <w:div w:id="175972233">
          <w:marLeft w:val="0"/>
          <w:marRight w:val="0"/>
          <w:marTop w:val="0"/>
          <w:marBottom w:val="0"/>
          <w:divBdr>
            <w:top w:val="none" w:sz="0" w:space="0" w:color="auto"/>
            <w:left w:val="none" w:sz="0" w:space="0" w:color="auto"/>
            <w:bottom w:val="none" w:sz="0" w:space="0" w:color="auto"/>
            <w:right w:val="none" w:sz="0" w:space="0" w:color="auto"/>
          </w:divBdr>
          <w:divsChild>
            <w:div w:id="1298074568">
              <w:marLeft w:val="0"/>
              <w:marRight w:val="0"/>
              <w:marTop w:val="0"/>
              <w:marBottom w:val="0"/>
              <w:divBdr>
                <w:top w:val="none" w:sz="0" w:space="0" w:color="auto"/>
                <w:left w:val="none" w:sz="0" w:space="0" w:color="auto"/>
                <w:bottom w:val="none" w:sz="0" w:space="0" w:color="auto"/>
                <w:right w:val="none" w:sz="0" w:space="0" w:color="auto"/>
              </w:divBdr>
            </w:div>
          </w:divsChild>
        </w:div>
        <w:div w:id="331371364">
          <w:marLeft w:val="0"/>
          <w:marRight w:val="0"/>
          <w:marTop w:val="0"/>
          <w:marBottom w:val="0"/>
          <w:divBdr>
            <w:top w:val="none" w:sz="0" w:space="0" w:color="auto"/>
            <w:left w:val="none" w:sz="0" w:space="0" w:color="auto"/>
            <w:bottom w:val="none" w:sz="0" w:space="0" w:color="auto"/>
            <w:right w:val="none" w:sz="0" w:space="0" w:color="auto"/>
          </w:divBdr>
          <w:divsChild>
            <w:div w:id="169413927">
              <w:marLeft w:val="0"/>
              <w:marRight w:val="0"/>
              <w:marTop w:val="0"/>
              <w:marBottom w:val="0"/>
              <w:divBdr>
                <w:top w:val="none" w:sz="0" w:space="0" w:color="auto"/>
                <w:left w:val="none" w:sz="0" w:space="0" w:color="auto"/>
                <w:bottom w:val="none" w:sz="0" w:space="0" w:color="auto"/>
                <w:right w:val="none" w:sz="0" w:space="0" w:color="auto"/>
              </w:divBdr>
            </w:div>
          </w:divsChild>
        </w:div>
        <w:div w:id="364909823">
          <w:marLeft w:val="0"/>
          <w:marRight w:val="0"/>
          <w:marTop w:val="0"/>
          <w:marBottom w:val="0"/>
          <w:divBdr>
            <w:top w:val="none" w:sz="0" w:space="0" w:color="auto"/>
            <w:left w:val="none" w:sz="0" w:space="0" w:color="auto"/>
            <w:bottom w:val="none" w:sz="0" w:space="0" w:color="auto"/>
            <w:right w:val="none" w:sz="0" w:space="0" w:color="auto"/>
          </w:divBdr>
          <w:divsChild>
            <w:div w:id="1111586198">
              <w:marLeft w:val="0"/>
              <w:marRight w:val="0"/>
              <w:marTop w:val="0"/>
              <w:marBottom w:val="0"/>
              <w:divBdr>
                <w:top w:val="none" w:sz="0" w:space="0" w:color="auto"/>
                <w:left w:val="none" w:sz="0" w:space="0" w:color="auto"/>
                <w:bottom w:val="none" w:sz="0" w:space="0" w:color="auto"/>
                <w:right w:val="none" w:sz="0" w:space="0" w:color="auto"/>
              </w:divBdr>
            </w:div>
          </w:divsChild>
        </w:div>
        <w:div w:id="986664660">
          <w:marLeft w:val="0"/>
          <w:marRight w:val="0"/>
          <w:marTop w:val="0"/>
          <w:marBottom w:val="0"/>
          <w:divBdr>
            <w:top w:val="none" w:sz="0" w:space="0" w:color="auto"/>
            <w:left w:val="none" w:sz="0" w:space="0" w:color="auto"/>
            <w:bottom w:val="none" w:sz="0" w:space="0" w:color="auto"/>
            <w:right w:val="none" w:sz="0" w:space="0" w:color="auto"/>
          </w:divBdr>
          <w:divsChild>
            <w:div w:id="1453162093">
              <w:marLeft w:val="0"/>
              <w:marRight w:val="0"/>
              <w:marTop w:val="0"/>
              <w:marBottom w:val="0"/>
              <w:divBdr>
                <w:top w:val="none" w:sz="0" w:space="0" w:color="auto"/>
                <w:left w:val="none" w:sz="0" w:space="0" w:color="auto"/>
                <w:bottom w:val="none" w:sz="0" w:space="0" w:color="auto"/>
                <w:right w:val="none" w:sz="0" w:space="0" w:color="auto"/>
              </w:divBdr>
            </w:div>
            <w:div w:id="1613433990">
              <w:marLeft w:val="0"/>
              <w:marRight w:val="0"/>
              <w:marTop w:val="0"/>
              <w:marBottom w:val="0"/>
              <w:divBdr>
                <w:top w:val="none" w:sz="0" w:space="0" w:color="auto"/>
                <w:left w:val="none" w:sz="0" w:space="0" w:color="auto"/>
                <w:bottom w:val="none" w:sz="0" w:space="0" w:color="auto"/>
                <w:right w:val="none" w:sz="0" w:space="0" w:color="auto"/>
              </w:divBdr>
            </w:div>
            <w:div w:id="1780292442">
              <w:marLeft w:val="0"/>
              <w:marRight w:val="0"/>
              <w:marTop w:val="0"/>
              <w:marBottom w:val="0"/>
              <w:divBdr>
                <w:top w:val="none" w:sz="0" w:space="0" w:color="auto"/>
                <w:left w:val="none" w:sz="0" w:space="0" w:color="auto"/>
                <w:bottom w:val="none" w:sz="0" w:space="0" w:color="auto"/>
                <w:right w:val="none" w:sz="0" w:space="0" w:color="auto"/>
              </w:divBdr>
            </w:div>
          </w:divsChild>
        </w:div>
        <w:div w:id="1014266870">
          <w:marLeft w:val="0"/>
          <w:marRight w:val="0"/>
          <w:marTop w:val="0"/>
          <w:marBottom w:val="0"/>
          <w:divBdr>
            <w:top w:val="none" w:sz="0" w:space="0" w:color="auto"/>
            <w:left w:val="none" w:sz="0" w:space="0" w:color="auto"/>
            <w:bottom w:val="none" w:sz="0" w:space="0" w:color="auto"/>
            <w:right w:val="none" w:sz="0" w:space="0" w:color="auto"/>
          </w:divBdr>
          <w:divsChild>
            <w:div w:id="705833538">
              <w:marLeft w:val="0"/>
              <w:marRight w:val="0"/>
              <w:marTop w:val="0"/>
              <w:marBottom w:val="0"/>
              <w:divBdr>
                <w:top w:val="none" w:sz="0" w:space="0" w:color="auto"/>
                <w:left w:val="none" w:sz="0" w:space="0" w:color="auto"/>
                <w:bottom w:val="none" w:sz="0" w:space="0" w:color="auto"/>
                <w:right w:val="none" w:sz="0" w:space="0" w:color="auto"/>
              </w:divBdr>
            </w:div>
          </w:divsChild>
        </w:div>
        <w:div w:id="1097478595">
          <w:marLeft w:val="0"/>
          <w:marRight w:val="0"/>
          <w:marTop w:val="0"/>
          <w:marBottom w:val="0"/>
          <w:divBdr>
            <w:top w:val="none" w:sz="0" w:space="0" w:color="auto"/>
            <w:left w:val="none" w:sz="0" w:space="0" w:color="auto"/>
            <w:bottom w:val="none" w:sz="0" w:space="0" w:color="auto"/>
            <w:right w:val="none" w:sz="0" w:space="0" w:color="auto"/>
          </w:divBdr>
          <w:divsChild>
            <w:div w:id="1450199544">
              <w:marLeft w:val="0"/>
              <w:marRight w:val="0"/>
              <w:marTop w:val="0"/>
              <w:marBottom w:val="0"/>
              <w:divBdr>
                <w:top w:val="none" w:sz="0" w:space="0" w:color="auto"/>
                <w:left w:val="none" w:sz="0" w:space="0" w:color="auto"/>
                <w:bottom w:val="none" w:sz="0" w:space="0" w:color="auto"/>
                <w:right w:val="none" w:sz="0" w:space="0" w:color="auto"/>
              </w:divBdr>
            </w:div>
          </w:divsChild>
        </w:div>
        <w:div w:id="1337878994">
          <w:marLeft w:val="0"/>
          <w:marRight w:val="0"/>
          <w:marTop w:val="0"/>
          <w:marBottom w:val="0"/>
          <w:divBdr>
            <w:top w:val="none" w:sz="0" w:space="0" w:color="auto"/>
            <w:left w:val="none" w:sz="0" w:space="0" w:color="auto"/>
            <w:bottom w:val="none" w:sz="0" w:space="0" w:color="auto"/>
            <w:right w:val="none" w:sz="0" w:space="0" w:color="auto"/>
          </w:divBdr>
          <w:divsChild>
            <w:div w:id="1026903301">
              <w:marLeft w:val="0"/>
              <w:marRight w:val="0"/>
              <w:marTop w:val="0"/>
              <w:marBottom w:val="0"/>
              <w:divBdr>
                <w:top w:val="none" w:sz="0" w:space="0" w:color="auto"/>
                <w:left w:val="none" w:sz="0" w:space="0" w:color="auto"/>
                <w:bottom w:val="none" w:sz="0" w:space="0" w:color="auto"/>
                <w:right w:val="none" w:sz="0" w:space="0" w:color="auto"/>
              </w:divBdr>
            </w:div>
          </w:divsChild>
        </w:div>
        <w:div w:id="1440687125">
          <w:marLeft w:val="0"/>
          <w:marRight w:val="0"/>
          <w:marTop w:val="0"/>
          <w:marBottom w:val="0"/>
          <w:divBdr>
            <w:top w:val="none" w:sz="0" w:space="0" w:color="auto"/>
            <w:left w:val="none" w:sz="0" w:space="0" w:color="auto"/>
            <w:bottom w:val="none" w:sz="0" w:space="0" w:color="auto"/>
            <w:right w:val="none" w:sz="0" w:space="0" w:color="auto"/>
          </w:divBdr>
          <w:divsChild>
            <w:div w:id="1614097123">
              <w:marLeft w:val="0"/>
              <w:marRight w:val="0"/>
              <w:marTop w:val="0"/>
              <w:marBottom w:val="0"/>
              <w:divBdr>
                <w:top w:val="none" w:sz="0" w:space="0" w:color="auto"/>
                <w:left w:val="none" w:sz="0" w:space="0" w:color="auto"/>
                <w:bottom w:val="none" w:sz="0" w:space="0" w:color="auto"/>
                <w:right w:val="none" w:sz="0" w:space="0" w:color="auto"/>
              </w:divBdr>
            </w:div>
          </w:divsChild>
        </w:div>
        <w:div w:id="1470443257">
          <w:marLeft w:val="0"/>
          <w:marRight w:val="0"/>
          <w:marTop w:val="0"/>
          <w:marBottom w:val="0"/>
          <w:divBdr>
            <w:top w:val="none" w:sz="0" w:space="0" w:color="auto"/>
            <w:left w:val="none" w:sz="0" w:space="0" w:color="auto"/>
            <w:bottom w:val="none" w:sz="0" w:space="0" w:color="auto"/>
            <w:right w:val="none" w:sz="0" w:space="0" w:color="auto"/>
          </w:divBdr>
          <w:divsChild>
            <w:div w:id="963267621">
              <w:marLeft w:val="0"/>
              <w:marRight w:val="0"/>
              <w:marTop w:val="0"/>
              <w:marBottom w:val="0"/>
              <w:divBdr>
                <w:top w:val="none" w:sz="0" w:space="0" w:color="auto"/>
                <w:left w:val="none" w:sz="0" w:space="0" w:color="auto"/>
                <w:bottom w:val="none" w:sz="0" w:space="0" w:color="auto"/>
                <w:right w:val="none" w:sz="0" w:space="0" w:color="auto"/>
              </w:divBdr>
            </w:div>
          </w:divsChild>
        </w:div>
        <w:div w:id="1626161796">
          <w:marLeft w:val="0"/>
          <w:marRight w:val="0"/>
          <w:marTop w:val="0"/>
          <w:marBottom w:val="0"/>
          <w:divBdr>
            <w:top w:val="none" w:sz="0" w:space="0" w:color="auto"/>
            <w:left w:val="none" w:sz="0" w:space="0" w:color="auto"/>
            <w:bottom w:val="none" w:sz="0" w:space="0" w:color="auto"/>
            <w:right w:val="none" w:sz="0" w:space="0" w:color="auto"/>
          </w:divBdr>
          <w:divsChild>
            <w:div w:id="1235168425">
              <w:marLeft w:val="0"/>
              <w:marRight w:val="0"/>
              <w:marTop w:val="0"/>
              <w:marBottom w:val="0"/>
              <w:divBdr>
                <w:top w:val="none" w:sz="0" w:space="0" w:color="auto"/>
                <w:left w:val="none" w:sz="0" w:space="0" w:color="auto"/>
                <w:bottom w:val="none" w:sz="0" w:space="0" w:color="auto"/>
                <w:right w:val="none" w:sz="0" w:space="0" w:color="auto"/>
              </w:divBdr>
            </w:div>
          </w:divsChild>
        </w:div>
        <w:div w:id="1632049602">
          <w:marLeft w:val="0"/>
          <w:marRight w:val="0"/>
          <w:marTop w:val="0"/>
          <w:marBottom w:val="0"/>
          <w:divBdr>
            <w:top w:val="none" w:sz="0" w:space="0" w:color="auto"/>
            <w:left w:val="none" w:sz="0" w:space="0" w:color="auto"/>
            <w:bottom w:val="none" w:sz="0" w:space="0" w:color="auto"/>
            <w:right w:val="none" w:sz="0" w:space="0" w:color="auto"/>
          </w:divBdr>
          <w:divsChild>
            <w:div w:id="38677317">
              <w:marLeft w:val="0"/>
              <w:marRight w:val="0"/>
              <w:marTop w:val="0"/>
              <w:marBottom w:val="0"/>
              <w:divBdr>
                <w:top w:val="none" w:sz="0" w:space="0" w:color="auto"/>
                <w:left w:val="none" w:sz="0" w:space="0" w:color="auto"/>
                <w:bottom w:val="none" w:sz="0" w:space="0" w:color="auto"/>
                <w:right w:val="none" w:sz="0" w:space="0" w:color="auto"/>
              </w:divBdr>
            </w:div>
            <w:div w:id="161430863">
              <w:marLeft w:val="0"/>
              <w:marRight w:val="0"/>
              <w:marTop w:val="0"/>
              <w:marBottom w:val="0"/>
              <w:divBdr>
                <w:top w:val="none" w:sz="0" w:space="0" w:color="auto"/>
                <w:left w:val="none" w:sz="0" w:space="0" w:color="auto"/>
                <w:bottom w:val="none" w:sz="0" w:space="0" w:color="auto"/>
                <w:right w:val="none" w:sz="0" w:space="0" w:color="auto"/>
              </w:divBdr>
            </w:div>
            <w:div w:id="503787999">
              <w:marLeft w:val="0"/>
              <w:marRight w:val="0"/>
              <w:marTop w:val="0"/>
              <w:marBottom w:val="0"/>
              <w:divBdr>
                <w:top w:val="none" w:sz="0" w:space="0" w:color="auto"/>
                <w:left w:val="none" w:sz="0" w:space="0" w:color="auto"/>
                <w:bottom w:val="none" w:sz="0" w:space="0" w:color="auto"/>
                <w:right w:val="none" w:sz="0" w:space="0" w:color="auto"/>
              </w:divBdr>
            </w:div>
            <w:div w:id="562372587">
              <w:marLeft w:val="0"/>
              <w:marRight w:val="0"/>
              <w:marTop w:val="0"/>
              <w:marBottom w:val="0"/>
              <w:divBdr>
                <w:top w:val="none" w:sz="0" w:space="0" w:color="auto"/>
                <w:left w:val="none" w:sz="0" w:space="0" w:color="auto"/>
                <w:bottom w:val="none" w:sz="0" w:space="0" w:color="auto"/>
                <w:right w:val="none" w:sz="0" w:space="0" w:color="auto"/>
              </w:divBdr>
            </w:div>
            <w:div w:id="1159542428">
              <w:marLeft w:val="0"/>
              <w:marRight w:val="0"/>
              <w:marTop w:val="0"/>
              <w:marBottom w:val="0"/>
              <w:divBdr>
                <w:top w:val="none" w:sz="0" w:space="0" w:color="auto"/>
                <w:left w:val="none" w:sz="0" w:space="0" w:color="auto"/>
                <w:bottom w:val="none" w:sz="0" w:space="0" w:color="auto"/>
                <w:right w:val="none" w:sz="0" w:space="0" w:color="auto"/>
              </w:divBdr>
            </w:div>
          </w:divsChild>
        </w:div>
        <w:div w:id="1785080512">
          <w:marLeft w:val="0"/>
          <w:marRight w:val="0"/>
          <w:marTop w:val="0"/>
          <w:marBottom w:val="0"/>
          <w:divBdr>
            <w:top w:val="none" w:sz="0" w:space="0" w:color="auto"/>
            <w:left w:val="none" w:sz="0" w:space="0" w:color="auto"/>
            <w:bottom w:val="none" w:sz="0" w:space="0" w:color="auto"/>
            <w:right w:val="none" w:sz="0" w:space="0" w:color="auto"/>
          </w:divBdr>
          <w:divsChild>
            <w:div w:id="229734309">
              <w:marLeft w:val="0"/>
              <w:marRight w:val="0"/>
              <w:marTop w:val="0"/>
              <w:marBottom w:val="0"/>
              <w:divBdr>
                <w:top w:val="none" w:sz="0" w:space="0" w:color="auto"/>
                <w:left w:val="none" w:sz="0" w:space="0" w:color="auto"/>
                <w:bottom w:val="none" w:sz="0" w:space="0" w:color="auto"/>
                <w:right w:val="none" w:sz="0" w:space="0" w:color="auto"/>
              </w:divBdr>
            </w:div>
            <w:div w:id="607662996">
              <w:marLeft w:val="0"/>
              <w:marRight w:val="0"/>
              <w:marTop w:val="0"/>
              <w:marBottom w:val="0"/>
              <w:divBdr>
                <w:top w:val="none" w:sz="0" w:space="0" w:color="auto"/>
                <w:left w:val="none" w:sz="0" w:space="0" w:color="auto"/>
                <w:bottom w:val="none" w:sz="0" w:space="0" w:color="auto"/>
                <w:right w:val="none" w:sz="0" w:space="0" w:color="auto"/>
              </w:divBdr>
            </w:div>
            <w:div w:id="871646406">
              <w:marLeft w:val="0"/>
              <w:marRight w:val="0"/>
              <w:marTop w:val="0"/>
              <w:marBottom w:val="0"/>
              <w:divBdr>
                <w:top w:val="none" w:sz="0" w:space="0" w:color="auto"/>
                <w:left w:val="none" w:sz="0" w:space="0" w:color="auto"/>
                <w:bottom w:val="none" w:sz="0" w:space="0" w:color="auto"/>
                <w:right w:val="none" w:sz="0" w:space="0" w:color="auto"/>
              </w:divBdr>
            </w:div>
            <w:div w:id="992489858">
              <w:marLeft w:val="0"/>
              <w:marRight w:val="0"/>
              <w:marTop w:val="0"/>
              <w:marBottom w:val="0"/>
              <w:divBdr>
                <w:top w:val="none" w:sz="0" w:space="0" w:color="auto"/>
                <w:left w:val="none" w:sz="0" w:space="0" w:color="auto"/>
                <w:bottom w:val="none" w:sz="0" w:space="0" w:color="auto"/>
                <w:right w:val="none" w:sz="0" w:space="0" w:color="auto"/>
              </w:divBdr>
            </w:div>
          </w:divsChild>
        </w:div>
        <w:div w:id="1801264395">
          <w:marLeft w:val="0"/>
          <w:marRight w:val="0"/>
          <w:marTop w:val="0"/>
          <w:marBottom w:val="0"/>
          <w:divBdr>
            <w:top w:val="none" w:sz="0" w:space="0" w:color="auto"/>
            <w:left w:val="none" w:sz="0" w:space="0" w:color="auto"/>
            <w:bottom w:val="none" w:sz="0" w:space="0" w:color="auto"/>
            <w:right w:val="none" w:sz="0" w:space="0" w:color="auto"/>
          </w:divBdr>
          <w:divsChild>
            <w:div w:id="364646754">
              <w:marLeft w:val="0"/>
              <w:marRight w:val="0"/>
              <w:marTop w:val="0"/>
              <w:marBottom w:val="0"/>
              <w:divBdr>
                <w:top w:val="none" w:sz="0" w:space="0" w:color="auto"/>
                <w:left w:val="none" w:sz="0" w:space="0" w:color="auto"/>
                <w:bottom w:val="none" w:sz="0" w:space="0" w:color="auto"/>
                <w:right w:val="none" w:sz="0" w:space="0" w:color="auto"/>
              </w:divBdr>
            </w:div>
          </w:divsChild>
        </w:div>
        <w:div w:id="2128235626">
          <w:marLeft w:val="0"/>
          <w:marRight w:val="0"/>
          <w:marTop w:val="0"/>
          <w:marBottom w:val="0"/>
          <w:divBdr>
            <w:top w:val="none" w:sz="0" w:space="0" w:color="auto"/>
            <w:left w:val="none" w:sz="0" w:space="0" w:color="auto"/>
            <w:bottom w:val="none" w:sz="0" w:space="0" w:color="auto"/>
            <w:right w:val="none" w:sz="0" w:space="0" w:color="auto"/>
          </w:divBdr>
          <w:divsChild>
            <w:div w:id="49934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670037">
      <w:bodyDiv w:val="1"/>
      <w:marLeft w:val="0"/>
      <w:marRight w:val="0"/>
      <w:marTop w:val="0"/>
      <w:marBottom w:val="0"/>
      <w:divBdr>
        <w:top w:val="none" w:sz="0" w:space="0" w:color="auto"/>
        <w:left w:val="none" w:sz="0" w:space="0" w:color="auto"/>
        <w:bottom w:val="none" w:sz="0" w:space="0" w:color="auto"/>
        <w:right w:val="none" w:sz="0" w:space="0" w:color="auto"/>
      </w:divBdr>
    </w:div>
    <w:div w:id="1728412636">
      <w:bodyDiv w:val="1"/>
      <w:marLeft w:val="0"/>
      <w:marRight w:val="0"/>
      <w:marTop w:val="0"/>
      <w:marBottom w:val="0"/>
      <w:divBdr>
        <w:top w:val="none" w:sz="0" w:space="0" w:color="auto"/>
        <w:left w:val="none" w:sz="0" w:space="0" w:color="auto"/>
        <w:bottom w:val="none" w:sz="0" w:space="0" w:color="auto"/>
        <w:right w:val="none" w:sz="0" w:space="0" w:color="auto"/>
      </w:divBdr>
    </w:div>
    <w:div w:id="1739397564">
      <w:bodyDiv w:val="1"/>
      <w:marLeft w:val="0"/>
      <w:marRight w:val="0"/>
      <w:marTop w:val="0"/>
      <w:marBottom w:val="0"/>
      <w:divBdr>
        <w:top w:val="none" w:sz="0" w:space="0" w:color="auto"/>
        <w:left w:val="none" w:sz="0" w:space="0" w:color="auto"/>
        <w:bottom w:val="none" w:sz="0" w:space="0" w:color="auto"/>
        <w:right w:val="none" w:sz="0" w:space="0" w:color="auto"/>
      </w:divBdr>
    </w:div>
    <w:div w:id="1744334174">
      <w:bodyDiv w:val="1"/>
      <w:marLeft w:val="0"/>
      <w:marRight w:val="0"/>
      <w:marTop w:val="0"/>
      <w:marBottom w:val="0"/>
      <w:divBdr>
        <w:top w:val="none" w:sz="0" w:space="0" w:color="auto"/>
        <w:left w:val="none" w:sz="0" w:space="0" w:color="auto"/>
        <w:bottom w:val="none" w:sz="0" w:space="0" w:color="auto"/>
        <w:right w:val="none" w:sz="0" w:space="0" w:color="auto"/>
      </w:divBdr>
      <w:divsChild>
        <w:div w:id="67115245">
          <w:marLeft w:val="0"/>
          <w:marRight w:val="0"/>
          <w:marTop w:val="0"/>
          <w:marBottom w:val="0"/>
          <w:divBdr>
            <w:top w:val="none" w:sz="0" w:space="0" w:color="auto"/>
            <w:left w:val="none" w:sz="0" w:space="0" w:color="auto"/>
            <w:bottom w:val="none" w:sz="0" w:space="0" w:color="auto"/>
            <w:right w:val="none" w:sz="0" w:space="0" w:color="auto"/>
          </w:divBdr>
        </w:div>
        <w:div w:id="174418103">
          <w:marLeft w:val="0"/>
          <w:marRight w:val="0"/>
          <w:marTop w:val="0"/>
          <w:marBottom w:val="0"/>
          <w:divBdr>
            <w:top w:val="none" w:sz="0" w:space="0" w:color="auto"/>
            <w:left w:val="none" w:sz="0" w:space="0" w:color="auto"/>
            <w:bottom w:val="none" w:sz="0" w:space="0" w:color="auto"/>
            <w:right w:val="none" w:sz="0" w:space="0" w:color="auto"/>
          </w:divBdr>
        </w:div>
        <w:div w:id="231046192">
          <w:marLeft w:val="0"/>
          <w:marRight w:val="0"/>
          <w:marTop w:val="0"/>
          <w:marBottom w:val="0"/>
          <w:divBdr>
            <w:top w:val="none" w:sz="0" w:space="0" w:color="auto"/>
            <w:left w:val="none" w:sz="0" w:space="0" w:color="auto"/>
            <w:bottom w:val="none" w:sz="0" w:space="0" w:color="auto"/>
            <w:right w:val="none" w:sz="0" w:space="0" w:color="auto"/>
          </w:divBdr>
        </w:div>
        <w:div w:id="263462833">
          <w:marLeft w:val="0"/>
          <w:marRight w:val="0"/>
          <w:marTop w:val="0"/>
          <w:marBottom w:val="0"/>
          <w:divBdr>
            <w:top w:val="none" w:sz="0" w:space="0" w:color="auto"/>
            <w:left w:val="none" w:sz="0" w:space="0" w:color="auto"/>
            <w:bottom w:val="none" w:sz="0" w:space="0" w:color="auto"/>
            <w:right w:val="none" w:sz="0" w:space="0" w:color="auto"/>
          </w:divBdr>
        </w:div>
        <w:div w:id="276332145">
          <w:marLeft w:val="0"/>
          <w:marRight w:val="0"/>
          <w:marTop w:val="0"/>
          <w:marBottom w:val="0"/>
          <w:divBdr>
            <w:top w:val="none" w:sz="0" w:space="0" w:color="auto"/>
            <w:left w:val="none" w:sz="0" w:space="0" w:color="auto"/>
            <w:bottom w:val="none" w:sz="0" w:space="0" w:color="auto"/>
            <w:right w:val="none" w:sz="0" w:space="0" w:color="auto"/>
          </w:divBdr>
          <w:divsChild>
            <w:div w:id="2073767342">
              <w:marLeft w:val="-75"/>
              <w:marRight w:val="0"/>
              <w:marTop w:val="30"/>
              <w:marBottom w:val="30"/>
              <w:divBdr>
                <w:top w:val="none" w:sz="0" w:space="0" w:color="auto"/>
                <w:left w:val="none" w:sz="0" w:space="0" w:color="auto"/>
                <w:bottom w:val="none" w:sz="0" w:space="0" w:color="auto"/>
                <w:right w:val="none" w:sz="0" w:space="0" w:color="auto"/>
              </w:divBdr>
              <w:divsChild>
                <w:div w:id="1058213">
                  <w:marLeft w:val="0"/>
                  <w:marRight w:val="0"/>
                  <w:marTop w:val="0"/>
                  <w:marBottom w:val="0"/>
                  <w:divBdr>
                    <w:top w:val="none" w:sz="0" w:space="0" w:color="auto"/>
                    <w:left w:val="none" w:sz="0" w:space="0" w:color="auto"/>
                    <w:bottom w:val="none" w:sz="0" w:space="0" w:color="auto"/>
                    <w:right w:val="none" w:sz="0" w:space="0" w:color="auto"/>
                  </w:divBdr>
                  <w:divsChild>
                    <w:div w:id="1387144068">
                      <w:marLeft w:val="0"/>
                      <w:marRight w:val="0"/>
                      <w:marTop w:val="0"/>
                      <w:marBottom w:val="0"/>
                      <w:divBdr>
                        <w:top w:val="none" w:sz="0" w:space="0" w:color="auto"/>
                        <w:left w:val="none" w:sz="0" w:space="0" w:color="auto"/>
                        <w:bottom w:val="none" w:sz="0" w:space="0" w:color="auto"/>
                        <w:right w:val="none" w:sz="0" w:space="0" w:color="auto"/>
                      </w:divBdr>
                    </w:div>
                  </w:divsChild>
                </w:div>
                <w:div w:id="73213157">
                  <w:marLeft w:val="0"/>
                  <w:marRight w:val="0"/>
                  <w:marTop w:val="0"/>
                  <w:marBottom w:val="0"/>
                  <w:divBdr>
                    <w:top w:val="none" w:sz="0" w:space="0" w:color="auto"/>
                    <w:left w:val="none" w:sz="0" w:space="0" w:color="auto"/>
                    <w:bottom w:val="none" w:sz="0" w:space="0" w:color="auto"/>
                    <w:right w:val="none" w:sz="0" w:space="0" w:color="auto"/>
                  </w:divBdr>
                  <w:divsChild>
                    <w:div w:id="1461608498">
                      <w:marLeft w:val="0"/>
                      <w:marRight w:val="0"/>
                      <w:marTop w:val="0"/>
                      <w:marBottom w:val="0"/>
                      <w:divBdr>
                        <w:top w:val="none" w:sz="0" w:space="0" w:color="auto"/>
                        <w:left w:val="none" w:sz="0" w:space="0" w:color="auto"/>
                        <w:bottom w:val="none" w:sz="0" w:space="0" w:color="auto"/>
                        <w:right w:val="none" w:sz="0" w:space="0" w:color="auto"/>
                      </w:divBdr>
                    </w:div>
                  </w:divsChild>
                </w:div>
                <w:div w:id="97262766">
                  <w:marLeft w:val="0"/>
                  <w:marRight w:val="0"/>
                  <w:marTop w:val="0"/>
                  <w:marBottom w:val="0"/>
                  <w:divBdr>
                    <w:top w:val="none" w:sz="0" w:space="0" w:color="auto"/>
                    <w:left w:val="none" w:sz="0" w:space="0" w:color="auto"/>
                    <w:bottom w:val="none" w:sz="0" w:space="0" w:color="auto"/>
                    <w:right w:val="none" w:sz="0" w:space="0" w:color="auto"/>
                  </w:divBdr>
                  <w:divsChild>
                    <w:div w:id="45110848">
                      <w:marLeft w:val="0"/>
                      <w:marRight w:val="0"/>
                      <w:marTop w:val="0"/>
                      <w:marBottom w:val="0"/>
                      <w:divBdr>
                        <w:top w:val="none" w:sz="0" w:space="0" w:color="auto"/>
                        <w:left w:val="none" w:sz="0" w:space="0" w:color="auto"/>
                        <w:bottom w:val="none" w:sz="0" w:space="0" w:color="auto"/>
                        <w:right w:val="none" w:sz="0" w:space="0" w:color="auto"/>
                      </w:divBdr>
                    </w:div>
                  </w:divsChild>
                </w:div>
                <w:div w:id="133060300">
                  <w:marLeft w:val="0"/>
                  <w:marRight w:val="0"/>
                  <w:marTop w:val="0"/>
                  <w:marBottom w:val="0"/>
                  <w:divBdr>
                    <w:top w:val="none" w:sz="0" w:space="0" w:color="auto"/>
                    <w:left w:val="none" w:sz="0" w:space="0" w:color="auto"/>
                    <w:bottom w:val="none" w:sz="0" w:space="0" w:color="auto"/>
                    <w:right w:val="none" w:sz="0" w:space="0" w:color="auto"/>
                  </w:divBdr>
                  <w:divsChild>
                    <w:div w:id="203368998">
                      <w:marLeft w:val="0"/>
                      <w:marRight w:val="0"/>
                      <w:marTop w:val="0"/>
                      <w:marBottom w:val="0"/>
                      <w:divBdr>
                        <w:top w:val="none" w:sz="0" w:space="0" w:color="auto"/>
                        <w:left w:val="none" w:sz="0" w:space="0" w:color="auto"/>
                        <w:bottom w:val="none" w:sz="0" w:space="0" w:color="auto"/>
                        <w:right w:val="none" w:sz="0" w:space="0" w:color="auto"/>
                      </w:divBdr>
                    </w:div>
                  </w:divsChild>
                </w:div>
                <w:div w:id="142046879">
                  <w:marLeft w:val="0"/>
                  <w:marRight w:val="0"/>
                  <w:marTop w:val="0"/>
                  <w:marBottom w:val="0"/>
                  <w:divBdr>
                    <w:top w:val="none" w:sz="0" w:space="0" w:color="auto"/>
                    <w:left w:val="none" w:sz="0" w:space="0" w:color="auto"/>
                    <w:bottom w:val="none" w:sz="0" w:space="0" w:color="auto"/>
                    <w:right w:val="none" w:sz="0" w:space="0" w:color="auto"/>
                  </w:divBdr>
                  <w:divsChild>
                    <w:div w:id="1593195845">
                      <w:marLeft w:val="0"/>
                      <w:marRight w:val="0"/>
                      <w:marTop w:val="0"/>
                      <w:marBottom w:val="0"/>
                      <w:divBdr>
                        <w:top w:val="none" w:sz="0" w:space="0" w:color="auto"/>
                        <w:left w:val="none" w:sz="0" w:space="0" w:color="auto"/>
                        <w:bottom w:val="none" w:sz="0" w:space="0" w:color="auto"/>
                        <w:right w:val="none" w:sz="0" w:space="0" w:color="auto"/>
                      </w:divBdr>
                    </w:div>
                  </w:divsChild>
                </w:div>
                <w:div w:id="153760278">
                  <w:marLeft w:val="0"/>
                  <w:marRight w:val="0"/>
                  <w:marTop w:val="0"/>
                  <w:marBottom w:val="0"/>
                  <w:divBdr>
                    <w:top w:val="none" w:sz="0" w:space="0" w:color="auto"/>
                    <w:left w:val="none" w:sz="0" w:space="0" w:color="auto"/>
                    <w:bottom w:val="none" w:sz="0" w:space="0" w:color="auto"/>
                    <w:right w:val="none" w:sz="0" w:space="0" w:color="auto"/>
                  </w:divBdr>
                  <w:divsChild>
                    <w:div w:id="1620646110">
                      <w:marLeft w:val="0"/>
                      <w:marRight w:val="0"/>
                      <w:marTop w:val="0"/>
                      <w:marBottom w:val="0"/>
                      <w:divBdr>
                        <w:top w:val="none" w:sz="0" w:space="0" w:color="auto"/>
                        <w:left w:val="none" w:sz="0" w:space="0" w:color="auto"/>
                        <w:bottom w:val="none" w:sz="0" w:space="0" w:color="auto"/>
                        <w:right w:val="none" w:sz="0" w:space="0" w:color="auto"/>
                      </w:divBdr>
                    </w:div>
                  </w:divsChild>
                </w:div>
                <w:div w:id="244918143">
                  <w:marLeft w:val="0"/>
                  <w:marRight w:val="0"/>
                  <w:marTop w:val="0"/>
                  <w:marBottom w:val="0"/>
                  <w:divBdr>
                    <w:top w:val="none" w:sz="0" w:space="0" w:color="auto"/>
                    <w:left w:val="none" w:sz="0" w:space="0" w:color="auto"/>
                    <w:bottom w:val="none" w:sz="0" w:space="0" w:color="auto"/>
                    <w:right w:val="none" w:sz="0" w:space="0" w:color="auto"/>
                  </w:divBdr>
                  <w:divsChild>
                    <w:div w:id="838739033">
                      <w:marLeft w:val="0"/>
                      <w:marRight w:val="0"/>
                      <w:marTop w:val="0"/>
                      <w:marBottom w:val="0"/>
                      <w:divBdr>
                        <w:top w:val="none" w:sz="0" w:space="0" w:color="auto"/>
                        <w:left w:val="none" w:sz="0" w:space="0" w:color="auto"/>
                        <w:bottom w:val="none" w:sz="0" w:space="0" w:color="auto"/>
                        <w:right w:val="none" w:sz="0" w:space="0" w:color="auto"/>
                      </w:divBdr>
                    </w:div>
                  </w:divsChild>
                </w:div>
                <w:div w:id="283971041">
                  <w:marLeft w:val="0"/>
                  <w:marRight w:val="0"/>
                  <w:marTop w:val="0"/>
                  <w:marBottom w:val="0"/>
                  <w:divBdr>
                    <w:top w:val="none" w:sz="0" w:space="0" w:color="auto"/>
                    <w:left w:val="none" w:sz="0" w:space="0" w:color="auto"/>
                    <w:bottom w:val="none" w:sz="0" w:space="0" w:color="auto"/>
                    <w:right w:val="none" w:sz="0" w:space="0" w:color="auto"/>
                  </w:divBdr>
                  <w:divsChild>
                    <w:div w:id="1450851449">
                      <w:marLeft w:val="0"/>
                      <w:marRight w:val="0"/>
                      <w:marTop w:val="0"/>
                      <w:marBottom w:val="0"/>
                      <w:divBdr>
                        <w:top w:val="none" w:sz="0" w:space="0" w:color="auto"/>
                        <w:left w:val="none" w:sz="0" w:space="0" w:color="auto"/>
                        <w:bottom w:val="none" w:sz="0" w:space="0" w:color="auto"/>
                        <w:right w:val="none" w:sz="0" w:space="0" w:color="auto"/>
                      </w:divBdr>
                    </w:div>
                  </w:divsChild>
                </w:div>
                <w:div w:id="322634492">
                  <w:marLeft w:val="0"/>
                  <w:marRight w:val="0"/>
                  <w:marTop w:val="0"/>
                  <w:marBottom w:val="0"/>
                  <w:divBdr>
                    <w:top w:val="none" w:sz="0" w:space="0" w:color="auto"/>
                    <w:left w:val="none" w:sz="0" w:space="0" w:color="auto"/>
                    <w:bottom w:val="none" w:sz="0" w:space="0" w:color="auto"/>
                    <w:right w:val="none" w:sz="0" w:space="0" w:color="auto"/>
                  </w:divBdr>
                  <w:divsChild>
                    <w:div w:id="2142376211">
                      <w:marLeft w:val="0"/>
                      <w:marRight w:val="0"/>
                      <w:marTop w:val="0"/>
                      <w:marBottom w:val="0"/>
                      <w:divBdr>
                        <w:top w:val="none" w:sz="0" w:space="0" w:color="auto"/>
                        <w:left w:val="none" w:sz="0" w:space="0" w:color="auto"/>
                        <w:bottom w:val="none" w:sz="0" w:space="0" w:color="auto"/>
                        <w:right w:val="none" w:sz="0" w:space="0" w:color="auto"/>
                      </w:divBdr>
                    </w:div>
                  </w:divsChild>
                </w:div>
                <w:div w:id="325941749">
                  <w:marLeft w:val="0"/>
                  <w:marRight w:val="0"/>
                  <w:marTop w:val="0"/>
                  <w:marBottom w:val="0"/>
                  <w:divBdr>
                    <w:top w:val="none" w:sz="0" w:space="0" w:color="auto"/>
                    <w:left w:val="none" w:sz="0" w:space="0" w:color="auto"/>
                    <w:bottom w:val="none" w:sz="0" w:space="0" w:color="auto"/>
                    <w:right w:val="none" w:sz="0" w:space="0" w:color="auto"/>
                  </w:divBdr>
                  <w:divsChild>
                    <w:div w:id="1198352325">
                      <w:marLeft w:val="0"/>
                      <w:marRight w:val="0"/>
                      <w:marTop w:val="0"/>
                      <w:marBottom w:val="0"/>
                      <w:divBdr>
                        <w:top w:val="none" w:sz="0" w:space="0" w:color="auto"/>
                        <w:left w:val="none" w:sz="0" w:space="0" w:color="auto"/>
                        <w:bottom w:val="none" w:sz="0" w:space="0" w:color="auto"/>
                        <w:right w:val="none" w:sz="0" w:space="0" w:color="auto"/>
                      </w:divBdr>
                    </w:div>
                  </w:divsChild>
                </w:div>
                <w:div w:id="435905669">
                  <w:marLeft w:val="0"/>
                  <w:marRight w:val="0"/>
                  <w:marTop w:val="0"/>
                  <w:marBottom w:val="0"/>
                  <w:divBdr>
                    <w:top w:val="none" w:sz="0" w:space="0" w:color="auto"/>
                    <w:left w:val="none" w:sz="0" w:space="0" w:color="auto"/>
                    <w:bottom w:val="none" w:sz="0" w:space="0" w:color="auto"/>
                    <w:right w:val="none" w:sz="0" w:space="0" w:color="auto"/>
                  </w:divBdr>
                  <w:divsChild>
                    <w:div w:id="880097691">
                      <w:marLeft w:val="0"/>
                      <w:marRight w:val="0"/>
                      <w:marTop w:val="0"/>
                      <w:marBottom w:val="0"/>
                      <w:divBdr>
                        <w:top w:val="none" w:sz="0" w:space="0" w:color="auto"/>
                        <w:left w:val="none" w:sz="0" w:space="0" w:color="auto"/>
                        <w:bottom w:val="none" w:sz="0" w:space="0" w:color="auto"/>
                        <w:right w:val="none" w:sz="0" w:space="0" w:color="auto"/>
                      </w:divBdr>
                    </w:div>
                  </w:divsChild>
                </w:div>
                <w:div w:id="455371376">
                  <w:marLeft w:val="0"/>
                  <w:marRight w:val="0"/>
                  <w:marTop w:val="0"/>
                  <w:marBottom w:val="0"/>
                  <w:divBdr>
                    <w:top w:val="none" w:sz="0" w:space="0" w:color="auto"/>
                    <w:left w:val="none" w:sz="0" w:space="0" w:color="auto"/>
                    <w:bottom w:val="none" w:sz="0" w:space="0" w:color="auto"/>
                    <w:right w:val="none" w:sz="0" w:space="0" w:color="auto"/>
                  </w:divBdr>
                  <w:divsChild>
                    <w:div w:id="854080720">
                      <w:marLeft w:val="0"/>
                      <w:marRight w:val="0"/>
                      <w:marTop w:val="0"/>
                      <w:marBottom w:val="0"/>
                      <w:divBdr>
                        <w:top w:val="none" w:sz="0" w:space="0" w:color="auto"/>
                        <w:left w:val="none" w:sz="0" w:space="0" w:color="auto"/>
                        <w:bottom w:val="none" w:sz="0" w:space="0" w:color="auto"/>
                        <w:right w:val="none" w:sz="0" w:space="0" w:color="auto"/>
                      </w:divBdr>
                    </w:div>
                  </w:divsChild>
                </w:div>
                <w:div w:id="730234832">
                  <w:marLeft w:val="0"/>
                  <w:marRight w:val="0"/>
                  <w:marTop w:val="0"/>
                  <w:marBottom w:val="0"/>
                  <w:divBdr>
                    <w:top w:val="none" w:sz="0" w:space="0" w:color="auto"/>
                    <w:left w:val="none" w:sz="0" w:space="0" w:color="auto"/>
                    <w:bottom w:val="none" w:sz="0" w:space="0" w:color="auto"/>
                    <w:right w:val="none" w:sz="0" w:space="0" w:color="auto"/>
                  </w:divBdr>
                  <w:divsChild>
                    <w:div w:id="1480490070">
                      <w:marLeft w:val="0"/>
                      <w:marRight w:val="0"/>
                      <w:marTop w:val="0"/>
                      <w:marBottom w:val="0"/>
                      <w:divBdr>
                        <w:top w:val="none" w:sz="0" w:space="0" w:color="auto"/>
                        <w:left w:val="none" w:sz="0" w:space="0" w:color="auto"/>
                        <w:bottom w:val="none" w:sz="0" w:space="0" w:color="auto"/>
                        <w:right w:val="none" w:sz="0" w:space="0" w:color="auto"/>
                      </w:divBdr>
                    </w:div>
                  </w:divsChild>
                </w:div>
                <w:div w:id="785778905">
                  <w:marLeft w:val="0"/>
                  <w:marRight w:val="0"/>
                  <w:marTop w:val="0"/>
                  <w:marBottom w:val="0"/>
                  <w:divBdr>
                    <w:top w:val="none" w:sz="0" w:space="0" w:color="auto"/>
                    <w:left w:val="none" w:sz="0" w:space="0" w:color="auto"/>
                    <w:bottom w:val="none" w:sz="0" w:space="0" w:color="auto"/>
                    <w:right w:val="none" w:sz="0" w:space="0" w:color="auto"/>
                  </w:divBdr>
                  <w:divsChild>
                    <w:div w:id="691490626">
                      <w:marLeft w:val="0"/>
                      <w:marRight w:val="0"/>
                      <w:marTop w:val="0"/>
                      <w:marBottom w:val="0"/>
                      <w:divBdr>
                        <w:top w:val="none" w:sz="0" w:space="0" w:color="auto"/>
                        <w:left w:val="none" w:sz="0" w:space="0" w:color="auto"/>
                        <w:bottom w:val="none" w:sz="0" w:space="0" w:color="auto"/>
                        <w:right w:val="none" w:sz="0" w:space="0" w:color="auto"/>
                      </w:divBdr>
                    </w:div>
                  </w:divsChild>
                </w:div>
                <w:div w:id="885604228">
                  <w:marLeft w:val="0"/>
                  <w:marRight w:val="0"/>
                  <w:marTop w:val="0"/>
                  <w:marBottom w:val="0"/>
                  <w:divBdr>
                    <w:top w:val="none" w:sz="0" w:space="0" w:color="auto"/>
                    <w:left w:val="none" w:sz="0" w:space="0" w:color="auto"/>
                    <w:bottom w:val="none" w:sz="0" w:space="0" w:color="auto"/>
                    <w:right w:val="none" w:sz="0" w:space="0" w:color="auto"/>
                  </w:divBdr>
                  <w:divsChild>
                    <w:div w:id="1771777906">
                      <w:marLeft w:val="0"/>
                      <w:marRight w:val="0"/>
                      <w:marTop w:val="0"/>
                      <w:marBottom w:val="0"/>
                      <w:divBdr>
                        <w:top w:val="none" w:sz="0" w:space="0" w:color="auto"/>
                        <w:left w:val="none" w:sz="0" w:space="0" w:color="auto"/>
                        <w:bottom w:val="none" w:sz="0" w:space="0" w:color="auto"/>
                        <w:right w:val="none" w:sz="0" w:space="0" w:color="auto"/>
                      </w:divBdr>
                    </w:div>
                  </w:divsChild>
                </w:div>
                <w:div w:id="957684118">
                  <w:marLeft w:val="0"/>
                  <w:marRight w:val="0"/>
                  <w:marTop w:val="0"/>
                  <w:marBottom w:val="0"/>
                  <w:divBdr>
                    <w:top w:val="none" w:sz="0" w:space="0" w:color="auto"/>
                    <w:left w:val="none" w:sz="0" w:space="0" w:color="auto"/>
                    <w:bottom w:val="none" w:sz="0" w:space="0" w:color="auto"/>
                    <w:right w:val="none" w:sz="0" w:space="0" w:color="auto"/>
                  </w:divBdr>
                  <w:divsChild>
                    <w:div w:id="1765877184">
                      <w:marLeft w:val="0"/>
                      <w:marRight w:val="0"/>
                      <w:marTop w:val="0"/>
                      <w:marBottom w:val="0"/>
                      <w:divBdr>
                        <w:top w:val="none" w:sz="0" w:space="0" w:color="auto"/>
                        <w:left w:val="none" w:sz="0" w:space="0" w:color="auto"/>
                        <w:bottom w:val="none" w:sz="0" w:space="0" w:color="auto"/>
                        <w:right w:val="none" w:sz="0" w:space="0" w:color="auto"/>
                      </w:divBdr>
                    </w:div>
                  </w:divsChild>
                </w:div>
                <w:div w:id="982849759">
                  <w:marLeft w:val="0"/>
                  <w:marRight w:val="0"/>
                  <w:marTop w:val="0"/>
                  <w:marBottom w:val="0"/>
                  <w:divBdr>
                    <w:top w:val="none" w:sz="0" w:space="0" w:color="auto"/>
                    <w:left w:val="none" w:sz="0" w:space="0" w:color="auto"/>
                    <w:bottom w:val="none" w:sz="0" w:space="0" w:color="auto"/>
                    <w:right w:val="none" w:sz="0" w:space="0" w:color="auto"/>
                  </w:divBdr>
                  <w:divsChild>
                    <w:div w:id="157308682">
                      <w:marLeft w:val="0"/>
                      <w:marRight w:val="0"/>
                      <w:marTop w:val="0"/>
                      <w:marBottom w:val="0"/>
                      <w:divBdr>
                        <w:top w:val="none" w:sz="0" w:space="0" w:color="auto"/>
                        <w:left w:val="none" w:sz="0" w:space="0" w:color="auto"/>
                        <w:bottom w:val="none" w:sz="0" w:space="0" w:color="auto"/>
                        <w:right w:val="none" w:sz="0" w:space="0" w:color="auto"/>
                      </w:divBdr>
                    </w:div>
                  </w:divsChild>
                </w:div>
                <w:div w:id="994914916">
                  <w:marLeft w:val="0"/>
                  <w:marRight w:val="0"/>
                  <w:marTop w:val="0"/>
                  <w:marBottom w:val="0"/>
                  <w:divBdr>
                    <w:top w:val="none" w:sz="0" w:space="0" w:color="auto"/>
                    <w:left w:val="none" w:sz="0" w:space="0" w:color="auto"/>
                    <w:bottom w:val="none" w:sz="0" w:space="0" w:color="auto"/>
                    <w:right w:val="none" w:sz="0" w:space="0" w:color="auto"/>
                  </w:divBdr>
                  <w:divsChild>
                    <w:div w:id="453602560">
                      <w:marLeft w:val="0"/>
                      <w:marRight w:val="0"/>
                      <w:marTop w:val="0"/>
                      <w:marBottom w:val="0"/>
                      <w:divBdr>
                        <w:top w:val="none" w:sz="0" w:space="0" w:color="auto"/>
                        <w:left w:val="none" w:sz="0" w:space="0" w:color="auto"/>
                        <w:bottom w:val="none" w:sz="0" w:space="0" w:color="auto"/>
                        <w:right w:val="none" w:sz="0" w:space="0" w:color="auto"/>
                      </w:divBdr>
                    </w:div>
                  </w:divsChild>
                </w:div>
                <w:div w:id="1002201863">
                  <w:marLeft w:val="0"/>
                  <w:marRight w:val="0"/>
                  <w:marTop w:val="0"/>
                  <w:marBottom w:val="0"/>
                  <w:divBdr>
                    <w:top w:val="none" w:sz="0" w:space="0" w:color="auto"/>
                    <w:left w:val="none" w:sz="0" w:space="0" w:color="auto"/>
                    <w:bottom w:val="none" w:sz="0" w:space="0" w:color="auto"/>
                    <w:right w:val="none" w:sz="0" w:space="0" w:color="auto"/>
                  </w:divBdr>
                  <w:divsChild>
                    <w:div w:id="2024241909">
                      <w:marLeft w:val="0"/>
                      <w:marRight w:val="0"/>
                      <w:marTop w:val="0"/>
                      <w:marBottom w:val="0"/>
                      <w:divBdr>
                        <w:top w:val="none" w:sz="0" w:space="0" w:color="auto"/>
                        <w:left w:val="none" w:sz="0" w:space="0" w:color="auto"/>
                        <w:bottom w:val="none" w:sz="0" w:space="0" w:color="auto"/>
                        <w:right w:val="none" w:sz="0" w:space="0" w:color="auto"/>
                      </w:divBdr>
                    </w:div>
                  </w:divsChild>
                </w:div>
                <w:div w:id="1050156260">
                  <w:marLeft w:val="0"/>
                  <w:marRight w:val="0"/>
                  <w:marTop w:val="0"/>
                  <w:marBottom w:val="0"/>
                  <w:divBdr>
                    <w:top w:val="none" w:sz="0" w:space="0" w:color="auto"/>
                    <w:left w:val="none" w:sz="0" w:space="0" w:color="auto"/>
                    <w:bottom w:val="none" w:sz="0" w:space="0" w:color="auto"/>
                    <w:right w:val="none" w:sz="0" w:space="0" w:color="auto"/>
                  </w:divBdr>
                  <w:divsChild>
                    <w:div w:id="1307666117">
                      <w:marLeft w:val="0"/>
                      <w:marRight w:val="0"/>
                      <w:marTop w:val="0"/>
                      <w:marBottom w:val="0"/>
                      <w:divBdr>
                        <w:top w:val="none" w:sz="0" w:space="0" w:color="auto"/>
                        <w:left w:val="none" w:sz="0" w:space="0" w:color="auto"/>
                        <w:bottom w:val="none" w:sz="0" w:space="0" w:color="auto"/>
                        <w:right w:val="none" w:sz="0" w:space="0" w:color="auto"/>
                      </w:divBdr>
                    </w:div>
                  </w:divsChild>
                </w:div>
                <w:div w:id="1319118983">
                  <w:marLeft w:val="0"/>
                  <w:marRight w:val="0"/>
                  <w:marTop w:val="0"/>
                  <w:marBottom w:val="0"/>
                  <w:divBdr>
                    <w:top w:val="none" w:sz="0" w:space="0" w:color="auto"/>
                    <w:left w:val="none" w:sz="0" w:space="0" w:color="auto"/>
                    <w:bottom w:val="none" w:sz="0" w:space="0" w:color="auto"/>
                    <w:right w:val="none" w:sz="0" w:space="0" w:color="auto"/>
                  </w:divBdr>
                  <w:divsChild>
                    <w:div w:id="967928898">
                      <w:marLeft w:val="0"/>
                      <w:marRight w:val="0"/>
                      <w:marTop w:val="0"/>
                      <w:marBottom w:val="0"/>
                      <w:divBdr>
                        <w:top w:val="none" w:sz="0" w:space="0" w:color="auto"/>
                        <w:left w:val="none" w:sz="0" w:space="0" w:color="auto"/>
                        <w:bottom w:val="none" w:sz="0" w:space="0" w:color="auto"/>
                        <w:right w:val="none" w:sz="0" w:space="0" w:color="auto"/>
                      </w:divBdr>
                    </w:div>
                  </w:divsChild>
                </w:div>
                <w:div w:id="1455252379">
                  <w:marLeft w:val="0"/>
                  <w:marRight w:val="0"/>
                  <w:marTop w:val="0"/>
                  <w:marBottom w:val="0"/>
                  <w:divBdr>
                    <w:top w:val="none" w:sz="0" w:space="0" w:color="auto"/>
                    <w:left w:val="none" w:sz="0" w:space="0" w:color="auto"/>
                    <w:bottom w:val="none" w:sz="0" w:space="0" w:color="auto"/>
                    <w:right w:val="none" w:sz="0" w:space="0" w:color="auto"/>
                  </w:divBdr>
                  <w:divsChild>
                    <w:div w:id="462313373">
                      <w:marLeft w:val="0"/>
                      <w:marRight w:val="0"/>
                      <w:marTop w:val="0"/>
                      <w:marBottom w:val="0"/>
                      <w:divBdr>
                        <w:top w:val="none" w:sz="0" w:space="0" w:color="auto"/>
                        <w:left w:val="none" w:sz="0" w:space="0" w:color="auto"/>
                        <w:bottom w:val="none" w:sz="0" w:space="0" w:color="auto"/>
                        <w:right w:val="none" w:sz="0" w:space="0" w:color="auto"/>
                      </w:divBdr>
                    </w:div>
                  </w:divsChild>
                </w:div>
                <w:div w:id="1506901763">
                  <w:marLeft w:val="0"/>
                  <w:marRight w:val="0"/>
                  <w:marTop w:val="0"/>
                  <w:marBottom w:val="0"/>
                  <w:divBdr>
                    <w:top w:val="none" w:sz="0" w:space="0" w:color="auto"/>
                    <w:left w:val="none" w:sz="0" w:space="0" w:color="auto"/>
                    <w:bottom w:val="none" w:sz="0" w:space="0" w:color="auto"/>
                    <w:right w:val="none" w:sz="0" w:space="0" w:color="auto"/>
                  </w:divBdr>
                  <w:divsChild>
                    <w:div w:id="179592327">
                      <w:marLeft w:val="0"/>
                      <w:marRight w:val="0"/>
                      <w:marTop w:val="0"/>
                      <w:marBottom w:val="0"/>
                      <w:divBdr>
                        <w:top w:val="none" w:sz="0" w:space="0" w:color="auto"/>
                        <w:left w:val="none" w:sz="0" w:space="0" w:color="auto"/>
                        <w:bottom w:val="none" w:sz="0" w:space="0" w:color="auto"/>
                        <w:right w:val="none" w:sz="0" w:space="0" w:color="auto"/>
                      </w:divBdr>
                    </w:div>
                  </w:divsChild>
                </w:div>
                <w:div w:id="1572545791">
                  <w:marLeft w:val="0"/>
                  <w:marRight w:val="0"/>
                  <w:marTop w:val="0"/>
                  <w:marBottom w:val="0"/>
                  <w:divBdr>
                    <w:top w:val="none" w:sz="0" w:space="0" w:color="auto"/>
                    <w:left w:val="none" w:sz="0" w:space="0" w:color="auto"/>
                    <w:bottom w:val="none" w:sz="0" w:space="0" w:color="auto"/>
                    <w:right w:val="none" w:sz="0" w:space="0" w:color="auto"/>
                  </w:divBdr>
                  <w:divsChild>
                    <w:div w:id="2141220594">
                      <w:marLeft w:val="0"/>
                      <w:marRight w:val="0"/>
                      <w:marTop w:val="0"/>
                      <w:marBottom w:val="0"/>
                      <w:divBdr>
                        <w:top w:val="none" w:sz="0" w:space="0" w:color="auto"/>
                        <w:left w:val="none" w:sz="0" w:space="0" w:color="auto"/>
                        <w:bottom w:val="none" w:sz="0" w:space="0" w:color="auto"/>
                        <w:right w:val="none" w:sz="0" w:space="0" w:color="auto"/>
                      </w:divBdr>
                    </w:div>
                  </w:divsChild>
                </w:div>
                <w:div w:id="1594044078">
                  <w:marLeft w:val="0"/>
                  <w:marRight w:val="0"/>
                  <w:marTop w:val="0"/>
                  <w:marBottom w:val="0"/>
                  <w:divBdr>
                    <w:top w:val="none" w:sz="0" w:space="0" w:color="auto"/>
                    <w:left w:val="none" w:sz="0" w:space="0" w:color="auto"/>
                    <w:bottom w:val="none" w:sz="0" w:space="0" w:color="auto"/>
                    <w:right w:val="none" w:sz="0" w:space="0" w:color="auto"/>
                  </w:divBdr>
                  <w:divsChild>
                    <w:div w:id="1730301449">
                      <w:marLeft w:val="0"/>
                      <w:marRight w:val="0"/>
                      <w:marTop w:val="0"/>
                      <w:marBottom w:val="0"/>
                      <w:divBdr>
                        <w:top w:val="none" w:sz="0" w:space="0" w:color="auto"/>
                        <w:left w:val="none" w:sz="0" w:space="0" w:color="auto"/>
                        <w:bottom w:val="none" w:sz="0" w:space="0" w:color="auto"/>
                        <w:right w:val="none" w:sz="0" w:space="0" w:color="auto"/>
                      </w:divBdr>
                    </w:div>
                  </w:divsChild>
                </w:div>
                <w:div w:id="1608850504">
                  <w:marLeft w:val="0"/>
                  <w:marRight w:val="0"/>
                  <w:marTop w:val="0"/>
                  <w:marBottom w:val="0"/>
                  <w:divBdr>
                    <w:top w:val="none" w:sz="0" w:space="0" w:color="auto"/>
                    <w:left w:val="none" w:sz="0" w:space="0" w:color="auto"/>
                    <w:bottom w:val="none" w:sz="0" w:space="0" w:color="auto"/>
                    <w:right w:val="none" w:sz="0" w:space="0" w:color="auto"/>
                  </w:divBdr>
                  <w:divsChild>
                    <w:div w:id="906956366">
                      <w:marLeft w:val="0"/>
                      <w:marRight w:val="0"/>
                      <w:marTop w:val="0"/>
                      <w:marBottom w:val="0"/>
                      <w:divBdr>
                        <w:top w:val="none" w:sz="0" w:space="0" w:color="auto"/>
                        <w:left w:val="none" w:sz="0" w:space="0" w:color="auto"/>
                        <w:bottom w:val="none" w:sz="0" w:space="0" w:color="auto"/>
                        <w:right w:val="none" w:sz="0" w:space="0" w:color="auto"/>
                      </w:divBdr>
                    </w:div>
                  </w:divsChild>
                </w:div>
                <w:div w:id="1785080832">
                  <w:marLeft w:val="0"/>
                  <w:marRight w:val="0"/>
                  <w:marTop w:val="0"/>
                  <w:marBottom w:val="0"/>
                  <w:divBdr>
                    <w:top w:val="none" w:sz="0" w:space="0" w:color="auto"/>
                    <w:left w:val="none" w:sz="0" w:space="0" w:color="auto"/>
                    <w:bottom w:val="none" w:sz="0" w:space="0" w:color="auto"/>
                    <w:right w:val="none" w:sz="0" w:space="0" w:color="auto"/>
                  </w:divBdr>
                  <w:divsChild>
                    <w:div w:id="1755274042">
                      <w:marLeft w:val="0"/>
                      <w:marRight w:val="0"/>
                      <w:marTop w:val="0"/>
                      <w:marBottom w:val="0"/>
                      <w:divBdr>
                        <w:top w:val="none" w:sz="0" w:space="0" w:color="auto"/>
                        <w:left w:val="none" w:sz="0" w:space="0" w:color="auto"/>
                        <w:bottom w:val="none" w:sz="0" w:space="0" w:color="auto"/>
                        <w:right w:val="none" w:sz="0" w:space="0" w:color="auto"/>
                      </w:divBdr>
                    </w:div>
                  </w:divsChild>
                </w:div>
                <w:div w:id="1820070644">
                  <w:marLeft w:val="0"/>
                  <w:marRight w:val="0"/>
                  <w:marTop w:val="0"/>
                  <w:marBottom w:val="0"/>
                  <w:divBdr>
                    <w:top w:val="none" w:sz="0" w:space="0" w:color="auto"/>
                    <w:left w:val="none" w:sz="0" w:space="0" w:color="auto"/>
                    <w:bottom w:val="none" w:sz="0" w:space="0" w:color="auto"/>
                    <w:right w:val="none" w:sz="0" w:space="0" w:color="auto"/>
                  </w:divBdr>
                  <w:divsChild>
                    <w:div w:id="196817706">
                      <w:marLeft w:val="0"/>
                      <w:marRight w:val="0"/>
                      <w:marTop w:val="0"/>
                      <w:marBottom w:val="0"/>
                      <w:divBdr>
                        <w:top w:val="none" w:sz="0" w:space="0" w:color="auto"/>
                        <w:left w:val="none" w:sz="0" w:space="0" w:color="auto"/>
                        <w:bottom w:val="none" w:sz="0" w:space="0" w:color="auto"/>
                        <w:right w:val="none" w:sz="0" w:space="0" w:color="auto"/>
                      </w:divBdr>
                    </w:div>
                  </w:divsChild>
                </w:div>
                <w:div w:id="1837040380">
                  <w:marLeft w:val="0"/>
                  <w:marRight w:val="0"/>
                  <w:marTop w:val="0"/>
                  <w:marBottom w:val="0"/>
                  <w:divBdr>
                    <w:top w:val="none" w:sz="0" w:space="0" w:color="auto"/>
                    <w:left w:val="none" w:sz="0" w:space="0" w:color="auto"/>
                    <w:bottom w:val="none" w:sz="0" w:space="0" w:color="auto"/>
                    <w:right w:val="none" w:sz="0" w:space="0" w:color="auto"/>
                  </w:divBdr>
                  <w:divsChild>
                    <w:div w:id="1430858014">
                      <w:marLeft w:val="0"/>
                      <w:marRight w:val="0"/>
                      <w:marTop w:val="0"/>
                      <w:marBottom w:val="0"/>
                      <w:divBdr>
                        <w:top w:val="none" w:sz="0" w:space="0" w:color="auto"/>
                        <w:left w:val="none" w:sz="0" w:space="0" w:color="auto"/>
                        <w:bottom w:val="none" w:sz="0" w:space="0" w:color="auto"/>
                        <w:right w:val="none" w:sz="0" w:space="0" w:color="auto"/>
                      </w:divBdr>
                    </w:div>
                  </w:divsChild>
                </w:div>
                <w:div w:id="1859464074">
                  <w:marLeft w:val="0"/>
                  <w:marRight w:val="0"/>
                  <w:marTop w:val="0"/>
                  <w:marBottom w:val="0"/>
                  <w:divBdr>
                    <w:top w:val="none" w:sz="0" w:space="0" w:color="auto"/>
                    <w:left w:val="none" w:sz="0" w:space="0" w:color="auto"/>
                    <w:bottom w:val="none" w:sz="0" w:space="0" w:color="auto"/>
                    <w:right w:val="none" w:sz="0" w:space="0" w:color="auto"/>
                  </w:divBdr>
                  <w:divsChild>
                    <w:div w:id="1771585863">
                      <w:marLeft w:val="0"/>
                      <w:marRight w:val="0"/>
                      <w:marTop w:val="0"/>
                      <w:marBottom w:val="0"/>
                      <w:divBdr>
                        <w:top w:val="none" w:sz="0" w:space="0" w:color="auto"/>
                        <w:left w:val="none" w:sz="0" w:space="0" w:color="auto"/>
                        <w:bottom w:val="none" w:sz="0" w:space="0" w:color="auto"/>
                        <w:right w:val="none" w:sz="0" w:space="0" w:color="auto"/>
                      </w:divBdr>
                    </w:div>
                  </w:divsChild>
                </w:div>
                <w:div w:id="1878616503">
                  <w:marLeft w:val="0"/>
                  <w:marRight w:val="0"/>
                  <w:marTop w:val="0"/>
                  <w:marBottom w:val="0"/>
                  <w:divBdr>
                    <w:top w:val="none" w:sz="0" w:space="0" w:color="auto"/>
                    <w:left w:val="none" w:sz="0" w:space="0" w:color="auto"/>
                    <w:bottom w:val="none" w:sz="0" w:space="0" w:color="auto"/>
                    <w:right w:val="none" w:sz="0" w:space="0" w:color="auto"/>
                  </w:divBdr>
                  <w:divsChild>
                    <w:div w:id="1104880639">
                      <w:marLeft w:val="0"/>
                      <w:marRight w:val="0"/>
                      <w:marTop w:val="0"/>
                      <w:marBottom w:val="0"/>
                      <w:divBdr>
                        <w:top w:val="none" w:sz="0" w:space="0" w:color="auto"/>
                        <w:left w:val="none" w:sz="0" w:space="0" w:color="auto"/>
                        <w:bottom w:val="none" w:sz="0" w:space="0" w:color="auto"/>
                        <w:right w:val="none" w:sz="0" w:space="0" w:color="auto"/>
                      </w:divBdr>
                    </w:div>
                  </w:divsChild>
                </w:div>
                <w:div w:id="1911843822">
                  <w:marLeft w:val="0"/>
                  <w:marRight w:val="0"/>
                  <w:marTop w:val="0"/>
                  <w:marBottom w:val="0"/>
                  <w:divBdr>
                    <w:top w:val="none" w:sz="0" w:space="0" w:color="auto"/>
                    <w:left w:val="none" w:sz="0" w:space="0" w:color="auto"/>
                    <w:bottom w:val="none" w:sz="0" w:space="0" w:color="auto"/>
                    <w:right w:val="none" w:sz="0" w:space="0" w:color="auto"/>
                  </w:divBdr>
                  <w:divsChild>
                    <w:div w:id="815225155">
                      <w:marLeft w:val="0"/>
                      <w:marRight w:val="0"/>
                      <w:marTop w:val="0"/>
                      <w:marBottom w:val="0"/>
                      <w:divBdr>
                        <w:top w:val="none" w:sz="0" w:space="0" w:color="auto"/>
                        <w:left w:val="none" w:sz="0" w:space="0" w:color="auto"/>
                        <w:bottom w:val="none" w:sz="0" w:space="0" w:color="auto"/>
                        <w:right w:val="none" w:sz="0" w:space="0" w:color="auto"/>
                      </w:divBdr>
                    </w:div>
                  </w:divsChild>
                </w:div>
                <w:div w:id="1948153522">
                  <w:marLeft w:val="0"/>
                  <w:marRight w:val="0"/>
                  <w:marTop w:val="0"/>
                  <w:marBottom w:val="0"/>
                  <w:divBdr>
                    <w:top w:val="none" w:sz="0" w:space="0" w:color="auto"/>
                    <w:left w:val="none" w:sz="0" w:space="0" w:color="auto"/>
                    <w:bottom w:val="none" w:sz="0" w:space="0" w:color="auto"/>
                    <w:right w:val="none" w:sz="0" w:space="0" w:color="auto"/>
                  </w:divBdr>
                  <w:divsChild>
                    <w:div w:id="29052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3215">
          <w:marLeft w:val="0"/>
          <w:marRight w:val="0"/>
          <w:marTop w:val="0"/>
          <w:marBottom w:val="0"/>
          <w:divBdr>
            <w:top w:val="none" w:sz="0" w:space="0" w:color="auto"/>
            <w:left w:val="none" w:sz="0" w:space="0" w:color="auto"/>
            <w:bottom w:val="none" w:sz="0" w:space="0" w:color="auto"/>
            <w:right w:val="none" w:sz="0" w:space="0" w:color="auto"/>
          </w:divBdr>
        </w:div>
        <w:div w:id="507060306">
          <w:marLeft w:val="0"/>
          <w:marRight w:val="0"/>
          <w:marTop w:val="0"/>
          <w:marBottom w:val="0"/>
          <w:divBdr>
            <w:top w:val="none" w:sz="0" w:space="0" w:color="auto"/>
            <w:left w:val="none" w:sz="0" w:space="0" w:color="auto"/>
            <w:bottom w:val="none" w:sz="0" w:space="0" w:color="auto"/>
            <w:right w:val="none" w:sz="0" w:space="0" w:color="auto"/>
          </w:divBdr>
        </w:div>
        <w:div w:id="538399075">
          <w:marLeft w:val="0"/>
          <w:marRight w:val="0"/>
          <w:marTop w:val="0"/>
          <w:marBottom w:val="0"/>
          <w:divBdr>
            <w:top w:val="none" w:sz="0" w:space="0" w:color="auto"/>
            <w:left w:val="none" w:sz="0" w:space="0" w:color="auto"/>
            <w:bottom w:val="none" w:sz="0" w:space="0" w:color="auto"/>
            <w:right w:val="none" w:sz="0" w:space="0" w:color="auto"/>
          </w:divBdr>
        </w:div>
        <w:div w:id="561906993">
          <w:marLeft w:val="0"/>
          <w:marRight w:val="0"/>
          <w:marTop w:val="0"/>
          <w:marBottom w:val="0"/>
          <w:divBdr>
            <w:top w:val="none" w:sz="0" w:space="0" w:color="auto"/>
            <w:left w:val="none" w:sz="0" w:space="0" w:color="auto"/>
            <w:bottom w:val="none" w:sz="0" w:space="0" w:color="auto"/>
            <w:right w:val="none" w:sz="0" w:space="0" w:color="auto"/>
          </w:divBdr>
        </w:div>
        <w:div w:id="592320304">
          <w:marLeft w:val="0"/>
          <w:marRight w:val="0"/>
          <w:marTop w:val="0"/>
          <w:marBottom w:val="0"/>
          <w:divBdr>
            <w:top w:val="none" w:sz="0" w:space="0" w:color="auto"/>
            <w:left w:val="none" w:sz="0" w:space="0" w:color="auto"/>
            <w:bottom w:val="none" w:sz="0" w:space="0" w:color="auto"/>
            <w:right w:val="none" w:sz="0" w:space="0" w:color="auto"/>
          </w:divBdr>
        </w:div>
        <w:div w:id="595213492">
          <w:marLeft w:val="0"/>
          <w:marRight w:val="0"/>
          <w:marTop w:val="0"/>
          <w:marBottom w:val="0"/>
          <w:divBdr>
            <w:top w:val="none" w:sz="0" w:space="0" w:color="auto"/>
            <w:left w:val="none" w:sz="0" w:space="0" w:color="auto"/>
            <w:bottom w:val="none" w:sz="0" w:space="0" w:color="auto"/>
            <w:right w:val="none" w:sz="0" w:space="0" w:color="auto"/>
          </w:divBdr>
        </w:div>
        <w:div w:id="616182845">
          <w:marLeft w:val="0"/>
          <w:marRight w:val="0"/>
          <w:marTop w:val="0"/>
          <w:marBottom w:val="0"/>
          <w:divBdr>
            <w:top w:val="none" w:sz="0" w:space="0" w:color="auto"/>
            <w:left w:val="none" w:sz="0" w:space="0" w:color="auto"/>
            <w:bottom w:val="none" w:sz="0" w:space="0" w:color="auto"/>
            <w:right w:val="none" w:sz="0" w:space="0" w:color="auto"/>
          </w:divBdr>
        </w:div>
        <w:div w:id="623585087">
          <w:marLeft w:val="0"/>
          <w:marRight w:val="0"/>
          <w:marTop w:val="0"/>
          <w:marBottom w:val="0"/>
          <w:divBdr>
            <w:top w:val="none" w:sz="0" w:space="0" w:color="auto"/>
            <w:left w:val="none" w:sz="0" w:space="0" w:color="auto"/>
            <w:bottom w:val="none" w:sz="0" w:space="0" w:color="auto"/>
            <w:right w:val="none" w:sz="0" w:space="0" w:color="auto"/>
          </w:divBdr>
        </w:div>
        <w:div w:id="638805399">
          <w:marLeft w:val="0"/>
          <w:marRight w:val="0"/>
          <w:marTop w:val="0"/>
          <w:marBottom w:val="0"/>
          <w:divBdr>
            <w:top w:val="none" w:sz="0" w:space="0" w:color="auto"/>
            <w:left w:val="none" w:sz="0" w:space="0" w:color="auto"/>
            <w:bottom w:val="none" w:sz="0" w:space="0" w:color="auto"/>
            <w:right w:val="none" w:sz="0" w:space="0" w:color="auto"/>
          </w:divBdr>
        </w:div>
        <w:div w:id="642270840">
          <w:marLeft w:val="0"/>
          <w:marRight w:val="0"/>
          <w:marTop w:val="0"/>
          <w:marBottom w:val="0"/>
          <w:divBdr>
            <w:top w:val="none" w:sz="0" w:space="0" w:color="auto"/>
            <w:left w:val="none" w:sz="0" w:space="0" w:color="auto"/>
            <w:bottom w:val="none" w:sz="0" w:space="0" w:color="auto"/>
            <w:right w:val="none" w:sz="0" w:space="0" w:color="auto"/>
          </w:divBdr>
        </w:div>
        <w:div w:id="644092214">
          <w:marLeft w:val="0"/>
          <w:marRight w:val="0"/>
          <w:marTop w:val="0"/>
          <w:marBottom w:val="0"/>
          <w:divBdr>
            <w:top w:val="none" w:sz="0" w:space="0" w:color="auto"/>
            <w:left w:val="none" w:sz="0" w:space="0" w:color="auto"/>
            <w:bottom w:val="none" w:sz="0" w:space="0" w:color="auto"/>
            <w:right w:val="none" w:sz="0" w:space="0" w:color="auto"/>
          </w:divBdr>
        </w:div>
        <w:div w:id="645353759">
          <w:marLeft w:val="0"/>
          <w:marRight w:val="0"/>
          <w:marTop w:val="0"/>
          <w:marBottom w:val="0"/>
          <w:divBdr>
            <w:top w:val="none" w:sz="0" w:space="0" w:color="auto"/>
            <w:left w:val="none" w:sz="0" w:space="0" w:color="auto"/>
            <w:bottom w:val="none" w:sz="0" w:space="0" w:color="auto"/>
            <w:right w:val="none" w:sz="0" w:space="0" w:color="auto"/>
          </w:divBdr>
        </w:div>
        <w:div w:id="659696963">
          <w:marLeft w:val="0"/>
          <w:marRight w:val="0"/>
          <w:marTop w:val="0"/>
          <w:marBottom w:val="0"/>
          <w:divBdr>
            <w:top w:val="none" w:sz="0" w:space="0" w:color="auto"/>
            <w:left w:val="none" w:sz="0" w:space="0" w:color="auto"/>
            <w:bottom w:val="none" w:sz="0" w:space="0" w:color="auto"/>
            <w:right w:val="none" w:sz="0" w:space="0" w:color="auto"/>
          </w:divBdr>
        </w:div>
        <w:div w:id="663699648">
          <w:marLeft w:val="0"/>
          <w:marRight w:val="0"/>
          <w:marTop w:val="0"/>
          <w:marBottom w:val="0"/>
          <w:divBdr>
            <w:top w:val="none" w:sz="0" w:space="0" w:color="auto"/>
            <w:left w:val="none" w:sz="0" w:space="0" w:color="auto"/>
            <w:bottom w:val="none" w:sz="0" w:space="0" w:color="auto"/>
            <w:right w:val="none" w:sz="0" w:space="0" w:color="auto"/>
          </w:divBdr>
        </w:div>
        <w:div w:id="722683313">
          <w:marLeft w:val="0"/>
          <w:marRight w:val="0"/>
          <w:marTop w:val="0"/>
          <w:marBottom w:val="0"/>
          <w:divBdr>
            <w:top w:val="none" w:sz="0" w:space="0" w:color="auto"/>
            <w:left w:val="none" w:sz="0" w:space="0" w:color="auto"/>
            <w:bottom w:val="none" w:sz="0" w:space="0" w:color="auto"/>
            <w:right w:val="none" w:sz="0" w:space="0" w:color="auto"/>
          </w:divBdr>
        </w:div>
        <w:div w:id="733041591">
          <w:marLeft w:val="0"/>
          <w:marRight w:val="0"/>
          <w:marTop w:val="0"/>
          <w:marBottom w:val="0"/>
          <w:divBdr>
            <w:top w:val="none" w:sz="0" w:space="0" w:color="auto"/>
            <w:left w:val="none" w:sz="0" w:space="0" w:color="auto"/>
            <w:bottom w:val="none" w:sz="0" w:space="0" w:color="auto"/>
            <w:right w:val="none" w:sz="0" w:space="0" w:color="auto"/>
          </w:divBdr>
        </w:div>
        <w:div w:id="754203122">
          <w:marLeft w:val="0"/>
          <w:marRight w:val="0"/>
          <w:marTop w:val="0"/>
          <w:marBottom w:val="0"/>
          <w:divBdr>
            <w:top w:val="none" w:sz="0" w:space="0" w:color="auto"/>
            <w:left w:val="none" w:sz="0" w:space="0" w:color="auto"/>
            <w:bottom w:val="none" w:sz="0" w:space="0" w:color="auto"/>
            <w:right w:val="none" w:sz="0" w:space="0" w:color="auto"/>
          </w:divBdr>
        </w:div>
        <w:div w:id="755128204">
          <w:marLeft w:val="0"/>
          <w:marRight w:val="0"/>
          <w:marTop w:val="0"/>
          <w:marBottom w:val="0"/>
          <w:divBdr>
            <w:top w:val="none" w:sz="0" w:space="0" w:color="auto"/>
            <w:left w:val="none" w:sz="0" w:space="0" w:color="auto"/>
            <w:bottom w:val="none" w:sz="0" w:space="0" w:color="auto"/>
            <w:right w:val="none" w:sz="0" w:space="0" w:color="auto"/>
          </w:divBdr>
        </w:div>
        <w:div w:id="794566796">
          <w:marLeft w:val="0"/>
          <w:marRight w:val="0"/>
          <w:marTop w:val="0"/>
          <w:marBottom w:val="0"/>
          <w:divBdr>
            <w:top w:val="none" w:sz="0" w:space="0" w:color="auto"/>
            <w:left w:val="none" w:sz="0" w:space="0" w:color="auto"/>
            <w:bottom w:val="none" w:sz="0" w:space="0" w:color="auto"/>
            <w:right w:val="none" w:sz="0" w:space="0" w:color="auto"/>
          </w:divBdr>
        </w:div>
        <w:div w:id="805703242">
          <w:marLeft w:val="0"/>
          <w:marRight w:val="0"/>
          <w:marTop w:val="0"/>
          <w:marBottom w:val="0"/>
          <w:divBdr>
            <w:top w:val="none" w:sz="0" w:space="0" w:color="auto"/>
            <w:left w:val="none" w:sz="0" w:space="0" w:color="auto"/>
            <w:bottom w:val="none" w:sz="0" w:space="0" w:color="auto"/>
            <w:right w:val="none" w:sz="0" w:space="0" w:color="auto"/>
          </w:divBdr>
          <w:divsChild>
            <w:div w:id="64231637">
              <w:marLeft w:val="-75"/>
              <w:marRight w:val="0"/>
              <w:marTop w:val="30"/>
              <w:marBottom w:val="30"/>
              <w:divBdr>
                <w:top w:val="none" w:sz="0" w:space="0" w:color="auto"/>
                <w:left w:val="none" w:sz="0" w:space="0" w:color="auto"/>
                <w:bottom w:val="none" w:sz="0" w:space="0" w:color="auto"/>
                <w:right w:val="none" w:sz="0" w:space="0" w:color="auto"/>
              </w:divBdr>
              <w:divsChild>
                <w:div w:id="32074333">
                  <w:marLeft w:val="0"/>
                  <w:marRight w:val="0"/>
                  <w:marTop w:val="0"/>
                  <w:marBottom w:val="0"/>
                  <w:divBdr>
                    <w:top w:val="none" w:sz="0" w:space="0" w:color="auto"/>
                    <w:left w:val="none" w:sz="0" w:space="0" w:color="auto"/>
                    <w:bottom w:val="none" w:sz="0" w:space="0" w:color="auto"/>
                    <w:right w:val="none" w:sz="0" w:space="0" w:color="auto"/>
                  </w:divBdr>
                  <w:divsChild>
                    <w:div w:id="1040743576">
                      <w:marLeft w:val="0"/>
                      <w:marRight w:val="0"/>
                      <w:marTop w:val="0"/>
                      <w:marBottom w:val="0"/>
                      <w:divBdr>
                        <w:top w:val="none" w:sz="0" w:space="0" w:color="auto"/>
                        <w:left w:val="none" w:sz="0" w:space="0" w:color="auto"/>
                        <w:bottom w:val="none" w:sz="0" w:space="0" w:color="auto"/>
                        <w:right w:val="none" w:sz="0" w:space="0" w:color="auto"/>
                      </w:divBdr>
                    </w:div>
                  </w:divsChild>
                </w:div>
                <w:div w:id="52970261">
                  <w:marLeft w:val="0"/>
                  <w:marRight w:val="0"/>
                  <w:marTop w:val="0"/>
                  <w:marBottom w:val="0"/>
                  <w:divBdr>
                    <w:top w:val="none" w:sz="0" w:space="0" w:color="auto"/>
                    <w:left w:val="none" w:sz="0" w:space="0" w:color="auto"/>
                    <w:bottom w:val="none" w:sz="0" w:space="0" w:color="auto"/>
                    <w:right w:val="none" w:sz="0" w:space="0" w:color="auto"/>
                  </w:divBdr>
                  <w:divsChild>
                    <w:div w:id="1267301091">
                      <w:marLeft w:val="0"/>
                      <w:marRight w:val="0"/>
                      <w:marTop w:val="0"/>
                      <w:marBottom w:val="0"/>
                      <w:divBdr>
                        <w:top w:val="none" w:sz="0" w:space="0" w:color="auto"/>
                        <w:left w:val="none" w:sz="0" w:space="0" w:color="auto"/>
                        <w:bottom w:val="none" w:sz="0" w:space="0" w:color="auto"/>
                        <w:right w:val="none" w:sz="0" w:space="0" w:color="auto"/>
                      </w:divBdr>
                    </w:div>
                  </w:divsChild>
                </w:div>
                <w:div w:id="68356809">
                  <w:marLeft w:val="0"/>
                  <w:marRight w:val="0"/>
                  <w:marTop w:val="0"/>
                  <w:marBottom w:val="0"/>
                  <w:divBdr>
                    <w:top w:val="none" w:sz="0" w:space="0" w:color="auto"/>
                    <w:left w:val="none" w:sz="0" w:space="0" w:color="auto"/>
                    <w:bottom w:val="none" w:sz="0" w:space="0" w:color="auto"/>
                    <w:right w:val="none" w:sz="0" w:space="0" w:color="auto"/>
                  </w:divBdr>
                  <w:divsChild>
                    <w:div w:id="777868924">
                      <w:marLeft w:val="0"/>
                      <w:marRight w:val="0"/>
                      <w:marTop w:val="0"/>
                      <w:marBottom w:val="0"/>
                      <w:divBdr>
                        <w:top w:val="none" w:sz="0" w:space="0" w:color="auto"/>
                        <w:left w:val="none" w:sz="0" w:space="0" w:color="auto"/>
                        <w:bottom w:val="none" w:sz="0" w:space="0" w:color="auto"/>
                        <w:right w:val="none" w:sz="0" w:space="0" w:color="auto"/>
                      </w:divBdr>
                    </w:div>
                  </w:divsChild>
                </w:div>
                <w:div w:id="233663166">
                  <w:marLeft w:val="0"/>
                  <w:marRight w:val="0"/>
                  <w:marTop w:val="0"/>
                  <w:marBottom w:val="0"/>
                  <w:divBdr>
                    <w:top w:val="none" w:sz="0" w:space="0" w:color="auto"/>
                    <w:left w:val="none" w:sz="0" w:space="0" w:color="auto"/>
                    <w:bottom w:val="none" w:sz="0" w:space="0" w:color="auto"/>
                    <w:right w:val="none" w:sz="0" w:space="0" w:color="auto"/>
                  </w:divBdr>
                  <w:divsChild>
                    <w:div w:id="1457211818">
                      <w:marLeft w:val="0"/>
                      <w:marRight w:val="0"/>
                      <w:marTop w:val="0"/>
                      <w:marBottom w:val="0"/>
                      <w:divBdr>
                        <w:top w:val="none" w:sz="0" w:space="0" w:color="auto"/>
                        <w:left w:val="none" w:sz="0" w:space="0" w:color="auto"/>
                        <w:bottom w:val="none" w:sz="0" w:space="0" w:color="auto"/>
                        <w:right w:val="none" w:sz="0" w:space="0" w:color="auto"/>
                      </w:divBdr>
                    </w:div>
                  </w:divsChild>
                </w:div>
                <w:div w:id="279142198">
                  <w:marLeft w:val="0"/>
                  <w:marRight w:val="0"/>
                  <w:marTop w:val="0"/>
                  <w:marBottom w:val="0"/>
                  <w:divBdr>
                    <w:top w:val="none" w:sz="0" w:space="0" w:color="auto"/>
                    <w:left w:val="none" w:sz="0" w:space="0" w:color="auto"/>
                    <w:bottom w:val="none" w:sz="0" w:space="0" w:color="auto"/>
                    <w:right w:val="none" w:sz="0" w:space="0" w:color="auto"/>
                  </w:divBdr>
                  <w:divsChild>
                    <w:div w:id="1526021161">
                      <w:marLeft w:val="0"/>
                      <w:marRight w:val="0"/>
                      <w:marTop w:val="0"/>
                      <w:marBottom w:val="0"/>
                      <w:divBdr>
                        <w:top w:val="none" w:sz="0" w:space="0" w:color="auto"/>
                        <w:left w:val="none" w:sz="0" w:space="0" w:color="auto"/>
                        <w:bottom w:val="none" w:sz="0" w:space="0" w:color="auto"/>
                        <w:right w:val="none" w:sz="0" w:space="0" w:color="auto"/>
                      </w:divBdr>
                    </w:div>
                  </w:divsChild>
                </w:div>
                <w:div w:id="368068111">
                  <w:marLeft w:val="0"/>
                  <w:marRight w:val="0"/>
                  <w:marTop w:val="0"/>
                  <w:marBottom w:val="0"/>
                  <w:divBdr>
                    <w:top w:val="none" w:sz="0" w:space="0" w:color="auto"/>
                    <w:left w:val="none" w:sz="0" w:space="0" w:color="auto"/>
                    <w:bottom w:val="none" w:sz="0" w:space="0" w:color="auto"/>
                    <w:right w:val="none" w:sz="0" w:space="0" w:color="auto"/>
                  </w:divBdr>
                  <w:divsChild>
                    <w:div w:id="436869606">
                      <w:marLeft w:val="0"/>
                      <w:marRight w:val="0"/>
                      <w:marTop w:val="0"/>
                      <w:marBottom w:val="0"/>
                      <w:divBdr>
                        <w:top w:val="none" w:sz="0" w:space="0" w:color="auto"/>
                        <w:left w:val="none" w:sz="0" w:space="0" w:color="auto"/>
                        <w:bottom w:val="none" w:sz="0" w:space="0" w:color="auto"/>
                        <w:right w:val="none" w:sz="0" w:space="0" w:color="auto"/>
                      </w:divBdr>
                    </w:div>
                  </w:divsChild>
                </w:div>
                <w:div w:id="388725864">
                  <w:marLeft w:val="0"/>
                  <w:marRight w:val="0"/>
                  <w:marTop w:val="0"/>
                  <w:marBottom w:val="0"/>
                  <w:divBdr>
                    <w:top w:val="none" w:sz="0" w:space="0" w:color="auto"/>
                    <w:left w:val="none" w:sz="0" w:space="0" w:color="auto"/>
                    <w:bottom w:val="none" w:sz="0" w:space="0" w:color="auto"/>
                    <w:right w:val="none" w:sz="0" w:space="0" w:color="auto"/>
                  </w:divBdr>
                  <w:divsChild>
                    <w:div w:id="792599664">
                      <w:marLeft w:val="0"/>
                      <w:marRight w:val="0"/>
                      <w:marTop w:val="0"/>
                      <w:marBottom w:val="0"/>
                      <w:divBdr>
                        <w:top w:val="none" w:sz="0" w:space="0" w:color="auto"/>
                        <w:left w:val="none" w:sz="0" w:space="0" w:color="auto"/>
                        <w:bottom w:val="none" w:sz="0" w:space="0" w:color="auto"/>
                        <w:right w:val="none" w:sz="0" w:space="0" w:color="auto"/>
                      </w:divBdr>
                    </w:div>
                  </w:divsChild>
                </w:div>
                <w:div w:id="452748808">
                  <w:marLeft w:val="0"/>
                  <w:marRight w:val="0"/>
                  <w:marTop w:val="0"/>
                  <w:marBottom w:val="0"/>
                  <w:divBdr>
                    <w:top w:val="none" w:sz="0" w:space="0" w:color="auto"/>
                    <w:left w:val="none" w:sz="0" w:space="0" w:color="auto"/>
                    <w:bottom w:val="none" w:sz="0" w:space="0" w:color="auto"/>
                    <w:right w:val="none" w:sz="0" w:space="0" w:color="auto"/>
                  </w:divBdr>
                  <w:divsChild>
                    <w:div w:id="865875792">
                      <w:marLeft w:val="0"/>
                      <w:marRight w:val="0"/>
                      <w:marTop w:val="0"/>
                      <w:marBottom w:val="0"/>
                      <w:divBdr>
                        <w:top w:val="none" w:sz="0" w:space="0" w:color="auto"/>
                        <w:left w:val="none" w:sz="0" w:space="0" w:color="auto"/>
                        <w:bottom w:val="none" w:sz="0" w:space="0" w:color="auto"/>
                        <w:right w:val="none" w:sz="0" w:space="0" w:color="auto"/>
                      </w:divBdr>
                    </w:div>
                  </w:divsChild>
                </w:div>
                <w:div w:id="474568896">
                  <w:marLeft w:val="0"/>
                  <w:marRight w:val="0"/>
                  <w:marTop w:val="0"/>
                  <w:marBottom w:val="0"/>
                  <w:divBdr>
                    <w:top w:val="none" w:sz="0" w:space="0" w:color="auto"/>
                    <w:left w:val="none" w:sz="0" w:space="0" w:color="auto"/>
                    <w:bottom w:val="none" w:sz="0" w:space="0" w:color="auto"/>
                    <w:right w:val="none" w:sz="0" w:space="0" w:color="auto"/>
                  </w:divBdr>
                  <w:divsChild>
                    <w:div w:id="1820265503">
                      <w:marLeft w:val="0"/>
                      <w:marRight w:val="0"/>
                      <w:marTop w:val="0"/>
                      <w:marBottom w:val="0"/>
                      <w:divBdr>
                        <w:top w:val="none" w:sz="0" w:space="0" w:color="auto"/>
                        <w:left w:val="none" w:sz="0" w:space="0" w:color="auto"/>
                        <w:bottom w:val="none" w:sz="0" w:space="0" w:color="auto"/>
                        <w:right w:val="none" w:sz="0" w:space="0" w:color="auto"/>
                      </w:divBdr>
                    </w:div>
                  </w:divsChild>
                </w:div>
                <w:div w:id="584340651">
                  <w:marLeft w:val="0"/>
                  <w:marRight w:val="0"/>
                  <w:marTop w:val="0"/>
                  <w:marBottom w:val="0"/>
                  <w:divBdr>
                    <w:top w:val="none" w:sz="0" w:space="0" w:color="auto"/>
                    <w:left w:val="none" w:sz="0" w:space="0" w:color="auto"/>
                    <w:bottom w:val="none" w:sz="0" w:space="0" w:color="auto"/>
                    <w:right w:val="none" w:sz="0" w:space="0" w:color="auto"/>
                  </w:divBdr>
                  <w:divsChild>
                    <w:div w:id="1298098538">
                      <w:marLeft w:val="0"/>
                      <w:marRight w:val="0"/>
                      <w:marTop w:val="0"/>
                      <w:marBottom w:val="0"/>
                      <w:divBdr>
                        <w:top w:val="none" w:sz="0" w:space="0" w:color="auto"/>
                        <w:left w:val="none" w:sz="0" w:space="0" w:color="auto"/>
                        <w:bottom w:val="none" w:sz="0" w:space="0" w:color="auto"/>
                        <w:right w:val="none" w:sz="0" w:space="0" w:color="auto"/>
                      </w:divBdr>
                    </w:div>
                  </w:divsChild>
                </w:div>
                <w:div w:id="680665374">
                  <w:marLeft w:val="0"/>
                  <w:marRight w:val="0"/>
                  <w:marTop w:val="0"/>
                  <w:marBottom w:val="0"/>
                  <w:divBdr>
                    <w:top w:val="none" w:sz="0" w:space="0" w:color="auto"/>
                    <w:left w:val="none" w:sz="0" w:space="0" w:color="auto"/>
                    <w:bottom w:val="none" w:sz="0" w:space="0" w:color="auto"/>
                    <w:right w:val="none" w:sz="0" w:space="0" w:color="auto"/>
                  </w:divBdr>
                  <w:divsChild>
                    <w:div w:id="439641797">
                      <w:marLeft w:val="0"/>
                      <w:marRight w:val="0"/>
                      <w:marTop w:val="0"/>
                      <w:marBottom w:val="0"/>
                      <w:divBdr>
                        <w:top w:val="none" w:sz="0" w:space="0" w:color="auto"/>
                        <w:left w:val="none" w:sz="0" w:space="0" w:color="auto"/>
                        <w:bottom w:val="none" w:sz="0" w:space="0" w:color="auto"/>
                        <w:right w:val="none" w:sz="0" w:space="0" w:color="auto"/>
                      </w:divBdr>
                    </w:div>
                  </w:divsChild>
                </w:div>
                <w:div w:id="696463239">
                  <w:marLeft w:val="0"/>
                  <w:marRight w:val="0"/>
                  <w:marTop w:val="0"/>
                  <w:marBottom w:val="0"/>
                  <w:divBdr>
                    <w:top w:val="none" w:sz="0" w:space="0" w:color="auto"/>
                    <w:left w:val="none" w:sz="0" w:space="0" w:color="auto"/>
                    <w:bottom w:val="none" w:sz="0" w:space="0" w:color="auto"/>
                    <w:right w:val="none" w:sz="0" w:space="0" w:color="auto"/>
                  </w:divBdr>
                  <w:divsChild>
                    <w:div w:id="1715159859">
                      <w:marLeft w:val="0"/>
                      <w:marRight w:val="0"/>
                      <w:marTop w:val="0"/>
                      <w:marBottom w:val="0"/>
                      <w:divBdr>
                        <w:top w:val="none" w:sz="0" w:space="0" w:color="auto"/>
                        <w:left w:val="none" w:sz="0" w:space="0" w:color="auto"/>
                        <w:bottom w:val="none" w:sz="0" w:space="0" w:color="auto"/>
                        <w:right w:val="none" w:sz="0" w:space="0" w:color="auto"/>
                      </w:divBdr>
                    </w:div>
                  </w:divsChild>
                </w:div>
                <w:div w:id="772243324">
                  <w:marLeft w:val="0"/>
                  <w:marRight w:val="0"/>
                  <w:marTop w:val="0"/>
                  <w:marBottom w:val="0"/>
                  <w:divBdr>
                    <w:top w:val="none" w:sz="0" w:space="0" w:color="auto"/>
                    <w:left w:val="none" w:sz="0" w:space="0" w:color="auto"/>
                    <w:bottom w:val="none" w:sz="0" w:space="0" w:color="auto"/>
                    <w:right w:val="none" w:sz="0" w:space="0" w:color="auto"/>
                  </w:divBdr>
                  <w:divsChild>
                    <w:div w:id="292489821">
                      <w:marLeft w:val="0"/>
                      <w:marRight w:val="0"/>
                      <w:marTop w:val="0"/>
                      <w:marBottom w:val="0"/>
                      <w:divBdr>
                        <w:top w:val="none" w:sz="0" w:space="0" w:color="auto"/>
                        <w:left w:val="none" w:sz="0" w:space="0" w:color="auto"/>
                        <w:bottom w:val="none" w:sz="0" w:space="0" w:color="auto"/>
                        <w:right w:val="none" w:sz="0" w:space="0" w:color="auto"/>
                      </w:divBdr>
                    </w:div>
                  </w:divsChild>
                </w:div>
                <w:div w:id="841121046">
                  <w:marLeft w:val="0"/>
                  <w:marRight w:val="0"/>
                  <w:marTop w:val="0"/>
                  <w:marBottom w:val="0"/>
                  <w:divBdr>
                    <w:top w:val="none" w:sz="0" w:space="0" w:color="auto"/>
                    <w:left w:val="none" w:sz="0" w:space="0" w:color="auto"/>
                    <w:bottom w:val="none" w:sz="0" w:space="0" w:color="auto"/>
                    <w:right w:val="none" w:sz="0" w:space="0" w:color="auto"/>
                  </w:divBdr>
                  <w:divsChild>
                    <w:div w:id="594365637">
                      <w:marLeft w:val="0"/>
                      <w:marRight w:val="0"/>
                      <w:marTop w:val="0"/>
                      <w:marBottom w:val="0"/>
                      <w:divBdr>
                        <w:top w:val="none" w:sz="0" w:space="0" w:color="auto"/>
                        <w:left w:val="none" w:sz="0" w:space="0" w:color="auto"/>
                        <w:bottom w:val="none" w:sz="0" w:space="0" w:color="auto"/>
                        <w:right w:val="none" w:sz="0" w:space="0" w:color="auto"/>
                      </w:divBdr>
                    </w:div>
                  </w:divsChild>
                </w:div>
                <w:div w:id="889876420">
                  <w:marLeft w:val="0"/>
                  <w:marRight w:val="0"/>
                  <w:marTop w:val="0"/>
                  <w:marBottom w:val="0"/>
                  <w:divBdr>
                    <w:top w:val="none" w:sz="0" w:space="0" w:color="auto"/>
                    <w:left w:val="none" w:sz="0" w:space="0" w:color="auto"/>
                    <w:bottom w:val="none" w:sz="0" w:space="0" w:color="auto"/>
                    <w:right w:val="none" w:sz="0" w:space="0" w:color="auto"/>
                  </w:divBdr>
                  <w:divsChild>
                    <w:div w:id="1018701534">
                      <w:marLeft w:val="0"/>
                      <w:marRight w:val="0"/>
                      <w:marTop w:val="0"/>
                      <w:marBottom w:val="0"/>
                      <w:divBdr>
                        <w:top w:val="none" w:sz="0" w:space="0" w:color="auto"/>
                        <w:left w:val="none" w:sz="0" w:space="0" w:color="auto"/>
                        <w:bottom w:val="none" w:sz="0" w:space="0" w:color="auto"/>
                        <w:right w:val="none" w:sz="0" w:space="0" w:color="auto"/>
                      </w:divBdr>
                    </w:div>
                  </w:divsChild>
                </w:div>
                <w:div w:id="1029992617">
                  <w:marLeft w:val="0"/>
                  <w:marRight w:val="0"/>
                  <w:marTop w:val="0"/>
                  <w:marBottom w:val="0"/>
                  <w:divBdr>
                    <w:top w:val="none" w:sz="0" w:space="0" w:color="auto"/>
                    <w:left w:val="none" w:sz="0" w:space="0" w:color="auto"/>
                    <w:bottom w:val="none" w:sz="0" w:space="0" w:color="auto"/>
                    <w:right w:val="none" w:sz="0" w:space="0" w:color="auto"/>
                  </w:divBdr>
                  <w:divsChild>
                    <w:div w:id="195166506">
                      <w:marLeft w:val="0"/>
                      <w:marRight w:val="0"/>
                      <w:marTop w:val="0"/>
                      <w:marBottom w:val="0"/>
                      <w:divBdr>
                        <w:top w:val="none" w:sz="0" w:space="0" w:color="auto"/>
                        <w:left w:val="none" w:sz="0" w:space="0" w:color="auto"/>
                        <w:bottom w:val="none" w:sz="0" w:space="0" w:color="auto"/>
                        <w:right w:val="none" w:sz="0" w:space="0" w:color="auto"/>
                      </w:divBdr>
                    </w:div>
                  </w:divsChild>
                </w:div>
                <w:div w:id="1053622896">
                  <w:marLeft w:val="0"/>
                  <w:marRight w:val="0"/>
                  <w:marTop w:val="0"/>
                  <w:marBottom w:val="0"/>
                  <w:divBdr>
                    <w:top w:val="none" w:sz="0" w:space="0" w:color="auto"/>
                    <w:left w:val="none" w:sz="0" w:space="0" w:color="auto"/>
                    <w:bottom w:val="none" w:sz="0" w:space="0" w:color="auto"/>
                    <w:right w:val="none" w:sz="0" w:space="0" w:color="auto"/>
                  </w:divBdr>
                  <w:divsChild>
                    <w:div w:id="1064453984">
                      <w:marLeft w:val="0"/>
                      <w:marRight w:val="0"/>
                      <w:marTop w:val="0"/>
                      <w:marBottom w:val="0"/>
                      <w:divBdr>
                        <w:top w:val="none" w:sz="0" w:space="0" w:color="auto"/>
                        <w:left w:val="none" w:sz="0" w:space="0" w:color="auto"/>
                        <w:bottom w:val="none" w:sz="0" w:space="0" w:color="auto"/>
                        <w:right w:val="none" w:sz="0" w:space="0" w:color="auto"/>
                      </w:divBdr>
                    </w:div>
                  </w:divsChild>
                </w:div>
                <w:div w:id="1067536742">
                  <w:marLeft w:val="0"/>
                  <w:marRight w:val="0"/>
                  <w:marTop w:val="0"/>
                  <w:marBottom w:val="0"/>
                  <w:divBdr>
                    <w:top w:val="none" w:sz="0" w:space="0" w:color="auto"/>
                    <w:left w:val="none" w:sz="0" w:space="0" w:color="auto"/>
                    <w:bottom w:val="none" w:sz="0" w:space="0" w:color="auto"/>
                    <w:right w:val="none" w:sz="0" w:space="0" w:color="auto"/>
                  </w:divBdr>
                  <w:divsChild>
                    <w:div w:id="439841658">
                      <w:marLeft w:val="0"/>
                      <w:marRight w:val="0"/>
                      <w:marTop w:val="0"/>
                      <w:marBottom w:val="0"/>
                      <w:divBdr>
                        <w:top w:val="none" w:sz="0" w:space="0" w:color="auto"/>
                        <w:left w:val="none" w:sz="0" w:space="0" w:color="auto"/>
                        <w:bottom w:val="none" w:sz="0" w:space="0" w:color="auto"/>
                        <w:right w:val="none" w:sz="0" w:space="0" w:color="auto"/>
                      </w:divBdr>
                    </w:div>
                  </w:divsChild>
                </w:div>
                <w:div w:id="1080561812">
                  <w:marLeft w:val="0"/>
                  <w:marRight w:val="0"/>
                  <w:marTop w:val="0"/>
                  <w:marBottom w:val="0"/>
                  <w:divBdr>
                    <w:top w:val="none" w:sz="0" w:space="0" w:color="auto"/>
                    <w:left w:val="none" w:sz="0" w:space="0" w:color="auto"/>
                    <w:bottom w:val="none" w:sz="0" w:space="0" w:color="auto"/>
                    <w:right w:val="none" w:sz="0" w:space="0" w:color="auto"/>
                  </w:divBdr>
                  <w:divsChild>
                    <w:div w:id="1898936106">
                      <w:marLeft w:val="0"/>
                      <w:marRight w:val="0"/>
                      <w:marTop w:val="0"/>
                      <w:marBottom w:val="0"/>
                      <w:divBdr>
                        <w:top w:val="none" w:sz="0" w:space="0" w:color="auto"/>
                        <w:left w:val="none" w:sz="0" w:space="0" w:color="auto"/>
                        <w:bottom w:val="none" w:sz="0" w:space="0" w:color="auto"/>
                        <w:right w:val="none" w:sz="0" w:space="0" w:color="auto"/>
                      </w:divBdr>
                    </w:div>
                  </w:divsChild>
                </w:div>
                <w:div w:id="1264076275">
                  <w:marLeft w:val="0"/>
                  <w:marRight w:val="0"/>
                  <w:marTop w:val="0"/>
                  <w:marBottom w:val="0"/>
                  <w:divBdr>
                    <w:top w:val="none" w:sz="0" w:space="0" w:color="auto"/>
                    <w:left w:val="none" w:sz="0" w:space="0" w:color="auto"/>
                    <w:bottom w:val="none" w:sz="0" w:space="0" w:color="auto"/>
                    <w:right w:val="none" w:sz="0" w:space="0" w:color="auto"/>
                  </w:divBdr>
                  <w:divsChild>
                    <w:div w:id="2097432179">
                      <w:marLeft w:val="0"/>
                      <w:marRight w:val="0"/>
                      <w:marTop w:val="0"/>
                      <w:marBottom w:val="0"/>
                      <w:divBdr>
                        <w:top w:val="none" w:sz="0" w:space="0" w:color="auto"/>
                        <w:left w:val="none" w:sz="0" w:space="0" w:color="auto"/>
                        <w:bottom w:val="none" w:sz="0" w:space="0" w:color="auto"/>
                        <w:right w:val="none" w:sz="0" w:space="0" w:color="auto"/>
                      </w:divBdr>
                    </w:div>
                  </w:divsChild>
                </w:div>
                <w:div w:id="1314412336">
                  <w:marLeft w:val="0"/>
                  <w:marRight w:val="0"/>
                  <w:marTop w:val="0"/>
                  <w:marBottom w:val="0"/>
                  <w:divBdr>
                    <w:top w:val="none" w:sz="0" w:space="0" w:color="auto"/>
                    <w:left w:val="none" w:sz="0" w:space="0" w:color="auto"/>
                    <w:bottom w:val="none" w:sz="0" w:space="0" w:color="auto"/>
                    <w:right w:val="none" w:sz="0" w:space="0" w:color="auto"/>
                  </w:divBdr>
                  <w:divsChild>
                    <w:div w:id="1498227806">
                      <w:marLeft w:val="0"/>
                      <w:marRight w:val="0"/>
                      <w:marTop w:val="0"/>
                      <w:marBottom w:val="0"/>
                      <w:divBdr>
                        <w:top w:val="none" w:sz="0" w:space="0" w:color="auto"/>
                        <w:left w:val="none" w:sz="0" w:space="0" w:color="auto"/>
                        <w:bottom w:val="none" w:sz="0" w:space="0" w:color="auto"/>
                        <w:right w:val="none" w:sz="0" w:space="0" w:color="auto"/>
                      </w:divBdr>
                    </w:div>
                  </w:divsChild>
                </w:div>
                <w:div w:id="1327515956">
                  <w:marLeft w:val="0"/>
                  <w:marRight w:val="0"/>
                  <w:marTop w:val="0"/>
                  <w:marBottom w:val="0"/>
                  <w:divBdr>
                    <w:top w:val="none" w:sz="0" w:space="0" w:color="auto"/>
                    <w:left w:val="none" w:sz="0" w:space="0" w:color="auto"/>
                    <w:bottom w:val="none" w:sz="0" w:space="0" w:color="auto"/>
                    <w:right w:val="none" w:sz="0" w:space="0" w:color="auto"/>
                  </w:divBdr>
                  <w:divsChild>
                    <w:div w:id="948199072">
                      <w:marLeft w:val="0"/>
                      <w:marRight w:val="0"/>
                      <w:marTop w:val="0"/>
                      <w:marBottom w:val="0"/>
                      <w:divBdr>
                        <w:top w:val="none" w:sz="0" w:space="0" w:color="auto"/>
                        <w:left w:val="none" w:sz="0" w:space="0" w:color="auto"/>
                        <w:bottom w:val="none" w:sz="0" w:space="0" w:color="auto"/>
                        <w:right w:val="none" w:sz="0" w:space="0" w:color="auto"/>
                      </w:divBdr>
                    </w:div>
                  </w:divsChild>
                </w:div>
                <w:div w:id="1435175632">
                  <w:marLeft w:val="0"/>
                  <w:marRight w:val="0"/>
                  <w:marTop w:val="0"/>
                  <w:marBottom w:val="0"/>
                  <w:divBdr>
                    <w:top w:val="none" w:sz="0" w:space="0" w:color="auto"/>
                    <w:left w:val="none" w:sz="0" w:space="0" w:color="auto"/>
                    <w:bottom w:val="none" w:sz="0" w:space="0" w:color="auto"/>
                    <w:right w:val="none" w:sz="0" w:space="0" w:color="auto"/>
                  </w:divBdr>
                  <w:divsChild>
                    <w:div w:id="579214417">
                      <w:marLeft w:val="0"/>
                      <w:marRight w:val="0"/>
                      <w:marTop w:val="0"/>
                      <w:marBottom w:val="0"/>
                      <w:divBdr>
                        <w:top w:val="none" w:sz="0" w:space="0" w:color="auto"/>
                        <w:left w:val="none" w:sz="0" w:space="0" w:color="auto"/>
                        <w:bottom w:val="none" w:sz="0" w:space="0" w:color="auto"/>
                        <w:right w:val="none" w:sz="0" w:space="0" w:color="auto"/>
                      </w:divBdr>
                    </w:div>
                  </w:divsChild>
                </w:div>
                <w:div w:id="1489247779">
                  <w:marLeft w:val="0"/>
                  <w:marRight w:val="0"/>
                  <w:marTop w:val="0"/>
                  <w:marBottom w:val="0"/>
                  <w:divBdr>
                    <w:top w:val="none" w:sz="0" w:space="0" w:color="auto"/>
                    <w:left w:val="none" w:sz="0" w:space="0" w:color="auto"/>
                    <w:bottom w:val="none" w:sz="0" w:space="0" w:color="auto"/>
                    <w:right w:val="none" w:sz="0" w:space="0" w:color="auto"/>
                  </w:divBdr>
                  <w:divsChild>
                    <w:div w:id="77866276">
                      <w:marLeft w:val="0"/>
                      <w:marRight w:val="0"/>
                      <w:marTop w:val="0"/>
                      <w:marBottom w:val="0"/>
                      <w:divBdr>
                        <w:top w:val="none" w:sz="0" w:space="0" w:color="auto"/>
                        <w:left w:val="none" w:sz="0" w:space="0" w:color="auto"/>
                        <w:bottom w:val="none" w:sz="0" w:space="0" w:color="auto"/>
                        <w:right w:val="none" w:sz="0" w:space="0" w:color="auto"/>
                      </w:divBdr>
                    </w:div>
                  </w:divsChild>
                </w:div>
                <w:div w:id="1620146160">
                  <w:marLeft w:val="0"/>
                  <w:marRight w:val="0"/>
                  <w:marTop w:val="0"/>
                  <w:marBottom w:val="0"/>
                  <w:divBdr>
                    <w:top w:val="none" w:sz="0" w:space="0" w:color="auto"/>
                    <w:left w:val="none" w:sz="0" w:space="0" w:color="auto"/>
                    <w:bottom w:val="none" w:sz="0" w:space="0" w:color="auto"/>
                    <w:right w:val="none" w:sz="0" w:space="0" w:color="auto"/>
                  </w:divBdr>
                  <w:divsChild>
                    <w:div w:id="1831171186">
                      <w:marLeft w:val="0"/>
                      <w:marRight w:val="0"/>
                      <w:marTop w:val="0"/>
                      <w:marBottom w:val="0"/>
                      <w:divBdr>
                        <w:top w:val="none" w:sz="0" w:space="0" w:color="auto"/>
                        <w:left w:val="none" w:sz="0" w:space="0" w:color="auto"/>
                        <w:bottom w:val="none" w:sz="0" w:space="0" w:color="auto"/>
                        <w:right w:val="none" w:sz="0" w:space="0" w:color="auto"/>
                      </w:divBdr>
                    </w:div>
                  </w:divsChild>
                </w:div>
                <w:div w:id="1651516119">
                  <w:marLeft w:val="0"/>
                  <w:marRight w:val="0"/>
                  <w:marTop w:val="0"/>
                  <w:marBottom w:val="0"/>
                  <w:divBdr>
                    <w:top w:val="none" w:sz="0" w:space="0" w:color="auto"/>
                    <w:left w:val="none" w:sz="0" w:space="0" w:color="auto"/>
                    <w:bottom w:val="none" w:sz="0" w:space="0" w:color="auto"/>
                    <w:right w:val="none" w:sz="0" w:space="0" w:color="auto"/>
                  </w:divBdr>
                  <w:divsChild>
                    <w:div w:id="259611083">
                      <w:marLeft w:val="0"/>
                      <w:marRight w:val="0"/>
                      <w:marTop w:val="0"/>
                      <w:marBottom w:val="0"/>
                      <w:divBdr>
                        <w:top w:val="none" w:sz="0" w:space="0" w:color="auto"/>
                        <w:left w:val="none" w:sz="0" w:space="0" w:color="auto"/>
                        <w:bottom w:val="none" w:sz="0" w:space="0" w:color="auto"/>
                        <w:right w:val="none" w:sz="0" w:space="0" w:color="auto"/>
                      </w:divBdr>
                    </w:div>
                  </w:divsChild>
                </w:div>
                <w:div w:id="1773548518">
                  <w:marLeft w:val="0"/>
                  <w:marRight w:val="0"/>
                  <w:marTop w:val="0"/>
                  <w:marBottom w:val="0"/>
                  <w:divBdr>
                    <w:top w:val="none" w:sz="0" w:space="0" w:color="auto"/>
                    <w:left w:val="none" w:sz="0" w:space="0" w:color="auto"/>
                    <w:bottom w:val="none" w:sz="0" w:space="0" w:color="auto"/>
                    <w:right w:val="none" w:sz="0" w:space="0" w:color="auto"/>
                  </w:divBdr>
                  <w:divsChild>
                    <w:div w:id="1894347163">
                      <w:marLeft w:val="0"/>
                      <w:marRight w:val="0"/>
                      <w:marTop w:val="0"/>
                      <w:marBottom w:val="0"/>
                      <w:divBdr>
                        <w:top w:val="none" w:sz="0" w:space="0" w:color="auto"/>
                        <w:left w:val="none" w:sz="0" w:space="0" w:color="auto"/>
                        <w:bottom w:val="none" w:sz="0" w:space="0" w:color="auto"/>
                        <w:right w:val="none" w:sz="0" w:space="0" w:color="auto"/>
                      </w:divBdr>
                    </w:div>
                  </w:divsChild>
                </w:div>
                <w:div w:id="1801731079">
                  <w:marLeft w:val="0"/>
                  <w:marRight w:val="0"/>
                  <w:marTop w:val="0"/>
                  <w:marBottom w:val="0"/>
                  <w:divBdr>
                    <w:top w:val="none" w:sz="0" w:space="0" w:color="auto"/>
                    <w:left w:val="none" w:sz="0" w:space="0" w:color="auto"/>
                    <w:bottom w:val="none" w:sz="0" w:space="0" w:color="auto"/>
                    <w:right w:val="none" w:sz="0" w:space="0" w:color="auto"/>
                  </w:divBdr>
                  <w:divsChild>
                    <w:div w:id="1566644525">
                      <w:marLeft w:val="0"/>
                      <w:marRight w:val="0"/>
                      <w:marTop w:val="0"/>
                      <w:marBottom w:val="0"/>
                      <w:divBdr>
                        <w:top w:val="none" w:sz="0" w:space="0" w:color="auto"/>
                        <w:left w:val="none" w:sz="0" w:space="0" w:color="auto"/>
                        <w:bottom w:val="none" w:sz="0" w:space="0" w:color="auto"/>
                        <w:right w:val="none" w:sz="0" w:space="0" w:color="auto"/>
                      </w:divBdr>
                    </w:div>
                  </w:divsChild>
                </w:div>
                <w:div w:id="1805346144">
                  <w:marLeft w:val="0"/>
                  <w:marRight w:val="0"/>
                  <w:marTop w:val="0"/>
                  <w:marBottom w:val="0"/>
                  <w:divBdr>
                    <w:top w:val="none" w:sz="0" w:space="0" w:color="auto"/>
                    <w:left w:val="none" w:sz="0" w:space="0" w:color="auto"/>
                    <w:bottom w:val="none" w:sz="0" w:space="0" w:color="auto"/>
                    <w:right w:val="none" w:sz="0" w:space="0" w:color="auto"/>
                  </w:divBdr>
                  <w:divsChild>
                    <w:div w:id="346492838">
                      <w:marLeft w:val="0"/>
                      <w:marRight w:val="0"/>
                      <w:marTop w:val="0"/>
                      <w:marBottom w:val="0"/>
                      <w:divBdr>
                        <w:top w:val="none" w:sz="0" w:space="0" w:color="auto"/>
                        <w:left w:val="none" w:sz="0" w:space="0" w:color="auto"/>
                        <w:bottom w:val="none" w:sz="0" w:space="0" w:color="auto"/>
                        <w:right w:val="none" w:sz="0" w:space="0" w:color="auto"/>
                      </w:divBdr>
                    </w:div>
                  </w:divsChild>
                </w:div>
                <w:div w:id="1928809355">
                  <w:marLeft w:val="0"/>
                  <w:marRight w:val="0"/>
                  <w:marTop w:val="0"/>
                  <w:marBottom w:val="0"/>
                  <w:divBdr>
                    <w:top w:val="none" w:sz="0" w:space="0" w:color="auto"/>
                    <w:left w:val="none" w:sz="0" w:space="0" w:color="auto"/>
                    <w:bottom w:val="none" w:sz="0" w:space="0" w:color="auto"/>
                    <w:right w:val="none" w:sz="0" w:space="0" w:color="auto"/>
                  </w:divBdr>
                  <w:divsChild>
                    <w:div w:id="1494832944">
                      <w:marLeft w:val="0"/>
                      <w:marRight w:val="0"/>
                      <w:marTop w:val="0"/>
                      <w:marBottom w:val="0"/>
                      <w:divBdr>
                        <w:top w:val="none" w:sz="0" w:space="0" w:color="auto"/>
                        <w:left w:val="none" w:sz="0" w:space="0" w:color="auto"/>
                        <w:bottom w:val="none" w:sz="0" w:space="0" w:color="auto"/>
                        <w:right w:val="none" w:sz="0" w:space="0" w:color="auto"/>
                      </w:divBdr>
                    </w:div>
                  </w:divsChild>
                </w:div>
                <w:div w:id="1996688190">
                  <w:marLeft w:val="0"/>
                  <w:marRight w:val="0"/>
                  <w:marTop w:val="0"/>
                  <w:marBottom w:val="0"/>
                  <w:divBdr>
                    <w:top w:val="none" w:sz="0" w:space="0" w:color="auto"/>
                    <w:left w:val="none" w:sz="0" w:space="0" w:color="auto"/>
                    <w:bottom w:val="none" w:sz="0" w:space="0" w:color="auto"/>
                    <w:right w:val="none" w:sz="0" w:space="0" w:color="auto"/>
                  </w:divBdr>
                  <w:divsChild>
                    <w:div w:id="1417441384">
                      <w:marLeft w:val="0"/>
                      <w:marRight w:val="0"/>
                      <w:marTop w:val="0"/>
                      <w:marBottom w:val="0"/>
                      <w:divBdr>
                        <w:top w:val="none" w:sz="0" w:space="0" w:color="auto"/>
                        <w:left w:val="none" w:sz="0" w:space="0" w:color="auto"/>
                        <w:bottom w:val="none" w:sz="0" w:space="0" w:color="auto"/>
                        <w:right w:val="none" w:sz="0" w:space="0" w:color="auto"/>
                      </w:divBdr>
                    </w:div>
                  </w:divsChild>
                </w:div>
                <w:div w:id="2010668839">
                  <w:marLeft w:val="0"/>
                  <w:marRight w:val="0"/>
                  <w:marTop w:val="0"/>
                  <w:marBottom w:val="0"/>
                  <w:divBdr>
                    <w:top w:val="none" w:sz="0" w:space="0" w:color="auto"/>
                    <w:left w:val="none" w:sz="0" w:space="0" w:color="auto"/>
                    <w:bottom w:val="none" w:sz="0" w:space="0" w:color="auto"/>
                    <w:right w:val="none" w:sz="0" w:space="0" w:color="auto"/>
                  </w:divBdr>
                  <w:divsChild>
                    <w:div w:id="451873415">
                      <w:marLeft w:val="0"/>
                      <w:marRight w:val="0"/>
                      <w:marTop w:val="0"/>
                      <w:marBottom w:val="0"/>
                      <w:divBdr>
                        <w:top w:val="none" w:sz="0" w:space="0" w:color="auto"/>
                        <w:left w:val="none" w:sz="0" w:space="0" w:color="auto"/>
                        <w:bottom w:val="none" w:sz="0" w:space="0" w:color="auto"/>
                        <w:right w:val="none" w:sz="0" w:space="0" w:color="auto"/>
                      </w:divBdr>
                    </w:div>
                  </w:divsChild>
                </w:div>
                <w:div w:id="2129733595">
                  <w:marLeft w:val="0"/>
                  <w:marRight w:val="0"/>
                  <w:marTop w:val="0"/>
                  <w:marBottom w:val="0"/>
                  <w:divBdr>
                    <w:top w:val="none" w:sz="0" w:space="0" w:color="auto"/>
                    <w:left w:val="none" w:sz="0" w:space="0" w:color="auto"/>
                    <w:bottom w:val="none" w:sz="0" w:space="0" w:color="auto"/>
                    <w:right w:val="none" w:sz="0" w:space="0" w:color="auto"/>
                  </w:divBdr>
                  <w:divsChild>
                    <w:div w:id="13982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284332">
          <w:marLeft w:val="0"/>
          <w:marRight w:val="0"/>
          <w:marTop w:val="0"/>
          <w:marBottom w:val="0"/>
          <w:divBdr>
            <w:top w:val="none" w:sz="0" w:space="0" w:color="auto"/>
            <w:left w:val="none" w:sz="0" w:space="0" w:color="auto"/>
            <w:bottom w:val="none" w:sz="0" w:space="0" w:color="auto"/>
            <w:right w:val="none" w:sz="0" w:space="0" w:color="auto"/>
          </w:divBdr>
        </w:div>
        <w:div w:id="814374929">
          <w:marLeft w:val="0"/>
          <w:marRight w:val="0"/>
          <w:marTop w:val="0"/>
          <w:marBottom w:val="0"/>
          <w:divBdr>
            <w:top w:val="none" w:sz="0" w:space="0" w:color="auto"/>
            <w:left w:val="none" w:sz="0" w:space="0" w:color="auto"/>
            <w:bottom w:val="none" w:sz="0" w:space="0" w:color="auto"/>
            <w:right w:val="none" w:sz="0" w:space="0" w:color="auto"/>
          </w:divBdr>
        </w:div>
        <w:div w:id="821504586">
          <w:marLeft w:val="0"/>
          <w:marRight w:val="0"/>
          <w:marTop w:val="0"/>
          <w:marBottom w:val="0"/>
          <w:divBdr>
            <w:top w:val="none" w:sz="0" w:space="0" w:color="auto"/>
            <w:left w:val="none" w:sz="0" w:space="0" w:color="auto"/>
            <w:bottom w:val="none" w:sz="0" w:space="0" w:color="auto"/>
            <w:right w:val="none" w:sz="0" w:space="0" w:color="auto"/>
          </w:divBdr>
        </w:div>
        <w:div w:id="895241486">
          <w:marLeft w:val="0"/>
          <w:marRight w:val="0"/>
          <w:marTop w:val="0"/>
          <w:marBottom w:val="0"/>
          <w:divBdr>
            <w:top w:val="none" w:sz="0" w:space="0" w:color="auto"/>
            <w:left w:val="none" w:sz="0" w:space="0" w:color="auto"/>
            <w:bottom w:val="none" w:sz="0" w:space="0" w:color="auto"/>
            <w:right w:val="none" w:sz="0" w:space="0" w:color="auto"/>
          </w:divBdr>
        </w:div>
        <w:div w:id="918296973">
          <w:marLeft w:val="0"/>
          <w:marRight w:val="0"/>
          <w:marTop w:val="0"/>
          <w:marBottom w:val="0"/>
          <w:divBdr>
            <w:top w:val="none" w:sz="0" w:space="0" w:color="auto"/>
            <w:left w:val="none" w:sz="0" w:space="0" w:color="auto"/>
            <w:bottom w:val="none" w:sz="0" w:space="0" w:color="auto"/>
            <w:right w:val="none" w:sz="0" w:space="0" w:color="auto"/>
          </w:divBdr>
        </w:div>
        <w:div w:id="933244224">
          <w:marLeft w:val="0"/>
          <w:marRight w:val="0"/>
          <w:marTop w:val="0"/>
          <w:marBottom w:val="0"/>
          <w:divBdr>
            <w:top w:val="none" w:sz="0" w:space="0" w:color="auto"/>
            <w:left w:val="none" w:sz="0" w:space="0" w:color="auto"/>
            <w:bottom w:val="none" w:sz="0" w:space="0" w:color="auto"/>
            <w:right w:val="none" w:sz="0" w:space="0" w:color="auto"/>
          </w:divBdr>
        </w:div>
        <w:div w:id="948704507">
          <w:marLeft w:val="0"/>
          <w:marRight w:val="0"/>
          <w:marTop w:val="0"/>
          <w:marBottom w:val="0"/>
          <w:divBdr>
            <w:top w:val="none" w:sz="0" w:space="0" w:color="auto"/>
            <w:left w:val="none" w:sz="0" w:space="0" w:color="auto"/>
            <w:bottom w:val="none" w:sz="0" w:space="0" w:color="auto"/>
            <w:right w:val="none" w:sz="0" w:space="0" w:color="auto"/>
          </w:divBdr>
        </w:div>
        <w:div w:id="964653555">
          <w:marLeft w:val="0"/>
          <w:marRight w:val="0"/>
          <w:marTop w:val="0"/>
          <w:marBottom w:val="0"/>
          <w:divBdr>
            <w:top w:val="none" w:sz="0" w:space="0" w:color="auto"/>
            <w:left w:val="none" w:sz="0" w:space="0" w:color="auto"/>
            <w:bottom w:val="none" w:sz="0" w:space="0" w:color="auto"/>
            <w:right w:val="none" w:sz="0" w:space="0" w:color="auto"/>
          </w:divBdr>
        </w:div>
        <w:div w:id="978419045">
          <w:marLeft w:val="0"/>
          <w:marRight w:val="0"/>
          <w:marTop w:val="0"/>
          <w:marBottom w:val="0"/>
          <w:divBdr>
            <w:top w:val="none" w:sz="0" w:space="0" w:color="auto"/>
            <w:left w:val="none" w:sz="0" w:space="0" w:color="auto"/>
            <w:bottom w:val="none" w:sz="0" w:space="0" w:color="auto"/>
            <w:right w:val="none" w:sz="0" w:space="0" w:color="auto"/>
          </w:divBdr>
        </w:div>
        <w:div w:id="988438007">
          <w:marLeft w:val="0"/>
          <w:marRight w:val="0"/>
          <w:marTop w:val="0"/>
          <w:marBottom w:val="0"/>
          <w:divBdr>
            <w:top w:val="none" w:sz="0" w:space="0" w:color="auto"/>
            <w:left w:val="none" w:sz="0" w:space="0" w:color="auto"/>
            <w:bottom w:val="none" w:sz="0" w:space="0" w:color="auto"/>
            <w:right w:val="none" w:sz="0" w:space="0" w:color="auto"/>
          </w:divBdr>
          <w:divsChild>
            <w:div w:id="304553474">
              <w:marLeft w:val="-75"/>
              <w:marRight w:val="0"/>
              <w:marTop w:val="30"/>
              <w:marBottom w:val="30"/>
              <w:divBdr>
                <w:top w:val="none" w:sz="0" w:space="0" w:color="auto"/>
                <w:left w:val="none" w:sz="0" w:space="0" w:color="auto"/>
                <w:bottom w:val="none" w:sz="0" w:space="0" w:color="auto"/>
                <w:right w:val="none" w:sz="0" w:space="0" w:color="auto"/>
              </w:divBdr>
              <w:divsChild>
                <w:div w:id="26832485">
                  <w:marLeft w:val="0"/>
                  <w:marRight w:val="0"/>
                  <w:marTop w:val="0"/>
                  <w:marBottom w:val="0"/>
                  <w:divBdr>
                    <w:top w:val="none" w:sz="0" w:space="0" w:color="auto"/>
                    <w:left w:val="none" w:sz="0" w:space="0" w:color="auto"/>
                    <w:bottom w:val="none" w:sz="0" w:space="0" w:color="auto"/>
                    <w:right w:val="none" w:sz="0" w:space="0" w:color="auto"/>
                  </w:divBdr>
                  <w:divsChild>
                    <w:div w:id="335545174">
                      <w:marLeft w:val="0"/>
                      <w:marRight w:val="0"/>
                      <w:marTop w:val="0"/>
                      <w:marBottom w:val="0"/>
                      <w:divBdr>
                        <w:top w:val="none" w:sz="0" w:space="0" w:color="auto"/>
                        <w:left w:val="none" w:sz="0" w:space="0" w:color="auto"/>
                        <w:bottom w:val="none" w:sz="0" w:space="0" w:color="auto"/>
                        <w:right w:val="none" w:sz="0" w:space="0" w:color="auto"/>
                      </w:divBdr>
                    </w:div>
                  </w:divsChild>
                </w:div>
                <w:div w:id="82650019">
                  <w:marLeft w:val="0"/>
                  <w:marRight w:val="0"/>
                  <w:marTop w:val="0"/>
                  <w:marBottom w:val="0"/>
                  <w:divBdr>
                    <w:top w:val="none" w:sz="0" w:space="0" w:color="auto"/>
                    <w:left w:val="none" w:sz="0" w:space="0" w:color="auto"/>
                    <w:bottom w:val="none" w:sz="0" w:space="0" w:color="auto"/>
                    <w:right w:val="none" w:sz="0" w:space="0" w:color="auto"/>
                  </w:divBdr>
                  <w:divsChild>
                    <w:div w:id="1204442261">
                      <w:marLeft w:val="0"/>
                      <w:marRight w:val="0"/>
                      <w:marTop w:val="0"/>
                      <w:marBottom w:val="0"/>
                      <w:divBdr>
                        <w:top w:val="none" w:sz="0" w:space="0" w:color="auto"/>
                        <w:left w:val="none" w:sz="0" w:space="0" w:color="auto"/>
                        <w:bottom w:val="none" w:sz="0" w:space="0" w:color="auto"/>
                        <w:right w:val="none" w:sz="0" w:space="0" w:color="auto"/>
                      </w:divBdr>
                    </w:div>
                  </w:divsChild>
                </w:div>
                <w:div w:id="187379766">
                  <w:marLeft w:val="0"/>
                  <w:marRight w:val="0"/>
                  <w:marTop w:val="0"/>
                  <w:marBottom w:val="0"/>
                  <w:divBdr>
                    <w:top w:val="none" w:sz="0" w:space="0" w:color="auto"/>
                    <w:left w:val="none" w:sz="0" w:space="0" w:color="auto"/>
                    <w:bottom w:val="none" w:sz="0" w:space="0" w:color="auto"/>
                    <w:right w:val="none" w:sz="0" w:space="0" w:color="auto"/>
                  </w:divBdr>
                  <w:divsChild>
                    <w:div w:id="1778332679">
                      <w:marLeft w:val="0"/>
                      <w:marRight w:val="0"/>
                      <w:marTop w:val="0"/>
                      <w:marBottom w:val="0"/>
                      <w:divBdr>
                        <w:top w:val="none" w:sz="0" w:space="0" w:color="auto"/>
                        <w:left w:val="none" w:sz="0" w:space="0" w:color="auto"/>
                        <w:bottom w:val="none" w:sz="0" w:space="0" w:color="auto"/>
                        <w:right w:val="none" w:sz="0" w:space="0" w:color="auto"/>
                      </w:divBdr>
                    </w:div>
                  </w:divsChild>
                </w:div>
                <w:div w:id="218833631">
                  <w:marLeft w:val="0"/>
                  <w:marRight w:val="0"/>
                  <w:marTop w:val="0"/>
                  <w:marBottom w:val="0"/>
                  <w:divBdr>
                    <w:top w:val="none" w:sz="0" w:space="0" w:color="auto"/>
                    <w:left w:val="none" w:sz="0" w:space="0" w:color="auto"/>
                    <w:bottom w:val="none" w:sz="0" w:space="0" w:color="auto"/>
                    <w:right w:val="none" w:sz="0" w:space="0" w:color="auto"/>
                  </w:divBdr>
                  <w:divsChild>
                    <w:div w:id="469637425">
                      <w:marLeft w:val="0"/>
                      <w:marRight w:val="0"/>
                      <w:marTop w:val="0"/>
                      <w:marBottom w:val="0"/>
                      <w:divBdr>
                        <w:top w:val="none" w:sz="0" w:space="0" w:color="auto"/>
                        <w:left w:val="none" w:sz="0" w:space="0" w:color="auto"/>
                        <w:bottom w:val="none" w:sz="0" w:space="0" w:color="auto"/>
                        <w:right w:val="none" w:sz="0" w:space="0" w:color="auto"/>
                      </w:divBdr>
                    </w:div>
                  </w:divsChild>
                </w:div>
                <w:div w:id="454711629">
                  <w:marLeft w:val="0"/>
                  <w:marRight w:val="0"/>
                  <w:marTop w:val="0"/>
                  <w:marBottom w:val="0"/>
                  <w:divBdr>
                    <w:top w:val="none" w:sz="0" w:space="0" w:color="auto"/>
                    <w:left w:val="none" w:sz="0" w:space="0" w:color="auto"/>
                    <w:bottom w:val="none" w:sz="0" w:space="0" w:color="auto"/>
                    <w:right w:val="none" w:sz="0" w:space="0" w:color="auto"/>
                  </w:divBdr>
                  <w:divsChild>
                    <w:div w:id="486701979">
                      <w:marLeft w:val="0"/>
                      <w:marRight w:val="0"/>
                      <w:marTop w:val="0"/>
                      <w:marBottom w:val="0"/>
                      <w:divBdr>
                        <w:top w:val="none" w:sz="0" w:space="0" w:color="auto"/>
                        <w:left w:val="none" w:sz="0" w:space="0" w:color="auto"/>
                        <w:bottom w:val="none" w:sz="0" w:space="0" w:color="auto"/>
                        <w:right w:val="none" w:sz="0" w:space="0" w:color="auto"/>
                      </w:divBdr>
                    </w:div>
                  </w:divsChild>
                </w:div>
                <w:div w:id="474836053">
                  <w:marLeft w:val="0"/>
                  <w:marRight w:val="0"/>
                  <w:marTop w:val="0"/>
                  <w:marBottom w:val="0"/>
                  <w:divBdr>
                    <w:top w:val="none" w:sz="0" w:space="0" w:color="auto"/>
                    <w:left w:val="none" w:sz="0" w:space="0" w:color="auto"/>
                    <w:bottom w:val="none" w:sz="0" w:space="0" w:color="auto"/>
                    <w:right w:val="none" w:sz="0" w:space="0" w:color="auto"/>
                  </w:divBdr>
                  <w:divsChild>
                    <w:div w:id="1370034138">
                      <w:marLeft w:val="0"/>
                      <w:marRight w:val="0"/>
                      <w:marTop w:val="0"/>
                      <w:marBottom w:val="0"/>
                      <w:divBdr>
                        <w:top w:val="none" w:sz="0" w:space="0" w:color="auto"/>
                        <w:left w:val="none" w:sz="0" w:space="0" w:color="auto"/>
                        <w:bottom w:val="none" w:sz="0" w:space="0" w:color="auto"/>
                        <w:right w:val="none" w:sz="0" w:space="0" w:color="auto"/>
                      </w:divBdr>
                    </w:div>
                  </w:divsChild>
                </w:div>
                <w:div w:id="507253008">
                  <w:marLeft w:val="0"/>
                  <w:marRight w:val="0"/>
                  <w:marTop w:val="0"/>
                  <w:marBottom w:val="0"/>
                  <w:divBdr>
                    <w:top w:val="none" w:sz="0" w:space="0" w:color="auto"/>
                    <w:left w:val="none" w:sz="0" w:space="0" w:color="auto"/>
                    <w:bottom w:val="none" w:sz="0" w:space="0" w:color="auto"/>
                    <w:right w:val="none" w:sz="0" w:space="0" w:color="auto"/>
                  </w:divBdr>
                  <w:divsChild>
                    <w:div w:id="1937984575">
                      <w:marLeft w:val="0"/>
                      <w:marRight w:val="0"/>
                      <w:marTop w:val="0"/>
                      <w:marBottom w:val="0"/>
                      <w:divBdr>
                        <w:top w:val="none" w:sz="0" w:space="0" w:color="auto"/>
                        <w:left w:val="none" w:sz="0" w:space="0" w:color="auto"/>
                        <w:bottom w:val="none" w:sz="0" w:space="0" w:color="auto"/>
                        <w:right w:val="none" w:sz="0" w:space="0" w:color="auto"/>
                      </w:divBdr>
                    </w:div>
                  </w:divsChild>
                </w:div>
                <w:div w:id="529999233">
                  <w:marLeft w:val="0"/>
                  <w:marRight w:val="0"/>
                  <w:marTop w:val="0"/>
                  <w:marBottom w:val="0"/>
                  <w:divBdr>
                    <w:top w:val="none" w:sz="0" w:space="0" w:color="auto"/>
                    <w:left w:val="none" w:sz="0" w:space="0" w:color="auto"/>
                    <w:bottom w:val="none" w:sz="0" w:space="0" w:color="auto"/>
                    <w:right w:val="none" w:sz="0" w:space="0" w:color="auto"/>
                  </w:divBdr>
                  <w:divsChild>
                    <w:div w:id="1781727893">
                      <w:marLeft w:val="0"/>
                      <w:marRight w:val="0"/>
                      <w:marTop w:val="0"/>
                      <w:marBottom w:val="0"/>
                      <w:divBdr>
                        <w:top w:val="none" w:sz="0" w:space="0" w:color="auto"/>
                        <w:left w:val="none" w:sz="0" w:space="0" w:color="auto"/>
                        <w:bottom w:val="none" w:sz="0" w:space="0" w:color="auto"/>
                        <w:right w:val="none" w:sz="0" w:space="0" w:color="auto"/>
                      </w:divBdr>
                    </w:div>
                  </w:divsChild>
                </w:div>
                <w:div w:id="569508664">
                  <w:marLeft w:val="0"/>
                  <w:marRight w:val="0"/>
                  <w:marTop w:val="0"/>
                  <w:marBottom w:val="0"/>
                  <w:divBdr>
                    <w:top w:val="none" w:sz="0" w:space="0" w:color="auto"/>
                    <w:left w:val="none" w:sz="0" w:space="0" w:color="auto"/>
                    <w:bottom w:val="none" w:sz="0" w:space="0" w:color="auto"/>
                    <w:right w:val="none" w:sz="0" w:space="0" w:color="auto"/>
                  </w:divBdr>
                  <w:divsChild>
                    <w:div w:id="581765345">
                      <w:marLeft w:val="0"/>
                      <w:marRight w:val="0"/>
                      <w:marTop w:val="0"/>
                      <w:marBottom w:val="0"/>
                      <w:divBdr>
                        <w:top w:val="none" w:sz="0" w:space="0" w:color="auto"/>
                        <w:left w:val="none" w:sz="0" w:space="0" w:color="auto"/>
                        <w:bottom w:val="none" w:sz="0" w:space="0" w:color="auto"/>
                        <w:right w:val="none" w:sz="0" w:space="0" w:color="auto"/>
                      </w:divBdr>
                    </w:div>
                  </w:divsChild>
                </w:div>
                <w:div w:id="741491910">
                  <w:marLeft w:val="0"/>
                  <w:marRight w:val="0"/>
                  <w:marTop w:val="0"/>
                  <w:marBottom w:val="0"/>
                  <w:divBdr>
                    <w:top w:val="none" w:sz="0" w:space="0" w:color="auto"/>
                    <w:left w:val="none" w:sz="0" w:space="0" w:color="auto"/>
                    <w:bottom w:val="none" w:sz="0" w:space="0" w:color="auto"/>
                    <w:right w:val="none" w:sz="0" w:space="0" w:color="auto"/>
                  </w:divBdr>
                  <w:divsChild>
                    <w:div w:id="796265827">
                      <w:marLeft w:val="0"/>
                      <w:marRight w:val="0"/>
                      <w:marTop w:val="0"/>
                      <w:marBottom w:val="0"/>
                      <w:divBdr>
                        <w:top w:val="none" w:sz="0" w:space="0" w:color="auto"/>
                        <w:left w:val="none" w:sz="0" w:space="0" w:color="auto"/>
                        <w:bottom w:val="none" w:sz="0" w:space="0" w:color="auto"/>
                        <w:right w:val="none" w:sz="0" w:space="0" w:color="auto"/>
                      </w:divBdr>
                    </w:div>
                  </w:divsChild>
                </w:div>
                <w:div w:id="751051498">
                  <w:marLeft w:val="0"/>
                  <w:marRight w:val="0"/>
                  <w:marTop w:val="0"/>
                  <w:marBottom w:val="0"/>
                  <w:divBdr>
                    <w:top w:val="none" w:sz="0" w:space="0" w:color="auto"/>
                    <w:left w:val="none" w:sz="0" w:space="0" w:color="auto"/>
                    <w:bottom w:val="none" w:sz="0" w:space="0" w:color="auto"/>
                    <w:right w:val="none" w:sz="0" w:space="0" w:color="auto"/>
                  </w:divBdr>
                  <w:divsChild>
                    <w:div w:id="1345471711">
                      <w:marLeft w:val="0"/>
                      <w:marRight w:val="0"/>
                      <w:marTop w:val="0"/>
                      <w:marBottom w:val="0"/>
                      <w:divBdr>
                        <w:top w:val="none" w:sz="0" w:space="0" w:color="auto"/>
                        <w:left w:val="none" w:sz="0" w:space="0" w:color="auto"/>
                        <w:bottom w:val="none" w:sz="0" w:space="0" w:color="auto"/>
                        <w:right w:val="none" w:sz="0" w:space="0" w:color="auto"/>
                      </w:divBdr>
                    </w:div>
                  </w:divsChild>
                </w:div>
                <w:div w:id="776103238">
                  <w:marLeft w:val="0"/>
                  <w:marRight w:val="0"/>
                  <w:marTop w:val="0"/>
                  <w:marBottom w:val="0"/>
                  <w:divBdr>
                    <w:top w:val="none" w:sz="0" w:space="0" w:color="auto"/>
                    <w:left w:val="none" w:sz="0" w:space="0" w:color="auto"/>
                    <w:bottom w:val="none" w:sz="0" w:space="0" w:color="auto"/>
                    <w:right w:val="none" w:sz="0" w:space="0" w:color="auto"/>
                  </w:divBdr>
                  <w:divsChild>
                    <w:div w:id="2141873560">
                      <w:marLeft w:val="0"/>
                      <w:marRight w:val="0"/>
                      <w:marTop w:val="0"/>
                      <w:marBottom w:val="0"/>
                      <w:divBdr>
                        <w:top w:val="none" w:sz="0" w:space="0" w:color="auto"/>
                        <w:left w:val="none" w:sz="0" w:space="0" w:color="auto"/>
                        <w:bottom w:val="none" w:sz="0" w:space="0" w:color="auto"/>
                        <w:right w:val="none" w:sz="0" w:space="0" w:color="auto"/>
                      </w:divBdr>
                    </w:div>
                  </w:divsChild>
                </w:div>
                <w:div w:id="787089898">
                  <w:marLeft w:val="0"/>
                  <w:marRight w:val="0"/>
                  <w:marTop w:val="0"/>
                  <w:marBottom w:val="0"/>
                  <w:divBdr>
                    <w:top w:val="none" w:sz="0" w:space="0" w:color="auto"/>
                    <w:left w:val="none" w:sz="0" w:space="0" w:color="auto"/>
                    <w:bottom w:val="none" w:sz="0" w:space="0" w:color="auto"/>
                    <w:right w:val="none" w:sz="0" w:space="0" w:color="auto"/>
                  </w:divBdr>
                  <w:divsChild>
                    <w:div w:id="248344662">
                      <w:marLeft w:val="0"/>
                      <w:marRight w:val="0"/>
                      <w:marTop w:val="0"/>
                      <w:marBottom w:val="0"/>
                      <w:divBdr>
                        <w:top w:val="none" w:sz="0" w:space="0" w:color="auto"/>
                        <w:left w:val="none" w:sz="0" w:space="0" w:color="auto"/>
                        <w:bottom w:val="none" w:sz="0" w:space="0" w:color="auto"/>
                        <w:right w:val="none" w:sz="0" w:space="0" w:color="auto"/>
                      </w:divBdr>
                    </w:div>
                  </w:divsChild>
                </w:div>
                <w:div w:id="1057121482">
                  <w:marLeft w:val="0"/>
                  <w:marRight w:val="0"/>
                  <w:marTop w:val="0"/>
                  <w:marBottom w:val="0"/>
                  <w:divBdr>
                    <w:top w:val="none" w:sz="0" w:space="0" w:color="auto"/>
                    <w:left w:val="none" w:sz="0" w:space="0" w:color="auto"/>
                    <w:bottom w:val="none" w:sz="0" w:space="0" w:color="auto"/>
                    <w:right w:val="none" w:sz="0" w:space="0" w:color="auto"/>
                  </w:divBdr>
                  <w:divsChild>
                    <w:div w:id="731198266">
                      <w:marLeft w:val="0"/>
                      <w:marRight w:val="0"/>
                      <w:marTop w:val="0"/>
                      <w:marBottom w:val="0"/>
                      <w:divBdr>
                        <w:top w:val="none" w:sz="0" w:space="0" w:color="auto"/>
                        <w:left w:val="none" w:sz="0" w:space="0" w:color="auto"/>
                        <w:bottom w:val="none" w:sz="0" w:space="0" w:color="auto"/>
                        <w:right w:val="none" w:sz="0" w:space="0" w:color="auto"/>
                      </w:divBdr>
                    </w:div>
                  </w:divsChild>
                </w:div>
                <w:div w:id="1071582849">
                  <w:marLeft w:val="0"/>
                  <w:marRight w:val="0"/>
                  <w:marTop w:val="0"/>
                  <w:marBottom w:val="0"/>
                  <w:divBdr>
                    <w:top w:val="none" w:sz="0" w:space="0" w:color="auto"/>
                    <w:left w:val="none" w:sz="0" w:space="0" w:color="auto"/>
                    <w:bottom w:val="none" w:sz="0" w:space="0" w:color="auto"/>
                    <w:right w:val="none" w:sz="0" w:space="0" w:color="auto"/>
                  </w:divBdr>
                  <w:divsChild>
                    <w:div w:id="1390612980">
                      <w:marLeft w:val="0"/>
                      <w:marRight w:val="0"/>
                      <w:marTop w:val="0"/>
                      <w:marBottom w:val="0"/>
                      <w:divBdr>
                        <w:top w:val="none" w:sz="0" w:space="0" w:color="auto"/>
                        <w:left w:val="none" w:sz="0" w:space="0" w:color="auto"/>
                        <w:bottom w:val="none" w:sz="0" w:space="0" w:color="auto"/>
                        <w:right w:val="none" w:sz="0" w:space="0" w:color="auto"/>
                      </w:divBdr>
                    </w:div>
                  </w:divsChild>
                </w:div>
                <w:div w:id="1126316835">
                  <w:marLeft w:val="0"/>
                  <w:marRight w:val="0"/>
                  <w:marTop w:val="0"/>
                  <w:marBottom w:val="0"/>
                  <w:divBdr>
                    <w:top w:val="none" w:sz="0" w:space="0" w:color="auto"/>
                    <w:left w:val="none" w:sz="0" w:space="0" w:color="auto"/>
                    <w:bottom w:val="none" w:sz="0" w:space="0" w:color="auto"/>
                    <w:right w:val="none" w:sz="0" w:space="0" w:color="auto"/>
                  </w:divBdr>
                  <w:divsChild>
                    <w:div w:id="232587316">
                      <w:marLeft w:val="0"/>
                      <w:marRight w:val="0"/>
                      <w:marTop w:val="0"/>
                      <w:marBottom w:val="0"/>
                      <w:divBdr>
                        <w:top w:val="none" w:sz="0" w:space="0" w:color="auto"/>
                        <w:left w:val="none" w:sz="0" w:space="0" w:color="auto"/>
                        <w:bottom w:val="none" w:sz="0" w:space="0" w:color="auto"/>
                        <w:right w:val="none" w:sz="0" w:space="0" w:color="auto"/>
                      </w:divBdr>
                    </w:div>
                  </w:divsChild>
                </w:div>
                <w:div w:id="1156218267">
                  <w:marLeft w:val="0"/>
                  <w:marRight w:val="0"/>
                  <w:marTop w:val="0"/>
                  <w:marBottom w:val="0"/>
                  <w:divBdr>
                    <w:top w:val="none" w:sz="0" w:space="0" w:color="auto"/>
                    <w:left w:val="none" w:sz="0" w:space="0" w:color="auto"/>
                    <w:bottom w:val="none" w:sz="0" w:space="0" w:color="auto"/>
                    <w:right w:val="none" w:sz="0" w:space="0" w:color="auto"/>
                  </w:divBdr>
                  <w:divsChild>
                    <w:div w:id="1153643195">
                      <w:marLeft w:val="0"/>
                      <w:marRight w:val="0"/>
                      <w:marTop w:val="0"/>
                      <w:marBottom w:val="0"/>
                      <w:divBdr>
                        <w:top w:val="none" w:sz="0" w:space="0" w:color="auto"/>
                        <w:left w:val="none" w:sz="0" w:space="0" w:color="auto"/>
                        <w:bottom w:val="none" w:sz="0" w:space="0" w:color="auto"/>
                        <w:right w:val="none" w:sz="0" w:space="0" w:color="auto"/>
                      </w:divBdr>
                    </w:div>
                  </w:divsChild>
                </w:div>
                <w:div w:id="1202324864">
                  <w:marLeft w:val="0"/>
                  <w:marRight w:val="0"/>
                  <w:marTop w:val="0"/>
                  <w:marBottom w:val="0"/>
                  <w:divBdr>
                    <w:top w:val="none" w:sz="0" w:space="0" w:color="auto"/>
                    <w:left w:val="none" w:sz="0" w:space="0" w:color="auto"/>
                    <w:bottom w:val="none" w:sz="0" w:space="0" w:color="auto"/>
                    <w:right w:val="none" w:sz="0" w:space="0" w:color="auto"/>
                  </w:divBdr>
                  <w:divsChild>
                    <w:div w:id="1391030055">
                      <w:marLeft w:val="0"/>
                      <w:marRight w:val="0"/>
                      <w:marTop w:val="0"/>
                      <w:marBottom w:val="0"/>
                      <w:divBdr>
                        <w:top w:val="none" w:sz="0" w:space="0" w:color="auto"/>
                        <w:left w:val="none" w:sz="0" w:space="0" w:color="auto"/>
                        <w:bottom w:val="none" w:sz="0" w:space="0" w:color="auto"/>
                        <w:right w:val="none" w:sz="0" w:space="0" w:color="auto"/>
                      </w:divBdr>
                    </w:div>
                  </w:divsChild>
                </w:div>
                <w:div w:id="1245460005">
                  <w:marLeft w:val="0"/>
                  <w:marRight w:val="0"/>
                  <w:marTop w:val="0"/>
                  <w:marBottom w:val="0"/>
                  <w:divBdr>
                    <w:top w:val="none" w:sz="0" w:space="0" w:color="auto"/>
                    <w:left w:val="none" w:sz="0" w:space="0" w:color="auto"/>
                    <w:bottom w:val="none" w:sz="0" w:space="0" w:color="auto"/>
                    <w:right w:val="none" w:sz="0" w:space="0" w:color="auto"/>
                  </w:divBdr>
                  <w:divsChild>
                    <w:div w:id="152454004">
                      <w:marLeft w:val="0"/>
                      <w:marRight w:val="0"/>
                      <w:marTop w:val="0"/>
                      <w:marBottom w:val="0"/>
                      <w:divBdr>
                        <w:top w:val="none" w:sz="0" w:space="0" w:color="auto"/>
                        <w:left w:val="none" w:sz="0" w:space="0" w:color="auto"/>
                        <w:bottom w:val="none" w:sz="0" w:space="0" w:color="auto"/>
                        <w:right w:val="none" w:sz="0" w:space="0" w:color="auto"/>
                      </w:divBdr>
                    </w:div>
                  </w:divsChild>
                </w:div>
                <w:div w:id="1277173687">
                  <w:marLeft w:val="0"/>
                  <w:marRight w:val="0"/>
                  <w:marTop w:val="0"/>
                  <w:marBottom w:val="0"/>
                  <w:divBdr>
                    <w:top w:val="none" w:sz="0" w:space="0" w:color="auto"/>
                    <w:left w:val="none" w:sz="0" w:space="0" w:color="auto"/>
                    <w:bottom w:val="none" w:sz="0" w:space="0" w:color="auto"/>
                    <w:right w:val="none" w:sz="0" w:space="0" w:color="auto"/>
                  </w:divBdr>
                  <w:divsChild>
                    <w:div w:id="771362782">
                      <w:marLeft w:val="0"/>
                      <w:marRight w:val="0"/>
                      <w:marTop w:val="0"/>
                      <w:marBottom w:val="0"/>
                      <w:divBdr>
                        <w:top w:val="none" w:sz="0" w:space="0" w:color="auto"/>
                        <w:left w:val="none" w:sz="0" w:space="0" w:color="auto"/>
                        <w:bottom w:val="none" w:sz="0" w:space="0" w:color="auto"/>
                        <w:right w:val="none" w:sz="0" w:space="0" w:color="auto"/>
                      </w:divBdr>
                    </w:div>
                  </w:divsChild>
                </w:div>
                <w:div w:id="1492526425">
                  <w:marLeft w:val="0"/>
                  <w:marRight w:val="0"/>
                  <w:marTop w:val="0"/>
                  <w:marBottom w:val="0"/>
                  <w:divBdr>
                    <w:top w:val="none" w:sz="0" w:space="0" w:color="auto"/>
                    <w:left w:val="none" w:sz="0" w:space="0" w:color="auto"/>
                    <w:bottom w:val="none" w:sz="0" w:space="0" w:color="auto"/>
                    <w:right w:val="none" w:sz="0" w:space="0" w:color="auto"/>
                  </w:divBdr>
                  <w:divsChild>
                    <w:div w:id="473959203">
                      <w:marLeft w:val="0"/>
                      <w:marRight w:val="0"/>
                      <w:marTop w:val="0"/>
                      <w:marBottom w:val="0"/>
                      <w:divBdr>
                        <w:top w:val="none" w:sz="0" w:space="0" w:color="auto"/>
                        <w:left w:val="none" w:sz="0" w:space="0" w:color="auto"/>
                        <w:bottom w:val="none" w:sz="0" w:space="0" w:color="auto"/>
                        <w:right w:val="none" w:sz="0" w:space="0" w:color="auto"/>
                      </w:divBdr>
                    </w:div>
                  </w:divsChild>
                </w:div>
                <w:div w:id="1502545729">
                  <w:marLeft w:val="0"/>
                  <w:marRight w:val="0"/>
                  <w:marTop w:val="0"/>
                  <w:marBottom w:val="0"/>
                  <w:divBdr>
                    <w:top w:val="none" w:sz="0" w:space="0" w:color="auto"/>
                    <w:left w:val="none" w:sz="0" w:space="0" w:color="auto"/>
                    <w:bottom w:val="none" w:sz="0" w:space="0" w:color="auto"/>
                    <w:right w:val="none" w:sz="0" w:space="0" w:color="auto"/>
                  </w:divBdr>
                  <w:divsChild>
                    <w:div w:id="862940747">
                      <w:marLeft w:val="0"/>
                      <w:marRight w:val="0"/>
                      <w:marTop w:val="0"/>
                      <w:marBottom w:val="0"/>
                      <w:divBdr>
                        <w:top w:val="none" w:sz="0" w:space="0" w:color="auto"/>
                        <w:left w:val="none" w:sz="0" w:space="0" w:color="auto"/>
                        <w:bottom w:val="none" w:sz="0" w:space="0" w:color="auto"/>
                        <w:right w:val="none" w:sz="0" w:space="0" w:color="auto"/>
                      </w:divBdr>
                    </w:div>
                  </w:divsChild>
                </w:div>
                <w:div w:id="1519545646">
                  <w:marLeft w:val="0"/>
                  <w:marRight w:val="0"/>
                  <w:marTop w:val="0"/>
                  <w:marBottom w:val="0"/>
                  <w:divBdr>
                    <w:top w:val="none" w:sz="0" w:space="0" w:color="auto"/>
                    <w:left w:val="none" w:sz="0" w:space="0" w:color="auto"/>
                    <w:bottom w:val="none" w:sz="0" w:space="0" w:color="auto"/>
                    <w:right w:val="none" w:sz="0" w:space="0" w:color="auto"/>
                  </w:divBdr>
                  <w:divsChild>
                    <w:div w:id="1341274415">
                      <w:marLeft w:val="0"/>
                      <w:marRight w:val="0"/>
                      <w:marTop w:val="0"/>
                      <w:marBottom w:val="0"/>
                      <w:divBdr>
                        <w:top w:val="none" w:sz="0" w:space="0" w:color="auto"/>
                        <w:left w:val="none" w:sz="0" w:space="0" w:color="auto"/>
                        <w:bottom w:val="none" w:sz="0" w:space="0" w:color="auto"/>
                        <w:right w:val="none" w:sz="0" w:space="0" w:color="auto"/>
                      </w:divBdr>
                    </w:div>
                  </w:divsChild>
                </w:div>
                <w:div w:id="1550259362">
                  <w:marLeft w:val="0"/>
                  <w:marRight w:val="0"/>
                  <w:marTop w:val="0"/>
                  <w:marBottom w:val="0"/>
                  <w:divBdr>
                    <w:top w:val="none" w:sz="0" w:space="0" w:color="auto"/>
                    <w:left w:val="none" w:sz="0" w:space="0" w:color="auto"/>
                    <w:bottom w:val="none" w:sz="0" w:space="0" w:color="auto"/>
                    <w:right w:val="none" w:sz="0" w:space="0" w:color="auto"/>
                  </w:divBdr>
                  <w:divsChild>
                    <w:div w:id="689797031">
                      <w:marLeft w:val="0"/>
                      <w:marRight w:val="0"/>
                      <w:marTop w:val="0"/>
                      <w:marBottom w:val="0"/>
                      <w:divBdr>
                        <w:top w:val="none" w:sz="0" w:space="0" w:color="auto"/>
                        <w:left w:val="none" w:sz="0" w:space="0" w:color="auto"/>
                        <w:bottom w:val="none" w:sz="0" w:space="0" w:color="auto"/>
                        <w:right w:val="none" w:sz="0" w:space="0" w:color="auto"/>
                      </w:divBdr>
                    </w:div>
                  </w:divsChild>
                </w:div>
                <w:div w:id="1557664547">
                  <w:marLeft w:val="0"/>
                  <w:marRight w:val="0"/>
                  <w:marTop w:val="0"/>
                  <w:marBottom w:val="0"/>
                  <w:divBdr>
                    <w:top w:val="none" w:sz="0" w:space="0" w:color="auto"/>
                    <w:left w:val="none" w:sz="0" w:space="0" w:color="auto"/>
                    <w:bottom w:val="none" w:sz="0" w:space="0" w:color="auto"/>
                    <w:right w:val="none" w:sz="0" w:space="0" w:color="auto"/>
                  </w:divBdr>
                  <w:divsChild>
                    <w:div w:id="890044502">
                      <w:marLeft w:val="0"/>
                      <w:marRight w:val="0"/>
                      <w:marTop w:val="0"/>
                      <w:marBottom w:val="0"/>
                      <w:divBdr>
                        <w:top w:val="none" w:sz="0" w:space="0" w:color="auto"/>
                        <w:left w:val="none" w:sz="0" w:space="0" w:color="auto"/>
                        <w:bottom w:val="none" w:sz="0" w:space="0" w:color="auto"/>
                        <w:right w:val="none" w:sz="0" w:space="0" w:color="auto"/>
                      </w:divBdr>
                    </w:div>
                  </w:divsChild>
                </w:div>
                <w:div w:id="1566840374">
                  <w:marLeft w:val="0"/>
                  <w:marRight w:val="0"/>
                  <w:marTop w:val="0"/>
                  <w:marBottom w:val="0"/>
                  <w:divBdr>
                    <w:top w:val="none" w:sz="0" w:space="0" w:color="auto"/>
                    <w:left w:val="none" w:sz="0" w:space="0" w:color="auto"/>
                    <w:bottom w:val="none" w:sz="0" w:space="0" w:color="auto"/>
                    <w:right w:val="none" w:sz="0" w:space="0" w:color="auto"/>
                  </w:divBdr>
                  <w:divsChild>
                    <w:div w:id="1670863394">
                      <w:marLeft w:val="0"/>
                      <w:marRight w:val="0"/>
                      <w:marTop w:val="0"/>
                      <w:marBottom w:val="0"/>
                      <w:divBdr>
                        <w:top w:val="none" w:sz="0" w:space="0" w:color="auto"/>
                        <w:left w:val="none" w:sz="0" w:space="0" w:color="auto"/>
                        <w:bottom w:val="none" w:sz="0" w:space="0" w:color="auto"/>
                        <w:right w:val="none" w:sz="0" w:space="0" w:color="auto"/>
                      </w:divBdr>
                    </w:div>
                  </w:divsChild>
                </w:div>
                <w:div w:id="1650549598">
                  <w:marLeft w:val="0"/>
                  <w:marRight w:val="0"/>
                  <w:marTop w:val="0"/>
                  <w:marBottom w:val="0"/>
                  <w:divBdr>
                    <w:top w:val="none" w:sz="0" w:space="0" w:color="auto"/>
                    <w:left w:val="none" w:sz="0" w:space="0" w:color="auto"/>
                    <w:bottom w:val="none" w:sz="0" w:space="0" w:color="auto"/>
                    <w:right w:val="none" w:sz="0" w:space="0" w:color="auto"/>
                  </w:divBdr>
                  <w:divsChild>
                    <w:div w:id="306399456">
                      <w:marLeft w:val="0"/>
                      <w:marRight w:val="0"/>
                      <w:marTop w:val="0"/>
                      <w:marBottom w:val="0"/>
                      <w:divBdr>
                        <w:top w:val="none" w:sz="0" w:space="0" w:color="auto"/>
                        <w:left w:val="none" w:sz="0" w:space="0" w:color="auto"/>
                        <w:bottom w:val="none" w:sz="0" w:space="0" w:color="auto"/>
                        <w:right w:val="none" w:sz="0" w:space="0" w:color="auto"/>
                      </w:divBdr>
                    </w:div>
                  </w:divsChild>
                </w:div>
                <w:div w:id="1659067025">
                  <w:marLeft w:val="0"/>
                  <w:marRight w:val="0"/>
                  <w:marTop w:val="0"/>
                  <w:marBottom w:val="0"/>
                  <w:divBdr>
                    <w:top w:val="none" w:sz="0" w:space="0" w:color="auto"/>
                    <w:left w:val="none" w:sz="0" w:space="0" w:color="auto"/>
                    <w:bottom w:val="none" w:sz="0" w:space="0" w:color="auto"/>
                    <w:right w:val="none" w:sz="0" w:space="0" w:color="auto"/>
                  </w:divBdr>
                  <w:divsChild>
                    <w:div w:id="1341351732">
                      <w:marLeft w:val="0"/>
                      <w:marRight w:val="0"/>
                      <w:marTop w:val="0"/>
                      <w:marBottom w:val="0"/>
                      <w:divBdr>
                        <w:top w:val="none" w:sz="0" w:space="0" w:color="auto"/>
                        <w:left w:val="none" w:sz="0" w:space="0" w:color="auto"/>
                        <w:bottom w:val="none" w:sz="0" w:space="0" w:color="auto"/>
                        <w:right w:val="none" w:sz="0" w:space="0" w:color="auto"/>
                      </w:divBdr>
                    </w:div>
                  </w:divsChild>
                </w:div>
                <w:div w:id="1669673772">
                  <w:marLeft w:val="0"/>
                  <w:marRight w:val="0"/>
                  <w:marTop w:val="0"/>
                  <w:marBottom w:val="0"/>
                  <w:divBdr>
                    <w:top w:val="none" w:sz="0" w:space="0" w:color="auto"/>
                    <w:left w:val="none" w:sz="0" w:space="0" w:color="auto"/>
                    <w:bottom w:val="none" w:sz="0" w:space="0" w:color="auto"/>
                    <w:right w:val="none" w:sz="0" w:space="0" w:color="auto"/>
                  </w:divBdr>
                  <w:divsChild>
                    <w:div w:id="1326208515">
                      <w:marLeft w:val="0"/>
                      <w:marRight w:val="0"/>
                      <w:marTop w:val="0"/>
                      <w:marBottom w:val="0"/>
                      <w:divBdr>
                        <w:top w:val="none" w:sz="0" w:space="0" w:color="auto"/>
                        <w:left w:val="none" w:sz="0" w:space="0" w:color="auto"/>
                        <w:bottom w:val="none" w:sz="0" w:space="0" w:color="auto"/>
                        <w:right w:val="none" w:sz="0" w:space="0" w:color="auto"/>
                      </w:divBdr>
                    </w:div>
                  </w:divsChild>
                </w:div>
                <w:div w:id="1915124576">
                  <w:marLeft w:val="0"/>
                  <w:marRight w:val="0"/>
                  <w:marTop w:val="0"/>
                  <w:marBottom w:val="0"/>
                  <w:divBdr>
                    <w:top w:val="none" w:sz="0" w:space="0" w:color="auto"/>
                    <w:left w:val="none" w:sz="0" w:space="0" w:color="auto"/>
                    <w:bottom w:val="none" w:sz="0" w:space="0" w:color="auto"/>
                    <w:right w:val="none" w:sz="0" w:space="0" w:color="auto"/>
                  </w:divBdr>
                  <w:divsChild>
                    <w:div w:id="948896374">
                      <w:marLeft w:val="0"/>
                      <w:marRight w:val="0"/>
                      <w:marTop w:val="0"/>
                      <w:marBottom w:val="0"/>
                      <w:divBdr>
                        <w:top w:val="none" w:sz="0" w:space="0" w:color="auto"/>
                        <w:left w:val="none" w:sz="0" w:space="0" w:color="auto"/>
                        <w:bottom w:val="none" w:sz="0" w:space="0" w:color="auto"/>
                        <w:right w:val="none" w:sz="0" w:space="0" w:color="auto"/>
                      </w:divBdr>
                    </w:div>
                  </w:divsChild>
                </w:div>
                <w:div w:id="1979142002">
                  <w:marLeft w:val="0"/>
                  <w:marRight w:val="0"/>
                  <w:marTop w:val="0"/>
                  <w:marBottom w:val="0"/>
                  <w:divBdr>
                    <w:top w:val="none" w:sz="0" w:space="0" w:color="auto"/>
                    <w:left w:val="none" w:sz="0" w:space="0" w:color="auto"/>
                    <w:bottom w:val="none" w:sz="0" w:space="0" w:color="auto"/>
                    <w:right w:val="none" w:sz="0" w:space="0" w:color="auto"/>
                  </w:divBdr>
                  <w:divsChild>
                    <w:div w:id="1419785403">
                      <w:marLeft w:val="0"/>
                      <w:marRight w:val="0"/>
                      <w:marTop w:val="0"/>
                      <w:marBottom w:val="0"/>
                      <w:divBdr>
                        <w:top w:val="none" w:sz="0" w:space="0" w:color="auto"/>
                        <w:left w:val="none" w:sz="0" w:space="0" w:color="auto"/>
                        <w:bottom w:val="none" w:sz="0" w:space="0" w:color="auto"/>
                        <w:right w:val="none" w:sz="0" w:space="0" w:color="auto"/>
                      </w:divBdr>
                    </w:div>
                  </w:divsChild>
                </w:div>
                <w:div w:id="1995795579">
                  <w:marLeft w:val="0"/>
                  <w:marRight w:val="0"/>
                  <w:marTop w:val="0"/>
                  <w:marBottom w:val="0"/>
                  <w:divBdr>
                    <w:top w:val="none" w:sz="0" w:space="0" w:color="auto"/>
                    <w:left w:val="none" w:sz="0" w:space="0" w:color="auto"/>
                    <w:bottom w:val="none" w:sz="0" w:space="0" w:color="auto"/>
                    <w:right w:val="none" w:sz="0" w:space="0" w:color="auto"/>
                  </w:divBdr>
                  <w:divsChild>
                    <w:div w:id="434443542">
                      <w:marLeft w:val="0"/>
                      <w:marRight w:val="0"/>
                      <w:marTop w:val="0"/>
                      <w:marBottom w:val="0"/>
                      <w:divBdr>
                        <w:top w:val="none" w:sz="0" w:space="0" w:color="auto"/>
                        <w:left w:val="none" w:sz="0" w:space="0" w:color="auto"/>
                        <w:bottom w:val="none" w:sz="0" w:space="0" w:color="auto"/>
                        <w:right w:val="none" w:sz="0" w:space="0" w:color="auto"/>
                      </w:divBdr>
                    </w:div>
                  </w:divsChild>
                </w:div>
                <w:div w:id="2013946504">
                  <w:marLeft w:val="0"/>
                  <w:marRight w:val="0"/>
                  <w:marTop w:val="0"/>
                  <w:marBottom w:val="0"/>
                  <w:divBdr>
                    <w:top w:val="none" w:sz="0" w:space="0" w:color="auto"/>
                    <w:left w:val="none" w:sz="0" w:space="0" w:color="auto"/>
                    <w:bottom w:val="none" w:sz="0" w:space="0" w:color="auto"/>
                    <w:right w:val="none" w:sz="0" w:space="0" w:color="auto"/>
                  </w:divBdr>
                  <w:divsChild>
                    <w:div w:id="164596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485172">
          <w:marLeft w:val="0"/>
          <w:marRight w:val="0"/>
          <w:marTop w:val="0"/>
          <w:marBottom w:val="0"/>
          <w:divBdr>
            <w:top w:val="none" w:sz="0" w:space="0" w:color="auto"/>
            <w:left w:val="none" w:sz="0" w:space="0" w:color="auto"/>
            <w:bottom w:val="none" w:sz="0" w:space="0" w:color="auto"/>
            <w:right w:val="none" w:sz="0" w:space="0" w:color="auto"/>
          </w:divBdr>
          <w:divsChild>
            <w:div w:id="1616448070">
              <w:marLeft w:val="-75"/>
              <w:marRight w:val="0"/>
              <w:marTop w:val="30"/>
              <w:marBottom w:val="30"/>
              <w:divBdr>
                <w:top w:val="none" w:sz="0" w:space="0" w:color="auto"/>
                <w:left w:val="none" w:sz="0" w:space="0" w:color="auto"/>
                <w:bottom w:val="none" w:sz="0" w:space="0" w:color="auto"/>
                <w:right w:val="none" w:sz="0" w:space="0" w:color="auto"/>
              </w:divBdr>
              <w:divsChild>
                <w:div w:id="46880806">
                  <w:marLeft w:val="0"/>
                  <w:marRight w:val="0"/>
                  <w:marTop w:val="0"/>
                  <w:marBottom w:val="0"/>
                  <w:divBdr>
                    <w:top w:val="none" w:sz="0" w:space="0" w:color="auto"/>
                    <w:left w:val="none" w:sz="0" w:space="0" w:color="auto"/>
                    <w:bottom w:val="none" w:sz="0" w:space="0" w:color="auto"/>
                    <w:right w:val="none" w:sz="0" w:space="0" w:color="auto"/>
                  </w:divBdr>
                  <w:divsChild>
                    <w:div w:id="2141873079">
                      <w:marLeft w:val="0"/>
                      <w:marRight w:val="0"/>
                      <w:marTop w:val="0"/>
                      <w:marBottom w:val="0"/>
                      <w:divBdr>
                        <w:top w:val="none" w:sz="0" w:space="0" w:color="auto"/>
                        <w:left w:val="none" w:sz="0" w:space="0" w:color="auto"/>
                        <w:bottom w:val="none" w:sz="0" w:space="0" w:color="auto"/>
                        <w:right w:val="none" w:sz="0" w:space="0" w:color="auto"/>
                      </w:divBdr>
                    </w:div>
                  </w:divsChild>
                </w:div>
                <w:div w:id="64693209">
                  <w:marLeft w:val="0"/>
                  <w:marRight w:val="0"/>
                  <w:marTop w:val="0"/>
                  <w:marBottom w:val="0"/>
                  <w:divBdr>
                    <w:top w:val="none" w:sz="0" w:space="0" w:color="auto"/>
                    <w:left w:val="none" w:sz="0" w:space="0" w:color="auto"/>
                    <w:bottom w:val="none" w:sz="0" w:space="0" w:color="auto"/>
                    <w:right w:val="none" w:sz="0" w:space="0" w:color="auto"/>
                  </w:divBdr>
                  <w:divsChild>
                    <w:div w:id="2019580894">
                      <w:marLeft w:val="0"/>
                      <w:marRight w:val="0"/>
                      <w:marTop w:val="0"/>
                      <w:marBottom w:val="0"/>
                      <w:divBdr>
                        <w:top w:val="none" w:sz="0" w:space="0" w:color="auto"/>
                        <w:left w:val="none" w:sz="0" w:space="0" w:color="auto"/>
                        <w:bottom w:val="none" w:sz="0" w:space="0" w:color="auto"/>
                        <w:right w:val="none" w:sz="0" w:space="0" w:color="auto"/>
                      </w:divBdr>
                    </w:div>
                  </w:divsChild>
                </w:div>
                <w:div w:id="146092093">
                  <w:marLeft w:val="0"/>
                  <w:marRight w:val="0"/>
                  <w:marTop w:val="0"/>
                  <w:marBottom w:val="0"/>
                  <w:divBdr>
                    <w:top w:val="none" w:sz="0" w:space="0" w:color="auto"/>
                    <w:left w:val="none" w:sz="0" w:space="0" w:color="auto"/>
                    <w:bottom w:val="none" w:sz="0" w:space="0" w:color="auto"/>
                    <w:right w:val="none" w:sz="0" w:space="0" w:color="auto"/>
                  </w:divBdr>
                  <w:divsChild>
                    <w:div w:id="1747805048">
                      <w:marLeft w:val="0"/>
                      <w:marRight w:val="0"/>
                      <w:marTop w:val="0"/>
                      <w:marBottom w:val="0"/>
                      <w:divBdr>
                        <w:top w:val="none" w:sz="0" w:space="0" w:color="auto"/>
                        <w:left w:val="none" w:sz="0" w:space="0" w:color="auto"/>
                        <w:bottom w:val="none" w:sz="0" w:space="0" w:color="auto"/>
                        <w:right w:val="none" w:sz="0" w:space="0" w:color="auto"/>
                      </w:divBdr>
                    </w:div>
                  </w:divsChild>
                </w:div>
                <w:div w:id="279380950">
                  <w:marLeft w:val="0"/>
                  <w:marRight w:val="0"/>
                  <w:marTop w:val="0"/>
                  <w:marBottom w:val="0"/>
                  <w:divBdr>
                    <w:top w:val="none" w:sz="0" w:space="0" w:color="auto"/>
                    <w:left w:val="none" w:sz="0" w:space="0" w:color="auto"/>
                    <w:bottom w:val="none" w:sz="0" w:space="0" w:color="auto"/>
                    <w:right w:val="none" w:sz="0" w:space="0" w:color="auto"/>
                  </w:divBdr>
                  <w:divsChild>
                    <w:div w:id="645234027">
                      <w:marLeft w:val="0"/>
                      <w:marRight w:val="0"/>
                      <w:marTop w:val="0"/>
                      <w:marBottom w:val="0"/>
                      <w:divBdr>
                        <w:top w:val="none" w:sz="0" w:space="0" w:color="auto"/>
                        <w:left w:val="none" w:sz="0" w:space="0" w:color="auto"/>
                        <w:bottom w:val="none" w:sz="0" w:space="0" w:color="auto"/>
                        <w:right w:val="none" w:sz="0" w:space="0" w:color="auto"/>
                      </w:divBdr>
                    </w:div>
                  </w:divsChild>
                </w:div>
                <w:div w:id="283195959">
                  <w:marLeft w:val="0"/>
                  <w:marRight w:val="0"/>
                  <w:marTop w:val="0"/>
                  <w:marBottom w:val="0"/>
                  <w:divBdr>
                    <w:top w:val="none" w:sz="0" w:space="0" w:color="auto"/>
                    <w:left w:val="none" w:sz="0" w:space="0" w:color="auto"/>
                    <w:bottom w:val="none" w:sz="0" w:space="0" w:color="auto"/>
                    <w:right w:val="none" w:sz="0" w:space="0" w:color="auto"/>
                  </w:divBdr>
                  <w:divsChild>
                    <w:div w:id="589779077">
                      <w:marLeft w:val="0"/>
                      <w:marRight w:val="0"/>
                      <w:marTop w:val="0"/>
                      <w:marBottom w:val="0"/>
                      <w:divBdr>
                        <w:top w:val="none" w:sz="0" w:space="0" w:color="auto"/>
                        <w:left w:val="none" w:sz="0" w:space="0" w:color="auto"/>
                        <w:bottom w:val="none" w:sz="0" w:space="0" w:color="auto"/>
                        <w:right w:val="none" w:sz="0" w:space="0" w:color="auto"/>
                      </w:divBdr>
                    </w:div>
                  </w:divsChild>
                </w:div>
                <w:div w:id="312488881">
                  <w:marLeft w:val="0"/>
                  <w:marRight w:val="0"/>
                  <w:marTop w:val="0"/>
                  <w:marBottom w:val="0"/>
                  <w:divBdr>
                    <w:top w:val="none" w:sz="0" w:space="0" w:color="auto"/>
                    <w:left w:val="none" w:sz="0" w:space="0" w:color="auto"/>
                    <w:bottom w:val="none" w:sz="0" w:space="0" w:color="auto"/>
                    <w:right w:val="none" w:sz="0" w:space="0" w:color="auto"/>
                  </w:divBdr>
                  <w:divsChild>
                    <w:div w:id="1568149912">
                      <w:marLeft w:val="0"/>
                      <w:marRight w:val="0"/>
                      <w:marTop w:val="0"/>
                      <w:marBottom w:val="0"/>
                      <w:divBdr>
                        <w:top w:val="none" w:sz="0" w:space="0" w:color="auto"/>
                        <w:left w:val="none" w:sz="0" w:space="0" w:color="auto"/>
                        <w:bottom w:val="none" w:sz="0" w:space="0" w:color="auto"/>
                        <w:right w:val="none" w:sz="0" w:space="0" w:color="auto"/>
                      </w:divBdr>
                    </w:div>
                  </w:divsChild>
                </w:div>
                <w:div w:id="339355654">
                  <w:marLeft w:val="0"/>
                  <w:marRight w:val="0"/>
                  <w:marTop w:val="0"/>
                  <w:marBottom w:val="0"/>
                  <w:divBdr>
                    <w:top w:val="none" w:sz="0" w:space="0" w:color="auto"/>
                    <w:left w:val="none" w:sz="0" w:space="0" w:color="auto"/>
                    <w:bottom w:val="none" w:sz="0" w:space="0" w:color="auto"/>
                    <w:right w:val="none" w:sz="0" w:space="0" w:color="auto"/>
                  </w:divBdr>
                  <w:divsChild>
                    <w:div w:id="146212801">
                      <w:marLeft w:val="0"/>
                      <w:marRight w:val="0"/>
                      <w:marTop w:val="0"/>
                      <w:marBottom w:val="0"/>
                      <w:divBdr>
                        <w:top w:val="none" w:sz="0" w:space="0" w:color="auto"/>
                        <w:left w:val="none" w:sz="0" w:space="0" w:color="auto"/>
                        <w:bottom w:val="none" w:sz="0" w:space="0" w:color="auto"/>
                        <w:right w:val="none" w:sz="0" w:space="0" w:color="auto"/>
                      </w:divBdr>
                    </w:div>
                  </w:divsChild>
                </w:div>
                <w:div w:id="381294807">
                  <w:marLeft w:val="0"/>
                  <w:marRight w:val="0"/>
                  <w:marTop w:val="0"/>
                  <w:marBottom w:val="0"/>
                  <w:divBdr>
                    <w:top w:val="none" w:sz="0" w:space="0" w:color="auto"/>
                    <w:left w:val="none" w:sz="0" w:space="0" w:color="auto"/>
                    <w:bottom w:val="none" w:sz="0" w:space="0" w:color="auto"/>
                    <w:right w:val="none" w:sz="0" w:space="0" w:color="auto"/>
                  </w:divBdr>
                  <w:divsChild>
                    <w:div w:id="208806768">
                      <w:marLeft w:val="0"/>
                      <w:marRight w:val="0"/>
                      <w:marTop w:val="0"/>
                      <w:marBottom w:val="0"/>
                      <w:divBdr>
                        <w:top w:val="none" w:sz="0" w:space="0" w:color="auto"/>
                        <w:left w:val="none" w:sz="0" w:space="0" w:color="auto"/>
                        <w:bottom w:val="none" w:sz="0" w:space="0" w:color="auto"/>
                        <w:right w:val="none" w:sz="0" w:space="0" w:color="auto"/>
                      </w:divBdr>
                    </w:div>
                  </w:divsChild>
                </w:div>
                <w:div w:id="406078282">
                  <w:marLeft w:val="0"/>
                  <w:marRight w:val="0"/>
                  <w:marTop w:val="0"/>
                  <w:marBottom w:val="0"/>
                  <w:divBdr>
                    <w:top w:val="none" w:sz="0" w:space="0" w:color="auto"/>
                    <w:left w:val="none" w:sz="0" w:space="0" w:color="auto"/>
                    <w:bottom w:val="none" w:sz="0" w:space="0" w:color="auto"/>
                    <w:right w:val="none" w:sz="0" w:space="0" w:color="auto"/>
                  </w:divBdr>
                  <w:divsChild>
                    <w:div w:id="796685888">
                      <w:marLeft w:val="0"/>
                      <w:marRight w:val="0"/>
                      <w:marTop w:val="0"/>
                      <w:marBottom w:val="0"/>
                      <w:divBdr>
                        <w:top w:val="none" w:sz="0" w:space="0" w:color="auto"/>
                        <w:left w:val="none" w:sz="0" w:space="0" w:color="auto"/>
                        <w:bottom w:val="none" w:sz="0" w:space="0" w:color="auto"/>
                        <w:right w:val="none" w:sz="0" w:space="0" w:color="auto"/>
                      </w:divBdr>
                    </w:div>
                  </w:divsChild>
                </w:div>
                <w:div w:id="488061657">
                  <w:marLeft w:val="0"/>
                  <w:marRight w:val="0"/>
                  <w:marTop w:val="0"/>
                  <w:marBottom w:val="0"/>
                  <w:divBdr>
                    <w:top w:val="none" w:sz="0" w:space="0" w:color="auto"/>
                    <w:left w:val="none" w:sz="0" w:space="0" w:color="auto"/>
                    <w:bottom w:val="none" w:sz="0" w:space="0" w:color="auto"/>
                    <w:right w:val="none" w:sz="0" w:space="0" w:color="auto"/>
                  </w:divBdr>
                  <w:divsChild>
                    <w:div w:id="576793050">
                      <w:marLeft w:val="0"/>
                      <w:marRight w:val="0"/>
                      <w:marTop w:val="0"/>
                      <w:marBottom w:val="0"/>
                      <w:divBdr>
                        <w:top w:val="none" w:sz="0" w:space="0" w:color="auto"/>
                        <w:left w:val="none" w:sz="0" w:space="0" w:color="auto"/>
                        <w:bottom w:val="none" w:sz="0" w:space="0" w:color="auto"/>
                        <w:right w:val="none" w:sz="0" w:space="0" w:color="auto"/>
                      </w:divBdr>
                    </w:div>
                  </w:divsChild>
                </w:div>
                <w:div w:id="844246656">
                  <w:marLeft w:val="0"/>
                  <w:marRight w:val="0"/>
                  <w:marTop w:val="0"/>
                  <w:marBottom w:val="0"/>
                  <w:divBdr>
                    <w:top w:val="none" w:sz="0" w:space="0" w:color="auto"/>
                    <w:left w:val="none" w:sz="0" w:space="0" w:color="auto"/>
                    <w:bottom w:val="none" w:sz="0" w:space="0" w:color="auto"/>
                    <w:right w:val="none" w:sz="0" w:space="0" w:color="auto"/>
                  </w:divBdr>
                  <w:divsChild>
                    <w:div w:id="1156067212">
                      <w:marLeft w:val="0"/>
                      <w:marRight w:val="0"/>
                      <w:marTop w:val="0"/>
                      <w:marBottom w:val="0"/>
                      <w:divBdr>
                        <w:top w:val="none" w:sz="0" w:space="0" w:color="auto"/>
                        <w:left w:val="none" w:sz="0" w:space="0" w:color="auto"/>
                        <w:bottom w:val="none" w:sz="0" w:space="0" w:color="auto"/>
                        <w:right w:val="none" w:sz="0" w:space="0" w:color="auto"/>
                      </w:divBdr>
                    </w:div>
                  </w:divsChild>
                </w:div>
                <w:div w:id="845948716">
                  <w:marLeft w:val="0"/>
                  <w:marRight w:val="0"/>
                  <w:marTop w:val="0"/>
                  <w:marBottom w:val="0"/>
                  <w:divBdr>
                    <w:top w:val="none" w:sz="0" w:space="0" w:color="auto"/>
                    <w:left w:val="none" w:sz="0" w:space="0" w:color="auto"/>
                    <w:bottom w:val="none" w:sz="0" w:space="0" w:color="auto"/>
                    <w:right w:val="none" w:sz="0" w:space="0" w:color="auto"/>
                  </w:divBdr>
                  <w:divsChild>
                    <w:div w:id="281813709">
                      <w:marLeft w:val="0"/>
                      <w:marRight w:val="0"/>
                      <w:marTop w:val="0"/>
                      <w:marBottom w:val="0"/>
                      <w:divBdr>
                        <w:top w:val="none" w:sz="0" w:space="0" w:color="auto"/>
                        <w:left w:val="none" w:sz="0" w:space="0" w:color="auto"/>
                        <w:bottom w:val="none" w:sz="0" w:space="0" w:color="auto"/>
                        <w:right w:val="none" w:sz="0" w:space="0" w:color="auto"/>
                      </w:divBdr>
                    </w:div>
                  </w:divsChild>
                </w:div>
                <w:div w:id="926187239">
                  <w:marLeft w:val="0"/>
                  <w:marRight w:val="0"/>
                  <w:marTop w:val="0"/>
                  <w:marBottom w:val="0"/>
                  <w:divBdr>
                    <w:top w:val="none" w:sz="0" w:space="0" w:color="auto"/>
                    <w:left w:val="none" w:sz="0" w:space="0" w:color="auto"/>
                    <w:bottom w:val="none" w:sz="0" w:space="0" w:color="auto"/>
                    <w:right w:val="none" w:sz="0" w:space="0" w:color="auto"/>
                  </w:divBdr>
                  <w:divsChild>
                    <w:div w:id="1239948812">
                      <w:marLeft w:val="0"/>
                      <w:marRight w:val="0"/>
                      <w:marTop w:val="0"/>
                      <w:marBottom w:val="0"/>
                      <w:divBdr>
                        <w:top w:val="none" w:sz="0" w:space="0" w:color="auto"/>
                        <w:left w:val="none" w:sz="0" w:space="0" w:color="auto"/>
                        <w:bottom w:val="none" w:sz="0" w:space="0" w:color="auto"/>
                        <w:right w:val="none" w:sz="0" w:space="0" w:color="auto"/>
                      </w:divBdr>
                    </w:div>
                  </w:divsChild>
                </w:div>
                <w:div w:id="964312795">
                  <w:marLeft w:val="0"/>
                  <w:marRight w:val="0"/>
                  <w:marTop w:val="0"/>
                  <w:marBottom w:val="0"/>
                  <w:divBdr>
                    <w:top w:val="none" w:sz="0" w:space="0" w:color="auto"/>
                    <w:left w:val="none" w:sz="0" w:space="0" w:color="auto"/>
                    <w:bottom w:val="none" w:sz="0" w:space="0" w:color="auto"/>
                    <w:right w:val="none" w:sz="0" w:space="0" w:color="auto"/>
                  </w:divBdr>
                  <w:divsChild>
                    <w:div w:id="393742211">
                      <w:marLeft w:val="0"/>
                      <w:marRight w:val="0"/>
                      <w:marTop w:val="0"/>
                      <w:marBottom w:val="0"/>
                      <w:divBdr>
                        <w:top w:val="none" w:sz="0" w:space="0" w:color="auto"/>
                        <w:left w:val="none" w:sz="0" w:space="0" w:color="auto"/>
                        <w:bottom w:val="none" w:sz="0" w:space="0" w:color="auto"/>
                        <w:right w:val="none" w:sz="0" w:space="0" w:color="auto"/>
                      </w:divBdr>
                    </w:div>
                  </w:divsChild>
                </w:div>
                <w:div w:id="1013384481">
                  <w:marLeft w:val="0"/>
                  <w:marRight w:val="0"/>
                  <w:marTop w:val="0"/>
                  <w:marBottom w:val="0"/>
                  <w:divBdr>
                    <w:top w:val="none" w:sz="0" w:space="0" w:color="auto"/>
                    <w:left w:val="none" w:sz="0" w:space="0" w:color="auto"/>
                    <w:bottom w:val="none" w:sz="0" w:space="0" w:color="auto"/>
                    <w:right w:val="none" w:sz="0" w:space="0" w:color="auto"/>
                  </w:divBdr>
                  <w:divsChild>
                    <w:div w:id="403574266">
                      <w:marLeft w:val="0"/>
                      <w:marRight w:val="0"/>
                      <w:marTop w:val="0"/>
                      <w:marBottom w:val="0"/>
                      <w:divBdr>
                        <w:top w:val="none" w:sz="0" w:space="0" w:color="auto"/>
                        <w:left w:val="none" w:sz="0" w:space="0" w:color="auto"/>
                        <w:bottom w:val="none" w:sz="0" w:space="0" w:color="auto"/>
                        <w:right w:val="none" w:sz="0" w:space="0" w:color="auto"/>
                      </w:divBdr>
                    </w:div>
                  </w:divsChild>
                </w:div>
                <w:div w:id="1026061130">
                  <w:marLeft w:val="0"/>
                  <w:marRight w:val="0"/>
                  <w:marTop w:val="0"/>
                  <w:marBottom w:val="0"/>
                  <w:divBdr>
                    <w:top w:val="none" w:sz="0" w:space="0" w:color="auto"/>
                    <w:left w:val="none" w:sz="0" w:space="0" w:color="auto"/>
                    <w:bottom w:val="none" w:sz="0" w:space="0" w:color="auto"/>
                    <w:right w:val="none" w:sz="0" w:space="0" w:color="auto"/>
                  </w:divBdr>
                  <w:divsChild>
                    <w:div w:id="306276668">
                      <w:marLeft w:val="0"/>
                      <w:marRight w:val="0"/>
                      <w:marTop w:val="0"/>
                      <w:marBottom w:val="0"/>
                      <w:divBdr>
                        <w:top w:val="none" w:sz="0" w:space="0" w:color="auto"/>
                        <w:left w:val="none" w:sz="0" w:space="0" w:color="auto"/>
                        <w:bottom w:val="none" w:sz="0" w:space="0" w:color="auto"/>
                        <w:right w:val="none" w:sz="0" w:space="0" w:color="auto"/>
                      </w:divBdr>
                    </w:div>
                  </w:divsChild>
                </w:div>
                <w:div w:id="1027827910">
                  <w:marLeft w:val="0"/>
                  <w:marRight w:val="0"/>
                  <w:marTop w:val="0"/>
                  <w:marBottom w:val="0"/>
                  <w:divBdr>
                    <w:top w:val="none" w:sz="0" w:space="0" w:color="auto"/>
                    <w:left w:val="none" w:sz="0" w:space="0" w:color="auto"/>
                    <w:bottom w:val="none" w:sz="0" w:space="0" w:color="auto"/>
                    <w:right w:val="none" w:sz="0" w:space="0" w:color="auto"/>
                  </w:divBdr>
                  <w:divsChild>
                    <w:div w:id="2042899647">
                      <w:marLeft w:val="0"/>
                      <w:marRight w:val="0"/>
                      <w:marTop w:val="0"/>
                      <w:marBottom w:val="0"/>
                      <w:divBdr>
                        <w:top w:val="none" w:sz="0" w:space="0" w:color="auto"/>
                        <w:left w:val="none" w:sz="0" w:space="0" w:color="auto"/>
                        <w:bottom w:val="none" w:sz="0" w:space="0" w:color="auto"/>
                        <w:right w:val="none" w:sz="0" w:space="0" w:color="auto"/>
                      </w:divBdr>
                    </w:div>
                  </w:divsChild>
                </w:div>
                <w:div w:id="1060444429">
                  <w:marLeft w:val="0"/>
                  <w:marRight w:val="0"/>
                  <w:marTop w:val="0"/>
                  <w:marBottom w:val="0"/>
                  <w:divBdr>
                    <w:top w:val="none" w:sz="0" w:space="0" w:color="auto"/>
                    <w:left w:val="none" w:sz="0" w:space="0" w:color="auto"/>
                    <w:bottom w:val="none" w:sz="0" w:space="0" w:color="auto"/>
                    <w:right w:val="none" w:sz="0" w:space="0" w:color="auto"/>
                  </w:divBdr>
                  <w:divsChild>
                    <w:div w:id="1648777067">
                      <w:marLeft w:val="0"/>
                      <w:marRight w:val="0"/>
                      <w:marTop w:val="0"/>
                      <w:marBottom w:val="0"/>
                      <w:divBdr>
                        <w:top w:val="none" w:sz="0" w:space="0" w:color="auto"/>
                        <w:left w:val="none" w:sz="0" w:space="0" w:color="auto"/>
                        <w:bottom w:val="none" w:sz="0" w:space="0" w:color="auto"/>
                        <w:right w:val="none" w:sz="0" w:space="0" w:color="auto"/>
                      </w:divBdr>
                    </w:div>
                  </w:divsChild>
                </w:div>
                <w:div w:id="1215501540">
                  <w:marLeft w:val="0"/>
                  <w:marRight w:val="0"/>
                  <w:marTop w:val="0"/>
                  <w:marBottom w:val="0"/>
                  <w:divBdr>
                    <w:top w:val="none" w:sz="0" w:space="0" w:color="auto"/>
                    <w:left w:val="none" w:sz="0" w:space="0" w:color="auto"/>
                    <w:bottom w:val="none" w:sz="0" w:space="0" w:color="auto"/>
                    <w:right w:val="none" w:sz="0" w:space="0" w:color="auto"/>
                  </w:divBdr>
                  <w:divsChild>
                    <w:div w:id="274752057">
                      <w:marLeft w:val="0"/>
                      <w:marRight w:val="0"/>
                      <w:marTop w:val="0"/>
                      <w:marBottom w:val="0"/>
                      <w:divBdr>
                        <w:top w:val="none" w:sz="0" w:space="0" w:color="auto"/>
                        <w:left w:val="none" w:sz="0" w:space="0" w:color="auto"/>
                        <w:bottom w:val="none" w:sz="0" w:space="0" w:color="auto"/>
                        <w:right w:val="none" w:sz="0" w:space="0" w:color="auto"/>
                      </w:divBdr>
                    </w:div>
                  </w:divsChild>
                </w:div>
                <w:div w:id="1257011634">
                  <w:marLeft w:val="0"/>
                  <w:marRight w:val="0"/>
                  <w:marTop w:val="0"/>
                  <w:marBottom w:val="0"/>
                  <w:divBdr>
                    <w:top w:val="none" w:sz="0" w:space="0" w:color="auto"/>
                    <w:left w:val="none" w:sz="0" w:space="0" w:color="auto"/>
                    <w:bottom w:val="none" w:sz="0" w:space="0" w:color="auto"/>
                    <w:right w:val="none" w:sz="0" w:space="0" w:color="auto"/>
                  </w:divBdr>
                  <w:divsChild>
                    <w:div w:id="518784212">
                      <w:marLeft w:val="0"/>
                      <w:marRight w:val="0"/>
                      <w:marTop w:val="0"/>
                      <w:marBottom w:val="0"/>
                      <w:divBdr>
                        <w:top w:val="none" w:sz="0" w:space="0" w:color="auto"/>
                        <w:left w:val="none" w:sz="0" w:space="0" w:color="auto"/>
                        <w:bottom w:val="none" w:sz="0" w:space="0" w:color="auto"/>
                        <w:right w:val="none" w:sz="0" w:space="0" w:color="auto"/>
                      </w:divBdr>
                    </w:div>
                  </w:divsChild>
                </w:div>
                <w:div w:id="1321882513">
                  <w:marLeft w:val="0"/>
                  <w:marRight w:val="0"/>
                  <w:marTop w:val="0"/>
                  <w:marBottom w:val="0"/>
                  <w:divBdr>
                    <w:top w:val="none" w:sz="0" w:space="0" w:color="auto"/>
                    <w:left w:val="none" w:sz="0" w:space="0" w:color="auto"/>
                    <w:bottom w:val="none" w:sz="0" w:space="0" w:color="auto"/>
                    <w:right w:val="none" w:sz="0" w:space="0" w:color="auto"/>
                  </w:divBdr>
                  <w:divsChild>
                    <w:div w:id="797916383">
                      <w:marLeft w:val="0"/>
                      <w:marRight w:val="0"/>
                      <w:marTop w:val="0"/>
                      <w:marBottom w:val="0"/>
                      <w:divBdr>
                        <w:top w:val="none" w:sz="0" w:space="0" w:color="auto"/>
                        <w:left w:val="none" w:sz="0" w:space="0" w:color="auto"/>
                        <w:bottom w:val="none" w:sz="0" w:space="0" w:color="auto"/>
                        <w:right w:val="none" w:sz="0" w:space="0" w:color="auto"/>
                      </w:divBdr>
                    </w:div>
                  </w:divsChild>
                </w:div>
                <w:div w:id="1506555660">
                  <w:marLeft w:val="0"/>
                  <w:marRight w:val="0"/>
                  <w:marTop w:val="0"/>
                  <w:marBottom w:val="0"/>
                  <w:divBdr>
                    <w:top w:val="none" w:sz="0" w:space="0" w:color="auto"/>
                    <w:left w:val="none" w:sz="0" w:space="0" w:color="auto"/>
                    <w:bottom w:val="none" w:sz="0" w:space="0" w:color="auto"/>
                    <w:right w:val="none" w:sz="0" w:space="0" w:color="auto"/>
                  </w:divBdr>
                  <w:divsChild>
                    <w:div w:id="494608809">
                      <w:marLeft w:val="0"/>
                      <w:marRight w:val="0"/>
                      <w:marTop w:val="0"/>
                      <w:marBottom w:val="0"/>
                      <w:divBdr>
                        <w:top w:val="none" w:sz="0" w:space="0" w:color="auto"/>
                        <w:left w:val="none" w:sz="0" w:space="0" w:color="auto"/>
                        <w:bottom w:val="none" w:sz="0" w:space="0" w:color="auto"/>
                        <w:right w:val="none" w:sz="0" w:space="0" w:color="auto"/>
                      </w:divBdr>
                    </w:div>
                  </w:divsChild>
                </w:div>
                <w:div w:id="1644582661">
                  <w:marLeft w:val="0"/>
                  <w:marRight w:val="0"/>
                  <w:marTop w:val="0"/>
                  <w:marBottom w:val="0"/>
                  <w:divBdr>
                    <w:top w:val="none" w:sz="0" w:space="0" w:color="auto"/>
                    <w:left w:val="none" w:sz="0" w:space="0" w:color="auto"/>
                    <w:bottom w:val="none" w:sz="0" w:space="0" w:color="auto"/>
                    <w:right w:val="none" w:sz="0" w:space="0" w:color="auto"/>
                  </w:divBdr>
                  <w:divsChild>
                    <w:div w:id="1438325841">
                      <w:marLeft w:val="0"/>
                      <w:marRight w:val="0"/>
                      <w:marTop w:val="0"/>
                      <w:marBottom w:val="0"/>
                      <w:divBdr>
                        <w:top w:val="none" w:sz="0" w:space="0" w:color="auto"/>
                        <w:left w:val="none" w:sz="0" w:space="0" w:color="auto"/>
                        <w:bottom w:val="none" w:sz="0" w:space="0" w:color="auto"/>
                        <w:right w:val="none" w:sz="0" w:space="0" w:color="auto"/>
                      </w:divBdr>
                    </w:div>
                  </w:divsChild>
                </w:div>
                <w:div w:id="1661082499">
                  <w:marLeft w:val="0"/>
                  <w:marRight w:val="0"/>
                  <w:marTop w:val="0"/>
                  <w:marBottom w:val="0"/>
                  <w:divBdr>
                    <w:top w:val="none" w:sz="0" w:space="0" w:color="auto"/>
                    <w:left w:val="none" w:sz="0" w:space="0" w:color="auto"/>
                    <w:bottom w:val="none" w:sz="0" w:space="0" w:color="auto"/>
                    <w:right w:val="none" w:sz="0" w:space="0" w:color="auto"/>
                  </w:divBdr>
                  <w:divsChild>
                    <w:div w:id="441652912">
                      <w:marLeft w:val="0"/>
                      <w:marRight w:val="0"/>
                      <w:marTop w:val="0"/>
                      <w:marBottom w:val="0"/>
                      <w:divBdr>
                        <w:top w:val="none" w:sz="0" w:space="0" w:color="auto"/>
                        <w:left w:val="none" w:sz="0" w:space="0" w:color="auto"/>
                        <w:bottom w:val="none" w:sz="0" w:space="0" w:color="auto"/>
                        <w:right w:val="none" w:sz="0" w:space="0" w:color="auto"/>
                      </w:divBdr>
                    </w:div>
                  </w:divsChild>
                </w:div>
                <w:div w:id="1712413553">
                  <w:marLeft w:val="0"/>
                  <w:marRight w:val="0"/>
                  <w:marTop w:val="0"/>
                  <w:marBottom w:val="0"/>
                  <w:divBdr>
                    <w:top w:val="none" w:sz="0" w:space="0" w:color="auto"/>
                    <w:left w:val="none" w:sz="0" w:space="0" w:color="auto"/>
                    <w:bottom w:val="none" w:sz="0" w:space="0" w:color="auto"/>
                    <w:right w:val="none" w:sz="0" w:space="0" w:color="auto"/>
                  </w:divBdr>
                  <w:divsChild>
                    <w:div w:id="582884710">
                      <w:marLeft w:val="0"/>
                      <w:marRight w:val="0"/>
                      <w:marTop w:val="0"/>
                      <w:marBottom w:val="0"/>
                      <w:divBdr>
                        <w:top w:val="none" w:sz="0" w:space="0" w:color="auto"/>
                        <w:left w:val="none" w:sz="0" w:space="0" w:color="auto"/>
                        <w:bottom w:val="none" w:sz="0" w:space="0" w:color="auto"/>
                        <w:right w:val="none" w:sz="0" w:space="0" w:color="auto"/>
                      </w:divBdr>
                    </w:div>
                  </w:divsChild>
                </w:div>
                <w:div w:id="1761608825">
                  <w:marLeft w:val="0"/>
                  <w:marRight w:val="0"/>
                  <w:marTop w:val="0"/>
                  <w:marBottom w:val="0"/>
                  <w:divBdr>
                    <w:top w:val="none" w:sz="0" w:space="0" w:color="auto"/>
                    <w:left w:val="none" w:sz="0" w:space="0" w:color="auto"/>
                    <w:bottom w:val="none" w:sz="0" w:space="0" w:color="auto"/>
                    <w:right w:val="none" w:sz="0" w:space="0" w:color="auto"/>
                  </w:divBdr>
                  <w:divsChild>
                    <w:div w:id="185485013">
                      <w:marLeft w:val="0"/>
                      <w:marRight w:val="0"/>
                      <w:marTop w:val="0"/>
                      <w:marBottom w:val="0"/>
                      <w:divBdr>
                        <w:top w:val="none" w:sz="0" w:space="0" w:color="auto"/>
                        <w:left w:val="none" w:sz="0" w:space="0" w:color="auto"/>
                        <w:bottom w:val="none" w:sz="0" w:space="0" w:color="auto"/>
                        <w:right w:val="none" w:sz="0" w:space="0" w:color="auto"/>
                      </w:divBdr>
                    </w:div>
                  </w:divsChild>
                </w:div>
                <w:div w:id="1776096565">
                  <w:marLeft w:val="0"/>
                  <w:marRight w:val="0"/>
                  <w:marTop w:val="0"/>
                  <w:marBottom w:val="0"/>
                  <w:divBdr>
                    <w:top w:val="none" w:sz="0" w:space="0" w:color="auto"/>
                    <w:left w:val="none" w:sz="0" w:space="0" w:color="auto"/>
                    <w:bottom w:val="none" w:sz="0" w:space="0" w:color="auto"/>
                    <w:right w:val="none" w:sz="0" w:space="0" w:color="auto"/>
                  </w:divBdr>
                  <w:divsChild>
                    <w:div w:id="1463036433">
                      <w:marLeft w:val="0"/>
                      <w:marRight w:val="0"/>
                      <w:marTop w:val="0"/>
                      <w:marBottom w:val="0"/>
                      <w:divBdr>
                        <w:top w:val="none" w:sz="0" w:space="0" w:color="auto"/>
                        <w:left w:val="none" w:sz="0" w:space="0" w:color="auto"/>
                        <w:bottom w:val="none" w:sz="0" w:space="0" w:color="auto"/>
                        <w:right w:val="none" w:sz="0" w:space="0" w:color="auto"/>
                      </w:divBdr>
                    </w:div>
                  </w:divsChild>
                </w:div>
                <w:div w:id="1835143490">
                  <w:marLeft w:val="0"/>
                  <w:marRight w:val="0"/>
                  <w:marTop w:val="0"/>
                  <w:marBottom w:val="0"/>
                  <w:divBdr>
                    <w:top w:val="none" w:sz="0" w:space="0" w:color="auto"/>
                    <w:left w:val="none" w:sz="0" w:space="0" w:color="auto"/>
                    <w:bottom w:val="none" w:sz="0" w:space="0" w:color="auto"/>
                    <w:right w:val="none" w:sz="0" w:space="0" w:color="auto"/>
                  </w:divBdr>
                  <w:divsChild>
                    <w:div w:id="979654131">
                      <w:marLeft w:val="0"/>
                      <w:marRight w:val="0"/>
                      <w:marTop w:val="0"/>
                      <w:marBottom w:val="0"/>
                      <w:divBdr>
                        <w:top w:val="none" w:sz="0" w:space="0" w:color="auto"/>
                        <w:left w:val="none" w:sz="0" w:space="0" w:color="auto"/>
                        <w:bottom w:val="none" w:sz="0" w:space="0" w:color="auto"/>
                        <w:right w:val="none" w:sz="0" w:space="0" w:color="auto"/>
                      </w:divBdr>
                    </w:div>
                  </w:divsChild>
                </w:div>
                <w:div w:id="1841191392">
                  <w:marLeft w:val="0"/>
                  <w:marRight w:val="0"/>
                  <w:marTop w:val="0"/>
                  <w:marBottom w:val="0"/>
                  <w:divBdr>
                    <w:top w:val="none" w:sz="0" w:space="0" w:color="auto"/>
                    <w:left w:val="none" w:sz="0" w:space="0" w:color="auto"/>
                    <w:bottom w:val="none" w:sz="0" w:space="0" w:color="auto"/>
                    <w:right w:val="none" w:sz="0" w:space="0" w:color="auto"/>
                  </w:divBdr>
                  <w:divsChild>
                    <w:div w:id="468087292">
                      <w:marLeft w:val="0"/>
                      <w:marRight w:val="0"/>
                      <w:marTop w:val="0"/>
                      <w:marBottom w:val="0"/>
                      <w:divBdr>
                        <w:top w:val="none" w:sz="0" w:space="0" w:color="auto"/>
                        <w:left w:val="none" w:sz="0" w:space="0" w:color="auto"/>
                        <w:bottom w:val="none" w:sz="0" w:space="0" w:color="auto"/>
                        <w:right w:val="none" w:sz="0" w:space="0" w:color="auto"/>
                      </w:divBdr>
                    </w:div>
                  </w:divsChild>
                </w:div>
                <w:div w:id="1931574084">
                  <w:marLeft w:val="0"/>
                  <w:marRight w:val="0"/>
                  <w:marTop w:val="0"/>
                  <w:marBottom w:val="0"/>
                  <w:divBdr>
                    <w:top w:val="none" w:sz="0" w:space="0" w:color="auto"/>
                    <w:left w:val="none" w:sz="0" w:space="0" w:color="auto"/>
                    <w:bottom w:val="none" w:sz="0" w:space="0" w:color="auto"/>
                    <w:right w:val="none" w:sz="0" w:space="0" w:color="auto"/>
                  </w:divBdr>
                  <w:divsChild>
                    <w:div w:id="73011718">
                      <w:marLeft w:val="0"/>
                      <w:marRight w:val="0"/>
                      <w:marTop w:val="0"/>
                      <w:marBottom w:val="0"/>
                      <w:divBdr>
                        <w:top w:val="none" w:sz="0" w:space="0" w:color="auto"/>
                        <w:left w:val="none" w:sz="0" w:space="0" w:color="auto"/>
                        <w:bottom w:val="none" w:sz="0" w:space="0" w:color="auto"/>
                        <w:right w:val="none" w:sz="0" w:space="0" w:color="auto"/>
                      </w:divBdr>
                    </w:div>
                  </w:divsChild>
                </w:div>
                <w:div w:id="1976331703">
                  <w:marLeft w:val="0"/>
                  <w:marRight w:val="0"/>
                  <w:marTop w:val="0"/>
                  <w:marBottom w:val="0"/>
                  <w:divBdr>
                    <w:top w:val="none" w:sz="0" w:space="0" w:color="auto"/>
                    <w:left w:val="none" w:sz="0" w:space="0" w:color="auto"/>
                    <w:bottom w:val="none" w:sz="0" w:space="0" w:color="auto"/>
                    <w:right w:val="none" w:sz="0" w:space="0" w:color="auto"/>
                  </w:divBdr>
                  <w:divsChild>
                    <w:div w:id="1590042092">
                      <w:marLeft w:val="0"/>
                      <w:marRight w:val="0"/>
                      <w:marTop w:val="0"/>
                      <w:marBottom w:val="0"/>
                      <w:divBdr>
                        <w:top w:val="none" w:sz="0" w:space="0" w:color="auto"/>
                        <w:left w:val="none" w:sz="0" w:space="0" w:color="auto"/>
                        <w:bottom w:val="none" w:sz="0" w:space="0" w:color="auto"/>
                        <w:right w:val="none" w:sz="0" w:space="0" w:color="auto"/>
                      </w:divBdr>
                    </w:div>
                  </w:divsChild>
                </w:div>
                <w:div w:id="2004703924">
                  <w:marLeft w:val="0"/>
                  <w:marRight w:val="0"/>
                  <w:marTop w:val="0"/>
                  <w:marBottom w:val="0"/>
                  <w:divBdr>
                    <w:top w:val="none" w:sz="0" w:space="0" w:color="auto"/>
                    <w:left w:val="none" w:sz="0" w:space="0" w:color="auto"/>
                    <w:bottom w:val="none" w:sz="0" w:space="0" w:color="auto"/>
                    <w:right w:val="none" w:sz="0" w:space="0" w:color="auto"/>
                  </w:divBdr>
                  <w:divsChild>
                    <w:div w:id="2057005487">
                      <w:marLeft w:val="0"/>
                      <w:marRight w:val="0"/>
                      <w:marTop w:val="0"/>
                      <w:marBottom w:val="0"/>
                      <w:divBdr>
                        <w:top w:val="none" w:sz="0" w:space="0" w:color="auto"/>
                        <w:left w:val="none" w:sz="0" w:space="0" w:color="auto"/>
                        <w:bottom w:val="none" w:sz="0" w:space="0" w:color="auto"/>
                        <w:right w:val="none" w:sz="0" w:space="0" w:color="auto"/>
                      </w:divBdr>
                    </w:div>
                  </w:divsChild>
                </w:div>
                <w:div w:id="2133866871">
                  <w:marLeft w:val="0"/>
                  <w:marRight w:val="0"/>
                  <w:marTop w:val="0"/>
                  <w:marBottom w:val="0"/>
                  <w:divBdr>
                    <w:top w:val="none" w:sz="0" w:space="0" w:color="auto"/>
                    <w:left w:val="none" w:sz="0" w:space="0" w:color="auto"/>
                    <w:bottom w:val="none" w:sz="0" w:space="0" w:color="auto"/>
                    <w:right w:val="none" w:sz="0" w:space="0" w:color="auto"/>
                  </w:divBdr>
                  <w:divsChild>
                    <w:div w:id="136867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047280">
          <w:marLeft w:val="0"/>
          <w:marRight w:val="0"/>
          <w:marTop w:val="0"/>
          <w:marBottom w:val="0"/>
          <w:divBdr>
            <w:top w:val="none" w:sz="0" w:space="0" w:color="auto"/>
            <w:left w:val="none" w:sz="0" w:space="0" w:color="auto"/>
            <w:bottom w:val="none" w:sz="0" w:space="0" w:color="auto"/>
            <w:right w:val="none" w:sz="0" w:space="0" w:color="auto"/>
          </w:divBdr>
        </w:div>
        <w:div w:id="1097024692">
          <w:marLeft w:val="0"/>
          <w:marRight w:val="0"/>
          <w:marTop w:val="0"/>
          <w:marBottom w:val="0"/>
          <w:divBdr>
            <w:top w:val="none" w:sz="0" w:space="0" w:color="auto"/>
            <w:left w:val="none" w:sz="0" w:space="0" w:color="auto"/>
            <w:bottom w:val="none" w:sz="0" w:space="0" w:color="auto"/>
            <w:right w:val="none" w:sz="0" w:space="0" w:color="auto"/>
          </w:divBdr>
        </w:div>
        <w:div w:id="1135366328">
          <w:marLeft w:val="0"/>
          <w:marRight w:val="0"/>
          <w:marTop w:val="0"/>
          <w:marBottom w:val="0"/>
          <w:divBdr>
            <w:top w:val="none" w:sz="0" w:space="0" w:color="auto"/>
            <w:left w:val="none" w:sz="0" w:space="0" w:color="auto"/>
            <w:bottom w:val="none" w:sz="0" w:space="0" w:color="auto"/>
            <w:right w:val="none" w:sz="0" w:space="0" w:color="auto"/>
          </w:divBdr>
        </w:div>
        <w:div w:id="1142386804">
          <w:marLeft w:val="0"/>
          <w:marRight w:val="0"/>
          <w:marTop w:val="0"/>
          <w:marBottom w:val="0"/>
          <w:divBdr>
            <w:top w:val="none" w:sz="0" w:space="0" w:color="auto"/>
            <w:left w:val="none" w:sz="0" w:space="0" w:color="auto"/>
            <w:bottom w:val="none" w:sz="0" w:space="0" w:color="auto"/>
            <w:right w:val="none" w:sz="0" w:space="0" w:color="auto"/>
          </w:divBdr>
        </w:div>
        <w:div w:id="1155948659">
          <w:marLeft w:val="0"/>
          <w:marRight w:val="0"/>
          <w:marTop w:val="0"/>
          <w:marBottom w:val="0"/>
          <w:divBdr>
            <w:top w:val="none" w:sz="0" w:space="0" w:color="auto"/>
            <w:left w:val="none" w:sz="0" w:space="0" w:color="auto"/>
            <w:bottom w:val="none" w:sz="0" w:space="0" w:color="auto"/>
            <w:right w:val="none" w:sz="0" w:space="0" w:color="auto"/>
          </w:divBdr>
        </w:div>
        <w:div w:id="1157646430">
          <w:marLeft w:val="0"/>
          <w:marRight w:val="0"/>
          <w:marTop w:val="0"/>
          <w:marBottom w:val="0"/>
          <w:divBdr>
            <w:top w:val="none" w:sz="0" w:space="0" w:color="auto"/>
            <w:left w:val="none" w:sz="0" w:space="0" w:color="auto"/>
            <w:bottom w:val="none" w:sz="0" w:space="0" w:color="auto"/>
            <w:right w:val="none" w:sz="0" w:space="0" w:color="auto"/>
          </w:divBdr>
        </w:div>
        <w:div w:id="1287278069">
          <w:marLeft w:val="0"/>
          <w:marRight w:val="0"/>
          <w:marTop w:val="0"/>
          <w:marBottom w:val="0"/>
          <w:divBdr>
            <w:top w:val="none" w:sz="0" w:space="0" w:color="auto"/>
            <w:left w:val="none" w:sz="0" w:space="0" w:color="auto"/>
            <w:bottom w:val="none" w:sz="0" w:space="0" w:color="auto"/>
            <w:right w:val="none" w:sz="0" w:space="0" w:color="auto"/>
          </w:divBdr>
        </w:div>
        <w:div w:id="1294556288">
          <w:marLeft w:val="0"/>
          <w:marRight w:val="0"/>
          <w:marTop w:val="0"/>
          <w:marBottom w:val="0"/>
          <w:divBdr>
            <w:top w:val="none" w:sz="0" w:space="0" w:color="auto"/>
            <w:left w:val="none" w:sz="0" w:space="0" w:color="auto"/>
            <w:bottom w:val="none" w:sz="0" w:space="0" w:color="auto"/>
            <w:right w:val="none" w:sz="0" w:space="0" w:color="auto"/>
          </w:divBdr>
        </w:div>
        <w:div w:id="1363047321">
          <w:marLeft w:val="0"/>
          <w:marRight w:val="0"/>
          <w:marTop w:val="0"/>
          <w:marBottom w:val="0"/>
          <w:divBdr>
            <w:top w:val="none" w:sz="0" w:space="0" w:color="auto"/>
            <w:left w:val="none" w:sz="0" w:space="0" w:color="auto"/>
            <w:bottom w:val="none" w:sz="0" w:space="0" w:color="auto"/>
            <w:right w:val="none" w:sz="0" w:space="0" w:color="auto"/>
          </w:divBdr>
        </w:div>
        <w:div w:id="1413088874">
          <w:marLeft w:val="0"/>
          <w:marRight w:val="0"/>
          <w:marTop w:val="0"/>
          <w:marBottom w:val="0"/>
          <w:divBdr>
            <w:top w:val="none" w:sz="0" w:space="0" w:color="auto"/>
            <w:left w:val="none" w:sz="0" w:space="0" w:color="auto"/>
            <w:bottom w:val="none" w:sz="0" w:space="0" w:color="auto"/>
            <w:right w:val="none" w:sz="0" w:space="0" w:color="auto"/>
          </w:divBdr>
        </w:div>
        <w:div w:id="1498351334">
          <w:marLeft w:val="0"/>
          <w:marRight w:val="0"/>
          <w:marTop w:val="0"/>
          <w:marBottom w:val="0"/>
          <w:divBdr>
            <w:top w:val="none" w:sz="0" w:space="0" w:color="auto"/>
            <w:left w:val="none" w:sz="0" w:space="0" w:color="auto"/>
            <w:bottom w:val="none" w:sz="0" w:space="0" w:color="auto"/>
            <w:right w:val="none" w:sz="0" w:space="0" w:color="auto"/>
          </w:divBdr>
        </w:div>
        <w:div w:id="1520925936">
          <w:marLeft w:val="0"/>
          <w:marRight w:val="0"/>
          <w:marTop w:val="0"/>
          <w:marBottom w:val="0"/>
          <w:divBdr>
            <w:top w:val="none" w:sz="0" w:space="0" w:color="auto"/>
            <w:left w:val="none" w:sz="0" w:space="0" w:color="auto"/>
            <w:bottom w:val="none" w:sz="0" w:space="0" w:color="auto"/>
            <w:right w:val="none" w:sz="0" w:space="0" w:color="auto"/>
          </w:divBdr>
        </w:div>
        <w:div w:id="1526671022">
          <w:marLeft w:val="0"/>
          <w:marRight w:val="0"/>
          <w:marTop w:val="0"/>
          <w:marBottom w:val="0"/>
          <w:divBdr>
            <w:top w:val="none" w:sz="0" w:space="0" w:color="auto"/>
            <w:left w:val="none" w:sz="0" w:space="0" w:color="auto"/>
            <w:bottom w:val="none" w:sz="0" w:space="0" w:color="auto"/>
            <w:right w:val="none" w:sz="0" w:space="0" w:color="auto"/>
          </w:divBdr>
        </w:div>
        <w:div w:id="1537082148">
          <w:marLeft w:val="0"/>
          <w:marRight w:val="0"/>
          <w:marTop w:val="0"/>
          <w:marBottom w:val="0"/>
          <w:divBdr>
            <w:top w:val="none" w:sz="0" w:space="0" w:color="auto"/>
            <w:left w:val="none" w:sz="0" w:space="0" w:color="auto"/>
            <w:bottom w:val="none" w:sz="0" w:space="0" w:color="auto"/>
            <w:right w:val="none" w:sz="0" w:space="0" w:color="auto"/>
          </w:divBdr>
        </w:div>
        <w:div w:id="1540584880">
          <w:marLeft w:val="0"/>
          <w:marRight w:val="0"/>
          <w:marTop w:val="0"/>
          <w:marBottom w:val="0"/>
          <w:divBdr>
            <w:top w:val="none" w:sz="0" w:space="0" w:color="auto"/>
            <w:left w:val="none" w:sz="0" w:space="0" w:color="auto"/>
            <w:bottom w:val="none" w:sz="0" w:space="0" w:color="auto"/>
            <w:right w:val="none" w:sz="0" w:space="0" w:color="auto"/>
          </w:divBdr>
        </w:div>
        <w:div w:id="1546720296">
          <w:marLeft w:val="0"/>
          <w:marRight w:val="0"/>
          <w:marTop w:val="0"/>
          <w:marBottom w:val="0"/>
          <w:divBdr>
            <w:top w:val="none" w:sz="0" w:space="0" w:color="auto"/>
            <w:left w:val="none" w:sz="0" w:space="0" w:color="auto"/>
            <w:bottom w:val="none" w:sz="0" w:space="0" w:color="auto"/>
            <w:right w:val="none" w:sz="0" w:space="0" w:color="auto"/>
          </w:divBdr>
        </w:div>
        <w:div w:id="1566186797">
          <w:marLeft w:val="0"/>
          <w:marRight w:val="0"/>
          <w:marTop w:val="0"/>
          <w:marBottom w:val="0"/>
          <w:divBdr>
            <w:top w:val="none" w:sz="0" w:space="0" w:color="auto"/>
            <w:left w:val="none" w:sz="0" w:space="0" w:color="auto"/>
            <w:bottom w:val="none" w:sz="0" w:space="0" w:color="auto"/>
            <w:right w:val="none" w:sz="0" w:space="0" w:color="auto"/>
          </w:divBdr>
        </w:div>
        <w:div w:id="1566649234">
          <w:marLeft w:val="0"/>
          <w:marRight w:val="0"/>
          <w:marTop w:val="0"/>
          <w:marBottom w:val="0"/>
          <w:divBdr>
            <w:top w:val="none" w:sz="0" w:space="0" w:color="auto"/>
            <w:left w:val="none" w:sz="0" w:space="0" w:color="auto"/>
            <w:bottom w:val="none" w:sz="0" w:space="0" w:color="auto"/>
            <w:right w:val="none" w:sz="0" w:space="0" w:color="auto"/>
          </w:divBdr>
        </w:div>
        <w:div w:id="1617249179">
          <w:marLeft w:val="0"/>
          <w:marRight w:val="0"/>
          <w:marTop w:val="0"/>
          <w:marBottom w:val="0"/>
          <w:divBdr>
            <w:top w:val="none" w:sz="0" w:space="0" w:color="auto"/>
            <w:left w:val="none" w:sz="0" w:space="0" w:color="auto"/>
            <w:bottom w:val="none" w:sz="0" w:space="0" w:color="auto"/>
            <w:right w:val="none" w:sz="0" w:space="0" w:color="auto"/>
          </w:divBdr>
        </w:div>
        <w:div w:id="1689331900">
          <w:marLeft w:val="0"/>
          <w:marRight w:val="0"/>
          <w:marTop w:val="0"/>
          <w:marBottom w:val="0"/>
          <w:divBdr>
            <w:top w:val="none" w:sz="0" w:space="0" w:color="auto"/>
            <w:left w:val="none" w:sz="0" w:space="0" w:color="auto"/>
            <w:bottom w:val="none" w:sz="0" w:space="0" w:color="auto"/>
            <w:right w:val="none" w:sz="0" w:space="0" w:color="auto"/>
          </w:divBdr>
        </w:div>
        <w:div w:id="1765297998">
          <w:marLeft w:val="0"/>
          <w:marRight w:val="0"/>
          <w:marTop w:val="0"/>
          <w:marBottom w:val="0"/>
          <w:divBdr>
            <w:top w:val="none" w:sz="0" w:space="0" w:color="auto"/>
            <w:left w:val="none" w:sz="0" w:space="0" w:color="auto"/>
            <w:bottom w:val="none" w:sz="0" w:space="0" w:color="auto"/>
            <w:right w:val="none" w:sz="0" w:space="0" w:color="auto"/>
          </w:divBdr>
        </w:div>
        <w:div w:id="1796676131">
          <w:marLeft w:val="0"/>
          <w:marRight w:val="0"/>
          <w:marTop w:val="0"/>
          <w:marBottom w:val="0"/>
          <w:divBdr>
            <w:top w:val="none" w:sz="0" w:space="0" w:color="auto"/>
            <w:left w:val="none" w:sz="0" w:space="0" w:color="auto"/>
            <w:bottom w:val="none" w:sz="0" w:space="0" w:color="auto"/>
            <w:right w:val="none" w:sz="0" w:space="0" w:color="auto"/>
          </w:divBdr>
        </w:div>
        <w:div w:id="1805196229">
          <w:marLeft w:val="0"/>
          <w:marRight w:val="0"/>
          <w:marTop w:val="0"/>
          <w:marBottom w:val="0"/>
          <w:divBdr>
            <w:top w:val="none" w:sz="0" w:space="0" w:color="auto"/>
            <w:left w:val="none" w:sz="0" w:space="0" w:color="auto"/>
            <w:bottom w:val="none" w:sz="0" w:space="0" w:color="auto"/>
            <w:right w:val="none" w:sz="0" w:space="0" w:color="auto"/>
          </w:divBdr>
        </w:div>
        <w:div w:id="1817450093">
          <w:marLeft w:val="0"/>
          <w:marRight w:val="0"/>
          <w:marTop w:val="0"/>
          <w:marBottom w:val="0"/>
          <w:divBdr>
            <w:top w:val="none" w:sz="0" w:space="0" w:color="auto"/>
            <w:left w:val="none" w:sz="0" w:space="0" w:color="auto"/>
            <w:bottom w:val="none" w:sz="0" w:space="0" w:color="auto"/>
            <w:right w:val="none" w:sz="0" w:space="0" w:color="auto"/>
          </w:divBdr>
        </w:div>
        <w:div w:id="1821848116">
          <w:marLeft w:val="0"/>
          <w:marRight w:val="0"/>
          <w:marTop w:val="0"/>
          <w:marBottom w:val="0"/>
          <w:divBdr>
            <w:top w:val="none" w:sz="0" w:space="0" w:color="auto"/>
            <w:left w:val="none" w:sz="0" w:space="0" w:color="auto"/>
            <w:bottom w:val="none" w:sz="0" w:space="0" w:color="auto"/>
            <w:right w:val="none" w:sz="0" w:space="0" w:color="auto"/>
          </w:divBdr>
        </w:div>
        <w:div w:id="1833179375">
          <w:marLeft w:val="0"/>
          <w:marRight w:val="0"/>
          <w:marTop w:val="0"/>
          <w:marBottom w:val="0"/>
          <w:divBdr>
            <w:top w:val="none" w:sz="0" w:space="0" w:color="auto"/>
            <w:left w:val="none" w:sz="0" w:space="0" w:color="auto"/>
            <w:bottom w:val="none" w:sz="0" w:space="0" w:color="auto"/>
            <w:right w:val="none" w:sz="0" w:space="0" w:color="auto"/>
          </w:divBdr>
          <w:divsChild>
            <w:div w:id="666204708">
              <w:marLeft w:val="-75"/>
              <w:marRight w:val="0"/>
              <w:marTop w:val="30"/>
              <w:marBottom w:val="30"/>
              <w:divBdr>
                <w:top w:val="none" w:sz="0" w:space="0" w:color="auto"/>
                <w:left w:val="none" w:sz="0" w:space="0" w:color="auto"/>
                <w:bottom w:val="none" w:sz="0" w:space="0" w:color="auto"/>
                <w:right w:val="none" w:sz="0" w:space="0" w:color="auto"/>
              </w:divBdr>
              <w:divsChild>
                <w:div w:id="78252993">
                  <w:marLeft w:val="0"/>
                  <w:marRight w:val="0"/>
                  <w:marTop w:val="0"/>
                  <w:marBottom w:val="0"/>
                  <w:divBdr>
                    <w:top w:val="none" w:sz="0" w:space="0" w:color="auto"/>
                    <w:left w:val="none" w:sz="0" w:space="0" w:color="auto"/>
                    <w:bottom w:val="none" w:sz="0" w:space="0" w:color="auto"/>
                    <w:right w:val="none" w:sz="0" w:space="0" w:color="auto"/>
                  </w:divBdr>
                  <w:divsChild>
                    <w:div w:id="1580627840">
                      <w:marLeft w:val="0"/>
                      <w:marRight w:val="0"/>
                      <w:marTop w:val="0"/>
                      <w:marBottom w:val="0"/>
                      <w:divBdr>
                        <w:top w:val="none" w:sz="0" w:space="0" w:color="auto"/>
                        <w:left w:val="none" w:sz="0" w:space="0" w:color="auto"/>
                        <w:bottom w:val="none" w:sz="0" w:space="0" w:color="auto"/>
                        <w:right w:val="none" w:sz="0" w:space="0" w:color="auto"/>
                      </w:divBdr>
                    </w:div>
                  </w:divsChild>
                </w:div>
                <w:div w:id="112216125">
                  <w:marLeft w:val="0"/>
                  <w:marRight w:val="0"/>
                  <w:marTop w:val="0"/>
                  <w:marBottom w:val="0"/>
                  <w:divBdr>
                    <w:top w:val="none" w:sz="0" w:space="0" w:color="auto"/>
                    <w:left w:val="none" w:sz="0" w:space="0" w:color="auto"/>
                    <w:bottom w:val="none" w:sz="0" w:space="0" w:color="auto"/>
                    <w:right w:val="none" w:sz="0" w:space="0" w:color="auto"/>
                  </w:divBdr>
                  <w:divsChild>
                    <w:div w:id="1811550766">
                      <w:marLeft w:val="0"/>
                      <w:marRight w:val="0"/>
                      <w:marTop w:val="0"/>
                      <w:marBottom w:val="0"/>
                      <w:divBdr>
                        <w:top w:val="none" w:sz="0" w:space="0" w:color="auto"/>
                        <w:left w:val="none" w:sz="0" w:space="0" w:color="auto"/>
                        <w:bottom w:val="none" w:sz="0" w:space="0" w:color="auto"/>
                        <w:right w:val="none" w:sz="0" w:space="0" w:color="auto"/>
                      </w:divBdr>
                    </w:div>
                  </w:divsChild>
                </w:div>
                <w:div w:id="161430325">
                  <w:marLeft w:val="0"/>
                  <w:marRight w:val="0"/>
                  <w:marTop w:val="0"/>
                  <w:marBottom w:val="0"/>
                  <w:divBdr>
                    <w:top w:val="none" w:sz="0" w:space="0" w:color="auto"/>
                    <w:left w:val="none" w:sz="0" w:space="0" w:color="auto"/>
                    <w:bottom w:val="none" w:sz="0" w:space="0" w:color="auto"/>
                    <w:right w:val="none" w:sz="0" w:space="0" w:color="auto"/>
                  </w:divBdr>
                  <w:divsChild>
                    <w:div w:id="1709992270">
                      <w:marLeft w:val="0"/>
                      <w:marRight w:val="0"/>
                      <w:marTop w:val="0"/>
                      <w:marBottom w:val="0"/>
                      <w:divBdr>
                        <w:top w:val="none" w:sz="0" w:space="0" w:color="auto"/>
                        <w:left w:val="none" w:sz="0" w:space="0" w:color="auto"/>
                        <w:bottom w:val="none" w:sz="0" w:space="0" w:color="auto"/>
                        <w:right w:val="none" w:sz="0" w:space="0" w:color="auto"/>
                      </w:divBdr>
                    </w:div>
                  </w:divsChild>
                </w:div>
                <w:div w:id="173764884">
                  <w:marLeft w:val="0"/>
                  <w:marRight w:val="0"/>
                  <w:marTop w:val="0"/>
                  <w:marBottom w:val="0"/>
                  <w:divBdr>
                    <w:top w:val="none" w:sz="0" w:space="0" w:color="auto"/>
                    <w:left w:val="none" w:sz="0" w:space="0" w:color="auto"/>
                    <w:bottom w:val="none" w:sz="0" w:space="0" w:color="auto"/>
                    <w:right w:val="none" w:sz="0" w:space="0" w:color="auto"/>
                  </w:divBdr>
                  <w:divsChild>
                    <w:div w:id="1049064049">
                      <w:marLeft w:val="0"/>
                      <w:marRight w:val="0"/>
                      <w:marTop w:val="0"/>
                      <w:marBottom w:val="0"/>
                      <w:divBdr>
                        <w:top w:val="none" w:sz="0" w:space="0" w:color="auto"/>
                        <w:left w:val="none" w:sz="0" w:space="0" w:color="auto"/>
                        <w:bottom w:val="none" w:sz="0" w:space="0" w:color="auto"/>
                        <w:right w:val="none" w:sz="0" w:space="0" w:color="auto"/>
                      </w:divBdr>
                    </w:div>
                  </w:divsChild>
                </w:div>
                <w:div w:id="197935821">
                  <w:marLeft w:val="0"/>
                  <w:marRight w:val="0"/>
                  <w:marTop w:val="0"/>
                  <w:marBottom w:val="0"/>
                  <w:divBdr>
                    <w:top w:val="none" w:sz="0" w:space="0" w:color="auto"/>
                    <w:left w:val="none" w:sz="0" w:space="0" w:color="auto"/>
                    <w:bottom w:val="none" w:sz="0" w:space="0" w:color="auto"/>
                    <w:right w:val="none" w:sz="0" w:space="0" w:color="auto"/>
                  </w:divBdr>
                  <w:divsChild>
                    <w:div w:id="1662153319">
                      <w:marLeft w:val="0"/>
                      <w:marRight w:val="0"/>
                      <w:marTop w:val="0"/>
                      <w:marBottom w:val="0"/>
                      <w:divBdr>
                        <w:top w:val="none" w:sz="0" w:space="0" w:color="auto"/>
                        <w:left w:val="none" w:sz="0" w:space="0" w:color="auto"/>
                        <w:bottom w:val="none" w:sz="0" w:space="0" w:color="auto"/>
                        <w:right w:val="none" w:sz="0" w:space="0" w:color="auto"/>
                      </w:divBdr>
                    </w:div>
                  </w:divsChild>
                </w:div>
                <w:div w:id="233510998">
                  <w:marLeft w:val="0"/>
                  <w:marRight w:val="0"/>
                  <w:marTop w:val="0"/>
                  <w:marBottom w:val="0"/>
                  <w:divBdr>
                    <w:top w:val="none" w:sz="0" w:space="0" w:color="auto"/>
                    <w:left w:val="none" w:sz="0" w:space="0" w:color="auto"/>
                    <w:bottom w:val="none" w:sz="0" w:space="0" w:color="auto"/>
                    <w:right w:val="none" w:sz="0" w:space="0" w:color="auto"/>
                  </w:divBdr>
                  <w:divsChild>
                    <w:div w:id="822352581">
                      <w:marLeft w:val="0"/>
                      <w:marRight w:val="0"/>
                      <w:marTop w:val="0"/>
                      <w:marBottom w:val="0"/>
                      <w:divBdr>
                        <w:top w:val="none" w:sz="0" w:space="0" w:color="auto"/>
                        <w:left w:val="none" w:sz="0" w:space="0" w:color="auto"/>
                        <w:bottom w:val="none" w:sz="0" w:space="0" w:color="auto"/>
                        <w:right w:val="none" w:sz="0" w:space="0" w:color="auto"/>
                      </w:divBdr>
                    </w:div>
                  </w:divsChild>
                </w:div>
                <w:div w:id="292444802">
                  <w:marLeft w:val="0"/>
                  <w:marRight w:val="0"/>
                  <w:marTop w:val="0"/>
                  <w:marBottom w:val="0"/>
                  <w:divBdr>
                    <w:top w:val="none" w:sz="0" w:space="0" w:color="auto"/>
                    <w:left w:val="none" w:sz="0" w:space="0" w:color="auto"/>
                    <w:bottom w:val="none" w:sz="0" w:space="0" w:color="auto"/>
                    <w:right w:val="none" w:sz="0" w:space="0" w:color="auto"/>
                  </w:divBdr>
                  <w:divsChild>
                    <w:div w:id="2030254645">
                      <w:marLeft w:val="0"/>
                      <w:marRight w:val="0"/>
                      <w:marTop w:val="0"/>
                      <w:marBottom w:val="0"/>
                      <w:divBdr>
                        <w:top w:val="none" w:sz="0" w:space="0" w:color="auto"/>
                        <w:left w:val="none" w:sz="0" w:space="0" w:color="auto"/>
                        <w:bottom w:val="none" w:sz="0" w:space="0" w:color="auto"/>
                        <w:right w:val="none" w:sz="0" w:space="0" w:color="auto"/>
                      </w:divBdr>
                    </w:div>
                  </w:divsChild>
                </w:div>
                <w:div w:id="379011650">
                  <w:marLeft w:val="0"/>
                  <w:marRight w:val="0"/>
                  <w:marTop w:val="0"/>
                  <w:marBottom w:val="0"/>
                  <w:divBdr>
                    <w:top w:val="none" w:sz="0" w:space="0" w:color="auto"/>
                    <w:left w:val="none" w:sz="0" w:space="0" w:color="auto"/>
                    <w:bottom w:val="none" w:sz="0" w:space="0" w:color="auto"/>
                    <w:right w:val="none" w:sz="0" w:space="0" w:color="auto"/>
                  </w:divBdr>
                  <w:divsChild>
                    <w:div w:id="770390524">
                      <w:marLeft w:val="0"/>
                      <w:marRight w:val="0"/>
                      <w:marTop w:val="0"/>
                      <w:marBottom w:val="0"/>
                      <w:divBdr>
                        <w:top w:val="none" w:sz="0" w:space="0" w:color="auto"/>
                        <w:left w:val="none" w:sz="0" w:space="0" w:color="auto"/>
                        <w:bottom w:val="none" w:sz="0" w:space="0" w:color="auto"/>
                        <w:right w:val="none" w:sz="0" w:space="0" w:color="auto"/>
                      </w:divBdr>
                    </w:div>
                  </w:divsChild>
                </w:div>
                <w:div w:id="415133975">
                  <w:marLeft w:val="0"/>
                  <w:marRight w:val="0"/>
                  <w:marTop w:val="0"/>
                  <w:marBottom w:val="0"/>
                  <w:divBdr>
                    <w:top w:val="none" w:sz="0" w:space="0" w:color="auto"/>
                    <w:left w:val="none" w:sz="0" w:space="0" w:color="auto"/>
                    <w:bottom w:val="none" w:sz="0" w:space="0" w:color="auto"/>
                    <w:right w:val="none" w:sz="0" w:space="0" w:color="auto"/>
                  </w:divBdr>
                  <w:divsChild>
                    <w:div w:id="1309625203">
                      <w:marLeft w:val="0"/>
                      <w:marRight w:val="0"/>
                      <w:marTop w:val="0"/>
                      <w:marBottom w:val="0"/>
                      <w:divBdr>
                        <w:top w:val="none" w:sz="0" w:space="0" w:color="auto"/>
                        <w:left w:val="none" w:sz="0" w:space="0" w:color="auto"/>
                        <w:bottom w:val="none" w:sz="0" w:space="0" w:color="auto"/>
                        <w:right w:val="none" w:sz="0" w:space="0" w:color="auto"/>
                      </w:divBdr>
                    </w:div>
                  </w:divsChild>
                </w:div>
                <w:div w:id="445739052">
                  <w:marLeft w:val="0"/>
                  <w:marRight w:val="0"/>
                  <w:marTop w:val="0"/>
                  <w:marBottom w:val="0"/>
                  <w:divBdr>
                    <w:top w:val="none" w:sz="0" w:space="0" w:color="auto"/>
                    <w:left w:val="none" w:sz="0" w:space="0" w:color="auto"/>
                    <w:bottom w:val="none" w:sz="0" w:space="0" w:color="auto"/>
                    <w:right w:val="none" w:sz="0" w:space="0" w:color="auto"/>
                  </w:divBdr>
                  <w:divsChild>
                    <w:div w:id="1430277977">
                      <w:marLeft w:val="0"/>
                      <w:marRight w:val="0"/>
                      <w:marTop w:val="0"/>
                      <w:marBottom w:val="0"/>
                      <w:divBdr>
                        <w:top w:val="none" w:sz="0" w:space="0" w:color="auto"/>
                        <w:left w:val="none" w:sz="0" w:space="0" w:color="auto"/>
                        <w:bottom w:val="none" w:sz="0" w:space="0" w:color="auto"/>
                        <w:right w:val="none" w:sz="0" w:space="0" w:color="auto"/>
                      </w:divBdr>
                    </w:div>
                  </w:divsChild>
                </w:div>
                <w:div w:id="472453401">
                  <w:marLeft w:val="0"/>
                  <w:marRight w:val="0"/>
                  <w:marTop w:val="0"/>
                  <w:marBottom w:val="0"/>
                  <w:divBdr>
                    <w:top w:val="none" w:sz="0" w:space="0" w:color="auto"/>
                    <w:left w:val="none" w:sz="0" w:space="0" w:color="auto"/>
                    <w:bottom w:val="none" w:sz="0" w:space="0" w:color="auto"/>
                    <w:right w:val="none" w:sz="0" w:space="0" w:color="auto"/>
                  </w:divBdr>
                  <w:divsChild>
                    <w:div w:id="739447540">
                      <w:marLeft w:val="0"/>
                      <w:marRight w:val="0"/>
                      <w:marTop w:val="0"/>
                      <w:marBottom w:val="0"/>
                      <w:divBdr>
                        <w:top w:val="none" w:sz="0" w:space="0" w:color="auto"/>
                        <w:left w:val="none" w:sz="0" w:space="0" w:color="auto"/>
                        <w:bottom w:val="none" w:sz="0" w:space="0" w:color="auto"/>
                        <w:right w:val="none" w:sz="0" w:space="0" w:color="auto"/>
                      </w:divBdr>
                    </w:div>
                  </w:divsChild>
                </w:div>
                <w:div w:id="486243549">
                  <w:marLeft w:val="0"/>
                  <w:marRight w:val="0"/>
                  <w:marTop w:val="0"/>
                  <w:marBottom w:val="0"/>
                  <w:divBdr>
                    <w:top w:val="none" w:sz="0" w:space="0" w:color="auto"/>
                    <w:left w:val="none" w:sz="0" w:space="0" w:color="auto"/>
                    <w:bottom w:val="none" w:sz="0" w:space="0" w:color="auto"/>
                    <w:right w:val="none" w:sz="0" w:space="0" w:color="auto"/>
                  </w:divBdr>
                  <w:divsChild>
                    <w:div w:id="57411005">
                      <w:marLeft w:val="0"/>
                      <w:marRight w:val="0"/>
                      <w:marTop w:val="0"/>
                      <w:marBottom w:val="0"/>
                      <w:divBdr>
                        <w:top w:val="none" w:sz="0" w:space="0" w:color="auto"/>
                        <w:left w:val="none" w:sz="0" w:space="0" w:color="auto"/>
                        <w:bottom w:val="none" w:sz="0" w:space="0" w:color="auto"/>
                        <w:right w:val="none" w:sz="0" w:space="0" w:color="auto"/>
                      </w:divBdr>
                    </w:div>
                  </w:divsChild>
                </w:div>
                <w:div w:id="556472660">
                  <w:marLeft w:val="0"/>
                  <w:marRight w:val="0"/>
                  <w:marTop w:val="0"/>
                  <w:marBottom w:val="0"/>
                  <w:divBdr>
                    <w:top w:val="none" w:sz="0" w:space="0" w:color="auto"/>
                    <w:left w:val="none" w:sz="0" w:space="0" w:color="auto"/>
                    <w:bottom w:val="none" w:sz="0" w:space="0" w:color="auto"/>
                    <w:right w:val="none" w:sz="0" w:space="0" w:color="auto"/>
                  </w:divBdr>
                  <w:divsChild>
                    <w:div w:id="447046263">
                      <w:marLeft w:val="0"/>
                      <w:marRight w:val="0"/>
                      <w:marTop w:val="0"/>
                      <w:marBottom w:val="0"/>
                      <w:divBdr>
                        <w:top w:val="none" w:sz="0" w:space="0" w:color="auto"/>
                        <w:left w:val="none" w:sz="0" w:space="0" w:color="auto"/>
                        <w:bottom w:val="none" w:sz="0" w:space="0" w:color="auto"/>
                        <w:right w:val="none" w:sz="0" w:space="0" w:color="auto"/>
                      </w:divBdr>
                    </w:div>
                  </w:divsChild>
                </w:div>
                <w:div w:id="567956434">
                  <w:marLeft w:val="0"/>
                  <w:marRight w:val="0"/>
                  <w:marTop w:val="0"/>
                  <w:marBottom w:val="0"/>
                  <w:divBdr>
                    <w:top w:val="none" w:sz="0" w:space="0" w:color="auto"/>
                    <w:left w:val="none" w:sz="0" w:space="0" w:color="auto"/>
                    <w:bottom w:val="none" w:sz="0" w:space="0" w:color="auto"/>
                    <w:right w:val="none" w:sz="0" w:space="0" w:color="auto"/>
                  </w:divBdr>
                  <w:divsChild>
                    <w:div w:id="1468164574">
                      <w:marLeft w:val="0"/>
                      <w:marRight w:val="0"/>
                      <w:marTop w:val="0"/>
                      <w:marBottom w:val="0"/>
                      <w:divBdr>
                        <w:top w:val="none" w:sz="0" w:space="0" w:color="auto"/>
                        <w:left w:val="none" w:sz="0" w:space="0" w:color="auto"/>
                        <w:bottom w:val="none" w:sz="0" w:space="0" w:color="auto"/>
                        <w:right w:val="none" w:sz="0" w:space="0" w:color="auto"/>
                      </w:divBdr>
                    </w:div>
                  </w:divsChild>
                </w:div>
                <w:div w:id="567956893">
                  <w:marLeft w:val="0"/>
                  <w:marRight w:val="0"/>
                  <w:marTop w:val="0"/>
                  <w:marBottom w:val="0"/>
                  <w:divBdr>
                    <w:top w:val="none" w:sz="0" w:space="0" w:color="auto"/>
                    <w:left w:val="none" w:sz="0" w:space="0" w:color="auto"/>
                    <w:bottom w:val="none" w:sz="0" w:space="0" w:color="auto"/>
                    <w:right w:val="none" w:sz="0" w:space="0" w:color="auto"/>
                  </w:divBdr>
                  <w:divsChild>
                    <w:div w:id="596207360">
                      <w:marLeft w:val="0"/>
                      <w:marRight w:val="0"/>
                      <w:marTop w:val="0"/>
                      <w:marBottom w:val="0"/>
                      <w:divBdr>
                        <w:top w:val="none" w:sz="0" w:space="0" w:color="auto"/>
                        <w:left w:val="none" w:sz="0" w:space="0" w:color="auto"/>
                        <w:bottom w:val="none" w:sz="0" w:space="0" w:color="auto"/>
                        <w:right w:val="none" w:sz="0" w:space="0" w:color="auto"/>
                      </w:divBdr>
                    </w:div>
                  </w:divsChild>
                </w:div>
                <w:div w:id="590705207">
                  <w:marLeft w:val="0"/>
                  <w:marRight w:val="0"/>
                  <w:marTop w:val="0"/>
                  <w:marBottom w:val="0"/>
                  <w:divBdr>
                    <w:top w:val="none" w:sz="0" w:space="0" w:color="auto"/>
                    <w:left w:val="none" w:sz="0" w:space="0" w:color="auto"/>
                    <w:bottom w:val="none" w:sz="0" w:space="0" w:color="auto"/>
                    <w:right w:val="none" w:sz="0" w:space="0" w:color="auto"/>
                  </w:divBdr>
                  <w:divsChild>
                    <w:div w:id="673217939">
                      <w:marLeft w:val="0"/>
                      <w:marRight w:val="0"/>
                      <w:marTop w:val="0"/>
                      <w:marBottom w:val="0"/>
                      <w:divBdr>
                        <w:top w:val="none" w:sz="0" w:space="0" w:color="auto"/>
                        <w:left w:val="none" w:sz="0" w:space="0" w:color="auto"/>
                        <w:bottom w:val="none" w:sz="0" w:space="0" w:color="auto"/>
                        <w:right w:val="none" w:sz="0" w:space="0" w:color="auto"/>
                      </w:divBdr>
                    </w:div>
                  </w:divsChild>
                </w:div>
                <w:div w:id="678002568">
                  <w:marLeft w:val="0"/>
                  <w:marRight w:val="0"/>
                  <w:marTop w:val="0"/>
                  <w:marBottom w:val="0"/>
                  <w:divBdr>
                    <w:top w:val="none" w:sz="0" w:space="0" w:color="auto"/>
                    <w:left w:val="none" w:sz="0" w:space="0" w:color="auto"/>
                    <w:bottom w:val="none" w:sz="0" w:space="0" w:color="auto"/>
                    <w:right w:val="none" w:sz="0" w:space="0" w:color="auto"/>
                  </w:divBdr>
                  <w:divsChild>
                    <w:div w:id="1773477784">
                      <w:marLeft w:val="0"/>
                      <w:marRight w:val="0"/>
                      <w:marTop w:val="0"/>
                      <w:marBottom w:val="0"/>
                      <w:divBdr>
                        <w:top w:val="none" w:sz="0" w:space="0" w:color="auto"/>
                        <w:left w:val="none" w:sz="0" w:space="0" w:color="auto"/>
                        <w:bottom w:val="none" w:sz="0" w:space="0" w:color="auto"/>
                        <w:right w:val="none" w:sz="0" w:space="0" w:color="auto"/>
                      </w:divBdr>
                    </w:div>
                  </w:divsChild>
                </w:div>
                <w:div w:id="702099270">
                  <w:marLeft w:val="0"/>
                  <w:marRight w:val="0"/>
                  <w:marTop w:val="0"/>
                  <w:marBottom w:val="0"/>
                  <w:divBdr>
                    <w:top w:val="none" w:sz="0" w:space="0" w:color="auto"/>
                    <w:left w:val="none" w:sz="0" w:space="0" w:color="auto"/>
                    <w:bottom w:val="none" w:sz="0" w:space="0" w:color="auto"/>
                    <w:right w:val="none" w:sz="0" w:space="0" w:color="auto"/>
                  </w:divBdr>
                  <w:divsChild>
                    <w:div w:id="1039667809">
                      <w:marLeft w:val="0"/>
                      <w:marRight w:val="0"/>
                      <w:marTop w:val="0"/>
                      <w:marBottom w:val="0"/>
                      <w:divBdr>
                        <w:top w:val="none" w:sz="0" w:space="0" w:color="auto"/>
                        <w:left w:val="none" w:sz="0" w:space="0" w:color="auto"/>
                        <w:bottom w:val="none" w:sz="0" w:space="0" w:color="auto"/>
                        <w:right w:val="none" w:sz="0" w:space="0" w:color="auto"/>
                      </w:divBdr>
                    </w:div>
                  </w:divsChild>
                </w:div>
                <w:div w:id="709955065">
                  <w:marLeft w:val="0"/>
                  <w:marRight w:val="0"/>
                  <w:marTop w:val="0"/>
                  <w:marBottom w:val="0"/>
                  <w:divBdr>
                    <w:top w:val="none" w:sz="0" w:space="0" w:color="auto"/>
                    <w:left w:val="none" w:sz="0" w:space="0" w:color="auto"/>
                    <w:bottom w:val="none" w:sz="0" w:space="0" w:color="auto"/>
                    <w:right w:val="none" w:sz="0" w:space="0" w:color="auto"/>
                  </w:divBdr>
                  <w:divsChild>
                    <w:div w:id="1349336713">
                      <w:marLeft w:val="0"/>
                      <w:marRight w:val="0"/>
                      <w:marTop w:val="0"/>
                      <w:marBottom w:val="0"/>
                      <w:divBdr>
                        <w:top w:val="none" w:sz="0" w:space="0" w:color="auto"/>
                        <w:left w:val="none" w:sz="0" w:space="0" w:color="auto"/>
                        <w:bottom w:val="none" w:sz="0" w:space="0" w:color="auto"/>
                        <w:right w:val="none" w:sz="0" w:space="0" w:color="auto"/>
                      </w:divBdr>
                    </w:div>
                  </w:divsChild>
                </w:div>
                <w:div w:id="711347992">
                  <w:marLeft w:val="0"/>
                  <w:marRight w:val="0"/>
                  <w:marTop w:val="0"/>
                  <w:marBottom w:val="0"/>
                  <w:divBdr>
                    <w:top w:val="none" w:sz="0" w:space="0" w:color="auto"/>
                    <w:left w:val="none" w:sz="0" w:space="0" w:color="auto"/>
                    <w:bottom w:val="none" w:sz="0" w:space="0" w:color="auto"/>
                    <w:right w:val="none" w:sz="0" w:space="0" w:color="auto"/>
                  </w:divBdr>
                  <w:divsChild>
                    <w:div w:id="1548879777">
                      <w:marLeft w:val="0"/>
                      <w:marRight w:val="0"/>
                      <w:marTop w:val="0"/>
                      <w:marBottom w:val="0"/>
                      <w:divBdr>
                        <w:top w:val="none" w:sz="0" w:space="0" w:color="auto"/>
                        <w:left w:val="none" w:sz="0" w:space="0" w:color="auto"/>
                        <w:bottom w:val="none" w:sz="0" w:space="0" w:color="auto"/>
                        <w:right w:val="none" w:sz="0" w:space="0" w:color="auto"/>
                      </w:divBdr>
                    </w:div>
                  </w:divsChild>
                </w:div>
                <w:div w:id="798761472">
                  <w:marLeft w:val="0"/>
                  <w:marRight w:val="0"/>
                  <w:marTop w:val="0"/>
                  <w:marBottom w:val="0"/>
                  <w:divBdr>
                    <w:top w:val="none" w:sz="0" w:space="0" w:color="auto"/>
                    <w:left w:val="none" w:sz="0" w:space="0" w:color="auto"/>
                    <w:bottom w:val="none" w:sz="0" w:space="0" w:color="auto"/>
                    <w:right w:val="none" w:sz="0" w:space="0" w:color="auto"/>
                  </w:divBdr>
                  <w:divsChild>
                    <w:div w:id="2123105378">
                      <w:marLeft w:val="0"/>
                      <w:marRight w:val="0"/>
                      <w:marTop w:val="0"/>
                      <w:marBottom w:val="0"/>
                      <w:divBdr>
                        <w:top w:val="none" w:sz="0" w:space="0" w:color="auto"/>
                        <w:left w:val="none" w:sz="0" w:space="0" w:color="auto"/>
                        <w:bottom w:val="none" w:sz="0" w:space="0" w:color="auto"/>
                        <w:right w:val="none" w:sz="0" w:space="0" w:color="auto"/>
                      </w:divBdr>
                    </w:div>
                  </w:divsChild>
                </w:div>
                <w:div w:id="815339723">
                  <w:marLeft w:val="0"/>
                  <w:marRight w:val="0"/>
                  <w:marTop w:val="0"/>
                  <w:marBottom w:val="0"/>
                  <w:divBdr>
                    <w:top w:val="none" w:sz="0" w:space="0" w:color="auto"/>
                    <w:left w:val="none" w:sz="0" w:space="0" w:color="auto"/>
                    <w:bottom w:val="none" w:sz="0" w:space="0" w:color="auto"/>
                    <w:right w:val="none" w:sz="0" w:space="0" w:color="auto"/>
                  </w:divBdr>
                  <w:divsChild>
                    <w:div w:id="1515536320">
                      <w:marLeft w:val="0"/>
                      <w:marRight w:val="0"/>
                      <w:marTop w:val="0"/>
                      <w:marBottom w:val="0"/>
                      <w:divBdr>
                        <w:top w:val="none" w:sz="0" w:space="0" w:color="auto"/>
                        <w:left w:val="none" w:sz="0" w:space="0" w:color="auto"/>
                        <w:bottom w:val="none" w:sz="0" w:space="0" w:color="auto"/>
                        <w:right w:val="none" w:sz="0" w:space="0" w:color="auto"/>
                      </w:divBdr>
                    </w:div>
                  </w:divsChild>
                </w:div>
                <w:div w:id="966472770">
                  <w:marLeft w:val="0"/>
                  <w:marRight w:val="0"/>
                  <w:marTop w:val="0"/>
                  <w:marBottom w:val="0"/>
                  <w:divBdr>
                    <w:top w:val="none" w:sz="0" w:space="0" w:color="auto"/>
                    <w:left w:val="none" w:sz="0" w:space="0" w:color="auto"/>
                    <w:bottom w:val="none" w:sz="0" w:space="0" w:color="auto"/>
                    <w:right w:val="none" w:sz="0" w:space="0" w:color="auto"/>
                  </w:divBdr>
                  <w:divsChild>
                    <w:div w:id="1919054110">
                      <w:marLeft w:val="0"/>
                      <w:marRight w:val="0"/>
                      <w:marTop w:val="0"/>
                      <w:marBottom w:val="0"/>
                      <w:divBdr>
                        <w:top w:val="none" w:sz="0" w:space="0" w:color="auto"/>
                        <w:left w:val="none" w:sz="0" w:space="0" w:color="auto"/>
                        <w:bottom w:val="none" w:sz="0" w:space="0" w:color="auto"/>
                        <w:right w:val="none" w:sz="0" w:space="0" w:color="auto"/>
                      </w:divBdr>
                    </w:div>
                  </w:divsChild>
                </w:div>
                <w:div w:id="1007831156">
                  <w:marLeft w:val="0"/>
                  <w:marRight w:val="0"/>
                  <w:marTop w:val="0"/>
                  <w:marBottom w:val="0"/>
                  <w:divBdr>
                    <w:top w:val="none" w:sz="0" w:space="0" w:color="auto"/>
                    <w:left w:val="none" w:sz="0" w:space="0" w:color="auto"/>
                    <w:bottom w:val="none" w:sz="0" w:space="0" w:color="auto"/>
                    <w:right w:val="none" w:sz="0" w:space="0" w:color="auto"/>
                  </w:divBdr>
                  <w:divsChild>
                    <w:div w:id="1903519693">
                      <w:marLeft w:val="0"/>
                      <w:marRight w:val="0"/>
                      <w:marTop w:val="0"/>
                      <w:marBottom w:val="0"/>
                      <w:divBdr>
                        <w:top w:val="none" w:sz="0" w:space="0" w:color="auto"/>
                        <w:left w:val="none" w:sz="0" w:space="0" w:color="auto"/>
                        <w:bottom w:val="none" w:sz="0" w:space="0" w:color="auto"/>
                        <w:right w:val="none" w:sz="0" w:space="0" w:color="auto"/>
                      </w:divBdr>
                    </w:div>
                  </w:divsChild>
                </w:div>
                <w:div w:id="1223061494">
                  <w:marLeft w:val="0"/>
                  <w:marRight w:val="0"/>
                  <w:marTop w:val="0"/>
                  <w:marBottom w:val="0"/>
                  <w:divBdr>
                    <w:top w:val="none" w:sz="0" w:space="0" w:color="auto"/>
                    <w:left w:val="none" w:sz="0" w:space="0" w:color="auto"/>
                    <w:bottom w:val="none" w:sz="0" w:space="0" w:color="auto"/>
                    <w:right w:val="none" w:sz="0" w:space="0" w:color="auto"/>
                  </w:divBdr>
                  <w:divsChild>
                    <w:div w:id="455829043">
                      <w:marLeft w:val="0"/>
                      <w:marRight w:val="0"/>
                      <w:marTop w:val="0"/>
                      <w:marBottom w:val="0"/>
                      <w:divBdr>
                        <w:top w:val="none" w:sz="0" w:space="0" w:color="auto"/>
                        <w:left w:val="none" w:sz="0" w:space="0" w:color="auto"/>
                        <w:bottom w:val="none" w:sz="0" w:space="0" w:color="auto"/>
                        <w:right w:val="none" w:sz="0" w:space="0" w:color="auto"/>
                      </w:divBdr>
                    </w:div>
                  </w:divsChild>
                </w:div>
                <w:div w:id="1344091172">
                  <w:marLeft w:val="0"/>
                  <w:marRight w:val="0"/>
                  <w:marTop w:val="0"/>
                  <w:marBottom w:val="0"/>
                  <w:divBdr>
                    <w:top w:val="none" w:sz="0" w:space="0" w:color="auto"/>
                    <w:left w:val="none" w:sz="0" w:space="0" w:color="auto"/>
                    <w:bottom w:val="none" w:sz="0" w:space="0" w:color="auto"/>
                    <w:right w:val="none" w:sz="0" w:space="0" w:color="auto"/>
                  </w:divBdr>
                  <w:divsChild>
                    <w:div w:id="1397044850">
                      <w:marLeft w:val="0"/>
                      <w:marRight w:val="0"/>
                      <w:marTop w:val="0"/>
                      <w:marBottom w:val="0"/>
                      <w:divBdr>
                        <w:top w:val="none" w:sz="0" w:space="0" w:color="auto"/>
                        <w:left w:val="none" w:sz="0" w:space="0" w:color="auto"/>
                        <w:bottom w:val="none" w:sz="0" w:space="0" w:color="auto"/>
                        <w:right w:val="none" w:sz="0" w:space="0" w:color="auto"/>
                      </w:divBdr>
                    </w:div>
                  </w:divsChild>
                </w:div>
                <w:div w:id="1355577504">
                  <w:marLeft w:val="0"/>
                  <w:marRight w:val="0"/>
                  <w:marTop w:val="0"/>
                  <w:marBottom w:val="0"/>
                  <w:divBdr>
                    <w:top w:val="none" w:sz="0" w:space="0" w:color="auto"/>
                    <w:left w:val="none" w:sz="0" w:space="0" w:color="auto"/>
                    <w:bottom w:val="none" w:sz="0" w:space="0" w:color="auto"/>
                    <w:right w:val="none" w:sz="0" w:space="0" w:color="auto"/>
                  </w:divBdr>
                  <w:divsChild>
                    <w:div w:id="1797795645">
                      <w:marLeft w:val="0"/>
                      <w:marRight w:val="0"/>
                      <w:marTop w:val="0"/>
                      <w:marBottom w:val="0"/>
                      <w:divBdr>
                        <w:top w:val="none" w:sz="0" w:space="0" w:color="auto"/>
                        <w:left w:val="none" w:sz="0" w:space="0" w:color="auto"/>
                        <w:bottom w:val="none" w:sz="0" w:space="0" w:color="auto"/>
                        <w:right w:val="none" w:sz="0" w:space="0" w:color="auto"/>
                      </w:divBdr>
                    </w:div>
                  </w:divsChild>
                </w:div>
                <w:div w:id="1389959801">
                  <w:marLeft w:val="0"/>
                  <w:marRight w:val="0"/>
                  <w:marTop w:val="0"/>
                  <w:marBottom w:val="0"/>
                  <w:divBdr>
                    <w:top w:val="none" w:sz="0" w:space="0" w:color="auto"/>
                    <w:left w:val="none" w:sz="0" w:space="0" w:color="auto"/>
                    <w:bottom w:val="none" w:sz="0" w:space="0" w:color="auto"/>
                    <w:right w:val="none" w:sz="0" w:space="0" w:color="auto"/>
                  </w:divBdr>
                  <w:divsChild>
                    <w:div w:id="2022705235">
                      <w:marLeft w:val="0"/>
                      <w:marRight w:val="0"/>
                      <w:marTop w:val="0"/>
                      <w:marBottom w:val="0"/>
                      <w:divBdr>
                        <w:top w:val="none" w:sz="0" w:space="0" w:color="auto"/>
                        <w:left w:val="none" w:sz="0" w:space="0" w:color="auto"/>
                        <w:bottom w:val="none" w:sz="0" w:space="0" w:color="auto"/>
                        <w:right w:val="none" w:sz="0" w:space="0" w:color="auto"/>
                      </w:divBdr>
                    </w:div>
                  </w:divsChild>
                </w:div>
                <w:div w:id="1447653206">
                  <w:marLeft w:val="0"/>
                  <w:marRight w:val="0"/>
                  <w:marTop w:val="0"/>
                  <w:marBottom w:val="0"/>
                  <w:divBdr>
                    <w:top w:val="none" w:sz="0" w:space="0" w:color="auto"/>
                    <w:left w:val="none" w:sz="0" w:space="0" w:color="auto"/>
                    <w:bottom w:val="none" w:sz="0" w:space="0" w:color="auto"/>
                    <w:right w:val="none" w:sz="0" w:space="0" w:color="auto"/>
                  </w:divBdr>
                  <w:divsChild>
                    <w:div w:id="969751775">
                      <w:marLeft w:val="0"/>
                      <w:marRight w:val="0"/>
                      <w:marTop w:val="0"/>
                      <w:marBottom w:val="0"/>
                      <w:divBdr>
                        <w:top w:val="none" w:sz="0" w:space="0" w:color="auto"/>
                        <w:left w:val="none" w:sz="0" w:space="0" w:color="auto"/>
                        <w:bottom w:val="none" w:sz="0" w:space="0" w:color="auto"/>
                        <w:right w:val="none" w:sz="0" w:space="0" w:color="auto"/>
                      </w:divBdr>
                    </w:div>
                  </w:divsChild>
                </w:div>
                <w:div w:id="1454446776">
                  <w:marLeft w:val="0"/>
                  <w:marRight w:val="0"/>
                  <w:marTop w:val="0"/>
                  <w:marBottom w:val="0"/>
                  <w:divBdr>
                    <w:top w:val="none" w:sz="0" w:space="0" w:color="auto"/>
                    <w:left w:val="none" w:sz="0" w:space="0" w:color="auto"/>
                    <w:bottom w:val="none" w:sz="0" w:space="0" w:color="auto"/>
                    <w:right w:val="none" w:sz="0" w:space="0" w:color="auto"/>
                  </w:divBdr>
                  <w:divsChild>
                    <w:div w:id="177744201">
                      <w:marLeft w:val="0"/>
                      <w:marRight w:val="0"/>
                      <w:marTop w:val="0"/>
                      <w:marBottom w:val="0"/>
                      <w:divBdr>
                        <w:top w:val="none" w:sz="0" w:space="0" w:color="auto"/>
                        <w:left w:val="none" w:sz="0" w:space="0" w:color="auto"/>
                        <w:bottom w:val="none" w:sz="0" w:space="0" w:color="auto"/>
                        <w:right w:val="none" w:sz="0" w:space="0" w:color="auto"/>
                      </w:divBdr>
                    </w:div>
                  </w:divsChild>
                </w:div>
                <w:div w:id="1487434883">
                  <w:marLeft w:val="0"/>
                  <w:marRight w:val="0"/>
                  <w:marTop w:val="0"/>
                  <w:marBottom w:val="0"/>
                  <w:divBdr>
                    <w:top w:val="none" w:sz="0" w:space="0" w:color="auto"/>
                    <w:left w:val="none" w:sz="0" w:space="0" w:color="auto"/>
                    <w:bottom w:val="none" w:sz="0" w:space="0" w:color="auto"/>
                    <w:right w:val="none" w:sz="0" w:space="0" w:color="auto"/>
                  </w:divBdr>
                  <w:divsChild>
                    <w:div w:id="1814524605">
                      <w:marLeft w:val="0"/>
                      <w:marRight w:val="0"/>
                      <w:marTop w:val="0"/>
                      <w:marBottom w:val="0"/>
                      <w:divBdr>
                        <w:top w:val="none" w:sz="0" w:space="0" w:color="auto"/>
                        <w:left w:val="none" w:sz="0" w:space="0" w:color="auto"/>
                        <w:bottom w:val="none" w:sz="0" w:space="0" w:color="auto"/>
                        <w:right w:val="none" w:sz="0" w:space="0" w:color="auto"/>
                      </w:divBdr>
                    </w:div>
                  </w:divsChild>
                </w:div>
                <w:div w:id="1501314178">
                  <w:marLeft w:val="0"/>
                  <w:marRight w:val="0"/>
                  <w:marTop w:val="0"/>
                  <w:marBottom w:val="0"/>
                  <w:divBdr>
                    <w:top w:val="none" w:sz="0" w:space="0" w:color="auto"/>
                    <w:left w:val="none" w:sz="0" w:space="0" w:color="auto"/>
                    <w:bottom w:val="none" w:sz="0" w:space="0" w:color="auto"/>
                    <w:right w:val="none" w:sz="0" w:space="0" w:color="auto"/>
                  </w:divBdr>
                  <w:divsChild>
                    <w:div w:id="975988438">
                      <w:marLeft w:val="0"/>
                      <w:marRight w:val="0"/>
                      <w:marTop w:val="0"/>
                      <w:marBottom w:val="0"/>
                      <w:divBdr>
                        <w:top w:val="none" w:sz="0" w:space="0" w:color="auto"/>
                        <w:left w:val="none" w:sz="0" w:space="0" w:color="auto"/>
                        <w:bottom w:val="none" w:sz="0" w:space="0" w:color="auto"/>
                        <w:right w:val="none" w:sz="0" w:space="0" w:color="auto"/>
                      </w:divBdr>
                    </w:div>
                  </w:divsChild>
                </w:div>
                <w:div w:id="1608582250">
                  <w:marLeft w:val="0"/>
                  <w:marRight w:val="0"/>
                  <w:marTop w:val="0"/>
                  <w:marBottom w:val="0"/>
                  <w:divBdr>
                    <w:top w:val="none" w:sz="0" w:space="0" w:color="auto"/>
                    <w:left w:val="none" w:sz="0" w:space="0" w:color="auto"/>
                    <w:bottom w:val="none" w:sz="0" w:space="0" w:color="auto"/>
                    <w:right w:val="none" w:sz="0" w:space="0" w:color="auto"/>
                  </w:divBdr>
                  <w:divsChild>
                    <w:div w:id="673069676">
                      <w:marLeft w:val="0"/>
                      <w:marRight w:val="0"/>
                      <w:marTop w:val="0"/>
                      <w:marBottom w:val="0"/>
                      <w:divBdr>
                        <w:top w:val="none" w:sz="0" w:space="0" w:color="auto"/>
                        <w:left w:val="none" w:sz="0" w:space="0" w:color="auto"/>
                        <w:bottom w:val="none" w:sz="0" w:space="0" w:color="auto"/>
                        <w:right w:val="none" w:sz="0" w:space="0" w:color="auto"/>
                      </w:divBdr>
                    </w:div>
                  </w:divsChild>
                </w:div>
                <w:div w:id="1617519538">
                  <w:marLeft w:val="0"/>
                  <w:marRight w:val="0"/>
                  <w:marTop w:val="0"/>
                  <w:marBottom w:val="0"/>
                  <w:divBdr>
                    <w:top w:val="none" w:sz="0" w:space="0" w:color="auto"/>
                    <w:left w:val="none" w:sz="0" w:space="0" w:color="auto"/>
                    <w:bottom w:val="none" w:sz="0" w:space="0" w:color="auto"/>
                    <w:right w:val="none" w:sz="0" w:space="0" w:color="auto"/>
                  </w:divBdr>
                  <w:divsChild>
                    <w:div w:id="917397199">
                      <w:marLeft w:val="0"/>
                      <w:marRight w:val="0"/>
                      <w:marTop w:val="0"/>
                      <w:marBottom w:val="0"/>
                      <w:divBdr>
                        <w:top w:val="none" w:sz="0" w:space="0" w:color="auto"/>
                        <w:left w:val="none" w:sz="0" w:space="0" w:color="auto"/>
                        <w:bottom w:val="none" w:sz="0" w:space="0" w:color="auto"/>
                        <w:right w:val="none" w:sz="0" w:space="0" w:color="auto"/>
                      </w:divBdr>
                    </w:div>
                  </w:divsChild>
                </w:div>
                <w:div w:id="1658536444">
                  <w:marLeft w:val="0"/>
                  <w:marRight w:val="0"/>
                  <w:marTop w:val="0"/>
                  <w:marBottom w:val="0"/>
                  <w:divBdr>
                    <w:top w:val="none" w:sz="0" w:space="0" w:color="auto"/>
                    <w:left w:val="none" w:sz="0" w:space="0" w:color="auto"/>
                    <w:bottom w:val="none" w:sz="0" w:space="0" w:color="auto"/>
                    <w:right w:val="none" w:sz="0" w:space="0" w:color="auto"/>
                  </w:divBdr>
                  <w:divsChild>
                    <w:div w:id="1552040130">
                      <w:marLeft w:val="0"/>
                      <w:marRight w:val="0"/>
                      <w:marTop w:val="0"/>
                      <w:marBottom w:val="0"/>
                      <w:divBdr>
                        <w:top w:val="none" w:sz="0" w:space="0" w:color="auto"/>
                        <w:left w:val="none" w:sz="0" w:space="0" w:color="auto"/>
                        <w:bottom w:val="none" w:sz="0" w:space="0" w:color="auto"/>
                        <w:right w:val="none" w:sz="0" w:space="0" w:color="auto"/>
                      </w:divBdr>
                    </w:div>
                  </w:divsChild>
                </w:div>
                <w:div w:id="1963877302">
                  <w:marLeft w:val="0"/>
                  <w:marRight w:val="0"/>
                  <w:marTop w:val="0"/>
                  <w:marBottom w:val="0"/>
                  <w:divBdr>
                    <w:top w:val="none" w:sz="0" w:space="0" w:color="auto"/>
                    <w:left w:val="none" w:sz="0" w:space="0" w:color="auto"/>
                    <w:bottom w:val="none" w:sz="0" w:space="0" w:color="auto"/>
                    <w:right w:val="none" w:sz="0" w:space="0" w:color="auto"/>
                  </w:divBdr>
                  <w:divsChild>
                    <w:div w:id="525798761">
                      <w:marLeft w:val="0"/>
                      <w:marRight w:val="0"/>
                      <w:marTop w:val="0"/>
                      <w:marBottom w:val="0"/>
                      <w:divBdr>
                        <w:top w:val="none" w:sz="0" w:space="0" w:color="auto"/>
                        <w:left w:val="none" w:sz="0" w:space="0" w:color="auto"/>
                        <w:bottom w:val="none" w:sz="0" w:space="0" w:color="auto"/>
                        <w:right w:val="none" w:sz="0" w:space="0" w:color="auto"/>
                      </w:divBdr>
                    </w:div>
                  </w:divsChild>
                </w:div>
                <w:div w:id="1994137523">
                  <w:marLeft w:val="0"/>
                  <w:marRight w:val="0"/>
                  <w:marTop w:val="0"/>
                  <w:marBottom w:val="0"/>
                  <w:divBdr>
                    <w:top w:val="none" w:sz="0" w:space="0" w:color="auto"/>
                    <w:left w:val="none" w:sz="0" w:space="0" w:color="auto"/>
                    <w:bottom w:val="none" w:sz="0" w:space="0" w:color="auto"/>
                    <w:right w:val="none" w:sz="0" w:space="0" w:color="auto"/>
                  </w:divBdr>
                  <w:divsChild>
                    <w:div w:id="1468667321">
                      <w:marLeft w:val="0"/>
                      <w:marRight w:val="0"/>
                      <w:marTop w:val="0"/>
                      <w:marBottom w:val="0"/>
                      <w:divBdr>
                        <w:top w:val="none" w:sz="0" w:space="0" w:color="auto"/>
                        <w:left w:val="none" w:sz="0" w:space="0" w:color="auto"/>
                        <w:bottom w:val="none" w:sz="0" w:space="0" w:color="auto"/>
                        <w:right w:val="none" w:sz="0" w:space="0" w:color="auto"/>
                      </w:divBdr>
                    </w:div>
                  </w:divsChild>
                </w:div>
                <w:div w:id="2011983711">
                  <w:marLeft w:val="0"/>
                  <w:marRight w:val="0"/>
                  <w:marTop w:val="0"/>
                  <w:marBottom w:val="0"/>
                  <w:divBdr>
                    <w:top w:val="none" w:sz="0" w:space="0" w:color="auto"/>
                    <w:left w:val="none" w:sz="0" w:space="0" w:color="auto"/>
                    <w:bottom w:val="none" w:sz="0" w:space="0" w:color="auto"/>
                    <w:right w:val="none" w:sz="0" w:space="0" w:color="auto"/>
                  </w:divBdr>
                  <w:divsChild>
                    <w:div w:id="1128813674">
                      <w:marLeft w:val="0"/>
                      <w:marRight w:val="0"/>
                      <w:marTop w:val="0"/>
                      <w:marBottom w:val="0"/>
                      <w:divBdr>
                        <w:top w:val="none" w:sz="0" w:space="0" w:color="auto"/>
                        <w:left w:val="none" w:sz="0" w:space="0" w:color="auto"/>
                        <w:bottom w:val="none" w:sz="0" w:space="0" w:color="auto"/>
                        <w:right w:val="none" w:sz="0" w:space="0" w:color="auto"/>
                      </w:divBdr>
                    </w:div>
                  </w:divsChild>
                </w:div>
                <w:div w:id="2115854861">
                  <w:marLeft w:val="0"/>
                  <w:marRight w:val="0"/>
                  <w:marTop w:val="0"/>
                  <w:marBottom w:val="0"/>
                  <w:divBdr>
                    <w:top w:val="none" w:sz="0" w:space="0" w:color="auto"/>
                    <w:left w:val="none" w:sz="0" w:space="0" w:color="auto"/>
                    <w:bottom w:val="none" w:sz="0" w:space="0" w:color="auto"/>
                    <w:right w:val="none" w:sz="0" w:space="0" w:color="auto"/>
                  </w:divBdr>
                  <w:divsChild>
                    <w:div w:id="689528745">
                      <w:marLeft w:val="0"/>
                      <w:marRight w:val="0"/>
                      <w:marTop w:val="0"/>
                      <w:marBottom w:val="0"/>
                      <w:divBdr>
                        <w:top w:val="none" w:sz="0" w:space="0" w:color="auto"/>
                        <w:left w:val="none" w:sz="0" w:space="0" w:color="auto"/>
                        <w:bottom w:val="none" w:sz="0" w:space="0" w:color="auto"/>
                        <w:right w:val="none" w:sz="0" w:space="0" w:color="auto"/>
                      </w:divBdr>
                    </w:div>
                  </w:divsChild>
                </w:div>
                <w:div w:id="2123379051">
                  <w:marLeft w:val="0"/>
                  <w:marRight w:val="0"/>
                  <w:marTop w:val="0"/>
                  <w:marBottom w:val="0"/>
                  <w:divBdr>
                    <w:top w:val="none" w:sz="0" w:space="0" w:color="auto"/>
                    <w:left w:val="none" w:sz="0" w:space="0" w:color="auto"/>
                    <w:bottom w:val="none" w:sz="0" w:space="0" w:color="auto"/>
                    <w:right w:val="none" w:sz="0" w:space="0" w:color="auto"/>
                  </w:divBdr>
                  <w:divsChild>
                    <w:div w:id="83233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56497">
          <w:marLeft w:val="0"/>
          <w:marRight w:val="0"/>
          <w:marTop w:val="0"/>
          <w:marBottom w:val="0"/>
          <w:divBdr>
            <w:top w:val="none" w:sz="0" w:space="0" w:color="auto"/>
            <w:left w:val="none" w:sz="0" w:space="0" w:color="auto"/>
            <w:bottom w:val="none" w:sz="0" w:space="0" w:color="auto"/>
            <w:right w:val="none" w:sz="0" w:space="0" w:color="auto"/>
          </w:divBdr>
        </w:div>
        <w:div w:id="1878347928">
          <w:marLeft w:val="0"/>
          <w:marRight w:val="0"/>
          <w:marTop w:val="0"/>
          <w:marBottom w:val="0"/>
          <w:divBdr>
            <w:top w:val="none" w:sz="0" w:space="0" w:color="auto"/>
            <w:left w:val="none" w:sz="0" w:space="0" w:color="auto"/>
            <w:bottom w:val="none" w:sz="0" w:space="0" w:color="auto"/>
            <w:right w:val="none" w:sz="0" w:space="0" w:color="auto"/>
          </w:divBdr>
        </w:div>
        <w:div w:id="1889537242">
          <w:marLeft w:val="0"/>
          <w:marRight w:val="0"/>
          <w:marTop w:val="0"/>
          <w:marBottom w:val="0"/>
          <w:divBdr>
            <w:top w:val="none" w:sz="0" w:space="0" w:color="auto"/>
            <w:left w:val="none" w:sz="0" w:space="0" w:color="auto"/>
            <w:bottom w:val="none" w:sz="0" w:space="0" w:color="auto"/>
            <w:right w:val="none" w:sz="0" w:space="0" w:color="auto"/>
          </w:divBdr>
        </w:div>
        <w:div w:id="1892109462">
          <w:marLeft w:val="0"/>
          <w:marRight w:val="0"/>
          <w:marTop w:val="0"/>
          <w:marBottom w:val="0"/>
          <w:divBdr>
            <w:top w:val="none" w:sz="0" w:space="0" w:color="auto"/>
            <w:left w:val="none" w:sz="0" w:space="0" w:color="auto"/>
            <w:bottom w:val="none" w:sz="0" w:space="0" w:color="auto"/>
            <w:right w:val="none" w:sz="0" w:space="0" w:color="auto"/>
          </w:divBdr>
        </w:div>
        <w:div w:id="1904486510">
          <w:marLeft w:val="0"/>
          <w:marRight w:val="0"/>
          <w:marTop w:val="0"/>
          <w:marBottom w:val="0"/>
          <w:divBdr>
            <w:top w:val="none" w:sz="0" w:space="0" w:color="auto"/>
            <w:left w:val="none" w:sz="0" w:space="0" w:color="auto"/>
            <w:bottom w:val="none" w:sz="0" w:space="0" w:color="auto"/>
            <w:right w:val="none" w:sz="0" w:space="0" w:color="auto"/>
          </w:divBdr>
        </w:div>
        <w:div w:id="1929923115">
          <w:marLeft w:val="0"/>
          <w:marRight w:val="0"/>
          <w:marTop w:val="0"/>
          <w:marBottom w:val="0"/>
          <w:divBdr>
            <w:top w:val="none" w:sz="0" w:space="0" w:color="auto"/>
            <w:left w:val="none" w:sz="0" w:space="0" w:color="auto"/>
            <w:bottom w:val="none" w:sz="0" w:space="0" w:color="auto"/>
            <w:right w:val="none" w:sz="0" w:space="0" w:color="auto"/>
          </w:divBdr>
        </w:div>
        <w:div w:id="1959753956">
          <w:marLeft w:val="0"/>
          <w:marRight w:val="0"/>
          <w:marTop w:val="0"/>
          <w:marBottom w:val="0"/>
          <w:divBdr>
            <w:top w:val="none" w:sz="0" w:space="0" w:color="auto"/>
            <w:left w:val="none" w:sz="0" w:space="0" w:color="auto"/>
            <w:bottom w:val="none" w:sz="0" w:space="0" w:color="auto"/>
            <w:right w:val="none" w:sz="0" w:space="0" w:color="auto"/>
          </w:divBdr>
          <w:divsChild>
            <w:div w:id="314142207">
              <w:marLeft w:val="-75"/>
              <w:marRight w:val="0"/>
              <w:marTop w:val="30"/>
              <w:marBottom w:val="30"/>
              <w:divBdr>
                <w:top w:val="none" w:sz="0" w:space="0" w:color="auto"/>
                <w:left w:val="none" w:sz="0" w:space="0" w:color="auto"/>
                <w:bottom w:val="none" w:sz="0" w:space="0" w:color="auto"/>
                <w:right w:val="none" w:sz="0" w:space="0" w:color="auto"/>
              </w:divBdr>
              <w:divsChild>
                <w:div w:id="138378411">
                  <w:marLeft w:val="0"/>
                  <w:marRight w:val="0"/>
                  <w:marTop w:val="0"/>
                  <w:marBottom w:val="0"/>
                  <w:divBdr>
                    <w:top w:val="none" w:sz="0" w:space="0" w:color="auto"/>
                    <w:left w:val="none" w:sz="0" w:space="0" w:color="auto"/>
                    <w:bottom w:val="none" w:sz="0" w:space="0" w:color="auto"/>
                    <w:right w:val="none" w:sz="0" w:space="0" w:color="auto"/>
                  </w:divBdr>
                  <w:divsChild>
                    <w:div w:id="613482820">
                      <w:marLeft w:val="0"/>
                      <w:marRight w:val="0"/>
                      <w:marTop w:val="0"/>
                      <w:marBottom w:val="0"/>
                      <w:divBdr>
                        <w:top w:val="none" w:sz="0" w:space="0" w:color="auto"/>
                        <w:left w:val="none" w:sz="0" w:space="0" w:color="auto"/>
                        <w:bottom w:val="none" w:sz="0" w:space="0" w:color="auto"/>
                        <w:right w:val="none" w:sz="0" w:space="0" w:color="auto"/>
                      </w:divBdr>
                    </w:div>
                  </w:divsChild>
                </w:div>
                <w:div w:id="221722662">
                  <w:marLeft w:val="0"/>
                  <w:marRight w:val="0"/>
                  <w:marTop w:val="0"/>
                  <w:marBottom w:val="0"/>
                  <w:divBdr>
                    <w:top w:val="none" w:sz="0" w:space="0" w:color="auto"/>
                    <w:left w:val="none" w:sz="0" w:space="0" w:color="auto"/>
                    <w:bottom w:val="none" w:sz="0" w:space="0" w:color="auto"/>
                    <w:right w:val="none" w:sz="0" w:space="0" w:color="auto"/>
                  </w:divBdr>
                  <w:divsChild>
                    <w:div w:id="93938205">
                      <w:marLeft w:val="0"/>
                      <w:marRight w:val="0"/>
                      <w:marTop w:val="0"/>
                      <w:marBottom w:val="0"/>
                      <w:divBdr>
                        <w:top w:val="none" w:sz="0" w:space="0" w:color="auto"/>
                        <w:left w:val="none" w:sz="0" w:space="0" w:color="auto"/>
                        <w:bottom w:val="none" w:sz="0" w:space="0" w:color="auto"/>
                        <w:right w:val="none" w:sz="0" w:space="0" w:color="auto"/>
                      </w:divBdr>
                    </w:div>
                  </w:divsChild>
                </w:div>
                <w:div w:id="230506801">
                  <w:marLeft w:val="0"/>
                  <w:marRight w:val="0"/>
                  <w:marTop w:val="0"/>
                  <w:marBottom w:val="0"/>
                  <w:divBdr>
                    <w:top w:val="none" w:sz="0" w:space="0" w:color="auto"/>
                    <w:left w:val="none" w:sz="0" w:space="0" w:color="auto"/>
                    <w:bottom w:val="none" w:sz="0" w:space="0" w:color="auto"/>
                    <w:right w:val="none" w:sz="0" w:space="0" w:color="auto"/>
                  </w:divBdr>
                  <w:divsChild>
                    <w:div w:id="2047371632">
                      <w:marLeft w:val="0"/>
                      <w:marRight w:val="0"/>
                      <w:marTop w:val="0"/>
                      <w:marBottom w:val="0"/>
                      <w:divBdr>
                        <w:top w:val="none" w:sz="0" w:space="0" w:color="auto"/>
                        <w:left w:val="none" w:sz="0" w:space="0" w:color="auto"/>
                        <w:bottom w:val="none" w:sz="0" w:space="0" w:color="auto"/>
                        <w:right w:val="none" w:sz="0" w:space="0" w:color="auto"/>
                      </w:divBdr>
                    </w:div>
                  </w:divsChild>
                </w:div>
                <w:div w:id="237978968">
                  <w:marLeft w:val="0"/>
                  <w:marRight w:val="0"/>
                  <w:marTop w:val="0"/>
                  <w:marBottom w:val="0"/>
                  <w:divBdr>
                    <w:top w:val="none" w:sz="0" w:space="0" w:color="auto"/>
                    <w:left w:val="none" w:sz="0" w:space="0" w:color="auto"/>
                    <w:bottom w:val="none" w:sz="0" w:space="0" w:color="auto"/>
                    <w:right w:val="none" w:sz="0" w:space="0" w:color="auto"/>
                  </w:divBdr>
                  <w:divsChild>
                    <w:div w:id="1714967038">
                      <w:marLeft w:val="0"/>
                      <w:marRight w:val="0"/>
                      <w:marTop w:val="0"/>
                      <w:marBottom w:val="0"/>
                      <w:divBdr>
                        <w:top w:val="none" w:sz="0" w:space="0" w:color="auto"/>
                        <w:left w:val="none" w:sz="0" w:space="0" w:color="auto"/>
                        <w:bottom w:val="none" w:sz="0" w:space="0" w:color="auto"/>
                        <w:right w:val="none" w:sz="0" w:space="0" w:color="auto"/>
                      </w:divBdr>
                    </w:div>
                  </w:divsChild>
                </w:div>
                <w:div w:id="257904935">
                  <w:marLeft w:val="0"/>
                  <w:marRight w:val="0"/>
                  <w:marTop w:val="0"/>
                  <w:marBottom w:val="0"/>
                  <w:divBdr>
                    <w:top w:val="none" w:sz="0" w:space="0" w:color="auto"/>
                    <w:left w:val="none" w:sz="0" w:space="0" w:color="auto"/>
                    <w:bottom w:val="none" w:sz="0" w:space="0" w:color="auto"/>
                    <w:right w:val="none" w:sz="0" w:space="0" w:color="auto"/>
                  </w:divBdr>
                  <w:divsChild>
                    <w:div w:id="309286825">
                      <w:marLeft w:val="0"/>
                      <w:marRight w:val="0"/>
                      <w:marTop w:val="0"/>
                      <w:marBottom w:val="0"/>
                      <w:divBdr>
                        <w:top w:val="none" w:sz="0" w:space="0" w:color="auto"/>
                        <w:left w:val="none" w:sz="0" w:space="0" w:color="auto"/>
                        <w:bottom w:val="none" w:sz="0" w:space="0" w:color="auto"/>
                        <w:right w:val="none" w:sz="0" w:space="0" w:color="auto"/>
                      </w:divBdr>
                    </w:div>
                  </w:divsChild>
                </w:div>
                <w:div w:id="288980404">
                  <w:marLeft w:val="0"/>
                  <w:marRight w:val="0"/>
                  <w:marTop w:val="0"/>
                  <w:marBottom w:val="0"/>
                  <w:divBdr>
                    <w:top w:val="none" w:sz="0" w:space="0" w:color="auto"/>
                    <w:left w:val="none" w:sz="0" w:space="0" w:color="auto"/>
                    <w:bottom w:val="none" w:sz="0" w:space="0" w:color="auto"/>
                    <w:right w:val="none" w:sz="0" w:space="0" w:color="auto"/>
                  </w:divBdr>
                  <w:divsChild>
                    <w:div w:id="2093038420">
                      <w:marLeft w:val="0"/>
                      <w:marRight w:val="0"/>
                      <w:marTop w:val="0"/>
                      <w:marBottom w:val="0"/>
                      <w:divBdr>
                        <w:top w:val="none" w:sz="0" w:space="0" w:color="auto"/>
                        <w:left w:val="none" w:sz="0" w:space="0" w:color="auto"/>
                        <w:bottom w:val="none" w:sz="0" w:space="0" w:color="auto"/>
                        <w:right w:val="none" w:sz="0" w:space="0" w:color="auto"/>
                      </w:divBdr>
                    </w:div>
                  </w:divsChild>
                </w:div>
                <w:div w:id="312494384">
                  <w:marLeft w:val="0"/>
                  <w:marRight w:val="0"/>
                  <w:marTop w:val="0"/>
                  <w:marBottom w:val="0"/>
                  <w:divBdr>
                    <w:top w:val="none" w:sz="0" w:space="0" w:color="auto"/>
                    <w:left w:val="none" w:sz="0" w:space="0" w:color="auto"/>
                    <w:bottom w:val="none" w:sz="0" w:space="0" w:color="auto"/>
                    <w:right w:val="none" w:sz="0" w:space="0" w:color="auto"/>
                  </w:divBdr>
                  <w:divsChild>
                    <w:div w:id="1272006808">
                      <w:marLeft w:val="0"/>
                      <w:marRight w:val="0"/>
                      <w:marTop w:val="0"/>
                      <w:marBottom w:val="0"/>
                      <w:divBdr>
                        <w:top w:val="none" w:sz="0" w:space="0" w:color="auto"/>
                        <w:left w:val="none" w:sz="0" w:space="0" w:color="auto"/>
                        <w:bottom w:val="none" w:sz="0" w:space="0" w:color="auto"/>
                        <w:right w:val="none" w:sz="0" w:space="0" w:color="auto"/>
                      </w:divBdr>
                    </w:div>
                  </w:divsChild>
                </w:div>
                <w:div w:id="350030121">
                  <w:marLeft w:val="0"/>
                  <w:marRight w:val="0"/>
                  <w:marTop w:val="0"/>
                  <w:marBottom w:val="0"/>
                  <w:divBdr>
                    <w:top w:val="none" w:sz="0" w:space="0" w:color="auto"/>
                    <w:left w:val="none" w:sz="0" w:space="0" w:color="auto"/>
                    <w:bottom w:val="none" w:sz="0" w:space="0" w:color="auto"/>
                    <w:right w:val="none" w:sz="0" w:space="0" w:color="auto"/>
                  </w:divBdr>
                  <w:divsChild>
                    <w:div w:id="2133356766">
                      <w:marLeft w:val="0"/>
                      <w:marRight w:val="0"/>
                      <w:marTop w:val="0"/>
                      <w:marBottom w:val="0"/>
                      <w:divBdr>
                        <w:top w:val="none" w:sz="0" w:space="0" w:color="auto"/>
                        <w:left w:val="none" w:sz="0" w:space="0" w:color="auto"/>
                        <w:bottom w:val="none" w:sz="0" w:space="0" w:color="auto"/>
                        <w:right w:val="none" w:sz="0" w:space="0" w:color="auto"/>
                      </w:divBdr>
                    </w:div>
                  </w:divsChild>
                </w:div>
                <w:div w:id="391008775">
                  <w:marLeft w:val="0"/>
                  <w:marRight w:val="0"/>
                  <w:marTop w:val="0"/>
                  <w:marBottom w:val="0"/>
                  <w:divBdr>
                    <w:top w:val="none" w:sz="0" w:space="0" w:color="auto"/>
                    <w:left w:val="none" w:sz="0" w:space="0" w:color="auto"/>
                    <w:bottom w:val="none" w:sz="0" w:space="0" w:color="auto"/>
                    <w:right w:val="none" w:sz="0" w:space="0" w:color="auto"/>
                  </w:divBdr>
                  <w:divsChild>
                    <w:div w:id="2141220652">
                      <w:marLeft w:val="0"/>
                      <w:marRight w:val="0"/>
                      <w:marTop w:val="0"/>
                      <w:marBottom w:val="0"/>
                      <w:divBdr>
                        <w:top w:val="none" w:sz="0" w:space="0" w:color="auto"/>
                        <w:left w:val="none" w:sz="0" w:space="0" w:color="auto"/>
                        <w:bottom w:val="none" w:sz="0" w:space="0" w:color="auto"/>
                        <w:right w:val="none" w:sz="0" w:space="0" w:color="auto"/>
                      </w:divBdr>
                    </w:div>
                  </w:divsChild>
                </w:div>
                <w:div w:id="395007954">
                  <w:marLeft w:val="0"/>
                  <w:marRight w:val="0"/>
                  <w:marTop w:val="0"/>
                  <w:marBottom w:val="0"/>
                  <w:divBdr>
                    <w:top w:val="none" w:sz="0" w:space="0" w:color="auto"/>
                    <w:left w:val="none" w:sz="0" w:space="0" w:color="auto"/>
                    <w:bottom w:val="none" w:sz="0" w:space="0" w:color="auto"/>
                    <w:right w:val="none" w:sz="0" w:space="0" w:color="auto"/>
                  </w:divBdr>
                  <w:divsChild>
                    <w:div w:id="2111582085">
                      <w:marLeft w:val="0"/>
                      <w:marRight w:val="0"/>
                      <w:marTop w:val="0"/>
                      <w:marBottom w:val="0"/>
                      <w:divBdr>
                        <w:top w:val="none" w:sz="0" w:space="0" w:color="auto"/>
                        <w:left w:val="none" w:sz="0" w:space="0" w:color="auto"/>
                        <w:bottom w:val="none" w:sz="0" w:space="0" w:color="auto"/>
                        <w:right w:val="none" w:sz="0" w:space="0" w:color="auto"/>
                      </w:divBdr>
                    </w:div>
                  </w:divsChild>
                </w:div>
                <w:div w:id="419255482">
                  <w:marLeft w:val="0"/>
                  <w:marRight w:val="0"/>
                  <w:marTop w:val="0"/>
                  <w:marBottom w:val="0"/>
                  <w:divBdr>
                    <w:top w:val="none" w:sz="0" w:space="0" w:color="auto"/>
                    <w:left w:val="none" w:sz="0" w:space="0" w:color="auto"/>
                    <w:bottom w:val="none" w:sz="0" w:space="0" w:color="auto"/>
                    <w:right w:val="none" w:sz="0" w:space="0" w:color="auto"/>
                  </w:divBdr>
                  <w:divsChild>
                    <w:div w:id="1760563505">
                      <w:marLeft w:val="0"/>
                      <w:marRight w:val="0"/>
                      <w:marTop w:val="0"/>
                      <w:marBottom w:val="0"/>
                      <w:divBdr>
                        <w:top w:val="none" w:sz="0" w:space="0" w:color="auto"/>
                        <w:left w:val="none" w:sz="0" w:space="0" w:color="auto"/>
                        <w:bottom w:val="none" w:sz="0" w:space="0" w:color="auto"/>
                        <w:right w:val="none" w:sz="0" w:space="0" w:color="auto"/>
                      </w:divBdr>
                    </w:div>
                  </w:divsChild>
                </w:div>
                <w:div w:id="420640135">
                  <w:marLeft w:val="0"/>
                  <w:marRight w:val="0"/>
                  <w:marTop w:val="0"/>
                  <w:marBottom w:val="0"/>
                  <w:divBdr>
                    <w:top w:val="none" w:sz="0" w:space="0" w:color="auto"/>
                    <w:left w:val="none" w:sz="0" w:space="0" w:color="auto"/>
                    <w:bottom w:val="none" w:sz="0" w:space="0" w:color="auto"/>
                    <w:right w:val="none" w:sz="0" w:space="0" w:color="auto"/>
                  </w:divBdr>
                  <w:divsChild>
                    <w:div w:id="979336872">
                      <w:marLeft w:val="0"/>
                      <w:marRight w:val="0"/>
                      <w:marTop w:val="0"/>
                      <w:marBottom w:val="0"/>
                      <w:divBdr>
                        <w:top w:val="none" w:sz="0" w:space="0" w:color="auto"/>
                        <w:left w:val="none" w:sz="0" w:space="0" w:color="auto"/>
                        <w:bottom w:val="none" w:sz="0" w:space="0" w:color="auto"/>
                        <w:right w:val="none" w:sz="0" w:space="0" w:color="auto"/>
                      </w:divBdr>
                    </w:div>
                  </w:divsChild>
                </w:div>
                <w:div w:id="650597957">
                  <w:marLeft w:val="0"/>
                  <w:marRight w:val="0"/>
                  <w:marTop w:val="0"/>
                  <w:marBottom w:val="0"/>
                  <w:divBdr>
                    <w:top w:val="none" w:sz="0" w:space="0" w:color="auto"/>
                    <w:left w:val="none" w:sz="0" w:space="0" w:color="auto"/>
                    <w:bottom w:val="none" w:sz="0" w:space="0" w:color="auto"/>
                    <w:right w:val="none" w:sz="0" w:space="0" w:color="auto"/>
                  </w:divBdr>
                  <w:divsChild>
                    <w:div w:id="1566061342">
                      <w:marLeft w:val="0"/>
                      <w:marRight w:val="0"/>
                      <w:marTop w:val="0"/>
                      <w:marBottom w:val="0"/>
                      <w:divBdr>
                        <w:top w:val="none" w:sz="0" w:space="0" w:color="auto"/>
                        <w:left w:val="none" w:sz="0" w:space="0" w:color="auto"/>
                        <w:bottom w:val="none" w:sz="0" w:space="0" w:color="auto"/>
                        <w:right w:val="none" w:sz="0" w:space="0" w:color="auto"/>
                      </w:divBdr>
                    </w:div>
                  </w:divsChild>
                </w:div>
                <w:div w:id="766776899">
                  <w:marLeft w:val="0"/>
                  <w:marRight w:val="0"/>
                  <w:marTop w:val="0"/>
                  <w:marBottom w:val="0"/>
                  <w:divBdr>
                    <w:top w:val="none" w:sz="0" w:space="0" w:color="auto"/>
                    <w:left w:val="none" w:sz="0" w:space="0" w:color="auto"/>
                    <w:bottom w:val="none" w:sz="0" w:space="0" w:color="auto"/>
                    <w:right w:val="none" w:sz="0" w:space="0" w:color="auto"/>
                  </w:divBdr>
                  <w:divsChild>
                    <w:div w:id="1020201589">
                      <w:marLeft w:val="0"/>
                      <w:marRight w:val="0"/>
                      <w:marTop w:val="0"/>
                      <w:marBottom w:val="0"/>
                      <w:divBdr>
                        <w:top w:val="none" w:sz="0" w:space="0" w:color="auto"/>
                        <w:left w:val="none" w:sz="0" w:space="0" w:color="auto"/>
                        <w:bottom w:val="none" w:sz="0" w:space="0" w:color="auto"/>
                        <w:right w:val="none" w:sz="0" w:space="0" w:color="auto"/>
                      </w:divBdr>
                    </w:div>
                  </w:divsChild>
                </w:div>
                <w:div w:id="821386805">
                  <w:marLeft w:val="0"/>
                  <w:marRight w:val="0"/>
                  <w:marTop w:val="0"/>
                  <w:marBottom w:val="0"/>
                  <w:divBdr>
                    <w:top w:val="none" w:sz="0" w:space="0" w:color="auto"/>
                    <w:left w:val="none" w:sz="0" w:space="0" w:color="auto"/>
                    <w:bottom w:val="none" w:sz="0" w:space="0" w:color="auto"/>
                    <w:right w:val="none" w:sz="0" w:space="0" w:color="auto"/>
                  </w:divBdr>
                  <w:divsChild>
                    <w:div w:id="2039548369">
                      <w:marLeft w:val="0"/>
                      <w:marRight w:val="0"/>
                      <w:marTop w:val="0"/>
                      <w:marBottom w:val="0"/>
                      <w:divBdr>
                        <w:top w:val="none" w:sz="0" w:space="0" w:color="auto"/>
                        <w:left w:val="none" w:sz="0" w:space="0" w:color="auto"/>
                        <w:bottom w:val="none" w:sz="0" w:space="0" w:color="auto"/>
                        <w:right w:val="none" w:sz="0" w:space="0" w:color="auto"/>
                      </w:divBdr>
                    </w:div>
                  </w:divsChild>
                </w:div>
                <w:div w:id="920289116">
                  <w:marLeft w:val="0"/>
                  <w:marRight w:val="0"/>
                  <w:marTop w:val="0"/>
                  <w:marBottom w:val="0"/>
                  <w:divBdr>
                    <w:top w:val="none" w:sz="0" w:space="0" w:color="auto"/>
                    <w:left w:val="none" w:sz="0" w:space="0" w:color="auto"/>
                    <w:bottom w:val="none" w:sz="0" w:space="0" w:color="auto"/>
                    <w:right w:val="none" w:sz="0" w:space="0" w:color="auto"/>
                  </w:divBdr>
                  <w:divsChild>
                    <w:div w:id="1768846792">
                      <w:marLeft w:val="0"/>
                      <w:marRight w:val="0"/>
                      <w:marTop w:val="0"/>
                      <w:marBottom w:val="0"/>
                      <w:divBdr>
                        <w:top w:val="none" w:sz="0" w:space="0" w:color="auto"/>
                        <w:left w:val="none" w:sz="0" w:space="0" w:color="auto"/>
                        <w:bottom w:val="none" w:sz="0" w:space="0" w:color="auto"/>
                        <w:right w:val="none" w:sz="0" w:space="0" w:color="auto"/>
                      </w:divBdr>
                    </w:div>
                  </w:divsChild>
                </w:div>
                <w:div w:id="926575126">
                  <w:marLeft w:val="0"/>
                  <w:marRight w:val="0"/>
                  <w:marTop w:val="0"/>
                  <w:marBottom w:val="0"/>
                  <w:divBdr>
                    <w:top w:val="none" w:sz="0" w:space="0" w:color="auto"/>
                    <w:left w:val="none" w:sz="0" w:space="0" w:color="auto"/>
                    <w:bottom w:val="none" w:sz="0" w:space="0" w:color="auto"/>
                    <w:right w:val="none" w:sz="0" w:space="0" w:color="auto"/>
                  </w:divBdr>
                  <w:divsChild>
                    <w:div w:id="1769079096">
                      <w:marLeft w:val="0"/>
                      <w:marRight w:val="0"/>
                      <w:marTop w:val="0"/>
                      <w:marBottom w:val="0"/>
                      <w:divBdr>
                        <w:top w:val="none" w:sz="0" w:space="0" w:color="auto"/>
                        <w:left w:val="none" w:sz="0" w:space="0" w:color="auto"/>
                        <w:bottom w:val="none" w:sz="0" w:space="0" w:color="auto"/>
                        <w:right w:val="none" w:sz="0" w:space="0" w:color="auto"/>
                      </w:divBdr>
                    </w:div>
                  </w:divsChild>
                </w:div>
                <w:div w:id="969172542">
                  <w:marLeft w:val="0"/>
                  <w:marRight w:val="0"/>
                  <w:marTop w:val="0"/>
                  <w:marBottom w:val="0"/>
                  <w:divBdr>
                    <w:top w:val="none" w:sz="0" w:space="0" w:color="auto"/>
                    <w:left w:val="none" w:sz="0" w:space="0" w:color="auto"/>
                    <w:bottom w:val="none" w:sz="0" w:space="0" w:color="auto"/>
                    <w:right w:val="none" w:sz="0" w:space="0" w:color="auto"/>
                  </w:divBdr>
                  <w:divsChild>
                    <w:div w:id="483545806">
                      <w:marLeft w:val="0"/>
                      <w:marRight w:val="0"/>
                      <w:marTop w:val="0"/>
                      <w:marBottom w:val="0"/>
                      <w:divBdr>
                        <w:top w:val="none" w:sz="0" w:space="0" w:color="auto"/>
                        <w:left w:val="none" w:sz="0" w:space="0" w:color="auto"/>
                        <w:bottom w:val="none" w:sz="0" w:space="0" w:color="auto"/>
                        <w:right w:val="none" w:sz="0" w:space="0" w:color="auto"/>
                      </w:divBdr>
                    </w:div>
                  </w:divsChild>
                </w:div>
                <w:div w:id="1028793733">
                  <w:marLeft w:val="0"/>
                  <w:marRight w:val="0"/>
                  <w:marTop w:val="0"/>
                  <w:marBottom w:val="0"/>
                  <w:divBdr>
                    <w:top w:val="none" w:sz="0" w:space="0" w:color="auto"/>
                    <w:left w:val="none" w:sz="0" w:space="0" w:color="auto"/>
                    <w:bottom w:val="none" w:sz="0" w:space="0" w:color="auto"/>
                    <w:right w:val="none" w:sz="0" w:space="0" w:color="auto"/>
                  </w:divBdr>
                  <w:divsChild>
                    <w:div w:id="1330906711">
                      <w:marLeft w:val="0"/>
                      <w:marRight w:val="0"/>
                      <w:marTop w:val="0"/>
                      <w:marBottom w:val="0"/>
                      <w:divBdr>
                        <w:top w:val="none" w:sz="0" w:space="0" w:color="auto"/>
                        <w:left w:val="none" w:sz="0" w:space="0" w:color="auto"/>
                        <w:bottom w:val="none" w:sz="0" w:space="0" w:color="auto"/>
                        <w:right w:val="none" w:sz="0" w:space="0" w:color="auto"/>
                      </w:divBdr>
                    </w:div>
                  </w:divsChild>
                </w:div>
                <w:div w:id="1053233903">
                  <w:marLeft w:val="0"/>
                  <w:marRight w:val="0"/>
                  <w:marTop w:val="0"/>
                  <w:marBottom w:val="0"/>
                  <w:divBdr>
                    <w:top w:val="none" w:sz="0" w:space="0" w:color="auto"/>
                    <w:left w:val="none" w:sz="0" w:space="0" w:color="auto"/>
                    <w:bottom w:val="none" w:sz="0" w:space="0" w:color="auto"/>
                    <w:right w:val="none" w:sz="0" w:space="0" w:color="auto"/>
                  </w:divBdr>
                  <w:divsChild>
                    <w:div w:id="1821657972">
                      <w:marLeft w:val="0"/>
                      <w:marRight w:val="0"/>
                      <w:marTop w:val="0"/>
                      <w:marBottom w:val="0"/>
                      <w:divBdr>
                        <w:top w:val="none" w:sz="0" w:space="0" w:color="auto"/>
                        <w:left w:val="none" w:sz="0" w:space="0" w:color="auto"/>
                        <w:bottom w:val="none" w:sz="0" w:space="0" w:color="auto"/>
                        <w:right w:val="none" w:sz="0" w:space="0" w:color="auto"/>
                      </w:divBdr>
                    </w:div>
                  </w:divsChild>
                </w:div>
                <w:div w:id="1207253501">
                  <w:marLeft w:val="0"/>
                  <w:marRight w:val="0"/>
                  <w:marTop w:val="0"/>
                  <w:marBottom w:val="0"/>
                  <w:divBdr>
                    <w:top w:val="none" w:sz="0" w:space="0" w:color="auto"/>
                    <w:left w:val="none" w:sz="0" w:space="0" w:color="auto"/>
                    <w:bottom w:val="none" w:sz="0" w:space="0" w:color="auto"/>
                    <w:right w:val="none" w:sz="0" w:space="0" w:color="auto"/>
                  </w:divBdr>
                  <w:divsChild>
                    <w:div w:id="1366953019">
                      <w:marLeft w:val="0"/>
                      <w:marRight w:val="0"/>
                      <w:marTop w:val="0"/>
                      <w:marBottom w:val="0"/>
                      <w:divBdr>
                        <w:top w:val="none" w:sz="0" w:space="0" w:color="auto"/>
                        <w:left w:val="none" w:sz="0" w:space="0" w:color="auto"/>
                        <w:bottom w:val="none" w:sz="0" w:space="0" w:color="auto"/>
                        <w:right w:val="none" w:sz="0" w:space="0" w:color="auto"/>
                      </w:divBdr>
                    </w:div>
                  </w:divsChild>
                </w:div>
                <w:div w:id="1257520853">
                  <w:marLeft w:val="0"/>
                  <w:marRight w:val="0"/>
                  <w:marTop w:val="0"/>
                  <w:marBottom w:val="0"/>
                  <w:divBdr>
                    <w:top w:val="none" w:sz="0" w:space="0" w:color="auto"/>
                    <w:left w:val="none" w:sz="0" w:space="0" w:color="auto"/>
                    <w:bottom w:val="none" w:sz="0" w:space="0" w:color="auto"/>
                    <w:right w:val="none" w:sz="0" w:space="0" w:color="auto"/>
                  </w:divBdr>
                  <w:divsChild>
                    <w:div w:id="1682775171">
                      <w:marLeft w:val="0"/>
                      <w:marRight w:val="0"/>
                      <w:marTop w:val="0"/>
                      <w:marBottom w:val="0"/>
                      <w:divBdr>
                        <w:top w:val="none" w:sz="0" w:space="0" w:color="auto"/>
                        <w:left w:val="none" w:sz="0" w:space="0" w:color="auto"/>
                        <w:bottom w:val="none" w:sz="0" w:space="0" w:color="auto"/>
                        <w:right w:val="none" w:sz="0" w:space="0" w:color="auto"/>
                      </w:divBdr>
                    </w:div>
                  </w:divsChild>
                </w:div>
                <w:div w:id="1264386525">
                  <w:marLeft w:val="0"/>
                  <w:marRight w:val="0"/>
                  <w:marTop w:val="0"/>
                  <w:marBottom w:val="0"/>
                  <w:divBdr>
                    <w:top w:val="none" w:sz="0" w:space="0" w:color="auto"/>
                    <w:left w:val="none" w:sz="0" w:space="0" w:color="auto"/>
                    <w:bottom w:val="none" w:sz="0" w:space="0" w:color="auto"/>
                    <w:right w:val="none" w:sz="0" w:space="0" w:color="auto"/>
                  </w:divBdr>
                  <w:divsChild>
                    <w:div w:id="597442446">
                      <w:marLeft w:val="0"/>
                      <w:marRight w:val="0"/>
                      <w:marTop w:val="0"/>
                      <w:marBottom w:val="0"/>
                      <w:divBdr>
                        <w:top w:val="none" w:sz="0" w:space="0" w:color="auto"/>
                        <w:left w:val="none" w:sz="0" w:space="0" w:color="auto"/>
                        <w:bottom w:val="none" w:sz="0" w:space="0" w:color="auto"/>
                        <w:right w:val="none" w:sz="0" w:space="0" w:color="auto"/>
                      </w:divBdr>
                    </w:div>
                  </w:divsChild>
                </w:div>
                <w:div w:id="1280720507">
                  <w:marLeft w:val="0"/>
                  <w:marRight w:val="0"/>
                  <w:marTop w:val="0"/>
                  <w:marBottom w:val="0"/>
                  <w:divBdr>
                    <w:top w:val="none" w:sz="0" w:space="0" w:color="auto"/>
                    <w:left w:val="none" w:sz="0" w:space="0" w:color="auto"/>
                    <w:bottom w:val="none" w:sz="0" w:space="0" w:color="auto"/>
                    <w:right w:val="none" w:sz="0" w:space="0" w:color="auto"/>
                  </w:divBdr>
                  <w:divsChild>
                    <w:div w:id="1958490724">
                      <w:marLeft w:val="0"/>
                      <w:marRight w:val="0"/>
                      <w:marTop w:val="0"/>
                      <w:marBottom w:val="0"/>
                      <w:divBdr>
                        <w:top w:val="none" w:sz="0" w:space="0" w:color="auto"/>
                        <w:left w:val="none" w:sz="0" w:space="0" w:color="auto"/>
                        <w:bottom w:val="none" w:sz="0" w:space="0" w:color="auto"/>
                        <w:right w:val="none" w:sz="0" w:space="0" w:color="auto"/>
                      </w:divBdr>
                    </w:div>
                  </w:divsChild>
                </w:div>
                <w:div w:id="1321696777">
                  <w:marLeft w:val="0"/>
                  <w:marRight w:val="0"/>
                  <w:marTop w:val="0"/>
                  <w:marBottom w:val="0"/>
                  <w:divBdr>
                    <w:top w:val="none" w:sz="0" w:space="0" w:color="auto"/>
                    <w:left w:val="none" w:sz="0" w:space="0" w:color="auto"/>
                    <w:bottom w:val="none" w:sz="0" w:space="0" w:color="auto"/>
                    <w:right w:val="none" w:sz="0" w:space="0" w:color="auto"/>
                  </w:divBdr>
                  <w:divsChild>
                    <w:div w:id="208230521">
                      <w:marLeft w:val="0"/>
                      <w:marRight w:val="0"/>
                      <w:marTop w:val="0"/>
                      <w:marBottom w:val="0"/>
                      <w:divBdr>
                        <w:top w:val="none" w:sz="0" w:space="0" w:color="auto"/>
                        <w:left w:val="none" w:sz="0" w:space="0" w:color="auto"/>
                        <w:bottom w:val="none" w:sz="0" w:space="0" w:color="auto"/>
                        <w:right w:val="none" w:sz="0" w:space="0" w:color="auto"/>
                      </w:divBdr>
                    </w:div>
                  </w:divsChild>
                </w:div>
                <w:div w:id="1377851302">
                  <w:marLeft w:val="0"/>
                  <w:marRight w:val="0"/>
                  <w:marTop w:val="0"/>
                  <w:marBottom w:val="0"/>
                  <w:divBdr>
                    <w:top w:val="none" w:sz="0" w:space="0" w:color="auto"/>
                    <w:left w:val="none" w:sz="0" w:space="0" w:color="auto"/>
                    <w:bottom w:val="none" w:sz="0" w:space="0" w:color="auto"/>
                    <w:right w:val="none" w:sz="0" w:space="0" w:color="auto"/>
                  </w:divBdr>
                  <w:divsChild>
                    <w:div w:id="39062317">
                      <w:marLeft w:val="0"/>
                      <w:marRight w:val="0"/>
                      <w:marTop w:val="0"/>
                      <w:marBottom w:val="0"/>
                      <w:divBdr>
                        <w:top w:val="none" w:sz="0" w:space="0" w:color="auto"/>
                        <w:left w:val="none" w:sz="0" w:space="0" w:color="auto"/>
                        <w:bottom w:val="none" w:sz="0" w:space="0" w:color="auto"/>
                        <w:right w:val="none" w:sz="0" w:space="0" w:color="auto"/>
                      </w:divBdr>
                    </w:div>
                  </w:divsChild>
                </w:div>
                <w:div w:id="1452095348">
                  <w:marLeft w:val="0"/>
                  <w:marRight w:val="0"/>
                  <w:marTop w:val="0"/>
                  <w:marBottom w:val="0"/>
                  <w:divBdr>
                    <w:top w:val="none" w:sz="0" w:space="0" w:color="auto"/>
                    <w:left w:val="none" w:sz="0" w:space="0" w:color="auto"/>
                    <w:bottom w:val="none" w:sz="0" w:space="0" w:color="auto"/>
                    <w:right w:val="none" w:sz="0" w:space="0" w:color="auto"/>
                  </w:divBdr>
                  <w:divsChild>
                    <w:div w:id="702294618">
                      <w:marLeft w:val="0"/>
                      <w:marRight w:val="0"/>
                      <w:marTop w:val="0"/>
                      <w:marBottom w:val="0"/>
                      <w:divBdr>
                        <w:top w:val="none" w:sz="0" w:space="0" w:color="auto"/>
                        <w:left w:val="none" w:sz="0" w:space="0" w:color="auto"/>
                        <w:bottom w:val="none" w:sz="0" w:space="0" w:color="auto"/>
                        <w:right w:val="none" w:sz="0" w:space="0" w:color="auto"/>
                      </w:divBdr>
                    </w:div>
                  </w:divsChild>
                </w:div>
                <w:div w:id="1514416050">
                  <w:marLeft w:val="0"/>
                  <w:marRight w:val="0"/>
                  <w:marTop w:val="0"/>
                  <w:marBottom w:val="0"/>
                  <w:divBdr>
                    <w:top w:val="none" w:sz="0" w:space="0" w:color="auto"/>
                    <w:left w:val="none" w:sz="0" w:space="0" w:color="auto"/>
                    <w:bottom w:val="none" w:sz="0" w:space="0" w:color="auto"/>
                    <w:right w:val="none" w:sz="0" w:space="0" w:color="auto"/>
                  </w:divBdr>
                  <w:divsChild>
                    <w:div w:id="1056973128">
                      <w:marLeft w:val="0"/>
                      <w:marRight w:val="0"/>
                      <w:marTop w:val="0"/>
                      <w:marBottom w:val="0"/>
                      <w:divBdr>
                        <w:top w:val="none" w:sz="0" w:space="0" w:color="auto"/>
                        <w:left w:val="none" w:sz="0" w:space="0" w:color="auto"/>
                        <w:bottom w:val="none" w:sz="0" w:space="0" w:color="auto"/>
                        <w:right w:val="none" w:sz="0" w:space="0" w:color="auto"/>
                      </w:divBdr>
                    </w:div>
                  </w:divsChild>
                </w:div>
                <w:div w:id="1520007574">
                  <w:marLeft w:val="0"/>
                  <w:marRight w:val="0"/>
                  <w:marTop w:val="0"/>
                  <w:marBottom w:val="0"/>
                  <w:divBdr>
                    <w:top w:val="none" w:sz="0" w:space="0" w:color="auto"/>
                    <w:left w:val="none" w:sz="0" w:space="0" w:color="auto"/>
                    <w:bottom w:val="none" w:sz="0" w:space="0" w:color="auto"/>
                    <w:right w:val="none" w:sz="0" w:space="0" w:color="auto"/>
                  </w:divBdr>
                  <w:divsChild>
                    <w:div w:id="1181822454">
                      <w:marLeft w:val="0"/>
                      <w:marRight w:val="0"/>
                      <w:marTop w:val="0"/>
                      <w:marBottom w:val="0"/>
                      <w:divBdr>
                        <w:top w:val="none" w:sz="0" w:space="0" w:color="auto"/>
                        <w:left w:val="none" w:sz="0" w:space="0" w:color="auto"/>
                        <w:bottom w:val="none" w:sz="0" w:space="0" w:color="auto"/>
                        <w:right w:val="none" w:sz="0" w:space="0" w:color="auto"/>
                      </w:divBdr>
                    </w:div>
                  </w:divsChild>
                </w:div>
                <w:div w:id="1681927786">
                  <w:marLeft w:val="0"/>
                  <w:marRight w:val="0"/>
                  <w:marTop w:val="0"/>
                  <w:marBottom w:val="0"/>
                  <w:divBdr>
                    <w:top w:val="none" w:sz="0" w:space="0" w:color="auto"/>
                    <w:left w:val="none" w:sz="0" w:space="0" w:color="auto"/>
                    <w:bottom w:val="none" w:sz="0" w:space="0" w:color="auto"/>
                    <w:right w:val="none" w:sz="0" w:space="0" w:color="auto"/>
                  </w:divBdr>
                  <w:divsChild>
                    <w:div w:id="748426941">
                      <w:marLeft w:val="0"/>
                      <w:marRight w:val="0"/>
                      <w:marTop w:val="0"/>
                      <w:marBottom w:val="0"/>
                      <w:divBdr>
                        <w:top w:val="none" w:sz="0" w:space="0" w:color="auto"/>
                        <w:left w:val="none" w:sz="0" w:space="0" w:color="auto"/>
                        <w:bottom w:val="none" w:sz="0" w:space="0" w:color="auto"/>
                        <w:right w:val="none" w:sz="0" w:space="0" w:color="auto"/>
                      </w:divBdr>
                    </w:div>
                  </w:divsChild>
                </w:div>
                <w:div w:id="1708800940">
                  <w:marLeft w:val="0"/>
                  <w:marRight w:val="0"/>
                  <w:marTop w:val="0"/>
                  <w:marBottom w:val="0"/>
                  <w:divBdr>
                    <w:top w:val="none" w:sz="0" w:space="0" w:color="auto"/>
                    <w:left w:val="none" w:sz="0" w:space="0" w:color="auto"/>
                    <w:bottom w:val="none" w:sz="0" w:space="0" w:color="auto"/>
                    <w:right w:val="none" w:sz="0" w:space="0" w:color="auto"/>
                  </w:divBdr>
                  <w:divsChild>
                    <w:div w:id="693728337">
                      <w:marLeft w:val="0"/>
                      <w:marRight w:val="0"/>
                      <w:marTop w:val="0"/>
                      <w:marBottom w:val="0"/>
                      <w:divBdr>
                        <w:top w:val="none" w:sz="0" w:space="0" w:color="auto"/>
                        <w:left w:val="none" w:sz="0" w:space="0" w:color="auto"/>
                        <w:bottom w:val="none" w:sz="0" w:space="0" w:color="auto"/>
                        <w:right w:val="none" w:sz="0" w:space="0" w:color="auto"/>
                      </w:divBdr>
                    </w:div>
                  </w:divsChild>
                </w:div>
                <w:div w:id="1716388472">
                  <w:marLeft w:val="0"/>
                  <w:marRight w:val="0"/>
                  <w:marTop w:val="0"/>
                  <w:marBottom w:val="0"/>
                  <w:divBdr>
                    <w:top w:val="none" w:sz="0" w:space="0" w:color="auto"/>
                    <w:left w:val="none" w:sz="0" w:space="0" w:color="auto"/>
                    <w:bottom w:val="none" w:sz="0" w:space="0" w:color="auto"/>
                    <w:right w:val="none" w:sz="0" w:space="0" w:color="auto"/>
                  </w:divBdr>
                  <w:divsChild>
                    <w:div w:id="1789548843">
                      <w:marLeft w:val="0"/>
                      <w:marRight w:val="0"/>
                      <w:marTop w:val="0"/>
                      <w:marBottom w:val="0"/>
                      <w:divBdr>
                        <w:top w:val="none" w:sz="0" w:space="0" w:color="auto"/>
                        <w:left w:val="none" w:sz="0" w:space="0" w:color="auto"/>
                        <w:bottom w:val="none" w:sz="0" w:space="0" w:color="auto"/>
                        <w:right w:val="none" w:sz="0" w:space="0" w:color="auto"/>
                      </w:divBdr>
                    </w:div>
                  </w:divsChild>
                </w:div>
                <w:div w:id="1828671420">
                  <w:marLeft w:val="0"/>
                  <w:marRight w:val="0"/>
                  <w:marTop w:val="0"/>
                  <w:marBottom w:val="0"/>
                  <w:divBdr>
                    <w:top w:val="none" w:sz="0" w:space="0" w:color="auto"/>
                    <w:left w:val="none" w:sz="0" w:space="0" w:color="auto"/>
                    <w:bottom w:val="none" w:sz="0" w:space="0" w:color="auto"/>
                    <w:right w:val="none" w:sz="0" w:space="0" w:color="auto"/>
                  </w:divBdr>
                  <w:divsChild>
                    <w:div w:id="170906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056194">
          <w:marLeft w:val="0"/>
          <w:marRight w:val="0"/>
          <w:marTop w:val="0"/>
          <w:marBottom w:val="0"/>
          <w:divBdr>
            <w:top w:val="none" w:sz="0" w:space="0" w:color="auto"/>
            <w:left w:val="none" w:sz="0" w:space="0" w:color="auto"/>
            <w:bottom w:val="none" w:sz="0" w:space="0" w:color="auto"/>
            <w:right w:val="none" w:sz="0" w:space="0" w:color="auto"/>
          </w:divBdr>
        </w:div>
        <w:div w:id="1993293437">
          <w:marLeft w:val="0"/>
          <w:marRight w:val="0"/>
          <w:marTop w:val="0"/>
          <w:marBottom w:val="0"/>
          <w:divBdr>
            <w:top w:val="none" w:sz="0" w:space="0" w:color="auto"/>
            <w:left w:val="none" w:sz="0" w:space="0" w:color="auto"/>
            <w:bottom w:val="none" w:sz="0" w:space="0" w:color="auto"/>
            <w:right w:val="none" w:sz="0" w:space="0" w:color="auto"/>
          </w:divBdr>
        </w:div>
        <w:div w:id="1994405534">
          <w:marLeft w:val="0"/>
          <w:marRight w:val="0"/>
          <w:marTop w:val="0"/>
          <w:marBottom w:val="0"/>
          <w:divBdr>
            <w:top w:val="none" w:sz="0" w:space="0" w:color="auto"/>
            <w:left w:val="none" w:sz="0" w:space="0" w:color="auto"/>
            <w:bottom w:val="none" w:sz="0" w:space="0" w:color="auto"/>
            <w:right w:val="none" w:sz="0" w:space="0" w:color="auto"/>
          </w:divBdr>
        </w:div>
        <w:div w:id="2053995992">
          <w:marLeft w:val="0"/>
          <w:marRight w:val="0"/>
          <w:marTop w:val="0"/>
          <w:marBottom w:val="0"/>
          <w:divBdr>
            <w:top w:val="none" w:sz="0" w:space="0" w:color="auto"/>
            <w:left w:val="none" w:sz="0" w:space="0" w:color="auto"/>
            <w:bottom w:val="none" w:sz="0" w:space="0" w:color="auto"/>
            <w:right w:val="none" w:sz="0" w:space="0" w:color="auto"/>
          </w:divBdr>
          <w:divsChild>
            <w:div w:id="1305506987">
              <w:marLeft w:val="-75"/>
              <w:marRight w:val="0"/>
              <w:marTop w:val="30"/>
              <w:marBottom w:val="30"/>
              <w:divBdr>
                <w:top w:val="none" w:sz="0" w:space="0" w:color="auto"/>
                <w:left w:val="none" w:sz="0" w:space="0" w:color="auto"/>
                <w:bottom w:val="none" w:sz="0" w:space="0" w:color="auto"/>
                <w:right w:val="none" w:sz="0" w:space="0" w:color="auto"/>
              </w:divBdr>
              <w:divsChild>
                <w:div w:id="42801676">
                  <w:marLeft w:val="0"/>
                  <w:marRight w:val="0"/>
                  <w:marTop w:val="0"/>
                  <w:marBottom w:val="0"/>
                  <w:divBdr>
                    <w:top w:val="none" w:sz="0" w:space="0" w:color="auto"/>
                    <w:left w:val="none" w:sz="0" w:space="0" w:color="auto"/>
                    <w:bottom w:val="none" w:sz="0" w:space="0" w:color="auto"/>
                    <w:right w:val="none" w:sz="0" w:space="0" w:color="auto"/>
                  </w:divBdr>
                  <w:divsChild>
                    <w:div w:id="1746146692">
                      <w:marLeft w:val="0"/>
                      <w:marRight w:val="0"/>
                      <w:marTop w:val="0"/>
                      <w:marBottom w:val="0"/>
                      <w:divBdr>
                        <w:top w:val="none" w:sz="0" w:space="0" w:color="auto"/>
                        <w:left w:val="none" w:sz="0" w:space="0" w:color="auto"/>
                        <w:bottom w:val="none" w:sz="0" w:space="0" w:color="auto"/>
                        <w:right w:val="none" w:sz="0" w:space="0" w:color="auto"/>
                      </w:divBdr>
                    </w:div>
                  </w:divsChild>
                </w:div>
                <w:div w:id="50427900">
                  <w:marLeft w:val="0"/>
                  <w:marRight w:val="0"/>
                  <w:marTop w:val="0"/>
                  <w:marBottom w:val="0"/>
                  <w:divBdr>
                    <w:top w:val="none" w:sz="0" w:space="0" w:color="auto"/>
                    <w:left w:val="none" w:sz="0" w:space="0" w:color="auto"/>
                    <w:bottom w:val="none" w:sz="0" w:space="0" w:color="auto"/>
                    <w:right w:val="none" w:sz="0" w:space="0" w:color="auto"/>
                  </w:divBdr>
                  <w:divsChild>
                    <w:div w:id="591938084">
                      <w:marLeft w:val="0"/>
                      <w:marRight w:val="0"/>
                      <w:marTop w:val="0"/>
                      <w:marBottom w:val="0"/>
                      <w:divBdr>
                        <w:top w:val="none" w:sz="0" w:space="0" w:color="auto"/>
                        <w:left w:val="none" w:sz="0" w:space="0" w:color="auto"/>
                        <w:bottom w:val="none" w:sz="0" w:space="0" w:color="auto"/>
                        <w:right w:val="none" w:sz="0" w:space="0" w:color="auto"/>
                      </w:divBdr>
                    </w:div>
                  </w:divsChild>
                </w:div>
                <w:div w:id="52774634">
                  <w:marLeft w:val="0"/>
                  <w:marRight w:val="0"/>
                  <w:marTop w:val="0"/>
                  <w:marBottom w:val="0"/>
                  <w:divBdr>
                    <w:top w:val="none" w:sz="0" w:space="0" w:color="auto"/>
                    <w:left w:val="none" w:sz="0" w:space="0" w:color="auto"/>
                    <w:bottom w:val="none" w:sz="0" w:space="0" w:color="auto"/>
                    <w:right w:val="none" w:sz="0" w:space="0" w:color="auto"/>
                  </w:divBdr>
                  <w:divsChild>
                    <w:div w:id="1724522628">
                      <w:marLeft w:val="0"/>
                      <w:marRight w:val="0"/>
                      <w:marTop w:val="0"/>
                      <w:marBottom w:val="0"/>
                      <w:divBdr>
                        <w:top w:val="none" w:sz="0" w:space="0" w:color="auto"/>
                        <w:left w:val="none" w:sz="0" w:space="0" w:color="auto"/>
                        <w:bottom w:val="none" w:sz="0" w:space="0" w:color="auto"/>
                        <w:right w:val="none" w:sz="0" w:space="0" w:color="auto"/>
                      </w:divBdr>
                    </w:div>
                  </w:divsChild>
                </w:div>
                <w:div w:id="90325307">
                  <w:marLeft w:val="0"/>
                  <w:marRight w:val="0"/>
                  <w:marTop w:val="0"/>
                  <w:marBottom w:val="0"/>
                  <w:divBdr>
                    <w:top w:val="none" w:sz="0" w:space="0" w:color="auto"/>
                    <w:left w:val="none" w:sz="0" w:space="0" w:color="auto"/>
                    <w:bottom w:val="none" w:sz="0" w:space="0" w:color="auto"/>
                    <w:right w:val="none" w:sz="0" w:space="0" w:color="auto"/>
                  </w:divBdr>
                  <w:divsChild>
                    <w:div w:id="2016224809">
                      <w:marLeft w:val="0"/>
                      <w:marRight w:val="0"/>
                      <w:marTop w:val="0"/>
                      <w:marBottom w:val="0"/>
                      <w:divBdr>
                        <w:top w:val="none" w:sz="0" w:space="0" w:color="auto"/>
                        <w:left w:val="none" w:sz="0" w:space="0" w:color="auto"/>
                        <w:bottom w:val="none" w:sz="0" w:space="0" w:color="auto"/>
                        <w:right w:val="none" w:sz="0" w:space="0" w:color="auto"/>
                      </w:divBdr>
                    </w:div>
                  </w:divsChild>
                </w:div>
                <w:div w:id="175191534">
                  <w:marLeft w:val="0"/>
                  <w:marRight w:val="0"/>
                  <w:marTop w:val="0"/>
                  <w:marBottom w:val="0"/>
                  <w:divBdr>
                    <w:top w:val="none" w:sz="0" w:space="0" w:color="auto"/>
                    <w:left w:val="none" w:sz="0" w:space="0" w:color="auto"/>
                    <w:bottom w:val="none" w:sz="0" w:space="0" w:color="auto"/>
                    <w:right w:val="none" w:sz="0" w:space="0" w:color="auto"/>
                  </w:divBdr>
                  <w:divsChild>
                    <w:div w:id="1410424158">
                      <w:marLeft w:val="0"/>
                      <w:marRight w:val="0"/>
                      <w:marTop w:val="0"/>
                      <w:marBottom w:val="0"/>
                      <w:divBdr>
                        <w:top w:val="none" w:sz="0" w:space="0" w:color="auto"/>
                        <w:left w:val="none" w:sz="0" w:space="0" w:color="auto"/>
                        <w:bottom w:val="none" w:sz="0" w:space="0" w:color="auto"/>
                        <w:right w:val="none" w:sz="0" w:space="0" w:color="auto"/>
                      </w:divBdr>
                    </w:div>
                  </w:divsChild>
                </w:div>
                <w:div w:id="248272596">
                  <w:marLeft w:val="0"/>
                  <w:marRight w:val="0"/>
                  <w:marTop w:val="0"/>
                  <w:marBottom w:val="0"/>
                  <w:divBdr>
                    <w:top w:val="none" w:sz="0" w:space="0" w:color="auto"/>
                    <w:left w:val="none" w:sz="0" w:space="0" w:color="auto"/>
                    <w:bottom w:val="none" w:sz="0" w:space="0" w:color="auto"/>
                    <w:right w:val="none" w:sz="0" w:space="0" w:color="auto"/>
                  </w:divBdr>
                  <w:divsChild>
                    <w:div w:id="1545485300">
                      <w:marLeft w:val="0"/>
                      <w:marRight w:val="0"/>
                      <w:marTop w:val="0"/>
                      <w:marBottom w:val="0"/>
                      <w:divBdr>
                        <w:top w:val="none" w:sz="0" w:space="0" w:color="auto"/>
                        <w:left w:val="none" w:sz="0" w:space="0" w:color="auto"/>
                        <w:bottom w:val="none" w:sz="0" w:space="0" w:color="auto"/>
                        <w:right w:val="none" w:sz="0" w:space="0" w:color="auto"/>
                      </w:divBdr>
                    </w:div>
                  </w:divsChild>
                </w:div>
                <w:div w:id="252326613">
                  <w:marLeft w:val="0"/>
                  <w:marRight w:val="0"/>
                  <w:marTop w:val="0"/>
                  <w:marBottom w:val="0"/>
                  <w:divBdr>
                    <w:top w:val="none" w:sz="0" w:space="0" w:color="auto"/>
                    <w:left w:val="none" w:sz="0" w:space="0" w:color="auto"/>
                    <w:bottom w:val="none" w:sz="0" w:space="0" w:color="auto"/>
                    <w:right w:val="none" w:sz="0" w:space="0" w:color="auto"/>
                  </w:divBdr>
                  <w:divsChild>
                    <w:div w:id="985276495">
                      <w:marLeft w:val="0"/>
                      <w:marRight w:val="0"/>
                      <w:marTop w:val="0"/>
                      <w:marBottom w:val="0"/>
                      <w:divBdr>
                        <w:top w:val="none" w:sz="0" w:space="0" w:color="auto"/>
                        <w:left w:val="none" w:sz="0" w:space="0" w:color="auto"/>
                        <w:bottom w:val="none" w:sz="0" w:space="0" w:color="auto"/>
                        <w:right w:val="none" w:sz="0" w:space="0" w:color="auto"/>
                      </w:divBdr>
                    </w:div>
                  </w:divsChild>
                </w:div>
                <w:div w:id="263147385">
                  <w:marLeft w:val="0"/>
                  <w:marRight w:val="0"/>
                  <w:marTop w:val="0"/>
                  <w:marBottom w:val="0"/>
                  <w:divBdr>
                    <w:top w:val="none" w:sz="0" w:space="0" w:color="auto"/>
                    <w:left w:val="none" w:sz="0" w:space="0" w:color="auto"/>
                    <w:bottom w:val="none" w:sz="0" w:space="0" w:color="auto"/>
                    <w:right w:val="none" w:sz="0" w:space="0" w:color="auto"/>
                  </w:divBdr>
                  <w:divsChild>
                    <w:div w:id="858422551">
                      <w:marLeft w:val="0"/>
                      <w:marRight w:val="0"/>
                      <w:marTop w:val="0"/>
                      <w:marBottom w:val="0"/>
                      <w:divBdr>
                        <w:top w:val="none" w:sz="0" w:space="0" w:color="auto"/>
                        <w:left w:val="none" w:sz="0" w:space="0" w:color="auto"/>
                        <w:bottom w:val="none" w:sz="0" w:space="0" w:color="auto"/>
                        <w:right w:val="none" w:sz="0" w:space="0" w:color="auto"/>
                      </w:divBdr>
                    </w:div>
                  </w:divsChild>
                </w:div>
                <w:div w:id="331953067">
                  <w:marLeft w:val="0"/>
                  <w:marRight w:val="0"/>
                  <w:marTop w:val="0"/>
                  <w:marBottom w:val="0"/>
                  <w:divBdr>
                    <w:top w:val="none" w:sz="0" w:space="0" w:color="auto"/>
                    <w:left w:val="none" w:sz="0" w:space="0" w:color="auto"/>
                    <w:bottom w:val="none" w:sz="0" w:space="0" w:color="auto"/>
                    <w:right w:val="none" w:sz="0" w:space="0" w:color="auto"/>
                  </w:divBdr>
                  <w:divsChild>
                    <w:div w:id="1698385062">
                      <w:marLeft w:val="0"/>
                      <w:marRight w:val="0"/>
                      <w:marTop w:val="0"/>
                      <w:marBottom w:val="0"/>
                      <w:divBdr>
                        <w:top w:val="none" w:sz="0" w:space="0" w:color="auto"/>
                        <w:left w:val="none" w:sz="0" w:space="0" w:color="auto"/>
                        <w:bottom w:val="none" w:sz="0" w:space="0" w:color="auto"/>
                        <w:right w:val="none" w:sz="0" w:space="0" w:color="auto"/>
                      </w:divBdr>
                    </w:div>
                  </w:divsChild>
                </w:div>
                <w:div w:id="404645403">
                  <w:marLeft w:val="0"/>
                  <w:marRight w:val="0"/>
                  <w:marTop w:val="0"/>
                  <w:marBottom w:val="0"/>
                  <w:divBdr>
                    <w:top w:val="none" w:sz="0" w:space="0" w:color="auto"/>
                    <w:left w:val="none" w:sz="0" w:space="0" w:color="auto"/>
                    <w:bottom w:val="none" w:sz="0" w:space="0" w:color="auto"/>
                    <w:right w:val="none" w:sz="0" w:space="0" w:color="auto"/>
                  </w:divBdr>
                  <w:divsChild>
                    <w:div w:id="1110707191">
                      <w:marLeft w:val="0"/>
                      <w:marRight w:val="0"/>
                      <w:marTop w:val="0"/>
                      <w:marBottom w:val="0"/>
                      <w:divBdr>
                        <w:top w:val="none" w:sz="0" w:space="0" w:color="auto"/>
                        <w:left w:val="none" w:sz="0" w:space="0" w:color="auto"/>
                        <w:bottom w:val="none" w:sz="0" w:space="0" w:color="auto"/>
                        <w:right w:val="none" w:sz="0" w:space="0" w:color="auto"/>
                      </w:divBdr>
                    </w:div>
                  </w:divsChild>
                </w:div>
                <w:div w:id="413473255">
                  <w:marLeft w:val="0"/>
                  <w:marRight w:val="0"/>
                  <w:marTop w:val="0"/>
                  <w:marBottom w:val="0"/>
                  <w:divBdr>
                    <w:top w:val="none" w:sz="0" w:space="0" w:color="auto"/>
                    <w:left w:val="none" w:sz="0" w:space="0" w:color="auto"/>
                    <w:bottom w:val="none" w:sz="0" w:space="0" w:color="auto"/>
                    <w:right w:val="none" w:sz="0" w:space="0" w:color="auto"/>
                  </w:divBdr>
                  <w:divsChild>
                    <w:div w:id="626353486">
                      <w:marLeft w:val="0"/>
                      <w:marRight w:val="0"/>
                      <w:marTop w:val="0"/>
                      <w:marBottom w:val="0"/>
                      <w:divBdr>
                        <w:top w:val="none" w:sz="0" w:space="0" w:color="auto"/>
                        <w:left w:val="none" w:sz="0" w:space="0" w:color="auto"/>
                        <w:bottom w:val="none" w:sz="0" w:space="0" w:color="auto"/>
                        <w:right w:val="none" w:sz="0" w:space="0" w:color="auto"/>
                      </w:divBdr>
                    </w:div>
                  </w:divsChild>
                </w:div>
                <w:div w:id="419252957">
                  <w:marLeft w:val="0"/>
                  <w:marRight w:val="0"/>
                  <w:marTop w:val="0"/>
                  <w:marBottom w:val="0"/>
                  <w:divBdr>
                    <w:top w:val="none" w:sz="0" w:space="0" w:color="auto"/>
                    <w:left w:val="none" w:sz="0" w:space="0" w:color="auto"/>
                    <w:bottom w:val="none" w:sz="0" w:space="0" w:color="auto"/>
                    <w:right w:val="none" w:sz="0" w:space="0" w:color="auto"/>
                  </w:divBdr>
                  <w:divsChild>
                    <w:div w:id="1245871911">
                      <w:marLeft w:val="0"/>
                      <w:marRight w:val="0"/>
                      <w:marTop w:val="0"/>
                      <w:marBottom w:val="0"/>
                      <w:divBdr>
                        <w:top w:val="none" w:sz="0" w:space="0" w:color="auto"/>
                        <w:left w:val="none" w:sz="0" w:space="0" w:color="auto"/>
                        <w:bottom w:val="none" w:sz="0" w:space="0" w:color="auto"/>
                        <w:right w:val="none" w:sz="0" w:space="0" w:color="auto"/>
                      </w:divBdr>
                    </w:div>
                  </w:divsChild>
                </w:div>
                <w:div w:id="649091137">
                  <w:marLeft w:val="0"/>
                  <w:marRight w:val="0"/>
                  <w:marTop w:val="0"/>
                  <w:marBottom w:val="0"/>
                  <w:divBdr>
                    <w:top w:val="none" w:sz="0" w:space="0" w:color="auto"/>
                    <w:left w:val="none" w:sz="0" w:space="0" w:color="auto"/>
                    <w:bottom w:val="none" w:sz="0" w:space="0" w:color="auto"/>
                    <w:right w:val="none" w:sz="0" w:space="0" w:color="auto"/>
                  </w:divBdr>
                  <w:divsChild>
                    <w:div w:id="1541700187">
                      <w:marLeft w:val="0"/>
                      <w:marRight w:val="0"/>
                      <w:marTop w:val="0"/>
                      <w:marBottom w:val="0"/>
                      <w:divBdr>
                        <w:top w:val="none" w:sz="0" w:space="0" w:color="auto"/>
                        <w:left w:val="none" w:sz="0" w:space="0" w:color="auto"/>
                        <w:bottom w:val="none" w:sz="0" w:space="0" w:color="auto"/>
                        <w:right w:val="none" w:sz="0" w:space="0" w:color="auto"/>
                      </w:divBdr>
                    </w:div>
                  </w:divsChild>
                </w:div>
                <w:div w:id="665399512">
                  <w:marLeft w:val="0"/>
                  <w:marRight w:val="0"/>
                  <w:marTop w:val="0"/>
                  <w:marBottom w:val="0"/>
                  <w:divBdr>
                    <w:top w:val="none" w:sz="0" w:space="0" w:color="auto"/>
                    <w:left w:val="none" w:sz="0" w:space="0" w:color="auto"/>
                    <w:bottom w:val="none" w:sz="0" w:space="0" w:color="auto"/>
                    <w:right w:val="none" w:sz="0" w:space="0" w:color="auto"/>
                  </w:divBdr>
                  <w:divsChild>
                    <w:div w:id="1530869518">
                      <w:marLeft w:val="0"/>
                      <w:marRight w:val="0"/>
                      <w:marTop w:val="0"/>
                      <w:marBottom w:val="0"/>
                      <w:divBdr>
                        <w:top w:val="none" w:sz="0" w:space="0" w:color="auto"/>
                        <w:left w:val="none" w:sz="0" w:space="0" w:color="auto"/>
                        <w:bottom w:val="none" w:sz="0" w:space="0" w:color="auto"/>
                        <w:right w:val="none" w:sz="0" w:space="0" w:color="auto"/>
                      </w:divBdr>
                    </w:div>
                  </w:divsChild>
                </w:div>
                <w:div w:id="677318682">
                  <w:marLeft w:val="0"/>
                  <w:marRight w:val="0"/>
                  <w:marTop w:val="0"/>
                  <w:marBottom w:val="0"/>
                  <w:divBdr>
                    <w:top w:val="none" w:sz="0" w:space="0" w:color="auto"/>
                    <w:left w:val="none" w:sz="0" w:space="0" w:color="auto"/>
                    <w:bottom w:val="none" w:sz="0" w:space="0" w:color="auto"/>
                    <w:right w:val="none" w:sz="0" w:space="0" w:color="auto"/>
                  </w:divBdr>
                  <w:divsChild>
                    <w:div w:id="221604102">
                      <w:marLeft w:val="0"/>
                      <w:marRight w:val="0"/>
                      <w:marTop w:val="0"/>
                      <w:marBottom w:val="0"/>
                      <w:divBdr>
                        <w:top w:val="none" w:sz="0" w:space="0" w:color="auto"/>
                        <w:left w:val="none" w:sz="0" w:space="0" w:color="auto"/>
                        <w:bottom w:val="none" w:sz="0" w:space="0" w:color="auto"/>
                        <w:right w:val="none" w:sz="0" w:space="0" w:color="auto"/>
                      </w:divBdr>
                    </w:div>
                  </w:divsChild>
                </w:div>
                <w:div w:id="758326823">
                  <w:marLeft w:val="0"/>
                  <w:marRight w:val="0"/>
                  <w:marTop w:val="0"/>
                  <w:marBottom w:val="0"/>
                  <w:divBdr>
                    <w:top w:val="none" w:sz="0" w:space="0" w:color="auto"/>
                    <w:left w:val="none" w:sz="0" w:space="0" w:color="auto"/>
                    <w:bottom w:val="none" w:sz="0" w:space="0" w:color="auto"/>
                    <w:right w:val="none" w:sz="0" w:space="0" w:color="auto"/>
                  </w:divBdr>
                  <w:divsChild>
                    <w:div w:id="212543192">
                      <w:marLeft w:val="0"/>
                      <w:marRight w:val="0"/>
                      <w:marTop w:val="0"/>
                      <w:marBottom w:val="0"/>
                      <w:divBdr>
                        <w:top w:val="none" w:sz="0" w:space="0" w:color="auto"/>
                        <w:left w:val="none" w:sz="0" w:space="0" w:color="auto"/>
                        <w:bottom w:val="none" w:sz="0" w:space="0" w:color="auto"/>
                        <w:right w:val="none" w:sz="0" w:space="0" w:color="auto"/>
                      </w:divBdr>
                    </w:div>
                  </w:divsChild>
                </w:div>
                <w:div w:id="917834002">
                  <w:marLeft w:val="0"/>
                  <w:marRight w:val="0"/>
                  <w:marTop w:val="0"/>
                  <w:marBottom w:val="0"/>
                  <w:divBdr>
                    <w:top w:val="none" w:sz="0" w:space="0" w:color="auto"/>
                    <w:left w:val="none" w:sz="0" w:space="0" w:color="auto"/>
                    <w:bottom w:val="none" w:sz="0" w:space="0" w:color="auto"/>
                    <w:right w:val="none" w:sz="0" w:space="0" w:color="auto"/>
                  </w:divBdr>
                  <w:divsChild>
                    <w:div w:id="1474131818">
                      <w:marLeft w:val="0"/>
                      <w:marRight w:val="0"/>
                      <w:marTop w:val="0"/>
                      <w:marBottom w:val="0"/>
                      <w:divBdr>
                        <w:top w:val="none" w:sz="0" w:space="0" w:color="auto"/>
                        <w:left w:val="none" w:sz="0" w:space="0" w:color="auto"/>
                        <w:bottom w:val="none" w:sz="0" w:space="0" w:color="auto"/>
                        <w:right w:val="none" w:sz="0" w:space="0" w:color="auto"/>
                      </w:divBdr>
                    </w:div>
                  </w:divsChild>
                </w:div>
                <w:div w:id="943419409">
                  <w:marLeft w:val="0"/>
                  <w:marRight w:val="0"/>
                  <w:marTop w:val="0"/>
                  <w:marBottom w:val="0"/>
                  <w:divBdr>
                    <w:top w:val="none" w:sz="0" w:space="0" w:color="auto"/>
                    <w:left w:val="none" w:sz="0" w:space="0" w:color="auto"/>
                    <w:bottom w:val="none" w:sz="0" w:space="0" w:color="auto"/>
                    <w:right w:val="none" w:sz="0" w:space="0" w:color="auto"/>
                  </w:divBdr>
                  <w:divsChild>
                    <w:div w:id="1937246313">
                      <w:marLeft w:val="0"/>
                      <w:marRight w:val="0"/>
                      <w:marTop w:val="0"/>
                      <w:marBottom w:val="0"/>
                      <w:divBdr>
                        <w:top w:val="none" w:sz="0" w:space="0" w:color="auto"/>
                        <w:left w:val="none" w:sz="0" w:space="0" w:color="auto"/>
                        <w:bottom w:val="none" w:sz="0" w:space="0" w:color="auto"/>
                        <w:right w:val="none" w:sz="0" w:space="0" w:color="auto"/>
                      </w:divBdr>
                    </w:div>
                  </w:divsChild>
                </w:div>
                <w:div w:id="1136069648">
                  <w:marLeft w:val="0"/>
                  <w:marRight w:val="0"/>
                  <w:marTop w:val="0"/>
                  <w:marBottom w:val="0"/>
                  <w:divBdr>
                    <w:top w:val="none" w:sz="0" w:space="0" w:color="auto"/>
                    <w:left w:val="none" w:sz="0" w:space="0" w:color="auto"/>
                    <w:bottom w:val="none" w:sz="0" w:space="0" w:color="auto"/>
                    <w:right w:val="none" w:sz="0" w:space="0" w:color="auto"/>
                  </w:divBdr>
                  <w:divsChild>
                    <w:div w:id="1956019164">
                      <w:marLeft w:val="0"/>
                      <w:marRight w:val="0"/>
                      <w:marTop w:val="0"/>
                      <w:marBottom w:val="0"/>
                      <w:divBdr>
                        <w:top w:val="none" w:sz="0" w:space="0" w:color="auto"/>
                        <w:left w:val="none" w:sz="0" w:space="0" w:color="auto"/>
                        <w:bottom w:val="none" w:sz="0" w:space="0" w:color="auto"/>
                        <w:right w:val="none" w:sz="0" w:space="0" w:color="auto"/>
                      </w:divBdr>
                    </w:div>
                  </w:divsChild>
                </w:div>
                <w:div w:id="1180697025">
                  <w:marLeft w:val="0"/>
                  <w:marRight w:val="0"/>
                  <w:marTop w:val="0"/>
                  <w:marBottom w:val="0"/>
                  <w:divBdr>
                    <w:top w:val="none" w:sz="0" w:space="0" w:color="auto"/>
                    <w:left w:val="none" w:sz="0" w:space="0" w:color="auto"/>
                    <w:bottom w:val="none" w:sz="0" w:space="0" w:color="auto"/>
                    <w:right w:val="none" w:sz="0" w:space="0" w:color="auto"/>
                  </w:divBdr>
                  <w:divsChild>
                    <w:div w:id="310520059">
                      <w:marLeft w:val="0"/>
                      <w:marRight w:val="0"/>
                      <w:marTop w:val="0"/>
                      <w:marBottom w:val="0"/>
                      <w:divBdr>
                        <w:top w:val="none" w:sz="0" w:space="0" w:color="auto"/>
                        <w:left w:val="none" w:sz="0" w:space="0" w:color="auto"/>
                        <w:bottom w:val="none" w:sz="0" w:space="0" w:color="auto"/>
                        <w:right w:val="none" w:sz="0" w:space="0" w:color="auto"/>
                      </w:divBdr>
                    </w:div>
                  </w:divsChild>
                </w:div>
                <w:div w:id="1290404329">
                  <w:marLeft w:val="0"/>
                  <w:marRight w:val="0"/>
                  <w:marTop w:val="0"/>
                  <w:marBottom w:val="0"/>
                  <w:divBdr>
                    <w:top w:val="none" w:sz="0" w:space="0" w:color="auto"/>
                    <w:left w:val="none" w:sz="0" w:space="0" w:color="auto"/>
                    <w:bottom w:val="none" w:sz="0" w:space="0" w:color="auto"/>
                    <w:right w:val="none" w:sz="0" w:space="0" w:color="auto"/>
                  </w:divBdr>
                  <w:divsChild>
                    <w:div w:id="982849533">
                      <w:marLeft w:val="0"/>
                      <w:marRight w:val="0"/>
                      <w:marTop w:val="0"/>
                      <w:marBottom w:val="0"/>
                      <w:divBdr>
                        <w:top w:val="none" w:sz="0" w:space="0" w:color="auto"/>
                        <w:left w:val="none" w:sz="0" w:space="0" w:color="auto"/>
                        <w:bottom w:val="none" w:sz="0" w:space="0" w:color="auto"/>
                        <w:right w:val="none" w:sz="0" w:space="0" w:color="auto"/>
                      </w:divBdr>
                    </w:div>
                  </w:divsChild>
                </w:div>
                <w:div w:id="1319992314">
                  <w:marLeft w:val="0"/>
                  <w:marRight w:val="0"/>
                  <w:marTop w:val="0"/>
                  <w:marBottom w:val="0"/>
                  <w:divBdr>
                    <w:top w:val="none" w:sz="0" w:space="0" w:color="auto"/>
                    <w:left w:val="none" w:sz="0" w:space="0" w:color="auto"/>
                    <w:bottom w:val="none" w:sz="0" w:space="0" w:color="auto"/>
                    <w:right w:val="none" w:sz="0" w:space="0" w:color="auto"/>
                  </w:divBdr>
                  <w:divsChild>
                    <w:div w:id="1522629119">
                      <w:marLeft w:val="0"/>
                      <w:marRight w:val="0"/>
                      <w:marTop w:val="0"/>
                      <w:marBottom w:val="0"/>
                      <w:divBdr>
                        <w:top w:val="none" w:sz="0" w:space="0" w:color="auto"/>
                        <w:left w:val="none" w:sz="0" w:space="0" w:color="auto"/>
                        <w:bottom w:val="none" w:sz="0" w:space="0" w:color="auto"/>
                        <w:right w:val="none" w:sz="0" w:space="0" w:color="auto"/>
                      </w:divBdr>
                    </w:div>
                  </w:divsChild>
                </w:div>
                <w:div w:id="1336223011">
                  <w:marLeft w:val="0"/>
                  <w:marRight w:val="0"/>
                  <w:marTop w:val="0"/>
                  <w:marBottom w:val="0"/>
                  <w:divBdr>
                    <w:top w:val="none" w:sz="0" w:space="0" w:color="auto"/>
                    <w:left w:val="none" w:sz="0" w:space="0" w:color="auto"/>
                    <w:bottom w:val="none" w:sz="0" w:space="0" w:color="auto"/>
                    <w:right w:val="none" w:sz="0" w:space="0" w:color="auto"/>
                  </w:divBdr>
                  <w:divsChild>
                    <w:div w:id="69546009">
                      <w:marLeft w:val="0"/>
                      <w:marRight w:val="0"/>
                      <w:marTop w:val="0"/>
                      <w:marBottom w:val="0"/>
                      <w:divBdr>
                        <w:top w:val="none" w:sz="0" w:space="0" w:color="auto"/>
                        <w:left w:val="none" w:sz="0" w:space="0" w:color="auto"/>
                        <w:bottom w:val="none" w:sz="0" w:space="0" w:color="auto"/>
                        <w:right w:val="none" w:sz="0" w:space="0" w:color="auto"/>
                      </w:divBdr>
                    </w:div>
                  </w:divsChild>
                </w:div>
                <w:div w:id="1402755271">
                  <w:marLeft w:val="0"/>
                  <w:marRight w:val="0"/>
                  <w:marTop w:val="0"/>
                  <w:marBottom w:val="0"/>
                  <w:divBdr>
                    <w:top w:val="none" w:sz="0" w:space="0" w:color="auto"/>
                    <w:left w:val="none" w:sz="0" w:space="0" w:color="auto"/>
                    <w:bottom w:val="none" w:sz="0" w:space="0" w:color="auto"/>
                    <w:right w:val="none" w:sz="0" w:space="0" w:color="auto"/>
                  </w:divBdr>
                  <w:divsChild>
                    <w:div w:id="1513842077">
                      <w:marLeft w:val="0"/>
                      <w:marRight w:val="0"/>
                      <w:marTop w:val="0"/>
                      <w:marBottom w:val="0"/>
                      <w:divBdr>
                        <w:top w:val="none" w:sz="0" w:space="0" w:color="auto"/>
                        <w:left w:val="none" w:sz="0" w:space="0" w:color="auto"/>
                        <w:bottom w:val="none" w:sz="0" w:space="0" w:color="auto"/>
                        <w:right w:val="none" w:sz="0" w:space="0" w:color="auto"/>
                      </w:divBdr>
                    </w:div>
                  </w:divsChild>
                </w:div>
                <w:div w:id="1417243274">
                  <w:marLeft w:val="0"/>
                  <w:marRight w:val="0"/>
                  <w:marTop w:val="0"/>
                  <w:marBottom w:val="0"/>
                  <w:divBdr>
                    <w:top w:val="none" w:sz="0" w:space="0" w:color="auto"/>
                    <w:left w:val="none" w:sz="0" w:space="0" w:color="auto"/>
                    <w:bottom w:val="none" w:sz="0" w:space="0" w:color="auto"/>
                    <w:right w:val="none" w:sz="0" w:space="0" w:color="auto"/>
                  </w:divBdr>
                  <w:divsChild>
                    <w:div w:id="133573077">
                      <w:marLeft w:val="0"/>
                      <w:marRight w:val="0"/>
                      <w:marTop w:val="0"/>
                      <w:marBottom w:val="0"/>
                      <w:divBdr>
                        <w:top w:val="none" w:sz="0" w:space="0" w:color="auto"/>
                        <w:left w:val="none" w:sz="0" w:space="0" w:color="auto"/>
                        <w:bottom w:val="none" w:sz="0" w:space="0" w:color="auto"/>
                        <w:right w:val="none" w:sz="0" w:space="0" w:color="auto"/>
                      </w:divBdr>
                    </w:div>
                  </w:divsChild>
                </w:div>
                <w:div w:id="1431319851">
                  <w:marLeft w:val="0"/>
                  <w:marRight w:val="0"/>
                  <w:marTop w:val="0"/>
                  <w:marBottom w:val="0"/>
                  <w:divBdr>
                    <w:top w:val="none" w:sz="0" w:space="0" w:color="auto"/>
                    <w:left w:val="none" w:sz="0" w:space="0" w:color="auto"/>
                    <w:bottom w:val="none" w:sz="0" w:space="0" w:color="auto"/>
                    <w:right w:val="none" w:sz="0" w:space="0" w:color="auto"/>
                  </w:divBdr>
                  <w:divsChild>
                    <w:div w:id="1149515725">
                      <w:marLeft w:val="0"/>
                      <w:marRight w:val="0"/>
                      <w:marTop w:val="0"/>
                      <w:marBottom w:val="0"/>
                      <w:divBdr>
                        <w:top w:val="none" w:sz="0" w:space="0" w:color="auto"/>
                        <w:left w:val="none" w:sz="0" w:space="0" w:color="auto"/>
                        <w:bottom w:val="none" w:sz="0" w:space="0" w:color="auto"/>
                        <w:right w:val="none" w:sz="0" w:space="0" w:color="auto"/>
                      </w:divBdr>
                    </w:div>
                  </w:divsChild>
                </w:div>
                <w:div w:id="1827283101">
                  <w:marLeft w:val="0"/>
                  <w:marRight w:val="0"/>
                  <w:marTop w:val="0"/>
                  <w:marBottom w:val="0"/>
                  <w:divBdr>
                    <w:top w:val="none" w:sz="0" w:space="0" w:color="auto"/>
                    <w:left w:val="none" w:sz="0" w:space="0" w:color="auto"/>
                    <w:bottom w:val="none" w:sz="0" w:space="0" w:color="auto"/>
                    <w:right w:val="none" w:sz="0" w:space="0" w:color="auto"/>
                  </w:divBdr>
                  <w:divsChild>
                    <w:div w:id="670911970">
                      <w:marLeft w:val="0"/>
                      <w:marRight w:val="0"/>
                      <w:marTop w:val="0"/>
                      <w:marBottom w:val="0"/>
                      <w:divBdr>
                        <w:top w:val="none" w:sz="0" w:space="0" w:color="auto"/>
                        <w:left w:val="none" w:sz="0" w:space="0" w:color="auto"/>
                        <w:bottom w:val="none" w:sz="0" w:space="0" w:color="auto"/>
                        <w:right w:val="none" w:sz="0" w:space="0" w:color="auto"/>
                      </w:divBdr>
                    </w:div>
                  </w:divsChild>
                </w:div>
                <w:div w:id="1835219586">
                  <w:marLeft w:val="0"/>
                  <w:marRight w:val="0"/>
                  <w:marTop w:val="0"/>
                  <w:marBottom w:val="0"/>
                  <w:divBdr>
                    <w:top w:val="none" w:sz="0" w:space="0" w:color="auto"/>
                    <w:left w:val="none" w:sz="0" w:space="0" w:color="auto"/>
                    <w:bottom w:val="none" w:sz="0" w:space="0" w:color="auto"/>
                    <w:right w:val="none" w:sz="0" w:space="0" w:color="auto"/>
                  </w:divBdr>
                  <w:divsChild>
                    <w:div w:id="497767649">
                      <w:marLeft w:val="0"/>
                      <w:marRight w:val="0"/>
                      <w:marTop w:val="0"/>
                      <w:marBottom w:val="0"/>
                      <w:divBdr>
                        <w:top w:val="none" w:sz="0" w:space="0" w:color="auto"/>
                        <w:left w:val="none" w:sz="0" w:space="0" w:color="auto"/>
                        <w:bottom w:val="none" w:sz="0" w:space="0" w:color="auto"/>
                        <w:right w:val="none" w:sz="0" w:space="0" w:color="auto"/>
                      </w:divBdr>
                    </w:div>
                  </w:divsChild>
                </w:div>
                <w:div w:id="1848402879">
                  <w:marLeft w:val="0"/>
                  <w:marRight w:val="0"/>
                  <w:marTop w:val="0"/>
                  <w:marBottom w:val="0"/>
                  <w:divBdr>
                    <w:top w:val="none" w:sz="0" w:space="0" w:color="auto"/>
                    <w:left w:val="none" w:sz="0" w:space="0" w:color="auto"/>
                    <w:bottom w:val="none" w:sz="0" w:space="0" w:color="auto"/>
                    <w:right w:val="none" w:sz="0" w:space="0" w:color="auto"/>
                  </w:divBdr>
                  <w:divsChild>
                    <w:div w:id="1264261021">
                      <w:marLeft w:val="0"/>
                      <w:marRight w:val="0"/>
                      <w:marTop w:val="0"/>
                      <w:marBottom w:val="0"/>
                      <w:divBdr>
                        <w:top w:val="none" w:sz="0" w:space="0" w:color="auto"/>
                        <w:left w:val="none" w:sz="0" w:space="0" w:color="auto"/>
                        <w:bottom w:val="none" w:sz="0" w:space="0" w:color="auto"/>
                        <w:right w:val="none" w:sz="0" w:space="0" w:color="auto"/>
                      </w:divBdr>
                    </w:div>
                  </w:divsChild>
                </w:div>
                <w:div w:id="1992635371">
                  <w:marLeft w:val="0"/>
                  <w:marRight w:val="0"/>
                  <w:marTop w:val="0"/>
                  <w:marBottom w:val="0"/>
                  <w:divBdr>
                    <w:top w:val="none" w:sz="0" w:space="0" w:color="auto"/>
                    <w:left w:val="none" w:sz="0" w:space="0" w:color="auto"/>
                    <w:bottom w:val="none" w:sz="0" w:space="0" w:color="auto"/>
                    <w:right w:val="none" w:sz="0" w:space="0" w:color="auto"/>
                  </w:divBdr>
                  <w:divsChild>
                    <w:div w:id="1002052766">
                      <w:marLeft w:val="0"/>
                      <w:marRight w:val="0"/>
                      <w:marTop w:val="0"/>
                      <w:marBottom w:val="0"/>
                      <w:divBdr>
                        <w:top w:val="none" w:sz="0" w:space="0" w:color="auto"/>
                        <w:left w:val="none" w:sz="0" w:space="0" w:color="auto"/>
                        <w:bottom w:val="none" w:sz="0" w:space="0" w:color="auto"/>
                        <w:right w:val="none" w:sz="0" w:space="0" w:color="auto"/>
                      </w:divBdr>
                    </w:div>
                  </w:divsChild>
                </w:div>
                <w:div w:id="2010981899">
                  <w:marLeft w:val="0"/>
                  <w:marRight w:val="0"/>
                  <w:marTop w:val="0"/>
                  <w:marBottom w:val="0"/>
                  <w:divBdr>
                    <w:top w:val="none" w:sz="0" w:space="0" w:color="auto"/>
                    <w:left w:val="none" w:sz="0" w:space="0" w:color="auto"/>
                    <w:bottom w:val="none" w:sz="0" w:space="0" w:color="auto"/>
                    <w:right w:val="none" w:sz="0" w:space="0" w:color="auto"/>
                  </w:divBdr>
                  <w:divsChild>
                    <w:div w:id="1547376114">
                      <w:marLeft w:val="0"/>
                      <w:marRight w:val="0"/>
                      <w:marTop w:val="0"/>
                      <w:marBottom w:val="0"/>
                      <w:divBdr>
                        <w:top w:val="none" w:sz="0" w:space="0" w:color="auto"/>
                        <w:left w:val="none" w:sz="0" w:space="0" w:color="auto"/>
                        <w:bottom w:val="none" w:sz="0" w:space="0" w:color="auto"/>
                        <w:right w:val="none" w:sz="0" w:space="0" w:color="auto"/>
                      </w:divBdr>
                    </w:div>
                  </w:divsChild>
                </w:div>
                <w:div w:id="2058776684">
                  <w:marLeft w:val="0"/>
                  <w:marRight w:val="0"/>
                  <w:marTop w:val="0"/>
                  <w:marBottom w:val="0"/>
                  <w:divBdr>
                    <w:top w:val="none" w:sz="0" w:space="0" w:color="auto"/>
                    <w:left w:val="none" w:sz="0" w:space="0" w:color="auto"/>
                    <w:bottom w:val="none" w:sz="0" w:space="0" w:color="auto"/>
                    <w:right w:val="none" w:sz="0" w:space="0" w:color="auto"/>
                  </w:divBdr>
                  <w:divsChild>
                    <w:div w:id="1204320861">
                      <w:marLeft w:val="0"/>
                      <w:marRight w:val="0"/>
                      <w:marTop w:val="0"/>
                      <w:marBottom w:val="0"/>
                      <w:divBdr>
                        <w:top w:val="none" w:sz="0" w:space="0" w:color="auto"/>
                        <w:left w:val="none" w:sz="0" w:space="0" w:color="auto"/>
                        <w:bottom w:val="none" w:sz="0" w:space="0" w:color="auto"/>
                        <w:right w:val="none" w:sz="0" w:space="0" w:color="auto"/>
                      </w:divBdr>
                    </w:div>
                  </w:divsChild>
                </w:div>
                <w:div w:id="2127000214">
                  <w:marLeft w:val="0"/>
                  <w:marRight w:val="0"/>
                  <w:marTop w:val="0"/>
                  <w:marBottom w:val="0"/>
                  <w:divBdr>
                    <w:top w:val="none" w:sz="0" w:space="0" w:color="auto"/>
                    <w:left w:val="none" w:sz="0" w:space="0" w:color="auto"/>
                    <w:bottom w:val="none" w:sz="0" w:space="0" w:color="auto"/>
                    <w:right w:val="none" w:sz="0" w:space="0" w:color="auto"/>
                  </w:divBdr>
                  <w:divsChild>
                    <w:div w:id="87546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22111">
          <w:marLeft w:val="0"/>
          <w:marRight w:val="0"/>
          <w:marTop w:val="0"/>
          <w:marBottom w:val="0"/>
          <w:divBdr>
            <w:top w:val="none" w:sz="0" w:space="0" w:color="auto"/>
            <w:left w:val="none" w:sz="0" w:space="0" w:color="auto"/>
            <w:bottom w:val="none" w:sz="0" w:space="0" w:color="auto"/>
            <w:right w:val="none" w:sz="0" w:space="0" w:color="auto"/>
          </w:divBdr>
        </w:div>
        <w:div w:id="2068458235">
          <w:marLeft w:val="0"/>
          <w:marRight w:val="0"/>
          <w:marTop w:val="0"/>
          <w:marBottom w:val="0"/>
          <w:divBdr>
            <w:top w:val="none" w:sz="0" w:space="0" w:color="auto"/>
            <w:left w:val="none" w:sz="0" w:space="0" w:color="auto"/>
            <w:bottom w:val="none" w:sz="0" w:space="0" w:color="auto"/>
            <w:right w:val="none" w:sz="0" w:space="0" w:color="auto"/>
          </w:divBdr>
        </w:div>
        <w:div w:id="2089418961">
          <w:marLeft w:val="0"/>
          <w:marRight w:val="0"/>
          <w:marTop w:val="0"/>
          <w:marBottom w:val="0"/>
          <w:divBdr>
            <w:top w:val="none" w:sz="0" w:space="0" w:color="auto"/>
            <w:left w:val="none" w:sz="0" w:space="0" w:color="auto"/>
            <w:bottom w:val="none" w:sz="0" w:space="0" w:color="auto"/>
            <w:right w:val="none" w:sz="0" w:space="0" w:color="auto"/>
          </w:divBdr>
        </w:div>
        <w:div w:id="2113162473">
          <w:marLeft w:val="0"/>
          <w:marRight w:val="0"/>
          <w:marTop w:val="0"/>
          <w:marBottom w:val="0"/>
          <w:divBdr>
            <w:top w:val="none" w:sz="0" w:space="0" w:color="auto"/>
            <w:left w:val="none" w:sz="0" w:space="0" w:color="auto"/>
            <w:bottom w:val="none" w:sz="0" w:space="0" w:color="auto"/>
            <w:right w:val="none" w:sz="0" w:space="0" w:color="auto"/>
          </w:divBdr>
        </w:div>
        <w:div w:id="2113209132">
          <w:marLeft w:val="0"/>
          <w:marRight w:val="0"/>
          <w:marTop w:val="0"/>
          <w:marBottom w:val="0"/>
          <w:divBdr>
            <w:top w:val="none" w:sz="0" w:space="0" w:color="auto"/>
            <w:left w:val="none" w:sz="0" w:space="0" w:color="auto"/>
            <w:bottom w:val="none" w:sz="0" w:space="0" w:color="auto"/>
            <w:right w:val="none" w:sz="0" w:space="0" w:color="auto"/>
          </w:divBdr>
        </w:div>
        <w:div w:id="2131168526">
          <w:marLeft w:val="0"/>
          <w:marRight w:val="0"/>
          <w:marTop w:val="0"/>
          <w:marBottom w:val="0"/>
          <w:divBdr>
            <w:top w:val="none" w:sz="0" w:space="0" w:color="auto"/>
            <w:left w:val="none" w:sz="0" w:space="0" w:color="auto"/>
            <w:bottom w:val="none" w:sz="0" w:space="0" w:color="auto"/>
            <w:right w:val="none" w:sz="0" w:space="0" w:color="auto"/>
          </w:divBdr>
        </w:div>
      </w:divsChild>
    </w:div>
    <w:div w:id="1751197285">
      <w:bodyDiv w:val="1"/>
      <w:marLeft w:val="0"/>
      <w:marRight w:val="0"/>
      <w:marTop w:val="0"/>
      <w:marBottom w:val="0"/>
      <w:divBdr>
        <w:top w:val="none" w:sz="0" w:space="0" w:color="auto"/>
        <w:left w:val="none" w:sz="0" w:space="0" w:color="auto"/>
        <w:bottom w:val="none" w:sz="0" w:space="0" w:color="auto"/>
        <w:right w:val="none" w:sz="0" w:space="0" w:color="auto"/>
      </w:divBdr>
    </w:div>
    <w:div w:id="1774208848">
      <w:bodyDiv w:val="1"/>
      <w:marLeft w:val="0"/>
      <w:marRight w:val="0"/>
      <w:marTop w:val="0"/>
      <w:marBottom w:val="0"/>
      <w:divBdr>
        <w:top w:val="none" w:sz="0" w:space="0" w:color="auto"/>
        <w:left w:val="none" w:sz="0" w:space="0" w:color="auto"/>
        <w:bottom w:val="none" w:sz="0" w:space="0" w:color="auto"/>
        <w:right w:val="none" w:sz="0" w:space="0" w:color="auto"/>
      </w:divBdr>
    </w:div>
    <w:div w:id="1778061927">
      <w:bodyDiv w:val="1"/>
      <w:marLeft w:val="0"/>
      <w:marRight w:val="0"/>
      <w:marTop w:val="0"/>
      <w:marBottom w:val="0"/>
      <w:divBdr>
        <w:top w:val="none" w:sz="0" w:space="0" w:color="auto"/>
        <w:left w:val="none" w:sz="0" w:space="0" w:color="auto"/>
        <w:bottom w:val="none" w:sz="0" w:space="0" w:color="auto"/>
        <w:right w:val="none" w:sz="0" w:space="0" w:color="auto"/>
      </w:divBdr>
    </w:div>
    <w:div w:id="1780831643">
      <w:bodyDiv w:val="1"/>
      <w:marLeft w:val="0"/>
      <w:marRight w:val="0"/>
      <w:marTop w:val="0"/>
      <w:marBottom w:val="0"/>
      <w:divBdr>
        <w:top w:val="none" w:sz="0" w:space="0" w:color="auto"/>
        <w:left w:val="none" w:sz="0" w:space="0" w:color="auto"/>
        <w:bottom w:val="none" w:sz="0" w:space="0" w:color="auto"/>
        <w:right w:val="none" w:sz="0" w:space="0" w:color="auto"/>
      </w:divBdr>
    </w:div>
    <w:div w:id="1780880533">
      <w:bodyDiv w:val="1"/>
      <w:marLeft w:val="0"/>
      <w:marRight w:val="0"/>
      <w:marTop w:val="0"/>
      <w:marBottom w:val="0"/>
      <w:divBdr>
        <w:top w:val="none" w:sz="0" w:space="0" w:color="auto"/>
        <w:left w:val="none" w:sz="0" w:space="0" w:color="auto"/>
        <w:bottom w:val="none" w:sz="0" w:space="0" w:color="auto"/>
        <w:right w:val="none" w:sz="0" w:space="0" w:color="auto"/>
      </w:divBdr>
      <w:divsChild>
        <w:div w:id="780535514">
          <w:marLeft w:val="0"/>
          <w:marRight w:val="0"/>
          <w:marTop w:val="0"/>
          <w:marBottom w:val="0"/>
          <w:divBdr>
            <w:top w:val="none" w:sz="0" w:space="0" w:color="auto"/>
            <w:left w:val="none" w:sz="0" w:space="0" w:color="auto"/>
            <w:bottom w:val="none" w:sz="0" w:space="0" w:color="auto"/>
            <w:right w:val="none" w:sz="0" w:space="0" w:color="auto"/>
          </w:divBdr>
        </w:div>
      </w:divsChild>
    </w:div>
    <w:div w:id="1784035875">
      <w:bodyDiv w:val="1"/>
      <w:marLeft w:val="0"/>
      <w:marRight w:val="0"/>
      <w:marTop w:val="0"/>
      <w:marBottom w:val="0"/>
      <w:divBdr>
        <w:top w:val="none" w:sz="0" w:space="0" w:color="auto"/>
        <w:left w:val="none" w:sz="0" w:space="0" w:color="auto"/>
        <w:bottom w:val="none" w:sz="0" w:space="0" w:color="auto"/>
        <w:right w:val="none" w:sz="0" w:space="0" w:color="auto"/>
      </w:divBdr>
    </w:div>
    <w:div w:id="1793666422">
      <w:bodyDiv w:val="1"/>
      <w:marLeft w:val="0"/>
      <w:marRight w:val="0"/>
      <w:marTop w:val="0"/>
      <w:marBottom w:val="0"/>
      <w:divBdr>
        <w:top w:val="none" w:sz="0" w:space="0" w:color="auto"/>
        <w:left w:val="none" w:sz="0" w:space="0" w:color="auto"/>
        <w:bottom w:val="none" w:sz="0" w:space="0" w:color="auto"/>
        <w:right w:val="none" w:sz="0" w:space="0" w:color="auto"/>
      </w:divBdr>
    </w:div>
    <w:div w:id="1799029197">
      <w:bodyDiv w:val="1"/>
      <w:marLeft w:val="0"/>
      <w:marRight w:val="0"/>
      <w:marTop w:val="0"/>
      <w:marBottom w:val="0"/>
      <w:divBdr>
        <w:top w:val="none" w:sz="0" w:space="0" w:color="auto"/>
        <w:left w:val="none" w:sz="0" w:space="0" w:color="auto"/>
        <w:bottom w:val="none" w:sz="0" w:space="0" w:color="auto"/>
        <w:right w:val="none" w:sz="0" w:space="0" w:color="auto"/>
      </w:divBdr>
      <w:divsChild>
        <w:div w:id="85813101">
          <w:marLeft w:val="0"/>
          <w:marRight w:val="0"/>
          <w:marTop w:val="0"/>
          <w:marBottom w:val="0"/>
          <w:divBdr>
            <w:top w:val="none" w:sz="0" w:space="0" w:color="auto"/>
            <w:left w:val="none" w:sz="0" w:space="0" w:color="auto"/>
            <w:bottom w:val="none" w:sz="0" w:space="0" w:color="auto"/>
            <w:right w:val="none" w:sz="0" w:space="0" w:color="auto"/>
          </w:divBdr>
        </w:div>
        <w:div w:id="103044689">
          <w:marLeft w:val="0"/>
          <w:marRight w:val="0"/>
          <w:marTop w:val="0"/>
          <w:marBottom w:val="0"/>
          <w:divBdr>
            <w:top w:val="none" w:sz="0" w:space="0" w:color="auto"/>
            <w:left w:val="none" w:sz="0" w:space="0" w:color="auto"/>
            <w:bottom w:val="none" w:sz="0" w:space="0" w:color="auto"/>
            <w:right w:val="none" w:sz="0" w:space="0" w:color="auto"/>
          </w:divBdr>
        </w:div>
        <w:div w:id="126700069">
          <w:marLeft w:val="0"/>
          <w:marRight w:val="0"/>
          <w:marTop w:val="0"/>
          <w:marBottom w:val="0"/>
          <w:divBdr>
            <w:top w:val="none" w:sz="0" w:space="0" w:color="auto"/>
            <w:left w:val="none" w:sz="0" w:space="0" w:color="auto"/>
            <w:bottom w:val="none" w:sz="0" w:space="0" w:color="auto"/>
            <w:right w:val="none" w:sz="0" w:space="0" w:color="auto"/>
          </w:divBdr>
        </w:div>
        <w:div w:id="1925917579">
          <w:marLeft w:val="0"/>
          <w:marRight w:val="0"/>
          <w:marTop w:val="0"/>
          <w:marBottom w:val="0"/>
          <w:divBdr>
            <w:top w:val="none" w:sz="0" w:space="0" w:color="auto"/>
            <w:left w:val="none" w:sz="0" w:space="0" w:color="auto"/>
            <w:bottom w:val="none" w:sz="0" w:space="0" w:color="auto"/>
            <w:right w:val="none" w:sz="0" w:space="0" w:color="auto"/>
          </w:divBdr>
        </w:div>
        <w:div w:id="2096855632">
          <w:marLeft w:val="0"/>
          <w:marRight w:val="0"/>
          <w:marTop w:val="0"/>
          <w:marBottom w:val="0"/>
          <w:divBdr>
            <w:top w:val="none" w:sz="0" w:space="0" w:color="auto"/>
            <w:left w:val="none" w:sz="0" w:space="0" w:color="auto"/>
            <w:bottom w:val="none" w:sz="0" w:space="0" w:color="auto"/>
            <w:right w:val="none" w:sz="0" w:space="0" w:color="auto"/>
          </w:divBdr>
        </w:div>
      </w:divsChild>
    </w:div>
    <w:div w:id="1806657817">
      <w:bodyDiv w:val="1"/>
      <w:marLeft w:val="0"/>
      <w:marRight w:val="0"/>
      <w:marTop w:val="0"/>
      <w:marBottom w:val="0"/>
      <w:divBdr>
        <w:top w:val="none" w:sz="0" w:space="0" w:color="auto"/>
        <w:left w:val="none" w:sz="0" w:space="0" w:color="auto"/>
        <w:bottom w:val="none" w:sz="0" w:space="0" w:color="auto"/>
        <w:right w:val="none" w:sz="0" w:space="0" w:color="auto"/>
      </w:divBdr>
    </w:div>
    <w:div w:id="1816291409">
      <w:bodyDiv w:val="1"/>
      <w:marLeft w:val="0"/>
      <w:marRight w:val="0"/>
      <w:marTop w:val="0"/>
      <w:marBottom w:val="0"/>
      <w:divBdr>
        <w:top w:val="none" w:sz="0" w:space="0" w:color="auto"/>
        <w:left w:val="none" w:sz="0" w:space="0" w:color="auto"/>
        <w:bottom w:val="none" w:sz="0" w:space="0" w:color="auto"/>
        <w:right w:val="none" w:sz="0" w:space="0" w:color="auto"/>
      </w:divBdr>
    </w:div>
    <w:div w:id="1819419727">
      <w:bodyDiv w:val="1"/>
      <w:marLeft w:val="0"/>
      <w:marRight w:val="0"/>
      <w:marTop w:val="0"/>
      <w:marBottom w:val="0"/>
      <w:divBdr>
        <w:top w:val="none" w:sz="0" w:space="0" w:color="auto"/>
        <w:left w:val="none" w:sz="0" w:space="0" w:color="auto"/>
        <w:bottom w:val="none" w:sz="0" w:space="0" w:color="auto"/>
        <w:right w:val="none" w:sz="0" w:space="0" w:color="auto"/>
      </w:divBdr>
    </w:div>
    <w:div w:id="1827895891">
      <w:bodyDiv w:val="1"/>
      <w:marLeft w:val="0"/>
      <w:marRight w:val="0"/>
      <w:marTop w:val="0"/>
      <w:marBottom w:val="0"/>
      <w:divBdr>
        <w:top w:val="none" w:sz="0" w:space="0" w:color="auto"/>
        <w:left w:val="none" w:sz="0" w:space="0" w:color="auto"/>
        <w:bottom w:val="none" w:sz="0" w:space="0" w:color="auto"/>
        <w:right w:val="none" w:sz="0" w:space="0" w:color="auto"/>
      </w:divBdr>
    </w:div>
    <w:div w:id="1843856319">
      <w:bodyDiv w:val="1"/>
      <w:marLeft w:val="0"/>
      <w:marRight w:val="0"/>
      <w:marTop w:val="0"/>
      <w:marBottom w:val="0"/>
      <w:divBdr>
        <w:top w:val="none" w:sz="0" w:space="0" w:color="auto"/>
        <w:left w:val="none" w:sz="0" w:space="0" w:color="auto"/>
        <w:bottom w:val="none" w:sz="0" w:space="0" w:color="auto"/>
        <w:right w:val="none" w:sz="0" w:space="0" w:color="auto"/>
      </w:divBdr>
    </w:div>
    <w:div w:id="1844972687">
      <w:bodyDiv w:val="1"/>
      <w:marLeft w:val="0"/>
      <w:marRight w:val="0"/>
      <w:marTop w:val="0"/>
      <w:marBottom w:val="0"/>
      <w:divBdr>
        <w:top w:val="none" w:sz="0" w:space="0" w:color="auto"/>
        <w:left w:val="none" w:sz="0" w:space="0" w:color="auto"/>
        <w:bottom w:val="none" w:sz="0" w:space="0" w:color="auto"/>
        <w:right w:val="none" w:sz="0" w:space="0" w:color="auto"/>
      </w:divBdr>
      <w:divsChild>
        <w:div w:id="1003238039">
          <w:marLeft w:val="0"/>
          <w:marRight w:val="0"/>
          <w:marTop w:val="0"/>
          <w:marBottom w:val="0"/>
          <w:divBdr>
            <w:top w:val="none" w:sz="0" w:space="0" w:color="auto"/>
            <w:left w:val="none" w:sz="0" w:space="0" w:color="auto"/>
            <w:bottom w:val="none" w:sz="0" w:space="0" w:color="auto"/>
            <w:right w:val="none" w:sz="0" w:space="0" w:color="auto"/>
          </w:divBdr>
        </w:div>
        <w:div w:id="1007293049">
          <w:marLeft w:val="0"/>
          <w:marRight w:val="0"/>
          <w:marTop w:val="0"/>
          <w:marBottom w:val="0"/>
          <w:divBdr>
            <w:top w:val="none" w:sz="0" w:space="0" w:color="auto"/>
            <w:left w:val="none" w:sz="0" w:space="0" w:color="auto"/>
            <w:bottom w:val="none" w:sz="0" w:space="0" w:color="auto"/>
            <w:right w:val="none" w:sz="0" w:space="0" w:color="auto"/>
          </w:divBdr>
        </w:div>
        <w:div w:id="1957372021">
          <w:marLeft w:val="0"/>
          <w:marRight w:val="0"/>
          <w:marTop w:val="0"/>
          <w:marBottom w:val="0"/>
          <w:divBdr>
            <w:top w:val="none" w:sz="0" w:space="0" w:color="auto"/>
            <w:left w:val="none" w:sz="0" w:space="0" w:color="auto"/>
            <w:bottom w:val="none" w:sz="0" w:space="0" w:color="auto"/>
            <w:right w:val="none" w:sz="0" w:space="0" w:color="auto"/>
          </w:divBdr>
        </w:div>
      </w:divsChild>
    </w:div>
    <w:div w:id="1851529384">
      <w:bodyDiv w:val="1"/>
      <w:marLeft w:val="0"/>
      <w:marRight w:val="0"/>
      <w:marTop w:val="0"/>
      <w:marBottom w:val="0"/>
      <w:divBdr>
        <w:top w:val="none" w:sz="0" w:space="0" w:color="auto"/>
        <w:left w:val="none" w:sz="0" w:space="0" w:color="auto"/>
        <w:bottom w:val="none" w:sz="0" w:space="0" w:color="auto"/>
        <w:right w:val="none" w:sz="0" w:space="0" w:color="auto"/>
      </w:divBdr>
    </w:div>
    <w:div w:id="1852136479">
      <w:bodyDiv w:val="1"/>
      <w:marLeft w:val="0"/>
      <w:marRight w:val="0"/>
      <w:marTop w:val="0"/>
      <w:marBottom w:val="0"/>
      <w:divBdr>
        <w:top w:val="none" w:sz="0" w:space="0" w:color="auto"/>
        <w:left w:val="none" w:sz="0" w:space="0" w:color="auto"/>
        <w:bottom w:val="none" w:sz="0" w:space="0" w:color="auto"/>
        <w:right w:val="none" w:sz="0" w:space="0" w:color="auto"/>
      </w:divBdr>
    </w:div>
    <w:div w:id="1865514057">
      <w:bodyDiv w:val="1"/>
      <w:marLeft w:val="0"/>
      <w:marRight w:val="0"/>
      <w:marTop w:val="0"/>
      <w:marBottom w:val="0"/>
      <w:divBdr>
        <w:top w:val="none" w:sz="0" w:space="0" w:color="auto"/>
        <w:left w:val="none" w:sz="0" w:space="0" w:color="auto"/>
        <w:bottom w:val="none" w:sz="0" w:space="0" w:color="auto"/>
        <w:right w:val="none" w:sz="0" w:space="0" w:color="auto"/>
      </w:divBdr>
    </w:div>
    <w:div w:id="1870489758">
      <w:bodyDiv w:val="1"/>
      <w:marLeft w:val="0"/>
      <w:marRight w:val="0"/>
      <w:marTop w:val="0"/>
      <w:marBottom w:val="0"/>
      <w:divBdr>
        <w:top w:val="none" w:sz="0" w:space="0" w:color="auto"/>
        <w:left w:val="none" w:sz="0" w:space="0" w:color="auto"/>
        <w:bottom w:val="none" w:sz="0" w:space="0" w:color="auto"/>
        <w:right w:val="none" w:sz="0" w:space="0" w:color="auto"/>
      </w:divBdr>
    </w:div>
    <w:div w:id="1872451089">
      <w:bodyDiv w:val="1"/>
      <w:marLeft w:val="0"/>
      <w:marRight w:val="0"/>
      <w:marTop w:val="0"/>
      <w:marBottom w:val="0"/>
      <w:divBdr>
        <w:top w:val="none" w:sz="0" w:space="0" w:color="auto"/>
        <w:left w:val="none" w:sz="0" w:space="0" w:color="auto"/>
        <w:bottom w:val="none" w:sz="0" w:space="0" w:color="auto"/>
        <w:right w:val="none" w:sz="0" w:space="0" w:color="auto"/>
      </w:divBdr>
    </w:div>
    <w:div w:id="1875190364">
      <w:bodyDiv w:val="1"/>
      <w:marLeft w:val="0"/>
      <w:marRight w:val="0"/>
      <w:marTop w:val="0"/>
      <w:marBottom w:val="0"/>
      <w:divBdr>
        <w:top w:val="none" w:sz="0" w:space="0" w:color="auto"/>
        <w:left w:val="none" w:sz="0" w:space="0" w:color="auto"/>
        <w:bottom w:val="none" w:sz="0" w:space="0" w:color="auto"/>
        <w:right w:val="none" w:sz="0" w:space="0" w:color="auto"/>
      </w:divBdr>
    </w:div>
    <w:div w:id="1880437395">
      <w:bodyDiv w:val="1"/>
      <w:marLeft w:val="0"/>
      <w:marRight w:val="0"/>
      <w:marTop w:val="0"/>
      <w:marBottom w:val="0"/>
      <w:divBdr>
        <w:top w:val="none" w:sz="0" w:space="0" w:color="auto"/>
        <w:left w:val="none" w:sz="0" w:space="0" w:color="auto"/>
        <w:bottom w:val="none" w:sz="0" w:space="0" w:color="auto"/>
        <w:right w:val="none" w:sz="0" w:space="0" w:color="auto"/>
      </w:divBdr>
    </w:div>
    <w:div w:id="1887523041">
      <w:bodyDiv w:val="1"/>
      <w:marLeft w:val="0"/>
      <w:marRight w:val="0"/>
      <w:marTop w:val="0"/>
      <w:marBottom w:val="0"/>
      <w:divBdr>
        <w:top w:val="none" w:sz="0" w:space="0" w:color="auto"/>
        <w:left w:val="none" w:sz="0" w:space="0" w:color="auto"/>
        <w:bottom w:val="none" w:sz="0" w:space="0" w:color="auto"/>
        <w:right w:val="none" w:sz="0" w:space="0" w:color="auto"/>
      </w:divBdr>
    </w:div>
    <w:div w:id="1891186001">
      <w:bodyDiv w:val="1"/>
      <w:marLeft w:val="0"/>
      <w:marRight w:val="0"/>
      <w:marTop w:val="0"/>
      <w:marBottom w:val="0"/>
      <w:divBdr>
        <w:top w:val="none" w:sz="0" w:space="0" w:color="auto"/>
        <w:left w:val="none" w:sz="0" w:space="0" w:color="auto"/>
        <w:bottom w:val="none" w:sz="0" w:space="0" w:color="auto"/>
        <w:right w:val="none" w:sz="0" w:space="0" w:color="auto"/>
      </w:divBdr>
      <w:divsChild>
        <w:div w:id="2022006713">
          <w:marLeft w:val="0"/>
          <w:marRight w:val="0"/>
          <w:marTop w:val="0"/>
          <w:marBottom w:val="0"/>
          <w:divBdr>
            <w:top w:val="none" w:sz="0" w:space="0" w:color="auto"/>
            <w:left w:val="none" w:sz="0" w:space="0" w:color="auto"/>
            <w:bottom w:val="none" w:sz="0" w:space="0" w:color="auto"/>
            <w:right w:val="none" w:sz="0" w:space="0" w:color="auto"/>
          </w:divBdr>
          <w:divsChild>
            <w:div w:id="301471388">
              <w:marLeft w:val="0"/>
              <w:marRight w:val="0"/>
              <w:marTop w:val="0"/>
              <w:marBottom w:val="0"/>
              <w:divBdr>
                <w:top w:val="none" w:sz="0" w:space="0" w:color="auto"/>
                <w:left w:val="none" w:sz="0" w:space="0" w:color="auto"/>
                <w:bottom w:val="none" w:sz="0" w:space="0" w:color="auto"/>
                <w:right w:val="none" w:sz="0" w:space="0" w:color="auto"/>
              </w:divBdr>
              <w:divsChild>
                <w:div w:id="189731601">
                  <w:marLeft w:val="0"/>
                  <w:marRight w:val="0"/>
                  <w:marTop w:val="0"/>
                  <w:marBottom w:val="0"/>
                  <w:divBdr>
                    <w:top w:val="none" w:sz="0" w:space="0" w:color="auto"/>
                    <w:left w:val="none" w:sz="0" w:space="0" w:color="auto"/>
                    <w:bottom w:val="none" w:sz="0" w:space="0" w:color="auto"/>
                    <w:right w:val="none" w:sz="0" w:space="0" w:color="auto"/>
                  </w:divBdr>
                  <w:divsChild>
                    <w:div w:id="1919244711">
                      <w:marLeft w:val="0"/>
                      <w:marRight w:val="0"/>
                      <w:marTop w:val="0"/>
                      <w:marBottom w:val="0"/>
                      <w:divBdr>
                        <w:top w:val="none" w:sz="0" w:space="0" w:color="auto"/>
                        <w:left w:val="none" w:sz="0" w:space="0" w:color="auto"/>
                        <w:bottom w:val="none" w:sz="0" w:space="0" w:color="auto"/>
                        <w:right w:val="none" w:sz="0" w:space="0" w:color="auto"/>
                      </w:divBdr>
                      <w:divsChild>
                        <w:div w:id="711728293">
                          <w:marLeft w:val="0"/>
                          <w:marRight w:val="0"/>
                          <w:marTop w:val="0"/>
                          <w:marBottom w:val="0"/>
                          <w:divBdr>
                            <w:top w:val="none" w:sz="0" w:space="0" w:color="auto"/>
                            <w:left w:val="none" w:sz="0" w:space="0" w:color="auto"/>
                            <w:bottom w:val="none" w:sz="0" w:space="0" w:color="auto"/>
                            <w:right w:val="none" w:sz="0" w:space="0" w:color="auto"/>
                          </w:divBdr>
                          <w:divsChild>
                            <w:div w:id="21832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719703">
      <w:bodyDiv w:val="1"/>
      <w:marLeft w:val="0"/>
      <w:marRight w:val="0"/>
      <w:marTop w:val="0"/>
      <w:marBottom w:val="0"/>
      <w:divBdr>
        <w:top w:val="none" w:sz="0" w:space="0" w:color="auto"/>
        <w:left w:val="none" w:sz="0" w:space="0" w:color="auto"/>
        <w:bottom w:val="none" w:sz="0" w:space="0" w:color="auto"/>
        <w:right w:val="none" w:sz="0" w:space="0" w:color="auto"/>
      </w:divBdr>
      <w:divsChild>
        <w:div w:id="976181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3812879">
      <w:bodyDiv w:val="1"/>
      <w:marLeft w:val="0"/>
      <w:marRight w:val="0"/>
      <w:marTop w:val="0"/>
      <w:marBottom w:val="0"/>
      <w:divBdr>
        <w:top w:val="none" w:sz="0" w:space="0" w:color="auto"/>
        <w:left w:val="none" w:sz="0" w:space="0" w:color="auto"/>
        <w:bottom w:val="none" w:sz="0" w:space="0" w:color="auto"/>
        <w:right w:val="none" w:sz="0" w:space="0" w:color="auto"/>
      </w:divBdr>
      <w:divsChild>
        <w:div w:id="318728299">
          <w:marLeft w:val="0"/>
          <w:marRight w:val="0"/>
          <w:marTop w:val="0"/>
          <w:marBottom w:val="0"/>
          <w:divBdr>
            <w:top w:val="none" w:sz="0" w:space="0" w:color="auto"/>
            <w:left w:val="none" w:sz="0" w:space="0" w:color="auto"/>
            <w:bottom w:val="none" w:sz="0" w:space="0" w:color="auto"/>
            <w:right w:val="none" w:sz="0" w:space="0" w:color="auto"/>
          </w:divBdr>
        </w:div>
      </w:divsChild>
    </w:div>
    <w:div w:id="1905337008">
      <w:bodyDiv w:val="1"/>
      <w:marLeft w:val="0"/>
      <w:marRight w:val="0"/>
      <w:marTop w:val="0"/>
      <w:marBottom w:val="0"/>
      <w:divBdr>
        <w:top w:val="none" w:sz="0" w:space="0" w:color="auto"/>
        <w:left w:val="none" w:sz="0" w:space="0" w:color="auto"/>
        <w:bottom w:val="none" w:sz="0" w:space="0" w:color="auto"/>
        <w:right w:val="none" w:sz="0" w:space="0" w:color="auto"/>
      </w:divBdr>
    </w:div>
    <w:div w:id="1917587441">
      <w:bodyDiv w:val="1"/>
      <w:marLeft w:val="0"/>
      <w:marRight w:val="0"/>
      <w:marTop w:val="0"/>
      <w:marBottom w:val="0"/>
      <w:divBdr>
        <w:top w:val="none" w:sz="0" w:space="0" w:color="auto"/>
        <w:left w:val="none" w:sz="0" w:space="0" w:color="auto"/>
        <w:bottom w:val="none" w:sz="0" w:space="0" w:color="auto"/>
        <w:right w:val="none" w:sz="0" w:space="0" w:color="auto"/>
      </w:divBdr>
    </w:div>
    <w:div w:id="1924680911">
      <w:bodyDiv w:val="1"/>
      <w:marLeft w:val="0"/>
      <w:marRight w:val="0"/>
      <w:marTop w:val="0"/>
      <w:marBottom w:val="0"/>
      <w:divBdr>
        <w:top w:val="none" w:sz="0" w:space="0" w:color="auto"/>
        <w:left w:val="none" w:sz="0" w:space="0" w:color="auto"/>
        <w:bottom w:val="none" w:sz="0" w:space="0" w:color="auto"/>
        <w:right w:val="none" w:sz="0" w:space="0" w:color="auto"/>
      </w:divBdr>
    </w:div>
    <w:div w:id="1934044092">
      <w:bodyDiv w:val="1"/>
      <w:marLeft w:val="0"/>
      <w:marRight w:val="0"/>
      <w:marTop w:val="0"/>
      <w:marBottom w:val="0"/>
      <w:divBdr>
        <w:top w:val="none" w:sz="0" w:space="0" w:color="auto"/>
        <w:left w:val="none" w:sz="0" w:space="0" w:color="auto"/>
        <w:bottom w:val="none" w:sz="0" w:space="0" w:color="auto"/>
        <w:right w:val="none" w:sz="0" w:space="0" w:color="auto"/>
      </w:divBdr>
    </w:div>
    <w:div w:id="1941334777">
      <w:bodyDiv w:val="1"/>
      <w:marLeft w:val="0"/>
      <w:marRight w:val="0"/>
      <w:marTop w:val="0"/>
      <w:marBottom w:val="0"/>
      <w:divBdr>
        <w:top w:val="none" w:sz="0" w:space="0" w:color="auto"/>
        <w:left w:val="none" w:sz="0" w:space="0" w:color="auto"/>
        <w:bottom w:val="none" w:sz="0" w:space="0" w:color="auto"/>
        <w:right w:val="none" w:sz="0" w:space="0" w:color="auto"/>
      </w:divBdr>
    </w:div>
    <w:div w:id="1947929106">
      <w:bodyDiv w:val="1"/>
      <w:marLeft w:val="0"/>
      <w:marRight w:val="0"/>
      <w:marTop w:val="0"/>
      <w:marBottom w:val="0"/>
      <w:divBdr>
        <w:top w:val="none" w:sz="0" w:space="0" w:color="auto"/>
        <w:left w:val="none" w:sz="0" w:space="0" w:color="auto"/>
        <w:bottom w:val="none" w:sz="0" w:space="0" w:color="auto"/>
        <w:right w:val="none" w:sz="0" w:space="0" w:color="auto"/>
      </w:divBdr>
    </w:div>
    <w:div w:id="1952349042">
      <w:bodyDiv w:val="1"/>
      <w:marLeft w:val="0"/>
      <w:marRight w:val="0"/>
      <w:marTop w:val="0"/>
      <w:marBottom w:val="0"/>
      <w:divBdr>
        <w:top w:val="none" w:sz="0" w:space="0" w:color="auto"/>
        <w:left w:val="none" w:sz="0" w:space="0" w:color="auto"/>
        <w:bottom w:val="none" w:sz="0" w:space="0" w:color="auto"/>
        <w:right w:val="none" w:sz="0" w:space="0" w:color="auto"/>
      </w:divBdr>
    </w:div>
    <w:div w:id="1952711586">
      <w:bodyDiv w:val="1"/>
      <w:marLeft w:val="0"/>
      <w:marRight w:val="0"/>
      <w:marTop w:val="0"/>
      <w:marBottom w:val="0"/>
      <w:divBdr>
        <w:top w:val="none" w:sz="0" w:space="0" w:color="auto"/>
        <w:left w:val="none" w:sz="0" w:space="0" w:color="auto"/>
        <w:bottom w:val="none" w:sz="0" w:space="0" w:color="auto"/>
        <w:right w:val="none" w:sz="0" w:space="0" w:color="auto"/>
      </w:divBdr>
    </w:div>
    <w:div w:id="1957592796">
      <w:bodyDiv w:val="1"/>
      <w:marLeft w:val="0"/>
      <w:marRight w:val="0"/>
      <w:marTop w:val="0"/>
      <w:marBottom w:val="0"/>
      <w:divBdr>
        <w:top w:val="none" w:sz="0" w:space="0" w:color="auto"/>
        <w:left w:val="none" w:sz="0" w:space="0" w:color="auto"/>
        <w:bottom w:val="none" w:sz="0" w:space="0" w:color="auto"/>
        <w:right w:val="none" w:sz="0" w:space="0" w:color="auto"/>
      </w:divBdr>
    </w:div>
    <w:div w:id="1969313923">
      <w:bodyDiv w:val="1"/>
      <w:marLeft w:val="0"/>
      <w:marRight w:val="0"/>
      <w:marTop w:val="0"/>
      <w:marBottom w:val="0"/>
      <w:divBdr>
        <w:top w:val="none" w:sz="0" w:space="0" w:color="auto"/>
        <w:left w:val="none" w:sz="0" w:space="0" w:color="auto"/>
        <w:bottom w:val="none" w:sz="0" w:space="0" w:color="auto"/>
        <w:right w:val="none" w:sz="0" w:space="0" w:color="auto"/>
      </w:divBdr>
    </w:div>
    <w:div w:id="1970821096">
      <w:bodyDiv w:val="1"/>
      <w:marLeft w:val="0"/>
      <w:marRight w:val="0"/>
      <w:marTop w:val="0"/>
      <w:marBottom w:val="0"/>
      <w:divBdr>
        <w:top w:val="none" w:sz="0" w:space="0" w:color="auto"/>
        <w:left w:val="none" w:sz="0" w:space="0" w:color="auto"/>
        <w:bottom w:val="none" w:sz="0" w:space="0" w:color="auto"/>
        <w:right w:val="none" w:sz="0" w:space="0" w:color="auto"/>
      </w:divBdr>
      <w:divsChild>
        <w:div w:id="250627143">
          <w:marLeft w:val="0"/>
          <w:marRight w:val="0"/>
          <w:marTop w:val="0"/>
          <w:marBottom w:val="0"/>
          <w:divBdr>
            <w:top w:val="none" w:sz="0" w:space="0" w:color="auto"/>
            <w:left w:val="none" w:sz="0" w:space="0" w:color="auto"/>
            <w:bottom w:val="none" w:sz="0" w:space="0" w:color="auto"/>
            <w:right w:val="none" w:sz="0" w:space="0" w:color="auto"/>
          </w:divBdr>
        </w:div>
      </w:divsChild>
    </w:div>
    <w:div w:id="1972780242">
      <w:bodyDiv w:val="1"/>
      <w:marLeft w:val="0"/>
      <w:marRight w:val="0"/>
      <w:marTop w:val="0"/>
      <w:marBottom w:val="0"/>
      <w:divBdr>
        <w:top w:val="none" w:sz="0" w:space="0" w:color="auto"/>
        <w:left w:val="none" w:sz="0" w:space="0" w:color="auto"/>
        <w:bottom w:val="none" w:sz="0" w:space="0" w:color="auto"/>
        <w:right w:val="none" w:sz="0" w:space="0" w:color="auto"/>
      </w:divBdr>
    </w:div>
    <w:div w:id="1981381080">
      <w:bodyDiv w:val="1"/>
      <w:marLeft w:val="0"/>
      <w:marRight w:val="0"/>
      <w:marTop w:val="0"/>
      <w:marBottom w:val="0"/>
      <w:divBdr>
        <w:top w:val="none" w:sz="0" w:space="0" w:color="auto"/>
        <w:left w:val="none" w:sz="0" w:space="0" w:color="auto"/>
        <w:bottom w:val="none" w:sz="0" w:space="0" w:color="auto"/>
        <w:right w:val="none" w:sz="0" w:space="0" w:color="auto"/>
      </w:divBdr>
    </w:div>
    <w:div w:id="1991399502">
      <w:bodyDiv w:val="1"/>
      <w:marLeft w:val="0"/>
      <w:marRight w:val="0"/>
      <w:marTop w:val="0"/>
      <w:marBottom w:val="0"/>
      <w:divBdr>
        <w:top w:val="none" w:sz="0" w:space="0" w:color="auto"/>
        <w:left w:val="none" w:sz="0" w:space="0" w:color="auto"/>
        <w:bottom w:val="none" w:sz="0" w:space="0" w:color="auto"/>
        <w:right w:val="none" w:sz="0" w:space="0" w:color="auto"/>
      </w:divBdr>
      <w:divsChild>
        <w:div w:id="1435174745">
          <w:marLeft w:val="0"/>
          <w:marRight w:val="0"/>
          <w:marTop w:val="0"/>
          <w:marBottom w:val="0"/>
          <w:divBdr>
            <w:top w:val="none" w:sz="0" w:space="0" w:color="auto"/>
            <w:left w:val="none" w:sz="0" w:space="0" w:color="auto"/>
            <w:bottom w:val="none" w:sz="0" w:space="0" w:color="auto"/>
            <w:right w:val="none" w:sz="0" w:space="0" w:color="auto"/>
          </w:divBdr>
        </w:div>
        <w:div w:id="2002805533">
          <w:marLeft w:val="0"/>
          <w:marRight w:val="0"/>
          <w:marTop w:val="0"/>
          <w:marBottom w:val="0"/>
          <w:divBdr>
            <w:top w:val="none" w:sz="0" w:space="0" w:color="auto"/>
            <w:left w:val="none" w:sz="0" w:space="0" w:color="auto"/>
            <w:bottom w:val="none" w:sz="0" w:space="0" w:color="auto"/>
            <w:right w:val="none" w:sz="0" w:space="0" w:color="auto"/>
          </w:divBdr>
        </w:div>
      </w:divsChild>
    </w:div>
    <w:div w:id="1992711901">
      <w:bodyDiv w:val="1"/>
      <w:marLeft w:val="0"/>
      <w:marRight w:val="0"/>
      <w:marTop w:val="0"/>
      <w:marBottom w:val="0"/>
      <w:divBdr>
        <w:top w:val="none" w:sz="0" w:space="0" w:color="auto"/>
        <w:left w:val="none" w:sz="0" w:space="0" w:color="auto"/>
        <w:bottom w:val="none" w:sz="0" w:space="0" w:color="auto"/>
        <w:right w:val="none" w:sz="0" w:space="0" w:color="auto"/>
      </w:divBdr>
    </w:div>
    <w:div w:id="1994796073">
      <w:bodyDiv w:val="1"/>
      <w:marLeft w:val="0"/>
      <w:marRight w:val="0"/>
      <w:marTop w:val="0"/>
      <w:marBottom w:val="0"/>
      <w:divBdr>
        <w:top w:val="none" w:sz="0" w:space="0" w:color="auto"/>
        <w:left w:val="none" w:sz="0" w:space="0" w:color="auto"/>
        <w:bottom w:val="none" w:sz="0" w:space="0" w:color="auto"/>
        <w:right w:val="none" w:sz="0" w:space="0" w:color="auto"/>
      </w:divBdr>
      <w:divsChild>
        <w:div w:id="182718211">
          <w:marLeft w:val="0"/>
          <w:marRight w:val="0"/>
          <w:marTop w:val="0"/>
          <w:marBottom w:val="0"/>
          <w:divBdr>
            <w:top w:val="none" w:sz="0" w:space="0" w:color="auto"/>
            <w:left w:val="none" w:sz="0" w:space="0" w:color="auto"/>
            <w:bottom w:val="none" w:sz="0" w:space="0" w:color="auto"/>
            <w:right w:val="none" w:sz="0" w:space="0" w:color="auto"/>
          </w:divBdr>
        </w:div>
      </w:divsChild>
    </w:div>
    <w:div w:id="2003699424">
      <w:bodyDiv w:val="1"/>
      <w:marLeft w:val="0"/>
      <w:marRight w:val="0"/>
      <w:marTop w:val="0"/>
      <w:marBottom w:val="0"/>
      <w:divBdr>
        <w:top w:val="none" w:sz="0" w:space="0" w:color="auto"/>
        <w:left w:val="none" w:sz="0" w:space="0" w:color="auto"/>
        <w:bottom w:val="none" w:sz="0" w:space="0" w:color="auto"/>
        <w:right w:val="none" w:sz="0" w:space="0" w:color="auto"/>
      </w:divBdr>
    </w:div>
    <w:div w:id="2009014248">
      <w:bodyDiv w:val="1"/>
      <w:marLeft w:val="0"/>
      <w:marRight w:val="0"/>
      <w:marTop w:val="0"/>
      <w:marBottom w:val="0"/>
      <w:divBdr>
        <w:top w:val="none" w:sz="0" w:space="0" w:color="auto"/>
        <w:left w:val="none" w:sz="0" w:space="0" w:color="auto"/>
        <w:bottom w:val="none" w:sz="0" w:space="0" w:color="auto"/>
        <w:right w:val="none" w:sz="0" w:space="0" w:color="auto"/>
      </w:divBdr>
    </w:div>
    <w:div w:id="2010209558">
      <w:bodyDiv w:val="1"/>
      <w:marLeft w:val="0"/>
      <w:marRight w:val="0"/>
      <w:marTop w:val="0"/>
      <w:marBottom w:val="0"/>
      <w:divBdr>
        <w:top w:val="none" w:sz="0" w:space="0" w:color="auto"/>
        <w:left w:val="none" w:sz="0" w:space="0" w:color="auto"/>
        <w:bottom w:val="none" w:sz="0" w:space="0" w:color="auto"/>
        <w:right w:val="none" w:sz="0" w:space="0" w:color="auto"/>
      </w:divBdr>
    </w:div>
    <w:div w:id="2011984469">
      <w:bodyDiv w:val="1"/>
      <w:marLeft w:val="0"/>
      <w:marRight w:val="0"/>
      <w:marTop w:val="0"/>
      <w:marBottom w:val="0"/>
      <w:divBdr>
        <w:top w:val="none" w:sz="0" w:space="0" w:color="auto"/>
        <w:left w:val="none" w:sz="0" w:space="0" w:color="auto"/>
        <w:bottom w:val="none" w:sz="0" w:space="0" w:color="auto"/>
        <w:right w:val="none" w:sz="0" w:space="0" w:color="auto"/>
      </w:divBdr>
    </w:div>
    <w:div w:id="2016878496">
      <w:bodyDiv w:val="1"/>
      <w:marLeft w:val="0"/>
      <w:marRight w:val="0"/>
      <w:marTop w:val="0"/>
      <w:marBottom w:val="0"/>
      <w:divBdr>
        <w:top w:val="none" w:sz="0" w:space="0" w:color="auto"/>
        <w:left w:val="none" w:sz="0" w:space="0" w:color="auto"/>
        <w:bottom w:val="none" w:sz="0" w:space="0" w:color="auto"/>
        <w:right w:val="none" w:sz="0" w:space="0" w:color="auto"/>
      </w:divBdr>
    </w:div>
    <w:div w:id="2025206469">
      <w:bodyDiv w:val="1"/>
      <w:marLeft w:val="0"/>
      <w:marRight w:val="0"/>
      <w:marTop w:val="0"/>
      <w:marBottom w:val="0"/>
      <w:divBdr>
        <w:top w:val="none" w:sz="0" w:space="0" w:color="auto"/>
        <w:left w:val="none" w:sz="0" w:space="0" w:color="auto"/>
        <w:bottom w:val="none" w:sz="0" w:space="0" w:color="auto"/>
        <w:right w:val="none" w:sz="0" w:space="0" w:color="auto"/>
      </w:divBdr>
    </w:div>
    <w:div w:id="2034762666">
      <w:bodyDiv w:val="1"/>
      <w:marLeft w:val="0"/>
      <w:marRight w:val="0"/>
      <w:marTop w:val="0"/>
      <w:marBottom w:val="0"/>
      <w:divBdr>
        <w:top w:val="none" w:sz="0" w:space="0" w:color="auto"/>
        <w:left w:val="none" w:sz="0" w:space="0" w:color="auto"/>
        <w:bottom w:val="none" w:sz="0" w:space="0" w:color="auto"/>
        <w:right w:val="none" w:sz="0" w:space="0" w:color="auto"/>
      </w:divBdr>
      <w:divsChild>
        <w:div w:id="615645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2513320">
      <w:bodyDiv w:val="1"/>
      <w:marLeft w:val="0"/>
      <w:marRight w:val="0"/>
      <w:marTop w:val="0"/>
      <w:marBottom w:val="0"/>
      <w:divBdr>
        <w:top w:val="none" w:sz="0" w:space="0" w:color="auto"/>
        <w:left w:val="none" w:sz="0" w:space="0" w:color="auto"/>
        <w:bottom w:val="none" w:sz="0" w:space="0" w:color="auto"/>
        <w:right w:val="none" w:sz="0" w:space="0" w:color="auto"/>
      </w:divBdr>
    </w:div>
    <w:div w:id="2043741920">
      <w:bodyDiv w:val="1"/>
      <w:marLeft w:val="0"/>
      <w:marRight w:val="0"/>
      <w:marTop w:val="0"/>
      <w:marBottom w:val="0"/>
      <w:divBdr>
        <w:top w:val="none" w:sz="0" w:space="0" w:color="auto"/>
        <w:left w:val="none" w:sz="0" w:space="0" w:color="auto"/>
        <w:bottom w:val="none" w:sz="0" w:space="0" w:color="auto"/>
        <w:right w:val="none" w:sz="0" w:space="0" w:color="auto"/>
      </w:divBdr>
    </w:div>
    <w:div w:id="2050105498">
      <w:bodyDiv w:val="1"/>
      <w:marLeft w:val="0"/>
      <w:marRight w:val="0"/>
      <w:marTop w:val="0"/>
      <w:marBottom w:val="0"/>
      <w:divBdr>
        <w:top w:val="none" w:sz="0" w:space="0" w:color="auto"/>
        <w:left w:val="none" w:sz="0" w:space="0" w:color="auto"/>
        <w:bottom w:val="none" w:sz="0" w:space="0" w:color="auto"/>
        <w:right w:val="none" w:sz="0" w:space="0" w:color="auto"/>
      </w:divBdr>
      <w:divsChild>
        <w:div w:id="22900728">
          <w:marLeft w:val="0"/>
          <w:marRight w:val="0"/>
          <w:marTop w:val="0"/>
          <w:marBottom w:val="0"/>
          <w:divBdr>
            <w:top w:val="none" w:sz="0" w:space="0" w:color="auto"/>
            <w:left w:val="none" w:sz="0" w:space="0" w:color="auto"/>
            <w:bottom w:val="none" w:sz="0" w:space="0" w:color="auto"/>
            <w:right w:val="none" w:sz="0" w:space="0" w:color="auto"/>
          </w:divBdr>
        </w:div>
        <w:div w:id="176384625">
          <w:marLeft w:val="0"/>
          <w:marRight w:val="0"/>
          <w:marTop w:val="0"/>
          <w:marBottom w:val="0"/>
          <w:divBdr>
            <w:top w:val="none" w:sz="0" w:space="0" w:color="auto"/>
            <w:left w:val="none" w:sz="0" w:space="0" w:color="auto"/>
            <w:bottom w:val="none" w:sz="0" w:space="0" w:color="auto"/>
            <w:right w:val="none" w:sz="0" w:space="0" w:color="auto"/>
          </w:divBdr>
        </w:div>
        <w:div w:id="223563957">
          <w:marLeft w:val="0"/>
          <w:marRight w:val="0"/>
          <w:marTop w:val="0"/>
          <w:marBottom w:val="0"/>
          <w:divBdr>
            <w:top w:val="none" w:sz="0" w:space="0" w:color="auto"/>
            <w:left w:val="none" w:sz="0" w:space="0" w:color="auto"/>
            <w:bottom w:val="none" w:sz="0" w:space="0" w:color="auto"/>
            <w:right w:val="none" w:sz="0" w:space="0" w:color="auto"/>
          </w:divBdr>
        </w:div>
        <w:div w:id="408384581">
          <w:marLeft w:val="0"/>
          <w:marRight w:val="0"/>
          <w:marTop w:val="0"/>
          <w:marBottom w:val="0"/>
          <w:divBdr>
            <w:top w:val="none" w:sz="0" w:space="0" w:color="auto"/>
            <w:left w:val="none" w:sz="0" w:space="0" w:color="auto"/>
            <w:bottom w:val="none" w:sz="0" w:space="0" w:color="auto"/>
            <w:right w:val="none" w:sz="0" w:space="0" w:color="auto"/>
          </w:divBdr>
        </w:div>
        <w:div w:id="551159258">
          <w:marLeft w:val="0"/>
          <w:marRight w:val="0"/>
          <w:marTop w:val="0"/>
          <w:marBottom w:val="0"/>
          <w:divBdr>
            <w:top w:val="none" w:sz="0" w:space="0" w:color="auto"/>
            <w:left w:val="none" w:sz="0" w:space="0" w:color="auto"/>
            <w:bottom w:val="none" w:sz="0" w:space="0" w:color="auto"/>
            <w:right w:val="none" w:sz="0" w:space="0" w:color="auto"/>
          </w:divBdr>
        </w:div>
        <w:div w:id="581792458">
          <w:marLeft w:val="0"/>
          <w:marRight w:val="0"/>
          <w:marTop w:val="0"/>
          <w:marBottom w:val="0"/>
          <w:divBdr>
            <w:top w:val="none" w:sz="0" w:space="0" w:color="auto"/>
            <w:left w:val="none" w:sz="0" w:space="0" w:color="auto"/>
            <w:bottom w:val="none" w:sz="0" w:space="0" w:color="auto"/>
            <w:right w:val="none" w:sz="0" w:space="0" w:color="auto"/>
          </w:divBdr>
        </w:div>
        <w:div w:id="919291025">
          <w:marLeft w:val="0"/>
          <w:marRight w:val="0"/>
          <w:marTop w:val="0"/>
          <w:marBottom w:val="0"/>
          <w:divBdr>
            <w:top w:val="none" w:sz="0" w:space="0" w:color="auto"/>
            <w:left w:val="none" w:sz="0" w:space="0" w:color="auto"/>
            <w:bottom w:val="none" w:sz="0" w:space="0" w:color="auto"/>
            <w:right w:val="none" w:sz="0" w:space="0" w:color="auto"/>
          </w:divBdr>
        </w:div>
        <w:div w:id="923681256">
          <w:marLeft w:val="0"/>
          <w:marRight w:val="0"/>
          <w:marTop w:val="0"/>
          <w:marBottom w:val="0"/>
          <w:divBdr>
            <w:top w:val="none" w:sz="0" w:space="0" w:color="auto"/>
            <w:left w:val="none" w:sz="0" w:space="0" w:color="auto"/>
            <w:bottom w:val="none" w:sz="0" w:space="0" w:color="auto"/>
            <w:right w:val="none" w:sz="0" w:space="0" w:color="auto"/>
          </w:divBdr>
        </w:div>
        <w:div w:id="1123844082">
          <w:marLeft w:val="0"/>
          <w:marRight w:val="0"/>
          <w:marTop w:val="0"/>
          <w:marBottom w:val="0"/>
          <w:divBdr>
            <w:top w:val="none" w:sz="0" w:space="0" w:color="auto"/>
            <w:left w:val="none" w:sz="0" w:space="0" w:color="auto"/>
            <w:bottom w:val="none" w:sz="0" w:space="0" w:color="auto"/>
            <w:right w:val="none" w:sz="0" w:space="0" w:color="auto"/>
          </w:divBdr>
        </w:div>
        <w:div w:id="1149521356">
          <w:marLeft w:val="0"/>
          <w:marRight w:val="0"/>
          <w:marTop w:val="0"/>
          <w:marBottom w:val="0"/>
          <w:divBdr>
            <w:top w:val="none" w:sz="0" w:space="0" w:color="auto"/>
            <w:left w:val="none" w:sz="0" w:space="0" w:color="auto"/>
            <w:bottom w:val="none" w:sz="0" w:space="0" w:color="auto"/>
            <w:right w:val="none" w:sz="0" w:space="0" w:color="auto"/>
          </w:divBdr>
        </w:div>
        <w:div w:id="1405254268">
          <w:marLeft w:val="0"/>
          <w:marRight w:val="0"/>
          <w:marTop w:val="0"/>
          <w:marBottom w:val="0"/>
          <w:divBdr>
            <w:top w:val="none" w:sz="0" w:space="0" w:color="auto"/>
            <w:left w:val="none" w:sz="0" w:space="0" w:color="auto"/>
            <w:bottom w:val="none" w:sz="0" w:space="0" w:color="auto"/>
            <w:right w:val="none" w:sz="0" w:space="0" w:color="auto"/>
          </w:divBdr>
        </w:div>
        <w:div w:id="1537280910">
          <w:marLeft w:val="0"/>
          <w:marRight w:val="0"/>
          <w:marTop w:val="0"/>
          <w:marBottom w:val="0"/>
          <w:divBdr>
            <w:top w:val="none" w:sz="0" w:space="0" w:color="auto"/>
            <w:left w:val="none" w:sz="0" w:space="0" w:color="auto"/>
            <w:bottom w:val="none" w:sz="0" w:space="0" w:color="auto"/>
            <w:right w:val="none" w:sz="0" w:space="0" w:color="auto"/>
          </w:divBdr>
        </w:div>
        <w:div w:id="1606695343">
          <w:marLeft w:val="0"/>
          <w:marRight w:val="0"/>
          <w:marTop w:val="0"/>
          <w:marBottom w:val="0"/>
          <w:divBdr>
            <w:top w:val="none" w:sz="0" w:space="0" w:color="auto"/>
            <w:left w:val="none" w:sz="0" w:space="0" w:color="auto"/>
            <w:bottom w:val="none" w:sz="0" w:space="0" w:color="auto"/>
            <w:right w:val="none" w:sz="0" w:space="0" w:color="auto"/>
          </w:divBdr>
        </w:div>
        <w:div w:id="1958171579">
          <w:marLeft w:val="0"/>
          <w:marRight w:val="0"/>
          <w:marTop w:val="0"/>
          <w:marBottom w:val="0"/>
          <w:divBdr>
            <w:top w:val="none" w:sz="0" w:space="0" w:color="auto"/>
            <w:left w:val="none" w:sz="0" w:space="0" w:color="auto"/>
            <w:bottom w:val="none" w:sz="0" w:space="0" w:color="auto"/>
            <w:right w:val="none" w:sz="0" w:space="0" w:color="auto"/>
          </w:divBdr>
        </w:div>
      </w:divsChild>
    </w:div>
    <w:div w:id="2054844612">
      <w:bodyDiv w:val="1"/>
      <w:marLeft w:val="0"/>
      <w:marRight w:val="0"/>
      <w:marTop w:val="0"/>
      <w:marBottom w:val="0"/>
      <w:divBdr>
        <w:top w:val="none" w:sz="0" w:space="0" w:color="auto"/>
        <w:left w:val="none" w:sz="0" w:space="0" w:color="auto"/>
        <w:bottom w:val="none" w:sz="0" w:space="0" w:color="auto"/>
        <w:right w:val="none" w:sz="0" w:space="0" w:color="auto"/>
      </w:divBdr>
    </w:div>
    <w:div w:id="2058165960">
      <w:bodyDiv w:val="1"/>
      <w:marLeft w:val="0"/>
      <w:marRight w:val="0"/>
      <w:marTop w:val="0"/>
      <w:marBottom w:val="0"/>
      <w:divBdr>
        <w:top w:val="none" w:sz="0" w:space="0" w:color="auto"/>
        <w:left w:val="none" w:sz="0" w:space="0" w:color="auto"/>
        <w:bottom w:val="none" w:sz="0" w:space="0" w:color="auto"/>
        <w:right w:val="none" w:sz="0" w:space="0" w:color="auto"/>
      </w:divBdr>
      <w:divsChild>
        <w:div w:id="1450584974">
          <w:marLeft w:val="0"/>
          <w:marRight w:val="0"/>
          <w:marTop w:val="0"/>
          <w:marBottom w:val="0"/>
          <w:divBdr>
            <w:top w:val="none" w:sz="0" w:space="0" w:color="auto"/>
            <w:left w:val="none" w:sz="0" w:space="0" w:color="auto"/>
            <w:bottom w:val="none" w:sz="0" w:space="0" w:color="auto"/>
            <w:right w:val="none" w:sz="0" w:space="0" w:color="auto"/>
          </w:divBdr>
        </w:div>
      </w:divsChild>
    </w:div>
    <w:div w:id="2065642745">
      <w:bodyDiv w:val="1"/>
      <w:marLeft w:val="0"/>
      <w:marRight w:val="0"/>
      <w:marTop w:val="0"/>
      <w:marBottom w:val="0"/>
      <w:divBdr>
        <w:top w:val="none" w:sz="0" w:space="0" w:color="auto"/>
        <w:left w:val="none" w:sz="0" w:space="0" w:color="auto"/>
        <w:bottom w:val="none" w:sz="0" w:space="0" w:color="auto"/>
        <w:right w:val="none" w:sz="0" w:space="0" w:color="auto"/>
      </w:divBdr>
    </w:div>
    <w:div w:id="2068868526">
      <w:bodyDiv w:val="1"/>
      <w:marLeft w:val="0"/>
      <w:marRight w:val="0"/>
      <w:marTop w:val="0"/>
      <w:marBottom w:val="0"/>
      <w:divBdr>
        <w:top w:val="none" w:sz="0" w:space="0" w:color="auto"/>
        <w:left w:val="none" w:sz="0" w:space="0" w:color="auto"/>
        <w:bottom w:val="none" w:sz="0" w:space="0" w:color="auto"/>
        <w:right w:val="none" w:sz="0" w:space="0" w:color="auto"/>
      </w:divBdr>
    </w:div>
    <w:div w:id="2069527291">
      <w:bodyDiv w:val="1"/>
      <w:marLeft w:val="0"/>
      <w:marRight w:val="0"/>
      <w:marTop w:val="0"/>
      <w:marBottom w:val="0"/>
      <w:divBdr>
        <w:top w:val="none" w:sz="0" w:space="0" w:color="auto"/>
        <w:left w:val="none" w:sz="0" w:space="0" w:color="auto"/>
        <w:bottom w:val="none" w:sz="0" w:space="0" w:color="auto"/>
        <w:right w:val="none" w:sz="0" w:space="0" w:color="auto"/>
      </w:divBdr>
    </w:div>
    <w:div w:id="2084136428">
      <w:bodyDiv w:val="1"/>
      <w:marLeft w:val="0"/>
      <w:marRight w:val="0"/>
      <w:marTop w:val="0"/>
      <w:marBottom w:val="0"/>
      <w:divBdr>
        <w:top w:val="none" w:sz="0" w:space="0" w:color="auto"/>
        <w:left w:val="none" w:sz="0" w:space="0" w:color="auto"/>
        <w:bottom w:val="none" w:sz="0" w:space="0" w:color="auto"/>
        <w:right w:val="none" w:sz="0" w:space="0" w:color="auto"/>
      </w:divBdr>
    </w:div>
    <w:div w:id="2088382478">
      <w:bodyDiv w:val="1"/>
      <w:marLeft w:val="0"/>
      <w:marRight w:val="0"/>
      <w:marTop w:val="0"/>
      <w:marBottom w:val="0"/>
      <w:divBdr>
        <w:top w:val="none" w:sz="0" w:space="0" w:color="auto"/>
        <w:left w:val="none" w:sz="0" w:space="0" w:color="auto"/>
        <w:bottom w:val="none" w:sz="0" w:space="0" w:color="auto"/>
        <w:right w:val="none" w:sz="0" w:space="0" w:color="auto"/>
      </w:divBdr>
    </w:div>
    <w:div w:id="2116514653">
      <w:bodyDiv w:val="1"/>
      <w:marLeft w:val="0"/>
      <w:marRight w:val="0"/>
      <w:marTop w:val="0"/>
      <w:marBottom w:val="0"/>
      <w:divBdr>
        <w:top w:val="none" w:sz="0" w:space="0" w:color="auto"/>
        <w:left w:val="none" w:sz="0" w:space="0" w:color="auto"/>
        <w:bottom w:val="none" w:sz="0" w:space="0" w:color="auto"/>
        <w:right w:val="none" w:sz="0" w:space="0" w:color="auto"/>
      </w:divBdr>
    </w:div>
    <w:div w:id="2117173026">
      <w:bodyDiv w:val="1"/>
      <w:marLeft w:val="0"/>
      <w:marRight w:val="0"/>
      <w:marTop w:val="0"/>
      <w:marBottom w:val="0"/>
      <w:divBdr>
        <w:top w:val="none" w:sz="0" w:space="0" w:color="auto"/>
        <w:left w:val="none" w:sz="0" w:space="0" w:color="auto"/>
        <w:bottom w:val="none" w:sz="0" w:space="0" w:color="auto"/>
        <w:right w:val="none" w:sz="0" w:space="0" w:color="auto"/>
      </w:divBdr>
    </w:div>
    <w:div w:id="2125417692">
      <w:bodyDiv w:val="1"/>
      <w:marLeft w:val="0"/>
      <w:marRight w:val="0"/>
      <w:marTop w:val="0"/>
      <w:marBottom w:val="0"/>
      <w:divBdr>
        <w:top w:val="none" w:sz="0" w:space="0" w:color="auto"/>
        <w:left w:val="none" w:sz="0" w:space="0" w:color="auto"/>
        <w:bottom w:val="none" w:sz="0" w:space="0" w:color="auto"/>
        <w:right w:val="none" w:sz="0" w:space="0" w:color="auto"/>
      </w:divBdr>
    </w:div>
    <w:div w:id="2127195171">
      <w:bodyDiv w:val="1"/>
      <w:marLeft w:val="0"/>
      <w:marRight w:val="0"/>
      <w:marTop w:val="0"/>
      <w:marBottom w:val="0"/>
      <w:divBdr>
        <w:top w:val="none" w:sz="0" w:space="0" w:color="auto"/>
        <w:left w:val="none" w:sz="0" w:space="0" w:color="auto"/>
        <w:bottom w:val="none" w:sz="0" w:space="0" w:color="auto"/>
        <w:right w:val="none" w:sz="0" w:space="0" w:color="auto"/>
      </w:divBdr>
    </w:div>
    <w:div w:id="2131632985">
      <w:bodyDiv w:val="1"/>
      <w:marLeft w:val="0"/>
      <w:marRight w:val="0"/>
      <w:marTop w:val="0"/>
      <w:marBottom w:val="0"/>
      <w:divBdr>
        <w:top w:val="none" w:sz="0" w:space="0" w:color="auto"/>
        <w:left w:val="none" w:sz="0" w:space="0" w:color="auto"/>
        <w:bottom w:val="none" w:sz="0" w:space="0" w:color="auto"/>
        <w:right w:val="none" w:sz="0" w:space="0" w:color="auto"/>
      </w:divBdr>
    </w:div>
    <w:div w:id="2135713460">
      <w:bodyDiv w:val="1"/>
      <w:marLeft w:val="0"/>
      <w:marRight w:val="0"/>
      <w:marTop w:val="0"/>
      <w:marBottom w:val="0"/>
      <w:divBdr>
        <w:top w:val="none" w:sz="0" w:space="0" w:color="auto"/>
        <w:left w:val="none" w:sz="0" w:space="0" w:color="auto"/>
        <w:bottom w:val="none" w:sz="0" w:space="0" w:color="auto"/>
        <w:right w:val="none" w:sz="0" w:space="0" w:color="auto"/>
      </w:divBdr>
    </w:div>
    <w:div w:id="2135757340">
      <w:bodyDiv w:val="1"/>
      <w:marLeft w:val="0"/>
      <w:marRight w:val="0"/>
      <w:marTop w:val="0"/>
      <w:marBottom w:val="0"/>
      <w:divBdr>
        <w:top w:val="none" w:sz="0" w:space="0" w:color="auto"/>
        <w:left w:val="none" w:sz="0" w:space="0" w:color="auto"/>
        <w:bottom w:val="none" w:sz="0" w:space="0" w:color="auto"/>
        <w:right w:val="none" w:sz="0" w:space="0" w:color="auto"/>
      </w:divBdr>
      <w:divsChild>
        <w:div w:id="67777956">
          <w:marLeft w:val="0"/>
          <w:marRight w:val="0"/>
          <w:marTop w:val="0"/>
          <w:marBottom w:val="0"/>
          <w:divBdr>
            <w:top w:val="none" w:sz="0" w:space="0" w:color="auto"/>
            <w:left w:val="none" w:sz="0" w:space="0" w:color="auto"/>
            <w:bottom w:val="none" w:sz="0" w:space="0" w:color="auto"/>
            <w:right w:val="none" w:sz="0" w:space="0" w:color="auto"/>
          </w:divBdr>
        </w:div>
        <w:div w:id="972832798">
          <w:marLeft w:val="0"/>
          <w:marRight w:val="0"/>
          <w:marTop w:val="0"/>
          <w:marBottom w:val="0"/>
          <w:divBdr>
            <w:top w:val="none" w:sz="0" w:space="0" w:color="auto"/>
            <w:left w:val="none" w:sz="0" w:space="0" w:color="auto"/>
            <w:bottom w:val="none" w:sz="0" w:space="0" w:color="auto"/>
            <w:right w:val="none" w:sz="0" w:space="0" w:color="auto"/>
          </w:divBdr>
        </w:div>
        <w:div w:id="1134635127">
          <w:marLeft w:val="0"/>
          <w:marRight w:val="0"/>
          <w:marTop w:val="0"/>
          <w:marBottom w:val="0"/>
          <w:divBdr>
            <w:top w:val="none" w:sz="0" w:space="0" w:color="auto"/>
            <w:left w:val="none" w:sz="0" w:space="0" w:color="auto"/>
            <w:bottom w:val="none" w:sz="0" w:space="0" w:color="auto"/>
            <w:right w:val="none" w:sz="0" w:space="0" w:color="auto"/>
          </w:divBdr>
        </w:div>
        <w:div w:id="1568803167">
          <w:marLeft w:val="0"/>
          <w:marRight w:val="0"/>
          <w:marTop w:val="0"/>
          <w:marBottom w:val="0"/>
          <w:divBdr>
            <w:top w:val="none" w:sz="0" w:space="0" w:color="auto"/>
            <w:left w:val="none" w:sz="0" w:space="0" w:color="auto"/>
            <w:bottom w:val="none" w:sz="0" w:space="0" w:color="auto"/>
            <w:right w:val="none" w:sz="0" w:space="0" w:color="auto"/>
          </w:divBdr>
        </w:div>
        <w:div w:id="1601639111">
          <w:marLeft w:val="0"/>
          <w:marRight w:val="0"/>
          <w:marTop w:val="0"/>
          <w:marBottom w:val="0"/>
          <w:divBdr>
            <w:top w:val="none" w:sz="0" w:space="0" w:color="auto"/>
            <w:left w:val="none" w:sz="0" w:space="0" w:color="auto"/>
            <w:bottom w:val="none" w:sz="0" w:space="0" w:color="auto"/>
            <w:right w:val="none" w:sz="0" w:space="0" w:color="auto"/>
          </w:divBdr>
        </w:div>
        <w:div w:id="1899513947">
          <w:marLeft w:val="0"/>
          <w:marRight w:val="0"/>
          <w:marTop w:val="0"/>
          <w:marBottom w:val="0"/>
          <w:divBdr>
            <w:top w:val="none" w:sz="0" w:space="0" w:color="auto"/>
            <w:left w:val="none" w:sz="0" w:space="0" w:color="auto"/>
            <w:bottom w:val="none" w:sz="0" w:space="0" w:color="auto"/>
            <w:right w:val="none" w:sz="0" w:space="0" w:color="auto"/>
          </w:divBdr>
        </w:div>
        <w:div w:id="1910916729">
          <w:marLeft w:val="0"/>
          <w:marRight w:val="0"/>
          <w:marTop w:val="0"/>
          <w:marBottom w:val="0"/>
          <w:divBdr>
            <w:top w:val="none" w:sz="0" w:space="0" w:color="auto"/>
            <w:left w:val="none" w:sz="0" w:space="0" w:color="auto"/>
            <w:bottom w:val="none" w:sz="0" w:space="0" w:color="auto"/>
            <w:right w:val="none" w:sz="0" w:space="0" w:color="auto"/>
          </w:divBdr>
        </w:div>
      </w:divsChild>
    </w:div>
    <w:div w:id="2137024445">
      <w:bodyDiv w:val="1"/>
      <w:marLeft w:val="0"/>
      <w:marRight w:val="0"/>
      <w:marTop w:val="0"/>
      <w:marBottom w:val="0"/>
      <w:divBdr>
        <w:top w:val="none" w:sz="0" w:space="0" w:color="auto"/>
        <w:left w:val="none" w:sz="0" w:space="0" w:color="auto"/>
        <w:bottom w:val="none" w:sz="0" w:space="0" w:color="auto"/>
        <w:right w:val="none" w:sz="0" w:space="0" w:color="auto"/>
      </w:divBdr>
      <w:divsChild>
        <w:div w:id="431360706">
          <w:marLeft w:val="0"/>
          <w:marRight w:val="0"/>
          <w:marTop w:val="0"/>
          <w:marBottom w:val="0"/>
          <w:divBdr>
            <w:top w:val="none" w:sz="0" w:space="0" w:color="auto"/>
            <w:left w:val="none" w:sz="0" w:space="0" w:color="auto"/>
            <w:bottom w:val="none" w:sz="0" w:space="0" w:color="auto"/>
            <w:right w:val="none" w:sz="0" w:space="0" w:color="auto"/>
          </w:divBdr>
        </w:div>
        <w:div w:id="1248927082">
          <w:marLeft w:val="0"/>
          <w:marRight w:val="0"/>
          <w:marTop w:val="0"/>
          <w:marBottom w:val="0"/>
          <w:divBdr>
            <w:top w:val="none" w:sz="0" w:space="0" w:color="auto"/>
            <w:left w:val="none" w:sz="0" w:space="0" w:color="auto"/>
            <w:bottom w:val="none" w:sz="0" w:space="0" w:color="auto"/>
            <w:right w:val="none" w:sz="0" w:space="0" w:color="auto"/>
          </w:divBdr>
        </w:div>
        <w:div w:id="1286546973">
          <w:marLeft w:val="0"/>
          <w:marRight w:val="0"/>
          <w:marTop w:val="0"/>
          <w:marBottom w:val="0"/>
          <w:divBdr>
            <w:top w:val="none" w:sz="0" w:space="0" w:color="auto"/>
            <w:left w:val="none" w:sz="0" w:space="0" w:color="auto"/>
            <w:bottom w:val="none" w:sz="0" w:space="0" w:color="auto"/>
            <w:right w:val="none" w:sz="0" w:space="0" w:color="auto"/>
          </w:divBdr>
        </w:div>
      </w:divsChild>
    </w:div>
    <w:div w:id="2140949652">
      <w:bodyDiv w:val="1"/>
      <w:marLeft w:val="0"/>
      <w:marRight w:val="0"/>
      <w:marTop w:val="0"/>
      <w:marBottom w:val="0"/>
      <w:divBdr>
        <w:top w:val="none" w:sz="0" w:space="0" w:color="auto"/>
        <w:left w:val="none" w:sz="0" w:space="0" w:color="auto"/>
        <w:bottom w:val="none" w:sz="0" w:space="0" w:color="auto"/>
        <w:right w:val="none" w:sz="0" w:space="0" w:color="auto"/>
      </w:divBdr>
    </w:div>
    <w:div w:id="2141220805">
      <w:bodyDiv w:val="1"/>
      <w:marLeft w:val="0"/>
      <w:marRight w:val="0"/>
      <w:marTop w:val="0"/>
      <w:marBottom w:val="0"/>
      <w:divBdr>
        <w:top w:val="none" w:sz="0" w:space="0" w:color="auto"/>
        <w:left w:val="none" w:sz="0" w:space="0" w:color="auto"/>
        <w:bottom w:val="none" w:sz="0" w:space="0" w:color="auto"/>
        <w:right w:val="none" w:sz="0" w:space="0" w:color="auto"/>
      </w:divBdr>
      <w:divsChild>
        <w:div w:id="1212883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6581971">
      <w:bodyDiv w:val="1"/>
      <w:marLeft w:val="0"/>
      <w:marRight w:val="0"/>
      <w:marTop w:val="0"/>
      <w:marBottom w:val="0"/>
      <w:divBdr>
        <w:top w:val="none" w:sz="0" w:space="0" w:color="auto"/>
        <w:left w:val="none" w:sz="0" w:space="0" w:color="auto"/>
        <w:bottom w:val="none" w:sz="0" w:space="0" w:color="auto"/>
        <w:right w:val="none" w:sz="0" w:space="0" w:color="auto"/>
      </w:divBdr>
      <w:divsChild>
        <w:div w:id="273755553">
          <w:marLeft w:val="0"/>
          <w:marRight w:val="0"/>
          <w:marTop w:val="0"/>
          <w:marBottom w:val="0"/>
          <w:divBdr>
            <w:top w:val="none" w:sz="0" w:space="0" w:color="auto"/>
            <w:left w:val="none" w:sz="0" w:space="0" w:color="auto"/>
            <w:bottom w:val="none" w:sz="0" w:space="0" w:color="auto"/>
            <w:right w:val="none" w:sz="0" w:space="0" w:color="auto"/>
          </w:divBdr>
          <w:divsChild>
            <w:div w:id="1558589857">
              <w:marLeft w:val="0"/>
              <w:marRight w:val="0"/>
              <w:marTop w:val="0"/>
              <w:marBottom w:val="0"/>
              <w:divBdr>
                <w:top w:val="none" w:sz="0" w:space="0" w:color="auto"/>
                <w:left w:val="none" w:sz="0" w:space="0" w:color="auto"/>
                <w:bottom w:val="none" w:sz="0" w:space="0" w:color="auto"/>
                <w:right w:val="none" w:sz="0" w:space="0" w:color="auto"/>
              </w:divBdr>
            </w:div>
          </w:divsChild>
        </w:div>
        <w:div w:id="292709828">
          <w:marLeft w:val="0"/>
          <w:marRight w:val="0"/>
          <w:marTop w:val="0"/>
          <w:marBottom w:val="0"/>
          <w:divBdr>
            <w:top w:val="none" w:sz="0" w:space="0" w:color="auto"/>
            <w:left w:val="none" w:sz="0" w:space="0" w:color="auto"/>
            <w:bottom w:val="none" w:sz="0" w:space="0" w:color="auto"/>
            <w:right w:val="none" w:sz="0" w:space="0" w:color="auto"/>
          </w:divBdr>
          <w:divsChild>
            <w:div w:id="1682464969">
              <w:marLeft w:val="0"/>
              <w:marRight w:val="0"/>
              <w:marTop w:val="0"/>
              <w:marBottom w:val="0"/>
              <w:divBdr>
                <w:top w:val="none" w:sz="0" w:space="0" w:color="auto"/>
                <w:left w:val="none" w:sz="0" w:space="0" w:color="auto"/>
                <w:bottom w:val="none" w:sz="0" w:space="0" w:color="auto"/>
                <w:right w:val="none" w:sz="0" w:space="0" w:color="auto"/>
              </w:divBdr>
            </w:div>
          </w:divsChild>
        </w:div>
        <w:div w:id="663625486">
          <w:marLeft w:val="0"/>
          <w:marRight w:val="0"/>
          <w:marTop w:val="0"/>
          <w:marBottom w:val="0"/>
          <w:divBdr>
            <w:top w:val="none" w:sz="0" w:space="0" w:color="auto"/>
            <w:left w:val="none" w:sz="0" w:space="0" w:color="auto"/>
            <w:bottom w:val="none" w:sz="0" w:space="0" w:color="auto"/>
            <w:right w:val="none" w:sz="0" w:space="0" w:color="auto"/>
          </w:divBdr>
          <w:divsChild>
            <w:div w:id="1139301820">
              <w:marLeft w:val="0"/>
              <w:marRight w:val="0"/>
              <w:marTop w:val="0"/>
              <w:marBottom w:val="0"/>
              <w:divBdr>
                <w:top w:val="none" w:sz="0" w:space="0" w:color="auto"/>
                <w:left w:val="none" w:sz="0" w:space="0" w:color="auto"/>
                <w:bottom w:val="none" w:sz="0" w:space="0" w:color="auto"/>
                <w:right w:val="none" w:sz="0" w:space="0" w:color="auto"/>
              </w:divBdr>
            </w:div>
          </w:divsChild>
        </w:div>
        <w:div w:id="682436296">
          <w:marLeft w:val="0"/>
          <w:marRight w:val="0"/>
          <w:marTop w:val="0"/>
          <w:marBottom w:val="0"/>
          <w:divBdr>
            <w:top w:val="none" w:sz="0" w:space="0" w:color="auto"/>
            <w:left w:val="none" w:sz="0" w:space="0" w:color="auto"/>
            <w:bottom w:val="none" w:sz="0" w:space="0" w:color="auto"/>
            <w:right w:val="none" w:sz="0" w:space="0" w:color="auto"/>
          </w:divBdr>
          <w:divsChild>
            <w:div w:id="724573277">
              <w:marLeft w:val="0"/>
              <w:marRight w:val="0"/>
              <w:marTop w:val="0"/>
              <w:marBottom w:val="0"/>
              <w:divBdr>
                <w:top w:val="none" w:sz="0" w:space="0" w:color="auto"/>
                <w:left w:val="none" w:sz="0" w:space="0" w:color="auto"/>
                <w:bottom w:val="none" w:sz="0" w:space="0" w:color="auto"/>
                <w:right w:val="none" w:sz="0" w:space="0" w:color="auto"/>
              </w:divBdr>
            </w:div>
          </w:divsChild>
        </w:div>
        <w:div w:id="885145084">
          <w:marLeft w:val="0"/>
          <w:marRight w:val="0"/>
          <w:marTop w:val="0"/>
          <w:marBottom w:val="0"/>
          <w:divBdr>
            <w:top w:val="none" w:sz="0" w:space="0" w:color="auto"/>
            <w:left w:val="none" w:sz="0" w:space="0" w:color="auto"/>
            <w:bottom w:val="none" w:sz="0" w:space="0" w:color="auto"/>
            <w:right w:val="none" w:sz="0" w:space="0" w:color="auto"/>
          </w:divBdr>
          <w:divsChild>
            <w:div w:id="636881522">
              <w:marLeft w:val="0"/>
              <w:marRight w:val="0"/>
              <w:marTop w:val="0"/>
              <w:marBottom w:val="0"/>
              <w:divBdr>
                <w:top w:val="none" w:sz="0" w:space="0" w:color="auto"/>
                <w:left w:val="none" w:sz="0" w:space="0" w:color="auto"/>
                <w:bottom w:val="none" w:sz="0" w:space="0" w:color="auto"/>
                <w:right w:val="none" w:sz="0" w:space="0" w:color="auto"/>
              </w:divBdr>
            </w:div>
          </w:divsChild>
        </w:div>
        <w:div w:id="887183572">
          <w:marLeft w:val="0"/>
          <w:marRight w:val="0"/>
          <w:marTop w:val="0"/>
          <w:marBottom w:val="0"/>
          <w:divBdr>
            <w:top w:val="none" w:sz="0" w:space="0" w:color="auto"/>
            <w:left w:val="none" w:sz="0" w:space="0" w:color="auto"/>
            <w:bottom w:val="none" w:sz="0" w:space="0" w:color="auto"/>
            <w:right w:val="none" w:sz="0" w:space="0" w:color="auto"/>
          </w:divBdr>
          <w:divsChild>
            <w:div w:id="1310134725">
              <w:marLeft w:val="0"/>
              <w:marRight w:val="0"/>
              <w:marTop w:val="0"/>
              <w:marBottom w:val="0"/>
              <w:divBdr>
                <w:top w:val="none" w:sz="0" w:space="0" w:color="auto"/>
                <w:left w:val="none" w:sz="0" w:space="0" w:color="auto"/>
                <w:bottom w:val="none" w:sz="0" w:space="0" w:color="auto"/>
                <w:right w:val="none" w:sz="0" w:space="0" w:color="auto"/>
              </w:divBdr>
            </w:div>
          </w:divsChild>
        </w:div>
        <w:div w:id="901722158">
          <w:marLeft w:val="0"/>
          <w:marRight w:val="0"/>
          <w:marTop w:val="0"/>
          <w:marBottom w:val="0"/>
          <w:divBdr>
            <w:top w:val="none" w:sz="0" w:space="0" w:color="auto"/>
            <w:left w:val="none" w:sz="0" w:space="0" w:color="auto"/>
            <w:bottom w:val="none" w:sz="0" w:space="0" w:color="auto"/>
            <w:right w:val="none" w:sz="0" w:space="0" w:color="auto"/>
          </w:divBdr>
          <w:divsChild>
            <w:div w:id="267154862">
              <w:marLeft w:val="0"/>
              <w:marRight w:val="0"/>
              <w:marTop w:val="0"/>
              <w:marBottom w:val="0"/>
              <w:divBdr>
                <w:top w:val="none" w:sz="0" w:space="0" w:color="auto"/>
                <w:left w:val="none" w:sz="0" w:space="0" w:color="auto"/>
                <w:bottom w:val="none" w:sz="0" w:space="0" w:color="auto"/>
                <w:right w:val="none" w:sz="0" w:space="0" w:color="auto"/>
              </w:divBdr>
            </w:div>
          </w:divsChild>
        </w:div>
        <w:div w:id="915868015">
          <w:marLeft w:val="0"/>
          <w:marRight w:val="0"/>
          <w:marTop w:val="0"/>
          <w:marBottom w:val="0"/>
          <w:divBdr>
            <w:top w:val="none" w:sz="0" w:space="0" w:color="auto"/>
            <w:left w:val="none" w:sz="0" w:space="0" w:color="auto"/>
            <w:bottom w:val="none" w:sz="0" w:space="0" w:color="auto"/>
            <w:right w:val="none" w:sz="0" w:space="0" w:color="auto"/>
          </w:divBdr>
          <w:divsChild>
            <w:div w:id="620919808">
              <w:marLeft w:val="0"/>
              <w:marRight w:val="0"/>
              <w:marTop w:val="0"/>
              <w:marBottom w:val="0"/>
              <w:divBdr>
                <w:top w:val="none" w:sz="0" w:space="0" w:color="auto"/>
                <w:left w:val="none" w:sz="0" w:space="0" w:color="auto"/>
                <w:bottom w:val="none" w:sz="0" w:space="0" w:color="auto"/>
                <w:right w:val="none" w:sz="0" w:space="0" w:color="auto"/>
              </w:divBdr>
            </w:div>
          </w:divsChild>
        </w:div>
        <w:div w:id="939876355">
          <w:marLeft w:val="0"/>
          <w:marRight w:val="0"/>
          <w:marTop w:val="0"/>
          <w:marBottom w:val="0"/>
          <w:divBdr>
            <w:top w:val="none" w:sz="0" w:space="0" w:color="auto"/>
            <w:left w:val="none" w:sz="0" w:space="0" w:color="auto"/>
            <w:bottom w:val="none" w:sz="0" w:space="0" w:color="auto"/>
            <w:right w:val="none" w:sz="0" w:space="0" w:color="auto"/>
          </w:divBdr>
          <w:divsChild>
            <w:div w:id="374816881">
              <w:marLeft w:val="0"/>
              <w:marRight w:val="0"/>
              <w:marTop w:val="0"/>
              <w:marBottom w:val="0"/>
              <w:divBdr>
                <w:top w:val="none" w:sz="0" w:space="0" w:color="auto"/>
                <w:left w:val="none" w:sz="0" w:space="0" w:color="auto"/>
                <w:bottom w:val="none" w:sz="0" w:space="0" w:color="auto"/>
                <w:right w:val="none" w:sz="0" w:space="0" w:color="auto"/>
              </w:divBdr>
            </w:div>
          </w:divsChild>
        </w:div>
        <w:div w:id="986083671">
          <w:marLeft w:val="0"/>
          <w:marRight w:val="0"/>
          <w:marTop w:val="0"/>
          <w:marBottom w:val="0"/>
          <w:divBdr>
            <w:top w:val="none" w:sz="0" w:space="0" w:color="auto"/>
            <w:left w:val="none" w:sz="0" w:space="0" w:color="auto"/>
            <w:bottom w:val="none" w:sz="0" w:space="0" w:color="auto"/>
            <w:right w:val="none" w:sz="0" w:space="0" w:color="auto"/>
          </w:divBdr>
          <w:divsChild>
            <w:div w:id="1690523302">
              <w:marLeft w:val="0"/>
              <w:marRight w:val="0"/>
              <w:marTop w:val="0"/>
              <w:marBottom w:val="0"/>
              <w:divBdr>
                <w:top w:val="none" w:sz="0" w:space="0" w:color="auto"/>
                <w:left w:val="none" w:sz="0" w:space="0" w:color="auto"/>
                <w:bottom w:val="none" w:sz="0" w:space="0" w:color="auto"/>
                <w:right w:val="none" w:sz="0" w:space="0" w:color="auto"/>
              </w:divBdr>
            </w:div>
          </w:divsChild>
        </w:div>
        <w:div w:id="1081752451">
          <w:marLeft w:val="0"/>
          <w:marRight w:val="0"/>
          <w:marTop w:val="0"/>
          <w:marBottom w:val="0"/>
          <w:divBdr>
            <w:top w:val="none" w:sz="0" w:space="0" w:color="auto"/>
            <w:left w:val="none" w:sz="0" w:space="0" w:color="auto"/>
            <w:bottom w:val="none" w:sz="0" w:space="0" w:color="auto"/>
            <w:right w:val="none" w:sz="0" w:space="0" w:color="auto"/>
          </w:divBdr>
          <w:divsChild>
            <w:div w:id="83767224">
              <w:marLeft w:val="0"/>
              <w:marRight w:val="0"/>
              <w:marTop w:val="0"/>
              <w:marBottom w:val="0"/>
              <w:divBdr>
                <w:top w:val="none" w:sz="0" w:space="0" w:color="auto"/>
                <w:left w:val="none" w:sz="0" w:space="0" w:color="auto"/>
                <w:bottom w:val="none" w:sz="0" w:space="0" w:color="auto"/>
                <w:right w:val="none" w:sz="0" w:space="0" w:color="auto"/>
              </w:divBdr>
            </w:div>
          </w:divsChild>
        </w:div>
        <w:div w:id="1236280060">
          <w:marLeft w:val="0"/>
          <w:marRight w:val="0"/>
          <w:marTop w:val="0"/>
          <w:marBottom w:val="0"/>
          <w:divBdr>
            <w:top w:val="none" w:sz="0" w:space="0" w:color="auto"/>
            <w:left w:val="none" w:sz="0" w:space="0" w:color="auto"/>
            <w:bottom w:val="none" w:sz="0" w:space="0" w:color="auto"/>
            <w:right w:val="none" w:sz="0" w:space="0" w:color="auto"/>
          </w:divBdr>
          <w:divsChild>
            <w:div w:id="1383671509">
              <w:marLeft w:val="0"/>
              <w:marRight w:val="0"/>
              <w:marTop w:val="0"/>
              <w:marBottom w:val="0"/>
              <w:divBdr>
                <w:top w:val="none" w:sz="0" w:space="0" w:color="auto"/>
                <w:left w:val="none" w:sz="0" w:space="0" w:color="auto"/>
                <w:bottom w:val="none" w:sz="0" w:space="0" w:color="auto"/>
                <w:right w:val="none" w:sz="0" w:space="0" w:color="auto"/>
              </w:divBdr>
            </w:div>
          </w:divsChild>
        </w:div>
        <w:div w:id="1263100932">
          <w:marLeft w:val="0"/>
          <w:marRight w:val="0"/>
          <w:marTop w:val="0"/>
          <w:marBottom w:val="0"/>
          <w:divBdr>
            <w:top w:val="none" w:sz="0" w:space="0" w:color="auto"/>
            <w:left w:val="none" w:sz="0" w:space="0" w:color="auto"/>
            <w:bottom w:val="none" w:sz="0" w:space="0" w:color="auto"/>
            <w:right w:val="none" w:sz="0" w:space="0" w:color="auto"/>
          </w:divBdr>
          <w:divsChild>
            <w:div w:id="922690050">
              <w:marLeft w:val="0"/>
              <w:marRight w:val="0"/>
              <w:marTop w:val="0"/>
              <w:marBottom w:val="0"/>
              <w:divBdr>
                <w:top w:val="none" w:sz="0" w:space="0" w:color="auto"/>
                <w:left w:val="none" w:sz="0" w:space="0" w:color="auto"/>
                <w:bottom w:val="none" w:sz="0" w:space="0" w:color="auto"/>
                <w:right w:val="none" w:sz="0" w:space="0" w:color="auto"/>
              </w:divBdr>
            </w:div>
          </w:divsChild>
        </w:div>
        <w:div w:id="1285430431">
          <w:marLeft w:val="0"/>
          <w:marRight w:val="0"/>
          <w:marTop w:val="0"/>
          <w:marBottom w:val="0"/>
          <w:divBdr>
            <w:top w:val="none" w:sz="0" w:space="0" w:color="auto"/>
            <w:left w:val="none" w:sz="0" w:space="0" w:color="auto"/>
            <w:bottom w:val="none" w:sz="0" w:space="0" w:color="auto"/>
            <w:right w:val="none" w:sz="0" w:space="0" w:color="auto"/>
          </w:divBdr>
          <w:divsChild>
            <w:div w:id="1757243181">
              <w:marLeft w:val="0"/>
              <w:marRight w:val="0"/>
              <w:marTop w:val="0"/>
              <w:marBottom w:val="0"/>
              <w:divBdr>
                <w:top w:val="none" w:sz="0" w:space="0" w:color="auto"/>
                <w:left w:val="none" w:sz="0" w:space="0" w:color="auto"/>
                <w:bottom w:val="none" w:sz="0" w:space="0" w:color="auto"/>
                <w:right w:val="none" w:sz="0" w:space="0" w:color="auto"/>
              </w:divBdr>
            </w:div>
          </w:divsChild>
        </w:div>
        <w:div w:id="1411318598">
          <w:marLeft w:val="0"/>
          <w:marRight w:val="0"/>
          <w:marTop w:val="0"/>
          <w:marBottom w:val="0"/>
          <w:divBdr>
            <w:top w:val="none" w:sz="0" w:space="0" w:color="auto"/>
            <w:left w:val="none" w:sz="0" w:space="0" w:color="auto"/>
            <w:bottom w:val="none" w:sz="0" w:space="0" w:color="auto"/>
            <w:right w:val="none" w:sz="0" w:space="0" w:color="auto"/>
          </w:divBdr>
          <w:divsChild>
            <w:div w:id="1610618860">
              <w:marLeft w:val="0"/>
              <w:marRight w:val="0"/>
              <w:marTop w:val="0"/>
              <w:marBottom w:val="0"/>
              <w:divBdr>
                <w:top w:val="none" w:sz="0" w:space="0" w:color="auto"/>
                <w:left w:val="none" w:sz="0" w:space="0" w:color="auto"/>
                <w:bottom w:val="none" w:sz="0" w:space="0" w:color="auto"/>
                <w:right w:val="none" w:sz="0" w:space="0" w:color="auto"/>
              </w:divBdr>
            </w:div>
          </w:divsChild>
        </w:div>
        <w:div w:id="1637030043">
          <w:marLeft w:val="0"/>
          <w:marRight w:val="0"/>
          <w:marTop w:val="0"/>
          <w:marBottom w:val="0"/>
          <w:divBdr>
            <w:top w:val="none" w:sz="0" w:space="0" w:color="auto"/>
            <w:left w:val="none" w:sz="0" w:space="0" w:color="auto"/>
            <w:bottom w:val="none" w:sz="0" w:space="0" w:color="auto"/>
            <w:right w:val="none" w:sz="0" w:space="0" w:color="auto"/>
          </w:divBdr>
          <w:divsChild>
            <w:div w:id="638458641">
              <w:marLeft w:val="0"/>
              <w:marRight w:val="0"/>
              <w:marTop w:val="0"/>
              <w:marBottom w:val="0"/>
              <w:divBdr>
                <w:top w:val="none" w:sz="0" w:space="0" w:color="auto"/>
                <w:left w:val="none" w:sz="0" w:space="0" w:color="auto"/>
                <w:bottom w:val="none" w:sz="0" w:space="0" w:color="auto"/>
                <w:right w:val="none" w:sz="0" w:space="0" w:color="auto"/>
              </w:divBdr>
            </w:div>
          </w:divsChild>
        </w:div>
        <w:div w:id="1680229156">
          <w:marLeft w:val="0"/>
          <w:marRight w:val="0"/>
          <w:marTop w:val="0"/>
          <w:marBottom w:val="0"/>
          <w:divBdr>
            <w:top w:val="none" w:sz="0" w:space="0" w:color="auto"/>
            <w:left w:val="none" w:sz="0" w:space="0" w:color="auto"/>
            <w:bottom w:val="none" w:sz="0" w:space="0" w:color="auto"/>
            <w:right w:val="none" w:sz="0" w:space="0" w:color="auto"/>
          </w:divBdr>
          <w:divsChild>
            <w:div w:id="1601453296">
              <w:marLeft w:val="0"/>
              <w:marRight w:val="0"/>
              <w:marTop w:val="0"/>
              <w:marBottom w:val="0"/>
              <w:divBdr>
                <w:top w:val="none" w:sz="0" w:space="0" w:color="auto"/>
                <w:left w:val="none" w:sz="0" w:space="0" w:color="auto"/>
                <w:bottom w:val="none" w:sz="0" w:space="0" w:color="auto"/>
                <w:right w:val="none" w:sz="0" w:space="0" w:color="auto"/>
              </w:divBdr>
            </w:div>
          </w:divsChild>
        </w:div>
        <w:div w:id="1869248022">
          <w:marLeft w:val="0"/>
          <w:marRight w:val="0"/>
          <w:marTop w:val="0"/>
          <w:marBottom w:val="0"/>
          <w:divBdr>
            <w:top w:val="none" w:sz="0" w:space="0" w:color="auto"/>
            <w:left w:val="none" w:sz="0" w:space="0" w:color="auto"/>
            <w:bottom w:val="none" w:sz="0" w:space="0" w:color="auto"/>
            <w:right w:val="none" w:sz="0" w:space="0" w:color="auto"/>
          </w:divBdr>
          <w:divsChild>
            <w:div w:id="624852203">
              <w:marLeft w:val="0"/>
              <w:marRight w:val="0"/>
              <w:marTop w:val="0"/>
              <w:marBottom w:val="0"/>
              <w:divBdr>
                <w:top w:val="none" w:sz="0" w:space="0" w:color="auto"/>
                <w:left w:val="none" w:sz="0" w:space="0" w:color="auto"/>
                <w:bottom w:val="none" w:sz="0" w:space="0" w:color="auto"/>
                <w:right w:val="none" w:sz="0" w:space="0" w:color="auto"/>
              </w:divBdr>
            </w:div>
          </w:divsChild>
        </w:div>
        <w:div w:id="1986859559">
          <w:marLeft w:val="0"/>
          <w:marRight w:val="0"/>
          <w:marTop w:val="0"/>
          <w:marBottom w:val="0"/>
          <w:divBdr>
            <w:top w:val="none" w:sz="0" w:space="0" w:color="auto"/>
            <w:left w:val="none" w:sz="0" w:space="0" w:color="auto"/>
            <w:bottom w:val="none" w:sz="0" w:space="0" w:color="auto"/>
            <w:right w:val="none" w:sz="0" w:space="0" w:color="auto"/>
          </w:divBdr>
          <w:divsChild>
            <w:div w:id="267393519">
              <w:marLeft w:val="0"/>
              <w:marRight w:val="0"/>
              <w:marTop w:val="0"/>
              <w:marBottom w:val="0"/>
              <w:divBdr>
                <w:top w:val="none" w:sz="0" w:space="0" w:color="auto"/>
                <w:left w:val="none" w:sz="0" w:space="0" w:color="auto"/>
                <w:bottom w:val="none" w:sz="0" w:space="0" w:color="auto"/>
                <w:right w:val="none" w:sz="0" w:space="0" w:color="auto"/>
              </w:divBdr>
            </w:div>
          </w:divsChild>
        </w:div>
        <w:div w:id="2077777210">
          <w:marLeft w:val="0"/>
          <w:marRight w:val="0"/>
          <w:marTop w:val="0"/>
          <w:marBottom w:val="0"/>
          <w:divBdr>
            <w:top w:val="none" w:sz="0" w:space="0" w:color="auto"/>
            <w:left w:val="none" w:sz="0" w:space="0" w:color="auto"/>
            <w:bottom w:val="none" w:sz="0" w:space="0" w:color="auto"/>
            <w:right w:val="none" w:sz="0" w:space="0" w:color="auto"/>
          </w:divBdr>
          <w:divsChild>
            <w:div w:id="18913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24.xml"/><Relationship Id="rId21" Type="http://schemas.openxmlformats.org/officeDocument/2006/relationships/image" Target="media/image5.png"/><Relationship Id="rId42" Type="http://schemas.openxmlformats.org/officeDocument/2006/relationships/header" Target="header13.xml"/><Relationship Id="rId63" Type="http://schemas.openxmlformats.org/officeDocument/2006/relationships/hyperlink" Target="https://www.nature.com/articles/s41597-025-04431-z" TargetMode="External"/><Relationship Id="rId84" Type="http://schemas.openxmlformats.org/officeDocument/2006/relationships/image" Target="media/image18.png"/><Relationship Id="rId138" Type="http://schemas.microsoft.com/office/2019/05/relationships/documenttasks" Target="documenttasks/documenttasks1.xml"/><Relationship Id="rId16" Type="http://schemas.openxmlformats.org/officeDocument/2006/relationships/header" Target="header3.xml"/><Relationship Id="rId107" Type="http://schemas.openxmlformats.org/officeDocument/2006/relationships/image" Target="media/image38.png"/><Relationship Id="rId11" Type="http://schemas.openxmlformats.org/officeDocument/2006/relationships/image" Target="media/image1.emf"/><Relationship Id="rId32" Type="http://schemas.openxmlformats.org/officeDocument/2006/relationships/footer" Target="footer7.xml"/><Relationship Id="rId37" Type="http://schemas.openxmlformats.org/officeDocument/2006/relationships/header" Target="header11.xml"/><Relationship Id="rId53" Type="http://schemas.openxmlformats.org/officeDocument/2006/relationships/header" Target="header18.xml"/><Relationship Id="rId58" Type="http://schemas.openxmlformats.org/officeDocument/2006/relationships/footer" Target="footer16.xml"/><Relationship Id="rId74" Type="http://schemas.openxmlformats.org/officeDocument/2006/relationships/header" Target="header26.xml"/><Relationship Id="rId79" Type="http://schemas.openxmlformats.org/officeDocument/2006/relationships/image" Target="media/image13.png"/><Relationship Id="rId102" Type="http://schemas.openxmlformats.org/officeDocument/2006/relationships/image" Target="media/image33.png"/><Relationship Id="rId123" Type="http://schemas.openxmlformats.org/officeDocument/2006/relationships/footer" Target="footer25.xml"/><Relationship Id="rId128" Type="http://schemas.openxmlformats.org/officeDocument/2006/relationships/image" Target="media/image44.png"/><Relationship Id="rId5" Type="http://schemas.openxmlformats.org/officeDocument/2006/relationships/numbering" Target="numbering.xml"/><Relationship Id="rId90" Type="http://schemas.openxmlformats.org/officeDocument/2006/relationships/hyperlink" Target="https://ec.europa.eu/commission/presscorner/detail/en/ip_20_1867" TargetMode="External"/><Relationship Id="rId95" Type="http://schemas.openxmlformats.org/officeDocument/2006/relationships/image" Target="media/image28.png"/><Relationship Id="rId22" Type="http://schemas.openxmlformats.org/officeDocument/2006/relationships/image" Target="media/image6.png"/><Relationship Id="rId27" Type="http://schemas.openxmlformats.org/officeDocument/2006/relationships/footer" Target="footer5.xml"/><Relationship Id="rId43" Type="http://schemas.openxmlformats.org/officeDocument/2006/relationships/header" Target="header14.xml"/><Relationship Id="rId48" Type="http://schemas.openxmlformats.org/officeDocument/2006/relationships/image" Target="media/image10.png"/><Relationship Id="rId64" Type="http://schemas.openxmlformats.org/officeDocument/2006/relationships/hyperlink" Target="https://www.nature.com/articles/s41597-025-04431-z" TargetMode="External"/><Relationship Id="rId69" Type="http://schemas.openxmlformats.org/officeDocument/2006/relationships/header" Target="header23.xml"/><Relationship Id="rId113" Type="http://schemas.openxmlformats.org/officeDocument/2006/relationships/footer" Target="footer23.xml"/><Relationship Id="rId118" Type="http://schemas.openxmlformats.org/officeDocument/2006/relationships/header" Target="header33.xml"/><Relationship Id="rId134" Type="http://schemas.openxmlformats.org/officeDocument/2006/relationships/footer" Target="footer26.xml"/><Relationship Id="rId139" Type="http://schemas.microsoft.com/office/2020/10/relationships/intelligence" Target="intelligence2.xml"/><Relationship Id="rId80" Type="http://schemas.openxmlformats.org/officeDocument/2006/relationships/image" Target="media/image14.png"/><Relationship Id="rId85" Type="http://schemas.openxmlformats.org/officeDocument/2006/relationships/image" Target="media/image19.png"/><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8.xml"/><Relationship Id="rId38" Type="http://schemas.openxmlformats.org/officeDocument/2006/relationships/footer" Target="footer10.xml"/><Relationship Id="rId59" Type="http://schemas.openxmlformats.org/officeDocument/2006/relationships/hyperlink" Target="https://joint-research-centre.ec.europa.eu/projects-and-activities/trade-and-industrial-policy-analysis/industrial-policy/carmen-model_en" TargetMode="External"/><Relationship Id="rId103" Type="http://schemas.openxmlformats.org/officeDocument/2006/relationships/image" Target="media/image34.jpeg"/><Relationship Id="rId108" Type="http://schemas.openxmlformats.org/officeDocument/2006/relationships/header" Target="header28.xml"/><Relationship Id="rId124" Type="http://schemas.openxmlformats.org/officeDocument/2006/relationships/header" Target="header36.xml"/><Relationship Id="rId129" Type="http://schemas.openxmlformats.org/officeDocument/2006/relationships/image" Target="media/image45.png"/><Relationship Id="rId54" Type="http://schemas.openxmlformats.org/officeDocument/2006/relationships/header" Target="header19.xml"/><Relationship Id="rId70" Type="http://schemas.openxmlformats.org/officeDocument/2006/relationships/footer" Target="footer17.xml"/><Relationship Id="rId75" Type="http://schemas.openxmlformats.org/officeDocument/2006/relationships/footer" Target="footer19.xml"/><Relationship Id="rId91" Type="http://schemas.openxmlformats.org/officeDocument/2006/relationships/image" Target="media/image24.png"/><Relationship Id="rId96" Type="http://schemas.openxmlformats.org/officeDocument/2006/relationships/image" Target="media/image29.emf"/><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png"/><Relationship Id="rId28" Type="http://schemas.openxmlformats.org/officeDocument/2006/relationships/header" Target="header6.xml"/><Relationship Id="rId49" Type="http://schemas.openxmlformats.org/officeDocument/2006/relationships/image" Target="media/image11.png"/><Relationship Id="rId114" Type="http://schemas.openxmlformats.org/officeDocument/2006/relationships/image" Target="media/image39.png"/><Relationship Id="rId119" Type="http://schemas.openxmlformats.org/officeDocument/2006/relationships/image" Target="media/image40.png"/><Relationship Id="rId44" Type="http://schemas.openxmlformats.org/officeDocument/2006/relationships/footer" Target="footer13.xml"/><Relationship Id="rId60" Type="http://schemas.openxmlformats.org/officeDocument/2006/relationships/hyperlink" Target="https://publications.jrc.ec.europa.eu/repository/handle/JRC132883" TargetMode="External"/><Relationship Id="rId65" Type="http://schemas.openxmlformats.org/officeDocument/2006/relationships/hyperlink" Target="https://ec.europa.eu/eurostat/web/esa-supply-use-input-tables/database" TargetMode="External"/><Relationship Id="rId81" Type="http://schemas.openxmlformats.org/officeDocument/2006/relationships/image" Target="media/image15.png"/><Relationship Id="rId86" Type="http://schemas.openxmlformats.org/officeDocument/2006/relationships/image" Target="media/image20.png"/><Relationship Id="rId130" Type="http://schemas.openxmlformats.org/officeDocument/2006/relationships/image" Target="media/image46.png"/><Relationship Id="rId135" Type="http://schemas.openxmlformats.org/officeDocument/2006/relationships/header" Target="header39.xml"/><Relationship Id="rId13" Type="http://schemas.openxmlformats.org/officeDocument/2006/relationships/header" Target="header2.xml"/><Relationship Id="rId18" Type="http://schemas.openxmlformats.org/officeDocument/2006/relationships/image" Target="media/image2.emf"/><Relationship Id="rId39" Type="http://schemas.openxmlformats.org/officeDocument/2006/relationships/footer" Target="footer11.xml"/><Relationship Id="rId109" Type="http://schemas.openxmlformats.org/officeDocument/2006/relationships/header" Target="header29.xml"/><Relationship Id="rId34" Type="http://schemas.openxmlformats.org/officeDocument/2006/relationships/header" Target="header9.xml"/><Relationship Id="rId50" Type="http://schemas.openxmlformats.org/officeDocument/2006/relationships/header" Target="header16.xml"/><Relationship Id="rId55" Type="http://schemas.openxmlformats.org/officeDocument/2006/relationships/header" Target="header20.xml"/><Relationship Id="rId76" Type="http://schemas.openxmlformats.org/officeDocument/2006/relationships/header" Target="header27.xml"/><Relationship Id="rId97" Type="http://schemas.openxmlformats.org/officeDocument/2006/relationships/hyperlink" Target="https://eur-lex.europa.eu/legal-content/EN/TXT/PDF/?uri=OJ:C_202503236" TargetMode="External"/><Relationship Id="rId104" Type="http://schemas.openxmlformats.org/officeDocument/2006/relationships/image" Target="media/image35.png"/><Relationship Id="rId120" Type="http://schemas.openxmlformats.org/officeDocument/2006/relationships/hyperlink" Target="https://euc-word-edit.officeapps.live.com/we/wordeditorframe.aspx?ui=en-US&amp;rs=en-IE&amp;wopisrc=https%3A%2F%2Feceuropaeu.sharepoint.com%2Fteams%2FGRP-IndustrialDecarbonisationAcceleratorActIDAA%2F_vti_bin%2Fwopi.ashx%2Ffiles%2Ff0e280a1ef0743c3b9ca204836715fbc&amp;wdorigin=TEAMS-MAGLEV.teamsSdk_ns.rwc&amp;wdexp=TEAMS-TREATMENT&amp;wdhostclicktime=1760536893835&amp;wdenableroaming=1&amp;mscc=1&amp;hid=9FA5CFA1-B059-0000-0121-1FCEBAEEFAFF.0&amp;uih=sharepointcom&amp;wdlcid=en-US&amp;jsapi=1&amp;jsapiver=v2&amp;corrid=f1af5492-2958-5144-fc17-4dd731badade&amp;usid=f1af5492-2958-5144-fc17-4dd731badade&amp;newsession=1&amp;sftc=1&amp;uihit=docaspx&amp;muv=1&amp;ats=PairwiseBroker&amp;cac=1&amp;sams=1&amp;mtf=1&amp;sfp=1&amp;sdp=1&amp;hch=1&amp;hwfh=1&amp;dchat=1&amp;sc=%7B%22pmo%22%3A%22https%3A%2F%2Feceuropaeu.sharepoint.com%22%2C%22pmshare%22%3Atrue%7D&amp;ctp=LeastProtected&amp;rct=Normal&amp;afdflight=58&amp;csiro=1&amp;instantedit=1&amp;wopicomplete=1&amp;wdredirectionreason=Unified_SingleFlush" TargetMode="External"/><Relationship Id="rId125" Type="http://schemas.openxmlformats.org/officeDocument/2006/relationships/image" Target="media/image41.png"/><Relationship Id="rId7" Type="http://schemas.openxmlformats.org/officeDocument/2006/relationships/settings" Target="settings.xml"/><Relationship Id="rId71" Type="http://schemas.openxmlformats.org/officeDocument/2006/relationships/header" Target="header24.xml"/><Relationship Id="rId92" Type="http://schemas.openxmlformats.org/officeDocument/2006/relationships/image" Target="media/image25.png"/><Relationship Id="rId2" Type="http://schemas.openxmlformats.org/officeDocument/2006/relationships/customXml" Target="../customXml/item2.xml"/><Relationship Id="rId29" Type="http://schemas.openxmlformats.org/officeDocument/2006/relationships/footer" Target="footer6.xml"/><Relationship Id="rId24" Type="http://schemas.openxmlformats.org/officeDocument/2006/relationships/header" Target="header4.xml"/><Relationship Id="rId40" Type="http://schemas.openxmlformats.org/officeDocument/2006/relationships/header" Target="header12.xml"/><Relationship Id="rId45" Type="http://schemas.openxmlformats.org/officeDocument/2006/relationships/header" Target="header15.xml"/><Relationship Id="rId66" Type="http://schemas.openxmlformats.org/officeDocument/2006/relationships/hyperlink" Target="https://ec.europa.eu/eurostat/web/products-statistical-working-papers/-/ks-tc-19-002" TargetMode="External"/><Relationship Id="rId87" Type="http://schemas.openxmlformats.org/officeDocument/2006/relationships/image" Target="media/image21.png"/><Relationship Id="rId110" Type="http://schemas.openxmlformats.org/officeDocument/2006/relationships/footer" Target="footer21.xml"/><Relationship Id="rId115" Type="http://schemas.openxmlformats.org/officeDocument/2006/relationships/header" Target="header31.xml"/><Relationship Id="rId131" Type="http://schemas.openxmlformats.org/officeDocument/2006/relationships/image" Target="media/image47.png"/><Relationship Id="rId136" Type="http://schemas.openxmlformats.org/officeDocument/2006/relationships/fontTable" Target="fontTable.xml"/><Relationship Id="rId61" Type="http://schemas.openxmlformats.org/officeDocument/2006/relationships/hyperlink" Target="https://www.cambridge.org/us/universitypress/subjects/economics/econometrics-statistics-and-mathematical-economics/input-output-analysis-foundations-and-extensions-3rd-edition?format=PB&amp;isbn=9781108723534" TargetMode="External"/><Relationship Id="rId82" Type="http://schemas.openxmlformats.org/officeDocument/2006/relationships/image" Target="media/image16.png"/><Relationship Id="rId19" Type="http://schemas.openxmlformats.org/officeDocument/2006/relationships/image" Target="media/image3.png"/><Relationship Id="rId14" Type="http://schemas.openxmlformats.org/officeDocument/2006/relationships/footer" Target="footer1.xml"/><Relationship Id="rId30" Type="http://schemas.openxmlformats.org/officeDocument/2006/relationships/header" Target="header7.xml"/><Relationship Id="rId35" Type="http://schemas.openxmlformats.org/officeDocument/2006/relationships/footer" Target="footer9.xml"/><Relationship Id="rId56" Type="http://schemas.openxmlformats.org/officeDocument/2006/relationships/footer" Target="footer15.xml"/><Relationship Id="rId77" Type="http://schemas.openxmlformats.org/officeDocument/2006/relationships/footer" Target="footer20.xml"/><Relationship Id="rId100" Type="http://schemas.openxmlformats.org/officeDocument/2006/relationships/image" Target="media/image31.png"/><Relationship Id="rId105" Type="http://schemas.openxmlformats.org/officeDocument/2006/relationships/image" Target="media/image36.png"/><Relationship Id="rId126" Type="http://schemas.openxmlformats.org/officeDocument/2006/relationships/image" Target="media/image42.png"/><Relationship Id="rId8" Type="http://schemas.openxmlformats.org/officeDocument/2006/relationships/webSettings" Target="webSettings.xml"/><Relationship Id="rId51" Type="http://schemas.openxmlformats.org/officeDocument/2006/relationships/header" Target="header17.xml"/><Relationship Id="rId72" Type="http://schemas.openxmlformats.org/officeDocument/2006/relationships/footer" Target="footer18.xml"/><Relationship Id="rId93" Type="http://schemas.openxmlformats.org/officeDocument/2006/relationships/image" Target="media/image26.png"/><Relationship Id="rId98" Type="http://schemas.openxmlformats.org/officeDocument/2006/relationships/image" Target="media/image30.png"/><Relationship Id="rId121" Type="http://schemas.openxmlformats.org/officeDocument/2006/relationships/header" Target="header34.xml"/><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image" Target="media/image8.png"/><Relationship Id="rId67" Type="http://schemas.openxmlformats.org/officeDocument/2006/relationships/hyperlink" Target="https://euc-word-edit.officeapps.live.com/we/wordeditorframe.aspx?ui=en-US&amp;rs=en-IE&amp;wopisrc=https%3A%2F%2Feceuropaeu.sharepoint.com%2Fteams%2FGRP-IndustrialDecarbonisationAcceleratorActIDAA%2F_vti_bin%2Fwopi.ashx%2Ffiles%2Ff0e280a1ef0743c3b9ca204836715fbc&amp;wdorigin=TEAMS-MAGLEV.teamsSdk_ns.rwc&amp;wdexp=TEAMS-TREATMENT&amp;wdhostclicktime=1760536893835&amp;wdenableroaming=1&amp;mscc=1&amp;hid=9FA5CFA1-B059-0000-0121-1FCEBAEEFAFF.0&amp;uih=sharepointcom&amp;wdlcid=en-US&amp;jsapi=1&amp;jsapiver=v2&amp;corrid=f1af5492-2958-5144-fc17-4dd731badade&amp;usid=f1af5492-2958-5144-fc17-4dd731badade&amp;newsession=1&amp;sftc=1&amp;uihit=docaspx&amp;muv=1&amp;ats=PairwiseBroker&amp;cac=1&amp;sams=1&amp;mtf=1&amp;sfp=1&amp;sdp=1&amp;hch=1&amp;hwfh=1&amp;dchat=1&amp;sc=%7B%22pmo%22%3A%22https%3A%2F%2Feceuropaeu.sharepoint.com%22%2C%22pmshare%22%3Atrue%7D&amp;ctp=LeastProtected&amp;rct=Normal&amp;afdflight=58&amp;csiro=1&amp;instantedit=1&amp;wopicomplete=1&amp;wdredirectionreason=Unified_SingleFlush" TargetMode="External"/><Relationship Id="rId116" Type="http://schemas.openxmlformats.org/officeDocument/2006/relationships/header" Target="header32.xml"/><Relationship Id="rId137"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footer" Target="footer12.xml"/><Relationship Id="rId62" Type="http://schemas.openxmlformats.org/officeDocument/2006/relationships/hyperlink" Target="https://joint-research-centre.ec.europa.eu/projects-and-activities/trade-and-industrial-policy-analysis/industrial-policy/fidelio-model_en" TargetMode="External"/><Relationship Id="rId83" Type="http://schemas.openxmlformats.org/officeDocument/2006/relationships/image" Target="media/image17.jpeg"/><Relationship Id="rId88" Type="http://schemas.openxmlformats.org/officeDocument/2006/relationships/image" Target="media/image22.png"/><Relationship Id="rId111" Type="http://schemas.openxmlformats.org/officeDocument/2006/relationships/footer" Target="footer22.xml"/><Relationship Id="rId132" Type="http://schemas.openxmlformats.org/officeDocument/2006/relationships/header" Target="header37.xml"/><Relationship Id="rId15" Type="http://schemas.openxmlformats.org/officeDocument/2006/relationships/footer" Target="footer2.xml"/><Relationship Id="rId36" Type="http://schemas.openxmlformats.org/officeDocument/2006/relationships/header" Target="header10.xml"/><Relationship Id="rId57" Type="http://schemas.openxmlformats.org/officeDocument/2006/relationships/header" Target="header21.xml"/><Relationship Id="rId106" Type="http://schemas.openxmlformats.org/officeDocument/2006/relationships/image" Target="media/image37.png"/><Relationship Id="rId12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header" Target="header8.xml"/><Relationship Id="rId52" Type="http://schemas.openxmlformats.org/officeDocument/2006/relationships/footer" Target="footer14.xml"/><Relationship Id="rId73" Type="http://schemas.openxmlformats.org/officeDocument/2006/relationships/header" Target="header25.xml"/><Relationship Id="rId78" Type="http://schemas.openxmlformats.org/officeDocument/2006/relationships/image" Target="media/image12.png"/><Relationship Id="rId94" Type="http://schemas.openxmlformats.org/officeDocument/2006/relationships/image" Target="media/image27.png"/><Relationship Id="rId99" Type="http://schemas.openxmlformats.org/officeDocument/2006/relationships/hyperlink" Target="https://app.powerbi.com/groups/me/reports/c9a56f1a-10e6-4ba3-b3cb-a215b12870ba/ReportSection822a6b986314257e7758?experience=power-bi&amp;clientSideAuth=0" TargetMode="External"/><Relationship Id="rId101" Type="http://schemas.openxmlformats.org/officeDocument/2006/relationships/image" Target="media/image32.png"/><Relationship Id="rId122" Type="http://schemas.openxmlformats.org/officeDocument/2006/relationships/header" Target="header35.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4.xml"/><Relationship Id="rId47" Type="http://schemas.openxmlformats.org/officeDocument/2006/relationships/image" Target="media/image9.png"/><Relationship Id="rId68" Type="http://schemas.openxmlformats.org/officeDocument/2006/relationships/header" Target="header22.xml"/><Relationship Id="rId89" Type="http://schemas.openxmlformats.org/officeDocument/2006/relationships/image" Target="media/image23.png"/><Relationship Id="rId112" Type="http://schemas.openxmlformats.org/officeDocument/2006/relationships/header" Target="header30.xml"/><Relationship Id="rId133" Type="http://schemas.openxmlformats.org/officeDocument/2006/relationships/header" Target="header38.xml"/></Relationships>
</file>

<file path=word/_rels/footnotes.xml.rels><?xml version="1.0" encoding="UTF-8" standalone="yes"?>
<Relationships xmlns="http://schemas.openxmlformats.org/package/2006/relationships"><Relationship Id="rId117" Type="http://schemas.openxmlformats.org/officeDocument/2006/relationships/hyperlink" Target="https://www.bundeswirtschaftsministerium.de/Redaktion/DE/FAQ/EEG-2017/fragen-und-antworten-zum-eeg-2017.html" TargetMode="External"/><Relationship Id="rId299" Type="http://schemas.openxmlformats.org/officeDocument/2006/relationships/hyperlink" Target="https://ieu-monitoring.com/editorial/eurostat-reports-drop-in-imports-of-energy-products-to-the-eu/442822" TargetMode="External"/><Relationship Id="rId21" Type="http://schemas.openxmlformats.org/officeDocument/2006/relationships/hyperlink" Target="https://eur-lex.europa.eu/legal-content/EN/TXT/PDF/?uri=CELEX:02003L0087-20230605" TargetMode="External"/><Relationship Id="rId63" Type="http://schemas.openxmlformats.org/officeDocument/2006/relationships/hyperlink" Target="https://www.clepa.eu/insights-updates/publications/automotive-suppliers-in-the-eu-ri-vision-on-circularity/" TargetMode="External"/><Relationship Id="rId159" Type="http://schemas.openxmlformats.org/officeDocument/2006/relationships/hyperlink" Target="https://cdn.prod.website-files.com/6538e481169ed7220c330f0a/6602e990a68fb2bab0a7ce49_Certification-Fees.pdf" TargetMode="External"/><Relationship Id="rId324" Type="http://schemas.openxmlformats.org/officeDocument/2006/relationships/hyperlink" Target="https://op.europa.eu/en/publication-detail/-/publication/ca10d3e8-bcfe-11ef-91ed-01aa75ed71a1/language-en" TargetMode="External"/><Relationship Id="rId366" Type="http://schemas.openxmlformats.org/officeDocument/2006/relationships/hyperlink" Target="https://eur-lex.europa.eu/eli/reg/2017/1369/oj/eng" TargetMode="External"/><Relationship Id="rId170" Type="http://schemas.openxmlformats.org/officeDocument/2006/relationships/hyperlink" Target="https://www.agora-industry.org/fileadmin/Projekte/2023/2023-29_IND_Lead_Markets/A-IND_330_Lead_Markets_WEB.pdf" TargetMode="External"/><Relationship Id="rId226" Type="http://schemas.openxmlformats.org/officeDocument/2006/relationships/hyperlink" Target="https://www.energy-transitions.org/wp-content/uploads/2022/10/MPP-Aluminium-Full-Report-101722-final-digital.pdf" TargetMode="External"/><Relationship Id="rId433" Type="http://schemas.openxmlformats.org/officeDocument/2006/relationships/hyperlink" Target="https://ert.eu/wp-content/uploads/2024/04/ERT-Competitiveness-of-Europes-energy-intensive-industries_March-2024.pdf" TargetMode="External"/><Relationship Id="rId268" Type="http://schemas.openxmlformats.org/officeDocument/2006/relationships/hyperlink" Target="https://www.aspire2050.eu/sites/default/files/pressoffice/publication/processes4planet_2050_roadmap_jan2021.pdf" TargetMode="External"/><Relationship Id="rId475" Type="http://schemas.openxmlformats.org/officeDocument/2006/relationships/hyperlink" Target="https://www.iea.org/reports/energy-technology-perspectives-2024" TargetMode="External"/><Relationship Id="rId32" Type="http://schemas.openxmlformats.org/officeDocument/2006/relationships/hyperlink" Target="https://cefic.org/app/uploads/2025/05/Cefic-Advancy-study-The-Competitiveness-of-the-European-Chemical-Industry.pdf" TargetMode="External"/><Relationship Id="rId74" Type="http://schemas.openxmlformats.org/officeDocument/2006/relationships/hyperlink" Target="https://publications.jrc.ec.europa.eu/repository/handle/JRC131246" TargetMode="External"/><Relationship Id="rId128" Type="http://schemas.openxmlformats.org/officeDocument/2006/relationships/hyperlink" Target="https://www.brussels-school.be/sites/default/files/2024-06/Public%20procurement%20construction%20steel%20and%20cement%20EU%20FINAL.pdf" TargetMode="External"/><Relationship Id="rId335" Type="http://schemas.openxmlformats.org/officeDocument/2006/relationships/hyperlink" Target="https://eur-lex.europa.eu/legal-content/EN/AUTO/?uri=celex:32021R1119" TargetMode="External"/><Relationship Id="rId377" Type="http://schemas.openxmlformats.org/officeDocument/2006/relationships/hyperlink" Target="https://www.oecd.org/en/publications/oecd-steel-outlook-2025_28b61a5e-en.html" TargetMode="External"/><Relationship Id="rId5" Type="http://schemas.openxmlformats.org/officeDocument/2006/relationships/hyperlink" Target="https://ec.europa.eu/eurostat/databrowser/view/env_ac_ainah_r2/default/table?lang=en&amp;category=env.env_air.env_air_aa" TargetMode="External"/><Relationship Id="rId181" Type="http://schemas.openxmlformats.org/officeDocument/2006/relationships/hyperlink" Target="https://www.brussels-school.be/sites/default/files/2024-06/Public%20procurement%20construction%20steel%20and%20cement%20EU%20FINAL.pdf" TargetMode="External"/><Relationship Id="rId237" Type="http://schemas.openxmlformats.org/officeDocument/2006/relationships/hyperlink" Target="https://www.ecra-online.org/research/technology-papers" TargetMode="External"/><Relationship Id="rId402" Type="http://schemas.openxmlformats.org/officeDocument/2006/relationships/hyperlink" Target="https://cefic.org/app/uploads/2025/01/Cefic-Advancy-study-The-Competitiveness-of-the-European-Chemical-Industry.pdf" TargetMode="External"/><Relationship Id="rId279" Type="http://schemas.openxmlformats.org/officeDocument/2006/relationships/hyperlink" Target="https://feve.org/wp-content/uploads/2024/10/FEVE-Decarbonisation-Report-2024.pdf" TargetMode="External"/><Relationship Id="rId444" Type="http://schemas.openxmlformats.org/officeDocument/2006/relationships/hyperlink" Target="https://esmc.solar/wp-content/uploads/2020/08/ESMC-EU-Solar-Strategy-Policy-Proposals.pdf" TargetMode="External"/><Relationship Id="rId486" Type="http://schemas.openxmlformats.org/officeDocument/2006/relationships/hyperlink" Target="https://ec.europa.eu/eurostat/web/international-trade-in-goods/database" TargetMode="External"/><Relationship Id="rId43" Type="http://schemas.openxmlformats.org/officeDocument/2006/relationships/hyperlink" Target="https://about.bnef.com/insights/finance/green-steel-demand-is-rising-faster-than-production-can-ramp-up/" TargetMode="External"/><Relationship Id="rId139"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290" Type="http://schemas.openxmlformats.org/officeDocument/2006/relationships/hyperlink" Target="https://www.engieimpact.com/insights/pulp-paper-industry-decarbonization?utm_source=chatgpt.com" TargetMode="External"/><Relationship Id="rId304" Type="http://schemas.openxmlformats.org/officeDocument/2006/relationships/hyperlink" Target="https://www.eurofer.eu/assets/publications/brochures-booklets-and-factsheets/european-steel-in-figures-2025/European-Steel-in-Figures-2025_23062025.pdf" TargetMode="External"/><Relationship Id="rId346" Type="http://schemas.openxmlformats.org/officeDocument/2006/relationships/hyperlink" Target="https://eur-lex.europa.eu/legal-content/EN/TXT/?uri=CELEX%3A52025DC0079&amp;qid=1741780110418" TargetMode="External"/><Relationship Id="rId388" Type="http://schemas.openxmlformats.org/officeDocument/2006/relationships/hyperlink" Target="https://policy.trade.ec.europa.eu/eu-trade-relationships-country-and-region/negotiations-and-agreements_en" TargetMode="External"/><Relationship Id="rId85" Type="http://schemas.openxmlformats.org/officeDocument/2006/relationships/hyperlink" Target="https://commission.europa.eu/document/download/97e481fd-2dc3-412d-be4c-f152a8232961_en?" TargetMode="External"/><Relationship Id="rId150" Type="http://schemas.openxmlformats.org/officeDocument/2006/relationships/hyperlink" Target="https://publications.jrc.ec.europa.eu/repository/handle/JRC129297" TargetMode="External"/><Relationship Id="rId192" Type="http://schemas.openxmlformats.org/officeDocument/2006/relationships/hyperlink" Target="https://www.zkg.de/en/artikel/the-cement-industry-in-europe-at-the-crossroads-4019235.html?" TargetMode="External"/><Relationship Id="rId206"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413" Type="http://schemas.openxmlformats.org/officeDocument/2006/relationships/hyperlink" Target="https://www.sei.org/wp-content/uploads/2023/02/green-public-procurement-eu.pdf" TargetMode="External"/><Relationship Id="rId248" Type="http://schemas.openxmlformats.org/officeDocument/2006/relationships/hyperlink" Target="https://publications.jrc.ec.europa.eu/repository/handle/JRC131246" TargetMode="External"/><Relationship Id="rId455" Type="http://schemas.openxmlformats.org/officeDocument/2006/relationships/hyperlink" Target="https://eur-lex.europa.eu/legal-content/EN/TXT/?uri=celex%3A52024SC0063" TargetMode="External"/><Relationship Id="rId12" Type="http://schemas.openxmlformats.org/officeDocument/2006/relationships/hyperlink" Target="https://eur-lex.europa.eu/legal-content/EN/TXT/PDF/?uri=CELEX%3A52023JC0020" TargetMode="External"/><Relationship Id="rId108" Type="http://schemas.openxmlformats.org/officeDocument/2006/relationships/hyperlink" Target="https://bellona.org/news/industrial-pollution/2018-04-building-with-low-carbon-cement-is-affordable" TargetMode="External"/><Relationship Id="rId315" Type="http://schemas.openxmlformats.org/officeDocument/2006/relationships/hyperlink" Target="https://www.deloitte.com/content/dam/assets-shared/legacy/docs/perspectives/2022/gx-pathways-to-decarbonization-steel.pdf" TargetMode="External"/><Relationship Id="rId357" Type="http://schemas.openxmlformats.org/officeDocument/2006/relationships/hyperlink" Target="https://eur-lex.europa.eu/eli/reg/2019/452/oj/eng" TargetMode="External"/><Relationship Id="rId54" Type="http://schemas.openxmlformats.org/officeDocument/2006/relationships/hyperlink" Target="https://eur-lex.europa.eu/legal-content/EN/TXT/?uri=celex:52025DC0085" TargetMode="External"/><Relationship Id="rId96" Type="http://schemas.openxmlformats.org/officeDocument/2006/relationships/hyperlink" Target="https://eur-lex.europa.eu/resource.html?uri=cellar:6c154426-c5a6-11ee-95d9-01aa75ed71a1.0001.02/DOC_3&amp;format=PDF" TargetMode="External"/><Relationship Id="rId161" Type="http://schemas.openxmlformats.org/officeDocument/2006/relationships/hyperlink" Target="https://www.mordorintelligence.com/industry-reports/europe-battery-energy-storage-system-market/companies" TargetMode="External"/><Relationship Id="rId217" Type="http://schemas.openxmlformats.org/officeDocument/2006/relationships/hyperlink" Target="https://publications.jrc.ec.europa.eu/repository/handle/JRC144120" TargetMode="External"/><Relationship Id="rId399" Type="http://schemas.openxmlformats.org/officeDocument/2006/relationships/hyperlink" Target="https://www.e3g.org/wp-content/uploads/Building-Europes-Clean-Industrial-Future-Unlocking-Investment-through-Lead-Markets.pdf" TargetMode="External"/><Relationship Id="rId259" Type="http://schemas.openxmlformats.org/officeDocument/2006/relationships/hyperlink" Target="https://www.statista.com/statistics/1307411/chemical-industry-number-employees-eu/" TargetMode="External"/><Relationship Id="rId424" Type="http://schemas.openxmlformats.org/officeDocument/2006/relationships/hyperlink" Target="https://www.iea.org/reports/energy-technology-perspectives-2024" TargetMode="External"/><Relationship Id="rId466" Type="http://schemas.openxmlformats.org/officeDocument/2006/relationships/hyperlink" Target="https://www.volkswagen-group.com/en/press-releases/volkswagen-backed-powerco-se-reaches-significant-milestone-in-st-thomas-gigafactory-project-17962" TargetMode="External"/><Relationship Id="rId23"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19" Type="http://schemas.openxmlformats.org/officeDocument/2006/relationships/hyperlink" Target="https://ceepr.mit.edu/workingpaper/global-clean-investment-monitor-government-support-for-electric-vehicles-and-batteries/" TargetMode="External"/><Relationship Id="rId270" Type="http://schemas.openxmlformats.org/officeDocument/2006/relationships/hyperlink" Target="https://energy.ec.europa.eu/topics/energy-efficiency/financing/financing-building-renovations_en" TargetMode="External"/><Relationship Id="rId326" Type="http://schemas.openxmlformats.org/officeDocument/2006/relationships/hyperlink" Target="https://www.iea.org/reports/energy-technology-perspectives-2024" TargetMode="External"/><Relationship Id="rId65" Type="http://schemas.openxmlformats.org/officeDocument/2006/relationships/hyperlink" Target="https://www.e3g.org/wp-content/uploads/Building-Europes-Clean-Industrial-Future-Unlocking-Investment-through-Lead-Markets.pdf" TargetMode="External"/><Relationship Id="rId130" Type="http://schemas.openxmlformats.org/officeDocument/2006/relationships/hyperlink" Target="https://ec.europa.eu/transparency/documents-register/detail?ref=SWD(2024)23&amp;lang=en" TargetMode="External"/><Relationship Id="rId368" Type="http://schemas.openxmlformats.org/officeDocument/2006/relationships/hyperlink" Target="https://data.jrc.ec.europa.eu/dataset/1d55dee0-8b85-46b7-8085-ae9383858822" TargetMode="External"/><Relationship Id="rId172" Type="http://schemas.openxmlformats.org/officeDocument/2006/relationships/hyperlink" Target="https://www.solarpowereurope.org/insights/thematic-reports/reshoring-solar-manufacturing-to-europe" TargetMode="External"/><Relationship Id="rId228" Type="http://schemas.openxmlformats.org/officeDocument/2006/relationships/hyperlink" Target="https://european-aluminium.eu/wp-content/uploads/2023/11/23-11-14-Net-Zero-by-2050-Science-based-Decarbonisation-Pathways-for-the-European-Aluminium-Industry_FULL-REPORT.pdf" TargetMode="External"/><Relationship Id="rId435" Type="http://schemas.openxmlformats.org/officeDocument/2006/relationships/hyperlink" Target="https://susproc.jrc.ec.europa.eu/product-bureau/sites/default/files/2025-05/Draft_Preparatory%20study%20iron%20%26%20steel_May%202025.pdf" TargetMode="External"/><Relationship Id="rId477" Type="http://schemas.openxmlformats.org/officeDocument/2006/relationships/hyperlink" Target="https://www.iea.org/reports/what-next-for-the-global-car-industry" TargetMode="External"/><Relationship Id="rId281" Type="http://schemas.openxmlformats.org/officeDocument/2006/relationships/hyperlink" Target="https://www.cepi.org/wp-content/uploads/2024/09/Key-Statistics-2023-FINAL-2.pdf" TargetMode="External"/><Relationship Id="rId337" Type="http://schemas.openxmlformats.org/officeDocument/2006/relationships/hyperlink" Target="https://eur-lex.europa.eu/legal-content/EN/TXT/PDF/?uri=CELEX:32023R0956" TargetMode="External"/><Relationship Id="rId34" Type="http://schemas.openxmlformats.org/officeDocument/2006/relationships/hyperlink" Target="https://eur-lex.europa.eu/resource.html?uri=cellar:6c154426-c5a6-11ee-95d9-01aa75ed71a1.0001.02/DOC_3&amp;format=PDF" TargetMode="External"/><Relationship Id="rId76"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41" Type="http://schemas.openxmlformats.org/officeDocument/2006/relationships/hyperlink" Target="https://single-market-economy.ec.europa.eu/document/download/7807ca8b-10ce-4ee2-9c11-357afe163190_en?filename=Communication%20-%20Steel%20and%20Metals%20Action%20Plan.pdf" TargetMode="External"/><Relationship Id="rId379" Type="http://schemas.openxmlformats.org/officeDocument/2006/relationships/hyperlink" Target="https://eur-lex.europa.eu/legal-content/EN/TXT/HTML/?uri=CELEX:52025PC0726" TargetMode="External"/><Relationship Id="rId7" Type="http://schemas.openxmlformats.org/officeDocument/2006/relationships/hyperlink" Target="https://commission.europa.eu/document/download/10017eb1-4722-4333-add2-e0ed18105a34_en?filename=Communication_1.pdf" TargetMode="External"/><Relationship Id="rId183" Type="http://schemas.openxmlformats.org/officeDocument/2006/relationships/hyperlink" Target="https://www.brussels-school.be/sites/default/files/2024-06/Public%20procurement%20construction%20steel%20and%20cement%20EU%20FINAL.pdf" TargetMode="External"/><Relationship Id="rId239" Type="http://schemas.openxmlformats.org/officeDocument/2006/relationships/hyperlink" Target="https://www.ecra-online.org/research/technology-papers" TargetMode="External"/><Relationship Id="rId390" Type="http://schemas.openxmlformats.org/officeDocument/2006/relationships/hyperlink" Target="https://www.pv-magazine.com/2024/12/18/eu-solar-installations-hit-65-5-gw-in-2024-says-solarpower-europe/" TargetMode="External"/><Relationship Id="rId404" Type="http://schemas.openxmlformats.org/officeDocument/2006/relationships/hyperlink" Target="https://www.marketwatch.com/story/o-i-glass-to-close-european-facility-approves-severance-plan-574eb4cc" TargetMode="External"/><Relationship Id="rId446" Type="http://schemas.openxmlformats.org/officeDocument/2006/relationships/hyperlink" Target="https://op.europa.eu/en/publication-detail/-/publication/3d1ec747-bb7c-11ee-b164-01aa75ed71a1/language-en" TargetMode="External"/><Relationship Id="rId250" Type="http://schemas.openxmlformats.org/officeDocument/2006/relationships/hyperlink" Target="https://www.ecra-online.org/research/technology-papers" TargetMode="External"/><Relationship Id="rId292" Type="http://schemas.openxmlformats.org/officeDocument/2006/relationships/hyperlink" Target="https://www.pbl.nl/uploads/default/downloads/pbl-2019-decarbonisation-options-for-the-dutch-paper-and-board-industry_3480.pdf" TargetMode="External"/><Relationship Id="rId306" Type="http://schemas.openxmlformats.org/officeDocument/2006/relationships/hyperlink" Target="https://www.steeltimesint.com/news/european-steel-industry-facing-irreversible-decline-says-eggert" TargetMode="External"/><Relationship Id="rId488" Type="http://schemas.openxmlformats.org/officeDocument/2006/relationships/hyperlink" Target="https://ec.europa.eu/eurostat/statistics-explained/index.php?oldid=666866" TargetMode="External"/><Relationship Id="rId45" Type="http://schemas.openxmlformats.org/officeDocument/2006/relationships/hyperlink" Target="https://notifications.wto.org/en/notification-status/government-procurement" TargetMode="External"/><Relationship Id="rId87" Type="http://schemas.openxmlformats.org/officeDocument/2006/relationships/hyperlink" Target="https://data.jrc.ec.europa.eu/dataset/1d55dee0-8b85-46b7-8085-ae9383858822" TargetMode="External"/><Relationship Id="rId110" Type="http://schemas.openxmlformats.org/officeDocument/2006/relationships/hyperlink" Target="https://alternative-fuels-observatory.ec.europa.eu/policymakers-and-public-authorities/electric-vehicle-model-statistics" TargetMode="External"/><Relationship Id="rId348" Type="http://schemas.openxmlformats.org/officeDocument/2006/relationships/hyperlink" Target="https://environment.ec.europa.eu/document/5f7ff5e2-ebe9-4bd4-a139-db881bd6398f_en" TargetMode="External"/><Relationship Id="rId152" Type="http://schemas.openxmlformats.org/officeDocument/2006/relationships/hyperlink" Target="https://solaralliance.eu/meet-our-members/" TargetMode="External"/><Relationship Id="rId194" Type="http://schemas.openxmlformats.org/officeDocument/2006/relationships/hyperlink" Target="https://www.transportenvironment.org/uploads/files/An-industrial-blueprint-for-batteries-in-Europe-How-Europe-can-successfully-build-a-sustainable-battery-value-chain.pdf" TargetMode="External"/><Relationship Id="rId208" Type="http://schemas.openxmlformats.org/officeDocument/2006/relationships/hyperlink" Target="https://ec.europa.eu/docsroom/documents/47059" TargetMode="External"/><Relationship Id="rId415" Type="http://schemas.openxmlformats.org/officeDocument/2006/relationships/hyperlink" Target="https://static.energy-transitions.org/uploads/resources/Demand-stimulation-policy-playbook_Distributed-for-review_Confidential-and-Draft.pdf" TargetMode="External"/><Relationship Id="rId457" Type="http://schemas.openxmlformats.org/officeDocument/2006/relationships/hyperlink" Target="https://www.iea.org/data-and-statistics/charts/comparison-of-the-emissions-intensity-of-different-hydrogen-production-routes-2021" TargetMode="External"/><Relationship Id="rId261" Type="http://schemas.openxmlformats.org/officeDocument/2006/relationships/hyperlink" Target="https://eur-lex.europa.eu/legal-content/EN/TXT/?uri=CELEX%3A52024SC0063" TargetMode="External"/><Relationship Id="rId14" Type="http://schemas.openxmlformats.org/officeDocument/2006/relationships/hyperlink" Target="https://commission.europa.eu/document/download/9db1c5c8-9e82-467b-ab6a-905feeb4b6b0_en?filename=Communication%20-%20Clean%20Industrial%20Deal_en.pdf" TargetMode="External"/><Relationship Id="rId56" Type="http://schemas.openxmlformats.org/officeDocument/2006/relationships/hyperlink" Target="https://www.solarpowereurope.org/insights/thematic-reports/reshoring-solar-manufacturing-to-europe" TargetMode="External"/><Relationship Id="rId317" Type="http://schemas.openxmlformats.org/officeDocument/2006/relationships/hyperlink" Target="https://www.agora-industry.org/fileadmin/Projekte/2021/2021-06_IND_INT_GlobalSteel/A-IND_324_Low-Carbon-Technologies_WEB.pdf" TargetMode="External"/><Relationship Id="rId359" Type="http://schemas.openxmlformats.org/officeDocument/2006/relationships/hyperlink" Target="https://single-market-economy.ec.europa.eu/document/download/7807ca8b-10ce-4ee2-9c11-357afe163190_en?filename=Communication%20-%20Steel%20and%20Metals%20Action%20Plan.pdf" TargetMode="External"/><Relationship Id="rId98" Type="http://schemas.openxmlformats.org/officeDocument/2006/relationships/hyperlink" Target="https://www.acea.auto/fact/electric-cars-tax-benefits-and-incentives-2024/" TargetMode="External"/><Relationship Id="rId121" Type="http://schemas.openxmlformats.org/officeDocument/2006/relationships/hyperlink" Target="https://energy.ec.europa.eu/topics/renewable-energy/solar-energy_en" TargetMode="External"/><Relationship Id="rId163" Type="http://schemas.openxmlformats.org/officeDocument/2006/relationships/hyperlink" Target="https://eur-lex.europa.eu/legal-content/EN/TXT/?uri=CELEX%3A52017SC0213" TargetMode="External"/><Relationship Id="rId219" Type="http://schemas.openxmlformats.org/officeDocument/2006/relationships/hyperlink" Target="https://www.eurometaux.eu/about-our-industry/the-metals-story/production" TargetMode="External"/><Relationship Id="rId370" Type="http://schemas.openxmlformats.org/officeDocument/2006/relationships/hyperlink" Target="https://joint-research-centre.ec.europa.eu/scientific-tools-and-databases-0/potencia-policy-oriented-tool-energy-and-climate-change-impact-assessment_en" TargetMode="External"/><Relationship Id="rId426" Type="http://schemas.openxmlformats.org/officeDocument/2006/relationships/hyperlink" Target="https://ert.eu/wp-content/uploads/2024/04/ERT-Competitiveness-of-Europes-energy-intensive-industries_March-2024.pdf" TargetMode="External"/><Relationship Id="rId230" Type="http://schemas.openxmlformats.org/officeDocument/2006/relationships/hyperlink" Target="https://european-aluminium.eu/wp-content/uploads/2023/11/23-11-14-Net-Zero-by-2050-Science-based-Decarbonisation-Pathways-for-the-European-Aluminium-Industry_FULL-REPORT.pdf" TargetMode="External"/><Relationship Id="rId468" Type="http://schemas.openxmlformats.org/officeDocument/2006/relationships/hyperlink" Target="https://universitypublications.net/ijbms/0201/pdf/RHS405.pdf" TargetMode="External"/><Relationship Id="rId25" Type="http://schemas.openxmlformats.org/officeDocument/2006/relationships/hyperlink" Target="https://ert.eu/wp-content/uploads/2024/04/ERT-Competitiveness-of-Europes-energy-intensive-industries_March-2024.pdf" TargetMode="External"/><Relationship Id="rId67" Type="http://schemas.openxmlformats.org/officeDocument/2006/relationships/hyperlink" Target="http://www.econ.uniurb.it/RePEc/urb/wpaper/WP_24_01.pdf" TargetMode="External"/><Relationship Id="rId272" Type="http://schemas.openxmlformats.org/officeDocument/2006/relationships/hyperlink" Target="https://www.wko.at/bgld/industrie/glasindustrie/statistical-report-glass-alliance-europe.pdf" TargetMode="External"/><Relationship Id="rId328" Type="http://schemas.openxmlformats.org/officeDocument/2006/relationships/hyperlink" Target="https://www.bruegel.org/dataset/european-clean-tech-tracker" TargetMode="External"/><Relationship Id="rId132" Type="http://schemas.openxmlformats.org/officeDocument/2006/relationships/hyperlink" Target="https://www.transportenvironment.org/articles/europes-automotive-industry-at-a-crossroads" TargetMode="External"/><Relationship Id="rId174" Type="http://schemas.openxmlformats.org/officeDocument/2006/relationships/hyperlink" Target="https://ceepr.mit.edu/workingpaper/global-clean-investment-monitor-government-support-for-electric-vehicles-and-batteries/" TargetMode="External"/><Relationship Id="rId381" Type="http://schemas.openxmlformats.org/officeDocument/2006/relationships/hyperlink" Target="https://eurometaux.eu/media/20ad5yza/2022-policymaker-summary-report-final.pdf" TargetMode="External"/><Relationship Id="rId241" Type="http://schemas.openxmlformats.org/officeDocument/2006/relationships/hyperlink" Target="https://www.ecra-online.org/research/technology-papers" TargetMode="External"/><Relationship Id="rId437" Type="http://schemas.openxmlformats.org/officeDocument/2006/relationships/hyperlink" Target="https://op.europa.eu/en/publication-detail/-/publication/3d1ec747-bb7c-11ee-b164-01aa75ed71a1/language-en" TargetMode="External"/><Relationship Id="rId479" Type="http://schemas.openxmlformats.org/officeDocument/2006/relationships/hyperlink" Target="https://eudsoentity.eu/news/entso-e-europacable-dso-entity-and-td-europe-publish-joint-roadmap-for-future-proof-grids/" TargetMode="External"/><Relationship Id="rId36" Type="http://schemas.openxmlformats.org/officeDocument/2006/relationships/hyperlink" Target="https://eur-lex.europa.eu/legal-content/EN/TXT/?uri=celex:52025DC0074" TargetMode="External"/><Relationship Id="rId283" Type="http://schemas.openxmlformats.org/officeDocument/2006/relationships/hyperlink" Target="https://www.cepi.org/wp-content/uploads/2024/09/Key-Statistics-2023-FINAL-2.pdf" TargetMode="External"/><Relationship Id="rId339" Type="http://schemas.openxmlformats.org/officeDocument/2006/relationships/hyperlink" Target="https://eur-lex.europa.eu/eli/dir/2011/92/oj/eng" TargetMode="External"/><Relationship Id="rId490" Type="http://schemas.openxmlformats.org/officeDocument/2006/relationships/hyperlink" Target="https://climate.ec.europa.eu/news-other-reads/news/commission-publishes-terms-and-conditions-first-pilot-auction-industrial-heat-decarbonisation-budget-2025-10-10_en" TargetMode="External"/><Relationship Id="rId78" Type="http://schemas.openxmlformats.org/officeDocument/2006/relationships/hyperlink" Target="https://www.ft.com/content/755d7413-c71a-4a6e-bbe9-2b821032bdee" TargetMode="External"/><Relationship Id="rId101" Type="http://schemas.openxmlformats.org/officeDocument/2006/relationships/hyperlink" Target="https://eur-lex.europa.eu/eli/reg/2018/1724/oj/eng" TargetMode="External"/><Relationship Id="rId143" Type="http://schemas.openxmlformats.org/officeDocument/2006/relationships/hyperlink" Target="https://strategicperspectives.eu/wp-content/uploads/2025/03/Lead-markets.pdf" TargetMode="External"/><Relationship Id="rId185" Type="http://schemas.openxmlformats.org/officeDocument/2006/relationships/hyperlink" Target="https://www.oecd.org/en/publications/2025/05/oecd-steel-outlook-2025_bf2b6109.html" TargetMode="External"/><Relationship Id="rId350" Type="http://schemas.openxmlformats.org/officeDocument/2006/relationships/hyperlink" Target="https://eur-lex.europa.eu/eli/dir/2024/1275/oj/eng" TargetMode="External"/><Relationship Id="rId406" Type="http://schemas.openxmlformats.org/officeDocument/2006/relationships/hyperlink" Target="https://ert.eu/wp-content/uploads/2024/04/ERT-Competitiveness-of-Europes-energy-intensive-industries_March-2024.pdf" TargetMode="External"/><Relationship Id="rId9" Type="http://schemas.openxmlformats.org/officeDocument/2006/relationships/hyperlink" Target="https://www.iea.org/reports/energy-technology-perspectives-2024" TargetMode="External"/><Relationship Id="rId210" Type="http://schemas.openxmlformats.org/officeDocument/2006/relationships/hyperlink" Target="https://european-aluminium.eu/wp-content/uploads/2024/09/EA_onepager_Digital.pdf" TargetMode="External"/><Relationship Id="rId392" Type="http://schemas.openxmlformats.org/officeDocument/2006/relationships/hyperlink" Target="https://single-market-economy.ec.europa.eu/document/download/860c257b-16db-429e-91c1-a30bea57e7ce_en" TargetMode="External"/><Relationship Id="rId448" Type="http://schemas.openxmlformats.org/officeDocument/2006/relationships/hyperlink" Target="https://www.bruegel.org/policy-brief/smart-european-strategy-electric-vehicle-investment-china" TargetMode="External"/><Relationship Id="rId252" Type="http://schemas.openxmlformats.org/officeDocument/2006/relationships/hyperlink" Target="https://single-market-economy.ec.europa.eu/sectors/raw-materials/related-industries/non-metallic-products-and-industries/ceramics_en" TargetMode="External"/><Relationship Id="rId294" Type="http://schemas.openxmlformats.org/officeDocument/2006/relationships/hyperlink" Target="https://www.pbl.nl/uploads/default/downloads/pbl-2019-decarbonisation-options-for-the-dutch-paper-and-board-industry_3480.pdf" TargetMode="External"/><Relationship Id="rId308" Type="http://schemas.openxmlformats.org/officeDocument/2006/relationships/hyperlink" Target="https://www.eurofer.eu/assets/publications/brochures-booklets-and-factsheets/european-steel-in-figures-2024/EUROFER-2024-Version-June14.pdf" TargetMode="External"/><Relationship Id="rId47" Type="http://schemas.openxmlformats.org/officeDocument/2006/relationships/hyperlink" Target="https://network.bellona.org/content/uploads/sites/6/2024/10/Report-GPP.pdf" TargetMode="External"/><Relationship Id="rId89" Type="http://schemas.openxmlformats.org/officeDocument/2006/relationships/hyperlink" Target="https://joint-research-centre.ec.europa.eu/scientific-tools-and-databases-0/potencia-policy-oriented-tool-energy-and-climate-change-impact-assessment_en" TargetMode="External"/><Relationship Id="rId112" Type="http://schemas.openxmlformats.org/officeDocument/2006/relationships/hyperlink" Target="https://www.solarpowereurope.org/press-releases/new-study-reveals-path-to-reshore-solar-manufacturing-in-europe" TargetMode="External"/><Relationship Id="rId154" Type="http://schemas.openxmlformats.org/officeDocument/2006/relationships/hyperlink" Target="https://publications.jrc.ec.europa.eu/repository/handle/JRC141957" TargetMode="External"/><Relationship Id="rId361" Type="http://schemas.openxmlformats.org/officeDocument/2006/relationships/hyperlink" Target="file:///C://Users/woolcha/Downloads/090166e519a30551%20(2).pdf" TargetMode="External"/><Relationship Id="rId196" Type="http://schemas.openxmlformats.org/officeDocument/2006/relationships/hyperlink" Target="https://single-market-economy.ec.europa.eu/smes/sme-strategy-and-sme-friendly-business-conditions/sme-performance-review_en" TargetMode="External"/><Relationship Id="rId417" Type="http://schemas.openxmlformats.org/officeDocument/2006/relationships/hyperlink" Target="https://canadabuys.canada.ca/en/buy-canadian-policy" TargetMode="External"/><Relationship Id="rId459" Type="http://schemas.openxmlformats.org/officeDocument/2006/relationships/hyperlink" Target="https://ieefa.org/resources/carbon-capture-steel" TargetMode="External"/><Relationship Id="rId16" Type="http://schemas.openxmlformats.org/officeDocument/2006/relationships/hyperlink" Target="https://eceuropaeu.sharepoint.com/teams/GRP-IndustrialDecarbonisationAcceleratorActIDAA/Shared%20Documents/Internal%20I1/Impact%20assessment/20250320-european-council-conclusions-en.pdf" TargetMode="External"/><Relationship Id="rId221" Type="http://schemas.openxmlformats.org/officeDocument/2006/relationships/hyperlink" Target="https://european-aluminium.eu/wp-content/uploads/2023/11/23-11-14-Net-Zero-by-2050-Science-based-Decarbonisation-Pathways-for-the-European-Aluminium-Industry_FULL-REPORT.pdf" TargetMode="External"/><Relationship Id="rId263" Type="http://schemas.openxmlformats.org/officeDocument/2006/relationships/hyperlink" Target="https://cefic.org/a-pillar-of-the-european-economy/facts-and-figures-of-the-european-chemical-industry/" TargetMode="External"/><Relationship Id="rId319" Type="http://schemas.openxmlformats.org/officeDocument/2006/relationships/hyperlink" Target="https://ieaghg.org/publications/clean-steel-an-environmental-and-technoeconomic-outlook-of-a-disruptive-technology/" TargetMode="External"/><Relationship Id="rId470" Type="http://schemas.openxmlformats.org/officeDocument/2006/relationships/hyperlink" Target="https://ec.europa.eu/eurostat/web/products-eurostat-news/w/ddn-20241205-1" TargetMode="External"/><Relationship Id="rId58" Type="http://schemas.openxmlformats.org/officeDocument/2006/relationships/hyperlink" Target="https://eur-lex.europa.eu/legal-content/EN/TXT/?uri=celex:52025DC0074" TargetMode="External"/><Relationship Id="rId123" Type="http://schemas.openxmlformats.org/officeDocument/2006/relationships/hyperlink" Target="https://eur-lex.europa.eu/legal-content/EN/TXT/HTML/?uri=CELEX:52025PC0726" TargetMode="External"/><Relationship Id="rId330" Type="http://schemas.openxmlformats.org/officeDocument/2006/relationships/hyperlink" Target="https://www.transportenvironment.org/uploads/files/An-industrial-blueprint-for-batteries-in-Europe-How-Europe-can-successfully-build-a-sustainable-battery-value-chain.pdf" TargetMode="External"/><Relationship Id="rId165" Type="http://schemas.openxmlformats.org/officeDocument/2006/relationships/hyperlink" Target="https://www.bcg.com/publications/2022/steel-industry-carbon-emissions-challenge-solutions" TargetMode="External"/><Relationship Id="rId372" Type="http://schemas.openxmlformats.org/officeDocument/2006/relationships/hyperlink" Target="https://eur-lex.europa.eu/eli/reg/2019/452/oj/eng" TargetMode="External"/><Relationship Id="rId428"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232" Type="http://schemas.openxmlformats.org/officeDocument/2006/relationships/hyperlink" Target="https://cembureau.eu/media/dnbf4xzc/activity-report-2023-for-web.pdf" TargetMode="External"/><Relationship Id="rId274" Type="http://schemas.openxmlformats.org/officeDocument/2006/relationships/hyperlink" Target="https://www.wko.at/bgld/industrie/glasindustrie/statistical-report-glass-alliance-europe.pdf" TargetMode="External"/><Relationship Id="rId481" Type="http://schemas.openxmlformats.org/officeDocument/2006/relationships/hyperlink" Target="https://www.bnef.com/insights/34819" TargetMode="External"/><Relationship Id="rId27" Type="http://schemas.openxmlformats.org/officeDocument/2006/relationships/hyperlink" Target="https://www.iea.org/reports/energy-technology-perspectives-2023/clean-energy-supply-chains-vulnerabilities" TargetMode="External"/><Relationship Id="rId69" Type="http://schemas.openxmlformats.org/officeDocument/2006/relationships/hyperlink" Target="https://www.cepii.fr/PDF_PUB/pb/2024/pb2024-45.pdf" TargetMode="External"/><Relationship Id="rId134" Type="http://schemas.openxmlformats.org/officeDocument/2006/relationships/hyperlink" Target="https://www.transportenvironment.org/uploads/files/An-industrial-blueprint-for-batteries-in-Europe-How-Europe-can-successfully-build-a-sustainable-battery-value-chain.pdf" TargetMode="External"/><Relationship Id="rId80" Type="http://schemas.openxmlformats.org/officeDocument/2006/relationships/hyperlink" Target="https://eur-lex.europa.eu/legal-content/EN/TXT/?uri=CELEX%3A52025DC0484" TargetMode="External"/><Relationship Id="rId176" Type="http://schemas.openxmlformats.org/officeDocument/2006/relationships/hyperlink" Target="https://publications.jrc.ec.europa.eu/repository/bitstream/JRC127043/JRC127043_01.pdf" TargetMode="External"/><Relationship Id="rId341" Type="http://schemas.openxmlformats.org/officeDocument/2006/relationships/hyperlink" Target="https://eur-lex.europa.eu/legal-content/EN/TXT/PDF/?uri=CELEX:32009L0147" TargetMode="External"/><Relationship Id="rId383" Type="http://schemas.openxmlformats.org/officeDocument/2006/relationships/hyperlink" Target="https://european-aluminium.eu/wp-content/uploads/2022/08/european-aluminium-circular-aluminium-action-plan.pdf" TargetMode="External"/><Relationship Id="rId439" Type="http://schemas.openxmlformats.org/officeDocument/2006/relationships/hyperlink" Target="https://www.acea.auto/fact/electric-cars-tax-benefits-and-incentives-2025/" TargetMode="External"/><Relationship Id="rId201" Type="http://schemas.openxmlformats.org/officeDocument/2006/relationships/hyperlink" Target="https://www.solarpowereurope.org/insights/outlooks/eu-solar-jobs-report-2023" TargetMode="External"/><Relationship Id="rId243" Type="http://schemas.openxmlformats.org/officeDocument/2006/relationships/hyperlink" Target="https://www.ecra-online.org/research/technology-papers" TargetMode="External"/><Relationship Id="rId285" Type="http://schemas.openxmlformats.org/officeDocument/2006/relationships/hyperlink" Target="https://www.emge.com/paper-and-pulp-industry-outlook-2025" TargetMode="External"/><Relationship Id="rId450" Type="http://schemas.openxmlformats.org/officeDocument/2006/relationships/hyperlink" Target="https://www.eurofer.eu/assets/publications/brochures-booklets-and-factsheets/european-steel-in-figures-2025/European-Steel-in-Figures-2025_23062025.pdf" TargetMode="External"/><Relationship Id="rId38" Type="http://schemas.openxmlformats.org/officeDocument/2006/relationships/hyperlink" Target="https://susproc.jrc.ec.europa.eu/product-bureau/sites/default/files/2025-05/Draft_Preparatory%20study%20iron%20%26%20steel_May%202025.pdf" TargetMode="External"/><Relationship Id="rId103" Type="http://schemas.openxmlformats.org/officeDocument/2006/relationships/hyperlink" Target="https://www.transportenvironment.org/articles/reducing-the-carbon-footprint-of-aluminium-in-cars-why-and-how" TargetMode="External"/><Relationship Id="rId310" Type="http://schemas.openxmlformats.org/officeDocument/2006/relationships/hyperlink" Target="https://worldsteel.org/wider-sustainability/sustainability-indicators/" TargetMode="External"/><Relationship Id="rId91" Type="http://schemas.openxmlformats.org/officeDocument/2006/relationships/hyperlink" Target="https://www.iea.org/reports/energy-technology-perspectives-2024" TargetMode="External"/><Relationship Id="rId145"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87" Type="http://schemas.openxmlformats.org/officeDocument/2006/relationships/hyperlink" Target="https://www.agora-industry.org/fileadmin/Projekte/2023/2023-29_IND_Lead_Markets/A-IND_330_Lead_Markets_WEB.pdf" TargetMode="External"/><Relationship Id="rId352" Type="http://schemas.openxmlformats.org/officeDocument/2006/relationships/hyperlink" Target="https://eur-lex.europa.eu/legal-content/EN/AUTO/?uri=celex:32023R1804" TargetMode="External"/><Relationship Id="rId394" Type="http://schemas.openxmlformats.org/officeDocument/2006/relationships/hyperlink" Target="https://www.mckinsey.com/industries/automotive-and-assembly/our-insights/europes-economic-potential-in-the-shift-to-electric-vehicles" TargetMode="External"/><Relationship Id="rId408" Type="http://schemas.openxmlformats.org/officeDocument/2006/relationships/hyperlink" Target="https://presse.economie.gouv.fr/augmentation-de-la-prime-pour-lachat-dun-vehicule-electrique-respectant-des-criteres-de-production-europeenne-a-partir-du-1er-octobre/" TargetMode="External"/><Relationship Id="rId212" Type="http://schemas.openxmlformats.org/officeDocument/2006/relationships/hyperlink" Target="https://ec.europa.eu/eurostat/web/products-eurostat-news/w/ddn-20250326-1" TargetMode="External"/><Relationship Id="rId254" Type="http://schemas.openxmlformats.org/officeDocument/2006/relationships/hyperlink" Target="https://www.cerameunie.eu/ceramic-industry/" TargetMode="External"/><Relationship Id="rId49" Type="http://schemas.openxmlformats.org/officeDocument/2006/relationships/hyperlink" Target="https://www.oecd.org/en/about/news/speech-statements/2024/11/96th-session-of-the-steel-committee-statement-by-the-chair.html" TargetMode="External"/><Relationship Id="rId114" Type="http://schemas.openxmlformats.org/officeDocument/2006/relationships/hyperlink" Target="https://www.solarpowereurope.org/insights/thematic-reports/reshoring-solar-manufacturing-to-europe" TargetMode="External"/><Relationship Id="rId296" Type="http://schemas.openxmlformats.org/officeDocument/2006/relationships/hyperlink" Target="https://www.ecra-online.org/research/technology-papers" TargetMode="External"/><Relationship Id="rId461" Type="http://schemas.openxmlformats.org/officeDocument/2006/relationships/hyperlink" Target="https://www.europarl.europa.eu/RegData/etudes/IDAN/2023/740087/IPOL_IDA%282023%29740087_EN.pdf" TargetMode="External"/><Relationship Id="rId60" Type="http://schemas.openxmlformats.org/officeDocument/2006/relationships/hyperlink" Target="https://www.solarpowereurope.org/advocacy/position-papers/inverters-explained-2-0-strengthening-europe-s-inverter-industry" TargetMode="External"/><Relationship Id="rId156" Type="http://schemas.openxmlformats.org/officeDocument/2006/relationships/hyperlink" Target="https://ec.europa.eu/eurostat/en/web/products-statistical-working-papers/-/ks-tc-19-002" TargetMode="External"/><Relationship Id="rId198" Type="http://schemas.openxmlformats.org/officeDocument/2006/relationships/hyperlink" Target="https://www.clustercollaboration.eu/sites/default/files/profile-article/Future%20challenges%20for%20SMEs%20in%20MTA%20vehicle%20production.pdf" TargetMode="External"/><Relationship Id="rId321" Type="http://schemas.openxmlformats.org/officeDocument/2006/relationships/hyperlink" Target="https://www.diw.de/de/diw_01.c.901042.de/publikationen/diskussionspapiere/2024_2082/revisiting_investment_costs_for_green_steel__capital_expenditures__firm_level_impacts__and_policy_implications.html" TargetMode="External"/><Relationship Id="rId363" Type="http://schemas.openxmlformats.org/officeDocument/2006/relationships/hyperlink" Target="https://eur-lex.europa.eu/legal-content/EN/TXT/PDF/?uri=CELEX:52025DC0530" TargetMode="External"/><Relationship Id="rId419" Type="http://schemas.openxmlformats.org/officeDocument/2006/relationships/hyperlink" Target="https://doe.gov.in/files/circulars_document/Public_Procurement_Preference_to_Make_in_India_order_2017.pdf" TargetMode="External"/><Relationship Id="rId223" Type="http://schemas.openxmlformats.org/officeDocument/2006/relationships/hyperlink" Target="https://publications.jrc.ec.europa.eu/repository/handle/JRC136525" TargetMode="External"/><Relationship Id="rId430" Type="http://schemas.openxmlformats.org/officeDocument/2006/relationships/hyperlink" Target="https://www.businesseurope.eu/wp-content/uploads/2025/02/2024-02-13_businesseurope_permitting_swot_analysis_-_final_report-ca3-1.pdf" TargetMode="External"/><Relationship Id="rId18" Type="http://schemas.openxmlformats.org/officeDocument/2006/relationships/hyperlink" Target="https://single-market-economy.ec.europa.eu/document/download/7807ca8b-10ce-4ee2-9c11-357afe163190_en?filename=Communication%20-%20Steel%20and%20Metals%20Action%20Plan.pdf" TargetMode="External"/><Relationship Id="rId265" Type="http://schemas.openxmlformats.org/officeDocument/2006/relationships/hyperlink" Target="https://hydrogeneurope.eu/wp-content/uploads/2024/06/2024_H2E_CleanH2ProductionPathwaysReport.pdf" TargetMode="External"/><Relationship Id="rId472" Type="http://schemas.openxmlformats.org/officeDocument/2006/relationships/hyperlink" Target="https://www.solarpowereurope.org/insights/thematic-reports/reshoring-solar-manufacturing-to-europe" TargetMode="External"/><Relationship Id="rId125" Type="http://schemas.openxmlformats.org/officeDocument/2006/relationships/hyperlink" Target="https://merics.org/en/report/chinese-investment-rebounds-despite-growing-frictions-chinese-fdi-europe-2024-update" TargetMode="External"/><Relationship Id="rId167" Type="http://schemas.openxmlformats.org/officeDocument/2006/relationships/hyperlink" Target="https://european-aluminium.eu/wp-content/uploads/2023/05/23-05-02Aluminum-Content-in-Cars_Public-Summary.pdf" TargetMode="External"/><Relationship Id="rId332" Type="http://schemas.openxmlformats.org/officeDocument/2006/relationships/hyperlink" Target="https://static-cdn.publive.online/saur-energy/media/pdf_files/2025/03volta-foundation-study_compressed_compressed.pdf" TargetMode="External"/><Relationship Id="rId374" Type="http://schemas.openxmlformats.org/officeDocument/2006/relationships/hyperlink" Target="https://publications.jrc.ec.europa.eu/repository/handle/JRC136525" TargetMode="External"/><Relationship Id="rId71" Type="http://schemas.openxmlformats.org/officeDocument/2006/relationships/hyperlink" Target="https://www.cepii.fr/PDF_PUB/pb/2024/pb2024-45.pdf" TargetMode="External"/><Relationship Id="rId234" Type="http://schemas.openxmlformats.org/officeDocument/2006/relationships/hyperlink" Target="https://publications.jrc.ec.europa.eu/repository/handle/JRC144123" TargetMode="External"/><Relationship Id="rId2" Type="http://schemas.openxmlformats.org/officeDocument/2006/relationships/hyperlink" Target="https://ec.europa.eu/eurostat/databrowser/bookmark/b792f798-6b97-46f9-be49-5ae815f955a5?lang=en&amp;createdAt=2026-02-26T11:28:15Z" TargetMode="External"/><Relationship Id="rId29" Type="http://schemas.openxmlformats.org/officeDocument/2006/relationships/hyperlink" Target="https://www.oecd.org/content/dam/oecd/en/publications/reports/2025/06/a-comprehensive-overview-of-the-energy-intensive-industries-ecosystem_ceb6bd58/bbf7d4c2-en.pdf" TargetMode="External"/><Relationship Id="rId276" Type="http://schemas.openxmlformats.org/officeDocument/2006/relationships/hyperlink" Target="https://www.wko.at/bgld/industrie/glasindustrie/statistical-report-glass-alliance-europe.pdf" TargetMode="External"/><Relationship Id="rId441" Type="http://schemas.openxmlformats.org/officeDocument/2006/relationships/hyperlink" Target="https://www.solarpowereurope.org/press-releases/new-study-reveals-path-to-reshore-solar-manufacturing-in-europe" TargetMode="External"/><Relationship Id="rId483" Type="http://schemas.openxmlformats.org/officeDocument/2006/relationships/hyperlink" Target="https://ec.europa.eu/eurostat/web/international-trade-in-goods/database" TargetMode="External"/><Relationship Id="rId40" Type="http://schemas.openxmlformats.org/officeDocument/2006/relationships/hyperlink" Target="https://www.brussels-school.be/sites/default/files/2024-06/Public%20procurement%20construction%20steel%20and%20cement%20EU%20FINAL.pdf" TargetMode="External"/><Relationship Id="rId136" Type="http://schemas.openxmlformats.org/officeDocument/2006/relationships/hyperlink" Target="https://ec.europa.eu/eurostat/statistics-explained/index.php?title=Quarterly_greenhouse_gas_emissions_in_the_EU" TargetMode="External"/><Relationship Id="rId178" Type="http://schemas.openxmlformats.org/officeDocument/2006/relationships/hyperlink" Target="https://www.acea.auto/files/Electric-cars-Tax-benefits-purchase-incentives-2025_v2.pdf" TargetMode="External"/><Relationship Id="rId301" Type="http://schemas.openxmlformats.org/officeDocument/2006/relationships/hyperlink" Target="https://www.eizg.hr/userdocsimages/publikacije/serijske-publikacije/sector-analyses/SA-Chemical-2024-2.pdf" TargetMode="External"/><Relationship Id="rId343" Type="http://schemas.openxmlformats.org/officeDocument/2006/relationships/hyperlink" Target="https://eur-lex.europa.eu/eli/dir/2023/1791/oj/eng" TargetMode="External"/><Relationship Id="rId82" Type="http://schemas.openxmlformats.org/officeDocument/2006/relationships/hyperlink" Target="https://climate.ec.europa.eu/document/download/35f83a2d-f77d-4895-b616-d579069b23d3_en?filename=capr2025_swd_en.pdf" TargetMode="External"/><Relationship Id="rId203" Type="http://schemas.openxmlformats.org/officeDocument/2006/relationships/hyperlink" Target="https://windeurope.org/intelligence-platform/product/wind-energy-and-the-economy/" TargetMode="External"/><Relationship Id="rId385" Type="http://schemas.openxmlformats.org/officeDocument/2006/relationships/hyperlink" Target="https://www.iea.org/reports/energy-technology-perspectives-2024" TargetMode="External"/><Relationship Id="rId245" Type="http://schemas.openxmlformats.org/officeDocument/2006/relationships/hyperlink" Target="https://www.ecra-online.org/research/technology-papers" TargetMode="External"/><Relationship Id="rId287" Type="http://schemas.openxmlformats.org/officeDocument/2006/relationships/hyperlink" Target="https://www.reinvent-project.eu/paper?utm_source=chatgpt.com" TargetMode="External"/><Relationship Id="rId410" Type="http://schemas.openxmlformats.org/officeDocument/2006/relationships/hyperlink" Target="https://work-on-progress.strabag.com/site/sustainability/get/params_E6579229_Dattachment/1853809/A4_ZUE_Factsheet_5S_U5_Hamburg_DE.pdf" TargetMode="External"/><Relationship Id="rId452" Type="http://schemas.openxmlformats.org/officeDocument/2006/relationships/hyperlink" Target="https://publications.jrc.ec.europa.eu/repository/handle/JRC141817" TargetMode="External"/><Relationship Id="rId105" Type="http://schemas.openxmlformats.org/officeDocument/2006/relationships/hyperlink" Target="https://transitionasia.org/wp-content/uploads/2024/07/Green_Steel_Economics_240725.pdf" TargetMode="External"/><Relationship Id="rId147" Type="http://schemas.openxmlformats.org/officeDocument/2006/relationships/hyperlink" Target="https://joint-research-centre.ec.europa.eu/projects-and-activities/trade-and-industrial-policy-analysis/industrial-policy/fidelio-model_en" TargetMode="External"/><Relationship Id="rId312" Type="http://schemas.openxmlformats.org/officeDocument/2006/relationships/hyperlink" Target="https://publications.jrc.ec.europa.eu/repository/handle/JRC139742" TargetMode="External"/><Relationship Id="rId354" Type="http://schemas.openxmlformats.org/officeDocument/2006/relationships/hyperlink" Target="https://eur-lex.europa.eu/legal-content/EN/TXT/?uri=CELEX%3A32023R1805" TargetMode="External"/><Relationship Id="rId51" Type="http://schemas.openxmlformats.org/officeDocument/2006/relationships/hyperlink" Target="https://single-market-economy.ec.europa.eu/document/download/7807ca8b-10ce-4ee2-9c11-357afe163190_en?filename=Communication%20-%20Steel%20and%20Metals%20Action%20Plan.pdf" TargetMode="External"/><Relationship Id="rId93" Type="http://schemas.openxmlformats.org/officeDocument/2006/relationships/hyperlink" Target="https://www.brussels-school.be/sites/default/files/2024-06/Public%20procurement%20construction%20steel%20and%20cement%20EU%20FINAL.pdf" TargetMode="External"/><Relationship Id="rId189" Type="http://schemas.openxmlformats.org/officeDocument/2006/relationships/hyperlink" Target="https://www.agora-industry.org/fileadmin/Projekte/2023/2023-29_IND_Lead_Markets/A-IND_330_Lead_Markets_WEB.pdf" TargetMode="External"/><Relationship Id="rId396" Type="http://schemas.openxmlformats.org/officeDocument/2006/relationships/hyperlink" Target="Https://Eur-Lex.Europa.Eu/Legal-Content/EN/TXT/?Uri=Celex:52023JC0020" TargetMode="External"/><Relationship Id="rId214" Type="http://schemas.openxmlformats.org/officeDocument/2006/relationships/hyperlink" Target="https://single-market-economy.ec.europa.eu/document/download/7807ca8b-10ce-4ee2-9c11-357afe163190_en?filename=Communication%20-%20Steel%20and%20Metals%20Action%20Plan.pdf" TargetMode="External"/><Relationship Id="rId256" Type="http://schemas.openxmlformats.org/officeDocument/2006/relationships/hyperlink" Target="https://www.ceramicroadmap2050.eu/chapters/continuing-our-path-towards-climate-neutrality/" TargetMode="External"/><Relationship Id="rId298" Type="http://schemas.openxmlformats.org/officeDocument/2006/relationships/hyperlink" Target="https://te-cdn.ams3.cdn.digitaloceanspaces.com/files/202301_future_of_refining_BRIEFING_Jan23.pdf" TargetMode="External"/><Relationship Id="rId421" Type="http://schemas.openxmlformats.org/officeDocument/2006/relationships/hyperlink" Target="https://www.petromindo.com/news/article/new-regulation-requires-minimum-25-local-input-in-public-projects" TargetMode="External"/><Relationship Id="rId463" Type="http://schemas.openxmlformats.org/officeDocument/2006/relationships/hyperlink" Target="https://www.energymonitor.ai/sectors/transport/weekly-data-ev-battery-investment-us-outpaces-eu/" TargetMode="External"/><Relationship Id="rId116" Type="http://schemas.openxmlformats.org/officeDocument/2006/relationships/hyperlink" Target="https://ec.europa.eu/eurostat/web/products-eurostat-news/w/ddn-20250929-3" TargetMode="External"/><Relationship Id="rId158" Type="http://schemas.openxmlformats.org/officeDocument/2006/relationships/hyperlink" Target="https://www.uni-europa.org/news/european-data-shows-companies-fear-lowest-price-tendering/" TargetMode="External"/><Relationship Id="rId323"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20" Type="http://schemas.openxmlformats.org/officeDocument/2006/relationships/hyperlink" Target="https://transport.ec.europa.eu/document/download/89b3143e-09b6-4ae6-a826-932b90ed0816_en?filename=Communication%20-%20Action%20Plan.pdf" TargetMode="External"/><Relationship Id="rId41" Type="http://schemas.openxmlformats.org/officeDocument/2006/relationships/hyperlink" Target="https://dx.doi.org/10.2760/069150" TargetMode="External"/><Relationship Id="rId62" Type="http://schemas.openxmlformats.org/officeDocument/2006/relationships/hyperlink" Target="https://www.acea.auto/figure/rd-investment-in-the-automobile-sector-by-world-region/" TargetMode="External"/><Relationship Id="rId83" Type="http://schemas.openxmlformats.org/officeDocument/2006/relationships/hyperlink" Target="https://static-cdn.publive.online/saur-energy/media/pdf_files/2025/03volta-foundation-study_compressed_compressed.pdf" TargetMode="External"/><Relationship Id="rId179" Type="http://schemas.openxmlformats.org/officeDocument/2006/relationships/hyperlink" Target="https://media.rff.org/documents/WP_23-33.pdf" TargetMode="External"/><Relationship Id="rId365" Type="http://schemas.openxmlformats.org/officeDocument/2006/relationships/hyperlink" Target="https://eur-lex.europa.eu/eli/reg/2024/1781/oj/eng" TargetMode="External"/><Relationship Id="rId386" Type="http://schemas.openxmlformats.org/officeDocument/2006/relationships/hyperlink" Target="https://www.iea.org/reports/energy-technology-perspectives-2024" TargetMode="External"/><Relationship Id="rId190" Type="http://schemas.openxmlformats.org/officeDocument/2006/relationships/hyperlink" Target="https://european-aluminium.eu/wp-content/uploads/2023/11/23-11-14-Net-Zero-by-2050-Science-based-Decarbonisation-Pathways-for-the-European-Aluminium-Industry_FULL-REPORT.pdf" TargetMode="External"/><Relationship Id="rId204" Type="http://schemas.openxmlformats.org/officeDocument/2006/relationships/hyperlink" Target="https://single-market-economy.ec.europa.eu/smes/sme-strategy-and-sme-friendly-business-conditions/sme-performance-review_en" TargetMode="External"/><Relationship Id="rId225" Type="http://schemas.openxmlformats.org/officeDocument/2006/relationships/hyperlink" Target="https://european-aluminium.eu/wp-content/uploads/2023/11/23-11-14-Net-Zero-by-2050-Science-based-Decarbonisation-Pathways-for-the-European-Aluminium-Industry_FULL-REPORT.pdf" TargetMode="External"/><Relationship Id="rId246" Type="http://schemas.openxmlformats.org/officeDocument/2006/relationships/hyperlink" Target="https://www.leilac.com/wp-content/uploads/2023/10/Leilac_report_LEILAC2-WP2-Deliverable2.4_v1.0.pdf" TargetMode="External"/><Relationship Id="rId267" Type="http://schemas.openxmlformats.org/officeDocument/2006/relationships/hyperlink" Target="https://cefic.org/the-carbon-manager/" TargetMode="External"/><Relationship Id="rId288" Type="http://schemas.openxmlformats.org/officeDocument/2006/relationships/hyperlink" Target="https://www.cepi.org/press-release-pulp-and-paper-manufacturers-are-innovating-their-way-out-of-co2-emissions/" TargetMode="External"/><Relationship Id="rId411" Type="http://schemas.openxmlformats.org/officeDocument/2006/relationships/hyperlink" Target="https://www.sei.org/wp-content/uploads/2023/02/green-public-procurement-eu.pdf" TargetMode="External"/><Relationship Id="rId432" Type="http://schemas.openxmlformats.org/officeDocument/2006/relationships/hyperlink" Target="https://op.europa.eu/en/publication-detail/-/publication/1ba2af02-62be-11f0-bf4e-01aa75ed71a1/language-en" TargetMode="External"/><Relationship Id="rId453" Type="http://schemas.openxmlformats.org/officeDocument/2006/relationships/hyperlink" Target="https://www.eea.europa.eu/en/analysis/indicators/greenhouse-gas-emission-intensity-of-1" TargetMode="External"/><Relationship Id="rId474" Type="http://schemas.openxmlformats.org/officeDocument/2006/relationships/hyperlink" Target="https://www.bruegel.org/policy-brief/smarter-european-union-industrial-policy-solar-panels" TargetMode="External"/><Relationship Id="rId106" Type="http://schemas.openxmlformats.org/officeDocument/2006/relationships/hyperlink" Target="https://www.transportenvironment.org/articles/reducing-the-carbon-footprint-of-aluminium-in-cars-why-and-how" TargetMode="External"/><Relationship Id="rId127" Type="http://schemas.openxmlformats.org/officeDocument/2006/relationships/hyperlink" Target="https://www.brussels-school.be/sites/default/files/2024-06/Public%20procurement%20construction%20steel%20and%20cement%20EU%20FINAL.pdf" TargetMode="External"/><Relationship Id="rId313" Type="http://schemas.openxmlformats.org/officeDocument/2006/relationships/hyperlink" Target="https://www.deloitte.com/content/dam/assets-shared/legacy/docs/perspectives/2022/gx-pathways-to-decarbonization-steel.pdf" TargetMode="External"/><Relationship Id="rId10" Type="http://schemas.openxmlformats.org/officeDocument/2006/relationships/hyperlink" Target="https://eur-lex.europa.eu/legal-content/EN/TXT/?uri=celex:52025DC0074" TargetMode="External"/><Relationship Id="rId31" Type="http://schemas.openxmlformats.org/officeDocument/2006/relationships/hyperlink" Target="https://single-market-economy.ec.europa.eu/document/download/7807ca8b-10ce-4ee2-9c11-357afe163190_en?filename=Communication%20-%20Steel%20and%20Metals%20Action%20Plan.pdf" TargetMode="External"/><Relationship Id="rId52" Type="http://schemas.openxmlformats.org/officeDocument/2006/relationships/hyperlink" Target="https://single-market-economy.ec.europa.eu/publications/scan-supply-chain-alert-notification-monitoring-system_en" TargetMode="External"/><Relationship Id="rId73"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94" Type="http://schemas.openxmlformats.org/officeDocument/2006/relationships/hyperlink" Target="https://eu.bellona.org/publication/gpp-of-cement-and-steel-in-the-eu/?utm_source=chatgpt.com" TargetMode="External"/><Relationship Id="rId148" Type="http://schemas.openxmlformats.org/officeDocument/2006/relationships/hyperlink" Target="https://publications.jrc.ec.europa.eu/repository/handle/JRC131246" TargetMode="External"/><Relationship Id="rId169" Type="http://schemas.openxmlformats.org/officeDocument/2006/relationships/hyperlink" Target="https://transitionasia.org/wp-content/uploads/2024/07/Green_Steel_Economics_240725.pdf" TargetMode="External"/><Relationship Id="rId334" Type="http://schemas.openxmlformats.org/officeDocument/2006/relationships/hyperlink" Target="https://www.pv-magazine.com/2024/11/14/solar-modules-now-selling-for-less-than-e0-06-w-in-europe/" TargetMode="External"/><Relationship Id="rId355" Type="http://schemas.openxmlformats.org/officeDocument/2006/relationships/hyperlink" Target="https://eur-lex.europa.eu/eli/reg/2020/2093/oj/eng" TargetMode="External"/><Relationship Id="rId376" Type="http://schemas.openxmlformats.org/officeDocument/2006/relationships/hyperlink" Target="https://www.deloitte.com/nl/en/Industries/energy/perspectives/mobilizing-consumer-demand-for-sustainable-investments.html" TargetMode="External"/><Relationship Id="rId397" Type="http://schemas.openxmlformats.org/officeDocument/2006/relationships/hyperlink" Target="https://defence-industry-space.ec.europa.eu/system/files/2023-10/C_2023_6689_1_EN_ACT_part1_v8.pdf" TargetMode="External"/><Relationship Id="rId4" Type="http://schemas.openxmlformats.org/officeDocument/2006/relationships/hyperlink" Target="https://commission.europa.eu/document/download/97e481fd-2dc3-412d-be4c-f152a8232961_en?" TargetMode="External"/><Relationship Id="rId180" Type="http://schemas.openxmlformats.org/officeDocument/2006/relationships/hyperlink" Target="https://publications.europa.eu/resource/cellar/e021854b-a451-11e9-9d01-01aa75ed71a1.0001.01/DOC_1" TargetMode="External"/><Relationship Id="rId215" Type="http://schemas.openxmlformats.org/officeDocument/2006/relationships/hyperlink" Target="https://single-market-economy.ec.europa.eu/document/download/7807ca8b-10ce-4ee2-9c11-357afe163190_en?filename=Communication%20-%20Steel%20and%20Metals%20Action%20Plan.pdf" TargetMode="External"/><Relationship Id="rId236" Type="http://schemas.openxmlformats.org/officeDocument/2006/relationships/hyperlink" Target="https://www.nature.com/articles/s41893-024-01320-y" TargetMode="External"/><Relationship Id="rId257" Type="http://schemas.openxmlformats.org/officeDocument/2006/relationships/hyperlink" Target="https://publications.jrc.ec.europa.eu/repository/handle/JRC144122" TargetMode="External"/><Relationship Id="rId278" Type="http://schemas.openxmlformats.org/officeDocument/2006/relationships/hyperlink" Target="https://cinea.ec.europa.eu/news-events/news/how-life-reducing-emissions-glass-production-2022-03-16_en" TargetMode="External"/><Relationship Id="rId401" Type="http://schemas.openxmlformats.org/officeDocument/2006/relationships/hyperlink" Target="https://single-market-economy.ec.europa.eu/document/download/7807ca8b-10ce-4ee2-9c11-357afe163190_en?filename=Communication%20-%20Steel%20and%20Metals%20Action%20Plan.pdf" TargetMode="External"/><Relationship Id="rId422" Type="http://schemas.openxmlformats.org/officeDocument/2006/relationships/hyperlink" Target="https://rhg.com/research/china-and-the-future-of-global-supply-chains/" TargetMode="External"/><Relationship Id="rId443" Type="http://schemas.openxmlformats.org/officeDocument/2006/relationships/hyperlink" Target="https://www.solarpowereurope.org/advocacy/make-solar-eu" TargetMode="External"/><Relationship Id="rId464" Type="http://schemas.openxmlformats.org/officeDocument/2006/relationships/hyperlink" Target="https://www.parlament.gv.at/dokument/XXVIII/EU/9939/imfname_11448352.pdf" TargetMode="External"/><Relationship Id="rId303" Type="http://schemas.openxmlformats.org/officeDocument/2006/relationships/hyperlink" Target="https://www.eurofer.eu/assets/publications/brochures-booklets-and-factsheets/european-steel-in-figures-2025/European-Steel-in-Figures-2025_23062025.pdf" TargetMode="External"/><Relationship Id="rId485" Type="http://schemas.openxmlformats.org/officeDocument/2006/relationships/hyperlink" Target="https://setis.ec.europa.eu/publications-and-documents/clean-energy-technology-observatory/ceto-reports-2025_en" TargetMode="External"/><Relationship Id="rId42" Type="http://schemas.openxmlformats.org/officeDocument/2006/relationships/hyperlink" Target="https://www.mckinsey.com/industries/metals-and-mining/our-insights/materials-green-premia-trends-and-outlook-to-2030?" TargetMode="External"/><Relationship Id="rId84" Type="http://schemas.openxmlformats.org/officeDocument/2006/relationships/hyperlink" Target="https://eur-lex.europa.eu/legal-content/EN/TXT/?uri=CELEX%3A52025DC0484" TargetMode="External"/><Relationship Id="rId138" Type="http://schemas.openxmlformats.org/officeDocument/2006/relationships/hyperlink" Target="https://eur-lex.europa.eu/resource.html?uri=cellar:6c154426-c5a6-11ee-95d9-01aa75ed71a1.0001.02/DOC_3&amp;format=PDF" TargetMode="External"/><Relationship Id="rId345" Type="http://schemas.openxmlformats.org/officeDocument/2006/relationships/hyperlink" Target="https://eur-lex.europa.eu/legal-content/EN/TXT/PDF/?uri=OJ:L_202401789" TargetMode="External"/><Relationship Id="rId387" Type="http://schemas.openxmlformats.org/officeDocument/2006/relationships/hyperlink" Target="https://circabc.europa.eu/rest/download/0e05d6f3-64f5-4661-ae0c-aefb68094d19?" TargetMode="External"/><Relationship Id="rId191" Type="http://schemas.openxmlformats.org/officeDocument/2006/relationships/hyperlink" Target="https://www.eurometaux.eu/media/jmxf2qm0/metals-for-clean-energy.pdf" TargetMode="External"/><Relationship Id="rId205" Type="http://schemas.openxmlformats.org/officeDocument/2006/relationships/hyperlink" Target="https://eur-lex.europa.eu/resource.html?uri=cellar:6c154426-c5a6-11ee-95d9-01aa75ed71a1.0001.02/DOC_3&amp;format=PDF" TargetMode="External"/><Relationship Id="rId247" Type="http://schemas.openxmlformats.org/officeDocument/2006/relationships/hyperlink" Target="https://www.ecra-online.org/research/technology-papers" TargetMode="External"/><Relationship Id="rId412" Type="http://schemas.openxmlformats.org/officeDocument/2006/relationships/hyperlink" Target="https://www.pianoo.nl/nl/document/17703/inkopen-met-de-milieukostenindicator" TargetMode="External"/><Relationship Id="rId107" Type="http://schemas.openxmlformats.org/officeDocument/2006/relationships/hyperlink" Target="https://www.agora-industry.org/fileadmin/Projekte/2023/2023-29_IND_Lead_Markets/A-IND_330_Lead_Markets_WEB.pdf" TargetMode="External"/><Relationship Id="rId289" Type="http://schemas.openxmlformats.org/officeDocument/2006/relationships/hyperlink" Target="https://www.mdpi.com/1996-1073/16/2/746" TargetMode="External"/><Relationship Id="rId454" Type="http://schemas.openxmlformats.org/officeDocument/2006/relationships/hyperlink" Target="https://ember-energy.org/latest-insights/global-electricity-review-2025/" TargetMode="External"/><Relationship Id="rId11" Type="http://schemas.openxmlformats.org/officeDocument/2006/relationships/hyperlink" Target="https://antwerp-declaration.eu/" TargetMode="External"/><Relationship Id="rId53" Type="http://schemas.openxmlformats.org/officeDocument/2006/relationships/hyperlink" Target="https://single-market-economy.ec.europa.eu/publications/scan-supply-chain-alert-notification-monitoring-system_en" TargetMode="External"/><Relationship Id="rId149" Type="http://schemas.openxmlformats.org/officeDocument/2006/relationships/hyperlink" Target="https://ert.eu/wp-content/uploads/2024/04/ERT-Competitiveness-of-Europes-energy-intensive-industries_March-2024.pdf" TargetMode="External"/><Relationship Id="rId314" Type="http://schemas.openxmlformats.org/officeDocument/2006/relationships/hyperlink" Target="https://www.eurofer.eu/issues/climate-and-energy/maps-of-key-low-carbon-steel-projects" TargetMode="External"/><Relationship Id="rId356" Type="http://schemas.openxmlformats.org/officeDocument/2006/relationships/hyperlink" Target="https://eur-lex.europa.eu/eli/reg/2024/795/oj/eng" TargetMode="External"/><Relationship Id="rId398" Type="http://schemas.openxmlformats.org/officeDocument/2006/relationships/hyperlink" Target="https://powerbarometer.eurelectric.org/" TargetMode="External"/><Relationship Id="rId95" Type="http://schemas.openxmlformats.org/officeDocument/2006/relationships/hyperlink" Target="https://european-aluminium.eu/wp-content/uploads/2023/05/23-05-02Aluminum-Content-in-Cars_Public-Summary.pdf" TargetMode="External"/><Relationship Id="rId160" Type="http://schemas.openxmlformats.org/officeDocument/2006/relationships/hyperlink" Target="https://ec.europa.eu/eurostat/web/products-eurostat-news/w/ddn-20241205-1" TargetMode="External"/><Relationship Id="rId216" Type="http://schemas.openxmlformats.org/officeDocument/2006/relationships/hyperlink" Target="https://eurometaux.eu/media/20ad5yza/2022-policymaker-summary-report-final.pdf" TargetMode="External"/><Relationship Id="rId423" Type="http://schemas.openxmlformats.org/officeDocument/2006/relationships/hyperlink" Target="https://gerpisa.org/en/node/8350" TargetMode="External"/><Relationship Id="rId258" Type="http://schemas.openxmlformats.org/officeDocument/2006/relationships/hyperlink" Target="https://www.statista.com/statistics/288589/eu-chemical-revenue-by-country/" TargetMode="External"/><Relationship Id="rId465" Type="http://schemas.openxmlformats.org/officeDocument/2006/relationships/hyperlink" Target="https://batteryindustry.net/canadian-government-announces-25m-of-ev-investments/" TargetMode="External"/><Relationship Id="rId22" Type="http://schemas.openxmlformats.org/officeDocument/2006/relationships/hyperlink" Target="https://eur-lex.europa.eu/eli/reg/2023/1542/oj/eng" TargetMode="External"/><Relationship Id="rId64"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18" Type="http://schemas.openxmlformats.org/officeDocument/2006/relationships/hyperlink" Target="https://www.transportenvironment.org/articles/subsidies-for-petrol-and-diesel-company-cars-cost-eu-taxpayers-eur42-billion-every-year" TargetMode="External"/><Relationship Id="rId325" Type="http://schemas.openxmlformats.org/officeDocument/2006/relationships/hyperlink" Target="https://www.mckinsey.com/industries/automotive-and-assembly/our-insights/europes-economic-potential-in-the-shift-to-electric-vehicles" TargetMode="External"/><Relationship Id="rId367" Type="http://schemas.openxmlformats.org/officeDocument/2006/relationships/hyperlink" Target="https://eur-lex.europa.eu/legal-content/EN/TXT/PDF/?uri=OJ:L_202401735" TargetMode="External"/><Relationship Id="rId171" Type="http://schemas.openxmlformats.org/officeDocument/2006/relationships/hyperlink" Target="https://bellona.org/news/industrial-pollution/2018-04-building-with-low-carbon-cement-is-affordable" TargetMode="External"/><Relationship Id="rId227" Type="http://schemas.openxmlformats.org/officeDocument/2006/relationships/hyperlink" Target="https://publications.jrc.ec.europa.eu/repository/handle/JRC136525" TargetMode="External"/><Relationship Id="rId269" Type="http://schemas.openxmlformats.org/officeDocument/2006/relationships/hyperlink" Target="https://publications.jrc.ec.europa.eu/repository/handle/JRC144119" TargetMode="External"/><Relationship Id="rId434" Type="http://schemas.openxmlformats.org/officeDocument/2006/relationships/hyperlink" Target="https://www.deloitte.com/be/en/issues/working-together-towards-a-sustainable-future/carbon-contracts-for-difference-as-an-instrument-of-choice.html" TargetMode="External"/><Relationship Id="rId476" Type="http://schemas.openxmlformats.org/officeDocument/2006/relationships/hyperlink" Target="https://www.bnef.com/insights/33495" TargetMode="External"/><Relationship Id="rId33" Type="http://schemas.openxmlformats.org/officeDocument/2006/relationships/hyperlink" Target="https://www.oecd.org/content/dam/oecd/en/publications/reports/2025/06/a-comprehensive-overview-of-the-energy-intensive-industries-ecosystem_ceb6bd58/bbf7d4c2-en.pdf" TargetMode="External"/><Relationship Id="rId129" Type="http://schemas.openxmlformats.org/officeDocument/2006/relationships/hyperlink" Target="https://www.acea.auto/fact/electric-cars-tax-benefits-and-incentives-2025/" TargetMode="External"/><Relationship Id="rId280" Type="http://schemas.openxmlformats.org/officeDocument/2006/relationships/hyperlink" Target="https://feve.org/wp-content/uploads/2024/10/FEVE-Decarbonisation-Report-2024.pdf" TargetMode="External"/><Relationship Id="rId336" Type="http://schemas.openxmlformats.org/officeDocument/2006/relationships/hyperlink" Target="https://eur-lex.europa.eu/legal-content/EN/AUTO/?uri=celex:32003L0087" TargetMode="External"/><Relationship Id="rId75" Type="http://schemas.openxmlformats.org/officeDocument/2006/relationships/hyperlink" Target="https://op.europa.eu/en/publication-detail/-/publication/1ba2af02-62be-11f0-bf4e-01aa75ed71a1" TargetMode="External"/><Relationship Id="rId140" Type="http://schemas.openxmlformats.org/officeDocument/2006/relationships/hyperlink" Target="https://op.europa.eu/en/publication-detail/-/publication/1ba2af02-62be-11f0-bf4e-01aa75ed71a1" TargetMode="External"/><Relationship Id="rId182" Type="http://schemas.openxmlformats.org/officeDocument/2006/relationships/hyperlink" Target="https://www.eurofer.eu/assets/publications/brochures-booklets-and-factsheets/european-steel-in-figures-2025/European-Steel-in-Figures-2025_23062025.pdf" TargetMode="External"/><Relationship Id="rId378" Type="http://schemas.openxmlformats.org/officeDocument/2006/relationships/hyperlink" Target="https://worldsteel.org/data/world-steel-in-figures/world-steel-in-figures-2025/" TargetMode="External"/><Relationship Id="rId403" Type="http://schemas.openxmlformats.org/officeDocument/2006/relationships/hyperlink" Target="https://glassforeurope.com/glass-for-europe-board-directors-discuss-the-eus-lack-of-competitiveness-and-circularity-at-first-2025-meeting/" TargetMode="External"/><Relationship Id="rId6" Type="http://schemas.openxmlformats.org/officeDocument/2006/relationships/hyperlink" Target="https://eur-lex.europa.eu/legal-content/EN/TXT/PDF/?uri=CELEX:52021SC0351" TargetMode="External"/><Relationship Id="rId238" Type="http://schemas.openxmlformats.org/officeDocument/2006/relationships/hyperlink" Target="https://zenodo.org/records/2597091" TargetMode="External"/><Relationship Id="rId445" Type="http://schemas.openxmlformats.org/officeDocument/2006/relationships/hyperlink" Target="https://www.brussels-school.be/sites/default/files/2024-06/Public%20procurement%20construction%20steel%20and%20cement%20EU%20FINAL.pdf" TargetMode="External"/><Relationship Id="rId487" Type="http://schemas.openxmlformats.org/officeDocument/2006/relationships/hyperlink" Target="https://www.solarpowereurope.org/insights/thematic-reports/reshoring-solar-manufacturing-to-europe" TargetMode="External"/><Relationship Id="rId291" Type="http://schemas.openxmlformats.org/officeDocument/2006/relationships/hyperlink" Target="https://www.cepi.org/press-release-pulp-and-paper-industry-showcases-commitment-to-phase-out-fossil-energies-at-european-parliament-event/" TargetMode="External"/><Relationship Id="rId305" Type="http://schemas.openxmlformats.org/officeDocument/2006/relationships/hyperlink" Target="https://www.deloitte.com/content/dam/assets-shared/legacy/docs/perspectives/2022/gx-pathways-to-decarbonization-steel.pdf" TargetMode="External"/><Relationship Id="rId347" Type="http://schemas.openxmlformats.org/officeDocument/2006/relationships/hyperlink" Target="https://eur-lex.europa.eu/legal-content/EN/TXT/PDF/?uri=OJ:L_202401781" TargetMode="External"/><Relationship Id="rId44" Type="http://schemas.openxmlformats.org/officeDocument/2006/relationships/hyperlink" Target="https://theicct.org/publication/green-steel-automakers-us-europe-sep-24/" TargetMode="External"/><Relationship Id="rId86" Type="http://schemas.openxmlformats.org/officeDocument/2006/relationships/hyperlink" Target="https://www.solarpowereurope.org/insights/outlooks/eu-solar-jobs-report-2025" TargetMode="External"/><Relationship Id="rId151" Type="http://schemas.openxmlformats.org/officeDocument/2006/relationships/hyperlink" Target="Https://Eur-Lex.Europa.Eu/Legal-Content/EN/TXT/?Uri=Celex:52023JC0020" TargetMode="External"/><Relationship Id="rId389" Type="http://schemas.openxmlformats.org/officeDocument/2006/relationships/hyperlink" Target="https://www.solarpowereurope.org/insights/thematic-reports/reshoring-solar-manufacturing-to-europe" TargetMode="External"/><Relationship Id="rId193" Type="http://schemas.openxmlformats.org/officeDocument/2006/relationships/hyperlink" Target="https://eu.bellona.org/publication/gpp-of-cement-and-steel-in-the-eu/" TargetMode="External"/><Relationship Id="rId207" Type="http://schemas.openxmlformats.org/officeDocument/2006/relationships/hyperlink" Target="https://op.europa.eu/en/publication-detail/-/publication/be308ba7-14da-11ea-8c1f-01aa75ed71a1/language-en?" TargetMode="External"/><Relationship Id="rId249" Type="http://schemas.openxmlformats.org/officeDocument/2006/relationships/hyperlink" Target="https://www.e3g.org/wp-content/uploads/Building-Europes-Clean-Industrial-Future-Unlocking-Investment-through-Lead-Markets.pdf" TargetMode="External"/><Relationship Id="rId414" Type="http://schemas.openxmlformats.org/officeDocument/2006/relationships/hyperlink" Target="https://green-forum.ec.europa.eu/green-business/green-public-procurement/good-practice-library/competitive-dialogue-circular-and-sustainable-bridge_en" TargetMode="External"/><Relationship Id="rId456" Type="http://schemas.openxmlformats.org/officeDocument/2006/relationships/hyperlink" Target="https://eur-lex.europa.eu/legal-content/EN/TXT/?uri=CELEX%3A52024SC0063" TargetMode="External"/><Relationship Id="rId13" Type="http://schemas.openxmlformats.org/officeDocument/2006/relationships/hyperlink" Target="https://defence-industry-space.ec.europa.eu/system/files/2023-10/C_2023_6689_1_EN_ACT_part1_v8.pdf" TargetMode="External"/><Relationship Id="rId109" Type="http://schemas.openxmlformats.org/officeDocument/2006/relationships/hyperlink" Target="https://www.entreprises.gouv.fr/files/files/Publications/2024/themas/2024-themas-N23-batterie-EN.pdf" TargetMode="External"/><Relationship Id="rId260" Type="http://schemas.openxmlformats.org/officeDocument/2006/relationships/hyperlink" Target="https://www.statista.com/statistics/288589/eu-chemical-revenue-by-country/" TargetMode="External"/><Relationship Id="rId316" Type="http://schemas.openxmlformats.org/officeDocument/2006/relationships/hyperlink" Target="https://www.diw.de/de/diw_01.c.901042.de/publikationen/diskussionspapiere/2024_2082/revisiting_investment_costs_for_green_steel__capital_expenditures__firm_level_impacts__and_policy_implications.html" TargetMode="External"/><Relationship Id="rId55" Type="http://schemas.openxmlformats.org/officeDocument/2006/relationships/hyperlink" Target="https://www.bruegel.org/dataset/european-clean-tech-tracker" TargetMode="External"/><Relationship Id="rId97"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20" Type="http://schemas.openxmlformats.org/officeDocument/2006/relationships/hyperlink" Target="https://www.solarpowereurope.org/press-releases/new-report-growth-of-eu-solar-jobs-stagnates-as-rooftop-market-slows-1" TargetMode="External"/><Relationship Id="rId358" Type="http://schemas.openxmlformats.org/officeDocument/2006/relationships/hyperlink" Target="https://eur-lex.europa.eu/legal-content/EN/TXT/?uri=celex:52025PC0571" TargetMode="External"/><Relationship Id="rId162" Type="http://schemas.openxmlformats.org/officeDocument/2006/relationships/hyperlink" Target="https://www.solarpowereurope.org/membership/meet-our-members" TargetMode="External"/><Relationship Id="rId218" Type="http://schemas.openxmlformats.org/officeDocument/2006/relationships/hyperlink" Target="https://european-aluminium.eu/wp-content/uploads/2025/05/2024-12-16-European-Aluminium-Policy-Asks-for-an-Ambitious-Clean-Industrial-Deal-and-Metals-Action-Plan.pdf" TargetMode="External"/><Relationship Id="rId425" Type="http://schemas.openxmlformats.org/officeDocument/2006/relationships/hyperlink" Target="https://www.iea.org/reports/energy-technology-perspectives-2024" TargetMode="External"/><Relationship Id="rId467" Type="http://schemas.openxmlformats.org/officeDocument/2006/relationships/hyperlink" Target="https://media.stellantisnorthamerica.com/newsrelease.do?id=23655&amp;mid=1" TargetMode="External"/><Relationship Id="rId271" Type="http://schemas.openxmlformats.org/officeDocument/2006/relationships/hyperlink" Target="https://energy.ec.europa.eu/topics/funding-and-financing/recovery-and-resilience-facility-clean-energy_en" TargetMode="External"/><Relationship Id="rId24" Type="http://schemas.openxmlformats.org/officeDocument/2006/relationships/hyperlink" Target="https://www.consilium.europa.eu/media/ny3j24sm/much-more-than-a-market-report-by-enrico-letta.pdf" TargetMode="External"/><Relationship Id="rId66" Type="http://schemas.openxmlformats.org/officeDocument/2006/relationships/hyperlink" Target="https://doi.org/10.1016/j.respol.2024.104807" TargetMode="External"/><Relationship Id="rId131" Type="http://schemas.openxmlformats.org/officeDocument/2006/relationships/hyperlink" Target="https://strategicperspectives.eu/wp-content/uploads/2025/03/Lead-markets.pdf" TargetMode="External"/><Relationship Id="rId327" Type="http://schemas.openxmlformats.org/officeDocument/2006/relationships/hyperlink" Target="https://eur-lex.europa.eu/eli/C/2025/3236/oj/eng%22%20/t%20%22_new" TargetMode="External"/><Relationship Id="rId369" Type="http://schemas.openxmlformats.org/officeDocument/2006/relationships/hyperlink" Target="https://joint-research-centre.ec.europa.eu/scientific-tools-and-databases-0/potencia-policy-oriented-tool-energy-and-climate-change-impact-assessment/jrc-idees_en" TargetMode="External"/><Relationship Id="rId173" Type="http://schemas.openxmlformats.org/officeDocument/2006/relationships/hyperlink" Target="https://www.iea.org/data-and-statistics/charts/weighted-average-truck-battery-pack-size-and-cost-2020-2024" TargetMode="External"/><Relationship Id="rId229" Type="http://schemas.openxmlformats.org/officeDocument/2006/relationships/hyperlink" Target="https://publications.jrc.ec.europa.eu/repository/handle/JRC136525" TargetMode="External"/><Relationship Id="rId380" Type="http://schemas.openxmlformats.org/officeDocument/2006/relationships/hyperlink" Target="https://www.e3g.org/wp-content/uploads/Building-Europes-Clean-Industrial-Future-Unlocking-Investment-through-Lead-Markets.pdf" TargetMode="External"/><Relationship Id="rId436" Type="http://schemas.openxmlformats.org/officeDocument/2006/relationships/hyperlink" Target="https://www.pv-magazine.com/2024/01/17/pv-manufacturing-in-europe-ensuring-resilience-through-industrial-policy/" TargetMode="External"/><Relationship Id="rId240" Type="http://schemas.openxmlformats.org/officeDocument/2006/relationships/hyperlink" Target="https://zenodo.org/records/2597091" TargetMode="External"/><Relationship Id="rId478" Type="http://schemas.openxmlformats.org/officeDocument/2006/relationships/hyperlink" Target="https://circabc.europa.eu/ui/group/7fc51410-46a1-4871-8979-20cce8df0896/library/777b1ecb-e7ce-4774-a92c-53f81e64ce76/details?open=true" TargetMode="External"/><Relationship Id="rId35"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77" Type="http://schemas.openxmlformats.org/officeDocument/2006/relationships/hyperlink" Target="https://www.eea.europa.eu/en/analysis/indicators/use-of-auctioning-revenues-generated" TargetMode="External"/><Relationship Id="rId100" Type="http://schemas.openxmlformats.org/officeDocument/2006/relationships/hyperlink" Target="https://eur-lex.europa.eu/legal-content/EN/TXT/?uri=celex%3A52017SC0213" TargetMode="External"/><Relationship Id="rId282" Type="http://schemas.openxmlformats.org/officeDocument/2006/relationships/hyperlink" Target="https://single-market-economy.ec.europa.eu/sectors/raw-materials/related-industries/forest-based-industries/pulp-and-paper-industry_en" TargetMode="External"/><Relationship Id="rId338" Type="http://schemas.openxmlformats.org/officeDocument/2006/relationships/hyperlink" Target="https://eur-lex.europa.eu/legal-content/EN/ALL/?uri=celex%3A32001L0042" TargetMode="External"/><Relationship Id="rId8" Type="http://schemas.openxmlformats.org/officeDocument/2006/relationships/hyperlink" Target="https://www.iea.org/reports/energy-technology-perspectives-2024" TargetMode="External"/><Relationship Id="rId142" Type="http://schemas.openxmlformats.org/officeDocument/2006/relationships/hyperlink" Target="https://eur-lex.europa.eu/legal-content/EN/TXT/?uri=SWD%3A2025%3A780%3AFIN&amp;qid=1647429775775" TargetMode="External"/><Relationship Id="rId184" Type="http://schemas.openxmlformats.org/officeDocument/2006/relationships/hyperlink" Target="https://www.eurofer.eu/assets/publications/brochures-booklets-and-factsheets/european-steel-in-figures-2025/European-Steel-in-Figures-2025_23062025.pdf" TargetMode="External"/><Relationship Id="rId391" Type="http://schemas.openxmlformats.org/officeDocument/2006/relationships/hyperlink" Target="https://eur-lex.europa.eu/legal-content/EN/TXT/?uri=COM%3A2022%3A221%3AFIN&amp;qid=1653034500503" TargetMode="External"/><Relationship Id="rId405" Type="http://schemas.openxmlformats.org/officeDocument/2006/relationships/hyperlink" Target="https://www.clepa.eu/wp-content/uploads/2021/12/Electric-Vehicle-Transition-Impact-Report-2020-2040.pdf" TargetMode="External"/><Relationship Id="rId447" Type="http://schemas.openxmlformats.org/officeDocument/2006/relationships/hyperlink" Target="https://merics.org/en/report/chinese-investment-rebounds-despite-growing-frictions-chinese-fdi-europe-2024-update" TargetMode="External"/><Relationship Id="rId251" Type="http://schemas.openxmlformats.org/officeDocument/2006/relationships/hyperlink" Target="https://zenodo.org/records/2597091" TargetMode="External"/><Relationship Id="rId489" Type="http://schemas.openxmlformats.org/officeDocument/2006/relationships/hyperlink" Target="https://energy.ec.europa.eu/publications/communication-european-grids-package-com2025-1005-final_en" TargetMode="External"/><Relationship Id="rId46" Type="http://schemas.openxmlformats.org/officeDocument/2006/relationships/hyperlink" Target="https://single-market-economy.ec.europa.eu/single-market/public-procurement/international-public-procurement/statistics-eu-public-procurement-covered-gpa-2023-onwards_en" TargetMode="External"/><Relationship Id="rId293" Type="http://schemas.openxmlformats.org/officeDocument/2006/relationships/hyperlink" Target="https://www.mdpi.com/1996-1073/17/17/4335" TargetMode="External"/><Relationship Id="rId307" Type="http://schemas.openxmlformats.org/officeDocument/2006/relationships/hyperlink" Target="https://ert.eu/wp-content/uploads/2024/04/ERT-Competitiveness-of-Europes-energy-intensive-industries_March-2024.pdf" TargetMode="External"/><Relationship Id="rId349" Type="http://schemas.openxmlformats.org/officeDocument/2006/relationships/hyperlink" Target="https://eur-lex.europa.eu/legal-content/EN/TXT/?uri=CELEX:32011R0305" TargetMode="External"/><Relationship Id="rId88" Type="http://schemas.openxmlformats.org/officeDocument/2006/relationships/hyperlink" Target="https://joint-research-centre.ec.europa.eu/scientific-tools-and-databases-0/potencia-policy-oriented-tool-energy-and-climate-change-impact-assessment/jrc-idees_en" TargetMode="External"/><Relationship Id="rId111" Type="http://schemas.openxmlformats.org/officeDocument/2006/relationships/hyperlink" Target="https://www.bruegel.org/policy-brief/smarter-european-union-industrial-policy-solar-panels" TargetMode="External"/><Relationship Id="rId153" Type="http://schemas.openxmlformats.org/officeDocument/2006/relationships/hyperlink" Target="https://eur-lex.europa.eu/legal-content/EN/TXT/?uri=celex%3A52017SC0213" TargetMode="External"/><Relationship Id="rId195" Type="http://schemas.openxmlformats.org/officeDocument/2006/relationships/hyperlink" Target="https://strategicperspectives.eu/wp-content/uploads/2025/03/Lead-markets.pdf" TargetMode="External"/><Relationship Id="rId209" Type="http://schemas.openxmlformats.org/officeDocument/2006/relationships/hyperlink" Target="https://joint-research-centre.ec.europa.eu/scientific-tools-and-databases-0/energy-and-industry-geography-lab_en" TargetMode="External"/><Relationship Id="rId360" Type="http://schemas.openxmlformats.org/officeDocument/2006/relationships/hyperlink" Target="https://eur-lex.europa.eu/legal-content/EN/TXT/HTML/?uri=CELEX:52025PC0726" TargetMode="External"/><Relationship Id="rId416" Type="http://schemas.openxmlformats.org/officeDocument/2006/relationships/hyperlink" Target="https://canadabuys.canada.ca/en/how-procurement-works/policies-and-guidelines/policies-directives-and-regulations/interim-policy-reciprocal-procurement" TargetMode="External"/><Relationship Id="rId220" Type="http://schemas.openxmlformats.org/officeDocument/2006/relationships/hyperlink" Target="https://www.energy-transitions.org/wp-content/uploads/2022/10/MPP-Aluminium-Full-Report-101722-final-digital.pdf" TargetMode="External"/><Relationship Id="rId458" Type="http://schemas.openxmlformats.org/officeDocument/2006/relationships/hyperlink" Target="https://www.sciencedirect.com/science/article/pii/S2542435121000957" TargetMode="External"/><Relationship Id="rId15" Type="http://schemas.openxmlformats.org/officeDocument/2006/relationships/hyperlink" Target="https://www.consilium.europa.eu/en/press/press-releases/2024/11/08/the-budapest-declaration/" TargetMode="External"/><Relationship Id="rId57" Type="http://schemas.openxmlformats.org/officeDocument/2006/relationships/hyperlink" Target="https://www.iea.org/reports/energy-technology-perspectives-2024" TargetMode="External"/><Relationship Id="rId262" Type="http://schemas.openxmlformats.org/officeDocument/2006/relationships/hyperlink" Target="https://publications.jrc.ec.europa.eu/repository/handle/JRC139742" TargetMode="External"/><Relationship Id="rId318" Type="http://schemas.openxmlformats.org/officeDocument/2006/relationships/hyperlink" Target="https://www.diw.de/de/diw_01.c.901042.de/publikationen/diskussionspapiere/2024_2082/revisiting_investment_costs_for_green_steel__capital_expenditures__firm_level_impacts__and_policy_implications.html" TargetMode="External"/><Relationship Id="rId99" Type="http://schemas.openxmlformats.org/officeDocument/2006/relationships/hyperlink" Target="https://app.powerbi.com/groups/me/reports/c9a56f1a-10e6-4ba3-b3cb-a215b12870ba/ReportSectionfd7bf872509a00d78280?experience=power-bi&amp;clientSideAuth=0" TargetMode="External"/><Relationship Id="rId122" Type="http://schemas.openxmlformats.org/officeDocument/2006/relationships/hyperlink" Target="https://strategicperspectives.eu/wp-content/uploads/2025/03/Lead-markets.pdf" TargetMode="External"/><Relationship Id="rId164" Type="http://schemas.openxmlformats.org/officeDocument/2006/relationships/hyperlink" Target="https://european-union.europa.eu/principles-countries-history/eu-countries/netherlands_en" TargetMode="External"/><Relationship Id="rId371" Type="http://schemas.openxmlformats.org/officeDocument/2006/relationships/hyperlink" Target="https://www.iea.org/reports/energy-technology-perspectives-2024" TargetMode="External"/><Relationship Id="rId427" Type="http://schemas.openxmlformats.org/officeDocument/2006/relationships/hyperlink" Target="https://www.transportenvironment.org/articles/assembly-plant-or-battery-powerhouse-analysis-of-foreign-battery-investments-in-eu?utm_source=chatgpt.com" TargetMode="External"/><Relationship Id="rId469" Type="http://schemas.openxmlformats.org/officeDocument/2006/relationships/hyperlink" Target="https://www.railway-technology.com/features/featurethe-importance-of-chinas-high-speed-tech-transfer-policy-5748075/" TargetMode="External"/><Relationship Id="rId26" Type="http://schemas.openxmlformats.org/officeDocument/2006/relationships/hyperlink" Target="https://www.eurofer.eu/assets/publications/brochures-booklets-and-factsheets/european-steel-in-figures-2024/EUROFER-2024-Version-June14.pdf" TargetMode="External"/><Relationship Id="rId231" Type="http://schemas.openxmlformats.org/officeDocument/2006/relationships/hyperlink" Target="https://cembureau.eu/media/ry0n3azn/key-fact-figures-publication-june-2025.pdf" TargetMode="External"/><Relationship Id="rId273" Type="http://schemas.openxmlformats.org/officeDocument/2006/relationships/hyperlink" Target="https://www.tendata.com/blogs/insight/6026.html" TargetMode="External"/><Relationship Id="rId329" Type="http://schemas.openxmlformats.org/officeDocument/2006/relationships/hyperlink" Target="https://www.entreprises.gouv.fr/files/files/Publications/2024/themas/2024-themas-N23-batterie-EN.pdf" TargetMode="External"/><Relationship Id="rId480" Type="http://schemas.openxmlformats.org/officeDocument/2006/relationships/hyperlink" Target="https://www.bnef.com/insights/37387/view" TargetMode="External"/><Relationship Id="rId68" Type="http://schemas.openxmlformats.org/officeDocument/2006/relationships/hyperlink" Target="https://single-market-economy.ec.europa.eu/document/download/fb4b73af-8648-4b89-8f36-95fe9e6d0387_en?filename=SWD_2025_11_F1_OTHER_STAFF_WORKING_PAPER_EN_V3_P1_3877728.PDF" TargetMode="External"/><Relationship Id="rId133" Type="http://schemas.openxmlformats.org/officeDocument/2006/relationships/hyperlink" Target="https://innoenergy.com/skillsinstitute/community-programmes/european-solar-academy/" TargetMode="External"/><Relationship Id="rId175" Type="http://schemas.openxmlformats.org/officeDocument/2006/relationships/hyperlink" Target="https://commission.europa.eu/strategy-and-policy/priorities-2019-2024/european-green-deal/delivering-european-green-deal/fit-55-delivering-proposals_en" TargetMode="External"/><Relationship Id="rId340" Type="http://schemas.openxmlformats.org/officeDocument/2006/relationships/hyperlink" Target="https://eur-lex.europa.eu/legal-content/EN/TXT/PDF/?uri=CELEX:01992L0043-20130701" TargetMode="External"/><Relationship Id="rId200" Type="http://schemas.openxmlformats.org/officeDocument/2006/relationships/hyperlink" Target="https://single-market-economy.ec.europa.eu/smes/sme-strategy-and-sme-friendly-business-conditions/sme-performance-review_en" TargetMode="External"/><Relationship Id="rId382" Type="http://schemas.openxmlformats.org/officeDocument/2006/relationships/hyperlink" Target="https://european-aluminium.eu/wp-content/uploads/2023/11/23-11-14-Net-Zero-by-2050-Science-based-Decarbonisation-Pathways-for-the-European-Aluminium-Industry_FULL-REPORT.pdf" TargetMode="External"/><Relationship Id="rId438" Type="http://schemas.openxmlformats.org/officeDocument/2006/relationships/hyperlink" Target="https://op.europa.eu/en/publication-detail/-/publication/c9a0c1bf-8d48-11ec-8c40-01aa75ed71a1/language-en" TargetMode="External"/><Relationship Id="rId242" Type="http://schemas.openxmlformats.org/officeDocument/2006/relationships/hyperlink" Target="https://eceuropaeu.sharepoint.com/teams/GRP-IndustrialDecarbonisationAcceleratorActIDAA/Shared%20Documents/Internal%20I1/Impact%20assessment/IA%20Re-submission/Deployment%20of%20CCS%20in%20the%20Cement%20Industry" TargetMode="External"/><Relationship Id="rId284" Type="http://schemas.openxmlformats.org/officeDocument/2006/relationships/hyperlink" Target="https://www.cepi.org/wp-content/uploads/2024/07/Cepi-press-release_Final-2023-statistics_09072024-FINAL.pdf" TargetMode="External"/><Relationship Id="rId491" Type="http://schemas.openxmlformats.org/officeDocument/2006/relationships/hyperlink" Target="https://www.iea.org/reports/energy-technology-perspectives-2024" TargetMode="External"/><Relationship Id="rId37" Type="http://schemas.openxmlformats.org/officeDocument/2006/relationships/hyperlink" Target="https://www.mckinsey.com/industries/automotive-and-assembly/our-insights/european-automotive-industry-what-it-takes-to-regain-competitiveness" TargetMode="External"/><Relationship Id="rId79" Type="http://schemas.openxmlformats.org/officeDocument/2006/relationships/hyperlink" Target="https://taxation-customs.ec.europa.eu/news/commission-introduces-surveillance-imports-and-exports-metal-scrap-2025-07-23_en" TargetMode="External"/><Relationship Id="rId102" Type="http://schemas.openxmlformats.org/officeDocument/2006/relationships/hyperlink" Target="https://susproc.jrc.ec.europa.eu/product-bureau/sites/default/files/2025-05/Draft_Preparatory%20study%20iron%20%26%20steel_May%202025.pdf" TargetMode="External"/><Relationship Id="rId144" Type="http://schemas.openxmlformats.org/officeDocument/2006/relationships/hyperlink" Target="https://eur-lex.europa.eu/resource.html?uri=cellar:6c154426-c5a6-11ee-95d9-01aa75ed71a1.0001.02/DOC_3&amp;format=PDF" TargetMode="External"/><Relationship Id="rId90" Type="http://schemas.openxmlformats.org/officeDocument/2006/relationships/hyperlink" Target="https://commission.europa.eu/document/download/9db1c5c8-9e82-467b-ab6a-905feeb4b6b0_en?filename=Communication%20-%20Clean%20Industrial%20Deal_en.pdf" TargetMode="External"/><Relationship Id="rId186" Type="http://schemas.openxmlformats.org/officeDocument/2006/relationships/hyperlink" Target="https://european-aluminium.eu/wp-content/uploads/2023/11/23-11-14-Net-Zero-by-2050-Science-based-Decarbonisation-Pathways-for-the-European-Aluminium-Industry_FULL-REPORT.pdf" TargetMode="External"/><Relationship Id="rId351" Type="http://schemas.openxmlformats.org/officeDocument/2006/relationships/hyperlink" Target="https://eur-lex.europa.eu/legal-content/EN/TXT/PDF/?uri=CELEX:32023R1542" TargetMode="External"/><Relationship Id="rId393" Type="http://schemas.openxmlformats.org/officeDocument/2006/relationships/hyperlink" Target="https://single-market-economy.ec.europa.eu/document/download/860c257b-16db-429e-91c1-a30bea57e7ce_en" TargetMode="External"/><Relationship Id="rId407" Type="http://schemas.openxmlformats.org/officeDocument/2006/relationships/hyperlink" Target="https://cefic.org/the-carbon-manager/" TargetMode="External"/><Relationship Id="rId449" Type="http://schemas.openxmlformats.org/officeDocument/2006/relationships/hyperlink" Target="file://net1.cec.eu.int/offline/00/racuali/Desktop/production_costs_from_the_iron_and_steel_industry_-_final_online%20(1).pdf" TargetMode="External"/><Relationship Id="rId211" Type="http://schemas.openxmlformats.org/officeDocument/2006/relationships/hyperlink" Target="https://european-aluminium.eu/wp-content/uploads/2024/09/EA_onepager_Digital.pdf" TargetMode="External"/><Relationship Id="rId253" Type="http://schemas.openxmlformats.org/officeDocument/2006/relationships/hyperlink" Target="https://www.marketdataforecast.com/market-reports/europe-ceramic-tiles-market" TargetMode="External"/><Relationship Id="rId295" Type="http://schemas.openxmlformats.org/officeDocument/2006/relationships/hyperlink" Target="https://research.chalmers.se/publication/544752/file/544752_Fulltext.pdf" TargetMode="External"/><Relationship Id="rId309" Type="http://schemas.openxmlformats.org/officeDocument/2006/relationships/hyperlink" Target="https://ert.eu/wp-content/uploads/2024/04/ERT-Competitiveness-of-Europes-energy-intensive-industries_March-2024.pdf" TargetMode="External"/><Relationship Id="rId460" Type="http://schemas.openxmlformats.org/officeDocument/2006/relationships/hyperlink" Target="https://www.parlament.gv.at/dokument/XXVIII/EU/9939/imfname_11448352.pdf" TargetMode="External"/><Relationship Id="rId48" Type="http://schemas.openxmlformats.org/officeDocument/2006/relationships/hyperlink" Target="https://commission.europa.eu/strategy-and-policy/strategic-foresight/2025-strategic-foresight-report_en" TargetMode="External"/><Relationship Id="rId113" Type="http://schemas.openxmlformats.org/officeDocument/2006/relationships/hyperlink" Target="https://www.pv-magazine.com/2025/09/05/chinese-pv-industry-brief-top-4-module-manufacturers-post-heavy-losses-in-h1/" TargetMode="External"/><Relationship Id="rId320" Type="http://schemas.openxmlformats.org/officeDocument/2006/relationships/hyperlink" Target="https://www.e3g.org/wp-content/uploads/Building-Europes-Clean-Industrial-Future-Unlocking-Investment-through-Lead-Markets.pdf" TargetMode="External"/><Relationship Id="rId155" Type="http://schemas.openxmlformats.org/officeDocument/2006/relationships/hyperlink" Target="https://publications.jrc.ec.europa.eu/repository/handle/JRC141957" TargetMode="External"/><Relationship Id="rId197" Type="http://schemas.openxmlformats.org/officeDocument/2006/relationships/hyperlink" Target="https://solaralliance.eu/meet-our-members/" TargetMode="External"/><Relationship Id="rId362" Type="http://schemas.openxmlformats.org/officeDocument/2006/relationships/hyperlink" Target="https://eur-lex.europa.eu/eli/reg/2019/631/oj/eng" TargetMode="External"/><Relationship Id="rId418" Type="http://schemas.openxmlformats.org/officeDocument/2006/relationships/hyperlink" Target="https://steel.gov.in/policy-providing-preference-domestically" TargetMode="External"/><Relationship Id="rId222" Type="http://schemas.openxmlformats.org/officeDocument/2006/relationships/hyperlink" Target="https://www.energy-transitions.org/wp-content/uploads/2022/10/MPP-Aluminium-Full-Report-101722-final-digital.pdf" TargetMode="External"/><Relationship Id="rId264" Type="http://schemas.openxmlformats.org/officeDocument/2006/relationships/hyperlink" Target="https://eur-lex.europa.eu/resource.html?uri=cellar:6c154426-c5a6-11ee-95d9-01aa75ed71a1.0001.02/DOC_3&amp;format=PDF" TargetMode="External"/><Relationship Id="rId471" Type="http://schemas.openxmlformats.org/officeDocument/2006/relationships/hyperlink" Target="https://www.bcg.com/publications/2022/steel-industry-carbon-emissions-challenge-solutions" TargetMode="External"/><Relationship Id="rId17" Type="http://schemas.openxmlformats.org/officeDocument/2006/relationships/hyperlink" Target="https://www.europarl.europa.eu/doceo/document/TA-10-2025-0065_EN.html" TargetMode="External"/><Relationship Id="rId59" Type="http://schemas.openxmlformats.org/officeDocument/2006/relationships/hyperlink" Target="https://app.powerbi.com/groups/me/reports/c9a56f1a-10e6-4ba3-b3cb-a215b12870ba/ReportSectionfd7bf872509a00d78280?experience=power-bi&amp;clientSideAuth=0" TargetMode="External"/><Relationship Id="rId124" Type="http://schemas.openxmlformats.org/officeDocument/2006/relationships/hyperlink" Target="https://www.solarpowereurope.org/insights/interactive-data/solar-manufacturing-map" TargetMode="External"/><Relationship Id="rId70" Type="http://schemas.openxmlformats.org/officeDocument/2006/relationships/hyperlink" Target="https://cowles.yale.edu/sites/default/files/2024-05/Head-hmmy_bev.pdf" TargetMode="External"/><Relationship Id="rId166" Type="http://schemas.openxmlformats.org/officeDocument/2006/relationships/hyperlink" Target="https://www.energy-transitions.org/wp-content/uploads/2022/10/MPP-Aluminium-Full-Report-101722-final-digital.pdf" TargetMode="External"/><Relationship Id="rId331" Type="http://schemas.openxmlformats.org/officeDocument/2006/relationships/hyperlink" Target="https://ceepr.mit.edu/workingpaper/global-clean-investment-monitor-government-support-for-electric-vehicles-and-batteries/" TargetMode="External"/><Relationship Id="rId373" Type="http://schemas.openxmlformats.org/officeDocument/2006/relationships/hyperlink" Target="file://net1.cec.eu.int/offline/00/racuali/Desktop/COM(2025)632_0.pdf" TargetMode="External"/><Relationship Id="rId429" Type="http://schemas.openxmlformats.org/officeDocument/2006/relationships/hyperlink" Target="https://ert.eu/wp-content/uploads/2024/04/ERT-Competitiveness-of-Europes-energy-intensive-industries_March-2024.pdf" TargetMode="External"/><Relationship Id="rId1" Type="http://schemas.openxmlformats.org/officeDocument/2006/relationships/hyperlink" Target="https://ec.europa.eu/eurostat/databrowser/bookmark/df1e05e0-ba98-4846-9e8d-110f7e25ac40?lang=en&amp;createdAt=2026-02-26T11:24:24Z" TargetMode="External"/><Relationship Id="rId233" Type="http://schemas.openxmlformats.org/officeDocument/2006/relationships/hyperlink" Target="https://setis.ec.europa.eu/system/files/2021-02/jrc120570_decarbonisation_of_cement_fact_sheet_2.pdf" TargetMode="External"/><Relationship Id="rId440" Type="http://schemas.openxmlformats.org/officeDocument/2006/relationships/hyperlink" Target="https://www.transportenvironment.org/uploads/files/20241014_TE-Company-car-fossil-fuel-subsidies_Final-report_Addressed_Comments_2024-10-15-100425_uqws.pdf" TargetMode="External"/><Relationship Id="rId28" Type="http://schemas.openxmlformats.org/officeDocument/2006/relationships/hyperlink" Target="https://single-market-economy.ec.europa.eu/publications/enhanced-methodology-monitor-eus-strategic-dependencies-and-vulnerabilities_en" TargetMode="External"/><Relationship Id="rId275" Type="http://schemas.openxmlformats.org/officeDocument/2006/relationships/hyperlink" Target="https://www.wko.at/bgld/industrie/glasindustrie/statistical-report-glass-alliance-europe.pdf" TargetMode="External"/><Relationship Id="rId300" Type="http://schemas.openxmlformats.org/officeDocument/2006/relationships/hyperlink" Target="https://ec.europa.eu/eurostat/statistics-explained/index.php?title=EU_imports_of_energy_products_-_latest_developments" TargetMode="External"/><Relationship Id="rId482" Type="http://schemas.openxmlformats.org/officeDocument/2006/relationships/hyperlink" Target="https://www.iea.org/reports/energy-technology-perspectives-2024" TargetMode="External"/><Relationship Id="rId81" Type="http://schemas.openxmlformats.org/officeDocument/2006/relationships/hyperlink" Target="https://www.agora-industry.org/fileadmin/Projekte/2021/2021-06_IND_INT_GlobalSteel/A-IND_324_Low-Carbon-Technologies_WEB.pdf" TargetMode="External"/><Relationship Id="rId135" Type="http://schemas.openxmlformats.org/officeDocument/2006/relationships/hyperlink" Target="https://www.transportenvironment.org/uploads/files/An-industrial-blueprint-for-batteries-in-Europe-How-Europe-can-successfully-build-a-sustainable-battery-value-chain.pdf" TargetMode="External"/><Relationship Id="rId177" Type="http://schemas.openxmlformats.org/officeDocument/2006/relationships/hyperlink" Target="https://transport.ec.europa.eu/document/download/1498648c-63fc-4715-975d-ccbc64703da5_en?filename=Communication%20-%20Decarbonising%20corporate%20fleets.pdf" TargetMode="External"/><Relationship Id="rId342" Type="http://schemas.openxmlformats.org/officeDocument/2006/relationships/hyperlink" Target="https://eur-lex.europa.eu/legal-content/EN/TXT/PDF/?uri=CELEX:32018L2001" TargetMode="External"/><Relationship Id="rId384" Type="http://schemas.openxmlformats.org/officeDocument/2006/relationships/hyperlink" Target="https://www.iea.org/reports/energy-technology-perspectives-2024" TargetMode="External"/><Relationship Id="rId202" Type="http://schemas.openxmlformats.org/officeDocument/2006/relationships/hyperlink" Target="https://www.clustercollaboration.eu/sites/default/files/profile-article/Future%20challenges%20for%20SMEs%20in%20MTA%20vehicle%20production.pdf" TargetMode="External"/><Relationship Id="rId244" Type="http://schemas.openxmlformats.org/officeDocument/2006/relationships/hyperlink" Target="https://zenodo.org/records/2597091" TargetMode="External"/><Relationship Id="rId39" Type="http://schemas.openxmlformats.org/officeDocument/2006/relationships/hyperlink" Target="https://www.e3g.org/wp-content/uploads/Building-Europes-Clean-Industrial-Future-Unlocking-Investment-through-Lead-Markets.pdf" TargetMode="External"/><Relationship Id="rId286" Type="http://schemas.openxmlformats.org/officeDocument/2006/relationships/hyperlink" Target="https://www.cepi.org/wp-content/uploads/2024/07/Cepi-press-release_Final-2023-statistics_09072024-FINAL.pdf" TargetMode="External"/><Relationship Id="rId451" Type="http://schemas.openxmlformats.org/officeDocument/2006/relationships/hyperlink" Target="https://publications.jrc.ec.europa.eu/repository/handle/JRC141817" TargetMode="External"/><Relationship Id="rId50" Type="http://schemas.openxmlformats.org/officeDocument/2006/relationships/hyperlink" Target="https://www.oecd.org/content/dam/oecd/en/publications/reports/2025/06/a-comprehensive-overview-of-the-energy-intensive-industries-ecosystem_ceb6bd58/bbf7d4c2-en.pdf" TargetMode="External"/><Relationship Id="rId104" Type="http://schemas.openxmlformats.org/officeDocument/2006/relationships/hyperlink" Target="https://susproc.jrc.ec.europa.eu/product-bureau/sites/default/files/2025-05/Draft_Preparatory%20study%20iron%20%26%20steel_May%202025.pdf" TargetMode="External"/><Relationship Id="rId146" Type="http://schemas.openxmlformats.org/officeDocument/2006/relationships/hyperlink" Target="https://joint-research-centre.ec.europa.eu/projects-and-activities/trade-and-industrial-policy-analysis/industrial-policy/fidelio-model_en" TargetMode="External"/><Relationship Id="rId188" Type="http://schemas.openxmlformats.org/officeDocument/2006/relationships/hyperlink" Target="https://www.brussels-school.be/sites/default/files/2024-06/Public%20procurement%20construction%20steel%20and%20cement%20EU%20FINAL.pdf" TargetMode="External"/><Relationship Id="rId311" Type="http://schemas.openxmlformats.org/officeDocument/2006/relationships/hyperlink" Target="https://publications.jrc.ec.europa.eu/repository/handle/JRC144070" TargetMode="External"/><Relationship Id="rId353" Type="http://schemas.openxmlformats.org/officeDocument/2006/relationships/hyperlink" Target="https://eur-lex.europa.eu/EN/legal-content/summary/refueleu-aviation-sustainable-air-transport.html" TargetMode="External"/><Relationship Id="rId395" Type="http://schemas.openxmlformats.org/officeDocument/2006/relationships/hyperlink" Target="https://www.mckinsey.com/industries/automotive-and-assembly/our-insights/europes-economic-potential-in-the-shift-to-electric-vehicles" TargetMode="External"/><Relationship Id="rId409" Type="http://schemas.openxmlformats.org/officeDocument/2006/relationships/hyperlink" Target="https://www.hochbahn.de/en/projects/underground-expansion/the-u5-for-hamburg" TargetMode="External"/><Relationship Id="rId92" Type="http://schemas.openxmlformats.org/officeDocument/2006/relationships/hyperlink" Target="https://environment.ec.europa.eu/document/download/ad737347-bf74-476e-9159-a05214844cb6_en?filename=COM_2025_981_1_EN_ACT_part1_v4.pdf" TargetMode="External"/><Relationship Id="rId213" Type="http://schemas.openxmlformats.org/officeDocument/2006/relationships/hyperlink" Target="https://single-market-economy.ec.europa.eu/document/download/7807ca8b-10ce-4ee2-9c11-357afe163190_en?filename=Communication%20-%20Steel%20and%20Metals%20Action%20Plan.pdf" TargetMode="External"/><Relationship Id="rId420" Type="http://schemas.openxmlformats.org/officeDocument/2006/relationships/hyperlink" Target="https://www.heavyindustries.gov.in/pli-scheme-automobile-and-auto-component-industry" TargetMode="External"/><Relationship Id="rId255" Type="http://schemas.openxmlformats.org/officeDocument/2006/relationships/hyperlink" Target="https://blog.sicerceramicsurfaces.com/from-the-record-of-2022-to-the-decline-of-2023/" TargetMode="External"/><Relationship Id="rId297" Type="http://schemas.openxmlformats.org/officeDocument/2006/relationships/hyperlink" Target="https://ert.eu/documents/energy2024/" TargetMode="External"/><Relationship Id="rId462" Type="http://schemas.openxmlformats.org/officeDocument/2006/relationships/hyperlink" Target="https://www.energymonitor.ai/sectors/transport/weekly-data-ev-battery-investment-us-outpaces-eu/" TargetMode="External"/><Relationship Id="rId115" Type="http://schemas.openxmlformats.org/officeDocument/2006/relationships/hyperlink" Target="https://www.solarpowereurope.org/insights/outlooks/global-market-outlook-for-solar-power-2025-2029/detail" TargetMode="External"/><Relationship Id="rId157" Type="http://schemas.openxmlformats.org/officeDocument/2006/relationships/hyperlink" Target="https://eur-lex.europa.eu/legal-content/EN/TXT/?uri=celex%3A52024SC0063" TargetMode="External"/><Relationship Id="rId322" Type="http://schemas.openxmlformats.org/officeDocument/2006/relationships/hyperlink" Target="https://publications.jrc.ec.europa.eu/repository/handle/JRC127468" TargetMode="External"/><Relationship Id="rId364" Type="http://schemas.openxmlformats.org/officeDocument/2006/relationships/hyperlink" Target="https://transport.ec.europa.eu/document/download/89b3143e-09b6-4ae6-a826-932b90ed0816_en?filename=Communication%20-%20Action%20Plan.pdf" TargetMode="External"/><Relationship Id="rId61" Type="http://schemas.openxmlformats.org/officeDocument/2006/relationships/hyperlink" Target="https://eur-lex.europa.eu/eli/C/2025/3236/oj/eng" TargetMode="External"/><Relationship Id="rId199" Type="http://schemas.openxmlformats.org/officeDocument/2006/relationships/hyperlink" Target="https://C://Users/woolcha/Downloads/Transition%20Pathway%20Construction%2015%20March%202023%20final.pdf" TargetMode="External"/><Relationship Id="rId19" Type="http://schemas.openxmlformats.org/officeDocument/2006/relationships/hyperlink" Target="https://single-market-economy.ec.europa.eu/publications/european-chemicals-industry-action-plan_en" TargetMode="External"/><Relationship Id="rId224" Type="http://schemas.openxmlformats.org/officeDocument/2006/relationships/hyperlink" Target="https://european-aluminium.eu/wp-content/uploads/2023/11/23-11-14-Net-Zero-by-2050-Science-based-Decarbonisation-Pathways-for-the-European-Aluminium-Industry_FULL-REPORT.pdf" TargetMode="External"/><Relationship Id="rId266" Type="http://schemas.openxmlformats.org/officeDocument/2006/relationships/hyperlink" Target="https://refman.energytransitionmodel.com/publications/2020" TargetMode="External"/><Relationship Id="rId431" Type="http://schemas.openxmlformats.org/officeDocument/2006/relationships/hyperlink" Target="https://single-market-economy.ec.europa.eu/document/download/e566634a-29cf-4adf-a98d-1e708c873af8_en?filename=COM_2025_26_F1_COMMUNICATION_FROM_COMMISSION_TO_INST_EN_V10_P1_3877708.PDF" TargetMode="External"/><Relationship Id="rId473" Type="http://schemas.openxmlformats.org/officeDocument/2006/relationships/hyperlink" Target="https://publications.europa.eu/resource/cellar/e021854b-a451-11e9-9d01-01aa75ed71a1.0001.01/DOC_1" TargetMode="External"/><Relationship Id="rId30"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26" Type="http://schemas.openxmlformats.org/officeDocument/2006/relationships/hyperlink" Target="https://www.bruegel.org/policy-brief/smart-european-strategy-electric-vehicle-investment-china" TargetMode="External"/><Relationship Id="rId168" Type="http://schemas.openxmlformats.org/officeDocument/2006/relationships/hyperlink" Target="file:///C://Users/woolcha/Downloads/Draft_Preparatory%20study%20iron%20%26%20steel_May%202025%20(1).pdf" TargetMode="External"/><Relationship Id="rId333" Type="http://schemas.openxmlformats.org/officeDocument/2006/relationships/hyperlink" Target="https://www.europarl.europa.eu/RegData/docs_autres_institutions/commission_europeenne/com/2025/0074/COM_COM(2025)0074_EN.pdf" TargetMode="External"/><Relationship Id="rId72"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375"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3" Type="http://schemas.openxmlformats.org/officeDocument/2006/relationships/hyperlink" Target="https://ert.eu/wp-content/uploads/2022/06/ERT-Benchmarking-Report-2022-LR.pdf" TargetMode="External"/><Relationship Id="rId235" Type="http://schemas.openxmlformats.org/officeDocument/2006/relationships/hyperlink" Target="https://publications.jrc.ec.europa.eu/repository/handle/JRC139742" TargetMode="External"/><Relationship Id="rId277" Type="http://schemas.openxmlformats.org/officeDocument/2006/relationships/hyperlink" Target="https://www.wko.at/bgld/industrie/glasindustrie/statistical-report-glass-alliance-europe.pdf" TargetMode="External"/><Relationship Id="rId400" Type="http://schemas.openxmlformats.org/officeDocument/2006/relationships/hyperlink" Target="https://today.rtl.lu/news/world/a/2296923.html" TargetMode="External"/><Relationship Id="rId442" Type="http://schemas.openxmlformats.org/officeDocument/2006/relationships/hyperlink" Target="https://www.ise.fraunhofer.de/content/dam/ise/en/documents/publications/studies/Photovoltaics-Report.pdf" TargetMode="External"/><Relationship Id="rId484" Type="http://schemas.openxmlformats.org/officeDocument/2006/relationships/hyperlink" Target="https://solarheateurope.eu/market/market-data/" TargetMode="External"/><Relationship Id="rId137" Type="http://schemas.openxmlformats.org/officeDocument/2006/relationships/hyperlink" Target="https://single-market-economy.ec.europa.eu/document/download/7807ca8b-10ce-4ee2-9c11-357afe163190_en?filename=Communication%20-%20Steel%20and%20Metals%20Action%20Plan.pdf" TargetMode="External"/><Relationship Id="rId302" Type="http://schemas.openxmlformats.org/officeDocument/2006/relationships/hyperlink" Target="https://www.eurofer.eu/assets/publications/brochures-booklets-and-factsheets/european-steel-in-figures-2025/European-Steel-in-Figures-2025_23062025.pdf" TargetMode="External"/><Relationship Id="rId344" Type="http://schemas.openxmlformats.org/officeDocument/2006/relationships/hyperlink" Target="https://eur-lex.europa.eu/legal-content/EN/TXT/PDF/?uri=OJ:L_202401788" TargetMode="External"/></Relationships>
</file>

<file path=word/documenttasks/documenttasks1.xml><?xml version="1.0" encoding="utf-8"?>
<t:Tasks xmlns:t="http://schemas.microsoft.com/office/tasks/2019/documenttasks" xmlns:oel="http://schemas.microsoft.com/office/2019/extlst">
  <t:Task id="{87A4081D-618A-4114-8E41-A3EEF2D430BC}">
    <t:Anchor>
      <t:Comment id="2049253174"/>
    </t:Anchor>
    <t:History>
      <t:Event id="{6A9C8A61-1DEF-47C1-BF27-3B09FEB5E867}" time="2025-10-22T15:13:17.237Z">
        <t:Attribution userId="S::Ioana.DRAGOS@ext.ec.europa.eu::6c0c9738-da0e-4dbc-bce1-f89019af77f3" userProvider="AD" userName="DRAGOS Ioana (GROW-EXT)"/>
        <t:Anchor>
          <t:Comment id="2049253174"/>
        </t:Anchor>
        <t:Create/>
      </t:Event>
      <t:Event id="{7706D289-2EA1-4BEF-8711-42B85D5E95EA}" time="2025-10-22T15:13:17.237Z">
        <t:Attribution userId="S::Ioana.DRAGOS@ext.ec.europa.eu::6c0c9738-da0e-4dbc-bce1-f89019af77f3" userProvider="AD" userName="DRAGOS Ioana (GROW-EXT)"/>
        <t:Anchor>
          <t:Comment id="2049253174"/>
        </t:Anchor>
        <t:Assign userId="S::Cecilia.SERRANO-PIEDECASAS@ec.europa.eu::9b9273ee-7e6b-48ae-956f-52b66ad93d5b" userProvider="AD" userName="SERRANO-PIEDECASAS Cecilia (GROW)"/>
      </t:Event>
      <t:Event id="{3722D3A6-6890-4B5B-A9B0-D8CDFF0E0D7A}" time="2025-10-22T15:13:17.237Z">
        <t:Attribution userId="S::Ioana.DRAGOS@ext.ec.europa.eu::6c0c9738-da0e-4dbc-bce1-f89019af77f3" userProvider="AD" userName="DRAGOS Ioana (GROW-EXT)"/>
        <t:Anchor>
          <t:Comment id="2049253174"/>
        </t:Anchor>
        <t:SetTitle title="@SERRANO-PIEDECASAS Cecilia (GROW) can you please add the source / assumption around this number? I can’t seem to find it. Thanks!"/>
      </t:Event>
      <t:Event id="{ADE5C5F7-8C34-44E6-AF74-D8CAC04240D8}" time="2025-10-24T10:21:56.036Z">
        <t:Attribution userId="S::Cecilia.SERRANO-PIEDECASAS@ec.europa.eu::9b9273ee-7e6b-48ae-956f-52b66ad93d5b" userProvider="AD" userName="SERRANO-PIEDECASAS Cecilia (GROW)"/>
        <t:Progress percentComplete="100"/>
      </t:Event>
    </t:History>
  </t:Task>
  <t:Task id="{762414F7-CCC4-4C9C-A851-67CEEBE92063}">
    <t:Anchor>
      <t:Comment id="153830597"/>
    </t:Anchor>
    <t:History>
      <t:Event id="{143B05CF-9F7A-496E-BE50-4AB62946A005}" time="2025-11-26T17:41:47.721Z">
        <t:Attribution userId="S::Cecilia.SERRANO-PIEDECASAS@ec.europa.eu::9b9273ee-7e6b-48ae-956f-52b66ad93d5b" userProvider="AD" userName="SERRANO-PIEDECASAS Cecilia (GROW)"/>
        <t:Anchor>
          <t:Comment id="153830597"/>
        </t:Anchor>
        <t:Create/>
      </t:Event>
      <t:Event id="{F70A61AB-C6AF-4C36-975E-28D368C7B0A5}" time="2025-11-26T17:41:47.721Z">
        <t:Attribution userId="S::Cecilia.SERRANO-PIEDECASAS@ec.europa.eu::9b9273ee-7e6b-48ae-956f-52b66ad93d5b" userProvider="AD" userName="SERRANO-PIEDECASAS Cecilia (GROW)"/>
        <t:Anchor>
          <t:Comment id="153830597"/>
        </t:Anchor>
        <t:Assign userId="S::Ioana.DRAGOS@ext.ec.europa.eu::6c0c9738-da0e-4dbc-bce1-f89019af77f3" userProvider="AD" userName="DRAGOS Ioana (GROW-EXT)"/>
      </t:Event>
      <t:Event id="{F2C89A2A-A93F-4E11-9D17-637395CA19C6}" time="2025-11-26T17:41:47.721Z">
        <t:Attribution userId="S::Cecilia.SERRANO-PIEDECASAS@ec.europa.eu::9b9273ee-7e6b-48ae-956f-52b66ad93d5b" userProvider="AD" userName="SERRANO-PIEDECASAS Cecilia (GROW)"/>
        <t:Anchor>
          <t:Comment id="153830597"/>
        </t:Anchor>
        <t:SetTitle title="@DRAGOS Ioana (GROW-EXT) could we touch base on this? Not sure where data comes from. If it’s to include the (missing) table for LEAD VC on value added benefits from the JRC, I believe the correct values are those I introduce below."/>
      </t:Event>
      <t:Event id="{1D942917-F699-4095-981A-00457B49A451}" time="2025-11-28T17:25:27.845Z">
        <t:Attribution userId="S::Cecilia.SERRANO-PIEDECASAS@ec.europa.eu::9b9273ee-7e6b-48ae-956f-52b66ad93d5b" userProvider="AD" userName="SERRANO-PIEDECASAS Cecilia (GROW)"/>
        <t:Progress percentComplete="100"/>
      </t:Event>
    </t:History>
  </t:Task>
  <t:Task id="{B48FC958-575F-41D7-AAC7-B3FB0BAA21F9}">
    <t:Anchor>
      <t:Comment id="1528189274"/>
    </t:Anchor>
    <t:History>
      <t:Event id="{4EA11148-3B16-4563-9180-D57AC301AC47}" time="2025-11-27T15:28:07.642Z">
        <t:Attribution userId="S::Cecilia.SERRANO-PIEDECASAS@ec.europa.eu::9b9273ee-7e6b-48ae-956f-52b66ad93d5b" userProvider="AD" userName="SERRANO-PIEDECASAS Cecilia (GROW)"/>
        <t:Anchor>
          <t:Comment id="1528189274"/>
        </t:Anchor>
        <t:Create/>
      </t:Event>
      <t:Event id="{6EB939F5-0B4D-4658-AFBB-390BCF1A0F07}" time="2025-11-27T15:28:07.642Z">
        <t:Attribution userId="S::Cecilia.SERRANO-PIEDECASAS@ec.europa.eu::9b9273ee-7e6b-48ae-956f-52b66ad93d5b" userProvider="AD" userName="SERRANO-PIEDECASAS Cecilia (GROW)"/>
        <t:Anchor>
          <t:Comment id="1528189274"/>
        </t:Anchor>
        <t:Assign userId="S::Ioana.DRAGOS@ext.ec.europa.eu::6c0c9738-da0e-4dbc-bce1-f89019af77f3" userProvider="AD" userName="DRAGOS Ioana (GROW-EXT)"/>
      </t:Event>
      <t:Event id="{8CF33A31-B9FA-4A98-ADF8-CB816B1ABCFF}" time="2025-11-27T15:28:07.642Z">
        <t:Attribution userId="S::Cecilia.SERRANO-PIEDECASAS@ec.europa.eu::9b9273ee-7e6b-48ae-956f-52b66ad93d5b" userProvider="AD" userName="SERRANO-PIEDECASAS Cecilia (GROW)"/>
        <t:Anchor>
          <t:Comment id="1528189274"/>
        </t:Anchor>
        <t:SetTitle title="@DRAGOS Ioana (GROW-EXT) could you pls double check, this totals 9 bn? Didn’t check the others"/>
      </t:Event>
      <t:Event id="{AC9C5B97-F3AD-4AA5-95BE-4A118A12CFE0}" time="2025-11-27T15:34:10.717Z">
        <t:Attribution userId="S::ioana.dragos@ext.ec.europa.eu::6c0c9738-da0e-4dbc-bce1-f89019af77f3" userProvider="AD" userName="DRAGOS Ioana (GROW-EXT)"/>
        <t:Progress percentComplete="100"/>
      </t:Event>
    </t:History>
  </t:Task>
  <t:Task id="{0612E85F-A31C-4BAB-A661-15ADFAB4ECC2}">
    <t:Anchor>
      <t:Comment id="631194147"/>
    </t:Anchor>
    <t:History>
      <t:Event id="{738442E4-6BB2-47F0-81BF-DD79873550D3}" time="2025-11-27T10:43:42.543Z">
        <t:Attribution userId="S::Cecilia.SERRANO-PIEDECASAS@ec.europa.eu::9b9273ee-7e6b-48ae-956f-52b66ad93d5b" userProvider="AD" userName="SERRANO-PIEDECASAS Cecilia (GROW)"/>
        <t:Anchor>
          <t:Comment id="163079523"/>
        </t:Anchor>
        <t:Create/>
      </t:Event>
      <t:Event id="{1B3E4D1F-53FA-4A60-90A1-DF2C3EA84BBC}" time="2025-11-27T10:43:42.543Z">
        <t:Attribution userId="S::Cecilia.SERRANO-PIEDECASAS@ec.europa.eu::9b9273ee-7e6b-48ae-956f-52b66ad93d5b" userProvider="AD" userName="SERRANO-PIEDECASAS Cecilia (GROW)"/>
        <t:Anchor>
          <t:Comment id="163079523"/>
        </t:Anchor>
        <t:Assign userId="S::Marc.PIRRUNG@ec.europa.eu::c0440ebb-b23f-4d5c-a6cc-8970171555c9" userProvider="AD" userName="PIRRUNG Marc (GROW)"/>
      </t:Event>
      <t:Event id="{33CACA00-EE3B-4922-9B11-6CC4B2F56289}" time="2025-11-27T10:43:42.543Z">
        <t:Attribution userId="S::Cecilia.SERRANO-PIEDECASAS@ec.europa.eu::9b9273ee-7e6b-48ae-956f-52b66ad93d5b" userProvider="AD" userName="SERRANO-PIEDECASAS Cecilia (GROW)"/>
        <t:Anchor>
          <t:Comment id="163079523"/>
        </t:Anchor>
        <t:SetTitle title="…parameters to create different scenarios. However that would require knowledge on the likeliness of certain parameters to happen (more than others). I understand from Marc, that’s not the objective of the sensitivity analysis? @PIRRUNG Marc (GROW) "/>
      </t:Event>
      <t:Event id="{74A967DB-3551-4C7E-BBA7-BABB5EBE50E1}" time="2025-12-02T15:14:06.562Z">
        <t:Attribution userId="S::Cecilia.SERRANO-PIEDECASAS@ec.europa.eu::9b9273ee-7e6b-48ae-956f-52b66ad93d5b" userProvider="AD" userName="SERRANO-PIEDECASAS Cecilia (GROW)"/>
        <t:Progress percentComplete="100"/>
      </t:Event>
    </t:History>
  </t:Task>
  <t:Task id="{BE3CDDC5-A5A1-4EDC-BD56-2C85CC26F7E5}">
    <t:Anchor>
      <t:Comment id="1327942189"/>
    </t:Anchor>
    <t:History>
      <t:Event id="{2C25339B-F187-4CB5-8336-A16352787E3F}" time="2025-11-27T23:40:46.002Z">
        <t:Attribution userId="S::Immavera.SARDONE@ec.europa.eu::833452d4-9016-436b-9676-c80e22bf7e95" userProvider="AD" userName="SARDONE Immavera (GROW)"/>
        <t:Anchor>
          <t:Comment id="340603026"/>
        </t:Anchor>
        <t:Create/>
      </t:Event>
      <t:Event id="{5F5ED650-C294-4D8C-8295-B5F94C99828B}" time="2025-11-27T23:40:46.002Z">
        <t:Attribution userId="S::Immavera.SARDONE@ec.europa.eu::833452d4-9016-436b-9676-c80e22bf7e95" userProvider="AD" userName="SARDONE Immavera (GROW)"/>
        <t:Anchor>
          <t:Comment id="340603026"/>
        </t:Anchor>
        <t:Assign userId="S::Loran.DE-HOLLANDER@ec.europa.eu::8f4041be-da00-4d9c-8ac0-f097a5cac814" userProvider="AD" userName="DE HOLLANDER Loran (GROW)"/>
      </t:Event>
      <t:Event id="{80163C9D-C2A6-46F2-9B91-227BF6B3FE07}" time="2025-11-27T23:40:46.002Z">
        <t:Attribution userId="S::Immavera.SARDONE@ec.europa.eu::833452d4-9016-436b-9676-c80e22bf7e95" userProvider="AD" userName="SARDONE Immavera (GROW)"/>
        <t:Anchor>
          <t:Comment id="340603026"/>
        </t:Anchor>
        <t:SetTitle title="@DE HOLLANDER Loran (GROW) pls check latest legal text and adapt accordingly "/>
      </t:Event>
      <t:Event id="{DC2C910D-F30A-4B0B-A97F-59365D1294DB}" time="2025-11-28T19:39:46.279Z">
        <t:Attribution userId="S::immavera.sardone@ec.europa.eu::833452d4-9016-436b-9676-c80e22bf7e95" userProvider="AD" userName="SARDONE Immavera (GROW)"/>
        <t:Progress percentComplete="100"/>
      </t:Event>
    </t:History>
  </t:Task>
  <t:Task id="{90520615-23B2-4C74-AE1C-BDAB01F110DB}">
    <t:Anchor>
      <t:Comment id="1405257516"/>
    </t:Anchor>
    <t:History>
      <t:Event id="{08CB965C-61B9-45B5-8E8F-B17826E70696}" time="2025-11-25T15:14:48.254Z">
        <t:Attribution userId="S::cecilia.serrano-piedecasas@ec.europa.eu::9b9273ee-7e6b-48ae-956f-52b66ad93d5b" userProvider="AD" userName="SERRANO-PIEDECASAS Cecilia (GROW)"/>
        <t:Anchor>
          <t:Comment id="1236188213"/>
        </t:Anchor>
        <t:Create/>
      </t:Event>
      <t:Event id="{76CF440C-6B93-41A6-9140-9634FFDF59F0}" time="2025-11-25T15:14:48.254Z">
        <t:Attribution userId="S::cecilia.serrano-piedecasas@ec.europa.eu::9b9273ee-7e6b-48ae-956f-52b66ad93d5b" userProvider="AD" userName="SERRANO-PIEDECASAS Cecilia (GROW)"/>
        <t:Anchor>
          <t:Comment id="1236188213"/>
        </t:Anchor>
        <t:Assign userId="S::Ioana.DRAGOS@ext.ec.europa.eu::6c0c9738-da0e-4dbc-bce1-f89019af77f3" userProvider="AD" userName="DRAGOS Ioana (GROW-EXT)"/>
      </t:Event>
      <t:Event id="{B8C374D3-5054-4777-A429-BF5D0B102BF2}" time="2025-11-25T15:14:48.254Z">
        <t:Attribution userId="S::cecilia.serrano-piedecasas@ec.europa.eu::9b9273ee-7e6b-48ae-956f-52b66ad93d5b" userProvider="AD" userName="SERRANO-PIEDECASAS Cecilia (GROW)"/>
        <t:Anchor>
          <t:Comment id="1236188213"/>
        </t:Anchor>
        <t:SetTitle title="@DRAGOS Ioana (GROW-EXT) could you split each PO in 2 columns to show which is a one off and which is recurrent? we then compute totals for both. ok like that @PIRRUNG Marc (GROW) ?"/>
      </t:Event>
      <t:Event id="{F133D738-9AE4-46CE-9DAC-2B3C0FB476A9}" time="2025-11-27T08:50:56.489Z">
        <t:Attribution userId="S::immavera.sardone@ec.europa.eu::833452d4-9016-436b-9676-c80e22bf7e95" userProvider="AD" userName="SARDONE Immavera (GROW)"/>
        <t:Progress percentComplete="100"/>
      </t:Event>
    </t:History>
  </t:Task>
  <t:Task id="{4F365249-622F-46CD-84F5-D27789F43DCE}">
    <t:Anchor>
      <t:Comment id="545369007"/>
    </t:Anchor>
    <t:History>
      <t:Event id="{50C6F645-DA24-44A9-B52A-451F2FD649DE}" time="2026-01-15T14:55:31.744Z">
        <t:Attribution userId="S::Cecilia.SERRANO-PIEDECASAS@ec.europa.eu::9b9273ee-7e6b-48ae-956f-52b66ad93d5b" userProvider="AD" userName="SERRANO-PIEDECASAS Cecilia (GROW)"/>
        <t:Anchor>
          <t:Comment id="1105498185"/>
        </t:Anchor>
        <t:Create/>
      </t:Event>
      <t:Event id="{2D9CB54A-A351-4C63-93C8-70D36697F712}" time="2026-01-15T14:55:31.744Z">
        <t:Attribution userId="S::Cecilia.SERRANO-PIEDECASAS@ec.europa.eu::9b9273ee-7e6b-48ae-956f-52b66ad93d5b" userProvider="AD" userName="SERRANO-PIEDECASAS Cecilia (GROW)"/>
        <t:Anchor>
          <t:Comment id="1105498185"/>
        </t:Anchor>
        <t:Assign userId="S::Felix-Mateo.GILL@ec.europa.eu::0ca90bc6-b238-477b-b719-ef5d9399a1b5" userProvider="AD" userName="GILL Felix Mateo (GROW)"/>
      </t:Event>
      <t:Event id="{1EA4F3E9-11AD-496A-9204-81047D37B3E4}" time="2026-01-15T14:55:31.744Z">
        <t:Attribution userId="S::Cecilia.SERRANO-PIEDECASAS@ec.europa.eu::9b9273ee-7e6b-48ae-956f-52b66ad93d5b" userProvider="AD" userName="SERRANO-PIEDECASAS Cecilia (GROW)"/>
        <t:Anchor>
          <t:Comment id="1105498185"/>
        </t:Anchor>
        <t:SetTitle title="@SARDONE Immavera (GROW) @GILL Felix Mateo (GROW) not sure who included this. Could you check?"/>
      </t:Event>
    </t:History>
  </t:Task>
  <t:Task id="{B656C29E-7B45-4AE1-854E-FCE50EB91DBC}">
    <t:Anchor>
      <t:Comment id="955266645"/>
    </t:Anchor>
    <t:History>
      <t:Event id="{90023A1C-B2E4-4400-9156-D8CA710DF79B}" time="2025-12-01T18:32:32.054Z">
        <t:Attribution userId="S::Loran.DE-HOLLANDER@ec.europa.eu::8f4041be-da00-4d9c-8ac0-f097a5cac814" userProvider="AD" userName="DE HOLLANDER Loran (GROW)"/>
        <t:Anchor>
          <t:Comment id="955266645"/>
        </t:Anchor>
        <t:Create/>
      </t:Event>
      <t:Event id="{4467C563-4064-4B65-9ACE-8F76C0D1F52A}" time="2025-12-01T18:32:32.054Z">
        <t:Attribution userId="S::Loran.DE-HOLLANDER@ec.europa.eu::8f4041be-da00-4d9c-8ac0-f097a5cac814" userProvider="AD" userName="DE HOLLANDER Loran (GROW)"/>
        <t:Anchor>
          <t:Comment id="955266645"/>
        </t:Anchor>
        <t:Assign userId="S::Immavera.SARDONE@ec.europa.eu::833452d4-9016-436b-9676-c80e22bf7e95" userProvider="AD" userName="SARDONE Immavera (GROW)"/>
      </t:Event>
      <t:Event id="{41F72377-B933-45FE-A852-D898644CE45A}" time="2025-12-01T18:32:32.054Z">
        <t:Attribution userId="S::Loran.DE-HOLLANDER@ec.europa.eu::8f4041be-da00-4d9c-8ac0-f097a5cac814" userProvider="AD" userName="DE HOLLANDER Loran (GROW)"/>
        <t:Anchor>
          <t:Comment id="955266645"/>
        </t:Anchor>
        <t:SetTitle title="@SARDONE Immavera (GROW) what does this mea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D40F7-BDE0-480F-8B9E-B92B563FD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A48E5-A6E0-4FD2-ACF3-39931963BE5E}">
  <ds:schemaRefs>
    <ds:schemaRef ds:uri="http://schemas.microsoft.com/sharepoint/v3/contenttype/forms"/>
  </ds:schemaRefs>
</ds:datastoreItem>
</file>

<file path=customXml/itemProps3.xml><?xml version="1.0" encoding="utf-8"?>
<ds:datastoreItem xmlns:ds="http://schemas.openxmlformats.org/officeDocument/2006/customXml" ds:itemID="{2BC1270A-C58A-4EB2-914B-66D484BA8C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945AEE-6214-46A0-A6C8-490519488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174</Pages>
  <Words>115446</Words>
  <Characters>713461</Characters>
  <Application>Microsoft Office Word</Application>
  <DocSecurity>0</DocSecurity>
  <Lines>33974</Lines>
  <Paragraphs>15071</Paragraphs>
  <ScaleCrop>false</ScaleCrop>
  <Manager/>
  <Company/>
  <LinksUpToDate>false</LinksUpToDate>
  <CharactersWithSpaces>813836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VANGOMPEL Sien (SG)</dc:creator>
  <cp:keywords/>
  <dc:description/>
  <cp:lastModifiedBy>VANGOMPEL Sien (SG)</cp:lastModifiedBy>
  <cp:revision>3</cp:revision>
  <dcterms:created xsi:type="dcterms:W3CDTF">2026-03-04T07:52:00Z</dcterms:created>
  <dcterms:modified xsi:type="dcterms:W3CDTF">2026-03-04T08:03:00Z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0x01010082EF9373D7657549B6CD127E08569206</vt:lpwstr>
  </property>
  <property fmtid="{D5CDD505-2E9C-101B-9397-08002B2CF9AE}" pid="3" name="MSIP_Label_6bd9ddd1-4d20-43f6-abfa-fc3c07406f94_Enabled">
    <vt:lpwstr>true</vt:lpwstr>
  </property>
  <property fmtid="{D5CDD505-2E9C-101B-9397-08002B2CF9AE}" pid="4" name="MSIP_Label_6bd9ddd1-4d20-43f6-abfa-fc3c07406f94_SetDate">
    <vt:lpwstr>2025-06-02T08:25:42Z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6e48a300-6785-4c89-adf6-51f09a67997e</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Order">
    <vt:r8>56900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Level of sensitivity">
    <vt:lpwstr>Standard treatment</vt:lpwstr>
  </property>
  <property fmtid="{D5CDD505-2E9C-101B-9397-08002B2CF9AE}" pid="19" name="Part">
    <vt:lpwstr>1</vt:lpwstr>
  </property>
  <property fmtid="{D5CDD505-2E9C-101B-9397-08002B2CF9AE}" pid="20" name="Total parts">
    <vt:lpwstr>1</vt:lpwstr>
  </property>
  <property fmtid="{D5CDD505-2E9C-101B-9397-08002B2CF9AE}" pid="21" name="DocStatus">
    <vt:lpwstr>Green</vt:lpwstr>
  </property>
  <property fmtid="{D5CDD505-2E9C-101B-9397-08002B2CF9AE}" pid="22" name="CPTemplateID">
    <vt:lpwstr>CP-026</vt:lpwstr>
  </property>
  <property fmtid="{D5CDD505-2E9C-101B-9397-08002B2CF9AE}" pid="23" name="Last edited using">
    <vt:lpwstr>LW 9.2, Build 20250828</vt:lpwstr>
  </property>
  <property fmtid="{D5CDD505-2E9C-101B-9397-08002B2CF9AE}" pid="24" name="Created using">
    <vt:lpwstr>LW 9.2, Build 20250828</vt:lpwstr>
  </property>
</Properties>
</file>